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724" w:rsidRDefault="00F30FB8">
      <w:pPr>
        <w:pStyle w:val="Jin0"/>
        <w:pBdr>
          <w:bottom w:val="single" w:sz="4" w:space="0" w:color="auto"/>
        </w:pBdr>
        <w:shd w:val="clear" w:color="auto" w:fill="auto"/>
        <w:spacing w:before="80" w:after="60"/>
        <w:ind w:firstLine="0"/>
        <w:jc w:val="center"/>
        <w:rPr>
          <w:sz w:val="104"/>
          <w:szCs w:val="104"/>
        </w:rPr>
      </w:pPr>
      <w:r>
        <w:rPr>
          <w:sz w:val="104"/>
          <w:szCs w:val="104"/>
        </w:rPr>
        <w:t>Přítomnost</w:t>
      </w:r>
    </w:p>
    <w:p w:rsidR="00500724" w:rsidRDefault="00F30FB8">
      <w:pPr>
        <w:pStyle w:val="Titulekobrzku0"/>
        <w:shd w:val="clear" w:color="auto" w:fill="auto"/>
        <w:tabs>
          <w:tab w:val="left" w:pos="3950"/>
          <w:tab w:val="left" w:pos="9432"/>
        </w:tabs>
        <w:spacing w:line="240" w:lineRule="auto"/>
        <w:rPr>
          <w:sz w:val="20"/>
          <w:szCs w:val="20"/>
        </w:rPr>
        <w:sectPr w:rsidR="00500724">
          <w:footnotePr>
            <w:numFmt w:val="chicago"/>
            <w:numRestart w:val="eachPage"/>
          </w:footnotePr>
          <w:pgSz w:w="11909" w:h="16834"/>
          <w:pgMar w:top="1241" w:right="574" w:bottom="446" w:left="833" w:header="0" w:footer="3" w:gutter="0"/>
          <w:cols w:space="720"/>
          <w:noEndnote/>
          <w:docGrid w:linePitch="360"/>
        </w:sectPr>
      </w:pPr>
      <w:r>
        <w:rPr>
          <w:b w:val="0"/>
          <w:bCs w:val="0"/>
          <w:sz w:val="20"/>
          <w:szCs w:val="20"/>
        </w:rPr>
        <w:t>R</w:t>
      </w:r>
      <w:r>
        <w:rPr>
          <w:rStyle w:val="Zkladntext"/>
          <w:b w:val="0"/>
          <w:bCs w:val="0"/>
        </w:rPr>
        <w:t>OČNÍK XVI.</w:t>
      </w:r>
      <w:r>
        <w:rPr>
          <w:rStyle w:val="Zkladntext"/>
          <w:b w:val="0"/>
          <w:bCs w:val="0"/>
        </w:rPr>
        <w:tab/>
        <w:t>V PRAZE 4. LEDNA 1939</w:t>
      </w:r>
      <w:r>
        <w:rPr>
          <w:b w:val="0"/>
          <w:bCs w:val="0"/>
          <w:sz w:val="20"/>
          <w:szCs w:val="20"/>
        </w:rPr>
        <w:tab/>
        <w:t>ČÍSLO 1</w:t>
      </w:r>
      <w:bookmarkStart w:id="0" w:name="_GoBack"/>
      <w:bookmarkEnd w:id="0"/>
    </w:p>
    <w:p w:rsidR="00500724" w:rsidRDefault="00500724">
      <w:pPr>
        <w:spacing w:before="109" w:after="109"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241" w:right="0" w:bottom="446" w:left="0" w:header="0" w:footer="3" w:gutter="0"/>
          <w:cols w:space="720"/>
          <w:noEndnote/>
          <w:docGrid w:linePitch="360"/>
        </w:sectPr>
      </w:pPr>
    </w:p>
    <w:p w:rsidR="00500724" w:rsidRDefault="00F30FB8">
      <w:pPr>
        <w:pStyle w:val="Nadpis100"/>
        <w:shd w:val="clear" w:color="auto" w:fill="auto"/>
        <w:spacing w:after="0" w:line="240" w:lineRule="auto"/>
        <w:ind w:firstLine="260"/>
        <w:jc w:val="both"/>
      </w:pPr>
      <w:r>
        <w:t>Kdyby byla vypukla válka...</w:t>
      </w:r>
    </w:p>
    <w:p w:rsidR="00500724" w:rsidRDefault="00F30FB8">
      <w:pPr>
        <w:pStyle w:val="Zkladntext30"/>
        <w:framePr w:dropCap="drop" w:lines="2" w:hSpace="96" w:vSpace="96" w:wrap="auto" w:vAnchor="text" w:hAnchor="text"/>
        <w:shd w:val="clear" w:color="auto" w:fill="auto"/>
        <w:spacing w:line="310" w:lineRule="exact"/>
        <w:ind w:firstLine="0"/>
      </w:pPr>
      <w:r>
        <w:rPr>
          <w:position w:val="-7"/>
          <w:sz w:val="46"/>
          <w:szCs w:val="46"/>
        </w:rPr>
        <w:t>S</w:t>
      </w:r>
    </w:p>
    <w:p w:rsidR="00500724" w:rsidRDefault="00F30FB8">
      <w:pPr>
        <w:pStyle w:val="Zkladntext30"/>
        <w:shd w:val="clear" w:color="auto" w:fill="auto"/>
        <w:spacing w:after="0" w:line="197" w:lineRule="auto"/>
        <w:ind w:firstLine="0"/>
        <w:jc w:val="left"/>
      </w:pPr>
      <w:r>
        <w:t>nad se má o tom říci jednou otevřené slovo.</w:t>
      </w:r>
    </w:p>
    <w:p w:rsidR="00500724" w:rsidRDefault="00F30FB8">
      <w:pPr>
        <w:pStyle w:val="Zkladntext30"/>
        <w:shd w:val="clear" w:color="auto" w:fill="auto"/>
        <w:spacing w:after="0" w:line="197" w:lineRule="auto"/>
        <w:ind w:firstLine="480"/>
      </w:pPr>
      <w:r>
        <w:t xml:space="preserve">Mlčení spíše škodí. Dosud se potkáváme s lidmi, kteří nezapomínají, </w:t>
      </w:r>
      <w:r>
        <w:t>kteří zasmušile a na celý svět ne</w:t>
      </w:r>
      <w:r>
        <w:softHyphen/>
        <w:t>vrle říkají: Mělo se bojovat. Dr. Beneš, který jedněmi je obviňován, že provozoval válečnou politiku, je dru</w:t>
      </w:r>
      <w:r>
        <w:softHyphen/>
        <w:t>hými krůtě haněn za to, že kapituloval. Vláda, gene</w:t>
      </w:r>
      <w:r>
        <w:softHyphen/>
        <w:t>rální štáb, politikové, všichni jsou některými lidmi ká</w:t>
      </w:r>
      <w:r>
        <w:softHyphen/>
        <w:t xml:space="preserve">ráni </w:t>
      </w:r>
      <w:r>
        <w:t>za to, že začátkem října přiměli naše vojsko, aby opustilo pohraniční opevnění, místo aby několika dělo</w:t>
      </w:r>
      <w:r>
        <w:softHyphen/>
        <w:t>vými ranami rozpoutali válku.</w:t>
      </w:r>
    </w:p>
    <w:p w:rsidR="00500724" w:rsidRDefault="00F30FB8">
      <w:pPr>
        <w:pStyle w:val="Zkladntext30"/>
        <w:shd w:val="clear" w:color="auto" w:fill="auto"/>
        <w:spacing w:after="0" w:line="199" w:lineRule="auto"/>
      </w:pPr>
      <w:r>
        <w:t xml:space="preserve">Jsou mezi takovými kritiky i takoví, jejichž boje- chtivost roste, čím více se vzdalujeme od těch dnů, kdy válka skutečně </w:t>
      </w:r>
      <w:r>
        <w:t>mohla vypuknout. Ale to jsou ob</w:t>
      </w:r>
      <w:r>
        <w:softHyphen/>
        <w:t>vyklé plevy, pro které nesmíme zapomínat na zrno. Myslím, že většina národa skutečně by byla — z nej</w:t>
      </w:r>
      <w:r>
        <w:softHyphen/>
        <w:t>čistších a nejvlastenečtějších úmyslů — raději šla bo</w:t>
      </w:r>
      <w:r>
        <w:softHyphen/>
        <w:t>jovat. Je v dějinách našeho národa málo dojímavěj</w:t>
      </w:r>
      <w:r>
        <w:softHyphen/>
        <w:t xml:space="preserve">ších a slavnějších </w:t>
      </w:r>
      <w:r>
        <w:t>chvil, než byly ony manifestace v Praze, kdy zástupy mladých lidí se slzami v očích prosily nebo se zaťatou pěstí vyzývaly vládu, aby v zájmu vlasti využila jejich ochoty zemřít. Vláda — také se slzami v očích — zamítla tuto nejvznešenější nabídku. Plačící</w:t>
      </w:r>
      <w:r>
        <w:t xml:space="preserve"> manifestanti stáli v pražských ulicích proti plačícím policistům. Nikdy národní vědomí a ná</w:t>
      </w:r>
      <w:r>
        <w:softHyphen/>
        <w:t>rodní pospolitost nestály výše. A přece — president, generální štáb, jedna vláda, pak druhá vláda, a beze vší pochyby i jakákoliv třetí vláda, která by byla při</w:t>
      </w:r>
      <w:r>
        <w:softHyphen/>
        <w:t>šl</w:t>
      </w:r>
      <w:r>
        <w:t>a, smutně a vytrvale odmítaly pohotovost národa k obětem. Z malomyslnosti? Kdo by se mohl odvážit to tvrdit u lidí, kteří ještě před několika dny nařídili mobilisaci, ač znali důsledky, jež z toho mohly vznik</w:t>
      </w:r>
      <w:r>
        <w:softHyphen/>
        <w:t>nout, a kteří, bez rozdílu stran, byli do určit</w:t>
      </w:r>
      <w:r>
        <w:t>é chvíle odhodláni věsti lid do boje, jak všechny známky na</w:t>
      </w:r>
      <w:r>
        <w:softHyphen/>
        <w:t>svědčují?</w:t>
      </w:r>
    </w:p>
    <w:p w:rsidR="00500724" w:rsidRDefault="00F30FB8">
      <w:pPr>
        <w:pStyle w:val="Zkladntext30"/>
        <w:shd w:val="clear" w:color="auto" w:fill="auto"/>
        <w:spacing w:after="0" w:line="199" w:lineRule="auto"/>
        <w:ind w:firstLine="0"/>
      </w:pPr>
      <w:r>
        <w:t>Která »určitá chvíle« to byla? Ta chvíle, kdy se od</w:t>
      </w:r>
      <w:r>
        <w:softHyphen/>
        <w:t>povědným mužům naší politiky a naší armády vy</w:t>
      </w:r>
      <w:r>
        <w:softHyphen/>
        <w:t xml:space="preserve">jevilo, že bychom šli do války sami, že bychom stáli hůře osamoceni než Habeš a </w:t>
      </w:r>
      <w:r>
        <w:t>Španělsko nejen proti Německu, několikanásobně nás silnějšímu, nýbrž ještě také proti Polsku a Maďarsku. Jeden proti dvanácti; tehdy se odhodlali nevěsti do boje, jenž by nebyl více než Thermopyly. Čeští vůdcové byli odhodláni vésti národ do války sebetěžš</w:t>
      </w:r>
      <w:r>
        <w:t>i. Ale couvli před tím, aby jej vedli až do sebevraždy. Až se naše city uklidní, ne</w:t>
      </w:r>
      <w:r>
        <w:softHyphen/>
        <w:t>bude jim to sloužit k haně. V takových chvílích ne</w:t>
      </w:r>
      <w:r>
        <w:softHyphen/>
        <w:t>pochybně musejí rozhodnout ti, kdo mají více infor</w:t>
      </w:r>
      <w:r>
        <w:softHyphen/>
        <w:t>mací, i proti citovému a vzrušenému hlasu národa, který se úpěnlivě zd</w:t>
      </w:r>
      <w:r>
        <w:t xml:space="preserve">vihá z náměstí — v zájmu právě tohoto národa. Jest jim tak rozhodnouti, i kdyby tím na nějakou dobu zřizovali náhrobní kámen nad svou pověstí, i kdyby byli nechápáni a haněni. Na českých vůdcích spočívala koncem září odpovědnost tak těžká, jaká nezatížila </w:t>
      </w:r>
      <w:r>
        <w:t>české vůdce za několik posledních století. Ve skutečnosti stál český národ jen dvakrát před rozhodnutím tak osudovým a dalekosáhlým: ve válkách husitských a před Bílou horou. Na vůdcích bylo uvážiti, mají-li strhnout národ do podniku, po je</w:t>
      </w:r>
      <w:r>
        <w:softHyphen/>
        <w:t>hož ukončení by</w:t>
      </w:r>
      <w:r>
        <w:t xml:space="preserve"> sotva polovina českého národa zů</w:t>
      </w:r>
      <w:r>
        <w:softHyphen/>
        <w:t>stala na živu, a ve kterém prohra by byla znamenala prohru naprostou a možná už nenapravitelnou.</w:t>
      </w:r>
    </w:p>
    <w:p w:rsidR="00500724" w:rsidRDefault="00F30FB8">
      <w:pPr>
        <w:pStyle w:val="Zkladntext30"/>
        <w:shd w:val="clear" w:color="auto" w:fill="auto"/>
        <w:spacing w:after="0" w:line="221" w:lineRule="auto"/>
        <w:ind w:firstLine="240"/>
      </w:pPr>
      <w:r>
        <w:t>Není to přehánění. Generál Syrový řekl v těch čer</w:t>
      </w:r>
      <w:r>
        <w:softHyphen/>
        <w:t>ných chvílích: »Lehčí bylo zemříti.« Minulost tohoto muže, která jasně leží</w:t>
      </w:r>
      <w:r>
        <w:t xml:space="preserve"> před očima všech, zakazuje po</w:t>
      </w:r>
      <w:r>
        <w:softHyphen/>
        <w:t xml:space="preserve">chybovat o vážnosti jeho slov. A přece i on... Komu tedy vůbec věřit, </w:t>
      </w:r>
      <w:r>
        <w:t>jestliže ne jemu, jenž představuje tradici legií? A máme citový úsudek některých posta</w:t>
      </w:r>
      <w:r>
        <w:softHyphen/>
        <w:t>vit nad odborný úsudek generálního štábu, který to</w:t>
      </w:r>
      <w:r>
        <w:softHyphen/>
        <w:t>lik let věnoval p</w:t>
      </w:r>
      <w:r>
        <w:t>řípravě a který v poslední chvíli, pře</w:t>
      </w:r>
      <w:r>
        <w:softHyphen/>
        <w:t>hlédnuv situaci, jak se vytvořila, nechal přípravy státi se marnými a řekl: Nelze ...?</w:t>
      </w:r>
    </w:p>
    <w:p w:rsidR="00500724" w:rsidRDefault="00F30FB8">
      <w:pPr>
        <w:pStyle w:val="Zkladntext30"/>
        <w:shd w:val="clear" w:color="auto" w:fill="auto"/>
        <w:spacing w:after="0" w:line="214" w:lineRule="auto"/>
        <w:ind w:firstLine="240"/>
      </w:pPr>
      <w:r>
        <w:t>Nebylo u nás — mimo malý počet zbabělců pova</w:t>
      </w:r>
      <w:r>
        <w:softHyphen/>
        <w:t>hou — nikoho, kdo by byl váhal jiti do sebekrutějšího boje po boku spojenců. Tu nebyl</w:t>
      </w:r>
      <w:r>
        <w:t xml:space="preserve"> žádný rozdíl mezi stranami, nýbrž nejvýš jen mezi povahami. Když ono</w:t>
      </w:r>
      <w:r>
        <w:softHyphen/>
        <w:t xml:space="preserve">ho zářijového pátku byla nařízena mobilisace, o níž bylo prohlášeno, že se děje se souhlasem Anglie a Francie, lidé se radostně objímali, ač nemohli netušit, jak velké nebezpečí číhá na </w:t>
      </w:r>
      <w:r>
        <w:t>každého z nich osobně; ti, kteří měli se dostavit k svým praporům, nevybírali si vlak poslední, nýbrž první. Když však Anglie a Francie po této episodě, která není dosud zcela jasná, znova se postavily na stranu Německa, tu přišla také na naše vůdce povinn</w:t>
      </w:r>
      <w:r>
        <w:t>ost věc znovu rozvážit a roz</w:t>
      </w:r>
      <w:r>
        <w:softHyphen/>
        <w:t>myslit, co učinit s touto národní obětavostí, jaká se může zjevit jen v národě politicky vysoce uvědo</w:t>
      </w:r>
      <w:r>
        <w:softHyphen/>
        <w:t>mělém.</w:t>
      </w:r>
    </w:p>
    <w:p w:rsidR="00500724" w:rsidRDefault="00F30FB8">
      <w:pPr>
        <w:pStyle w:val="Zkladntext30"/>
        <w:shd w:val="clear" w:color="auto" w:fill="auto"/>
        <w:spacing w:after="0" w:line="216" w:lineRule="auto"/>
        <w:ind w:firstLine="240"/>
        <w:rPr>
          <w:sz w:val="19"/>
          <w:szCs w:val="19"/>
        </w:rPr>
        <w:sectPr w:rsidR="00500724">
          <w:footnotePr>
            <w:numFmt w:val="chicago"/>
            <w:numRestart w:val="eachPage"/>
          </w:footnotePr>
          <w:type w:val="continuous"/>
          <w:pgSz w:w="11909" w:h="16834"/>
          <w:pgMar w:top="1241" w:right="574" w:bottom="446" w:left="833" w:header="0" w:footer="3" w:gutter="0"/>
          <w:cols w:num="2" w:space="144"/>
          <w:noEndnote/>
          <w:docGrid w:linePitch="360"/>
        </w:sectPr>
      </w:pPr>
      <w:r>
        <w:t>Onen vzrušený a nadšený páteční večer nebyl konec konců nic než poslední iluse, poslední</w:t>
      </w:r>
      <w:r>
        <w:t xml:space="preserve"> ulehčení citu na těžké cestě. Myslím, že se to mohlo již tenkrát tušit. Neboť před tímto pátkem bylo ono drsné pondělí v po</w:t>
      </w:r>
      <w:r>
        <w:softHyphen/>
        <w:t>lovině září, kdy z čista jasna náš národ i naše vláda, zcela nepřipraveny, dověděly se z francouzské tiskové kanceláře, že Anglie a</w:t>
      </w:r>
      <w:r>
        <w:t xml:space="preserve"> Francie se rozhodly podporovat německý požadavek odloučení německých území. Bylo by to bývalo zajisté možno učinit jinak, ohleduplněji; že se tak nestalo, mělo svůj smysl, na který se později nemělo zapomínat. Mělo to smysl neodvolatelnosti. Zpráva tiskov</w:t>
      </w:r>
      <w:r>
        <w:t>é kanceláře byla beze vší pochyby nej</w:t>
      </w:r>
      <w:r>
        <w:softHyphen/>
        <w:t>drastičtější prostředek, jak oznámit takové rozhod</w:t>
      </w:r>
      <w:r>
        <w:softHyphen/>
        <w:t>nutí spojencům. Bylo by bývalo možno, aby obě de</w:t>
      </w:r>
      <w:r>
        <w:softHyphen/>
        <w:t>mokratické velmoci v společném provolání k českému národu vyložily nutnost svého počínání, jak ji viděly; byly by mohl</w:t>
      </w:r>
      <w:r>
        <w:t>y českým vůdcům ulehčit odpovědnost před jejich národem. Neučinily nic takového. Vyzvaly prostě tiskovou kancelář, aby oznámila, že pro český národ končí jedna jeho epocha. Zvolily způsob co nej- nesrdečnější, skoro by se mohlo říci brutální. Jistě tak uči</w:t>
      </w:r>
      <w:r>
        <w:t>nily úmyslně, neboť konec konců byly by našly znalce dobrého k tomu, kdyby jim na tom bylo zá</w:t>
      </w:r>
      <w:r>
        <w:softHyphen/>
        <w:t xml:space="preserve">leželo. Chtěly však pravděpodobně, aby bylo slyšet </w:t>
      </w:r>
      <w:r>
        <w:rPr>
          <w:rFonts w:ascii="Arial" w:eastAsia="Arial" w:hAnsi="Arial" w:cs="Arial"/>
          <w:sz w:val="19"/>
          <w:szCs w:val="19"/>
        </w:rPr>
        <w:t>í</w:t>
      </w:r>
    </w:p>
    <w:p w:rsidR="00500724" w:rsidRDefault="00F30FB8">
      <w:pPr>
        <w:pStyle w:val="Jin0"/>
        <w:pBdr>
          <w:bottom w:val="single" w:sz="4" w:space="0" w:color="auto"/>
        </w:pBdr>
        <w:shd w:val="clear" w:color="auto" w:fill="auto"/>
        <w:ind w:right="60" w:firstLine="0"/>
        <w:jc w:val="center"/>
        <w:rPr>
          <w:sz w:val="36"/>
          <w:szCs w:val="36"/>
        </w:rPr>
        <w:sectPr w:rsidR="00500724">
          <w:footnotePr>
            <w:numFmt w:val="chicago"/>
            <w:numRestart w:val="eachPage"/>
          </w:footnotePr>
          <w:pgSz w:w="11909" w:h="16834"/>
          <w:pgMar w:top="1030" w:right="1236" w:bottom="753" w:left="223" w:header="0" w:footer="3" w:gutter="0"/>
          <w:cols w:space="720"/>
          <w:noEndnote/>
          <w:docGrid w:linePitch="360"/>
        </w:sectPr>
      </w:pPr>
      <w:r>
        <w:rPr>
          <w:sz w:val="36"/>
          <w:szCs w:val="36"/>
        </w:rPr>
        <w:lastRenderedPageBreak/>
        <w:t>Přítomnosti</w:t>
      </w:r>
    </w:p>
    <w:p w:rsidR="00500724" w:rsidRDefault="00500724">
      <w:pPr>
        <w:spacing w:line="34" w:lineRule="exact"/>
        <w:rPr>
          <w:sz w:val="3"/>
          <w:szCs w:val="3"/>
        </w:rPr>
      </w:pPr>
    </w:p>
    <w:p w:rsidR="00500724" w:rsidRDefault="00500724">
      <w:pPr>
        <w:spacing w:line="14" w:lineRule="exact"/>
        <w:sectPr w:rsidR="00500724">
          <w:footnotePr>
            <w:numFmt w:val="chicago"/>
            <w:numRestart w:val="eachPage"/>
          </w:footnotePr>
          <w:type w:val="continuous"/>
          <w:pgSz w:w="11909" w:h="16834"/>
          <w:pgMar w:top="924" w:right="0" w:bottom="860" w:left="0" w:header="0" w:footer="3" w:gutter="0"/>
          <w:cols w:space="720"/>
          <w:noEndnote/>
          <w:docGrid w:linePitch="360"/>
        </w:sectPr>
      </w:pPr>
    </w:p>
    <w:p w:rsidR="00500724" w:rsidRDefault="00F30FB8">
      <w:pPr>
        <w:pStyle w:val="Zkladntext30"/>
        <w:shd w:val="clear" w:color="auto" w:fill="auto"/>
        <w:spacing w:after="0" w:line="223" w:lineRule="auto"/>
        <w:ind w:firstLine="0"/>
      </w:pPr>
      <w:r>
        <w:t xml:space="preserve">bouchnutí dveří mezi námi a jimi; chtěly </w:t>
      </w:r>
      <w:r>
        <w:t>zamezit další diskuse a dát najevo, že pro ně je věc vyřízena. Toho dne se již Francie rozhodla, že přestane se pokoušet, aby zůstala velkou zemí. Toto bouchnutí dveří u nás někteří přeslechli nebo nepochopili jeho význam. Ty dveře však nepřirazil vítr, ný</w:t>
      </w:r>
      <w:r>
        <w:t>brž lidská ruka. Ve sku</w:t>
      </w:r>
      <w:r>
        <w:softHyphen/>
        <w:t>tečnosti už nebylo návratu k dřívějším stadiím česko- slovensko-francouzského spojenectví. Tyto skuteč</w:t>
      </w:r>
      <w:r>
        <w:softHyphen/>
        <w:t>nosti byly na chvíli zatemněny v mobilisační pátek, ale nepřestaly trvat, jak se hned potom zase ukázalo.</w:t>
      </w:r>
    </w:p>
    <w:p w:rsidR="00500724" w:rsidRDefault="00F30FB8">
      <w:pPr>
        <w:pStyle w:val="Zkladntext30"/>
        <w:shd w:val="clear" w:color="auto" w:fill="auto"/>
        <w:spacing w:after="0"/>
      </w:pPr>
      <w:r>
        <w:t>Nyní však říkají nespok</w:t>
      </w:r>
      <w:r>
        <w:t>ojenci: Dejme tomu, že to tak tenkrát bylo; ale kdybychom se byli pustili do války, Francie nebyla by mohla dlouho zůstat stra</w:t>
      </w:r>
      <w:r>
        <w:softHyphen/>
        <w:t>nou. Pochybuji, že právě takový úsudek byl potvrzen těmi okolnostmi, které od té doby vyšly o Francii na</w:t>
      </w:r>
      <w:r>
        <w:softHyphen/>
        <w:t>jevo. Francie by vydržel</w:t>
      </w:r>
      <w:r>
        <w:t xml:space="preserve">a nekonečně dlouho stranit se války, do níž se jí všemi nervy nechce. Řekněte tak upřímně, jak jest třeba při věcech tak velkých, zda byla nějaká reálná </w:t>
      </w:r>
      <w:r>
        <w:rPr>
          <w:lang w:val="en-US" w:eastAsia="en-US" w:bidi="en-US"/>
        </w:rPr>
        <w:t xml:space="preserve">chance, </w:t>
      </w:r>
      <w:r>
        <w:t>že by tahle Francie, jak ji teď známe, se byla dala strhnout citem nebo nějakou politickou konc</w:t>
      </w:r>
      <w:r>
        <w:t>epcí k tomu, aby nám přispěla ku po</w:t>
      </w:r>
      <w:r>
        <w:softHyphen/>
        <w:t>moci? Její city ochably, její politické koncepce se staly menší; její vůle nebojovat a trhat jen plody minulosti je čím dál tím zřejmější. Ne, s touto Francií by to ne</w:t>
      </w:r>
      <w:r>
        <w:softHyphen/>
        <w:t>byl realistický výpočet. A tam, kde jde o život náro</w:t>
      </w:r>
      <w:r>
        <w:t>da, je zakázáno počítat jinak než realisticky.</w:t>
      </w:r>
    </w:p>
    <w:p w:rsidR="00500724" w:rsidRDefault="00F30FB8">
      <w:pPr>
        <w:pStyle w:val="Zkladntext30"/>
        <w:shd w:val="clear" w:color="auto" w:fill="auto"/>
        <w:spacing w:after="0"/>
      </w:pPr>
      <w:r>
        <w:t>Říká se také, že levice ve Francii a v Anglii by byla brzo porazila své kapitulantské vlády, ujala se vedení a přispěchala nám na pomoc. Iluse ne lepší než ta prvá. Spoléhat se jediné na levici v těch zemích b</w:t>
      </w:r>
      <w:r>
        <w:t>ylo chybou po celou tu dobu, kdy jsme s nimi dělali spo</w:t>
      </w:r>
      <w:r>
        <w:softHyphen/>
        <w:t>jeneckou politiku; mělo být jasno, že do takového zá</w:t>
      </w:r>
      <w:r>
        <w:softHyphen/>
        <w:t>polení vydají se ty národy buď celé nebo se ne</w:t>
      </w:r>
      <w:r>
        <w:softHyphen/>
        <w:t>vydají vůbec; Anglie a Francie, rozdělené na levici a na pravici pro otázku války, nebyly by pravdě</w:t>
      </w:r>
      <w:r>
        <w:softHyphen/>
      </w:r>
      <w:r>
        <w:t>podobně války vůbec schopny, nemyslíme-li na válku občanskou; vždy bylo chybou, jestliže někdo u nás myslil, že, spojíme-li se s francouzskou nebo anglickou levicí, zlepšíme poměr těchto zemí k nám; vždyť v takové věci, jako jest válka, nezáleží na oposici</w:t>
      </w:r>
      <w:r>
        <w:t>, nýbrž na vládě, která jediná může stisknout knoflík válečného stroje.</w:t>
      </w:r>
    </w:p>
    <w:p w:rsidR="00500724" w:rsidRDefault="00F30FB8">
      <w:pPr>
        <w:pStyle w:val="Zkladntext30"/>
        <w:shd w:val="clear" w:color="auto" w:fill="auto"/>
        <w:spacing w:after="0" w:line="206" w:lineRule="auto"/>
        <w:rPr>
          <w:sz w:val="20"/>
          <w:szCs w:val="20"/>
        </w:rPr>
      </w:pPr>
      <w:r>
        <w:t xml:space="preserve">Byli bychom se tedy pustili do války a čekali, až ve Francii a v Anglii levice porazí Daladiera a Chamber- laina ... Tomu odporuje už ten fakt, že Daladier sám jest politik levice, že </w:t>
      </w:r>
      <w:r>
        <w:t>celá jeho strana, která jest rovněž levá, mu ochotně udělila rozhřešení za Mni</w:t>
      </w:r>
      <w:r>
        <w:softHyphen/>
        <w:t>chov. Zapomněli jsme už, že také francouzská so</w:t>
      </w:r>
      <w:r>
        <w:softHyphen/>
        <w:t>cialistická strana schválila Bonnetovu politiku, a že vůbec francouzská levice se sešla s pravicí tak, jako ještě nikdy, tentokrá</w:t>
      </w:r>
      <w:r>
        <w:t xml:space="preserve">te ve vůli nebojovat? To jest tedy ta levice, na jejíž vítězství jsme měli čekat, rozpoutavše válku? I kdyby tato levice cítila jinak než cítí, má národ v smrtelném zápase a pokrytý smrtelným potem, jak my bychom nepochybně zakrátko byli bývali, čas čekat </w:t>
      </w:r>
      <w:r>
        <w:t>na výsledky parlamentních machi</w:t>
      </w:r>
      <w:r>
        <w:softHyphen/>
        <w:t>nací ve Francii a v Anglii? Proti Daladierově a Bon- netově politice hlasovalo ve francouzském parlamentu pět poslanců z pěti set. Měli jsme vstoupit do války a čekat, až těchto pět se změní ve většinu, až z nich bude nejmén</w:t>
      </w:r>
      <w:r>
        <w:t xml:space="preserve">ě dvě stě padesát jeden? </w:t>
      </w:r>
      <w:r>
        <w:rPr>
          <w:i/>
          <w:iCs/>
          <w:smallCaps/>
          <w:sz w:val="18"/>
          <w:szCs w:val="18"/>
        </w:rPr>
        <w:t>f.</w:t>
      </w:r>
      <w:r>
        <w:rPr>
          <w:i/>
          <w:iCs/>
          <w:sz w:val="20"/>
          <w:szCs w:val="20"/>
        </w:rPr>
        <w:t xml:space="preserve"> Peroutka</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poznámky</w:t>
      </w:r>
    </w:p>
    <w:p w:rsidR="00500724" w:rsidRDefault="00F30FB8">
      <w:pPr>
        <w:pStyle w:val="Zkladntext30"/>
        <w:shd w:val="clear" w:color="auto" w:fill="auto"/>
        <w:spacing w:after="60" w:line="178" w:lineRule="auto"/>
        <w:ind w:firstLine="0"/>
        <w:jc w:val="center"/>
        <w:rPr>
          <w:sz w:val="20"/>
          <w:szCs w:val="20"/>
        </w:rPr>
      </w:pPr>
      <w:r>
        <w:rPr>
          <w:b/>
          <w:bCs/>
          <w:sz w:val="20"/>
          <w:szCs w:val="20"/>
        </w:rPr>
        <w:t>Jak dlouho Francie slibovala pomoc</w:t>
      </w:r>
    </w:p>
    <w:p w:rsidR="00500724" w:rsidRDefault="00F30FB8">
      <w:pPr>
        <w:pStyle w:val="Zkladntext1"/>
        <w:shd w:val="clear" w:color="auto" w:fill="auto"/>
        <w:spacing w:line="187" w:lineRule="auto"/>
        <w:ind w:firstLine="300"/>
      </w:pPr>
      <w:r>
        <w:rPr>
          <w:b/>
          <w:bCs/>
        </w:rPr>
        <w:t>Tento časopis zastupuje názor, že otázka viny na ná</w:t>
      </w:r>
      <w:r>
        <w:rPr>
          <w:b/>
          <w:bCs/>
        </w:rPr>
        <w:softHyphen/>
        <w:t>rodní pohromě z měsíce září má býti bedlivě prozkoumána, ovšem tak, že se při tom užije co nejúplněji všech dokladů a že se</w:t>
      </w:r>
      <w:r>
        <w:rPr>
          <w:b/>
          <w:bCs/>
        </w:rPr>
        <w:t xml:space="preserve"> objektivně posoudí odpovědnost všech zúčastněných osob. Často se </w:t>
      </w:r>
      <w:r>
        <w:rPr>
          <w:b/>
          <w:bCs/>
        </w:rPr>
        <w:t>nadhazuje otázka, jak bylo možno, že naše zahraniční politika nepředvídala selhání Francie v rozhodu</w:t>
      </w:r>
      <w:r>
        <w:rPr>
          <w:b/>
          <w:bCs/>
        </w:rPr>
        <w:softHyphen/>
        <w:t>jící chvíli. K této záhadě jsme sebrali trochu informací o tom, jak Francie oficiálně zno</w:t>
      </w:r>
      <w:r>
        <w:rPr>
          <w:b/>
          <w:bCs/>
        </w:rPr>
        <w:t>vu a znovu potvrzovala své spojenecké závazky. Omezili jsme se při tom na rok 1938. Pokud jde o doby dřívější, připomínáme jen několik vět z vý</w:t>
      </w:r>
      <w:r>
        <w:rPr>
          <w:b/>
          <w:bCs/>
        </w:rPr>
        <w:softHyphen/>
        <w:t xml:space="preserve">kladu bývalého ministra zahraničních věcí </w:t>
      </w:r>
      <w:r>
        <w:rPr>
          <w:b/>
          <w:bCs/>
          <w:lang w:val="en-US" w:eastAsia="en-US" w:bidi="en-US"/>
        </w:rPr>
        <w:t xml:space="preserve">dr. </w:t>
      </w:r>
      <w:r>
        <w:rPr>
          <w:b/>
          <w:bCs/>
        </w:rPr>
        <w:t>K r o f t y dne</w:t>
      </w:r>
    </w:p>
    <w:p w:rsidR="00500724" w:rsidRDefault="00F30FB8">
      <w:pPr>
        <w:pStyle w:val="Zkladntext1"/>
        <w:numPr>
          <w:ilvl w:val="0"/>
          <w:numId w:val="1"/>
        </w:numPr>
        <w:shd w:val="clear" w:color="auto" w:fill="auto"/>
        <w:tabs>
          <w:tab w:val="left" w:pos="346"/>
        </w:tabs>
        <w:spacing w:after="60" w:line="187" w:lineRule="auto"/>
        <w:ind w:firstLine="0"/>
        <w:jc w:val="left"/>
      </w:pPr>
      <w:r>
        <w:rPr>
          <w:b/>
          <w:bCs/>
        </w:rPr>
        <w:t>listopadu 1937 v zahraničních výborech sněmoven:</w:t>
      </w:r>
    </w:p>
    <w:p w:rsidR="00500724" w:rsidRDefault="00F30FB8">
      <w:pPr>
        <w:pStyle w:val="Zkladntext1"/>
        <w:shd w:val="clear" w:color="auto" w:fill="auto"/>
        <w:spacing w:line="190" w:lineRule="auto"/>
        <w:ind w:firstLine="300"/>
      </w:pPr>
      <w:r>
        <w:rPr>
          <w:b/>
          <w:bCs/>
        </w:rPr>
        <w:t>s</w:t>
      </w:r>
      <w:r>
        <w:rPr>
          <w:b/>
          <w:bCs/>
        </w:rPr>
        <w:t>Aěkoli jsme nikdy nemohli pochybovat o pevném od</w:t>
      </w:r>
      <w:r>
        <w:rPr>
          <w:b/>
          <w:bCs/>
        </w:rPr>
        <w:softHyphen/>
        <w:t>hodlání Francie dostáti ve vážné chvíli všem jejím závaz</w:t>
      </w:r>
      <w:r>
        <w:rPr>
          <w:b/>
          <w:bCs/>
        </w:rPr>
        <w:softHyphen/>
        <w:t>kům k Československu, přece každého z nás musí potěšiti prohlášení, učiněné nedávno (29. října) francouzským mi</w:t>
      </w:r>
      <w:r>
        <w:rPr>
          <w:b/>
          <w:bCs/>
        </w:rPr>
        <w:softHyphen/>
        <w:t>nistrem zahraničních věcí panem Delbos</w:t>
      </w:r>
      <w:r>
        <w:rPr>
          <w:b/>
          <w:bCs/>
        </w:rPr>
        <w:t>em v Lilie, feekl-li tan., že Francie v plnění závazků, jež na sebe vzala, chce dáti příklad nejúzkostlivější Ioyálnosti, že by za všech okolností, ať by se útok na některý z těch států stal jakou</w:t>
      </w:r>
      <w:r>
        <w:rPr>
          <w:b/>
          <w:bCs/>
        </w:rPr>
        <w:softHyphen/>
        <w:t>koli formou, jakmile by útok byl zjištěn, dostála svým zá</w:t>
      </w:r>
      <w:r>
        <w:rPr>
          <w:b/>
          <w:bCs/>
        </w:rPr>
        <w:softHyphen/>
        <w:t>v</w:t>
      </w:r>
      <w:r>
        <w:rPr>
          <w:b/>
          <w:bCs/>
        </w:rPr>
        <w:t>azkům k státu napadenému, je význam toho i pro Česko</w:t>
      </w:r>
      <w:r>
        <w:rPr>
          <w:b/>
          <w:bCs/>
        </w:rPr>
        <w:softHyphen/>
        <w:t>slovensko zcela jasný.c</w:t>
      </w:r>
    </w:p>
    <w:p w:rsidR="00500724" w:rsidRDefault="00F30FB8">
      <w:pPr>
        <w:pStyle w:val="Zkladntext1"/>
        <w:shd w:val="clear" w:color="auto" w:fill="auto"/>
        <w:spacing w:line="190" w:lineRule="auto"/>
        <w:ind w:firstLine="300"/>
      </w:pPr>
      <w:r>
        <w:rPr>
          <w:b/>
          <w:bCs/>
        </w:rPr>
        <w:t>Přejděme nyní k roku 1938. Dne 27. února řekl teh</w:t>
      </w:r>
      <w:r>
        <w:rPr>
          <w:b/>
          <w:bCs/>
        </w:rPr>
        <w:softHyphen/>
        <w:t>dejší ministerský předseda Chautemps ve francouzské sněmovně:</w:t>
      </w:r>
    </w:p>
    <w:p w:rsidR="00500724" w:rsidRDefault="00F30FB8">
      <w:pPr>
        <w:pStyle w:val="Zkladntext1"/>
        <w:shd w:val="clear" w:color="auto" w:fill="auto"/>
        <w:spacing w:line="190" w:lineRule="auto"/>
        <w:ind w:firstLine="300"/>
      </w:pPr>
      <w:r>
        <w:rPr>
          <w:b/>
          <w:bCs/>
        </w:rPr>
        <w:t>»Třebaže Francie touží po sblížení s Německem, ie nutno přiznat, že</w:t>
      </w:r>
      <w:r>
        <w:rPr>
          <w:b/>
          <w:bCs/>
        </w:rPr>
        <w:t xml:space="preserve"> určité věci nejsou právě s to takové shlížení usnadniti. Francie se nemůže nezajímati též o osud střední Evropy a stvrzuje svou věrnost spojeneckým závazkům vůči Československu. Francie neustoupí vyhrůžkám a ne- zřekne se přátelství, jež jsou jí ke cíi.«</w:t>
      </w:r>
    </w:p>
    <w:p w:rsidR="00500724" w:rsidRDefault="00F30FB8">
      <w:pPr>
        <w:pStyle w:val="Zkladntext1"/>
        <w:shd w:val="clear" w:color="auto" w:fill="auto"/>
        <w:spacing w:line="190" w:lineRule="auto"/>
        <w:ind w:firstLine="300"/>
      </w:pPr>
      <w:r>
        <w:rPr>
          <w:b/>
          <w:bCs/>
        </w:rPr>
        <w:t>Také tehdejší ministr zahraničních věcí Paul Bon- cour mluvil v tomto smyslu.</w:t>
      </w:r>
    </w:p>
    <w:p w:rsidR="00500724" w:rsidRDefault="00F30FB8">
      <w:pPr>
        <w:pStyle w:val="Zkladntext1"/>
        <w:shd w:val="clear" w:color="auto" w:fill="auto"/>
        <w:spacing w:line="187" w:lineRule="auto"/>
        <w:ind w:firstLine="300"/>
      </w:pPr>
      <w:r>
        <w:rPr>
          <w:b/>
          <w:bCs/>
        </w:rPr>
        <w:t>Rozumí se, že takovýchto ujištěni se dostávalo Česko</w:t>
      </w:r>
      <w:r>
        <w:rPr>
          <w:b/>
          <w:bCs/>
        </w:rPr>
        <w:softHyphen/>
        <w:t>slovensku i cestou diplomatickou, zvláště po březnovém ob</w:t>
      </w:r>
      <w:r>
        <w:rPr>
          <w:b/>
          <w:bCs/>
        </w:rPr>
        <w:softHyphen/>
        <w:t>sazení Rakouska Německem. Stalo se tak na příklad v po</w:t>
      </w:r>
      <w:r>
        <w:rPr>
          <w:b/>
          <w:bCs/>
        </w:rPr>
        <w:softHyphen/>
        <w:t>lovici březn</w:t>
      </w:r>
      <w:r>
        <w:rPr>
          <w:b/>
          <w:bCs/>
        </w:rPr>
        <w:t>a, kdy ministr zahraničních věcí v nové Blu</w:t>
      </w:r>
      <w:r>
        <w:rPr>
          <w:b/>
          <w:bCs/>
        </w:rPr>
        <w:softHyphen/>
        <w:t>mově vládě Paul B o n c o u r potvrdil našemu pařížskému vyslanci platnost závazků. Zároveň pověřila francouzská vláda londýnského velvyslance, aby upozornil také vládu britskou, že by Francie v případě nezaviněn</w:t>
      </w:r>
      <w:r>
        <w:rPr>
          <w:b/>
          <w:bCs/>
        </w:rPr>
        <w:t>ého, ať přímého či nepřímého útoku na Československo poskytla tomuto státu wkamžitou, účinnou a integrální pomoc«, a to třeba i sama. Toto stanovisko bylo v Paříži tehdy oficiálně tlumo</w:t>
      </w:r>
      <w:r>
        <w:rPr>
          <w:b/>
          <w:bCs/>
        </w:rPr>
        <w:softHyphen/>
        <w:t xml:space="preserve">čeno dokonce i správci velvyslanectví Spojených Států. Po změně vlády </w:t>
      </w:r>
      <w:r>
        <w:rPr>
          <w:b/>
          <w:bCs/>
        </w:rPr>
        <w:t xml:space="preserve">v první polovici dubna opakoval nám toto ujištěni v náležité formě také nový ministr zahraničních věcí </w:t>
      </w:r>
      <w:r>
        <w:rPr>
          <w:b/>
          <w:bCs/>
          <w:lang w:val="en-US" w:eastAsia="en-US" w:bidi="en-US"/>
        </w:rPr>
        <w:t>Georges Bonnet.</w:t>
      </w:r>
    </w:p>
    <w:p w:rsidR="00500724" w:rsidRDefault="00F30FB8">
      <w:pPr>
        <w:pStyle w:val="Zkladntext1"/>
        <w:shd w:val="clear" w:color="auto" w:fill="auto"/>
        <w:spacing w:line="187" w:lineRule="auto"/>
        <w:ind w:firstLine="300"/>
      </w:pPr>
      <w:r>
        <w:rPr>
          <w:b/>
          <w:bCs/>
        </w:rPr>
        <w:t xml:space="preserve">Koncem dubna sešli se v Londýně Daladier </w:t>
      </w:r>
      <w:r>
        <w:rPr>
          <w:b/>
          <w:bCs/>
          <w:lang w:val="en-US" w:eastAsia="en-US" w:bidi="en-US"/>
        </w:rPr>
        <w:t xml:space="preserve">a Bonnet </w:t>
      </w:r>
      <w:r>
        <w:rPr>
          <w:b/>
          <w:bCs/>
        </w:rPr>
        <w:t>s Chamberlainem a Halííaxem na konferenci, při níž se mluvilo také o Československu, Zv</w:t>
      </w:r>
      <w:r>
        <w:rPr>
          <w:b/>
          <w:bCs/>
        </w:rPr>
        <w:t>láštní zpravodaj Hava- sovy kanceláře tehdy oznámil, že Daladier vyložil brit</w:t>
      </w:r>
      <w:r>
        <w:rPr>
          <w:b/>
          <w:bCs/>
        </w:rPr>
        <w:softHyphen/>
        <w:t>ským státníkům stanovisko francouzské vlády k věcem středoevropským, při čemž uvedl, že Francie nemůže nedo- držeti svých závazků k Československu a že s hlediska vo</w:t>
      </w:r>
      <w:r>
        <w:rPr>
          <w:b/>
          <w:bCs/>
        </w:rPr>
        <w:softHyphen/>
        <w:t xml:space="preserve">jenského se </w:t>
      </w:r>
      <w:r>
        <w:rPr>
          <w:b/>
          <w:bCs/>
        </w:rPr>
        <w:t>tento stát může účinně bránit, bude-li moci po</w:t>
      </w:r>
      <w:r>
        <w:rPr>
          <w:b/>
          <w:bCs/>
        </w:rPr>
        <w:softHyphen/>
        <w:t>čítat na pomoc z venku, nevylučujíc při tom Velkou Bri</w:t>
      </w:r>
      <w:r>
        <w:rPr>
          <w:b/>
          <w:bCs/>
        </w:rPr>
        <w:softHyphen/>
        <w:t xml:space="preserve">tanii. Podobně mluvil při konferenci také ministr </w:t>
      </w:r>
      <w:r>
        <w:rPr>
          <w:b/>
          <w:bCs/>
          <w:lang w:val="en-US" w:eastAsia="en-US" w:bidi="en-US"/>
        </w:rPr>
        <w:t>Bon</w:t>
      </w:r>
      <w:r>
        <w:rPr>
          <w:b/>
          <w:bCs/>
          <w:lang w:val="en-US" w:eastAsia="en-US" w:bidi="en-US"/>
        </w:rPr>
        <w:softHyphen/>
        <w:t xml:space="preserve">net. </w:t>
      </w:r>
      <w:r>
        <w:rPr>
          <w:b/>
          <w:bCs/>
        </w:rPr>
        <w:t xml:space="preserve">»Daily </w:t>
      </w:r>
      <w:r>
        <w:rPr>
          <w:b/>
          <w:bCs/>
          <w:lang w:val="en-US" w:eastAsia="en-US" w:bidi="en-US"/>
        </w:rPr>
        <w:t xml:space="preserve">Herald* </w:t>
      </w:r>
      <w:r>
        <w:rPr>
          <w:b/>
          <w:bCs/>
        </w:rPr>
        <w:t>napsal dne 30. dubna o výsledcích konference toto:</w:t>
      </w:r>
    </w:p>
    <w:p w:rsidR="00500724" w:rsidRDefault="00F30FB8">
      <w:pPr>
        <w:pStyle w:val="Zkladntext1"/>
        <w:shd w:val="clear" w:color="auto" w:fill="auto"/>
        <w:spacing w:line="187" w:lineRule="auto"/>
        <w:ind w:firstLine="300"/>
      </w:pPr>
      <w:r>
        <w:rPr>
          <w:b/>
          <w:bCs/>
        </w:rPr>
        <w:t>^Francouzští ministři s velký</w:t>
      </w:r>
      <w:r>
        <w:rPr>
          <w:b/>
          <w:bCs/>
        </w:rPr>
        <w:t>m důrazem vyložili, že Francie, plníc smluvní závazky, přispěje Československu na pomoc, kdyby bylo Německem vojensky napadeno. Francie si přála dalších anglických závazků, ale s anglické strany se nevybočilo z postoje, jak byl formulován Cham- beriainovým</w:t>
      </w:r>
      <w:r>
        <w:rPr>
          <w:b/>
          <w:bCs/>
        </w:rPr>
        <w:t xml:space="preserve"> prohlášením v dolní sněmovně. Nicméně obě strany uznaly, že — budou-li se události vyvíjet takovým způsobem — to povede nevyhnutelně k evropské válce, a že Anglie by byla nucena přispěti plně na pomoc, abv byly zachovány závazky k francouzské integritě.*</w:t>
      </w:r>
    </w:p>
    <w:p w:rsidR="00500724" w:rsidRDefault="00F30FB8">
      <w:pPr>
        <w:pStyle w:val="Zkladntext1"/>
        <w:shd w:val="clear" w:color="auto" w:fill="auto"/>
        <w:spacing w:line="187" w:lineRule="auto"/>
        <w:ind w:firstLine="300"/>
      </w:pPr>
      <w:r>
        <w:rPr>
          <w:b/>
          <w:bCs/>
        </w:rPr>
        <w:t>Téhož dne napsala »Deutsche Allgemeine Zeitung«:</w:t>
      </w:r>
    </w:p>
    <w:p w:rsidR="00500724" w:rsidRDefault="00F30FB8">
      <w:pPr>
        <w:pStyle w:val="Zkladntext1"/>
        <w:shd w:val="clear" w:color="auto" w:fill="auto"/>
        <w:spacing w:after="40" w:line="187" w:lineRule="auto"/>
        <w:ind w:firstLine="300"/>
      </w:pPr>
      <w:r>
        <w:rPr>
          <w:b/>
          <w:bCs/>
        </w:rPr>
        <w:t>»Ze všech zpráv je jisto, že Daladier ubezpečil Lon</w:t>
      </w:r>
      <w:r>
        <w:rPr>
          <w:b/>
          <w:bCs/>
        </w:rPr>
        <w:softHyphen/>
        <w:t xml:space="preserve">dýn slavnostně, že Francie přispěje Československu celou svou mocí, kdyby bylo napadeno, nehledíc na to, jaké bude </w:t>
      </w:r>
      <w:r>
        <w:rPr>
          <w:b/>
          <w:bCs/>
          <w:lang w:val="en-US" w:eastAsia="en-US" w:bidi="en-US"/>
        </w:rPr>
        <w:t xml:space="preserve">rlsiko </w:t>
      </w:r>
      <w:r>
        <w:rPr>
          <w:b/>
          <w:bCs/>
        </w:rPr>
        <w:t xml:space="preserve">a jaké budou důsledky takové pomoci. Britská vláda se sice zdráhala dát takové prohlášení, ale anglický list »Daíly </w:t>
      </w:r>
      <w:r>
        <w:rPr>
          <w:b/>
          <w:bCs/>
          <w:lang w:val="en-US" w:eastAsia="en-US" w:bidi="en-US"/>
        </w:rPr>
        <w:t xml:space="preserve">Telegraph® </w:t>
      </w:r>
      <w:r>
        <w:rPr>
          <w:b/>
          <w:bCs/>
        </w:rPr>
        <w:t>zdůrazňuje, že obě strany si byly plně vědomy, že útok na Československo by neodvratně vedl k obecné válce, a že by pak Velká Bri</w:t>
      </w:r>
      <w:r>
        <w:rPr>
          <w:b/>
          <w:bCs/>
        </w:rPr>
        <w:t>tanie, která chce chrá</w:t>
      </w:r>
      <w:r>
        <w:rPr>
          <w:b/>
          <w:bCs/>
        </w:rPr>
        <w:softHyphen/>
        <w:t>nit Francii, musila za všech okolností hráti svou úlohu. Tento úsudek »DaiIy Telegraphu«, o jehož správnosti nelze pochybovati, ukazuje docela jasně, že přes všechny okraš</w:t>
      </w:r>
      <w:r>
        <w:rPr>
          <w:b/>
          <w:bCs/>
        </w:rPr>
        <w:softHyphen/>
        <w:t>lující plány a ujišťování byla věera a předevěirem vytvo</w:t>
      </w:r>
      <w:r>
        <w:rPr>
          <w:b/>
          <w:bCs/>
        </w:rPr>
        <w:softHyphen/>
        <w:t>řena</w:t>
      </w:r>
      <w:r>
        <w:rPr>
          <w:b/>
          <w:bCs/>
        </w:rPr>
        <w:t xml:space="preserve"> pro Evropu nová Belgie.«</w:t>
      </w:r>
    </w:p>
    <w:p w:rsidR="00500724" w:rsidRDefault="00F30FB8">
      <w:pPr>
        <w:pStyle w:val="Zkladntext1"/>
        <w:shd w:val="clear" w:color="auto" w:fill="auto"/>
        <w:spacing w:after="40" w:line="202" w:lineRule="auto"/>
        <w:ind w:firstLine="300"/>
      </w:pPr>
      <w:r>
        <w:rPr>
          <w:b/>
          <w:bCs/>
        </w:rPr>
        <w:t xml:space="preserve">Tato zpráva německého listu ukazuje, že obsah rozmluv na londýnské konferenci byl v Německu znám. Ostatně o nich podle tehdejších zpráv ministr </w:t>
      </w:r>
      <w:r>
        <w:rPr>
          <w:b/>
          <w:bCs/>
          <w:lang w:val="en-US" w:eastAsia="en-US" w:bidi="en-US"/>
        </w:rPr>
        <w:t xml:space="preserve">Bonnet </w:t>
      </w:r>
      <w:r>
        <w:rPr>
          <w:b/>
          <w:bCs/>
        </w:rPr>
        <w:t>v květnu také přímo informoval německého velvyslance v Paříži hra</w:t>
      </w:r>
      <w:r>
        <w:rPr>
          <w:b/>
          <w:bCs/>
        </w:rPr>
        <w:softHyphen/>
        <w:t>běte Welczeka</w:t>
      </w:r>
      <w:r>
        <w:rPr>
          <w:b/>
          <w:bCs/>
        </w:rPr>
        <w:t>, jejž upozornil, že Francie splní své závazky vůěi Československu.</w:t>
      </w:r>
    </w:p>
    <w:p w:rsidR="00500724" w:rsidRDefault="00F30FB8">
      <w:pPr>
        <w:pStyle w:val="Zkladntext1"/>
        <w:shd w:val="clear" w:color="auto" w:fill="auto"/>
        <w:spacing w:after="40" w:line="187" w:lineRule="auto"/>
        <w:ind w:firstLine="300"/>
      </w:pPr>
      <w:r>
        <w:rPr>
          <w:b/>
          <w:bCs/>
        </w:rPr>
        <w:t>Na informovaných diplomatických místech se koncem prvního týdne květnového mluvilo o zakročení, které tehdy dala provést britská vláda na podnět Daladierův v Berlíně a při němž dala na sro</w:t>
      </w:r>
      <w:r>
        <w:rPr>
          <w:b/>
          <w:bCs/>
        </w:rPr>
        <w:t xml:space="preserve">zumění, že bude-li se trvat na karlovarských </w:t>
      </w:r>
      <w:r>
        <w:rPr>
          <w:b/>
          <w:bCs/>
        </w:rPr>
        <w:lastRenderedPageBreak/>
        <w:t>požadavcích (které vyhlásil Henlein kon</w:t>
      </w:r>
      <w:r>
        <w:rPr>
          <w:b/>
          <w:bCs/>
        </w:rPr>
        <w:softHyphen/>
        <w:t>cem dubna), prohlásí britská vláda, že bude-li Českosloven</w:t>
      </w:r>
      <w:r>
        <w:rPr>
          <w:b/>
          <w:bCs/>
        </w:rPr>
        <w:softHyphen/>
        <w:t>sko napadeno, půjde mu Francie na pomoc, a že Velká Britanie nemůže slíbit, že by neučinila totéž. Z úst přímo z</w:t>
      </w:r>
      <w:r>
        <w:rPr>
          <w:b/>
          <w:bCs/>
        </w:rPr>
        <w:t>účastněné a odpovědné francouzské osobnosti dostalo se o téže věci v polovici května jednomu diplomatu vysvětlení, že britský mluvčí shrnul při onom zakročení stanovisko své vlády takto: Kdyby Československo bylo během rozhovorů a jednání (rozuměj o národn</w:t>
      </w:r>
      <w:r>
        <w:rPr>
          <w:b/>
          <w:bCs/>
        </w:rPr>
        <w:t>ostní statut) nebo po jejich příznivém ukončení napadeno, splnila by Francie vůči němu své závazky a Anglie by se postavila po bok Francie. K to</w:t>
      </w:r>
      <w:r>
        <w:rPr>
          <w:b/>
          <w:bCs/>
        </w:rPr>
        <w:softHyphen/>
        <w:t>mu ona francouzská osobnost připojila, že Francie splní své závazky za všech okolností. (Ze souvislosti tehdejš</w:t>
      </w:r>
      <w:r>
        <w:rPr>
          <w:b/>
          <w:bCs/>
        </w:rPr>
        <w:t xml:space="preserve">ích zpráv světového tisku o této věci lze bezpečně soudit, že tato francouzská osobnost byl ministr </w:t>
      </w:r>
      <w:r>
        <w:rPr>
          <w:b/>
          <w:bCs/>
          <w:lang w:val="en-US" w:eastAsia="en-US" w:bidi="en-US"/>
        </w:rPr>
        <w:t>Bonnet.)</w:t>
      </w:r>
    </w:p>
    <w:p w:rsidR="00500724" w:rsidRDefault="00F30FB8">
      <w:pPr>
        <w:pStyle w:val="Zkladntext1"/>
        <w:shd w:val="clear" w:color="auto" w:fill="auto"/>
        <w:spacing w:after="40" w:line="187" w:lineRule="auto"/>
        <w:ind w:firstLine="300"/>
      </w:pPr>
      <w:r>
        <w:rPr>
          <w:b/>
          <w:bCs/>
        </w:rPr>
        <w:t>Události, které souvisely s krisí z konce května, jsou v celku známy. I v německém tisku se dlouho připomínalo, že tehdejší obranná opatření českos</w:t>
      </w:r>
      <w:r>
        <w:rPr>
          <w:b/>
          <w:bCs/>
        </w:rPr>
        <w:t>lovenské vlády se stala na základě informací z anglického pramene. Britský velvy</w:t>
      </w:r>
      <w:r>
        <w:rPr>
          <w:b/>
          <w:bCs/>
        </w:rPr>
        <w:softHyphen/>
        <w:t xml:space="preserve">slanec </w:t>
      </w:r>
      <w:r>
        <w:rPr>
          <w:b/>
          <w:bCs/>
          <w:lang w:val="en-US" w:eastAsia="en-US" w:bidi="en-US"/>
        </w:rPr>
        <w:t xml:space="preserve">Henderson </w:t>
      </w:r>
      <w:r>
        <w:rPr>
          <w:b/>
          <w:bCs/>
        </w:rPr>
        <w:t>zakročil tehdy velmi rozhodně u ně</w:t>
      </w:r>
      <w:r>
        <w:rPr>
          <w:b/>
          <w:bCs/>
        </w:rPr>
        <w:softHyphen/>
        <w:t>mecké vlády, a to v pátek 20. května jednou a v sobotu 21. května dvakrát. Připomněl tehdy příslušný odstavec o Českosloven</w:t>
      </w:r>
      <w:r>
        <w:rPr>
          <w:b/>
          <w:bCs/>
        </w:rPr>
        <w:t>sku ze známé Chamberlainovy březnové řeči.</w:t>
      </w:r>
    </w:p>
    <w:p w:rsidR="00500724" w:rsidRDefault="00F30FB8">
      <w:pPr>
        <w:pStyle w:val="Zkladntext1"/>
        <w:shd w:val="clear" w:color="auto" w:fill="auto"/>
        <w:spacing w:after="40" w:line="185" w:lineRule="auto"/>
        <w:ind w:firstLine="300"/>
      </w:pPr>
      <w:r>
        <w:rPr>
          <w:b/>
          <w:bCs/>
        </w:rPr>
        <w:t>I to potvrzuje, že oceňovala-li se tehdy politická hodnota této Chamberlainovy řeči vysoko, dělo se to odůvodněně, neboť jí tuto hodnotu přikládala zřejmě i sama britská vláda.</w:t>
      </w:r>
    </w:p>
    <w:p w:rsidR="00500724" w:rsidRDefault="00F30FB8">
      <w:pPr>
        <w:pStyle w:val="Zkladntext1"/>
        <w:shd w:val="clear" w:color="auto" w:fill="auto"/>
        <w:spacing w:after="40" w:line="185" w:lineRule="auto"/>
        <w:ind w:firstLine="300"/>
      </w:pPr>
      <w:r>
        <w:rPr>
          <w:b/>
          <w:bCs/>
        </w:rPr>
        <w:t xml:space="preserve">Začátkem července vyměnili Daladier </w:t>
      </w:r>
      <w:r>
        <w:rPr>
          <w:b/>
          <w:bCs/>
        </w:rPr>
        <w:t>s Chamberlai- nem osobní dopisy, z jejichž obsahu leccos proniklo na ve</w:t>
      </w:r>
      <w:r>
        <w:rPr>
          <w:b/>
          <w:bCs/>
        </w:rPr>
        <w:softHyphen/>
        <w:t>řejnost. Nás se přímo týkalo Chamberlainovo ujištění Fran</w:t>
      </w:r>
      <w:r>
        <w:rPr>
          <w:b/>
          <w:bCs/>
        </w:rPr>
        <w:softHyphen/>
        <w:t>cii, že britská vláda nezaujme v československé věci stano</w:t>
      </w:r>
      <w:r>
        <w:rPr>
          <w:b/>
          <w:bCs/>
        </w:rPr>
        <w:softHyphen/>
        <w:t>visko, které by se jakkoli nesrovnávalo s britsko-francouz- ským př</w:t>
      </w:r>
      <w:r>
        <w:rPr>
          <w:b/>
          <w:bCs/>
        </w:rPr>
        <w:t>átelstvím.</w:t>
      </w:r>
    </w:p>
    <w:p w:rsidR="00500724" w:rsidRDefault="00F30FB8">
      <w:pPr>
        <w:pStyle w:val="Zkladntext1"/>
        <w:shd w:val="clear" w:color="auto" w:fill="auto"/>
        <w:spacing w:after="40" w:line="180" w:lineRule="auto"/>
        <w:ind w:firstLine="300"/>
      </w:pPr>
      <w:r>
        <w:rPr>
          <w:b/>
          <w:bCs/>
        </w:rPr>
        <w:t>V neděli 12. července prohlásil Daladier na banketu provencálské společnosti v Paříži:</w:t>
      </w:r>
    </w:p>
    <w:p w:rsidR="00500724" w:rsidRDefault="00F30FB8">
      <w:pPr>
        <w:pStyle w:val="Zkladntext1"/>
        <w:shd w:val="clear" w:color="auto" w:fill="auto"/>
        <w:spacing w:after="40" w:line="187" w:lineRule="auto"/>
        <w:ind w:firstLine="300"/>
      </w:pPr>
      <w:r>
        <w:rPr>
          <w:b/>
          <w:bCs/>
        </w:rPr>
        <w:t>»Naše slavnostní závazky vůči Československu jsou pro nás n e o c h vějné a svaté. Francouzská vláda je ovládána dvěma city: je to přání, abychom nemusili usk</w:t>
      </w:r>
      <w:r>
        <w:rPr>
          <w:b/>
          <w:bCs/>
        </w:rPr>
        <w:t>u</w:t>
      </w:r>
      <w:r>
        <w:rPr>
          <w:b/>
          <w:bCs/>
        </w:rPr>
        <w:softHyphen/>
        <w:t>tečňovat tyto své závazky, a pevná vůle, nikdy nezra</w:t>
      </w:r>
      <w:r>
        <w:rPr>
          <w:b/>
          <w:bCs/>
        </w:rPr>
        <w:softHyphen/>
        <w:t>dit slovo, které jsme dali, kdyby se stalo tak velké ne</w:t>
      </w:r>
      <w:r>
        <w:rPr>
          <w:b/>
          <w:bCs/>
        </w:rPr>
        <w:softHyphen/>
        <w:t>štěstí, že tato naše naděje by byla zklamána.®</w:t>
      </w:r>
    </w:p>
    <w:p w:rsidR="00500724" w:rsidRDefault="00F30FB8">
      <w:pPr>
        <w:pStyle w:val="Zkladntext1"/>
        <w:shd w:val="clear" w:color="auto" w:fill="auto"/>
        <w:spacing w:after="40" w:line="187" w:lineRule="auto"/>
        <w:ind w:firstLine="300"/>
      </w:pPr>
      <w:r>
        <w:rPr>
          <w:b/>
          <w:bCs/>
        </w:rPr>
        <w:t>U příležitosti návštěvy britských královských manželů v Paříži v druhé polovici července se rovněž</w:t>
      </w:r>
      <w:r>
        <w:rPr>
          <w:b/>
          <w:bCs/>
        </w:rPr>
        <w:t xml:space="preserve"> mluvilo o čes</w:t>
      </w:r>
      <w:r>
        <w:rPr>
          <w:b/>
          <w:bCs/>
        </w:rPr>
        <w:softHyphen/>
        <w:t>koslovenské věci. Britští a francouzští státníci podle tehdej</w:t>
      </w:r>
      <w:r>
        <w:rPr>
          <w:b/>
          <w:bCs/>
        </w:rPr>
        <w:softHyphen/>
        <w:t>ších zpráv si navzájem znovu potvrdili stanovisko, které zaujali za dubnové konference v Londýně, a jehož smysl byl, že Francie splní své závazky vůči Československu za každých ok</w:t>
      </w:r>
      <w:r>
        <w:rPr>
          <w:b/>
          <w:bCs/>
        </w:rPr>
        <w:t>olností a že Velká Britanie při tom nevylučuje svou pomoc Francii.</w:t>
      </w:r>
    </w:p>
    <w:p w:rsidR="00500724" w:rsidRDefault="00F30FB8">
      <w:pPr>
        <w:pStyle w:val="Zkladntext1"/>
        <w:shd w:val="clear" w:color="auto" w:fill="auto"/>
        <w:spacing w:line="190" w:lineRule="auto"/>
        <w:ind w:firstLine="300"/>
      </w:pPr>
      <w:r>
        <w:rPr>
          <w:b/>
          <w:bCs/>
        </w:rPr>
        <w:t xml:space="preserve">Takové bylo francouzské oficiální stanovisko až do krise z měsíce září. Teprve když 19. září odevzdávali v Praze vyslanci de </w:t>
      </w:r>
      <w:r>
        <w:rPr>
          <w:b/>
          <w:bCs/>
          <w:lang w:val="en-US" w:eastAsia="en-US" w:bidi="en-US"/>
        </w:rPr>
        <w:t xml:space="preserve">Lacroix </w:t>
      </w:r>
      <w:r>
        <w:rPr>
          <w:b/>
          <w:bCs/>
        </w:rPr>
        <w:t>a Newton návrh svých vlád, aby Čes</w:t>
      </w:r>
      <w:r>
        <w:rPr>
          <w:b/>
          <w:bCs/>
        </w:rPr>
        <w:softHyphen/>
        <w:t>koslovensko odstoupil</w:t>
      </w:r>
      <w:r>
        <w:rPr>
          <w:b/>
          <w:bCs/>
        </w:rPr>
        <w:t>o Německu kraje s více než padesáti</w:t>
      </w:r>
      <w:r>
        <w:rPr>
          <w:b/>
          <w:bCs/>
        </w:rPr>
        <w:softHyphen/>
        <w:t>procentní většinou německou, bylo naší vládě naznačeno, žese jí nezaručuje pomoc, kdyby tento »návrh« od</w:t>
      </w:r>
      <w:r>
        <w:rPr>
          <w:b/>
          <w:bCs/>
        </w:rPr>
        <w:softHyphen/>
        <w:t>mítla. Naše vláda zprvu odpověděla na tento návrh způso</w:t>
      </w:r>
      <w:r>
        <w:rPr>
          <w:b/>
          <w:bCs/>
        </w:rPr>
        <w:softHyphen/>
        <w:t>bem, který znamenal odmítnutí. Podle svědectví pražského do</w:t>
      </w:r>
      <w:r>
        <w:rPr>
          <w:b/>
          <w:bCs/>
        </w:rPr>
        <w:t>pisovatele »Tempsu® Huberta Beuve-Méryho, jemuž se dostalo informací od osobnosti přímo zúčastněné, pro</w:t>
      </w:r>
      <w:r>
        <w:rPr>
          <w:b/>
          <w:bCs/>
        </w:rPr>
        <w:softHyphen/>
        <w:t>hlásili oba vyslanci, když přijímali odmítavou odpověď, že jejich vlády za těchto okolností musí ohlásit svůj n e z á- jem na dalším osudu Československ</w:t>
      </w:r>
      <w:r>
        <w:rPr>
          <w:b/>
          <w:bCs/>
        </w:rPr>
        <w:t>a. Když byl o tom zpraven politický kabinet naší vlády dne 20. září odpoledne, usnesl se vyžádat si od francouzského vyslance naprosto jasné prohlášení o francouzské pomoci.' Tehdejší minister</w:t>
      </w:r>
      <w:r>
        <w:rPr>
          <w:b/>
          <w:bCs/>
        </w:rPr>
        <w:softHyphen/>
        <w:t xml:space="preserve">ský předseda Hodža si proto pozval vyslance de </w:t>
      </w:r>
      <w:r>
        <w:rPr>
          <w:b/>
          <w:bCs/>
          <w:lang w:val="en-US" w:eastAsia="en-US" w:bidi="en-US"/>
        </w:rPr>
        <w:t xml:space="preserve">Lacroix. </w:t>
      </w:r>
      <w:r>
        <w:rPr>
          <w:b/>
          <w:bCs/>
        </w:rPr>
        <w:t>Vyslane</w:t>
      </w:r>
      <w:r>
        <w:rPr>
          <w:b/>
          <w:bCs/>
        </w:rPr>
        <w:t>c se téže noci dotázal své vlády. Odpověď zněla, že francouzská vláda by neposkytla Českosloven</w:t>
      </w:r>
      <w:r>
        <w:rPr>
          <w:b/>
          <w:bCs/>
        </w:rPr>
        <w:softHyphen/>
        <w:t>sku vojenské pomoci, kdyby odmítlo vzdáti se ně</w:t>
      </w:r>
      <w:r>
        <w:rPr>
          <w:b/>
          <w:bCs/>
        </w:rPr>
        <w:softHyphen/>
        <w:t xml:space="preserve">meckých krajů a bylo vojensky napadeno. Na žádost naší vlády byla tato odpověď dána také písemně. Po nové noční </w:t>
      </w:r>
      <w:r>
        <w:rPr>
          <w:b/>
          <w:bCs/>
        </w:rPr>
        <w:t>intervenci obou vyslanců u presidenta republiky (dne 21. září ve 2 hodiny r no) a celodenních poradách vlády a politických činitelů dostali vyslanci téhož dne o 17. hodině konečně naši kladnou odpověď.</w:t>
      </w:r>
    </w:p>
    <w:p w:rsidR="00500724" w:rsidRDefault="00F30FB8">
      <w:pPr>
        <w:pStyle w:val="Zkladntext1"/>
        <w:shd w:val="clear" w:color="auto" w:fill="auto"/>
        <w:spacing w:line="209" w:lineRule="auto"/>
        <w:ind w:firstLine="300"/>
      </w:pPr>
      <w:r>
        <w:rPr>
          <w:b/>
          <w:bCs/>
        </w:rPr>
        <w:t xml:space="preserve">S touto odpovědí jel </w:t>
      </w:r>
      <w:r>
        <w:rPr>
          <w:b/>
          <w:bCs/>
          <w:lang w:val="en-US" w:eastAsia="en-US" w:bidi="en-US"/>
        </w:rPr>
        <w:t xml:space="preserve">Chamberlain </w:t>
      </w:r>
      <w:r>
        <w:rPr>
          <w:b/>
          <w:bCs/>
        </w:rPr>
        <w:t>do Godesbergu. Když t</w:t>
      </w:r>
      <w:r>
        <w:rPr>
          <w:b/>
          <w:bCs/>
        </w:rPr>
        <w:t>amní jednání ztroskotalo a zdálo se, že válka je neodvrat</w:t>
      </w:r>
      <w:r>
        <w:rPr>
          <w:b/>
          <w:bCs/>
        </w:rPr>
        <w:softHyphen/>
        <w:t>ná, bylo v Londýně dne 26. září uveřejněno toto úřední sdělení ministerstva zahraničních věcí:</w:t>
      </w:r>
    </w:p>
    <w:p w:rsidR="00500724" w:rsidRDefault="00F30FB8">
      <w:pPr>
        <w:pStyle w:val="Zkladntext1"/>
        <w:shd w:val="clear" w:color="auto" w:fill="auto"/>
        <w:spacing w:after="80" w:line="194" w:lineRule="auto"/>
        <w:ind w:firstLine="300"/>
      </w:pPr>
      <w:r>
        <w:rPr>
          <w:b/>
          <w:bCs/>
        </w:rPr>
        <w:t>»Učiní-li přes všechny snahy britského ministerského předsedy Německo útok na Československo, půjde Fra</w:t>
      </w:r>
      <w:r>
        <w:rPr>
          <w:b/>
          <w:bCs/>
        </w:rPr>
        <w:t xml:space="preserve">ncie Československu na pomoc a Velká Britanie </w:t>
      </w:r>
      <w:r>
        <w:rPr>
          <w:b/>
          <w:bCs/>
          <w:lang w:val="en-US" w:eastAsia="en-US" w:bidi="en-US"/>
        </w:rPr>
        <w:t xml:space="preserve">a Busko </w:t>
      </w:r>
      <w:r>
        <w:rPr>
          <w:b/>
          <w:bCs/>
        </w:rPr>
        <w:t>se do</w:t>
      </w:r>
      <w:r>
        <w:rPr>
          <w:b/>
          <w:bCs/>
        </w:rPr>
        <w:softHyphen/>
        <w:t>cela jistě postaví na stranu Francie.®</w:t>
      </w:r>
    </w:p>
    <w:p w:rsidR="00500724" w:rsidRDefault="00F30FB8">
      <w:pPr>
        <w:pStyle w:val="Zkladntext1"/>
        <w:shd w:val="clear" w:color="auto" w:fill="auto"/>
        <w:spacing w:after="80" w:line="182" w:lineRule="auto"/>
        <w:ind w:firstLine="0"/>
        <w:jc w:val="center"/>
      </w:pPr>
      <w:r>
        <w:rPr>
          <w:b/>
          <w:bCs/>
        </w:rPr>
        <w:t>X</w:t>
      </w:r>
    </w:p>
    <w:p w:rsidR="00500724" w:rsidRDefault="00F30FB8">
      <w:pPr>
        <w:pStyle w:val="Zkladntext1"/>
        <w:shd w:val="clear" w:color="auto" w:fill="auto"/>
        <w:spacing w:line="185" w:lineRule="auto"/>
        <w:ind w:firstLine="300"/>
      </w:pPr>
      <w:r>
        <w:rPr>
          <w:b/>
          <w:bCs/>
        </w:rPr>
        <w:t>K tomu všemu musíme připomenout, že francouzská záruka se týkala dřívějších hranic Československa. Francie tedy jednala proti jejímu duchu, jakmile nás</w:t>
      </w:r>
    </w:p>
    <w:p w:rsidR="00500724" w:rsidRDefault="00F30FB8">
      <w:pPr>
        <w:pStyle w:val="Zkladntext1"/>
        <w:numPr>
          <w:ilvl w:val="0"/>
          <w:numId w:val="2"/>
        </w:numPr>
        <w:shd w:val="clear" w:color="auto" w:fill="auto"/>
        <w:tabs>
          <w:tab w:val="left" w:pos="356"/>
        </w:tabs>
        <w:spacing w:after="180" w:line="185" w:lineRule="auto"/>
        <w:ind w:firstLine="0"/>
      </w:pPr>
      <w:r>
        <w:rPr>
          <w:b/>
          <w:bCs/>
        </w:rPr>
        <w:t>září nutila, abychom se starých hranic vzdali. Z. g,</w:t>
      </w:r>
    </w:p>
    <w:p w:rsidR="00500724" w:rsidRDefault="00F30FB8">
      <w:pPr>
        <w:pStyle w:val="Zkladntext1"/>
        <w:shd w:val="clear" w:color="auto" w:fill="auto"/>
        <w:spacing w:after="80" w:line="173" w:lineRule="auto"/>
        <w:ind w:firstLine="0"/>
        <w:jc w:val="center"/>
        <w:rPr>
          <w:sz w:val="20"/>
          <w:szCs w:val="20"/>
        </w:rPr>
      </w:pPr>
      <w:r>
        <w:rPr>
          <w:b/>
          <w:bCs/>
          <w:sz w:val="20"/>
          <w:szCs w:val="20"/>
        </w:rPr>
        <w:t>Věcně o Ceších na Slovensku</w:t>
      </w:r>
    </w:p>
    <w:p w:rsidR="00500724" w:rsidRDefault="00F30FB8">
      <w:pPr>
        <w:pStyle w:val="Zkladntext1"/>
        <w:shd w:val="clear" w:color="auto" w:fill="auto"/>
        <w:spacing w:line="182" w:lineRule="auto"/>
        <w:ind w:firstLine="300"/>
      </w:pPr>
      <w:r>
        <w:rPr>
          <w:b/>
          <w:bCs/>
        </w:rPr>
        <w:t>Právě proto, že některé události na Slovensku vyvolaly v českých zemích hořkost, chceme se na podstatu věcí dí- vati věcně. Není mezi námi rozumného člověka, který by toto roz</w:t>
      </w:r>
      <w:r>
        <w:rPr>
          <w:b/>
          <w:bCs/>
        </w:rPr>
        <w:t>ladění nechtěl nahraditi harmoničtějším poměrem. Měli jsme teď příležitost — bohužel, velmi smutnou — ověřiti si znovu svůj poměr k Slovensku; střelbu do sloven</w:t>
      </w:r>
      <w:r>
        <w:rPr>
          <w:b/>
          <w:bCs/>
        </w:rPr>
        <w:softHyphen/>
        <w:t xml:space="preserve">ského lidu v Šuranech pocítil český národ stejně jako kdysi dávno výstřely v Černové. Troufáme </w:t>
      </w:r>
      <w:r>
        <w:rPr>
          <w:b/>
          <w:bCs/>
        </w:rPr>
        <w:t>si tvrdit, že tak bude tomu i v budoucnosti. Klidnější ovzduší, jež se už hlásí, opraví ještě mnoho ukvapených slov, tlumíc také čerstvé pocity křivdy.</w:t>
      </w:r>
    </w:p>
    <w:p w:rsidR="00500724" w:rsidRDefault="00F30FB8">
      <w:pPr>
        <w:pStyle w:val="Zkladntext1"/>
        <w:shd w:val="clear" w:color="auto" w:fill="auto"/>
        <w:spacing w:after="80" w:line="182" w:lineRule="auto"/>
        <w:ind w:firstLine="300"/>
      </w:pPr>
      <w:r>
        <w:rPr>
          <w:b/>
          <w:bCs/>
        </w:rPr>
        <w:t>Zdá se, že veřejnost nemá o otázce Čechů na Slovensku dost spolehlivých informací. Domnívá-li se mnoho S</w:t>
      </w:r>
      <w:r>
        <w:rPr>
          <w:b/>
          <w:bCs/>
        </w:rPr>
        <w:t>lováků, že na Slovensku pracují a žijí statisíce Čechů, ujídajíce chléb domácímu obyvatelstvu, představují si mnozí Češi věci tak, jako by Slovensko byli musili teď opustit všichni češi, kteří tam po roce 1918 přišli. Skutečnost je v obou případech jiná. J</w:t>
      </w:r>
      <w:r>
        <w:rPr>
          <w:b/>
          <w:bCs/>
        </w:rPr>
        <w:t>e už na čase spolehlivě zjistit, že na Slo- vensltu žilo v roce 1930 celkem 121.000 osob české národ</w:t>
      </w:r>
      <w:r>
        <w:rPr>
          <w:b/>
          <w:bCs/>
        </w:rPr>
        <w:softHyphen/>
        <w:t>nosti. Zdánlivě je to počet značný, ale jest nám uvážiti, že výdělečně pracovalo na Slovensku — a ovšem na ce</w:t>
      </w:r>
      <w:r>
        <w:rPr>
          <w:b/>
          <w:bCs/>
        </w:rPr>
        <w:softHyphen/>
        <w:t>lém dřívějším Slovensku — 49.000 Čechů. Odeět</w:t>
      </w:r>
      <w:r>
        <w:rPr>
          <w:b/>
          <w:bCs/>
        </w:rPr>
        <w:t>eme-li z celkového počtu ještě 21.000 českých vojáků, z nichž byla výdělečně činná jenom malá část, shledáme, že na Sloven</w:t>
      </w:r>
      <w:r>
        <w:rPr>
          <w:b/>
          <w:bCs/>
        </w:rPr>
        <w:softHyphen/>
        <w:t>sku žilo sice do nedávná stotisíc Čechů, ale existenčně byla k této zemi poutána pouze polovice. Největší počet Čechů pracoval samozř</w:t>
      </w:r>
      <w:r>
        <w:rPr>
          <w:b/>
          <w:bCs/>
        </w:rPr>
        <w:t>ejmě ve veřejné správě a ve volných po</w:t>
      </w:r>
      <w:r>
        <w:rPr>
          <w:b/>
          <w:bCs/>
        </w:rPr>
        <w:softHyphen/>
        <w:t>voláních, dohromady 15.000. V průmyslu a živnostech bylo 14.000 Čechů, v dopravě 8000, v zemědělství, lesnictví a ry</w:t>
      </w:r>
      <w:r>
        <w:rPr>
          <w:b/>
          <w:bCs/>
        </w:rPr>
        <w:softHyphen/>
        <w:t xml:space="preserve">bářství 3000, v obchodě a peněžnictví přes 5000. V ostatních povoláních — kromě vojska — také 5000. </w:t>
      </w:r>
      <w:r>
        <w:rPr>
          <w:b/>
          <w:bCs/>
        </w:rPr>
        <w:t>Dovedeme si představit, že tato čísla veřejnost překvapují, poněvadž skutečnost byla podle okolností zveličena nebo zlehčena. Ani Slováci nezatajují, proč tito Češi na Slovensko přišil. Poválečný rozvoj Slovenska nebyl prostě bez české účasti myslitelný. L</w:t>
      </w:r>
      <w:r>
        <w:rPr>
          <w:b/>
          <w:bCs/>
        </w:rPr>
        <w:t>istujíce v staré, zaprášené maďarské statisti</w:t>
      </w:r>
      <w:r>
        <w:rPr>
          <w:b/>
          <w:bCs/>
        </w:rPr>
        <w:softHyphen/>
        <w:t>ce, zahlédli jsme průvod příznačných číslic o předválečném životě Slováků. V roce 1910 umělo číst a psát jenom 58 proč. Slováků, a slovenské inteligence napočítal maďarský režim ve všech oborech pouze 2900. Něk</w:t>
      </w:r>
      <w:r>
        <w:rPr>
          <w:b/>
          <w:bCs/>
        </w:rPr>
        <w:t>terá stará čísla musí Slo</w:t>
      </w:r>
      <w:r>
        <w:rPr>
          <w:b/>
          <w:bCs/>
        </w:rPr>
        <w:softHyphen/>
        <w:t>vákům připadat jako ošklivý sen: v dopravě pracovalo na celém území »homích Uher® jenom 94 Slováků, ve státní správě 192, ve vyučování 466, ve vědě 20 atd. A pomaďar- štění pokračovalo. Převrat vyvedl Slováky na světlo a za</w:t>
      </w:r>
      <w:r>
        <w:rPr>
          <w:b/>
          <w:bCs/>
        </w:rPr>
        <w:softHyphen/>
        <w:t>chráni</w:t>
      </w:r>
      <w:r>
        <w:rPr>
          <w:b/>
          <w:bCs/>
        </w:rPr>
        <w:t>l je před zánikem. Nebyl osvobozením jenom pro Čechy.</w:t>
      </w:r>
    </w:p>
    <w:p w:rsidR="00500724" w:rsidRDefault="00F30FB8">
      <w:pPr>
        <w:pStyle w:val="Zkladntext1"/>
        <w:shd w:val="clear" w:color="auto" w:fill="auto"/>
        <w:spacing w:line="182" w:lineRule="auto"/>
        <w:ind w:firstLine="300"/>
      </w:pPr>
      <w:r>
        <w:rPr>
          <w:b/>
          <w:bCs/>
        </w:rPr>
        <w:t>Jestliže 121.000 Čechů žilo na Slovenska v roce 1930, od té doby se jejich počet patrně poněkud zmenšil, neboť v po</w:t>
      </w:r>
      <w:r>
        <w:rPr>
          <w:b/>
          <w:bCs/>
        </w:rPr>
        <w:softHyphen/>
        <w:t>sledních letech byli někteří úředníci přeloženi do historic</w:t>
      </w:r>
      <w:r>
        <w:rPr>
          <w:b/>
          <w:bCs/>
        </w:rPr>
        <w:softHyphen/>
        <w:t>kých zemí, uvolňujíce míst</w:t>
      </w:r>
      <w:r>
        <w:rPr>
          <w:b/>
          <w:bCs/>
        </w:rPr>
        <w:t>a mladým Slovákům. Rozhodu</w:t>
      </w:r>
      <w:r>
        <w:rPr>
          <w:b/>
          <w:bCs/>
        </w:rPr>
        <w:softHyphen/>
        <w:t>jící je, že Čechy přivedla na Slovensko velmi prostá, ale také velmi neodbytná a výsostná — povinnost. Neslyšeli jsme nikdy, že všichni musí tam navždycky zůstat. Počí</w:t>
      </w:r>
      <w:r>
        <w:rPr>
          <w:b/>
          <w:bCs/>
        </w:rPr>
        <w:softHyphen/>
        <w:t>talo se s přirozeným vývojem, který Čechy postupně na</w:t>
      </w:r>
      <w:r>
        <w:rPr>
          <w:b/>
          <w:bCs/>
        </w:rPr>
        <w:softHyphen/>
        <w:t>hradí n</w:t>
      </w:r>
      <w:r>
        <w:rPr>
          <w:b/>
          <w:bCs/>
        </w:rPr>
        <w:t>ovou slovenskou inteligencí. Odhadnouti stupeň to</w:t>
      </w:r>
      <w:r>
        <w:rPr>
          <w:b/>
          <w:bCs/>
        </w:rPr>
        <w:softHyphen/>
        <w:t>hoto vývoje a vymeziti pracovní způsoby Čechli na Sloven</w:t>
      </w:r>
      <w:r>
        <w:rPr>
          <w:b/>
          <w:bCs/>
        </w:rPr>
        <w:softHyphen/>
        <w:t>sku, v tom spočívalo právě státnické umění v poměru ke Slovensku. Z nedostatků tohoto uměni vyplyne také valná část sporů s mladým slovenským naciona</w:t>
      </w:r>
      <w:r>
        <w:rPr>
          <w:b/>
          <w:bCs/>
        </w:rPr>
        <w:t>lismem. Nemělo by smyslu mluviti teď o vděčnosti a křivdě, o lásce a zkla</w:t>
      </w:r>
      <w:r>
        <w:rPr>
          <w:b/>
          <w:bCs/>
        </w:rPr>
        <w:softHyphen/>
        <w:t>mání. Tyto ideální pojmy jest nám svěřiti klidnějším ča</w:t>
      </w:r>
      <w:r>
        <w:rPr>
          <w:b/>
          <w:bCs/>
        </w:rPr>
        <w:softHyphen/>
        <w:t>sům; hodláme-li posta viti dům na dobových základech, ne</w:t>
      </w:r>
      <w:r>
        <w:rPr>
          <w:b/>
          <w:bCs/>
        </w:rPr>
        <w:softHyphen/>
        <w:t>budeme příliš mluviti o vůni stavebních hmot.</w:t>
      </w:r>
    </w:p>
    <w:p w:rsidR="00500724" w:rsidRDefault="00F30FB8">
      <w:pPr>
        <w:pStyle w:val="Zkladntext1"/>
        <w:shd w:val="clear" w:color="auto" w:fill="auto"/>
        <w:spacing w:line="182" w:lineRule="auto"/>
        <w:ind w:firstLine="300"/>
      </w:pPr>
      <w:r>
        <w:rPr>
          <w:b/>
          <w:bCs/>
        </w:rPr>
        <w:t>Něco jiného je třeba dů</w:t>
      </w:r>
      <w:r>
        <w:rPr>
          <w:b/>
          <w:bCs/>
        </w:rPr>
        <w:t>razně říct Především to, že velká část Čechů zůstane na Slovensku podle přání slovenské vlády i nadále a mnozí patrně navždy. Není důvodem před- pokládati, že by autonomní Slovensko chtělo Čechy šma- hem vypuditi. Podle dohody s vládou slovenskou odejde ze</w:t>
      </w:r>
      <w:r>
        <w:rPr>
          <w:b/>
          <w:bCs/>
        </w:rPr>
        <w:t xml:space="preserve"> Slovenska 9000 českých úředníků a zaměstnanců z veřej</w:t>
      </w:r>
      <w:r>
        <w:rPr>
          <w:b/>
          <w:bCs/>
        </w:rPr>
        <w:softHyphen/>
        <w:t>ných služeb. Je to sice velmi podstatná část z dosavadní</w:t>
      </w:r>
      <w:r>
        <w:rPr>
          <w:b/>
          <w:bCs/>
        </w:rPr>
        <w:softHyphen/>
        <w:t xml:space="preserve">ho počtu, ale nejméně 30.000 výdělečně činných Čechů na Slovensku zůstane. Někteří slovenští politikové našli už na adresu těchto Čechů i slova </w:t>
      </w:r>
      <w:r>
        <w:rPr>
          <w:b/>
          <w:bCs/>
        </w:rPr>
        <w:t>uznání.</w:t>
      </w:r>
    </w:p>
    <w:p w:rsidR="00500724" w:rsidRDefault="00F30FB8">
      <w:pPr>
        <w:pStyle w:val="Zkladntext1"/>
        <w:shd w:val="clear" w:color="auto" w:fill="auto"/>
        <w:spacing w:line="182" w:lineRule="auto"/>
        <w:ind w:firstLine="300"/>
      </w:pPr>
      <w:r>
        <w:rPr>
          <w:b/>
          <w:bCs/>
        </w:rPr>
        <w:t>Velká část Slováků se domnívala, že Čechů je na Slo</w:t>
      </w:r>
      <w:r>
        <w:rPr>
          <w:b/>
          <w:bCs/>
        </w:rPr>
        <w:softHyphen/>
        <w:t>vensku mnohem více, a uslyší-li teď, že v příštích týdnech odejde »jenom« 9000 českých zaměstnanců z veřejných slu</w:t>
      </w:r>
      <w:r>
        <w:rPr>
          <w:b/>
          <w:bCs/>
        </w:rPr>
        <w:softHyphen/>
        <w:t>žeb, bude to snad považovati za příliš málo. Ve skutečnosti opouští však Slovensk</w:t>
      </w:r>
      <w:r>
        <w:rPr>
          <w:b/>
          <w:bCs/>
        </w:rPr>
        <w:t>o větší počet Čechů, protože bylo i Slovensko větší a celistvější, než je dnes. Kdo by nepočítal s náhlým odchodem Čechů i Slováků ze zabraných krajů slovenské země? Myslel si někdo, že Maďarsko ponechá české nebo slovenské úředníky, četníky a učitele na d</w:t>
      </w:r>
      <w:r>
        <w:rPr>
          <w:b/>
          <w:bCs/>
        </w:rPr>
        <w:t>osa</w:t>
      </w:r>
      <w:r>
        <w:rPr>
          <w:b/>
          <w:bCs/>
        </w:rPr>
        <w:softHyphen/>
        <w:t>vadních místech? Tím se tedy počet Čechů, opouštějících Slovensko, o něco zvětší, třebas ne podstatně, neboť většina těchto uprchlíků ze zabraných krajů Slovenska je už za</w:t>
      </w:r>
      <w:r>
        <w:rPr>
          <w:b/>
          <w:bCs/>
        </w:rPr>
        <w:softHyphen/>
        <w:t>hrnuta do seznamu oněch 9000, které slovenská vláda dává českým zemím k disposic</w:t>
      </w:r>
      <w:r>
        <w:rPr>
          <w:b/>
          <w:bCs/>
        </w:rPr>
        <w:t>i. Není pravděpodobno, že by do</w:t>
      </w:r>
      <w:r>
        <w:rPr>
          <w:b/>
          <w:bCs/>
        </w:rPr>
        <w:softHyphen/>
        <w:t>šlo k dalšímu odchodu Čechů ze Slovenska. Nenasvědčuje tomu ani dosavadní řešeni, ani nejužší zájem obou národů.</w:t>
      </w:r>
    </w:p>
    <w:p w:rsidR="00500724" w:rsidRDefault="00F30FB8">
      <w:pPr>
        <w:pStyle w:val="Zkladntext1"/>
        <w:numPr>
          <w:ilvl w:val="0"/>
          <w:numId w:val="3"/>
        </w:numPr>
        <w:shd w:val="clear" w:color="auto" w:fill="auto"/>
        <w:tabs>
          <w:tab w:val="left" w:pos="270"/>
        </w:tabs>
        <w:spacing w:line="182" w:lineRule="auto"/>
        <w:ind w:firstLine="0"/>
      </w:pPr>
      <w:r>
        <w:rPr>
          <w:b/>
          <w:bCs/>
        </w:rPr>
        <w:t>celé této věci uplatňuje se ostatně, třebas bezděčně, prvek reciprocity: žilo-li na Slovensku 121.000 Čechů, us</w:t>
      </w:r>
      <w:r>
        <w:rPr>
          <w:b/>
          <w:bCs/>
        </w:rPr>
        <w:t>a</w:t>
      </w:r>
      <w:r>
        <w:rPr>
          <w:b/>
          <w:bCs/>
        </w:rPr>
        <w:softHyphen/>
        <w:t>dilo se do roku 1930 v českých zemích 44.000 Slováků.</w:t>
      </w:r>
    </w:p>
    <w:p w:rsidR="00500724" w:rsidRDefault="00F30FB8">
      <w:pPr>
        <w:pStyle w:val="Zkladntext1"/>
        <w:numPr>
          <w:ilvl w:val="0"/>
          <w:numId w:val="3"/>
        </w:numPr>
        <w:shd w:val="clear" w:color="auto" w:fill="auto"/>
        <w:tabs>
          <w:tab w:val="left" w:pos="270"/>
        </w:tabs>
        <w:spacing w:line="182" w:lineRule="auto"/>
        <w:ind w:firstLine="0"/>
      </w:pPr>
      <w:r>
        <w:rPr>
          <w:b/>
          <w:bCs/>
        </w:rPr>
        <w:t>posledních letech změnil se číselný poměr spíše ve pro</w:t>
      </w:r>
      <w:r>
        <w:rPr>
          <w:b/>
          <w:bCs/>
        </w:rPr>
        <w:softHyphen/>
      </w:r>
    </w:p>
    <w:p w:rsidR="00500724" w:rsidRDefault="00F30FB8">
      <w:pPr>
        <w:pStyle w:val="Zkladntext1"/>
        <w:shd w:val="clear" w:color="auto" w:fill="auto"/>
        <w:tabs>
          <w:tab w:val="left" w:pos="3696"/>
        </w:tabs>
        <w:spacing w:after="160" w:line="182" w:lineRule="auto"/>
        <w:ind w:firstLine="0"/>
        <w:rPr>
          <w:sz w:val="20"/>
          <w:szCs w:val="20"/>
        </w:rPr>
      </w:pPr>
      <w:r>
        <w:rPr>
          <w:b/>
          <w:bCs/>
        </w:rPr>
        <w:t>spěch Slováků. A skutečný poměr obou národů? Ten ne</w:t>
      </w:r>
      <w:r>
        <w:rPr>
          <w:b/>
          <w:bCs/>
        </w:rPr>
        <w:softHyphen/>
        <w:t>závisí, bohudík jenom na statistice. Ať už měli Slováci ja</w:t>
      </w:r>
      <w:r>
        <w:rPr>
          <w:b/>
          <w:bCs/>
        </w:rPr>
        <w:softHyphen/>
        <w:t xml:space="preserve">kékoli námitky </w:t>
      </w:r>
      <w:r>
        <w:rPr>
          <w:b/>
          <w:bCs/>
        </w:rPr>
        <w:lastRenderedPageBreak/>
        <w:t xml:space="preserve">proti Čechům, </w:t>
      </w:r>
      <w:r>
        <w:rPr>
          <w:b/>
          <w:bCs/>
        </w:rPr>
        <w:t>nemohou nepřiznat, že roz</w:t>
      </w:r>
      <w:r>
        <w:rPr>
          <w:b/>
          <w:bCs/>
        </w:rPr>
        <w:softHyphen/>
        <w:t>voj slovenského národního života podmiňovala a zajišťo</w:t>
      </w:r>
      <w:r>
        <w:rPr>
          <w:b/>
          <w:bCs/>
        </w:rPr>
        <w:softHyphen/>
        <w:t>vala existence nového společného státu, v němž nebyl odná- rodněn ani jediný Slovák a v němž se slovenský vzestup mohl vyvinout až k autonomní svébytnosti. Čechům jest zas vid</w:t>
      </w:r>
      <w:r>
        <w:rPr>
          <w:b/>
          <w:bCs/>
        </w:rPr>
        <w:t>ěli nezbytné následky tohoto rozvoje, který demo</w:t>
      </w:r>
      <w:r>
        <w:rPr>
          <w:b/>
          <w:bCs/>
        </w:rPr>
        <w:softHyphen/>
        <w:t>kratické Československo umožňovalo. Mají-li poslední pře</w:t>
      </w:r>
      <w:r>
        <w:rPr>
          <w:b/>
          <w:bCs/>
        </w:rPr>
        <w:softHyphen/>
        <w:t>vratné události pro Čechy i Slováky varovný odraz, spo</w:t>
      </w:r>
      <w:r>
        <w:rPr>
          <w:b/>
          <w:bCs/>
        </w:rPr>
        <w:softHyphen/>
        <w:t>čívá především v tomto prostém zjištění vzájemné závislo</w:t>
      </w:r>
      <w:r>
        <w:rPr>
          <w:b/>
          <w:bCs/>
        </w:rPr>
        <w:softHyphen/>
        <w:t>sti v společném státě.</w:t>
      </w:r>
      <w:r>
        <w:rPr>
          <w:b/>
          <w:bCs/>
        </w:rPr>
        <w:tab/>
      </w:r>
      <w:r>
        <w:rPr>
          <w:i/>
          <w:iCs/>
          <w:sz w:val="20"/>
          <w:szCs w:val="20"/>
        </w:rPr>
        <w:t>Kornel Synek</w:t>
      </w:r>
    </w:p>
    <w:p w:rsidR="00500724" w:rsidRDefault="00F30FB8">
      <w:pPr>
        <w:pStyle w:val="Zkladntext1"/>
        <w:shd w:val="clear" w:color="auto" w:fill="auto"/>
        <w:spacing w:after="80" w:line="173" w:lineRule="auto"/>
        <w:ind w:firstLine="0"/>
        <w:jc w:val="center"/>
        <w:rPr>
          <w:sz w:val="20"/>
          <w:szCs w:val="20"/>
        </w:rPr>
      </w:pPr>
      <w:r>
        <w:rPr>
          <w:b/>
          <w:bCs/>
          <w:sz w:val="20"/>
          <w:szCs w:val="20"/>
        </w:rPr>
        <w:t xml:space="preserve">K </w:t>
      </w:r>
      <w:r>
        <w:rPr>
          <w:b/>
          <w:bCs/>
          <w:sz w:val="20"/>
          <w:szCs w:val="20"/>
        </w:rPr>
        <w:t>čemu potřebujeme taliových svědectví?</w:t>
      </w:r>
    </w:p>
    <w:p w:rsidR="00500724" w:rsidRDefault="00F30FB8">
      <w:pPr>
        <w:pStyle w:val="Zkladntext1"/>
        <w:shd w:val="clear" w:color="auto" w:fill="auto"/>
        <w:spacing w:after="40" w:line="187" w:lineRule="auto"/>
        <w:ind w:firstLine="300"/>
      </w:pPr>
      <w:r>
        <w:rPr>
          <w:b/>
          <w:bCs/>
        </w:rPr>
        <w:t xml:space="preserve">Ocitovali jsme před čtrnácti dny z článku, který prošel italským tiskem a který je připisován Mussolinimu, onu část, kde autor mluví o tom, kterak Francie do poslední chvíle slibovala Československu pomoc, a připojili </w:t>
      </w:r>
      <w:r>
        <w:rPr>
          <w:b/>
          <w:bCs/>
        </w:rPr>
        <w:t xml:space="preserve">jsme k tomu poznámku, že je to svědectví zajisté významné. »Popolo ďitaiia« glosoval nikoliv vlídně naši poznámku, </w:t>
      </w:r>
      <w:r>
        <w:rPr>
          <w:b/>
          <w:bCs/>
          <w:i/>
          <w:iCs/>
        </w:rPr>
        <w:t>a</w:t>
      </w:r>
      <w:r>
        <w:rPr>
          <w:b/>
          <w:bCs/>
        </w:rPr>
        <w:t xml:space="preserve"> ^Polední Iist« dal nad citát z tohoto italského listu titul ^Přítomnost působí republice nepříjemnosti«.</w:t>
      </w:r>
    </w:p>
    <w:p w:rsidR="00500724" w:rsidRDefault="00F30FB8">
      <w:pPr>
        <w:pStyle w:val="Zkladntext1"/>
        <w:shd w:val="clear" w:color="auto" w:fill="auto"/>
        <w:spacing w:after="80" w:line="187" w:lineRule="auto"/>
        <w:ind w:firstLine="300"/>
      </w:pPr>
      <w:r>
        <w:rPr>
          <w:b/>
          <w:bCs/>
        </w:rPr>
        <w:t>Nuže, ani jsme nechtěli vykládat č</w:t>
      </w:r>
      <w:r>
        <w:rPr>
          <w:b/>
          <w:bCs/>
        </w:rPr>
        <w:t xml:space="preserve">lánek tak, jako by </w:t>
      </w:r>
      <w:r>
        <w:rPr>
          <w:b/>
          <w:bCs/>
          <w:lang w:val="en-US" w:eastAsia="en-US" w:bidi="en-US"/>
        </w:rPr>
        <w:t xml:space="preserve">Mussolini </w:t>
      </w:r>
      <w:r>
        <w:rPr>
          <w:b/>
          <w:bCs/>
        </w:rPr>
        <w:t>byl řekl jediné slovo na obhajobu dr. Beneše (což se zdá být kamenem úrazu), ani nevydávali jsme úryvek z článku za článek celý; citovali jsme toliko tu partii, která se nás nejvíce dotýká, a myslím, že jsme k tomu měli rozumný</w:t>
      </w:r>
      <w:r>
        <w:rPr>
          <w:b/>
          <w:bCs/>
        </w:rPr>
        <w:t xml:space="preserve"> důvod. Jest — nebo bude — u nás zahájeno vy</w:t>
      </w:r>
      <w:r>
        <w:rPr>
          <w:b/>
          <w:bCs/>
        </w:rPr>
        <w:softHyphen/>
        <w:t>šetřováni o příčinách naší státní katastrofy a o vině na ní. Není pochyby, že k tomu musí být pečlivě zjištěny všechny okolnosti, mimo jiné také ta okolnost, zda, jakým způso</w:t>
      </w:r>
      <w:r>
        <w:rPr>
          <w:b/>
          <w:bCs/>
        </w:rPr>
        <w:softHyphen/>
        <w:t>bem a jak dlouho nám Francie slibova</w:t>
      </w:r>
      <w:r>
        <w:rPr>
          <w:b/>
          <w:bCs/>
        </w:rPr>
        <w:t>la pomoc. Tím spíše ta okolnost musí býti zjištěna, jestliže francouzský tisk nyní sám činí tu a tam pokusy váhu svých bývalých zá</w:t>
      </w:r>
      <w:r>
        <w:rPr>
          <w:b/>
          <w:bCs/>
        </w:rPr>
        <w:softHyphen/>
        <w:t>vazků k nám oslabit. V tom ohledu přijímáme ©nu partii</w:t>
      </w:r>
    </w:p>
    <w:p w:rsidR="00500724" w:rsidRDefault="00F30FB8">
      <w:pPr>
        <w:pStyle w:val="Zkladntext1"/>
        <w:shd w:val="clear" w:color="auto" w:fill="auto"/>
        <w:spacing w:line="187" w:lineRule="auto"/>
        <w:ind w:firstLine="0"/>
      </w:pPr>
      <w:r>
        <w:rPr>
          <w:b/>
          <w:bCs/>
          <w:sz w:val="20"/>
          <w:szCs w:val="20"/>
        </w:rPr>
        <w:t xml:space="preserve">z </w:t>
      </w:r>
      <w:r>
        <w:rPr>
          <w:b/>
          <w:bCs/>
        </w:rPr>
        <w:t>článku Mussoliniho jako prosté tvrzení faktu i jinak zná</w:t>
      </w:r>
      <w:r>
        <w:rPr>
          <w:b/>
          <w:bCs/>
        </w:rPr>
        <w:softHyphen/>
        <w:t>mého, že Fr</w:t>
      </w:r>
      <w:r>
        <w:rPr>
          <w:b/>
          <w:bCs/>
        </w:rPr>
        <w:t>ancie totiž do poslední chvíle neustala ve svém slibování. Neděláme z toho nic více, zejména se to nesnaž žíme vylíčit tak, jako by šéf italského státu chtěl odlehčit dr. Benešovi. Zajisté to není jeho úmyslem, a jako jsme nikdy nic nefalšovali, nebudeme f</w:t>
      </w:r>
      <w:r>
        <w:rPr>
          <w:b/>
          <w:bCs/>
        </w:rPr>
        <w:t>alšovat ani teď. Ale vy</w:t>
      </w:r>
      <w:r>
        <w:rPr>
          <w:b/>
          <w:bCs/>
        </w:rPr>
        <w:softHyphen/>
        <w:t>šetřování viny bude se musit pohybovat ve dvou etapách:</w:t>
      </w:r>
    </w:p>
    <w:p w:rsidR="00500724" w:rsidRDefault="00F30FB8">
      <w:pPr>
        <w:pStyle w:val="Zkladntext1"/>
        <w:numPr>
          <w:ilvl w:val="0"/>
          <w:numId w:val="4"/>
        </w:numPr>
        <w:shd w:val="clear" w:color="auto" w:fill="auto"/>
        <w:tabs>
          <w:tab w:val="left" w:pos="274"/>
        </w:tabs>
        <w:spacing w:line="178" w:lineRule="auto"/>
        <w:ind w:firstLine="0"/>
      </w:pPr>
      <w:r>
        <w:rPr>
          <w:b/>
          <w:bCs/>
        </w:rPr>
        <w:t>zjistit existenci a povahu francouzských závazků a slibů;</w:t>
      </w:r>
    </w:p>
    <w:p w:rsidR="00500724" w:rsidRDefault="00F30FB8">
      <w:pPr>
        <w:pStyle w:val="Zkladntext1"/>
        <w:numPr>
          <w:ilvl w:val="0"/>
          <w:numId w:val="4"/>
        </w:numPr>
        <w:shd w:val="clear" w:color="auto" w:fill="auto"/>
        <w:tabs>
          <w:tab w:val="left" w:pos="279"/>
        </w:tabs>
        <w:spacing w:line="187" w:lineRule="auto"/>
        <w:ind w:firstLine="0"/>
      </w:pPr>
      <w:r>
        <w:rPr>
          <w:b/>
          <w:bCs/>
        </w:rPr>
        <w:t>až toto bude zjištěno, zkoumat dále, zda naše bývalá za</w:t>
      </w:r>
      <w:r>
        <w:rPr>
          <w:b/>
          <w:bCs/>
        </w:rPr>
        <w:softHyphen/>
        <w:t>hraniční politika se provinila buď tím, že francouzským závazk</w:t>
      </w:r>
      <w:r>
        <w:rPr>
          <w:b/>
          <w:bCs/>
        </w:rPr>
        <w:t xml:space="preserve">ům přikládala větší cenu, než jim příslušela, čili že se dala oklamat, nebo dokonce tím, jak nadhazuje aPopolo ďltaliac, že, ač o bezcennosti francouzských ujištění byla sama přesvědčena, přece udržovala národ v ilusi, čili </w:t>
      </w:r>
      <w:r>
        <w:rPr>
          <w:b/>
          <w:bCs/>
          <w:sz w:val="20"/>
          <w:szCs w:val="20"/>
        </w:rPr>
        <w:t xml:space="preserve">že </w:t>
      </w:r>
      <w:r>
        <w:rPr>
          <w:b/>
          <w:bCs/>
        </w:rPr>
        <w:t>vědomě sama klamala. V tom, j</w:t>
      </w:r>
      <w:r>
        <w:rPr>
          <w:b/>
          <w:bCs/>
        </w:rPr>
        <w:t>ak nedávno to formulovala »Fronta«, byl by celý rozdíl mezi »chybou« a »vinou«, rozdíl to zajisté podstatný. V žádném případě nemůže se vyšetřo</w:t>
      </w:r>
      <w:r>
        <w:rPr>
          <w:b/>
          <w:bCs/>
        </w:rPr>
        <w:softHyphen/>
        <w:t>vání vyhnout prozkoumáni francouzského podílu na naší katastrofě, už proto ne, že nemáme žádných důvodů smývat s</w:t>
      </w:r>
      <w:r>
        <w:rPr>
          <w:b/>
          <w:bCs/>
        </w:rPr>
        <w:t xml:space="preserve"> Francie její viny. Byli-Ii jsme zrazeni, přejeme si, aby to před celým světem bylo známo, nikoliv, aby vinníci ušli opovržení historie. Má to dokonce význam i pro náš poměr k Německu, zjistí-li se, jak dlouho a jak intensivně nás Francie ponoukala k polit</w:t>
      </w:r>
      <w:r>
        <w:rPr>
          <w:b/>
          <w:bCs/>
        </w:rPr>
        <w:t>ice, která jednoho dne musila přivodit konflikt mezi Německem a Československem, nebo která aspoň podstatně přispívala k tomu, že se oba státy sobě odcizovaly: vyplývalo by z toho, že bez francouzského vlivu náš vztah k Německu bude se moci sám sebou utvář</w:t>
      </w:r>
      <w:r>
        <w:rPr>
          <w:b/>
          <w:bCs/>
        </w:rPr>
        <w:t>et klidněji a sousedštěji.</w:t>
      </w:r>
    </w:p>
    <w:p w:rsidR="00500724" w:rsidRDefault="00F30FB8">
      <w:pPr>
        <w:pStyle w:val="Zkladntext1"/>
        <w:shd w:val="clear" w:color="auto" w:fill="auto"/>
        <w:tabs>
          <w:tab w:val="left" w:pos="4378"/>
        </w:tabs>
        <w:spacing w:after="100" w:line="190" w:lineRule="auto"/>
        <w:ind w:firstLine="300"/>
        <w:rPr>
          <w:sz w:val="20"/>
          <w:szCs w:val="20"/>
        </w:rPr>
      </w:pPr>
      <w:r>
        <w:rPr>
          <w:b/>
          <w:bCs/>
        </w:rPr>
        <w:t>Od chvíle, kdy bylo ohlášeno vyšetřování, úmyslně se varujeme vyslovovat vlastní úsudky o vině nebo nevině dr. Beneše; nepochybujeme, že vše řádným způsobem při</w:t>
      </w:r>
      <w:r>
        <w:rPr>
          <w:b/>
          <w:bCs/>
        </w:rPr>
        <w:softHyphen/>
        <w:t>jde najevo. Svůj vlastní úsudek jsme projevovali, dokud dr. Beneš by</w:t>
      </w:r>
      <w:r>
        <w:rPr>
          <w:b/>
          <w:bCs/>
        </w:rPr>
        <w:t>l vydán jen náhlému soudu večerníků. Nyní čekáme na studium a výrok vyšetřovací komise, a jestliže se o co staráme, tedy jen o to, aby byla řádně sebrána Všechna fakta a všechna svědectví o všech okolnostech, tedy také o té zajisté pro posouzení viny důlež</w:t>
      </w:r>
      <w:r>
        <w:rPr>
          <w:b/>
          <w:bCs/>
        </w:rPr>
        <w:t>ité okolnosti, jakým způsobem se francouzská velmoc Československu zavázala, a byl-li to takový způsob, aby jej mohla zahra</w:t>
      </w:r>
      <w:r>
        <w:rPr>
          <w:b/>
          <w:bCs/>
        </w:rPr>
        <w:softHyphen/>
        <w:t>niční politika menšího státu, potřebujícího opory, prostě ignorovat.</w:t>
      </w:r>
      <w:r>
        <w:rPr>
          <w:b/>
          <w:bCs/>
        </w:rPr>
        <w:tab/>
      </w:r>
      <w:r>
        <w:rPr>
          <w:i/>
          <w:iCs/>
          <w:sz w:val="20"/>
          <w:szCs w:val="20"/>
        </w:rPr>
        <w:t>—fP—</w:t>
      </w:r>
    </w:p>
    <w:p w:rsidR="00500724" w:rsidRDefault="00F30FB8">
      <w:pPr>
        <w:pStyle w:val="Zkladntext1"/>
        <w:shd w:val="clear" w:color="auto" w:fill="auto"/>
        <w:spacing w:line="266" w:lineRule="auto"/>
        <w:ind w:firstLine="0"/>
        <w:jc w:val="center"/>
        <w:rPr>
          <w:sz w:val="20"/>
          <w:szCs w:val="20"/>
        </w:rPr>
      </w:pPr>
      <w:r>
        <w:rPr>
          <w:b/>
          <w:bCs/>
          <w:sz w:val="20"/>
          <w:szCs w:val="20"/>
        </w:rPr>
        <w:t>Z dopisů nejnovějších emigrantů</w:t>
      </w:r>
    </w:p>
    <w:p w:rsidR="00500724" w:rsidRDefault="00F30FB8">
      <w:pPr>
        <w:pStyle w:val="Zkladntext1"/>
        <w:numPr>
          <w:ilvl w:val="0"/>
          <w:numId w:val="5"/>
        </w:numPr>
        <w:shd w:val="clear" w:color="auto" w:fill="auto"/>
        <w:tabs>
          <w:tab w:val="left" w:pos="2154"/>
        </w:tabs>
        <w:spacing w:line="266" w:lineRule="auto"/>
        <w:ind w:left="1880" w:firstLine="0"/>
        <w:jc w:val="left"/>
        <w:rPr>
          <w:sz w:val="20"/>
          <w:szCs w:val="20"/>
        </w:rPr>
      </w:pPr>
      <w:r>
        <w:rPr>
          <w:b/>
          <w:bCs/>
          <w:sz w:val="20"/>
          <w:szCs w:val="20"/>
        </w:rPr>
        <w:t>Z Austrálie</w:t>
      </w:r>
    </w:p>
    <w:p w:rsidR="00500724" w:rsidRDefault="00F30FB8">
      <w:pPr>
        <w:pStyle w:val="Zkladntext1"/>
        <w:shd w:val="clear" w:color="auto" w:fill="auto"/>
        <w:spacing w:line="190" w:lineRule="auto"/>
        <w:ind w:firstLine="300"/>
      </w:pPr>
      <w:r>
        <w:rPr>
          <w:b/>
          <w:bCs/>
        </w:rPr>
        <w:t>Energický, asi</w:t>
      </w:r>
      <w:r>
        <w:rPr>
          <w:b/>
          <w:bCs/>
        </w:rPr>
        <w:t xml:space="preserve"> čtyřicetiletý muž, který byl vedoucím ředitelem velké továrny, se rozhodl pokusit se o založení nové existence v Austrálii. Dopis, který poslal pisateli těchto řádků v minulých dnech, je tak poučný, že z něj neváháme citovat několik odstavců:</w:t>
      </w:r>
    </w:p>
    <w:p w:rsidR="00500724" w:rsidRDefault="00F30FB8">
      <w:pPr>
        <w:pStyle w:val="Zkladntext1"/>
        <w:shd w:val="clear" w:color="auto" w:fill="auto"/>
        <w:spacing w:line="190" w:lineRule="auto"/>
        <w:ind w:firstLine="300"/>
      </w:pPr>
      <w:r>
        <w:rPr>
          <w:b/>
          <w:bCs/>
        </w:rPr>
        <w:t>aTěžkosti ja</w:t>
      </w:r>
      <w:r>
        <w:rPr>
          <w:b/>
          <w:bCs/>
        </w:rPr>
        <w:t>zykové,« píše, &gt;v obchodním životě nelze podceňovat, i když podle evropských pojmů člověk mluvil zběžně anglicky. Akcent je zde velmi zlý, také proto, že je pomíšen se skotským. Tvrdí-li někdo, že se tu naučí tuto řeč za několik týdnů, pak je to buď genius</w:t>
      </w:r>
      <w:r>
        <w:rPr>
          <w:b/>
          <w:bCs/>
        </w:rPr>
        <w:t xml:space="preserve"> na řeči, anebo myslí řeč, která stačí k tomu, aby v nějakém hokynářství prodával zeleninu.</w:t>
      </w:r>
    </w:p>
    <w:p w:rsidR="00500724" w:rsidRDefault="00F30FB8">
      <w:pPr>
        <w:pStyle w:val="Zkladntext1"/>
        <w:shd w:val="clear" w:color="auto" w:fill="auto"/>
        <w:spacing w:line="190" w:lineRule="auto"/>
        <w:ind w:firstLine="300"/>
      </w:pPr>
      <w:r>
        <w:rPr>
          <w:b/>
          <w:bCs/>
        </w:rPr>
        <w:t xml:space="preserve">Teplota se zde mění až čtyřikráte denně. Přes den je někdy tak horko jako ve vysokém létě u nás, pak náhle přijde studená brisa, kdy je potřebí teplý oblek. Někdy </w:t>
      </w:r>
      <w:r>
        <w:rPr>
          <w:b/>
          <w:bCs/>
          <w:sz w:val="20"/>
          <w:szCs w:val="20"/>
        </w:rPr>
        <w:t>j</w:t>
      </w:r>
      <w:r>
        <w:rPr>
          <w:b/>
          <w:bCs/>
          <w:sz w:val="20"/>
          <w:szCs w:val="20"/>
        </w:rPr>
        <w:t xml:space="preserve">e </w:t>
      </w:r>
      <w:r>
        <w:rPr>
          <w:b/>
          <w:bCs/>
        </w:rPr>
        <w:t>vzduch nesnesitelně vlhký a při tom teplý, takže Evropa</w:t>
      </w:r>
      <w:r>
        <w:rPr>
          <w:b/>
          <w:bCs/>
        </w:rPr>
        <w:softHyphen/>
        <w:t>nům vyvstává po těle olejovitý pot a nelze pracovat, špatně se dýchá a člověk je smrtelně unaven. Obrat přijde opět za několik hodin, načež je vše zapomenuto, ale přece jen toto střídání vede k poru</w:t>
      </w:r>
      <w:r>
        <w:rPr>
          <w:b/>
          <w:bCs/>
        </w:rPr>
        <w:t>chám v tělesných funkcích, jimiž všichni nově příchozí trpí.</w:t>
      </w:r>
    </w:p>
    <w:p w:rsidR="00500724" w:rsidRDefault="00F30FB8">
      <w:pPr>
        <w:pStyle w:val="Zkladntext1"/>
        <w:shd w:val="clear" w:color="auto" w:fill="auto"/>
        <w:spacing w:line="190" w:lineRule="auto"/>
        <w:ind w:firstLine="300"/>
      </w:pPr>
      <w:r>
        <w:rPr>
          <w:b/>
          <w:bCs/>
        </w:rPr>
        <w:t xml:space="preserve">Co o Sydney málokdo ví: není tu vůbec možnost zažít něco, co souvisí s uměním. Není divadla, není koncertů, není architektury. Kina hrají jen americké a anglické filmy, ani francouzské filmy sem </w:t>
      </w:r>
      <w:r>
        <w:rPr>
          <w:b/>
          <w:bCs/>
        </w:rPr>
        <w:t>nepřijdou. Hlavní zábavou je sport, především dostihy, kde se prosází miliony liber. Kaváren v našem smyslu zde není. Stinnou stránku tvoří zvířena všeho druhu. O trápení se spoustou much, v létě pak i ko</w:t>
      </w:r>
      <w:r>
        <w:rPr>
          <w:b/>
          <w:bCs/>
        </w:rPr>
        <w:softHyphen/>
        <w:t>márů ani nemluvím. Na prvního motýle zde jsme zíral</w:t>
      </w:r>
      <w:r>
        <w:rPr>
          <w:b/>
          <w:bCs/>
        </w:rPr>
        <w:t>i trochu vyjeveně. Měl přes 15 cm rozpětí křídel. Ale není zde procházek v lesích a polích; noviny varují před hady a jinými zvířaty. Do lesa nikoho ani nenapadne jít, vý</w:t>
      </w:r>
      <w:r>
        <w:rPr>
          <w:b/>
          <w:bCs/>
        </w:rPr>
        <w:softHyphen/>
        <w:t xml:space="preserve">strahy, aby v parku nikdo nechodil přímo pod stromy, anebo si poblíže stromů nelehal </w:t>
      </w:r>
      <w:r>
        <w:rPr>
          <w:b/>
          <w:bCs/>
        </w:rPr>
        <w:t>na zem, jsou téměř denně uveřejňovány v novinách. Koupá se jen v koupalištích, kdo</w:t>
      </w:r>
      <w:r>
        <w:br w:type="page"/>
      </w:r>
    </w:p>
    <w:p w:rsidR="00500724" w:rsidRDefault="00F30FB8">
      <w:pPr>
        <w:pStyle w:val="Zkladntext1"/>
        <w:shd w:val="clear" w:color="auto" w:fill="auto"/>
        <w:spacing w:after="40" w:line="187" w:lineRule="auto"/>
        <w:ind w:firstLine="0"/>
      </w:pPr>
      <w:r>
        <w:rPr>
          <w:noProof/>
        </w:rPr>
        <mc:AlternateContent>
          <mc:Choice Requires="wps">
            <w:drawing>
              <wp:anchor distT="0" distB="88900" distL="114300" distR="751205" simplePos="0" relativeHeight="125829378" behindDoc="0" locked="0" layoutInCell="1" allowOverlap="1">
                <wp:simplePos x="0" y="0"/>
                <wp:positionH relativeFrom="page">
                  <wp:posOffset>2995930</wp:posOffset>
                </wp:positionH>
                <wp:positionV relativeFrom="margin">
                  <wp:posOffset>-40005</wp:posOffset>
                </wp:positionV>
                <wp:extent cx="381000" cy="384175"/>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381000" cy="384175"/>
                        </a:xfrm>
                        <a:prstGeom prst="rect">
                          <a:avLst/>
                        </a:prstGeom>
                        <a:noFill/>
                      </wps:spPr>
                      <wps:txbx>
                        <w:txbxContent>
                          <w:p w:rsidR="00500724" w:rsidRDefault="00F30FB8">
                            <w:pPr>
                              <w:pStyle w:val="Nadpis90"/>
                              <w:keepNext/>
                              <w:keepLines/>
                              <w:shd w:val="clear" w:color="auto" w:fill="auto"/>
                              <w:spacing w:after="0"/>
                            </w:pPr>
                            <w:bookmarkStart w:id="1" w:name="bookmark0"/>
                            <w:r>
                              <w:rPr>
                                <w:rFonts w:ascii="Times New Roman" w:eastAsia="Times New Roman" w:hAnsi="Times New Roman" w:cs="Times New Roman"/>
                              </w:rPr>
                              <w:t>Přít</w:t>
                            </w:r>
                            <w:bookmarkEnd w:id="1"/>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35.90000000000001pt;margin-top:-3.1499999999999999pt;width:30.pt;height:30.25pt;z-index:-125829375;mso-wrap-distance-left:9.pt;mso-wrap-distance-right:59.149999999999999pt;mso-wrap-distance-bottom:7.pt;mso-position-horizontal-relative:page;mso-position-vertical-relative:margin"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0" w:name="bookmark0"/>
                      <w:r>
                        <w:rPr>
                          <w:rFonts w:ascii="Times New Roman" w:eastAsia="Times New Roman" w:hAnsi="Times New Roman" w:cs="Times New Roman"/>
                          <w:color w:val="000000"/>
                          <w:spacing w:val="0"/>
                          <w:w w:val="100"/>
                          <w:position w:val="0"/>
                          <w:shd w:val="clear" w:color="auto" w:fill="auto"/>
                          <w:lang w:val="cs-CZ" w:eastAsia="cs-CZ" w:bidi="cs-CZ"/>
                        </w:rPr>
                        <w:t>Přít</w:t>
                      </w:r>
                      <w:bookmarkEnd w:id="0"/>
                    </w:p>
                  </w:txbxContent>
                </v:textbox>
                <w10:wrap type="topAndBottom" anchorx="page" anchory="margin"/>
              </v:shape>
            </w:pict>
          </mc:Fallback>
        </mc:AlternateContent>
      </w:r>
      <w:r>
        <w:rPr>
          <w:noProof/>
        </w:rPr>
        <mc:AlternateContent>
          <mc:Choice Requires="wps">
            <w:drawing>
              <wp:anchor distT="85090" distB="116205" distL="507365" distR="114300" simplePos="0" relativeHeight="125829380" behindDoc="0" locked="0" layoutInCell="1" allowOverlap="1">
                <wp:simplePos x="0" y="0"/>
                <wp:positionH relativeFrom="page">
                  <wp:posOffset>3388995</wp:posOffset>
                </wp:positionH>
                <wp:positionV relativeFrom="margin">
                  <wp:posOffset>45720</wp:posOffset>
                </wp:positionV>
                <wp:extent cx="624840" cy="271145"/>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624840"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rFonts w:ascii="Arial" w:eastAsia="Arial" w:hAnsi="Arial" w:cs="Arial"/>
                                <w:smallCaps/>
                                <w:color w:val="FFFFFF"/>
                                <w:sz w:val="32"/>
                                <w:szCs w:val="32"/>
                              </w:rPr>
                              <w:t>•jim</w:t>
                            </w:r>
                            <w:r>
                              <w:rPr>
                                <w:rFonts w:ascii="Arial" w:eastAsia="Arial" w:hAnsi="Arial" w:cs="Arial"/>
                                <w:color w:val="FFFFFF"/>
                                <w:sz w:val="34"/>
                                <w:szCs w:val="34"/>
                              </w:rPr>
                              <w:t xml:space="preserve"> </w:t>
                            </w:r>
                            <w:r>
                              <w:rPr>
                                <w:rFonts w:ascii="Arial" w:eastAsia="Arial" w:hAnsi="Arial" w:cs="Arial"/>
                                <w:color w:val="FFFFFF"/>
                                <w:sz w:val="34"/>
                                <w:szCs w:val="34"/>
                                <w:lang w:val="en-US" w:eastAsia="en-US" w:bidi="en-US"/>
                              </w:rPr>
                              <w:t>rc</w:t>
                            </w:r>
                          </w:p>
                        </w:txbxContent>
                      </wps:txbx>
                      <wps:bodyPr lIns="0" tIns="0" rIns="0" bIns="0">
                        <a:spAutoFit/>
                      </wps:bodyPr>
                    </wps:wsp>
                  </a:graphicData>
                </a:graphic>
              </wp:anchor>
            </w:drawing>
          </mc:Choice>
          <mc:Fallback>
            <w:pict>
              <v:shape id="_x0000_s1029" type="#_x0000_t202" style="position:absolute;margin-left:266.85000000000002pt;margin-top:3.6000000000000001pt;width:49.200000000000003pt;height:21.350000000000001pt;z-index:-125829373;mso-wrap-distance-left:39.950000000000003pt;mso-wrap-distance-top:6.7000000000000002pt;mso-wrap-distance-right:9.pt;mso-wrap-distance-bottom:9.1500000000000004pt;mso-position-horizontal-relative:page;mso-position-vertical-relative:margin"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rFonts w:ascii="Arial" w:eastAsia="Arial" w:hAnsi="Arial" w:cs="Arial"/>
                          <w:smallCaps/>
                          <w:color w:val="FFFFFF"/>
                          <w:spacing w:val="0"/>
                          <w:w w:val="100"/>
                          <w:position w:val="0"/>
                          <w:sz w:val="32"/>
                          <w:szCs w:val="32"/>
                          <w:shd w:val="clear" w:color="auto" w:fill="auto"/>
                          <w:lang w:val="cs-CZ" w:eastAsia="cs-CZ" w:bidi="cs-CZ"/>
                        </w:rPr>
                        <w:t>•jim</w:t>
                      </w:r>
                      <w:r>
                        <w:rPr>
                          <w:rFonts w:ascii="Arial" w:eastAsia="Arial" w:hAnsi="Arial" w:cs="Arial"/>
                          <w:color w:val="FFFFFF"/>
                          <w:spacing w:val="0"/>
                          <w:w w:val="100"/>
                          <w:position w:val="0"/>
                          <w:sz w:val="34"/>
                          <w:szCs w:val="34"/>
                          <w:shd w:val="clear" w:color="auto" w:fill="auto"/>
                          <w:lang w:val="cs-CZ" w:eastAsia="cs-CZ" w:bidi="cs-CZ"/>
                        </w:rPr>
                        <w:t xml:space="preserve"> </w:t>
                      </w:r>
                      <w:r>
                        <w:rPr>
                          <w:rFonts w:ascii="Arial" w:eastAsia="Arial" w:hAnsi="Arial" w:cs="Arial"/>
                          <w:color w:val="FFFFFF"/>
                          <w:spacing w:val="0"/>
                          <w:w w:val="100"/>
                          <w:position w:val="0"/>
                          <w:sz w:val="34"/>
                          <w:szCs w:val="34"/>
                          <w:shd w:val="clear" w:color="auto" w:fill="auto"/>
                          <w:lang w:val="en-US" w:eastAsia="en-US" w:bidi="en-US"/>
                        </w:rPr>
                        <w:t>rc</w:t>
                      </w:r>
                    </w:p>
                  </w:txbxContent>
                </v:textbox>
                <w10:wrap type="topAndBottom" anchorx="page" anchory="margin"/>
              </v:shape>
            </w:pict>
          </mc:Fallback>
        </mc:AlternateContent>
      </w:r>
      <w:r>
        <w:rPr>
          <w:b/>
          <w:bCs/>
        </w:rPr>
        <w:t>jsou ocelové sítě proti žralokům, aby koupaliště bylo »sharkproof«. Odvážlivci se koupají i v četných zátočinách, ale jen v tlupách a docela na kraji.</w:t>
      </w:r>
    </w:p>
    <w:p w:rsidR="00500724" w:rsidRDefault="00F30FB8">
      <w:pPr>
        <w:pStyle w:val="Zkladntext1"/>
        <w:shd w:val="clear" w:color="auto" w:fill="auto"/>
        <w:spacing w:line="187" w:lineRule="auto"/>
        <w:ind w:firstLine="300"/>
      </w:pPr>
      <w:r>
        <w:rPr>
          <w:b/>
          <w:bCs/>
        </w:rPr>
        <w:t xml:space="preserve">Austrálie je však skutečně </w:t>
      </w:r>
      <w:r>
        <w:rPr>
          <w:b/>
          <w:bCs/>
          <w:lang w:val="en-US" w:eastAsia="en-US" w:bidi="en-US"/>
        </w:rPr>
        <w:t xml:space="preserve">^workers’ paradises, </w:t>
      </w:r>
      <w:r>
        <w:rPr>
          <w:b/>
          <w:bCs/>
        </w:rPr>
        <w:t>ráj děl</w:t>
      </w:r>
      <w:r>
        <w:rPr>
          <w:b/>
          <w:bCs/>
        </w:rPr>
        <w:softHyphen/>
        <w:t>níků. Každý dobrý dělník má skvělé auto a domek, specia</w:t>
      </w:r>
      <w:r>
        <w:rPr>
          <w:b/>
          <w:bCs/>
        </w:rPr>
        <w:softHyphen/>
        <w:t>listi žijí velmi slušně. Pro odborně kvalifikované dělníky je zde ještě místo, těžké to mají duševní pracovníci i se znamenitou znalostí angličt</w:t>
      </w:r>
      <w:r>
        <w:rPr>
          <w:b/>
          <w:bCs/>
        </w:rPr>
        <w:t>iny, neovládají-li speciálně ně</w:t>
      </w:r>
      <w:r>
        <w:rPr>
          <w:b/>
          <w:bCs/>
        </w:rPr>
        <w:softHyphen/>
        <w:t>jaký obor. Zástupci evropských firem musí počítat s tím, že se tu volně setkává konkurence celého světa, při čemž anglické se dává přednost a japonská není cenově k po</w:t>
      </w:r>
      <w:r>
        <w:rPr>
          <w:b/>
          <w:bCs/>
        </w:rPr>
        <w:softHyphen/>
        <w:t>ražení, jak musím z nejvlastnější zkušenosti říci. Bez d</w:t>
      </w:r>
      <w:r>
        <w:rPr>
          <w:b/>
          <w:bCs/>
        </w:rPr>
        <w:t>o</w:t>
      </w:r>
      <w:r>
        <w:rPr>
          <w:b/>
          <w:bCs/>
        </w:rPr>
        <w:softHyphen/>
        <w:t>statečného kapitálu je tu začátek nekonečně těžký; potkali jsme zde již mnoho Evropanů s dlouhými obličeji a to si přinesli sem pro začátek dost peněz. Otevřít si dílnu zna</w:t>
      </w:r>
      <w:r>
        <w:rPr>
          <w:b/>
          <w:bCs/>
        </w:rPr>
        <w:softHyphen/>
        <w:t xml:space="preserve">mená počítat s vysokými mzdami a s přísnou kontrolou odborových organisaeí co do </w:t>
      </w:r>
      <w:r>
        <w:rPr>
          <w:b/>
          <w:bCs/>
        </w:rPr>
        <w:t xml:space="preserve">stavu dílny a zacházení s </w:t>
      </w:r>
      <w:r>
        <w:rPr>
          <w:b/>
          <w:bCs/>
          <w:lang w:val="en-US" w:eastAsia="en-US" w:bidi="en-US"/>
        </w:rPr>
        <w:t>per</w:t>
      </w:r>
      <w:r>
        <w:rPr>
          <w:b/>
          <w:bCs/>
          <w:lang w:val="en-US" w:eastAsia="en-US" w:bidi="en-US"/>
        </w:rPr>
        <w:softHyphen/>
        <w:t xml:space="preserve">son </w:t>
      </w:r>
      <w:r>
        <w:rPr>
          <w:b/>
          <w:bCs/>
        </w:rPr>
        <w:t>lem.</w:t>
      </w:r>
    </w:p>
    <w:p w:rsidR="00500724" w:rsidRDefault="00F30FB8">
      <w:pPr>
        <w:pStyle w:val="Zkladntext1"/>
        <w:shd w:val="clear" w:color="auto" w:fill="auto"/>
        <w:tabs>
          <w:tab w:val="left" w:pos="4723"/>
        </w:tabs>
        <w:spacing w:after="260" w:line="187" w:lineRule="auto"/>
        <w:ind w:firstLine="300"/>
      </w:pPr>
      <w:r>
        <w:rPr>
          <w:b/>
          <w:bCs/>
        </w:rPr>
        <w:t xml:space="preserve">Ještě bych chtěl říci, že my muži musíme dělat večer a přes </w:t>
      </w:r>
      <w:r>
        <w:rPr>
          <w:b/>
          <w:bCs/>
          <w:lang w:val="en-US" w:eastAsia="en-US" w:bidi="en-US"/>
        </w:rPr>
        <w:t xml:space="preserve">weekend </w:t>
      </w:r>
      <w:r>
        <w:rPr>
          <w:b/>
          <w:bCs/>
        </w:rPr>
        <w:t>i nejhrubší domácí práce, protože míti slušné děvče je dosažitelné jen pro horních deset tisíc. Zá</w:t>
      </w:r>
      <w:r>
        <w:rPr>
          <w:b/>
          <w:bCs/>
        </w:rPr>
        <w:softHyphen/>
        <w:t>možní lidé si mohou nejvýše na několik hodin najmo</w:t>
      </w:r>
      <w:r>
        <w:rPr>
          <w:b/>
          <w:bCs/>
        </w:rPr>
        <w:t>ut pomocnici. (K tomu připojuje paní autora dopisu tuto po</w:t>
      </w:r>
      <w:r>
        <w:rPr>
          <w:b/>
          <w:bCs/>
        </w:rPr>
        <w:softHyphen/>
        <w:t>známku: Mému kdysi ředitelsky obávanému a obsluhova</w:t>
      </w:r>
      <w:r>
        <w:rPr>
          <w:b/>
          <w:bCs/>
        </w:rPr>
        <w:softHyphen/>
        <w:t>nému manželu připadalo nejprve mytí a utírání nádobí trochu podivné, ale už se z něho stává dosti obstojná slu</w:t>
      </w:r>
      <w:r>
        <w:rPr>
          <w:b/>
          <w:bCs/>
        </w:rPr>
        <w:softHyphen/>
        <w:t>žebná. Tak i s čištěním bot; po pr</w:t>
      </w:r>
      <w:r>
        <w:rPr>
          <w:b/>
          <w:bCs/>
        </w:rPr>
        <w:t>vním drhnutí, vymetání a velkém úklidu měl na rukou puchýře, jaké doma míval jen po tennisovém matchi. Ale bereme to nikoli z tragické, nýbrž z humorné stránky.) Udržet se v obchodě znamená zde pracovat horečně a večer ještě nutno dělat domácí práce. Bývám</w:t>
      </w:r>
      <w:r>
        <w:rPr>
          <w:b/>
          <w:bCs/>
        </w:rPr>
        <w:t>e tak unaveni, že ležíme na couchích a ani nemluvíme.«</w:t>
      </w:r>
      <w:r>
        <w:rPr>
          <w:b/>
          <w:bCs/>
        </w:rPr>
        <w:tab/>
        <w:t>Cis.</w:t>
      </w:r>
    </w:p>
    <w:p w:rsidR="00500724" w:rsidRDefault="00F30FB8">
      <w:pPr>
        <w:pStyle w:val="Jin0"/>
        <w:pBdr>
          <w:bottom w:val="single" w:sz="4" w:space="0" w:color="auto"/>
        </w:pBdr>
        <w:shd w:val="clear" w:color="auto" w:fill="auto"/>
        <w:spacing w:after="220"/>
        <w:ind w:firstLine="0"/>
        <w:jc w:val="left"/>
        <w:rPr>
          <w:sz w:val="44"/>
          <w:szCs w:val="44"/>
        </w:rPr>
      </w:pPr>
      <w:r>
        <w:rPr>
          <w:b/>
          <w:bCs/>
          <w:sz w:val="44"/>
          <w:szCs w:val="44"/>
        </w:rPr>
        <w:t>politika</w:t>
      </w:r>
    </w:p>
    <w:p w:rsidR="00500724" w:rsidRDefault="00F30FB8">
      <w:pPr>
        <w:pStyle w:val="Zkladntext1"/>
        <w:shd w:val="clear" w:color="auto" w:fill="auto"/>
        <w:spacing w:after="40" w:line="197" w:lineRule="auto"/>
        <w:ind w:firstLine="0"/>
        <w:rPr>
          <w:sz w:val="20"/>
          <w:szCs w:val="20"/>
        </w:rPr>
      </w:pPr>
      <w:r>
        <w:rPr>
          <w:i/>
          <w:iCs/>
          <w:sz w:val="20"/>
          <w:szCs w:val="20"/>
        </w:rPr>
        <w:t xml:space="preserve">Henry de </w:t>
      </w:r>
      <w:r>
        <w:rPr>
          <w:i/>
          <w:iCs/>
          <w:sz w:val="20"/>
          <w:szCs w:val="20"/>
          <w:lang w:val="en-US" w:eastAsia="en-US" w:bidi="en-US"/>
        </w:rPr>
        <w:t>Montherlant:</w:t>
      </w:r>
    </w:p>
    <w:p w:rsidR="00500724" w:rsidRDefault="00F30FB8">
      <w:pPr>
        <w:pStyle w:val="Nadpis100"/>
        <w:shd w:val="clear" w:color="auto" w:fill="auto"/>
        <w:spacing w:after="100"/>
      </w:pPr>
      <w:bookmarkStart w:id="2" w:name="bookmark1"/>
      <w:r>
        <w:t>Proč Francie tak jednala</w:t>
      </w:r>
      <w:r>
        <w:br/>
        <w:t>v září 1938</w:t>
      </w:r>
      <w:bookmarkEnd w:id="2"/>
    </w:p>
    <w:p w:rsidR="00500724" w:rsidRDefault="00F30FB8">
      <w:pPr>
        <w:pStyle w:val="Zkladntext1"/>
        <w:shd w:val="clear" w:color="auto" w:fill="auto"/>
        <w:spacing w:after="40" w:line="187" w:lineRule="auto"/>
        <w:ind w:left="580" w:firstLine="20"/>
      </w:pPr>
      <w:r>
        <w:rPr>
          <w:b/>
          <w:bCs/>
        </w:rPr>
        <w:t>Nedlouho po mnichovské konferenci, kde bylo okrá</w:t>
      </w:r>
      <w:r>
        <w:rPr>
          <w:b/>
          <w:bCs/>
        </w:rPr>
        <w:softHyphen/>
        <w:t>jeno Československo, proslovil francouzský spisova</w:t>
      </w:r>
      <w:r>
        <w:rPr>
          <w:b/>
          <w:bCs/>
        </w:rPr>
        <w:softHyphen/>
        <w:t xml:space="preserve">tel </w:t>
      </w:r>
      <w:r>
        <w:rPr>
          <w:b/>
          <w:bCs/>
          <w:lang w:val="en-US" w:eastAsia="en-US" w:bidi="en-US"/>
        </w:rPr>
        <w:t xml:space="preserve">Montherlant </w:t>
      </w:r>
      <w:r>
        <w:rPr>
          <w:b/>
          <w:bCs/>
        </w:rPr>
        <w:t xml:space="preserve">v Paříži </w:t>
      </w:r>
      <w:r>
        <w:rPr>
          <w:b/>
          <w:bCs/>
        </w:rPr>
        <w:t>přednášku, které pro knižní vydání dal titul: » Francie a morálka midinetky«.</w:t>
      </w:r>
    </w:p>
    <w:p w:rsidR="00500724" w:rsidRDefault="00F30FB8">
      <w:pPr>
        <w:pStyle w:val="Zkladntext1"/>
        <w:shd w:val="clear" w:color="auto" w:fill="auto"/>
        <w:spacing w:line="209" w:lineRule="auto"/>
      </w:pPr>
      <w:r>
        <w:t>Všichni jsme, myslím, zajedno v tom, že vůdcové národů, kteří v září 1938 nejdříve horem pádem ustou</w:t>
      </w:r>
      <w:r>
        <w:softHyphen/>
        <w:t xml:space="preserve">pili, pak se sice zastavili, ale znovu ustoupili a byli by v poslední chvíli </w:t>
      </w:r>
      <w:r>
        <w:t>ustoupili jistě ještě mnohem dále, kdyby se to bylo po nich žádalo, protože chtěli se z toho dostat stůj co stůj a protože bylo prý třeba jednat rychle, všichni jsme, opakuji, zajedno v tom, že tito vůdci mají právo na polehčující okolnosti: necítili totiž</w:t>
      </w:r>
      <w:r>
        <w:t xml:space="preserve"> za sebou své národy na výši osudu, nebof tyto národy nebyly ani hmotně ani morálně připraveny. Každý má na jazyku bezprostřední příčiny, pro něž Francie ne</w:t>
      </w:r>
      <w:r>
        <w:softHyphen/>
        <w:t>byla připravena morálně. My však chceme hledat da</w:t>
      </w:r>
      <w:r>
        <w:softHyphen/>
        <w:t>leko za nimi, vně všech nahodilostí, v samé tkáni</w:t>
      </w:r>
      <w:r>
        <w:t xml:space="preserve"> fran</w:t>
      </w:r>
      <w:r>
        <w:softHyphen/>
        <w:t>couzského člověka, jaký je v naší době, vysvětlení pro postoj francouzské vlády a lidu v září 1938.</w:t>
      </w:r>
    </w:p>
    <w:p w:rsidR="00500724" w:rsidRDefault="00F30FB8">
      <w:pPr>
        <w:pStyle w:val="Nadpis100"/>
        <w:shd w:val="clear" w:color="auto" w:fill="auto"/>
        <w:spacing w:line="180" w:lineRule="auto"/>
      </w:pPr>
      <w:bookmarkStart w:id="3" w:name="bookmark2"/>
      <w:r>
        <w:t>x</w:t>
      </w:r>
      <w:bookmarkEnd w:id="3"/>
    </w:p>
    <w:p w:rsidR="00500724" w:rsidRDefault="00F30FB8">
      <w:pPr>
        <w:pStyle w:val="Zkladntext1"/>
        <w:shd w:val="clear" w:color="auto" w:fill="auto"/>
        <w:spacing w:after="40" w:line="206" w:lineRule="auto"/>
      </w:pPr>
      <w:r>
        <w:t>Při návratu ze Španělska, Itálie a severní Afriky — mluvím tu jen o krajích, které dobře znám — jsme zaraženi jalovostí francouzských obličejů, s ni</w:t>
      </w:r>
      <w:r>
        <w:t>miž se znovu setkáváme. Na těchto obličejích mužů, mladíků a chlapců je vše, co chcete: inteligence, živost, osobi</w:t>
      </w:r>
      <w:r>
        <w:softHyphen/>
        <w:t>tost, roztomilost; leč jeden.výraz jim vždy chybí: výraz energie. Tento nedostatek zlého výrazu v obličejích není jen půvabná přetvářka: v Ev</w:t>
      </w:r>
      <w:r>
        <w:t>ropě, zmítající se křečí, ohroženi, štváni jedni proti druhým, zůstáváme přece jen »sladkou Francií.c</w:t>
      </w:r>
    </w:p>
    <w:p w:rsidR="00500724" w:rsidRDefault="00F30FB8">
      <w:pPr>
        <w:pStyle w:val="Zkladntext1"/>
        <w:shd w:val="clear" w:color="auto" w:fill="auto"/>
        <w:spacing w:after="40" w:line="206" w:lineRule="auto"/>
      </w:pPr>
      <w:r>
        <w:t>V září 1938 četl jsem v novinách dvě věty — jen lituji, že jsem si nepoznamenal jejich autory. Jednu větu řekl</w:t>
      </w:r>
    </w:p>
    <w:p w:rsidR="00500724" w:rsidRDefault="00F30FB8">
      <w:pPr>
        <w:pStyle w:val="Zkladntext1"/>
        <w:shd w:val="clear" w:color="auto" w:fill="auto"/>
        <w:spacing w:after="40" w:line="230" w:lineRule="auto"/>
        <w:ind w:firstLine="0"/>
      </w:pPr>
      <w:r>
        <w:t xml:space="preserve">Němec: s-Dnešní Francouzi nemají už zuby.c </w:t>
      </w:r>
      <w:r>
        <w:t xml:space="preserve">Druhou větu řekl </w:t>
      </w:r>
      <w:r>
        <w:rPr>
          <w:lang w:val="en-US" w:eastAsia="en-US" w:bidi="en-US"/>
        </w:rPr>
        <w:t xml:space="preserve">Anglican: </w:t>
      </w:r>
      <w:r>
        <w:t>&gt;Dnešní Francouzi nejsou lidé, s nimiž by se dalo jít na lov tygrň.« Jen některým Fran- couzum se zdá, že tyto dvě věty jsou vypáleny na jejich kůži žhavým železem.</w:t>
      </w:r>
    </w:p>
    <w:p w:rsidR="00500724" w:rsidRDefault="00F30FB8">
      <w:pPr>
        <w:pStyle w:val="Zkladntext1"/>
        <w:shd w:val="clear" w:color="auto" w:fill="auto"/>
        <w:spacing w:after="40" w:line="209" w:lineRule="auto"/>
      </w:pPr>
      <w:r>
        <w:t>Z ne-obrany individuální vzniká ne-obrana kolektiv</w:t>
      </w:r>
      <w:r>
        <w:softHyphen/>
        <w:t>ní: kolektivn</w:t>
      </w:r>
      <w:r>
        <w:t>í neodolnost je vytvořena ze svazku, z s&gt;fascia« neodolností individuálních; nepoužívám slova »fascio« náhodou: je to totiž hrozná síla, taková hromada zbabělé ústupnosti. Svět se už dlouhá léta diví a velice se zasmušuje při pohledu na to, jak Fran</w:t>
      </w:r>
      <w:r>
        <w:softHyphen/>
        <w:t>cie st</w:t>
      </w:r>
      <w:r>
        <w:t xml:space="preserve">ále couvá. A jak couvá s úsměvem — nebo skoro. Před úsměvem mnichovským — což </w:t>
      </w:r>
      <w:r>
        <w:rPr>
          <w:lang w:val="en-US" w:eastAsia="en-US" w:bidi="en-US"/>
        </w:rPr>
        <w:t xml:space="preserve">pan Chamberlain </w:t>
      </w:r>
      <w:r>
        <w:t>veřejně neblabopřál panu Daladierovi za »dobrou ná</w:t>
      </w:r>
      <w:r>
        <w:softHyphen/>
        <w:t>ladu, kterou projevil při mnichovských poradách*? Před mnichovským úsměvem viděli jsme úsměv z března 1936 (obs</w:t>
      </w:r>
      <w:r>
        <w:t>azení Porýní); ještě dnes vidím před sebou velké tituly novin: s&gt; Francie jednotná, odhodlaná, pevná ... atd ... v klidu a sebedůvěře..V březnu 1938 Francie se podle mého soudu vyjádřila ústy školní mládeže, kterou jsem viděl vesele pochodovat po vel</w:t>
      </w:r>
      <w:r>
        <w:softHyphen/>
        <w:t xml:space="preserve">kých </w:t>
      </w:r>
      <w:r>
        <w:t>boulevardech 24. března — to jest dvanáct dní po vstupu Hitlerově do Rakouska. Tato školní mládež před očima cizinců, jichž je na velkých boulevardech, jak víte, tolik, zpívala:</w:t>
      </w:r>
    </w:p>
    <w:p w:rsidR="00500724" w:rsidRDefault="00F30FB8">
      <w:pPr>
        <w:pStyle w:val="Zkladntext1"/>
        <w:shd w:val="clear" w:color="auto" w:fill="auto"/>
        <w:spacing w:after="40" w:line="187" w:lineRule="auto"/>
        <w:ind w:left="1280" w:right="1320" w:firstLine="0"/>
        <w:jc w:val="left"/>
      </w:pPr>
      <w:r>
        <w:rPr>
          <w:b/>
          <w:bCs/>
        </w:rPr>
        <w:t xml:space="preserve">Et </w:t>
      </w:r>
      <w:r>
        <w:rPr>
          <w:b/>
          <w:bCs/>
          <w:lang w:val="en-US" w:eastAsia="en-US" w:bidi="en-US"/>
        </w:rPr>
        <w:t xml:space="preserve">l’on s’en font </w:t>
      </w:r>
      <w:r>
        <w:rPr>
          <w:b/>
          <w:bCs/>
        </w:rPr>
        <w:t xml:space="preserve">Pourvu </w:t>
      </w:r>
      <w:r>
        <w:rPr>
          <w:b/>
          <w:bCs/>
          <w:lang w:val="en-US" w:eastAsia="en-US" w:bidi="en-US"/>
        </w:rPr>
        <w:t xml:space="preserve">qu’on tire son coup </w:t>
      </w:r>
      <w:r>
        <w:rPr>
          <w:b/>
          <w:bCs/>
        </w:rPr>
        <w:t>(volně: Nám je všechno fuk, jen k</w:t>
      </w:r>
      <w:r>
        <w:rPr>
          <w:b/>
          <w:bCs/>
        </w:rPr>
        <w:t>dyž máme svoje holky)</w:t>
      </w:r>
    </w:p>
    <w:p w:rsidR="00500724" w:rsidRDefault="00F30FB8">
      <w:pPr>
        <w:pStyle w:val="Zkladntext1"/>
        <w:shd w:val="clear" w:color="auto" w:fill="auto"/>
        <w:spacing w:after="40" w:line="209" w:lineRule="auto"/>
      </w:pPr>
      <w:r>
        <w:t xml:space="preserve">To nebyli » komunističtí všiváci*:; to byli, dámy </w:t>
      </w:r>
      <w:r>
        <w:rPr>
          <w:b/>
          <w:bCs/>
          <w:sz w:val="20"/>
          <w:szCs w:val="20"/>
        </w:rPr>
        <w:t xml:space="preserve">a </w:t>
      </w:r>
      <w:r>
        <w:t>pánové, vaši synové, děti buržoasie. Veselé zakokrhání galského kohouta 24. března, vítězné kokrhání 30. září .., Fraeie zakokrhá samočinně vždycky, když ji někdo někam kopne. Protož</w:t>
      </w:r>
      <w:r>
        <w:t>e zdejší ovzduší je ovzduší, v němž každý umí jen splasknout jako píchnutá guma, národ přijímá cokoli, ať to přichází od vlády nebo ze zahra</w:t>
      </w:r>
      <w:r>
        <w:softHyphen/>
        <w:t>ničí. Brečí se nad »bezpečnostíc, žebrá se o ni-n našieh spojenců, ba i u bývalých našich nepřátel, ale nikdo nežád</w:t>
      </w:r>
      <w:r>
        <w:t>á po svých vládách, aby národní obrana byla v pořádku, ani aby chránila před otravnými plyny vás, vaše ženy, vaše děti, ani, aby zarazila všechen sociální nepořádek nebo, aby zabránila zátopě cizinců. V roce 1933 jsem napsal: »Sebevražedná tendence francou</w:t>
      </w:r>
      <w:r>
        <w:t>z</w:t>
      </w:r>
      <w:r>
        <w:softHyphen/>
        <w:t>ského lidu je rozhodně podivný zjev.c Tehdy jsem však ještě neznal větu z »Mein Kampfc: »Jestliže některý národ nemá již obranné reakce, je zralý k tomH, aby se stal národem otroků.*:</w:t>
      </w:r>
    </w:p>
    <w:p w:rsidR="00500724" w:rsidRDefault="00F30FB8">
      <w:pPr>
        <w:pStyle w:val="Zkladntext1"/>
        <w:shd w:val="clear" w:color="auto" w:fill="auto"/>
        <w:spacing w:line="209" w:lineRule="auto"/>
      </w:pPr>
      <w:r>
        <w:t>Před dvacíti lety, kdy byla podpisována mírová smlouva, když vše se ro</w:t>
      </w:r>
      <w:r>
        <w:t>zplývalo v nadšení z vítězství, zakončil jsem proslov k bývalým žákům školy Svatého kříže výkladem, že padlí ze světové války, kdyby mohli ještě žádat o něco ty, kdož je přežili, poprosili by je, aby ^především získali co nejvíce sil a záliby v sílet; to p</w:t>
      </w:r>
      <w:r>
        <w:t xml:space="preserve">roto, abychom nemusili jednoho dne zažít nové krveprolití. Dva roky na to nakreslil jsem již přesnými čarami obraz morálky midinetky a poplival jsem jej. Od té doby jsem se k němu stále vracel, zejména ve třech románech </w:t>
      </w:r>
      <w:r>
        <w:rPr>
          <w:lang w:val="en-US" w:eastAsia="en-US" w:bidi="en-US"/>
        </w:rPr>
        <w:t xml:space="preserve">serie </w:t>
      </w:r>
      <w:r>
        <w:t xml:space="preserve">»Dívkyt, které jsou dlouhou </w:t>
      </w:r>
      <w:r>
        <w:t>ofen- sivou proti stupnici hodnot, v jejímž jméně se vy- klešfuje Francie. Kdybych byl snad někdy doufal, že takováto vytrvalost může mít účinek, musel bych být teď důkladně zklamán. Ale z uměleckých děl, která ne</w:t>
      </w:r>
      <w:r>
        <w:softHyphen/>
        <w:t>prokázala žádnou službu, přece jen něco zů</w:t>
      </w:r>
      <w:r>
        <w:t>stává. Úroda roste, raduje se ze svého růstu, raduje se ze slunce a z hmyzu, který na ni usedá. Nerozesmutní se proto, že ji nikdo nesklízí!</w:t>
      </w:r>
    </w:p>
    <w:p w:rsidR="00500724" w:rsidRDefault="00F30FB8">
      <w:pPr>
        <w:pStyle w:val="Zkladntext1"/>
        <w:shd w:val="clear" w:color="auto" w:fill="auto"/>
        <w:spacing w:after="80" w:line="180" w:lineRule="auto"/>
        <w:ind w:firstLine="0"/>
        <w:jc w:val="center"/>
      </w:pPr>
      <w:r>
        <w:rPr>
          <w:b/>
          <w:bCs/>
        </w:rPr>
        <w:t>X</w:t>
      </w:r>
    </w:p>
    <w:p w:rsidR="00500724" w:rsidRDefault="00F30FB8">
      <w:pPr>
        <w:pStyle w:val="Zkladntext1"/>
        <w:shd w:val="clear" w:color="auto" w:fill="auto"/>
        <w:spacing w:after="40" w:line="209" w:lineRule="auto"/>
        <w:sectPr w:rsidR="00500724">
          <w:footnotePr>
            <w:numFmt w:val="chicago"/>
            <w:numRestart w:val="eachPage"/>
          </w:footnotePr>
          <w:type w:val="continuous"/>
          <w:pgSz w:w="11909" w:h="16834"/>
          <w:pgMar w:top="924" w:right="890" w:bottom="860" w:left="550" w:header="0" w:footer="3" w:gutter="0"/>
          <w:cols w:num="2" w:space="149"/>
          <w:noEndnote/>
          <w:docGrid w:linePitch="360"/>
        </w:sectPr>
      </w:pPr>
      <w:r>
        <w:t>Ostatně nevěříme, že by se morálka midinetky, a tím méně morálka starých panen, moh</w:t>
      </w:r>
      <w:r>
        <w:t>la ještě dlouho stavět, aniž by byla smetena jako červy prožraná houba, proti lví morálce, která vládne ve většina evropských náro</w:t>
      </w:r>
      <w:r>
        <w:softHyphen/>
        <w:t>dů. Nemyslím, že se povídání hráčů maryáše, členů</w:t>
      </w:r>
    </w:p>
    <w:p w:rsidR="00500724" w:rsidRDefault="00500724">
      <w:pPr>
        <w:spacing w:before="114" w:after="114" w:line="240" w:lineRule="exact"/>
        <w:rPr>
          <w:sz w:val="19"/>
          <w:szCs w:val="19"/>
        </w:rPr>
      </w:pPr>
    </w:p>
    <w:p w:rsidR="00500724" w:rsidRDefault="00500724">
      <w:pPr>
        <w:spacing w:line="14" w:lineRule="exact"/>
        <w:sectPr w:rsidR="00500724">
          <w:footnotePr>
            <w:numFmt w:val="chicago"/>
            <w:numRestart w:val="eachPage"/>
          </w:footnotePr>
          <w:pgSz w:w="11909" w:h="16834"/>
          <w:pgMar w:top="1443" w:right="0" w:bottom="1026" w:left="0" w:header="0" w:footer="3" w:gutter="0"/>
          <w:cols w:space="720"/>
          <w:noEndnote/>
          <w:docGrid w:linePitch="360"/>
        </w:sectPr>
      </w:pPr>
    </w:p>
    <w:p w:rsidR="00500724" w:rsidRDefault="00F30FB8">
      <w:pPr>
        <w:pStyle w:val="Zkladntext1"/>
        <w:shd w:val="clear" w:color="auto" w:fill="auto"/>
        <w:spacing w:line="209" w:lineRule="auto"/>
        <w:ind w:firstLine="0"/>
      </w:pPr>
      <w:r>
        <w:t xml:space="preserve">Akademie, křesťanů a midinetek bude moci ještě </w:t>
      </w:r>
      <w:r>
        <w:t>dlouho vzpírat řeči mužů. Nevěřím, že je možná dohoda (rovné</w:t>
      </w:r>
      <w:r>
        <w:softHyphen/>
        <w:t>ho s rovným) mezi národy, které přijímají risiko války, a národy, které toto risiko odmítají.</w:t>
      </w:r>
    </w:p>
    <w:p w:rsidR="00500724" w:rsidRDefault="00F30FB8">
      <w:pPr>
        <w:pStyle w:val="Zkladntext1"/>
        <w:shd w:val="clear" w:color="auto" w:fill="auto"/>
        <w:spacing w:line="209" w:lineRule="auto"/>
        <w:ind w:firstLine="260"/>
      </w:pPr>
      <w:r>
        <w:t xml:space="preserve">Nevím, zda Anglie změní ducha Nevilla Chamber- laina v ducha Hudsona Lowe. Pokud jde o Francii, jsem </w:t>
      </w:r>
      <w:r>
        <w:t>přesvědčen, že se tato země tak, jak na tom nyní je, změní jen pod železnou pěstí, která ji vzkřísí násilím, která jí násilím vrátí instinkt obrany a smysl pro urážku, která jí vrátí — násilím — smysl pro to, čím je si muž a národ povinen. Dívajíce se na s</w:t>
      </w:r>
      <w:r>
        <w:t>lintání o » francouzské obrodě«, které teď teče po pěti sloupcích našich deníků tak, jako teče voda po stěnách veřejného záchodku, krčíme jen rameny. Ani politické ani sociální útvary, ani skupiny lidí dobré vůle ani bývalí bojovníci nepředělají Francii: b</w:t>
      </w:r>
      <w:r>
        <w:t>udou moci jen pomáhat. Francie se nezachrání sama, nýbrž jedině ji může obrodit ten z jejích synů, který bude mít všechnu odvahu, kterou nevidíme v jejích synech dnes: odvahu říci n e, odvahu odmítnout spolupracovat s podlci, odvahu řádit, od</w:t>
      </w:r>
      <w:r>
        <w:softHyphen/>
        <w:t>vahu být nepo</w:t>
      </w:r>
      <w:r>
        <w:t>pulární, případně i odvahu být »směšný« (vše, co je velké, pokládají Francouzi z roku 1958 za směšné). Odvahu vnutit morálku, která by byla pra</w:t>
      </w:r>
      <w:r>
        <w:softHyphen/>
        <w:t>vým opakem morálky midinetky. Francouzský národ bude zachráněn jedině morálkou, která mu jde proti srsti, protož</w:t>
      </w:r>
      <w:r>
        <w:t>e umírá tou, která se mu líbí.</w:t>
      </w:r>
    </w:p>
    <w:p w:rsidR="00500724" w:rsidRDefault="00F30FB8">
      <w:pPr>
        <w:pStyle w:val="Zkladntext1"/>
        <w:shd w:val="clear" w:color="auto" w:fill="auto"/>
        <w:spacing w:line="209" w:lineRule="auto"/>
        <w:ind w:firstLine="260"/>
      </w:pPr>
      <w:r>
        <w:t>Kdyby se takový muž neměl zde objevit (a je lhostej</w:t>
      </w:r>
      <w:r>
        <w:softHyphen/>
        <w:t>né zda to bude Vůdce nebo šedá eminence), pak pravím docela prostě a otevřeně: pochyboval bych o budouc</w:t>
      </w:r>
      <w:r>
        <w:softHyphen/>
        <w:t>nosti Francie.</w:t>
      </w:r>
    </w:p>
    <w:p w:rsidR="00500724" w:rsidRDefault="00F30FB8">
      <w:pPr>
        <w:pStyle w:val="Zkladntext1"/>
        <w:shd w:val="clear" w:color="auto" w:fill="auto"/>
        <w:spacing w:line="209" w:lineRule="auto"/>
        <w:ind w:firstLine="260"/>
      </w:pPr>
      <w:r>
        <w:t>Pak bychom viděli, jak Francie ještě hlouběji upadá, a</w:t>
      </w:r>
      <w:r>
        <w:t xml:space="preserve"> nebylo by vyloučeno, že by pak někteří z mých kra</w:t>
      </w:r>
      <w:r>
        <w:softHyphen/>
        <w:t>janů nenašli v sobě vůči své vlasti tolik úcty, jíž je třeba, aby ji mohli milovat a být solidární: když £y zaplatili svůj příspěvek — chci říci: daně — věřili by, že jsou vyrovnáni, a snažili by se pak ud</w:t>
      </w:r>
      <w:r>
        <w:t>ržeti se v takové úrovni, kde myšlenka vlasti hraje jen druhotnou úlohu. Je to tvrdý, ale spravedlivý zákon, který činí národy odpovědné za činy jeho vůdců: národy mají totiž pro</w:t>
      </w:r>
      <w:r>
        <w:softHyphen/>
        <w:t xml:space="preserve">středky, jak nenechat svým vůdcům autoritu, a právě tak vůdci mají povinnost </w:t>
      </w:r>
      <w:r>
        <w:t>vládnout, je-li třeba, proti zálibám svých národů. Národy mají takové vlády, jaké si zasluhují.</w:t>
      </w:r>
    </w:p>
    <w:p w:rsidR="00500724" w:rsidRDefault="00F30FB8">
      <w:pPr>
        <w:pStyle w:val="Zkladntext1"/>
        <w:shd w:val="clear" w:color="auto" w:fill="auto"/>
        <w:spacing w:line="211" w:lineRule="auto"/>
        <w:ind w:firstLine="260"/>
      </w:pPr>
      <w:r>
        <w:t>Často se nám říká: Národy jsou děti. Kdyby Fran</w:t>
      </w:r>
      <w:r>
        <w:softHyphen/>
        <w:t>couzi měli jiné pány, to byste viděli, jak by se rychle změnili...« Nemohu říci, že by na mě tato argumentace ne</w:t>
      </w:r>
      <w:r>
        <w:t>působila. Ale konec konců s těmito muži a ženami se nakládá jako s dospělými a ne jako s dětmi: muži hla</w:t>
      </w:r>
      <w:r>
        <w:softHyphen/>
        <w:t>sují, muži a ženy podávají svědectví před soudem, mají rávo nad svým potomstvem, atd ... Jestliže jsou roz- odní ve svých požadavcích, jen když jde o j</w:t>
      </w:r>
      <w:r>
        <w:t xml:space="preserve">ejich malé špinavé zájmy, a nikdy jde-li o jinou věc, jestliže všechno bez odmluvy přijímají, jestliže n “soptí nad vulgaritou, nízkostí, blbostí a lží, kterou jsou krmeni, </w:t>
      </w:r>
      <w:r>
        <w:rPr>
          <w:b/>
          <w:bCs/>
          <w:sz w:val="14"/>
          <w:szCs w:val="14"/>
        </w:rPr>
        <w:t xml:space="preserve">pak </w:t>
      </w:r>
      <w:r>
        <w:t>tedy i on i jsou vinni! Vlády, parlament, národ — odmítám rozlišovat. Parlament</w:t>
      </w:r>
      <w:r>
        <w:t>, to je Francie. Ta tam poslala ty, jež si vyvolila, vybrala. O tom, o čem se mluví v ministerské radě, mluví se také v kavárně.</w:t>
      </w:r>
    </w:p>
    <w:p w:rsidR="00500724" w:rsidRDefault="00F30FB8">
      <w:pPr>
        <w:pStyle w:val="Zkladntext1"/>
        <w:shd w:val="clear" w:color="auto" w:fill="auto"/>
        <w:spacing w:line="209" w:lineRule="auto"/>
        <w:ind w:firstLine="0"/>
      </w:pPr>
      <w:r>
        <w:t>Všichni jsou spoluvinni.</w:t>
      </w:r>
    </w:p>
    <w:p w:rsidR="00500724" w:rsidRDefault="00F30FB8">
      <w:pPr>
        <w:pStyle w:val="Zkladntext1"/>
        <w:shd w:val="clear" w:color="auto" w:fill="auto"/>
        <w:spacing w:line="209" w:lineRule="auto"/>
        <w:ind w:firstLine="260"/>
      </w:pPr>
      <w:r>
        <w:t>Je slabost a slabost, Jsou slabí, kteří za to nemohou, že nemají sílu — proto vždy vše odpouš+íme děte</w:t>
      </w:r>
      <w:r>
        <w:t>m. Když je Belgie zaplavena nepřátelským vojskem, když Česko-Slovensko je rozkouskováno, klobouk dolů! Ale národ, který má zlato, půdu vzedmutou bohatstvím, vel</w:t>
      </w:r>
      <w:r>
        <w:softHyphen/>
        <w:t xml:space="preserve">kou historii, obrovskou zásadu bohatství hmotného </w:t>
      </w:r>
      <w:r>
        <w:rPr>
          <w:b/>
          <w:bCs/>
          <w:sz w:val="20"/>
          <w:szCs w:val="20"/>
        </w:rPr>
        <w:t xml:space="preserve">a </w:t>
      </w:r>
      <w:r>
        <w:t>mravního, koloniální říši, národ, který pří</w:t>
      </w:r>
      <w:r>
        <w:t>ležitostně vy</w:t>
      </w:r>
      <w:r>
        <w:softHyphen/>
        <w:t>trubuje, že je »národem stodesíti milionů obyvatele, který utratil za dvacet let tři sta miliard za kanóny, kte</w:t>
      </w:r>
      <w:r>
        <w:softHyphen/>
        <w:t xml:space="preserve">rý se může opírat o dva nejmocnější národy světa, takový národ, jestliže je sláb, může za to, že nemá sílu. Národ lidí bystrých a </w:t>
      </w:r>
      <w:r>
        <w:t>rozumných, kte</w:t>
      </w:r>
      <w:r>
        <w:softHyphen/>
        <w:t>rý reaguje hloupě, národ bohatých, který reaguje chudě, národ lidí vtipných, který je vždy obelstěn, národ boha</w:t>
      </w:r>
      <w:r>
        <w:softHyphen/>
        <w:t>tý hodnotami a kde neschopní jsou u kormidla, odrazuje své nejlepší přátele a proměňuje je v kruté soudce.</w:t>
      </w:r>
    </w:p>
    <w:p w:rsidR="00500724" w:rsidRDefault="00F30FB8">
      <w:pPr>
        <w:pStyle w:val="Zkladntext1"/>
        <w:shd w:val="clear" w:color="auto" w:fill="auto"/>
        <w:spacing w:after="40" w:line="209" w:lineRule="auto"/>
        <w:ind w:firstLine="240"/>
      </w:pPr>
      <w:r>
        <w:t>Myslím na obecenstvo z</w:t>
      </w:r>
      <w:r>
        <w:t xml:space="preserve"> boxerských zápasů, zejména zápasů amatérských, které odvrací svůj pohled — když se bylo před tím naň podívalo s krutostí v oku — od boxera-siláka, mohutného chlapa, který se dal porazit bez obrany svým protivníkem. Toto obecenstvo je přísné, ale spravedli</w:t>
      </w:r>
      <w:r>
        <w:t>vé, protože jeho pohrdání odsuzuje v tomto žalostném boxerovi nedostatek charakteru a nikoli nedostatek síly.</w:t>
      </w:r>
    </w:p>
    <w:p w:rsidR="00500724" w:rsidRDefault="00F30FB8">
      <w:pPr>
        <w:pStyle w:val="Zkladntext1"/>
        <w:shd w:val="clear" w:color="auto" w:fill="auto"/>
        <w:spacing w:line="206" w:lineRule="auto"/>
        <w:ind w:firstLine="240"/>
      </w:pPr>
      <w:r>
        <w:t xml:space="preserve">Když Athéňané dali stráž tyranu Peisistratovi, mudřec </w:t>
      </w:r>
      <w:r>
        <w:rPr>
          <w:lang w:val="en-US" w:eastAsia="en-US" w:bidi="en-US"/>
        </w:rPr>
        <w:t xml:space="preserve">Solon </w:t>
      </w:r>
      <w:r>
        <w:t>(sjehož rady nikdo neposlouchali), řekl pak svým drahým spoluobčanům (citujeme z Pluta</w:t>
      </w:r>
      <w:r>
        <w:t>rcha): &gt; Jestliže vaše lenivost a zabedněnost vám způsobila smutná utrpení, neobviňujte z toho bohy! Vy sami, dá</w:t>
      </w:r>
      <w:r>
        <w:softHyphen/>
        <w:t xml:space="preserve">vajíce těmto lidem sílu, jste je učinili velkými. A právě proto teď trpíte v nedůstojném otroctví!« To řekl, vrátil se ke svému domu, vzal své </w:t>
      </w:r>
      <w:r>
        <w:t>zbraně (neboť byl to mudřec ozbrojený, dobrý typ mudrce) a zanechal je v ulici, před svým domem. A když se vrátil do svého domu jako Achilles do svého stanu, od té chvíle se spokojoval jen psaním veršů.</w:t>
      </w:r>
    </w:p>
    <w:p w:rsidR="00500724" w:rsidRDefault="00F30FB8">
      <w:pPr>
        <w:pStyle w:val="Zkladntext1"/>
        <w:shd w:val="clear" w:color="auto" w:fill="auto"/>
        <w:spacing w:after="120" w:line="180" w:lineRule="auto"/>
        <w:ind w:firstLine="0"/>
        <w:jc w:val="center"/>
        <w:rPr>
          <w:sz w:val="18"/>
          <w:szCs w:val="18"/>
        </w:rPr>
      </w:pPr>
      <w:r>
        <w:rPr>
          <w:b/>
          <w:bCs/>
          <w:sz w:val="18"/>
          <w:szCs w:val="18"/>
        </w:rPr>
        <w:t>X</w:t>
      </w:r>
    </w:p>
    <w:p w:rsidR="00500724" w:rsidRDefault="00F30FB8">
      <w:pPr>
        <w:pStyle w:val="Zkladntext1"/>
        <w:shd w:val="clear" w:color="auto" w:fill="auto"/>
        <w:spacing w:after="40" w:line="209" w:lineRule="auto"/>
        <w:ind w:firstLine="240"/>
      </w:pPr>
      <w:r>
        <w:t xml:space="preserve">Předpokládám, že mnoho Francouzů se na mě dívá teď </w:t>
      </w:r>
      <w:r>
        <w:t>vztekle. Mnoho z mých slov se jich dotklo. Snad mě i chtějí pojmenovat špatným Francouzem. Co mně však vyčítají? Že jsem řekl nahlas to, co si mnoho z nich myslí docela tichounce? Ba ne, ani to ne, protože jsem jim neřekl nic, co by nebyli mohli dosyta čís</w:t>
      </w:r>
      <w:r>
        <w:t>t ve fran</w:t>
      </w:r>
      <w:r>
        <w:softHyphen/>
        <w:t>couzských novinách, revuích a knihách od posledních sedmi až osmi let — a kdyby mně chtěli něco vyčítat, bylo by to spíše to, že jsem šel vyšlapanou cestou. To, co mně však vyčítají, není to, co jsem řekl, nýbrž jak jsem to řekl; vyčítají mně slo</w:t>
      </w:r>
      <w:r>
        <w:t>va. Ale já nechci, aby mě někdo šetřil; proč bych šetřil jiné? Trpte, Francouzi, že někdo vám říká bez obalu to, co vám říkají jiní v hez</w:t>
      </w:r>
      <w:r>
        <w:softHyphen/>
        <w:t>kých formách; já však nehledám potlesk. Vyčítají mně, že jsem příliš příkrý k svým krajanům. Nejsme však shovívaví k t</w:t>
      </w:r>
      <w:r>
        <w:t>omu, co milujeme — a my umíráme pro sa- mou shovívavost; nikoli pro shovívavost obecnou, proto</w:t>
      </w:r>
      <w:r>
        <w:softHyphen/>
        <w:t>že příležitostně dovedeme v přísnosti velice přestřelo- vat: ale pro shovívavost na nepravém místě.</w:t>
      </w:r>
    </w:p>
    <w:p w:rsidR="00500724" w:rsidRDefault="00F30FB8">
      <w:pPr>
        <w:pStyle w:val="Zkladntext1"/>
        <w:shd w:val="clear" w:color="auto" w:fill="auto"/>
        <w:spacing w:line="209" w:lineRule="auto"/>
        <w:ind w:firstLine="240"/>
      </w:pPr>
      <w:r>
        <w:t>Vyčítají mně, že poskytuji našim nepřátelům v zahra</w:t>
      </w:r>
      <w:r>
        <w:softHyphen/>
        <w:t>ničí nové</w:t>
      </w:r>
      <w:r>
        <w:t xml:space="preserve"> zbraně. Myslíte, že čekali teprve na má slova? Stačí, aby otevřeli oči a vidí, co já vidím. Pusťte se do vinníků a nikoli do těch, kteří vinníky udávají.</w:t>
      </w:r>
    </w:p>
    <w:p w:rsidR="00500724" w:rsidRDefault="00F30FB8">
      <w:pPr>
        <w:pStyle w:val="Zkladntext1"/>
        <w:shd w:val="clear" w:color="auto" w:fill="auto"/>
        <w:spacing w:line="209" w:lineRule="auto"/>
        <w:ind w:firstLine="240"/>
      </w:pPr>
      <w:r>
        <w:t>A nejvíce mně snad vyčítají, že dost nedoufám. Ale doufání je žena, jako Homér řekl, že modlitby jsou</w:t>
      </w:r>
      <w:r>
        <w:t xml:space="preserve"> ženy; naděje je jeden z hlavních hříchů' morálky midi</w:t>
      </w:r>
      <w:r>
        <w:softHyphen/>
        <w:t>netky. Nejde o to mít naději. Jde o to vidět své vady, stydět se za ně a pak se z nich vyléčit. Neútočte na ty, kdož Francouzům chtějí tento stud dát. Francouzi potřebují se zastydět.</w:t>
      </w:r>
    </w:p>
    <w:p w:rsidR="00500724" w:rsidRDefault="00F30FB8">
      <w:pPr>
        <w:pStyle w:val="Zkladntext1"/>
        <w:shd w:val="clear" w:color="auto" w:fill="auto"/>
        <w:spacing w:line="209" w:lineRule="auto"/>
        <w:ind w:firstLine="240"/>
      </w:pPr>
      <w:r>
        <w:t>Nakonec bych chtě</w:t>
      </w:r>
      <w:r>
        <w:t>l připsat ještě jednu poznámku. Historie a zejména, zdá se mně, historie starověká, se hemží muži, kteří pověděli pravdu svým krajanům. Byli proklínáni a stalo se jim též, že ztratili své čestné úřady a byli vyhnáni. Po nějaké době však ti, kdož je vyobcov</w:t>
      </w:r>
      <w:r>
        <w:t>ali, volali je zpět: ukázalo se, že oni. muži jed</w:t>
      </w:r>
      <w:r>
        <w:softHyphen/>
        <w:t xml:space="preserve">nali tak jen z lásky ke svému městu. To, co jsem tu svým krajanům pověděl, mohlo by se přenést do dávnověku a mohlo by se to stát jednou z řeckých nebo latinských řečí, které překládají naši synové; byl by </w:t>
      </w:r>
      <w:r>
        <w:t xml:space="preserve">to mohl říci pět set let před Kristem nějaký ten Callias nebo </w:t>
      </w:r>
      <w:r>
        <w:rPr>
          <w:lang w:val="en-US" w:eastAsia="en-US" w:bidi="en-US"/>
        </w:rPr>
        <w:t xml:space="preserve">Titus. </w:t>
      </w:r>
      <w:r>
        <w:t>Pak by to moji krajané pokládali za dobré; nepohoršili by se nad takovým Titem nebo Calliem; zdálo by se jim, že se ve svých slovech ztotožnili s osudem své země; myslili by, že je správn</w:t>
      </w:r>
      <w:r>
        <w:t>é, že taková slova byla vyřčena</w:t>
      </w:r>
    </w:p>
    <w:p w:rsidR="00500724" w:rsidRDefault="00F30FB8">
      <w:pPr>
        <w:pStyle w:val="Zkladntext1"/>
        <w:shd w:val="clear" w:color="auto" w:fill="auto"/>
        <w:tabs>
          <w:tab w:val="left" w:leader="underscore" w:pos="4090"/>
        </w:tabs>
        <w:spacing w:after="40" w:line="209" w:lineRule="auto"/>
        <w:ind w:firstLine="0"/>
        <w:rPr>
          <w:sz w:val="20"/>
          <w:szCs w:val="20"/>
        </w:rPr>
      </w:pPr>
      <w:r>
        <w:t xml:space="preserve">v určité hodině historie oné vlasti. </w:t>
      </w:r>
      <w:r>
        <w:rPr>
          <w:b/>
          <w:bCs/>
          <w:i/>
          <w:iCs/>
          <w:sz w:val="20"/>
          <w:szCs w:val="20"/>
        </w:rPr>
        <w:t>Přeložil</w:t>
      </w:r>
      <w:r>
        <w:rPr>
          <w:b/>
          <w:bCs/>
          <w:i/>
          <w:iCs/>
          <w:sz w:val="20"/>
          <w:szCs w:val="20"/>
        </w:rPr>
        <w:tab/>
        <w:t>vo (Paříž)</w:t>
      </w:r>
    </w:p>
    <w:p w:rsidR="00500724" w:rsidRDefault="00F30FB8">
      <w:pPr>
        <w:pStyle w:val="Zkladntext1"/>
        <w:shd w:val="clear" w:color="auto" w:fill="auto"/>
        <w:spacing w:line="199" w:lineRule="auto"/>
        <w:ind w:firstLine="0"/>
        <w:jc w:val="right"/>
        <w:rPr>
          <w:sz w:val="20"/>
          <w:szCs w:val="20"/>
        </w:rPr>
      </w:pPr>
      <w:r>
        <w:rPr>
          <w:b/>
          <w:bCs/>
          <w:i/>
          <w:iCs/>
          <w:sz w:val="20"/>
          <w:szCs w:val="20"/>
        </w:rPr>
        <w:t>(Copyright by ^Přítomnost* and Henry</w:t>
      </w:r>
    </w:p>
    <w:p w:rsidR="00500724" w:rsidRDefault="00F30FB8">
      <w:pPr>
        <w:pStyle w:val="Zkladntext1"/>
        <w:shd w:val="clear" w:color="auto" w:fill="auto"/>
        <w:spacing w:after="40" w:line="199" w:lineRule="auto"/>
        <w:ind w:left="160" w:firstLine="0"/>
        <w:jc w:val="center"/>
        <w:rPr>
          <w:sz w:val="20"/>
          <w:szCs w:val="20"/>
        </w:rPr>
      </w:pPr>
      <w:r>
        <w:rPr>
          <w:b/>
          <w:bCs/>
          <w:i/>
          <w:iCs/>
          <w:sz w:val="20"/>
          <w:szCs w:val="20"/>
        </w:rPr>
        <w:t xml:space="preserve">de </w:t>
      </w:r>
      <w:r>
        <w:rPr>
          <w:b/>
          <w:bCs/>
          <w:i/>
          <w:iCs/>
          <w:sz w:val="20"/>
          <w:szCs w:val="20"/>
          <w:lang w:val="en-US" w:eastAsia="en-US" w:bidi="en-US"/>
        </w:rPr>
        <w:t xml:space="preserve">Montherlant, </w:t>
      </w:r>
      <w:r>
        <w:rPr>
          <w:b/>
          <w:bCs/>
          <w:i/>
          <w:iCs/>
          <w:sz w:val="20"/>
          <w:szCs w:val="20"/>
        </w:rPr>
        <w:t>Paris)</w:t>
      </w:r>
      <w:r>
        <w:br w:type="page"/>
      </w:r>
    </w:p>
    <w:p w:rsidR="00500724" w:rsidRDefault="00F30FB8">
      <w:pPr>
        <w:pStyle w:val="Zkladntext1"/>
        <w:shd w:val="clear" w:color="auto" w:fill="auto"/>
        <w:spacing w:after="60" w:line="233" w:lineRule="auto"/>
        <w:ind w:firstLine="0"/>
      </w:pPr>
      <w:r>
        <w:rPr>
          <w:noProof/>
        </w:rPr>
        <mc:AlternateContent>
          <mc:Choice Requires="wps">
            <w:drawing>
              <wp:anchor distT="0" distB="0" distL="0" distR="0" simplePos="0" relativeHeight="125829382" behindDoc="0" locked="0" layoutInCell="1" allowOverlap="1">
                <wp:simplePos x="0" y="0"/>
                <wp:positionH relativeFrom="page">
                  <wp:posOffset>335280</wp:posOffset>
                </wp:positionH>
                <wp:positionV relativeFrom="margin">
                  <wp:posOffset>132080</wp:posOffset>
                </wp:positionV>
                <wp:extent cx="3273425" cy="112776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3273425" cy="1127760"/>
                        </a:xfrm>
                        <a:prstGeom prst="rect">
                          <a:avLst/>
                        </a:prstGeom>
                        <a:noFill/>
                      </wps:spPr>
                      <wps:txbx>
                        <w:txbxContent>
                          <w:p w:rsidR="00500724" w:rsidRDefault="00F30FB8">
                            <w:pPr>
                              <w:pStyle w:val="Zkladntext1"/>
                              <w:shd w:val="clear" w:color="auto" w:fill="auto"/>
                              <w:spacing w:after="40" w:line="199" w:lineRule="auto"/>
                              <w:ind w:firstLine="0"/>
                              <w:jc w:val="left"/>
                              <w:rPr>
                                <w:sz w:val="20"/>
                                <w:szCs w:val="20"/>
                              </w:rPr>
                            </w:pPr>
                            <w:r>
                              <w:rPr>
                                <w:b/>
                                <w:bCs/>
                                <w:i/>
                                <w:iCs/>
                                <w:sz w:val="20"/>
                                <w:szCs w:val="20"/>
                              </w:rPr>
                              <w:t>Norman Angel:</w:t>
                            </w:r>
                          </w:p>
                          <w:p w:rsidR="00500724" w:rsidRDefault="00F30FB8">
                            <w:pPr>
                              <w:pStyle w:val="Jin0"/>
                              <w:shd w:val="clear" w:color="auto" w:fill="auto"/>
                              <w:spacing w:after="40"/>
                              <w:ind w:firstLine="0"/>
                              <w:jc w:val="center"/>
                              <w:rPr>
                                <w:sz w:val="32"/>
                                <w:szCs w:val="32"/>
                              </w:rPr>
                            </w:pPr>
                            <w:r>
                              <w:rPr>
                                <w:sz w:val="32"/>
                                <w:szCs w:val="32"/>
                              </w:rPr>
                              <w:t>Anglie se vzdává?</w:t>
                            </w:r>
                          </w:p>
                          <w:p w:rsidR="00500724" w:rsidRDefault="00F30FB8">
                            <w:pPr>
                              <w:pStyle w:val="Zkladntext1"/>
                              <w:shd w:val="clear" w:color="auto" w:fill="auto"/>
                              <w:spacing w:after="40" w:line="175" w:lineRule="auto"/>
                              <w:ind w:left="820" w:firstLine="180"/>
                              <w:rPr>
                                <w:sz w:val="18"/>
                                <w:szCs w:val="18"/>
                              </w:rPr>
                            </w:pPr>
                            <w:r>
                              <w:rPr>
                                <w:sz w:val="18"/>
                                <w:szCs w:val="18"/>
                              </w:rPr>
                              <w:t xml:space="preserve">Překlad první kapitoly z knihy Angelovy, který jsme uveřejnili před </w:t>
                            </w:r>
                            <w:r>
                              <w:rPr>
                                <w:sz w:val="18"/>
                                <w:szCs w:val="18"/>
                              </w:rPr>
                              <w:t>několika týdny, vzbudil u čte</w:t>
                            </w:r>
                            <w:r>
                              <w:rPr>
                                <w:sz w:val="18"/>
                                <w:szCs w:val="18"/>
                              </w:rPr>
                              <w:softHyphen/>
                              <w:t>nářstva velkou pozornost. Předkládáme tentokrát obsah jiné kapitoly.</w:t>
                            </w:r>
                          </w:p>
                          <w:p w:rsidR="00500724" w:rsidRDefault="00F30FB8">
                            <w:pPr>
                              <w:pStyle w:val="Zkladntext1"/>
                              <w:shd w:val="clear" w:color="auto" w:fill="auto"/>
                              <w:spacing w:after="40" w:line="233" w:lineRule="auto"/>
                              <w:ind w:left="420" w:firstLine="20"/>
                            </w:pPr>
                            <w:r>
                              <w:t>oku 1914 nás přivedlo do války naše rozhodnutí ne</w:t>
                            </w:r>
                            <w:r>
                              <w:softHyphen/>
                              <w:t>připustit převahu Německa. Bojovali jsme za svého</w:t>
                            </w:r>
                          </w:p>
                        </w:txbxContent>
                      </wps:txbx>
                      <wps:bodyPr lIns="0" tIns="0" rIns="0" bIns="0">
                        <a:spAutoFit/>
                      </wps:bodyPr>
                    </wps:wsp>
                  </a:graphicData>
                </a:graphic>
              </wp:anchor>
            </w:drawing>
          </mc:Choice>
          <mc:Fallback>
            <w:pict>
              <v:shape id="_x0000_s1031" type="#_x0000_t202" style="position:absolute;margin-left:26.399999999999999pt;margin-top:10.4pt;width:257.75pt;height:88.799999999999997pt;z-index:-125829371;mso-wrap-distance-left:0;mso-wrap-distance-right:0;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40" w:line="199" w:lineRule="auto"/>
                        <w:ind w:left="0" w:right="0" w:firstLine="0"/>
                        <w:jc w:val="left"/>
                        <w:rPr>
                          <w:sz w:val="20"/>
                          <w:szCs w:val="20"/>
                        </w:rPr>
                      </w:pPr>
                      <w:r>
                        <w:rPr>
                          <w:b/>
                          <w:bCs/>
                          <w:i/>
                          <w:iCs/>
                          <w:color w:val="000000"/>
                          <w:spacing w:val="0"/>
                          <w:w w:val="100"/>
                          <w:position w:val="0"/>
                          <w:sz w:val="20"/>
                          <w:szCs w:val="20"/>
                          <w:shd w:val="clear" w:color="auto" w:fill="auto"/>
                          <w:lang w:val="cs-CZ" w:eastAsia="cs-CZ" w:bidi="cs-CZ"/>
                        </w:rPr>
                        <w:t>Norman Angel:</w:t>
                      </w:r>
                    </w:p>
                    <w:p>
                      <w:pPr>
                        <w:pStyle w:val="Style12"/>
                        <w:keepNext w:val="0"/>
                        <w:keepLines w:val="0"/>
                        <w:widowControl w:val="0"/>
                        <w:shd w:val="clear" w:color="auto" w:fill="auto"/>
                        <w:bidi w:val="0"/>
                        <w:spacing w:before="0" w:after="40" w:line="240" w:lineRule="auto"/>
                        <w:ind w:left="0" w:right="0" w:firstLine="0"/>
                        <w:jc w:val="center"/>
                        <w:rPr>
                          <w:sz w:val="32"/>
                          <w:szCs w:val="32"/>
                        </w:rPr>
                      </w:pPr>
                      <w:r>
                        <w:rPr>
                          <w:color w:val="000000"/>
                          <w:spacing w:val="0"/>
                          <w:w w:val="100"/>
                          <w:position w:val="0"/>
                          <w:sz w:val="32"/>
                          <w:szCs w:val="32"/>
                          <w:shd w:val="clear" w:color="auto" w:fill="auto"/>
                          <w:lang w:val="cs-CZ" w:eastAsia="cs-CZ" w:bidi="cs-CZ"/>
                        </w:rPr>
                        <w:t>Anglie se vzdává?</w:t>
                      </w:r>
                    </w:p>
                    <w:p>
                      <w:pPr>
                        <w:pStyle w:val="Style18"/>
                        <w:keepNext w:val="0"/>
                        <w:keepLines w:val="0"/>
                        <w:widowControl w:val="0"/>
                        <w:shd w:val="clear" w:color="auto" w:fill="auto"/>
                        <w:bidi w:val="0"/>
                        <w:spacing w:before="0" w:after="40" w:line="175" w:lineRule="auto"/>
                        <w:ind w:left="820" w:right="0" w:firstLine="180"/>
                        <w:rPr>
                          <w:sz w:val="18"/>
                          <w:szCs w:val="18"/>
                        </w:rPr>
                      </w:pPr>
                      <w:r>
                        <w:rPr>
                          <w:color w:val="000000"/>
                          <w:spacing w:val="0"/>
                          <w:w w:val="100"/>
                          <w:position w:val="0"/>
                          <w:sz w:val="18"/>
                          <w:szCs w:val="18"/>
                          <w:shd w:val="clear" w:color="auto" w:fill="auto"/>
                          <w:lang w:val="cs-CZ" w:eastAsia="cs-CZ" w:bidi="cs-CZ"/>
                        </w:rPr>
                        <w:t>Překlad první kapitoly z knihy Angelovy, který jsme uveřejnili před několika týdny, vzbudil u čte</w:t>
                        <w:softHyphen/>
                        <w:t>nářstva velkou pozornost. Předkládáme tentokrát obsah jiné kapitoly.</w:t>
                      </w:r>
                    </w:p>
                    <w:p>
                      <w:pPr>
                        <w:pStyle w:val="Style18"/>
                        <w:keepNext w:val="0"/>
                        <w:keepLines w:val="0"/>
                        <w:widowControl w:val="0"/>
                        <w:shd w:val="clear" w:color="auto" w:fill="auto"/>
                        <w:bidi w:val="0"/>
                        <w:spacing w:before="0" w:after="40" w:line="233" w:lineRule="auto"/>
                        <w:ind w:left="420" w:right="0" w:firstLine="20"/>
                      </w:pPr>
                      <w:r>
                        <w:rPr>
                          <w:color w:val="000000"/>
                          <w:spacing w:val="0"/>
                          <w:w w:val="100"/>
                          <w:position w:val="0"/>
                          <w:shd w:val="clear" w:color="auto" w:fill="auto"/>
                          <w:lang w:val="cs-CZ" w:eastAsia="cs-CZ" w:bidi="cs-CZ"/>
                        </w:rPr>
                        <w:t>oku 1914 nás přivedlo do války naše rozhodnutí ne</w:t>
                        <w:softHyphen/>
                        <w:t>připustit převahu Německa. Bojovali jsme za svého</w:t>
                      </w:r>
                    </w:p>
                  </w:txbxContent>
                </v:textbox>
                <w10:wrap type="topAndBottom" anchorx="page" anchory="margin"/>
              </v:shape>
            </w:pict>
          </mc:Fallback>
        </mc:AlternateContent>
      </w:r>
      <w:r>
        <w:t>starého přítele, rovnováhu sil. Třebaže jsme tehdy bojo</w:t>
      </w:r>
      <w:r>
        <w:softHyphen/>
      </w:r>
      <w:r>
        <w:t>vali proti německé převaze v Evropě, jsou dnes mnohé velmi vlivné živly v naší zemi ochotny tuto převahu při</w:t>
      </w:r>
      <w:r>
        <w:softHyphen/>
        <w:t>jmout a připouštějí, že celá válečná politika byla omyl. Anglie roku 1914 a d n e s</w:t>
      </w:r>
    </w:p>
    <w:p w:rsidR="00500724" w:rsidRDefault="00F30FB8">
      <w:pPr>
        <w:pStyle w:val="Zkladntext1"/>
        <w:shd w:val="clear" w:color="auto" w:fill="auto"/>
        <w:spacing w:after="60" w:line="211" w:lineRule="auto"/>
        <w:ind w:firstLine="240"/>
      </w:pPr>
      <w:r>
        <w:t>Převaha z roku 1914, které jsme se báli, byla pouhá rakousko-ně</w:t>
      </w:r>
      <w:r>
        <w:t>mecká převaha. Ale převaha dnešní je něco mnohem většího: je to převaha rakousko-německo-ja- ponsko-italské kombinace, která, pokud bude moci jed- nati sjednocené, bude nám diktovat na Dálném výcho</w:t>
      </w:r>
      <w:r>
        <w:softHyphen/>
        <w:t xml:space="preserve">dě, ve Středozemním moři, v Suezském průplavě, na cestě k </w:t>
      </w:r>
      <w:r>
        <w:t>protinožcům a do Indie — a v lamanšském kanále. Menší nebezpečí nás donutilo k nesmírným obětem. Zřejmě větší nebezpečí však jsme hotovi přijmouti, aniž se pokoušíme podívat se mu do očí nebo bojovat proti němu. Tvrdíme nyní, že věc, kterou jsme považovali</w:t>
      </w:r>
      <w:r>
        <w:t xml:space="preserve"> za smrtelné nebezpečí roku 1914, je dnes něco, vedle čeho můžeme dobře žiti.</w:t>
      </w:r>
    </w:p>
    <w:p w:rsidR="00500724" w:rsidRDefault="00F30FB8">
      <w:pPr>
        <w:pStyle w:val="Zkladntext1"/>
        <w:shd w:val="clear" w:color="auto" w:fill="auto"/>
        <w:spacing w:line="211" w:lineRule="auto"/>
        <w:ind w:firstLine="240"/>
      </w:pPr>
      <w:r>
        <w:t>Nebyla to místní věc, jež nás přivedla do války. Já vím, že na počátku války se to odbývalo slovem Belgie. Ale kdyby nám bylo šlo jen o Belgii, oročpak jsme neřekli Němcům: »Vyhn</w:t>
      </w:r>
      <w:r>
        <w:t>ěte se Belgii a my nepůjdeme do vál</w:t>
      </w:r>
      <w:r>
        <w:softHyphen/>
        <w:t>ky'^ To by bylo Belgii pravděpodobně zachránilo od války. Ale my jsme to říci nechtěli, protože, jak jsme tehdy cítili, docela jiné důvody by nás přece jen byly přivedly do války proti Německu. Rozhodující část na</w:t>
      </w:r>
      <w:r>
        <w:softHyphen/>
        <w:t>šeho v</w:t>
      </w:r>
      <w:r>
        <w:t xml:space="preserve">eřejného mínění byla vedena podobnými důvody jako později Spojené Státy: že německé vítězství by nás vydalo na milost a nemilost Německa a učinilo naši »ná- rodní obranu« zbytečnou. Vítězství Německa, cítili jsme, by bylo vydalo naše životní zájmy a práva </w:t>
      </w:r>
      <w:r>
        <w:t>pod jeho kontrolu a bylo by mu umožnilo nakládati s nimi po libosti.</w:t>
      </w:r>
    </w:p>
    <w:p w:rsidR="00500724" w:rsidRDefault="00F30FB8">
      <w:pPr>
        <w:pStyle w:val="Zkladntext1"/>
        <w:shd w:val="clear" w:color="auto" w:fill="auto"/>
        <w:spacing w:line="211" w:lineRule="auto"/>
        <w:ind w:firstLine="240"/>
      </w:pPr>
      <w:r>
        <w:t>Ale nejen to. Německo, které by bylo zničilo Francii, přemohlo Rusko, otevřelo cesty na východ slovanskými oblastmi, zřídilo nadvládu nad Evropou, bylo by mohlo, kdykoli by chtělo, okupov</w:t>
      </w:r>
      <w:r>
        <w:t>at kontinentální přístavy úzkých moří. Takové Německo by bylo bývalo pánem naší politiky. V každém dalším sporu s takovou mocno</w:t>
      </w:r>
      <w:r>
        <w:softHyphen/>
        <w:t>stí bychom byli nemluvili jako rovný s rovným. Ani by</w:t>
      </w:r>
      <w:r>
        <w:softHyphen/>
        <w:t xml:space="preserve">chom byli nemusili zbrojit, protože každý pokus užiti zbraní proti takové </w:t>
      </w:r>
      <w:r>
        <w:t>moci by byl napřed rozhodnut. Ta</w:t>
      </w:r>
      <w:r>
        <w:softHyphen/>
        <w:t>ková bezbrannost by byla ochromila naši světovou říši. I vzdálená Amerika byla v době německé útočnosti zmí</w:t>
      </w:r>
      <w:r>
        <w:softHyphen/>
        <w:t>tána přízrakem rostoucí německé moci. Jedním z nej</w:t>
      </w:r>
      <w:r>
        <w:softHyphen/>
        <w:t>účinnějších způsobů válečné propagandy ve Spojených Státech byla</w:t>
      </w:r>
      <w:r>
        <w:t xml:space="preserve"> mapa Evropy, ukazující pangermánskou nadvládu.</w:t>
      </w:r>
    </w:p>
    <w:p w:rsidR="00500724" w:rsidRDefault="00F30FB8">
      <w:pPr>
        <w:pStyle w:val="Zkladntext1"/>
        <w:shd w:val="clear" w:color="auto" w:fill="auto"/>
        <w:spacing w:line="209" w:lineRule="auto"/>
        <w:ind w:firstLine="240"/>
      </w:pPr>
      <w:r>
        <w:t>Po našem vstupu do války &gt;Times«, jako i jiné vážné listy, ustavičně vykládaly, jak odpor proti ovládnutí Evropý jednou mocností byl po dvě století naší obecně známou politikou. Dělali jsme ji už v napoleonsk</w:t>
      </w:r>
      <w:r>
        <w:t>é době. A za světové války by bylo bývalo podle tehdejšího ná</w:t>
      </w:r>
      <w:r>
        <w:softHyphen/>
        <w:t>zoru zrádnou kapitulací, připustit, aby se jinde utvořila mocnost nebo kombinace mocností tak velká, aby uči</w:t>
      </w:r>
      <w:r>
        <w:softHyphen/>
        <w:t>nila odpor nemožným. To všechno bylo před válkou a Za války obecně přijímáno jako pol</w:t>
      </w:r>
      <w:r>
        <w:t>itická samozřejmost.</w:t>
      </w:r>
    </w:p>
    <w:p w:rsidR="00500724" w:rsidRDefault="00F30FB8">
      <w:pPr>
        <w:pStyle w:val="Zkladntext1"/>
        <w:shd w:val="clear" w:color="auto" w:fill="auto"/>
        <w:spacing w:line="209" w:lineRule="auto"/>
        <w:ind w:firstLine="240"/>
      </w:pPr>
      <w:r>
        <w:t>Ale dnes táto teorie, která se tenkrát přijímala jako samozřejmá, se skoro právě tak obecně odmítá, jako se tehdy schvalovala — a odmítá právě těmi lidmi, kteří kdysi byli jejími nejpřednějšími obhájci. Je to zvláštní, že dnes titíž po</w:t>
      </w:r>
      <w:r>
        <w:t>litikové, novináři, vynikající spisovatelé, kteří kdysi dělali všechno možné, aby vyložili naši účast na válce jako nevyhnutelnou, prohlašují celou tuto poli</w:t>
      </w:r>
      <w:r>
        <w:softHyphen/>
        <w:t>tiku za pochybenou. Ti, kdo kdysi líčili tak černě ne</w:t>
      </w:r>
      <w:r>
        <w:softHyphen/>
        <w:t>bezpečí německé moci, dnes nám říkají, že ne</w:t>
      </w:r>
      <w:r>
        <w:t>smírně sil</w:t>
      </w:r>
      <w:r>
        <w:softHyphen/>
        <w:t>ná německá Mitteleuropa, ovládající pevninu, nebo kombinace kontinentálních mocností není nebezpečím pro naši obranu a že ji máme vítat a podporovat; jiný</w:t>
      </w:r>
      <w:r>
        <w:softHyphen/>
        <w:t>mi slovy, že válka byla tragický omyl a že už k ní ni</w:t>
      </w:r>
      <w:r>
        <w:softHyphen/>
        <w:t>kdy nemá dojít.</w:t>
      </w:r>
    </w:p>
    <w:p w:rsidR="00500724" w:rsidRDefault="00F30FB8">
      <w:pPr>
        <w:pStyle w:val="Zkladntext1"/>
        <w:shd w:val="clear" w:color="auto" w:fill="auto"/>
        <w:spacing w:line="209" w:lineRule="auto"/>
      </w:pPr>
      <w:r>
        <w:t>Vezměme na příklad G</w:t>
      </w:r>
      <w:r>
        <w:t>arvinovy články v »Observe- ru«, které dostatečně svědčí o velké změně. Vzpomeň</w:t>
      </w:r>
      <w:r>
        <w:softHyphen/>
        <w:t>me si jen na to, jaké bylo včera ještě naše stanovisko k Mitteleuropě, pangermanismu a jejich nebezpečí, vzpo</w:t>
      </w:r>
      <w:r>
        <w:softHyphen/>
        <w:t>meňme, že naše akce směřovala k podpoře práva ma</w:t>
      </w:r>
      <w:r>
        <w:softHyphen/>
        <w:t>lých států, nepod</w:t>
      </w:r>
      <w:r>
        <w:t>lehnouti německé nadvládě, že tato věc byla hájena s nadšením a idealismem, jemuž stati</w:t>
      </w:r>
      <w:r>
        <w:softHyphen/>
        <w:t>síce lidí obětovaly svůj život. A postavme si vedle toho Garviuovo dnešní doporučování, aby Polsko, Rakousko, Československo, Rumunsko, Jugoslávie, Maďarsko a Bulharsko</w:t>
      </w:r>
      <w:r>
        <w:t xml:space="preserve"> byly podřízeny německé vládě nebo začleně</w:t>
      </w:r>
      <w:r>
        <w:softHyphen/>
        <w:t xml:space="preserve">ny do německé konfederace. </w:t>
      </w:r>
      <w:r>
        <w:rPr>
          <w:lang w:val="en-US" w:eastAsia="en-US" w:bidi="en-US"/>
        </w:rPr>
        <w:t xml:space="preserve">Garvin </w:t>
      </w:r>
      <w:r>
        <w:t xml:space="preserve">to doporučuje na základě názoru, že německá rasa má mít podobné pole činnosti jako sovětské říše. Jinými slovy: to, co dnes </w:t>
      </w:r>
      <w:r>
        <w:rPr>
          <w:lang w:val="en-US" w:eastAsia="en-US" w:bidi="en-US"/>
        </w:rPr>
        <w:t xml:space="preserve">Garvin </w:t>
      </w:r>
      <w:r>
        <w:t>doporučuje, je asi totéž, po čem Německo tou</w:t>
      </w:r>
      <w:r>
        <w:softHyphen/>
        <w:t>žil</w:t>
      </w:r>
      <w:r>
        <w:t>o před válkou a čeho by bylo asi dosáhlo, kdybychom my a spojenci nebyli táhli do války proti němu. Ale ne</w:t>
      </w:r>
      <w:r>
        <w:softHyphen/>
        <w:t>mysleme si, že Garvinovy články jsou hlas volajícího na poušti. Taková stébla ukazují směr větru. Děkan Inge, který se dívá na protikřesťanské tažení</w:t>
      </w:r>
      <w:r>
        <w:t xml:space="preserve"> hitlerismu s pře</w:t>
      </w:r>
      <w:r>
        <w:softHyphen/>
        <w:t>kvapující shovívavostí, píše v jednom ze svých projevů tak, že za války by byla taková slova stála děkana jeho úřad. Pořídil jsem si za poslední léta sbírku citátů z na</w:t>
      </w:r>
      <w:r>
        <w:softHyphen/>
        <w:t>šeho tisku, v nichž se projevuje nechuť a nepřátelství k Francii (tyt</w:t>
      </w:r>
      <w:r>
        <w:t>o hlasy v poslední době umlkly), vášnivá předpojatost proti Rusku a záliba a obdiv k totalitním diktátorům, jakož i odhodlání, za nic se nesta</w:t>
      </w:r>
      <w:r>
        <w:softHyphen/>
        <w:t>vět proti jejich cílům. Je to zvláštní, ale je to tak. Kdy</w:t>
      </w:r>
      <w:r>
        <w:softHyphen/>
        <w:t>by v Habeši byli bojovali angličtí generálové, nemohlo</w:t>
      </w:r>
      <w:r>
        <w:t xml:space="preserve"> být nadšení větší, než ’ ylo to, které projevoval </w:t>
      </w:r>
      <w:r>
        <w:rPr>
          <w:lang w:val="en-US" w:eastAsia="en-US" w:bidi="en-US"/>
        </w:rPr>
        <w:t xml:space="preserve">Garvin. </w:t>
      </w:r>
      <w:r>
        <w:t xml:space="preserve">Japonská akce proti Číně byla roku 1931 srdečně oslavována skoro celým kóhservativním tiskem. </w:t>
      </w:r>
      <w:r>
        <w:rPr>
          <w:lang w:val="en-US" w:eastAsia="en-US" w:bidi="en-US"/>
        </w:rPr>
        <w:t xml:space="preserve">Franco </w:t>
      </w:r>
      <w:r>
        <w:t>má vřelé spojence a obhajoby jeho věci se ujala vysoká britská společnost, jejíž vynikající člen</w:t>
      </w:r>
      <w:r>
        <w:t xml:space="preserve"> vstoupil do vlády.</w:t>
      </w:r>
    </w:p>
    <w:p w:rsidR="00500724" w:rsidRDefault="00F30FB8">
      <w:pPr>
        <w:pStyle w:val="Zkladntext1"/>
        <w:shd w:val="clear" w:color="auto" w:fill="auto"/>
        <w:spacing w:line="209" w:lineRule="auto"/>
      </w:pPr>
      <w:r>
        <w:t xml:space="preserve">Několik let před rokem 1914 byl nadcházející útok Německa běžným tématem denních rozhovorů a diskusí. Psaly se divadelní hry, které se odehrávaly v době, kdy Německo náhle vylodí vojsko na našem pobřeží. Lidový tisk ustavičně otiskoval </w:t>
      </w:r>
      <w:r>
        <w:t>zprávy o odhalených tajných plánech vpádu. »Daily Maile uveřejnil seriál o nadchá</w:t>
      </w:r>
      <w:r>
        <w:softHyphen/>
        <w:t>zející německé invasi, popisující bitvy na britské půdě. Vyprávělo se nám, jak němečtí námořníci si připíjejí na den, kdy bude Anglie pokořena. Političtí spisovatelé nás sezn</w:t>
      </w:r>
      <w:r>
        <w:t>amovali s německou sváto-, trojicí — Treitsch- kem, Nietzschem a Bernhardim. Den po dni, týden po týdnu, měsíc po měsíci se prohlubovala nedůvěra země vůči německým plánům.</w:t>
      </w:r>
    </w:p>
    <w:p w:rsidR="00500724" w:rsidRDefault="00F30FB8">
      <w:pPr>
        <w:pStyle w:val="Zkladntext1"/>
        <w:shd w:val="clear" w:color="auto" w:fill="auto"/>
        <w:spacing w:line="209" w:lineRule="auto"/>
      </w:pPr>
      <w:r>
        <w:t>Skrývalo se za tím vším přesvědčení, že Německo skutečně jest nebezpečné. Když se o</w:t>
      </w:r>
      <w:r>
        <w:t>statní národy při</w:t>
      </w:r>
      <w:r>
        <w:softHyphen/>
        <w:t>pojovaly k naší nedůvěře, radovali jsme se. Později jsme vynakládali velké úsilí, vyložiti , statním, zvláště Ame</w:t>
      </w:r>
      <w:r>
        <w:softHyphen/>
        <w:t>rice, nebezpečnou povahu německé politiky. Kdyby bylo v letech před světovou válkou velké shromáždění národů prohlásilo něme</w:t>
      </w:r>
      <w:r>
        <w:t>ckou politiku za nebezpečnou a provokativní, byli bychom si toho nesmírně vážili jako faktu, na nějž by si byl mohl stěžovat jen blázen anebo někdo, kdo si přál úspěch nepřítele své vlasti. Ale když se totéž stalo po válce v případě japonském, tentýž tisk,</w:t>
      </w:r>
      <w:r>
        <w:t xml:space="preserve"> který byl kdysi tak válečnický protiněmecký, shle</w:t>
      </w:r>
      <w:r>
        <w:softHyphen/>
        <w:t>dával toto divadlo nechutným a pobuřujícím a obhajo</w:t>
      </w:r>
      <w:r>
        <w:softHyphen/>
        <w:t>val Japonsko. Japonsko prý se nemá urážet. A i když už Japonsko, porušilo závazky, -které nám dalo, když bombardovalo klidná města, bilo a ničilo bez vyh</w:t>
      </w:r>
      <w:r>
        <w:t>lášení války — kdyby to bylo před válkou dělalo Německo, byli bychom na to okamžitě odpověděli bojem — tytéž listy, které kdysi nejvíc nadělaly hluku pro každý pro</w:t>
      </w:r>
      <w:r>
        <w:softHyphen/>
        <w:t>jev německého nepřátelství, zahlazovaly a omlouvaly; a dokonce i pochvalovaly. Dnešní populá</w:t>
      </w:r>
      <w:r>
        <w:t>rní tisk, po</w:t>
      </w:r>
      <w:r>
        <w:softHyphen/>
        <w:t>jednávaje o japonském nebezpečí, úplně převrací každý argument, kterého kdysi užíval o nebezpečí německém. Proč?</w:t>
      </w:r>
    </w:p>
    <w:p w:rsidR="00500724" w:rsidRDefault="00F30FB8">
      <w:pPr>
        <w:pStyle w:val="Zkladntext1"/>
        <w:shd w:val="clear" w:color="auto" w:fill="auto"/>
        <w:spacing w:after="120" w:line="209" w:lineRule="auto"/>
        <w:ind w:firstLine="240"/>
      </w:pPr>
      <w:r>
        <w:t xml:space="preserve">Jestliže mocenský růst spořádaného předválečného Německa, země s kulturou, tradicemi, lidem tak úzce příbuzným nám samým, byl pro </w:t>
      </w:r>
      <w:r>
        <w:t>nás nebezpečím, proti němuž jsme museli bojovat do posledního dechu, co dnes říci o nebezpečí, jímž je růst asijské mocnosti s ve</w:t>
      </w:r>
      <w:r>
        <w:softHyphen/>
        <w:t>likými možnostmi, ohrožující Indii, Austrálii a naše vý</w:t>
      </w:r>
      <w:r>
        <w:softHyphen/>
        <w:t>chodní zájmy vůbec? Bylo-li předválečné Německo, podporované Rakouskem</w:t>
      </w:r>
      <w:r>
        <w:t xml:space="preserve"> a Tureckem, tak vážným ohrožením naší říše a obchodu, co říci nacistickému Ně</w:t>
      </w:r>
      <w:r>
        <w:softHyphen/>
        <w:t>mecku, které by se v případě rusko-japonské války nutně spojilo s fašistickým Japonskem? Až do roku 1913 bylo Německo stát, s kterým jsme nikdy v celé své historii neměli vážnéh</w:t>
      </w:r>
      <w:r>
        <w:t>o sporu. Až do roku 1914 Německo úzkostlivě zachovávalo všechny závazky vůči nám, stavělo se proti slovanské expansi na pevnině, ale nikoli proti britské expansi v zámoří, této hlavní složce naší zahraniční politiky. A přece v pouhém roce nebo ve dvou se N</w:t>
      </w:r>
      <w:r>
        <w:t>ěmecko pro svou hrozící nadvládu nad pevninou stalo v mysli průměrného Angličana a zvláště v mysli majetníků lidových novin největším možným nebezpečím světa.</w:t>
      </w:r>
    </w:p>
    <w:p w:rsidR="00500724" w:rsidRDefault="00F30FB8">
      <w:pPr>
        <w:pStyle w:val="Zkladntext1"/>
        <w:shd w:val="clear" w:color="auto" w:fill="auto"/>
        <w:spacing w:line="209" w:lineRule="auto"/>
        <w:ind w:firstLine="0"/>
        <w:jc w:val="center"/>
      </w:pPr>
      <w:r>
        <w:t>Angliekapitulujepřed Japonskem</w:t>
      </w:r>
    </w:p>
    <w:p w:rsidR="00500724" w:rsidRDefault="00F30FB8">
      <w:pPr>
        <w:pStyle w:val="Zkladntext1"/>
        <w:shd w:val="clear" w:color="auto" w:fill="auto"/>
        <w:spacing w:line="206" w:lineRule="auto"/>
        <w:ind w:firstLine="240"/>
      </w:pPr>
      <w:r>
        <w:t>Srovnejme chování Německa v posledním desetiletí před válkou — bez</w:t>
      </w:r>
      <w:r>
        <w:t xml:space="preserve"> jediného porušení mezinárodní smlouvy, bez jediného porušení míru — s chováním Japonska v posledních pěti letech: s příchodem stran k moci, které neváhaly vraždit, aby vyhladily své od</w:t>
      </w:r>
      <w:r>
        <w:softHyphen/>
        <w:t>půrce; s náhlým a nemilosrdným bombardováním klid</w:t>
      </w:r>
      <w:r>
        <w:softHyphen/>
        <w:t>ných měst, která jso</w:t>
      </w:r>
      <w:r>
        <w:t>u zčásti městy britskými; s cynic</w:t>
      </w:r>
      <w:r>
        <w:softHyphen/>
        <w:t>kým nedbáním slavnostně podepsaných smluv; s náro</w:t>
      </w:r>
      <w:r>
        <w:softHyphen/>
        <w:t>kem na dobytí Číny a výhradní kontrolu této země, která může vyústit v organisování čtyř set milionů Asiatů v nový nástroj japonských cílů, sotva asi umírně</w:t>
      </w:r>
      <w:r>
        <w:softHyphen/>
        <w:t>nějších než jso</w:t>
      </w:r>
      <w:r>
        <w:t>u cíle nynější.</w:t>
      </w:r>
    </w:p>
    <w:p w:rsidR="00500724" w:rsidRDefault="00F30FB8">
      <w:pPr>
        <w:pStyle w:val="Zkladntext1"/>
        <w:shd w:val="clear" w:color="auto" w:fill="auto"/>
        <w:spacing w:line="209" w:lineRule="auto"/>
        <w:ind w:firstLine="240"/>
      </w:pPr>
      <w:r>
        <w:t xml:space="preserve">Problém německý nebyl vyřízen roku 1918. Problém německé převahy, před nímž jsme stáli roku 1914, stal se nyní problémem převahy německo-italsko-japonské, a to problémem daleko naléhavějším. Vzrůst německé moci 1914 neohrožoval přímo naše </w:t>
      </w:r>
      <w:r>
        <w:t>državy na Dálném východě, japonsko-německá kombinace ohrožuje. Ně</w:t>
      </w:r>
      <w:r>
        <w:softHyphen/>
        <w:t>mecký triumf nad Slovany, německé kultury nad slo</w:t>
      </w:r>
      <w:r>
        <w:softHyphen/>
        <w:t>vanskou, nehrozil nám 1914 vítězstvím kultury docela odlišné od kultury naší. Ale evropská nadvláda hitlerov</w:t>
      </w:r>
      <w:r>
        <w:softHyphen/>
        <w:t>ského, nacistického Německa, po</w:t>
      </w:r>
      <w:r>
        <w:t>dpíraného fašisticko- militaristicko-autokratickým Japonskem na východě, je daleko vážnějším nebezpečím.</w:t>
      </w:r>
    </w:p>
    <w:p w:rsidR="00500724" w:rsidRDefault="00F30FB8">
      <w:pPr>
        <w:pStyle w:val="Zkladntext1"/>
        <w:shd w:val="clear" w:color="auto" w:fill="auto"/>
        <w:spacing w:line="209" w:lineRule="auto"/>
        <w:ind w:firstLine="240"/>
      </w:pPr>
      <w:r>
        <w:t>Je tedy samozřejmé, řekl by asi nějaký pozorovatel z Martu, že říše jako britská, bude daleko více znepo</w:t>
      </w:r>
      <w:r>
        <w:softHyphen/>
        <w:t>kojena růstem japonsko-německé moci než byla z</w:t>
      </w:r>
      <w:r>
        <w:t>nepo</w:t>
      </w:r>
      <w:r>
        <w:softHyphen/>
        <w:t xml:space="preserve">kojena růstem moci rakousko-německé v letech před válkou. A v tom by se </w:t>
      </w:r>
      <w:r>
        <w:rPr>
          <w:lang w:val="en-US" w:eastAsia="en-US" w:bidi="en-US"/>
        </w:rPr>
        <w:t xml:space="preserve">ten Marfan </w:t>
      </w:r>
      <w:r>
        <w:t>naprosto mýlil. Tytéž skupiny, které viděly 1914 v rakousko-německé moci hrozbu pro britskou říši, politickou svobodu, de</w:t>
      </w:r>
      <w:r>
        <w:softHyphen/>
        <w:t>mokracii a pro západní civilisaci, dívají se d</w:t>
      </w:r>
      <w:r>
        <w:t>ocela ne</w:t>
      </w:r>
      <w:r>
        <w:softHyphen/>
        <w:t>tečně na vzrůst japonsko-německé moci za dvacet let potom a ostře odmítají jakýkoli návrh na politickou kombinaci, která by ji mohla udržet v mezích.</w:t>
      </w:r>
    </w:p>
    <w:p w:rsidR="00500724" w:rsidRDefault="00F30FB8">
      <w:pPr>
        <w:pStyle w:val="Zkladntext1"/>
        <w:shd w:val="clear" w:color="auto" w:fill="auto"/>
        <w:ind w:firstLine="240"/>
        <w:rPr>
          <w:sz w:val="20"/>
          <w:szCs w:val="20"/>
        </w:rPr>
      </w:pPr>
      <w:r>
        <w:t xml:space="preserve">Někdo možná řekne, že vysvětlení je prosté: Máme strach. Nemáme zkrátka dost síly, abychom mohli </w:t>
      </w:r>
      <w:r>
        <w:t>jednat rozhodně. Ale Německo před rokem 1914 bylo jistě mocný a obávaný nepřítel. A přece nás to ne</w:t>
      </w:r>
      <w:r>
        <w:softHyphen/>
        <w:t>přimělo k tomu druhu pokory a ústupnosti, jakou jeví</w:t>
      </w:r>
      <w:r>
        <w:softHyphen/>
        <w:t xml:space="preserve">me vůči Japonsku. Že nemáme dost síly? Je jasné, </w:t>
      </w:r>
      <w:r>
        <w:rPr>
          <w:rFonts w:ascii="Arial" w:eastAsia="Arial" w:hAnsi="Arial" w:cs="Arial"/>
          <w:b/>
          <w:bCs/>
          <w:i/>
          <w:iCs/>
          <w:sz w:val="20"/>
          <w:szCs w:val="20"/>
        </w:rPr>
        <w:t>8</w:t>
      </w:r>
    </w:p>
    <w:p w:rsidR="00500724" w:rsidRDefault="00F30FB8">
      <w:pPr>
        <w:pStyle w:val="Zkladntext1"/>
        <w:shd w:val="clear" w:color="auto" w:fill="auto"/>
        <w:spacing w:line="206" w:lineRule="auto"/>
        <w:ind w:firstLine="0"/>
      </w:pPr>
      <w:r>
        <w:rPr>
          <w:b/>
          <w:bCs/>
          <w:i/>
          <w:iCs/>
          <w:sz w:val="20"/>
          <w:szCs w:val="20"/>
        </w:rPr>
        <w:t>že</w:t>
      </w:r>
      <w:r>
        <w:t xml:space="preserve"> Amerika, Rusko a Čína jsou vesměs možní spojenci,</w:t>
      </w:r>
      <w:r>
        <w:t xml:space="preserve"> a jestliže kombinace Spojených Států, Ruska, Číny a Britanie není dost velkou silou, aby odolala útoku na svá práva a zájmy, co vlastně je dost velkou silou?</w:t>
      </w:r>
    </w:p>
    <w:p w:rsidR="00500724" w:rsidRDefault="00F30FB8">
      <w:pPr>
        <w:pStyle w:val="Zkladntext1"/>
        <w:shd w:val="clear" w:color="auto" w:fill="auto"/>
        <w:spacing w:line="209" w:lineRule="auto"/>
      </w:pPr>
      <w:r>
        <w:t>A nechceme-li udělat toto, máme vůbec neodporovat Japonsku a jeho ambicím v Číně a jinde ve světě</w:t>
      </w:r>
      <w:r>
        <w:t>? Má se naše politika rovnat prohlášení, že af se Japonsku uzdá podniknouti cokoli, my se proti tomu nepostaví</w:t>
      </w:r>
      <w:r>
        <w:softHyphen/>
        <w:t>me? Japonsko si skutečně, jak se zdá, vyložilo naši politiku v tomto smyslu, nebof jeho požadavky jsou čím dál tím tvrdší.</w:t>
      </w:r>
    </w:p>
    <w:p w:rsidR="00500724" w:rsidRDefault="00F30FB8">
      <w:pPr>
        <w:pStyle w:val="Zkladntext1"/>
        <w:shd w:val="clear" w:color="auto" w:fill="auto"/>
        <w:spacing w:line="209" w:lineRule="auto"/>
      </w:pPr>
      <w:r>
        <w:t>Situaci můžeme pochopi</w:t>
      </w:r>
      <w:r>
        <w:t>t jen tenkrát, když si roz</w:t>
      </w:r>
      <w:r>
        <w:softHyphen/>
        <w:t xml:space="preserve">vineme celkový obraz od roku 1931. Tohoto roku se Japonsko octlo, podobně jako my, tváří </w:t>
      </w:r>
      <w:r>
        <w:rPr>
          <w:b/>
          <w:bCs/>
          <w:sz w:val="20"/>
          <w:szCs w:val="20"/>
        </w:rPr>
        <w:t xml:space="preserve">v </w:t>
      </w:r>
      <w:r>
        <w:t>tvář velké hospodářské krisi, která pocházela většinou z hospo</w:t>
      </w:r>
      <w:r>
        <w:softHyphen/>
        <w:t>dářského nacionalismu a která mu nesmírně ztěžovala získávání platidel, nez</w:t>
      </w:r>
      <w:r>
        <w:t>bytných na nákup surovin pro průmysl a potravin pro lid. Východisko, které se aspoň na čas nabízelo, bylo lákavé. Japonsko si řeklo, že by mohlo v Číně udělat v mnohem větším a účinnějším měřítku to, co udělala Britanie v Indii, totiž nalézti tam suroviny,</w:t>
      </w:r>
      <w:r>
        <w:t xml:space="preserve"> trh a zásobárnu vojenských sil. V Číně bylo čtyři sta milionů lidí, kteří zabředli do zmatků a ne</w:t>
      </w:r>
      <w:r>
        <w:softHyphen/>
        <w:t>pořádků, ale nicméně je to lid zdatnější a odolnější než mnohé národy indické a nerozpolcený náboženský</w:t>
      </w:r>
      <w:r>
        <w:softHyphen/>
        <w:t>mi rozpory, jako třeba mohamedáni a hinduisté; lid pi</w:t>
      </w:r>
      <w:r>
        <w:t>lný, který bude také skvělým vojenským materiálem, jakmile bude jednou vycvičen.</w:t>
      </w:r>
    </w:p>
    <w:p w:rsidR="00500724" w:rsidRDefault="00F30FB8">
      <w:pPr>
        <w:pStyle w:val="Zkladntext1"/>
        <w:shd w:val="clear" w:color="auto" w:fill="auto"/>
        <w:spacing w:line="209" w:lineRule="auto"/>
      </w:pPr>
      <w:r>
        <w:t>Ale co ostatní národy, které měly v Číně velké zájmy? S počátku se síly, které tu byly proti Japonsku, zdály daleko mocnější. Japonsko vyzývalo nejen čtyři sta milionů Číňanů,</w:t>
      </w:r>
      <w:r>
        <w:t xml:space="preserve"> ale také zájmy ruské, za nimiž stálo stopadesát milionů lidí, zájmy Spojených Států, které samy byly dost silné, aby Japonsko rozdrtily, zájmy Velké Britanie s velikou říší, zahrnující Austrálii, Indii, Kanadu, což všechno představovalo hospodářsky a fina</w:t>
      </w:r>
      <w:r>
        <w:t>nčně takovou moc, jakou by jinak bylo dalo do</w:t>
      </w:r>
      <w:r>
        <w:softHyphen/>
        <w:t>hromady nějakých padesát členů Společnosti národů. Mohl se nějaký národ postavit proti takovéto kombi</w:t>
      </w:r>
      <w:r>
        <w:softHyphen/>
        <w:t xml:space="preserve">naci? Ale Japmsko dobře vědělo, že zásadu </w:t>
      </w:r>
      <w:r>
        <w:rPr>
          <w:lang w:val="en-US" w:eastAsia="en-US" w:bidi="en-US"/>
        </w:rPr>
        <w:t xml:space="preserve">^divide </w:t>
      </w:r>
      <w:r>
        <w:t>et impera« lze uplatnit nejen proti Číně, ale také proti z</w:t>
      </w:r>
      <w:r>
        <w:t>ápadu.</w:t>
      </w:r>
    </w:p>
    <w:p w:rsidR="00500724" w:rsidRDefault="00F30FB8">
      <w:pPr>
        <w:pStyle w:val="Zkladntext1"/>
        <w:shd w:val="clear" w:color="auto" w:fill="auto"/>
        <w:spacing w:after="40" w:line="209" w:lineRule="auto"/>
      </w:pPr>
      <w:r>
        <w:t>Nebof evropská společnost je ještě více rozdělena než Čína sama, a jedné její části bylo možno využiti k po</w:t>
      </w:r>
      <w:r>
        <w:softHyphen/>
        <w:t>tírání druhé. A rozpory byly nejen mezi jednotlivými národy, nýbrž i uvnitř národů. Každý národ byl hluboce rozpolcen v názoru na prostředky,</w:t>
      </w:r>
      <w:r>
        <w:t xml:space="preserve"> jakých užiti proti Japonsku. Japonsko vědělo, že velké skupiny v Britanii si nepřejí úspěchu Společnosti národů, že odmítnou vžiti na sebe risiko k vůli ní. Tyto japonské naděje se splnily víc, než Japonsko samo čekalo. Podnět Spoje</w:t>
      </w:r>
      <w:r>
        <w:softHyphen/>
        <w:t>ných Států Velké Brita</w:t>
      </w:r>
      <w:r>
        <w:t>nii, aby tyto dvě země se po</w:t>
      </w:r>
      <w:r>
        <w:softHyphen/>
        <w:t>stavily v čelo odporu proti Japoncům, byl v Anglii stručně odmítnut, a Japonsko tu našlo mnoho halas</w:t>
      </w:r>
      <w:r>
        <w:softHyphen/>
        <w:t>ných obhájců, z nichž někteří raději navrhovali japon- sko-britskou alianci než dorozumění s Amerikou.</w:t>
      </w:r>
    </w:p>
    <w:p w:rsidR="00500724" w:rsidRDefault="00F30FB8">
      <w:pPr>
        <w:pStyle w:val="Zkladntext1"/>
        <w:shd w:val="clear" w:color="auto" w:fill="auto"/>
        <w:spacing w:after="100" w:line="209" w:lineRule="auto"/>
      </w:pPr>
      <w:r>
        <w:t>Byla tu obava, že poráž</w:t>
      </w:r>
      <w:r>
        <w:t>ka Japonska by mohla zna</w:t>
      </w:r>
      <w:r>
        <w:softHyphen/>
        <w:t>menat ruský vliv v Číně, upevnění &gt;rudé« Číny a vzrůst komunismu po celém světě. Na všechny tyto rozpory Japonsko úspěšně spoléhalo. Britanie a Ame</w:t>
      </w:r>
      <w:r>
        <w:softHyphen/>
        <w:t>rika nezačaly tvořit tu obrannou soustavu — organiso- váním peněžního trhu, odmítán</w:t>
      </w:r>
      <w:r>
        <w:t>ím půjček, bojkotem, zákazem vývozu válečných surovin. Kdyby se byly Spojené Státy a britská říše tehdy do toho daly a spojily to s vytrvalou pomocí Číně, byly by vytvořily situaci, za níž další pokusy o výboj by byly nemožné. To se však nestalo, a japonsk</w:t>
      </w:r>
      <w:r>
        <w:t>ý útok proti nekonečně větším silám byl tak úspěšný, že povzbudil italského diktátora — podle jeho vlastního doznání — k tomu, aby užil téže metody &gt;rozděl a panuje v Habeši. Nespokojení náčelníci kmenů byli podplaceni, Francie byla odvrá</w:t>
      </w:r>
      <w:r>
        <w:softHyphen/>
        <w:t>cena od britského</w:t>
      </w:r>
      <w:r>
        <w:t xml:space="preserve"> vedení a iniciativy. Habeš se stala Itálii tím, čím bude Mandžusko Japonsku; ne zdrojem surovin nebo oblastí pro přebytky obyvatelstva, nýbrž zdrojem další vojenské moci, opěrným bodem a užiteč</w:t>
      </w:r>
      <w:r>
        <w:softHyphen/>
        <w:t>nou základnou; zásobárnou černé armády o milionu mužů, tak ja</w:t>
      </w:r>
      <w:r>
        <w:t>ko jiné části Afriky dávají velikou sílu Francii a jako Indie dala Anglii za světové války armádu jednoho a čtvrt milionu mužů. A jako Japon</w:t>
      </w:r>
      <w:r>
        <w:softHyphen/>
        <w:t>sko našlo obhájce ve vlivných skupinách britské spo</w:t>
      </w:r>
      <w:r>
        <w:softHyphen/>
        <w:t xml:space="preserve">lečnosti, našel jich </w:t>
      </w:r>
      <w:r>
        <w:rPr>
          <w:lang w:val="en-US" w:eastAsia="en-US" w:bidi="en-US"/>
        </w:rPr>
        <w:t xml:space="preserve">Mussolini </w:t>
      </w:r>
      <w:r>
        <w:t>ještě víc.</w:t>
      </w:r>
    </w:p>
    <w:p w:rsidR="00500724" w:rsidRDefault="00F30FB8">
      <w:pPr>
        <w:pStyle w:val="Zkladntext1"/>
        <w:shd w:val="clear" w:color="auto" w:fill="auto"/>
        <w:spacing w:line="209" w:lineRule="auto"/>
        <w:ind w:firstLine="0"/>
        <w:jc w:val="center"/>
      </w:pPr>
      <w:r>
        <w:t>Kapitulace ve Španěls</w:t>
      </w:r>
      <w:r>
        <w:t>ku</w:t>
      </w:r>
    </w:p>
    <w:p w:rsidR="00500724" w:rsidRDefault="00F30FB8">
      <w:pPr>
        <w:pStyle w:val="Zkladntext1"/>
        <w:shd w:val="clear" w:color="auto" w:fill="auto"/>
        <w:spacing w:line="209" w:lineRule="auto"/>
      </w:pPr>
      <w:r>
        <w:t xml:space="preserve">Ale podívejme se, co následovalo. Když se </w:t>
      </w:r>
      <w:r>
        <w:rPr>
          <w:lang w:val="en-US" w:eastAsia="en-US" w:bidi="en-US"/>
        </w:rPr>
        <w:t xml:space="preserve">Mussolini </w:t>
      </w:r>
      <w:r>
        <w:t xml:space="preserve">zařídil v Habeši, podotkl jeden britský voják trochu naivně: &gt;Teď ho máme, kde jsme ho chtěli mít. Bude-li zlobit, uzátkujeme v této láhvi tolik jeho sil, kolik jich tam pošle.« Ale cožpak není možné, že tatáž myšlenka napadla také Mussoliniho? </w:t>
      </w:r>
      <w:r>
        <w:rPr>
          <w:lang w:val="en-US" w:eastAsia="en-US" w:bidi="en-US"/>
        </w:rPr>
        <w:t xml:space="preserve">Mussolini </w:t>
      </w:r>
      <w:r>
        <w:t>z</w:t>
      </w:r>
      <w:r>
        <w:t>ískal koloniální říši, daleko větší než prvotně sám doufal (ne</w:t>
      </w:r>
      <w:r>
        <w:softHyphen/>
        <w:t>bof je známo, že s počátku nechtěl dobývat Habeše celé). Měl úspěch mimo všechno očekávání. Odvaha se s jeho stanoviska znamenitě vyplatila. Je tedy myslitel</w:t>
      </w:r>
      <w:r>
        <w:softHyphen/>
        <w:t>né, že by měl náladu nechat tento d</w:t>
      </w:r>
      <w:r>
        <w:t xml:space="preserve">ar osudu na milost a nemilost britské námořní moci? Má-li Habeš splnit svůj účel a být něčím víc než břemenem, pak musí </w:t>
      </w:r>
      <w:r>
        <w:rPr>
          <w:lang w:val="en-US" w:eastAsia="en-US" w:bidi="en-US"/>
        </w:rPr>
        <w:t xml:space="preserve">Mussolini </w:t>
      </w:r>
      <w:r>
        <w:t>chránit komunikace s ní, jako Francie chrání své cesty do severní Afriky. A Španělsko bylo příležito</w:t>
      </w:r>
      <w:r>
        <w:softHyphen/>
        <w:t>stí s nebe poslanou k upl</w:t>
      </w:r>
      <w:r>
        <w:t>atnění téže techniky podněco</w:t>
      </w:r>
      <w:r>
        <w:softHyphen/>
        <w:t>vání jedné části národa proti druhé ve prospěch inter</w:t>
      </w:r>
      <w:r>
        <w:softHyphen/>
        <w:t xml:space="preserve">venujícího třetího a rozdělování těch, jejichž zájmem bylo postavit se proti intervenci (a kteří k tomu měli dohromady víc než dost sil). </w:t>
      </w:r>
      <w:r>
        <w:rPr>
          <w:lang w:val="en-US" w:eastAsia="en-US" w:bidi="en-US"/>
        </w:rPr>
        <w:t xml:space="preserve">Franco </w:t>
      </w:r>
      <w:r>
        <w:t>jako nástroj Itálie a Německ</w:t>
      </w:r>
      <w:r>
        <w:t xml:space="preserve">a má v Anglii a ve Francii mnoho hlasitých zastánců, tolik, že </w:t>
      </w:r>
      <w:r>
        <w:rPr>
          <w:lang w:val="en-US" w:eastAsia="en-US" w:bidi="en-US"/>
        </w:rPr>
        <w:t xml:space="preserve">Mussolini </w:t>
      </w:r>
      <w:r>
        <w:t>ani neváhá otevřeně při</w:t>
      </w:r>
      <w:r>
        <w:softHyphen/>
        <w:t>znávat své cíle. Historie jednou o něm řekne, že měl jako diplomat tak neomezenou víru ve své schopnosti, že ani neváhal ukazovat své karty druhým hráčům. Je č</w:t>
      </w:r>
      <w:r>
        <w:t>lenem neintervenční komise a zároveň veřejně gratu</w:t>
      </w:r>
      <w:r>
        <w:softHyphen/>
        <w:t>luje svým armádám ve Španělsku, které tam úředně vůbec nejsou. Zároveň jeden z jeho novinářských mluv</w:t>
      </w:r>
      <w:r>
        <w:softHyphen/>
        <w:t>čích veřejně prohlašuje, že Itálie nemá ani nejmenšího úmyslu anektovat pyrenejský poloostrov, nýbrž že</w:t>
      </w:r>
      <w:r>
        <w:t xml:space="preserve"> bude loyálně respektovat jeho integritu, stah jako Britanie respektuje integritu Egypta«. A aby udělal i tečku nad i, prohlašuje tento muž ještě, že italským úmyslem je zaujmout ve Španělsku totéž postavení, jaké má Anglie v Egyptě. Jinými slovy: Itálie b</w:t>
      </w:r>
      <w:r>
        <w:t xml:space="preserve">ude mít napříště po obou stranách gibraltarské úžiny takové základny, jaké uzná za dobré. Itálie bude nutně usilovati o vládu nad celým Středozemním mořem. Jinak by jí totiž Habeš a africká říše nebyly nic platný právě v tom, v čem je jejich skutečná cena </w:t>
      </w:r>
      <w:r>
        <w:t>— totiž býti zdrojem větší vo</w:t>
      </w:r>
      <w:r>
        <w:softHyphen/>
        <w:t>jenské síly. A když se technika podněcování jedněch proti druhým tak dobře osvědčila v Habeši a slibuje tak veliké úspěchy ve Španělsku, proč by se jí neužíva</w:t>
      </w:r>
      <w:r>
        <w:softHyphen/>
        <w:t>lo také ve světě arabském jako nástroje proti britské říši a jako p</w:t>
      </w:r>
      <w:r>
        <w:t>rostředku k úplnému opanování Středo</w:t>
      </w:r>
      <w:r>
        <w:softHyphen/>
        <w:t>zemního moře Itálií?</w:t>
      </w:r>
    </w:p>
    <w:p w:rsidR="00500724" w:rsidRDefault="00F30FB8">
      <w:pPr>
        <w:pStyle w:val="Zkladntext1"/>
        <w:shd w:val="clear" w:color="auto" w:fill="auto"/>
        <w:spacing w:after="120" w:line="209" w:lineRule="auto"/>
      </w:pPr>
      <w:r>
        <w:t>Itálie měla nesmírný úspěch při úvodu k budování zámořské říše. Můžeme očekávat, že se zastaví na po</w:t>
      </w:r>
      <w:r>
        <w:softHyphen/>
        <w:t>čátku? Jak by to mohla udělat? Předpoklad, podle ně</w:t>
      </w:r>
      <w:r>
        <w:softHyphen/>
        <w:t xml:space="preserve">hož jednala, totiž názor, že rostoucí národy </w:t>
      </w:r>
      <w:r>
        <w:t>potřebují nových území, přijímal se dříve skoro obecně a přijímá se podnes i v Anglii právě v těch vrstvách, které usilují o uklidnění a usmíření.</w:t>
      </w:r>
    </w:p>
    <w:p w:rsidR="00500724" w:rsidRDefault="00F30FB8">
      <w:pPr>
        <w:pStyle w:val="Zkladntext1"/>
        <w:shd w:val="clear" w:color="auto" w:fill="auto"/>
        <w:spacing w:line="209" w:lineRule="auto"/>
        <w:ind w:firstLine="0"/>
        <w:jc w:val="center"/>
      </w:pPr>
      <w:r>
        <w:t>Nové dělení světa?</w:t>
      </w:r>
    </w:p>
    <w:p w:rsidR="00500724" w:rsidRDefault="00F30FB8">
      <w:pPr>
        <w:pStyle w:val="Zkladntext1"/>
        <w:shd w:val="clear" w:color="auto" w:fill="auto"/>
        <w:spacing w:line="209" w:lineRule="auto"/>
      </w:pPr>
      <w:r>
        <w:t>Někteří navrhují bezpodmínečné vrácení kolonií Ně</w:t>
      </w:r>
      <w:r>
        <w:softHyphen/>
        <w:t>mecku. Už to, že tato škola myšlení je č</w:t>
      </w:r>
      <w:r>
        <w:t>ilá a vlivná, činí velmi pravděpodobným, že Německo bude trvat na úplném navrácení svých starých kolonií.</w:t>
      </w:r>
    </w:p>
    <w:p w:rsidR="00500724" w:rsidRDefault="00F30FB8">
      <w:pPr>
        <w:pStyle w:val="Zkladntext1"/>
        <w:shd w:val="clear" w:color="auto" w:fill="auto"/>
        <w:spacing w:line="206" w:lineRule="auto"/>
        <w:rPr>
          <w:sz w:val="20"/>
          <w:szCs w:val="20"/>
        </w:rPr>
      </w:pPr>
      <w:r>
        <w:t xml:space="preserve">Musíme si uvědomit situaci, která nastane, přistoupí- me-li na názory myšlenkové školy Rothermere-Beaver- brook-Garvin-Amery-Astor. Patrně bychom se pokusili </w:t>
      </w:r>
      <w:r>
        <w:rPr>
          <w:b/>
          <w:bCs/>
          <w:sz w:val="20"/>
          <w:szCs w:val="20"/>
        </w:rPr>
        <w:t xml:space="preserve">o </w:t>
      </w:r>
      <w:r>
        <w:t xml:space="preserve">&gt;spravedlivější« rozdělení kolonií </w:t>
      </w:r>
      <w:r>
        <w:rPr>
          <w:b/>
          <w:bCs/>
          <w:sz w:val="20"/>
          <w:szCs w:val="20"/>
        </w:rPr>
        <w:t>a o uspořádání</w:t>
      </w:r>
    </w:p>
    <w:p w:rsidR="00500724" w:rsidRDefault="00F30FB8">
      <w:pPr>
        <w:pStyle w:val="Zkladntext1"/>
        <w:shd w:val="clear" w:color="auto" w:fill="auto"/>
        <w:spacing w:line="209" w:lineRule="auto"/>
        <w:ind w:firstLine="0"/>
      </w:pPr>
      <w:r>
        <w:t>světa ve dvacátém století ve smyslu soběstačný</w:t>
      </w:r>
      <w:r>
        <w:t>ch říší čili hospodářského nacionalismu. Takové je asi smýšlení našich novoimperialistů, které se celkem asi shoduje s myšlením fašistických diktátorů, poněvadž jejich systém je založen právě na vládní kontrole produkce a hospodářského života vůbec. Taková</w:t>
      </w:r>
      <w:r>
        <w:t xml:space="preserve"> kontrola je mož</w:t>
      </w:r>
      <w:r>
        <w:softHyphen/>
        <w:t>ná jen v autarkním systému. Až potud sahá shoda. Ale Německo nedosáhne soběstačnosti vrácením kolonií. Nebude to ani podstatný příspěvek k soběstačnosti. Jen pangermánská nadvláda nad Česko-Slovenskem, Maďar</w:t>
      </w:r>
      <w:r>
        <w:softHyphen/>
        <w:t>skem, Rumunskem, Bulharskem, Po</w:t>
      </w:r>
      <w:r>
        <w:t xml:space="preserve">lskem, za kterou se přimlouvá mimo jiné anglické spisovatele </w:t>
      </w:r>
      <w:r>
        <w:rPr>
          <w:lang w:val="en-US" w:eastAsia="en-US" w:bidi="en-US"/>
        </w:rPr>
        <w:t xml:space="preserve">Garvin, </w:t>
      </w:r>
      <w:r>
        <w:t>by dala něco podobného úplné autarkii. A i k té by ještě bylo potřebí kus ruského území.</w:t>
      </w:r>
    </w:p>
    <w:p w:rsidR="00500724" w:rsidRDefault="00F30FB8">
      <w:pPr>
        <w:pStyle w:val="Zkladntext1"/>
        <w:shd w:val="clear" w:color="auto" w:fill="auto"/>
        <w:spacing w:line="209" w:lineRule="auto"/>
      </w:pPr>
      <w:r>
        <w:t>Tady jsme teprve u pravého jádra politiky nového dělení světa. Měla by vyhlídky na úspěch teprve t</w:t>
      </w:r>
      <w:r>
        <w:t>ehdy, kdyby se Čína na východě a Rusko na západě oběto</w:t>
      </w:r>
      <w:r>
        <w:softHyphen/>
        <w:t>valy na oltáři autarkie. Věří někdo, že pomůžeme míru světa tím, že dáme Japonsku volnou ruku v Číně a Ně</w:t>
      </w:r>
      <w:r>
        <w:softHyphen/>
        <w:t>mecku společně s Japonskem volnou ruku k odstranění ^bolševického nebezpečí«? Toto pomyšlení vá</w:t>
      </w:r>
      <w:r>
        <w:t>žně zne</w:t>
      </w:r>
      <w:r>
        <w:softHyphen/>
        <w:t>pokojilo i presidenta Roosevelta v daleké Americe. Vládcové Německa, Japonska a Itálie zřejmě věří, že imperií lze dobýt a zužitkovat; že myšlenka nějaké obecné ústavy, které by stejně vázala Itálii jako Habeš a ^bolševické vrahy« jako vládu německ</w:t>
      </w:r>
      <w:r>
        <w:t>é říše, stavíc je všechny do jedné roviny, je bláznovství, urážka a ne</w:t>
      </w:r>
      <w:r>
        <w:softHyphen/>
        <w:t xml:space="preserve">možnost. Toto přesvědčení prohlásili </w:t>
      </w:r>
      <w:r>
        <w:rPr>
          <w:lang w:val="en-US" w:eastAsia="en-US" w:bidi="en-US"/>
        </w:rPr>
        <w:t xml:space="preserve">Mussolini </w:t>
      </w:r>
      <w:r>
        <w:t>i Hitler mnohokrát, a není důvodu pochybovati o tom, že upřímně věří ve své názory. Dodávají k tomu ještě, že při dobré vůli je možný mír,</w:t>
      </w:r>
      <w:r>
        <w:t xml:space="preserve"> ne ovšem s barbary, jako jsou Rusové, Číňané nebo rudí Španělé, ale mír mezi totalitními státy a demokraciemi britskou a francouz</w:t>
      </w:r>
      <w:r>
        <w:softHyphen/>
        <w:t>skou. Nepochybujeme ani v tomto směru o jejich upřím</w:t>
      </w:r>
      <w:r>
        <w:softHyphen/>
        <w:t>nosti.</w:t>
      </w:r>
    </w:p>
    <w:p w:rsidR="00500724" w:rsidRDefault="00F30FB8">
      <w:pPr>
        <w:pStyle w:val="Zkladntext1"/>
        <w:shd w:val="clear" w:color="auto" w:fill="auto"/>
        <w:spacing w:line="209" w:lineRule="auto"/>
      </w:pPr>
      <w:r>
        <w:t>Proč by na příklad Japonsko chtělo s námi zápasit, jsme-li ochotn</w:t>
      </w:r>
      <w:r>
        <w:t>i nemíchati se do jeho plánu? Bylo by to od něho hloupé. Ujišťuje nás a bude dále ujišťovat svým přátelstvím, ovšem s podmínkou, že se budeme držet opodál jeho. nových zisků. Roku 1931 byla Velká Brita</w:t>
      </w:r>
      <w:r>
        <w:softHyphen/>
        <w:t>nie včetně jejího ministra zahraničních věcí ochotna p</w:t>
      </w:r>
      <w:r>
        <w:t>řijmout tuto podmínku. Japonský vpád do Číny byl pro ni ^vzdáleným sporem, který se nás netýká«. Po</w:t>
      </w:r>
      <w:r>
        <w:softHyphen/>
        <w:t xml:space="preserve">dobně ve Středozemním moři. Můžeme udržet mír, prohlašuje </w:t>
      </w:r>
      <w:r>
        <w:rPr>
          <w:lang w:val="en-US" w:eastAsia="en-US" w:bidi="en-US"/>
        </w:rPr>
        <w:t xml:space="preserve">Mussolini, </w:t>
      </w:r>
      <w:r>
        <w:t xml:space="preserve">jen když nebudete chtít býti nade mnou soudci. Nedávno von Neurath prohlásil v řeči na </w:t>
      </w:r>
      <w:r>
        <w:t>Akademii německého práva, že základní podmínkou míru na Dálném východě jest opustiti vzhledem k Ja</w:t>
      </w:r>
      <w:r>
        <w:softHyphen/>
        <w:t>ponsku postoj mravního posuzovatele. Nesmíme, chce- me-li mír, mluvit o smlouvách, zákonech, ústavách nebo ravidlech. Proti těmto ideám stavěl dohodu od příp</w:t>
      </w:r>
      <w:r>
        <w:t>adu případu. Řekl, že nesmí být »ztrnulých ňmluv« nebo</w:t>
      </w:r>
    </w:p>
    <w:p w:rsidR="00500724" w:rsidRDefault="00F30FB8">
      <w:pPr>
        <w:pStyle w:val="Zkladntext1"/>
        <w:shd w:val="clear" w:color="auto" w:fill="auto"/>
        <w:spacing w:line="209" w:lineRule="auto"/>
        <w:ind w:firstLine="0"/>
      </w:pPr>
      <w:r>
        <w:t>zásad.</w:t>
      </w:r>
    </w:p>
    <w:p w:rsidR="00500724" w:rsidRDefault="00F30FB8">
      <w:pPr>
        <w:pStyle w:val="Zkladntext1"/>
        <w:shd w:val="clear" w:color="auto" w:fill="auto"/>
        <w:spacing w:line="209" w:lineRule="auto"/>
      </w:pPr>
      <w:r>
        <w:t>Tyto myšlenky mají u nás velký ohlas. Mnozí u nás věří, že odsunutím všech otázek práva a morálky může anarchie fungovat a že dohoda od případu k případu je daleko důležitější než budování ústav</w:t>
      </w:r>
      <w:r>
        <w:t>ních systémů. Je-li to pravda, je-li návrat k anarchii ještě úplnější, než jakou jsme kdy poznali před rokem 1914, cestou k míru, pak je správné, co jsme dělali posledních šest nebo sedm let: opustit tu nebo onu právní otázku, proto</w:t>
      </w:r>
      <w:r>
        <w:softHyphen/>
        <w:t>že nám to na chvíli zaj</w:t>
      </w:r>
      <w:r>
        <w:t>istí mír. Ale je-li to pravda, pak nám nenamlouvejte, že neopouštíme právo a zákon. A jestliže to není pravda, že neustálé obětování práva je slučitelné s mírem, pak se podívejte také této sku</w:t>
      </w:r>
      <w:r>
        <w:softHyphen/>
        <w:t>tečnosti v tvář a řekněte, jaký je vlastně náš cíl, i když snad</w:t>
      </w:r>
      <w:r>
        <w:t xml:space="preserve"> zatím nejsme schopni jít za ním. Jen s jednou podmínkou bychom mohli přijmout názor, že rozšířená německá nadvláda se osvědčí, s tou podmínkou, že Hitlerovo Německo bude umět lépe spravovati rasové, náboženské a národní menšiny, usmiřovat je a zajišťo</w:t>
      </w:r>
      <w:r>
        <w:softHyphen/>
        <w:t>vat</w:t>
      </w:r>
      <w:r>
        <w:t xml:space="preserve"> jejich součinnost, než to umělo Německo císařské.</w:t>
      </w:r>
    </w:p>
    <w:p w:rsidR="00500724" w:rsidRDefault="00F30FB8">
      <w:pPr>
        <w:pStyle w:val="Zkladntext1"/>
        <w:shd w:val="clear" w:color="auto" w:fill="auto"/>
        <w:spacing w:after="240" w:line="209" w:lineRule="auto"/>
      </w:pPr>
      <w:r>
        <w:t xml:space="preserve">Americký spisovatel Guerard napsal, </w:t>
      </w:r>
      <w:r>
        <w:rPr>
          <w:b/>
          <w:bCs/>
          <w:sz w:val="20"/>
          <w:szCs w:val="20"/>
        </w:rPr>
        <w:t xml:space="preserve">že </w:t>
      </w:r>
      <w:r>
        <w:t>Anglie se</w:t>
      </w:r>
      <w:r>
        <w:br w:type="page"/>
        <w:t>nezachránila politikou kolísání; její přirozené přednosti byly tak veliké, že jí to ještě neuškodilo. Jen dodatečně si toto počínání přikrašluje a dělá z ně</w:t>
      </w:r>
      <w:r>
        <w:t xml:space="preserve">ho cílevědomý postup. </w:t>
      </w:r>
      <w:r>
        <w:rPr>
          <w:lang w:val="en-US" w:eastAsia="en-US" w:bidi="en-US"/>
        </w:rPr>
        <w:t xml:space="preserve">Downing </w:t>
      </w:r>
      <w:r>
        <w:t>Street a »Times&lt; přikrývají zmatek velkým pláštěm vznešeného povídání. Ve skutečnosti není možno dnes říci, jakým směrem Anglie jde. Nemá jedinou zásadou dokonce ani zásadu národního egoismu; má jich nejméně pět a ty se navzáj</w:t>
      </w:r>
      <w:r>
        <w:t>em potírají. Výsle</w:t>
      </w:r>
      <w:r>
        <w:softHyphen/>
        <w:t>dek toho je, že jednotlivý Angličan je inteligentní a počestný, ale Anglie jako celek je naprosto nespolehli</w:t>
      </w:r>
      <w:r>
        <w:softHyphen/>
        <w:t>vá. To není perfidnost, nýbrž jen vnitřní rozervanost. Anglie jednala čestně, když stále slibovala vyklidit Egypt, a jednala čes</w:t>
      </w:r>
      <w:r>
        <w:t>tně, když odmítla to učiniti; jednala čestně, když slíbila Francii pomoc podle locarnského paktu, a stejně čestně, když připomíná světu, že tako</w:t>
      </w:r>
      <w:r>
        <w:softHyphen/>
        <w:t>vou dohodu nutno brát jen v pickwickovském smyslu.</w:t>
      </w:r>
    </w:p>
    <w:p w:rsidR="00500724" w:rsidRDefault="00F30FB8">
      <w:pPr>
        <w:pStyle w:val="Jin0"/>
        <w:shd w:val="clear" w:color="auto" w:fill="auto"/>
        <w:spacing w:after="80"/>
        <w:ind w:left="140" w:firstLine="0"/>
        <w:jc w:val="left"/>
        <w:rPr>
          <w:sz w:val="44"/>
          <w:szCs w:val="44"/>
        </w:rPr>
      </w:pPr>
      <w:r>
        <w:rPr>
          <w:b/>
          <w:bCs/>
          <w:sz w:val="44"/>
          <w:szCs w:val="44"/>
          <w:u w:val="single"/>
        </w:rPr>
        <w:t>literatura a oměoí</w:t>
      </w:r>
    </w:p>
    <w:p w:rsidR="00500724" w:rsidRDefault="00F30FB8">
      <w:pPr>
        <w:pStyle w:val="Zkladntext1"/>
        <w:shd w:val="clear" w:color="auto" w:fill="auto"/>
        <w:spacing w:after="40" w:line="221" w:lineRule="auto"/>
        <w:ind w:firstLine="0"/>
        <w:rPr>
          <w:sz w:val="20"/>
          <w:szCs w:val="20"/>
        </w:rPr>
      </w:pPr>
      <w:r>
        <w:rPr>
          <w:i/>
          <w:iCs/>
          <w:sz w:val="20"/>
          <w:szCs w:val="20"/>
        </w:rPr>
        <w:t>t Karel Čapek:</w:t>
      </w:r>
    </w:p>
    <w:p w:rsidR="00500724" w:rsidRDefault="00F30FB8">
      <w:pPr>
        <w:pStyle w:val="Nadpis100"/>
        <w:shd w:val="clear" w:color="auto" w:fill="auto"/>
        <w:spacing w:line="240" w:lineRule="auto"/>
      </w:pPr>
      <w:bookmarkStart w:id="4" w:name="bookmark3"/>
      <w:r>
        <w:t>Ješitnost ničí umělce</w:t>
      </w:r>
      <w:bookmarkEnd w:id="4"/>
    </w:p>
    <w:p w:rsidR="00500724" w:rsidRDefault="00F30FB8">
      <w:pPr>
        <w:pStyle w:val="Zkladntext1"/>
        <w:shd w:val="clear" w:color="auto" w:fill="auto"/>
        <w:spacing w:line="178" w:lineRule="auto"/>
        <w:ind w:left="820" w:firstLine="240"/>
        <w:rPr>
          <w:sz w:val="20"/>
          <w:szCs w:val="20"/>
        </w:rPr>
      </w:pPr>
      <w:r>
        <w:rPr>
          <w:sz w:val="20"/>
          <w:szCs w:val="20"/>
        </w:rPr>
        <w:t>Snad po všechna léta přinášela »Přítomnost« vždy v prvním čísle nového ročníku článek od Karla Čapka. Bylo to jeho programatické přiznání k nám a naše k němu. Letos se, běda, tak děje naposled, a ještě k tomu bylo třeba probírati se jeho rukopisnou pozůsta</w:t>
      </w:r>
      <w:r>
        <w:rPr>
          <w:sz w:val="20"/>
          <w:szCs w:val="20"/>
        </w:rPr>
        <w:t xml:space="preserve">lostí. Pozůstalost po K. </w:t>
      </w:r>
      <w:r>
        <w:rPr>
          <w:rFonts w:ascii="Arial" w:eastAsia="Arial" w:hAnsi="Arial" w:cs="Arial"/>
          <w:sz w:val="17"/>
          <w:szCs w:val="17"/>
        </w:rPr>
        <w:t xml:space="preserve">Č. </w:t>
      </w:r>
      <w:r>
        <w:rPr>
          <w:sz w:val="20"/>
          <w:szCs w:val="20"/>
        </w:rPr>
        <w:t>—• jak se nám to stále ještě jeví nesmyslné! V první den, kdy ulehal, oznámil nám, že, jakmile se zbaví rýmy a kašle, napíše pro první číslo Pří</w:t>
      </w:r>
      <w:r>
        <w:rPr>
          <w:sz w:val="20"/>
          <w:szCs w:val="20"/>
        </w:rPr>
        <w:softHyphen/>
        <w:t>tomnosti* »Hovory s Antonínem Švehlou«. Byla to věc, kterou už dávno chtěl udělat a</w:t>
      </w:r>
      <w:r>
        <w:rPr>
          <w:sz w:val="20"/>
          <w:szCs w:val="20"/>
        </w:rPr>
        <w:t xml:space="preserve"> k níž se stále v myšlenkách vracel. Místo toho přišlo ono smutné dopoledne na zasněženém vyšehradském hřbitově...</w:t>
      </w:r>
    </w:p>
    <w:p w:rsidR="00500724" w:rsidRDefault="00F30FB8">
      <w:pPr>
        <w:pStyle w:val="Zkladntext1"/>
        <w:shd w:val="clear" w:color="auto" w:fill="auto"/>
        <w:spacing w:line="178" w:lineRule="auto"/>
        <w:ind w:left="820" w:firstLine="240"/>
        <w:rPr>
          <w:sz w:val="20"/>
          <w:szCs w:val="20"/>
        </w:rPr>
      </w:pPr>
      <w:r>
        <w:rPr>
          <w:sz w:val="20"/>
          <w:szCs w:val="20"/>
        </w:rPr>
        <w:t>Stať zde uveřejněná jest teoretickou partií z ne</w:t>
      </w:r>
      <w:r>
        <w:rPr>
          <w:sz w:val="20"/>
          <w:szCs w:val="20"/>
        </w:rPr>
        <w:softHyphen/>
        <w:t>dokončeného Čapkova románu »Život a dílo skla</w:t>
      </w:r>
      <w:r>
        <w:rPr>
          <w:sz w:val="20"/>
          <w:szCs w:val="20"/>
        </w:rPr>
        <w:softHyphen/>
        <w:t>datele Foltýna*. Poslední věta zde, patrně ne</w:t>
      </w:r>
      <w:r>
        <w:rPr>
          <w:sz w:val="20"/>
          <w:szCs w:val="20"/>
        </w:rPr>
        <w:softHyphen/>
      </w:r>
      <w:r>
        <w:rPr>
          <w:sz w:val="20"/>
          <w:szCs w:val="20"/>
        </w:rPr>
        <w:t>dokončená, je zároveň poslední větou, kterou romanopisec Čapek napsal.</w:t>
      </w:r>
    </w:p>
    <w:p w:rsidR="00500724" w:rsidRDefault="00F30FB8">
      <w:pPr>
        <w:pStyle w:val="Zkladntext30"/>
        <w:shd w:val="clear" w:color="auto" w:fill="auto"/>
        <w:spacing w:after="0" w:line="199" w:lineRule="auto"/>
      </w:pPr>
      <w:r>
        <w:t xml:space="preserve">Líčím tak obšírně svou první rozmluvu s panem Foltýnem, protože z ní je, myslím, vidět několik věcí. Předně, že opravdu miloval hudbu osudově a že byl posedlý touhou napsat operu. Snad </w:t>
      </w:r>
      <w:r>
        <w:t>by byl skočil s okna, kdyby mu to někdo bral. Za druhé, že byl skutečně jenom samouk a diletant, který stál bez</w:t>
      </w:r>
      <w:r>
        <w:softHyphen/>
        <w:t>radně nad úkoly, které musí mít v malíčku každý průměrný žák konservatoře. Za třetí, že podle někte</w:t>
      </w:r>
      <w:r>
        <w:softHyphen/>
        <w:t>rých ukázek, které mi přehrál, měl pozoruhod</w:t>
      </w:r>
      <w:r>
        <w:t>né a krásné nadání; tím více mě mátlo a popuzovalo, že vedle dvou ku podivu čistých skladbiček, jako byla ta dívka u studny a ženský sbor, se spokojoval s pasá</w:t>
      </w:r>
      <w:r>
        <w:softHyphen/>
        <w:t>žemi více méně banálními nebo převzatými z druhé ruky, a že si ani neuvědomoval, jaký je mezi ni</w:t>
      </w:r>
      <w:r>
        <w:t>mi rozdíl.</w:t>
      </w:r>
    </w:p>
    <w:p w:rsidR="00500724" w:rsidRDefault="00F30FB8">
      <w:pPr>
        <w:pStyle w:val="Zkladntext30"/>
        <w:shd w:val="clear" w:color="auto" w:fill="auto"/>
        <w:spacing w:after="0" w:line="199" w:lineRule="auto"/>
      </w:pPr>
      <w:r>
        <w:t>Také jsem si z té první hodiny odnesl bohužel do</w:t>
      </w:r>
      <w:r>
        <w:softHyphen/>
        <w:t>jem, že si s panem Foltýnem nebudu nikdy dost dobře rozumět. Patřil zřejmě k těm umělcům, kteří považují umění za jakési sebevyjádření a sebeuplatnění, za prostředek, kterým neomezeně projevují sv</w:t>
      </w:r>
      <w:r>
        <w:t>é vlastní já.</w:t>
      </w:r>
    </w:p>
    <w:p w:rsidR="00500724" w:rsidRDefault="00F30FB8">
      <w:pPr>
        <w:pStyle w:val="Zkladntext30"/>
        <w:shd w:val="clear" w:color="auto" w:fill="auto"/>
        <w:spacing w:line="199" w:lineRule="auto"/>
      </w:pPr>
      <w:r>
        <w:t>Nikdy jsem se nemohl smířit s tímto pojetím; ne</w:t>
      </w:r>
      <w:r>
        <w:softHyphen/>
        <w:t xml:space="preserve">mohu si tajit, že všechno osobní mi připadá spíš jako znečištění uměleckého projevu. To, co je v tobě, tvé lidství, tvá osobitost, ty sám jsi jenom látka a nikoliv tvar; jsi-li umělec, nejsi tu </w:t>
      </w:r>
      <w:r>
        <w:t xml:space="preserve">proto, abys rozmnožoval látku, nýbrž aby jí dával tvar a řád. Vždy se mi tají dech, čtu-li v Písmu: »Na počátku stvořil Bůh nebe a zemi. Země pak byla nesličná a pustá, , a Duch Boží vznášel se nad vodami.« Vznášel se v zoufalství, neboť byla tu jen látka </w:t>
      </w:r>
      <w:r>
        <w:t>bez tvaru, látka nesličná a pustá.</w:t>
      </w:r>
    </w:p>
    <w:p w:rsidR="00500724" w:rsidRDefault="00F30FB8">
      <w:pPr>
        <w:pStyle w:val="Zkladntext30"/>
        <w:shd w:val="clear" w:color="auto" w:fill="auto"/>
        <w:spacing w:after="0" w:line="199" w:lineRule="auto"/>
        <w:ind w:firstLine="280"/>
      </w:pPr>
      <w:r>
        <w:t>»I řekl Bůh: Buď světlo! I bylo světlo.« Tomu jest rozumět jako prvnímu sebepoznání: látka si uvědo</w:t>
      </w:r>
      <w:r>
        <w:softHyphen/>
        <w:t>muje sebe samu a dívá se s úžasem na sebe v prvním úsvitu; toto je začátek všeho formování.</w:t>
      </w:r>
    </w:p>
    <w:p w:rsidR="00500724" w:rsidRDefault="00F30FB8">
      <w:pPr>
        <w:pStyle w:val="Zkladntext30"/>
        <w:shd w:val="clear" w:color="auto" w:fill="auto"/>
        <w:spacing w:line="199" w:lineRule="auto"/>
        <w:ind w:firstLine="280"/>
      </w:pPr>
      <w:r>
        <w:t>»I viděl Bůh světlo, že je do</w:t>
      </w:r>
      <w:r>
        <w:t>bré; i oddělil Bůh světlo od tmy.« Bečeno jest: oddělil. To znamená roz</w:t>
      </w:r>
      <w:r>
        <w:softHyphen/>
        <w:t>členil, omezil a čistil.</w:t>
      </w:r>
    </w:p>
    <w:p w:rsidR="00500724" w:rsidRDefault="00F30FB8">
      <w:pPr>
        <w:pStyle w:val="Zkladntext30"/>
        <w:shd w:val="clear" w:color="auto" w:fill="auto"/>
        <w:spacing w:line="199" w:lineRule="auto"/>
        <w:ind w:firstLine="280"/>
      </w:pPr>
      <w:r>
        <w:t>»I oddělil vody, kteréž jsou pod oblohou, od vod, kteréž jsou nad oblohou. I nazval Bůh oblohu ne</w:t>
      </w:r>
      <w:r>
        <w:softHyphen/>
        <w:t>bem. Řekl také Bůh: Shromažďte se vody, kteréž jsou pod nebem</w:t>
      </w:r>
      <w:r>
        <w:t xml:space="preserve">, v místo jedno, a ukaž se místo suché. I stalo se tak. I nazval Bůh místo suché z e m í. I viděl Bůh, že to bylo dobré.« Jelikož pak řečeno bylo, že na počátku stvořil Bůh nebe a zemi, je tím </w:t>
      </w:r>
      <w:r>
        <w:rPr>
          <w:b/>
          <w:bCs/>
        </w:rPr>
        <w:t xml:space="preserve">i </w:t>
      </w:r>
      <w:r>
        <w:t>vy</w:t>
      </w:r>
      <w:r>
        <w:softHyphen/>
        <w:t>sloveno, že nikoliv samo vznikání, nýbrž teprve toto odděl</w:t>
      </w:r>
      <w:r>
        <w:t>ování apořádáníje tím pravým počátkem a tvůrčím dílem božím.</w:t>
      </w:r>
    </w:p>
    <w:p w:rsidR="00500724" w:rsidRDefault="00F30FB8">
      <w:pPr>
        <w:pStyle w:val="Zkladntext30"/>
        <w:shd w:val="clear" w:color="auto" w:fill="auto"/>
        <w:spacing w:line="199" w:lineRule="auto"/>
        <w:ind w:firstLine="280"/>
      </w:pPr>
      <w:r>
        <w:t xml:space="preserve">Nejsem písmák, nýbrž jenom muzikant, i rozumím tomu takto: Na počátku jsi ty sám, látka nesličná a pustá; ty sám, tvé já, tvůj život, tvé nadání, to vše je jenom látka: nikoliv tvoření, nýbrž </w:t>
      </w:r>
      <w:r>
        <w:t>pouhá stvořenost. A kdybys jakkoliv rozepnul své já a naplnil svůj život, nejsi nic než látka pustá a chaotická, nad níž se Duch Boží vznáší v zoufalství, nemaje, nač se snést. Musíš oddělit světlo od tmy, aby se látka stala tvarem; musíš oddělovat a omezo</w:t>
      </w:r>
      <w:r>
        <w:t>vat, aby vznikly jasné obrysy a věci stály před tebou v plném světle, sličné jako v den svého stvoření. Tvoříš jen potud, pokud dáváš látce tvar; tvořit je, rozčleňovat a pořád, pořád vy</w:t>
      </w:r>
      <w:r>
        <w:softHyphen/>
        <w:t>tvářet konečné a pevné meze v látce, jež je nekoneč</w:t>
      </w:r>
      <w:r>
        <w:softHyphen/>
        <w:t>ná a pustá. Odděl</w:t>
      </w:r>
      <w:r>
        <w:t>uj, odděluj. Jinak se tvůj svět rozvalí v beztvarou látku, na níž ještě nespočinula milost boží. Vždyť už dívaje se nebo nastavuje své ucho, vní</w:t>
      </w:r>
      <w:r>
        <w:softHyphen/>
        <w:t xml:space="preserve">maje a poznávaje, odděluješ věci nebo zvuky od sebe; jak teprve čistě a zřetelně, jak přísně a slavně je musíš </w:t>
      </w:r>
      <w:r>
        <w:t>ohraničit, jsi-li umělcem, který se pokouší krá</w:t>
      </w:r>
      <w:r>
        <w:softHyphen/>
        <w:t>čet ve stopách božích!</w:t>
      </w:r>
    </w:p>
    <w:p w:rsidR="00500724" w:rsidRDefault="00F30FB8">
      <w:pPr>
        <w:pStyle w:val="Zkladntext30"/>
        <w:shd w:val="clear" w:color="auto" w:fill="auto"/>
        <w:spacing w:line="199" w:lineRule="auto"/>
        <w:ind w:firstLine="280"/>
      </w:pPr>
      <w:r>
        <w:t>Odděluj, odděluj! I když tvé dílo je z tebe, musí se začínat i končit samo v sobě; jeho tvar musí být tak dokonale uzavřen, že už v něm není místa pro nic jiné</w:t>
      </w:r>
      <w:r>
        <w:softHyphen/>
        <w:t xml:space="preserve">ho, ani pro tebe ne; ani </w:t>
      </w:r>
      <w:r>
        <w:t>pro tvou osobitost, ani pro tvou ctižádost, pro nic z toho, v čem sebe samo nalé</w:t>
      </w:r>
      <w:r>
        <w:softHyphen/>
        <w:t>zá a v čem si libuje tvoje já. Ne v tobě, ale samo v sobě musí mít stvořené dílo svou osu. Všechno špatné a nečisté umění pochází z toho, že v něm zůstalo něco osobního, co se</w:t>
      </w:r>
      <w:r>
        <w:t xml:space="preserve"> nestalo tvarem, a věcí oddělenou; není to ani místo suché, jež Bůh nazval zemí, ani shro</w:t>
      </w:r>
      <w:r>
        <w:softHyphen/>
        <w:t>máždění vod, jež nazval mořem, nýbrž bláto, látka nerozdělená a pustá. Většina umělců, stejně jako větši</w:t>
      </w:r>
      <w:r>
        <w:softHyphen/>
        <w:t>na lidí, jenom do nekonečna rozmnožují látku, místo aby jí dá</w:t>
      </w:r>
      <w:r>
        <w:t xml:space="preserve">vali tvar; jedni ji chrlí jako pekelnou lávu, a jiní ji naplavují jako slizké bahno na břehu vod; stále nově kypí a vrší se země nesličná a nevykoupená, čekající na strašnou, slavnou kázeň tvoření. Odděluj, odděluj! — nikdy nepřestane platit a děsit tento </w:t>
      </w:r>
      <w:r>
        <w:t>přís</w:t>
      </w:r>
      <w:r>
        <w:softHyphen/>
        <w:t>ný zákon, zákon dne prvního.</w:t>
      </w:r>
    </w:p>
    <w:p w:rsidR="00500724" w:rsidRDefault="00F30FB8">
      <w:pPr>
        <w:pStyle w:val="Zkladntext30"/>
        <w:shd w:val="clear" w:color="auto" w:fill="auto"/>
        <w:spacing w:line="202" w:lineRule="auto"/>
        <w:ind w:firstLine="280"/>
      </w:pPr>
      <w:r>
        <w:rPr>
          <w:noProof/>
        </w:rPr>
        <mc:AlternateContent>
          <mc:Choice Requires="wps">
            <w:drawing>
              <wp:anchor distT="38100" distB="254000" distL="114300" distR="114300" simplePos="0" relativeHeight="125829384" behindDoc="0" locked="0" layoutInCell="1" allowOverlap="1">
                <wp:simplePos x="0" y="0"/>
                <wp:positionH relativeFrom="page">
                  <wp:posOffset>346075</wp:posOffset>
                </wp:positionH>
                <wp:positionV relativeFrom="margin">
                  <wp:posOffset>8915400</wp:posOffset>
                </wp:positionV>
                <wp:extent cx="146050" cy="13398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46050" cy="133985"/>
                        </a:xfrm>
                        <a:prstGeom prst="rect">
                          <a:avLst/>
                        </a:prstGeom>
                        <a:noFill/>
                      </wps:spPr>
                      <wps:txbx>
                        <w:txbxContent>
                          <w:p w:rsidR="00500724" w:rsidRDefault="00F30FB8">
                            <w:pPr>
                              <w:pStyle w:val="Zkladntext40"/>
                              <w:shd w:val="clear" w:color="auto" w:fill="auto"/>
                              <w:spacing w:after="0" w:line="240" w:lineRule="auto"/>
                              <w:jc w:val="left"/>
                            </w:pPr>
                            <w:r>
                              <w:rPr>
                                <w:b/>
                                <w:bCs/>
                                <w:i/>
                                <w:iCs/>
                              </w:rPr>
                              <w:t>iO</w:t>
                            </w:r>
                          </w:p>
                        </w:txbxContent>
                      </wps:txbx>
                      <wps:bodyPr lIns="0" tIns="0" rIns="0" bIns="0">
                        <a:spAutoFit/>
                      </wps:bodyPr>
                    </wps:wsp>
                  </a:graphicData>
                </a:graphic>
              </wp:anchor>
            </w:drawing>
          </mc:Choice>
          <mc:Fallback>
            <w:pict>
              <v:shape id="_x0000_s1033" type="#_x0000_t202" style="position:absolute;margin-left:27.25pt;margin-top:702.pt;width:11.5pt;height:10.550000000000001pt;z-index:-125829369;mso-wrap-distance-left:9.pt;mso-wrap-distance-top:3.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iO</w:t>
                      </w:r>
                    </w:p>
                  </w:txbxContent>
                </v:textbox>
                <w10:wrap type="topAndBottom" anchorx="page" anchory="margin"/>
              </v:shape>
            </w:pict>
          </mc:Fallback>
        </mc:AlternateContent>
      </w:r>
      <w:r>
        <w:t>Neboť i ďábel se míchá a fušuje do umění; můžete ho dobře poznat podle toho, že je od přírody ctižádo</w:t>
      </w:r>
      <w:r>
        <w:softHyphen/>
        <w:t>stivý a ješitný. Honosí se látkou, originalitou nebo siláctvím; každá přemíra, každé bujení je rozkvašeno jeho zka</w:t>
      </w:r>
      <w:r>
        <w:t>ženým dechem; všechno, co v umění je laciné, lesklé a líbivé, jsou nakradené cetky jeho opičí chlubi- vosti; všechno, co je nehotové a nedotvořené, jsou chvatné stopy jeho horečné netrpělivosti a věčného lajdáctví; veškerá falešná a honosná forma je vy</w:t>
      </w:r>
      <w:r>
        <w:softHyphen/>
        <w:t>půj</w:t>
      </w:r>
      <w:r>
        <w:t>čená maska, jíž marně zakrývá svou zoufalou pu</w:t>
      </w:r>
      <w:r>
        <w:softHyphen/>
        <w:t>stotu. Všude, kde pracuje umělec, jako všude, kde jde o lidské vynikání, obchází duch zlý, hledaje svou pří</w:t>
      </w:r>
      <w:r>
        <w:softHyphen/>
        <w:t>ležitost, aby se projevil, aby tě pokoušel nebo posedl. Protože sám nemůže tvořit, hledí se zmocnit t</w:t>
      </w:r>
      <w:r>
        <w:t>ebe. Aby zkazil tvé dílo, kazí tebe a vyžírá tvé nitro samo</w:t>
      </w:r>
      <w:r>
        <w:softHyphen/>
        <w:t>chválou a samolibostí. Aby tě oklamal, abys ho nepo</w:t>
      </w:r>
      <w:r>
        <w:softHyphen/>
        <w:t>znal v jeho pravé a beztvaré podobě, vydává se za tebe sama a bere na sebe tvé zájmy. »To jsem já,« šeptá ti, »já, tvé daimonion; já jsem tvé ge</w:t>
      </w:r>
      <w:r>
        <w:t>niální a ctižádostivé já. Pokud máš mne, jsi veliký a svrchovaný; budeš činit, co se tobě líbí; nebudeš sloužit nežli sám sobě.« Neboť ďábel nikdy nežádá, aby se sloužilo jemu, nýbrž sobě samotnému; on dobře ví, proč to dělá a čím si může osedlat lidské du</w:t>
      </w:r>
      <w:r>
        <w:t>še a činy. Jeho věčná bída, ale také jeho síla je v tom, že mu nic nepatří; svět je boží, a nečistý duch v něm nemá svého domu. Může jen porušovat, co není jeho; nikdy nevíš, neplete-li se ti do tvého díla; jen jedno nedovede: dělat práci čistou a dokonalo</w:t>
      </w:r>
      <w:r>
        <w:t>u.</w:t>
      </w:r>
    </w:p>
    <w:p w:rsidR="00500724" w:rsidRDefault="00F30FB8">
      <w:pPr>
        <w:pStyle w:val="Zkladntext30"/>
        <w:shd w:val="clear" w:color="auto" w:fill="auto"/>
        <w:ind w:firstLine="320"/>
      </w:pPr>
      <w:r>
        <w:t>Díky bohu, konečně mohu mluvit jenom o umění; ale musel jsem mluvit o Bohu i ďáblu, neboť nevěř nikdo, že umění je mimo dobro a zlo. Naopak, v umění je místo pro vznešenější ctnost i pro ohavnější nízkost a neřest než nevím v kterém povolání lidském. Je</w:t>
      </w:r>
      <w:r>
        <w:t xml:space="preserve"> čisté umění, které se pokouší o práci čistou a dokona</w:t>
      </w:r>
      <w:r>
        <w:softHyphen/>
        <w:t>lou; jest uměni, ve kterém tvar věcí je oddělen a vy</w:t>
      </w:r>
      <w:r>
        <w:softHyphen/>
        <w:t>koupen, ba, řekl bych, zbožněn; neboť na věcech může ležet něco jako zřetelná svatost nebo nejasná kletba. Záleží jen na tobě; čím víc miluješ věci,</w:t>
      </w:r>
      <w:r>
        <w:t xml:space="preserve"> s tím větší snažností se budeš prodírat k jejich plnému a tajemně dokonalému bytí. Není ti uloženo tvé dílo, aby ses jím projevil, ale aby ses jím očistil, aby ses odpoutal od sebe sama; netvoříš ze sebe, ale nad sebe; hrozně a trpělivě se domáháš lepšího</w:t>
      </w:r>
      <w:r>
        <w:t xml:space="preserve"> vidění a slyšení, jasnějšího poroz</w:t>
      </w:r>
      <w:r>
        <w:softHyphen/>
        <w:t>umění, větší lásky a hlubšího poznání, než s jakým jsi přistoupil k svému dílu. Tvoříš proto, abys na svém díle poznal tvar a dokonalost věcí. Tvá služba věcem je bohoslužba.</w:t>
      </w:r>
    </w:p>
    <w:p w:rsidR="00500724" w:rsidRDefault="00F30FB8">
      <w:pPr>
        <w:pStyle w:val="Zkladntext30"/>
        <w:shd w:val="clear" w:color="auto" w:fill="auto"/>
        <w:spacing w:after="320"/>
        <w:ind w:firstLine="320"/>
      </w:pPr>
      <w:r>
        <w:t>A naproti tomu je umění nečisté a zlořečené..</w:t>
      </w:r>
      <w:r>
        <w:t>.</w:t>
      </w:r>
    </w:p>
    <w:p w:rsidR="00500724" w:rsidRDefault="00F30FB8">
      <w:pPr>
        <w:pStyle w:val="Jin0"/>
        <w:shd w:val="clear" w:color="auto" w:fill="auto"/>
        <w:spacing w:after="140"/>
        <w:ind w:firstLine="0"/>
        <w:jc w:val="left"/>
        <w:rPr>
          <w:sz w:val="44"/>
          <w:szCs w:val="44"/>
        </w:rPr>
      </w:pPr>
      <w:r>
        <w:rPr>
          <w:b/>
          <w:bCs/>
          <w:sz w:val="44"/>
          <w:szCs w:val="44"/>
          <w:u w:val="single"/>
        </w:rPr>
        <w:t>život a Instituce</w:t>
      </w:r>
    </w:p>
    <w:p w:rsidR="00500724" w:rsidRDefault="00F30FB8">
      <w:pPr>
        <w:pStyle w:val="Zkladntext30"/>
        <w:shd w:val="clear" w:color="auto" w:fill="auto"/>
        <w:spacing w:line="240" w:lineRule="auto"/>
        <w:ind w:firstLine="0"/>
        <w:rPr>
          <w:sz w:val="20"/>
          <w:szCs w:val="20"/>
        </w:rPr>
      </w:pPr>
      <w:r>
        <w:rPr>
          <w:i/>
          <w:iCs/>
          <w:sz w:val="20"/>
          <w:szCs w:val="20"/>
        </w:rPr>
        <w:t>Karel Poláček:</w:t>
      </w:r>
    </w:p>
    <w:p w:rsidR="00500724" w:rsidRDefault="00F30FB8">
      <w:pPr>
        <w:pStyle w:val="Nadpis100"/>
        <w:shd w:val="clear" w:color="auto" w:fill="auto"/>
        <w:spacing w:line="206" w:lineRule="auto"/>
      </w:pPr>
      <w:bookmarkStart w:id="5" w:name="bookmark4"/>
      <w:r>
        <w:t>Věk rychlosti — a jiných věcí</w:t>
      </w:r>
      <w:r>
        <w:br/>
        <w:t>i.</w:t>
      </w:r>
      <w:bookmarkEnd w:id="5"/>
    </w:p>
    <w:p w:rsidR="00500724" w:rsidRDefault="00F30FB8">
      <w:pPr>
        <w:pStyle w:val="Zkladntext30"/>
        <w:shd w:val="clear" w:color="auto" w:fill="auto"/>
        <w:ind w:firstLine="320"/>
      </w:pPr>
      <w:r>
        <w:t>Moderní frazeologie označuje naši současnost vě</w:t>
      </w:r>
      <w:r>
        <w:softHyphen/>
      </w:r>
      <w:r>
        <w:t xml:space="preserve">kem rychlosti, při čemž se domnívá, že složila tomuto století velmi hlubokou poklonu. Na nás jest, abychom rozjímali, máme-li v tom shledávat lichotku nebo </w:t>
      </w:r>
      <w:r>
        <w:rPr>
          <w:b/>
          <w:bCs/>
        </w:rPr>
        <w:t xml:space="preserve">v </w:t>
      </w:r>
      <w:r>
        <w:t>něm spatřovat znepokojující skutečnost.</w:t>
      </w:r>
    </w:p>
    <w:p w:rsidR="00500724" w:rsidRDefault="00F30FB8">
      <w:pPr>
        <w:pStyle w:val="Zkladntext30"/>
        <w:shd w:val="clear" w:color="auto" w:fill="auto"/>
        <w:spacing w:after="60" w:line="223" w:lineRule="auto"/>
        <w:ind w:firstLine="320"/>
      </w:pPr>
      <w:r>
        <w:t>I pozorovatel velmi prostřední zjišťuje, že dnešní pokolen</w:t>
      </w:r>
      <w:r>
        <w:t>í se ničemu tak neklaní jako rychlosti, že tato rychlost byla povýšena na božství, kolem něhož se pro</w:t>
      </w:r>
      <w:r>
        <w:softHyphen/>
        <w:t>vozuje vytrvalá a náruživá bohoslužba. Letmý pohled na dnešní tisk potvrzuje tento fakt. Co nám poskytuje filmový týdeník s jednotvárnou pravidelností? Vo</w:t>
      </w:r>
      <w:r>
        <w:t>jen</w:t>
      </w:r>
      <w:r>
        <w:softHyphen/>
        <w:t>ské přehlídky za doprovodu řinčivé hudby; módní přehlídky, jež vysvětluje tlachání neviditelného řeční</w:t>
      </w:r>
      <w:r>
        <w:softHyphen/>
        <w:t>ka. Avšak žádný filmový žurnál není bez závodu mo</w:t>
      </w:r>
      <w:r>
        <w:softHyphen/>
        <w:t>torových lodic, které klouzají po hladině vodní s tako</w:t>
      </w:r>
      <w:r>
        <w:softHyphen/>
        <w:t>vou rychlostí, že připomínají létající ryby.</w:t>
      </w:r>
      <w:r>
        <w:t xml:space="preserve"> Při každém programu býváme svědky automobilových závodů, kdy vozy v zatáčkách v běsnivé rychlosti tančí na dvou kolech. Býváme přítomni různým dostihům a sportovním utkáním, v nichž zvířata i lidé zápasí o palmu vítězství.</w:t>
      </w:r>
    </w:p>
    <w:p w:rsidR="00500724" w:rsidRDefault="00F30FB8">
      <w:pPr>
        <w:pStyle w:val="Zkladntext30"/>
        <w:shd w:val="clear" w:color="auto" w:fill="auto"/>
        <w:spacing w:after="60"/>
      </w:pPr>
      <w:r>
        <w:t>Žádný filmový zpravodaj neopomin</w:t>
      </w:r>
      <w:r>
        <w:t>e nám pak na</w:t>
      </w:r>
      <w:r>
        <w:softHyphen/>
        <w:t>bídnout! zvětšený obraz vítězův, mladého muže či ženy. Za starodávných dob by byl tento vítěz promě</w:t>
      </w:r>
      <w:r>
        <w:softHyphen/>
        <w:t>něn v souhvězdí a pojat mezi bohy. Smíme se pokochat pohledem na nádherné tělo mladého boha, na němž každý sval dýše prudkým, intensivním život</w:t>
      </w:r>
      <w:r>
        <w:t>em. Avšak když pohled divákův se zastaví na tváři mladého boha, tu je nápadná překvapující tupost, na níž jest patrna nepřítomnost myšlenky. Věru, vše oživující duch se nedotkl onoho nízkého čela, býčího čela, takřka až k obočí zarostlému bujnými vlasy. Ml</w:t>
      </w:r>
      <w:r>
        <w:t>adého, prosto- myslně se usmívajícího boha přivlekou k mikrofonu jeho manageři, aby celému světu zvěstoval své posel</w:t>
      </w:r>
      <w:r>
        <w:softHyphen/>
        <w:t>ství, evangelium nové víry, náboženství rychlosti, dogma rekordu. Rekordman jest bůh a manageři jeho proroci. Ale na těchto prorocích nic z</w:t>
      </w:r>
      <w:r>
        <w:t>jevně nesvědčí o tom, že jsou fanaticky oddáni sportovnímu nábožen</w:t>
      </w:r>
      <w:r>
        <w:softHyphen/>
        <w:t>ství. Fysický zevnějšek oněch kněží zřetelně praví: ne podle našich skutků, ale podle našich slov se řiďte. Krátkonozí, tuční mužíci, oblých tváří a s dvojitým podbradkem slouží bohu rychlo</w:t>
      </w:r>
      <w:r>
        <w:t>sti ze zištnosti. Z povo</w:t>
      </w:r>
      <w:r>
        <w:softHyphen/>
        <w:t>lání hlásají dogma rekordu, celému světu závaznou nauku o sportovních výkonech.</w:t>
      </w:r>
    </w:p>
    <w:p w:rsidR="00500724" w:rsidRDefault="00F30FB8">
      <w:pPr>
        <w:pStyle w:val="Zkladntext30"/>
        <w:shd w:val="clear" w:color="auto" w:fill="auto"/>
        <w:spacing w:after="180"/>
      </w:pPr>
      <w:r>
        <w:t>Mladý bůh pronese do mikrofonu s dětskou ostý</w:t>
      </w:r>
      <w:r>
        <w:softHyphen/>
        <w:t>chavostí, která svědčí o prosté mysli, několik chroch- tavých, blábolivých a překotných slov. Stručné jes</w:t>
      </w:r>
      <w:r>
        <w:t>t jeho poselství. Bůh rychlosti, bůh rekordu nenaučil se mluvit. Nedovede užívat slov, která mají býti vy</w:t>
      </w:r>
      <w:r>
        <w:softHyphen/>
        <w:t>jádřením myšlenky. Ostatně není úkolem bohů, aby vytvořili ideologii, to jest věc kněží.</w:t>
      </w:r>
    </w:p>
    <w:p w:rsidR="00500724" w:rsidRDefault="00F30FB8">
      <w:pPr>
        <w:pStyle w:val="Zkladntext30"/>
        <w:shd w:val="clear" w:color="auto" w:fill="auto"/>
        <w:spacing w:after="120" w:line="240" w:lineRule="auto"/>
        <w:ind w:firstLine="0"/>
        <w:jc w:val="center"/>
        <w:rPr>
          <w:sz w:val="20"/>
          <w:szCs w:val="20"/>
        </w:rPr>
      </w:pPr>
      <w:r>
        <w:rPr>
          <w:b/>
          <w:bCs/>
          <w:sz w:val="20"/>
          <w:szCs w:val="20"/>
        </w:rPr>
        <w:t>2.</w:t>
      </w:r>
    </w:p>
    <w:p w:rsidR="00500724" w:rsidRDefault="00F30FB8">
      <w:pPr>
        <w:pStyle w:val="Nadpis110"/>
        <w:shd w:val="clear" w:color="auto" w:fill="auto"/>
        <w:spacing w:after="60" w:line="218" w:lineRule="auto"/>
        <w:jc w:val="center"/>
      </w:pPr>
      <w:bookmarkStart w:id="6" w:name="bookmark5"/>
      <w:r>
        <w:rPr>
          <w:rFonts w:ascii="Times New Roman" w:eastAsia="Times New Roman" w:hAnsi="Times New Roman" w:cs="Times New Roman"/>
        </w:rPr>
        <w:t>Člověk 1939</w:t>
      </w:r>
      <w:bookmarkEnd w:id="6"/>
    </w:p>
    <w:p w:rsidR="00500724" w:rsidRDefault="00F30FB8">
      <w:pPr>
        <w:pStyle w:val="Zkladntext30"/>
        <w:shd w:val="clear" w:color="auto" w:fill="auto"/>
        <w:spacing w:after="60"/>
      </w:pPr>
      <w:r>
        <w:t xml:space="preserve">V našem zákonodárství nalezneme ustanovení, </w:t>
      </w:r>
      <w:r>
        <w:t>dáv</w:t>
      </w:r>
      <w:r>
        <w:softHyphen/>
        <w:t>no zapomenutá. Ustanovení, jež budí úsměv svým po- divínstvím. Podle dosud platného zákona musí před každým vozidlem, poháněným parou, běžeti muž a má- vati rudým praporkem, aby varoval obecenstvo. Podle jiného ustanovení měly by všechny trati býti ohr</w:t>
      </w:r>
      <w:r>
        <w:t>azeny vysokým plotem, aby tak jedoucí vlak byl zakryt zra</w:t>
      </w:r>
      <w:r>
        <w:softHyphen/>
        <w:t>kům diváků. Oba tyto právní předpisy přestanou nás udivovat, když si uvědomíme jejich historický důvod. Tehdejší zákonodárce byl toho přesvědčení, že ani nej</w:t>
      </w:r>
      <w:r>
        <w:softHyphen/>
        <w:t>větší rychlost parostroje nemůže býti ta</w:t>
      </w:r>
      <w:r>
        <w:t>k veliká, aby před ním nemohl bezpečně běžet muž s varovným pra</w:t>
      </w:r>
      <w:r>
        <w:softHyphen/>
        <w:t xml:space="preserve">porkem. Současně však měl obavu, </w:t>
      </w:r>
      <w:r>
        <w:rPr>
          <w:b/>
          <w:bCs/>
        </w:rPr>
        <w:t xml:space="preserve">že </w:t>
      </w:r>
      <w:r>
        <w:t xml:space="preserve">tato šílená rychlost může způsobiti, že se dobytek při pohledu na pádící vlak splaší, člověk pak dostane závrati, ba dokonce, že může přijít o rozum; proto </w:t>
      </w:r>
      <w:r>
        <w:t>ustanovil, že trať musí býti zakryta neprůhledným plotem.</w:t>
      </w:r>
    </w:p>
    <w:p w:rsidR="00500724" w:rsidRDefault="00F30FB8">
      <w:pPr>
        <w:pStyle w:val="Zkladntext30"/>
        <w:shd w:val="clear" w:color="auto" w:fill="auto"/>
        <w:spacing w:after="60"/>
        <w:ind w:firstLine="280"/>
      </w:pPr>
      <w:r>
        <w:t>Avšak stalo se jinak, než předvídal zákonodárce. Dobytek si zvykl na rychlost a hluk stroje a neplaší se; přirozeně, že i lidé zvykli této rychlosti. Přes to však nelze tvrditi, že by stroje, jejich</w:t>
      </w:r>
      <w:r>
        <w:t xml:space="preserve"> rychlost a jejich funkce byla bez vlivu na duševní ústrojí. Ba možno zjistiti, že vlivem strojů mění se i fysiologický typ člověka; dnešní člověk, podporován rychlostí a zá</w:t>
      </w:r>
      <w:r>
        <w:softHyphen/>
        <w:t>roveň jí poddán, počíná se zřetelně lišiti od člověka uplývající epochy.</w:t>
      </w:r>
    </w:p>
    <w:p w:rsidR="00500724" w:rsidRDefault="00F30FB8">
      <w:pPr>
        <w:pStyle w:val="Zkladntext30"/>
        <w:shd w:val="clear" w:color="auto" w:fill="auto"/>
        <w:spacing w:after="60"/>
        <w:ind w:firstLine="280"/>
      </w:pPr>
      <w:r>
        <w:t>Jest větš</w:t>
      </w:r>
      <w:r>
        <w:t xml:space="preserve">í, půvabnější, pohyblivější, a jeho svaly mají pružnost šelmy. Jeho tělesná výkonnost, rychlost a obratnost překonává minulého člověka; tvrdí se, že </w:t>
      </w:r>
      <w:r>
        <w:rPr>
          <w:b/>
          <w:bCs/>
        </w:rPr>
        <w:t xml:space="preserve">i </w:t>
      </w:r>
      <w:r>
        <w:t>věková hranice dnešního člověka je vyšší. Velmi roz</w:t>
      </w:r>
      <w:r>
        <w:softHyphen/>
        <w:t>šířena jest starostlivá péče o tělesnou kulturu. Salo</w:t>
      </w:r>
      <w:r>
        <w:t>ny pro pěstění krásy vystřídaly literární salony. Každý průměrný muž a žena bedlivě si všímá moderní nauky o vitaminech, o vnitřní sekreci. Velmi opatrně volí potravu a denně cvičí, aby si udržel mladost; chce býti krásný a dlouho žiti na zemi. Uctivou poz</w:t>
      </w:r>
      <w:r>
        <w:t>ornost věnuje polovědeckým článkům v našich večernících, které svým čtenářům slibují věk Metuzalémův.</w:t>
      </w:r>
    </w:p>
    <w:p w:rsidR="00500724" w:rsidRDefault="00F30FB8">
      <w:pPr>
        <w:pStyle w:val="Zkladntext30"/>
        <w:shd w:val="clear" w:color="auto" w:fill="auto"/>
        <w:spacing w:after="60"/>
        <w:ind w:firstLine="280"/>
      </w:pPr>
      <w:r>
        <w:t>Nedovedli bychom spolehlivě charakterisovat typ mladého muže a mladé ženy 1939, zejména proto, že tento druh není dosud vyvinut, ohraničen. Zatím se nám j</w:t>
      </w:r>
      <w:r>
        <w:t>eví jakýsi polotvar. Pozorujeme krásné a zářivé mládí, jehož oděv zdůrazňuje sportovní záliby; mládí s kytarou, mandolínou a harmonikou, jež své neděle prožívá v indiánské romantice. Mládež zcela skeptic</w:t>
      </w:r>
      <w:r>
        <w:softHyphen/>
        <w:t>ká, která však vážně béře kolportážní četbu, mládež,</w:t>
      </w:r>
      <w:r>
        <w:t xml:space="preserve"> opovrhující autoritou, která však chová uctivý obdiv pro americké gangstery s jejich maskami, odvážností a kulomety. Mládež, která se nadšeně koří automobilu. Před trestními soudy počínají se objevovati nezletilci jakožto náčelníci lupičských band; tito n</w:t>
      </w:r>
      <w:r>
        <w:t>ezletilci se vyznačují iniciativností a vynalézavostí, a proto jejich autoritě podléhají i dospělí lidé.</w:t>
      </w:r>
    </w:p>
    <w:p w:rsidR="00500724" w:rsidRDefault="00F30FB8">
      <w:pPr>
        <w:pStyle w:val="Zkladntext30"/>
        <w:shd w:val="clear" w:color="auto" w:fill="auto"/>
        <w:spacing w:after="60"/>
        <w:ind w:firstLine="280"/>
      </w:pPr>
      <w:r>
        <w:t>Typ tělesně vyvinutého sportsmana jest ovšem vý</w:t>
      </w:r>
      <w:r>
        <w:softHyphen/>
        <w:t>jimka, jako jest výjimkou rekord, pozornost budící tělesný výkon, úspěch to vytrvalého snažení a asketi</w:t>
      </w:r>
      <w:r>
        <w:t>c</w:t>
      </w:r>
      <w:r>
        <w:softHyphen/>
        <w:t>kého sebezapření. Všechno ostatní je dav, šedivé, bez</w:t>
      </w:r>
      <w:r>
        <w:softHyphen/>
        <w:t>tvaré zástupy, zjevně se v ničem nelišící od minulého zástupu. Avšak je to dav věřících, dav zbožňující mladé bohy, dav kořící se dogmatu tělesného výkonu, dav uctívající přebornictví.</w:t>
      </w:r>
    </w:p>
    <w:p w:rsidR="00500724" w:rsidRDefault="00F30FB8">
      <w:pPr>
        <w:pStyle w:val="Zkladntext30"/>
        <w:shd w:val="clear" w:color="auto" w:fill="auto"/>
        <w:spacing w:after="140" w:line="221" w:lineRule="auto"/>
        <w:ind w:firstLine="280"/>
      </w:pPr>
      <w:r>
        <w:t xml:space="preserve">Moderní chrámy </w:t>
      </w:r>
      <w:r>
        <w:t>jsou hřiště a stadiony. Tam ne</w:t>
      </w:r>
      <w:r>
        <w:softHyphen/>
        <w:t>děli co neděli putuje zástup věřících, aby byl účasten bohoslužby. Tam prožívá chvíle náboženského vytrže</w:t>
      </w:r>
      <w:r>
        <w:softHyphen/>
        <w:t>ní; fanaticky povzbuzuje své bohy k větším výkonům. Jásá vstříc vítězům a zlořečí poraženým. Modloslužeb</w:t>
      </w:r>
      <w:r>
        <w:softHyphen/>
        <w:t>níci vždycky t</w:t>
      </w:r>
      <w:r>
        <w:t xml:space="preserve">upí své modly, které nevyplnily jejich orání. V novinové hantýrce nazývají se tito věřící soortovně uvědomělým obecenstvem. Politická moc </w:t>
      </w:r>
      <w:r>
        <w:rPr>
          <w:b/>
          <w:bCs/>
        </w:rPr>
        <w:t xml:space="preserve">těchto </w:t>
      </w:r>
      <w:r>
        <w:t>davů jest hodná pozoru. Náčelníci států a vlády musí se sklonit před jejich modlou, před bohem rychlo</w:t>
      </w:r>
      <w:r>
        <w:softHyphen/>
      </w:r>
      <w:r>
        <w:rPr>
          <w:b/>
          <w:bCs/>
        </w:rPr>
        <w:t xml:space="preserve">sti </w:t>
      </w:r>
      <w:r>
        <w:t>a rek</w:t>
      </w:r>
      <w:r>
        <w:t>ordu, aby neztratili popularitu. Vítězové mezinárodních zápasů jsou uctíváni jako bojovníci, kteří svému národu dobyli část cizího území.</w:t>
      </w:r>
    </w:p>
    <w:p w:rsidR="00500724" w:rsidRDefault="00F30FB8">
      <w:pPr>
        <w:pStyle w:val="Nadpis110"/>
        <w:shd w:val="clear" w:color="auto" w:fill="auto"/>
        <w:spacing w:after="40" w:line="218" w:lineRule="auto"/>
        <w:jc w:val="center"/>
      </w:pPr>
      <w:bookmarkStart w:id="7" w:name="bookmark6"/>
      <w:r>
        <w:rPr>
          <w:rFonts w:ascii="Times New Roman" w:eastAsia="Times New Roman" w:hAnsi="Times New Roman" w:cs="Times New Roman"/>
        </w:rPr>
        <w:t>3.</w:t>
      </w:r>
      <w:bookmarkEnd w:id="7"/>
    </w:p>
    <w:p w:rsidR="00500724" w:rsidRDefault="00F30FB8">
      <w:pPr>
        <w:pStyle w:val="Zkladntext30"/>
        <w:shd w:val="clear" w:color="auto" w:fill="auto"/>
        <w:ind w:firstLine="0"/>
        <w:jc w:val="center"/>
      </w:pPr>
      <w:r>
        <w:t>Prudké pohyby a úpadek řeči</w:t>
      </w:r>
    </w:p>
    <w:p w:rsidR="00500724" w:rsidRDefault="00F30FB8">
      <w:pPr>
        <w:pStyle w:val="Zkladntext30"/>
        <w:shd w:val="clear" w:color="auto" w:fill="auto"/>
      </w:pPr>
      <w:r>
        <w:t>Národní neštěstí mívá v zápětí boj proti drobným nešvarům. Tento boj jest provázen rozm</w:t>
      </w:r>
      <w:r>
        <w:t>nožením a zesílením rozličných zvuků a zrychlením pohybů. Zejména byrokracie a někteří staří politikové, vyschlí rutinou, počali prudkými pohyby naznačovat omlaze</w:t>
      </w:r>
      <w:r>
        <w:softHyphen/>
        <w:t xml:space="preserve">nou energii. Přednostové úřadů počali rychleji pobí- hati po své kanceláři; staří předsedové </w:t>
      </w:r>
      <w:r>
        <w:t>stran se při</w:t>
      </w:r>
      <w:r>
        <w:softHyphen/>
        <w:t>pojili vydatným způsobem k volání: Mladí vpřed! a pak usedli na svá místa, ale usedli prudce. Prudce usednuvše, pevně sedí a energicky se rozhlížejí, což má posloužit jako důkaz, že se omladili. Počínají si jako starý seladon, jenž se brání pr</w:t>
      </w:r>
      <w:r>
        <w:t>oti ničivému útoku času tím, že si barví kníry. Někteří starci v dnešní době se podobají clownům z cirku, kteří s odhodlanou tváří se rozběhnou a pak skočí s výše jednoho deci</w:t>
      </w:r>
      <w:r>
        <w:softHyphen/>
        <w:t>metru. Takové prudké, ale neužitečné pohyby úřadů a institucí nazval Dostojevski</w:t>
      </w:r>
      <w:r>
        <w:t>j administrativ</w:t>
      </w:r>
      <w:r>
        <w:softHyphen/>
        <w:t>ním nadšením.</w:t>
      </w:r>
    </w:p>
    <w:p w:rsidR="00500724" w:rsidRDefault="00F30FB8">
      <w:pPr>
        <w:pStyle w:val="Zkladntext30"/>
        <w:shd w:val="clear" w:color="auto" w:fill="auto"/>
      </w:pPr>
      <w:r>
        <w:t>Po mnichovském ujednání došly velké obliby činy jako je hluk, lomoz, zesílené hlasy, prudké pohyby a překotné posunky. K takovým činům dlužno na pří</w:t>
      </w:r>
      <w:r>
        <w:softHyphen/>
        <w:t xml:space="preserve">klad považovati tažení pražského magistrátu proti cizojazyčným nápisům. Není </w:t>
      </w:r>
      <w:r>
        <w:t>ovšem pochybnosti o tom, že francouzská a anglická označení obchodů a živností dávají najevo ducha pošetilého provincialis</w:t>
      </w:r>
      <w:r>
        <w:softHyphen/>
        <w:t>mu; předstírají světácký lesk; cizojazyčná firma má kupujícímu imponovat jako černochovi cylindr. Po</w:t>
      </w:r>
      <w:r>
        <w:softHyphen/>
        <w:t>chválíme pražský magistrát za je</w:t>
      </w:r>
      <w:r>
        <w:t>ho horlivost; úřadu jinak bývají plamenné city cizí; líbí se nám, že zaká</w:t>
      </w:r>
      <w:r>
        <w:softHyphen/>
        <w:t>zal jazykové nestvůry jako Obalocentra a Gustoprádlo, ačkoli tomuto užitečnému nařízení nemusila předcházet národní katastrofa. Věru, stačí nám krejčí, jenom když dovede šiti šaty, a</w:t>
      </w:r>
      <w:r>
        <w:t xml:space="preserve"> nepotřebu</w:t>
      </w:r>
      <w:r>
        <w:softHyphen/>
        <w:t>jeme taylorů.</w:t>
      </w:r>
    </w:p>
    <w:p w:rsidR="00500724" w:rsidRDefault="00F30FB8">
      <w:pPr>
        <w:pStyle w:val="Zkladntext30"/>
        <w:shd w:val="clear" w:color="auto" w:fill="auto"/>
        <w:spacing w:after="80" w:line="221" w:lineRule="auto"/>
      </w:pPr>
      <w:r>
        <w:t>Přes to však se nedovedeme zbavit pochybnosti o tom, že by kterýkoli úřad měl sílu pozdvihnouti úroveň české mluvy; nařízení, předpis či zákaz má asi takový účinek jako kouzelníkovo zaklínání. Stejně tak nebudou prospěšní oni purit</w:t>
      </w:r>
      <w:r>
        <w:t>ánští horlivci, kteří se v těchto nevlídných dobách velmi rozmohli v bulvár</w:t>
      </w:r>
      <w:r>
        <w:softHyphen/>
        <w:t>ních večernících, leda, že by se tito novináři snažili zlepšit soukromou pílí svůj vlastní jazyk, věnujíce se ve volných chvílích sebevzdělání. Neboť zvětšení jazy</w:t>
      </w:r>
      <w:r>
        <w:softHyphen/>
        <w:t xml:space="preserve">ka jest v přímé </w:t>
      </w:r>
      <w:r>
        <w:t>souvislosti s úpadkem evropské vzdě</w:t>
      </w:r>
      <w:r>
        <w:softHyphen/>
        <w:t>lanosti.</w:t>
      </w:r>
    </w:p>
    <w:p w:rsidR="00500724" w:rsidRDefault="00F30FB8">
      <w:pPr>
        <w:pStyle w:val="Zkladntext30"/>
        <w:shd w:val="clear" w:color="auto" w:fill="auto"/>
        <w:spacing w:line="221" w:lineRule="auto"/>
      </w:pPr>
      <w:r>
        <w:t>Soumrak Západu počíná se rokem 1914, kdy byl vlastně nastolen Věk rychlosti. Spiklenci na trůnech dávají první znamení k revoluci. Počíná útok na du</w:t>
      </w:r>
      <w:r>
        <w:softHyphen/>
        <w:t>chovní a hmotné hodnoty, jež zbudovaly věky, na bezpečnost a p</w:t>
      </w:r>
      <w:r>
        <w:t>rávní řád, jež charakterisují dobu před</w:t>
      </w:r>
      <w:r>
        <w:softHyphen/>
        <w:t>válečnou. Spiklenci namířili těžké houfnice proti mě</w:t>
      </w:r>
      <w:r>
        <w:softHyphen/>
        <w:t>stům, zapálili katedrály, obrazárny, školy, knihovny a musea. Zanechali svět dýmajících trosek.</w:t>
      </w:r>
    </w:p>
    <w:p w:rsidR="00500724" w:rsidRDefault="00F30FB8">
      <w:pPr>
        <w:pStyle w:val="Zkladntext30"/>
        <w:shd w:val="clear" w:color="auto" w:fill="auto"/>
        <w:sectPr w:rsidR="00500724">
          <w:footnotePr>
            <w:numFmt w:val="chicago"/>
            <w:numRestart w:val="eachPage"/>
          </w:footnotePr>
          <w:type w:val="continuous"/>
          <w:pgSz w:w="11909" w:h="16834"/>
          <w:pgMar w:top="1443" w:right="895" w:bottom="1026" w:left="494" w:header="0" w:footer="3" w:gutter="0"/>
          <w:cols w:num="2" w:space="123"/>
          <w:noEndnote/>
          <w:docGrid w:linePitch="360"/>
        </w:sectPr>
      </w:pPr>
      <w:r>
        <w:t xml:space="preserve">Počátkem světové války se počíná žít </w:t>
      </w:r>
      <w:r>
        <w:t>a umírat</w:t>
      </w:r>
    </w:p>
    <w:p w:rsidR="00500724" w:rsidRDefault="00F30FB8">
      <w:pPr>
        <w:pStyle w:val="Zkladntext30"/>
        <w:shd w:val="clear" w:color="auto" w:fill="auto"/>
        <w:ind w:firstLine="0"/>
      </w:pPr>
      <w:r>
        <w:t>rychleji. Nesnadný život, snadná smrt. Objevuje se nedostatek všeho, zejména času; i počíná se mluvit rychleji, zběžněji. Zkracují se obšírná slova; věty budí dojem telegrafický, stenografický. Ničivé stroje ovlá</w:t>
      </w:r>
      <w:r>
        <w:softHyphen/>
        <w:t xml:space="preserve">dají svět; jejich technika pašuje </w:t>
      </w:r>
      <w:r>
        <w:t>do jazykového orga</w:t>
      </w:r>
      <w:r>
        <w:softHyphen/>
        <w:t>nismu cizí a nečisté prvky. Tehdy se vplížila. do řeči novinka, že totiž se slova utvářejí ze začátečních písmen, z několika nesourodých kmenů. Ve své tra</w:t>
      </w:r>
      <w:r>
        <w:softHyphen/>
        <w:t>gedii ^Poslední dnové lidstva« dává autor v celém jednom výjevu mluvit svým postav</w:t>
      </w:r>
      <w:r>
        <w:t>ám v těchto ne- stvůrných spřežkách, člověk přestává být pánem své řeči, když mu velí stroje.</w:t>
      </w:r>
    </w:p>
    <w:p w:rsidR="00500724" w:rsidRDefault="00F30FB8">
      <w:pPr>
        <w:pStyle w:val="Zkladntext30"/>
        <w:shd w:val="clear" w:color="auto" w:fill="auto"/>
        <w:tabs>
          <w:tab w:val="left" w:pos="3835"/>
        </w:tabs>
        <w:spacing w:after="240"/>
        <w:ind w:firstLine="220"/>
      </w:pPr>
      <w:r>
        <w:t>Na místě hodnotného zboží se nabízely napodobeni</w:t>
      </w:r>
      <w:r>
        <w:softHyphen/>
        <w:t>ny, a tehdy počínáme se setkávati s napodobeninami pojmů. Pokud však zůstaly některé pojmy předváleč</w:t>
      </w:r>
      <w:r>
        <w:softHyphen/>
        <w:t>né, ztratily</w:t>
      </w:r>
      <w:r>
        <w:t xml:space="preserve"> obvyklý obsah, neboť i pojmy, procháze</w:t>
      </w:r>
      <w:r>
        <w:softHyphen/>
        <w:t>jíce určitým politickým ovzduším, kultuře nepřátel</w:t>
      </w:r>
      <w:r>
        <w:softHyphen/>
        <w:t>ským, podléhají jeho ničivému vlivu. Možno říci, že některé pojmy onemocní, stanou se zrůdami. Světo</w:t>
      </w:r>
      <w:r>
        <w:softHyphen/>
        <w:t>vou válkou se otevřelo panoptikum neduživých pojmů, jejich napod</w:t>
      </w:r>
      <w:r>
        <w:t>obenin a novotvarů.</w:t>
      </w:r>
      <w:r>
        <w:tab/>
        <w:t>(Dokončení).</w:t>
      </w:r>
    </w:p>
    <w:p w:rsidR="00500724" w:rsidRDefault="00F30FB8">
      <w:pPr>
        <w:pStyle w:val="Jin0"/>
        <w:pBdr>
          <w:bottom w:val="single" w:sz="4" w:space="0" w:color="auto"/>
        </w:pBdr>
        <w:shd w:val="clear" w:color="auto" w:fill="auto"/>
        <w:spacing w:after="240"/>
        <w:ind w:firstLine="0"/>
        <w:jc w:val="left"/>
        <w:rPr>
          <w:sz w:val="46"/>
          <w:szCs w:val="46"/>
        </w:rPr>
      </w:pPr>
      <w:r>
        <w:rPr>
          <w:b/>
          <w:bCs/>
          <w:sz w:val="46"/>
          <w:szCs w:val="46"/>
        </w:rPr>
        <w:t>doba a lidé</w:t>
      </w:r>
    </w:p>
    <w:p w:rsidR="00500724" w:rsidRDefault="00F30FB8">
      <w:pPr>
        <w:pStyle w:val="Zkladntext30"/>
        <w:shd w:val="clear" w:color="auto" w:fill="auto"/>
        <w:spacing w:line="221" w:lineRule="auto"/>
        <w:ind w:firstLine="0"/>
        <w:rPr>
          <w:sz w:val="20"/>
          <w:szCs w:val="20"/>
        </w:rPr>
      </w:pPr>
      <w:r>
        <w:rPr>
          <w:i/>
          <w:iCs/>
          <w:sz w:val="20"/>
          <w:szCs w:val="20"/>
        </w:rPr>
        <w:t>Milena Jesenská:</w:t>
      </w:r>
    </w:p>
    <w:p w:rsidR="00500724" w:rsidRDefault="00F30FB8">
      <w:pPr>
        <w:pStyle w:val="Nadpis100"/>
        <w:shd w:val="clear" w:color="auto" w:fill="auto"/>
        <w:spacing w:line="240" w:lineRule="auto"/>
      </w:pPr>
      <w:bookmarkStart w:id="8" w:name="bookmark7"/>
      <w:r>
        <w:t>Nouze na běžícím pasu</w:t>
      </w:r>
      <w:bookmarkEnd w:id="8"/>
    </w:p>
    <w:p w:rsidR="00500724" w:rsidRDefault="00F30FB8">
      <w:pPr>
        <w:pStyle w:val="Zkladntext1"/>
        <w:shd w:val="clear" w:color="auto" w:fill="auto"/>
        <w:spacing w:after="40" w:line="233" w:lineRule="auto"/>
        <w:ind w:firstLine="0"/>
        <w:jc w:val="center"/>
      </w:pPr>
      <w:r>
        <w:t>(Zastavárny, průchodní domy nouze.)</w:t>
      </w:r>
    </w:p>
    <w:p w:rsidR="00500724" w:rsidRDefault="00F30FB8">
      <w:pPr>
        <w:pStyle w:val="Zkladntext1"/>
        <w:shd w:val="clear" w:color="auto" w:fill="auto"/>
        <w:spacing w:line="233" w:lineRule="auto"/>
      </w:pPr>
      <w:r>
        <w:t xml:space="preserve">Většina z vás tudy asi neprošla. Kdybyste však přece projít měli, hanbili byste se, protože se za nic lidé ne- hanbí tolik, jako za </w:t>
      </w:r>
      <w:r>
        <w:t>nedostatek. Zde je pak nedostatek v chumlu a houfu, před očima všech bude vám vybalit raneček, položit jej na okénko a čekat, jak jej odhadce ocení. Jsou lidé, kteří odcházejí s několika stovkami, pak se nesou jako páni, doma mají ještě lepší časy, jenom t</w:t>
      </w:r>
      <w:r>
        <w:t>ak namátkou popadli něco drahocenného a za</w:t>
      </w:r>
      <w:r>
        <w:softHyphen/>
        <w:t>stavili to, ovšem, pouze na několik dnů, to víte, tyhle</w:t>
      </w:r>
    </w:p>
    <w:p w:rsidR="00500724" w:rsidRDefault="00F30FB8">
      <w:pPr>
        <w:pStyle w:val="Zkladntext1"/>
        <w:shd w:val="clear" w:color="auto" w:fill="auto"/>
        <w:tabs>
          <w:tab w:val="left" w:leader="underscore" w:pos="3586"/>
        </w:tabs>
        <w:spacing w:line="233" w:lineRule="auto"/>
        <w:ind w:firstLine="0"/>
      </w:pPr>
      <w:r>
        <w:t>časy mohou i na zámožné dolehnout.</w:t>
      </w:r>
      <w:r>
        <w:tab/>
        <w:t>Takovým lidem</w:t>
      </w:r>
    </w:p>
    <w:p w:rsidR="00500724" w:rsidRDefault="00F30FB8">
      <w:pPr>
        <w:pStyle w:val="Zkladntext1"/>
        <w:shd w:val="clear" w:color="auto" w:fill="auto"/>
        <w:spacing w:after="40" w:line="233" w:lineRule="auto"/>
        <w:ind w:firstLine="0"/>
      </w:pPr>
      <w:r>
        <w:t>čouhá z úst úsměv trochu povýšený a trochu vtíravý, mají velkou potřebu nějak se odlišit od šedivého zá</w:t>
      </w:r>
      <w:r>
        <w:softHyphen/>
        <w:t>stup</w:t>
      </w:r>
      <w:r>
        <w:t>u, který čeká za nimi, potřebovali by nějak pro</w:t>
      </w:r>
      <w:r>
        <w:softHyphen/>
        <w:t>kázat, že jsou tu po prvé a náhodou a rozhodně naposled. Na konec se dostanou do rozpaků, jako lidé, kteří skočili do jedoucí elektriky, klopýtli, začali se kolem dokola usmívat, hledajíce na okolních tvářích</w:t>
      </w:r>
      <w:r>
        <w:t xml:space="preserve"> pocho</w:t>
      </w:r>
      <w:r>
        <w:softHyphen/>
        <w:t xml:space="preserve">pení a spoluúsměv, ale nacházejí jenom naprostou lhostejnost, neúčast, nezájem a teď se ostyšně starají, kam schovat ten úsměv, nikým neopětovaný: zbytečně jim čouhá z úst a najednou tvář vyhladit také nelze. Tak se také chovají lidé, kteří mají po </w:t>
      </w:r>
      <w:r>
        <w:t>prvé lyže na nohou nebo vůbec lidé, kteří se dostali do nějaké ne</w:t>
      </w:r>
      <w:r>
        <w:softHyphen/>
        <w:t>čekané a nešikovné situace, kterou ovládají mnohem méně, než ti druzí.</w:t>
      </w:r>
    </w:p>
    <w:p w:rsidR="00500724" w:rsidRDefault="00F30FB8">
      <w:pPr>
        <w:pStyle w:val="Zkladntext1"/>
        <w:shd w:val="clear" w:color="auto" w:fill="auto"/>
        <w:spacing w:line="233" w:lineRule="auto"/>
      </w:pPr>
      <w:r>
        <w:t>Za nimi už stojí celý zástup profesionálních zastavo- vačů. Těch je v zastavárně nejvíc, dlouhé, nepřehledné řady, návš</w:t>
      </w:r>
      <w:r>
        <w:t>těvníci skoro kvartální. Většinou ženy, ovšem. Přinášejí rance a ranečky, zřejmě už několikrát za</w:t>
      </w:r>
      <w:r>
        <w:softHyphen/>
        <w:t>stavené, vědí předem, kolik na to dostanou, zastavují posledního a vyplácejí prvního, odnášejí na podzim zimní kabáty, vyplácejíce je za korunky, které ;im by</w:t>
      </w:r>
      <w:r>
        <w:t>ly půjčeny na kabáty letní. Pro ně nemá už zasta</w:t>
      </w:r>
      <w:r>
        <w:softHyphen/>
        <w:t>várna ani trochu hrůzy. Je to jen šedivá a nudná věc, na pět číšek čtyřicet korun paní. To je možné, že jste dostala minule čtyřicet pět, ale mám toho tady ležet celé stohy.</w:t>
      </w:r>
    </w:p>
    <w:p w:rsidR="00500724" w:rsidRDefault="00F30FB8">
      <w:pPr>
        <w:pStyle w:val="Zkladntext1"/>
        <w:shd w:val="clear" w:color="auto" w:fill="auto"/>
        <w:spacing w:line="230" w:lineRule="auto"/>
        <w:ind w:firstLine="240"/>
      </w:pPr>
      <w:r>
        <w:t xml:space="preserve">Z těch ranečků se vynořují někdy </w:t>
      </w:r>
      <w:r>
        <w:t>strašně ubohé věci: dětské botičky, háčkované krajky, kousek kožišinového límečku, dva metry sametu, maškarní kostým, beranice, vesta, jedna vesta soukenná, obnošená, šest korun...</w:t>
      </w:r>
    </w:p>
    <w:p w:rsidR="00500724" w:rsidRDefault="00F30FB8">
      <w:pPr>
        <w:pStyle w:val="Zkladntext1"/>
        <w:shd w:val="clear" w:color="auto" w:fill="auto"/>
        <w:spacing w:line="230" w:lineRule="auto"/>
        <w:ind w:firstLine="0"/>
      </w:pPr>
      <w:r>
        <w:t>A maličká, droboučká žena odchází se šesti korunami zřejmě rovnou do nějaké</w:t>
      </w:r>
      <w:r>
        <w:t>ho krámu. Někdy to odhadce obrací proti světlu, nahoru, dolů a nemůže z toho žádnou hodnotu vytřepat. Někdy to prostě vrátí. Na to už nelze vůbec nic půjčit. To je chatrné, paní, roz</w:t>
      </w:r>
      <w:r>
        <w:softHyphen/>
        <w:t>sype se vám to, vemte si to. A strašně zahanbený člověk odchází od okénka</w:t>
      </w:r>
      <w:r>
        <w:t>, zatím co následující strká blaho- bytně persiánový kožich k prohlídce. Za kožichem letní sáčko, za letním sáčkem dvě prostěradla, za prostě</w:t>
      </w:r>
      <w:r>
        <w:softHyphen/>
        <w:t>radlem převlečník. Nouze na běžícím pásu, zástup lidí nemizí, vcházejí noví a noví, na pultě se hromadí halda hadr</w:t>
      </w:r>
      <w:r>
        <w:t xml:space="preserve">ů, ze zastavárny vycházejí ženy se zelenými lístky. Jsou rodiny, které mají takových lístků na desítky, je to vlastně trvalý stav, máma to všelijak přendává, vyplácí, znovu zastavuje, platí úroky, polovina šatníku a prádelníku je neustále zastavena, </w:t>
      </w:r>
      <w:r>
        <w:rPr>
          <w:b/>
          <w:bCs/>
          <w:i/>
          <w:iCs/>
          <w:sz w:val="20"/>
          <w:szCs w:val="20"/>
        </w:rPr>
        <w:t>a</w:t>
      </w:r>
      <w:r>
        <w:t xml:space="preserve"> poma</w:t>
      </w:r>
      <w:r>
        <w:t>lu mizí naděje, že by se to vyplatilo jednou ze zastavárny všechno.</w:t>
      </w:r>
    </w:p>
    <w:p w:rsidR="00500724" w:rsidRDefault="00F30FB8">
      <w:pPr>
        <w:pStyle w:val="Zkladntext1"/>
        <w:shd w:val="clear" w:color="auto" w:fill="auto"/>
        <w:spacing w:line="230" w:lineRule="auto"/>
        <w:ind w:firstLine="240"/>
      </w:pPr>
      <w:r>
        <w:t>Bídy málokdy ubývá, spíš přibývá. Tito lidé už si jaksi zvykli na stav, kdy jsou doma dvě prostěradla, na vyplacení peníze nejsou, v domě už není co zastavit a ženy chodí prodávat zástavní</w:t>
      </w:r>
      <w:r>
        <w:t xml:space="preserve"> lístky. To je pokoutní obchod a policie jej pronásleduje, jak může. Kolem za</w:t>
      </w:r>
      <w:r>
        <w:softHyphen/>
        <w:t>stavárny krouží ustavičně podivní lidé, na tváři jim vidíte, že čenichají mršinu a jakmile se objeví strážník, mizí v nějakém lhostejném rozhovoru za rohem, aby za chvíli vypluli</w:t>
      </w:r>
      <w:r>
        <w:t xml:space="preserve"> z protější uličky, čekajíce na oběf. Kupují zástavní lístky. Je to obchod dokonale bez risika, protože vědí velmi dobře, že odhadce je člověk zkušený a opatrný, Stojí-li na zástavním lístku korun třicet, vyplatí polovinu, třetinu. A číšky, prostěradla, sv</w:t>
      </w:r>
      <w:r>
        <w:t>rchníky, kožišinové odpárané límečky chudých lidí' mizí, aby se za několik dnů objevily ve výkladu veteš</w:t>
      </w:r>
      <w:r>
        <w:softHyphen/>
        <w:t>nického krámu, kde nakupují jenom chudí. Předměty chudých se válí z jedněch nuzných rukou do druhých, žijí dlouhým, ubohým životem, nabývajíce a pozbýv</w:t>
      </w:r>
      <w:r>
        <w:t>a</w:t>
      </w:r>
      <w:r>
        <w:softHyphen/>
        <w:t>jíce hodnoty po krejcárku.</w:t>
      </w:r>
    </w:p>
    <w:p w:rsidR="00500724" w:rsidRDefault="00F30FB8">
      <w:pPr>
        <w:pStyle w:val="Zkladntext1"/>
        <w:shd w:val="clear" w:color="auto" w:fill="auto"/>
        <w:spacing w:after="60" w:line="233" w:lineRule="auto"/>
        <w:ind w:firstLine="240"/>
      </w:pPr>
      <w:r>
        <w:t>To jsou hlavní návštěvníci zastaváren. Ale kdyby jich bylo na statisíce, překlopí se jejich dlaněmi na</w:t>
      </w:r>
      <w:r>
        <w:softHyphen/>
        <w:t>nejvýš desítikoruny. Zastavárna tady skutečně lidem pomáhá, aniž by vydělávala. Přijdou-li zastavené hadříky do dražby, je n</w:t>
      </w:r>
      <w:r>
        <w:t>ěkdy těžko za ně něco utržit. Při tom se musí zastavárna namáhavě starat, aby udržela v dobrém stavu všechny ty převlečníky, sáčka a obleky, beztak chatrné. Je s tím víc námahy, než výdělku. Kdyby nebylo toho, že zastavárna v devadesáti procentech ví, že s</w:t>
      </w:r>
      <w:r>
        <w:t>i lidé přijdou pro své svršky, že se hrozí dne, kdy mají propadnout a že to už nějak zařídí, aby je vyplatili, těžko by se odhodlávala při</w:t>
      </w:r>
      <w:r>
        <w:softHyphen/>
        <w:t xml:space="preserve">jímat takové zástupy žen s věcmi celkem bezcennými. Pramének skrovných úroků, který teče z tohoto přílivu, nehraje v </w:t>
      </w:r>
      <w:r>
        <w:t>celkovém obratu zastavárny vlastně skoro žádnou úlohu. Protože zastavárnu živí bohatí.</w:t>
      </w:r>
    </w:p>
    <w:p w:rsidR="00500724" w:rsidRDefault="00F30FB8">
      <w:pPr>
        <w:pStyle w:val="Zkladntext1"/>
        <w:shd w:val="clear" w:color="auto" w:fill="auto"/>
        <w:ind w:left="2000" w:hanging="1420"/>
        <w:jc w:val="left"/>
      </w:pPr>
      <w:r>
        <w:t>Šperky, cenné papíry, umělecké předměty</w:t>
      </w:r>
    </w:p>
    <w:p w:rsidR="00500724" w:rsidRDefault="00F30FB8">
      <w:pPr>
        <w:pStyle w:val="Zkladntext1"/>
        <w:shd w:val="clear" w:color="auto" w:fill="auto"/>
        <w:spacing w:line="334" w:lineRule="auto"/>
        <w:ind w:firstLine="0"/>
        <w:jc w:val="right"/>
        <w:rPr>
          <w:sz w:val="20"/>
          <w:szCs w:val="20"/>
        </w:rPr>
      </w:pPr>
      <w:r>
        <w:t xml:space="preserve">To už je docela jiné oddělení. Žádná šedivá bída, žádné ženy, žmoulající ranečky. Tady stojí dámy </w:t>
      </w:r>
      <w:r>
        <w:rPr>
          <w:i/>
          <w:iCs/>
          <w:sz w:val="20"/>
          <w:szCs w:val="20"/>
        </w:rPr>
        <w:t>13</w:t>
      </w:r>
    </w:p>
    <w:p w:rsidR="00500724" w:rsidRDefault="00F30FB8">
      <w:pPr>
        <w:pStyle w:val="Zkladntext1"/>
        <w:shd w:val="clear" w:color="auto" w:fill="auto"/>
        <w:spacing w:after="40" w:line="233" w:lineRule="auto"/>
        <w:ind w:firstLine="0"/>
      </w:pPr>
      <w:r>
        <w:rPr>
          <w:b/>
          <w:bCs/>
          <w:sz w:val="20"/>
          <w:szCs w:val="20"/>
        </w:rPr>
        <w:t xml:space="preserve">v </w:t>
      </w:r>
      <w:r>
        <w:t xml:space="preserve">kožišinách a muži, na </w:t>
      </w:r>
      <w:r>
        <w:t>kterých je vidět dobrý život. I ti drobní lidé, kteří tady zastavují, jsou už docela jinačí. Zastavovat zlato a šperky je přece jenom docela jiný stupeň bídy, než zastavovat vestičku.</w:t>
      </w:r>
    </w:p>
    <w:p w:rsidR="00500724" w:rsidRDefault="00F30FB8">
      <w:pPr>
        <w:pStyle w:val="Zkladntext1"/>
        <w:shd w:val="clear" w:color="auto" w:fill="auto"/>
        <w:spacing w:after="40" w:line="230" w:lineRule="auto"/>
        <w:ind w:firstLine="240"/>
      </w:pPr>
      <w:r>
        <w:t>Sem chodí hodně lehkomyslných mladých lidí a ti nechodí do zastavárny, a</w:t>
      </w:r>
      <w:r>
        <w:t>le do &gt;frcu« a celá ta věc je vlastně »hec«. Přinesou hodinky, prstýnek, tabatěrku, jdou vždycky ve dvou, hoši mají vycpaná ramena u svrchníků a švihácký klobouk na uchu, něco mezi pří</w:t>
      </w:r>
      <w:r>
        <w:softHyphen/>
        <w:t>ručím a výpomocným číšníkem, zkrátka frajer. To není pomoc, to je přípr</w:t>
      </w:r>
      <w:r>
        <w:t>ava pro nějaký výlet s děvčetem nebo pro nějakou &gt;psinu«. Odcházejí, řehtajíce se, klackovití a nemotorní. Když byste přivřeli oči, vynořila by se vám v představách ostrá hrana nakloněné roviny, pach nočních automatů, přísvit křivých uliček časně zrána a š</w:t>
      </w:r>
      <w:r>
        <w:t>edivá kůže člověka, který celou noc marně bděl, aniž by našel víc, než špatný alkohol a lhostejnou ženu. Radosti lidí bez fantasie a bez peněz, svízele mladických let, puberta, křehká jako foukané sklo. Stačí vteřina, a už jede život po slepých kolejích. T</w:t>
      </w:r>
      <w:r>
        <w:t>o všechno se za</w:t>
      </w:r>
      <w:r>
        <w:softHyphen/>
        <w:t>číná zastavárnou, prochází zastavárnou, točí se kolem zastavárny.</w:t>
      </w:r>
    </w:p>
    <w:p w:rsidR="00500724" w:rsidRDefault="00F30FB8">
      <w:pPr>
        <w:pStyle w:val="Zkladntext1"/>
        <w:shd w:val="clear" w:color="auto" w:fill="auto"/>
        <w:spacing w:after="100" w:line="230" w:lineRule="auto"/>
        <w:ind w:firstLine="240"/>
      </w:pPr>
      <w:r>
        <w:t>Ale právě tak vejde statkář, který zastavuje šňůru drahých perel, jenom proto, že potřebuje rychle a vý</w:t>
      </w:r>
      <w:r>
        <w:softHyphen/>
        <w:t>hodně půjčit hotové peníze; obchodník, který sem za</w:t>
      </w:r>
      <w:r>
        <w:softHyphen/>
        <w:t>nese v sobotu všec</w:t>
      </w:r>
      <w:r>
        <w:t>hny svoje psací stroje, aby je pravi</w:t>
      </w:r>
      <w:r>
        <w:softHyphen/>
        <w:t>delně zase v pondělí vyplatil, zlatník, který potřebuje výhodně koupit nějaký kámen a nemaje dost hotových peněz, zastaví svůj sklad, který postupně vyplácí. A pak bohatí lidé, kteří poznali po prvé, co je to ne</w:t>
      </w:r>
      <w:r>
        <w:softHyphen/>
        <w:t>dostate</w:t>
      </w:r>
      <w:r>
        <w:t>k. Ti vezmou nějaký drahý předmět ze své do</w:t>
      </w:r>
      <w:r>
        <w:softHyphen/>
        <w:t>mácnosti, třeba obraz, starožitnost, perský koberec, sochu. Všechno se dá zastavit. Pro umělecké předměty má zastavárna zvláštního odhadce a ve skladech má mnoho vzácných věcí: na příklad Brožíka za 120.000 Kč. Z</w:t>
      </w:r>
      <w:r>
        <w:t>a ty peníze může žít rodina třeba čtyři roky —- a ovšem i déle. A je-li nouze, lze jistě oželet obraz snáze, než šaty, punčochy a kabát. Sbírku známek lze také zastavit. I fotografické aparáty, gramofony, radiové přijímače. S těmi má už ovšem zastavárna po</w:t>
      </w:r>
      <w:r>
        <w:t>tíž, technický pokrok jde rychleji ku předu, než lidé stačí vyplácet; drahý fotografický přístroj bude za rok pře</w:t>
      </w:r>
      <w:r>
        <w:softHyphen/>
        <w:t>konán levnějším a dokonalejším a zastavárna by v draž</w:t>
      </w:r>
      <w:r>
        <w:softHyphen/>
        <w:t>bě ten složitý a drahocenný nikdy neprodala. Proto se také za takové věci vyplácí nesmír</w:t>
      </w:r>
      <w:r>
        <w:t>ně málo, jenom pár korun, jen tak, aby se neřeklo, a zastavují je větši</w:t>
      </w:r>
      <w:r>
        <w:softHyphen/>
        <w:t>nou lidé, ale jiného typu, než předešlí: studenti, spor</w:t>
      </w:r>
      <w:r>
        <w:softHyphen/>
        <w:t xml:space="preserve">tovci, vážná mládež, která se pere se životem, dává kondice, učí se, čte knížky a v neděli hledá vzduch a pohyb. Přicházejí bez </w:t>
      </w:r>
      <w:r>
        <w:t>ostychu, znají bídu, dovedou se s ní věcně vypořádat, dovedou ji zdolat prací, soustav</w:t>
      </w:r>
      <w:r>
        <w:softHyphen/>
        <w:t>ností a úsilím. Loučí se se svým aparátem nebo gramo</w:t>
      </w:r>
      <w:r>
        <w:softHyphen/>
        <w:t>fonem skoro něžně, ale jsou rádi, že dostali málo: snáze se to vyplatí. A tento druh lidí určitě své věci vyplatí, p</w:t>
      </w:r>
      <w:r>
        <w:t>rotože si hezkých věcí váží a lpí na nich.</w:t>
      </w:r>
    </w:p>
    <w:p w:rsidR="00500724" w:rsidRDefault="00F30FB8">
      <w:pPr>
        <w:pStyle w:val="Zkladntext1"/>
        <w:shd w:val="clear" w:color="auto" w:fill="auto"/>
        <w:spacing w:after="40" w:line="230" w:lineRule="auto"/>
        <w:ind w:firstLine="0"/>
        <w:jc w:val="center"/>
      </w:pPr>
      <w:r>
        <w:t>Jaké je to v číslech?</w:t>
      </w:r>
    </w:p>
    <w:p w:rsidR="00500724" w:rsidRDefault="00F30FB8">
      <w:pPr>
        <w:pStyle w:val="Zkladntext1"/>
        <w:shd w:val="clear" w:color="auto" w:fill="auto"/>
        <w:spacing w:line="233" w:lineRule="auto"/>
        <w:ind w:firstLine="240"/>
      </w:pPr>
      <w:r>
        <w:t>Podivné. Dne 10. srpna 1938 měla pražská zastavárna půjčeno mezi lidmi na skvosty, šatstvo a cenné papíry 30 milionů. Kolik má dnes? Teď, kdy přešlo několik měsíců strádání a bídy, odříkání a</w:t>
      </w:r>
      <w:r>
        <w:t xml:space="preserve"> nouze, kdy narostl zástup nezaměstnaných, kdy stoupají ceny všech život</w:t>
      </w:r>
      <w:r>
        <w:softHyphen/>
        <w:t>ních potřeb a klesají platy? Dne 29. prosince měla za</w:t>
      </w:r>
      <w:r>
        <w:softHyphen/>
        <w:t xml:space="preserve">stavárna mezi lidmi — 25,189.659 Kč. Všechny ty měsíce lidé — vypláceli. A přes to byla zastavárna nabita těmi šedivými ženami s </w:t>
      </w:r>
      <w:r>
        <w:t>ranečky. Vyplácelo se jenom zlato a vyplácelo se ho mnoho. To proto, že lidé měli obavy. Budoucnost jim připadala nejistá. A každý měl rád trochu toho majetku doma. Lidé si sehnali peníze často obtížně, jen aby vyplatili šperky. Za svršky a za šaty zůstala</w:t>
      </w:r>
      <w:r>
        <w:t xml:space="preserve"> částka skoro stejná. Jediný pohyb, který vykazují čísla, je pravidelný pohyb sezónní. Částka, půjčená na cenné papíry — pohybuje se kolem 9 mi</w:t>
      </w:r>
      <w:r>
        <w:softHyphen/>
        <w:t>lionů — zůstává také nezměněná. Zato částka, půjčená na šperky, klesá v posledních čtyřech měsících víc, než v p</w:t>
      </w:r>
      <w:r>
        <w:t>osledních letech.</w:t>
      </w:r>
    </w:p>
    <w:p w:rsidR="00500724" w:rsidRDefault="00F30FB8">
      <w:pPr>
        <w:pStyle w:val="Zkladntext1"/>
        <w:shd w:val="clear" w:color="auto" w:fill="auto"/>
        <w:spacing w:line="233" w:lineRule="auto"/>
      </w:pPr>
      <w:r>
        <w:t>Zajímavé je porovnat číslice z dob velké hospodářské krise. Řekli byste, že zastavárna půjčuje tím více peněz, čím je krise hlubší. Omyl. V r. Í929 půjčila 14 milionů na šaty a 40 milionů na šperky. V roce 1932, kdy byla krise největší, p</w:t>
      </w:r>
      <w:r>
        <w:t>ůjčila zastavárna jenom 11 milionů na šatstvo, ale 44 miliony na šperky. Chudí lidé už prostě neměli co zastavovat. Začínali zastavovat bohatí. Sloupce číslic u šatstva jsou v opačném poměru, než u šperků. Půjčky na šaty reagují velmi citlivě a velmi rychl</w:t>
      </w:r>
      <w:r>
        <w:t>e na dobu, půjčky na zlato pomaleji a důkladněji. Těch 11 milionů se do konce minulého roku zvýšilo na 13. 44 milionů půjček na šperky zůstalo skorém stát — až na poslední tři měsíce.</w:t>
      </w:r>
    </w:p>
    <w:p w:rsidR="00500724" w:rsidRDefault="00F30FB8">
      <w:pPr>
        <w:pStyle w:val="Zkladntext1"/>
        <w:shd w:val="clear" w:color="auto" w:fill="auto"/>
        <w:spacing w:after="80" w:line="233" w:lineRule="auto"/>
      </w:pPr>
      <w:r>
        <w:t>Když dolehnou zlé doby, přiběhnou chudí s kabátky a číškami. Bohatí chví</w:t>
      </w:r>
      <w:r>
        <w:t>li odolají — až za několik měsíců přijde na ně řada. Ale jak je vidět z čísel, kdyby za</w:t>
      </w:r>
      <w:r>
        <w:softHyphen/>
        <w:t>stavené zboží skutečně bylo v nebezpečí, vyzvedlo by se pravděpodobně mnoho zlata a šperků. Kabáty a od</w:t>
      </w:r>
      <w:r>
        <w:softHyphen/>
        <w:t>párané kožišinky by tam zůstaly navždy. To není ovšem skvělá obc</w:t>
      </w:r>
      <w:r>
        <w:t>hodní prognosa pro zastavárny. A pro</w:t>
      </w:r>
      <w:r>
        <w:softHyphen/>
        <w:t>tože tuhle prognosu znají lidé, kteří půjčují, musí za</w:t>
      </w:r>
      <w:r>
        <w:softHyphen/>
        <w:t>stavárna odhadovat a půjčovat opatrně. Kdo dostal loni za kabát 40 Kč, dostane letos 50 Kč. Na nemoderní, třeba drahocenné šperky, se půjčuje skutečně málo. Není to</w:t>
      </w:r>
      <w:r>
        <w:t xml:space="preserve"> už — a nemůže být — třetina skutečné hodnoty předmětu, hodnoty se dnes mění každý den, roztávají jako sníh a kupí se docela jinde, než bychom čekali. Je to jenom půjčka se stoprocentní jistotou. A proto je ta půjčka podmíněná také počtem předmětů už za</w:t>
      </w:r>
      <w:r>
        <w:softHyphen/>
        <w:t>st</w:t>
      </w:r>
      <w:r>
        <w:t>avených. Má-li na příklad zastavárna plný sklad gramofonů, půjčí vám na váš jenom několik korun, po</w:t>
      </w:r>
      <w:r>
        <w:softHyphen/>
        <w:t>případě nic. Protože musí mít neustále na očích, kolik gramofonů by se jí podařilo ve dražbě prodat. Psací stroje jsou vítány s otevřenou náručí. Hodinky se</w:t>
      </w:r>
      <w:r>
        <w:t xml:space="preserve"> zhnusenou nechutí. Kožichy s nedůvěrou; je s tím víc opatrování, než výdělku, a kožichy, na které by se dalo půjčit méně než 150 Kč, se vůbec nepřijímají. Zlato je ovšem vždycky vítáno. Fotografické přístroje za babku a šatstvo z útrpnosti. Divadelní kuká</w:t>
      </w:r>
      <w:r>
        <w:t>tka, busty slavných mužů, knihy a takové krámy tam raději vůbec nenoste. Ale to se může také za několik měsíců změnit. Gramo</w:t>
      </w:r>
      <w:r>
        <w:softHyphen/>
        <w:t>fony mohou mít poptávku a fotografické přístroje se budou vracet. Největší a uejvděčnější kurs mají psací mašinky. Jednu paní, kter</w:t>
      </w:r>
      <w:r>
        <w:t>á stroj tam nesla, zastavilo na schodech pět různých a velmi neodbytných mužů, chtivých koupě. Prodrala se jenom s námahou k okénku. A dostala pět stovek beze slova.</w:t>
      </w:r>
    </w:p>
    <w:p w:rsidR="00500724" w:rsidRDefault="00F30FB8">
      <w:pPr>
        <w:pStyle w:val="Zkladntext1"/>
        <w:shd w:val="clear" w:color="auto" w:fill="auto"/>
        <w:ind w:firstLine="0"/>
        <w:jc w:val="center"/>
      </w:pPr>
      <w:r>
        <w:t>Plány do budoucna</w:t>
      </w:r>
    </w:p>
    <w:p w:rsidR="00500724" w:rsidRDefault="00F30FB8">
      <w:pPr>
        <w:pStyle w:val="Zkladntext1"/>
        <w:shd w:val="clear" w:color="auto" w:fill="auto"/>
      </w:pPr>
      <w:r>
        <w:t>Zastavárna chystá docela nové podniky. Nejsou ještě sice schváleny, prot</w:t>
      </w:r>
      <w:r>
        <w:t>ože pomalé rozhodování na úřadech je jakýmsi národním znakem našeho úřadování. Ale je to plán výborný a mnoho lidí by jej přivítalo s radostí: plán přímých půjček definitivním státním zaměstnan</w:t>
      </w:r>
      <w:r>
        <w:softHyphen/>
        <w:t>cům. Není to žádné tajemství, že jsou státní zaměst</w:t>
      </w:r>
      <w:r>
        <w:softHyphen/>
        <w:t>nanci zadl</w:t>
      </w:r>
      <w:r>
        <w:t>uženi. Kdysi se také mnoho psalo a uvažovalo o plánu, jak jim od dluhů pomoci. Takový státní za</w:t>
      </w:r>
      <w:r>
        <w:softHyphen/>
        <w:t xml:space="preserve">městnanec dostane na prvního přesně tolik, kolik spotřebuje. Konal by zázraky, kdyby si něco ukládal. Vydělá, co spotřebuje rodina v normálních dobách. Ale pak </w:t>
      </w:r>
      <w:r>
        <w:t>se třeba stane, že někdo onemocní. Dítě nebo žena musí být operovány. Dítě musí do ozdravovny. Někdo zemře a je třeba peněz na pohřeb. Anebo se nahro</w:t>
      </w:r>
      <w:r>
        <w:softHyphen/>
        <w:t xml:space="preserve">madilo sto malých dloužků, které srůstají ve veliký dluh. Co musí podniknout státní zaměstnanec? Vypůjčit </w:t>
      </w:r>
      <w:r>
        <w:t xml:space="preserve">si. Kde si může vypůjčit? V záložně — po dlouhých procedurách, zkoumání, za vysoký úrok a při velkých srážkách. A to je ještě výhodnější možnost. Horší jsou lichváři soukromí. Jakmile se jednou do takových dluhů zabředne, nevybředne se z nich nikdy. Dluhy </w:t>
      </w:r>
      <w:r>
        <w:t>požerou celou životní úroveň, spolknou člověka, vyssají ho, ne</w:t>
      </w:r>
      <w:r>
        <w:softHyphen/>
        <w:t>může se už nikdy narovnat. Zastavárna by byla ochotna půjčit definitivnímu státnímu zaměstnanci půjčku ve výši trojnásobného služného, kdyby se dobrovolně za</w:t>
      </w:r>
      <w:r>
        <w:softHyphen/>
        <w:t>vázal, že si dá obstavit služné tak</w:t>
      </w:r>
      <w:r>
        <w:t>, aby ve dvaceti splát</w:t>
      </w:r>
      <w:r>
        <w:softHyphen/>
        <w:t>kách byl dluh umořen. Zastavárna by nemohla nic ztratit, definitivní úředník je pod pensí a od případu k případu by musel pravděpodobně ručit i člověk, kte</w:t>
      </w:r>
      <w:r>
        <w:softHyphen/>
        <w:t>rý by měl nárok na pensi po dlužníkovi, že dluh vy</w:t>
      </w:r>
      <w:r>
        <w:softHyphen/>
        <w:t>rovná z pense. Naproti tom</w:t>
      </w:r>
      <w:r>
        <w:t>u by úředník mohl najednou splatit dluh, který ho tíží a který mu ukládá mnohem tíživější úrokové splátky. Kolik jenom lidí dluhuje za zařízení bytu! Za léčení! Kolik lidí se bude muset stěho</w:t>
      </w:r>
      <w:r>
        <w:softHyphen/>
        <w:t>vat, ztratí-li žena, která dosud vydělávala, práci. Kolik lidí p</w:t>
      </w:r>
      <w:r>
        <w:t>otřebuje peníze na narození dítěte a na deset dnů lékařského pečlivého ošetření rodičky! To jsou všechno události, které státní zaměstnanec pomalu musí škrtnout ze svého života, protože na ně nemá hotové peníze. I správka chrupu je důkladná položka. Jak by</w:t>
      </w:r>
      <w:r>
        <w:t xml:space="preserve"> se po</w:t>
      </w:r>
      <w:r>
        <w:softHyphen/>
        <w:t>mohlo mnoha lidem, kdyby se tento plán uskutečnil! Dnes, na počátku roku 1959, kdy jde tolik lidí do no</w:t>
      </w:r>
      <w:r>
        <w:softHyphen/>
        <w:t xml:space="preserve">vých existencí a kdy by se jim splněním tohoto plánu usnadnil začátek, lze si skutečně jenom přát, aby byl brzy definitivně schválen. Zastavárna </w:t>
      </w:r>
      <w:r>
        <w:t>by tím jenom prohloubila svůj sociální úkol, pomáhajíc lidem, kteří pomoci skutečně potřebují a které může zachránit. Myslím, že státní zaměstnanci nemají mnoho dobrého v prvních dnech roku 1939.</w:t>
      </w:r>
    </w:p>
    <w:p w:rsidR="00500724" w:rsidRDefault="00F30FB8">
      <w:pPr>
        <w:pStyle w:val="Zkladntext1"/>
        <w:shd w:val="clear" w:color="auto" w:fill="auto"/>
        <w:spacing w:after="480" w:line="233" w:lineRule="auto"/>
        <w:ind w:firstLine="200"/>
      </w:pPr>
      <w:r>
        <w:t>Zasloužili by si věru trochu úlevy. Ovšem, bylo by třeba vyj</w:t>
      </w:r>
      <w:r>
        <w:t>ít jim vstříc i po stránce psychologické: právě to jsou lidé, kteří nesou nouzi hůř a tíž, než druzí. Je to taková polonouze a poloblahobyt po celý život, nikde nic výjimečného, nic vybočujícího, jenom nehody. Právě pro ně by se zastavárny mohly stát pouhý</w:t>
      </w:r>
      <w:r>
        <w:t>mi průchod</w:t>
      </w:r>
      <w:r>
        <w:softHyphen/>
        <w:t>ními domy nouze, kdyby se tento plán brzy uskutečnil.</w:t>
      </w:r>
    </w:p>
    <w:p w:rsidR="00500724" w:rsidRDefault="00F30FB8">
      <w:pPr>
        <w:pStyle w:val="Nadpis80"/>
        <w:keepNext/>
        <w:keepLines/>
        <w:pBdr>
          <w:bottom w:val="single" w:sz="4" w:space="0" w:color="auto"/>
        </w:pBdr>
        <w:shd w:val="clear" w:color="auto" w:fill="auto"/>
        <w:spacing w:after="340"/>
        <w:rPr>
          <w:sz w:val="44"/>
          <w:szCs w:val="44"/>
        </w:rPr>
      </w:pPr>
      <w:bookmarkStart w:id="9" w:name="bookmark8"/>
      <w:r>
        <w:rPr>
          <w:sz w:val="44"/>
          <w:szCs w:val="44"/>
          <w:u w:val="none"/>
        </w:rPr>
        <w:t>dopisy</w:t>
      </w:r>
      <w:bookmarkEnd w:id="9"/>
    </w:p>
    <w:p w:rsidR="00500724" w:rsidRDefault="00F30FB8">
      <w:pPr>
        <w:pStyle w:val="Zkladntext1"/>
        <w:shd w:val="clear" w:color="auto" w:fill="auto"/>
        <w:spacing w:after="100" w:line="199" w:lineRule="auto"/>
        <w:ind w:left="2100" w:firstLine="0"/>
        <w:jc w:val="left"/>
      </w:pPr>
      <w:r>
        <w:rPr>
          <w:b/>
          <w:bCs/>
        </w:rPr>
        <w:t>Nenašli se...</w:t>
      </w:r>
    </w:p>
    <w:p w:rsidR="00500724" w:rsidRDefault="00F30FB8">
      <w:pPr>
        <w:pStyle w:val="Zkladntext1"/>
        <w:shd w:val="clear" w:color="auto" w:fill="auto"/>
        <w:spacing w:after="100" w:line="211" w:lineRule="auto"/>
        <w:ind w:left="1040" w:firstLine="0"/>
        <w:jc w:val="left"/>
        <w:rPr>
          <w:sz w:val="18"/>
          <w:szCs w:val="18"/>
        </w:rPr>
      </w:pPr>
      <w:r>
        <w:rPr>
          <w:sz w:val="18"/>
          <w:szCs w:val="18"/>
        </w:rPr>
        <w:t>Vážený pane redaktore!</w:t>
      </w:r>
    </w:p>
    <w:p w:rsidR="00500724" w:rsidRDefault="00F30FB8">
      <w:pPr>
        <w:pStyle w:val="Zkladntext1"/>
        <w:shd w:val="clear" w:color="auto" w:fill="auto"/>
        <w:spacing w:line="211" w:lineRule="auto"/>
        <w:ind w:firstLine="200"/>
        <w:rPr>
          <w:sz w:val="18"/>
          <w:szCs w:val="18"/>
        </w:rPr>
      </w:pPr>
      <w:r>
        <w:rPr>
          <w:sz w:val="18"/>
          <w:szCs w:val="18"/>
        </w:rPr>
        <w:t>V jarních číslech »Přítomnosti« minulého roku jste, pane redaktore, hledal muže, kteří by měli odvahu říci národu ne</w:t>
      </w:r>
      <w:r>
        <w:rPr>
          <w:sz w:val="18"/>
          <w:szCs w:val="18"/>
        </w:rPr>
        <w:softHyphen/>
        <w:t xml:space="preserve">populární pravdu o nutnosti </w:t>
      </w:r>
      <w:r>
        <w:rPr>
          <w:sz w:val="18"/>
          <w:szCs w:val="18"/>
        </w:rPr>
        <w:t>spravedlivého vyrovnání s našimi menšinami. Hledal jste myslím v několika článcích, dokonce jste tento úkol blíže určil: »Nebude to úkol pro tribuna lidu s bezvadně splývající tógou atd. —«, hledal jste a — nenašel. Nejednou jsem si na tuto skutečnost vzpo</w:t>
      </w:r>
      <w:r>
        <w:rPr>
          <w:sz w:val="18"/>
          <w:szCs w:val="18"/>
        </w:rPr>
        <w:t>mněl v kritických tý</w:t>
      </w:r>
      <w:r>
        <w:rPr>
          <w:sz w:val="18"/>
          <w:szCs w:val="18"/>
        </w:rPr>
        <w:softHyphen/>
        <w:t>dnech, a i teď, nad smutnou bilancí, mne znovu tato položka zvlášť tísní.</w:t>
      </w:r>
    </w:p>
    <w:p w:rsidR="00500724" w:rsidRDefault="00F30FB8">
      <w:pPr>
        <w:pStyle w:val="Zkladntext1"/>
        <w:shd w:val="clear" w:color="auto" w:fill="auto"/>
        <w:spacing w:after="40" w:line="211" w:lineRule="auto"/>
        <w:ind w:firstLine="200"/>
        <w:rPr>
          <w:sz w:val="18"/>
          <w:szCs w:val="18"/>
        </w:rPr>
      </w:pPr>
      <w:r>
        <w:rPr>
          <w:sz w:val="18"/>
          <w:szCs w:val="18"/>
        </w:rPr>
        <w:t>Nevěřím, že by se mezi našimi povolanými lidmi byli nenašli jedinci prozíraví, o výše uvedené nutnosti přesvědčeni, ale ti mlčeli nebo se ozývali jen nesměle a c</w:t>
      </w:r>
      <w:r>
        <w:rPr>
          <w:sz w:val="18"/>
          <w:szCs w:val="18"/>
        </w:rPr>
        <w:t>habě, takže jejich hlasy zanikly v řádění vychovatelů veřejného míněni, těch šestáko</w:t>
      </w:r>
      <w:r>
        <w:rPr>
          <w:sz w:val="18"/>
          <w:szCs w:val="18"/>
        </w:rPr>
        <w:softHyphen/>
        <w:t>vých Večerníků všech odstínů. Vím, že daný úkol nebyl snadný, vždyť stačila právě jen chabá zmínka, která nezačínala: »Jaké</w:t>
      </w:r>
      <w:r>
        <w:rPr>
          <w:sz w:val="18"/>
          <w:szCs w:val="18"/>
        </w:rPr>
        <w:softHyphen/>
        <w:t xml:space="preserve">pak ústupky, kriminál, klacek, četníky —«, aby </w:t>
      </w:r>
      <w:r>
        <w:rPr>
          <w:sz w:val="18"/>
          <w:szCs w:val="18"/>
        </w:rPr>
        <w:t>se v naší běžné společnosti sklidily poznámky ne právě vlídné. Tak jsme byli po léta zpracováváni výše zmíněnou žurnalistikou, která nám bezejmenným řadovým dělníkům, ať již z dílen, polí či kance</w:t>
      </w:r>
      <w:r>
        <w:rPr>
          <w:sz w:val="18"/>
          <w:szCs w:val="18"/>
        </w:rPr>
        <w:softHyphen/>
        <w:t>láří, je nejpřístupnější. Malá nápověď stačila, aby se ihne</w:t>
      </w:r>
      <w:r>
        <w:rPr>
          <w:sz w:val="18"/>
          <w:szCs w:val="18"/>
        </w:rPr>
        <w:t>d ozvala bouře: zrádce, vyvrhel atd. To asi byla hlavní příčina, proč se nedostávalo odvahy, a proč nemohla být vyražena jed</w:t>
      </w:r>
      <w:r>
        <w:rPr>
          <w:sz w:val="18"/>
          <w:szCs w:val="18"/>
        </w:rPr>
        <w:softHyphen/>
        <w:t>na z hlavních zbraní našich protivníků, dokud snad ještě byl čas.</w:t>
      </w:r>
    </w:p>
    <w:p w:rsidR="00500724" w:rsidRDefault="00F30FB8">
      <w:pPr>
        <w:pStyle w:val="Zkladntext1"/>
        <w:shd w:val="clear" w:color="auto" w:fill="auto"/>
        <w:spacing w:after="40" w:line="209" w:lineRule="auto"/>
        <w:ind w:firstLine="200"/>
        <w:rPr>
          <w:sz w:val="18"/>
          <w:szCs w:val="18"/>
        </w:rPr>
      </w:pPr>
      <w:r>
        <w:rPr>
          <w:sz w:val="18"/>
          <w:szCs w:val="18"/>
        </w:rPr>
        <w:t>Teď je ovšem již pozdě, ale mně často se vtírá otázka: Vzpa</w:t>
      </w:r>
      <w:r>
        <w:rPr>
          <w:sz w:val="18"/>
          <w:szCs w:val="18"/>
        </w:rPr>
        <w:softHyphen/>
        <w:t>matov</w:t>
      </w:r>
      <w:r>
        <w:rPr>
          <w:sz w:val="18"/>
          <w:szCs w:val="18"/>
        </w:rPr>
        <w:t>ali jsme se aspoň pro budoucnost? Přivlastní si redaktoři těch levných našich novin trvale heslo Masarykovo: »Propai- ganda musí být poctivá, nadsazování či dokonce lhaní nepro</w:t>
      </w:r>
      <w:r>
        <w:rPr>
          <w:sz w:val="18"/>
          <w:szCs w:val="18"/>
        </w:rPr>
        <w:softHyphen/>
        <w:t>spívá. Všechno své chválit, to dělají tuctoví kupečtí agenti,« či bude dál, jak</w:t>
      </w:r>
      <w:r>
        <w:rPr>
          <w:sz w:val="18"/>
          <w:szCs w:val="18"/>
        </w:rPr>
        <w:t>mile snad censura trochu povolí, vpředu zase snaha psát po chuti čtenářů, aby se toho hodně prodalo?</w:t>
      </w:r>
    </w:p>
    <w:p w:rsidR="00500724" w:rsidRDefault="00F30FB8">
      <w:pPr>
        <w:pStyle w:val="Zkladntext1"/>
        <w:shd w:val="clear" w:color="auto" w:fill="auto"/>
        <w:tabs>
          <w:tab w:val="left" w:pos="3446"/>
        </w:tabs>
        <w:spacing w:after="220" w:line="209" w:lineRule="auto"/>
        <w:ind w:firstLine="200"/>
        <w:rPr>
          <w:sz w:val="18"/>
          <w:szCs w:val="18"/>
        </w:rPr>
      </w:pPr>
      <w:r>
        <w:rPr>
          <w:sz w:val="18"/>
          <w:szCs w:val="18"/>
        </w:rPr>
        <w:t>Ne sice beznadějná, ale přece smutná je ta celková bilance. Věřte mi ale, pane redaktore, ta položka: Hledali se mužové, kteří by řekli národu pravdu — a n</w:t>
      </w:r>
      <w:r>
        <w:rPr>
          <w:sz w:val="18"/>
          <w:szCs w:val="18"/>
        </w:rPr>
        <w:t>enašli se — tato položka mne bolí nejvíc.</w:t>
      </w:r>
      <w:r>
        <w:rPr>
          <w:sz w:val="18"/>
          <w:szCs w:val="18"/>
        </w:rPr>
        <w:tab/>
        <w:t>K., elektromontér</w:t>
      </w:r>
    </w:p>
    <w:p w:rsidR="00500724" w:rsidRDefault="00F30FB8">
      <w:pPr>
        <w:pStyle w:val="Zkladntext1"/>
        <w:shd w:val="clear" w:color="auto" w:fill="auto"/>
        <w:spacing w:after="40" w:line="331" w:lineRule="auto"/>
        <w:ind w:left="1040" w:right="1940" w:firstLine="880"/>
        <w:jc w:val="left"/>
        <w:rPr>
          <w:sz w:val="18"/>
          <w:szCs w:val="18"/>
        </w:rPr>
      </w:pPr>
      <w:r>
        <w:rPr>
          <w:b/>
          <w:bCs/>
        </w:rPr>
        <w:t xml:space="preserve">Krise tiskáren </w:t>
      </w:r>
      <w:r>
        <w:rPr>
          <w:sz w:val="18"/>
          <w:szCs w:val="18"/>
        </w:rPr>
        <w:t>Velectěný pane redaktore!</w:t>
      </w:r>
    </w:p>
    <w:p w:rsidR="00500724" w:rsidRDefault="00F30FB8">
      <w:pPr>
        <w:pStyle w:val="Zkladntext1"/>
        <w:shd w:val="clear" w:color="auto" w:fill="auto"/>
        <w:spacing w:line="211" w:lineRule="auto"/>
        <w:ind w:firstLine="280"/>
        <w:rPr>
          <w:sz w:val="18"/>
          <w:szCs w:val="18"/>
        </w:rPr>
      </w:pPr>
      <w:r>
        <w:rPr>
          <w:sz w:val="18"/>
          <w:szCs w:val="18"/>
        </w:rPr>
        <w:t>Četl jsem ve Vašem listě návrh na zlevnění cen našich knih použitím horší kvality papíru a snížením jakosti grafic</w:t>
      </w:r>
      <w:r>
        <w:rPr>
          <w:sz w:val="18"/>
          <w:szCs w:val="18"/>
        </w:rPr>
        <w:softHyphen/>
        <w:t xml:space="preserve">kého provedení, a prosím, abyste mi </w:t>
      </w:r>
      <w:r>
        <w:rPr>
          <w:sz w:val="18"/>
          <w:szCs w:val="18"/>
        </w:rPr>
        <w:t>dovolil připojiti několik řádků.</w:t>
      </w:r>
    </w:p>
    <w:p w:rsidR="00500724" w:rsidRDefault="00F30FB8">
      <w:pPr>
        <w:pStyle w:val="Zkladntext1"/>
        <w:shd w:val="clear" w:color="auto" w:fill="auto"/>
        <w:spacing w:after="40" w:line="211" w:lineRule="auto"/>
        <w:ind w:firstLine="280"/>
        <w:rPr>
          <w:sz w:val="18"/>
          <w:szCs w:val="18"/>
        </w:rPr>
      </w:pPr>
      <w:r>
        <w:rPr>
          <w:sz w:val="18"/>
          <w:szCs w:val="18"/>
        </w:rPr>
        <w:t>Naše knihy vycházejí v průměrném nákladu u normální beletrie asi 2000 až 3000 výtisků, u básní asi 500 až 1000 vý</w:t>
      </w:r>
      <w:r>
        <w:rPr>
          <w:sz w:val="18"/>
          <w:szCs w:val="18"/>
        </w:rPr>
        <w:softHyphen/>
        <w:t>tisků. Srovnáme-li naše poměry s výší nákladů knih fran</w:t>
      </w:r>
      <w:r>
        <w:rPr>
          <w:sz w:val="18"/>
          <w:szCs w:val="18"/>
        </w:rPr>
        <w:softHyphen/>
        <w:t>couzských, vidíme hned příčinu drahoty, protože při v</w:t>
      </w:r>
      <w:r>
        <w:rPr>
          <w:sz w:val="18"/>
          <w:szCs w:val="18"/>
        </w:rPr>
        <w:t>ětšim počtu výtisků je výrobní cena pochopitelně nesrovnatelně levnější. Že by použití levnějšího papíru nemělo očekávaného výsledku, chci dokázati tím že při rozsahu 20 tiskových archů, t. j. 320 tiskových stran (naše normální knihy bývají obyčejně slabší</w:t>
      </w:r>
      <w:r>
        <w:rPr>
          <w:sz w:val="18"/>
          <w:szCs w:val="18"/>
        </w:rPr>
        <w:t>), váží na knize upotřebený papír střední síly asi 40 dkg. Při použití papíru horší jakosti t. zv. středně jemného, snížila by se cena oproti dnes používanému papíru dřevaprostému asi o 1 Kč na 1 kg, při papíru zcela obyčejném t. zv. tiskovém asi o 2 Kč na</w:t>
      </w:r>
      <w:r>
        <w:rPr>
          <w:sz w:val="18"/>
          <w:szCs w:val="18"/>
        </w:rPr>
        <w:t xml:space="preserve"> 1 kg. Při knize asi 40 dkg těžké snížila by se tedy cena u papíru středně jemného o 40 hal. a u tiskového 80 hal., což při normální nakladatelské kalkulaci 1:3 jevilo by se zlev</w:t>
      </w:r>
      <w:r>
        <w:rPr>
          <w:sz w:val="18"/>
          <w:szCs w:val="18"/>
        </w:rPr>
        <w:softHyphen/>
        <w:t>něním o Kč 1.20 v prvním případě, o Kč 2.40 v případě dru</w:t>
      </w:r>
      <w:r>
        <w:rPr>
          <w:sz w:val="18"/>
          <w:szCs w:val="18"/>
        </w:rPr>
        <w:softHyphen/>
        <w:t>hém, tedy místo dne</w:t>
      </w:r>
      <w:r>
        <w:rPr>
          <w:sz w:val="18"/>
          <w:szCs w:val="18"/>
        </w:rPr>
        <w:t>šní prodejní ceny 30 Kč na 28.80 Kč nebo na 28.60 Kč. Proti názoru vyslovenému p. pisatelem musíme se my, knihtiskaři, bránit. Jsme hrdi na to, že naše knižní produkce právě ve své užitkové části nese stopy dlouholeté neúnavné práce a že dosáhla úrovně, kt</w:t>
      </w:r>
      <w:r>
        <w:rPr>
          <w:sz w:val="18"/>
          <w:szCs w:val="18"/>
        </w:rPr>
        <w:t>erá snese porovnáni se všemi velkými národy. Obeslané mezinárodní výstavy plně potvrzují tento fakt. Máme obavy, že uplatněním názoru p. pi</w:t>
      </w:r>
      <w:r>
        <w:rPr>
          <w:sz w:val="18"/>
          <w:szCs w:val="18"/>
        </w:rPr>
        <w:softHyphen/>
        <w:t>satele učinil by se krok zpátky a tomu je nutno zabrániti.</w:t>
      </w:r>
    </w:p>
    <w:p w:rsidR="00500724" w:rsidRDefault="00F30FB8">
      <w:pPr>
        <w:pStyle w:val="Zkladntext1"/>
        <w:shd w:val="clear" w:color="auto" w:fill="auto"/>
        <w:spacing w:after="200" w:line="211" w:lineRule="auto"/>
        <w:ind w:firstLine="280"/>
        <w:rPr>
          <w:sz w:val="18"/>
          <w:szCs w:val="18"/>
        </w:rPr>
      </w:pPr>
      <w:r>
        <w:rPr>
          <w:sz w:val="18"/>
          <w:szCs w:val="18"/>
        </w:rPr>
        <w:t>Při této příležitosti budiž mi dovoleno poukázati na kri</w:t>
      </w:r>
      <w:r>
        <w:rPr>
          <w:sz w:val="18"/>
          <w:szCs w:val="18"/>
        </w:rPr>
        <w:softHyphen/>
      </w:r>
      <w:r>
        <w:rPr>
          <w:sz w:val="18"/>
          <w:szCs w:val="18"/>
        </w:rPr>
        <w:t>tický stav, v kterém se obor knihtiskařský právě nachází. Podle statistiky ze září tohoto roku byla zastavena bezmála polovina všech v celé oblasti republiky vycházejících periodik, čili z celkového množství asi 4500 denních listů, týdeníků, mě</w:t>
      </w:r>
      <w:r>
        <w:rPr>
          <w:sz w:val="18"/>
          <w:szCs w:val="18"/>
        </w:rPr>
        <w:softHyphen/>
        <w:t>síčníků, re</w:t>
      </w:r>
      <w:r>
        <w:rPr>
          <w:sz w:val="18"/>
          <w:szCs w:val="18"/>
        </w:rPr>
        <w:t>vuí atd., zastaveno bylo tehdy asi 1800 listů. Je prav</w:t>
      </w:r>
      <w:r>
        <w:rPr>
          <w:sz w:val="18"/>
          <w:szCs w:val="18"/>
        </w:rPr>
        <w:softHyphen/>
        <w:t>da, že v tomto počtu lvím podílem zastoupeny jsou listy sudeto- německé v důsledku zjednodušeni tamních politických poměrů. Ale i u nás od září zastavují se stále další periodika, a u těch, která nepře</w:t>
      </w:r>
      <w:r>
        <w:rPr>
          <w:sz w:val="18"/>
          <w:szCs w:val="18"/>
        </w:rPr>
        <w:t>stala vycházet, snižuje se rozsah a tak se stále zmenšuje zaměstnanost tiskáren. Vyhlídky do budoucnosti zdají se ještě smutnější. Mluví se o jakémsi usměrněni české</w:t>
      </w:r>
      <w:r>
        <w:rPr>
          <w:sz w:val="18"/>
          <w:szCs w:val="18"/>
        </w:rPr>
        <w:softHyphen/>
        <w:t>ho denního tisku, při kterém budou prý některé listy zasta</w:t>
      </w:r>
      <w:r>
        <w:rPr>
          <w:sz w:val="18"/>
          <w:szCs w:val="18"/>
        </w:rPr>
        <w:softHyphen/>
        <w:t>veny, jiné v rozsahu omezeny, c</w:t>
      </w:r>
      <w:r>
        <w:rPr>
          <w:sz w:val="18"/>
          <w:szCs w:val="18"/>
        </w:rPr>
        <w:t xml:space="preserve">ož provedeno bude </w:t>
      </w:r>
      <w:r>
        <w:rPr>
          <w:b/>
          <w:bCs/>
        </w:rPr>
        <w:t xml:space="preserve">i </w:t>
      </w:r>
      <w:r>
        <w:rPr>
          <w:sz w:val="18"/>
          <w:szCs w:val="18"/>
        </w:rPr>
        <w:t>u zbylého tisku německého. Ohlašuje se dále, že by prý stačily jen dvě revue a ostatní by měly být zastaveny. Chápu, že nové poměry vyžadují si určitých změn, ale řekněte mi. pro boha. co se má státi s těmi typografy, kterých máme tisíc</w:t>
      </w:r>
      <w:r>
        <w:rPr>
          <w:sz w:val="18"/>
          <w:szCs w:val="18"/>
        </w:rPr>
        <w:t>e a tisíce</w:t>
      </w:r>
    </w:p>
    <w:p w:rsidR="00500724" w:rsidRDefault="00F30FB8">
      <w:pPr>
        <w:pStyle w:val="Zkladntext1"/>
        <w:shd w:val="clear" w:color="auto" w:fill="auto"/>
        <w:spacing w:after="40" w:line="211" w:lineRule="auto"/>
        <w:ind w:firstLine="0"/>
        <w:jc w:val="right"/>
        <w:rPr>
          <w:sz w:val="18"/>
          <w:szCs w:val="18"/>
        </w:rPr>
      </w:pPr>
      <w:r>
        <w:rPr>
          <w:i/>
          <w:iCs/>
          <w:sz w:val="18"/>
          <w:szCs w:val="18"/>
        </w:rPr>
        <w:t>iS</w:t>
      </w:r>
    </w:p>
    <w:p w:rsidR="00500724" w:rsidRDefault="00F30FB8">
      <w:pPr>
        <w:pStyle w:val="Zkladntext1"/>
        <w:shd w:val="clear" w:color="auto" w:fill="auto"/>
        <w:spacing w:line="204" w:lineRule="auto"/>
        <w:ind w:firstLine="0"/>
        <w:rPr>
          <w:sz w:val="18"/>
          <w:szCs w:val="18"/>
        </w:rPr>
      </w:pPr>
      <w:r>
        <w:rPr>
          <w:sz w:val="18"/>
          <w:szCs w:val="18"/>
        </w:rPr>
        <w:t xml:space="preserve">nezaměstnaných </w:t>
      </w:r>
      <w:r>
        <w:rPr>
          <w:b/>
          <w:bCs/>
        </w:rPr>
        <w:t xml:space="preserve">a </w:t>
      </w:r>
      <w:r>
        <w:rPr>
          <w:sz w:val="18"/>
          <w:szCs w:val="18"/>
        </w:rPr>
        <w:t>jejichž počet se týden od týdne zvětšuje? Povolané organisace snažily se řešit otázku nezaměstnanosti v tiskárnách a za normálních poměrů se jim to více méně dařilo. Dnešní poměry vymykají se však z daných možností a proto bu</w:t>
      </w:r>
      <w:r>
        <w:rPr>
          <w:sz w:val="18"/>
          <w:szCs w:val="18"/>
        </w:rPr>
        <w:t>de nutno v budoucnosti vážně uvažovati o dalším zastavováni časopisů, jinak nastane pro obor knihtiskařský nedozírná kalamita. Naše vyspělé a výkonné knihtiskařstvo by si takového osudu nezasluhovalo.</w:t>
      </w:r>
    </w:p>
    <w:p w:rsidR="00500724" w:rsidRDefault="00F30FB8">
      <w:pPr>
        <w:pStyle w:val="Zkladntext1"/>
        <w:shd w:val="clear" w:color="auto" w:fill="auto"/>
        <w:spacing w:line="185" w:lineRule="auto"/>
        <w:ind w:left="3240" w:firstLine="0"/>
        <w:jc w:val="left"/>
        <w:rPr>
          <w:sz w:val="20"/>
          <w:szCs w:val="20"/>
        </w:rPr>
      </w:pPr>
      <w:r>
        <w:rPr>
          <w:b/>
          <w:bCs/>
          <w:i/>
          <w:iCs/>
          <w:sz w:val="20"/>
          <w:szCs w:val="20"/>
        </w:rPr>
        <w:t>Karel Peřina:</w:t>
      </w:r>
    </w:p>
    <w:p w:rsidR="00500724" w:rsidRDefault="00F30FB8">
      <w:pPr>
        <w:pStyle w:val="Zkladntext1"/>
        <w:shd w:val="clear" w:color="auto" w:fill="auto"/>
        <w:spacing w:after="460" w:line="206" w:lineRule="auto"/>
        <w:ind w:firstLine="0"/>
        <w:jc w:val="right"/>
        <w:rPr>
          <w:sz w:val="18"/>
          <w:szCs w:val="18"/>
        </w:rPr>
      </w:pPr>
      <w:r>
        <w:rPr>
          <w:sz w:val="18"/>
          <w:szCs w:val="18"/>
        </w:rPr>
        <w:t>předseda Svazu grafických grémii.</w:t>
      </w:r>
    </w:p>
    <w:p w:rsidR="00500724" w:rsidRDefault="00F30FB8">
      <w:pPr>
        <w:pStyle w:val="Jin0"/>
        <w:shd w:val="clear" w:color="auto" w:fill="auto"/>
        <w:spacing w:after="180"/>
        <w:ind w:firstLine="0"/>
        <w:jc w:val="left"/>
        <w:rPr>
          <w:sz w:val="46"/>
          <w:szCs w:val="46"/>
        </w:rPr>
      </w:pPr>
      <w:r>
        <w:rPr>
          <w:b/>
          <w:bCs/>
          <w:sz w:val="46"/>
          <w:szCs w:val="46"/>
          <w:u w:val="single"/>
        </w:rPr>
        <w:t>listárn</w:t>
      </w:r>
      <w:r>
        <w:rPr>
          <w:b/>
          <w:bCs/>
          <w:sz w:val="46"/>
          <w:szCs w:val="46"/>
          <w:u w:val="single"/>
        </w:rPr>
        <w:t>a redakce</w:t>
      </w:r>
    </w:p>
    <w:p w:rsidR="00500724" w:rsidRDefault="00F30FB8">
      <w:pPr>
        <w:pStyle w:val="Zkladntext1"/>
        <w:shd w:val="clear" w:color="auto" w:fill="auto"/>
        <w:tabs>
          <w:tab w:val="left" w:pos="4483"/>
        </w:tabs>
        <w:spacing w:after="80" w:line="206" w:lineRule="auto"/>
        <w:ind w:firstLine="300"/>
        <w:rPr>
          <w:sz w:val="18"/>
          <w:szCs w:val="18"/>
        </w:rPr>
      </w:pPr>
      <w:r>
        <w:rPr>
          <w:b/>
          <w:bCs/>
          <w:sz w:val="18"/>
          <w:szCs w:val="18"/>
        </w:rPr>
        <w:t xml:space="preserve">Tradice Karla </w:t>
      </w:r>
      <w:r>
        <w:rPr>
          <w:sz w:val="18"/>
          <w:szCs w:val="18"/>
        </w:rPr>
        <w:t>Čapka. Vykládáte to úplně nesprávně; do</w:t>
      </w:r>
      <w:r>
        <w:rPr>
          <w:sz w:val="18"/>
          <w:szCs w:val="18"/>
        </w:rPr>
        <w:softHyphen/>
      </w:r>
      <w:r>
        <w:rPr>
          <w:sz w:val="18"/>
          <w:szCs w:val="18"/>
        </w:rPr>
        <w:t xml:space="preserve">volte, aby Vám to řekl Čapkův přítel, který s ním dlouho o všech těch věcech hovoříval. Čapek už svým založením nebyl povaha buřičská, nýbrž positivní; vždy chtěl státi blízko těm, kteří budují, </w:t>
      </w:r>
      <w:r>
        <w:rPr>
          <w:b/>
          <w:bCs/>
        </w:rPr>
        <w:t xml:space="preserve">a </w:t>
      </w:r>
      <w:r>
        <w:rPr>
          <w:sz w:val="18"/>
          <w:szCs w:val="18"/>
        </w:rPr>
        <w:t>pomáhati jim. To bylo jeho stanovisko za první republiky, t</w:t>
      </w:r>
      <w:r>
        <w:rPr>
          <w:sz w:val="18"/>
          <w:szCs w:val="18"/>
        </w:rPr>
        <w:t>o by bylo jeho stanovisko i za republiky druhé. Ne</w:t>
      </w:r>
      <w:r>
        <w:rPr>
          <w:sz w:val="18"/>
          <w:szCs w:val="18"/>
        </w:rPr>
        <w:softHyphen/>
        <w:t>dopouštěl se té chyby, aby pro nepříjemné detaily neviděl ce</w:t>
      </w:r>
      <w:r>
        <w:rPr>
          <w:sz w:val="18"/>
          <w:szCs w:val="18"/>
        </w:rPr>
        <w:softHyphen/>
        <w:t xml:space="preserve">lek, aby snad pro to. co zlého se mu v některých novinách dělo, neviděl, že zase před námi všemi stanula obtížná úloha budováni státu </w:t>
      </w:r>
      <w:r>
        <w:rPr>
          <w:b/>
          <w:bCs/>
        </w:rPr>
        <w:t xml:space="preserve">a </w:t>
      </w:r>
      <w:r>
        <w:rPr>
          <w:sz w:val="18"/>
          <w:szCs w:val="18"/>
        </w:rPr>
        <w:t xml:space="preserve">udržení </w:t>
      </w:r>
      <w:r>
        <w:rPr>
          <w:sz w:val="18"/>
          <w:szCs w:val="18"/>
        </w:rPr>
        <w:t>národa. Proti tomu by se byl nikdy nestavěl zásadně do oposice, a všechna jeho snaha směřovala k tomu, aby mohl positivně pomáhat, v rozhlasu, v spolupráci s vojáky i jinak, jak se dalo. Ačkoliv on je autorem oné scény se slimáky, kteří ožírají kapustu, ni</w:t>
      </w:r>
      <w:r>
        <w:rPr>
          <w:sz w:val="18"/>
          <w:szCs w:val="18"/>
        </w:rPr>
        <w:t>kdy nepokládal slimáky za hlavní fakt v zahradě, nikdy se nevvčerpával tím, aby v ná</w:t>
      </w:r>
      <w:r>
        <w:rPr>
          <w:sz w:val="18"/>
          <w:szCs w:val="18"/>
        </w:rPr>
        <w:softHyphen/>
        <w:t>rodním společenství se sháněl především po slimácích a nad nimi si odplivoval; hledal v životě národa spíše stránky vzne</w:t>
      </w:r>
      <w:r>
        <w:rPr>
          <w:sz w:val="18"/>
          <w:szCs w:val="18"/>
        </w:rPr>
        <w:softHyphen/>
        <w:t>šené a dával se k disposici všemu, co kladného můž</w:t>
      </w:r>
      <w:r>
        <w:rPr>
          <w:sz w:val="18"/>
          <w:szCs w:val="18"/>
        </w:rPr>
        <w:t>e býti udě</w:t>
      </w:r>
      <w:r>
        <w:rPr>
          <w:sz w:val="18"/>
          <w:szCs w:val="18"/>
        </w:rPr>
        <w:softHyphen/>
        <w:t>láno. Vývoj v republice sledoval v posledních týdnech s uspo</w:t>
      </w:r>
      <w:r>
        <w:rPr>
          <w:sz w:val="18"/>
          <w:szCs w:val="18"/>
        </w:rPr>
        <w:softHyphen/>
        <w:t>kojením, neboť pozoroval, jak od počátečního chaosu se vše zase vrací do kolejí řádu a práva. Byl příliš filosoficky založen na to, aby byl netrpěliv, a s těmi nešťastnými povahami, kt</w:t>
      </w:r>
      <w:r>
        <w:rPr>
          <w:sz w:val="18"/>
          <w:szCs w:val="18"/>
        </w:rPr>
        <w:t>eré vznešenost hledal jen v protestování, se nikdv nemohl shod</w:t>
      </w:r>
      <w:r>
        <w:rPr>
          <w:sz w:val="18"/>
          <w:szCs w:val="18"/>
        </w:rPr>
        <w:softHyphen/>
        <w:t>nout. Má-li již býti vykládána Čapkova tradice, musí býti-do</w:t>
      </w:r>
      <w:r>
        <w:rPr>
          <w:sz w:val="18"/>
          <w:szCs w:val="18"/>
        </w:rPr>
        <w:softHyphen/>
        <w:t>voleno tak učiniti těm, kteří z denního styku jeho názory po</w:t>
      </w:r>
      <w:r>
        <w:rPr>
          <w:sz w:val="18"/>
          <w:szCs w:val="18"/>
        </w:rPr>
        <w:softHyphen/>
        <w:t>drobně znali. Tato tradice byla: pracovat dřív a častěji než mručet.</w:t>
      </w:r>
      <w:r>
        <w:rPr>
          <w:sz w:val="18"/>
          <w:szCs w:val="18"/>
        </w:rPr>
        <w:tab/>
        <w:t>—f</w:t>
      </w:r>
      <w:r>
        <w:rPr>
          <w:sz w:val="18"/>
          <w:szCs w:val="18"/>
        </w:rPr>
        <w:t>p—</w:t>
      </w:r>
    </w:p>
    <w:p w:rsidR="00500724" w:rsidRDefault="00F30FB8">
      <w:pPr>
        <w:pStyle w:val="Zkladntext1"/>
        <w:shd w:val="clear" w:color="auto" w:fill="auto"/>
        <w:spacing w:after="80" w:line="209" w:lineRule="auto"/>
        <w:ind w:firstLine="300"/>
        <w:rPr>
          <w:sz w:val="18"/>
          <w:szCs w:val="18"/>
        </w:rPr>
      </w:pPr>
      <w:r>
        <w:rPr>
          <w:sz w:val="18"/>
          <w:szCs w:val="18"/>
        </w:rPr>
        <w:t xml:space="preserve">Pohřeb </w:t>
      </w:r>
      <w:r>
        <w:rPr>
          <w:b/>
          <w:bCs/>
          <w:sz w:val="18"/>
          <w:szCs w:val="18"/>
        </w:rPr>
        <w:t xml:space="preserve">Karla čapka </w:t>
      </w:r>
      <w:r>
        <w:rPr>
          <w:sz w:val="18"/>
          <w:szCs w:val="18"/>
        </w:rPr>
        <w:t>se nemohl konat, jak jsme byli na zemském úřadě informováni, z Pantheonu proto, že země čes</w:t>
      </w:r>
      <w:r>
        <w:rPr>
          <w:sz w:val="18"/>
          <w:szCs w:val="18"/>
        </w:rPr>
        <w:softHyphen/>
        <w:t>ká, jíž správa Pantheonu přísluší, neměla dost uhlí, aby vyto</w:t>
      </w:r>
      <w:r>
        <w:rPr>
          <w:sz w:val="18"/>
          <w:szCs w:val="18"/>
        </w:rPr>
        <w:softHyphen/>
        <w:t>pila smuteční síň. Proč na Národním divadle nebyl vyvěšen černý prapor hned po Č</w:t>
      </w:r>
      <w:r>
        <w:rPr>
          <w:sz w:val="18"/>
          <w:szCs w:val="18"/>
        </w:rPr>
        <w:t xml:space="preserve">apkově smrti, nýbrž teprve v den jeho pohřbu, kdy zatím zemřel také </w:t>
      </w:r>
      <w:r>
        <w:rPr>
          <w:sz w:val="18"/>
          <w:szCs w:val="18"/>
          <w:lang w:val="en-US" w:eastAsia="en-US" w:bidi="en-US"/>
        </w:rPr>
        <w:t xml:space="preserve">pan Fuksa, </w:t>
      </w:r>
      <w:r>
        <w:rPr>
          <w:sz w:val="18"/>
          <w:szCs w:val="18"/>
        </w:rPr>
        <w:t>bývalý člen druž</w:t>
      </w:r>
      <w:r>
        <w:rPr>
          <w:sz w:val="18"/>
          <w:szCs w:val="18"/>
        </w:rPr>
        <w:softHyphen/>
        <w:t>stva Národního divadla a kdy už se na štěstí nemohlo říci ,že za toho nebo za toho, o tom snad pojedná některý vůdčí funk</w:t>
      </w:r>
      <w:r>
        <w:rPr>
          <w:sz w:val="18"/>
          <w:szCs w:val="18"/>
        </w:rPr>
        <w:softHyphen/>
        <w:t>cionář naší národní scény ve svých mem</w:t>
      </w:r>
      <w:r>
        <w:rPr>
          <w:sz w:val="18"/>
          <w:szCs w:val="18"/>
        </w:rPr>
        <w:t>oárech v kapitole: »Můj charakter*.</w:t>
      </w:r>
    </w:p>
    <w:p w:rsidR="00500724" w:rsidRDefault="00F30FB8">
      <w:pPr>
        <w:pStyle w:val="Zkladntext1"/>
        <w:shd w:val="clear" w:color="auto" w:fill="auto"/>
        <w:spacing w:after="80" w:line="209" w:lineRule="auto"/>
        <w:ind w:firstLine="300"/>
        <w:rPr>
          <w:sz w:val="18"/>
          <w:szCs w:val="18"/>
        </w:rPr>
      </w:pPr>
      <w:r>
        <w:rPr>
          <w:sz w:val="18"/>
          <w:szCs w:val="18"/>
        </w:rPr>
        <w:t>Nespokojený čtenář. Prosím Vás, nedělejte ze sebe malé dítě. I to by už musilo ostatně vědět, že naše noviny nyní ze zahraničně-politických důvodů nemohou o lecčems psát. Děly se teď věci, o kterých mlčely stejně naše pr</w:t>
      </w:r>
      <w:r>
        <w:rPr>
          <w:sz w:val="18"/>
          <w:szCs w:val="18"/>
        </w:rPr>
        <w:t>avé jako naše levé noviny, a věru byste je nemohl spravedlivě vinit, že při nich nic necítily. Ostatně nepokládejte za ideální ten stav. ve kte</w:t>
      </w:r>
      <w:r>
        <w:rPr>
          <w:sz w:val="18"/>
          <w:szCs w:val="18"/>
        </w:rPr>
        <w:softHyphen/>
        <w:t>rém se v novinách hned všechno ze široka vyžvaní. Budete se teď musit nově učit noviny číst,, a rozumět také náz</w:t>
      </w:r>
      <w:r>
        <w:rPr>
          <w:sz w:val="18"/>
          <w:szCs w:val="18"/>
        </w:rPr>
        <w:t>nakům a také tomu, že se někdy mlčí. Jste hrozný ve svém hněvu. Ale náš hněv po přečtení Vašeho dopisu není o nic menší. Zlobíme se, že bytost s myslí tak naivní se může stavět do pózy soudce.</w:t>
      </w:r>
    </w:p>
    <w:p w:rsidR="00500724" w:rsidRDefault="00F30FB8">
      <w:pPr>
        <w:pStyle w:val="Zkladntext1"/>
        <w:shd w:val="clear" w:color="auto" w:fill="auto"/>
        <w:spacing w:line="202" w:lineRule="auto"/>
        <w:ind w:firstLine="0"/>
        <w:jc w:val="right"/>
        <w:rPr>
          <w:sz w:val="18"/>
          <w:szCs w:val="18"/>
        </w:rPr>
      </w:pPr>
      <w:r>
        <w:rPr>
          <w:sz w:val="18"/>
          <w:szCs w:val="18"/>
        </w:rPr>
        <w:t xml:space="preserve">Platí </w:t>
      </w:r>
      <w:r>
        <w:rPr>
          <w:b/>
          <w:bCs/>
          <w:sz w:val="18"/>
          <w:szCs w:val="18"/>
        </w:rPr>
        <w:t xml:space="preserve">stát dluhy? </w:t>
      </w:r>
      <w:r>
        <w:rPr>
          <w:sz w:val="18"/>
          <w:szCs w:val="18"/>
        </w:rPr>
        <w:t>Amortisace vnitřních dluhů byla do</w:t>
      </w:r>
      <w:r>
        <w:rPr>
          <w:sz w:val="18"/>
          <w:szCs w:val="18"/>
        </w:rPr>
        <w:softHyphen/>
        <w:t xml:space="preserve">časně </w:t>
      </w:r>
      <w:r>
        <w:rPr>
          <w:sz w:val="18"/>
          <w:szCs w:val="18"/>
        </w:rPr>
        <w:t>zastavena, ačkoli státní pokladna je s to živiti umořovací</w:t>
      </w:r>
    </w:p>
    <w:p w:rsidR="00500724" w:rsidRDefault="00F30FB8">
      <w:pPr>
        <w:pStyle w:val="Zkladntext1"/>
        <w:shd w:val="clear" w:color="auto" w:fill="auto"/>
        <w:spacing w:after="40" w:line="209" w:lineRule="auto"/>
        <w:ind w:firstLine="0"/>
        <w:rPr>
          <w:sz w:val="18"/>
          <w:szCs w:val="18"/>
        </w:rPr>
      </w:pPr>
      <w:r>
        <w:rPr>
          <w:sz w:val="18"/>
          <w:szCs w:val="18"/>
        </w:rPr>
        <w:t xml:space="preserve">fond. O dočasném zastavení amortisace vnitřních dluhů rozhodl nový poměr k Německu, Polsku a Maďarsku, protože s těmito státy musíme samozřejmě jednati o převzetí příslušných kvót vnitřního dluhu. </w:t>
      </w:r>
      <w:r>
        <w:rPr>
          <w:sz w:val="18"/>
          <w:szCs w:val="18"/>
        </w:rPr>
        <w:t>Tato jednání nejsou ještě ukončena. Věc se vyřeší tím snadněji, že spořitelny v zabraných územích mají značné položky těchto vnitřních půjček. Loni měly spořitelny s německým jednacím jazykem okrouhle jednu miliardu stát</w:t>
      </w:r>
      <w:r>
        <w:rPr>
          <w:sz w:val="18"/>
          <w:szCs w:val="18"/>
        </w:rPr>
        <w:softHyphen/>
        <w:t>ních půjček. Právě proto, že se jed</w:t>
      </w:r>
      <w:r>
        <w:rPr>
          <w:sz w:val="18"/>
          <w:szCs w:val="18"/>
        </w:rPr>
        <w:t>nání s Německem, Polskem a Maďarskem týká jenom vnitřních půjček, platí Česko-Slo</w:t>
      </w:r>
      <w:r>
        <w:rPr>
          <w:sz w:val="18"/>
          <w:szCs w:val="18"/>
        </w:rPr>
        <w:softHyphen/>
        <w:t>vensko úroky a amortisační splátky na zahraniční dluhy pravi</w:t>
      </w:r>
      <w:r>
        <w:rPr>
          <w:sz w:val="18"/>
          <w:szCs w:val="18"/>
        </w:rPr>
        <w:softHyphen/>
        <w:t>delně.</w:t>
      </w:r>
    </w:p>
    <w:p w:rsidR="00500724" w:rsidRDefault="00F30FB8">
      <w:pPr>
        <w:pStyle w:val="Zkladntext1"/>
        <w:shd w:val="clear" w:color="auto" w:fill="auto"/>
        <w:spacing w:after="40" w:line="209" w:lineRule="auto"/>
        <w:ind w:firstLine="200"/>
        <w:rPr>
          <w:sz w:val="18"/>
          <w:szCs w:val="18"/>
        </w:rPr>
      </w:pPr>
      <w:r>
        <w:rPr>
          <w:sz w:val="18"/>
          <w:szCs w:val="18"/>
        </w:rPr>
        <w:t>Proč píšeme název republiky dvojím způsobem? Máte prav</w:t>
      </w:r>
      <w:r>
        <w:rPr>
          <w:sz w:val="18"/>
          <w:szCs w:val="18"/>
        </w:rPr>
        <w:softHyphen/>
        <w:t xml:space="preserve">du, že někdy užíváme dřívější formy Československo </w:t>
      </w:r>
      <w:r>
        <w:rPr>
          <w:b/>
          <w:bCs/>
        </w:rPr>
        <w:t xml:space="preserve">a </w:t>
      </w:r>
      <w:r>
        <w:rPr>
          <w:sz w:val="18"/>
          <w:szCs w:val="18"/>
        </w:rPr>
        <w:t>někdy zas Česko-Slovensko, vsunujíce mezi obě slova rozdělovači znaménko; ale není to náhoda, ani projev nejistoty, jak vlastně psáti. Po starém způsobu píšeme Českosloven</w:t>
      </w:r>
      <w:r>
        <w:rPr>
          <w:sz w:val="18"/>
          <w:szCs w:val="18"/>
        </w:rPr>
        <w:softHyphen/>
        <w:t>sko vždycky, když mluvíme o republice až do událostí ze za</w:t>
      </w:r>
      <w:r>
        <w:rPr>
          <w:sz w:val="18"/>
          <w:szCs w:val="18"/>
        </w:rPr>
        <w:softHyphen/>
        <w:t>čátku října, které neod</w:t>
      </w:r>
      <w:r>
        <w:rPr>
          <w:sz w:val="18"/>
          <w:szCs w:val="18"/>
        </w:rPr>
        <w:t>loučily jenom území, ale změnily také vnitřní poměr jednotlivých zemí. Jde-li o něco, co se týká na</w:t>
      </w:r>
      <w:r>
        <w:rPr>
          <w:sz w:val="18"/>
          <w:szCs w:val="18"/>
        </w:rPr>
        <w:softHyphen/>
        <w:t>šeho státu z let 1918—1938, je jedině správno psát Českoslo</w:t>
      </w:r>
      <w:r>
        <w:rPr>
          <w:sz w:val="18"/>
          <w:szCs w:val="18"/>
        </w:rPr>
        <w:softHyphen/>
        <w:t>vensko. Teprve přijetím ústavních zákonů o autonomii Slo</w:t>
      </w:r>
      <w:r>
        <w:rPr>
          <w:sz w:val="18"/>
          <w:szCs w:val="18"/>
        </w:rPr>
        <w:softHyphen/>
        <w:t>venska a Podkarpatské Rusi změnilo se d</w:t>
      </w:r>
      <w:r>
        <w:rPr>
          <w:sz w:val="18"/>
          <w:szCs w:val="18"/>
        </w:rPr>
        <w:t>řívější Československo (psáno dohromady) ve federativní svazek, v Česko-Slovensko, jehož vnějším výrazem je právě oddělovací znaménko mezi oběma hlavními složkami v názvu republiky.</w:t>
      </w:r>
    </w:p>
    <w:p w:rsidR="00500724" w:rsidRDefault="00F30FB8">
      <w:pPr>
        <w:pStyle w:val="Zkladntext1"/>
        <w:shd w:val="clear" w:color="auto" w:fill="auto"/>
        <w:spacing w:after="700" w:line="206" w:lineRule="auto"/>
        <w:ind w:firstLine="280"/>
        <w:rPr>
          <w:sz w:val="18"/>
          <w:szCs w:val="18"/>
        </w:rPr>
      </w:pPr>
      <w:r>
        <w:rPr>
          <w:sz w:val="18"/>
          <w:szCs w:val="18"/>
        </w:rPr>
        <w:t xml:space="preserve">Obě poslední čísla Přítomnosti vyšla vzhledem k vánočním </w:t>
      </w:r>
      <w:r>
        <w:rPr>
          <w:b/>
          <w:bCs/>
        </w:rPr>
        <w:t xml:space="preserve">a </w:t>
      </w:r>
      <w:r>
        <w:rPr>
          <w:sz w:val="18"/>
          <w:szCs w:val="18"/>
        </w:rPr>
        <w:t>novoročním svát</w:t>
      </w:r>
      <w:r>
        <w:rPr>
          <w:sz w:val="18"/>
          <w:szCs w:val="18"/>
        </w:rPr>
        <w:t>kům o den později.</w:t>
      </w:r>
    </w:p>
    <w:p w:rsidR="00500724" w:rsidRDefault="00F30FB8">
      <w:pPr>
        <w:pStyle w:val="Zkladntext1"/>
        <w:shd w:val="clear" w:color="auto" w:fill="auto"/>
        <w:spacing w:after="40"/>
        <w:ind w:firstLine="0"/>
        <w:jc w:val="center"/>
      </w:pPr>
      <w:r>
        <w:rPr>
          <w:b/>
          <w:bCs/>
        </w:rPr>
        <w:t>Dodá každý knihkupec.</w:t>
      </w:r>
    </w:p>
    <w:p w:rsidR="00500724" w:rsidRDefault="00F30FB8">
      <w:pPr>
        <w:pStyle w:val="Nadpis100"/>
        <w:shd w:val="clear" w:color="auto" w:fill="auto"/>
        <w:spacing w:after="0" w:line="240" w:lineRule="auto"/>
        <w:sectPr w:rsidR="00500724">
          <w:footnotePr>
            <w:numFmt w:val="chicago"/>
            <w:numRestart w:val="eachPage"/>
          </w:footnotePr>
          <w:pgSz w:w="11909" w:h="16834"/>
          <w:pgMar w:top="1474" w:right="859" w:bottom="875" w:left="546" w:header="0" w:footer="3" w:gutter="0"/>
          <w:cols w:num="2" w:space="100"/>
          <w:noEndnote/>
          <w:docGrid w:linePitch="360"/>
        </w:sectPr>
      </w:pPr>
      <w:bookmarkStart w:id="10" w:name="bookmark9"/>
      <w:r>
        <w:t>FR. BOROVÝ</w:t>
      </w:r>
      <w:bookmarkEnd w:id="10"/>
    </w:p>
    <w:p w:rsidR="00500724" w:rsidRDefault="00500724">
      <w:pPr>
        <w:spacing w:line="164" w:lineRule="exact"/>
        <w:rPr>
          <w:sz w:val="13"/>
          <w:szCs w:val="13"/>
        </w:rPr>
      </w:pPr>
    </w:p>
    <w:p w:rsidR="00500724" w:rsidRDefault="00500724">
      <w:pPr>
        <w:spacing w:line="14" w:lineRule="exact"/>
        <w:sectPr w:rsidR="00500724">
          <w:footnotePr>
            <w:numFmt w:val="chicago"/>
            <w:numRestart w:val="eachPage"/>
          </w:footnotePr>
          <w:type w:val="continuous"/>
          <w:pgSz w:w="11909" w:h="16834"/>
          <w:pgMar w:top="1623" w:right="0" w:bottom="942" w:left="0" w:header="0" w:footer="3" w:gutter="0"/>
          <w:cols w:space="720"/>
          <w:noEndnote/>
          <w:docGrid w:linePitch="360"/>
        </w:sectPr>
      </w:pPr>
    </w:p>
    <w:p w:rsidR="00500724" w:rsidRDefault="00F30FB8">
      <w:pPr>
        <w:pStyle w:val="Nadpis120"/>
        <w:pBdr>
          <w:top w:val="single" w:sz="4" w:space="0" w:color="auto"/>
          <w:left w:val="single" w:sz="4" w:space="0" w:color="auto"/>
          <w:bottom w:val="single" w:sz="4" w:space="0" w:color="auto"/>
          <w:right w:val="single" w:sz="4" w:space="0" w:color="auto"/>
        </w:pBdr>
        <w:shd w:val="clear" w:color="auto" w:fill="auto"/>
        <w:spacing w:after="40"/>
        <w:ind w:left="420"/>
        <w:jc w:val="both"/>
      </w:pPr>
      <w:bookmarkStart w:id="11" w:name="bookmark10"/>
      <w:r>
        <w:t>Dobrý přítel 2 říše štěstí:</w:t>
      </w:r>
      <w:bookmarkEnd w:id="11"/>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40" w:line="204" w:lineRule="auto"/>
        <w:ind w:left="420" w:firstLine="0"/>
        <w:jc w:val="left"/>
        <w:rPr>
          <w:sz w:val="48"/>
          <w:szCs w:val="48"/>
        </w:rPr>
      </w:pPr>
      <w:r>
        <w:rPr>
          <w:rFonts w:ascii="Arial" w:eastAsia="Arial" w:hAnsi="Arial" w:cs="Arial"/>
          <w:b/>
          <w:bCs/>
          <w:sz w:val="38"/>
          <w:szCs w:val="38"/>
        </w:rPr>
        <w:t xml:space="preserve">LOS </w:t>
      </w:r>
      <w:r>
        <w:rPr>
          <w:rFonts w:ascii="Arial" w:eastAsia="Arial" w:hAnsi="Arial" w:cs="Arial"/>
          <w:b/>
          <w:bCs/>
          <w:smallCaps/>
          <w:sz w:val="48"/>
          <w:szCs w:val="48"/>
        </w:rPr>
        <w:t>Cesko-slovenské třídní loterie</w:t>
      </w:r>
    </w:p>
    <w:p w:rsidR="00500724" w:rsidRDefault="00F30FB8">
      <w:pPr>
        <w:pStyle w:val="Nadpis120"/>
        <w:pBdr>
          <w:top w:val="single" w:sz="4" w:space="0" w:color="auto"/>
          <w:left w:val="single" w:sz="4" w:space="0" w:color="auto"/>
          <w:bottom w:val="single" w:sz="4" w:space="0" w:color="auto"/>
          <w:right w:val="single" w:sz="4" w:space="0" w:color="auto"/>
        </w:pBdr>
        <w:shd w:val="clear" w:color="auto" w:fill="auto"/>
        <w:tabs>
          <w:tab w:val="left" w:pos="7414"/>
        </w:tabs>
        <w:spacing w:after="360"/>
        <w:ind w:left="420"/>
        <w:jc w:val="both"/>
      </w:pPr>
      <w:bookmarkStart w:id="12" w:name="bookmark11"/>
      <w:r>
        <w:t>Přináší velké možnosti výhry a bohatství.</w:t>
      </w:r>
      <w:r>
        <w:tab/>
        <w:t>30°/, losů musí vyhřátí.</w:t>
      </w:r>
      <w:bookmarkEnd w:id="12"/>
    </w:p>
    <w:p w:rsidR="00500724" w:rsidRDefault="00F30FB8">
      <w:pPr>
        <w:pStyle w:val="Zkladntext1"/>
        <w:shd w:val="clear" w:color="auto" w:fill="auto"/>
        <w:spacing w:after="200"/>
        <w:ind w:firstLine="0"/>
        <w:jc w:val="left"/>
        <w:rPr>
          <w:sz w:val="18"/>
          <w:szCs w:val="18"/>
        </w:rPr>
        <w:sectPr w:rsidR="00500724">
          <w:footnotePr>
            <w:numFmt w:val="chicago"/>
            <w:numRestart w:val="eachPage"/>
          </w:footnotePr>
          <w:type w:val="continuous"/>
          <w:pgSz w:w="11909" w:h="16834"/>
          <w:pgMar w:top="1623" w:right="857" w:bottom="942" w:left="612" w:header="0" w:footer="3" w:gutter="0"/>
          <w:cols w:space="720"/>
          <w:noEndnote/>
          <w:docGrid w:linePitch="360"/>
        </w:sectPr>
      </w:pPr>
      <w:r>
        <w:rPr>
          <w:i/>
          <w:iCs/>
          <w:sz w:val="18"/>
          <w:szCs w:val="18"/>
        </w:rPr>
        <w:t>íó</w:t>
      </w:r>
    </w:p>
    <w:p w:rsidR="00500724" w:rsidRDefault="00F30FB8">
      <w:pPr>
        <w:pStyle w:val="Nadpis110"/>
        <w:framePr w:w="326" w:h="1781" w:wrap="none" w:vAnchor="text" w:hAnchor="page" w:x="10808" w:y="21"/>
        <w:shd w:val="clear" w:color="auto" w:fill="auto"/>
      </w:pPr>
      <w:bookmarkStart w:id="13" w:name="bookmark12"/>
      <w:r>
        <w:t>JO</w:t>
      </w:r>
      <w:bookmarkEnd w:id="13"/>
    </w:p>
    <w:p w:rsidR="00500724" w:rsidRDefault="00F30FB8">
      <w:pPr>
        <w:pStyle w:val="Nadpis110"/>
        <w:framePr w:w="326" w:h="1781" w:wrap="none" w:vAnchor="text" w:hAnchor="page" w:x="10808" w:y="21"/>
        <w:shd w:val="clear" w:color="auto" w:fill="auto"/>
        <w:spacing w:line="180" w:lineRule="auto"/>
      </w:pPr>
      <w:bookmarkStart w:id="14" w:name="bookmark13"/>
      <w:r>
        <w:t>o</w:t>
      </w:r>
      <w:bookmarkEnd w:id="14"/>
    </w:p>
    <w:p w:rsidR="00500724" w:rsidRDefault="00F30FB8">
      <w:pPr>
        <w:pStyle w:val="Zkladntext40"/>
        <w:framePr w:w="326" w:h="1781" w:wrap="none" w:vAnchor="text" w:hAnchor="page" w:x="10808" w:y="21"/>
        <w:shd w:val="clear" w:color="auto" w:fill="auto"/>
        <w:spacing w:after="0" w:line="233" w:lineRule="auto"/>
        <w:jc w:val="left"/>
      </w:pPr>
      <w:r>
        <w:t>Oč</w:t>
      </w:r>
    </w:p>
    <w:p w:rsidR="00500724" w:rsidRDefault="00F30FB8">
      <w:pPr>
        <w:pStyle w:val="Nadpis110"/>
        <w:framePr w:w="326" w:h="1781" w:wrap="none" w:vAnchor="text" w:hAnchor="page" w:x="10808" w:y="21"/>
        <w:shd w:val="clear" w:color="auto" w:fill="auto"/>
        <w:spacing w:after="100"/>
      </w:pPr>
      <w:bookmarkStart w:id="15" w:name="bookmark14"/>
      <w:r>
        <w:t>o</w:t>
      </w:r>
      <w:bookmarkEnd w:id="15"/>
    </w:p>
    <w:p w:rsidR="00500724" w:rsidRDefault="00F30FB8">
      <w:pPr>
        <w:pStyle w:val="Nadpis110"/>
        <w:framePr w:w="326" w:h="1781" w:wrap="none" w:vAnchor="text" w:hAnchor="page" w:x="10808" w:y="21"/>
        <w:shd w:val="clear" w:color="auto" w:fill="auto"/>
      </w:pPr>
      <w:bookmarkStart w:id="16" w:name="bookmark15"/>
      <w:r>
        <w:t>o&lt;</w:t>
      </w:r>
      <w:bookmarkEnd w:id="16"/>
    </w:p>
    <w:p w:rsidR="00500724" w:rsidRDefault="00F30FB8">
      <w:pPr>
        <w:pStyle w:val="Nadpis110"/>
        <w:framePr w:w="326" w:h="1781" w:wrap="none" w:vAnchor="text" w:hAnchor="page" w:x="10808" w:y="21"/>
        <w:shd w:val="clear" w:color="auto" w:fill="auto"/>
      </w:pPr>
      <w:bookmarkStart w:id="17" w:name="bookmark16"/>
      <w:r>
        <w:t>&lt;/&gt;</w:t>
      </w:r>
      <w:bookmarkEnd w:id="17"/>
    </w:p>
    <w:p w:rsidR="00500724" w:rsidRDefault="00F30FB8">
      <w:pPr>
        <w:pStyle w:val="Nadpis110"/>
        <w:framePr w:w="326" w:h="1781" w:wrap="none" w:vAnchor="text" w:hAnchor="page" w:x="10808" w:y="21"/>
        <w:shd w:val="clear" w:color="auto" w:fill="auto"/>
        <w:spacing w:after="60"/>
      </w:pPr>
      <w:bookmarkStart w:id="18" w:name="bookmark17"/>
      <w:r>
        <w:t>o</w:t>
      </w:r>
      <w:bookmarkEnd w:id="18"/>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23" w:line="14" w:lineRule="exact"/>
      </w:pPr>
    </w:p>
    <w:p w:rsidR="00500724" w:rsidRDefault="00500724">
      <w:pPr>
        <w:spacing w:line="14" w:lineRule="exact"/>
        <w:sectPr w:rsidR="00500724">
          <w:footnotePr>
            <w:numFmt w:val="chicago"/>
            <w:numRestart w:val="eachPage"/>
          </w:footnotePr>
          <w:pgSz w:w="11909" w:h="16834"/>
          <w:pgMar w:top="497" w:right="741" w:bottom="787" w:left="506"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386" behindDoc="0" locked="0" layoutInCell="1" allowOverlap="1">
                <wp:simplePos x="0" y="0"/>
                <wp:positionH relativeFrom="page">
                  <wp:posOffset>2101850</wp:posOffset>
                </wp:positionH>
                <wp:positionV relativeFrom="paragraph">
                  <wp:posOffset>12700</wp:posOffset>
                </wp:positionV>
                <wp:extent cx="3239770" cy="1542415"/>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3239770" cy="1542415"/>
                        </a:xfrm>
                        <a:prstGeom prst="rect">
                          <a:avLst/>
                        </a:prstGeom>
                        <a:noFill/>
                      </wps:spPr>
                      <wps:txbx>
                        <w:txbxContent>
                          <w:p w:rsidR="00500724" w:rsidRDefault="00F30FB8">
                            <w:pPr>
                              <w:pStyle w:val="Jin0"/>
                              <w:shd w:val="clear" w:color="auto" w:fill="auto"/>
                              <w:ind w:firstLine="0"/>
                              <w:jc w:val="center"/>
                              <w:rPr>
                                <w:sz w:val="26"/>
                                <w:szCs w:val="26"/>
                              </w:rPr>
                            </w:pPr>
                            <w:r>
                              <w:rPr>
                                <w:b/>
                                <w:bCs/>
                                <w:sz w:val="26"/>
                                <w:szCs w:val="26"/>
                              </w:rPr>
                              <w:t>Česko-slovenská vzájemnost’</w:t>
                            </w:r>
                          </w:p>
                          <w:p w:rsidR="00500724" w:rsidRDefault="00F30FB8">
                            <w:pPr>
                              <w:pStyle w:val="Zkladntext1"/>
                              <w:shd w:val="clear" w:color="auto" w:fill="auto"/>
                              <w:spacing w:line="187" w:lineRule="auto"/>
                              <w:ind w:firstLine="200"/>
                              <w:rPr>
                                <w:sz w:val="20"/>
                                <w:szCs w:val="20"/>
                              </w:rPr>
                            </w:pPr>
                            <w:r>
                              <w:rPr>
                                <w:b/>
                                <w:bCs/>
                              </w:rPr>
                              <w:t>Česko-slovenská vzájoninosl’ vo smysle počeštenia Slo</w:t>
                            </w:r>
                            <w:r>
                              <w:rPr>
                                <w:b/>
                                <w:bCs/>
                              </w:rPr>
                              <w:softHyphen/>
                              <w:t xml:space="preserve">venska je navždy mrtva, a nik jn už istotne nevykope. Ale vo smysle vzájomného kultúr </w:t>
                            </w:r>
                            <w:r>
                              <w:rPr>
                                <w:b/>
                                <w:bCs/>
                              </w:rPr>
                              <w:t>ného ovplyvňovania bude žlť o íořko intenzívnejšie, o ěo budú Slováci istejší, že prinášajú svoj podiel. Hovořme otvorene: bolo by tak Čechom škodli</w:t>
                            </w:r>
                            <w:r>
                              <w:rPr>
                                <w:b/>
                                <w:bCs/>
                              </w:rPr>
                              <w:softHyphen/>
                              <w:t>vé a neznesitelné, keby sa teraz karta obrátila a trochu sa posloveněili oni? Mnoho sora popísal o theokrac</w:t>
                            </w:r>
                            <w:r>
                              <w:rPr>
                                <w:b/>
                                <w:bCs/>
                              </w:rPr>
                              <w:t xml:space="preserve">ii: nemajte strach, nemyslím na klerikalizmus, na omše a procesie, ani na metody, ktoré Češi vyskúšali s takým malým zdarom na Slovensku. Nazdávam sa, že keď </w:t>
                            </w:r>
                            <w:r>
                              <w:rPr>
                                <w:b/>
                                <w:bCs/>
                                <w:lang w:val="en-US" w:eastAsia="en-US" w:bidi="en-US"/>
                              </w:rPr>
                              <w:t xml:space="preserve">pride </w:t>
                            </w:r>
                            <w:r>
                              <w:rPr>
                                <w:b/>
                                <w:bCs/>
                              </w:rPr>
                              <w:t xml:space="preserve">zasa čas úvah o ěesko-slovenskej vzájomnosti. začne sa s tým teraz </w:t>
                            </w:r>
                            <w:r>
                              <w:rPr>
                                <w:b/>
                                <w:bCs/>
                                <w:lang w:val="en-US" w:eastAsia="en-US" w:bidi="en-US"/>
                              </w:rPr>
                              <w:t xml:space="preserve">so </w:t>
                            </w:r>
                            <w:r>
                              <w:rPr>
                                <w:b/>
                                <w:bCs/>
                              </w:rPr>
                              <w:t xml:space="preserve">slo- venskej strany. </w:t>
                            </w:r>
                            <w:r>
                              <w:rPr>
                                <w:i/>
                                <w:iCs/>
                                <w:sz w:val="20"/>
                                <w:szCs w:val="20"/>
                              </w:rPr>
                              <w:t>M</w:t>
                            </w:r>
                            <w:r>
                              <w:rPr>
                                <w:i/>
                                <w:iCs/>
                                <w:sz w:val="20"/>
                                <w:szCs w:val="20"/>
                              </w:rPr>
                              <w:t>ichal Chorvát (v Kritickém měsíčníku)</w:t>
                            </w:r>
                          </w:p>
                        </w:txbxContent>
                      </wps:txbx>
                      <wps:bodyPr lIns="0" tIns="0" rIns="0" bIns="0">
                        <a:spAutoFit/>
                      </wps:bodyPr>
                    </wps:wsp>
                  </a:graphicData>
                </a:graphic>
              </wp:anchor>
            </w:drawing>
          </mc:Choice>
          <mc:Fallback>
            <w:pict>
              <v:shape id="_x0000_s1035" type="#_x0000_t202" style="position:absolute;margin-left:165.5pt;margin-top:1.pt;width:255.09999999999999pt;height:121.45pt;z-index:-125829367;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Česko-slovenská vzájemnost’</w:t>
                      </w:r>
                    </w:p>
                    <w:p>
                      <w:pPr>
                        <w:pStyle w:val="Style18"/>
                        <w:keepNext w:val="0"/>
                        <w:keepLines w:val="0"/>
                        <w:widowControl w:val="0"/>
                        <w:shd w:val="clear" w:color="auto" w:fill="auto"/>
                        <w:bidi w:val="0"/>
                        <w:spacing w:before="0" w:after="0" w:line="187" w:lineRule="auto"/>
                        <w:ind w:left="0" w:right="0" w:firstLine="200"/>
                        <w:rPr>
                          <w:sz w:val="20"/>
                          <w:szCs w:val="20"/>
                        </w:rPr>
                      </w:pPr>
                      <w:r>
                        <w:rPr>
                          <w:b/>
                          <w:bCs/>
                          <w:color w:val="000000"/>
                          <w:spacing w:val="0"/>
                          <w:w w:val="100"/>
                          <w:position w:val="0"/>
                          <w:sz w:val="19"/>
                          <w:szCs w:val="19"/>
                          <w:shd w:val="clear" w:color="auto" w:fill="auto"/>
                          <w:lang w:val="cs-CZ" w:eastAsia="cs-CZ" w:bidi="cs-CZ"/>
                        </w:rPr>
                        <w:t>Česko-slovenská vzájoninosl’ vo smysle počeštenia Slo</w:t>
                        <w:softHyphen/>
                        <w:t>venska je navždy mrtva, a nik jn už istotne nevykope. Ale vo smysle vzájomného kultúr ného ovplyvňovania bude žlť o íořko intenzívnejšie, o ěo budú Slováci istejší, že prinášajú svoj podiel. Hovořme otvorene: bolo by tak Čechom škodli</w:t>
                        <w:softHyphen/>
                        <w:t xml:space="preserve">vé a neznesitelné, keby sa teraz karta obrátila a trochu sa posloveněili oni? Mnoho sora popísal o theokracii: nemajte strach, nemyslím na klerikalizmus, na omše a procesie, ani na metody, ktoré Češi vyskúšali s takým malým zdarom na Slovensku. Nazdávam sa, že keď </w:t>
                      </w:r>
                      <w:r>
                        <w:rPr>
                          <w:b/>
                          <w:bCs/>
                          <w:color w:val="000000"/>
                          <w:spacing w:val="0"/>
                          <w:w w:val="100"/>
                          <w:position w:val="0"/>
                          <w:sz w:val="19"/>
                          <w:szCs w:val="19"/>
                          <w:shd w:val="clear" w:color="auto" w:fill="auto"/>
                          <w:lang w:val="en-US" w:eastAsia="en-US" w:bidi="en-US"/>
                        </w:rPr>
                        <w:t xml:space="preserve">pride </w:t>
                      </w:r>
                      <w:r>
                        <w:rPr>
                          <w:b/>
                          <w:bCs/>
                          <w:color w:val="000000"/>
                          <w:spacing w:val="0"/>
                          <w:w w:val="100"/>
                          <w:position w:val="0"/>
                          <w:sz w:val="19"/>
                          <w:szCs w:val="19"/>
                          <w:shd w:val="clear" w:color="auto" w:fill="auto"/>
                          <w:lang w:val="cs-CZ" w:eastAsia="cs-CZ" w:bidi="cs-CZ"/>
                        </w:rPr>
                        <w:t xml:space="preserve">zasa čas úvah o ěesko-slovenskej vzájomnosti. začne sa s tým teraz </w:t>
                      </w:r>
                      <w:r>
                        <w:rPr>
                          <w:b/>
                          <w:bCs/>
                          <w:color w:val="000000"/>
                          <w:spacing w:val="0"/>
                          <w:w w:val="100"/>
                          <w:position w:val="0"/>
                          <w:sz w:val="19"/>
                          <w:szCs w:val="19"/>
                          <w:shd w:val="clear" w:color="auto" w:fill="auto"/>
                          <w:lang w:val="en-US" w:eastAsia="en-US" w:bidi="en-US"/>
                        </w:rPr>
                        <w:t xml:space="preserve">so </w:t>
                      </w:r>
                      <w:r>
                        <w:rPr>
                          <w:b/>
                          <w:bCs/>
                          <w:color w:val="000000"/>
                          <w:spacing w:val="0"/>
                          <w:w w:val="100"/>
                          <w:position w:val="0"/>
                          <w:sz w:val="19"/>
                          <w:szCs w:val="19"/>
                          <w:shd w:val="clear" w:color="auto" w:fill="auto"/>
                          <w:lang w:val="cs-CZ" w:eastAsia="cs-CZ" w:bidi="cs-CZ"/>
                        </w:rPr>
                        <w:t xml:space="preserve">slo- venskej strany. </w:t>
                      </w:r>
                      <w:r>
                        <w:rPr>
                          <w:i/>
                          <w:iCs/>
                          <w:color w:val="000000"/>
                          <w:spacing w:val="0"/>
                          <w:w w:val="100"/>
                          <w:position w:val="0"/>
                          <w:sz w:val="20"/>
                          <w:szCs w:val="20"/>
                          <w:shd w:val="clear" w:color="auto" w:fill="auto"/>
                          <w:lang w:val="cs-CZ" w:eastAsia="cs-CZ" w:bidi="cs-CZ"/>
                        </w:rPr>
                        <w:t>Michal Chorvát (v Kritickém měsíčníku)</w:t>
                      </w:r>
                    </w:p>
                  </w:txbxContent>
                </v:textbox>
                <w10:wrap type="square" anchorx="page"/>
              </v:shape>
            </w:pict>
          </mc:Fallback>
        </mc:AlternateContent>
      </w:r>
      <w:r>
        <w:rPr>
          <w:noProof/>
        </w:rPr>
        <mc:AlternateContent>
          <mc:Choice Requires="wps">
            <w:drawing>
              <wp:anchor distT="0" distB="254000" distL="0" distR="0" simplePos="0" relativeHeight="125829388" behindDoc="0" locked="0" layoutInCell="1" allowOverlap="1">
                <wp:simplePos x="0" y="0"/>
                <wp:positionH relativeFrom="page">
                  <wp:posOffset>2028190</wp:posOffset>
                </wp:positionH>
                <wp:positionV relativeFrom="paragraph">
                  <wp:posOffset>5175250</wp:posOffset>
                </wp:positionV>
                <wp:extent cx="1682750" cy="2822575"/>
                <wp:effectExtent l="0" t="0" r="0" b="0"/>
                <wp:wrapSquare wrapText="bothSides"/>
                <wp:docPr id="11" name="Shape 11"/>
                <wp:cNvGraphicFramePr/>
                <a:graphic xmlns:a="http://schemas.openxmlformats.org/drawingml/2006/main">
                  <a:graphicData uri="http://schemas.microsoft.com/office/word/2010/wordprocessingShape">
                    <wps:wsp>
                      <wps:cNvSpPr txBox="1"/>
                      <wps:spPr>
                        <a:xfrm>
                          <a:off x="0" y="0"/>
                          <a:ext cx="1682750" cy="2822575"/>
                        </a:xfrm>
                        <a:prstGeom prst="rect">
                          <a:avLst/>
                        </a:prstGeom>
                        <a:noFill/>
                      </wps:spPr>
                      <wps:txbx>
                        <w:txbxContent>
                          <w:p w:rsidR="00500724" w:rsidRDefault="00F30FB8">
                            <w:pPr>
                              <w:pStyle w:val="Zkladntext30"/>
                              <w:shd w:val="clear" w:color="auto" w:fill="auto"/>
                              <w:spacing w:after="0" w:line="240" w:lineRule="auto"/>
                              <w:ind w:firstLine="0"/>
                            </w:pPr>
                            <w:r>
                              <w:t>POZNÁMKY</w:t>
                            </w:r>
                          </w:p>
                          <w:p w:rsidR="00500724" w:rsidRDefault="00F30FB8">
                            <w:pPr>
                              <w:pStyle w:val="Zkladntext20"/>
                              <w:shd w:val="clear" w:color="auto" w:fill="auto"/>
                              <w:spacing w:after="60" w:line="240" w:lineRule="auto"/>
                              <w:ind w:firstLine="0"/>
                              <w:rPr>
                                <w:sz w:val="17"/>
                                <w:szCs w:val="17"/>
                              </w:rPr>
                            </w:pPr>
                            <w:r>
                              <w:rPr>
                                <w:b/>
                                <w:bCs/>
                                <w:smallCaps/>
                                <w:sz w:val="17"/>
                                <w:szCs w:val="17"/>
                              </w:rPr>
                              <w:t>kritický měsíčník</w:t>
                            </w:r>
                          </w:p>
                          <w:p w:rsidR="00500724" w:rsidRDefault="00F30FB8">
                            <w:pPr>
                              <w:pStyle w:val="Zkladntext40"/>
                              <w:shd w:val="clear" w:color="auto" w:fill="auto"/>
                              <w:spacing w:after="0"/>
                            </w:pPr>
                            <w:r>
                              <w:t xml:space="preserve">uzavírá svůj prvý ročník. Dvoj </w:t>
                            </w:r>
                            <w:r>
                              <w:softHyphen/>
                              <w:t>číslem 9—10 uzavírá Kritický mě</w:t>
                            </w:r>
                            <w:r>
                              <w:softHyphen/>
                              <w:t>síčník svůj prvý ročník, který se za obezřetné redakce mladého, vzdělaného romanisty a nesmlou</w:t>
                            </w:r>
                            <w:r>
                              <w:softHyphen/>
                              <w:t>vavého i přísného literárního</w:t>
                            </w:r>
                            <w:r>
                              <w:t xml:space="preserve"> kri</w:t>
                            </w:r>
                            <w:r>
                              <w:softHyphen/>
                              <w:t>tika Václava Černého vyšinul v čelo našich původních revuí, vě</w:t>
                            </w:r>
                            <w:r>
                              <w:softHyphen/>
                              <w:t xml:space="preserve">novaných jednak kritice původní slovesné tvorby, jednak </w:t>
                            </w:r>
                            <w:r>
                              <w:rPr>
                                <w:lang w:val="en-US" w:eastAsia="en-US" w:bidi="en-US"/>
                              </w:rPr>
                              <w:t xml:space="preserve">essay </w:t>
                            </w:r>
                            <w:r>
                              <w:t>i- štice a poesií. Jména autorů, kteří se během jednoho roku kolem Kritického měsíčníku seskupili, kritikové, filosofové a bás</w:t>
                            </w:r>
                            <w:r>
                              <w:t>nící, ve</w:t>
                            </w:r>
                            <w:r>
                              <w:softHyphen/>
                              <w:t xml:space="preserve">dle redaktora V. Černého jsou to především A. M. Píša, Boh. Polán, </w:t>
                            </w:r>
                            <w:r>
                              <w:rPr>
                                <w:lang w:val="en-US" w:eastAsia="en-US" w:bidi="en-US"/>
                              </w:rPr>
                              <w:t xml:space="preserve">Boh. </w:t>
                            </w:r>
                            <w:r>
                              <w:t>Mathesius, J. Patočka, Vá</w:t>
                            </w:r>
                            <w:r>
                              <w:softHyphen/>
                              <w:t>clav Navrátil, Josef Čapek, Josef Hora, Frant. Halas, Vlád. Holan, a spolu 1 jejich příspěvky kritic</w:t>
                            </w:r>
                            <w:r>
                              <w:softHyphen/>
                              <w:t>ké, essayistlcké i básnické, vedle nich i obsáhl</w:t>
                            </w:r>
                            <w:r>
                              <w:t>é informativní státi o cizích literaturách, spolu s nimi i vynikající překlady z poesie světové, tak ukázky z barokních básníků západních zemí, skvělé přetlumočení několika básní mo</w:t>
                            </w:r>
                            <w:r>
                              <w:softHyphen/>
                              <w:t>derních básníků francouzských, | nádherné ódy Shelleyovy, to vše ve svém s</w:t>
                            </w:r>
                            <w:r>
                              <w:t>ouhrnu dává obraz</w:t>
                            </w:r>
                          </w:p>
                        </w:txbxContent>
                      </wps:txbx>
                      <wps:bodyPr lIns="0" tIns="0" rIns="0" bIns="0">
                        <a:spAutoFit/>
                      </wps:bodyPr>
                    </wps:wsp>
                  </a:graphicData>
                </a:graphic>
              </wp:anchor>
            </w:drawing>
          </mc:Choice>
          <mc:Fallback>
            <w:pict>
              <v:shape id="_x0000_s1037" type="#_x0000_t202" style="position:absolute;margin-left:159.69999999999999pt;margin-top:407.5pt;width:132.5pt;height:222.25pt;z-index:-125829365;mso-wrap-distance-left:0;mso-wrap-distance-right:0;mso-wrap-distance-bottom:20.pt;mso-position-horizontal-relative:page"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POZNÁMKY</w:t>
                      </w:r>
                    </w:p>
                    <w:p>
                      <w:pPr>
                        <w:pStyle w:val="Style67"/>
                        <w:keepNext w:val="0"/>
                        <w:keepLines w:val="0"/>
                        <w:widowControl w:val="0"/>
                        <w:shd w:val="clear" w:color="auto" w:fill="auto"/>
                        <w:bidi w:val="0"/>
                        <w:spacing w:before="0" w:after="60" w:line="240" w:lineRule="auto"/>
                        <w:ind w:left="0" w:right="0" w:firstLine="0"/>
                        <w:rPr>
                          <w:sz w:val="17"/>
                          <w:szCs w:val="17"/>
                        </w:rPr>
                      </w:pPr>
                      <w:r>
                        <w:rPr>
                          <w:b/>
                          <w:bCs/>
                          <w:smallCaps/>
                          <w:color w:val="000000"/>
                          <w:spacing w:val="0"/>
                          <w:w w:val="100"/>
                          <w:position w:val="0"/>
                          <w:sz w:val="17"/>
                          <w:szCs w:val="17"/>
                          <w:shd w:val="clear" w:color="auto" w:fill="auto"/>
                          <w:lang w:val="cs-CZ" w:eastAsia="cs-CZ" w:bidi="cs-CZ"/>
                        </w:rPr>
                        <w:t>kritický měsíčník</w:t>
                      </w:r>
                    </w:p>
                    <w:p>
                      <w:pPr>
                        <w:pStyle w:val="Style4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 xml:space="preserve">uzavírá svůj prvý ročník. Dvoj </w:t>
                        <w:softHyphen/>
                        <w:t>číslem 9—10 uzavírá Kritický mě</w:t>
                        <w:softHyphen/>
                        <w:t>síčník svůj prvý ročník, který se za obezřetné redakce mladého, vzdělaného romanisty a nesmlou</w:t>
                        <w:softHyphen/>
                        <w:t>vavého i přísného literárního kri</w:t>
                        <w:softHyphen/>
                        <w:t>tika Václava Černého vyšinul v čelo našich původních revuí, vě</w:t>
                        <w:softHyphen/>
                        <w:t xml:space="preserve">novaných jednak kritice původní slovesné tvorby, jednak </w:t>
                      </w:r>
                      <w:r>
                        <w:rPr>
                          <w:color w:val="000000"/>
                          <w:spacing w:val="0"/>
                          <w:w w:val="100"/>
                          <w:position w:val="0"/>
                          <w:shd w:val="clear" w:color="auto" w:fill="auto"/>
                          <w:lang w:val="en-US" w:eastAsia="en-US" w:bidi="en-US"/>
                        </w:rPr>
                        <w:t xml:space="preserve">essay </w:t>
                      </w:r>
                      <w:r>
                        <w:rPr>
                          <w:color w:val="000000"/>
                          <w:spacing w:val="0"/>
                          <w:w w:val="100"/>
                          <w:position w:val="0"/>
                          <w:shd w:val="clear" w:color="auto" w:fill="auto"/>
                          <w:lang w:val="cs-CZ" w:eastAsia="cs-CZ" w:bidi="cs-CZ"/>
                        </w:rPr>
                        <w:t>i- štice a poesií. Jména autorů, kteří se během jednoho roku kolem Kritického měsíčníku seskupili, kritikové, filosofové a básnící, ve</w:t>
                        <w:softHyphen/>
                        <w:t xml:space="preserve">dle redaktora V. Černého jsou to především A. M. Píša, Boh. Polán, </w:t>
                      </w:r>
                      <w:r>
                        <w:rPr>
                          <w:color w:val="000000"/>
                          <w:spacing w:val="0"/>
                          <w:w w:val="100"/>
                          <w:position w:val="0"/>
                          <w:shd w:val="clear" w:color="auto" w:fill="auto"/>
                          <w:lang w:val="en-US" w:eastAsia="en-US" w:bidi="en-US"/>
                        </w:rPr>
                        <w:t xml:space="preserve">Boh. </w:t>
                      </w:r>
                      <w:r>
                        <w:rPr>
                          <w:color w:val="000000"/>
                          <w:spacing w:val="0"/>
                          <w:w w:val="100"/>
                          <w:position w:val="0"/>
                          <w:shd w:val="clear" w:color="auto" w:fill="auto"/>
                          <w:lang w:val="cs-CZ" w:eastAsia="cs-CZ" w:bidi="cs-CZ"/>
                        </w:rPr>
                        <w:t>Mathesius, J. Patočka, Vá</w:t>
                        <w:softHyphen/>
                        <w:t>clav Navrátil, Josef Čapek, Josef Hora, Frant. Halas, Vlád. Holan, a spolu 1 jejich příspěvky kritic</w:t>
                        <w:softHyphen/>
                        <w:t>ké, essayistlcké i básnické, vedle nich i obsáhlé informativní státi o cizích literaturách, spolu s nimi i vynikající překlady z poesie světové, tak ukázky z barokních básníků západních zemí, skvělé přetlumočení několika básní mo</w:t>
                        <w:softHyphen/>
                        <w:t>derních básníků francouzských, | nádherné ódy Shelleyovy, to vše ve svém souhrnu dává obraz</w:t>
                      </w:r>
                    </w:p>
                  </w:txbxContent>
                </v:textbox>
                <w10:wrap type="square" anchorx="page"/>
              </v:shape>
            </w:pict>
          </mc:Fallback>
        </mc:AlternateContent>
      </w:r>
    </w:p>
    <w:p w:rsidR="00500724" w:rsidRDefault="00F30FB8">
      <w:pPr>
        <w:pStyle w:val="Zkladntext1"/>
        <w:shd w:val="clear" w:color="auto" w:fill="auto"/>
        <w:spacing w:line="257" w:lineRule="auto"/>
        <w:ind w:firstLine="0"/>
        <w:jc w:val="left"/>
        <w:rPr>
          <w:sz w:val="20"/>
          <w:szCs w:val="20"/>
        </w:rPr>
      </w:pPr>
      <w:r>
        <w:rPr>
          <w:b/>
          <w:bCs/>
          <w:sz w:val="20"/>
          <w:szCs w:val="20"/>
        </w:rPr>
        <w:t>AD VOLEM</w:t>
      </w:r>
    </w:p>
    <w:p w:rsidR="00500724" w:rsidRDefault="00F30FB8">
      <w:pPr>
        <w:pStyle w:val="Zkladntext1"/>
        <w:shd w:val="clear" w:color="auto" w:fill="auto"/>
        <w:spacing w:after="80" w:line="257" w:lineRule="auto"/>
        <w:ind w:firstLine="0"/>
        <w:jc w:val="left"/>
        <w:rPr>
          <w:sz w:val="20"/>
          <w:szCs w:val="20"/>
        </w:rPr>
      </w:pPr>
      <w:r>
        <w:rPr>
          <w:b/>
          <w:bCs/>
          <w:sz w:val="20"/>
          <w:szCs w:val="20"/>
        </w:rPr>
        <w:t>PftlŠTÍ POLITICKÉ A IDEOLOGICKÉ SITUACE</w:t>
      </w:r>
    </w:p>
    <w:p w:rsidR="00500724" w:rsidRDefault="00F30FB8">
      <w:pPr>
        <w:pStyle w:val="Zkladntext1"/>
        <w:shd w:val="clear" w:color="auto" w:fill="auto"/>
        <w:spacing w:line="180" w:lineRule="auto"/>
        <w:rPr>
          <w:sz w:val="20"/>
          <w:szCs w:val="20"/>
        </w:rPr>
      </w:pPr>
      <w:r>
        <w:rPr>
          <w:i/>
          <w:iCs/>
          <w:sz w:val="20"/>
          <w:szCs w:val="20"/>
        </w:rPr>
        <w:t>Slyšíme, Se situace našeho národa a státu nebude v no</w:t>
      </w:r>
      <w:r>
        <w:rPr>
          <w:i/>
          <w:iCs/>
          <w:sz w:val="20"/>
          <w:szCs w:val="20"/>
        </w:rPr>
        <w:softHyphen/>
        <w:t>vých poměrech skvělá. Je třeba, aby národ tuto větu zbavil charakteru fráze a uvědomil si situaci. Je po stránce vnitřní horší, než si</w:t>
      </w:r>
      <w:r>
        <w:rPr>
          <w:i/>
          <w:iCs/>
          <w:sz w:val="20"/>
          <w:szCs w:val="20"/>
        </w:rPr>
        <w:t xml:space="preserve"> myslíme. Náš národ, i když se ukázala jeho dobrá vůle a jeho pohotovost v nedávné době, prodělává krisi, která snad ještě pro napínavé udá</w:t>
      </w:r>
      <w:r>
        <w:rPr>
          <w:i/>
          <w:iCs/>
          <w:sz w:val="20"/>
          <w:szCs w:val="20"/>
        </w:rPr>
        <w:softHyphen/>
        <w:t>losti není citelná, avšak bude citelná za několik let. Nejde jen o hospodářské proměny, nýbrž o nejvlastnější věci n</w:t>
      </w:r>
      <w:r>
        <w:rPr>
          <w:i/>
          <w:iCs/>
          <w:sz w:val="20"/>
          <w:szCs w:val="20"/>
        </w:rPr>
        <w:t>á</w:t>
      </w:r>
      <w:r>
        <w:rPr>
          <w:i/>
          <w:iCs/>
          <w:sz w:val="20"/>
          <w:szCs w:val="20"/>
        </w:rPr>
        <w:softHyphen/>
        <w:t>roda, o schopnost energické sebesprávy, o schopnost dal</w:t>
      </w:r>
      <w:r>
        <w:rPr>
          <w:i/>
          <w:iCs/>
          <w:sz w:val="20"/>
          <w:szCs w:val="20"/>
        </w:rPr>
        <w:softHyphen/>
        <w:t>šího života po stránce kvali</w:t>
      </w:r>
      <w:r>
        <w:rPr>
          <w:i/>
          <w:iCs/>
          <w:sz w:val="20"/>
          <w:szCs w:val="20"/>
        </w:rPr>
        <w:softHyphen/>
        <w:t>tativní i kvantitativní, která bude již za několik let puso- biti starosti lidem povola</w:t>
      </w:r>
      <w:r>
        <w:rPr>
          <w:i/>
          <w:iCs/>
          <w:sz w:val="20"/>
          <w:szCs w:val="20"/>
        </w:rPr>
        <w:softHyphen/>
        <w:t>ným.</w:t>
      </w:r>
    </w:p>
    <w:p w:rsidR="00500724" w:rsidRDefault="00F30FB8">
      <w:pPr>
        <w:pStyle w:val="Zkladntext1"/>
        <w:shd w:val="clear" w:color="auto" w:fill="auto"/>
        <w:spacing w:line="180" w:lineRule="auto"/>
        <w:rPr>
          <w:sz w:val="20"/>
          <w:szCs w:val="20"/>
        </w:rPr>
      </w:pPr>
      <w:r>
        <w:rPr>
          <w:i/>
          <w:iCs/>
          <w:sz w:val="20"/>
          <w:szCs w:val="20"/>
        </w:rPr>
        <w:t>Jak budeme moci politicky Síti a tvořiti, jak se bude li</w:t>
      </w:r>
      <w:r>
        <w:rPr>
          <w:i/>
          <w:iCs/>
          <w:sz w:val="20"/>
          <w:szCs w:val="20"/>
        </w:rPr>
        <w:softHyphen/>
        <w:t>šiti pojetí politik</w:t>
      </w:r>
      <w:r>
        <w:rPr>
          <w:i/>
          <w:iCs/>
          <w:sz w:val="20"/>
          <w:szCs w:val="20"/>
        </w:rPr>
        <w:t>y v budouc</w:t>
      </w:r>
      <w:r>
        <w:rPr>
          <w:i/>
          <w:iCs/>
          <w:sz w:val="20"/>
          <w:szCs w:val="20"/>
        </w:rPr>
        <w:softHyphen/>
        <w:t>nu od pojetí politiky v minu</w:t>
      </w:r>
      <w:r>
        <w:rPr>
          <w:i/>
          <w:iCs/>
          <w:sz w:val="20"/>
          <w:szCs w:val="20"/>
        </w:rPr>
        <w:softHyphen/>
        <w:t>losti, a jaké formy bude moci; míti náš politický život v bu</w:t>
      </w:r>
      <w:r>
        <w:rPr>
          <w:i/>
          <w:iCs/>
          <w:sz w:val="20"/>
          <w:szCs w:val="20"/>
        </w:rPr>
        <w:softHyphen/>
        <w:t>doucnosti?</w:t>
      </w:r>
    </w:p>
    <w:p w:rsidR="00500724" w:rsidRDefault="00F30FB8">
      <w:pPr>
        <w:pStyle w:val="Zkladntext1"/>
        <w:shd w:val="clear" w:color="auto" w:fill="auto"/>
        <w:spacing w:line="180" w:lineRule="auto"/>
        <w:jc w:val="left"/>
        <w:rPr>
          <w:sz w:val="20"/>
          <w:szCs w:val="20"/>
        </w:rPr>
      </w:pPr>
      <w:r>
        <w:rPr>
          <w:i/>
          <w:iCs/>
          <w:sz w:val="20"/>
          <w:szCs w:val="20"/>
        </w:rPr>
        <w:t>Vyslovme zásadu: účelem politiky jest uskutečniti sebe</w:t>
      </w:r>
      <w:r>
        <w:rPr>
          <w:i/>
          <w:iCs/>
          <w:sz w:val="20"/>
          <w:szCs w:val="20"/>
        </w:rPr>
        <w:softHyphen/>
        <w:t xml:space="preserve">záchovu národa v ohledu </w:t>
      </w:r>
      <w:r>
        <w:rPr>
          <w:i/>
          <w:iCs/>
          <w:sz w:val="20"/>
          <w:szCs w:val="20"/>
          <w:lang w:val="en-US" w:eastAsia="en-US" w:bidi="en-US"/>
        </w:rPr>
        <w:t>so-</w:t>
      </w:r>
      <w:r>
        <w:rPr>
          <w:i/>
          <w:iCs/>
          <w:sz w:val="20"/>
          <w:szCs w:val="20"/>
        </w:rPr>
        <w:t>' ciálním, etnologickém a kul</w:t>
      </w:r>
      <w:r>
        <w:rPr>
          <w:i/>
          <w:iCs/>
          <w:sz w:val="20"/>
          <w:szCs w:val="20"/>
        </w:rPr>
        <w:softHyphen/>
        <w:t>turním.</w:t>
      </w:r>
    </w:p>
    <w:p w:rsidR="00500724" w:rsidRDefault="00F30FB8">
      <w:pPr>
        <w:pStyle w:val="Zkladntext1"/>
        <w:shd w:val="clear" w:color="auto" w:fill="auto"/>
        <w:spacing w:after="40" w:line="180" w:lineRule="auto"/>
        <w:rPr>
          <w:sz w:val="20"/>
          <w:szCs w:val="20"/>
        </w:rPr>
      </w:pPr>
      <w:r>
        <w:rPr>
          <w:i/>
          <w:iCs/>
          <w:sz w:val="20"/>
          <w:szCs w:val="20"/>
        </w:rPr>
        <w:t xml:space="preserve">Jestliže si takto </w:t>
      </w:r>
      <w:r>
        <w:rPr>
          <w:i/>
          <w:iCs/>
          <w:sz w:val="20"/>
          <w:szCs w:val="20"/>
        </w:rPr>
        <w:t>definujeme politiku, pak se nám bude příští politika lišiti od politi</w:t>
      </w:r>
      <w:r>
        <w:rPr>
          <w:i/>
          <w:iCs/>
          <w:sz w:val="20"/>
          <w:szCs w:val="20"/>
        </w:rPr>
        <w:softHyphen/>
        <w:t>ky let minulých, která měla cíle ještě jiné a ještě jiná za</w:t>
      </w:r>
      <w:r>
        <w:rPr>
          <w:i/>
          <w:iCs/>
          <w:sz w:val="20"/>
          <w:szCs w:val="20"/>
        </w:rPr>
        <w:softHyphen/>
        <w:t>pojení světová. V této repu</w:t>
      </w:r>
      <w:r>
        <w:rPr>
          <w:i/>
          <w:iCs/>
          <w:sz w:val="20"/>
          <w:szCs w:val="20"/>
        </w:rPr>
        <w:softHyphen/>
        <w:t>blice budou politické mož</w:t>
      </w:r>
      <w:r>
        <w:rPr>
          <w:i/>
          <w:iCs/>
          <w:sz w:val="20"/>
          <w:szCs w:val="20"/>
        </w:rPr>
        <w:softHyphen/>
        <w:t>nosti značně omezené. Poli</w:t>
      </w:r>
      <w:r>
        <w:rPr>
          <w:i/>
          <w:iCs/>
          <w:sz w:val="20"/>
          <w:szCs w:val="20"/>
        </w:rPr>
        <w:softHyphen/>
        <w:t>tika bude se redukovati na otázky uvedené výš</w:t>
      </w:r>
      <w:r>
        <w:rPr>
          <w:i/>
          <w:iCs/>
          <w:sz w:val="20"/>
          <w:szCs w:val="20"/>
        </w:rPr>
        <w:t>e. Bude- me-li je řešiti, pak se nám politika bude jeviti jako tech</w:t>
      </w:r>
      <w:r>
        <w:rPr>
          <w:i/>
          <w:iCs/>
          <w:sz w:val="20"/>
          <w:szCs w:val="20"/>
        </w:rPr>
        <w:softHyphen/>
        <w:t>nika sebezáchovy národní. V nové politice bude asi musi</w:t>
      </w:r>
      <w:r>
        <w:rPr>
          <w:i/>
          <w:iCs/>
          <w:sz w:val="20"/>
          <w:szCs w:val="20"/>
        </w:rPr>
        <w:softHyphen/>
        <w:t>li převládati spíš technologie než ideologie. Mluvíme vý</w:t>
      </w:r>
      <w:r>
        <w:rPr>
          <w:i/>
          <w:iCs/>
          <w:sz w:val="20"/>
          <w:szCs w:val="20"/>
        </w:rPr>
        <w:softHyphen/>
        <w:t xml:space="preserve">slovně </w:t>
      </w:r>
      <w:r>
        <w:rPr>
          <w:i/>
          <w:iCs/>
          <w:sz w:val="22"/>
          <w:szCs w:val="22"/>
        </w:rPr>
        <w:t xml:space="preserve">o </w:t>
      </w:r>
      <w:r>
        <w:rPr>
          <w:i/>
          <w:iCs/>
          <w:sz w:val="20"/>
          <w:szCs w:val="20"/>
        </w:rPr>
        <w:t>politice, nikoli o kul</w:t>
      </w:r>
      <w:r>
        <w:rPr>
          <w:i/>
          <w:iCs/>
          <w:sz w:val="20"/>
          <w:szCs w:val="20"/>
        </w:rPr>
        <w:softHyphen/>
        <w:t xml:space="preserve">turním myšlení. Ovšem je o- tázka, jak </w:t>
      </w:r>
      <w:r>
        <w:rPr>
          <w:i/>
          <w:iCs/>
          <w:sz w:val="20"/>
          <w:szCs w:val="20"/>
        </w:rPr>
        <w:t>politiku »odideolo- gisovati«, jakou úlohu hraje v politice ideologie vůbec. Jestli</w:t>
      </w:r>
      <w:r>
        <w:rPr>
          <w:i/>
          <w:iCs/>
          <w:sz w:val="20"/>
          <w:szCs w:val="20"/>
        </w:rPr>
        <w:softHyphen/>
        <w:t>že se domníváme, že bude nutno politiku odideologiso- vati, pak tím míníme, že na</w:t>
      </w:r>
      <w:r>
        <w:rPr>
          <w:i/>
          <w:iCs/>
          <w:sz w:val="20"/>
          <w:szCs w:val="20"/>
        </w:rPr>
        <w:softHyphen/>
        <w:t>příště bude v naší politice rozhodovali zápas nikoliv o uznání ideje, nýbrž o usku</w:t>
      </w:r>
      <w:r>
        <w:rPr>
          <w:i/>
          <w:iCs/>
          <w:sz w:val="20"/>
          <w:szCs w:val="20"/>
        </w:rPr>
        <w:softHyphen/>
        <w:t>tečnění</w:t>
      </w:r>
      <w:r>
        <w:rPr>
          <w:i/>
          <w:iCs/>
          <w:sz w:val="20"/>
          <w:szCs w:val="20"/>
        </w:rPr>
        <w:t xml:space="preserve"> fakt a konkrétních úkolů. Ideologie formuluje cíl absl raktně. Technologie bojuje o realisaci fakt a úko</w:t>
      </w:r>
      <w:r>
        <w:rPr>
          <w:i/>
          <w:iCs/>
          <w:sz w:val="20"/>
          <w:szCs w:val="20"/>
        </w:rPr>
        <w:softHyphen/>
        <w:t>lů. Zápas o myšlenku elektri</w:t>
      </w:r>
      <w:r>
        <w:rPr>
          <w:i/>
          <w:iCs/>
          <w:sz w:val="20"/>
          <w:szCs w:val="20"/>
        </w:rPr>
        <w:softHyphen/>
        <w:t>fikace (na příklad) jest zá</w:t>
      </w:r>
      <w:r>
        <w:rPr>
          <w:i/>
          <w:iCs/>
          <w:sz w:val="20"/>
          <w:szCs w:val="20"/>
        </w:rPr>
        <w:softHyphen/>
      </w:r>
    </w:p>
    <w:p w:rsidR="00500724" w:rsidRDefault="00F30FB8">
      <w:pPr>
        <w:pStyle w:val="Zkladntext1"/>
        <w:shd w:val="clear" w:color="auto" w:fill="auto"/>
        <w:spacing w:line="180" w:lineRule="auto"/>
        <w:ind w:firstLine="0"/>
        <w:rPr>
          <w:sz w:val="20"/>
          <w:szCs w:val="20"/>
        </w:rPr>
      </w:pPr>
      <w:r>
        <w:rPr>
          <w:i/>
          <w:iCs/>
          <w:sz w:val="20"/>
          <w:szCs w:val="20"/>
        </w:rPr>
        <w:t>pasem ideologickým. Elektri</w:t>
      </w:r>
      <w:r>
        <w:rPr>
          <w:i/>
          <w:iCs/>
          <w:sz w:val="20"/>
          <w:szCs w:val="20"/>
        </w:rPr>
        <w:softHyphen/>
        <w:t>fikace sama jest zápas tech</w:t>
      </w:r>
      <w:r>
        <w:rPr>
          <w:i/>
          <w:iCs/>
          <w:sz w:val="20"/>
          <w:szCs w:val="20"/>
        </w:rPr>
        <w:softHyphen/>
        <w:t>nický. Bylo určitou pováleč</w:t>
      </w:r>
      <w:r>
        <w:rPr>
          <w:i/>
          <w:iCs/>
          <w:sz w:val="20"/>
          <w:szCs w:val="20"/>
        </w:rPr>
        <w:softHyphen/>
        <w:t>nou slab</w:t>
      </w:r>
      <w:r>
        <w:rPr>
          <w:i/>
          <w:iCs/>
          <w:sz w:val="20"/>
          <w:szCs w:val="20"/>
        </w:rPr>
        <w:t>ostí, že zápas o myš</w:t>
      </w:r>
      <w:r>
        <w:rPr>
          <w:i/>
          <w:iCs/>
          <w:sz w:val="20"/>
          <w:szCs w:val="20"/>
        </w:rPr>
        <w:softHyphen/>
        <w:t>lenku byl považován za něco samoúčelného. Zapomínalo se na fakta a konkrétní reali- sace.</w:t>
      </w:r>
    </w:p>
    <w:p w:rsidR="00500724" w:rsidRDefault="00F30FB8">
      <w:pPr>
        <w:pStyle w:val="Zkladntext1"/>
        <w:shd w:val="clear" w:color="auto" w:fill="auto"/>
        <w:spacing w:line="180" w:lineRule="auto"/>
        <w:ind w:firstLine="200"/>
        <w:rPr>
          <w:sz w:val="20"/>
          <w:szCs w:val="20"/>
        </w:rPr>
      </w:pPr>
      <w:r>
        <w:rPr>
          <w:i/>
          <w:iCs/>
          <w:sz w:val="20"/>
          <w:szCs w:val="20"/>
        </w:rPr>
        <w:t>Jest ještě otázka forem, ve kterých se bude moci pohy- bovati budoucí život politic</w:t>
      </w:r>
      <w:r>
        <w:rPr>
          <w:i/>
          <w:iCs/>
          <w:sz w:val="20"/>
          <w:szCs w:val="20"/>
        </w:rPr>
        <w:softHyphen/>
        <w:t>ký. Jsme snad všichni shodni v tom, že základem všeho jednání</w:t>
      </w:r>
      <w:r>
        <w:rPr>
          <w:i/>
          <w:iCs/>
          <w:sz w:val="20"/>
          <w:szCs w:val="20"/>
        </w:rPr>
        <w:t xml:space="preserve"> musí býti demokra</w:t>
      </w:r>
      <w:r>
        <w:rPr>
          <w:i/>
          <w:iCs/>
          <w:sz w:val="20"/>
          <w:szCs w:val="20"/>
        </w:rPr>
        <w:softHyphen/>
        <w:t xml:space="preserve">tičnost; </w:t>
      </w:r>
      <w:r>
        <w:rPr>
          <w:i/>
          <w:iCs/>
          <w:sz w:val="22"/>
          <w:szCs w:val="22"/>
        </w:rPr>
        <w:t xml:space="preserve">to </w:t>
      </w:r>
      <w:r>
        <w:rPr>
          <w:i/>
          <w:iCs/>
          <w:sz w:val="20"/>
          <w:szCs w:val="20"/>
        </w:rPr>
        <w:t>znamená demo</w:t>
      </w:r>
      <w:r>
        <w:rPr>
          <w:i/>
          <w:iCs/>
          <w:sz w:val="20"/>
          <w:szCs w:val="20"/>
        </w:rPr>
        <w:softHyphen/>
        <w:t>kracii jakožto princip mrav</w:t>
      </w:r>
      <w:r>
        <w:rPr>
          <w:i/>
          <w:iCs/>
          <w:sz w:val="20"/>
          <w:szCs w:val="20"/>
        </w:rPr>
        <w:softHyphen/>
        <w:t>ní, to znamená víru v kom</w:t>
      </w:r>
      <w:r>
        <w:rPr>
          <w:i/>
          <w:iCs/>
          <w:sz w:val="20"/>
          <w:szCs w:val="20"/>
        </w:rPr>
        <w:softHyphen/>
        <w:t>petenci celého národa. Ale co se týče politických metod vládnutí, ty nutno dobrovol</w:t>
      </w:r>
      <w:r>
        <w:rPr>
          <w:i/>
          <w:iCs/>
          <w:sz w:val="20"/>
          <w:szCs w:val="20"/>
        </w:rPr>
        <w:softHyphen/>
        <w:t>ně ponechati rozhodnutí po</w:t>
      </w:r>
      <w:r>
        <w:rPr>
          <w:i/>
          <w:iCs/>
          <w:sz w:val="20"/>
          <w:szCs w:val="20"/>
        </w:rPr>
        <w:softHyphen/>
        <w:t>čestných vládců. Vyřkněme pouze ten princip, že</w:t>
      </w:r>
      <w:r>
        <w:rPr>
          <w:i/>
          <w:iCs/>
          <w:sz w:val="20"/>
          <w:szCs w:val="20"/>
        </w:rPr>
        <w:t xml:space="preserve"> příští vláda musí býti aktivní a produktivní. Ke starému, po</w:t>
      </w:r>
      <w:r>
        <w:rPr>
          <w:i/>
          <w:iCs/>
          <w:sz w:val="20"/>
          <w:szCs w:val="20"/>
        </w:rPr>
        <w:softHyphen/>
        <w:t>někud schematickému vlád</w:t>
      </w:r>
      <w:r>
        <w:rPr>
          <w:i/>
          <w:iCs/>
          <w:sz w:val="20"/>
          <w:szCs w:val="20"/>
        </w:rPr>
        <w:softHyphen/>
        <w:t>nímu principu spravedlnosti musí přistoupiti též princip produktivity.</w:t>
      </w:r>
    </w:p>
    <w:p w:rsidR="00500724" w:rsidRDefault="00F30FB8">
      <w:pPr>
        <w:pStyle w:val="Zkladntext1"/>
        <w:shd w:val="clear" w:color="auto" w:fill="auto"/>
        <w:spacing w:line="185" w:lineRule="auto"/>
        <w:ind w:right="20" w:firstLine="0"/>
        <w:jc w:val="center"/>
        <w:rPr>
          <w:sz w:val="20"/>
          <w:szCs w:val="20"/>
        </w:rPr>
      </w:pPr>
      <w:r>
        <w:rPr>
          <w:i/>
          <w:iCs/>
          <w:sz w:val="20"/>
          <w:szCs w:val="20"/>
        </w:rPr>
        <w:t>(Úvodní článek Kritického</w:t>
      </w:r>
      <w:r>
        <w:rPr>
          <w:i/>
          <w:iCs/>
          <w:sz w:val="20"/>
          <w:szCs w:val="20"/>
        </w:rPr>
        <w:br/>
        <w:t>měsíčníku.)</w:t>
      </w:r>
    </w:p>
    <w:p w:rsidR="00500724" w:rsidRDefault="00F30FB8">
      <w:pPr>
        <w:spacing w:line="1" w:lineRule="exact"/>
        <w:rPr>
          <w:sz w:val="2"/>
          <w:szCs w:val="2"/>
        </w:rPr>
      </w:pPr>
      <w:r>
        <w:br w:type="column"/>
      </w:r>
    </w:p>
    <w:p w:rsidR="00500724" w:rsidRDefault="00F30FB8">
      <w:pPr>
        <w:pStyle w:val="Zkladntext40"/>
        <w:shd w:val="clear" w:color="auto" w:fill="auto"/>
        <w:spacing w:after="0"/>
      </w:pPr>
      <w:r>
        <w:t>opravdu výjimečný, osobitý i podstatný, obraz vážného a ne</w:t>
      </w:r>
      <w:r>
        <w:softHyphen/>
        <w:t>všedního úsilí kritického i tvůr</w:t>
      </w:r>
      <w:r>
        <w:softHyphen/>
        <w:t>čího. Vezměte sl třeba jen úvodní státi jednotlivých čísel Kritické</w:t>
      </w:r>
      <w:r>
        <w:softHyphen/>
        <w:t>ho měsíčníku, a nahlédněte do bohatého oddílu poznámek. Jak živě, podnětně, nezávisle a věcně reagoval Kritický měsíčník na to, co se závažného událo u ná</w:t>
      </w:r>
      <w:r>
        <w:t>s i ve světě v oblastí kulturního a po</w:t>
      </w:r>
      <w:r>
        <w:softHyphen/>
        <w:t>litického dění a s jakým vzácným smyslem pro hodnoty nadčasové vyznívá všecko to, co zde bylo napsáno pro informaci čtenářů, toužících poznati 1 literatury ci</w:t>
      </w:r>
      <w:r>
        <w:softHyphen/>
        <w:t>zích zemí.</w:t>
      </w:r>
    </w:p>
    <w:p w:rsidR="00500724" w:rsidRDefault="00F30FB8">
      <w:pPr>
        <w:pStyle w:val="Zkladntext40"/>
        <w:shd w:val="clear" w:color="auto" w:fill="auto"/>
        <w:spacing w:after="120"/>
        <w:ind w:firstLine="200"/>
      </w:pPr>
      <w:r>
        <w:t>V čele nového dvojčísla, obsa</w:t>
      </w:r>
      <w:r>
        <w:softHyphen/>
        <w:t>hově neobyčejně b</w:t>
      </w:r>
      <w:r>
        <w:t>ohatého a roz</w:t>
      </w:r>
      <w:r>
        <w:softHyphen/>
        <w:t>manitého, stojí závažná a ob</w:t>
      </w:r>
      <w:r>
        <w:softHyphen/>
        <w:t xml:space="preserve">sáhlá stať V. Černého, nesoucí název </w:t>
      </w:r>
      <w:r>
        <w:rPr>
          <w:lang w:val="en-US" w:eastAsia="en-US" w:bidi="en-US"/>
        </w:rPr>
        <w:t xml:space="preserve">Arthur </w:t>
      </w:r>
      <w:r>
        <w:t>de Gobineau, pro</w:t>
      </w:r>
      <w:r>
        <w:softHyphen/>
        <w:t>rok rasismu. Je to první studie o Gobineauovi u nás; je to první důkladný rozbor filosofický a ge</w:t>
      </w:r>
      <w:r>
        <w:softHyphen/>
        <w:t>netický myšlenkových kořenů ra</w:t>
      </w:r>
      <w:r>
        <w:softHyphen/>
        <w:t>sismu. Jak je to zajíma</w:t>
      </w:r>
      <w:r>
        <w:t>vé, že pů</w:t>
      </w:r>
      <w:r>
        <w:softHyphen/>
        <w:t>vodcem teorie rasismu je Fran</w:t>
      </w:r>
      <w:r>
        <w:softHyphen/>
        <w:t>couz, který v něm upletl ten nej</w:t>
      </w:r>
      <w:r>
        <w:softHyphen/>
        <w:t>strašnější bič na svůj národ a postavil tak základy k teorii ger</w:t>
      </w:r>
      <w:r>
        <w:softHyphen/>
        <w:t xml:space="preserve">mánské obrody, jak ji rozvedl Housten </w:t>
      </w:r>
      <w:r>
        <w:rPr>
          <w:lang w:val="en-US" w:eastAsia="en-US" w:bidi="en-US"/>
        </w:rPr>
        <w:t xml:space="preserve">Chamberlain, </w:t>
      </w:r>
      <w:r>
        <w:t>zdůrazniv</w:t>
      </w:r>
      <w:r>
        <w:softHyphen/>
        <w:t>ší kulturně tvůrčí význam ger</w:t>
      </w:r>
      <w:r>
        <w:softHyphen/>
        <w:t xml:space="preserve">mánské rasy, a jehož </w:t>
      </w:r>
      <w:r>
        <w:rPr>
          <w:lang w:val="en-US" w:eastAsia="en-US" w:bidi="en-US"/>
        </w:rPr>
        <w:t xml:space="preserve">Idee </w:t>
      </w:r>
      <w:r>
        <w:t>s</w:t>
      </w:r>
      <w:r>
        <w:t>taly se evangeliem německých národ</w:t>
      </w:r>
      <w:r>
        <w:softHyphen/>
        <w:t>ních socialistů za vůdcovství Hit</w:t>
      </w:r>
      <w:r>
        <w:softHyphen/>
        <w:t>lerova. Neméně závažné a aktu</w:t>
      </w:r>
      <w:r>
        <w:softHyphen/>
        <w:t>ální jsou Kulturně glosy k slo</w:t>
      </w:r>
      <w:r>
        <w:softHyphen/>
        <w:t>venskému autonomizmu od Mi</w:t>
      </w:r>
      <w:r>
        <w:softHyphen/>
        <w:t>chala Chrobáka. podávající důle</w:t>
      </w:r>
      <w:r>
        <w:softHyphen/>
        <w:t>žitý příspěvek k problému a po</w:t>
      </w:r>
      <w:r>
        <w:softHyphen/>
        <w:t>měru česko-slovenskému. Obě tyto prá</w:t>
      </w:r>
      <w:r>
        <w:t>ce v pravdě kritické a zásadní jsou v tomto čísle dopl</w:t>
      </w:r>
      <w:r>
        <w:softHyphen/>
        <w:t>něny jak spoustou poznámek, programovým prohlášením Ad vocem příští politické a ideolo</w:t>
      </w:r>
      <w:r>
        <w:softHyphen/>
        <w:t>gické situace a kritickými prů</w:t>
      </w:r>
      <w:r>
        <w:softHyphen/>
        <w:t>hledy do nové prózy od V. Čer</w:t>
      </w:r>
      <w:r>
        <w:softHyphen/>
        <w:t>ného, Boh. Nováka, K. Poláka a Jos. Šupa, tak řadou b</w:t>
      </w:r>
      <w:r>
        <w:t>ásní, z nichž zvlášť vysoko se tyčí Ha- lasova překrásná Mobilisace a zmíněná již Shelleyova Óda na západní vítr v mistrovském pře</w:t>
      </w:r>
      <w:r>
        <w:softHyphen/>
        <w:t>kladu E. A. Saudka. Cena tohoto dvojčísla je 6 Kč.</w:t>
      </w:r>
    </w:p>
    <w:p w:rsidR="00500724" w:rsidRDefault="00F30FB8">
      <w:pPr>
        <w:pStyle w:val="Zkladntext40"/>
        <w:shd w:val="clear" w:color="auto" w:fill="auto"/>
        <w:spacing w:after="0" w:line="190" w:lineRule="auto"/>
        <w:rPr>
          <w:sz w:val="14"/>
          <w:szCs w:val="14"/>
        </w:rPr>
      </w:pPr>
      <w:r>
        <w:rPr>
          <w:b/>
          <w:bCs/>
          <w:sz w:val="14"/>
          <w:szCs w:val="14"/>
        </w:rPr>
        <w:t>Nové číslo VÍ!DI A ŽIVOTA</w:t>
      </w:r>
    </w:p>
    <w:p w:rsidR="00500724" w:rsidRDefault="00F30FB8">
      <w:pPr>
        <w:pStyle w:val="Zkladntext40"/>
        <w:shd w:val="clear" w:color="auto" w:fill="auto"/>
        <w:ind w:firstLine="200"/>
      </w:pPr>
      <w:r>
        <w:t>Nové, třetí číslo letošního roč</w:t>
      </w:r>
      <w:r>
        <w:softHyphen/>
        <w:t>níku Vědy a živo</w:t>
      </w:r>
      <w:r>
        <w:t>ta, uvedené úva</w:t>
      </w:r>
      <w:r>
        <w:softHyphen/>
        <w:t>hou Jana Bělehrádka Celek a svoboda, přináší několik statí, které si pro svou závažnost za</w:t>
      </w:r>
      <w:r>
        <w:softHyphen/>
        <w:t>slouží, aby na ně bylo upozorně</w:t>
      </w:r>
      <w:r>
        <w:softHyphen/>
        <w:t>no zvlášť. Nejde tu jen o zábavný a užitečný feuilleton Jiřího Štef- la, o grafoliglckou stať L. Kemp- ného Písmo a c</w:t>
      </w:r>
      <w:r>
        <w:t>harakter, nýbrž i o mineralogické pojednáni Rosic</w:t>
      </w:r>
      <w:r>
        <w:softHyphen/>
        <w:t>kého O vltavínech a jiných zá</w:t>
      </w:r>
      <w:r>
        <w:softHyphen/>
        <w:t>hadných sklech a o průkopnickou studii Strukturální methoda v ja- zykozpytu, zasvěcující nás do no</w:t>
      </w:r>
      <w:r>
        <w:softHyphen/>
        <w:t>vých metod na poli jazykového badání. Číslo hojně ilustrované a doplněné příl</w:t>
      </w:r>
      <w:r>
        <w:t>ohou Základy fysiky</w:t>
      </w:r>
    </w:p>
    <w:p w:rsidR="00500724" w:rsidRDefault="00F30FB8">
      <w:pPr>
        <w:spacing w:line="1" w:lineRule="exact"/>
        <w:rPr>
          <w:sz w:val="2"/>
          <w:szCs w:val="2"/>
        </w:rPr>
      </w:pPr>
      <w:r>
        <w:br w:type="column"/>
      </w:r>
    </w:p>
    <w:p w:rsidR="00500724" w:rsidRDefault="00F30FB8">
      <w:pPr>
        <w:pStyle w:val="Zkladntext1"/>
        <w:shd w:val="clear" w:color="auto" w:fill="auto"/>
        <w:spacing w:line="226" w:lineRule="auto"/>
        <w:ind w:firstLine="0"/>
        <w:jc w:val="left"/>
        <w:rPr>
          <w:sz w:val="20"/>
          <w:szCs w:val="20"/>
        </w:rPr>
      </w:pPr>
      <w:r>
        <w:rPr>
          <w:i/>
          <w:iCs/>
          <w:sz w:val="20"/>
          <w:szCs w:val="20"/>
        </w:rPr>
        <w:t>K. Kaj a:</w:t>
      </w:r>
    </w:p>
    <w:p w:rsidR="00500724" w:rsidRDefault="00F30FB8">
      <w:pPr>
        <w:pStyle w:val="Jin0"/>
        <w:shd w:val="clear" w:color="auto" w:fill="auto"/>
        <w:spacing w:after="80" w:line="233" w:lineRule="auto"/>
        <w:ind w:firstLine="0"/>
        <w:jc w:val="left"/>
        <w:rPr>
          <w:sz w:val="24"/>
          <w:szCs w:val="24"/>
        </w:rPr>
      </w:pPr>
      <w:r>
        <w:rPr>
          <w:sz w:val="20"/>
          <w:szCs w:val="20"/>
          <w:lang w:val="en-US" w:eastAsia="en-US" w:bidi="en-US"/>
        </w:rPr>
        <w:t xml:space="preserve">BASEST </w:t>
      </w:r>
      <w:r>
        <w:rPr>
          <w:b/>
          <w:bCs/>
          <w:smallCaps/>
          <w:sz w:val="24"/>
          <w:szCs w:val="24"/>
        </w:rPr>
        <w:t>na malou zemí</w:t>
      </w:r>
    </w:p>
    <w:p w:rsidR="00500724" w:rsidRDefault="00F30FB8">
      <w:pPr>
        <w:pStyle w:val="Zkladntext1"/>
        <w:shd w:val="clear" w:color="auto" w:fill="auto"/>
        <w:spacing w:line="223" w:lineRule="auto"/>
        <w:ind w:firstLine="0"/>
        <w:jc w:val="left"/>
        <w:rPr>
          <w:sz w:val="20"/>
          <w:szCs w:val="20"/>
        </w:rPr>
      </w:pPr>
      <w:r>
        <w:rPr>
          <w:i/>
          <w:iCs/>
          <w:sz w:val="20"/>
          <w:szCs w:val="20"/>
        </w:rPr>
        <w:t>Tvé věncoví je rozedráno čas neúprosně smýk Tvým</w:t>
      </w:r>
    </w:p>
    <w:p w:rsidR="00500724" w:rsidRDefault="00F30FB8">
      <w:pPr>
        <w:pStyle w:val="Zkladntext1"/>
        <w:shd w:val="clear" w:color="auto" w:fill="auto"/>
        <w:spacing w:line="223" w:lineRule="auto"/>
        <w:ind w:firstLine="0"/>
        <w:jc w:val="right"/>
        <w:rPr>
          <w:sz w:val="20"/>
          <w:szCs w:val="20"/>
        </w:rPr>
      </w:pPr>
      <w:r>
        <w:rPr>
          <w:i/>
          <w:iCs/>
          <w:sz w:val="20"/>
          <w:szCs w:val="20"/>
        </w:rPr>
        <w:t>snem</w:t>
      </w:r>
    </w:p>
    <w:p w:rsidR="00500724" w:rsidRDefault="00F30FB8">
      <w:pPr>
        <w:pStyle w:val="Zkladntext1"/>
        <w:shd w:val="clear" w:color="auto" w:fill="auto"/>
        <w:spacing w:after="160" w:line="223" w:lineRule="auto"/>
        <w:ind w:firstLine="0"/>
        <w:jc w:val="left"/>
        <w:rPr>
          <w:sz w:val="20"/>
          <w:szCs w:val="20"/>
        </w:rPr>
      </w:pPr>
      <w:r>
        <w:rPr>
          <w:i/>
          <w:iCs/>
          <w:sz w:val="20"/>
          <w:szCs w:val="20"/>
        </w:rPr>
        <w:t>ne není navždy dokonáno šťastnější bude malá zem</w:t>
      </w:r>
    </w:p>
    <w:p w:rsidR="00500724" w:rsidRDefault="00F30FB8">
      <w:pPr>
        <w:pStyle w:val="Zkladntext1"/>
        <w:shd w:val="clear" w:color="auto" w:fill="auto"/>
        <w:spacing w:after="180" w:line="226" w:lineRule="auto"/>
        <w:ind w:firstLine="0"/>
        <w:jc w:val="left"/>
        <w:rPr>
          <w:sz w:val="20"/>
          <w:szCs w:val="20"/>
        </w:rPr>
      </w:pPr>
      <w:r>
        <w:rPr>
          <w:i/>
          <w:iCs/>
          <w:sz w:val="20"/>
          <w:szCs w:val="20"/>
        </w:rPr>
        <w:t xml:space="preserve">Na co se rvát o sílu vzlyků k čemu ta počitadla vin — Ty země Božích bojovníků trpíš jak hledíš na </w:t>
      </w:r>
      <w:r>
        <w:rPr>
          <w:i/>
          <w:iCs/>
          <w:sz w:val="20"/>
          <w:szCs w:val="20"/>
        </w:rPr>
        <w:t>svůj stín</w:t>
      </w:r>
    </w:p>
    <w:p w:rsidR="00500724" w:rsidRDefault="00F30FB8">
      <w:pPr>
        <w:pStyle w:val="Zkladntext1"/>
        <w:shd w:val="clear" w:color="auto" w:fill="auto"/>
        <w:spacing w:after="160" w:line="223" w:lineRule="auto"/>
        <w:ind w:firstLine="0"/>
        <w:jc w:val="left"/>
        <w:rPr>
          <w:sz w:val="20"/>
          <w:szCs w:val="20"/>
        </w:rPr>
      </w:pPr>
      <w:r>
        <w:rPr>
          <w:i/>
          <w:iCs/>
          <w:sz w:val="20"/>
          <w:szCs w:val="20"/>
        </w:rPr>
        <w:t>Tvé údy zbolavělé svítí písničku srdce barví nach písničku srdce barví nach šťastnější ve všech vteřinách</w:t>
      </w:r>
    </w:p>
    <w:p w:rsidR="00500724" w:rsidRDefault="00F30FB8">
      <w:pPr>
        <w:pStyle w:val="Zkladntext1"/>
        <w:shd w:val="clear" w:color="auto" w:fill="auto"/>
        <w:spacing w:line="228" w:lineRule="auto"/>
        <w:ind w:firstLine="0"/>
        <w:jc w:val="left"/>
        <w:rPr>
          <w:sz w:val="20"/>
          <w:szCs w:val="20"/>
        </w:rPr>
      </w:pPr>
      <w:r>
        <w:rPr>
          <w:i/>
          <w:iCs/>
          <w:sz w:val="20"/>
          <w:szCs w:val="20"/>
        </w:rPr>
        <w:t>Tvé věncoví je rozedráno hlas se láme jak vzpomenem ne není navždy dokonáno šťastnější bude malá zem</w:t>
      </w:r>
    </w:p>
    <w:p w:rsidR="00500724" w:rsidRDefault="00F30FB8">
      <w:pPr>
        <w:pStyle w:val="Zkladntext40"/>
        <w:shd w:val="clear" w:color="auto" w:fill="auto"/>
        <w:spacing w:after="340" w:line="240" w:lineRule="auto"/>
        <w:jc w:val="right"/>
      </w:pPr>
      <w:r>
        <w:t>(Ze Studentského časopisu.)</w:t>
      </w:r>
    </w:p>
    <w:p w:rsidR="00500724" w:rsidRDefault="00F30FB8">
      <w:pPr>
        <w:pStyle w:val="Zkladntext40"/>
        <w:shd w:val="clear" w:color="auto" w:fill="auto"/>
        <w:spacing w:after="0" w:line="240" w:lineRule="auto"/>
        <w:jc w:val="left"/>
      </w:pPr>
      <w:r>
        <w:t xml:space="preserve">z pera </w:t>
      </w:r>
      <w:r>
        <w:t>Frant. Nachtikala, přináší také řadu zajímavých poznámek a glos. Cena tohoto čísla je 5 Kě Nové číslo</w:t>
      </w:r>
    </w:p>
    <w:p w:rsidR="00500724" w:rsidRDefault="00F30FB8">
      <w:pPr>
        <w:pStyle w:val="Jin0"/>
        <w:shd w:val="clear" w:color="auto" w:fill="auto"/>
        <w:spacing w:line="276" w:lineRule="auto"/>
        <w:ind w:firstLine="0"/>
        <w:jc w:val="left"/>
        <w:rPr>
          <w:sz w:val="13"/>
          <w:szCs w:val="13"/>
        </w:rPr>
      </w:pPr>
      <w:r>
        <w:rPr>
          <w:rFonts w:ascii="Georgia" w:eastAsia="Georgia" w:hAnsi="Georgia" w:cs="Georgia"/>
          <w:b/>
          <w:bCs/>
          <w:sz w:val="13"/>
          <w:szCs w:val="13"/>
        </w:rPr>
        <w:t>STUDBNTSKĚHO ČASOPISU</w:t>
      </w:r>
    </w:p>
    <w:p w:rsidR="00500724" w:rsidRDefault="00F30FB8">
      <w:pPr>
        <w:pStyle w:val="Zkladntext40"/>
        <w:shd w:val="clear" w:color="auto" w:fill="auto"/>
        <w:spacing w:after="80"/>
        <w:ind w:firstLine="220"/>
      </w:pPr>
      <w:r>
        <w:t>Čtvrté, právě vyšlé číslo Stu</w:t>
      </w:r>
      <w:r>
        <w:softHyphen/>
        <w:t xml:space="preserve">dentského časopisu s fotografií presidenta dr. Emila Háchy, o němž v čele píše redaktor Lad. Khas, je </w:t>
      </w:r>
      <w:r>
        <w:t>zajímavé především v studentských příspěvcích. Jak básně, tak některé z dalších pří</w:t>
      </w:r>
      <w:r>
        <w:softHyphen/>
        <w:t>spěvků, zvlášť Podzimní siluety 1938, a několik dopisů ukazuji citlivost, s níž mladistvá srdce a duše soudí události a reaguji na ně opravdu no svém. Nelze opravdu přejiti</w:t>
      </w:r>
      <w:r>
        <w:t xml:space="preserve"> bez povšimnuli těch několik básní, inspirovaných podzimem 1938 a jeho událostmi, které rozervaly věncoví hor rod</w:t>
      </w:r>
      <w:r>
        <w:softHyphen/>
        <w:t>né země a oloupily nás o kus domoviny, s niž se náhle ti mladí cítí neodlučitelně spiati po záko nech rodu a osudu. Vedle těchtc příspěvků čte</w:t>
      </w:r>
      <w:r>
        <w:t>me v tomto čísle Studentského časopisu řadu refe</w:t>
      </w:r>
      <w:r>
        <w:softHyphen/>
        <w:t>rátů o nových knihách, divadel</w:t>
      </w:r>
      <w:r>
        <w:softHyphen/>
        <w:t xml:space="preserve">ních hrách, výstavách a filmech, několik studil </w:t>
      </w:r>
      <w:r>
        <w:rPr>
          <w:lang w:val="en-US" w:eastAsia="en-US" w:bidi="en-US"/>
        </w:rPr>
        <w:t xml:space="preserve">a essay! </w:t>
      </w:r>
      <w:r>
        <w:t>a koneč</w:t>
      </w:r>
      <w:r>
        <w:softHyphen/>
        <w:t xml:space="preserve">ně přehled nových událostí ve </w:t>
      </w:r>
      <w:r>
        <w:rPr>
          <w:u w:val="single"/>
        </w:rPr>
        <w:t>světě. Cena čísla ie 2 Kč.</w:t>
      </w:r>
    </w:p>
    <w:p w:rsidR="00500724" w:rsidRDefault="00F30FB8">
      <w:pPr>
        <w:pStyle w:val="Zkladntext40"/>
        <w:shd w:val="clear" w:color="auto" w:fill="auto"/>
        <w:spacing w:after="80" w:line="230" w:lineRule="auto"/>
        <w:ind w:firstLine="220"/>
      </w:pPr>
      <w:r>
        <w:t>Je těžší olovo nebo peří? Při stejné váze dvou věcí se</w:t>
      </w:r>
      <w:r>
        <w:t xml:space="preserve"> nám zdá těžší vždy ta hutnější, tedy ta. které je menší kousek. Zkusmo odhadneme váhu tudíž jen velmi nepřesně. Proto je i Karo- Franckovka, hodnotná to kávovi- na, rozdělena na úplně stejné kostky, aby Vaše káva byla vždv stejně dobrá.</w:t>
      </w:r>
    </w:p>
    <w:p w:rsidR="00500724" w:rsidRDefault="00F30FB8">
      <w:pPr>
        <w:pStyle w:val="Zkladntext40"/>
        <w:shd w:val="clear" w:color="auto" w:fill="auto"/>
        <w:spacing w:after="80" w:line="240" w:lineRule="auto"/>
        <w:ind w:firstLine="220"/>
        <w:sectPr w:rsidR="00500724">
          <w:footnotePr>
            <w:numFmt w:val="chicago"/>
            <w:numRestart w:val="eachPage"/>
          </w:footnotePr>
          <w:type w:val="continuous"/>
          <w:pgSz w:w="11909" w:h="16834"/>
          <w:pgMar w:top="497" w:right="871" w:bottom="497" w:left="559" w:header="0" w:footer="3" w:gutter="0"/>
          <w:cols w:num="4" w:sep="1" w:space="100"/>
          <w:noEndnote/>
          <w:docGrid w:linePitch="360"/>
        </w:sectPr>
      </w:pPr>
      <w:r>
        <w:t xml:space="preserve">Kraus a spol., krejčovský </w:t>
      </w:r>
      <w:r>
        <w:rPr>
          <w:b/>
          <w:bCs/>
          <w:sz w:val="14"/>
          <w:szCs w:val="14"/>
        </w:rPr>
        <w:t>ate</w:t>
      </w:r>
      <w:r>
        <w:rPr>
          <w:b/>
          <w:bCs/>
          <w:sz w:val="14"/>
          <w:szCs w:val="14"/>
        </w:rPr>
        <w:softHyphen/>
      </w:r>
      <w:r>
        <w:t>lier, Praha II., Panská 10, ozna</w:t>
      </w:r>
      <w:r>
        <w:softHyphen/>
        <w:t>muje svým váženým zákazní</w:t>
      </w:r>
      <w:r>
        <w:softHyphen/>
        <w:t>kům, že právě došly zásilky skvělých moderních anglických ílátek</w:t>
      </w:r>
    </w:p>
    <w:p w:rsidR="00500724" w:rsidRDefault="00F30FB8">
      <w:pPr>
        <w:pStyle w:val="Jin0"/>
        <w:shd w:val="clear" w:color="auto" w:fill="auto"/>
        <w:spacing w:after="180"/>
        <w:ind w:firstLine="0"/>
        <w:jc w:val="left"/>
        <w:rPr>
          <w:sz w:val="56"/>
          <w:szCs w:val="56"/>
        </w:rPr>
      </w:pPr>
      <w:r>
        <w:rPr>
          <w:b/>
          <w:bCs/>
          <w:i/>
          <w:iCs/>
          <w:sz w:val="56"/>
          <w:szCs w:val="56"/>
        </w:rPr>
        <w:t xml:space="preserve">3(dy&amp; &amp;éží </w:t>
      </w:r>
      <w:r>
        <w:rPr>
          <w:b/>
          <w:bCs/>
          <w:i/>
          <w:iCs/>
          <w:sz w:val="56"/>
          <w:szCs w:val="56"/>
          <w:lang w:val="en-US" w:eastAsia="en-US" w:bidi="en-US"/>
        </w:rPr>
        <w:t xml:space="preserve">matocy, </w:t>
      </w:r>
      <w:r>
        <w:rPr>
          <w:b/>
          <w:bCs/>
          <w:i/>
          <w:iCs/>
          <w:sz w:val="56"/>
          <w:szCs w:val="56"/>
        </w:rPr>
        <w:t>fde ušechita apčed...</w:t>
      </w:r>
    </w:p>
    <w:p w:rsidR="00500724" w:rsidRDefault="00F30FB8">
      <w:pPr>
        <w:pStyle w:val="Zkladntext50"/>
        <w:shd w:val="clear" w:color="auto" w:fill="auto"/>
        <w:spacing w:after="180" w:line="334" w:lineRule="auto"/>
      </w:pPr>
      <w:r>
        <w:t>a motory se již rozbíhají. Ji</w:t>
      </w:r>
      <w:r>
        <w:t>ž zase zvoní telefon a dochází pošta od těch, kdo přešli od úvah k činům a kupují automobily. Vědí. že v příští době bude zapotřebí rychlosti a pohotovosti více, než kdykoliv před tím. Proto bude třeba automobilů. Roztočme Je</w:t>
      </w:r>
      <w:r>
        <w:softHyphen/>
        <w:t>jich motory. Musíme dávati prá</w:t>
      </w:r>
      <w:r>
        <w:t>ci druhým, abychom Ji dostali sami Automobily Praga jsou pro Vás připraveny. Nezmarnó, hospodárné a spolehlivé.</w:t>
      </w:r>
    </w:p>
    <w:p w:rsidR="00500724" w:rsidRDefault="00F30FB8">
      <w:pPr>
        <w:pStyle w:val="Nadpis80"/>
        <w:keepNext/>
        <w:keepLines/>
        <w:shd w:val="clear" w:color="auto" w:fill="auto"/>
        <w:spacing w:after="180"/>
      </w:pPr>
      <w:bookmarkStart w:id="19" w:name="bookmark18"/>
      <w:r>
        <w:rPr>
          <w:rFonts w:ascii="Arial" w:eastAsia="Arial" w:hAnsi="Arial" w:cs="Arial"/>
          <w:u w:val="none"/>
        </w:rPr>
        <w:t>Dodáváme ihned ze skladu</w:t>
      </w:r>
      <w:bookmarkEnd w:id="19"/>
    </w:p>
    <w:p w:rsidR="00500724" w:rsidRDefault="00F30FB8">
      <w:pPr>
        <w:pStyle w:val="Zkladntext50"/>
        <w:shd w:val="clear" w:color="auto" w:fill="auto"/>
        <w:spacing w:after="0" w:line="338" w:lineRule="auto"/>
      </w:pPr>
      <w:r>
        <w:t xml:space="preserve">automobily Praga Lady </w:t>
      </w:r>
      <w:r>
        <w:rPr>
          <w:lang w:val="en-US" w:eastAsia="en-US" w:bidi="en-US"/>
        </w:rPr>
        <w:t xml:space="preserve">a Piccolo </w:t>
      </w:r>
      <w:r>
        <w:t xml:space="preserve">a nákladní vozy o nosnosti 1, 1.5 a 2.5 tuny. Nákladní automobily o větší nosnosti s </w:t>
      </w:r>
      <w:r>
        <w:t>krátkou dodací lhůtou. Placení nebude činili obtíží, proto že přijímáme jako platy na všechny vozy — nové i ojeté — I vklady, vázané mora toriem. Do nového budování nový automobil.</w:t>
      </w:r>
    </w:p>
    <w:p w:rsidR="00500724" w:rsidRDefault="00F30FB8">
      <w:pPr>
        <w:spacing w:line="14" w:lineRule="exact"/>
        <w:sectPr w:rsidR="00500724">
          <w:footnotePr>
            <w:numFmt w:val="chicago"/>
            <w:numRestart w:val="eachPage"/>
          </w:footnotePr>
          <w:pgSz w:w="11909" w:h="16834"/>
          <w:pgMar w:top="1256" w:right="1164" w:bottom="821" w:left="924" w:header="0" w:footer="3" w:gutter="0"/>
          <w:cols w:space="720"/>
          <w:noEndnote/>
          <w:docGrid w:linePitch="360"/>
        </w:sectPr>
      </w:pPr>
      <w:r>
        <w:rPr>
          <w:noProof/>
        </w:rPr>
        <mc:AlternateContent>
          <mc:Choice Requires="wps">
            <w:drawing>
              <wp:anchor distT="118110" distB="0" distL="114300" distR="2705100" simplePos="0" relativeHeight="125829390" behindDoc="0" locked="0" layoutInCell="1" allowOverlap="1">
                <wp:simplePos x="0" y="0"/>
                <wp:positionH relativeFrom="page">
                  <wp:posOffset>2263140</wp:posOffset>
                </wp:positionH>
                <wp:positionV relativeFrom="paragraph">
                  <wp:posOffset>127000</wp:posOffset>
                </wp:positionV>
                <wp:extent cx="1715770" cy="57277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1715770" cy="572770"/>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74"/>
                                <w:szCs w:val="74"/>
                              </w:rPr>
                            </w:pPr>
                            <w:r>
                              <w:rPr>
                                <w:rFonts w:ascii="Arial" w:eastAsia="Arial" w:hAnsi="Arial" w:cs="Arial"/>
                                <w:color w:val="FFFFFF"/>
                                <w:sz w:val="74"/>
                                <w:szCs w:val="74"/>
                              </w:rPr>
                              <w:t>PRAGA</w:t>
                            </w:r>
                          </w:p>
                        </w:txbxContent>
                      </wps:txbx>
                      <wps:bodyPr lIns="0" tIns="0" rIns="0" bIns="0"/>
                    </wps:wsp>
                  </a:graphicData>
                </a:graphic>
              </wp:anchor>
            </w:drawing>
          </mc:Choice>
          <mc:Fallback>
            <w:pict>
              <v:shape id="_x0000_s1039" type="#_x0000_t202" style="position:absolute;margin-left:178.19999999999999pt;margin-top:10.pt;width:135.09999999999999pt;height:45.100000000000001pt;z-index:-125829363;mso-wrap-distance-left:9.pt;mso-wrap-distance-top:9.3000000000000007pt;mso-wrap-distance-right:213.pt;mso-position-horizontal-relative:page" filled="f" stroked="f">
                <v:textbox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74"/>
                          <w:szCs w:val="74"/>
                        </w:rPr>
                      </w:pPr>
                      <w:r>
                        <w:rPr>
                          <w:rFonts w:ascii="Arial" w:eastAsia="Arial" w:hAnsi="Arial" w:cs="Arial"/>
                          <w:color w:val="FFFFFF"/>
                          <w:spacing w:val="0"/>
                          <w:w w:val="100"/>
                          <w:position w:val="0"/>
                          <w:sz w:val="74"/>
                          <w:szCs w:val="74"/>
                          <w:shd w:val="clear" w:color="auto" w:fill="auto"/>
                          <w:lang w:val="cs-CZ" w:eastAsia="cs-CZ" w:bidi="cs-CZ"/>
                        </w:rPr>
                        <w:t>PRAGA</w:t>
                      </w:r>
                    </w:p>
                  </w:txbxContent>
                </v:textbox>
                <w10:wrap type="topAndBottom" anchorx="page"/>
              </v:shape>
            </w:pict>
          </mc:Fallback>
        </mc:AlternateContent>
      </w:r>
      <w:r>
        <w:rPr>
          <w:noProof/>
        </w:rPr>
        <mc:AlternateContent>
          <mc:Choice Requires="wps">
            <w:drawing>
              <wp:anchor distT="358775" distB="79375" distL="1982470" distR="114300" simplePos="0" relativeHeight="125829392" behindDoc="0" locked="0" layoutInCell="1" allowOverlap="1">
                <wp:simplePos x="0" y="0"/>
                <wp:positionH relativeFrom="page">
                  <wp:posOffset>4131310</wp:posOffset>
                </wp:positionH>
                <wp:positionV relativeFrom="paragraph">
                  <wp:posOffset>367665</wp:posOffset>
                </wp:positionV>
                <wp:extent cx="2438400" cy="24384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2438400" cy="243840"/>
                        </a:xfrm>
                        <a:prstGeom prst="rect">
                          <a:avLst/>
                        </a:prstGeom>
                        <a:noFill/>
                      </wps:spPr>
                      <wps:txbx>
                        <w:txbxContent>
                          <w:p w:rsidR="00500724" w:rsidRDefault="00F30FB8">
                            <w:pPr>
                              <w:pStyle w:val="Jin0"/>
                              <w:pBdr>
                                <w:top w:val="single" w:sz="4" w:space="0" w:color="auto"/>
                              </w:pBdr>
                              <w:shd w:val="clear" w:color="auto" w:fill="auto"/>
                              <w:ind w:firstLine="0"/>
                              <w:jc w:val="left"/>
                              <w:rPr>
                                <w:sz w:val="28"/>
                                <w:szCs w:val="28"/>
                              </w:rPr>
                            </w:pPr>
                            <w:r>
                              <w:rPr>
                                <w:rFonts w:ascii="Arial" w:eastAsia="Arial" w:hAnsi="Arial" w:cs="Arial"/>
                                <w:b/>
                                <w:bCs/>
                                <w:sz w:val="28"/>
                                <w:szCs w:val="28"/>
                              </w:rPr>
                              <w:t>vůz na statisíce kilometrů</w:t>
                            </w:r>
                          </w:p>
                        </w:txbxContent>
                      </wps:txbx>
                      <wps:bodyPr lIns="0" tIns="0" rIns="0" bIns="0"/>
                    </wps:wsp>
                  </a:graphicData>
                </a:graphic>
              </wp:anchor>
            </w:drawing>
          </mc:Choice>
          <mc:Fallback>
            <w:pict>
              <v:shape id="_x0000_s1041" type="#_x0000_t202" style="position:absolute;margin-left:325.30000000000001pt;margin-top:28.949999999999999pt;width:192.pt;height:19.199999999999999pt;z-index:-125829361;mso-wrap-distance-left:156.09999999999999pt;mso-wrap-distance-top:28.25pt;mso-wrap-distance-right:9.pt;mso-wrap-distance-bottom:6.25pt;mso-position-horizontal-relative:page" filled="f" stroked="f">
                <v:textbox inset="0,0,0,0">
                  <w:txbxContent>
                    <w:p>
                      <w:pPr>
                        <w:pStyle w:val="Style12"/>
                        <w:keepNext w:val="0"/>
                        <w:keepLines w:val="0"/>
                        <w:widowControl w:val="0"/>
                        <w:pBdr>
                          <w:top w:val="single" w:sz="4" w:space="0" w:color="auto"/>
                        </w:pBdr>
                        <w:shd w:val="clear" w:color="auto" w:fill="auto"/>
                        <w:bidi w:val="0"/>
                        <w:spacing w:before="0" w:after="0" w:line="240" w:lineRule="auto"/>
                        <w:ind w:left="0" w:right="0" w:firstLine="0"/>
                        <w:jc w:val="left"/>
                        <w:rPr>
                          <w:sz w:val="28"/>
                          <w:szCs w:val="28"/>
                        </w:rPr>
                      </w:pPr>
                      <w:r>
                        <w:rPr>
                          <w:rFonts w:ascii="Arial" w:eastAsia="Arial" w:hAnsi="Arial" w:cs="Arial"/>
                          <w:b/>
                          <w:bCs/>
                          <w:color w:val="000000"/>
                          <w:spacing w:val="0"/>
                          <w:w w:val="100"/>
                          <w:position w:val="0"/>
                          <w:sz w:val="28"/>
                          <w:szCs w:val="28"/>
                          <w:shd w:val="clear" w:color="auto" w:fill="auto"/>
                          <w:lang w:val="cs-CZ" w:eastAsia="cs-CZ" w:bidi="cs-CZ"/>
                        </w:rPr>
                        <w:t>vůz na statisíce kilometrů</w:t>
                      </w:r>
                    </w:p>
                  </w:txbxContent>
                </v:textbox>
                <w10:wrap type="topAndBottom" anchorx="page"/>
              </v:shape>
            </w:pict>
          </mc:Fallback>
        </mc:AlternateContent>
      </w:r>
    </w:p>
    <w:p w:rsidR="00500724" w:rsidRDefault="00500724">
      <w:pPr>
        <w:spacing w:line="229" w:lineRule="exact"/>
        <w:rPr>
          <w:sz w:val="18"/>
          <w:szCs w:val="18"/>
        </w:rPr>
      </w:pPr>
    </w:p>
    <w:p w:rsidR="00500724" w:rsidRDefault="00500724">
      <w:pPr>
        <w:spacing w:line="14" w:lineRule="exact"/>
        <w:sectPr w:rsidR="00500724">
          <w:footnotePr>
            <w:numFmt w:val="chicago"/>
            <w:numRestart w:val="eachPage"/>
          </w:footnotePr>
          <w:type w:val="continuous"/>
          <w:pgSz w:w="11909" w:h="16834"/>
          <w:pgMar w:top="1256" w:right="0" w:bottom="821" w:left="0" w:header="0" w:footer="3" w:gutter="0"/>
          <w:cols w:space="720"/>
          <w:noEndnote/>
          <w:docGrid w:linePitch="360"/>
        </w:sectPr>
      </w:pPr>
    </w:p>
    <w:p w:rsidR="00500724" w:rsidRDefault="00F30FB8">
      <w:pPr>
        <w:pStyle w:val="Nadpis90"/>
        <w:keepNext/>
        <w:keepLines/>
        <w:shd w:val="clear" w:color="auto" w:fill="auto"/>
        <w:spacing w:after="80"/>
      </w:pPr>
      <w:bookmarkStart w:id="20" w:name="bookmark19"/>
      <w:r>
        <w:t xml:space="preserve">CESKOMORAVSKA-KOLBEN-DANEK..,. </w:t>
      </w:r>
      <w:r>
        <w:rPr>
          <w:lang w:val="en-US" w:eastAsia="en-US" w:bidi="en-US"/>
        </w:rPr>
        <w:t>odd.</w:t>
      </w:r>
      <w:bookmarkEnd w:id="20"/>
    </w:p>
    <w:p w:rsidR="00500724" w:rsidRDefault="00F30FB8">
      <w:pPr>
        <w:pStyle w:val="Nadpis120"/>
        <w:shd w:val="clear" w:color="auto" w:fill="auto"/>
        <w:tabs>
          <w:tab w:val="left" w:pos="6696"/>
        </w:tabs>
        <w:ind w:left="0"/>
        <w:jc w:val="both"/>
        <w:sectPr w:rsidR="00500724">
          <w:footnotePr>
            <w:numFmt w:val="chicago"/>
            <w:numRestart w:val="eachPage"/>
          </w:footnotePr>
          <w:type w:val="continuous"/>
          <w:pgSz w:w="11909" w:h="16834"/>
          <w:pgMar w:top="1256" w:right="1164" w:bottom="821" w:left="924" w:header="0" w:footer="3" w:gutter="0"/>
          <w:cols w:space="720"/>
          <w:noEndnote/>
          <w:docGrid w:linePitch="360"/>
        </w:sectPr>
      </w:pPr>
      <w:bookmarkStart w:id="21" w:name="bookmark20"/>
      <w:r>
        <w:rPr>
          <w:rFonts w:ascii="Arial" w:eastAsia="Arial" w:hAnsi="Arial" w:cs="Arial"/>
        </w:rPr>
        <w:t>PRAHA-KARLlN, KARLOVA 22</w:t>
      </w:r>
      <w:r>
        <w:rPr>
          <w:rFonts w:ascii="Arial" w:eastAsia="Arial" w:hAnsi="Arial" w:cs="Arial"/>
        </w:rPr>
        <w:tab/>
        <w:t>TELEFONY 320-51 a 386-41</w:t>
      </w:r>
      <w:bookmarkEnd w:id="21"/>
    </w:p>
    <w:p w:rsidR="00500724" w:rsidRDefault="00500724">
      <w:pPr>
        <w:spacing w:line="240" w:lineRule="exact"/>
        <w:rPr>
          <w:sz w:val="19"/>
          <w:szCs w:val="19"/>
        </w:rPr>
      </w:pPr>
    </w:p>
    <w:p w:rsidR="00500724" w:rsidRDefault="00500724">
      <w:pPr>
        <w:spacing w:before="23" w:after="2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256" w:right="0" w:bottom="821" w:left="0" w:header="0" w:footer="3" w:gutter="0"/>
          <w:cols w:space="720"/>
          <w:noEndnote/>
          <w:docGrid w:linePitch="360"/>
        </w:sectPr>
      </w:pPr>
    </w:p>
    <w:p w:rsidR="00500724" w:rsidRDefault="00F30FB8">
      <w:pPr>
        <w:pStyle w:val="Nadpis120"/>
        <w:framePr w:w="3504" w:h="293" w:wrap="none" w:vAnchor="text" w:hAnchor="page" w:x="1429" w:y="21"/>
        <w:shd w:val="clear" w:color="auto" w:fill="auto"/>
        <w:ind w:left="0"/>
      </w:pPr>
      <w:bookmarkStart w:id="22" w:name="bookmark21"/>
      <w:r>
        <w:t>Právě došla z Ameriky</w:t>
      </w:r>
      <w:bookmarkEnd w:id="22"/>
    </w:p>
    <w:p w:rsidR="00500724" w:rsidRDefault="00F30FB8">
      <w:pPr>
        <w:pStyle w:val="Jin0"/>
        <w:framePr w:w="3518" w:h="730" w:wrap="none" w:vAnchor="text" w:hAnchor="page" w:x="1415" w:y="294"/>
        <w:shd w:val="clear" w:color="auto" w:fill="auto"/>
        <w:ind w:firstLine="0"/>
        <w:jc w:val="left"/>
        <w:rPr>
          <w:sz w:val="76"/>
          <w:szCs w:val="76"/>
        </w:rPr>
      </w:pPr>
      <w:r>
        <w:rPr>
          <w:rFonts w:ascii="Arial" w:eastAsia="Arial" w:hAnsi="Arial" w:cs="Arial"/>
          <w:b/>
          <w:bCs/>
          <w:sz w:val="76"/>
          <w:szCs w:val="76"/>
          <w:lang w:val="en-US" w:eastAsia="en-US" w:bidi="en-US"/>
        </w:rPr>
        <w:t>CORONA</w:t>
      </w:r>
    </w:p>
    <w:p w:rsidR="00500724" w:rsidRDefault="00F30FB8">
      <w:pPr>
        <w:pStyle w:val="Nadpis100"/>
        <w:framePr w:w="3773" w:h="413" w:wrap="none" w:vAnchor="text" w:hAnchor="page" w:x="6560" w:y="155"/>
        <w:pBdr>
          <w:bottom w:val="single" w:sz="4" w:space="0" w:color="auto"/>
        </w:pBdr>
        <w:shd w:val="clear" w:color="auto" w:fill="auto"/>
        <w:spacing w:after="0" w:line="240" w:lineRule="auto"/>
        <w:jc w:val="left"/>
      </w:pPr>
      <w:bookmarkStart w:id="23" w:name="bookmark22"/>
      <w:r>
        <w:t>ČTĚTE I/DOVT AÍOWJVY</w:t>
      </w:r>
      <w:bookmarkEnd w:id="23"/>
    </w:p>
    <w:p w:rsidR="00500724" w:rsidRDefault="00F30FB8">
      <w:pPr>
        <w:pStyle w:val="Nadpis70"/>
        <w:keepNext/>
        <w:keepLines/>
        <w:framePr w:w="3499" w:h="706" w:wrap="none" w:vAnchor="text" w:hAnchor="page" w:x="6695" w:y="1187"/>
        <w:shd w:val="clear" w:color="auto" w:fill="auto"/>
      </w:pPr>
      <w:bookmarkStart w:id="24" w:name="bookmark23"/>
      <w:r>
        <w:t>JOSEF KUB1AS</w:t>
      </w:r>
      <w:bookmarkEnd w:id="24"/>
    </w:p>
    <w:p w:rsidR="00500724" w:rsidRDefault="00F30FB8">
      <w:pPr>
        <w:pStyle w:val="Nadpis110"/>
        <w:framePr w:w="3211" w:h="1579" w:wrap="none" w:vAnchor="text" w:hAnchor="page" w:x="1232" w:y="4489"/>
        <w:shd w:val="clear" w:color="auto" w:fill="auto"/>
        <w:spacing w:after="40" w:line="214" w:lineRule="auto"/>
        <w:ind w:right="1280"/>
      </w:pPr>
      <w:bookmarkStart w:id="25" w:name="bookmark24"/>
      <w:r>
        <w:t xml:space="preserve">americká kvalita </w:t>
      </w:r>
      <w:r>
        <w:t>xa lidovou cenu</w:t>
      </w:r>
      <w:bookmarkEnd w:id="25"/>
    </w:p>
    <w:p w:rsidR="00500724" w:rsidRDefault="00F30FB8">
      <w:pPr>
        <w:pStyle w:val="Jin0"/>
        <w:framePr w:w="3211" w:h="1579" w:wrap="none" w:vAnchor="text" w:hAnchor="page" w:x="1232" w:y="4489"/>
        <w:shd w:val="clear" w:color="auto" w:fill="auto"/>
        <w:spacing w:after="40"/>
        <w:ind w:left="160" w:firstLine="0"/>
        <w:jc w:val="left"/>
        <w:rPr>
          <w:sz w:val="44"/>
          <w:szCs w:val="44"/>
        </w:rPr>
      </w:pPr>
      <w:r>
        <w:rPr>
          <w:rFonts w:ascii="Arial" w:eastAsia="Arial" w:hAnsi="Arial" w:cs="Arial"/>
          <w:smallCaps/>
          <w:sz w:val="24"/>
          <w:szCs w:val="24"/>
        </w:rPr>
        <w:t>kč</w:t>
      </w:r>
      <w:r>
        <w:rPr>
          <w:rFonts w:ascii="Arial" w:eastAsia="Arial" w:hAnsi="Arial" w:cs="Arial"/>
          <w:b/>
          <w:bCs/>
          <w:sz w:val="44"/>
          <w:szCs w:val="44"/>
        </w:rPr>
        <w:t xml:space="preserve"> 1.340*-</w:t>
      </w:r>
    </w:p>
    <w:p w:rsidR="00500724" w:rsidRDefault="00F30FB8">
      <w:pPr>
        <w:pStyle w:val="Jin0"/>
        <w:framePr w:w="3211" w:h="1579" w:wrap="none" w:vAnchor="text" w:hAnchor="page" w:x="1232" w:y="4489"/>
        <w:shd w:val="clear" w:color="auto" w:fill="auto"/>
        <w:spacing w:after="40" w:line="221" w:lineRule="auto"/>
        <w:ind w:firstLine="0"/>
      </w:pPr>
      <w:r>
        <w:rPr>
          <w:rFonts w:ascii="Arial" w:eastAsia="Arial" w:hAnsi="Arial" w:cs="Arial"/>
        </w:rPr>
        <w:t>Nový stroj krásného vzhledu, nízký, lehký a při tom velmi trvanlivý. Umístíte jej snadno v aktovce!</w:t>
      </w:r>
    </w:p>
    <w:p w:rsidR="00500724" w:rsidRDefault="00F30FB8">
      <w:pPr>
        <w:pStyle w:val="Jin0"/>
        <w:framePr w:w="2290" w:h="739" w:wrap="none" w:vAnchor="text" w:hAnchor="page" w:x="2749" w:y="6265"/>
        <w:pBdr>
          <w:top w:val="single" w:sz="0" w:space="0" w:color="000000"/>
          <w:left w:val="single" w:sz="0" w:space="0" w:color="000000"/>
          <w:bottom w:val="single" w:sz="0" w:space="0" w:color="000000"/>
          <w:right w:val="single" w:sz="0" w:space="0" w:color="000000"/>
        </w:pBdr>
        <w:shd w:val="clear" w:color="auto" w:fill="000000"/>
        <w:ind w:firstLine="0"/>
        <w:jc w:val="left"/>
        <w:rPr>
          <w:sz w:val="62"/>
          <w:szCs w:val="62"/>
        </w:rPr>
      </w:pPr>
      <w:r>
        <w:rPr>
          <w:rFonts w:ascii="Arial" w:eastAsia="Arial" w:hAnsi="Arial" w:cs="Arial"/>
          <w:b/>
          <w:bCs/>
          <w:color w:val="FFFFFF"/>
          <w:sz w:val="62"/>
          <w:szCs w:val="62"/>
        </w:rPr>
        <w:t>GlBlAN:</w:t>
      </w:r>
    </w:p>
    <w:p w:rsidR="00500724" w:rsidRDefault="00F30FB8">
      <w:pPr>
        <w:pStyle w:val="Jin0"/>
        <w:framePr w:w="3518" w:h="216" w:wrap="none" w:vAnchor="text" w:hAnchor="page" w:x="1443" w:y="7019"/>
        <w:shd w:val="clear" w:color="auto" w:fill="auto"/>
        <w:ind w:firstLine="0"/>
        <w:jc w:val="left"/>
        <w:rPr>
          <w:sz w:val="14"/>
          <w:szCs w:val="14"/>
        </w:rPr>
      </w:pPr>
      <w:r>
        <w:rPr>
          <w:rFonts w:ascii="Arial" w:eastAsia="Arial" w:hAnsi="Arial" w:cs="Arial"/>
          <w:b/>
          <w:bCs/>
          <w:sz w:val="14"/>
          <w:szCs w:val="14"/>
        </w:rPr>
        <w:t>PRAHA II, ŠTĚPÁNSKÁ 32 • TELEFON 35151-3</w:t>
      </w:r>
    </w:p>
    <w:p w:rsidR="00500724" w:rsidRDefault="00F30FB8">
      <w:pPr>
        <w:pStyle w:val="Nadpis110"/>
        <w:framePr w:w="859" w:h="365" w:wrap="none" w:vAnchor="text" w:hAnchor="page" w:x="8024" w:y="4571"/>
        <w:shd w:val="clear" w:color="auto" w:fill="auto"/>
      </w:pPr>
      <w:bookmarkStart w:id="26" w:name="bookmark25"/>
      <w:r>
        <w:t>V seb</w:t>
      </w:r>
      <w:bookmarkEnd w:id="26"/>
    </w:p>
    <w:p w:rsidR="00500724" w:rsidRDefault="00F30FB8">
      <w:pPr>
        <w:pStyle w:val="Nadpis110"/>
        <w:framePr w:w="2006" w:h="691" w:wrap="none" w:vAnchor="text" w:hAnchor="page" w:x="8874" w:y="4590"/>
        <w:shd w:val="clear" w:color="auto" w:fill="auto"/>
        <w:spacing w:after="140"/>
      </w:pPr>
      <w:bookmarkStart w:id="27" w:name="bookmark26"/>
      <w:r>
        <w:t>emenším bytě</w:t>
      </w:r>
      <w:bookmarkEnd w:id="27"/>
    </w:p>
    <w:p w:rsidR="00500724" w:rsidRDefault="00F30FB8">
      <w:pPr>
        <w:pStyle w:val="Zkladntext50"/>
        <w:framePr w:w="2006" w:h="691" w:wrap="none" w:vAnchor="text" w:hAnchor="page" w:x="8874" w:y="4590"/>
        <w:shd w:val="clear" w:color="auto" w:fill="auto"/>
        <w:spacing w:after="0" w:line="240" w:lineRule="auto"/>
        <w:ind w:left="200"/>
        <w:jc w:val="left"/>
      </w:pPr>
      <w:r>
        <w:t>získáte</w:t>
      </w:r>
    </w:p>
    <w:p w:rsidR="00500724" w:rsidRDefault="00F30FB8">
      <w:pPr>
        <w:pStyle w:val="Nadpis90"/>
        <w:keepNext/>
        <w:keepLines/>
        <w:framePr w:w="2726" w:h="677" w:wrap="none" w:vAnchor="text" w:hAnchor="page" w:x="6018" w:y="5425"/>
        <w:shd w:val="clear" w:color="auto" w:fill="auto"/>
        <w:spacing w:after="40"/>
      </w:pPr>
      <w:bookmarkStart w:id="28" w:name="bookmark27"/>
      <w:r>
        <w:t>PRACOVNÍM</w:t>
      </w:r>
      <w:bookmarkEnd w:id="28"/>
    </w:p>
    <w:p w:rsidR="00500724" w:rsidRDefault="00F30FB8">
      <w:pPr>
        <w:pStyle w:val="Zkladntext50"/>
        <w:framePr w:w="2726" w:h="677" w:wrap="none" w:vAnchor="text" w:hAnchor="page" w:x="6018" w:y="5425"/>
        <w:shd w:val="clear" w:color="auto" w:fill="auto"/>
        <w:spacing w:after="0" w:line="240" w:lineRule="auto"/>
        <w:ind w:left="1320"/>
        <w:jc w:val="left"/>
      </w:pPr>
      <w:r>
        <w:t>č. 310</w:t>
      </w:r>
    </w:p>
    <w:p w:rsidR="00500724" w:rsidRDefault="00F30FB8">
      <w:pPr>
        <w:pStyle w:val="Nadpis90"/>
        <w:keepNext/>
        <w:keepLines/>
        <w:framePr w:w="1968" w:h="499" w:wrap="none" w:vAnchor="text" w:hAnchor="page" w:x="8903" w:y="5377"/>
        <w:shd w:val="clear" w:color="auto" w:fill="auto"/>
        <w:spacing w:after="0"/>
      </w:pPr>
      <w:bookmarkStart w:id="29" w:name="bookmark28"/>
      <w:r>
        <w:t>STOLKEM</w:t>
      </w:r>
      <w:bookmarkEnd w:id="29"/>
    </w:p>
    <w:p w:rsidR="00500724" w:rsidRDefault="00F30FB8">
      <w:pPr>
        <w:pStyle w:val="Zkladntext50"/>
        <w:framePr w:w="1488" w:h="389" w:wrap="none" w:vAnchor="text" w:hAnchor="page" w:x="6834" w:y="6102"/>
        <w:shd w:val="clear" w:color="auto" w:fill="auto"/>
        <w:spacing w:after="0" w:line="206" w:lineRule="auto"/>
        <w:ind w:left="0"/>
      </w:pPr>
      <w:r>
        <w:t xml:space="preserve">100 cm dlouhým, 55 cm </w:t>
      </w:r>
      <w:r>
        <w:t>hlubokým</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89" w:line="14" w:lineRule="exact"/>
      </w:pPr>
    </w:p>
    <w:p w:rsidR="00500724" w:rsidRDefault="00500724">
      <w:pPr>
        <w:spacing w:line="14" w:lineRule="exact"/>
        <w:sectPr w:rsidR="00500724">
          <w:footnotePr>
            <w:numFmt w:val="chicago"/>
            <w:numRestart w:val="eachPage"/>
          </w:footnotePr>
          <w:type w:val="continuous"/>
          <w:pgSz w:w="11909" w:h="16834"/>
          <w:pgMar w:top="1256" w:right="1030" w:bottom="821" w:left="92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11314"/>
      </w:tblGrid>
      <w:tr w:rsidR="00500724">
        <w:tblPrEx>
          <w:tblCellMar>
            <w:top w:w="0" w:type="dxa"/>
            <w:bottom w:w="0" w:type="dxa"/>
          </w:tblCellMar>
        </w:tblPrEx>
        <w:trPr>
          <w:trHeight w:hRule="exact" w:val="682"/>
          <w:jc w:val="center"/>
        </w:trPr>
        <w:tc>
          <w:tcPr>
            <w:tcW w:w="0" w:type="auto"/>
            <w:tcBorders>
              <w:top w:val="single" w:sz="4" w:space="0" w:color="auto"/>
              <w:left w:val="single" w:sz="4" w:space="0" w:color="auto"/>
            </w:tcBorders>
            <w:shd w:val="clear" w:color="auto" w:fill="FFFFFF"/>
          </w:tcPr>
          <w:p w:rsidR="00500724" w:rsidRDefault="00500724">
            <w:pPr>
              <w:rPr>
                <w:sz w:val="10"/>
                <w:szCs w:val="10"/>
              </w:rPr>
            </w:pPr>
          </w:p>
        </w:tc>
        <w:tc>
          <w:tcPr>
            <w:tcW w:w="0" w:type="auto"/>
            <w:tcBorders>
              <w:top w:val="single" w:sz="4" w:space="0" w:color="auto"/>
              <w:left w:val="single" w:sz="4" w:space="0" w:color="auto"/>
              <w:right w:val="single" w:sz="4" w:space="0" w:color="auto"/>
            </w:tcBorders>
            <w:shd w:val="clear" w:color="auto" w:fill="FFFFFF"/>
          </w:tcPr>
          <w:p w:rsidR="00500724" w:rsidRDefault="00500724">
            <w:pPr>
              <w:rPr>
                <w:sz w:val="10"/>
                <w:szCs w:val="10"/>
              </w:rPr>
            </w:pPr>
          </w:p>
        </w:tc>
      </w:tr>
      <w:tr w:rsidR="00500724">
        <w:tblPrEx>
          <w:tblCellMar>
            <w:top w:w="0" w:type="dxa"/>
            <w:bottom w:w="0" w:type="dxa"/>
          </w:tblCellMar>
        </w:tblPrEx>
        <w:trPr>
          <w:trHeight w:hRule="exact" w:val="4363"/>
          <w:jc w:val="center"/>
        </w:trPr>
        <w:tc>
          <w:tcPr>
            <w:tcW w:w="0" w:type="auto"/>
            <w:vMerge w:val="restart"/>
            <w:tcBorders>
              <w:top w:val="single" w:sz="4" w:space="0" w:color="auto"/>
              <w:left w:val="single" w:sz="4" w:space="0" w:color="auto"/>
            </w:tcBorders>
            <w:shd w:val="clear" w:color="auto" w:fill="FFFFFF"/>
          </w:tcPr>
          <w:p w:rsidR="00500724" w:rsidRDefault="00500724">
            <w:pPr>
              <w:rPr>
                <w:sz w:val="10"/>
                <w:szCs w:val="10"/>
              </w:rPr>
            </w:pPr>
          </w:p>
        </w:tc>
        <w:tc>
          <w:tcPr>
            <w:tcW w:w="0" w:type="auto"/>
            <w:tcBorders>
              <w:top w:val="single" w:sz="4" w:space="0" w:color="auto"/>
              <w:left w:val="single" w:sz="4" w:space="0" w:color="auto"/>
              <w:right w:val="single" w:sz="4" w:space="0" w:color="auto"/>
            </w:tcBorders>
            <w:shd w:val="clear" w:color="auto" w:fill="FFFFFF"/>
          </w:tcPr>
          <w:p w:rsidR="00500724" w:rsidRDefault="00F30FB8">
            <w:pPr>
              <w:pStyle w:val="Jin0"/>
              <w:shd w:val="clear" w:color="auto" w:fill="auto"/>
              <w:spacing w:before="100"/>
              <w:ind w:firstLine="0"/>
              <w:jc w:val="left"/>
              <w:rPr>
                <w:sz w:val="254"/>
                <w:szCs w:val="254"/>
              </w:rPr>
            </w:pPr>
            <w:r>
              <w:rPr>
                <w:sz w:val="254"/>
                <w:szCs w:val="254"/>
              </w:rPr>
              <w:t>PítomnosS</w:t>
            </w:r>
          </w:p>
        </w:tc>
      </w:tr>
      <w:tr w:rsidR="00500724">
        <w:tblPrEx>
          <w:tblCellMar>
            <w:top w:w="0" w:type="dxa"/>
            <w:bottom w:w="0" w:type="dxa"/>
          </w:tblCellMar>
        </w:tblPrEx>
        <w:trPr>
          <w:trHeight w:hRule="exact" w:val="600"/>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tabs>
                <w:tab w:val="left" w:pos="3918"/>
                <w:tab w:val="left" w:pos="9524"/>
              </w:tabs>
              <w:ind w:left="320" w:firstLine="60"/>
              <w:rPr>
                <w:sz w:val="26"/>
                <w:szCs w:val="26"/>
              </w:rPr>
            </w:pPr>
            <w:r>
              <w:rPr>
                <w:b/>
                <w:bCs/>
                <w:sz w:val="20"/>
                <w:szCs w:val="20"/>
              </w:rPr>
              <w:t>KOCNlK XVI</w:t>
            </w:r>
            <w:r>
              <w:rPr>
                <w:b/>
                <w:bCs/>
                <w:sz w:val="20"/>
                <w:szCs w:val="20"/>
              </w:rPr>
              <w:tab/>
              <w:t>V PRAZE 11. LEDNA 1939</w:t>
            </w:r>
            <w:r>
              <w:rPr>
                <w:b/>
                <w:bCs/>
                <w:sz w:val="20"/>
                <w:szCs w:val="20"/>
              </w:rPr>
              <w:tab/>
              <w:t xml:space="preserve">ZA </w:t>
            </w:r>
            <w:r>
              <w:rPr>
                <w:b/>
                <w:bCs/>
                <w:sz w:val="26"/>
                <w:szCs w:val="26"/>
              </w:rPr>
              <w:t>Kč 2—</w:t>
            </w:r>
          </w:p>
        </w:tc>
      </w:tr>
      <w:tr w:rsidR="00500724">
        <w:tblPrEx>
          <w:tblCellMar>
            <w:top w:w="0" w:type="dxa"/>
            <w:bottom w:w="0" w:type="dxa"/>
          </w:tblCellMar>
        </w:tblPrEx>
        <w:trPr>
          <w:trHeight w:hRule="exact" w:val="1978"/>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tabs>
                <w:tab w:val="left" w:pos="8281"/>
              </w:tabs>
              <w:ind w:left="320" w:firstLine="60"/>
              <w:rPr>
                <w:sz w:val="32"/>
                <w:szCs w:val="32"/>
              </w:rPr>
            </w:pPr>
            <w:r>
              <w:rPr>
                <w:sz w:val="58"/>
                <w:szCs w:val="58"/>
              </w:rPr>
              <w:t>Mrtvé pochovává ti</w:t>
            </w:r>
            <w:r>
              <w:rPr>
                <w:sz w:val="58"/>
                <w:szCs w:val="58"/>
              </w:rPr>
              <w:tab/>
            </w:r>
            <w:r>
              <w:rPr>
                <w:smallCaps/>
                <w:sz w:val="32"/>
                <w:szCs w:val="32"/>
              </w:rPr>
              <w:t>rudolf bechyně</w:t>
            </w:r>
          </w:p>
        </w:tc>
      </w:tr>
      <w:tr w:rsidR="00500724">
        <w:tblPrEx>
          <w:tblCellMar>
            <w:top w:w="0" w:type="dxa"/>
            <w:bottom w:w="0" w:type="dxa"/>
          </w:tblCellMar>
        </w:tblPrEx>
        <w:trPr>
          <w:trHeight w:hRule="exact" w:val="1190"/>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tabs>
                <w:tab w:val="left" w:pos="8938"/>
              </w:tabs>
              <w:ind w:left="320" w:firstLine="60"/>
              <w:rPr>
                <w:sz w:val="32"/>
                <w:szCs w:val="32"/>
              </w:rPr>
            </w:pPr>
            <w:r>
              <w:rPr>
                <w:sz w:val="58"/>
                <w:szCs w:val="58"/>
              </w:rPr>
              <w:t>Kdyby byla vypukla válka...</w:t>
            </w:r>
            <w:r>
              <w:rPr>
                <w:sz w:val="58"/>
                <w:szCs w:val="58"/>
              </w:rPr>
              <w:tab/>
            </w:r>
            <w:r>
              <w:rPr>
                <w:smallCaps/>
                <w:sz w:val="32"/>
                <w:szCs w:val="32"/>
              </w:rPr>
              <w:t>f. peroutka</w:t>
            </w:r>
          </w:p>
        </w:tc>
      </w:tr>
      <w:tr w:rsidR="00500724">
        <w:tblPrEx>
          <w:tblCellMar>
            <w:top w:w="0" w:type="dxa"/>
            <w:bottom w:w="0" w:type="dxa"/>
          </w:tblCellMar>
        </w:tblPrEx>
        <w:trPr>
          <w:trHeight w:hRule="exact" w:val="1200"/>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firstLine="0"/>
              <w:jc w:val="center"/>
              <w:rPr>
                <w:sz w:val="20"/>
                <w:szCs w:val="20"/>
              </w:rPr>
            </w:pPr>
            <w:r>
              <w:rPr>
                <w:b/>
                <w:bCs/>
                <w:sz w:val="20"/>
                <w:szCs w:val="20"/>
              </w:rPr>
              <w:t>v</w:t>
            </w:r>
          </w:p>
          <w:p w:rsidR="00500724" w:rsidRDefault="00F30FB8">
            <w:pPr>
              <w:pStyle w:val="Jin0"/>
              <w:shd w:val="clear" w:color="auto" w:fill="auto"/>
              <w:tabs>
                <w:tab w:val="left" w:pos="8137"/>
              </w:tabs>
              <w:spacing w:line="180" w:lineRule="auto"/>
              <w:ind w:left="320" w:firstLine="60"/>
              <w:rPr>
                <w:sz w:val="32"/>
                <w:szCs w:val="32"/>
              </w:rPr>
            </w:pPr>
            <w:r>
              <w:rPr>
                <w:sz w:val="58"/>
                <w:szCs w:val="58"/>
              </w:rPr>
              <w:t>Poslední dny Karla Čapka</w:t>
            </w:r>
            <w:r>
              <w:rPr>
                <w:sz w:val="58"/>
                <w:szCs w:val="58"/>
              </w:rPr>
              <w:tab/>
            </w:r>
            <w:r>
              <w:rPr>
                <w:smallCaps/>
                <w:sz w:val="32"/>
                <w:szCs w:val="32"/>
              </w:rPr>
              <w:t>milená jesenska</w:t>
            </w:r>
          </w:p>
        </w:tc>
      </w:tr>
      <w:tr w:rsidR="00500724">
        <w:tblPrEx>
          <w:tblCellMar>
            <w:top w:w="0" w:type="dxa"/>
            <w:bottom w:w="0" w:type="dxa"/>
          </w:tblCellMar>
        </w:tblPrEx>
        <w:trPr>
          <w:trHeight w:hRule="exact" w:val="1205"/>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tabs>
                <w:tab w:val="left" w:pos="7618"/>
              </w:tabs>
              <w:ind w:left="320" w:firstLine="60"/>
              <w:rPr>
                <w:sz w:val="32"/>
                <w:szCs w:val="32"/>
              </w:rPr>
            </w:pPr>
            <w:r>
              <w:rPr>
                <w:sz w:val="58"/>
                <w:szCs w:val="58"/>
              </w:rPr>
              <w:t>Čtyři dny</w:t>
            </w:r>
            <w:r>
              <w:rPr>
                <w:sz w:val="58"/>
                <w:szCs w:val="58"/>
              </w:rPr>
              <w:tab/>
            </w:r>
            <w:r>
              <w:rPr>
                <w:smallCaps/>
                <w:sz w:val="32"/>
                <w:szCs w:val="32"/>
              </w:rPr>
              <w:t xml:space="preserve">j. </w:t>
            </w:r>
            <w:r>
              <w:rPr>
                <w:smallCaps/>
                <w:sz w:val="32"/>
                <w:szCs w:val="32"/>
              </w:rPr>
              <w:t>wilson broadbent</w:t>
            </w:r>
          </w:p>
        </w:tc>
      </w:tr>
      <w:tr w:rsidR="00500724">
        <w:tblPrEx>
          <w:tblCellMar>
            <w:top w:w="0" w:type="dxa"/>
            <w:bottom w:w="0" w:type="dxa"/>
          </w:tblCellMar>
        </w:tblPrEx>
        <w:trPr>
          <w:trHeight w:hRule="exact" w:val="1200"/>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320" w:firstLine="60"/>
              <w:rPr>
                <w:sz w:val="20"/>
                <w:szCs w:val="20"/>
              </w:rPr>
            </w:pPr>
            <w:r>
              <w:rPr>
                <w:b/>
                <w:bCs/>
                <w:sz w:val="20"/>
                <w:szCs w:val="20"/>
              </w:rPr>
              <w:t>v</w:t>
            </w:r>
          </w:p>
          <w:p w:rsidR="00500724" w:rsidRDefault="00F30FB8">
            <w:pPr>
              <w:pStyle w:val="Jin0"/>
              <w:shd w:val="clear" w:color="auto" w:fill="auto"/>
              <w:spacing w:line="180" w:lineRule="auto"/>
              <w:ind w:left="320" w:firstLine="60"/>
              <w:rPr>
                <w:sz w:val="58"/>
                <w:szCs w:val="58"/>
              </w:rPr>
            </w:pPr>
            <w:r>
              <w:rPr>
                <w:sz w:val="58"/>
                <w:szCs w:val="58"/>
              </w:rPr>
              <w:t>Clen Strany práce o Straně národní jednoty</w:t>
            </w:r>
          </w:p>
        </w:tc>
      </w:tr>
      <w:tr w:rsidR="00500724">
        <w:tblPrEx>
          <w:tblCellMar>
            <w:top w:w="0" w:type="dxa"/>
            <w:bottom w:w="0" w:type="dxa"/>
          </w:tblCellMar>
        </w:tblPrEx>
        <w:trPr>
          <w:trHeight w:hRule="exact" w:val="1214"/>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320" w:firstLine="60"/>
              <w:rPr>
                <w:sz w:val="32"/>
                <w:szCs w:val="32"/>
              </w:rPr>
            </w:pPr>
            <w:r>
              <w:rPr>
                <w:rFonts w:ascii="Arial" w:eastAsia="Arial" w:hAnsi="Arial" w:cs="Arial"/>
                <w:b/>
                <w:bCs/>
                <w:w w:val="70"/>
                <w:sz w:val="54"/>
                <w:szCs w:val="54"/>
              </w:rPr>
              <w:t xml:space="preserve">Třetí thema pro úvodníky světového tisku </w:t>
            </w:r>
            <w:r>
              <w:rPr>
                <w:smallCaps/>
                <w:sz w:val="32"/>
                <w:szCs w:val="32"/>
              </w:rPr>
              <w:t>josef kalmer</w:t>
            </w:r>
          </w:p>
        </w:tc>
      </w:tr>
      <w:tr w:rsidR="00500724">
        <w:tblPrEx>
          <w:tblCellMar>
            <w:top w:w="0" w:type="dxa"/>
            <w:bottom w:w="0" w:type="dxa"/>
          </w:tblCellMar>
        </w:tblPrEx>
        <w:trPr>
          <w:trHeight w:hRule="exact" w:val="2083"/>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spacing w:after="40"/>
              <w:ind w:left="320" w:firstLine="60"/>
              <w:rPr>
                <w:sz w:val="26"/>
                <w:szCs w:val="26"/>
              </w:rPr>
            </w:pPr>
            <w:r>
              <w:rPr>
                <w:b/>
                <w:bCs/>
                <w:sz w:val="26"/>
                <w:szCs w:val="26"/>
              </w:rPr>
              <w:t>Palestinské noci — Proč jenom pět? — Slovensko do nového roku — Proč autostradu?</w:t>
            </w:r>
          </w:p>
          <w:p w:rsidR="00500724" w:rsidRDefault="00F30FB8">
            <w:pPr>
              <w:pStyle w:val="Jin0"/>
              <w:shd w:val="clear" w:color="auto" w:fill="auto"/>
              <w:spacing w:after="40"/>
              <w:ind w:left="200" w:firstLine="0"/>
              <w:jc w:val="center"/>
              <w:rPr>
                <w:sz w:val="26"/>
                <w:szCs w:val="26"/>
              </w:rPr>
            </w:pPr>
            <w:r>
              <w:rPr>
                <w:b/>
                <w:bCs/>
                <w:sz w:val="26"/>
                <w:szCs w:val="26"/>
              </w:rPr>
              <w:t xml:space="preserve">— Mladí k mladým — Dopis Slovincův — Poděkování — </w:t>
            </w:r>
            <w:r>
              <w:rPr>
                <w:b/>
                <w:bCs/>
                <w:sz w:val="26"/>
                <w:szCs w:val="26"/>
              </w:rPr>
              <w:t>Mluvčí našich menšin —</w:t>
            </w:r>
          </w:p>
          <w:p w:rsidR="00500724" w:rsidRDefault="00F30FB8">
            <w:pPr>
              <w:pStyle w:val="Jin0"/>
              <w:shd w:val="clear" w:color="auto" w:fill="auto"/>
              <w:spacing w:after="40"/>
              <w:ind w:left="200" w:firstLine="0"/>
              <w:jc w:val="center"/>
              <w:rPr>
                <w:sz w:val="26"/>
                <w:szCs w:val="26"/>
              </w:rPr>
            </w:pPr>
            <w:r>
              <w:rPr>
                <w:b/>
                <w:bCs/>
                <w:sz w:val="26"/>
                <w:szCs w:val="26"/>
              </w:rPr>
              <w:t>Dr. Beneš byl v Německu</w:t>
            </w:r>
          </w:p>
        </w:tc>
      </w:tr>
      <w:tr w:rsidR="00500724">
        <w:tblPrEx>
          <w:tblCellMar>
            <w:top w:w="0" w:type="dxa"/>
            <w:bottom w:w="0" w:type="dxa"/>
          </w:tblCellMar>
        </w:tblPrEx>
        <w:trPr>
          <w:trHeight w:hRule="exact" w:val="941"/>
          <w:jc w:val="center"/>
        </w:trPr>
        <w:tc>
          <w:tcPr>
            <w:tcW w:w="0" w:type="auto"/>
            <w:tcBorders>
              <w:top w:val="single" w:sz="4" w:space="0" w:color="auto"/>
              <w:left w:val="single" w:sz="4" w:space="0" w:color="auto"/>
              <w:bottom w:val="single" w:sz="4" w:space="0" w:color="auto"/>
            </w:tcBorders>
            <w:shd w:val="clear" w:color="auto" w:fill="FFFFFF"/>
          </w:tcPr>
          <w:p w:rsidR="00500724" w:rsidRDefault="00500724">
            <w:pPr>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00724" w:rsidRDefault="00500724">
            <w:pPr>
              <w:rPr>
                <w:sz w:val="10"/>
                <w:szCs w:val="10"/>
              </w:rPr>
            </w:pPr>
          </w:p>
        </w:tc>
      </w:tr>
    </w:tbl>
    <w:p w:rsidR="00500724" w:rsidRDefault="00500724">
      <w:pPr>
        <w:spacing w:line="14" w:lineRule="exact"/>
        <w:sectPr w:rsidR="00500724">
          <w:footnotePr>
            <w:numFmt w:val="chicago"/>
            <w:numRestart w:val="eachPage"/>
          </w:footnotePr>
          <w:pgSz w:w="11909" w:h="16834"/>
          <w:pgMar w:top="42" w:right="0" w:bottom="0" w:left="0" w:header="0" w:footer="3" w:gutter="0"/>
          <w:cols w:space="720"/>
          <w:noEndnote/>
          <w:docGrid w:linePitch="360"/>
        </w:sectPr>
      </w:pPr>
    </w:p>
    <w:p w:rsidR="00500724" w:rsidRDefault="00F30FB8">
      <w:pPr>
        <w:pStyle w:val="Jin0"/>
        <w:shd w:val="clear" w:color="auto" w:fill="auto"/>
        <w:ind w:left="660" w:firstLine="20"/>
        <w:jc w:val="left"/>
        <w:rPr>
          <w:sz w:val="62"/>
          <w:szCs w:val="62"/>
        </w:rPr>
      </w:pPr>
      <w:r>
        <w:rPr>
          <w:rFonts w:ascii="Arial" w:eastAsia="Arial" w:hAnsi="Arial" w:cs="Arial"/>
          <w:b/>
          <w:bCs/>
          <w:sz w:val="62"/>
          <w:szCs w:val="62"/>
          <w:lang w:val="en-US" w:eastAsia="en-US" w:bidi="en-US"/>
        </w:rPr>
        <w:t>CORONA</w:t>
      </w:r>
    </w:p>
    <w:p w:rsidR="00500724" w:rsidRDefault="00F30FB8">
      <w:pPr>
        <w:spacing w:line="1" w:lineRule="exact"/>
        <w:rPr>
          <w:sz w:val="2"/>
          <w:szCs w:val="2"/>
        </w:rPr>
      </w:pPr>
      <w:r>
        <w:br w:type="column"/>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jc w:val="center"/>
      </w:pPr>
      <w:bookmarkStart w:id="30" w:name="bookmark29"/>
      <w:r>
        <w:rPr>
          <w:color w:val="FFFFFF"/>
        </w:rPr>
        <w:t>ODBORNÍ LtKAftl</w:t>
      </w:r>
      <w:bookmarkEnd w:id="30"/>
    </w:p>
    <w:p w:rsidR="00500724" w:rsidRDefault="00F30FB8">
      <w:pPr>
        <w:pStyle w:val="Zkladntext20"/>
        <w:shd w:val="clear" w:color="auto" w:fill="auto"/>
        <w:spacing w:line="134" w:lineRule="auto"/>
        <w:ind w:firstLine="0"/>
        <w:rPr>
          <w:sz w:val="18"/>
          <w:szCs w:val="18"/>
        </w:rPr>
      </w:pPr>
      <w:r>
        <w:rPr>
          <w:rFonts w:ascii="Arial" w:eastAsia="Arial" w:hAnsi="Arial" w:cs="Arial"/>
          <w:b/>
          <w:bCs/>
        </w:rPr>
        <w:t xml:space="preserve">Síím. </w:t>
      </w:r>
      <w:r>
        <w:rPr>
          <w:sz w:val="16"/>
          <w:szCs w:val="16"/>
        </w:rPr>
        <w:t xml:space="preserve">íe--.-L8 odborný lékař pro </w:t>
      </w:r>
      <w:r>
        <w:rPr>
          <w:b/>
          <w:bCs/>
          <w:sz w:val="18"/>
          <w:szCs w:val="18"/>
        </w:rPr>
        <w:t>žaludeční a MUBJr. « oO K ■ střevní nemocí a roentgeno.ogii.</w:t>
      </w:r>
    </w:p>
    <w:p w:rsidR="00500724" w:rsidRDefault="00F30FB8">
      <w:pPr>
        <w:pStyle w:val="Zkladntext20"/>
        <w:shd w:val="clear" w:color="auto" w:fill="auto"/>
        <w:spacing w:line="151" w:lineRule="auto"/>
        <w:ind w:firstLine="0"/>
        <w:jc w:val="right"/>
        <w:rPr>
          <w:sz w:val="18"/>
          <w:szCs w:val="18"/>
        </w:rPr>
      </w:pPr>
      <w:r>
        <w:rPr>
          <w:sz w:val="16"/>
          <w:szCs w:val="16"/>
        </w:rPr>
        <w:t xml:space="preserve">PRAHA H., NEKÁZANKA </w:t>
      </w:r>
      <w:r>
        <w:rPr>
          <w:sz w:val="18"/>
          <w:szCs w:val="18"/>
        </w:rPr>
        <w:t>4, IX. patro. Ord. 9-10. 3-4.</w:t>
      </w:r>
    </w:p>
    <w:p w:rsidR="00500724" w:rsidRDefault="00F30FB8">
      <w:pPr>
        <w:pStyle w:val="Zkladntext40"/>
        <w:pBdr>
          <w:bottom w:val="single" w:sz="4" w:space="0" w:color="auto"/>
        </w:pBdr>
        <w:shd w:val="clear" w:color="auto" w:fill="auto"/>
        <w:spacing w:after="160" w:line="199" w:lineRule="auto"/>
        <w:ind w:left="2580"/>
        <w:jc w:val="left"/>
        <w:rPr>
          <w:sz w:val="16"/>
          <w:szCs w:val="16"/>
        </w:rPr>
      </w:pPr>
      <w:r>
        <w:rPr>
          <w:sz w:val="16"/>
          <w:szCs w:val="16"/>
        </w:rPr>
        <w:t xml:space="preserve">Telefon </w:t>
      </w:r>
      <w:r>
        <w:rPr>
          <w:sz w:val="16"/>
          <w:szCs w:val="16"/>
        </w:rPr>
        <w:t>234-13.</w:t>
      </w:r>
    </w:p>
    <w:p w:rsidR="00500724" w:rsidRDefault="00F30FB8">
      <w:pPr>
        <w:pStyle w:val="Zkladntext20"/>
        <w:shd w:val="clear" w:color="auto" w:fill="auto"/>
        <w:spacing w:after="100" w:line="158" w:lineRule="auto"/>
        <w:ind w:firstLine="0"/>
        <w:rPr>
          <w:sz w:val="18"/>
          <w:szCs w:val="18"/>
        </w:rPr>
      </w:pPr>
      <w:r>
        <w:rPr>
          <w:b/>
          <w:bCs/>
          <w:sz w:val="20"/>
          <w:szCs w:val="20"/>
        </w:rPr>
        <w:t xml:space="preserve">MUQr Frvín </w:t>
      </w:r>
      <w:r>
        <w:rPr>
          <w:b/>
          <w:bCs/>
          <w:sz w:val="20"/>
          <w:szCs w:val="20"/>
          <w:lang w:val="en-US" w:eastAsia="en-US" w:bidi="en-US"/>
        </w:rPr>
        <w:t xml:space="preserve">Frohlich </w:t>
      </w:r>
      <w:r>
        <w:rPr>
          <w:sz w:val="18"/>
          <w:szCs w:val="18"/>
        </w:rPr>
        <w:t xml:space="preserve">odborný lékař pro choroby </w:t>
      </w:r>
      <w:r>
        <w:rPr>
          <w:b/>
          <w:bCs/>
          <w:sz w:val="20"/>
          <w:szCs w:val="20"/>
        </w:rPr>
        <w:t xml:space="preserve">MWWr. min </w:t>
      </w:r>
      <w:r>
        <w:rPr>
          <w:sz w:val="16"/>
          <w:szCs w:val="16"/>
        </w:rPr>
        <w:t xml:space="preserve">Í </w:t>
      </w:r>
      <w:r>
        <w:rPr>
          <w:rFonts w:ascii="Arial" w:eastAsia="Arial" w:hAnsi="Arial" w:cs="Arial"/>
          <w:b/>
          <w:bCs/>
        </w:rPr>
        <w:t xml:space="preserve">roniICB, </w:t>
      </w:r>
      <w:r>
        <w:rPr>
          <w:sz w:val="18"/>
          <w:szCs w:val="18"/>
        </w:rPr>
        <w:t xml:space="preserve">vnitřní, žaludeční, střevní a výměny látek, em. asistent I. med. kliniky </w:t>
      </w:r>
      <w:r>
        <w:rPr>
          <w:sz w:val="18"/>
          <w:szCs w:val="18"/>
          <w:lang w:val="en-US" w:eastAsia="en-US" w:bidi="en-US"/>
        </w:rPr>
        <w:t xml:space="preserve">prof. </w:t>
      </w:r>
      <w:r>
        <w:rPr>
          <w:sz w:val="18"/>
          <w:szCs w:val="18"/>
        </w:rPr>
        <w:t xml:space="preserve">Schmidta, </w:t>
      </w:r>
      <w:r>
        <w:rPr>
          <w:sz w:val="18"/>
          <w:szCs w:val="18"/>
          <w:u w:val="single"/>
        </w:rPr>
        <w:t xml:space="preserve">PRAHA </w:t>
      </w:r>
      <w:r>
        <w:rPr>
          <w:b/>
          <w:bCs/>
          <w:sz w:val="20"/>
          <w:szCs w:val="20"/>
          <w:u w:val="single"/>
        </w:rPr>
        <w:t xml:space="preserve">I., </w:t>
      </w:r>
      <w:r>
        <w:rPr>
          <w:sz w:val="18"/>
          <w:szCs w:val="18"/>
          <w:u w:val="single"/>
        </w:rPr>
        <w:t>Na Příkopech 35. Ord. 9-10, U3-R5. Telef. 228-91.</w:t>
      </w:r>
    </w:p>
    <w:p w:rsidR="00500724" w:rsidRDefault="00F30FB8">
      <w:pPr>
        <w:pStyle w:val="Nadpis110"/>
        <w:shd w:val="clear" w:color="auto" w:fill="auto"/>
        <w:jc w:val="both"/>
      </w:pPr>
      <w:bookmarkStart w:id="31" w:name="bookmark30"/>
      <w:r>
        <w:t>MUDr. ZDENKA NEDVĚDOVA-NEJEDLA</w:t>
      </w:r>
      <w:bookmarkEnd w:id="31"/>
    </w:p>
    <w:p w:rsidR="00500724" w:rsidRDefault="00F30FB8">
      <w:pPr>
        <w:pStyle w:val="Zkladntext20"/>
        <w:shd w:val="clear" w:color="auto" w:fill="auto"/>
        <w:spacing w:after="80" w:line="185" w:lineRule="auto"/>
        <w:ind w:firstLine="0"/>
        <w:rPr>
          <w:sz w:val="19"/>
          <w:szCs w:val="19"/>
        </w:rPr>
      </w:pPr>
      <w:r>
        <w:rPr>
          <w:b/>
          <w:bCs/>
          <w:sz w:val="19"/>
          <w:szCs w:val="19"/>
        </w:rPr>
        <w:t xml:space="preserve">odb. dětská lékařka, PODOLÍ. Pankrácká 14 (stanice elektr. </w:t>
      </w:r>
      <w:r>
        <w:rPr>
          <w:b/>
          <w:bCs/>
          <w:sz w:val="19"/>
          <w:szCs w:val="19"/>
          <w:u w:val="single"/>
        </w:rPr>
        <w:t>dráhy za Podol, sanatoriem). Ord. 9—10 a 2—4. Tel. 441-77.</w:t>
      </w:r>
    </w:p>
    <w:p w:rsidR="00500724" w:rsidRDefault="00F30FB8">
      <w:pPr>
        <w:pStyle w:val="Zkladntext40"/>
        <w:shd w:val="clear" w:color="auto" w:fill="auto"/>
        <w:spacing w:after="100" w:line="204" w:lineRule="auto"/>
        <w:rPr>
          <w:sz w:val="16"/>
          <w:szCs w:val="16"/>
        </w:rPr>
      </w:pPr>
      <w:r>
        <w:rPr>
          <w:sz w:val="16"/>
          <w:szCs w:val="16"/>
        </w:rPr>
        <w:t xml:space="preserve">Pro plastickou chirurgii </w:t>
      </w:r>
      <w:r>
        <w:rPr>
          <w:rFonts w:ascii="Arial" w:eastAsia="Arial" w:hAnsi="Arial" w:cs="Arial"/>
          <w:b/>
          <w:bCs/>
          <w:sz w:val="22"/>
          <w:szCs w:val="22"/>
        </w:rPr>
        <w:t xml:space="preserve">Dr. RUDOLF SLUNEČKO </w:t>
      </w:r>
      <w:r>
        <w:rPr>
          <w:sz w:val="16"/>
          <w:szCs w:val="16"/>
        </w:rPr>
        <w:t xml:space="preserve">ord. 3-4 (a podle úmluvy). Telefon 393-79. PRAHA </w:t>
      </w:r>
      <w:r>
        <w:rPr>
          <w:b/>
          <w:bCs/>
          <w:sz w:val="18"/>
          <w:szCs w:val="18"/>
        </w:rPr>
        <w:t>H.. VO</w:t>
      </w:r>
      <w:r>
        <w:rPr>
          <w:b/>
          <w:bCs/>
          <w:sz w:val="18"/>
          <w:szCs w:val="18"/>
        </w:rPr>
        <w:softHyphen/>
      </w:r>
      <w:r>
        <w:rPr>
          <w:sz w:val="16"/>
          <w:szCs w:val="16"/>
        </w:rPr>
        <w:t>DIČKOVA 15. (Hlávkův nalác.t</w:t>
      </w:r>
    </w:p>
    <w:p w:rsidR="00500724" w:rsidRDefault="00F30FB8">
      <w:pPr>
        <w:pStyle w:val="Zkladntext40"/>
        <w:shd w:val="clear" w:color="auto" w:fill="auto"/>
        <w:spacing w:after="0" w:line="154" w:lineRule="auto"/>
        <w:rPr>
          <w:sz w:val="16"/>
          <w:szCs w:val="16"/>
        </w:rPr>
      </w:pPr>
      <w:r>
        <w:rPr>
          <w:sz w:val="16"/>
          <w:szCs w:val="16"/>
        </w:rPr>
        <w:t xml:space="preserve">Odborný lékař pro porod- </w:t>
      </w:r>
      <w:r>
        <w:rPr>
          <w:rFonts w:ascii="Arial" w:eastAsia="Arial" w:hAnsi="Arial" w:cs="Arial"/>
          <w:b/>
          <w:bCs/>
          <w:sz w:val="22"/>
          <w:szCs w:val="22"/>
        </w:rPr>
        <w:t xml:space="preserve">MUDr. K. STEINBACH </w:t>
      </w:r>
      <w:r>
        <w:rPr>
          <w:sz w:val="16"/>
          <w:szCs w:val="16"/>
        </w:rPr>
        <w:t>nictví a pro nemoci zen</w:t>
      </w:r>
    </w:p>
    <w:p w:rsidR="00500724" w:rsidRDefault="00F30FB8">
      <w:pPr>
        <w:pStyle w:val="Zkladntext40"/>
        <w:shd w:val="clear" w:color="auto" w:fill="auto"/>
        <w:spacing w:after="100" w:line="182" w:lineRule="auto"/>
        <w:jc w:val="right"/>
        <w:rPr>
          <w:sz w:val="16"/>
          <w:szCs w:val="16"/>
        </w:rPr>
      </w:pPr>
      <w:r>
        <w:rPr>
          <w:sz w:val="16"/>
          <w:szCs w:val="16"/>
        </w:rPr>
        <w:t>PRAHA ffl„ Havlíčkovo nám. 22. Ord. 9-11. 2-4. Tel. -70-13.</w:t>
      </w:r>
    </w:p>
    <w:p w:rsidR="00500724" w:rsidRDefault="00F30FB8">
      <w:pPr>
        <w:pStyle w:val="Nadpis110"/>
        <w:shd w:val="clear" w:color="auto" w:fill="auto"/>
        <w:jc w:val="both"/>
      </w:pPr>
      <w:bookmarkStart w:id="32" w:name="bookmark31"/>
      <w:r>
        <w:rPr>
          <w:rFonts w:ascii="Times New Roman" w:eastAsia="Times New Roman" w:hAnsi="Times New Roman" w:cs="Times New Roman"/>
        </w:rPr>
        <w:t>Dr. STANISLAV TUMPACH</w:t>
      </w:r>
      <w:bookmarkEnd w:id="32"/>
    </w:p>
    <w:p w:rsidR="00500724" w:rsidRDefault="00F30FB8">
      <w:pPr>
        <w:pStyle w:val="Zkladntext20"/>
        <w:shd w:val="clear" w:color="auto" w:fill="auto"/>
        <w:spacing w:line="221" w:lineRule="auto"/>
        <w:ind w:firstLine="0"/>
        <w:jc w:val="right"/>
        <w:rPr>
          <w:sz w:val="18"/>
          <w:szCs w:val="18"/>
        </w:rPr>
      </w:pPr>
      <w:r>
        <w:rPr>
          <w:b/>
          <w:bCs/>
          <w:sz w:val="18"/>
          <w:szCs w:val="18"/>
        </w:rPr>
        <w:t>PRAHA XI*., FOCHOVA 84. (Nám. krále Jiřího.) Ord. 15-17.</w:t>
      </w:r>
    </w:p>
    <w:p w:rsidR="00500724" w:rsidRDefault="00F30FB8">
      <w:pPr>
        <w:pStyle w:val="Zkladntext20"/>
        <w:pBdr>
          <w:bottom w:val="single" w:sz="4" w:space="0" w:color="auto"/>
        </w:pBdr>
        <w:shd w:val="clear" w:color="auto" w:fill="auto"/>
        <w:spacing w:after="80" w:line="240" w:lineRule="auto"/>
        <w:ind w:firstLine="0"/>
        <w:rPr>
          <w:sz w:val="18"/>
          <w:szCs w:val="18"/>
        </w:rPr>
      </w:pPr>
      <w:r>
        <w:rPr>
          <w:sz w:val="18"/>
          <w:szCs w:val="18"/>
        </w:rPr>
        <w:t>Tel. 512-86. &gt;yt: 513-38.</w:t>
      </w:r>
    </w:p>
    <w:p w:rsidR="00500724" w:rsidRDefault="00F30FB8">
      <w:pPr>
        <w:pStyle w:val="Nadpis110"/>
        <w:shd w:val="clear" w:color="auto" w:fill="auto"/>
        <w:jc w:val="both"/>
      </w:pPr>
      <w:bookmarkStart w:id="33" w:name="bookmark32"/>
      <w:r>
        <w:t>MUDr. EMIL VOGL</w:t>
      </w:r>
      <w:bookmarkEnd w:id="33"/>
    </w:p>
    <w:p w:rsidR="00500724" w:rsidRDefault="00F30FB8">
      <w:pPr>
        <w:pStyle w:val="Zkladntext40"/>
        <w:shd w:val="clear" w:color="auto" w:fill="auto"/>
        <w:spacing w:after="80" w:line="190" w:lineRule="auto"/>
        <w:rPr>
          <w:sz w:val="16"/>
          <w:szCs w:val="16"/>
        </w:rPr>
      </w:pPr>
      <w:r>
        <w:rPr>
          <w:sz w:val="17"/>
          <w:szCs w:val="17"/>
        </w:rPr>
        <w:t xml:space="preserve">odborný lékař nro nemoci vnitřní, </w:t>
      </w:r>
      <w:r>
        <w:rPr>
          <w:b/>
          <w:bCs/>
          <w:sz w:val="18"/>
          <w:szCs w:val="18"/>
        </w:rPr>
        <w:t xml:space="preserve">PRAHLA EL, LÚTZOWOVA </w:t>
      </w:r>
      <w:r>
        <w:rPr>
          <w:sz w:val="16"/>
          <w:szCs w:val="16"/>
          <w:u w:val="single"/>
        </w:rPr>
        <w:t>32, roh Washinřvtonové. Ord. 9-11. 2-4. Telefon 226-65.</w:t>
      </w:r>
    </w:p>
    <w:p w:rsidR="00500724" w:rsidRDefault="00F30FB8">
      <w:pPr>
        <w:pStyle w:val="Jin0"/>
        <w:shd w:val="clear" w:color="auto" w:fill="auto"/>
        <w:ind w:firstLine="0"/>
        <w:jc w:val="center"/>
        <w:rPr>
          <w:sz w:val="26"/>
          <w:szCs w:val="26"/>
        </w:rPr>
      </w:pPr>
      <w:r>
        <w:rPr>
          <w:rFonts w:ascii="Arial" w:eastAsia="Arial" w:hAnsi="Arial" w:cs="Arial"/>
          <w:b/>
          <w:bCs/>
          <w:sz w:val="26"/>
          <w:szCs w:val="26"/>
        </w:rPr>
        <w:t>Lékařská ordinace</w:t>
      </w:r>
    </w:p>
    <w:p w:rsidR="00500724" w:rsidRDefault="00F30FB8">
      <w:pPr>
        <w:pStyle w:val="Zkladntext20"/>
        <w:shd w:val="clear" w:color="auto" w:fill="auto"/>
        <w:spacing w:line="202" w:lineRule="auto"/>
        <w:ind w:firstLine="0"/>
        <w:rPr>
          <w:sz w:val="17"/>
          <w:szCs w:val="17"/>
        </w:rPr>
        <w:sectPr w:rsidR="00500724">
          <w:footnotePr>
            <w:numFmt w:val="chicago"/>
            <w:numRestart w:val="eachPage"/>
          </w:footnotePr>
          <w:pgSz w:w="11909" w:h="16834"/>
          <w:pgMar w:top="718" w:right="1327" w:bottom="739" w:left="36" w:header="0" w:footer="3" w:gutter="0"/>
          <w:cols w:num="2" w:space="149"/>
          <w:noEndnote/>
          <w:docGrid w:linePitch="360"/>
        </w:sectPr>
      </w:pPr>
      <w:r>
        <w:rPr>
          <w:sz w:val="18"/>
          <w:szCs w:val="18"/>
        </w:rPr>
        <w:t xml:space="preserve">moderně zařízená pro internistu,velmi dobře zavedená </w:t>
      </w:r>
      <w:r>
        <w:rPr>
          <w:rFonts w:ascii="Arial" w:eastAsia="Arial" w:hAnsi="Arial" w:cs="Arial"/>
          <w:b/>
          <w:bCs/>
          <w:sz w:val="17"/>
          <w:szCs w:val="17"/>
        </w:rPr>
        <w:t xml:space="preserve">se orodá. </w:t>
      </w:r>
      <w:r>
        <w:rPr>
          <w:sz w:val="18"/>
          <w:szCs w:val="18"/>
          <w:u w:val="single"/>
        </w:rPr>
        <w:t xml:space="preserve">Nabidkv pod zn. .ťrůmvslové město“ do administrace t. </w:t>
      </w:r>
      <w:r>
        <w:rPr>
          <w:rFonts w:ascii="Arial" w:eastAsia="Arial" w:hAnsi="Arial" w:cs="Arial"/>
          <w:b/>
          <w:bCs/>
          <w:sz w:val="17"/>
          <w:szCs w:val="17"/>
          <w:u w:val="single"/>
        </w:rPr>
        <w:t>i.</w:t>
      </w:r>
    </w:p>
    <w:p w:rsidR="00500724" w:rsidRDefault="00500724">
      <w:pPr>
        <w:spacing w:line="50" w:lineRule="exact"/>
        <w:rPr>
          <w:sz w:val="4"/>
          <w:szCs w:val="4"/>
        </w:rPr>
      </w:pPr>
    </w:p>
    <w:p w:rsidR="00500724" w:rsidRDefault="00500724">
      <w:pPr>
        <w:spacing w:line="14" w:lineRule="exact"/>
        <w:sectPr w:rsidR="00500724">
          <w:footnotePr>
            <w:numFmt w:val="chicago"/>
            <w:numRestart w:val="eachPage"/>
          </w:footnotePr>
          <w:type w:val="continuous"/>
          <w:pgSz w:w="11909" w:h="16834"/>
          <w:pgMar w:top="718" w:right="0" w:bottom="739" w:left="0"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6040"/>
        <w:sectPr w:rsidR="00500724">
          <w:footnotePr>
            <w:numFmt w:val="chicago"/>
            <w:numRestart w:val="eachPage"/>
          </w:footnotePr>
          <w:type w:val="continuous"/>
          <w:pgSz w:w="11909" w:h="16834"/>
          <w:pgMar w:top="718" w:right="1227" w:bottom="739" w:left="36" w:header="0" w:footer="3" w:gutter="0"/>
          <w:cols w:space="720"/>
          <w:noEndnote/>
          <w:docGrid w:linePitch="360"/>
        </w:sectPr>
      </w:pPr>
      <w:bookmarkStart w:id="34" w:name="bookmark33"/>
      <w:r>
        <w:rPr>
          <w:color w:val="FFFFFF"/>
        </w:rPr>
        <w:t>VAÍ VKUS I NÁROKY USPOKOJÍ</w:t>
      </w:r>
      <w:bookmarkEnd w:id="34"/>
    </w:p>
    <w:p w:rsidR="00500724" w:rsidRDefault="00500724">
      <w:pPr>
        <w:spacing w:line="192" w:lineRule="exact"/>
        <w:rPr>
          <w:sz w:val="15"/>
          <w:szCs w:val="15"/>
        </w:rPr>
      </w:pPr>
    </w:p>
    <w:p w:rsidR="00500724" w:rsidRDefault="00500724">
      <w:pPr>
        <w:spacing w:line="14" w:lineRule="exact"/>
        <w:sectPr w:rsidR="00500724">
          <w:footnotePr>
            <w:numFmt w:val="chicago"/>
            <w:numRestart w:val="eachPage"/>
          </w:footnotePr>
          <w:type w:val="continuous"/>
          <w:pgSz w:w="11909" w:h="16834"/>
          <w:pgMar w:top="718" w:right="0" w:bottom="739" w:left="0" w:header="0" w:footer="3" w:gutter="0"/>
          <w:cols w:space="720"/>
          <w:noEndnote/>
          <w:docGrid w:linePitch="360"/>
        </w:sectPr>
      </w:pPr>
    </w:p>
    <w:p w:rsidR="00500724" w:rsidRDefault="00F30FB8">
      <w:pPr>
        <w:spacing w:line="14" w:lineRule="exact"/>
      </w:pPr>
      <w:r>
        <w:rPr>
          <w:noProof/>
        </w:rPr>
        <mc:AlternateContent>
          <mc:Choice Requires="wps">
            <w:drawing>
              <wp:anchor distT="279400" distB="1228090" distL="135890" distR="120650" simplePos="0" relativeHeight="125829394" behindDoc="0" locked="0" layoutInCell="1" allowOverlap="1">
                <wp:simplePos x="0" y="0"/>
                <wp:positionH relativeFrom="page">
                  <wp:posOffset>565150</wp:posOffset>
                </wp:positionH>
                <wp:positionV relativeFrom="paragraph">
                  <wp:posOffset>612775</wp:posOffset>
                </wp:positionV>
                <wp:extent cx="2225040" cy="44831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2225040" cy="448310"/>
                        </a:xfrm>
                        <a:prstGeom prst="rect">
                          <a:avLst/>
                        </a:prstGeom>
                        <a:noFill/>
                      </wps:spPr>
                      <wps:txbx>
                        <w:txbxContent>
                          <w:p w:rsidR="00500724" w:rsidRDefault="00F30FB8">
                            <w:pPr>
                              <w:pStyle w:val="Jin0"/>
                              <w:shd w:val="clear" w:color="auto" w:fill="auto"/>
                              <w:ind w:firstLine="0"/>
                              <w:jc w:val="left"/>
                              <w:rPr>
                                <w:sz w:val="58"/>
                                <w:szCs w:val="58"/>
                              </w:rPr>
                            </w:pPr>
                            <w:r>
                              <w:rPr>
                                <w:rFonts w:ascii="Arial" w:eastAsia="Arial" w:hAnsi="Arial" w:cs="Arial"/>
                                <w:w w:val="80"/>
                                <w:sz w:val="58"/>
                                <w:szCs w:val="58"/>
                              </w:rPr>
                              <w:t>JOSEF KUBIAS</w:t>
                            </w:r>
                          </w:p>
                        </w:txbxContent>
                      </wps:txbx>
                      <wps:bodyPr lIns="0" tIns="0" rIns="0" bIns="0">
                        <a:spAutoFit/>
                      </wps:bodyPr>
                    </wps:wsp>
                  </a:graphicData>
                </a:graphic>
              </wp:anchor>
            </w:drawing>
          </mc:Choice>
          <mc:Fallback>
            <w:pict>
              <v:shape id="_x0000_s1043" type="#_x0000_t202" style="position:absolute;margin-left:44.5pt;margin-top:48.25pt;width:175.19999999999999pt;height:35.299999999999997pt;z-index:-125829359;mso-wrap-distance-left:10.699999999999999pt;mso-wrap-distance-top:22.pt;mso-wrap-distance-right:9.5pt;mso-wrap-distance-bottom:96.700000000000003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58"/>
                          <w:szCs w:val="58"/>
                        </w:rPr>
                      </w:pPr>
                      <w:r>
                        <w:rPr>
                          <w:rFonts w:ascii="Arial" w:eastAsia="Arial" w:hAnsi="Arial" w:cs="Arial"/>
                          <w:color w:val="000000"/>
                          <w:spacing w:val="0"/>
                          <w:w w:val="80"/>
                          <w:position w:val="0"/>
                          <w:sz w:val="58"/>
                          <w:szCs w:val="58"/>
                          <w:shd w:val="clear" w:color="auto" w:fill="auto"/>
                          <w:lang w:val="cs-CZ" w:eastAsia="cs-CZ" w:bidi="cs-CZ"/>
                        </w:rPr>
                        <w:t>JOSEF KUBIAS</w:t>
                      </w:r>
                    </w:p>
                  </w:txbxContent>
                </v:textbox>
                <w10:wrap type="topAndBottom" anchorx="page"/>
              </v:shape>
            </w:pict>
          </mc:Fallback>
        </mc:AlternateContent>
      </w:r>
      <w:r>
        <w:rPr>
          <w:noProof/>
        </w:rPr>
        <mc:AlternateContent>
          <mc:Choice Requires="wps">
            <w:drawing>
              <wp:anchor distT="508000" distB="0" distL="38100" distR="38100" simplePos="0" relativeHeight="125829396" behindDoc="0" locked="0" layoutInCell="1" allowOverlap="1">
                <wp:simplePos x="0" y="0"/>
                <wp:positionH relativeFrom="page">
                  <wp:posOffset>3531235</wp:posOffset>
                </wp:positionH>
                <wp:positionV relativeFrom="paragraph">
                  <wp:posOffset>536575</wp:posOffset>
                </wp:positionV>
                <wp:extent cx="420370" cy="155575"/>
                <wp:effectExtent l="0" t="0" r="0" b="0"/>
                <wp:wrapSquare wrapText="bothSides"/>
                <wp:docPr id="19" name="Shape 19"/>
                <wp:cNvGraphicFramePr/>
                <a:graphic xmlns:a="http://schemas.openxmlformats.org/drawingml/2006/main">
                  <a:graphicData uri="http://schemas.microsoft.com/office/word/2010/wordprocessingShape">
                    <wps:wsp>
                      <wps:cNvSpPr txBox="1"/>
                      <wps:spPr>
                        <a:xfrm>
                          <a:off x="0" y="0"/>
                          <a:ext cx="420370" cy="155575"/>
                        </a:xfrm>
                        <a:prstGeom prst="rect">
                          <a:avLst/>
                        </a:prstGeom>
                        <a:noFill/>
                      </wps:spPr>
                      <wps:txbx>
                        <w:txbxContent>
                          <w:p w:rsidR="00500724" w:rsidRDefault="00F30FB8">
                            <w:pPr>
                              <w:pStyle w:val="Zkladntext20"/>
                              <w:shd w:val="clear" w:color="auto" w:fill="auto"/>
                              <w:spacing w:line="240" w:lineRule="auto"/>
                              <w:ind w:firstLine="0"/>
                              <w:jc w:val="left"/>
                              <w:rPr>
                                <w:sz w:val="18"/>
                                <w:szCs w:val="18"/>
                              </w:rPr>
                            </w:pPr>
                            <w:r>
                              <w:rPr>
                                <w:sz w:val="18"/>
                                <w:szCs w:val="18"/>
                              </w:rPr>
                              <w:t>Telefon</w:t>
                            </w:r>
                          </w:p>
                        </w:txbxContent>
                      </wps:txbx>
                      <wps:bodyPr lIns="0" tIns="0" rIns="0" bIns="0">
                        <a:spAutoFit/>
                      </wps:bodyPr>
                    </wps:wsp>
                  </a:graphicData>
                </a:graphic>
              </wp:anchor>
            </w:drawing>
          </mc:Choice>
          <mc:Fallback>
            <w:pict>
              <v:shape id="_x0000_s1045" type="#_x0000_t202" style="position:absolute;margin-left:278.05000000000001pt;margin-top:42.25pt;width:33.100000000000001pt;height:12.25pt;z-index:-125829357;mso-wrap-distance-left:3.pt;mso-wrap-distance-top:40.pt;mso-wrap-distance-right:3.pt;mso-position-horizontal-relative:page"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cs-CZ" w:eastAsia="cs-CZ" w:bidi="cs-CZ"/>
                        </w:rPr>
                        <w:t>Telefon</w:t>
                      </w:r>
                    </w:p>
                  </w:txbxContent>
                </v:textbox>
                <w10:wrap type="square" anchorx="page"/>
              </v:shape>
            </w:pict>
          </mc:Fallback>
        </mc:AlternateContent>
      </w:r>
    </w:p>
    <w:p w:rsidR="00500724" w:rsidRDefault="00F30FB8">
      <w:pPr>
        <w:pStyle w:val="Jin0"/>
        <w:pBdr>
          <w:bottom w:val="single" w:sz="4" w:space="0" w:color="auto"/>
        </w:pBdr>
        <w:shd w:val="clear" w:color="auto" w:fill="auto"/>
        <w:ind w:left="380" w:firstLine="0"/>
        <w:jc w:val="center"/>
        <w:rPr>
          <w:sz w:val="30"/>
          <w:szCs w:val="30"/>
        </w:rPr>
      </w:pPr>
      <w:r>
        <w:rPr>
          <w:rFonts w:ascii="Arial" w:eastAsia="Arial" w:hAnsi="Arial" w:cs="Arial"/>
          <w:sz w:val="26"/>
          <w:szCs w:val="26"/>
        </w:rPr>
        <w:t xml:space="preserve">Čtěte </w:t>
      </w:r>
      <w:r>
        <w:rPr>
          <w:i/>
          <w:iCs/>
          <w:sz w:val="30"/>
          <w:szCs w:val="30"/>
        </w:rPr>
        <w:t>LIDOVÉ NOVINY</w:t>
      </w:r>
    </w:p>
    <w:p w:rsidR="00500724" w:rsidRDefault="00F30FB8">
      <w:pPr>
        <w:spacing w:line="1" w:lineRule="exact"/>
        <w:rPr>
          <w:sz w:val="2"/>
          <w:szCs w:val="2"/>
        </w:rPr>
      </w:pPr>
      <w:r>
        <w:br w:type="column"/>
      </w:r>
    </w:p>
    <w:p w:rsidR="00500724" w:rsidRDefault="00F30FB8">
      <w:pPr>
        <w:pStyle w:val="Nadpis120"/>
        <w:shd w:val="clear" w:color="auto" w:fill="auto"/>
      </w:pPr>
      <w:bookmarkStart w:id="35" w:name="bookmark34"/>
      <w:r>
        <w:rPr>
          <w:rFonts w:ascii="Arial" w:eastAsia="Arial" w:hAnsi="Arial" w:cs="Arial"/>
        </w:rPr>
        <w:t>KRAUS&amp;SPOl.</w:t>
      </w:r>
      <w:bookmarkEnd w:id="35"/>
    </w:p>
    <w:p w:rsidR="00500724" w:rsidRDefault="00F30FB8">
      <w:pPr>
        <w:pStyle w:val="Nadpis120"/>
        <w:shd w:val="clear" w:color="auto" w:fill="auto"/>
        <w:spacing w:line="230" w:lineRule="auto"/>
      </w:pPr>
      <w:bookmarkStart w:id="36" w:name="bookmark35"/>
      <w:r>
        <w:t>krejčí pro pány a dámy</w:t>
      </w:r>
      <w:bookmarkEnd w:id="36"/>
    </w:p>
    <w:p w:rsidR="00500724" w:rsidRDefault="00F30FB8">
      <w:pPr>
        <w:pStyle w:val="Nadpis120"/>
        <w:shd w:val="clear" w:color="auto" w:fill="auto"/>
        <w:ind w:left="2940"/>
      </w:pPr>
      <w:bookmarkStart w:id="37" w:name="bookmark36"/>
      <w:r>
        <w:t>PRAHA IL,</w:t>
      </w:r>
      <w:bookmarkEnd w:id="37"/>
    </w:p>
    <w:p w:rsidR="00500724" w:rsidRDefault="00F30FB8">
      <w:pPr>
        <w:pStyle w:val="Zkladntext20"/>
        <w:shd w:val="clear" w:color="auto" w:fill="auto"/>
        <w:tabs>
          <w:tab w:val="left" w:pos="2976"/>
        </w:tabs>
        <w:spacing w:after="260" w:line="221" w:lineRule="auto"/>
        <w:ind w:firstLine="0"/>
        <w:rPr>
          <w:sz w:val="18"/>
          <w:szCs w:val="18"/>
        </w:rPr>
      </w:pPr>
      <w:r>
        <w:rPr>
          <w:sz w:val="18"/>
          <w:szCs w:val="18"/>
        </w:rPr>
        <w:t>309-69</w:t>
      </w:r>
      <w:r>
        <w:rPr>
          <w:sz w:val="18"/>
          <w:szCs w:val="18"/>
        </w:rPr>
        <w:tab/>
        <w:t>Panská ul. 10</w:t>
      </w:r>
    </w:p>
    <w:p w:rsidR="00500724" w:rsidRDefault="00F30FB8">
      <w:pPr>
        <w:pStyle w:val="Jin0"/>
        <w:pBdr>
          <w:top w:val="single" w:sz="4" w:space="0" w:color="auto"/>
        </w:pBdr>
        <w:shd w:val="clear" w:color="auto" w:fill="auto"/>
        <w:ind w:left="1260" w:firstLine="0"/>
        <w:jc w:val="left"/>
        <w:rPr>
          <w:sz w:val="13"/>
          <w:szCs w:val="13"/>
        </w:rPr>
      </w:pPr>
      <w:r>
        <w:rPr>
          <w:b/>
          <w:bCs/>
          <w:sz w:val="13"/>
          <w:szCs w:val="13"/>
        </w:rPr>
        <w:t>O6US PRO S¥SS« NÁROKY</w:t>
      </w:r>
    </w:p>
    <w:p w:rsidR="00500724" w:rsidRDefault="00F30FB8">
      <w:pPr>
        <w:pStyle w:val="Jin0"/>
        <w:shd w:val="clear" w:color="auto" w:fill="auto"/>
        <w:spacing w:line="192" w:lineRule="auto"/>
        <w:ind w:left="260"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GRAUHANM</w:t>
      </w:r>
    </w:p>
    <w:p w:rsidR="00500724" w:rsidRDefault="00F30FB8">
      <w:pPr>
        <w:pStyle w:val="Zkladntext20"/>
        <w:pBdr>
          <w:bottom w:val="single" w:sz="4" w:space="0" w:color="auto"/>
        </w:pBdr>
        <w:shd w:val="clear" w:color="auto" w:fill="auto"/>
        <w:tabs>
          <w:tab w:val="left" w:pos="3859"/>
        </w:tabs>
        <w:spacing w:after="380" w:line="240" w:lineRule="auto"/>
        <w:ind w:firstLine="0"/>
        <w:rPr>
          <w:sz w:val="19"/>
          <w:szCs w:val="19"/>
        </w:rPr>
      </w:pPr>
      <w:r>
        <w:rPr>
          <w:sz w:val="18"/>
          <w:szCs w:val="18"/>
        </w:rPr>
        <w:t>PRAHA I., PŘÍKOPY 35, schodiště A.</w:t>
      </w:r>
      <w:r>
        <w:rPr>
          <w:sz w:val="18"/>
          <w:szCs w:val="18"/>
        </w:rPr>
        <w:tab/>
      </w:r>
      <w:r>
        <w:rPr>
          <w:b/>
          <w:bCs/>
          <w:sz w:val="19"/>
          <w:szCs w:val="19"/>
        </w:rPr>
        <w:t>Tel. 315-28.</w:t>
      </w:r>
    </w:p>
    <w:p w:rsidR="00500724" w:rsidRDefault="00F30FB8">
      <w:pPr>
        <w:pStyle w:val="Zkladntext30"/>
        <w:shd w:val="clear" w:color="auto" w:fill="auto"/>
        <w:spacing w:after="0" w:line="252" w:lineRule="auto"/>
        <w:ind w:left="920" w:right="1340" w:firstLine="0"/>
        <w:jc w:val="left"/>
        <w:rPr>
          <w:sz w:val="20"/>
          <w:szCs w:val="20"/>
        </w:rPr>
        <w:sectPr w:rsidR="00500724">
          <w:footnotePr>
            <w:numFmt w:val="chicago"/>
            <w:numRestart w:val="eachPage"/>
          </w:footnotePr>
          <w:type w:val="continuous"/>
          <w:pgSz w:w="11909" w:h="16834"/>
          <w:pgMar w:top="718" w:right="1227" w:bottom="739" w:left="257" w:header="0" w:footer="3" w:gutter="0"/>
          <w:cols w:num="2" w:space="182"/>
          <w:noEndnote/>
          <w:docGrid w:linePitch="360"/>
        </w:sectPr>
      </w:pPr>
      <w:r>
        <w:rPr>
          <w:sz w:val="20"/>
          <w:szCs w:val="20"/>
        </w:rPr>
        <w:t>Vyhráli jsme to vždycky — vyhrajem to zase — jakostí! Karo-Franckovka a Perola jsou tak dobré kávoviny, že je</w:t>
      </w:r>
      <w:r>
        <w:rPr>
          <w:sz w:val="20"/>
          <w:szCs w:val="20"/>
        </w:rPr>
        <w:t xml:space="preserve"> nelze předstihnout prázdnými frázemi.</w:t>
      </w:r>
    </w:p>
    <w:p w:rsidR="00500724" w:rsidRDefault="00500724">
      <w:pPr>
        <w:spacing w:line="240" w:lineRule="exact"/>
        <w:rPr>
          <w:sz w:val="19"/>
          <w:szCs w:val="19"/>
        </w:rPr>
      </w:pPr>
    </w:p>
    <w:p w:rsidR="00500724" w:rsidRDefault="00500724">
      <w:pPr>
        <w:spacing w:before="36" w:after="36"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709" w:right="0" w:bottom="749" w:left="0" w:header="0" w:footer="3" w:gutter="0"/>
          <w:cols w:space="720"/>
          <w:noEndnote/>
          <w:docGrid w:linePitch="360"/>
        </w:sectPr>
      </w:pPr>
    </w:p>
    <w:p w:rsidR="00500724" w:rsidRDefault="00F30FB8">
      <w:pPr>
        <w:spacing w:line="14" w:lineRule="exact"/>
      </w:pPr>
      <w:r>
        <w:rPr>
          <w:noProof/>
        </w:rPr>
        <mc:AlternateContent>
          <mc:Choice Requires="wps">
            <w:drawing>
              <wp:anchor distT="0" distB="469265" distL="165100" distR="177165" simplePos="0" relativeHeight="125829398" behindDoc="0" locked="0" layoutInCell="1" allowOverlap="1">
                <wp:simplePos x="0" y="0"/>
                <wp:positionH relativeFrom="page">
                  <wp:posOffset>80645</wp:posOffset>
                </wp:positionH>
                <wp:positionV relativeFrom="paragraph">
                  <wp:posOffset>1127760</wp:posOffset>
                </wp:positionV>
                <wp:extent cx="2764790" cy="758825"/>
                <wp:effectExtent l="0" t="0" r="0" b="0"/>
                <wp:wrapSquare wrapText="right"/>
                <wp:docPr id="21" name="Shape 21"/>
                <wp:cNvGraphicFramePr/>
                <a:graphic xmlns:a="http://schemas.openxmlformats.org/drawingml/2006/main">
                  <a:graphicData uri="http://schemas.microsoft.com/office/word/2010/wordprocessingShape">
                    <wps:wsp>
                      <wps:cNvSpPr txBox="1"/>
                      <wps:spPr>
                        <a:xfrm>
                          <a:off x="0" y="0"/>
                          <a:ext cx="2764790" cy="758825"/>
                        </a:xfrm>
                        <a:prstGeom prst="rect">
                          <a:avLst/>
                        </a:prstGeom>
                        <a:noFill/>
                      </wps:spPr>
                      <wps:txbx>
                        <w:txbxContent>
                          <w:p w:rsidR="00500724" w:rsidRDefault="00F30FB8">
                            <w:pPr>
                              <w:pStyle w:val="Jin0"/>
                              <w:shd w:val="clear" w:color="auto" w:fill="auto"/>
                              <w:ind w:firstLine="0"/>
                              <w:jc w:val="left"/>
                              <w:rPr>
                                <w:sz w:val="90"/>
                                <w:szCs w:val="90"/>
                              </w:rPr>
                            </w:pPr>
                            <w:r>
                              <w:rPr>
                                <w:sz w:val="90"/>
                                <w:szCs w:val="90"/>
                              </w:rPr>
                              <w:t>PfftrmnosO</w:t>
                            </w:r>
                          </w:p>
                        </w:txbxContent>
                      </wps:txbx>
                      <wps:bodyPr lIns="0" tIns="0" rIns="0" bIns="0">
                        <a:spAutoFit/>
                      </wps:bodyPr>
                    </wps:wsp>
                  </a:graphicData>
                </a:graphic>
              </wp:anchor>
            </w:drawing>
          </mc:Choice>
          <mc:Fallback>
            <w:pict>
              <v:shape id="_x0000_s1047" type="#_x0000_t202" style="position:absolute;margin-left:6.3499999999999996pt;margin-top:88.799999999999997pt;width:217.69999999999999pt;height:59.75pt;z-index:-125829355;mso-wrap-distance-left:13.pt;mso-wrap-distance-right:13.949999999999999pt;mso-wrap-distance-bottom:36.950000000000003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90"/>
                          <w:szCs w:val="90"/>
                        </w:rPr>
                      </w:pPr>
                      <w:r>
                        <w:rPr>
                          <w:color w:val="000000"/>
                          <w:spacing w:val="0"/>
                          <w:w w:val="100"/>
                          <w:position w:val="0"/>
                          <w:sz w:val="90"/>
                          <w:szCs w:val="90"/>
                          <w:shd w:val="clear" w:color="auto" w:fill="auto"/>
                          <w:lang w:val="cs-CZ" w:eastAsia="cs-CZ" w:bidi="cs-CZ"/>
                        </w:rPr>
                        <w:t>PfftrmnosO</w:t>
                      </w:r>
                    </w:p>
                  </w:txbxContent>
                </v:textbox>
                <w10:wrap type="square" side="right" anchorx="page"/>
              </v:shape>
            </w:pict>
          </mc:Fallback>
        </mc:AlternateContent>
      </w:r>
      <w:r>
        <w:rPr>
          <w:noProof/>
        </w:rPr>
        <mc:AlternateContent>
          <mc:Choice Requires="wps">
            <w:drawing>
              <wp:anchor distT="868680" distB="0" distL="210820" distR="165100" simplePos="0" relativeHeight="125829400" behindDoc="0" locked="0" layoutInCell="1" allowOverlap="1">
                <wp:simplePos x="0" y="0"/>
                <wp:positionH relativeFrom="page">
                  <wp:posOffset>126365</wp:posOffset>
                </wp:positionH>
                <wp:positionV relativeFrom="paragraph">
                  <wp:posOffset>1996440</wp:posOffset>
                </wp:positionV>
                <wp:extent cx="2731135" cy="359410"/>
                <wp:effectExtent l="0" t="0" r="0" b="0"/>
                <wp:wrapSquare wrapText="right"/>
                <wp:docPr id="23" name="Shape 23"/>
                <wp:cNvGraphicFramePr/>
                <a:graphic xmlns:a="http://schemas.openxmlformats.org/drawingml/2006/main">
                  <a:graphicData uri="http://schemas.microsoft.com/office/word/2010/wordprocessingShape">
                    <wps:wsp>
                      <wps:cNvSpPr txBox="1"/>
                      <wps:spPr>
                        <a:xfrm>
                          <a:off x="0" y="0"/>
                          <a:ext cx="2731135" cy="359410"/>
                        </a:xfrm>
                        <a:prstGeom prst="rect">
                          <a:avLst/>
                        </a:prstGeom>
                        <a:noFill/>
                      </wps:spPr>
                      <wps:txbx>
                        <w:txbxContent>
                          <w:p w:rsidR="00500724" w:rsidRDefault="00F30FB8">
                            <w:pPr>
                              <w:pStyle w:val="Jin0"/>
                              <w:shd w:val="clear" w:color="auto" w:fill="auto"/>
                              <w:ind w:firstLine="0"/>
                              <w:jc w:val="left"/>
                              <w:rPr>
                                <w:sz w:val="46"/>
                                <w:szCs w:val="46"/>
                              </w:rPr>
                            </w:pPr>
                            <w:r>
                              <w:rPr>
                                <w:sz w:val="46"/>
                                <w:szCs w:val="46"/>
                              </w:rPr>
                              <w:t>řídí Ferd. Peroutka</w:t>
                            </w:r>
                          </w:p>
                        </w:txbxContent>
                      </wps:txbx>
                      <wps:bodyPr lIns="0" tIns="0" rIns="0" bIns="0">
                        <a:spAutoFit/>
                      </wps:bodyPr>
                    </wps:wsp>
                  </a:graphicData>
                </a:graphic>
              </wp:anchor>
            </w:drawing>
          </mc:Choice>
          <mc:Fallback>
            <w:pict>
              <v:shape id="_x0000_s1049" type="#_x0000_t202" style="position:absolute;margin-left:9.9499999999999993pt;margin-top:157.19999999999999pt;width:215.05000000000001pt;height:28.300000000000001pt;z-index:-125829353;mso-wrap-distance-left:16.600000000000001pt;mso-wrap-distance-top:68.400000000000006pt;mso-wrap-distance-right:13.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20"/>
        <w:shd w:val="clear" w:color="auto" w:fill="auto"/>
        <w:spacing w:after="340" w:line="240" w:lineRule="auto"/>
        <w:ind w:left="580" w:right="140" w:hanging="580"/>
        <w:rPr>
          <w:sz w:val="19"/>
          <w:szCs w:val="19"/>
        </w:rPr>
      </w:pPr>
      <w:r>
        <w:rPr>
          <w:b/>
          <w:bCs/>
          <w:sz w:val="20"/>
          <w:szCs w:val="20"/>
        </w:rPr>
        <w:t xml:space="preserve">OBSAH PŘÍTOMNOSTI č. </w:t>
      </w:r>
      <w:r>
        <w:rPr>
          <w:sz w:val="18"/>
          <w:szCs w:val="18"/>
        </w:rPr>
        <w:t xml:space="preserve">1: </w:t>
      </w:r>
      <w:r>
        <w:rPr>
          <w:b/>
          <w:bCs/>
          <w:sz w:val="19"/>
          <w:szCs w:val="19"/>
        </w:rPr>
        <w:t xml:space="preserve">f KAREL ČAPEK: Ješitnost niěí </w:t>
      </w:r>
      <w:r>
        <w:rPr>
          <w:sz w:val="16"/>
          <w:szCs w:val="16"/>
        </w:rPr>
        <w:t xml:space="preserve">umělce. — </w:t>
      </w:r>
      <w:r>
        <w:rPr>
          <w:b/>
          <w:bCs/>
          <w:sz w:val="19"/>
          <w:szCs w:val="19"/>
        </w:rPr>
        <w:t xml:space="preserve">F. PEROUTKA: Kdyby byla vypukla válka. — HENRY DE </w:t>
      </w:r>
      <w:r>
        <w:rPr>
          <w:b/>
          <w:bCs/>
          <w:sz w:val="19"/>
          <w:szCs w:val="19"/>
          <w:lang w:val="en-US" w:eastAsia="en-US" w:bidi="en-US"/>
        </w:rPr>
        <w:t xml:space="preserve">MOTHERLAND: </w:t>
      </w:r>
      <w:r>
        <w:rPr>
          <w:b/>
          <w:bCs/>
          <w:sz w:val="19"/>
          <w:szCs w:val="19"/>
        </w:rPr>
        <w:t xml:space="preserve">Proč Francie tak jednala. — NORMAN </w:t>
      </w:r>
      <w:r>
        <w:rPr>
          <w:b/>
          <w:bCs/>
          <w:sz w:val="19"/>
          <w:szCs w:val="19"/>
          <w:lang w:val="en-US" w:eastAsia="en-US" w:bidi="en-US"/>
        </w:rPr>
        <w:t xml:space="preserve">ANGELL: </w:t>
      </w:r>
      <w:r>
        <w:rPr>
          <w:b/>
          <w:bCs/>
          <w:sz w:val="19"/>
          <w:szCs w:val="19"/>
        </w:rPr>
        <w:t xml:space="preserve">Anglie se vzdává? — KAREL POLÁČEK: Věk rychlosti — a o jiném. — MIIENA JESENSKÁ: Nouze na běžícím pásu. — KORNEL SYNEK: Věcně o Češích na Slovensku. — Tradice Karla Čapka. — K čemu potřebujeme takových svědectví. </w:t>
      </w:r>
      <w:r>
        <w:rPr>
          <w:b/>
          <w:bCs/>
          <w:sz w:val="19"/>
          <w:szCs w:val="19"/>
        </w:rPr>
        <w:t>— Krise tiskáren. — Platí stát dluhy? — Pohřeb K. Čapka. — Z dopisů nejnovějších emigrantů. — Nespokojený čtenář. — Proč píšeme název republiky dvojím způsobem? — Nenašli se...</w:t>
      </w:r>
    </w:p>
    <w:p w:rsidR="00500724" w:rsidRDefault="00F30FB8">
      <w:pPr>
        <w:pStyle w:val="Nadpis80"/>
        <w:keepNext/>
        <w:keepLines/>
        <w:shd w:val="clear" w:color="auto" w:fill="auto"/>
        <w:spacing w:after="120"/>
      </w:pPr>
      <w:bookmarkStart w:id="38" w:name="bookmark37"/>
      <w:r>
        <w:t>n e z á v i s I ý týdeník</w:t>
      </w:r>
      <w:bookmarkEnd w:id="38"/>
    </w:p>
    <w:p w:rsidR="00500724" w:rsidRDefault="00F30FB8">
      <w:pPr>
        <w:pStyle w:val="Zkladntext50"/>
        <w:shd w:val="clear" w:color="auto" w:fill="auto"/>
        <w:spacing w:line="240" w:lineRule="auto"/>
        <w:ind w:left="80"/>
        <w:jc w:val="center"/>
      </w:pPr>
      <w:r>
        <w:t>vychází ve středu v nakladatelství</w:t>
      </w:r>
    </w:p>
    <w:p w:rsidR="00500724" w:rsidRDefault="00F30FB8">
      <w:pPr>
        <w:pStyle w:val="Zkladntext50"/>
        <w:shd w:val="clear" w:color="auto" w:fill="auto"/>
        <w:spacing w:line="240" w:lineRule="auto"/>
        <w:ind w:left="80"/>
        <w:jc w:val="center"/>
      </w:pPr>
      <w:r>
        <w:t xml:space="preserve">FR BOROVÝ V </w:t>
      </w:r>
      <w:r>
        <w:rPr>
          <w:lang w:val="en-US" w:eastAsia="en-US" w:bidi="en-US"/>
        </w:rPr>
        <w:t xml:space="preserve">PR </w:t>
      </w:r>
      <w:r>
        <w:t>AZEI., NÁRODNÍ TŘÍDA 11.</w:t>
      </w:r>
    </w:p>
    <w:p w:rsidR="00500724" w:rsidRDefault="00F30FB8">
      <w:pPr>
        <w:pStyle w:val="Zkladntext40"/>
        <w:shd w:val="clear" w:color="auto" w:fill="auto"/>
        <w:spacing w:line="180" w:lineRule="auto"/>
        <w:ind w:right="140"/>
      </w:pPr>
      <w:r>
        <w:t>1'elefon Cisto 390-51 až 54 • tJčet poštovní spořitelny číslo 35.622 • Nevy</w:t>
      </w:r>
      <w:r>
        <w:softHyphen/>
        <w:t xml:space="preserve">žádané rukopisy se nevracej) • Předplatné na rok Kč 100.—. na půl roku Kč 50 —. na čtvrt roku Kč 25.—. lednotlivá čísla Kč 2 — </w:t>
      </w:r>
      <w:r>
        <w:rPr>
          <w:lang w:val="en-US" w:eastAsia="en-US" w:bidi="en-US"/>
        </w:rPr>
        <w:t xml:space="preserve">Pour la </w:t>
      </w:r>
      <w:r>
        <w:t>Fran</w:t>
      </w:r>
      <w:r>
        <w:softHyphen/>
        <w:t xml:space="preserve">ce et ses </w:t>
      </w:r>
      <w:r>
        <w:rPr>
          <w:lang w:val="en-US" w:eastAsia="en-US" w:bidi="en-US"/>
        </w:rPr>
        <w:t>Colon</w:t>
      </w:r>
      <w:r>
        <w:rPr>
          <w:lang w:val="en-US" w:eastAsia="en-US" w:bidi="en-US"/>
        </w:rPr>
        <w:t xml:space="preserve">ies </w:t>
      </w:r>
      <w:r>
        <w:t>Frs 2.50 • Dohlédací pošt úřad Brno II • Novin sazba povolena v Brné řed pošt a telegrafů pod čís. 119.268/IIIa. • Odpovědný redaktor J Dlabač</w:t>
      </w:r>
    </w:p>
    <w:p w:rsidR="00500724" w:rsidRDefault="00F30FB8">
      <w:pPr>
        <w:pStyle w:val="Zkladntext50"/>
        <w:shd w:val="clear" w:color="auto" w:fill="auto"/>
        <w:spacing w:after="100" w:line="240" w:lineRule="auto"/>
        <w:ind w:left="5700"/>
        <w:jc w:val="left"/>
      </w:pPr>
      <w:r>
        <w:t>TISKEM LIDOVĚ TISKÁRNY, BRNO, ČESKA 6.</w:t>
      </w:r>
      <w:r>
        <w:br w:type="page"/>
      </w:r>
    </w:p>
    <w:p w:rsidR="00500724" w:rsidRDefault="00F30FB8">
      <w:pPr>
        <w:pStyle w:val="Jin0"/>
        <w:pBdr>
          <w:bottom w:val="single" w:sz="4" w:space="0" w:color="auto"/>
        </w:pBdr>
        <w:shd w:val="clear" w:color="auto" w:fill="auto"/>
        <w:ind w:left="120" w:firstLine="0"/>
        <w:jc w:val="center"/>
        <w:rPr>
          <w:sz w:val="104"/>
          <w:szCs w:val="104"/>
        </w:rPr>
        <w:sectPr w:rsidR="00500724">
          <w:footnotePr>
            <w:numFmt w:val="chicago"/>
            <w:numRestart w:val="eachPage"/>
          </w:footnotePr>
          <w:type w:val="continuous"/>
          <w:pgSz w:w="11909" w:h="16834"/>
          <w:pgMar w:top="709" w:right="943" w:bottom="749" w:left="319" w:header="0" w:footer="3" w:gutter="0"/>
          <w:cols w:space="720"/>
          <w:noEndnote/>
          <w:docGrid w:linePitch="360"/>
        </w:sectPr>
      </w:pPr>
      <w:r>
        <w:rPr>
          <w:sz w:val="104"/>
          <w:szCs w:val="104"/>
        </w:rPr>
        <w:t>PfítomnosO</w:t>
      </w:r>
    </w:p>
    <w:p w:rsidR="00500724" w:rsidRDefault="00500724">
      <w:pPr>
        <w:spacing w:after="634" w:line="14" w:lineRule="exact"/>
      </w:pPr>
    </w:p>
    <w:p w:rsidR="00500724" w:rsidRDefault="00500724">
      <w:pPr>
        <w:spacing w:line="14" w:lineRule="exact"/>
        <w:sectPr w:rsidR="00500724">
          <w:footnotePr>
            <w:numFmt w:val="chicago"/>
            <w:numRestart w:val="eachPage"/>
          </w:footnotePr>
          <w:type w:val="continuous"/>
          <w:pgSz w:w="11909" w:h="16834"/>
          <w:pgMar w:top="1093" w:right="739" w:bottom="1037" w:left="638" w:header="0" w:footer="3" w:gutter="0"/>
          <w:cols w:space="720"/>
          <w:noEndnote/>
          <w:docGrid w:linePitch="360"/>
        </w:sectPr>
      </w:pPr>
    </w:p>
    <w:p w:rsidR="00500724" w:rsidRDefault="00F30FB8">
      <w:pPr>
        <w:pStyle w:val="Nadpis100"/>
        <w:shd w:val="clear" w:color="auto" w:fill="auto"/>
        <w:spacing w:after="60"/>
      </w:pPr>
      <w:bookmarkStart w:id="39" w:name="bookmark38"/>
      <w:r>
        <w:t>Člen Strany práce o Straně</w:t>
      </w:r>
      <w:r>
        <w:br/>
        <w:t>národní jednoty</w:t>
      </w:r>
      <w:bookmarkEnd w:id="39"/>
    </w:p>
    <w:p w:rsidR="00500724" w:rsidRDefault="00F30FB8">
      <w:pPr>
        <w:pStyle w:val="Zkladntext20"/>
        <w:shd w:val="clear" w:color="auto" w:fill="auto"/>
        <w:spacing w:after="60" w:line="218" w:lineRule="auto"/>
        <w:ind w:left="1380" w:firstLine="0"/>
        <w:jc w:val="left"/>
        <w:rPr>
          <w:sz w:val="20"/>
          <w:szCs w:val="20"/>
        </w:rPr>
      </w:pPr>
      <w:r>
        <w:rPr>
          <w:sz w:val="20"/>
          <w:szCs w:val="20"/>
        </w:rPr>
        <w:t>Vážený pane redaktore,</w:t>
      </w:r>
    </w:p>
    <w:p w:rsidR="00500724" w:rsidRDefault="00F30FB8">
      <w:pPr>
        <w:pStyle w:val="Zkladntext20"/>
        <w:shd w:val="clear" w:color="auto" w:fill="auto"/>
        <w:spacing w:line="178" w:lineRule="auto"/>
        <w:ind w:left="760" w:firstLine="20"/>
        <w:rPr>
          <w:sz w:val="20"/>
          <w:szCs w:val="20"/>
        </w:rPr>
      </w:pPr>
      <w:r>
        <w:rPr>
          <w:sz w:val="20"/>
          <w:szCs w:val="20"/>
        </w:rPr>
        <w:t xml:space="preserve">není sporu o tom, že na konsolidovanosti strany Národní jednoty závisí další naše vnitropolitické osudy. Na ní je také do jisté míry závislé poslání Národní strany práce, která má vůli být </w:t>
      </w:r>
      <w:r>
        <w:rPr>
          <w:sz w:val="20"/>
          <w:szCs w:val="20"/>
        </w:rPr>
        <w:t>stranou konstruktivní, ale mohla by se tlakem zdola, vy</w:t>
      </w:r>
      <w:r>
        <w:rPr>
          <w:sz w:val="20"/>
          <w:szCs w:val="20"/>
        </w:rPr>
        <w:softHyphen/>
        <w:t>volaným nesprávným agitačním postupem Národní jednoty, stát střediskem nespokojených a třeba i nesmiřitelně zaujatých živlů.</w:t>
      </w:r>
    </w:p>
    <w:p w:rsidR="00500724" w:rsidRDefault="00F30FB8">
      <w:pPr>
        <w:pStyle w:val="Zkladntext20"/>
        <w:shd w:val="clear" w:color="auto" w:fill="auto"/>
        <w:spacing w:line="178" w:lineRule="auto"/>
        <w:ind w:left="760" w:firstLine="200"/>
        <w:rPr>
          <w:sz w:val="20"/>
          <w:szCs w:val="20"/>
        </w:rPr>
      </w:pPr>
      <w:r>
        <w:rPr>
          <w:sz w:val="20"/>
          <w:szCs w:val="20"/>
        </w:rPr>
        <w:t>Patřím ke Straně práce, která má jistě své dobré a časem i důležitosti nabý</w:t>
      </w:r>
      <w:r>
        <w:rPr>
          <w:sz w:val="20"/>
          <w:szCs w:val="20"/>
        </w:rPr>
        <w:t>vající poslání. Ale v zájmu státu mám zájem na dobrém vývoji Ná</w:t>
      </w:r>
      <w:r>
        <w:rPr>
          <w:sz w:val="20"/>
          <w:szCs w:val="20"/>
        </w:rPr>
        <w:softHyphen/>
        <w:t>rodní jednoty. Proto jsem napsal přiložený článek a prosím za jeho otištění. Nemohu jej — z příčin, které, tuším, nejsou nejasný — podepsat. Nemohu se k němu ani otevřeně hlásit. Ale je psán b</w:t>
      </w:r>
      <w:r>
        <w:rPr>
          <w:sz w:val="20"/>
          <w:szCs w:val="20"/>
        </w:rPr>
        <w:t>ez záludnosti a bez postranních úmyslů.</w:t>
      </w:r>
    </w:p>
    <w:p w:rsidR="00500724" w:rsidRDefault="00F30FB8">
      <w:pPr>
        <w:pStyle w:val="Zkladntext20"/>
        <w:shd w:val="clear" w:color="auto" w:fill="auto"/>
        <w:ind w:firstLine="260"/>
      </w:pPr>
      <w:r>
        <w:t>Staré politické strany zmizely. Dnes máme v histo</w:t>
      </w:r>
      <w:r>
        <w:softHyphen/>
        <w:t>rických zemích jen strany dvě: Národní jednotu a Ná</w:t>
      </w:r>
      <w:r>
        <w:softHyphen/>
        <w:t>rodní stranu práce. Na síle a konsolidovanosti těchto dvou stran závisí další klidný vývoj vnitropolitických poměr</w:t>
      </w:r>
      <w:r>
        <w:t>ů. Jejich úkolem je, aby cestou vývoje pře</w:t>
      </w:r>
      <w:r>
        <w:softHyphen/>
        <w:t>vedly národ na jinou základnu politického života. Nemá být už vlády stran. Vláda je určena k tomu, aby vládla. Strana, z níž vyjde předseda vlády, má podle nového pojetí skončit svou úlohu jeho dosaze</w:t>
      </w:r>
      <w:r>
        <w:softHyphen/>
        <w:t xml:space="preserve">ním; pak je </w:t>
      </w:r>
      <w:r>
        <w:t>na něm, aby, vybaven dostatečnou mocí, prováděl program, který si dal; může a zajisté má naslouchat poradním hlasům politických činitelů; ale rozhodovat bude v dohodě s vládou sám; dovolí-li to poměry, teprve ve volbách spolehlivě zjistí, zda praco</w:t>
      </w:r>
      <w:r>
        <w:softHyphen/>
        <w:t>val dob</w:t>
      </w:r>
      <w:r>
        <w:t>ře nebo méně dobře.</w:t>
      </w:r>
    </w:p>
    <w:p w:rsidR="00500724" w:rsidRDefault="00F30FB8">
      <w:pPr>
        <w:pStyle w:val="Zkladntext20"/>
        <w:shd w:val="clear" w:color="auto" w:fill="auto"/>
        <w:ind w:firstLine="260"/>
      </w:pPr>
      <w:r>
        <w:t>Nikdo nečeká zázraků. Nová vláda má velmi těžkou situaci. Může se spoléhat jen na osvědčený realistický smysl českého národa, který bude stát za vládou, jež spravedlivě rozvrhne břemena a po zásluze bude měřit těm, kdo opravdu dovedou p</w:t>
      </w:r>
      <w:r>
        <w:t>racovat.</w:t>
      </w:r>
    </w:p>
    <w:p w:rsidR="00500724" w:rsidRDefault="00F30FB8">
      <w:pPr>
        <w:pStyle w:val="Zkladntext20"/>
        <w:shd w:val="clear" w:color="auto" w:fill="auto"/>
        <w:ind w:firstLine="260"/>
      </w:pPr>
      <w:r>
        <w:t>Ovšem nezastírejme si jedno: lidé jsou podrážděni, nemají jistoty, touží po uklidňujícím slově. Naslou</w:t>
      </w:r>
      <w:r>
        <w:softHyphen/>
        <w:t>chají s větší oblibou těm, kdož mluví neurčitě, než těm, kdo říkají opatrně uváženou pravdu. Proto dnes klesá důvěra v noviny a proto neustává š</w:t>
      </w:r>
      <w:r>
        <w:t>eptaná pro</w:t>
      </w:r>
      <w:r>
        <w:softHyphen/>
        <w:t>paganda, která — jak věříme — není šířena plánovitě, ale má živnou půdu tam, kde není propagandy jiné, schopnější a pružnější.</w:t>
      </w:r>
    </w:p>
    <w:p w:rsidR="00500724" w:rsidRDefault="00F30FB8">
      <w:pPr>
        <w:pStyle w:val="Zkladntext20"/>
        <w:shd w:val="clear" w:color="auto" w:fill="auto"/>
        <w:ind w:firstLine="260"/>
      </w:pPr>
      <w:r>
        <w:t>Největší nevýhodou nových stran není, že do nich namnoze přešli i ti, kdo stáli v popředí stran starých. Tito lidé moh</w:t>
      </w:r>
      <w:r>
        <w:t>ou představovat kontinuitu, mohou při dobré vůli dobrá zařízení stará převést do nových poměrů. Slabinou nového stranictví však je, že pře</w:t>
      </w:r>
      <w:r>
        <w:softHyphen/>
        <w:t>vzalo staré metody — a především propagační způ</w:t>
      </w:r>
      <w:r>
        <w:softHyphen/>
        <w:t>soby stran starých.</w:t>
      </w:r>
    </w:p>
    <w:p w:rsidR="00500724" w:rsidRDefault="00F30FB8">
      <w:pPr>
        <w:pStyle w:val="Zkladntext20"/>
        <w:shd w:val="clear" w:color="auto" w:fill="auto"/>
        <w:ind w:firstLine="260"/>
      </w:pPr>
      <w:r>
        <w:t>Tyto poznámky jsou napsány v dobrém úmyslu. Je tř</w:t>
      </w:r>
      <w:r>
        <w:t>eba, aby Strana národní jednoty byla stranou silnou a konsolidovanou, neboť ona poskytuje morální oporu vládě. Národní strana práce nemá zatím pří</w:t>
      </w:r>
      <w:r>
        <w:softHyphen/>
        <w:t xml:space="preserve">činy, aby vehementně agitovala. Kdyby to učinila, snad by získala velkou početní sílu, ale stěží by jí mohla </w:t>
      </w:r>
      <w:r>
        <w:t xml:space="preserve">využiti kladným způsobem. Jde tedy především </w:t>
      </w:r>
      <w:r>
        <w:rPr>
          <w:b/>
          <w:bCs/>
        </w:rPr>
        <w:t xml:space="preserve">o </w:t>
      </w:r>
      <w:r>
        <w:t>to, aby Strana národní jednoty prováděla takovou propagandu, která prospěje státním zájmům. Musí posilovat posici vlády. Při tom je celkem jasno, že nikdo nemá v úmyslu v době vůbec dohledné posice Národní jed</w:t>
      </w:r>
      <w:r>
        <w:t>noty rozdrobit. Naopak, všichni si upřímně přejeme, aby sjednocení bývalých stran, které bylo provedeno poněkud narychlo a ne dosti programově (ale jinak to nemohlo být), bylo postaveno na pevném základě dorozumění a loyální spolupráce.</w:t>
      </w:r>
    </w:p>
    <w:p w:rsidR="00500724" w:rsidRDefault="00F30FB8">
      <w:pPr>
        <w:pStyle w:val="Zkladntext20"/>
        <w:shd w:val="clear" w:color="auto" w:fill="auto"/>
        <w:ind w:firstLine="280"/>
      </w:pPr>
      <w:r>
        <w:t>Nelze však zastírat</w:t>
      </w:r>
      <w:r>
        <w:t>i, že propaganda Národní jedno</w:t>
      </w:r>
      <w:r>
        <w:softHyphen/>
        <w:t>ty upadla s počátku do improvisovanosti. Každá její složka, pocházející z nějaké bývalé strany, agitovala tím, co se jí nejlépe zamlouvalo. Jedni mluvili o demo</w:t>
      </w:r>
      <w:r>
        <w:softHyphen/>
        <w:t>kracii, druzí o stavovství, třetí mínili, že i diktatura není do</w:t>
      </w:r>
      <w:r>
        <w:t>cela špatná. A nyní agitace se bohužel po</w:t>
      </w:r>
      <w:r>
        <w:softHyphen/>
        <w:t>hybuje většinou na úzké koleji odporu. Hned od po</w:t>
      </w:r>
      <w:r>
        <w:softHyphen/>
        <w:t>čátku bylo chybou, že nechuť k druhému presidentovi, přirozená u jeho odpůrců, odvážila se i na presidenta Osvoboditele. Toto heslo snad se mohlo zalíbit malé části</w:t>
      </w:r>
      <w:r>
        <w:t xml:space="preserve"> obyvatelstva, ale u naprosté, zdrcující většiny vzbudilo odpor. Stejně tak nešikovné bylo rozvíření kulturního boje, který chtěl odstraňovat nesporné mravní a estetické národní hodnoty. Skončil přímo tragicky v smrti Karla Čapka. Najednou musili všichni u</w:t>
      </w:r>
      <w:r>
        <w:t>znat, že Karel Čapek někdo byl. Propagátoři Strany národní jednoty neprovedli úzkostlivý rozbor psychologického stavu národa. Dali se svésti nejhluč</w:t>
      </w:r>
      <w:r>
        <w:softHyphen/>
        <w:t>nějšími křiklouny a zapomněli, že jádrem obyvatel</w:t>
      </w:r>
      <w:r>
        <w:softHyphen/>
        <w:t>stva nejsou ti lidé, kteří křičí po pražské ulici a po ka</w:t>
      </w:r>
      <w:r>
        <w:t>várnách, ale otcové rodin, kteří sedí doma a s českým nehysterickým klidem uvažují. Náš národ se většinou skládá z průměru nebohatých, poctivých lidí, kteří nemají rádi, když se stále něco bourá a přestavuje. Nemají rádi, když se na nich chce, aby za měsíc</w:t>
      </w:r>
      <w:r>
        <w:t xml:space="preserve"> zapomněli na bývalé obecné mínění. Tak zvláště T. G. Masaryk je spojen s představou vzniku naší republiky. Tátové se učili s dětmi o dobrém tatíč</w:t>
      </w:r>
      <w:r>
        <w:softHyphen/>
        <w:t>kovi. A teď najednou měli říkat: děti, my jsme vám i s učitelem lhali?</w:t>
      </w:r>
    </w:p>
    <w:p w:rsidR="00500724" w:rsidRDefault="00F30FB8">
      <w:pPr>
        <w:pStyle w:val="Zkladntext20"/>
        <w:shd w:val="clear" w:color="auto" w:fill="auto"/>
        <w:ind w:firstLine="280"/>
        <w:jc w:val="left"/>
      </w:pPr>
      <w:r>
        <w:t>Jen si jděte po vesnicích a po továrná</w:t>
      </w:r>
      <w:r>
        <w:t>ch a naslou</w:t>
      </w:r>
      <w:r>
        <w:softHyphen/>
        <w:t>chejte! Všichni říkají: Republika je v nebezpečí; musíme jí všichni navzájem pomáhat; dejte pokoj s hádkami, nepřete se o zásluhy a pracujte! Všichni cítí, že musíme táhnout za jeden provaz a ne se o něj tahat.</w:t>
      </w:r>
    </w:p>
    <w:p w:rsidR="00500724" w:rsidRDefault="00F30FB8">
      <w:pPr>
        <w:pStyle w:val="Zkladntext20"/>
        <w:shd w:val="clear" w:color="auto" w:fill="auto"/>
        <w:ind w:firstLine="280"/>
      </w:pPr>
      <w:r>
        <w:t>Je v tom jistá protismyslnost: na</w:t>
      </w:r>
      <w:r>
        <w:t xml:space="preserve"> odpůrce útočit, je porážet a odstraňovat, vyhlašovat boj a ohlašo</w:t>
      </w:r>
      <w:r>
        <w:softHyphen/>
        <w:t>vat vítězství může strana, která se chce zmocnit moci. Taková propaganda přináší úspěch. Takovou pro</w:t>
      </w:r>
      <w:r>
        <w:softHyphen/>
        <w:t>pagandou zvítězily také strany v jiných státech, které se pak staly nositelem státní moc</w:t>
      </w:r>
      <w:r>
        <w:t>i. Ale Národní jedno</w:t>
      </w:r>
      <w:r>
        <w:softHyphen/>
        <w:t>ta dosáhla svého postavení bez boje. Její propaganda odporu je zbytečná. Měla ihned sáhnout po pro</w:t>
      </w:r>
      <w:r>
        <w:softHyphen/>
        <w:t>pagandě kladu. Nikdo ji neohrožuje, nemusí nikomu rvát moc z ruky. Je to strana vládní a vládnoucí. A její propaganda se tedy musí řídit</w:t>
      </w:r>
      <w:r>
        <w:t xml:space="preserve"> především zájmem vlády. Má jí sloužit. Má propagovat dobré věci, které chce vláda učinit. Místo toho proveden byl opět nešťastný nápad s náborem členů, který končil 31- Prosince. Český člověk ochotně pracuje, když se může svobodně rozhodovat. Ale už i jen</w:t>
      </w:r>
      <w:r>
        <w:t xml:space="preserve"> zdání ne</w:t>
      </w:r>
      <w:r>
        <w:softHyphen/>
        <w:t>svobody ho rozlaďuje. Terminování přihlášek vstupu bylo nesprávné. Mělo by význam jen tehdy, kdyby skutečně z členství plynuly nějaké výhody. Ale pro</w:t>
      </w:r>
      <w:r>
        <w:softHyphen/>
        <w:t>zatím je jen jisto, že tito kmenoví členové dostanou plechový odznak. A do strany se bude přijím</w:t>
      </w:r>
      <w:r>
        <w:t>at dál.</w:t>
      </w:r>
    </w:p>
    <w:p w:rsidR="00500724" w:rsidRDefault="00F30FB8">
      <w:pPr>
        <w:pStyle w:val="Zkladntext20"/>
        <w:shd w:val="clear" w:color="auto" w:fill="auto"/>
        <w:spacing w:line="197" w:lineRule="auto"/>
        <w:ind w:firstLine="260"/>
      </w:pPr>
      <w:r>
        <w:t xml:space="preserve">Nechápeme, proč se v listech Národní jednoty pořád mluví o ohrožování a vnitřním nebezpečí. Skoro se bojíme, aby nebyli vyvoláváni z temnot duchové, kteří by jinak klidně zůstali spát. Tato agitace, která stůj co stůj hledá nepřítele, nakonec může </w:t>
      </w:r>
      <w:r>
        <w:t>nepřítele najít: uměle vyvolaného. Oposici, jež vůbec neměla v úmyslu se v dohledné době zformovat. Vždyť na příklad Národní strana práce skutečně opatrně při</w:t>
      </w:r>
      <w:r>
        <w:softHyphen/>
        <w:t xml:space="preserve">jímá své členy. Když ještě v přípravách před sjezdem někteří lidé o své vůli otevřeli kanceláře, </w:t>
      </w:r>
      <w:r>
        <w:t>aby přijímali členy do Strany práce, zakladatelé strany velmi ostře zakročili a kanceláře zrušili. Šlo jim o to, aby do stra</w:t>
      </w:r>
      <w:r>
        <w:softHyphen/>
        <w:t>ny se nedostali lidé rozkladní, otrávení, pomstychtiví, kteří by na konec mohli hnutí zavést na cesty, po kte</w:t>
      </w:r>
      <w:r>
        <w:softHyphen/>
        <w:t>rých v zájmu národa n</w:t>
      </w:r>
      <w:r>
        <w:t>ikdo netouží.</w:t>
      </w:r>
    </w:p>
    <w:p w:rsidR="00500724" w:rsidRDefault="00F30FB8">
      <w:pPr>
        <w:pStyle w:val="Zkladntext20"/>
        <w:shd w:val="clear" w:color="auto" w:fill="auto"/>
        <w:spacing w:line="197" w:lineRule="auto"/>
        <w:ind w:firstLine="260"/>
      </w:pPr>
      <w:r>
        <w:t>Strana národní jednoty měla by povolat odborní</w:t>
      </w:r>
      <w:r>
        <w:softHyphen/>
        <w:t>ky — jako to dělají všechna moderní politická hnutí — kteří by jí vypracovali agitační a propagační plán. Základní poučkou vší politické propagandy u stran, které mají v rukou moc, je heslo: Kons</w:t>
      </w:r>
      <w:r>
        <w:t>truktiv- n o s t. Negací vládnoucí strana nemůže plodně pů</w:t>
      </w:r>
      <w:r>
        <w:softHyphen/>
        <w:t>sobit. Vždyť na příklad nacionální socialisté dovedli do svých řad i bývalé komunisty. Nebylo by záslužné, kdyby Národní jednota také tyto lidi, jejichž vlaste</w:t>
      </w:r>
      <w:r>
        <w:softHyphen/>
        <w:t xml:space="preserve">necký smysl se tak krásně projevil v </w:t>
      </w:r>
      <w:r>
        <w:t>mobilisaci, do</w:t>
      </w:r>
      <w:r>
        <w:softHyphen/>
        <w:t>vedla do svých řad? Ale to není možné, když se jenom hledají chyby. Zdůrazněme, že na příklad »Brázda« zastává rozumnější a positivnější stano</w:t>
      </w:r>
      <w:r>
        <w:softHyphen/>
        <w:t>visko. I prohlášení Národní jednoty, kterým se usta</w:t>
      </w:r>
      <w:r>
        <w:softHyphen/>
        <w:t>vila, bylo velmi obratné. Také nynější ministe</w:t>
      </w:r>
      <w:r>
        <w:t>rský předseda Rudolf Beran, který jistě nebojácně dovedl hájit své stanovisko na počátku roku 1938, velmi šťastným a smířlivým způsobem umí vzbuzovat ná</w:t>
      </w:r>
      <w:r>
        <w:softHyphen/>
        <w:t>ladu pro kladné pracovní národní síly. Věta: »Ne- ujímám se moci, ale práce« by zasluhovala, aby byla s</w:t>
      </w:r>
      <w:r>
        <w:t>tále a stále zdůrazňována. Neboť ať se nikdo nemýlí, na kmen našeho národa nejde roubovat bez rozmyslu cizí nápady. Český člověk dovede pracovat a poslou</w:t>
      </w:r>
      <w:r>
        <w:softHyphen/>
        <w:t>chat. Ale je zbytečno při tom poroučet a hrozit. Tvrdá česká palice je schopna odporovat jen proto, že</w:t>
      </w:r>
      <w:r>
        <w:t xml:space="preserve"> se jí hrozí.</w:t>
      </w:r>
    </w:p>
    <w:p w:rsidR="00500724" w:rsidRDefault="00F30FB8">
      <w:pPr>
        <w:pStyle w:val="Zkladntext20"/>
        <w:shd w:val="clear" w:color="auto" w:fill="auto"/>
        <w:ind w:firstLine="260"/>
      </w:pPr>
      <w:r>
        <w:t>V tom je největší propagační chyba listů Národní jednoty: převzaly bez dobrého uvážení starý arsenál agitačních prostředků, kterých používaly strany dříve. A vybraly mezi nimi především ty, které negovaly. V podstatě najednou vládní strana po</w:t>
      </w:r>
      <w:r>
        <w:t>užívá prostřed</w:t>
      </w:r>
      <w:r>
        <w:softHyphen/>
        <w:t>ků, které by slušely straně oposiční. Je to neúčeíné. Lze tím získat věčné nespokojence, kteří se těší na bourání. Vždyť to bohužel bylo vidět a hlavně slyšet i na veřejné schůzi Mladé národní jednoty v Lucerně. Ale indiferentní zase budou v</w:t>
      </w:r>
      <w:r>
        <w:t>áhat, bývalí odpůrci se ještě více zatvrdí a věrní straníci, kteří se těší na kladnou práci, podléhají nervositě. Kádrem strany jsou přece zemědělci, živnostníci, úředníci, také děl</w:t>
      </w:r>
      <w:r>
        <w:softHyphen/>
        <w:t>níci. Tito lidé, kteří těžce pracují, chtějí především slyšet slova uklidn</w:t>
      </w:r>
      <w:r>
        <w:t>ění: vaše práce je vám zabezpečena;</w:t>
      </w:r>
    </w:p>
    <w:p w:rsidR="00500724" w:rsidRDefault="00F30FB8">
      <w:pPr>
        <w:pStyle w:val="Zkladntext20"/>
        <w:shd w:val="clear" w:color="auto" w:fill="auto"/>
        <w:spacing w:line="197" w:lineRule="auto"/>
        <w:ind w:firstLine="0"/>
      </w:pPr>
      <w:r>
        <w:t>uživíte sebe i své rodiny; a stát nezahyne, stát vyvede</w:t>
      </w:r>
      <w:r>
        <w:softHyphen/>
        <w:t>me pevnou rukou z nejistot.</w:t>
      </w:r>
    </w:p>
    <w:p w:rsidR="00500724" w:rsidRDefault="00F30FB8">
      <w:pPr>
        <w:pStyle w:val="Zkladntext20"/>
        <w:shd w:val="clear" w:color="auto" w:fill="auto"/>
        <w:spacing w:line="197" w:lineRule="auto"/>
        <w:ind w:firstLine="260"/>
      </w:pPr>
      <w:r>
        <w:t>Ještě jedno je třeba si ujasnit: Strana národní jed</w:t>
      </w:r>
      <w:r>
        <w:softHyphen/>
        <w:t>noty neagituje osobním kultem živých osob. Je to rozumově jistě správné, ačkoli prop</w:t>
      </w:r>
      <w:r>
        <w:t>agačně obtížné. Ale pak musí zdůrazňovat mravní prvky, musí apelo</w:t>
      </w:r>
      <w:r>
        <w:softHyphen/>
        <w:t>vat na mravní podstatu lidí (a ta je u nás velmi silná, i když po ulicích nekřičí). Musí zdůrazňovat to, co ná</w:t>
      </w:r>
      <w:r>
        <w:softHyphen/>
        <w:t>rod opravdu proměňuje v jednotu, a ne to, co dělí. Proč najednou provádět všech</w:t>
      </w:r>
      <w:r>
        <w:t>ny možné rehabilitace? Pro Boha, vždyť jeden řečník toužil dokonce po re</w:t>
      </w:r>
      <w:r>
        <w:softHyphen/>
        <w:t>habilitaci Švehlově, ačkoli je jasno, že zemřelý státník těšil se obecné úctě za živa i po smrti.</w:t>
      </w:r>
    </w:p>
    <w:p w:rsidR="00500724" w:rsidRDefault="00F30FB8">
      <w:pPr>
        <w:pStyle w:val="Zkladntext20"/>
        <w:shd w:val="clear" w:color="auto" w:fill="auto"/>
        <w:ind w:firstLine="260"/>
      </w:pPr>
      <w:r>
        <w:t xml:space="preserve">Chápeme, že vláda nemůže pracovat tak rychle, jak někteří nedočkavci touží. Lidé </w:t>
      </w:r>
      <w:r>
        <w:t>nemohou dělat zázraky. Ale je přece možno mluvit konstruktivně a jasně: to a to je třeba udělat; nemůže to jít rychleji, poněvadž brání ty a ty důvody; především jsme musili začít šetřit a proto jsme provedli ta a ta jistě málo populár</w:t>
      </w:r>
      <w:r>
        <w:softHyphen/>
        <w:t>ní zařízení.</w:t>
      </w:r>
    </w:p>
    <w:p w:rsidR="00500724" w:rsidRDefault="00F30FB8">
      <w:pPr>
        <w:pStyle w:val="Zkladntext20"/>
        <w:shd w:val="clear" w:color="auto" w:fill="auto"/>
        <w:ind w:firstLine="260"/>
      </w:pPr>
      <w:r>
        <w:t>Lidé po</w:t>
      </w:r>
      <w:r>
        <w:t>chopí tuto jasnou mluvu. Ale nelze agitovat citem tam, kde naslouchá rozum. Říjnové okamžiky natolik rozrušily každého, že všechno další rozrušo</w:t>
      </w:r>
      <w:r>
        <w:softHyphen/>
        <w:t>vání, výbuchy citu a nenávisti, přijímá nerad. Chce fakta a jenom fakta.</w:t>
      </w:r>
    </w:p>
    <w:p w:rsidR="00500724" w:rsidRDefault="00F30FB8">
      <w:pPr>
        <w:pStyle w:val="Zkladntext20"/>
        <w:shd w:val="clear" w:color="auto" w:fill="auto"/>
        <w:spacing w:line="197" w:lineRule="auto"/>
        <w:ind w:firstLine="260"/>
      </w:pPr>
      <w:r>
        <w:t>Zde je klíč k dobré a účinné propagand</w:t>
      </w:r>
      <w:r>
        <w:t>ě, která získá bez nucení sympatie lidu ke Straně národní jednoty. Všechno ostatní je mylné a neúčinné. Všechno ostatní vytváří chyby, které půjdou těžko odčiňovat.</w:t>
      </w:r>
    </w:p>
    <w:p w:rsidR="00500724" w:rsidRDefault="00F30FB8">
      <w:pPr>
        <w:pStyle w:val="Zkladntext20"/>
        <w:shd w:val="clear" w:color="auto" w:fill="auto"/>
        <w:spacing w:after="340"/>
        <w:ind w:firstLine="260"/>
      </w:pPr>
      <w:r>
        <w:t>Autoritavní demokracie je režim, který byl zvolen vůdci starých stran pro řízení státu. Nes</w:t>
      </w:r>
      <w:r>
        <w:t>míme za</w:t>
      </w:r>
      <w:r>
        <w:softHyphen/>
        <w:t>pomenout, že jak demokracie, tak také autoritativní systém se musí nutně opírat o důvěru lidu a jeho spo</w:t>
      </w:r>
      <w:r>
        <w:softHyphen/>
        <w:t>kojenost. U nás bude mít vláda důvěru, když Národní jednota odstraní ze svých řad ty, kteří své dvaceti</w:t>
      </w:r>
      <w:r>
        <w:softHyphen/>
        <w:t>leté oposiční a rozkladné metody chtějí</w:t>
      </w:r>
      <w:r>
        <w:t xml:space="preserve"> přenášet i do dnešního systému.</w:t>
      </w:r>
    </w:p>
    <w:p w:rsidR="00500724" w:rsidRDefault="00F30FB8">
      <w:pPr>
        <w:pStyle w:val="Zkladntext20"/>
        <w:shd w:val="clear" w:color="auto" w:fill="auto"/>
        <w:spacing w:after="260" w:line="240" w:lineRule="auto"/>
        <w:ind w:firstLine="0"/>
      </w:pPr>
      <w:r>
        <w:rPr>
          <w:b/>
          <w:bCs/>
        </w:rPr>
        <w:t>poznámky</w:t>
      </w:r>
    </w:p>
    <w:p w:rsidR="00500724" w:rsidRDefault="00F30FB8">
      <w:pPr>
        <w:pStyle w:val="Nadpis110"/>
        <w:pBdr>
          <w:top w:val="single" w:sz="4" w:space="0" w:color="auto"/>
        </w:pBdr>
        <w:shd w:val="clear" w:color="auto" w:fill="auto"/>
        <w:spacing w:after="80"/>
        <w:jc w:val="center"/>
      </w:pPr>
      <w:bookmarkStart w:id="40" w:name="bookmark39"/>
      <w:r>
        <w:rPr>
          <w:rFonts w:ascii="Times New Roman" w:eastAsia="Times New Roman" w:hAnsi="Times New Roman" w:cs="Times New Roman"/>
        </w:rPr>
        <w:t>Proč jenom pět?</w:t>
      </w:r>
      <w:bookmarkEnd w:id="40"/>
    </w:p>
    <w:p w:rsidR="00500724" w:rsidRDefault="00F30FB8">
      <w:pPr>
        <w:pStyle w:val="Zkladntext1"/>
        <w:shd w:val="clear" w:color="auto" w:fill="auto"/>
        <w:spacing w:line="187" w:lineRule="auto"/>
        <w:ind w:firstLine="260"/>
      </w:pPr>
      <w:r>
        <w:rPr>
          <w:b/>
          <w:bCs/>
        </w:rPr>
        <w:t>Za novými hranicemi Česko-Siovenska zůstal skoro milion Čechů. To jsou dnes čeští lidé s českou řečí v německé zemi, s českou mentalitou pod německými zákony, s českou tradicí v německé cizině. Jsou</w:t>
      </w:r>
      <w:r>
        <w:rPr>
          <w:b/>
          <w:bCs/>
        </w:rPr>
        <w:t xml:space="preserve"> malou mizivou menšinou a nestojí za nimi stát mocný a velký, nýbrž stát oslabený, hledající nové cesty, chu- ravící z mnoha ran. Ti lidé se většinou mohou spo</w:t>
      </w:r>
      <w:r>
        <w:rPr>
          <w:b/>
          <w:bCs/>
        </w:rPr>
        <w:softHyphen/>
        <w:t>léhat jedině na sebe. Pro jejich požadavky by sotva nasedl muž s deštníkem do letadla. Být menši</w:t>
      </w:r>
      <w:r>
        <w:rPr>
          <w:b/>
          <w:bCs/>
        </w:rPr>
        <w:t>nou je vždy</w:t>
      </w:r>
      <w:r>
        <w:rPr>
          <w:b/>
          <w:bCs/>
        </w:rPr>
        <w:softHyphen/>
        <w:t>cky trpké. Dokud byli Němci u nás menšinou, nesli trpce, že jsme měli svoje hranice a vlastní stát, svoje zákony a vlastní kulturu. Češi v německé říši budou musit jisté velmi trpělivě a tiše nést skutečnost, že byii odříznuti od domova, jako ú</w:t>
      </w:r>
      <w:r>
        <w:rPr>
          <w:b/>
          <w:bCs/>
        </w:rPr>
        <w:t>d od těía. Budou muset pracovat usilovně, aby udrželi, co jejich jest, pro své budoucí. Více a dychti</w:t>
      </w:r>
      <w:r>
        <w:rPr>
          <w:b/>
          <w:bCs/>
        </w:rPr>
        <w:softHyphen/>
        <w:t>věji. než my doma, budou se muset utíkat ke knize a rodné řeči, k mateřským písním a ke kultuře domova, aby dovedli svým dětem předat myšlenky a řeč rodné</w:t>
      </w:r>
      <w:r>
        <w:rPr>
          <w:b/>
          <w:bCs/>
        </w:rPr>
        <w:t xml:space="preserve"> země. To je snad jediné, eo mohou udělat — a je to velmi mnoho.</w:t>
      </w:r>
    </w:p>
    <w:p w:rsidR="00500724" w:rsidRDefault="00F30FB8">
      <w:pPr>
        <w:pStyle w:val="Zkladntext1"/>
        <w:shd w:val="clear" w:color="auto" w:fill="auto"/>
        <w:spacing w:line="187" w:lineRule="auto"/>
        <w:ind w:firstLine="260"/>
      </w:pPr>
      <w:r>
        <w:rPr>
          <w:b/>
          <w:bCs/>
        </w:rPr>
        <w:t>Taková je skutečnost, hořká pro nás i pro né. Ale zdá se, že není na světě pro nás věc trpká dost, abychom si ji sami nečinili trpčí. Na jedné straně jsme přehorliví, na druhé přebezradní. Ně</w:t>
      </w:r>
      <w:r>
        <w:rPr>
          <w:b/>
          <w:bCs/>
        </w:rPr>
        <w:t>mecké úřady se chovají naprosto korektně — ovšem s korektnosti vítěze k poražené</w:t>
      </w:r>
      <w:r>
        <w:rPr>
          <w:b/>
          <w:bCs/>
        </w:rPr>
        <w:softHyphen/>
        <w:t>mu. My však v jakési panice si počínáme, jako bychom neměli co dělat s korektními vitězi, nýbrž stále ještě se zřanatisovanými mladíky.</w:t>
      </w:r>
    </w:p>
    <w:p w:rsidR="00500724" w:rsidRDefault="00F30FB8">
      <w:pPr>
        <w:pStyle w:val="Zkladntext1"/>
        <w:shd w:val="clear" w:color="auto" w:fill="auto"/>
        <w:spacing w:line="187" w:lineRule="auto"/>
        <w:ind w:firstLine="340"/>
      </w:pPr>
      <w:r>
        <w:rPr>
          <w:b/>
          <w:bCs/>
        </w:rPr>
        <w:t xml:space="preserve">Německé úřady v říši povolily otevření </w:t>
      </w:r>
      <w:r>
        <w:rPr>
          <w:b/>
          <w:bCs/>
        </w:rPr>
        <w:t>mnoha českých škol. České školy zůstaly však zavřeny — protože není čes</w:t>
      </w:r>
      <w:r>
        <w:rPr>
          <w:b/>
          <w:bCs/>
        </w:rPr>
        <w:softHyphen/>
        <w:t>kých učitelů. Pomyslíme-li, že udržení české řeči v těchto menšinách je nejzákladnější hráz proti odnárodnění jed</w:t>
      </w:r>
      <w:r>
        <w:rPr>
          <w:b/>
          <w:bCs/>
        </w:rPr>
        <w:softHyphen/>
        <w:t>noho milionu Čechů, pomyslíme-li, že česká škola bude v těchto menšiná</w:t>
      </w:r>
      <w:r>
        <w:rPr>
          <w:b/>
          <w:bCs/>
        </w:rPr>
        <w:t>ch asi jedinou českou kulturní oporou ce</w:t>
      </w:r>
      <w:r>
        <w:rPr>
          <w:b/>
          <w:bCs/>
        </w:rPr>
        <w:softHyphen/>
        <w:t>lých skupin, je téměř nepředstavitelné, že se nehrnou ne</w:t>
      </w:r>
      <w:r>
        <w:rPr>
          <w:b/>
          <w:bCs/>
        </w:rPr>
        <w:softHyphen/>
        <w:t>zaměstnaní učitelé proudem k této nové, těžké a hrdinné práci. Nepředstavitelné proto, že jim nikdo nebrání, aby šli. Německé úřady povolily nejen otevření če</w:t>
      </w:r>
      <w:r>
        <w:rPr>
          <w:b/>
          <w:bCs/>
        </w:rPr>
        <w:t>ských škol, povolily dokonce i umístění obrazu T. G. Masaryka vedle obrazu představitele německého státu. Není tedy žádná faktická překážka, která by bránila českým učitelům, aby se dali do práce. Poněvadž nejsou však vyjasněny všechny formality a není ješ</w:t>
      </w:r>
      <w:r>
        <w:rPr>
          <w:b/>
          <w:bCs/>
        </w:rPr>
        <w:t>tě jasný právní stav věcí, vydalo mi</w:t>
      </w:r>
      <w:r>
        <w:rPr>
          <w:b/>
          <w:bCs/>
        </w:rPr>
        <w:softHyphen/>
        <w:t>nisterstvo školství výzvu, aby učitelé zahájili práci zatím na vlastní nebezpečí. Této výzvy uposlechlo pět lidí, pět českých učitelů, a odešli na Teplicko. Jejich jména, bohužel, neznám, zasloužila by si, abychom je vy</w:t>
      </w:r>
      <w:r>
        <w:rPr>
          <w:b/>
          <w:bCs/>
        </w:rPr>
        <w:t>slovovali nahlas s úctou a uznáním.</w:t>
      </w:r>
    </w:p>
    <w:p w:rsidR="00500724" w:rsidRDefault="00F30FB8">
      <w:pPr>
        <w:pStyle w:val="Zkladntext1"/>
        <w:shd w:val="clear" w:color="auto" w:fill="auto"/>
        <w:spacing w:line="187" w:lineRule="auto"/>
        <w:ind w:firstLine="340"/>
      </w:pPr>
      <w:r>
        <w:rPr>
          <w:b/>
          <w:bCs/>
        </w:rPr>
        <w:t xml:space="preserve">V pěti českých školách se tedy učí. Ostatní školy jsou zavřeny. Není ještě vyřízeno mnoho věcí: otázka občanství, osnovy, platů a pensí. Pravda.... Nebo vymřeli snad v tomto národě stateční lidé na tak mizivé procento, </w:t>
      </w:r>
      <w:r>
        <w:rPr>
          <w:b/>
          <w:bCs/>
        </w:rPr>
        <w:t>že se nenajdou učitelé, kteří by šli učit okamžitě, třebaže mnoho otázek není vyjasněno? Zůstanou české škoiy v Německu zavřeny — třebaže je vyučování v nich povoleno — jenom proto, že německý stát nevypracoval dosud přesné podmínky příjmů, platů a pensí č</w:t>
      </w:r>
      <w:r>
        <w:rPr>
          <w:b/>
          <w:bCs/>
        </w:rPr>
        <w:t>eským uči</w:t>
      </w:r>
      <w:r>
        <w:rPr>
          <w:b/>
          <w:bCs/>
        </w:rPr>
        <w:softHyphen/>
        <w:t>telům a nedodal je vlastnoručně do příslušného našeho úřadu?</w:t>
      </w:r>
    </w:p>
    <w:p w:rsidR="00500724" w:rsidRDefault="00F30FB8">
      <w:pPr>
        <w:pStyle w:val="Zkladntext1"/>
        <w:shd w:val="clear" w:color="auto" w:fill="auto"/>
        <w:spacing w:line="187" w:lineRule="auto"/>
        <w:ind w:firstLine="340"/>
      </w:pPr>
      <w:r>
        <w:rPr>
          <w:b/>
          <w:bCs/>
        </w:rPr>
        <w:t>Mají-li dnešní Němci mnoho vlastností, kterým neroz</w:t>
      </w:r>
      <w:r>
        <w:rPr>
          <w:b/>
          <w:bCs/>
        </w:rPr>
        <w:softHyphen/>
        <w:t>umíme, mají jednu, které bychom rozumět mohli: jsou upřímní a fanatičtí nacionalisté. Jejich učitelé se hrnou všude po celém světě, k</w:t>
      </w:r>
      <w:r>
        <w:rPr>
          <w:b/>
          <w:bCs/>
        </w:rPr>
        <w:t>de žijí Němci, ochotně odcházejí kamkoli a odcházejí se zápalem, s nadšením a s tvrdou vírou ve své poslání. Můžeme od nich žádat a čekat, že po</w:t>
      </w:r>
      <w:r>
        <w:rPr>
          <w:b/>
          <w:bCs/>
        </w:rPr>
        <w:softHyphen/>
        <w:t>chopí a — řekněme — úředně schválí a uznají podobné pocity naše. Nemůžeme ovšem od nich očekávat, že budou pečo</w:t>
      </w:r>
      <w:r>
        <w:rPr>
          <w:b/>
          <w:bCs/>
        </w:rPr>
        <w:t xml:space="preserve">vat o naši školu ve své zemi. Povolili nám, abychom </w:t>
      </w:r>
      <w:r>
        <w:rPr>
          <w:sz w:val="22"/>
          <w:szCs w:val="22"/>
        </w:rPr>
        <w:t xml:space="preserve">o </w:t>
      </w:r>
      <w:r>
        <w:rPr>
          <w:b/>
          <w:bCs/>
        </w:rPr>
        <w:t>ni pečovali. Víc přece dělat nebudou. Je to víc, než udělali polští bratři Slované.</w:t>
      </w:r>
    </w:p>
    <w:p w:rsidR="00500724" w:rsidRDefault="00F30FB8">
      <w:pPr>
        <w:pStyle w:val="Zkladntext1"/>
        <w:shd w:val="clear" w:color="auto" w:fill="auto"/>
        <w:tabs>
          <w:tab w:val="left" w:pos="4853"/>
        </w:tabs>
        <w:spacing w:after="60" w:line="187" w:lineRule="auto"/>
        <w:ind w:firstLine="340"/>
        <w:rPr>
          <w:sz w:val="20"/>
          <w:szCs w:val="20"/>
        </w:rPr>
      </w:pPr>
      <w:r>
        <w:rPr>
          <w:b/>
          <w:bCs/>
        </w:rPr>
        <w:t>Být učitelem na české škole v Německu snad nebude příjemné. Věru, není vůbec příjemné v dnešních dnech stát na kterémk</w:t>
      </w:r>
      <w:r>
        <w:rPr>
          <w:b/>
          <w:bCs/>
        </w:rPr>
        <w:t>oli místě a být Čechem statečným. Příjemností asi mnoho nezažijeme, budeme-Ii bdít nad duší každého čes</w:t>
      </w:r>
      <w:r>
        <w:rPr>
          <w:b/>
          <w:bCs/>
        </w:rPr>
        <w:softHyphen/>
        <w:t>kého dítěte za hranicemi. Není pohodlné ani poklidné držet rozžatou svíčku ve vichřici a mít za úkol starat se, aby ne</w:t>
      </w:r>
      <w:r>
        <w:rPr>
          <w:b/>
          <w:bCs/>
        </w:rPr>
        <w:softHyphen/>
        <w:t xml:space="preserve">zhasla. Ale tento národ bude živ </w:t>
      </w:r>
      <w:r>
        <w:rPr>
          <w:b/>
          <w:bCs/>
        </w:rPr>
        <w:t>podle toho, jaké bude mít vůdce. Není sporu o tom, že český učitel na menšinové škole v Německu bude mít velkou vůdčí úlohu ve skupině svého národa. Jak to, že se jí — dobrovolně a na vlastní risiko — podjalo dosud jenom pět lidí?</w:t>
      </w:r>
      <w:r>
        <w:rPr>
          <w:b/>
          <w:bCs/>
        </w:rPr>
        <w:tab/>
      </w:r>
      <w:r>
        <w:rPr>
          <w:i/>
          <w:iCs/>
          <w:sz w:val="20"/>
          <w:szCs w:val="20"/>
        </w:rPr>
        <w:t>ja</w:t>
      </w:r>
    </w:p>
    <w:p w:rsidR="00500724" w:rsidRDefault="00F30FB8">
      <w:pPr>
        <w:pStyle w:val="Nadpis120"/>
        <w:shd w:val="clear" w:color="auto" w:fill="auto"/>
        <w:spacing w:after="80"/>
        <w:ind w:left="0"/>
        <w:jc w:val="center"/>
      </w:pPr>
      <w:bookmarkStart w:id="41" w:name="bookmark40"/>
      <w:r>
        <w:t xml:space="preserve">Slovensko do nového </w:t>
      </w:r>
      <w:r>
        <w:t>roku</w:t>
      </w:r>
      <w:bookmarkEnd w:id="41"/>
    </w:p>
    <w:p w:rsidR="00500724" w:rsidRDefault="00F30FB8">
      <w:pPr>
        <w:pStyle w:val="Zkladntext1"/>
        <w:shd w:val="clear" w:color="auto" w:fill="auto"/>
        <w:spacing w:line="185" w:lineRule="auto"/>
      </w:pPr>
      <w:r>
        <w:rPr>
          <w:b/>
          <w:bCs/>
        </w:rPr>
        <w:t>Už i krátký čas autonomní slovenské vlády má dostatečný obsah, z něhož vyplynuly také první slovenské vládní zkuše</w:t>
      </w:r>
      <w:r>
        <w:rPr>
          <w:b/>
          <w:bCs/>
        </w:rPr>
        <w:softHyphen/>
        <w:t>nosti do nového roku. Jsou trojí: vnitřně-politické, za- hraničně-politické a hospodářské.</w:t>
      </w:r>
    </w:p>
    <w:p w:rsidR="00500724" w:rsidRDefault="00F30FB8">
      <w:pPr>
        <w:pStyle w:val="Zkladntext1"/>
        <w:shd w:val="clear" w:color="auto" w:fill="auto"/>
        <w:spacing w:line="185" w:lineRule="auto"/>
      </w:pPr>
      <w:r>
        <w:rPr>
          <w:b/>
          <w:bCs/>
        </w:rPr>
        <w:t>Zatím jsou z nich nejmenší ty hospodářské, pr</w:t>
      </w:r>
      <w:r>
        <w:rPr>
          <w:b/>
          <w:bCs/>
        </w:rPr>
        <w:t>otože hospo</w:t>
      </w:r>
      <w:r>
        <w:rPr>
          <w:b/>
          <w:bCs/>
        </w:rPr>
        <w:softHyphen/>
        <w:t>dářský život je svázán s přírodními údobími. Slovenská vlá</w:t>
      </w:r>
      <w:r>
        <w:rPr>
          <w:b/>
          <w:bCs/>
        </w:rPr>
        <w:softHyphen/>
        <w:t>da se ujala moci dávno po žních, aie přece ještě nějaký čas před sdělováním rozpočtu, takže se octla v jakémsi hospo</w:t>
      </w:r>
      <w:r>
        <w:rPr>
          <w:b/>
          <w:bCs/>
        </w:rPr>
        <w:softHyphen/>
        <w:t>dářském mezidobí: ví, co země dala, ale neví dosud, čeho bude potřeb</w:t>
      </w:r>
      <w:r>
        <w:rPr>
          <w:b/>
          <w:bCs/>
        </w:rPr>
        <w:t>ovat. Situace je ještě o to těžší, že se není ani oř pevně opřít, protože vídeňské rozhodnutí znamená kromě mnoha jiných následků také škrt přes bývalé rozpočty slo</w:t>
      </w:r>
      <w:r>
        <w:rPr>
          <w:b/>
          <w:bCs/>
        </w:rPr>
        <w:softHyphen/>
        <w:t>venské krajiny, jež mohly být — s nezbytnými ohledy na nové úkoly a nové poměry — vodítkem,</w:t>
      </w:r>
      <w:r>
        <w:rPr>
          <w:b/>
          <w:bCs/>
        </w:rPr>
        <w:t xml:space="preserve"> k němuž stačilo při</w:t>
      </w:r>
      <w:r>
        <w:rPr>
          <w:b/>
          <w:bCs/>
        </w:rPr>
        <w:softHyphen/>
        <w:t>brat jako další vodítko poměrnou část státního rozpočtu. Avšak v tom je situace ještě složitější, protože se v něm obrazí nejen zábor na Slovensku, ale i v Čechách, na Moravě a v Karpatské Ukrajině. Avšak přes to zde již určité zkušeno</w:t>
      </w:r>
      <w:r>
        <w:rPr>
          <w:b/>
          <w:bCs/>
        </w:rPr>
        <w:t>sti jsou. Dnes již slovenská vláda ví, kolik ztratilo Slovensko území, jakého druhu to území bylo, jaký byl jeho daňový výnos, jakých vyžadovalo investic atpod., poznává, jaký je výnos předepsaných daní na zbylém území a jistě už také uvažuje o zdrojích př</w:t>
      </w:r>
      <w:r>
        <w:rPr>
          <w:b/>
          <w:bCs/>
        </w:rPr>
        <w:t>íjmů.</w:t>
      </w:r>
    </w:p>
    <w:p w:rsidR="00500724" w:rsidRDefault="00F30FB8">
      <w:pPr>
        <w:pStyle w:val="Zkladntext1"/>
        <w:shd w:val="clear" w:color="auto" w:fill="auto"/>
        <w:spacing w:line="190" w:lineRule="auto"/>
        <w:ind w:firstLine="0"/>
        <w:jc w:val="right"/>
      </w:pPr>
      <w:r>
        <w:rPr>
          <w:b/>
          <w:bCs/>
        </w:rPr>
        <w:t>Kromě územní změny — ze značné části to ovšem vzniklo z ní — nastala také velká změna personální. Zmizelo nebo bylo zmenšeno mnoho úřadů, odešlo mnoho úředníků. To</w:t>
      </w:r>
    </w:p>
    <w:p w:rsidR="00500724" w:rsidRDefault="00F30FB8">
      <w:pPr>
        <w:pStyle w:val="Zkladntext1"/>
        <w:shd w:val="clear" w:color="auto" w:fill="auto"/>
        <w:spacing w:after="40" w:line="187" w:lineRule="auto"/>
        <w:ind w:firstLine="0"/>
      </w:pPr>
      <w:r>
        <w:rPr>
          <w:b/>
          <w:bCs/>
        </w:rPr>
        <w:t xml:space="preserve">znamená sice menši náklad, ale zároveň menší příjem jak z daní přímých, tak zvláště z </w:t>
      </w:r>
      <w:r>
        <w:rPr>
          <w:b/>
          <w:bCs/>
        </w:rPr>
        <w:t>nepřímých a hlavně ovšem obecný úbytek spotřebitelů poměrně slušně situovaných. Zčásti se to vyvažuje tím, že na mnohá místa přicházejí noví lidé, většinou mladí, kteří si tím značně zlepšují své příjmy. V hospodářské bilanci Slovenska bude hrát velkou úlo</w:t>
      </w:r>
      <w:r>
        <w:rPr>
          <w:b/>
          <w:bCs/>
        </w:rPr>
        <w:t>hu také cizinecký ruch. Už zima ukáže, jak se bude nyní rozvíjet, ač ovšem pravý obraz si může Slovensko vytvořit až příští podzim, po letní sezóně, jež je hlavní.</w:t>
      </w:r>
    </w:p>
    <w:p w:rsidR="00500724" w:rsidRDefault="00F30FB8">
      <w:pPr>
        <w:pStyle w:val="Zkladntext1"/>
        <w:shd w:val="clear" w:color="auto" w:fill="auto"/>
        <w:spacing w:after="40" w:line="185" w:lineRule="auto"/>
      </w:pPr>
      <w:r>
        <w:rPr>
          <w:b/>
          <w:bCs/>
        </w:rPr>
        <w:t>Na Slovensku existoval až do žilinské dohody vedle upřím</w:t>
      </w:r>
      <w:r>
        <w:rPr>
          <w:b/>
          <w:bCs/>
        </w:rPr>
        <w:softHyphen/>
        <w:t>ného československého přesvědčení t</w:t>
      </w:r>
      <w:r>
        <w:rPr>
          <w:b/>
          <w:bCs/>
        </w:rPr>
        <w:t>aké jistý politický kon- jukluralismus. Byli lidé, kteří na československé jednotě bu</w:t>
      </w:r>
      <w:r>
        <w:rPr>
          <w:b/>
          <w:bCs/>
        </w:rPr>
        <w:softHyphen/>
        <w:t>dovali budoucnost Slovenska i republiky vůbec, byli však také lidé — a nebylo jich málo — kteří na ní budovali svou osobní posici politickou, společenskou nebo hospodářsk</w:t>
      </w:r>
      <w:r>
        <w:rPr>
          <w:b/>
          <w:bCs/>
        </w:rPr>
        <w:t xml:space="preserve">ou, ba leckdy hned všechny tři najednou. Byli už dávno trnem </w:t>
      </w:r>
      <w:r>
        <w:rPr>
          <w:sz w:val="22"/>
          <w:szCs w:val="22"/>
        </w:rPr>
        <w:t xml:space="preserve">v </w:t>
      </w:r>
      <w:r>
        <w:rPr>
          <w:b/>
          <w:bCs/>
        </w:rPr>
        <w:t>oku ludové straně. Ale žilinským rozhodnutím se najednou octla ludová strana před novým konjukturalismem, protože nic tak nebují v době politických převratů, jako právě on. To je stín, který se</w:t>
      </w:r>
      <w:r>
        <w:rPr>
          <w:b/>
          <w:bCs/>
        </w:rPr>
        <w:t xml:space="preserve"> plouží za každým, buďsi to osoba nebo sebevětší skupina osob, jež se octla náhle na slunci. Také ludová strana byla nucena učinit některá opatření, aby se její boj za lepší příští Slovenska a za větší skývu chleba pro všechny Slováky nestal bojem o osobní</w:t>
      </w:r>
      <w:r>
        <w:rPr>
          <w:b/>
          <w:bCs/>
        </w:rPr>
        <w:t xml:space="preserve"> moc a o tlustou pomazánku chleba pro některé lidi. Viděli jsme, jak mnozí, o nichž se předpokládalo, že se sžili s bývalým režimem, oto</w:t>
      </w:r>
      <w:r>
        <w:rPr>
          <w:b/>
          <w:bCs/>
        </w:rPr>
        <w:softHyphen/>
        <w:t xml:space="preserve">čili o stoosmdesát stupňů. Ludová strana však učinila také trpké zkušenosti s některými lidmi v odtrženém území, kteří </w:t>
      </w:r>
      <w:r>
        <w:rPr>
          <w:b/>
          <w:bCs/>
        </w:rPr>
        <w:t>po první zvěsti o záboru přešli k Maďarům. Teprve v nej</w:t>
      </w:r>
      <w:r>
        <w:rPr>
          <w:b/>
          <w:bCs/>
        </w:rPr>
        <w:softHyphen/>
        <w:t>horších dobách se poznají vskutku věrní.</w:t>
      </w:r>
    </w:p>
    <w:p w:rsidR="00500724" w:rsidRDefault="00F30FB8">
      <w:pPr>
        <w:pStyle w:val="Zkladntext1"/>
        <w:shd w:val="clear" w:color="auto" w:fill="auto"/>
        <w:spacing w:after="40" w:line="185" w:lineRule="auto"/>
      </w:pPr>
      <w:r>
        <w:rPr>
          <w:b/>
          <w:bCs/>
        </w:rPr>
        <w:t>Slovensko se v novém roce pomalu vrací do běžných ko</w:t>
      </w:r>
      <w:r>
        <w:rPr>
          <w:b/>
          <w:bCs/>
        </w:rPr>
        <w:softHyphen/>
        <w:t>lejí. Revoluční vlna opadává. Leckde se vzedmula příliš vy</w:t>
      </w:r>
      <w:r>
        <w:rPr>
          <w:b/>
          <w:bCs/>
        </w:rPr>
        <w:softHyphen/>
        <w:t>soko a způsobila škodu, která se nyní hledí nap</w:t>
      </w:r>
      <w:r>
        <w:rPr>
          <w:b/>
          <w:bCs/>
        </w:rPr>
        <w:t>ravit. Dříve často liřešíval na Slovensku bývalý režim tím, že nedovedl účelná a prospěšná opatření provést taktně, ve formě, která by nedráždila nebo nezraňovala. Slovensko se revanžovalo. Nebylo tolik roztrpčení mezi Čechy pro to, že jsou pro</w:t>
      </w:r>
      <w:r>
        <w:rPr>
          <w:b/>
          <w:bCs/>
        </w:rPr>
        <w:softHyphen/>
        <w:t xml:space="preserve">puštěni ze </w:t>
      </w:r>
      <w:r>
        <w:rPr>
          <w:b/>
          <w:bCs/>
        </w:rPr>
        <w:t>Slovenska, jako pro to, jakou formou se pro</w:t>
      </w:r>
      <w:r>
        <w:rPr>
          <w:b/>
          <w:bCs/>
        </w:rPr>
        <w:softHyphen/>
        <w:t>pouštění děje. Leckde bylo tak překotné, že se Slovensko připravilo o takové odborníky, za něž nemá náhrady a jichž je nedostatek i na našem západě.</w:t>
      </w:r>
    </w:p>
    <w:p w:rsidR="00500724" w:rsidRDefault="00F30FB8">
      <w:pPr>
        <w:pStyle w:val="Zkladntext1"/>
        <w:shd w:val="clear" w:color="auto" w:fill="auto"/>
        <w:spacing w:after="40" w:line="187" w:lineRule="auto"/>
      </w:pPr>
      <w:r>
        <w:rPr>
          <w:b/>
          <w:bCs/>
        </w:rPr>
        <w:t>Byla hlavně dvojí odezva těchto událostí: podnikatelé, lidé nej</w:t>
      </w:r>
      <w:r>
        <w:rPr>
          <w:b/>
          <w:bCs/>
        </w:rPr>
        <w:t>opatrnější z opatrných, ztráceli chuť jít podnikat na Slo</w:t>
      </w:r>
      <w:r>
        <w:rPr>
          <w:b/>
          <w:bCs/>
        </w:rPr>
        <w:softHyphen/>
        <w:t>vensko. Báli se, že zítřek může místo uklidnění přinést ještě vyšší vzepjetí. Druhý ohlas byl mezi stálými návštěvníky slovenských hor. I když to jsou dnes naše nejlepší lyžařské terény, přece mnozí</w:t>
      </w:r>
      <w:r>
        <w:rPr>
          <w:b/>
          <w:bCs/>
        </w:rPr>
        <w:t xml:space="preserve"> Češi řekli, že nepřijedou. To všechno je už za námi. Obě strany si uvědomují, že tak by to nešlo. Na Slovensku se přestává s protičeskou kampaní, v Če</w:t>
      </w:r>
      <w:r>
        <w:rPr>
          <w:b/>
          <w:bCs/>
        </w:rPr>
        <w:softHyphen/>
        <w:t>chách a na Moravě se lepší nálada, v prvních chvílích proti Slovensku značně roztrpčená.</w:t>
      </w:r>
    </w:p>
    <w:p w:rsidR="00500724" w:rsidRDefault="00F30FB8">
      <w:pPr>
        <w:pStyle w:val="Zkladntext1"/>
        <w:shd w:val="clear" w:color="auto" w:fill="auto"/>
        <w:spacing w:after="40" w:line="187" w:lineRule="auto"/>
      </w:pPr>
      <w:r>
        <w:rPr>
          <w:b/>
          <w:bCs/>
        </w:rPr>
        <w:t>A zkušenosti za</w:t>
      </w:r>
      <w:r>
        <w:rPr>
          <w:b/>
          <w:bCs/>
        </w:rPr>
        <w:t>hraničně-poliíické? Souvisí úzce s poli</w:t>
      </w:r>
      <w:r>
        <w:rPr>
          <w:b/>
          <w:bCs/>
        </w:rPr>
        <w:softHyphen/>
        <w:t>tikou vnitřní, protože nejdůrazněji potvrdily správný základ žilinského rozhodnutí: společný stát s Čechy a s Ukrajinci.</w:t>
      </w:r>
    </w:p>
    <w:p w:rsidR="00500724" w:rsidRDefault="00F30FB8">
      <w:pPr>
        <w:pStyle w:val="Zkladntext1"/>
        <w:shd w:val="clear" w:color="auto" w:fill="auto"/>
        <w:tabs>
          <w:tab w:val="left" w:pos="3614"/>
        </w:tabs>
        <w:spacing w:after="380" w:line="190" w:lineRule="auto"/>
      </w:pPr>
      <w:r>
        <w:rPr>
          <w:b/>
          <w:bCs/>
        </w:rPr>
        <w:t>Tato zkušenost je zatím nejcennější, jakou slovenská auto</w:t>
      </w:r>
      <w:r>
        <w:rPr>
          <w:b/>
          <w:bCs/>
        </w:rPr>
        <w:softHyphen/>
        <w:t>nomní vláda učinila. Dává jí dostiuči</w:t>
      </w:r>
      <w:r>
        <w:rPr>
          <w:b/>
          <w:bCs/>
        </w:rPr>
        <w:t>nění, že šla správnou cestou k lepší budoucnosti Slovenska. Ty ostatní zkušenosti pak přispějí k tomu, aby tato cesta byla v novém roce co nejkratší a stála co nejméně obětí.</w:t>
      </w:r>
      <w:r>
        <w:rPr>
          <w:b/>
          <w:bCs/>
        </w:rPr>
        <w:tab/>
      </w:r>
      <w:r>
        <w:rPr>
          <w:i/>
          <w:iCs/>
          <w:sz w:val="20"/>
          <w:szCs w:val="20"/>
        </w:rPr>
        <w:t xml:space="preserve">Dalibor </w:t>
      </w:r>
      <w:r>
        <w:rPr>
          <w:i/>
          <w:iCs/>
          <w:sz w:val="20"/>
          <w:szCs w:val="20"/>
          <w:lang w:val="en-US" w:eastAsia="en-US" w:bidi="en-US"/>
        </w:rPr>
        <w:t>J an</w:t>
      </w:r>
      <w:r>
        <w:rPr>
          <w:b/>
          <w:bCs/>
          <w:lang w:val="en-US" w:eastAsia="en-US" w:bidi="en-US"/>
        </w:rPr>
        <w:t xml:space="preserve"> </w:t>
      </w:r>
      <w:r>
        <w:rPr>
          <w:b/>
          <w:bCs/>
        </w:rPr>
        <w:t>e Ze</w:t>
      </w:r>
    </w:p>
    <w:p w:rsidR="00500724" w:rsidRDefault="00F30FB8">
      <w:pPr>
        <w:pStyle w:val="Nadpis90"/>
        <w:keepNext/>
        <w:keepLines/>
        <w:pBdr>
          <w:bottom w:val="single" w:sz="4" w:space="0" w:color="auto"/>
        </w:pBdr>
        <w:shd w:val="clear" w:color="auto" w:fill="auto"/>
        <w:spacing w:after="240"/>
      </w:pPr>
      <w:bookmarkStart w:id="42" w:name="bookmark41"/>
      <w:r>
        <w:t>politika</w:t>
      </w:r>
      <w:bookmarkEnd w:id="42"/>
    </w:p>
    <w:p w:rsidR="00500724" w:rsidRDefault="00F30FB8">
      <w:pPr>
        <w:pStyle w:val="Zkladntext1"/>
        <w:shd w:val="clear" w:color="auto" w:fill="auto"/>
        <w:spacing w:after="40" w:line="190" w:lineRule="auto"/>
        <w:ind w:firstLine="0"/>
      </w:pPr>
      <w:r>
        <w:rPr>
          <w:i/>
          <w:iCs/>
        </w:rPr>
        <w:t>R. Bechyně:</w:t>
      </w:r>
    </w:p>
    <w:p w:rsidR="00500724" w:rsidRDefault="00F30FB8">
      <w:pPr>
        <w:pStyle w:val="Nadpis100"/>
        <w:shd w:val="clear" w:color="auto" w:fill="auto"/>
        <w:spacing w:line="240" w:lineRule="auto"/>
      </w:pPr>
      <w:bookmarkStart w:id="43" w:name="bookmark42"/>
      <w:r>
        <w:t>Mrtvé pochovávali</w:t>
      </w:r>
      <w:bookmarkEnd w:id="43"/>
    </w:p>
    <w:p w:rsidR="00500724" w:rsidRDefault="00F30FB8">
      <w:pPr>
        <w:pStyle w:val="Zkladntext1"/>
        <w:shd w:val="clear" w:color="auto" w:fill="auto"/>
        <w:spacing w:after="40" w:line="180" w:lineRule="auto"/>
        <w:ind w:left="800" w:firstLine="180"/>
        <w:rPr>
          <w:sz w:val="20"/>
          <w:szCs w:val="20"/>
        </w:rPr>
      </w:pPr>
      <w:r>
        <w:rPr>
          <w:sz w:val="20"/>
          <w:szCs w:val="20"/>
        </w:rPr>
        <w:t xml:space="preserve">Odložil jsem novinářské </w:t>
      </w:r>
      <w:r>
        <w:rPr>
          <w:sz w:val="20"/>
          <w:szCs w:val="20"/>
        </w:rPr>
        <w:t>pero koncem roku 1929. Studenokrevný aktivní politik poslal horkokrevné</w:t>
      </w:r>
      <w:r>
        <w:rPr>
          <w:sz w:val="20"/>
          <w:szCs w:val="20"/>
        </w:rPr>
        <w:softHyphen/>
        <w:t>ho žurnalistu do ústraní. Přes to jsem za ta léta na</w:t>
      </w:r>
      <w:r>
        <w:rPr>
          <w:sz w:val="20"/>
          <w:szCs w:val="20"/>
        </w:rPr>
        <w:softHyphen/>
        <w:t xml:space="preserve">psal pro »Přítomnost« řadu článků, které jsem po- depsal buď pravým jménem nebo pseudonymem </w:t>
      </w:r>
      <w:r>
        <w:rPr>
          <w:sz w:val="20"/>
          <w:szCs w:val="20"/>
          <w:lang w:val="en-US" w:eastAsia="en-US" w:bidi="en-US"/>
        </w:rPr>
        <w:t xml:space="preserve">(Amicus, </w:t>
      </w:r>
      <w:r>
        <w:rPr>
          <w:sz w:val="20"/>
          <w:szCs w:val="20"/>
        </w:rPr>
        <w:t xml:space="preserve">Spektátor). A vždycky to byl </w:t>
      </w:r>
      <w:r>
        <w:rPr>
          <w:sz w:val="20"/>
          <w:szCs w:val="20"/>
        </w:rPr>
        <w:t>Peroutka, který starého žurnalistu vyboxoval z reservy. Tak se děje i tentokráte. Hovořil jsem s Peroutkou dva</w:t>
      </w:r>
      <w:r>
        <w:rPr>
          <w:sz w:val="20"/>
          <w:szCs w:val="20"/>
        </w:rPr>
        <w:softHyphen/>
        <w:t>krát o pohřbu Karla Čapka, jehož jsem se nesměl zúčastnit (můj lékař je člověk milý, ale hlídač</w:t>
      </w:r>
    </w:p>
    <w:p w:rsidR="00500724" w:rsidRDefault="00F30FB8">
      <w:pPr>
        <w:pStyle w:val="Zkladntext20"/>
        <w:shd w:val="clear" w:color="auto" w:fill="auto"/>
        <w:spacing w:after="40" w:line="180" w:lineRule="auto"/>
        <w:ind w:left="760" w:firstLine="20"/>
        <w:rPr>
          <w:sz w:val="20"/>
          <w:szCs w:val="20"/>
        </w:rPr>
      </w:pPr>
      <w:r>
        <w:rPr>
          <w:sz w:val="20"/>
          <w:szCs w:val="20"/>
        </w:rPr>
        <w:t>krutý). Peroutka mi také tentokrát vnutil zaschlé</w:t>
      </w:r>
      <w:r>
        <w:rPr>
          <w:sz w:val="20"/>
          <w:szCs w:val="20"/>
        </w:rPr>
        <w:t xml:space="preserve"> pero do ruky. — Za těch patnáct roků, co trvá moje přátelství s redaktorem »Přítomnosti«, skoro nikdy se nerozešly naše názory na veřejné věci. Kryjí se i nyní. Domnívá-li se Peroutka, že má nějakou cenu, když tu veřejně povím, o čem jsme spolu hovořili, </w:t>
      </w:r>
      <w:r>
        <w:rPr>
          <w:sz w:val="20"/>
          <w:szCs w:val="20"/>
        </w:rPr>
        <w:t>po Čapkově pohřbu, nechci mu zkazit ra</w:t>
      </w:r>
      <w:r>
        <w:rPr>
          <w:sz w:val="20"/>
          <w:szCs w:val="20"/>
        </w:rPr>
        <w:softHyphen/>
        <w:t>dost z tvůrčí práce, kterou nyní koná při těžkém díle formování nového českého člověka politického.</w:t>
      </w:r>
    </w:p>
    <w:p w:rsidR="00500724" w:rsidRDefault="00F30FB8">
      <w:pPr>
        <w:pStyle w:val="Zkladntext20"/>
        <w:shd w:val="clear" w:color="auto" w:fill="auto"/>
        <w:spacing w:after="40" w:line="218" w:lineRule="auto"/>
        <w:ind w:firstLine="0"/>
        <w:jc w:val="right"/>
        <w:rPr>
          <w:sz w:val="20"/>
          <w:szCs w:val="20"/>
        </w:rPr>
      </w:pPr>
      <w:r>
        <w:rPr>
          <w:sz w:val="20"/>
          <w:szCs w:val="20"/>
        </w:rPr>
        <w:t>R. B.</w:t>
      </w:r>
    </w:p>
    <w:p w:rsidR="00500724" w:rsidRDefault="00F30FB8">
      <w:pPr>
        <w:pStyle w:val="Zkladntext20"/>
        <w:shd w:val="clear" w:color="auto" w:fill="auto"/>
        <w:spacing w:after="40" w:line="197" w:lineRule="auto"/>
        <w:ind w:firstLine="260"/>
      </w:pPr>
      <w:r>
        <w:t>Chudinka země česká neměla uhlí na vytopení Pantheonu, když se jednalo o místo smutečního obřa</w:t>
      </w:r>
      <w:r>
        <w:softHyphen/>
        <w:t>du nad rakví Kar</w:t>
      </w:r>
      <w:r>
        <w:t>la Čapka. A tak přišla církev a po</w:t>
      </w:r>
      <w:r>
        <w:softHyphen/>
        <w:t>jala mrtvé tělo básníkovo do svých loktů a po</w:t>
      </w:r>
      <w:r>
        <w:softHyphen/>
        <w:t>chovala je.</w:t>
      </w:r>
    </w:p>
    <w:p w:rsidR="00500724" w:rsidRDefault="00F30FB8">
      <w:pPr>
        <w:pStyle w:val="Zkladntext20"/>
        <w:shd w:val="clear" w:color="auto" w:fill="auto"/>
        <w:spacing w:after="40"/>
        <w:ind w:firstLine="260"/>
      </w:pPr>
      <w:r>
        <w:t>Zastavte se u dvojího významu slova pochovat i. Něco nekonečně krásného vždy se mi ozve v duši, kdykoli nejmenší vnouče zaprosí: pochovej mne! Karla Čapka církev p</w:t>
      </w:r>
      <w:r>
        <w:t>ochovala. Krásně, velebně a důstojně. Přesně vzato, nebyl Karel Čapek mužem církve; ale ona, velkorysá a lidská, otevřela svůj chrám, když se neotvíraly dveře chrámu národa. Starý odpůrce katolické církve svobodně vyznává, že ho nermoutí tento úspěch církv</w:t>
      </w:r>
      <w:r>
        <w:t>e, neváhaje dodati, že podle jeho mínění spočinula tělesná schránka milova</w:t>
      </w:r>
      <w:r>
        <w:softHyphen/>
        <w:t>ného básníka na konci své pouti v rukách důstojných a povolaných. Posíláme při té příležitosti uctivý po</w:t>
      </w:r>
      <w:r>
        <w:softHyphen/>
        <w:t>zdrav stařičkému opatu Zavoralovi.</w:t>
      </w:r>
    </w:p>
    <w:p w:rsidR="00500724" w:rsidRDefault="00F30FB8">
      <w:pPr>
        <w:pStyle w:val="Zkladntext20"/>
        <w:shd w:val="clear" w:color="auto" w:fill="auto"/>
        <w:spacing w:after="40"/>
        <w:ind w:firstLine="0"/>
        <w:jc w:val="center"/>
      </w:pPr>
      <w:r>
        <w:t>•</w:t>
      </w:r>
    </w:p>
    <w:p w:rsidR="00500724" w:rsidRDefault="00F30FB8">
      <w:pPr>
        <w:pStyle w:val="Zkladntext20"/>
        <w:shd w:val="clear" w:color="auto" w:fill="auto"/>
        <w:spacing w:after="40" w:line="197" w:lineRule="auto"/>
        <w:ind w:firstLine="260"/>
      </w:pPr>
      <w:r>
        <w:t>Nebylo by bývalo mnoho zapotřebí, aby s</w:t>
      </w:r>
      <w:r>
        <w:t>e z pohřbu Karla Čapka stala manifestační demonstrace všeho, čemu se do nedávná říkalo politická levice. Horko</w:t>
      </w:r>
      <w:r>
        <w:softHyphen/>
        <w:t>krevné hlavy tak zvané kulturní pravice stíhaly básní</w:t>
      </w:r>
      <w:r>
        <w:softHyphen/>
        <w:t>ka nepřátelstvím skoro do jeho posledního dechu — protože ho podezřívaly z politického levi</w:t>
      </w:r>
      <w:r>
        <w:t>čáctví. Pro- následovalý v něm »hradního člověka«, autora »Hovo- rů«, člověka, k jehož osobním přátelům náležely osob</w:t>
      </w:r>
      <w:r>
        <w:softHyphen/>
        <w:t>nosti ze socialistického tábora; a snad také tvůrce hrdinské epopeje z hornického života. Ale právě toto vše hromadilo na druhé straně moc</w:t>
      </w:r>
      <w:r>
        <w:t>nou energii sympatie.</w:t>
      </w:r>
    </w:p>
    <w:p w:rsidR="00500724" w:rsidRDefault="00F30FB8">
      <w:pPr>
        <w:pStyle w:val="Zkladntext20"/>
        <w:shd w:val="clear" w:color="auto" w:fill="auto"/>
        <w:spacing w:after="340"/>
        <w:ind w:firstLine="260"/>
      </w:pPr>
      <w:r>
        <w:t>Nuže, pohřeb intimního přítele T. G. M., autora duchovních dějin velikého národního učitele a filosofa, bojovníka a vůdce, byl by se mohl státi bojovnou ma</w:t>
      </w:r>
      <w:r>
        <w:softHyphen/>
        <w:t xml:space="preserve">nifestací. Jak řečeno, nebylo k tomu mnoho zapotřebí. Stačilo několik hodin </w:t>
      </w:r>
      <w:r>
        <w:t>tiché propagandy od úst k ústům, a největší sál Prahy byl by nepojal smuteční hosty, pohřební průvod byl by čítal desítky tisíců dělníků a jiných drobných českých lidí, a Čechy by se byly rozestoupily na dva tábory v době, kdy je tolik za</w:t>
      </w:r>
      <w:r>
        <w:softHyphen/>
        <w:t xml:space="preserve">potřebí jednoty. </w:t>
      </w:r>
      <w:r>
        <w:t>Příbuzní a osobní přátelé zesnulého odvrátili toto rozdvojení. Nemyslím, že mužové církve, kteří se ujali mrtvého těla odvážného Rozumáře, měli na paměti politické zřetele, jichž se tu dotýkáme. Spíše jednali v duchu svého náboženství, majíce na mysli spás</w:t>
      </w:r>
      <w:r>
        <w:t>u lidské duše. Dopadlo to dobře. Na církevní půdě stál vedle sebe Miroslav Rutte a Josef Hora, Jan Malypetr a Ferdinand Peroutka, a všichni — levičáci i pravičáci, socialisté i kapitalisté, nevěrci i katolíci, arijci i židé skláněli hlavy, když opat straho</w:t>
      </w:r>
      <w:r>
        <w:t>vského kláštera sloužil pontifikální mši.</w:t>
      </w:r>
    </w:p>
    <w:p w:rsidR="00500724" w:rsidRDefault="00F30FB8">
      <w:pPr>
        <w:pStyle w:val="Zkladntext20"/>
        <w:shd w:val="clear" w:color="auto" w:fill="auto"/>
        <w:spacing w:after="40" w:line="202" w:lineRule="auto"/>
        <w:ind w:firstLine="260"/>
      </w:pPr>
      <w:r>
        <w:t>Již dávno vím, že organisace veřejného ducha jest proces zdlouhavý a bolestný. Nelze jej ani nahradit ani uspíšit fysickým násilím. Pravdu má americký spisovatel, říká-li: Kdo pod násilným tlakem změní svoje přesvě</w:t>
      </w:r>
      <w:r>
        <w:t>dčení, nepřestane být, čím vždy byl; a ne</w:t>
      </w:r>
      <w:r>
        <w:softHyphen/>
        <w:t>stane se, čím nikdy nebyl. Skutečnou cenu trvalosti může míti toliko veřejný duch, vzniknuvší svobodně, alespoň v našem národě. Podklad jednoty v duchu a pravdě stále je zapotřebí živit, bojovati o něj, vycho- váva</w:t>
      </w:r>
      <w:r>
        <w:t xml:space="preserve">ti k němu. Postihl nás strašlivý úraz, ale není to smrt. Smrt by nastala, kdyby se všichni vrhli na všechny. Nehlásám jednotu lhostejnosti, zbabělosti, bezcharakternosti. Jednota v duchu a pravdě připouští i boje, jsou-li to boje za pravdu a ducha. Takové </w:t>
      </w:r>
      <w:r>
        <w:t>boje musí vésti láska, nikoli nenávist. Mnoho jsme chybo</w:t>
      </w:r>
      <w:r>
        <w:softHyphen/>
        <w:t>vali v uplynulém dvacetiletí. V jedné věci jsme však, myslím, nikdy neopustili správnou cestu: Nikdy jsme nepřehnali svoje zápasy stranické, ideové, zájmové. Jednali jsme vždy tak, aby si lidé z tábo</w:t>
      </w:r>
      <w:r>
        <w:t>rů znepřátele</w:t>
      </w:r>
      <w:r>
        <w:softHyphen/>
        <w:t>ných mohli zase kdykoli zasednout ke společnému stolu. V různých situacích byli vítězové a byli poraže</w:t>
      </w:r>
      <w:r>
        <w:softHyphen/>
        <w:t xml:space="preserve">ní. Ale vždycky byla zachována demokratická fair </w:t>
      </w:r>
      <w:r>
        <w:rPr>
          <w:lang w:val="en-US" w:eastAsia="en-US" w:bidi="en-US"/>
        </w:rPr>
        <w:t xml:space="preserve">play, </w:t>
      </w:r>
      <w:r>
        <w:t xml:space="preserve">vítěz nezneužil své moci, nezahnal oslabeného odpůrce do podzemí, dopřál mu svobody </w:t>
      </w:r>
      <w:r>
        <w:t>a nezkrátil jeho práva. A tak jsme se vyhnuli zrození a nahro</w:t>
      </w:r>
      <w:r>
        <w:softHyphen/>
        <w:t>madění veliké nenávisti, která je slepá, fanatická, vražedná, hloupá. Zachovali jsme míru, když měla protikatolická nálada vrcholnou konjunkturu, a za</w:t>
      </w:r>
      <w:r>
        <w:softHyphen/>
        <w:t>sáhli jsme do církevně-politických věcí s j</w:t>
      </w:r>
      <w:r>
        <w:t>istým taktem, takže některé zákony z toho oboru byly církvi sice protivné, nicméně však ještě snesitelné. To jest jediný příklad z mnohých. Ani vrcholná proti- socialistická konjunktura neroztrhla národ hlubokou, nepřeklenutelnou propastí. Jenom tak jsme z</w:t>
      </w:r>
      <w:r>
        <w:t>achovali jednotu, jenom tak jsme prošli v poměrném klidu katastrofou, jenom tak se zachováme v budoucnosti.</w:t>
      </w:r>
    </w:p>
    <w:p w:rsidR="00500724" w:rsidRDefault="00F30FB8">
      <w:pPr>
        <w:pStyle w:val="Zkladntext20"/>
        <w:shd w:val="clear" w:color="auto" w:fill="auto"/>
        <w:spacing w:after="40"/>
        <w:ind w:firstLine="260"/>
      </w:pPr>
      <w:r>
        <w:t>Tuto jednotu ve velikých věcech národa a státu musíme ostražitě držeti dále. Držeti, brániti, tvořiti, vychovávati k ní. Z pohřbu Karla Čapka mohl v</w:t>
      </w:r>
      <w:r>
        <w:t>zejiti významný rozkol v národě. Stal se opak, dík rozhodné vůli a jemné ruce pořadatelů. Tak zvaná levice ne</w:t>
      </w:r>
      <w:r>
        <w:softHyphen/>
        <w:t>demonstrovala. Tak zvaná pravice nevzdorovala. Jednotný národ společně pochovával jednoho ze svých největších básníků.</w:t>
      </w:r>
    </w:p>
    <w:p w:rsidR="00500724" w:rsidRDefault="00F30FB8">
      <w:pPr>
        <w:pStyle w:val="Zkladntext20"/>
        <w:shd w:val="clear" w:color="auto" w:fill="auto"/>
        <w:spacing w:line="202" w:lineRule="auto"/>
        <w:ind w:firstLine="260"/>
      </w:pPr>
      <w:r>
        <w:t>Katolické církvi tu připadl</w:t>
      </w:r>
      <w:r>
        <w:t>a významná, čestná úloha prostředníka. Vykonala ji s taktem a zdarem. Podrží staré české náboženství (české navzdory všemu!) tuto úlohu?</w:t>
      </w:r>
    </w:p>
    <w:p w:rsidR="00500724" w:rsidRDefault="00F30FB8">
      <w:pPr>
        <w:pStyle w:val="Zkladntext20"/>
        <w:shd w:val="clear" w:color="auto" w:fill="auto"/>
        <w:spacing w:after="120" w:line="180" w:lineRule="auto"/>
        <w:ind w:firstLine="0"/>
        <w:jc w:val="center"/>
      </w:pPr>
      <w:r>
        <w:t>®</w:t>
      </w:r>
    </w:p>
    <w:p w:rsidR="00500724" w:rsidRDefault="00F30FB8">
      <w:pPr>
        <w:pStyle w:val="Zkladntext20"/>
        <w:shd w:val="clear" w:color="auto" w:fill="auto"/>
        <w:ind w:firstLine="260"/>
      </w:pPr>
      <w:r>
        <w:t>Mrtvé pochovávati. K tomu je někdy zapotřebí odvahy. Stará sociální demokracie měla odvahu po</w:t>
      </w:r>
      <w:r>
        <w:softHyphen/>
        <w:t>chovali, co v její dokt</w:t>
      </w:r>
      <w:r>
        <w:t>ríně odumřelo. V oboru dějinné filosofie pochovala jednostranný historický mate</w:t>
      </w:r>
      <w:r>
        <w:softHyphen/>
        <w:t>rialismus; v oboru politiky pochovala starou zásadu marxistického třídního boje, nahradivši ji moderní zá</w:t>
      </w:r>
      <w:r>
        <w:softHyphen/>
        <w:t>sadou masarykovské demokracie. Mějme odvahu po</w:t>
      </w:r>
      <w:r>
        <w:softHyphen/>
        <w:t>hřbít mnohé z toho, čím</w:t>
      </w:r>
      <w:r>
        <w:t xml:space="preserve"> bylo naplněno naše mládí, a co se již nehodí do změněného obrazu světa. Za našeho mládí vykonávala politika (habsburská a aristokratická) zhoubný vliv na katolické náboženství. Za dnešních dnů vykonává katolické náboženství blahodárný vliv na politiku. Za</w:t>
      </w:r>
      <w:r>
        <w:t xml:space="preserve"> našich časů náleží katolická církev k silám duchovní a politické svobody. Dnes vzdělaný a svobody milovný člověk s úctou čítá projevy římského papeže a jiných církevních knížat. Svět je rozbit a roztrhán působením extremních a mi- litaristicky zdůrazněnýc</w:t>
      </w:r>
      <w:r>
        <w:t>h nacionalismů. V tomto světě duchovního rozkladu a úpadku blahodárně působí universalismus římskokatolické církve. Nepřekážejme</w:t>
      </w:r>
      <w:r>
        <w:br w:type="page"/>
        <w:t>působení tohoto ducha všelidského sbratření na půdě křesťanského světového názoru.</w:t>
      </w:r>
    </w:p>
    <w:p w:rsidR="00500724" w:rsidRDefault="00F30FB8">
      <w:pPr>
        <w:pStyle w:val="Zkladntext20"/>
        <w:shd w:val="clear" w:color="auto" w:fill="auto"/>
      </w:pPr>
      <w:r>
        <w:t>Po dlouhých letech zápasu s církví římskou d</w:t>
      </w:r>
      <w:r>
        <w:t>obral jsem se k tomuto přesvědčení, které tu svobodně vyznávám, nejsa k tomu ani donucen, ani za to pla</w:t>
      </w:r>
      <w:r>
        <w:softHyphen/>
        <w:t xml:space="preserve">cen. Změnil se svět, změnila se církev, změnili jsme se </w:t>
      </w:r>
      <w:r>
        <w:rPr>
          <w:b/>
          <w:bCs/>
        </w:rPr>
        <w:t xml:space="preserve">i </w:t>
      </w:r>
      <w:r>
        <w:t>my. V tragické situaci národa má u nás všesvětová církev své veliké poslání.</w:t>
      </w:r>
    </w:p>
    <w:p w:rsidR="00500724" w:rsidRDefault="00F30FB8">
      <w:pPr>
        <w:pStyle w:val="Zkladntext20"/>
        <w:shd w:val="clear" w:color="auto" w:fill="auto"/>
        <w:spacing w:after="80"/>
      </w:pPr>
      <w:r>
        <w:t>Může být, že také</w:t>
      </w:r>
      <w:r>
        <w:t xml:space="preserve"> v církvi se najdou nedočkaví konjunkturalisté, kteří budou žádati změny, k nimž nedospěl celek národa. Budou-li míti úspěch, ničeho pro svou věc nezískají a mnohé mohou zkazit. Také pro muže církve ať platí zásada demokratické fair </w:t>
      </w:r>
      <w:r>
        <w:rPr>
          <w:lang w:val="en-US" w:eastAsia="en-US" w:bidi="en-US"/>
        </w:rPr>
        <w:t xml:space="preserve">play. </w:t>
      </w:r>
      <w:r>
        <w:t>Svoboda svědomí z</w:t>
      </w:r>
      <w:r>
        <w:t>ůstane navždy nedotknutel</w:t>
      </w:r>
      <w:r>
        <w:softHyphen/>
        <w:t>ným dogmatem v národě Husově.</w:t>
      </w:r>
    </w:p>
    <w:p w:rsidR="00500724" w:rsidRDefault="00F30FB8">
      <w:pPr>
        <w:pStyle w:val="Zkladntext1"/>
        <w:shd w:val="clear" w:color="auto" w:fill="auto"/>
        <w:ind w:firstLine="0"/>
      </w:pPr>
      <w:r>
        <w:rPr>
          <w:i/>
          <w:iCs/>
          <w:sz w:val="20"/>
          <w:szCs w:val="20"/>
        </w:rPr>
        <w:t xml:space="preserve">F. </w:t>
      </w:r>
      <w:r>
        <w:rPr>
          <w:i/>
          <w:iCs/>
        </w:rPr>
        <w:t>Perou i k a:</w:t>
      </w:r>
    </w:p>
    <w:p w:rsidR="00500724" w:rsidRDefault="00F30FB8">
      <w:pPr>
        <w:pStyle w:val="Nadpis100"/>
        <w:shd w:val="clear" w:color="auto" w:fill="auto"/>
        <w:spacing w:after="0" w:line="178" w:lineRule="auto"/>
      </w:pPr>
      <w:bookmarkStart w:id="44" w:name="bookmark43"/>
      <w:r>
        <w:t>Kdyby byla vypukla válka...</w:t>
      </w:r>
      <w:r>
        <w:br/>
        <w:t>n.</w:t>
      </w:r>
      <w:bookmarkEnd w:id="44"/>
    </w:p>
    <w:p w:rsidR="00500724" w:rsidRDefault="00F30FB8">
      <w:pPr>
        <w:pStyle w:val="Zkladntext20"/>
        <w:shd w:val="clear" w:color="auto" w:fill="auto"/>
      </w:pPr>
      <w:r>
        <w:t xml:space="preserve">Někteří ovšem teď řeknou: Dobrá, tedy Anglie ne, Francie ne, ale Rusko bylo přece ochotno nám přispěchat na pomoc? V tom je to právě: ve spěchání, v </w:t>
      </w:r>
      <w:r>
        <w:t>rychlost vůbec nebylo možno doufat; a my bychom byli bývali potřebovali pomoci bleskurychle; kdyby Rusko se nakonec rozhodlo nám třeba samo pomoci, bylo by se mohlo pro přirozenou povahu věcí blížit k místu naší tragedie jen hlemýždím krokem; bylo by dospě</w:t>
      </w:r>
      <w:r>
        <w:t>lo prvními hlídkami někam na východní Sloven</w:t>
      </w:r>
      <w:r>
        <w:softHyphen/>
        <w:t>sko, když u nás vše už bylo dokonáno.</w:t>
      </w:r>
    </w:p>
    <w:p w:rsidR="00500724" w:rsidRDefault="00F30FB8">
      <w:pPr>
        <w:pStyle w:val="Zkladntext20"/>
        <w:shd w:val="clear" w:color="auto" w:fill="auto"/>
      </w:pPr>
      <w:r>
        <w:t>Ale ruské thema v této historii je možno rozvésti. Rusko vskutku nezasluhuje si takových našich odsud</w:t>
      </w:r>
      <w:r>
        <w:softHyphen/>
        <w:t>ků, jako jiní naši spojenci; chovalo se až do poslední chvíle korektně;</w:t>
      </w:r>
      <w:r>
        <w:t xml:space="preserve"> několikrát prohlásilo, že splní všechny své spojenecké závazky, a nemáme žádného důkazu, abychom mohli říci, že by tak bylo neučinilo. Skeptik ovšem může nadhodit, že Rusku bylo poměrně lehko tak mluvit, jestliže vědělo, že Francie sama rozbije tento spoj</w:t>
      </w:r>
      <w:r>
        <w:t>enecký systém a zbaví Rusko povinnosti jiti Československu na pomoc; podle smlouvy bylo Rusko povinno bojovat po našem boku jen tenkrát, jestliže Francie tak učiní. Jestliže tedy Rusko dobře prohlédlo ledví Francie, nebylo pro ně v jeho prohlašování o za</w:t>
      </w:r>
      <w:r>
        <w:softHyphen/>
        <w:t>c</w:t>
      </w:r>
      <w:r>
        <w:t>hování smlouvy žádného risika: Francie nejde, Rusko tedy také nemusí jít, a všechna hana padá na Francii. Ale máme z poslední doby tak špatné zážitky, že jsme vděčni už i za pouhou korektnost.</w:t>
      </w:r>
    </w:p>
    <w:p w:rsidR="00500724" w:rsidRDefault="00F30FB8">
      <w:pPr>
        <w:pStyle w:val="Zkladntext20"/>
        <w:shd w:val="clear" w:color="auto" w:fill="auto"/>
      </w:pPr>
      <w:r>
        <w:t>Nyní jde v naší úvaze o to, zda, když už jsme byli veřejně opuš</w:t>
      </w:r>
      <w:r>
        <w:t>těni Francií a Anglií, měli jsme se snad pustiti do zápasu s Německem, Polskem a Maďar</w:t>
      </w:r>
      <w:r>
        <w:softHyphen/>
        <w:t>skem, spoléhajíce aspoň na Rusko. Někteří lidé v kri</w:t>
      </w:r>
      <w:r>
        <w:softHyphen/>
        <w:t>tických zářijových dnech zapřísahali vládu, aby tak učinila, a nyní s hněvem vzpomínají na to, co poklá</w:t>
      </w:r>
      <w:r>
        <w:softHyphen/>
        <w:t>dají za prop</w:t>
      </w:r>
      <w:r>
        <w:t>asenou příležitost. Bylo v tom mnoho romantismu, který, jak se zdá, nás vždy bude v našem poměru k Rusku provázeti, ať už je to Rusko carské nebo komunistické.</w:t>
      </w:r>
    </w:p>
    <w:p w:rsidR="00500724" w:rsidRDefault="00F30FB8">
      <w:pPr>
        <w:pStyle w:val="Zkladntext20"/>
        <w:shd w:val="clear" w:color="auto" w:fill="auto"/>
        <w:spacing w:after="40"/>
        <w:ind w:firstLine="280"/>
      </w:pPr>
      <w:r>
        <w:t>Pravda jest, že naše vláda se o to ani nepokusila, aby se společně s jediným Ruskem dala do boje</w:t>
      </w:r>
      <w:r>
        <w:t xml:space="preserve"> proti Německu. Musíme připustit, že, jak jeho kritikové vyčítají, dr. Beneš se v Moskvě ani neinformoval, zda tato možnost existuje. Opravdu ve vůdčích našich kruzích nebyla žádná nálada pro takovou frontu, již by bylo tak snadno pomlouvat jako bolševicko</w:t>
      </w:r>
      <w:r>
        <w:t>u. Dr. Beneš nepochybně nezapomněl, jak velké úspěchy sklidilo Německo se svou protibolševickou agitací; věděl, jak této agitaci podařilo se postrašit vládní a jiné vlivné vrstvy na západě a předvídal, že by naše společná válečná fronta s Ruskem neměla při</w:t>
      </w:r>
      <w:r>
        <w:t>tažlivou sílu pro další spojence; že bychom na konec byli podle vší pravděpodobnosti zůstali s Ruskem osamoceni, a že by to bylo nestačilo v boji, jenž nastával. To si ne</w:t>
      </w:r>
      <w:r>
        <w:softHyphen/>
        <w:t>vymýšlíme teprve teď: podezření, že by Francie sama nebo Rusko samo nestačily proti n</w:t>
      </w:r>
      <w:r>
        <w:t>ovému Německu, bylo základem francouzsko-ruského spolku a vůbec celé ideje kolektivní bezpečnosti. Dr. Beneš se tedy právem rozpakoval jít do boje s půlkou systému, když se vždy věřilo, že bude musit fungovat systém celý, má-li zápas dopadnout dobře.</w:t>
      </w:r>
    </w:p>
    <w:p w:rsidR="00500724" w:rsidRDefault="00F30FB8">
      <w:pPr>
        <w:pStyle w:val="Zkladntext20"/>
        <w:shd w:val="clear" w:color="auto" w:fill="auto"/>
        <w:spacing w:after="40"/>
      </w:pPr>
      <w:r>
        <w:t>Ostat</w:t>
      </w:r>
      <w:r>
        <w:t>ně z toho, že Rusko korektně prohlašovalo, že zachová spojenecké smlouvy, nelze ještě vyvozovat, že by Rusko stejně ochotně vystupovalo i nad míru svých závazků, to jest, že by nám bylo šlo na pomoc samo, i když je smlouva k tomu už nenutila. To jest nejen</w:t>
      </w:r>
      <w:r>
        <w:t xml:space="preserve"> pochybno, ba přímo neuvěřitelno a skoro proti- přirozeno. Rusku nemohlo zůstat tajno, že </w:t>
      </w:r>
      <w:r>
        <w:rPr>
          <w:lang w:val="en-US" w:eastAsia="en-US" w:bidi="en-US"/>
        </w:rPr>
        <w:t xml:space="preserve">Chamber- lain </w:t>
      </w:r>
      <w:r>
        <w:t xml:space="preserve">i </w:t>
      </w:r>
      <w:r>
        <w:rPr>
          <w:lang w:val="en-US" w:eastAsia="en-US" w:bidi="en-US"/>
        </w:rPr>
        <w:t xml:space="preserve">Bonnet </w:t>
      </w:r>
      <w:r>
        <w:t>vedou politiku svých zemí směrem ne</w:t>
      </w:r>
      <w:r>
        <w:softHyphen/>
        <w:t>příznivým vůči Rusku, a že oba tito mužové věru by si nedělali nic z toho, kdyby dnešní ruský systém zmizel</w:t>
      </w:r>
      <w:r>
        <w:t xml:space="preserve"> s povrchu zemského; za takových okolností bylo by Rusko, postavivší se samo na naši stranu, mohlo pojednou shledat, že se octlo v pasti a že smě</w:t>
      </w:r>
      <w:r>
        <w:softHyphen/>
        <w:t>řuje ke katastrofě, která jest většinou světa horlivě nebo tajně schvalována. Proto ruští vůdcové by se byli n</w:t>
      </w:r>
      <w:r>
        <w:t xml:space="preserve">eskonale pečlivě rozmýšleli o této eventualitě, než předpokládají ti u nás, kteří věří, že vztahy mezi státy jsou tak jednoduché, že by bylo prostě stačilo Rusko požádat, aby nám pomohlo. Jisto jest, že by bylo na konec rozhodlo věc podle svých vlastních, </w:t>
      </w:r>
      <w:r>
        <w:t>nikoli podle zájmů našich, a sotva lze věřit, že by bylo odpovídalo ruským zájmům, aby bylo stanulo samo proti Německu ke konečnému vyúčtování. Představa o Rusku, které v září planulo touhou postavit se na naši stranu a čekalo jen na požádání (jako by po</w:t>
      </w:r>
      <w:r>
        <w:softHyphen/>
        <w:t>ž</w:t>
      </w:r>
      <w:r>
        <w:t>ádání samo mohlo hrát nějakou významnou roli tam, kde jde o život a smrt národů a systémů), jest beze vší pochyby legenda. Rusko jest jen v té příznivější situaci, že události se shlukly tak, že jeho odhodlanost nebyla vyzkoušena.</w:t>
      </w:r>
    </w:p>
    <w:p w:rsidR="00500724" w:rsidRDefault="00F30FB8">
      <w:pPr>
        <w:pStyle w:val="Zkladntext20"/>
        <w:shd w:val="clear" w:color="auto" w:fill="auto"/>
        <w:spacing w:after="40"/>
      </w:pPr>
      <w:r>
        <w:t>Ale jděme dále a řekněme,</w:t>
      </w:r>
      <w:r>
        <w:t xml:space="preserve"> že by tedy naše žádost sama měla takovou čarovnou moc, že by bývala mohla způsobiti, aby Sovětské Rusko bez rozmyšlení vsadilo celou svou existenci na kartu boje po našem boku. Dejme tomu, že by ruské divise na rumunských hrani</w:t>
      </w:r>
      <w:r>
        <w:softHyphen/>
        <w:t>cích byly dostaly povel k p</w:t>
      </w:r>
      <w:r>
        <w:t>ochodu. Jak by nám to bylo ulehčilo naše postavení?</w:t>
      </w:r>
    </w:p>
    <w:p w:rsidR="00500724" w:rsidRDefault="00F30FB8">
      <w:pPr>
        <w:pStyle w:val="Zkladntext20"/>
        <w:shd w:val="clear" w:color="auto" w:fill="auto"/>
      </w:pPr>
      <w:r>
        <w:rPr>
          <w:noProof/>
        </w:rPr>
        <mc:AlternateContent>
          <mc:Choice Requires="wps">
            <w:drawing>
              <wp:anchor distT="50800" distB="254000" distL="114300" distR="114300" simplePos="0" relativeHeight="125829402" behindDoc="0" locked="0" layoutInCell="1" allowOverlap="1">
                <wp:simplePos x="0" y="0"/>
                <wp:positionH relativeFrom="page">
                  <wp:posOffset>6869430</wp:posOffset>
                </wp:positionH>
                <wp:positionV relativeFrom="margin">
                  <wp:posOffset>9094470</wp:posOffset>
                </wp:positionV>
                <wp:extent cx="140335" cy="13398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40335" cy="133985"/>
                        </a:xfrm>
                        <a:prstGeom prst="rect">
                          <a:avLst/>
                        </a:prstGeom>
                        <a:noFill/>
                      </wps:spPr>
                      <wps:txbx>
                        <w:txbxContent>
                          <w:p w:rsidR="00500724" w:rsidRDefault="00F30FB8">
                            <w:pPr>
                              <w:pStyle w:val="Jin0"/>
                              <w:shd w:val="clear" w:color="auto" w:fill="auto"/>
                              <w:ind w:firstLine="0"/>
                              <w:jc w:val="left"/>
                              <w:rPr>
                                <w:sz w:val="15"/>
                                <w:szCs w:val="15"/>
                              </w:rPr>
                            </w:pPr>
                            <w:r>
                              <w:rPr>
                                <w:rFonts w:ascii="Arial" w:eastAsia="Arial" w:hAnsi="Arial" w:cs="Arial"/>
                                <w:b/>
                                <w:bCs/>
                                <w:sz w:val="15"/>
                                <w:szCs w:val="15"/>
                              </w:rPr>
                              <w:t>ví</w:t>
                            </w:r>
                          </w:p>
                        </w:txbxContent>
                      </wps:txbx>
                      <wps:bodyPr lIns="0" tIns="0" rIns="0" bIns="0">
                        <a:spAutoFit/>
                      </wps:bodyPr>
                    </wps:wsp>
                  </a:graphicData>
                </a:graphic>
              </wp:anchor>
            </w:drawing>
          </mc:Choice>
          <mc:Fallback>
            <w:pict>
              <v:shape id="_x0000_s1051" type="#_x0000_t202" style="position:absolute;margin-left:540.89999999999998pt;margin-top:716.10000000000002pt;width:11.050000000000001pt;height:10.550000000000001pt;z-index:-125829351;mso-wrap-distance-left:9.pt;mso-wrap-distance-top:4.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000000"/>
                          <w:spacing w:val="0"/>
                          <w:w w:val="100"/>
                          <w:position w:val="0"/>
                          <w:sz w:val="15"/>
                          <w:szCs w:val="15"/>
                          <w:shd w:val="clear" w:color="auto" w:fill="auto"/>
                          <w:lang w:val="cs-CZ" w:eastAsia="cs-CZ" w:bidi="cs-CZ"/>
                        </w:rPr>
                        <w:t>ví</w:t>
                      </w:r>
                    </w:p>
                  </w:txbxContent>
                </v:textbox>
                <w10:wrap type="topAndBottom" anchorx="page" anchory="margin"/>
              </v:shape>
            </w:pict>
          </mc:Fallback>
        </mc:AlternateContent>
      </w:r>
      <w:r>
        <w:t>Jak bylo povinností každého veřejně působícího muže od té chvíle, co jsme uzavřeli s Ruskem spoje</w:t>
      </w:r>
      <w:r>
        <w:softHyphen/>
        <w:t>neckou smlouvu, hleděl jsem nabýt spolehlivých zpráv o hodnotě ruské armády. Musím přiznat, že se mi</w:t>
      </w:r>
      <w:r>
        <w:t xml:space="preserve"> to nepodařilo. Slyšel jsem věci různé, od zpráv dobrých až po nejhorší, od tvrzení, že dnešní ruská armáda jest několikanásobně lepší armády carské, až po zprá</w:t>
      </w:r>
      <w:r>
        <w:softHyphen/>
        <w:t>vy téměř katastrofální, opírající se prý o zkušenosti z krátkých letních bojů mezi Ruskem a Jap</w:t>
      </w:r>
      <w:r>
        <w:t>onskem na Dálném východě. Tehdy prý Japonsko vyvolalo konflikt, aby vyzkoušelo hodnotu ruské armády. Odpověď na otázku, jaký byl výsledek zkoušky, je prý v tom, že od té doby Japonsko bezstarostně pronikalo do Číny. Nepodařilo se mi v sobě tento chaos vzni</w:t>
      </w:r>
      <w:r>
        <w:t>ka</w:t>
      </w:r>
      <w:r>
        <w:softHyphen/>
        <w:t>jící z různých zpráv uspořádati, ač se mi vždy zdálo, že nadšené zprávy o ruské armádě byly trochu více neseny citem, než by mělo býti dovoleno při odhado</w:t>
      </w:r>
      <w:r>
        <w:softHyphen/>
        <w:t xml:space="preserve">vání věci pro nás tak důležité. Avšak i toho nechrne a připusťme, že by dobrá ruská armáda hned v </w:t>
      </w:r>
      <w:r>
        <w:t>prvních hodinách války se pohnula, aby nám přišla na pomoc. V té věci bylo ilusí snad nejvíce. Beze všech skuteč</w:t>
      </w:r>
      <w:r>
        <w:softHyphen/>
        <w:t>ných předpokladů a bez znalostí faktů vypočítávali lidé, jak brzo by Rusové zasáhli do našeho boje v Čechách. Pravda byla neskonale krutější, p</w:t>
      </w:r>
      <w:r>
        <w:t>oněvadž byla neskonale pomalejší.</w:t>
      </w:r>
    </w:p>
    <w:p w:rsidR="00500724" w:rsidRDefault="00F30FB8">
      <w:pPr>
        <w:pStyle w:val="Zkladntext20"/>
        <w:shd w:val="clear" w:color="auto" w:fill="auto"/>
        <w:tabs>
          <w:tab w:val="left" w:pos="3898"/>
        </w:tabs>
        <w:spacing w:after="220"/>
        <w:rPr>
          <w:sz w:val="20"/>
          <w:szCs w:val="20"/>
        </w:rPr>
      </w:pPr>
      <w:r>
        <w:t>Ruská armáda nikdy v celé historii nevynikala tam, kde měla postupovat a útočit. Několikráte přemohla nebezpečného nepřítele houževnatostí v obraně, ale několikráte sama se ztroskotala tím, že podnikla útok. Sotva lze věři</w:t>
      </w:r>
      <w:r>
        <w:t>t, že by se tyto historické skutečnosti byly mohly důkladně proměnit za pouhých dvacet let, tím méně, když zprávy o stavu komunikací v Rusku věru nepovzbuzují k víře, že tento stát by mohl rychle posunovat a přemísťovat svá vojska, jak je nezbytno při ofen</w:t>
      </w:r>
      <w:r>
        <w:t>sivě. A ofensivu jsme od něho čekali, není-liž pravda? Co by nám bylo pomohlo Rusko jen se bránící a zůstávající tisíc kilometrů od nás? Tak by tedy ruská armáda v první den války se začala po</w:t>
      </w:r>
      <w:r>
        <w:softHyphen/>
        <w:t>sunovat jedinou a jednokolejnou drahou na Podkar</w:t>
      </w:r>
      <w:r>
        <w:softHyphen/>
        <w:t>patskou Rus, p</w:t>
      </w:r>
      <w:r>
        <w:t>ředpokládáme-li, že by to bylo Ru</w:t>
      </w:r>
      <w:r>
        <w:softHyphen/>
        <w:t>munsko bez odporu dovolilo, i když vidělo, že Anglie a Francie se odhodlaly stát stranou. Za jak dlouho by byla urazila ruská armáda tisíc kilometrů do Čech a v jakém stavu by nás byla nalezla? I nejlepší armádě jest zakáz</w:t>
      </w:r>
      <w:r>
        <w:t>áno postupovat příliš rychle, nechce-li se vystavit téměř jisté porážce. Každá armáda smí po</w:t>
      </w:r>
      <w:r>
        <w:softHyphen/>
        <w:t>stupovat jen tak rychle, jak rychle stačí za sebou vy</w:t>
      </w:r>
      <w:r>
        <w:softHyphen/>
        <w:t>budovat nejdůležitější etapní zařízení. Postoupivší armáda bez zajištěného zásobování a vybudovaného styku se</w:t>
      </w:r>
      <w:r>
        <w:t xml:space="preserve"> zázemím jest ztracena. Skoro za každým vojákem na frontě musí jet jeden vůz v etapě. Proto mají generální štáby vypočítáno, že armády, i když se nepotkávají s odporem, smějí postoupit jen určitý, zcela omezený počet kilometrů denně, beznadějně malý, jde-l</w:t>
      </w:r>
      <w:r>
        <w:t>i v celku o kilometrů tisíc. Ruská armáda sama se o tom ke své škodě poučila r. 1920 u Varšavy, německá armáda r. 1914 na Marně. Ve svém nej</w:t>
      </w:r>
      <w:r>
        <w:softHyphen/>
        <w:t>vlastnějším zájmu nebyla by směla Vorošilovova armáda se hnát tak dopředu, jak v to někteří u nás doufali. Mohla po</w:t>
      </w:r>
      <w:r>
        <w:t>stupovat jen současně s co nej</w:t>
      </w:r>
      <w:r>
        <w:softHyphen/>
        <w:t>pečlivějším vybudováním zázemí, což jistě při stavu ruské výroby nebyla dobrá předpověď pro tempo. Někdy ■—■ nejdříve ■— za čtvrt roku byly by mohly ruské síly zasáhnout podstatně do našich bojů. Byli bychom za čtvrt roku ješ</w:t>
      </w:r>
      <w:r>
        <w:t>tě vůbec bojovali? A ne- zdržela by zima postup Rusů ještě více a nebylo by Rusko, i kdyby se zatím nepotkalo s velkými překáž</w:t>
      </w:r>
      <w:r>
        <w:softHyphen/>
        <w:t>kami, hotovo ke skutečnému zasáhnutí teprve na jaře, tedy za půl roku? Co by byla pak ruská armáda u nás našla?</w:t>
      </w:r>
      <w:r>
        <w:tab/>
      </w:r>
      <w:r>
        <w:rPr>
          <w:sz w:val="20"/>
          <w:szCs w:val="20"/>
        </w:rPr>
        <w:t>(Dokončení.)</w:t>
      </w:r>
    </w:p>
    <w:p w:rsidR="00500724" w:rsidRDefault="00F30FB8">
      <w:pPr>
        <w:pStyle w:val="Zkladntext20"/>
        <w:shd w:val="clear" w:color="auto" w:fill="auto"/>
        <w:spacing w:line="218" w:lineRule="auto"/>
        <w:ind w:firstLine="0"/>
        <w:rPr>
          <w:sz w:val="20"/>
          <w:szCs w:val="20"/>
        </w:rPr>
      </w:pPr>
      <w:r>
        <w:rPr>
          <w:i/>
          <w:iCs/>
          <w:sz w:val="20"/>
          <w:szCs w:val="20"/>
        </w:rPr>
        <w:t>Josef Kal mer:</w:t>
      </w:r>
    </w:p>
    <w:p w:rsidR="00500724" w:rsidRDefault="00F30FB8">
      <w:pPr>
        <w:pStyle w:val="Nadpis100"/>
        <w:shd w:val="clear" w:color="auto" w:fill="auto"/>
        <w:spacing w:after="0" w:line="221" w:lineRule="auto"/>
      </w:pPr>
      <w:bookmarkStart w:id="45" w:name="bookmark44"/>
      <w:r>
        <w:t>Třetí tliema</w:t>
      </w:r>
      <w:bookmarkEnd w:id="45"/>
    </w:p>
    <w:p w:rsidR="00500724" w:rsidRDefault="00F30FB8">
      <w:pPr>
        <w:pStyle w:val="Nadpis100"/>
        <w:shd w:val="clear" w:color="auto" w:fill="auto"/>
        <w:spacing w:after="0"/>
        <w:ind w:firstLine="240"/>
        <w:jc w:val="both"/>
      </w:pPr>
      <w:bookmarkStart w:id="46" w:name="bookmark45"/>
      <w:r>
        <w:t>pro úvodníky světového tisku</w:t>
      </w:r>
      <w:bookmarkEnd w:id="46"/>
    </w:p>
    <w:p w:rsidR="00500724" w:rsidRDefault="00F30FB8">
      <w:pPr>
        <w:pStyle w:val="Zkladntext1"/>
        <w:shd w:val="clear" w:color="auto" w:fill="auto"/>
        <w:spacing w:line="206" w:lineRule="auto"/>
        <w:ind w:firstLine="0"/>
        <w:jc w:val="center"/>
      </w:pPr>
      <w:r>
        <w:t>(Džibuti)</w:t>
      </w:r>
    </w:p>
    <w:p w:rsidR="00500724" w:rsidRDefault="00F30FB8">
      <w:pPr>
        <w:pStyle w:val="Zkladntext1"/>
        <w:shd w:val="clear" w:color="auto" w:fill="auto"/>
        <w:spacing w:line="206" w:lineRule="auto"/>
        <w:ind w:firstLine="240"/>
      </w:pPr>
      <w:r>
        <w:t>Stavba italské koloniální říše v severní Africe má do světa jedinou bránu: Džibuti. Všechny ostatní přístavy italských kolonií můžeme považovali nanejvýš za nou</w:t>
      </w:r>
      <w:r>
        <w:softHyphen/>
        <w:t>zový východ.</w:t>
      </w:r>
    </w:p>
    <w:p w:rsidR="00500724" w:rsidRDefault="00F30FB8">
      <w:pPr>
        <w:pStyle w:val="Zkladntext1"/>
        <w:shd w:val="clear" w:color="auto" w:fill="auto"/>
        <w:spacing w:line="206" w:lineRule="auto"/>
        <w:ind w:firstLine="240"/>
      </w:pPr>
      <w:r>
        <w:t>Džibutská brána</w:t>
      </w:r>
      <w:r>
        <w:t xml:space="preserve"> má ovšem tu nevýhodu, že ji hlídá cizí vrátný. To dává podnět k napětí mezi Itálií a Fran</w:t>
      </w:r>
      <w:r>
        <w:softHyphen/>
        <w:t>cií v severní Africe. Příčiny jsou však hlubší.</w:t>
      </w:r>
    </w:p>
    <w:p w:rsidR="00500724" w:rsidRDefault="00F30FB8">
      <w:pPr>
        <w:pStyle w:val="Zkladntext1"/>
        <w:shd w:val="clear" w:color="auto" w:fill="auto"/>
        <w:spacing w:line="209" w:lineRule="auto"/>
        <w:ind w:firstLine="0"/>
        <w:jc w:val="center"/>
      </w:pPr>
      <w:r>
        <w:t>Zprvu uhelná stanice</w:t>
      </w:r>
    </w:p>
    <w:p w:rsidR="00500724" w:rsidRDefault="00F30FB8">
      <w:pPr>
        <w:pStyle w:val="Zkladntext1"/>
        <w:shd w:val="clear" w:color="auto" w:fill="auto"/>
        <w:spacing w:line="209" w:lineRule="auto"/>
      </w:pPr>
      <w:r>
        <w:t xml:space="preserve">Angličané obsadili </w:t>
      </w:r>
      <w:r>
        <w:rPr>
          <w:lang w:val="en-US" w:eastAsia="en-US" w:bidi="en-US"/>
        </w:rPr>
        <w:t xml:space="preserve">Aden </w:t>
      </w:r>
      <w:r>
        <w:t>právě před sto lety, v xednu 1859. Tadžurskou zátoku, která leží hned na</w:t>
      </w:r>
      <w:r>
        <w:t>proti, obsa</w:t>
      </w:r>
      <w:r>
        <w:softHyphen/>
        <w:t>dili Francouzi teprve v r. 1862. Kdyby Ferdinand Les- seps nebyl vybudoval suezský průplav, nikdy by Fran</w:t>
      </w:r>
      <w:r>
        <w:softHyphen/>
        <w:t>cii nebylo napadlo obsaditi somálské pobřeží a nebylo by ani Džibuti. Hledajíc uhelnou základnu pro lodi, plu</w:t>
      </w:r>
      <w:r>
        <w:softHyphen/>
        <w:t>jící do vzdálených východníc</w:t>
      </w:r>
      <w:r>
        <w:t>h kolonií, koupila Francie v r. 1862 od tadžurského sultána O b o k, který se však pro přístav nehodil. V r. 1888 rozšířila proto svou državu o Džibuti, ačkoli ani džibutská, lagunovitá, mělká zá</w:t>
      </w:r>
      <w:r>
        <w:softHyphen/>
        <w:t>toka s korálovými útesy není vlastně žádný přístav, po</w:t>
      </w:r>
      <w:r>
        <w:softHyphen/>
        <w:t>něvad</w:t>
      </w:r>
      <w:r>
        <w:t>ž lodi nemohou v ní zakotvit. Velké lodi kotví v tadžurské zátoce, vzdálené od města půl druhého kilo</w:t>
      </w:r>
      <w:r>
        <w:softHyphen/>
        <w:t>metru; zboží, které přivážejí, musí se překládati do lo</w:t>
      </w:r>
      <w:r>
        <w:softHyphen/>
        <w:t>děk, aby se náklad dostal na břeh.</w:t>
      </w:r>
    </w:p>
    <w:p w:rsidR="00500724" w:rsidRDefault="00F30FB8">
      <w:pPr>
        <w:pStyle w:val="Zkladntext1"/>
        <w:shd w:val="clear" w:color="auto" w:fill="auto"/>
        <w:spacing w:line="209" w:lineRule="auto"/>
      </w:pPr>
      <w:r>
        <w:t>Ale Džibuti má vůči všem jiným místům na tomto pobřeží jednu vý</w:t>
      </w:r>
      <w:r>
        <w:t>hodu: má vodu. Bylo ji sice třeba zí</w:t>
      </w:r>
      <w:r>
        <w:softHyphen/>
        <w:t>skat pomocí artézních studní a obsahuje pět gramů hoř</w:t>
      </w:r>
      <w:r>
        <w:softHyphen/>
        <w:t>číku v každém litru, ale je to přece pitná voda. Od těch dob vznikly už ovšem filtrovací stanice, dodávající vodu lodím a železnici. Pro obyvatelstvo — 700 bílých, 1</w:t>
      </w:r>
      <w:r>
        <w:t>3.000 Somálců a teď ještě 2000 habešských uprchlíků — posta</w:t>
      </w:r>
      <w:r>
        <w:softHyphen/>
        <w:t>vila Francie vodovod, který přivádí vodu až z Ambuli, tedy z vnitrozemí. Tak snášejí lidé toto strašlivé, nezdra</w:t>
      </w:r>
      <w:r>
        <w:softHyphen/>
        <w:t>vé podnebí. Jen těžko se dýchá vzduch, teplý průměrně 45 stupňů Celsia, a kromě toh</w:t>
      </w:r>
      <w:r>
        <w:t>o nasycený solí (mořská voda v adenské zátoce obsahuje 8 procent soli, nejvíc na celém světě).</w:t>
      </w:r>
    </w:p>
    <w:p w:rsidR="00500724" w:rsidRDefault="00F30FB8">
      <w:pPr>
        <w:pStyle w:val="Zkladntext1"/>
        <w:shd w:val="clear" w:color="auto" w:fill="auto"/>
        <w:spacing w:line="209" w:lineRule="auto"/>
      </w:pPr>
      <w:r>
        <w:t>Vůči těmto záporným okolnostem třeba zaznamenat tři kladné: námořní, hospodářský a politický význam Džibuti neustále roste. Po celá desítiletí zásoboval lodi, pl</w:t>
      </w:r>
      <w:r>
        <w:t>ující do Orientu, uhlím přístav v Aclenu, holá skaliska bez vody a bez důležitějšího zázemí. Donedávna byla v Džibuti jenom uhelná stanice, ale už asi rok jsou hotovy cisterny na masut. Od r. 1935 stavělo se i molo, vybíha</w:t>
      </w:r>
      <w:r>
        <w:softHyphen/>
        <w:t>jící daleko do moře. Nyní je už h</w:t>
      </w:r>
      <w:r>
        <w:t>otovo, takže v přístavu mohou zakotviti lodi střední tonáže. Francouzská sně</w:t>
      </w:r>
      <w:r>
        <w:softHyphen/>
        <w:t>movna povolila již dalších 80 milionů franků na výstav</w:t>
      </w:r>
      <w:r>
        <w:softHyphen/>
        <w:t>bu přístavu. Francouzští, italští a němečtí rejdaři dávají zásobovat své lodi v lacinějším Džibuti. Obrat přístavu stoupá ne</w:t>
      </w:r>
      <w:r>
        <w:t xml:space="preserve">ustále, zatím </w:t>
      </w:r>
      <w:r>
        <w:rPr>
          <w:lang w:val="en-US" w:eastAsia="en-US" w:bidi="en-US"/>
        </w:rPr>
        <w:t xml:space="preserve">co Aden </w:t>
      </w:r>
      <w:r>
        <w:t>prožívá nepřetržitý po</w:t>
      </w:r>
      <w:r>
        <w:softHyphen/>
        <w:t>kles.</w:t>
      </w:r>
    </w:p>
    <w:p w:rsidR="00500724" w:rsidRDefault="00F30FB8">
      <w:pPr>
        <w:pStyle w:val="Zkladntext1"/>
        <w:shd w:val="clear" w:color="auto" w:fill="auto"/>
        <w:spacing w:after="60" w:line="209" w:lineRule="auto"/>
      </w:pPr>
      <w:r>
        <w:t>Na rozdíl od Adenu má Džibuti hospodářsky důležité zázemí, jehož význam se denně zvětšuje. Toto zázemí — totiž Habeš nedávno dobytá — je sice odděleno od pří</w:t>
      </w:r>
      <w:r>
        <w:softHyphen/>
        <w:t>stavu několika sty kilometrů pouště, ale přes p</w:t>
      </w:r>
      <w:r>
        <w:t xml:space="preserve">oušť vede francouzsko-ethiopská dráha. Je úzkokolejná, ale je z Džibuti </w:t>
      </w:r>
      <w:r>
        <w:rPr>
          <w:lang w:val="en-US" w:eastAsia="en-US" w:bidi="en-US"/>
        </w:rPr>
        <w:t xml:space="preserve">do Addis </w:t>
      </w:r>
      <w:r>
        <w:t>Abeby 785 km dlouhá a je pupeč</w:t>
      </w:r>
      <w:r>
        <w:softHyphen/>
        <w:t>ní šňůrou, spojující civilisaci s habešskou vysočinou.</w:t>
      </w:r>
    </w:p>
    <w:p w:rsidR="00500724" w:rsidRDefault="00F30FB8">
      <w:pPr>
        <w:pStyle w:val="Zkladntext1"/>
        <w:shd w:val="clear" w:color="auto" w:fill="auto"/>
        <w:spacing w:line="209" w:lineRule="auto"/>
        <w:ind w:firstLine="0"/>
        <w:jc w:val="center"/>
      </w:pPr>
      <w:r>
        <w:t>27 h o d i n</w:t>
      </w:r>
    </w:p>
    <w:p w:rsidR="00500724" w:rsidRDefault="00F30FB8">
      <w:pPr>
        <w:pStyle w:val="Zkladntext1"/>
        <w:shd w:val="clear" w:color="auto" w:fill="auto"/>
        <w:spacing w:line="209" w:lineRule="auto"/>
        <w:ind w:firstLine="0"/>
      </w:pPr>
      <w:r>
        <w:t xml:space="preserve">jede vlak, patřící »Conipagnie du Chemin de Fer Fran- co-Ethiopien«, než </w:t>
      </w:r>
      <w:r>
        <w:t>překoná celou vzdálenost. Dráha je s to dopravit denně 800 tun. Italové tvrdí, že je to málo, a francouzští majitelé zas dokazují, že italské zásilky činí denně sotva 300 tun. Podstatou sporu jsou ovšem peníze. Ze 34.600 akcií (jeden podíl 500 franků) patř</w:t>
      </w:r>
      <w:r>
        <w:t>ilo 4600 podílů něgušovi Menelikovi II., který dal inžený</w:t>
      </w:r>
      <w:r>
        <w:softHyphen/>
        <w:t xml:space="preserve">rům Ilgovi a Chefneuxovi povolení ke stavbě dráhy. Tyto podíly prodal něguš Haiíe Selasie v prosinci 1953 železniční společnosti za 867.000 franků. Po dohodě </w:t>
      </w:r>
      <w:r>
        <w:rPr>
          <w:lang w:val="en-US" w:eastAsia="en-US" w:bidi="en-US"/>
        </w:rPr>
        <w:t>La</w:t>
      </w:r>
      <w:r>
        <w:rPr>
          <w:lang w:val="en-US" w:eastAsia="en-US" w:bidi="en-US"/>
        </w:rPr>
        <w:softHyphen/>
        <w:t>val</w:t>
      </w:r>
      <w:r>
        <w:t>—</w:t>
      </w:r>
      <w:r>
        <w:rPr>
          <w:lang w:val="en-US" w:eastAsia="en-US" w:bidi="en-US"/>
        </w:rPr>
        <w:t xml:space="preserve">Mussolini </w:t>
      </w:r>
      <w:r>
        <w:t>v lednu 1955 dostali It</w:t>
      </w:r>
      <w:r>
        <w:t>alové 2500 podílů, ale kupní cena nebyla oznámena.</w:t>
      </w:r>
    </w:p>
    <w:p w:rsidR="00500724" w:rsidRDefault="00F30FB8">
      <w:pPr>
        <w:pStyle w:val="Zkladntext1"/>
        <w:shd w:val="clear" w:color="auto" w:fill="auto"/>
        <w:spacing w:line="209" w:lineRule="auto"/>
      </w:pPr>
      <w:r>
        <w:t>Účast na akciovém kapitálu nezaručuje Italům spolu</w:t>
      </w:r>
      <w:r>
        <w:softHyphen/>
        <w:t>rozhodování ve správní radě dráhy. Ale právě tento vliv považují Italové za nejdůležitější, nebof 75—80 procent vývozu a dovozu z Habeše a do Habeše ovlád</w:t>
      </w:r>
      <w:r>
        <w:t>á ještě stále tato trať. Italové trpí nedostatkem devis — a francouzsko-ethiopská dráha je druhou nejdražší želez</w:t>
      </w:r>
      <w:r>
        <w:softHyphen/>
        <w:t xml:space="preserve">nicí na světě. Italové mohou zaplatit v lirách jenom část dopravních nákladů, druhou část musí platit devisami. Proto je Itálie nespokojena s </w:t>
      </w:r>
      <w:r>
        <w:t>dosavadním stavem.</w:t>
      </w:r>
    </w:p>
    <w:p w:rsidR="00500724" w:rsidRDefault="00F30FB8">
      <w:pPr>
        <w:pStyle w:val="Zkladntext1"/>
        <w:shd w:val="clear" w:color="auto" w:fill="auto"/>
        <w:spacing w:after="40" w:line="209" w:lineRule="auto"/>
      </w:pPr>
      <w:r>
        <w:t>Dráha je samožřejmě výnosná. Není mnoho podniků, které by mohly vyplácet 150 franků dividendy na 500 franků nominale, jak to učinila tato železniční společ</w:t>
      </w:r>
      <w:r>
        <w:softHyphen/>
        <w:t>nost v r. 1934. Po pravdě řečeno, vyžádala si však stav</w:t>
      </w:r>
      <w:r>
        <w:softHyphen/>
        <w:t>ba dráhy ohromných náklad</w:t>
      </w:r>
      <w:r>
        <w:t>ů, protože se musila vybu</w:t>
      </w:r>
      <w:r>
        <w:softHyphen/>
        <w:t>dovat v nejtěžším terénu. Francouzský stát musil převzít záruku za zúročení a úmor, neboť jinak by stavba ne</w:t>
      </w:r>
      <w:r>
        <w:softHyphen/>
        <w:t>byla bývala nikdy dokončena. Trať se začala stavět už v r 1897, ale dokončena byla teprve v r. 1917. Do r. 1924 vykazoval</w:t>
      </w:r>
      <w:r>
        <w:t>a dráha stále schodek, který musil hradit francouzský stát. Obligační dluh dráhy činil ještě v r. 1933 přes 80 milionů franků, které se zúročují 3%, vlastně 5h? proč.</w:t>
      </w:r>
    </w:p>
    <w:p w:rsidR="00500724" w:rsidRDefault="00F30FB8">
      <w:pPr>
        <w:pStyle w:val="Zkladntext1"/>
        <w:shd w:val="clear" w:color="auto" w:fill="auto"/>
        <w:spacing w:after="40" w:line="209" w:lineRule="auto"/>
        <w:ind w:left="1380" w:firstLine="0"/>
        <w:jc w:val="left"/>
      </w:pPr>
      <w:r>
        <w:t>Koncesena99let</w:t>
      </w:r>
    </w:p>
    <w:p w:rsidR="00500724" w:rsidRDefault="00F30FB8">
      <w:pPr>
        <w:pStyle w:val="Zkladntext1"/>
        <w:shd w:val="clear" w:color="auto" w:fill="auto"/>
        <w:spacing w:after="40" w:line="209" w:lineRule="auto"/>
      </w:pPr>
      <w:r>
        <w:t xml:space="preserve">Když byla dráha v r. 1917 dokončena, prodloužil něguš koncesi na dalších </w:t>
      </w:r>
      <w:r>
        <w:t>99 let, tedy až do r. 2016. Je pochopitelné, že Italové nechtějí tak dlouho čekat, sna</w:t>
      </w:r>
      <w:r>
        <w:softHyphen/>
        <w:t>žíce se získati dráhu do svých rukou. Z nejnovější histo</w:t>
      </w:r>
      <w:r>
        <w:softHyphen/>
        <w:t>rie známe již podobný případ ze »státu« Manžukuo, kte</w:t>
      </w:r>
      <w:r>
        <w:softHyphen/>
        <w:t>rý se zmocnil východočínské dráhy, patřící Rusku. Pod tlak</w:t>
      </w:r>
      <w:r>
        <w:t xml:space="preserve">em poměrů přistoupilo Rusko na prodej a přijalo nevýhodnou kupní cenu, ale z jednání mezi japonským velvyslancem </w:t>
      </w:r>
      <w:r>
        <w:rPr>
          <w:lang w:val="en-US" w:eastAsia="en-US" w:bidi="en-US"/>
        </w:rPr>
        <w:t xml:space="preserve">Togo </w:t>
      </w:r>
      <w:r>
        <w:t>a Litvínovem vyplývá, že Rusko Splátky nedostává. Nelze vědět, odhodíá-li se Itálie drá</w:t>
      </w:r>
      <w:r>
        <w:softHyphen/>
        <w:t>hu obsadit a vyvolat konflikt s Francií, ale druhá</w:t>
      </w:r>
      <w:r>
        <w:t xml:space="preserve"> cesta, kterou prozatím zvolila — totiž bojkot dráhy — nevedla dosud k úspěchu. Doprava desíti metrických centů mou</w:t>
      </w:r>
      <w:r>
        <w:softHyphen/>
        <w:t xml:space="preserve">ky přes italské Somálsko (přístav Mogadišu) </w:t>
      </w:r>
      <w:r>
        <w:rPr>
          <w:lang w:val="en-US" w:eastAsia="en-US" w:bidi="en-US"/>
        </w:rPr>
        <w:t xml:space="preserve">do Addis </w:t>
      </w:r>
      <w:r>
        <w:t>Abeby stojí 18 šilinků, zatím co dráha dopraví stejný náklad za 5 šilinků. Všechny devi</w:t>
      </w:r>
      <w:r>
        <w:t>sy, které Itálie bojko</w:t>
      </w:r>
      <w:r>
        <w:softHyphen/>
        <w:t>tem uspoří, vydá za pohonné látky pro lodi, dopravu</w:t>
      </w:r>
      <w:r>
        <w:softHyphen/>
        <w:t>jící mouku přes Indický oceán. Dosavadní pokusy, do</w:t>
      </w:r>
      <w:r>
        <w:softHyphen/>
        <w:t>pravovali zboží ve velkém pomocí nákladních aut z Massaua nebo z Assabu u Rudého moře, dokazují taktéž, že doprava po dráze je vý</w:t>
      </w:r>
      <w:r>
        <w:t>hodnější.</w:t>
      </w:r>
    </w:p>
    <w:p w:rsidR="00500724" w:rsidRDefault="00F30FB8">
      <w:pPr>
        <w:pStyle w:val="Zkladntext1"/>
        <w:shd w:val="clear" w:color="auto" w:fill="auto"/>
        <w:spacing w:line="209" w:lineRule="auto"/>
      </w:pPr>
      <w:r>
        <w:t xml:space="preserve">Itálie poznává, že kolonie jsou drahá věc, než začnou být výnosné. Nejdřív je třeba investovat, teprve potom lze kolonií využívat. Francie hradila celá desítiletí schodky města Džibuti, jehož roční rozpočet činí asi 15 milionů franků. Od r. 1924 </w:t>
      </w:r>
      <w:r>
        <w:t>žije Džibuti z cel, poplat</w:t>
      </w:r>
      <w:r>
        <w:softHyphen/>
        <w:t>ků a tarifů, které se platí v džibutském přístavu za ná</w:t>
      </w:r>
      <w:r>
        <w:softHyphen/>
        <w:t>klady, dopravované drahou do vnitrozemí italské kolo</w:t>
      </w:r>
      <w:r>
        <w:softHyphen/>
        <w:t xml:space="preserve">nie. Každý, kdo tuto zemi jednou viděl, pochopí, že Francie nemůže z pouště kolem Džibuti naprosto nic získat. Proto je </w:t>
      </w:r>
      <w:r>
        <w:t>tedy pochopitelné, že se nevzdá jediného pramene příjmů, který tam má a může míti.</w:t>
      </w:r>
    </w:p>
    <w:p w:rsidR="00500724" w:rsidRDefault="00F30FB8">
      <w:pPr>
        <w:pStyle w:val="Zkladntext1"/>
        <w:shd w:val="clear" w:color="auto" w:fill="auto"/>
        <w:spacing w:after="40" w:line="209" w:lineRule="auto"/>
      </w:pPr>
      <w:r>
        <w:t>Do r. 1935 dodávalo město Džibuti téměř všechnu sůl, kterou Habeš potřebuje, poněvadž sůl nemá. Z roční těžby, která dosáhla celkem 1762 tun, dodala společnost »Compagnie Co</w:t>
      </w:r>
      <w:r>
        <w:t>mmerciale des Sels Marinst (sůl se zde získává vypařováním) celých 1500 tun do Habeše. Itálie má dost soli na erythrejských hranicích. Nepotřebuje tedy džibutskou sůl, ale: těžba soli z mořské vody je je</w:t>
      </w:r>
      <w:r>
        <w:softHyphen/>
        <w:t>diným džibutským průmyslem.</w:t>
      </w:r>
    </w:p>
    <w:p w:rsidR="00500724" w:rsidRDefault="00F30FB8">
      <w:pPr>
        <w:pStyle w:val="Zkladntext1"/>
        <w:shd w:val="clear" w:color="auto" w:fill="auto"/>
        <w:spacing w:line="209" w:lineRule="auto"/>
      </w:pPr>
      <w:r>
        <w:t>Přes to vyšla Francie It</w:t>
      </w:r>
      <w:r>
        <w:t>alům vstříc. V naději, že se do</w:t>
      </w:r>
      <w:r>
        <w:softHyphen/>
        <w:t>prava zvětší, snížila železniční tarify o 20 procent. Mi</w:t>
      </w:r>
      <w:r>
        <w:softHyphen/>
        <w:t>mo to je ochotna povoliti Itálii výsadu, kterou něgušovi odepřela, totiž: svobodné pásmo v džibutském přístavu.</w:t>
      </w:r>
    </w:p>
    <w:p w:rsidR="00500724" w:rsidRDefault="00F30FB8">
      <w:pPr>
        <w:pStyle w:val="Zkladntext1"/>
        <w:shd w:val="clear" w:color="auto" w:fill="auto"/>
        <w:spacing w:after="40" w:line="209" w:lineRule="auto"/>
      </w:pPr>
      <w:r>
        <w:t>Postačí však tento ústupek? Itálie žádá také podíl na s</w:t>
      </w:r>
      <w:r>
        <w:t>uezském průplavu, odvolávajíc se na to, že k příjmům společnosti přispívá 17 procenty. Většina akcií je samo</w:t>
      </w:r>
      <w:r>
        <w:softHyphen/>
        <w:t>zřejmě ve francouzských rukou. Anglie přispívá k pří</w:t>
      </w:r>
      <w:r>
        <w:softHyphen/>
        <w:t>jmům společnosti 46 procenty, ale přes to nechce odvo- zovati z této okolnosti vlastnická práv</w:t>
      </w:r>
      <w:r>
        <w:t>a. Nejde tedy o příspěvky k zisku, nýbrž o politické hledisko.</w:t>
      </w:r>
    </w:p>
    <w:p w:rsidR="00500724" w:rsidRDefault="00F30FB8">
      <w:pPr>
        <w:pStyle w:val="Zkladntext1"/>
        <w:shd w:val="clear" w:color="auto" w:fill="auto"/>
        <w:spacing w:after="300" w:line="209" w:lineRule="auto"/>
      </w:pPr>
      <w:r>
        <w:t>Ať už dopadne boj o Džibuti jakkoli, tvář městečka se nezmění. Kromě solivarských kolib je v Džibuti je</w:t>
      </w:r>
      <w:r>
        <w:softHyphen/>
        <w:t>nom asi 200 evropských domů: hotely, vládní budovy, celní stanice, několik obchodních a s</w:t>
      </w:r>
      <w:r>
        <w:t>oukromých domů. Domorodí Somálci spali dříve pod širým nebem. Gu</w:t>
      </w:r>
      <w:r>
        <w:softHyphen/>
        <w:t>vernér to považoval za nemravné, a proto má dnes Dži</w:t>
      </w:r>
      <w:r>
        <w:softHyphen/>
        <w:t>buti zvláštní čtvrt domorodců z benzinových sudů, be</w:t>
      </w:r>
      <w:r>
        <w:softHyphen/>
        <w:t>den, ze zbytků plechu a z hadrů. Nevím, přispělo-li gu</w:t>
      </w:r>
      <w:r>
        <w:softHyphen/>
        <w:t>vernérovo rozhodnutí k zvýšení</w:t>
      </w:r>
      <w:r>
        <w:t xml:space="preserve"> mravnosti, ale tolik je jisto, že vzhled města není proto o nic romantičtější.</w:t>
      </w:r>
    </w:p>
    <w:p w:rsidR="00500724" w:rsidRDefault="00F30FB8">
      <w:pPr>
        <w:pStyle w:val="Nadpis80"/>
        <w:keepNext/>
        <w:keepLines/>
        <w:shd w:val="clear" w:color="auto" w:fill="auto"/>
        <w:spacing w:after="160"/>
      </w:pPr>
      <w:bookmarkStart w:id="47" w:name="bookmark46"/>
      <w:r>
        <w:t>doba a lidé</w:t>
      </w:r>
      <w:bookmarkEnd w:id="47"/>
    </w:p>
    <w:p w:rsidR="00500724" w:rsidRDefault="00F30FB8">
      <w:pPr>
        <w:pStyle w:val="Zkladntext1"/>
        <w:shd w:val="clear" w:color="auto" w:fill="auto"/>
        <w:spacing w:line="197" w:lineRule="auto"/>
        <w:ind w:firstLine="0"/>
        <w:rPr>
          <w:sz w:val="20"/>
          <w:szCs w:val="20"/>
        </w:rPr>
      </w:pPr>
      <w:r>
        <w:rPr>
          <w:i/>
          <w:iCs/>
          <w:sz w:val="20"/>
          <w:szCs w:val="20"/>
        </w:rPr>
        <w:t>Milena J e s e n s k á:</w:t>
      </w:r>
    </w:p>
    <w:p w:rsidR="00500724" w:rsidRDefault="00F30FB8">
      <w:pPr>
        <w:pStyle w:val="Nadpis100"/>
        <w:shd w:val="clear" w:color="auto" w:fill="auto"/>
        <w:spacing w:after="0" w:line="240" w:lineRule="auto"/>
        <w:ind w:left="500"/>
        <w:jc w:val="left"/>
      </w:pPr>
      <w:bookmarkStart w:id="48" w:name="bookmark47"/>
      <w:r>
        <w:t>Poslední dny Karla Čapka</w:t>
      </w:r>
      <w:bookmarkEnd w:id="48"/>
    </w:p>
    <w:p w:rsidR="00500724" w:rsidRDefault="00F30FB8">
      <w:pPr>
        <w:pStyle w:val="Zkladntext1"/>
        <w:shd w:val="clear" w:color="auto" w:fill="auto"/>
        <w:spacing w:line="211" w:lineRule="auto"/>
        <w:ind w:firstLine="240"/>
      </w:pPr>
      <w:r>
        <w:t>Karel Čapek nebyl nikdy docela zdráv. Churaví lidé jinak milují život a jinak se bojí vážné nemoci, než zdraví. Živ</w:t>
      </w:r>
      <w:r>
        <w:t>ot milují pokorně, jako by stáli opodál a do</w:t>
      </w:r>
      <w:r>
        <w:softHyphen/>
        <w:t>týkali se jen letmo věci překrásné a kouzelné, jsouce jen napolo zdraví, mají zbystřené srdce pro život a zahlédnou nejpodivnější krásy tam, kde ostatní vidí jenom obyčejnost. Udeří-li je osud, je první hnutí je</w:t>
      </w:r>
      <w:r>
        <w:t>jich myslí pokorné: snad je to tak v pořádku? Snad je to pro mne dobré dost? A zalézají tiše do samoty věcí, aby nikoho neobtěžovali svou bolestí. Proti vážné nemoci nemívají vzdorného vzteku silných a zdravých, u kterých je těžká nemoc jako rána do živého</w:t>
      </w:r>
      <w:r>
        <w:t xml:space="preserve"> a zdravé</w:t>
      </w:r>
      <w:r>
        <w:softHyphen/>
        <w:t>ho masa. Brání se proti ní tím, že ji neberou na vědo</w:t>
      </w:r>
      <w:r>
        <w:softHyphen/>
        <w:t>most. Nechávají si ji pro sebe, tají ji bedlivě i sobě samým, odkládají ji s těla na duši, nosí ji jako tajem</w:t>
      </w:r>
      <w:r>
        <w:softHyphen/>
        <w:t>ství, které stačí zamlčet a nebude prozrazeno. Proto snad ulehl Karel Čapek vlastn</w:t>
      </w:r>
      <w:r>
        <w:t>ě až teprve tehdy, když už umíral. Přátelé vypravují, že na cestě od lenošky do velké postele, která ho pozřela jako malé dítě, za</w:t>
      </w:r>
      <w:r>
        <w:softHyphen/>
        <w:t xml:space="preserve">kýval rukou na obrázek T. G. Masaryka, který sám fotografoval a který visel na stěně, jako kývají lidé z vlaku, jenž vyjíždí </w:t>
      </w:r>
      <w:r>
        <w:t>z nádraží. Snad to byl pouhý bezděčný pohyb. Ale kdo ví, podle jakého řádu stává se bezděčnost umírajících výrazem pravdy, která je v člověku i zvířeti silnější v konání než ve slovech. Ten obrázek si pak mrtvý básník odnášel v ztuhlých dlaních na věčnost,</w:t>
      </w:r>
      <w:r>
        <w:t xml:space="preserve"> a je nějak krásné představovat si docela dětsky, že jím zaklepal na bránu nebeskou.</w:t>
      </w:r>
    </w:p>
    <w:p w:rsidR="00500724" w:rsidRDefault="00F30FB8">
      <w:pPr>
        <w:pStyle w:val="Jin0"/>
        <w:shd w:val="clear" w:color="auto" w:fill="auto"/>
        <w:ind w:firstLine="0"/>
        <w:jc w:val="center"/>
        <w:rPr>
          <w:sz w:val="15"/>
          <w:szCs w:val="15"/>
        </w:rPr>
      </w:pPr>
      <w:r>
        <w:rPr>
          <w:rFonts w:ascii="Arial" w:eastAsia="Arial" w:hAnsi="Arial" w:cs="Arial"/>
          <w:i/>
          <w:iCs/>
          <w:sz w:val="15"/>
          <w:szCs w:val="15"/>
        </w:rPr>
        <w:t>®</w:t>
      </w:r>
    </w:p>
    <w:p w:rsidR="00500724" w:rsidRDefault="00F30FB8">
      <w:pPr>
        <w:pStyle w:val="Zkladntext1"/>
        <w:shd w:val="clear" w:color="auto" w:fill="auto"/>
        <w:spacing w:line="209" w:lineRule="auto"/>
        <w:ind w:firstLine="240"/>
      </w:pPr>
      <w:r>
        <w:t>Ulehl, aby umřel, jako ulehají zbožní lidé. Nevím, zdali Karel Čapek věřil v Boha. Ale byl to nábožen</w:t>
      </w:r>
      <w:r>
        <w:softHyphen/>
        <w:t>ský člověk, muž s velmi pečlivě a subtilné vypraco</w:t>
      </w:r>
      <w:r>
        <w:softHyphen/>
        <w:t>vanou hierarchií</w:t>
      </w:r>
      <w:r>
        <w:t xml:space="preserve"> mravních hodnot, s pevným světovým řádem v srdci i v myšlení. Rok 1938 jako povodeň od</w:t>
      </w:r>
      <w:r>
        <w:softHyphen/>
        <w:t>nášel balvany, které se zdály před tím tak pevné. Rány dopadaly ráz na ráz. Ztráta francouzského přátelství, ztráta víry v Marseillaisu, hymnu demokratických svobod, zt</w:t>
      </w:r>
      <w:r>
        <w:t>ráta hor a hranic, ochromený národ, úzkostli</w:t>
      </w:r>
      <w:r>
        <w:softHyphen/>
        <w:t>vá bezmohoucnost básníkova a s rachotem rozbořeného domu, řítícího se na kraj propasti, i nová řeč někte</w:t>
      </w:r>
      <w:r>
        <w:softHyphen/>
        <w:t xml:space="preserve">rých Čechů, hanobících vlastní hnízdo. Příliš mnoho pustošení pro srdce člověka, jehož životní vírou bylo </w:t>
      </w:r>
      <w:r>
        <w:t>.stavět, budovat, pracovat. Příliš mnoho zkázy pro básníka, který tak miloval upravenou zahradu, roz</w:t>
      </w:r>
      <w:r>
        <w:softHyphen/>
        <w:t>kvetlé kytky, pohostiný dům a věci prostého života. Byl to příliš skromný a plachý člověk, než aby zemřel na zlomené srdce. Zemřel na zápal plic.</w:t>
      </w:r>
    </w:p>
    <w:p w:rsidR="00500724" w:rsidRDefault="00F30FB8">
      <w:pPr>
        <w:pStyle w:val="Nadpis80"/>
        <w:keepNext/>
        <w:keepLines/>
        <w:shd w:val="clear" w:color="auto" w:fill="auto"/>
        <w:spacing w:after="0" w:line="180" w:lineRule="auto"/>
        <w:jc w:val="center"/>
      </w:pPr>
      <w:bookmarkStart w:id="49" w:name="bookmark48"/>
      <w:r>
        <w:rPr>
          <w:u w:val="none"/>
        </w:rPr>
        <w:t>0</w:t>
      </w:r>
      <w:bookmarkEnd w:id="49"/>
    </w:p>
    <w:p w:rsidR="00500724" w:rsidRDefault="00F30FB8">
      <w:pPr>
        <w:pStyle w:val="Zkladntext1"/>
        <w:shd w:val="clear" w:color="auto" w:fill="auto"/>
        <w:spacing w:line="209" w:lineRule="auto"/>
        <w:ind w:firstLine="240"/>
      </w:pPr>
      <w:r>
        <w:t>Na nočn</w:t>
      </w:r>
      <w:r>
        <w:t>ím stolku vedle postele ležel obsah kapes: půlčičky cigaret, špička z višňovky, ohmatané hodinky, legitimace na elektriku, noviny a posleduí Štefan Zweig: »Nastolení krále.« Ve čtvrtek četl noviny ještě bedlivě. V pátek mu je už nedali. Věděli, že nese těž</w:t>
      </w:r>
      <w:r>
        <w:t>ce anonym- nost večerníků. Tím tíže, že se hněvat neuměl. Uměl se hanbit, stydět za jiné, uměl se skrývat v ulitě bola</w:t>
      </w:r>
      <w:r>
        <w:softHyphen/>
        <w:t>vého mlčení, ale hněvat se neuměl. »Člověk se nemá v životě na nikoho zlobit,« chlácholil jiné »koukej, jak by se nezlobil, kdo ví, má ma</w:t>
      </w:r>
      <w:r>
        <w:t>lý plat... a psát také neumí,« dodal přemítavě. Ale to nebyla kritika. To bylo věcné zjištění mistra v řemesle, citlivého, cistotné- ho rukodělníka péra, jemuž je nedostatek řemeslného umu dostatečným vysvětlením pro zahořklost. Dělat něco špatně byl velký</w:t>
      </w:r>
      <w:r>
        <w:t xml:space="preserve"> pro něho hřích. Dělat špatně podzídku, nahazovat špatně maltu, zasadit špatně saze- ničku a špatně vidět svět bylo stejně hříšné, jako špatně psát. Dobrá práce dělá dobré srdce, špatná práce dělá srdce jedovaté. Takový byl Čapkův světa řád.</w:t>
      </w:r>
    </w:p>
    <w:p w:rsidR="00500724" w:rsidRDefault="00F30FB8">
      <w:pPr>
        <w:pStyle w:val="Zkladntext1"/>
        <w:shd w:val="clear" w:color="auto" w:fill="auto"/>
        <w:spacing w:after="40" w:line="209" w:lineRule="auto"/>
        <w:ind w:firstLine="0"/>
        <w:jc w:val="center"/>
      </w:pPr>
      <w:r>
        <w:t>•</w:t>
      </w:r>
    </w:p>
    <w:p w:rsidR="00500724" w:rsidRDefault="00F30FB8">
      <w:pPr>
        <w:pStyle w:val="Zkladntext1"/>
        <w:numPr>
          <w:ilvl w:val="0"/>
          <w:numId w:val="6"/>
        </w:numPr>
        <w:shd w:val="clear" w:color="auto" w:fill="auto"/>
        <w:tabs>
          <w:tab w:val="left" w:pos="481"/>
        </w:tabs>
        <w:spacing w:line="209" w:lineRule="auto"/>
        <w:ind w:firstLine="260"/>
      </w:pPr>
      <w:r>
        <w:t>pátek se pro</w:t>
      </w:r>
      <w:r>
        <w:t>jevil těžký zápal plic, v pátek zakázali lékaři Čapkovi hovořit a zakázali mu kouřit. V pátek se začínaly sklánět stíny nad životem, a proto snad Čapek nedovolil, aby byly staženy záclony. Chtěl mít jasno. s&gt; Člověk se má dívat věcem do tváře,« říkal. Díva</w:t>
      </w:r>
      <w:r>
        <w:t>l se však bedlivě do tváře svým přátelům a léka</w:t>
      </w:r>
      <w:r>
        <w:softHyphen/>
        <w:t>řům a nejbedlivěji své ženě, hledaje v jejich obličejích zákmit úzkosti nebo veselí, které by mu potvrdilo, že se mýlí ve svém tušení. Byl to zoufalý zápas o dobrou pohodu, o předstírání dobrého pulsu, o klid</w:t>
      </w:r>
      <w:r>
        <w:t>ný hlas a veselé oči, byla to, Olgo, tvá nejstrašnější úloha, hrát člověku, kterého stravovala smrt, bezstarostnost a vese</w:t>
      </w:r>
      <w:r>
        <w:softHyphen/>
        <w:t>lost, když tebe začínalo stravovat tušení osamocenosti.</w:t>
      </w:r>
    </w:p>
    <w:p w:rsidR="00500724" w:rsidRDefault="00F30FB8">
      <w:pPr>
        <w:pStyle w:val="Zkladntext1"/>
        <w:shd w:val="clear" w:color="auto" w:fill="auto"/>
        <w:spacing w:after="40" w:line="209" w:lineRule="auto"/>
        <w:ind w:firstLine="260"/>
      </w:pPr>
      <w:r>
        <w:t>Ležet už Čapek nemohl, tedy vysedával. V polozkrou- cené, pokřivené poloze se</w:t>
      </w:r>
      <w:r>
        <w:t>děl na posteli hodiny, hodiny, hodiny, zápase o dech. ^Myslil jsem si vždycky, že nej horší věc je nevidět,« řekl. 2 Ale nemoci dýchat je ještě horší.« Spánek nepřicházel, beze slov se čas vlekl s minuty na minutu a v tichém propadání byla nej</w:t>
      </w:r>
      <w:r>
        <w:softHyphen/>
        <w:t>větší staros</w:t>
      </w:r>
      <w:r>
        <w:t>t tohoto muže, aby neobtěžoval, aby pro něho nikdo netrpěl nepohodlí, aby nikomu nepřipadlo za těžko opatrovat ho. Nemocný ciověk je ubohý živočich, v nejsamozřejmější funkci odkázaný na pomoc dru</w:t>
      </w:r>
      <w:r>
        <w:softHyphen/>
        <w:t>hých: a to Čapek nesnášel, o tuto samostatnost bojoval, byl</w:t>
      </w:r>
      <w:r>
        <w:t>o těžko přinutit ho, aby se podvolil. Lékařským opatřením se však podvoloval klidně a poslušně. Valil balvany na srdce lékařů, protože jim tak dětsky důvěřo</w:t>
      </w:r>
      <w:r>
        <w:softHyphen/>
        <w:t>val, viděl v nich muže, kteří mají právě tolik zázračné moci, jako úžasné vůle; ostatně to nebyli j</w:t>
      </w:r>
      <w:r>
        <w:t xml:space="preserve">enom lékaři, byli to přátelé a mimo to Češi, kus toho umírání bylo i jejich bolestí, stáli vedle v pokoji, plačíce, a odcházeli k němu s úsměvem hrdinů. Bylo těžko sedět vedle něho, protože začínal mluvit, jakmile někoho viděl. Odejít bylo nemožno, obával </w:t>
      </w:r>
      <w:r>
        <w:t>se zůstat sám, i oni se obávali opustit ho na vteřinu. A tak seděli vedle v pokoji dr. Furth a dr. Steinbach, »zlatí kluci citliví«, jak jim říkal Čapek, předstírali, že čtou, a s vlastním dechem naslouchali vydechnutí muže vedle v pokoji, muže, který se z</w:t>
      </w:r>
      <w:r>
        <w:t>trácel v tmách.</w:t>
      </w:r>
    </w:p>
    <w:p w:rsidR="00500724" w:rsidRDefault="00F30FB8">
      <w:pPr>
        <w:pStyle w:val="Zkladntext1"/>
        <w:numPr>
          <w:ilvl w:val="0"/>
          <w:numId w:val="6"/>
        </w:numPr>
        <w:shd w:val="clear" w:color="auto" w:fill="auto"/>
        <w:tabs>
          <w:tab w:val="left" w:pos="476"/>
        </w:tabs>
        <w:spacing w:after="40" w:line="209" w:lineRule="auto"/>
        <w:ind w:firstLine="260"/>
      </w:pPr>
      <w:r>
        <w:t>sobotu ráno v 5 hodin přišli konsultující lékaři, profesor Pelnář a profesor Charvát — a Čapkova první starost byla, zda-li už pili kafe? Hle, básníku První party, jak všední je zachraňovat život člověka. &gt;Myslíš si, že děláš něco vznešenéh</w:t>
      </w:r>
      <w:r>
        <w:t>o, a zatím jenom nosíš kameny, rovnáš je pěkně a úhledně do haldy, obyčejná dřina je to.« Zda jsi v těchto dnech myslil na největší poznatek svého života, že vznešené není vzne</w:t>
      </w:r>
      <w:r>
        <w:softHyphen/>
        <w:t>šené, ale obyčejné, a že obyčejná lidská dřina je vzne</w:t>
      </w:r>
      <w:r>
        <w:softHyphen/>
        <w:t>šená a šlechetná?</w:t>
      </w:r>
    </w:p>
    <w:p w:rsidR="00500724" w:rsidRDefault="00F30FB8">
      <w:pPr>
        <w:pStyle w:val="Zkladntext1"/>
        <w:shd w:val="clear" w:color="auto" w:fill="auto"/>
        <w:spacing w:after="240" w:line="209" w:lineRule="auto"/>
        <w:ind w:firstLine="260"/>
      </w:pPr>
      <w:r>
        <w:t>Uprost</w:t>
      </w:r>
      <w:r>
        <w:t>řed namáhavého úsilí lékařů o život promlou</w:t>
      </w:r>
      <w:r>
        <w:softHyphen/>
        <w:t>val klidné a prosté věty. s Jak je venku? Je ozkluzko? Za devadesát jeden den pojedeme na Strž. Všichni, jak jsme tady. Na Strži už budou pučet stromy a čerstvá tráva —■ za devadesát jeden den.« Když odešli lékař</w:t>
      </w:r>
      <w:r>
        <w:t>i a vrátili se přátelé, zastihli Čapka s otázkou v očích, a protože nesměl mluvit, ukazoval palcem dolů, jako římští caesarové nad padlými gladiátory dávali zna</w:t>
      </w:r>
      <w:r>
        <w:softHyphen/>
        <w:t>mení: palcem dolů znamená gladiátora probodnout, palcem nahoru znamená nechat ho žít. Byla to o</w:t>
      </w:r>
      <w:r>
        <w:t>tázka humorná, ale jistě už velmi úzkostlivá. Oba »zlatí kluci citliví« horlivě zvedali palce do výše, ukazujíce, že gladiátor zůstane živ, a byla to odpověď úsměvná, legrační a veselá, tři muži tu dělali šprýmy, jako do-</w:t>
      </w:r>
    </w:p>
    <w:p w:rsidR="00500724" w:rsidRDefault="00F30FB8">
      <w:pPr>
        <w:pStyle w:val="Zkladntext1"/>
        <w:shd w:val="clear" w:color="auto" w:fill="auto"/>
        <w:spacing w:after="40" w:line="197" w:lineRule="auto"/>
        <w:ind w:firstLine="0"/>
        <w:rPr>
          <w:sz w:val="20"/>
          <w:szCs w:val="20"/>
        </w:rPr>
      </w:pPr>
      <w:r>
        <w:rPr>
          <w:i/>
          <w:iCs/>
          <w:sz w:val="20"/>
          <w:szCs w:val="20"/>
        </w:rPr>
        <w:t>Z4</w:t>
      </w:r>
    </w:p>
    <w:p w:rsidR="00500724" w:rsidRDefault="00F30FB8">
      <w:pPr>
        <w:pStyle w:val="Zkladntext1"/>
        <w:shd w:val="clear" w:color="auto" w:fill="auto"/>
        <w:spacing w:after="40" w:line="206" w:lineRule="auto"/>
        <w:ind w:firstLine="0"/>
      </w:pPr>
      <w:r>
        <w:t xml:space="preserve">vedou jenom muži mezi sebou, </w:t>
      </w:r>
      <w:r>
        <w:t>trochu kamarádské hantýrky, trochu chlapsky podané útěchy, trochu žerto</w:t>
      </w:r>
      <w:r>
        <w:softHyphen/>
        <w:t>vání o věcech nejhlubších — a při tom asi nikdy spolu tito muži nemluvili vážněji.</w:t>
      </w:r>
    </w:p>
    <w:p w:rsidR="00500724" w:rsidRDefault="00F30FB8">
      <w:pPr>
        <w:pStyle w:val="Jin0"/>
        <w:shd w:val="clear" w:color="auto" w:fill="auto"/>
        <w:spacing w:after="40"/>
        <w:ind w:firstLine="0"/>
        <w:jc w:val="center"/>
        <w:rPr>
          <w:sz w:val="16"/>
          <w:szCs w:val="16"/>
        </w:rPr>
      </w:pPr>
      <w:r>
        <w:rPr>
          <w:rFonts w:ascii="Arial" w:eastAsia="Arial" w:hAnsi="Arial" w:cs="Arial"/>
          <w:b/>
          <w:bCs/>
          <w:sz w:val="16"/>
          <w:szCs w:val="16"/>
        </w:rPr>
        <w:t>9</w:t>
      </w:r>
    </w:p>
    <w:p w:rsidR="00500724" w:rsidRDefault="00F30FB8">
      <w:pPr>
        <w:pStyle w:val="Zkladntext1"/>
        <w:shd w:val="clear" w:color="auto" w:fill="auto"/>
        <w:spacing w:line="209" w:lineRule="auto"/>
        <w:ind w:firstLine="260"/>
      </w:pPr>
      <w:r>
        <w:t>V sobotu byl Štědrý večer, nějak se svět utišil a i ne</w:t>
      </w:r>
      <w:r>
        <w:softHyphen/>
        <w:t>moc jako by povolila. Lékaři dávali trochu n</w:t>
      </w:r>
      <w:r>
        <w:t>aděje. Vydržeti takhle tři dny, je to vyhrané. Čapek byl unaven, umořen, toužil po spánku, který nepřicházel, po dechu, kterého se nedostávalo. Ale přes to se vracel cípek naděje. Nemocný byl plný otázek a plný tlume</w:t>
      </w:r>
      <w:r>
        <w:softHyphen/>
        <w:t xml:space="preserve">ného hovoru. Kdy bude smět kouřit? Kdy </w:t>
      </w:r>
      <w:r>
        <w:t>bude smět chodit? Kdy bude smět psát? Napíši knihu o lékařích, povídal. Sám syn lékařův, vždycky se cítil přitahován a okouzlen problémem lékaře — člověka. Lékař mu znamenal vždycky víc, než mistr svého řemesla. Tak trochu divotvorce, jako Galén, lékař spa</w:t>
      </w:r>
      <w:r>
        <w:t>sitel. A při tom je v tom tolik bezmocně lidského, vzít fidlátka a měřit lidská srdce, ohmatávat pulsy, poslouchat plíce, chodit do sešeřelých pokojů a hledět do vyděšených očí a vidět lidi umírat. Tolik lidského, obyčejného, záhadného a všedního, napíšu t</w:t>
      </w:r>
      <w:r>
        <w:t>o, sliboval si. Jen co se vystůňu.</w:t>
      </w:r>
    </w:p>
    <w:p w:rsidR="00500724" w:rsidRDefault="00F30FB8">
      <w:pPr>
        <w:pStyle w:val="Jin0"/>
        <w:shd w:val="clear" w:color="auto" w:fill="auto"/>
        <w:ind w:firstLine="0"/>
        <w:jc w:val="center"/>
        <w:rPr>
          <w:sz w:val="16"/>
          <w:szCs w:val="16"/>
        </w:rPr>
      </w:pPr>
      <w:r>
        <w:rPr>
          <w:rFonts w:ascii="Arial" w:eastAsia="Arial" w:hAnsi="Arial" w:cs="Arial"/>
          <w:b/>
          <w:bCs/>
          <w:sz w:val="16"/>
          <w:szCs w:val="16"/>
        </w:rPr>
        <w:t>9</w:t>
      </w:r>
    </w:p>
    <w:p w:rsidR="00500724" w:rsidRDefault="00F30FB8">
      <w:pPr>
        <w:pStyle w:val="Zkladntext1"/>
        <w:shd w:val="clear" w:color="auto" w:fill="auto"/>
        <w:spacing w:line="209" w:lineRule="auto"/>
        <w:ind w:firstLine="260"/>
      </w:pPr>
      <w:r>
        <w:t>Myšlénky posledních dnů Karla Čapka patřily dvě</w:t>
      </w:r>
      <w:r>
        <w:softHyphen/>
        <w:t>ma pozemským jeho láskám: Strži a Olze.</w:t>
      </w:r>
    </w:p>
    <w:p w:rsidR="00500724" w:rsidRDefault="00F30FB8">
      <w:pPr>
        <w:pStyle w:val="Zkladntext1"/>
        <w:shd w:val="clear" w:color="auto" w:fill="auto"/>
        <w:spacing w:line="209" w:lineRule="auto"/>
        <w:ind w:firstLine="260"/>
      </w:pPr>
      <w:r>
        <w:t>Strž je kamenný dům pod hrází rybníka v dobříš- ských lesích. Kolem domu je 20 hektarů půdy, a tato hlína, tento dům a pohled z něh</w:t>
      </w:r>
      <w:r>
        <w:t>o na brdské kopce při</w:t>
      </w:r>
      <w:r>
        <w:softHyphen/>
        <w:t>rostl Čapkovi k srdci jako věc, která dýchá. Čím víc se bořil svět kolem nás, tím horlivěji a dychtivěji stavěl, vláčel balvany, připravoval regulaci potoka, páčil pa</w:t>
      </w:r>
      <w:r>
        <w:softHyphen/>
        <w:t>řezy. Jako zázrakem bylo na těch dvaceti hektarech všechno, co milu</w:t>
      </w:r>
      <w:r>
        <w:t>je člověk, srostlý s českou krajinou: rybník, potok, studánka, kousíček pole, hájek, břízy a mezička, kopec i lán, vyhlídka na modrou křivku mírných kopců, kraj lahodný, jako klekání v letním zlatém podvečeru. Šest neděl tady na podzim ztrávil Čapek docela</w:t>
      </w:r>
      <w:r>
        <w:t xml:space="preserve"> sám se zedníky, lopotě se prací. Připra</w:t>
      </w:r>
      <w:r>
        <w:softHyphen/>
        <w:t>voval hlínu na jaro, připravoval dům pro svou ženu, pro sebe a své přátele. »Za jedenadevadesát dní budu zedničit, dodělám regulaci potoka,« sliboval si. »Napíšu o Strži. O tý Strži mne snad psát nechají ...?«</w:t>
      </w:r>
    </w:p>
    <w:p w:rsidR="00500724" w:rsidRDefault="00F30FB8">
      <w:pPr>
        <w:pStyle w:val="Zkladntext1"/>
        <w:shd w:val="clear" w:color="auto" w:fill="auto"/>
        <w:spacing w:after="40" w:line="209" w:lineRule="auto"/>
        <w:ind w:firstLine="260"/>
      </w:pPr>
      <w:r>
        <w:t xml:space="preserve">Těch </w:t>
      </w:r>
      <w:r>
        <w:t>jedenadevadesát dnů, které ho dělily od jara, bylo však příliš dlouhých. Počítal je po hodinách, chvěl se, jako by na jaře čekala záchrana. Jedenadeva</w:t>
      </w:r>
      <w:r>
        <w:softHyphen/>
        <w:t>desát dnů, jedenadevadesát příček žebříku. Ale se čtvrté se zřítil.</w:t>
      </w:r>
    </w:p>
    <w:p w:rsidR="00500724" w:rsidRDefault="00F30FB8">
      <w:pPr>
        <w:pStyle w:val="Jin0"/>
        <w:shd w:val="clear" w:color="auto" w:fill="auto"/>
        <w:ind w:right="160" w:firstLine="0"/>
        <w:jc w:val="center"/>
        <w:rPr>
          <w:sz w:val="16"/>
          <w:szCs w:val="16"/>
        </w:rPr>
      </w:pPr>
      <w:r>
        <w:rPr>
          <w:rFonts w:ascii="Arial" w:eastAsia="Arial" w:hAnsi="Arial" w:cs="Arial"/>
          <w:sz w:val="16"/>
          <w:szCs w:val="16"/>
        </w:rPr>
        <w:t>® -</w:t>
      </w:r>
    </w:p>
    <w:p w:rsidR="00500724" w:rsidRDefault="00F30FB8">
      <w:pPr>
        <w:pStyle w:val="Zkladntext1"/>
        <w:shd w:val="clear" w:color="auto" w:fill="auto"/>
        <w:spacing w:line="209" w:lineRule="auto"/>
        <w:ind w:firstLine="260"/>
      </w:pPr>
      <w:r>
        <w:t>Před třemi roky se Karel Čapek ož</w:t>
      </w:r>
      <w:r>
        <w:t>enil. Do té doby žil sám, samotář, osamělec. V jeho domově bylo všech</w:t>
      </w:r>
      <w:r>
        <w:softHyphen/>
        <w:t>no jediné: jeden talíř na stole, jedna židle u stolu, jedna postel v ložnici, jeden kabát na věšáku. Od počátku své</w:t>
      </w:r>
      <w:r>
        <w:softHyphen/>
        <w:t>ho manželství se Čapek změnil. Jako by se rozvinul do šířky, do výšky,</w:t>
      </w:r>
      <w:r>
        <w:t xml:space="preserve"> do chvatu, do bezpečí. Najednou ne- by ozkluzko. Jako by měl touhu dohánět dny samoty, jako by se přestal vlastních citů ostýchat. Rozpučela v něm nějaká chlapská síla a náhle byly všechny věci dvě: dva talíře na stole, dvě židle u stolu, dvě postele v lo</w:t>
      </w:r>
      <w:r>
        <w:t>žnici, dva kabáty na věšáku. Všechna zdravá radost člověka pramení z toho, že jsou věci dvě.</w:t>
      </w:r>
    </w:p>
    <w:p w:rsidR="00500724" w:rsidRDefault="00F30FB8">
      <w:pPr>
        <w:pStyle w:val="Zkladntext1"/>
        <w:shd w:val="clear" w:color="auto" w:fill="auto"/>
        <w:spacing w:after="40" w:line="209" w:lineRule="auto"/>
        <w:ind w:firstLine="260"/>
      </w:pPr>
      <w:r>
        <w:t>Jednou v podvečer, když pozoroval Peroutka změ</w:t>
      </w:r>
      <w:r>
        <w:softHyphen/>
        <w:t xml:space="preserve">něný život svého přítele, tak podstatně rozdílný od tolika předešlých večerů, večer muže a manžela, zvedl dva prsty </w:t>
      </w:r>
      <w:r>
        <w:t>do výše — ukazovák a prostředník: Dva, Čapku! A Čapek, okamžitě chápající značky chlapec</w:t>
      </w:r>
      <w:r>
        <w:softHyphen/>
        <w:t>ké řeči, kterou pronášejí muži ve věcech vážných, po</w:t>
      </w:r>
      <w:r>
        <w:softHyphen/>
        <w:t>hyb opakoval: Ovšem, dva jsme! Pýcha a dozrávání, vděčnost a šelmovství. Klukovina a nejvřelejší moudrost. Od té d</w:t>
      </w:r>
      <w:r>
        <w:t>oby ten pohyb zůstal jako zkratka velké a dlouhé věci, které se říká láska (ale to je málo), které se říká život ve dvou. Když Čapek umíral, když už nemohl mluvit, když už byl skorém na drurém břehu — když už byl v agónii — klečela jeho žena vedle něho, př</w:t>
      </w:r>
      <w:r>
        <w:t xml:space="preserve">evádějíc </w:t>
      </w:r>
      <w:r>
        <w:rPr>
          <w:lang w:val="en-US" w:eastAsia="en-US" w:bidi="en-US"/>
        </w:rPr>
        <w:t xml:space="preserve">ho </w:t>
      </w:r>
      <w:r>
        <w:t>v okamžiku, kdy ze dvou zůstává zase jeden, mrtvý je sám, živý je sám. A těsně na prahu této nové samoty zvedl Čapek ruku, zvedl dva prsty: ovšem, dva jsme. Ale potom umřel.</w:t>
      </w:r>
    </w:p>
    <w:p w:rsidR="00500724" w:rsidRDefault="00F30FB8">
      <w:pPr>
        <w:pStyle w:val="Zkladntext1"/>
        <w:shd w:val="clear" w:color="auto" w:fill="auto"/>
        <w:spacing w:after="40" w:line="209" w:lineRule="auto"/>
        <w:ind w:firstLine="0"/>
        <w:jc w:val="center"/>
      </w:pPr>
      <w:r>
        <w:t>©</w:t>
      </w:r>
    </w:p>
    <w:p w:rsidR="00500724" w:rsidRDefault="00F30FB8">
      <w:pPr>
        <w:pStyle w:val="Zkladntext1"/>
        <w:shd w:val="clear" w:color="auto" w:fill="auto"/>
        <w:spacing w:line="209" w:lineRule="auto"/>
      </w:pPr>
      <w:r>
        <w:t xml:space="preserve">V neděli v poledne na Boží hod vánoční snědl Čapek polévku a vypil </w:t>
      </w:r>
      <w:r>
        <w:t>kafe. Dokonce vykouřil půlčičku ci</w:t>
      </w:r>
      <w:r>
        <w:softHyphen/>
        <w:t>garety. Odpoledne seděl klidný a tichý se svým příte</w:t>
      </w:r>
      <w:r>
        <w:softHyphen/>
        <w:t xml:space="preserve">lem a lékařem. Povídejte mi něco, řekl. Povídali tedy. O lékařově chlapci, o jeho úloze, o tom, jak je venku a ovšem, o Strži, o jaru, o potoku. Venku začínalo sněžit, </w:t>
      </w:r>
      <w:r>
        <w:t>do pokoje se ukládal modravě bílý stín, velko</w:t>
      </w:r>
      <w:r>
        <w:softHyphen/>
        <w:t>městský odraz sněhu. Čapek mlčel, mlčel hodnou chvíli. Pak změnil barvu, změnil polohu těla. I člověk i zvíře se před smrtí ukládá. Pomalu hledá polohu, ve které by bylo dobře umřít. Do pokoje vešla žena Olga a</w:t>
      </w:r>
      <w:r>
        <w:t xml:space="preserve"> snad jí kmitlo tváří pochopení. »Copak ti lékaři neřekli, že už je mi lépe?« řekl Čapek — a to bylo docela po</w:t>
      </w:r>
      <w:r>
        <w:softHyphen/>
        <w:t>slední, co vůbec řekl. V pět hodin se- položil na znak, schoulil se na pravou stranu, uložil hlavu i ruce, při</w:t>
      </w:r>
      <w:r>
        <w:softHyphen/>
        <w:t>pravil tělo. Ve tři čtvrti na sedm</w:t>
      </w:r>
      <w:r>
        <w:t xml:space="preserve"> dodýchal.</w:t>
      </w:r>
    </w:p>
    <w:p w:rsidR="00500724" w:rsidRDefault="00F30FB8">
      <w:pPr>
        <w:pStyle w:val="Zkladntext1"/>
        <w:shd w:val="clear" w:color="auto" w:fill="auto"/>
        <w:spacing w:after="140" w:line="209" w:lineRule="auto"/>
      </w:pPr>
      <w:r>
        <w:t>Nebojoval. Nerval se. Nezápasil. Přestal jenom dýchat a přestal jenom žít. Chcete-li, věřte si, že zemřel na bronchitidu a zápal plic.</w:t>
      </w:r>
    </w:p>
    <w:p w:rsidR="00500724" w:rsidRDefault="00F30FB8">
      <w:pPr>
        <w:pStyle w:val="Zkladntext1"/>
        <w:shd w:val="clear" w:color="auto" w:fill="auto"/>
        <w:spacing w:after="40" w:line="199" w:lineRule="auto"/>
        <w:ind w:firstLine="0"/>
        <w:rPr>
          <w:sz w:val="20"/>
          <w:szCs w:val="20"/>
        </w:rPr>
      </w:pPr>
      <w:r>
        <w:rPr>
          <w:i/>
          <w:iCs/>
          <w:sz w:val="20"/>
          <w:szCs w:val="20"/>
        </w:rPr>
        <w:t>Ladislas F ar a g o:</w:t>
      </w:r>
    </w:p>
    <w:p w:rsidR="00500724" w:rsidRDefault="00F30FB8">
      <w:pPr>
        <w:pStyle w:val="Nadpis100"/>
        <w:shd w:val="clear" w:color="auto" w:fill="auto"/>
        <w:spacing w:after="100" w:line="240" w:lineRule="auto"/>
      </w:pPr>
      <w:bookmarkStart w:id="50" w:name="bookmark49"/>
      <w:r>
        <w:t>Palestinské noci</w:t>
      </w:r>
      <w:bookmarkEnd w:id="50"/>
    </w:p>
    <w:p w:rsidR="00500724" w:rsidRDefault="00F30FB8">
      <w:pPr>
        <w:pStyle w:val="Zkladntext1"/>
        <w:shd w:val="clear" w:color="auto" w:fill="auto"/>
        <w:spacing w:after="40" w:line="178" w:lineRule="auto"/>
        <w:ind w:left="820"/>
        <w:rPr>
          <w:sz w:val="20"/>
          <w:szCs w:val="20"/>
        </w:rPr>
      </w:pPr>
      <w:r>
        <w:rPr>
          <w:sz w:val="20"/>
          <w:szCs w:val="20"/>
        </w:rPr>
        <w:t>Podáváme několik výňatků z knihy Ladislase Farago, »Palestina v předveče</w:t>
      </w:r>
      <w:r>
        <w:rPr>
          <w:sz w:val="20"/>
          <w:szCs w:val="20"/>
        </w:rPr>
        <w:t>r« -— patrně vel</w:t>
      </w:r>
      <w:r>
        <w:rPr>
          <w:sz w:val="20"/>
          <w:szCs w:val="20"/>
        </w:rPr>
        <w:softHyphen/>
        <w:t xml:space="preserve">kých událostí </w:t>
      </w:r>
      <w:r>
        <w:rPr>
          <w:sz w:val="20"/>
          <w:szCs w:val="20"/>
          <w:lang w:val="en-US" w:eastAsia="en-US" w:bidi="en-US"/>
        </w:rPr>
        <w:t xml:space="preserve">(Palestine on the Eve). </w:t>
      </w:r>
      <w:r>
        <w:rPr>
          <w:sz w:val="20"/>
          <w:szCs w:val="20"/>
        </w:rPr>
        <w:t>Autor je původem Maďar a napsal už úspěšnou reportáž o Habeši. Vytkl si úkol, popsat palestinské ovzduší objektivně a nezaujatě jak vůči židům, tak vůči Arabům. Ukázka, kterou otiskujeme, vystihuje nek</w:t>
      </w:r>
      <w:r>
        <w:rPr>
          <w:sz w:val="20"/>
          <w:szCs w:val="20"/>
        </w:rPr>
        <w:t>lidné a nebezpečné ovzduší v této části světa, čímž nechceme říci, že by jinde byl klid. Vskutku není dnes přeháněním říci, že svět je ve varu.</w:t>
      </w:r>
    </w:p>
    <w:p w:rsidR="00500724" w:rsidRDefault="00F30FB8">
      <w:pPr>
        <w:pStyle w:val="Zkladntext1"/>
        <w:shd w:val="clear" w:color="auto" w:fill="auto"/>
        <w:spacing w:line="209" w:lineRule="auto"/>
      </w:pPr>
      <w:r>
        <w:t xml:space="preserve">David přijel se svým vozem a pozdravil. »Musíme si pospíšit, chceme-li se dostat </w:t>
      </w:r>
      <w:r>
        <w:rPr>
          <w:lang w:val="en-US" w:eastAsia="en-US" w:bidi="en-US"/>
        </w:rPr>
        <w:t xml:space="preserve">do Tiberias </w:t>
      </w:r>
      <w:r>
        <w:t xml:space="preserve">před západem slunce. Nemůžeme jet po hlavní silnici, protože bychom se přes arabské vesnice nedostali živí. Zrovna včera jsem se chtěl dostat </w:t>
      </w:r>
      <w:r>
        <w:rPr>
          <w:lang w:val="en-US" w:eastAsia="en-US" w:bidi="en-US"/>
        </w:rPr>
        <w:t xml:space="preserve">do Tiberias </w:t>
      </w:r>
      <w:r>
        <w:t>přes Nazaret, ale byl jsem zasypán ohromnými kameny, které mi rozbily blatníky. Proto musíme jet postr</w:t>
      </w:r>
      <w:r>
        <w:t>anními cestami, které jdou přes židovské kolonie; jsou špatné, ale bezpečné. Rozhodně nemusíte mít strach, nic se mi nestane. Předně jedu rychle a za druhé jsem udělal určitá opatření.«</w:t>
      </w:r>
    </w:p>
    <w:p w:rsidR="00500724" w:rsidRDefault="00F30FB8">
      <w:pPr>
        <w:pStyle w:val="Zkladntext1"/>
        <w:shd w:val="clear" w:color="auto" w:fill="auto"/>
        <w:spacing w:line="209" w:lineRule="auto"/>
      </w:pPr>
      <w:r>
        <w:t>»Jaká opatření?« tázal jsem se. »Jste snad ozbrojen?«</w:t>
      </w:r>
    </w:p>
    <w:p w:rsidR="00500724" w:rsidRDefault="00F30FB8">
      <w:pPr>
        <w:pStyle w:val="Zkladntext1"/>
        <w:shd w:val="clear" w:color="auto" w:fill="auto"/>
        <w:spacing w:line="209" w:lineRule="auto"/>
      </w:pPr>
      <w:r>
        <w:t>»Ne,« řekl David</w:t>
      </w:r>
      <w:r>
        <w:t>, »ale nechal jsem si narůst vousy. Teď vypadám jako Arab.«</w:t>
      </w:r>
    </w:p>
    <w:p w:rsidR="00500724" w:rsidRDefault="00F30FB8">
      <w:pPr>
        <w:pStyle w:val="Zkladntext1"/>
        <w:shd w:val="clear" w:color="auto" w:fill="auto"/>
        <w:spacing w:line="209" w:lineRule="auto"/>
      </w:pPr>
      <w:r>
        <w:t>Městští Arabové totiž nosí chaplinovský knírek a Da</w:t>
      </w:r>
      <w:r>
        <w:softHyphen/>
        <w:t>vid měl také takový. Jenže to nebylo příliš účinné opa</w:t>
      </w:r>
      <w:r>
        <w:softHyphen/>
        <w:t>tření; při jízdě autem nikdo nemohl drobný knírek po</w:t>
      </w:r>
      <w:r>
        <w:softHyphen/>
        <w:t>střehnout, a jakmile by zastavil, by</w:t>
      </w:r>
      <w:r>
        <w:t>lo by se hned po</w:t>
      </w:r>
      <w:r>
        <w:softHyphen/>
        <w:t xml:space="preserve">znalo, že David není </w:t>
      </w:r>
      <w:r>
        <w:rPr>
          <w:lang w:val="en-US" w:eastAsia="en-US" w:bidi="en-US"/>
        </w:rPr>
        <w:t xml:space="preserve">Arab. </w:t>
      </w:r>
      <w:r>
        <w:t>V minulých týdnech židovští šoféři, kteří jezdili arabskými vesnicemi, to zkoušeli s fezem, ale jejich trik byl brzy objeven a ani fez je pak neochránil před střelbou.</w:t>
      </w:r>
    </w:p>
    <w:p w:rsidR="00500724" w:rsidRDefault="00F30FB8">
      <w:pPr>
        <w:pStyle w:val="Zkladntext1"/>
        <w:shd w:val="clear" w:color="auto" w:fill="auto"/>
        <w:spacing w:line="209" w:lineRule="auto"/>
      </w:pPr>
      <w:r>
        <w:t xml:space="preserve">Pod pochybnou ochranou Davidova knírku jsme </w:t>
      </w:r>
      <w:r>
        <w:t>tedy vyjeli. Jeli jsme už celé hodiny, stále po židovské půdě. Jediní Arabové, které jsme potkali, byli Beduíni, kteří rozbili své černé stany zde mezi židovskými koloniemi.</w:t>
      </w:r>
    </w:p>
    <w:p w:rsidR="00500724" w:rsidRDefault="00F30FB8">
      <w:pPr>
        <w:pStyle w:val="Zkladntext1"/>
        <w:shd w:val="clear" w:color="auto" w:fill="auto"/>
        <w:spacing w:line="209" w:lineRule="auto"/>
      </w:pPr>
      <w:r>
        <w:t xml:space="preserve">Zastavili jsme se na sklenici piva v Afule, městečku, které mělo být soupeřem Tel </w:t>
      </w:r>
      <w:r>
        <w:t xml:space="preserve">Avivu. Na východ od něho jsou dvě velké židovské kolonie, </w:t>
      </w:r>
      <w:r>
        <w:rPr>
          <w:lang w:val="en-US" w:eastAsia="en-US" w:bidi="en-US"/>
        </w:rPr>
        <w:t xml:space="preserve">Ain </w:t>
      </w:r>
      <w:r>
        <w:t>Charod a Tel Josef, které jsem chtěl vidět. »Dobrá,« řekl David, zmůžeme tam jet, ale budeme tam musit zůstat přes noc.«</w:t>
      </w:r>
    </w:p>
    <w:p w:rsidR="00500724" w:rsidRDefault="00F30FB8">
      <w:pPr>
        <w:pStyle w:val="Zkladntext1"/>
        <w:shd w:val="clear" w:color="auto" w:fill="auto"/>
        <w:spacing w:after="40" w:line="209" w:lineRule="auto"/>
      </w:pPr>
      <w:r>
        <w:t>Tato vyhlídka mne potěšila. Viděl jsem už život v ko</w:t>
      </w:r>
      <w:r>
        <w:softHyphen/>
        <w:t>loniích ve dne a cht</w:t>
      </w:r>
      <w:r>
        <w:t xml:space="preserve">ěl jsem </w:t>
      </w:r>
      <w:r>
        <w:rPr>
          <w:lang w:val="en-US" w:eastAsia="en-US" w:bidi="en-US"/>
        </w:rPr>
        <w:t xml:space="preserve">take </w:t>
      </w:r>
      <w:r>
        <w:t>poznat jejich život »noční«, ale vždycky mi to bylo odepřeno. »Máme teď trochu neklidné noci,« bylo mi řečeno; »bude pro vás lépe, když se vrátíte před západem slunce do města.</w:t>
      </w:r>
    </w:p>
    <w:p w:rsidR="00500724" w:rsidRDefault="00F30FB8">
      <w:pPr>
        <w:pStyle w:val="Zkladntext1"/>
        <w:shd w:val="clear" w:color="auto" w:fill="auto"/>
        <w:spacing w:line="209" w:lineRule="auto"/>
        <w:ind w:firstLine="0"/>
      </w:pPr>
      <w:r>
        <w:t xml:space="preserve">Máme plné ruce práce, abychom udrželi Araby dál od svých kolonií; </w:t>
      </w:r>
      <w:r>
        <w:t>nemůžeme teď dobře potřebovat hosty.«</w:t>
      </w:r>
    </w:p>
    <w:p w:rsidR="00500724" w:rsidRDefault="00F30FB8">
      <w:pPr>
        <w:pStyle w:val="Zkladntext1"/>
        <w:shd w:val="clear" w:color="auto" w:fill="auto"/>
        <w:spacing w:line="209" w:lineRule="auto"/>
      </w:pPr>
      <w:r>
        <w:t>Tel Josef je spolu s Ain Charod nejkrásnější ze všech osad v Emeku, vzorná farma pro ostatní kolonie. Když tam náš vůz vjížděl, potkávali jsme jen ženy a dívky.</w:t>
      </w:r>
    </w:p>
    <w:p w:rsidR="00500724" w:rsidRDefault="00F30FB8">
      <w:pPr>
        <w:pStyle w:val="Zkladntext1"/>
        <w:shd w:val="clear" w:color="auto" w:fill="auto"/>
        <w:spacing w:line="209" w:lineRule="auto"/>
      </w:pPr>
      <w:r>
        <w:t>»Kde jsou muži?« tázal jsem se.</w:t>
      </w:r>
    </w:p>
    <w:p w:rsidR="00500724" w:rsidRDefault="00F30FB8">
      <w:pPr>
        <w:pStyle w:val="Zkladntext1"/>
        <w:shd w:val="clear" w:color="auto" w:fill="auto"/>
        <w:spacing w:line="209" w:lineRule="auto"/>
      </w:pPr>
      <w:r>
        <w:t>»Spí,« zněla odpověď. »Sk</w:t>
      </w:r>
      <w:r>
        <w:t>oro všichni muži z kolonie mají noční službu. Musí nás střežit před Araby. Trvá to už devět neděl. S počátku, když jsme ještě myslili, že jde jen o několik dní nebo snad o dva týdny, chápali se muži ochotně povinnosti. Ve dne pracovali na polích a v noci h</w:t>
      </w:r>
      <w:r>
        <w:t>lídali. Ale teď jsou u konce se silami, a proto</w:t>
      </w:r>
      <w:r>
        <w:softHyphen/>
        <w:t>že hlídat je důležitější než sedlačit, jsou pole zaned</w:t>
      </w:r>
      <w:r>
        <w:softHyphen/>
        <w:t>bána.«</w:t>
      </w:r>
    </w:p>
    <w:p w:rsidR="00500724" w:rsidRDefault="00F30FB8">
      <w:pPr>
        <w:pStyle w:val="Zkladntext1"/>
        <w:shd w:val="clear" w:color="auto" w:fill="auto"/>
        <w:spacing w:line="209" w:lineRule="auto"/>
      </w:pPr>
      <w:r>
        <w:t>Vzduch byl pln napětí. Kolem Tel Josefu bylo devět arabských vsí, a bylo zjištěno, že paliči, kteří řádili v Emeku, přicházeli odtamtud. Do vsí šl</w:t>
      </w:r>
      <w:r>
        <w:t>a komise a ulo</w:t>
      </w:r>
      <w:r>
        <w:softHyphen/>
        <w:t>žila jim společnou pokutu 400 liber, což je nepředstavi</w:t>
      </w:r>
      <w:r>
        <w:softHyphen/>
        <w:t>telné bohatství pro chudé Araby. Aby unikli pokutě, opustili raději své vesnice. Ženy a děti poslali do Jaffy.</w:t>
      </w:r>
    </w:p>
    <w:p w:rsidR="00500724" w:rsidRDefault="00F30FB8">
      <w:pPr>
        <w:pStyle w:val="Zkladntext1"/>
        <w:shd w:val="clear" w:color="auto" w:fill="auto"/>
        <w:spacing w:line="209" w:lineRule="auto"/>
      </w:pPr>
      <w:r>
        <w:t xml:space="preserve">Když slunce pomalu klesalo za horu Tábor, začali se muži objevovat. Mnozí </w:t>
      </w:r>
      <w:r>
        <w:t>si nesli primitivní pušky, které jim dala vláda. Jiní vykopávali zákopy na zvlášť ne</w:t>
      </w:r>
      <w:r>
        <w:softHyphen/>
        <w:t>bezpečných místech. Při tom přijížděla nákladní auta s pytli písku, z nichž se stavěla drobná opevnění. Hádal jsem, že se něco stane. Očekával se v noci útok. Velká jídeln</w:t>
      </w:r>
      <w:r>
        <w:t>a byla prázdná, kolonisté neměli chuť na večeři. Shromažďovaly se v soumraku skupinky a rozprávěly o situaci. Najednou se objevil vůdce kolonie. Byl zřejmě rozrušen, když oznamoval: ^Telefonní dráty byly pře- řezány.«</w:t>
      </w:r>
    </w:p>
    <w:p w:rsidR="00500724" w:rsidRDefault="00F30FB8">
      <w:pPr>
        <w:pStyle w:val="Zkladntext1"/>
        <w:shd w:val="clear" w:color="auto" w:fill="auto"/>
        <w:spacing w:line="209" w:lineRule="auto"/>
      </w:pPr>
      <w:r>
        <w:t>Takhle to vždycky začínalo. Je to jaká</w:t>
      </w:r>
      <w:r>
        <w:t>si visitka tero</w:t>
      </w:r>
      <w:r>
        <w:softHyphen/>
        <w:t>ristů. Posel na koni byl vypraven do nejbližší policejní stanice. Brzy se vrátil s raketovou pistolí a se slibem, že policie přijde co nejdříve, bude-li toho třeba. Za šera se rychle probírala strategická situace. Dvě posice byly rychle zbu</w:t>
      </w:r>
      <w:r>
        <w:t>dovány na střechách: jedna na střeše dět</w:t>
      </w:r>
      <w:r>
        <w:softHyphen/>
        <w:t>ského domova, druhá na střeše lázní. Byly opevněny pytli s pískem a obsazeny silnými oddíly. Jiní muži zaujali místa v zákopech. Na obvodě byly postaveny stráže. Až do deseti hodin se nic nedělo. Reflektor pá</w:t>
      </w:r>
      <w:r>
        <w:softHyphen/>
        <w:t>tral p</w:t>
      </w:r>
      <w:r>
        <w:t>o okolí jako světlo majáku a jeho paprsky se za</w:t>
      </w:r>
      <w:r>
        <w:softHyphen/>
        <w:t>řezávaly do tmy. Chvílemi jsem v nich zahlédl stráže, opírající se o pušky a upřeně hledící do dálky. Jinak bylo nad celým městem nepříjemné ticho.</w:t>
      </w:r>
    </w:p>
    <w:p w:rsidR="00500724" w:rsidRDefault="00F30FB8">
      <w:pPr>
        <w:pStyle w:val="Zkladntext1"/>
        <w:shd w:val="clear" w:color="auto" w:fill="auto"/>
        <w:spacing w:line="209" w:lineRule="auto"/>
      </w:pPr>
      <w:r>
        <w:t>Stál jsem s náčelníkem kolonie na balkoně jídelny a poslouch</w:t>
      </w:r>
      <w:r>
        <w:t>al, ozvou-li se kroky nebo hlasy. Krátce po de</w:t>
      </w:r>
      <w:r>
        <w:softHyphen/>
        <w:t>sáté hodině bylo ticho přerváno výstřelem. Světlo re</w:t>
      </w:r>
      <w:r>
        <w:softHyphen/>
        <w:t>flektoru se obrátilo jako blesk ve směru rány a viděli jsme hlídku, jak běží k nám. V dáli se objevili Arabové. Muž vedle mne vypálil raketu a hned přišla o</w:t>
      </w:r>
      <w:r>
        <w:t>dpověď z policejní stanice. Reflektor byl zhasnut a kolonie nyní byla v úplné tmě. Každý byl na svém místě. Slyšeli jsme, jak přijíždí policejní vůz a brzy stálo vedle nás na balkoně sedm arabských policistů. Náčelník je za</w:t>
      </w:r>
      <w:r>
        <w:softHyphen/>
        <w:t>vedl na střechu dětského domova.</w:t>
      </w:r>
    </w:p>
    <w:p w:rsidR="00500724" w:rsidRDefault="00F30FB8">
      <w:pPr>
        <w:pStyle w:val="Zkladntext1"/>
        <w:shd w:val="clear" w:color="auto" w:fill="auto"/>
        <w:spacing w:line="209" w:lineRule="auto"/>
      </w:pPr>
      <w:r>
        <w:t>Byl jsem na balkoně sám, když Arabové zahájili od východu palbu. Střelba, na niž odpovídaly stráže, trvala několik minut a potom se ozval válečný pokřik: »Alejhum! Alejhum!« (Na ně!) První útok byl odražen a na několik vteřin se rozhostilo ticho, ale poto</w:t>
      </w:r>
      <w:r>
        <w:t>m se vá</w:t>
      </w:r>
      <w:r>
        <w:softHyphen/>
        <w:t>lečný pokřik zdvojnásobil. Arabové se blížili. Vzduch byl pln jejich řevu, který se za celá století nezměnil. Křičeli »Alejhum« a »Allahu Akbar«, právě tak, jako před pěti sty lety ve Španělsku nebo před padesáti lety v Sudanu. Kdyby byl člověk odh</w:t>
      </w:r>
      <w:r>
        <w:t>adoval jejich počet podle křiku, byl by řekl, že je jich osm set. Ale bylo mi řečeno, že ve skutečnosti byl počet banditů jen asi šedesát.</w:t>
      </w:r>
    </w:p>
    <w:p w:rsidR="00500724" w:rsidRDefault="00F30FB8">
      <w:pPr>
        <w:pStyle w:val="Zkladntext1"/>
        <w:shd w:val="clear" w:color="auto" w:fill="auto"/>
        <w:spacing w:line="209" w:lineRule="auto"/>
      </w:pPr>
      <w:r>
        <w:t>Noc byla tmavá, ale neustále blýskaly výstřely; v je</w:t>
      </w:r>
      <w:r>
        <w:softHyphen/>
        <w:t>jich světle jsem viděl, že Arabové přeřezali ostnatý drát, který</w:t>
      </w:r>
      <w:r>
        <w:t xml:space="preserve">m byla kolonie obehnána. Čtyři muži už byli na dvoře. Celá palba se nyní soustředila na ně a brzy byli dva z nich vážně zraněni. Křičeli a naříkali; druzí dva je zdvihli a odvlekli zpět. V dešti kulí jsem opustil balkon a šel k dětskému domovu. Chtěl jsem </w:t>
      </w:r>
      <w:r>
        <w:t>vidět, jak se chová při střelbě čtyřicet nejmenších členů kolonie. Našel jsem vchod jen s námahou a musel jsem lézt po čtyřech, protože Arabové změnili taktiku a soustředili se v blízkosti dětského domu. Kulky už se odrážely od cementových zdí.</w:t>
      </w:r>
    </w:p>
    <w:p w:rsidR="00500724" w:rsidRDefault="00F30FB8">
      <w:pPr>
        <w:pStyle w:val="Zkladntext1"/>
        <w:shd w:val="clear" w:color="auto" w:fill="auto"/>
        <w:spacing w:line="209" w:lineRule="auto"/>
      </w:pPr>
      <w:r>
        <w:t>Bitva trval</w:t>
      </w:r>
      <w:r>
        <w:t>a už asi čtyřicet minut, když se v dálce ozvalo hučení letadel. Hučení se blížilo a za několik minut byly anglické vojenské aeroplány nad usedlostí. Kroužily a vypalovaly rakety, které krásně osvětlovaly celé okolí. Arabů se zmocnil zmatek. Viděl jsem je t</w:t>
      </w:r>
      <w:r>
        <w:t>eď jasně; obklopili už celou kolonii a stříleli střídavě na nás a na letadla. Aeroplány se snesly níže a zahájily na bandity palbu z kulometů; ti si uvědomili beznadějnost boje. Shromáždili se s bleskovou rychlostí a utekli do hor. Podíval jsem se na hodin</w:t>
      </w:r>
      <w:r>
        <w:t>ky. Bylo půl dvanácté, když byla vypálena poslední rána. Musili jsme čekat Celých šest hodin do rozednění, než jsme si mohli pro</w:t>
      </w:r>
      <w:r>
        <w:softHyphen/>
        <w:t>hlédnout bojiště za světla.</w:t>
      </w:r>
    </w:p>
    <w:p w:rsidR="00500724" w:rsidRDefault="00F30FB8">
      <w:pPr>
        <w:pStyle w:val="Zkladntext1"/>
        <w:shd w:val="clear" w:color="auto" w:fill="auto"/>
        <w:spacing w:line="209" w:lineRule="auto"/>
      </w:pPr>
      <w:r>
        <w:t>Za svítání byli svoláni bojovníci a ukázalo se, že nikdo z kolonie nebyl raněn. Poblíž ostnatého pl</w:t>
      </w:r>
      <w:r>
        <w:t>otu ukazovaly velké louže krve, že bylo zasaženo mnoho Arabů; ale všechny své mrtvé a raněné odnesli. Na do</w:t>
      </w:r>
      <w:r>
        <w:softHyphen/>
        <w:t>mech byly stopy po kulkách. Na jedné stěně jsem jich napočítal neméně než devatenáct, na zdi dětského do</w:t>
      </w:r>
      <w:r>
        <w:softHyphen/>
        <w:t>mova čtyřicet. Kolem ležely zásobníky. Podl</w:t>
      </w:r>
      <w:r>
        <w:t>e nich jsme napočítali, že Arabové vypálili asi osm set ran. Ráno měla kolonie zase své obvyklé vzezření a nebylo nic znát ze vzrušené noci. Děti si hrály na písku, ženy do</w:t>
      </w:r>
      <w:r>
        <w:softHyphen/>
        <w:t>jily ve stájích krávy — den začal jako obyčejně, ra</w:t>
      </w:r>
      <w:r>
        <w:softHyphen/>
        <w:t>dostně a důvěryplně, než zase n</w:t>
      </w:r>
      <w:r>
        <w:t>oc přinese zmatek a úzkost.</w:t>
      </w:r>
    </w:p>
    <w:p w:rsidR="00500724" w:rsidRDefault="00F30FB8">
      <w:pPr>
        <w:pStyle w:val="Zkladntext1"/>
        <w:shd w:val="clear" w:color="auto" w:fill="auto"/>
        <w:spacing w:line="209" w:lineRule="auto"/>
        <w:ind w:firstLine="0"/>
        <w:jc w:val="center"/>
      </w:pPr>
      <w:r>
        <w:t>Strážník Jigael</w:t>
      </w:r>
    </w:p>
    <w:p w:rsidR="00500724" w:rsidRDefault="00F30FB8">
      <w:pPr>
        <w:pStyle w:val="Zkladntext1"/>
        <w:shd w:val="clear" w:color="auto" w:fill="auto"/>
        <w:spacing w:line="209" w:lineRule="auto"/>
      </w:pPr>
      <w:r>
        <w:t>Přemýšlel jsem o tom, co jsem v noci viděl v dětském domově. Arabské kulky se odrážely od cementových stěn. Se střechy, nad hlavami dětí, stříleli arabští poli</w:t>
      </w:r>
      <w:r>
        <w:softHyphen/>
        <w:t>cisté z kulometů na bandity, kteří jim byli bližší n</w:t>
      </w:r>
      <w:r>
        <w:t>ež židé, jež policisté chránili. Vzduch byl pln střelných ran, vytí Arabů a úsečných povelů kolonistů. A do toho všeho se mísilo dunění letadel. Přízračné osvětlená kra</w:t>
      </w:r>
      <w:r>
        <w:softHyphen/>
        <w:t>jina se mi zdála jako peklo na zemi.</w:t>
      </w:r>
    </w:p>
    <w:p w:rsidR="00500724" w:rsidRDefault="00F30FB8">
      <w:pPr>
        <w:pStyle w:val="Zkladntext1"/>
        <w:shd w:val="clear" w:color="auto" w:fill="auto"/>
        <w:spacing w:line="209" w:lineRule="auto"/>
      </w:pPr>
      <w:r>
        <w:t>V tomto pekelném koncertu rozpoutaných vášní se mi</w:t>
      </w:r>
      <w:r>
        <w:t xml:space="preserve"> zdál jediným místem, které si zachovalo klid, dětský domov. Panoval tam neuvěřitelný mír. Všechny děti ležely na zemi a nejevily žádného strachu. Nahlas po</w:t>
      </w:r>
      <w:r>
        <w:softHyphen/>
        <w:t>čítaly koule, které bily do zdí jejich domova, a občas se tázaly ošetřovatelky, která ležela na zem</w:t>
      </w:r>
      <w:r>
        <w:t>i s nimi: »Co myslíš, Mirjam, kolik chaverim (kamarádů) bylo raně- no?« Zůstaly na zemi ještě potom, kdy se bitva skončila, dokud nepřišel židovský strážník a neřekl: »Už jsou pryč. Můžete jít do postele.c</w:t>
      </w:r>
    </w:p>
    <w:p w:rsidR="00500724" w:rsidRDefault="00F30FB8">
      <w:pPr>
        <w:pStyle w:val="Zkladntext1"/>
        <w:shd w:val="clear" w:color="auto" w:fill="auto"/>
        <w:spacing w:line="209" w:lineRule="auto"/>
      </w:pPr>
      <w:r>
        <w:t>Místnost zůstala potmě, jen zvenku vstupovalo ješt</w:t>
      </w:r>
      <w:r>
        <w:t>ě slabé světlo: to aeroplány ještě osvětlovaly krajinu. Dívka se opřela o dveře a začala zpívat hebrejskou pí</w:t>
      </w:r>
      <w:r>
        <w:softHyphen/>
        <w:t>seň nízkým, melancholickým hlasem. Stál jsem vedle ní a pozoroval scénu: krásné černé děvče, zpívající s při</w:t>
      </w:r>
      <w:r>
        <w:softHyphen/>
        <w:t>vřenýma očima, malí hrdinové v postel</w:t>
      </w:r>
      <w:r>
        <w:t>ích a píseň, kte</w:t>
      </w:r>
      <w:r>
        <w:softHyphen/>
        <w:t>rá zněla jako zasněná ukolébavka. Ještě před deseti mi</w:t>
      </w:r>
      <w:r>
        <w:softHyphen/>
        <w:t xml:space="preserve">nutami mi svištěl v uších zvuk kulí a nyní tato měkká, melancholická píseň. Scéna se změnila tak rychle jako ve ilmu. Dívka chvíli zpívala, potom zůstala mlčky ještě chvilku na prahu, </w:t>
      </w:r>
      <w:r>
        <w:t>a protože nepřicházel žádný protest, zavřela dveře a šla za mnou. Byla to mladá ži</w:t>
      </w:r>
      <w:r>
        <w:softHyphen/>
        <w:t>dovka z Německa. Tázal jsem se jí: »Co znamenají slova?« Překládala mi je. Byla to stará píseň o Arabech, kteří přicházejí v noci útočit na židovské kolonie, a každá sloka k</w:t>
      </w:r>
      <w:r>
        <w:t>ončila veselým refrénem:</w:t>
      </w:r>
    </w:p>
    <w:p w:rsidR="00500724" w:rsidRDefault="00F30FB8">
      <w:pPr>
        <w:pStyle w:val="Zkladntext1"/>
        <w:shd w:val="clear" w:color="auto" w:fill="auto"/>
        <w:spacing w:line="166" w:lineRule="auto"/>
        <w:ind w:left="740" w:right="680" w:firstLine="0"/>
        <w:jc w:val="left"/>
        <w:rPr>
          <w:sz w:val="20"/>
          <w:szCs w:val="20"/>
        </w:rPr>
      </w:pPr>
      <w:r>
        <w:rPr>
          <w:sz w:val="20"/>
          <w:szCs w:val="20"/>
        </w:rPr>
        <w:t>»Spi, dítě, spi, je mír v Erez Jisrael, chrání nás se svými muži statečný Jigael.«</w:t>
      </w:r>
    </w:p>
    <w:p w:rsidR="00500724" w:rsidRDefault="00F30FB8">
      <w:pPr>
        <w:pStyle w:val="Zkladntext1"/>
        <w:shd w:val="clear" w:color="auto" w:fill="auto"/>
        <w:spacing w:line="175" w:lineRule="auto"/>
      </w:pPr>
      <w:r>
        <w:t>»Kdo to je Jigael?« tázal jsem se.</w:t>
      </w:r>
    </w:p>
    <w:p w:rsidR="00500724" w:rsidRDefault="00F30FB8">
      <w:pPr>
        <w:pStyle w:val="Zkladntext1"/>
        <w:shd w:val="clear" w:color="auto" w:fill="auto"/>
        <w:spacing w:line="209" w:lineRule="auto"/>
      </w:pPr>
      <w:r>
        <w:t>»To je náčelník našich šomerimx</w:t>
      </w:r>
    </w:p>
    <w:p w:rsidR="00500724" w:rsidRDefault="00F30FB8">
      <w:pPr>
        <w:pStyle w:val="Zkladntext1"/>
        <w:shd w:val="clear" w:color="auto" w:fill="auto"/>
        <w:spacing w:line="209" w:lineRule="auto"/>
        <w:ind w:firstLine="240"/>
      </w:pPr>
      <w:r>
        <w:t>Tady v Palestině se každý evropský jazyk stane ne</w:t>
      </w:r>
      <w:r>
        <w:softHyphen/>
        <w:t xml:space="preserve">srozumitelným, protože jsou v </w:t>
      </w:r>
      <w:r>
        <w:t>něj přimíšena hebrejská slova. Tázal jsem se tedy znovu: »A kdo jsou to šo- merim?« » Členové velké židovské strážní organisace,« zněla odpověď.</w:t>
      </w:r>
    </w:p>
    <w:p w:rsidR="00500724" w:rsidRDefault="00F30FB8">
      <w:pPr>
        <w:pStyle w:val="Zkladntext1"/>
        <w:shd w:val="clear" w:color="auto" w:fill="auto"/>
        <w:spacing w:line="209" w:lineRule="auto"/>
        <w:ind w:firstLine="240"/>
      </w:pPr>
      <w:r>
        <w:t>Náhodou jsem se setkal s Jigaelem hned nazítří osobně. Když uslyšel o bitce, přišel, jak nejrychleji mohl, do T</w:t>
      </w:r>
      <w:r>
        <w:t>el josef, přehlížel stráže a udílel instrukce pro případ dalšího útoku. Když skončil, přišel za mnou do jídelny na čaj.</w:t>
      </w:r>
    </w:p>
    <w:p w:rsidR="00500724" w:rsidRDefault="00F30FB8">
      <w:pPr>
        <w:pStyle w:val="Zkladntext1"/>
        <w:shd w:val="clear" w:color="auto" w:fill="auto"/>
        <w:spacing w:line="211" w:lineRule="auto"/>
        <w:ind w:firstLine="240"/>
      </w:pPr>
      <w:r>
        <w:t>sMusíte být velký hrdina, Jigaeli, když o vás zpívají v písních,« řekl jsem mu.</w:t>
      </w:r>
    </w:p>
    <w:p w:rsidR="00500724" w:rsidRDefault="00F30FB8">
      <w:pPr>
        <w:pStyle w:val="Zkladntext1"/>
        <w:shd w:val="clear" w:color="auto" w:fill="auto"/>
        <w:spacing w:line="209" w:lineRule="auto"/>
        <w:ind w:firstLine="240"/>
      </w:pPr>
      <w:r>
        <w:t>Jigael byl v rozpacích a zakoktal: »Nevím o žádné písni,</w:t>
      </w:r>
      <w:r>
        <w:t xml:space="preserve"> ani nejsem hrdina, dělám jen svou povinnost.«</w:t>
      </w:r>
    </w:p>
    <w:p w:rsidR="00500724" w:rsidRDefault="00F30FB8">
      <w:pPr>
        <w:pStyle w:val="Zkladntext1"/>
        <w:shd w:val="clear" w:color="auto" w:fill="auto"/>
        <w:spacing w:line="209" w:lineRule="auto"/>
        <w:ind w:firstLine="240"/>
      </w:pPr>
      <w:r>
        <w:t>Byl to muž asi čtyřicetiletý nebo pětačtyřicetiletý, narozený v Palestině. Vypravoval mi o svém dětství: »Když jsem byl ještě dítě. žili jsme tady v neustálém strachu. Bylo nás jen několik v koloniích. Nejbliž</w:t>
      </w:r>
      <w:r>
        <w:t>ší ko</w:t>
      </w:r>
      <w:r>
        <w:softHyphen/>
        <w:t>lonie byla daleko. Nikdy jsme nevěděli, kdy budeme napadeni. Tenkrát neměli ještě Arabové politická hesla, tvořili jenom loupežné bandy, které kradly v koloniích dobytek a peníze. Byli jsme nevyzbrojeni a nepřipra</w:t>
      </w:r>
      <w:r>
        <w:softHyphen/>
        <w:t>veni, vláda nám nechtěla pomoci, a t</w:t>
      </w:r>
      <w:r>
        <w:t>ak jsme se rozhodli, že si zorganisujeme vlastní obranu. Založili jsme Hašo- mer. V každé usedlosti bylo vybráno několik silných mladých mužů, kteří v noci hlídali. S počátku měli jen klacky, ale později jsme jim mohli dát pušky. Tenkrát to bylo jednoduché</w:t>
      </w:r>
      <w:r>
        <w:t>, nepotřebovali jsme zbrojní pasy.« Jigael se zamyslil a polom povídá: »Byly to pěkné časy.«</w:t>
      </w:r>
    </w:p>
    <w:p w:rsidR="00500724" w:rsidRDefault="00F30FB8">
      <w:pPr>
        <w:pStyle w:val="Zkladntext1"/>
        <w:shd w:val="clear" w:color="auto" w:fill="auto"/>
        <w:spacing w:line="211" w:lineRule="auto"/>
        <w:ind w:firstLine="240"/>
      </w:pPr>
      <w:r>
        <w:t>»Jak to myslíte?« tázal jsem se. »Copak teď nemáte zbraně?«</w:t>
      </w:r>
    </w:p>
    <w:p w:rsidR="00500724" w:rsidRDefault="00F30FB8">
      <w:pPr>
        <w:pStyle w:val="Zkladntext1"/>
        <w:shd w:val="clear" w:color="auto" w:fill="auto"/>
        <w:spacing w:line="211" w:lineRule="auto"/>
        <w:ind w:firstLine="240"/>
      </w:pPr>
      <w:r>
        <w:t>»Máme, říkáte-li tomu zbraně. Když se Anglie ujala vlády, naše dobré pušky byly zabaveny a místo nich j</w:t>
      </w:r>
      <w:r>
        <w:t>sme dostali primitivní policejní zbraně, každá kolonie dvě nebo čtyři, kdežto dříve jsme jich měli tucty. A ze čtyř jsou dvě vždycky zapečetěny; pečetě se smějí po</w:t>
      </w:r>
      <w:r>
        <w:softHyphen/>
        <w:t>rušit jen ve chvíli nebezpečí. Každou chvíli přijde ko</w:t>
      </w:r>
      <w:r>
        <w:softHyphen/>
        <w:t>mise prohlížet, zdali jsou pečetě nep</w:t>
      </w:r>
      <w:r>
        <w:t>orušeny, a když jedna chybí, dostáváme přísné tresty.«</w:t>
      </w:r>
    </w:p>
    <w:p w:rsidR="00500724" w:rsidRDefault="00F30FB8">
      <w:pPr>
        <w:pStyle w:val="Zkladntext1"/>
        <w:shd w:val="clear" w:color="auto" w:fill="auto"/>
        <w:spacing w:line="209" w:lineRule="auto"/>
        <w:ind w:firstLine="240"/>
      </w:pPr>
      <w:r>
        <w:t>jigael je nyní v čele organisace, která má asi 2000 členů. Jsou to strážci, povolání to velmi vážené v ko</w:t>
      </w:r>
      <w:r>
        <w:softHyphen/>
        <w:t xml:space="preserve">loniích, které zabírá člověku celý jeho čas. Strážci jsou právě tak tvrdí, ostří a nemilosrdní </w:t>
      </w:r>
      <w:r>
        <w:t>jako jejich arabští odpůrci — udály se mnohé příhody, jejichž výsledkem byly rozsudky mnoha let vězení pro židovské strážce.</w:t>
      </w:r>
    </w:p>
    <w:p w:rsidR="00500724" w:rsidRDefault="00F30FB8">
      <w:pPr>
        <w:pStyle w:val="Zkladntext1"/>
        <w:shd w:val="clear" w:color="auto" w:fill="auto"/>
        <w:spacing w:line="209" w:lineRule="auto"/>
        <w:ind w:firstLine="240"/>
      </w:pPr>
      <w:r>
        <w:t>jigael si na rozsudky naříkal. »Jsou nespravedlivě těžké. Arab, který byl přistižen s kouřícím revolverem v ruce,' dostal jen někol</w:t>
      </w:r>
      <w:r>
        <w:t>ik neděl. Jiný, který bodl žida do zad přeď očima policie, dostal několik málo let. S námi se nezachází tak vlídně, protože soudcové jsou proti nám. Rozsudek je vždycky horší než pro Araby. Arab žije ve vězení často v lepších poměrech než doma; má bezstaro</w:t>
      </w:r>
      <w:r>
        <w:t>stný život, čisté obydlí a dobrou stravu. Naproti tomu žid ve vězení strádá a je pohřešován v ko</w:t>
      </w:r>
      <w:r>
        <w:softHyphen/>
        <w:t>lonii. Nechceme, aby byli židé mírněji trestáni než Arabové, ale protestujeme proti tomu, abychom dostá</w:t>
      </w:r>
      <w:r>
        <w:softHyphen/>
      </w:r>
    </w:p>
    <w:p w:rsidR="00500724" w:rsidRDefault="00F30FB8">
      <w:pPr>
        <w:pStyle w:val="Zkladntext1"/>
        <w:shd w:val="clear" w:color="auto" w:fill="auto"/>
        <w:spacing w:line="209" w:lineRule="auto"/>
        <w:ind w:firstLine="0"/>
        <w:jc w:val="left"/>
      </w:pPr>
      <w:r>
        <w:t>vali tresty těžšíx</w:t>
      </w:r>
    </w:p>
    <w:p w:rsidR="00500724" w:rsidRDefault="00F30FB8">
      <w:pPr>
        <w:pStyle w:val="Zkladntext1"/>
        <w:shd w:val="clear" w:color="auto" w:fill="auto"/>
        <w:spacing w:line="209" w:lineRule="auto"/>
        <w:ind w:firstLine="240"/>
      </w:pPr>
      <w:r>
        <w:t xml:space="preserve">Já sám jsem za svého pobytu v zemi </w:t>
      </w:r>
      <w:r>
        <w:t>viděl zvlášť křiklavý případ. Byl zatčen mladý žid — ještě než za</w:t>
      </w:r>
      <w:r>
        <w:softHyphen/>
        <w:t xml:space="preserve">čaly bouře — a byl u něho nalezen revolver. Soudce mu dal sedm měsíců za nezákonné nošení zbraně. Arab, už v době bouří, když vláda nařídila zvlášť přísné tresty </w:t>
      </w:r>
      <w:r>
        <w:rPr>
          <w:sz w:val="18"/>
          <w:szCs w:val="18"/>
        </w:rPr>
        <w:t xml:space="preserve">za </w:t>
      </w:r>
      <w:r>
        <w:t>nedovolené nošení zbraní,</w:t>
      </w:r>
      <w:r>
        <w:t xml:space="preserve"> byl týmž soudcem pro tentýž přestupek odsouzen na deset neděl do vězení. To bylo ještě mnoho i pro veřejného žalobce, který se odvolal. Odvolací soud snížil trest na čtrnáct dní. Roku 1935 bylo patnáct rozsudků smrti. Rok nato, když bylo tolik vraždění a </w:t>
      </w:r>
      <w:r>
        <w:t>popravy mohly působit jako odstrašu</w:t>
      </w:r>
      <w:r>
        <w:softHyphen/>
        <w:t>jící prostředek, nebyl ani jeden. Angličtí soudci nejsou z nejpopulárnějších lidí v Palestině.</w:t>
      </w:r>
    </w:p>
    <w:p w:rsidR="00500724" w:rsidRDefault="00F30FB8">
      <w:pPr>
        <w:pStyle w:val="Zkladntext1"/>
        <w:shd w:val="clear" w:color="auto" w:fill="auto"/>
        <w:spacing w:after="40" w:line="209" w:lineRule="auto"/>
        <w:ind w:firstLine="240"/>
      </w:pPr>
      <w:r>
        <w:t>»Vězení pro mne není nic nového,« řekl Jigael. »Se</w:t>
      </w:r>
      <w:r>
        <w:softHyphen/>
        <w:t xml:space="preserve">děl jsem několik let v </w:t>
      </w:r>
      <w:r>
        <w:rPr>
          <w:lang w:val="en-US" w:eastAsia="en-US" w:bidi="en-US"/>
        </w:rPr>
        <w:t xml:space="preserve">Acre </w:t>
      </w:r>
      <w:r>
        <w:t>a v Damašku ještě za turec</w:t>
      </w:r>
      <w:r>
        <w:softHyphen/>
        <w:t>kých časů. Ale tehd</w:t>
      </w:r>
      <w:r>
        <w:t>y jsme se ještě mohli bránit sami. Nyuí toto právo nemáme, a co z toho následuje? Jeden žid za druhým je zabíjen ze zálohy. A my musíme stát se založenýma rukama a dívat se, jak jsou naši bratři pobíjeni bandity. Jeden Angličan říká, že si chceme vy</w:t>
      </w:r>
      <w:r>
        <w:softHyphen/>
        <w:t>budova</w:t>
      </w:r>
      <w:r>
        <w:t>t Erez na anglických bajonetech. Ujišťuji Vás, že nepotřebujeme anglických bajonetů. Když nás bylo v zepii jen 60.000, a 550.000 Arabů na nás útočilo skoro každý den, museli jsme se spoléhat jen sami na sebe. Turecké bajonety nám nepomáhaly. A tenkrát jste</w:t>
      </w:r>
      <w:r>
        <w:t xml:space="preserve"> ne</w:t>
      </w:r>
      <w:r>
        <w:softHyphen/>
        <w:t>slyšel, že by Arabové pobíjeli celé židovské rodiny, jako se to stalo v Hebronu a Safedu 1929, když jsme měli ochranu anglických bajonetů. Tenkrát nebyly žádné pogromy jako v letech 1920 a 1921, když bylo v zemi dokonce stanné právo. Je nám líto každéh</w:t>
      </w:r>
      <w:r>
        <w:t>o anglického vojáka, který tady ztratí život, ale necítíme se za to odpovědni. Mohli bychom začít boj s Araby sami, jen kdyby nás Angličané- nechali.«</w:t>
      </w:r>
    </w:p>
    <w:p w:rsidR="00500724" w:rsidRDefault="00F30FB8">
      <w:pPr>
        <w:pStyle w:val="Zkladntext1"/>
        <w:shd w:val="clear" w:color="auto" w:fill="auto"/>
        <w:spacing w:after="40" w:line="209" w:lineRule="auto"/>
        <w:ind w:firstLine="0"/>
        <w:jc w:val="center"/>
      </w:pPr>
      <w:r>
        <w:t>Zbraně v poušti</w:t>
      </w:r>
    </w:p>
    <w:p w:rsidR="00500724" w:rsidRDefault="00F30FB8">
      <w:pPr>
        <w:pStyle w:val="Zkladntext1"/>
        <w:shd w:val="clear" w:color="auto" w:fill="auto"/>
        <w:spacing w:after="40" w:line="209" w:lineRule="auto"/>
        <w:ind w:firstLine="320"/>
      </w:pPr>
      <w:r>
        <w:t>Anglie, když převzala Palestinu v letech 1917 a 1918, našla zemi ozbrojenou až po zuby. P</w:t>
      </w:r>
      <w:r>
        <w:t>okusila se ji odzbrojit, ale dnes lze rozhodně říci, že se jí to nepo</w:t>
      </w:r>
      <w:r>
        <w:softHyphen/>
        <w:t>dařilo a že je dnes v Palestině více zbraní a střeliva než kdykoli v dějinách.</w:t>
      </w:r>
    </w:p>
    <w:p w:rsidR="00500724" w:rsidRDefault="00F30FB8">
      <w:pPr>
        <w:pStyle w:val="Zkladntext1"/>
        <w:shd w:val="clear" w:color="auto" w:fill="auto"/>
        <w:spacing w:line="209" w:lineRule="auto"/>
      </w:pPr>
      <w:r>
        <w:t xml:space="preserve">V Orientě nejsou zbraně žádná vzácnost, ale zbrojní pasy ano. V každém černém beduinském stanu, v každé </w:t>
      </w:r>
      <w:r>
        <w:t>primitivní arabské chatrči má aspoň otec ukrytou puš</w:t>
      </w:r>
      <w:r>
        <w:softHyphen/>
        <w:t>ku. Nové domy lepších Arabů jsou skoro malé arsenály. Arab miluje své zbraně víc než ženu a velblouda, a byla by pro něho největší rána, kdyby se od nich měl od</w:t>
      </w:r>
      <w:r>
        <w:softHyphen/>
        <w:t>loučit.</w:t>
      </w:r>
    </w:p>
    <w:p w:rsidR="00500724" w:rsidRDefault="00F30FB8">
      <w:pPr>
        <w:pStyle w:val="Zkladntext1"/>
        <w:shd w:val="clear" w:color="auto" w:fill="auto"/>
        <w:spacing w:after="40" w:line="209" w:lineRule="auto"/>
      </w:pPr>
      <w:r>
        <w:t>Cesty, jimiž zbraně a střelivo při</w:t>
      </w:r>
      <w:r>
        <w:t>cházejí do země, jsou nesčetné. Vlastně v Palestině mír nikdy nebyl. Země byla stále otřásána vzpourami a válkami, od biblických časů až podnes. V arabských puškách je celá vojenská historie. Arabové mají pušky ještě z dob vzpoury proti egyptskému guvernér</w:t>
      </w:r>
      <w:r>
        <w:t>ovi Ibrahimu pa</w:t>
      </w:r>
      <w:r>
        <w:softHyphen/>
        <w:t>šovi, kdy se užívalo podobných metod vzpoury jako dnes. Většina jejich zbraní je ještě z tureckých časů, nejen proto, že Turci byli velkorysí v rozdílení zbraní, ale proto, že neprováděli žádnou kontrolu. Za světové války začaly přo arabské</w:t>
      </w:r>
      <w:r>
        <w:t xml:space="preserve"> milovníky zbraní »staré zlaté časy«. Turci dostali od Německa velké dodávky pušek a střeliva, když se dělaly plány útoku na </w:t>
      </w:r>
      <w:r>
        <w:rPr>
          <w:lang w:val="en-US" w:eastAsia="en-US" w:bidi="en-US"/>
        </w:rPr>
        <w:t xml:space="preserve">Suez. </w:t>
      </w:r>
      <w:r>
        <w:t xml:space="preserve">Ještě více pušek přivezl do Arábie plukovník </w:t>
      </w:r>
      <w:r>
        <w:rPr>
          <w:lang w:val="en-US" w:eastAsia="en-US" w:bidi="en-US"/>
        </w:rPr>
        <w:t xml:space="preserve">Lawrence, </w:t>
      </w:r>
      <w:r>
        <w:t>když organisoval obranu. Od té doby uplynulo mnoho času, ale pušky tam</w:t>
      </w:r>
      <w:r>
        <w:t xml:space="preserve"> už zůstaly.</w:t>
      </w:r>
    </w:p>
    <w:p w:rsidR="00500724" w:rsidRDefault="00F30FB8">
      <w:pPr>
        <w:pStyle w:val="Zkladntext1"/>
        <w:shd w:val="clear" w:color="auto" w:fill="auto"/>
        <w:spacing w:line="209" w:lineRule="auto"/>
      </w:pPr>
      <w:r>
        <w:t>Dorůstající pokolení mladých Arabů nebylo spoko</w:t>
      </w:r>
      <w:r>
        <w:softHyphen/>
        <w:t>jeno s těmito starými zbraněmi, a tak začala velká sháňka po nových, na východě i na jihu. Pašování se rozmohlo zvláště tehdy, když po dohodě s Ibn Saudem bylo Rudé moře zase otevřeno pro transpo</w:t>
      </w:r>
      <w:r>
        <w:t>rty zbraní. Od té doby se evropští agenti zbrojařských firem stali stálými hosty v Saudově Arábii. Přicházejí tam nejen prodavači, nýbrž také kupci. Džedda je hlavním tržiš</w:t>
      </w:r>
      <w:r>
        <w:softHyphen/>
        <w:t>těm zbraní pro celý Blízký Východ; odtamtud neko</w:t>
      </w:r>
      <w:r>
        <w:softHyphen/>
        <w:t xml:space="preserve">nečné karavany pašují zbraně přes </w:t>
      </w:r>
      <w:r>
        <w:t>arabskou poušť do sousedních zemí, kde jsou zbraně zakázány, a tudy také přicházejí zbraně do Palestiny, Iráku a Sýrie. Tyto ka</w:t>
      </w:r>
      <w:r>
        <w:softHyphen/>
        <w:t>ravany však nedodají vždycky zbraně těm, kdo je objednali. Poušť má svou zvláštní zpravodajskou služ</w:t>
      </w:r>
      <w:r>
        <w:softHyphen/>
        <w:t>bu; tajným způsobem se Bedu</w:t>
      </w:r>
      <w:r>
        <w:t>íni dovědí skoro o kaž</w:t>
      </w:r>
      <w:r>
        <w:softHyphen/>
        <w:t>dém transportu, který se z Džeddy vydává na svou šestidenní nebo osmidenní cestu, a jdou po jeho sto</w:t>
      </w:r>
      <w:r>
        <w:softHyphen/>
        <w:t>pách. Obyčejně jsou ve většině; co jsou ostatně kara</w:t>
      </w:r>
      <w:r>
        <w:softHyphen/>
        <w:t>vaně platné pušky, když jsou pěkně zabaleny v zape</w:t>
      </w:r>
      <w:r>
        <w:softHyphen/>
        <w:t>četěných bednách? Někdy také</w:t>
      </w:r>
      <w:r>
        <w:t xml:space="preserve"> Beduíni užívají méně ostrých metod. Mají mnoho zlata, které velkomyslně rozdával plukovník </w:t>
      </w:r>
      <w:r>
        <w:rPr>
          <w:lang w:val="en-US" w:eastAsia="en-US" w:bidi="en-US"/>
        </w:rPr>
        <w:t xml:space="preserve">Lawrence </w:t>
      </w:r>
      <w:r>
        <w:t>v dobách xvzpoury v poušti«. Většina tohoto zlata byla v minulých dvaceti letech investována do zbraní. Vůdci karavan jsou prostě podpláceni a vydávají své</w:t>
      </w:r>
      <w:r>
        <w:t xml:space="preserve"> náklady. Po takové trans</w:t>
      </w:r>
      <w:r>
        <w:softHyphen/>
        <w:t>akci pokračují v cestě a u cíle oznámí, že byli pře</w:t>
      </w:r>
      <w:r>
        <w:softHyphen/>
        <w:t>padeni a oloupeni. Nebo také navždy zmizí, připojí se k oeduinským bandám a pomáhají obrati nejbližší transport.</w:t>
      </w:r>
    </w:p>
    <w:p w:rsidR="00500724" w:rsidRDefault="00F30FB8">
      <w:pPr>
        <w:pStyle w:val="Zkladntext1"/>
        <w:shd w:val="clear" w:color="auto" w:fill="auto"/>
        <w:spacing w:line="209" w:lineRule="auto"/>
      </w:pPr>
      <w:r>
        <w:t>Největšími sběrateli zbraní nejsou Palestinci, nýbrž Druzové ze S</w:t>
      </w:r>
      <w:r>
        <w:t>ýrie. Skoro v každé palestinské vesnici se lze s nimi setkati, jak nabízejí svou kořist na prodej. Ceny v poslední době velmi stouply: puška, která dříve stála tři libry, stojí nyní osm až deset liber. Střelivo se bud’ rovněž pašuje anebo se vyrábí v zemi.</w:t>
      </w:r>
      <w:r>
        <w:t xml:space="preserve"> Úřady byly velmi překvapeny, když našly po arabských útocích spousty anglických nábojnic, a domnívaly se, že Ara</w:t>
      </w:r>
      <w:r>
        <w:softHyphen/>
        <w:t>bové uloupili střelivo v britských skladištích. Ukázalo se však, že Arabové sbírali vystřelené patrony na bo</w:t>
      </w:r>
      <w:r>
        <w:softHyphen/>
        <w:t>jištích ze světové války a pak je</w:t>
      </w:r>
      <w:r>
        <w:t xml:space="preserve"> znovu plnili. V ma</w:t>
      </w:r>
      <w:r>
        <w:softHyphen/>
        <w:t>lých vesničkách jsou tajné dílny na plnění nábojnic, a jeden takový stroj byl dokonce objeven v jerusalem- ském vězení. To není na východě nic zvláštního. V jed</w:t>
      </w:r>
      <w:r>
        <w:softHyphen/>
        <w:t>nom egyptském vězení trestanci dokonce padělali pe</w:t>
      </w:r>
      <w:r>
        <w:softHyphen/>
        <w:t>níze.</w:t>
      </w:r>
    </w:p>
    <w:p w:rsidR="00500724" w:rsidRDefault="00F30FB8">
      <w:pPr>
        <w:pStyle w:val="Zkladntext1"/>
        <w:shd w:val="clear" w:color="auto" w:fill="auto"/>
        <w:spacing w:line="209" w:lineRule="auto"/>
      </w:pPr>
      <w:r>
        <w:t>Zejména jeden obje</w:t>
      </w:r>
      <w:r>
        <w:t xml:space="preserve">v však způsobil v Palestině sen- saci. V ortodoxním řeckém klášteře na nabluské silnici, několik mil od Jerusalema, žil jistý otec </w:t>
      </w:r>
      <w:r>
        <w:rPr>
          <w:lang w:val="en-US" w:eastAsia="en-US" w:bidi="en-US"/>
        </w:rPr>
        <w:t xml:space="preserve">Nikola, </w:t>
      </w:r>
      <w:r>
        <w:t>který byl placen policií za zprávy o vzpourách. Když vzpoury v tomto kraji rostly, jel policejní místonáčelník, kapi</w:t>
      </w:r>
      <w:r>
        <w:softHyphen/>
      </w:r>
      <w:r>
        <w:t xml:space="preserve">tán </w:t>
      </w:r>
      <w:r>
        <w:rPr>
          <w:lang w:val="en-US" w:eastAsia="en-US" w:bidi="en-US"/>
        </w:rPr>
        <w:t xml:space="preserve">Rice, </w:t>
      </w:r>
      <w:r>
        <w:t>do kláštera, zdali by se od ctihodného otce ne</w:t>
      </w:r>
      <w:r>
        <w:softHyphen/>
        <w:t xml:space="preserve">dověděl něco bližšího. Když přijel, řekl mu sluha, že otec </w:t>
      </w:r>
      <w:r>
        <w:rPr>
          <w:lang w:val="en-US" w:eastAsia="en-US" w:bidi="en-US"/>
        </w:rPr>
        <w:t xml:space="preserve">Nikola </w:t>
      </w:r>
      <w:r>
        <w:t xml:space="preserve">má práci a že kapitán musí čekat. </w:t>
      </w:r>
      <w:r>
        <w:rPr>
          <w:lang w:val="en-US" w:eastAsia="en-US" w:bidi="en-US"/>
        </w:rPr>
        <w:t xml:space="preserve">Rice </w:t>
      </w:r>
      <w:r>
        <w:t>byl ohromen takovou troufalostí, odstrčil sluhu a vrazil bez zaklepání do otcova pokoje; mnich</w:t>
      </w:r>
      <w:r>
        <w:t xml:space="preserve"> opravdu měl práci, neboť plnil pro Araby patrony a kolem něho leželo dvanáct hotových bomb.</w:t>
      </w:r>
    </w:p>
    <w:p w:rsidR="00500724" w:rsidRDefault="00F30FB8">
      <w:pPr>
        <w:pStyle w:val="Zkladntext1"/>
        <w:shd w:val="clear" w:color="auto" w:fill="auto"/>
        <w:spacing w:line="209" w:lineRule="auto"/>
      </w:pPr>
      <w:r>
        <w:t>Židovští obyvatelé Palestiny jsou rovněž dobře vy</w:t>
      </w:r>
      <w:r>
        <w:softHyphen/>
        <w:t>zbrojeni a jejich pušky jsou novější než arabské. Jejich obranná poíovojenská organisace bylo vytvořena po krvavý</w:t>
      </w:r>
      <w:r>
        <w:t>ch řežích roku 1929, kdy Arabové hromadně vybíjeli židy. Tehdy si židé uvědomili, že se musí zorganisovM, chtějí-li zabránit podobným událostem, a pouhé ustavení jejich obranné organisace změnilo taktiku Arabů. Síla organisace se obyčejně přehání, mluví se</w:t>
      </w:r>
      <w:r>
        <w:t xml:space="preserve"> o 50.000 mužů. je však jen asi 16.000 židů s vo</w:t>
      </w:r>
      <w:r>
        <w:softHyphen/>
        <w:t xml:space="preserve">jenským výcvikem a z nich jen asi 8000 patří k organi- saci. Ti mají výborné pušky a dostatek střeliva. Pro přísný zákaz je organisace ovšem tajná, a proto ji vedou židé z Ruska, kteří se za carského režimu </w:t>
      </w:r>
      <w:r>
        <w:t>naučili práci v podzemí. Mladí ozbrojení židé jsou organisováni v buňkách, které mají vůdce a po šesti členech. Vůdci tvoří sedmičky, a tak to jde dále až k vrcholku organi</w:t>
      </w:r>
      <w:r>
        <w:softHyphen/>
        <w:t>sace. V celé Palestině tedy jen šest mužů zná nejvyš- šího vůdce organisace, podobn</w:t>
      </w:r>
      <w:r>
        <w:t>ě jako se znají jen čle</w:t>
      </w:r>
      <w:r>
        <w:softHyphen/>
        <w:t>nové jedné buňky, aniž něco vědí o buňce druhé. Po</w:t>
      </w:r>
      <w:r>
        <w:softHyphen/>
        <w:t xml:space="preserve">licie odkryla jednu skupinu, ale nedověděla se nic o skupinách ostatních, protože ani zatčení sami "o nich nic nevěděli. Tajná organisace je založena na myšlence, že má přikročit k </w:t>
      </w:r>
      <w:r>
        <w:t>akci jen v případě nejvyšší nutnosti. Tím se rozumí válka. Kdyby se Angličané vzdali obrany Palestiny, nebo kdyby odvolali Balfourovu de</w:t>
      </w:r>
      <w:r>
        <w:softHyphen/>
        <w:t>klaraci, jsou židé odhodláni vést válku a hájit svá práva v zemi zbraněmi.</w:t>
      </w:r>
    </w:p>
    <w:p w:rsidR="00500724" w:rsidRDefault="00F30FB8">
      <w:pPr>
        <w:pStyle w:val="Zkladntext1"/>
        <w:shd w:val="clear" w:color="auto" w:fill="auto"/>
        <w:spacing w:line="209" w:lineRule="auto"/>
      </w:pPr>
      <w:r>
        <w:t>Organisaci, která se jmenuje Hagana (Obrana)</w:t>
      </w:r>
      <w:r>
        <w:t>, fi</w:t>
      </w:r>
      <w:r>
        <w:softHyphen/>
        <w:t>nancují bohatí židé a sbírky. Židovské obyvatelstvo v ni má velkou důvěru. Když byly při počátečních bou</w:t>
      </w:r>
      <w:r>
        <w:softHyphen/>
        <w:t>řích napadány domy východních židů na obvodu I cl Avivu, židé nevolali policii, nýbrž členy Hagany. Ta však odmítla zásah, protože nenastala krajn</w:t>
      </w:r>
      <w:r>
        <w:t>í nutnost. Jediné, co udělala, bylo postavení stráží, které jsou velmi pohyblivé a tvoří spojku mezi napadenými a policií. Motocyklové kolony patrolují po silnicích a hlásí policii všechno, co se stane.</w:t>
      </w:r>
    </w:p>
    <w:p w:rsidR="00500724" w:rsidRDefault="00F30FB8">
      <w:pPr>
        <w:pStyle w:val="Zkladntext1"/>
        <w:shd w:val="clear" w:color="auto" w:fill="auto"/>
        <w:spacing w:line="286" w:lineRule="auto"/>
        <w:jc w:val="left"/>
        <w:rPr>
          <w:sz w:val="20"/>
          <w:szCs w:val="20"/>
        </w:rPr>
      </w:pPr>
      <w:r>
        <w:t>S anglického stanoviska má organisace značné vý</w:t>
      </w:r>
      <w:r>
        <w:softHyphen/>
        <w:t>hody.</w:t>
      </w:r>
      <w:r>
        <w:t xml:space="preserve"> Židovské obyvatelstvo je odhodláno podporovat Angličany, protože ví, že jedině na nich závisí bezpeč- </w:t>
      </w:r>
      <w:r>
        <w:rPr>
          <w:b/>
          <w:bCs/>
          <w:sz w:val="20"/>
          <w:szCs w:val="20"/>
        </w:rPr>
        <w:t>27</w:t>
      </w:r>
    </w:p>
    <w:p w:rsidR="00500724" w:rsidRDefault="00F30FB8">
      <w:pPr>
        <w:pStyle w:val="Zkladntext1"/>
        <w:shd w:val="clear" w:color="auto" w:fill="auto"/>
        <w:spacing w:after="200" w:line="209" w:lineRule="auto"/>
        <w:ind w:firstLine="0"/>
      </w:pPr>
      <w:r>
        <w:t>nost jeho národního domova. Není vyloučeno, že impe</w:t>
      </w:r>
      <w:r>
        <w:softHyphen/>
        <w:t xml:space="preserve">rialistická politika vztáhne svá chapadla na Palestinu. V tomto případě by židovská obranná </w:t>
      </w:r>
      <w:r>
        <w:t>organisace stála po boku anglického vojska. Asi přede dvěma lety židé dokonce navrhovali britské vládě, aby zavedla v Pa</w:t>
      </w:r>
      <w:r>
        <w:softHyphen/>
        <w:t>lestině obecné odvody. Část vojska měla podle jejich návrhu zůstat v Palestině a zbytek měl být dán britské vládě k disposici pro služb</w:t>
      </w:r>
      <w:r>
        <w:t>u v anglických koloniích. Návrh byl tehdy zamítnut. Britská vláda se obávala, že zřízení takové armády by zkomplikovalo situaci a po</w:t>
      </w:r>
      <w:r>
        <w:softHyphen/>
        <w:t>vzbudilo Araby a mohamedány vůbec k otevřené vzpouře.</w:t>
      </w:r>
    </w:p>
    <w:p w:rsidR="00500724" w:rsidRDefault="00F30FB8">
      <w:pPr>
        <w:pStyle w:val="Nadpis90"/>
        <w:keepNext/>
        <w:keepLines/>
        <w:shd w:val="clear" w:color="auto" w:fill="auto"/>
        <w:spacing w:after="200"/>
        <w:rPr>
          <w:sz w:val="42"/>
          <w:szCs w:val="42"/>
        </w:rPr>
      </w:pPr>
      <w:bookmarkStart w:id="51" w:name="bookmark50"/>
      <w:r>
        <w:rPr>
          <w:rFonts w:ascii="Times New Roman" w:eastAsia="Times New Roman" w:hAnsi="Times New Roman" w:cs="Times New Roman"/>
          <w:sz w:val="42"/>
          <w:szCs w:val="42"/>
          <w:u w:val="single"/>
        </w:rPr>
        <w:t>život o íostltiaee</w:t>
      </w:r>
      <w:bookmarkEnd w:id="51"/>
    </w:p>
    <w:p w:rsidR="00500724" w:rsidRDefault="00F30FB8">
      <w:pPr>
        <w:pStyle w:val="Zkladntext1"/>
        <w:shd w:val="clear" w:color="auto" w:fill="auto"/>
        <w:tabs>
          <w:tab w:val="left" w:pos="294"/>
        </w:tabs>
        <w:spacing w:line="199" w:lineRule="auto"/>
        <w:ind w:firstLine="0"/>
        <w:rPr>
          <w:sz w:val="20"/>
          <w:szCs w:val="20"/>
        </w:rPr>
      </w:pPr>
      <w:r>
        <w:rPr>
          <w:i/>
          <w:iCs/>
          <w:sz w:val="20"/>
          <w:szCs w:val="20"/>
        </w:rPr>
        <w:t>J.</w:t>
      </w:r>
      <w:r>
        <w:rPr>
          <w:i/>
          <w:iCs/>
          <w:sz w:val="20"/>
          <w:szCs w:val="20"/>
        </w:rPr>
        <w:tab/>
        <w:t>WilsonBroadbenl:</w:t>
      </w:r>
    </w:p>
    <w:p w:rsidR="00500724" w:rsidRDefault="00F30FB8">
      <w:pPr>
        <w:pStyle w:val="Nadpis100"/>
        <w:shd w:val="clear" w:color="auto" w:fill="auto"/>
        <w:spacing w:after="0" w:line="240" w:lineRule="auto"/>
      </w:pPr>
      <w:bookmarkStart w:id="52" w:name="bookmark51"/>
      <w:r>
        <w:t>Čtyři dny</w:t>
      </w:r>
      <w:bookmarkEnd w:id="52"/>
    </w:p>
    <w:p w:rsidR="00500724" w:rsidRDefault="00F30FB8">
      <w:pPr>
        <w:pStyle w:val="Zkladntext1"/>
        <w:shd w:val="clear" w:color="auto" w:fill="auto"/>
        <w:spacing w:line="185" w:lineRule="auto"/>
        <w:ind w:left="800" w:firstLine="240"/>
      </w:pPr>
      <w:r>
        <w:t>Stále se budeme vrac</w:t>
      </w:r>
      <w:r>
        <w:t>eti k událostem z loňského září, snažíce se dověděti úplnou pravdu. V Lon</w:t>
      </w:r>
      <w:r>
        <w:softHyphen/>
        <w:t>dýně byla nyní vydána kniha »Four days«, líčící v příspěvcích anglického, německého, italského, francouzského a českého (H. Ripka) žurnalisty ná</w:t>
      </w:r>
      <w:r>
        <w:softHyphen/>
        <w:t>ladu v jejich hlavních městech po dob</w:t>
      </w:r>
      <w:r>
        <w:t>u zářijové krise. Ačkoliv kniha byla zvědavě očekávána, pů</w:t>
      </w:r>
      <w:r>
        <w:softHyphen/>
        <w:t>sobí spíše zklamání, nepřinášejíc celkem nic než obvyklé náladové žurnalistické líčení prostředí a ulice. Německý a italský žurnalista nepodali mno</w:t>
      </w:r>
      <w:r>
        <w:softHyphen/>
        <w:t>hem více než obsah řeči svých vůdců, připojivše k</w:t>
      </w:r>
      <w:r>
        <w:t xml:space="preserve"> nim několik poznámek, které mohl sepsati také nějaký oflcios v zahraničním úřadě. Jen v pří</w:t>
      </w:r>
      <w:r>
        <w:softHyphen/>
        <w:t>spěvku anglického novináře nalézáme několik no</w:t>
      </w:r>
      <w:r>
        <w:softHyphen/>
        <w:t>vých detailů z pohnutých čtyř hlavních dnů. Před</w:t>
      </w:r>
      <w:r>
        <w:softHyphen/>
        <w:t>kládáme je svým čtenářům.</w:t>
      </w:r>
    </w:p>
    <w:p w:rsidR="00500724" w:rsidRDefault="00F30FB8">
      <w:pPr>
        <w:pStyle w:val="Zkladntext1"/>
        <w:shd w:val="clear" w:color="auto" w:fill="auto"/>
        <w:ind w:left="240" w:firstLine="80"/>
        <w:jc w:val="left"/>
      </w:pPr>
      <w:r>
        <w:t xml:space="preserve">Chamberlainova víra v »přímý s t y k« </w:t>
      </w:r>
      <w:r>
        <w:t>Zpráva o Chamberlainově úmyslu letět k Hitlerovi</w:t>
      </w:r>
    </w:p>
    <w:p w:rsidR="00500724" w:rsidRDefault="00F30FB8">
      <w:pPr>
        <w:pStyle w:val="Zkladntext1"/>
        <w:shd w:val="clear" w:color="auto" w:fill="auto"/>
        <w:spacing w:line="209" w:lineRule="auto"/>
        <w:ind w:firstLine="0"/>
      </w:pPr>
      <w:r>
        <w:t>vypadala dramaticky pro všechny lidi mimo ty, kteří věděli, že ministerský předseda o takovém kroku už urči</w:t>
      </w:r>
      <w:r>
        <w:softHyphen/>
        <w:t xml:space="preserve">tý čas uvažoval. Bohatý čtyřiatřicetiletý </w:t>
      </w:r>
      <w:r>
        <w:rPr>
          <w:lang w:val="en-US" w:eastAsia="en-US" w:bidi="en-US"/>
        </w:rPr>
        <w:t xml:space="preserve">lord Brocket </w:t>
      </w:r>
      <w:r>
        <w:t xml:space="preserve">v polovici léta pozval Chamberlaina na ryby </w:t>
      </w:r>
      <w:r>
        <w:rPr>
          <w:lang w:val="en-US" w:eastAsia="en-US" w:bidi="en-US"/>
        </w:rPr>
        <w:t xml:space="preserve">do Brocket Hall </w:t>
      </w:r>
      <w:r>
        <w:t>v Hertfordském hrabství. Bohatství lorda Brocketa pochází z vaření piva.</w:t>
      </w:r>
    </w:p>
    <w:p w:rsidR="00500724" w:rsidRDefault="00F30FB8">
      <w:pPr>
        <w:pStyle w:val="Zkladntext1"/>
        <w:shd w:val="clear" w:color="auto" w:fill="auto"/>
        <w:spacing w:line="209" w:lineRule="auto"/>
        <w:ind w:firstLine="260"/>
      </w:pPr>
      <w:r>
        <w:t xml:space="preserve">Po chytání ryb mluvil ministerský předseda večer se svým hostitelem o politice. Přišla řeč na Německo. Lord </w:t>
      </w:r>
      <w:r>
        <w:rPr>
          <w:lang w:val="en-US" w:eastAsia="en-US" w:bidi="en-US"/>
        </w:rPr>
        <w:t xml:space="preserve">Brocket </w:t>
      </w:r>
      <w:r>
        <w:t>po ní uspíšil své přípravy k účasti na výročním sje</w:t>
      </w:r>
      <w:r>
        <w:t>zdu nacionálně socialistické strany v Norimberce. Vi</w:t>
      </w:r>
      <w:r>
        <w:softHyphen/>
        <w:t>děl se s Adolfem Hitlerem a mluvil s jinými nacistic</w:t>
      </w:r>
      <w:r>
        <w:softHyphen/>
        <w:t>kými vůdci. Když se potom v neděli večer vrátil do Lon</w:t>
      </w:r>
      <w:r>
        <w:softHyphen/>
        <w:t xml:space="preserve">dýna, spěchal do čísla 10 na </w:t>
      </w:r>
      <w:r>
        <w:rPr>
          <w:lang w:val="en-US" w:eastAsia="en-US" w:bidi="en-US"/>
        </w:rPr>
        <w:t xml:space="preserve">Downing </w:t>
      </w:r>
      <w:r>
        <w:t>Street, aby podal zprávu ministerskému předsedovi.</w:t>
      </w:r>
    </w:p>
    <w:p w:rsidR="00500724" w:rsidRDefault="00F30FB8">
      <w:pPr>
        <w:pStyle w:val="Zkladntext1"/>
        <w:shd w:val="clear" w:color="auto" w:fill="auto"/>
        <w:spacing w:line="209" w:lineRule="auto"/>
        <w:ind w:firstLine="260"/>
      </w:pPr>
      <w:r>
        <w:t>Aeroplá</w:t>
      </w:r>
      <w:r>
        <w:t xml:space="preserve">n s názvem E 1 e k t r a stál tehdy s pdotem šest dní připraven v Hestonu. Každou chvíli se čekaly rozkazy z </w:t>
      </w:r>
      <w:r>
        <w:rPr>
          <w:lang w:val="en-US" w:eastAsia="en-US" w:bidi="en-US"/>
        </w:rPr>
        <w:t xml:space="preserve">Downing </w:t>
      </w:r>
      <w:r>
        <w:t>Street. Bitevní lodi pluly do váleč</w:t>
      </w:r>
      <w:r>
        <w:softHyphen/>
        <w:t xml:space="preserve">ných přístavů v Invergordonu a ve Scapa </w:t>
      </w:r>
      <w:r>
        <w:rPr>
          <w:lang w:val="en-US" w:eastAsia="en-US" w:bidi="en-US"/>
        </w:rPr>
        <w:t xml:space="preserve">Flow, </w:t>
      </w:r>
      <w:r>
        <w:t>nalo</w:t>
      </w:r>
      <w:r>
        <w:softHyphen/>
        <w:t>ženy střelivem, ale nebyla vyhlášena mobilisace loďs</w:t>
      </w:r>
      <w:r>
        <w:t>tva. Ve Whitehallu tehdy myslili, že provede-li se pohyb loďstva tímto způsobem, bude to víc působit na mysl německých vyzvědačů v Anglii, kteří pak budou pře</w:t>
      </w:r>
      <w:r>
        <w:softHyphen/>
        <w:t>svědčivěji referovat svým představeným v Berlíně. Uspoří to také ministerskému předsedovi dělat n</w:t>
      </w:r>
      <w:r>
        <w:t>ěco ve</w:t>
      </w:r>
      <w:r>
        <w:softHyphen/>
        <w:t xml:space="preserve">řejně, co by podráždilo Hitlera a kompromitovalo ho před světem. Ministři obrany a náčelníci jejich štábů seděli 13. září odpoledne v čísle 10 na </w:t>
      </w:r>
      <w:r>
        <w:rPr>
          <w:lang w:val="en-US" w:eastAsia="en-US" w:bidi="en-US"/>
        </w:rPr>
        <w:t xml:space="preserve">Downing </w:t>
      </w:r>
      <w:r>
        <w:t>Street. Ministerský předseda řídil schůzi. Diskutovalo sc o vá</w:t>
      </w:r>
      <w:r>
        <w:softHyphen/>
        <w:t>lečných plánech.</w:t>
      </w:r>
    </w:p>
    <w:p w:rsidR="00500724" w:rsidRDefault="00F30FB8">
      <w:pPr>
        <w:pStyle w:val="Zkladntext1"/>
        <w:shd w:val="clear" w:color="auto" w:fill="auto"/>
        <w:spacing w:line="209" w:lineRule="auto"/>
        <w:ind w:firstLine="260"/>
      </w:pPr>
      <w:r>
        <w:t xml:space="preserve">Druhý den ráno </w:t>
      </w:r>
      <w:r>
        <w:t xml:space="preserve">vstal ministerský předseda krátce po sedmé hodině. Byl rozhodnut. Před třiceti lety, když byl devětatřicetiletým vedoucím ředitelem firmy </w:t>
      </w:r>
      <w:r>
        <w:rPr>
          <w:lang w:val="en-US" w:eastAsia="en-US" w:bidi="en-US"/>
        </w:rPr>
        <w:t xml:space="preserve">Hoskins </w:t>
      </w:r>
      <w:r>
        <w:t>a synové, továrna na ocelové matrace v Birminghamu, udělal něco podobného. Byla tenkrát velká honba za do</w:t>
      </w:r>
      <w:r>
        <w:softHyphen/>
        <w:t>dávk</w:t>
      </w:r>
      <w:r>
        <w:t xml:space="preserve">ou pro firmu Harland </w:t>
      </w:r>
      <w:r>
        <w:rPr>
          <w:lang w:val="en-US" w:eastAsia="en-US" w:bidi="en-US"/>
        </w:rPr>
        <w:t xml:space="preserve">a Wolff </w:t>
      </w:r>
      <w:r>
        <w:t xml:space="preserve">v Belfastu. </w:t>
      </w:r>
      <w:r>
        <w:rPr>
          <w:lang w:val="en-US" w:eastAsia="en-US" w:bidi="en-US"/>
        </w:rPr>
        <w:t xml:space="preserve">Neville Chamberlain </w:t>
      </w:r>
      <w:r>
        <w:t xml:space="preserve">ji chtěl dostat. Poslal telegram vedoucímu řediteli firmy Harland </w:t>
      </w:r>
      <w:r>
        <w:rPr>
          <w:lang w:val="en-US" w:eastAsia="en-US" w:bidi="en-US"/>
        </w:rPr>
        <w:t xml:space="preserve">a Wolff, </w:t>
      </w:r>
      <w:r>
        <w:t xml:space="preserve">že jede do Belfastu a že by jej navštívil. </w:t>
      </w:r>
      <w:r>
        <w:rPr>
          <w:lang w:val="en-US" w:eastAsia="en-US" w:bidi="en-US"/>
        </w:rPr>
        <w:t xml:space="preserve">Neville Chamberlain </w:t>
      </w:r>
      <w:r>
        <w:t>dodávku dostal. Jako starosta Birminghamu poznal, že přím</w:t>
      </w:r>
      <w:r>
        <w:t>ý styk s by</w:t>
      </w:r>
      <w:r>
        <w:softHyphen/>
        <w:t>rokraty z Whitehallu nebo s bankéři z londýnské City mu vždycky přinesl to, co chtěl.</w:t>
      </w:r>
    </w:p>
    <w:p w:rsidR="00500724" w:rsidRDefault="00F30FB8">
      <w:pPr>
        <w:pStyle w:val="Zkladntext1"/>
        <w:shd w:val="clear" w:color="auto" w:fill="auto"/>
        <w:spacing w:line="209" w:lineRule="auto"/>
      </w:pPr>
      <w:r>
        <w:t xml:space="preserve">Když </w:t>
      </w:r>
      <w:r>
        <w:rPr>
          <w:lang w:val="en-US" w:eastAsia="en-US" w:bidi="en-US"/>
        </w:rPr>
        <w:t xml:space="preserve">sir Horace Wilson </w:t>
      </w:r>
      <w:r>
        <w:t xml:space="preserve">přijel na </w:t>
      </w:r>
      <w:r>
        <w:rPr>
          <w:lang w:val="en-US" w:eastAsia="en-US" w:bidi="en-US"/>
        </w:rPr>
        <w:t xml:space="preserve">Downing </w:t>
      </w:r>
      <w:r>
        <w:t>Street, mi</w:t>
      </w:r>
      <w:r>
        <w:softHyphen/>
        <w:t xml:space="preserve">nisterský předseda již prakticky uskutečňoval zásadu přímého styku. Seděl u stolu a črtal návrh telegramu </w:t>
      </w:r>
      <w:r>
        <w:t>Adolfu Hitlerovi, v němž stálo:</w:t>
      </w:r>
    </w:p>
    <w:p w:rsidR="00500724" w:rsidRDefault="00F30FB8">
      <w:pPr>
        <w:pStyle w:val="Zkladntext1"/>
        <w:shd w:val="clear" w:color="auto" w:fill="auto"/>
        <w:spacing w:line="175" w:lineRule="auto"/>
        <w:ind w:left="780" w:firstLine="180"/>
        <w:rPr>
          <w:sz w:val="20"/>
          <w:szCs w:val="20"/>
        </w:rPr>
      </w:pPr>
      <w:r>
        <w:rPr>
          <w:sz w:val="20"/>
          <w:szCs w:val="20"/>
        </w:rPr>
        <w:t>»Vzhledem k stále kritičtější situaci navrhují, že přijedu hned k Vám s úmyslem nalézti mírové ře</w:t>
      </w:r>
      <w:r>
        <w:rPr>
          <w:sz w:val="20"/>
          <w:szCs w:val="20"/>
        </w:rPr>
        <w:softHyphen/>
        <w:t>šení. Navrhuji-cestu letadlem a jsem hotov odletět zítra. Prosím, označte nejbližší chvíli, kdy mne mů</w:t>
      </w:r>
      <w:r>
        <w:rPr>
          <w:sz w:val="20"/>
          <w:szCs w:val="20"/>
        </w:rPr>
        <w:softHyphen/>
        <w:t>žete přijmout, a udejte</w:t>
      </w:r>
      <w:r>
        <w:rPr>
          <w:sz w:val="20"/>
          <w:szCs w:val="20"/>
        </w:rPr>
        <w:t xml:space="preserve"> místo schůzky. Byl bych vděčen za velmi brzkou odpověď. </w:t>
      </w:r>
      <w:r>
        <w:rPr>
          <w:sz w:val="20"/>
          <w:szCs w:val="20"/>
          <w:lang w:val="en-US" w:eastAsia="en-US" w:bidi="en-US"/>
        </w:rPr>
        <w:t>Neville Cham</w:t>
      </w:r>
      <w:r>
        <w:rPr>
          <w:sz w:val="20"/>
          <w:szCs w:val="20"/>
          <w:lang w:val="en-US" w:eastAsia="en-US" w:bidi="en-US"/>
        </w:rPr>
        <w:softHyphen/>
        <w:t>berlain.</w:t>
      </w:r>
      <w:r>
        <w:rPr>
          <w:sz w:val="20"/>
          <w:szCs w:val="20"/>
        </w:rPr>
        <w:t>«</w:t>
      </w:r>
    </w:p>
    <w:p w:rsidR="00500724" w:rsidRDefault="00F30FB8">
      <w:pPr>
        <w:pStyle w:val="Zkladntext1"/>
        <w:shd w:val="clear" w:color="auto" w:fill="auto"/>
        <w:spacing w:after="100" w:line="209" w:lineRule="auto"/>
      </w:pPr>
      <w:r>
        <w:t>Až na diplomatické obraty nebyl příliš velký rozdíl mezi tímto telegramem a někdejší depeší do Belfastu: »Náš zástupce hodlá přijet zítra do Belfastu a navštíví Vás při této př</w:t>
      </w:r>
      <w:r>
        <w:t>íležitosti.«</w:t>
      </w:r>
    </w:p>
    <w:p w:rsidR="00500724" w:rsidRDefault="00F30FB8">
      <w:pPr>
        <w:pStyle w:val="Zkladntext1"/>
        <w:shd w:val="clear" w:color="auto" w:fill="auto"/>
        <w:spacing w:after="80" w:line="206" w:lineRule="auto"/>
        <w:ind w:firstLine="0"/>
        <w:jc w:val="center"/>
      </w:pPr>
      <w:r>
        <w:t>V Godesbergu</w:t>
      </w:r>
    </w:p>
    <w:p w:rsidR="00500724" w:rsidRDefault="00F30FB8">
      <w:pPr>
        <w:pStyle w:val="Zkladntext1"/>
        <w:shd w:val="clear" w:color="auto" w:fill="auto"/>
        <w:spacing w:line="206" w:lineRule="auto"/>
      </w:pPr>
      <w:r>
        <w:rPr>
          <w:lang w:val="en-US" w:eastAsia="en-US" w:bidi="en-US"/>
        </w:rPr>
        <w:t xml:space="preserve">Neville Chamberlain </w:t>
      </w:r>
      <w:r>
        <w:t>letěl do Godesbergu na druhou schůzku s Hitlerem.</w:t>
      </w:r>
    </w:p>
    <w:p w:rsidR="00500724" w:rsidRDefault="00F30FB8">
      <w:pPr>
        <w:pStyle w:val="Zkladntext1"/>
        <w:shd w:val="clear" w:color="auto" w:fill="auto"/>
        <w:spacing w:line="206" w:lineRule="auto"/>
      </w:pPr>
      <w:r>
        <w:t xml:space="preserve">Při svých návštěvách v Německu byl </w:t>
      </w:r>
      <w:r>
        <w:rPr>
          <w:lang w:val="en-US" w:eastAsia="en-US" w:bidi="en-US"/>
        </w:rPr>
        <w:t xml:space="preserve">Benito Mussolini </w:t>
      </w:r>
      <w:r>
        <w:t>na nádraží vždycky očekáván Adolfem Hitlerem. Za jeho pobytu ho Hitler buď navštívil anebo se s ním zase při</w:t>
      </w:r>
      <w:r>
        <w:t>šel rozloučit na nádraží. Ačkoli osmačtyřicetiletý Hitler, »aby ušetřil starému muži tak dlouhou cestu«, ustanovil jako druhé místo schůzky s devětašedesátile- tým Nevillem Chamberlaiuem Godesberg, nepřišel mu naproti ani při jeho příjezdu, ani ho neočekáv</w:t>
      </w:r>
      <w:r>
        <w:t xml:space="preserve">al na břehu Rýna. Když </w:t>
      </w:r>
      <w:r>
        <w:rPr>
          <w:lang w:val="en-US" w:eastAsia="en-US" w:bidi="en-US"/>
        </w:rPr>
        <w:t xml:space="preserve">Neville Chamberlain, </w:t>
      </w:r>
      <w:r>
        <w:t>oslavován statnými Porýňany a školními dětmi, mávajícími praporky a vo</w:t>
      </w:r>
      <w:r>
        <w:softHyphen/>
        <w:t xml:space="preserve">lajícími Heil, jel autem z kolínského letiště přes Rýn do hotelu </w:t>
      </w:r>
      <w:r>
        <w:rPr>
          <w:lang w:val="en-US" w:eastAsia="en-US" w:bidi="en-US"/>
        </w:rPr>
        <w:t xml:space="preserve">Petersburg, </w:t>
      </w:r>
      <w:r>
        <w:t>seděl Adolf Hitler prostovlasý v za</w:t>
      </w:r>
      <w:r>
        <w:softHyphen/>
        <w:t>hradě hotelu Dreesen. Vysocí</w:t>
      </w:r>
      <w:r>
        <w:t xml:space="preserve"> nacističtí činovníci seděli kolem něho a poslouchali.</w:t>
      </w:r>
    </w:p>
    <w:p w:rsidR="00500724" w:rsidRDefault="00F30FB8">
      <w:pPr>
        <w:pStyle w:val="Zkladntext1"/>
        <w:shd w:val="clear" w:color="auto" w:fill="auto"/>
        <w:spacing w:line="206" w:lineRule="auto"/>
      </w:pPr>
      <w:r>
        <w:t>Pokud Adolf Hitler nemluvil, seděl s rukou opřenou o zahradní zídku a díval se, jak plyne Rýn. Dokud se ne</w:t>
      </w:r>
      <w:r>
        <w:softHyphen/>
        <w:t xml:space="preserve">přiblížila hodina, kdy k němu měl přijít </w:t>
      </w:r>
      <w:r>
        <w:rPr>
          <w:lang w:val="en-US" w:eastAsia="en-US" w:bidi="en-US"/>
        </w:rPr>
        <w:t>Neville Cham</w:t>
      </w:r>
      <w:r>
        <w:rPr>
          <w:lang w:val="en-US" w:eastAsia="en-US" w:bidi="en-US"/>
        </w:rPr>
        <w:softHyphen/>
        <w:t xml:space="preserve">berlain, </w:t>
      </w:r>
      <w:r>
        <w:t xml:space="preserve">ani se nepohnul. Potom šel do </w:t>
      </w:r>
      <w:r>
        <w:t>hotelu s výrazem rozhodnosti v tváři. Ani se neusmál, když ho nacisté zdravili.</w:t>
      </w:r>
    </w:p>
    <w:p w:rsidR="00500724" w:rsidRDefault="00F30FB8">
      <w:pPr>
        <w:pStyle w:val="Zkladntext1"/>
        <w:shd w:val="clear" w:color="auto" w:fill="auto"/>
        <w:spacing w:line="206" w:lineRule="auto"/>
      </w:pPr>
      <w:r>
        <w:t xml:space="preserve">V ložnici ve svém hotelu našel </w:t>
      </w:r>
      <w:r>
        <w:rPr>
          <w:lang w:val="en-US" w:eastAsia="en-US" w:bidi="en-US"/>
        </w:rPr>
        <w:t xml:space="preserve">Chamberlain </w:t>
      </w:r>
      <w:r>
        <w:t>vzorky kolínské vody, vodičku na vlasy, vodičku na zuby, sůl do koupele a brilantinu. Z okna viděl pod sebou rozpro</w:t>
      </w:r>
      <w:r>
        <w:softHyphen/>
        <w:t>střené rýnské údo</w:t>
      </w:r>
      <w:r>
        <w:t>lí, klidné a mírné, kam až oko do</w:t>
      </w:r>
      <w:r>
        <w:softHyphen/>
        <w:t>hlédlo. V Chamberlainově srdci byla naděje, v jeho ak</w:t>
      </w:r>
      <w:r>
        <w:softHyphen/>
        <w:t>tovce britské a francouzské přijetí zásady sebeurčení pro sudetské Němce a plán, jemuž se dostalo zdráha</w:t>
      </w:r>
      <w:r>
        <w:softHyphen/>
        <w:t>vého souhlasu československé vlády.</w:t>
      </w:r>
    </w:p>
    <w:p w:rsidR="00500724" w:rsidRDefault="00F30FB8">
      <w:pPr>
        <w:pStyle w:val="Zkladntext1"/>
        <w:shd w:val="clear" w:color="auto" w:fill="auto"/>
        <w:spacing w:line="206" w:lineRule="auto"/>
      </w:pPr>
      <w:r>
        <w:t xml:space="preserve">Adolf Hitler se usmíval, </w:t>
      </w:r>
      <w:r>
        <w:t>když natahoval bílou, pečlivě pěstěnou ruku, aby uchopil silné a kostnaté prsty Ne</w:t>
      </w:r>
      <w:r>
        <w:softHyphen/>
        <w:t>villa Chamberlaina. Úsměvu, který zářil jako odpověď v hnědých očích Nevilla Chamberlaina, bylo souzeno, aby se proměnil v studený úžas a brzy ve hněv. Ale za</w:t>
      </w:r>
      <w:r>
        <w:softHyphen/>
        <w:t xml:space="preserve">tím byl </w:t>
      </w:r>
      <w:r>
        <w:rPr>
          <w:lang w:val="en-US" w:eastAsia="en-US" w:bidi="en-US"/>
        </w:rPr>
        <w:t>Chambe</w:t>
      </w:r>
      <w:r>
        <w:rPr>
          <w:lang w:val="en-US" w:eastAsia="en-US" w:bidi="en-US"/>
        </w:rPr>
        <w:t xml:space="preserve">rlain </w:t>
      </w:r>
      <w:r>
        <w:t xml:space="preserve">šťasten. Byly do pokoje přineseny mapy. </w:t>
      </w:r>
      <w:r>
        <w:rPr>
          <w:lang w:val="en-US" w:eastAsia="en-US" w:bidi="en-US"/>
        </w:rPr>
        <w:t xml:space="preserve">Neville Chamberlain </w:t>
      </w:r>
      <w:r>
        <w:t>začal mluvit. Vysvětlil pro</w:t>
      </w:r>
      <w:r>
        <w:softHyphen/>
        <w:t>střednictvím tlumočníka Paula Schmidta, jak má být po</w:t>
      </w:r>
      <w:r>
        <w:softHyphen/>
        <w:t>dle názoru britské a francouzské vlády sudetské území postoupeno Německu a jak mají být vymezeny nové hranic</w:t>
      </w:r>
      <w:r>
        <w:t>e Československa.</w:t>
      </w:r>
    </w:p>
    <w:p w:rsidR="00500724" w:rsidRDefault="00F30FB8">
      <w:pPr>
        <w:pStyle w:val="Zkladntext1"/>
        <w:shd w:val="clear" w:color="auto" w:fill="auto"/>
        <w:spacing w:line="206" w:lineRule="auto"/>
      </w:pPr>
      <w:r>
        <w:t>Nastala přestávka .. . Začal mluvit Adolf Hitler. Tyto anglo-francouzské návrhy přicházejí příliš pozdě ... Potlačování sudetských Němců už je nesnesitelné . . . Incidenty se množí každou hodinu. Musí nastat rychlé rozluštění ...</w:t>
      </w:r>
    </w:p>
    <w:p w:rsidR="00500724" w:rsidRDefault="00F30FB8">
      <w:pPr>
        <w:pStyle w:val="Zkladntext1"/>
        <w:shd w:val="clear" w:color="auto" w:fill="auto"/>
        <w:spacing w:line="206" w:lineRule="auto"/>
      </w:pPr>
      <w:r>
        <w:t>Adolf Hi</w:t>
      </w:r>
      <w:r>
        <w:t>tler mluvil rychle. Rozčileně, Chodil kolem stolu, na němž byly rozloženy mapy ... Čeští vojáci musí být odvoláni odtud a posláni tamhle... Vyklizené území musí být odevzdáno nedotčené. Němečtí vězňové musí býti propuštěni.</w:t>
      </w:r>
    </w:p>
    <w:p w:rsidR="00500724" w:rsidRDefault="00F30FB8">
      <w:pPr>
        <w:pStyle w:val="Zkladntext1"/>
        <w:shd w:val="clear" w:color="auto" w:fill="auto"/>
        <w:spacing w:line="206" w:lineRule="auto"/>
      </w:pPr>
      <w:r>
        <w:t xml:space="preserve">Třebaže </w:t>
      </w:r>
      <w:r>
        <w:rPr>
          <w:lang w:val="en-US" w:eastAsia="en-US" w:bidi="en-US"/>
        </w:rPr>
        <w:t xml:space="preserve">Neville Chamberlain </w:t>
      </w:r>
      <w:r>
        <w:t>nehr</w:t>
      </w:r>
      <w:r>
        <w:t>aje poker, má do</w:t>
      </w:r>
      <w:r>
        <w:softHyphen/>
        <w:t>brou tvář hráče pokeru. Za jeho nehybnou zasmušilostí jsou velké reservy důstojnosti a rozhodnosti. Ale Hitle</w:t>
      </w:r>
      <w:r>
        <w:softHyphen/>
        <w:t>rovo odmítnutí anglo-francouzských návrhů, které byly pro Brity doma tak ponižující, byla pro něho velká rána. Letěl až z Londýna</w:t>
      </w:r>
      <w:r>
        <w:t>, aby vyjednával. Místo toho shledal, že jen poslouchá.</w:t>
      </w:r>
    </w:p>
    <w:p w:rsidR="00500724" w:rsidRDefault="00F30FB8">
      <w:pPr>
        <w:pStyle w:val="Zkladntext1"/>
        <w:shd w:val="clear" w:color="auto" w:fill="auto"/>
        <w:spacing w:line="209" w:lineRule="auto"/>
      </w:pPr>
      <w:r>
        <w:t>Hitler domluvil. Chamberlainův ledový tón se zařízl do vzrušení, do něhož se uvedl Hitler. Obnoví Fiihrer své původní ujištění, že nepošle německé vojsko do Čes</w:t>
      </w:r>
      <w:r>
        <w:softHyphen/>
        <w:t>koslovenska, dokud se neskončí vyjednáv</w:t>
      </w:r>
      <w:r>
        <w:t>ání? Kdyby to Fiihrer učinil, ministerský předseda by byl ochoten pů</w:t>
      </w:r>
      <w:r>
        <w:softHyphen/>
        <w:t>sobili na českou vládu, aby se vystříhala jakékoli pro</w:t>
      </w:r>
      <w:r>
        <w:softHyphen/>
        <w:t>vokace.</w:t>
      </w:r>
    </w:p>
    <w:p w:rsidR="00500724" w:rsidRDefault="00F30FB8">
      <w:pPr>
        <w:pStyle w:val="Zkladntext1"/>
        <w:shd w:val="clear" w:color="auto" w:fill="auto"/>
        <w:spacing w:line="209" w:lineRule="auto"/>
      </w:pPr>
      <w:r>
        <w:t>Hitler přikývl.</w:t>
      </w:r>
    </w:p>
    <w:p w:rsidR="00500724" w:rsidRDefault="00F30FB8">
      <w:pPr>
        <w:pStyle w:val="Zkladntext1"/>
        <w:shd w:val="clear" w:color="auto" w:fill="auto"/>
        <w:spacing w:line="209" w:lineRule="auto"/>
      </w:pPr>
      <w:r>
        <w:t xml:space="preserve">Když opouštěl hotel Dreesen, přejížděl Rýn a jel po příkré, klikaté cestě do svého hotelu, jevil </w:t>
      </w:r>
      <w:r>
        <w:rPr>
          <w:lang w:val="en-US" w:eastAsia="en-US" w:bidi="en-US"/>
        </w:rPr>
        <w:t>Chamberlain</w:t>
      </w:r>
      <w:r>
        <w:rPr>
          <w:lang w:val="en-US" w:eastAsia="en-US" w:bidi="en-US"/>
        </w:rPr>
        <w:t xml:space="preserve"> </w:t>
      </w:r>
      <w:r>
        <w:t>už zase důvěřivou tvář. Na Němce, kteří mu provolávali Heil, se usmál a pokynul jim rukou. Novinářům, kteří ho zahrnuli otázkami, když spěchal do svého pokoje, odpovídal nadějně a nejevil žádné známky strachu nebo pokleslé mysli.</w:t>
      </w:r>
    </w:p>
    <w:p w:rsidR="00500724" w:rsidRDefault="00F30FB8">
      <w:pPr>
        <w:pStyle w:val="Zkladntext1"/>
        <w:shd w:val="clear" w:color="auto" w:fill="auto"/>
        <w:spacing w:line="209" w:lineRule="auto"/>
      </w:pPr>
      <w:r>
        <w:t>Večer telefonoval do Lond</w:t>
      </w:r>
      <w:r>
        <w:t>ýna a přemýšlel. Snědl dů</w:t>
      </w:r>
      <w:r>
        <w:softHyphen/>
        <w:t xml:space="preserve">kladnou večeři, napil se rýnského a šel </w:t>
      </w:r>
      <w:r>
        <w:rPr>
          <w:lang w:val="en-US" w:eastAsia="en-US" w:bidi="en-US"/>
        </w:rPr>
        <w:t xml:space="preserve">spat. </w:t>
      </w:r>
      <w:r>
        <w:t>Ráno byl brzy vzhůru, aby viděl rýnské údolí ve slunečním světle. Bylo to klidné panorama, které mluvilo k srdci milov</w:t>
      </w:r>
      <w:r>
        <w:softHyphen/>
        <w:t xml:space="preserve">níka venkova, jímž je </w:t>
      </w:r>
      <w:r>
        <w:rPr>
          <w:lang w:val="en-US" w:eastAsia="en-US" w:bidi="en-US"/>
        </w:rPr>
        <w:t xml:space="preserve">Chamberlain. </w:t>
      </w:r>
      <w:r>
        <w:t xml:space="preserve">Stál na terase své ložnice, a </w:t>
      </w:r>
      <w:r>
        <w:t>dole pod ním jiskřily vody Rýna. Vzduch byl rozjařující a posilující. Na druhém břehu Rýna, trochu napravo, byl hotel Dreesen, kde bydlil Hitler.</w:t>
      </w:r>
    </w:p>
    <w:p w:rsidR="00500724" w:rsidRDefault="00F30FB8">
      <w:pPr>
        <w:pStyle w:val="Zkladntext1"/>
        <w:shd w:val="clear" w:color="auto" w:fill="auto"/>
        <w:spacing w:line="209" w:lineRule="auto"/>
      </w:pPr>
      <w:r>
        <w:t xml:space="preserve">Po úderu včerejšího odpoledne </w:t>
      </w:r>
      <w:r>
        <w:rPr>
          <w:lang w:val="en-US" w:eastAsia="en-US" w:bidi="en-US"/>
        </w:rPr>
        <w:t xml:space="preserve">Chamberlain </w:t>
      </w:r>
      <w:r>
        <w:t>osnoval nový plán, zatím co chodil po terase. Vrátilo se mu staré ob</w:t>
      </w:r>
      <w:r>
        <w:t>chodnické přání vidět věci černé na bílém. Sedl si tedy ve vysluněném pokoji ke stolu a napsal dopis Adolfu Hitlerovi.</w:t>
      </w:r>
    </w:p>
    <w:p w:rsidR="00500724" w:rsidRDefault="00F30FB8">
      <w:pPr>
        <w:pStyle w:val="Zkladntext1"/>
        <w:shd w:val="clear" w:color="auto" w:fill="auto"/>
        <w:spacing w:line="209" w:lineRule="auto"/>
      </w:pPr>
      <w:r>
        <w:t>Krátce po desáté hodině čekali dva zvláštní detekti</w:t>
      </w:r>
      <w:r>
        <w:softHyphen/>
        <w:t xml:space="preserve">vové ze </w:t>
      </w:r>
      <w:r>
        <w:rPr>
          <w:lang w:val="en-US" w:eastAsia="en-US" w:bidi="en-US"/>
        </w:rPr>
        <w:t xml:space="preserve">Scotland </w:t>
      </w:r>
      <w:r>
        <w:t>Yardu, přidělení ministerskému před</w:t>
      </w:r>
      <w:r>
        <w:softHyphen/>
        <w:t>sedovi, před hotelem poblíž jeho</w:t>
      </w:r>
      <w:r>
        <w:t xml:space="preserve"> průvodu a pečlivě hlí</w:t>
      </w:r>
      <w:r>
        <w:softHyphen/>
        <w:t>dali dvě velké stočené mapy. Naproti hotelu se dav dí</w:t>
      </w:r>
      <w:r>
        <w:softHyphen/>
        <w:t>val, jak dvě přísně se tvářící stráže SS se každou půlho</w:t>
      </w:r>
      <w:r>
        <w:softHyphen/>
        <w:t>dinu měnily za hromového dupotu husího pochodu, a čekal, až se objeví britský ministerský předseda. Ote</w:t>
      </w:r>
      <w:r>
        <w:softHyphen/>
        <w:t>vřená mercedeska s</w:t>
      </w:r>
      <w:r>
        <w:t xml:space="preserve"> nacisticky uniformovaným šoférem předjela před vrata a čekala.</w:t>
      </w:r>
    </w:p>
    <w:p w:rsidR="00500724" w:rsidRDefault="00F30FB8">
      <w:pPr>
        <w:pStyle w:val="Zkladntext1"/>
        <w:shd w:val="clear" w:color="auto" w:fill="auto"/>
        <w:spacing w:line="209" w:lineRule="auto"/>
      </w:pPr>
      <w:r>
        <w:t>Čas plynul a britský ministerský předseda se neobje</w:t>
      </w:r>
      <w:r>
        <w:softHyphen/>
        <w:t>voval. Mercedesce bylo nařízeno, aby zas odjela. Původ</w:t>
      </w:r>
      <w:r>
        <w:softHyphen/>
        <w:t>ní překvapení se začalo měnit ve skutečnou úzkost. Ni</w:t>
      </w:r>
      <w:r>
        <w:softHyphen/>
        <w:t>kdo mimo Chamberlaina a jeho pr</w:t>
      </w:r>
      <w:r>
        <w:t>ůvod nevěděl o jeho dopise Adolfu Hitlerovi. Detektivové před hotelem po</w:t>
      </w:r>
      <w:r>
        <w:softHyphen/>
        <w:t>řád svědomitě drželi mapy. Muž z hotelového personálu, otec tří dětí, řekl: »To je zlé... Já nechci válku.«</w:t>
      </w:r>
    </w:p>
    <w:p w:rsidR="00500724" w:rsidRDefault="00F30FB8">
      <w:pPr>
        <w:pStyle w:val="Zkladntext1"/>
        <w:shd w:val="clear" w:color="auto" w:fill="auto"/>
        <w:spacing w:line="209" w:lineRule="auto"/>
      </w:pPr>
      <w:r>
        <w:t xml:space="preserve">Snad největší Chamberlainova politická nenávist je David </w:t>
      </w:r>
      <w:r>
        <w:rPr>
          <w:lang w:val="en-US" w:eastAsia="en-US" w:bidi="en-US"/>
        </w:rPr>
        <w:t xml:space="preserve">Lloyd George. </w:t>
      </w:r>
      <w:r>
        <w:t xml:space="preserve">Nic </w:t>
      </w:r>
      <w:r>
        <w:t xml:space="preserve">na světě by ho nepřimělo, aby něco udělal tak, jako </w:t>
      </w:r>
      <w:r>
        <w:rPr>
          <w:lang w:val="en-US" w:eastAsia="en-US" w:bidi="en-US"/>
        </w:rPr>
        <w:t xml:space="preserve">Lloyd George, </w:t>
      </w:r>
      <w:r>
        <w:t>je-li jen nějaký jiný způsob. Ale když ho novináři viděli chodit sem tam po terase s občasnými pohledy dolů k hotelu Dreesen, há</w:t>
      </w:r>
      <w:r>
        <w:softHyphen/>
        <w:t xml:space="preserve">dajíce, co znamená ten odklad, říkali </w:t>
      </w:r>
      <w:r>
        <w:rPr>
          <w:lang w:val="en-US" w:eastAsia="en-US" w:bidi="en-US"/>
        </w:rPr>
        <w:t xml:space="preserve">si: ^Neville </w:t>
      </w:r>
      <w:r>
        <w:t>začíná vzd</w:t>
      </w:r>
      <w:r>
        <w:t xml:space="preserve">orovat. Zrovna takhle by to udělal </w:t>
      </w:r>
      <w:r>
        <w:rPr>
          <w:lang w:val="en-US" w:eastAsia="en-US" w:bidi="en-US"/>
        </w:rPr>
        <w:t>Lloyd George.</w:t>
      </w:r>
      <w:r>
        <w:t>«</w:t>
      </w:r>
    </w:p>
    <w:p w:rsidR="00500724" w:rsidRDefault="00F30FB8">
      <w:pPr>
        <w:pStyle w:val="Zkladntext1"/>
        <w:shd w:val="clear" w:color="auto" w:fill="auto"/>
        <w:spacing w:line="209" w:lineRule="auto"/>
      </w:pPr>
      <w:r>
        <w:t>V hotelu Dreesen stráže pečovaly o naprostou odlou</w:t>
      </w:r>
      <w:r>
        <w:softHyphen/>
        <w:t xml:space="preserve">čenost Adolfa Hitlera, zatím co vůdce zažíval Schmid- tův překlad Chamberlainova dopisu. U Hitlera anebo poblíž, na zavolanou, byl </w:t>
      </w:r>
      <w:r>
        <w:rPr>
          <w:lang w:val="en-US" w:eastAsia="en-US" w:bidi="en-US"/>
        </w:rPr>
        <w:t xml:space="preserve">Joachim von Ribbentrop, </w:t>
      </w:r>
      <w:r>
        <w:t>Jo</w:t>
      </w:r>
      <w:r>
        <w:softHyphen/>
        <w:t xml:space="preserve">sef Goebbels a generál </w:t>
      </w:r>
      <w:r>
        <w:rPr>
          <w:lang w:val="en-US" w:eastAsia="en-US" w:bidi="en-US"/>
        </w:rPr>
        <w:t xml:space="preserve">Keitel. </w:t>
      </w:r>
      <w:r>
        <w:t>Trvalo to pět hodin, než Hitler konečně schválil koncept své odpovědi Nevillu Chamb erlaino vi.</w:t>
      </w:r>
    </w:p>
    <w:p w:rsidR="00500724" w:rsidRDefault="00F30FB8">
      <w:pPr>
        <w:pStyle w:val="Zkladntext1"/>
        <w:shd w:val="clear" w:color="auto" w:fill="auto"/>
        <w:spacing w:line="209" w:lineRule="auto"/>
      </w:pPr>
      <w:r>
        <w:t xml:space="preserve">Tlumočník </w:t>
      </w:r>
      <w:r>
        <w:rPr>
          <w:lang w:val="en-US" w:eastAsia="en-US" w:bidi="en-US"/>
        </w:rPr>
        <w:t xml:space="preserve">Paul Schmidt </w:t>
      </w:r>
      <w:r>
        <w:t xml:space="preserve">donesl dopis Chamberlai- novi a ústně mu jej přeložil. Když </w:t>
      </w:r>
      <w:r>
        <w:rPr>
          <w:lang w:val="en-US" w:eastAsia="en-US" w:bidi="en-US"/>
        </w:rPr>
        <w:t xml:space="preserve">Paul Schmidt </w:t>
      </w:r>
      <w:r>
        <w:t>dokon</w:t>
      </w:r>
      <w:r>
        <w:softHyphen/>
        <w:t>čil četbu, nebylo v Cham</w:t>
      </w:r>
      <w:r>
        <w:t>berlainově mysli pochybnosti, že to je německé ultimatum. Válka ...</w:t>
      </w:r>
    </w:p>
    <w:p w:rsidR="00500724" w:rsidRDefault="00F30FB8">
      <w:pPr>
        <w:pStyle w:val="Zkladntext1"/>
        <w:shd w:val="clear" w:color="auto" w:fill="auto"/>
        <w:spacing w:line="223" w:lineRule="auto"/>
        <w:rPr>
          <w:sz w:val="14"/>
          <w:szCs w:val="14"/>
        </w:rPr>
      </w:pPr>
      <w:r>
        <w:t xml:space="preserve">Z hotelu </w:t>
      </w:r>
      <w:r>
        <w:rPr>
          <w:lang w:val="en-US" w:eastAsia="en-US" w:bidi="en-US"/>
        </w:rPr>
        <w:t xml:space="preserve">St. Petersburg </w:t>
      </w:r>
      <w:r>
        <w:t>šlo pak Chamberlainovo ledo</w:t>
      </w:r>
      <w:r>
        <w:softHyphen/>
        <w:t xml:space="preserve">vé psaní, potvrzující příjem Hitlerova dopisu, žádající o úplné memorandum pro československou vládu a kon- </w:t>
      </w:r>
      <w:r>
        <w:rPr>
          <w:b/>
          <w:bCs/>
          <w:sz w:val="14"/>
          <w:szCs w:val="14"/>
        </w:rPr>
        <w:t>C1C1 *</w:t>
      </w:r>
    </w:p>
    <w:p w:rsidR="00500724" w:rsidRDefault="00F30FB8">
      <w:pPr>
        <w:pStyle w:val="Zkladntext1"/>
        <w:shd w:val="clear" w:color="auto" w:fill="auto"/>
        <w:spacing w:line="185" w:lineRule="auto"/>
        <w:ind w:left="740" w:firstLine="0"/>
        <w:jc w:val="right"/>
        <w:rPr>
          <w:sz w:val="20"/>
          <w:szCs w:val="20"/>
        </w:rPr>
      </w:pPr>
      <w:r>
        <w:rPr>
          <w:sz w:val="20"/>
          <w:szCs w:val="20"/>
        </w:rPr>
        <w:t xml:space="preserve">»Poněvadž o přijetí </w:t>
      </w:r>
      <w:r>
        <w:rPr>
          <w:sz w:val="20"/>
          <w:szCs w:val="20"/>
        </w:rPr>
        <w:t>nebo odmítnutí návrhů Vaší Excellence musí nyní rozhodnout československá</w:t>
      </w:r>
    </w:p>
    <w:p w:rsidR="00500724" w:rsidRDefault="00F30FB8">
      <w:pPr>
        <w:pStyle w:val="Zkladntext1"/>
        <w:shd w:val="clear" w:color="auto" w:fill="auto"/>
        <w:spacing w:line="178" w:lineRule="auto"/>
        <w:ind w:left="840" w:firstLine="0"/>
        <w:rPr>
          <w:sz w:val="20"/>
          <w:szCs w:val="20"/>
        </w:rPr>
      </w:pPr>
      <w:r>
        <w:rPr>
          <w:sz w:val="20"/>
          <w:szCs w:val="20"/>
        </w:rPr>
        <w:t>vláda, nevidím, jakou službu bych tu mohl ještě vy- konati, když na druhé straně je nutno, abych oka</w:t>
      </w:r>
      <w:r>
        <w:rPr>
          <w:sz w:val="20"/>
          <w:szCs w:val="20"/>
        </w:rPr>
        <w:softHyphen/>
        <w:t>mžitě zpravil o nynější situaci své kolegy a fran</w:t>
      </w:r>
      <w:r>
        <w:rPr>
          <w:sz w:val="20"/>
          <w:szCs w:val="20"/>
        </w:rPr>
        <w:softHyphen/>
        <w:t>couzskou vládu. Hodlám se proto</w:t>
      </w:r>
      <w:r>
        <w:rPr>
          <w:sz w:val="20"/>
          <w:szCs w:val="20"/>
        </w:rPr>
        <w:t xml:space="preserve"> vrátit do Anglie.</w:t>
      </w:r>
    </w:p>
    <w:p w:rsidR="00500724" w:rsidRDefault="00F30FB8">
      <w:pPr>
        <w:pStyle w:val="Zkladntext1"/>
        <w:shd w:val="clear" w:color="auto" w:fill="auto"/>
        <w:spacing w:line="199" w:lineRule="auto"/>
        <w:ind w:left="2500" w:firstLine="0"/>
        <w:jc w:val="left"/>
        <w:rPr>
          <w:sz w:val="20"/>
          <w:szCs w:val="20"/>
        </w:rPr>
      </w:pPr>
      <w:r>
        <w:rPr>
          <w:sz w:val="20"/>
          <w:szCs w:val="20"/>
        </w:rPr>
        <w:t>V plné úctě</w:t>
      </w:r>
    </w:p>
    <w:p w:rsidR="00500724" w:rsidRDefault="00F30FB8">
      <w:pPr>
        <w:pStyle w:val="Zkladntext1"/>
        <w:shd w:val="clear" w:color="auto" w:fill="auto"/>
        <w:spacing w:after="60" w:line="199" w:lineRule="auto"/>
        <w:ind w:firstLine="0"/>
        <w:jc w:val="right"/>
        <w:rPr>
          <w:sz w:val="20"/>
          <w:szCs w:val="20"/>
        </w:rPr>
      </w:pPr>
      <w:r>
        <w:rPr>
          <w:sz w:val="20"/>
          <w:szCs w:val="20"/>
          <w:lang w:val="en-US" w:eastAsia="en-US" w:bidi="en-US"/>
        </w:rPr>
        <w:t>Neville Chamberlain.</w:t>
      </w:r>
      <w:r>
        <w:rPr>
          <w:sz w:val="20"/>
          <w:szCs w:val="20"/>
        </w:rPr>
        <w:t>«</w:t>
      </w:r>
    </w:p>
    <w:p w:rsidR="00500724" w:rsidRDefault="00F30FB8">
      <w:pPr>
        <w:pStyle w:val="Zkladntext1"/>
        <w:shd w:val="clear" w:color="auto" w:fill="auto"/>
        <w:spacing w:line="206" w:lineRule="auto"/>
        <w:ind w:firstLine="260"/>
      </w:pPr>
      <w:r>
        <w:t xml:space="preserve">Noc se snášela na Godesberg. Nemnoho mil od místa, kde seděl </w:t>
      </w:r>
      <w:r>
        <w:rPr>
          <w:lang w:val="en-US" w:eastAsia="en-US" w:bidi="en-US"/>
        </w:rPr>
        <w:t xml:space="preserve">Neville Chamberlain </w:t>
      </w:r>
      <w:r>
        <w:t>a přemýšlel o mož</w:t>
      </w:r>
      <w:r>
        <w:softHyphen/>
        <w:t xml:space="preserve">nostech míru, pracovali němečtí dělníci ve dne v noci, aby dokončili betonový Siegfriedův protějšek k </w:t>
      </w:r>
      <w:r>
        <w:t>Magi- notově linii. Skoro půl druhého milionu německých zá</w:t>
      </w:r>
      <w:r>
        <w:softHyphen/>
        <w:t>ložníků bylo mobilisováno v kasárnách po celém Ně</w:t>
      </w:r>
      <w:r>
        <w:softHyphen/>
        <w:t>mecku. Československá armáda právě mobilisovala. A Adolf Hitler, ochotný riskovat světovou válku pro tři miliony sudetských Němců, to byla skutečno</w:t>
      </w:r>
      <w:r>
        <w:t xml:space="preserve">st, před níž stál </w:t>
      </w:r>
      <w:r>
        <w:rPr>
          <w:lang w:val="en-US" w:eastAsia="en-US" w:bidi="en-US"/>
        </w:rPr>
        <w:t>Neville Chamberlain.</w:t>
      </w:r>
    </w:p>
    <w:p w:rsidR="00500724" w:rsidRDefault="00F30FB8">
      <w:pPr>
        <w:pStyle w:val="Zkladntext1"/>
        <w:shd w:val="clear" w:color="auto" w:fill="auto"/>
        <w:spacing w:line="209" w:lineRule="auto"/>
        <w:ind w:firstLine="260"/>
      </w:pPr>
      <w:r>
        <w:t xml:space="preserve">Dole v údolí blikala světla </w:t>
      </w:r>
      <w:r>
        <w:rPr>
          <w:lang w:val="en-US" w:eastAsia="en-US" w:bidi="en-US"/>
        </w:rPr>
        <w:t xml:space="preserve">a sir Horace </w:t>
      </w:r>
      <w:r>
        <w:t>Wilson jel autem, aby odevzdal Hitlerovi poslední Chamberlai</w:t>
      </w:r>
      <w:r>
        <w:softHyphen/>
        <w:t xml:space="preserve">nův dopis. Vedle něho seděl </w:t>
      </w:r>
      <w:r>
        <w:rPr>
          <w:lang w:val="en-US" w:eastAsia="en-US" w:bidi="en-US"/>
        </w:rPr>
        <w:t xml:space="preserve">sir Neville Henderson, </w:t>
      </w:r>
      <w:r>
        <w:t xml:space="preserve">bledý a unavený. V hotelu Dreesen </w:t>
      </w:r>
      <w:r>
        <w:rPr>
          <w:lang w:val="en-US" w:eastAsia="en-US" w:bidi="en-US"/>
        </w:rPr>
        <w:t xml:space="preserve">sir Horace </w:t>
      </w:r>
      <w:r>
        <w:t xml:space="preserve">Wilson </w:t>
      </w:r>
      <w:r>
        <w:rPr>
          <w:lang w:val="en-US" w:eastAsia="en-US" w:bidi="en-US"/>
        </w:rPr>
        <w:t xml:space="preserve">a sir Neville Henderson </w:t>
      </w:r>
      <w:r>
        <w:t xml:space="preserve">mluvili s </w:t>
      </w:r>
      <w:r>
        <w:rPr>
          <w:lang w:val="en-US" w:eastAsia="en-US" w:bidi="en-US"/>
        </w:rPr>
        <w:t>Ribbentropem. Rib</w:t>
      </w:r>
      <w:r>
        <w:rPr>
          <w:lang w:val="en-US" w:eastAsia="en-US" w:bidi="en-US"/>
        </w:rPr>
        <w:softHyphen/>
        <w:t xml:space="preserve">bentrop </w:t>
      </w:r>
      <w:r>
        <w:t>je nechal promluvit s Hitlerem.</w:t>
      </w:r>
    </w:p>
    <w:p w:rsidR="00500724" w:rsidRDefault="00F30FB8">
      <w:pPr>
        <w:pStyle w:val="Zkladntext1"/>
        <w:shd w:val="clear" w:color="auto" w:fill="auto"/>
        <w:spacing w:line="209" w:lineRule="auto"/>
        <w:ind w:firstLine="260"/>
      </w:pPr>
      <w:r>
        <w:t xml:space="preserve">Když se </w:t>
      </w:r>
      <w:r>
        <w:rPr>
          <w:lang w:val="en-US" w:eastAsia="en-US" w:bidi="en-US"/>
        </w:rPr>
        <w:t xml:space="preserve">sir Horace </w:t>
      </w:r>
      <w:r>
        <w:t xml:space="preserve">Wilson za dvě hodiny vrátil k Chamberlainovi, bylo ohlášeno, že o půl jedenácté v noci bude schůzka na rozloučenou mezi Nevillem Chamberlainem a </w:t>
      </w:r>
      <w:r>
        <w:t>Adolfem Hitlerem. Němečtí tíředníci mluvili nadějně o této rozmluvě. Mluvili, jako by krise byla překonána, jakmile se ministerský předseda a Fiihrer zase setkají tváří v tvář.</w:t>
      </w:r>
    </w:p>
    <w:p w:rsidR="00500724" w:rsidRDefault="00F30FB8">
      <w:pPr>
        <w:pStyle w:val="Zkladntext1"/>
        <w:shd w:val="clear" w:color="auto" w:fill="auto"/>
        <w:spacing w:line="209" w:lineRule="auto"/>
        <w:ind w:firstLine="260"/>
      </w:pPr>
      <w:r>
        <w:t xml:space="preserve">V britské delegaci někdo řekl: »Budeme-li nyní silní, bude dobře.« Oči sira </w:t>
      </w:r>
      <w:r>
        <w:rPr>
          <w:lang w:val="en-US" w:eastAsia="en-US" w:bidi="en-US"/>
        </w:rPr>
        <w:t>Hor</w:t>
      </w:r>
      <w:r>
        <w:rPr>
          <w:lang w:val="en-US" w:eastAsia="en-US" w:bidi="en-US"/>
        </w:rPr>
        <w:t xml:space="preserve">ace </w:t>
      </w:r>
      <w:r>
        <w:t xml:space="preserve">Wilsona byly zarudlé, když vstupoval za Chamberlainem do vozu, který je měl dopravit k Hitlerovi. Naproti tomu </w:t>
      </w:r>
      <w:r>
        <w:rPr>
          <w:lang w:val="en-US" w:eastAsia="en-US" w:bidi="en-US"/>
        </w:rPr>
        <w:t xml:space="preserve">Chamberlain </w:t>
      </w:r>
      <w:r>
        <w:t>vypadal svěže a klidně.</w:t>
      </w:r>
    </w:p>
    <w:p w:rsidR="00500724" w:rsidRDefault="00F30FB8">
      <w:pPr>
        <w:pStyle w:val="Zkladntext1"/>
        <w:shd w:val="clear" w:color="auto" w:fill="auto"/>
        <w:spacing w:line="209" w:lineRule="auto"/>
        <w:ind w:firstLine="260"/>
      </w:pPr>
      <w:r>
        <w:t xml:space="preserve">Čekal ho nový náraz, v podobě Hitlerova memoranda, připojujícího časové omezení k dřívějšímu ultimatu, a </w:t>
      </w:r>
      <w:r>
        <w:t xml:space="preserve">Hitlerova poznámka, která byla chválou a zároveň se zdála podceňovat všechna politická risika, jež </w:t>
      </w:r>
      <w:r>
        <w:rPr>
          <w:lang w:val="en-US" w:eastAsia="en-US" w:bidi="en-US"/>
        </w:rPr>
        <w:t xml:space="preserve">Chamberlain </w:t>
      </w:r>
      <w:r>
        <w:t>podstoupil pro řešení v míru: »Ani chvilku jsem si nemyslel, že se budete moci vrátit do Německa a říci, že zásada sebeurčení se přijímá.«</w:t>
      </w:r>
    </w:p>
    <w:p w:rsidR="00500724" w:rsidRDefault="00F30FB8">
      <w:pPr>
        <w:pStyle w:val="Zkladntext1"/>
        <w:shd w:val="clear" w:color="auto" w:fill="auto"/>
        <w:spacing w:line="209" w:lineRule="auto"/>
        <w:ind w:firstLine="260"/>
      </w:pPr>
      <w:r>
        <w:t>Ale to</w:t>
      </w:r>
      <w:r>
        <w:t xml:space="preserve"> nic nebylo u srovnání s překvapením, které na Chamberlaina čekalo v memorandu, kde stálo, že převod sudetského území do Německa musí být dokon</w:t>
      </w:r>
      <w:r>
        <w:softHyphen/>
        <w:t xml:space="preserve">čen 1. října — za týden. Ještě jednou upřel </w:t>
      </w:r>
      <w:r>
        <w:rPr>
          <w:lang w:val="en-US" w:eastAsia="en-US" w:bidi="en-US"/>
        </w:rPr>
        <w:t xml:space="preserve">Neville Chamberlain </w:t>
      </w:r>
      <w:r>
        <w:t>chladné'oko na Hitlera. Mluvil o tvr</w:t>
      </w:r>
      <w:r>
        <w:softHyphen/>
        <w:t>dých podmín</w:t>
      </w:r>
      <w:r>
        <w:t>kách, o risiků války pro Německo, o hroz</w:t>
      </w:r>
      <w:r>
        <w:softHyphen/>
        <w:t>ných následcích války pro všechny. Ultimatum v me</w:t>
      </w:r>
      <w:r>
        <w:softHyphen/>
        <w:t>morandu podráždí veřejné mínění ve všech neutrálních zemích. Proč Hitler nevyjde vstříc jeho snaze o mírové rozluštění?</w:t>
      </w:r>
    </w:p>
    <w:p w:rsidR="00500724" w:rsidRDefault="00F30FB8">
      <w:pPr>
        <w:pStyle w:val="Zkladntext1"/>
        <w:shd w:val="clear" w:color="auto" w:fill="auto"/>
        <w:spacing w:line="209" w:lineRule="auto"/>
        <w:ind w:firstLine="260"/>
      </w:pPr>
      <w:r>
        <w:t xml:space="preserve">Oči Adolfa Hitlera jsou studeně modré. Slova </w:t>
      </w:r>
      <w:r>
        <w:t>na jeho jazyku znamenají tolik jako čin. Byl vděčen Chamber</w:t>
      </w:r>
      <w:r>
        <w:softHyphen/>
        <w:t>lainovi za to, oč se pokusil. Ale vyšel vstříc jeho úsilí o mír tím, že zadržel vojenské operace proti Českoslo</w:t>
      </w:r>
      <w:r>
        <w:softHyphen/>
        <w:t>vensku, které měl v plánu. Nejen to. Nabídl Českoslo</w:t>
      </w:r>
      <w:r>
        <w:softHyphen/>
        <w:t>vensku hranici, lišící se od té</w:t>
      </w:r>
      <w:r>
        <w:t>, kterou by mělo po dobytí německou armádou ...</w:t>
      </w:r>
    </w:p>
    <w:p w:rsidR="00500724" w:rsidRDefault="00F30FB8">
      <w:pPr>
        <w:pStyle w:val="Zkladntext1"/>
        <w:shd w:val="clear" w:color="auto" w:fill="auto"/>
        <w:spacing w:line="209" w:lineRule="auto"/>
        <w:ind w:firstLine="260"/>
      </w:pPr>
      <w:r>
        <w:t>Že Hitler je přístupný otevřené řeči, vysvitlo Cham</w:t>
      </w:r>
      <w:r>
        <w:softHyphen/>
        <w:t>berlainovi za několik minut v rozmluvě mezi čtyřma očima, jen za přítomnosti tlumočníka. Sudetské území byla Iíitlerova poslední územní ambice v Evropě... N</w:t>
      </w:r>
      <w:r>
        <w:t>echce připojit k říši národy jiné rasy než německé... Chce mít v Anglii přítele... Kdyby jen sudetská ^otáz</w:t>
      </w:r>
      <w:r>
        <w:softHyphen/>
        <w:t>ka byla vyřízena, obnovil by rozmluvy o anglo-němec- kém dorozumění. Adolf Hitler se usmíval — lákavým úsměvem. &gt;Je tu jen jedna nemilá věc, kolonie</w:t>
      </w:r>
      <w:r>
        <w:t>, ale pro ty nebude válka... Nebude se pro to mobilisovat.«</w:t>
      </w:r>
    </w:p>
    <w:p w:rsidR="00500724" w:rsidRDefault="00F30FB8">
      <w:pPr>
        <w:pStyle w:val="Zkladntext1"/>
        <w:shd w:val="clear" w:color="auto" w:fill="auto"/>
        <w:spacing w:line="214" w:lineRule="auto"/>
        <w:ind w:firstLine="260"/>
      </w:pPr>
      <w:r>
        <w:rPr>
          <w:lang w:val="en-US" w:eastAsia="en-US" w:bidi="en-US"/>
        </w:rPr>
        <w:t xml:space="preserve">Neville Chamberlain </w:t>
      </w:r>
      <w:r>
        <w:t xml:space="preserve">se vrátil do hotelu. Byla </w:t>
      </w:r>
      <w:r>
        <w:rPr>
          <w:b/>
          <w:bCs/>
          <w:sz w:val="20"/>
          <w:szCs w:val="20"/>
        </w:rPr>
        <w:t xml:space="preserve">1 </w:t>
      </w:r>
      <w:r>
        <w:t>ho</w:t>
      </w:r>
      <w:r>
        <w:softHyphen/>
        <w:t>dina 40 minut ráno. Nebylo na něm vidět známky úzkosti. Jeho způsoby byly plny sebedůvěry, jeho mysl jasná.</w:t>
      </w:r>
    </w:p>
    <w:p w:rsidR="00500724" w:rsidRDefault="00F30FB8">
      <w:pPr>
        <w:pStyle w:val="Zkladntext1"/>
        <w:shd w:val="clear" w:color="auto" w:fill="auto"/>
        <w:spacing w:line="206" w:lineRule="auto"/>
        <w:ind w:firstLine="260"/>
      </w:pPr>
      <w:r>
        <w:t xml:space="preserve">^Vracíte se zítra do Londýna?« tázal </w:t>
      </w:r>
      <w:r>
        <w:t>se ho jeden una</w:t>
      </w:r>
      <w:r>
        <w:softHyphen/>
        <w:t>vený novinář.</w:t>
      </w:r>
    </w:p>
    <w:p w:rsidR="00500724" w:rsidRDefault="00F30FB8">
      <w:pPr>
        <w:pStyle w:val="Zkladntext1"/>
        <w:shd w:val="clear" w:color="auto" w:fill="auto"/>
        <w:spacing w:line="206" w:lineRule="auto"/>
        <w:ind w:firstLine="260"/>
      </w:pPr>
      <w:r>
        <w:t>»Míníte dnes,« zněla úsměvná odpověď.</w:t>
      </w:r>
    </w:p>
    <w:p w:rsidR="00500724" w:rsidRDefault="00F30FB8">
      <w:pPr>
        <w:pStyle w:val="Zkladntext1"/>
        <w:shd w:val="clear" w:color="auto" w:fill="auto"/>
        <w:spacing w:line="206" w:lineRule="auto"/>
        <w:ind w:firstLine="260"/>
      </w:pPr>
      <w:r>
        <w:t>Ale v Chamberlainově kapse bylo memorandum, které znamenalo válku, postaví-li se Češi Němcům na odpor, a evropskou válku, vrhnou-li se Francouzi proti kvapně budované a nedokončené Siegfri</w:t>
      </w:r>
      <w:r>
        <w:t>cdově linii a splní-li Velká Britanie svůj slib a bude je podporovat.</w:t>
      </w:r>
    </w:p>
    <w:p w:rsidR="00500724" w:rsidRDefault="00F30FB8">
      <w:pPr>
        <w:pStyle w:val="Zkladntext1"/>
        <w:shd w:val="clear" w:color="auto" w:fill="auto"/>
        <w:spacing w:line="206" w:lineRule="auto"/>
        <w:ind w:firstLine="0"/>
        <w:jc w:val="center"/>
      </w:pPr>
      <w:r>
        <w:t>Hitlerova řeč v Sportpalastu</w:t>
      </w:r>
    </w:p>
    <w:p w:rsidR="00500724" w:rsidRDefault="00F30FB8">
      <w:pPr>
        <w:pStyle w:val="Zkladntext1"/>
        <w:shd w:val="clear" w:color="auto" w:fill="auto"/>
        <w:spacing w:line="206" w:lineRule="auto"/>
        <w:ind w:firstLine="260"/>
      </w:pPr>
      <w:r>
        <w:t>Když Adolf Hitler povstal v berlínském Sportpalastu tváří v tvář dvaceti tisícům svých nejvěrnějších stou</w:t>
      </w:r>
      <w:r>
        <w:softHyphen/>
        <w:t xml:space="preserve">penců, lidé ve všech částech světa nastražili uši. </w:t>
      </w:r>
      <w:r>
        <w:t xml:space="preserve">Snad víc než pět milionů lidí poslouchalo u přijímačů. Nic takového se nikdy dřív v předvečer války nestalo. </w:t>
      </w:r>
      <w:r>
        <w:rPr>
          <w:lang w:val="en-US" w:eastAsia="en-US" w:bidi="en-US"/>
        </w:rPr>
        <w:t>Ne</w:t>
      </w:r>
      <w:r>
        <w:rPr>
          <w:lang w:val="en-US" w:eastAsia="en-US" w:bidi="en-US"/>
        </w:rPr>
        <w:softHyphen/>
        <w:t xml:space="preserve">ville Chamberlain </w:t>
      </w:r>
      <w:r>
        <w:t xml:space="preserve">sedí v </w:t>
      </w:r>
      <w:r>
        <w:rPr>
          <w:lang w:val="en-US" w:eastAsia="en-US" w:bidi="en-US"/>
        </w:rPr>
        <w:t xml:space="preserve">Downing' </w:t>
      </w:r>
      <w:r>
        <w:t>Street a čeká. Když je daleko od veřejnosti, je jeho tvář vážnější. Před oči</w:t>
      </w:r>
      <w:r>
        <w:softHyphen/>
        <w:t>ma a kolem úst se objevují staros</w:t>
      </w:r>
      <w:r>
        <w:t>tlivé vrásky.</w:t>
      </w:r>
    </w:p>
    <w:p w:rsidR="00500724" w:rsidRDefault="00F30FB8">
      <w:pPr>
        <w:pStyle w:val="Zkladntext1"/>
        <w:shd w:val="clear" w:color="auto" w:fill="auto"/>
        <w:spacing w:line="206" w:lineRule="auto"/>
        <w:ind w:firstLine="260"/>
      </w:pPr>
      <w:r>
        <w:t xml:space="preserve">Každých pět minut dostává </w:t>
      </w:r>
      <w:r>
        <w:rPr>
          <w:lang w:val="en-US" w:eastAsia="en-US" w:bidi="en-US"/>
        </w:rPr>
        <w:t xml:space="preserve">Chamberlain </w:t>
      </w:r>
      <w:r>
        <w:t>telegrafo</w:t>
      </w:r>
      <w:r>
        <w:softHyphen/>
        <w:t xml:space="preserve">vaný text Hitlerovy řeči. Ti, kdo znají Plitlerňv způsob mluvení, poznávají v jeho tónu něco nezvyklého. Ale </w:t>
      </w:r>
      <w:r>
        <w:rPr>
          <w:lang w:val="en-US" w:eastAsia="en-US" w:bidi="en-US"/>
        </w:rPr>
        <w:t xml:space="preserve">Chamberlain </w:t>
      </w:r>
      <w:r>
        <w:t xml:space="preserve">nevidí v telegrafovaných větách, které má rozloženy před sebou na stole, </w:t>
      </w:r>
      <w:r>
        <w:t>žádnou změnu, a říká národu stejně jako Hitlerovi: »Nemohu zanechat svého úsilí o mír, protože se mi zdá neuvěřitelné, že evropské národy, které si nepřejí války, by měly být zahnány do krvavého zápasu pro věc, o níž se už do tak velké míry dosáhlo dohody.</w:t>
      </w:r>
      <w:r>
        <w:t>«</w:t>
      </w:r>
    </w:p>
    <w:p w:rsidR="00500724" w:rsidRDefault="00F30FB8">
      <w:pPr>
        <w:pStyle w:val="Zkladntext1"/>
        <w:shd w:val="clear" w:color="auto" w:fill="auto"/>
        <w:spacing w:line="206" w:lineRule="auto"/>
        <w:ind w:firstLine="260"/>
      </w:pPr>
      <w:r>
        <w:rPr>
          <w:lang w:val="en-US" w:eastAsia="en-US" w:bidi="en-US"/>
        </w:rPr>
        <w:t xml:space="preserve">Neville Chamberlain </w:t>
      </w:r>
      <w:r>
        <w:t>byl trpce zklamán. Než Hitler povstal k své řeči, byly z Whitehallu rozšířeny rozhla</w:t>
      </w:r>
      <w:r>
        <w:softHyphen/>
        <w:t>sem úředně inspirované zprávy a telegrafovány do Ně</w:t>
      </w:r>
      <w:r>
        <w:softHyphen/>
        <w:t>mecka, že nastane-li přes všechno úsilí ministerského předsedy útok na Československo, bude přímý</w:t>
      </w:r>
      <w:r>
        <w:t xml:space="preserve"> násle</w:t>
      </w:r>
      <w:r>
        <w:softHyphen/>
        <w:t>dek, že Francie bude nucena mu jít na pomoc a Velká Britanie a Rusko budou jistě stát po boku Francie. »Není ještě pozdě zastavit tuto velkou tragedii,« pravil inspirovaný komentář, »a není pozdě pro všechny ná</w:t>
      </w:r>
      <w:r>
        <w:softHyphen/>
        <w:t>rody trvat na vyrovnání svobodným jedn</w:t>
      </w:r>
      <w:r>
        <w:t>áním.«</w:t>
      </w:r>
    </w:p>
    <w:p w:rsidR="00500724" w:rsidRDefault="00F30FB8">
      <w:pPr>
        <w:pStyle w:val="Zkladntext1"/>
        <w:shd w:val="clear" w:color="auto" w:fill="auto"/>
        <w:spacing w:line="206" w:lineRule="auto"/>
        <w:ind w:firstLine="260"/>
      </w:pPr>
      <w:r>
        <w:t>I tato výstraha v poslední minutě selhala.</w:t>
      </w:r>
    </w:p>
    <w:p w:rsidR="00500724" w:rsidRDefault="00F30FB8">
      <w:pPr>
        <w:pStyle w:val="Zkladntext1"/>
        <w:shd w:val="clear" w:color="auto" w:fill="auto"/>
        <w:spacing w:line="206" w:lineRule="auto"/>
        <w:ind w:firstLine="260"/>
      </w:pPr>
      <w:r>
        <w:t>Druhý den ráno ministři a sekretáři pročesávali text Hitlerovy řeči, zda by se něco nedalo zachytit. Věty byly čteny znovu a znovu. Byla tam věta, která v po</w:t>
      </w:r>
      <w:r>
        <w:softHyphen/>
        <w:t>slední chvíli obrátila příliv. Ale uplynulo mnoh</w:t>
      </w:r>
      <w:r>
        <w:t>o dra</w:t>
      </w:r>
      <w:r>
        <w:softHyphen/>
        <w:t>hých hodin, než byla nalezena.</w:t>
      </w:r>
    </w:p>
    <w:p w:rsidR="00500724" w:rsidRDefault="00F30FB8">
      <w:pPr>
        <w:pStyle w:val="Zkladntext1"/>
        <w:shd w:val="clear" w:color="auto" w:fill="auto"/>
        <w:spacing w:after="80" w:line="206" w:lineRule="auto"/>
        <w:ind w:firstLine="260"/>
      </w:pPr>
      <w:r>
        <w:t xml:space="preserve">Adolf Hitler měl spustit německý válečný stroj ve dvě hodiny dne 28. září. Toho rána </w:t>
      </w:r>
      <w:r>
        <w:rPr>
          <w:lang w:val="en-US" w:eastAsia="en-US" w:bidi="en-US"/>
        </w:rPr>
        <w:t>si Neville Cham</w:t>
      </w:r>
      <w:r>
        <w:rPr>
          <w:lang w:val="en-US" w:eastAsia="en-US" w:bidi="en-US"/>
        </w:rPr>
        <w:softHyphen/>
        <w:t xml:space="preserve">berlain </w:t>
      </w:r>
      <w:r>
        <w:t xml:space="preserve">vyžádal zprávy o Hitlerově řeči ve Sportpalastu a nalezl </w:t>
      </w:r>
      <w:r>
        <w:rPr>
          <w:lang w:val="en-US" w:eastAsia="en-US" w:bidi="en-US"/>
        </w:rPr>
        <w:t xml:space="preserve">'am </w:t>
      </w:r>
      <w:r>
        <w:t>tuto větu:</w:t>
      </w:r>
    </w:p>
    <w:p w:rsidR="00500724" w:rsidRDefault="00F30FB8">
      <w:pPr>
        <w:pStyle w:val="Zkladntext1"/>
        <w:shd w:val="clear" w:color="auto" w:fill="auto"/>
        <w:spacing w:line="173" w:lineRule="auto"/>
        <w:ind w:left="820" w:firstLine="200"/>
        <w:rPr>
          <w:sz w:val="20"/>
          <w:szCs w:val="20"/>
        </w:rPr>
      </w:pPr>
      <w:r>
        <w:rPr>
          <w:sz w:val="20"/>
          <w:szCs w:val="20"/>
        </w:rPr>
        <w:t xml:space="preserve">»Po celou dřívější dobu a ani dnes </w:t>
      </w:r>
      <w:r>
        <w:rPr>
          <w:sz w:val="20"/>
          <w:szCs w:val="20"/>
        </w:rPr>
        <w:t>jsem nikdy ne</w:t>
      </w:r>
      <w:r>
        <w:rPr>
          <w:sz w:val="20"/>
          <w:szCs w:val="20"/>
        </w:rPr>
        <w:softHyphen/>
        <w:t xml:space="preserve">našel v Evropě jedinou velmoc v čele s mužem, který by měl tolik porozumění pro bídu našeho lidu, jako můj velký přítel </w:t>
      </w:r>
      <w:r>
        <w:rPr>
          <w:sz w:val="20"/>
          <w:szCs w:val="20"/>
          <w:lang w:val="en-US" w:eastAsia="en-US" w:bidi="en-US"/>
        </w:rPr>
        <w:t xml:space="preserve">Benito Mussolini. </w:t>
      </w:r>
      <w:r>
        <w:rPr>
          <w:sz w:val="20"/>
          <w:szCs w:val="20"/>
        </w:rPr>
        <w:t>Nikdy ne</w:t>
      </w:r>
      <w:r>
        <w:rPr>
          <w:sz w:val="20"/>
          <w:szCs w:val="20"/>
        </w:rPr>
        <w:softHyphen/>
        <w:t>zapomeneme, co v této době učinil a jak se choval italský lid.«</w:t>
      </w:r>
    </w:p>
    <w:p w:rsidR="00500724" w:rsidRDefault="00F30FB8">
      <w:pPr>
        <w:pStyle w:val="Zkladntext1"/>
        <w:shd w:val="clear" w:color="auto" w:fill="auto"/>
        <w:spacing w:line="204" w:lineRule="auto"/>
        <w:ind w:firstLine="260"/>
      </w:pPr>
      <w:r>
        <w:t>Ráno dne 28. září 1958 — na čer</w:t>
      </w:r>
      <w:r>
        <w:t xml:space="preserve">nou středu — skládal </w:t>
      </w:r>
      <w:r>
        <w:rPr>
          <w:lang w:val="en-US" w:eastAsia="en-US" w:bidi="en-US"/>
        </w:rPr>
        <w:t xml:space="preserve">Neville Chamberlain </w:t>
      </w:r>
      <w:r>
        <w:t>nejdramatičtější řeč svého života, kterou měl za čtyři hodiny pronést ve schůzi dolní sně</w:t>
      </w:r>
      <w:r>
        <w:softHyphen/>
        <w:t>movny. Za tehdejších okolností to mělo být vypravo</w:t>
      </w:r>
      <w:r>
        <w:softHyphen/>
        <w:t>vání o událostech, jak se dramaticky vyvíjely, až do</w:t>
      </w:r>
      <w:r>
        <w:softHyphen/>
        <w:t>sáhly vrcholu: nezbyt</w:t>
      </w:r>
      <w:r>
        <w:t>nosti války.</w:t>
      </w:r>
    </w:p>
    <w:p w:rsidR="00500724" w:rsidRDefault="00F30FB8">
      <w:pPr>
        <w:pStyle w:val="Zkladntext1"/>
        <w:shd w:val="clear" w:color="auto" w:fill="auto"/>
        <w:spacing w:line="204" w:lineRule="auto"/>
        <w:ind w:firstLine="260"/>
      </w:pPr>
      <w:r>
        <w:t>Pak přerušil práci a poslal naléhavý vzkaz do zahra</w:t>
      </w:r>
      <w:r>
        <w:softHyphen/>
        <w:t>ničního úřadu. Mohl by zahraniční úřad hned mluvit s lordem Perthem v Římě a chtít na něm, aby přiměl Mussoliniho k žádosti Hitlerovi o odklad pochodu ně</w:t>
      </w:r>
      <w:r>
        <w:softHyphen/>
        <w:t>meckého vojska o čtyřiadvacet hodin?</w:t>
      </w:r>
    </w:p>
    <w:p w:rsidR="00500724" w:rsidRDefault="00F30FB8">
      <w:pPr>
        <w:pStyle w:val="Zkladntext1"/>
        <w:shd w:val="clear" w:color="auto" w:fill="auto"/>
        <w:spacing w:line="204" w:lineRule="auto"/>
        <w:ind w:firstLine="260"/>
        <w:jc w:val="left"/>
      </w:pPr>
      <w:r>
        <w:rPr>
          <w:lang w:val="en-US" w:eastAsia="en-US" w:bidi="en-US"/>
        </w:rPr>
        <w:t xml:space="preserve">Lord Perth </w:t>
      </w:r>
      <w:r>
        <w:t>utíkal k hraběti Cianovi. Za několik mi</w:t>
      </w:r>
      <w:r>
        <w:softHyphen/>
        <w:t xml:space="preserve">nut byl Ciano u Benita Mussoliniho. Brzy potom mluvil </w:t>
      </w:r>
      <w:r>
        <w:rPr>
          <w:lang w:val="en-US" w:eastAsia="en-US" w:bidi="en-US"/>
        </w:rPr>
        <w:t xml:space="preserve">'Mussolini </w:t>
      </w:r>
      <w:r>
        <w:t xml:space="preserve">telefonicky s Hitlerem. Ale </w:t>
      </w:r>
      <w:r>
        <w:rPr>
          <w:lang w:val="en-US" w:eastAsia="en-US" w:bidi="en-US"/>
        </w:rPr>
        <w:t xml:space="preserve">Chamberlain </w:t>
      </w:r>
      <w:r>
        <w:t>o tom nevěděl. Začal psát ještě jeden »poslední« dopis Adolfu Hitlerovi.</w:t>
      </w:r>
    </w:p>
    <w:p w:rsidR="00500724" w:rsidRDefault="00F30FB8">
      <w:pPr>
        <w:pStyle w:val="Zkladntext1"/>
        <w:shd w:val="clear" w:color="auto" w:fill="auto"/>
        <w:spacing w:line="204" w:lineRule="auto"/>
        <w:ind w:firstLine="260"/>
      </w:pPr>
      <w:r>
        <w:t>Mussolinimu potom šel tento</w:t>
      </w:r>
      <w:r>
        <w:t xml:space="preserve"> telegram od Chamber- laina:</w:t>
      </w:r>
    </w:p>
    <w:p w:rsidR="00500724" w:rsidRDefault="00F30FB8">
      <w:pPr>
        <w:pStyle w:val="Zkladntext1"/>
        <w:shd w:val="clear" w:color="auto" w:fill="auto"/>
        <w:spacing w:after="40" w:line="194" w:lineRule="auto"/>
        <w:ind w:left="820" w:firstLine="200"/>
        <w:rPr>
          <w:sz w:val="20"/>
          <w:szCs w:val="20"/>
        </w:rPr>
      </w:pPr>
      <w:r>
        <w:rPr>
          <w:sz w:val="20"/>
          <w:szCs w:val="20"/>
        </w:rPr>
        <w:t>»Poslal jsem dnes Hitlerovi poslední apel, aby se zřekl násilí při vyřízení sudetského problému, kte</w:t>
      </w:r>
      <w:r>
        <w:rPr>
          <w:sz w:val="20"/>
          <w:szCs w:val="20"/>
        </w:rPr>
        <w:softHyphen/>
        <w:t>rý, jak jsem jist, může býti vyřizen krátkou roz</w:t>
      </w:r>
      <w:r>
        <w:rPr>
          <w:sz w:val="20"/>
          <w:szCs w:val="20"/>
        </w:rPr>
        <w:softHyphen/>
        <w:t>mluvou a poskytne mu všechno hlavní území, oby</w:t>
      </w:r>
      <w:r>
        <w:rPr>
          <w:sz w:val="20"/>
          <w:szCs w:val="20"/>
        </w:rPr>
        <w:softHyphen/>
        <w:t>vatelstvo i ochranu jak pro Su</w:t>
      </w:r>
      <w:r>
        <w:rPr>
          <w:sz w:val="20"/>
          <w:szCs w:val="20"/>
        </w:rPr>
        <w:t>deťany tak pro Če</w:t>
      </w:r>
      <w:r>
        <w:rPr>
          <w:sz w:val="20"/>
          <w:szCs w:val="20"/>
        </w:rPr>
        <w:softHyphen/>
        <w:t>chy během převodu území. Nabídl jsem mu, že při</w:t>
      </w:r>
      <w:r>
        <w:rPr>
          <w:sz w:val="20"/>
          <w:szCs w:val="20"/>
        </w:rPr>
        <w:softHyphen/>
        <w:t>jedu sám do Berlína k rozmluvě o úpravě věci s ně</w:t>
      </w:r>
      <w:r>
        <w:rPr>
          <w:sz w:val="20"/>
          <w:szCs w:val="20"/>
        </w:rPr>
        <w:softHyphen/>
        <w:t xml:space="preserve">meckými </w:t>
      </w:r>
      <w:r>
        <w:rPr>
          <w:i/>
          <w:iCs/>
          <w:sz w:val="20"/>
          <w:szCs w:val="20"/>
        </w:rPr>
        <w:t>a</w:t>
      </w:r>
      <w:r>
        <w:rPr>
          <w:sz w:val="20"/>
          <w:szCs w:val="20"/>
        </w:rPr>
        <w:t xml:space="preserve"> českými zástupci, a, bude-li si kancléř přát, také se zástupci Itálie a Franeie.«</w:t>
      </w:r>
    </w:p>
    <w:p w:rsidR="00500724" w:rsidRDefault="00F30FB8">
      <w:pPr>
        <w:pStyle w:val="Zkladntext1"/>
        <w:shd w:val="clear" w:color="auto" w:fill="auto"/>
        <w:spacing w:after="40" w:line="209" w:lineRule="auto"/>
      </w:pPr>
      <w:r>
        <w:t>Italští legionáři bojují ve Španělsku a ztratili</w:t>
      </w:r>
      <w:r>
        <w:t xml:space="preserve"> mnoho vojáků. V Habeši vedou Mussoliniho vojáci drobnou válku. Ale pacifista </w:t>
      </w:r>
      <w:r>
        <w:rPr>
          <w:lang w:val="en-US" w:eastAsia="en-US" w:bidi="en-US"/>
        </w:rPr>
        <w:t xml:space="preserve">Chamberlain </w:t>
      </w:r>
      <w:r>
        <w:t>píše válečníkovi Mussolinimu:</w:t>
      </w:r>
    </w:p>
    <w:p w:rsidR="00500724" w:rsidRDefault="00F30FB8">
      <w:pPr>
        <w:pStyle w:val="Zkladntext1"/>
        <w:shd w:val="clear" w:color="auto" w:fill="auto"/>
        <w:spacing w:after="40" w:line="175" w:lineRule="auto"/>
        <w:ind w:left="780" w:firstLine="180"/>
        <w:rPr>
          <w:sz w:val="20"/>
          <w:szCs w:val="20"/>
        </w:rPr>
      </w:pPr>
      <w:r>
        <w:rPr>
          <w:sz w:val="20"/>
          <w:szCs w:val="20"/>
        </w:rPr>
        <w:t xml:space="preserve">»Věřím, že Vaše Excellence oznámí německému kancléři, že svoluje, aby byla zastoupena, a že ho požádá, aby vyslovil souhlas s mým </w:t>
      </w:r>
      <w:r>
        <w:rPr>
          <w:sz w:val="20"/>
          <w:szCs w:val="20"/>
        </w:rPr>
        <w:t>návrhem, který zachrání všechny naše národy od války. Zaručil jsem se už, že všechny české sliby budou splněny, a důvěřuji, že plné dohody by se dosáhlo za týden.«</w:t>
      </w:r>
    </w:p>
    <w:p w:rsidR="00500724" w:rsidRDefault="00F30FB8">
      <w:pPr>
        <w:pStyle w:val="Zkladntext1"/>
        <w:shd w:val="clear" w:color="auto" w:fill="auto"/>
        <w:spacing w:after="80" w:line="209" w:lineRule="auto"/>
      </w:pPr>
      <w:r>
        <w:t xml:space="preserve">Nikdo se nikdy nedoví, jakou řeč měl </w:t>
      </w:r>
      <w:r>
        <w:rPr>
          <w:lang w:val="en-US" w:eastAsia="en-US" w:bidi="en-US"/>
        </w:rPr>
        <w:t>Neville Cham</w:t>
      </w:r>
      <w:r>
        <w:rPr>
          <w:lang w:val="en-US" w:eastAsia="en-US" w:bidi="en-US"/>
        </w:rPr>
        <w:softHyphen/>
        <w:t xml:space="preserve">berlain </w:t>
      </w:r>
      <w:r>
        <w:t xml:space="preserve">připravenu, aby strhl Brity spolu </w:t>
      </w:r>
      <w:r>
        <w:t>s Francouzi dne 28. září k boji proti Německu. Nebyla nikdy pro</w:t>
      </w:r>
      <w:r>
        <w:softHyphen/>
        <w:t>nesena, protože když se blížil konci své řeči, byla ho</w:t>
      </w:r>
      <w:r>
        <w:softHyphen/>
        <w:t>nem do jeho ruky strčena poznámka. Hitler se uvolil odložit mobilisaci o čtyřiadvacet hodin. Stopiv svou pečlivě připravenou řeč a ohlási</w:t>
      </w:r>
      <w:r>
        <w:t xml:space="preserve">v, že nazítří jede na konferenci čtyř do Mnichova, </w:t>
      </w:r>
      <w:r>
        <w:rPr>
          <w:lang w:val="en-US" w:eastAsia="en-US" w:bidi="en-US"/>
        </w:rPr>
        <w:t xml:space="preserve">Neville Chamberlain </w:t>
      </w:r>
      <w:r>
        <w:t>kři</w:t>
      </w:r>
      <w:r>
        <w:softHyphen/>
        <w:t>čel: »Af měli ctihodní členové o panu Mussolinim v mi</w:t>
      </w:r>
      <w:r>
        <w:softHyphen/>
        <w:t>nulosti jakékoli názory, věřím, že každý uvítá jeho pro</w:t>
      </w:r>
      <w:r>
        <w:softHyphen/>
        <w:t>jev ochoty pracovati s námi na míru Evropy.«</w:t>
      </w:r>
    </w:p>
    <w:p w:rsidR="00500724" w:rsidRDefault="00F30FB8">
      <w:pPr>
        <w:pStyle w:val="Zkladntext1"/>
        <w:shd w:val="clear" w:color="auto" w:fill="auto"/>
        <w:spacing w:after="80" w:line="209" w:lineRule="auto"/>
        <w:ind w:firstLine="0"/>
        <w:jc w:val="center"/>
      </w:pPr>
      <w:r>
        <w:t>Mnichov</w:t>
      </w:r>
    </w:p>
    <w:p w:rsidR="00500724" w:rsidRDefault="00F30FB8">
      <w:pPr>
        <w:pStyle w:val="Zkladntext1"/>
        <w:numPr>
          <w:ilvl w:val="0"/>
          <w:numId w:val="6"/>
        </w:numPr>
        <w:shd w:val="clear" w:color="auto" w:fill="auto"/>
        <w:tabs>
          <w:tab w:val="left" w:pos="462"/>
        </w:tabs>
        <w:spacing w:after="40" w:line="230" w:lineRule="auto"/>
      </w:pPr>
      <w:r>
        <w:t>Mnichově byly na s</w:t>
      </w:r>
      <w:r>
        <w:t xml:space="preserve">tožárech německý hákový kříž, francouzská trikolora, italská vlajka a anglický Union </w:t>
      </w:r>
      <w:r>
        <w:rPr>
          <w:lang w:val="en-US" w:eastAsia="en-US" w:bidi="en-US"/>
        </w:rPr>
        <w:t xml:space="preserve">Jack. </w:t>
      </w:r>
      <w:r>
        <w:t xml:space="preserve">Podle obyčeje přišel Hitler Mussolinimu naproti na nádraží. </w:t>
      </w:r>
      <w:r>
        <w:rPr>
          <w:lang w:val="en-US" w:eastAsia="en-US" w:bidi="en-US"/>
        </w:rPr>
        <w:t xml:space="preserve">Ribbentrop </w:t>
      </w:r>
      <w:r>
        <w:t>šel přivítat Chamberlaina. Zá</w:t>
      </w:r>
      <w:r>
        <w:softHyphen/>
      </w:r>
      <w:r>
        <w:t xml:space="preserve">stup čekajících Němců zdravil Chamberlaina ještě hlasitěji než předtím; hlasitěji, než je </w:t>
      </w:r>
      <w:r>
        <w:rPr>
          <w:lang w:val="en-US" w:eastAsia="en-US" w:bidi="en-US"/>
        </w:rPr>
        <w:t xml:space="preserve">Chamberlain </w:t>
      </w:r>
      <w:r>
        <w:t>zdraven ve vlastní zemi.</w:t>
      </w:r>
    </w:p>
    <w:p w:rsidR="00500724" w:rsidRDefault="00F30FB8">
      <w:pPr>
        <w:pStyle w:val="Zkladntext1"/>
        <w:shd w:val="clear" w:color="auto" w:fill="auto"/>
        <w:spacing w:after="40" w:line="230" w:lineRule="auto"/>
      </w:pPr>
      <w:r>
        <w:t xml:space="preserve">Na letišti se </w:t>
      </w:r>
      <w:r>
        <w:rPr>
          <w:lang w:val="en-US" w:eastAsia="en-US" w:bidi="en-US"/>
        </w:rPr>
        <w:t xml:space="preserve">Chamberlain </w:t>
      </w:r>
      <w:r>
        <w:t>o vi stala naprosto nezvyklá věc: zapomněl tam deštník. Někde jej tam nechal ležet a kdosi jej potom za</w:t>
      </w:r>
      <w:r>
        <w:t>chránil.</w:t>
      </w:r>
    </w:p>
    <w:p w:rsidR="00500724" w:rsidRDefault="00F30FB8">
      <w:pPr>
        <w:pStyle w:val="Zkladntext1"/>
        <w:shd w:val="clear" w:color="auto" w:fill="auto"/>
        <w:spacing w:after="40" w:line="228" w:lineRule="auto"/>
      </w:pPr>
      <w:r>
        <w:t>Až do mnichovské konference se Hermann Góring držel v celém průběhu krise hodně vzadu. Nebyl v Berchiesgadenu na první schůzce Hitlera s Cham</w:t>
      </w:r>
      <w:r>
        <w:softHyphen/>
        <w:t xml:space="preserve">berlainem. Goebbels a generál </w:t>
      </w:r>
      <w:r>
        <w:rPr>
          <w:lang w:val="en-US" w:eastAsia="en-US" w:bidi="en-US"/>
        </w:rPr>
        <w:t xml:space="preserve">Keitel </w:t>
      </w:r>
      <w:r>
        <w:t>byli v Godes- bergu, ale nikoli Hermann Góring. Říkalo se, že je ne</w:t>
      </w:r>
      <w:r>
        <w:softHyphen/>
      </w:r>
      <w:r>
        <w:t>mocen.</w:t>
      </w:r>
    </w:p>
    <w:p w:rsidR="00500724" w:rsidRDefault="00F30FB8">
      <w:pPr>
        <w:pStyle w:val="Zkladntext1"/>
        <w:shd w:val="clear" w:color="auto" w:fill="auto"/>
        <w:spacing w:after="40" w:line="223" w:lineRule="auto"/>
      </w:pPr>
      <w:r>
        <w:t>Ráno, po druhé rozmluvě se sirem Horacem Wilso- nem, byl Hitler rozhodnut vtrhnout do Českosloven</w:t>
      </w:r>
      <w:r>
        <w:softHyphen/>
        <w:t>ska a riskovat válku. Odpoledne pochodovalo vojsko, směřující na hranice, po Wilhelmstrasse. Šlo ostře, v naprosté kázni, ale jeho tváře nejevily nadše</w:t>
      </w:r>
      <w:r>
        <w:t>ní. Ale ještě důležitější bylo chování lidí, kteří se dívali na vojáky. Bylo hrobové ticho místo divokého křiku.</w:t>
      </w:r>
    </w:p>
    <w:p w:rsidR="00500724" w:rsidRDefault="00F30FB8">
      <w:pPr>
        <w:pStyle w:val="Zkladntext1"/>
        <w:shd w:val="clear" w:color="auto" w:fill="auto"/>
        <w:spacing w:after="40" w:line="206" w:lineRule="auto"/>
      </w:pPr>
      <w:r>
        <w:t>Praví se, že v této chvíli Hermann Góring šel k Hit</w:t>
      </w:r>
      <w:r>
        <w:softHyphen/>
        <w:t xml:space="preserve">lerovi a upozorňoval, že berlínský lid nejeví žádné nadšení před vyhlídkou na válku. Večer </w:t>
      </w:r>
      <w:r>
        <w:t>Hitler, který byl ještě ráno rozhodnut riskovat válku, revidoval své stanovisko. Přišlo nové ráno a s ním »docela posledním apel Nevili a Chamberlaina.</w:t>
      </w:r>
    </w:p>
    <w:p w:rsidR="00500724" w:rsidRDefault="00F30FB8">
      <w:pPr>
        <w:pStyle w:val="Zkladntext1"/>
        <w:numPr>
          <w:ilvl w:val="0"/>
          <w:numId w:val="6"/>
        </w:numPr>
        <w:shd w:val="clear" w:color="auto" w:fill="auto"/>
        <w:tabs>
          <w:tab w:val="left" w:pos="481"/>
        </w:tabs>
        <w:spacing w:after="40" w:line="209" w:lineRule="auto"/>
        <w:sectPr w:rsidR="00500724">
          <w:footnotePr>
            <w:numFmt w:val="chicago"/>
            <w:numRestart w:val="eachPage"/>
          </w:footnotePr>
          <w:type w:val="continuous"/>
          <w:pgSz w:w="11909" w:h="16834"/>
          <w:pgMar w:top="1300" w:right="877" w:bottom="1030" w:left="531" w:header="0" w:footer="3" w:gutter="0"/>
          <w:cols w:num="2" w:space="103"/>
          <w:noEndnote/>
          <w:docGrid w:linePitch="360"/>
        </w:sectPr>
      </w:pPr>
      <w:r>
        <w:t>Mnichově jevil Góring po svém způsobu velikou srdečnost. Poklepával Franco</w:t>
      </w:r>
      <w:r>
        <w:t>uzovi Daladierovi srdečně po zádech a říkal mu, aby to každý slyšel: »Daladiere, vy jste největší člověk, jakého jsem kdy potkal. Dou</w:t>
      </w:r>
      <w:r>
        <w:softHyphen/>
        <w:t>fám, že se zas brzy uvidíme.c Góringova srdečnost v Mnichově vedla k domněnkám, že brzy pojede do Paříže a do Londýna. Řík</w:t>
      </w:r>
      <w:r>
        <w:t>á se, že Góring zachránil kon</w:t>
      </w:r>
      <w:r>
        <w:softHyphen/>
        <w:t xml:space="preserve">ferenci tím, že vytvořil ovzduší dohody. Na rozdíl od Góringovy srdečnosti byl </w:t>
      </w:r>
      <w:r>
        <w:rPr>
          <w:lang w:val="en-US" w:eastAsia="en-US" w:bidi="en-US"/>
        </w:rPr>
        <w:t xml:space="preserve">Joachim von Ribbentrop </w:t>
      </w:r>
      <w:r>
        <w:t>za</w:t>
      </w:r>
      <w:r>
        <w:softHyphen/>
        <w:t>smušile diplomatický. Než se Góring dal do práce, bylo ovzduší v Hitlerově saloně ve Fůhrerhausu spíš ote</w:t>
      </w:r>
      <w:r>
        <w:softHyphen/>
        <w:t>vřeně válečnick</w:t>
      </w:r>
      <w:r>
        <w:t>é než napiaté.</w:t>
      </w:r>
    </w:p>
    <w:p w:rsidR="00500724" w:rsidRDefault="00500724">
      <w:pPr>
        <w:spacing w:line="149" w:lineRule="exact"/>
        <w:rPr>
          <w:sz w:val="12"/>
          <w:szCs w:val="12"/>
        </w:rPr>
      </w:pPr>
    </w:p>
    <w:p w:rsidR="00500724" w:rsidRDefault="00500724">
      <w:pPr>
        <w:spacing w:line="14" w:lineRule="exact"/>
        <w:sectPr w:rsidR="00500724">
          <w:footnotePr>
            <w:numFmt w:val="chicago"/>
            <w:numRestart w:val="eachPage"/>
          </w:footnotePr>
          <w:pgSz w:w="11909" w:h="16834"/>
          <w:pgMar w:top="1730" w:right="0" w:bottom="830" w:left="0" w:header="0" w:footer="3" w:gutter="0"/>
          <w:cols w:space="720"/>
          <w:noEndnote/>
          <w:docGrid w:linePitch="360"/>
        </w:sectPr>
      </w:pPr>
    </w:p>
    <w:p w:rsidR="00500724" w:rsidRDefault="00F30FB8">
      <w:pPr>
        <w:spacing w:line="14" w:lineRule="exact"/>
      </w:pPr>
      <w:r>
        <w:rPr>
          <w:noProof/>
        </w:rPr>
        <mc:AlternateContent>
          <mc:Choice Requires="wps">
            <w:drawing>
              <wp:anchor distT="25400" distB="254000" distL="114300" distR="114300" simplePos="0" relativeHeight="125829404" behindDoc="0" locked="0" layoutInCell="1" allowOverlap="1">
                <wp:simplePos x="0" y="0"/>
                <wp:positionH relativeFrom="page">
                  <wp:posOffset>6870700</wp:posOffset>
                </wp:positionH>
                <wp:positionV relativeFrom="paragraph">
                  <wp:posOffset>8893810</wp:posOffset>
                </wp:positionV>
                <wp:extent cx="137160" cy="17081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137160" cy="170815"/>
                        </a:xfrm>
                        <a:prstGeom prst="rect">
                          <a:avLst/>
                        </a:prstGeom>
                        <a:noFill/>
                      </wps:spPr>
                      <wps:txbx>
                        <w:txbxContent>
                          <w:p w:rsidR="00500724" w:rsidRDefault="00F30FB8">
                            <w:pPr>
                              <w:pStyle w:val="Zkladntext1"/>
                              <w:shd w:val="clear" w:color="auto" w:fill="auto"/>
                              <w:ind w:firstLine="0"/>
                              <w:jc w:val="left"/>
                              <w:rPr>
                                <w:sz w:val="20"/>
                                <w:szCs w:val="20"/>
                              </w:rPr>
                            </w:pPr>
                            <w:r>
                              <w:rPr>
                                <w:i/>
                                <w:iCs/>
                                <w:sz w:val="20"/>
                                <w:szCs w:val="20"/>
                              </w:rPr>
                              <w:t>3i</w:t>
                            </w:r>
                          </w:p>
                        </w:txbxContent>
                      </wps:txbx>
                      <wps:bodyPr lIns="0" tIns="0" rIns="0" bIns="0">
                        <a:spAutoFit/>
                      </wps:bodyPr>
                    </wps:wsp>
                  </a:graphicData>
                </a:graphic>
              </wp:anchor>
            </w:drawing>
          </mc:Choice>
          <mc:Fallback>
            <w:pict>
              <v:shape id="_x0000_s1053" type="#_x0000_t202" style="position:absolute;margin-left:541.pt;margin-top:700.29999999999995pt;width:10.800000000000001pt;height:13.449999999999999pt;z-index:-125829349;mso-wrap-distance-left:9.pt;mso-wrap-distance-top:2.pt;mso-wrap-distance-right:9.pt;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3i</w:t>
                      </w:r>
                    </w:p>
                  </w:txbxContent>
                </v:textbox>
                <w10:wrap type="topAndBottom" anchorx="page"/>
              </v:shape>
            </w:pict>
          </mc:Fallback>
        </mc:AlternateContent>
      </w:r>
    </w:p>
    <w:p w:rsidR="00500724" w:rsidRDefault="00F30FB8">
      <w:pPr>
        <w:pStyle w:val="Zkladntext1"/>
        <w:shd w:val="clear" w:color="auto" w:fill="auto"/>
        <w:spacing w:line="209" w:lineRule="auto"/>
      </w:pPr>
      <w:r>
        <w:rPr>
          <w:lang w:val="en-US" w:eastAsia="en-US" w:bidi="en-US"/>
        </w:rPr>
        <w:t xml:space="preserve">Benito Mussolini </w:t>
      </w:r>
      <w:r>
        <w:t>měl víc zkušeností o moderním vál</w:t>
      </w:r>
      <w:r>
        <w:softHyphen/>
      </w:r>
      <w:r>
        <w:t>čení než kterýkoli z mužů, kteří tu seděli u stolu. Mohl mluvit jako autorita o metodách drobné války v Habeši a o moderním vraždění ve Španělsku. Neudělal ani to ani ono. Myslí si, že francouzská armáda je nejlepší na světě. Místo toho vyrukoval s obměnou</w:t>
      </w:r>
      <w:r>
        <w:t xml:space="preserve"> godesberskélio memoranda a ospravedlnil chválu, kterou jej zahrnul </w:t>
      </w:r>
      <w:r>
        <w:rPr>
          <w:lang w:val="en-US" w:eastAsia="en-US" w:bidi="en-US"/>
        </w:rPr>
        <w:t xml:space="preserve">Chamberlain, </w:t>
      </w:r>
      <w:r>
        <w:t>že je mírotvorcem Evropy. Mussoliniho plán znamenal okupaci sudetských území po etapách místo najednou. To byl jediný rozdíl mezi godesber- skými německými návrhy a mnichovsko</w:t>
      </w:r>
      <w:r>
        <w:t>u dohodou. Ně</w:t>
      </w:r>
      <w:r>
        <w:softHyphen/>
        <w:t>mecké vojsko mělo vstoupit do první oblasti 1. října, jak Hitler žádal, a všechny převážně německé oblasti měly být okupovány do 10. října, »aniž byla zničena jakákoli existující zařízení«.</w:t>
      </w:r>
    </w:p>
    <w:p w:rsidR="00500724" w:rsidRDefault="00F30FB8">
      <w:pPr>
        <w:pStyle w:val="Zkladntext1"/>
        <w:shd w:val="clear" w:color="auto" w:fill="auto"/>
        <w:spacing w:line="209" w:lineRule="auto"/>
      </w:pPr>
      <w:r>
        <w:t>V hotelu Regina se Němci hromadili ve vestibulu a če</w:t>
      </w:r>
      <w:r>
        <w:t xml:space="preserve">kali, až se </w:t>
      </w:r>
      <w:r>
        <w:rPr>
          <w:lang w:val="en-US" w:eastAsia="en-US" w:bidi="en-US"/>
        </w:rPr>
        <w:t xml:space="preserve">Chamberlain </w:t>
      </w:r>
      <w:r>
        <w:t>v jednu hodinu v noci vrá</w:t>
      </w:r>
      <w:r>
        <w:softHyphen/>
        <w:t xml:space="preserve">til. Venku stráže SS vzdávaly poctu zbraní, kdykoli </w:t>
      </w:r>
      <w:r>
        <w:rPr>
          <w:lang w:val="en-US" w:eastAsia="en-US" w:bidi="en-US"/>
        </w:rPr>
        <w:t xml:space="preserve">Chamberlain </w:t>
      </w:r>
      <w:r>
        <w:t xml:space="preserve">během dne vstoupil do hotelu nebo jej opustil. Úderníci v hnědých košilích mu dělali špalír. Ale bylo po strážích i po údernících, když </w:t>
      </w:r>
      <w:r>
        <w:rPr>
          <w:lang w:val="en-US" w:eastAsia="en-US" w:bidi="en-US"/>
        </w:rPr>
        <w:t>Chambe</w:t>
      </w:r>
      <w:r>
        <w:rPr>
          <w:lang w:val="en-US" w:eastAsia="en-US" w:bidi="en-US"/>
        </w:rPr>
        <w:t xml:space="preserve">r- lain </w:t>
      </w:r>
      <w:r>
        <w:t>s širokým úsměvem a uprostřed bouřlivého hluku vystoupil z auta. Ve vestibulu vedla jedna Němka zá</w:t>
      </w:r>
      <w:r>
        <w:softHyphen/>
        <w:t>pas, aby ho mohla chytit za ruku. Jiná křičela: »Nechte mne, af Vám políbím ruku, pane Chamberlainek</w:t>
      </w:r>
    </w:p>
    <w:p w:rsidR="00500724" w:rsidRDefault="00F30FB8">
      <w:pPr>
        <w:pStyle w:val="Zkladntext1"/>
        <w:shd w:val="clear" w:color="auto" w:fill="auto"/>
        <w:spacing w:line="209" w:lineRule="auto"/>
      </w:pPr>
      <w:r>
        <w:t xml:space="preserve">Ráno po snídani se </w:t>
      </w:r>
      <w:r>
        <w:rPr>
          <w:lang w:val="en-US" w:eastAsia="en-US" w:bidi="en-US"/>
        </w:rPr>
        <w:t xml:space="preserve">Chamberlain </w:t>
      </w:r>
      <w:r>
        <w:t>chystal k závěreč</w:t>
      </w:r>
      <w:r>
        <w:t>né schůzce s Hitlerem, při níž, jak čekal, se bude mluvii o 2&gt;obrazech, hudbě a pravděpodobně o politice^. Tro</w:t>
      </w:r>
      <w:r>
        <w:softHyphen/>
        <w:t>cha Němců na cestě do práce se zastavila před hotelem. Zástup rostl a brzy jich tam bylo několik set. Začali vo</w:t>
      </w:r>
      <w:r>
        <w:softHyphen/>
        <w:t xml:space="preserve">lat: »Chamberlain, </w:t>
      </w:r>
      <w:r>
        <w:rPr>
          <w:lang w:val="en-US" w:eastAsia="en-US" w:bidi="en-US"/>
        </w:rPr>
        <w:t>Chamberlain, C</w:t>
      </w:r>
      <w:r>
        <w:rPr>
          <w:lang w:val="en-US" w:eastAsia="en-US" w:bidi="en-US"/>
        </w:rPr>
        <w:t>hamberlain</w:t>
      </w:r>
      <w:r>
        <w:t>!«</w:t>
      </w:r>
    </w:p>
    <w:p w:rsidR="00500724" w:rsidRDefault="00F30FB8">
      <w:pPr>
        <w:pStyle w:val="Zkladntext1"/>
        <w:shd w:val="clear" w:color="auto" w:fill="auto"/>
        <w:spacing w:line="209" w:lineRule="auto"/>
      </w:pPr>
      <w:r>
        <w:t xml:space="preserve">Zástup rostl a křik se zesiloval. </w:t>
      </w:r>
      <w:r>
        <w:rPr>
          <w:lang w:val="en-US" w:eastAsia="en-US" w:bidi="en-US"/>
        </w:rPr>
        <w:t xml:space="preserve">Chamberlain </w:t>
      </w:r>
      <w:r>
        <w:t>najed</w:t>
      </w:r>
      <w:r>
        <w:softHyphen/>
        <w:t xml:space="preserve">nou sebevědomě vystoupil na balkon. Hluk pokračoval </w:t>
      </w:r>
      <w:r>
        <w:rPr>
          <w:lang w:val="en-US" w:eastAsia="en-US" w:bidi="en-US"/>
        </w:rPr>
        <w:t xml:space="preserve">a Chamberlain </w:t>
      </w:r>
      <w:r>
        <w:t>zdvihl ruku. Mohlo to vypadat jako nacistický pozdrav. V zástupu byly většinou ženy a muži středního stavu. Nejásal nikdo z ú</w:t>
      </w:r>
      <w:r>
        <w:t>derníků. Hle</w:t>
      </w:r>
      <w:r>
        <w:softHyphen/>
        <w:t xml:space="preserve">děli zasmušile. </w:t>
      </w:r>
      <w:r>
        <w:rPr>
          <w:lang w:val="en-US" w:eastAsia="en-US" w:bidi="en-US"/>
        </w:rPr>
        <w:t xml:space="preserve">Chamberlain </w:t>
      </w:r>
      <w:r>
        <w:t xml:space="preserve">snad vzpomínal na svého otce, když jel na schůzku s Hitlerem. </w:t>
      </w:r>
      <w:r>
        <w:rPr>
          <w:lang w:val="en-US" w:eastAsia="en-US" w:bidi="en-US"/>
        </w:rPr>
        <w:t>Joseph Cham</w:t>
      </w:r>
      <w:r>
        <w:rPr>
          <w:lang w:val="en-US" w:eastAsia="en-US" w:bidi="en-US"/>
        </w:rPr>
        <w:softHyphen/>
        <w:t xml:space="preserve">berlain </w:t>
      </w:r>
      <w:r>
        <w:t>věřil v možnost anglo-německého dorozumění, ale nikdy se mu nepodařilo je přivoditi.</w:t>
      </w:r>
    </w:p>
    <w:p w:rsidR="00500724" w:rsidRDefault="00F30FB8">
      <w:pPr>
        <w:pStyle w:val="Zkladntext1"/>
        <w:shd w:val="clear" w:color="auto" w:fill="auto"/>
        <w:spacing w:line="209" w:lineRule="auto"/>
      </w:pPr>
      <w:r>
        <w:rPr>
          <w:lang w:val="en-US" w:eastAsia="en-US" w:bidi="en-US"/>
        </w:rPr>
        <w:t xml:space="preserve">Austen Chamberlain </w:t>
      </w:r>
      <w:r>
        <w:t xml:space="preserve">se při svém frankofilství </w:t>
      </w:r>
      <w:r>
        <w:t>stal koncem svého života ostrým kritikem nacistických způ</w:t>
      </w:r>
      <w:r>
        <w:softHyphen/>
        <w:t xml:space="preserve">sobů. Co by si byl asi myslil o německých ovacích pro svého nevlastního bratra Nevilla? </w:t>
      </w:r>
      <w:r>
        <w:rPr>
          <w:lang w:val="en-US" w:eastAsia="en-US" w:bidi="en-US"/>
        </w:rPr>
        <w:t xml:space="preserve">Neville </w:t>
      </w:r>
      <w:r>
        <w:t>byl oslavo</w:t>
      </w:r>
      <w:r>
        <w:softHyphen/>
        <w:t>ván v rodišti nacismu a v jevišti čistky z roku 1954. Co by si asi byl myslil o dalším krok</w:t>
      </w:r>
      <w:r>
        <w:t xml:space="preserve">u, na nějž pomýšlel </w:t>
      </w:r>
      <w:r>
        <w:rPr>
          <w:lang w:val="en-US" w:eastAsia="en-US" w:bidi="en-US"/>
        </w:rPr>
        <w:t>Neville?</w:t>
      </w:r>
    </w:p>
    <w:p w:rsidR="00500724" w:rsidRDefault="00F30FB8">
      <w:pPr>
        <w:pStyle w:val="Zkladntext1"/>
        <w:shd w:val="clear" w:color="auto" w:fill="auto"/>
        <w:spacing w:line="209" w:lineRule="auto"/>
      </w:pPr>
      <w:r>
        <w:t xml:space="preserve">Ve svých komnatách ve Fůhrerhausu, hlavním stanu nacistické strany, čekal Adolf Hitler na Nevilla </w:t>
      </w:r>
      <w:r>
        <w:rPr>
          <w:lang w:val="en-US" w:eastAsia="en-US" w:bidi="en-US"/>
        </w:rPr>
        <w:t>Cham</w:t>
      </w:r>
      <w:r>
        <w:rPr>
          <w:lang w:val="en-US" w:eastAsia="en-US" w:bidi="en-US"/>
        </w:rPr>
        <w:softHyphen/>
        <w:t xml:space="preserve">berlaina. </w:t>
      </w:r>
      <w:r>
        <w:t xml:space="preserve">Ministerský předseda vezl v kapse náčrtek dokumentu, jejž napsal vlastní rukou. </w:t>
      </w:r>
      <w:r>
        <w:rPr>
          <w:lang w:val="en-US" w:eastAsia="en-US" w:bidi="en-US"/>
        </w:rPr>
        <w:t xml:space="preserve">Paul Schmidt </w:t>
      </w:r>
      <w:r>
        <w:t>přeložil Chamberlainů</w:t>
      </w:r>
      <w:r>
        <w:t>v koncept do němčiny. Hitler dal souhlas, aby byl přepsán na obyčejný papír, a pak jej podepsal.</w:t>
      </w:r>
    </w:p>
    <w:p w:rsidR="00500724" w:rsidRDefault="00F30FB8">
      <w:pPr>
        <w:pStyle w:val="Zkladntext1"/>
        <w:shd w:val="clear" w:color="auto" w:fill="auto"/>
        <w:spacing w:after="220" w:line="209" w:lineRule="auto"/>
      </w:pPr>
      <w:r>
        <w:t xml:space="preserve">Novinářům pak, když pil černou kávu a kouřil dlouhý doutník, řekl </w:t>
      </w:r>
      <w:r>
        <w:rPr>
          <w:lang w:val="en-US" w:eastAsia="en-US" w:bidi="en-US"/>
        </w:rPr>
        <w:t xml:space="preserve">Chamberlain, </w:t>
      </w:r>
      <w:r>
        <w:t>co si myslil dlouhé měsíce: »Vždycky jsem byl toho názoru, že kdybychom mohli do</w:t>
      </w:r>
      <w:r>
        <w:t>sáhnouti mírovým způsobem rozluštění česko</w:t>
      </w:r>
      <w:r>
        <w:softHyphen/>
        <w:t>slovenské otázky, otevřelo by to cesty k obecnému uklidnění Evropy.«</w:t>
      </w:r>
    </w:p>
    <w:p w:rsidR="00500724" w:rsidRDefault="00F30FB8">
      <w:pPr>
        <w:pStyle w:val="Jin0"/>
        <w:shd w:val="clear" w:color="auto" w:fill="auto"/>
        <w:spacing w:line="360" w:lineRule="auto"/>
        <w:ind w:firstLine="0"/>
        <w:jc w:val="left"/>
        <w:rPr>
          <w:sz w:val="28"/>
          <w:szCs w:val="28"/>
        </w:rPr>
      </w:pPr>
      <w:r>
        <w:rPr>
          <w:rFonts w:ascii="Arial" w:eastAsia="Arial" w:hAnsi="Arial" w:cs="Arial"/>
          <w:sz w:val="28"/>
          <w:szCs w:val="28"/>
        </w:rPr>
        <w:t xml:space="preserve">G t á G G: ;G © Cí &gt;9 </w:t>
      </w:r>
      <w:r>
        <w:rPr>
          <w:rFonts w:ascii="Arial" w:eastAsia="Arial" w:hAnsi="Arial" w:cs="Arial"/>
          <w:sz w:val="28"/>
          <w:szCs w:val="28"/>
          <w:vertAlign w:val="superscript"/>
        </w:rPr>
        <w:t>( ¥ e</w:t>
      </w:r>
    </w:p>
    <w:p w:rsidR="00500724" w:rsidRDefault="00F30FB8">
      <w:pPr>
        <w:pStyle w:val="Nadpis100"/>
        <w:shd w:val="clear" w:color="auto" w:fill="auto"/>
        <w:spacing w:after="0" w:line="360" w:lineRule="auto"/>
      </w:pPr>
      <w:bookmarkStart w:id="53" w:name="bookmark52"/>
      <w:r>
        <w:t>Proč autostradu ?</w:t>
      </w:r>
      <w:bookmarkEnd w:id="53"/>
    </w:p>
    <w:p w:rsidR="00500724" w:rsidRDefault="00F30FB8">
      <w:pPr>
        <w:pStyle w:val="Zkladntext1"/>
        <w:shd w:val="clear" w:color="auto" w:fill="auto"/>
        <w:spacing w:after="80" w:line="209" w:lineRule="auto"/>
        <w:ind w:left="600" w:firstLine="0"/>
        <w:jc w:val="left"/>
      </w:pPr>
      <w:r>
        <w:t>P. T. Redakce Přítomnosti.</w:t>
      </w:r>
    </w:p>
    <w:p w:rsidR="00500724" w:rsidRDefault="00F30FB8">
      <w:pPr>
        <w:pStyle w:val="Zkladntext1"/>
        <w:shd w:val="clear" w:color="auto" w:fill="auto"/>
        <w:spacing w:line="211" w:lineRule="auto"/>
      </w:pPr>
      <w:r>
        <w:t xml:space="preserve">Zasílám odpověď na otázku dr. Jiřího Hejdy: ;;Proč právě autostradu?* </w:t>
      </w:r>
      <w:r>
        <w:t>(čís. 52 ročníku XV. Přítomnosti). Pan dr. Hejda píše: »Postačí nám prvotřídní automobi</w:t>
      </w:r>
      <w:r>
        <w:softHyphen/>
        <w:t>lová silnice. Budiž na ní zakázán provoz jinými, než motorovými vozidly, přechody nebuďtež úrovňové, nechť se vyhne vesnicím a malým městečkům.* Není zcela jasné, zda p</w:t>
      </w:r>
      <w:r>
        <w:t>an dr. Hejda myslí novou takovou silnici, anebo přebudování existujících silnic.</w:t>
      </w:r>
    </w:p>
    <w:p w:rsidR="00500724" w:rsidRDefault="00F30FB8">
      <w:pPr>
        <w:pStyle w:val="Zkladntext1"/>
        <w:shd w:val="clear" w:color="auto" w:fill="auto"/>
        <w:spacing w:line="206" w:lineRule="auto"/>
      </w:pPr>
      <w:r>
        <w:t>Myslel-li pan dr. Hejda novou silnici, snad je na místě tato úvaha: pan dr. Hejda si pochvaluje terezián</w:t>
      </w:r>
      <w:r>
        <w:softHyphen/>
        <w:t>ské silnice, jejich šířku. Za Marie Terezie nebyly auto</w:t>
      </w:r>
      <w:r>
        <w:softHyphen/>
        <w:t>mobily, a přec</w:t>
      </w:r>
      <w:r>
        <w:t>e Marie Terezie viděla tak daleko do bu</w:t>
      </w:r>
      <w:r>
        <w:softHyphen/>
        <w:t>doucnosti, že když už stavěla dálková spojení, stavěla je tak, že dnes ještě vyhovují i panu dr. Hejdovi. Když tedy my budeme stavět dálková spojení, bude snad dobře po tereziánském principu stavět je také s ohle</w:t>
      </w:r>
      <w:r>
        <w:softHyphen/>
        <w:t>dem</w:t>
      </w:r>
      <w:r>
        <w:t xml:space="preserve"> na dalších 100 let.</w:t>
      </w:r>
    </w:p>
    <w:p w:rsidR="00500724" w:rsidRDefault="00F30FB8">
      <w:pPr>
        <w:pStyle w:val="Zkladntext1"/>
        <w:shd w:val="clear" w:color="auto" w:fill="auto"/>
        <w:spacing w:line="204" w:lineRule="auto"/>
      </w:pPr>
      <w:r>
        <w:t>Myslel-li pan dr. Hejda přebudování dosavadních silnic, pak by byl překvapen asi faktem, že takové přebudování by nebylo rozpočtově daleko od zcela nové dálnice, neboť:</w:t>
      </w:r>
    </w:p>
    <w:p w:rsidR="00500724" w:rsidRDefault="00F30FB8">
      <w:pPr>
        <w:pStyle w:val="Zkladntext1"/>
        <w:numPr>
          <w:ilvl w:val="0"/>
          <w:numId w:val="7"/>
        </w:numPr>
        <w:shd w:val="clear" w:color="auto" w:fill="auto"/>
        <w:tabs>
          <w:tab w:val="left" w:pos="457"/>
        </w:tabs>
        <w:spacing w:line="204" w:lineRule="auto"/>
      </w:pPr>
      <w:r>
        <w:t>museli bychom dát dotyčné úseky do nejlepšího stavu,</w:t>
      </w:r>
    </w:p>
    <w:p w:rsidR="00500724" w:rsidRDefault="00F30FB8">
      <w:pPr>
        <w:pStyle w:val="Zkladntext1"/>
        <w:numPr>
          <w:ilvl w:val="0"/>
          <w:numId w:val="7"/>
        </w:numPr>
        <w:shd w:val="clear" w:color="auto" w:fill="auto"/>
        <w:tabs>
          <w:tab w:val="left" w:pos="466"/>
        </w:tabs>
        <w:spacing w:line="204" w:lineRule="auto"/>
      </w:pPr>
      <w:r>
        <w:t>museli bychom</w:t>
      </w:r>
      <w:r>
        <w:t xml:space="preserve"> vybudovat vedle nich cesty pro jiná, než motorová vozidla,</w:t>
      </w:r>
    </w:p>
    <w:p w:rsidR="00500724" w:rsidRDefault="00F30FB8">
      <w:pPr>
        <w:pStyle w:val="Zkladntext1"/>
        <w:numPr>
          <w:ilvl w:val="0"/>
          <w:numId w:val="7"/>
        </w:numPr>
        <w:shd w:val="clear" w:color="auto" w:fill="auto"/>
        <w:tabs>
          <w:tab w:val="left" w:pos="457"/>
        </w:tabs>
        <w:spacing w:line="204" w:lineRule="auto"/>
      </w:pPr>
      <w:r>
        <w:t>museli bychom vybudovat na ní tytéž mimoúrov</w:t>
      </w:r>
      <w:r>
        <w:softHyphen/>
        <w:t>ňové přechody, jako na dálnici,</w:t>
      </w:r>
    </w:p>
    <w:p w:rsidR="00500724" w:rsidRDefault="00F30FB8">
      <w:pPr>
        <w:pStyle w:val="Zkladntext1"/>
        <w:numPr>
          <w:ilvl w:val="0"/>
          <w:numId w:val="7"/>
        </w:numPr>
        <w:shd w:val="clear" w:color="auto" w:fill="auto"/>
        <w:tabs>
          <w:tab w:val="left" w:pos="452"/>
        </w:tabs>
        <w:spacing w:line="204" w:lineRule="auto"/>
      </w:pPr>
      <w:r>
        <w:t>museli bychom vybudovat objížďky kolem vesnic a měst,</w:t>
      </w:r>
    </w:p>
    <w:p w:rsidR="00500724" w:rsidRDefault="00F30FB8">
      <w:pPr>
        <w:pStyle w:val="Zkladntext1"/>
        <w:numPr>
          <w:ilvl w:val="0"/>
          <w:numId w:val="7"/>
        </w:numPr>
        <w:shd w:val="clear" w:color="auto" w:fill="auto"/>
        <w:tabs>
          <w:tab w:val="left" w:pos="471"/>
        </w:tabs>
        <w:spacing w:line="204" w:lineRule="auto"/>
      </w:pPr>
      <w:r>
        <w:t>to vše na daleko delší trase, než na trase nové dál</w:t>
      </w:r>
      <w:r>
        <w:softHyphen/>
        <w:t>nice, a to ne</w:t>
      </w:r>
      <w:r>
        <w:t>jméně na vzdálenost 1400 km,</w:t>
      </w:r>
    </w:p>
    <w:p w:rsidR="00500724" w:rsidRDefault="00F30FB8">
      <w:pPr>
        <w:pStyle w:val="Zkladntext1"/>
        <w:numPr>
          <w:ilvl w:val="0"/>
          <w:numId w:val="7"/>
        </w:numPr>
        <w:shd w:val="clear" w:color="auto" w:fill="auto"/>
        <w:tabs>
          <w:tab w:val="left" w:pos="457"/>
        </w:tabs>
        <w:spacing w:line="204" w:lineRule="auto"/>
      </w:pPr>
      <w:r>
        <w:t>při tom ale bychom vůbec nedosáhli zkrácení vzdá</w:t>
      </w:r>
      <w:r>
        <w:softHyphen/>
        <w:t>lenosti, ani</w:t>
      </w:r>
    </w:p>
    <w:p w:rsidR="00500724" w:rsidRDefault="00F30FB8">
      <w:pPr>
        <w:pStyle w:val="Zkladntext1"/>
        <w:numPr>
          <w:ilvl w:val="0"/>
          <w:numId w:val="7"/>
        </w:numPr>
        <w:shd w:val="clear" w:color="auto" w:fill="auto"/>
        <w:tabs>
          <w:tab w:val="left" w:pos="457"/>
        </w:tabs>
        <w:spacing w:line="204" w:lineRule="auto"/>
      </w:pPr>
      <w:r>
        <w:t>možnosti zvýšené rychlosti vyrovnáním výšek a směrů.</w:t>
      </w:r>
    </w:p>
    <w:p w:rsidR="00500724" w:rsidRDefault="00F30FB8">
      <w:pPr>
        <w:pStyle w:val="Zkladntext1"/>
        <w:shd w:val="clear" w:color="auto" w:fill="auto"/>
        <w:spacing w:line="206" w:lineRule="auto"/>
      </w:pPr>
      <w:r>
        <w:t>Odpor proti dálnicím připomíná odpor proti železni</w:t>
      </w:r>
      <w:r>
        <w:softHyphen/>
        <w:t xml:space="preserve">cím, a víme, jak některá města doplatila na pověrčivost a </w:t>
      </w:r>
      <w:r>
        <w:t>tvrdohlavost některých svých občanů, když se po</w:t>
      </w:r>
      <w:r>
        <w:softHyphen/>
        <w:t>stavila proti tomu, aby železnice šla kolem nich. Vysoké Mýto, Litomyšl, jsou klasickým dokladem toho, a ne- vybuduje-li si Cesko-Slovensko dálnici, nebude se s ním zkrátka v Evropě počítat pro motorovou dopr</w:t>
      </w:r>
      <w:r>
        <w:t>avu. Proto jsou zdánlivě rozumné hlasy proti dálnici pro naši budoucnost nebezpečné.</w:t>
      </w:r>
    </w:p>
    <w:p w:rsidR="00500724" w:rsidRDefault="00F30FB8">
      <w:pPr>
        <w:pStyle w:val="Zkladntext1"/>
        <w:shd w:val="clear" w:color="auto" w:fill="auto"/>
        <w:spacing w:line="209" w:lineRule="auto"/>
      </w:pPr>
      <w:r>
        <w:t>Když uvážíme, že zahraniční obchod, resp. jeho aktivita, je dnes ještě otázkou, musíme uznat, že pla</w:t>
      </w:r>
      <w:r>
        <w:softHyphen/>
        <w:t xml:space="preserve">tební bilance může mít v dálnici značnou náhradu za </w:t>
      </w:r>
      <w:r>
        <w:rPr>
          <w:lang w:val="en-US" w:eastAsia="en-US" w:bidi="en-US"/>
        </w:rPr>
        <w:t xml:space="preserve">event, </w:t>
      </w:r>
      <w:r>
        <w:t xml:space="preserve">schodek </w:t>
      </w:r>
      <w:r>
        <w:t>zahraničního obchodu, když dálnice strhne na sebe transit německé motorové expanse k vý</w:t>
      </w:r>
      <w:r>
        <w:softHyphen/>
        <w:t>chodu a když taková dálnice zvýší cizinecký ruch. Pan dr. Hejda si pochvaluje náš smysl pro realitu, ale zapomíná úplně na realitu, vzdálenou 35 km od Prahy.</w:t>
      </w:r>
    </w:p>
    <w:p w:rsidR="00500724" w:rsidRDefault="00F30FB8">
      <w:pPr>
        <w:pStyle w:val="Zkladntext1"/>
        <w:shd w:val="clear" w:color="auto" w:fill="auto"/>
        <w:spacing w:line="209" w:lineRule="auto"/>
      </w:pPr>
      <w:r>
        <w:t>Jest otázk</w:t>
      </w:r>
      <w:r>
        <w:t>a, jestli by Německo vůbec mohlo připustit, abychom zůstali ve střední Evropě v isolované zdánlivě skromné — zpátečnosti. Na konec by vybudovalo auto</w:t>
      </w:r>
      <w:r>
        <w:softHyphen/>
        <w:t>stradu samo za cenu nového exteritoriálního koridoru, anebo by nám půjčilo na tuto autostradu, což by bylo</w:t>
      </w:r>
      <w:r>
        <w:t xml:space="preserve"> ovšem to největší neštěstí, ktere by nás mohlo stihnout, poněvadž za takový kapitál, jaký nám Německo může půjčit, dovedeme si při dobré vůli dálnici vy</w:t>
      </w:r>
      <w:r>
        <w:softHyphen/>
        <w:t>tvořit sami.</w:t>
      </w:r>
    </w:p>
    <w:p w:rsidR="00500724" w:rsidRDefault="00F30FB8">
      <w:pPr>
        <w:pStyle w:val="Zkladntext1"/>
        <w:shd w:val="clear" w:color="auto" w:fill="auto"/>
        <w:spacing w:line="209" w:lineRule="auto"/>
      </w:pPr>
      <w:r>
        <w:t>Pan dr. Hejda se pozastavuje nad požadavkem prů</w:t>
      </w:r>
      <w:r>
        <w:softHyphen/>
        <w:t>měrné rychlosti 120 km za hodinu. Přeje t</w:t>
      </w:r>
      <w:r>
        <w:t>uto radost každému, dokud se nezabije. To je právě účelem dál</w:t>
      </w:r>
      <w:r>
        <w:softHyphen/>
        <w:t xml:space="preserve">nice, aby se nikdo při rychlosti 120 km nemusel obávat, že se zabije. To je právě jeden z hlavních účelů dálnice, a je mi dost divné, že musím připomínat, že před 30 lety platila 50 km rychlost </w:t>
      </w:r>
      <w:r>
        <w:t>za tak neobyčejnou rychlost, jako dnes 150 km. Vždyť jeden z našich nej</w:t>
      </w:r>
      <w:r>
        <w:softHyphen/>
        <w:t>větších závodů, CKD, už dnes inseruje vozy uzpůsobe</w:t>
      </w:r>
      <w:r>
        <w:softHyphen/>
        <w:t>né na dálnice. Dříve takové vozy ve větším počtu stavět nemůžeme, než budeme mít dálnici, na které by se jich používalo.</w:t>
      </w:r>
    </w:p>
    <w:p w:rsidR="00500724" w:rsidRDefault="00F30FB8">
      <w:pPr>
        <w:pStyle w:val="Zkladntext1"/>
        <w:shd w:val="clear" w:color="auto" w:fill="auto"/>
        <w:spacing w:line="214" w:lineRule="auto"/>
      </w:pPr>
      <w:r>
        <w:t>O způsobu f</w:t>
      </w:r>
      <w:r>
        <w:t>inancování poukazuji na svůj článek »Konce šedé teorie« ve Venkově z 15. prosince.</w:t>
      </w:r>
    </w:p>
    <w:p w:rsidR="00500724" w:rsidRDefault="00F30FB8">
      <w:pPr>
        <w:pStyle w:val="Zkladntext1"/>
        <w:shd w:val="clear" w:color="auto" w:fill="auto"/>
        <w:spacing w:line="214" w:lineRule="auto"/>
      </w:pPr>
      <w:r>
        <w:t>Jsme zkrátka v blízké a velké kulturně-technické soutěži s Německem a nemůžeme si dovolit zdánlivou konservativnost, která ve svém principu je více pohodlím, než rozumem.</w:t>
      </w:r>
    </w:p>
    <w:p w:rsidR="00500724" w:rsidRDefault="00F30FB8">
      <w:pPr>
        <w:pStyle w:val="Zkladntext1"/>
        <w:shd w:val="clear" w:color="auto" w:fill="auto"/>
        <w:spacing w:line="211" w:lineRule="auto"/>
        <w:ind w:left="1260" w:firstLine="0"/>
        <w:jc w:val="left"/>
      </w:pPr>
      <w:r>
        <w:t xml:space="preserve">V </w:t>
      </w:r>
      <w:r>
        <w:t>opravdové úctě:</w:t>
      </w:r>
    </w:p>
    <w:p w:rsidR="00500724" w:rsidRDefault="00F30FB8">
      <w:pPr>
        <w:pStyle w:val="Zkladntext1"/>
        <w:shd w:val="clear" w:color="auto" w:fill="auto"/>
        <w:spacing w:after="100" w:line="211" w:lineRule="auto"/>
        <w:ind w:firstLine="0"/>
        <w:jc w:val="right"/>
      </w:pPr>
      <w:r>
        <w:t>Dr. Karel Kubát.</w:t>
      </w:r>
    </w:p>
    <w:p w:rsidR="00500724" w:rsidRDefault="00F30FB8">
      <w:pPr>
        <w:pStyle w:val="Jin0"/>
        <w:pBdr>
          <w:bottom w:val="single" w:sz="4" w:space="0" w:color="auto"/>
        </w:pBdr>
        <w:shd w:val="clear" w:color="auto" w:fill="auto"/>
        <w:spacing w:after="160"/>
        <w:ind w:firstLine="0"/>
        <w:jc w:val="left"/>
        <w:rPr>
          <w:sz w:val="44"/>
          <w:szCs w:val="44"/>
        </w:rPr>
      </w:pPr>
      <w:r>
        <w:rPr>
          <w:b/>
          <w:bCs/>
          <w:sz w:val="44"/>
          <w:szCs w:val="44"/>
        </w:rPr>
        <w:t>dopisy</w:t>
      </w:r>
    </w:p>
    <w:p w:rsidR="00500724" w:rsidRDefault="00F30FB8">
      <w:pPr>
        <w:pStyle w:val="Zkladntext40"/>
        <w:shd w:val="clear" w:color="auto" w:fill="auto"/>
        <w:spacing w:line="240" w:lineRule="auto"/>
        <w:jc w:val="center"/>
        <w:rPr>
          <w:sz w:val="14"/>
          <w:szCs w:val="14"/>
        </w:rPr>
      </w:pPr>
      <w:r>
        <w:rPr>
          <w:b/>
          <w:bCs/>
          <w:sz w:val="14"/>
          <w:szCs w:val="14"/>
        </w:rPr>
        <w:t>Mladí k mladým</w:t>
      </w:r>
    </w:p>
    <w:p w:rsidR="00500724" w:rsidRDefault="00F30FB8">
      <w:pPr>
        <w:pStyle w:val="Zkladntext1"/>
        <w:shd w:val="clear" w:color="auto" w:fill="auto"/>
        <w:spacing w:line="175" w:lineRule="auto"/>
        <w:ind w:left="1100" w:firstLine="0"/>
        <w:jc w:val="left"/>
        <w:rPr>
          <w:sz w:val="18"/>
          <w:szCs w:val="18"/>
        </w:rPr>
      </w:pPr>
      <w:r>
        <w:rPr>
          <w:sz w:val="18"/>
          <w:szCs w:val="18"/>
        </w:rPr>
        <w:t>Vážená redakce,</w:t>
      </w:r>
    </w:p>
    <w:p w:rsidR="00500724" w:rsidRDefault="00F30FB8">
      <w:pPr>
        <w:pStyle w:val="Zkladntext1"/>
        <w:shd w:val="clear" w:color="auto" w:fill="auto"/>
        <w:spacing w:line="178" w:lineRule="auto"/>
        <w:ind w:firstLine="0"/>
        <w:rPr>
          <w:sz w:val="18"/>
          <w:szCs w:val="18"/>
        </w:rPr>
      </w:pPr>
      <w:r>
        <w:rPr>
          <w:sz w:val="18"/>
          <w:szCs w:val="18"/>
        </w:rPr>
        <w:t>v Lidových Novinách se dne 3. ledna 1939 v článku, který po</w:t>
      </w:r>
      <w:r>
        <w:rPr>
          <w:sz w:val="18"/>
          <w:szCs w:val="18"/>
        </w:rPr>
        <w:softHyphen/>
        <w:t>dává zprávu o průběhu první schůze Mladé národní jednoty, byla také tato věta: »(Fašista Soukup) protestoval, že Aktua</w:t>
      </w:r>
      <w:r>
        <w:rPr>
          <w:sz w:val="18"/>
          <w:szCs w:val="18"/>
        </w:rPr>
        <w:softHyphen/>
        <w:t>lita z</w:t>
      </w:r>
      <w:r>
        <w:rPr>
          <w:sz w:val="18"/>
          <w:szCs w:val="18"/>
        </w:rPr>
        <w:t>filmovala pohřeb Karla Čapka, který byl dobrým spiso</w:t>
      </w:r>
      <w:r>
        <w:rPr>
          <w:sz w:val="18"/>
          <w:szCs w:val="18"/>
        </w:rPr>
        <w:softHyphen/>
        <w:t>vatelem, ale národu nesloužil.« Velice se mne to dotklo. Proto Vás prosím, bude-li možno, uveřejněte můj dopis, adresovaný panu Soukupovi.</w:t>
      </w:r>
    </w:p>
    <w:p w:rsidR="00500724" w:rsidRDefault="00F30FB8">
      <w:pPr>
        <w:pStyle w:val="Zkladntext1"/>
        <w:shd w:val="clear" w:color="auto" w:fill="auto"/>
        <w:spacing w:line="175" w:lineRule="auto"/>
        <w:ind w:left="1100" w:firstLine="0"/>
        <w:jc w:val="left"/>
        <w:rPr>
          <w:sz w:val="18"/>
          <w:szCs w:val="18"/>
        </w:rPr>
      </w:pPr>
      <w:r>
        <w:rPr>
          <w:sz w:val="18"/>
          <w:szCs w:val="18"/>
        </w:rPr>
        <w:t>Milý pane,</w:t>
      </w:r>
    </w:p>
    <w:p w:rsidR="00500724" w:rsidRDefault="00F30FB8">
      <w:pPr>
        <w:pStyle w:val="Zkladntext1"/>
        <w:shd w:val="clear" w:color="auto" w:fill="auto"/>
        <w:spacing w:line="175" w:lineRule="auto"/>
        <w:ind w:firstLine="0"/>
        <w:rPr>
          <w:sz w:val="18"/>
          <w:szCs w:val="18"/>
        </w:rPr>
      </w:pPr>
      <w:r>
        <w:rPr>
          <w:sz w:val="18"/>
          <w:szCs w:val="18"/>
        </w:rPr>
        <w:t xml:space="preserve">jsem nucena Vás upozornit na omyl, kterého jste se </w:t>
      </w:r>
      <w:r>
        <w:rPr>
          <w:sz w:val="18"/>
          <w:szCs w:val="18"/>
        </w:rPr>
        <w:t>dopustil ve své řeči na první schůzi Mladé Národní Jednoty, ve které jste se pokusil zhodnotit Karla Čapka. Blahosklonně jste uznal, že K. Č. byl dobrým spisovatelem, ale — jak jste kri</w:t>
      </w:r>
      <w:r>
        <w:rPr>
          <w:sz w:val="18"/>
          <w:szCs w:val="18"/>
        </w:rPr>
        <w:softHyphen/>
        <w:t>ticky dodal — národu nesloužil.</w:t>
      </w:r>
    </w:p>
    <w:p w:rsidR="00500724" w:rsidRDefault="00F30FB8">
      <w:pPr>
        <w:pStyle w:val="Zkladntext1"/>
        <w:shd w:val="clear" w:color="auto" w:fill="auto"/>
        <w:spacing w:line="175" w:lineRule="auto"/>
        <w:ind w:firstLine="360"/>
        <w:rPr>
          <w:sz w:val="18"/>
          <w:szCs w:val="18"/>
        </w:rPr>
      </w:pPr>
      <w:r>
        <w:rPr>
          <w:sz w:val="18"/>
          <w:szCs w:val="18"/>
        </w:rPr>
        <w:t>K. Č. tedy podle Vás nesloužil národu.</w:t>
      </w:r>
      <w:r>
        <w:rPr>
          <w:sz w:val="18"/>
          <w:szCs w:val="18"/>
        </w:rPr>
        <w:t xml:space="preserve"> Ale spisovatel ne</w:t>
      </w:r>
      <w:r>
        <w:rPr>
          <w:sz w:val="18"/>
          <w:szCs w:val="18"/>
        </w:rPr>
        <w:softHyphen/>
        <w:t>musí přece mít stále plná ústa vlasti, národa atd., aby byl vlastencem. Pravá láska k vlasti musí z jeho díla vanout, a my to musíme svým nitrem cítit. Vždyť pravý spisovatel- vlastenec vkládá do knihy právě své nitro a nikoliv prázdná s</w:t>
      </w:r>
      <w:r>
        <w:rPr>
          <w:sz w:val="18"/>
          <w:szCs w:val="18"/>
        </w:rPr>
        <w:t>lova. Krásných slov může užívat i vlastizrádce. Jsem nucena soudit, že buď jste Čapka nečetl nebo jste prostě nerozuměl. Nejspíše jste nechtěl rozumět.</w:t>
      </w:r>
    </w:p>
    <w:p w:rsidR="00500724" w:rsidRDefault="00F30FB8">
      <w:pPr>
        <w:pStyle w:val="Zkladntext1"/>
        <w:shd w:val="clear" w:color="auto" w:fill="auto"/>
        <w:spacing w:line="175" w:lineRule="auto"/>
        <w:ind w:firstLine="360"/>
        <w:rPr>
          <w:sz w:val="18"/>
          <w:szCs w:val="18"/>
        </w:rPr>
      </w:pPr>
      <w:r>
        <w:rPr>
          <w:sz w:val="18"/>
          <w:szCs w:val="18"/>
        </w:rPr>
        <w:t>Když byl tedy Vámi (znalcem) Čapek uznán aspoň za dob</w:t>
      </w:r>
      <w:r>
        <w:rPr>
          <w:sz w:val="18"/>
          <w:szCs w:val="18"/>
        </w:rPr>
        <w:softHyphen/>
        <w:t xml:space="preserve">rého spisovatele, nezaslouží si, aby jeho památka </w:t>
      </w:r>
      <w:r>
        <w:rPr>
          <w:sz w:val="18"/>
          <w:szCs w:val="18"/>
        </w:rPr>
        <w:t>(jen jako dob</w:t>
      </w:r>
      <w:r>
        <w:rPr>
          <w:sz w:val="18"/>
          <w:szCs w:val="18"/>
        </w:rPr>
        <w:softHyphen/>
        <w:t>rého spisovatele) byla uctěna aspoň promítáním jeho pohřbu? Nepřejete to těm lidem, kteří ho měli rádi a kteří se s ním ne</w:t>
      </w:r>
      <w:r>
        <w:rPr>
          <w:sz w:val="18"/>
          <w:szCs w:val="18"/>
        </w:rPr>
        <w:softHyphen/>
        <w:t>mohli rozloučit na Vyšehradě? A věřte, většina těch lidí ho ne</w:t>
      </w:r>
      <w:r>
        <w:rPr>
          <w:sz w:val="18"/>
          <w:szCs w:val="18"/>
        </w:rPr>
        <w:softHyphen/>
        <w:t xml:space="preserve">milovala pro nic jiného, říkám, pro nic jiného, než pro </w:t>
      </w:r>
      <w:r>
        <w:rPr>
          <w:sz w:val="18"/>
          <w:szCs w:val="18"/>
        </w:rPr>
        <w:t>jeho prostou lidskost (nechci říci humanitu, neboť to slovo vyvolává u jistého druhu lidí jakýsi záchvat zuřivosti), proto, že nikomu nepřál nic zlého. — Ti lidé mají právo zhlédnout tento pohřební snímek, a Vy toto jejich právo ome</w:t>
      </w:r>
      <w:r>
        <w:rPr>
          <w:sz w:val="18"/>
          <w:szCs w:val="18"/>
        </w:rPr>
        <w:softHyphen/>
        <w:t xml:space="preserve">zujete tvrzením, že se </w:t>
      </w:r>
      <w:r>
        <w:rPr>
          <w:sz w:val="18"/>
          <w:szCs w:val="18"/>
        </w:rPr>
        <w:t>pohřeb vůbec neměl filmovat. Ale dou</w:t>
      </w:r>
      <w:r>
        <w:rPr>
          <w:sz w:val="18"/>
          <w:szCs w:val="18"/>
        </w:rPr>
        <w:softHyphen/>
        <w:t>fám, že jsme ještě tak daleko nedošli, aby směl někdo libovol</w:t>
      </w:r>
      <w:r>
        <w:rPr>
          <w:sz w:val="18"/>
          <w:szCs w:val="18"/>
        </w:rPr>
        <w:softHyphen/>
        <w:t>ně omezovat právo svých občanů.</w:t>
      </w:r>
    </w:p>
    <w:p w:rsidR="00500724" w:rsidRDefault="00F30FB8">
      <w:pPr>
        <w:pStyle w:val="Zkladntext1"/>
        <w:shd w:val="clear" w:color="auto" w:fill="auto"/>
        <w:spacing w:after="80" w:line="175" w:lineRule="auto"/>
        <w:ind w:firstLine="0"/>
        <w:jc w:val="right"/>
        <w:rPr>
          <w:sz w:val="18"/>
          <w:szCs w:val="18"/>
        </w:rPr>
      </w:pPr>
      <w:r>
        <w:rPr>
          <w:sz w:val="18"/>
          <w:szCs w:val="18"/>
        </w:rPr>
        <w:t>Nemějte strachu, že oním snímkem z Čapkova pohřbu při</w:t>
      </w:r>
      <w:r>
        <w:rPr>
          <w:sz w:val="18"/>
          <w:szCs w:val="18"/>
        </w:rPr>
        <w:softHyphen/>
        <w:t>jdou lidé na různé myšlenky. Oktavánka z Č. Brodu.</w:t>
      </w:r>
    </w:p>
    <w:p w:rsidR="00500724" w:rsidRDefault="00F30FB8">
      <w:pPr>
        <w:pStyle w:val="Zkladntext1"/>
        <w:shd w:val="clear" w:color="auto" w:fill="auto"/>
        <w:spacing w:line="228" w:lineRule="auto"/>
        <w:ind w:left="1100" w:right="1860" w:firstLine="880"/>
        <w:jc w:val="left"/>
        <w:rPr>
          <w:sz w:val="18"/>
          <w:szCs w:val="18"/>
        </w:rPr>
      </w:pPr>
      <w:r>
        <w:rPr>
          <w:sz w:val="18"/>
          <w:szCs w:val="18"/>
        </w:rPr>
        <w:t>Dopis Slovincův Váže</w:t>
      </w:r>
      <w:r>
        <w:rPr>
          <w:sz w:val="18"/>
          <w:szCs w:val="18"/>
        </w:rPr>
        <w:t>ná redakce,</w:t>
      </w:r>
    </w:p>
    <w:p w:rsidR="00500724" w:rsidRDefault="00F30FB8">
      <w:pPr>
        <w:pStyle w:val="Zkladntext1"/>
        <w:shd w:val="clear" w:color="auto" w:fill="auto"/>
        <w:spacing w:line="175" w:lineRule="auto"/>
        <w:ind w:firstLine="0"/>
        <w:rPr>
          <w:sz w:val="18"/>
          <w:szCs w:val="18"/>
        </w:rPr>
      </w:pPr>
      <w:r>
        <w:rPr>
          <w:sz w:val="18"/>
          <w:szCs w:val="18"/>
        </w:rPr>
        <w:t>jsem Slovinec. Ale Slovinec, který poznal Čechy jako student a který stále udržoval styky s Čechy, který také poznal kus Československa z vlastního náhledu. Zkrátka a dobře, naučil jsem se ten český národ ctít a mám ho rád. Tím méně chápu někte</w:t>
      </w:r>
      <w:r>
        <w:rPr>
          <w:sz w:val="18"/>
          <w:szCs w:val="18"/>
        </w:rPr>
        <w:t>ré zjevy nyní. po katastrofě. Míním tím zvláště náhled některých lidí a kruhů o — Masarykovi. A proto Vám při</w:t>
      </w:r>
      <w:r>
        <w:rPr>
          <w:sz w:val="18"/>
          <w:szCs w:val="18"/>
        </w:rPr>
        <w:softHyphen/>
        <w:t>kládám jakýsi otevřený list pro Vaše čtenáře.</w:t>
      </w:r>
    </w:p>
    <w:p w:rsidR="00500724" w:rsidRDefault="00F30FB8">
      <w:pPr>
        <w:pStyle w:val="Zkladntext1"/>
        <w:shd w:val="clear" w:color="auto" w:fill="auto"/>
        <w:spacing w:line="175" w:lineRule="auto"/>
        <w:ind w:firstLine="360"/>
        <w:rPr>
          <w:sz w:val="18"/>
          <w:szCs w:val="18"/>
        </w:rPr>
      </w:pPr>
      <w:r>
        <w:rPr>
          <w:sz w:val="18"/>
          <w:szCs w:val="18"/>
        </w:rPr>
        <w:t>Docela vážně myslím, že jakékoliv vlastní hanobení Ma</w:t>
      </w:r>
      <w:r>
        <w:rPr>
          <w:sz w:val="18"/>
          <w:szCs w:val="18"/>
        </w:rPr>
        <w:softHyphen/>
        <w:t>saryka může jen poškoditi postavení Vás, kteří</w:t>
      </w:r>
      <w:r>
        <w:rPr>
          <w:sz w:val="18"/>
          <w:szCs w:val="18"/>
        </w:rPr>
        <w:t xml:space="preserve"> jste pro snad jen několikaměsíční mír nejvíce trpěli, v očích ciziny. Ma</w:t>
      </w:r>
      <w:r>
        <w:rPr>
          <w:sz w:val="18"/>
          <w:szCs w:val="18"/>
        </w:rPr>
        <w:softHyphen/>
        <w:t>saryk — toť symbol Vaší svobody, na tom nemůže změniti žádný »nový« světový názor nebo politický obrat pranic. V Pří</w:t>
      </w:r>
      <w:r>
        <w:rPr>
          <w:sz w:val="18"/>
          <w:szCs w:val="18"/>
        </w:rPr>
        <w:softHyphen/>
        <w:t>tomnosti »Bloudění J. Durycha« — pokládám za prostou zradu. Co te</w:t>
      </w:r>
      <w:r>
        <w:rPr>
          <w:sz w:val="18"/>
          <w:szCs w:val="18"/>
        </w:rPr>
        <w:t>ď čtu a slyším o zacházení s obrazy Masarykovými —■ i jako, Slovinec tomu těžko věřím. My tady jsme udiveni. Nechci ^mluvit o Benešovi, ale Masaryk znamená nám přece ještě něco jiného než samého prvního presidenta. V Masary</w:t>
      </w:r>
      <w:r>
        <w:rPr>
          <w:sz w:val="18"/>
          <w:szCs w:val="18"/>
        </w:rPr>
        <w:softHyphen/>
        <w:t>kovi můžeme bez pochyby ctíti ve</w:t>
      </w:r>
      <w:r>
        <w:rPr>
          <w:sz w:val="18"/>
          <w:szCs w:val="18"/>
        </w:rPr>
        <w:t>lkého člověka. Historická pravda jest také, že bez Masaryka by ani nebylo Českoslo</w:t>
      </w:r>
      <w:r>
        <w:rPr>
          <w:sz w:val="18"/>
          <w:szCs w:val="18"/>
        </w:rPr>
        <w:softHyphen/>
        <w:t>venska, ba dokonce snad ani Jugoslávie v dnešním rozsahu, tedy patří mu bez nejmenší pochyby opravdu název presidenta- Osvoboditele. To je jeden důvod, proč by mu měl zůstat</w:t>
      </w:r>
      <w:r>
        <w:rPr>
          <w:sz w:val="18"/>
          <w:szCs w:val="18"/>
        </w:rPr>
        <w:t>i alespoň kouteček ve školních třídách. Vždyť máme u nás vedle,obrazu krále Petra II. skoro všude ještě také nějaké čestné, skoro posvátné místo pro svého krále Alexandra, jsou přece ,lidé, kteří — člověk by alespoň myslil — se zasloužili o svoji vlast a s</w:t>
      </w:r>
      <w:r>
        <w:rPr>
          <w:sz w:val="18"/>
          <w:szCs w:val="18"/>
        </w:rPr>
        <w:t>vůj národ tak, že stojí mimo politiku! A dejme tomu, že^někdo nemůže v Masarykovi ctíti Osvoboditele (člověk žasne, že by mohl o tom nějaký Čech vůbec pochybovati), zůstane ještě Masaryk — člověk — vědec. Jako takový má bezpochyby světový význam, ne jen ná</w:t>
      </w:r>
      <w:r>
        <w:rPr>
          <w:sz w:val="18"/>
          <w:szCs w:val="18"/>
        </w:rPr>
        <w:t>rodní! Můžeme-li my, Nečeši, spíše ctíti Masaryka jen jako vědce a člověka, by tomu přece nemělo býti jenom tak u Vás, v Česko-Slovensku.</w:t>
      </w:r>
    </w:p>
    <w:p w:rsidR="00500724" w:rsidRDefault="00F30FB8">
      <w:pPr>
        <w:pStyle w:val="Zkladntext1"/>
        <w:shd w:val="clear" w:color="auto" w:fill="auto"/>
        <w:spacing w:line="173" w:lineRule="auto"/>
        <w:ind w:firstLine="300"/>
        <w:rPr>
          <w:sz w:val="18"/>
          <w:szCs w:val="18"/>
        </w:rPr>
      </w:pPr>
      <w:r>
        <w:rPr>
          <w:sz w:val="18"/>
          <w:szCs w:val="18"/>
        </w:rPr>
        <w:t>Dostal jsem darem Stursovu sochu Masaryka v noci ve vy</w:t>
      </w:r>
      <w:r>
        <w:rPr>
          <w:sz w:val="18"/>
          <w:szCs w:val="18"/>
        </w:rPr>
        <w:softHyphen/>
        <w:t>hlášení mobilisace. Postavil jsem ji na čestné místo v pokoji a</w:t>
      </w:r>
      <w:r>
        <w:rPr>
          <w:sz w:val="18"/>
          <w:szCs w:val="18"/>
        </w:rPr>
        <w:t xml:space="preserve"> moje děti před ni dávaly kytičky (a dají z jara ještě a zase, dá-li pánbůh): nestydím se za to. Nepostavím však Masaryka ani do koutečka, tím méně bych ho vystěhoval, a myslím, že by se mnou souhlasili všichni, kteří poznali Masarykovo dílo, i když by jin</w:t>
      </w:r>
      <w:r>
        <w:rPr>
          <w:sz w:val="18"/>
          <w:szCs w:val="18"/>
        </w:rPr>
        <w:t>ak neznali jeho světově politického významu. Mluví se o byzantinismu na pražském hradě. Byl-li nějaký, tak Masaryk toho jistě nebyl vinen. Byzantinismus dělají kněží, ať jsou v civilu nebo v ornátě, ne však ti, ke kterým se knězi modlí!</w:t>
      </w:r>
    </w:p>
    <w:p w:rsidR="00500724" w:rsidRDefault="00F30FB8">
      <w:pPr>
        <w:pStyle w:val="Zkladntext1"/>
        <w:shd w:val="clear" w:color="auto" w:fill="auto"/>
        <w:spacing w:after="40" w:line="173" w:lineRule="auto"/>
        <w:ind w:firstLine="300"/>
        <w:rPr>
          <w:sz w:val="18"/>
          <w:szCs w:val="18"/>
        </w:rPr>
      </w:pPr>
      <w:r>
        <w:rPr>
          <w:sz w:val="18"/>
          <w:szCs w:val="18"/>
        </w:rPr>
        <w:t>Máte tam jistě důvo</w:t>
      </w:r>
      <w:r>
        <w:rPr>
          <w:sz w:val="18"/>
          <w:szCs w:val="18"/>
        </w:rPr>
        <w:t>d pro ztrátu nervů, ale, pro Boha, ne</w:t>
      </w:r>
      <w:r>
        <w:rPr>
          <w:sz w:val="18"/>
          <w:szCs w:val="18"/>
        </w:rPr>
        <w:softHyphen/>
        <w:t>ztrácejte klidné mysli a rozvážnosti! A ta Vám přece může říci docela jasně, čím Vám má býti Masaryk, když to vime my. čím má býti a jest nám!</w:t>
      </w:r>
    </w:p>
    <w:p w:rsidR="00500724" w:rsidRDefault="00F30FB8">
      <w:pPr>
        <w:pStyle w:val="Zkladntext1"/>
        <w:shd w:val="clear" w:color="auto" w:fill="auto"/>
        <w:spacing w:after="40" w:line="168" w:lineRule="auto"/>
        <w:ind w:firstLine="300"/>
        <w:rPr>
          <w:sz w:val="18"/>
          <w:szCs w:val="18"/>
        </w:rPr>
      </w:pPr>
      <w:r>
        <w:rPr>
          <w:sz w:val="18"/>
          <w:szCs w:val="18"/>
        </w:rPr>
        <w:t xml:space="preserve">Tož myslím, že se všude ve světě najdou ctitelé jeho, kteří jemu a jeho </w:t>
      </w:r>
      <w:r>
        <w:rPr>
          <w:sz w:val="18"/>
          <w:szCs w:val="18"/>
        </w:rPr>
        <w:t>odkazu věrni zůstanou.</w:t>
      </w:r>
    </w:p>
    <w:p w:rsidR="00500724" w:rsidRDefault="00F30FB8">
      <w:pPr>
        <w:pStyle w:val="Zkladntext1"/>
        <w:shd w:val="clear" w:color="auto" w:fill="auto"/>
        <w:tabs>
          <w:tab w:val="left" w:pos="4894"/>
        </w:tabs>
        <w:spacing w:after="140" w:line="173" w:lineRule="auto"/>
        <w:ind w:firstLine="300"/>
        <w:rPr>
          <w:sz w:val="18"/>
          <w:szCs w:val="18"/>
        </w:rPr>
      </w:pPr>
      <w:r>
        <w:rPr>
          <w:sz w:val="18"/>
          <w:szCs w:val="18"/>
        </w:rPr>
        <w:t>Lublaň, koncem prosince 1938.</w:t>
      </w:r>
      <w:r>
        <w:rPr>
          <w:sz w:val="18"/>
          <w:szCs w:val="18"/>
        </w:rPr>
        <w:tab/>
        <w:t>B.</w:t>
      </w:r>
    </w:p>
    <w:p w:rsidR="00500724" w:rsidRDefault="00F30FB8">
      <w:pPr>
        <w:pStyle w:val="Jin0"/>
        <w:shd w:val="clear" w:color="auto" w:fill="auto"/>
        <w:spacing w:after="160"/>
        <w:ind w:firstLine="0"/>
        <w:jc w:val="left"/>
        <w:rPr>
          <w:sz w:val="44"/>
          <w:szCs w:val="44"/>
        </w:rPr>
      </w:pPr>
      <w:r>
        <w:rPr>
          <w:b/>
          <w:bCs/>
          <w:sz w:val="44"/>
          <w:szCs w:val="44"/>
          <w:u w:val="single"/>
        </w:rPr>
        <w:t>literatura a umění</w:t>
      </w:r>
    </w:p>
    <w:p w:rsidR="00500724" w:rsidRDefault="00F30FB8">
      <w:pPr>
        <w:pStyle w:val="Zkladntext1"/>
        <w:shd w:val="clear" w:color="auto" w:fill="auto"/>
        <w:spacing w:after="40" w:line="175" w:lineRule="auto"/>
        <w:ind w:firstLine="300"/>
        <w:rPr>
          <w:sz w:val="18"/>
          <w:szCs w:val="18"/>
        </w:rPr>
      </w:pPr>
      <w:r>
        <w:rPr>
          <w:sz w:val="18"/>
          <w:szCs w:val="18"/>
        </w:rPr>
        <w:t>Poděkování. V posledních měsících, zejména po smrti Karla Čapka, došlo mne tolik přátelsky laskavých projevů z řad čte</w:t>
      </w:r>
      <w:r>
        <w:rPr>
          <w:sz w:val="18"/>
          <w:szCs w:val="18"/>
        </w:rPr>
        <w:softHyphen/>
        <w:t>nářstva, že nemoha poděkovati každému zvlášť, vyslovuji zde sv</w:t>
      </w:r>
      <w:r>
        <w:rPr>
          <w:sz w:val="18"/>
          <w:szCs w:val="18"/>
        </w:rPr>
        <w:t>é srdečné díky všem najednou. Je to jedna z řídkých radostí veřejného života, shledá-li člověk při příležitosti, že za ním stojí šiky neznámých přátel. Nazapírám, že je v tom také posílení pro toho, jehož známí, přátelé a druzi jeden po dru</w:t>
      </w:r>
      <w:r>
        <w:rPr>
          <w:sz w:val="18"/>
          <w:szCs w:val="18"/>
        </w:rPr>
        <w:softHyphen/>
        <w:t xml:space="preserve">hém odcházejí. </w:t>
      </w:r>
      <w:r>
        <w:rPr>
          <w:sz w:val="18"/>
          <w:szCs w:val="18"/>
        </w:rPr>
        <w:t>Děkuji za jejich lidskou řeč zejména těm, kdo se podpisují prostě »Maminka«. Za jedno však, mili přátelé, chtěl bych Vám obzvláště poděkovati: že mne nenutíte, abych se ucházel o Vaši přízeň nějakou demagogií, nějakou hrou, že Vám stačí vykládám-li před Vá</w:t>
      </w:r>
      <w:r>
        <w:rPr>
          <w:sz w:val="18"/>
          <w:szCs w:val="18"/>
        </w:rPr>
        <w:t>mi těžké otázky dnešní doby klidně, střízlivě a podle zdravého rozumu, a že pravdu, třeba nepříjemnou, ceníte nad ilusi. Na ničem tak nezáleží nyní jako na tom, aby náš národ pravdu přesně poznal a podle ni se za</w:t>
      </w:r>
      <w:r>
        <w:rPr>
          <w:sz w:val="18"/>
          <w:szCs w:val="18"/>
        </w:rPr>
        <w:softHyphen/>
        <w:t>řídil, i když to někdy zraňuje ten nebo one</w:t>
      </w:r>
      <w:r>
        <w:rPr>
          <w:sz w:val="18"/>
          <w:szCs w:val="18"/>
        </w:rPr>
        <w:t>n náš vychovaný cit. Věřte, že chyby teď by byly nebezpečné, a že nesmějíce se opájet slovy, jsme povinni kráčeti cestou střízlivé rozvahy. Vésti čtenáře tímto málo líbivým směrem může býti pro redaktora také experimentem. Děkuji Vám za to, že se- tento po</w:t>
      </w:r>
      <w:r>
        <w:rPr>
          <w:sz w:val="18"/>
          <w:szCs w:val="18"/>
        </w:rPr>
        <w:t>kus mého života podařil, a že Vy svolujete žiti při dietě pravdy, fp</w:t>
      </w:r>
    </w:p>
    <w:p w:rsidR="00500724" w:rsidRDefault="00F30FB8">
      <w:pPr>
        <w:pStyle w:val="Zkladntext1"/>
        <w:shd w:val="clear" w:color="auto" w:fill="auto"/>
        <w:spacing w:after="40" w:line="173" w:lineRule="auto"/>
        <w:ind w:firstLine="300"/>
        <w:rPr>
          <w:sz w:val="18"/>
          <w:szCs w:val="18"/>
        </w:rPr>
      </w:pPr>
      <w:r>
        <w:rPr>
          <w:sz w:val="18"/>
          <w:szCs w:val="18"/>
        </w:rPr>
        <w:t>Mluvčí našich menšin. Je pravda, že naše menšiny v zabra</w:t>
      </w:r>
      <w:r>
        <w:rPr>
          <w:sz w:val="18"/>
          <w:szCs w:val="18"/>
        </w:rPr>
        <w:softHyphen/>
        <w:t xml:space="preserve">ných krajích nemají dosud odpovědného představitele, který by je v jejich novém státě zastupoval. Jinak je tomu u Němců a Maďarů, </w:t>
      </w:r>
      <w:r>
        <w:rPr>
          <w:sz w:val="18"/>
          <w:szCs w:val="18"/>
        </w:rPr>
        <w:t>kteří zůstali u nás. Za Němce mluví a vyjednává v českých zemích bývalý henleinovský poslanec K u n d t, Němce na Slovensku zastupuje taktéž bývalý henleinovský poslanec inž. Karmasin, který byl teď žvolen do slovenského sněmu a jedná dokonce ve funkci stá</w:t>
      </w:r>
      <w:r>
        <w:rPr>
          <w:sz w:val="18"/>
          <w:szCs w:val="18"/>
        </w:rPr>
        <w:t>tního tajemníka. Mluv</w:t>
      </w:r>
      <w:r>
        <w:rPr>
          <w:sz w:val="18"/>
          <w:szCs w:val="18"/>
        </w:rPr>
        <w:softHyphen/>
        <w:t>čím Maďarů je poslanec Eszterházy, vůdce dřívější sjednocené maďarské strany. Naše menšiny v zabraných krajích jsou tedy zřejmě v nevýhodě. Uvažte ovšem, že se o úpravě menšino</w:t>
      </w:r>
      <w:r>
        <w:rPr>
          <w:sz w:val="18"/>
          <w:szCs w:val="18"/>
        </w:rPr>
        <w:softHyphen/>
        <w:t xml:space="preserve">vých otázek ještě vyjednává. Je pravděpodobné, že i tato </w:t>
      </w:r>
      <w:r>
        <w:rPr>
          <w:sz w:val="18"/>
          <w:szCs w:val="18"/>
        </w:rPr>
        <w:t>okol</w:t>
      </w:r>
      <w:r>
        <w:rPr>
          <w:sz w:val="18"/>
          <w:szCs w:val="18"/>
        </w:rPr>
        <w:softHyphen/>
        <w:t>nost bude vzata v úvahu. Slovenská vláda usiluje už o povo</w:t>
      </w:r>
      <w:r>
        <w:rPr>
          <w:sz w:val="18"/>
          <w:szCs w:val="18"/>
        </w:rPr>
        <w:softHyphen/>
        <w:t>lení slovenské politické strany v Maďarsku, žádá také, aby Slováci mohli míti v zabraných krajích svůj tisk, ale rozhod</w:t>
      </w:r>
      <w:r>
        <w:rPr>
          <w:sz w:val="18"/>
          <w:szCs w:val="18"/>
        </w:rPr>
        <w:softHyphen/>
        <w:t>nutí zatím nepadlo. Ústřední vláda vyjednává o celkové úpra</w:t>
      </w:r>
      <w:r>
        <w:rPr>
          <w:sz w:val="18"/>
          <w:szCs w:val="18"/>
        </w:rPr>
        <w:softHyphen/>
        <w:t>vě občanskéh</w:t>
      </w:r>
      <w:r>
        <w:rPr>
          <w:sz w:val="18"/>
          <w:szCs w:val="18"/>
        </w:rPr>
        <w:t>o, nacionálního a politického postavení menšin na obou stranách hranic. Je to otázka velmi složitá, která není dosud rozřešena. Děkujeme, že jste nás na tyto okolnosti upo</w:t>
      </w:r>
      <w:r>
        <w:rPr>
          <w:sz w:val="18"/>
          <w:szCs w:val="18"/>
        </w:rPr>
        <w:softHyphen/>
        <w:t>zornil.</w:t>
      </w:r>
    </w:p>
    <w:p w:rsidR="00500724" w:rsidRDefault="00F30FB8">
      <w:pPr>
        <w:pStyle w:val="Zkladntext1"/>
        <w:shd w:val="clear" w:color="auto" w:fill="auto"/>
        <w:spacing w:line="173" w:lineRule="auto"/>
        <w:ind w:firstLine="300"/>
        <w:rPr>
          <w:sz w:val="18"/>
          <w:szCs w:val="18"/>
        </w:rPr>
        <w:sectPr w:rsidR="00500724">
          <w:footnotePr>
            <w:numFmt w:val="chicago"/>
            <w:numRestart w:val="eachPage"/>
          </w:footnotePr>
          <w:type w:val="continuous"/>
          <w:pgSz w:w="11909" w:h="16834"/>
          <w:pgMar w:top="1730" w:right="931" w:bottom="830" w:left="480" w:header="0" w:footer="3" w:gutter="0"/>
          <w:cols w:num="2" w:space="122"/>
          <w:noEndnote/>
          <w:docGrid w:linePitch="360"/>
        </w:sectPr>
      </w:pPr>
      <w:r>
        <w:rPr>
          <w:sz w:val="18"/>
          <w:szCs w:val="18"/>
        </w:rPr>
        <w:t>Dr. Beneš byl v Německu. Napsali jsme zde nedá</w:t>
      </w:r>
      <w:r>
        <w:rPr>
          <w:sz w:val="18"/>
          <w:szCs w:val="18"/>
        </w:rPr>
        <w:t>vno, že bylo jistě abnormálním zjevem, jestliže za celých dvacet let náš mi</w:t>
      </w:r>
      <w:r>
        <w:rPr>
          <w:sz w:val="18"/>
          <w:szCs w:val="18"/>
        </w:rPr>
        <w:softHyphen/>
        <w:t>nistr zahraničních věcí ani jednou nebyl v Německu. K tomu dostáváme z diplomatických kruhů upozornění, že dr. Beneš ztrávil neoficiálně v Německu pět dní v květnu 1928, na zpá</w:t>
      </w:r>
      <w:r>
        <w:rPr>
          <w:sz w:val="18"/>
          <w:szCs w:val="18"/>
        </w:rPr>
        <w:softHyphen/>
        <w:t>teč</w:t>
      </w:r>
      <w:r>
        <w:rPr>
          <w:sz w:val="18"/>
          <w:szCs w:val="18"/>
        </w:rPr>
        <w:t>ní cestě z Anglie a Belgie. Navštívil výstavu tisku v Ko</w:t>
      </w:r>
      <w:r>
        <w:rPr>
          <w:sz w:val="18"/>
          <w:szCs w:val="18"/>
        </w:rPr>
        <w:softHyphen/>
        <w:t>líně n. R., kde na jeho počest byl uspořádán oběd na radnici. Pak prodlel dr. Beneš pět dní v Berlíně, neoficiálně sice, ale jako host německé vlády; k disposici mu byl dán salonní vůz tehdejšího min</w:t>
      </w:r>
      <w:r>
        <w:rPr>
          <w:sz w:val="18"/>
          <w:szCs w:val="18"/>
        </w:rPr>
        <w:t>istra zahraničních věcí Stresemanna. Poněvadž Stresemann byl tehdy již smrtelně churav, jednal dr. Beneš se státním podsekretářem dr. Schubertem. Zájezd do Německa nebyl původně v programu cesty: došlo k němu po telefonic</w:t>
      </w:r>
      <w:r>
        <w:rPr>
          <w:sz w:val="18"/>
          <w:szCs w:val="18"/>
        </w:rPr>
        <w:softHyphen/>
        <w:t xml:space="preserve">kých rozhovorech dr. Beneše s dr. </w:t>
      </w:r>
      <w:r>
        <w:rPr>
          <w:sz w:val="18"/>
          <w:szCs w:val="18"/>
        </w:rPr>
        <w:t>Chvalkovským, jenž byl tehdy vyslancem v Berlíně.</w:t>
      </w:r>
    </w:p>
    <w:p w:rsidR="00500724" w:rsidRDefault="00500724">
      <w:pPr>
        <w:spacing w:line="54" w:lineRule="exact"/>
        <w:rPr>
          <w:sz w:val="4"/>
          <w:szCs w:val="4"/>
        </w:rPr>
      </w:pPr>
    </w:p>
    <w:p w:rsidR="00500724" w:rsidRDefault="00500724">
      <w:pPr>
        <w:spacing w:line="14" w:lineRule="exact"/>
        <w:sectPr w:rsidR="00500724">
          <w:footnotePr>
            <w:numFmt w:val="chicago"/>
            <w:numRestart w:val="eachPage"/>
          </w:footnotePr>
          <w:type w:val="continuous"/>
          <w:pgSz w:w="11909" w:h="16834"/>
          <w:pgMar w:top="1724" w:right="0" w:bottom="1254" w:left="0" w:header="0" w:footer="3" w:gutter="0"/>
          <w:cols w:space="720"/>
          <w:noEndnote/>
          <w:docGrid w:linePitch="360"/>
        </w:sectPr>
      </w:pPr>
    </w:p>
    <w:p w:rsidR="00500724" w:rsidRDefault="00F30FB8">
      <w:pPr>
        <w:pStyle w:val="Nadpis120"/>
        <w:pBdr>
          <w:top w:val="single" w:sz="4" w:space="0" w:color="auto"/>
          <w:left w:val="single" w:sz="4" w:space="0" w:color="auto"/>
          <w:bottom w:val="single" w:sz="4" w:space="0" w:color="auto"/>
          <w:right w:val="single" w:sz="4" w:space="0" w:color="auto"/>
        </w:pBdr>
        <w:shd w:val="clear" w:color="auto" w:fill="auto"/>
        <w:ind w:left="460" w:firstLine="20"/>
        <w:jc w:val="both"/>
      </w:pPr>
      <w:bookmarkStart w:id="54" w:name="bookmark53"/>
      <w:r>
        <w:t>Dobrý přítel z říše štěstí:</w:t>
      </w:r>
      <w:bookmarkEnd w:id="54"/>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206" w:lineRule="auto"/>
        <w:ind w:left="460" w:firstLine="20"/>
        <w:jc w:val="left"/>
        <w:rPr>
          <w:sz w:val="48"/>
          <w:szCs w:val="48"/>
        </w:rPr>
      </w:pPr>
      <w:r>
        <w:rPr>
          <w:rFonts w:ascii="Arial" w:eastAsia="Arial" w:hAnsi="Arial" w:cs="Arial"/>
          <w:b/>
          <w:bCs/>
          <w:sz w:val="38"/>
          <w:szCs w:val="38"/>
        </w:rPr>
        <w:t xml:space="preserve">LOS CESKO-SLOVENSKÉ </w:t>
      </w:r>
      <w:r>
        <w:rPr>
          <w:rFonts w:ascii="Arial" w:eastAsia="Arial" w:hAnsi="Arial" w:cs="Arial"/>
          <w:b/>
          <w:bCs/>
          <w:smallCaps/>
          <w:sz w:val="48"/>
          <w:szCs w:val="48"/>
        </w:rPr>
        <w:t>třídní loterie</w:t>
      </w:r>
    </w:p>
    <w:p w:rsidR="00500724" w:rsidRDefault="00F30FB8">
      <w:pPr>
        <w:pStyle w:val="Nadpis120"/>
        <w:pBdr>
          <w:top w:val="single" w:sz="4" w:space="0" w:color="auto"/>
          <w:left w:val="single" w:sz="4" w:space="0" w:color="auto"/>
          <w:bottom w:val="single" w:sz="4" w:space="0" w:color="auto"/>
          <w:right w:val="single" w:sz="4" w:space="0" w:color="auto"/>
        </w:pBdr>
        <w:shd w:val="clear" w:color="auto" w:fill="auto"/>
        <w:tabs>
          <w:tab w:val="left" w:pos="7488"/>
        </w:tabs>
        <w:ind w:left="460" w:firstLine="20"/>
        <w:jc w:val="both"/>
        <w:sectPr w:rsidR="00500724">
          <w:footnotePr>
            <w:numFmt w:val="chicago"/>
            <w:numRestart w:val="eachPage"/>
          </w:footnotePr>
          <w:type w:val="continuous"/>
          <w:pgSz w:w="11909" w:h="16834"/>
          <w:pgMar w:top="1724" w:right="982" w:bottom="1254" w:left="430" w:header="0" w:footer="3" w:gutter="0"/>
          <w:cols w:space="720"/>
          <w:noEndnote/>
          <w:docGrid w:linePitch="360"/>
        </w:sectPr>
      </w:pPr>
      <w:bookmarkStart w:id="55" w:name="bookmark54"/>
      <w:r>
        <w:t>Přináší velké možnosti výhry a bohatství.</w:t>
      </w:r>
      <w:r>
        <w:tab/>
        <w:t>50% losů musí vyhřátí.</w:t>
      </w:r>
      <w:bookmarkEnd w:id="55"/>
    </w:p>
    <w:p w:rsidR="00500724" w:rsidRDefault="00F30FB8">
      <w:pPr>
        <w:pStyle w:val="Zkladntext1"/>
        <w:framePr w:w="2678" w:h="12048" w:vSpace="160" w:wrap="around" w:vAnchor="text" w:hAnchor="page" w:x="5591" w:y="3054"/>
        <w:shd w:val="clear" w:color="auto" w:fill="auto"/>
        <w:spacing w:line="180" w:lineRule="auto"/>
        <w:ind w:firstLine="0"/>
        <w:rPr>
          <w:sz w:val="20"/>
          <w:szCs w:val="20"/>
        </w:rPr>
      </w:pPr>
      <w:r>
        <w:rPr>
          <w:i/>
          <w:iCs/>
          <w:sz w:val="20"/>
          <w:szCs w:val="20"/>
        </w:rPr>
        <w:t>denta Masaryka Karel</w:t>
      </w:r>
      <w:r>
        <w:rPr>
          <w:i/>
          <w:iCs/>
          <w:sz w:val="20"/>
          <w:szCs w:val="20"/>
        </w:rPr>
        <w:t xml:space="preserve"> Čapek sám. Převládající dojem, jimž působil před lety, byla hra</w:t>
      </w:r>
      <w:r>
        <w:rPr>
          <w:i/>
          <w:iCs/>
          <w:sz w:val="20"/>
          <w:szCs w:val="20"/>
        </w:rPr>
        <w:softHyphen/>
        <w:t>vost, zvědavost, úžasná svě-</w:t>
      </w:r>
      <w:r>
        <w:rPr>
          <w:sz w:val="24"/>
          <w:szCs w:val="24"/>
        </w:rPr>
        <w:t xml:space="preserve">1 </w:t>
      </w:r>
      <w:r>
        <w:rPr>
          <w:i/>
          <w:iCs/>
          <w:sz w:val="20"/>
          <w:szCs w:val="20"/>
        </w:rPr>
        <w:t>žest smyslů, jež se nikdy ne</w:t>
      </w:r>
      <w:r>
        <w:rPr>
          <w:i/>
          <w:iCs/>
          <w:sz w:val="20"/>
          <w:szCs w:val="20"/>
        </w:rPr>
        <w:softHyphen/>
        <w:t>nasytila díváním a divením,</w:t>
      </w:r>
      <w:r>
        <w:rPr>
          <w:sz w:val="24"/>
          <w:szCs w:val="24"/>
        </w:rPr>
        <w:t xml:space="preserve"> i </w:t>
      </w:r>
      <w:r>
        <w:rPr>
          <w:i/>
          <w:iCs/>
          <w:sz w:val="20"/>
          <w:szCs w:val="20"/>
        </w:rPr>
        <w:t>jak nesmírný, bohatý, rozma-</w:t>
      </w:r>
      <w:r>
        <w:rPr>
          <w:sz w:val="24"/>
          <w:szCs w:val="24"/>
        </w:rPr>
        <w:t xml:space="preserve"> j </w:t>
      </w:r>
      <w:r>
        <w:rPr>
          <w:i/>
          <w:iCs/>
          <w:sz w:val="20"/>
          <w:szCs w:val="20"/>
        </w:rPr>
        <w:t>nitý, nevyčerpatelný, podivu</w:t>
      </w:r>
      <w:r>
        <w:rPr>
          <w:i/>
          <w:iCs/>
          <w:sz w:val="20"/>
          <w:szCs w:val="20"/>
        </w:rPr>
        <w:softHyphen/>
        <w:t>hodný, nevyslovitelný je ži</w:t>
      </w:r>
      <w:r>
        <w:rPr>
          <w:i/>
          <w:iCs/>
          <w:sz w:val="20"/>
          <w:szCs w:val="20"/>
        </w:rPr>
        <w:softHyphen/>
        <w:t xml:space="preserve">vot. V tom se </w:t>
      </w:r>
      <w:r>
        <w:rPr>
          <w:i/>
          <w:iCs/>
          <w:sz w:val="20"/>
          <w:szCs w:val="20"/>
        </w:rPr>
        <w:t>s bratrem Jo</w:t>
      </w:r>
      <w:r>
        <w:rPr>
          <w:i/>
          <w:iCs/>
          <w:sz w:val="20"/>
          <w:szCs w:val="20"/>
        </w:rPr>
        <w:softHyphen/>
        <w:t>sefem, vzácným, mírným,</w:t>
      </w:r>
      <w:r>
        <w:rPr>
          <w:i/>
          <w:iCs/>
          <w:sz w:val="20"/>
          <w:szCs w:val="20"/>
          <w:vertAlign w:val="superscript"/>
        </w:rPr>
        <w:t xml:space="preserve">1 </w:t>
      </w:r>
      <w:r>
        <w:rPr>
          <w:i/>
          <w:iCs/>
          <w:sz w:val="20"/>
          <w:szCs w:val="20"/>
        </w:rPr>
        <w:t>skromným člověkem, navzá</w:t>
      </w:r>
      <w:r>
        <w:rPr>
          <w:i/>
          <w:iCs/>
          <w:sz w:val="20"/>
          <w:szCs w:val="20"/>
        </w:rPr>
        <w:softHyphen/>
        <w:t>jem doplňovali, upozorňo</w:t>
      </w:r>
      <w:r>
        <w:rPr>
          <w:i/>
          <w:iCs/>
          <w:sz w:val="20"/>
          <w:szCs w:val="20"/>
        </w:rPr>
        <w:softHyphen/>
        <w:t>vali, ba přímo násobili. Dojmy z pozorování pří</w:t>
      </w:r>
      <w:r>
        <w:rPr>
          <w:i/>
          <w:iCs/>
          <w:sz w:val="20"/>
          <w:szCs w:val="20"/>
        </w:rPr>
        <w:softHyphen/>
        <w:t>mo vsakovaly do Karla Čapka; lezly do něho všemi. póry. Jako u dítěte bylo u</w:t>
      </w:r>
      <w:r>
        <w:rPr>
          <w:sz w:val="24"/>
          <w:szCs w:val="24"/>
        </w:rPr>
        <w:t xml:space="preserve"> j </w:t>
      </w:r>
      <w:r>
        <w:rPr>
          <w:i/>
          <w:iCs/>
          <w:sz w:val="20"/>
          <w:szCs w:val="20"/>
        </w:rPr>
        <w:t>něho zdánlivé hračkářství nejvážnější a n</w:t>
      </w:r>
      <w:r>
        <w:rPr>
          <w:i/>
          <w:iCs/>
          <w:sz w:val="20"/>
          <w:szCs w:val="20"/>
        </w:rPr>
        <w:t>ejplodnější prací, plnou radostných i bo-, lestných objevů. Dovedl se</w:t>
      </w:r>
      <w:r>
        <w:rPr>
          <w:sz w:val="24"/>
          <w:szCs w:val="24"/>
        </w:rPr>
        <w:t xml:space="preserve"> I </w:t>
      </w:r>
      <w:r>
        <w:rPr>
          <w:i/>
          <w:iCs/>
          <w:sz w:val="20"/>
          <w:szCs w:val="20"/>
        </w:rPr>
        <w:t>hodinu dívat, co bude dělat, na zahrádce tenhle malý brouček a jak si pomůže mra</w:t>
      </w:r>
      <w:r>
        <w:rPr>
          <w:i/>
          <w:iCs/>
          <w:sz w:val="20"/>
          <w:szCs w:val="20"/>
        </w:rPr>
        <w:softHyphen/>
        <w:t>venec se svým břemenem, zkoumat starý kobereček, na kterém žila jistě rodina Be</w:t>
      </w:r>
      <w:r>
        <w:rPr>
          <w:i/>
          <w:iCs/>
          <w:sz w:val="20"/>
          <w:szCs w:val="20"/>
        </w:rPr>
        <w:softHyphen/>
        <w:t>duínů, čekat, až se roz</w:t>
      </w:r>
      <w:r>
        <w:rPr>
          <w:i/>
          <w:iCs/>
          <w:sz w:val="20"/>
          <w:szCs w:val="20"/>
        </w:rPr>
        <w:t>pukne kaktusový květ. poslouchat s gramofonové desky, jak zpívají, ba kňučí lidoví uměl</w:t>
      </w:r>
      <w:r>
        <w:rPr>
          <w:i/>
          <w:iCs/>
          <w:sz w:val="20"/>
          <w:szCs w:val="20"/>
        </w:rPr>
        <w:softHyphen/>
        <w:t xml:space="preserve">ci v Japonsku nebo na Havai, dívat se na váš obličej a pak jej karikovati jedním tahem (byl výborný kreslíř) nebo jedinou větou. Pozorování se u něho měnila v lásku ke </w:t>
      </w:r>
      <w:r>
        <w:rPr>
          <w:i/>
          <w:iCs/>
          <w:sz w:val="20"/>
          <w:szCs w:val="20"/>
        </w:rPr>
        <w:t>kvě</w:t>
      </w:r>
      <w:r>
        <w:rPr>
          <w:i/>
          <w:iCs/>
          <w:sz w:val="20"/>
          <w:szCs w:val="20"/>
        </w:rPr>
        <w:softHyphen/>
        <w:t>tinám a ke zvířatům, a tak</w:t>
      </w:r>
      <w:r>
        <w:rPr>
          <w:sz w:val="24"/>
          <w:szCs w:val="24"/>
        </w:rPr>
        <w:t xml:space="preserve"> j </w:t>
      </w:r>
      <w:r>
        <w:rPr>
          <w:i/>
          <w:iCs/>
          <w:sz w:val="20"/>
          <w:szCs w:val="20"/>
        </w:rPr>
        <w:t>vznikly ty povídky o štěňa</w:t>
      </w:r>
      <w:r>
        <w:rPr>
          <w:i/>
          <w:iCs/>
          <w:sz w:val="20"/>
          <w:szCs w:val="20"/>
        </w:rPr>
        <w:softHyphen/>
        <w:t>tech a o kočičkách. Zahradní-</w:t>
      </w:r>
      <w:r>
        <w:rPr>
          <w:sz w:val="24"/>
          <w:szCs w:val="24"/>
        </w:rPr>
        <w:t xml:space="preserve">1 </w:t>
      </w:r>
      <w:r>
        <w:rPr>
          <w:i/>
          <w:iCs/>
          <w:sz w:val="20"/>
          <w:szCs w:val="20"/>
        </w:rPr>
        <w:t>kův rok a všechny knížky, ze kterých čerpají rozkoš po ce</w:t>
      </w:r>
      <w:r>
        <w:rPr>
          <w:i/>
          <w:iCs/>
          <w:sz w:val="20"/>
          <w:szCs w:val="20"/>
        </w:rPr>
        <w:softHyphen/>
        <w:t>lém světě malé i velké děti. Kolik důvtipu věnoval jen stromkům a květinám na své zahrádce, břízám, jež jsm</w:t>
      </w:r>
      <w:r>
        <w:rPr>
          <w:i/>
          <w:iCs/>
          <w:sz w:val="20"/>
          <w:szCs w:val="20"/>
        </w:rPr>
        <w:t>e si tam zasadili a z nichž jedna je Masarykova, nebo ptákům, kteří se tam koupali v nádrž</w:t>
      </w:r>
      <w:r>
        <w:rPr>
          <w:i/>
          <w:iCs/>
          <w:sz w:val="20"/>
          <w:szCs w:val="20"/>
        </w:rPr>
        <w:softHyphen/>
        <w:t>ce na zahradě! Utopila se tam pěnkava a Čapek si lá</w:t>
      </w:r>
      <w:r>
        <w:rPr>
          <w:i/>
          <w:iCs/>
          <w:sz w:val="20"/>
          <w:szCs w:val="20"/>
        </w:rPr>
        <w:softHyphen/>
        <w:t>mal hlavu, až přišel na za</w:t>
      </w:r>
      <w:r>
        <w:rPr>
          <w:i/>
          <w:iCs/>
          <w:sz w:val="20"/>
          <w:szCs w:val="20"/>
        </w:rPr>
        <w:softHyphen/>
        <w:t>řízení, jak umožnit ptákům koupání bez risika.</w:t>
      </w:r>
    </w:p>
    <w:p w:rsidR="00500724" w:rsidRDefault="00F30FB8">
      <w:pPr>
        <w:pStyle w:val="Zkladntext1"/>
        <w:framePr w:w="2678" w:h="12048" w:vSpace="160" w:wrap="around" w:vAnchor="text" w:hAnchor="page" w:x="5591" w:y="3054"/>
        <w:shd w:val="clear" w:color="auto" w:fill="auto"/>
        <w:spacing w:line="182" w:lineRule="auto"/>
        <w:ind w:firstLine="200"/>
        <w:rPr>
          <w:sz w:val="20"/>
          <w:szCs w:val="20"/>
        </w:rPr>
      </w:pPr>
      <w:r>
        <w:rPr>
          <w:i/>
          <w:iCs/>
          <w:sz w:val="20"/>
          <w:szCs w:val="20"/>
        </w:rPr>
        <w:t xml:space="preserve">Zato čápkův pohled do ži-! vota byl </w:t>
      </w:r>
      <w:r>
        <w:rPr>
          <w:i/>
          <w:iCs/>
          <w:sz w:val="20"/>
          <w:szCs w:val="20"/>
        </w:rPr>
        <w:t>tehdy dosti pochmur</w:t>
      </w:r>
      <w:r>
        <w:rPr>
          <w:i/>
          <w:iCs/>
          <w:sz w:val="20"/>
          <w:szCs w:val="20"/>
        </w:rPr>
        <w:softHyphen/>
        <w:t>ný, se sklonem zdůrazňovati cyničnost života. Jen ten, kdo se probolel světovou válkou, dovede všecko znovu procítit. »Boží muka« a -»Trapné po</w:t>
      </w:r>
      <w:r>
        <w:rPr>
          <w:i/>
          <w:iCs/>
          <w:sz w:val="20"/>
          <w:szCs w:val="20"/>
        </w:rPr>
        <w:softHyphen/>
        <w:t>vídky*. nejsou radostnou čet</w:t>
      </w:r>
      <w:r>
        <w:rPr>
          <w:i/>
          <w:iCs/>
          <w:sz w:val="20"/>
          <w:szCs w:val="20"/>
        </w:rPr>
        <w:softHyphen/>
        <w:t>bou. a jistě vyvracejí všech</w:t>
      </w:r>
      <w:r>
        <w:rPr>
          <w:i/>
          <w:iCs/>
          <w:sz w:val="20"/>
          <w:szCs w:val="20"/>
        </w:rPr>
        <w:softHyphen/>
        <w:t>no, co se někde soudí o šťast</w:t>
      </w:r>
      <w:r>
        <w:rPr>
          <w:i/>
          <w:iCs/>
          <w:sz w:val="20"/>
          <w:szCs w:val="20"/>
        </w:rPr>
        <w:softHyphen/>
        <w:t>ném,</w:t>
      </w:r>
      <w:r>
        <w:rPr>
          <w:i/>
          <w:iCs/>
          <w:sz w:val="20"/>
          <w:szCs w:val="20"/>
        </w:rPr>
        <w:t xml:space="preserve"> div ne povrchním čap kovi jako poživači pohodlné</w:t>
      </w:r>
      <w:r>
        <w:rPr>
          <w:i/>
          <w:iCs/>
          <w:sz w:val="20"/>
          <w:szCs w:val="20"/>
        </w:rPr>
        <w:softHyphen/>
        <w:t>ho života. Často jsem viděl, že tento citlivý duch časem</w:t>
      </w:r>
    </w:p>
    <w:p w:rsidR="00500724" w:rsidRDefault="00F30FB8">
      <w:pPr>
        <w:spacing w:line="14" w:lineRule="exact"/>
      </w:pPr>
      <w:r>
        <w:rPr>
          <w:noProof/>
        </w:rPr>
        <mc:AlternateContent>
          <mc:Choice Requires="wps">
            <w:drawing>
              <wp:anchor distT="0" distB="0" distL="0" distR="0" simplePos="0" relativeHeight="125829406" behindDoc="0" locked="0" layoutInCell="1" allowOverlap="1">
                <wp:simplePos x="0" y="0"/>
                <wp:positionH relativeFrom="page">
                  <wp:posOffset>175260</wp:posOffset>
                </wp:positionH>
                <wp:positionV relativeFrom="paragraph">
                  <wp:posOffset>1938655</wp:posOffset>
                </wp:positionV>
                <wp:extent cx="1661160" cy="7672070"/>
                <wp:effectExtent l="0" t="0" r="0" b="0"/>
                <wp:wrapSquare wrapText="bothSides"/>
                <wp:docPr id="29" name="Shape 29"/>
                <wp:cNvGraphicFramePr/>
                <a:graphic xmlns:a="http://schemas.openxmlformats.org/drawingml/2006/main">
                  <a:graphicData uri="http://schemas.microsoft.com/office/word/2010/wordprocessingShape">
                    <wps:wsp>
                      <wps:cNvSpPr txBox="1"/>
                      <wps:spPr>
                        <a:xfrm>
                          <a:off x="0" y="0"/>
                          <a:ext cx="1661160" cy="7672070"/>
                        </a:xfrm>
                        <a:prstGeom prst="rect">
                          <a:avLst/>
                        </a:prstGeom>
                        <a:noFill/>
                      </wps:spPr>
                      <wps:txbx>
                        <w:txbxContent>
                          <w:p w:rsidR="00500724" w:rsidRDefault="00F30FB8">
                            <w:pPr>
                              <w:pStyle w:val="Zkladntext1"/>
                              <w:shd w:val="clear" w:color="auto" w:fill="auto"/>
                              <w:spacing w:line="182" w:lineRule="auto"/>
                              <w:ind w:firstLine="0"/>
                              <w:jc w:val="center"/>
                              <w:rPr>
                                <w:sz w:val="20"/>
                                <w:szCs w:val="20"/>
                              </w:rPr>
                            </w:pPr>
                            <w:r>
                              <w:rPr>
                                <w:i/>
                                <w:iCs/>
                                <w:sz w:val="20"/>
                                <w:szCs w:val="20"/>
                              </w:rPr>
                              <w:t>I.</w:t>
                            </w:r>
                          </w:p>
                          <w:p w:rsidR="00500724" w:rsidRDefault="00F30FB8">
                            <w:pPr>
                              <w:pStyle w:val="Zkladntext1"/>
                              <w:shd w:val="clear" w:color="auto" w:fill="auto"/>
                              <w:spacing w:line="182" w:lineRule="auto"/>
                              <w:ind w:firstLine="260"/>
                              <w:jc w:val="left"/>
                              <w:rPr>
                                <w:sz w:val="20"/>
                                <w:szCs w:val="20"/>
                              </w:rPr>
                            </w:pPr>
                            <w:r>
                              <w:rPr>
                                <w:i/>
                                <w:iCs/>
                                <w:sz w:val="20"/>
                                <w:szCs w:val="20"/>
                              </w:rPr>
                              <w:t>Čím více přemýšlím, čím bych přispěl do tohoto časo</w:t>
                            </w:r>
                            <w:r>
                              <w:rPr>
                                <w:i/>
                                <w:iCs/>
                                <w:sz w:val="20"/>
                                <w:szCs w:val="20"/>
                              </w:rPr>
                              <w:softHyphen/>
                              <w:t>pisu, tím jasnějším se mi stává, že nepociťuji aktuál</w:t>
                            </w:r>
                            <w:r>
                              <w:rPr>
                                <w:i/>
                                <w:iCs/>
                                <w:sz w:val="20"/>
                                <w:szCs w:val="20"/>
                              </w:rPr>
                              <w:softHyphen/>
                              <w:t>něji nežli pár vzpomínek na Karla Čap</w:t>
                            </w:r>
                            <w:r>
                              <w:rPr>
                                <w:i/>
                                <w:iCs/>
                                <w:sz w:val="20"/>
                                <w:szCs w:val="20"/>
                              </w:rPr>
                              <w:t>ka.</w:t>
                            </w:r>
                          </w:p>
                          <w:p w:rsidR="00500724" w:rsidRDefault="00F30FB8">
                            <w:pPr>
                              <w:pStyle w:val="Zkladntext1"/>
                              <w:shd w:val="clear" w:color="auto" w:fill="auto"/>
                              <w:spacing w:line="180" w:lineRule="auto"/>
                              <w:ind w:firstLine="260"/>
                              <w:rPr>
                                <w:sz w:val="20"/>
                                <w:szCs w:val="20"/>
                              </w:rPr>
                            </w:pPr>
                            <w:r>
                              <w:rPr>
                                <w:i/>
                                <w:iCs/>
                                <w:sz w:val="20"/>
                                <w:szCs w:val="20"/>
                              </w:rPr>
                              <w:t>Když mne před skoro čtrnácti lety spisovatel Fran</w:t>
                            </w:r>
                            <w:r>
                              <w:rPr>
                                <w:i/>
                                <w:iCs/>
                                <w:sz w:val="20"/>
                                <w:szCs w:val="20"/>
                              </w:rPr>
                              <w:softHyphen/>
                              <w:t>tišek Kubka zatáhl do kru</w:t>
                            </w:r>
                            <w:r>
                              <w:rPr>
                                <w:i/>
                                <w:iCs/>
                                <w:sz w:val="20"/>
                                <w:szCs w:val="20"/>
                              </w:rPr>
                              <w:softHyphen/>
                              <w:t>hu Čapkových pátečníků, byla to společnost vtipná, ale jaksi bez společného jme</w:t>
                            </w:r>
                            <w:r>
                              <w:rPr>
                                <w:i/>
                                <w:iCs/>
                                <w:sz w:val="20"/>
                                <w:szCs w:val="20"/>
                              </w:rPr>
                              <w:softHyphen/>
                              <w:t>novatele. Sedávali jsme nad šálkem černé kávy, později jsme střídavě přinášeli též něco k snědku</w:t>
                            </w:r>
                            <w:r>
                              <w:rPr>
                                <w:i/>
                                <w:iCs/>
                                <w:sz w:val="20"/>
                                <w:szCs w:val="20"/>
                              </w:rPr>
                              <w:t>. Spisovatelé, žurnalisté, sem tam nějaký profesor. Hovory byly bez programu; vtipné piliny pa</w:t>
                            </w:r>
                            <w:r>
                              <w:rPr>
                                <w:i/>
                                <w:iCs/>
                                <w:sz w:val="20"/>
                                <w:szCs w:val="20"/>
                              </w:rPr>
                              <w:softHyphen/>
                              <w:t>daly na zem a nikdo si jich dále nevšímal, neboť o es</w:t>
                            </w:r>
                            <w:r>
                              <w:rPr>
                                <w:i/>
                                <w:iCs/>
                                <w:sz w:val="20"/>
                                <w:szCs w:val="20"/>
                              </w:rPr>
                              <w:softHyphen/>
                              <w:t>prit nebylo mezi těmito lidmi nouze. A přece, kdyby někdo mohl zachytit některé z ty</w:t>
                            </w:r>
                            <w:r>
                              <w:rPr>
                                <w:i/>
                                <w:iCs/>
                                <w:sz w:val="20"/>
                                <w:szCs w:val="20"/>
                              </w:rPr>
                              <w:softHyphen/>
                              <w:t>pických rozhovorů, byl</w:t>
                            </w:r>
                            <w:r>
                              <w:rPr>
                                <w:i/>
                                <w:iCs/>
                                <w:sz w:val="20"/>
                                <w:szCs w:val="20"/>
                              </w:rPr>
                              <w:t>y by to podobné šplechty, jako ty Nerudovy na malostranské střeše — Kritika (a kritika kritiků!), troška literárních klípků a ironických hádek a troška slovního clownství, asi toho druhu, jakým později prosluli Voskovec a Werich. Zejména Karel Čapek, po to</w:t>
                            </w:r>
                            <w:r>
                              <w:rPr>
                                <w:i/>
                                <w:iCs/>
                                <w:sz w:val="20"/>
                                <w:szCs w:val="20"/>
                              </w:rPr>
                              <w:softHyphen/>
                              <w:t>lika stránkách dědic Neru</w:t>
                            </w:r>
                            <w:r>
                              <w:rPr>
                                <w:i/>
                                <w:iCs/>
                                <w:sz w:val="20"/>
                                <w:szCs w:val="20"/>
                              </w:rPr>
                              <w:softHyphen/>
                              <w:t>dův, si hrál s českým jazy</w:t>
                            </w:r>
                            <w:r>
                              <w:rPr>
                                <w:i/>
                                <w:iCs/>
                                <w:sz w:val="20"/>
                                <w:szCs w:val="20"/>
                              </w:rPr>
                              <w:softHyphen/>
                              <w:t>kem jako s hrstí míčků, hra</w:t>
                            </w:r>
                            <w:r>
                              <w:rPr>
                                <w:i/>
                                <w:iCs/>
                                <w:sz w:val="20"/>
                                <w:szCs w:val="20"/>
                              </w:rPr>
                              <w:softHyphen/>
                              <w:t>vě i vážně, s instinktem a lás</w:t>
                            </w:r>
                            <w:r>
                              <w:rPr>
                                <w:i/>
                                <w:iCs/>
                                <w:sz w:val="20"/>
                                <w:szCs w:val="20"/>
                              </w:rPr>
                              <w:softHyphen/>
                              <w:t>kou pravého mistra. A když se probralo, co je nového u nás, ve světě a v umění, čas</w:t>
                            </w:r>
                            <w:r>
                              <w:rPr>
                                <w:i/>
                                <w:iCs/>
                                <w:sz w:val="20"/>
                                <w:szCs w:val="20"/>
                              </w:rPr>
                              <w:softHyphen/>
                              <w:t>to se společnost rozpadla ve skupinky živě se bavících dvoj</w:t>
                            </w:r>
                            <w:r>
                              <w:rPr>
                                <w:i/>
                                <w:iCs/>
                                <w:sz w:val="20"/>
                                <w:szCs w:val="20"/>
                              </w:rPr>
                              <w:t>ic a trojic. Někdy ovšem narazil někdo na opravdové téma, tu profesor Sustanebo Mathesius, tu zase Peroutka nebo Langer; a pak se hovo</w:t>
                            </w:r>
                            <w:r>
                              <w:rPr>
                                <w:i/>
                                <w:iCs/>
                                <w:sz w:val="20"/>
                                <w:szCs w:val="20"/>
                              </w:rPr>
                              <w:softHyphen/>
                              <w:t>řilo o dramatickém sporu na</w:t>
                            </w:r>
                            <w:r>
                              <w:rPr>
                                <w:i/>
                                <w:iCs/>
                                <w:sz w:val="20"/>
                                <w:szCs w:val="20"/>
                              </w:rPr>
                              <w:softHyphen/>
                              <w:t>šich národních tradic, o tom, yyjaci jsme« a nejsme, o po</w:t>
                            </w:r>
                            <w:r>
                              <w:rPr>
                                <w:i/>
                                <w:iCs/>
                                <w:sz w:val="20"/>
                                <w:szCs w:val="20"/>
                              </w:rPr>
                              <w:softHyphen/>
                              <w:t>vaze generála Štefánika nebo</w:t>
                            </w:r>
                            <w:r>
                              <w:rPr>
                                <w:sz w:val="24"/>
                                <w:szCs w:val="24"/>
                              </w:rPr>
                              <w:t xml:space="preserve"> i </w:t>
                            </w:r>
                            <w:r>
                              <w:rPr>
                                <w:i/>
                                <w:iCs/>
                                <w:sz w:val="20"/>
                                <w:szCs w:val="20"/>
                              </w:rPr>
                              <w:t>o ak</w:t>
                            </w:r>
                            <w:r>
                              <w:rPr>
                                <w:i/>
                                <w:iCs/>
                                <w:sz w:val="20"/>
                                <w:szCs w:val="20"/>
                              </w:rPr>
                              <w:t>sakovské tragedii plu</w:t>
                            </w:r>
                            <w:r>
                              <w:rPr>
                                <w:i/>
                                <w:iCs/>
                                <w:sz w:val="20"/>
                                <w:szCs w:val="20"/>
                              </w:rPr>
                              <w:softHyphen/>
                              <w:t>kovníka Švece. Úporné syste</w:t>
                            </w:r>
                            <w:r>
                              <w:rPr>
                                <w:i/>
                                <w:iCs/>
                                <w:sz w:val="20"/>
                                <w:szCs w:val="20"/>
                              </w:rPr>
                              <w:softHyphen/>
                              <w:t xml:space="preserve">matické výklady, obyčejně o světové politice, zaváděl dr. Beneš, jenž chodil zřídka a zůstával dlouho. Za prvé, za druhé, za třetí, až za desáté. </w:t>
                            </w:r>
                            <w:r>
                              <w:rPr>
                                <w:sz w:val="24"/>
                                <w:szCs w:val="24"/>
                              </w:rPr>
                              <w:t xml:space="preserve">»A </w:t>
                            </w:r>
                            <w:r>
                              <w:rPr>
                                <w:i/>
                                <w:iCs/>
                                <w:sz w:val="20"/>
                                <w:szCs w:val="20"/>
                              </w:rPr>
                              <w:t>na něco jedenáctého a dvanáctého jste ještě zapo</w:t>
                            </w:r>
                            <w:r>
                              <w:rPr>
                                <w:i/>
                                <w:iCs/>
                                <w:sz w:val="20"/>
                                <w:szCs w:val="20"/>
                              </w:rPr>
                              <w:softHyphen/>
                              <w:t xml:space="preserve">mněl,«. </w:t>
                            </w:r>
                            <w:r>
                              <w:rPr>
                                <w:i/>
                                <w:iCs/>
                                <w:sz w:val="20"/>
                                <w:szCs w:val="20"/>
                              </w:rPr>
                              <w:t xml:space="preserve">hlásíval se Čapek, </w:t>
                            </w:r>
                            <w:r>
                              <w:rPr>
                                <w:i/>
                                <w:iCs/>
                                <w:sz w:val="20"/>
                                <w:szCs w:val="20"/>
                                <w:lang w:val="en-US" w:eastAsia="en-US" w:bidi="en-US"/>
                              </w:rPr>
                              <w:t>a</w:t>
                            </w:r>
                            <w:r>
                              <w:rPr>
                                <w:sz w:val="24"/>
                                <w:szCs w:val="24"/>
                                <w:lang w:val="en-US" w:eastAsia="en-US" w:bidi="en-US"/>
                              </w:rPr>
                              <w:t xml:space="preserve"> </w:t>
                            </w:r>
                            <w:r>
                              <w:rPr>
                                <w:sz w:val="24"/>
                                <w:szCs w:val="24"/>
                              </w:rPr>
                              <w:t xml:space="preserve">I </w:t>
                            </w:r>
                            <w:r>
                              <w:rPr>
                                <w:i/>
                                <w:iCs/>
                                <w:sz w:val="20"/>
                                <w:szCs w:val="20"/>
                              </w:rPr>
                              <w:t>vždy přinesl něco, co svědčilo o bystrém postřehu věci. (</w:t>
                            </w:r>
                          </w:p>
                          <w:p w:rsidR="00500724" w:rsidRDefault="00F30FB8">
                            <w:pPr>
                              <w:pStyle w:val="Zkladntext1"/>
                              <w:shd w:val="clear" w:color="auto" w:fill="auto"/>
                              <w:spacing w:line="182" w:lineRule="auto"/>
                              <w:ind w:firstLine="200"/>
                              <w:rPr>
                                <w:sz w:val="24"/>
                                <w:szCs w:val="24"/>
                              </w:rPr>
                            </w:pPr>
                            <w:r>
                              <w:rPr>
                                <w:i/>
                                <w:iCs/>
                                <w:sz w:val="20"/>
                                <w:szCs w:val="20"/>
                              </w:rPr>
                              <w:t>Tento obraz se rázem změ</w:t>
                            </w:r>
                            <w:r>
                              <w:rPr>
                                <w:i/>
                                <w:iCs/>
                                <w:sz w:val="20"/>
                                <w:szCs w:val="20"/>
                              </w:rPr>
                              <w:softHyphen/>
                              <w:t>nil, když telefon hlásil, že přijde pan president —</w:t>
                            </w:r>
                            <w:r>
                              <w:rPr>
                                <w:sz w:val="24"/>
                                <w:szCs w:val="24"/>
                              </w:rPr>
                              <w:t xml:space="preserve"> »T. </w:t>
                            </w:r>
                            <w:r>
                              <w:rPr>
                                <w:i/>
                                <w:iCs/>
                                <w:sz w:val="20"/>
                                <w:szCs w:val="20"/>
                              </w:rPr>
                              <w:t xml:space="preserve">G. M., </w:t>
                            </w:r>
                            <w:r>
                              <w:rPr>
                                <w:i/>
                                <w:iCs/>
                                <w:sz w:val="20"/>
                                <w:szCs w:val="20"/>
                                <w:lang w:val="en-US" w:eastAsia="en-US" w:bidi="en-US"/>
                              </w:rPr>
                              <w:t xml:space="preserve">Dalai </w:t>
                            </w:r>
                            <w:r>
                              <w:rPr>
                                <w:i/>
                                <w:iCs/>
                                <w:sz w:val="20"/>
                                <w:szCs w:val="20"/>
                              </w:rPr>
                              <w:t>Lama, starý pán</w:t>
                            </w:r>
                            <w:r>
                              <w:rPr>
                                <w:sz w:val="24"/>
                                <w:szCs w:val="24"/>
                              </w:rPr>
                              <w:t xml:space="preserve"> I</w:t>
                            </w:r>
                          </w:p>
                        </w:txbxContent>
                      </wps:txbx>
                      <wps:bodyPr lIns="0" tIns="0" rIns="0" bIns="0">
                        <a:spAutoFit/>
                      </wps:bodyPr>
                    </wps:wsp>
                  </a:graphicData>
                </a:graphic>
              </wp:anchor>
            </w:drawing>
          </mc:Choice>
          <mc:Fallback>
            <w:pict>
              <v:shape id="_x0000_s1055" type="#_x0000_t202" style="position:absolute;margin-left:13.800000000000001pt;margin-top:152.65000000000001pt;width:130.80000000000001pt;height:604.10000000000002pt;z-index:-125829347;mso-wrap-distance-left:0;mso-wrap-distance-right:0;mso-position-horizontal-relative:page" filled="f" stroked="f">
                <v:textbox style="mso-fit-shape-to-text:t" inset="0,0,0,0">
                  <w:txbxContent>
                    <w:p>
                      <w:pPr>
                        <w:pStyle w:val="Style18"/>
                        <w:keepNext w:val="0"/>
                        <w:keepLines w:val="0"/>
                        <w:widowControl w:val="0"/>
                        <w:shd w:val="clear" w:color="auto" w:fill="auto"/>
                        <w:bidi w:val="0"/>
                        <w:spacing w:before="0" w:after="0" w:line="182" w:lineRule="auto"/>
                        <w:ind w:left="0" w:right="0" w:firstLine="0"/>
                        <w:jc w:val="center"/>
                        <w:rPr>
                          <w:sz w:val="20"/>
                          <w:szCs w:val="20"/>
                        </w:rPr>
                      </w:pPr>
                      <w:r>
                        <w:rPr>
                          <w:i/>
                          <w:iCs/>
                          <w:color w:val="000000"/>
                          <w:spacing w:val="0"/>
                          <w:w w:val="100"/>
                          <w:position w:val="0"/>
                          <w:sz w:val="20"/>
                          <w:szCs w:val="20"/>
                          <w:shd w:val="clear" w:color="auto" w:fill="auto"/>
                          <w:lang w:val="cs-CZ" w:eastAsia="cs-CZ" w:bidi="cs-CZ"/>
                        </w:rPr>
                        <w:t>I.</w:t>
                      </w:r>
                    </w:p>
                    <w:p>
                      <w:pPr>
                        <w:pStyle w:val="Style18"/>
                        <w:keepNext w:val="0"/>
                        <w:keepLines w:val="0"/>
                        <w:widowControl w:val="0"/>
                        <w:shd w:val="clear" w:color="auto" w:fill="auto"/>
                        <w:bidi w:val="0"/>
                        <w:spacing w:before="0" w:after="0" w:line="182" w:lineRule="auto"/>
                        <w:ind w:left="0" w:right="0" w:firstLine="260"/>
                        <w:jc w:val="left"/>
                        <w:rPr>
                          <w:sz w:val="20"/>
                          <w:szCs w:val="20"/>
                        </w:rPr>
                      </w:pPr>
                      <w:r>
                        <w:rPr>
                          <w:i/>
                          <w:iCs/>
                          <w:color w:val="000000"/>
                          <w:spacing w:val="0"/>
                          <w:w w:val="100"/>
                          <w:position w:val="0"/>
                          <w:sz w:val="20"/>
                          <w:szCs w:val="20"/>
                          <w:shd w:val="clear" w:color="auto" w:fill="auto"/>
                          <w:lang w:val="cs-CZ" w:eastAsia="cs-CZ" w:bidi="cs-CZ"/>
                        </w:rPr>
                        <w:t>Čím více přemýšlím, čím bych přispěl do tohoto časo</w:t>
                        <w:softHyphen/>
                        <w:t>pisu, tím jasnějším se mi stává, že nepociťuji aktuál</w:t>
                        <w:softHyphen/>
                        <w:t>něji nežli pár vzpomínek na Karla Čapka.</w:t>
                      </w:r>
                    </w:p>
                    <w:p>
                      <w:pPr>
                        <w:pStyle w:val="Style18"/>
                        <w:keepNext w:val="0"/>
                        <w:keepLines w:val="0"/>
                        <w:widowControl w:val="0"/>
                        <w:shd w:val="clear" w:color="auto" w:fill="auto"/>
                        <w:bidi w:val="0"/>
                        <w:spacing w:before="0" w:after="0" w:line="180" w:lineRule="auto"/>
                        <w:ind w:left="0" w:right="0" w:firstLine="260"/>
                        <w:rPr>
                          <w:sz w:val="20"/>
                          <w:szCs w:val="20"/>
                        </w:rPr>
                      </w:pPr>
                      <w:r>
                        <w:rPr>
                          <w:i/>
                          <w:iCs/>
                          <w:color w:val="000000"/>
                          <w:spacing w:val="0"/>
                          <w:w w:val="100"/>
                          <w:position w:val="0"/>
                          <w:sz w:val="20"/>
                          <w:szCs w:val="20"/>
                          <w:shd w:val="clear" w:color="auto" w:fill="auto"/>
                          <w:lang w:val="cs-CZ" w:eastAsia="cs-CZ" w:bidi="cs-CZ"/>
                        </w:rPr>
                        <w:t>Když mne před skoro čtrnácti lety spisovatel Fran</w:t>
                        <w:softHyphen/>
                        <w:t>tišek Kubka zatáhl do kru</w:t>
                        <w:softHyphen/>
                        <w:t>hu Čapkových pátečníků, byla to společnost vtipná, ale jaksi bez společného jme</w:t>
                        <w:softHyphen/>
                        <w:t>novatele. Sedávali jsme nad šálkem černé kávy, později jsme střídavě přinášeli též něco k snědku. Spisovatelé, žurnalisté, sem tam nějaký profesor. Hovory byly bez programu; vtipné piliny pa</w:t>
                        <w:softHyphen/>
                        <w:t>daly na zem a nikdo si jich dále nevšímal, neboť o es</w:t>
                        <w:softHyphen/>
                        <w:t>prit nebylo mezi těmito lidmi nouze. A přece, kdyby někdo mohl zachytit některé z ty</w:t>
                        <w:softHyphen/>
                        <w:t>pických rozhovorů, byly by to podobné šplechty, jako ty Nerudovy na malostranské střeše — Kritika (a kritika kritiků!), troška literárních klípků a ironických hádek a troška slovního clownství, asi toho druhu, jakým později prosluli Voskovec a Werich. Zejména Karel Čapek, po to</w:t>
                        <w:softHyphen/>
                        <w:t>lika stránkách dědic Neru</w:t>
                        <w:softHyphen/>
                        <w:t>dův, si hrál s českým jazy</w:t>
                        <w:softHyphen/>
                        <w:t>kem jako s hrstí míčků, hra</w:t>
                        <w:softHyphen/>
                        <w:t>vě i vážně, s instinktem a lás</w:t>
                        <w:softHyphen/>
                        <w:t>kou pravého mistra. A když se probralo, co je nového u nás, ve světě a v umění, čas</w:t>
                        <w:softHyphen/>
                        <w:t>to se společnost rozpadla ve skupinky živě se bavících dvojic a trojic. Někdy ovšem narazil někdo na opravdové téma, tu profesor Sustanebo Mathesius, tu zase Peroutka nebo Langer; a pak se hovo</w:t>
                        <w:softHyphen/>
                        <w:t>řilo o dramatickém sporu na</w:t>
                        <w:softHyphen/>
                        <w:t>šich národních tradic, o tom, yyjaci jsme« a nejsme, o po</w:t>
                        <w:softHyphen/>
                        <w:t>vaze generála Štefánika nebo</w:t>
                      </w:r>
                      <w:r>
                        <w:rPr>
                          <w:color w:val="000000"/>
                          <w:spacing w:val="0"/>
                          <w:w w:val="100"/>
                          <w:position w:val="0"/>
                          <w:sz w:val="24"/>
                          <w:szCs w:val="24"/>
                          <w:shd w:val="clear" w:color="auto" w:fill="auto"/>
                          <w:lang w:val="cs-CZ" w:eastAsia="cs-CZ" w:bidi="cs-CZ"/>
                        </w:rPr>
                        <w:t xml:space="preserve"> i </w:t>
                      </w:r>
                      <w:r>
                        <w:rPr>
                          <w:i/>
                          <w:iCs/>
                          <w:color w:val="000000"/>
                          <w:spacing w:val="0"/>
                          <w:w w:val="100"/>
                          <w:position w:val="0"/>
                          <w:sz w:val="20"/>
                          <w:szCs w:val="20"/>
                          <w:shd w:val="clear" w:color="auto" w:fill="auto"/>
                          <w:lang w:val="cs-CZ" w:eastAsia="cs-CZ" w:bidi="cs-CZ"/>
                        </w:rPr>
                        <w:t>o aksakovské tragedii plu</w:t>
                        <w:softHyphen/>
                        <w:t>kovníka Švece. Úporné syste</w:t>
                        <w:softHyphen/>
                        <w:t xml:space="preserve">matické výklady, obyčejně o světové politice, zaváděl dr. Beneš, jenž chodil zřídka a zůstával dlouho. Za prvé, za druhé, za třetí, až za desáté. </w:t>
                      </w:r>
                      <w:r>
                        <w:rPr>
                          <w:color w:val="000000"/>
                          <w:spacing w:val="0"/>
                          <w:w w:val="100"/>
                          <w:position w:val="0"/>
                          <w:sz w:val="24"/>
                          <w:szCs w:val="24"/>
                          <w:shd w:val="clear" w:color="auto" w:fill="auto"/>
                          <w:lang w:val="cs-CZ" w:eastAsia="cs-CZ" w:bidi="cs-CZ"/>
                        </w:rPr>
                        <w:t xml:space="preserve">»A </w:t>
                      </w:r>
                      <w:r>
                        <w:rPr>
                          <w:i/>
                          <w:iCs/>
                          <w:color w:val="000000"/>
                          <w:spacing w:val="0"/>
                          <w:w w:val="100"/>
                          <w:position w:val="0"/>
                          <w:sz w:val="20"/>
                          <w:szCs w:val="20"/>
                          <w:shd w:val="clear" w:color="auto" w:fill="auto"/>
                          <w:lang w:val="cs-CZ" w:eastAsia="cs-CZ" w:bidi="cs-CZ"/>
                        </w:rPr>
                        <w:t>na něco jedenáctého a dvanáctého jste ještě zapo</w:t>
                        <w:softHyphen/>
                        <w:t xml:space="preserve">mněl,«. hlásíval se Čapek, </w:t>
                      </w:r>
                      <w:r>
                        <w:rPr>
                          <w:i/>
                          <w:iCs/>
                          <w:color w:val="000000"/>
                          <w:spacing w:val="0"/>
                          <w:w w:val="100"/>
                          <w:position w:val="0"/>
                          <w:sz w:val="20"/>
                          <w:szCs w:val="20"/>
                          <w:shd w:val="clear" w:color="auto" w:fill="auto"/>
                          <w:lang w:val="en-US" w:eastAsia="en-US" w:bidi="en-US"/>
                        </w:rPr>
                        <w:t>a</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cs-CZ" w:eastAsia="cs-CZ" w:bidi="cs-CZ"/>
                        </w:rPr>
                        <w:t xml:space="preserve">I </w:t>
                      </w:r>
                      <w:r>
                        <w:rPr>
                          <w:i/>
                          <w:iCs/>
                          <w:color w:val="000000"/>
                          <w:spacing w:val="0"/>
                          <w:w w:val="100"/>
                          <w:position w:val="0"/>
                          <w:sz w:val="20"/>
                          <w:szCs w:val="20"/>
                          <w:shd w:val="clear" w:color="auto" w:fill="auto"/>
                          <w:lang w:val="cs-CZ" w:eastAsia="cs-CZ" w:bidi="cs-CZ"/>
                        </w:rPr>
                        <w:t xml:space="preserve">vždy přinesl něco, co svědčilo o bystrém postřehu věci. </w:t>
                      </w:r>
                      <w:r>
                        <w:rPr>
                          <w:i/>
                          <w:iCs/>
                          <w:color w:val="000000"/>
                          <w:spacing w:val="0"/>
                          <w:w w:val="100"/>
                          <w:position w:val="0"/>
                          <w:sz w:val="20"/>
                          <w:szCs w:val="20"/>
                          <w:shd w:val="clear" w:color="auto" w:fill="auto"/>
                          <w:lang w:val="cs-CZ" w:eastAsia="cs-CZ" w:bidi="cs-CZ"/>
                        </w:rPr>
                        <w:t>(</w:t>
                      </w:r>
                    </w:p>
                    <w:p>
                      <w:pPr>
                        <w:pStyle w:val="Style18"/>
                        <w:keepNext w:val="0"/>
                        <w:keepLines w:val="0"/>
                        <w:widowControl w:val="0"/>
                        <w:shd w:val="clear" w:color="auto" w:fill="auto"/>
                        <w:bidi w:val="0"/>
                        <w:spacing w:before="0" w:after="0" w:line="182" w:lineRule="auto"/>
                        <w:ind w:left="0" w:right="0" w:firstLine="200"/>
                        <w:rPr>
                          <w:sz w:val="24"/>
                          <w:szCs w:val="24"/>
                        </w:rPr>
                      </w:pPr>
                      <w:r>
                        <w:rPr>
                          <w:i/>
                          <w:iCs/>
                          <w:color w:val="000000"/>
                          <w:spacing w:val="0"/>
                          <w:w w:val="100"/>
                          <w:position w:val="0"/>
                          <w:sz w:val="20"/>
                          <w:szCs w:val="20"/>
                          <w:shd w:val="clear" w:color="auto" w:fill="auto"/>
                          <w:lang w:val="cs-CZ" w:eastAsia="cs-CZ" w:bidi="cs-CZ"/>
                        </w:rPr>
                        <w:t>Tento obraz se rázem změ</w:t>
                        <w:softHyphen/>
                        <w:t>nil, když telefon hlásil, že přijde pan president —</w:t>
                      </w:r>
                      <w:r>
                        <w:rPr>
                          <w:color w:val="000000"/>
                          <w:spacing w:val="0"/>
                          <w:w w:val="100"/>
                          <w:position w:val="0"/>
                          <w:sz w:val="24"/>
                          <w:szCs w:val="24"/>
                          <w:shd w:val="clear" w:color="auto" w:fill="auto"/>
                          <w:lang w:val="cs-CZ" w:eastAsia="cs-CZ" w:bidi="cs-CZ"/>
                        </w:rPr>
                        <w:t xml:space="preserve"> »T. </w:t>
                      </w:r>
                      <w:r>
                        <w:rPr>
                          <w:i/>
                          <w:iCs/>
                          <w:color w:val="000000"/>
                          <w:spacing w:val="0"/>
                          <w:w w:val="100"/>
                          <w:position w:val="0"/>
                          <w:sz w:val="20"/>
                          <w:szCs w:val="20"/>
                          <w:shd w:val="clear" w:color="auto" w:fill="auto"/>
                          <w:lang w:val="cs-CZ" w:eastAsia="cs-CZ" w:bidi="cs-CZ"/>
                        </w:rPr>
                        <w:t xml:space="preserve">G. M., </w:t>
                      </w:r>
                      <w:r>
                        <w:rPr>
                          <w:i/>
                          <w:iCs/>
                          <w:color w:val="000000"/>
                          <w:spacing w:val="0"/>
                          <w:w w:val="100"/>
                          <w:position w:val="0"/>
                          <w:sz w:val="20"/>
                          <w:szCs w:val="20"/>
                          <w:shd w:val="clear" w:color="auto" w:fill="auto"/>
                          <w:lang w:val="en-US" w:eastAsia="en-US" w:bidi="en-US"/>
                        </w:rPr>
                        <w:t xml:space="preserve">Dalai </w:t>
                      </w:r>
                      <w:r>
                        <w:rPr>
                          <w:i/>
                          <w:iCs/>
                          <w:color w:val="000000"/>
                          <w:spacing w:val="0"/>
                          <w:w w:val="100"/>
                          <w:position w:val="0"/>
                          <w:sz w:val="20"/>
                          <w:szCs w:val="20"/>
                          <w:shd w:val="clear" w:color="auto" w:fill="auto"/>
                          <w:lang w:val="cs-CZ" w:eastAsia="cs-CZ" w:bidi="cs-CZ"/>
                        </w:rPr>
                        <w:t>Lama, starý pán</w:t>
                      </w:r>
                      <w:r>
                        <w:rPr>
                          <w:color w:val="000000"/>
                          <w:spacing w:val="0"/>
                          <w:w w:val="100"/>
                          <w:position w:val="0"/>
                          <w:sz w:val="24"/>
                          <w:szCs w:val="24"/>
                          <w:shd w:val="clear" w:color="auto" w:fill="auto"/>
                          <w:lang w:val="cs-CZ" w:eastAsia="cs-CZ" w:bidi="cs-CZ"/>
                        </w:rPr>
                        <w:t xml:space="preserve"> I</w:t>
                      </w:r>
                    </w:p>
                  </w:txbxContent>
                </v:textbox>
                <w10:wrap type="square" anchorx="page"/>
              </v:shape>
            </w:pict>
          </mc:Fallback>
        </mc:AlternateContent>
      </w:r>
    </w:p>
    <w:p w:rsidR="00500724" w:rsidRDefault="00F30FB8">
      <w:pPr>
        <w:pStyle w:val="Zkladntext1"/>
        <w:shd w:val="clear" w:color="auto" w:fill="auto"/>
        <w:spacing w:line="151" w:lineRule="auto"/>
        <w:ind w:firstLine="0"/>
        <w:jc w:val="right"/>
        <w:rPr>
          <w:sz w:val="20"/>
          <w:szCs w:val="20"/>
        </w:rPr>
      </w:pPr>
      <w:r>
        <w:rPr>
          <w:sz w:val="24"/>
          <w:szCs w:val="24"/>
        </w:rPr>
        <w:t xml:space="preserve">I </w:t>
      </w:r>
      <w:r>
        <w:rPr>
          <w:i/>
          <w:iCs/>
          <w:sz w:val="20"/>
          <w:szCs w:val="20"/>
        </w:rPr>
        <w:t>nebo též stařičký zeměpán«.</w:t>
      </w:r>
    </w:p>
    <w:p w:rsidR="00500724" w:rsidRDefault="00F30FB8">
      <w:pPr>
        <w:pStyle w:val="Zkladntext1"/>
        <w:shd w:val="clear" w:color="auto" w:fill="auto"/>
        <w:spacing w:line="173" w:lineRule="auto"/>
        <w:ind w:firstLine="0"/>
        <w:jc w:val="right"/>
        <w:rPr>
          <w:sz w:val="20"/>
          <w:szCs w:val="20"/>
        </w:rPr>
      </w:pPr>
      <w:r>
        <w:rPr>
          <w:sz w:val="24"/>
          <w:szCs w:val="24"/>
        </w:rPr>
        <w:t xml:space="preserve">I </w:t>
      </w:r>
      <w:r>
        <w:rPr>
          <w:i/>
          <w:iCs/>
          <w:sz w:val="20"/>
          <w:szCs w:val="20"/>
        </w:rPr>
        <w:t xml:space="preserve">Hned se větralo, cigarety vy- </w:t>
      </w:r>
      <w:r>
        <w:rPr>
          <w:i/>
          <w:iCs/>
          <w:sz w:val="20"/>
          <w:szCs w:val="20"/>
          <w:vertAlign w:val="superscript"/>
        </w:rPr>
        <w:t>!</w:t>
      </w:r>
      <w:r>
        <w:rPr>
          <w:i/>
          <w:iCs/>
          <w:sz w:val="20"/>
          <w:szCs w:val="20"/>
        </w:rPr>
        <w:t xml:space="preserve"> létly oknem a uhasla věčná Peroutkova dýmka. Stalo se dokonce, že přišel bez hlášení,</w:t>
      </w:r>
    </w:p>
    <w:p w:rsidR="00500724" w:rsidRDefault="00F30FB8">
      <w:pPr>
        <w:pStyle w:val="Zkladntext1"/>
        <w:shd w:val="clear" w:color="auto" w:fill="auto"/>
        <w:spacing w:line="180" w:lineRule="auto"/>
        <w:ind w:firstLine="0"/>
        <w:rPr>
          <w:sz w:val="20"/>
          <w:szCs w:val="20"/>
        </w:rPr>
      </w:pPr>
      <w:r>
        <w:rPr>
          <w:i/>
          <w:iCs/>
          <w:sz w:val="20"/>
          <w:szCs w:val="20"/>
          <w:vertAlign w:val="superscript"/>
        </w:rPr>
        <w:t>1</w:t>
      </w:r>
      <w:r>
        <w:rPr>
          <w:i/>
          <w:iCs/>
          <w:sz w:val="20"/>
          <w:szCs w:val="20"/>
        </w:rPr>
        <w:t xml:space="preserve"> a když se Čapek v pět hodin </w:t>
      </w:r>
      <w:r>
        <w:rPr>
          <w:sz w:val="24"/>
          <w:szCs w:val="24"/>
        </w:rPr>
        <w:t xml:space="preserve">j </w:t>
      </w:r>
      <w:r>
        <w:rPr>
          <w:i/>
          <w:iCs/>
          <w:sz w:val="20"/>
          <w:szCs w:val="20"/>
        </w:rPr>
        <w:t>šel dolů podívat, kdo ze zná</w:t>
      </w:r>
      <w:r>
        <w:rPr>
          <w:i/>
          <w:iCs/>
          <w:sz w:val="20"/>
          <w:szCs w:val="20"/>
        </w:rPr>
        <w:softHyphen/>
        <w:t xml:space="preserve">mých už tam sedí, byl tam jen Masaryk; seděl v křesle, pohupoval přehozenou nohou a mlčel. I sedl si čapek </w:t>
      </w:r>
      <w:r>
        <w:rPr>
          <w:i/>
          <w:iCs/>
          <w:sz w:val="20"/>
          <w:szCs w:val="20"/>
        </w:rPr>
        <w:t>k ně</w:t>
      </w:r>
      <w:r>
        <w:rPr>
          <w:i/>
          <w:iCs/>
          <w:sz w:val="20"/>
          <w:szCs w:val="20"/>
        </w:rPr>
        <w:softHyphen/>
        <w:t>mu a nastalo jedno z těch ■zmlčení s T. G. Masarykem^, které nám tak mistrovsky po</w:t>
      </w:r>
      <w:r>
        <w:rPr>
          <w:i/>
          <w:iCs/>
          <w:sz w:val="20"/>
          <w:szCs w:val="20"/>
        </w:rPr>
        <w:softHyphen/>
        <w:t>psal. Masaryk mluvil vůbec málo, ale velmi pozorně po</w:t>
      </w:r>
      <w:r>
        <w:rPr>
          <w:i/>
          <w:iCs/>
          <w:sz w:val="20"/>
          <w:szCs w:val="20"/>
        </w:rPr>
        <w:softHyphen/>
        <w:t>slouchal. Jeho zájem jste vzbudili, když jste mu začali odporovat; ale musilo to míti hlavu a patu. Společnost rá</w:t>
      </w:r>
      <w:r>
        <w:rPr>
          <w:i/>
          <w:iCs/>
          <w:sz w:val="20"/>
          <w:szCs w:val="20"/>
        </w:rPr>
        <w:softHyphen/>
      </w:r>
      <w:r>
        <w:rPr>
          <w:i/>
          <w:iCs/>
          <w:sz w:val="20"/>
          <w:szCs w:val="20"/>
        </w:rPr>
        <w:t>zem změnila svůj vzhled a hovor svůj obsah. Vtipné pi</w:t>
      </w:r>
      <w:r>
        <w:rPr>
          <w:i/>
          <w:iCs/>
          <w:sz w:val="20"/>
          <w:szCs w:val="20"/>
        </w:rPr>
        <w:softHyphen/>
        <w:t>liny přestaly padat na zem a shromáždily se kolem starého pána jako u magnetického pólu. A tak jsme měli příle</w:t>
      </w:r>
      <w:r>
        <w:rPr>
          <w:i/>
          <w:iCs/>
          <w:sz w:val="20"/>
          <w:szCs w:val="20"/>
        </w:rPr>
        <w:softHyphen/>
        <w:t>žitost vyslechnout celou řadu oněch ^hovorů s T. G. Masa- rykem«. které si můžete v mi</w:t>
      </w:r>
      <w:r>
        <w:rPr>
          <w:i/>
          <w:iCs/>
          <w:sz w:val="20"/>
          <w:szCs w:val="20"/>
        </w:rPr>
        <w:softHyphen/>
        <w:t>stro</w:t>
      </w:r>
      <w:r>
        <w:rPr>
          <w:i/>
          <w:iCs/>
          <w:sz w:val="20"/>
          <w:szCs w:val="20"/>
        </w:rPr>
        <w:t>vském podání Čapkově přečisti. Čapek si je srovnal podle svého. Měl Masaryka odpozorovaného a odposlou- chaného do nejmenších po</w:t>
      </w:r>
      <w:r>
        <w:rPr>
          <w:i/>
          <w:iCs/>
          <w:sz w:val="20"/>
          <w:szCs w:val="20"/>
        </w:rPr>
        <w:softHyphen/>
        <w:t>drobností, jeho střídmá gesta,</w:t>
      </w:r>
    </w:p>
    <w:p w:rsidR="00500724" w:rsidRDefault="00F30FB8">
      <w:pPr>
        <w:pStyle w:val="Zkladntext1"/>
        <w:shd w:val="clear" w:color="auto" w:fill="auto"/>
        <w:spacing w:line="166" w:lineRule="auto"/>
        <w:ind w:firstLine="0"/>
        <w:rPr>
          <w:sz w:val="20"/>
          <w:szCs w:val="20"/>
        </w:rPr>
      </w:pPr>
      <w:r>
        <w:rPr>
          <w:i/>
          <w:iCs/>
          <w:sz w:val="20"/>
          <w:szCs w:val="20"/>
        </w:rPr>
        <w:t xml:space="preserve">' jeho vztyčený křivý ukazo- </w:t>
      </w:r>
      <w:r>
        <w:rPr>
          <w:sz w:val="24"/>
          <w:szCs w:val="24"/>
        </w:rPr>
        <w:t xml:space="preserve">I </w:t>
      </w:r>
      <w:r>
        <w:rPr>
          <w:i/>
          <w:iCs/>
          <w:sz w:val="20"/>
          <w:szCs w:val="20"/>
        </w:rPr>
        <w:t xml:space="preserve">váček, jeho vrásky, jeho mo- </w:t>
      </w:r>
      <w:r>
        <w:rPr>
          <w:i/>
          <w:iCs/>
          <w:sz w:val="20"/>
          <w:szCs w:val="20"/>
          <w:vertAlign w:val="superscript"/>
        </w:rPr>
        <w:t>1</w:t>
      </w:r>
      <w:r>
        <w:rPr>
          <w:i/>
          <w:iCs/>
          <w:sz w:val="20"/>
          <w:szCs w:val="20"/>
        </w:rPr>
        <w:t xml:space="preserve"> ravismy, i to jeho »ja, panáč- </w:t>
      </w:r>
      <w:r>
        <w:rPr>
          <w:sz w:val="24"/>
          <w:szCs w:val="24"/>
        </w:rPr>
        <w:t xml:space="preserve">i </w:t>
      </w:r>
      <w:r>
        <w:rPr>
          <w:i/>
          <w:iCs/>
          <w:sz w:val="20"/>
          <w:szCs w:val="20"/>
        </w:rPr>
        <w:t xml:space="preserve">ku, to já nevím«. Tyto Hovo- , ry jsou podobným výtvorem </w:t>
      </w:r>
      <w:r>
        <w:rPr>
          <w:sz w:val="24"/>
          <w:szCs w:val="24"/>
        </w:rPr>
        <w:t xml:space="preserve">j </w:t>
      </w:r>
      <w:r>
        <w:rPr>
          <w:i/>
          <w:iCs/>
          <w:sz w:val="20"/>
          <w:szCs w:val="20"/>
        </w:rPr>
        <w:t xml:space="preserve">lásky, jako dialogy Platono- </w:t>
      </w:r>
      <w:r>
        <w:rPr>
          <w:sz w:val="24"/>
          <w:szCs w:val="24"/>
        </w:rPr>
        <w:t xml:space="preserve">i </w:t>
      </w:r>
      <w:r>
        <w:rPr>
          <w:i/>
          <w:iCs/>
          <w:sz w:val="20"/>
          <w:szCs w:val="20"/>
        </w:rPr>
        <w:t>vy. Budou se ještě po stale- ' tich čisti. Masaryk je pro</w:t>
      </w:r>
      <w:r>
        <w:rPr>
          <w:i/>
          <w:iCs/>
          <w:sz w:val="20"/>
          <w:szCs w:val="20"/>
        </w:rPr>
        <w:softHyphen/>
        <w:t>čítal, doplňoval, autorisoval.</w:t>
      </w:r>
    </w:p>
    <w:p w:rsidR="00500724" w:rsidRDefault="00F30FB8">
      <w:pPr>
        <w:pStyle w:val="Zkladntext1"/>
        <w:shd w:val="clear" w:color="auto" w:fill="auto"/>
        <w:spacing w:line="178" w:lineRule="auto"/>
        <w:ind w:firstLine="0"/>
        <w:rPr>
          <w:sz w:val="20"/>
          <w:szCs w:val="20"/>
        </w:rPr>
      </w:pPr>
      <w:r>
        <w:rPr>
          <w:sz w:val="24"/>
          <w:szCs w:val="24"/>
        </w:rPr>
        <w:t xml:space="preserve">I </w:t>
      </w:r>
      <w:r>
        <w:rPr>
          <w:i/>
          <w:iCs/>
          <w:sz w:val="20"/>
          <w:szCs w:val="20"/>
        </w:rPr>
        <w:t>Na rozdíl od Platona v nich nevystupuje galerie debaté- rů. Ale část jsme o</w:t>
      </w:r>
      <w:r>
        <w:rPr>
          <w:i/>
          <w:iCs/>
          <w:sz w:val="20"/>
          <w:szCs w:val="20"/>
        </w:rPr>
        <w:t>pravdu slyšeli. Skoro do slova mi utkvělo, co starý pán svým</w:t>
      </w:r>
      <w:r>
        <w:rPr>
          <w:sz w:val="24"/>
          <w:szCs w:val="24"/>
        </w:rPr>
        <w:t xml:space="preserve"> J </w:t>
      </w:r>
      <w:r>
        <w:rPr>
          <w:i/>
          <w:iCs/>
          <w:sz w:val="20"/>
          <w:szCs w:val="20"/>
        </w:rPr>
        <w:t>pomalým způsobem vypravo</w:t>
      </w:r>
      <w:r>
        <w:rPr>
          <w:i/>
          <w:iCs/>
          <w:sz w:val="20"/>
          <w:szCs w:val="20"/>
        </w:rPr>
        <w:softHyphen/>
        <w:t>val o Štefánikovi. o Švecovi a ostatních hoších na Sibiři, o Svehlovi. jeho pracovitosti, jeho zdravém rozumu, jeho schopnosti všechno kontrolo</w:t>
      </w:r>
      <w:r>
        <w:rPr>
          <w:i/>
          <w:iCs/>
          <w:sz w:val="20"/>
          <w:szCs w:val="20"/>
        </w:rPr>
        <w:softHyphen/>
        <w:t>vat.</w:t>
      </w:r>
    </w:p>
    <w:p w:rsidR="00500724" w:rsidRDefault="00F30FB8">
      <w:pPr>
        <w:pStyle w:val="Zkladntext1"/>
        <w:shd w:val="clear" w:color="auto" w:fill="auto"/>
        <w:spacing w:line="180" w:lineRule="auto"/>
        <w:ind w:firstLine="200"/>
        <w:rPr>
          <w:sz w:val="20"/>
          <w:szCs w:val="20"/>
        </w:rPr>
      </w:pPr>
      <w:r>
        <w:rPr>
          <w:i/>
          <w:iCs/>
          <w:sz w:val="20"/>
          <w:szCs w:val="20"/>
        </w:rPr>
        <w:t>Čapkova páteční spo</w:t>
      </w:r>
      <w:r>
        <w:rPr>
          <w:i/>
          <w:iCs/>
          <w:sz w:val="20"/>
          <w:szCs w:val="20"/>
        </w:rPr>
        <w:t>lečnost měnila své složení; byly i jiné schůzky, ale všecky vý</w:t>
      </w:r>
      <w:r>
        <w:rPr>
          <w:i/>
          <w:iCs/>
          <w:sz w:val="20"/>
          <w:szCs w:val="20"/>
        </w:rPr>
        <w:softHyphen/>
        <w:t>hradně mužské. Letos v létě zanikla a usnesli jsme se už ji neobnovit.</w:t>
      </w:r>
    </w:p>
    <w:p w:rsidR="00500724" w:rsidRDefault="00F30FB8">
      <w:pPr>
        <w:pStyle w:val="Zkladntext1"/>
        <w:shd w:val="clear" w:color="auto" w:fill="auto"/>
        <w:spacing w:line="182" w:lineRule="auto"/>
        <w:ind w:firstLine="200"/>
        <w:jc w:val="left"/>
        <w:rPr>
          <w:sz w:val="20"/>
          <w:szCs w:val="20"/>
        </w:rPr>
      </w:pPr>
      <w:r>
        <w:rPr>
          <w:i/>
          <w:iCs/>
          <w:sz w:val="20"/>
          <w:szCs w:val="20"/>
        </w:rPr>
        <w:t>Ale uprostřed mnoha vyni</w:t>
      </w:r>
      <w:r>
        <w:rPr>
          <w:i/>
          <w:iCs/>
          <w:sz w:val="20"/>
          <w:szCs w:val="20"/>
        </w:rPr>
        <w:softHyphen/>
        <w:t>kajících mužů (též světových spisovatelů ze širého svě</w:t>
      </w:r>
      <w:r>
        <w:rPr>
          <w:i/>
          <w:iCs/>
          <w:sz w:val="20"/>
          <w:szCs w:val="20"/>
        </w:rPr>
        <w:softHyphen/>
        <w:t>ta, o něž jsme se dělili podle svých jazyk</w:t>
      </w:r>
      <w:r>
        <w:rPr>
          <w:i/>
          <w:iCs/>
          <w:sz w:val="20"/>
          <w:szCs w:val="20"/>
        </w:rPr>
        <w:t>ových schopností) byl přece hlavním předmě</w:t>
      </w:r>
      <w:r>
        <w:rPr>
          <w:i/>
          <w:iCs/>
          <w:sz w:val="20"/>
          <w:szCs w:val="20"/>
        </w:rPr>
        <w:softHyphen/>
        <w:t>tem pozorování vedle presi-'</w:t>
      </w:r>
    </w:p>
    <w:p w:rsidR="00500724" w:rsidRDefault="00F30FB8">
      <w:pPr>
        <w:pStyle w:val="Zkladntext1"/>
        <w:shd w:val="clear" w:color="auto" w:fill="auto"/>
        <w:spacing w:after="40" w:line="175" w:lineRule="auto"/>
        <w:ind w:firstLine="0"/>
        <w:rPr>
          <w:sz w:val="20"/>
          <w:szCs w:val="20"/>
        </w:rPr>
      </w:pPr>
      <w:r>
        <w:rPr>
          <w:i/>
          <w:iCs/>
          <w:sz w:val="20"/>
          <w:szCs w:val="20"/>
        </w:rPr>
        <w:t xml:space="preserve">silně trpěl. Nejvíce ovšem </w:t>
      </w:r>
      <w:r>
        <w:rPr>
          <w:rFonts w:ascii="Arial" w:eastAsia="Arial" w:hAnsi="Arial" w:cs="Arial"/>
          <w:i/>
          <w:iCs/>
          <w:sz w:val="24"/>
          <w:szCs w:val="24"/>
        </w:rPr>
        <w:t xml:space="preserve">v </w:t>
      </w:r>
      <w:r>
        <w:rPr>
          <w:i/>
          <w:iCs/>
          <w:sz w:val="20"/>
          <w:szCs w:val="20"/>
        </w:rPr>
        <w:t>poslední době, kdy nejen nesl tíhu naší a evropské krise, nýbrž byl též zahrnut ano</w:t>
      </w:r>
      <w:r>
        <w:rPr>
          <w:i/>
          <w:iCs/>
          <w:sz w:val="20"/>
          <w:szCs w:val="20"/>
        </w:rPr>
        <w:softHyphen/>
        <w:t>nymními dopisy hrubého ob</w:t>
      </w:r>
      <w:r>
        <w:rPr>
          <w:i/>
          <w:iCs/>
          <w:sz w:val="20"/>
          <w:szCs w:val="20"/>
        </w:rPr>
        <w:softHyphen/>
        <w:t>sahu. Jeho fysická odolnost byla podemleta tě</w:t>
      </w:r>
      <w:r>
        <w:rPr>
          <w:i/>
          <w:iCs/>
          <w:sz w:val="20"/>
          <w:szCs w:val="20"/>
        </w:rPr>
        <w:t>ž z dušev</w:t>
      </w:r>
      <w:r>
        <w:rPr>
          <w:i/>
          <w:iCs/>
          <w:sz w:val="20"/>
          <w:szCs w:val="20"/>
        </w:rPr>
        <w:softHyphen/>
        <w:t>ní sféry.</w:t>
      </w:r>
    </w:p>
    <w:p w:rsidR="00500724" w:rsidRDefault="00F30FB8">
      <w:pPr>
        <w:pStyle w:val="Zkladntext1"/>
        <w:shd w:val="clear" w:color="auto" w:fill="auto"/>
        <w:spacing w:after="40" w:line="180" w:lineRule="auto"/>
        <w:ind w:firstLine="200"/>
        <w:rPr>
          <w:sz w:val="20"/>
          <w:szCs w:val="20"/>
        </w:rPr>
      </w:pPr>
      <w:r>
        <w:rPr>
          <w:i/>
          <w:iCs/>
          <w:sz w:val="20"/>
          <w:szCs w:val="20"/>
        </w:rPr>
        <w:t>Bolestný byl však nejen ko</w:t>
      </w:r>
      <w:r>
        <w:rPr>
          <w:i/>
          <w:iCs/>
          <w:sz w:val="20"/>
          <w:szCs w:val="20"/>
        </w:rPr>
        <w:softHyphen/>
        <w:t>nec, ale</w:t>
      </w:r>
      <w:r>
        <w:rPr>
          <w:rFonts w:ascii="Arial" w:eastAsia="Arial" w:hAnsi="Arial" w:cs="Arial"/>
          <w:sz w:val="18"/>
          <w:szCs w:val="18"/>
        </w:rPr>
        <w:t xml:space="preserve"> i </w:t>
      </w:r>
      <w:r>
        <w:rPr>
          <w:i/>
          <w:iCs/>
          <w:sz w:val="20"/>
          <w:szCs w:val="20"/>
        </w:rPr>
        <w:t>začátek jeho jedi</w:t>
      </w:r>
      <w:r>
        <w:rPr>
          <w:i/>
          <w:iCs/>
          <w:sz w:val="20"/>
          <w:szCs w:val="20"/>
        </w:rPr>
        <w:softHyphen/>
        <w:t>nečné literární dráhy. V dra</w:t>
      </w:r>
      <w:r>
        <w:rPr>
          <w:i/>
          <w:iCs/>
          <w:sz w:val="20"/>
          <w:szCs w:val="20"/>
        </w:rPr>
        <w:softHyphen/>
        <w:t>matu n&gt;Ze života hmyzu*. kte</w:t>
      </w:r>
      <w:r>
        <w:rPr>
          <w:i/>
          <w:iCs/>
          <w:sz w:val="20"/>
          <w:szCs w:val="20"/>
        </w:rPr>
        <w:softHyphen/>
        <w:t>ré napsal se svým bratrem a které řadím mezi nejzname</w:t>
      </w:r>
      <w:r>
        <w:rPr>
          <w:i/>
          <w:iCs/>
          <w:sz w:val="20"/>
          <w:szCs w:val="20"/>
        </w:rPr>
        <w:softHyphen/>
        <w:t>nitější výtvory světové litera</w:t>
      </w:r>
      <w:r>
        <w:rPr>
          <w:i/>
          <w:iCs/>
          <w:sz w:val="20"/>
          <w:szCs w:val="20"/>
        </w:rPr>
        <w:softHyphen/>
        <w:t>tury, to není ukrutnost zví</w:t>
      </w:r>
      <w:r>
        <w:rPr>
          <w:i/>
          <w:iCs/>
          <w:sz w:val="20"/>
          <w:szCs w:val="20"/>
        </w:rPr>
        <w:softHyphen/>
        <w:t>řecí, nýb</w:t>
      </w:r>
      <w:r>
        <w:rPr>
          <w:i/>
          <w:iCs/>
          <w:sz w:val="20"/>
          <w:szCs w:val="20"/>
        </w:rPr>
        <w:t>rž ukrutnost lidská, nad níž se rozbolel. Má to dí</w:t>
      </w:r>
      <w:r>
        <w:rPr>
          <w:i/>
          <w:iCs/>
          <w:sz w:val="20"/>
          <w:szCs w:val="20"/>
        </w:rPr>
        <w:softHyphen/>
        <w:t>lo — jako mnohá jiná, jež Čapek napsal — několik vrstev; nad jednou se za</w:t>
      </w:r>
      <w:r>
        <w:rPr>
          <w:i/>
          <w:iCs/>
          <w:sz w:val="20"/>
          <w:szCs w:val="20"/>
        </w:rPr>
        <w:softHyphen/>
        <w:t>jíkáte smíchy, nad druhou se vážně zamyslíte, v třetí, nej</w:t>
      </w:r>
      <w:r>
        <w:rPr>
          <w:i/>
          <w:iCs/>
          <w:sz w:val="20"/>
          <w:szCs w:val="20"/>
        </w:rPr>
        <w:softHyphen/>
        <w:t>spodnější, je hořká tresť ži</w:t>
      </w:r>
      <w:r>
        <w:rPr>
          <w:i/>
          <w:iCs/>
          <w:sz w:val="20"/>
          <w:szCs w:val="20"/>
        </w:rPr>
        <w:softHyphen/>
        <w:t>vota. Ale zdá se, že se málo vidí, že tu ne</w:t>
      </w:r>
      <w:r>
        <w:rPr>
          <w:i/>
          <w:iCs/>
          <w:sz w:val="20"/>
          <w:szCs w:val="20"/>
        </w:rPr>
        <w:t>jsou lidé kariko- váni k obrazu zvířecímu, ný</w:t>
      </w:r>
      <w:r>
        <w:rPr>
          <w:i/>
          <w:iCs/>
          <w:sz w:val="20"/>
          <w:szCs w:val="20"/>
        </w:rPr>
        <w:softHyphen/>
        <w:t>brž zvířata k obrazu lidské</w:t>
      </w:r>
      <w:r>
        <w:rPr>
          <w:i/>
          <w:iCs/>
          <w:sz w:val="20"/>
          <w:szCs w:val="20"/>
        </w:rPr>
        <w:softHyphen/>
        <w:t>mu. Hmyz podléhá naivně zá</w:t>
      </w:r>
      <w:r>
        <w:rPr>
          <w:i/>
          <w:iCs/>
          <w:sz w:val="20"/>
          <w:szCs w:val="20"/>
        </w:rPr>
        <w:softHyphen/>
        <w:t>konu divočiny, který zní: »Žer, nebo budeš sežráni:; člověk však podléhá svým vlastním výtvorům: démo</w:t>
      </w:r>
      <w:r>
        <w:rPr>
          <w:i/>
          <w:iCs/>
          <w:sz w:val="20"/>
          <w:szCs w:val="20"/>
        </w:rPr>
        <w:softHyphen/>
        <w:t>nům ducha, které dovedl jako učeň kouzelníkův vyvolat</w:t>
      </w:r>
      <w:r>
        <w:rPr>
          <w:i/>
          <w:iCs/>
          <w:sz w:val="20"/>
          <w:szCs w:val="20"/>
        </w:rPr>
        <w:t>, ni</w:t>
      </w:r>
      <w:r>
        <w:rPr>
          <w:i/>
          <w:iCs/>
          <w:sz w:val="20"/>
          <w:szCs w:val="20"/>
        </w:rPr>
        <w:softHyphen/>
        <w:t>koli zažehnat a zvládnout, a silám strojové civilisace, které iej hrozí usmykat k smrti... Jen jedno světélko tu září do temnoty. Najdete je na kon</w:t>
      </w:r>
      <w:r>
        <w:rPr>
          <w:i/>
          <w:iCs/>
          <w:sz w:val="20"/>
          <w:szCs w:val="20"/>
        </w:rPr>
        <w:softHyphen/>
        <w:t>ci R. U. R., v okamžiku, kdy se mezi roboty narodí láska.</w:t>
      </w:r>
    </w:p>
    <w:p w:rsidR="00500724" w:rsidRDefault="00F30FB8">
      <w:pPr>
        <w:pStyle w:val="Zkladntext1"/>
        <w:shd w:val="clear" w:color="auto" w:fill="auto"/>
        <w:spacing w:after="40" w:line="182" w:lineRule="auto"/>
        <w:ind w:firstLine="200"/>
        <w:rPr>
          <w:sz w:val="20"/>
          <w:szCs w:val="20"/>
        </w:rPr>
        <w:sectPr w:rsidR="00500724">
          <w:footnotePr>
            <w:numFmt w:val="chicago"/>
            <w:numRestart w:val="eachPage"/>
          </w:footnotePr>
          <w:pgSz w:w="11909" w:h="16834"/>
          <w:pgMar w:top="800" w:right="1039" w:bottom="701" w:left="2892" w:header="0" w:footer="3" w:gutter="0"/>
          <w:cols w:num="2" w:sep="1" w:space="2637"/>
          <w:noEndnote/>
          <w:docGrid w:linePitch="360"/>
        </w:sectPr>
      </w:pPr>
      <w:r>
        <w:rPr>
          <w:i/>
          <w:iCs/>
          <w:sz w:val="20"/>
          <w:szCs w:val="20"/>
        </w:rPr>
        <w:t>V době, kdy jse</w:t>
      </w:r>
      <w:r>
        <w:rPr>
          <w:i/>
          <w:iCs/>
          <w:sz w:val="20"/>
          <w:szCs w:val="20"/>
        </w:rPr>
        <w:t>m Karla Čapka poznal, a ještě několik let potom, byl literárně v ja</w:t>
      </w:r>
      <w:r>
        <w:rPr>
          <w:i/>
          <w:iCs/>
          <w:sz w:val="20"/>
          <w:szCs w:val="20"/>
        </w:rPr>
        <w:softHyphen/>
        <w:t>kési krisi, o níž se šuškalo mezi literáty. Uchyloval se k úsměvným, ale relativistic</w:t>
      </w:r>
      <w:r>
        <w:rPr>
          <w:i/>
          <w:iCs/>
          <w:sz w:val="20"/>
          <w:szCs w:val="20"/>
        </w:rPr>
        <w:softHyphen/>
        <w:t>kým drobnokresbám; uklá</w:t>
      </w:r>
      <w:r>
        <w:rPr>
          <w:i/>
          <w:iCs/>
          <w:sz w:val="20"/>
          <w:szCs w:val="20"/>
        </w:rPr>
        <w:softHyphen/>
        <w:t>dal do svých úvah a sloupků atomy životní moudrosti hod</w:t>
      </w:r>
      <w:r>
        <w:rPr>
          <w:i/>
          <w:iCs/>
          <w:sz w:val="20"/>
          <w:szCs w:val="20"/>
        </w:rPr>
        <w:softHyphen/>
        <w:t>ně skeptické, nebo. ja</w:t>
      </w:r>
      <w:r>
        <w:rPr>
          <w:i/>
          <w:iCs/>
          <w:sz w:val="20"/>
          <w:szCs w:val="20"/>
        </w:rPr>
        <w:t xml:space="preserve">k se tehdy o něm říkalo, </w:t>
      </w:r>
      <w:r>
        <w:rPr>
          <w:i/>
          <w:iCs/>
          <w:sz w:val="20"/>
          <w:szCs w:val="20"/>
          <w:lang w:val="en-US" w:eastAsia="en-US" w:bidi="en-US"/>
        </w:rPr>
        <w:t xml:space="preserve">pragma- </w:t>
      </w:r>
      <w:r>
        <w:rPr>
          <w:i/>
          <w:iCs/>
          <w:sz w:val="20"/>
          <w:szCs w:val="20"/>
        </w:rPr>
        <w:t>tistické (snad proto že svou doktorskou disertaci napsa</w:t>
      </w:r>
      <w:r>
        <w:rPr>
          <w:i/>
          <w:iCs/>
          <w:sz w:val="20"/>
          <w:szCs w:val="20"/>
          <w:vertAlign w:val="superscript"/>
        </w:rPr>
        <w:t xml:space="preserve">1 </w:t>
      </w:r>
      <w:r>
        <w:rPr>
          <w:i/>
          <w:iCs/>
          <w:sz w:val="20"/>
          <w:szCs w:val="20"/>
        </w:rPr>
        <w:t>o americkém filosofickém pragmatismu). Byla to doba kdy se chudobní duchově strašně rozpřahovali, jak zboří, pif paf puf. starý svě</w:t>
      </w:r>
      <w:r>
        <w:rPr>
          <w:i/>
          <w:iCs/>
          <w:sz w:val="20"/>
          <w:szCs w:val="20"/>
          <w:vertAlign w:val="superscript"/>
        </w:rPr>
        <w:t xml:space="preserve">1 </w:t>
      </w:r>
      <w:r>
        <w:rPr>
          <w:i/>
          <w:iCs/>
          <w:sz w:val="20"/>
          <w:szCs w:val="20"/>
        </w:rPr>
        <w:t xml:space="preserve">a vystaví svět nový. kdy se </w:t>
      </w:r>
      <w:r>
        <w:rPr>
          <w:i/>
          <w:iCs/>
          <w:sz w:val="20"/>
          <w:szCs w:val="20"/>
        </w:rPr>
        <w:t>sociální problémy zaklínaly do chudičkých formulek o pá du kapitalismu a buržoasie nebo zase o demokratická žvardmě. Dívali se úkosem na Karla Čapka. Jaká ne</w:t>
      </w:r>
      <w:r>
        <w:rPr>
          <w:i/>
          <w:iCs/>
          <w:sz w:val="20"/>
          <w:szCs w:val="20"/>
        </w:rPr>
        <w:softHyphen/>
        <w:t>rozhodnost. jaké lavíro</w:t>
      </w:r>
      <w:r>
        <w:rPr>
          <w:i/>
          <w:iCs/>
          <w:sz w:val="20"/>
          <w:szCs w:val="20"/>
        </w:rPr>
        <w:softHyphen/>
        <w:t>vání! A ve skutečností bv</w:t>
      </w:r>
      <w:r>
        <w:rPr>
          <w:i/>
          <w:iCs/>
          <w:sz w:val="20"/>
          <w:szCs w:val="20"/>
          <w:vertAlign w:val="superscript"/>
        </w:rPr>
        <w:t xml:space="preserve">1 </w:t>
      </w:r>
      <w:r>
        <w:rPr>
          <w:i/>
          <w:iCs/>
          <w:sz w:val="20"/>
          <w:szCs w:val="20"/>
        </w:rPr>
        <w:t>Čapek zavinut do sebe jako hmyzí kukla; občas s</w:t>
      </w:r>
      <w:r>
        <w:rPr>
          <w:i/>
          <w:iCs/>
          <w:sz w:val="20"/>
          <w:szCs w:val="20"/>
        </w:rPr>
        <w:t>ebou za</w:t>
      </w:r>
    </w:p>
    <w:p w:rsidR="00500724" w:rsidRDefault="00F30FB8">
      <w:pPr>
        <w:spacing w:line="14" w:lineRule="exact"/>
      </w:pPr>
      <w:r>
        <w:rPr>
          <w:noProof/>
        </w:rPr>
        <mc:AlternateContent>
          <mc:Choice Requires="wps">
            <w:drawing>
              <wp:anchor distT="0" distB="101600" distL="114300" distR="114300" simplePos="0" relativeHeight="125829408" behindDoc="0" locked="0" layoutInCell="1" allowOverlap="1">
                <wp:simplePos x="0" y="0"/>
                <wp:positionH relativeFrom="page">
                  <wp:posOffset>1098550</wp:posOffset>
                </wp:positionH>
                <wp:positionV relativeFrom="paragraph">
                  <wp:posOffset>12700</wp:posOffset>
                </wp:positionV>
                <wp:extent cx="2545080" cy="61595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2545080" cy="615950"/>
                        </a:xfrm>
                        <a:prstGeom prst="rect">
                          <a:avLst/>
                        </a:prstGeom>
                        <a:noFill/>
                      </wps:spPr>
                      <wps:txbx>
                        <w:txbxContent>
                          <w:p w:rsidR="00500724" w:rsidRDefault="00F30FB8">
                            <w:pPr>
                              <w:pStyle w:val="Jin0"/>
                              <w:shd w:val="clear" w:color="auto" w:fill="auto"/>
                              <w:spacing w:after="60"/>
                              <w:ind w:firstLine="0"/>
                              <w:jc w:val="left"/>
                              <w:rPr>
                                <w:sz w:val="44"/>
                                <w:szCs w:val="44"/>
                              </w:rPr>
                            </w:pPr>
                            <w:r>
                              <w:rPr>
                                <w:i/>
                                <w:iCs/>
                                <w:sz w:val="44"/>
                                <w:szCs w:val="44"/>
                              </w:rPr>
                              <w:t>nevdáte lád ípi&amp;teta?</w:t>
                            </w:r>
                          </w:p>
                          <w:p w:rsidR="00500724" w:rsidRDefault="00F30FB8">
                            <w:pPr>
                              <w:pStyle w:val="Zkladntext1"/>
                              <w:shd w:val="clear" w:color="auto" w:fill="auto"/>
                              <w:spacing w:line="202" w:lineRule="auto"/>
                              <w:ind w:left="780" w:firstLine="0"/>
                              <w:rPr>
                                <w:sz w:val="18"/>
                                <w:szCs w:val="18"/>
                              </w:rPr>
                            </w:pPr>
                            <w:r>
                              <w:rPr>
                                <w:sz w:val="18"/>
                                <w:szCs w:val="18"/>
                              </w:rPr>
                              <w:t xml:space="preserve">Odpověd pošlete lasKavě do adm. </w:t>
                            </w:r>
                            <w:r>
                              <w:rPr>
                                <w:rFonts w:ascii="Arial" w:eastAsia="Arial" w:hAnsi="Arial" w:cs="Arial"/>
                                <w:sz w:val="16"/>
                                <w:szCs w:val="16"/>
                              </w:rPr>
                              <w:t xml:space="preserve">t. 1. </w:t>
                            </w:r>
                            <w:r>
                              <w:rPr>
                                <w:sz w:val="18"/>
                                <w:szCs w:val="18"/>
                              </w:rPr>
                              <w:t>pod značnou „E p iKt eí</w:t>
                            </w:r>
                          </w:p>
                        </w:txbxContent>
                      </wps:txbx>
                      <wps:bodyPr lIns="0" tIns="0" rIns="0" bIns="0">
                        <a:spAutoFit/>
                      </wps:bodyPr>
                    </wps:wsp>
                  </a:graphicData>
                </a:graphic>
              </wp:anchor>
            </w:drawing>
          </mc:Choice>
          <mc:Fallback>
            <w:pict>
              <v:shape id="_x0000_s1057" type="#_x0000_t202" style="position:absolute;margin-left:86.5pt;margin-top:1.pt;width:200.40000000000001pt;height:48.5pt;z-index:-125829345;mso-wrap-distance-left:9.pt;mso-wrap-distance-right:9.pt;mso-wrap-distance-bottom:8.pt;mso-position-horizontal-relative:page" filled="f" stroked="f">
                <v:textbox style="mso-fit-shape-to-text:t" inset="0,0,0,0">
                  <w:txbxContent>
                    <w:p>
                      <w:pPr>
                        <w:pStyle w:val="Style12"/>
                        <w:keepNext w:val="0"/>
                        <w:keepLines w:val="0"/>
                        <w:widowControl w:val="0"/>
                        <w:shd w:val="clear" w:color="auto" w:fill="auto"/>
                        <w:bidi w:val="0"/>
                        <w:spacing w:before="0" w:after="60" w:line="240" w:lineRule="auto"/>
                        <w:ind w:left="0" w:right="0" w:firstLine="0"/>
                        <w:jc w:val="left"/>
                        <w:rPr>
                          <w:sz w:val="44"/>
                          <w:szCs w:val="44"/>
                        </w:rPr>
                      </w:pPr>
                      <w:r>
                        <w:rPr>
                          <w:i/>
                          <w:iCs/>
                          <w:color w:val="000000"/>
                          <w:spacing w:val="0"/>
                          <w:w w:val="100"/>
                          <w:position w:val="0"/>
                          <w:sz w:val="44"/>
                          <w:szCs w:val="44"/>
                          <w:shd w:val="clear" w:color="auto" w:fill="auto"/>
                          <w:lang w:val="cs-CZ" w:eastAsia="cs-CZ" w:bidi="cs-CZ"/>
                        </w:rPr>
                        <w:t>nevdáte lád ípi&amp;teta?</w:t>
                      </w:r>
                    </w:p>
                    <w:p>
                      <w:pPr>
                        <w:pStyle w:val="Style18"/>
                        <w:keepNext w:val="0"/>
                        <w:keepLines w:val="0"/>
                        <w:widowControl w:val="0"/>
                        <w:shd w:val="clear" w:color="auto" w:fill="auto"/>
                        <w:bidi w:val="0"/>
                        <w:spacing w:before="0" w:after="0" w:line="202" w:lineRule="auto"/>
                        <w:ind w:left="780" w:right="0" w:firstLine="0"/>
                        <w:rPr>
                          <w:sz w:val="18"/>
                          <w:szCs w:val="18"/>
                        </w:rPr>
                      </w:pPr>
                      <w:r>
                        <w:rPr>
                          <w:color w:val="000000"/>
                          <w:spacing w:val="0"/>
                          <w:w w:val="100"/>
                          <w:position w:val="0"/>
                          <w:sz w:val="18"/>
                          <w:szCs w:val="18"/>
                          <w:shd w:val="clear" w:color="auto" w:fill="auto"/>
                          <w:lang w:val="cs-CZ" w:eastAsia="cs-CZ" w:bidi="cs-CZ"/>
                        </w:rPr>
                        <w:t xml:space="preserve">Odpověd pošlete lasKavě do adm. </w:t>
                      </w:r>
                      <w:r>
                        <w:rPr>
                          <w:rFonts w:ascii="Arial" w:eastAsia="Arial" w:hAnsi="Arial" w:cs="Arial"/>
                          <w:color w:val="000000"/>
                          <w:spacing w:val="0"/>
                          <w:w w:val="100"/>
                          <w:position w:val="0"/>
                          <w:sz w:val="16"/>
                          <w:szCs w:val="16"/>
                          <w:shd w:val="clear" w:color="auto" w:fill="auto"/>
                          <w:lang w:val="cs-CZ" w:eastAsia="cs-CZ" w:bidi="cs-CZ"/>
                        </w:rPr>
                        <w:t xml:space="preserve">t. 1. </w:t>
                      </w:r>
                      <w:r>
                        <w:rPr>
                          <w:color w:val="000000"/>
                          <w:spacing w:val="0"/>
                          <w:w w:val="100"/>
                          <w:position w:val="0"/>
                          <w:sz w:val="18"/>
                          <w:szCs w:val="18"/>
                          <w:shd w:val="clear" w:color="auto" w:fill="auto"/>
                          <w:lang w:val="cs-CZ" w:eastAsia="cs-CZ" w:bidi="cs-CZ"/>
                        </w:rPr>
                        <w:t>pod značnou „E p iKt eí</w:t>
                      </w:r>
                    </w:p>
                  </w:txbxContent>
                </v:textbox>
                <w10:wrap type="topAndBottom" anchorx="page"/>
              </v:shape>
            </w:pict>
          </mc:Fallback>
        </mc:AlternateContent>
      </w:r>
      <w:r>
        <w:rPr>
          <w:noProof/>
        </w:rPr>
        <mc:AlternateContent>
          <mc:Choice Requires="wps">
            <w:drawing>
              <wp:anchor distT="0" distB="0" distL="114300" distR="114300" simplePos="0" relativeHeight="125829410" behindDoc="0" locked="0" layoutInCell="1" allowOverlap="1">
                <wp:simplePos x="0" y="0"/>
                <wp:positionH relativeFrom="page">
                  <wp:posOffset>4220210</wp:posOffset>
                </wp:positionH>
                <wp:positionV relativeFrom="paragraph">
                  <wp:posOffset>2910840</wp:posOffset>
                </wp:positionV>
                <wp:extent cx="2453640" cy="1429385"/>
                <wp:effectExtent l="0" t="0" r="0" b="0"/>
                <wp:wrapSquare wrapText="bothSides"/>
                <wp:docPr id="33" name="Shape 33"/>
                <wp:cNvGraphicFramePr/>
                <a:graphic xmlns:a="http://schemas.openxmlformats.org/drawingml/2006/main">
                  <a:graphicData uri="http://schemas.microsoft.com/office/word/2010/wordprocessingShape">
                    <wps:wsp>
                      <wps:cNvSpPr txBox="1"/>
                      <wps:spPr>
                        <a:xfrm>
                          <a:off x="0" y="0"/>
                          <a:ext cx="2453640" cy="1429385"/>
                        </a:xfrm>
                        <a:prstGeom prst="rect">
                          <a:avLst/>
                        </a:prstGeom>
                        <a:noFill/>
                      </wps:spPr>
                      <wps:txbx>
                        <w:txbxContent>
                          <w:p w:rsidR="00500724" w:rsidRDefault="00F30FB8">
                            <w:pPr>
                              <w:pStyle w:val="Zkladntext80"/>
                              <w:shd w:val="clear" w:color="auto" w:fill="auto"/>
                              <w:spacing w:after="60"/>
                              <w:jc w:val="both"/>
                            </w:pPr>
                            <w:r>
                              <w:t>nou benzolovou směs! Motor lehce naskočí, síla a energie vozu se zvýší, kdežto spotřeba pohonné látky klesne až o 15%.</w:t>
                            </w:r>
                          </w:p>
                          <w:p w:rsidR="00500724" w:rsidRDefault="00F30FB8">
                            <w:pPr>
                              <w:pStyle w:val="Zkladntext80"/>
                              <w:shd w:val="clear" w:color="auto" w:fill="auto"/>
                              <w:spacing w:line="310" w:lineRule="auto"/>
                            </w:pPr>
                            <w:r>
                              <w:t>V zimě oceníte dvojnásob vý</w:t>
                            </w:r>
                            <w:r>
                              <w:softHyphen/>
                            </w:r>
                            <w:r>
                              <w:t xml:space="preserve">borné vlastnosti </w:t>
                            </w:r>
                            <w:r>
                              <w:rPr>
                                <w:u w:val="single"/>
                              </w:rPr>
                              <w:t>zelené benzolové směsi.</w:t>
                            </w:r>
                          </w:p>
                        </w:txbxContent>
                      </wps:txbx>
                      <wps:bodyPr lIns="0" tIns="0" rIns="0" bIns="0">
                        <a:spAutoFit/>
                      </wps:bodyPr>
                    </wps:wsp>
                  </a:graphicData>
                </a:graphic>
              </wp:anchor>
            </w:drawing>
          </mc:Choice>
          <mc:Fallback>
            <w:pict>
              <v:shape id="_x0000_s1059" type="#_x0000_t202" style="position:absolute;margin-left:332.30000000000001pt;margin-top:229.19999999999999pt;width:193.19999999999999pt;height:112.55pt;z-index:-125829343;mso-wrap-distance-left:9.pt;mso-wrap-distance-right:9.pt;mso-position-horizontal-relative:page" filled="f" stroked="f">
                <v:textbox style="mso-fit-shape-to-text:t" inset="0,0,0,0">
                  <w:txbxContent>
                    <w:p>
                      <w:pPr>
                        <w:pStyle w:val="Style150"/>
                        <w:keepNext w:val="0"/>
                        <w:keepLines w:val="0"/>
                        <w:widowControl w:val="0"/>
                        <w:shd w:val="clear" w:color="auto" w:fill="auto"/>
                        <w:bidi w:val="0"/>
                        <w:spacing w:before="0" w:after="60"/>
                        <w:ind w:left="0" w:right="0" w:firstLine="0"/>
                        <w:jc w:val="both"/>
                      </w:pPr>
                      <w:r>
                        <w:rPr>
                          <w:color w:val="000000"/>
                          <w:spacing w:val="0"/>
                          <w:w w:val="100"/>
                          <w:position w:val="0"/>
                          <w:shd w:val="clear" w:color="auto" w:fill="auto"/>
                          <w:lang w:val="cs-CZ" w:eastAsia="cs-CZ" w:bidi="cs-CZ"/>
                        </w:rPr>
                        <w:t>nou benzolovou směs! Motor lehce naskočí, síla a energie vozu se zvýší, kdežto spotřeba pohonné látky klesne až o 15%.</w:t>
                      </w:r>
                    </w:p>
                    <w:p>
                      <w:pPr>
                        <w:pStyle w:val="Style150"/>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cs-CZ" w:eastAsia="cs-CZ" w:bidi="cs-CZ"/>
                        </w:rPr>
                        <w:t>V zimě oceníte dvojnásob vý</w:t>
                        <w:softHyphen/>
                        <w:t xml:space="preserve">borné vlastnosti </w:t>
                      </w:r>
                      <w:r>
                        <w:rPr>
                          <w:color w:val="000000"/>
                          <w:spacing w:val="0"/>
                          <w:w w:val="100"/>
                          <w:position w:val="0"/>
                          <w:u w:val="single"/>
                          <w:shd w:val="clear" w:color="auto" w:fill="auto"/>
                          <w:lang w:val="cs-CZ" w:eastAsia="cs-CZ" w:bidi="cs-CZ"/>
                        </w:rPr>
                        <w:t>zelené benzolové směsi.</w:t>
                      </w:r>
                    </w:p>
                  </w:txbxContent>
                </v:textbox>
                <w10:wrap type="square" anchorx="page"/>
              </v:shape>
            </w:pict>
          </mc:Fallback>
        </mc:AlternateContent>
      </w:r>
      <w:r>
        <w:rPr>
          <w:noProof/>
        </w:rPr>
        <mc:AlternateContent>
          <mc:Choice Requires="wps">
            <w:drawing>
              <wp:anchor distT="0" distB="0" distL="114300" distR="114300" simplePos="0" relativeHeight="125829412" behindDoc="0" locked="0" layoutInCell="1" allowOverlap="1">
                <wp:simplePos x="0" y="0"/>
                <wp:positionH relativeFrom="page">
                  <wp:posOffset>3973195</wp:posOffset>
                </wp:positionH>
                <wp:positionV relativeFrom="paragraph">
                  <wp:posOffset>5654040</wp:posOffset>
                </wp:positionV>
                <wp:extent cx="2917190" cy="1737360"/>
                <wp:effectExtent l="0" t="0" r="0" b="0"/>
                <wp:wrapSquare wrapText="bothSides"/>
                <wp:docPr id="35" name="Shape 35"/>
                <wp:cNvGraphicFramePr/>
                <a:graphic xmlns:a="http://schemas.openxmlformats.org/drawingml/2006/main">
                  <a:graphicData uri="http://schemas.microsoft.com/office/word/2010/wordprocessingShape">
                    <wps:wsp>
                      <wps:cNvSpPr txBox="1"/>
                      <wps:spPr>
                        <a:xfrm>
                          <a:off x="0" y="0"/>
                          <a:ext cx="2917190" cy="1737360"/>
                        </a:xfrm>
                        <a:prstGeom prst="rect">
                          <a:avLst/>
                        </a:prstGeom>
                        <a:noFill/>
                      </wps:spPr>
                      <wps:txbx>
                        <w:txbxContent>
                          <w:p w:rsidR="00500724" w:rsidRDefault="00F30FB8">
                            <w:pPr>
                              <w:pStyle w:val="Zkladntext40"/>
                              <w:shd w:val="clear" w:color="auto" w:fill="auto"/>
                              <w:spacing w:after="0"/>
                              <w:ind w:left="260" w:hanging="260"/>
                            </w:pPr>
                            <w:r>
                              <w:t>ClSTECKÝ JUDr. Jiří, Odstraňováni stavebních a komu</w:t>
                            </w:r>
                            <w:r>
                              <w:softHyphen/>
                              <w:t>nikačních závad v obcích. 18.5X12 cm, 72 str.,</w:t>
                            </w:r>
                          </w:p>
                          <w:p w:rsidR="00500724" w:rsidRDefault="00F30FB8">
                            <w:pPr>
                              <w:pStyle w:val="Zkladntext40"/>
                              <w:shd w:val="clear" w:color="auto" w:fill="auto"/>
                              <w:spacing w:after="0"/>
                              <w:jc w:val="right"/>
                            </w:pPr>
                            <w:r>
                              <w:t>brož. Kč 10.—</w:t>
                            </w:r>
                          </w:p>
                          <w:p w:rsidR="00500724" w:rsidRDefault="00F30FB8">
                            <w:pPr>
                              <w:pStyle w:val="Zkladntext40"/>
                              <w:shd w:val="clear" w:color="auto" w:fill="auto"/>
                              <w:tabs>
                                <w:tab w:val="left" w:pos="3470"/>
                              </w:tabs>
                              <w:spacing w:after="0"/>
                              <w:ind w:left="260" w:hanging="260"/>
                            </w:pPr>
                            <w:r>
                              <w:t>KALINA Ant. S. dlpl. Dr., Krví a železem. 24 X 16.5 cm, 333 str.,</w:t>
                            </w:r>
                            <w:r>
                              <w:tab/>
                              <w:t>brož. Kč 45.—</w:t>
                            </w:r>
                          </w:p>
                          <w:p w:rsidR="00500724" w:rsidRDefault="00F30FB8">
                            <w:pPr>
                              <w:pStyle w:val="Zkladntext40"/>
                              <w:shd w:val="clear" w:color="auto" w:fill="auto"/>
                              <w:spacing w:after="0"/>
                              <w:ind w:left="260" w:hanging="260"/>
                            </w:pPr>
                            <w:r>
                              <w:t xml:space="preserve">KOZÁK </w:t>
                            </w:r>
                            <w:r>
                              <w:rPr>
                                <w:lang w:val="en-US" w:eastAsia="en-US" w:bidi="en-US"/>
                              </w:rPr>
                              <w:t xml:space="preserve">J. </w:t>
                            </w:r>
                            <w:r>
                              <w:t>B., Věda a</w:t>
                            </w:r>
                            <w:r>
                              <w:t xml:space="preserve"> duch. 16X12 cm, 322 str.,</w:t>
                            </w:r>
                          </w:p>
                          <w:p w:rsidR="00500724" w:rsidRDefault="00F30FB8">
                            <w:pPr>
                              <w:pStyle w:val="Zkladntext40"/>
                              <w:shd w:val="clear" w:color="auto" w:fill="auto"/>
                              <w:spacing w:after="0"/>
                              <w:jc w:val="right"/>
                            </w:pPr>
                            <w:r>
                              <w:t>brož. Kč 33.—, váz. Kč 48 —</w:t>
                            </w:r>
                          </w:p>
                          <w:p w:rsidR="00500724" w:rsidRDefault="00F30FB8">
                            <w:pPr>
                              <w:pStyle w:val="Zkladntext40"/>
                              <w:shd w:val="clear" w:color="auto" w:fill="auto"/>
                              <w:tabs>
                                <w:tab w:val="left" w:pos="3470"/>
                              </w:tabs>
                              <w:spacing w:after="0"/>
                              <w:ind w:left="260" w:hanging="260"/>
                            </w:pPr>
                            <w:r>
                              <w:t>NOVÁK Arne, Josef Pekař, jeho cesta domovem a životem. S kresbami Karla Víka. 23X16 cm, 63 str., na křído</w:t>
                            </w:r>
                            <w:r>
                              <w:softHyphen/>
                              <w:t>vém papíře,</w:t>
                            </w:r>
                            <w:r>
                              <w:tab/>
                              <w:t>brož Kč 25.—</w:t>
                            </w:r>
                          </w:p>
                          <w:p w:rsidR="00500724" w:rsidRDefault="00F30FB8">
                            <w:pPr>
                              <w:pStyle w:val="Zkladntext40"/>
                              <w:shd w:val="clear" w:color="auto" w:fill="auto"/>
                              <w:tabs>
                                <w:tab w:val="left" w:pos="3470"/>
                              </w:tabs>
                              <w:spacing w:after="0"/>
                              <w:ind w:left="260" w:hanging="260"/>
                            </w:pPr>
                            <w:r>
                              <w:t xml:space="preserve">SIBLÍK Josef Dr., Některé problémy daně z darování (Věna, výbavy, </w:t>
                            </w:r>
                            <w:r>
                              <w:t>apanáže, remunerace.) 21.5X15 cm, 78 str.,</w:t>
                            </w:r>
                            <w:r>
                              <w:tab/>
                              <w:t>brož. Kč 15.—</w:t>
                            </w:r>
                          </w:p>
                          <w:p w:rsidR="00500724" w:rsidRDefault="00F30FB8">
                            <w:pPr>
                              <w:pStyle w:val="Zkladntext40"/>
                              <w:shd w:val="clear" w:color="auto" w:fill="auto"/>
                              <w:tabs>
                                <w:tab w:val="left" w:pos="3470"/>
                              </w:tabs>
                              <w:spacing w:after="0"/>
                              <w:ind w:left="260" w:hanging="260"/>
                            </w:pPr>
                            <w:r>
                              <w:t>TVRDOřl J„ O úpravě hraníc pozemků. 21.5 X15 cm. 55 str.,</w:t>
                            </w:r>
                            <w:r>
                              <w:tab/>
                              <w:t>brož. Kč 10 —</w:t>
                            </w:r>
                          </w:p>
                          <w:p w:rsidR="00500724" w:rsidRDefault="00F30FB8">
                            <w:pPr>
                              <w:pStyle w:val="Zkladntext40"/>
                              <w:shd w:val="clear" w:color="auto" w:fill="auto"/>
                              <w:spacing w:after="0"/>
                              <w:ind w:left="260" w:hanging="260"/>
                            </w:pPr>
                            <w:r>
                              <w:t>VERNER Vladimír, Státní občanství a opce v důsledku připojení územ! k Německu. 21X15 cm, 31 str.,</w:t>
                            </w:r>
                          </w:p>
                          <w:p w:rsidR="00500724" w:rsidRDefault="00F30FB8">
                            <w:pPr>
                              <w:pStyle w:val="Zkladntext40"/>
                              <w:shd w:val="clear" w:color="auto" w:fill="auto"/>
                              <w:spacing w:after="0"/>
                              <w:jc w:val="right"/>
                            </w:pPr>
                            <w:r>
                              <w:t>brož. Kč 7 —</w:t>
                            </w:r>
                          </w:p>
                          <w:p w:rsidR="00500724" w:rsidRDefault="00F30FB8">
                            <w:pPr>
                              <w:pStyle w:val="Zkladntext40"/>
                              <w:shd w:val="clear" w:color="auto" w:fill="auto"/>
                              <w:tabs>
                                <w:tab w:val="left" w:pos="3466"/>
                              </w:tabs>
                              <w:spacing w:after="0"/>
                              <w:ind w:left="260" w:hanging="260"/>
                            </w:pPr>
                            <w:r>
                              <w:t>Hospodářský styk</w:t>
                            </w:r>
                            <w:r>
                              <w:t xml:space="preserve"> Česko-Slovenska se zabraným územím Sestavil Sekretariát Svazu česko-slovenských průmysl</w:t>
                            </w:r>
                            <w:r>
                              <w:softHyphen/>
                              <w:t>níků. 23X15.5 cm, 147 str.,</w:t>
                            </w:r>
                            <w:r>
                              <w:tab/>
                              <w:t>brož. Kč 28.—</w:t>
                            </w:r>
                          </w:p>
                        </w:txbxContent>
                      </wps:txbx>
                      <wps:bodyPr lIns="0" tIns="0" rIns="0" bIns="0">
                        <a:spAutoFit/>
                      </wps:bodyPr>
                    </wps:wsp>
                  </a:graphicData>
                </a:graphic>
              </wp:anchor>
            </w:drawing>
          </mc:Choice>
          <mc:Fallback>
            <w:pict>
              <v:shape id="_x0000_s1061" type="#_x0000_t202" style="position:absolute;margin-left:312.85000000000002pt;margin-top:445.19999999999999pt;width:229.69999999999999pt;height:136.80000000000001pt;z-index:-125829341;mso-wrap-distance-left:9.pt;mso-wrap-distance-right:9.pt;mso-position-horizontal-relative:page" filled="f" stroked="f">
                <v:textbox style="mso-fit-shape-to-text:t" inset="0,0,0,0">
                  <w:txbxContent>
                    <w:p>
                      <w:pPr>
                        <w:pStyle w:val="Style42"/>
                        <w:keepNext w:val="0"/>
                        <w:keepLines w:val="0"/>
                        <w:widowControl w:val="0"/>
                        <w:shd w:val="clear" w:color="auto" w:fill="auto"/>
                        <w:bidi w:val="0"/>
                        <w:spacing w:before="0" w:after="0"/>
                        <w:ind w:left="260" w:right="0" w:hanging="260"/>
                      </w:pPr>
                      <w:r>
                        <w:rPr>
                          <w:color w:val="000000"/>
                          <w:spacing w:val="0"/>
                          <w:w w:val="100"/>
                          <w:position w:val="0"/>
                          <w:shd w:val="clear" w:color="auto" w:fill="auto"/>
                          <w:lang w:val="cs-CZ" w:eastAsia="cs-CZ" w:bidi="cs-CZ"/>
                        </w:rPr>
                        <w:t>ClSTECKÝ JUDr. Jiří, Odstraňováni stavebních a komu</w:t>
                        <w:softHyphen/>
                        <w:t>nikačních závad v obcích. 18.5X12 cm, 72 str.,</w:t>
                      </w:r>
                    </w:p>
                    <w:p>
                      <w:pPr>
                        <w:pStyle w:val="Style42"/>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brož. Kč 10.—</w:t>
                      </w:r>
                    </w:p>
                    <w:p>
                      <w:pPr>
                        <w:pStyle w:val="Style42"/>
                        <w:keepNext w:val="0"/>
                        <w:keepLines w:val="0"/>
                        <w:widowControl w:val="0"/>
                        <w:shd w:val="clear" w:color="auto" w:fill="auto"/>
                        <w:tabs>
                          <w:tab w:pos="3470" w:val="left"/>
                        </w:tabs>
                        <w:bidi w:val="0"/>
                        <w:spacing w:before="0" w:after="0"/>
                        <w:ind w:left="260" w:right="0" w:hanging="260"/>
                      </w:pPr>
                      <w:r>
                        <w:rPr>
                          <w:color w:val="000000"/>
                          <w:spacing w:val="0"/>
                          <w:w w:val="100"/>
                          <w:position w:val="0"/>
                          <w:shd w:val="clear" w:color="auto" w:fill="auto"/>
                          <w:lang w:val="cs-CZ" w:eastAsia="cs-CZ" w:bidi="cs-CZ"/>
                        </w:rPr>
                        <w:t>KALINA Ant. S. dlpl. Dr., Krví a železem. 24 X 16.5 cm, 333 str.,</w:t>
                        <w:tab/>
                        <w:t>brož. Kč 45.—</w:t>
                      </w:r>
                    </w:p>
                    <w:p>
                      <w:pPr>
                        <w:pStyle w:val="Style42"/>
                        <w:keepNext w:val="0"/>
                        <w:keepLines w:val="0"/>
                        <w:widowControl w:val="0"/>
                        <w:shd w:val="clear" w:color="auto" w:fill="auto"/>
                        <w:bidi w:val="0"/>
                        <w:spacing w:before="0" w:after="0"/>
                        <w:ind w:left="260" w:right="0" w:hanging="260"/>
                      </w:pPr>
                      <w:r>
                        <w:rPr>
                          <w:color w:val="000000"/>
                          <w:spacing w:val="0"/>
                          <w:w w:val="100"/>
                          <w:position w:val="0"/>
                          <w:shd w:val="clear" w:color="auto" w:fill="auto"/>
                          <w:lang w:val="cs-CZ" w:eastAsia="cs-CZ" w:bidi="cs-CZ"/>
                        </w:rPr>
                        <w:t xml:space="preserve">KOZÁK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B., Věda a duch. 16X12 cm, 322 str.,</w:t>
                      </w:r>
                    </w:p>
                    <w:p>
                      <w:pPr>
                        <w:pStyle w:val="Style42"/>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brož. Kč 33.—, váz. Kč 48 —</w:t>
                      </w:r>
                    </w:p>
                    <w:p>
                      <w:pPr>
                        <w:pStyle w:val="Style42"/>
                        <w:keepNext w:val="0"/>
                        <w:keepLines w:val="0"/>
                        <w:widowControl w:val="0"/>
                        <w:shd w:val="clear" w:color="auto" w:fill="auto"/>
                        <w:tabs>
                          <w:tab w:pos="3470" w:val="left"/>
                        </w:tabs>
                        <w:bidi w:val="0"/>
                        <w:spacing w:before="0" w:after="0"/>
                        <w:ind w:left="260" w:right="0" w:hanging="260"/>
                      </w:pPr>
                      <w:r>
                        <w:rPr>
                          <w:color w:val="000000"/>
                          <w:spacing w:val="0"/>
                          <w:w w:val="100"/>
                          <w:position w:val="0"/>
                          <w:shd w:val="clear" w:color="auto" w:fill="auto"/>
                          <w:lang w:val="cs-CZ" w:eastAsia="cs-CZ" w:bidi="cs-CZ"/>
                        </w:rPr>
                        <w:t>NOVÁK Arne, Josef Pekař, jeho cesta domovem a životem. S kresbami Karla Víka. 23X16 cm, 63 str., na křído</w:t>
                        <w:softHyphen/>
                        <w:t>vém papíře,</w:t>
                        <w:tab/>
                        <w:t>brož Kč 25.—</w:t>
                      </w:r>
                    </w:p>
                    <w:p>
                      <w:pPr>
                        <w:pStyle w:val="Style42"/>
                        <w:keepNext w:val="0"/>
                        <w:keepLines w:val="0"/>
                        <w:widowControl w:val="0"/>
                        <w:shd w:val="clear" w:color="auto" w:fill="auto"/>
                        <w:tabs>
                          <w:tab w:pos="3470" w:val="left"/>
                        </w:tabs>
                        <w:bidi w:val="0"/>
                        <w:spacing w:before="0" w:after="0"/>
                        <w:ind w:left="260" w:right="0" w:hanging="260"/>
                      </w:pPr>
                      <w:r>
                        <w:rPr>
                          <w:color w:val="000000"/>
                          <w:spacing w:val="0"/>
                          <w:w w:val="100"/>
                          <w:position w:val="0"/>
                          <w:shd w:val="clear" w:color="auto" w:fill="auto"/>
                          <w:lang w:val="cs-CZ" w:eastAsia="cs-CZ" w:bidi="cs-CZ"/>
                        </w:rPr>
                        <w:t>SIBLÍK Josef Dr., Některé problémy daně z darování (Věna, výbavy, apanáže, remunerace.) 21.5X15 cm, 78 str.,</w:t>
                        <w:tab/>
                        <w:t>brož. Kč 15.—</w:t>
                      </w:r>
                    </w:p>
                    <w:p>
                      <w:pPr>
                        <w:pStyle w:val="Style42"/>
                        <w:keepNext w:val="0"/>
                        <w:keepLines w:val="0"/>
                        <w:widowControl w:val="0"/>
                        <w:shd w:val="clear" w:color="auto" w:fill="auto"/>
                        <w:tabs>
                          <w:tab w:pos="3470" w:val="left"/>
                        </w:tabs>
                        <w:bidi w:val="0"/>
                        <w:spacing w:before="0" w:after="0"/>
                        <w:ind w:left="260" w:right="0" w:hanging="260"/>
                      </w:pPr>
                      <w:r>
                        <w:rPr>
                          <w:color w:val="000000"/>
                          <w:spacing w:val="0"/>
                          <w:w w:val="100"/>
                          <w:position w:val="0"/>
                          <w:shd w:val="clear" w:color="auto" w:fill="auto"/>
                          <w:lang w:val="cs-CZ" w:eastAsia="cs-CZ" w:bidi="cs-CZ"/>
                        </w:rPr>
                        <w:t>TVRDOřl J„ O úpravě hraníc pozemků. 21.5 X15 cm. 55 str.,</w:t>
                        <w:tab/>
                        <w:t>brož. Kč 10 —</w:t>
                      </w:r>
                    </w:p>
                    <w:p>
                      <w:pPr>
                        <w:pStyle w:val="Style42"/>
                        <w:keepNext w:val="0"/>
                        <w:keepLines w:val="0"/>
                        <w:widowControl w:val="0"/>
                        <w:shd w:val="clear" w:color="auto" w:fill="auto"/>
                        <w:bidi w:val="0"/>
                        <w:spacing w:before="0" w:after="0"/>
                        <w:ind w:left="260" w:right="0" w:hanging="260"/>
                      </w:pPr>
                      <w:r>
                        <w:rPr>
                          <w:color w:val="000000"/>
                          <w:spacing w:val="0"/>
                          <w:w w:val="100"/>
                          <w:position w:val="0"/>
                          <w:shd w:val="clear" w:color="auto" w:fill="auto"/>
                          <w:lang w:val="cs-CZ" w:eastAsia="cs-CZ" w:bidi="cs-CZ"/>
                        </w:rPr>
                        <w:t>VERNER Vladimír, Státní občanství a opce v důsledku připojení územ! k Německu. 21X15 cm, 31 str.,</w:t>
                      </w:r>
                    </w:p>
                    <w:p>
                      <w:pPr>
                        <w:pStyle w:val="Style42"/>
                        <w:keepNext w:val="0"/>
                        <w:keepLines w:val="0"/>
                        <w:widowControl w:val="0"/>
                        <w:shd w:val="clear" w:color="auto" w:fill="auto"/>
                        <w:bidi w:val="0"/>
                        <w:spacing w:before="0" w:after="0"/>
                        <w:ind w:left="0" w:right="0" w:firstLine="0"/>
                        <w:jc w:val="right"/>
                      </w:pPr>
                      <w:r>
                        <w:rPr>
                          <w:color w:val="000000"/>
                          <w:spacing w:val="0"/>
                          <w:w w:val="100"/>
                          <w:position w:val="0"/>
                          <w:shd w:val="clear" w:color="auto" w:fill="auto"/>
                          <w:lang w:val="cs-CZ" w:eastAsia="cs-CZ" w:bidi="cs-CZ"/>
                        </w:rPr>
                        <w:t>brož. Kč 7 —</w:t>
                      </w:r>
                    </w:p>
                    <w:p>
                      <w:pPr>
                        <w:pStyle w:val="Style42"/>
                        <w:keepNext w:val="0"/>
                        <w:keepLines w:val="0"/>
                        <w:widowControl w:val="0"/>
                        <w:shd w:val="clear" w:color="auto" w:fill="auto"/>
                        <w:tabs>
                          <w:tab w:pos="3466" w:val="left"/>
                        </w:tabs>
                        <w:bidi w:val="0"/>
                        <w:spacing w:before="0" w:after="0"/>
                        <w:ind w:left="260" w:right="0" w:hanging="260"/>
                      </w:pPr>
                      <w:r>
                        <w:rPr>
                          <w:color w:val="000000"/>
                          <w:spacing w:val="0"/>
                          <w:w w:val="100"/>
                          <w:position w:val="0"/>
                          <w:shd w:val="clear" w:color="auto" w:fill="auto"/>
                          <w:lang w:val="cs-CZ" w:eastAsia="cs-CZ" w:bidi="cs-CZ"/>
                        </w:rPr>
                        <w:t>Hospodářský styk Česko-Slovenska se zabraným územím Sestavil Sekretariát Svazu česko-slovenských průmysl</w:t>
                        <w:softHyphen/>
                        <w:t>níků. 23X15.5 cm, 147 str.,</w:t>
                        <w:tab/>
                        <w:t>brož. Kč 28.—</w:t>
                      </w:r>
                    </w:p>
                  </w:txbxContent>
                </v:textbox>
                <w10:wrap type="square" anchorx="page"/>
              </v:shape>
            </w:pict>
          </mc:Fallback>
        </mc:AlternateContent>
      </w:r>
      <w:r>
        <w:rPr>
          <w:noProof/>
        </w:rPr>
        <mc:AlternateContent>
          <mc:Choice Requires="wps">
            <w:drawing>
              <wp:anchor distT="0" distB="0" distL="114300" distR="114300" simplePos="0" relativeHeight="125829414" behindDoc="0" locked="0" layoutInCell="1" allowOverlap="1">
                <wp:simplePos x="0" y="0"/>
                <wp:positionH relativeFrom="page">
                  <wp:posOffset>3982085</wp:posOffset>
                </wp:positionH>
                <wp:positionV relativeFrom="paragraph">
                  <wp:posOffset>7412990</wp:posOffset>
                </wp:positionV>
                <wp:extent cx="2910840" cy="514985"/>
                <wp:effectExtent l="0" t="0" r="0" b="0"/>
                <wp:wrapSquare wrapText="bothSides"/>
                <wp:docPr id="37" name="Shape 37"/>
                <wp:cNvGraphicFramePr/>
                <a:graphic xmlns:a="http://schemas.openxmlformats.org/drawingml/2006/main">
                  <a:graphicData uri="http://schemas.microsoft.com/office/word/2010/wordprocessingShape">
                    <wps:wsp>
                      <wps:cNvSpPr txBox="1"/>
                      <wps:spPr>
                        <a:xfrm>
                          <a:off x="0" y="0"/>
                          <a:ext cx="2910840" cy="514985"/>
                        </a:xfrm>
                        <a:prstGeom prst="rect">
                          <a:avLst/>
                        </a:prstGeom>
                        <a:noFill/>
                      </wps:spPr>
                      <wps:txbx>
                        <w:txbxContent>
                          <w:p w:rsidR="00500724" w:rsidRDefault="00F30FB8">
                            <w:pPr>
                              <w:pStyle w:val="Zkladntext40"/>
                              <w:shd w:val="clear" w:color="auto" w:fill="auto"/>
                              <w:tabs>
                                <w:tab w:val="left" w:pos="3480"/>
                              </w:tabs>
                              <w:spacing w:after="0" w:line="180" w:lineRule="auto"/>
                              <w:ind w:left="220" w:hanging="220"/>
                              <w:jc w:val="left"/>
                            </w:pPr>
                            <w:r>
                              <w:rPr>
                                <w:lang w:val="en-US" w:eastAsia="en-US" w:bidi="en-US"/>
                              </w:rPr>
                              <w:t xml:space="preserve">GOLDING </w:t>
                            </w:r>
                            <w:r>
                              <w:t xml:space="preserve">Louis, </w:t>
                            </w:r>
                            <w:r>
                              <w:rPr>
                                <w:lang w:val="en-US" w:eastAsia="en-US" w:bidi="en-US"/>
                              </w:rPr>
                              <w:t xml:space="preserve">The Jewish Problem. With </w:t>
                            </w:r>
                            <w:r>
                              <w:t xml:space="preserve">33 </w:t>
                            </w:r>
                            <w:r>
                              <w:rPr>
                                <w:lang w:val="en-US" w:eastAsia="en-US" w:bidi="en-US"/>
                              </w:rPr>
                              <w:t>illustra</w:t>
                            </w:r>
                            <w:r>
                              <w:rPr>
                                <w:lang w:val="en-US" w:eastAsia="en-US" w:bidi="en-US"/>
                              </w:rPr>
                              <w:softHyphen/>
                              <w:t>tions. 18X11 cm, 213 str.,</w:t>
                            </w:r>
                            <w:r>
                              <w:rPr>
                                <w:lang w:val="en-US" w:eastAsia="en-US" w:bidi="en-US"/>
                              </w:rPr>
                              <w:tab/>
                            </w:r>
                            <w:r>
                              <w:t xml:space="preserve">brož. Kč </w:t>
                            </w:r>
                            <w:r>
                              <w:rPr>
                                <w:lang w:val="en-US" w:eastAsia="en-US" w:bidi="en-US"/>
                              </w:rPr>
                              <w:t>5.25</w:t>
                            </w:r>
                          </w:p>
                          <w:p w:rsidR="00500724" w:rsidRDefault="00F30FB8">
                            <w:pPr>
                              <w:pStyle w:val="Zkladntext40"/>
                              <w:shd w:val="clear" w:color="auto" w:fill="auto"/>
                              <w:spacing w:after="0" w:line="180" w:lineRule="auto"/>
                              <w:ind w:left="220" w:hanging="220"/>
                              <w:jc w:val="left"/>
                            </w:pPr>
                            <w:r>
                              <w:rPr>
                                <w:lang w:val="en-US" w:eastAsia="en-US" w:bidi="en-US"/>
                              </w:rPr>
                              <w:t>STEED Wickham, The Press. 18X</w:t>
                            </w:r>
                            <w:r>
                              <w:rPr>
                                <w:lang w:val="en-US" w:eastAsia="en-US" w:bidi="en-US"/>
                              </w:rPr>
                              <w:t>11 cm, 250 str.,</w:t>
                            </w:r>
                          </w:p>
                          <w:p w:rsidR="00500724" w:rsidRDefault="00F30FB8">
                            <w:pPr>
                              <w:pStyle w:val="Zkladntext40"/>
                              <w:shd w:val="clear" w:color="auto" w:fill="auto"/>
                              <w:spacing w:after="0" w:line="180" w:lineRule="auto"/>
                              <w:jc w:val="right"/>
                            </w:pPr>
                            <w:r>
                              <w:t xml:space="preserve">brož. Kč </w:t>
                            </w:r>
                            <w:r>
                              <w:rPr>
                                <w:lang w:val="en-US" w:eastAsia="en-US" w:bidi="en-US"/>
                              </w:rPr>
                              <w:t>5.25</w:t>
                            </w:r>
                          </w:p>
                          <w:p w:rsidR="00500724" w:rsidRDefault="00F30FB8">
                            <w:pPr>
                              <w:pStyle w:val="Zkladntext40"/>
                              <w:shd w:val="clear" w:color="auto" w:fill="auto"/>
                              <w:tabs>
                                <w:tab w:val="left" w:pos="3888"/>
                              </w:tabs>
                              <w:spacing w:after="0" w:line="180" w:lineRule="auto"/>
                              <w:ind w:left="220" w:hanging="220"/>
                              <w:jc w:val="left"/>
                            </w:pPr>
                            <w:r>
                              <w:rPr>
                                <w:lang w:val="en-US" w:eastAsia="en-US" w:bidi="en-US"/>
                              </w:rPr>
                              <w:t xml:space="preserve">Europe’s Fight for Freedom. 11. </w:t>
                            </w:r>
                            <w:r>
                              <w:t xml:space="preserve">sešit. </w:t>
                            </w:r>
                            <w:r>
                              <w:rPr>
                                <w:lang w:val="en-US" w:eastAsia="en-US" w:bidi="en-US"/>
                              </w:rPr>
                              <w:t xml:space="preserve">25.5X19 cm. 39 str. </w:t>
                            </w:r>
                            <w:r>
                              <w:t>Příštím sešitem bude dílo zakončeno.</w:t>
                            </w:r>
                            <w:r>
                              <w:tab/>
                              <w:t>Kč 9.-—</w:t>
                            </w:r>
                          </w:p>
                        </w:txbxContent>
                      </wps:txbx>
                      <wps:bodyPr lIns="0" tIns="0" rIns="0" bIns="0">
                        <a:spAutoFit/>
                      </wps:bodyPr>
                    </wps:wsp>
                  </a:graphicData>
                </a:graphic>
              </wp:anchor>
            </w:drawing>
          </mc:Choice>
          <mc:Fallback>
            <w:pict>
              <v:shape id="_x0000_s1063" type="#_x0000_t202" style="position:absolute;margin-left:313.55000000000001pt;margin-top:583.70000000000005pt;width:229.19999999999999pt;height:40.549999999999997pt;z-index:-125829339;mso-wrap-distance-left:9.pt;mso-wrap-distance-right:9.pt;mso-position-horizontal-relative:page" filled="f" stroked="f">
                <v:textbox style="mso-fit-shape-to-text:t" inset="0,0,0,0">
                  <w:txbxContent>
                    <w:p>
                      <w:pPr>
                        <w:pStyle w:val="Style42"/>
                        <w:keepNext w:val="0"/>
                        <w:keepLines w:val="0"/>
                        <w:widowControl w:val="0"/>
                        <w:shd w:val="clear" w:color="auto" w:fill="auto"/>
                        <w:tabs>
                          <w:tab w:pos="3480" w:val="left"/>
                        </w:tabs>
                        <w:bidi w:val="0"/>
                        <w:spacing w:before="0" w:after="0" w:line="180" w:lineRule="auto"/>
                        <w:ind w:left="220" w:right="0" w:hanging="220"/>
                        <w:jc w:val="left"/>
                      </w:pPr>
                      <w:r>
                        <w:rPr>
                          <w:color w:val="000000"/>
                          <w:spacing w:val="0"/>
                          <w:w w:val="100"/>
                          <w:position w:val="0"/>
                          <w:shd w:val="clear" w:color="auto" w:fill="auto"/>
                          <w:lang w:val="en-US" w:eastAsia="en-US" w:bidi="en-US"/>
                        </w:rPr>
                        <w:t xml:space="preserve">GOLDING </w:t>
                      </w:r>
                      <w:r>
                        <w:rPr>
                          <w:color w:val="000000"/>
                          <w:spacing w:val="0"/>
                          <w:w w:val="100"/>
                          <w:position w:val="0"/>
                          <w:shd w:val="clear" w:color="auto" w:fill="auto"/>
                          <w:lang w:val="cs-CZ" w:eastAsia="cs-CZ" w:bidi="cs-CZ"/>
                        </w:rPr>
                        <w:t xml:space="preserve">Louis, </w:t>
                      </w:r>
                      <w:r>
                        <w:rPr>
                          <w:color w:val="000000"/>
                          <w:spacing w:val="0"/>
                          <w:w w:val="100"/>
                          <w:position w:val="0"/>
                          <w:shd w:val="clear" w:color="auto" w:fill="auto"/>
                          <w:lang w:val="en-US" w:eastAsia="en-US" w:bidi="en-US"/>
                        </w:rPr>
                        <w:t xml:space="preserve">The Jewish Problem. With </w:t>
                      </w:r>
                      <w:r>
                        <w:rPr>
                          <w:color w:val="000000"/>
                          <w:spacing w:val="0"/>
                          <w:w w:val="100"/>
                          <w:position w:val="0"/>
                          <w:shd w:val="clear" w:color="auto" w:fill="auto"/>
                          <w:lang w:val="cs-CZ" w:eastAsia="cs-CZ" w:bidi="cs-CZ"/>
                        </w:rPr>
                        <w:t xml:space="preserve">33 </w:t>
                      </w:r>
                      <w:r>
                        <w:rPr>
                          <w:color w:val="000000"/>
                          <w:spacing w:val="0"/>
                          <w:w w:val="100"/>
                          <w:position w:val="0"/>
                          <w:shd w:val="clear" w:color="auto" w:fill="auto"/>
                          <w:lang w:val="en-US" w:eastAsia="en-US" w:bidi="en-US"/>
                        </w:rPr>
                        <w:t>illustra</w:t>
                        <w:softHyphen/>
                        <w:t>tions. 18X11 cm, 213 str.,</w:t>
                        <w:tab/>
                      </w:r>
                      <w:r>
                        <w:rPr>
                          <w:color w:val="000000"/>
                          <w:spacing w:val="0"/>
                          <w:w w:val="100"/>
                          <w:position w:val="0"/>
                          <w:shd w:val="clear" w:color="auto" w:fill="auto"/>
                          <w:lang w:val="cs-CZ" w:eastAsia="cs-CZ" w:bidi="cs-CZ"/>
                        </w:rPr>
                        <w:t xml:space="preserve">brož. Kč </w:t>
                      </w:r>
                      <w:r>
                        <w:rPr>
                          <w:color w:val="000000"/>
                          <w:spacing w:val="0"/>
                          <w:w w:val="100"/>
                          <w:position w:val="0"/>
                          <w:shd w:val="clear" w:color="auto" w:fill="auto"/>
                          <w:lang w:val="en-US" w:eastAsia="en-US" w:bidi="en-US"/>
                        </w:rPr>
                        <w:t>5.25</w:t>
                      </w:r>
                    </w:p>
                    <w:p>
                      <w:pPr>
                        <w:pStyle w:val="Style42"/>
                        <w:keepNext w:val="0"/>
                        <w:keepLines w:val="0"/>
                        <w:widowControl w:val="0"/>
                        <w:shd w:val="clear" w:color="auto" w:fill="auto"/>
                        <w:bidi w:val="0"/>
                        <w:spacing w:before="0" w:after="0" w:line="180" w:lineRule="auto"/>
                        <w:ind w:left="220" w:right="0" w:hanging="220"/>
                        <w:jc w:val="left"/>
                      </w:pPr>
                      <w:r>
                        <w:rPr>
                          <w:color w:val="000000"/>
                          <w:spacing w:val="0"/>
                          <w:w w:val="100"/>
                          <w:position w:val="0"/>
                          <w:shd w:val="clear" w:color="auto" w:fill="auto"/>
                          <w:lang w:val="en-US" w:eastAsia="en-US" w:bidi="en-US"/>
                        </w:rPr>
                        <w:t>STEED Wickham, The Press. 18X11 cm, 250 str.,</w:t>
                      </w:r>
                    </w:p>
                    <w:p>
                      <w:pPr>
                        <w:pStyle w:val="Style42"/>
                        <w:keepNext w:val="0"/>
                        <w:keepLines w:val="0"/>
                        <w:widowControl w:val="0"/>
                        <w:shd w:val="clear" w:color="auto" w:fill="auto"/>
                        <w:bidi w:val="0"/>
                        <w:spacing w:before="0" w:after="0" w:line="180" w:lineRule="auto"/>
                        <w:ind w:left="0" w:right="0" w:firstLine="0"/>
                        <w:jc w:val="right"/>
                      </w:pPr>
                      <w:r>
                        <w:rPr>
                          <w:color w:val="000000"/>
                          <w:spacing w:val="0"/>
                          <w:w w:val="100"/>
                          <w:position w:val="0"/>
                          <w:shd w:val="clear" w:color="auto" w:fill="auto"/>
                          <w:lang w:val="cs-CZ" w:eastAsia="cs-CZ" w:bidi="cs-CZ"/>
                        </w:rPr>
                        <w:t xml:space="preserve">brož. Kč </w:t>
                      </w:r>
                      <w:r>
                        <w:rPr>
                          <w:color w:val="000000"/>
                          <w:spacing w:val="0"/>
                          <w:w w:val="100"/>
                          <w:position w:val="0"/>
                          <w:shd w:val="clear" w:color="auto" w:fill="auto"/>
                          <w:lang w:val="en-US" w:eastAsia="en-US" w:bidi="en-US"/>
                        </w:rPr>
                        <w:t>5.25</w:t>
                      </w:r>
                    </w:p>
                    <w:p>
                      <w:pPr>
                        <w:pStyle w:val="Style42"/>
                        <w:keepNext w:val="0"/>
                        <w:keepLines w:val="0"/>
                        <w:widowControl w:val="0"/>
                        <w:shd w:val="clear" w:color="auto" w:fill="auto"/>
                        <w:tabs>
                          <w:tab w:pos="3888" w:val="left"/>
                        </w:tabs>
                        <w:bidi w:val="0"/>
                        <w:spacing w:before="0" w:after="0" w:line="180" w:lineRule="auto"/>
                        <w:ind w:left="220" w:right="0" w:hanging="220"/>
                        <w:jc w:val="left"/>
                      </w:pPr>
                      <w:r>
                        <w:rPr>
                          <w:color w:val="000000"/>
                          <w:spacing w:val="0"/>
                          <w:w w:val="100"/>
                          <w:position w:val="0"/>
                          <w:shd w:val="clear" w:color="auto" w:fill="auto"/>
                          <w:lang w:val="en-US" w:eastAsia="en-US" w:bidi="en-US"/>
                        </w:rPr>
                        <w:t xml:space="preserve">Europe’s Fight for Freedom. 11. </w:t>
                      </w:r>
                      <w:r>
                        <w:rPr>
                          <w:color w:val="000000"/>
                          <w:spacing w:val="0"/>
                          <w:w w:val="100"/>
                          <w:position w:val="0"/>
                          <w:shd w:val="clear" w:color="auto" w:fill="auto"/>
                          <w:lang w:val="cs-CZ" w:eastAsia="cs-CZ" w:bidi="cs-CZ"/>
                        </w:rPr>
                        <w:t xml:space="preserve">sešit. </w:t>
                      </w:r>
                      <w:r>
                        <w:rPr>
                          <w:color w:val="000000"/>
                          <w:spacing w:val="0"/>
                          <w:w w:val="100"/>
                          <w:position w:val="0"/>
                          <w:shd w:val="clear" w:color="auto" w:fill="auto"/>
                          <w:lang w:val="en-US" w:eastAsia="en-US" w:bidi="en-US"/>
                        </w:rPr>
                        <w:t xml:space="preserve">25.5X19 cm. 39 str. </w:t>
                      </w:r>
                      <w:r>
                        <w:rPr>
                          <w:color w:val="000000"/>
                          <w:spacing w:val="0"/>
                          <w:w w:val="100"/>
                          <w:position w:val="0"/>
                          <w:shd w:val="clear" w:color="auto" w:fill="auto"/>
                          <w:lang w:val="cs-CZ" w:eastAsia="cs-CZ" w:bidi="cs-CZ"/>
                        </w:rPr>
                        <w:t>Příštím sešitem bude dílo zakončeno.</w:t>
                        <w:tab/>
                        <w:t>Kč 9.-—</w:t>
                      </w:r>
                    </w:p>
                  </w:txbxContent>
                </v:textbox>
                <w10:wrap type="square" anchorx="page"/>
              </v:shape>
            </w:pict>
          </mc:Fallback>
        </mc:AlternateContent>
      </w:r>
      <w:r>
        <w:rPr>
          <w:noProof/>
        </w:rPr>
        <mc:AlternateContent>
          <mc:Choice Requires="wps">
            <w:drawing>
              <wp:anchor distT="0" distB="0" distL="114300" distR="114300" simplePos="0" relativeHeight="125829416" behindDoc="0" locked="0" layoutInCell="1" allowOverlap="1">
                <wp:simplePos x="0" y="0"/>
                <wp:positionH relativeFrom="page">
                  <wp:posOffset>3976370</wp:posOffset>
                </wp:positionH>
                <wp:positionV relativeFrom="paragraph">
                  <wp:posOffset>7948930</wp:posOffset>
                </wp:positionV>
                <wp:extent cx="2910840" cy="1395730"/>
                <wp:effectExtent l="0" t="0" r="0" b="0"/>
                <wp:wrapSquare wrapText="bothSides"/>
                <wp:docPr id="39" name="Shape 39"/>
                <wp:cNvGraphicFramePr/>
                <a:graphic xmlns:a="http://schemas.openxmlformats.org/drawingml/2006/main">
                  <a:graphicData uri="http://schemas.microsoft.com/office/word/2010/wordprocessingShape">
                    <wps:wsp>
                      <wps:cNvSpPr txBox="1"/>
                      <wps:spPr>
                        <a:xfrm>
                          <a:off x="0" y="0"/>
                          <a:ext cx="2910840" cy="1395730"/>
                        </a:xfrm>
                        <a:prstGeom prst="rect">
                          <a:avLst/>
                        </a:prstGeom>
                        <a:noFill/>
                      </wps:spPr>
                      <wps:txbx>
                        <w:txbxContent>
                          <w:p w:rsidR="00500724" w:rsidRDefault="00F30FB8">
                            <w:pPr>
                              <w:pStyle w:val="Zkladntext40"/>
                              <w:shd w:val="clear" w:color="auto" w:fill="auto"/>
                              <w:spacing w:after="0" w:line="175" w:lineRule="auto"/>
                              <w:ind w:left="240" w:hanging="240"/>
                              <w:jc w:val="left"/>
                            </w:pPr>
                            <w:r>
                              <w:rPr>
                                <w:lang w:val="en-US" w:eastAsia="en-US" w:bidi="en-US"/>
                              </w:rPr>
                              <w:t xml:space="preserve">FUCHS </w:t>
                            </w:r>
                            <w:r>
                              <w:t>Martin, Un pacte avec Hitler. Le drame Autri- chien. 1936-1938 20X13 cm, 356 str., brož. Kč 24.—</w:t>
                            </w:r>
                          </w:p>
                          <w:p w:rsidR="00500724" w:rsidRDefault="00F30FB8">
                            <w:pPr>
                              <w:pStyle w:val="Zkladntext40"/>
                              <w:shd w:val="clear" w:color="auto" w:fill="auto"/>
                              <w:tabs>
                                <w:tab w:val="left" w:pos="3475"/>
                              </w:tabs>
                              <w:spacing w:after="0" w:line="175" w:lineRule="auto"/>
                              <w:ind w:left="240" w:hanging="240"/>
                              <w:jc w:val="left"/>
                            </w:pPr>
                            <w:r>
                              <w:t xml:space="preserve">ROBIQUET Jean, </w:t>
                            </w:r>
                            <w:r>
                              <w:rPr>
                                <w:lang w:val="en-US" w:eastAsia="en-US" w:bidi="en-US"/>
                              </w:rPr>
                              <w:t xml:space="preserve">La </w:t>
                            </w:r>
                            <w:r>
                              <w:t xml:space="preserve">vle uuotidienne au </w:t>
                            </w:r>
                            <w:r>
                              <w:rPr>
                                <w:lang w:val="en-US" w:eastAsia="en-US" w:bidi="en-US"/>
                              </w:rPr>
                              <w:t xml:space="preserve">temps </w:t>
                            </w:r>
                            <w:r>
                              <w:t>de la Ré- volution. 20X13 cm, 256 str.,</w:t>
                            </w:r>
                            <w:r>
                              <w:tab/>
                              <w:t>brož. Kč 20.—</w:t>
                            </w:r>
                          </w:p>
                          <w:p w:rsidR="00500724" w:rsidRDefault="00F30FB8">
                            <w:pPr>
                              <w:pStyle w:val="Zkladntext40"/>
                              <w:shd w:val="clear" w:color="auto" w:fill="auto"/>
                              <w:spacing w:after="0" w:line="175" w:lineRule="auto"/>
                              <w:ind w:left="240" w:hanging="240"/>
                              <w:jc w:val="left"/>
                            </w:pPr>
                            <w:r>
                              <w:t xml:space="preserve">SILVESTRELLI </w:t>
                            </w:r>
                            <w:r>
                              <w:rPr>
                                <w:lang w:val="en-US" w:eastAsia="en-US" w:bidi="en-US"/>
                              </w:rPr>
                              <w:t xml:space="preserve">Anita, Franz Schubert. Das wahre Ge- sicht seines Lebens. 22X14 cm, 339 str., </w:t>
                            </w:r>
                            <w:r>
                              <w:t xml:space="preserve">váz. Kč </w:t>
                            </w:r>
                            <w:r>
                              <w:rPr>
                                <w:lang w:val="en-US" w:eastAsia="en-US" w:bidi="en-US"/>
                              </w:rPr>
                              <w:t>68.—</w:t>
                            </w:r>
                          </w:p>
                          <w:p w:rsidR="00500724" w:rsidRDefault="00F30FB8">
                            <w:pPr>
                              <w:pStyle w:val="Zkladntext40"/>
                              <w:shd w:val="clear" w:color="auto" w:fill="auto"/>
                              <w:spacing w:after="0" w:line="175" w:lineRule="auto"/>
                              <w:ind w:left="1500" w:hanging="1500"/>
                              <w:jc w:val="left"/>
                            </w:pPr>
                            <w:r>
                              <w:rPr>
                                <w:lang w:val="en-US" w:eastAsia="en-US" w:bidi="en-US"/>
                              </w:rPr>
                              <w:t>ZWEIG Stefan, Maria Stuart. 19X11 cm, 398 str.,</w:t>
                            </w:r>
                          </w:p>
                          <w:p w:rsidR="00500724" w:rsidRDefault="00F30FB8">
                            <w:pPr>
                              <w:pStyle w:val="Zkladntext40"/>
                              <w:shd w:val="clear" w:color="auto" w:fill="auto"/>
                              <w:spacing w:line="175" w:lineRule="auto"/>
                              <w:jc w:val="right"/>
                            </w:pPr>
                            <w:r>
                              <w:t xml:space="preserve">brož. Kč </w:t>
                            </w:r>
                            <w:r>
                              <w:rPr>
                                <w:lang w:val="en-US" w:eastAsia="en-US" w:bidi="en-US"/>
                              </w:rPr>
                              <w:t>22.—</w:t>
                            </w:r>
                          </w:p>
                          <w:p w:rsidR="00500724" w:rsidRDefault="00F30FB8">
                            <w:pPr>
                              <w:pStyle w:val="Zkladntext80"/>
                              <w:shd w:val="clear" w:color="auto" w:fill="auto"/>
                              <w:spacing w:line="221" w:lineRule="auto"/>
                              <w:jc w:val="right"/>
                              <w:rPr>
                                <w:sz w:val="20"/>
                                <w:szCs w:val="20"/>
                              </w:rPr>
                            </w:pPr>
                            <w:r>
                              <w:rPr>
                                <w:rFonts w:ascii="Times New Roman" w:eastAsia="Times New Roman" w:hAnsi="Times New Roman" w:cs="Times New Roman"/>
                                <w:b w:val="0"/>
                                <w:bCs w:val="0"/>
                                <w:sz w:val="24"/>
                                <w:szCs w:val="24"/>
                                <w:lang w:val="en-US" w:eastAsia="en-US" w:bidi="en-US"/>
                              </w:rPr>
                              <w:t xml:space="preserve">F. </w:t>
                            </w:r>
                            <w:r>
                              <w:rPr>
                                <w:rFonts w:ascii="Times New Roman" w:eastAsia="Times New Roman" w:hAnsi="Times New Roman" w:cs="Times New Roman"/>
                                <w:b w:val="0"/>
                                <w:bCs w:val="0"/>
                                <w:sz w:val="24"/>
                                <w:szCs w:val="24"/>
                              </w:rPr>
                              <w:t xml:space="preserve">TOPIČ, </w:t>
                            </w:r>
                            <w:r>
                              <w:rPr>
                                <w:b w:val="0"/>
                                <w:bCs w:val="0"/>
                                <w:sz w:val="20"/>
                                <w:szCs w:val="20"/>
                              </w:rPr>
                              <w:t>knihkupectví, Praha I., Národní 11</w:t>
                            </w:r>
                          </w:p>
                          <w:p w:rsidR="00500724" w:rsidRDefault="00F30FB8">
                            <w:pPr>
                              <w:pStyle w:val="Zkladntext80"/>
                              <w:shd w:val="clear" w:color="auto" w:fill="auto"/>
                              <w:spacing w:line="266" w:lineRule="auto"/>
                              <w:ind w:left="1500"/>
                              <w:rPr>
                                <w:sz w:val="20"/>
                                <w:szCs w:val="20"/>
                              </w:rPr>
                            </w:pPr>
                            <w:r>
                              <w:rPr>
                                <w:b w:val="0"/>
                                <w:bCs w:val="0"/>
                                <w:sz w:val="20"/>
                                <w:szCs w:val="20"/>
                                <w:lang w:val="en-US" w:eastAsia="en-US" w:bidi="en-US"/>
                              </w:rPr>
                              <w:t>a</w:t>
                            </w:r>
                          </w:p>
                          <w:p w:rsidR="00500724" w:rsidRDefault="00F30FB8">
                            <w:pPr>
                              <w:pStyle w:val="Zkladntext80"/>
                              <w:shd w:val="clear" w:color="auto" w:fill="auto"/>
                              <w:spacing w:line="240" w:lineRule="auto"/>
                              <w:ind w:left="1500" w:hanging="1500"/>
                              <w:rPr>
                                <w:sz w:val="20"/>
                                <w:szCs w:val="20"/>
                              </w:rPr>
                            </w:pPr>
                            <w:r>
                              <w:rPr>
                                <w:rFonts w:ascii="Times New Roman" w:eastAsia="Times New Roman" w:hAnsi="Times New Roman" w:cs="Times New Roman"/>
                                <w:b w:val="0"/>
                                <w:bCs w:val="0"/>
                                <w:sz w:val="24"/>
                                <w:szCs w:val="24"/>
                              </w:rPr>
                              <w:t xml:space="preserve">FR. BOBOVÝ, </w:t>
                            </w:r>
                            <w:r>
                              <w:rPr>
                                <w:b w:val="0"/>
                                <w:bCs w:val="0"/>
                                <w:sz w:val="20"/>
                                <w:szCs w:val="20"/>
                              </w:rPr>
                              <w:t>akademické knihkupectvo. Bratislava, Dunajská 21</w:t>
                            </w:r>
                          </w:p>
                        </w:txbxContent>
                      </wps:txbx>
                      <wps:bodyPr lIns="0" tIns="0" rIns="0" bIns="0">
                        <a:spAutoFit/>
                      </wps:bodyPr>
                    </wps:wsp>
                  </a:graphicData>
                </a:graphic>
              </wp:anchor>
            </w:drawing>
          </mc:Choice>
          <mc:Fallback>
            <w:pict>
              <v:shape id="_x0000_s1065" type="#_x0000_t202" style="position:absolute;margin-left:313.10000000000002pt;margin-top:625.89999999999998pt;width:229.19999999999999pt;height:109.90000000000001pt;z-index:-125829337;mso-wrap-distance-left:9.pt;mso-wrap-distance-right:9.pt;mso-position-horizontal-relative:page" filled="f" stroked="f">
                <v:textbox style="mso-fit-shape-to-text:t" inset="0,0,0,0">
                  <w:txbxContent>
                    <w:p>
                      <w:pPr>
                        <w:pStyle w:val="Style42"/>
                        <w:keepNext w:val="0"/>
                        <w:keepLines w:val="0"/>
                        <w:widowControl w:val="0"/>
                        <w:shd w:val="clear" w:color="auto" w:fill="auto"/>
                        <w:bidi w:val="0"/>
                        <w:spacing w:before="0" w:after="0" w:line="175" w:lineRule="auto"/>
                        <w:ind w:left="240" w:right="0" w:hanging="240"/>
                        <w:jc w:val="left"/>
                      </w:pPr>
                      <w:r>
                        <w:rPr>
                          <w:color w:val="000000"/>
                          <w:spacing w:val="0"/>
                          <w:w w:val="100"/>
                          <w:position w:val="0"/>
                          <w:shd w:val="clear" w:color="auto" w:fill="auto"/>
                          <w:lang w:val="en-US" w:eastAsia="en-US" w:bidi="en-US"/>
                        </w:rPr>
                        <w:t xml:space="preserve">FUCHS </w:t>
                      </w:r>
                      <w:r>
                        <w:rPr>
                          <w:color w:val="000000"/>
                          <w:spacing w:val="0"/>
                          <w:w w:val="100"/>
                          <w:position w:val="0"/>
                          <w:shd w:val="clear" w:color="auto" w:fill="auto"/>
                          <w:lang w:val="cs-CZ" w:eastAsia="cs-CZ" w:bidi="cs-CZ"/>
                        </w:rPr>
                        <w:t>Martin, Un pacte avec Hitler. Le drame Autri- chien. 1936-1938 20X13 cm, 356 str., brož. Kč 24.—</w:t>
                      </w:r>
                    </w:p>
                    <w:p>
                      <w:pPr>
                        <w:pStyle w:val="Style42"/>
                        <w:keepNext w:val="0"/>
                        <w:keepLines w:val="0"/>
                        <w:widowControl w:val="0"/>
                        <w:shd w:val="clear" w:color="auto" w:fill="auto"/>
                        <w:tabs>
                          <w:tab w:pos="3475" w:val="left"/>
                        </w:tabs>
                        <w:bidi w:val="0"/>
                        <w:spacing w:before="0" w:after="0" w:line="175" w:lineRule="auto"/>
                        <w:ind w:left="240" w:right="0" w:hanging="240"/>
                        <w:jc w:val="left"/>
                      </w:pPr>
                      <w:r>
                        <w:rPr>
                          <w:color w:val="000000"/>
                          <w:spacing w:val="0"/>
                          <w:w w:val="100"/>
                          <w:position w:val="0"/>
                          <w:shd w:val="clear" w:color="auto" w:fill="auto"/>
                          <w:lang w:val="cs-CZ" w:eastAsia="cs-CZ" w:bidi="cs-CZ"/>
                        </w:rPr>
                        <w:t xml:space="preserve">ROBIQUET Jean, </w:t>
                      </w:r>
                      <w:r>
                        <w:rPr>
                          <w:color w:val="000000"/>
                          <w:spacing w:val="0"/>
                          <w:w w:val="100"/>
                          <w:position w:val="0"/>
                          <w:shd w:val="clear" w:color="auto" w:fill="auto"/>
                          <w:lang w:val="en-US" w:eastAsia="en-US" w:bidi="en-US"/>
                        </w:rPr>
                        <w:t xml:space="preserve">La </w:t>
                      </w:r>
                      <w:r>
                        <w:rPr>
                          <w:color w:val="000000"/>
                          <w:spacing w:val="0"/>
                          <w:w w:val="100"/>
                          <w:position w:val="0"/>
                          <w:shd w:val="clear" w:color="auto" w:fill="auto"/>
                          <w:lang w:val="cs-CZ" w:eastAsia="cs-CZ" w:bidi="cs-CZ"/>
                        </w:rPr>
                        <w:t xml:space="preserve">vle uuotidienne au </w:t>
                      </w:r>
                      <w:r>
                        <w:rPr>
                          <w:color w:val="000000"/>
                          <w:spacing w:val="0"/>
                          <w:w w:val="100"/>
                          <w:position w:val="0"/>
                          <w:shd w:val="clear" w:color="auto" w:fill="auto"/>
                          <w:lang w:val="en-US" w:eastAsia="en-US" w:bidi="en-US"/>
                        </w:rPr>
                        <w:t xml:space="preserve">temps </w:t>
                      </w:r>
                      <w:r>
                        <w:rPr>
                          <w:color w:val="000000"/>
                          <w:spacing w:val="0"/>
                          <w:w w:val="100"/>
                          <w:position w:val="0"/>
                          <w:shd w:val="clear" w:color="auto" w:fill="auto"/>
                          <w:lang w:val="cs-CZ" w:eastAsia="cs-CZ" w:bidi="cs-CZ"/>
                        </w:rPr>
                        <w:t>de la Ré- volution. 20X13 cm, 256 str.,</w:t>
                        <w:tab/>
                        <w:t>brož. Kč 20.—</w:t>
                      </w:r>
                    </w:p>
                    <w:p>
                      <w:pPr>
                        <w:pStyle w:val="Style42"/>
                        <w:keepNext w:val="0"/>
                        <w:keepLines w:val="0"/>
                        <w:widowControl w:val="0"/>
                        <w:shd w:val="clear" w:color="auto" w:fill="auto"/>
                        <w:bidi w:val="0"/>
                        <w:spacing w:before="0" w:after="0" w:line="175" w:lineRule="auto"/>
                        <w:ind w:left="240" w:right="0" w:hanging="240"/>
                        <w:jc w:val="left"/>
                      </w:pPr>
                      <w:r>
                        <w:rPr>
                          <w:color w:val="000000"/>
                          <w:spacing w:val="0"/>
                          <w:w w:val="100"/>
                          <w:position w:val="0"/>
                          <w:shd w:val="clear" w:color="auto" w:fill="auto"/>
                          <w:lang w:val="cs-CZ" w:eastAsia="cs-CZ" w:bidi="cs-CZ"/>
                        </w:rPr>
                        <w:t xml:space="preserve">SILVESTRELLI </w:t>
                      </w:r>
                      <w:r>
                        <w:rPr>
                          <w:color w:val="000000"/>
                          <w:spacing w:val="0"/>
                          <w:w w:val="100"/>
                          <w:position w:val="0"/>
                          <w:shd w:val="clear" w:color="auto" w:fill="auto"/>
                          <w:lang w:val="en-US" w:eastAsia="en-US" w:bidi="en-US"/>
                        </w:rPr>
                        <w:t xml:space="preserve">Anita, Franz Schubert. Das wahre Ge- sicht seines Lebens. 22X14 cm, 339 str., </w:t>
                      </w:r>
                      <w:r>
                        <w:rPr>
                          <w:color w:val="000000"/>
                          <w:spacing w:val="0"/>
                          <w:w w:val="100"/>
                          <w:position w:val="0"/>
                          <w:shd w:val="clear" w:color="auto" w:fill="auto"/>
                          <w:lang w:val="cs-CZ" w:eastAsia="cs-CZ" w:bidi="cs-CZ"/>
                        </w:rPr>
                        <w:t xml:space="preserve">váz. Kč </w:t>
                      </w:r>
                      <w:r>
                        <w:rPr>
                          <w:color w:val="000000"/>
                          <w:spacing w:val="0"/>
                          <w:w w:val="100"/>
                          <w:position w:val="0"/>
                          <w:shd w:val="clear" w:color="auto" w:fill="auto"/>
                          <w:lang w:val="en-US" w:eastAsia="en-US" w:bidi="en-US"/>
                        </w:rPr>
                        <w:t>68.—</w:t>
                      </w:r>
                    </w:p>
                    <w:p>
                      <w:pPr>
                        <w:pStyle w:val="Style42"/>
                        <w:keepNext w:val="0"/>
                        <w:keepLines w:val="0"/>
                        <w:widowControl w:val="0"/>
                        <w:shd w:val="clear" w:color="auto" w:fill="auto"/>
                        <w:bidi w:val="0"/>
                        <w:spacing w:before="0" w:after="0" w:line="175" w:lineRule="auto"/>
                        <w:ind w:left="1500" w:right="0" w:hanging="1500"/>
                        <w:jc w:val="left"/>
                      </w:pPr>
                      <w:r>
                        <w:rPr>
                          <w:color w:val="000000"/>
                          <w:spacing w:val="0"/>
                          <w:w w:val="100"/>
                          <w:position w:val="0"/>
                          <w:shd w:val="clear" w:color="auto" w:fill="auto"/>
                          <w:lang w:val="en-US" w:eastAsia="en-US" w:bidi="en-US"/>
                        </w:rPr>
                        <w:t>ZWEIG Stefan, Maria Stuart. 19X11 cm, 398 str.,</w:t>
                      </w:r>
                    </w:p>
                    <w:p>
                      <w:pPr>
                        <w:pStyle w:val="Style42"/>
                        <w:keepNext w:val="0"/>
                        <w:keepLines w:val="0"/>
                        <w:widowControl w:val="0"/>
                        <w:shd w:val="clear" w:color="auto" w:fill="auto"/>
                        <w:bidi w:val="0"/>
                        <w:spacing w:before="0" w:line="175" w:lineRule="auto"/>
                        <w:ind w:left="0" w:right="0" w:firstLine="0"/>
                        <w:jc w:val="right"/>
                      </w:pPr>
                      <w:r>
                        <w:rPr>
                          <w:color w:val="000000"/>
                          <w:spacing w:val="0"/>
                          <w:w w:val="100"/>
                          <w:position w:val="0"/>
                          <w:shd w:val="clear" w:color="auto" w:fill="auto"/>
                          <w:lang w:val="cs-CZ" w:eastAsia="cs-CZ" w:bidi="cs-CZ"/>
                        </w:rPr>
                        <w:t xml:space="preserve">brož. Kč </w:t>
                      </w:r>
                      <w:r>
                        <w:rPr>
                          <w:color w:val="000000"/>
                          <w:spacing w:val="0"/>
                          <w:w w:val="100"/>
                          <w:position w:val="0"/>
                          <w:shd w:val="clear" w:color="auto" w:fill="auto"/>
                          <w:lang w:val="en-US" w:eastAsia="en-US" w:bidi="en-US"/>
                        </w:rPr>
                        <w:t>22.—</w:t>
                      </w:r>
                    </w:p>
                    <w:p>
                      <w:pPr>
                        <w:pStyle w:val="Style150"/>
                        <w:keepNext w:val="0"/>
                        <w:keepLines w:val="0"/>
                        <w:widowControl w:val="0"/>
                        <w:shd w:val="clear" w:color="auto" w:fill="auto"/>
                        <w:bidi w:val="0"/>
                        <w:spacing w:before="0" w:after="0" w:line="221"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4"/>
                          <w:szCs w:val="24"/>
                          <w:shd w:val="clear" w:color="auto" w:fill="auto"/>
                          <w:lang w:val="en-US" w:eastAsia="en-US" w:bidi="en-US"/>
                        </w:rPr>
                        <w:t xml:space="preserve">F. </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 xml:space="preserve">TOPIČ, </w:t>
                      </w:r>
                      <w:r>
                        <w:rPr>
                          <w:b w:val="0"/>
                          <w:bCs w:val="0"/>
                          <w:color w:val="000000"/>
                          <w:spacing w:val="0"/>
                          <w:w w:val="100"/>
                          <w:position w:val="0"/>
                          <w:sz w:val="20"/>
                          <w:szCs w:val="20"/>
                          <w:shd w:val="clear" w:color="auto" w:fill="auto"/>
                          <w:lang w:val="cs-CZ" w:eastAsia="cs-CZ" w:bidi="cs-CZ"/>
                        </w:rPr>
                        <w:t>knihkupectví, Praha I., Národní 11</w:t>
                      </w:r>
                    </w:p>
                    <w:p>
                      <w:pPr>
                        <w:pStyle w:val="Style150"/>
                        <w:keepNext w:val="0"/>
                        <w:keepLines w:val="0"/>
                        <w:widowControl w:val="0"/>
                        <w:shd w:val="clear" w:color="auto" w:fill="auto"/>
                        <w:bidi w:val="0"/>
                        <w:spacing w:before="0" w:after="0" w:line="266" w:lineRule="auto"/>
                        <w:ind w:left="1500" w:right="0" w:firstLine="0"/>
                        <w:jc w:val="left"/>
                        <w:rPr>
                          <w:sz w:val="20"/>
                          <w:szCs w:val="20"/>
                        </w:rPr>
                      </w:pPr>
                      <w:r>
                        <w:rPr>
                          <w:b w:val="0"/>
                          <w:bCs w:val="0"/>
                          <w:color w:val="000000"/>
                          <w:spacing w:val="0"/>
                          <w:w w:val="100"/>
                          <w:position w:val="0"/>
                          <w:sz w:val="20"/>
                          <w:szCs w:val="20"/>
                          <w:shd w:val="clear" w:color="auto" w:fill="auto"/>
                          <w:lang w:val="en-US" w:eastAsia="en-US" w:bidi="en-US"/>
                        </w:rPr>
                        <w:t>a</w:t>
                      </w:r>
                    </w:p>
                    <w:p>
                      <w:pPr>
                        <w:pStyle w:val="Style150"/>
                        <w:keepNext w:val="0"/>
                        <w:keepLines w:val="0"/>
                        <w:widowControl w:val="0"/>
                        <w:shd w:val="clear" w:color="auto" w:fill="auto"/>
                        <w:bidi w:val="0"/>
                        <w:spacing w:before="0" w:after="0" w:line="240" w:lineRule="auto"/>
                        <w:ind w:left="1500" w:right="0" w:hanging="1500"/>
                        <w:jc w:val="left"/>
                        <w:rPr>
                          <w:sz w:val="20"/>
                          <w:szCs w:val="20"/>
                        </w:rPr>
                      </w:pP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 xml:space="preserve">FR. BOBOVÝ, </w:t>
                      </w:r>
                      <w:r>
                        <w:rPr>
                          <w:b w:val="0"/>
                          <w:bCs w:val="0"/>
                          <w:color w:val="000000"/>
                          <w:spacing w:val="0"/>
                          <w:w w:val="100"/>
                          <w:position w:val="0"/>
                          <w:sz w:val="20"/>
                          <w:szCs w:val="20"/>
                          <w:shd w:val="clear" w:color="auto" w:fill="auto"/>
                          <w:lang w:val="cs-CZ" w:eastAsia="cs-CZ" w:bidi="cs-CZ"/>
                        </w:rPr>
                        <w:t>akademické knihkupectvo. Bratislava, Dunajská 21</w:t>
                      </w:r>
                    </w:p>
                  </w:txbxContent>
                </v:textbox>
                <w10:wrap type="square" anchorx="page"/>
              </v:shape>
            </w:pict>
          </mc:Fallback>
        </mc:AlternateContent>
      </w:r>
    </w:p>
    <w:p w:rsidR="00500724" w:rsidRDefault="00F30FB8">
      <w:pPr>
        <w:pStyle w:val="Zkladntext1"/>
        <w:shd w:val="clear" w:color="auto" w:fill="auto"/>
        <w:spacing w:line="202" w:lineRule="auto"/>
        <w:ind w:firstLine="0"/>
        <w:rPr>
          <w:sz w:val="20"/>
          <w:szCs w:val="20"/>
        </w:rPr>
      </w:pPr>
      <w:r>
        <w:rPr>
          <w:i/>
          <w:iCs/>
          <w:sz w:val="20"/>
          <w:szCs w:val="20"/>
        </w:rPr>
        <w:t xml:space="preserve">vrtěl, ale v jeho nitru rostla definitivní </w:t>
      </w:r>
      <w:r>
        <w:rPr>
          <w:i/>
          <w:iCs/>
          <w:sz w:val="20"/>
          <w:szCs w:val="20"/>
          <w:lang w:val="en-US" w:eastAsia="en-US" w:bidi="en-US"/>
        </w:rPr>
        <w:t xml:space="preserve">imago, </w:t>
      </w:r>
      <w:r>
        <w:rPr>
          <w:i/>
          <w:iCs/>
          <w:sz w:val="20"/>
          <w:szCs w:val="20"/>
        </w:rPr>
        <w:t>vlastně motýl, zralý a vyspělý mistr. Jsem jist,</w:t>
      </w:r>
      <w:r>
        <w:rPr>
          <w:sz w:val="24"/>
          <w:szCs w:val="24"/>
        </w:rPr>
        <w:t xml:space="preserve"> že </w:t>
      </w:r>
      <w:r>
        <w:rPr>
          <w:i/>
          <w:iCs/>
          <w:sz w:val="20"/>
          <w:szCs w:val="20"/>
        </w:rPr>
        <w:t xml:space="preserve">se tehdy upjal k Masarykovi daleko vážněji a </w:t>
      </w:r>
      <w:r>
        <w:rPr>
          <w:i/>
          <w:iCs/>
          <w:sz w:val="20"/>
          <w:szCs w:val="20"/>
        </w:rPr>
        <w:t>hladověji, nežli kdy komu řekl. Také k jiným lidem — na příklad mistrovsky po</w:t>
      </w:r>
      <w:r>
        <w:rPr>
          <w:i/>
          <w:iCs/>
          <w:sz w:val="20"/>
          <w:szCs w:val="20"/>
        </w:rPr>
        <w:softHyphen/>
        <w:t xml:space="preserve">znal a popsal také Svehlu. Ale hlavně to byl Masaryk. Zde byl veliký člověk, genius — či snad yytatíček Masaryk* ? Ani to, ani ono. Masaryk byl v pojetí Čapkově — a mysr lim, Se </w:t>
      </w:r>
      <w:r>
        <w:rPr>
          <w:i/>
          <w:iCs/>
          <w:sz w:val="20"/>
          <w:szCs w:val="20"/>
        </w:rPr>
        <w:t>bylo neomylné —nor</w:t>
      </w:r>
      <w:r>
        <w:rPr>
          <w:i/>
          <w:iCs/>
          <w:sz w:val="20"/>
          <w:szCs w:val="20"/>
        </w:rPr>
        <w:softHyphen/>
        <w:t>mální člověk; jenže normální člověk zvláštní velikosti: vel</w:t>
      </w:r>
      <w:r>
        <w:rPr>
          <w:i/>
          <w:iCs/>
          <w:sz w:val="20"/>
          <w:szCs w:val="20"/>
        </w:rPr>
        <w:softHyphen/>
        <w:t>ký, silný, pilný, na všechny strany otevřený a při tom tak sám svůj jako strom, který i v nejrozložitější ko</w:t>
      </w:r>
      <w:r>
        <w:rPr>
          <w:i/>
          <w:iCs/>
          <w:sz w:val="20"/>
          <w:szCs w:val="20"/>
        </w:rPr>
        <w:softHyphen/>
        <w:t>runě jen provádí svůj vlastní imanentní zákon. Vedle Ma</w:t>
      </w:r>
      <w:r>
        <w:rPr>
          <w:i/>
          <w:iCs/>
          <w:sz w:val="20"/>
          <w:szCs w:val="20"/>
        </w:rPr>
        <w:softHyphen/>
        <w:t>saryka začal</w:t>
      </w:r>
      <w:r>
        <w:rPr>
          <w:i/>
          <w:iCs/>
          <w:sz w:val="20"/>
          <w:szCs w:val="20"/>
        </w:rPr>
        <w:t xml:space="preserve"> Čapek růst do šířky i hloubky. Dělal vždy všechno dobře. Měl přímo encyklopedické vědomosti o všem, co vzbudilo jeho zá</w:t>
      </w:r>
      <w:r>
        <w:rPr>
          <w:i/>
          <w:iCs/>
          <w:sz w:val="20"/>
          <w:szCs w:val="20"/>
        </w:rPr>
        <w:softHyphen/>
        <w:t>jem. A jako chrlil latinská jména brouků, motýlů a rost</w:t>
      </w:r>
      <w:r>
        <w:rPr>
          <w:i/>
          <w:iCs/>
          <w:sz w:val="20"/>
          <w:szCs w:val="20"/>
        </w:rPr>
        <w:softHyphen/>
        <w:t>lin (měl ten hmyz ve skřín</w:t>
      </w:r>
      <w:r>
        <w:rPr>
          <w:i/>
          <w:iCs/>
          <w:sz w:val="20"/>
          <w:szCs w:val="20"/>
        </w:rPr>
        <w:softHyphen/>
        <w:t xml:space="preserve">kách pěkně napíchaný), jako se vyznal v kobercích a </w:t>
      </w:r>
      <w:r>
        <w:rPr>
          <w:i/>
          <w:iCs/>
          <w:sz w:val="20"/>
          <w:szCs w:val="20"/>
        </w:rPr>
        <w:t>v umění i zpěvech divokých národů, tak se stal nyní i myslitelem svého druhu. Do</w:t>
      </w:r>
      <w:r>
        <w:rPr>
          <w:i/>
          <w:iCs/>
          <w:sz w:val="20"/>
          <w:szCs w:val="20"/>
        </w:rPr>
        <w:softHyphen/>
        <w:t>cela jinak než Masaryk, kte</w:t>
      </w:r>
      <w:r>
        <w:rPr>
          <w:i/>
          <w:iCs/>
          <w:sz w:val="20"/>
          <w:szCs w:val="20"/>
        </w:rPr>
        <w:softHyphen/>
        <w:t>rý byl soustavný, až skoro pedantický. Celý ten Čapkův ^pragmatismus* byl vlastně pluralismem, t. j. užaslým podivem a hlubokým respek</w:t>
      </w:r>
      <w:r>
        <w:rPr>
          <w:i/>
          <w:iCs/>
          <w:sz w:val="20"/>
          <w:szCs w:val="20"/>
        </w:rPr>
        <w:softHyphen/>
        <w:t>tem před bar</w:t>
      </w:r>
      <w:r>
        <w:rPr>
          <w:i/>
          <w:iCs/>
          <w:sz w:val="20"/>
          <w:szCs w:val="20"/>
        </w:rPr>
        <w:t>evností, hloub</w:t>
      </w:r>
      <w:r>
        <w:rPr>
          <w:i/>
          <w:iCs/>
          <w:sz w:val="20"/>
          <w:szCs w:val="20"/>
        </w:rPr>
        <w:softHyphen/>
        <w:t>kou a nevyčerpatelnou roz</w:t>
      </w:r>
      <w:r>
        <w:rPr>
          <w:i/>
          <w:iCs/>
          <w:sz w:val="20"/>
          <w:szCs w:val="20"/>
        </w:rPr>
        <w:softHyphen/>
        <w:t>manitostí individuálního ži</w:t>
      </w:r>
      <w:r>
        <w:rPr>
          <w:i/>
          <w:iCs/>
          <w:sz w:val="20"/>
          <w:szCs w:val="20"/>
        </w:rPr>
        <w:softHyphen/>
        <w:t>vota. Byl-li kdy relativistou, hleděl to překonat, či spíše byl ten relativismus jen plo</w:t>
      </w:r>
      <w:r>
        <w:rPr>
          <w:i/>
          <w:iCs/>
          <w:sz w:val="20"/>
          <w:szCs w:val="20"/>
        </w:rPr>
        <w:softHyphen/>
        <w:t>dem strachu, aby se nesetřel pel s křídel žádného toho lid</w:t>
      </w:r>
      <w:r>
        <w:rPr>
          <w:i/>
          <w:iCs/>
          <w:sz w:val="20"/>
          <w:szCs w:val="20"/>
        </w:rPr>
        <w:softHyphen/>
        <w:t>ského motýla, který je po</w:t>
      </w:r>
      <w:r>
        <w:rPr>
          <w:i/>
          <w:iCs/>
          <w:sz w:val="20"/>
          <w:szCs w:val="20"/>
        </w:rPr>
        <w:softHyphen/>
        <w:t xml:space="preserve">divuhodný, i </w:t>
      </w:r>
      <w:r>
        <w:rPr>
          <w:i/>
          <w:iCs/>
          <w:sz w:val="20"/>
          <w:szCs w:val="20"/>
        </w:rPr>
        <w:t>když je to můra. Profesor filosofie jako já, by mohl napsati celou studii o tom, jak úporně si Čapek promýšlel problémy lidského poznání. Vždyť nic nepřijí</w:t>
      </w:r>
      <w:r>
        <w:rPr>
          <w:i/>
          <w:iCs/>
          <w:sz w:val="20"/>
          <w:szCs w:val="20"/>
        </w:rPr>
        <w:softHyphen/>
        <w:t>máme trpně, vždy si obsah svých poznatků a pravd spo- lutvoříme, kus ze svého a kus z těch sporých f</w:t>
      </w:r>
      <w:r>
        <w:rPr>
          <w:i/>
          <w:iCs/>
          <w:sz w:val="20"/>
          <w:szCs w:val="20"/>
        </w:rPr>
        <w:t>aktů. Přímo nevyčerpatelný jest v tom směni yyPovětroň*. Jak si tu každý pozorovatel k bezvě</w:t>
      </w:r>
      <w:r>
        <w:rPr>
          <w:i/>
          <w:iCs/>
          <w:sz w:val="20"/>
          <w:szCs w:val="20"/>
        </w:rPr>
        <w:softHyphen/>
        <w:t>domému, zraněnému, v bez</w:t>
      </w:r>
      <w:r>
        <w:rPr>
          <w:i/>
          <w:iCs/>
          <w:sz w:val="20"/>
          <w:szCs w:val="20"/>
        </w:rPr>
        <w:softHyphen/>
        <w:t>vědomí umírajícímu člověku, který yyspadl s nebe* při le</w:t>
      </w:r>
      <w:r>
        <w:rPr>
          <w:i/>
          <w:iCs/>
          <w:sz w:val="20"/>
          <w:szCs w:val="20"/>
        </w:rPr>
        <w:softHyphen/>
        <w:t>teckém neštěstí, vytvoří svou povídku o jeho osudu! Vše</w:t>
      </w:r>
      <w:r>
        <w:rPr>
          <w:i/>
          <w:iCs/>
          <w:sz w:val="20"/>
          <w:szCs w:val="20"/>
        </w:rPr>
        <w:softHyphen/>
        <w:t>chny odpovídají faktům. D</w:t>
      </w:r>
      <w:r>
        <w:rPr>
          <w:i/>
          <w:iCs/>
          <w:sz w:val="20"/>
          <w:szCs w:val="20"/>
        </w:rPr>
        <w:t>ich- tung und Wahrheit jsou pa</w:t>
      </w:r>
      <w:r>
        <w:rPr>
          <w:i/>
          <w:iCs/>
          <w:sz w:val="20"/>
          <w:szCs w:val="20"/>
        </w:rPr>
        <w:softHyphen/>
        <w:t>trně všechny naše pravdy. Či nejsou? Karel Čapek ni</w:t>
      </w:r>
      <w:r>
        <w:rPr>
          <w:i/>
          <w:iCs/>
          <w:sz w:val="20"/>
          <w:szCs w:val="20"/>
        </w:rPr>
        <w:softHyphen/>
        <w:t>kdy tak daleko nešel. On opravdu věřil v absolutní na</w:t>
      </w:r>
      <w:r>
        <w:rPr>
          <w:i/>
          <w:iCs/>
          <w:sz w:val="20"/>
          <w:szCs w:val="20"/>
        </w:rPr>
        <w:softHyphen/>
        <w:t>hoře a dole ve světě pravd i ve světě hodnot. Příliš mu utkvělo a imponovalo Masa</w:t>
      </w:r>
      <w:r>
        <w:rPr>
          <w:i/>
          <w:iCs/>
          <w:sz w:val="20"/>
          <w:szCs w:val="20"/>
        </w:rPr>
        <w:softHyphen/>
        <w:t xml:space="preserve">rykovo »ano, ano, nikoliv, nikoliv*. </w:t>
      </w:r>
      <w:r>
        <w:rPr>
          <w:i/>
          <w:iCs/>
          <w:sz w:val="20"/>
          <w:szCs w:val="20"/>
        </w:rPr>
        <w:t>Masarykovo »tož to ne« bývalo slovem posled</w:t>
      </w:r>
      <w:r>
        <w:rPr>
          <w:i/>
          <w:iCs/>
          <w:sz w:val="20"/>
          <w:szCs w:val="20"/>
        </w:rPr>
        <w:softHyphen/>
        <w:t>ním. A tak se pevným bodem, z něhož čapek pak hýbal na</w:t>
      </w:r>
      <w:r>
        <w:rPr>
          <w:i/>
          <w:iCs/>
          <w:sz w:val="20"/>
          <w:szCs w:val="20"/>
        </w:rPr>
        <w:softHyphen/>
        <w:t>ším i širým světem, stávala stále více pevná osobnost, jako byla tato. Není to prav</w:t>
      </w:r>
      <w:r>
        <w:rPr>
          <w:i/>
          <w:iCs/>
          <w:sz w:val="20"/>
          <w:szCs w:val="20"/>
        </w:rPr>
        <w:softHyphen/>
        <w:t xml:space="preserve">da, všem osobnostem dáno. Ale dívejte se dobře! Co všechno je skryto i v </w:t>
      </w:r>
      <w:r>
        <w:rPr>
          <w:i/>
          <w:iCs/>
          <w:sz w:val="20"/>
          <w:szCs w:val="20"/>
        </w:rPr>
        <w:t>pro</w:t>
      </w:r>
      <w:r>
        <w:rPr>
          <w:i/>
          <w:iCs/>
          <w:sz w:val="20"/>
          <w:szCs w:val="20"/>
        </w:rPr>
        <w:softHyphen/>
        <w:t>stém Hordubalovi, o němž se policie yy dozví všechno* — jenže tak, že jeho srdce se ztratí a zůstane ztraceno! Jaké hlubiny objeví v sobě starý přednosta stanice, kte</w:t>
      </w:r>
      <w:r>
        <w:rPr>
          <w:i/>
          <w:iCs/>
          <w:sz w:val="20"/>
          <w:szCs w:val="20"/>
        </w:rPr>
        <w:softHyphen/>
        <w:t>rý nikdy nic nezažil, jehož život byl šedivý a nepatetic- ký. Jen když se začne pořád</w:t>
      </w:r>
      <w:r>
        <w:rPr>
          <w:i/>
          <w:iCs/>
          <w:sz w:val="20"/>
          <w:szCs w:val="20"/>
        </w:rPr>
        <w:softHyphen/>
        <w:t>ně a pozorně do sebe dívat! Ze všech hrůz, které kdy krá</w:t>
      </w:r>
      <w:r>
        <w:rPr>
          <w:i/>
          <w:iCs/>
          <w:sz w:val="20"/>
          <w:szCs w:val="20"/>
        </w:rPr>
        <w:softHyphen/>
        <w:t>čely kolem Karla Čapka, nej</w:t>
      </w:r>
      <w:r>
        <w:rPr>
          <w:i/>
          <w:iCs/>
          <w:sz w:val="20"/>
          <w:szCs w:val="20"/>
        </w:rPr>
        <w:softHyphen/>
        <w:t>hroznější bylo uniformování, ořezávání, znásilňování a po</w:t>
      </w:r>
      <w:r>
        <w:rPr>
          <w:i/>
          <w:iCs/>
          <w:sz w:val="20"/>
          <w:szCs w:val="20"/>
        </w:rPr>
        <w:softHyphen/>
        <w:t>tlačování lidských osobností. Zde také podal své nejlepší, nejsvětovější, nesmrtelné vě</w:t>
      </w:r>
      <w:r>
        <w:rPr>
          <w:i/>
          <w:iCs/>
          <w:sz w:val="20"/>
          <w:szCs w:val="20"/>
        </w:rPr>
        <w:softHyphen/>
        <w:t>ci. yyObyčejný život* po</w:t>
      </w:r>
      <w:r>
        <w:rPr>
          <w:i/>
          <w:iCs/>
          <w:sz w:val="20"/>
          <w:szCs w:val="20"/>
        </w:rPr>
        <w:t>vzná</w:t>
      </w:r>
      <w:r>
        <w:rPr>
          <w:i/>
          <w:iCs/>
          <w:sz w:val="20"/>
          <w:szCs w:val="20"/>
        </w:rPr>
        <w:softHyphen/>
        <w:t>ší pana přednostu do řady myslitelů, básníků a psycho</w:t>
      </w:r>
      <w:r>
        <w:rPr>
          <w:i/>
          <w:iCs/>
          <w:sz w:val="20"/>
          <w:szCs w:val="20"/>
        </w:rPr>
        <w:softHyphen/>
        <w:t>logických objevitelů a yyPrvní parta* kladenské horníky do řádu hrdinů. Bez řádů, bez re</w:t>
      </w:r>
      <w:r>
        <w:rPr>
          <w:i/>
          <w:iCs/>
          <w:sz w:val="20"/>
          <w:szCs w:val="20"/>
        </w:rPr>
        <w:softHyphen/>
        <w:t>flektorů, bez pathosu, pou</w:t>
      </w:r>
      <w:r>
        <w:rPr>
          <w:i/>
          <w:iCs/>
          <w:sz w:val="20"/>
          <w:szCs w:val="20"/>
        </w:rPr>
        <w:softHyphen/>
        <w:t>hým světlometem láskyplně pozornosti. V románech jako yyTovárna na absolutno* neb</w:t>
      </w:r>
      <w:r>
        <w:rPr>
          <w:i/>
          <w:iCs/>
          <w:sz w:val="20"/>
          <w:szCs w:val="20"/>
        </w:rPr>
        <w:t>o yyKrakatit* a ve y&gt;Válce s mlo</w:t>
      </w:r>
      <w:r>
        <w:rPr>
          <w:i/>
          <w:iCs/>
          <w:sz w:val="20"/>
          <w:szCs w:val="20"/>
        </w:rPr>
        <w:softHyphen/>
        <w:t>ky* ještě převládala satira nad vším, co se nadýmá du</w:t>
      </w:r>
      <w:r>
        <w:rPr>
          <w:i/>
          <w:iCs/>
          <w:sz w:val="20"/>
          <w:szCs w:val="20"/>
        </w:rPr>
        <w:softHyphen/>
        <w:t>ševně nebo mocensky explo- sivně nebo plantážnicky a dobyvačně. V těchto posled</w:t>
      </w:r>
      <w:r>
        <w:rPr>
          <w:i/>
          <w:iCs/>
          <w:sz w:val="20"/>
          <w:szCs w:val="20"/>
        </w:rPr>
        <w:softHyphen/>
        <w:t>ních románech je však Ča</w:t>
      </w:r>
      <w:r>
        <w:rPr>
          <w:i/>
          <w:iCs/>
          <w:sz w:val="20"/>
          <w:szCs w:val="20"/>
        </w:rPr>
        <w:softHyphen/>
        <w:t>pek celý, se svým úsměvem zpola dětským, zpola unave</w:t>
      </w:r>
      <w:r>
        <w:rPr>
          <w:i/>
          <w:iCs/>
          <w:sz w:val="20"/>
          <w:szCs w:val="20"/>
        </w:rPr>
        <w:softHyphen/>
        <w:t>ným se svou</w:t>
      </w:r>
      <w:r>
        <w:rPr>
          <w:i/>
          <w:iCs/>
          <w:sz w:val="20"/>
          <w:szCs w:val="20"/>
        </w:rPr>
        <w:t xml:space="preserve"> nenasytnou zvě</w:t>
      </w:r>
      <w:r>
        <w:rPr>
          <w:i/>
          <w:iCs/>
          <w:sz w:val="20"/>
          <w:szCs w:val="20"/>
        </w:rPr>
        <w:softHyphen/>
        <w:t>davostí a s láskou ke všemu, co žije svým vlastním živo</w:t>
      </w:r>
      <w:r>
        <w:rPr>
          <w:i/>
          <w:iCs/>
          <w:sz w:val="20"/>
          <w:szCs w:val="20"/>
        </w:rPr>
        <w:softHyphen/>
        <w:t>tem a roste svým vlastním zákonem růstu.</w:t>
      </w:r>
    </w:p>
    <w:p w:rsidR="00500724" w:rsidRDefault="00F30FB8">
      <w:pPr>
        <w:pStyle w:val="Zkladntext1"/>
        <w:pBdr>
          <w:bottom w:val="single" w:sz="4" w:space="0" w:color="auto"/>
        </w:pBdr>
        <w:shd w:val="clear" w:color="auto" w:fill="auto"/>
        <w:spacing w:after="100" w:line="226" w:lineRule="auto"/>
        <w:ind w:firstLine="0"/>
        <w:jc w:val="right"/>
        <w:rPr>
          <w:sz w:val="18"/>
          <w:szCs w:val="18"/>
        </w:rPr>
      </w:pPr>
      <w:r>
        <w:rPr>
          <w:sz w:val="18"/>
          <w:szCs w:val="18"/>
        </w:rPr>
        <w:t>Z deníku »Národní práce«.</w:t>
      </w:r>
    </w:p>
    <w:p w:rsidR="00500724" w:rsidRDefault="00F30FB8">
      <w:pPr>
        <w:pStyle w:val="Zkladntext40"/>
        <w:shd w:val="clear" w:color="auto" w:fill="auto"/>
        <w:spacing w:after="0"/>
        <w:ind w:firstLine="140"/>
      </w:pPr>
      <w:r>
        <w:t>Kraus a spol., krejčovský ate</w:t>
      </w:r>
      <w:r>
        <w:softHyphen/>
        <w:t>lier, Praha EL, Panská 10, ozna</w:t>
      </w:r>
      <w:r>
        <w:softHyphen/>
        <w:t>muje svým váženým zákazní</w:t>
      </w:r>
      <w:r>
        <w:softHyphen/>
        <w:t>kům, že právě došly zásilky s</w:t>
      </w:r>
      <w:r>
        <w:t>kvělých moderních anglických látek.</w:t>
      </w:r>
    </w:p>
    <w:p w:rsidR="00500724" w:rsidRDefault="00F30FB8">
      <w:pPr>
        <w:pStyle w:val="Zkladntext40"/>
        <w:shd w:val="clear" w:color="auto" w:fill="auto"/>
        <w:ind w:firstLine="180"/>
        <w:sectPr w:rsidR="00500724">
          <w:footnotePr>
            <w:numFmt w:val="chicago"/>
            <w:numRestart w:val="eachPage"/>
          </w:footnotePr>
          <w:pgSz w:w="11909" w:h="16834"/>
          <w:pgMar w:top="841" w:right="6040" w:bottom="737" w:left="674" w:header="0" w:footer="3" w:gutter="0"/>
          <w:cols w:num="2" w:sep="1" w:space="100"/>
          <w:noEndnote/>
          <w:docGrid w:linePitch="360"/>
        </w:sectPr>
      </w:pPr>
      <w:r>
        <w:t>Je těžší olovo nebo peří? Při stejné váze dvou věcí se nám zdá těžší vždy ta hutnější, tedy ta. které je menší kousek. Zkusmo odhadneme váhu tudíž jen velmi nepřesně. Proto je 1 Karo- Franck</w:t>
      </w:r>
      <w:r>
        <w:t>ovka. hodnotná to kávoví na. rozdělena na úplně stejné kostky, aby Vaše káva byla vždv stejně dobrá.</w:t>
      </w:r>
    </w:p>
    <w:p w:rsidR="00500724" w:rsidRDefault="00F30FB8">
      <w:pPr>
        <w:pStyle w:val="Nadpis40"/>
        <w:keepNext/>
        <w:keepLines/>
        <w:shd w:val="clear" w:color="auto" w:fill="auto"/>
      </w:pPr>
      <w:bookmarkStart w:id="56" w:name="bookmark55"/>
      <w:r>
        <w:t>PřtomnostL</w:t>
      </w:r>
      <w:bookmarkEnd w:id="56"/>
    </w:p>
    <w:tbl>
      <w:tblPr>
        <w:tblOverlap w:val="never"/>
        <w:tblW w:w="0" w:type="auto"/>
        <w:jc w:val="center"/>
        <w:tblLayout w:type="fixed"/>
        <w:tblCellMar>
          <w:left w:w="10" w:type="dxa"/>
          <w:right w:w="10" w:type="dxa"/>
        </w:tblCellMar>
        <w:tblLook w:val="04A0" w:firstRow="1" w:lastRow="0" w:firstColumn="1" w:lastColumn="0" w:noHBand="0" w:noVBand="1"/>
      </w:tblPr>
      <w:tblGrid>
        <w:gridCol w:w="7646"/>
        <w:gridCol w:w="3226"/>
      </w:tblGrid>
      <w:tr w:rsidR="00500724">
        <w:tblPrEx>
          <w:tblCellMar>
            <w:top w:w="0" w:type="dxa"/>
            <w:bottom w:w="0" w:type="dxa"/>
          </w:tblCellMar>
        </w:tblPrEx>
        <w:trPr>
          <w:trHeight w:hRule="exact" w:val="653"/>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3909"/>
              </w:tabs>
              <w:ind w:left="200" w:firstLine="80"/>
              <w:rPr>
                <w:sz w:val="20"/>
                <w:szCs w:val="20"/>
              </w:rPr>
            </w:pPr>
            <w:r>
              <w:rPr>
                <w:b/>
                <w:bCs/>
                <w:sz w:val="20"/>
                <w:szCs w:val="20"/>
              </w:rPr>
              <w:t>KOCNlK XVI</w:t>
            </w:r>
            <w:r>
              <w:rPr>
                <w:b/>
                <w:bCs/>
                <w:sz w:val="20"/>
                <w:szCs w:val="20"/>
              </w:rPr>
              <w:tab/>
              <w:t>V PRAZE 18. LEDNA 1939</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left="1740" w:firstLine="0"/>
              <w:jc w:val="left"/>
              <w:rPr>
                <w:sz w:val="20"/>
                <w:szCs w:val="20"/>
              </w:rPr>
            </w:pPr>
            <w:r>
              <w:rPr>
                <w:b/>
                <w:bCs/>
                <w:sz w:val="20"/>
                <w:szCs w:val="20"/>
              </w:rPr>
              <w:t>ZA Kč 2.—</w:t>
            </w:r>
          </w:p>
        </w:tc>
      </w:tr>
      <w:tr w:rsidR="00500724">
        <w:tblPrEx>
          <w:tblCellMar>
            <w:top w:w="0" w:type="dxa"/>
            <w:bottom w:w="0" w:type="dxa"/>
          </w:tblCellMar>
        </w:tblPrEx>
        <w:trPr>
          <w:trHeight w:hRule="exact" w:val="192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00" w:firstLine="80"/>
              <w:jc w:val="left"/>
              <w:rPr>
                <w:sz w:val="58"/>
                <w:szCs w:val="58"/>
              </w:rPr>
            </w:pPr>
            <w:r>
              <w:rPr>
                <w:sz w:val="58"/>
                <w:szCs w:val="58"/>
              </w:rPr>
              <w:t>Nemocná Evropa</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60" w:firstLine="0"/>
              <w:jc w:val="right"/>
              <w:rPr>
                <w:sz w:val="26"/>
                <w:szCs w:val="26"/>
              </w:rPr>
            </w:pPr>
            <w:r>
              <w:rPr>
                <w:b/>
                <w:bCs/>
                <w:sz w:val="26"/>
                <w:szCs w:val="26"/>
              </w:rPr>
              <w:t>SIGMA</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00" w:firstLine="80"/>
              <w:jc w:val="left"/>
              <w:rPr>
                <w:sz w:val="58"/>
                <w:szCs w:val="58"/>
              </w:rPr>
            </w:pPr>
            <w:r>
              <w:rPr>
                <w:sz w:val="58"/>
                <w:szCs w:val="58"/>
              </w:rPr>
              <w:t>Kdyby byla vypukla válka...</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60" w:firstLine="0"/>
              <w:jc w:val="right"/>
              <w:rPr>
                <w:sz w:val="26"/>
                <w:szCs w:val="26"/>
              </w:rPr>
            </w:pPr>
            <w:r>
              <w:rPr>
                <w:b/>
                <w:bCs/>
                <w:sz w:val="26"/>
                <w:szCs w:val="26"/>
              </w:rPr>
              <w:t>F. PEROUTKA</w:t>
            </w:r>
          </w:p>
        </w:tc>
      </w:tr>
      <w:tr w:rsidR="00500724">
        <w:tblPrEx>
          <w:tblCellMar>
            <w:top w:w="0" w:type="dxa"/>
            <w:bottom w:w="0" w:type="dxa"/>
          </w:tblCellMar>
        </w:tblPrEx>
        <w:trPr>
          <w:trHeight w:hRule="exact" w:val="119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00" w:firstLine="80"/>
              <w:jc w:val="left"/>
              <w:rPr>
                <w:sz w:val="58"/>
                <w:szCs w:val="58"/>
              </w:rPr>
            </w:pPr>
            <w:r>
              <w:rPr>
                <w:sz w:val="58"/>
                <w:szCs w:val="58"/>
              </w:rPr>
              <w:t>Karel Čapek politicky</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60" w:firstLine="0"/>
              <w:jc w:val="right"/>
              <w:rPr>
                <w:sz w:val="26"/>
                <w:szCs w:val="26"/>
              </w:rPr>
            </w:pPr>
            <w:r>
              <w:rPr>
                <w:b/>
                <w:bCs/>
                <w:sz w:val="26"/>
                <w:szCs w:val="26"/>
              </w:rPr>
              <w:t>EDMOND KONRÁD</w:t>
            </w:r>
          </w:p>
        </w:tc>
      </w:tr>
      <w:tr w:rsidR="00500724">
        <w:tblPrEx>
          <w:tblCellMar>
            <w:top w:w="0" w:type="dxa"/>
            <w:bottom w:w="0" w:type="dxa"/>
          </w:tblCellMar>
        </w:tblPrEx>
        <w:trPr>
          <w:trHeight w:hRule="exact" w:val="1200"/>
          <w:jc w:val="center"/>
        </w:trPr>
        <w:tc>
          <w:tcPr>
            <w:tcW w:w="0" w:type="auto"/>
            <w:gridSpan w:val="2"/>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left="240" w:firstLine="0"/>
              <w:jc w:val="left"/>
              <w:rPr>
                <w:sz w:val="32"/>
                <w:szCs w:val="32"/>
              </w:rPr>
            </w:pPr>
            <w:r>
              <w:rPr>
                <w:sz w:val="58"/>
                <w:szCs w:val="58"/>
              </w:rPr>
              <w:t xml:space="preserve">Hitler SÍ získává jistotu </w:t>
            </w:r>
            <w:r>
              <w:rPr>
                <w:b/>
                <w:bCs/>
                <w:sz w:val="26"/>
                <w:szCs w:val="26"/>
              </w:rPr>
              <w:t xml:space="preserve">HELENA </w:t>
            </w:r>
            <w:r>
              <w:rPr>
                <w:smallCaps/>
                <w:sz w:val="32"/>
                <w:szCs w:val="32"/>
              </w:rPr>
              <w:t>p. kirkpatricková</w:t>
            </w:r>
          </w:p>
        </w:tc>
      </w:tr>
      <w:tr w:rsidR="00500724">
        <w:tblPrEx>
          <w:tblCellMar>
            <w:top w:w="0" w:type="dxa"/>
            <w:bottom w:w="0" w:type="dxa"/>
          </w:tblCellMar>
        </w:tblPrEx>
        <w:trPr>
          <w:trHeight w:hRule="exact" w:val="119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00" w:firstLine="80"/>
              <w:jc w:val="left"/>
              <w:rPr>
                <w:sz w:val="58"/>
                <w:szCs w:val="58"/>
              </w:rPr>
            </w:pPr>
            <w:r>
              <w:rPr>
                <w:sz w:val="58"/>
                <w:szCs w:val="58"/>
              </w:rPr>
              <w:t>O chůzi</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60" w:firstLine="0"/>
              <w:jc w:val="right"/>
              <w:rPr>
                <w:sz w:val="26"/>
                <w:szCs w:val="26"/>
              </w:rPr>
            </w:pPr>
            <w:r>
              <w:rPr>
                <w:b/>
                <w:bCs/>
                <w:sz w:val="26"/>
                <w:szCs w:val="26"/>
              </w:rPr>
              <w:t>KAREL POLÁČEK</w:t>
            </w:r>
          </w:p>
        </w:tc>
      </w:tr>
      <w:tr w:rsidR="00500724">
        <w:tblPrEx>
          <w:tblCellMar>
            <w:top w:w="0" w:type="dxa"/>
            <w:bottom w:w="0" w:type="dxa"/>
          </w:tblCellMar>
        </w:tblPrEx>
        <w:trPr>
          <w:trHeight w:hRule="exact" w:val="119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00" w:firstLine="80"/>
              <w:jc w:val="left"/>
              <w:rPr>
                <w:sz w:val="58"/>
                <w:szCs w:val="58"/>
              </w:rPr>
            </w:pPr>
            <w:r>
              <w:rPr>
                <w:sz w:val="58"/>
                <w:szCs w:val="58"/>
              </w:rPr>
              <w:t>Židé v českém tisku</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60" w:firstLine="0"/>
              <w:jc w:val="right"/>
              <w:rPr>
                <w:sz w:val="26"/>
                <w:szCs w:val="26"/>
              </w:rPr>
            </w:pPr>
            <w:r>
              <w:rPr>
                <w:b/>
                <w:bCs/>
                <w:sz w:val="26"/>
                <w:szCs w:val="26"/>
              </w:rPr>
              <w:t>EDUARD BASS</w:t>
            </w:r>
          </w:p>
        </w:tc>
      </w:tr>
      <w:tr w:rsidR="00500724">
        <w:tblPrEx>
          <w:tblCellMar>
            <w:top w:w="0" w:type="dxa"/>
            <w:bottom w:w="0" w:type="dxa"/>
          </w:tblCellMar>
        </w:tblPrEx>
        <w:trPr>
          <w:trHeight w:hRule="exact" w:val="2150"/>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spacing w:line="271" w:lineRule="auto"/>
              <w:ind w:left="360" w:firstLine="0"/>
              <w:jc w:val="left"/>
              <w:rPr>
                <w:sz w:val="20"/>
                <w:szCs w:val="20"/>
              </w:rPr>
            </w:pPr>
            <w:r>
              <w:rPr>
                <w:b/>
                <w:bCs/>
                <w:sz w:val="20"/>
                <w:szCs w:val="20"/>
              </w:rPr>
              <w:t xml:space="preserve">Změnilo se něco po Římě? —- Jaké poslání mají Němci, kteří u nás zbyli? - letí — Proč nemáte telefon? — Co se děje v Číně. — Kus nezvrhlého umění. </w:t>
            </w:r>
            <w:r>
              <w:rPr>
                <w:b/>
                <w:bCs/>
                <w:sz w:val="20"/>
                <w:szCs w:val="20"/>
              </w:rPr>
              <w:t>Žák čtvrté třídy obecné školy vdově po Karlu Čapkovi. — Proč jenom pět? — dářští komisaři na Slovensku.</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numPr>
                <w:ilvl w:val="0"/>
                <w:numId w:val="8"/>
              </w:numPr>
              <w:shd w:val="clear" w:color="auto" w:fill="auto"/>
              <w:tabs>
                <w:tab w:val="left" w:pos="216"/>
              </w:tabs>
              <w:spacing w:line="276" w:lineRule="auto"/>
              <w:ind w:firstLine="0"/>
              <w:jc w:val="left"/>
              <w:rPr>
                <w:sz w:val="20"/>
                <w:szCs w:val="20"/>
              </w:rPr>
            </w:pPr>
            <w:r>
              <w:rPr>
                <w:b/>
                <w:bCs/>
                <w:sz w:val="20"/>
                <w:szCs w:val="20"/>
              </w:rPr>
              <w:t>Koukejte umřít do padesáti</w:t>
            </w:r>
          </w:p>
          <w:p w:rsidR="00500724" w:rsidRDefault="00F30FB8">
            <w:pPr>
              <w:pStyle w:val="Jin0"/>
              <w:numPr>
                <w:ilvl w:val="0"/>
                <w:numId w:val="8"/>
              </w:numPr>
              <w:shd w:val="clear" w:color="auto" w:fill="auto"/>
              <w:tabs>
                <w:tab w:val="left" w:pos="283"/>
              </w:tabs>
              <w:spacing w:line="276" w:lineRule="auto"/>
              <w:ind w:firstLine="0"/>
              <w:jc w:val="left"/>
              <w:rPr>
                <w:sz w:val="20"/>
                <w:szCs w:val="20"/>
              </w:rPr>
            </w:pPr>
            <w:r>
              <w:rPr>
                <w:b/>
                <w:bCs/>
                <w:sz w:val="20"/>
                <w:szCs w:val="20"/>
              </w:rPr>
              <w:t>Poslední dny Karla Čapka. Dopis z Jugoslávie. — Hospo-</w:t>
            </w:r>
          </w:p>
        </w:tc>
      </w:tr>
    </w:tbl>
    <w:p w:rsidR="00500724" w:rsidRDefault="00500724">
      <w:pPr>
        <w:spacing w:line="14" w:lineRule="exact"/>
        <w:sectPr w:rsidR="00500724">
          <w:footnotePr>
            <w:numFmt w:val="chicago"/>
            <w:numRestart w:val="eachPage"/>
          </w:footnotePr>
          <w:pgSz w:w="11909" w:h="16834"/>
          <w:pgMar w:top="1268" w:right="446" w:bottom="747" w:left="374"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6980"/>
        <w:sectPr w:rsidR="00500724">
          <w:footnotePr>
            <w:numFmt w:val="chicago"/>
            <w:numRestart w:val="eachPage"/>
          </w:footnotePr>
          <w:pgSz w:w="11909" w:h="16834"/>
          <w:pgMar w:top="629" w:right="840" w:bottom="852" w:left="413" w:header="0" w:footer="3" w:gutter="0"/>
          <w:cols w:space="720"/>
          <w:noEndnote/>
          <w:docGrid w:linePitch="360"/>
        </w:sectPr>
      </w:pPr>
      <w:bookmarkStart w:id="57" w:name="bookmark56"/>
      <w:r>
        <w:rPr>
          <w:color w:val="FFFFFF"/>
        </w:rPr>
        <w:t>ODBORNÍ LEKAftl</w:t>
      </w:r>
      <w:bookmarkEnd w:id="57"/>
    </w:p>
    <w:p w:rsidR="00500724" w:rsidRDefault="00500724">
      <w:pPr>
        <w:spacing w:line="35" w:lineRule="exact"/>
        <w:rPr>
          <w:sz w:val="3"/>
          <w:szCs w:val="3"/>
        </w:rPr>
      </w:pPr>
    </w:p>
    <w:p w:rsidR="00500724" w:rsidRDefault="00500724">
      <w:pPr>
        <w:spacing w:line="14" w:lineRule="exact"/>
        <w:sectPr w:rsidR="00500724">
          <w:footnotePr>
            <w:numFmt w:val="chicago"/>
            <w:numRestart w:val="eachPage"/>
          </w:footnotePr>
          <w:type w:val="continuous"/>
          <w:pgSz w:w="11909" w:h="16834"/>
          <w:pgMar w:top="629" w:right="0" w:bottom="852" w:left="0" w:header="0" w:footer="3" w:gutter="0"/>
          <w:cols w:space="720"/>
          <w:noEndnote/>
          <w:docGrid w:linePitch="360"/>
        </w:sectPr>
      </w:pPr>
    </w:p>
    <w:p w:rsidR="00500724" w:rsidRDefault="00F30FB8">
      <w:pPr>
        <w:pStyle w:val="Nadpis70"/>
        <w:keepNext/>
        <w:keepLines/>
        <w:shd w:val="clear" w:color="auto" w:fill="auto"/>
        <w:spacing w:after="480" w:line="228" w:lineRule="auto"/>
        <w:ind w:left="940" w:right="400" w:firstLine="20"/>
        <w:jc w:val="both"/>
      </w:pPr>
      <w:bookmarkStart w:id="58" w:name="bookmark57"/>
      <w:r>
        <w:rPr>
          <w:rFonts w:ascii="Times New Roman" w:eastAsia="Times New Roman" w:hAnsi="Times New Roman" w:cs="Times New Roman"/>
          <w:w w:val="100"/>
        </w:rPr>
        <w:t>Lidové vydání díla</w:t>
      </w:r>
      <w:bookmarkEnd w:id="58"/>
    </w:p>
    <w:p w:rsidR="00500724" w:rsidRDefault="00F30FB8">
      <w:pPr>
        <w:pStyle w:val="Nadpis70"/>
        <w:keepNext/>
        <w:keepLines/>
        <w:shd w:val="clear" w:color="auto" w:fill="auto"/>
        <w:spacing w:after="520" w:line="228" w:lineRule="auto"/>
        <w:ind w:left="200"/>
      </w:pPr>
      <w:bookmarkStart w:id="59" w:name="bookmark58"/>
      <w:r>
        <w:rPr>
          <w:rFonts w:ascii="Times New Roman" w:eastAsia="Times New Roman" w:hAnsi="Times New Roman" w:cs="Times New Roman"/>
          <w:w w:val="100"/>
        </w:rPr>
        <w:t>KARLA ČAPKA</w:t>
      </w:r>
      <w:bookmarkEnd w:id="59"/>
    </w:p>
    <w:p w:rsidR="00500724" w:rsidRDefault="00F30FB8">
      <w:pPr>
        <w:pStyle w:val="Zkladntext30"/>
        <w:shd w:val="clear" w:color="auto" w:fill="auto"/>
        <w:spacing w:after="0" w:line="240" w:lineRule="auto"/>
        <w:ind w:left="940" w:right="400" w:firstLine="20"/>
      </w:pPr>
      <w:r>
        <w:t>obsáhne úplný literární odkaz jednoho z největších našich slovesných umělců národu a světu: a to nejen slavná díla ro</w:t>
      </w:r>
      <w:r>
        <w:softHyphen/>
        <w:t>mánová a dramatická, knihy skvělých causerii a úvah, nýbrž i všecku rukopis</w:t>
      </w:r>
      <w:r>
        <w:softHyphen/>
        <w:t>n</w:t>
      </w:r>
      <w:r>
        <w:t>ou pozůstalost a přebohatou žeň prací roztroušených po novinách, časopisech a bibliofiliích.</w:t>
      </w:r>
    </w:p>
    <w:p w:rsidR="00500724" w:rsidRDefault="00F30FB8">
      <w:pPr>
        <w:pStyle w:val="Zkladntext30"/>
        <w:shd w:val="clear" w:color="auto" w:fill="auto"/>
        <w:spacing w:after="0" w:line="240" w:lineRule="auto"/>
        <w:ind w:left="940" w:firstLine="20"/>
      </w:pPr>
      <w:r>
        <w:t>•</w:t>
      </w:r>
    </w:p>
    <w:p w:rsidR="00500724" w:rsidRDefault="00F30FB8">
      <w:pPr>
        <w:pStyle w:val="Zkladntext30"/>
        <w:shd w:val="clear" w:color="auto" w:fill="auto"/>
        <w:spacing w:after="260" w:line="240" w:lineRule="auto"/>
        <w:ind w:left="940" w:right="400" w:firstLine="20"/>
      </w:pPr>
      <w:r>
        <w:t>Dílo, tištěné na dobrém dílovém papíře v důstojné úpravě, bude vycházeti v tý</w:t>
      </w:r>
      <w:r>
        <w:softHyphen/>
        <w:t>denních sešitech o 32 stranách po Kě 2.20. První sešit o 16 stranách přinese počá</w:t>
      </w:r>
      <w:r>
        <w:softHyphen/>
      </w:r>
      <w:r>
        <w:t>tek románu HORDUBAL. Vyžádejte si tento sešit zdarma u všech knihkupců nebo přímo v nakladatelství</w:t>
      </w:r>
    </w:p>
    <w:p w:rsidR="00500724" w:rsidRDefault="00F30FB8">
      <w:pPr>
        <w:pStyle w:val="Nadpis100"/>
        <w:shd w:val="clear" w:color="auto" w:fill="auto"/>
        <w:spacing w:after="0" w:line="240" w:lineRule="auto"/>
        <w:ind w:left="940" w:firstLine="20"/>
        <w:jc w:val="both"/>
      </w:pPr>
      <w:bookmarkStart w:id="60" w:name="bookmark59"/>
      <w:r>
        <w:t>FR.BOROVÝ</w:t>
      </w:r>
      <w:bookmarkEnd w:id="60"/>
    </w:p>
    <w:p w:rsidR="00500724" w:rsidRDefault="00F30FB8">
      <w:pPr>
        <w:spacing w:line="1" w:lineRule="exact"/>
        <w:rPr>
          <w:sz w:val="2"/>
          <w:szCs w:val="2"/>
        </w:rPr>
      </w:pPr>
      <w:r>
        <w:br w:type="column"/>
      </w:r>
    </w:p>
    <w:p w:rsidR="00500724" w:rsidRDefault="00F30FB8">
      <w:pPr>
        <w:pStyle w:val="Zkladntext1"/>
        <w:shd w:val="clear" w:color="auto" w:fill="auto"/>
        <w:spacing w:line="168" w:lineRule="auto"/>
        <w:ind w:firstLine="0"/>
        <w:jc w:val="right"/>
        <w:rPr>
          <w:sz w:val="18"/>
          <w:szCs w:val="18"/>
        </w:rPr>
      </w:pPr>
      <w:r>
        <w:rPr>
          <w:rFonts w:ascii="Arial" w:eastAsia="Arial" w:hAnsi="Arial" w:cs="Arial"/>
          <w:b/>
          <w:bCs/>
          <w:sz w:val="17"/>
          <w:szCs w:val="17"/>
        </w:rPr>
        <w:t xml:space="preserve">Mim. </w:t>
      </w:r>
      <w:r>
        <w:rPr>
          <w:rFonts w:ascii="Arial" w:eastAsia="Arial" w:hAnsi="Arial" w:cs="Arial"/>
          <w:smallCaps/>
          <w:sz w:val="11"/>
          <w:szCs w:val="11"/>
        </w:rPr>
        <w:t>CkomLÍ</w:t>
      </w:r>
      <w:r>
        <w:rPr>
          <w:sz w:val="18"/>
          <w:szCs w:val="18"/>
        </w:rPr>
        <w:t xml:space="preserve"> odborný lékař pro </w:t>
      </w:r>
      <w:r>
        <w:rPr>
          <w:b/>
          <w:bCs/>
          <w:sz w:val="18"/>
          <w:szCs w:val="18"/>
        </w:rPr>
        <w:t xml:space="preserve">žaludeční a iVlUUr. rrasiKí střevní nemoci a roentgenologii, </w:t>
      </w:r>
      <w:r>
        <w:rPr>
          <w:sz w:val="18"/>
          <w:szCs w:val="18"/>
        </w:rPr>
        <w:t>PRAHA H., NEKAZANKA 4, II. patro. Ord. 9-10. 3-4.</w:t>
      </w:r>
    </w:p>
    <w:p w:rsidR="00500724" w:rsidRDefault="00F30FB8">
      <w:pPr>
        <w:pStyle w:val="Zkladntext1"/>
        <w:pBdr>
          <w:bottom w:val="single" w:sz="4" w:space="0" w:color="auto"/>
        </w:pBdr>
        <w:shd w:val="clear" w:color="auto" w:fill="auto"/>
        <w:spacing w:after="120" w:line="168" w:lineRule="auto"/>
        <w:ind w:left="2580" w:firstLine="0"/>
        <w:jc w:val="left"/>
        <w:rPr>
          <w:sz w:val="18"/>
          <w:szCs w:val="18"/>
        </w:rPr>
      </w:pPr>
      <w:r>
        <w:rPr>
          <w:sz w:val="18"/>
          <w:szCs w:val="18"/>
        </w:rPr>
        <w:t>Telefon 234-13.</w:t>
      </w:r>
    </w:p>
    <w:p w:rsidR="00500724" w:rsidRDefault="00F30FB8">
      <w:pPr>
        <w:pStyle w:val="Zkladntext1"/>
        <w:shd w:val="clear" w:color="auto" w:fill="auto"/>
        <w:spacing w:line="151" w:lineRule="auto"/>
        <w:ind w:firstLine="0"/>
        <w:jc w:val="right"/>
        <w:rPr>
          <w:sz w:val="18"/>
          <w:szCs w:val="18"/>
        </w:rPr>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w:t>
      </w:r>
      <w:r>
        <w:rPr>
          <w:rFonts w:ascii="Arial" w:eastAsia="Arial" w:hAnsi="Arial" w:cs="Arial"/>
          <w:b/>
          <w:bCs/>
          <w:sz w:val="22"/>
          <w:szCs w:val="22"/>
        </w:rPr>
        <w:t xml:space="preserve">Fróhlich, </w:t>
      </w:r>
      <w:r>
        <w:rPr>
          <w:sz w:val="18"/>
          <w:szCs w:val="18"/>
        </w:rPr>
        <w:t xml:space="preserve">odborný lékař pro choroby vnitřní, žaludeční, střevní a výměny látek, em. asistent I. med. kliniky </w:t>
      </w:r>
      <w:r>
        <w:rPr>
          <w:sz w:val="18"/>
          <w:szCs w:val="18"/>
          <w:lang w:val="en-US" w:eastAsia="en-US" w:bidi="en-US"/>
        </w:rPr>
        <w:t xml:space="preserve">prof. </w:t>
      </w:r>
      <w:r>
        <w:rPr>
          <w:sz w:val="18"/>
          <w:szCs w:val="18"/>
        </w:rPr>
        <w:t>Schmidta,</w:t>
      </w:r>
    </w:p>
    <w:p w:rsidR="00500724" w:rsidRDefault="00F30FB8">
      <w:pPr>
        <w:pStyle w:val="Zkladntext1"/>
        <w:shd w:val="clear" w:color="auto" w:fill="auto"/>
        <w:spacing w:after="120" w:line="161" w:lineRule="auto"/>
        <w:ind w:firstLine="0"/>
        <w:jc w:val="right"/>
        <w:rPr>
          <w:sz w:val="18"/>
          <w:szCs w:val="18"/>
        </w:rPr>
      </w:pPr>
      <w:r>
        <w:rPr>
          <w:sz w:val="18"/>
          <w:szCs w:val="18"/>
          <w:u w:val="single"/>
        </w:rPr>
        <w:t xml:space="preserve">PRAHA </w:t>
      </w:r>
      <w:r>
        <w:rPr>
          <w:rFonts w:ascii="Arial" w:eastAsia="Arial" w:hAnsi="Arial" w:cs="Arial"/>
          <w:b/>
          <w:bCs/>
          <w:sz w:val="17"/>
          <w:szCs w:val="17"/>
          <w:u w:val="single"/>
        </w:rPr>
        <w:t xml:space="preserve">I., </w:t>
      </w:r>
      <w:r>
        <w:rPr>
          <w:sz w:val="18"/>
          <w:szCs w:val="18"/>
          <w:u w:val="single"/>
        </w:rPr>
        <w:t>Na Příkopech 35. Ord. 9-10, %3-&gt;/5. Telef. 228-91.</w:t>
      </w:r>
    </w:p>
    <w:p w:rsidR="00500724" w:rsidRDefault="00F30FB8">
      <w:pPr>
        <w:pStyle w:val="Nadpis110"/>
        <w:shd w:val="clear" w:color="auto" w:fill="auto"/>
        <w:spacing w:line="163" w:lineRule="auto"/>
        <w:jc w:val="both"/>
      </w:pPr>
      <w:bookmarkStart w:id="61" w:name="bookmark60"/>
      <w:r>
        <w:t>MUDr. ZDENKA NEDVĚDOVÁ-NEJEDLÁ</w:t>
      </w:r>
      <w:bookmarkEnd w:id="61"/>
    </w:p>
    <w:p w:rsidR="00500724" w:rsidRDefault="00F30FB8">
      <w:pPr>
        <w:pStyle w:val="Zkladntext1"/>
        <w:shd w:val="clear" w:color="auto" w:fill="auto"/>
        <w:spacing w:after="120" w:line="180" w:lineRule="auto"/>
        <w:ind w:firstLine="0"/>
        <w:jc w:val="right"/>
        <w:rPr>
          <w:sz w:val="20"/>
          <w:szCs w:val="20"/>
        </w:rPr>
      </w:pPr>
      <w:r>
        <w:rPr>
          <w:b/>
          <w:bCs/>
        </w:rPr>
        <w:t xml:space="preserve">odb. dětská lékařka, </w:t>
      </w:r>
      <w:r>
        <w:rPr>
          <w:sz w:val="20"/>
          <w:szCs w:val="20"/>
        </w:rPr>
        <w:t xml:space="preserve">PODOLÍ, Pankrácká 14 (stanice elektr. </w:t>
      </w:r>
      <w:r>
        <w:rPr>
          <w:b/>
          <w:bCs/>
          <w:u w:val="single"/>
        </w:rPr>
        <w:t>dráhy za Podol, sanatoriem). Ord. 9—</w:t>
      </w:r>
      <w:r>
        <w:rPr>
          <w:sz w:val="20"/>
          <w:szCs w:val="20"/>
          <w:u w:val="single"/>
        </w:rPr>
        <w:t>10 a 2—4. Tel. 441-77.</w:t>
      </w:r>
    </w:p>
    <w:p w:rsidR="00500724" w:rsidRDefault="00F30FB8">
      <w:pPr>
        <w:pStyle w:val="Zkladntext1"/>
        <w:shd w:val="clear" w:color="auto" w:fill="auto"/>
        <w:spacing w:after="120" w:line="204" w:lineRule="auto"/>
        <w:ind w:firstLine="0"/>
        <w:rPr>
          <w:sz w:val="14"/>
          <w:szCs w:val="14"/>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 xml:space="preserve">ord. 3-4 (a Dodle úmluvy). Telefon 393-79. </w:t>
      </w:r>
      <w:r>
        <w:rPr>
          <w:b/>
          <w:bCs/>
          <w:sz w:val="14"/>
          <w:szCs w:val="14"/>
        </w:rPr>
        <w:t>PRAHA H.. VO</w:t>
      </w:r>
      <w:r>
        <w:rPr>
          <w:b/>
          <w:bCs/>
          <w:sz w:val="14"/>
          <w:szCs w:val="14"/>
        </w:rPr>
        <w:softHyphen/>
      </w:r>
      <w:r>
        <w:rPr>
          <w:b/>
          <w:bCs/>
          <w:sz w:val="14"/>
          <w:szCs w:val="14"/>
          <w:u w:val="single"/>
        </w:rPr>
        <w:t>DIČKOVA 15. (Hlávkův nalác.)</w:t>
      </w:r>
    </w:p>
    <w:p w:rsidR="00500724" w:rsidRDefault="00F30FB8">
      <w:pPr>
        <w:pStyle w:val="Zkladntext1"/>
        <w:shd w:val="clear" w:color="auto" w:fill="auto"/>
        <w:spacing w:line="132" w:lineRule="auto"/>
        <w:ind w:firstLine="0"/>
        <w:rPr>
          <w:sz w:val="18"/>
          <w:szCs w:val="18"/>
        </w:rPr>
      </w:pPr>
      <w:r>
        <w:rPr>
          <w:sz w:val="18"/>
          <w:szCs w:val="18"/>
        </w:rPr>
        <w:t xml:space="preserve">Odborný lékař pro porod- </w:t>
      </w:r>
      <w:r>
        <w:rPr>
          <w:rFonts w:ascii="Arial" w:eastAsia="Arial" w:hAnsi="Arial" w:cs="Arial"/>
          <w:b/>
          <w:bCs/>
          <w:sz w:val="22"/>
          <w:szCs w:val="22"/>
        </w:rPr>
        <w:t xml:space="preserve">MUDr. K. STEINBACH </w:t>
      </w:r>
      <w:r>
        <w:rPr>
          <w:b/>
          <w:bCs/>
        </w:rPr>
        <w:t xml:space="preserve">nictví a </w:t>
      </w:r>
      <w:r>
        <w:rPr>
          <w:sz w:val="18"/>
          <w:szCs w:val="18"/>
        </w:rPr>
        <w:t>pro nemoci zen</w:t>
      </w:r>
    </w:p>
    <w:p w:rsidR="00500724" w:rsidRDefault="00F30FB8">
      <w:pPr>
        <w:pStyle w:val="Zkladntext1"/>
        <w:shd w:val="clear" w:color="auto" w:fill="auto"/>
        <w:spacing w:after="100" w:line="204" w:lineRule="auto"/>
        <w:ind w:firstLine="0"/>
        <w:jc w:val="right"/>
        <w:rPr>
          <w:sz w:val="18"/>
          <w:szCs w:val="18"/>
        </w:rPr>
      </w:pPr>
      <w:r>
        <w:rPr>
          <w:b/>
          <w:bCs/>
          <w:sz w:val="14"/>
          <w:szCs w:val="14"/>
          <w:u w:val="single"/>
        </w:rPr>
        <w:t xml:space="preserve">PRAHA II., </w:t>
      </w:r>
      <w:r>
        <w:rPr>
          <w:sz w:val="18"/>
          <w:szCs w:val="18"/>
          <w:u w:val="single"/>
        </w:rPr>
        <w:t>Havlíčkovo nám. 22. Ord. 9-11, 2-4. Tel. -70-13.</w:t>
      </w:r>
    </w:p>
    <w:p w:rsidR="00500724" w:rsidRDefault="00F30FB8">
      <w:pPr>
        <w:pStyle w:val="Nadpis110"/>
        <w:shd w:val="clear" w:color="auto" w:fill="auto"/>
        <w:jc w:val="both"/>
      </w:pPr>
      <w:bookmarkStart w:id="62" w:name="bookmark61"/>
      <w:r>
        <w:t>MUDr. EMIL VOGL</w:t>
      </w:r>
      <w:bookmarkEnd w:id="62"/>
    </w:p>
    <w:p w:rsidR="00500724" w:rsidRDefault="00F30FB8">
      <w:pPr>
        <w:pStyle w:val="Zkladntext1"/>
        <w:shd w:val="clear" w:color="auto" w:fill="auto"/>
        <w:spacing w:after="260" w:line="202" w:lineRule="auto"/>
        <w:ind w:firstLine="0"/>
        <w:rPr>
          <w:sz w:val="18"/>
          <w:szCs w:val="18"/>
        </w:rPr>
      </w:pPr>
      <w:r>
        <w:rPr>
          <w:sz w:val="18"/>
          <w:szCs w:val="18"/>
        </w:rPr>
        <w:t xml:space="preserve">odborný lékař nro nemoci vnitřní, </w:t>
      </w:r>
      <w:r>
        <w:rPr>
          <w:b/>
          <w:bCs/>
          <w:sz w:val="14"/>
          <w:szCs w:val="14"/>
        </w:rPr>
        <w:t xml:space="preserve">PRAHA H., LÚTZOWOVA </w:t>
      </w:r>
      <w:r>
        <w:rPr>
          <w:b/>
          <w:bCs/>
          <w:sz w:val="14"/>
          <w:szCs w:val="14"/>
          <w:u w:val="single"/>
        </w:rPr>
        <w:t xml:space="preserve">82, roh Washingtonovy. </w:t>
      </w:r>
      <w:r>
        <w:rPr>
          <w:sz w:val="18"/>
          <w:szCs w:val="18"/>
          <w:u w:val="single"/>
        </w:rPr>
        <w:t>Ord. 9-11, 2-4. Telefon 226-65.</w:t>
      </w:r>
    </w:p>
    <w:p w:rsidR="00500724" w:rsidRDefault="00F30FB8">
      <w:pPr>
        <w:pStyle w:val="Nadpis110"/>
        <w:pBdr>
          <w:top w:val="single" w:sz="4" w:space="0" w:color="000000"/>
          <w:left w:val="single" w:sz="4" w:space="0" w:color="000000"/>
          <w:bottom w:val="single" w:sz="4" w:space="0" w:color="000000"/>
          <w:right w:val="single" w:sz="4" w:space="0" w:color="000000"/>
        </w:pBdr>
        <w:shd w:val="clear" w:color="auto" w:fill="000000"/>
        <w:spacing w:after="380"/>
        <w:ind w:left="60"/>
        <w:jc w:val="center"/>
      </w:pPr>
      <w:bookmarkStart w:id="63" w:name="bookmark62"/>
      <w:r>
        <w:rPr>
          <w:color w:val="FFFFFF"/>
        </w:rPr>
        <w:t>VAJ</w:t>
      </w:r>
      <w:r>
        <w:rPr>
          <w:color w:val="FFFFFF"/>
        </w:rPr>
        <w:t xml:space="preserve"> VKUS I NÁROKY USPOKOJÍ</w:t>
      </w:r>
      <w:bookmarkEnd w:id="63"/>
    </w:p>
    <w:p w:rsidR="00500724" w:rsidRDefault="00F30FB8">
      <w:pPr>
        <w:pStyle w:val="Jin0"/>
        <w:shd w:val="clear" w:color="auto" w:fill="auto"/>
        <w:ind w:left="60" w:firstLine="0"/>
        <w:jc w:val="center"/>
        <w:rPr>
          <w:sz w:val="26"/>
          <w:szCs w:val="26"/>
        </w:rPr>
      </w:pPr>
      <w:r>
        <w:rPr>
          <w:rFonts w:ascii="Arial" w:eastAsia="Arial" w:hAnsi="Arial" w:cs="Arial"/>
          <w:b/>
          <w:bCs/>
          <w:sz w:val="26"/>
          <w:szCs w:val="26"/>
        </w:rPr>
        <w:t>KRAUS &amp; SPOL.</w:t>
      </w:r>
    </w:p>
    <w:p w:rsidR="00500724" w:rsidRDefault="00F30FB8">
      <w:pPr>
        <w:pStyle w:val="Zkladntext30"/>
        <w:shd w:val="clear" w:color="auto" w:fill="auto"/>
        <w:spacing w:after="0" w:line="240" w:lineRule="auto"/>
        <w:ind w:left="60" w:firstLine="0"/>
        <w:jc w:val="center"/>
      </w:pPr>
      <w:r>
        <w:t>krejčí pro pány a dámy</w:t>
      </w:r>
    </w:p>
    <w:p w:rsidR="00500724" w:rsidRDefault="00F30FB8">
      <w:pPr>
        <w:pStyle w:val="Zkladntext30"/>
        <w:shd w:val="clear" w:color="auto" w:fill="auto"/>
        <w:spacing w:after="0" w:line="240" w:lineRule="auto"/>
        <w:ind w:right="240" w:firstLine="0"/>
        <w:jc w:val="right"/>
      </w:pPr>
      <w:r>
        <w:t>PRAHA H.,</w:t>
      </w:r>
    </w:p>
    <w:p w:rsidR="00500724" w:rsidRDefault="00F30FB8">
      <w:pPr>
        <w:pStyle w:val="Zkladntext30"/>
        <w:shd w:val="clear" w:color="auto" w:fill="auto"/>
        <w:tabs>
          <w:tab w:val="left" w:pos="3720"/>
        </w:tabs>
        <w:spacing w:after="240" w:line="204" w:lineRule="auto"/>
        <w:ind w:firstLine="0"/>
        <w:rPr>
          <w:sz w:val="20"/>
          <w:szCs w:val="20"/>
        </w:rPr>
      </w:pPr>
      <w:r>
        <w:rPr>
          <w:sz w:val="20"/>
          <w:szCs w:val="20"/>
        </w:rPr>
        <w:t>Telefon 309-69</w:t>
      </w:r>
      <w:r>
        <w:rPr>
          <w:sz w:val="20"/>
          <w:szCs w:val="20"/>
        </w:rPr>
        <w:tab/>
        <w:t>Panská ul. 10</w:t>
      </w:r>
    </w:p>
    <w:p w:rsidR="00500724" w:rsidRDefault="00F30FB8">
      <w:pPr>
        <w:pStyle w:val="Zkladntext40"/>
        <w:shd w:val="clear" w:color="auto" w:fill="auto"/>
        <w:spacing w:after="0" w:line="240" w:lineRule="auto"/>
        <w:ind w:left="60"/>
        <w:jc w:val="center"/>
        <w:rPr>
          <w:sz w:val="14"/>
          <w:szCs w:val="14"/>
        </w:rPr>
      </w:pPr>
      <w:r>
        <w:rPr>
          <w:b/>
          <w:bCs/>
          <w:sz w:val="14"/>
          <w:szCs w:val="14"/>
        </w:rPr>
        <w:t>OBUV PRO VYŠŠÍ NÁROKY</w:t>
      </w:r>
    </w:p>
    <w:p w:rsidR="00500724" w:rsidRDefault="00F30FB8">
      <w:pPr>
        <w:pStyle w:val="Jin0"/>
        <w:shd w:val="clear" w:color="auto" w:fill="auto"/>
        <w:spacing w:line="190" w:lineRule="auto"/>
        <w:ind w:left="60"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
        <w:shd w:val="clear" w:color="auto" w:fill="auto"/>
        <w:spacing w:after="380"/>
        <w:ind w:right="240" w:firstLine="0"/>
        <w:jc w:val="right"/>
        <w:rPr>
          <w:sz w:val="20"/>
          <w:szCs w:val="20"/>
        </w:rPr>
      </w:pPr>
      <w:r>
        <w:rPr>
          <w:sz w:val="20"/>
          <w:szCs w:val="20"/>
        </w:rPr>
        <w:t>PRAHA I., PŘÍKOPY 35, schodiště A. Tel. 315-28.</w:t>
      </w:r>
    </w:p>
    <w:p w:rsidR="00500724" w:rsidRDefault="00F30FB8">
      <w:pPr>
        <w:pStyle w:val="Jin0"/>
        <w:shd w:val="clear" w:color="auto" w:fill="auto"/>
        <w:ind w:left="1940" w:firstLine="0"/>
        <w:jc w:val="left"/>
        <w:rPr>
          <w:sz w:val="38"/>
          <w:szCs w:val="38"/>
        </w:rPr>
      </w:pPr>
      <w:r>
        <w:rPr>
          <w:rFonts w:ascii="Arial" w:eastAsia="Arial" w:hAnsi="Arial" w:cs="Arial"/>
          <w:i/>
          <w:iCs/>
          <w:sz w:val="38"/>
          <w:szCs w:val="38"/>
          <w:vertAlign w:val="subscript"/>
        </w:rPr>
        <w:t>N</w:t>
      </w:r>
      <w:r>
        <w:rPr>
          <w:rFonts w:ascii="Arial" w:eastAsia="Arial" w:hAnsi="Arial" w:cs="Arial"/>
          <w:i/>
          <w:iCs/>
          <w:sz w:val="38"/>
          <w:szCs w:val="38"/>
        </w:rPr>
        <w:t>j,</w:t>
      </w:r>
    </w:p>
    <w:p w:rsidR="00500724" w:rsidRDefault="00F30FB8">
      <w:pPr>
        <w:pStyle w:val="Zkladntext50"/>
        <w:shd w:val="clear" w:color="auto" w:fill="auto"/>
        <w:spacing w:after="0" w:line="240" w:lineRule="auto"/>
        <w:ind w:left="1280"/>
        <w:jc w:val="left"/>
        <w:rPr>
          <w:sz w:val="18"/>
          <w:szCs w:val="18"/>
        </w:rPr>
      </w:pPr>
      <w:r>
        <w:rPr>
          <w:i/>
          <w:iCs/>
          <w:sz w:val="18"/>
          <w:szCs w:val="18"/>
          <w:lang w:val="en-US" w:eastAsia="en-US" w:bidi="en-US"/>
        </w:rPr>
        <w:t>in*.</w:t>
      </w:r>
    </w:p>
    <w:p w:rsidR="00500724" w:rsidRDefault="00F30FB8">
      <w:pPr>
        <w:pStyle w:val="Zkladntext50"/>
        <w:shd w:val="clear" w:color="auto" w:fill="auto"/>
        <w:spacing w:after="0" w:line="199" w:lineRule="auto"/>
        <w:ind w:left="1280"/>
        <w:jc w:val="left"/>
        <w:rPr>
          <w:sz w:val="18"/>
          <w:szCs w:val="18"/>
        </w:rPr>
        <w:sectPr w:rsidR="00500724">
          <w:footnotePr>
            <w:numFmt w:val="chicago"/>
            <w:numRestart w:val="eachPage"/>
          </w:footnotePr>
          <w:type w:val="continuous"/>
          <w:pgSz w:w="11909" w:h="16834"/>
          <w:pgMar w:top="629" w:right="840" w:bottom="852" w:left="571" w:header="0" w:footer="3" w:gutter="0"/>
          <w:cols w:num="2" w:space="130"/>
          <w:noEndnote/>
          <w:docGrid w:linePitch="360"/>
        </w:sectPr>
      </w:pPr>
      <w:r>
        <w:rPr>
          <w:i/>
          <w:iCs/>
          <w:sz w:val="18"/>
          <w:szCs w:val="18"/>
        </w:rPr>
        <w:t xml:space="preserve">v </w:t>
      </w:r>
      <w:r>
        <w:rPr>
          <w:i/>
          <w:iCs/>
          <w:sz w:val="18"/>
          <w:szCs w:val="18"/>
          <w:lang w:val="en-US" w:eastAsia="en-US" w:bidi="en-US"/>
        </w:rPr>
        <w:t>Pa£</w:t>
      </w:r>
      <w:r>
        <w:rPr>
          <w:i/>
          <w:iCs/>
          <w:sz w:val="18"/>
          <w:szCs w:val="18"/>
          <w:vertAlign w:val="superscript"/>
          <w:lang w:val="en-US" w:eastAsia="en-US" w:bidi="en-US"/>
        </w:rPr>
        <w:t>OVe&lt;il</w:t>
      </w:r>
      <w:r>
        <w:rPr>
          <w:i/>
          <w:iCs/>
          <w:sz w:val="18"/>
          <w:szCs w:val="18"/>
          <w:lang w:val="en-US" w:eastAsia="en-US" w:bidi="en-US"/>
        </w:rPr>
        <w:t xml:space="preserve">a„ </w:t>
      </w:r>
      <w:r>
        <w:rPr>
          <w:i/>
          <w:iCs/>
          <w:sz w:val="18"/>
          <w:szCs w:val="18"/>
          <w:vertAlign w:val="superscript"/>
        </w:rPr>
        <w:t>e,n</w:t>
      </w:r>
      <w:r>
        <w:rPr>
          <w:i/>
          <w:iCs/>
          <w:sz w:val="18"/>
          <w:szCs w:val="18"/>
        </w:rPr>
        <w:t xml:space="preserve"> tohn ,</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629" w:right="0" w:bottom="852" w:left="0" w:header="0" w:footer="3" w:gutter="0"/>
          <w:cols w:space="720"/>
          <w:noEndnote/>
          <w:docGrid w:linePitch="360"/>
        </w:sectPr>
      </w:pPr>
    </w:p>
    <w:p w:rsidR="00500724" w:rsidRDefault="00F30FB8">
      <w:pPr>
        <w:pStyle w:val="Jin0"/>
        <w:framePr w:w="4886" w:h="931" w:wrap="none" w:vAnchor="text" w:hAnchor="page" w:x="620" w:y="731"/>
        <w:shd w:val="clear" w:color="auto" w:fill="auto"/>
        <w:ind w:firstLine="0"/>
        <w:jc w:val="left"/>
        <w:rPr>
          <w:sz w:val="44"/>
          <w:szCs w:val="44"/>
        </w:rPr>
      </w:pPr>
      <w:r>
        <w:rPr>
          <w:rFonts w:ascii="Calibri" w:eastAsia="Calibri" w:hAnsi="Calibri" w:cs="Calibri"/>
          <w:b/>
          <w:bCs/>
          <w:w w:val="60"/>
          <w:sz w:val="72"/>
          <w:szCs w:val="72"/>
          <w:lang w:val="en-US" w:eastAsia="en-US" w:bidi="en-US"/>
        </w:rPr>
        <w:t xml:space="preserve">LONG IN </w:t>
      </w:r>
      <w:r>
        <w:rPr>
          <w:rFonts w:ascii="Calibri" w:eastAsia="Calibri" w:hAnsi="Calibri" w:cs="Calibri"/>
          <w:b/>
          <w:bCs/>
          <w:w w:val="60"/>
          <w:sz w:val="72"/>
          <w:szCs w:val="72"/>
        </w:rPr>
        <w:t xml:space="preserve">ES </w:t>
      </w:r>
      <w:r>
        <w:rPr>
          <w:rFonts w:ascii="Calibri" w:eastAsia="Calibri" w:hAnsi="Calibri" w:cs="Calibri"/>
          <w:b/>
          <w:bCs/>
          <w:w w:val="70"/>
          <w:sz w:val="44"/>
          <w:szCs w:val="44"/>
        </w:rPr>
        <w:t>hodinky-vždy přesné</w:t>
      </w:r>
    </w:p>
    <w:p w:rsidR="00500724" w:rsidRDefault="00500724">
      <w:pPr>
        <w:framePr w:w="3235" w:h="1469" w:wrap="none" w:vAnchor="text" w:hAnchor="page" w:x="6846" w:y="21"/>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67" w:line="14" w:lineRule="exact"/>
      </w:pPr>
    </w:p>
    <w:p w:rsidR="00500724" w:rsidRDefault="00500724">
      <w:pPr>
        <w:spacing w:line="14" w:lineRule="exact"/>
        <w:sectPr w:rsidR="00500724">
          <w:footnotePr>
            <w:numFmt w:val="chicago"/>
            <w:numRestart w:val="eachPage"/>
          </w:footnotePr>
          <w:type w:val="continuous"/>
          <w:pgSz w:w="11909" w:h="16834"/>
          <w:pgMar w:top="629" w:right="840" w:bottom="852" w:left="413" w:header="0" w:footer="3" w:gutter="0"/>
          <w:cols w:space="720"/>
          <w:noEndnote/>
          <w:docGrid w:linePitch="360"/>
        </w:sectPr>
      </w:pPr>
    </w:p>
    <w:p w:rsidR="00500724" w:rsidRDefault="00500724">
      <w:pPr>
        <w:spacing w:line="77" w:lineRule="exact"/>
        <w:rPr>
          <w:sz w:val="6"/>
          <w:szCs w:val="6"/>
        </w:rPr>
      </w:pPr>
    </w:p>
    <w:p w:rsidR="00500724" w:rsidRDefault="00500724">
      <w:pPr>
        <w:spacing w:line="14" w:lineRule="exact"/>
        <w:sectPr w:rsidR="00500724">
          <w:footnotePr>
            <w:numFmt w:val="chicago"/>
            <w:numRestart w:val="eachPage"/>
          </w:footnotePr>
          <w:type w:val="continuous"/>
          <w:pgSz w:w="11909" w:h="16834"/>
          <w:pgMar w:top="622" w:right="0" w:bottom="859"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418" behindDoc="0" locked="0" layoutInCell="1" allowOverlap="1">
                <wp:simplePos x="0" y="0"/>
                <wp:positionH relativeFrom="page">
                  <wp:posOffset>328930</wp:posOffset>
                </wp:positionH>
                <wp:positionV relativeFrom="paragraph">
                  <wp:posOffset>1240790</wp:posOffset>
                </wp:positionV>
                <wp:extent cx="2731135" cy="1078865"/>
                <wp:effectExtent l="0" t="0" r="0" b="0"/>
                <wp:wrapSquare wrapText="right"/>
                <wp:docPr id="41" name="Shape 41"/>
                <wp:cNvGraphicFramePr/>
                <a:graphic xmlns:a="http://schemas.openxmlformats.org/drawingml/2006/main">
                  <a:graphicData uri="http://schemas.microsoft.com/office/word/2010/wordprocessingShape">
                    <wps:wsp>
                      <wps:cNvSpPr txBox="1"/>
                      <wps:spPr>
                        <a:xfrm>
                          <a:off x="0" y="0"/>
                          <a:ext cx="2731135" cy="1078865"/>
                        </a:xfrm>
                        <a:prstGeom prst="rect">
                          <a:avLst/>
                        </a:prstGeom>
                        <a:noFill/>
                      </wps:spPr>
                      <wps:txbx>
                        <w:txbxContent>
                          <w:p w:rsidR="00500724" w:rsidRDefault="00F30FB8">
                            <w:pPr>
                              <w:pStyle w:val="Jin0"/>
                              <w:shd w:val="clear" w:color="auto" w:fill="auto"/>
                              <w:spacing w:after="280"/>
                              <w:ind w:left="300" w:firstLine="0"/>
                              <w:jc w:val="left"/>
                              <w:rPr>
                                <w:sz w:val="80"/>
                                <w:szCs w:val="80"/>
                              </w:rPr>
                            </w:pPr>
                            <w:r>
                              <w:rPr>
                                <w:rFonts w:ascii="Arial" w:eastAsia="Arial" w:hAnsi="Arial" w:cs="Arial"/>
                                <w:sz w:val="80"/>
                                <w:szCs w:val="80"/>
                              </w:rPr>
                              <w:t>ŤTtonmosC</w:t>
                            </w:r>
                          </w:p>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067" type="#_x0000_t202" style="position:absolute;margin-left:25.899999999999999pt;margin-top:97.700000000000003pt;width:215.05000000000001pt;height:84.950000000000003pt;z-index:-125829335;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280" w:line="240" w:lineRule="auto"/>
                        <w:ind w:left="300" w:right="0" w:firstLine="0"/>
                        <w:jc w:val="left"/>
                        <w:rPr>
                          <w:sz w:val="80"/>
                          <w:szCs w:val="80"/>
                        </w:rPr>
                      </w:pPr>
                      <w:r>
                        <w:rPr>
                          <w:rFonts w:ascii="Arial" w:eastAsia="Arial" w:hAnsi="Arial" w:cs="Arial"/>
                          <w:color w:val="000000"/>
                          <w:spacing w:val="0"/>
                          <w:w w:val="100"/>
                          <w:position w:val="0"/>
                          <w:sz w:val="80"/>
                          <w:szCs w:val="80"/>
                          <w:shd w:val="clear" w:color="auto" w:fill="auto"/>
                          <w:lang w:val="cs-CZ" w:eastAsia="cs-CZ" w:bidi="cs-CZ"/>
                        </w:rPr>
                        <w:t>ŤTtonmosC</w:t>
                      </w:r>
                    </w:p>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
        <w:shd w:val="clear" w:color="auto" w:fill="auto"/>
        <w:spacing w:after="400" w:line="276" w:lineRule="auto"/>
        <w:ind w:left="380" w:right="160" w:hanging="380"/>
      </w:pPr>
      <w:r>
        <w:rPr>
          <w:b/>
          <w:bCs/>
          <w:sz w:val="20"/>
          <w:szCs w:val="20"/>
        </w:rPr>
        <w:t xml:space="preserve">OBSAH PŘÍTOMNOSTI </w:t>
      </w:r>
      <w:r>
        <w:rPr>
          <w:b/>
          <w:bCs/>
        </w:rPr>
        <w:t xml:space="preserve">ť5. </w:t>
      </w:r>
      <w:r>
        <w:rPr>
          <w:b/>
          <w:bCs/>
          <w:sz w:val="20"/>
          <w:szCs w:val="20"/>
        </w:rPr>
        <w:t xml:space="preserve">2: </w:t>
      </w:r>
      <w:r>
        <w:rPr>
          <w:b/>
          <w:bCs/>
        </w:rPr>
        <w:t xml:space="preserve">Rudolf Bechyně: Mrtvé pochovávat! — F. Peroutka: Kdyby byla vypukla </w:t>
      </w:r>
      <w:r>
        <w:rPr>
          <w:b/>
          <w:bCs/>
        </w:rPr>
        <w:t>válka — Mi</w:t>
      </w:r>
      <w:r>
        <w:rPr>
          <w:b/>
          <w:bCs/>
        </w:rPr>
        <w:softHyphen/>
        <w:t xml:space="preserve">lena Jesenská: Poslední dny Karla čapka — </w:t>
      </w:r>
      <w:r>
        <w:rPr>
          <w:b/>
          <w:bCs/>
          <w:lang w:val="en-US" w:eastAsia="en-US" w:bidi="en-US"/>
        </w:rPr>
        <w:t xml:space="preserve">J. Wilson </w:t>
      </w:r>
      <w:r>
        <w:rPr>
          <w:b/>
          <w:bCs/>
        </w:rPr>
        <w:t>Broadbent: čtyři dny — Josef Kalmer: Třetí thema pro úvod</w:t>
      </w:r>
      <w:r>
        <w:rPr>
          <w:b/>
          <w:bCs/>
        </w:rPr>
        <w:softHyphen/>
      </w:r>
      <w:r>
        <w:rPr>
          <w:b/>
          <w:bCs/>
        </w:rPr>
        <w:t xml:space="preserve">níky světového tisku — Ladislas Farago: Palestinské noci — Dalibor Janek: Slovensko do nového roku — Karel Kubát: Proč autostradu? — Člen Strany práce o Straně národní jednoty — Proč jenom pět? — Mladí k mladým? — </w:t>
      </w:r>
      <w:r>
        <w:rPr>
          <w:b/>
          <w:bCs/>
          <w:u w:val="single"/>
        </w:rPr>
        <w:t>Dopis Slovincův — Poděkováni — Mluvčí naši</w:t>
      </w:r>
      <w:r>
        <w:rPr>
          <w:b/>
          <w:bCs/>
          <w:u w:val="single"/>
        </w:rPr>
        <w:t>ch menšin — Dr. Beneš byl v Německu</w:t>
      </w:r>
    </w:p>
    <w:p w:rsidR="00500724" w:rsidRDefault="00F30FB8">
      <w:pPr>
        <w:pStyle w:val="Nadpis90"/>
        <w:keepNext/>
        <w:keepLines/>
        <w:shd w:val="clear" w:color="auto" w:fill="auto"/>
        <w:spacing w:after="180"/>
        <w:ind w:left="140"/>
      </w:pPr>
      <w:bookmarkStart w:id="64" w:name="bookmark63"/>
      <w:r>
        <w:rPr>
          <w:u w:val="single"/>
        </w:rPr>
        <w:t>nezávislý týdeník</w:t>
      </w:r>
      <w:bookmarkEnd w:id="64"/>
    </w:p>
    <w:p w:rsidR="00500724" w:rsidRDefault="00F30FB8">
      <w:pPr>
        <w:pStyle w:val="Zkladntext50"/>
        <w:shd w:val="clear" w:color="auto" w:fill="auto"/>
        <w:spacing w:after="80" w:line="156" w:lineRule="auto"/>
        <w:ind w:left="80"/>
        <w:jc w:val="center"/>
      </w:pPr>
      <w:r>
        <w:t>vychází ve středu v nakladatelství</w:t>
      </w:r>
    </w:p>
    <w:p w:rsidR="00500724" w:rsidRDefault="00F30FB8">
      <w:pPr>
        <w:pStyle w:val="Zkladntext50"/>
        <w:shd w:val="clear" w:color="auto" w:fill="auto"/>
        <w:spacing w:after="80" w:line="156" w:lineRule="auto"/>
        <w:ind w:left="160"/>
        <w:jc w:val="center"/>
      </w:pPr>
      <w:r>
        <w:t>FR. BOROVÝ V PRAZEI., NÁRODNÍ TŘÍDA 11.</w:t>
      </w:r>
    </w:p>
    <w:p w:rsidR="00500724" w:rsidRDefault="00F30FB8">
      <w:pPr>
        <w:pStyle w:val="Zkladntext40"/>
        <w:shd w:val="clear" w:color="auto" w:fill="auto"/>
        <w:spacing w:after="80" w:line="166" w:lineRule="auto"/>
        <w:ind w:left="140" w:right="160"/>
        <w:rPr>
          <w:sz w:val="16"/>
          <w:szCs w:val="16"/>
        </w:rPr>
      </w:pPr>
      <w:r>
        <w:rPr>
          <w:b/>
          <w:bCs/>
          <w:sz w:val="16"/>
          <w:szCs w:val="16"/>
        </w:rPr>
        <w:t>Telefon Číslo 390-51 až 54 • Učet poštovní spořitelny Clslo 35.622 • Nevy</w:t>
      </w:r>
      <w:r>
        <w:rPr>
          <w:b/>
          <w:bCs/>
          <w:sz w:val="16"/>
          <w:szCs w:val="16"/>
        </w:rPr>
        <w:softHyphen/>
        <w:t>žádané rukopisy se nevracejí • Předplatné na rok Kč 1</w:t>
      </w:r>
      <w:r>
        <w:rPr>
          <w:b/>
          <w:bCs/>
          <w:sz w:val="16"/>
          <w:szCs w:val="16"/>
        </w:rPr>
        <w:t xml:space="preserve">00.—, na půl roku Kč 50.—. na čtvrt roku Kč 25.—. Jednotlivá čísla Kč 2.— </w:t>
      </w:r>
      <w:r>
        <w:rPr>
          <w:b/>
          <w:bCs/>
          <w:sz w:val="16"/>
          <w:szCs w:val="16"/>
          <w:lang w:val="en-US" w:eastAsia="en-US" w:bidi="en-US"/>
        </w:rPr>
        <w:t xml:space="preserve">Pour la </w:t>
      </w:r>
      <w:r>
        <w:rPr>
          <w:b/>
          <w:bCs/>
          <w:sz w:val="16"/>
          <w:szCs w:val="16"/>
        </w:rPr>
        <w:t>Fran</w:t>
      </w:r>
      <w:r>
        <w:rPr>
          <w:b/>
          <w:bCs/>
          <w:sz w:val="16"/>
          <w:szCs w:val="16"/>
        </w:rPr>
        <w:softHyphen/>
        <w:t xml:space="preserve">ce et ses </w:t>
      </w:r>
      <w:r>
        <w:rPr>
          <w:b/>
          <w:bCs/>
          <w:sz w:val="16"/>
          <w:szCs w:val="16"/>
          <w:lang w:val="en-US" w:eastAsia="en-US" w:bidi="en-US"/>
        </w:rPr>
        <w:t xml:space="preserve">Colonies </w:t>
      </w:r>
      <w:r>
        <w:rPr>
          <w:b/>
          <w:bCs/>
          <w:sz w:val="16"/>
          <w:szCs w:val="16"/>
        </w:rPr>
        <w:t>Frs 2.50. • DohlédacI pošt. úřad Brno n • Novin, sazba povolena v Brně řed. pošt a telegrafů pod Cis. 119.268/UIa. • Odpovědný redaktor J. Dlabač.</w:t>
      </w:r>
    </w:p>
    <w:p w:rsidR="00500724" w:rsidRDefault="00F30FB8">
      <w:pPr>
        <w:pStyle w:val="Jin0"/>
        <w:shd w:val="clear" w:color="auto" w:fill="auto"/>
        <w:spacing w:after="120"/>
        <w:ind w:left="5660" w:firstLine="0"/>
        <w:jc w:val="left"/>
      </w:pPr>
      <w:r>
        <w:rPr>
          <w:rFonts w:ascii="Arial" w:eastAsia="Arial" w:hAnsi="Arial" w:cs="Arial"/>
          <w:b/>
          <w:bCs/>
          <w:sz w:val="15"/>
          <w:szCs w:val="15"/>
        </w:rPr>
        <w:t xml:space="preserve">TISKEM LIDOVÉ TISKÁRNY, BRNO, ČESKA </w:t>
      </w:r>
      <w:r>
        <w:rPr>
          <w:rFonts w:ascii="Arial" w:eastAsia="Arial" w:hAnsi="Arial" w:cs="Arial"/>
        </w:rPr>
        <w:t>6.</w:t>
      </w:r>
      <w:r>
        <w:br w:type="page"/>
      </w:r>
    </w:p>
    <w:p w:rsidR="00500724" w:rsidRDefault="00F30FB8">
      <w:pPr>
        <w:pStyle w:val="Jin0"/>
        <w:pBdr>
          <w:bottom w:val="single" w:sz="4" w:space="0" w:color="auto"/>
        </w:pBdr>
        <w:shd w:val="clear" w:color="auto" w:fill="auto"/>
        <w:ind w:left="120" w:firstLine="0"/>
        <w:jc w:val="center"/>
        <w:rPr>
          <w:sz w:val="110"/>
          <w:szCs w:val="110"/>
        </w:rPr>
        <w:sectPr w:rsidR="00500724">
          <w:footnotePr>
            <w:numFmt w:val="chicago"/>
            <w:numRestart w:val="eachPage"/>
          </w:footnotePr>
          <w:type w:val="continuous"/>
          <w:pgSz w:w="11909" w:h="16834"/>
          <w:pgMar w:top="622" w:right="676" w:bottom="859" w:left="577" w:header="0" w:footer="3" w:gutter="0"/>
          <w:cols w:space="720"/>
          <w:noEndnote/>
          <w:docGrid w:linePitch="360"/>
        </w:sectPr>
      </w:pPr>
      <w:r>
        <w:rPr>
          <w:sz w:val="110"/>
          <w:szCs w:val="110"/>
        </w:rPr>
        <w:t>Přítomnosti</w:t>
      </w:r>
    </w:p>
    <w:p w:rsidR="00500724" w:rsidRDefault="00500724">
      <w:pPr>
        <w:spacing w:after="629" w:line="14" w:lineRule="exact"/>
      </w:pPr>
    </w:p>
    <w:p w:rsidR="00500724" w:rsidRDefault="00500724">
      <w:pPr>
        <w:spacing w:line="14" w:lineRule="exact"/>
        <w:sectPr w:rsidR="00500724">
          <w:footnotePr>
            <w:numFmt w:val="chicago"/>
            <w:numRestart w:val="eachPage"/>
          </w:footnotePr>
          <w:type w:val="continuous"/>
          <w:pgSz w:w="11909" w:h="16834"/>
          <w:pgMar w:top="1167" w:right="569" w:bottom="554" w:left="785" w:header="0" w:footer="3" w:gutter="0"/>
          <w:cols w:space="720"/>
          <w:noEndnote/>
          <w:docGrid w:linePitch="360"/>
        </w:sectPr>
      </w:pPr>
    </w:p>
    <w:p w:rsidR="00500724" w:rsidRDefault="00F30FB8">
      <w:pPr>
        <w:pStyle w:val="Nadpis100"/>
        <w:shd w:val="clear" w:color="auto" w:fill="auto"/>
        <w:spacing w:after="60" w:line="240" w:lineRule="auto"/>
      </w:pPr>
      <w:bookmarkStart w:id="65" w:name="bookmark64"/>
      <w:r>
        <w:t>Nemocná Evropa</w:t>
      </w:r>
      <w:bookmarkEnd w:id="65"/>
    </w:p>
    <w:p w:rsidR="00500724" w:rsidRDefault="00F30FB8">
      <w:pPr>
        <w:pStyle w:val="Zkladntext30"/>
        <w:framePr w:dropCap="drop" w:lines="2" w:hSpace="106" w:vSpace="106" w:wrap="auto" w:vAnchor="text" w:hAnchor="text"/>
        <w:shd w:val="clear" w:color="auto" w:fill="auto"/>
        <w:spacing w:line="310" w:lineRule="exact"/>
        <w:ind w:firstLine="0"/>
      </w:pPr>
      <w:r>
        <w:rPr>
          <w:position w:val="-7"/>
          <w:sz w:val="46"/>
          <w:szCs w:val="46"/>
        </w:rPr>
        <w:t>C</w:t>
      </w:r>
    </w:p>
    <w:p w:rsidR="00500724" w:rsidRDefault="00F30FB8">
      <w:pPr>
        <w:pStyle w:val="Zkladntext30"/>
        <w:shd w:val="clear" w:color="auto" w:fill="auto"/>
        <w:spacing w:after="0" w:line="199" w:lineRule="auto"/>
        <w:ind w:firstLine="0"/>
      </w:pPr>
      <w:r>
        <w:t>anterburský arcibiskup prohlásil o roku 1939, že bude pro Evropu horší nežli 1938. Pokud je zná</w:t>
      </w:r>
      <w:r>
        <w:softHyphen/>
        <w:t xml:space="preserve">mo, varoval před budoucností </w:t>
      </w:r>
      <w:r>
        <w:t>tento vážený patriarcha zatím jen dvakrát: jednou před sňatkem minulého an</w:t>
      </w:r>
      <w:r>
        <w:softHyphen/>
        <w:t>glického krále Eduarda VIII., kdy panovník poslechl varování a uchránil impérium před těžkým otřesem; po druhé v loňské evropské krisi t. zv. československé, kdy anglická vláda ve s</w:t>
      </w:r>
      <w:r>
        <w:t>vé převážné většině mu ode</w:t>
      </w:r>
      <w:r>
        <w:softHyphen/>
        <w:t>přela sluch.</w:t>
      </w:r>
    </w:p>
    <w:p w:rsidR="00500724" w:rsidRDefault="00F30FB8">
      <w:pPr>
        <w:pStyle w:val="Zkladntext30"/>
        <w:shd w:val="clear" w:color="auto" w:fill="auto"/>
        <w:spacing w:after="0" w:line="199" w:lineRule="auto"/>
        <w:ind w:firstLine="280"/>
      </w:pPr>
      <w:r>
        <w:t>K tomuto anglickému pesimismu z prvních dnů roku druží se z Francie takovýto komentář: »Tento rok musí přinést velké rozhodnutí. V roce 1940 bude svět vypadat docela jinak než teď. Může se změnit pro nás k horšímu, a</w:t>
      </w:r>
      <w:r>
        <w:t>le doufáme, že tomu bude naopak.* Vyberme si z toho střízlivou pravdu, že churavost Evropy se blíží k svému vrcholnému bodu, krisi, která rozhodne.</w:t>
      </w:r>
    </w:p>
    <w:p w:rsidR="00500724" w:rsidRDefault="00F30FB8">
      <w:pPr>
        <w:pStyle w:val="Zkladntext30"/>
        <w:shd w:val="clear" w:color="auto" w:fill="auto"/>
        <w:spacing w:after="0" w:line="199" w:lineRule="auto"/>
        <w:ind w:firstLine="280"/>
      </w:pPr>
      <w:r>
        <w:t>Anglický a francouzský lékař starostlivě konstatují zhoršený stav po bolestivé operaci, k níž dali souhlas v</w:t>
      </w:r>
      <w:r>
        <w:t xml:space="preserve"> mnichovském konsiliu čtyř, bez jakýchkoli utišují</w:t>
      </w:r>
      <w:r>
        <w:softHyphen/>
        <w:t>cích a zmírňujících prostředků, které od mnoha de</w:t>
      </w:r>
      <w:r>
        <w:softHyphen/>
        <w:t>sítiletí byly samozřejmé i při daleko méně bolestivých chirurgických zákrocích velkých státníků. Před ope</w:t>
      </w:r>
      <w:r>
        <w:softHyphen/>
        <w:t>rací slíbili odborné i neodborné světové veřejnos</w:t>
      </w:r>
      <w:r>
        <w:t xml:space="preserve">ti všechnu pomoc na bolavém místě v srdci Evropy, vy- křeše-li se ze zákroku, o němž konsilium usoudilo, že má pomoci ostatnímu evropskému organismu. Srdce si ku podivu pomohlo přes řezy, které byly vedeny se souhlasem všech čtyř velelékařů tak neodborně, </w:t>
      </w:r>
      <w:r>
        <w:t>že přeťaly mnoho z toho, čeho je potřebí pro život. A to po třech měsících ani náplasti ještě nedošly, které 30. září byly slíbeny, aby si pomohl vyčerpaný orga</w:t>
      </w:r>
      <w:r>
        <w:softHyphen/>
        <w:t>nismus.</w:t>
      </w:r>
    </w:p>
    <w:p w:rsidR="00500724" w:rsidRDefault="00F30FB8">
      <w:pPr>
        <w:pStyle w:val="Zkladntext30"/>
        <w:shd w:val="clear" w:color="auto" w:fill="auto"/>
        <w:spacing w:after="0" w:line="199" w:lineRule="auto"/>
        <w:ind w:firstLine="280"/>
      </w:pPr>
      <w:r>
        <w:t>Slíbené náplasti, které nedocházejí nebo jen velmi spoře, měly jednak pomoci zajízvit h</w:t>
      </w:r>
      <w:r>
        <w:t>ospodářské rány, jednak dát záruky rekonvalescentovi, že ořezané tělo nechá po světových chirurzích na pokoji i každý samozvaný felčar.</w:t>
      </w:r>
    </w:p>
    <w:p w:rsidR="00500724" w:rsidRDefault="00F30FB8">
      <w:pPr>
        <w:pStyle w:val="Zkladntext30"/>
        <w:shd w:val="clear" w:color="auto" w:fill="auto"/>
        <w:spacing w:after="0" w:line="199" w:lineRule="auto"/>
        <w:ind w:firstLine="280"/>
      </w:pPr>
      <w:r>
        <w:t>První náplasti vzaly si na starost Anglie a Francie. Když do neodborně operovaného těla státu se hrnuli odevšad utečenci</w:t>
      </w:r>
      <w:r>
        <w:t>, kteří po amputacích nemohli při</w:t>
      </w:r>
      <w:r>
        <w:softHyphen/>
        <w:t xml:space="preserve">růst než zase k vlastnímu národnímu organismu, </w:t>
      </w:r>
      <w:r>
        <w:rPr>
          <w:b/>
          <w:bCs/>
        </w:rPr>
        <w:t xml:space="preserve">a </w:t>
      </w:r>
      <w:r>
        <w:t>s nimi jiní, kteří k tomuto organismu nepatřili, přišly náplasti vyráběné hlavně tak, aby prospěly těmto po</w:t>
      </w:r>
      <w:r>
        <w:softHyphen/>
        <w:t>sledním. Uplynuly zatím více než tři měsíce a na ná</w:t>
      </w:r>
      <w:r>
        <w:softHyphen/>
        <w:t>plast třiceti</w:t>
      </w:r>
      <w:r>
        <w:t xml:space="preserve"> milionů anglických liber, o níž se po ope</w:t>
      </w:r>
      <w:r>
        <w:softHyphen/>
        <w:t>raci psalo, byla poskytnuta, jak jsme se dočtli, dosud jen záloha deseti milionů, z nichž skoro polovina je vázána podmínkami pro emigraci.</w:t>
      </w:r>
    </w:p>
    <w:p w:rsidR="00500724" w:rsidRDefault="00F30FB8">
      <w:pPr>
        <w:pStyle w:val="Zkladntext30"/>
        <w:shd w:val="clear" w:color="auto" w:fill="auto"/>
        <w:spacing w:after="0" w:line="199" w:lineRule="auto"/>
        <w:ind w:firstLine="280"/>
        <w:jc w:val="left"/>
      </w:pPr>
      <w:r>
        <w:t xml:space="preserve">A záruky proti nežádoucím ranhojičům také ještě nejsou uskutečněny, </w:t>
      </w:r>
      <w:r>
        <w:t>ačkoliv v mnichovských protoko</w:t>
      </w:r>
      <w:r>
        <w:softHyphen/>
        <w:t>lech je slíbily Francie a Anglie ihned, Německo a Itá</w:t>
      </w:r>
      <w:r>
        <w:softHyphen/>
        <w:t>lie, jakmile bude vyřízena otázka polských a maďar</w:t>
      </w:r>
      <w:r>
        <w:softHyphen/>
        <w:t>ských menšin v Česko-Slovensku.</w:t>
      </w:r>
    </w:p>
    <w:p w:rsidR="00500724" w:rsidRDefault="00F30FB8">
      <w:pPr>
        <w:pStyle w:val="Zkladntext30"/>
        <w:shd w:val="clear" w:color="auto" w:fill="auto"/>
        <w:spacing w:after="0" w:line="199" w:lineRule="auto"/>
        <w:ind w:firstLine="280"/>
        <w:jc w:val="left"/>
      </w:pPr>
      <w:r>
        <w:t>Až budou rozřešeny tyto dvě věci, půjčka a garan</w:t>
      </w:r>
      <w:r>
        <w:softHyphen/>
        <w:t>cie hranic, zbude Cesko-Slovensku v nem</w:t>
      </w:r>
      <w:r>
        <w:t>ocné Evropě</w:t>
      </w:r>
    </w:p>
    <w:p w:rsidR="00500724" w:rsidRDefault="00F30FB8">
      <w:pPr>
        <w:pStyle w:val="Zkladntext30"/>
        <w:shd w:val="clear" w:color="auto" w:fill="auto"/>
        <w:spacing w:after="0" w:line="202" w:lineRule="auto"/>
        <w:ind w:firstLine="0"/>
      </w:pPr>
      <w:r>
        <w:t>jediná úloha: spolehlivě si vybudovat svoji neutralitu a držet se stranou všech zákroků, které jsou připra</w:t>
      </w:r>
      <w:r>
        <w:softHyphen/>
        <w:t>vovány pro další ozdravění churavého evropského organismu.</w:t>
      </w:r>
    </w:p>
    <w:p w:rsidR="00500724" w:rsidRDefault="00F30FB8">
      <w:pPr>
        <w:pStyle w:val="Zkladntext30"/>
        <w:shd w:val="clear" w:color="auto" w:fill="auto"/>
        <w:spacing w:after="0" w:line="199" w:lineRule="auto"/>
        <w:ind w:firstLine="0"/>
        <w:jc w:val="center"/>
      </w:pPr>
      <w:r>
        <w:t>•</w:t>
      </w:r>
    </w:p>
    <w:p w:rsidR="00500724" w:rsidRDefault="00F30FB8">
      <w:pPr>
        <w:pStyle w:val="Zkladntext30"/>
        <w:shd w:val="clear" w:color="auto" w:fill="auto"/>
        <w:spacing w:after="0" w:line="199" w:lineRule="auto"/>
      </w:pPr>
      <w:r>
        <w:t>Bolavých míst v něm je více, jak ukazuje vývoj od Nového roku, který spěje k</w:t>
      </w:r>
      <w:r>
        <w:t xml:space="preserve"> zvýšenému mezinárod</w:t>
      </w:r>
      <w:r>
        <w:softHyphen/>
        <w:t>nímu napětí. Léčení některých nebude asi tak obtížné, aby otřáslo celými evropskými poměry. Gdaňsko, ko</w:t>
      </w:r>
      <w:r>
        <w:softHyphen/>
        <w:t>ridor Pomořím, Klajpeda jsou z takových »lehčích« problémů. Také ukrajinská otázka, která ve stupnici obtížnosti patří na vyšší mís</w:t>
      </w:r>
      <w:r>
        <w:t>to, nebude hned působit kritické situace. Zato je těžko dohlédnout, jak bude řešen středomořský spor latinských sester.</w:t>
      </w:r>
    </w:p>
    <w:p w:rsidR="00500724" w:rsidRDefault="00F30FB8">
      <w:pPr>
        <w:pStyle w:val="Zkladntext30"/>
        <w:shd w:val="clear" w:color="auto" w:fill="auto"/>
        <w:spacing w:after="0" w:line="199" w:lineRule="auto"/>
      </w:pPr>
      <w:r>
        <w:t>Itálie je připravena tak, jak jen může. U německého spojence má nevybrané pohledávky, slavnostně opět</w:t>
      </w:r>
      <w:r>
        <w:softHyphen/>
        <w:t>ně obnovované, za hřivny, jimiž Ně</w:t>
      </w:r>
      <w:r>
        <w:t>mecku přispěla při řešení rakouské a československé otázky. Maďarsko po Cianově návštěvě přistoupilo k protikomunistické</w:t>
      </w:r>
      <w:r>
        <w:softHyphen/>
        <w:t>mu paktu italsko-německo-japonskému a hospodář</w:t>
      </w:r>
      <w:r>
        <w:softHyphen/>
        <w:t>sky i politicky se úzce přimyká k Německu. Polsko Beckovou návštěvou ukázalo, že nepůjde</w:t>
      </w:r>
      <w:r>
        <w:t xml:space="preserve"> proti Berlí</w:t>
      </w:r>
      <w:r>
        <w:softHyphen/>
        <w:t>nu, což bude jistě ještě manifestováno oslavou pěti</w:t>
      </w:r>
      <w:r>
        <w:softHyphen/>
        <w:t>letí německo-polské smlouvy 26. ledna při Ribbentro- pově návštěvě ve Varšavě. Jugoslávii přivede Cianův zákrok ještě blíže k Itálii, nežli dosud. Úspěšný dlouhý zájezd ministra Funka na Balk</w:t>
      </w:r>
      <w:r>
        <w:t xml:space="preserve">án (který zakončil </w:t>
      </w:r>
      <w:r>
        <w:rPr>
          <w:b/>
          <w:bCs/>
        </w:rPr>
        <w:t xml:space="preserve">v </w:t>
      </w:r>
      <w:r>
        <w:t xml:space="preserve">Římě výrokem, že bohaté státy zchudnou a chudé budou bohaté) vydatně posílil také hospodářskými pouty politiku berlínsko-římské osy u balkánských států. Celý pevně skutý kruh států nevykazuje zatím nikde viditelnější trhliny, a jak se </w:t>
      </w:r>
      <w:r>
        <w:t>z posledních udá</w:t>
      </w:r>
      <w:r>
        <w:softHyphen/>
        <w:t xml:space="preserve">lostí na Pyrenejském poloostrově zdá, bude uzavřen </w:t>
      </w:r>
      <w:r>
        <w:rPr>
          <w:b/>
          <w:bCs/>
        </w:rPr>
        <w:t xml:space="preserve">i v </w:t>
      </w:r>
      <w:r>
        <w:t xml:space="preserve">samých zádech Francie, kde nebude míti po prvé za posledních čtyři sta let spolehlivého přítele. Při- počteme-li náskok, který má osa ve zbrojení, vyjde nám jednoduchý součet, že její </w:t>
      </w:r>
      <w:r>
        <w:t>požadavky mají dost příznivé vyhlídky na splnění.</w:t>
      </w:r>
    </w:p>
    <w:p w:rsidR="00500724" w:rsidRDefault="00F30FB8">
      <w:pPr>
        <w:pStyle w:val="Zkladntext30"/>
        <w:shd w:val="clear" w:color="auto" w:fill="auto"/>
        <w:spacing w:after="0" w:line="199" w:lineRule="auto"/>
      </w:pPr>
      <w:r>
        <w:t>Není tedy divu, že Itálie nespěchala vytvořit z návštěvy britských státníků středozemní Mnichov, nýbrž se spokojila s Římem co by s Berchtesgadenem — předložením požadavků, které nehodlá v dalších týdnech z</w:t>
      </w:r>
      <w:r>
        <w:t>menšit.</w:t>
      </w:r>
    </w:p>
    <w:p w:rsidR="00500724" w:rsidRDefault="00F30FB8">
      <w:pPr>
        <w:pStyle w:val="Zkladntext30"/>
        <w:shd w:val="clear" w:color="auto" w:fill="auto"/>
        <w:spacing w:after="0" w:line="199" w:lineRule="auto"/>
      </w:pPr>
      <w:r>
        <w:t xml:space="preserve">Jakých zápletek, napětí a krisí bude pro jejich splnění potřebí, ukáží teprve únorové a spíše březnové týdny. Zatím z Paříže i z Říma se šíří tvrzení </w:t>
      </w:r>
      <w:r>
        <w:rPr>
          <w:b/>
          <w:bCs/>
        </w:rPr>
        <w:t xml:space="preserve">o </w:t>
      </w:r>
      <w:r>
        <w:t xml:space="preserve">tom, že Itálie nezmění své požadavky a Francie neustoupí ani píď své půdy a nedá si vnutit jiné </w:t>
      </w:r>
      <w:r>
        <w:t>stanovisko ani lstí, ani násilím. Vycházejí však již na veřejnost některé drobnosti, které tato slavnostní prohlášení oslabují. Tak se vypráví ve francouzských politických kruzích, že nový italský velvyslanec v Pa</w:t>
      </w:r>
      <w:r>
        <w:softHyphen/>
        <w:t>říži naléhavě upozornil svého římského šéf</w:t>
      </w:r>
      <w:r>
        <w:t>a, že Dala</w:t>
      </w:r>
      <w:r>
        <w:softHyphen/>
        <w:t>dier by dal padnouti Bonnetovi, kdyby ukázal teď tak či onak přílišnou ústupnost.</w:t>
      </w:r>
    </w:p>
    <w:p w:rsidR="00500724" w:rsidRDefault="00F30FB8">
      <w:pPr>
        <w:pStyle w:val="Zkladntext30"/>
        <w:shd w:val="clear" w:color="auto" w:fill="auto"/>
        <w:spacing w:after="0" w:line="199" w:lineRule="auto"/>
        <w:sectPr w:rsidR="00500724">
          <w:footnotePr>
            <w:numFmt w:val="chicago"/>
            <w:numRestart w:val="eachPage"/>
          </w:footnotePr>
          <w:type w:val="continuous"/>
          <w:pgSz w:w="11909" w:h="16834"/>
          <w:pgMar w:top="1167" w:right="583" w:bottom="554" w:left="799" w:header="0" w:footer="3" w:gutter="0"/>
          <w:cols w:num="2" w:space="120"/>
          <w:noEndnote/>
          <w:docGrid w:linePitch="360"/>
        </w:sectPr>
      </w:pPr>
      <w:r>
        <w:t xml:space="preserve">Také jiní pozorovatelé </w:t>
      </w:r>
      <w:r>
        <w:rPr>
          <w:b/>
          <w:bCs/>
        </w:rPr>
        <w:t xml:space="preserve">v </w:t>
      </w:r>
      <w:r>
        <w:t>Paříži referují o tom, že francouzský ministr zahraničních věcí je více naklo</w:t>
      </w:r>
      <w:r>
        <w:softHyphen/>
      </w:r>
      <w:r>
        <w:rPr>
          <w:b/>
          <w:bCs/>
        </w:rPr>
        <w:t xml:space="preserve">něn </w:t>
      </w:r>
      <w:r>
        <w:t>ústupnosti nežli ministers</w:t>
      </w:r>
      <w:r>
        <w:t>ký předseda. Zlí jazyko</w:t>
      </w:r>
      <w:r>
        <w:softHyphen/>
      </w:r>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167" w:right="0" w:bottom="554" w:left="0" w:header="0" w:footer="3" w:gutter="0"/>
          <w:cols w:space="720"/>
          <w:noEndnote/>
          <w:docGrid w:linePitch="360"/>
        </w:sectPr>
      </w:pPr>
    </w:p>
    <w:p w:rsidR="00500724" w:rsidRDefault="00F30FB8">
      <w:pPr>
        <w:pStyle w:val="Zkladntext50"/>
        <w:framePr w:w="250" w:h="245" w:wrap="none" w:vAnchor="text" w:hAnchor="page" w:x="10927" w:y="21"/>
        <w:shd w:val="clear" w:color="auto" w:fill="auto"/>
        <w:spacing w:after="0" w:line="240" w:lineRule="auto"/>
        <w:ind w:left="0"/>
        <w:jc w:val="left"/>
        <w:rPr>
          <w:sz w:val="18"/>
          <w:szCs w:val="18"/>
        </w:rPr>
      </w:pPr>
      <w:r>
        <w:rPr>
          <w:b/>
          <w:bCs/>
          <w:sz w:val="18"/>
          <w:szCs w:val="18"/>
        </w:rPr>
        <w:t>ví</w:t>
      </w:r>
    </w:p>
    <w:p w:rsidR="00500724" w:rsidRDefault="00500724">
      <w:pPr>
        <w:spacing w:after="119" w:line="14" w:lineRule="exact"/>
      </w:pPr>
    </w:p>
    <w:p w:rsidR="00500724" w:rsidRDefault="00500724">
      <w:pPr>
        <w:spacing w:line="14" w:lineRule="exact"/>
        <w:sectPr w:rsidR="00500724">
          <w:footnotePr>
            <w:numFmt w:val="chicago"/>
            <w:numRestart w:val="eachPage"/>
          </w:footnotePr>
          <w:type w:val="continuous"/>
          <w:pgSz w:w="11909" w:h="16834"/>
          <w:pgMar w:top="1167" w:right="569" w:bottom="554" w:left="785" w:header="0" w:footer="3" w:gutter="0"/>
          <w:cols w:space="720"/>
          <w:noEndnote/>
          <w:docGrid w:linePitch="360"/>
        </w:sectPr>
      </w:pP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1085" w:right="1193" w:bottom="818" w:left="281" w:header="0" w:footer="3" w:gutter="0"/>
          <w:cols w:space="720"/>
          <w:noEndnote/>
          <w:docGrid w:linePitch="360"/>
        </w:sectPr>
      </w:pPr>
      <w:bookmarkStart w:id="66" w:name="bookmark65"/>
      <w:r>
        <w:rPr>
          <w:rFonts w:ascii="Times New Roman" w:eastAsia="Times New Roman" w:hAnsi="Times New Roman" w:cs="Times New Roman"/>
        </w:rPr>
        <w:t>Přítomnosti</w:t>
      </w:r>
      <w:bookmarkEnd w:id="66"/>
    </w:p>
    <w:p w:rsidR="00500724" w:rsidRDefault="00500724">
      <w:pPr>
        <w:spacing w:line="108" w:lineRule="exact"/>
        <w:rPr>
          <w:sz w:val="9"/>
          <w:szCs w:val="9"/>
        </w:rPr>
      </w:pPr>
    </w:p>
    <w:p w:rsidR="00500724" w:rsidRDefault="00500724">
      <w:pPr>
        <w:spacing w:line="14" w:lineRule="exact"/>
        <w:sectPr w:rsidR="00500724">
          <w:footnotePr>
            <w:numFmt w:val="chicago"/>
            <w:numRestart w:val="eachPage"/>
          </w:footnotePr>
          <w:type w:val="continuous"/>
          <w:pgSz w:w="11909" w:h="16834"/>
          <w:pgMar w:top="1085" w:right="0" w:bottom="818" w:left="0" w:header="0" w:footer="3" w:gutter="0"/>
          <w:cols w:space="720"/>
          <w:noEndnote/>
          <w:docGrid w:linePitch="360"/>
        </w:sectPr>
      </w:pPr>
    </w:p>
    <w:p w:rsidR="00500724" w:rsidRDefault="00F30FB8">
      <w:pPr>
        <w:pStyle w:val="Zkladntext30"/>
        <w:shd w:val="clear" w:color="auto" w:fill="auto"/>
        <w:spacing w:after="60" w:line="199" w:lineRule="auto"/>
        <w:ind w:firstLine="0"/>
      </w:pPr>
      <w:r>
        <w:t>vé v kuloárech si dokonce šeptají, že jeden člen fran</w:t>
      </w:r>
      <w:r>
        <w:softHyphen/>
        <w:t xml:space="preserve">couzské vlády, známý pro svoje rychlá </w:t>
      </w:r>
      <w:r>
        <w:t>rozhodnutí a ostrý jazyk, prohodil: »Kdyby bylo možno kapitulo</w:t>
      </w:r>
      <w:r>
        <w:softHyphen/>
        <w:t>vat před Itálií, aniž by to svět poznal a aniž by se ve</w:t>
      </w:r>
      <w:r>
        <w:softHyphen/>
        <w:t xml:space="preserve">řejné mínění dovědělo, kdo je na tom vinen, tak by snad </w:t>
      </w:r>
      <w:r>
        <w:rPr>
          <w:lang w:val="en-US" w:eastAsia="en-US" w:bidi="en-US"/>
        </w:rPr>
        <w:t xml:space="preserve">Bonnet </w:t>
      </w:r>
      <w:r>
        <w:t>i tentokrát ustoupil.« Ve skutečnosti činí francouzský ministr zahraničníc</w:t>
      </w:r>
      <w:r>
        <w:t>h věcí vše, aby vzbu</w:t>
      </w:r>
      <w:r>
        <w:softHyphen/>
        <w:t xml:space="preserve">dil nejpevnější dojem. Římskému, berlínskému </w:t>
      </w:r>
      <w:r>
        <w:rPr>
          <w:i/>
          <w:iCs/>
          <w:sz w:val="20"/>
          <w:szCs w:val="20"/>
        </w:rPr>
        <w:t>a</w:t>
      </w:r>
      <w:r>
        <w:t xml:space="preserve"> lon</w:t>
      </w:r>
      <w:r>
        <w:softHyphen/>
        <w:t>dýnskému velvyslanci ještě nedávno dal jasné poky</w:t>
      </w:r>
      <w:r>
        <w:softHyphen/>
        <w:t>ny, z nichž vyplývá, že hlavní italské požadavky co nejrozhodněji odmítá. Francois Poncet, který před ně</w:t>
      </w:r>
      <w:r>
        <w:softHyphen/>
        <w:t xml:space="preserve">kolika týdny nastoupil místo </w:t>
      </w:r>
      <w:r>
        <w:t>francouzského velvyslan</w:t>
      </w:r>
      <w:r>
        <w:softHyphen/>
        <w:t>ce u Quirinalu s tak vypjatými nadějemi na francouz- sko-italské urovnání, obdržel nyní od svého ministra zahraničních věcí rozkaz, aby se nepouštěl s Italy ani do výměny názorů, natož do jednání o jakékoli otázce, pokud italské pož</w:t>
      </w:r>
      <w:r>
        <w:t>adavky budou předkládány tak vá</w:t>
      </w:r>
      <w:r>
        <w:softHyphen/>
        <w:t>lečnickým způsobem jako dosud. A tak nový fran</w:t>
      </w:r>
      <w:r>
        <w:softHyphen/>
        <w:t xml:space="preserve">couzský velvyslanec, jehož příchodem do Říma měla býti zahájena nová přátelská éra italsko-francouzská, musí zatím čekat se založenýma rukama. Alespoň do té doby, než </w:t>
      </w:r>
      <w:r>
        <w:rPr>
          <w:lang w:val="en-US" w:eastAsia="en-US" w:bidi="en-US"/>
        </w:rPr>
        <w:t xml:space="preserve">Bonnet </w:t>
      </w:r>
      <w:r>
        <w:t>při</w:t>
      </w:r>
      <w:r>
        <w:t>veze od Halifaxe ze Zenevy do Paříže autentickou zprávu o Mussoliniho představách příštího uspořádání ve Středozemním moři a v afric</w:t>
      </w:r>
      <w:r>
        <w:softHyphen/>
        <w:t>kých državách a až se Francie rozhodne o dalším po</w:t>
      </w:r>
      <w:r>
        <w:softHyphen/>
        <w:t>stupu či ústupu.</w:t>
      </w:r>
    </w:p>
    <w:p w:rsidR="00500724" w:rsidRDefault="00F30FB8">
      <w:pPr>
        <w:pStyle w:val="Zkladntext30"/>
        <w:shd w:val="clear" w:color="auto" w:fill="auto"/>
        <w:tabs>
          <w:tab w:val="left" w:pos="4526"/>
        </w:tabs>
        <w:spacing w:after="320" w:line="199" w:lineRule="auto"/>
        <w:rPr>
          <w:sz w:val="20"/>
          <w:szCs w:val="20"/>
        </w:rPr>
      </w:pPr>
      <w:r>
        <w:t>Francouzské rozhodnutí bude tím dalekosáhlejší, čím úže</w:t>
      </w:r>
      <w:r>
        <w:t>ji je spjata zápletka francouzsko-italská se všemi ožehavými otázkami evropské politiky. Tak či onak nemocná Evropa se zdá běžet vstříc snad i ne</w:t>
      </w:r>
      <w:r>
        <w:softHyphen/>
        <w:t>klidnější době nežli loňského září, poněvadž k neroz- řešeným těžkostem přibývá nyní přímo spor mezi dvě</w:t>
      </w:r>
      <w:r>
        <w:softHyphen/>
        <w:t>ma ve</w:t>
      </w:r>
      <w:r>
        <w:t>lmocemi — zatím mezi dvěma — který nejde řešit na úkor třetího.</w:t>
      </w:r>
      <w:r>
        <w:tab/>
      </w:r>
      <w:r>
        <w:rPr>
          <w:i/>
          <w:iCs/>
          <w:sz w:val="20"/>
          <w:szCs w:val="20"/>
        </w:rPr>
        <w:t>Sigma</w:t>
      </w:r>
    </w:p>
    <w:p w:rsidR="00500724" w:rsidRDefault="00F30FB8">
      <w:pPr>
        <w:pStyle w:val="Nadpis90"/>
        <w:keepNext/>
        <w:keepLines/>
        <w:pBdr>
          <w:bottom w:val="single" w:sz="4" w:space="0" w:color="auto"/>
        </w:pBdr>
        <w:shd w:val="clear" w:color="auto" w:fill="auto"/>
        <w:spacing w:after="280"/>
      </w:pPr>
      <w:bookmarkStart w:id="67" w:name="bookmark66"/>
      <w:r>
        <w:t>poznámky</w:t>
      </w:r>
      <w:bookmarkEnd w:id="67"/>
    </w:p>
    <w:p w:rsidR="00500724" w:rsidRDefault="00F30FB8">
      <w:pPr>
        <w:pStyle w:val="Zkladntext30"/>
        <w:shd w:val="clear" w:color="auto" w:fill="auto"/>
        <w:spacing w:after="60" w:line="178" w:lineRule="auto"/>
        <w:ind w:firstLine="0"/>
        <w:jc w:val="center"/>
        <w:rPr>
          <w:sz w:val="20"/>
          <w:szCs w:val="20"/>
        </w:rPr>
      </w:pPr>
      <w:r>
        <w:rPr>
          <w:b/>
          <w:bCs/>
          <w:sz w:val="20"/>
          <w:szCs w:val="20"/>
        </w:rPr>
        <w:t>Změnilo se něco po Římě?</w:t>
      </w:r>
    </w:p>
    <w:p w:rsidR="00500724" w:rsidRDefault="00F30FB8">
      <w:pPr>
        <w:pStyle w:val="Zkladntext1"/>
        <w:shd w:val="clear" w:color="auto" w:fill="auto"/>
        <w:spacing w:after="180" w:line="187" w:lineRule="auto"/>
        <w:ind w:firstLine="320"/>
      </w:pPr>
      <w:r>
        <w:rPr>
          <w:b/>
          <w:bCs/>
        </w:rPr>
        <w:t>Zprávy, jež se rozletěly ▼ pátek 13. ledna veěer z Říma, mluvily velmi zřetelně o tom, že anglo-italská konference skončila bez kladného výsledku. Byl v</w:t>
      </w:r>
      <w:r>
        <w:rPr>
          <w:b/>
          <w:bCs/>
        </w:rPr>
        <w:t xml:space="preserve"> tom jistě úmysl, jestliže právě v poloúřední zprávě londýnské Reuíerovy kanceláře bylo řečeno přímo drsně, že se obecně věří, že výsledek návštěvy britských ministrů dopadl na diploma</w:t>
      </w:r>
      <w:r>
        <w:rPr>
          <w:b/>
          <w:bCs/>
        </w:rPr>
        <w:softHyphen/>
        <w:t xml:space="preserve">tickém úseku naprosto negativně. Zdá se, pokračovala zpráva Reuterova, </w:t>
      </w:r>
      <w:r>
        <w:rPr>
          <w:b/>
          <w:bCs/>
        </w:rPr>
        <w:t xml:space="preserve">že </w:t>
      </w:r>
      <w:r>
        <w:rPr>
          <w:b/>
          <w:bCs/>
          <w:lang w:val="en-US" w:eastAsia="en-US" w:bidi="en-US"/>
        </w:rPr>
        <w:t xml:space="preserve">Chamberlain a Mussolini </w:t>
      </w:r>
      <w:r>
        <w:rPr>
          <w:b/>
          <w:bCs/>
        </w:rPr>
        <w:t>nenašli žád</w:t>
      </w:r>
      <w:r>
        <w:rPr>
          <w:b/>
          <w:bCs/>
        </w:rPr>
        <w:softHyphen/>
        <w:t>nou základnu pro novou schůzku, ani že není důvodu k na</w:t>
      </w:r>
      <w:r>
        <w:rPr>
          <w:b/>
          <w:bCs/>
        </w:rPr>
        <w:softHyphen/>
        <w:t>ději, že anglo-italská dohoda (z dubna minulého roku) by se mohla státi počátkem k spolupráci v širší oblasti. Duce prý vňěi Francii trvá na »přirozených nárocíc</w:t>
      </w:r>
      <w:r>
        <w:rPr>
          <w:b/>
          <w:bCs/>
        </w:rPr>
        <w:t>h« a rovněž na svém rozhodnutí podporovat španělské nacionalisty. Britská vláda by byla ochotna přispět! k dohodě mezi obě</w:t>
      </w:r>
      <w:r>
        <w:rPr>
          <w:b/>
          <w:bCs/>
        </w:rPr>
        <w:softHyphen/>
        <w:t>ma zeměmi, kdyby francouzsko-italský konflikt byl pro</w:t>
      </w:r>
      <w:r>
        <w:rPr>
          <w:b/>
          <w:bCs/>
        </w:rPr>
        <w:softHyphen/>
        <w:t>jednáván v řádných poradách. Nejnovější proti</w:t>
      </w:r>
      <w:r>
        <w:rPr>
          <w:b/>
          <w:bCs/>
        </w:rPr>
        <w:softHyphen/>
        <w:t>francouzské demonstrace však nesl</w:t>
      </w:r>
      <w:r>
        <w:rPr>
          <w:b/>
          <w:bCs/>
        </w:rPr>
        <w:t>ouží věci míru a oprav</w:t>
      </w:r>
      <w:r>
        <w:rPr>
          <w:b/>
          <w:bCs/>
        </w:rPr>
        <w:softHyphen/>
        <w:t>ňují negativní postoj Francie. Nemůže býti ani řeči o konferenci ětyř, nebof Jde o konflikt, který přímo interesuje Francii a Itálii. Po všeobecné poznámce o míro</w:t>
      </w:r>
      <w:r>
        <w:rPr>
          <w:b/>
          <w:bCs/>
        </w:rPr>
        <w:softHyphen/>
        <w:t xml:space="preserve">vých tužbách obou národů a vlád, a zmínce, že nedošlo k žádné diskusi </w:t>
      </w:r>
      <w:r>
        <w:rPr>
          <w:b/>
          <w:bCs/>
        </w:rPr>
        <w:t>o obchodně-politických zá</w:t>
      </w:r>
      <w:r>
        <w:rPr>
          <w:b/>
          <w:bCs/>
        </w:rPr>
        <w:softHyphen/>
        <w:t>ležitostech mezi oběma státy, zdůrazňuje se vý</w:t>
      </w:r>
      <w:r>
        <w:rPr>
          <w:b/>
          <w:bCs/>
        </w:rPr>
        <w:softHyphen/>
        <w:t>znam římských rozhovorů v tom smyslu, že, aniž uspoko</w:t>
      </w:r>
      <w:r>
        <w:rPr>
          <w:b/>
          <w:bCs/>
        </w:rPr>
        <w:softHyphen/>
        <w:t>jily naděje Chamberlainovy, odstranily alespoň všechny pochybnosti o názorech obou vlád. Přesné úmysly Itálie zůstávají tajemství</w:t>
      </w:r>
      <w:r>
        <w:rPr>
          <w:b/>
          <w:bCs/>
        </w:rPr>
        <w:t>m, přijímá se však názor, že Itálie, nedbajíc solidarity Anglie a Francie, půjde dále aktivně za svými aspiracemi, jelikož počítá na podporu svého partnera na ose Řím— Berlin.</w:t>
      </w:r>
    </w:p>
    <w:p w:rsidR="00500724" w:rsidRDefault="00F30FB8">
      <w:pPr>
        <w:pStyle w:val="Zkladntext1"/>
        <w:shd w:val="clear" w:color="auto" w:fill="auto"/>
        <w:spacing w:line="187" w:lineRule="auto"/>
        <w:ind w:firstLine="300"/>
      </w:pPr>
      <w:r>
        <w:rPr>
          <w:b/>
          <w:bCs/>
        </w:rPr>
        <w:t>Domníváme se, že touto zprávou měl býti zřejmě vyvo</w:t>
      </w:r>
      <w:r>
        <w:rPr>
          <w:b/>
          <w:bCs/>
        </w:rPr>
        <w:softHyphen/>
        <w:t>lán jakýsi poplach, aby bylo</w:t>
      </w:r>
      <w:r>
        <w:rPr>
          <w:b/>
          <w:bCs/>
        </w:rPr>
        <w:t xml:space="preserve"> docíleno alespoň tolik, aby </w:t>
      </w:r>
      <w:r>
        <w:rPr>
          <w:b/>
          <w:bCs/>
          <w:lang w:val="en-US" w:eastAsia="en-US" w:bidi="en-US"/>
        </w:rPr>
        <w:t xml:space="preserve">Mussolini </w:t>
      </w:r>
      <w:r>
        <w:rPr>
          <w:b/>
          <w:bCs/>
        </w:rPr>
        <w:t>i ve svém vlastním zájmu přispěl k takové ko</w:t>
      </w:r>
      <w:r>
        <w:rPr>
          <w:b/>
          <w:bCs/>
        </w:rPr>
        <w:softHyphen/>
        <w:t>nečné režii konference, jež by umožnila vydání společného oficiálního komuniké v pátek veěer, v němž se říká v pod</w:t>
      </w:r>
      <w:r>
        <w:rPr>
          <w:b/>
          <w:bCs/>
        </w:rPr>
        <w:softHyphen/>
        <w:t>statě, že obě vlády i nadále se věnují politice, směřujíc</w:t>
      </w:r>
      <w:r>
        <w:rPr>
          <w:b/>
          <w:bCs/>
        </w:rPr>
        <w:t xml:space="preserve">í k zachováni míru. Před svým odjezdem v sobotu </w:t>
      </w:r>
      <w:r>
        <w:rPr>
          <w:b/>
          <w:bCs/>
          <w:lang w:val="en-US" w:eastAsia="en-US" w:bidi="en-US"/>
        </w:rPr>
        <w:t>pan Cham</w:t>
      </w:r>
      <w:r>
        <w:rPr>
          <w:b/>
          <w:bCs/>
          <w:lang w:val="en-US" w:eastAsia="en-US" w:bidi="en-US"/>
        </w:rPr>
        <w:softHyphen/>
        <w:t xml:space="preserve">berlain </w:t>
      </w:r>
      <w:r>
        <w:rPr>
          <w:b/>
          <w:bCs/>
        </w:rPr>
        <w:t>řekl k italským novinářům, že osobním stykem bylo docíleno vzájemného pochopení stanovisek. »V z á j e m n ě jsme se dobře poznali« — a římské porady prý při</w:t>
      </w:r>
      <w:r>
        <w:rPr>
          <w:b/>
          <w:bCs/>
        </w:rPr>
        <w:softHyphen/>
        <w:t>nesou své ovoce — v budoucnosti.</w:t>
      </w:r>
    </w:p>
    <w:p w:rsidR="00500724" w:rsidRDefault="00F30FB8">
      <w:pPr>
        <w:pStyle w:val="Zkladntext1"/>
        <w:shd w:val="clear" w:color="auto" w:fill="auto"/>
        <w:spacing w:line="187" w:lineRule="auto"/>
        <w:ind w:firstLine="300"/>
      </w:pPr>
      <w:r>
        <w:rPr>
          <w:b/>
          <w:bCs/>
        </w:rPr>
        <w:t xml:space="preserve">Byl-li, Jak bylo prozrazeno, zklamán </w:t>
      </w:r>
      <w:r>
        <w:rPr>
          <w:b/>
          <w:bCs/>
          <w:lang w:val="en-US" w:eastAsia="en-US" w:bidi="en-US"/>
        </w:rPr>
        <w:t xml:space="preserve">Chamberlain, </w:t>
      </w:r>
      <w:r>
        <w:rPr>
          <w:b/>
          <w:bCs/>
        </w:rPr>
        <w:t>bylo v prvé ehvtil po zprávách tak nepříznivých zklamáno ještě více veřejné mínění ve všech čtyřech zúčastněných zemích obou os. Toto veřejné mínění bylo sváděno tiskem k nadě</w:t>
      </w:r>
      <w:r>
        <w:rPr>
          <w:b/>
          <w:bCs/>
        </w:rPr>
        <w:softHyphen/>
        <w:t>jím. Tato konference nebyla Im</w:t>
      </w:r>
      <w:r>
        <w:rPr>
          <w:b/>
          <w:bCs/>
        </w:rPr>
        <w:t>provisována, jako byla do velmi značné míry zářijová schůzka Chamberlainova s Hit</w:t>
      </w:r>
      <w:r>
        <w:rPr>
          <w:b/>
          <w:bCs/>
        </w:rPr>
        <w:softHyphen/>
        <w:t>lerem v Berchtesgadenu a Godesbergu a konečně konfe</w:t>
      </w:r>
      <w:r>
        <w:rPr>
          <w:b/>
          <w:bCs/>
        </w:rPr>
        <w:softHyphen/>
        <w:t>rence v Mnichově. Římská konference byla řádně připra</w:t>
      </w:r>
      <w:r>
        <w:rPr>
          <w:b/>
          <w:bCs/>
        </w:rPr>
        <w:softHyphen/>
        <w:t>vena vládami, zahraničními úřady a velvyslanci. Londýn znal předem p</w:t>
      </w:r>
      <w:r>
        <w:rPr>
          <w:b/>
          <w:bCs/>
        </w:rPr>
        <w:t>řesně stanovisko _ Francie a Itálie. Berlín sdělil předem své stanovisko do Říma. Pokud jde o hlavni politické otázky, byly už předem zaujaty posice každou se ětyř vlád. Byla takto zatarasena cesta k obratům anebo dramatickým překvapením ať s jedné či druh</w:t>
      </w:r>
      <w:r>
        <w:rPr>
          <w:b/>
          <w:bCs/>
        </w:rPr>
        <w:t xml:space="preserve">é strany. Osobním stykem, na nějž klade tak velký důraz </w:t>
      </w:r>
      <w:r>
        <w:rPr>
          <w:b/>
          <w:bCs/>
          <w:lang w:val="en-US" w:eastAsia="en-US" w:bidi="en-US"/>
        </w:rPr>
        <w:t xml:space="preserve">Chamberlain, </w:t>
      </w:r>
      <w:r>
        <w:rPr>
          <w:b/>
          <w:bCs/>
        </w:rPr>
        <w:t>měla se jednak veřejně před vlastní a světovou veřejností plně exponovati jak vláda anglická, tak zejména vláda italská. Byl dále učiněn pokus o pří</w:t>
      </w:r>
      <w:r>
        <w:rPr>
          <w:b/>
          <w:bCs/>
        </w:rPr>
        <w:softHyphen/>
        <w:t>pravu příznivějšího podnebi k eventuál</w:t>
      </w:r>
      <w:r>
        <w:rPr>
          <w:b/>
          <w:bCs/>
        </w:rPr>
        <w:t>ním přímým roz</w:t>
      </w:r>
      <w:r>
        <w:rPr>
          <w:b/>
          <w:bCs/>
        </w:rPr>
        <w:softHyphen/>
        <w:t>hovorům mezi Římem a Paříží.</w:t>
      </w:r>
    </w:p>
    <w:p w:rsidR="00500724" w:rsidRDefault="00F30FB8">
      <w:pPr>
        <w:pStyle w:val="Zkladntext1"/>
        <w:shd w:val="clear" w:color="auto" w:fill="auto"/>
        <w:spacing w:line="187" w:lineRule="auto"/>
        <w:ind w:firstLine="300"/>
      </w:pPr>
      <w:r>
        <w:rPr>
          <w:b/>
          <w:bCs/>
        </w:rPr>
        <w:t xml:space="preserve">Nedostavilo se však včas ono překvapení, jež by byla s krajním uspokojením uvítala vláda italská a jehož by byla plně využila. Armády generála </w:t>
      </w:r>
      <w:r>
        <w:rPr>
          <w:b/>
          <w:bCs/>
          <w:lang w:val="en-US" w:eastAsia="en-US" w:bidi="en-US"/>
        </w:rPr>
        <w:t xml:space="preserve">Franca </w:t>
      </w:r>
      <w:r>
        <w:rPr>
          <w:b/>
          <w:bCs/>
        </w:rPr>
        <w:t>sice dobyly na katal&amp;nské frontě význačných úspěchů, nepodařil</w:t>
      </w:r>
      <w:r>
        <w:rPr>
          <w:b/>
          <w:bCs/>
        </w:rPr>
        <w:t>o se jim však tuto frontu likvidovati, a na jižní frontě dovedlo do</w:t>
      </w:r>
      <w:r>
        <w:rPr>
          <w:b/>
          <w:bCs/>
        </w:rPr>
        <w:softHyphen/>
        <w:t>sáhnout! místních úspěchů vojsko vládní. Po Novém roce navštívila Barcelonu a katalánskou vládní frontu delegace francouzských poslanců nesocialistických a její mluvčí uči</w:t>
      </w:r>
      <w:r>
        <w:rPr>
          <w:b/>
          <w:bCs/>
        </w:rPr>
        <w:softHyphen/>
        <w:t>nili radikální p</w:t>
      </w:r>
      <w:r>
        <w:rPr>
          <w:b/>
          <w:bCs/>
        </w:rPr>
        <w:t>rojevy pro podporu vládního Španělska se strany Francie. Tato podpora se zatím vyjadřuje v dodávání obilí a mouky do Katalánska.</w:t>
      </w:r>
    </w:p>
    <w:p w:rsidR="00500724" w:rsidRDefault="00F30FB8">
      <w:pPr>
        <w:pStyle w:val="Zkladntext1"/>
        <w:shd w:val="clear" w:color="auto" w:fill="auto"/>
        <w:spacing w:line="187" w:lineRule="auto"/>
        <w:ind w:firstLine="300"/>
      </w:pPr>
      <w:r>
        <w:rPr>
          <w:b/>
          <w:bCs/>
        </w:rPr>
        <w:t>Po konferenci v Římě vystupuje ještě nápadněji do po</w:t>
      </w:r>
      <w:r>
        <w:rPr>
          <w:b/>
          <w:bCs/>
        </w:rPr>
        <w:softHyphen/>
      </w:r>
      <w:r>
        <w:rPr>
          <w:b/>
          <w:bCs/>
        </w:rPr>
        <w:t xml:space="preserve">předí, že v této chvíli těžiště zápasu o Středozemní moře je ve Španělsku. Jeden italský ministr podotkl, že válka ve Španělsku má pro Itálii bezprostřednější význam než Džibuti. Jestliže ve Středozemním moři se odehrává zápas e revisi </w:t>
      </w:r>
      <w:r>
        <w:rPr>
          <w:b/>
          <w:bCs/>
          <w:lang w:val="en-US" w:eastAsia="en-US" w:bidi="en-US"/>
        </w:rPr>
        <w:t xml:space="preserve">statu quo, </w:t>
      </w:r>
      <w:r>
        <w:rPr>
          <w:b/>
          <w:bCs/>
        </w:rPr>
        <w:t>pak na pů</w:t>
      </w:r>
      <w:r>
        <w:rPr>
          <w:b/>
          <w:bCs/>
        </w:rPr>
        <w:t xml:space="preserve">dě španělské je už teuto zápas vyřizován zbraněmi. </w:t>
      </w:r>
      <w:r>
        <w:rPr>
          <w:b/>
          <w:bCs/>
          <w:lang w:val="en-US" w:eastAsia="en-US" w:bidi="en-US"/>
        </w:rPr>
        <w:t>Mus</w:t>
      </w:r>
      <w:r>
        <w:rPr>
          <w:b/>
          <w:bCs/>
          <w:lang w:val="en-US" w:eastAsia="en-US" w:bidi="en-US"/>
        </w:rPr>
        <w:softHyphen/>
        <w:t xml:space="preserve">solini </w:t>
      </w:r>
      <w:r>
        <w:rPr>
          <w:b/>
          <w:bCs/>
        </w:rPr>
        <w:t>se nemíní vzdáti tohoto prostředku dynamické poli</w:t>
      </w:r>
      <w:r>
        <w:rPr>
          <w:b/>
          <w:bCs/>
        </w:rPr>
        <w:softHyphen/>
        <w:t>tiky a povolil by nanejvýš, kdyby se mu dostalo »přiměře</w:t>
      </w:r>
      <w:r>
        <w:rPr>
          <w:b/>
          <w:bCs/>
        </w:rPr>
        <w:softHyphen/>
        <w:t>ných* kompensaci, jež by nebyly skrovné a jež mu proto žádná francouzská vláda nemůže n</w:t>
      </w:r>
      <w:r>
        <w:rPr>
          <w:b/>
          <w:bCs/>
        </w:rPr>
        <w:t xml:space="preserve">abídnout. Jestliže dnes </w:t>
      </w:r>
      <w:r>
        <w:rPr>
          <w:b/>
          <w:bCs/>
          <w:lang w:val="en-US" w:eastAsia="en-US" w:bidi="en-US"/>
        </w:rPr>
        <w:t xml:space="preserve">Mussolini, </w:t>
      </w:r>
      <w:r>
        <w:rPr>
          <w:b/>
          <w:bCs/>
        </w:rPr>
        <w:t>podporován Hitlerem, vede zápas o zesílení mo</w:t>
      </w:r>
      <w:r>
        <w:rPr>
          <w:b/>
          <w:bCs/>
        </w:rPr>
        <w:softHyphen/>
        <w:t>cenského a hospodářského postavení Itálie v oblasti středo- mořské, pak všechno své úsilí v této chvíli musí soustřediti na španělský úsek, kde přece padlo tisíce synů italské</w:t>
      </w:r>
      <w:r>
        <w:rPr>
          <w:b/>
          <w:bCs/>
        </w:rPr>
        <w:t xml:space="preserve"> země, jichž krev nesmí býti prolita nadarmo.</w:t>
      </w:r>
    </w:p>
    <w:p w:rsidR="00500724" w:rsidRDefault="00F30FB8">
      <w:pPr>
        <w:pStyle w:val="Zkladntext1"/>
        <w:shd w:val="clear" w:color="auto" w:fill="auto"/>
        <w:spacing w:line="187" w:lineRule="auto"/>
        <w:ind w:firstLine="300"/>
      </w:pPr>
      <w:r>
        <w:rPr>
          <w:b/>
          <w:bCs/>
        </w:rPr>
        <w:t xml:space="preserve">Ačkoliv některé italské tužby a požadavky nejsou nové (některé byly vzneseny již v letech osmdesátých minulého století), nemíní nyní </w:t>
      </w:r>
      <w:r>
        <w:rPr>
          <w:b/>
          <w:bCs/>
          <w:lang w:val="en-US" w:eastAsia="en-US" w:bidi="en-US"/>
        </w:rPr>
        <w:t xml:space="preserve">Mussolini, </w:t>
      </w:r>
      <w:r>
        <w:rPr>
          <w:b/>
          <w:bCs/>
        </w:rPr>
        <w:t>jenž přece mobilisoval faši</w:t>
      </w:r>
      <w:r>
        <w:rPr>
          <w:b/>
          <w:bCs/>
        </w:rPr>
        <w:softHyphen/>
        <w:t>stickou ItaKí pro obnovu římského impé</w:t>
      </w:r>
      <w:r>
        <w:rPr>
          <w:b/>
          <w:bCs/>
        </w:rPr>
        <w:t>ria, propást ona příležitost, jež se mu nabízí. V Evropě střední a jihový</w:t>
      </w:r>
      <w:r>
        <w:rPr>
          <w:b/>
          <w:bCs/>
        </w:rPr>
        <w:softHyphen/>
        <w:t>chodní není nyní místo pro přímou územní a mocenskou expansi italskou, jak se nejednou připomíná v říšskoněmee- kých novinách a také knihách a jak se přijímá v tisku ital</w:t>
      </w:r>
      <w:r>
        <w:rPr>
          <w:b/>
          <w:bCs/>
        </w:rPr>
        <w:softHyphen/>
        <w:t xml:space="preserve">ském. </w:t>
      </w:r>
      <w:r>
        <w:rPr>
          <w:b/>
          <w:bCs/>
          <w:lang w:val="en-US" w:eastAsia="en-US" w:bidi="en-US"/>
        </w:rPr>
        <w:t>Musso</w:t>
      </w:r>
      <w:r>
        <w:rPr>
          <w:b/>
          <w:bCs/>
          <w:lang w:val="en-US" w:eastAsia="en-US" w:bidi="en-US"/>
        </w:rPr>
        <w:t xml:space="preserve">lini </w:t>
      </w:r>
      <w:r>
        <w:rPr>
          <w:b/>
          <w:bCs/>
        </w:rPr>
        <w:t>přímo a nepřímo přispěl vydatně ke zcela mimořádnému úspěchu Hitlerovu minulého roku. Duce znovu a znovu s upřímností hlásal zásadu zejména v poli</w:t>
      </w:r>
      <w:r>
        <w:rPr>
          <w:b/>
          <w:bCs/>
        </w:rPr>
        <w:softHyphen/>
        <w:t>tice zahraniční: Něco za něco. Je teď na řadě a domníval se, že Francie po Mnichovu nebude moci odpírati</w:t>
      </w:r>
      <w:r>
        <w:rPr>
          <w:b/>
          <w:bCs/>
        </w:rPr>
        <w:t xml:space="preserve"> koncese ve prospěch Itálie. Mnohé listy italské vydávají svědectví o malé úctě k Francii. Víme, jak na jejich kampaně a po</w:t>
      </w:r>
      <w:r>
        <w:rPr>
          <w:b/>
          <w:bCs/>
        </w:rPr>
        <w:softHyphen/>
        <w:t>žadavky odpověděl Daladier na své cestě přes Korsiku do Alžíru * Tunisu. »Ani píď francouzské země!« toť národní heslo dne. Pro česk</w:t>
      </w:r>
      <w:r>
        <w:rPr>
          <w:b/>
          <w:bCs/>
        </w:rPr>
        <w:t>o slovenského čtenáře jsou pak trpkou četbou ony vášnivé hlasy francouzských listů z posledních týdnů a dnů, odmítající s nevolí a uraženě »africký Mnichove, nedůstojný francouzské velmoci a bránící se každému zpro</w:t>
      </w:r>
      <w:r>
        <w:rPr>
          <w:b/>
          <w:bCs/>
        </w:rPr>
        <w:softHyphen/>
        <w:t>středkováni mírotvorce Chamberlaina.</w:t>
      </w:r>
    </w:p>
    <w:p w:rsidR="00500724" w:rsidRDefault="00F30FB8">
      <w:pPr>
        <w:pStyle w:val="Zkladntext1"/>
        <w:shd w:val="clear" w:color="auto" w:fill="auto"/>
        <w:spacing w:line="187" w:lineRule="auto"/>
        <w:ind w:left="200" w:firstLine="0"/>
        <w:jc w:val="left"/>
        <w:sectPr w:rsidR="00500724">
          <w:footnotePr>
            <w:numFmt w:val="chicago"/>
            <w:numRestart w:val="eachPage"/>
          </w:footnotePr>
          <w:type w:val="continuous"/>
          <w:pgSz w:w="11909" w:h="16834"/>
          <w:pgMar w:top="1085" w:right="1193" w:bottom="818" w:left="281" w:header="0" w:footer="3" w:gutter="0"/>
          <w:cols w:num="2" w:space="182"/>
          <w:noEndnote/>
          <w:docGrid w:linePitch="360"/>
        </w:sectPr>
      </w:pPr>
      <w:r>
        <w:rPr>
          <w:b/>
          <w:bCs/>
        </w:rPr>
        <w:t>K žádnémn Mnichova tedy nedojde a zápas mezi Itálii</w:t>
      </w:r>
    </w:p>
    <w:p w:rsidR="00500724" w:rsidRDefault="00F30FB8">
      <w:pPr>
        <w:pStyle w:val="Nadpis90"/>
        <w:keepNext/>
        <w:keepLines/>
        <w:pBdr>
          <w:bottom w:val="single" w:sz="4" w:space="0" w:color="auto"/>
        </w:pBdr>
        <w:shd w:val="clear" w:color="auto" w:fill="auto"/>
        <w:spacing w:after="0"/>
        <w:ind w:left="120"/>
        <w:jc w:val="center"/>
        <w:sectPr w:rsidR="00500724">
          <w:footnotePr>
            <w:numFmt w:val="chicago"/>
            <w:numRestart w:val="eachPage"/>
          </w:footnotePr>
          <w:pgSz w:w="11909" w:h="16834"/>
          <w:pgMar w:top="821" w:right="649" w:bottom="592" w:left="754" w:header="0" w:footer="3" w:gutter="0"/>
          <w:cols w:space="720"/>
          <w:noEndnote/>
          <w:docGrid w:linePitch="360"/>
        </w:sectPr>
      </w:pPr>
      <w:bookmarkStart w:id="68" w:name="bookmark67"/>
      <w:r>
        <w:rPr>
          <w:rFonts w:ascii="Times New Roman" w:eastAsia="Times New Roman" w:hAnsi="Times New Roman" w:cs="Times New Roman"/>
        </w:rPr>
        <w:t>PfítomnosO</w:t>
      </w:r>
      <w:bookmarkEnd w:id="68"/>
    </w:p>
    <w:p w:rsidR="00500724" w:rsidRDefault="00500724">
      <w:pPr>
        <w:spacing w:line="95" w:lineRule="exact"/>
        <w:rPr>
          <w:sz w:val="8"/>
          <w:szCs w:val="8"/>
        </w:rPr>
      </w:pPr>
    </w:p>
    <w:p w:rsidR="00500724" w:rsidRDefault="00500724">
      <w:pPr>
        <w:spacing w:line="14" w:lineRule="exact"/>
        <w:sectPr w:rsidR="00500724">
          <w:footnotePr>
            <w:numFmt w:val="chicago"/>
            <w:numRestart w:val="eachPage"/>
          </w:footnotePr>
          <w:type w:val="continuous"/>
          <w:pgSz w:w="11909" w:h="16834"/>
          <w:pgMar w:top="927" w:right="0" w:bottom="688" w:left="0" w:header="0" w:footer="3" w:gutter="0"/>
          <w:cols w:space="720"/>
          <w:noEndnote/>
          <w:docGrid w:linePitch="360"/>
        </w:sectPr>
      </w:pPr>
    </w:p>
    <w:p w:rsidR="00500724" w:rsidRDefault="00F30FB8">
      <w:pPr>
        <w:spacing w:line="14" w:lineRule="exact"/>
      </w:pPr>
      <w:r>
        <w:rPr>
          <w:noProof/>
        </w:rPr>
        <mc:AlternateContent>
          <mc:Choice Requires="wps">
            <w:drawing>
              <wp:anchor distT="25400" distB="254000" distL="114300" distR="114300" simplePos="0" relativeHeight="125829420" behindDoc="0" locked="0" layoutInCell="1" allowOverlap="1">
                <wp:simplePos x="0" y="0"/>
                <wp:positionH relativeFrom="page">
                  <wp:posOffset>6986270</wp:posOffset>
                </wp:positionH>
                <wp:positionV relativeFrom="paragraph">
                  <wp:posOffset>8961120</wp:posOffset>
                </wp:positionV>
                <wp:extent cx="164465" cy="170815"/>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164465" cy="170815"/>
                        </a:xfrm>
                        <a:prstGeom prst="rect">
                          <a:avLst/>
                        </a:prstGeom>
                        <a:noFill/>
                      </wps:spPr>
                      <wps:txbx>
                        <w:txbxContent>
                          <w:p w:rsidR="00500724" w:rsidRDefault="00F30FB8">
                            <w:pPr>
                              <w:pStyle w:val="Zkladntext1"/>
                              <w:shd w:val="clear" w:color="auto" w:fill="auto"/>
                              <w:ind w:firstLine="0"/>
                              <w:jc w:val="left"/>
                              <w:rPr>
                                <w:sz w:val="20"/>
                                <w:szCs w:val="20"/>
                              </w:rPr>
                            </w:pPr>
                            <w:r>
                              <w:rPr>
                                <w:i/>
                                <w:iCs/>
                                <w:sz w:val="20"/>
                                <w:szCs w:val="20"/>
                              </w:rPr>
                              <w:t>S5</w:t>
                            </w:r>
                          </w:p>
                        </w:txbxContent>
                      </wps:txbx>
                      <wps:bodyPr lIns="0" tIns="0" rIns="0" bIns="0">
                        <a:spAutoFit/>
                      </wps:bodyPr>
                    </wps:wsp>
                  </a:graphicData>
                </a:graphic>
              </wp:anchor>
            </w:drawing>
          </mc:Choice>
          <mc:Fallback>
            <w:pict>
              <v:shape id="_x0000_s1069" type="#_x0000_t202" style="position:absolute;margin-left:550.10000000000002pt;margin-top:705.60000000000002pt;width:12.949999999999999pt;height:13.449999999999999pt;z-index:-125829333;mso-wrap-distance-left:9.pt;mso-wrap-distance-top:2.pt;mso-wrap-distance-right:9.pt;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S5</w:t>
                      </w:r>
                    </w:p>
                  </w:txbxContent>
                </v:textbox>
                <w10:wrap type="topAndBottom" anchorx="page"/>
              </v:shape>
            </w:pict>
          </mc:Fallback>
        </mc:AlternateContent>
      </w:r>
    </w:p>
    <w:p w:rsidR="00500724" w:rsidRDefault="00F30FB8">
      <w:pPr>
        <w:pStyle w:val="Zkladntext1"/>
        <w:shd w:val="clear" w:color="auto" w:fill="auto"/>
        <w:spacing w:line="197" w:lineRule="auto"/>
        <w:ind w:firstLine="0"/>
      </w:pPr>
      <w:r>
        <w:rPr>
          <w:b/>
          <w:bCs/>
        </w:rPr>
        <w:t>a Francií bude po římské konferenci pokračovat. Italské listy znovu nasadily energický tón. Bude se</w:t>
      </w:r>
      <w:r>
        <w:rPr>
          <w:b/>
          <w:bCs/>
        </w:rPr>
        <w:t xml:space="preserve"> pak především v nejbližších dnech čekat na vývoj věcí ve Španělsku. Ne</w:t>
      </w:r>
      <w:r>
        <w:rPr>
          <w:b/>
          <w:bCs/>
        </w:rPr>
        <w:softHyphen/>
        <w:t xml:space="preserve">bude to čekání jen trpné. Bude mnoho záležeti na tom, jak přesněji vyznačí svoji taktiku Německo, jež podporuje Itálii v jejím zápase proti </w:t>
      </w:r>
      <w:r>
        <w:rPr>
          <w:b/>
          <w:bCs/>
          <w:lang w:val="en-US" w:eastAsia="en-US" w:bidi="en-US"/>
        </w:rPr>
        <w:t xml:space="preserve">statu quo </w:t>
      </w:r>
      <w:r>
        <w:rPr>
          <w:b/>
          <w:bCs/>
        </w:rPr>
        <w:t>ve Středozemním moři a jehož podpo</w:t>
      </w:r>
      <w:r>
        <w:rPr>
          <w:b/>
          <w:bCs/>
        </w:rPr>
        <w:t>ra je Itálii nepostradatelná. Německo, jež zesílilo před zahájením římské konference svoji posici na východě v Pol</w:t>
      </w:r>
      <w:r>
        <w:rPr>
          <w:b/>
          <w:bCs/>
        </w:rPr>
        <w:softHyphen/>
        <w:t xml:space="preserve">sku, nemíní zanedbávati »frontu západní« nejen proto, že tak přikazuje čestný spojenecký závazek. Ve střední Evropě a v Pobaltí Německo může </w:t>
      </w:r>
      <w:r>
        <w:rPr>
          <w:b/>
          <w:bCs/>
        </w:rPr>
        <w:t>míti úspěchy dosavadními prostřed</w:t>
      </w:r>
      <w:r>
        <w:rPr>
          <w:b/>
          <w:bCs/>
        </w:rPr>
        <w:softHyphen/>
        <w:t>ky, bez války. Půjde však o to, aby západ, vůči němuž má Ně</w:t>
      </w:r>
      <w:r>
        <w:rPr>
          <w:b/>
          <w:bCs/>
        </w:rPr>
        <w:softHyphen/>
        <w:t>mecko své požadavky koloniální, byl co nejvíce zaměstnán. Další se bude dělat podle plánu anebo podle situace. Platí ostatně pro všechny síly, které dnes rozhoduj</w:t>
      </w:r>
      <w:r>
        <w:rPr>
          <w:b/>
          <w:bCs/>
        </w:rPr>
        <w:t>í ve světové politice. Římská porada nepřivodila změnu směru politiky evropských velmocí osy Berlín—Řím a osy Londýn—Paříž. Přispěla-li skutečně k dalšímu ozřejmění politiky, především italské, pak Francie, jíž se se strany italské a německé do</w:t>
      </w:r>
      <w:r>
        <w:rPr>
          <w:b/>
          <w:bCs/>
        </w:rPr>
        <w:softHyphen/>
        <w:t>poručuje »r</w:t>
      </w:r>
      <w:r>
        <w:rPr>
          <w:b/>
          <w:bCs/>
        </w:rPr>
        <w:t>ealistické chápání věcí kolem«, a také Anglie si uvědomí tím zřetelněji, na čem jsou vůči Itálii i Německu.</w:t>
      </w:r>
    </w:p>
    <w:p w:rsidR="00500724" w:rsidRDefault="00F30FB8">
      <w:pPr>
        <w:pStyle w:val="Zkladntext1"/>
        <w:shd w:val="clear" w:color="auto" w:fill="auto"/>
        <w:spacing w:after="180" w:line="175" w:lineRule="auto"/>
        <w:ind w:firstLine="0"/>
        <w:jc w:val="right"/>
        <w:rPr>
          <w:sz w:val="20"/>
          <w:szCs w:val="20"/>
        </w:rPr>
      </w:pPr>
      <w:r>
        <w:rPr>
          <w:i/>
          <w:iCs/>
          <w:sz w:val="20"/>
          <w:szCs w:val="20"/>
        </w:rPr>
        <w:t>Ant. PeSl</w:t>
      </w:r>
    </w:p>
    <w:p w:rsidR="00500724" w:rsidRDefault="00F30FB8">
      <w:pPr>
        <w:pStyle w:val="Zkladntext1"/>
        <w:shd w:val="clear" w:color="auto" w:fill="auto"/>
        <w:spacing w:after="40" w:line="175" w:lineRule="auto"/>
        <w:ind w:firstLine="0"/>
        <w:jc w:val="center"/>
        <w:rPr>
          <w:sz w:val="20"/>
          <w:szCs w:val="20"/>
        </w:rPr>
      </w:pPr>
      <w:r>
        <w:rPr>
          <w:b/>
          <w:bCs/>
          <w:sz w:val="20"/>
          <w:szCs w:val="20"/>
        </w:rPr>
        <w:t>Jaké poslání mají Němci, kteří u nás zbyli?</w:t>
      </w:r>
    </w:p>
    <w:p w:rsidR="00500724" w:rsidRDefault="00F30FB8">
      <w:pPr>
        <w:pStyle w:val="Zkladntext1"/>
        <w:shd w:val="clear" w:color="auto" w:fill="auto"/>
        <w:spacing w:after="40" w:line="185" w:lineRule="auto"/>
        <w:ind w:firstLine="320"/>
      </w:pPr>
      <w:r>
        <w:rPr>
          <w:b/>
          <w:bCs/>
        </w:rPr>
        <w:t xml:space="preserve">Oficiální politika německé vlády vůči sousedním menším národům je založena na právu </w:t>
      </w:r>
      <w:r>
        <w:rPr>
          <w:b/>
          <w:bCs/>
        </w:rPr>
        <w:t>sebeurčení, tedy na právu přirozeném. Když se Maďaři v poslední době znovu a zno</w:t>
      </w:r>
      <w:r>
        <w:rPr>
          <w:b/>
          <w:bCs/>
        </w:rPr>
        <w:softHyphen/>
        <w:t>vu dovolávali svých starých historických hranic, odpoví</w:t>
      </w:r>
      <w:r>
        <w:rPr>
          <w:b/>
          <w:bCs/>
        </w:rPr>
        <w:softHyphen/>
        <w:t>dalo se jim z Německa, aby zanechali těchto ilusí a uvážili, že podle principu národnostního, který byl základem ví</w:t>
      </w:r>
      <w:r>
        <w:rPr>
          <w:b/>
          <w:bCs/>
        </w:rPr>
        <w:softHyphen/>
        <w:t>deň</w:t>
      </w:r>
      <w:r>
        <w:rPr>
          <w:b/>
          <w:bCs/>
        </w:rPr>
        <w:t>ského rozhodčího rozsudku, nemají na tyto končiny práva. To je docela v duchu iracionálního socialismu, který učí, že národ je jakási věc o sobě, která nemá s ostatními nic společného, a že tedy hranice politické se mají, pokud možno, krýti s hranicemi nár</w:t>
      </w:r>
      <w:r>
        <w:rPr>
          <w:b/>
          <w:bCs/>
        </w:rPr>
        <w:t>odnostními.</w:t>
      </w:r>
    </w:p>
    <w:p w:rsidR="00500724" w:rsidRDefault="00F30FB8">
      <w:pPr>
        <w:pStyle w:val="Zkladntext1"/>
        <w:shd w:val="clear" w:color="auto" w:fill="auto"/>
        <w:spacing w:after="40" w:line="185" w:lineRule="auto"/>
        <w:ind w:firstLine="320"/>
      </w:pPr>
      <w:r>
        <w:rPr>
          <w:b/>
          <w:bCs/>
        </w:rPr>
        <w:t xml:space="preserve">S touto oficiální doktrínou se však rozchází mnohé, co čteme v německém tisku. Vedle zásady národnostní a proti ní berou se tu na pomoc všeliké zásady jiné, jimiž se má odůvodnit vliv německého státu v určitých oblastech. Tak na příklad dr. </w:t>
      </w:r>
      <w:r>
        <w:rPr>
          <w:b/>
          <w:bCs/>
          <w:lang w:val="en-US" w:eastAsia="en-US" w:bidi="en-US"/>
        </w:rPr>
        <w:t>Fra</w:t>
      </w:r>
      <w:r>
        <w:rPr>
          <w:b/>
          <w:bCs/>
          <w:lang w:val="en-US" w:eastAsia="en-US" w:bidi="en-US"/>
        </w:rPr>
        <w:t xml:space="preserve">nz Lorenz </w:t>
      </w:r>
      <w:r>
        <w:rPr>
          <w:b/>
          <w:bCs/>
        </w:rPr>
        <w:t>mluví v »Die Zeit« o »záko- nech prostoru«. Územní roztržení historické jednoty Úech prý potvrdilo starou zákonitost českého prostoru (?) a dává zase sudeíským Němcům možnost, vrátit se k svému starému historickému úkolu, který v českých zemích v</w:t>
      </w:r>
      <w:r>
        <w:rPr>
          <w:b/>
          <w:bCs/>
        </w:rPr>
        <w:t xml:space="preserve">ždycky měli, totiž zanášet sem německou kulturu. Jenže tento úkol se ku podivu nemá omezit jen na národnostní prostor německý, který byl revisí hranic oddělen, nýbrž na celý »nám svěřený prostor«, to jest na Sudetsko i na zbylé Cechy. Najednou tedy zásada </w:t>
      </w:r>
      <w:r>
        <w:rPr>
          <w:b/>
          <w:bCs/>
        </w:rPr>
        <w:t>národnostní přestává platit, najednou neznamená nic, že ve zbylém jádře Čech už nejsou skoro žádní Němci, najednou se máme vracet do doby středověké německé kolonisace.</w:t>
      </w:r>
    </w:p>
    <w:p w:rsidR="00500724" w:rsidRDefault="00F30FB8">
      <w:pPr>
        <w:pStyle w:val="Zkladntext1"/>
        <w:shd w:val="clear" w:color="auto" w:fill="auto"/>
        <w:spacing w:after="40" w:line="185" w:lineRule="auto"/>
        <w:ind w:firstLine="320"/>
      </w:pPr>
      <w:r>
        <w:rPr>
          <w:b/>
          <w:bCs/>
        </w:rPr>
        <w:t>Vzpomínky na středověk jsou vůbec v německých no</w:t>
      </w:r>
      <w:r>
        <w:rPr>
          <w:b/>
          <w:bCs/>
        </w:rPr>
        <w:softHyphen/>
        <w:t xml:space="preserve">vinách neobyčejně časté. Svatá římská </w:t>
      </w:r>
      <w:r>
        <w:rPr>
          <w:b/>
          <w:bCs/>
        </w:rPr>
        <w:t>říše německého národa jaksi nedá spáti těm, kteří jsou Hitlerem vychová</w:t>
      </w:r>
      <w:r>
        <w:rPr>
          <w:b/>
          <w:bCs/>
        </w:rPr>
        <w:softHyphen/>
        <w:t>váni k čistě národopisnému pojetí Evropy. Zdá se jim třeba nesmírně závažnou věcí, že Čechy byly před mnoha lety lénem německého císaře. Proč se také nevzpomíná na to, že k německé říš</w:t>
      </w:r>
      <w:r>
        <w:rPr>
          <w:b/>
          <w:bCs/>
        </w:rPr>
        <w:t>i kdysi patřilo i Nizozemí? Nebo proč se nepřipomíná, že žezlo německého císaře kdysi sahalo až do poloviny Itálie? Kde je konec takového histo- risování? Kde je chápání nových dějinných skutečnosti, které se z Německa, podobně jako z Itálie, tak často do</w:t>
      </w:r>
      <w:r>
        <w:rPr>
          <w:b/>
          <w:bCs/>
        </w:rPr>
        <w:softHyphen/>
      </w:r>
      <w:r>
        <w:rPr>
          <w:b/>
          <w:bCs/>
        </w:rPr>
        <w:t>poručuje? Není existence národních států středoevrop</w:t>
      </w:r>
      <w:r>
        <w:rPr>
          <w:b/>
          <w:bCs/>
        </w:rPr>
        <w:softHyphen/>
        <w:t>ských skutečností dost patrnou, aby ji zpozorovalo oko ctitelů německého středověku?</w:t>
      </w:r>
    </w:p>
    <w:p w:rsidR="00500724" w:rsidRDefault="00F30FB8">
      <w:pPr>
        <w:pStyle w:val="Zkladntext1"/>
        <w:shd w:val="clear" w:color="auto" w:fill="auto"/>
        <w:spacing w:after="40" w:line="185" w:lineRule="auto"/>
        <w:ind w:firstLine="320"/>
      </w:pPr>
      <w:r>
        <w:rPr>
          <w:b/>
          <w:bCs/>
        </w:rPr>
        <w:t>Zřejmě se chce těmito historickými argumenty odů</w:t>
      </w:r>
      <w:r>
        <w:rPr>
          <w:b/>
          <w:bCs/>
        </w:rPr>
        <w:softHyphen/>
        <w:t xml:space="preserve">vodnit trvání některých kulturních posic, které odtržením sudetských </w:t>
      </w:r>
      <w:r>
        <w:rPr>
          <w:b/>
          <w:bCs/>
        </w:rPr>
        <w:t>krajů ztratily své národní zázemí. Proto se mluví o starém a dosud trvajícím kulturním poslání Něm</w:t>
      </w:r>
      <w:r>
        <w:rPr>
          <w:b/>
          <w:bCs/>
        </w:rPr>
        <w:softHyphen/>
        <w:t>ců v Praze a v českých zemích vůbec. Jaké to je poslání? Okolnosti se nekonečně změnily od doby, kdy Karel TV. zakládal v Praze latinskou a scholastickou uni</w:t>
      </w:r>
      <w:r>
        <w:rPr>
          <w:b/>
          <w:bCs/>
        </w:rPr>
        <w:t>versitu. Latina už není společným kulturním jazykem vzdělaného lidstva a přes starodávnou českou zemi se převalila po- žehnání i pohromy reformace, husitských válek, věku poděbradského, protireformace, věku habsburského, ná</w:t>
      </w:r>
      <w:r>
        <w:rPr>
          <w:b/>
          <w:bCs/>
        </w:rPr>
        <w:softHyphen/>
        <w:t>rodního obrození a světové války</w:t>
      </w:r>
      <w:r>
        <w:rPr>
          <w:b/>
          <w:bCs/>
        </w:rPr>
        <w:t>. Německá kultura, která se na německých universitách přednáší dnes, není už ta, která se přednášela ve čtrnáctém století, ani ta, kterou</w:t>
      </w:r>
    </w:p>
    <w:p w:rsidR="00500724" w:rsidRDefault="00F30FB8">
      <w:pPr>
        <w:pStyle w:val="Zkladntext1"/>
        <w:shd w:val="clear" w:color="auto" w:fill="auto"/>
        <w:tabs>
          <w:tab w:val="left" w:pos="4651"/>
        </w:tabs>
        <w:spacing w:after="120" w:line="192" w:lineRule="auto"/>
        <w:ind w:firstLine="0"/>
        <w:rPr>
          <w:sz w:val="20"/>
          <w:szCs w:val="20"/>
        </w:rPr>
      </w:pPr>
      <w:r>
        <w:rPr>
          <w:b/>
          <w:bCs/>
        </w:rPr>
        <w:t>si přinesl Kollár z Jeny. Němečtí profesoři v Praze mají prý jakési kulturní poslání, to jest vůči nám Čechům. Ale zdr</w:t>
      </w:r>
      <w:r>
        <w:rPr>
          <w:b/>
          <w:bCs/>
        </w:rPr>
        <w:t>cující většina z nich se ani česky nedomluví. Ně</w:t>
      </w:r>
      <w:r>
        <w:rPr>
          <w:b/>
          <w:bCs/>
        </w:rPr>
        <w:softHyphen/>
        <w:t>mečtí studenti v holinkách mají pocit, že stojí na první a zvláště ohrožené kulturní baště a že mají něco velikého vykonat v této zemi. Ale bydlí v německých internátech, stravují se v německých jídelnách, c</w:t>
      </w:r>
      <w:r>
        <w:rPr>
          <w:b/>
          <w:bCs/>
        </w:rPr>
        <w:t>hodí cvičit do němec</w:t>
      </w:r>
      <w:r>
        <w:rPr>
          <w:b/>
          <w:bCs/>
        </w:rPr>
        <w:softHyphen/>
        <w:t>kého Turnvereinu, čtou německé noviny a Čechy znají jen z ulice od vidění. Jakým způsobem nám chtějí sdělit své kulturní poselství? Německé vysoké školy by opravdu mohly mnoho vykonat pro kulturní sblížení obou národů a mohly by mezi n</w:t>
      </w:r>
      <w:r>
        <w:rPr>
          <w:b/>
          <w:bCs/>
        </w:rPr>
        <w:t>imi býti znamenitými prostředníky. Ale obáváme se, že to bude, jako to vždycky bylo. Pro němec</w:t>
      </w:r>
      <w:r>
        <w:rPr>
          <w:b/>
          <w:bCs/>
        </w:rPr>
        <w:softHyphen/>
        <w:t>ké profesory byla Praha jen průchodním domem. Profe</w:t>
      </w:r>
      <w:r>
        <w:rPr>
          <w:b/>
          <w:bCs/>
        </w:rPr>
        <w:softHyphen/>
        <w:t>sor přišel z říše, žil třeba až do smrti v Praze, aniž se na</w:t>
      </w:r>
      <w:r>
        <w:rPr>
          <w:b/>
          <w:bCs/>
        </w:rPr>
        <w:softHyphen/>
        <w:t xml:space="preserve">učil slovo česky a aniž měl sebe menší ponětí o </w:t>
      </w:r>
      <w:r>
        <w:rPr>
          <w:b/>
          <w:bCs/>
        </w:rPr>
        <w:t>české lite</w:t>
      </w:r>
      <w:r>
        <w:rPr>
          <w:b/>
          <w:bCs/>
        </w:rPr>
        <w:softHyphen/>
        <w:t>ratuře a kultuře. Pak umřel a nikdo z Čechů ani netušil, že muž toho jména kdysi byl u nás. Teď budou z říše jezdit nejen profesoři, nýbrž i studenti — jezdit a od</w:t>
      </w:r>
      <w:r>
        <w:rPr>
          <w:b/>
          <w:bCs/>
        </w:rPr>
        <w:softHyphen/>
        <w:t>jíždět</w:t>
      </w:r>
      <w:r>
        <w:rPr>
          <w:b/>
          <w:bCs/>
        </w:rPr>
        <w:tab/>
      </w:r>
      <w:r>
        <w:rPr>
          <w:i/>
          <w:iCs/>
          <w:sz w:val="20"/>
          <w:szCs w:val="20"/>
        </w:rPr>
        <w:t>z. S.</w:t>
      </w:r>
    </w:p>
    <w:p w:rsidR="00500724" w:rsidRDefault="00F30FB8">
      <w:pPr>
        <w:pStyle w:val="Zkladntext1"/>
        <w:shd w:val="clear" w:color="auto" w:fill="auto"/>
        <w:spacing w:after="80" w:line="178" w:lineRule="auto"/>
        <w:ind w:firstLine="0"/>
        <w:jc w:val="center"/>
        <w:rPr>
          <w:sz w:val="20"/>
          <w:szCs w:val="20"/>
        </w:rPr>
      </w:pPr>
      <w:r>
        <w:rPr>
          <w:b/>
          <w:bCs/>
          <w:sz w:val="20"/>
          <w:szCs w:val="20"/>
        </w:rPr>
        <w:t>Koukejte umřít do padesáti let!</w:t>
      </w:r>
    </w:p>
    <w:p w:rsidR="00500724" w:rsidRDefault="00F30FB8">
      <w:pPr>
        <w:pStyle w:val="Zkladntext1"/>
        <w:shd w:val="clear" w:color="auto" w:fill="auto"/>
        <w:spacing w:line="187" w:lineRule="auto"/>
        <w:ind w:firstLine="280"/>
      </w:pPr>
      <w:r>
        <w:rPr>
          <w:b/>
          <w:bCs/>
        </w:rPr>
        <w:t>Ve dnech, kdy se u nás zabírala pásm</w:t>
      </w:r>
      <w:r>
        <w:rPr>
          <w:b/>
          <w:bCs/>
        </w:rPr>
        <w:t>a v pěti pořadích, vysílala vídeňská vysílačka české hlášeni Německá propa</w:t>
      </w:r>
      <w:r>
        <w:rPr>
          <w:b/>
          <w:bCs/>
        </w:rPr>
        <w:softHyphen/>
        <w:t>ganda pracovala i v tomto přesně: dokud nebyla zabrána poslední vesnice, hovořila o nás nevlídně. Jakmile byl zábor proveden, nevlídnost ustoupila jakési vítězné korektnosti Tehdy v</w:t>
      </w:r>
      <w:r>
        <w:rPr>
          <w:b/>
          <w:bCs/>
        </w:rPr>
        <w:t xml:space="preserve">šak se ještě zabíralo a německá vojska postupovala kupředu, my jsme stáli u amplionů a snažili si představit zmrzačenou mapu své země a poslouchali jsme z nějakého zběsilého žalu tu propagandu. Česká vysílačka z Vídně pravila v ten den v mém pokoji, tisíc </w:t>
      </w:r>
      <w:r>
        <w:rPr>
          <w:b/>
          <w:bCs/>
        </w:rPr>
        <w:t>kilometrů vzdáleném: »Když přišli Češi na Kus, říkali: ale my jsme přece bratři Slované. A teď, až přijdou Němci do Čech, budou zase říkat: aber, aber, wir sind doch tájč!«</w:t>
      </w:r>
    </w:p>
    <w:p w:rsidR="00500724" w:rsidRDefault="00F30FB8">
      <w:pPr>
        <w:pStyle w:val="Zkladntext1"/>
        <w:shd w:val="clear" w:color="auto" w:fill="auto"/>
        <w:spacing w:line="187" w:lineRule="auto"/>
        <w:ind w:firstLine="280"/>
      </w:pPr>
      <w:r>
        <w:rPr>
          <w:b/>
          <w:bCs/>
        </w:rPr>
        <w:t xml:space="preserve">Tehdy jsme stáli se zaťatými zuby. V té chvíli, kdy nám vídeňská vysílačka upírala </w:t>
      </w:r>
      <w:r>
        <w:rPr>
          <w:b/>
          <w:bCs/>
        </w:rPr>
        <w:t xml:space="preserve">národní statečnost, kdy nám opovržlivě vyčítala nedostatek toho, co se v Německu dnes nad vše cení — národní nezlomnost a sebevědomí, v té chvíli to působilo, jako šleh po tváři. V té chvíli jsme mysleli na mnoho statečných lidí, které vychovala tato malá </w:t>
      </w:r>
      <w:r>
        <w:rPr>
          <w:b/>
          <w:bCs/>
        </w:rPr>
        <w:t>zemička: na Friče a na Havlíčka, na Boženu Němco</w:t>
      </w:r>
      <w:r>
        <w:rPr>
          <w:b/>
          <w:bCs/>
        </w:rPr>
        <w:softHyphen/>
        <w:t>vou, na Kašina a Masaryka a na zástup bezejmenných, ži</w:t>
      </w:r>
      <w:r>
        <w:rPr>
          <w:b/>
          <w:bCs/>
        </w:rPr>
        <w:softHyphen/>
        <w:t>vých lidí venku i v městech, kteří byli, jsou — a budou vždycky dobrými Čechy. Ale vědomí být Čechem znamenalo pro nás vždycky ještě něco víc, než mluvi</w:t>
      </w:r>
      <w:r>
        <w:rPr>
          <w:b/>
          <w:bCs/>
        </w:rPr>
        <w:t>t českou řečí a milovat českou zem. Znamenalo to representovat i docela soukromě, každý na svém, tu velmi vyspělou a zralou kulturní úroveň, kterou tato zemička v srdci Evropy dosáh</w:t>
      </w:r>
      <w:r>
        <w:rPr>
          <w:b/>
          <w:bCs/>
        </w:rPr>
        <w:softHyphen/>
        <w:t>la za pouhou vteřinu v letu dějin, za nepatrných dvacet let.</w:t>
      </w:r>
    </w:p>
    <w:p w:rsidR="00500724" w:rsidRDefault="00F30FB8">
      <w:pPr>
        <w:pStyle w:val="Zkladntext1"/>
        <w:shd w:val="clear" w:color="auto" w:fill="auto"/>
        <w:spacing w:line="187" w:lineRule="auto"/>
        <w:ind w:firstLine="280"/>
      </w:pPr>
      <w:r>
        <w:rPr>
          <w:b/>
          <w:bCs/>
        </w:rPr>
        <w:t>Pak přišlo ně</w:t>
      </w:r>
      <w:r>
        <w:rPr>
          <w:b/>
          <w:bCs/>
        </w:rPr>
        <w:t>kolik měsíců našeho nového státního, poli</w:t>
      </w:r>
      <w:r>
        <w:rPr>
          <w:b/>
          <w:bCs/>
        </w:rPr>
        <w:softHyphen/>
        <w:t>tického a myšlenkového života: a ejhle! ukázalo se velmi rychle, že někteří lidé nehovoří u nás ani česky, ani ně</w:t>
      </w:r>
      <w:r>
        <w:rPr>
          <w:b/>
          <w:bCs/>
        </w:rPr>
        <w:softHyphen/>
        <w:t>mecky,ale hovoří: — t a j č! Je mnoho trpkých skutečností, kterým se podvolit musíme a je nutné podv</w:t>
      </w:r>
      <w:r>
        <w:rPr>
          <w:b/>
          <w:bCs/>
        </w:rPr>
        <w:t>olit se jim bez chytračení. Nic však není tak nestravitelné, jako devotnost a nad to zbytečná. V jakémsi sebetrýznění přesazujeme z ciziny sazeničky, které u nás mohou jen zakrněle růst, ne</w:t>
      </w:r>
      <w:r>
        <w:rPr>
          <w:b/>
          <w:bCs/>
        </w:rPr>
        <w:softHyphen/>
        <w:t xml:space="preserve">majíce živnou půdu pro vzrůst a vývoj. Přesazujeme je bez vnitřní </w:t>
      </w:r>
      <w:r>
        <w:rPr>
          <w:b/>
          <w:bCs/>
        </w:rPr>
        <w:t>potřeby a v jakési tupohlavé důslednosti, kterou už ani od ciziny kopírovat nelze. Pokud vím, velmi se na příklad v Německu pěstuje a podporuje tvůrčí schopnost ženské umělecké práce, dokonce bez ohledu na to, jsou-li umělkyně vdané. Pokud vím, nikdy Němec</w:t>
      </w:r>
      <w:r>
        <w:rPr>
          <w:b/>
          <w:bCs/>
        </w:rPr>
        <w:t>ko nezastávalo stanovisko, že umělkyně, vydělávajíc si mimo jiné na živo</w:t>
      </w:r>
      <w:r>
        <w:rPr>
          <w:b/>
          <w:bCs/>
        </w:rPr>
        <w:softHyphen/>
        <w:t>bytí, se jaksi zaopatřuje na účet mladých potřebných, ale netalentovaných dívek, nýbrž považovalo tvůrčí umění vždy</w:t>
      </w:r>
      <w:r>
        <w:rPr>
          <w:b/>
          <w:bCs/>
        </w:rPr>
        <w:softHyphen/>
        <w:t>cky zaslužbunárodu. Něco takového stojí ostatně také napsáno potemn</w:t>
      </w:r>
      <w:r>
        <w:rPr>
          <w:b/>
          <w:bCs/>
        </w:rPr>
        <w:t>ělými písmenami nad jevištěm Národního divadla: Národ sobě! Nevím, jaký rozdíl by se byl jevil v tvorbě — třeba Boženy Němcové — kdyby byla bývala starou pannou a nikoli matkou několika děcek. Vím jen, že tato vdaná největší česká umělkyně — si nepřišla na</w:t>
      </w:r>
      <w:r>
        <w:rPr>
          <w:b/>
          <w:bCs/>
        </w:rPr>
        <w:t xml:space="preserve"> své. Žila skoro v bídě. To jsou, víte, trpké věci. Příčí se ja</w:t>
      </w:r>
      <w:r>
        <w:rPr>
          <w:b/>
          <w:bCs/>
        </w:rPr>
        <w:softHyphen/>
        <w:t>kémukoli smyslu, i německému. Jsou — t á j č.</w:t>
      </w:r>
    </w:p>
    <w:p w:rsidR="00500724" w:rsidRDefault="00F30FB8">
      <w:pPr>
        <w:pStyle w:val="Zkladntext1"/>
        <w:shd w:val="clear" w:color="auto" w:fill="auto"/>
        <w:spacing w:line="190" w:lineRule="auto"/>
        <w:ind w:firstLine="320"/>
      </w:pPr>
      <w:r>
        <w:rPr>
          <w:b/>
          <w:bCs/>
        </w:rPr>
        <w:t xml:space="preserve">Jedním z takových hesel, které »razí doba«, je volání: mladí vpřed! Je vůbec zajímavé, že první prvopočátek každé jednotnosti na světě bývá často </w:t>
      </w:r>
      <w:r>
        <w:rPr>
          <w:b/>
          <w:bCs/>
        </w:rPr>
        <w:t>v tom, že se polovička Udí zbaví práva patřit k nové pospolitost'. Snad je tostarý zjev — nové na něm rozhodně je, že klíč, podle kterého se lidé vylučují z jednoty (národa, lidské společnosti), je tak zou</w:t>
      </w:r>
      <w:r>
        <w:rPr>
          <w:b/>
          <w:bCs/>
        </w:rPr>
        <w:softHyphen/>
        <w:t>fale mechanický. Jednou jsou to židé, kteří mají j</w:t>
      </w:r>
      <w:r>
        <w:rPr>
          <w:b/>
          <w:bCs/>
        </w:rPr>
        <w:t>ít ven, po druhé všichni svobodní zednáři, jednou všechny vdané, a teď: staří ven! Ještě nikdy však jsme neslyšeli na počátcích tvořících se jednot: všichni schopní vpřed a všichni ne</w:t>
      </w:r>
      <w:r>
        <w:rPr>
          <w:b/>
          <w:bCs/>
        </w:rPr>
        <w:softHyphen/>
        <w:t>schopní ven!</w:t>
      </w:r>
    </w:p>
    <w:p w:rsidR="00500724" w:rsidRDefault="00F30FB8">
      <w:pPr>
        <w:pStyle w:val="Zkladntext1"/>
        <w:shd w:val="clear" w:color="auto" w:fill="auto"/>
        <w:spacing w:line="187" w:lineRule="auto"/>
        <w:ind w:firstLine="320"/>
      </w:pPr>
      <w:r>
        <w:rPr>
          <w:b/>
          <w:bCs/>
        </w:rPr>
        <w:t>Jak je tomu s mladými lidmi? Přes všechnu — přizná</w:t>
      </w:r>
      <w:r>
        <w:rPr>
          <w:b/>
          <w:bCs/>
        </w:rPr>
        <w:softHyphen/>
        <w:t xml:space="preserve">vám se, </w:t>
      </w:r>
      <w:r>
        <w:rPr>
          <w:b/>
          <w:bCs/>
        </w:rPr>
        <w:t>trochu povinnou — úctu k mládí, nelze popřít, že mládí je věk velkých nadějí a příslibů a žádných zkušeností. Bohužel však není na světě práce, která by mohla být ko</w:t>
      </w:r>
      <w:r>
        <w:rPr>
          <w:b/>
          <w:bCs/>
        </w:rPr>
        <w:softHyphen/>
        <w:t>nána dokonale bez zkušenosti. Mimo básní, které většinou pramení v mladé roztouženosti, ne</w:t>
      </w:r>
      <w:r>
        <w:rPr>
          <w:b/>
          <w:bCs/>
        </w:rPr>
        <w:t>ní ani jedna věc, kterou by mladý člověk mohl dělat výtečně. Ani boty, ani romány, ani žurnalistiku, ani vaření, ani politiku, ani administrativní práci v úřadě. Talent mládí začíná člověka řadit do pracov</w:t>
      </w:r>
      <w:r>
        <w:rPr>
          <w:b/>
          <w:bCs/>
        </w:rPr>
        <w:softHyphen/>
        <w:t>ního oboru, který je mu blízký. Teprve léta ho hně</w:t>
      </w:r>
      <w:r>
        <w:rPr>
          <w:b/>
          <w:bCs/>
        </w:rPr>
        <w:t>tou, pod</w:t>
      </w:r>
      <w:r>
        <w:rPr>
          <w:b/>
          <w:bCs/>
        </w:rPr>
        <w:softHyphen/>
        <w:t>robují zkouškám a tvoří. V celku se dá říci, že nejlepší díla napsali a vůbec vy tvořili lidé ve zralém věku, nikoli v mlá</w:t>
      </w:r>
      <w:r>
        <w:rPr>
          <w:b/>
          <w:bCs/>
        </w:rPr>
        <w:softHyphen/>
        <w:t>dí. Pohleďte na rozdíl ranného Olbrachta a padesátníka Olbrachta! Pohleďte, kdy začínali psát Turgeněv, Dosto- jevskij, Tols</w:t>
      </w:r>
      <w:r>
        <w:rPr>
          <w:b/>
          <w:bCs/>
        </w:rPr>
        <w:t>toj,</w:t>
      </w:r>
      <w:r>
        <w:rPr>
          <w:b/>
          <w:bCs/>
          <w:lang w:val="en-US" w:eastAsia="en-US" w:bidi="en-US"/>
        </w:rPr>
        <w:t xml:space="preserve">Stendhal </w:t>
      </w:r>
      <w:r>
        <w:rPr>
          <w:b/>
          <w:bCs/>
        </w:rPr>
        <w:t>svá velká díla! Pohleďte na věko</w:t>
      </w:r>
      <w:r>
        <w:rPr>
          <w:b/>
          <w:bCs/>
        </w:rPr>
        <w:softHyphen/>
        <w:t>vý přelom skoro každého malíře. Není skoro vůbec člověka, který by až ve čtyřiceti letech nevyzrál k tvůrčí dospělosti a nezačínal teprve tvořit si pevný názor na svět, očištěný od romantismu dospívání. I člově</w:t>
      </w:r>
      <w:r>
        <w:rPr>
          <w:b/>
          <w:bCs/>
        </w:rPr>
        <w:t>k, který pracuje admini</w:t>
      </w:r>
      <w:r>
        <w:rPr>
          <w:b/>
          <w:bCs/>
        </w:rPr>
        <w:softHyphen/>
        <w:t>strativně s lidmi, dostává teprve zralostí zkušenosti a po</w:t>
      </w:r>
      <w:r>
        <w:rPr>
          <w:b/>
          <w:bCs/>
        </w:rPr>
        <w:softHyphen/>
        <w:t>znává lidi, s nimiž se stýká. Zeptejte se lékařů, kolik let po</w:t>
      </w:r>
      <w:r>
        <w:rPr>
          <w:b/>
          <w:bCs/>
        </w:rPr>
        <w:softHyphen/>
        <w:t>třebují k důkladné praksi a k studiu oboru, který si zvo</w:t>
      </w:r>
      <w:r>
        <w:rPr>
          <w:b/>
          <w:bCs/>
        </w:rPr>
        <w:softHyphen/>
        <w:t>lili. Zeptejte se právníků, co prostudovali, než si o</w:t>
      </w:r>
      <w:r>
        <w:rPr>
          <w:b/>
          <w:bCs/>
        </w:rPr>
        <w:t>svojili důkladnou praksi. Zeptejte se herců, mají-li ve dvaceti le</w:t>
      </w:r>
      <w:r>
        <w:rPr>
          <w:b/>
          <w:bCs/>
        </w:rPr>
        <w:softHyphen/>
        <w:t>tech tentýž tvůrčí profil a jak se jim zkušenostmi a prací prohlubuje. A zeptejte se politiků, kolika znalostí, zkušeností a rozhledu je třeba, aby člověk s dobrým svědomím mohl veřejně a o</w:t>
      </w:r>
      <w:r>
        <w:rPr>
          <w:b/>
          <w:bCs/>
        </w:rPr>
        <w:t>tevřeně lidu říci něco odpovědného! A zeptejte se kteréhokoli dělníka nebo rolníka, kolik let potřebuje, než ovládá svou práci čistě, zručně a dovedně.</w:t>
      </w:r>
    </w:p>
    <w:p w:rsidR="00500724" w:rsidRDefault="00F30FB8">
      <w:pPr>
        <w:pStyle w:val="Zkladntext1"/>
        <w:shd w:val="clear" w:color="auto" w:fill="auto"/>
        <w:spacing w:line="187" w:lineRule="auto"/>
        <w:ind w:firstLine="320"/>
      </w:pPr>
      <w:r>
        <w:rPr>
          <w:b/>
          <w:bCs/>
        </w:rPr>
        <w:t>Říkáme-li »mladí vpřed«, můžeme mít jednu věc na mysli: pomáhejme mladým, aby poznávali svoje talenty, a</w:t>
      </w:r>
      <w:r>
        <w:rPr>
          <w:b/>
          <w:bCs/>
        </w:rPr>
        <w:t>by si osvojili zkušenosti, aby se mohli učit, zkoumat a pra</w:t>
      </w:r>
      <w:r>
        <w:rPr>
          <w:b/>
          <w:bCs/>
        </w:rPr>
        <w:softHyphen/>
        <w:t>covat! Nenechávejme je v nezaměstnanosti, poznávejme je</w:t>
      </w:r>
      <w:r>
        <w:rPr>
          <w:b/>
          <w:bCs/>
        </w:rPr>
        <w:softHyphen/>
        <w:t>jich schopnosti, pomáhejme jim. Jediné tento smysl má heslo mladí vpřed, má-Ii to být heslo zdravé a dobré.</w:t>
      </w:r>
    </w:p>
    <w:p w:rsidR="00500724" w:rsidRDefault="00F30FB8">
      <w:pPr>
        <w:pStyle w:val="Zkladntext1"/>
        <w:shd w:val="clear" w:color="auto" w:fill="auto"/>
        <w:spacing w:line="187" w:lineRule="auto"/>
        <w:ind w:firstLine="240"/>
      </w:pPr>
      <w:r>
        <w:rPr>
          <w:b/>
          <w:bCs/>
        </w:rPr>
        <w:t xml:space="preserve">Ve své podivuhodné doslovnosti </w:t>
      </w:r>
      <w:r>
        <w:rPr>
          <w:b/>
          <w:bCs/>
        </w:rPr>
        <w:t xml:space="preserve">začínáme však omezovat lidi zralé v práci, neboť padesátiletý zdravý lékař, právník, básník, učitel, úředník, to jsou přece lidé na vrcholu své zkušené činnosti. Neříkáme: schopní vpřed! Voláme: staří pryč! A chystáme se stanovit hranici stáří tam, kde je </w:t>
      </w:r>
      <w:r>
        <w:rPr>
          <w:b/>
          <w:bCs/>
        </w:rPr>
        <w:t>většina lidí v rozkvětu svého tvoření. Budeme je dávat do pense, aby pleli kapustu na zahrádce a vysedávali na zá</w:t>
      </w:r>
      <w:r>
        <w:rPr>
          <w:b/>
          <w:bCs/>
        </w:rPr>
        <w:softHyphen/>
        <w:t>praží, ačkoli stojí třeba v plné síle a rozkvětu ve služ</w:t>
      </w:r>
      <w:r>
        <w:rPr>
          <w:b/>
          <w:bCs/>
        </w:rPr>
        <w:softHyphen/>
        <w:t>bách národa. Právě v hodině vážné a moudré práce bu</w:t>
      </w:r>
      <w:r>
        <w:rPr>
          <w:b/>
          <w:bCs/>
        </w:rPr>
        <w:softHyphen/>
        <w:t>deme se zbavovat takových pracovn</w:t>
      </w:r>
      <w:r>
        <w:rPr>
          <w:b/>
          <w:bCs/>
        </w:rPr>
        <w:t>íků — bez individuál</w:t>
      </w:r>
      <w:r>
        <w:rPr>
          <w:b/>
          <w:bCs/>
        </w:rPr>
        <w:softHyphen/>
        <w:t>ního uvážení, jakou cenu ten který má pro úsek práce, kte</w:t>
      </w:r>
      <w:r>
        <w:rPr>
          <w:b/>
          <w:bCs/>
        </w:rPr>
        <w:softHyphen/>
        <w:t>rou vykonává.</w:t>
      </w:r>
    </w:p>
    <w:p w:rsidR="00500724" w:rsidRDefault="00F30FB8">
      <w:pPr>
        <w:pStyle w:val="Zkladntext1"/>
        <w:shd w:val="clear" w:color="auto" w:fill="auto"/>
        <w:spacing w:after="120" w:line="187" w:lineRule="auto"/>
        <w:ind w:firstLine="320"/>
        <w:rPr>
          <w:sz w:val="20"/>
          <w:szCs w:val="20"/>
        </w:rPr>
      </w:pPr>
      <w:r>
        <w:rPr>
          <w:b/>
          <w:bCs/>
        </w:rPr>
        <w:t xml:space="preserve">Trpký úděl pracovat pro národ, budeme-Ii pracovníky třídit podle toho, zda oni práci potřebují, a nikoli podle toho, zda národ jejich práce potřebuje! </w:t>
      </w:r>
      <w:r>
        <w:rPr>
          <w:i/>
          <w:iCs/>
          <w:sz w:val="20"/>
          <w:szCs w:val="20"/>
        </w:rPr>
        <w:t>Milena Jesen</w:t>
      </w:r>
      <w:r>
        <w:rPr>
          <w:i/>
          <w:iCs/>
          <w:sz w:val="20"/>
          <w:szCs w:val="20"/>
        </w:rPr>
        <w:t>ská</w:t>
      </w:r>
    </w:p>
    <w:p w:rsidR="00500724" w:rsidRDefault="00F30FB8">
      <w:pPr>
        <w:pStyle w:val="Zkladntext1"/>
        <w:shd w:val="clear" w:color="auto" w:fill="auto"/>
        <w:spacing w:after="100" w:line="178" w:lineRule="auto"/>
        <w:ind w:firstLine="0"/>
        <w:jc w:val="center"/>
        <w:rPr>
          <w:sz w:val="20"/>
          <w:szCs w:val="20"/>
        </w:rPr>
      </w:pPr>
      <w:r>
        <w:rPr>
          <w:b/>
          <w:bCs/>
          <w:sz w:val="20"/>
          <w:szCs w:val="20"/>
        </w:rPr>
        <w:t>Židé v českém tisku</w:t>
      </w:r>
    </w:p>
    <w:p w:rsidR="00500724" w:rsidRDefault="00F30FB8">
      <w:pPr>
        <w:pStyle w:val="Zkladntext1"/>
        <w:shd w:val="clear" w:color="auto" w:fill="auto"/>
        <w:spacing w:after="60" w:line="185" w:lineRule="auto"/>
        <w:ind w:firstLine="320"/>
      </w:pPr>
      <w:r>
        <w:rPr>
          <w:b/>
          <w:bCs/>
        </w:rPr>
        <w:t>Po říšskoněmeckých novinách koluje, nevíme, z jakého pramene, soupis židů v redakcích českých listů. Pod ná</w:t>
      </w:r>
      <w:r>
        <w:rPr>
          <w:b/>
          <w:bCs/>
        </w:rPr>
        <w:softHyphen/>
        <w:t>zvem každého českého deníku následuje řádka 8—10 jmen, která má říškoněmecké žurnalisty přesvědčit, že je celý český tisk ov</w:t>
      </w:r>
      <w:r>
        <w:rPr>
          <w:b/>
          <w:bCs/>
        </w:rPr>
        <w:t>ládán židy, jako tomu bývalo dřív v tisku vídeňském a berlínském. Prohlíží-li ovšem zdejší znalec poměrů onen soupis, shiedá v něm několikero omylů. Pře</w:t>
      </w:r>
      <w:r>
        <w:rPr>
          <w:b/>
          <w:bCs/>
        </w:rPr>
        <w:softHyphen/>
        <w:t>devším uvidí jména osob naprosto neznámých a patrně vůbec neexistujících, pak jména, která se opakují v</w:t>
      </w:r>
      <w:r>
        <w:rPr>
          <w:b/>
          <w:bCs/>
        </w:rPr>
        <w:t xml:space="preserve"> něko</w:t>
      </w:r>
      <w:r>
        <w:rPr>
          <w:b/>
          <w:bCs/>
        </w:rPr>
        <w:softHyphen/>
        <w:t xml:space="preserve">lika redakcích, takže jeden člověk figuruje na několika místech; pak jména židů, kteří kdysi byli v redakci, ale po krátké, přechodné době zase odešli; a konečně největší počet skutečných redaktorů, kteří jsou označeni za židy, ačkoliv jsou naprostí </w:t>
      </w:r>
      <w:r>
        <w:rPr>
          <w:b/>
          <w:bCs/>
        </w:rPr>
        <w:t>arijei. Když tyto všecky omyly z listi</w:t>
      </w:r>
      <w:r>
        <w:rPr>
          <w:b/>
          <w:bCs/>
        </w:rPr>
        <w:softHyphen/>
        <w:t>ny vyškrtáme, ukáže se, že jsou u nás denní listy, kde vů</w:t>
      </w:r>
      <w:r>
        <w:rPr>
          <w:b/>
          <w:bCs/>
        </w:rPr>
        <w:softHyphen/>
        <w:t>bec není židovský element zastoupen, a listy, kde mezi 15 až 80 i víee členy jedné redakce jsou 1 až 2 lidé s čistou nebo pomíšenou židovskou krví. Tak se obje</w:t>
      </w:r>
      <w:r>
        <w:rPr>
          <w:b/>
          <w:bCs/>
        </w:rPr>
        <w:t>vuje stará, ale málo známá pravda, že český denní tisk byl odjakživa a je podnes ve svém celku nejarijštější ze vší publicistiky evropské. Je tak v rukou arijských, že když naši židé sami vydávwB avůj deník, byla značná část redakce a nikoli na místech pod</w:t>
      </w:r>
      <w:r>
        <w:rPr>
          <w:b/>
          <w:bCs/>
        </w:rPr>
        <w:t>řízených obsazena arijei.</w:t>
      </w:r>
    </w:p>
    <w:p w:rsidR="00500724" w:rsidRDefault="00F30FB8">
      <w:pPr>
        <w:pStyle w:val="Zkladntext1"/>
        <w:shd w:val="clear" w:color="auto" w:fill="auto"/>
        <w:spacing w:after="60" w:line="187" w:lineRule="auto"/>
        <w:ind w:firstLine="0"/>
        <w:jc w:val="center"/>
      </w:pPr>
      <w:r>
        <w:rPr>
          <w:b/>
          <w:bCs/>
        </w:rPr>
        <w:t>•</w:t>
      </w:r>
    </w:p>
    <w:p w:rsidR="00500724" w:rsidRDefault="00F30FB8">
      <w:pPr>
        <w:pStyle w:val="Zkladntext1"/>
        <w:shd w:val="clear" w:color="auto" w:fill="auto"/>
        <w:spacing w:line="187" w:lineRule="auto"/>
      </w:pPr>
      <w:r>
        <w:rPr>
          <w:b/>
          <w:bCs/>
        </w:rPr>
        <w:t xml:space="preserve">Je to zvláštní a pozoruhodný zjev, uvážíme-ii, jakým smyslem pro noviny jsou židé nadáni a jak v celém světě po plných sto let pronikali v žurnalistice na čelná místa a jak houfně obsazovali v redakcích i podřízené posice. V </w:t>
      </w:r>
      <w:r>
        <w:rPr>
          <w:b/>
          <w:bCs/>
        </w:rPr>
        <w:t>židov</w:t>
      </w:r>
      <w:r>
        <w:rPr>
          <w:b/>
          <w:bCs/>
        </w:rPr>
        <w:softHyphen/>
        <w:t>ské povaze je mnoho prvků, které vedou k úspěchům v novinách. Jejich životní ctižádost je vede nejdříve k to</w:t>
      </w:r>
      <w:r>
        <w:rPr>
          <w:b/>
          <w:bCs/>
        </w:rPr>
        <w:softHyphen/>
        <w:t>mu, aby své úkoly provedli co možná dokonale, a pak, aby se dostali co nejvýš a hráli významnou roli. Pokud nejsou ®e zvláštního typu nalomen</w:t>
      </w:r>
      <w:r>
        <w:rPr>
          <w:b/>
          <w:bCs/>
        </w:rPr>
        <w:t>ých a rozlomených duší, vynikají pohotovostí, rychlým startem, přizpůsobivostí, konkrétním smyslem pro životní reality a zvláště pro onu věčně věkův trvající, ale speciálně novinám vládnoucí rea</w:t>
      </w:r>
      <w:r>
        <w:rPr>
          <w:b/>
          <w:bCs/>
        </w:rPr>
        <w:softHyphen/>
        <w:t>litu, kteráž sluje čas. Mají fantasii a vtip a nemalé ta</w:t>
      </w:r>
      <w:r>
        <w:rPr>
          <w:b/>
          <w:bCs/>
        </w:rPr>
        <w:softHyphen/>
        <w:t>lent</w:t>
      </w:r>
      <w:r>
        <w:rPr>
          <w:b/>
          <w:bCs/>
        </w:rPr>
        <w:t>y literární a filosofické, ale při tom všem je zřídka opouští smysl pro hospodářské skutečnosti. S pevným charakterem mohou to být věru ideální novináři, s měkkou páteří Ideální šmoci; obojí typ vládl suverénně německým redakdm ▼ Rakousku i v říši a bohatě</w:t>
      </w:r>
      <w:r>
        <w:rPr>
          <w:b/>
          <w:bCs/>
        </w:rPr>
        <w:t xml:space="preserve"> je zastoupen v žur</w:t>
      </w:r>
      <w:r>
        <w:rPr>
          <w:b/>
          <w:bCs/>
        </w:rPr>
        <w:softHyphen/>
        <w:t>nalistice francouzské a britské, ačkoli tam jednak vzneše</w:t>
      </w:r>
      <w:r>
        <w:rPr>
          <w:b/>
          <w:bCs/>
        </w:rPr>
        <w:softHyphen/>
        <w:t>nost různých pseudonymů, jednak fysiognomické podob</w:t>
      </w:r>
      <w:r>
        <w:rPr>
          <w:b/>
          <w:bCs/>
        </w:rPr>
        <w:softHyphen/>
        <w:t>nosti ranové značně židovský podíl zakrývají.</w:t>
      </w:r>
    </w:p>
    <w:p w:rsidR="00500724" w:rsidRDefault="00F30FB8">
      <w:pPr>
        <w:pStyle w:val="Zkladntext1"/>
        <w:shd w:val="clear" w:color="auto" w:fill="auto"/>
        <w:spacing w:after="60" w:line="187" w:lineRule="auto"/>
        <w:ind w:firstLine="300"/>
      </w:pPr>
      <w:r>
        <w:rPr>
          <w:b/>
          <w:bCs/>
        </w:rPr>
        <w:t>Čemu tedy přičíst, že právě v českých zemích projevily české noviny pro židy tak</w:t>
      </w:r>
      <w:r>
        <w:rPr>
          <w:b/>
          <w:bCs/>
        </w:rPr>
        <w:t xml:space="preserve"> malou přitažlivost? Jistě to bylo dáno politickou posicí tisku i národa. S hlediska ra- kousko-uherské monarchie byl český tisk provinční a čes</w:t>
      </w:r>
      <w:r>
        <w:rPr>
          <w:b/>
          <w:bCs/>
        </w:rPr>
        <w:softHyphen/>
        <w:t xml:space="preserve">ký národ nevládnoucí. Kdo ehtěl stůj co stůj dospět vysoko, domoci se největšího možného vlivu a nebyl při tom </w:t>
      </w:r>
      <w:r>
        <w:rPr>
          <w:b/>
          <w:bCs/>
        </w:rPr>
        <w:t>hluboce ve svém srdci spiat s národem, tíhl do ně</w:t>
      </w:r>
      <w:r>
        <w:rPr>
          <w:b/>
          <w:bCs/>
        </w:rPr>
        <w:softHyphen/>
        <w:t xml:space="preserve">meckých služeb do Vídně. I ti židovští novináři, kteří setrvávali * německých listů v Praze, v Brně, v Liberci, měli na ečšch aspoň možnost další kariéry ve Vídni, po převratu i v Lipsku a v Berlině, takže </w:t>
      </w:r>
      <w:r>
        <w:rPr>
          <w:b/>
          <w:bCs/>
        </w:rPr>
        <w:t>jejich zdejší půso</w:t>
      </w:r>
      <w:r>
        <w:rPr>
          <w:b/>
          <w:bCs/>
        </w:rPr>
        <w:softHyphen/>
        <w:t>bení nevyvrací přitažlivost oněch státních metropolí. Val</w:t>
      </w:r>
      <w:r>
        <w:rPr>
          <w:b/>
          <w:bCs/>
        </w:rPr>
        <w:softHyphen/>
        <w:t>ná část, ne-H většina židovských novinářů vídeňských při</w:t>
      </w:r>
      <w:r>
        <w:rPr>
          <w:b/>
          <w:bCs/>
        </w:rPr>
        <w:softHyphen/>
        <w:t>šla z jižních Čech a z Moravy — ostatně i chlouba britské</w:t>
      </w:r>
      <w:r>
        <w:rPr>
          <w:b/>
          <w:bCs/>
        </w:rPr>
        <w:softHyphen/>
        <w:t>ho žurnalismu Sir Henry G. Opper, na něhož Němci po jeho edíiaíe</w:t>
      </w:r>
      <w:r>
        <w:rPr>
          <w:b/>
          <w:bCs/>
        </w:rPr>
        <w:t>ních z r. 1875 neradi vzpomínají, nesl svůj pří</w:t>
      </w:r>
      <w:r>
        <w:rPr>
          <w:b/>
          <w:bCs/>
        </w:rPr>
        <w:softHyphen/>
        <w:t>domek de Bíowitz po svém jihočeském rodišti. Kdyby vši</w:t>
      </w:r>
      <w:r>
        <w:rPr>
          <w:b/>
          <w:bCs/>
        </w:rPr>
        <w:softHyphen/>
        <w:t>chni tí vídeaňští mistři i přisluhovači novinářského cechu měli zůstat ve svých rodných zemích a kdyby české listy od let Šedesátých měly zde vládnoucí p</w:t>
      </w:r>
      <w:r>
        <w:rPr>
          <w:b/>
          <w:bCs/>
        </w:rPr>
        <w:t>ostavení, jistě by se jejich redakce nebyly ubránily židovskému přílivu. Takto však sama vrozená ctižádostivost židů způsobila, že míjeli české redakce a hledali svůj úspěch ve vyšší tehdy mocenské sféře. U českých novin a v českém politickém hnutí zůstali</w:t>
      </w:r>
      <w:r>
        <w:rPr>
          <w:b/>
          <w:bCs/>
        </w:rPr>
        <w:t xml:space="preserve"> jen jednotlivci, kteří se naplno, v dobrém i ve zlém, eítili Čechy tak silně, že je nezvábily bohatší vyhlídky vídeňské. Ačkoli to byli jednotlivci, nelze na ně při řešeni íidovské otázky u nás zapomenout. »Národní Listy* nemohou z dějin svého rozvoje vyš</w:t>
      </w:r>
      <w:r>
        <w:rPr>
          <w:b/>
          <w:bCs/>
        </w:rPr>
        <w:t>krtnout službu takového MBnzra-Penížka, náš agrární Venkov nemůže přejít ndčením, že mu byl politickým buditelem židovský publicisto Alfons Šťastný z Padařova, česká Morava vždy bude vzpomínat, že ji v nejfěžších národně-politických zá</w:t>
      </w:r>
      <w:r>
        <w:rPr>
          <w:b/>
          <w:bCs/>
        </w:rPr>
        <w:softHyphen/>
        <w:t xml:space="preserve">pasech úspěšně vedl </w:t>
      </w:r>
      <w:r>
        <w:rPr>
          <w:b/>
          <w:bCs/>
        </w:rPr>
        <w:t>a rozněcoval dr. Adolf Stránský. Ve všech těchto a podobných případech znamená židovská účast v české publicistice vášnivě horoucí češství a ani stín té nějaké duchovní cizoty nebo mternacionality, která se snad vytvářela v zahraniční žurnalistice, dospěvš</w:t>
      </w:r>
      <w:r>
        <w:rPr>
          <w:b/>
          <w:bCs/>
        </w:rPr>
        <w:t>í k bra</w:t>
      </w:r>
      <w:r>
        <w:rPr>
          <w:b/>
          <w:bCs/>
        </w:rPr>
        <w:softHyphen/>
        <w:t>vurnímu sice, ale přece jen řemeslnému profesšonalismu. Nehod to také třeba vžiti v úvahu, srovnávají-ii se české noviny a ehi: naše deníky si při všech svých chybách a nedostatcích uchovaly ideový ráz a zůstaly nejméně naru</w:t>
      </w:r>
      <w:r>
        <w:rPr>
          <w:b/>
          <w:bCs/>
        </w:rPr>
        <w:softHyphen/>
        <w:t xml:space="preserve">šeny korupci. V jejich </w:t>
      </w:r>
      <w:r>
        <w:rPr>
          <w:b/>
          <w:bCs/>
        </w:rPr>
        <w:t>redakcích má stále ještě víc místa třebas neteksitovaná věrnost k praporu než odborná novi</w:t>
      </w:r>
      <w:r>
        <w:rPr>
          <w:b/>
          <w:bCs/>
        </w:rPr>
        <w:softHyphen/>
        <w:t xml:space="preserve">nářská virtuosita bez ideového vztahu. Náš tisk je vůbec všemi svými vztahy </w:t>
      </w:r>
      <w:r>
        <w:rPr>
          <w:b/>
          <w:bCs/>
          <w:lang w:val="en-US" w:eastAsia="en-US" w:bidi="en-US"/>
        </w:rPr>
        <w:t xml:space="preserve">a </w:t>
      </w:r>
      <w:r>
        <w:rPr>
          <w:b/>
          <w:bCs/>
        </w:rPr>
        <w:t>podmínkami, ideově, funkčně, hos</w:t>
      </w:r>
      <w:r>
        <w:rPr>
          <w:b/>
          <w:bCs/>
        </w:rPr>
        <w:softHyphen/>
        <w:t>podářsky, tok odlišný od veškeré žurnalistiky ostatní,</w:t>
      </w:r>
      <w:r>
        <w:rPr>
          <w:b/>
          <w:bCs/>
        </w:rPr>
        <w:t xml:space="preserve"> že jakékoli etzi zkušenosti lze v něm uplatňovali jen velmi opatrně, Bensárli se způsobit národu víc škod než užitku.</w:t>
      </w:r>
    </w:p>
    <w:p w:rsidR="00500724" w:rsidRDefault="00F30FB8">
      <w:pPr>
        <w:pStyle w:val="Zkladntext1"/>
        <w:shd w:val="clear" w:color="auto" w:fill="auto"/>
        <w:spacing w:after="60" w:line="187" w:lineRule="auto"/>
        <w:ind w:firstLine="0"/>
        <w:jc w:val="center"/>
      </w:pPr>
      <w:r>
        <w:rPr>
          <w:b/>
          <w:bCs/>
        </w:rPr>
        <w:t>®</w:t>
      </w:r>
    </w:p>
    <w:p w:rsidR="00500724" w:rsidRDefault="00F30FB8">
      <w:pPr>
        <w:pStyle w:val="Zkladntext1"/>
        <w:shd w:val="clear" w:color="auto" w:fill="auto"/>
        <w:spacing w:line="185" w:lineRule="auto"/>
        <w:ind w:firstLine="300"/>
      </w:pPr>
      <w:r>
        <w:rPr>
          <w:b/>
          <w:bCs/>
        </w:rPr>
        <w:t>Probiráme-U nynější redakční stavy od listu k listu, od osoby k osobě, jeví se v nich židovská účast ještě mi</w:t>
      </w:r>
      <w:r>
        <w:rPr>
          <w:b/>
          <w:bCs/>
        </w:rPr>
        <w:softHyphen/>
        <w:t xml:space="preserve">zivější, než by se mohlo </w:t>
      </w:r>
      <w:r>
        <w:rPr>
          <w:b/>
          <w:bCs/>
        </w:rPr>
        <w:t>zdát i podle nepatrných čísel. V žádné české redakci nejsou židé na vedoucích a rozho</w:t>
      </w:r>
      <w:r>
        <w:rPr>
          <w:b/>
          <w:bCs/>
        </w:rPr>
        <w:softHyphen/>
        <w:t xml:space="preserve">dujících místeeh. Tu a tam je v redakci nearijský reportér nebo lokálků* nebo soudniěkář; ve vnitřní politice působí, pokud </w:t>
      </w:r>
      <w:r>
        <w:rPr>
          <w:b/>
          <w:bCs/>
          <w:lang w:val="en-US" w:eastAsia="en-US" w:bidi="en-US"/>
        </w:rPr>
        <w:t xml:space="preserve">vim, </w:t>
      </w:r>
      <w:r>
        <w:rPr>
          <w:b/>
          <w:bCs/>
        </w:rPr>
        <w:t xml:space="preserve">dva nearijci; na dvou místech píše ttd o </w:t>
      </w:r>
      <w:r>
        <w:rPr>
          <w:b/>
          <w:bCs/>
        </w:rPr>
        <w:t>za</w:t>
      </w:r>
      <w:r>
        <w:rPr>
          <w:b/>
          <w:bCs/>
        </w:rPr>
        <w:softHyphen/>
        <w:t>hraniční politice, při čemž jeden z nich jo (vlastníš byl, protože odešel do pense) starý zarytý Racionalista, vášni</w:t>
      </w:r>
      <w:r>
        <w:rPr>
          <w:b/>
          <w:bCs/>
        </w:rPr>
        <w:softHyphen/>
        <w:t xml:space="preserve">vý účastník zaliraničního odboje, a druhý až do seníhnen- tality oddaný Čecháček. Bilance v celku dává tento obraz: šéfredaktoři vesměs </w:t>
      </w:r>
      <w:r>
        <w:rPr>
          <w:b/>
          <w:bCs/>
        </w:rPr>
        <w:t>arijci; vnitřní politika šmahem arij- ská; zahraniční politika téměř výlučně řízena arijci; denní kroniky velkou většinou dělány arijci; kulturní rubriky, kritiky literární, umělecké, divadelní — žádný iid; a vrchol všeho: národohospodářské rubriky českých</w:t>
      </w:r>
      <w:r>
        <w:rPr>
          <w:b/>
          <w:bCs/>
        </w:rPr>
        <w:t xml:space="preserve"> Uštů redigují a píší arijci.</w:t>
      </w:r>
    </w:p>
    <w:p w:rsidR="00500724" w:rsidRDefault="00F30FB8">
      <w:pPr>
        <w:pStyle w:val="Zkladntext1"/>
        <w:shd w:val="clear" w:color="auto" w:fill="auto"/>
        <w:spacing w:line="199" w:lineRule="auto"/>
        <w:ind w:firstLine="320"/>
      </w:pPr>
      <w:r>
        <w:rPr>
          <w:b/>
          <w:bCs/>
        </w:rPr>
        <w:t xml:space="preserve">České noviny mají tak nepatrnou účast židů jako české divadlo. Kdo česky vidí a česky mluvi, nebude klamat sama sebe voláním po poarijštění. Těch několik nearijců, kteří v denním tisku našem slouží, nerozhoduje • jeho povaze. </w:t>
      </w:r>
      <w:r>
        <w:rPr>
          <w:b/>
          <w:bCs/>
        </w:rPr>
        <w:t>V několika případech by byl jejich odchod dokonce oslabením nejen novin, ale i jejich českosď.</w:t>
      </w:r>
    </w:p>
    <w:p w:rsidR="00500724" w:rsidRDefault="00F30FB8">
      <w:pPr>
        <w:pStyle w:val="Zkladntext1"/>
        <w:shd w:val="clear" w:color="auto" w:fill="auto"/>
        <w:spacing w:after="120" w:line="190" w:lineRule="auto"/>
        <w:ind w:firstLine="0"/>
        <w:jc w:val="right"/>
        <w:rPr>
          <w:sz w:val="20"/>
          <w:szCs w:val="20"/>
        </w:rPr>
      </w:pPr>
      <w:r>
        <w:rPr>
          <w:b/>
          <w:bCs/>
          <w:i/>
          <w:iCs/>
          <w:sz w:val="20"/>
          <w:szCs w:val="20"/>
        </w:rPr>
        <w:t>Eduard Bass</w:t>
      </w:r>
    </w:p>
    <w:p w:rsidR="00500724" w:rsidRDefault="00F30FB8">
      <w:pPr>
        <w:pStyle w:val="Zkladntext1"/>
        <w:shd w:val="clear" w:color="auto" w:fill="auto"/>
        <w:spacing w:after="60" w:line="197" w:lineRule="auto"/>
        <w:ind w:firstLine="0"/>
        <w:jc w:val="center"/>
        <w:rPr>
          <w:sz w:val="20"/>
          <w:szCs w:val="20"/>
        </w:rPr>
      </w:pPr>
      <w:r>
        <w:rPr>
          <w:b/>
          <w:bCs/>
          <w:sz w:val="20"/>
          <w:szCs w:val="20"/>
        </w:rPr>
        <w:t>Proč nemáte telefon?</w:t>
      </w:r>
    </w:p>
    <w:p w:rsidR="00500724" w:rsidRDefault="00F30FB8">
      <w:pPr>
        <w:pStyle w:val="Zkladntext1"/>
        <w:shd w:val="clear" w:color="auto" w:fill="auto"/>
        <w:spacing w:line="209" w:lineRule="auto"/>
        <w:ind w:firstLine="320"/>
      </w:pPr>
      <w:r>
        <w:rPr>
          <w:b/>
          <w:bCs/>
        </w:rPr>
        <w:t xml:space="preserve">Telefonní správa se chystá k nové propagační akci. Tentokráte chce zhurta udeřit na lidi, jimž by telefon slušel: Stůjte a </w:t>
      </w:r>
      <w:r>
        <w:rPr>
          <w:b/>
          <w:bCs/>
        </w:rPr>
        <w:t>povězte, proč nemáte telefon? — My, kteří jsme svodům telefonní sirény podlehli již před lety a nelitujeme, nýbrž pochvalujeme si, jak dobře ta věc hraje, my tedy, věrní a vděční účastníci, povíme telefonní správě 1 bas ptaní, proč tolik lidí, jimž by tele</w:t>
      </w:r>
      <w:r>
        <w:rPr>
          <w:b/>
          <w:bCs/>
        </w:rPr>
        <w:t>fon slušel a padl, ho dosud nemá.</w:t>
      </w:r>
    </w:p>
    <w:p w:rsidR="00500724" w:rsidRDefault="00F30FB8">
      <w:pPr>
        <w:pStyle w:val="Zkladntext1"/>
        <w:shd w:val="clear" w:color="auto" w:fill="auto"/>
        <w:spacing w:line="209" w:lineRule="auto"/>
        <w:ind w:firstLine="320"/>
      </w:pPr>
      <w:r>
        <w:rPr>
          <w:b/>
          <w:bCs/>
        </w:rPr>
        <w:t>Hledáme vinu v tom zatrápeném měsíčním poplatku 45 Kč, který, milý účastníce, platíš i tehdy, když jsi aa celý měsíc nezavolal ani jednou. Odjeď si na šestinedělní dovole</w:t>
      </w:r>
      <w:r>
        <w:rPr>
          <w:b/>
          <w:bCs/>
        </w:rPr>
        <w:softHyphen/>
        <w:t>nou, prokaž cestovním pasem, že jsi byl bůhvíkdo: p</w:t>
      </w:r>
      <w:r>
        <w:rPr>
          <w:b/>
          <w:bCs/>
        </w:rPr>
        <w:t>oplatek 45 Kč za měsíc tě nemine. Vydej se na výzkumnou cestu do Tibetu, vrať se po třeeh letech, neodhlásiv telefon — za- pravíš hned po návratu 35x45 Kě. Neboť není to poplatek za to, žes telefonu používal, nýbrž za to, žes hs mohl používat.</w:t>
      </w:r>
    </w:p>
    <w:p w:rsidR="00500724" w:rsidRDefault="00F30FB8">
      <w:pPr>
        <w:pStyle w:val="Zkladntext1"/>
        <w:shd w:val="clear" w:color="auto" w:fill="auto"/>
        <w:spacing w:line="209" w:lineRule="auto"/>
        <w:ind w:firstLine="320"/>
      </w:pPr>
      <w:r>
        <w:rPr>
          <w:b/>
          <w:bCs/>
        </w:rPr>
        <w:t>Pomyslime-li</w:t>
      </w:r>
      <w:r>
        <w:rPr>
          <w:b/>
          <w:bCs/>
        </w:rPr>
        <w:t xml:space="preserve"> na tento prazvláštní poplatek, nčoo se v nás bouří. Nezbytná amortisace drahého přístroje? Ale vždyť se to platí i po padesáti letech účastnictví. Poplatek nikoli za použití, nýbrž za možnost použití? Pak tedy je blá- hovcem kavárník že nevybírá od chodců</w:t>
      </w:r>
      <w:r>
        <w:rPr>
          <w:b/>
          <w:bCs/>
        </w:rPr>
        <w:t xml:space="preserve"> poplatek za to, že lze kdykoli k němu vejít a napít se horké kávy, Neboť i ten kavárník je trvale pohotov k našim službám.</w:t>
      </w:r>
    </w:p>
    <w:p w:rsidR="00500724" w:rsidRDefault="00F30FB8">
      <w:pPr>
        <w:pStyle w:val="Zkladntext1"/>
        <w:shd w:val="clear" w:color="auto" w:fill="auto"/>
        <w:spacing w:line="209" w:lineRule="auto"/>
        <w:ind w:firstLine="320"/>
      </w:pPr>
      <w:r>
        <w:rPr>
          <w:b/>
          <w:bCs/>
        </w:rPr>
        <w:t xml:space="preserve">Ale již slyšíme ducha telefonního regálu, </w:t>
      </w:r>
      <w:r>
        <w:rPr>
          <w:b/>
          <w:bCs/>
          <w:lang w:val="en-US" w:eastAsia="en-US" w:bidi="en-US"/>
        </w:rPr>
        <w:t xml:space="preserve">an </w:t>
      </w:r>
      <w:r>
        <w:rPr>
          <w:b/>
          <w:bCs/>
        </w:rPr>
        <w:t>káravě praví: To by se mu tak hodilo! Dát si namontovat telefon, zá</w:t>
      </w:r>
      <w:r>
        <w:rPr>
          <w:b/>
          <w:bCs/>
        </w:rPr>
        <w:softHyphen/>
        <w:t>sadně nikdy nevolat</w:t>
      </w:r>
      <w:r>
        <w:rPr>
          <w:b/>
          <w:bCs/>
        </w:rPr>
        <w:t>, ale požádat celou přízeň a všechny známé, aby volali oni. A takto mít telefon úplni zdarma, o, té zkaženosti!</w:t>
      </w:r>
    </w:p>
    <w:p w:rsidR="00500724" w:rsidRDefault="00F30FB8">
      <w:pPr>
        <w:pStyle w:val="Zkladntext1"/>
        <w:shd w:val="clear" w:color="auto" w:fill="auto"/>
        <w:spacing w:line="209" w:lineRule="auto"/>
        <w:ind w:firstLine="360"/>
        <w:jc w:val="left"/>
      </w:pPr>
      <w:r>
        <w:rPr>
          <w:b/>
          <w:bCs/>
        </w:rPr>
        <w:t xml:space="preserve">Jen co je pravda, jsou takoví lidé. Ale uvaž přec, duchu telefonního regálu, že se takto mohou šidit jen naeri sebou. Nebof konec konců někdo z </w:t>
      </w:r>
      <w:r>
        <w:rPr>
          <w:b/>
          <w:bCs/>
        </w:rPr>
        <w:t>nich volat musí. A tedy též platit. To je platební přesun mezi »účastníky«, žádná újma pro tebe, telefonní regále.</w:t>
      </w:r>
    </w:p>
    <w:p w:rsidR="00500724" w:rsidRDefault="00F30FB8">
      <w:pPr>
        <w:pStyle w:val="Zkladntext1"/>
        <w:shd w:val="clear" w:color="auto" w:fill="auto"/>
        <w:spacing w:line="209" w:lineRule="auto"/>
        <w:ind w:firstLine="360"/>
      </w:pPr>
      <w:r>
        <w:rPr>
          <w:b/>
          <w:bCs/>
        </w:rPr>
        <w:t>Cizina takového základního poplatku nezná. A zde tedy je asi jedna z hlavních závad, jež bráni bujařenl růstu našeho telefonu domácího, ěesko</w:t>
      </w:r>
      <w:r>
        <w:rPr>
          <w:b/>
          <w:bCs/>
        </w:rPr>
        <w:t>-slovenského. Bráni snad i věci jiné. To se může stát i člověku dosud netrestanému, že založí telefonní účet, zapomene, nedostane se k přepážce anebo prostě t. ě. nemá drobných. I vypnou mu proud. To je v pořádku. Zapomnětlivý účastník se pak rozpomene a z</w:t>
      </w:r>
      <w:r>
        <w:rPr>
          <w:b/>
          <w:bCs/>
        </w:rPr>
        <w:t>a</w:t>
      </w:r>
      <w:r>
        <w:rPr>
          <w:b/>
          <w:bCs/>
        </w:rPr>
        <w:softHyphen/>
        <w:t>platí. Páni nahoře jej pak zase zápoji. Za zvláštní poplatek. I to je v nořádku. Ale ten poplatek činí 20 Kč. A to je snad trochu mnoho. Naše chatrné vědomosti o tajích mluvícího drátu nás mají v domněnce, že takové vypojení * zapojení je dvojí pohyb něj</w:t>
      </w:r>
      <w:r>
        <w:rPr>
          <w:b/>
          <w:bCs/>
        </w:rPr>
        <w:t>akou tou páčkou. Domníváme se, že tou páčkou neposunuje sám pan generální ředitel všech telefonů. Neposunuje-Ii on sám, je ten poplatek přílišný. Zdá se nám, že by to, dvojí trhnutí, točení, ducnutí páčky, tlačítka, bůhví čeho nemusilo mezi bratry stát víc</w:t>
      </w:r>
      <w:r>
        <w:rPr>
          <w:b/>
          <w:bCs/>
        </w:rPr>
        <w:t xml:space="preserve"> než pět Kč.</w:t>
      </w:r>
    </w:p>
    <w:p w:rsidR="00500724" w:rsidRDefault="00F30FB8">
      <w:pPr>
        <w:pStyle w:val="Zkladntext1"/>
        <w:shd w:val="clear" w:color="auto" w:fill="auto"/>
        <w:tabs>
          <w:tab w:val="left" w:pos="4685"/>
        </w:tabs>
        <w:spacing w:line="209" w:lineRule="auto"/>
        <w:ind w:firstLine="360"/>
        <w:rPr>
          <w:sz w:val="20"/>
          <w:szCs w:val="20"/>
        </w:rPr>
      </w:pPr>
      <w:r>
        <w:rPr>
          <w:b/>
          <w:bCs/>
        </w:rPr>
        <w:t>Nic ve zlé. Ulevili jsme si trochu; ale jen proto, abychom pomohli hledat a najít příčiny, proč u nás mít telefon je pro člověka neobchodniho taková biahobytnická výstřednost, že se občan skromného založení téměř ostýchá v tak noblesní společn</w:t>
      </w:r>
      <w:r>
        <w:rPr>
          <w:b/>
          <w:bCs/>
        </w:rPr>
        <w:t>osti,</w:t>
      </w:r>
      <w:r>
        <w:rPr>
          <w:b/>
          <w:bCs/>
        </w:rPr>
        <w:tab/>
      </w:r>
      <w:r>
        <w:rPr>
          <w:i/>
          <w:iCs/>
          <w:sz w:val="20"/>
          <w:szCs w:val="20"/>
        </w:rPr>
        <w:t>JOT.</w:t>
      </w:r>
    </w:p>
    <w:p w:rsidR="00500724" w:rsidRDefault="00F30FB8">
      <w:pPr>
        <w:pStyle w:val="Nadpis80"/>
        <w:keepNext/>
        <w:keepLines/>
        <w:pBdr>
          <w:bottom w:val="single" w:sz="4" w:space="0" w:color="auto"/>
        </w:pBdr>
        <w:shd w:val="clear" w:color="auto" w:fill="auto"/>
        <w:spacing w:after="140"/>
      </w:pPr>
      <w:bookmarkStart w:id="69" w:name="bookmark68"/>
      <w:r>
        <w:rPr>
          <w:u w:val="none"/>
        </w:rPr>
        <w:t>politika</w:t>
      </w:r>
      <w:bookmarkEnd w:id="69"/>
    </w:p>
    <w:p w:rsidR="00500724" w:rsidRDefault="00F30FB8">
      <w:pPr>
        <w:pStyle w:val="Zkladntext1"/>
        <w:shd w:val="clear" w:color="auto" w:fill="auto"/>
        <w:spacing w:after="80" w:line="223" w:lineRule="auto"/>
        <w:ind w:firstLine="0"/>
        <w:jc w:val="left"/>
        <w:rPr>
          <w:sz w:val="20"/>
          <w:szCs w:val="20"/>
        </w:rPr>
      </w:pPr>
      <w:r>
        <w:rPr>
          <w:i/>
          <w:iCs/>
          <w:sz w:val="20"/>
          <w:szCs w:val="20"/>
        </w:rPr>
        <w:t>F. Peroutka:</w:t>
      </w:r>
    </w:p>
    <w:p w:rsidR="00500724" w:rsidRDefault="00F30FB8">
      <w:pPr>
        <w:pStyle w:val="Nadpis100"/>
        <w:shd w:val="clear" w:color="auto" w:fill="auto"/>
        <w:spacing w:after="60" w:line="206" w:lineRule="auto"/>
      </w:pPr>
      <w:bookmarkStart w:id="70" w:name="bookmark69"/>
      <w:r>
        <w:t>Kdyby byla vypukla válka...</w:t>
      </w:r>
      <w:r>
        <w:br/>
        <w:t>ni.</w:t>
      </w:r>
      <w:bookmarkEnd w:id="70"/>
    </w:p>
    <w:p w:rsidR="00500724" w:rsidRDefault="00F30FB8">
      <w:pPr>
        <w:pStyle w:val="Zkladntext30"/>
        <w:shd w:val="clear" w:color="auto" w:fill="auto"/>
        <w:spacing w:after="0" w:line="202" w:lineRule="auto"/>
        <w:ind w:firstLine="280"/>
      </w:pPr>
      <w:r>
        <w:t>Francouzská vojenská mise u nás působila skoro dvacet let. Její velitel, generál Faucher, učinil po Mni</w:t>
      </w:r>
      <w:r>
        <w:softHyphen/>
        <w:t>chově krásné gesto, aby nám vyjádřil sympatie a věr</w:t>
      </w:r>
      <w:r>
        <w:softHyphen/>
        <w:t>nost, a když odjížděl, dojemně se s</w:t>
      </w:r>
      <w:r>
        <w:t xml:space="preserve"> námi rozloučil. Po</w:t>
      </w:r>
      <w:r>
        <w:softHyphen/>
        <w:t>slouchající Cech letmo pocítil potřebu mu poděkovat. Ale pak si vzpomněl na jiné okolnosti a slova mu za</w:t>
      </w:r>
      <w:r>
        <w:softHyphen/>
        <w:t>mrzla na rtech.</w:t>
      </w:r>
    </w:p>
    <w:p w:rsidR="00500724" w:rsidRDefault="00F30FB8">
      <w:pPr>
        <w:pStyle w:val="Zkladntext30"/>
        <w:shd w:val="clear" w:color="auto" w:fill="auto"/>
        <w:spacing w:after="0" w:line="202" w:lineRule="auto"/>
        <w:ind w:firstLine="280"/>
      </w:pPr>
      <w:r>
        <w:t>Když se to vše vezme kolem a kolem, francouzská vojenská mise provozovala s námi touž hru jako fran</w:t>
      </w:r>
      <w:r>
        <w:softHyphen/>
        <w:t>couzská diploma</w:t>
      </w:r>
      <w:r>
        <w:t>cie: obě byly ochotny přijmout všechny naše oběti pro Francii, až do poslední; v tom ohledu nebylo naše spojenectví nijak omezováno; když však přišla chvíle, kdy Francie měla přinésti oběti pro nás, couvla s rychlostí, která zůstane pamětihodnou v dějinách</w:t>
      </w:r>
      <w:r>
        <w:t xml:space="preserve"> přátelství mezi státy. Po dvacet let jsme věděli, že může přijít chvíle, kdy budeme vyzváni, abychom se obětovali pro Francii, kdy bude na nás, abychom vydrželi první německý náraz a získali pro Francii čas mobilisovat a spořádat se k válce. Dívali jsme s</w:t>
      </w:r>
      <w:r>
        <w:t>e do této budoucnosti s otevřenýma očima a ne- zatajovali jsme si žádnou pochmurnou stránku nebez</w:t>
      </w:r>
      <w:r>
        <w:softHyphen/>
        <w:t>pečí. A nikdo nemůže o nás říci, že bychom byli na chvíli zaváhali. Nevím, jaká bude budoucnost, ale za tuto minulost se nemusíme stydět aspoň z mužného stano</w:t>
      </w:r>
      <w:r>
        <w:t>viska.</w:t>
      </w:r>
    </w:p>
    <w:p w:rsidR="00500724" w:rsidRDefault="00F30FB8">
      <w:pPr>
        <w:pStyle w:val="Zkladntext30"/>
        <w:shd w:val="clear" w:color="auto" w:fill="auto"/>
        <w:spacing w:after="0" w:line="202" w:lineRule="auto"/>
        <w:ind w:firstLine="280"/>
      </w:pPr>
      <w:r>
        <w:t>Co jsme za to dostali? Nemluvme o té konečné od</w:t>
      </w:r>
      <w:r>
        <w:softHyphen/>
        <w:t>měně — nepatří do tohoto thematu. Ale — a to souvisí s francouzskou vojenskou misí — byli jsme nuceni k takovým vojenským opatřením, k takovému opev</w:t>
      </w:r>
      <w:r>
        <w:softHyphen/>
        <w:t>ňování, jaké odpovídalo francouzskému, ne našemu záj</w:t>
      </w:r>
      <w:r>
        <w:t>mu. To patří do kapitoly, jak by byla vypadala válka.</w:t>
      </w:r>
    </w:p>
    <w:p w:rsidR="00500724" w:rsidRDefault="00F30FB8">
      <w:pPr>
        <w:pStyle w:val="Zkladntext30"/>
        <w:shd w:val="clear" w:color="auto" w:fill="auto"/>
        <w:spacing w:after="0" w:line="202" w:lineRule="auto"/>
        <w:ind w:firstLine="280"/>
      </w:pPr>
      <w:r>
        <w:t>Jak známo, opevnili jsme v posledních letech (až na chebský úsek) celé své historické hranice; způ</w:t>
      </w:r>
      <w:r>
        <w:softHyphen/>
        <w:t>sobili jsme tím sice, že jsme čněli jako obrněná pěst do boku Německa, a že jsme tuto říši podráždili a</w:t>
      </w:r>
      <w:r>
        <w:t xml:space="preserve"> snad i skutečně znepokojili, ale vytvořili jsme si tím také frontu, která je mnohem delší než francouz</w:t>
      </w:r>
      <w:r>
        <w:softHyphen/>
        <w:t>ská fronta proti Německu a zajisté mnohem nesnad</w:t>
      </w:r>
      <w:r>
        <w:softHyphen/>
        <w:t>nější k hájení, poněvadž je to v podstatě fronta ze tří stran obklíčená; ve velkém hledisku evropské vá</w:t>
      </w:r>
      <w:r>
        <w:t xml:space="preserve">lky byly by bývaly Čechy ne mnohem více než opevněný výběžek, na který by bylo bývalo možno útočit ze severu, ze západu </w:t>
      </w:r>
      <w:r>
        <w:rPr>
          <w:b/>
          <w:bCs/>
        </w:rPr>
        <w:t xml:space="preserve">i </w:t>
      </w:r>
      <w:r>
        <w:t>z jihu, jak a kde by se bylo ne</w:t>
      </w:r>
      <w:r>
        <w:softHyphen/>
        <w:t>příteli zlíbilo.</w:t>
      </w:r>
    </w:p>
    <w:p w:rsidR="00500724" w:rsidRDefault="00F30FB8">
      <w:pPr>
        <w:pStyle w:val="Zkladntext30"/>
        <w:shd w:val="clear" w:color="auto" w:fill="auto"/>
        <w:spacing w:after="0" w:line="204" w:lineRule="auto"/>
        <w:ind w:firstLine="280"/>
        <w:rPr>
          <w:sz w:val="20"/>
          <w:szCs w:val="20"/>
        </w:rPr>
      </w:pPr>
      <w:r>
        <w:t>Toto postavení bylo by bývalo jakž takž snesitelné, kdyby byl fungoval celý spojeneck</w:t>
      </w:r>
      <w:r>
        <w:t>ý systém a kdyby Německo bylo musilo své síly rozdělit. My zde však uvažujeme o tom případu, že bychom byli šli do války sami. Byli a jsou ovšem lidé, kteří přikládali našim pohraničním opevněním jakousi mystickou hodnotu. Jejich úsudek pohyboval se od výr</w:t>
      </w:r>
      <w:r>
        <w:t xml:space="preserve">azu »naprosto ne- dobytné« až do výrazu ^neprojde ani myš«. Úsudek to, který není potvrzen žádnou válečnou zkušeností, zejména ne zkušeností od Verdunu, které se někteří dovolávali. Srovnávat kratičký úsek verdunský, kde byla soustředěna celá válečná síla </w:t>
      </w:r>
      <w:r>
        <w:t xml:space="preserve">Francie, kde stálo </w:t>
      </w:r>
      <w:r>
        <w:rPr>
          <w:b/>
          <w:bCs/>
        </w:rPr>
        <w:t xml:space="preserve">na </w:t>
      </w:r>
      <w:r>
        <w:t xml:space="preserve">každých desíti metrech jedno dělo a na každém </w:t>
      </w:r>
      <w:r>
        <w:rPr>
          <w:i/>
          <w:iCs/>
          <w:sz w:val="20"/>
          <w:szCs w:val="20"/>
        </w:rPr>
        <w:t>gr</w:t>
      </w:r>
    </w:p>
    <w:p w:rsidR="00500724" w:rsidRDefault="00F30FB8">
      <w:pPr>
        <w:pStyle w:val="Zkladntext30"/>
        <w:shd w:val="clear" w:color="auto" w:fill="auto"/>
        <w:spacing w:after="60" w:line="221" w:lineRule="auto"/>
        <w:ind w:firstLine="0"/>
      </w:pPr>
      <w:r>
        <w:t>kilometru jedna divise, s našimi historickými hrani</w:t>
      </w:r>
      <w:r>
        <w:softHyphen/>
        <w:t xml:space="preserve">cemi, jež bychom byli mohli jen řídce obsadit, to není mnohem více než básnická licence. Poměr hustoty obsazení na verdunské a na </w:t>
      </w:r>
      <w:r>
        <w:t>naší frontě by byl asi 100:1. To je spíše nepoměr než poměr a proto je lépe se verdunského příkladu nedovolávat.</w:t>
      </w:r>
    </w:p>
    <w:p w:rsidR="00500724" w:rsidRDefault="00F30FB8">
      <w:pPr>
        <w:pStyle w:val="Zkladntext30"/>
        <w:shd w:val="clear" w:color="auto" w:fill="auto"/>
        <w:spacing w:after="60" w:line="209" w:lineRule="auto"/>
      </w:pPr>
      <w:r>
        <w:t>Obranu celých českých hranic nikdy jsem si ne</w:t>
      </w:r>
      <w:r>
        <w:softHyphen/>
        <w:t>dovedl jasně představit, ale když jsem se na to šel poptávat, narážel jsem většinou na mystiky. N</w:t>
      </w:r>
      <w:r>
        <w:t>adhodil jsem jednomu vojenskému spisovateli: »Dejme tomu, že Němci projdou našimi opevněními...« Vykřikl: »Neprojdou ... nemáte nervy v pořádku.« Uvažoval jsem o tom, co nemá v pořádku on, neboť vylučovat, že by silný nepřítel mohl prorazit opevnění, dlouh</w:t>
      </w:r>
      <w:r>
        <w:t>á několik set kilometrů, byť na jednom místě a byť během několika měsíců, to se mi zdá býti jakýmkoli úsudkem spíše než rozumovým.</w:t>
      </w:r>
    </w:p>
    <w:p w:rsidR="00500724" w:rsidRDefault="00F30FB8">
      <w:pPr>
        <w:pStyle w:val="Zkladntext30"/>
        <w:shd w:val="clear" w:color="auto" w:fill="auto"/>
        <w:spacing w:after="60" w:line="199" w:lineRule="auto"/>
      </w:pPr>
      <w:r>
        <w:t>Přesvědčení, že bychom se byli mohli třeba sami pustiti do války s Německem, zakládalo se většinou na víře v nedobytnost naši</w:t>
      </w:r>
      <w:r>
        <w:t>ch pohraničních pevností, víře to v nejvyšší míře nerozumové, máme-li na mysli nejen tu neb onu pevnost, nýbrž celý pás naší obrany. Ale je dovoleno zahájit válku, ve které by bylo šlo o býti a nebytí národa, na základě takového mystic</w:t>
      </w:r>
      <w:r>
        <w:softHyphen/>
        <w:t>kého přesvědčení? Mo</w:t>
      </w:r>
      <w:r>
        <w:t>hla si tak počínat vláda, gene</w:t>
      </w:r>
      <w:r>
        <w:softHyphen/>
        <w:t>rální štáb? Úvahy většinou začínaly a končily dogma</w:t>
      </w:r>
      <w:r>
        <w:softHyphen/>
        <w:t>tem o neproniknutelnosti našich opevnění. O tom, co by mělo být dále, kdyby dogma se ukázalo mylným, bylo by mnohem méně výmluvných názorů. To jaksi tito teoretikové ponechá</w:t>
      </w:r>
      <w:r>
        <w:t>vali pánubohu, a jak se zdá, také německému milosrdenství. Zejména nevěnovali potřebnou pozornost té perspektivě, jak by se byly věci asi dále rozvíjely pro náš národ a náš stát, kdyby Německo v isolovaném boji proti nám bylo přece opevněními proniklo a na</w:t>
      </w:r>
      <w:r>
        <w:t>še země obsadilo. Je pravdě- podobno, že když už přineslo oběti na krvi, bylo by zase na pouhé požádání z našich zemí odešlo?</w:t>
      </w:r>
    </w:p>
    <w:p w:rsidR="00500724" w:rsidRDefault="00F30FB8">
      <w:pPr>
        <w:pStyle w:val="Zkladntext30"/>
        <w:shd w:val="clear" w:color="auto" w:fill="auto"/>
        <w:spacing w:after="60" w:line="199" w:lineRule="auto"/>
      </w:pPr>
      <w:r>
        <w:t>Ostatně se stále mluvilo jen o českých a morav</w:t>
      </w:r>
      <w:r>
        <w:softHyphen/>
        <w:t>ských opevněních, jako by útočící Německo žádných jiných možností nemělo. Ale ve ch</w:t>
      </w:r>
      <w:r>
        <w:t>víli, kdy se proti nám obrátilo i Maďarsko, mohlo německé vojsko po</w:t>
      </w:r>
      <w:r>
        <w:softHyphen/>
        <w:t>stupovat přes spojenecké maďarské území a na</w:t>
      </w:r>
      <w:r>
        <w:softHyphen/>
        <w:t>padnout nás se slovenské hranice, kde místo přiroze</w:t>
      </w:r>
      <w:r>
        <w:softHyphen/>
        <w:t xml:space="preserve">ných překážek je rovina jako stůl a kde jsme neměli ani zákopu. Německu vůbec nebylo třeba </w:t>
      </w:r>
      <w:r>
        <w:t>pokoušet se o riskantní a krvavý útok na naše opevnění, která byla na některých místech jistě výtečná a která skli</w:t>
      </w:r>
      <w:r>
        <w:softHyphen/>
        <w:t>dila pochvalu i německých odborníků. Postupujíc přes Maďarsko do slovenských nížin, bylo by mohlo Německo, abychom tak řekli, nechat naše ope</w:t>
      </w:r>
      <w:r>
        <w:t>vnění uschnout v nečinnosti a vyřadit z boje všechny jejich možné účinky.</w:t>
      </w:r>
    </w:p>
    <w:p w:rsidR="00500724" w:rsidRDefault="00F30FB8">
      <w:pPr>
        <w:pStyle w:val="Zkladntext30"/>
        <w:shd w:val="clear" w:color="auto" w:fill="auto"/>
        <w:spacing w:after="0" w:line="199" w:lineRule="auto"/>
      </w:pPr>
      <w:r>
        <w:t>Délka našich hranic, které bychom byli celé musili obsadit, byla by dále způsobila, že všechna iniciativa válečná byla by nutně přešla na nepřítele. Byli bychom musili roztrousit své</w:t>
      </w:r>
      <w:r>
        <w:t xml:space="preserve"> vojsko k obraně po linii téměř nekonečné; poněvadž naše armáda by se byla vyčerpávala touto strážnou službou, všechny její jiné akce by byly nejvýše pochybné. Byla by musila očekávat ve střehu, na kterém místě zvolí ne</w:t>
      </w:r>
      <w:r>
        <w:softHyphen/>
        <w:t>přítel zaútočit. Ale co znamená válk</w:t>
      </w:r>
      <w:r>
        <w:t>a, ve které jen jedna strana má výhodu iniciativy, to dovede říci několika nepříjemnými slovy každý průměrný stratég, chce-li mluvit upřímně. Dovede také říci, jak neblaze by byl působil na naše vedení války nedostatek bez</w:t>
      </w:r>
      <w:r>
        <w:softHyphen/>
        <w:t>pečného zázemí, kterážto okolnost</w:t>
      </w:r>
      <w:r>
        <w:t xml:space="preserve"> by byla vyplývala z toho, že při obklíčenosti českých zemí Německem, každé naše důležité místo by bylo německým letadlům dostupno za několik minut letu. Nebylo prostoru, kde se organisovat a pořádat v bezpečí. Německá letadla potřebovala dvanáct minut, ab</w:t>
      </w:r>
      <w:r>
        <w:t>y se dostala nad Prahu. Vůbec v té věci nelze srovnávat naši situaci se situací třeba francouzskou, v kteréžto zemi vždy bylo dosti zázemí, neobtěžovaného nepřítelem.</w:t>
      </w:r>
    </w:p>
    <w:p w:rsidR="00500724" w:rsidRDefault="00F30FB8">
      <w:pPr>
        <w:pStyle w:val="Zkladntext30"/>
        <w:shd w:val="clear" w:color="auto" w:fill="auto"/>
        <w:spacing w:after="0"/>
      </w:pPr>
      <w:r>
        <w:t xml:space="preserve">Opevnění českých zemí přinášelo ještě další risiko, obzvláště krvavé, ono risiko, na </w:t>
      </w:r>
      <w:r>
        <w:t>které myslíme, pra- víme-li, že po válce by byla možná nezůstala polovina, českého národa na živu. Naznačil je jednou několika slovy jeden oficiální Němec. s&gt; Vybudovali jste si,« povídal, &gt;svá opevnění na hranicích. To znamená, že máte za těmito opevněním</w:t>
      </w:r>
      <w:r>
        <w:t>i, v jejich zádech tři a půl milionu Němců, kteří s vámi nejdou. Dojde-li k válce, vaši Němci se vzbouří. Poněvadž povedete válku, ne</w:t>
      </w:r>
      <w:r>
        <w:softHyphen/>
        <w:t>budete moci udělat nic jiného, než potlačit toto po</w:t>
      </w:r>
      <w:r>
        <w:softHyphen/>
        <w:t>vstání a sice tak krvavě, jak bude nutno. Kdybyste k tomu nebyli odhod</w:t>
      </w:r>
      <w:r>
        <w:t>láni, nemohli byste vůbec vést válku. Nyní si představte, že německé vojsko, které už půl roku slyší, jak své Němce utlačujete, pronikne vašimi opevněními a dostane se do německého území, kde právě byla potlačena vzpoura tak, jak ji každý válku vedoucí stá</w:t>
      </w:r>
      <w:r>
        <w:t>t musí potlačit? Co uvidí? Mrtvoly na ulicích, oběšené povstalce na stromech, řady po</w:t>
      </w:r>
      <w:r>
        <w:softHyphen/>
        <w:t>střílených, kteří byli postaveni ke zdi. Jak myslíte, že by na to naše vojsko reagovalo? Žádné velení je neudrží v touze splatit stejné stejným. Vaši spojenci, i kdyby zv</w:t>
      </w:r>
      <w:r>
        <w:t>ítězili, a kdyby se po čase dostali do vašich zemí, nemohli by už dělat nic jiného než vás pomstít.«</w:t>
      </w:r>
    </w:p>
    <w:p w:rsidR="00500724" w:rsidRDefault="00F30FB8">
      <w:pPr>
        <w:pStyle w:val="Zkladntext30"/>
        <w:shd w:val="clear" w:color="auto" w:fill="auto"/>
        <w:spacing w:after="0"/>
      </w:pPr>
      <w:r>
        <w:t>Myslím, že tento Němec nijak nepřeháněl. A nyní domysleme tuto věc na jinou stranu. Dejme tomu, že by naši spojenci nakonec nezvítězili, nebo, o kteréžto m</w:t>
      </w:r>
      <w:r>
        <w:t>ožnosti zde mluvíme, že by byli do války nešli. Zvítězivší Německo našlo by pak u nás řídce zabydle</w:t>
      </w:r>
      <w:r>
        <w:softHyphen/>
        <w:t>ný prostor, poněvadž polovina domácího národa za</w:t>
      </w:r>
      <w:r>
        <w:softHyphen/>
        <w:t xml:space="preserve">hynula na následky války, msty, nemocí a hladu. Co by bylo asi učinilo Německo, stále hledající prostor, </w:t>
      </w:r>
      <w:r>
        <w:rPr>
          <w:b/>
          <w:bCs/>
        </w:rPr>
        <w:t xml:space="preserve">s </w:t>
      </w:r>
      <w:r>
        <w:t xml:space="preserve">tímto poloprázdným prostorem, a jaké </w:t>
      </w:r>
      <w:r>
        <w:rPr>
          <w:lang w:val="en-US" w:eastAsia="en-US" w:bidi="en-US"/>
        </w:rPr>
        <w:t xml:space="preserve">chance </w:t>
      </w:r>
      <w:r>
        <w:t>do budoucnosti by byl při tom měl český národ? Vláda, která se na konci září rozhodovala, musila se věnovat i těmto posledním úvahám a musila zamezit, aby tragedie státu se neproměnila v tragedii národa.</w:t>
      </w:r>
    </w:p>
    <w:p w:rsidR="00500724" w:rsidRDefault="00F30FB8">
      <w:pPr>
        <w:pStyle w:val="Zkladntext30"/>
        <w:shd w:val="clear" w:color="auto" w:fill="auto"/>
        <w:spacing w:after="0"/>
      </w:pPr>
      <w:r>
        <w:t>Jestliže</w:t>
      </w:r>
      <w:r>
        <w:t xml:space="preserve"> však bylo nevýhodno, ze všech těchto dů</w:t>
      </w:r>
      <w:r>
        <w:softHyphen/>
        <w:t>vodů, opevňovat české hranice, proč jsme je tedy opevnili? Proč jsme se stavěli do odporu na této absurdně dlouhé hranici? Na to je jediná poctivá od</w:t>
      </w:r>
      <w:r>
        <w:softHyphen/>
        <w:t>pověď: Poněvadž to bylo ve francouzském plánu a poněvadž francouz</w:t>
      </w:r>
      <w:r>
        <w:t>ská vojenská mise, jejímuž slovu jsme musili naslouchat jako zástupci nejsilnějšího našeho spojence a zástupci země, která by dodala nejvyššího velitele v budoucí válce, věci u nás tímto směrem vedla. Zastupovala zájem Francie: Češi a jiní pomocní národové</w:t>
      </w:r>
      <w:r>
        <w:t xml:space="preserve"> nechť jakkoliv, za jakýchkoliv obětí zdrží Němce, dokud Francie nebude hotova se svou mobilisaci. Dokonce se hlavami Francouzů mihl plán, aby československá armáda zahájila </w:t>
      </w:r>
      <w:r>
        <w:rPr>
          <w:b/>
          <w:bCs/>
        </w:rPr>
        <w:t xml:space="preserve">ofensdvu údolím </w:t>
      </w:r>
      <w:r>
        <w:t xml:space="preserve">Labe. Jak známe dnes Francii, po celou tu </w:t>
      </w:r>
      <w:r>
        <w:rPr>
          <w:b/>
          <w:bCs/>
        </w:rPr>
        <w:t xml:space="preserve">pro </w:t>
      </w:r>
      <w:r>
        <w:t>nás tragickou dobu b</w:t>
      </w:r>
      <w:r>
        <w:t xml:space="preserve">y byla její armáda </w:t>
      </w:r>
      <w:r>
        <w:rPr>
          <w:b/>
          <w:bCs/>
        </w:rPr>
        <w:t xml:space="preserve">zůstala za </w:t>
      </w:r>
      <w:r>
        <w:t xml:space="preserve">Ma- ginotovou linií. Ale francouzská mise </w:t>
      </w:r>
      <w:r>
        <w:rPr>
          <w:b/>
          <w:bCs/>
        </w:rPr>
        <w:t xml:space="preserve">v době, </w:t>
      </w:r>
      <w:r>
        <w:t xml:space="preserve">kdy existovala už jen Francie Bonnetova, </w:t>
      </w:r>
      <w:r>
        <w:rPr>
          <w:b/>
          <w:bCs/>
        </w:rPr>
        <w:t xml:space="preserve">si </w:t>
      </w:r>
      <w:r>
        <w:t>počínala bujaře, jako by ještě žila slavná Francie Clémen- ceauova a Fochova. Vypracovala ofensivní plány pro pomocné národy, vybudo</w:t>
      </w:r>
      <w:r>
        <w:t xml:space="preserve">vávala naše </w:t>
      </w:r>
      <w:r>
        <w:rPr>
          <w:b/>
          <w:bCs/>
        </w:rPr>
        <w:t xml:space="preserve">opevnění </w:t>
      </w:r>
      <w:r>
        <w:t xml:space="preserve">tak, aby jím Německo bylo co nejvíce </w:t>
      </w:r>
      <w:r>
        <w:rPr>
          <w:b/>
          <w:bCs/>
        </w:rPr>
        <w:t xml:space="preserve">obtěžováno </w:t>
      </w:r>
      <w:r>
        <w:t>a ohrožováno.</w:t>
      </w:r>
    </w:p>
    <w:p w:rsidR="00500724" w:rsidRDefault="00F30FB8">
      <w:pPr>
        <w:pStyle w:val="Zkladntext30"/>
        <w:shd w:val="clear" w:color="auto" w:fill="auto"/>
        <w:spacing w:after="0"/>
        <w:ind w:firstLine="240"/>
      </w:pPr>
      <w:r>
        <w:t>Francie nás ve svém zájmu vedla k řešení nejriskant</w:t>
      </w:r>
      <w:r>
        <w:softHyphen/>
        <w:t>nějšímu. Vojensky si nepočínala jinak než diplomatic</w:t>
      </w:r>
      <w:r>
        <w:softHyphen/>
      </w:r>
      <w:r>
        <w:t>ky. V diplomacii tím, že nám do poslední chvíle neřekla pravdu o sobě a slibovala pomoc ještě tehdy, když byla rozhodnuta ji neposkytnout; zabránila, abychom se pokusili sami se dohodnout s Německem, což bychom byli jistě učinili, kdyby byla prozradila, že</w:t>
      </w:r>
      <w:r>
        <w:t xml:space="preserve"> její slavný systém, který začala </w:t>
      </w:r>
      <w:r>
        <w:rPr>
          <w:b/>
          <w:bCs/>
        </w:rPr>
        <w:t xml:space="preserve">vybudovávat v </w:t>
      </w:r>
      <w:r>
        <w:t>po</w:t>
      </w:r>
      <w:r>
        <w:softHyphen/>
        <w:t xml:space="preserve">válečné Evropě, je už jen museální skizza. Tím pak, že nám předkládala takové vojenské plány, </w:t>
      </w:r>
      <w:r>
        <w:rPr>
          <w:b/>
          <w:bCs/>
        </w:rPr>
        <w:t xml:space="preserve">které </w:t>
      </w:r>
      <w:r>
        <w:t>měly jakýsi smysl, jen kdyby spolek s Francií dokonale fungoval, a které smysl mít přestaly, když Francie</w:t>
      </w:r>
      <w:r>
        <w:t xml:space="preserve"> jednoho dne prostřednictvím tiskové kanceláře — nijak tedy delikátně — nám oznámila, abychom se postarali o sebe, jak sami umíme, způsobila Francie, že ani vojensky jsme se o sebe nemohli </w:t>
      </w:r>
      <w:r>
        <w:rPr>
          <w:b/>
          <w:bCs/>
        </w:rPr>
        <w:t xml:space="preserve">postarat </w:t>
      </w:r>
      <w:r>
        <w:t>nej</w:t>
      </w:r>
      <w:r>
        <w:softHyphen/>
        <w:t>lepším způsobem.</w:t>
      </w:r>
    </w:p>
    <w:p w:rsidR="00500724" w:rsidRDefault="00F30FB8">
      <w:pPr>
        <w:pStyle w:val="Nadpis110"/>
        <w:shd w:val="clear" w:color="auto" w:fill="auto"/>
        <w:spacing w:after="80" w:line="180" w:lineRule="auto"/>
        <w:jc w:val="center"/>
      </w:pPr>
      <w:bookmarkStart w:id="71" w:name="bookmark70"/>
      <w:r>
        <w:rPr>
          <w:rFonts w:ascii="Times New Roman" w:eastAsia="Times New Roman" w:hAnsi="Times New Roman" w:cs="Times New Roman"/>
        </w:rPr>
        <w:t>©</w:t>
      </w:r>
      <w:bookmarkEnd w:id="71"/>
    </w:p>
    <w:p w:rsidR="00500724" w:rsidRDefault="00F30FB8">
      <w:pPr>
        <w:pStyle w:val="Zkladntext30"/>
        <w:shd w:val="clear" w:color="auto" w:fill="auto"/>
        <w:spacing w:after="0"/>
        <w:ind w:firstLine="240"/>
      </w:pPr>
      <w:r>
        <w:t>Ať jakkoliv nesnadná a krutá by byl</w:t>
      </w:r>
      <w:r>
        <w:t>a bývala pro nás válka, i po boku všech našich spojenců — byli bychom bývali vším zasaženi daleko krutěji než kdo</w:t>
      </w:r>
      <w:r>
        <w:softHyphen/>
        <w:t>koliv jiný — tento uvědomělý národ, jak všichni vědí, byl ochoten přinésti tyto oběti a hájit hranice, jež za sebou mají tradici celého tisíce</w:t>
      </w:r>
      <w:r>
        <w:t xml:space="preserve"> let a pro které ne</w:t>
      </w:r>
      <w:r>
        <w:softHyphen/>
        <w:t>spočetné generace jeho předků zápasily. Tento lid věru pochopil, že v životě národů nic není zadarmo, a chystal se zaplatit i velmi vysokou cenu. Ale zástupci té teorie, že jsme měli jít do války třeba sami, nedrželi asi dost pozorně uc</w:t>
      </w:r>
      <w:r>
        <w:t>ho na hrudi národa. Byl ochoten jiti do boje, který měl smysl, ve kterém bylo možno vyhrát. Každá armáda bojuje dobře jen tenkrát, vidí-li před sebou také možnost vítězství. Rekne-H se jí, že její boj má jen smysl jakési krvavé manifestace, poví-li se vojá</w:t>
      </w:r>
      <w:r>
        <w:t>kům, že mají ztrátou svých životů jen demon</w:t>
      </w:r>
      <w:r>
        <w:softHyphen/>
        <w:t xml:space="preserve">strovat, je to zcela nová situace, je lépe o psychologii armády znovu uvažovat. Nemůžeme vědět, jak by byla naše armáda, tak odhodlaně připravená na boj po boku spojenců, přijala pojednou </w:t>
      </w:r>
      <w:r>
        <w:rPr>
          <w:b/>
          <w:bCs/>
        </w:rPr>
        <w:t xml:space="preserve">zprávu, že </w:t>
      </w:r>
      <w:r>
        <w:t>jest jí bojov</w:t>
      </w:r>
      <w:r>
        <w:t>at samotné. Nedívejme se na to optimisticky. V tomto duševním otřesu, kdož ví, ztratilo by se snad mnoho z jejích hodnot. Posílali jsme přece do boje lidi, ne nadlidi. Ví Bůh, že všichni by byli raděj bojovali. Ale boj je jen tam, kde je naděje na vítězstv</w:t>
      </w:r>
      <w:r>
        <w:t xml:space="preserve">í. Kde jí není, je to něco jiného než boj: je to harakiri, které ovšem na poli cti má také svou cenu, ale harakiri je podnik individuální, ne hromadný, a </w:t>
      </w:r>
      <w:r>
        <w:rPr>
          <w:b/>
          <w:bCs/>
        </w:rPr>
        <w:t xml:space="preserve">nelze </w:t>
      </w:r>
      <w:r>
        <w:t>jej při</w:t>
      </w:r>
      <w:r>
        <w:softHyphen/>
        <w:t>kazovat.</w:t>
      </w:r>
    </w:p>
    <w:p w:rsidR="00500724" w:rsidRDefault="00F30FB8">
      <w:pPr>
        <w:pStyle w:val="Zkladntext30"/>
        <w:shd w:val="clear" w:color="auto" w:fill="auto"/>
        <w:spacing w:line="216" w:lineRule="auto"/>
        <w:ind w:firstLine="240"/>
      </w:pPr>
      <w:r>
        <w:t xml:space="preserve">President a vláda, rozhodnuvše se </w:t>
      </w:r>
      <w:r>
        <w:rPr>
          <w:b/>
          <w:bCs/>
        </w:rPr>
        <w:t xml:space="preserve">nebojovat v </w:t>
      </w:r>
      <w:r>
        <w:t>na</w:t>
      </w:r>
      <w:r>
        <w:softHyphen/>
        <w:t>prosté osamocenosti, ochránili</w:t>
      </w:r>
      <w:r>
        <w:t xml:space="preserve"> národ </w:t>
      </w:r>
      <w:r>
        <w:rPr>
          <w:b/>
          <w:bCs/>
        </w:rPr>
        <w:t xml:space="preserve">tím jediným </w:t>
      </w:r>
      <w:r>
        <w:t>způsobem, který ještě zbýval.</w:t>
      </w:r>
    </w:p>
    <w:p w:rsidR="00500724" w:rsidRDefault="00F30FB8">
      <w:pPr>
        <w:pStyle w:val="Zkladntext30"/>
        <w:shd w:val="clear" w:color="auto" w:fill="auto"/>
        <w:spacing w:after="0" w:line="199" w:lineRule="auto"/>
        <w:ind w:firstLine="0"/>
        <w:jc w:val="left"/>
        <w:rPr>
          <w:sz w:val="20"/>
          <w:szCs w:val="20"/>
        </w:rPr>
      </w:pPr>
      <w:r>
        <w:rPr>
          <w:i/>
          <w:iCs/>
          <w:sz w:val="20"/>
          <w:szCs w:val="20"/>
        </w:rPr>
        <w:t>Helena P. Kirkpatrickooá:</w:t>
      </w:r>
    </w:p>
    <w:p w:rsidR="00500724" w:rsidRDefault="00F30FB8">
      <w:pPr>
        <w:pStyle w:val="Nadpis100"/>
        <w:shd w:val="clear" w:color="auto" w:fill="auto"/>
        <w:spacing w:after="0" w:line="240" w:lineRule="auto"/>
      </w:pPr>
      <w:bookmarkStart w:id="72" w:name="bookmark71"/>
      <w:r>
        <w:t>Hitler si získává jistotu</w:t>
      </w:r>
      <w:bookmarkEnd w:id="72"/>
    </w:p>
    <w:p w:rsidR="00500724" w:rsidRDefault="00F30FB8">
      <w:pPr>
        <w:pStyle w:val="Zkladntext1"/>
        <w:shd w:val="clear" w:color="auto" w:fill="auto"/>
        <w:spacing w:after="80" w:line="228" w:lineRule="auto"/>
        <w:ind w:firstLine="0"/>
        <w:jc w:val="center"/>
      </w:pPr>
      <w:r>
        <w:t>(Wiedemannova cesta a Runcimanova</w:t>
      </w:r>
      <w:r>
        <w:br/>
        <w:t>mise)</w:t>
      </w:r>
    </w:p>
    <w:p w:rsidR="00500724" w:rsidRDefault="00F30FB8">
      <w:pPr>
        <w:pStyle w:val="Zkladntext1"/>
        <w:shd w:val="clear" w:color="auto" w:fill="auto"/>
        <w:spacing w:line="175" w:lineRule="auto"/>
        <w:ind w:left="800" w:firstLine="240"/>
        <w:jc w:val="left"/>
        <w:rPr>
          <w:sz w:val="20"/>
          <w:szCs w:val="20"/>
        </w:rPr>
      </w:pPr>
      <w:r>
        <w:rPr>
          <w:sz w:val="20"/>
          <w:szCs w:val="20"/>
        </w:rPr>
        <w:t>Stále ještě se snažíce sebrati a seřaditi všechna fakta o loňské krisl, vyvrcholivší Mnichovem, předkládáme tentokr</w:t>
      </w:r>
      <w:r>
        <w:rPr>
          <w:sz w:val="20"/>
          <w:szCs w:val="20"/>
        </w:rPr>
        <w:t xml:space="preserve">áte několik úryvků z knihy americké novinářky »This </w:t>
      </w:r>
      <w:r>
        <w:rPr>
          <w:sz w:val="20"/>
          <w:szCs w:val="20"/>
          <w:lang w:val="en-US" w:eastAsia="en-US" w:bidi="en-US"/>
        </w:rPr>
        <w:t xml:space="preserve">terrible </w:t>
      </w:r>
      <w:r>
        <w:rPr>
          <w:sz w:val="20"/>
          <w:szCs w:val="20"/>
        </w:rPr>
        <w:t>peace« (Tento hrozný mír). Tyto úryvky vztahují se k údobí, které je možno označiti jako předehru k ne</w:t>
      </w:r>
      <w:r>
        <w:rPr>
          <w:sz w:val="20"/>
          <w:szCs w:val="20"/>
        </w:rPr>
        <w:softHyphen/>
        <w:t>šťastnému září.</w:t>
      </w:r>
    </w:p>
    <w:p w:rsidR="00500724" w:rsidRDefault="00F30FB8">
      <w:pPr>
        <w:pStyle w:val="Zkladntext1"/>
        <w:shd w:val="clear" w:color="auto" w:fill="auto"/>
        <w:spacing w:line="209" w:lineRule="auto"/>
      </w:pPr>
      <w:r>
        <w:t xml:space="preserve">Dne 18. července dostal </w:t>
      </w:r>
      <w:r>
        <w:rPr>
          <w:lang w:val="en-US" w:eastAsia="en-US" w:bidi="en-US"/>
        </w:rPr>
        <w:t xml:space="preserve">lord Halifax </w:t>
      </w:r>
      <w:r>
        <w:t>návštěvu Hitle</w:t>
      </w:r>
      <w:r>
        <w:softHyphen/>
        <w:t xml:space="preserve">rova osobního posla, </w:t>
      </w:r>
      <w:r>
        <w:t>kapitána Wiedemanna. Na Hitle</w:t>
      </w:r>
      <w:r>
        <w:softHyphen/>
        <w:t>rovu žádost se rozmluva konala v Halifaxově soukro</w:t>
      </w:r>
      <w:r>
        <w:softHyphen/>
        <w:t>mém sídle. Podnět k návštěvě vyšel s německé strany, a věc zprostředkovala princezna Hokenlohová. Teprve později bylo možno objevit cíl a výsledky návštěvy, ale už původně byl</w:t>
      </w:r>
      <w:r>
        <w:t>o jasno, že Hitler si chtěl zjednat jistotu o britském stanovisku k Československu. Pokud je známo, byla rozmluva velmi široká a točila se hlavně kolem možnosti anglo-německého sblížení.</w:t>
      </w:r>
    </w:p>
    <w:p w:rsidR="00500724" w:rsidRDefault="00F30FB8">
      <w:pPr>
        <w:pStyle w:val="Zkladntext1"/>
        <w:shd w:val="clear" w:color="auto" w:fill="auto"/>
        <w:spacing w:line="209" w:lineRule="auto"/>
      </w:pPr>
      <w:r>
        <w:t>V Berlíně se říkalo, že Hitler nebyl spokojen s Rib- bentropovými náz</w:t>
      </w:r>
      <w:r>
        <w:t>ory na věc; že se tyto názory zcela neshodovaly s těmi, jež hájil dr. Dirksen, německý velvyslanec v Londýně, a že Hitler si konečně uvědo</w:t>
      </w:r>
      <w:r>
        <w:softHyphen/>
        <w:t>mil celý nezdar Rihbentropova velvyslancování. Mimo to bylo těžko poznat britské stanovisko od sira Nevida Hendersona</w:t>
      </w:r>
      <w:r>
        <w:t>, britského velvyslance v Berlíně. Po jeho příjezdu do Berlína se siru Nevillovi přisuzovaly city velmi příznivé nacismu. Dotkl se mnoha svých krajanů tím, že naléhal na rakouský anšlus, a dokonce se už před 21. květnem přimlouval za rozdělení Českosloven</w:t>
      </w:r>
      <w:r>
        <w:softHyphen/>
      </w:r>
      <w:r>
        <w:t xml:space="preserve">ska. Říkalo se, že byl </w:t>
      </w:r>
      <w:r>
        <w:rPr>
          <w:b/>
          <w:bCs/>
          <w:sz w:val="20"/>
          <w:szCs w:val="20"/>
        </w:rPr>
        <w:t xml:space="preserve">z </w:t>
      </w:r>
      <w:r>
        <w:t>Londýna »požádán«, aby opravil své stanovisko; rozhodně po 21. květnu dělal co mohl, aby vypadal neústupně. Jeho styky s němec</w:t>
      </w:r>
      <w:r>
        <w:softHyphen/>
        <w:t>kým zahraničním ministrem nebyly právě šťastné; pravilo se, že s obou stran padla 21. května drsná slova</w:t>
      </w:r>
      <w:r>
        <w:t xml:space="preserve"> a že </w:t>
      </w:r>
      <w:r>
        <w:rPr>
          <w:lang w:val="en-US" w:eastAsia="en-US" w:bidi="en-US"/>
        </w:rPr>
        <w:t xml:space="preserve">von Ribbentrop </w:t>
      </w:r>
      <w:r>
        <w:t>nakonec doporučil siru Nevillovi, aby nestrkal nos do věcí, po nichž mu nic není, a aby si raději hleděl &gt;vaší trouchnivé staré říšet. O siru Nevillovi se zase povídalo, že řekl Hitlerovi v Ribben- tropově přítomnosti, že anglo-německé</w:t>
      </w:r>
      <w:r>
        <w:t xml:space="preserve"> styky se nikdy nezlepší, pokud Německo bude mít nynějšího ministra zahraničních věcí.</w:t>
      </w:r>
    </w:p>
    <w:p w:rsidR="00500724" w:rsidRDefault="00F30FB8">
      <w:pPr>
        <w:pStyle w:val="Zkladntext1"/>
        <w:shd w:val="clear" w:color="auto" w:fill="auto"/>
        <w:spacing w:line="209" w:lineRule="auto"/>
      </w:pPr>
      <w:r>
        <w:rPr>
          <w:lang w:val="en-US" w:eastAsia="en-US" w:bidi="en-US"/>
        </w:rPr>
        <w:t xml:space="preserve">Von Ribbentrop </w:t>
      </w:r>
      <w:r>
        <w:t xml:space="preserve">tvrdil Fiihrerovi, že Anglie se ani nehne, aby Německu zabránila v obsazení Sudet. 21. květen ukázal, že tento názor byl nesprávný — ale jak daleko půjde </w:t>
      </w:r>
      <w:r>
        <w:t xml:space="preserve">britská vláda v obhajobě česko-sloven- ské celistvosti? Tato otázka byla nesmírně důležitá ve Fiihrerově rozpočtu. Kdyby mohl být ujištěn britskou neutralitou, cítil jistotu, že Francie by se nehnula, a už dlouho dávno vypouštěl </w:t>
      </w:r>
      <w:r>
        <w:rPr>
          <w:b/>
          <w:bCs/>
          <w:sz w:val="20"/>
          <w:szCs w:val="20"/>
        </w:rPr>
        <w:t xml:space="preserve">z </w:t>
      </w:r>
      <w:r>
        <w:t xml:space="preserve">počtu Rusko. Zcela podle </w:t>
      </w:r>
      <w:r>
        <w:t xml:space="preserve">názorů z »Mein Kampf&lt; a ve smyslu politiky, kterou sledovala německá vláda roku 1914, cítil Hitler, že britská neutralita byla nezbytná, měl-li svým lidem poskytnout na podzim </w:t>
      </w:r>
      <w:r>
        <w:rPr>
          <w:lang w:val="en-US" w:eastAsia="en-US" w:bidi="en-US"/>
        </w:rPr>
        <w:t xml:space="preserve">fait accompli. </w:t>
      </w:r>
      <w:r>
        <w:t>Pochod do Ra</w:t>
      </w:r>
      <w:r>
        <w:softHyphen/>
        <w:t>kouska ukázal vážné nedostatky v německé organisaci,</w:t>
      </w:r>
      <w:r>
        <w:t xml:space="preserve"> málo důležité tam, kde nebylo odporu, ale generální štáb ho varoval, že země není připravena podstoupit evropskou válku. Mimo to byla Siegfriedova linie hotova jen zčásti. A poctivě řečeno, Hitler nikdy nejevil touhu svářit se s Britanií, pokud si Britani</w:t>
      </w:r>
      <w:r>
        <w:t>e bude »hledět svého«; ale nebyl si tehdy zcela jist, že britská vláda bude moci dovolit roztržení Československa.</w:t>
      </w:r>
    </w:p>
    <w:p w:rsidR="00500724" w:rsidRDefault="00F30FB8">
      <w:pPr>
        <w:pStyle w:val="Zkladntext1"/>
        <w:shd w:val="clear" w:color="auto" w:fill="auto"/>
        <w:spacing w:after="340" w:line="209" w:lineRule="auto"/>
      </w:pPr>
      <w:r>
        <w:t xml:space="preserve">Ze všech zpráv vyplývalo, že Wiedemannovy a Halifaxovy rozmluvy nehyly s německého stanoviska docela uspokojivé. </w:t>
      </w:r>
      <w:r>
        <w:rPr>
          <w:lang w:val="en-US" w:eastAsia="en-US" w:bidi="en-US"/>
        </w:rPr>
        <w:t xml:space="preserve">Lord Halifax </w:t>
      </w:r>
      <w:r>
        <w:t>sice projevil p</w:t>
      </w:r>
      <w:r>
        <w:t xml:space="preserve">řání, aby se anglo-německé vztahy zlepšily, ale byl toho názoru, že doba není zralá pro celkové vyrovnání. Snad až česká otázka bude </w:t>
      </w:r>
      <w:r>
        <w:rPr>
          <w:b/>
          <w:bCs/>
          <w:sz w:val="20"/>
          <w:szCs w:val="20"/>
        </w:rPr>
        <w:t xml:space="preserve">s </w:t>
      </w:r>
      <w:r>
        <w:t>cesty, mohly by Britanie a Německo s prospěchem obrátit pozornost k vecem obchodním, koloniálním, k odzbrojení a k obecné</w:t>
      </w:r>
      <w:r>
        <w:t xml:space="preserve"> evropské úpravě. V německém duchu, který směřuje k přesnosti, zanechala tato rozmluva nepochybně do</w:t>
      </w:r>
      <w:r>
        <w:softHyphen/>
        <w:t xml:space="preserve">jem, že britské stanovisko je stále zdrželivé. Nepodobá se pravdě, že důvěra, kterou měl </w:t>
      </w:r>
      <w:r>
        <w:rPr>
          <w:lang w:val="en-US" w:eastAsia="en-US" w:bidi="en-US"/>
        </w:rPr>
        <w:t xml:space="preserve">Ribbentrop </w:t>
      </w:r>
      <w:r>
        <w:t xml:space="preserve">a kterou tak jasně projevoval </w:t>
      </w:r>
      <w:r>
        <w:rPr>
          <w:sz w:val="18"/>
          <w:szCs w:val="18"/>
        </w:rPr>
        <w:t xml:space="preserve">v </w:t>
      </w:r>
      <w:r>
        <w:t>pozdějších dobách, se z</w:t>
      </w:r>
      <w:r>
        <w:t xml:space="preserve">akládala na této návštěvě. </w:t>
      </w:r>
      <w:r>
        <w:rPr>
          <w:lang w:val="en-US" w:eastAsia="en-US" w:bidi="en-US"/>
        </w:rPr>
        <w:t xml:space="preserve">Ribbentrop </w:t>
      </w:r>
      <w:r>
        <w:t>se ve skutečnosti prý velmi zlobil, že Fiihrer jej tímto způsobem obešel. Ale lze sotva pochybovat, že Hitler, zklamaný Ribbentropo- vým nezdarem v úsilí, zařadit Britanii mezi sproti- komunistické« mocnosti, učinil te</w:t>
      </w:r>
      <w:r>
        <w:t>nto další pokus, aby zatlačil Anglii do neutrality a aby ji isoloval od konti</w:t>
      </w:r>
      <w:r>
        <w:softHyphen/>
        <w:t>nentálních věcí.</w:t>
      </w:r>
    </w:p>
    <w:p w:rsidR="00500724" w:rsidRDefault="00F30FB8">
      <w:pPr>
        <w:pStyle w:val="Zkladntext1"/>
        <w:shd w:val="clear" w:color="auto" w:fill="auto"/>
        <w:spacing w:line="209" w:lineRule="auto"/>
        <w:ind w:firstLine="240"/>
      </w:pPr>
      <w:r>
        <w:t xml:space="preserve">Asi v </w:t>
      </w:r>
      <w:r>
        <w:rPr>
          <w:b/>
          <w:bCs/>
          <w:i/>
          <w:iCs/>
          <w:sz w:val="20"/>
          <w:szCs w:val="20"/>
        </w:rPr>
        <w:t>téže</w:t>
      </w:r>
      <w:r>
        <w:t xml:space="preserve"> době proskočily zprávy o možnosti brit</w:t>
      </w:r>
      <w:r>
        <w:softHyphen/>
        <w:t xml:space="preserve">ského prostředkování </w:t>
      </w:r>
      <w:r>
        <w:rPr>
          <w:sz w:val="18"/>
          <w:szCs w:val="18"/>
        </w:rPr>
        <w:t xml:space="preserve">v </w:t>
      </w:r>
      <w:r>
        <w:t xml:space="preserve">československém sporu. Proto nebyla zpráva o Runcimanově poslání z 25. července úplným </w:t>
      </w:r>
      <w:r>
        <w:t>překvapením. Byla to anglo-francouzská myš</w:t>
      </w:r>
      <w:r>
        <w:softHyphen/>
        <w:t>lenka, ačkoli president Beneš žádal, aby podnět zdán</w:t>
      </w:r>
      <w:r>
        <w:softHyphen/>
        <w:t>livě přišel z Prahy. Bylo jasno podle trvalých a ne</w:t>
      </w:r>
      <w:r>
        <w:softHyphen/>
        <w:t>návistných útoků německého tisku na Československo a z ustavičně se projevujících nesnází při pražských jedn</w:t>
      </w:r>
      <w:r>
        <w:t>áních, že nějaký zásah byl nutný, mělo-li se za</w:t>
      </w:r>
      <w:r>
        <w:softHyphen/>
        <w:t>brániti náhlému německému vpádu.</w:t>
      </w:r>
    </w:p>
    <w:p w:rsidR="00500724" w:rsidRDefault="00F30FB8">
      <w:pPr>
        <w:pStyle w:val="Zkladntext1"/>
        <w:shd w:val="clear" w:color="auto" w:fill="auto"/>
        <w:spacing w:after="40" w:line="209" w:lineRule="auto"/>
        <w:ind w:firstLine="240"/>
      </w:pPr>
      <w:r>
        <w:t>&gt;Nezávislé« prostředkování mělo dvě výhody. Bylo oznámeno, že lord Runciman jede do Prahy, aby po</w:t>
      </w:r>
      <w:r>
        <w:softHyphen/>
        <w:t>máhal československé vládě a henleinovcům dosáhnout uspokojivé dohody. Nemohl</w:t>
      </w:r>
      <w:r>
        <w:t>o být podle názoru britské vlády řeči o tom, že by do věci byla zatažena Velká Britanie, poněvadž lord Runciman tu byl jako soukrom</w:t>
      </w:r>
      <w:r>
        <w:softHyphen/>
        <w:t>ník. Zároveň přítomnost »neúřednílio« britského pro- středkovatele v Československu snad zdrží Německo od útoku. Tak by se z</w:t>
      </w:r>
      <w:r>
        <w:t>ískal čas a uplynuly by nebez</w:t>
      </w:r>
      <w:r>
        <w:softHyphen/>
        <w:t>pečné letní měsíce. Za osm neděl se mohlo stát mnoho, co by změnilo situaci. Někteří nedůvěřiví novináři v Praze a v Londýně pochybovali o tom, že Runciman hodlá nalézti řešení sudetského problému v rámci československého stát</w:t>
      </w:r>
      <w:r>
        <w:t>u. Jak čas pokračoval, sílilo jejich přesvědčení, že chtěl jednání protahovat, jak nejdéle možno, a zajistit potom sudetským Němcům autonomii, která by jim později dovolila připojit se k Německu. Členové jeho mise, jak se myslilo, se upřímně snažili nalézt</w:t>
      </w:r>
      <w:r>
        <w:t xml:space="preserve"> řešení v rámci československého státu a nadto i věřili, že se takové řešení dá nalézt, nebude-li se jen Německo vměšovat.</w:t>
      </w:r>
    </w:p>
    <w:p w:rsidR="00500724" w:rsidRDefault="00F30FB8">
      <w:pPr>
        <w:pStyle w:val="Zkladntext1"/>
        <w:shd w:val="clear" w:color="auto" w:fill="auto"/>
        <w:spacing w:line="209" w:lineRule="auto"/>
        <w:ind w:firstLine="240"/>
      </w:pPr>
      <w:r>
        <w:t>Úřední místa v Londýně dovolovala uvádět ve zná</w:t>
      </w:r>
      <w:r>
        <w:softHyphen/>
        <w:t>most, že lord Runciman se nebude činně účastnit vy</w:t>
      </w:r>
      <w:r>
        <w:softHyphen/>
        <w:t>jednávání, nýbrž pokusí se jen při</w:t>
      </w:r>
      <w:r>
        <w:t>vést obě strany do</w:t>
      </w:r>
      <w:r>
        <w:softHyphen/>
        <w:t>hromady. Kdyby však — říkalo se — vyjednávání úplně ztroskotalo, přišel by nepochybně Runciman sám s nějakým plánem. Měl-li tento plán přivodit plebiscit nebo konferenci mezi Německem a Československem anebo jen obsahovat ustanovení čtvr</w:t>
      </w:r>
      <w:r>
        <w:t>tého plánu česko</w:t>
      </w:r>
      <w:r>
        <w:softHyphen/>
        <w:t>slovenské vlády, nebylo známo. Vskutku však čtvrtý plán pocházel skoro úplně od lorda Runcimana.</w:t>
      </w:r>
    </w:p>
    <w:p w:rsidR="00500724" w:rsidRDefault="00F30FB8">
      <w:pPr>
        <w:pStyle w:val="Zkladntext1"/>
        <w:shd w:val="clear" w:color="auto" w:fill="auto"/>
        <w:spacing w:after="40" w:line="209" w:lineRule="auto"/>
        <w:ind w:firstLine="240"/>
      </w:pPr>
      <w:r>
        <w:t>Af se britská vláda dívala na Runcimanovu misi jakkoli, ve Spojených Státech se na ni hledělo jako na definitivní angažování Velké Britanie. O</w:t>
      </w:r>
      <w:r>
        <w:t xml:space="preserve"> podnětu ustanoviti prostředkovatele, se říkalo, že přišel z Berlí</w:t>
      </w:r>
      <w:r>
        <w:softHyphen/>
        <w:t>na, a je dostatečné svědectví, že tomu tak mohlo být. ^.Přijímajíc tuto úlohu prostředkovatele, vzala na sebe Velká Britanie ve skutečnosti odpovědnost za osud Československa,« napsal 29. č</w:t>
      </w:r>
      <w:r>
        <w:t xml:space="preserve">ervence </w:t>
      </w:r>
      <w:r>
        <w:rPr>
          <w:lang w:val="en-US" w:eastAsia="en-US" w:bidi="en-US"/>
        </w:rPr>
        <w:t xml:space="preserve">Raymond Leslie Buell </w:t>
      </w:r>
      <w:r>
        <w:t xml:space="preserve">ve velmi čteném </w:t>
      </w:r>
      <w:r>
        <w:rPr>
          <w:lang w:val="en-US" w:eastAsia="en-US" w:bidi="en-US"/>
        </w:rPr>
        <w:t xml:space="preserve">^Foreign Policy </w:t>
      </w:r>
      <w:r>
        <w:t>Bulletin«.</w:t>
      </w:r>
    </w:p>
    <w:p w:rsidR="00500724" w:rsidRDefault="00F30FB8">
      <w:pPr>
        <w:pStyle w:val="Zkladntext1"/>
        <w:shd w:val="clear" w:color="auto" w:fill="auto"/>
        <w:spacing w:after="120" w:line="209" w:lineRule="auto"/>
        <w:ind w:firstLine="0"/>
        <w:jc w:val="center"/>
      </w:pPr>
      <w:r>
        <w:t>•</w:t>
      </w:r>
    </w:p>
    <w:p w:rsidR="00500724" w:rsidRDefault="00F30FB8">
      <w:pPr>
        <w:pStyle w:val="Zkladntext1"/>
        <w:shd w:val="clear" w:color="auto" w:fill="auto"/>
        <w:spacing w:line="211" w:lineRule="auto"/>
        <w:ind w:firstLine="240"/>
      </w:pPr>
      <w:r>
        <w:t>Je těžko vědět, co vedlo Hitlera k názoru, že Britanie a Francie se nebudou stavět proti vpádu do Českoslo</w:t>
      </w:r>
      <w:r>
        <w:softHyphen/>
        <w:t>venska, ale je jasno, že počátkem srpna už sdílel tento názor s Ribbentrope</w:t>
      </w:r>
      <w:r>
        <w:t>m. Tento se vynořil ze svého prázdninového zátiší a skončil údobí zasmušilosti, které zahájil po Wiedemannově cestě do Londýna. Byl zřejmě po Hitlerově boku při červencové schůzce s ge</w:t>
      </w:r>
      <w:r>
        <w:softHyphen/>
        <w:t>nerálním štábem, když Fiihrer rozvíjel svůj plán, na</w:t>
      </w:r>
      <w:r>
        <w:softHyphen/>
        <w:t>padnout Českoslove</w:t>
      </w:r>
      <w:r>
        <w:t>nsko při vyvrcholení německých manévrů. Incident v Sudetech, podnícený henleinovci, měl poskytnout záminku. Všechny námitky důstojníků byly odsunuty a bylo jim řečeno, že vůdce má přesné ujištění, že francouzská a britská vláda nebudou bojovat. (Tady je ro</w:t>
      </w:r>
      <w:r>
        <w:t>zdíl od dřívějších zpráv, kde se říkalo, že francouzský a německý lid nebudou bojovat.)</w:t>
      </w:r>
    </w:p>
    <w:p w:rsidR="00500724" w:rsidRDefault="00F30FB8">
      <w:pPr>
        <w:pStyle w:val="Zkladntext1"/>
        <w:shd w:val="clear" w:color="auto" w:fill="auto"/>
        <w:spacing w:line="206" w:lineRule="auto"/>
      </w:pPr>
      <w:r>
        <w:t>Nepochybně byl Hitler informován o vývoji ve Francii, kde významné osobnosti z finančního světa vy</w:t>
      </w:r>
      <w:r>
        <w:softHyphen/>
        <w:t>líčily Bonnetovi nebezpečí z toho, kdyby byl Hitler hnán příliš dalek</w:t>
      </w:r>
      <w:r>
        <w:t>o. Těžko říci, do jaké míry měli tito finančníci a průmyslníci obavy ze ztrát, jež by zname</w:t>
      </w:r>
      <w:r>
        <w:softHyphen/>
        <w:t>nala pro ně válka — nebof mnozí z nich měli značné zájmy v Německu — a do jaké míry byli hnáni svou krajní nenávistí k sovětskému Rusku, zřejmému partneru Francie v</w:t>
      </w:r>
      <w:r>
        <w:t xml:space="preserve"> takové válce. Obojí asi hráío roli. Jistě také saarský majetek jedné vynikající francouz</w:t>
      </w:r>
      <w:r>
        <w:softHyphen/>
        <w:t xml:space="preserve">ské bankéřské rodiny určil směrnici. Už v červnu se říkalo, že </w:t>
      </w:r>
      <w:r>
        <w:rPr>
          <w:lang w:val="en-US" w:eastAsia="en-US" w:bidi="en-US"/>
        </w:rPr>
        <w:t xml:space="preserve">Bonnet </w:t>
      </w:r>
      <w:r>
        <w:t>se pokusí dělat Flandinovu a Lava- lovu politiku, ale až do srpna s tím neměl úspěchu pro Daladi</w:t>
      </w:r>
      <w:r>
        <w:t>erovo odmítnutí spolupracovat při tom. Značně asi Hitlera také posílilo, když francouzští socialisté a odboráři zaujali stanovisko proti válce, když ta otázka vyvstala.</w:t>
      </w:r>
    </w:p>
    <w:p w:rsidR="00500724" w:rsidRDefault="00F30FB8">
      <w:pPr>
        <w:pStyle w:val="Zkladntext1"/>
        <w:shd w:val="clear" w:color="auto" w:fill="auto"/>
        <w:spacing w:line="209" w:lineRule="auto"/>
      </w:pPr>
      <w:r>
        <w:t>Ashton-Gwatkin, člen Runcimanovy mise, letěl 24. srpna do Londýna k rozmluvě s minister</w:t>
      </w:r>
      <w:r>
        <w:t xml:space="preserve">ským předsedou a s lordem Halifaxem. Krátce po jeho návratu do Prahy bylo oznámeno, že Henlein pojede do Berchtesgadenu k Hitlerovi. Mluvilo se, že snad bude schůzka Hitlera s Runcimanem, ale </w:t>
      </w:r>
      <w:r>
        <w:rPr>
          <w:lang w:val="en-US" w:eastAsia="en-US" w:bidi="en-US"/>
        </w:rPr>
        <w:t xml:space="preserve">Chamberlain </w:t>
      </w:r>
      <w:r>
        <w:t>asi měl za to, že »nezávislý prostředkovatek se má d</w:t>
      </w:r>
      <w:r>
        <w:t>ržet opodál toho, co by později mohlo znamenat ne</w:t>
      </w:r>
      <w:r>
        <w:softHyphen/>
        <w:t>žádoucí zapletení do věci. Proto Runciman žádal Hen- leina, aby jel k Hitlerovi a vymohl na něm souhlas k tříměsíčnímu příměří, během něhož by se jednání dovedla k uspokojivému konci na základě třetího plán</w:t>
      </w:r>
      <w:r>
        <w:t>u československé vlády.</w:t>
      </w:r>
    </w:p>
    <w:p w:rsidR="00500724" w:rsidRDefault="00F30FB8">
      <w:pPr>
        <w:pStyle w:val="Zkladntext1"/>
        <w:shd w:val="clear" w:color="auto" w:fill="auto"/>
        <w:spacing w:after="240" w:line="209" w:lineRule="auto"/>
      </w:pPr>
      <w:r>
        <w:rPr>
          <w:lang w:val="en-US" w:eastAsia="en-US" w:bidi="en-US"/>
        </w:rPr>
        <w:t xml:space="preserve">Goebbels, Ribbentrop </w:t>
      </w:r>
      <w:r>
        <w:t>a Góringův pobočník byli s Hitlerem, když byl Henlein zavolán dovnitř; před</w:t>
      </w:r>
      <w:r>
        <w:softHyphen/>
        <w:t>tím čekal nějakou dobu v předsíni — což podivně při</w:t>
      </w:r>
      <w:r>
        <w:softHyphen/>
        <w:t>pomíná návštěvu Schuschniggovu. Veliká zdrželivost v německých kruzích i u heideino</w:t>
      </w:r>
      <w:r>
        <w:t>vců zabránila pro</w:t>
      </w:r>
      <w:r>
        <w:softHyphen/>
        <w:t>niknutí jakýchkoli informací navenek. Úřední zpráva, vydaná v Berchtesgadenu, jen pravila, že Henlein na Runcimanovu žádost vyložil průběh jednání a že &gt;v posuzování situace byla sjednána naprostá totož</w:t>
      </w:r>
      <w:r>
        <w:softHyphen/>
        <w:t>ností. V Praze pak jednání ještě je</w:t>
      </w:r>
      <w:r>
        <w:t>dnou započala, ale později se ukázalo, že Hitler odmítl příměří. Tímto odmítnutím dal Hitler jasně najevo svůj úmysl likvido</w:t>
      </w:r>
      <w:r>
        <w:softHyphen/>
        <w:t>vat brzy československý problém. Rozmluva Henleino- va s Hitlerem znamená tedy počátek súdobí krise«.</w:t>
      </w:r>
    </w:p>
    <w:p w:rsidR="00500724" w:rsidRDefault="00F30FB8">
      <w:pPr>
        <w:pStyle w:val="Zkladntext1"/>
        <w:shd w:val="clear" w:color="auto" w:fill="auto"/>
        <w:spacing w:line="197" w:lineRule="auto"/>
        <w:ind w:firstLine="0"/>
        <w:rPr>
          <w:sz w:val="20"/>
          <w:szCs w:val="20"/>
        </w:rPr>
      </w:pPr>
      <w:r>
        <w:rPr>
          <w:i/>
          <w:iCs/>
          <w:sz w:val="20"/>
          <w:szCs w:val="20"/>
        </w:rPr>
        <w:t>J osef Kalmer:</w:t>
      </w:r>
    </w:p>
    <w:p w:rsidR="00500724" w:rsidRDefault="00F30FB8">
      <w:pPr>
        <w:pStyle w:val="Nadpis100"/>
        <w:shd w:val="clear" w:color="auto" w:fill="auto"/>
        <w:spacing w:after="0" w:line="218" w:lineRule="auto"/>
      </w:pPr>
      <w:bookmarkStart w:id="73" w:name="bookmark72"/>
      <w:r>
        <w:t xml:space="preserve">Co se děje v </w:t>
      </w:r>
      <w:r>
        <w:t>Číně</w:t>
      </w:r>
      <w:bookmarkEnd w:id="73"/>
    </w:p>
    <w:p w:rsidR="00500724" w:rsidRDefault="00F30FB8">
      <w:pPr>
        <w:pStyle w:val="Zkladntext1"/>
        <w:shd w:val="clear" w:color="auto" w:fill="auto"/>
        <w:spacing w:line="221" w:lineRule="auto"/>
        <w:ind w:firstLine="300"/>
        <w:rPr>
          <w:sz w:val="18"/>
          <w:szCs w:val="18"/>
        </w:rPr>
      </w:pPr>
      <w:r>
        <w:rPr>
          <w:sz w:val="18"/>
          <w:szCs w:val="18"/>
        </w:rPr>
        <w:t>Dnes jsou si zúčastněné koloniální velmoci vědomy, že těžko mohou vésti válku s Japonskem, jako nemohly za</w:t>
      </w:r>
      <w:r>
        <w:rPr>
          <w:sz w:val="18"/>
          <w:szCs w:val="18"/>
        </w:rPr>
        <w:softHyphen/>
        <w:t>brániti útoku na Čínu. Nedovolují to už ani ohledy na politické poměry v Evropě. Všechny protesty proti ja</w:t>
      </w:r>
      <w:r>
        <w:rPr>
          <w:sz w:val="18"/>
          <w:szCs w:val="18"/>
        </w:rPr>
        <w:softHyphen/>
        <w:t>ponskému postupu zůstávají na papíře,</w:t>
      </w:r>
      <w:r>
        <w:rPr>
          <w:sz w:val="18"/>
          <w:szCs w:val="18"/>
        </w:rPr>
        <w:t xml:space="preserve"> zatím co Japonsko uzavřelo plavbu na Jangcekiangu a Žluté řece, znemož</w:t>
      </w:r>
      <w:r>
        <w:rPr>
          <w:sz w:val="18"/>
          <w:szCs w:val="18"/>
        </w:rPr>
        <w:softHyphen/>
        <w:t>ňujíc také obchod přes Honkong, Kanton a Sanhaj. Mezi</w:t>
      </w:r>
      <w:r>
        <w:rPr>
          <w:sz w:val="18"/>
          <w:szCs w:val="18"/>
        </w:rPr>
        <w:softHyphen/>
        <w:t>národní řeky Číny mění se v japonské toky a dveře k ob</w:t>
      </w:r>
      <w:r>
        <w:rPr>
          <w:sz w:val="18"/>
          <w:szCs w:val="18"/>
        </w:rPr>
        <w:softHyphen/>
        <w:t>chodu v jižní a střední Číně jsou zataraseny.</w:t>
      </w:r>
    </w:p>
    <w:p w:rsidR="00500724" w:rsidRDefault="00F30FB8">
      <w:pPr>
        <w:pStyle w:val="Zkladntext1"/>
        <w:shd w:val="clear" w:color="auto" w:fill="auto"/>
        <w:spacing w:line="221" w:lineRule="auto"/>
        <w:ind w:firstLine="300"/>
        <w:rPr>
          <w:sz w:val="18"/>
          <w:szCs w:val="18"/>
        </w:rPr>
        <w:sectPr w:rsidR="00500724">
          <w:footnotePr>
            <w:numFmt w:val="chicago"/>
            <w:numRestart w:val="eachPage"/>
          </w:footnotePr>
          <w:type w:val="continuous"/>
          <w:pgSz w:w="11909" w:h="16834"/>
          <w:pgMar w:top="927" w:right="912" w:bottom="688" w:left="528" w:header="0" w:footer="3" w:gutter="0"/>
          <w:cols w:num="2" w:space="100"/>
          <w:noEndnote/>
          <w:docGrid w:linePitch="360"/>
        </w:sectPr>
      </w:pPr>
      <w:r>
        <w:rPr>
          <w:sz w:val="18"/>
          <w:szCs w:val="18"/>
        </w:rPr>
        <w:t>Válkou proti Číně nejsou však ještě japonské záměry splněny. Japonsko si klade za cíl, dobyti také Sibiře až k Bajkalskému jezeru. Proto pozorujeme pohyb japon</w:t>
      </w:r>
      <w:r>
        <w:rPr>
          <w:sz w:val="18"/>
          <w:szCs w:val="18"/>
        </w:rPr>
        <w:softHyphen/>
        <w:t>ských vojsk jižně od poušti Gobi ve vnitřním Mongol- sku. Je to velký obchvacovací manévr japon</w:t>
      </w:r>
      <w:r>
        <w:rPr>
          <w:sz w:val="18"/>
          <w:szCs w:val="18"/>
        </w:rPr>
        <w:t>ské armády, která se snaží odříznouti Rusko od cesty přes severo-</w:t>
      </w:r>
    </w:p>
    <w:p w:rsidR="00500724" w:rsidRDefault="00F30FB8">
      <w:pPr>
        <w:pStyle w:val="Jin0"/>
        <w:shd w:val="clear" w:color="auto" w:fill="auto"/>
        <w:tabs>
          <w:tab w:val="left" w:leader="dot" w:pos="4440"/>
          <w:tab w:val="left" w:leader="dot" w:pos="4562"/>
          <w:tab w:val="left" w:pos="10374"/>
        </w:tabs>
        <w:ind w:left="4240" w:firstLine="0"/>
        <w:rPr>
          <w:sz w:val="15"/>
          <w:szCs w:val="15"/>
        </w:rPr>
        <w:sectPr w:rsidR="00500724">
          <w:footnotePr>
            <w:numFmt w:val="chicago"/>
            <w:numRestart w:val="eachPage"/>
          </w:footnotePr>
          <w:pgSz w:w="11909" w:h="16834"/>
          <w:pgMar w:top="1261" w:right="668" w:bottom="1290" w:left="581" w:header="0" w:footer="3" w:gutter="0"/>
          <w:cols w:space="720"/>
          <w:noEndnote/>
          <w:docGrid w:linePitch="360"/>
        </w:sectPr>
      </w:pPr>
      <w:r>
        <w:rPr>
          <w:rFonts w:ascii="Arial" w:eastAsia="Arial" w:hAnsi="Arial" w:cs="Arial"/>
          <w:strike/>
          <w:sz w:val="11"/>
          <w:szCs w:val="11"/>
        </w:rPr>
        <w:tab/>
      </w:r>
      <w:r>
        <w:rPr>
          <w:rFonts w:ascii="Arial" w:eastAsia="Arial" w:hAnsi="Arial" w:cs="Arial"/>
          <w:strike/>
          <w:sz w:val="11"/>
          <w:szCs w:val="11"/>
        </w:rPr>
        <w:tab/>
        <w:t xml:space="preserve"> </w:t>
      </w:r>
      <w:r>
        <w:rPr>
          <w:rFonts w:ascii="Arial" w:eastAsia="Arial" w:hAnsi="Arial" w:cs="Arial"/>
          <w:strike/>
          <w:sz w:val="11"/>
          <w:szCs w:val="11"/>
          <w:vertAlign w:val="superscript"/>
        </w:rPr>
        <w:t>11</w:t>
      </w:r>
      <w:r>
        <w:rPr>
          <w:rFonts w:ascii="Arial" w:eastAsia="Arial" w:hAnsi="Arial" w:cs="Arial"/>
          <w:strike/>
          <w:sz w:val="11"/>
          <w:szCs w:val="11"/>
        </w:rPr>
        <w:tab/>
      </w:r>
      <w:r>
        <w:rPr>
          <w:rFonts w:ascii="Arial" w:eastAsia="Arial" w:hAnsi="Arial" w:cs="Arial"/>
          <w:strike/>
          <w:sz w:val="11"/>
          <w:szCs w:val="11"/>
          <w:lang w:val="en-US" w:eastAsia="en-US" w:bidi="en-US"/>
        </w:rPr>
        <w:t>J</w:t>
      </w:r>
      <w:r>
        <w:rPr>
          <w:sz w:val="15"/>
          <w:szCs w:val="15"/>
          <w:lang w:val="en-US" w:eastAsia="en-US" w:bidi="en-US"/>
        </w:rPr>
        <w:t xml:space="preserve"> </w:t>
      </w:r>
      <w:r>
        <w:rPr>
          <w:sz w:val="15"/>
          <w:szCs w:val="15"/>
        </w:rPr>
        <w:t>r</w:t>
      </w:r>
    </w:p>
    <w:p w:rsidR="00500724" w:rsidRDefault="00500724">
      <w:pPr>
        <w:spacing w:line="18" w:lineRule="exact"/>
        <w:rPr>
          <w:sz w:val="2"/>
          <w:szCs w:val="2"/>
        </w:rPr>
      </w:pPr>
    </w:p>
    <w:p w:rsidR="00500724" w:rsidRDefault="00500724">
      <w:pPr>
        <w:spacing w:line="14" w:lineRule="exact"/>
        <w:sectPr w:rsidR="00500724">
          <w:footnotePr>
            <w:numFmt w:val="chicago"/>
            <w:numRestart w:val="eachPage"/>
          </w:footnotePr>
          <w:type w:val="continuous"/>
          <w:pgSz w:w="11909" w:h="16834"/>
          <w:pgMar w:top="1262" w:right="0" w:bottom="1288" w:left="0" w:header="0" w:footer="3" w:gutter="0"/>
          <w:cols w:space="720"/>
          <w:noEndnote/>
          <w:docGrid w:linePitch="360"/>
        </w:sectPr>
      </w:pPr>
    </w:p>
    <w:p w:rsidR="00500724" w:rsidRDefault="00F30FB8">
      <w:pPr>
        <w:pStyle w:val="Zkladntext1"/>
        <w:shd w:val="clear" w:color="auto" w:fill="auto"/>
        <w:spacing w:line="221" w:lineRule="auto"/>
        <w:ind w:firstLine="0"/>
        <w:rPr>
          <w:sz w:val="18"/>
          <w:szCs w:val="18"/>
        </w:rPr>
      </w:pPr>
      <w:r>
        <w:rPr>
          <w:sz w:val="18"/>
          <w:szCs w:val="18"/>
        </w:rPr>
        <w:t>západní provincii Sinkian a zabránili íak zásobování Cíny ruskými zbraněmi. Kromě toho obnažuje obsazení vnitřního Mongolská</w:t>
      </w:r>
      <w:r>
        <w:rPr>
          <w:sz w:val="18"/>
          <w:szCs w:val="18"/>
        </w:rPr>
        <w:t xml:space="preserve"> ruské křídlo v délce 2000 km. Vý</w:t>
      </w:r>
      <w:r>
        <w:rPr>
          <w:sz w:val="18"/>
          <w:szCs w:val="18"/>
        </w:rPr>
        <w:softHyphen/>
        <w:t>pad přes vnější Mongolsko, i kdyby byl sebe těžší, od</w:t>
      </w:r>
      <w:r>
        <w:rPr>
          <w:sz w:val="18"/>
          <w:szCs w:val="18"/>
        </w:rPr>
        <w:softHyphen/>
        <w:t>řízl by celou východní Sibiř a pobřežní provincii s Vladi- vostokem. Proto má Rusko smlouvu s mongolskou lido</w:t>
      </w:r>
      <w:r>
        <w:rPr>
          <w:sz w:val="18"/>
          <w:szCs w:val="18"/>
        </w:rPr>
        <w:softHyphen/>
        <w:t>vou republikou, která je nárazníkovým státem. A proto je R</w:t>
      </w:r>
      <w:r>
        <w:rPr>
          <w:sz w:val="18"/>
          <w:szCs w:val="18"/>
        </w:rPr>
        <w:t>usko na Dálném východě tak bdělé.</w:t>
      </w:r>
    </w:p>
    <w:p w:rsidR="00500724" w:rsidRDefault="00F30FB8">
      <w:pPr>
        <w:pStyle w:val="Zkladntext1"/>
        <w:shd w:val="clear" w:color="auto" w:fill="auto"/>
        <w:spacing w:line="221" w:lineRule="auto"/>
        <w:ind w:firstLine="300"/>
        <w:rPr>
          <w:sz w:val="18"/>
          <w:szCs w:val="18"/>
        </w:rPr>
      </w:pPr>
      <w:r>
        <w:rPr>
          <w:sz w:val="18"/>
          <w:szCs w:val="18"/>
        </w:rPr>
        <w:t>Ale může Rusko Číně pomoci? Není pravděpodobné, že se Rusko odhodlá válku s Japonskem z a č í t i. Jisto je však, že odpoví na incidenty, které by Japonsko vy</w:t>
      </w:r>
      <w:r>
        <w:rPr>
          <w:sz w:val="18"/>
          <w:szCs w:val="18"/>
        </w:rPr>
        <w:softHyphen/>
        <w:t>volalo.</w:t>
      </w:r>
    </w:p>
    <w:p w:rsidR="00500724" w:rsidRDefault="00F30FB8">
      <w:pPr>
        <w:pStyle w:val="Zkladntext1"/>
        <w:shd w:val="clear" w:color="auto" w:fill="auto"/>
        <w:spacing w:after="100" w:line="218" w:lineRule="auto"/>
        <w:ind w:firstLine="300"/>
        <w:rPr>
          <w:sz w:val="18"/>
          <w:szCs w:val="18"/>
        </w:rPr>
      </w:pPr>
      <w:r>
        <w:rPr>
          <w:sz w:val="18"/>
          <w:szCs w:val="18"/>
        </w:rPr>
        <w:t xml:space="preserve">Může však Rusko vůbec vésti válku? Neměly Ježo- vovy </w:t>
      </w:r>
      <w:r>
        <w:rPr>
          <w:sz w:val="18"/>
          <w:szCs w:val="18"/>
        </w:rPr>
        <w:t>čistky v armádě takové následky, že Sovětský Svaz ztratil nadlouho důležité podmínky úspěchu? Na tuto otázku nemůžeme dáti jednoznačnou odpověď, protože jsme odkázáni na dohady. Přes to lze však říci: co se týče ošacení, výzbroje a zásobování, má armáda st</w:t>
      </w:r>
      <w:r>
        <w:rPr>
          <w:sz w:val="18"/>
          <w:szCs w:val="18"/>
        </w:rPr>
        <w:t>andard, jaký nemá v Rusku nikdo jiný. Ruská armáda pozůstává z rolníků a dělníků. I když jsou rolníci nespokojeni, že jejich soukromé vlastnictví bylo převedeno do kolcho- zů, je přece pravděpodobné, že budou bojovat, jako bo</w:t>
      </w:r>
      <w:r>
        <w:rPr>
          <w:sz w:val="18"/>
          <w:szCs w:val="18"/>
        </w:rPr>
        <w:softHyphen/>
        <w:t>jovali za nenáviděného cara. P</w:t>
      </w:r>
      <w:r>
        <w:rPr>
          <w:sz w:val="18"/>
          <w:szCs w:val="18"/>
        </w:rPr>
        <w:t>olitická výchova v armádě říká jim mimo to velmi názorně, že na návratu velko</w:t>
      </w:r>
      <w:r>
        <w:rPr>
          <w:sz w:val="18"/>
          <w:szCs w:val="18"/>
        </w:rPr>
        <w:softHyphen/>
        <w:t>statkářů mohli by jenom prodělat. Deportace tak zva</w:t>
      </w:r>
      <w:r>
        <w:rPr>
          <w:sz w:val="18"/>
          <w:szCs w:val="18"/>
        </w:rPr>
        <w:softHyphen/>
        <w:t>ných kulaků, kteří nemuseli být velkými sedláky, nýbrž prostě nespokojenci, přestala. O nespokojenosti dělnictva svědčí okolno</w:t>
      </w:r>
      <w:r>
        <w:rPr>
          <w:sz w:val="18"/>
          <w:szCs w:val="18"/>
        </w:rPr>
        <w:t>st, že vláda zavedla pracovní knížky, do kterých se zapisuje dělníkovo chování. Má to být opa</w:t>
      </w:r>
      <w:r>
        <w:rPr>
          <w:sz w:val="18"/>
          <w:szCs w:val="18"/>
        </w:rPr>
        <w:softHyphen/>
        <w:t>tření proti přebíhání z továrny do továrny, ale je po</w:t>
      </w:r>
      <w:r>
        <w:rPr>
          <w:sz w:val="18"/>
          <w:szCs w:val="18"/>
        </w:rPr>
        <w:softHyphen/>
        <w:t xml:space="preserve">chybné, bude-li mít očekávané výsledky. Nespokojenost dokazuje i to, že některá průmyslová odvětví vyrábějí </w:t>
      </w:r>
      <w:r>
        <w:rPr>
          <w:sz w:val="18"/>
          <w:szCs w:val="18"/>
        </w:rPr>
        <w:t>až 45 procent braku. Nelze tedy vědět, jak se ve válce zachovají dělničtí záložníci.</w:t>
      </w:r>
    </w:p>
    <w:p w:rsidR="00500724" w:rsidRDefault="00F30FB8">
      <w:pPr>
        <w:pStyle w:val="Zkladntext1"/>
        <w:shd w:val="clear" w:color="auto" w:fill="auto"/>
        <w:spacing w:line="221" w:lineRule="auto"/>
        <w:ind w:firstLine="1160"/>
        <w:rPr>
          <w:sz w:val="18"/>
          <w:szCs w:val="18"/>
        </w:rPr>
      </w:pPr>
      <w:r>
        <w:rPr>
          <w:sz w:val="18"/>
          <w:szCs w:val="18"/>
        </w:rPr>
        <w:t>Důstojnický sbor ruský, který je ostatně ze všech evropských armád největší, byl už patrně novou kontrolou (po odstranění Ježova) doplněn. Nelze zjistit, do jaké míry se v</w:t>
      </w:r>
      <w:r>
        <w:rPr>
          <w:sz w:val="18"/>
          <w:szCs w:val="18"/>
        </w:rPr>
        <w:t>rátili na své místa vyšší důstojníci, ale vláda se pokusila vyplniti me</w:t>
      </w:r>
      <w:r>
        <w:rPr>
          <w:sz w:val="18"/>
          <w:szCs w:val="18"/>
        </w:rPr>
        <w:softHyphen/>
        <w:t>zery předčasným jmenováním nových štábních dŮJ stojníků.</w:t>
      </w:r>
    </w:p>
    <w:p w:rsidR="00500724" w:rsidRDefault="00F30FB8">
      <w:pPr>
        <w:pStyle w:val="Zkladntext1"/>
        <w:shd w:val="clear" w:color="auto" w:fill="auto"/>
        <w:spacing w:line="221" w:lineRule="auto"/>
        <w:ind w:firstLine="300"/>
        <w:rPr>
          <w:sz w:val="18"/>
          <w:szCs w:val="18"/>
        </w:rPr>
      </w:pPr>
      <w:r>
        <w:rPr>
          <w:sz w:val="18"/>
          <w:szCs w:val="18"/>
        </w:rPr>
        <w:t xml:space="preserve">Otázka, zda Rusko chce a může Číně pomoci, musí tedy zůstat nezodpověděna. Ale jak se chovají Spojené Státy, Anglie a Francie? </w:t>
      </w:r>
      <w:r>
        <w:rPr>
          <w:sz w:val="18"/>
          <w:szCs w:val="18"/>
        </w:rPr>
        <w:t>Je známo, že hned po vypuknutí války povolily tyto velmoci čínskému ministru financi velké úvěry. Není také tajemstvím, že Anglie uvolnila v prosinci 1938 pro Cínu 500.000 liber a Spojené Státy 25 milionů dolarů. Zdálo by se tedy, že tyto státy chtějí Číně</w:t>
      </w:r>
      <w:r>
        <w:rPr>
          <w:sz w:val="18"/>
          <w:szCs w:val="18"/>
        </w:rPr>
        <w:t xml:space="preserve"> pomoci. Ale jak může tato pomoc působit?</w:t>
      </w:r>
    </w:p>
    <w:p w:rsidR="00500724" w:rsidRDefault="00F30FB8">
      <w:pPr>
        <w:pStyle w:val="Zkladntext1"/>
        <w:shd w:val="clear" w:color="auto" w:fill="auto"/>
        <w:spacing w:after="100" w:line="221" w:lineRule="auto"/>
        <w:ind w:firstLine="300"/>
        <w:rPr>
          <w:sz w:val="18"/>
          <w:szCs w:val="18"/>
        </w:rPr>
      </w:pPr>
      <w:r>
        <w:rPr>
          <w:sz w:val="18"/>
          <w:szCs w:val="18"/>
        </w:rPr>
        <w:t xml:space="preserve">Pobřeží Cíny je dokonale zablokováno. Dovoz zbraní, střeliva a letadel z Ruska trpí tím, že cesty stačí sotva pro karavany velbloudů. Nevíme, zda je cesta z Cunkinu, kde teď Cankajšek sídlí, přes Sinkian do </w:t>
      </w:r>
      <w:r>
        <w:rPr>
          <w:sz w:val="18"/>
          <w:szCs w:val="18"/>
        </w:rPr>
        <w:t>Sergiopolu — tedy až k první ruské železnici - už dokončena a zda mohou po ní jezdit nákladní automobily. Naproti tomu víme, že cesta z Cunkinu přes čínskou provincii Jůnan do britské kolonie Burmy je už dávno hotova a hodí se pro všechny druhy automobilov</w:t>
      </w:r>
      <w:r>
        <w:rPr>
          <w:sz w:val="18"/>
          <w:szCs w:val="18"/>
        </w:rPr>
        <w:t>é dopravy. Americký vyslanec Nelson T. Johnson vykonal tuto cestu 2100 anglických mil dlouhou za 17 dnů. Domníváme se, že je to spolehlivý svědek.</w:t>
      </w:r>
    </w:p>
    <w:p w:rsidR="00500724" w:rsidRDefault="00F30FB8">
      <w:pPr>
        <w:pStyle w:val="Zkladntext1"/>
        <w:shd w:val="clear" w:color="auto" w:fill="auto"/>
        <w:spacing w:after="100" w:line="223" w:lineRule="auto"/>
        <w:ind w:firstLine="780"/>
        <w:rPr>
          <w:sz w:val="18"/>
          <w:szCs w:val="18"/>
        </w:rPr>
      </w:pPr>
      <w:r>
        <w:rPr>
          <w:sz w:val="18"/>
          <w:szCs w:val="18"/>
        </w:rPr>
        <w:t>Tisíc nákladních automobilů, které byly zaplaceny z amerického úvěru, je už na cestě ze Spojených Států do Ra</w:t>
      </w:r>
      <w:r>
        <w:rPr>
          <w:sz w:val="18"/>
          <w:szCs w:val="18"/>
        </w:rPr>
        <w:t xml:space="preserve">ngoonu. Můžeme s jistotou předpokládat, že v Rangoonu naloží válečný materiál a pojedou do Cunkinu. Čína hledá prostředky a cesty, aby mohla ve válce pokračovat. Spojené Státy a Velká Britanie budou ji podporovat. Budou bojovat až do těch hrdel posledních </w:t>
      </w:r>
      <w:r>
        <w:rPr>
          <w:sz w:val="18"/>
          <w:szCs w:val="18"/>
        </w:rPr>
        <w:t>Číňanů, aby se zavřené dveře znovu otevřely, aby zas získaly trh 450 milionů lidí</w:t>
      </w:r>
      <w:r>
        <w:rPr>
          <w:sz w:val="18"/>
          <w:szCs w:val="18"/>
          <w:vertAlign w:val="subscript"/>
        </w:rPr>
        <w:t>P</w:t>
      </w:r>
      <w:r>
        <w:rPr>
          <w:sz w:val="18"/>
          <w:szCs w:val="18"/>
        </w:rPr>
        <w:t xml:space="preserve"> který jim Japonsko vzalo. Ani Spojené Stály, ani Anglie ne</w:t>
      </w:r>
      <w:r>
        <w:rPr>
          <w:sz w:val="18"/>
          <w:szCs w:val="18"/>
        </w:rPr>
        <w:softHyphen/>
        <w:t>povedou však válku. Vedoucí finančníci řekli už v Lon</w:t>
      </w:r>
      <w:r>
        <w:rPr>
          <w:sz w:val="18"/>
          <w:szCs w:val="18"/>
        </w:rPr>
        <w:softHyphen/>
        <w:t>dýně několikrát, že britské investice v Číně jsou mno</w:t>
      </w:r>
      <w:r>
        <w:rPr>
          <w:sz w:val="18"/>
          <w:szCs w:val="18"/>
        </w:rPr>
        <w:softHyphen/>
        <w:t>hem me</w:t>
      </w:r>
      <w:r>
        <w:rPr>
          <w:sz w:val="18"/>
          <w:szCs w:val="18"/>
        </w:rPr>
        <w:t xml:space="preserve">nší, než by byly výdaje na válku (o situaci v Evropě ani nemluvě). Není také pravděpodobné, že by Velká Britanie sáhla k sankcím proti Japonsku, dokud k takové akci nedají podnět Spojené Státy. Dá se ovšem očekávat, že USA něco podobného připravují. Jisto </w:t>
      </w:r>
      <w:r>
        <w:rPr>
          <w:sz w:val="18"/>
          <w:szCs w:val="18"/>
        </w:rPr>
        <w:t>je, že president Roosevelt takovou akci chce. V řeči ze 4. ledna 1939 prohlásil naprosto jasně, že Amerika uva</w:t>
      </w:r>
      <w:r>
        <w:rPr>
          <w:sz w:val="18"/>
          <w:szCs w:val="18"/>
        </w:rPr>
        <w:softHyphen/>
        <w:t>žuje o zrušení zákona o neutralitě — a byla to zřejmá hrozba na adresu Japonska. Mimo to mluvil také o za</w:t>
      </w:r>
      <w:r>
        <w:rPr>
          <w:sz w:val="18"/>
          <w:szCs w:val="18"/>
        </w:rPr>
        <w:softHyphen/>
        <w:t>vedení prohibičních dovozních cel.</w:t>
      </w:r>
    </w:p>
    <w:p w:rsidR="00500724" w:rsidRDefault="00F30FB8">
      <w:pPr>
        <w:pStyle w:val="Zkladntext1"/>
        <w:shd w:val="clear" w:color="auto" w:fill="auto"/>
        <w:spacing w:after="40" w:line="218" w:lineRule="auto"/>
        <w:ind w:firstLine="0"/>
        <w:jc w:val="center"/>
        <w:rPr>
          <w:sz w:val="18"/>
          <w:szCs w:val="18"/>
        </w:rPr>
      </w:pPr>
      <w:r>
        <w:rPr>
          <w:sz w:val="18"/>
          <w:szCs w:val="18"/>
        </w:rPr>
        <w:t>Hosp</w:t>
      </w:r>
      <w:r>
        <w:rPr>
          <w:sz w:val="18"/>
          <w:szCs w:val="18"/>
        </w:rPr>
        <w:t>odářskou válku</w:t>
      </w:r>
    </w:p>
    <w:p w:rsidR="00500724" w:rsidRDefault="00F30FB8">
      <w:pPr>
        <w:pStyle w:val="Zkladntext1"/>
        <w:shd w:val="clear" w:color="auto" w:fill="auto"/>
        <w:spacing w:after="40" w:line="218" w:lineRule="auto"/>
        <w:ind w:firstLine="0"/>
        <w:rPr>
          <w:sz w:val="18"/>
          <w:szCs w:val="18"/>
        </w:rPr>
      </w:pPr>
      <w:r>
        <w:rPr>
          <w:sz w:val="18"/>
          <w:szCs w:val="18"/>
        </w:rPr>
        <w:t>tohoto druhu nemohlo by Japonsko vydržet. Na rozdíl od Cíny nemá úvěr nikde ve světě. Vlastní finanční pra</w:t>
      </w:r>
      <w:r>
        <w:rPr>
          <w:sz w:val="18"/>
          <w:szCs w:val="18"/>
        </w:rPr>
        <w:softHyphen/>
        <w:t>meny vyčerpalo do té míry, že půjčky, jichž je třeba pro válku, abyvatelstvo téměř neupisuje, a musely být proto převzaty bankami. Ned</w:t>
      </w:r>
      <w:r>
        <w:rPr>
          <w:sz w:val="18"/>
          <w:szCs w:val="18"/>
        </w:rPr>
        <w:t>ostatek surovin může odstranit jenom měrou velmi skrovnou, dovoz je zřejmě stále menší. Dovoz zahraničního zboží do severní Cíny a do vnitřního Mongolská byl nedávno úplně podvázán, pro</w:t>
      </w:r>
      <w:r>
        <w:rPr>
          <w:sz w:val="18"/>
          <w:szCs w:val="18"/>
        </w:rPr>
        <w:softHyphen/>
        <w:t>tože tyto oblasti byly připojeny k japonské měně, ovliv</w:t>
      </w:r>
      <w:r>
        <w:rPr>
          <w:sz w:val="18"/>
          <w:szCs w:val="18"/>
        </w:rPr>
        <w:softHyphen/>
        <w:t>ňujíce nepřízn</w:t>
      </w:r>
      <w:r>
        <w:rPr>
          <w:sz w:val="18"/>
          <w:szCs w:val="18"/>
        </w:rPr>
        <w:t>ivě bilanci japonského zahraničního ob</w:t>
      </w:r>
      <w:r>
        <w:rPr>
          <w:sz w:val="18"/>
          <w:szCs w:val="18"/>
        </w:rPr>
        <w:softHyphen/>
        <w:t>chodu. Japonsko, smíme-li tak říci, stravuje samo sebe. V dobytých územích musí Japonsko rdousili především dovoz zboží, které se vyrábí v »maleřské« zemi. Všechno zboží, jehož výroba vyžaduje dovoz zahraničních suro</w:t>
      </w:r>
      <w:r>
        <w:rPr>
          <w:sz w:val="18"/>
          <w:szCs w:val="18"/>
        </w:rPr>
        <w:softHyphen/>
      </w:r>
      <w:r>
        <w:rPr>
          <w:sz w:val="18"/>
          <w:szCs w:val="18"/>
        </w:rPr>
        <w:t>vin, smí se vyváželi z Japonska do Cíny jenom pro po</w:t>
      </w:r>
      <w:r>
        <w:rPr>
          <w:sz w:val="18"/>
          <w:szCs w:val="18"/>
        </w:rPr>
        <w:softHyphen/>
        <w:t>třeby armády a nikoli pro obyvatelstvo dobytých krajů. Všechno, co se dá vyvážet, musí se schovávat především pro vývoz do neutrálních zemí, které mohou platit devi- sami. Při tom však má svět stále větš</w:t>
      </w:r>
      <w:r>
        <w:rPr>
          <w:sz w:val="18"/>
          <w:szCs w:val="18"/>
        </w:rPr>
        <w:t>í nechuť kupovali japonské zboží, a Rooseveltova řeč přispěla k tomu jistě vélmi silně.</w:t>
      </w:r>
    </w:p>
    <w:p w:rsidR="00500724" w:rsidRDefault="00F30FB8">
      <w:pPr>
        <w:pStyle w:val="Zkladntext1"/>
        <w:shd w:val="clear" w:color="auto" w:fill="auto"/>
        <w:spacing w:after="100" w:line="218" w:lineRule="auto"/>
        <w:ind w:firstLine="200"/>
        <w:rPr>
          <w:sz w:val="18"/>
          <w:szCs w:val="18"/>
        </w:rPr>
      </w:pPr>
      <w:r>
        <w:rPr>
          <w:sz w:val="18"/>
          <w:szCs w:val="18"/>
        </w:rPr>
        <w:t>Finanční situace Japonska je jedním z důvodů, proč Rusko ve východní Asii vyčkává. Sovětský Svaz čeká, až Japonsko finančně vykrvácí. Nepočítáme-li vůbec s oběfmi na li</w:t>
      </w:r>
      <w:r>
        <w:rPr>
          <w:sz w:val="18"/>
          <w:szCs w:val="18"/>
        </w:rPr>
        <w:t>dech a materiálu, snižují se tím vyhlídky války proti Rusku velmi podstatně.</w:t>
      </w:r>
    </w:p>
    <w:p w:rsidR="00500724" w:rsidRDefault="00F30FB8">
      <w:pPr>
        <w:pStyle w:val="Zkladntext1"/>
        <w:shd w:val="clear" w:color="auto" w:fill="auto"/>
        <w:spacing w:after="40" w:line="218" w:lineRule="auto"/>
        <w:ind w:firstLine="0"/>
        <w:jc w:val="center"/>
        <w:rPr>
          <w:sz w:val="18"/>
          <w:szCs w:val="18"/>
        </w:rPr>
      </w:pPr>
      <w:r>
        <w:rPr>
          <w:sz w:val="18"/>
          <w:szCs w:val="18"/>
        </w:rPr>
        <w:t>Vojenské vítězství</w:t>
      </w:r>
    </w:p>
    <w:p w:rsidR="00500724" w:rsidRDefault="00F30FB8">
      <w:pPr>
        <w:pStyle w:val="Zkladntext1"/>
        <w:shd w:val="clear" w:color="auto" w:fill="auto"/>
        <w:spacing w:after="40" w:line="218" w:lineRule="auto"/>
        <w:ind w:firstLine="0"/>
        <w:rPr>
          <w:sz w:val="18"/>
          <w:szCs w:val="18"/>
        </w:rPr>
      </w:pPr>
      <w:r>
        <w:rPr>
          <w:sz w:val="18"/>
          <w:szCs w:val="18"/>
        </w:rPr>
        <w:t>Japonska zdá se být v Číně nepochybné. Jak je tomu ve skutečnosti? V Sanhaji vládnou dva názory, čínská armá</w:t>
      </w:r>
      <w:r>
        <w:rPr>
          <w:sz w:val="18"/>
          <w:szCs w:val="18"/>
        </w:rPr>
        <w:softHyphen/>
        <w:t>da je poražena, říkalo se již před rokem, její morá</w:t>
      </w:r>
      <w:r>
        <w:rPr>
          <w:sz w:val="18"/>
          <w:szCs w:val="18"/>
        </w:rPr>
        <w:t>lka je podlomena, Japonsko může dělat, co chce, může získat dokonce nadvládu nad celou Čínou. Druhý názor — a zdá se, že je správnější - praví: bojovné odhodlání Čí</w:t>
      </w:r>
      <w:r>
        <w:rPr>
          <w:sz w:val="18"/>
          <w:szCs w:val="18"/>
        </w:rPr>
        <w:softHyphen/>
        <w:t xml:space="preserve">ňanů je teprve v počátcích. Japonská vítězství jsou jako vítězství Napoleonovo u </w:t>
      </w:r>
      <w:r>
        <w:rPr>
          <w:sz w:val="18"/>
          <w:szCs w:val="18"/>
          <w:lang w:val="en-US" w:eastAsia="en-US" w:bidi="en-US"/>
        </w:rPr>
        <w:t xml:space="preserve">Borodina, </w:t>
      </w:r>
      <w:r>
        <w:rPr>
          <w:sz w:val="18"/>
          <w:szCs w:val="18"/>
        </w:rPr>
        <w:t>několik mil před Moskvou. Žádný z těchto názorů není úplně správný nebo nesprávný.</w:t>
      </w:r>
    </w:p>
    <w:p w:rsidR="00500724" w:rsidRDefault="00F30FB8">
      <w:pPr>
        <w:pStyle w:val="Zkladntext1"/>
        <w:shd w:val="clear" w:color="auto" w:fill="auto"/>
        <w:spacing w:line="218" w:lineRule="auto"/>
        <w:ind w:firstLine="200"/>
        <w:rPr>
          <w:sz w:val="18"/>
          <w:szCs w:val="18"/>
        </w:rPr>
      </w:pPr>
      <w:r>
        <w:rPr>
          <w:sz w:val="18"/>
          <w:szCs w:val="18"/>
        </w:rPr>
        <w:t>Čínský válečný plán počítal od první chvíle s takti</w:t>
      </w:r>
      <w:r>
        <w:rPr>
          <w:sz w:val="18"/>
          <w:szCs w:val="18"/>
        </w:rPr>
        <w:softHyphen/>
        <w:t>kou průtahů a s pomalým postupem do vnitrozemí. Tak ustupovali Rusové před Napoleonem, ale tehdy ještě ne</w:t>
      </w:r>
      <w:r>
        <w:rPr>
          <w:sz w:val="18"/>
          <w:szCs w:val="18"/>
        </w:rPr>
        <w:softHyphen/>
        <w:t>byly ani leteck</w:t>
      </w:r>
      <w:r>
        <w:rPr>
          <w:sz w:val="18"/>
          <w:szCs w:val="18"/>
        </w:rPr>
        <w:t>á zbraň ani motorisovanó armády. Číňa</w:t>
      </w:r>
      <w:r>
        <w:rPr>
          <w:sz w:val="18"/>
          <w:szCs w:val="18"/>
        </w:rPr>
        <w:softHyphen/>
        <w:t>né jsou vyzbrojeni mnohem hůře než Japonci, ale zdrželi japonská vojska u Sanhaje celé čtyři měsíce, ačkoli bylo počasí pro válečné operace velmi příznivé. Teď v zimě boje ustaly, ale jen na straně Japonců. Číňané útoč</w:t>
      </w:r>
      <w:r>
        <w:rPr>
          <w:sz w:val="18"/>
          <w:szCs w:val="18"/>
        </w:rPr>
        <w:t>í a znepokojují japonské oddíly. Japonci musí opevňovali vyhořelý Kanton. Jedním z hlavních neúspěchů Japon</w:t>
      </w:r>
      <w:r>
        <w:rPr>
          <w:sz w:val="18"/>
          <w:szCs w:val="18"/>
        </w:rPr>
        <w:softHyphen/>
        <w:t>ska je, že po žádné velké bitvě neukořistilo větší počet zajatců, což je jediným bezpečným znamením zdrcující vojenské porážky. (Číňané utrpěli řadu</w:t>
      </w:r>
      <w:r>
        <w:rPr>
          <w:sz w:val="18"/>
          <w:szCs w:val="18"/>
        </w:rPr>
        <w:t xml:space="preserve"> porážek, ale po</w:t>
      </w:r>
      <w:r>
        <w:rPr>
          <w:sz w:val="18"/>
          <w:szCs w:val="18"/>
        </w:rPr>
        <w:softHyphen/>
        <w:t>rážka ještě neznamená prohranou válku.) čínské armády jsou malé a uhýbají. Ale tyto malé armády nechávají všude za sebou guerillové oddíly, které jsou s to přeru</w:t>
      </w:r>
      <w:r>
        <w:rPr>
          <w:sz w:val="18"/>
          <w:szCs w:val="18"/>
        </w:rPr>
        <w:softHyphen/>
        <w:t>šovali komunikace, přepadávali malé posádky a podla</w:t>
      </w:r>
      <w:r>
        <w:rPr>
          <w:sz w:val="18"/>
          <w:szCs w:val="18"/>
        </w:rPr>
        <w:softHyphen/>
        <w:t>movat zásobování japonské</w:t>
      </w:r>
      <w:r>
        <w:rPr>
          <w:sz w:val="18"/>
          <w:szCs w:val="18"/>
        </w:rPr>
        <w:t>ho vojska. Dříve by se byly guerillové oddíly proměnily v loupeživé bandy, usilující jenom o zajištění vlastního života. Jsouce vyzbrojeny vy</w:t>
      </w:r>
      <w:r>
        <w:rPr>
          <w:sz w:val="18"/>
          <w:szCs w:val="18"/>
        </w:rPr>
        <w:softHyphen/>
        <w:t>sílacími a přijímacími stanicemi, mohou však dnes postu</w:t>
      </w:r>
      <w:r>
        <w:rPr>
          <w:sz w:val="18"/>
          <w:szCs w:val="18"/>
        </w:rPr>
        <w:softHyphen/>
        <w:t>povat podle jednotného operačního plánu a jejich spo</w:t>
      </w:r>
      <w:r>
        <w:rPr>
          <w:sz w:val="18"/>
          <w:szCs w:val="18"/>
        </w:rPr>
        <w:softHyphen/>
        <w:t xml:space="preserve">jení </w:t>
      </w:r>
      <w:r>
        <w:rPr>
          <w:sz w:val="18"/>
          <w:szCs w:val="18"/>
        </w:rPr>
        <w:t>s čínským štábem je zajištěno. Protože japonské voj</w:t>
      </w:r>
      <w:r>
        <w:rPr>
          <w:sz w:val="18"/>
          <w:szCs w:val="18"/>
        </w:rPr>
        <w:softHyphen/>
        <w:t>sko nestačí obsadili celou zemi a Japonci se musí spoko</w:t>
      </w:r>
      <w:r>
        <w:rPr>
          <w:sz w:val="18"/>
          <w:szCs w:val="18"/>
        </w:rPr>
        <w:softHyphen/>
        <w:t>jili se zajišlěním železnic, vodních cesí a větších měst, je stále dost překvapujících událostí. Mimo to nejsou Ja</w:t>
      </w:r>
      <w:r>
        <w:rPr>
          <w:sz w:val="18"/>
          <w:szCs w:val="18"/>
        </w:rPr>
        <w:softHyphen/>
        <w:t>ponci s to získati ani jediného v</w:t>
      </w:r>
      <w:r>
        <w:rPr>
          <w:sz w:val="18"/>
          <w:szCs w:val="18"/>
        </w:rPr>
        <w:t>ýznamnějšího Číňana, který by se postavil v čelo strany, nadržující Japonsku. Číňané, kteří se dali zlákat pro spolupráci s Japonskem, jsou ohroženi atentáty. Ani Vančinvej, který uprchl ne</w:t>
      </w:r>
      <w:r>
        <w:rPr>
          <w:sz w:val="18"/>
          <w:szCs w:val="18"/>
        </w:rPr>
        <w:softHyphen/>
        <w:t>dávno z Čunkinu do Honkonu (místopředseda Kuoming- tanu a vůdce pr</w:t>
      </w:r>
      <w:r>
        <w:rPr>
          <w:sz w:val="18"/>
          <w:szCs w:val="18"/>
        </w:rPr>
        <w:t>avého křídla) neřekl, že je ochoten spolu</w:t>
      </w:r>
      <w:r>
        <w:rPr>
          <w:sz w:val="18"/>
          <w:szCs w:val="18"/>
        </w:rPr>
        <w:softHyphen/>
        <w:t>pracovali s Japonskem, nýbrž jenom žádal, aby se válka skončila.</w:t>
      </w:r>
    </w:p>
    <w:p w:rsidR="00500724" w:rsidRDefault="00F30FB8">
      <w:pPr>
        <w:pStyle w:val="Zkladntext1"/>
        <w:shd w:val="clear" w:color="auto" w:fill="auto"/>
        <w:spacing w:line="218" w:lineRule="auto"/>
        <w:ind w:firstLine="320"/>
        <w:rPr>
          <w:sz w:val="18"/>
          <w:szCs w:val="18"/>
        </w:rPr>
      </w:pPr>
      <w:r>
        <w:rPr>
          <w:sz w:val="18"/>
          <w:szCs w:val="18"/>
        </w:rPr>
        <w:t>Japonsko se domnívalo, že může v Číně vésti blesko</w:t>
      </w:r>
      <w:r>
        <w:rPr>
          <w:sz w:val="18"/>
          <w:szCs w:val="18"/>
        </w:rPr>
        <w:softHyphen/>
        <w:t>vou válku. Čankajšek, jehož armádu vycvičilo sto ně</w:t>
      </w:r>
      <w:r>
        <w:rPr>
          <w:sz w:val="18"/>
          <w:szCs w:val="18"/>
        </w:rPr>
        <w:softHyphen/>
        <w:t>meckých důstojníků (generál Falkenhausen považ</w:t>
      </w:r>
      <w:r>
        <w:rPr>
          <w:sz w:val="18"/>
          <w:szCs w:val="18"/>
        </w:rPr>
        <w:t>uje Čínu za nepřemožitelnou), zmařil tyto úmysly japonského štábu. Vede válku spopelářskoui. Zanechává nepříteli — pouhé nic. Města spaluje, všechny důležité továrny vy</w:t>
      </w:r>
      <w:r>
        <w:rPr>
          <w:sz w:val="18"/>
          <w:szCs w:val="18"/>
        </w:rPr>
        <w:softHyphen/>
        <w:t xml:space="preserve">hazuje sama čínská armáda do vzduchu, potraviny se ničí. Japonsko musí obstarávat celé </w:t>
      </w:r>
      <w:r>
        <w:rPr>
          <w:sz w:val="18"/>
          <w:szCs w:val="18"/>
        </w:rPr>
        <w:t>zásobování ze země smateřskéi. Obsadilo sice území, které není o moc menší, než je celá Evropa (bez Ruska), ale právě proto jsou japonské zásobovací linie stále delší a guerillové oddíly Číňanů stále početnější.</w:t>
      </w:r>
    </w:p>
    <w:p w:rsidR="00500724" w:rsidRDefault="00F30FB8">
      <w:pPr>
        <w:pStyle w:val="Zkladntext1"/>
        <w:shd w:val="clear" w:color="auto" w:fill="auto"/>
        <w:spacing w:line="218" w:lineRule="auto"/>
        <w:ind w:firstLine="320"/>
        <w:rPr>
          <w:sz w:val="18"/>
          <w:szCs w:val="18"/>
        </w:rPr>
      </w:pPr>
      <w:r>
        <w:rPr>
          <w:sz w:val="18"/>
          <w:szCs w:val="18"/>
        </w:rPr>
        <w:t>Nespokojenost v Japonsku dosáhla už takové m</w:t>
      </w:r>
      <w:r>
        <w:rPr>
          <w:sz w:val="18"/>
          <w:szCs w:val="18"/>
        </w:rPr>
        <w:t>íry, že princ Konoje musel odstoupit, aby uvolnil místo zástupci vojenské strany, baronovi Hiranumovi. Nedomnívejme se, že japonská propaganda stačí tuto nespokojenost přehlu</w:t>
      </w:r>
      <w:r>
        <w:rPr>
          <w:sz w:val="18"/>
          <w:szCs w:val="18"/>
        </w:rPr>
        <w:softHyphen/>
        <w:t>šili, Je lhostejno, dovede-li přesvědčili Japonce, že vítěz</w:t>
      </w:r>
      <w:r>
        <w:rPr>
          <w:sz w:val="18"/>
          <w:szCs w:val="18"/>
        </w:rPr>
        <w:softHyphen/>
        <w:t>ství je naprosto jist</w:t>
      </w:r>
      <w:r>
        <w:rPr>
          <w:sz w:val="18"/>
          <w:szCs w:val="18"/>
        </w:rPr>
        <w:t>é. Rozhodující je, zda se Čankajšek udrží v Sečuanu a doslane-li dostatečnou pomoc od těch velmocí, které Japonsku nikdy nezapomenou, že v Číně zavřelo dveře dříve otevřené. Tyto velmoci jsou o vnitřní a íinanční situaci Japonska velmi dobře informovány. V</w:t>
      </w:r>
      <w:r>
        <w:rPr>
          <w:sz w:val="18"/>
          <w:szCs w:val="18"/>
        </w:rPr>
        <w:t>ědí velmi dobře, že o vánocích odvolalo náhle Japon</w:t>
      </w:r>
      <w:r>
        <w:rPr>
          <w:sz w:val="18"/>
          <w:szCs w:val="18"/>
        </w:rPr>
        <w:softHyphen/>
        <w:t>sko pět divisí ze severočínské írontv a poslalo je na man- žuské hranice, protože Sovětský Svaz poslal na Dálný Východ dalších 50.000 mužů. Postup v provincii Sansi, jejíž doly lákají už Japonsko velmi dl</w:t>
      </w:r>
      <w:r>
        <w:rPr>
          <w:sz w:val="18"/>
          <w:szCs w:val="18"/>
        </w:rPr>
        <w:t>ouho, uvázl.</w:t>
      </w:r>
    </w:p>
    <w:p w:rsidR="00500724" w:rsidRDefault="00F30FB8">
      <w:pPr>
        <w:pStyle w:val="Zkladntext1"/>
        <w:shd w:val="clear" w:color="auto" w:fill="auto"/>
        <w:spacing w:after="340" w:line="218" w:lineRule="auto"/>
        <w:ind w:firstLine="320"/>
        <w:rPr>
          <w:sz w:val="18"/>
          <w:szCs w:val="18"/>
        </w:rPr>
      </w:pPr>
      <w:r>
        <w:rPr>
          <w:sz w:val="18"/>
          <w:szCs w:val="18"/>
        </w:rPr>
        <w:t>Dosud se ještě nedá říci, jak všechno dopadne. 25. čer</w:t>
      </w:r>
      <w:r>
        <w:rPr>
          <w:sz w:val="18"/>
          <w:szCs w:val="18"/>
        </w:rPr>
        <w:softHyphen/>
        <w:t>vence 1927 předložil tehdejší japonský ministerský před</w:t>
      </w:r>
      <w:r>
        <w:rPr>
          <w:sz w:val="18"/>
          <w:szCs w:val="18"/>
        </w:rPr>
        <w:softHyphen/>
        <w:t xml:space="preserve">seda </w:t>
      </w:r>
      <w:r>
        <w:rPr>
          <w:sz w:val="18"/>
          <w:szCs w:val="18"/>
          <w:lang w:val="en-US" w:eastAsia="en-US" w:bidi="en-US"/>
        </w:rPr>
        <w:t xml:space="preserve">Tanaka </w:t>
      </w:r>
      <w:r>
        <w:rPr>
          <w:sz w:val="18"/>
          <w:szCs w:val="18"/>
        </w:rPr>
        <w:t>svému mocnáři memorandum, obsahující plány Japonska, jak dobýti světa. Toto memorandum obsahovalo větu: »Až Se nám podař</w:t>
      </w:r>
      <w:r>
        <w:rPr>
          <w:sz w:val="18"/>
          <w:szCs w:val="18"/>
        </w:rPr>
        <w:t>í dobýti Číny, budou se nás státy ve střední a malé Asii, v Indii a v jižních mořích báti, budou nás uctívaíi a poddají se nám. Pak se svě* smíří se skutečností, že Dálný Východ patří nám a neodváží se nikdy napadnout nás.i To je tedy plán. K tomu budiž do</w:t>
      </w:r>
      <w:r>
        <w:rPr>
          <w:sz w:val="18"/>
          <w:szCs w:val="18"/>
        </w:rPr>
        <w:t>volena poznámka, že Čína ještě není do</w:t>
      </w:r>
      <w:r>
        <w:rPr>
          <w:sz w:val="18"/>
          <w:szCs w:val="18"/>
        </w:rPr>
        <w:softHyphen/>
        <w:t>byta, a svět je ještě dalek ochoty smířiti se s tímto plánem.</w:t>
      </w:r>
    </w:p>
    <w:p w:rsidR="00500724" w:rsidRDefault="00F30FB8">
      <w:pPr>
        <w:pStyle w:val="Jin0"/>
        <w:shd w:val="clear" w:color="auto" w:fill="auto"/>
        <w:spacing w:after="140"/>
        <w:ind w:firstLine="0"/>
        <w:jc w:val="left"/>
        <w:rPr>
          <w:sz w:val="44"/>
          <w:szCs w:val="44"/>
        </w:rPr>
      </w:pPr>
      <w:r>
        <w:rPr>
          <w:b/>
          <w:bCs/>
          <w:sz w:val="44"/>
          <w:szCs w:val="44"/>
          <w:u w:val="single"/>
        </w:rPr>
        <w:t>literatura a umění</w:t>
      </w:r>
    </w:p>
    <w:p w:rsidR="00500724" w:rsidRDefault="00F30FB8">
      <w:pPr>
        <w:pStyle w:val="Zkladntext30"/>
        <w:shd w:val="clear" w:color="auto" w:fill="auto"/>
        <w:spacing w:after="0"/>
        <w:ind w:firstLine="0"/>
        <w:rPr>
          <w:sz w:val="20"/>
          <w:szCs w:val="20"/>
        </w:rPr>
      </w:pPr>
      <w:r>
        <w:rPr>
          <w:i/>
          <w:iCs/>
          <w:sz w:val="20"/>
          <w:szCs w:val="20"/>
        </w:rPr>
        <w:t>Edmond Konrád:</w:t>
      </w:r>
    </w:p>
    <w:p w:rsidR="00500724" w:rsidRDefault="00F30FB8">
      <w:pPr>
        <w:pStyle w:val="Nadpis100"/>
        <w:shd w:val="clear" w:color="auto" w:fill="auto"/>
        <w:spacing w:after="0" w:line="240" w:lineRule="auto"/>
      </w:pPr>
      <w:bookmarkStart w:id="74" w:name="bookmark73"/>
      <w:r>
        <w:t>Karel Čapek politicky</w:t>
      </w:r>
      <w:bookmarkEnd w:id="74"/>
    </w:p>
    <w:p w:rsidR="00500724" w:rsidRDefault="00F30FB8">
      <w:pPr>
        <w:pStyle w:val="Zkladntext30"/>
        <w:shd w:val="clear" w:color="auto" w:fill="auto"/>
        <w:spacing w:after="0" w:line="197" w:lineRule="auto"/>
        <w:ind w:firstLine="240"/>
      </w:pPr>
      <w:r>
        <w:t xml:space="preserve">Kdo sníval, že si jednou na stará kolena sepíše své »Rozhovory s Karlem Čapkem«, teď na trosečných </w:t>
      </w:r>
      <w:r>
        <w:t>úryvcích prvních kapitol, jež už nikdy nescelí, pozná sem tam odpověď, jakou by mohl dát k různým otázkám. Z nich jedna se teď ozývá dost často: jak přišel Karel Čapek do politiky? Byl Čapek politický člověk?</w:t>
      </w:r>
    </w:p>
    <w:p w:rsidR="00500724" w:rsidRDefault="00F30FB8">
      <w:pPr>
        <w:pStyle w:val="Zkladntext30"/>
        <w:shd w:val="clear" w:color="auto" w:fill="auto"/>
        <w:spacing w:line="202" w:lineRule="auto"/>
        <w:ind w:firstLine="240"/>
      </w:pPr>
      <w:r>
        <w:t xml:space="preserve">Více člověk než politický, řekne každý, kdo ho </w:t>
      </w:r>
      <w:r>
        <w:t>znal. Oběť nesčetných politických útoků a pronásledování, psanec písálků i psavců, terč literárních čekistů i ordnerů, cíl těžké střelby, k níž sváděl náruživost i skutečných básníků, předmět nezralé nenávisti tak zvaných generací — přese vše postrádal pra</w:t>
      </w:r>
      <w:r>
        <w:t>vého a hlavního příznaku politikova: vášně. Onoho zaujetí, jež z lidí nepatrných dělá fanatiky, ze hbitých ná</w:t>
      </w:r>
      <w:r>
        <w:softHyphen/>
        <w:t>hončí a pleticháře, ze schopných profesionály a z tvůrčích státníky. K politice jako takové byl vztah jeho trpný, jen činorodý mozek, jenž mu do v</w:t>
      </w:r>
      <w:r>
        <w:t>šeho vnukal nápady, a vědomí povinnosti učinily z tohoto zcela nepolitického člověka politickou osobnost.</w:t>
      </w:r>
    </w:p>
    <w:p w:rsidR="00500724" w:rsidRDefault="00F30FB8">
      <w:pPr>
        <w:pStyle w:val="Zkladntext30"/>
        <w:shd w:val="clear" w:color="auto" w:fill="auto"/>
        <w:spacing w:after="0" w:line="199" w:lineRule="auto"/>
        <w:ind w:firstLine="240"/>
      </w:pPr>
      <w:r>
        <w:t>Spisovatel, kreslíř a fotograf, sběratel lidových hudeb a zahradník, novinář a organisátor v sociální péči o děti byl do politiky bezděky vtažen, a je</w:t>
      </w:r>
      <w:r>
        <w:t>ho zájem o ni byl citelně menší než zájem o kteroukoli z ostatních věcí, které dělal stejně dobře. Pramen jeho političnosti prozradil se přesně při jedné noční roz</w:t>
      </w:r>
      <w:r>
        <w:softHyphen/>
        <w:t>právce v Haagu mezi přáteli z vyslanectví. Zkoušelo se tam, jak definovat pojem »vlast«. Byl</w:t>
      </w:r>
      <w:r>
        <w:t>a citována Šustova definice vlasti z jeho románu »Cizina«. Čapek přerušil své dlouhé mlčení stručně: »Vlast — to je povinnost.«</w:t>
      </w:r>
    </w:p>
    <w:p w:rsidR="00500724" w:rsidRDefault="00F30FB8">
      <w:pPr>
        <w:pStyle w:val="Zkladntext50"/>
        <w:shd w:val="clear" w:color="auto" w:fill="auto"/>
        <w:spacing w:after="100" w:line="228" w:lineRule="auto"/>
        <w:ind w:left="0"/>
        <w:jc w:val="center"/>
      </w:pPr>
      <w:r>
        <w:t>®</w:t>
      </w:r>
    </w:p>
    <w:p w:rsidR="00500724" w:rsidRDefault="00F30FB8">
      <w:pPr>
        <w:pStyle w:val="Zkladntext30"/>
        <w:shd w:val="clear" w:color="auto" w:fill="auto"/>
        <w:spacing w:line="199" w:lineRule="auto"/>
        <w:ind w:firstLine="240"/>
      </w:pPr>
      <w:r>
        <w:t>Nepochybně vroucí přátelství s T. G. Masarykem, jejž osobně poznal až jako presidenta, mělo na Čapka vliv i politicky. Lze mít</w:t>
      </w:r>
      <w:r>
        <w:t xml:space="preserve"> za to, že v jeho umění posílilo složku filosofickou a výchovnou, potřebu mravně poučnou. V jeho myšlení složku ideově programovou. Nicméně politická hřivna jeho byla v něm dávno připravena.</w:t>
      </w:r>
    </w:p>
    <w:p w:rsidR="00500724" w:rsidRDefault="00F30FB8">
      <w:pPr>
        <w:pStyle w:val="Zkladntext30"/>
        <w:shd w:val="clear" w:color="auto" w:fill="auto"/>
        <w:spacing w:line="199" w:lineRule="auto"/>
        <w:ind w:firstLine="240"/>
      </w:pPr>
      <w:r>
        <w:t xml:space="preserve">Projevila se po prvé — u maturity. Snílek budoucích »Rozhovorů«, </w:t>
      </w:r>
      <w:r>
        <w:t>jichž nebude, lituje, že tak podrobně nezvládl jeho mluvu, jako zvládl K. Č. ve svých Rozhovorech zvuk a spád rtů Masarykových. Čtenář si laskavě představ širokou výslovnost Čapkovu, když asi takto o tom vyprávěl.</w:t>
      </w:r>
    </w:p>
    <w:p w:rsidR="00500724" w:rsidRDefault="00F30FB8">
      <w:pPr>
        <w:pStyle w:val="Zkladntext30"/>
        <w:shd w:val="clear" w:color="auto" w:fill="auto"/>
        <w:spacing w:after="0" w:line="199" w:lineRule="auto"/>
        <w:ind w:firstLine="240"/>
      </w:pPr>
      <w:r>
        <w:t>»A při zkoušce z dějepisu, když jsem všeck</w:t>
      </w:r>
      <w:r>
        <w:t>o znal, inšpektor — snad chtěl zprubnout, jestli mě přece nezkoupe — najednou povídá: tak nám tedy ještě na konec povězte základní rysy zahraniční politiky mocnářství rakousko-uherského od války roku šest- ašedesátého do přítomnosti. — Tohle jsme na gymna</w:t>
      </w:r>
      <w:r>
        <w:softHyphen/>
      </w:r>
      <w:r>
        <w:t>siu jakživi neměli, já ostal koukat, kantor zbleď a ředitel zčervenal. A tu se vám mně stala věc: na</w:t>
      </w:r>
      <w:r>
        <w:softHyphen/>
        <w:t>jednou si vzpomenu, jak jsem byl maličký, to jsem ráno vždycky vlez k tatínkovi se rozloučit do ložnice, než jsem šel do školy, a tatínek četl noviny, »Nár</w:t>
      </w:r>
      <w:r>
        <w:t>odní Listy«, on byl mladočech a tam v tom kraji taková místní kapacita, výtečník, víte? Lidi tam uvědomoval, chodili se k němu radit, a tak. A ráno ještě v posteli četl noviny. Ještě cítím vůni jeho tabáku, jak jsem šel dát dobrýtro, a on se ani nevyrušil,</w:t>
      </w:r>
      <w:r>
        <w:t xml:space="preserve"> jen tak přes rameno mi odpověděl, chvilku to trvalo, a já mu zatím přes rameno četl úvodník, prostě, protože jsem to měl na očich. To se ví, že jsem tomu nerozuměl. Ale tak mě ty úvodníky, co jsem přečetl přes tatínkovo rameno, teď u maturity napadly, byl</w:t>
      </w:r>
      <w:r>
        <w:t>o to moje jediné zahraničně-politické vzdělání, a tak na inspektora spustím: válkou roku 1866 se zahraniční politika rakousko-uherská ocitla zcela proti národnostní po</w:t>
      </w:r>
      <w:r>
        <w:softHyphen/>
        <w:t>vaze mocnářství a jeho poslání úplně ve vleku zahra</w:t>
      </w:r>
      <w:r>
        <w:softHyphen/>
        <w:t xml:space="preserve">niční politiky císařství německého. </w:t>
      </w:r>
      <w:r>
        <w:t xml:space="preserve">Spojenecký spolek, později s Itálií rozšířený v trojspolek, odcizil říši rakousko-uherské Francii a Anglii — a takhle vám to sypu furt, kdyby na Míčovém náměstí neporoučel Berlín, kdyby mocnářství v zájmu své akční volnosti se sblížilo s Francií, kdyby se </w:t>
      </w:r>
      <w:r>
        <w:t>na Rusko nehledělo jako na souseda méněcenného ... no, jak jsem si to pamato</w:t>
      </w:r>
      <w:r>
        <w:softHyphen/>
        <w:t>val z těch úvodníků. Ale nemluvil jsem dlouho, kantor zbled ještě víc, ředitel byl ještě červenější, a inspektor zamrkal, mávl rukou, povídá rychle: no tak dost, dost, to stačí, s</w:t>
      </w:r>
      <w:r>
        <w:t>tačí. To jste slyšel ve škole, nebo jste si úsudky tvořil sám? — Sám, povídám. A inspektor se usměje, to je dobře, to je dobře. Vaše názory nejsou ve všem správné, ale myslím, že z vás něco bude.« •</w:t>
      </w:r>
    </w:p>
    <w:p w:rsidR="00500724" w:rsidRDefault="00F30FB8">
      <w:pPr>
        <w:pStyle w:val="Zkladntext30"/>
        <w:shd w:val="clear" w:color="auto" w:fill="auto"/>
        <w:spacing w:after="0" w:line="199" w:lineRule="auto"/>
      </w:pPr>
      <w:r>
        <w:t xml:space="preserve">Druhé politické vystoupení Karla Čapka zůstalo pokusem a </w:t>
      </w:r>
      <w:r>
        <w:t>nedočkalo se úspěchu. Když vypukla světová válka, dospěl přesvědčení, že by byla jeho povinnost, zkusit za hranicemi pracovat pro osvoboze</w:t>
      </w:r>
      <w:r>
        <w:softHyphen/>
        <w:t>ní našeho národa. Nebyv odveden, mohl si podat a podal na policii žádost o cestovní pas za hranice, a to do Španěl, k</w:t>
      </w:r>
      <w:r>
        <w:t>de chtěl, jak do žádosti napsal, jakožto doplněk svých studií estetických a studia dějin umění probadat ony stavební slohy ryze pyrenejské, jež se jinde v Evropě nevyskytují. Pisatel se omlouvá, že vyjma portugalský »estilo manuelino« jména ostat</w:t>
      </w:r>
      <w:r>
        <w:softHyphen/>
        <w:t>ních »est</w:t>
      </w:r>
      <w:r>
        <w:t>ilů« zapomněl. Čapek je ovšem sypal z rukávu.</w:t>
      </w:r>
    </w:p>
    <w:p w:rsidR="00500724" w:rsidRDefault="00F30FB8">
      <w:pPr>
        <w:pStyle w:val="Zkladntext30"/>
        <w:shd w:val="clear" w:color="auto" w:fill="auto"/>
        <w:spacing w:after="0" w:line="199" w:lineRule="auto"/>
      </w:pPr>
      <w:r>
        <w:t xml:space="preserve">»Když jsem tu žádost měl podanou, tak za nějaký týden dostanu předvolání na policii, a tam se mě nějaký mladý člověk začal vyptávat: vy máte bratra Josefa. — Prosím, ano. — Byl jste s ním toho a toho roku v </w:t>
      </w:r>
      <w:r>
        <w:t>Paříži. — Byl. — Bydlili jste společně tam a tam. — Ano, bydlili. — Stýkali jste se tam s těmi a těmi lidmi. — Ano. — Vedly se tam politické roz</w:t>
      </w:r>
      <w:r>
        <w:softHyphen/>
        <w:t xml:space="preserve">hovory? — Tu a tam. Nejvíc se mluvilo o malířství a o literatuře. — Neříkal vám z těch lidí nikdo nic o nějaké </w:t>
      </w:r>
      <w:r>
        <w:t>tajné politické organisaci? A tak dále. Já se nepřestal divit. Na té policii všecko věděli, co jsme s bratrem kdy ve Francii podnikali, každý krok. Pak mě přívětivě propustil, ale za týden jsem dostal žá</w:t>
      </w:r>
      <w:r>
        <w:softHyphen/>
        <w:t>dost zpět, zamítnutou. Se zahraničím bylo utrum, tak</w:t>
      </w:r>
      <w:r>
        <w:t xml:space="preserve"> jsem začal překládat francouzské básníky, abych aspoň něco dělal.«</w:t>
      </w:r>
    </w:p>
    <w:p w:rsidR="00500724" w:rsidRDefault="00F30FB8">
      <w:pPr>
        <w:pStyle w:val="Zkladntext30"/>
        <w:shd w:val="clear" w:color="auto" w:fill="auto"/>
        <w:spacing w:after="0" w:line="199" w:lineRule="auto"/>
      </w:pPr>
      <w:r>
        <w:t>To byla pozdější Čapkova »Francouzská poesie nové doby«.</w:t>
      </w:r>
    </w:p>
    <w:p w:rsidR="00500724" w:rsidRDefault="00F30FB8">
      <w:pPr>
        <w:pStyle w:val="Zkladntext30"/>
        <w:shd w:val="clear" w:color="auto" w:fill="auto"/>
        <w:spacing w:after="0" w:line="199" w:lineRule="auto"/>
      </w:pPr>
      <w:r>
        <w:t>Patřila by snad k tomu období přípravnému ještě podrobnost z dětství: neklame-li paměť, Čapek musil v sekundě či tercii opustit gym</w:t>
      </w:r>
      <w:r>
        <w:t>nasium v Hradci Krá</w:t>
      </w:r>
      <w:r>
        <w:softHyphen/>
        <w:t>lové, poněvadž se na něho prozradilo, že tenkrát byl členem v nějakém dělnickém, tuším, čtenářském společku. Jenže to nebylo politikum ve vlastním slova smyslu: »Já tam nešel z nějakého uvědomění, vždyť jsem byl špunt. Ale měl jsem děln</w:t>
      </w:r>
      <w:r>
        <w:t>íky rád, protože jsem je poznal, když jsem si vzpomněl učit se malbě na porculánu. To jsem vám denně vstával o půl šesté a běžel tři kilometry k jednomu starému malíři por</w:t>
      </w:r>
      <w:r>
        <w:softHyphen/>
        <w:t>culánu, to se mně hrozně líbilo, hlavně ta práce na největší oblině, víte, kde je to</w:t>
      </w:r>
      <w:r>
        <w:t xml:space="preserve"> nejzahnutější, protože jak jen o vlásek přetáhnete, to už se nedá napravit. Na ty lidi jsem si zvykl a vzpomínal jsem, tak jsem šel do toho spolku.«</w:t>
      </w:r>
    </w:p>
    <w:p w:rsidR="00500724" w:rsidRDefault="00F30FB8">
      <w:pPr>
        <w:pStyle w:val="Zkladntext30"/>
        <w:shd w:val="clear" w:color="auto" w:fill="auto"/>
        <w:spacing w:after="0" w:line="199" w:lineRule="auto"/>
        <w:ind w:firstLine="0"/>
        <w:jc w:val="center"/>
      </w:pPr>
      <w:r>
        <w:t>•</w:t>
      </w:r>
    </w:p>
    <w:p w:rsidR="00500724" w:rsidRDefault="00F30FB8">
      <w:pPr>
        <w:pStyle w:val="Zkladntext30"/>
        <w:shd w:val="clear" w:color="auto" w:fill="auto"/>
        <w:spacing w:after="0" w:line="199" w:lineRule="auto"/>
      </w:pPr>
      <w:r>
        <w:t>Teprve sláva přivedla Čapka v přímý styk s poli</w:t>
      </w:r>
      <w:r>
        <w:softHyphen/>
        <w:t>tikou, vlastně s politiky. »Loupežník« a »R. U. R.« velm</w:t>
      </w:r>
      <w:r>
        <w:t>i náhle jej postavily na výsluní, a skrze presi</w:t>
      </w:r>
      <w:r>
        <w:softHyphen/>
        <w:t>denta Masaryka seznámil se básník, nemnoho více než třicetiletý a s počátku mírně udivený svým náh</w:t>
      </w:r>
      <w:r>
        <w:softHyphen/>
        <w:t xml:space="preserve">lým významem, s mocnými tohoto světa, především pak této země. Na místě prvém byl to Antonín Švehla, a Čapek </w:t>
      </w:r>
      <w:r>
        <w:t>měl úmysl, zmařený smrtí, napsat v dohled</w:t>
      </w:r>
      <w:r>
        <w:softHyphen/>
        <w:t>né době svoje ^Rozhovory s Antonínem Švehlou«. Náběh k nim se, tuším, vyskytl již svého času v »Li- dových Novinách«. Zájmem, jejž politické osobnosti o Čapka projevily, rozšířil nenáhle o jejich přítom</w:t>
      </w:r>
      <w:r>
        <w:softHyphen/>
        <w:t>nost Pátečn</w:t>
      </w:r>
      <w:r>
        <w:t>íky, společnost původně jen uměleckou. Zájmem tím si Čapek nenáhle uvědomil, že má tak zvaný vliv, a začal ho užívat k tichým, ale přehoj</w:t>
      </w:r>
      <w:r>
        <w:softHyphen/>
        <w:t>ným skutkům, jejichž podstatou bylo dobrodiní, pří</w:t>
      </w:r>
      <w:r>
        <w:softHyphen/>
        <w:t>mluva a ochrana. Nedávno Jaroslav Durych Čapka, zatím již zesnulého</w:t>
      </w:r>
      <w:r>
        <w:t>, obvinil, že jeho vlivem bylo proti němu, Durychovi, zakročeno. Ve skutečnosti bylo tomu právě naopak. Pisateli je známo, že Čapek zakročil ve prospěch Durychův. Což nebudiž čteno jako polemická odpověď, ale jako příznačný rys Čapkovy stálé drobné práce k</w:t>
      </w:r>
      <w:r>
        <w:t>ulturně a sociálně po</w:t>
      </w:r>
      <w:r>
        <w:softHyphen/>
        <w:t>litické — i konečně jako příznak rozdílu mezi tím, co Čapek skutečně dělal, a co se místo toho o něm říkalo.</w:t>
      </w:r>
    </w:p>
    <w:p w:rsidR="00500724" w:rsidRDefault="00F30FB8">
      <w:pPr>
        <w:pStyle w:val="Zkladntext30"/>
        <w:shd w:val="clear" w:color="auto" w:fill="auto"/>
        <w:spacing w:after="0" w:line="199" w:lineRule="auto"/>
      </w:pPr>
      <w:r>
        <w:t>Je-li třeba nějakého tištěného dokladu o tom, jak na Čapka působily politické poměry a politický život, buď doporučena mimo j</w:t>
      </w:r>
      <w:r>
        <w:t>iné četba malého fejtonku o tom, co je kompromis, a je-li dvojka něco samo</w:t>
      </w:r>
      <w:r>
        <w:softHyphen/>
        <w:t>statného, či jen kompromis mezi jedničkou a trojkou. Také se hodí, kromě statí, vžitých v obecnou zná</w:t>
      </w:r>
      <w:r>
        <w:softHyphen/>
        <w:t xml:space="preserve">most, »Sny redaktora Koubka«. Takhle počínala tedy, z básníkových styků s muži </w:t>
      </w:r>
      <w:r>
        <w:t>vlády, činnost Čap</w:t>
      </w:r>
      <w:r>
        <w:softHyphen/>
        <w:t>kova vnitropoliticky. Její základní i konečný směr zůstal vždy týž: vyrovnávat, smiřovat, sbližovat proti</w:t>
      </w:r>
      <w:r>
        <w:softHyphen/>
        <w:t>klady, vyhlazovat záští, odklízet překážky, škrtat ma</w:t>
      </w:r>
      <w:r>
        <w:softHyphen/>
        <w:t>lichernosti, posilovat společenství a zvedat úroveň ke chvále česko-slovenské</w:t>
      </w:r>
      <w:r>
        <w:t xml:space="preserve"> kultury v rámci ducha evrop</w:t>
      </w:r>
      <w:r>
        <w:softHyphen/>
        <w:t>ského a světového. Neuznával pravici a levici. Roze</w:t>
      </w:r>
      <w:r>
        <w:softHyphen/>
        <w:t>znával jen kvalitu od nekvality. A měl podivuhodný smysl pro českost.</w:t>
      </w:r>
    </w:p>
    <w:p w:rsidR="00500724" w:rsidRDefault="00F30FB8">
      <w:pPr>
        <w:pStyle w:val="Zkladntext30"/>
        <w:shd w:val="clear" w:color="auto" w:fill="auto"/>
        <w:spacing w:after="80" w:line="180" w:lineRule="auto"/>
        <w:ind w:firstLine="0"/>
        <w:jc w:val="center"/>
      </w:pPr>
      <w:r>
        <w:t>•</w:t>
      </w:r>
    </w:p>
    <w:p w:rsidR="00500724" w:rsidRDefault="00F30FB8">
      <w:pPr>
        <w:pStyle w:val="Zkladntext30"/>
        <w:shd w:val="clear" w:color="auto" w:fill="auto"/>
        <w:spacing w:after="0" w:line="199" w:lineRule="auto"/>
      </w:pPr>
      <w:r>
        <w:t>Svou zahraniční politiku Čapek začal taktéž bez</w:t>
      </w:r>
      <w:r>
        <w:softHyphen/>
        <w:t>děky, byv do ní vtažen svým světovým úspěchem. Její pra</w:t>
      </w:r>
      <w:r>
        <w:t>ktický počátek má na svědomí londýnský Penklub svým pozváním, aby Čapek přijel do Anglie. Oplatil jí pohostinství »Anglicl&lt;ými listy«, jež mu tam zjednaly oblibu bezmeznou. A uvedl v činnost Penklub pražský. Pravím: v činnost, neboť Penklub ten už rok exis</w:t>
      </w:r>
      <w:r>
        <w:t>toval z podnětu zesnulého Františka Khola. Jenže ta existence byla víceméně theoretická, mezinárodní život se svým kulturně politickým dostřelem do ní vjel teprve Čapkem, jenž ji vymanil z ušlechtilé aka- demičnosti pražského literárního sdruženíčka, snaží</w:t>
      </w:r>
      <w:r>
        <w:softHyphen/>
        <w:t>cího se leda o nějaký vzdělaný večírek.</w:t>
      </w:r>
    </w:p>
    <w:p w:rsidR="00500724" w:rsidRDefault="00F30FB8">
      <w:pPr>
        <w:pStyle w:val="Zkladntext30"/>
        <w:shd w:val="clear" w:color="auto" w:fill="auto"/>
        <w:spacing w:after="0" w:line="202" w:lineRule="auto"/>
      </w:pPr>
      <w:r>
        <w:t>»Přítomnost« již svého času otiskla zběžný náčrt politického života v Penklubech. Vypsat činnost Čapkovu, bylo by jen opakování toho náčrtu, roz</w:t>
      </w:r>
      <w:r>
        <w:softHyphen/>
        <w:t xml:space="preserve">množeného k jeho chvále o bezpočet podrobnosti. Neboť on byl i tehdá, </w:t>
      </w:r>
      <w:r>
        <w:t>když se vzdal předsednictví, vůdčím a podnětným duchem všeho podnikání Pen- klubů v Česko-Slovensku. Bude-li přes to řeč o někte</w:t>
      </w:r>
      <w:r>
        <w:softHyphen/>
        <w:t>rých těchto podrobnostech, tedy jenom natolik, na</w:t>
      </w:r>
      <w:r>
        <w:softHyphen/>
        <w:t>kolik z nich jasněji vysvitne Čapkův vztah k poli</w:t>
      </w:r>
      <w:r>
        <w:softHyphen/>
        <w:t>tice vůbec.</w:t>
      </w:r>
    </w:p>
    <w:p w:rsidR="00500724" w:rsidRDefault="00F30FB8">
      <w:pPr>
        <w:pStyle w:val="Zkladntext30"/>
        <w:shd w:val="clear" w:color="auto" w:fill="auto"/>
        <w:spacing w:after="0" w:line="202" w:lineRule="auto"/>
      </w:pPr>
      <w:r>
        <w:t xml:space="preserve">Vztah, jak již </w:t>
      </w:r>
      <w:r>
        <w:t>vylíčeno, v podstatě trpný, prostý oné rozkoše vášnivcovy a pramenící jen z pocitu po</w:t>
      </w:r>
      <w:r>
        <w:softHyphen/>
        <w:t>vinnosti: tohle a tohle by se mělo udělat. Zvratné a neosobní české »by se mělo« pro Čapka vždy zname</w:t>
      </w:r>
      <w:r>
        <w:softHyphen/>
        <w:t>nalo nezvratné a osobní »musím«. Pročež nechutí vzdychl, vyhrnul ruk</w:t>
      </w:r>
      <w:r>
        <w:t>ávy a dal se do toho podle hesla, které jednou pronesl, vrátiv se domů z úmorné akce: s&gt;Pravda vítězí — ale dá to fušku.«</w:t>
      </w:r>
    </w:p>
    <w:p w:rsidR="00500724" w:rsidRDefault="00F30FB8">
      <w:pPr>
        <w:pStyle w:val="Zkladntext30"/>
        <w:shd w:val="clear" w:color="auto" w:fill="auto"/>
        <w:spacing w:after="0" w:line="202" w:lineRule="auto"/>
      </w:pPr>
      <w:r>
        <w:t>V zahraniční i vnitřní politice základní a konečný směr byl zcela stejný: vyrovnávat, sbližovat, posilo</w:t>
      </w:r>
      <w:r>
        <w:softHyphen/>
        <w:t>vat společenství a zvedat úrov</w:t>
      </w:r>
      <w:r>
        <w:t>eň. Stále obviňován z vlastizrady, internacionalismu a volnomyšlenkářství, tento metafysicky zaujatý a osobního Boha blízký filosof po celý život zahradničil na zahradě světa, aby mladá a útlá sazenička českého ducha tam měla co nejlepší půdu a nejvíce slu</w:t>
      </w:r>
      <w:r>
        <w:t>nce i vláhy. Pisatel by nerad vzbudil zdání, že podléhá svodu slovní hříčky, shledává-li, že Čapkův vztah k politice byl zahradnic</w:t>
      </w:r>
      <w:r>
        <w:softHyphen/>
        <w:t xml:space="preserve">ký: něco zasadit, něco pěstit a ošetřovat, přimět k růstu a očišťovat od hmyzu — práce, která u nás </w:t>
      </w:r>
      <w:r>
        <w:rPr>
          <w:b/>
          <w:bCs/>
        </w:rPr>
        <w:t xml:space="preserve">je </w:t>
      </w:r>
      <w:r>
        <w:t>zvláště perná.</w:t>
      </w:r>
    </w:p>
    <w:p w:rsidR="00500724" w:rsidRDefault="00F30FB8">
      <w:pPr>
        <w:pStyle w:val="Zkladntext30"/>
        <w:shd w:val="clear" w:color="auto" w:fill="auto"/>
        <w:spacing w:after="0" w:line="199" w:lineRule="auto"/>
        <w:ind w:firstLine="280"/>
      </w:pPr>
      <w:r>
        <w:t>Ale tot</w:t>
      </w:r>
      <w:r>
        <w:t>o zahradnictví v politice Čapkově bylo již objeveno dříve, než na těchto stránkách. Kterýsi bo</w:t>
      </w:r>
      <w:r>
        <w:softHyphen/>
        <w:t>jovný a vojácký odpůrce v nějaké polemice, snad Me</w:t>
      </w:r>
      <w:r>
        <w:softHyphen/>
        <w:t>dek, snad Durych nebo někdo z jejich družiny, už ne</w:t>
      </w:r>
      <w:r>
        <w:softHyphen/>
        <w:t>vím, posměšně Čapka nazval zahradníkem, nazna</w:t>
      </w:r>
      <w:r>
        <w:softHyphen/>
        <w:t>čuje tím, že</w:t>
      </w:r>
      <w:r>
        <w:t xml:space="preserve"> je Čapek duch krotký a mírumilovný, jenž se do chlapských klání nemá plést. Vskutku tím do jisté míry postihl Čapkův podstatný rys: nedosta</w:t>
      </w:r>
      <w:r>
        <w:softHyphen/>
        <w:t>tek rozkoše z boje, malou vášeň ke rvačkám. Čapek opravdu bojoval dost nerad, jen z vědomí povinnosti nebo z pocitu</w:t>
      </w:r>
      <w:r>
        <w:t xml:space="preserve"> křivdy a bezpráví, když se mu nějaké »mělo by se« změnilo v »musím«. S povzdechem vy</w:t>
      </w:r>
      <w:r>
        <w:softHyphen/>
        <w:t>hrnoval rukávy a nechutně začal. Ale dal se do toho, řečeno po shakespearovsku »tak dobře, jako který</w:t>
      </w:r>
      <w:r>
        <w:softHyphen/>
        <w:t>koliv jiný chlapík ve Staré Anglii«. Nikdy ho při tom neopouštělo vě</w:t>
      </w:r>
      <w:r>
        <w:t>domí, že je boj v podstatě činnost zá</w:t>
      </w:r>
      <w:r>
        <w:softHyphen/>
        <w:t>porná a bořivá. Bojoval mrzutě, s pocitem, že maří časem na dílo neplodné, po němž málo zbude. Ze hladu po činnosti kladné a tvořivé tryskala jeho hluboká náklonnost k míru.</w:t>
      </w:r>
    </w:p>
    <w:p w:rsidR="00500724" w:rsidRDefault="00F30FB8">
      <w:pPr>
        <w:pStyle w:val="Zkladntext30"/>
        <w:shd w:val="clear" w:color="auto" w:fill="auto"/>
        <w:spacing w:after="0" w:line="199" w:lineRule="auto"/>
        <w:ind w:firstLine="280"/>
      </w:pPr>
      <w:r>
        <w:t>A tudy navazovala jeho politika na jeho češs</w:t>
      </w:r>
      <w:r>
        <w:t>tví: učinit vše a podporovat vše, co zachová i přispěje za</w:t>
      </w:r>
      <w:r>
        <w:softHyphen/>
        <w:t>chovat v míru svobodu vnější i vnitřní tomuto národu a této zemi, aby v ní mohl dělat věci kladné a tvořivé. To byl jeho hluboký pacifismus ve službách republiky, kterou však kladl nad ten pacifism</w:t>
      </w:r>
      <w:r>
        <w:t xml:space="preserve">us. Toto hodnocení ho mezi prvními vedlo k nejtěsnější spolupráci </w:t>
      </w:r>
      <w:r>
        <w:rPr>
          <w:b/>
          <w:bCs/>
        </w:rPr>
        <w:t xml:space="preserve">s </w:t>
      </w:r>
      <w:r>
        <w:t>armádou, jakmile nabylo převahy zdání, že bude válka. Nejen úřední uznání, ale řada písemných do</w:t>
      </w:r>
      <w:r>
        <w:softHyphen/>
        <w:t>kladů a svědků, mezi nimiž pisatel má čest být, bude moci podrobně vylíčit, jak převelikou,</w:t>
      </w:r>
      <w:r>
        <w:t xml:space="preserve"> podnětnou a obratnou práci tento zahradník pro vojáky vykonal. Ani tehdá však nepouštěl se zřetele své zahradnické představy o politice, že mír a svoboda jsou před</w:t>
      </w:r>
      <w:r>
        <w:softHyphen/>
        <w:t>poklady tvořivé práce. Ze každý národ a každý jedinec je rostlinka v zahradě světa, jež zas</w:t>
      </w:r>
      <w:r>
        <w:t>luhuje pěstění.</w:t>
      </w:r>
    </w:p>
    <w:p w:rsidR="00500724" w:rsidRDefault="00F30FB8">
      <w:pPr>
        <w:pStyle w:val="Zkladntext30"/>
        <w:shd w:val="clear" w:color="auto" w:fill="auto"/>
        <w:spacing w:after="0" w:line="199" w:lineRule="auto"/>
        <w:ind w:firstLine="280"/>
      </w:pPr>
      <w:r>
        <w:t>Kdesi ve svém španělském cestopise praví, že roz</w:t>
      </w:r>
      <w:r>
        <w:softHyphen/>
        <w:t>dílnost množí život. Odtud jeho praktický a konkrétní smysl pro snášelivost národní, náboženskou, politic</w:t>
      </w:r>
      <w:r>
        <w:softHyphen/>
        <w:t>kou a plemennou. Tato snášelivost je jediný jeho internacionalismus, internacionalism</w:t>
      </w:r>
      <w:r>
        <w:t>us kultury, du</w:t>
      </w:r>
      <w:r>
        <w:softHyphen/>
        <w:t>cha a dobré vůle. Mezinárodní vztahy jako ochrana národních svobod a bezpečí, jejich vzájemného uzná</w:t>
      </w:r>
      <w:r>
        <w:softHyphen/>
        <w:t>vání. Proto jeho intervence ve prospěch maďarské literatury z království na Slovensku (pokud ovšem nebyla iredentistická). Odtud jeho zvlášt</w:t>
      </w:r>
      <w:r>
        <w:t>ní ohledy na kulturu slovenskou, jež vedly k založení Penklubu v Bratislavě. Odtud jeho podněty k rozhlasovým roz</w:t>
      </w:r>
      <w:r>
        <w:softHyphen/>
        <w:t>mluvám s Němci v republice, jeho slavná debata na zasedání Výboru pro duševní spolupráci při Společ</w:t>
      </w:r>
      <w:r>
        <w:softHyphen/>
        <w:t>nosti národů, jež se konalo, myslím, v Peš</w:t>
      </w:r>
      <w:r>
        <w:t xml:space="preserve">ti a týkalo se předmětu na pohled akademického: o latině jako mezinárodním pojítku národních kultur středověkých. Ve skutečnosti byl to velmi konkrétní zřetel k univer- salismu jako štítu pro malé a ohrožené národy. Jak konkrétní tento smysl pro nebezpečí </w:t>
      </w:r>
      <w:r>
        <w:t>byl, dokazuje drobný pokyn čs. delegátu pro barcelonský sjezd Fenklubů (kde běželo o vyvrácení nepravdivých obvi</w:t>
      </w:r>
      <w:r>
        <w:softHyphen/>
        <w:t xml:space="preserve">nění se strany jiného malonárodního Penklubu): »A nezapomeňte pořád říkat: Španělsko a Katalán- s k o«. Delegát shledal, že toho pokynu nemůže </w:t>
      </w:r>
      <w:r>
        <w:t>užít. Poznal záhy, že musí říkat jen »Katalánsko«. Barce- lonští vlastenci o ničem španělském nechtěli ani sly</w:t>
      </w:r>
      <w:r>
        <w:softHyphen/>
        <w:t>šet. Současný stav občanské války pod Pyrenejemi je žalostný doklad, oč prozíravější než Katalánci byl Čapek, jenž se vyjádřil: »Bojím se, že ten</w:t>
      </w:r>
      <w:r>
        <w:t>hle inte</w:t>
      </w:r>
      <w:r>
        <w:softHyphen/>
        <w:t>grální nacionalismus se svými přehradami znemožní organisaci Evropy. Bezvýhradné nacionalismy vedou k válce, kde silnější národ vyvraždí nebo aspoň zmrza</w:t>
      </w:r>
      <w:r>
        <w:softHyphen/>
        <w:t>čí národy slabší«.</w:t>
      </w:r>
    </w:p>
    <w:p w:rsidR="00500724" w:rsidRDefault="00F30FB8">
      <w:pPr>
        <w:pStyle w:val="Zkladntext30"/>
        <w:shd w:val="clear" w:color="auto" w:fill="auto"/>
        <w:spacing w:after="0" w:line="199" w:lineRule="auto"/>
        <w:ind w:firstLine="240"/>
      </w:pPr>
      <w:r>
        <w:t>Netřeba tu rozvádět, v jaké míře tento a všecek Čapkův politický názor byl</w:t>
      </w:r>
      <w:r>
        <w:t xml:space="preserve"> ovlivněn humanitní de</w:t>
      </w:r>
      <w:r>
        <w:softHyphen/>
        <w:t>mokracií Masarykovou. Čapkovo bylo neúnavné jeho uskutečňování v nesčetných článcích, příspěvcích, do</w:t>
      </w:r>
      <w:r>
        <w:softHyphen/>
        <w:t>pisech, rozmluvách, návštěvách. Čapkův byl nepře</w:t>
      </w:r>
      <w:r>
        <w:softHyphen/>
        <w:t>tržitý sled myšlenek, co »by se mělo«, a co tedy »musil«. Vydával se každým dechem</w:t>
      </w:r>
      <w:r>
        <w:t xml:space="preserve"> z nekonečného úsilí přispět bezpečí svého lidu jejich šířením a pro</w:t>
      </w:r>
      <w:r>
        <w:softHyphen/>
        <w:t>váděním. Bohatý zahraniční ohlas dával mu důvod</w:t>
      </w:r>
      <w:r>
        <w:softHyphen/>
        <w:t>nou víru, že se tak děje s úspěchem.</w:t>
      </w:r>
    </w:p>
    <w:p w:rsidR="00500724" w:rsidRDefault="00F30FB8">
      <w:pPr>
        <w:pStyle w:val="Zkladntext30"/>
        <w:shd w:val="clear" w:color="auto" w:fill="auto"/>
        <w:spacing w:after="0" w:line="206" w:lineRule="auto"/>
        <w:ind w:firstLine="240"/>
      </w:pPr>
      <w:r>
        <w:t>Teprve zářijový pád těchto myšlenek, pád za hrani</w:t>
      </w:r>
      <w:r>
        <w:softHyphen/>
        <w:t xml:space="preserve">cemi, ukázal, jak daleko skutky zůstávají za slovy. </w:t>
      </w:r>
      <w:r>
        <w:t>Tehdá autor »Bílé nemoci« ve své obraně proti po</w:t>
      </w:r>
      <w:r>
        <w:softHyphen/>
        <w:t>mluvám, že za mobilisace zbaběle utekl, v obraně, jež se bezděky stala jeho tragickým závěrečným vyúčto</w:t>
      </w:r>
      <w:r>
        <w:softHyphen/>
        <w:t>váním, tehdá autor »Matky«, jež klade ručnici do synáčkových chlapeckých rukou, napsal, že se hlásí k p</w:t>
      </w:r>
      <w:r>
        <w:t>oraženým, »a to do všech důsledků«. Jak daleko</w:t>
      </w:r>
      <w:r>
        <w:softHyphen/>
        <w:t>sáhlé ty důsledky budou v jeho vlastní duši, tak dale</w:t>
      </w:r>
      <w:r>
        <w:softHyphen/>
        <w:t>kosáhlé, že podlomí tělu jeho odolnost proti bacilům epidemie, sám netušil, když přátelům telefonoval chraplavým hlasem: »Foltýn? Odpočívá. Nemůžu nic. děl</w:t>
      </w:r>
      <w:r>
        <w:t>at, mám chřipku«.</w:t>
      </w:r>
    </w:p>
    <w:p w:rsidR="00500724" w:rsidRDefault="00F30FB8">
      <w:pPr>
        <w:pStyle w:val="Zkladntext30"/>
        <w:shd w:val="clear" w:color="auto" w:fill="auto"/>
        <w:spacing w:after="0" w:line="209" w:lineRule="auto"/>
        <w:ind w:firstLine="240"/>
        <w:rPr>
          <w:sz w:val="20"/>
          <w:szCs w:val="20"/>
        </w:rPr>
      </w:pPr>
      <w:r>
        <w:t>Nebyla to jen tak chřipka. Jeden z vědců, kteří při</w:t>
      </w:r>
      <w:r>
        <w:softHyphen/>
        <w:t>šli ošetřit nemocného, po jeho smrti naznačil, že někdy hluboký citový otřes, nesnesitelná duševní bo</w:t>
      </w:r>
      <w:r>
        <w:softHyphen/>
        <w:t>lest, veliké zoufalství dovede se v tělesném stavu člo</w:t>
      </w:r>
      <w:r>
        <w:softHyphen/>
        <w:t xml:space="preserve">věkově projevit neurvalou </w:t>
      </w:r>
      <w:r>
        <w:t>zdravotní krisi, proti níž tkáně jsou bezbranné: »Některá nemoc je jen fysio- logická forma zoufalství«. A tak v jistém smyslu, ne zcela přeneseném, básník »Bílé nemoci« na ni také ze</w:t>
      </w:r>
      <w:r>
        <w:softHyphen/>
        <w:t xml:space="preserve">mřel. Přihlásil se k poraženým do všech důsledků. </w:t>
      </w:r>
      <w:r>
        <w:rPr>
          <w:i/>
          <w:iCs/>
          <w:sz w:val="20"/>
          <w:szCs w:val="20"/>
        </w:rPr>
        <w:t>Pavel Hofman:</w:t>
      </w:r>
    </w:p>
    <w:p w:rsidR="00500724" w:rsidRDefault="00F30FB8">
      <w:pPr>
        <w:pStyle w:val="Nadpis100"/>
        <w:shd w:val="clear" w:color="auto" w:fill="auto"/>
        <w:spacing w:after="60" w:line="240" w:lineRule="auto"/>
      </w:pPr>
      <w:bookmarkStart w:id="75" w:name="bookmark74"/>
      <w:r>
        <w:t>Kus nezv</w:t>
      </w:r>
      <w:r>
        <w:t>rhlého umění</w:t>
      </w:r>
      <w:bookmarkEnd w:id="75"/>
    </w:p>
    <w:p w:rsidR="00500724" w:rsidRDefault="00F30FB8">
      <w:pPr>
        <w:pStyle w:val="Zkladntext1"/>
        <w:shd w:val="clear" w:color="auto" w:fill="auto"/>
        <w:spacing w:line="211" w:lineRule="auto"/>
        <w:ind w:firstLine="240"/>
      </w:pPr>
      <w:r>
        <w:t>Ani pražská dramaturgie to teď nemá lehké. Operní scéna na tom ještě není tak zle, tady lze dlouho vy</w:t>
      </w:r>
      <w:r>
        <w:softHyphen/>
        <w:t>stačit klasickým repertoárem. Ale co činohra? Ta se bez novinek trvale neobejde, a kde je má u nás chudák dramaturg vzít? Kde je má dnes vzít</w:t>
      </w:r>
      <w:r>
        <w:t>?</w:t>
      </w:r>
    </w:p>
    <w:p w:rsidR="00500724" w:rsidRDefault="00F30FB8">
      <w:pPr>
        <w:pStyle w:val="Zkladntext1"/>
        <w:shd w:val="clear" w:color="auto" w:fill="auto"/>
        <w:spacing w:line="211" w:lineRule="auto"/>
        <w:ind w:firstLine="240"/>
      </w:pPr>
      <w:r>
        <w:t>Domníváme se, že by mohl a měl sáhnout t. 6. k posledním dramatům heroické trilogie Františka Zavřela. To je dnes totiž, zdá se, jediná možnost, jak by mohlo obecenstvo poznat na jevišti konečně jednou též zaručeně nezvrhlé umění. Umožnilo by se mu tak s</w:t>
      </w:r>
      <w:r>
        <w:t>rovnávat a hodnotit. Vskutku, nová drama</w:t>
      </w:r>
      <w:r>
        <w:softHyphen/>
        <w:t>turgie by si tu mohla zjednat trvale zásluhy o výchovu našeho divadelního publika.</w:t>
      </w:r>
    </w:p>
    <w:p w:rsidR="00500724" w:rsidRDefault="00F30FB8">
      <w:pPr>
        <w:pStyle w:val="Zkladntext1"/>
        <w:shd w:val="clear" w:color="auto" w:fill="auto"/>
        <w:spacing w:line="211" w:lineRule="auto"/>
        <w:ind w:firstLine="240"/>
        <w:sectPr w:rsidR="00500724">
          <w:footnotePr>
            <w:numFmt w:val="chicago"/>
            <w:numRestart w:val="eachPage"/>
          </w:footnotePr>
          <w:type w:val="continuous"/>
          <w:pgSz w:w="11909" w:h="16834"/>
          <w:pgMar w:top="1262" w:right="865" w:bottom="1288" w:left="547" w:header="0" w:footer="3" w:gutter="0"/>
          <w:cols w:num="2" w:space="144"/>
          <w:noEndnote/>
          <w:docGrid w:linePitch="360"/>
        </w:sectPr>
      </w:pPr>
      <w:r>
        <w:t xml:space="preserve">Slyšíme ovšem povzdech dramaturgův: české divadlo — také jeho pokladna — má svoje zkušenosti s Frant. </w:t>
      </w:r>
      <w:r>
        <w:t>Zavřelem a první část jeho trilogie, &gt;Kristus«, prošla</w:t>
      </w:r>
    </w:p>
    <w:p w:rsidR="00500724" w:rsidRDefault="00F30FB8">
      <w:pPr>
        <w:spacing w:line="14" w:lineRule="exact"/>
      </w:pPr>
      <w:r>
        <w:rPr>
          <w:noProof/>
        </w:rPr>
        <mc:AlternateContent>
          <mc:Choice Requires="wps">
            <w:drawing>
              <wp:anchor distT="0" distB="63500" distL="114300" distR="638810" simplePos="0" relativeHeight="125829422" behindDoc="0" locked="0" layoutInCell="1" allowOverlap="1">
                <wp:simplePos x="0" y="0"/>
                <wp:positionH relativeFrom="page">
                  <wp:posOffset>3013075</wp:posOffset>
                </wp:positionH>
                <wp:positionV relativeFrom="paragraph">
                  <wp:posOffset>12700</wp:posOffset>
                </wp:positionV>
                <wp:extent cx="381000" cy="377825"/>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381000" cy="377825"/>
                        </a:xfrm>
                        <a:prstGeom prst="rect">
                          <a:avLst/>
                        </a:prstGeom>
                        <a:noFill/>
                      </wps:spPr>
                      <wps:txbx>
                        <w:txbxContent>
                          <w:p w:rsidR="00500724" w:rsidRDefault="00F30FB8">
                            <w:pPr>
                              <w:pStyle w:val="Nadpis90"/>
                              <w:keepNext/>
                              <w:keepLines/>
                              <w:shd w:val="clear" w:color="auto" w:fill="auto"/>
                              <w:spacing w:after="0"/>
                            </w:pPr>
                            <w:bookmarkStart w:id="76" w:name="bookmark75"/>
                            <w:r>
                              <w:rPr>
                                <w:rFonts w:ascii="Times New Roman" w:eastAsia="Times New Roman" w:hAnsi="Times New Roman" w:cs="Times New Roman"/>
                              </w:rPr>
                              <w:t>Přít</w:t>
                            </w:r>
                            <w:bookmarkEnd w:id="76"/>
                          </w:p>
                        </w:txbxContent>
                      </wps:txbx>
                      <wps:bodyPr lIns="0" tIns="0" rIns="0" bIns="0">
                        <a:spAutoFit/>
                      </wps:bodyPr>
                    </wps:wsp>
                  </a:graphicData>
                </a:graphic>
              </wp:anchor>
            </w:drawing>
          </mc:Choice>
          <mc:Fallback>
            <w:pict>
              <v:shape id="_x0000_s1071" type="#_x0000_t202" style="position:absolute;margin-left:237.25pt;margin-top:1.pt;width:30.pt;height:29.75pt;z-index:-125829331;mso-wrap-distance-left:9.pt;mso-wrap-distance-right:50.299999999999997pt;mso-wrap-distance-bottom:5.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75" w:name="bookmark75"/>
                      <w:r>
                        <w:rPr>
                          <w:rFonts w:ascii="Times New Roman" w:eastAsia="Times New Roman" w:hAnsi="Times New Roman" w:cs="Times New Roman"/>
                          <w:color w:val="000000"/>
                          <w:spacing w:val="0"/>
                          <w:w w:val="100"/>
                          <w:position w:val="0"/>
                          <w:shd w:val="clear" w:color="auto" w:fill="auto"/>
                          <w:lang w:val="cs-CZ" w:eastAsia="cs-CZ" w:bidi="cs-CZ"/>
                        </w:rPr>
                        <w:t>Přít</w:t>
                      </w:r>
                      <w:bookmarkEnd w:id="75"/>
                    </w:p>
                  </w:txbxContent>
                </v:textbox>
                <w10:wrap type="topAndBottom" anchorx="page"/>
              </v:shape>
            </w:pict>
          </mc:Fallback>
        </mc:AlternateContent>
      </w:r>
      <w:r>
        <w:rPr>
          <w:noProof/>
        </w:rPr>
        <mc:AlternateContent>
          <mc:Choice Requires="wps">
            <w:drawing>
              <wp:anchor distT="125095" distB="100330" distL="501650" distR="114300" simplePos="0" relativeHeight="125829424" behindDoc="0" locked="0" layoutInCell="1" allowOverlap="1">
                <wp:simplePos x="0" y="0"/>
                <wp:positionH relativeFrom="page">
                  <wp:posOffset>3399790</wp:posOffset>
                </wp:positionH>
                <wp:positionV relativeFrom="paragraph">
                  <wp:posOffset>137795</wp:posOffset>
                </wp:positionV>
                <wp:extent cx="518160" cy="216535"/>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518160" cy="21653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26"/>
                                <w:szCs w:val="26"/>
                              </w:rPr>
                            </w:pPr>
                            <w:r>
                              <w:rPr>
                                <w:b/>
                                <w:bCs/>
                                <w:color w:val="FFFFFF"/>
                                <w:sz w:val="26"/>
                                <w:szCs w:val="26"/>
                              </w:rPr>
                              <w:t>•jllíKt</w:t>
                            </w:r>
                          </w:p>
                        </w:txbxContent>
                      </wps:txbx>
                      <wps:bodyPr lIns="0" tIns="0" rIns="0" bIns="0">
                        <a:spAutoFit/>
                      </wps:bodyPr>
                    </wps:wsp>
                  </a:graphicData>
                </a:graphic>
              </wp:anchor>
            </w:drawing>
          </mc:Choice>
          <mc:Fallback>
            <w:pict>
              <v:shape id="_x0000_s1073" type="#_x0000_t202" style="position:absolute;margin-left:267.69999999999999pt;margin-top:10.85pt;width:40.799999999999997pt;height:17.050000000000001pt;z-index:-125829329;mso-wrap-distance-left:39.5pt;mso-wrap-distance-top:9.8499999999999996pt;mso-wrap-distance-right:9.pt;mso-wrap-distance-bottom:7.9000000000000004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6"/>
                          <w:szCs w:val="26"/>
                        </w:rPr>
                      </w:pPr>
                      <w:r>
                        <w:rPr>
                          <w:b/>
                          <w:bCs/>
                          <w:color w:val="FFFFFF"/>
                          <w:spacing w:val="0"/>
                          <w:w w:val="100"/>
                          <w:position w:val="0"/>
                          <w:sz w:val="26"/>
                          <w:szCs w:val="26"/>
                          <w:shd w:val="clear" w:color="auto" w:fill="auto"/>
                          <w:lang w:val="cs-CZ" w:eastAsia="cs-CZ" w:bidi="cs-CZ"/>
                        </w:rPr>
                        <w:t>•jllíKt</w:t>
                      </w:r>
                    </w:p>
                  </w:txbxContent>
                </v:textbox>
                <w10:wrap type="topAndBottom" anchorx="page"/>
              </v:shape>
            </w:pict>
          </mc:Fallback>
        </mc:AlternateContent>
      </w:r>
    </w:p>
    <w:p w:rsidR="00500724" w:rsidRDefault="00F30FB8">
      <w:pPr>
        <w:pStyle w:val="Zkladntext1"/>
        <w:shd w:val="clear" w:color="auto" w:fill="auto"/>
        <w:spacing w:after="40" w:line="209" w:lineRule="auto"/>
        <w:ind w:firstLine="0"/>
      </w:pPr>
      <w:r>
        <w:rPr>
          <w:smallCaps/>
        </w:rPr>
        <w:t>tiž</w:t>
      </w:r>
      <w:r>
        <w:t xml:space="preserve"> naší nejoficiálnější scénou ... a projít znamenalo propadnout. Chápeme tedy povzdech každého příštího šéfa činohry nad naším návrhem, neustupujeme však od něho. Proč nezkusit znova?</w:t>
      </w:r>
    </w:p>
    <w:p w:rsidR="00500724" w:rsidRDefault="00F30FB8">
      <w:pPr>
        <w:pStyle w:val="Zkladntext1"/>
        <w:shd w:val="clear" w:color="auto" w:fill="auto"/>
        <w:spacing w:after="120" w:line="209" w:lineRule="auto"/>
      </w:pPr>
      <w:r>
        <w:t>Žel bohu, pro spojené rozpaky dramaturgovy a pokladníkovy nemáme jistoty,</w:t>
      </w:r>
      <w:r>
        <w:t xml:space="preserve"> že se shledáme s novými dramaty Frant. Zavřela na našich jevištích. A přece si doba žádá, abychom konečně i u nás poznali ne- zvrhlé umění. Co zbývá? Chceme se aspoň podle svých chabých sil pokusit, abychom před svými čtenáři roz</w:t>
      </w:r>
      <w:r>
        <w:softHyphen/>
        <w:t>vinuli zásady páně Zavřel</w:t>
      </w:r>
      <w:r>
        <w:t>ovy hrdinské trilogie v ce</w:t>
      </w:r>
      <w:r>
        <w:softHyphen/>
        <w:t>lém jejich osobitém půvabu.</w:t>
      </w:r>
    </w:p>
    <w:p w:rsidR="00500724" w:rsidRDefault="00F30FB8">
      <w:pPr>
        <w:pStyle w:val="Zkladntext1"/>
        <w:shd w:val="clear" w:color="auto" w:fill="auto"/>
        <w:spacing w:after="40" w:line="209" w:lineRule="auto"/>
        <w:ind w:right="120" w:firstLine="0"/>
        <w:jc w:val="center"/>
      </w:pPr>
      <w:r>
        <w:t>Peníze jako dramatický motiv</w:t>
      </w:r>
    </w:p>
    <w:p w:rsidR="00500724" w:rsidRDefault="00F30FB8">
      <w:pPr>
        <w:pStyle w:val="Zkladntext1"/>
        <w:shd w:val="clear" w:color="auto" w:fill="auto"/>
        <w:spacing w:after="40" w:line="209" w:lineRule="auto"/>
      </w:pPr>
      <w:r>
        <w:t>Trilogie, skládající se z dramat ^Kristus, »Hus* a &gt;Nietzsche«, má společný název HEROIKA. Autor, jak zřejmo, chtěl v našich malých a o malosti svědčících poměrech sám vhod</w:t>
      </w:r>
      <w:r>
        <w:t>ně zdůraznit velikost své téma</w:t>
      </w:r>
      <w:r>
        <w:softHyphen/>
        <w:t>tiky, monumentalitu svého uměleckého zření vůbec a zejména svého pojetí tragického hrdinství.</w:t>
      </w:r>
    </w:p>
    <w:p w:rsidR="00500724" w:rsidRDefault="00F30FB8">
      <w:pPr>
        <w:pStyle w:val="Zkladntext1"/>
        <w:shd w:val="clear" w:color="auto" w:fill="auto"/>
        <w:spacing w:line="209" w:lineRule="auto"/>
      </w:pPr>
      <w:r>
        <w:t>Starší klasikové stavívali svoje tragedie na konflik</w:t>
      </w:r>
      <w:r>
        <w:softHyphen/>
        <w:t>tech dobra a zla, práva a bezpráví, osudu a vzpoury proti němu, lásky a zhrdnu</w:t>
      </w:r>
      <w:r>
        <w:t xml:space="preserve">tí a na podobných více méně hlubokých protikladech. Jejich hrdinové bojovali proti silám, jimž pravidelně nebyla upírána všechna velikost; takový Shakespeare šel tak podezřele daleko, že viděl i v Shylockově zápase boj za určité právo — omluvme ho, nemohl </w:t>
      </w:r>
      <w:r>
        <w:t>ještě číst Protokoly siónských mudrců, aby byl věděl, že žid chce vždycky jen bezpráví.</w:t>
      </w:r>
    </w:p>
    <w:p w:rsidR="00500724" w:rsidRDefault="00F30FB8">
      <w:pPr>
        <w:pStyle w:val="Zkladntext1"/>
        <w:shd w:val="clear" w:color="auto" w:fill="auto"/>
        <w:spacing w:after="40" w:line="209" w:lineRule="auto"/>
      </w:pPr>
      <w:r>
        <w:t>Nezvrhlé dramatické umění pojímá ovšem he- roismus docela jinak. V boji proti jeho hrdinům může stát jen dvojí druh lidí: ti, kteří za to berou peníze, a ti, kdo jim je</w:t>
      </w:r>
      <w:r>
        <w:t xml:space="preserve"> za to dávají.</w:t>
      </w:r>
    </w:p>
    <w:p w:rsidR="00500724" w:rsidRDefault="00F30FB8">
      <w:pPr>
        <w:pStyle w:val="Zkladntext1"/>
        <w:shd w:val="clear" w:color="auto" w:fill="auto"/>
        <w:spacing w:after="40" w:line="209" w:lineRule="auto"/>
      </w:pPr>
      <w:r>
        <w:t>Hm ... Napište to do večerníku a můžete mít úspěch; napište to do dramatu a úspěch se nedostaví. Nedosta</w:t>
      </w:r>
      <w:r>
        <w:softHyphen/>
        <w:t>vil se už při Zavřelově »Kristu« na Národním divadle. Evangelia znají, pokud víme, právě jen Jidášových třicet stříbrných: jak málo špín</w:t>
      </w:r>
      <w:r>
        <w:t>y pro ducha, odkoje</w:t>
      </w:r>
      <w:r>
        <w:softHyphen/>
        <w:t>ného moderním žurnalismem! Pan Zavřel s ní ovšem ne</w:t>
      </w:r>
      <w:r>
        <w:softHyphen/>
        <w:t>mohl vystačit. U něho farizejští nepřátelé Kristovi pracují výlučně penězi: »Tady máš zálohu,« ^Zaplaťte jí,« »Řekl jsem stokrát, aby se jim daly peníze,« »Zají- mala by mne jediná věc</w:t>
      </w:r>
      <w:r>
        <w:t>: kdo ho platí,« &gt; Jde si pro pení</w:t>
      </w:r>
      <w:r>
        <w:softHyphen/>
        <w:t>ze,« » Kolik chcete?*. Stejně vypadá souhrn evangelií v režisérských poznámkách: »Z jejich gest i tlumených vý</w:t>
      </w:r>
      <w:r>
        <w:softHyphen/>
        <w:t>křiků je viděli, že jednají o výši obnosu, na které se nemohou dohodnout,* »Dává jí peníze,« »Po krátké rozmlu</w:t>
      </w:r>
      <w:r>
        <w:t>vě, arci tlumené, vtiskne každému do ruky pe</w:t>
      </w:r>
      <w:r>
        <w:softHyphen/>
        <w:t>níz,&lt; »Dává jednomu po druhém peníze* atd. do ne</w:t>
      </w:r>
      <w:r>
        <w:softHyphen/>
        <w:t>konečna.</w:t>
      </w:r>
    </w:p>
    <w:p w:rsidR="00500724" w:rsidRDefault="00F30FB8">
      <w:pPr>
        <w:pStyle w:val="Zkladntext1"/>
        <w:shd w:val="clear" w:color="auto" w:fill="auto"/>
        <w:spacing w:after="40" w:line="209" w:lineRule="auto"/>
      </w:pPr>
      <w:r>
        <w:t xml:space="preserve">Není tomu jinak ani v </w:t>
      </w:r>
      <w:r>
        <w:rPr>
          <w:smallCaps/>
        </w:rPr>
        <w:t>jHusoví*.</w:t>
      </w:r>
      <w:r>
        <w:t xml:space="preserve"> Čím jsou v »Kristu&lt; farizeové, tím jsou v »Husovi* táborští kněží a žáci Chelčického. »Pošli jim peníze!* velí Zavřelův Z</w:t>
      </w:r>
      <w:r>
        <w:t>ikmund. &gt;Stalo se,« odpovídá mu jeho generál. V tomto bodě je dokonce nutno přiřknout autorovi historický primát. V pěti stech letech protitáborské literatury se dosud nikdo neopovážil prsknout po táborských a bratrských kněžích slinou téhle propagandy: na</w:t>
      </w:r>
      <w:r>
        <w:t xml:space="preserve"> to přišel až vlastenecký spisovatel našich dnů, p. František Zavřel. Škoda, že jej na základě jeho historických dramat nelze usvědčit z hlubší znalosti české historie; jinak bychom se mohli zeptat s podivem, jak to, že nic neví o tom, kde tenkrát na české</w:t>
      </w:r>
      <w:r>
        <w:t xml:space="preserve"> straně prokázané brali od nepřátel peníze, aby jimi financovali svoje protitábor- ské tažení až k Lipanům, kde potom — jak žaluje kro</w:t>
      </w:r>
      <w:r>
        <w:softHyphen/>
        <w:t>nikář — pobili mocné táborské kněze Prokopa Velikého, Prokupka a mnoho jiných páně Zavřelových &gt;žáků Chelčického*, podpla</w:t>
      </w:r>
      <w:r>
        <w:t>cených humanistů a defaitistů, ku podivu bojujících do posledního dechu.</w:t>
      </w:r>
    </w:p>
    <w:p w:rsidR="00500724" w:rsidRDefault="00F30FB8">
      <w:pPr>
        <w:pStyle w:val="Zkladntext1"/>
        <w:shd w:val="clear" w:color="auto" w:fill="auto"/>
        <w:spacing w:after="120" w:line="209" w:lineRule="auto"/>
        <w:ind w:firstLine="260"/>
      </w:pPr>
      <w:r>
        <w:t>Jak řečeno, propaganda tohoto druhu může mít na čas úspěch ve večernících; jsme však zvědavi na to, jaký úspěch by měla na jevišti. Chtěli bychom vidět, najdou-li se u nás diváci, kte</w:t>
      </w:r>
      <w:r>
        <w:t>ří by tleskali tomu šplíchnutí špíny po slavných synech národa.</w:t>
      </w:r>
    </w:p>
    <w:p w:rsidR="00500724" w:rsidRDefault="00F30FB8">
      <w:pPr>
        <w:pStyle w:val="Zkladntext1"/>
        <w:shd w:val="clear" w:color="auto" w:fill="auto"/>
        <w:spacing w:line="209" w:lineRule="auto"/>
        <w:ind w:firstLine="0"/>
        <w:jc w:val="center"/>
      </w:pPr>
      <w:r>
        <w:t>Hrdina každým coulem</w:t>
      </w:r>
    </w:p>
    <w:p w:rsidR="00500724" w:rsidRDefault="00F30FB8">
      <w:pPr>
        <w:pStyle w:val="Zkladntext1"/>
        <w:shd w:val="clear" w:color="auto" w:fill="auto"/>
        <w:spacing w:line="209" w:lineRule="auto"/>
      </w:pPr>
      <w:r>
        <w:t xml:space="preserve">Jistý </w:t>
      </w:r>
      <w:r>
        <w:rPr>
          <w:lang w:val="en-US" w:eastAsia="en-US" w:bidi="en-US"/>
        </w:rPr>
        <w:t xml:space="preserve">Goethe, </w:t>
      </w:r>
      <w:r>
        <w:t xml:space="preserve">dosud neočištěný z podezření zednář- ství, postavil kdysi na jeviště hrdinu, jemuž v prsou sídlely dvě duše. Tento literát výmarské éry nebyl v tom ostatně </w:t>
      </w:r>
      <w:r>
        <w:t>ani první ani poslední; vždyť už u starého Homéra někdy začíná jinak málo hamletovskému Achilovi &gt;srdce v chlupaté hrudi dvojako uvažovati*.</w:t>
      </w:r>
    </w:p>
    <w:p w:rsidR="00500724" w:rsidRDefault="00F30FB8">
      <w:pPr>
        <w:pStyle w:val="Zkladntext1"/>
        <w:shd w:val="clear" w:color="auto" w:fill="auto"/>
        <w:spacing w:line="209" w:lineRule="auto"/>
      </w:pPr>
      <w:r>
        <w:t>Je jen přirozeno, že v nezvrhlém umění není místa pro tak úpadkový typ hrdiny, rozpolceného vnitřními sváry. Zavřel</w:t>
      </w:r>
      <w:r>
        <w:t>ův rek je každým coulem hrdina. Jeho Kristus (»silou a mládím nabitý muž kovové tváře* — nu dobrá, ale jen aby ho publikum poznalo!) dělá všechno, aby se dostal na kříž, kam mu zlý Satan brání v přístupu. Jeho Hus přímo vleče za sebou k hranici zlomyslného</w:t>
      </w:r>
      <w:r>
        <w:t xml:space="preserve"> kardinála, který ho k ní nechce pustit — nu, tomu říkám hrdinství!</w:t>
      </w:r>
    </w:p>
    <w:p w:rsidR="00500724" w:rsidRDefault="00F30FB8">
      <w:pPr>
        <w:pStyle w:val="Zkladntext1"/>
        <w:shd w:val="clear" w:color="auto" w:fill="auto"/>
        <w:spacing w:after="120" w:line="209" w:lineRule="auto"/>
      </w:pPr>
      <w:r>
        <w:t>A zase: chtěl bych to vidět na jevišti. Naše divadelní obecenstvo je pořád ještě zvyklejší vidět na scéně tako</w:t>
      </w:r>
      <w:r>
        <w:softHyphen/>
        <w:t xml:space="preserve">vou Johanku z Arku, která jednu chvíli nestatečně uhýbá smrti, nebo takového </w:t>
      </w:r>
      <w:r>
        <w:t>Jánošíka, který se nestydí schovávat se před biřici. Co by tihle naši lidé řekli ne- zvrhlému umění a jeho konečně stoprocentním hrdinům?</w:t>
      </w:r>
    </w:p>
    <w:p w:rsidR="00500724" w:rsidRDefault="00F30FB8">
      <w:pPr>
        <w:pStyle w:val="Zkladntext1"/>
        <w:shd w:val="clear" w:color="auto" w:fill="auto"/>
        <w:spacing w:line="209" w:lineRule="auto"/>
        <w:ind w:firstLine="0"/>
        <w:jc w:val="center"/>
      </w:pPr>
      <w:r>
        <w:t>Drama, tof diskuse</w:t>
      </w:r>
    </w:p>
    <w:p w:rsidR="00500724" w:rsidRDefault="00F30FB8">
      <w:pPr>
        <w:pStyle w:val="Zkladntext1"/>
        <w:shd w:val="clear" w:color="auto" w:fill="auto"/>
        <w:spacing w:line="209" w:lineRule="auto"/>
      </w:pPr>
      <w:r>
        <w:t>Rozumí se samo sebou, že p. Zavřelovi je diskuse prvo</w:t>
      </w:r>
      <w:r>
        <w:softHyphen/>
        <w:t>počátečním hříchem člověka. U něho jsou fariz</w:t>
      </w:r>
      <w:r>
        <w:t>eové &gt;všichni pro diskusi*, která jim je ^strunou obzvlášť milou*; v husitských Cechách je pro diskusi jen &gt;pan Chelčický z Chelčic* a cháska jeho pacifistických humanistů. Zavřelovi-ideologu je diskuse hlavní zása</w:t>
      </w:r>
      <w:r>
        <w:softHyphen/>
        <w:t>dou rozkladu; ale pro Zavřela-dramatika j</w:t>
      </w:r>
      <w:r>
        <w:t>e diskuse hlavním, ba vlastně jediným principem konstrukce. Veliká většina scén celé jeho trilogie je jen a jen diskusí.</w:t>
      </w:r>
    </w:p>
    <w:p w:rsidR="00500724" w:rsidRDefault="00F30FB8">
      <w:pPr>
        <w:pStyle w:val="Zkladntext1"/>
        <w:shd w:val="clear" w:color="auto" w:fill="auto"/>
        <w:spacing w:line="209" w:lineRule="auto"/>
      </w:pPr>
      <w:r>
        <w:t>Zavřelovi hrdinové na jevišti téměř ani nedělají nic jiného nežli diskutují — a při tom ovšem diskusi pro</w:t>
      </w:r>
      <w:r>
        <w:softHyphen/>
        <w:t>klínají. Pravda, v historické</w:t>
      </w:r>
      <w:r>
        <w:t xml:space="preserve"> skutečnosti tomu tak do</w:t>
      </w:r>
      <w:r>
        <w:softHyphen/>
        <w:t>cela nebylo. Ježíš evangelií už jako hoch diskutoval s farizei v chrámě; Hus šel na hranici za právo na svo</w:t>
      </w:r>
      <w:r>
        <w:softHyphen/>
        <w:t xml:space="preserve">bodnou diskusi, jež pak bylo v Cechách prvním ze čtyř artikulů; husitští Cechové stále znovu a znovu žádali od celé Evropy </w:t>
      </w:r>
      <w:r>
        <w:t>diskusi, chtěli si ji vynutit svým bojem, za jehož nejvyšší úspěch považovali pozvání do Basi</w:t>
      </w:r>
      <w:r>
        <w:softHyphen/>
        <w:t xml:space="preserve">leje... k diskusi; </w:t>
      </w:r>
      <w:r>
        <w:rPr>
          <w:lang w:val="en-US" w:eastAsia="en-US" w:bidi="en-US"/>
        </w:rPr>
        <w:t xml:space="preserve">Nietzsche </w:t>
      </w:r>
      <w:r>
        <w:t>nad ničím tolik netruchlil jako nad tím, že nemá přátel, dorostlých jeho výšky, jimž by mohl dávat a od nichž by mohl brát, civilněji</w:t>
      </w:r>
      <w:r>
        <w:t xml:space="preserve"> řečeno, s nimiž by mohl filosoficky diskutovat.</w:t>
      </w:r>
    </w:p>
    <w:p w:rsidR="00500724" w:rsidRDefault="00F30FB8">
      <w:pPr>
        <w:pStyle w:val="Zkladntext1"/>
        <w:shd w:val="clear" w:color="auto" w:fill="auto"/>
        <w:spacing w:after="100" w:line="209" w:lineRule="auto"/>
      </w:pPr>
      <w:r>
        <w:t>Skutečnost tedy ukazuje, že p. Zavřel demonstruje svoji protidiskusní tendenci na nevhodných modelech. Mnohem lépe by mu tu byli mohli posloužit velekněz Kaifáš, jenž nechtěl ve své diecési trpět diskusi o p</w:t>
      </w:r>
      <w:r>
        <w:t>rav</w:t>
      </w:r>
      <w:r>
        <w:softHyphen/>
        <w:t>dách Starého zákona, a císař Zikmund, který nelitoval krve áni peněz, aby v Čechách potřel režim svobodné diskuse, jenž tam dvacet let řádil.</w:t>
      </w:r>
    </w:p>
    <w:p w:rsidR="00500724" w:rsidRDefault="00F30FB8">
      <w:pPr>
        <w:pStyle w:val="Zkladntext1"/>
        <w:shd w:val="clear" w:color="auto" w:fill="auto"/>
        <w:spacing w:line="209" w:lineRule="auto"/>
        <w:ind w:firstLine="0"/>
        <w:jc w:val="center"/>
      </w:pPr>
      <w:r>
        <w:t>Osoby dramatu</w:t>
      </w:r>
    </w:p>
    <w:p w:rsidR="00500724" w:rsidRDefault="00F30FB8">
      <w:pPr>
        <w:pStyle w:val="Zkladntext1"/>
        <w:shd w:val="clear" w:color="auto" w:fill="auto"/>
        <w:spacing w:line="209" w:lineRule="auto"/>
      </w:pPr>
      <w:r>
        <w:t>V jednom směru je to v Zavřelových dramatech jako v jeho oblíbených státech: jejich hrdinové neu</w:t>
      </w:r>
      <w:r>
        <w:t>stále mluví o tom, jak je nutno povznést lidi z jejich nízkého živoření k vyšší individualitě — a kolem těchto hrdinů klesají při tom individua na materiál vůdcovských kal</w:t>
      </w:r>
      <w:r>
        <w:softHyphen/>
        <w:t>kulů, na čísla bez tváře a jména.</w:t>
      </w:r>
    </w:p>
    <w:p w:rsidR="00500724" w:rsidRDefault="00F30FB8">
      <w:pPr>
        <w:pStyle w:val="Zkladntext1"/>
        <w:shd w:val="clear" w:color="auto" w:fill="auto"/>
        <w:spacing w:line="209" w:lineRule="auto"/>
      </w:pPr>
      <w:r>
        <w:t xml:space="preserve">To je pravda do slova a do písmene. Valná většina </w:t>
      </w:r>
      <w:r>
        <w:t xml:space="preserve">osob páně Zavřelovy trilogie nemá vůbec jmen, nýbrž jen čísla: první, druhý, třetí, čtvrtý, pátý, farizej; první, druhý, třetí, čtvrtý, pátý žebrák; 1.—10. voják; 1.—6. hejtman; 1.—3. posel; 1., 2. horolezec, 1., 2. poshi- chaě filosofie, 1., 2., 3. katův </w:t>
      </w:r>
      <w:r>
        <w:t>pomahač, 1., 2., 3. výzvě</w:t>
      </w:r>
      <w:r>
        <w:softHyphen/>
        <w:t>dně, 1., 2., 3. žena... všehno pěkně očíslováno jako ▼ kriminále.</w:t>
      </w:r>
    </w:p>
    <w:p w:rsidR="00500724" w:rsidRDefault="00F30FB8">
      <w:pPr>
        <w:pStyle w:val="Zkladntext1"/>
        <w:shd w:val="clear" w:color="auto" w:fill="auto"/>
        <w:spacing w:line="209" w:lineRule="auto"/>
        <w:sectPr w:rsidR="00500724">
          <w:footnotePr>
            <w:numFmt w:val="chicago"/>
            <w:numRestart w:val="eachPage"/>
          </w:footnotePr>
          <w:pgSz w:w="11909" w:h="16834"/>
          <w:pgMar w:top="879" w:right="802" w:bottom="972" w:left="605" w:header="0" w:footer="3" w:gutter="0"/>
          <w:cols w:num="2" w:space="134"/>
          <w:noEndnote/>
          <w:docGrid w:linePitch="360"/>
        </w:sectPr>
      </w:pPr>
      <w:r>
        <w:t>Věčná škoda, že tato číslovací soustava nebyla vyna</w:t>
      </w:r>
      <w:r>
        <w:softHyphen/>
      </w:r>
    </w:p>
    <w:p w:rsidR="00500724" w:rsidRDefault="00500724">
      <w:pPr>
        <w:spacing w:line="234" w:lineRule="exact"/>
        <w:rPr>
          <w:sz w:val="19"/>
          <w:szCs w:val="19"/>
        </w:rPr>
      </w:pPr>
    </w:p>
    <w:p w:rsidR="00500724" w:rsidRDefault="00500724">
      <w:pPr>
        <w:spacing w:line="14" w:lineRule="exact"/>
        <w:sectPr w:rsidR="00500724">
          <w:footnotePr>
            <w:numFmt w:val="chicago"/>
            <w:numRestart w:val="eachPage"/>
          </w:footnotePr>
          <w:pgSz w:w="11909" w:h="16834"/>
          <w:pgMar w:top="1805" w:right="0" w:bottom="1056" w:left="0" w:header="0" w:footer="3" w:gutter="0"/>
          <w:cols w:space="720"/>
          <w:noEndnote/>
          <w:docGrid w:linePitch="360"/>
        </w:sectPr>
      </w:pPr>
    </w:p>
    <w:p w:rsidR="00500724" w:rsidRDefault="00F30FB8">
      <w:pPr>
        <w:pStyle w:val="Zkladntext1"/>
        <w:shd w:val="clear" w:color="auto" w:fill="auto"/>
        <w:spacing w:line="223" w:lineRule="auto"/>
        <w:ind w:firstLine="0"/>
      </w:pPr>
      <w:r>
        <w:t>lezena už dřív: mohli jsme mít v &gt;Králi Learut 1., 2.,</w:t>
      </w:r>
    </w:p>
    <w:p w:rsidR="00500724" w:rsidRDefault="00F30FB8">
      <w:pPr>
        <w:pStyle w:val="Zkladntext1"/>
        <w:numPr>
          <w:ilvl w:val="0"/>
          <w:numId w:val="9"/>
        </w:numPr>
        <w:shd w:val="clear" w:color="auto" w:fill="auto"/>
        <w:tabs>
          <w:tab w:val="left" w:pos="274"/>
        </w:tabs>
        <w:spacing w:after="80" w:line="223" w:lineRule="auto"/>
        <w:ind w:firstLine="0"/>
      </w:pPr>
      <w:r>
        <w:t xml:space="preserve">dceru a v &gt;Caesarovi« 1., 2., 3. triumvira. Jenže autoři jsou nepolepšitelně konservativní; teď už i ten Walt Disney zindividualisoval </w:t>
      </w:r>
      <w:r>
        <w:rPr>
          <w:b/>
          <w:bCs/>
          <w:i/>
          <w:iCs/>
          <w:sz w:val="20"/>
          <w:szCs w:val="20"/>
        </w:rPr>
        <w:t>7</w:t>
      </w:r>
      <w:r>
        <w:t xml:space="preserve"> trpaslíků ve Šmudlu, Prófu, Kejchala a jak se ještě jmenují. Takže opravdu snad jen horlivý hlasatel individualismu František Zavřel dokázal proměnit na své scéně veliké individuality, jako byli Chval Repický z Machovic, Zbyněk z Buckova, Bohuslav ze Švam</w:t>
      </w:r>
      <w:r>
        <w:t>berka, Jan Hvězda z Vícemilic, Jan Roháč z Dubé, Přibík z Klenového v hejtmany čís. 1.—6. Poměr k realitě</w:t>
      </w:r>
    </w:p>
    <w:p w:rsidR="00500724" w:rsidRDefault="00F30FB8">
      <w:pPr>
        <w:pStyle w:val="Zkladntext1"/>
        <w:shd w:val="clear" w:color="auto" w:fill="auto"/>
        <w:spacing w:line="209" w:lineRule="auto"/>
      </w:pPr>
      <w:r>
        <w:t xml:space="preserve">Poznali jsme již celkový ráz páně Zavřelových dramat i jejich živý inventář; zbývá přihlédnouti k tomu, co by v jiných případech bylo možno nazvat </w:t>
      </w:r>
      <w:r>
        <w:t>duchem dramatu.</w:t>
      </w:r>
    </w:p>
    <w:p w:rsidR="00500724" w:rsidRDefault="00F30FB8">
      <w:pPr>
        <w:pStyle w:val="Zkladntext1"/>
        <w:shd w:val="clear" w:color="auto" w:fill="auto"/>
        <w:spacing w:line="209" w:lineRule="auto"/>
      </w:pPr>
      <w:r>
        <w:t>Co je tedy pro Frant. Zavřela smyslem mystéria na Golgatě, jakým výsledkem je u něho odměněno Kristo</w:t>
      </w:r>
      <w:r>
        <w:softHyphen/>
        <w:t>vo hrdinství? — Kristus vypudí Satana z lidských duší a ponechá mu jako jeho poslední útočiště... židy, do nichž Satan vjede a promění je v</w:t>
      </w:r>
      <w:r>
        <w:t xml:space="preserve"> stádo vepřů. Efektním závěrem hry je pak kankán farizeů číslo jedna až pět, »ponurý tanec běsů a příšeře, jež svými strašidelnými gesty naznačují, že Kristovou obětí na</w:t>
      </w:r>
      <w:r>
        <w:softHyphen/>
        <w:t xml:space="preserve">dešel pro nešťastnou zeměkouli čas, kdy židé smějí etablovat úrokové otroctví, prznit </w:t>
      </w:r>
      <w:r>
        <w:t>arijskou rasu a chodit do kaváren.</w:t>
      </w:r>
    </w:p>
    <w:p w:rsidR="00500724" w:rsidRDefault="00F30FB8">
      <w:pPr>
        <w:pStyle w:val="Zkladntext1"/>
        <w:shd w:val="clear" w:color="auto" w:fill="auto"/>
        <w:spacing w:line="209" w:lineRule="auto"/>
      </w:pPr>
      <w:r>
        <w:t>Člověk by se málem divil, že autor této scény kdysi dříve prohlašoval před lidmi, kteří se ještě na to dobře pamatují, jak je hrd na to, že i v jeho žilách koluje ži</w:t>
      </w:r>
      <w:r>
        <w:softHyphen/>
        <w:t>dovská krev. Dnes se musí v hrobě obracet chudák jeho b</w:t>
      </w:r>
      <w:r>
        <w:t>abička, dcera s&gt;Schutzjuda« Streisslera ze statku pana Nevoly u Trhové Kamenice.</w:t>
      </w:r>
    </w:p>
    <w:p w:rsidR="00500724" w:rsidRDefault="00F30FB8">
      <w:pPr>
        <w:pStyle w:val="Zkladntext1"/>
        <w:shd w:val="clear" w:color="auto" w:fill="auto"/>
        <w:spacing w:line="209" w:lineRule="auto"/>
      </w:pPr>
      <w:r>
        <w:t>Zavřelův »Hus« je osnován na zcela moderní myšlen</w:t>
      </w:r>
      <w:r>
        <w:softHyphen/>
        <w:t>ce, že Žižkova velikost spočívala v hromadném odpra- vování humanistů a pacifistů, kteří mu za Zikmundovy peníze chtěli rozlo</w:t>
      </w:r>
      <w:r>
        <w:t>žit armádu &gt;duchem Chelčického«, hlásaným táborskými kněžími. Skutečnost, ostatně do</w:t>
      </w:r>
      <w:r>
        <w:softHyphen/>
        <w:t>bře známá, je taková: táborští kněží byli smrtelnými nepřáteli Chelčického, jehož učení potírali ještě prud</w:t>
      </w:r>
      <w:r>
        <w:softHyphen/>
        <w:t>čeji než on potíral jejich; táborští kněží byíi tak málo humani</w:t>
      </w:r>
      <w:r>
        <w:t>sty, že jim jejich protivníci neustále vyčítali, že nejen navádějí k prolévání lidské krve, nýbrž že prý ji prolévají vlastníma rukama. A byli tak málo pacifisty a defaitisty, že, bojovali až do konce, až do Lipan. Kapitulanty by tam byl p. Zavřel našel je</w:t>
      </w:r>
      <w:r>
        <w:t>n na druhé straně, tam, kde se vytýkalo táborským kně- žím, že jako ^škůdcové země« nechtějí ustat od války a odmítají basilejskou arbitráž. Toto hapitulantské pan</w:t>
      </w:r>
      <w:r>
        <w:softHyphen/>
        <w:t>stvo nakonec masakrovalo táborské kněze a jejich věr</w:t>
      </w:r>
      <w:r>
        <w:softHyphen/>
        <w:t>né, když se předtím musilo na svých vla</w:t>
      </w:r>
      <w:r>
        <w:t>stních poráž</w:t>
      </w:r>
      <w:r>
        <w:softHyphen/>
        <w:t>kách přesvědčit, že kázeň Tábora nerozložil ani paci</w:t>
      </w:r>
      <w:r>
        <w:softHyphen/>
        <w:t>fismus Chelčického, ani zlato koncilu a císaře.</w:t>
      </w:r>
    </w:p>
    <w:p w:rsidR="00500724" w:rsidRDefault="00F30FB8">
      <w:pPr>
        <w:pStyle w:val="Zkladntext1"/>
        <w:shd w:val="clear" w:color="auto" w:fill="auto"/>
        <w:spacing w:line="209" w:lineRule="auto"/>
      </w:pPr>
      <w:r>
        <w:t>Poslední část páně Zavřelovy trilogie »Nietzsche« je věnována » Vůdcům nové Evropy«. Jim totiž podle něho veliký přehodnotitel všech hodnot ^p</w:t>
      </w:r>
      <w:r>
        <w:t>řipravoval cestuc. Což se v dramatě dokazuje jednak sáhodlouhou diskusí Nietzscheho s Dostojevským a s Napoleonem, jednak závěrečným bengálem, kdy nemocného filosofa odvá</w:t>
      </w:r>
      <w:r>
        <w:softHyphen/>
        <w:t xml:space="preserve">žejí do blázince za zvuků Giovinezzy. Načež se ještě »před diváky objeví </w:t>
      </w:r>
      <w:r>
        <w:rPr>
          <w:lang w:val="en-US" w:eastAsia="en-US" w:bidi="en-US"/>
        </w:rPr>
        <w:t>Rim a Mussol</w:t>
      </w:r>
      <w:r>
        <w:rPr>
          <w:lang w:val="en-US" w:eastAsia="en-US" w:bidi="en-US"/>
        </w:rPr>
        <w:t xml:space="preserve">ini. </w:t>
      </w:r>
      <w:r>
        <w:t>Následují velká města evropských států s jejich vůdci.&lt; V době, kdy trilogie vyšla, si heroický autor ještě netroufal přímo jmenovat některého z nich.</w:t>
      </w:r>
    </w:p>
    <w:p w:rsidR="00500724" w:rsidRDefault="00F30FB8">
      <w:pPr>
        <w:pStyle w:val="Zkladntext1"/>
        <w:shd w:val="clear" w:color="auto" w:fill="auto"/>
        <w:spacing w:line="209" w:lineRule="auto"/>
      </w:pPr>
      <w:r>
        <w:t>Nezvrhlé umění se rádo dovolává svého kladného po</w:t>
      </w:r>
      <w:r>
        <w:softHyphen/>
        <w:t>měru k realitě: jak tedy vypadá skutečnost v přípa</w:t>
      </w:r>
      <w:r>
        <w:t>dě Friedricha Nietzscheho, připravujícího cesty &gt;Vůdcům nové Evropy«?</w:t>
      </w:r>
    </w:p>
    <w:p w:rsidR="00500724" w:rsidRDefault="00F30FB8">
      <w:pPr>
        <w:pStyle w:val="Zkladntext1"/>
        <w:shd w:val="clear" w:color="auto" w:fill="auto"/>
        <w:spacing w:after="40" w:line="211" w:lineRule="auto"/>
      </w:pPr>
      <w:r>
        <w:t>Jeho nebožka sestra, odedávna blízká těmto vůdcům, po dlouhá léta zavírala před veřejností Nietzscheův archiv a vydávala z něho jen skrovný výběr. Ještě za výmarského režimu žádali různí</w:t>
      </w:r>
      <w:r>
        <w:t xml:space="preserve"> liberální a marxističtí intelektuálové, aby byl konečně otevřen celý archiv.</w:t>
      </w:r>
    </w:p>
    <w:p w:rsidR="00500724" w:rsidRDefault="00F30FB8">
      <w:pPr>
        <w:pStyle w:val="Zkladntext1"/>
        <w:shd w:val="clear" w:color="auto" w:fill="auto"/>
        <w:spacing w:line="209" w:lineRule="auto"/>
        <w:ind w:firstLine="0"/>
      </w:pPr>
      <w:r>
        <w:t>Sestra vytrvale odmítala a archiv zůstal veřejnosti ne</w:t>
      </w:r>
      <w:r>
        <w:softHyphen/>
        <w:t xml:space="preserve">přístupný až dodnes. A ještě ani dnes nešíří ti, jimž prý </w:t>
      </w:r>
      <w:r>
        <w:rPr>
          <w:lang w:val="en-US" w:eastAsia="en-US" w:bidi="en-US"/>
        </w:rPr>
        <w:t xml:space="preserve">Nietzsche </w:t>
      </w:r>
      <w:r>
        <w:t>připravoval cestu, jeho sebraná díla, nýbrž nejvýše jen</w:t>
      </w:r>
      <w:r>
        <w:t xml:space="preserve"> zcensurované ukázky z některých jeho knih.</w:t>
      </w:r>
    </w:p>
    <w:p w:rsidR="00500724" w:rsidRDefault="00F30FB8">
      <w:pPr>
        <w:pStyle w:val="Zkladntext1"/>
        <w:shd w:val="clear" w:color="auto" w:fill="auto"/>
        <w:spacing w:line="209" w:lineRule="auto"/>
        <w:ind w:firstLine="240"/>
      </w:pPr>
      <w:r>
        <w:t>Nelze se tomu divit. Vždyť jinak by se musili překva</w:t>
      </w:r>
      <w:r>
        <w:softHyphen/>
        <w:t>pení strážcové koncentračních táborů dovědět, že &gt;při- pravovatel jejich cest&lt; považoval zavyššílidi muže pochybovačné a smělé zároveň. Kdo z nich by se potěši</w:t>
      </w:r>
      <w:r>
        <w:t>l z Nietzscheovy poznámky o tom, že »moc ohlupuje«? Propagandisté z velikých žurnálů by sotva našli zalí</w:t>
      </w:r>
      <w:r>
        <w:softHyphen/>
        <w:t>bení v jeho výroku: »Ještě sto let novin, a duch sám bude ubit.c Norimberští zákonodárci nemohou dobře chtít rozšiřovat Nietzscheovo výsměšné odsouzení</w:t>
      </w:r>
      <w:r>
        <w:t xml:space="preserve"> smo- rálně velkohubého humbugu antisemitům. A jak dáti číst Nitzscheova slova: » Kolik prolhanosti a bahna patří k tomu, nadhazovati v dnešní směsici Evropy rasové otázky!« — Tak pravil </w:t>
      </w:r>
      <w:r>
        <w:rPr>
          <w:lang w:val="en-US" w:eastAsia="en-US" w:bidi="en-US"/>
        </w:rPr>
        <w:t>Zarathustra.</w:t>
      </w:r>
    </w:p>
    <w:p w:rsidR="00500724" w:rsidRDefault="00F30FB8">
      <w:pPr>
        <w:pStyle w:val="Zkladntext1"/>
        <w:shd w:val="clear" w:color="auto" w:fill="auto"/>
        <w:spacing w:line="209" w:lineRule="auto"/>
        <w:ind w:firstLine="0"/>
        <w:jc w:val="center"/>
      </w:pPr>
      <w:r>
        <w:t>•</w:t>
      </w:r>
    </w:p>
    <w:p w:rsidR="00500724" w:rsidRDefault="00F30FB8">
      <w:pPr>
        <w:pStyle w:val="Zkladntext1"/>
        <w:shd w:val="clear" w:color="auto" w:fill="auto"/>
        <w:spacing w:after="200" w:line="209" w:lineRule="auto"/>
        <w:ind w:firstLine="240"/>
      </w:pPr>
      <w:r>
        <w:t xml:space="preserve">Kdyby u nás platily norimberské zákony </w:t>
      </w:r>
      <w:r>
        <w:rPr>
          <w:b/>
          <w:bCs/>
          <w:sz w:val="20"/>
          <w:szCs w:val="20"/>
        </w:rPr>
        <w:t xml:space="preserve">v </w:t>
      </w:r>
      <w:r>
        <w:t>celé své přís</w:t>
      </w:r>
      <w:r>
        <w:t>nosti, musila by být páně Zavřelova trilogie vzata z knižního trhu, jedna babička není bohužel zcela v po</w:t>
      </w:r>
      <w:r>
        <w:softHyphen/>
        <w:t>řádku. My však končíme, čím jsme začali, totiž přímlu</w:t>
      </w:r>
      <w:r>
        <w:softHyphen/>
        <w:t>vou u příslušných instancí: Uveďte Heroiku na je</w:t>
      </w:r>
      <w:r>
        <w:softHyphen/>
        <w:t>viště! Ať naše obecenstvo konečně pozná též nez</w:t>
      </w:r>
      <w:r>
        <w:t>vrhlé umění.</w:t>
      </w:r>
    </w:p>
    <w:p w:rsidR="00500724" w:rsidRDefault="00F30FB8">
      <w:pPr>
        <w:pStyle w:val="Jin0"/>
        <w:pBdr>
          <w:bottom w:val="single" w:sz="4" w:space="0" w:color="auto"/>
        </w:pBdr>
        <w:shd w:val="clear" w:color="auto" w:fill="auto"/>
        <w:spacing w:after="200"/>
        <w:ind w:firstLine="0"/>
        <w:jc w:val="left"/>
        <w:rPr>
          <w:sz w:val="46"/>
          <w:szCs w:val="46"/>
        </w:rPr>
      </w:pPr>
      <w:r>
        <w:rPr>
          <w:b/>
          <w:bCs/>
          <w:sz w:val="46"/>
          <w:szCs w:val="46"/>
        </w:rPr>
        <w:t>doba a lidé</w:t>
      </w:r>
    </w:p>
    <w:p w:rsidR="00500724" w:rsidRDefault="00F30FB8">
      <w:pPr>
        <w:pStyle w:val="Zkladntext1"/>
        <w:shd w:val="clear" w:color="auto" w:fill="auto"/>
        <w:spacing w:after="60" w:line="218" w:lineRule="auto"/>
        <w:ind w:firstLine="0"/>
        <w:rPr>
          <w:sz w:val="20"/>
          <w:szCs w:val="20"/>
        </w:rPr>
      </w:pPr>
      <w:r>
        <w:rPr>
          <w:i/>
          <w:iCs/>
          <w:sz w:val="20"/>
          <w:szCs w:val="20"/>
        </w:rPr>
        <w:t>Karel Poláček:</w:t>
      </w:r>
    </w:p>
    <w:p w:rsidR="00500724" w:rsidRDefault="00F30FB8">
      <w:pPr>
        <w:pStyle w:val="Nadpis100"/>
        <w:shd w:val="clear" w:color="auto" w:fill="auto"/>
        <w:spacing w:after="0"/>
      </w:pPr>
      <w:bookmarkStart w:id="77" w:name="bookmark76"/>
      <w:r>
        <w:t>Věk rychlostí - a jiných věcí</w:t>
      </w:r>
      <w:r>
        <w:br/>
        <w:t>ii.</w:t>
      </w:r>
      <w:bookmarkEnd w:id="77"/>
    </w:p>
    <w:p w:rsidR="00500724" w:rsidRDefault="00F30FB8">
      <w:pPr>
        <w:pStyle w:val="Zkladntext30"/>
        <w:shd w:val="clear" w:color="auto" w:fill="auto"/>
        <w:spacing w:after="60" w:line="199" w:lineRule="auto"/>
        <w:ind w:firstLine="0"/>
        <w:jc w:val="center"/>
      </w:pPr>
      <w:r>
        <w:t>O chůzi</w:t>
      </w:r>
    </w:p>
    <w:p w:rsidR="00500724" w:rsidRDefault="00F30FB8">
      <w:pPr>
        <w:pStyle w:val="Zkladntext30"/>
        <w:shd w:val="clear" w:color="auto" w:fill="auto"/>
        <w:spacing w:after="0" w:line="199" w:lineRule="auto"/>
        <w:ind w:firstLine="240"/>
      </w:pPr>
      <w:r>
        <w:t>Zapomněli bychom na nohy, kdyby nám je ne</w:t>
      </w:r>
      <w:r>
        <w:softHyphen/>
      </w:r>
      <w:r>
        <w:t>připomínali sprinteři, lyžaři a jiní sportovci, kteří potřebují nohou k výkonům. Ale v tomto věku strojů, shonu, při tom poskakování a prudkých pohybech se zapomnělo na nohy, jakožto dopravní prostředek. Zdá se, že v dnešní době skoro úplně vyhynuli poutní</w:t>
      </w:r>
      <w:r>
        <w:t xml:space="preserve">ci. Vandrovní, který se dnes ubírá po silnici, je asi taková zvláštnost jako poštovní </w:t>
      </w:r>
      <w:r>
        <w:rPr>
          <w:lang w:val="en-US" w:eastAsia="en-US" w:bidi="en-US"/>
        </w:rPr>
        <w:t xml:space="preserve">postilion. </w:t>
      </w:r>
      <w:r>
        <w:t>Každý takový osamělý chodec je podezřelý četnické hlídce. Staré, hrbolaté silnice bývaly vroubeny sochami svátých, jež vybízely poutníka k zastavení a zbožnému</w:t>
      </w:r>
      <w:r>
        <w:t xml:space="preserve"> rozjímání. Poutníci, kteří směřují k památným místům a zázrač</w:t>
      </w:r>
      <w:r>
        <w:softHyphen/>
        <w:t>ným studánkám, skoro již vyhynuli. Asfaltová silnice, oživená rachotem strojů, je cizí kolébavému a váha</w:t>
      </w:r>
      <w:r>
        <w:softHyphen/>
        <w:t xml:space="preserve">vému procesí, jež s nábožnými písněmi se ubírá za posvěcenou korouhví. Zcela přehnaná a </w:t>
      </w:r>
      <w:r>
        <w:t>groteskní by byla představa pobožného procesí, které se šine po autostrádě.</w:t>
      </w:r>
    </w:p>
    <w:p w:rsidR="00500724" w:rsidRDefault="00F30FB8">
      <w:pPr>
        <w:pStyle w:val="Zkladntext30"/>
        <w:shd w:val="clear" w:color="auto" w:fill="auto"/>
        <w:spacing w:line="199" w:lineRule="auto"/>
        <w:ind w:firstLine="240"/>
      </w:pPr>
      <w:r>
        <w:t>Snivý barvotisk biedermeyeru doplňuje postava utrmáceného poutníka, jenž oddychuje ve stínu koša</w:t>
      </w:r>
      <w:r>
        <w:softHyphen/>
        <w:t>tého stromu nebo hasí žízeň u studánky. Technický pokrok změnil ráz krajin. Místo k</w:t>
      </w:r>
      <w:r>
        <w:t>amenných soch a obrázků svátých zdobí moderní silnici benzinové stanice a křiklavé reklamy. Železniční sítě rozrývají zemi, parostroje s hlukem vnikají do věkovitých skal. Stroje oživily i nejzamlklejší krajinu, ale zaplašily obraz poutníků a s ním i mnoho</w:t>
      </w:r>
      <w:r>
        <w:t xml:space="preserve"> jiných obrazů, které vyznačují váhavý a idylický věk. S řemeslnickým tovaryšem na vandru vyhynuli přespolní hauzírníci; k vyhynulým druhům náleží krčmáři, kteří stojíce na prahu zájezdního hostince s přívětivou pokorou vítají hosta. Tyto podoby souvisí </w:t>
      </w:r>
      <w:r>
        <w:rPr>
          <w:b/>
          <w:bCs/>
        </w:rPr>
        <w:t xml:space="preserve">s </w:t>
      </w:r>
      <w:r>
        <w:t>představou koléba-</w:t>
      </w:r>
    </w:p>
    <w:p w:rsidR="00500724" w:rsidRDefault="00F30FB8">
      <w:pPr>
        <w:pStyle w:val="Zkladntext20"/>
        <w:shd w:val="clear" w:color="auto" w:fill="auto"/>
        <w:ind w:firstLine="0"/>
      </w:pPr>
      <w:r>
        <w:t>vých dostavníků, s obrazem formanů, zardělých a se sípavým hlasem. Tenkráte se svět váhavě pohyboval za cinkavého doprovodu koňských postrojů; dnešní svět se řítí za rachotu strojů a za hučení motorů. Kdysi se nad krajinou vznášelo hejno</w:t>
      </w:r>
      <w:r>
        <w:t xml:space="preserve"> čápů; dnes vrčí kovová letadla.</w:t>
      </w:r>
    </w:p>
    <w:p w:rsidR="00500724" w:rsidRDefault="00F30FB8">
      <w:pPr>
        <w:pStyle w:val="Zkladntext20"/>
        <w:shd w:val="clear" w:color="auto" w:fill="auto"/>
      </w:pPr>
      <w:r>
        <w:t>Jest ovšem jisto, že nohy jako dopravní prostředek mají prakticky zcela malou hodnotu; dávno v zapome</w:t>
      </w:r>
      <w:r>
        <w:softHyphen/>
        <w:t>nutí upadlo přísloví »spěchej pomalu«. Zdá se však, že člověku nedal Stvořitel nohy jenom k chůzi, ale také jako důmyslno</w:t>
      </w:r>
      <w:r>
        <w:t>u pomůcku při přemýšlení. Filo</w:t>
      </w:r>
      <w:r>
        <w:softHyphen/>
        <w:t>sofové shledali v lidské postavě symbol. Vztyčený trup korunuje hlava na znamení, že mysl má směřovat k nebi; nechť se duch lidský vznáší nad propastí; při tom nohy stojí na zemi, aby bylo řečeno, že člověk nesmí opustit pevn</w:t>
      </w:r>
      <w:r>
        <w:t>ou půdu pod nohama. Neboť tato země je »kolébka moje i hrob můj«.</w:t>
      </w:r>
    </w:p>
    <w:p w:rsidR="00500724" w:rsidRDefault="00F30FB8">
      <w:pPr>
        <w:pStyle w:val="Zkladntext20"/>
        <w:shd w:val="clear" w:color="auto" w:fill="auto"/>
        <w:ind w:firstLine="0"/>
        <w:jc w:val="center"/>
      </w:pPr>
      <w:r>
        <w:t>•</w:t>
      </w:r>
    </w:p>
    <w:p w:rsidR="00500724" w:rsidRDefault="00F30FB8">
      <w:pPr>
        <w:pStyle w:val="Zkladntext20"/>
        <w:shd w:val="clear" w:color="auto" w:fill="auto"/>
      </w:pPr>
      <w:r>
        <w:t>A tak moderní dopravní prostředky způsobily, že takřka úplně upadla v zapomenutí chůze, ona blouma- vá chůze bez cíle, chůze přemítavá, uvažující, roz- jímavá. Je zajisté velmi pochybno, ž</w:t>
      </w:r>
      <w:r>
        <w:t>e by tento věk zplodil školu peripatetických filosofů. Považujeme za vyloučeno, že by se za volantem zrodil nový Aristo</w:t>
      </w:r>
      <w:r>
        <w:softHyphen/>
        <w:t>teles, Sokrates či Platon. Automobil, tím méně letadlo, nedá světu Descarta nebo Spinozu. Ze žádného auto</w:t>
      </w:r>
      <w:r>
        <w:softHyphen/>
        <w:t>mobilového závodníka nevznikne</w:t>
      </w:r>
      <w:r>
        <w:t xml:space="preserve"> </w:t>
      </w:r>
      <w:r>
        <w:rPr>
          <w:lang w:val="en-US" w:eastAsia="en-US" w:bidi="en-US"/>
        </w:rPr>
        <w:t xml:space="preserve">Schopenhauer. </w:t>
      </w:r>
      <w:r>
        <w:t>Věru, v letu nelze stvořiti filosofický systém, za poskako</w:t>
      </w:r>
      <w:r>
        <w:softHyphen/>
        <w:t>vání a v prudkých pohybech nedá se uspořádati kate</w:t>
      </w:r>
      <w:r>
        <w:softHyphen/>
        <w:t>gorie duchovních hodnot. Uprostřed ticha a samoty se rodí myslitel, na jehož mozku závisí, jakým směrem se bude ubírat pokrok lidst</w:t>
      </w:r>
      <w:r>
        <w:t>va. Věk rychlosti naplňuje vesmír ohlušujícím rachotem a režim, inspirovaný strojem, vylučuje samotu. Za této doby je naléhavě podezřelý samotář, osamělý poutník, dumající za váhavé a bludné chůze. Moderní režim, nesnášelivý a podezírající postavil soukrom</w:t>
      </w:r>
      <w:r>
        <w:t>é myšlení pod přísnou kontrolu; neboť nic tak neohrožuje veřejný pořádek dnešní společnosti jako osamělá hlava, v níž se rodí převratné a pobuřující myšlenky.</w:t>
      </w:r>
    </w:p>
    <w:p w:rsidR="00500724" w:rsidRDefault="00F30FB8">
      <w:pPr>
        <w:pStyle w:val="Zkladntext20"/>
        <w:shd w:val="clear" w:color="auto" w:fill="auto"/>
      </w:pPr>
      <w:r>
        <w:t>Po asfaltové silnici nemohl by se pohybovat hlouček učedníků, jenž následuje svého mistra, aby na</w:t>
      </w:r>
      <w:r>
        <w:t>slouchal jeho osvěživým myšlenkám. Neboť učitelova slova by zanikala v rachocení těžkých nákladních vozů. Škola peripatetiků by se nedovedla soustředit v rozjímavém sledování myšlenky, protože by musila neustále uskakovat před běsnivým autem, které bezohle</w:t>
      </w:r>
      <w:r>
        <w:t>dně stříká blátem na všechny strany. Nemůže také škola peripatetiků se držeti, poslušná ustanovení doprav</w:t>
      </w:r>
      <w:r>
        <w:softHyphen/>
        <w:t>ního řádu, pouze jednoho směru, neboť směr lidských myšlenek jest, jak známo, klikatý a chůze filosofova se přizpůsobuje jeho myšlení.</w:t>
      </w:r>
    </w:p>
    <w:p w:rsidR="00500724" w:rsidRDefault="00F30FB8">
      <w:pPr>
        <w:pStyle w:val="Zkladntext20"/>
        <w:shd w:val="clear" w:color="auto" w:fill="auto"/>
      </w:pPr>
      <w:r>
        <w:t>A tak je pochyb</w:t>
      </w:r>
      <w:r>
        <w:t>no, že by dnešní doba, věk rychlosti, věk shonu a nakupených, zmítajících se zástupů, mohl dáti světu nového filosofa, který by se pokusil uspo</w:t>
      </w:r>
      <w:r>
        <w:softHyphen/>
        <w:t>řádati vesmír podle své soustavy. Mohl by dnešní filo</w:t>
      </w:r>
      <w:r>
        <w:softHyphen/>
        <w:t>sof nalézti samotu, onu plodnou samotu, kde by mohl naslou</w:t>
      </w:r>
      <w:r>
        <w:t>chat! pouze hlasům svého nitra? Není taková samota. Do úvah myslitelových řinčí vozy elektrické dráhy a klaksony vřeští jako vzteklé opice. Do filo</w:t>
      </w:r>
      <w:r>
        <w:softHyphen/>
        <w:t>sofových přemítání chroptí rozhlas, který zve obe</w:t>
      </w:r>
      <w:r>
        <w:softHyphen/>
        <w:t xml:space="preserve">censtvo k ranní půlhodince; řve sportovní referent, který </w:t>
      </w:r>
      <w:r>
        <w:t>s upoceným nadšením popisuje výkony na foot- ballovém hřišti, a hulákají naduté projevy demagogů. Nebude tedy filosofů, a bez filosofie se svět zastaví, život zpustne, stroje zrezaví, neboť jim dojde dech, a z gigantických staveb, které hlásají slávu dnešn</w:t>
      </w:r>
      <w:r>
        <w:t>ích vladařů, se stanou rozvaliny.</w:t>
      </w:r>
    </w:p>
    <w:p w:rsidR="00500724" w:rsidRDefault="00F30FB8">
      <w:pPr>
        <w:pStyle w:val="Zkladntext20"/>
        <w:shd w:val="clear" w:color="auto" w:fill="auto"/>
        <w:spacing w:after="60" w:line="197" w:lineRule="auto"/>
        <w:ind w:firstLine="0"/>
        <w:jc w:val="center"/>
      </w:pPr>
      <w:r>
        <w:t>•</w:t>
      </w:r>
    </w:p>
    <w:p w:rsidR="00500724" w:rsidRDefault="00F30FB8">
      <w:pPr>
        <w:pStyle w:val="Zkladntext20"/>
        <w:shd w:val="clear" w:color="auto" w:fill="auto"/>
      </w:pPr>
      <w:r>
        <w:t>Nejen v dnešním věku, ale ve všech dobách byl myslitel praktickými lidmi považován za nedochůdče, lenocha a člověka nevážného pro snivou tvářnost, roztržitý pohled a váhavé pohyby. Rodiče lomí ruka</w:t>
      </w:r>
      <w:r>
        <w:softHyphen/>
        <w:t xml:space="preserve">ma nad zamyšleným </w:t>
      </w:r>
      <w:r>
        <w:t>dítětem a zoufají si, co z něho bude; učitelé kárají málo čilé žáčky; sangviničtí šéfové soptí nad podřízenými, kteří nepřiměřeně mnoho pře</w:t>
      </w:r>
      <w:r>
        <w:softHyphen/>
        <w:t>mýšlejí. V každém čase měl přednost před snivcem člověk poskakující, člověk, který se vrtí, který se řítí s aktovkou</w:t>
      </w:r>
      <w:r>
        <w:t xml:space="preserve"> v ruce, člověk telefonující a konferující. Tento muž sluje praktickým a jest mu předpovídána budoucnost. Není čas na vyměňování myšlenek; myšlenky se vyměňují pouze v inserátech sňatkových podvodníků. Místo hovorů olympských nastaly nám konference, schůzo</w:t>
      </w:r>
      <w:r>
        <w:t>vní debaty, ankety. Větší váhu než osamělá myšlenka má resoluce, na které se usnesla valná hromada.</w:t>
      </w:r>
    </w:p>
    <w:p w:rsidR="00500724" w:rsidRDefault="00F30FB8">
      <w:pPr>
        <w:pStyle w:val="Zkladntext20"/>
        <w:shd w:val="clear" w:color="auto" w:fill="auto"/>
      </w:pPr>
      <w:r>
        <w:t>Evangelium nevzniklo v běhu. A Kristus dobře věděl, proč si za své apoštoly vyvolil rybáře a pastýře, tedy chudé a podle názorů majetníků a lidí praktic</w:t>
      </w:r>
      <w:r>
        <w:softHyphen/>
        <w:t>kýc</w:t>
      </w:r>
      <w:r>
        <w:t>h, lenochy. Neboť takový lenoch, spíše než prakti</w:t>
      </w:r>
      <w:r>
        <w:softHyphen/>
        <w:t>kus, bývá dobrosrdečný a mírumilovný. _ Kdyby v tomto smyslu všichni lidé byli líní, pak by asi nebyly války. Nedovedeme si totiž představit, že by armáda lenochů se řítila na nepřítele s ctižádostivým úmys</w:t>
      </w:r>
      <w:r>
        <w:t>lem, že ukořistí prapor. Ctižádost a pýcha ne</w:t>
      </w:r>
      <w:r>
        <w:softHyphen/>
        <w:t>jsou obsaženy v duchovním inventáři chudých du</w:t>
      </w:r>
      <w:r>
        <w:softHyphen/>
        <w:t>chem. Rybář sní nad tichou vodní tůní a jeho myšlen</w:t>
      </w:r>
      <w:r>
        <w:softHyphen/>
        <w:t>ky jsou pokojné. Pastýř sedí na vrcholku hory, kam nedoléhá zmatený ruch světa; zíraje na _ oblohu věčnou a zář</w:t>
      </w:r>
      <w:r>
        <w:t>ící, spřádá myšlenky užitečné nikoli pouze pro sebe, ale pro celé lidstvo. S těmito muži chodíval Ježíš mezi vlnícími se klasy a sděloval s nimi myšlenky lahodné a povzbuzující.</w:t>
      </w:r>
    </w:p>
    <w:p w:rsidR="00500724" w:rsidRDefault="00F30FB8">
      <w:pPr>
        <w:pStyle w:val="Zkladntext20"/>
        <w:shd w:val="clear" w:color="auto" w:fill="auto"/>
      </w:pPr>
      <w:r>
        <w:t>Nepovolal k sobě ani bankovní ředitele, ani tajem</w:t>
      </w:r>
      <w:r>
        <w:softHyphen/>
        <w:t>níky, ani konsulenty, ani ta</w:t>
      </w:r>
      <w:r>
        <w:t>jemníky či okresm důvěr</w:t>
      </w:r>
      <w:r>
        <w:softHyphen/>
        <w:t xml:space="preserve">níky a pořadatele. Nemohl potřebovat žádných lidí </w:t>
      </w:r>
      <w:r>
        <w:rPr>
          <w:b/>
          <w:bCs/>
        </w:rPr>
        <w:t xml:space="preserve">s </w:t>
      </w:r>
      <w:r>
        <w:t>aktovkami, které obsahují návrhy, dobrá zdání, expertisy a jiné písemnosti. Tyto lidi by nanejvýš mohl shromáždit za konferenčním stolem a tam s nimi promlouvat jen o myšlenkách, k</w:t>
      </w:r>
      <w:r>
        <w:t>teré něco vy</w:t>
      </w:r>
      <w:r>
        <w:softHyphen/>
        <w:t>nášejí. Bylo by pochybné posílat do světa farizeje, zákoníky, penězoměnce a jiné lidi praktické, aby jdouce, učili všechny národy. Penězoměnec místo Písma zkoumá bursovní lístek a místo šíření nauk obchoduje valutami. Zákoník s farizejem spřád</w:t>
      </w:r>
      <w:r>
        <w:t>ají politické intriky pro větší slávu svého jména a roz</w:t>
      </w:r>
      <w:r>
        <w:softHyphen/>
        <w:t>množení vlastní moci. Lidé praktičtí a přemýšlející jen o sobě nemilují volné, dumavé procházky. Také si příliš neceni myšlenek druhého, ale sami se rádi dá</w:t>
      </w:r>
      <w:r>
        <w:softHyphen/>
        <w:t>vají slyšet. Takového apoštola by každou ch</w:t>
      </w:r>
      <w:r>
        <w:t>víli odvolal posel k důležité konferenci.</w:t>
      </w:r>
    </w:p>
    <w:p w:rsidR="00500724" w:rsidRDefault="00F30FB8">
      <w:pPr>
        <w:pStyle w:val="Zkladntext20"/>
        <w:shd w:val="clear" w:color="auto" w:fill="auto"/>
        <w:spacing w:after="300" w:line="218" w:lineRule="auto"/>
      </w:pPr>
      <w:r>
        <w:t>Úpadek chůze značí myšlenkový úpadek evrop</w:t>
      </w:r>
      <w:r>
        <w:softHyphen/>
        <w:t>ského lidstva.</w:t>
      </w:r>
    </w:p>
    <w:p w:rsidR="00500724" w:rsidRDefault="00F30FB8">
      <w:pPr>
        <w:pStyle w:val="Zkladntext20"/>
        <w:pBdr>
          <w:bottom w:val="single" w:sz="4" w:space="0" w:color="auto"/>
        </w:pBdr>
        <w:shd w:val="clear" w:color="auto" w:fill="auto"/>
        <w:spacing w:after="160" w:line="216" w:lineRule="auto"/>
        <w:ind w:firstLine="0"/>
        <w:jc w:val="left"/>
        <w:rPr>
          <w:sz w:val="20"/>
          <w:szCs w:val="20"/>
        </w:rPr>
      </w:pPr>
      <w:r>
        <w:rPr>
          <w:sz w:val="20"/>
          <w:szCs w:val="20"/>
        </w:rPr>
        <w:t>dopisy</w:t>
      </w:r>
    </w:p>
    <w:p w:rsidR="00500724" w:rsidRDefault="00F30FB8">
      <w:pPr>
        <w:pStyle w:val="Zkladntext20"/>
        <w:shd w:val="clear" w:color="auto" w:fill="auto"/>
        <w:spacing w:line="286" w:lineRule="auto"/>
        <w:ind w:left="1060" w:right="1400" w:firstLine="380"/>
        <w:jc w:val="left"/>
        <w:rPr>
          <w:sz w:val="18"/>
          <w:szCs w:val="18"/>
        </w:rPr>
      </w:pPr>
      <w:r>
        <w:rPr>
          <w:sz w:val="20"/>
          <w:szCs w:val="20"/>
        </w:rPr>
        <w:t xml:space="preserve">Poslední dny Karla Čapka </w:t>
      </w:r>
      <w:r>
        <w:rPr>
          <w:sz w:val="18"/>
          <w:szCs w:val="18"/>
        </w:rPr>
        <w:t>Drahá Mileno!</w:t>
      </w:r>
    </w:p>
    <w:p w:rsidR="00500724" w:rsidRDefault="00F30FB8">
      <w:pPr>
        <w:pStyle w:val="Zkladntext1"/>
        <w:shd w:val="clear" w:color="auto" w:fill="auto"/>
        <w:spacing w:after="120" w:line="168" w:lineRule="auto"/>
        <w:ind w:firstLine="300"/>
        <w:rPr>
          <w:sz w:val="16"/>
          <w:szCs w:val="16"/>
        </w:rPr>
      </w:pPr>
      <w:r>
        <w:t xml:space="preserve">Děkuji Ti, žes napsala jeho konec. Bylo to tak — až na maličkosti, na příklad ta cigareta, nekouřil už cely týden. Umiral v sedě při plném vědomi, pokorně </w:t>
      </w:r>
      <w:r>
        <w:rPr>
          <w:sz w:val="20"/>
          <w:szCs w:val="20"/>
        </w:rPr>
        <w:t xml:space="preserve">a </w:t>
      </w:r>
      <w:r>
        <w:t xml:space="preserve">tiše. jako </w:t>
      </w:r>
      <w:r>
        <w:rPr>
          <w:b/>
          <w:bCs/>
          <w:sz w:val="16"/>
          <w:szCs w:val="16"/>
        </w:rPr>
        <w:t>dítě.</w:t>
      </w:r>
    </w:p>
    <w:p w:rsidR="00500724" w:rsidRDefault="00F30FB8">
      <w:pPr>
        <w:pStyle w:val="Zkladntext1"/>
        <w:shd w:val="clear" w:color="auto" w:fill="auto"/>
        <w:spacing w:after="40" w:line="178" w:lineRule="auto"/>
        <w:ind w:firstLine="0"/>
        <w:rPr>
          <w:sz w:val="18"/>
          <w:szCs w:val="18"/>
        </w:rPr>
      </w:pPr>
      <w:r>
        <w:rPr>
          <w:sz w:val="18"/>
          <w:szCs w:val="18"/>
        </w:rPr>
        <w:t>kterému to nařídil učitel. Ještě odpoledne se omlouval za to. že umírá: » Řekni pá</w:t>
      </w:r>
      <w:r>
        <w:rPr>
          <w:sz w:val="18"/>
          <w:szCs w:val="18"/>
        </w:rPr>
        <w:t>nům profesorům Charvátovi a Pelnářovi, že jsem jim nerad zkazil vánoce, Štědrý den.* Opravdu, štvali se oba sem a tam, od jeho slábnoucího srdce ke svým do</w:t>
      </w:r>
      <w:r>
        <w:rPr>
          <w:sz w:val="18"/>
          <w:szCs w:val="18"/>
        </w:rPr>
        <w:softHyphen/>
        <w:t>movům.</w:t>
      </w:r>
    </w:p>
    <w:p w:rsidR="00500724" w:rsidRDefault="00F30FB8">
      <w:pPr>
        <w:pStyle w:val="Zkladntext1"/>
        <w:shd w:val="clear" w:color="auto" w:fill="auto"/>
        <w:spacing w:after="40" w:line="175" w:lineRule="auto"/>
        <w:ind w:firstLine="320"/>
        <w:rPr>
          <w:sz w:val="18"/>
          <w:szCs w:val="18"/>
        </w:rPr>
      </w:pPr>
      <w:r>
        <w:rPr>
          <w:sz w:val="18"/>
          <w:szCs w:val="18"/>
        </w:rPr>
        <w:t>Začal chřadnout před třemi měsiei, od oněch dnů, kdy každý z nás krom ilusi, víry a země ztra</w:t>
      </w:r>
      <w:r>
        <w:rPr>
          <w:sz w:val="18"/>
          <w:szCs w:val="18"/>
        </w:rPr>
        <w:t>til kus vlastního těla. Pak přišly osobní útoky, on o nich mluvil s úsměvem, ale já viděla, j a k se usmívá. Balíky anonymních dopisů, hrozby a obvinění. Listonoš se styděl nosit do malého domu listy se sprostou adresou, nadávky na korespondenčních lístcíc</w:t>
      </w:r>
      <w:r>
        <w:rPr>
          <w:sz w:val="18"/>
          <w:szCs w:val="18"/>
        </w:rPr>
        <w:t>h. Co jsme mohli, to jsme zahazovali, ale v redakci se kupily nové stohy vyhrůžek. Jen jednou se mnou o tom mluvil naplno, v posledním dopise, ze Strže:</w:t>
      </w:r>
    </w:p>
    <w:p w:rsidR="00500724" w:rsidRDefault="00F30FB8">
      <w:pPr>
        <w:pStyle w:val="Zkladntext1"/>
        <w:shd w:val="clear" w:color="auto" w:fill="auto"/>
        <w:spacing w:after="40" w:line="175" w:lineRule="auto"/>
        <w:ind w:firstLine="320"/>
        <w:rPr>
          <w:sz w:val="18"/>
          <w:szCs w:val="18"/>
        </w:rPr>
      </w:pPr>
      <w:r>
        <w:rPr>
          <w:sz w:val="18"/>
          <w:szCs w:val="18"/>
        </w:rPr>
        <w:t>»Je mi hořko, napsal — ani nevis jak; já, který mám zrov</w:t>
      </w:r>
      <w:r>
        <w:rPr>
          <w:sz w:val="18"/>
          <w:szCs w:val="18"/>
        </w:rPr>
        <w:softHyphen/>
        <w:t xml:space="preserve">na zoufalou potřebu harmonie a čistoty, abych </w:t>
      </w:r>
      <w:r>
        <w:rPr>
          <w:sz w:val="18"/>
          <w:szCs w:val="18"/>
        </w:rPr>
        <w:t>se udržel při životě, se musím utkávat s takovou lží a křivostí. Jsem slabý člověk, slabší než víš, mé zdraví a životní síla je založena na kreditu, na důvěře k lidem, na úctě k člověku: ztrácím vše</w:t>
      </w:r>
      <w:r>
        <w:rPr>
          <w:sz w:val="18"/>
          <w:szCs w:val="18"/>
        </w:rPr>
        <w:softHyphen/>
        <w:t>chnu jistotu, mám-li co dělat s něčím lživým a nesmyslným</w:t>
      </w:r>
      <w:r>
        <w:rPr>
          <w:sz w:val="18"/>
          <w:szCs w:val="18"/>
        </w:rPr>
        <w:t xml:space="preserve"> a nenávistným. Hledím úzkostlivě, abych nikomu neublížil: je to povinnost, ne zásluha, ale chtěl bych si tím vykoupit neporu</w:t>
      </w:r>
      <w:r>
        <w:rPr>
          <w:sz w:val="18"/>
          <w:szCs w:val="18"/>
        </w:rPr>
        <w:softHyphen/>
        <w:t>šenost a čistotu vlastního života; je-li to sobecké, dávám za to světu všecko, co mohu.«</w:t>
      </w:r>
    </w:p>
    <w:p w:rsidR="00500724" w:rsidRDefault="00F30FB8">
      <w:pPr>
        <w:pStyle w:val="Zkladntext1"/>
        <w:shd w:val="clear" w:color="auto" w:fill="auto"/>
        <w:spacing w:after="40" w:line="190" w:lineRule="auto"/>
        <w:ind w:firstLine="320"/>
        <w:rPr>
          <w:sz w:val="18"/>
          <w:szCs w:val="18"/>
        </w:rPr>
      </w:pPr>
      <w:r>
        <w:rPr>
          <w:sz w:val="18"/>
          <w:szCs w:val="18"/>
        </w:rPr>
        <w:t>Profesor Charvát měl pravdu, když řekl: »</w:t>
      </w:r>
      <w:r>
        <w:rPr>
          <w:sz w:val="18"/>
          <w:szCs w:val="18"/>
        </w:rPr>
        <w:t>Duše to ne</w:t>
      </w:r>
      <w:r>
        <w:rPr>
          <w:sz w:val="18"/>
          <w:szCs w:val="18"/>
        </w:rPr>
        <w:softHyphen/>
        <w:t>vydržela.</w:t>
      </w:r>
      <w:r>
        <w:rPr>
          <w:sz w:val="18"/>
          <w:szCs w:val="18"/>
          <w:vertAlign w:val="superscript"/>
        </w:rPr>
        <w:t>1</w:t>
      </w:r>
      <w:r>
        <w:rPr>
          <w:sz w:val="18"/>
          <w:szCs w:val="18"/>
        </w:rPr>
        <w:t>!:</w:t>
      </w:r>
    </w:p>
    <w:p w:rsidR="00500724" w:rsidRDefault="00F30FB8">
      <w:pPr>
        <w:pStyle w:val="Zkladntext1"/>
        <w:shd w:val="clear" w:color="auto" w:fill="auto"/>
        <w:spacing w:after="40" w:line="185" w:lineRule="auto"/>
        <w:ind w:firstLine="320"/>
        <w:rPr>
          <w:sz w:val="18"/>
          <w:szCs w:val="18"/>
        </w:rPr>
      </w:pPr>
      <w:r>
        <w:rPr>
          <w:sz w:val="18"/>
          <w:szCs w:val="18"/>
        </w:rPr>
        <w:t>Dnes vidím, jak ho lidé milovali, jak málo bylo těch suro</w:t>
      </w:r>
      <w:r>
        <w:rPr>
          <w:sz w:val="18"/>
          <w:szCs w:val="18"/>
        </w:rPr>
        <w:softHyphen/>
        <w:t>vostí a hrozeb proti projevům lásky.</w:t>
      </w:r>
    </w:p>
    <w:p w:rsidR="00500724" w:rsidRDefault="00F30FB8">
      <w:pPr>
        <w:pStyle w:val="Zkladntext1"/>
        <w:shd w:val="clear" w:color="auto" w:fill="auto"/>
        <w:spacing w:after="220" w:line="175" w:lineRule="auto"/>
        <w:ind w:firstLine="0"/>
        <w:jc w:val="right"/>
        <w:rPr>
          <w:sz w:val="18"/>
          <w:szCs w:val="18"/>
        </w:rPr>
      </w:pPr>
      <w:r>
        <w:rPr>
          <w:sz w:val="18"/>
          <w:szCs w:val="18"/>
        </w:rPr>
        <w:t>Tvá Olga Scheinpflugová.</w:t>
      </w:r>
    </w:p>
    <w:p w:rsidR="00500724" w:rsidRDefault="00F30FB8">
      <w:pPr>
        <w:pStyle w:val="Zkladntext1"/>
        <w:shd w:val="clear" w:color="auto" w:fill="auto"/>
        <w:spacing w:after="100" w:line="166" w:lineRule="auto"/>
        <w:ind w:left="220" w:firstLine="0"/>
        <w:jc w:val="left"/>
      </w:pPr>
      <w:r>
        <w:rPr>
          <w:b/>
          <w:bCs/>
        </w:rPr>
        <w:t>Žák čtvrté třídy obecné školy vdově po Karlu Čapkovi:</w:t>
      </w:r>
    </w:p>
    <w:p w:rsidR="00500724" w:rsidRDefault="00F30FB8">
      <w:pPr>
        <w:pStyle w:val="Zkladntext1"/>
        <w:shd w:val="clear" w:color="auto" w:fill="auto"/>
        <w:spacing w:after="80" w:line="175" w:lineRule="auto"/>
        <w:ind w:left="1080" w:firstLine="0"/>
        <w:jc w:val="left"/>
        <w:rPr>
          <w:sz w:val="18"/>
          <w:szCs w:val="18"/>
        </w:rPr>
      </w:pPr>
      <w:r>
        <w:rPr>
          <w:sz w:val="18"/>
          <w:szCs w:val="18"/>
        </w:rPr>
        <w:t>Milá paní Čapková!</w:t>
      </w:r>
    </w:p>
    <w:p w:rsidR="00500724" w:rsidRDefault="00F30FB8">
      <w:pPr>
        <w:pStyle w:val="Zkladntext1"/>
        <w:shd w:val="clear" w:color="auto" w:fill="auto"/>
        <w:spacing w:after="80" w:line="175" w:lineRule="auto"/>
        <w:ind w:firstLine="320"/>
        <w:rPr>
          <w:sz w:val="18"/>
          <w:szCs w:val="18"/>
        </w:rPr>
      </w:pPr>
      <w:r>
        <w:rPr>
          <w:sz w:val="18"/>
          <w:szCs w:val="18"/>
        </w:rPr>
        <w:t xml:space="preserve">Matinka mi nechce dovolit Vám napsat, </w:t>
      </w:r>
      <w:r>
        <w:rPr>
          <w:sz w:val="18"/>
          <w:szCs w:val="18"/>
        </w:rPr>
        <w:t>že jsem ještě malý, že to neumím. Já vždycky poslouchám, ale dnes nemožu! Žádný neví, že Vám píši, utírám Vám slzičky a prosím by jste už neplakala. My jsme taky všichni plakali, ale teď nám to tatíček vysvětlil proto už neplačem. Musím Vám to také vy</w:t>
      </w:r>
      <w:r>
        <w:rPr>
          <w:sz w:val="18"/>
          <w:szCs w:val="18"/>
        </w:rPr>
        <w:softHyphen/>
        <w:t>svět</w:t>
      </w:r>
      <w:r>
        <w:rPr>
          <w:sz w:val="18"/>
          <w:szCs w:val="18"/>
        </w:rPr>
        <w:t>lit. Tatíček říkal, že je panu spisovateli lepší na věčnosti než na světě falešném. Aspoň prý se nedočká dalšího skla- mání. Však tatíček Masaryk kdyby vstál z hrobu musel by znovu umřití lítostí nad tím co se stalo! Až v létě bude slu</w:t>
      </w:r>
      <w:r>
        <w:rPr>
          <w:sz w:val="18"/>
          <w:szCs w:val="18"/>
        </w:rPr>
        <w:softHyphen/>
        <w:t>níčko svítit přijeďt</w:t>
      </w:r>
      <w:r>
        <w:rPr>
          <w:sz w:val="18"/>
          <w:szCs w:val="18"/>
        </w:rPr>
        <w:t xml:space="preserve">e prosím k nám, je u nás veselo u včelínu. Tatíček říkává, že mezi včeličkami zapomene na vše, co ho tíží. Když byla mobilisace než odjel byl dlouho u včel se loučiti. </w:t>
      </w:r>
      <w:r>
        <w:rPr>
          <w:b/>
          <w:bCs/>
        </w:rPr>
        <w:t xml:space="preserve">I </w:t>
      </w:r>
      <w:r>
        <w:rPr>
          <w:sz w:val="18"/>
          <w:szCs w:val="18"/>
        </w:rPr>
        <w:t>Vy, paní Čapková, zapomenete na všechno. Nebudete-li mít na cestu, já Vám pošlu. Mám u</w:t>
      </w:r>
      <w:r>
        <w:rPr>
          <w:sz w:val="18"/>
          <w:szCs w:val="18"/>
        </w:rPr>
        <w:t>šetřeno 70 Kč. Matinka mi to jistě odpustí.</w:t>
      </w:r>
    </w:p>
    <w:p w:rsidR="00500724" w:rsidRDefault="00F30FB8">
      <w:pPr>
        <w:pStyle w:val="Zkladntext1"/>
        <w:shd w:val="clear" w:color="auto" w:fill="auto"/>
        <w:spacing w:after="40" w:line="175" w:lineRule="auto"/>
        <w:ind w:firstLine="320"/>
        <w:rPr>
          <w:sz w:val="18"/>
          <w:szCs w:val="18"/>
        </w:rPr>
      </w:pPr>
      <w:r>
        <w:rPr>
          <w:sz w:val="18"/>
          <w:szCs w:val="18"/>
        </w:rPr>
        <w:t>Ruce Vám líbáme a stíráme slzičky.</w:t>
      </w:r>
    </w:p>
    <w:p w:rsidR="00500724" w:rsidRDefault="00F30FB8">
      <w:pPr>
        <w:pStyle w:val="Zkladntext1"/>
        <w:shd w:val="clear" w:color="auto" w:fill="auto"/>
        <w:spacing w:after="240" w:line="218" w:lineRule="auto"/>
        <w:ind w:right="40" w:firstLine="0"/>
        <w:jc w:val="center"/>
        <w:rPr>
          <w:sz w:val="18"/>
          <w:szCs w:val="18"/>
        </w:rPr>
      </w:pPr>
      <w:r>
        <w:rPr>
          <w:sz w:val="18"/>
          <w:szCs w:val="18"/>
        </w:rPr>
        <w:t>Z i n e č e k a moje sestřička Eliška,</w:t>
      </w:r>
      <w:r>
        <w:rPr>
          <w:sz w:val="18"/>
          <w:szCs w:val="18"/>
        </w:rPr>
        <w:br/>
        <w:t>Z. u Brna.</w:t>
      </w:r>
    </w:p>
    <w:p w:rsidR="00500724" w:rsidRDefault="00F30FB8">
      <w:pPr>
        <w:pStyle w:val="Zkladntext1"/>
        <w:shd w:val="clear" w:color="auto" w:fill="auto"/>
        <w:spacing w:after="100" w:line="166" w:lineRule="auto"/>
        <w:ind w:firstLine="0"/>
        <w:jc w:val="center"/>
      </w:pPr>
      <w:r>
        <w:rPr>
          <w:b/>
          <w:bCs/>
        </w:rPr>
        <w:t>Proč jenom pět?</w:t>
      </w:r>
    </w:p>
    <w:p w:rsidR="00500724" w:rsidRDefault="00F30FB8">
      <w:pPr>
        <w:pStyle w:val="Zkladntext1"/>
        <w:shd w:val="clear" w:color="auto" w:fill="auto"/>
        <w:spacing w:after="80" w:line="175" w:lineRule="auto"/>
        <w:ind w:left="1080" w:firstLine="0"/>
        <w:jc w:val="left"/>
        <w:rPr>
          <w:sz w:val="18"/>
          <w:szCs w:val="18"/>
        </w:rPr>
      </w:pPr>
      <w:r>
        <w:rPr>
          <w:sz w:val="18"/>
          <w:szCs w:val="18"/>
        </w:rPr>
        <w:t>Vážená redakce!</w:t>
      </w:r>
    </w:p>
    <w:p w:rsidR="00500724" w:rsidRDefault="00F30FB8">
      <w:pPr>
        <w:pStyle w:val="Zkladntext1"/>
        <w:shd w:val="clear" w:color="auto" w:fill="auto"/>
        <w:spacing w:after="40" w:line="175" w:lineRule="auto"/>
        <w:ind w:firstLine="320"/>
        <w:rPr>
          <w:sz w:val="18"/>
          <w:szCs w:val="18"/>
        </w:rPr>
      </w:pPr>
      <w:r>
        <w:rPr>
          <w:sz w:val="18"/>
          <w:szCs w:val="18"/>
        </w:rPr>
        <w:t>Jako starý čtenář »Přítomnosti« (vyvážel jsem ji ze zabra</w:t>
      </w:r>
      <w:r>
        <w:rPr>
          <w:sz w:val="18"/>
          <w:szCs w:val="18"/>
        </w:rPr>
        <w:softHyphen/>
        <w:t xml:space="preserve">ného území s určitým risikem, neboť </w:t>
      </w:r>
      <w:r>
        <w:rPr>
          <w:sz w:val="18"/>
          <w:szCs w:val="18"/>
        </w:rPr>
        <w:t>při jednom vyšetřování ve Vídni byla »Přítomnost« označena za tisk komunistický) nemohu připustit, aby i &gt;Přítomnost« se zúčastnila chyb, mají</w:t>
      </w:r>
      <w:r>
        <w:rPr>
          <w:sz w:val="18"/>
          <w:szCs w:val="18"/>
        </w:rPr>
        <w:softHyphen/>
        <w:t>cích původ ve špatných informacích.</w:t>
      </w:r>
    </w:p>
    <w:p w:rsidR="00500724" w:rsidRDefault="00F30FB8">
      <w:pPr>
        <w:pStyle w:val="Zkladntext1"/>
        <w:shd w:val="clear" w:color="auto" w:fill="auto"/>
        <w:spacing w:after="40" w:line="173" w:lineRule="auto"/>
        <w:ind w:firstLine="320"/>
        <w:rPr>
          <w:sz w:val="18"/>
          <w:szCs w:val="18"/>
        </w:rPr>
      </w:pPr>
      <w:r>
        <w:rPr>
          <w:sz w:val="18"/>
          <w:szCs w:val="18"/>
        </w:rPr>
        <w:t>Pane »ja«, Vy se divíte, že jen pět učitelů se vrátilo do Němec učit za každý</w:t>
      </w:r>
      <w:r>
        <w:rPr>
          <w:sz w:val="18"/>
          <w:szCs w:val="18"/>
        </w:rPr>
        <w:t>ch podmínek? Jste patrně daleko od míst, na něž kladete otazník, a proto se divíte. Kdybyste byl sám nositelem svého otazníku, divil byste se asi pouze těm, kteří se diví!</w:t>
      </w:r>
    </w:p>
    <w:p w:rsidR="00500724" w:rsidRDefault="00F30FB8">
      <w:pPr>
        <w:pStyle w:val="Zkladntext1"/>
        <w:shd w:val="clear" w:color="auto" w:fill="auto"/>
        <w:spacing w:line="173" w:lineRule="auto"/>
        <w:ind w:firstLine="320"/>
        <w:rPr>
          <w:sz w:val="18"/>
          <w:szCs w:val="18"/>
        </w:rPr>
      </w:pPr>
      <w:r>
        <w:rPr>
          <w:sz w:val="18"/>
          <w:szCs w:val="18"/>
        </w:rPr>
        <w:t xml:space="preserve">Váš otazník lehkomyslně generalisuje. Předně co se týče korektnosti německých úřadů </w:t>
      </w:r>
      <w:r>
        <w:rPr>
          <w:sz w:val="18"/>
          <w:szCs w:val="18"/>
        </w:rPr>
        <w:t xml:space="preserve">. . ., ale zde vím, že je třeba býti korektním bez otazníku, a tak toho nechrne. Ale tak jste měl, </w:t>
      </w:r>
      <w:r>
        <w:rPr>
          <w:b/>
          <w:bCs/>
        </w:rPr>
        <w:t xml:space="preserve">v </w:t>
      </w:r>
      <w:r>
        <w:rPr>
          <w:sz w:val="18"/>
          <w:szCs w:val="18"/>
        </w:rPr>
        <w:t>zájmu korektnosti, učinit i Vy, jakmile Vám napadlo gene- ralisovat tam, kde jednotlivé případy se dějí diametrálně různě. Jiná korektnost panuje na bývalé</w:t>
      </w:r>
      <w:r>
        <w:rPr>
          <w:sz w:val="18"/>
          <w:szCs w:val="18"/>
        </w:rPr>
        <w:t>m našem severu, jiná na slezské straně, jiná v sousedství Bavorska a opět jinak ko</w:t>
      </w:r>
      <w:r>
        <w:rPr>
          <w:sz w:val="18"/>
          <w:szCs w:val="18"/>
        </w:rPr>
        <w:softHyphen/>
        <w:t>rektně se jedná na Břeclavsku. Ze všech, nebo alespoň z mnoha případů se teprve dá zevšeobecňovat!</w:t>
      </w:r>
    </w:p>
    <w:p w:rsidR="00500724" w:rsidRDefault="00F30FB8">
      <w:pPr>
        <w:pStyle w:val="Zkladntext1"/>
        <w:shd w:val="clear" w:color="auto" w:fill="auto"/>
        <w:spacing w:line="175" w:lineRule="auto"/>
        <w:ind w:firstLine="280"/>
        <w:rPr>
          <w:sz w:val="18"/>
          <w:szCs w:val="18"/>
        </w:rPr>
      </w:pPr>
      <w:r>
        <w:rPr>
          <w:sz w:val="18"/>
          <w:szCs w:val="18"/>
        </w:rPr>
        <w:t xml:space="preserve">V zabraném území jest učitel, který neopustil své místo, ale přece od 10. </w:t>
      </w:r>
      <w:r>
        <w:rPr>
          <w:sz w:val="18"/>
          <w:szCs w:val="18"/>
        </w:rPr>
        <w:t>října neučí, protože školy jsou zabrány voj</w:t>
      </w:r>
      <w:r>
        <w:rPr>
          <w:sz w:val="18"/>
          <w:szCs w:val="18"/>
        </w:rPr>
        <w:softHyphen/>
        <w:t>skem, korektně ovšem. Dostal plat za říjen 1 listopad od Němců, ale nedostal jej za prosinec a leden, vydali mu jen ko</w:t>
      </w:r>
      <w:r>
        <w:rPr>
          <w:sz w:val="18"/>
          <w:szCs w:val="18"/>
        </w:rPr>
        <w:softHyphen/>
        <w:t>rektní prohlášení, že peníze za prosinec a leden nedostane. Od našich úřadů je také nemůže do</w:t>
      </w:r>
      <w:r>
        <w:rPr>
          <w:sz w:val="18"/>
          <w:szCs w:val="18"/>
        </w:rPr>
        <w:t>stat, protože jeho bydliště se nenachází na dnešním území republiky. Jiní dostanou peníze, protože udávají bydliště fingované, musí však ten plat vpašo- vat přes hranice. K tomu všemu platí »zůstaňte na místech* a chovejte se korektně, slušně, representujt</w:t>
      </w:r>
      <w:r>
        <w:rPr>
          <w:sz w:val="18"/>
          <w:szCs w:val="18"/>
        </w:rPr>
        <w:t>e! Ale je třeba po</w:t>
      </w:r>
      <w:r>
        <w:rPr>
          <w:sz w:val="18"/>
          <w:szCs w:val="18"/>
        </w:rPr>
        <w:softHyphen/>
        <w:t>lykat potravu, která se všude prodává za peníze, a nemyslím, že byste někomu radil k hrdinským krádežím.</w:t>
      </w:r>
    </w:p>
    <w:p w:rsidR="00500724" w:rsidRDefault="00F30FB8">
      <w:pPr>
        <w:pStyle w:val="Zkladntext1"/>
        <w:shd w:val="clear" w:color="auto" w:fill="auto"/>
        <w:spacing w:line="175" w:lineRule="auto"/>
        <w:ind w:firstLine="280"/>
        <w:rPr>
          <w:sz w:val="18"/>
          <w:szCs w:val="18"/>
        </w:rPr>
      </w:pPr>
      <w:r>
        <w:rPr>
          <w:sz w:val="18"/>
          <w:szCs w:val="18"/>
        </w:rPr>
        <w:t>Podle Vašeho má tento člověk začíti školu na svou zodpo</w:t>
      </w:r>
      <w:r>
        <w:rPr>
          <w:sz w:val="18"/>
          <w:szCs w:val="18"/>
        </w:rPr>
        <w:softHyphen/>
        <w:t>vědnost. Pěkně prosím, pane »ja«, škola není jenom učitel a děti, škola se o</w:t>
      </w:r>
      <w:r>
        <w:rPr>
          <w:sz w:val="18"/>
          <w:szCs w:val="18"/>
        </w:rPr>
        <w:t>pírá o spoustu zákonů a nařízení, podléhá jis</w:t>
      </w:r>
      <w:r>
        <w:rPr>
          <w:sz w:val="18"/>
          <w:szCs w:val="18"/>
        </w:rPr>
        <w:softHyphen/>
        <w:t>tým úřadům, škola není svobodnou živností, učitel si nemůže prostě otevřít svůj krámek. V Břeclavi nemůže na příklad vy</w:t>
      </w:r>
      <w:r>
        <w:rPr>
          <w:sz w:val="18"/>
          <w:szCs w:val="18"/>
        </w:rPr>
        <w:softHyphen/>
        <w:t>hánět říšskou armádu ze školy, to již pro obapolnou korekt</w:t>
      </w:r>
      <w:r>
        <w:rPr>
          <w:sz w:val="18"/>
          <w:szCs w:val="18"/>
        </w:rPr>
        <w:softHyphen/>
        <w:t>nost a loválnost nelze radit. A</w:t>
      </w:r>
      <w:r>
        <w:rPr>
          <w:sz w:val="18"/>
          <w:szCs w:val="18"/>
        </w:rPr>
        <w:t xml:space="preserve"> pak si vzpomeňte na Hlučínsko, jak jsme podporovali tam německé pokoutní školy a soukromé vyučování. V mnoha věcech sami jsme vytvořili precedens. A konečně dovolte ohavnému materialistovi touhu po platě, touhu po zajištění; touhu po řádném ustanovení, kd</w:t>
      </w:r>
      <w:r>
        <w:rPr>
          <w:sz w:val="18"/>
          <w:szCs w:val="18"/>
        </w:rPr>
        <w:t>yž on má také ženu, matku, dva kluky studenty. Vůbec byste se nedivil, kdybych Vám je poslal, abyste se postaral o jejich žaludky a výchovu, abych mohl s romantickým elánem jiti do zabraného území, otevřít si bez papírů učitelskou živnost na vlastní risiko</w:t>
      </w:r>
      <w:r>
        <w:rPr>
          <w:sz w:val="18"/>
          <w:szCs w:val="18"/>
        </w:rPr>
        <w:t xml:space="preserve"> podle Vašeho receptu, který podpisujete, nejsa oprávněn k léčení?</w:t>
      </w:r>
    </w:p>
    <w:p w:rsidR="00500724" w:rsidRDefault="00F30FB8">
      <w:pPr>
        <w:pStyle w:val="Zkladntext1"/>
        <w:shd w:val="clear" w:color="auto" w:fill="auto"/>
        <w:spacing w:line="175" w:lineRule="auto"/>
        <w:ind w:firstLine="280"/>
        <w:rPr>
          <w:sz w:val="18"/>
          <w:szCs w:val="18"/>
        </w:rPr>
      </w:pPr>
      <w:r>
        <w:rPr>
          <w:sz w:val="18"/>
          <w:szCs w:val="18"/>
        </w:rPr>
        <w:t>Máme, pane, kožené úřady, ale ty již konečně pochopily, že »takhlenc« se to dělat nedá, že je třeba korektního řádu.</w:t>
      </w:r>
    </w:p>
    <w:p w:rsidR="00500724" w:rsidRDefault="00F30FB8">
      <w:pPr>
        <w:pStyle w:val="Zkladntext1"/>
        <w:shd w:val="clear" w:color="auto" w:fill="auto"/>
        <w:spacing w:line="175" w:lineRule="auto"/>
        <w:ind w:firstLine="280"/>
        <w:rPr>
          <w:sz w:val="18"/>
          <w:szCs w:val="18"/>
        </w:rPr>
      </w:pPr>
      <w:r>
        <w:rPr>
          <w:sz w:val="18"/>
          <w:szCs w:val="18"/>
        </w:rPr>
        <w:t>Pisateli jest asi velmi mnoho positivního známo, má zku</w:t>
      </w:r>
      <w:r>
        <w:rPr>
          <w:sz w:val="18"/>
          <w:szCs w:val="18"/>
        </w:rPr>
        <w:softHyphen/>
        <w:t>šenosti, i měl b</w:t>
      </w:r>
      <w:r>
        <w:rPr>
          <w:sz w:val="18"/>
          <w:szCs w:val="18"/>
        </w:rPr>
        <w:t>y podat učitelstvu podrobné instrukce, kterak se začíná s tím risikem. Mnoha lidem by vytrhl tm z paty!</w:t>
      </w:r>
    </w:p>
    <w:p w:rsidR="00500724" w:rsidRDefault="00F30FB8">
      <w:pPr>
        <w:pStyle w:val="Zkladntext1"/>
        <w:shd w:val="clear" w:color="auto" w:fill="auto"/>
        <w:tabs>
          <w:tab w:val="left" w:pos="4589"/>
        </w:tabs>
        <w:spacing w:after="200" w:line="178" w:lineRule="auto"/>
        <w:ind w:firstLine="280"/>
        <w:rPr>
          <w:sz w:val="22"/>
          <w:szCs w:val="22"/>
        </w:rPr>
      </w:pPr>
      <w:r>
        <w:rPr>
          <w:sz w:val="18"/>
          <w:szCs w:val="18"/>
        </w:rPr>
        <w:t>Ano, Němci jsou fanatičtí nacionalisté, hrnou se s vírou ve své poslání atd., jak to píšete, ale kam se nahrnou, tam se nemůže hrnout český učitel na vl</w:t>
      </w:r>
      <w:r>
        <w:rPr>
          <w:sz w:val="18"/>
          <w:szCs w:val="18"/>
        </w:rPr>
        <w:t>astní risiko. Opakuji, běžte na vlastní risiko dělat noviny do zabraného území, proč se žádný novinář neodvážil — kdežto nás učitelů pět, považte, pane »ja«, dokonce pět!</w:t>
      </w:r>
      <w:r>
        <w:rPr>
          <w:sz w:val="18"/>
          <w:szCs w:val="18"/>
        </w:rPr>
        <w:tab/>
      </w:r>
      <w:r>
        <w:rPr>
          <w:sz w:val="22"/>
          <w:szCs w:val="22"/>
        </w:rPr>
        <w:t>s&gt;n e«</w:t>
      </w:r>
    </w:p>
    <w:p w:rsidR="00500724" w:rsidRDefault="00F30FB8">
      <w:pPr>
        <w:pStyle w:val="Zkladntext1"/>
        <w:shd w:val="clear" w:color="auto" w:fill="auto"/>
        <w:spacing w:after="80" w:line="166" w:lineRule="auto"/>
        <w:ind w:firstLine="0"/>
        <w:jc w:val="center"/>
      </w:pPr>
      <w:r>
        <w:rPr>
          <w:b/>
          <w:bCs/>
        </w:rPr>
        <w:t>Dopis z Jugoslávie</w:t>
      </w:r>
    </w:p>
    <w:p w:rsidR="00500724" w:rsidRDefault="00F30FB8">
      <w:pPr>
        <w:pStyle w:val="Zkladntext1"/>
        <w:shd w:val="clear" w:color="auto" w:fill="auto"/>
        <w:spacing w:after="100" w:line="175" w:lineRule="auto"/>
        <w:ind w:left="1040" w:firstLine="0"/>
        <w:jc w:val="left"/>
        <w:rPr>
          <w:sz w:val="18"/>
          <w:szCs w:val="18"/>
        </w:rPr>
      </w:pPr>
      <w:r>
        <w:rPr>
          <w:sz w:val="18"/>
          <w:szCs w:val="18"/>
        </w:rPr>
        <w:t>Velecteny pane redaktore,</w:t>
      </w:r>
    </w:p>
    <w:p w:rsidR="00500724" w:rsidRDefault="00F30FB8">
      <w:pPr>
        <w:pStyle w:val="Zkladntext1"/>
        <w:shd w:val="clear" w:color="auto" w:fill="auto"/>
        <w:spacing w:line="197" w:lineRule="auto"/>
        <w:ind w:firstLine="0"/>
        <w:rPr>
          <w:sz w:val="18"/>
          <w:szCs w:val="18"/>
        </w:rPr>
      </w:pPr>
      <w:r>
        <w:rPr>
          <w:sz w:val="18"/>
          <w:szCs w:val="18"/>
        </w:rPr>
        <w:t xml:space="preserve">nemogu </w:t>
      </w:r>
      <w:r>
        <w:rPr>
          <w:sz w:val="18"/>
          <w:szCs w:val="18"/>
          <w:lang w:val="en-US" w:eastAsia="en-US" w:bidi="en-US"/>
        </w:rPr>
        <w:t xml:space="preserve">da </w:t>
      </w:r>
      <w:r>
        <w:rPr>
          <w:sz w:val="18"/>
          <w:szCs w:val="18"/>
        </w:rPr>
        <w:t xml:space="preserve">odolim a da Varn napišem, koliko </w:t>
      </w:r>
      <w:r>
        <w:rPr>
          <w:sz w:val="18"/>
          <w:szCs w:val="18"/>
          <w:lang w:val="en-US" w:eastAsia="en-US" w:bidi="en-US"/>
        </w:rPr>
        <w:t xml:space="preserve">me </w:t>
      </w:r>
      <w:r>
        <w:rPr>
          <w:sz w:val="18"/>
          <w:szCs w:val="18"/>
        </w:rPr>
        <w:t xml:space="preserve">je duboko dirnuo Vaš članak »Od zmatku k pořádku*. Neznáte, s kakvom strepnjom srno sví Jugosloveni otvarali naše radioaparate od Godesberga pa do nesretnog Munchena. Bol koja je našu dušu i srče kidala, nije manja nego </w:t>
      </w:r>
      <w:r>
        <w:rPr>
          <w:sz w:val="18"/>
          <w:szCs w:val="18"/>
        </w:rPr>
        <w:t xml:space="preserve">Vaša, Ali, i za </w:t>
      </w:r>
      <w:r>
        <w:rPr>
          <w:sz w:val="18"/>
          <w:szCs w:val="18"/>
          <w:lang w:val="en-US" w:eastAsia="en-US" w:bidi="en-US"/>
        </w:rPr>
        <w:t>toga</w:t>
      </w:r>
      <w:r>
        <w:rPr>
          <w:sz w:val="18"/>
          <w:szCs w:val="18"/>
        </w:rPr>
        <w:t>... razné novině, strašné vijesti kao da je sav svíjet razum izgubio, tamo kod Vas.</w:t>
      </w:r>
    </w:p>
    <w:p w:rsidR="00500724" w:rsidRDefault="00F30FB8">
      <w:pPr>
        <w:pStyle w:val="Zkladntext1"/>
        <w:shd w:val="clear" w:color="auto" w:fill="auto"/>
        <w:spacing w:after="80" w:line="197" w:lineRule="auto"/>
        <w:ind w:firstLine="280"/>
        <w:rPr>
          <w:sz w:val="18"/>
          <w:szCs w:val="18"/>
        </w:rPr>
      </w:pPr>
      <w:r>
        <w:rPr>
          <w:sz w:val="18"/>
          <w:szCs w:val="18"/>
        </w:rPr>
        <w:t>Mi obžalovaoci velikog Masarika, držali srno, da je došao grozan čas, gdje ništa nikome nije sveto. Hvala Bogu, pane redaktore, opět se vrača život u st</w:t>
      </w:r>
      <w:r>
        <w:rPr>
          <w:sz w:val="18"/>
          <w:szCs w:val="18"/>
        </w:rPr>
        <w:t>aro korito, kojí zna pošto- vati što je poštovanja vrijedno. — Pan Prezident Hacha bil u Lánského hrobu — a to je Meká Čehu i nas Jugoslovenu. Tamo srno naše misii i molitve slali za vrijeme Vaših dana nepravdě a šlajemo i danas za bolju i sretniju budučno</w:t>
      </w:r>
      <w:r>
        <w:rPr>
          <w:sz w:val="18"/>
          <w:szCs w:val="18"/>
        </w:rPr>
        <w:t>st dra- gog Česko-Slovenska.</w:t>
      </w:r>
    </w:p>
    <w:p w:rsidR="00500724" w:rsidRDefault="00F30FB8">
      <w:pPr>
        <w:pStyle w:val="Zkladntext1"/>
        <w:shd w:val="clear" w:color="auto" w:fill="auto"/>
        <w:spacing w:line="175" w:lineRule="auto"/>
        <w:ind w:firstLine="0"/>
        <w:jc w:val="center"/>
        <w:rPr>
          <w:sz w:val="18"/>
          <w:szCs w:val="18"/>
        </w:rPr>
      </w:pPr>
      <w:r>
        <w:rPr>
          <w:sz w:val="18"/>
          <w:szCs w:val="18"/>
        </w:rPr>
        <w:t>Varn všem zdar!</w:t>
      </w:r>
    </w:p>
    <w:p w:rsidR="00500724" w:rsidRDefault="00F30FB8">
      <w:pPr>
        <w:pStyle w:val="Zkladntext1"/>
        <w:shd w:val="clear" w:color="auto" w:fill="auto"/>
        <w:spacing w:after="360" w:line="166" w:lineRule="auto"/>
        <w:ind w:firstLine="0"/>
        <w:jc w:val="right"/>
      </w:pPr>
      <w:r>
        <w:rPr>
          <w:b/>
          <w:bCs/>
        </w:rPr>
        <w:t>Slavica M a r i č i č</w:t>
      </w:r>
    </w:p>
    <w:p w:rsidR="00500724" w:rsidRDefault="00F30FB8">
      <w:pPr>
        <w:pStyle w:val="Jin0"/>
        <w:shd w:val="clear" w:color="auto" w:fill="auto"/>
        <w:spacing w:after="200"/>
        <w:ind w:firstLine="0"/>
        <w:jc w:val="left"/>
        <w:rPr>
          <w:sz w:val="44"/>
          <w:szCs w:val="44"/>
        </w:rPr>
      </w:pPr>
      <w:r>
        <w:rPr>
          <w:b/>
          <w:bCs/>
          <w:sz w:val="44"/>
          <w:szCs w:val="44"/>
          <w:u w:val="single"/>
        </w:rPr>
        <w:t>listárna redakce</w:t>
      </w:r>
    </w:p>
    <w:p w:rsidR="00500724" w:rsidRDefault="00F30FB8">
      <w:pPr>
        <w:pStyle w:val="Zkladntext1"/>
        <w:shd w:val="clear" w:color="auto" w:fill="auto"/>
        <w:spacing w:line="202" w:lineRule="auto"/>
        <w:ind w:firstLine="280"/>
        <w:rPr>
          <w:sz w:val="18"/>
          <w:szCs w:val="18"/>
        </w:rPr>
        <w:sectPr w:rsidR="00500724">
          <w:footnotePr>
            <w:numFmt w:val="chicago"/>
            <w:numRestart w:val="eachPage"/>
          </w:footnotePr>
          <w:type w:val="continuous"/>
          <w:pgSz w:w="11909" w:h="16834"/>
          <w:pgMar w:top="1805" w:right="944" w:bottom="1056" w:left="486" w:header="0" w:footer="3" w:gutter="0"/>
          <w:cols w:num="2" w:space="155"/>
          <w:noEndnote/>
          <w:docGrid w:linePitch="360"/>
        </w:sectPr>
      </w:pPr>
      <w:r>
        <w:rPr>
          <w:sz w:val="18"/>
          <w:szCs w:val="18"/>
        </w:rPr>
        <w:t>Hospodářští komisaři na Slovensku. Nemáte pravdu. Slo</w:t>
      </w:r>
      <w:r>
        <w:rPr>
          <w:sz w:val="18"/>
          <w:szCs w:val="18"/>
        </w:rPr>
        <w:softHyphen/>
        <w:t>venská vláda už nedosazuje do jednotlivých podniků komisaře, a tam, kde se to stalo, maj</w:t>
      </w:r>
      <w:r>
        <w:rPr>
          <w:sz w:val="18"/>
          <w:szCs w:val="18"/>
        </w:rPr>
        <w:t>í teď dosavadní komisaři na vybra</w:t>
      </w:r>
      <w:r>
        <w:rPr>
          <w:sz w:val="18"/>
          <w:szCs w:val="18"/>
        </w:rPr>
        <w:softHyphen/>
        <w:t>nou: buď se dohodnout, v jaké formě zůstanou veslužbách podniku — nebo odejít. O věci rozhodlo pravoplatně slo</w:t>
      </w:r>
      <w:r>
        <w:rPr>
          <w:sz w:val="18"/>
          <w:szCs w:val="18"/>
        </w:rPr>
        <w:softHyphen/>
        <w:t>venské ministerstvo hospodářství.</w:t>
      </w:r>
    </w:p>
    <w:p w:rsidR="00500724" w:rsidRDefault="00500724">
      <w:pPr>
        <w:spacing w:before="9" w:after="9"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543" w:right="0" w:bottom="1146" w:left="0" w:header="0" w:footer="3" w:gutter="0"/>
          <w:cols w:space="720"/>
          <w:noEndnote/>
          <w:docGrid w:linePitch="360"/>
        </w:sectPr>
      </w:pPr>
    </w:p>
    <w:p w:rsidR="00500724" w:rsidRDefault="00F30FB8">
      <w:pPr>
        <w:pStyle w:val="Nadpis120"/>
        <w:shd w:val="clear" w:color="auto" w:fill="auto"/>
        <w:spacing w:after="100"/>
        <w:ind w:left="420"/>
        <w:jc w:val="both"/>
      </w:pPr>
      <w:bookmarkStart w:id="78" w:name="bookmark77"/>
      <w:r>
        <w:t>Dobrý přítel z říše štěstí:</w:t>
      </w:r>
      <w:bookmarkEnd w:id="78"/>
    </w:p>
    <w:p w:rsidR="00500724" w:rsidRDefault="00F30FB8">
      <w:pPr>
        <w:pStyle w:val="Jin0"/>
        <w:shd w:val="clear" w:color="auto" w:fill="auto"/>
        <w:spacing w:after="100"/>
        <w:ind w:left="420" w:firstLine="0"/>
        <w:jc w:val="left"/>
        <w:rPr>
          <w:sz w:val="38"/>
          <w:szCs w:val="38"/>
        </w:rPr>
      </w:pPr>
      <w:r>
        <w:rPr>
          <w:rFonts w:ascii="Arial" w:eastAsia="Arial" w:hAnsi="Arial" w:cs="Arial"/>
          <w:b/>
          <w:bCs/>
          <w:sz w:val="38"/>
          <w:szCs w:val="38"/>
        </w:rPr>
        <w:t>LOS ČESKO-SLOVENSKÉ</w:t>
      </w:r>
      <w:r>
        <w:rPr>
          <w:rFonts w:ascii="Arial" w:eastAsia="Arial" w:hAnsi="Arial" w:cs="Arial"/>
          <w:b/>
          <w:bCs/>
          <w:sz w:val="38"/>
          <w:szCs w:val="38"/>
        </w:rPr>
        <w:t xml:space="preserve"> TŘÍDNÍ LOTERIE</w:t>
      </w:r>
    </w:p>
    <w:p w:rsidR="00500724" w:rsidRDefault="00F30FB8">
      <w:pPr>
        <w:pStyle w:val="Nadpis120"/>
        <w:shd w:val="clear" w:color="auto" w:fill="auto"/>
        <w:tabs>
          <w:tab w:val="left" w:pos="7418"/>
        </w:tabs>
        <w:spacing w:after="100"/>
        <w:ind w:left="420"/>
        <w:jc w:val="both"/>
      </w:pPr>
      <w:bookmarkStart w:id="79" w:name="bookmark78"/>
      <w:r>
        <w:t>Přináší velRé možnosti výhry a bohatství.</w:t>
      </w:r>
      <w:r>
        <w:tab/>
        <w:t>3O*/</w:t>
      </w:r>
      <w:r>
        <w:rPr>
          <w:vertAlign w:val="subscript"/>
        </w:rPr>
        <w:t>#</w:t>
      </w:r>
      <w:r>
        <w:t xml:space="preserve"> losů musí vyhřátí.*</w:t>
      </w:r>
      <w:bookmarkEnd w:id="79"/>
      <w:r>
        <w:br w:type="page"/>
      </w:r>
    </w:p>
    <w:p w:rsidR="00500724" w:rsidRDefault="00F30FB8">
      <w:pPr>
        <w:pStyle w:val="Jin0"/>
        <w:shd w:val="clear" w:color="auto" w:fill="auto"/>
        <w:ind w:left="260" w:firstLine="20"/>
        <w:jc w:val="left"/>
        <w:rPr>
          <w:sz w:val="52"/>
          <w:szCs w:val="52"/>
        </w:rPr>
      </w:pPr>
      <w:r>
        <w:rPr>
          <w:rFonts w:ascii="Arial" w:eastAsia="Arial" w:hAnsi="Arial" w:cs="Arial"/>
          <w:sz w:val="52"/>
          <w:szCs w:val="52"/>
        </w:rPr>
        <w:t>Jak jsme dělali reklamu</w:t>
      </w:r>
    </w:p>
    <w:p w:rsidR="00500724" w:rsidRDefault="00F30FB8">
      <w:pPr>
        <w:pStyle w:val="Jin0"/>
        <w:shd w:val="clear" w:color="auto" w:fill="auto"/>
        <w:spacing w:line="214" w:lineRule="auto"/>
        <w:ind w:left="980" w:firstLine="0"/>
        <w:jc w:val="left"/>
        <w:rPr>
          <w:sz w:val="66"/>
          <w:szCs w:val="66"/>
        </w:rPr>
      </w:pPr>
      <w:r>
        <w:rPr>
          <w:rFonts w:ascii="Calibri" w:eastAsia="Calibri" w:hAnsi="Calibri" w:cs="Calibri"/>
          <w:b/>
          <w:bCs/>
          <w:sz w:val="66"/>
          <w:szCs w:val="66"/>
        </w:rPr>
        <w:t>PRO VAŠATU</w:t>
      </w:r>
    </w:p>
    <w:p w:rsidR="00500724" w:rsidRDefault="00F30FB8">
      <w:pPr>
        <w:pStyle w:val="Zkladntext20"/>
        <w:shd w:val="clear" w:color="auto" w:fill="auto"/>
        <w:spacing w:after="260" w:line="240" w:lineRule="auto"/>
        <w:ind w:right="100" w:firstLine="0"/>
        <w:jc w:val="center"/>
      </w:pPr>
      <w:r>
        <w:t>(Napsal P + U)</w:t>
      </w:r>
    </w:p>
    <w:p w:rsidR="00500724" w:rsidRDefault="00F30FB8">
      <w:pPr>
        <w:pStyle w:val="Nadpis100"/>
        <w:shd w:val="clear" w:color="auto" w:fill="auto"/>
        <w:spacing w:after="60" w:line="240" w:lineRule="auto"/>
        <w:ind w:firstLine="280"/>
        <w:jc w:val="both"/>
      </w:pPr>
      <w:bookmarkStart w:id="80" w:name="bookmark79"/>
      <w:r>
        <w:rPr>
          <w:rFonts w:ascii="Arial" w:eastAsia="Arial" w:hAnsi="Arial" w:cs="Arial"/>
        </w:rPr>
        <w:t>Kdo je Vašafa?</w:t>
      </w:r>
      <w:bookmarkEnd w:id="80"/>
    </w:p>
    <w:p w:rsidR="00500724" w:rsidRDefault="00F30FB8">
      <w:pPr>
        <w:pStyle w:val="Zkladntext20"/>
        <w:shd w:val="clear" w:color="auto" w:fill="auto"/>
        <w:spacing w:after="140" w:line="204" w:lineRule="auto"/>
        <w:ind w:left="260" w:firstLine="20"/>
      </w:pPr>
      <w:r>
        <w:t xml:space="preserve">Vašata je mladý muž. Pochází z české vesnice. Vypracoval se v Praze k vedoucímu postavení. Převzal na </w:t>
      </w:r>
      <w:r>
        <w:t>Václavském náměstí příslovečně neprosperující podnik a vybudoval z něj prosperující.</w:t>
      </w:r>
    </w:p>
    <w:p w:rsidR="00500724" w:rsidRDefault="00F30FB8">
      <w:pPr>
        <w:pStyle w:val="Nadpis100"/>
        <w:shd w:val="clear" w:color="auto" w:fill="auto"/>
        <w:spacing w:after="60" w:line="240" w:lineRule="auto"/>
        <w:ind w:firstLine="280"/>
        <w:jc w:val="both"/>
      </w:pPr>
      <w:bookmarkStart w:id="81" w:name="bookmark80"/>
      <w:r>
        <w:rPr>
          <w:rFonts w:ascii="Arial" w:eastAsia="Arial" w:hAnsi="Arial" w:cs="Arial"/>
        </w:rPr>
        <w:t>Zásady, na kterých stavěl</w:t>
      </w:r>
      <w:bookmarkEnd w:id="81"/>
    </w:p>
    <w:p w:rsidR="00500724" w:rsidRDefault="00F30FB8">
      <w:pPr>
        <w:pStyle w:val="Zkladntext20"/>
        <w:shd w:val="clear" w:color="auto" w:fill="auto"/>
        <w:spacing w:line="202" w:lineRule="auto"/>
        <w:ind w:left="260" w:firstLine="20"/>
      </w:pPr>
      <w:r>
        <w:t>Už jste si někdy všimli, jaké miliony se vydávají na zhotovení některého filmu? Skoro by se řeklo: »Není možno, aby se ty peníze vrátily!« A hle:</w:t>
      </w:r>
      <w:r>
        <w:t xml:space="preserve"> čím více peněz se riskovalo, čím poctivěji se film propracoval, tím plnější byly biografy!</w:t>
      </w:r>
    </w:p>
    <w:p w:rsidR="00500724" w:rsidRDefault="00F30FB8">
      <w:pPr>
        <w:pStyle w:val="Zkladntext20"/>
        <w:shd w:val="clear" w:color="auto" w:fill="auto"/>
        <w:spacing w:after="140" w:line="202" w:lineRule="auto"/>
        <w:ind w:left="260" w:firstLine="20"/>
      </w:pPr>
      <w:r>
        <w:t xml:space="preserve">Vašata to dělá právě tak, jenže v oboru pokrmů. Místo aby šetřil, plýtvá. Místo umělého tuku kupuje čajové máslo </w:t>
      </w:r>
      <w:r>
        <w:rPr>
          <w:i/>
          <w:iCs/>
        </w:rPr>
        <w:t>a</w:t>
      </w:r>
      <w:r>
        <w:t xml:space="preserve"> čisté sádlo. Místo dobrého masa kupuje nejlepší a</w:t>
      </w:r>
      <w:r>
        <w:t xml:space="preserve"> nejdražší. Místo dobré zeleniny kupuje pouze nejvybranější. Místo normálních platů dává svým kuchařům a veškerému personálu platy mimo</w:t>
      </w:r>
      <w:r>
        <w:softHyphen/>
        <w:t>řádné. Místo všeho prostředního dělá vše, jak umí nejlépe.</w:t>
      </w:r>
    </w:p>
    <w:p w:rsidR="00500724" w:rsidRDefault="00F30FB8">
      <w:pPr>
        <w:pStyle w:val="Nadpis100"/>
        <w:shd w:val="clear" w:color="auto" w:fill="auto"/>
        <w:spacing w:after="60" w:line="240" w:lineRule="auto"/>
        <w:ind w:firstLine="280"/>
        <w:jc w:val="both"/>
      </w:pPr>
      <w:bookmarkStart w:id="82" w:name="bookmark81"/>
      <w:r>
        <w:rPr>
          <w:rFonts w:ascii="Arial" w:eastAsia="Arial" w:hAnsi="Arial" w:cs="Arial"/>
        </w:rPr>
        <w:t>Důkazy</w:t>
      </w:r>
      <w:bookmarkEnd w:id="82"/>
    </w:p>
    <w:p w:rsidR="00500724" w:rsidRDefault="00F30FB8">
      <w:pPr>
        <w:pStyle w:val="Zkladntext20"/>
        <w:shd w:val="clear" w:color="auto" w:fill="auto"/>
        <w:spacing w:after="320" w:line="202" w:lineRule="auto"/>
        <w:ind w:firstLine="280"/>
      </w:pPr>
      <w:r>
        <w:t>Jednoho dne nás Vašata pověřil, abychom mu sestavovali</w:t>
      </w:r>
      <w:r>
        <w:t xml:space="preserve"> reklamu. Řekl: »Udělejte ji, jak chcete, ale než se dáte do psaní, přijďte se podívat, jak to u nás vypadá za kulisami. Můžete přijít kdy</w:t>
      </w:r>
      <w:r>
        <w:softHyphen/>
        <w:t xml:space="preserve">koli, abyste se nedomnívali, že jsme pro Vás postavili Potěmki- novu vesnici!« Tak jsme jednou ráno prošli Vašatovým </w:t>
      </w:r>
      <w:r>
        <w:t>podnikem od sklepů až do druhého patra. Co jsme viděli? Zajímavé věci: hory másla. Sklady lahůdek. Vzorné plynové sporáky. Mycí stroj na nádobí v ceně 26.000 Kč. Důmyslný stroj na loupání brambo</w:t>
      </w:r>
      <w:r>
        <w:softHyphen/>
        <w:t>rů. Mohutné chladírenské zařízení. Ošetřovnu piva. Všude po</w:t>
      </w:r>
      <w:r>
        <w:softHyphen/>
        <w:t>ř</w:t>
      </w:r>
      <w:r>
        <w:t>ádek — všude úzkostlivou čistotu. A co jsme neviděli? Ani gram umělého tuku!</w:t>
      </w:r>
    </w:p>
    <w:p w:rsidR="00500724" w:rsidRDefault="00F30FB8">
      <w:pPr>
        <w:pStyle w:val="Nadpis100"/>
        <w:shd w:val="clear" w:color="auto" w:fill="auto"/>
        <w:spacing w:after="60" w:line="300" w:lineRule="auto"/>
        <w:jc w:val="left"/>
      </w:pPr>
      <w:bookmarkStart w:id="83" w:name="bookmark82"/>
      <w:r>
        <w:rPr>
          <w:rFonts w:ascii="Arial" w:eastAsia="Arial" w:hAnsi="Arial" w:cs="Arial"/>
        </w:rPr>
        <w:t>Co z foho vyplynulo pro reklamu</w:t>
      </w:r>
      <w:bookmarkEnd w:id="83"/>
    </w:p>
    <w:p w:rsidR="00500724" w:rsidRDefault="00F30FB8">
      <w:pPr>
        <w:pStyle w:val="Jin0"/>
        <w:framePr w:w="3878" w:h="8621" w:hSpace="280" w:vSpace="280" w:wrap="around" w:hAnchor="page" w:x="7259" w:y="169"/>
        <w:shd w:val="clear" w:color="auto" w:fill="auto"/>
        <w:spacing w:after="100"/>
        <w:ind w:left="340" w:firstLine="0"/>
        <w:jc w:val="left"/>
        <w:rPr>
          <w:sz w:val="36"/>
          <w:szCs w:val="36"/>
        </w:rPr>
      </w:pPr>
      <w:r>
        <w:rPr>
          <w:i/>
          <w:iCs/>
          <w:sz w:val="36"/>
          <w:szCs w:val="36"/>
        </w:rPr>
        <w:t>Vanu doktorovi,</w:t>
      </w:r>
    </w:p>
    <w:p w:rsidR="00500724" w:rsidRDefault="00F30FB8">
      <w:pPr>
        <w:pStyle w:val="Zkladntext20"/>
        <w:framePr w:w="3878" w:h="8621" w:hSpace="280" w:vSpace="280" w:wrap="around" w:hAnchor="page" w:x="7259" w:y="169"/>
        <w:shd w:val="clear" w:color="auto" w:fill="auto"/>
        <w:spacing w:after="100" w:line="206" w:lineRule="auto"/>
        <w:ind w:firstLine="0"/>
        <w:rPr>
          <w:sz w:val="20"/>
          <w:szCs w:val="20"/>
        </w:rPr>
      </w:pPr>
      <w:r>
        <w:rPr>
          <w:sz w:val="20"/>
          <w:szCs w:val="20"/>
        </w:rPr>
        <w:t>který s nejvlídnějšim úsměvem trhá nej</w:t>
      </w:r>
      <w:r>
        <w:rPr>
          <w:sz w:val="20"/>
          <w:szCs w:val="20"/>
        </w:rPr>
        <w:softHyphen/>
        <w:t>bolavější zuby.</w:t>
      </w:r>
    </w:p>
    <w:p w:rsidR="00500724" w:rsidRDefault="00F30FB8">
      <w:pPr>
        <w:pStyle w:val="Zkladntext20"/>
        <w:framePr w:w="3878" w:h="8621" w:hSpace="280" w:vSpace="280" w:wrap="around" w:hAnchor="page" w:x="7259" w:y="169"/>
        <w:shd w:val="clear" w:color="auto" w:fill="auto"/>
        <w:spacing w:after="60" w:line="202" w:lineRule="auto"/>
        <w:ind w:left="380" w:firstLine="0"/>
        <w:jc w:val="left"/>
        <w:rPr>
          <w:sz w:val="20"/>
          <w:szCs w:val="20"/>
        </w:rPr>
      </w:pPr>
      <w:r>
        <w:rPr>
          <w:i/>
          <w:iCs/>
          <w:sz w:val="20"/>
          <w:szCs w:val="20"/>
        </w:rPr>
        <w:t>Vážený pane doktore,</w:t>
      </w:r>
    </w:p>
    <w:p w:rsidR="00500724" w:rsidRDefault="00F30FB8">
      <w:pPr>
        <w:pStyle w:val="Zkladntext20"/>
        <w:framePr w:w="3878" w:h="8621" w:hSpace="280" w:vSpace="280" w:wrap="around" w:hAnchor="page" w:x="7259" w:y="169"/>
        <w:shd w:val="clear" w:color="auto" w:fill="auto"/>
        <w:spacing w:line="202" w:lineRule="auto"/>
        <w:ind w:firstLine="0"/>
        <w:rPr>
          <w:sz w:val="20"/>
          <w:szCs w:val="20"/>
        </w:rPr>
      </w:pPr>
      <w:r>
        <w:rPr>
          <w:rFonts w:ascii="Arial" w:eastAsia="Arial" w:hAnsi="Arial" w:cs="Arial"/>
          <w:i/>
          <w:iCs/>
          <w:sz w:val="17"/>
          <w:szCs w:val="17"/>
        </w:rPr>
        <w:t xml:space="preserve">s </w:t>
      </w:r>
      <w:r>
        <w:rPr>
          <w:i/>
          <w:iCs/>
          <w:sz w:val="20"/>
          <w:szCs w:val="20"/>
        </w:rPr>
        <w:t xml:space="preserve">Vámi chci býti nadosmrti *zadobře«. — stejně jako všichni Vaši pacienti. Máte zlaté ruce, pane doktore — a mučím uznat, Se máte i dobrý </w:t>
      </w:r>
      <w:r>
        <w:rPr>
          <w:i/>
          <w:iCs/>
          <w:sz w:val="20"/>
          <w:szCs w:val="20"/>
          <w:lang w:val="en-US" w:eastAsia="en-US" w:bidi="en-US"/>
        </w:rPr>
        <w:t xml:space="preserve">cognac </w:t>
      </w:r>
      <w:r>
        <w:rPr>
          <w:i/>
          <w:iCs/>
          <w:sz w:val="20"/>
          <w:szCs w:val="20"/>
        </w:rPr>
        <w:t>pro ty, kteří byli »hodni« při Vašem zákroku. Ovšem — uji</w:t>
      </w:r>
      <w:r>
        <w:rPr>
          <w:i/>
          <w:iCs/>
          <w:sz w:val="20"/>
          <w:szCs w:val="20"/>
        </w:rPr>
        <w:softHyphen/>
        <w:t xml:space="preserve">šťuji Vás: u mne dostanete také dobrý, </w:t>
      </w:r>
      <w:r>
        <w:rPr>
          <w:i/>
          <w:iCs/>
          <w:sz w:val="20"/>
          <w:szCs w:val="20"/>
          <w:lang w:val="en-US" w:eastAsia="en-US" w:bidi="en-US"/>
        </w:rPr>
        <w:t xml:space="preserve">cognac </w:t>
      </w:r>
      <w:r>
        <w:rPr>
          <w:i/>
          <w:iCs/>
          <w:sz w:val="20"/>
          <w:szCs w:val="20"/>
        </w:rPr>
        <w:t xml:space="preserve">a nebudu </w:t>
      </w:r>
      <w:r>
        <w:rPr>
          <w:i/>
          <w:iCs/>
          <w:sz w:val="20"/>
          <w:szCs w:val="20"/>
        </w:rPr>
        <w:t>Vám při tom trhat zuby. Takový jsem já ělověkl Rád Vás vídám, pane doktore, — když s napřímenou hlavou, 8 učesanou pěšinkou pružně kráčíte po scho</w:t>
      </w:r>
      <w:r>
        <w:rPr>
          <w:i/>
          <w:iCs/>
          <w:sz w:val="20"/>
          <w:szCs w:val="20"/>
        </w:rPr>
        <w:softHyphen/>
        <w:t>dech do prvního patra naší restaurace na oběd. Je vidět. Se jste velmi populární: se všech stran Vás lidé poz</w:t>
      </w:r>
      <w:r>
        <w:rPr>
          <w:i/>
          <w:iCs/>
          <w:sz w:val="20"/>
          <w:szCs w:val="20"/>
        </w:rPr>
        <w:t>dravují — dobrý den, pane doktore —- uctivost, pane doktore — poklona, pane doktore!</w:t>
      </w:r>
    </w:p>
    <w:p w:rsidR="00500724" w:rsidRDefault="00F30FB8">
      <w:pPr>
        <w:pStyle w:val="Zkladntext20"/>
        <w:framePr w:w="3878" w:h="8621" w:hSpace="280" w:vSpace="280" w:wrap="around" w:hAnchor="page" w:x="7259" w:y="169"/>
        <w:shd w:val="clear" w:color="auto" w:fill="auto"/>
        <w:spacing w:line="202" w:lineRule="auto"/>
        <w:ind w:firstLine="200"/>
        <w:rPr>
          <w:sz w:val="20"/>
          <w:szCs w:val="20"/>
        </w:rPr>
      </w:pPr>
      <w:r>
        <w:rPr>
          <w:i/>
          <w:iCs/>
          <w:sz w:val="20"/>
          <w:szCs w:val="20"/>
        </w:rPr>
        <w:t>Tak si Vás lidé předcházejí!</w:t>
      </w:r>
    </w:p>
    <w:p w:rsidR="00500724" w:rsidRDefault="00F30FB8">
      <w:pPr>
        <w:pStyle w:val="Zkladntext20"/>
        <w:framePr w:w="3878" w:h="8621" w:hSpace="280" w:vSpace="280" w:wrap="around" w:hAnchor="page" w:x="7259" w:y="169"/>
        <w:shd w:val="clear" w:color="auto" w:fill="auto"/>
        <w:spacing w:line="194" w:lineRule="auto"/>
        <w:ind w:firstLine="200"/>
        <w:rPr>
          <w:sz w:val="20"/>
          <w:szCs w:val="20"/>
        </w:rPr>
      </w:pPr>
      <w:r>
        <w:rPr>
          <w:i/>
          <w:iCs/>
          <w:sz w:val="20"/>
          <w:szCs w:val="20"/>
        </w:rPr>
        <w:t>Předcházím si Vás také — tím, Se se sna</w:t>
      </w:r>
      <w:r>
        <w:rPr>
          <w:i/>
          <w:iCs/>
          <w:sz w:val="20"/>
          <w:szCs w:val="20"/>
        </w:rPr>
        <w:softHyphen/>
        <w:t>žím vařit tak dobře, abyste k nám chodil rád a denně!</w:t>
      </w:r>
    </w:p>
    <w:p w:rsidR="00500724" w:rsidRDefault="00F30FB8">
      <w:pPr>
        <w:pStyle w:val="Zkladntext20"/>
        <w:framePr w:w="3878" w:h="8621" w:hSpace="280" w:vSpace="280" w:wrap="around" w:hAnchor="page" w:x="7259" w:y="169"/>
        <w:shd w:val="clear" w:color="auto" w:fill="auto"/>
        <w:spacing w:line="202" w:lineRule="auto"/>
        <w:ind w:firstLine="200"/>
        <w:rPr>
          <w:sz w:val="20"/>
          <w:szCs w:val="20"/>
        </w:rPr>
      </w:pPr>
      <w:r>
        <w:rPr>
          <w:i/>
          <w:iCs/>
          <w:sz w:val="20"/>
          <w:szCs w:val="20"/>
        </w:rPr>
        <w:t>Věřte, Se platím nejvyšší možné ceny na trhu, ab</w:t>
      </w:r>
      <w:r>
        <w:rPr>
          <w:i/>
          <w:iCs/>
          <w:sz w:val="20"/>
          <w:szCs w:val="20"/>
        </w:rPr>
        <w:t>ych získal nejkvalitnější maso, nej</w:t>
      </w:r>
      <w:r>
        <w:rPr>
          <w:i/>
          <w:iCs/>
          <w:sz w:val="20"/>
          <w:szCs w:val="20"/>
        </w:rPr>
        <w:softHyphen/>
        <w:t>lepší zeleninu, brambory, mouku a co k dob</w:t>
      </w:r>
      <w:r>
        <w:rPr>
          <w:i/>
          <w:iCs/>
          <w:sz w:val="20"/>
          <w:szCs w:val="20"/>
        </w:rPr>
        <w:softHyphen/>
        <w:t>ré kuchyni patří. A Se vaříme jen na čer</w:t>
      </w:r>
      <w:r>
        <w:rPr>
          <w:i/>
          <w:iCs/>
          <w:sz w:val="20"/>
          <w:szCs w:val="20"/>
        </w:rPr>
        <w:softHyphen/>
        <w:t>stvém čajovém másle a na čistém sádle — to víte. To už také ocenilo mnoho Vašich pánů, kolegů nejen tím, Se k nám posílají wna stravuc s</w:t>
      </w:r>
      <w:r>
        <w:rPr>
          <w:i/>
          <w:iCs/>
          <w:sz w:val="20"/>
          <w:szCs w:val="20"/>
        </w:rPr>
        <w:t>vé pacienty, kteří potřebují zvlášť dobrou výživu — ale i tím, Se k nám chodí sami.</w:t>
      </w:r>
    </w:p>
    <w:p w:rsidR="00500724" w:rsidRDefault="00F30FB8">
      <w:pPr>
        <w:pStyle w:val="Zkladntext20"/>
        <w:framePr w:w="3878" w:h="8621" w:hSpace="280" w:vSpace="280" w:wrap="around" w:hAnchor="page" w:x="7259" w:y="169"/>
        <w:shd w:val="clear" w:color="auto" w:fill="auto"/>
        <w:spacing w:after="200" w:line="204" w:lineRule="auto"/>
        <w:ind w:firstLine="200"/>
        <w:rPr>
          <w:sz w:val="20"/>
          <w:szCs w:val="20"/>
        </w:rPr>
      </w:pPr>
      <w:r>
        <w:rPr>
          <w:i/>
          <w:iCs/>
          <w:sz w:val="20"/>
          <w:szCs w:val="20"/>
        </w:rPr>
        <w:t>Přeji Vám tedy, pane doktore, u nás dobré pochutnání — a Vašim pacientům raději více cognacu a méně trhání zubů!</w:t>
      </w:r>
    </w:p>
    <w:p w:rsidR="00500724" w:rsidRDefault="00F30FB8">
      <w:pPr>
        <w:pStyle w:val="Zkladntext20"/>
        <w:framePr w:w="3878" w:h="8621" w:hSpace="280" w:vSpace="280" w:wrap="around" w:hAnchor="page" w:x="7259" w:y="169"/>
        <w:shd w:val="clear" w:color="auto" w:fill="auto"/>
        <w:spacing w:line="230" w:lineRule="auto"/>
        <w:ind w:firstLine="0"/>
        <w:jc w:val="right"/>
        <w:rPr>
          <w:sz w:val="24"/>
          <w:szCs w:val="24"/>
        </w:rPr>
      </w:pPr>
      <w:r>
        <w:rPr>
          <w:i/>
          <w:iCs/>
          <w:sz w:val="20"/>
          <w:szCs w:val="20"/>
        </w:rPr>
        <w:t xml:space="preserve">Óám oddaný </w:t>
      </w:r>
      <w:r>
        <w:rPr>
          <w:rFonts w:ascii="Arial" w:eastAsia="Arial" w:hAnsi="Arial" w:cs="Arial"/>
          <w:i/>
          <w:iCs/>
          <w:sz w:val="24"/>
          <w:szCs w:val="24"/>
        </w:rPr>
        <w:t>^Dašata,</w:t>
      </w:r>
    </w:p>
    <w:p w:rsidR="00500724" w:rsidRDefault="00F30FB8">
      <w:pPr>
        <w:pStyle w:val="Zkladntext20"/>
        <w:framePr w:w="3878" w:h="8621" w:hSpace="280" w:vSpace="280" w:wrap="around" w:hAnchor="page" w:x="7259" w:y="169"/>
        <w:shd w:val="clear" w:color="auto" w:fill="auto"/>
        <w:spacing w:after="40" w:line="276" w:lineRule="auto"/>
        <w:ind w:left="1280" w:firstLine="0"/>
        <w:rPr>
          <w:sz w:val="20"/>
          <w:szCs w:val="20"/>
        </w:rPr>
      </w:pPr>
      <w:r>
        <w:rPr>
          <w:i/>
          <w:iCs/>
          <w:sz w:val="20"/>
          <w:szCs w:val="20"/>
        </w:rPr>
        <w:t xml:space="preserve">za restaurant Vašata a spol., Praha, </w:t>
      </w:r>
      <w:r>
        <w:rPr>
          <w:i/>
          <w:iCs/>
          <w:sz w:val="20"/>
          <w:szCs w:val="20"/>
        </w:rPr>
        <w:t>Václavské náměstí 16</w:t>
      </w:r>
    </w:p>
    <w:p w:rsidR="00500724" w:rsidRDefault="00F30FB8">
      <w:pPr>
        <w:pStyle w:val="Zkladntext20"/>
        <w:shd w:val="clear" w:color="auto" w:fill="auto"/>
        <w:spacing w:line="221" w:lineRule="auto"/>
        <w:ind w:firstLine="0"/>
        <w:sectPr w:rsidR="00500724">
          <w:footnotePr>
            <w:numFmt w:val="chicago"/>
            <w:numRestart w:val="eachPage"/>
          </w:footnotePr>
          <w:type w:val="continuous"/>
          <w:pgSz w:w="11909" w:h="16834"/>
          <w:pgMar w:top="1543" w:right="912" w:bottom="1146" w:left="557" w:header="0" w:footer="3" w:gutter="0"/>
          <w:cols w:space="720"/>
          <w:noEndnote/>
          <w:docGrid w:linePitch="360"/>
        </w:sectPr>
      </w:pPr>
      <w:r>
        <w:rPr>
          <w:noProof/>
        </w:rPr>
        <mc:AlternateContent>
          <mc:Choice Requires="wps">
            <w:drawing>
              <wp:anchor distT="6654800" distB="177800" distL="177800" distR="186690" simplePos="0" relativeHeight="125829426" behindDoc="0" locked="0" layoutInCell="1" allowOverlap="1">
                <wp:simplePos x="0" y="0"/>
                <wp:positionH relativeFrom="page">
                  <wp:posOffset>4608830</wp:posOffset>
                </wp:positionH>
                <wp:positionV relativeFrom="margin">
                  <wp:posOffset>6583680</wp:posOffset>
                </wp:positionV>
                <wp:extent cx="2453640" cy="2038985"/>
                <wp:effectExtent l="0" t="0" r="0" b="0"/>
                <wp:wrapSquare wrapText="bothSides"/>
                <wp:docPr id="49" name="Shape 49"/>
                <wp:cNvGraphicFramePr/>
                <a:graphic xmlns:a="http://schemas.openxmlformats.org/drawingml/2006/main">
                  <a:graphicData uri="http://schemas.microsoft.com/office/word/2010/wordprocessingShape">
                    <wps:wsp>
                      <wps:cNvSpPr txBox="1"/>
                      <wps:spPr>
                        <a:xfrm>
                          <a:off x="0" y="0"/>
                          <a:ext cx="2453640" cy="2038985"/>
                        </a:xfrm>
                        <a:prstGeom prst="rect">
                          <a:avLst/>
                        </a:prstGeom>
                        <a:noFill/>
                      </wps:spPr>
                      <wps:txbx>
                        <w:txbxContent>
                          <w:p w:rsidR="00500724" w:rsidRDefault="00F30FB8">
                            <w:pPr>
                              <w:pStyle w:val="Zkladntext80"/>
                              <w:shd w:val="clear" w:color="auto" w:fill="auto"/>
                              <w:spacing w:line="293" w:lineRule="auto"/>
                              <w:ind w:left="280"/>
                              <w:rPr>
                                <w:sz w:val="24"/>
                                <w:szCs w:val="24"/>
                              </w:rPr>
                            </w:pPr>
                            <w:r>
                              <w:rPr>
                                <w:b w:val="0"/>
                                <w:bCs w:val="0"/>
                                <w:i/>
                                <w:iCs/>
                                <w:sz w:val="24"/>
                                <w:szCs w:val="24"/>
                              </w:rPr>
                              <w:t>Ne/zajimavějši po/edni četba!</w:t>
                            </w:r>
                          </w:p>
                          <w:p w:rsidR="00500724" w:rsidRDefault="00F30FB8">
                            <w:pPr>
                              <w:pStyle w:val="Zkladntext20"/>
                              <w:shd w:val="clear" w:color="auto" w:fill="auto"/>
                              <w:spacing w:after="100" w:line="221" w:lineRule="auto"/>
                              <w:ind w:firstLine="200"/>
                              <w:rPr>
                                <w:sz w:val="20"/>
                                <w:szCs w:val="20"/>
                              </w:rPr>
                            </w:pPr>
                            <w:r>
                              <w:rPr>
                                <w:i/>
                                <w:iCs/>
                                <w:sz w:val="20"/>
                                <w:szCs w:val="20"/>
                              </w:rPr>
                              <w:t>24 kapitol! Jedna skvělejší než druhá! Je to próza — ale až ji ochutnáte, řeknete zBáseňcl Je to 24 jídel na V ašatově jídel</w:t>
                            </w:r>
                            <w:r>
                              <w:rPr>
                                <w:i/>
                                <w:iCs/>
                                <w:sz w:val="20"/>
                                <w:szCs w:val="20"/>
                              </w:rPr>
                              <w:softHyphen/>
                              <w:t>ním lístku. Ai si dáte cokoli — vše je na čajovém</w:t>
                            </w:r>
                            <w:r>
                              <w:rPr>
                                <w:i/>
                                <w:iCs/>
                                <w:sz w:val="20"/>
                                <w:szCs w:val="20"/>
                              </w:rPr>
                              <w:t xml:space="preserve"> másle nebo na čistém sádle. Chuť by pochválil sám Brillant-Savarin a vy</w:t>
                            </w:r>
                            <w:r>
                              <w:rPr>
                                <w:i/>
                                <w:iCs/>
                                <w:sz w:val="20"/>
                                <w:szCs w:val="20"/>
                              </w:rPr>
                              <w:softHyphen/>
                              <w:t>datnost sám Gargantua! Nuže — je pro Vás prostřeno — přijďte!</w:t>
                            </w:r>
                          </w:p>
                          <w:p w:rsidR="00500724" w:rsidRDefault="00F30FB8">
                            <w:pPr>
                              <w:pStyle w:val="Jin0"/>
                              <w:shd w:val="clear" w:color="auto" w:fill="auto"/>
                              <w:spacing w:after="60" w:line="269" w:lineRule="auto"/>
                              <w:ind w:firstLine="0"/>
                              <w:jc w:val="left"/>
                              <w:rPr>
                                <w:sz w:val="26"/>
                                <w:szCs w:val="26"/>
                              </w:rPr>
                            </w:pPr>
                            <w:r>
                              <w:rPr>
                                <w:rFonts w:ascii="Arial" w:eastAsia="Arial" w:hAnsi="Arial" w:cs="Arial"/>
                                <w:b/>
                                <w:bCs/>
                                <w:sz w:val="26"/>
                                <w:szCs w:val="26"/>
                              </w:rPr>
                              <w:t>VAŠATA a spol., vzorný plzeň</w:t>
                            </w:r>
                            <w:r>
                              <w:rPr>
                                <w:rFonts w:ascii="Arial" w:eastAsia="Arial" w:hAnsi="Arial" w:cs="Arial"/>
                                <w:b/>
                                <w:bCs/>
                                <w:sz w:val="26"/>
                                <w:szCs w:val="26"/>
                              </w:rPr>
                              <w:softHyphen/>
                              <w:t>ský restaurant a automat, Praha II, Václavské nám. 16</w:t>
                            </w:r>
                          </w:p>
                        </w:txbxContent>
                      </wps:txbx>
                      <wps:bodyPr lIns="0" tIns="0" rIns="0" bIns="0">
                        <a:spAutoFit/>
                      </wps:bodyPr>
                    </wps:wsp>
                  </a:graphicData>
                </a:graphic>
              </wp:anchor>
            </w:drawing>
          </mc:Choice>
          <mc:Fallback>
            <w:pict>
              <v:shape id="_x0000_s1075" type="#_x0000_t202" style="position:absolute;margin-left:362.89999999999998pt;margin-top:518.39999999999998pt;width:193.19999999999999pt;height:160.55000000000001pt;z-index:-125829327;mso-wrap-distance-left:14.pt;mso-wrap-distance-top:524.pt;mso-wrap-distance-right:14.699999999999999pt;mso-wrap-distance-bottom:14.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0" w:line="293" w:lineRule="auto"/>
                        <w:ind w:left="280" w:right="0" w:firstLine="0"/>
                        <w:jc w:val="left"/>
                        <w:rPr>
                          <w:sz w:val="24"/>
                          <w:szCs w:val="24"/>
                        </w:rPr>
                      </w:pPr>
                      <w:r>
                        <w:rPr>
                          <w:b w:val="0"/>
                          <w:bCs w:val="0"/>
                          <w:i/>
                          <w:iCs/>
                          <w:color w:val="000000"/>
                          <w:spacing w:val="0"/>
                          <w:w w:val="100"/>
                          <w:position w:val="0"/>
                          <w:sz w:val="24"/>
                          <w:szCs w:val="24"/>
                          <w:shd w:val="clear" w:color="auto" w:fill="auto"/>
                          <w:lang w:val="cs-CZ" w:eastAsia="cs-CZ" w:bidi="cs-CZ"/>
                        </w:rPr>
                        <w:t>Ne/zajimavějši po/edni četba!</w:t>
                      </w:r>
                    </w:p>
                    <w:p>
                      <w:pPr>
                        <w:pStyle w:val="Style67"/>
                        <w:keepNext w:val="0"/>
                        <w:keepLines w:val="0"/>
                        <w:widowControl w:val="0"/>
                        <w:shd w:val="clear" w:color="auto" w:fill="auto"/>
                        <w:bidi w:val="0"/>
                        <w:spacing w:before="0" w:after="100" w:line="221" w:lineRule="auto"/>
                        <w:ind w:left="0" w:right="0" w:firstLine="200"/>
                        <w:rPr>
                          <w:sz w:val="20"/>
                          <w:szCs w:val="20"/>
                        </w:rPr>
                      </w:pPr>
                      <w:r>
                        <w:rPr>
                          <w:i/>
                          <w:iCs/>
                          <w:color w:val="000000"/>
                          <w:spacing w:val="0"/>
                          <w:w w:val="100"/>
                          <w:position w:val="0"/>
                          <w:sz w:val="20"/>
                          <w:szCs w:val="20"/>
                          <w:shd w:val="clear" w:color="auto" w:fill="auto"/>
                          <w:lang w:val="cs-CZ" w:eastAsia="cs-CZ" w:bidi="cs-CZ"/>
                        </w:rPr>
                        <w:t>24 kapitol! Jedna skvělejší než druhá! Je to próza — ale až ji ochutnáte, řeknete zBáseňcl Je to 24 jídel na V ašatově jídel</w:t>
                        <w:softHyphen/>
                        <w:t>ním lístku. Ai si dáte cokoli — vše je na čajovém másle nebo na čistém sádle. Chuť by pochválil sám Brillant-Savarin a vy</w:t>
                        <w:softHyphen/>
                        <w:t>datnost sám Gargantua! Nuže — je pro Vás prostřeno — přijďte!</w:t>
                      </w:r>
                    </w:p>
                    <w:p>
                      <w:pPr>
                        <w:pStyle w:val="Style12"/>
                        <w:keepNext w:val="0"/>
                        <w:keepLines w:val="0"/>
                        <w:widowControl w:val="0"/>
                        <w:shd w:val="clear" w:color="auto" w:fill="auto"/>
                        <w:bidi w:val="0"/>
                        <w:spacing w:before="0" w:after="60" w:line="269" w:lineRule="auto"/>
                        <w:ind w:left="0" w:right="0" w:firstLine="0"/>
                        <w:jc w:val="left"/>
                        <w:rPr>
                          <w:sz w:val="26"/>
                          <w:szCs w:val="26"/>
                        </w:rPr>
                      </w:pPr>
                      <w:r>
                        <w:rPr>
                          <w:rFonts w:ascii="Arial" w:eastAsia="Arial" w:hAnsi="Arial" w:cs="Arial"/>
                          <w:b/>
                          <w:bCs/>
                          <w:color w:val="000000"/>
                          <w:spacing w:val="0"/>
                          <w:w w:val="100"/>
                          <w:position w:val="0"/>
                          <w:sz w:val="26"/>
                          <w:szCs w:val="26"/>
                          <w:shd w:val="clear" w:color="auto" w:fill="auto"/>
                          <w:lang w:val="cs-CZ" w:eastAsia="cs-CZ" w:bidi="cs-CZ"/>
                        </w:rPr>
                        <w:t>VAŠATA a spol., vzorný plzeň</w:t>
                        <w:softHyphen/>
                        <w:t>ský restaurant a automat, Praha II, Václavské nám. 16</w:t>
                      </w:r>
                    </w:p>
                  </w:txbxContent>
                </v:textbox>
                <w10:wrap type="square" anchorx="page" anchory="margin"/>
              </v:shape>
            </w:pict>
          </mc:Fallback>
        </mc:AlternateContent>
      </w:r>
      <w:r>
        <w:rPr>
          <w:noProof/>
        </w:rPr>
        <mc:AlternateContent>
          <mc:Choice Requires="wps">
            <w:drawing>
              <wp:anchor distT="88900" distB="88900" distL="88900" distR="88900" simplePos="0" relativeHeight="125829428" behindDoc="0" locked="0" layoutInCell="1" allowOverlap="1">
                <wp:simplePos x="0" y="0"/>
                <wp:positionH relativeFrom="page">
                  <wp:posOffset>530225</wp:posOffset>
                </wp:positionH>
                <wp:positionV relativeFrom="margin">
                  <wp:posOffset>5581015</wp:posOffset>
                </wp:positionV>
                <wp:extent cx="1972310" cy="3100070"/>
                <wp:effectExtent l="0" t="0" r="0" b="0"/>
                <wp:wrapSquare wrapText="right"/>
                <wp:docPr id="51" name="Shape 51"/>
                <wp:cNvGraphicFramePr/>
                <a:graphic xmlns:a="http://schemas.openxmlformats.org/drawingml/2006/main">
                  <a:graphicData uri="http://schemas.microsoft.com/office/word/2010/wordprocessingShape">
                    <wps:wsp>
                      <wps:cNvSpPr txBox="1"/>
                      <wps:spPr>
                        <a:xfrm>
                          <a:off x="0" y="0"/>
                          <a:ext cx="1972310" cy="3100070"/>
                        </a:xfrm>
                        <a:prstGeom prst="rect">
                          <a:avLst/>
                        </a:prstGeom>
                        <a:noFill/>
                      </wps:spPr>
                      <wps:txbx>
                        <w:txbxContent>
                          <w:p w:rsidR="00500724" w:rsidRDefault="00F30FB8">
                            <w:pPr>
                              <w:pStyle w:val="Jin0"/>
                              <w:shd w:val="clear" w:color="auto" w:fill="auto"/>
                              <w:ind w:left="880" w:firstLine="0"/>
                              <w:jc w:val="left"/>
                              <w:rPr>
                                <w:sz w:val="70"/>
                                <w:szCs w:val="70"/>
                              </w:rPr>
                            </w:pPr>
                            <w:r>
                              <w:rPr>
                                <w:rFonts w:ascii="Calibri" w:eastAsia="Calibri" w:hAnsi="Calibri" w:cs="Calibri"/>
                                <w:b/>
                                <w:bCs/>
                                <w:w w:val="70"/>
                                <w:sz w:val="70"/>
                                <w:szCs w:val="70"/>
                              </w:rPr>
                              <w:t>Virtuos</w:t>
                            </w:r>
                          </w:p>
                          <w:p w:rsidR="00500724" w:rsidRDefault="00F30FB8">
                            <w:pPr>
                              <w:pStyle w:val="Jin0"/>
                              <w:shd w:val="clear" w:color="auto" w:fill="auto"/>
                              <w:spacing w:line="190" w:lineRule="auto"/>
                              <w:ind w:firstLine="0"/>
                              <w:jc w:val="center"/>
                              <w:rPr>
                                <w:sz w:val="44"/>
                                <w:szCs w:val="44"/>
                              </w:rPr>
                            </w:pPr>
                            <w:r>
                              <w:rPr>
                                <w:rFonts w:ascii="Calibri" w:eastAsia="Calibri" w:hAnsi="Calibri" w:cs="Calibri"/>
                                <w:b/>
                                <w:bCs/>
                                <w:w w:val="70"/>
                                <w:sz w:val="44"/>
                                <w:szCs w:val="44"/>
                              </w:rPr>
                              <w:t>na jitrnice!</w:t>
                            </w:r>
                          </w:p>
                          <w:p w:rsidR="00500724" w:rsidRDefault="00F30FB8">
                            <w:pPr>
                              <w:pStyle w:val="Zkladntext1"/>
                              <w:shd w:val="clear" w:color="auto" w:fill="auto"/>
                              <w:spacing w:line="166" w:lineRule="auto"/>
                              <w:ind w:firstLine="0"/>
                              <w:rPr>
                                <w:sz w:val="18"/>
                                <w:szCs w:val="18"/>
                              </w:rPr>
                            </w:pPr>
                            <w:r>
                              <w:rPr>
                                <w:rFonts w:ascii="Arial" w:eastAsia="Arial" w:hAnsi="Arial" w:cs="Arial"/>
                                <w:b/>
                                <w:bCs/>
                                <w:sz w:val="22"/>
                                <w:szCs w:val="22"/>
                              </w:rPr>
                              <w:t xml:space="preserve">U </w:t>
                            </w:r>
                            <w:r>
                              <w:rPr>
                                <w:b/>
                                <w:bCs/>
                                <w:sz w:val="18"/>
                                <w:szCs w:val="18"/>
                              </w:rPr>
                              <w:t xml:space="preserve">nás na </w:t>
                            </w:r>
                            <w:r>
                              <w:rPr>
                                <w:b/>
                                <w:bCs/>
                                <w:sz w:val="18"/>
                                <w:szCs w:val="18"/>
                              </w:rPr>
                              <w:t>Mladoboleslavsku požíval zvláštní úcty řezník Vinš. Po celou se</w:t>
                            </w:r>
                            <w:r>
                              <w:rPr>
                                <w:b/>
                                <w:bCs/>
                                <w:sz w:val="18"/>
                                <w:szCs w:val="18"/>
                              </w:rPr>
                              <w:softHyphen/>
                              <w:t>zónu zabijaček byl na roztrhání. Pan farář, lesní, důchodní si ho zamlouvali už od léta.</w:t>
                            </w:r>
                          </w:p>
                          <w:p w:rsidR="00500724" w:rsidRDefault="00F30FB8">
                            <w:pPr>
                              <w:pStyle w:val="Zkladntext1"/>
                              <w:shd w:val="clear" w:color="auto" w:fill="auto"/>
                              <w:spacing w:line="175" w:lineRule="auto"/>
                              <w:ind w:firstLine="0"/>
                              <w:rPr>
                                <w:sz w:val="18"/>
                                <w:szCs w:val="18"/>
                              </w:rPr>
                            </w:pPr>
                            <w:r>
                              <w:rPr>
                                <w:b/>
                                <w:bCs/>
                                <w:sz w:val="18"/>
                                <w:szCs w:val="18"/>
                              </w:rPr>
                              <w:t>Když dělal jitrnice, nikdo mu do toho nesměl ceknout. Udílel povely jako diktátor: »Marjánku!« — »Sůl!«</w:t>
                            </w:r>
                            <w:r>
                              <w:rPr>
                                <w:b/>
                                <w:bCs/>
                                <w:sz w:val="18"/>
                                <w:szCs w:val="18"/>
                              </w:rPr>
                              <w:t xml:space="preserve"> — »Pepř!« To byly ale pak jitrnice! Kaž</w:t>
                            </w:r>
                            <w:r>
                              <w:rPr>
                                <w:b/>
                                <w:bCs/>
                                <w:sz w:val="18"/>
                                <w:szCs w:val="18"/>
                              </w:rPr>
                              <w:softHyphen/>
                              <w:t xml:space="preserve">dý jsme se olizoval až za ušima! Ten řezník na Mladoboleslavsku už není. </w:t>
                            </w:r>
                            <w:r>
                              <w:rPr>
                                <w:rFonts w:ascii="Arial" w:eastAsia="Arial" w:hAnsi="Arial" w:cs="Arial"/>
                                <w:b/>
                                <w:bCs/>
                                <w:sz w:val="22"/>
                                <w:szCs w:val="22"/>
                                <w:lang w:val="en-US" w:eastAsia="en-US" w:bidi="en-US"/>
                              </w:rPr>
                              <w:t xml:space="preserve">At </w:t>
                            </w:r>
                            <w:r>
                              <w:rPr>
                                <w:b/>
                                <w:bCs/>
                                <w:sz w:val="18"/>
                                <w:szCs w:val="18"/>
                              </w:rPr>
                              <w:t>se na mne pantátové nezlobí, že jsem ho přetáhl do Prahy. Každé úterý ho zavru do chladímy. Dělá tam »svý divy«. Má k ruce 3 řezníky. Ohcet</w:t>
                            </w:r>
                            <w:r>
                              <w:rPr>
                                <w:b/>
                                <w:bCs/>
                                <w:sz w:val="18"/>
                                <w:szCs w:val="18"/>
                              </w:rPr>
                              <w:t>e-Ii poznat, jak pikantně chut</w:t>
                            </w:r>
                            <w:r>
                              <w:rPr>
                                <w:b/>
                                <w:bCs/>
                                <w:sz w:val="18"/>
                                <w:szCs w:val="18"/>
                              </w:rPr>
                              <w:softHyphen/>
                              <w:t>nají výtvory tohoto jaternicového vir</w:t>
                            </w:r>
                            <w:r>
                              <w:rPr>
                                <w:b/>
                                <w:bCs/>
                                <w:sz w:val="18"/>
                                <w:szCs w:val="18"/>
                              </w:rPr>
                              <w:softHyphen/>
                              <w:t>tuosa, poručte si je u nás v automatu nebo restauraci. DNES — v úterý — a každé příští úterý!</w:t>
                            </w:r>
                          </w:p>
                          <w:p w:rsidR="00500724" w:rsidRDefault="00F30FB8">
                            <w:pPr>
                              <w:pStyle w:val="Jin0"/>
                              <w:shd w:val="clear" w:color="auto" w:fill="auto"/>
                              <w:spacing w:line="187" w:lineRule="auto"/>
                              <w:ind w:firstLine="0"/>
                              <w:jc w:val="center"/>
                              <w:rPr>
                                <w:sz w:val="32"/>
                                <w:szCs w:val="32"/>
                              </w:rPr>
                            </w:pPr>
                            <w:r>
                              <w:rPr>
                                <w:rFonts w:ascii="Arial" w:eastAsia="Arial" w:hAnsi="Arial" w:cs="Arial"/>
                                <w:b/>
                                <w:bCs/>
                                <w:sz w:val="32"/>
                                <w:szCs w:val="32"/>
                              </w:rPr>
                              <w:t>VAŠATA</w:t>
                            </w:r>
                          </w:p>
                          <w:p w:rsidR="00500724" w:rsidRDefault="00F30FB8">
                            <w:pPr>
                              <w:pStyle w:val="Zkladntext1"/>
                              <w:shd w:val="clear" w:color="auto" w:fill="auto"/>
                              <w:spacing w:line="178" w:lineRule="auto"/>
                              <w:ind w:firstLine="0"/>
                              <w:rPr>
                                <w:sz w:val="18"/>
                                <w:szCs w:val="18"/>
                              </w:rPr>
                            </w:pPr>
                            <w:r>
                              <w:rPr>
                                <w:b/>
                                <w:bCs/>
                                <w:sz w:val="18"/>
                                <w:szCs w:val="18"/>
                              </w:rPr>
                              <w:t>Praha, Václavské nám. 16</w:t>
                            </w:r>
                          </w:p>
                        </w:txbxContent>
                      </wps:txbx>
                      <wps:bodyPr lIns="0" tIns="0" rIns="0" bIns="0">
                        <a:spAutoFit/>
                      </wps:bodyPr>
                    </wps:wsp>
                  </a:graphicData>
                </a:graphic>
              </wp:anchor>
            </w:drawing>
          </mc:Choice>
          <mc:Fallback>
            <w:pict>
              <v:shape id="_x0000_s1077" type="#_x0000_t202" style="position:absolute;margin-left:41.75pt;margin-top:439.44999999999999pt;width:155.30000000000001pt;height:244.09999999999999pt;z-index:-125829325;mso-wrap-distance-left:7.pt;mso-wrap-distance-top:7.pt;mso-wrap-distance-right:7.pt;mso-wrap-distance-bottom:7.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880" w:right="0" w:firstLine="0"/>
                        <w:jc w:val="left"/>
                        <w:rPr>
                          <w:sz w:val="70"/>
                          <w:szCs w:val="70"/>
                        </w:rPr>
                      </w:pPr>
                      <w:r>
                        <w:rPr>
                          <w:rFonts w:ascii="Calibri" w:eastAsia="Calibri" w:hAnsi="Calibri" w:cs="Calibri"/>
                          <w:b/>
                          <w:bCs/>
                          <w:color w:val="000000"/>
                          <w:spacing w:val="0"/>
                          <w:w w:val="70"/>
                          <w:position w:val="0"/>
                          <w:sz w:val="70"/>
                          <w:szCs w:val="70"/>
                          <w:shd w:val="clear" w:color="auto" w:fill="auto"/>
                          <w:lang w:val="cs-CZ" w:eastAsia="cs-CZ" w:bidi="cs-CZ"/>
                        </w:rPr>
                        <w:t>Virtuos</w:t>
                      </w:r>
                    </w:p>
                    <w:p>
                      <w:pPr>
                        <w:pStyle w:val="Style12"/>
                        <w:keepNext w:val="0"/>
                        <w:keepLines w:val="0"/>
                        <w:widowControl w:val="0"/>
                        <w:shd w:val="clear" w:color="auto" w:fill="auto"/>
                        <w:bidi w:val="0"/>
                        <w:spacing w:before="0" w:after="0" w:line="190" w:lineRule="auto"/>
                        <w:ind w:left="0" w:right="0" w:firstLine="0"/>
                        <w:jc w:val="center"/>
                        <w:rPr>
                          <w:sz w:val="44"/>
                          <w:szCs w:val="44"/>
                        </w:rPr>
                      </w:pPr>
                      <w:r>
                        <w:rPr>
                          <w:rFonts w:ascii="Calibri" w:eastAsia="Calibri" w:hAnsi="Calibri" w:cs="Calibri"/>
                          <w:b/>
                          <w:bCs/>
                          <w:color w:val="000000"/>
                          <w:spacing w:val="0"/>
                          <w:w w:val="70"/>
                          <w:position w:val="0"/>
                          <w:sz w:val="44"/>
                          <w:szCs w:val="44"/>
                          <w:shd w:val="clear" w:color="auto" w:fill="auto"/>
                          <w:lang w:val="cs-CZ" w:eastAsia="cs-CZ" w:bidi="cs-CZ"/>
                        </w:rPr>
                        <w:t>na jitrnice!</w:t>
                      </w:r>
                    </w:p>
                    <w:p>
                      <w:pPr>
                        <w:pStyle w:val="Style18"/>
                        <w:keepNext w:val="0"/>
                        <w:keepLines w:val="0"/>
                        <w:widowControl w:val="0"/>
                        <w:shd w:val="clear" w:color="auto" w:fill="auto"/>
                        <w:bidi w:val="0"/>
                        <w:spacing w:before="0" w:after="0" w:line="166" w:lineRule="auto"/>
                        <w:ind w:left="0" w:right="0" w:firstLine="0"/>
                        <w:rPr>
                          <w:sz w:val="18"/>
                          <w:szCs w:val="18"/>
                        </w:rPr>
                      </w:pPr>
                      <w:r>
                        <w:rPr>
                          <w:rFonts w:ascii="Arial" w:eastAsia="Arial" w:hAnsi="Arial" w:cs="Arial"/>
                          <w:b/>
                          <w:bCs/>
                          <w:color w:val="000000"/>
                          <w:spacing w:val="0"/>
                          <w:w w:val="100"/>
                          <w:position w:val="0"/>
                          <w:sz w:val="22"/>
                          <w:szCs w:val="22"/>
                          <w:shd w:val="clear" w:color="auto" w:fill="auto"/>
                          <w:lang w:val="cs-CZ" w:eastAsia="cs-CZ" w:bidi="cs-CZ"/>
                        </w:rPr>
                        <w:t xml:space="preserve">U </w:t>
                      </w:r>
                      <w:r>
                        <w:rPr>
                          <w:b/>
                          <w:bCs/>
                          <w:color w:val="000000"/>
                          <w:spacing w:val="0"/>
                          <w:w w:val="100"/>
                          <w:position w:val="0"/>
                          <w:sz w:val="18"/>
                          <w:szCs w:val="18"/>
                          <w:shd w:val="clear" w:color="auto" w:fill="auto"/>
                          <w:lang w:val="cs-CZ" w:eastAsia="cs-CZ" w:bidi="cs-CZ"/>
                        </w:rPr>
                        <w:t>nás na Mladoboleslavsku požíval zvláštní úcty řezník Vinš. Po celou se</w:t>
                        <w:softHyphen/>
                        <w:t>zónu zabijaček byl na roztrhání. Pan farář, lesní, důchodní si ho zamlouvali už od léta.</w:t>
                      </w:r>
                    </w:p>
                    <w:p>
                      <w:pPr>
                        <w:pStyle w:val="Style18"/>
                        <w:keepNext w:val="0"/>
                        <w:keepLines w:val="0"/>
                        <w:widowControl w:val="0"/>
                        <w:shd w:val="clear" w:color="auto" w:fill="auto"/>
                        <w:bidi w:val="0"/>
                        <w:spacing w:before="0" w:after="0" w:line="175" w:lineRule="auto"/>
                        <w:ind w:left="0" w:right="0" w:firstLine="0"/>
                        <w:rPr>
                          <w:sz w:val="18"/>
                          <w:szCs w:val="18"/>
                        </w:rPr>
                      </w:pPr>
                      <w:r>
                        <w:rPr>
                          <w:b/>
                          <w:bCs/>
                          <w:color w:val="000000"/>
                          <w:spacing w:val="0"/>
                          <w:w w:val="100"/>
                          <w:position w:val="0"/>
                          <w:sz w:val="18"/>
                          <w:szCs w:val="18"/>
                          <w:shd w:val="clear" w:color="auto" w:fill="auto"/>
                          <w:lang w:val="cs-CZ" w:eastAsia="cs-CZ" w:bidi="cs-CZ"/>
                        </w:rPr>
                        <w:t>Když dělal jitrnice, nikdo mu do toho nesměl ceknout. Udílel povely jako diktátor: »Marjánku!« — »Sůl!« — »Pepř!« To byly ale pak jitrnice! Kaž</w:t>
                        <w:softHyphen/>
                        <w:t xml:space="preserve">dý jsme se olizoval až za ušima! Ten řezník na Mladoboleslavsku už není. </w:t>
                      </w:r>
                      <w:r>
                        <w:rPr>
                          <w:rFonts w:ascii="Arial" w:eastAsia="Arial" w:hAnsi="Arial" w:cs="Arial"/>
                          <w:b/>
                          <w:bCs/>
                          <w:color w:val="000000"/>
                          <w:spacing w:val="0"/>
                          <w:w w:val="100"/>
                          <w:position w:val="0"/>
                          <w:sz w:val="22"/>
                          <w:szCs w:val="22"/>
                          <w:shd w:val="clear" w:color="auto" w:fill="auto"/>
                          <w:lang w:val="en-US" w:eastAsia="en-US" w:bidi="en-US"/>
                        </w:rPr>
                        <w:t xml:space="preserve">At </w:t>
                      </w:r>
                      <w:r>
                        <w:rPr>
                          <w:b/>
                          <w:bCs/>
                          <w:color w:val="000000"/>
                          <w:spacing w:val="0"/>
                          <w:w w:val="100"/>
                          <w:position w:val="0"/>
                          <w:sz w:val="18"/>
                          <w:szCs w:val="18"/>
                          <w:shd w:val="clear" w:color="auto" w:fill="auto"/>
                          <w:lang w:val="cs-CZ" w:eastAsia="cs-CZ" w:bidi="cs-CZ"/>
                        </w:rPr>
                        <w:t>se na mne pantátové nezlobí, že jsem ho přetáhl do Prahy. Každé úterý ho zavru do chladímy. Dělá tam »svý divy«. Má k ruce 3 řezníky. Ohcete-Ii poznat, jak pikantně chut</w:t>
                        <w:softHyphen/>
                        <w:t>nají výtvory tohoto jaternicového vir</w:t>
                        <w:softHyphen/>
                        <w:t>tuosa, poručte si je u nás v automatu nebo restauraci. DNES — v úterý — a každé příští úterý!</w:t>
                      </w:r>
                    </w:p>
                    <w:p>
                      <w:pPr>
                        <w:pStyle w:val="Style12"/>
                        <w:keepNext w:val="0"/>
                        <w:keepLines w:val="0"/>
                        <w:widowControl w:val="0"/>
                        <w:shd w:val="clear" w:color="auto" w:fill="auto"/>
                        <w:bidi w:val="0"/>
                        <w:spacing w:before="0" w:after="0" w:line="187" w:lineRule="auto"/>
                        <w:ind w:left="0" w:right="0" w:firstLine="0"/>
                        <w:jc w:val="center"/>
                        <w:rPr>
                          <w:sz w:val="32"/>
                          <w:szCs w:val="32"/>
                        </w:rPr>
                      </w:pPr>
                      <w:r>
                        <w:rPr>
                          <w:rFonts w:ascii="Arial" w:eastAsia="Arial" w:hAnsi="Arial" w:cs="Arial"/>
                          <w:b/>
                          <w:bCs/>
                          <w:color w:val="000000"/>
                          <w:spacing w:val="0"/>
                          <w:w w:val="100"/>
                          <w:position w:val="0"/>
                          <w:sz w:val="32"/>
                          <w:szCs w:val="32"/>
                          <w:shd w:val="clear" w:color="auto" w:fill="auto"/>
                          <w:lang w:val="cs-CZ" w:eastAsia="cs-CZ" w:bidi="cs-CZ"/>
                        </w:rPr>
                        <w:t>VAŠATA</w:t>
                      </w:r>
                    </w:p>
                    <w:p>
                      <w:pPr>
                        <w:pStyle w:val="Style18"/>
                        <w:keepNext w:val="0"/>
                        <w:keepLines w:val="0"/>
                        <w:widowControl w:val="0"/>
                        <w:shd w:val="clear" w:color="auto" w:fill="auto"/>
                        <w:bidi w:val="0"/>
                        <w:spacing w:before="0" w:after="0" w:line="178" w:lineRule="auto"/>
                        <w:ind w:left="0" w:right="0" w:firstLine="0"/>
                        <w:rPr>
                          <w:sz w:val="18"/>
                          <w:szCs w:val="18"/>
                        </w:rPr>
                      </w:pPr>
                      <w:r>
                        <w:rPr>
                          <w:b/>
                          <w:bCs/>
                          <w:color w:val="000000"/>
                          <w:spacing w:val="0"/>
                          <w:w w:val="100"/>
                          <w:position w:val="0"/>
                          <w:sz w:val="18"/>
                          <w:szCs w:val="18"/>
                          <w:shd w:val="clear" w:color="auto" w:fill="auto"/>
                          <w:lang w:val="cs-CZ" w:eastAsia="cs-CZ" w:bidi="cs-CZ"/>
                        </w:rPr>
                        <w:t>Praha, Václavské nám. 16</w:t>
                      </w:r>
                    </w:p>
                  </w:txbxContent>
                </v:textbox>
                <w10:wrap type="square" side="right" anchorx="page" anchory="margin"/>
              </v:shape>
            </w:pict>
          </mc:Fallback>
        </mc:AlternateContent>
      </w:r>
      <w:r>
        <w:t>Pravý reklamní odborník mů</w:t>
      </w:r>
      <w:r>
        <w:softHyphen/>
        <w:t xml:space="preserve">že psát dobrou reklamu jen tehdy, </w:t>
      </w:r>
      <w:r>
        <w:t>považuje-li sebe sama za zákazníka. Nuže — náš úkol byl jednoduchý. Pekli jsme si: »Co by se nám u Va- šaty líbilo, kdybychom byli konsumenty?« A to, co se nám líbilo, jsme prostě v no</w:t>
      </w:r>
      <w:r>
        <w:softHyphen/>
        <w:t>vinách oznámili čtenářům. Nikdy jsme si nic nepři- mysleli. Lež má krát</w:t>
      </w:r>
      <w:r>
        <w:t>ké nohy.</w:t>
      </w:r>
    </w:p>
    <w:p w:rsidR="00500724" w:rsidRDefault="00500724">
      <w:pPr>
        <w:spacing w:line="206" w:lineRule="exact"/>
        <w:rPr>
          <w:sz w:val="17"/>
          <w:szCs w:val="17"/>
        </w:rPr>
      </w:pPr>
    </w:p>
    <w:p w:rsidR="00500724" w:rsidRDefault="00500724">
      <w:pPr>
        <w:spacing w:line="14" w:lineRule="exact"/>
        <w:sectPr w:rsidR="00500724">
          <w:footnotePr>
            <w:numFmt w:val="chicago"/>
            <w:numRestart w:val="eachPage"/>
          </w:footnotePr>
          <w:type w:val="continuous"/>
          <w:pgSz w:w="11909" w:h="16834"/>
          <w:pgMar w:top="1424" w:right="0" w:bottom="883" w:left="0" w:header="0" w:footer="3" w:gutter="0"/>
          <w:cols w:space="720"/>
          <w:noEndnote/>
          <w:docGrid w:linePitch="360"/>
        </w:sectPr>
      </w:pPr>
    </w:p>
    <w:p w:rsidR="00500724" w:rsidRDefault="00500724">
      <w:pPr>
        <w:spacing w:after="197" w:line="14" w:lineRule="exact"/>
      </w:pPr>
    </w:p>
    <w:p w:rsidR="00500724" w:rsidRDefault="00500724">
      <w:pPr>
        <w:spacing w:line="14" w:lineRule="exact"/>
        <w:sectPr w:rsidR="00500724">
          <w:footnotePr>
            <w:numFmt w:val="chicago"/>
            <w:numRestart w:val="eachPage"/>
          </w:footnotePr>
          <w:type w:val="continuous"/>
          <w:pgSz w:w="11909" w:h="16834"/>
          <w:pgMar w:top="1424" w:right="655" w:bottom="883" w:left="799"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430" behindDoc="0" locked="0" layoutInCell="1" allowOverlap="1">
                <wp:simplePos x="0" y="0"/>
                <wp:positionH relativeFrom="page">
                  <wp:posOffset>349250</wp:posOffset>
                </wp:positionH>
                <wp:positionV relativeFrom="paragraph">
                  <wp:posOffset>1295400</wp:posOffset>
                </wp:positionV>
                <wp:extent cx="1649095" cy="2767330"/>
                <wp:effectExtent l="0" t="0" r="0" b="0"/>
                <wp:wrapSquare wrapText="right"/>
                <wp:docPr id="53" name="Shape 53"/>
                <wp:cNvGraphicFramePr/>
                <a:graphic xmlns:a="http://schemas.openxmlformats.org/drawingml/2006/main">
                  <a:graphicData uri="http://schemas.microsoft.com/office/word/2010/wordprocessingShape">
                    <wps:wsp>
                      <wps:cNvSpPr txBox="1"/>
                      <wps:spPr>
                        <a:xfrm>
                          <a:off x="0" y="0"/>
                          <a:ext cx="1649095" cy="2767330"/>
                        </a:xfrm>
                        <a:prstGeom prst="rect">
                          <a:avLst/>
                        </a:prstGeom>
                        <a:noFill/>
                      </wps:spPr>
                      <wps:txbx>
                        <w:txbxContent>
                          <w:p w:rsidR="00500724" w:rsidRDefault="00F30FB8">
                            <w:pPr>
                              <w:pStyle w:val="Jin0"/>
                              <w:shd w:val="clear" w:color="auto" w:fill="auto"/>
                              <w:spacing w:after="60"/>
                              <w:ind w:firstLine="0"/>
                              <w:rPr>
                                <w:sz w:val="26"/>
                                <w:szCs w:val="26"/>
                              </w:rPr>
                            </w:pPr>
                            <w:r>
                              <w:rPr>
                                <w:rFonts w:ascii="Arial" w:eastAsia="Arial" w:hAnsi="Arial" w:cs="Arial"/>
                                <w:i/>
                                <w:iCs/>
                                <w:sz w:val="26"/>
                                <w:szCs w:val="26"/>
                              </w:rPr>
                              <w:t xml:space="preserve">MATE </w:t>
                            </w:r>
                            <w:r>
                              <w:rPr>
                                <w:rFonts w:ascii="Arial" w:eastAsia="Arial" w:hAnsi="Arial" w:cs="Arial"/>
                                <w:i/>
                                <w:iCs/>
                                <w:smallCaps/>
                                <w:sz w:val="32"/>
                                <w:szCs w:val="32"/>
                              </w:rPr>
                              <w:t xml:space="preserve">zdravou </w:t>
                            </w:r>
                            <w:r>
                              <w:rPr>
                                <w:rFonts w:ascii="Arial" w:eastAsia="Arial" w:hAnsi="Arial" w:cs="Arial"/>
                                <w:i/>
                                <w:iCs/>
                                <w:sz w:val="26"/>
                                <w:szCs w:val="26"/>
                              </w:rPr>
                              <w:t>LESNÍ BARVU?</w:t>
                            </w:r>
                          </w:p>
                          <w:p w:rsidR="00500724" w:rsidRDefault="00F30FB8">
                            <w:pPr>
                              <w:pStyle w:val="Zkladntext20"/>
                              <w:shd w:val="clear" w:color="auto" w:fill="auto"/>
                              <w:spacing w:line="202" w:lineRule="auto"/>
                              <w:ind w:firstLine="200"/>
                              <w:rPr>
                                <w:sz w:val="20"/>
                                <w:szCs w:val="20"/>
                              </w:rPr>
                            </w:pPr>
                            <w:r>
                              <w:rPr>
                                <w:i/>
                                <w:iCs/>
                                <w:sz w:val="20"/>
                                <w:szCs w:val="20"/>
                              </w:rPr>
                              <w:t>Mnozí mladí muži trpí na »zdravou« lesní barvu — ze</w:t>
                            </w:r>
                            <w:r>
                              <w:rPr>
                                <w:i/>
                                <w:iCs/>
                                <w:sz w:val="20"/>
                                <w:szCs w:val="20"/>
                              </w:rPr>
                              <w:softHyphen/>
                              <w:t xml:space="preserve">lenou. Stále jim něco chybí a nevědí co. Chybí jim pořádná strava, na jakou byli zvyklí doma? Je to tím, </w:t>
                            </w:r>
                            <w:r>
                              <w:rPr>
                                <w:i/>
                                <w:iCs/>
                                <w:sz w:val="20"/>
                                <w:szCs w:val="20"/>
                              </w:rPr>
                              <w:t>že jedí kaž</w:t>
                            </w:r>
                            <w:r>
                              <w:rPr>
                                <w:i/>
                                <w:iCs/>
                                <w:sz w:val="20"/>
                                <w:szCs w:val="20"/>
                              </w:rPr>
                              <w:softHyphen/>
                              <w:t>dý den jinde? Jednoduchá od</w:t>
                            </w:r>
                            <w:r>
                              <w:rPr>
                                <w:i/>
                                <w:iCs/>
                                <w:sz w:val="20"/>
                                <w:szCs w:val="20"/>
                              </w:rPr>
                              <w:softHyphen/>
                              <w:t>pomoc: předplatit si na celý měsíc obědy u VAŠATY na Václavském náměstí! Pak před prvním oběd JE, i když peníze nejsou a máte zajiště</w:t>
                            </w:r>
                            <w:r>
                              <w:rPr>
                                <w:i/>
                                <w:iCs/>
                                <w:sz w:val="20"/>
                                <w:szCs w:val="20"/>
                              </w:rPr>
                              <w:softHyphen/>
                              <w:t>nu vydatnou stravu pro celý měsíc! Přihlašte se u pana vrchního v I. nebo II. patř</w:t>
                            </w:r>
                            <w:r>
                              <w:rPr>
                                <w:i/>
                                <w:iCs/>
                                <w:sz w:val="20"/>
                                <w:szCs w:val="20"/>
                              </w:rPr>
                              <w:t>e restaurantu!</w:t>
                            </w:r>
                          </w:p>
                          <w:p w:rsidR="00500724" w:rsidRDefault="00F30FB8">
                            <w:pPr>
                              <w:pStyle w:val="Zkladntext20"/>
                              <w:shd w:val="clear" w:color="auto" w:fill="auto"/>
                              <w:spacing w:after="40" w:line="226" w:lineRule="auto"/>
                              <w:ind w:firstLine="0"/>
                              <w:jc w:val="center"/>
                              <w:rPr>
                                <w:sz w:val="20"/>
                                <w:szCs w:val="20"/>
                              </w:rPr>
                            </w:pPr>
                            <w:r>
                              <w:rPr>
                                <w:i/>
                                <w:iCs/>
                                <w:sz w:val="20"/>
                                <w:szCs w:val="20"/>
                              </w:rPr>
                              <w:t>VAŠATA a spol., Praha,</w:t>
                            </w:r>
                            <w:r>
                              <w:rPr>
                                <w:i/>
                                <w:iCs/>
                                <w:sz w:val="20"/>
                                <w:szCs w:val="20"/>
                              </w:rPr>
                              <w:br/>
                              <w:t>Václavské nám. 16.</w:t>
                            </w:r>
                          </w:p>
                        </w:txbxContent>
                      </wps:txbx>
                      <wps:bodyPr lIns="0" tIns="0" rIns="0" bIns="0">
                        <a:spAutoFit/>
                      </wps:bodyPr>
                    </wps:wsp>
                  </a:graphicData>
                </a:graphic>
              </wp:anchor>
            </w:drawing>
          </mc:Choice>
          <mc:Fallback>
            <w:pict>
              <v:shape id="_x0000_s1079" type="#_x0000_t202" style="position:absolute;margin-left:27.5pt;margin-top:102.pt;width:129.84999999999999pt;height:217.90000000000001pt;z-index:-125829323;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60" w:line="240" w:lineRule="auto"/>
                        <w:ind w:left="0" w:right="0" w:firstLine="0"/>
                        <w:rPr>
                          <w:sz w:val="26"/>
                          <w:szCs w:val="26"/>
                        </w:rPr>
                      </w:pPr>
                      <w:r>
                        <w:rPr>
                          <w:rFonts w:ascii="Arial" w:eastAsia="Arial" w:hAnsi="Arial" w:cs="Arial"/>
                          <w:i/>
                          <w:iCs/>
                          <w:color w:val="000000"/>
                          <w:spacing w:val="0"/>
                          <w:w w:val="100"/>
                          <w:position w:val="0"/>
                          <w:sz w:val="26"/>
                          <w:szCs w:val="26"/>
                          <w:shd w:val="clear" w:color="auto" w:fill="auto"/>
                          <w:lang w:val="cs-CZ" w:eastAsia="cs-CZ" w:bidi="cs-CZ"/>
                        </w:rPr>
                        <w:t xml:space="preserve">MATE </w:t>
                      </w:r>
                      <w:r>
                        <w:rPr>
                          <w:rFonts w:ascii="Arial" w:eastAsia="Arial" w:hAnsi="Arial" w:cs="Arial"/>
                          <w:i/>
                          <w:iCs/>
                          <w:smallCaps/>
                          <w:color w:val="000000"/>
                          <w:spacing w:val="0"/>
                          <w:w w:val="100"/>
                          <w:position w:val="0"/>
                          <w:sz w:val="32"/>
                          <w:szCs w:val="32"/>
                          <w:shd w:val="clear" w:color="auto" w:fill="auto"/>
                          <w:lang w:val="cs-CZ" w:eastAsia="cs-CZ" w:bidi="cs-CZ"/>
                        </w:rPr>
                        <w:t xml:space="preserve">zdravou </w:t>
                      </w:r>
                      <w:r>
                        <w:rPr>
                          <w:rFonts w:ascii="Arial" w:eastAsia="Arial" w:hAnsi="Arial" w:cs="Arial"/>
                          <w:i/>
                          <w:iCs/>
                          <w:color w:val="000000"/>
                          <w:spacing w:val="0"/>
                          <w:w w:val="100"/>
                          <w:position w:val="0"/>
                          <w:sz w:val="26"/>
                          <w:szCs w:val="26"/>
                          <w:shd w:val="clear" w:color="auto" w:fill="auto"/>
                          <w:lang w:val="cs-CZ" w:eastAsia="cs-CZ" w:bidi="cs-CZ"/>
                        </w:rPr>
                        <w:t>LESNÍ BARVU?</w:t>
                      </w:r>
                    </w:p>
                    <w:p>
                      <w:pPr>
                        <w:pStyle w:val="Style67"/>
                        <w:keepNext w:val="0"/>
                        <w:keepLines w:val="0"/>
                        <w:widowControl w:val="0"/>
                        <w:shd w:val="clear" w:color="auto" w:fill="auto"/>
                        <w:bidi w:val="0"/>
                        <w:spacing w:before="0" w:after="0" w:line="202" w:lineRule="auto"/>
                        <w:ind w:left="0" w:right="0" w:firstLine="200"/>
                        <w:rPr>
                          <w:sz w:val="20"/>
                          <w:szCs w:val="20"/>
                        </w:rPr>
                      </w:pPr>
                      <w:r>
                        <w:rPr>
                          <w:i/>
                          <w:iCs/>
                          <w:color w:val="000000"/>
                          <w:spacing w:val="0"/>
                          <w:w w:val="100"/>
                          <w:position w:val="0"/>
                          <w:sz w:val="20"/>
                          <w:szCs w:val="20"/>
                          <w:shd w:val="clear" w:color="auto" w:fill="auto"/>
                          <w:lang w:val="cs-CZ" w:eastAsia="cs-CZ" w:bidi="cs-CZ"/>
                        </w:rPr>
                        <w:t>Mnozí mladí muži trpí na »zdravou« lesní barvu — ze</w:t>
                        <w:softHyphen/>
                        <w:t>lenou. Stále jim něco chybí a nevědí co. Chybí jim pořádná strava, na jakou byli zvyklí doma? Je to tím, že jedí kaž</w:t>
                        <w:softHyphen/>
                        <w:t>dý den jinde? Jednoduchá od</w:t>
                        <w:softHyphen/>
                        <w:t>pomoc: předplatit si na celý měsíc obědy u VAŠATY na Václavském náměstí! Pak před prvním oběd JE, i když peníze nejsou a máte zajiště</w:t>
                        <w:softHyphen/>
                        <w:t>nu vydatnou stravu pro celý měsíc! Přihlašte se u pana vrchního v I. nebo II. patře restaurantu!</w:t>
                      </w:r>
                    </w:p>
                    <w:p>
                      <w:pPr>
                        <w:pStyle w:val="Style67"/>
                        <w:keepNext w:val="0"/>
                        <w:keepLines w:val="0"/>
                        <w:widowControl w:val="0"/>
                        <w:shd w:val="clear" w:color="auto" w:fill="auto"/>
                        <w:bidi w:val="0"/>
                        <w:spacing w:before="0" w:after="40" w:line="226" w:lineRule="auto"/>
                        <w:ind w:left="0" w:right="0" w:firstLine="0"/>
                        <w:jc w:val="center"/>
                        <w:rPr>
                          <w:sz w:val="20"/>
                          <w:szCs w:val="20"/>
                        </w:rPr>
                      </w:pPr>
                      <w:r>
                        <w:rPr>
                          <w:i/>
                          <w:iCs/>
                          <w:color w:val="000000"/>
                          <w:spacing w:val="0"/>
                          <w:w w:val="100"/>
                          <w:position w:val="0"/>
                          <w:sz w:val="20"/>
                          <w:szCs w:val="20"/>
                          <w:shd w:val="clear" w:color="auto" w:fill="auto"/>
                          <w:lang w:val="cs-CZ" w:eastAsia="cs-CZ" w:bidi="cs-CZ"/>
                        </w:rPr>
                        <w:t>VAŠATA a spol., Praha,</w:t>
                        <w:br/>
                        <w:t>Václavské nám. 16.</w:t>
                      </w:r>
                    </w:p>
                  </w:txbxContent>
                </v:textbox>
                <w10:wrap type="square" side="right" anchorx="page"/>
              </v:shape>
            </w:pict>
          </mc:Fallback>
        </mc:AlternateContent>
      </w:r>
      <w:r>
        <w:rPr>
          <w:noProof/>
        </w:rPr>
        <mc:AlternateContent>
          <mc:Choice Requires="wps">
            <w:drawing>
              <wp:anchor distT="0" distB="0" distL="0" distR="0" simplePos="0" relativeHeight="125829432" behindDoc="0" locked="0" layoutInCell="1" allowOverlap="1">
                <wp:simplePos x="0" y="0"/>
                <wp:positionH relativeFrom="page">
                  <wp:posOffset>4488180</wp:posOffset>
                </wp:positionH>
                <wp:positionV relativeFrom="paragraph">
                  <wp:posOffset>12700</wp:posOffset>
                </wp:positionV>
                <wp:extent cx="2468880" cy="4026535"/>
                <wp:effectExtent l="0" t="0" r="0" b="0"/>
                <wp:wrapSquare wrapText="bothSides"/>
                <wp:docPr id="55" name="Shape 55"/>
                <wp:cNvGraphicFramePr/>
                <a:graphic xmlns:a="http://schemas.openxmlformats.org/drawingml/2006/main">
                  <a:graphicData uri="http://schemas.microsoft.com/office/word/2010/wordprocessingShape">
                    <wps:wsp>
                      <wps:cNvSpPr txBox="1"/>
                      <wps:spPr>
                        <a:xfrm>
                          <a:off x="0" y="0"/>
                          <a:ext cx="2468880" cy="4026535"/>
                        </a:xfrm>
                        <a:prstGeom prst="rect">
                          <a:avLst/>
                        </a:prstGeom>
                        <a:noFill/>
                      </wps:spPr>
                      <wps:txbx>
                        <w:txbxContent>
                          <w:p w:rsidR="00500724" w:rsidRDefault="00F30FB8">
                            <w:pPr>
                              <w:pStyle w:val="Jin0"/>
                              <w:shd w:val="clear" w:color="auto" w:fill="auto"/>
                              <w:ind w:left="640" w:firstLine="0"/>
                              <w:jc w:val="left"/>
                              <w:rPr>
                                <w:sz w:val="58"/>
                                <w:szCs w:val="58"/>
                              </w:rPr>
                            </w:pPr>
                            <w:r>
                              <w:rPr>
                                <w:i/>
                                <w:iCs/>
                                <w:sz w:val="58"/>
                                <w:szCs w:val="58"/>
                              </w:rPr>
                              <w:t>POVÍDKY</w:t>
                            </w:r>
                          </w:p>
                          <w:p w:rsidR="00500724" w:rsidRDefault="00F30FB8">
                            <w:pPr>
                              <w:pStyle w:val="Jin0"/>
                              <w:shd w:val="clear" w:color="auto" w:fill="auto"/>
                              <w:spacing w:after="60"/>
                              <w:ind w:left="360" w:firstLine="20"/>
                              <w:jc w:val="left"/>
                              <w:rPr>
                                <w:sz w:val="26"/>
                                <w:szCs w:val="26"/>
                              </w:rPr>
                            </w:pPr>
                            <w:r>
                              <w:rPr>
                                <w:i/>
                                <w:iCs/>
                                <w:sz w:val="26"/>
                                <w:szCs w:val="26"/>
                              </w:rPr>
                              <w:t>Z JEDNÉ RESTAURACE</w:t>
                            </w:r>
                          </w:p>
                          <w:p w:rsidR="00500724" w:rsidRDefault="00F30FB8">
                            <w:pPr>
                              <w:pStyle w:val="Zkladntext20"/>
                              <w:shd w:val="clear" w:color="auto" w:fill="auto"/>
                              <w:spacing w:after="80" w:line="226" w:lineRule="auto"/>
                              <w:ind w:left="360" w:firstLine="20"/>
                              <w:jc w:val="left"/>
                              <w:rPr>
                                <w:sz w:val="20"/>
                                <w:szCs w:val="20"/>
                              </w:rPr>
                            </w:pPr>
                            <w:r>
                              <w:rPr>
                                <w:i/>
                                <w:iCs/>
                                <w:sz w:val="20"/>
                                <w:szCs w:val="20"/>
                              </w:rPr>
                              <w:t>SCHVÁLNĚ POZOR — CO SI DÁ!</w:t>
                            </w:r>
                          </w:p>
                          <w:p w:rsidR="00500724" w:rsidRDefault="00F30FB8">
                            <w:pPr>
                              <w:pStyle w:val="Zkladntext20"/>
                              <w:shd w:val="clear" w:color="auto" w:fill="auto"/>
                              <w:spacing w:line="226" w:lineRule="auto"/>
                              <w:ind w:firstLine="220"/>
                              <w:rPr>
                                <w:sz w:val="20"/>
                                <w:szCs w:val="20"/>
                              </w:rPr>
                            </w:pPr>
                            <w:r>
                              <w:rPr>
                                <w:i/>
                                <w:iCs/>
                                <w:sz w:val="20"/>
                                <w:szCs w:val="20"/>
                              </w:rPr>
                              <w:t>Jednou při večeři ve Vašatově restauraci na Václavském náměstí si k nám přisedl Vašata. Číšník přišel a ptá se: VBudete ve</w:t>
                            </w:r>
                            <w:r>
                              <w:rPr>
                                <w:i/>
                                <w:iCs/>
                                <w:sz w:val="20"/>
                                <w:szCs w:val="20"/>
                              </w:rPr>
                              <w:softHyphen/>
                              <w:t xml:space="preserve">čeřet, pane šéf?c </w:t>
                            </w:r>
                            <w:r>
                              <w:rPr>
                                <w:i/>
                                <w:iCs/>
                                <w:sz w:val="20"/>
                                <w:szCs w:val="20"/>
                              </w:rPr>
                              <w:t>šťouchli jsme se lokty: ^Schválně pozor — co si dá!«</w:t>
                            </w:r>
                          </w:p>
                          <w:p w:rsidR="00500724" w:rsidRDefault="00F30FB8">
                            <w:pPr>
                              <w:pStyle w:val="Zkladntext20"/>
                              <w:shd w:val="clear" w:color="auto" w:fill="auto"/>
                              <w:spacing w:line="226" w:lineRule="auto"/>
                              <w:ind w:firstLine="220"/>
                              <w:rPr>
                                <w:sz w:val="20"/>
                                <w:szCs w:val="20"/>
                              </w:rPr>
                            </w:pPr>
                            <w:r>
                              <w:rPr>
                                <w:i/>
                                <w:iCs/>
                                <w:sz w:val="20"/>
                                <w:szCs w:val="20"/>
                              </w:rPr>
                              <w:t>VDejte mi karbanátek!^ odpověděl Vaša</w:t>
                            </w:r>
                            <w:r>
                              <w:rPr>
                                <w:i/>
                                <w:iCs/>
                                <w:sz w:val="20"/>
                                <w:szCs w:val="20"/>
                              </w:rPr>
                              <w:softHyphen/>
                              <w:t>ta. Padla poznámka: »To jste si už nemohl dát nic lepšího ?« Vašata na to: »Jak to — lepšího? Vždyť je to to nejlepší!« Pak se za</w:t>
                            </w:r>
                            <w:r>
                              <w:rPr>
                                <w:i/>
                                <w:iCs/>
                                <w:sz w:val="20"/>
                                <w:szCs w:val="20"/>
                              </w:rPr>
                              <w:softHyphen/>
                              <w:t>smál — neboť pochopil.</w:t>
                            </w:r>
                          </w:p>
                          <w:p w:rsidR="00500724" w:rsidRDefault="00F30FB8">
                            <w:pPr>
                              <w:pStyle w:val="Zkladntext20"/>
                              <w:shd w:val="clear" w:color="auto" w:fill="auto"/>
                              <w:spacing w:line="223" w:lineRule="auto"/>
                              <w:ind w:firstLine="220"/>
                              <w:rPr>
                                <w:sz w:val="20"/>
                                <w:szCs w:val="20"/>
                              </w:rPr>
                            </w:pPr>
                            <w:r>
                              <w:rPr>
                                <w:i/>
                                <w:iCs/>
                                <w:sz w:val="20"/>
                                <w:szCs w:val="20"/>
                              </w:rPr>
                              <w:t xml:space="preserve">»To není </w:t>
                            </w:r>
                            <w:r>
                              <w:rPr>
                                <w:i/>
                                <w:iCs/>
                                <w:sz w:val="20"/>
                                <w:szCs w:val="20"/>
                              </w:rPr>
                              <w:t>jako doma — kde se dělají kar</w:t>
                            </w:r>
                            <w:r>
                              <w:rPr>
                                <w:i/>
                                <w:iCs/>
                                <w:sz w:val="20"/>
                                <w:szCs w:val="20"/>
                              </w:rPr>
                              <w:softHyphen/>
                              <w:t>banátky z toho, co zbylo od včera! U nás se dělají karbanátky i sekaná pečeně z nejjem- nějšího, čerstvého, pečlivě semletého masa. Proto nemusíte být překvapeni, když já — jako hostinský — jím své karbanátky. Vím, co v nich j</w:t>
                            </w:r>
                            <w:r>
                              <w:rPr>
                                <w:i/>
                                <w:iCs/>
                                <w:sz w:val="20"/>
                                <w:szCs w:val="20"/>
                              </w:rPr>
                              <w:t>e — vím, že jsou. dobré!«</w:t>
                            </w:r>
                          </w:p>
                          <w:p w:rsidR="00500724" w:rsidRDefault="00F30FB8">
                            <w:pPr>
                              <w:pStyle w:val="Zkladntext20"/>
                              <w:shd w:val="clear" w:color="auto" w:fill="auto"/>
                              <w:spacing w:line="228" w:lineRule="auto"/>
                              <w:ind w:firstLine="220"/>
                              <w:rPr>
                                <w:sz w:val="20"/>
                                <w:szCs w:val="20"/>
                              </w:rPr>
                            </w:pPr>
                            <w:r>
                              <w:rPr>
                                <w:i/>
                                <w:iCs/>
                                <w:sz w:val="20"/>
                                <w:szCs w:val="20"/>
                              </w:rPr>
                              <w:t>•»AJe to nic není, že</w:t>
                            </w:r>
                            <w:r>
                              <w:rPr>
                                <w:sz w:val="24"/>
                                <w:szCs w:val="24"/>
                              </w:rPr>
                              <w:t xml:space="preserve"> si </w:t>
                            </w:r>
                            <w:r>
                              <w:rPr>
                                <w:i/>
                                <w:iCs/>
                                <w:sz w:val="20"/>
                                <w:szCs w:val="20"/>
                              </w:rPr>
                              <w:t>je dávám já! Taky je nosím domů naší malé žábě. A to bych opravdu nedělal, kdyby nebyly nejlepší.«</w:t>
                            </w:r>
                          </w:p>
                          <w:p w:rsidR="00500724" w:rsidRDefault="00F30FB8">
                            <w:pPr>
                              <w:pStyle w:val="Zkladntext20"/>
                              <w:shd w:val="clear" w:color="auto" w:fill="auto"/>
                              <w:spacing w:after="40" w:line="228" w:lineRule="auto"/>
                              <w:ind w:firstLine="220"/>
                              <w:rPr>
                                <w:sz w:val="20"/>
                                <w:szCs w:val="20"/>
                              </w:rPr>
                            </w:pPr>
                            <w:r>
                              <w:rPr>
                                <w:i/>
                                <w:iCs/>
                                <w:sz w:val="20"/>
                                <w:szCs w:val="20"/>
                              </w:rPr>
                              <w:t>Z toho plyne mravní naučení: I ten, kdo si u Vašaty karbanátky poručí, sní je s chutí — je mu dobře — nikd</w:t>
                            </w:r>
                            <w:r>
                              <w:rPr>
                                <w:i/>
                                <w:iCs/>
                                <w:sz w:val="20"/>
                                <w:szCs w:val="20"/>
                              </w:rPr>
                              <w:t>y na to nebručí! P. U.</w:t>
                            </w:r>
                          </w:p>
                        </w:txbxContent>
                      </wps:txbx>
                      <wps:bodyPr lIns="0" tIns="0" rIns="0" bIns="0">
                        <a:spAutoFit/>
                      </wps:bodyPr>
                    </wps:wsp>
                  </a:graphicData>
                </a:graphic>
              </wp:anchor>
            </w:drawing>
          </mc:Choice>
          <mc:Fallback>
            <w:pict>
              <v:shape id="_x0000_s1081" type="#_x0000_t202" style="position:absolute;margin-left:353.39999999999998pt;margin-top:1.pt;width:194.40000000000001pt;height:317.05000000000001pt;z-index:-125829321;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640" w:right="0" w:firstLine="0"/>
                        <w:jc w:val="left"/>
                        <w:rPr>
                          <w:sz w:val="58"/>
                          <w:szCs w:val="58"/>
                        </w:rPr>
                      </w:pPr>
                      <w:r>
                        <w:rPr>
                          <w:i/>
                          <w:iCs/>
                          <w:color w:val="000000"/>
                          <w:spacing w:val="0"/>
                          <w:w w:val="100"/>
                          <w:position w:val="0"/>
                          <w:sz w:val="58"/>
                          <w:szCs w:val="58"/>
                          <w:shd w:val="clear" w:color="auto" w:fill="auto"/>
                          <w:lang w:val="cs-CZ" w:eastAsia="cs-CZ" w:bidi="cs-CZ"/>
                        </w:rPr>
                        <w:t>POVÍDKY</w:t>
                      </w:r>
                    </w:p>
                    <w:p>
                      <w:pPr>
                        <w:pStyle w:val="Style12"/>
                        <w:keepNext w:val="0"/>
                        <w:keepLines w:val="0"/>
                        <w:widowControl w:val="0"/>
                        <w:shd w:val="clear" w:color="auto" w:fill="auto"/>
                        <w:bidi w:val="0"/>
                        <w:spacing w:before="0" w:after="60" w:line="240" w:lineRule="auto"/>
                        <w:ind w:left="360" w:right="0" w:firstLine="20"/>
                        <w:jc w:val="left"/>
                        <w:rPr>
                          <w:sz w:val="26"/>
                          <w:szCs w:val="26"/>
                        </w:rPr>
                      </w:pPr>
                      <w:r>
                        <w:rPr>
                          <w:i/>
                          <w:iCs/>
                          <w:color w:val="000000"/>
                          <w:spacing w:val="0"/>
                          <w:w w:val="100"/>
                          <w:position w:val="0"/>
                          <w:sz w:val="26"/>
                          <w:szCs w:val="26"/>
                          <w:shd w:val="clear" w:color="auto" w:fill="auto"/>
                          <w:lang w:val="cs-CZ" w:eastAsia="cs-CZ" w:bidi="cs-CZ"/>
                        </w:rPr>
                        <w:t>Z JEDNÉ RESTAURACE</w:t>
                      </w:r>
                    </w:p>
                    <w:p>
                      <w:pPr>
                        <w:pStyle w:val="Style67"/>
                        <w:keepNext w:val="0"/>
                        <w:keepLines w:val="0"/>
                        <w:widowControl w:val="0"/>
                        <w:shd w:val="clear" w:color="auto" w:fill="auto"/>
                        <w:bidi w:val="0"/>
                        <w:spacing w:before="0" w:after="80" w:line="226" w:lineRule="auto"/>
                        <w:ind w:left="360" w:right="0" w:firstLine="20"/>
                        <w:jc w:val="left"/>
                        <w:rPr>
                          <w:sz w:val="20"/>
                          <w:szCs w:val="20"/>
                        </w:rPr>
                      </w:pPr>
                      <w:r>
                        <w:rPr>
                          <w:i/>
                          <w:iCs/>
                          <w:color w:val="000000"/>
                          <w:spacing w:val="0"/>
                          <w:w w:val="100"/>
                          <w:position w:val="0"/>
                          <w:sz w:val="20"/>
                          <w:szCs w:val="20"/>
                          <w:shd w:val="clear" w:color="auto" w:fill="auto"/>
                          <w:lang w:val="cs-CZ" w:eastAsia="cs-CZ" w:bidi="cs-CZ"/>
                        </w:rPr>
                        <w:t>SCHVÁLNĚ POZOR — CO SI DÁ!</w:t>
                      </w:r>
                    </w:p>
                    <w:p>
                      <w:pPr>
                        <w:pStyle w:val="Style67"/>
                        <w:keepNext w:val="0"/>
                        <w:keepLines w:val="0"/>
                        <w:widowControl w:val="0"/>
                        <w:shd w:val="clear" w:color="auto" w:fill="auto"/>
                        <w:bidi w:val="0"/>
                        <w:spacing w:before="0" w:after="0" w:line="226" w:lineRule="auto"/>
                        <w:ind w:left="0" w:right="0" w:firstLine="220"/>
                        <w:rPr>
                          <w:sz w:val="20"/>
                          <w:szCs w:val="20"/>
                        </w:rPr>
                      </w:pPr>
                      <w:r>
                        <w:rPr>
                          <w:i/>
                          <w:iCs/>
                          <w:color w:val="000000"/>
                          <w:spacing w:val="0"/>
                          <w:w w:val="100"/>
                          <w:position w:val="0"/>
                          <w:sz w:val="20"/>
                          <w:szCs w:val="20"/>
                          <w:shd w:val="clear" w:color="auto" w:fill="auto"/>
                          <w:lang w:val="cs-CZ" w:eastAsia="cs-CZ" w:bidi="cs-CZ"/>
                        </w:rPr>
                        <w:t>Jednou při večeři ve Vašatově restauraci na Václavském náměstí si k nám přisedl Vašata. Číšník přišel a ptá se: VBudete ve</w:t>
                        <w:softHyphen/>
                        <w:t>čeřet, pane šéf?c šťouchli jsme se lokty: ^Schválně pozor — co si dá!«</w:t>
                      </w:r>
                    </w:p>
                    <w:p>
                      <w:pPr>
                        <w:pStyle w:val="Style67"/>
                        <w:keepNext w:val="0"/>
                        <w:keepLines w:val="0"/>
                        <w:widowControl w:val="0"/>
                        <w:shd w:val="clear" w:color="auto" w:fill="auto"/>
                        <w:bidi w:val="0"/>
                        <w:spacing w:before="0" w:after="0" w:line="226" w:lineRule="auto"/>
                        <w:ind w:left="0" w:right="0" w:firstLine="220"/>
                        <w:rPr>
                          <w:sz w:val="20"/>
                          <w:szCs w:val="20"/>
                        </w:rPr>
                      </w:pPr>
                      <w:r>
                        <w:rPr>
                          <w:i/>
                          <w:iCs/>
                          <w:color w:val="000000"/>
                          <w:spacing w:val="0"/>
                          <w:w w:val="100"/>
                          <w:position w:val="0"/>
                          <w:sz w:val="20"/>
                          <w:szCs w:val="20"/>
                          <w:shd w:val="clear" w:color="auto" w:fill="auto"/>
                          <w:lang w:val="cs-CZ" w:eastAsia="cs-CZ" w:bidi="cs-CZ"/>
                        </w:rPr>
                        <w:t>VDejte mi karbanátek!^ odpověděl Vaša</w:t>
                        <w:softHyphen/>
                        <w:t>ta. Padla poznámka: »To jste si už nemohl dát nic lepšího ?« Vašata na to: »Jak to — lepšího? Vždyť je to to nejlepší!« Pak se za</w:t>
                        <w:softHyphen/>
                        <w:t>smál — neboť pochopil.</w:t>
                      </w:r>
                    </w:p>
                    <w:p>
                      <w:pPr>
                        <w:pStyle w:val="Style67"/>
                        <w:keepNext w:val="0"/>
                        <w:keepLines w:val="0"/>
                        <w:widowControl w:val="0"/>
                        <w:shd w:val="clear" w:color="auto" w:fill="auto"/>
                        <w:bidi w:val="0"/>
                        <w:spacing w:before="0" w:after="0" w:line="223" w:lineRule="auto"/>
                        <w:ind w:left="0" w:right="0" w:firstLine="220"/>
                        <w:rPr>
                          <w:sz w:val="20"/>
                          <w:szCs w:val="20"/>
                        </w:rPr>
                      </w:pPr>
                      <w:r>
                        <w:rPr>
                          <w:i/>
                          <w:iCs/>
                          <w:color w:val="000000"/>
                          <w:spacing w:val="0"/>
                          <w:w w:val="100"/>
                          <w:position w:val="0"/>
                          <w:sz w:val="20"/>
                          <w:szCs w:val="20"/>
                          <w:shd w:val="clear" w:color="auto" w:fill="auto"/>
                          <w:lang w:val="cs-CZ" w:eastAsia="cs-CZ" w:bidi="cs-CZ"/>
                        </w:rPr>
                        <w:t>»To není jako doma — kde se dělají kar</w:t>
                        <w:softHyphen/>
                        <w:t>banátky z toho, co zbylo od včera! U nás se dělají karbanátky i sekaná pečeně z nejjem- nějšího, čerstvého, pečlivě semletého masa. Proto nemusíte být překvapeni, když já — jako hostinský — jím své karbanátky. Vím, co v nich je — vím, že jsou. dobré!«</w:t>
                      </w:r>
                    </w:p>
                    <w:p>
                      <w:pPr>
                        <w:pStyle w:val="Style67"/>
                        <w:keepNext w:val="0"/>
                        <w:keepLines w:val="0"/>
                        <w:widowControl w:val="0"/>
                        <w:shd w:val="clear" w:color="auto" w:fill="auto"/>
                        <w:bidi w:val="0"/>
                        <w:spacing w:before="0" w:after="0" w:line="228" w:lineRule="auto"/>
                        <w:ind w:left="0" w:right="0" w:firstLine="220"/>
                        <w:rPr>
                          <w:sz w:val="20"/>
                          <w:szCs w:val="20"/>
                        </w:rPr>
                      </w:pPr>
                      <w:r>
                        <w:rPr>
                          <w:i/>
                          <w:iCs/>
                          <w:color w:val="000000"/>
                          <w:spacing w:val="0"/>
                          <w:w w:val="100"/>
                          <w:position w:val="0"/>
                          <w:sz w:val="20"/>
                          <w:szCs w:val="20"/>
                          <w:shd w:val="clear" w:color="auto" w:fill="auto"/>
                          <w:lang w:val="cs-CZ" w:eastAsia="cs-CZ" w:bidi="cs-CZ"/>
                        </w:rPr>
                        <w:t>•»AJe to nic není, že</w:t>
                      </w:r>
                      <w:r>
                        <w:rPr>
                          <w:color w:val="000000"/>
                          <w:spacing w:val="0"/>
                          <w:w w:val="100"/>
                          <w:position w:val="0"/>
                          <w:sz w:val="24"/>
                          <w:szCs w:val="24"/>
                          <w:shd w:val="clear" w:color="auto" w:fill="auto"/>
                          <w:lang w:val="cs-CZ" w:eastAsia="cs-CZ" w:bidi="cs-CZ"/>
                        </w:rPr>
                        <w:t xml:space="preserve"> si </w:t>
                      </w:r>
                      <w:r>
                        <w:rPr>
                          <w:i/>
                          <w:iCs/>
                          <w:color w:val="000000"/>
                          <w:spacing w:val="0"/>
                          <w:w w:val="100"/>
                          <w:position w:val="0"/>
                          <w:sz w:val="20"/>
                          <w:szCs w:val="20"/>
                          <w:shd w:val="clear" w:color="auto" w:fill="auto"/>
                          <w:lang w:val="cs-CZ" w:eastAsia="cs-CZ" w:bidi="cs-CZ"/>
                        </w:rPr>
                        <w:t>je dávám já! Taky je nosím domů naší malé žábě. A to bych opravdu nedělal, kdyby nebyly nejlepší.«</w:t>
                      </w:r>
                    </w:p>
                    <w:p>
                      <w:pPr>
                        <w:pStyle w:val="Style67"/>
                        <w:keepNext w:val="0"/>
                        <w:keepLines w:val="0"/>
                        <w:widowControl w:val="0"/>
                        <w:shd w:val="clear" w:color="auto" w:fill="auto"/>
                        <w:bidi w:val="0"/>
                        <w:spacing w:before="0" w:after="40" w:line="228" w:lineRule="auto"/>
                        <w:ind w:left="0" w:right="0" w:firstLine="220"/>
                        <w:rPr>
                          <w:sz w:val="20"/>
                          <w:szCs w:val="20"/>
                        </w:rPr>
                      </w:pPr>
                      <w:r>
                        <w:rPr>
                          <w:i/>
                          <w:iCs/>
                          <w:color w:val="000000"/>
                          <w:spacing w:val="0"/>
                          <w:w w:val="100"/>
                          <w:position w:val="0"/>
                          <w:sz w:val="20"/>
                          <w:szCs w:val="20"/>
                          <w:shd w:val="clear" w:color="auto" w:fill="auto"/>
                          <w:lang w:val="cs-CZ" w:eastAsia="cs-CZ" w:bidi="cs-CZ"/>
                        </w:rPr>
                        <w:t>Z toho plyne mravní naučení: I ten, kdo si u Vašaty karbanátky poručí, sní je s chutí — je mu dobře — nikdy na to nebručí! P. U.</w:t>
                      </w:r>
                    </w:p>
                  </w:txbxContent>
                </v:textbox>
                <w10:wrap type="square" anchorx="page"/>
              </v:shape>
            </w:pict>
          </mc:Fallback>
        </mc:AlternateContent>
      </w:r>
    </w:p>
    <w:p w:rsidR="00500724" w:rsidRDefault="00F30FB8">
      <w:pPr>
        <w:pStyle w:val="Jin0"/>
        <w:shd w:val="clear" w:color="auto" w:fill="auto"/>
        <w:spacing w:after="120"/>
        <w:ind w:left="300" w:firstLine="40"/>
        <w:jc w:val="left"/>
        <w:rPr>
          <w:sz w:val="54"/>
          <w:szCs w:val="54"/>
        </w:rPr>
      </w:pPr>
      <w:r>
        <w:rPr>
          <w:rFonts w:ascii="Arial" w:eastAsia="Arial" w:hAnsi="Arial" w:cs="Arial"/>
          <w:sz w:val="54"/>
          <w:szCs w:val="54"/>
        </w:rPr>
        <w:t>Resumé</w:t>
      </w:r>
    </w:p>
    <w:p w:rsidR="00500724" w:rsidRDefault="00F30FB8">
      <w:pPr>
        <w:pStyle w:val="Zkladntext20"/>
        <w:shd w:val="clear" w:color="auto" w:fill="auto"/>
        <w:spacing w:line="319" w:lineRule="auto"/>
        <w:ind w:right="560" w:firstLine="0"/>
        <w:sectPr w:rsidR="00500724">
          <w:footnotePr>
            <w:numFmt w:val="chicago"/>
            <w:numRestart w:val="eachPage"/>
          </w:footnotePr>
          <w:pgSz w:w="11909" w:h="16834"/>
          <w:pgMar w:top="591" w:right="4841" w:bottom="967" w:left="425" w:header="0" w:footer="3" w:gutter="0"/>
          <w:cols w:space="720"/>
          <w:noEndnote/>
          <w:docGrid w:linePitch="360"/>
        </w:sectPr>
      </w:pPr>
      <w:r>
        <w:t>Pravděpodobně jste někdy nad Vašatovou reklamou kroutili hlavou. Třeba Vám nebyl po chuti styl. Uvažte však, že nejlépe se stráví to, co je podáno jas</w:t>
      </w:r>
      <w:r>
        <w:softHyphen/>
        <w:t>ně —• jako na talíři. Málokdy se nám dělala rekl</w:t>
      </w:r>
      <w:r>
        <w:t>ama tak dobře, jako pro Vašatu. Málo</w:t>
      </w:r>
      <w:r>
        <w:softHyphen/>
        <w:t>kdy jsme věděli tak jistojistě, že bude splněno, co se slibuje. Málokterý český podnikatel projevil takovou chuť k pod</w:t>
      </w:r>
      <w:r>
        <w:softHyphen/>
        <w:t>nikání, jako Vašata. Dejte si na Vašatu pozor, co v budouc</w:t>
      </w:r>
      <w:r>
        <w:softHyphen/>
        <w:t>nosti ještě dokáže pro své hosty, dá-li m</w:t>
      </w:r>
      <w:r>
        <w:t>u Pán Bůh zdraví!</w:t>
      </w:r>
    </w:p>
    <w:p w:rsidR="00500724" w:rsidRDefault="00500724">
      <w:pPr>
        <w:spacing w:before="34" w:after="34"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591" w:right="0" w:bottom="591" w:left="0" w:header="0" w:footer="3" w:gutter="0"/>
          <w:cols w:space="720"/>
          <w:noEndnote/>
          <w:docGrid w:linePitch="360"/>
        </w:sectPr>
      </w:pPr>
    </w:p>
    <w:p w:rsidR="00500724" w:rsidRDefault="00F30FB8">
      <w:pPr>
        <w:spacing w:line="14" w:lineRule="exact"/>
      </w:pPr>
      <w:r>
        <w:rPr>
          <w:noProof/>
        </w:rPr>
        <mc:AlternateContent>
          <mc:Choice Requires="wps">
            <w:drawing>
              <wp:anchor distT="0" distB="225425" distL="114300" distR="114300" simplePos="0" relativeHeight="125829434" behindDoc="0" locked="0" layoutInCell="1" allowOverlap="1">
                <wp:simplePos x="0" y="0"/>
                <wp:positionH relativeFrom="page">
                  <wp:posOffset>4975860</wp:posOffset>
                </wp:positionH>
                <wp:positionV relativeFrom="paragraph">
                  <wp:posOffset>740410</wp:posOffset>
                </wp:positionV>
                <wp:extent cx="1859280" cy="255905"/>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1859280" cy="255905"/>
                        </a:xfrm>
                        <a:prstGeom prst="rect">
                          <a:avLst/>
                        </a:prstGeom>
                        <a:noFill/>
                      </wps:spPr>
                      <wps:txbx>
                        <w:txbxContent>
                          <w:p w:rsidR="00500724" w:rsidRDefault="00F30FB8">
                            <w:pPr>
                              <w:pStyle w:val="Jin0"/>
                              <w:shd w:val="clear" w:color="auto" w:fill="auto"/>
                              <w:ind w:firstLine="0"/>
                              <w:jc w:val="left"/>
                              <w:rPr>
                                <w:sz w:val="24"/>
                                <w:szCs w:val="24"/>
                              </w:rPr>
                            </w:pPr>
                            <w:r>
                              <w:rPr>
                                <w:rFonts w:ascii="Arial" w:eastAsia="Arial" w:hAnsi="Arial" w:cs="Arial"/>
                                <w:i/>
                                <w:iCs/>
                                <w:sz w:val="24"/>
                                <w:szCs w:val="24"/>
                              </w:rPr>
                              <w:t>\i</w:t>
                            </w:r>
                            <w:r>
                              <w:rPr>
                                <w:rFonts w:ascii="Arial" w:eastAsia="Arial" w:hAnsi="Arial" w:cs="Arial"/>
                                <w:sz w:val="24"/>
                                <w:szCs w:val="24"/>
                              </w:rPr>
                              <w:t xml:space="preserve"> sebemenším bytě</w:t>
                            </w:r>
                          </w:p>
                        </w:txbxContent>
                      </wps:txbx>
                      <wps:bodyPr lIns="0" tIns="0" rIns="0" bIns="0">
                        <a:spAutoFit/>
                      </wps:bodyPr>
                    </wps:wsp>
                  </a:graphicData>
                </a:graphic>
              </wp:anchor>
            </w:drawing>
          </mc:Choice>
          <mc:Fallback>
            <w:pict>
              <v:shape id="_x0000_s1083" type="#_x0000_t202" style="position:absolute;margin-left:391.80000000000001pt;margin-top:58.299999999999997pt;width:146.40000000000001pt;height:20.149999999999999pt;z-index:-125829319;mso-wrap-distance-left:9.pt;mso-wrap-distance-right:9.pt;mso-wrap-distance-bottom:17.7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i/>
                          <w:iCs/>
                          <w:color w:val="000000"/>
                          <w:spacing w:val="0"/>
                          <w:w w:val="100"/>
                          <w:position w:val="0"/>
                          <w:sz w:val="24"/>
                          <w:szCs w:val="24"/>
                          <w:shd w:val="clear" w:color="auto" w:fill="auto"/>
                          <w:lang w:val="cs-CZ" w:eastAsia="cs-CZ" w:bidi="cs-CZ"/>
                        </w:rPr>
                        <w:t>\i</w:t>
                      </w:r>
                      <w:r>
                        <w:rPr>
                          <w:rFonts w:ascii="Arial" w:eastAsia="Arial" w:hAnsi="Arial" w:cs="Arial"/>
                          <w:color w:val="000000"/>
                          <w:spacing w:val="0"/>
                          <w:w w:val="100"/>
                          <w:position w:val="0"/>
                          <w:sz w:val="24"/>
                          <w:szCs w:val="24"/>
                          <w:shd w:val="clear" w:color="auto" w:fill="auto"/>
                          <w:lang w:val="cs-CZ" w:eastAsia="cs-CZ" w:bidi="cs-CZ"/>
                        </w:rPr>
                        <w:t xml:space="preserve"> sebemenším bytě</w:t>
                      </w:r>
                    </w:p>
                  </w:txbxContent>
                </v:textbox>
                <w10:wrap type="topAndBottom" anchorx="page"/>
              </v:shape>
            </w:pict>
          </mc:Fallback>
        </mc:AlternateContent>
      </w:r>
      <w:r>
        <w:rPr>
          <w:noProof/>
        </w:rPr>
        <mc:AlternateContent>
          <mc:Choice Requires="wps">
            <w:drawing>
              <wp:anchor distT="332105" distB="0" distL="735965" distR="748030" simplePos="0" relativeHeight="125829436" behindDoc="0" locked="0" layoutInCell="1" allowOverlap="1">
                <wp:simplePos x="0" y="0"/>
                <wp:positionH relativeFrom="page">
                  <wp:posOffset>5597525</wp:posOffset>
                </wp:positionH>
                <wp:positionV relativeFrom="paragraph">
                  <wp:posOffset>1073150</wp:posOffset>
                </wp:positionV>
                <wp:extent cx="603250" cy="149225"/>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603250" cy="149225"/>
                        </a:xfrm>
                        <a:prstGeom prst="rect">
                          <a:avLst/>
                        </a:prstGeom>
                        <a:noFill/>
                      </wps:spPr>
                      <wps:txbx>
                        <w:txbxContent>
                          <w:p w:rsidR="00500724" w:rsidRDefault="00F30FB8">
                            <w:pPr>
                              <w:pStyle w:val="Zkladntext50"/>
                              <w:shd w:val="clear" w:color="auto" w:fill="auto"/>
                              <w:spacing w:after="0" w:line="240" w:lineRule="auto"/>
                              <w:ind w:left="0"/>
                              <w:jc w:val="left"/>
                            </w:pPr>
                            <w:r>
                              <w:t>získáte</w:t>
                            </w:r>
                          </w:p>
                        </w:txbxContent>
                      </wps:txbx>
                      <wps:bodyPr lIns="0" tIns="0" rIns="0" bIns="0">
                        <a:spAutoFit/>
                      </wps:bodyPr>
                    </wps:wsp>
                  </a:graphicData>
                </a:graphic>
              </wp:anchor>
            </w:drawing>
          </mc:Choice>
          <mc:Fallback>
            <w:pict>
              <v:shape id="_x0000_s1085" type="#_x0000_t202" style="position:absolute;margin-left:440.75pt;margin-top:84.5pt;width:47.5pt;height:11.75pt;z-index:-125829317;mso-wrap-distance-left:57.950000000000003pt;mso-wrap-distance-top:26.149999999999999pt;mso-wrap-distance-right:58.899999999999999pt;mso-position-horizontal-relative:page" filled="f" stroked="f">
                <v:textbox style="mso-fit-shape-to-text:t" inset="0,0,0,0">
                  <w:txbxContent>
                    <w:p>
                      <w:pPr>
                        <w:pStyle w:val="Style8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získáte</w:t>
                      </w:r>
                    </w:p>
                  </w:txbxContent>
                </v:textbox>
                <w10:wrap type="topAndBottom" anchorx="page"/>
              </v:shape>
            </w:pict>
          </mc:Fallback>
        </mc:AlternateContent>
      </w:r>
    </w:p>
    <w:p w:rsidR="00500724" w:rsidRDefault="00F30FB8">
      <w:pPr>
        <w:pStyle w:val="Jin0"/>
        <w:shd w:val="clear" w:color="auto" w:fill="auto"/>
        <w:spacing w:after="60" w:line="180" w:lineRule="auto"/>
        <w:ind w:left="540" w:firstLine="0"/>
        <w:jc w:val="left"/>
        <w:rPr>
          <w:sz w:val="70"/>
          <w:szCs w:val="70"/>
        </w:rPr>
      </w:pPr>
      <w:r>
        <w:rPr>
          <w:rFonts w:ascii="Calibri" w:eastAsia="Calibri" w:hAnsi="Calibri" w:cs="Calibri"/>
          <w:b/>
          <w:bCs/>
          <w:w w:val="70"/>
          <w:sz w:val="70"/>
          <w:szCs w:val="70"/>
        </w:rPr>
        <w:t>Úspory a investice</w:t>
      </w:r>
    </w:p>
    <w:p w:rsidR="00500724" w:rsidRDefault="00F30FB8">
      <w:pPr>
        <w:pStyle w:val="Zkladntext50"/>
        <w:shd w:val="clear" w:color="auto" w:fill="auto"/>
        <w:spacing w:after="0" w:line="283" w:lineRule="auto"/>
        <w:ind w:left="980" w:firstLine="20"/>
        <w:jc w:val="left"/>
      </w:pPr>
      <w:r>
        <w:t>Právě vychází v Družstevní práci.</w:t>
      </w:r>
    </w:p>
    <w:p w:rsidR="00500724" w:rsidRDefault="00F30FB8">
      <w:pPr>
        <w:pStyle w:val="Zkladntext50"/>
        <w:shd w:val="clear" w:color="auto" w:fill="auto"/>
        <w:spacing w:line="283" w:lineRule="auto"/>
        <w:ind w:left="980" w:firstLine="20"/>
        <w:jc w:val="left"/>
      </w:pPr>
      <w:r>
        <w:t>Cena brož. Kč 25.—, váz. Kč 35.—.</w:t>
      </w:r>
    </w:p>
    <w:p w:rsidR="00500724" w:rsidRDefault="00F30FB8">
      <w:pPr>
        <w:pStyle w:val="Zkladntext50"/>
        <w:shd w:val="clear" w:color="auto" w:fill="auto"/>
        <w:spacing w:line="283" w:lineRule="auto"/>
        <w:ind w:left="1620"/>
        <w:jc w:val="left"/>
      </w:pPr>
      <w:r>
        <w:t>U všech knihkupců.</w:t>
      </w:r>
    </w:p>
    <w:p w:rsidR="00500724" w:rsidRDefault="00F30FB8">
      <w:pPr>
        <w:pStyle w:val="Nadpis80"/>
        <w:keepNext/>
        <w:keepLines/>
        <w:shd w:val="clear" w:color="auto" w:fill="auto"/>
        <w:spacing w:after="60"/>
        <w:ind w:left="540"/>
      </w:pPr>
      <w:bookmarkStart w:id="84" w:name="bookmark83"/>
      <w:r>
        <w:rPr>
          <w:rFonts w:ascii="Arial" w:eastAsia="Arial" w:hAnsi="Arial" w:cs="Arial"/>
          <w:u w:val="none"/>
        </w:rPr>
        <w:t>B.M. Klika, s.sr. o.,</w:t>
      </w:r>
      <w:bookmarkEnd w:id="84"/>
    </w:p>
    <w:p w:rsidR="00500724" w:rsidRDefault="00F30FB8">
      <w:pPr>
        <w:pStyle w:val="Jin0"/>
        <w:shd w:val="clear" w:color="auto" w:fill="auto"/>
        <w:spacing w:after="540"/>
        <w:ind w:left="220" w:firstLine="0"/>
        <w:jc w:val="center"/>
        <w:rPr>
          <w:sz w:val="28"/>
          <w:szCs w:val="28"/>
        </w:rPr>
      </w:pPr>
      <w:r>
        <w:rPr>
          <w:rFonts w:ascii="Arial" w:eastAsia="Arial" w:hAnsi="Arial" w:cs="Arial"/>
          <w:b/>
          <w:bCs/>
          <w:w w:val="70"/>
          <w:sz w:val="28"/>
          <w:szCs w:val="28"/>
        </w:rPr>
        <w:t>PRAHA II., NÁRODNÍ 36</w:t>
      </w:r>
    </w:p>
    <w:p w:rsidR="00500724" w:rsidRDefault="00F30FB8">
      <w:pPr>
        <w:pStyle w:val="Jin0"/>
        <w:shd w:val="clear" w:color="auto" w:fill="auto"/>
        <w:spacing w:after="380"/>
        <w:ind w:left="220" w:firstLine="0"/>
        <w:jc w:val="center"/>
        <w:rPr>
          <w:sz w:val="32"/>
          <w:szCs w:val="32"/>
        </w:rPr>
      </w:pPr>
      <w:r>
        <w:rPr>
          <w:rFonts w:ascii="Arial" w:eastAsia="Arial" w:hAnsi="Arial" w:cs="Arial"/>
          <w:sz w:val="26"/>
          <w:szCs w:val="26"/>
        </w:rPr>
        <w:t xml:space="preserve">Čtěte </w:t>
      </w:r>
      <w:r>
        <w:rPr>
          <w:i/>
          <w:iCs/>
          <w:sz w:val="32"/>
          <w:szCs w:val="32"/>
        </w:rPr>
        <w:t>LIDOVÉ NOVINY</w:t>
      </w:r>
    </w:p>
    <w:p w:rsidR="00500724" w:rsidRDefault="00F30FB8">
      <w:pPr>
        <w:pStyle w:val="Nadpis70"/>
        <w:keepNext/>
        <w:keepLines/>
        <w:shd w:val="clear" w:color="auto" w:fill="auto"/>
        <w:ind w:left="680" w:firstLine="40"/>
      </w:pPr>
      <w:bookmarkStart w:id="85" w:name="bookmark84"/>
      <w:r>
        <w:t>JOSEF KUBIAS</w:t>
      </w:r>
      <w:bookmarkEnd w:id="85"/>
    </w:p>
    <w:p w:rsidR="00500724" w:rsidRDefault="00F30FB8">
      <w:pPr>
        <w:pStyle w:val="Nadpis90"/>
        <w:keepNext/>
        <w:keepLines/>
        <w:shd w:val="clear" w:color="auto" w:fill="auto"/>
        <w:spacing w:after="0"/>
        <w:rPr>
          <w:sz w:val="54"/>
          <w:szCs w:val="54"/>
        </w:rPr>
      </w:pPr>
      <w:bookmarkStart w:id="86" w:name="bookmark85"/>
      <w:r>
        <w:t xml:space="preserve">PRACOVNÍM </w:t>
      </w:r>
      <w:r>
        <w:rPr>
          <w:smallCaps/>
          <w:sz w:val="54"/>
          <w:szCs w:val="54"/>
        </w:rPr>
        <w:t>stolkem</w:t>
      </w:r>
      <w:bookmarkEnd w:id="86"/>
    </w:p>
    <w:p w:rsidR="00500724" w:rsidRDefault="00F30FB8">
      <w:pPr>
        <w:pStyle w:val="Zkladntext40"/>
        <w:shd w:val="clear" w:color="auto" w:fill="auto"/>
        <w:tabs>
          <w:tab w:val="left" w:pos="3698"/>
        </w:tabs>
        <w:spacing w:after="0" w:line="163" w:lineRule="auto"/>
        <w:ind w:left="280" w:right="340" w:hanging="140"/>
        <w:jc w:val="left"/>
        <w:rPr>
          <w:sz w:val="16"/>
          <w:szCs w:val="16"/>
        </w:rPr>
      </w:pPr>
      <w:r>
        <w:rPr>
          <w:b/>
          <w:bCs/>
          <w:sz w:val="16"/>
          <w:szCs w:val="16"/>
        </w:rPr>
        <w:t>DOLEŽAL Jaromír Dr.. T. G. Masaryk. Soupis tisků v ci</w:t>
      </w:r>
      <w:r>
        <w:rPr>
          <w:b/>
          <w:bCs/>
          <w:sz w:val="16"/>
          <w:szCs w:val="16"/>
        </w:rPr>
        <w:softHyphen/>
        <w:t>zích jazycích. 23X15 cm, 296 str.,</w:t>
      </w:r>
      <w:r>
        <w:rPr>
          <w:b/>
          <w:bCs/>
          <w:sz w:val="16"/>
          <w:szCs w:val="16"/>
        </w:rPr>
        <w:tab/>
        <w:t>brož. Kč30.—</w:t>
      </w:r>
    </w:p>
    <w:p w:rsidR="00500724" w:rsidRDefault="00F30FB8">
      <w:pPr>
        <w:pStyle w:val="Zkladntext40"/>
        <w:shd w:val="clear" w:color="auto" w:fill="auto"/>
        <w:spacing w:after="0" w:line="166" w:lineRule="auto"/>
        <w:ind w:left="280" w:hanging="140"/>
        <w:jc w:val="left"/>
        <w:rPr>
          <w:sz w:val="16"/>
          <w:szCs w:val="16"/>
        </w:rPr>
      </w:pPr>
      <w:r>
        <w:rPr>
          <w:b/>
          <w:bCs/>
          <w:sz w:val="16"/>
          <w:szCs w:val="16"/>
        </w:rPr>
        <w:t>FRXČ F. - OPOČENSKÝ K., Mezinárodni Šachový turnaj světových mistrů v Holandsku 1938. 23X15 cm, 132 str.</w:t>
      </w:r>
    </w:p>
    <w:p w:rsidR="00500724" w:rsidRDefault="00F30FB8">
      <w:pPr>
        <w:pStyle w:val="Zkladntext40"/>
        <w:shd w:val="clear" w:color="auto" w:fill="auto"/>
        <w:spacing w:after="0" w:line="166" w:lineRule="auto"/>
        <w:ind w:left="3760"/>
        <w:jc w:val="left"/>
        <w:rPr>
          <w:sz w:val="16"/>
          <w:szCs w:val="16"/>
        </w:rPr>
      </w:pPr>
      <w:r>
        <w:rPr>
          <w:b/>
          <w:bCs/>
          <w:sz w:val="16"/>
          <w:szCs w:val="16"/>
        </w:rPr>
        <w:t>brož. Kě 25.—</w:t>
      </w:r>
    </w:p>
    <w:p w:rsidR="00500724" w:rsidRDefault="00F30FB8">
      <w:pPr>
        <w:pStyle w:val="Zkladntext40"/>
        <w:shd w:val="clear" w:color="auto" w:fill="auto"/>
        <w:tabs>
          <w:tab w:val="left" w:pos="3698"/>
        </w:tabs>
        <w:spacing w:after="0" w:line="166" w:lineRule="auto"/>
        <w:ind w:left="280" w:hanging="140"/>
        <w:jc w:val="left"/>
        <w:rPr>
          <w:sz w:val="16"/>
          <w:szCs w:val="16"/>
        </w:rPr>
      </w:pPr>
      <w:r>
        <w:rPr>
          <w:b/>
          <w:bCs/>
          <w:sz w:val="16"/>
          <w:szCs w:val="16"/>
        </w:rPr>
        <w:t>ŠÁDA</w:t>
      </w:r>
      <w:r>
        <w:rPr>
          <w:b/>
          <w:bCs/>
          <w:sz w:val="16"/>
          <w:szCs w:val="16"/>
        </w:rPr>
        <w:t xml:space="preserve"> Vilém, Směrné ceny v maloobchodu. (Richtpreise im Einzeihandel.) 26X18 cm, 125 str.,</w:t>
      </w:r>
      <w:r>
        <w:rPr>
          <w:b/>
          <w:bCs/>
          <w:sz w:val="16"/>
          <w:szCs w:val="16"/>
        </w:rPr>
        <w:tab/>
        <w:t>brož. Kč24.—</w:t>
      </w:r>
    </w:p>
    <w:p w:rsidR="00500724" w:rsidRDefault="00F30FB8">
      <w:pPr>
        <w:pStyle w:val="Zkladntext40"/>
        <w:shd w:val="clear" w:color="auto" w:fill="auto"/>
        <w:tabs>
          <w:tab w:val="left" w:pos="3698"/>
        </w:tabs>
        <w:spacing w:after="160" w:line="166" w:lineRule="auto"/>
        <w:ind w:left="280" w:right="340" w:hanging="140"/>
        <w:jc w:val="left"/>
        <w:rPr>
          <w:sz w:val="16"/>
          <w:szCs w:val="16"/>
        </w:rPr>
      </w:pPr>
      <w:r>
        <w:rPr>
          <w:b/>
          <w:bCs/>
          <w:sz w:val="16"/>
          <w:szCs w:val="16"/>
        </w:rPr>
        <w:t>SIR Miroslav, Obchodní a platební styk s cizinou. 21X16 cm, 62 str.,</w:t>
      </w:r>
      <w:r>
        <w:rPr>
          <w:b/>
          <w:bCs/>
          <w:sz w:val="16"/>
          <w:szCs w:val="16"/>
        </w:rPr>
        <w:tab/>
        <w:t>brož. Kč 12.—</w:t>
      </w:r>
    </w:p>
    <w:p w:rsidR="00500724" w:rsidRDefault="00F30FB8">
      <w:pPr>
        <w:pStyle w:val="Zkladntext40"/>
        <w:shd w:val="clear" w:color="auto" w:fill="auto"/>
        <w:tabs>
          <w:tab w:val="left" w:pos="3698"/>
        </w:tabs>
        <w:spacing w:after="0" w:line="166" w:lineRule="auto"/>
        <w:ind w:left="280" w:right="340" w:hanging="140"/>
        <w:jc w:val="left"/>
        <w:rPr>
          <w:sz w:val="16"/>
          <w:szCs w:val="16"/>
        </w:rPr>
      </w:pPr>
      <w:r>
        <w:rPr>
          <w:b/>
          <w:bCs/>
          <w:sz w:val="16"/>
          <w:szCs w:val="16"/>
          <w:lang w:val="en-US" w:eastAsia="en-US" w:bidi="en-US"/>
        </w:rPr>
        <w:t xml:space="preserve">BROOKS Collin, Can </w:t>
      </w:r>
      <w:r>
        <w:rPr>
          <w:b/>
          <w:bCs/>
          <w:sz w:val="16"/>
          <w:szCs w:val="16"/>
        </w:rPr>
        <w:t xml:space="preserve">Chamb erlain </w:t>
      </w:r>
      <w:r>
        <w:rPr>
          <w:b/>
          <w:bCs/>
          <w:sz w:val="16"/>
          <w:szCs w:val="16"/>
          <w:lang w:val="en-US" w:eastAsia="en-US" w:bidi="en-US"/>
        </w:rPr>
        <w:t>Save Britain? 22.5 X14 cm. 247 str.,</w:t>
      </w:r>
      <w:r>
        <w:rPr>
          <w:b/>
          <w:bCs/>
          <w:sz w:val="16"/>
          <w:szCs w:val="16"/>
          <w:lang w:val="en-US" w:eastAsia="en-US" w:bidi="en-US"/>
        </w:rPr>
        <w:tab/>
      </w:r>
      <w:r>
        <w:rPr>
          <w:b/>
          <w:bCs/>
          <w:sz w:val="16"/>
          <w:szCs w:val="16"/>
        </w:rPr>
        <w:t xml:space="preserve">váz. </w:t>
      </w:r>
      <w:r>
        <w:rPr>
          <w:b/>
          <w:bCs/>
          <w:sz w:val="16"/>
          <w:szCs w:val="16"/>
        </w:rPr>
        <w:t xml:space="preserve">Kč </w:t>
      </w:r>
      <w:r>
        <w:rPr>
          <w:b/>
          <w:bCs/>
          <w:sz w:val="16"/>
          <w:szCs w:val="16"/>
          <w:lang w:val="en-US" w:eastAsia="en-US" w:bidi="en-US"/>
        </w:rPr>
        <w:t>60.—</w:t>
      </w:r>
    </w:p>
    <w:p w:rsidR="00500724" w:rsidRDefault="00F30FB8">
      <w:pPr>
        <w:pStyle w:val="Zkladntext40"/>
        <w:shd w:val="clear" w:color="auto" w:fill="auto"/>
        <w:tabs>
          <w:tab w:val="left" w:pos="3698"/>
        </w:tabs>
        <w:spacing w:after="0" w:line="166" w:lineRule="auto"/>
        <w:ind w:left="280" w:hanging="140"/>
        <w:jc w:val="left"/>
        <w:rPr>
          <w:sz w:val="16"/>
          <w:szCs w:val="16"/>
        </w:rPr>
      </w:pPr>
      <w:r>
        <w:rPr>
          <w:b/>
          <w:bCs/>
          <w:sz w:val="16"/>
          <w:szCs w:val="16"/>
          <w:lang w:val="en-US" w:eastAsia="en-US" w:bidi="en-US"/>
        </w:rPr>
        <w:t xml:space="preserve">LLOYD GEORGE David, The Truth about the Peace Treaties. 23 X 14.5 cm, I. di 1, 735 </w:t>
      </w:r>
      <w:r>
        <w:rPr>
          <w:b/>
          <w:bCs/>
          <w:sz w:val="16"/>
          <w:szCs w:val="16"/>
        </w:rPr>
        <w:t>str.,</w:t>
      </w:r>
      <w:r>
        <w:rPr>
          <w:b/>
          <w:bCs/>
          <w:sz w:val="16"/>
          <w:szCs w:val="16"/>
        </w:rPr>
        <w:tab/>
        <w:t xml:space="preserve">váz, Kč </w:t>
      </w:r>
      <w:r>
        <w:rPr>
          <w:b/>
          <w:bCs/>
          <w:sz w:val="16"/>
          <w:szCs w:val="16"/>
          <w:lang w:val="en-US" w:eastAsia="en-US" w:bidi="en-US"/>
        </w:rPr>
        <w:t>144.—</w:t>
      </w:r>
    </w:p>
    <w:p w:rsidR="00500724" w:rsidRDefault="00F30FB8">
      <w:pPr>
        <w:pStyle w:val="Zkladntext40"/>
        <w:shd w:val="clear" w:color="auto" w:fill="auto"/>
        <w:tabs>
          <w:tab w:val="left" w:pos="3698"/>
        </w:tabs>
        <w:spacing w:after="0" w:line="166" w:lineRule="auto"/>
        <w:ind w:left="280" w:firstLine="20"/>
        <w:rPr>
          <w:sz w:val="16"/>
          <w:szCs w:val="16"/>
        </w:rPr>
      </w:pPr>
      <w:r>
        <w:rPr>
          <w:b/>
          <w:bCs/>
          <w:sz w:val="16"/>
          <w:szCs w:val="16"/>
          <w:lang w:val="en-US" w:eastAsia="en-US" w:bidi="en-US"/>
        </w:rPr>
        <w:t xml:space="preserve">II. </w:t>
      </w:r>
      <w:r>
        <w:rPr>
          <w:b/>
          <w:bCs/>
          <w:sz w:val="16"/>
          <w:szCs w:val="16"/>
        </w:rPr>
        <w:t xml:space="preserve">díl,, </w:t>
      </w:r>
      <w:r>
        <w:rPr>
          <w:b/>
          <w:bCs/>
          <w:sz w:val="16"/>
          <w:szCs w:val="16"/>
          <w:lang w:val="en-US" w:eastAsia="en-US" w:bidi="en-US"/>
        </w:rPr>
        <w:t>732 str..</w:t>
      </w:r>
      <w:r>
        <w:rPr>
          <w:b/>
          <w:bCs/>
          <w:sz w:val="16"/>
          <w:szCs w:val="16"/>
          <w:lang w:val="en-US" w:eastAsia="en-US" w:bidi="en-US"/>
        </w:rPr>
        <w:tab/>
      </w:r>
      <w:r>
        <w:rPr>
          <w:b/>
          <w:bCs/>
          <w:sz w:val="16"/>
          <w:szCs w:val="16"/>
        </w:rPr>
        <w:t>váz. Kč144.—</w:t>
      </w:r>
    </w:p>
    <w:p w:rsidR="00500724" w:rsidRDefault="00F30FB8">
      <w:pPr>
        <w:pStyle w:val="Zkladntext40"/>
        <w:shd w:val="clear" w:color="auto" w:fill="auto"/>
        <w:spacing w:after="0" w:line="166" w:lineRule="auto"/>
        <w:ind w:firstLine="140"/>
        <w:rPr>
          <w:sz w:val="16"/>
          <w:szCs w:val="16"/>
        </w:rPr>
      </w:pPr>
      <w:r>
        <w:rPr>
          <w:b/>
          <w:bCs/>
          <w:sz w:val="16"/>
          <w:szCs w:val="16"/>
        </w:rPr>
        <w:t>o</w:t>
      </w:r>
    </w:p>
    <w:p w:rsidR="00500724" w:rsidRDefault="00F30FB8">
      <w:pPr>
        <w:pStyle w:val="Zkladntext40"/>
        <w:shd w:val="clear" w:color="auto" w:fill="auto"/>
        <w:tabs>
          <w:tab w:val="left" w:pos="3698"/>
        </w:tabs>
        <w:spacing w:after="0" w:line="163" w:lineRule="auto"/>
        <w:ind w:left="280" w:right="340" w:hanging="140"/>
        <w:jc w:val="left"/>
        <w:rPr>
          <w:sz w:val="16"/>
          <w:szCs w:val="16"/>
        </w:rPr>
      </w:pPr>
      <w:r>
        <w:rPr>
          <w:b/>
          <w:bCs/>
          <w:sz w:val="16"/>
          <w:szCs w:val="16"/>
        </w:rPr>
        <w:t xml:space="preserve">COURTEVILLE R„ Le Matto </w:t>
      </w:r>
      <w:r>
        <w:rPr>
          <w:b/>
          <w:bCs/>
          <w:sz w:val="16"/>
          <w:szCs w:val="16"/>
          <w:lang w:val="en-US" w:eastAsia="en-US" w:bidi="en-US"/>
        </w:rPr>
        <w:t xml:space="preserve">-Grosso. </w:t>
      </w:r>
      <w:r>
        <w:rPr>
          <w:b/>
          <w:bCs/>
          <w:sz w:val="16"/>
          <w:szCs w:val="16"/>
        </w:rPr>
        <w:t xml:space="preserve">Préíace du Général G. </w:t>
      </w:r>
      <w:r>
        <w:rPr>
          <w:b/>
          <w:bCs/>
          <w:sz w:val="16"/>
          <w:szCs w:val="16"/>
          <w:lang w:val="en-US" w:eastAsia="en-US" w:bidi="en-US"/>
        </w:rPr>
        <w:t xml:space="preserve">Perrier. </w:t>
      </w:r>
      <w:r>
        <w:rPr>
          <w:b/>
          <w:bCs/>
          <w:sz w:val="16"/>
          <w:szCs w:val="16"/>
        </w:rPr>
        <w:t>23 X14 cm, 236 str.,</w:t>
      </w:r>
      <w:r>
        <w:rPr>
          <w:b/>
          <w:bCs/>
          <w:sz w:val="16"/>
          <w:szCs w:val="16"/>
        </w:rPr>
        <w:tab/>
        <w:t>brož. Kč 40.—</w:t>
      </w:r>
    </w:p>
    <w:p w:rsidR="00500724" w:rsidRDefault="00F30FB8">
      <w:pPr>
        <w:pStyle w:val="Zkladntext40"/>
        <w:shd w:val="clear" w:color="auto" w:fill="auto"/>
        <w:spacing w:after="0" w:line="163" w:lineRule="auto"/>
        <w:ind w:left="280" w:hanging="140"/>
        <w:jc w:val="left"/>
        <w:rPr>
          <w:sz w:val="16"/>
          <w:szCs w:val="16"/>
        </w:rPr>
      </w:pPr>
      <w:r>
        <w:rPr>
          <w:b/>
          <w:bCs/>
          <w:sz w:val="16"/>
          <w:szCs w:val="16"/>
          <w:lang w:val="en-US" w:eastAsia="en-US" w:bidi="en-US"/>
        </w:rPr>
        <w:t xml:space="preserve">REED </w:t>
      </w:r>
      <w:r>
        <w:rPr>
          <w:b/>
          <w:bCs/>
          <w:sz w:val="16"/>
          <w:szCs w:val="16"/>
        </w:rPr>
        <w:t xml:space="preserve">W. H. - </w:t>
      </w:r>
      <w:r>
        <w:rPr>
          <w:b/>
          <w:bCs/>
          <w:sz w:val="16"/>
          <w:szCs w:val="16"/>
          <w:lang w:val="en-US" w:eastAsia="en-US" w:bidi="en-US"/>
        </w:rPr>
        <w:t xml:space="preserve">LUCAS J. </w:t>
      </w:r>
      <w:r>
        <w:rPr>
          <w:b/>
          <w:bCs/>
          <w:sz w:val="16"/>
          <w:szCs w:val="16"/>
        </w:rPr>
        <w:t xml:space="preserve">M., Les étapes des espěces </w:t>
      </w:r>
      <w:r>
        <w:rPr>
          <w:b/>
          <w:bCs/>
          <w:sz w:val="16"/>
          <w:szCs w:val="16"/>
          <w:lang w:val="en-US" w:eastAsia="en-US" w:bidi="en-US"/>
        </w:rPr>
        <w:t>ani</w:t>
      </w:r>
      <w:r>
        <w:rPr>
          <w:b/>
          <w:bCs/>
          <w:sz w:val="16"/>
          <w:szCs w:val="16"/>
          <w:lang w:val="en-US" w:eastAsia="en-US" w:bidi="en-US"/>
        </w:rPr>
        <w:softHyphen/>
        <w:t xml:space="preserve">mates. </w:t>
      </w:r>
      <w:r>
        <w:rPr>
          <w:b/>
          <w:bCs/>
          <w:sz w:val="16"/>
          <w:szCs w:val="16"/>
        </w:rPr>
        <w:t>23X14 cm, s 28 reprodukcemi, 214 str.,</w:t>
      </w:r>
    </w:p>
    <w:p w:rsidR="00500724" w:rsidRDefault="00F30FB8">
      <w:pPr>
        <w:pStyle w:val="Zkladntext40"/>
        <w:shd w:val="clear" w:color="auto" w:fill="auto"/>
        <w:tabs>
          <w:tab w:val="left" w:pos="3698"/>
        </w:tabs>
        <w:spacing w:after="0" w:line="163" w:lineRule="auto"/>
        <w:ind w:firstLine="140"/>
        <w:rPr>
          <w:sz w:val="16"/>
          <w:szCs w:val="16"/>
        </w:rPr>
      </w:pPr>
      <w:r>
        <w:rPr>
          <w:b/>
          <w:bCs/>
          <w:sz w:val="16"/>
          <w:szCs w:val="16"/>
        </w:rPr>
        <w:t>•</w:t>
      </w:r>
      <w:r>
        <w:rPr>
          <w:b/>
          <w:bCs/>
          <w:sz w:val="16"/>
          <w:szCs w:val="16"/>
        </w:rPr>
        <w:tab/>
        <w:t>brož. Kč 40.—</w:t>
      </w:r>
    </w:p>
    <w:p w:rsidR="00500724" w:rsidRDefault="00F30FB8">
      <w:pPr>
        <w:pStyle w:val="Zkladntext40"/>
        <w:shd w:val="clear" w:color="auto" w:fill="auto"/>
        <w:tabs>
          <w:tab w:val="left" w:pos="3698"/>
        </w:tabs>
        <w:spacing w:after="80" w:line="170" w:lineRule="auto"/>
        <w:ind w:left="280" w:hanging="140"/>
        <w:jc w:val="left"/>
        <w:rPr>
          <w:sz w:val="16"/>
          <w:szCs w:val="16"/>
        </w:rPr>
      </w:pPr>
      <w:r>
        <w:rPr>
          <w:b/>
          <w:bCs/>
          <w:sz w:val="16"/>
          <w:szCs w:val="16"/>
          <w:lang w:val="en-US" w:eastAsia="en-US" w:bidi="en-US"/>
        </w:rPr>
        <w:t xml:space="preserve">THIEL </w:t>
      </w:r>
      <w:r>
        <w:rPr>
          <w:b/>
          <w:bCs/>
          <w:sz w:val="16"/>
          <w:szCs w:val="16"/>
        </w:rPr>
        <w:t xml:space="preserve">Rudolf, </w:t>
      </w:r>
      <w:r>
        <w:rPr>
          <w:b/>
          <w:bCs/>
          <w:sz w:val="16"/>
          <w:szCs w:val="16"/>
          <w:lang w:val="en-US" w:eastAsia="en-US" w:bidi="en-US"/>
        </w:rPr>
        <w:t xml:space="preserve">Jesus Christ us </w:t>
      </w:r>
      <w:r>
        <w:rPr>
          <w:b/>
          <w:bCs/>
          <w:sz w:val="16"/>
          <w:szCs w:val="16"/>
        </w:rPr>
        <w:t xml:space="preserve">und </w:t>
      </w:r>
      <w:r>
        <w:rPr>
          <w:b/>
          <w:bCs/>
          <w:sz w:val="16"/>
          <w:szCs w:val="16"/>
          <w:lang w:val="en-US" w:eastAsia="en-US" w:bidi="en-US"/>
        </w:rPr>
        <w:t xml:space="preserve">die </w:t>
      </w:r>
      <w:r>
        <w:rPr>
          <w:b/>
          <w:bCs/>
          <w:sz w:val="16"/>
          <w:szCs w:val="16"/>
        </w:rPr>
        <w:t xml:space="preserve">Wlssenschaft. 22X14.5 </w:t>
      </w:r>
      <w:r>
        <w:rPr>
          <w:b/>
          <w:bCs/>
          <w:sz w:val="16"/>
          <w:szCs w:val="16"/>
          <w:lang w:val="en-US" w:eastAsia="en-US" w:bidi="en-US"/>
        </w:rPr>
        <w:t xml:space="preserve">cm, </w:t>
      </w:r>
      <w:r>
        <w:rPr>
          <w:b/>
          <w:bCs/>
          <w:sz w:val="16"/>
          <w:szCs w:val="16"/>
        </w:rPr>
        <w:t>372 str.,</w:t>
      </w:r>
      <w:r>
        <w:rPr>
          <w:b/>
          <w:bCs/>
          <w:sz w:val="16"/>
          <w:szCs w:val="16"/>
        </w:rPr>
        <w:tab/>
        <w:t>váz. Kč 75.—</w:t>
      </w:r>
    </w:p>
    <w:p w:rsidR="00500724" w:rsidRDefault="00F30FB8">
      <w:pPr>
        <w:pStyle w:val="Jin0"/>
        <w:shd w:val="clear" w:color="auto" w:fill="auto"/>
        <w:ind w:firstLine="140"/>
        <w:rPr>
          <w:sz w:val="28"/>
          <w:szCs w:val="28"/>
        </w:rPr>
      </w:pPr>
      <w:r>
        <w:rPr>
          <w:rFonts w:ascii="Arial" w:eastAsia="Arial" w:hAnsi="Arial" w:cs="Arial"/>
          <w:b/>
          <w:bCs/>
          <w:w w:val="70"/>
          <w:sz w:val="28"/>
          <w:szCs w:val="28"/>
        </w:rPr>
        <w:t xml:space="preserve">F. Topič, knihkupectví, Praha </w:t>
      </w:r>
      <w:r>
        <w:rPr>
          <w:rFonts w:ascii="Arial" w:eastAsia="Arial" w:hAnsi="Arial" w:cs="Arial"/>
          <w:sz w:val="30"/>
          <w:szCs w:val="30"/>
        </w:rPr>
        <w:t xml:space="preserve">i., </w:t>
      </w:r>
      <w:r>
        <w:rPr>
          <w:rFonts w:ascii="Arial" w:eastAsia="Arial" w:hAnsi="Arial" w:cs="Arial"/>
          <w:b/>
          <w:bCs/>
          <w:w w:val="70"/>
          <w:sz w:val="28"/>
          <w:szCs w:val="28"/>
        </w:rPr>
        <w:t>Národní 11 a</w:t>
      </w:r>
    </w:p>
    <w:p w:rsidR="00500724" w:rsidRDefault="00F30FB8">
      <w:pPr>
        <w:pStyle w:val="Jin0"/>
        <w:shd w:val="clear" w:color="auto" w:fill="auto"/>
        <w:ind w:firstLine="140"/>
        <w:sectPr w:rsidR="00500724">
          <w:footnotePr>
            <w:numFmt w:val="chicago"/>
            <w:numRestart w:val="eachPage"/>
          </w:footnotePr>
          <w:type w:val="continuous"/>
          <w:pgSz w:w="11909" w:h="16834"/>
          <w:pgMar w:top="591" w:right="943" w:bottom="591" w:left="487" w:header="0" w:footer="3" w:gutter="0"/>
          <w:cols w:num="2" w:sep="1" w:space="187"/>
          <w:noEndnote/>
          <w:docGrid w:linePitch="360"/>
        </w:sectPr>
      </w:pPr>
      <w:r>
        <w:rPr>
          <w:rFonts w:ascii="Arial" w:eastAsia="Arial" w:hAnsi="Arial" w:cs="Arial"/>
          <w:b/>
          <w:bCs/>
          <w:w w:val="70"/>
        </w:rPr>
        <w:t>Fr. Borový, akademické kníhkuoedvo Bratislava, Dunajská 21</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83"/>
        <w:gridCol w:w="3667"/>
      </w:tblGrid>
      <w:tr w:rsidR="00500724">
        <w:tblPrEx>
          <w:tblCellMar>
            <w:top w:w="0" w:type="dxa"/>
            <w:bottom w:w="0" w:type="dxa"/>
          </w:tblCellMar>
        </w:tblPrEx>
        <w:trPr>
          <w:trHeight w:hRule="exact" w:val="811"/>
          <w:jc w:val="center"/>
        </w:trPr>
        <w:tc>
          <w:tcPr>
            <w:tcW w:w="0" w:type="auto"/>
            <w:tcBorders>
              <w:left w:val="single" w:sz="4" w:space="0" w:color="auto"/>
            </w:tcBorders>
            <w:shd w:val="clear" w:color="auto" w:fill="FFFFFF"/>
            <w:vAlign w:val="center"/>
          </w:tcPr>
          <w:p w:rsidR="00500724" w:rsidRDefault="00F30FB8">
            <w:pPr>
              <w:pStyle w:val="Jin0"/>
              <w:shd w:val="clear" w:color="auto" w:fill="auto"/>
              <w:tabs>
                <w:tab w:val="left" w:pos="3830"/>
              </w:tabs>
              <w:ind w:left="360" w:firstLine="0"/>
              <w:rPr>
                <w:sz w:val="20"/>
                <w:szCs w:val="20"/>
              </w:rPr>
            </w:pPr>
            <w:r>
              <w:rPr>
                <w:b/>
                <w:bCs/>
                <w:sz w:val="20"/>
                <w:szCs w:val="20"/>
              </w:rPr>
              <w:t>ROČNÍK XVI</w:t>
            </w:r>
            <w:r>
              <w:rPr>
                <w:b/>
                <w:bCs/>
                <w:sz w:val="20"/>
                <w:szCs w:val="20"/>
              </w:rPr>
              <w:tab/>
              <w:t>V PRAZE 25. LEDNA 1939</w:t>
            </w:r>
          </w:p>
        </w:tc>
        <w:tc>
          <w:tcPr>
            <w:tcW w:w="0" w:type="auto"/>
            <w:tcBorders>
              <w:right w:val="single" w:sz="4" w:space="0" w:color="auto"/>
            </w:tcBorders>
            <w:shd w:val="clear" w:color="auto" w:fill="FFFFFF"/>
            <w:vAlign w:val="center"/>
          </w:tcPr>
          <w:p w:rsidR="00500724" w:rsidRDefault="00F30FB8">
            <w:pPr>
              <w:pStyle w:val="Jin0"/>
              <w:shd w:val="clear" w:color="auto" w:fill="auto"/>
              <w:ind w:right="340" w:firstLine="0"/>
              <w:jc w:val="right"/>
              <w:rPr>
                <w:sz w:val="20"/>
                <w:szCs w:val="20"/>
              </w:rPr>
            </w:pPr>
            <w:r>
              <w:rPr>
                <w:b/>
                <w:bCs/>
                <w:sz w:val="20"/>
                <w:szCs w:val="20"/>
              </w:rPr>
              <w:t>ZA Kč 2.—</w:t>
            </w:r>
          </w:p>
        </w:tc>
      </w:tr>
      <w:tr w:rsidR="00500724">
        <w:tblPrEx>
          <w:tblCellMar>
            <w:top w:w="0" w:type="dxa"/>
            <w:bottom w:w="0" w:type="dxa"/>
          </w:tblCellMar>
        </w:tblPrEx>
        <w:trPr>
          <w:trHeight w:hRule="exact" w:val="2122"/>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60" w:firstLine="0"/>
              <w:jc w:val="left"/>
              <w:rPr>
                <w:sz w:val="58"/>
                <w:szCs w:val="58"/>
              </w:rPr>
            </w:pPr>
            <w:r>
              <w:rPr>
                <w:sz w:val="58"/>
                <w:szCs w:val="58"/>
              </w:rPr>
              <w:t>Ještě jednou o loňském roku</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40" w:firstLine="0"/>
              <w:jc w:val="right"/>
              <w:rPr>
                <w:sz w:val="26"/>
                <w:szCs w:val="26"/>
              </w:rPr>
            </w:pPr>
            <w:r>
              <w:rPr>
                <w:sz w:val="26"/>
                <w:szCs w:val="26"/>
              </w:rPr>
              <w:t>F. PEROUTKA</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tcPr>
          <w:p w:rsidR="00500724" w:rsidRDefault="00F30FB8">
            <w:pPr>
              <w:pStyle w:val="Jin0"/>
              <w:shd w:val="clear" w:color="auto" w:fill="auto"/>
              <w:ind w:left="4860" w:firstLine="0"/>
              <w:jc w:val="left"/>
              <w:rPr>
                <w:sz w:val="20"/>
                <w:szCs w:val="20"/>
              </w:rPr>
            </w:pPr>
            <w:r>
              <w:rPr>
                <w:b/>
                <w:bCs/>
                <w:sz w:val="20"/>
                <w:szCs w:val="20"/>
              </w:rPr>
              <w:t>v</w:t>
            </w:r>
          </w:p>
          <w:p w:rsidR="00500724" w:rsidRDefault="00F30FB8">
            <w:pPr>
              <w:pStyle w:val="Jin0"/>
              <w:shd w:val="clear" w:color="auto" w:fill="auto"/>
              <w:spacing w:line="180" w:lineRule="auto"/>
              <w:ind w:left="360" w:firstLine="0"/>
              <w:jc w:val="left"/>
              <w:rPr>
                <w:sz w:val="58"/>
                <w:szCs w:val="58"/>
              </w:rPr>
            </w:pPr>
            <w:r>
              <w:rPr>
                <w:sz w:val="58"/>
                <w:szCs w:val="58"/>
              </w:rPr>
              <w:t>Proč umřel Karel Čapek</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40" w:firstLine="0"/>
              <w:jc w:val="right"/>
              <w:rPr>
                <w:sz w:val="26"/>
                <w:szCs w:val="26"/>
              </w:rPr>
            </w:pPr>
            <w:r>
              <w:rPr>
                <w:sz w:val="26"/>
                <w:szCs w:val="26"/>
                <w:lang w:val="en-US" w:eastAsia="en-US" w:bidi="en-US"/>
              </w:rPr>
              <w:t xml:space="preserve">WILLI </w:t>
            </w:r>
            <w:r>
              <w:rPr>
                <w:sz w:val="26"/>
                <w:szCs w:val="26"/>
              </w:rPr>
              <w:t>SCHLAMM</w:t>
            </w:r>
          </w:p>
        </w:tc>
      </w:tr>
      <w:tr w:rsidR="00500724">
        <w:tblPrEx>
          <w:tblCellMar>
            <w:top w:w="0" w:type="dxa"/>
            <w:bottom w:w="0" w:type="dxa"/>
          </w:tblCellMar>
        </w:tblPrEx>
        <w:trPr>
          <w:trHeight w:hRule="exact" w:val="119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60" w:firstLine="0"/>
              <w:jc w:val="left"/>
              <w:rPr>
                <w:sz w:val="58"/>
                <w:szCs w:val="58"/>
              </w:rPr>
            </w:pPr>
            <w:r>
              <w:rPr>
                <w:sz w:val="58"/>
                <w:szCs w:val="58"/>
              </w:rPr>
              <w:t>Uprchlíci ve vlastní zemi</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40" w:firstLine="0"/>
              <w:jc w:val="right"/>
              <w:rPr>
                <w:sz w:val="26"/>
                <w:szCs w:val="26"/>
              </w:rPr>
            </w:pPr>
            <w:r>
              <w:rPr>
                <w:sz w:val="26"/>
                <w:szCs w:val="26"/>
              </w:rPr>
              <w:t>KORNEL SYNEK</w:t>
            </w:r>
          </w:p>
        </w:tc>
      </w:tr>
      <w:tr w:rsidR="00500724">
        <w:tblPrEx>
          <w:tblCellMar>
            <w:top w:w="0" w:type="dxa"/>
            <w:bottom w:w="0" w:type="dxa"/>
          </w:tblCellMar>
        </w:tblPrEx>
        <w:trPr>
          <w:trHeight w:hRule="exact" w:val="119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60" w:firstLine="0"/>
              <w:jc w:val="left"/>
              <w:rPr>
                <w:sz w:val="58"/>
                <w:szCs w:val="58"/>
              </w:rPr>
            </w:pPr>
            <w:r>
              <w:rPr>
                <w:sz w:val="58"/>
                <w:szCs w:val="58"/>
              </w:rPr>
              <w:t>Proč nemluvíte, mladí?</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40" w:firstLine="0"/>
              <w:jc w:val="right"/>
              <w:rPr>
                <w:sz w:val="26"/>
                <w:szCs w:val="26"/>
              </w:rPr>
            </w:pPr>
            <w:r>
              <w:rPr>
                <w:sz w:val="26"/>
                <w:szCs w:val="26"/>
              </w:rPr>
              <w:t>MILENA JESENSKÁ</w:t>
            </w:r>
          </w:p>
        </w:tc>
      </w:tr>
      <w:tr w:rsidR="00500724">
        <w:tblPrEx>
          <w:tblCellMar>
            <w:top w:w="0" w:type="dxa"/>
            <w:bottom w:w="0" w:type="dxa"/>
          </w:tblCellMar>
        </w:tblPrEx>
        <w:trPr>
          <w:trHeight w:hRule="exact" w:val="119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60" w:firstLine="0"/>
              <w:jc w:val="center"/>
              <w:rPr>
                <w:sz w:val="44"/>
                <w:szCs w:val="44"/>
              </w:rPr>
            </w:pPr>
            <w:r>
              <w:rPr>
                <w:rFonts w:ascii="Calibri" w:eastAsia="Calibri" w:hAnsi="Calibri" w:cs="Calibri"/>
                <w:b/>
                <w:bCs/>
                <w:w w:val="70"/>
                <w:sz w:val="44"/>
                <w:szCs w:val="44"/>
              </w:rPr>
              <w:t>Život a kariéra muže, který prý zachránil mír</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40" w:firstLine="0"/>
              <w:jc w:val="right"/>
              <w:rPr>
                <w:sz w:val="26"/>
                <w:szCs w:val="26"/>
              </w:rPr>
            </w:pPr>
            <w:r>
              <w:rPr>
                <w:sz w:val="26"/>
                <w:szCs w:val="26"/>
                <w:lang w:val="en-US" w:eastAsia="en-US" w:bidi="en-US"/>
              </w:rPr>
              <w:t>STUART HODGSON</w:t>
            </w:r>
          </w:p>
        </w:tc>
      </w:tr>
      <w:tr w:rsidR="00500724">
        <w:tblPrEx>
          <w:tblCellMar>
            <w:top w:w="0" w:type="dxa"/>
            <w:bottom w:w="0" w:type="dxa"/>
          </w:tblCellMar>
        </w:tblPrEx>
        <w:trPr>
          <w:trHeight w:hRule="exact" w:val="145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60" w:firstLine="0"/>
              <w:jc w:val="left"/>
              <w:rPr>
                <w:sz w:val="58"/>
                <w:szCs w:val="58"/>
              </w:rPr>
            </w:pPr>
            <w:r>
              <w:rPr>
                <w:sz w:val="58"/>
                <w:szCs w:val="58"/>
              </w:rPr>
              <w:t>Španělsko vykrvácí?</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40" w:firstLine="0"/>
              <w:jc w:val="right"/>
              <w:rPr>
                <w:sz w:val="26"/>
                <w:szCs w:val="26"/>
              </w:rPr>
            </w:pPr>
            <w:r>
              <w:rPr>
                <w:sz w:val="26"/>
                <w:szCs w:val="26"/>
              </w:rPr>
              <w:t>JOSEF PACHTA</w:t>
            </w:r>
          </w:p>
        </w:tc>
      </w:tr>
    </w:tbl>
    <w:p w:rsidR="00500724" w:rsidRDefault="00F30FB8">
      <w:pPr>
        <w:pStyle w:val="Titulektabulky0"/>
        <w:shd w:val="clear" w:color="auto" w:fill="auto"/>
        <w:jc w:val="center"/>
        <w:rPr>
          <w:sz w:val="26"/>
          <w:szCs w:val="26"/>
        </w:rPr>
      </w:pPr>
      <w:r>
        <w:rPr>
          <w:sz w:val="26"/>
          <w:szCs w:val="26"/>
          <w:lang w:val="en-US" w:eastAsia="en-US" w:bidi="en-US"/>
        </w:rPr>
        <w:t xml:space="preserve">Co </w:t>
      </w:r>
      <w:r>
        <w:rPr>
          <w:sz w:val="26"/>
          <w:szCs w:val="26"/>
        </w:rPr>
        <w:t xml:space="preserve">je </w:t>
      </w:r>
      <w:r>
        <w:rPr>
          <w:sz w:val="26"/>
          <w:szCs w:val="26"/>
          <w:lang w:val="en-US" w:eastAsia="en-US" w:bidi="en-US"/>
        </w:rPr>
        <w:t xml:space="preserve">to </w:t>
      </w:r>
      <w:r>
        <w:rPr>
          <w:sz w:val="26"/>
          <w:szCs w:val="26"/>
        </w:rPr>
        <w:t xml:space="preserve">»mnichovská </w:t>
      </w:r>
      <w:r>
        <w:rPr>
          <w:sz w:val="26"/>
          <w:szCs w:val="26"/>
          <w:lang w:val="en-US" w:eastAsia="en-US" w:bidi="en-US"/>
        </w:rPr>
        <w:t xml:space="preserve">politika« </w:t>
      </w:r>
      <w:r>
        <w:rPr>
          <w:sz w:val="26"/>
          <w:szCs w:val="26"/>
        </w:rPr>
        <w:t>a jak zatím dopadla — Zůstáváme průmyslovým stá</w:t>
      </w:r>
      <w:r>
        <w:rPr>
          <w:sz w:val="26"/>
          <w:szCs w:val="26"/>
        </w:rPr>
        <w:softHyphen/>
      </w:r>
      <w:r>
        <w:rPr>
          <w:sz w:val="26"/>
          <w:szCs w:val="26"/>
        </w:rPr>
        <w:t xml:space="preserve">tem — Hrozinky a vánočka — Francie, náš obchodní přítel — Směr našeho vývozu — Dvojí pojem práce — </w:t>
      </w:r>
      <w:r>
        <w:rPr>
          <w:sz w:val="26"/>
          <w:szCs w:val="26"/>
          <w:lang w:val="en-US" w:eastAsia="en-US" w:bidi="en-US"/>
        </w:rPr>
        <w:t xml:space="preserve">Jules </w:t>
      </w:r>
      <w:r>
        <w:rPr>
          <w:sz w:val="26"/>
          <w:szCs w:val="26"/>
        </w:rPr>
        <w:t>Romains se obhajuje — Odpověď Slovincovi — Dopis sedláka o Masarykovi — Proč jen pět? — Proč jste to v »Přítomnosti« nenašli</w:t>
      </w:r>
    </w:p>
    <w:p w:rsidR="00500724" w:rsidRDefault="00500724">
      <w:pPr>
        <w:spacing w:line="14" w:lineRule="exact"/>
        <w:sectPr w:rsidR="00500724">
          <w:footnotePr>
            <w:numFmt w:val="chicago"/>
            <w:numRestart w:val="eachPage"/>
          </w:footnotePr>
          <w:pgSz w:w="11909" w:h="16834"/>
          <w:pgMar w:top="1016" w:right="334" w:bottom="1016" w:left="420" w:header="0" w:footer="3" w:gutter="0"/>
          <w:cols w:space="720"/>
          <w:noEndnote/>
          <w:docGrid w:linePitch="360"/>
        </w:sectPr>
      </w:pPr>
    </w:p>
    <w:p w:rsidR="00500724" w:rsidRDefault="00F30FB8">
      <w:pPr>
        <w:spacing w:line="14" w:lineRule="exact"/>
      </w:pPr>
      <w:r>
        <w:rPr>
          <w:noProof/>
        </w:rPr>
        <mc:AlternateContent>
          <mc:Choice Requires="wps">
            <w:drawing>
              <wp:anchor distT="0" distB="0" distL="38100" distR="38100" simplePos="0" relativeHeight="125829438" behindDoc="0" locked="0" layoutInCell="1" allowOverlap="1">
                <wp:simplePos x="0" y="0"/>
                <wp:positionH relativeFrom="page">
                  <wp:posOffset>6112510</wp:posOffset>
                </wp:positionH>
                <wp:positionV relativeFrom="paragraph">
                  <wp:posOffset>1179830</wp:posOffset>
                </wp:positionV>
                <wp:extent cx="810895" cy="216535"/>
                <wp:effectExtent l="0" t="0" r="0" b="0"/>
                <wp:wrapSquare wrapText="bothSides"/>
                <wp:docPr id="61" name="Shape 61"/>
                <wp:cNvGraphicFramePr/>
                <a:graphic xmlns:a="http://schemas.openxmlformats.org/drawingml/2006/main">
                  <a:graphicData uri="http://schemas.microsoft.com/office/word/2010/wordprocessingShape">
                    <wps:wsp>
                      <wps:cNvSpPr txBox="1"/>
                      <wps:spPr>
                        <a:xfrm>
                          <a:off x="0" y="0"/>
                          <a:ext cx="810895" cy="216535"/>
                        </a:xfrm>
                        <a:prstGeom prst="rect">
                          <a:avLst/>
                        </a:prstGeom>
                        <a:noFill/>
                      </wps:spPr>
                      <wps:txbx>
                        <w:txbxContent>
                          <w:p w:rsidR="00500724" w:rsidRDefault="00F30FB8">
                            <w:pPr>
                              <w:pStyle w:val="Zkladntext1"/>
                              <w:shd w:val="clear" w:color="auto" w:fill="auto"/>
                              <w:spacing w:line="158" w:lineRule="auto"/>
                              <w:ind w:firstLine="0"/>
                            </w:pPr>
                            <w:r>
                              <w:rPr>
                                <w:b/>
                                <w:bCs/>
                              </w:rPr>
                              <w:t>roentgrenolosál. Ord. 9-10. 3-4.</w:t>
                            </w:r>
                          </w:p>
                        </w:txbxContent>
                      </wps:txbx>
                      <wps:bodyPr lIns="0" tIns="0" rIns="0" bIns="0">
                        <a:spAutoFit/>
                      </wps:bodyPr>
                    </wps:wsp>
                  </a:graphicData>
                </a:graphic>
              </wp:anchor>
            </w:drawing>
          </mc:Choice>
          <mc:Fallback>
            <w:pict>
              <v:shape id="_x0000_s1087" type="#_x0000_t202" style="position:absolute;margin-left:481.30000000000001pt;margin-top:92.900000000000006pt;width:63.850000000000001pt;height:17.050000000000001pt;z-index:-125829315;mso-wrap-distance-left:3.pt;mso-wrap-distance-right:3.pt;mso-position-horizontal-relative:page" filled="f" stroked="f">
                <v:textbox style="mso-fit-shape-to-text:t" inset="0,0,0,0">
                  <w:txbxContent>
                    <w:p>
                      <w:pPr>
                        <w:pStyle w:val="Style18"/>
                        <w:keepNext w:val="0"/>
                        <w:keepLines w:val="0"/>
                        <w:widowControl w:val="0"/>
                        <w:shd w:val="clear" w:color="auto" w:fill="auto"/>
                        <w:bidi w:val="0"/>
                        <w:spacing w:before="0" w:after="0" w:line="158" w:lineRule="auto"/>
                        <w:ind w:left="0" w:right="0" w:firstLine="0"/>
                      </w:pPr>
                      <w:r>
                        <w:rPr>
                          <w:b/>
                          <w:bCs/>
                          <w:color w:val="000000"/>
                          <w:spacing w:val="0"/>
                          <w:w w:val="100"/>
                          <w:position w:val="0"/>
                          <w:shd w:val="clear" w:color="auto" w:fill="auto"/>
                          <w:lang w:val="cs-CZ" w:eastAsia="cs-CZ" w:bidi="cs-CZ"/>
                        </w:rPr>
                        <w:t>roentgrenolosál. Ord. 9-10. 3-4.</w:t>
                      </w:r>
                    </w:p>
                  </w:txbxContent>
                </v:textbox>
                <w10:wrap type="square" anchorx="page"/>
              </v:shape>
            </w:pict>
          </mc:Fallback>
        </mc:AlternateContent>
      </w:r>
    </w:p>
    <w:p w:rsidR="00500724" w:rsidRDefault="00F30FB8">
      <w:pPr>
        <w:pStyle w:val="Nadpis70"/>
        <w:keepNext/>
        <w:keepLines/>
        <w:shd w:val="clear" w:color="auto" w:fill="auto"/>
        <w:spacing w:after="160" w:line="252" w:lineRule="auto"/>
        <w:jc w:val="both"/>
      </w:pPr>
      <w:bookmarkStart w:id="87" w:name="bookmark86"/>
      <w:r>
        <w:rPr>
          <w:rFonts w:ascii="Times New Roman" w:eastAsia="Times New Roman" w:hAnsi="Times New Roman" w:cs="Times New Roman"/>
          <w:w w:val="100"/>
        </w:rPr>
        <w:t>ŽIVOTA DÍLO KARLA ČAPKA</w:t>
      </w:r>
      <w:bookmarkEnd w:id="87"/>
    </w:p>
    <w:p w:rsidR="00500724" w:rsidRDefault="00F30FB8">
      <w:pPr>
        <w:pStyle w:val="Nadpis120"/>
        <w:shd w:val="clear" w:color="auto" w:fill="auto"/>
        <w:spacing w:after="200"/>
        <w:ind w:left="980"/>
        <w:jc w:val="both"/>
      </w:pPr>
      <w:bookmarkStart w:id="88" w:name="bookmark87"/>
      <w:r>
        <w:t>výstava knih, fotografií, kreseb a věcí, které měl rád.</w:t>
      </w:r>
      <w:bookmarkEnd w:id="88"/>
    </w:p>
    <w:p w:rsidR="00500724" w:rsidRDefault="00F30FB8">
      <w:pPr>
        <w:pStyle w:val="Zkladntext1"/>
        <w:pBdr>
          <w:bottom w:val="single" w:sz="4" w:space="0" w:color="auto"/>
        </w:pBdr>
        <w:shd w:val="clear" w:color="auto" w:fill="auto"/>
        <w:spacing w:after="600" w:line="271" w:lineRule="auto"/>
        <w:ind w:left="980" w:hanging="980"/>
        <w:rPr>
          <w:sz w:val="20"/>
          <w:szCs w:val="20"/>
        </w:rPr>
      </w:pPr>
      <w:r>
        <w:rPr>
          <w:i/>
          <w:iCs/>
          <w:sz w:val="32"/>
          <w:szCs w:val="32"/>
        </w:rPr>
        <w:t xml:space="preserve">Topičův salon - leden - únor ÍQ3Q </w:t>
      </w:r>
      <w:r>
        <w:rPr>
          <w:b/>
          <w:bCs/>
          <w:sz w:val="20"/>
          <w:szCs w:val="20"/>
        </w:rPr>
        <w:t>Otevřeno denně 12-19, v neděli 10-18 PRAHA I., NÁRODNÍ 11.</w:t>
      </w:r>
    </w:p>
    <w:p w:rsidR="00500724" w:rsidRDefault="00F30FB8">
      <w:pPr>
        <w:pStyle w:val="Jin0"/>
        <w:shd w:val="clear" w:color="auto" w:fill="auto"/>
        <w:spacing w:after="720"/>
        <w:ind w:right="580" w:firstLine="0"/>
        <w:jc w:val="right"/>
        <w:rPr>
          <w:sz w:val="42"/>
          <w:szCs w:val="42"/>
        </w:rPr>
      </w:pPr>
      <w:r>
        <w:rPr>
          <w:rFonts w:ascii="Arial" w:eastAsia="Arial" w:hAnsi="Arial" w:cs="Arial"/>
          <w:b/>
          <w:bCs/>
          <w:sz w:val="42"/>
          <w:szCs w:val="42"/>
          <w:lang w:val="en-US" w:eastAsia="en-US" w:bidi="en-US"/>
        </w:rPr>
        <w:t>CORONA</w:t>
      </w:r>
    </w:p>
    <w:p w:rsidR="00500724" w:rsidRDefault="00F30FB8">
      <w:pPr>
        <w:pStyle w:val="Nadpis120"/>
        <w:shd w:val="clear" w:color="auto" w:fill="auto"/>
        <w:spacing w:line="269" w:lineRule="auto"/>
        <w:ind w:left="2120" w:right="540" w:firstLine="40"/>
      </w:pPr>
      <w:bookmarkStart w:id="89" w:name="bookmark88"/>
      <w:r>
        <w:rPr>
          <w:rFonts w:ascii="Arial" w:eastAsia="Arial" w:hAnsi="Arial" w:cs="Arial"/>
        </w:rPr>
        <w:t>americká kvalita za lidovou cenu</w:t>
      </w:r>
      <w:bookmarkEnd w:id="89"/>
    </w:p>
    <w:p w:rsidR="00500724" w:rsidRDefault="00F30FB8">
      <w:pPr>
        <w:pStyle w:val="Jin0"/>
        <w:shd w:val="clear" w:color="auto" w:fill="auto"/>
        <w:spacing w:after="1720"/>
        <w:ind w:left="2560" w:firstLine="0"/>
        <w:jc w:val="left"/>
        <w:rPr>
          <w:sz w:val="30"/>
          <w:szCs w:val="30"/>
        </w:rPr>
      </w:pPr>
      <w:r>
        <w:rPr>
          <w:sz w:val="24"/>
          <w:szCs w:val="24"/>
        </w:rPr>
        <w:t xml:space="preserve">Kč </w:t>
      </w:r>
      <w:r>
        <w:rPr>
          <w:rFonts w:ascii="Arial" w:eastAsia="Arial" w:hAnsi="Arial" w:cs="Arial"/>
          <w:b/>
          <w:bCs/>
          <w:sz w:val="30"/>
          <w:szCs w:val="30"/>
        </w:rPr>
        <w:t>1.340*-</w:t>
      </w:r>
    </w:p>
    <w:p w:rsidR="00500724" w:rsidRDefault="00F30FB8">
      <w:pPr>
        <w:pStyle w:val="Nadpis70"/>
        <w:keepNext/>
        <w:keepLines/>
        <w:shd w:val="clear" w:color="auto" w:fill="auto"/>
        <w:spacing w:after="40"/>
        <w:ind w:left="460"/>
      </w:pPr>
      <w:bookmarkStart w:id="90" w:name="bookmark89"/>
      <w:r>
        <w:t>JOSEF KUBIAS</w:t>
      </w:r>
      <w:bookmarkEnd w:id="90"/>
    </w:p>
    <w:p w:rsidR="00500724" w:rsidRDefault="00F30FB8">
      <w:pPr>
        <w:pStyle w:val="Zkladntext1"/>
        <w:shd w:val="clear" w:color="auto" w:fill="auto"/>
        <w:tabs>
          <w:tab w:val="left" w:pos="1358"/>
        </w:tabs>
        <w:spacing w:after="40"/>
        <w:ind w:left="980" w:hanging="980"/>
      </w:pPr>
      <w:r>
        <w:rPr>
          <w:b/>
          <w:bCs/>
        </w:rPr>
        <w:t>.</w:t>
      </w:r>
      <w:r>
        <w:rPr>
          <w:b/>
          <w:bCs/>
        </w:rPr>
        <w:tab/>
        <w:t>PRAHA II.</w:t>
      </w:r>
    </w:p>
    <w:p w:rsidR="00500724" w:rsidRDefault="00F30FB8">
      <w:pPr>
        <w:pStyle w:val="Jin0"/>
        <w:shd w:val="clear" w:color="auto" w:fill="auto"/>
        <w:ind w:left="980" w:hanging="980"/>
        <w:rPr>
          <w:sz w:val="20"/>
          <w:szCs w:val="20"/>
        </w:rPr>
      </w:pPr>
      <w:r>
        <w:rPr>
          <w:rFonts w:ascii="Arial" w:eastAsia="Arial" w:hAnsi="Arial" w:cs="Arial"/>
          <w:b/>
          <w:bCs/>
          <w:sz w:val="20"/>
          <w:szCs w:val="20"/>
        </w:rPr>
        <w:t>SPÁLENÁ ul.40</w:t>
      </w:r>
    </w:p>
    <w:p w:rsidR="00500724" w:rsidRDefault="00F30FB8">
      <w:pPr>
        <w:spacing w:line="1" w:lineRule="exact"/>
        <w:rPr>
          <w:sz w:val="2"/>
          <w:szCs w:val="2"/>
        </w:rPr>
      </w:pPr>
      <w:r>
        <w:br w:type="column"/>
      </w:r>
    </w:p>
    <w:p w:rsidR="00500724" w:rsidRDefault="00F30FB8">
      <w:pPr>
        <w:pStyle w:val="Nadpis80"/>
        <w:keepNext/>
        <w:keepLines/>
        <w:shd w:val="clear" w:color="auto" w:fill="auto"/>
        <w:spacing w:after="0"/>
      </w:pPr>
      <w:bookmarkStart w:id="91" w:name="bookmark90"/>
      <w:r>
        <w:rPr>
          <w:u w:val="none"/>
        </w:rPr>
        <w:t>Sanatorium Dr. Borůvka</w:t>
      </w:r>
      <w:bookmarkEnd w:id="91"/>
    </w:p>
    <w:p w:rsidR="00500724" w:rsidRDefault="00F30FB8">
      <w:pPr>
        <w:pStyle w:val="Nadpis110"/>
        <w:shd w:val="clear" w:color="auto" w:fill="auto"/>
        <w:tabs>
          <w:tab w:val="left" w:pos="3720"/>
        </w:tabs>
        <w:spacing w:before="140"/>
        <w:jc w:val="both"/>
      </w:pPr>
      <w:bookmarkStart w:id="92" w:name="bookmark91"/>
      <w:r>
        <w:t xml:space="preserve">MUDr. </w:t>
      </w:r>
      <w:r>
        <w:rPr>
          <w:lang w:val="en-US" w:eastAsia="en-US" w:bidi="en-US"/>
        </w:rPr>
        <w:t>Frank!</w:t>
      </w:r>
      <w:r>
        <w:rPr>
          <w:lang w:val="en-US" w:eastAsia="en-US" w:bidi="en-US"/>
        </w:rPr>
        <w:tab/>
      </w:r>
      <w:r>
        <w:t>.</w:t>
      </w:r>
      <w:bookmarkEnd w:id="92"/>
    </w:p>
    <w:p w:rsidR="00500724" w:rsidRDefault="00F30FB8">
      <w:pPr>
        <w:pStyle w:val="Zkladntext40"/>
        <w:shd w:val="clear" w:color="auto" w:fill="auto"/>
        <w:spacing w:after="0" w:line="240" w:lineRule="auto"/>
        <w:jc w:val="right"/>
        <w:rPr>
          <w:sz w:val="14"/>
          <w:szCs w:val="14"/>
        </w:rPr>
      </w:pPr>
      <w:r>
        <w:rPr>
          <w:b/>
          <w:bCs/>
          <w:sz w:val="14"/>
          <w:szCs w:val="14"/>
        </w:rPr>
        <w:t>PRAHA H., NEKAZANKA 4, II. patro.</w:t>
      </w:r>
    </w:p>
    <w:p w:rsidR="00500724" w:rsidRDefault="00F30FB8">
      <w:pPr>
        <w:pStyle w:val="Zkladntext1"/>
        <w:shd w:val="clear" w:color="auto" w:fill="auto"/>
        <w:spacing w:after="140" w:line="187" w:lineRule="auto"/>
        <w:ind w:firstLine="0"/>
        <w:jc w:val="right"/>
        <w:rPr>
          <w:sz w:val="18"/>
          <w:szCs w:val="18"/>
        </w:rPr>
      </w:pPr>
      <w:r>
        <w:rPr>
          <w:sz w:val="18"/>
          <w:szCs w:val="18"/>
        </w:rPr>
        <w:t>Telefon 234-13.</w:t>
      </w:r>
    </w:p>
    <w:p w:rsidR="00500724" w:rsidRDefault="00F30FB8">
      <w:pPr>
        <w:pStyle w:val="Zkladntext1"/>
        <w:shd w:val="clear" w:color="auto" w:fill="auto"/>
        <w:spacing w:line="149" w:lineRule="auto"/>
        <w:ind w:firstLine="0"/>
        <w:jc w:val="right"/>
        <w:rPr>
          <w:sz w:val="18"/>
          <w:szCs w:val="18"/>
        </w:rPr>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w:t>
      </w:r>
      <w:r>
        <w:rPr>
          <w:rFonts w:ascii="Arial" w:eastAsia="Arial" w:hAnsi="Arial" w:cs="Arial"/>
          <w:b/>
          <w:bCs/>
          <w:sz w:val="22"/>
          <w:szCs w:val="22"/>
        </w:rPr>
        <w:t xml:space="preserve">Fróhlich, </w:t>
      </w:r>
      <w:r>
        <w:rPr>
          <w:sz w:val="18"/>
          <w:szCs w:val="18"/>
        </w:rPr>
        <w:t xml:space="preserve">odborný lékař pro choroby vnitřní, žaludeční, střevní a výměny látek, em. asistent I med. kliniky </w:t>
      </w:r>
      <w:r>
        <w:rPr>
          <w:sz w:val="18"/>
          <w:szCs w:val="18"/>
          <w:lang w:val="en-US" w:eastAsia="en-US" w:bidi="en-US"/>
        </w:rPr>
        <w:t xml:space="preserve">prof. </w:t>
      </w:r>
      <w:r>
        <w:rPr>
          <w:sz w:val="18"/>
          <w:szCs w:val="18"/>
        </w:rPr>
        <w:t>Schmidta.</w:t>
      </w:r>
    </w:p>
    <w:p w:rsidR="00500724" w:rsidRDefault="00F30FB8">
      <w:pPr>
        <w:pStyle w:val="Zkladntext1"/>
        <w:shd w:val="clear" w:color="auto" w:fill="auto"/>
        <w:spacing w:after="120" w:line="204" w:lineRule="auto"/>
        <w:ind w:firstLine="0"/>
        <w:rPr>
          <w:sz w:val="18"/>
          <w:szCs w:val="18"/>
        </w:rPr>
      </w:pPr>
      <w:r>
        <w:rPr>
          <w:b/>
          <w:bCs/>
          <w:sz w:val="14"/>
          <w:szCs w:val="14"/>
        </w:rPr>
        <w:t xml:space="preserve">PRAHA </w:t>
      </w:r>
      <w:r>
        <w:rPr>
          <w:rFonts w:ascii="Arial" w:eastAsia="Arial" w:hAnsi="Arial" w:cs="Arial"/>
          <w:b/>
          <w:bCs/>
          <w:sz w:val="22"/>
          <w:szCs w:val="22"/>
        </w:rPr>
        <w:t xml:space="preserve">I., </w:t>
      </w:r>
      <w:r>
        <w:rPr>
          <w:b/>
          <w:bCs/>
          <w:sz w:val="14"/>
          <w:szCs w:val="14"/>
        </w:rPr>
        <w:t xml:space="preserve">Na Příkopech </w:t>
      </w:r>
      <w:r>
        <w:rPr>
          <w:sz w:val="18"/>
          <w:szCs w:val="18"/>
        </w:rPr>
        <w:t>35. Ord. 9-10, &lt;43-145. Telef. 228-91.</w:t>
      </w:r>
    </w:p>
    <w:p w:rsidR="00500724" w:rsidRDefault="00F30FB8">
      <w:pPr>
        <w:pStyle w:val="Nadpis110"/>
        <w:shd w:val="clear" w:color="auto" w:fill="auto"/>
        <w:jc w:val="both"/>
      </w:pPr>
      <w:bookmarkStart w:id="93" w:name="bookmark92"/>
      <w:r>
        <w:t>MUDr. ZDENKA NEDVĚDOVÁ-NEJEDLÁ</w:t>
      </w:r>
      <w:bookmarkEnd w:id="93"/>
    </w:p>
    <w:p w:rsidR="00500724" w:rsidRDefault="00F30FB8">
      <w:pPr>
        <w:pStyle w:val="Zkladntext1"/>
        <w:shd w:val="clear" w:color="auto" w:fill="auto"/>
        <w:spacing w:after="100" w:line="185" w:lineRule="auto"/>
        <w:ind w:firstLine="0"/>
      </w:pPr>
      <w:r>
        <w:rPr>
          <w:b/>
          <w:bCs/>
        </w:rPr>
        <w:t xml:space="preserve">odb. dětská lékařka, PODOLÍ, Pankrácká 14 </w:t>
      </w:r>
      <w:r>
        <w:rPr>
          <w:b/>
          <w:bCs/>
        </w:rPr>
        <w:t>(stanice elektr. dráhy za Podol, sanatoriem). Ord. 9—10 a 2—4. Tel. 441-77.</w:t>
      </w:r>
    </w:p>
    <w:p w:rsidR="00500724" w:rsidRDefault="00F30FB8">
      <w:pPr>
        <w:pStyle w:val="Zkladntext1"/>
        <w:shd w:val="clear" w:color="auto" w:fill="auto"/>
        <w:spacing w:after="140" w:line="204" w:lineRule="auto"/>
        <w:ind w:firstLine="0"/>
        <w:rPr>
          <w:sz w:val="14"/>
          <w:szCs w:val="14"/>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 xml:space="preserve">ord. 3-4 (a podle úmluvy). Telefon 393-79. </w:t>
      </w:r>
      <w:r>
        <w:rPr>
          <w:b/>
          <w:bCs/>
          <w:sz w:val="14"/>
          <w:szCs w:val="14"/>
        </w:rPr>
        <w:t>PRAHA H.. VO</w:t>
      </w:r>
      <w:r>
        <w:rPr>
          <w:b/>
          <w:bCs/>
          <w:sz w:val="14"/>
          <w:szCs w:val="14"/>
        </w:rPr>
        <w:softHyphen/>
        <w:t xml:space="preserve">DIČKOVA </w:t>
      </w:r>
      <w:r>
        <w:rPr>
          <w:sz w:val="18"/>
          <w:szCs w:val="18"/>
        </w:rPr>
        <w:t xml:space="preserve">15. </w:t>
      </w:r>
      <w:r>
        <w:rPr>
          <w:b/>
          <w:bCs/>
          <w:sz w:val="14"/>
          <w:szCs w:val="14"/>
        </w:rPr>
        <w:t>(Hlávkův nalác.l</w:t>
      </w:r>
    </w:p>
    <w:p w:rsidR="00500724" w:rsidRDefault="00F30FB8">
      <w:pPr>
        <w:pStyle w:val="Zkladntext1"/>
        <w:shd w:val="clear" w:color="auto" w:fill="auto"/>
        <w:spacing w:line="134" w:lineRule="auto"/>
        <w:ind w:firstLine="0"/>
        <w:rPr>
          <w:sz w:val="18"/>
          <w:szCs w:val="18"/>
        </w:rPr>
      </w:pPr>
      <w:r>
        <w:rPr>
          <w:sz w:val="18"/>
          <w:szCs w:val="18"/>
        </w:rPr>
        <w:t xml:space="preserve">Odborný lékař pro porod- </w:t>
      </w:r>
      <w:r>
        <w:rPr>
          <w:rFonts w:ascii="Arial" w:eastAsia="Arial" w:hAnsi="Arial" w:cs="Arial"/>
          <w:b/>
          <w:bCs/>
          <w:sz w:val="22"/>
          <w:szCs w:val="22"/>
        </w:rPr>
        <w:t xml:space="preserve">MUDr. K. STEINBACH </w:t>
      </w:r>
      <w:r>
        <w:rPr>
          <w:sz w:val="18"/>
          <w:szCs w:val="18"/>
        </w:rPr>
        <w:t>nictví</w:t>
      </w:r>
      <w:r>
        <w:rPr>
          <w:sz w:val="18"/>
          <w:szCs w:val="18"/>
        </w:rPr>
        <w:t xml:space="preserve"> a pro nemoci zen</w:t>
      </w:r>
    </w:p>
    <w:p w:rsidR="00500724" w:rsidRDefault="00F30FB8">
      <w:pPr>
        <w:pStyle w:val="Zkladntext1"/>
        <w:shd w:val="clear" w:color="auto" w:fill="auto"/>
        <w:spacing w:after="120" w:line="197" w:lineRule="auto"/>
        <w:ind w:firstLine="0"/>
        <w:rPr>
          <w:sz w:val="18"/>
          <w:szCs w:val="18"/>
        </w:rPr>
      </w:pPr>
      <w:r>
        <w:rPr>
          <w:b/>
          <w:bCs/>
          <w:sz w:val="14"/>
          <w:szCs w:val="14"/>
          <w:u w:val="single"/>
        </w:rPr>
        <w:t xml:space="preserve">PRAHA EL. </w:t>
      </w:r>
      <w:r>
        <w:rPr>
          <w:sz w:val="18"/>
          <w:szCs w:val="18"/>
          <w:u w:val="single"/>
        </w:rPr>
        <w:t>Havlíčkovo nám. 22. Ord. 9-11, 2-4. Tel. 270-13.</w:t>
      </w:r>
    </w:p>
    <w:p w:rsidR="00500724" w:rsidRDefault="00F30FB8">
      <w:pPr>
        <w:pStyle w:val="Zkladntext1"/>
        <w:shd w:val="clear" w:color="auto" w:fill="auto"/>
        <w:spacing w:after="120" w:line="194" w:lineRule="auto"/>
        <w:ind w:firstLine="0"/>
        <w:rPr>
          <w:sz w:val="18"/>
          <w:szCs w:val="18"/>
        </w:rPr>
      </w:pPr>
      <w:r>
        <w:rPr>
          <w:rFonts w:ascii="Arial" w:eastAsia="Arial" w:hAnsi="Arial" w:cs="Arial"/>
          <w:b/>
          <w:bCs/>
          <w:sz w:val="22"/>
          <w:szCs w:val="22"/>
        </w:rPr>
        <w:t xml:space="preserve">MUDr. STANISLAV TUMPACH </w:t>
      </w:r>
      <w:r>
        <w:rPr>
          <w:sz w:val="18"/>
          <w:szCs w:val="18"/>
        </w:rPr>
        <w:t xml:space="preserve">odborný lékař pro chirurgii a urologii. </w:t>
      </w:r>
      <w:r>
        <w:rPr>
          <w:b/>
          <w:bCs/>
          <w:sz w:val="14"/>
          <w:szCs w:val="14"/>
        </w:rPr>
        <w:t xml:space="preserve">PRAHA XH., </w:t>
      </w:r>
      <w:r>
        <w:rPr>
          <w:sz w:val="18"/>
          <w:szCs w:val="18"/>
        </w:rPr>
        <w:t>Fochova 84 (Nám. krále Jiřího). Ord. 15—17. Tel. 512-86, byt: 513-38.</w:t>
      </w:r>
    </w:p>
    <w:p w:rsidR="00500724" w:rsidRDefault="00F30FB8">
      <w:pPr>
        <w:pStyle w:val="Nadpis110"/>
        <w:shd w:val="clear" w:color="auto" w:fill="auto"/>
        <w:jc w:val="both"/>
      </w:pPr>
      <w:bookmarkStart w:id="94" w:name="bookmark93"/>
      <w:r>
        <w:t>MUDr. EMIL VOGL</w:t>
      </w:r>
      <w:bookmarkEnd w:id="94"/>
    </w:p>
    <w:p w:rsidR="00500724" w:rsidRDefault="00F30FB8">
      <w:pPr>
        <w:pStyle w:val="Zkladntext1"/>
        <w:shd w:val="clear" w:color="auto" w:fill="auto"/>
        <w:spacing w:after="240" w:line="185" w:lineRule="auto"/>
        <w:ind w:firstLine="0"/>
        <w:rPr>
          <w:sz w:val="18"/>
          <w:szCs w:val="18"/>
        </w:rPr>
      </w:pPr>
      <w:r>
        <w:rPr>
          <w:sz w:val="18"/>
          <w:szCs w:val="18"/>
        </w:rPr>
        <w:t xml:space="preserve">odborný lékař nro nemoci vnitřní, </w:t>
      </w:r>
      <w:r>
        <w:rPr>
          <w:b/>
          <w:bCs/>
          <w:sz w:val="14"/>
          <w:szCs w:val="14"/>
        </w:rPr>
        <w:t xml:space="preserve">PRAHA H., LÚTZOWOVA </w:t>
      </w:r>
      <w:r>
        <w:rPr>
          <w:sz w:val="18"/>
          <w:szCs w:val="18"/>
        </w:rPr>
        <w:t>32, roh Washingtonovy. Ord. 9-11. 2-4. Telefon 226-65.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40"/>
        <w:jc w:val="center"/>
      </w:pPr>
      <w:bookmarkStart w:id="95" w:name="bookmark94"/>
      <w:r>
        <w:rPr>
          <w:color w:val="FFFFFF"/>
          <w:sz w:val="24"/>
          <w:szCs w:val="24"/>
        </w:rPr>
        <w:t xml:space="preserve">VAS </w:t>
      </w:r>
      <w:r>
        <w:rPr>
          <w:color w:val="FFFFFF"/>
        </w:rPr>
        <w:t>VKUS I NÁROKY USPOKOJÍ</w:t>
      </w:r>
      <w:bookmarkEnd w:id="95"/>
    </w:p>
    <w:p w:rsidR="00500724" w:rsidRDefault="00F30FB8">
      <w:pPr>
        <w:pStyle w:val="Jin0"/>
        <w:shd w:val="clear" w:color="auto" w:fill="auto"/>
        <w:ind w:firstLine="0"/>
        <w:jc w:val="center"/>
        <w:rPr>
          <w:sz w:val="26"/>
          <w:szCs w:val="26"/>
        </w:rPr>
      </w:pPr>
      <w:r>
        <w:rPr>
          <w:rFonts w:ascii="Arial" w:eastAsia="Arial" w:hAnsi="Arial" w:cs="Arial"/>
          <w:b/>
          <w:bCs/>
          <w:sz w:val="26"/>
          <w:szCs w:val="26"/>
        </w:rPr>
        <w:t>K R A U S &amp; š P O L.</w:t>
      </w:r>
    </w:p>
    <w:p w:rsidR="00500724" w:rsidRDefault="00F30FB8">
      <w:pPr>
        <w:pStyle w:val="Nadpis120"/>
        <w:shd w:val="clear" w:color="auto" w:fill="auto"/>
        <w:ind w:left="0"/>
        <w:jc w:val="center"/>
      </w:pPr>
      <w:bookmarkStart w:id="96" w:name="bookmark95"/>
      <w:r>
        <w:t>krejčí pro pány a dámy</w:t>
      </w:r>
      <w:bookmarkEnd w:id="96"/>
    </w:p>
    <w:p w:rsidR="00500724" w:rsidRDefault="00F30FB8">
      <w:pPr>
        <w:pStyle w:val="Nadpis120"/>
        <w:shd w:val="clear" w:color="auto" w:fill="auto"/>
        <w:ind w:left="0" w:right="160"/>
        <w:jc w:val="right"/>
      </w:pPr>
      <w:bookmarkStart w:id="97" w:name="bookmark96"/>
      <w:r>
        <w:t>PRAHA n„</w:t>
      </w:r>
      <w:bookmarkEnd w:id="97"/>
    </w:p>
    <w:p w:rsidR="00500724" w:rsidRDefault="00F30FB8">
      <w:pPr>
        <w:pStyle w:val="Zkladntext1"/>
        <w:shd w:val="clear" w:color="auto" w:fill="auto"/>
        <w:tabs>
          <w:tab w:val="left" w:pos="3720"/>
        </w:tabs>
        <w:spacing w:after="200" w:line="209" w:lineRule="auto"/>
        <w:ind w:firstLine="0"/>
      </w:pPr>
      <w:r>
        <w:rPr>
          <w:b/>
          <w:bCs/>
        </w:rPr>
        <w:t>Telefon 309-69</w:t>
      </w:r>
      <w:r>
        <w:rPr>
          <w:b/>
          <w:bCs/>
        </w:rPr>
        <w:tab/>
        <w:t>Panská ul. 10</w:t>
      </w:r>
    </w:p>
    <w:p w:rsidR="00500724" w:rsidRDefault="00F30FB8">
      <w:pPr>
        <w:pStyle w:val="Jin0"/>
        <w:shd w:val="clear" w:color="auto" w:fill="auto"/>
        <w:ind w:firstLine="0"/>
        <w:jc w:val="center"/>
        <w:rPr>
          <w:sz w:val="17"/>
          <w:szCs w:val="17"/>
        </w:rPr>
      </w:pPr>
      <w:r>
        <w:rPr>
          <w:b/>
          <w:bCs/>
          <w:smallCaps/>
          <w:sz w:val="17"/>
          <w:szCs w:val="17"/>
        </w:rPr>
        <w:t>obuv pro vyšší nároky</w:t>
      </w:r>
    </w:p>
    <w:p w:rsidR="00500724" w:rsidRDefault="00F30FB8">
      <w:pPr>
        <w:pStyle w:val="Jin0"/>
        <w:shd w:val="clear" w:color="auto" w:fill="auto"/>
        <w:spacing w:line="190"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
        <w:shd w:val="clear" w:color="auto" w:fill="auto"/>
        <w:tabs>
          <w:tab w:val="left" w:pos="3720"/>
        </w:tabs>
        <w:spacing w:after="240"/>
        <w:ind w:firstLine="0"/>
      </w:pPr>
      <w:r>
        <w:t>PRAHA I., PŘÍKOPY 35, schodiště A.</w:t>
      </w:r>
      <w:r>
        <w:tab/>
        <w:t>Tel. 315-28.</w:t>
      </w:r>
    </w:p>
    <w:p w:rsidR="00500724" w:rsidRDefault="00F30FB8">
      <w:pPr>
        <w:pStyle w:val="Jin0"/>
        <w:shd w:val="clear" w:color="auto" w:fill="auto"/>
        <w:spacing w:after="120"/>
        <w:ind w:firstLine="0"/>
        <w:jc w:val="center"/>
        <w:rPr>
          <w:sz w:val="32"/>
          <w:szCs w:val="32"/>
        </w:rPr>
      </w:pPr>
      <w:r>
        <w:rPr>
          <w:rFonts w:ascii="Arial" w:eastAsia="Arial" w:hAnsi="Arial" w:cs="Arial"/>
          <w:sz w:val="26"/>
          <w:szCs w:val="26"/>
          <w:u w:val="single"/>
        </w:rPr>
        <w:t xml:space="preserve">Čtěte </w:t>
      </w:r>
      <w:r>
        <w:rPr>
          <w:i/>
          <w:iCs/>
          <w:sz w:val="32"/>
          <w:szCs w:val="32"/>
          <w:u w:val="single"/>
        </w:rPr>
        <w:t>LIDOVÉ NOVINY</w:t>
      </w:r>
    </w:p>
    <w:p w:rsidR="00500724" w:rsidRDefault="00F30FB8">
      <w:pPr>
        <w:pStyle w:val="Jin0"/>
        <w:pBdr>
          <w:bottom w:val="single" w:sz="4" w:space="0" w:color="auto"/>
        </w:pBdr>
        <w:shd w:val="clear" w:color="auto" w:fill="auto"/>
        <w:spacing w:line="230" w:lineRule="auto"/>
        <w:ind w:firstLine="0"/>
        <w:jc w:val="left"/>
        <w:rPr>
          <w:sz w:val="44"/>
          <w:szCs w:val="44"/>
        </w:rPr>
        <w:sectPr w:rsidR="00500724">
          <w:footnotePr>
            <w:numFmt w:val="chicago"/>
            <w:numRestart w:val="eachPage"/>
          </w:footnotePr>
          <w:pgSz w:w="11909" w:h="16834"/>
          <w:pgMar w:top="665" w:right="1044" w:bottom="787" w:left="708" w:header="0" w:footer="3" w:gutter="0"/>
          <w:cols w:num="2" w:sep="1" w:space="720" w:equalWidth="0">
            <w:col w:w="4574" w:space="451"/>
            <w:col w:w="5131"/>
          </w:cols>
          <w:noEndnote/>
          <w:docGrid w:linePitch="360"/>
        </w:sectPr>
      </w:pPr>
      <w:r>
        <w:rPr>
          <w:rFonts w:ascii="Calibri" w:eastAsia="Calibri" w:hAnsi="Calibri" w:cs="Calibri"/>
          <w:b/>
          <w:bCs/>
          <w:w w:val="60"/>
          <w:sz w:val="72"/>
          <w:szCs w:val="72"/>
          <w:lang w:val="en-US" w:eastAsia="en-US" w:bidi="en-US"/>
        </w:rPr>
        <w:t xml:space="preserve">LONG </w:t>
      </w:r>
      <w:r>
        <w:rPr>
          <w:rFonts w:ascii="Calibri" w:eastAsia="Calibri" w:hAnsi="Calibri" w:cs="Calibri"/>
          <w:b/>
          <w:bCs/>
          <w:w w:val="60"/>
          <w:sz w:val="72"/>
          <w:szCs w:val="72"/>
        </w:rPr>
        <w:t xml:space="preserve">I NES </w:t>
      </w:r>
      <w:r>
        <w:rPr>
          <w:rFonts w:ascii="Calibri" w:eastAsia="Calibri" w:hAnsi="Calibri" w:cs="Calibri"/>
          <w:b/>
          <w:bCs/>
          <w:w w:val="70"/>
          <w:sz w:val="44"/>
          <w:szCs w:val="44"/>
        </w:rPr>
        <w:t>hodlnky-vídy přesné</w:t>
      </w:r>
    </w:p>
    <w:p w:rsidR="00500724" w:rsidRDefault="00500724">
      <w:pPr>
        <w:spacing w:before="8" w:after="8"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493" w:right="0" w:bottom="960" w:left="0" w:header="0" w:footer="3" w:gutter="0"/>
          <w:cols w:space="720"/>
          <w:noEndnote/>
          <w:docGrid w:linePitch="360"/>
        </w:sectPr>
      </w:pPr>
    </w:p>
    <w:p w:rsidR="00500724" w:rsidRDefault="00F30FB8">
      <w:pPr>
        <w:spacing w:line="14" w:lineRule="exact"/>
      </w:pPr>
      <w:r>
        <w:rPr>
          <w:noProof/>
        </w:rPr>
        <mc:AlternateContent>
          <mc:Choice Requires="wps">
            <w:drawing>
              <wp:anchor distT="0" distB="469265" distL="177800" distR="186690" simplePos="0" relativeHeight="125829440" behindDoc="0" locked="0" layoutInCell="1" allowOverlap="1">
                <wp:simplePos x="0" y="0"/>
                <wp:positionH relativeFrom="page">
                  <wp:posOffset>217805</wp:posOffset>
                </wp:positionH>
                <wp:positionV relativeFrom="paragraph">
                  <wp:posOffset>1048385</wp:posOffset>
                </wp:positionV>
                <wp:extent cx="2770505" cy="743585"/>
                <wp:effectExtent l="0" t="0" r="0" b="0"/>
                <wp:wrapSquare wrapText="right"/>
                <wp:docPr id="63" name="Shape 63"/>
                <wp:cNvGraphicFramePr/>
                <a:graphic xmlns:a="http://schemas.openxmlformats.org/drawingml/2006/main">
                  <a:graphicData uri="http://schemas.microsoft.com/office/word/2010/wordprocessingShape">
                    <wps:wsp>
                      <wps:cNvSpPr txBox="1"/>
                      <wps:spPr>
                        <a:xfrm>
                          <a:off x="0" y="0"/>
                          <a:ext cx="2770505" cy="743585"/>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rPr>
                              <w:t>PfítomnosO</w:t>
                            </w:r>
                          </w:p>
                        </w:txbxContent>
                      </wps:txbx>
                      <wps:bodyPr lIns="0" tIns="0" rIns="0" bIns="0">
                        <a:spAutoFit/>
                      </wps:bodyPr>
                    </wps:wsp>
                  </a:graphicData>
                </a:graphic>
              </wp:anchor>
            </w:drawing>
          </mc:Choice>
          <mc:Fallback>
            <w:pict>
              <v:shape id="_x0000_s1089" type="#_x0000_t202" style="position:absolute;margin-left:17.149999999999999pt;margin-top:82.549999999999997pt;width:218.15000000000001pt;height:58.549999999999997pt;z-index:-125829313;mso-wrap-distance-left:14.pt;mso-wrap-distance-right:14.699999999999999pt;mso-wrap-distance-bottom:36.950000000000003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PfítomnosO</w:t>
                      </w:r>
                    </w:p>
                  </w:txbxContent>
                </v:textbox>
                <w10:wrap type="square" side="right" anchorx="page"/>
              </v:shape>
            </w:pict>
          </mc:Fallback>
        </mc:AlternateContent>
      </w:r>
      <w:r>
        <w:rPr>
          <w:noProof/>
        </w:rPr>
        <mc:AlternateContent>
          <mc:Choice Requires="wps">
            <w:drawing>
              <wp:anchor distT="890270" distB="0" distL="525145" distR="177800" simplePos="0" relativeHeight="125829442" behindDoc="0" locked="0" layoutInCell="1" allowOverlap="1">
                <wp:simplePos x="0" y="0"/>
                <wp:positionH relativeFrom="page">
                  <wp:posOffset>565150</wp:posOffset>
                </wp:positionH>
                <wp:positionV relativeFrom="paragraph">
                  <wp:posOffset>1938655</wp:posOffset>
                </wp:positionV>
                <wp:extent cx="2432050" cy="323215"/>
                <wp:effectExtent l="0" t="0" r="0" b="0"/>
                <wp:wrapSquare wrapText="right"/>
                <wp:docPr id="65" name="Shape 65"/>
                <wp:cNvGraphicFramePr/>
                <a:graphic xmlns:a="http://schemas.openxmlformats.org/drawingml/2006/main">
                  <a:graphicData uri="http://schemas.microsoft.com/office/word/2010/wordprocessingShape">
                    <wps:wsp>
                      <wps:cNvSpPr txBox="1"/>
                      <wps:spPr>
                        <a:xfrm>
                          <a:off x="0" y="0"/>
                          <a:ext cx="2432050" cy="32321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d i Ferd. Peroutka</w:t>
                            </w:r>
                          </w:p>
                        </w:txbxContent>
                      </wps:txbx>
                      <wps:bodyPr lIns="0" tIns="0" rIns="0" bIns="0">
                        <a:spAutoFit/>
                      </wps:bodyPr>
                    </wps:wsp>
                  </a:graphicData>
                </a:graphic>
              </wp:anchor>
            </w:drawing>
          </mc:Choice>
          <mc:Fallback>
            <w:pict>
              <v:shape id="_x0000_s1091" type="#_x0000_t202" style="position:absolute;margin-left:44.5pt;margin-top:152.65000000000001pt;width:191.5pt;height:25.449999999999999pt;z-index:-125829311;mso-wrap-distance-left:41.350000000000001pt;mso-wrap-distance-top:70.099999999999994pt;mso-wrap-distance-right:14.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d i Ferd. Peroutka</w:t>
                      </w:r>
                    </w:p>
                  </w:txbxContent>
                </v:textbox>
                <w10:wrap type="square" side="right" anchorx="page"/>
              </v:shape>
            </w:pict>
          </mc:Fallback>
        </mc:AlternateContent>
      </w:r>
    </w:p>
    <w:p w:rsidR="00500724" w:rsidRDefault="00F30FB8">
      <w:pPr>
        <w:pStyle w:val="Zkladntext1"/>
        <w:shd w:val="clear" w:color="auto" w:fill="auto"/>
        <w:spacing w:after="300" w:line="187" w:lineRule="auto"/>
        <w:ind w:left="560" w:hanging="560"/>
      </w:pPr>
      <w:r>
        <w:rPr>
          <w:b/>
          <w:bCs/>
          <w:sz w:val="20"/>
          <w:szCs w:val="20"/>
        </w:rPr>
        <w:t xml:space="preserve">OBSAH 3. ČÍSLA PŘÍTOMNOSTI: </w:t>
      </w:r>
      <w:r>
        <w:rPr>
          <w:b/>
          <w:bCs/>
        </w:rPr>
        <w:t xml:space="preserve">SIGMA: Nemocná Evropa. </w:t>
      </w:r>
      <w:r>
        <w:rPr>
          <w:b/>
          <w:bCs/>
        </w:rPr>
        <w:t>— F. PEROUTKA: Kdyby byla vypukla válka. — EDMOND KONRÁD: Karel Čapek politicky.— HELENA P. KIRKPATRICKOVÁ: Hitler si získává jistotu. — KAREL POLAČEK: O chůzi. — EDUARD BASS: Židé v českém tisku, — ANTONÍN PEŠL: Změnilo se něco po Ííimě? — ZDENEK SMETÁČEK</w:t>
      </w:r>
      <w:r>
        <w:rPr>
          <w:b/>
          <w:bCs/>
        </w:rPr>
        <w:t>: Jaké poslání mají Němci, kteří u nás zbyli? — MILENA JESENSKÁ: Koukejte umřít do padesáti let! — JOSEF KALMER: Co se děje v Číně? — PAVEL HOFMAN: Kus nezvrhlého umění. — OLGA SCHEINPFLUGOVA: Poslední dny Karla Čapka. — Proč nemáte telefon? — Žák čtvrté o</w:t>
      </w:r>
      <w:r>
        <w:rPr>
          <w:b/>
          <w:bCs/>
        </w:rPr>
        <w:t>becné školy vdově po Karlu Čapkovi. — Proč jenom pět? — Dopis z Jugoslávie. — Hospodářští komisaři na Slovensku.</w:t>
      </w:r>
    </w:p>
    <w:p w:rsidR="00500724" w:rsidRDefault="00F30FB8">
      <w:pPr>
        <w:pStyle w:val="Nadpis90"/>
        <w:keepNext/>
        <w:keepLines/>
        <w:shd w:val="clear" w:color="auto" w:fill="auto"/>
        <w:spacing w:after="140"/>
      </w:pPr>
      <w:bookmarkStart w:id="98" w:name="bookmark97"/>
      <w:r>
        <w:rPr>
          <w:u w:val="single"/>
        </w:rPr>
        <w:t>nezávislý týdeník</w:t>
      </w:r>
      <w:bookmarkEnd w:id="98"/>
    </w:p>
    <w:p w:rsidR="00500724" w:rsidRDefault="00F30FB8">
      <w:pPr>
        <w:pStyle w:val="Zkladntext50"/>
        <w:shd w:val="clear" w:color="auto" w:fill="auto"/>
        <w:spacing w:line="240" w:lineRule="auto"/>
        <w:ind w:left="60"/>
        <w:jc w:val="center"/>
      </w:pPr>
      <w:r>
        <w:t>vychází ve středu v nakladatelství</w:t>
      </w:r>
    </w:p>
    <w:p w:rsidR="00500724" w:rsidRDefault="00F30FB8">
      <w:pPr>
        <w:pStyle w:val="Zkladntext50"/>
        <w:shd w:val="clear" w:color="auto" w:fill="auto"/>
        <w:spacing w:line="240" w:lineRule="auto"/>
        <w:ind w:left="60"/>
        <w:jc w:val="center"/>
      </w:pPr>
      <w:r>
        <w:t xml:space="preserve">FR. BOROVÝ V </w:t>
      </w:r>
      <w:r>
        <w:rPr>
          <w:lang w:val="en-US" w:eastAsia="en-US" w:bidi="en-US"/>
        </w:rPr>
        <w:t xml:space="preserve">PR </w:t>
      </w:r>
      <w:r>
        <w:t>AZEI., NÁRODNÍ TŘÍDA 11.</w:t>
      </w:r>
    </w:p>
    <w:p w:rsidR="00500724" w:rsidRDefault="00F30FB8">
      <w:pPr>
        <w:pStyle w:val="Zkladntext40"/>
        <w:shd w:val="clear" w:color="auto" w:fill="auto"/>
      </w:pPr>
      <w:r>
        <w:t xml:space="preserve">Telefon ěislo 390-51 až 54 • Učet poštovní spořitelny Číslo 35.622 • Něvy žádané rukopisy se nevracejí • Předplatné na rok Kč 100.—, na půl roku Kč 50.—. na čtvrt roku Kč 25.—, Jednotlivá čísla Kč 2.—. </w:t>
      </w:r>
      <w:r>
        <w:rPr>
          <w:lang w:val="en-US" w:eastAsia="en-US" w:bidi="en-US"/>
        </w:rPr>
        <w:t xml:space="preserve">Pour </w:t>
      </w:r>
      <w:r>
        <w:t>la Fran</w:t>
      </w:r>
      <w:r>
        <w:softHyphen/>
        <w:t xml:space="preserve">ce et ses </w:t>
      </w:r>
      <w:r>
        <w:rPr>
          <w:lang w:val="en-US" w:eastAsia="en-US" w:bidi="en-US"/>
        </w:rPr>
        <w:t xml:space="preserve">Colonies </w:t>
      </w:r>
      <w:r>
        <w:t xml:space="preserve">Frs 2.50. • Dohlédaci </w:t>
      </w:r>
      <w:r>
        <w:t xml:space="preserve">pošt úřad Brno II. • Novin sazba povolena </w:t>
      </w:r>
      <w:r>
        <w:rPr>
          <w:b/>
          <w:bCs/>
          <w:sz w:val="14"/>
          <w:szCs w:val="14"/>
        </w:rPr>
        <w:t xml:space="preserve">v </w:t>
      </w:r>
      <w:r>
        <w:t>Brně řed. pošt a telegrafů pod čls. 119.268/IIIa. • Odpovědný redaktor J. Dlabač.</w:t>
      </w:r>
    </w:p>
    <w:p w:rsidR="00500724" w:rsidRDefault="00F30FB8">
      <w:pPr>
        <w:pStyle w:val="Zkladntext50"/>
        <w:shd w:val="clear" w:color="auto" w:fill="auto"/>
        <w:spacing w:after="100" w:line="240" w:lineRule="auto"/>
        <w:ind w:left="5660"/>
        <w:jc w:val="left"/>
      </w:pPr>
      <w:r>
        <w:t>TISKEM LIDOVÉ TISKÁRNY, BRNO, ČESKA &amp;</w:t>
      </w:r>
      <w:r>
        <w:br w:type="page"/>
      </w:r>
    </w:p>
    <w:p w:rsidR="00500724" w:rsidRDefault="00F30FB8">
      <w:pPr>
        <w:pStyle w:val="Jin0"/>
        <w:pBdr>
          <w:bottom w:val="single" w:sz="4" w:space="0" w:color="auto"/>
        </w:pBdr>
        <w:shd w:val="clear" w:color="auto" w:fill="auto"/>
        <w:ind w:firstLine="0"/>
        <w:jc w:val="center"/>
        <w:rPr>
          <w:sz w:val="104"/>
          <w:szCs w:val="104"/>
        </w:rPr>
        <w:sectPr w:rsidR="00500724">
          <w:footnotePr>
            <w:numFmt w:val="chicago"/>
            <w:numRestart w:val="eachPage"/>
          </w:footnotePr>
          <w:type w:val="continuous"/>
          <w:pgSz w:w="11909" w:h="16834"/>
          <w:pgMar w:top="493" w:right="791" w:bottom="960" w:left="558" w:header="0" w:footer="3" w:gutter="0"/>
          <w:cols w:space="720"/>
          <w:noEndnote/>
          <w:docGrid w:linePitch="360"/>
        </w:sectPr>
      </w:pPr>
      <w:r>
        <w:rPr>
          <w:sz w:val="104"/>
          <w:szCs w:val="104"/>
        </w:rPr>
        <w:t>Přítomnosti</w:t>
      </w:r>
    </w:p>
    <w:p w:rsidR="00500724" w:rsidRDefault="00500724">
      <w:pPr>
        <w:spacing w:after="624" w:line="14" w:lineRule="exact"/>
      </w:pPr>
    </w:p>
    <w:p w:rsidR="00500724" w:rsidRDefault="00500724">
      <w:pPr>
        <w:spacing w:line="14" w:lineRule="exact"/>
        <w:sectPr w:rsidR="00500724">
          <w:footnotePr>
            <w:numFmt w:val="chicago"/>
            <w:numRestart w:val="eachPage"/>
          </w:footnotePr>
          <w:type w:val="continuous"/>
          <w:pgSz w:w="11909" w:h="16834"/>
          <w:pgMar w:top="980" w:right="584" w:bottom="933" w:left="857" w:header="0" w:footer="3" w:gutter="0"/>
          <w:cols w:space="720"/>
          <w:noEndnote/>
          <w:docGrid w:linePitch="360"/>
        </w:sectPr>
      </w:pPr>
    </w:p>
    <w:p w:rsidR="00500724" w:rsidRDefault="00F30FB8">
      <w:pPr>
        <w:pStyle w:val="Nadpis100"/>
        <w:shd w:val="clear" w:color="auto" w:fill="auto"/>
        <w:spacing w:line="240" w:lineRule="auto"/>
        <w:ind w:left="340"/>
        <w:jc w:val="left"/>
      </w:pPr>
      <w:bookmarkStart w:id="99" w:name="bookmark98"/>
      <w:r>
        <w:t xml:space="preserve">Ještě jednou o </w:t>
      </w:r>
      <w:r>
        <w:t>loňském roku</w:t>
      </w:r>
      <w:bookmarkEnd w:id="99"/>
    </w:p>
    <w:p w:rsidR="00500724" w:rsidRDefault="00F30FB8">
      <w:pPr>
        <w:pStyle w:val="Zkladntext20"/>
        <w:framePr w:dropCap="drop" w:lines="2" w:hSpace="5" w:vSpace="5" w:wrap="auto" w:vAnchor="text" w:hAnchor="text"/>
        <w:shd w:val="clear" w:color="auto" w:fill="auto"/>
        <w:spacing w:line="370" w:lineRule="exact"/>
        <w:ind w:firstLine="0"/>
      </w:pPr>
      <w:r>
        <w:rPr>
          <w:position w:val="-8"/>
          <w:sz w:val="46"/>
          <w:szCs w:val="46"/>
        </w:rPr>
        <w:t>J</w:t>
      </w:r>
    </w:p>
    <w:p w:rsidR="00500724" w:rsidRDefault="00F30FB8">
      <w:pPr>
        <w:pStyle w:val="Zkladntext20"/>
        <w:shd w:val="clear" w:color="auto" w:fill="auto"/>
        <w:spacing w:after="40"/>
        <w:ind w:firstLine="0"/>
      </w:pPr>
      <w:r>
        <w:t>edni čtenáři žádají, abychom se stále a stále vraceli k tomu, co se stalo loni s naším státem a proč se to stalo, druzí by si přáli, abychom toho zanechali a za</w:t>
      </w:r>
      <w:r>
        <w:softHyphen/>
        <w:t xml:space="preserve">bývali se spíše kulturními thematy. Heinrich </w:t>
      </w:r>
      <w:r>
        <w:rPr>
          <w:lang w:val="en-US" w:eastAsia="en-US" w:bidi="en-US"/>
        </w:rPr>
        <w:t xml:space="preserve">Heine </w:t>
      </w:r>
      <w:r>
        <w:t xml:space="preserve">jednou řekl ironicky: »Svoboda je omezena, teď zase pokvete divadelní kritika. &lt; </w:t>
      </w:r>
      <w:r>
        <w:rPr>
          <w:lang w:val="en-US" w:eastAsia="en-US" w:bidi="en-US"/>
        </w:rPr>
        <w:t xml:space="preserve">Co Heine </w:t>
      </w:r>
      <w:r>
        <w:t>řekl ironicky, neříkejme my vážně. Sám hledím s nadějí vstříc chvíli, kdy zase bude možno v klidu si vybrat nějaké literární thema a dbáti lépe vzhledu svých vlastníc</w:t>
      </w:r>
      <w:r>
        <w:t>h vět. S melancholií vzpomínám na ty šťastné doby, kdy větší část naší myšlenkové mohutnosti byla spotřebo</w:t>
      </w:r>
      <w:r>
        <w:softHyphen/>
        <w:t>vána úvahami o dramaturgii pana Fr. Gótze nebo o stylu pana VI. Vančury. Ale mám pocit, že by to nyní bylo nepřirozené. Pan profesor Arne Novák ve sv</w:t>
      </w:r>
      <w:r>
        <w:t>é krásné nástupní řeči nedávno v Brně promluvil o potřebě svobody myšlení tak ohnivě, že nebylo českých novin, aby nepocítily potřebu to citovat. Není však, myslím, příkladu v dějinách, kdy svoboda myšlení existovala bez svobody politické. Patrně je mezi t</w:t>
      </w:r>
      <w:r>
        <w:t>ěmi dvěma svobodami poměr jako mezi stro</w:t>
      </w:r>
      <w:r>
        <w:softHyphen/>
        <w:t>mem a ovocem. Nemůžete mít ovoce bez stromu.</w:t>
      </w:r>
    </w:p>
    <w:p w:rsidR="00500724" w:rsidRDefault="00F30FB8">
      <w:pPr>
        <w:pStyle w:val="Zkladntext20"/>
        <w:shd w:val="clear" w:color="auto" w:fill="auto"/>
        <w:spacing w:after="40"/>
        <w:ind w:firstLine="260"/>
      </w:pPr>
      <w:r>
        <w:t>Proto i v zájmu kultury může býti člověk sváděn k tomu, aby na první místo v sobě stavěl myšlenky politické. Jest nám potřebí do všech podrobností po</w:t>
      </w:r>
      <w:r>
        <w:softHyphen/>
        <w:t>znati podobu a příči</w:t>
      </w:r>
      <w:r>
        <w:t>ny loňských událostí. Odhaliti chyby, byly-li jaké, a vystříhati se jich nyní, poněvadž jsme přešli do údobí, kdy chyby by byly nekonečně riskantnější než dříve. Dohodnout se, bez ohledu na to, kdo kde dříve stál, o několika základních myšlen</w:t>
      </w:r>
      <w:r>
        <w:softHyphen/>
        <w:t>kách pro poli</w:t>
      </w:r>
      <w:r>
        <w:t>tickou činnost v tomto státě. Zkrátka, vybudovat nejdříve občanský Stánek pro kulturu, za</w:t>
      </w:r>
      <w:r>
        <w:softHyphen/>
        <w:t>jistit jí přístřeší. Vybojovat takovou politiku, aby jí kultura byla co nejméně obtěžována. Vykonat nej</w:t>
      </w:r>
      <w:r>
        <w:softHyphen/>
        <w:t>prve černou politickou práci. Zajistit politické před</w:t>
      </w:r>
      <w:r>
        <w:softHyphen/>
        <w:t xml:space="preserve">poklady </w:t>
      </w:r>
      <w:r>
        <w:t>pro kulturní vývoj. Neboť kultura nemůže být oddělena od celkového občanského života a pře</w:t>
      </w:r>
      <w:r>
        <w:softHyphen/>
        <w:t>nesena někam na skleněný vrch, kde pokvete bez ohledu na to, jaký vítr vane dole v údolí.</w:t>
      </w:r>
    </w:p>
    <w:p w:rsidR="00500724" w:rsidRDefault="00F30FB8">
      <w:pPr>
        <w:pStyle w:val="Zkladntext20"/>
        <w:shd w:val="clear" w:color="auto" w:fill="auto"/>
        <w:spacing w:after="40"/>
        <w:ind w:firstLine="260"/>
      </w:pPr>
      <w:r>
        <w:t xml:space="preserve">Vezme-li někdo tyto poznámky jako úvod k tomu, </w:t>
      </w:r>
      <w:r>
        <w:rPr>
          <w:b/>
          <w:bCs/>
        </w:rPr>
        <w:t xml:space="preserve">o </w:t>
      </w:r>
      <w:r>
        <w:t xml:space="preserve">čem chci psáti dále, může </w:t>
      </w:r>
      <w:r>
        <w:t>jim snadno vytknout ne</w:t>
      </w:r>
      <w:r>
        <w:softHyphen/>
        <w:t>souvislost s thematem. Není tu vskutku žádné přímé souvislosti. Ale cítil jsem jednou potřebu omluvit se těm, kteří by již jednou rádi slyšeli o více povznáše</w:t>
      </w:r>
      <w:r>
        <w:softHyphen/>
        <w:t>jících věcech, než je na příklad činnost páně Bonnetova.</w:t>
      </w:r>
    </w:p>
    <w:p w:rsidR="00500724" w:rsidRDefault="00F30FB8">
      <w:pPr>
        <w:pStyle w:val="Zkladntext20"/>
        <w:shd w:val="clear" w:color="auto" w:fill="auto"/>
        <w:spacing w:after="80"/>
        <w:ind w:firstLine="0"/>
        <w:jc w:val="center"/>
      </w:pPr>
      <w:r>
        <w:t>•</w:t>
      </w:r>
    </w:p>
    <w:p w:rsidR="00500724" w:rsidRDefault="00F30FB8">
      <w:pPr>
        <w:pStyle w:val="Zkladntext20"/>
        <w:shd w:val="clear" w:color="auto" w:fill="auto"/>
        <w:spacing w:after="40" w:line="202" w:lineRule="auto"/>
        <w:ind w:firstLine="260"/>
      </w:pPr>
      <w:r>
        <w:t xml:space="preserve">Zjistilo se už </w:t>
      </w:r>
      <w:r>
        <w:t>mnoho jednotlivých faktů o loňských událostech, ale, jak se zdá, nepostřehla se dosud jejich, abych tak řekl, dynamická souvislost. Za jisté můžeme pokládati, že nebylo v programu německé politiky řešit sudetskou otázku již roku 1938. Proč se tak přes to s</w:t>
      </w:r>
      <w:r>
        <w:t>talo? Můžeme se dovolati svědectví zajisté význam</w:t>
      </w:r>
      <w:r>
        <w:softHyphen/>
        <w:t xml:space="preserve">ného o tom, že připojení sudetských území nebylo pro německou diplomacii předem stanoveným úkolem pro loňský rok a že </w:t>
      </w:r>
      <w:r>
        <w:rPr>
          <w:b/>
          <w:bCs/>
        </w:rPr>
        <w:t xml:space="preserve">i pro </w:t>
      </w:r>
      <w:r>
        <w:t xml:space="preserve">ni přišlo spíše překvapivě </w:t>
      </w:r>
      <w:r>
        <w:rPr>
          <w:b/>
          <w:bCs/>
        </w:rPr>
        <w:t>brzo.</w:t>
      </w:r>
    </w:p>
    <w:p w:rsidR="00500724" w:rsidRDefault="00F30FB8">
      <w:pPr>
        <w:pStyle w:val="Zkladntext20"/>
        <w:shd w:val="clear" w:color="auto" w:fill="auto"/>
        <w:ind w:firstLine="0"/>
      </w:pPr>
      <w:r>
        <w:t xml:space="preserve">Když německý kancléř po prvé vstoupil v říjnu na </w:t>
      </w:r>
      <w:r>
        <w:t>sudetskou půdu, řekl: Věděl jsem sice, že zde jednou budu státi, ale nevěděl jsem kdy. 1. ledna 1938 jistě si neudělal německý kancléř žádnou závaznou poznám</w:t>
      </w:r>
      <w:r>
        <w:softHyphen/>
        <w:t>ku o Československu do svého kalendáře. Ačkoliv po zkušenostech s ním je třeba hodnotit jeho schop</w:t>
      </w:r>
      <w:r>
        <w:t>nost pohledu do budoucna spíše vysoko, rozhodně výše, než třeba slabý a prostý pohled páně Chamberlainův, přece pravda, ostatně jím potvrzená, jest nepochybně ta, že na začátku loňského roku naprosto nevěděl, že se mu během toho roku podaří obsadit i Rakou</w:t>
      </w:r>
      <w:r>
        <w:t>sko i sudetská území, a že byl dalek toho, aby si to pevně předsevzal. Jestliže se to přes to stalo, je to nepo</w:t>
      </w:r>
      <w:r>
        <w:softHyphen/>
        <w:t>chybně následkem toho, že mimo očekáváni vznikla dramatická situace a že on se ukázal větším mistrem dramatických situací než ti, kdo stáli prot</w:t>
      </w:r>
      <w:r>
        <w:t>i němu.</w:t>
      </w:r>
    </w:p>
    <w:p w:rsidR="00500724" w:rsidRDefault="00F30FB8">
      <w:pPr>
        <w:pStyle w:val="Zkladntext20"/>
        <w:shd w:val="clear" w:color="auto" w:fill="auto"/>
      </w:pPr>
      <w:r>
        <w:t>Je možno, že naše zahraniční politika nevěděla o tom, co se za kulisami světa děje, tolik, kolik by byla měla věděti. Je možno, že se více starala o ofi</w:t>
      </w:r>
      <w:r>
        <w:softHyphen/>
        <w:t xml:space="preserve">ciální projevy státníků, které jsou vždy zdvořilé a formální, místo aby podržela ruku na pulsu </w:t>
      </w:r>
      <w:r>
        <w:t xml:space="preserve">národů, které měly bojovat na naší straně. Je také možno, že jsme nevěděli všechno o tom, kdo je </w:t>
      </w:r>
      <w:r>
        <w:rPr>
          <w:lang w:val="en-US" w:eastAsia="en-US" w:bidi="en-US"/>
        </w:rPr>
        <w:t xml:space="preserve">pan Neville Chamberlain </w:t>
      </w:r>
      <w:r>
        <w:t xml:space="preserve">a že se nad status </w:t>
      </w:r>
      <w:r>
        <w:rPr>
          <w:lang w:val="en-US" w:eastAsia="en-US" w:bidi="en-US"/>
        </w:rPr>
        <w:t xml:space="preserve">quo </w:t>
      </w:r>
      <w:r>
        <w:t>ve střední Evropě, nechápaje jeho cenu pro Anglii, škube jako špatně upoutaný balon nad zemí. Je ještě tajemství</w:t>
      </w:r>
      <w:r>
        <w:t xml:space="preserve">, o čem kdy </w:t>
      </w:r>
      <w:r>
        <w:rPr>
          <w:lang w:val="en-US" w:eastAsia="en-US" w:bidi="en-US"/>
        </w:rPr>
        <w:t xml:space="preserve">Chamberlain </w:t>
      </w:r>
      <w:r>
        <w:t>v oficiálních nebo neoficiálních sty</w:t>
      </w:r>
      <w:r>
        <w:softHyphen/>
        <w:t xml:space="preserve">cích jednal s Hitlerem, o čem ho ujistil a kdy ho o tom ujistil. Bude nepochybně překvapením, až jednou vyjde na světlo celý obsah jeho rozhovorů v Berchiesgadenu. Ale to vše nebylo hlavní. Vůle </w:t>
      </w:r>
      <w:r>
        <w:t xml:space="preserve">jediného muže sama sotva by tak mohla ovlivnit osud celé epochy. Jisté události mají svou vlastní logiku. Loni na jaře vytvořila se v Evropě dynamická situace. Podrželi v ní vrch ti — dynamičtější. Což konečně musí být pokládáno za přirozené. Vytvořila se </w:t>
      </w:r>
      <w:r>
        <w:t>taková situace, že se musilo objeviti, co je kde chabého a ne</w:t>
      </w:r>
      <w:r>
        <w:softHyphen/>
        <w:t>zdravého, jako se to musí objevit po běhu na plících závodníkových. Když se to na obou stranách spočítalo, jelo se do Mnichova. Státy mají si vždy dříve dobře rozpočítati všechno, než vyženou vě</w:t>
      </w:r>
      <w:r>
        <w:t>ci na ostří nože. Francie tak neučinila. Dopustila, aby 21. května bylo zahájeno velké měření sil. Je-li takové měření vyvolá</w:t>
      </w:r>
      <w:r>
        <w:softHyphen/>
        <w:t>no, ukáže se nakonec nemilosrdně, kdo je slabší, a obyčejně z toho pro něho vyplynou nepříjemné dů</w:t>
      </w:r>
      <w:r>
        <w:softHyphen/>
        <w:t>sledky. Francie v krisi shledal</w:t>
      </w:r>
      <w:r>
        <w:t>a, myslím, že dokonce k svému značnému překvapení, že je slabší; bylo třeba akutní krise, aby si to uvědomila; možná, že do té doby docela upřímně ujišťovala svou spojeneckou věrností. Myslívala dříve na válku tak, jako člověk myslívá na smrt, jako na něco</w:t>
      </w:r>
      <w:r>
        <w:t xml:space="preserve"> vzdáleného. Když před ní však pojednou vstanulo nebezpečí války jako mož</w:t>
      </w:r>
      <w:r>
        <w:softHyphen/>
        <w:t>nost zítřka nebo už dneška, vystoupilo do popředí vše, co ve francouzském organismu bylo nedosti zdravého a odhodlaného. Francie se na sebe důkladně podívala teprve v rozhodující chv</w:t>
      </w:r>
      <w:r>
        <w:t>íli. A to je hlavní příčina naší tragedie.</w:t>
      </w:r>
    </w:p>
    <w:p w:rsidR="00500724" w:rsidRDefault="00F30FB8">
      <w:pPr>
        <w:pStyle w:val="Zkladntext20"/>
        <w:shd w:val="clear" w:color="auto" w:fill="auto"/>
      </w:pPr>
      <w:r>
        <w:t>Nikomu ještě nevymizela z paměti naše první mo- bilisace loňského 21. května. Měla pro první chvíli úspěchy, ze kterých jsme se radovali: německé vojsko, pokud se v nadměrném množství zdržovalo u našich hranic, us</w:t>
      </w:r>
      <w:r>
        <w:t>toupilo do vnitra země. Francie a Anglie stály v této krisi pevně na naší straně. Kdyby tato fronta se byla udržela, byly by věci dopadly jinak. Ale fronta, jak víme, se rozložila, 2L květen bez pokračo</w:t>
      </w:r>
      <w:r>
        <w:softHyphen/>
        <w:t>vání neměl smyslu, a tak den, který jsme zprvu měli p</w:t>
      </w:r>
      <w:r>
        <w:t>rávo pokládat za slavný a památný, stal se nakonec příčinou neštěstí. Bez této mobilisace byly by se věci nepochybně vyvíjely jinak, klidněji, sudetská otázka by nebyla toho roku nabyla tragické podoby.</w:t>
      </w:r>
    </w:p>
    <w:p w:rsidR="00500724" w:rsidRDefault="00F30FB8">
      <w:pPr>
        <w:pStyle w:val="Zkladntext20"/>
        <w:shd w:val="clear" w:color="auto" w:fill="auto"/>
        <w:ind w:firstLine="260"/>
      </w:pPr>
      <w:r>
        <w:t>Dodati musíme, že i k této mobilisaci došlo na zá</w:t>
      </w:r>
      <w:r>
        <w:softHyphen/>
      </w:r>
      <w:r>
        <w:t>kladě zpráv ze Západu a že po těchto zprávách jsme ji všichni musili pokládat za nezbytnou. Dříve ještě, než jsme mobilisovali, intervenoval anglický vyslanec energicky v Berlíně. Jednali jsme v souladu se Zápa</w:t>
      </w:r>
      <w:r>
        <w:softHyphen/>
        <w:t>dem a tento květnový soulad byl poslední a da</w:t>
      </w:r>
      <w:r>
        <w:t>najský dar, který jsme odtamtud dostali. Lépe snad, kdyby ho nebylo bývalo. Nectnosti naší vlastní situace byly by nám výrazněji vystoupily před oči. Francie a Anglie neměly dost pevné vůle setrvat na cestě, kterou nastoupily. Pro ně to bylo jen jednou z m</w:t>
      </w:r>
      <w:r>
        <w:t>no</w:t>
      </w:r>
      <w:r>
        <w:softHyphen/>
        <w:t>hých episod. My, jdouce dále po té stezce, shledali jsme v září, že jdeme po ní sami. Mobilisace 21. květ</w:t>
      </w:r>
      <w:r>
        <w:softHyphen/>
        <w:t>na to byla v podstatě, která vyhnala věci na ostří nože, o které se pak jedna strana pořezala. Bez 21. května nebylo by ani 30. září. Bylo by se dl</w:t>
      </w:r>
      <w:r>
        <w:t>ouho a zajisté s trapnými průvodními okolnostmi vyjedná</w:t>
      </w:r>
      <w:r>
        <w:softHyphen/>
        <w:t>valo s Německem o kompromis v sudetské otázce. Ne</w:t>
      </w:r>
      <w:r>
        <w:softHyphen/>
        <w:t>bylo by bývalo z našeho osudu odvráceno tolik, kolik někteří mají chuť věřit, ale nebylo by došlo ke koneč</w:t>
      </w:r>
      <w:r>
        <w:softHyphen/>
        <w:t>nému řešení už roku 1938. Slabost demokrati</w:t>
      </w:r>
      <w:r>
        <w:t>cké fronty nebyla by se tak jasně projevila, strach, který západní mocnosti cítily před válkou, byl by zůstal do velké miry tajemstvím. Německému vůdci nebylo by dáno tak dobře poznati, na čem jest. Byli bychom mohli ještě nějakou dobu těžit při vyjednáván</w:t>
      </w:r>
      <w:r>
        <w:t>í s Ně</w:t>
      </w:r>
      <w:r>
        <w:softHyphen/>
        <w:t>meckem ze svého papírového spojenectví s Francií: proti označení ^papírové spojenectvk nemůže pro</w:t>
      </w:r>
      <w:r>
        <w:softHyphen/>
        <w:t>testovat nikdo, kdo zažil září 1938.</w:t>
      </w:r>
    </w:p>
    <w:p w:rsidR="00500724" w:rsidRDefault="00F30FB8">
      <w:pPr>
        <w:pStyle w:val="Zkladntext20"/>
        <w:shd w:val="clear" w:color="auto" w:fill="auto"/>
        <w:spacing w:after="40"/>
        <w:ind w:firstLine="260"/>
      </w:pPr>
      <w:r>
        <w:t>Ze všeho, co víme, a co jsme ostatně už tenkráte věděli, vyplývá dosti jasně, že Hitler na jaře roku 1938 ještě ne</w:t>
      </w:r>
      <w:r>
        <w:t>měl pevně stanoveného cíle v česko</w:t>
      </w:r>
      <w:r>
        <w:softHyphen/>
        <w:t>slovenské otázce. Byl tu zajisté program spojení všech Němců v jednom státě, program to, jejž si německá nacionálně-socialistická strana někdy psala i na mra</w:t>
      </w:r>
      <w:r>
        <w:softHyphen/>
        <w:t>morové desky, ale to byl více méně jen vzdálený, ještě mlhavý c</w:t>
      </w:r>
      <w:r>
        <w:t>íl. Německý vůdce, jako obyčejně, hodlal se rozhodnout teprve podle situace a ovšem vytěžit z ní vše, co se dá. Osud mu dosud tak příznivý také tuto situaci připravil.</w:t>
      </w:r>
    </w:p>
    <w:p w:rsidR="00500724" w:rsidRDefault="00F30FB8">
      <w:pPr>
        <w:pStyle w:val="Zkladntext20"/>
        <w:shd w:val="clear" w:color="auto" w:fill="auto"/>
        <w:spacing w:after="220"/>
        <w:ind w:firstLine="260"/>
      </w:pPr>
      <w:r>
        <w:t>Kdo slyšel v rozhlase loni v září Hitlerovu řeč z No</w:t>
      </w:r>
      <w:r>
        <w:softHyphen/>
        <w:t>rimberku, musil i na tónu poznat, j</w:t>
      </w:r>
      <w:r>
        <w:t>ak velkou roli mo</w:t>
      </w:r>
      <w:r>
        <w:softHyphen/>
        <w:t>bilisace 21. května v jeho citech hrála. Hrdosti vojen</w:t>
      </w:r>
      <w:r>
        <w:softHyphen/>
        <w:t>ského režimu, jaký byl v Německu, právě takové události jsou schopny nejvíce se dotknout. Tím spíše, jestliže světový tisk to veřejně hodnotil jakožto ústup Německa. Hrdost byla probu</w:t>
      </w:r>
      <w:r>
        <w:t xml:space="preserve">zena a věci se dostávaly na dráhu, kdy proti síle se staví síla. V srpnu došlo </w:t>
      </w:r>
      <w:r>
        <w:rPr>
          <w:b/>
          <w:bCs/>
        </w:rPr>
        <w:t xml:space="preserve">k </w:t>
      </w:r>
      <w:r>
        <w:t>manévrové mobilisaci německé, která měla zase býti ukázkou německé síly, a při pohledu na tuto nakupe</w:t>
      </w:r>
      <w:r>
        <w:softHyphen/>
        <w:t xml:space="preserve">nou masu vojska a na rychle vybudovávanou Sig- friedovu linii, kterou by </w:t>
      </w:r>
      <w:r>
        <w:t>bylo třeba pronikat a pře</w:t>
      </w:r>
      <w:r>
        <w:softHyphen/>
        <w:t>konávat, Francii se zachvěla kolena. Od naší květnové mobilisace až k srpnové mobilisaci německé vede</w:t>
      </w:r>
    </w:p>
    <w:p w:rsidR="00500724" w:rsidRDefault="00F30FB8">
      <w:pPr>
        <w:pStyle w:val="Jin0"/>
        <w:shd w:val="clear" w:color="auto" w:fill="auto"/>
        <w:spacing w:after="40"/>
        <w:ind w:firstLine="0"/>
      </w:pPr>
      <w:r>
        <w:rPr>
          <w:rFonts w:ascii="Arial" w:eastAsia="Arial" w:hAnsi="Arial" w:cs="Arial"/>
          <w:b/>
          <w:bCs/>
          <w:i/>
          <w:iCs/>
        </w:rPr>
        <w:t>tt</w:t>
      </w:r>
    </w:p>
    <w:p w:rsidR="00500724" w:rsidRDefault="00F30FB8">
      <w:pPr>
        <w:pStyle w:val="Zkladntext20"/>
        <w:shd w:val="clear" w:color="auto" w:fill="auto"/>
        <w:spacing w:line="197" w:lineRule="auto"/>
        <w:ind w:firstLine="0"/>
      </w:pPr>
      <w:r>
        <w:t>přímá cesta. Situaci vzájemného ukazování svalů pod</w:t>
      </w:r>
      <w:r>
        <w:softHyphen/>
        <w:t>lehla strana psychologicky a nervově slabší.</w:t>
      </w:r>
    </w:p>
    <w:p w:rsidR="00500724" w:rsidRDefault="00F30FB8">
      <w:pPr>
        <w:pStyle w:val="Zkladntext20"/>
        <w:shd w:val="clear" w:color="auto" w:fill="auto"/>
      </w:pPr>
      <w:r>
        <w:t xml:space="preserve">Hitler dostal se k svým </w:t>
      </w:r>
      <w:r>
        <w:t>výsledkům empiricky, bez předem pojatého úmyslu: počínal si jako muž, který kladívkem oťukává stěnu, až se ozve duté místo; pak tam nasadí páku. Duté místo se na francouzské a anglické straně věru ozvalo. Mistr situace, jímž Hitler jest, dovedl toho dokona</w:t>
      </w:r>
      <w:r>
        <w:t>le využít. Kdyby nebylo došlo k tak vypjatému měření sil, mohla Francie zůstat velkou ilusí v pozadí. Ostrý vítr krise s ní serval její clémenceauovský a fochovský kostým, a objevilo se pod ním bonnetovské sako.</w:t>
      </w:r>
    </w:p>
    <w:p w:rsidR="00500724" w:rsidRDefault="00F30FB8">
      <w:pPr>
        <w:pStyle w:val="Zkladntext20"/>
        <w:shd w:val="clear" w:color="auto" w:fill="auto"/>
        <w:ind w:firstLine="0"/>
        <w:jc w:val="center"/>
      </w:pPr>
      <w:r>
        <w:t>•</w:t>
      </w:r>
    </w:p>
    <w:p w:rsidR="00500724" w:rsidRDefault="00F30FB8">
      <w:pPr>
        <w:pStyle w:val="Zkladntext20"/>
        <w:shd w:val="clear" w:color="auto" w:fill="auto"/>
      </w:pPr>
      <w:r>
        <w:t>Může být položena otázka, proč se tím vším</w:t>
      </w:r>
      <w:r>
        <w:t xml:space="preserve"> ještě zabývati. Ale řekli jsme si přece, že chceme poznati všechny okolnosti katastrofy, aby nám to sloužilo k poučení, je-li možno, aby poznání okolností situace jedné sloužilo za poučení i v situaci jiné.</w:t>
      </w:r>
    </w:p>
    <w:p w:rsidR="00500724" w:rsidRDefault="00F30FB8">
      <w:pPr>
        <w:pStyle w:val="Zkladntext20"/>
        <w:shd w:val="clear" w:color="auto" w:fill="auto"/>
        <w:spacing w:after="260" w:line="240" w:lineRule="auto"/>
        <w:ind w:firstLine="0"/>
        <w:jc w:val="right"/>
        <w:rPr>
          <w:sz w:val="20"/>
          <w:szCs w:val="20"/>
        </w:rPr>
      </w:pPr>
      <w:r>
        <w:rPr>
          <w:i/>
          <w:iCs/>
          <w:sz w:val="18"/>
          <w:szCs w:val="18"/>
        </w:rPr>
        <w:t xml:space="preserve">F. </w:t>
      </w:r>
      <w:r>
        <w:rPr>
          <w:i/>
          <w:iCs/>
          <w:sz w:val="20"/>
          <w:szCs w:val="20"/>
        </w:rPr>
        <w:t>Peroutka</w:t>
      </w:r>
    </w:p>
    <w:p w:rsidR="00500724" w:rsidRDefault="00F30FB8">
      <w:pPr>
        <w:pStyle w:val="Jin0"/>
        <w:shd w:val="clear" w:color="auto" w:fill="auto"/>
        <w:ind w:firstLine="0"/>
        <w:jc w:val="left"/>
        <w:rPr>
          <w:sz w:val="44"/>
          <w:szCs w:val="44"/>
        </w:rPr>
      </w:pPr>
      <w:r>
        <w:rPr>
          <w:b/>
          <w:bCs/>
          <w:sz w:val="44"/>
          <w:szCs w:val="44"/>
        </w:rPr>
        <w:t>poznámky</w:t>
      </w:r>
    </w:p>
    <w:p w:rsidR="00500724" w:rsidRDefault="00F30FB8">
      <w:pPr>
        <w:pStyle w:val="Jin0"/>
        <w:shd w:val="clear" w:color="auto" w:fill="auto"/>
        <w:spacing w:after="140"/>
        <w:ind w:firstLine="0"/>
        <w:jc w:val="right"/>
        <w:rPr>
          <w:sz w:val="8"/>
          <w:szCs w:val="8"/>
        </w:rPr>
      </w:pPr>
      <w:r>
        <w:rPr>
          <w:rFonts w:ascii="Arial" w:eastAsia="Arial" w:hAnsi="Arial" w:cs="Arial"/>
          <w:b/>
          <w:bCs/>
          <w:sz w:val="8"/>
          <w:szCs w:val="8"/>
        </w:rPr>
        <w:t>€2SaeaK^3&amp;anaHS»DamamsUHanEBE3S2Bn2£B325BSBK«HmKSBnBUHHMKaiUH«BMWH</w:t>
      </w:r>
    </w:p>
    <w:p w:rsidR="00500724" w:rsidRDefault="00F30FB8">
      <w:pPr>
        <w:pStyle w:val="Zkladntext20"/>
        <w:shd w:val="clear" w:color="auto" w:fill="auto"/>
        <w:spacing w:line="178" w:lineRule="auto"/>
        <w:ind w:firstLine="0"/>
        <w:jc w:val="right"/>
        <w:rPr>
          <w:sz w:val="20"/>
          <w:szCs w:val="20"/>
        </w:rPr>
      </w:pPr>
      <w:r>
        <w:rPr>
          <w:b/>
          <w:bCs/>
          <w:sz w:val="20"/>
          <w:szCs w:val="20"/>
        </w:rPr>
        <w:t>Co je to ^mnichovská politika« a jak zatím dopadla</w:t>
      </w:r>
    </w:p>
    <w:p w:rsidR="00500724" w:rsidRDefault="00F30FB8">
      <w:pPr>
        <w:pStyle w:val="Zkladntext1"/>
        <w:shd w:val="clear" w:color="auto" w:fill="auto"/>
        <w:spacing w:line="187" w:lineRule="auto"/>
        <w:ind w:firstLine="300"/>
      </w:pPr>
      <w:r>
        <w:rPr>
          <w:b/>
          <w:bCs/>
        </w:rPr>
        <w:t xml:space="preserve">Chamberlainovým návratem z Itálie zakončena byla prvá fáze t. zv. mnichovské politiky. Jejím počátkem bylo okleštění Československa </w:t>
      </w:r>
      <w:r>
        <w:rPr>
          <w:b/>
          <w:bCs/>
        </w:rPr>
        <w:t>Mnichovskou dohodou čtyř vel</w:t>
      </w:r>
      <w:r>
        <w:rPr>
          <w:b/>
          <w:bCs/>
        </w:rPr>
        <w:softHyphen/>
        <w:t xml:space="preserve">moci z 29. září 1938, na jejím konci vznáší se vidina trvalélto míru a přátelského soužití všech národů. Téměř ětyři měsíce uplynuly od oné chvíle, kdy starý muž s deštníkem před svým odletem na mnichovskou konferenci — cituje </w:t>
      </w:r>
      <w:r>
        <w:rPr>
          <w:b/>
          <w:bCs/>
        </w:rPr>
        <w:t>z Shake</w:t>
      </w:r>
      <w:r>
        <w:rPr>
          <w:b/>
          <w:bCs/>
        </w:rPr>
        <w:softHyphen/>
        <w:t>spearova Jindřicha IV. — vyslovil naději, že z kopřiv ne</w:t>
      </w:r>
      <w:r>
        <w:rPr>
          <w:b/>
          <w:bCs/>
        </w:rPr>
        <w:softHyphen/>
        <w:t>bezpečí vytrhne květinku bezpečností. V této době navázal britský premiér přímé osobní styky s vůdci obou států osy, vyvolal v život několik dohod; dostalo se mu postupně nadšených ovací obec</w:t>
      </w:r>
      <w:r>
        <w:rPr>
          <w:b/>
          <w:bCs/>
        </w:rPr>
        <w:t>enstva německého, francouzského, brit</w:t>
      </w:r>
      <w:r>
        <w:rPr>
          <w:b/>
          <w:bCs/>
        </w:rPr>
        <w:softHyphen/>
        <w:t>ského a italského. Pokusme se proto — sinex ira et studio — stručným rozborem faktů zjistítt, jak dalece se splnila premiérova naděje v přátelské usmířeni evropských států.</w:t>
      </w:r>
    </w:p>
    <w:p w:rsidR="00500724" w:rsidRDefault="00F30FB8">
      <w:pPr>
        <w:pStyle w:val="Zkladntext1"/>
        <w:numPr>
          <w:ilvl w:val="0"/>
          <w:numId w:val="10"/>
        </w:numPr>
        <w:shd w:val="clear" w:color="auto" w:fill="auto"/>
        <w:tabs>
          <w:tab w:val="left" w:pos="538"/>
        </w:tabs>
        <w:spacing w:line="187" w:lineRule="auto"/>
        <w:ind w:firstLine="300"/>
      </w:pPr>
      <w:r>
        <w:rPr>
          <w:b/>
          <w:bCs/>
        </w:rPr>
        <w:t>Mnichovská dohoda z 29. záři, jež měla býti ú</w:t>
      </w:r>
      <w:r>
        <w:rPr>
          <w:b/>
          <w:bCs/>
        </w:rPr>
        <w:t>helným kamenem novostavby míru, byla již dostatečně rozebrána. Podle dodatkového protokolu, připojeného k Mnichovské dohodě, měla se Česko-Slovensko dostali — v uznání obětí, jež přineslo zachováni míru, a v náhradu zá</w:t>
      </w:r>
      <w:r>
        <w:rPr>
          <w:b/>
          <w:bCs/>
        </w:rPr>
        <w:softHyphen/>
        <w:t>ruky dosud platných smluv spojeneckýc</w:t>
      </w:r>
      <w:r>
        <w:rPr>
          <w:b/>
          <w:bCs/>
        </w:rPr>
        <w:t xml:space="preserve">h — mezinárodní garancie nových jeho hranic proti každému nevyprovoko- vanému útoku, a to od Anglie a Francie bezpodmínečně, od Německa a Itálie po rozřešení otázky menšin polských a maďarských. Přislib záruky dodnes nebyl splněn, ač s naší strany všechny </w:t>
      </w:r>
      <w:r>
        <w:rPr>
          <w:b/>
          <w:bCs/>
        </w:rPr>
        <w:t>podmínky již byly provedeny.</w:t>
      </w:r>
    </w:p>
    <w:p w:rsidR="00500724" w:rsidRDefault="00F30FB8">
      <w:pPr>
        <w:pStyle w:val="Zkladntext1"/>
        <w:numPr>
          <w:ilvl w:val="0"/>
          <w:numId w:val="10"/>
        </w:numPr>
        <w:shd w:val="clear" w:color="auto" w:fill="auto"/>
        <w:tabs>
          <w:tab w:val="left" w:pos="543"/>
        </w:tabs>
        <w:spacing w:line="187" w:lineRule="auto"/>
        <w:ind w:firstLine="300"/>
      </w:pPr>
      <w:r>
        <w:rPr>
          <w:b/>
          <w:bCs/>
        </w:rPr>
        <w:t>Vídeňská arbitráž o územních ústup</w:t>
      </w:r>
      <w:r>
        <w:rPr>
          <w:b/>
          <w:bCs/>
        </w:rPr>
        <w:softHyphen/>
        <w:t>cích Maďarsku se konala již za naprostého nezájmu západních velmocí, jež neslavně vyklidily své středoevropské posice a ponechaly tu volnou ruku Německu a Itálii. Po špatných zkušenostech, kte</w:t>
      </w:r>
      <w:r>
        <w:rPr>
          <w:b/>
          <w:bCs/>
        </w:rPr>
        <w:t>ré jsme měli s anglickými a fran</w:t>
      </w:r>
      <w:r>
        <w:rPr>
          <w:b/>
          <w:bCs/>
        </w:rPr>
        <w:softHyphen/>
        <w:t>couzskými zástupci v mezinárodním výboru v Berlíně, ne</w:t>
      </w:r>
      <w:r>
        <w:rPr>
          <w:b/>
          <w:bCs/>
        </w:rPr>
        <w:softHyphen/>
        <w:t>musíme této nepřítomností příliš litovali. Sotva bychom byli dopadli lépe.</w:t>
      </w:r>
    </w:p>
    <w:p w:rsidR="00500724" w:rsidRDefault="00F30FB8">
      <w:pPr>
        <w:pStyle w:val="Zkladntext1"/>
        <w:numPr>
          <w:ilvl w:val="0"/>
          <w:numId w:val="10"/>
        </w:numPr>
        <w:shd w:val="clear" w:color="auto" w:fill="auto"/>
        <w:tabs>
          <w:tab w:val="left" w:pos="538"/>
        </w:tabs>
        <w:spacing w:line="187" w:lineRule="auto"/>
        <w:ind w:firstLine="300"/>
      </w:pPr>
      <w:r>
        <w:rPr>
          <w:b/>
          <w:bCs/>
        </w:rPr>
        <w:t>Anglo-německé mirové prohlášeni z 3 0. září. Hned po uzavření Mnichovské dohody podepsali ješ</w:t>
      </w:r>
      <w:r>
        <w:rPr>
          <w:b/>
          <w:bCs/>
        </w:rPr>
        <w:t>tě říšský vůdce a kancléř a britský ministerský předseda pro</w:t>
      </w:r>
      <w:r>
        <w:rPr>
          <w:b/>
          <w:bCs/>
        </w:rPr>
        <w:softHyphen/>
        <w:t>hlášení, jež mělo býti dokladem toho, že po Mnichově Evro</w:t>
      </w:r>
      <w:r>
        <w:rPr>
          <w:b/>
          <w:bCs/>
        </w:rPr>
        <w:softHyphen/>
        <w:t>pa zahájí novou, lepší cestu. Oba státníci v něm oznámili, že otázka anglo-němeekých vztahů je prvořadého významu pro oba státy i pro Evr</w:t>
      </w:r>
      <w:r>
        <w:rPr>
          <w:b/>
          <w:bCs/>
        </w:rPr>
        <w:t>opu; že pokládají Mnichovskou dohodu za symbolickou pro přání obou národů — německého a brit</w:t>
      </w:r>
      <w:r>
        <w:rPr>
          <w:b/>
          <w:bCs/>
        </w:rPr>
        <w:softHyphen/>
        <w:t>ského — nevěstí proti sobě již nikdy válku, a že jsou roz</w:t>
      </w:r>
      <w:r>
        <w:rPr>
          <w:b/>
          <w:bCs/>
        </w:rPr>
        <w:softHyphen/>
        <w:t>hodnuti také ostatní otázky, jež se obou zemí dotýkají, pro</w:t>
      </w:r>
      <w:r>
        <w:rPr>
          <w:b/>
          <w:bCs/>
        </w:rPr>
        <w:softHyphen/>
        <w:t>jednávali methodou porad. Touto deklarací zam</w:t>
      </w:r>
      <w:r>
        <w:rPr>
          <w:b/>
          <w:bCs/>
        </w:rPr>
        <w:t>ával vrace</w:t>
      </w:r>
      <w:r>
        <w:rPr>
          <w:b/>
          <w:bCs/>
        </w:rPr>
        <w:softHyphen/>
        <w:t>jící se britský premiér vítězoslavně proti odpůrcům své po</w:t>
      </w:r>
      <w:r>
        <w:rPr>
          <w:b/>
          <w:bCs/>
        </w:rPr>
        <w:softHyphen/>
        <w:t>litiky. A velmi se divil, když někteří z jeho sourodákň ne</w:t>
      </w:r>
      <w:r>
        <w:rPr>
          <w:b/>
          <w:bCs/>
        </w:rPr>
        <w:softHyphen/>
        <w:t>nudili pochopit jeho uspokojení.</w:t>
      </w:r>
    </w:p>
    <w:p w:rsidR="00500724" w:rsidRDefault="00F30FB8">
      <w:pPr>
        <w:pStyle w:val="Zkladntext1"/>
        <w:numPr>
          <w:ilvl w:val="0"/>
          <w:numId w:val="10"/>
        </w:numPr>
        <w:shd w:val="clear" w:color="auto" w:fill="auto"/>
        <w:tabs>
          <w:tab w:val="left" w:pos="574"/>
        </w:tabs>
        <w:spacing w:line="187" w:lineRule="auto"/>
        <w:ind w:firstLine="300"/>
        <w:rPr>
          <w:sz w:val="18"/>
          <w:szCs w:val="18"/>
        </w:rPr>
      </w:pPr>
      <w:r>
        <w:rPr>
          <w:b/>
          <w:bCs/>
        </w:rPr>
        <w:t xml:space="preserve">Účinnost anglo-ítaiskýeh dohod ze </w:t>
      </w:r>
      <w:r>
        <w:rPr>
          <w:rFonts w:ascii="Arial" w:eastAsia="Arial" w:hAnsi="Arial" w:cs="Arial"/>
          <w:sz w:val="18"/>
          <w:szCs w:val="18"/>
        </w:rPr>
        <w:t>K</w:t>
      </w:r>
    </w:p>
    <w:p w:rsidR="00500724" w:rsidRDefault="00F30FB8">
      <w:pPr>
        <w:pStyle w:val="Zkladntext1"/>
        <w:shd w:val="clear" w:color="auto" w:fill="auto"/>
        <w:spacing w:line="187" w:lineRule="auto"/>
        <w:ind w:firstLine="0"/>
      </w:pPr>
      <w:r>
        <w:rPr>
          <w:b/>
          <w:bCs/>
        </w:rPr>
        <w:t>dubna 193 8. Dne 16. listopadu 1938 vstoupily konečně pode</w:t>
      </w:r>
      <w:r>
        <w:rPr>
          <w:b/>
          <w:bCs/>
        </w:rPr>
        <w:t>psáním příslušného protokolu zahraničním ministrem Cianem a britským velvyslancem Perthem v účinnost anglo- italské dohody, uzavřené 16. dubna 1938. (Je to celkem 8 do</w:t>
      </w:r>
      <w:r>
        <w:rPr>
          <w:b/>
          <w:bCs/>
        </w:rPr>
        <w:softHyphen/>
        <w:t>hod a deklaraci, týkajících se Středozemního moře, někte</w:t>
      </w:r>
      <w:r>
        <w:rPr>
          <w:b/>
          <w:bCs/>
        </w:rPr>
        <w:softHyphen/>
        <w:t>rých oblastí afrických a arabsk</w:t>
      </w:r>
      <w:r>
        <w:rPr>
          <w:b/>
          <w:bCs/>
        </w:rPr>
        <w:t xml:space="preserve">ých a průplavu Suezského.) Zejména se tím stalo platným i </w:t>
      </w:r>
      <w:r>
        <w:rPr>
          <w:b/>
          <w:bCs/>
          <w:lang w:val="en-US" w:eastAsia="en-US" w:bidi="en-US"/>
        </w:rPr>
        <w:t xml:space="preserve">gentlemen’s agreement </w:t>
      </w:r>
      <w:r>
        <w:rPr>
          <w:b/>
          <w:bCs/>
        </w:rPr>
        <w:t xml:space="preserve">z ledna 1937, kterým oba státy prohlásily, že nemají žádného přání změniti status </w:t>
      </w:r>
      <w:r>
        <w:rPr>
          <w:b/>
          <w:bCs/>
          <w:lang w:val="en-US" w:eastAsia="en-US" w:bidi="en-US"/>
        </w:rPr>
        <w:t xml:space="preserve">quo </w:t>
      </w:r>
      <w:r>
        <w:rPr>
          <w:b/>
          <w:bCs/>
        </w:rPr>
        <w:t>v oblasti Středozemního moře, za</w:t>
      </w:r>
      <w:r>
        <w:rPr>
          <w:b/>
          <w:bCs/>
        </w:rPr>
        <w:softHyphen/>
        <w:t>vázaly se respektovat vzájemná práva a zájmy v této oblas</w:t>
      </w:r>
      <w:r>
        <w:rPr>
          <w:b/>
          <w:bCs/>
        </w:rPr>
        <w:t>ti a dohodly se, že vynaloží všechno své úsilí, aby zmařily ja</w:t>
      </w:r>
      <w:r>
        <w:rPr>
          <w:b/>
          <w:bCs/>
        </w:rPr>
        <w:softHyphen/>
        <w:t>koukoliv činnost, jež by mohla ohroziti dobré vztahy. Uplat</w:t>
      </w:r>
      <w:r>
        <w:rPr>
          <w:b/>
          <w:bCs/>
        </w:rPr>
        <w:softHyphen/>
        <w:t xml:space="preserve">nění těchto dohod naráželo na obtíže v otázce španělské. Itálie neustala posílati do Španělska své vojenské oddíly, což podle názoru </w:t>
      </w:r>
      <w:r>
        <w:rPr>
          <w:b/>
          <w:bCs/>
        </w:rPr>
        <w:t>britské vlády — alespoň s počátku — ne</w:t>
      </w:r>
      <w:r>
        <w:rPr>
          <w:b/>
          <w:bCs/>
        </w:rPr>
        <w:softHyphen/>
        <w:t>odpovídalo duchu dohody. Rovněž se Anglie snažila dosíci toho, aby před tím, než dohoda nabude účinnosti, byla uza</w:t>
      </w:r>
      <w:r>
        <w:rPr>
          <w:b/>
          <w:bCs/>
        </w:rPr>
        <w:softHyphen/>
        <w:t>vřena podobná dohoda též mezi Itálií a Francií. Po Mnicho</w:t>
      </w:r>
      <w:r>
        <w:rPr>
          <w:b/>
          <w:bCs/>
        </w:rPr>
        <w:softHyphen/>
        <w:t>vě si však britská vláda již souvislostí pro</w:t>
      </w:r>
      <w:r>
        <w:rPr>
          <w:b/>
          <w:bCs/>
        </w:rPr>
        <w:t>blému španěl</w:t>
      </w:r>
      <w:r>
        <w:rPr>
          <w:b/>
          <w:bCs/>
        </w:rPr>
        <w:softHyphen/>
        <w:t>ského a italsko-francouzské dohody nelámala hlavu a bez ohledu na své dřívější stanovisko a přes to, že italské kolony nadále bojovaly na španělské půdě a Francie byla od Itálie dále než před tím, uvedla anglo-italské dohody v účinnost.</w:t>
      </w:r>
    </w:p>
    <w:p w:rsidR="00500724" w:rsidRDefault="00F30FB8">
      <w:pPr>
        <w:pStyle w:val="Zkladntext1"/>
        <w:numPr>
          <w:ilvl w:val="0"/>
          <w:numId w:val="10"/>
        </w:numPr>
        <w:shd w:val="clear" w:color="auto" w:fill="auto"/>
        <w:tabs>
          <w:tab w:val="left" w:pos="543"/>
        </w:tabs>
        <w:spacing w:line="187" w:lineRule="auto"/>
        <w:ind w:firstLine="280"/>
      </w:pPr>
      <w:r>
        <w:rPr>
          <w:b/>
          <w:bCs/>
        </w:rPr>
        <w:t>Německ</w:t>
      </w:r>
      <w:r>
        <w:rPr>
          <w:b/>
          <w:bCs/>
        </w:rPr>
        <w:t>o-francouzská deklaracez 6. pro</w:t>
      </w:r>
      <w:r>
        <w:rPr>
          <w:b/>
          <w:bCs/>
        </w:rPr>
        <w:softHyphen/>
        <w:t>since. Tato deklarace, jež měla býti doplňkem prohlášení anglo-německého, byla podepsána Bonnetem a Ribbentro- pem za jeho návštěvy v Paříži. Vyjádřila přesvědčení fran</w:t>
      </w:r>
      <w:r>
        <w:rPr>
          <w:b/>
          <w:bCs/>
        </w:rPr>
        <w:softHyphen/>
        <w:t>couzské a německé vlády, že pokojné vztahy a dobré sous</w:t>
      </w:r>
      <w:r>
        <w:rPr>
          <w:b/>
          <w:bCs/>
        </w:rPr>
        <w:t>ed</w:t>
      </w:r>
      <w:r>
        <w:rPr>
          <w:b/>
          <w:bCs/>
        </w:rPr>
        <w:softHyphen/>
        <w:t>ství mezi oběma státy tvoří jeden ze základních prvků kon</w:t>
      </w:r>
      <w:r>
        <w:rPr>
          <w:b/>
          <w:bCs/>
        </w:rPr>
        <w:softHyphen/>
        <w:t>solidace evropské Situace a že proto obě vlády použijí všech prostředků, aby zajistily vývoj svých vztahů v tomto smys</w:t>
      </w:r>
      <w:r>
        <w:rPr>
          <w:b/>
          <w:bCs/>
        </w:rPr>
        <w:softHyphen/>
        <w:t>lu. Konstatovala, že mezi oběma státy nezůstává nevyřešena žádná otázka pova</w:t>
      </w:r>
      <w:r>
        <w:rPr>
          <w:b/>
          <w:bCs/>
        </w:rPr>
        <w:t>hy územní a slavnostně uznala nynější společnou hranici za definitivní. A obě vlády vyslovily své rozhodnutí — s výhradou svých zvláštních vztahů k třetím mocnostem — zůstati v dotyku o všech otázkách, zajímají</w:t>
      </w:r>
      <w:r>
        <w:rPr>
          <w:b/>
          <w:bCs/>
        </w:rPr>
        <w:softHyphen/>
        <w:t xml:space="preserve">cích obě země, a poradili se navzájem, kdyby </w:t>
      </w:r>
      <w:r>
        <w:rPr>
          <w:b/>
          <w:bCs/>
        </w:rPr>
        <w:t>další vývoj těchto otázek hrozil vésti k mezinárodním nesnázím. — Tvoří tedy i zde větší část deklarace příslib porad (a to ještě podmíněný) a konstatování samozřejmostí. Oproti anglo- německému prohlášení je tu však navíc potvrzení francouz- sko-německé h</w:t>
      </w:r>
      <w:r>
        <w:rPr>
          <w:b/>
          <w:bCs/>
        </w:rPr>
        <w:t>ranice. Ač tu nejde o nic nového, nýbrž jen o opětovné potvrzení řady dřívějších německých prohlášení, je tu alespoň řečeno něco konkrétního. Přes to však dostalo se německo-francouzské deklaraci chladnějšího přijetí než prohlášení anglo-německého. Vyprcha</w:t>
      </w:r>
      <w:r>
        <w:rPr>
          <w:b/>
          <w:bCs/>
        </w:rPr>
        <w:t>lo totiž již opojení z mnichovských úspěchů a lidstvo se opět počalo na věci dí- vati střízlivěji.</w:t>
      </w:r>
    </w:p>
    <w:p w:rsidR="00500724" w:rsidRDefault="00F30FB8">
      <w:pPr>
        <w:pStyle w:val="Zkladntext1"/>
        <w:numPr>
          <w:ilvl w:val="0"/>
          <w:numId w:val="10"/>
        </w:numPr>
        <w:shd w:val="clear" w:color="auto" w:fill="auto"/>
        <w:tabs>
          <w:tab w:val="left" w:pos="534"/>
        </w:tabs>
        <w:spacing w:line="187" w:lineRule="auto"/>
        <w:ind w:firstLine="280"/>
      </w:pPr>
      <w:r>
        <w:rPr>
          <w:b/>
          <w:bCs/>
        </w:rPr>
        <w:t xml:space="preserve">Italské územní požadavky. Deklarace anglo- německá a německo-francouzská a obnovená dohoda anglo- italská měly býti doplněny ještě dohodou italsko-francouz- </w:t>
      </w:r>
      <w:r>
        <w:rPr>
          <w:b/>
          <w:bCs/>
        </w:rPr>
        <w:t>skou. Tím mělo dojiti mezi každým z obou států osy Berlín- Řím a každým z obou členů anglo-francouzského bloku k přátelskému narovnání, jež by se stalo základnou k dalšímu pokojnému řešení nesrovnalostí. Tento poslední článek Chamberlainovy mnichovské konc</w:t>
      </w:r>
      <w:r>
        <w:rPr>
          <w:b/>
          <w:bCs/>
        </w:rPr>
        <w:t>epce však vypadl. Dne</w:t>
      </w:r>
    </w:p>
    <w:p w:rsidR="00500724" w:rsidRDefault="00F30FB8">
      <w:pPr>
        <w:pStyle w:val="Zkladntext1"/>
        <w:numPr>
          <w:ilvl w:val="0"/>
          <w:numId w:val="11"/>
        </w:numPr>
        <w:shd w:val="clear" w:color="auto" w:fill="auto"/>
        <w:tabs>
          <w:tab w:val="left" w:pos="462"/>
          <w:tab w:val="left" w:pos="480"/>
        </w:tabs>
        <w:spacing w:line="187" w:lineRule="auto"/>
        <w:ind w:firstLine="0"/>
      </w:pPr>
      <w:r>
        <w:rPr>
          <w:b/>
          <w:bCs/>
        </w:rPr>
        <w:t>listopadu došlo k známým manifestačním výkřikům, volajícím po přivtělení Tunisu, Korsiky, Nizzy a Džibuti k Itálii, k dalším demontracím a k ostré tiskové kampani v Itálii, Francii a Tunisu. A 17. prosince oznámil ministr Ciano novému</w:t>
      </w:r>
      <w:r>
        <w:rPr>
          <w:b/>
          <w:bCs/>
        </w:rPr>
        <w:t xml:space="preserve"> francouzskému velvyslanci Poncetovi, že Itálie považuje italsko-francouzské dohody, uzavřené v lednu 1935 Uavalem a Mussolinim, za neplatné, jelikož se jim nedostalo ratifikace. Místo sjednané dohody nové byla tedy zrušena dohoda stará, jež již neodpovídá</w:t>
      </w:r>
      <w:r>
        <w:rPr>
          <w:b/>
          <w:bCs/>
        </w:rPr>
        <w:t xml:space="preserve"> změněnému poměru sil obou partnerů.</w:t>
      </w:r>
    </w:p>
    <w:p w:rsidR="00500724" w:rsidRDefault="00F30FB8">
      <w:pPr>
        <w:pStyle w:val="Zkladntext1"/>
        <w:numPr>
          <w:ilvl w:val="0"/>
          <w:numId w:val="10"/>
        </w:numPr>
        <w:shd w:val="clear" w:color="auto" w:fill="auto"/>
        <w:tabs>
          <w:tab w:val="left" w:pos="538"/>
        </w:tabs>
        <w:spacing w:after="320" w:line="187" w:lineRule="auto"/>
        <w:ind w:firstLine="280"/>
      </w:pPr>
      <w:r>
        <w:rPr>
          <w:b/>
          <w:bCs/>
        </w:rPr>
        <w:t>Římská schůzka. Návštěva britského premiéra a jeho ministra zahraničních věcí v Římě a její výsledky, pokud prorikly na veřejnost, byly již s dostatek rozebrány. Oficiální komuniké oznámilo povšechně, že byly zkoumány n</w:t>
      </w:r>
      <w:r>
        <w:rPr>
          <w:b/>
          <w:bCs/>
        </w:rPr>
        <w:t>ejdůležitější aktuální otázky a věcí týkající se vztahů mezi Anglií a Itálií, že se tak stalo v duchu největší srdečnosti, že došlo k plné a upřímné výměně názorů a k potvrzení snahy rozvíjet 1 nadále vztahy obou zemí a že bude v nej</w:t>
      </w:r>
      <w:r>
        <w:rPr>
          <w:b/>
          <w:bCs/>
        </w:rPr>
        <w:softHyphen/>
        <w:t>bližší době uzavřena n</w:t>
      </w:r>
      <w:r>
        <w:rPr>
          <w:b/>
          <w:bCs/>
        </w:rPr>
        <w:t>a podkladě dohody z dubna 1938 ještě zvláštní dohoda (patrně v záležitostech afrických). I když jsme zvyklí na obsahovou chudobu oficiálních komuniké, jo nápadné, že komuniké o římských poradách se vůbec ne</w:t>
      </w:r>
      <w:r>
        <w:rPr>
          <w:b/>
          <w:bCs/>
        </w:rPr>
        <w:softHyphen/>
        <w:t>zmiňuje ani o spovšechné shodě názorů a, jak tomu</w:t>
      </w:r>
      <w:r>
        <w:rPr>
          <w:b/>
          <w:bCs/>
        </w:rPr>
        <w:t xml:space="preserve"> obvyklo u komuniké o poradách bývá. Rovněž příslovečný Chamber</w:t>
      </w:r>
      <w:r>
        <w:rPr>
          <w:b/>
          <w:bCs/>
        </w:rPr>
        <w:softHyphen/>
        <w:t>lainův optimismus se tentokráte neprojevil, V prohlášeni o výsledcích svých porad jen vyslovil své přesvědčení o dobré vůli italské vlády a o vzájemném pochopení stanovisk obou zemi. Ve zdvoři</w:t>
      </w:r>
      <w:r>
        <w:rPr>
          <w:b/>
          <w:bCs/>
        </w:rPr>
        <w:t xml:space="preserve">lostních telegramech, jež si spolu oba premiérové vyměnili, mluví </w:t>
      </w:r>
      <w:r>
        <w:rPr>
          <w:b/>
          <w:bCs/>
          <w:lang w:val="en-US" w:eastAsia="en-US" w:bidi="en-US"/>
        </w:rPr>
        <w:t xml:space="preserve">Chamberlain </w:t>
      </w:r>
      <w:r>
        <w:rPr>
          <w:b/>
          <w:bCs/>
        </w:rPr>
        <w:t xml:space="preserve">o naději, že »mír bude zachována, zatím </w:t>
      </w:r>
      <w:r>
        <w:rPr>
          <w:b/>
          <w:bCs/>
          <w:lang w:val="en-US" w:eastAsia="en-US" w:bidi="en-US"/>
        </w:rPr>
        <w:t xml:space="preserve">co Mussolini </w:t>
      </w:r>
      <w:r>
        <w:rPr>
          <w:b/>
          <w:bCs/>
        </w:rPr>
        <w:t>jen důvěřuje, že »mír bude zachován na základě spravedlnosti. Ač německý, ital</w:t>
      </w:r>
      <w:r>
        <w:rPr>
          <w:b/>
          <w:bCs/>
        </w:rPr>
        <w:softHyphen/>
        <w:t>ský a anglický tisk se vyjadřuje ve svých kome</w:t>
      </w:r>
      <w:r>
        <w:rPr>
          <w:b/>
          <w:bCs/>
        </w:rPr>
        <w:t>ntářích o výsledku porad příznivě, nezdá se, že by bylo bývalo dosa</w:t>
      </w:r>
      <w:r>
        <w:rPr>
          <w:b/>
          <w:bCs/>
        </w:rPr>
        <w:softHyphen/>
        <w:t>ženo nějakého sblížení názorů v obou hlavních problémech — válce španělské a sporu italsko-francouzském.</w:t>
      </w:r>
    </w:p>
    <w:p w:rsidR="00500724" w:rsidRDefault="00F30FB8">
      <w:pPr>
        <w:pStyle w:val="Zkladntext1"/>
        <w:shd w:val="clear" w:color="auto" w:fill="auto"/>
        <w:spacing w:line="187" w:lineRule="auto"/>
        <w:ind w:firstLine="300"/>
      </w:pPr>
      <w:r>
        <w:rPr>
          <w:b/>
          <w:bCs/>
        </w:rPr>
        <w:t>Přehlédli jsme sedm hlavních mezinárodních událostí, k nimž došlo mezi mnichovskými</w:t>
      </w:r>
      <w:r>
        <w:rPr>
          <w:b/>
          <w:bCs/>
        </w:rPr>
        <w:t xml:space="preserve"> velmocenii v prvé etapě mnichovské politiky. A nyní tedy můžeme ve světle těchto faktů posouditi, jak dalece za tu dobu pokročily na své cestě od vidiny ke skutečnosti snahy o vytvoření přátel</w:t>
      </w:r>
      <w:r>
        <w:rPr>
          <w:b/>
          <w:bCs/>
        </w:rPr>
        <w:softHyphen/>
        <w:t>ského soužití a jak se daří oné květince bezpečnosti, již se p</w:t>
      </w:r>
      <w:r>
        <w:rPr>
          <w:b/>
          <w:bCs/>
        </w:rPr>
        <w:t>odařilo muži s deštníkem vytrhnouti v Mnichově z kopřiv nebezpečí. A tu vidíme: Mnichov a Vídeň zbavily západní velmoci veškerého vlivu ve střední a východní Evropě a těžce poškodily jejich pověst a důvěru, kterou k nim chovaly menší a střední státy evrops</w:t>
      </w:r>
      <w:r>
        <w:rPr>
          <w:b/>
          <w:bCs/>
        </w:rPr>
        <w:t>ké; povšechné dohody, jež byly Anglií a Francií uzavřeny s Německem, konstatují samozřejmosti, počítají s poradami (což je minimum smluvní vázanosti) a neskýtají oproti stavu dřívějšímu nic nového; dohoda s Itálií, kterou Anglie uzavřela před Mni</w:t>
      </w:r>
      <w:r>
        <w:rPr>
          <w:b/>
          <w:bCs/>
        </w:rPr>
        <w:softHyphen/>
        <w:t xml:space="preserve">chovem a </w:t>
      </w:r>
      <w:r>
        <w:rPr>
          <w:b/>
          <w:bCs/>
        </w:rPr>
        <w:t>jejíž vstoupení v účinnost mělo býti původně vázáno na odvolání italských dobrovolníků ze Španělska a na uzavření obdobné dohody mezi Francií a Itálií, byla</w:t>
      </w:r>
    </w:p>
    <w:p w:rsidR="00500724" w:rsidRDefault="00F30FB8">
      <w:pPr>
        <w:pStyle w:val="Zkladntext1"/>
        <w:numPr>
          <w:ilvl w:val="0"/>
          <w:numId w:val="12"/>
        </w:numPr>
        <w:shd w:val="clear" w:color="auto" w:fill="auto"/>
        <w:tabs>
          <w:tab w:val="left" w:pos="366"/>
        </w:tabs>
        <w:spacing w:after="40" w:line="187" w:lineRule="auto"/>
        <w:ind w:firstLine="0"/>
      </w:pPr>
      <w:r>
        <w:rPr>
          <w:b/>
          <w:bCs/>
        </w:rPr>
        <w:t>listopadu uvedena v život bez splnění těchto předpokla</w:t>
      </w:r>
      <w:r>
        <w:rPr>
          <w:b/>
          <w:bCs/>
        </w:rPr>
        <w:softHyphen/>
        <w:t>dů. Naopak byla s italské strany zrušena ita</w:t>
      </w:r>
      <w:r>
        <w:rPr>
          <w:b/>
          <w:bCs/>
        </w:rPr>
        <w:t>lsko-francouz- ská dohoda z r. 1935 a poměr obou států se podstatně zhor</w:t>
      </w:r>
      <w:r>
        <w:rPr>
          <w:b/>
          <w:bCs/>
        </w:rPr>
        <w:softHyphen/>
        <w:t>šil. A nezlepšila jej ani osobní schůzka Chamberlainova s Mussolinim. Pověstné »Times« pak již dokonce začaly psáti o »možnosii nutných změn, které si vyžadují s této i oné strany obě</w:t>
      </w:r>
      <w:r>
        <w:rPr>
          <w:b/>
          <w:bCs/>
        </w:rPr>
        <w:t>tí«, jakož i že »pokud podobné přání po změnách neodporuje rozumu, má býti alespoň přezkou- mánoa. A Chamberlainovy smiřovací cesty staly se již po</w:t>
      </w:r>
      <w:r>
        <w:rPr>
          <w:b/>
          <w:bCs/>
        </w:rPr>
        <w:softHyphen/>
        <w:t>strachem i nejsmiřlivějších francouzských kruhů.</w:t>
      </w:r>
    </w:p>
    <w:p w:rsidR="00500724" w:rsidRDefault="00F30FB8">
      <w:pPr>
        <w:pStyle w:val="Zkladntext1"/>
        <w:shd w:val="clear" w:color="auto" w:fill="auto"/>
        <w:tabs>
          <w:tab w:val="left" w:pos="4661"/>
        </w:tabs>
        <w:spacing w:after="100" w:line="187" w:lineRule="auto"/>
        <w:ind w:firstLine="300"/>
        <w:rPr>
          <w:sz w:val="20"/>
          <w:szCs w:val="20"/>
        </w:rPr>
      </w:pPr>
      <w:r>
        <w:rPr>
          <w:b/>
          <w:bCs/>
        </w:rPr>
        <w:t xml:space="preserve">Jak je z přehledu patrno, nezdá se, že by v celkových </w:t>
      </w:r>
      <w:r>
        <w:rPr>
          <w:b/>
          <w:bCs/>
        </w:rPr>
        <w:t>vztazích evropských států nastalo nějaké skutečné zlepšení. Zvláště když bychom vzali v úvahu ještě řadu dalších ne</w:t>
      </w:r>
      <w:r>
        <w:rPr>
          <w:b/>
          <w:bCs/>
        </w:rPr>
        <w:softHyphen/>
        <w:t>bezpečných problémů, jež se dnes nebo zítra mohou státi aktuálními (Klajpeda, Gdaňsko a polský koridor, otázka ukrajinská, kolonie, válka šp</w:t>
      </w:r>
      <w:r>
        <w:rPr>
          <w:b/>
          <w:bCs/>
        </w:rPr>
        <w:t>anělská atd.). Zřejmě se tedy květince bezpečnosti v pomnichovském klimatu ani v sta</w:t>
      </w:r>
      <w:r>
        <w:rPr>
          <w:b/>
          <w:bCs/>
        </w:rPr>
        <w:softHyphen/>
        <w:t>rostlivé péči britského premiéra příliš nevede. A patrně chudinka ani z jara nerozkvete.</w:t>
      </w:r>
      <w:r>
        <w:rPr>
          <w:b/>
          <w:bCs/>
        </w:rPr>
        <w:tab/>
      </w:r>
      <w:r>
        <w:rPr>
          <w:i/>
          <w:iCs/>
          <w:sz w:val="20"/>
          <w:szCs w:val="20"/>
        </w:rPr>
        <w:t>Eta</w:t>
      </w:r>
    </w:p>
    <w:p w:rsidR="00500724" w:rsidRDefault="00F30FB8">
      <w:pPr>
        <w:pStyle w:val="Zkladntext1"/>
        <w:shd w:val="clear" w:color="auto" w:fill="auto"/>
        <w:spacing w:after="40" w:line="178" w:lineRule="auto"/>
        <w:ind w:firstLine="0"/>
        <w:jc w:val="center"/>
        <w:rPr>
          <w:sz w:val="20"/>
          <w:szCs w:val="20"/>
        </w:rPr>
      </w:pPr>
      <w:r>
        <w:rPr>
          <w:b/>
          <w:bCs/>
          <w:sz w:val="20"/>
          <w:szCs w:val="20"/>
        </w:rPr>
        <w:t>Španělsko vykrvácí?</w:t>
      </w:r>
    </w:p>
    <w:p w:rsidR="00500724" w:rsidRDefault="00F30FB8">
      <w:pPr>
        <w:pStyle w:val="Zkladntext1"/>
        <w:shd w:val="clear" w:color="auto" w:fill="auto"/>
        <w:spacing w:after="40" w:line="185" w:lineRule="auto"/>
        <w:ind w:firstLine="300"/>
      </w:pPr>
      <w:r>
        <w:rPr>
          <w:b/>
          <w:bCs/>
        </w:rPr>
        <w:t xml:space="preserve">Španělská tragedie v tomto čtvrtstoletí — Španělsko </w:t>
      </w:r>
      <w:r>
        <w:rPr>
          <w:b/>
          <w:bCs/>
        </w:rPr>
        <w:t>prožívá tragedii každých padesát let — přiblížila se zas o krok k svému ukončení. Není to ještě konec, i když se Barcelona, druhé největší město země a hlavní město Ka- talanie, probouzí duněním těžkých děl a hukotem bombar- dovacích náletů. Obyvatelé Barc</w:t>
      </w:r>
      <w:r>
        <w:rPr>
          <w:b/>
          <w:bCs/>
        </w:rPr>
        <w:t>elony a 400.000 uprchlíků, kteří se sem uchýlili, zvykli si již na nálety a dělostřelbu. Území, které ještě zůstalo v moci republikánské vlády, žije dosud svobodně, připravujíc se k obraně. Kdo zná španěl</w:t>
      </w:r>
      <w:r>
        <w:rPr>
          <w:b/>
          <w:bCs/>
        </w:rPr>
        <w:softHyphen/>
        <w:t>ský lid, nepochybuje, že dokud bude v moci republik</w:t>
      </w:r>
      <w:r>
        <w:rPr>
          <w:b/>
          <w:bCs/>
        </w:rPr>
        <w:t>ánů alespoň kousek půdy, do té doby zůstane v platnosti heslo: No passaran!</w:t>
      </w:r>
    </w:p>
    <w:p w:rsidR="00500724" w:rsidRDefault="00F30FB8">
      <w:pPr>
        <w:pStyle w:val="Zkladntext1"/>
        <w:shd w:val="clear" w:color="auto" w:fill="auto"/>
        <w:spacing w:line="185" w:lineRule="auto"/>
      </w:pPr>
      <w:r>
        <w:rPr>
          <w:b/>
          <w:bCs/>
        </w:rPr>
        <w:t>Po římské dohodě jsou španělští republikáni rozhořčeni. Nepochybují už, že poslední zájezd Chamberlainův byl ob</w:t>
      </w:r>
      <w:r>
        <w:rPr>
          <w:b/>
          <w:bCs/>
        </w:rPr>
        <w:softHyphen/>
        <w:t>chodní cestou právě tak jako výlety v září, které britský ministersk</w:t>
      </w:r>
      <w:r>
        <w:rPr>
          <w:b/>
          <w:bCs/>
        </w:rPr>
        <w:t>ý předseda podnikl do Německa. Teď bylo Špa</w:t>
      </w:r>
      <w:r>
        <w:rPr>
          <w:b/>
          <w:bCs/>
        </w:rPr>
        <w:softHyphen/>
        <w:t>nělsko definitivně prodáno. V republikánské části vládne proti Anglii, ale i proti Francii nevýslovné roztrpčení. Re</w:t>
      </w:r>
      <w:r>
        <w:rPr>
          <w:b/>
          <w:bCs/>
        </w:rPr>
        <w:softHyphen/>
        <w:t>publikáni vysvětlují už Francouzům dva a půl roku, že ne</w:t>
      </w:r>
      <w:r>
        <w:rPr>
          <w:b/>
          <w:bCs/>
        </w:rPr>
        <w:softHyphen/>
        <w:t>bojují pouze za demokraticko-republiká</w:t>
      </w:r>
      <w:r>
        <w:rPr>
          <w:b/>
          <w:bCs/>
        </w:rPr>
        <w:t>nské ideje Velké francouzské revoluce, ale i za bezpečnost jižních francouz</w:t>
      </w:r>
      <w:r>
        <w:rPr>
          <w:b/>
          <w:bCs/>
        </w:rPr>
        <w:softHyphen/>
        <w:t>ských hranic a ovšem za francouzské kolonie v Africe. Mluvili vždycky k hluchým uším • - ještě dříve, než oznal také jiný národ, že se ho Francie zřekla.</w:t>
      </w:r>
    </w:p>
    <w:p w:rsidR="00500724" w:rsidRDefault="00F30FB8">
      <w:pPr>
        <w:pStyle w:val="Zkladntext1"/>
        <w:shd w:val="clear" w:color="auto" w:fill="auto"/>
        <w:spacing w:after="80" w:line="216" w:lineRule="auto"/>
        <w:ind w:firstLine="300"/>
        <w:rPr>
          <w:sz w:val="26"/>
          <w:szCs w:val="26"/>
        </w:rPr>
      </w:pPr>
      <w:r>
        <w:rPr>
          <w:b/>
          <w:bCs/>
        </w:rPr>
        <w:t>Španělští republikáni vidě</w:t>
      </w:r>
      <w:r>
        <w:rPr>
          <w:b/>
          <w:bCs/>
        </w:rPr>
        <w:t>li vždycky v londýnském ne</w:t>
      </w:r>
      <w:r>
        <w:rPr>
          <w:b/>
          <w:bCs/>
        </w:rPr>
        <w:softHyphen/>
        <w:t>vměšováním výboru to, čím ve skutečnosti byl: provaz, kterým se měla španělská republika zardousit. Tento vý</w:t>
      </w:r>
      <w:r>
        <w:rPr>
          <w:b/>
          <w:bCs/>
        </w:rPr>
        <w:softHyphen/>
        <w:t xml:space="preserve">bor, jehož předsedou je </w:t>
      </w:r>
      <w:r>
        <w:rPr>
          <w:b/>
          <w:bCs/>
          <w:lang w:val="en-US" w:eastAsia="en-US" w:bidi="en-US"/>
        </w:rPr>
        <w:t xml:space="preserve">lord Plymouth </w:t>
      </w:r>
      <w:r>
        <w:rPr>
          <w:b/>
          <w:bCs/>
        </w:rPr>
        <w:t>— Runciman pro Španělsko — je už několik měsíců mrtev. Republikáni ne</w:t>
      </w:r>
      <w:r>
        <w:rPr>
          <w:b/>
          <w:bCs/>
        </w:rPr>
        <w:softHyphen/>
        <w:t>měli o něm ž</w:t>
      </w:r>
      <w:r>
        <w:rPr>
          <w:b/>
          <w:bCs/>
        </w:rPr>
        <w:t xml:space="preserve">ádné iluse, ale přece doufali, že jim vláda fran- </w:t>
      </w:r>
      <w:r>
        <w:rPr>
          <w:rFonts w:ascii="Arial" w:eastAsia="Arial" w:hAnsi="Arial" w:cs="Arial"/>
          <w:b/>
          <w:bCs/>
          <w:i/>
          <w:iCs/>
          <w:sz w:val="26"/>
          <w:szCs w:val="26"/>
        </w:rPr>
        <w:t>Si</w:t>
      </w:r>
    </w:p>
    <w:p w:rsidR="00500724" w:rsidRDefault="00F30FB8">
      <w:pPr>
        <w:pStyle w:val="Zkladntext1"/>
        <w:shd w:val="clear" w:color="auto" w:fill="auto"/>
        <w:spacing w:line="182" w:lineRule="auto"/>
        <w:ind w:firstLine="0"/>
      </w:pPr>
      <w:r>
        <w:rPr>
          <w:b/>
          <w:bCs/>
        </w:rPr>
        <w:t>couzské lidové fronty umožní nakupovat ve Francii válečný materiál. Republikánskému Španělsku šlo od první chvíle především o zbraně, válečný materiál a střelivo, ale právě v tom se zklamalo.</w:t>
      </w:r>
    </w:p>
    <w:p w:rsidR="00500724" w:rsidRDefault="00F30FB8">
      <w:pPr>
        <w:pStyle w:val="Zkladntext1"/>
        <w:shd w:val="clear" w:color="auto" w:fill="auto"/>
        <w:spacing w:line="182" w:lineRule="auto"/>
        <w:ind w:firstLine="300"/>
      </w:pPr>
      <w:r>
        <w:rPr>
          <w:b/>
          <w:bCs/>
        </w:rPr>
        <w:t xml:space="preserve">Nelze </w:t>
      </w:r>
      <w:r>
        <w:rPr>
          <w:b/>
          <w:bCs/>
        </w:rPr>
        <w:t>popírat, že se v prvních týdnech po Francově po</w:t>
      </w:r>
      <w:r>
        <w:rPr>
          <w:b/>
          <w:bCs/>
        </w:rPr>
        <w:softHyphen/>
        <w:t>vstání objevili ve Španělsku ruští letci a ruská letadla. Před povstáním nebyli ve Španělsku ani ruští letci, ani ruský válečný materiál. Tvrdí-li se, že povstání vypuklo proto, aby se Španělsko osvobodilo od</w:t>
      </w:r>
      <w:r>
        <w:rPr>
          <w:b/>
          <w:bCs/>
        </w:rPr>
        <w:t xml:space="preserve"> Rusů, je to nesporně ne</w:t>
      </w:r>
      <w:r>
        <w:rPr>
          <w:b/>
          <w:bCs/>
        </w:rPr>
        <w:softHyphen/>
        <w:t>pravdivý a tendenční výklad. Rusové přišli do Španělska teprve potom, když tam už byli Italové a Němci. Španělsko se stalo velkou střelnicí, na které velmoci zkoušely nejrůz</w:t>
      </w:r>
      <w:r>
        <w:rPr>
          <w:b/>
          <w:bCs/>
        </w:rPr>
        <w:softHyphen/>
        <w:t>nější válečné stroje, dříve než je začaly sériově vyrábět</w:t>
      </w:r>
      <w:r>
        <w:rPr>
          <w:b/>
          <w:bCs/>
        </w:rPr>
        <w:t>. Kromě ruských leteckých a tankových oddílů byly v repu</w:t>
      </w:r>
      <w:r>
        <w:rPr>
          <w:b/>
          <w:bCs/>
        </w:rPr>
        <w:softHyphen/>
        <w:t>blikánském Španělsku francouzské zkušební delegace, ale po ukončení studií — někdy i praktických — odjely vše</w:t>
      </w:r>
      <w:r>
        <w:rPr>
          <w:b/>
          <w:bCs/>
        </w:rPr>
        <w:softHyphen/>
        <w:t>chny na jaře minulého roku. O účasti pravidelných oddílů nelze vůbec mluvit.</w:t>
      </w:r>
    </w:p>
    <w:p w:rsidR="00500724" w:rsidRDefault="00F30FB8">
      <w:pPr>
        <w:pStyle w:val="Zkladntext1"/>
        <w:shd w:val="clear" w:color="auto" w:fill="auto"/>
        <w:spacing w:line="182" w:lineRule="auto"/>
        <w:ind w:firstLine="300"/>
      </w:pPr>
      <w:r>
        <w:rPr>
          <w:b/>
          <w:bCs/>
        </w:rPr>
        <w:t>Ze Španělska</w:t>
      </w:r>
      <w:r>
        <w:rPr>
          <w:b/>
          <w:bCs/>
        </w:rPr>
        <w:t xml:space="preserve"> odjeli už také zahraniční dobrovolníci. Republikánská vláda nerozhodla o jejich odjezdu jenom z taktických důvodů, snažíc se o zásah nevměšovacího vý</w:t>
      </w:r>
      <w:r>
        <w:rPr>
          <w:b/>
          <w:bCs/>
        </w:rPr>
        <w:softHyphen/>
        <w:t>boru proti Itálii a Německu, nýbrž i proto, že se nenávist k cizincům nezastavila ani před dobrovolníky m</w:t>
      </w:r>
      <w:r>
        <w:rPr>
          <w:b/>
          <w:bCs/>
        </w:rPr>
        <w:t>ezinárod</w:t>
      </w:r>
      <w:r>
        <w:rPr>
          <w:b/>
          <w:bCs/>
        </w:rPr>
        <w:softHyphen/>
        <w:t>ních brigád. V roce 1938 proměnila se občanská válka v zá</w:t>
      </w:r>
      <w:r>
        <w:rPr>
          <w:b/>
          <w:bCs/>
        </w:rPr>
        <w:softHyphen/>
        <w:t>ležitost čistě španělskou. Španěle nechtějí už o cizincích slyšet.</w:t>
      </w:r>
    </w:p>
    <w:p w:rsidR="00500724" w:rsidRDefault="00F30FB8">
      <w:pPr>
        <w:pStyle w:val="Zkladntext1"/>
        <w:shd w:val="clear" w:color="auto" w:fill="auto"/>
        <w:spacing w:line="182" w:lineRule="auto"/>
        <w:ind w:firstLine="300"/>
      </w:pPr>
      <w:r>
        <w:rPr>
          <w:b/>
          <w:bCs/>
        </w:rPr>
        <w:t>Dokud londýnský výbor nevyslal na španělské hranice a do zahraničních přístavů kontrolní orgány, mohla repu</w:t>
      </w:r>
      <w:r>
        <w:rPr>
          <w:b/>
          <w:bCs/>
        </w:rPr>
        <w:softHyphen/>
        <w:t>blikánská vlád</w:t>
      </w:r>
      <w:r>
        <w:rPr>
          <w:b/>
          <w:bCs/>
        </w:rPr>
        <w:t>a, disponujíc zlatými zásobami Národní ban</w:t>
      </w:r>
      <w:r>
        <w:rPr>
          <w:b/>
          <w:bCs/>
        </w:rPr>
        <w:softHyphen/>
        <w:t>ky, nakupovat v cizině zbraně a střelivo. Nikdo neměl žádné ohledy: prodával každý a Madrid kupoval od každého, kdo měl něco kloudného na prodej. Proto měli republikáni také hodně zbraní a munice, technických pros</w:t>
      </w:r>
      <w:r>
        <w:rPr>
          <w:b/>
          <w:bCs/>
        </w:rPr>
        <w:t>tředků a sanitní- ho materiálu německého původu. Prodávaly také anglické a francouzské továrny, ale šlo stále o podloudnické zboží a nikoli o pravidelné dodávky. Z Francie nepřicházelo ni</w:t>
      </w:r>
      <w:r>
        <w:rPr>
          <w:b/>
          <w:bCs/>
        </w:rPr>
        <w:softHyphen/>
        <w:t>kdy tolik zbraní a válečného materiálu, aby to stálo za řeě. Procesy</w:t>
      </w:r>
      <w:r>
        <w:rPr>
          <w:b/>
          <w:bCs/>
        </w:rPr>
        <w:t xml:space="preserve"> s podloudníky dokázaly, že opatřování zbraní ile</w:t>
      </w:r>
      <w:r>
        <w:rPr>
          <w:b/>
          <w:bCs/>
        </w:rPr>
        <w:softHyphen/>
        <w:t>gální cestou znamená i v tom případě veliké potíže, platí-li zákazník zlatém. S jistotou lze říci, že Francie nepomohla republikánskému Španělsku ani pravidelnými dodávkami Válečného materiálu, ani vysláním</w:t>
      </w:r>
      <w:r>
        <w:rPr>
          <w:b/>
          <w:bCs/>
        </w:rPr>
        <w:t xml:space="preserve"> vojenských formací.</w:t>
      </w:r>
    </w:p>
    <w:p w:rsidR="00500724" w:rsidRDefault="00F30FB8">
      <w:pPr>
        <w:pStyle w:val="Zkladntext1"/>
        <w:shd w:val="clear" w:color="auto" w:fill="auto"/>
        <w:spacing w:line="182" w:lineRule="auto"/>
        <w:ind w:firstLine="300"/>
      </w:pPr>
      <w:r>
        <w:rPr>
          <w:b/>
          <w:bCs/>
        </w:rPr>
        <w:t>Od roku 1937 je republikánské Španělsko odkázáno na vlastní výrobu válečného materiálu. Anglické a francouz</w:t>
      </w:r>
      <w:r>
        <w:rPr>
          <w:b/>
          <w:bCs/>
        </w:rPr>
        <w:softHyphen/>
        <w:t>ské továrny nedodávají už ani letadla, ani střelivo, přestaly také ruské dodávky. Část španělského zlatého pokladu vzal po Fran</w:t>
      </w:r>
      <w:r>
        <w:rPr>
          <w:b/>
          <w:bCs/>
        </w:rPr>
        <w:t>cově zákroku do úschovy francouzský soud — a druhá část je už spotřebována. Kdo už nemůže platit, tomu se nedodává. Co se týče válečného materiálu, je dnes pře</w:t>
      </w:r>
      <w:r>
        <w:rPr>
          <w:b/>
          <w:bCs/>
        </w:rPr>
        <w:softHyphen/>
        <w:t>vaha Francova naprosto zřejmá: leteckých zbraní má de</w:t>
      </w:r>
      <w:r>
        <w:rPr>
          <w:b/>
          <w:bCs/>
        </w:rPr>
        <w:softHyphen/>
        <w:t xml:space="preserve">setkrát tolik než republikánská armáda, v </w:t>
      </w:r>
      <w:r>
        <w:rPr>
          <w:b/>
          <w:bCs/>
        </w:rPr>
        <w:t xml:space="preserve">dělostřelectvu je poměr 6:1, v ostatním materiálu a střelivu 5:1. Při tom dostává </w:t>
      </w:r>
      <w:r>
        <w:rPr>
          <w:b/>
          <w:bCs/>
          <w:lang w:val="en-US" w:eastAsia="en-US" w:bidi="en-US"/>
        </w:rPr>
        <w:t xml:space="preserve">Franco </w:t>
      </w:r>
      <w:r>
        <w:rPr>
          <w:b/>
          <w:bCs/>
        </w:rPr>
        <w:t>neustále další pomoc. Rozdíl v technické výzbroji musí republikáni vyrovnávat krví.</w:t>
      </w:r>
    </w:p>
    <w:p w:rsidR="00500724" w:rsidRDefault="00F30FB8">
      <w:pPr>
        <w:pStyle w:val="Zkladntext1"/>
        <w:shd w:val="clear" w:color="auto" w:fill="auto"/>
        <w:spacing w:after="100" w:line="173" w:lineRule="auto"/>
        <w:ind w:firstLine="0"/>
        <w:jc w:val="right"/>
        <w:rPr>
          <w:sz w:val="24"/>
          <w:szCs w:val="24"/>
        </w:rPr>
      </w:pPr>
      <w:r>
        <w:rPr>
          <w:i/>
          <w:iCs/>
          <w:sz w:val="20"/>
          <w:szCs w:val="20"/>
        </w:rPr>
        <w:t>Josef Pachta</w:t>
      </w:r>
      <w:r>
        <w:rPr>
          <w:sz w:val="24"/>
          <w:szCs w:val="24"/>
        </w:rPr>
        <w:t xml:space="preserve"> (Paříž)</w:t>
      </w:r>
    </w:p>
    <w:p w:rsidR="00500724" w:rsidRDefault="00F30FB8">
      <w:pPr>
        <w:pStyle w:val="Zkladntext1"/>
        <w:shd w:val="clear" w:color="auto" w:fill="auto"/>
        <w:spacing w:line="173" w:lineRule="auto"/>
        <w:ind w:firstLine="0"/>
        <w:jc w:val="center"/>
        <w:rPr>
          <w:sz w:val="20"/>
          <w:szCs w:val="20"/>
        </w:rPr>
      </w:pPr>
      <w:r>
        <w:rPr>
          <w:b/>
          <w:bCs/>
          <w:sz w:val="20"/>
          <w:szCs w:val="20"/>
        </w:rPr>
        <w:t>Zůstáváme průmyslovým státem</w:t>
      </w:r>
    </w:p>
    <w:p w:rsidR="00500724" w:rsidRDefault="00F30FB8">
      <w:pPr>
        <w:pStyle w:val="Zkladntext1"/>
        <w:shd w:val="clear" w:color="auto" w:fill="auto"/>
        <w:spacing w:line="182" w:lineRule="auto"/>
        <w:ind w:firstLine="300"/>
      </w:pPr>
      <w:r>
        <w:rPr>
          <w:b/>
          <w:bCs/>
        </w:rPr>
        <w:t>Právě vyšlé letošní dvojčíslo sOb</w:t>
      </w:r>
      <w:r>
        <w:rPr>
          <w:b/>
          <w:bCs/>
        </w:rPr>
        <w:t>zoru národohospodář</w:t>
      </w:r>
      <w:r>
        <w:rPr>
          <w:b/>
          <w:bCs/>
        </w:rPr>
        <w:softHyphen/>
        <w:t>ského® má přes stotřicet stran, věnovaných popisu nového Cesko-Slovenska. Pod pečlivou a střízlivou redakcí Ing. dr. Vladimíra KUmeckého byl shromážděn popis nové soeiálně- hospodářské povahy, situace, vyhlídek a potřeb nově formo</w:t>
      </w:r>
      <w:r>
        <w:rPr>
          <w:b/>
          <w:bCs/>
        </w:rPr>
        <w:softHyphen/>
        <w:t xml:space="preserve">vané </w:t>
      </w:r>
      <w:r>
        <w:rPr>
          <w:b/>
          <w:bCs/>
        </w:rPr>
        <w:t>republiky. Je to prozatím jediná publikace tohoto druhu a budeme se k ní asi delší dobu všichni vracet pro její dokumentární povaltu. V letmém prozatímním přehledu je možno říci o ní asi toto:</w:t>
      </w:r>
    </w:p>
    <w:p w:rsidR="00500724" w:rsidRDefault="00F30FB8">
      <w:pPr>
        <w:pStyle w:val="Zkladntext1"/>
        <w:shd w:val="clear" w:color="auto" w:fill="auto"/>
        <w:spacing w:line="182" w:lineRule="auto"/>
        <w:ind w:firstLine="300"/>
      </w:pPr>
      <w:r>
        <w:rPr>
          <w:b/>
          <w:bCs/>
        </w:rPr>
        <w:t>Především potvrzuje poznatek, který jsme zde již kon</w:t>
      </w:r>
      <w:r>
        <w:rPr>
          <w:b/>
          <w:bCs/>
        </w:rPr>
        <w:softHyphen/>
        <w:t>statovali,</w:t>
      </w:r>
      <w:r>
        <w:rPr>
          <w:b/>
          <w:bCs/>
        </w:rPr>
        <w:t xml:space="preserve"> že i nová republika ěesko-slovenská zůstává prů</w:t>
      </w:r>
      <w:r>
        <w:rPr>
          <w:b/>
          <w:bCs/>
        </w:rPr>
        <w:softHyphen/>
        <w:t>myslovým státem. Vyčíslili se celková ztráta naší průmyslové výroby, přicházíme k faktu, že jsme ztratili odstoupením území Německu, Polsku a Maďarsku 33.3% průmyslových závodů. Podle hodnoty odbytu činí tat</w:t>
      </w:r>
      <w:r>
        <w:rPr>
          <w:b/>
          <w:bCs/>
        </w:rPr>
        <w:t>o ztráta 35.6% a podle počtu za</w:t>
      </w:r>
      <w:r>
        <w:rPr>
          <w:b/>
          <w:bCs/>
        </w:rPr>
        <w:softHyphen/>
        <w:t>městnanců v odstoupených závodech 36.3%. Snad bychom jenom řekli, že nad tento průměr podstatněji co do hodnoty odbytu vystupuje sklo (75%), hračky (63%), hudební nástroje (47%), textil (58%), pod tento průměr podstatněji kl</w:t>
      </w:r>
      <w:r>
        <w:rPr>
          <w:b/>
          <w:bCs/>
        </w:rPr>
        <w:t>esá počet ztracených továren na zpracování kovů (38%), grafika (30%), oděvnictví, obuv, kožišiny a kůže (18—19%), pivovary (26%), cukrovary a lihovary (16—17%) a ostatní potravinářský průmysl (24%). Je tedy náš stát sice zeměpisně i populačně o více než tř</w:t>
      </w:r>
      <w:r>
        <w:rPr>
          <w:b/>
          <w:bCs/>
        </w:rPr>
        <w:t>etinu menši, asi tolik také ztratil průmyslové výroby i zaměst</w:t>
      </w:r>
      <w:r>
        <w:rPr>
          <w:b/>
          <w:bCs/>
        </w:rPr>
        <w:softHyphen/>
        <w:t>nanců těchto podniků a jejich odbytu, ale přes to sl za</w:t>
      </w:r>
      <w:r>
        <w:rPr>
          <w:b/>
          <w:bCs/>
        </w:rPr>
        <w:softHyphen/>
        <w:t>chovává dvě třetiny těchto hodnot, čili zůstává průmyslo</w:t>
      </w:r>
      <w:r>
        <w:rPr>
          <w:b/>
          <w:bCs/>
        </w:rPr>
        <w:softHyphen/>
        <w:t>vým státem.</w:t>
      </w:r>
    </w:p>
    <w:p w:rsidR="00500724" w:rsidRDefault="00F30FB8">
      <w:pPr>
        <w:pStyle w:val="Zkladntext1"/>
        <w:shd w:val="clear" w:color="auto" w:fill="auto"/>
        <w:spacing w:line="182" w:lineRule="auto"/>
        <w:ind w:firstLine="320"/>
      </w:pPr>
      <w:r>
        <w:rPr>
          <w:b/>
          <w:bCs/>
        </w:rPr>
        <w:t>Z tohoto zbytku připadá podle počtu průmyslových zá</w:t>
      </w:r>
      <w:r>
        <w:rPr>
          <w:b/>
          <w:bCs/>
        </w:rPr>
        <w:softHyphen/>
        <w:t xml:space="preserve">vodů na české </w:t>
      </w:r>
      <w:r>
        <w:rPr>
          <w:b/>
          <w:bCs/>
        </w:rPr>
        <w:t>země 80.7%, na Slovensko 16.5% a na Podkarpatsko 2.8%. Podle hodnoty odbytu připa</w:t>
      </w:r>
      <w:r>
        <w:rPr>
          <w:b/>
          <w:bCs/>
        </w:rPr>
        <w:softHyphen/>
        <w:t>dá na české země 86.7%, na Slovensko 13% a na Pod</w:t>
      </w:r>
      <w:r>
        <w:rPr>
          <w:b/>
          <w:bCs/>
        </w:rPr>
        <w:softHyphen/>
        <w:t>karpatsko 0.7%. A konečně podle počtu zaměstnan</w:t>
      </w:r>
      <w:r>
        <w:rPr>
          <w:b/>
          <w:bCs/>
        </w:rPr>
        <w:softHyphen/>
        <w:t>ců připadá na české země 85.9%, na Slovensko 13% a na Podkarpatsko 1.1%. Čil</w:t>
      </w:r>
      <w:r>
        <w:rPr>
          <w:b/>
          <w:bCs/>
        </w:rPr>
        <w:t>i uvážíme-li tato data hromad</w:t>
      </w:r>
      <w:r>
        <w:rPr>
          <w:b/>
          <w:bCs/>
        </w:rPr>
        <w:softHyphen/>
        <w:t>ně, můžeme říci, že Česko-Slovensko má asi dvě třetiny bývalé průmyslové výroby celkem, a z ni připadá sedm osmin na české země a jedna osmina na Slovensko a Podkarpatsko dohromady. S tím také souvisí podíl na národním důchodu</w:t>
      </w:r>
      <w:r>
        <w:rPr>
          <w:b/>
          <w:bCs/>
        </w:rPr>
        <w:t>: devět de</w:t>
      </w:r>
      <w:r>
        <w:rPr>
          <w:b/>
          <w:bCs/>
        </w:rPr>
        <w:softHyphen/>
        <w:t>setin národního důchodn připadá na české země, jedna desetina národního důchodu na Slovensko a Podkarpatsko.</w:t>
      </w:r>
    </w:p>
    <w:p w:rsidR="00500724" w:rsidRDefault="00F30FB8">
      <w:pPr>
        <w:pStyle w:val="Zkladntext1"/>
        <w:shd w:val="clear" w:color="auto" w:fill="auto"/>
        <w:tabs>
          <w:tab w:val="left" w:pos="3619"/>
        </w:tabs>
        <w:spacing w:line="182" w:lineRule="auto"/>
        <w:ind w:firstLine="320"/>
      </w:pPr>
      <w:r>
        <w:rPr>
          <w:b/>
          <w:bCs/>
        </w:rPr>
        <w:t xml:space="preserve">V dřívějším Československu dělal úhrn všech úspor 58 miliard Kě, ztratili jsme z nich odstoupením území asi 20 miliard, takže nám zbývá </w:t>
      </w:r>
      <w:r>
        <w:rPr>
          <w:b/>
          <w:bCs/>
        </w:rPr>
        <w:t>38 miliard Kč úspor. V českých zemích je z nich 90% (asi 34 miliard Kě), na Slovensku a Podkarpatsku asi 10%</w:t>
      </w:r>
      <w:r>
        <w:rPr>
          <w:b/>
          <w:bCs/>
        </w:rPr>
        <w:tab/>
        <w:t>(3.5 miliardy Kě</w:t>
      </w:r>
    </w:p>
    <w:p w:rsidR="00500724" w:rsidRDefault="00F30FB8">
      <w:pPr>
        <w:pStyle w:val="Zkladntext1"/>
        <w:shd w:val="clear" w:color="auto" w:fill="auto"/>
        <w:spacing w:line="182" w:lineRule="auto"/>
        <w:ind w:firstLine="0"/>
      </w:pPr>
      <w:r>
        <w:rPr>
          <w:b/>
          <w:bCs/>
        </w:rPr>
        <w:t>nejvýše). Totéž platí obdobně o daňové poplatnosti. Plných devět desetin daňové poplatnosti připadá na české země, pouhá jedna des</w:t>
      </w:r>
      <w:r>
        <w:rPr>
          <w:b/>
          <w:bCs/>
        </w:rPr>
        <w:t>etina na Slovensko a Podkarpatsko. Z příjmů společných, jejichž původ není možno zjistit a jež činí asi 16.4% (1.4 miliardv Kě) není ovšem nic patrno, ledaže nestačí na krytí společného roz</w:t>
      </w:r>
      <w:r>
        <w:rPr>
          <w:b/>
          <w:bCs/>
        </w:rPr>
        <w:softHyphen/>
        <w:t xml:space="preserve">počtu. Avšak ostatní daňové příjmy, jejichž původ lze určit podle </w:t>
      </w:r>
      <w:r>
        <w:rPr>
          <w:b/>
          <w:bCs/>
        </w:rPr>
        <w:t>zemi, připadá na české země 73.4% (6.2 miliardy Kě), na Slovensko 8.9% (0.74 miliardy Kě) a na Podkarpatsko</w:t>
      </w:r>
    </w:p>
    <w:p w:rsidR="00500724" w:rsidRDefault="00F30FB8">
      <w:pPr>
        <w:pStyle w:val="Zkladntext1"/>
        <w:numPr>
          <w:ilvl w:val="0"/>
          <w:numId w:val="13"/>
        </w:numPr>
        <w:shd w:val="clear" w:color="auto" w:fill="auto"/>
        <w:spacing w:line="182" w:lineRule="auto"/>
        <w:ind w:firstLine="0"/>
      </w:pPr>
      <w:r>
        <w:rPr>
          <w:b/>
          <w:bCs/>
        </w:rPr>
        <w:t>3% (0.12 miliardy Kě). Daňová poplatnost je v českých zemích na hlavu obyvatele 2.9krát vyšší než na Slovensku a Podkarpatsku. Cel</w:t>
      </w:r>
      <w:r>
        <w:rPr>
          <w:b/>
          <w:bCs/>
        </w:rPr>
        <w:softHyphen/>
        <w:t>kový průměr výnos</w:t>
      </w:r>
      <w:r>
        <w:rPr>
          <w:b/>
          <w:bCs/>
        </w:rPr>
        <w:t>u veřejných dávek na hlavu pro celou republiku činil roku 1937 celkem 550 Kě, v českých zemích 564 Kě, na Slovensku a Podkarpatsku 198 Kě.</w:t>
      </w:r>
    </w:p>
    <w:p w:rsidR="00500724" w:rsidRDefault="00F30FB8">
      <w:pPr>
        <w:pStyle w:val="Zkladntext1"/>
        <w:shd w:val="clear" w:color="auto" w:fill="auto"/>
        <w:spacing w:line="182" w:lineRule="auto"/>
        <w:ind w:firstLine="320"/>
      </w:pPr>
      <w:r>
        <w:rPr>
          <w:b/>
          <w:bCs/>
        </w:rPr>
        <w:t>Jaký je konečný závěr? Česko-Slovensko zůstáváinadáleprůmyslovým státem, zbyly mu zhruba přes dvě třetiny jeho průmys</w:t>
      </w:r>
      <w:r>
        <w:rPr>
          <w:b/>
          <w:bCs/>
        </w:rPr>
        <w:t>lu, české země pak, ačkoliv rozlohou zeměpis</w:t>
      </w:r>
      <w:r>
        <w:rPr>
          <w:b/>
          <w:bCs/>
        </w:rPr>
        <w:softHyphen/>
        <w:t>nou jsou Jen polovinou celé nové republiky česko-slovenské, mají 70% obyvatelstva no</w:t>
      </w:r>
      <w:r>
        <w:rPr>
          <w:b/>
          <w:bCs/>
        </w:rPr>
        <w:softHyphen/>
        <w:t>vého Česko-Slovenska a představují 85—90% celkové hospodářské síly republiky.</w:t>
      </w:r>
    </w:p>
    <w:p w:rsidR="00500724" w:rsidRDefault="00F30FB8">
      <w:pPr>
        <w:pStyle w:val="Zkladntext1"/>
        <w:shd w:val="clear" w:color="auto" w:fill="auto"/>
        <w:spacing w:line="182" w:lineRule="auto"/>
        <w:ind w:firstLine="320"/>
      </w:pPr>
      <w:r>
        <w:rPr>
          <w:b/>
          <w:bCs/>
        </w:rPr>
        <w:t>Toto poznání má také docela konkrétní důsledky n</w:t>
      </w:r>
      <w:r>
        <w:rPr>
          <w:b/>
          <w:bCs/>
        </w:rPr>
        <w:t>eje</w:t>
      </w:r>
      <w:r>
        <w:rPr>
          <w:b/>
          <w:bCs/>
        </w:rPr>
        <w:softHyphen/>
        <w:t>nom vnitro-poliíické a obchodně-politické (péče o export bude i nadále naší hlavní starostí atd.), ale i diplomaticko- politieké; souvisí s novou orientací našeho státu.</w:t>
      </w:r>
    </w:p>
    <w:p w:rsidR="00500724" w:rsidRDefault="00F30FB8">
      <w:pPr>
        <w:pStyle w:val="Zkladntext1"/>
        <w:shd w:val="clear" w:color="auto" w:fill="auto"/>
        <w:spacing w:line="182" w:lineRule="auto"/>
        <w:ind w:firstLine="320"/>
      </w:pPr>
      <w:r>
        <w:rPr>
          <w:b/>
          <w:bCs/>
        </w:rPr>
        <w:t>Německo si pravděpodobně po nějaký čas představo</w:t>
      </w:r>
      <w:r>
        <w:rPr>
          <w:b/>
          <w:bCs/>
        </w:rPr>
        <w:softHyphen/>
        <w:t>valo, že se staneme agrárním stát</w:t>
      </w:r>
      <w:r>
        <w:rPr>
          <w:b/>
          <w:bCs/>
        </w:rPr>
        <w:t>em, který mu bude vý</w:t>
      </w:r>
      <w:r>
        <w:rPr>
          <w:b/>
          <w:bCs/>
        </w:rPr>
        <w:softHyphen/>
        <w:t>měnou za průmyslové výrobky dodávat zemědělské plodiny, zemědělské výrobky a potraviny. Nyní již je mu však jas</w:t>
      </w:r>
      <w:r>
        <w:rPr>
          <w:b/>
          <w:bCs/>
        </w:rPr>
        <w:softHyphen/>
        <w:t>né, že náš agrární potenciál se nezvýšil, že ne</w:t>
      </w:r>
      <w:r>
        <w:rPr>
          <w:b/>
          <w:bCs/>
        </w:rPr>
        <w:softHyphen/>
        <w:t>budeme s to vyvážet větší množství zemědělských výrobků a že snad budeme mo</w:t>
      </w:r>
      <w:r>
        <w:rPr>
          <w:b/>
          <w:bCs/>
        </w:rPr>
        <w:t>ci jen živit sudetské země. Proto obraci Německo zvýšenou pozornost k Ma</w:t>
      </w:r>
      <w:r>
        <w:rPr>
          <w:b/>
          <w:bCs/>
        </w:rPr>
        <w:softHyphen/>
        <w:t>ďarsku, jež se má stát zemědělským dodavatelem Ně</w:t>
      </w:r>
      <w:r>
        <w:rPr>
          <w:b/>
          <w:bCs/>
        </w:rPr>
        <w:softHyphen/>
        <w:t xml:space="preserve">mecka, resp. jedním z nich, kdežto Česko-Slovensko má se průmyslově s Německem doplňovat. T&amp;k to výslovně píše </w:t>
      </w:r>
      <w:r>
        <w:rPr>
          <w:b/>
          <w:bCs/>
          <w:lang w:val="en-US" w:eastAsia="en-US" w:bidi="en-US"/>
        </w:rPr>
        <w:t xml:space="preserve">^Frankfurter </w:t>
      </w:r>
      <w:r>
        <w:rPr>
          <w:b/>
          <w:bCs/>
        </w:rPr>
        <w:t xml:space="preserve">Zeitung® </w:t>
      </w:r>
      <w:r>
        <w:rPr>
          <w:b/>
          <w:bCs/>
        </w:rPr>
        <w:t>z 15. ledna, která naznačuje, že Německu by nebylo milé, ab” v Česko- Slovensku vznikal nový průmysl, nahrazující ztracený prů</w:t>
      </w:r>
      <w:r>
        <w:rPr>
          <w:b/>
          <w:bCs/>
        </w:rPr>
        <w:softHyphen/>
        <w:t>mysl v sudetských oblastech, nýbrž naopak, aby zde na</w:t>
      </w:r>
      <w:r>
        <w:rPr>
          <w:b/>
          <w:bCs/>
        </w:rPr>
        <w:softHyphen/>
        <w:t>stala spolupráce a výměna průmyslového zboží.</w:t>
      </w:r>
    </w:p>
    <w:p w:rsidR="00500724" w:rsidRDefault="00F30FB8">
      <w:pPr>
        <w:pStyle w:val="Zkladntext1"/>
        <w:shd w:val="clear" w:color="auto" w:fill="auto"/>
        <w:spacing w:line="182" w:lineRule="auto"/>
        <w:ind w:firstLine="320"/>
        <w:rPr>
          <w:sz w:val="20"/>
          <w:szCs w:val="20"/>
        </w:rPr>
      </w:pPr>
      <w:r>
        <w:rPr>
          <w:b/>
          <w:bCs/>
        </w:rPr>
        <w:t>Výslovně pak praví na německo</w:t>
      </w:r>
      <w:r>
        <w:rPr>
          <w:b/>
          <w:bCs/>
        </w:rPr>
        <w:t>u adresu, patrně těch, kteří nebyli o stavu věcí dosti informováni, citovaný článek ^Frankfurter Zeitung® toto: »Při posuzování, jakého druhu mají býti nové styky sudetského hospodářství a říšsko- německého hospodářství vůbec k Česko-Slovensku, nesmí se vy</w:t>
      </w:r>
      <w:r>
        <w:rPr>
          <w:b/>
          <w:bCs/>
        </w:rPr>
        <w:t>cházet z předpokladu, že Česko-Slovensko je nyní jen agrárním státem, jakým jsou země dále na evrop</w:t>
      </w:r>
      <w:r>
        <w:rPr>
          <w:b/>
          <w:bCs/>
        </w:rPr>
        <w:softHyphen/>
        <w:t>ském jihovýchodě; i zbylý stát má značný průmysl, pří čemž však v této době je stále ještě dána základna pro velmi široký výměnný a doplňovací obchod.® Slov</w:t>
      </w:r>
      <w:r>
        <w:rPr>
          <w:b/>
          <w:bCs/>
        </w:rPr>
        <w:t>ům »v té</w:t>
      </w:r>
      <w:r>
        <w:rPr>
          <w:b/>
          <w:bCs/>
        </w:rPr>
        <w:softHyphen/>
        <w:t>to době® je patrně nutno ve smyslu následujících vět cito</w:t>
      </w:r>
      <w:r>
        <w:rPr>
          <w:b/>
          <w:bCs/>
        </w:rPr>
        <w:softHyphen/>
        <w:t>vaného článku, horlícího proti zakládání nového průmyslu v Česko-Slovensku (onoho druhu, který byl v sudetských zemích odstoupením ztracen), rozumět tak, že je to možné, pokud by u nás přec</w:t>
      </w:r>
      <w:r>
        <w:rPr>
          <w:b/>
          <w:bCs/>
        </w:rPr>
        <w:t>e jen k zakládání tohoto nového prů</w:t>
      </w:r>
      <w:r>
        <w:rPr>
          <w:b/>
          <w:bCs/>
        </w:rPr>
        <w:softHyphen/>
        <w:t xml:space="preserve">myslu nedošlo. To je ovšem věc dalekosáhlá, ale dohoda mezi Německem a Československem při upřímné </w:t>
      </w:r>
      <w:r>
        <w:rPr>
          <w:b/>
          <w:bCs/>
          <w:lang w:val="en-US" w:eastAsia="en-US" w:bidi="en-US"/>
        </w:rPr>
        <w:t xml:space="preserve">fair </w:t>
      </w:r>
      <w:r>
        <w:rPr>
          <w:b/>
          <w:bCs/>
          <w:sz w:val="20"/>
          <w:szCs w:val="20"/>
          <w:lang w:val="en-US" w:eastAsia="en-US" w:bidi="en-US"/>
        </w:rPr>
        <w:t>play</w:t>
      </w:r>
    </w:p>
    <w:p w:rsidR="00500724" w:rsidRDefault="00F30FB8">
      <w:pPr>
        <w:pStyle w:val="Zkladntext1"/>
        <w:shd w:val="clear" w:color="auto" w:fill="auto"/>
        <w:spacing w:line="185" w:lineRule="auto"/>
        <w:ind w:firstLine="0"/>
      </w:pPr>
      <w:r>
        <w:rPr>
          <w:b/>
          <w:bCs/>
        </w:rPr>
        <w:t>s obou stran je nejenom teoreticky, ale i prakticky usku</w:t>
      </w:r>
      <w:r>
        <w:rPr>
          <w:b/>
          <w:bCs/>
        </w:rPr>
        <w:softHyphen/>
        <w:t xml:space="preserve">tečnitelná tak, že uspokojí obě strany. To je zajisté </w:t>
      </w:r>
      <w:r>
        <w:rPr>
          <w:b/>
          <w:bCs/>
        </w:rPr>
        <w:t>i přá</w:t>
      </w:r>
      <w:r>
        <w:rPr>
          <w:b/>
          <w:bCs/>
        </w:rPr>
        <w:softHyphen/>
        <w:t>ním Česko-Slovenska.</w:t>
      </w:r>
    </w:p>
    <w:p w:rsidR="00500724" w:rsidRDefault="00F30FB8">
      <w:pPr>
        <w:pStyle w:val="Zkladntext1"/>
        <w:shd w:val="clear" w:color="auto" w:fill="auto"/>
        <w:tabs>
          <w:tab w:val="left" w:pos="4776"/>
        </w:tabs>
        <w:spacing w:after="60" w:line="185" w:lineRule="auto"/>
        <w:ind w:firstLine="300"/>
        <w:rPr>
          <w:sz w:val="20"/>
          <w:szCs w:val="20"/>
        </w:rPr>
      </w:pPr>
      <w:r>
        <w:rPr>
          <w:b/>
          <w:bCs/>
        </w:rPr>
        <w:t>K vývoji hospodářské situace u nás je v této souvislosti možno poznamenat, že je již uspokojivý. Bude-li pokračovat tímto tempem, budeme mít na jaře patrně jen nevelký počet nezaměstnaných. Již dnes máme nezaměst</w:t>
      </w:r>
      <w:r>
        <w:rPr>
          <w:b/>
          <w:bCs/>
        </w:rPr>
        <w:softHyphen/>
        <w:t>naných podstatně</w:t>
      </w:r>
      <w:r>
        <w:rPr>
          <w:b/>
          <w:bCs/>
        </w:rPr>
        <w:t xml:space="preserve"> méně než loni. V českých zemích je asi 70 tisíc mužů a 30 tisíc žen bez práce, v čemž je obsaženo asi 15 tisíc nezaměstnaných, kteří nebudou moci býti z růz</w:t>
      </w:r>
      <w:r>
        <w:rPr>
          <w:b/>
          <w:bCs/>
        </w:rPr>
        <w:softHyphen/>
        <w:t xml:space="preserve">ných důvodů zařáděni do pracovního procesu. Proto také nebudeme s to nezaměstnané ve větším počtu </w:t>
      </w:r>
      <w:r>
        <w:rPr>
          <w:b/>
          <w:bCs/>
        </w:rPr>
        <w:t xml:space="preserve">vyvážet, nebof jejich rukou budeme sami potřebovat. Daně se v českých zemích scházejí dobře a bude-li nám dopřán klid, nepochybně se (byť po velké námaze a značných obětech) zdaří našemu hospodářství a houževnatosti našeho lidu, že opět z této těžké krise </w:t>
      </w:r>
      <w:r>
        <w:rPr>
          <w:b/>
          <w:bCs/>
        </w:rPr>
        <w:t>se vypracuje do příznivějších po</w:t>
      </w:r>
      <w:r>
        <w:rPr>
          <w:b/>
          <w:bCs/>
        </w:rPr>
        <w:softHyphen/>
        <w:t>měrů hospodářských. A to bude míti také dobré politické a mravní důsledky. Projeví se to nepochybně ve zmírnění vnitřního utajeného napětí, jež po katastrofě, která náš ná</w:t>
      </w:r>
      <w:r>
        <w:rPr>
          <w:b/>
          <w:bCs/>
        </w:rPr>
        <w:softHyphen/>
        <w:t>rod stihla, je ovšem samozřejmé a politicko-psychol</w:t>
      </w:r>
      <w:r>
        <w:rPr>
          <w:b/>
          <w:bCs/>
        </w:rPr>
        <w:t>ogicky docela pochopitelné.</w:t>
      </w:r>
      <w:r>
        <w:rPr>
          <w:b/>
          <w:bCs/>
        </w:rPr>
        <w:tab/>
      </w:r>
      <w:r>
        <w:rPr>
          <w:i/>
          <w:iCs/>
          <w:sz w:val="20"/>
          <w:szCs w:val="20"/>
        </w:rPr>
        <w:t>Kř.</w:t>
      </w:r>
    </w:p>
    <w:p w:rsidR="00500724" w:rsidRDefault="00F30FB8">
      <w:pPr>
        <w:pStyle w:val="Zkladntext1"/>
        <w:shd w:val="clear" w:color="auto" w:fill="auto"/>
        <w:spacing w:after="60" w:line="178" w:lineRule="auto"/>
        <w:ind w:firstLine="0"/>
        <w:jc w:val="center"/>
        <w:rPr>
          <w:sz w:val="20"/>
          <w:szCs w:val="20"/>
        </w:rPr>
      </w:pPr>
      <w:r>
        <w:rPr>
          <w:b/>
          <w:bCs/>
          <w:sz w:val="20"/>
          <w:szCs w:val="20"/>
        </w:rPr>
        <w:t>Proč nemluvíte, mladí?</w:t>
      </w:r>
    </w:p>
    <w:p w:rsidR="00500724" w:rsidRDefault="00F30FB8">
      <w:pPr>
        <w:pStyle w:val="Zkladntext1"/>
        <w:shd w:val="clear" w:color="auto" w:fill="auto"/>
        <w:spacing w:line="187" w:lineRule="auto"/>
        <w:ind w:firstLine="300"/>
      </w:pPr>
      <w:r>
        <w:rPr>
          <w:b/>
          <w:bCs/>
        </w:rPr>
        <w:t>Po šťastně odvráceném nebezpečí, které hrozilo všem vdaným umělkyním, vyplouvá úskalí nové: začínáme pře</w:t>
      </w:r>
      <w:r>
        <w:rPr>
          <w:b/>
          <w:bCs/>
        </w:rPr>
        <w:softHyphen/>
        <w:t>mýšlet, kdo z našich umělců je presloužilý. Vynořuje se po</w:t>
      </w:r>
      <w:r>
        <w:rPr>
          <w:b/>
          <w:bCs/>
        </w:rPr>
        <w:softHyphen/>
        <w:t xml:space="preserve">třeba stanovit věkovou hranici </w:t>
      </w:r>
      <w:r>
        <w:rPr>
          <w:b/>
          <w:bCs/>
        </w:rPr>
        <w:t>tvůrčím lidem, když se byla položila profesorům a vědcům. A shledáváme, že akademie nemůže snad už potřebovat Švabinského a Národní divadlo Vydru a Dostálovou, poněvadž jsou — přesloužilí.</w:t>
      </w:r>
    </w:p>
    <w:p w:rsidR="00500724" w:rsidRDefault="00F30FB8">
      <w:pPr>
        <w:pStyle w:val="Zkladntext1"/>
        <w:shd w:val="clear" w:color="auto" w:fill="auto"/>
        <w:spacing w:line="187" w:lineRule="auto"/>
        <w:ind w:firstLine="300"/>
      </w:pPr>
      <w:r>
        <w:rPr>
          <w:b/>
          <w:bCs/>
        </w:rPr>
        <w:t>Přesloužilí! Jaké strašné slovo! Znamená snad, že slou</w:t>
      </w:r>
      <w:r>
        <w:rPr>
          <w:b/>
          <w:bCs/>
        </w:rPr>
        <w:softHyphen/>
        <w:t xml:space="preserve">žili národu </w:t>
      </w:r>
      <w:r>
        <w:rPr>
          <w:b/>
          <w:bCs/>
        </w:rPr>
        <w:t>déle, než měli, že se dnes jaksi vtírají na svá místa, ukrádajíce státu gáži, kterou pobírají? Znamená to, že jsou to veteráni do starého železa, kteří už nemají sil k práci? Kdyby byli v minulých letech naši otcové hleděli na svět s tohoto hlediska, nebyl</w:t>
      </w:r>
      <w:r>
        <w:rPr>
          <w:b/>
          <w:bCs/>
        </w:rPr>
        <w:t xml:space="preserve">i bychom my zažili Mošnu, Vojana, Hiibnerovou. Naši otcové však úzkostlivě se snažili chránit dny jejich okouzlujícího stáří, protože dávali na jevišti nahlížet do zázraku vytvořených postav. Chrámce jejich sily, lapali každý jejich pohyb a slovo a cítili </w:t>
      </w:r>
      <w:r>
        <w:rPr>
          <w:b/>
          <w:bCs/>
        </w:rPr>
        <w:t>se bo</w:t>
      </w:r>
      <w:r>
        <w:rPr>
          <w:b/>
          <w:bCs/>
        </w:rPr>
        <w:softHyphen/>
        <w:t>hatí, když k nim promluvili. Odnášeli je z práce — až na hřbitov, provázel je celý národ, který byl vděčen. Sloužili, jak dlouho dovedli a věru, nezbyla jim ani chvilička k vete- ránství. Za každou chvilku, kterou pro nás tvořili, jsme děkovali. Pama</w:t>
      </w:r>
      <w:r>
        <w:rPr>
          <w:b/>
          <w:bCs/>
        </w:rPr>
        <w:t>tuji se, jak jsme my, mladé holky, nosily pí Hiibnerové kytičky, když byla nemocná, povzbuzujíce svou upřímnou láskou její vadnoucí sily.</w:t>
      </w:r>
    </w:p>
    <w:p w:rsidR="00500724" w:rsidRDefault="00F30FB8">
      <w:pPr>
        <w:pStyle w:val="Zkladntext1"/>
        <w:shd w:val="clear" w:color="auto" w:fill="auto"/>
        <w:spacing w:line="187" w:lineRule="auto"/>
        <w:ind w:firstLine="300"/>
      </w:pPr>
      <w:r>
        <w:rPr>
          <w:b/>
          <w:bCs/>
        </w:rPr>
        <w:t xml:space="preserve">Zdá se, že dnes mladí jinak hodnotí zralé výkony a že bude národ jinak hledět na své zdravé, schopné, ale staré lidi, </w:t>
      </w:r>
      <w:r>
        <w:rPr>
          <w:b/>
          <w:bCs/>
        </w:rPr>
        <w:t>na své učitele a tvůrce kultury, kteří vychovávali celé generace. Patrně asi tak, jako se hledí na zrezivělé železo.</w:t>
      </w:r>
    </w:p>
    <w:p w:rsidR="00500724" w:rsidRDefault="00F30FB8">
      <w:pPr>
        <w:pStyle w:val="Zkladntext1"/>
        <w:shd w:val="clear" w:color="auto" w:fill="auto"/>
        <w:spacing w:line="187" w:lineRule="auto"/>
        <w:ind w:firstLine="300"/>
      </w:pPr>
      <w:r>
        <w:rPr>
          <w:b/>
          <w:bCs/>
        </w:rPr>
        <w:t>Chtěla bych jen jedno vědět: takový herecký soubor di</w:t>
      </w:r>
      <w:r>
        <w:rPr>
          <w:b/>
          <w:bCs/>
        </w:rPr>
        <w:softHyphen/>
        <w:t>vadla je přece jednotka a kolektiv, a patrně velmi citlivý. Musí v něm býti určitá ro</w:t>
      </w:r>
      <w:r>
        <w:rPr>
          <w:b/>
          <w:bCs/>
        </w:rPr>
        <w:t>vnováha, nějaké vnitřní vyvážení, lidská solidarita a lidské kamarádství a nad to úcta k vý</w:t>
      </w:r>
      <w:r>
        <w:rPr>
          <w:b/>
          <w:bCs/>
        </w:rPr>
        <w:softHyphen/>
        <w:t>konu. Vezme-li se nařízením takové jednotce jeden z nej- výtečnějších herců a lidí, jako je na přiklad Vydra, co učiní tento kolektiv? Co řeknou mladí v něm, předst</w:t>
      </w:r>
      <w:r>
        <w:rPr>
          <w:b/>
          <w:bCs/>
        </w:rPr>
        <w:t>oupí-li někdo před ně a řekne, že je Vydra »přesloužilec«?</w:t>
      </w:r>
    </w:p>
    <w:p w:rsidR="00500724" w:rsidRDefault="00F30FB8">
      <w:pPr>
        <w:pStyle w:val="Zkladntext1"/>
        <w:shd w:val="clear" w:color="auto" w:fill="auto"/>
        <w:spacing w:line="187" w:lineRule="auto"/>
        <w:ind w:firstLine="300"/>
      </w:pPr>
      <w:r>
        <w:rPr>
          <w:b/>
          <w:bCs/>
        </w:rPr>
        <w:t>Či budou z našeho života odcházet jednou vdané, po druhé přesloužilí a pak — třeba na návrh a přání pana Bedřicha Fučíka — »to ostatní®, jako je prý Čapek (který mu ostatně vyhověl), Nezval, Olbrac</w:t>
      </w:r>
      <w:r>
        <w:rPr>
          <w:b/>
          <w:bCs/>
        </w:rPr>
        <w:t>ht, Neumann, Pujma- nová, Majerová, Píša, Hora, Seifert, Halas, a my ostatní budeme mlčet? A vy mladí budete mlčet?</w:t>
      </w:r>
    </w:p>
    <w:p w:rsidR="00500724" w:rsidRDefault="00F30FB8">
      <w:pPr>
        <w:pStyle w:val="Zkladntext1"/>
        <w:shd w:val="clear" w:color="auto" w:fill="auto"/>
        <w:spacing w:line="276" w:lineRule="auto"/>
        <w:ind w:left="1600" w:firstLine="1540"/>
        <w:jc w:val="left"/>
        <w:rPr>
          <w:sz w:val="20"/>
          <w:szCs w:val="20"/>
        </w:rPr>
      </w:pPr>
      <w:r>
        <w:rPr>
          <w:b/>
          <w:bCs/>
          <w:i/>
          <w:iCs/>
        </w:rPr>
        <w:t xml:space="preserve">Milena Jesenská </w:t>
      </w:r>
      <w:r>
        <w:rPr>
          <w:b/>
          <w:bCs/>
          <w:sz w:val="20"/>
          <w:szCs w:val="20"/>
        </w:rPr>
        <w:t>Hrozinky a vánočka</w:t>
      </w:r>
    </w:p>
    <w:p w:rsidR="00500724" w:rsidRDefault="00F30FB8">
      <w:pPr>
        <w:pStyle w:val="Zkladntext1"/>
        <w:shd w:val="clear" w:color="auto" w:fill="auto"/>
        <w:spacing w:after="60" w:line="178" w:lineRule="auto"/>
        <w:ind w:firstLine="300"/>
      </w:pPr>
      <w:r>
        <w:rPr>
          <w:b/>
          <w:bCs/>
        </w:rPr>
        <w:t xml:space="preserve">Ale, ale, praví matka děcku, to nejde, papat jen hrozinky a vánočku nechat! To musíš, Vašíčku, papat </w:t>
      </w:r>
      <w:r>
        <w:rPr>
          <w:b/>
          <w:bCs/>
        </w:rPr>
        <w:t>hezky dohro</w:t>
      </w:r>
      <w:r>
        <w:rPr>
          <w:b/>
          <w:bCs/>
        </w:rPr>
        <w:softHyphen/>
        <w:t>mady. —</w:t>
      </w:r>
    </w:p>
    <w:p w:rsidR="00500724" w:rsidRDefault="00F30FB8">
      <w:pPr>
        <w:pStyle w:val="Zkladntext1"/>
        <w:shd w:val="clear" w:color="auto" w:fill="auto"/>
        <w:spacing w:after="60" w:line="187" w:lineRule="auto"/>
        <w:ind w:firstLine="300"/>
      </w:pPr>
      <w:r>
        <w:rPr>
          <w:b/>
          <w:bCs/>
        </w:rPr>
        <w:t>V sudetském území byli noví občané Říše překvapeni ně</w:t>
      </w:r>
      <w:r>
        <w:rPr>
          <w:b/>
          <w:bCs/>
        </w:rPr>
        <w:softHyphen/>
        <w:t>kterými opatřeními, dosti četnými opatřeními. Mimo jiné též nařízením, jež zní: Přísně potrestán bude každý zaměst</w:t>
      </w:r>
      <w:r>
        <w:rPr>
          <w:b/>
          <w:bCs/>
        </w:rPr>
        <w:softHyphen/>
        <w:t>navatel, který se ihned nepostará o vhodnou ložnici pro svého zaměs</w:t>
      </w:r>
      <w:r>
        <w:rPr>
          <w:b/>
          <w:bCs/>
        </w:rPr>
        <w:t>tnance. Musí to být místnost s dobrým větrá</w:t>
      </w:r>
      <w:r>
        <w:rPr>
          <w:b/>
          <w:bCs/>
        </w:rPr>
        <w:softHyphen/>
        <w:t>ním, dobrým osvětlením a dobrým otopem. Zaměstnancem se rozumí každý učeň, pomocník, tovaryš, pomocnice v do</w:t>
      </w:r>
      <w:r>
        <w:rPr>
          <w:b/>
          <w:bCs/>
        </w:rPr>
        <w:softHyphen/>
        <w:t>mácnosti atd. atd. Kde místnost zaměstnanci přikázaná ne</w:t>
      </w:r>
      <w:r>
        <w:rPr>
          <w:b/>
          <w:bCs/>
        </w:rPr>
        <w:softHyphen/>
        <w:t>vyhovuje těmto předpisům, provede zaměstnavate</w:t>
      </w:r>
      <w:r>
        <w:rPr>
          <w:b/>
          <w:bCs/>
        </w:rPr>
        <w:t>l potřebné adaptace ilmed svým nákladem,</w:t>
      </w:r>
    </w:p>
    <w:p w:rsidR="00500724" w:rsidRDefault="00F30FB8">
      <w:pPr>
        <w:pStyle w:val="Zkladntext1"/>
        <w:shd w:val="clear" w:color="auto" w:fill="auto"/>
        <w:spacing w:line="190" w:lineRule="auto"/>
        <w:ind w:firstLine="300"/>
      </w:pPr>
      <w:r>
        <w:rPr>
          <w:b/>
          <w:bCs/>
        </w:rPr>
        <w:t>Vmyslete se do tohoto jistě sympatického předpisu a představte si pak, kde a jak spí u nás učeň a t. zv. pomoc</w:t>
      </w:r>
      <w:r>
        <w:rPr>
          <w:b/>
          <w:bCs/>
        </w:rPr>
        <w:softHyphen/>
        <w:t>nice v domácnosti. Kdybychom my si zavedli takový před</w:t>
      </w:r>
      <w:r>
        <w:rPr>
          <w:b/>
          <w:bCs/>
        </w:rPr>
        <w:softHyphen/>
        <w:t xml:space="preserve">pis, obávám se, že by bylo třeba přestavět celou </w:t>
      </w:r>
      <w:r>
        <w:rPr>
          <w:b/>
          <w:bCs/>
        </w:rPr>
        <w:t>Prahu. Nebof víte snad, jak vypadávají »místnosti«, v nichž naše Mařenky a Boženky čerpají sílu do nové roboty.</w:t>
      </w:r>
    </w:p>
    <w:p w:rsidR="00500724" w:rsidRDefault="00F30FB8">
      <w:pPr>
        <w:pStyle w:val="Zkladntext1"/>
        <w:shd w:val="clear" w:color="auto" w:fill="auto"/>
        <w:spacing w:line="190" w:lineRule="auto"/>
        <w:ind w:firstLine="300"/>
      </w:pPr>
      <w:r>
        <w:rPr>
          <w:b/>
          <w:bCs/>
        </w:rPr>
        <w:t>Je to jen jeden z nových předpisů v Sudetech, jichž je na sta. Snad postačí, povíme-li, že málokterá továrna v zabra</w:t>
      </w:r>
      <w:r>
        <w:rPr>
          <w:b/>
          <w:bCs/>
        </w:rPr>
        <w:softHyphen/>
        <w:t>ném území nemusila přikroči</w:t>
      </w:r>
      <w:r>
        <w:rPr>
          <w:b/>
          <w:bCs/>
        </w:rPr>
        <w:t>t k rozsáhlým přestavbám. Ne</w:t>
      </w:r>
      <w:r>
        <w:rPr>
          <w:b/>
          <w:bCs/>
        </w:rPr>
        <w:softHyphen/>
        <w:t>boť prohlásily úřední komise, ten svinčík tady bez dělnic</w:t>
      </w:r>
      <w:r>
        <w:rPr>
          <w:b/>
          <w:bCs/>
        </w:rPr>
        <w:softHyphen/>
        <w:t>kých šaten, umýváren atd. atd., ten svinčík vám, páni pod</w:t>
      </w:r>
      <w:r>
        <w:rPr>
          <w:b/>
          <w:bCs/>
        </w:rPr>
        <w:softHyphen/>
        <w:t>nikatelé, trpět nebudeme.</w:t>
      </w:r>
    </w:p>
    <w:p w:rsidR="00500724" w:rsidRDefault="00F30FB8">
      <w:pPr>
        <w:pStyle w:val="Zkladntext1"/>
        <w:shd w:val="clear" w:color="auto" w:fill="auto"/>
        <w:spacing w:line="190" w:lineRule="auto"/>
        <w:ind w:firstLine="300"/>
      </w:pPr>
      <w:r>
        <w:rPr>
          <w:b/>
          <w:bCs/>
        </w:rPr>
        <w:t>Byli u nás lidé a jsou dosud: to a ono se jim zamlouvalo na režimu u souseda. Jenže t</w:t>
      </w:r>
      <w:r>
        <w:rPr>
          <w:b/>
          <w:bCs/>
        </w:rPr>
        <w:t>i naši lidé si tak trochu vybí</w:t>
      </w:r>
      <w:r>
        <w:rPr>
          <w:b/>
          <w:bCs/>
        </w:rPr>
        <w:softHyphen/>
        <w:t>rali. Jako děcko ty hrozinky z vánočky. Ani je nenapadlo podívat se, z jakého těsta je ta vánočka. Žádný z nich nebyl gramatikem. Někdy je dobře být gramatikem. Takový gra</w:t>
      </w:r>
      <w:r>
        <w:rPr>
          <w:b/>
          <w:bCs/>
        </w:rPr>
        <w:softHyphen/>
        <w:t>matik si třebas vezme jméno »národní socialismus®, »N</w:t>
      </w:r>
      <w:r>
        <w:rPr>
          <w:b/>
          <w:bCs/>
        </w:rPr>
        <w:t>atio- nalsozialismus«. A řekne: v této jmenné složenině to »N a- t i o n a 1« je jméno určovací, kdežto tomu... sozialis- mus říkáme jméno základní. Je tedy již podle mluvnice samotné národní socialismus zvláštním druhem socialismu.</w:t>
      </w:r>
    </w:p>
    <w:p w:rsidR="00500724" w:rsidRDefault="00F30FB8">
      <w:pPr>
        <w:pStyle w:val="Zkladntext1"/>
        <w:shd w:val="clear" w:color="auto" w:fill="auto"/>
        <w:spacing w:line="190" w:lineRule="auto"/>
        <w:ind w:firstLine="300"/>
      </w:pPr>
      <w:r>
        <w:rPr>
          <w:b/>
          <w:bCs/>
        </w:rPr>
        <w:t>Velmi vyliraněnou odrůd</w:t>
      </w:r>
      <w:r>
        <w:rPr>
          <w:b/>
          <w:bCs/>
        </w:rPr>
        <w:t>ou socialismu dokonce. Průboj- nost, moc vnitřní i vnější celého nového německého režimu je právě v tom: že část lidu skutečně opatřuje a dává věci, o nichž jiný socialismus jen hovořil. Pamatujete se snad na demokratické sněmovní debaty o tom, že služka n</w:t>
      </w:r>
      <w:r>
        <w:rPr>
          <w:b/>
          <w:bCs/>
        </w:rPr>
        <w:t>esmí pře</w:t>
      </w:r>
      <w:r>
        <w:rPr>
          <w:b/>
          <w:bCs/>
        </w:rPr>
        <w:softHyphen/>
        <w:t>spávat v brlohu? My se nepamatujeme. Nemyslete si, že tím tomu bývalému socialismu vytýkáme nějaké opominutí. Většina v parlamentě by se byla užívala, kdyby byl socialis</w:t>
      </w:r>
      <w:r>
        <w:rPr>
          <w:b/>
          <w:bCs/>
        </w:rPr>
        <w:softHyphen/>
        <w:t>mus přišel s takovým požadavkem. Sudetský nájemník v bu</w:t>
      </w:r>
      <w:r>
        <w:rPr>
          <w:b/>
          <w:bCs/>
        </w:rPr>
        <w:softHyphen/>
        <w:t>doucnosti si patrně n</w:t>
      </w:r>
      <w:r>
        <w:rPr>
          <w:b/>
          <w:bCs/>
        </w:rPr>
        <w:t>ejdříve dá ukázat místnost pro kuchtu. Aby nemusil za týden po nastěhování dát za vlastní peníze přestavět byt.</w:t>
      </w:r>
    </w:p>
    <w:p w:rsidR="00500724" w:rsidRDefault="00F30FB8">
      <w:pPr>
        <w:pStyle w:val="Zkladntext1"/>
        <w:shd w:val="clear" w:color="auto" w:fill="auto"/>
        <w:spacing w:line="190" w:lineRule="auto"/>
        <w:ind w:firstLine="300"/>
      </w:pPr>
      <w:r>
        <w:rPr>
          <w:b/>
          <w:bCs/>
        </w:rPr>
        <w:t>Co jsme chtěli říci? On pořád a pořád tak mnohý náš s nacismem sympatisující občan ještě neví, oě jde a ko</w:t>
      </w:r>
      <w:r>
        <w:rPr>
          <w:b/>
          <w:bCs/>
        </w:rPr>
        <w:softHyphen/>
        <w:t>lik uhodilo. Neví, co to znamená, kdy</w:t>
      </w:r>
      <w:r>
        <w:rPr>
          <w:b/>
          <w:bCs/>
        </w:rPr>
        <w:t>ž v Německu žád</w:t>
      </w:r>
      <w:r>
        <w:rPr>
          <w:b/>
          <w:bCs/>
        </w:rPr>
        <w:softHyphen/>
        <w:t>ná akciová společnost nesmí vyplácet větší dividendu než 8 procent; co je navíc, odvede se státu, který z toho dá pod</w:t>
      </w:r>
      <w:r>
        <w:rPr>
          <w:b/>
          <w:bCs/>
        </w:rPr>
        <w:softHyphen/>
        <w:t>nikům schodkovým. Kolik uhodilo, když německý podni</w:t>
      </w:r>
      <w:r>
        <w:rPr>
          <w:b/>
          <w:bCs/>
        </w:rPr>
        <w:softHyphen/>
        <w:t>katel je teď při každém hnutí jaksi výkonným orgánem úřa</w:t>
      </w:r>
      <w:r>
        <w:rPr>
          <w:b/>
          <w:bCs/>
        </w:rPr>
        <w:softHyphen/>
        <w:t>dů a státu. K</w:t>
      </w:r>
      <w:r>
        <w:rPr>
          <w:b/>
          <w:bCs/>
        </w:rPr>
        <w:t>olik uhodilo, když liberalismus, který měl spadeno na jistý socialismus, je v pekle i s tím socialismem a vystřídán socialismem jiným, jenž prostě nařizuje. To a ono by se vám v nacionálním socialismu zamlouvalo? Jen to a ono? Chtěli byste si vybírat?</w:t>
      </w:r>
    </w:p>
    <w:p w:rsidR="00500724" w:rsidRDefault="00F30FB8">
      <w:pPr>
        <w:pStyle w:val="Zkladntext1"/>
        <w:shd w:val="clear" w:color="auto" w:fill="auto"/>
        <w:tabs>
          <w:tab w:val="left" w:pos="4378"/>
        </w:tabs>
        <w:spacing w:after="60" w:line="190" w:lineRule="auto"/>
        <w:ind w:firstLine="300"/>
        <w:rPr>
          <w:sz w:val="20"/>
          <w:szCs w:val="20"/>
        </w:rPr>
      </w:pPr>
      <w:r>
        <w:rPr>
          <w:b/>
          <w:bCs/>
        </w:rPr>
        <w:t>Ale,</w:t>
      </w:r>
      <w:r>
        <w:rPr>
          <w:b/>
          <w:bCs/>
        </w:rPr>
        <w:t xml:space="preserve"> ale, praví matka děcku, to nejde, papat jen hrozinky a vánočku nechat! To musíš, Vašíčku, papat hezky ílohro- mady. —</w:t>
      </w:r>
      <w:r>
        <w:rPr>
          <w:b/>
          <w:bCs/>
        </w:rPr>
        <w:tab/>
      </w:r>
      <w:r>
        <w:rPr>
          <w:i/>
          <w:iCs/>
          <w:sz w:val="20"/>
          <w:szCs w:val="20"/>
        </w:rPr>
        <w:t>Hipolyt</w:t>
      </w:r>
    </w:p>
    <w:p w:rsidR="00500724" w:rsidRDefault="00F30FB8">
      <w:pPr>
        <w:pStyle w:val="Zkladntext1"/>
        <w:shd w:val="clear" w:color="auto" w:fill="auto"/>
        <w:spacing w:line="180" w:lineRule="auto"/>
        <w:ind w:firstLine="0"/>
        <w:jc w:val="center"/>
        <w:rPr>
          <w:sz w:val="20"/>
          <w:szCs w:val="20"/>
        </w:rPr>
      </w:pPr>
      <w:r>
        <w:rPr>
          <w:b/>
          <w:bCs/>
          <w:sz w:val="20"/>
          <w:szCs w:val="20"/>
        </w:rPr>
        <w:t>Francie, náš obchodní přítel</w:t>
      </w:r>
    </w:p>
    <w:p w:rsidR="00500724" w:rsidRDefault="00F30FB8">
      <w:pPr>
        <w:pStyle w:val="Zkladntext1"/>
        <w:shd w:val="clear" w:color="auto" w:fill="auto"/>
        <w:spacing w:line="185" w:lineRule="auto"/>
        <w:ind w:firstLine="300"/>
      </w:pPr>
      <w:r>
        <w:rPr>
          <w:b/>
          <w:bCs/>
        </w:rPr>
        <w:t xml:space="preserve">Naše hospodářské styky s Francií od prvních dodávek vojenského materiálu po světové válce až dodnů </w:t>
      </w:r>
      <w:r>
        <w:rPr>
          <w:b/>
          <w:bCs/>
        </w:rPr>
        <w:t>mnichov</w:t>
      </w:r>
      <w:r>
        <w:rPr>
          <w:b/>
          <w:bCs/>
        </w:rPr>
        <w:softHyphen/>
        <w:t>ských stály vždy ve stínu zájmů politicko-diplomatických. Vývoj hospodářských styků s Francii byl pro nás téměř stále nepřisaiivý, ale byi námi trpěn s odůvodněním, že jde o naše životní politické zájmy. V posledních deseti letech převýšil francouz</w:t>
      </w:r>
      <w:r>
        <w:rPr>
          <w:b/>
          <w:bCs/>
        </w:rPr>
        <w:t>ský dovoz do Československa čes</w:t>
      </w:r>
      <w:r>
        <w:rPr>
          <w:b/>
          <w:bCs/>
        </w:rPr>
        <w:softHyphen/>
        <w:t>koslovenský vývoz do Francie o více než jednu miliardu Kě a pasivum ěs.-francouzskélio zahraničního obchodu v náš neprospěch se pohybovalo ročně mezi několika de</w:t>
      </w:r>
      <w:r>
        <w:rPr>
          <w:b/>
          <w:bCs/>
        </w:rPr>
        <w:softHyphen/>
        <w:t>sítkami až několika stovkami milionů Kě. Když byla uza</w:t>
      </w:r>
      <w:r>
        <w:rPr>
          <w:b/>
          <w:bCs/>
        </w:rPr>
        <w:softHyphen/>
        <w:t>vřena k</w:t>
      </w:r>
      <w:r>
        <w:rPr>
          <w:b/>
          <w:bCs/>
        </w:rPr>
        <w:t>oncem r. 1938 desetiletá bilance, ukazuje v náš ne</w:t>
      </w:r>
      <w:r>
        <w:rPr>
          <w:b/>
          <w:bCs/>
        </w:rPr>
        <w:softHyphen/>
        <w:t>prospěch 1017 milionů Kč. Příčina tohoto schodku je v tom, že jednak jsme my vždy velmi blahovolně nakládali se zbožím docházejícím z Francie a vycházeli francouzským požadavkům vstříc v duchu upřímného př</w:t>
      </w:r>
      <w:r>
        <w:rPr>
          <w:b/>
          <w:bCs/>
        </w:rPr>
        <w:t>átelství, jednak v tom, že Francie naše požadavky obchodně-politické sice diplomaticky přijímala laskavě, ale obchodně-politieky je odmítala. V celku lze říci, že Francie s naším zbožím na</w:t>
      </w:r>
      <w:r>
        <w:rPr>
          <w:b/>
          <w:bCs/>
        </w:rPr>
        <w:softHyphen/>
        <w:t>kládala nevlídně. Postačí snad k pochopení situace, že Francie vynu</w:t>
      </w:r>
      <w:r>
        <w:rPr>
          <w:b/>
          <w:bCs/>
        </w:rPr>
        <w:t>covala na nás vždy souhlas k tomu, aby čs. zboží podléhalo přímé kontingentaci, že stanovila pro dvě třetiny našich výrobků nevelké kvóty dovozu, jež někdy ani nevyěerpávala, kdežto my jsme zavedli kontingentaci ani ne na celou čtvrtinu francouzského zboží</w:t>
      </w:r>
      <w:r>
        <w:rPr>
          <w:b/>
          <w:bCs/>
        </w:rPr>
        <w:t xml:space="preserve"> k nám do</w:t>
      </w:r>
      <w:r>
        <w:rPr>
          <w:b/>
          <w:bCs/>
        </w:rPr>
        <w:softHyphen/>
        <w:t>váženého. Poměr kon t i n gen t ačn i ch kvót byl v náš neprospěch G5 proč. ku 23 proč. Tak ne</w:t>
      </w:r>
      <w:r>
        <w:rPr>
          <w:b/>
          <w:bCs/>
        </w:rPr>
        <w:softHyphen/>
        <w:t>příznivý poměr je zajisté dostatečně výmluvný.</w:t>
      </w:r>
    </w:p>
    <w:p w:rsidR="00500724" w:rsidRDefault="00F30FB8">
      <w:pPr>
        <w:pStyle w:val="Zkladntext1"/>
        <w:shd w:val="clear" w:color="auto" w:fill="auto"/>
        <w:spacing w:line="185" w:lineRule="auto"/>
        <w:ind w:firstLine="300"/>
      </w:pPr>
      <w:r>
        <w:rPr>
          <w:b/>
          <w:bCs/>
        </w:rPr>
        <w:t>Když byla na těle našeho státu provedena krůtě bolest</w:t>
      </w:r>
      <w:r>
        <w:rPr>
          <w:b/>
          <w:bCs/>
        </w:rPr>
        <w:softHyphen/>
        <w:t>ná mnichovská operace bez jakékoli narkosv, _ dost</w:t>
      </w:r>
      <w:r>
        <w:rPr>
          <w:b/>
          <w:bCs/>
        </w:rPr>
        <w:t xml:space="preserve">alo se novému Česko-Slovensku hojně slibů, jak politických (po- </w:t>
      </w:r>
      <w:r>
        <w:rPr>
          <w:b/>
          <w:bCs/>
          <w:lang w:val="en-US" w:eastAsia="en-US" w:bidi="en-US"/>
        </w:rPr>
        <w:t xml:space="preserve">kud </w:t>
      </w:r>
      <w:r>
        <w:rPr>
          <w:b/>
          <w:bCs/>
        </w:rPr>
        <w:t>šlo o záruky za nové hranice), tak i hospodářských. Byla nám slibována finanční podpora i úlevy pro náš ex</w:t>
      </w:r>
      <w:r>
        <w:rPr>
          <w:b/>
          <w:bCs/>
        </w:rPr>
        <w:softHyphen/>
        <w:t>port. Anglosaské zemé se skutečné zachovaly i při vší zdrželivosti pomčmě slušně,</w:t>
      </w:r>
      <w:r>
        <w:rPr>
          <w:b/>
          <w:bCs/>
        </w:rPr>
        <w:t xml:space="preserve"> kdežto Francie opětně činí výjimku. Byla první, která nám ohlásila, že kvóty, jež byly určeny na vývoz našeho zboží do Francie, musí býti zmenšeny, protože se zmenšil náš stát. Francie tvrdila, že některé průmyslové obory docela zmizely (!) a jiné že se v</w:t>
      </w:r>
      <w:r>
        <w:rPr>
          <w:b/>
          <w:bCs/>
        </w:rPr>
        <w:t>elmi zmenšily — a uváděla data — ač toto tvrzení ne</w:t>
      </w:r>
      <w:r>
        <w:rPr>
          <w:b/>
          <w:bCs/>
        </w:rPr>
        <w:softHyphen/>
        <w:t>odpovídalo skutečným cifrám. A do doby, než ujedná s ná</w:t>
      </w:r>
      <w:r>
        <w:rPr>
          <w:b/>
          <w:bCs/>
        </w:rPr>
        <w:softHyphen/>
        <w:t>mi novou obchodní smlouvu, zmenšila Francie sama pros</w:t>
      </w:r>
      <w:r>
        <w:rPr>
          <w:b/>
          <w:bCs/>
        </w:rPr>
        <w:softHyphen/>
        <w:t xml:space="preserve">tým škrtem pera všechny tyto kontingenty na čs. zboží exportované do Francie o polovinu! Jako </w:t>
      </w:r>
      <w:r>
        <w:rPr>
          <w:b/>
          <w:bCs/>
        </w:rPr>
        <w:t>by se Českoslo</w:t>
      </w:r>
      <w:r>
        <w:rPr>
          <w:b/>
          <w:bCs/>
        </w:rPr>
        <w:softHyphen/>
        <w:t>vensko zmenšilo proti bývalému Československu o polovi</w:t>
      </w:r>
      <w:r>
        <w:rPr>
          <w:b/>
          <w:bCs/>
        </w:rPr>
        <w:softHyphen/>
        <w:t>nu, jako bychom ztratili polovinu naší průmyslové výroby! Přímo bolestně sarkasticky působí, že v odůvodnění tohoto rozhodnutí se proti nám dovolává Francie — Mnichova!</w:t>
      </w:r>
    </w:p>
    <w:p w:rsidR="00500724" w:rsidRDefault="00F30FB8">
      <w:pPr>
        <w:pStyle w:val="Zkladntext1"/>
        <w:shd w:val="clear" w:color="auto" w:fill="auto"/>
        <w:tabs>
          <w:tab w:val="left" w:pos="4675"/>
        </w:tabs>
        <w:spacing w:after="120" w:line="182" w:lineRule="auto"/>
        <w:rPr>
          <w:sz w:val="20"/>
          <w:szCs w:val="20"/>
        </w:rPr>
      </w:pPr>
      <w:r>
        <w:rPr>
          <w:b/>
          <w:bCs/>
        </w:rPr>
        <w:t>Zdá se, že rozhod</w:t>
      </w:r>
      <w:r>
        <w:rPr>
          <w:b/>
          <w:bCs/>
        </w:rPr>
        <w:t>ující místa ve Francii nemají pro nic tak malé pochopení, jako pro psychologii malých národů, které dohromady mohly tak nesmírně mnoho pro Francii znamenat. Jinými slovy, odpovědní činitelé ve francouzské politice, politické i obchodní, nerozumějí skutečný</w:t>
      </w:r>
      <w:r>
        <w:rPr>
          <w:b/>
          <w:bCs/>
        </w:rPr>
        <w:t>m zá</w:t>
      </w:r>
      <w:r>
        <w:rPr>
          <w:b/>
          <w:bCs/>
        </w:rPr>
        <w:softHyphen/>
        <w:t>jmům Francie. Není potřebí zvláštního prorockého nadání k tomu, aby člověk mohl předpovědět, že této politiky bude Francie jednou trpce litovat.</w:t>
      </w:r>
      <w:r>
        <w:rPr>
          <w:b/>
          <w:bCs/>
        </w:rPr>
        <w:tab/>
      </w:r>
      <w:r>
        <w:rPr>
          <w:i/>
          <w:iCs/>
          <w:sz w:val="20"/>
          <w:szCs w:val="20"/>
        </w:rPr>
        <w:t>Gis.</w:t>
      </w:r>
    </w:p>
    <w:p w:rsidR="00500724" w:rsidRDefault="00F30FB8">
      <w:pPr>
        <w:pStyle w:val="Zkladntext1"/>
        <w:shd w:val="clear" w:color="auto" w:fill="auto"/>
        <w:spacing w:line="178" w:lineRule="auto"/>
        <w:ind w:firstLine="0"/>
        <w:jc w:val="center"/>
        <w:rPr>
          <w:sz w:val="20"/>
          <w:szCs w:val="20"/>
        </w:rPr>
      </w:pPr>
      <w:r>
        <w:rPr>
          <w:b/>
          <w:bCs/>
          <w:sz w:val="20"/>
          <w:szCs w:val="20"/>
        </w:rPr>
        <w:t>Směr našeho vývozu</w:t>
      </w:r>
    </w:p>
    <w:p w:rsidR="00500724" w:rsidRDefault="00F30FB8">
      <w:pPr>
        <w:pStyle w:val="Zkladntext1"/>
        <w:shd w:val="clear" w:color="auto" w:fill="auto"/>
        <w:spacing w:line="187" w:lineRule="auto"/>
        <w:ind w:firstLine="320"/>
      </w:pPr>
      <w:r>
        <w:rPr>
          <w:b/>
          <w:bCs/>
        </w:rPr>
        <w:t>Svaz průmyslníků prohlásil skoro resolutně, že se náš vývoz musí rychle zbavit pře</w:t>
      </w:r>
      <w:r>
        <w:rPr>
          <w:b/>
          <w:bCs/>
        </w:rPr>
        <w:t>kážek, které mu dosud bránily v rozběhu. Průmyslníci stěžují si hlavně na staré bolesti, jako jsou ztrnulé daňové předpisy, překonané názory na výzkumnictví a pokusnictví, nepružné tarify, a ovšem i smýšlení, které je prý proti soukromému podnikání za</w:t>
      </w:r>
      <w:r>
        <w:rPr>
          <w:b/>
          <w:bCs/>
        </w:rPr>
        <w:softHyphen/>
        <w:t>ujat</w:t>
      </w:r>
      <w:r>
        <w:rPr>
          <w:b/>
          <w:bCs/>
        </w:rPr>
        <w:t>o. Průmyslníci řekli, že i v nových poměrech připadá vývozu »při budování nového hospodářského základu ne</w:t>
      </w:r>
      <w:r>
        <w:rPr>
          <w:b/>
          <w:bCs/>
        </w:rPr>
        <w:softHyphen/>
        <w:t>obyčejně odpovědný úkol opatřit devisy pro nákup surovin a všeho, co z ciziny nezbytně musíme dovážet.« Neříkejte, že průmyslníci opakují jenom staré,</w:t>
      </w:r>
      <w:r>
        <w:rPr>
          <w:b/>
          <w:bCs/>
        </w:rPr>
        <w:t xml:space="preserve"> známé pravdy. Za urči</w:t>
      </w:r>
      <w:r>
        <w:rPr>
          <w:b/>
          <w:bCs/>
        </w:rPr>
        <w:softHyphen/>
        <w:t>tých okolností může mít i stará pravda nový význam. Vy</w:t>
      </w:r>
      <w:r>
        <w:rPr>
          <w:b/>
          <w:bCs/>
        </w:rPr>
        <w:softHyphen/>
        <w:t>skytly se u nás názory, že se nyní charakter našeho hospo</w:t>
      </w:r>
      <w:r>
        <w:rPr>
          <w:b/>
          <w:bCs/>
        </w:rPr>
        <w:softHyphen/>
        <w:t>dářství mění — a to v neprospěch průmyslové výroby.</w:t>
      </w:r>
    </w:p>
    <w:p w:rsidR="00500724" w:rsidRDefault="00F30FB8">
      <w:pPr>
        <w:pStyle w:val="Zkladntext1"/>
        <w:shd w:val="clear" w:color="auto" w:fill="auto"/>
        <w:tabs>
          <w:tab w:val="left" w:pos="4675"/>
        </w:tabs>
        <w:spacing w:after="80" w:line="187" w:lineRule="auto"/>
        <w:rPr>
          <w:sz w:val="20"/>
          <w:szCs w:val="20"/>
        </w:rPr>
      </w:pPr>
      <w:r>
        <w:rPr>
          <w:b/>
          <w:bCs/>
        </w:rPr>
        <w:t>Škoda, že Svaz průmyslníků nepromluvil také o směru našeho vývozu. J</w:t>
      </w:r>
      <w:r>
        <w:rPr>
          <w:b/>
          <w:bCs/>
        </w:rPr>
        <w:t>sou lidé, kterým se zdá, že nyní záleží je</w:t>
      </w:r>
      <w:r>
        <w:rPr>
          <w:b/>
          <w:bCs/>
        </w:rPr>
        <w:softHyphen/>
        <w:t>nom na hospodářských stycích a poměru k sousední němec</w:t>
      </w:r>
      <w:r>
        <w:rPr>
          <w:b/>
          <w:bCs/>
        </w:rPr>
        <w:softHyphen/>
        <w:t>ké říši. Je sice pravda, že Německo je náš hlavní zákazník, odebírající od nás každý rok zboží v hodnotě přes 2 miliardy korun, ale to je přece jenom pětina n</w:t>
      </w:r>
      <w:r>
        <w:rPr>
          <w:b/>
          <w:bCs/>
        </w:rPr>
        <w:t>ašeho vývozu. Ostat</w:t>
      </w:r>
      <w:r>
        <w:rPr>
          <w:b/>
          <w:bCs/>
        </w:rPr>
        <w:softHyphen/>
        <w:t>ní čtyři pětiny jdou do celého světa. Do tak zvaných clearin</w:t>
      </w:r>
      <w:r>
        <w:rPr>
          <w:b/>
          <w:bCs/>
        </w:rPr>
        <w:softHyphen/>
        <w:t>gových zemí (kromě Německa) vyvážíme zboží za další dvě miliardy, do kontingentních zemí (Francie, Holandsko, Švýcary, Belgie, Polsko atd.) také za dvě miliardy a do širo</w:t>
      </w:r>
      <w:r>
        <w:rPr>
          <w:b/>
          <w:bCs/>
        </w:rPr>
        <w:softHyphen/>
        <w:t>kého</w:t>
      </w:r>
      <w:r>
        <w:rPr>
          <w:b/>
          <w:bCs/>
        </w:rPr>
        <w:t xml:space="preserve"> světa za pět miliard. Devisy dostáváme hlavně zdaleka. Nevíme, kdo by chtěl riskovat na příklad náš vývoz do Spo</w:t>
      </w:r>
      <w:r>
        <w:rPr>
          <w:b/>
          <w:bCs/>
        </w:rPr>
        <w:softHyphen/>
        <w:t>jených Států, kam dodáváme zboží téměř za půl druhé mi</w:t>
      </w:r>
      <w:r>
        <w:rPr>
          <w:b/>
          <w:bCs/>
        </w:rPr>
        <w:softHyphen/>
        <w:t xml:space="preserve">liardy, nebo do Velké Britanie, kam vyvážíme stejně tolik. Kdybychom tyto směry našeho </w:t>
      </w:r>
      <w:r>
        <w:rPr>
          <w:b/>
          <w:bCs/>
        </w:rPr>
        <w:t>vývozu z jakýchkoli důvodů zanedbali, mělo by to pro naši výrobu nedozírné následky, protože nejde jenom o vývoz našich výrobků, nýbrž také o devisy, za které nakupujeme suroviny a látky, bez nichž bychom zase nemohli vyrábět. To je kruh, který nelze beztr</w:t>
      </w:r>
      <w:r>
        <w:rPr>
          <w:b/>
          <w:bCs/>
        </w:rPr>
        <w:t>estně porušit.</w:t>
      </w:r>
      <w:r>
        <w:rPr>
          <w:b/>
          <w:bCs/>
        </w:rPr>
        <w:tab/>
      </w:r>
      <w:r>
        <w:rPr>
          <w:i/>
          <w:iCs/>
          <w:sz w:val="20"/>
          <w:szCs w:val="20"/>
        </w:rPr>
        <w:t>K. S.</w:t>
      </w:r>
    </w:p>
    <w:p w:rsidR="00500724" w:rsidRDefault="00F30FB8">
      <w:pPr>
        <w:pStyle w:val="Zkladntext1"/>
        <w:shd w:val="clear" w:color="auto" w:fill="auto"/>
        <w:spacing w:line="178" w:lineRule="auto"/>
        <w:ind w:firstLine="0"/>
        <w:jc w:val="center"/>
        <w:rPr>
          <w:sz w:val="20"/>
          <w:szCs w:val="20"/>
        </w:rPr>
      </w:pPr>
      <w:r>
        <w:rPr>
          <w:b/>
          <w:bCs/>
          <w:sz w:val="20"/>
          <w:szCs w:val="20"/>
        </w:rPr>
        <w:t>Dvojí pojem práce</w:t>
      </w:r>
    </w:p>
    <w:p w:rsidR="00500724" w:rsidRDefault="00F30FB8">
      <w:pPr>
        <w:pStyle w:val="Zkladntext1"/>
        <w:shd w:val="clear" w:color="auto" w:fill="auto"/>
        <w:spacing w:line="187" w:lineRule="auto"/>
        <w:ind w:firstLine="320"/>
      </w:pPr>
      <w:r>
        <w:rPr>
          <w:b/>
          <w:bCs/>
        </w:rPr>
        <w:t>Propouštění vdaných žen ze služeb veřejných a snad do</w:t>
      </w:r>
      <w:r>
        <w:rPr>
          <w:b/>
          <w:bCs/>
        </w:rPr>
        <w:softHyphen/>
        <w:t>konce i soukromých, radikálně snížená věková mez pro učitele vysokých škol, chystaný zákaz dvojího zaměstnání — to vše vede k tomu, abychom si všimli revise, které</w:t>
      </w:r>
      <w:r>
        <w:rPr>
          <w:b/>
          <w:bCs/>
        </w:rPr>
        <w:t xml:space="preserve"> se v duchu těchto opatření podrobuje lidská práce. Kdybyste se zeptali profesorky, proč pokládá své propuštění za těž</w:t>
      </w:r>
      <w:r>
        <w:rPr>
          <w:b/>
          <w:bCs/>
        </w:rPr>
        <w:softHyphen/>
        <w:t>kou křivdu, řekla by asi: — Protože mám způsobilost a tedy i právo, abych učila a vychovávala!</w:t>
      </w:r>
    </w:p>
    <w:p w:rsidR="00500724" w:rsidRDefault="00F30FB8">
      <w:pPr>
        <w:pStyle w:val="Zkladntext1"/>
        <w:shd w:val="clear" w:color="auto" w:fill="auto"/>
        <w:spacing w:line="187" w:lineRule="auto"/>
        <w:ind w:firstLine="320"/>
      </w:pPr>
      <w:r>
        <w:rPr>
          <w:b/>
          <w:bCs/>
        </w:rPr>
        <w:t>Co ti lidé tím mini? Chtějí vyjádřit, že z</w:t>
      </w:r>
      <w:r>
        <w:rPr>
          <w:b/>
          <w:bCs/>
        </w:rPr>
        <w:t>působilost, vloha, nadání, průprava, odborná věcná znalost atd. dávají lidské</w:t>
      </w:r>
      <w:r>
        <w:rPr>
          <w:b/>
          <w:bCs/>
        </w:rPr>
        <w:softHyphen/>
        <w:t>mu jedinci právo na výkon v lidské společnosti. Že právo na tento výkon plyne jediné ze svobodné soutěže vloh a kvalifikací. Oprávněn pracovat je podle nich každý, kdo pra</w:t>
      </w:r>
      <w:r>
        <w:rPr>
          <w:b/>
          <w:bCs/>
        </w:rPr>
        <w:softHyphen/>
        <w:t xml:space="preserve">covat </w:t>
      </w:r>
      <w:r>
        <w:rPr>
          <w:b/>
          <w:bCs/>
        </w:rPr>
        <w:t>chce. Kolik úkolů si naloží, je jeho věcí. O jeho pra</w:t>
      </w:r>
      <w:r>
        <w:rPr>
          <w:b/>
          <w:bCs/>
        </w:rPr>
        <w:softHyphen/>
        <w:t>covním právu a stejně o jeho pracovním úspěchu rozhodne přirozený výběr, volná soutěž. Jak vidíte, je to princip indi</w:t>
      </w:r>
      <w:r>
        <w:rPr>
          <w:b/>
          <w:bCs/>
        </w:rPr>
        <w:softHyphen/>
        <w:t>vidualistického liberalismu.</w:t>
      </w:r>
    </w:p>
    <w:p w:rsidR="00500724" w:rsidRDefault="00F30FB8">
      <w:pPr>
        <w:pStyle w:val="Zkladntext1"/>
        <w:shd w:val="clear" w:color="auto" w:fill="auto"/>
        <w:spacing w:line="187" w:lineRule="auto"/>
        <w:ind w:firstLine="320"/>
      </w:pPr>
      <w:r>
        <w:rPr>
          <w:b/>
          <w:bCs/>
        </w:rPr>
        <w:t>Zcela jiný princip je za zákony, o nichž jsme se zmínil</w:t>
      </w:r>
      <w:r>
        <w:rPr>
          <w:b/>
          <w:bCs/>
        </w:rPr>
        <w:t>i. Právo na výkon není v nich již absolutní, je poměrné. Pod</w:t>
      </w:r>
      <w:r>
        <w:rPr>
          <w:b/>
          <w:bCs/>
        </w:rPr>
        <w:softHyphen/>
        <w:t>řizuje se právu zcela jinému: právu na obživu. Toto nové pojetí pracovního práva je velmi významné. Má ostatně předchůdce v omezeních, která se již po delší dobu kladou při zřizování nových živno</w:t>
      </w:r>
      <w:r>
        <w:rPr>
          <w:b/>
          <w:bCs/>
        </w:rPr>
        <w:t>stí. Nestačí, abys byl cukrář nad cukráře, cukrář geniální; musí se vyslovit všich</w:t>
      </w:r>
      <w:r>
        <w:rPr>
          <w:b/>
          <w:bCs/>
        </w:rPr>
        <w:softHyphen/>
        <w:t>ni cukráři tvého budoucího působiště, že je pro tebe dost místa. A tato omezení zase mají dávnou historii, sahající až do středověkých cechů. Novinka naší doby záleží v tom,</w:t>
      </w:r>
      <w:r>
        <w:rPr>
          <w:b/>
          <w:bCs/>
        </w:rPr>
        <w:t xml:space="preserve"> že se omezení rozšiřuje na kancelář a úřad i na t. zv. povo</w:t>
      </w:r>
      <w:r>
        <w:rPr>
          <w:b/>
          <w:bCs/>
        </w:rPr>
        <w:softHyphen/>
        <w:t>láni svobodná, jež tím pozbývají nemalé části své svobod- nosti.</w:t>
      </w:r>
    </w:p>
    <w:p w:rsidR="00500724" w:rsidRDefault="00F30FB8">
      <w:pPr>
        <w:pStyle w:val="Zkladntext1"/>
        <w:shd w:val="clear" w:color="auto" w:fill="auto"/>
        <w:tabs>
          <w:tab w:val="left" w:pos="4771"/>
        </w:tabs>
        <w:spacing w:after="120" w:line="187" w:lineRule="auto"/>
        <w:ind w:firstLine="320"/>
        <w:rPr>
          <w:sz w:val="20"/>
          <w:szCs w:val="20"/>
        </w:rPr>
      </w:pPr>
      <w:r>
        <w:rPr>
          <w:b/>
          <w:bCs/>
        </w:rPr>
        <w:t>Zde nám neběží o to, abychom vyslovili soud, které z obou pojetí práce je vhodnější pro lidskou společnost a její prospěch. Ani ne</w:t>
      </w:r>
      <w:r>
        <w:rPr>
          <w:b/>
          <w:bCs/>
        </w:rPr>
        <w:t>chceme dnes připomínat, že-to druhé pojetí, to nové, bylo by prostě absurdní ve velmi četných povolá</w:t>
      </w:r>
      <w:r>
        <w:rPr>
          <w:b/>
          <w:bCs/>
        </w:rPr>
        <w:softHyphen/>
        <w:t>ních duchovních: universitní profesor, který by nesměl operovat mimo kliniku; koncertní dirigent, který by nesměl působit v Národním divadle; ministerský r</w:t>
      </w:r>
      <w:r>
        <w:rPr>
          <w:b/>
          <w:bCs/>
        </w:rPr>
        <w:t>ada, který by ne</w:t>
      </w:r>
      <w:r>
        <w:rPr>
          <w:b/>
          <w:bCs/>
        </w:rPr>
        <w:softHyphen/>
        <w:t>směl psát básně, romány, symfonie; profesor na akademii výtvarných umění, který by nesměl malovat a prodávat obrazy; redaktor, který by nesměl napsat a nakladateli pro</w:t>
      </w:r>
      <w:r>
        <w:rPr>
          <w:b/>
          <w:bCs/>
        </w:rPr>
        <w:softHyphen/>
        <w:t>dat cestopis; vdaná tragédka, která by musila do pense; nový Palacký ne</w:t>
      </w:r>
      <w:r>
        <w:rPr>
          <w:b/>
          <w:bCs/>
        </w:rPr>
        <w:t>bo Pekař, nebo Gebauer, kteří by po 64. roce věku nesměli přednášet; profesor chemie, který by nesměl být za úplatu poradcem chemické továrny nebo hlavního štábu atd. atd. — takových případů je daleko víc, než se snad tuší. Ne, neběží nám dnes o kritiku. Z</w:t>
      </w:r>
      <w:r>
        <w:rPr>
          <w:b/>
          <w:bCs/>
        </w:rPr>
        <w:t>áleželo nám na tom, abychom zjistili, že se v nástupu této nové představy o lidské práci zračí pronikavý přelom dvou vel</w:t>
      </w:r>
      <w:r>
        <w:rPr>
          <w:b/>
          <w:bCs/>
        </w:rPr>
        <w:softHyphen/>
        <w:t>kých dějinných údobí, přelom, který znamená urychlenou likvidaci individualistického liberalismu. Zákony, o nichž, jsme se zmínili, jso</w:t>
      </w:r>
      <w:r>
        <w:rPr>
          <w:b/>
          <w:bCs/>
        </w:rPr>
        <w:t>u důsažné věru nejen pro následky, jimiž postihnou toho a onoho pracovníka; daleko důsažnější jsou jakožto příznak, jakožto rafije na orloji světa.</w:t>
      </w:r>
      <w:r>
        <w:rPr>
          <w:b/>
          <w:bCs/>
        </w:rPr>
        <w:tab/>
      </w:r>
      <w:r>
        <w:rPr>
          <w:i/>
          <w:iCs/>
          <w:sz w:val="20"/>
          <w:szCs w:val="20"/>
        </w:rPr>
        <w:t>Alf</w:t>
      </w:r>
    </w:p>
    <w:p w:rsidR="00500724" w:rsidRDefault="00F30FB8">
      <w:pPr>
        <w:pStyle w:val="Jin0"/>
        <w:pBdr>
          <w:bottom w:val="single" w:sz="4" w:space="0" w:color="auto"/>
        </w:pBdr>
        <w:shd w:val="clear" w:color="auto" w:fill="auto"/>
        <w:spacing w:after="120"/>
        <w:ind w:firstLine="0"/>
        <w:jc w:val="left"/>
        <w:rPr>
          <w:sz w:val="44"/>
          <w:szCs w:val="44"/>
        </w:rPr>
      </w:pPr>
      <w:r>
        <w:rPr>
          <w:b/>
          <w:bCs/>
          <w:sz w:val="44"/>
          <w:szCs w:val="44"/>
        </w:rPr>
        <w:t>politika</w:t>
      </w:r>
    </w:p>
    <w:p w:rsidR="00500724" w:rsidRDefault="00F30FB8">
      <w:pPr>
        <w:pStyle w:val="Nadpis100"/>
        <w:shd w:val="clear" w:color="auto" w:fill="auto"/>
        <w:spacing w:after="0" w:line="240" w:lineRule="auto"/>
        <w:ind w:left="500"/>
        <w:jc w:val="left"/>
      </w:pPr>
      <w:bookmarkStart w:id="100" w:name="bookmark99"/>
      <w:r>
        <w:rPr>
          <w:lang w:val="en-US" w:eastAsia="en-US" w:bidi="en-US"/>
        </w:rPr>
        <w:t xml:space="preserve">Jules </w:t>
      </w:r>
      <w:r>
        <w:t>Romains se obhajuje</w:t>
      </w:r>
      <w:bookmarkEnd w:id="100"/>
    </w:p>
    <w:p w:rsidR="00500724" w:rsidRDefault="00F30FB8">
      <w:pPr>
        <w:pStyle w:val="Zkladntext1"/>
        <w:shd w:val="clear" w:color="auto" w:fill="auto"/>
        <w:spacing w:line="178" w:lineRule="auto"/>
        <w:ind w:left="560"/>
        <w:rPr>
          <w:sz w:val="20"/>
          <w:szCs w:val="20"/>
        </w:rPr>
      </w:pPr>
      <w:r>
        <w:rPr>
          <w:sz w:val="20"/>
          <w:szCs w:val="20"/>
        </w:rPr>
        <w:t xml:space="preserve">Po Mnichově pocítila česká veřejnost zklamání jak z francouzské politiky, tak z některých francouzských spisovatelů. Zejména projevy, jež uveřejnili A. Maurois a J. Romains, se nás dotkly. Na kritiky s naší strany odpověděl </w:t>
      </w:r>
      <w:r>
        <w:rPr>
          <w:sz w:val="20"/>
          <w:szCs w:val="20"/>
          <w:lang w:val="en-US" w:eastAsia="en-US" w:bidi="en-US"/>
        </w:rPr>
        <w:t xml:space="preserve">Jules </w:t>
      </w:r>
      <w:r>
        <w:rPr>
          <w:sz w:val="20"/>
          <w:szCs w:val="20"/>
        </w:rPr>
        <w:t xml:space="preserve">Romains článkem </w:t>
      </w:r>
      <w:r>
        <w:rPr>
          <w:b/>
          <w:bCs/>
          <w:sz w:val="20"/>
          <w:szCs w:val="20"/>
        </w:rPr>
        <w:t xml:space="preserve">v </w:t>
      </w:r>
      <w:r>
        <w:rPr>
          <w:sz w:val="20"/>
          <w:szCs w:val="20"/>
        </w:rPr>
        <w:t>»La Dépe</w:t>
      </w:r>
      <w:r>
        <w:rPr>
          <w:sz w:val="20"/>
          <w:szCs w:val="20"/>
        </w:rPr>
        <w:t>che«, který zde překládáme s pocity loyality, které si stále ještě nemůžeme odvyknout. Patrně má Ro</w:t>
      </w:r>
      <w:r>
        <w:rPr>
          <w:sz w:val="20"/>
          <w:szCs w:val="20"/>
        </w:rPr>
        <w:softHyphen/>
        <w:t>mains pravdu, vytýká-li, že naše politika jen váhavě řešila německou otázku. Tento časopis loni na jaře vším způsobem vystupoval pro její rychlé řešení, a v</w:t>
      </w:r>
      <w:r>
        <w:rPr>
          <w:sz w:val="20"/>
          <w:szCs w:val="20"/>
        </w:rPr>
        <w:t xml:space="preserve"> tom se s p. Romainsem tedy můžeme shodnout. Ale p. Romains ani slovem nezmiňuje se o zajisté důležitém problému, zda by sebe dokonalejší řešení naší vnitřní německé otázky bylo stačilo a zda to byla hlavní otázka nebo něco jiného, na př. francouz</w:t>
      </w:r>
      <w:r>
        <w:rPr>
          <w:sz w:val="20"/>
          <w:szCs w:val="20"/>
        </w:rPr>
        <w:softHyphen/>
        <w:t>ský spoj</w:t>
      </w:r>
      <w:r>
        <w:rPr>
          <w:sz w:val="20"/>
          <w:szCs w:val="20"/>
        </w:rPr>
        <w:t>enecký systém proti Německu či touha Ně</w:t>
      </w:r>
      <w:r>
        <w:rPr>
          <w:sz w:val="20"/>
          <w:szCs w:val="20"/>
        </w:rPr>
        <w:softHyphen/>
        <w:t xml:space="preserve">mecka proniknout do střední a východní Evropy. Zejména však vyhýbá se p. Romains zmíniti se o tom, že Francie měla s námi spojeneckou smlouvu a </w:t>
      </w:r>
      <w:r>
        <w:rPr>
          <w:b/>
          <w:bCs/>
          <w:sz w:val="20"/>
          <w:szCs w:val="20"/>
        </w:rPr>
        <w:t xml:space="preserve">že </w:t>
      </w:r>
      <w:r>
        <w:rPr>
          <w:sz w:val="20"/>
          <w:szCs w:val="20"/>
        </w:rPr>
        <w:t>ji nedodržela. To je zajisté značná mezera v upřím</w:t>
      </w:r>
      <w:r>
        <w:rPr>
          <w:sz w:val="20"/>
          <w:szCs w:val="20"/>
        </w:rPr>
        <w:softHyphen/>
        <w:t>nosti tohoto spiso</w:t>
      </w:r>
      <w:r>
        <w:rPr>
          <w:sz w:val="20"/>
          <w:szCs w:val="20"/>
        </w:rPr>
        <w:t>vatele. Nedodržení smlouvy zůstá</w:t>
      </w:r>
      <w:r>
        <w:rPr>
          <w:sz w:val="20"/>
          <w:szCs w:val="20"/>
        </w:rPr>
        <w:softHyphen/>
        <w:t>vá pro nás okolností hlavni. Líčení nervových a ji</w:t>
      </w:r>
      <w:r>
        <w:rPr>
          <w:sz w:val="20"/>
          <w:szCs w:val="20"/>
        </w:rPr>
        <w:softHyphen/>
        <w:t>ných útrap, které Francie měla při částečné mo</w:t>
      </w:r>
      <w:r>
        <w:rPr>
          <w:sz w:val="20"/>
          <w:szCs w:val="20"/>
        </w:rPr>
        <w:softHyphen/>
        <w:t>bilisaci, není schopno nás hluboce dojmout, protože to vše jsme prodělali v míře aspoň desetkrát větší — a nejen pro naši věc</w:t>
      </w:r>
      <w:r>
        <w:rPr>
          <w:sz w:val="20"/>
          <w:szCs w:val="20"/>
        </w:rPr>
        <w:t>, nýbrž, jak jsme tehdy věřili, pro věc společnou, p. Romainsi! Jelikož Francie, jak Romains praví, sama by potřebovala projevů sou</w:t>
      </w:r>
      <w:r>
        <w:rPr>
          <w:sz w:val="20"/>
          <w:szCs w:val="20"/>
        </w:rPr>
        <w:softHyphen/>
        <w:t>strasti, lze odpověděti, že sama si také tu potřebu vyvolala; že se rozhodovala, kdežto o nás bylo roz</w:t>
      </w:r>
      <w:r>
        <w:rPr>
          <w:sz w:val="20"/>
          <w:szCs w:val="20"/>
        </w:rPr>
        <w:softHyphen/>
        <w:t xml:space="preserve">hodnuto. Ostatně náš </w:t>
      </w:r>
      <w:r>
        <w:rPr>
          <w:sz w:val="20"/>
          <w:szCs w:val="20"/>
        </w:rPr>
        <w:t>český tisk na většinu věcí, které zde p. Romains napsal, odpověděl ještě dříve, než je napsal. A věru bylo by lehko na ně ještě jed</w:t>
      </w:r>
      <w:r>
        <w:rPr>
          <w:sz w:val="20"/>
          <w:szCs w:val="20"/>
        </w:rPr>
        <w:softHyphen/>
        <w:t>nou odpovídat. Fakta jsou zřejmá. Ale nechť má p. Romains tedy slovo; nezdefraudujeme nic z toho, co, jak se mu zdá, může ří</w:t>
      </w:r>
      <w:r>
        <w:rPr>
          <w:sz w:val="20"/>
          <w:szCs w:val="20"/>
        </w:rPr>
        <w:t>ci na obhajobu svou a své země.</w:t>
      </w:r>
    </w:p>
    <w:p w:rsidR="00500724" w:rsidRDefault="00F30FB8">
      <w:pPr>
        <w:pStyle w:val="Zkladntext1"/>
        <w:shd w:val="clear" w:color="auto" w:fill="auto"/>
        <w:spacing w:after="120" w:line="218" w:lineRule="auto"/>
        <w:ind w:firstLine="240"/>
        <w:sectPr w:rsidR="00500724">
          <w:footnotePr>
            <w:numFmt w:val="chicago"/>
            <w:numRestart w:val="eachPage"/>
          </w:footnotePr>
          <w:type w:val="continuous"/>
          <w:pgSz w:w="11909" w:h="16834"/>
          <w:pgMar w:top="1337" w:right="860" w:bottom="882" w:left="580" w:header="0" w:footer="3" w:gutter="0"/>
          <w:cols w:num="2" w:space="125"/>
          <w:noEndnote/>
          <w:docGrid w:linePitch="360"/>
        </w:sectPr>
      </w:pPr>
      <w:r>
        <w:t>Cechové se domnívají, že jsme se vesele smířili s ne</w:t>
      </w:r>
      <w:r>
        <w:softHyphen/>
        <w:t>štěstím, které je zaplavilo. Alespoň lze tak soudit ze zpráv, které odtamtud dostáváme.</w:t>
      </w:r>
    </w:p>
    <w:p w:rsidR="00500724" w:rsidRDefault="00F30FB8">
      <w:pPr>
        <w:pStyle w:val="Jin0"/>
        <w:shd w:val="clear" w:color="auto" w:fill="auto"/>
        <w:ind w:firstLine="0"/>
        <w:jc w:val="center"/>
        <w:rPr>
          <w:sz w:val="50"/>
          <w:szCs w:val="50"/>
        </w:rPr>
      </w:pPr>
      <w:r>
        <w:rPr>
          <w:sz w:val="50"/>
          <w:szCs w:val="50"/>
        </w:rPr>
        <w:t>Přítomnosti</w:t>
      </w:r>
    </w:p>
    <w:p w:rsidR="00500724" w:rsidRDefault="00F30FB8">
      <w:pPr>
        <w:pStyle w:val="Zkladntext1"/>
        <w:shd w:val="clear" w:color="auto" w:fill="auto"/>
        <w:tabs>
          <w:tab w:val="left" w:pos="6471"/>
          <w:tab w:val="left" w:pos="9985"/>
        </w:tabs>
        <w:spacing w:line="180" w:lineRule="auto"/>
        <w:ind w:left="4580" w:firstLine="0"/>
        <w:rPr>
          <w:sz w:val="14"/>
          <w:szCs w:val="14"/>
        </w:rPr>
        <w:sectPr w:rsidR="00500724">
          <w:footnotePr>
            <w:numFmt w:val="chicago"/>
            <w:numRestart w:val="eachPage"/>
          </w:footnotePr>
          <w:pgSz w:w="11909" w:h="16834"/>
          <w:pgMar w:top="848" w:right="598" w:bottom="946" w:left="833" w:header="0" w:footer="3" w:gutter="0"/>
          <w:cols w:space="720"/>
          <w:noEndnote/>
          <w:docGrid w:linePitch="360"/>
        </w:sectPr>
      </w:pPr>
      <w:r>
        <w:rPr>
          <w:vertAlign w:val="superscript"/>
        </w:rPr>
        <w:t>11</w:t>
      </w:r>
      <w:r>
        <w:t xml:space="preserve"> ■■ ■■" " </w:t>
      </w:r>
      <w:r>
        <w:rPr>
          <w:lang w:val="en-US" w:eastAsia="en-US" w:bidi="en-US"/>
        </w:rPr>
        <w:t xml:space="preserve">I </w:t>
      </w:r>
      <w:r>
        <w:t>■■■■•"</w:t>
      </w:r>
      <w:r>
        <w:tab/>
      </w:r>
      <w:r>
        <w:rPr>
          <w:vertAlign w:val="superscript"/>
        </w:rPr>
        <w:t>1 1</w:t>
      </w:r>
      <w:r>
        <w:tab/>
      </w:r>
      <w:r>
        <w:rPr>
          <w:b/>
          <w:bCs/>
          <w:sz w:val="14"/>
          <w:szCs w:val="14"/>
        </w:rPr>
        <w:t>—t</w:t>
      </w:r>
    </w:p>
    <w:p w:rsidR="00500724" w:rsidRDefault="00500724">
      <w:pPr>
        <w:spacing w:line="51" w:lineRule="exact"/>
        <w:rPr>
          <w:sz w:val="4"/>
          <w:szCs w:val="4"/>
        </w:rPr>
      </w:pPr>
    </w:p>
    <w:p w:rsidR="00500724" w:rsidRDefault="00500724">
      <w:pPr>
        <w:spacing w:line="14" w:lineRule="exact"/>
        <w:sectPr w:rsidR="00500724">
          <w:footnotePr>
            <w:numFmt w:val="chicago"/>
            <w:numRestart w:val="eachPage"/>
          </w:footnotePr>
          <w:type w:val="continuous"/>
          <w:pgSz w:w="11909" w:h="16834"/>
          <w:pgMar w:top="1165" w:right="0" w:bottom="828" w:left="0" w:header="0" w:footer="3" w:gutter="0"/>
          <w:cols w:space="720"/>
          <w:noEndnote/>
          <w:docGrid w:linePitch="360"/>
        </w:sectPr>
      </w:pPr>
    </w:p>
    <w:p w:rsidR="00500724" w:rsidRDefault="00F30FB8">
      <w:pPr>
        <w:pStyle w:val="Zkladntext1"/>
        <w:shd w:val="clear" w:color="auto" w:fill="auto"/>
      </w:pPr>
      <w:r>
        <w:t>Mýlí se však. Nikdo nepocítil bolestněji než my, Francouzi, situaci Česko-Slovenska. Vyjádřili-li jsme se o tom občas s větší reservou než jiní, bylo to ze studu. Hlučný soucit se nám zdál velmi pohodlným způso</w:t>
      </w:r>
      <w:r>
        <w:softHyphen/>
        <w:t>b</w:t>
      </w:r>
      <w:r>
        <w:t>em, jak se zúčastnit neštěstí spřáteleného národa a jak vyrovnat s nejmenšími náklady dluh, který jsme s ním upsali.</w:t>
      </w:r>
    </w:p>
    <w:p w:rsidR="00500724" w:rsidRDefault="00F30FB8">
      <w:pPr>
        <w:pStyle w:val="Zkladntext1"/>
        <w:shd w:val="clear" w:color="auto" w:fill="auto"/>
        <w:spacing w:line="233" w:lineRule="auto"/>
      </w:pPr>
      <w:r>
        <w:t>Měli jsme za to, že jsme také my byli zraněni. Byli jsme postiženi jakoby rodinným smutkem. A pokud šlo o projevy soustrasti, očekávali jsm</w:t>
      </w:r>
      <w:r>
        <w:t>e spíše, že je dostane</w:t>
      </w:r>
      <w:r>
        <w:softHyphen/>
        <w:t>me, ale nezbývalo nám duchapřítomnosti, abychom je sami udíleli.</w:t>
      </w:r>
    </w:p>
    <w:p w:rsidR="00500724" w:rsidRDefault="00F30FB8">
      <w:pPr>
        <w:pStyle w:val="Zkladntext1"/>
        <w:shd w:val="clear" w:color="auto" w:fill="auto"/>
        <w:spacing w:line="228" w:lineRule="auto"/>
      </w:pPr>
      <w:r>
        <w:t>Tomu právě neporozuměli naši čeští přátelé. Nepro</w:t>
      </w:r>
      <w:r>
        <w:softHyphen/>
        <w:t>jevili se spravedlivými vůči Francii v poslední době. Nemluvili o ničem jiném než o našem couvnutí. Nezdá se mi, že by</w:t>
      </w:r>
      <w:r>
        <w:t xml:space="preserve"> změřili úsilí, které jsme vynaložili ke konci září, a risiko, které jsme v tomto okamžiku podstoupili v jejich prospěch. Události se pak daly směrem, který Češi považovali za zklamání pro sebe. Avšak je tu něco, co se nepromlčí: mezi sobotou ráno dne 24. </w:t>
      </w:r>
      <w:r>
        <w:t>září a od</w:t>
      </w:r>
      <w:r>
        <w:softHyphen/>
        <w:t>polednem dne 24. září bylo přesvědčeno 99 procent Francouzů, že půjdou do války, a to nejpozději 1. října 1958, aby bránili celistvost Československa. A připra</w:t>
      </w:r>
      <w:r>
        <w:softHyphen/>
        <w:t>vovali se pro tento případ z jednoho konce země na druhý s rozhodností tím většího obd</w:t>
      </w:r>
      <w:r>
        <w:t>ivu hodnou, čím více obětí pro sebe a čím větší zkázu pro civilisaci očekávali z této války.</w:t>
      </w:r>
    </w:p>
    <w:p w:rsidR="00500724" w:rsidRDefault="00F30FB8">
      <w:pPr>
        <w:pStyle w:val="Zkladntext1"/>
        <w:shd w:val="clear" w:color="auto" w:fill="auto"/>
        <w:spacing w:line="209" w:lineRule="auto"/>
      </w:pPr>
      <w:r>
        <w:t xml:space="preserve">Dne 24. září cestoval jsem po Bretagni. Viděl jsem, jak odjíždějí na silnici malé skupiny venkovanů, kteří dostali před necelou hodinou rozkaz částečné mobilisace </w:t>
      </w:r>
      <w:r>
        <w:t xml:space="preserve">a kteří sotva měli čas obejmouti své nejbližší a připra- viti si balíček. Večer jsem byl v </w:t>
      </w:r>
      <w:r>
        <w:rPr>
          <w:lang w:val="en-US" w:eastAsia="en-US" w:bidi="en-US"/>
        </w:rPr>
        <w:t xml:space="preserve">Rennes. </w:t>
      </w:r>
      <w:r>
        <w:t>Početný dav v ulicích a kavárnách čekal na zprávy a mluvil s dojem</w:t>
      </w:r>
      <w:r>
        <w:softHyphen/>
        <w:t>nou moudrostí a s prostým, ale obdivuhodně rozvážným pohledem o válce, kterou považoval ta</w:t>
      </w:r>
      <w:r>
        <w:t>křka za nevyhnu</w:t>
      </w:r>
      <w:r>
        <w:softHyphen/>
        <w:t>telnou. Mluvil jsem s vrchním ředitelem jednoho vel</w:t>
      </w:r>
      <w:r>
        <w:softHyphen/>
        <w:t>kého deníku. Při rozmluvě s ním měl jsem příležitost vyslovit pochvalný názor o morálce československého lidu a o stupni vojenské schopnosti, názor, který jsem si ověřil nedávnou cestou do</w:t>
      </w:r>
      <w:r>
        <w:t xml:space="preserve"> Československa. Ředitel ihned zvolal: »Dovolte mi, abych to, co mi říkáte, uve</w:t>
      </w:r>
      <w:r>
        <w:softHyphen/>
        <w:t>řejnil jako interview. Duševní stav našich lidí je obdivu</w:t>
      </w:r>
      <w:r>
        <w:softHyphen/>
        <w:t xml:space="preserve">hodný, jak jste mohl sám posoudit. Avšak pro mnoho lidí u nás ve Francii Československo znamená ještě dnes něco velmi </w:t>
      </w:r>
      <w:r>
        <w:t>neurčitého a přirozeně pochybují o podpoře, kterou by nám mohlo poskytnouti. To je posílí, budou-li vědět, že vstupujíce do řeže jdou na pomoc seriosnímu spojenci.«</w:t>
      </w:r>
    </w:p>
    <w:p w:rsidR="00500724" w:rsidRDefault="00F30FB8">
      <w:pPr>
        <w:pStyle w:val="Zkladntext1"/>
        <w:shd w:val="clear" w:color="auto" w:fill="auto"/>
        <w:spacing w:line="214" w:lineRule="auto"/>
      </w:pPr>
      <w:r>
        <w:t>Na druhý den jsem potkal na pařížské cestě proudy áut s prvními »uprchlíky« ze severu a výc</w:t>
      </w:r>
      <w:r>
        <w:t xml:space="preserve">hodu. Jak se svíralo srdce, při pouhém pohledu na přeplněné vozy s lidmi, přetíženými zavazadly! Jaký to počátek! </w:t>
      </w:r>
      <w:r>
        <w:rPr>
          <w:b/>
          <w:bCs/>
          <w:sz w:val="14"/>
          <w:szCs w:val="14"/>
        </w:rPr>
        <w:t xml:space="preserve">A </w:t>
      </w:r>
      <w:r>
        <w:t>tak tomu muselo být na většině silnic ve Francii, nebof tentokráte »uprchlíci&lt; odjížděli ze všech pohra</w:t>
      </w:r>
      <w:r>
        <w:softHyphen/>
        <w:t>ničních krajin, výjma od oceánu. Ces</w:t>
      </w:r>
      <w:r>
        <w:t>tující na těchto vozech byli sice starostliví, plni chvatu ba i trochu zachmuřeni, když se zastavili před hospodou nebo garáží, avšak nebylo na nich znát vyděšení.</w:t>
      </w:r>
    </w:p>
    <w:p w:rsidR="00500724" w:rsidRDefault="00F30FB8">
      <w:pPr>
        <w:pStyle w:val="Zkladntext1"/>
        <w:shd w:val="clear" w:color="auto" w:fill="auto"/>
        <w:spacing w:line="209" w:lineRule="auto"/>
      </w:pPr>
      <w:r>
        <w:t>Mám za to, že se mohu oprávněně domnívati, že Češi téměř nic nevěděli o těchto věcech v naši</w:t>
      </w:r>
      <w:r>
        <w:t>ch zemích, které by byly s to je dojmout a které by musely rozně</w:t>
      </w:r>
      <w:r>
        <w:softHyphen/>
        <w:t>covat úctu v jejich očích. Dověděli se jen o projevech, kterými se po několika dnech podél našich silnic po</w:t>
      </w:r>
      <w:r>
        <w:softHyphen/>
        <w:t>zdravoval zachráněný mír. Nasytili se hořkostí z těchto projevů, nemohli nebo nedov</w:t>
      </w:r>
      <w:r>
        <w:t>edli pochopit, že Francie si zasloužila tím víc omluvy pro svůj povzdech ulehčení, čím odvážněji se představila proti blížící se válce.</w:t>
      </w:r>
    </w:p>
    <w:p w:rsidR="00500724" w:rsidRDefault="00F30FB8">
      <w:pPr>
        <w:pStyle w:val="Zkladntext1"/>
        <w:shd w:val="clear" w:color="auto" w:fill="auto"/>
        <w:spacing w:line="209" w:lineRule="auto"/>
      </w:pPr>
      <w:r>
        <w:t xml:space="preserve">Proto se divili o něco později, když už celá záležitost byla urovnána, a když už naše návrhy nemohly míti žádný vliv na </w:t>
      </w:r>
      <w:r>
        <w:t>její výsledek, že jsme pocítili potřebu podívat se jasnýma očima na vše, co se přihodilo, a posoudili svobodně, jak je nám zvykem, spáchané omyly jedněch jako druhých.</w:t>
      </w:r>
    </w:p>
    <w:p w:rsidR="00500724" w:rsidRDefault="00F30FB8">
      <w:pPr>
        <w:pStyle w:val="Zkladntext1"/>
        <w:shd w:val="clear" w:color="auto" w:fill="auto"/>
        <w:spacing w:line="211" w:lineRule="auto"/>
        <w:ind w:firstLine="260"/>
      </w:pPr>
      <w:r>
        <w:t>Zvláště mnoho výtek se mi dostalo z Česko-Slovenska pro moji řeč v Toulouse dne 30. říjn</w:t>
      </w:r>
      <w:r>
        <w:t>a. Zlobili se na mne, protože jsem řekl, že Československo, takové, jak je vytvořily mírové smlouvy, skrývalo v sobě zárodky ne</w:t>
      </w:r>
      <w:r>
        <w:softHyphen/>
        <w:t>bezpečného konfliktu a že nebylo příliš moudré uložiti jediné Čechům péči, aby ty zárodky odstranili. Roz</w:t>
      </w:r>
      <w:r>
        <w:softHyphen/>
        <w:t>hořčení proti mým proj</w:t>
      </w:r>
      <w:r>
        <w:t>evům vzalo na se různou tvář</w:t>
      </w:r>
      <w:r>
        <w:softHyphen/>
        <w:t>nost: novinových článků, manifestů, soukromých do</w:t>
      </w:r>
      <w:r>
        <w:softHyphen/>
        <w:t>pisů ba i básní. Ježto jsem během roku 1936 a právě během nejtěžší doby poskytl četné známky otevřeného a účinného přátelství pro Československo, spatřoval se v mém stanovisku z</w:t>
      </w:r>
      <w:r>
        <w:t xml:space="preserve"> 30. října náhlý obrat, téměř urážka neštěstí, téměř zrada. Jak je těžké sloužit současně jak pravdě tak i přátelům!</w:t>
      </w:r>
    </w:p>
    <w:p w:rsidR="00500724" w:rsidRDefault="00F30FB8">
      <w:pPr>
        <w:pStyle w:val="Zkladntext1"/>
        <w:shd w:val="clear" w:color="auto" w:fill="auto"/>
        <w:spacing w:line="211" w:lineRule="auto"/>
        <w:ind w:firstLine="260"/>
      </w:pPr>
      <w:r>
        <w:t>Moji čeští přátelé netušili, že jsem již ode dávna — a nebyl jsem sám — měl značné výhrady k moudrosti a obratnosti jejich politiky, ale že</w:t>
      </w:r>
      <w:r>
        <w:t xml:space="preserve"> jsem se — samo</w:t>
      </w:r>
      <w:r>
        <w:softHyphen/>
        <w:t xml:space="preserve">zřejmě, pokud nad nimi visela nejhroznější z hrozeb — pečlivě zdržel jakéhokoliv veřejného prohlášení, které by mohlo oslabit jejich posici. V zemích, jimiž jsem projel, snažil jsem se naopak získat pro Čechy sympatie, mnohdy velmi váhavé, </w:t>
      </w:r>
      <w:r>
        <w:t>nebo rozptýlit antipa</w:t>
      </w:r>
      <w:r>
        <w:softHyphen/>
        <w:t>tie, často velmi živé, které si byli získali. Ukazoval jsem, že není tecf vhodná chvíle zahajovat při o tomto mla</w:t>
      </w:r>
      <w:r>
        <w:softHyphen/>
        <w:t>dém státě, jehož současná věc se ztotožňovala se zásadou nezávislosti národů a s demokratickými svobodami. Z tohoto důvo</w:t>
      </w:r>
      <w:r>
        <w:t>du jsem zasvětil obraně této these dobrých třicet přednášek, proslovů, interviewů během rozhodu</w:t>
      </w:r>
      <w:r>
        <w:softHyphen/>
        <w:t xml:space="preserve">jících jarních měsíců v balkánských zemích, Jugoslávii, Maďarsku, Polsku a pobaltských státech. Měl jsem se na pozoru, abych neprojevil kritiku, kterou jsem si </w:t>
      </w:r>
      <w:r>
        <w:t>pro sebe formuloval proti pražské politice, protože jsem nechtěl dodávat argumenty německé propagandě.</w:t>
      </w:r>
    </w:p>
    <w:p w:rsidR="00500724" w:rsidRDefault="00F30FB8">
      <w:pPr>
        <w:pStyle w:val="Zkladntext1"/>
        <w:shd w:val="clear" w:color="auto" w:fill="auto"/>
        <w:spacing w:line="211" w:lineRule="auto"/>
        <w:ind w:firstLine="260"/>
      </w:pPr>
      <w:r>
        <w:t>Naproti tomu v rozhovorech, které jsem měl v měsíci červnu v samé Praze s presidentem Benešem a s mini</w:t>
      </w:r>
      <w:r>
        <w:softHyphen/>
        <w:t>sterským předsedou Hodžou, důrazně jsem připomínal</w:t>
      </w:r>
      <w:r>
        <w:t xml:space="preserve"> nebezpečí, které hrozí Československu a evropskému míru z průtahů pražské vlády v řešení sudetské otázky. Vzpomínám si na poslední slova, která jsem řekl presi</w:t>
      </w:r>
      <w:r>
        <w:softHyphen/>
        <w:t>dentu Benešovi, když mě vyprovázel po více než hodi</w:t>
      </w:r>
      <w:r>
        <w:softHyphen/>
        <w:t xml:space="preserve">nové rozmluvě, tiskna mu ruce s opravdovým </w:t>
      </w:r>
      <w:r>
        <w:t>pohnutím: »Je třeba, abyste učinili něco rozhodného, a to do čtyř dnů!« President Beneš odpověděl: »Čtyři dny je krátká doba, ale do 15. července se něco udělá!«</w:t>
      </w:r>
    </w:p>
    <w:p w:rsidR="00500724" w:rsidRDefault="00F30FB8">
      <w:pPr>
        <w:pStyle w:val="Zkladntext1"/>
        <w:shd w:val="clear" w:color="auto" w:fill="auto"/>
        <w:spacing w:line="211" w:lineRule="auto"/>
        <w:ind w:firstLine="260"/>
      </w:pPr>
      <w:r>
        <w:t>Je to naše chyba, jestliže dva měsíce později, v před</w:t>
      </w:r>
      <w:r>
        <w:softHyphen/>
        <w:t>večer norimberského sjezdu, nebylo vykon</w:t>
      </w:r>
      <w:r>
        <w:t>áno nic, co by se dalo nazvat rozhodujícím? Stejně je to chyba naší vlády, že pražská vláda neustále jednala — nebo nejednala — jako by nebyla dostala určité naléhavé připomínky, určitá formální varování se strany fran</w:t>
      </w:r>
      <w:r>
        <w:softHyphen/>
        <w:t>couzské vlády, nebo jako by jim nepři</w:t>
      </w:r>
      <w:r>
        <w:t>kládala patřičný význam, zatím co s radostí přijímala z Paříže telefonic</w:t>
      </w:r>
      <w:r>
        <w:softHyphen/>
        <w:t>ké zprávy, jimiž nedostatečně kvalifikovaní lidé nebo jedinci se slabou hlavou ujišťovali: »Držte pevně! Neustupujte! Vláda Daladier—</w:t>
      </w:r>
      <w:r>
        <w:rPr>
          <w:lang w:val="en-US" w:eastAsia="en-US" w:bidi="en-US"/>
        </w:rPr>
        <w:t xml:space="preserve">Bonnet </w:t>
      </w:r>
      <w:r>
        <w:t>nebude dlouho trvat! nemá za sebou Francii!</w:t>
      </w:r>
      <w:r>
        <w:t>«</w:t>
      </w:r>
    </w:p>
    <w:p w:rsidR="00500724" w:rsidRDefault="00F30FB8">
      <w:pPr>
        <w:pStyle w:val="Zkladntext1"/>
        <w:shd w:val="clear" w:color="auto" w:fill="auto"/>
        <w:spacing w:line="211" w:lineRule="auto"/>
        <w:ind w:firstLine="260"/>
      </w:pPr>
      <w:r>
        <w:t>A když se po přehnané bouři a po nespravitelných škodách Francie, která probila těžké týdny, v nichž utratila několik miliard v mobilisaci a v nichž podstou</w:t>
      </w:r>
      <w:r>
        <w:softHyphen/>
        <w:t>pila to, co mnozí nazývají ^hrozné pokořením, chtěla se opět poznat a opět vzchonit. máme si nadá</w:t>
      </w:r>
      <w:r>
        <w:t>le zakazovat svobodné, nestranné a úplné prozkoumání omylů, které byly spáchány v Praze a jinde, a které nás dovedly do dnešní situace? A chceme-li říci svému lidu krutou pravdu (moje řeč v Toulouse, na příklad, se tomu ne</w:t>
      </w:r>
      <w:r>
        <w:softHyphen/>
        <w:t>vyhnula), nemáme se odvažovat říc</w:t>
      </w:r>
      <w:r>
        <w:t>i o těch chybách také našim přátelům? Zatím co oni sami po Mnichově se nestrachovali pronášet proti Francii nejostřejší výtky, ba pořádat proti francouzským věcem nej- urážlivější projevy?</w:t>
      </w:r>
    </w:p>
    <w:p w:rsidR="00500724" w:rsidRDefault="00F30FB8">
      <w:pPr>
        <w:pStyle w:val="Zkladntext1"/>
        <w:shd w:val="clear" w:color="auto" w:fill="auto"/>
        <w:spacing w:line="211" w:lineRule="auto"/>
        <w:ind w:firstLine="200"/>
      </w:pPr>
      <w:r>
        <w:t>Tyto ostré výtky, tyto urážlivé projevy jsme pro</w:t>
      </w:r>
      <w:r>
        <w:softHyphen/>
        <w:t>minuli Čechům, pro</w:t>
      </w:r>
      <w:r>
        <w:t>tože jsme přihlíželi k rozhořčení, do něhož je uvrhly události. Sluší se, aby projevili úsilí se své strany být k nám spravedliví. Spálením toho, co zbožňovali, nezachrání ani svou duši ani budoucnost. Národy, které dospěly k politické zralosti, se poznají</w:t>
      </w:r>
      <w:r>
        <w:t xml:space="preserve"> podle toho, že milují pravdu, že se dovedou dohodnout, že se dovedou vžít do postavení druhého a že si uchovají i v neštěstí rozhodnost ryzího úsudku. My nebudeme poslední, kteří se budou radovat z tolio, že Česko- Slovensko překoná jak hmotně tak morálně</w:t>
      </w:r>
      <w:r>
        <w:t xml:space="preserve"> svůj osud.</w:t>
      </w:r>
    </w:p>
    <w:p w:rsidR="00500724" w:rsidRDefault="00F30FB8">
      <w:pPr>
        <w:pStyle w:val="Zkladntext1"/>
        <w:shd w:val="clear" w:color="auto" w:fill="auto"/>
        <w:spacing w:after="200" w:line="214" w:lineRule="auto"/>
        <w:ind w:firstLine="200"/>
      </w:pPr>
      <w:r>
        <w:t>P. S. Po napsání tohoto článku se dovídám o smrti slavného spisovatele Karla Čapka. Je to nový krutý smutek, který postihl spřátelený národ. Cítíme jej velmi hluboce.</w:t>
      </w:r>
    </w:p>
    <w:p w:rsidR="00500724" w:rsidRDefault="00F30FB8">
      <w:pPr>
        <w:pStyle w:val="Jin0"/>
        <w:shd w:val="clear" w:color="auto" w:fill="auto"/>
        <w:spacing w:after="160"/>
        <w:ind w:firstLine="0"/>
        <w:jc w:val="left"/>
        <w:rPr>
          <w:sz w:val="44"/>
          <w:szCs w:val="44"/>
        </w:rPr>
      </w:pPr>
      <w:r>
        <w:rPr>
          <w:b/>
          <w:bCs/>
          <w:sz w:val="44"/>
          <w:szCs w:val="44"/>
          <w:u w:val="single"/>
        </w:rPr>
        <w:t>literatura a uměni</w:t>
      </w:r>
    </w:p>
    <w:p w:rsidR="00500724" w:rsidRDefault="00F30FB8">
      <w:pPr>
        <w:pStyle w:val="Zkladntext20"/>
        <w:shd w:val="clear" w:color="auto" w:fill="auto"/>
        <w:spacing w:line="218" w:lineRule="auto"/>
        <w:ind w:firstLine="0"/>
        <w:jc w:val="left"/>
        <w:rPr>
          <w:sz w:val="20"/>
          <w:szCs w:val="20"/>
        </w:rPr>
      </w:pPr>
      <w:r>
        <w:rPr>
          <w:b/>
          <w:bCs/>
          <w:i/>
          <w:iCs/>
          <w:sz w:val="20"/>
          <w:szCs w:val="20"/>
          <w:lang w:val="en-US" w:eastAsia="en-US" w:bidi="en-US"/>
        </w:rPr>
        <w:t xml:space="preserve">Willi </w:t>
      </w:r>
      <w:r>
        <w:rPr>
          <w:b/>
          <w:bCs/>
          <w:i/>
          <w:iCs/>
          <w:sz w:val="20"/>
          <w:szCs w:val="20"/>
        </w:rPr>
        <w:t>Schlamm</w:t>
      </w:r>
    </w:p>
    <w:p w:rsidR="00500724" w:rsidRDefault="00F30FB8">
      <w:pPr>
        <w:pStyle w:val="Nadpis100"/>
        <w:shd w:val="clear" w:color="auto" w:fill="auto"/>
        <w:spacing w:after="0" w:line="230" w:lineRule="auto"/>
        <w:ind w:left="480"/>
        <w:jc w:val="left"/>
      </w:pPr>
      <w:bookmarkStart w:id="101" w:name="bookmark100"/>
      <w:r>
        <w:t>Proč zemřel Karel Čapek ?</w:t>
      </w:r>
      <w:bookmarkEnd w:id="101"/>
    </w:p>
    <w:p w:rsidR="00500724" w:rsidRDefault="00F30FB8">
      <w:pPr>
        <w:pStyle w:val="Zkladntext20"/>
        <w:shd w:val="clear" w:color="auto" w:fill="auto"/>
        <w:spacing w:line="223" w:lineRule="auto"/>
        <w:ind w:left="820" w:firstLine="220"/>
        <w:rPr>
          <w:sz w:val="20"/>
          <w:szCs w:val="20"/>
        </w:rPr>
      </w:pPr>
      <w:r>
        <w:rPr>
          <w:sz w:val="20"/>
          <w:szCs w:val="20"/>
        </w:rPr>
        <w:t xml:space="preserve">Článek vyšel v »Saturday </w:t>
      </w:r>
      <w:r>
        <w:rPr>
          <w:sz w:val="20"/>
          <w:szCs w:val="20"/>
          <w:lang w:val="en-US" w:eastAsia="en-US" w:bidi="en-US"/>
        </w:rPr>
        <w:t>Review of Litera</w:t>
      </w:r>
      <w:r>
        <w:rPr>
          <w:sz w:val="20"/>
          <w:szCs w:val="20"/>
          <w:lang w:val="en-US" w:eastAsia="en-US" w:bidi="en-US"/>
        </w:rPr>
        <w:softHyphen/>
        <w:t xml:space="preserve">ture*, </w:t>
      </w:r>
      <w:r>
        <w:rPr>
          <w:sz w:val="20"/>
          <w:szCs w:val="20"/>
        </w:rPr>
        <w:t>tedy v předním americkém literárním časo</w:t>
      </w:r>
      <w:r>
        <w:rPr>
          <w:sz w:val="20"/>
          <w:szCs w:val="20"/>
        </w:rPr>
        <w:softHyphen/>
        <w:t>pise.</w:t>
      </w:r>
    </w:p>
    <w:p w:rsidR="00500724" w:rsidRDefault="00F30FB8">
      <w:pPr>
        <w:pStyle w:val="Zkladntext20"/>
        <w:shd w:val="clear" w:color="auto" w:fill="auto"/>
        <w:ind w:firstLine="200"/>
      </w:pPr>
      <w:r>
        <w:t>Karel Čapek, praví lékaři, zemřel na chřipku. Tomu nevěřím. Karel Čapek zemřel, protože jeho srdce ne</w:t>
      </w:r>
      <w:r>
        <w:softHyphen/>
        <w:t xml:space="preserve">uneslo temnoty roku 1938. Zemřel nešťastnou láskou ke své </w:t>
      </w:r>
      <w:r>
        <w:t>české vlasti, k myšlenkovému světu svého učitele Masaryka, k ideji humanistické Evropy. Kapi</w:t>
      </w:r>
      <w:r>
        <w:softHyphen/>
        <w:t>tuloval před několika bacily, protože už život tolik nemiloval jako dříve. Ovšem, lékaři nelhali a v Čapko</w:t>
      </w:r>
      <w:r>
        <w:softHyphen/>
        <w:t>vých občanských listinách bude asi právem vyplněna rubri</w:t>
      </w:r>
      <w:r>
        <w:t>ka ^příčina smrti« slovem zápal plic. To je však asi taková pravda, jako že člověk pozůstává z kombinace vodíku, kyslíku, dusíku, uhlíku a několi</w:t>
      </w:r>
      <w:r>
        <w:softHyphen/>
        <w:t>ka jiných chemických prvků. Na duchovnější pod</w:t>
      </w:r>
      <w:r>
        <w:softHyphen/>
        <w:t>statě, která teprve tvoří zázrak lidského života, je chemie zúč</w:t>
      </w:r>
      <w:r>
        <w:t>astněna asi málo. Kdo tomu rozumí, má schopnost stát se básníkem. A Karel Čapek, který byl básník, to věděl velmi dobře. Že zemřel na zápal plic, je pointa, která by mohla být z některé Čapkovy podpovídky. V této podpovídce by však byl Karel Čapek svým smu</w:t>
      </w:r>
      <w:r>
        <w:t>tným a trochu skeptickým humorem dokazoval, že muž, který ulehne do postele, aby zemřel na rýmu, je ve skutečnosti už před tím mrtev.</w:t>
      </w:r>
    </w:p>
    <w:p w:rsidR="00500724" w:rsidRDefault="00F30FB8">
      <w:pPr>
        <w:pStyle w:val="Zkladntext20"/>
        <w:shd w:val="clear" w:color="auto" w:fill="auto"/>
        <w:ind w:firstLine="260"/>
      </w:pPr>
      <w:r>
        <w:t xml:space="preserve">Čapkovo dílo se stalo kusem světové literatury </w:t>
      </w:r>
      <w:r>
        <w:rPr>
          <w:b/>
          <w:bCs/>
        </w:rPr>
        <w:t xml:space="preserve">a </w:t>
      </w:r>
      <w:r>
        <w:t>když zemřel — ve čtyřicetiosmi letech — vypočítal tisk celého kultivované</w:t>
      </w:r>
      <w:r>
        <w:t xml:space="preserve">ho světa s velkou úctou jména jeho slavných dramat a velkých románů. Dovoluji si oponovati. Domnívám se, že největší dílo Karla Čapka jsou jeho drobné povídky. Ale to může vědět patrně jen člověk, který mrtvého znal a který znal </w:t>
      </w:r>
      <w:r>
        <w:rPr>
          <w:b/>
          <w:bCs/>
        </w:rPr>
        <w:t xml:space="preserve">i </w:t>
      </w:r>
      <w:r>
        <w:t>jeho lid a jeho domovinu.</w:t>
      </w:r>
    </w:p>
    <w:p w:rsidR="00500724" w:rsidRDefault="00F30FB8">
      <w:pPr>
        <w:pStyle w:val="Zkladntext20"/>
        <w:shd w:val="clear" w:color="auto" w:fill="auto"/>
        <w:ind w:firstLine="0"/>
        <w:jc w:val="center"/>
      </w:pPr>
      <w:r>
        <w:t>•</w:t>
      </w:r>
    </w:p>
    <w:p w:rsidR="00500724" w:rsidRDefault="00F30FB8">
      <w:pPr>
        <w:pStyle w:val="Zkladntext20"/>
        <w:shd w:val="clear" w:color="auto" w:fill="auto"/>
        <w:spacing w:line="202" w:lineRule="auto"/>
        <w:ind w:firstLine="260"/>
      </w:pPr>
      <w:r>
        <w:t xml:space="preserve">Každý národ má vlastní pojem »hrdiny«. Německý lid na příklad </w:t>
      </w:r>
      <w:r>
        <w:rPr>
          <w:i/>
          <w:iCs/>
        </w:rPr>
        <w:t>a</w:t>
      </w:r>
      <w:r>
        <w:t xml:space="preserve"> jeho literatura jeví sklony zajímati se o člověka teprve tehdy (tedy: viděti v něm hrdinu), dostane-li se do blízkosti nějaké pohromy. Ať je to katastrofa historická nebo soukromá, kterou v</w:t>
      </w:r>
      <w:r>
        <w:t>y</w:t>
      </w:r>
      <w:r>
        <w:softHyphen/>
        <w:t>nalézá básník silou vlastní fantasie — téměř vždycky vytváří německá literatura gigantický konflikt, gigan</w:t>
      </w:r>
      <w:r>
        <w:softHyphen/>
        <w:t>tické střetnutí člověka s podivuhodnou úlohou nebo podivuhodnou myšlenkou.</w:t>
      </w:r>
    </w:p>
    <w:p w:rsidR="00500724" w:rsidRDefault="00F30FB8">
      <w:pPr>
        <w:pStyle w:val="Zkladntext20"/>
        <w:shd w:val="clear" w:color="auto" w:fill="auto"/>
        <w:spacing w:after="240" w:line="202" w:lineRule="auto"/>
        <w:ind w:firstLine="0"/>
        <w:jc w:val="right"/>
      </w:pPr>
      <w:r>
        <w:t>Masaryk, který prožil a studoval německou kulturu mnohem dříve, než kult</w:t>
      </w:r>
      <w:r>
        <w:t>uru vlastního lidu, staví svoji</w:t>
      </w:r>
    </w:p>
    <w:p w:rsidR="00500724" w:rsidRDefault="00F30FB8">
      <w:pPr>
        <w:pStyle w:val="Jin0"/>
        <w:shd w:val="clear" w:color="auto" w:fill="auto"/>
        <w:spacing w:line="230" w:lineRule="auto"/>
        <w:ind w:firstLine="0"/>
        <w:jc w:val="left"/>
      </w:pPr>
      <w:r>
        <w:rPr>
          <w:rFonts w:ascii="Arial" w:eastAsia="Arial" w:hAnsi="Arial" w:cs="Arial"/>
          <w:b/>
          <w:bCs/>
          <w:i/>
          <w:iCs/>
        </w:rPr>
        <w:t>&amp;</w:t>
      </w:r>
    </w:p>
    <w:p w:rsidR="00500724" w:rsidRDefault="00F30FB8">
      <w:pPr>
        <w:pStyle w:val="Zkladntext20"/>
        <w:shd w:val="clear" w:color="auto" w:fill="auto"/>
        <w:ind w:firstLine="0"/>
      </w:pPr>
      <w:r>
        <w:t xml:space="preserve">demokratickou filosofii na příkrém odmítání všeho německého gigantického </w:t>
      </w:r>
      <w:r>
        <w:rPr>
          <w:b/>
          <w:bCs/>
        </w:rPr>
        <w:t xml:space="preserve">a </w:t>
      </w:r>
      <w:r>
        <w:t>titanského. A to nebyl koníček profesora sociologie, nýbrž pravdivá reakce pravého Čecha. V politickém a kulturním životě českém nebylo méně vášniv</w:t>
      </w:r>
      <w:r>
        <w:t xml:space="preserve">ých a srdnatých bojů, než v dějinách kteréhokoli jiného evropského národa. Avšak smysl a obsah a cíl těchto bojů nebyl pro Cechy nikdy v abstraktní soustavě »velkých« idejí </w:t>
      </w:r>
      <w:r>
        <w:rPr>
          <w:b/>
          <w:bCs/>
        </w:rPr>
        <w:t xml:space="preserve">a </w:t>
      </w:r>
      <w:r>
        <w:t>metafysických snů, cíl byl skoro vždycky živý člověk a jeho živé štěstí.</w:t>
      </w:r>
    </w:p>
    <w:p w:rsidR="00500724" w:rsidRDefault="00F30FB8">
      <w:pPr>
        <w:pStyle w:val="Zkladntext20"/>
        <w:shd w:val="clear" w:color="auto" w:fill="auto"/>
        <w:ind w:firstLine="260"/>
      </w:pPr>
      <w:r>
        <w:t>Živý, sk</w:t>
      </w:r>
      <w:r>
        <w:t xml:space="preserve">utečný člověk, je člověk takový, jaký je a nikoli takový, jaký by býti měl. Jednoduchý </w:t>
      </w:r>
      <w:r>
        <w:rPr>
          <w:b/>
          <w:bCs/>
        </w:rPr>
        <w:t xml:space="preserve">a </w:t>
      </w:r>
      <w:r>
        <w:t xml:space="preserve">prostý člověk, který se narodí, několik desítek let žije, miluje, raduje se, má starosti, vychovává děti a na konec umře. Bytost naprosto skutečná, která má k </w:t>
      </w:r>
      <w:r>
        <w:t>»nadčlověku« skoro právě tak daleko jako ke zví</w:t>
      </w:r>
      <w:r>
        <w:softHyphen/>
        <w:t>řeti. Tohoto živého člověka netísní žádné titanské sny, netouží po heroické katastrofě a život je pro něho nejskutečnější věc na světě. Pozůstává z celé dlouhé řady dnů, které přinášejí spoustu lopocení, všel</w:t>
      </w:r>
      <w:r>
        <w:t>ijaké nespravedlivosti a trochu radosti. Skutečný člověk pociťuje také svátou touhu po vyšších hodno</w:t>
      </w:r>
      <w:r>
        <w:softHyphen/>
        <w:t>tách. Ale to jsou hodnoty, které jsou k životu v pro</w:t>
      </w:r>
      <w:r>
        <w:softHyphen/>
        <w:t>stém, pochopitelném a srozumitelném vztahu: svobo</w:t>
      </w:r>
      <w:r>
        <w:softHyphen/>
        <w:t>da a spravedlnost jednotlivci, čistotnost a slušnost</w:t>
      </w:r>
      <w:r>
        <w:t xml:space="preserve"> v poměru lidí mezi sebou.</w:t>
      </w:r>
    </w:p>
    <w:p w:rsidR="00500724" w:rsidRDefault="00F30FB8">
      <w:pPr>
        <w:pStyle w:val="Zkladntext20"/>
        <w:shd w:val="clear" w:color="auto" w:fill="auto"/>
        <w:ind w:firstLine="260"/>
      </w:pPr>
      <w:r>
        <w:t>Tento živý člověk — to je hrdina českého lidu a české literatury. Pravda, takový hrdina nemá mnoho společného s Faustem a Prométheem, žije pod vrchol</w:t>
      </w:r>
      <w:r>
        <w:softHyphen/>
        <w:t xml:space="preserve">kem vzrušených pochyb a geniálních tvůrčích zázraků. Kdo chápe lidský život </w:t>
      </w:r>
      <w:r>
        <w:t>jako titanský souboj s Bohem nebo ďáblem, kdo se ustavičně (a s tragickým pří</w:t>
      </w:r>
      <w:r>
        <w:softHyphen/>
        <w:t>zvukem) pídí po smyslu života, neocení asi Čechy příliš vysoko. Já sám miluji tuto střední teplotu ná</w:t>
      </w:r>
      <w:r>
        <w:softHyphen/>
        <w:t xml:space="preserve">roda, který netouží ani po asketických mrazech ani po metafysických žárech. </w:t>
      </w:r>
      <w:r>
        <w:t>Tento národ souhlasí se životem, přijímá jej, jaký jest. Jeho potřeba po změ</w:t>
      </w:r>
      <w:r>
        <w:softHyphen/>
        <w:t>nách a dobrodružstvích je velmi nepatrná. Pravý český člověk si nedovede představit myšlenku, která by byla větší, než je život sám, která by opravňovala, aby jí byly obětovány ce</w:t>
      </w:r>
      <w:r>
        <w:t>lé generace, která by považo</w:t>
      </w:r>
      <w:r>
        <w:softHyphen/>
        <w:t>vala živého člověka za prostředek k cíli, za stavební hmotu. Na rozhněvaný a v pravdě německý výkřik Friedricha Velikého k váhavým vojákům: »Chlapi, copak chcete žít věčně ?« odpověděl by pravý Čech asi upřímným přiznáním: »Ano</w:t>
      </w:r>
      <w:r>
        <w:t>, prosím — je-li to možné.«</w:t>
      </w:r>
    </w:p>
    <w:p w:rsidR="00500724" w:rsidRDefault="00F30FB8">
      <w:pPr>
        <w:pStyle w:val="Zkladntext20"/>
        <w:shd w:val="clear" w:color="auto" w:fill="auto"/>
        <w:ind w:firstLine="260"/>
      </w:pPr>
      <w:r>
        <w:t>Skutečný člověk je »malý« člověk s drobnými sta</w:t>
      </w:r>
      <w:r>
        <w:softHyphen/>
        <w:t>rostmi, s drobným štěstím, s drobnými chybami a drobnými talenty, s malými dětmi a s malými koníčky. Domnívám se, že každá filosofie, skutečně demokratická, nutně vychází od tohoto</w:t>
      </w:r>
      <w:r>
        <w:t xml:space="preserve"> skutečného člověka a nutně v něm ústí. On a nic než on je cílem každé sociální reformy.</w:t>
      </w:r>
    </w:p>
    <w:p w:rsidR="00500724" w:rsidRDefault="00F30FB8">
      <w:pPr>
        <w:pStyle w:val="Zkladntext20"/>
        <w:shd w:val="clear" w:color="auto" w:fill="auto"/>
        <w:ind w:firstLine="260"/>
      </w:pPr>
      <w:r>
        <w:t xml:space="preserve">Není třeba, abychom bezvýhradně souhlasili se sociologickými názory Masarykovými, chceme-li roz- poznati, že veliká, pedagogická práce, kterou ve svém národě vykonal, </w:t>
      </w:r>
      <w:r>
        <w:t>je naplněna duchem této pravé demo</w:t>
      </w:r>
      <w:r>
        <w:softHyphen/>
        <w:t>kratické filosofie. A Karel Čapek byl její dokonalé literární vtělení. Není to snad příliš odvážné, za- řadím-li Čapka do stejné řady s Walt Whitemanem. Nechci tím samozřejmě říci, že jsou příbuzní literár</w:t>
      </w:r>
      <w:r>
        <w:softHyphen/>
        <w:t>ním slohem, lid</w:t>
      </w:r>
      <w:r>
        <w:t>ským temperamentem. Tvořili v na</w:t>
      </w:r>
      <w:r>
        <w:softHyphen/>
        <w:t>prosto různých dobách, mezi rozdílným lidem a v jiné řeči a Čapkova humorná skepse je vzdálená celé světy od humanitního pathosu Američanova. Ale měli spo- léčný pramen literárního podnětu: milovali obyčejné</w:t>
      </w:r>
      <w:r>
        <w:softHyphen/>
        <w:t xml:space="preserve">ho, skutečného </w:t>
      </w:r>
      <w:r>
        <w:t>člověka, měli něžné vztahy ke každo</w:t>
      </w:r>
      <w:r>
        <w:softHyphen/>
        <w:t>dennímu životu. Společná jim byla i mravní úloha, v níž spatřovali svoji práci: prošiti lidi o větší shovíva</w:t>
      </w:r>
      <w:r>
        <w:softHyphen/>
        <w:t>vost, větší kamarádství a větší uvážlivost pro život vzájemný.</w:t>
      </w:r>
    </w:p>
    <w:p w:rsidR="00500724" w:rsidRDefault="00F30FB8">
      <w:pPr>
        <w:pStyle w:val="Zkladntext20"/>
        <w:shd w:val="clear" w:color="auto" w:fill="auto"/>
        <w:spacing w:after="100" w:line="180" w:lineRule="auto"/>
        <w:ind w:firstLine="0"/>
        <w:jc w:val="center"/>
      </w:pPr>
      <w:r>
        <w:t>•</w:t>
      </w:r>
    </w:p>
    <w:p w:rsidR="00500724" w:rsidRDefault="00F30FB8">
      <w:pPr>
        <w:pStyle w:val="Zkladntext20"/>
        <w:shd w:val="clear" w:color="auto" w:fill="auto"/>
        <w:spacing w:after="40"/>
      </w:pPr>
      <w:r>
        <w:t>Obávám se, že velký svět zná nepravého Karla Č</w:t>
      </w:r>
      <w:r>
        <w:t>apka, poněvadž zná především jeho utopistické romány a dramata: RUR, fantastickou komedii Ze života hmyzu, Věc Makropulos, Bílou nemoc, Válkusmlokya ostatní slavné Čapko</w:t>
      </w:r>
      <w:r>
        <w:softHyphen/>
        <w:t xml:space="preserve">vy práce, které všechny žijí z napínavého a sensační- ho nápadu. Skutečného Čapka zná </w:t>
      </w:r>
      <w:r>
        <w:t xml:space="preserve">svět snad jenom z jeho Hovorů s T. G. Masarykem. V této knize je soustředěn Čapkův všecek talent: přesnost formulace, prostota výrazu, pochopení pro nejjemnější duševní odstíny, nezkažená úcta k pravému citu a pravým hodnotám. To je Čapkova nejlepší kniha </w:t>
      </w:r>
      <w:r>
        <w:t>(z těch, které zná svět), protože je to kniha, kde zůstal naprosto a bez výhrady vážný. Zralost a laskavost této mistrov</w:t>
      </w:r>
      <w:r>
        <w:softHyphen/>
        <w:t>ské knihy (je-li na světě něco jako demokratická lite</w:t>
      </w:r>
      <w:r>
        <w:softHyphen/>
        <w:t xml:space="preserve">ratura, patří tato kniha k jejím mistrovským dílům) naleznete jenom ještě v těch </w:t>
      </w:r>
      <w:r>
        <w:t>pracích Čapkových, kterým se nedostalo světové slávy: v jeho povídkách a podpovídkách, v cestopisech o Anglii, Holandsku a severu, v drobných novinářských črtách, v knize o psu Dášence, v Zahradníkovu roku, v jeho kouzelných Trapných povídkách a Božích muk</w:t>
      </w:r>
      <w:r>
        <w:t>ách a v jeho mistrovském Obyčejném životě. Čapek sám se snad domníval, že to jsou vedlejší produkty jeho talentu. Já se domnívám, že to jsou jeho nejlepší věci. A to, myslím, není náhoda.</w:t>
      </w:r>
    </w:p>
    <w:p w:rsidR="00500724" w:rsidRDefault="00F30FB8">
      <w:pPr>
        <w:pStyle w:val="Zkladntext20"/>
        <w:shd w:val="clear" w:color="auto" w:fill="auto"/>
        <w:spacing w:after="40"/>
      </w:pPr>
      <w:r>
        <w:t>Karel Čapek dosahuje největší dokonalosti, kde se obrací ke svým čes</w:t>
      </w:r>
      <w:r>
        <w:t>kým čtenářům bez velkých ambicí, aby jim vysvětlil velmi vyhraněný názor, skutečnost a poznatek: »Pohleďte — takové a onaké je to. Toto si ve skutečnosti myslí člověk, toto jsou ve skutečnosti jeho motivy, tak a nejinak vypadají detaily jeho života.«</w:t>
      </w:r>
    </w:p>
    <w:p w:rsidR="00500724" w:rsidRDefault="00F30FB8">
      <w:pPr>
        <w:pStyle w:val="Zkladntext20"/>
        <w:shd w:val="clear" w:color="auto" w:fill="auto"/>
        <w:spacing w:after="40"/>
      </w:pPr>
      <w:r>
        <w:t xml:space="preserve">Mezi </w:t>
      </w:r>
      <w:r>
        <w:t>tuctem Čapkových románů není ani jediný, který by se dal vysloviti jedním dechem se Stend- halovým »Rouge et Noir« nebo s Tolstojovou »Voj- nou a mírem«. Ale mezi stovkami krátkých povídek, drobných článků a reportáží, které Karel Čapek na</w:t>
      </w:r>
      <w:r>
        <w:softHyphen/>
        <w:t>psal, zůstává ně</w:t>
      </w:r>
      <w:r>
        <w:t>kolik nádherných kusů znamenité prózy a instinktivního pochopení pro nejjemnější záblesk lidské duše — a právě tyto věci činí Čapka nesmrtelným. Tam, kde psal » jenom* pro české novi</w:t>
      </w:r>
      <w:r>
        <w:softHyphen/>
        <w:t>ny, pro všední den a pro své české čtenáře, tam byl veliký. To není parad</w:t>
      </w:r>
      <w:r>
        <w:t>ox. Tu je jenom znovu po</w:t>
      </w:r>
      <w:r>
        <w:softHyphen/>
        <w:t>tvrzen elementární zákon tvůrčí práce: tam, kde zůstává umělec věren sobě a svým úkolům, sklízí dobrou žeň. Čapkova osobní úloha byla vychovávat český národ k živému pochopení pro základy demo</w:t>
      </w:r>
      <w:r>
        <w:softHyphen/>
        <w:t>kracie: k snášelivosti, solidaritě, tr</w:t>
      </w:r>
      <w:r>
        <w:t>pělivé shovívavosti k drobným lidským chybám, k srdečné sympatii k osobnímu, soukromému životu.</w:t>
      </w:r>
    </w:p>
    <w:p w:rsidR="00500724" w:rsidRDefault="00F30FB8">
      <w:pPr>
        <w:pStyle w:val="Zkladntext20"/>
        <w:shd w:val="clear" w:color="auto" w:fill="auto"/>
        <w:spacing w:after="40"/>
        <w:ind w:firstLine="0"/>
        <w:jc w:val="center"/>
      </w:pPr>
      <w:r>
        <w:t>•</w:t>
      </w:r>
    </w:p>
    <w:p w:rsidR="00500724" w:rsidRDefault="00F30FB8">
      <w:pPr>
        <w:pStyle w:val="Zkladntext20"/>
        <w:shd w:val="clear" w:color="auto" w:fill="auto"/>
        <w:spacing w:line="202" w:lineRule="auto"/>
      </w:pPr>
      <w:r>
        <w:t>Sám Čapek považoval právě tuto práci za vedlejší oblast svého literárního tvoření, ale vykonával ji s houževnatou pílí, která charakterisuje celého člo</w:t>
      </w:r>
      <w:r>
        <w:softHyphen/>
        <w:t xml:space="preserve">věka. </w:t>
      </w:r>
      <w:r>
        <w:t>I když už o něm věděl celý svět a když měl peníze, nepřestával denně pracovati v redakci Lido</w:t>
      </w:r>
      <w:r>
        <w:softHyphen/>
        <w:t>vých Novin. Dopoledne patřilo práci na novém ro</w:t>
      </w:r>
      <w:r>
        <w:softHyphen/>
        <w:t>máně a na rozkošné zahradě, kterou obdělával s vážnou důkladností zahradníka z povolání. Pozdě odpoledne přicházel</w:t>
      </w:r>
      <w:r>
        <w:t xml:space="preserve"> do redakce a tam mohl každý, kdo potřeboval radu nebo pomoc, navštíviti nejslav</w:t>
      </w:r>
      <w:r>
        <w:softHyphen/>
        <w:t xml:space="preserve">nějšího básníka národa — který byl ostatně nejplašší člověk, kterého jsem poznal. Každý pátek se scházeli čeští intelektuálové v Čapkově malém domku a mnoho let chodíval mezi </w:t>
      </w:r>
      <w:r>
        <w:t>ně president Masaryk. V posledních desíti letech nebylo v Praze rozumné demokratické akce, které by se Čapek nebyl zúčastnil.</w:t>
      </w:r>
    </w:p>
    <w:p w:rsidR="00500724" w:rsidRDefault="00F30FB8">
      <w:pPr>
        <w:pStyle w:val="Zkladntext20"/>
        <w:shd w:val="clear" w:color="auto" w:fill="auto"/>
      </w:pPr>
      <w:r>
        <w:t>Literární styl Čapkův je příznačná směsice humoru a skepse. Ve skutečnosti však byl Čapek optimistický syn optimistického selského</w:t>
      </w:r>
      <w:r>
        <w:t xml:space="preserve"> lidu. Tento naivní opti</w:t>
      </w:r>
      <w:r>
        <w:softHyphen/>
        <w:t>mismus Čapkův propracoval Masaryk filosoficky. Ná</w:t>
      </w:r>
      <w:r>
        <w:softHyphen/>
        <w:t>boženský optimismus Masarykův věřil pevně, že dobro je v člověku silnější než zlo. A když se Masaryk stal prvním presidentem československé republiky, dal do státního znaku vyrýti h</w:t>
      </w:r>
      <w:r>
        <w:t xml:space="preserve">eslo: Pravda vítězí. </w:t>
      </w:r>
      <w:r>
        <w:rPr>
          <w:b/>
          <w:bCs/>
        </w:rPr>
        <w:t xml:space="preserve">I </w:t>
      </w:r>
      <w:r>
        <w:t>spisova</w:t>
      </w:r>
      <w:r>
        <w:softHyphen/>
        <w:t>tel Čapek, jehož skepse propůjčuje jeho dílům podivu</w:t>
      </w:r>
      <w:r>
        <w:softHyphen/>
        <w:t>hodnou mistrnost, věřil neochvějně v tuto pravdu. A nemohlo tomu ani být jinak: deštník páně Cham</w:t>
      </w:r>
      <w:r>
        <w:softHyphen/>
        <w:t>berlainův probodl toto věřící srdce ve dví.</w:t>
      </w:r>
    </w:p>
    <w:p w:rsidR="00500724" w:rsidRDefault="00F30FB8">
      <w:pPr>
        <w:pStyle w:val="Zkladntext20"/>
        <w:shd w:val="clear" w:color="auto" w:fill="auto"/>
      </w:pPr>
      <w:r>
        <w:t xml:space="preserve">Když jsem se před pěti měsíci </w:t>
      </w:r>
      <w:r>
        <w:t>v Praze s Čapkem loučil, byl plně zaměstnán akcí, kterou podnikal český generální štáb spolu s českými spisovateli: akce k usmíření sudetských Němců s československou de</w:t>
      </w:r>
      <w:r>
        <w:softHyphen/>
        <w:t>mokracií. Čapek tehdy považoval válku s Německem za možnou a nebál se jí. Bál se jenom</w:t>
      </w:r>
      <w:r>
        <w:t>, že by Německo mohlo pro tuto válku získati záminky, které by mo</w:t>
      </w:r>
      <w:r>
        <w:softHyphen/>
        <w:t xml:space="preserve">rálně mluvily proti Československu — to byla jeho největší starost a také podnět k intensivnější práci. Až do posledního dne zůstal Čapek věren Masarykovu učení: že duch patří do politiky a </w:t>
      </w:r>
      <w:r>
        <w:t>nepřísluší mu zdržo- vati se jí, že myšlenkoví vůdci národa musí se cítit spoluodpovědnými za osud státu a společnosti.</w:t>
      </w:r>
    </w:p>
    <w:p w:rsidR="00500724" w:rsidRDefault="00F30FB8">
      <w:pPr>
        <w:pStyle w:val="Zkladntext20"/>
        <w:shd w:val="clear" w:color="auto" w:fill="auto"/>
        <w:spacing w:after="300"/>
      </w:pPr>
      <w:r>
        <w:t>Po Mnichově se původní Československo zhroutilo. Když se Čapek přesvědčil, že už o tom nemůže pochy</w:t>
      </w:r>
      <w:r>
        <w:softHyphen/>
        <w:t>bovat, přestával mít jeho soukromý ž</w:t>
      </w:r>
      <w:r>
        <w:t>ivot původní smysl. Nemoc stačila, aby zhasla zbytek jeho vůle žít. Kdyby byl mohl zůstat tak dlouho na živu, jako jeho učitel Masaryk, byl by se jistě dožil, kterak záře jeho čistotného lidství prozařuje z temnot dnešních dnů.</w:t>
      </w:r>
    </w:p>
    <w:p w:rsidR="00500724" w:rsidRDefault="00F30FB8">
      <w:pPr>
        <w:pStyle w:val="Jin0"/>
        <w:pBdr>
          <w:bottom w:val="single" w:sz="4" w:space="0" w:color="auto"/>
        </w:pBdr>
        <w:shd w:val="clear" w:color="auto" w:fill="auto"/>
        <w:spacing w:after="120"/>
        <w:ind w:firstLine="0"/>
        <w:jc w:val="left"/>
        <w:rPr>
          <w:sz w:val="44"/>
          <w:szCs w:val="44"/>
        </w:rPr>
      </w:pPr>
      <w:r>
        <w:rPr>
          <w:b/>
          <w:bCs/>
          <w:sz w:val="44"/>
          <w:szCs w:val="44"/>
        </w:rPr>
        <w:t>doba a lidé</w:t>
      </w:r>
    </w:p>
    <w:p w:rsidR="00500724" w:rsidRDefault="00F30FB8">
      <w:pPr>
        <w:pStyle w:val="Zkladntext40"/>
        <w:shd w:val="clear" w:color="auto" w:fill="auto"/>
        <w:spacing w:after="0" w:line="240" w:lineRule="auto"/>
      </w:pPr>
      <w:r>
        <w:rPr>
          <w:b/>
          <w:bCs/>
          <w:i/>
          <w:iCs/>
          <w:lang w:val="en-US" w:eastAsia="en-US" w:bidi="en-US"/>
        </w:rPr>
        <w:t>Stuart Hodgson:</w:t>
      </w:r>
    </w:p>
    <w:p w:rsidR="00500724" w:rsidRDefault="00F30FB8">
      <w:pPr>
        <w:pStyle w:val="Nadpis100"/>
        <w:shd w:val="clear" w:color="auto" w:fill="auto"/>
        <w:spacing w:after="0"/>
      </w:pPr>
      <w:bookmarkStart w:id="102" w:name="bookmark101"/>
      <w:r>
        <w:t>Život a kariéra muže,</w:t>
      </w:r>
      <w:r>
        <w:br/>
        <w:t>který prý zachránil mír</w:t>
      </w:r>
      <w:bookmarkEnd w:id="102"/>
    </w:p>
    <w:p w:rsidR="00500724" w:rsidRDefault="00F30FB8">
      <w:pPr>
        <w:pStyle w:val="Zkladntext20"/>
        <w:shd w:val="clear" w:color="auto" w:fill="auto"/>
        <w:spacing w:line="163" w:lineRule="auto"/>
        <w:ind w:firstLine="0"/>
        <w:jc w:val="center"/>
      </w:pPr>
      <w:r>
        <w:rPr>
          <w:b/>
          <w:bCs/>
          <w:lang w:val="en-US" w:eastAsia="en-US" w:bidi="en-US"/>
        </w:rPr>
        <w:t>(Neville Chamberlain)</w:t>
      </w:r>
    </w:p>
    <w:p w:rsidR="00500724" w:rsidRDefault="00F30FB8">
      <w:pPr>
        <w:pStyle w:val="Zkladntext20"/>
        <w:shd w:val="clear" w:color="auto" w:fill="auto"/>
        <w:spacing w:line="180" w:lineRule="auto"/>
        <w:ind w:firstLine="0"/>
        <w:jc w:val="right"/>
        <w:rPr>
          <w:sz w:val="20"/>
          <w:szCs w:val="20"/>
        </w:rPr>
      </w:pPr>
      <w:r>
        <w:rPr>
          <w:sz w:val="20"/>
          <w:szCs w:val="20"/>
        </w:rPr>
        <w:t xml:space="preserve">Po Hitlerovi nepochybně je nyní </w:t>
      </w:r>
      <w:r>
        <w:rPr>
          <w:sz w:val="20"/>
          <w:szCs w:val="20"/>
          <w:lang w:val="en-US" w:eastAsia="en-US" w:bidi="en-US"/>
        </w:rPr>
        <w:t>Chamberlain</w:t>
      </w:r>
    </w:p>
    <w:p w:rsidR="00500724" w:rsidRDefault="00F30FB8">
      <w:pPr>
        <w:pStyle w:val="Zkladntext20"/>
        <w:shd w:val="clear" w:color="auto" w:fill="auto"/>
        <w:spacing w:line="180" w:lineRule="auto"/>
        <w:ind w:left="800" w:firstLine="20"/>
        <w:rPr>
          <w:sz w:val="20"/>
          <w:szCs w:val="20"/>
        </w:rPr>
      </w:pPr>
      <w:r>
        <w:rPr>
          <w:sz w:val="20"/>
          <w:szCs w:val="20"/>
        </w:rPr>
        <w:t xml:space="preserve">oním mužem, jehož jméno se nejčastěji objevuje na prvních stránkách světového tisku. On zajisté měl loňského roku větší vliv na vývoj událostí, než kdokoliv jiný mimo německého vůdce. Od r. 1938 — a snad i od toho, co čeká svět letošního roku — je </w:t>
      </w:r>
      <w:r>
        <w:rPr>
          <w:sz w:val="20"/>
          <w:szCs w:val="20"/>
          <w:lang w:val="en-US" w:eastAsia="en-US" w:bidi="en-US"/>
        </w:rPr>
        <w:t>Chamberl</w:t>
      </w:r>
      <w:r>
        <w:rPr>
          <w:sz w:val="20"/>
          <w:szCs w:val="20"/>
          <w:lang w:val="en-US" w:eastAsia="en-US" w:bidi="en-US"/>
        </w:rPr>
        <w:t xml:space="preserve">ain </w:t>
      </w:r>
      <w:r>
        <w:rPr>
          <w:sz w:val="20"/>
          <w:szCs w:val="20"/>
        </w:rPr>
        <w:t>neodmyslitelný. Věrni svému způ</w:t>
      </w:r>
      <w:r>
        <w:rPr>
          <w:sz w:val="20"/>
          <w:szCs w:val="20"/>
        </w:rPr>
        <w:softHyphen/>
        <w:t>sobu, hledat za politikem jeho lidskou podobu, vy</w:t>
      </w:r>
      <w:r>
        <w:rPr>
          <w:sz w:val="20"/>
          <w:szCs w:val="20"/>
        </w:rPr>
        <w:softHyphen/>
        <w:t>bíráme z Hodgsonovy knihy »Muž, který zachránil mír« tento lidský portrét Chamberlainův. Je třeba poznati jeho povahu, má-li jeho povaha význam historický.</w:t>
      </w:r>
    </w:p>
    <w:p w:rsidR="00500724" w:rsidRDefault="00F30FB8">
      <w:pPr>
        <w:pStyle w:val="Zkladntext1"/>
        <w:shd w:val="clear" w:color="auto" w:fill="auto"/>
        <w:spacing w:after="40" w:line="211" w:lineRule="auto"/>
        <w:ind w:firstLine="240"/>
      </w:pPr>
      <w:r>
        <w:t>Když slavný an</w:t>
      </w:r>
      <w:r>
        <w:t xml:space="preserve">glický státník Josef </w:t>
      </w:r>
      <w:r>
        <w:rPr>
          <w:lang w:val="en-US" w:eastAsia="en-US" w:bidi="en-US"/>
        </w:rPr>
        <w:t xml:space="preserve">Chamberlain </w:t>
      </w:r>
      <w:r>
        <w:t>ze</w:t>
      </w:r>
      <w:r>
        <w:softHyphen/>
        <w:t>mřel, právě měsíc před vypuknutím světové války, za</w:t>
      </w:r>
      <w:r>
        <w:softHyphen/>
        <w:t xml:space="preserve">nechal dva syny, Josefa Austena (který se psal Ansten) </w:t>
      </w:r>
      <w:r>
        <w:rPr>
          <w:b/>
          <w:bCs/>
          <w:sz w:val="20"/>
          <w:szCs w:val="20"/>
        </w:rPr>
        <w:t xml:space="preserve">a </w:t>
      </w:r>
      <w:r>
        <w:t xml:space="preserve">Arthura Nevilla (který se píše </w:t>
      </w:r>
      <w:r>
        <w:rPr>
          <w:lang w:val="en-US" w:eastAsia="en-US" w:bidi="en-US"/>
        </w:rPr>
        <w:t xml:space="preserve">Neville). </w:t>
      </w:r>
      <w:r>
        <w:t>Starý gentle</w:t>
      </w:r>
      <w:r>
        <w:softHyphen/>
        <w:t xml:space="preserve">man oběma určil životní dráhu. </w:t>
      </w:r>
      <w:r>
        <w:rPr>
          <w:lang w:val="en-US" w:eastAsia="en-US" w:bidi="en-US"/>
        </w:rPr>
        <w:t xml:space="preserve">Austen </w:t>
      </w:r>
      <w:r>
        <w:t>měl být dědi</w:t>
      </w:r>
      <w:r>
        <w:softHyphen/>
        <w:t>cem ot</w:t>
      </w:r>
      <w:r>
        <w:t>covy politické velikosti, měl se naučit francouz</w:t>
      </w:r>
      <w:r>
        <w:softHyphen/>
        <w:t xml:space="preserve">ský, cestovat, být zasvěcen do tajemství diplomacie. </w:t>
      </w:r>
      <w:r>
        <w:rPr>
          <w:lang w:val="en-US" w:eastAsia="en-US" w:bidi="en-US"/>
        </w:rPr>
        <w:t xml:space="preserve">Neville </w:t>
      </w:r>
      <w:r>
        <w:t xml:space="preserve">se měl stát obchodníkem a pokračovat v otcově díle v Birminghamu. Tak se také stalo. </w:t>
      </w:r>
      <w:r>
        <w:rPr>
          <w:lang w:val="en-US" w:eastAsia="en-US" w:bidi="en-US"/>
        </w:rPr>
        <w:t xml:space="preserve">Austen </w:t>
      </w:r>
      <w:r>
        <w:t xml:space="preserve">šel brzy do parlamentu </w:t>
      </w:r>
      <w:r>
        <w:rPr>
          <w:lang w:val="en-US" w:eastAsia="en-US" w:bidi="en-US"/>
        </w:rPr>
        <w:t xml:space="preserve">a Neville </w:t>
      </w:r>
      <w:r>
        <w:t>se stal účetním v Bir</w:t>
      </w:r>
      <w:r>
        <w:t>minghamu.</w:t>
      </w:r>
    </w:p>
    <w:p w:rsidR="00500724" w:rsidRDefault="00F30FB8">
      <w:pPr>
        <w:pStyle w:val="Zkladntext1"/>
        <w:shd w:val="clear" w:color="auto" w:fill="auto"/>
        <w:spacing w:after="100" w:line="209" w:lineRule="auto"/>
        <w:ind w:firstLine="300"/>
      </w:pPr>
      <w:r>
        <w:t>Potom se událo něco nepředvídaného. Veřejný život v Anglii stojí peníze, a jmění Josefa Chamberlaina bylo v nevalném stavu. Při jedné cestě do Ameriky si vzal do hlavy, že by se dalo vydělat bohatství pěstová</w:t>
      </w:r>
      <w:r>
        <w:softHyphen/>
        <w:t>ním agávového konopí na Bahamských os</w:t>
      </w:r>
      <w:r>
        <w:t>trovech. Kou</w:t>
      </w:r>
      <w:r>
        <w:softHyphen/>
        <w:t xml:space="preserve">pil tam farmu </w:t>
      </w:r>
      <w:r>
        <w:rPr>
          <w:lang w:val="en-US" w:eastAsia="en-US" w:bidi="en-US"/>
        </w:rPr>
        <w:t xml:space="preserve">a Neville </w:t>
      </w:r>
      <w:r>
        <w:t xml:space="preserve">dostal rozkaz, aby ji vedl. Roku 1890 tedy opustil </w:t>
      </w:r>
      <w:r>
        <w:rPr>
          <w:lang w:val="en-US" w:eastAsia="en-US" w:bidi="en-US"/>
        </w:rPr>
        <w:t xml:space="preserve">Birmingham </w:t>
      </w:r>
      <w:r>
        <w:t>a odebral se do tropů. Když tam přijel, nebylo nic upraveno. Spal v černošské chatrči, týrán moskyty. Měl pod sebou čtyři Evropany a osm set černošských děln</w:t>
      </w:r>
      <w:r>
        <w:t>íků. Vstával před úsvitem, kácel s nimi les a trhal korálové skály. Postavil domy a zřídil lesní dráhu. Večer po vyčerpá</w:t>
      </w:r>
      <w:r>
        <w:softHyphen/>
        <w:t xml:space="preserve">vající práci mladý pionýr (bylo mu tehdy dvadvacet let) prodával za pultem v krámě. Neměl zábavy a byl hrozně sám a přepracován. Ale v </w:t>
      </w:r>
      <w:r>
        <w:t>dopisech domů si ne</w:t>
      </w:r>
      <w:r>
        <w:softHyphen/>
        <w:t>stěžoval. Čelil situaci s chmurnou a věcnou statečností. Při tom vždycky zůstal plachým konvenčním Angliča</w:t>
      </w:r>
      <w:r>
        <w:softHyphen/>
        <w:t>nem. Zachovala se z tehdejší doby fotografie vládní re</w:t>
      </w:r>
      <w:r>
        <w:softHyphen/>
        <w:t xml:space="preserve">cepce. </w:t>
      </w:r>
      <w:r>
        <w:rPr>
          <w:lang w:val="en-US" w:eastAsia="en-US" w:bidi="en-US"/>
        </w:rPr>
        <w:t xml:space="preserve">Chamberlain </w:t>
      </w:r>
      <w:r>
        <w:t>na ní má cylindr a frak. Tropické vedro mu nezabránilo,</w:t>
      </w:r>
      <w:r>
        <w:t xml:space="preserve"> aby si pamatoval, co se sluší a patří. Nakonec celý podnik úplně ztroskotal. Konopí přes všechnu práci v tamní půdě nerostlo. Josef </w:t>
      </w:r>
      <w:r>
        <w:rPr>
          <w:lang w:val="en-US" w:eastAsia="en-US" w:bidi="en-US"/>
        </w:rPr>
        <w:t>Cham</w:t>
      </w:r>
      <w:r>
        <w:rPr>
          <w:lang w:val="en-US" w:eastAsia="en-US" w:bidi="en-US"/>
        </w:rPr>
        <w:softHyphen/>
        <w:t xml:space="preserve">berlain </w:t>
      </w:r>
      <w:r>
        <w:t>tam nechal padesát tisíc liber a jeho syn sedm z nejlepších let života.</w:t>
      </w:r>
    </w:p>
    <w:p w:rsidR="00500724" w:rsidRDefault="00F30FB8">
      <w:pPr>
        <w:pStyle w:val="Zkladntext1"/>
        <w:shd w:val="clear" w:color="auto" w:fill="auto"/>
        <w:spacing w:after="40" w:line="209" w:lineRule="auto"/>
        <w:ind w:right="80" w:firstLine="0"/>
        <w:jc w:val="center"/>
      </w:pPr>
      <w:r>
        <w:t>V Birminghamu</w:t>
      </w:r>
    </w:p>
    <w:p w:rsidR="00500724" w:rsidRDefault="00F30FB8">
      <w:pPr>
        <w:pStyle w:val="Zkladntext1"/>
        <w:shd w:val="clear" w:color="auto" w:fill="auto"/>
        <w:spacing w:after="40" w:line="209" w:lineRule="auto"/>
        <w:ind w:firstLine="300"/>
      </w:pPr>
      <w:r>
        <w:t xml:space="preserve">Když se </w:t>
      </w:r>
      <w:r>
        <w:rPr>
          <w:lang w:val="en-US" w:eastAsia="en-US" w:bidi="en-US"/>
        </w:rPr>
        <w:t xml:space="preserve">Neville </w:t>
      </w:r>
      <w:r>
        <w:t>vrátil p</w:t>
      </w:r>
      <w:r>
        <w:t>oražen z tropů, měl dobro</w:t>
      </w:r>
      <w:r>
        <w:softHyphen/>
        <w:t>družství na celý život dost a vplul zase klidně do obcho</w:t>
      </w:r>
      <w:r>
        <w:softHyphen/>
        <w:t>du. Brzy byl ředitelem Elliotovy kovodělné společnosti a slavné birminghamské továrny na drobné zbraně. De</w:t>
      </w:r>
      <w:r>
        <w:softHyphen/>
        <w:t>set let žil spořádaným životem obchodníka. Měl při tom své vedlejš</w:t>
      </w:r>
      <w:r>
        <w:t>í zájmy, jezdil na kole, chodil a plaval. Zají</w:t>
      </w:r>
      <w:r>
        <w:softHyphen/>
        <w:t>mal se o Birminghamský atletický ústav. Byl také čle</w:t>
      </w:r>
      <w:r>
        <w:softHyphen/>
        <w:t>nem Birminghamské a Edgbastonské debatní společno</w:t>
      </w:r>
      <w:r>
        <w:softHyphen/>
        <w:t>sti, ale zdá se, že celou tu dobu se na něho hledělo jako na neúspěch rodiny.</w:t>
      </w:r>
    </w:p>
    <w:p w:rsidR="00500724" w:rsidRDefault="00F30FB8">
      <w:pPr>
        <w:pStyle w:val="Zkladntext1"/>
        <w:shd w:val="clear" w:color="auto" w:fill="auto"/>
        <w:spacing w:after="40" w:line="209" w:lineRule="auto"/>
        <w:ind w:firstLine="300"/>
      </w:pPr>
      <w:r>
        <w:t xml:space="preserve">Přece však na sebe upoutal pozornost, když se roku 1910 ve sněmovním výboru jednalo o zákonu, kterým se rozšiřovaly hranice Birminghamu. </w:t>
      </w:r>
      <w:r>
        <w:rPr>
          <w:lang w:val="en-US" w:eastAsia="en-US" w:bidi="en-US"/>
        </w:rPr>
        <w:t xml:space="preserve">Chamberlain </w:t>
      </w:r>
      <w:r>
        <w:t>věc nadšeně podporoval a ukázal už tenkrát svou hrůzu z nezdravých bytů a svou zálibu v městském plánování,</w:t>
      </w:r>
      <w:r>
        <w:t xml:space="preserve"> kterou potom projevil jako ministr zdravotnictví. Ale novinářům tehdy říkal, že nemá úmyslu vůbec kdy jít do politiky. I když za rok potom vstoupil do městské rady, měl pocit, jak později říkal, že je to nejen počátek, nýbrž zároveň konec jeho politické k</w:t>
      </w:r>
      <w:r>
        <w:t>ariéry. Ve skuteč</w:t>
      </w:r>
      <w:r>
        <w:softHyphen/>
        <w:t xml:space="preserve">nosti to byl obrat v jeho životě. Získal velikou zálibu v obecní správě a byl na své město nesmírně hrdý. Když </w:t>
      </w:r>
      <w:r>
        <w:rPr>
          <w:lang w:val="en-US" w:eastAsia="en-US" w:bidi="en-US"/>
        </w:rPr>
        <w:t xml:space="preserve">Birmingham </w:t>
      </w:r>
      <w:r>
        <w:t xml:space="preserve">měl v červenci 1938 velké oslavy, poslal ministerský předseda místnímu listu článek, v němž trvá na svém starém přesvědčení, že </w:t>
      </w:r>
      <w:r>
        <w:rPr>
          <w:lang w:val="en-US" w:eastAsia="en-US" w:bidi="en-US"/>
        </w:rPr>
        <w:t xml:space="preserve">Birmingham </w:t>
      </w:r>
      <w:r>
        <w:t>je nejlépe spravovaným městem v Anglii. Viděl prý jako člen vlády mnoho jiných měst,</w:t>
      </w:r>
    </w:p>
    <w:p w:rsidR="00500724" w:rsidRDefault="00F30FB8">
      <w:pPr>
        <w:pStyle w:val="Zkladntext1"/>
        <w:shd w:val="clear" w:color="auto" w:fill="auto"/>
        <w:spacing w:after="40" w:line="175" w:lineRule="auto"/>
        <w:ind w:left="900" w:firstLine="0"/>
        <w:rPr>
          <w:sz w:val="20"/>
          <w:szCs w:val="20"/>
        </w:rPr>
      </w:pPr>
      <w:r>
        <w:rPr>
          <w:sz w:val="20"/>
          <w:szCs w:val="20"/>
        </w:rPr>
        <w:t>»ale nikdy jsem neměl důvodu poc</w:t>
      </w:r>
      <w:r>
        <w:rPr>
          <w:sz w:val="20"/>
          <w:szCs w:val="20"/>
        </w:rPr>
        <w:t xml:space="preserve">hybovat, že </w:t>
      </w:r>
      <w:r>
        <w:t xml:space="preserve">v </w:t>
      </w:r>
      <w:r>
        <w:rPr>
          <w:sz w:val="20"/>
          <w:szCs w:val="20"/>
        </w:rPr>
        <w:t>celku nebyla obecní správa Birminghamu před</w:t>
      </w:r>
      <w:r>
        <w:rPr>
          <w:sz w:val="20"/>
          <w:szCs w:val="20"/>
        </w:rPr>
        <w:softHyphen/>
        <w:t>stižena co do výkonnosti a podnikavosti v celé naší zemi a tím i ve světě vůbec (!)«</w:t>
      </w:r>
    </w:p>
    <w:p w:rsidR="00500724" w:rsidRDefault="00F30FB8">
      <w:pPr>
        <w:pStyle w:val="Zkladntext1"/>
        <w:shd w:val="clear" w:color="auto" w:fill="auto"/>
        <w:spacing w:after="40"/>
        <w:ind w:firstLine="300"/>
        <w:rPr>
          <w:sz w:val="20"/>
          <w:szCs w:val="20"/>
        </w:rPr>
      </w:pPr>
      <w:r>
        <w:t>Za čtyři roky po svém vstupu do obecní rady se stal birminghamským starostou. Bylo to uprostřed války, a jeho pan</w:t>
      </w:r>
      <w:r>
        <w:t>í organisovala posílání balíků zajatcům do Ně</w:t>
      </w:r>
      <w:r>
        <w:softHyphen/>
        <w:t>mecka a zařídila, aby se dostalo pomoci rodině každého birminghamského muže, padlého ve válce. V lednu 1917 přiletěly Zeppeliny a zabily pumami 67 lidí a 117 zra</w:t>
      </w:r>
      <w:r>
        <w:softHyphen/>
        <w:t xml:space="preserve">nily. </w:t>
      </w:r>
      <w:r>
        <w:rPr>
          <w:lang w:val="en-US" w:eastAsia="en-US" w:bidi="en-US"/>
        </w:rPr>
        <w:t xml:space="preserve">Chamberlain </w:t>
      </w:r>
      <w:r>
        <w:t>svolal schůzi místních starost</w:t>
      </w:r>
      <w:r>
        <w:t>ů a po</w:t>
      </w:r>
      <w:r>
        <w:softHyphen/>
        <w:t>licejních náčelníků. Vypracoval plén protiletecké obra</w:t>
      </w:r>
      <w:r>
        <w:softHyphen/>
        <w:t xml:space="preserve">ny, který starosta odvezl do Londýna. Navštívil generála </w:t>
      </w:r>
      <w:r>
        <w:rPr>
          <w:i/>
          <w:iCs/>
          <w:sz w:val="20"/>
          <w:szCs w:val="20"/>
        </w:rPr>
        <w:t>6$</w:t>
      </w:r>
    </w:p>
    <w:p w:rsidR="00500724" w:rsidRDefault="00F30FB8">
      <w:pPr>
        <w:pStyle w:val="Zkladntext1"/>
        <w:shd w:val="clear" w:color="auto" w:fill="auto"/>
        <w:spacing w:after="60" w:line="233" w:lineRule="auto"/>
        <w:ind w:firstLine="0"/>
      </w:pPr>
      <w:r>
        <w:t xml:space="preserve">Frenche a ministra vnitra. Ti plán přijali, </w:t>
      </w:r>
      <w:r>
        <w:rPr>
          <w:lang w:val="en-US" w:eastAsia="en-US" w:bidi="en-US"/>
        </w:rPr>
        <w:t>a Birming</w:t>
      </w:r>
      <w:r>
        <w:rPr>
          <w:lang w:val="en-US" w:eastAsia="en-US" w:bidi="en-US"/>
        </w:rPr>
        <w:softHyphen/>
        <w:t xml:space="preserve">ham </w:t>
      </w:r>
      <w:r>
        <w:t>pak, až na maličkosti při náletu pozdě v roce 1917 neutrpěl už škod. V dubnu</w:t>
      </w:r>
      <w:r>
        <w:t xml:space="preserve"> 1918 byly Zeppeliny za</w:t>
      </w:r>
      <w:r>
        <w:softHyphen/>
        <w:t>hnány.</w:t>
      </w:r>
    </w:p>
    <w:p w:rsidR="00500724" w:rsidRDefault="00F30FB8">
      <w:pPr>
        <w:pStyle w:val="Zkladntext1"/>
        <w:shd w:val="clear" w:color="auto" w:fill="auto"/>
        <w:spacing w:line="209" w:lineRule="auto"/>
        <w:ind w:firstLine="0"/>
        <w:jc w:val="center"/>
      </w:pPr>
      <w:r>
        <w:t>Úsp ěchy p ani Chamberlainově</w:t>
      </w:r>
    </w:p>
    <w:p w:rsidR="00500724" w:rsidRDefault="00F30FB8">
      <w:pPr>
        <w:pStyle w:val="Zkladntext1"/>
        <w:shd w:val="clear" w:color="auto" w:fill="auto"/>
        <w:spacing w:line="216" w:lineRule="auto"/>
        <w:ind w:firstLine="240"/>
      </w:pPr>
      <w:r>
        <w:t xml:space="preserve">Roku 1911, téhož roku, kdy vstoupil do obecní rady, se </w:t>
      </w:r>
      <w:r>
        <w:rPr>
          <w:lang w:val="en-US" w:eastAsia="en-US" w:bidi="en-US"/>
        </w:rPr>
        <w:t xml:space="preserve">Neville Chamberlain </w:t>
      </w:r>
      <w:r>
        <w:t xml:space="preserve">oženil. Nevěstou byla Miss </w:t>
      </w:r>
      <w:r>
        <w:rPr>
          <w:lang w:val="en-US" w:eastAsia="en-US" w:bidi="en-US"/>
        </w:rPr>
        <w:t xml:space="preserve">Annie </w:t>
      </w:r>
      <w:r>
        <w:t xml:space="preserve">Vere </w:t>
      </w:r>
      <w:r>
        <w:rPr>
          <w:lang w:val="en-US" w:eastAsia="en-US" w:bidi="en-US"/>
        </w:rPr>
        <w:t xml:space="preserve">Cole. </w:t>
      </w:r>
      <w:r>
        <w:t xml:space="preserve">Měla modré oči a způsoby i humor, které ukazovaly na irský původ. Přišla do </w:t>
      </w:r>
      <w:r>
        <w:t>Birmingha</w:t>
      </w:r>
      <w:r>
        <w:softHyphen/>
        <w:t xml:space="preserve">mu jako úplná cizinka a v situaci nevalné. Ale za dva roky už byla jednou z nejznámějších osob. Je to asi nejúspěšnější birminghamské primátorka. Jenže její oči spočinuly na dalších cílech. Praví se, že na její radu se </w:t>
      </w:r>
      <w:r>
        <w:rPr>
          <w:lang w:val="en-US" w:eastAsia="en-US" w:bidi="en-US"/>
        </w:rPr>
        <w:t xml:space="preserve">Neville Chamberlain </w:t>
      </w:r>
      <w:r>
        <w:t>vzepřel</w:t>
      </w:r>
      <w:r>
        <w:t xml:space="preserve"> proti otcovskému urče</w:t>
      </w:r>
      <w:r>
        <w:softHyphen/>
        <w:t>ní a pokusil se o štěstí v politice. Bylo to dobrodružství, a část jeho břemene ovšem padla na bedra paní Cham- berlainové.</w:t>
      </w:r>
    </w:p>
    <w:p w:rsidR="00500724" w:rsidRDefault="00F30FB8">
      <w:pPr>
        <w:pStyle w:val="Zkladntext1"/>
        <w:shd w:val="clear" w:color="auto" w:fill="auto"/>
        <w:spacing w:line="209" w:lineRule="auto"/>
        <w:ind w:firstLine="240"/>
      </w:pPr>
      <w:r>
        <w:t>Paní Chamberlainová je právem hrda na zdraví svého muže, které je svědectvím její vytrvalé péče. Jen jeho dnu</w:t>
      </w:r>
      <w:r>
        <w:t xml:space="preserve"> se jí nepodařilo potřít, ale jinak může poukázat na jeho celkové zdraví a snadnost, s jakou zlézal rovnou z </w:t>
      </w:r>
      <w:r>
        <w:rPr>
          <w:lang w:val="en-US" w:eastAsia="en-US" w:bidi="en-US"/>
        </w:rPr>
        <w:t xml:space="preserve">Downing </w:t>
      </w:r>
      <w:r>
        <w:t>Streetu a bez předběžného treningu tisíci- metrovou horu ve Skotsku. To by hned tak každý pozd</w:t>
      </w:r>
      <w:r>
        <w:softHyphen/>
        <w:t>ní šedesátník nedokázal. Ale mimo péči o dům</w:t>
      </w:r>
      <w:r>
        <w:t xml:space="preserve"> má mini</w:t>
      </w:r>
      <w:r>
        <w:softHyphen/>
        <w:t xml:space="preserve">strova žena také povinnosti politické. Je samozřejmě mužovou důvěrnicí. Paní Chamberlainová vykonávala tuto trochu delikátní úlohu se zřejmým úspěchem. »Zná všechna moje tajemství,&lt; řekl jednou její manžel, »a ani jedno neprozradila.* Ale obratná </w:t>
      </w:r>
      <w:r>
        <w:t>žena může také mít vliv na mužovy zájmy svou vlastní politikou. Paní Chamberlainová umí promluvit k pracujícím ženám. Má ráda vaření a vyzná se v problémech těchto žen. Jeden rok napsala od února do června tři tisíce vlast</w:t>
      </w:r>
      <w:r>
        <w:softHyphen/>
        <w:t xml:space="preserve">ních dopisů, mimo korespondenci, </w:t>
      </w:r>
      <w:r>
        <w:t>která pro ni vyplývá z postavení jejího manžela.</w:t>
      </w:r>
    </w:p>
    <w:p w:rsidR="00500724" w:rsidRDefault="00F30FB8">
      <w:pPr>
        <w:pStyle w:val="Zkladntext1"/>
        <w:shd w:val="clear" w:color="auto" w:fill="auto"/>
        <w:spacing w:line="209" w:lineRule="auto"/>
        <w:ind w:firstLine="240"/>
      </w:pPr>
      <w:r>
        <w:t>Je svému muži stálou společnicí. Až do nedávná ne</w:t>
      </w:r>
      <w:r>
        <w:softHyphen/>
        <w:t>byla v Londýně příliš známa, ale bylo ji stále vidět s mužem na cestě do sněmovny nebo při veřejných pří</w:t>
      </w:r>
      <w:r>
        <w:softHyphen/>
        <w:t xml:space="preserve">ležitostech. Ve svém vkusu se oba šťastně doplňují. </w:t>
      </w:r>
      <w:r>
        <w:t>Paní Chamberlainová umí mluvit, ale také znamenitě po</w:t>
      </w:r>
      <w:r>
        <w:softHyphen/>
        <w:t>slouchat, čímž se do velké míry vysvětluje její úspěch. A má zájem o všechny koníčky svého manžela. Neumí sice chytat ryby, ale umí o tom inteligentně rozprávět, a co je ještě důležitější: vydrží poslou</w:t>
      </w:r>
      <w:r>
        <w:t>chat muže, vyklá</w:t>
      </w:r>
      <w:r>
        <w:softHyphen/>
        <w:t xml:space="preserve">dající o chytání ryb. Sotva asi sdílí nadšení svého muže pro ptáky, ale má je ráda a umí zábavně obdivovat jeho zálibu. Není lepšího svědectví o jejím podílu na mužově úspěchu, než to, které jí vydal sám </w:t>
      </w:r>
      <w:r>
        <w:rPr>
          <w:lang w:val="en-US" w:eastAsia="en-US" w:bidi="en-US"/>
        </w:rPr>
        <w:t xml:space="preserve">Chamberlain: </w:t>
      </w:r>
      <w:r>
        <w:t>»Ra- dovala se ze všec</w:t>
      </w:r>
      <w:r>
        <w:t>h mých úspěchů, dodávala mi odvahy při všech mých zklamáních, vedla mne svou radou, va</w:t>
      </w:r>
      <w:r>
        <w:softHyphen/>
        <w:t>rovala mne před špatnými cestami a nikdy mi nedovo</w:t>
      </w:r>
      <w:r>
        <w:softHyphen/>
        <w:t>lila zapomenout na lidskost, která je na dně vší poli</w:t>
      </w:r>
      <w:r>
        <w:softHyphen/>
        <w:t>tiky.*</w:t>
      </w:r>
    </w:p>
    <w:p w:rsidR="00500724" w:rsidRDefault="00F30FB8">
      <w:pPr>
        <w:pStyle w:val="Zkladntext1"/>
        <w:shd w:val="clear" w:color="auto" w:fill="auto"/>
        <w:spacing w:line="209" w:lineRule="auto"/>
        <w:ind w:firstLine="0"/>
        <w:jc w:val="center"/>
      </w:pPr>
      <w:r>
        <w:t>Kariéra se špatným začátkem</w:t>
      </w:r>
    </w:p>
    <w:p w:rsidR="00500724" w:rsidRDefault="00F30FB8">
      <w:pPr>
        <w:pStyle w:val="Zkladntext1"/>
        <w:shd w:val="clear" w:color="auto" w:fill="auto"/>
        <w:spacing w:line="209" w:lineRule="auto"/>
        <w:ind w:firstLine="240"/>
        <w:sectPr w:rsidR="00500724">
          <w:footnotePr>
            <w:numFmt w:val="chicago"/>
            <w:numRestart w:val="eachPage"/>
          </w:footnotePr>
          <w:type w:val="continuous"/>
          <w:pgSz w:w="11909" w:h="16834"/>
          <w:pgMar w:top="1165" w:right="877" w:bottom="828" w:left="509" w:header="0" w:footer="3" w:gutter="0"/>
          <w:cols w:num="2" w:space="100"/>
          <w:noEndnote/>
          <w:docGrid w:linePitch="360"/>
        </w:sectPr>
      </w:pPr>
      <w:r>
        <w:t>Druhé starostenství Nevilla Chamberlaina bylo — za války — náhle přerušeno. Vypravuje se, že právě vstu</w:t>
      </w:r>
      <w:r>
        <w:softHyphen/>
        <w:t xml:space="preserve">poval do vlaku, když dostal telegram od </w:t>
      </w:r>
      <w:r>
        <w:rPr>
          <w:lang w:val="en-US" w:eastAsia="en-US" w:bidi="en-US"/>
        </w:rPr>
        <w:t xml:space="preserve">Lloyda George, </w:t>
      </w:r>
      <w:r>
        <w:t xml:space="preserve">aby přijal místo ministra národní služby. </w:t>
      </w:r>
      <w:r>
        <w:rPr>
          <w:lang w:val="en-US" w:eastAsia="en-US" w:bidi="en-US"/>
        </w:rPr>
        <w:t xml:space="preserve">Lloyd George </w:t>
      </w:r>
      <w:r>
        <w:t>o něm nic nevěděl, ledaže si udělal jméno</w:t>
      </w:r>
      <w:r>
        <w:t xml:space="preserve"> jako starosta Birminghamu; a on zas osobně nic nevěděl o Lloydu Georgeovi. Byl by udělal lépe, kdyby byl odmítl, ale v době války je těžko odmítnout odpovědné místo. Při</w:t>
      </w:r>
      <w:r>
        <w:softHyphen/>
        <w:t>jal váhavě a slepě. Úřad, jejž měl řídit, měl nejasný úkol vybírat dobrovolníky z prů</w:t>
      </w:r>
      <w:r>
        <w:t>myslu, tak, aby tím do</w:t>
      </w:r>
      <w:r>
        <w:softHyphen/>
        <w:t xml:space="preserve">tyčné průmysly byly co nejméně rozrušeny. </w:t>
      </w:r>
      <w:r>
        <w:rPr>
          <w:lang w:val="en-US" w:eastAsia="en-US" w:bidi="en-US"/>
        </w:rPr>
        <w:t xml:space="preserve">Neville Chamberlain </w:t>
      </w:r>
      <w:r>
        <w:t>k tomu neměl dost organisačních schopno</w:t>
      </w:r>
      <w:r>
        <w:softHyphen/>
        <w:t>stí. Stěžoval si, že byl bez instrukcí, bez pravomoci, bez úřednictva a bez kanceláří. Byl titulární hlavou neexi</w:t>
      </w:r>
      <w:r>
        <w:softHyphen/>
        <w:t>stujícího ministe</w:t>
      </w:r>
      <w:r>
        <w:t xml:space="preserve">rstva. </w:t>
      </w:r>
      <w:r>
        <w:rPr>
          <w:lang w:val="en-US" w:eastAsia="en-US" w:bidi="en-US"/>
        </w:rPr>
        <w:t xml:space="preserve">Lloyd George </w:t>
      </w:r>
      <w:r>
        <w:t xml:space="preserve">od něho čekal, že něco vykoná, a On zase čekal, že mu </w:t>
      </w:r>
      <w:r>
        <w:rPr>
          <w:lang w:val="en-US" w:eastAsia="en-US" w:bidi="en-US"/>
        </w:rPr>
        <w:t xml:space="preserve">Lloyd George </w:t>
      </w:r>
      <w:r>
        <w:t>řek</w:t>
      </w:r>
      <w:r>
        <w:softHyphen/>
        <w:t>ne, co od něho chce. Jeho tehdejší činnost byla silně kri-</w:t>
      </w:r>
    </w:p>
    <w:p w:rsidR="00500724" w:rsidRDefault="00F30FB8">
      <w:pPr>
        <w:pStyle w:val="Zkladntext1"/>
        <w:shd w:val="clear" w:color="auto" w:fill="auto"/>
        <w:spacing w:line="214" w:lineRule="auto"/>
        <w:ind w:firstLine="0"/>
      </w:pPr>
      <w:r>
        <w:t xml:space="preserve">tisována, </w:t>
      </w:r>
      <w:r>
        <w:rPr>
          <w:lang w:val="en-US" w:eastAsia="en-US" w:bidi="en-US"/>
        </w:rPr>
        <w:t xml:space="preserve">ale </w:t>
      </w:r>
      <w:r>
        <w:t xml:space="preserve">zdá se to nespravedlivé, uváží-li se, že </w:t>
      </w:r>
      <w:r>
        <w:rPr>
          <w:lang w:val="en-US" w:eastAsia="en-US" w:bidi="en-US"/>
        </w:rPr>
        <w:t xml:space="preserve">Chamberlain </w:t>
      </w:r>
      <w:r>
        <w:t>tehdy skoro nic nevěděl o skutečné činn</w:t>
      </w:r>
      <w:r>
        <w:t>o</w:t>
      </w:r>
      <w:r>
        <w:softHyphen/>
        <w:t>sti vlády a že byl úplným cizincem ve vládě. Za něko</w:t>
      </w:r>
      <w:r>
        <w:softHyphen/>
        <w:t xml:space="preserve">lik měsíců </w:t>
      </w:r>
      <w:r>
        <w:rPr>
          <w:lang w:val="en-US" w:eastAsia="en-US" w:bidi="en-US"/>
        </w:rPr>
        <w:t xml:space="preserve">Chamberlain </w:t>
      </w:r>
      <w:r>
        <w:t>resignoval, a s ním zmizelo z ve</w:t>
      </w:r>
      <w:r>
        <w:softHyphen/>
        <w:t>řejného života i ministerstvo národní služby. Jediné, co z té doby trvale zbylo, je nevůle mezi Lloydem Geor- gem a bývalým starostou birminghams</w:t>
      </w:r>
      <w:r>
        <w:t>kým.</w:t>
      </w:r>
    </w:p>
    <w:p w:rsidR="00500724" w:rsidRDefault="00F30FB8">
      <w:pPr>
        <w:pStyle w:val="Zkladntext1"/>
        <w:shd w:val="clear" w:color="auto" w:fill="auto"/>
        <w:spacing w:line="206" w:lineRule="auto"/>
        <w:ind w:firstLine="240"/>
      </w:pPr>
      <w:r>
        <w:t>Říká se, že tato zkušenost přiměla Chamberlaina ke vstupu do parlamentu, ale úplný nezdar je sotva do</w:t>
      </w:r>
      <w:r>
        <w:softHyphen/>
        <w:t>brým povzbuzením i pro člověka s Chamberlainovou je</w:t>
      </w:r>
      <w:r>
        <w:softHyphen/>
        <w:t>dinečnou vytrvalostí. Je však možné, že přímý zážitek moci byl pro něho zjevením. Přímým násled</w:t>
      </w:r>
      <w:r>
        <w:softHyphen/>
      </w:r>
      <w:r>
        <w:t>kem toho dobrodružství bylo, že se z umírněného libe</w:t>
      </w:r>
      <w:r>
        <w:softHyphen/>
        <w:t>rálního unionisty stal rozhodný konservativec. Nepro</w:t>
      </w:r>
      <w:r>
        <w:softHyphen/>
        <w:t>jevil při tom onoho ohnivého radikalismu, který byl ži</w:t>
      </w:r>
      <w:r>
        <w:softHyphen/>
        <w:t>votní silou jeho otce. Byl a je demokratem mírně bur- žoasního ražení. » Jsem hrdější na to, že</w:t>
      </w:r>
      <w:r>
        <w:t xml:space="preserve"> pocházím z cti</w:t>
      </w:r>
      <w:r>
        <w:softHyphen/>
        <w:t>hodných obchodníků,* řekl jednou, &gt;než kdyby moji předkové byli nosili brnění a meče.&lt; Ale v jeho politické víře není nic, co by mu nějak bránilo v připojení ke konservativcům, a jeho nenávist k Lloydu Georgeovi a jeho dílu činila toto spoj</w:t>
      </w:r>
      <w:r>
        <w:t>ení jen pochopitelným.</w:t>
      </w:r>
    </w:p>
    <w:p w:rsidR="00500724" w:rsidRDefault="00F30FB8">
      <w:pPr>
        <w:pStyle w:val="Zkladntext1"/>
        <w:shd w:val="clear" w:color="auto" w:fill="auto"/>
        <w:spacing w:line="209" w:lineRule="auto"/>
        <w:ind w:firstLine="240"/>
      </w:pPr>
      <w:r>
        <w:t>Roku 1919 vstoupil do parlamentu jako zástupce Bir</w:t>
      </w:r>
      <w:r>
        <w:softHyphen/>
        <w:t>minghamu, okres Ladybank. Byl tenkrát nejen neval</w:t>
      </w:r>
      <w:r>
        <w:softHyphen/>
        <w:t xml:space="preserve">ným řečníkem — ani dnes není žádným orátorem — nýbrž přímo špatným řečníkem. To sice není osudným nedostatkem v dnešním parlamentě, </w:t>
      </w:r>
      <w:r>
        <w:t>který celkem ne</w:t>
      </w:r>
      <w:r>
        <w:softHyphen/>
        <w:t>miluje pouhou rétoriku, ale být velmi špatným řeční</w:t>
      </w:r>
      <w:r>
        <w:softHyphen/>
        <w:t>kem je přece jen o překážku více pro neznámého po</w:t>
      </w:r>
      <w:r>
        <w:softHyphen/>
        <w:t xml:space="preserve">slance ze zadních lavic. </w:t>
      </w:r>
      <w:r>
        <w:rPr>
          <w:lang w:val="en-US" w:eastAsia="en-US" w:bidi="en-US"/>
        </w:rPr>
        <w:t xml:space="preserve">Neville Chamberlain </w:t>
      </w:r>
      <w:r>
        <w:t>jím zůstal až do pádu koalice. Potom se však jeho oposice proti Lloydu Georgeovi, která mu do</w:t>
      </w:r>
      <w:r>
        <w:t xml:space="preserve"> té doby byla překážkou v postupu, stala vyslovenou zásluhou. Bonar </w:t>
      </w:r>
      <w:r>
        <w:rPr>
          <w:lang w:val="en-US" w:eastAsia="en-US" w:bidi="en-US"/>
        </w:rPr>
        <w:t xml:space="preserve">Law </w:t>
      </w:r>
      <w:r>
        <w:t xml:space="preserve">ho udělal generálním poštmistrem </w:t>
      </w:r>
      <w:r>
        <w:rPr>
          <w:lang w:val="en-US" w:eastAsia="en-US" w:bidi="en-US"/>
        </w:rPr>
        <w:t xml:space="preserve">a Baldwin </w:t>
      </w:r>
      <w:r>
        <w:t>mu svěřil kancléřství pokladu. Smůla byla proražena. Konec kon</w:t>
      </w:r>
      <w:r>
        <w:softHyphen/>
        <w:t xml:space="preserve">ců to s ním ani nešlo tak pomalu. Lloydu Georgeovi to trvalo osmnáct let, než </w:t>
      </w:r>
      <w:r>
        <w:t>se dostal do předních lavic, rov</w:t>
      </w:r>
      <w:r>
        <w:softHyphen/>
        <w:t xml:space="preserve">něž tolik Winstonu Churchillovi, a Baldwinovi čtrnáct. Dva z těchto mužů mají rozhodně větší nadání než </w:t>
      </w:r>
      <w:r>
        <w:rPr>
          <w:lang w:val="en-US" w:eastAsia="en-US" w:bidi="en-US"/>
        </w:rPr>
        <w:t xml:space="preserve">Chamberlain </w:t>
      </w:r>
      <w:r>
        <w:t>a jsou skoro ve všech ohledech lépe vy</w:t>
      </w:r>
      <w:r>
        <w:softHyphen/>
        <w:t xml:space="preserve">zbrojeni uměním získávat popularitu a pozornost. </w:t>
      </w:r>
      <w:r>
        <w:rPr>
          <w:lang w:val="en-US" w:eastAsia="en-US" w:bidi="en-US"/>
        </w:rPr>
        <w:t>A Ne</w:t>
      </w:r>
      <w:r>
        <w:rPr>
          <w:lang w:val="en-US" w:eastAsia="en-US" w:bidi="en-US"/>
        </w:rPr>
        <w:softHyphen/>
        <w:t>ville Chamberl</w:t>
      </w:r>
      <w:r>
        <w:rPr>
          <w:lang w:val="en-US" w:eastAsia="en-US" w:bidi="en-US"/>
        </w:rPr>
        <w:t xml:space="preserve">ain </w:t>
      </w:r>
      <w:r>
        <w:t>se dostal do prvních lavic za méně než pět let.</w:t>
      </w:r>
    </w:p>
    <w:p w:rsidR="00500724" w:rsidRDefault="00F30FB8">
      <w:pPr>
        <w:pStyle w:val="Zkladntext1"/>
        <w:shd w:val="clear" w:color="auto" w:fill="auto"/>
        <w:spacing w:line="197" w:lineRule="auto"/>
        <w:ind w:firstLine="0"/>
        <w:jc w:val="center"/>
        <w:rPr>
          <w:sz w:val="20"/>
          <w:szCs w:val="20"/>
        </w:rPr>
      </w:pPr>
      <w:r>
        <w:rPr>
          <w:b/>
          <w:bCs/>
          <w:sz w:val="20"/>
          <w:szCs w:val="20"/>
        </w:rPr>
        <w:t>Opatrný hospodář</w:t>
      </w:r>
    </w:p>
    <w:p w:rsidR="00500724" w:rsidRDefault="00F30FB8">
      <w:pPr>
        <w:pStyle w:val="Zkladntext1"/>
        <w:shd w:val="clear" w:color="auto" w:fill="auto"/>
        <w:spacing w:line="206" w:lineRule="auto"/>
        <w:ind w:firstLine="240"/>
      </w:pPr>
      <w:r>
        <w:t xml:space="preserve">Když se </w:t>
      </w:r>
      <w:r>
        <w:rPr>
          <w:lang w:val="en-US" w:eastAsia="en-US" w:bidi="en-US"/>
        </w:rPr>
        <w:t xml:space="preserve">Baldwin </w:t>
      </w:r>
      <w:r>
        <w:t xml:space="preserve">po pádu dělnické vlády zase stal ministerským předsedou, nabídl mu zase staré místo kancléře pokladu. K obecnému překvapení však </w:t>
      </w:r>
      <w:r>
        <w:rPr>
          <w:lang w:val="en-US" w:eastAsia="en-US" w:bidi="en-US"/>
        </w:rPr>
        <w:t>Cham</w:t>
      </w:r>
      <w:r>
        <w:rPr>
          <w:lang w:val="en-US" w:eastAsia="en-US" w:bidi="en-US"/>
        </w:rPr>
        <w:softHyphen/>
        <w:t xml:space="preserve">berlain </w:t>
      </w:r>
      <w:r>
        <w:t>odmítl a vzal si ministerstvo</w:t>
      </w:r>
      <w:r>
        <w:t xml:space="preserve"> zdravotnictví. Ale bylo to jeho zamilované pole. Léta, která následovala, byla snad nejpilnější </w:t>
      </w:r>
      <w:r>
        <w:rPr>
          <w:b/>
          <w:bCs/>
          <w:sz w:val="20"/>
          <w:szCs w:val="20"/>
        </w:rPr>
        <w:t xml:space="preserve">v </w:t>
      </w:r>
      <w:r>
        <w:t>jeho vůbec pilném životě. Jeho</w:t>
      </w:r>
    </w:p>
    <w:p w:rsidR="00500724" w:rsidRDefault="00F30FB8">
      <w:pPr>
        <w:pStyle w:val="Zkladntext1"/>
        <w:framePr w:dropCap="drop" w:lines="2" w:wrap="auto" w:vAnchor="text" w:hAnchor="text"/>
        <w:shd w:val="clear" w:color="auto" w:fill="auto"/>
        <w:spacing w:line="274" w:lineRule="exact"/>
        <w:ind w:firstLine="0"/>
      </w:pPr>
      <w:r>
        <w:rPr>
          <w:rFonts w:ascii="Arial" w:eastAsia="Arial" w:hAnsi="Arial" w:cs="Arial"/>
          <w:position w:val="-6"/>
          <w:sz w:val="32"/>
          <w:szCs w:val="32"/>
        </w:rPr>
        <w:t>Í</w:t>
      </w:r>
    </w:p>
    <w:p w:rsidR="00500724" w:rsidRDefault="00F30FB8">
      <w:pPr>
        <w:pStyle w:val="Zkladntext1"/>
        <w:shd w:val="clear" w:color="auto" w:fill="auto"/>
        <w:spacing w:line="206" w:lineRule="auto"/>
        <w:ind w:firstLine="0"/>
      </w:pPr>
      <w:r>
        <w:t xml:space="preserve">»racovitost byla podle souhlasného názoru přímo uráž- ivá. Sypal cifry z rukávu, a sněmovna, která má po- věreěnou úctu k </w:t>
      </w:r>
      <w:r>
        <w:t>lidem, kteří dovedou říkat čísla zpa</w:t>
      </w:r>
      <w:r>
        <w:softHyphen/>
        <w:t>měti, začala si ho nesmírně vážit. Nelze říci, že by ten</w:t>
      </w:r>
      <w:r>
        <w:softHyphen/>
        <w:t>krát byl populární osobou. Jeho způsoby i jeho obor byly velice suché. Jeho zdrželivost a jaksi útočné vze</w:t>
      </w:r>
      <w:r>
        <w:softHyphen/>
        <w:t>zření, které patrně byly jen vnější formou plachosti, v</w:t>
      </w:r>
      <w:r>
        <w:t>ykládaly se jako drsnost a nelíbily se. Ale o jeho schopnostech nikdo nepochyboval. Byl považován za jednoho ze dvou nebo tří silných mužů ve vládě jinak nepříliš silné, a soudilo se, že svůj úřad nejen má, nýbrž že si jej také zasloužil.</w:t>
      </w:r>
    </w:p>
    <w:p w:rsidR="00500724" w:rsidRDefault="00F30FB8">
      <w:pPr>
        <w:pStyle w:val="Zkladntext1"/>
        <w:shd w:val="clear" w:color="auto" w:fill="auto"/>
        <w:spacing w:line="209" w:lineRule="auto"/>
        <w:ind w:firstLine="240"/>
      </w:pPr>
      <w:r>
        <w:t>Když se tvořila n</w:t>
      </w:r>
      <w:r>
        <w:t xml:space="preserve">árodní vláda, </w:t>
      </w:r>
      <w:r>
        <w:rPr>
          <w:lang w:val="en-US" w:eastAsia="en-US" w:bidi="en-US"/>
        </w:rPr>
        <w:t xml:space="preserve">Chamberlain </w:t>
      </w:r>
      <w:r>
        <w:t xml:space="preserve">dostal zase finance. Výsledky předchozích kancléřů nebyly právě povzbuzující. </w:t>
      </w:r>
      <w:r>
        <w:rPr>
          <w:lang w:val="en-US" w:eastAsia="en-US" w:bidi="en-US"/>
        </w:rPr>
        <w:t xml:space="preserve">Churchill </w:t>
      </w:r>
      <w:r>
        <w:t>zkusil svou ruku a ne</w:t>
      </w:r>
      <w:r>
        <w:softHyphen/>
        <w:t>svedl ve špatných časech nic lepšího než skvělou vý</w:t>
      </w:r>
      <w:r>
        <w:softHyphen/>
        <w:t xml:space="preserve">stavu průmyslu a živností. Pokusil se </w:t>
      </w:r>
      <w:r>
        <w:rPr>
          <w:lang w:val="en-US" w:eastAsia="en-US" w:bidi="en-US"/>
        </w:rPr>
        <w:t xml:space="preserve">Snowden, </w:t>
      </w:r>
      <w:r>
        <w:t>přísný velekněz pravo</w:t>
      </w:r>
      <w:r>
        <w:t>věrného finančnictví, a byl smeten při obecném zmatku, v němž skončila dělnická vláda. Ná</w:t>
      </w:r>
      <w:r>
        <w:softHyphen/>
        <w:t xml:space="preserve">rodní finance, když je přejímal </w:t>
      </w:r>
      <w:r>
        <w:rPr>
          <w:lang w:val="en-US" w:eastAsia="en-US" w:bidi="en-US"/>
        </w:rPr>
        <w:t xml:space="preserve">Chamberlain, </w:t>
      </w:r>
      <w:r>
        <w:t>nebyly snad v tak špatném stavu, jak vypadaly, ale vyhlídky přece jen nebyly růžové. Oslavovat Chamberlaina jako nejlepší</w:t>
      </w:r>
      <w:r>
        <w:t>ho z poválečných kancléřů, není, myslím, spra</w:t>
      </w:r>
      <w:r>
        <w:softHyphen/>
        <w:t xml:space="preserve">vedlivé k jeho předchůdcům. Jeho finance byly zdravé a vykonaly svou úlohu při průmyslovém zotavení, ale on sám sotva mohl za toto zotavení více než mohli jeho předchůdci za krisi, která následovala po krátkém </w:t>
      </w:r>
      <w:r>
        <w:t>po</w:t>
      </w:r>
      <w:r>
        <w:softHyphen/>
        <w:t>válečném rozkvětu. Spravedlivější by bylo říci, že bez jeho opatrného vedení by snad bylo zotavení nepřišlo.</w:t>
      </w:r>
    </w:p>
    <w:p w:rsidR="00500724" w:rsidRDefault="00F30FB8">
      <w:pPr>
        <w:pStyle w:val="Zkladntext1"/>
        <w:shd w:val="clear" w:color="auto" w:fill="auto"/>
        <w:spacing w:line="226" w:lineRule="auto"/>
        <w:ind w:firstLine="0"/>
      </w:pPr>
      <w:r>
        <w:t>I to konečně znamená oprávněný nárok na vděčnost národa.</w:t>
      </w:r>
    </w:p>
    <w:p w:rsidR="00500724" w:rsidRDefault="00F30FB8">
      <w:pPr>
        <w:pStyle w:val="Zkladntext1"/>
        <w:shd w:val="clear" w:color="auto" w:fill="auto"/>
        <w:spacing w:after="100" w:line="209" w:lineRule="auto"/>
        <w:ind w:firstLine="240"/>
      </w:pPr>
      <w:r>
        <w:t>Přišel do Westminsteru s hotovou pověstí osvědče</w:t>
      </w:r>
      <w:r>
        <w:softHyphen/>
        <w:t xml:space="preserve">ného finančníka, a jeho šest rozpočtů </w:t>
      </w:r>
      <w:r>
        <w:t>za národní vlády tuto pověst nijak neohrozilo. Jeho činnost ho neudělala populárním — to lze také sotva čekat od sběratele daní — ale jeho výkonnost ho udělala silnou oporou vlády, v níž osobní síla nikterak nepřevládala. Proti jeho rozpoč</w:t>
      </w:r>
      <w:r>
        <w:softHyphen/>
        <w:t>tům lze říci, že</w:t>
      </w:r>
      <w:r>
        <w:t xml:space="preserve"> postrádaly obraznosti a skvělosti, ale na jejich obranu zase možno uvést, že stav země v oněch šesti letech, plných událostí, nepřipouštěl finanční ex</w:t>
      </w:r>
      <w:r>
        <w:softHyphen/>
        <w:t>perimenty. Bylo třeba pevných financí, a ty země od Nevilla Chamberlaina dostala. Podíváme-li se zpět na</w:t>
      </w:r>
      <w:r>
        <w:t xml:space="preserve"> těch šest rozpočtů, nemůže nám ujít jejich opatrnost, zdravý smysl a nedobrodružnost. Snad není neodůvod</w:t>
      </w:r>
      <w:r>
        <w:softHyphen/>
        <w:t>něn názor, že toto konservativní finančnictví bylo prá</w:t>
      </w:r>
      <w:r>
        <w:softHyphen/>
        <w:t>vě to, čeho doba potřebovala, a že nic jiného tak neob</w:t>
      </w:r>
      <w:r>
        <w:softHyphen/>
        <w:t>novilo stálost národního úvěru. Ale af b</w:t>
      </w:r>
      <w:r>
        <w:t>yly výhody jak</w:t>
      </w:r>
      <w:r>
        <w:softHyphen/>
        <w:t>koli veliké, byly brzy odplaveny tím, co přišlo potom. Roku 1936 padl na finance stín nového zbrojení, který zničil všechny naděje, podnícené průmyslovým ožive</w:t>
      </w:r>
      <w:r>
        <w:softHyphen/>
        <w:t>ním, a rozvál skrovnou žeň, vypěstovanou Chamberlai</w:t>
      </w:r>
      <w:r>
        <w:softHyphen/>
        <w:t>novou opatrností, hospodárnos</w:t>
      </w:r>
      <w:r>
        <w:t>tí a vyhýbáním se dobro</w:t>
      </w:r>
      <w:r>
        <w:softHyphen/>
        <w:t>družství. Začalo to, co bylo nazváno během do zkázy, totiž nekonečná vydání na neomezené zbrojení. Byl ko</w:t>
      </w:r>
      <w:r>
        <w:softHyphen/>
        <w:t>nec opatrnosti a hospodárnosti</w:t>
      </w:r>
    </w:p>
    <w:p w:rsidR="00500724" w:rsidRDefault="00F30FB8">
      <w:pPr>
        <w:pStyle w:val="Zkladntext1"/>
        <w:shd w:val="clear" w:color="auto" w:fill="auto"/>
        <w:spacing w:line="209" w:lineRule="auto"/>
        <w:ind w:firstLine="240"/>
      </w:pPr>
      <w:r>
        <w:t>Obchodník ministerským předsedou</w:t>
      </w:r>
    </w:p>
    <w:p w:rsidR="00500724" w:rsidRDefault="00F30FB8">
      <w:pPr>
        <w:pStyle w:val="Zkladntext1"/>
        <w:shd w:val="clear" w:color="auto" w:fill="auto"/>
        <w:spacing w:line="209" w:lineRule="auto"/>
        <w:ind w:firstLine="240"/>
      </w:pPr>
      <w:r>
        <w:t xml:space="preserve">V květnu 1937 </w:t>
      </w:r>
      <w:r>
        <w:rPr>
          <w:lang w:val="en-US" w:eastAsia="en-US" w:bidi="en-US"/>
        </w:rPr>
        <w:t xml:space="preserve">Baldwin </w:t>
      </w:r>
      <w:r>
        <w:t xml:space="preserve">odešel </w:t>
      </w:r>
      <w:r>
        <w:rPr>
          <w:lang w:val="en-US" w:eastAsia="en-US" w:bidi="en-US"/>
        </w:rPr>
        <w:t xml:space="preserve">a Chamberlain </w:t>
      </w:r>
      <w:r>
        <w:t>se ujal po něm vlád</w:t>
      </w:r>
      <w:r>
        <w:t>y. Všichni jeho konkurenti zůstali trochu pozadu. Sir Samuel Hoare byl zatím znemožněn svou účastí na tajných jednáních s Lavalem o odstoupení ve</w:t>
      </w:r>
      <w:r>
        <w:softHyphen/>
        <w:t>liké části Habeše Itálii, návrh to, který tehdy vzbudil divoký odpor v zemi a vedl k resignaci Hoarově na úřad</w:t>
      </w:r>
      <w:r>
        <w:t xml:space="preserve"> ministra zahraničních věcí. Sir Robert </w:t>
      </w:r>
      <w:r>
        <w:rPr>
          <w:lang w:val="en-US" w:eastAsia="en-US" w:bidi="en-US"/>
        </w:rPr>
        <w:t xml:space="preserve">Horne, </w:t>
      </w:r>
      <w:r>
        <w:t xml:space="preserve">obratný, ale nepopulární, zase jednou zklamal naděje. </w:t>
      </w:r>
      <w:r>
        <w:rPr>
          <w:lang w:val="en-US" w:eastAsia="en-US" w:bidi="en-US"/>
        </w:rPr>
        <w:t xml:space="preserve">Winston Churchill </w:t>
      </w:r>
      <w:r>
        <w:t xml:space="preserve">byl vyloučen pro svou nekompromisní agitaci proti vládní politice v Indii i pro jiné příčiny. Nakonec </w:t>
      </w:r>
      <w:r>
        <w:rPr>
          <w:lang w:val="en-US" w:eastAsia="en-US" w:bidi="en-US"/>
        </w:rPr>
        <w:t xml:space="preserve">Chamberlain </w:t>
      </w:r>
      <w:r>
        <w:t>uviděl před sebou volno</w:t>
      </w:r>
      <w:r>
        <w:t>u cestu. Doběhl klidně jako jediný možný kandidát. Byl přijat klidně, ba skoro netečně obecenstvem, ale s jakýmsi nadšením svou vlastní stranou.</w:t>
      </w:r>
    </w:p>
    <w:p w:rsidR="00500724" w:rsidRDefault="00F30FB8">
      <w:pPr>
        <w:pStyle w:val="Zkladntext1"/>
        <w:shd w:val="clear" w:color="auto" w:fill="auto"/>
        <w:spacing w:line="209" w:lineRule="auto"/>
        <w:ind w:firstLine="240"/>
      </w:pPr>
      <w:r>
        <w:t xml:space="preserve">Byl totiž považován za spolehlivého straníka. Když se vzdal svého místa hlavní organisátor strany </w:t>
      </w:r>
      <w:r>
        <w:rPr>
          <w:lang w:val="en-US" w:eastAsia="en-US" w:bidi="en-US"/>
        </w:rPr>
        <w:t>David</w:t>
      </w:r>
      <w:r>
        <w:rPr>
          <w:lang w:val="en-US" w:eastAsia="en-US" w:bidi="en-US"/>
        </w:rPr>
        <w:softHyphen/>
        <w:t xml:space="preserve">son, </w:t>
      </w:r>
      <w:r>
        <w:t>uj</w:t>
      </w:r>
      <w:r>
        <w:t xml:space="preserve">al se </w:t>
      </w:r>
      <w:r>
        <w:rPr>
          <w:lang w:val="en-US" w:eastAsia="en-US" w:bidi="en-US"/>
        </w:rPr>
        <w:t xml:space="preserve">Chamberlain </w:t>
      </w:r>
      <w:r>
        <w:t>úkolu vyčistit rezavý stroj strany. Měl toto místo jen krátký čas a odevzdal je, když úkol úspěšně skončil, lordu Stonehavenovi. Ale už to, že byl zvolen pro tuto delikátní a málo závidění hod</w:t>
      </w:r>
      <w:r>
        <w:softHyphen/>
        <w:t>nou úlohu, ukazovalo, jakou měl ve straně aut</w:t>
      </w:r>
      <w:r>
        <w:t>oritu. By</w:t>
      </w:r>
      <w:r>
        <w:softHyphen/>
        <w:t>strý socialistický kritik o něm napsal, když se stal mini</w:t>
      </w:r>
      <w:r>
        <w:softHyphen/>
        <w:t>sterským předsedou, že je to tvrdý, schopný obchodník bez obraznosti, první skutečný anglický busines- man na tomto místě, a že za jeho vlády se kapitalismus naposled uplatní v Anglii.</w:t>
      </w:r>
    </w:p>
    <w:p w:rsidR="00500724" w:rsidRDefault="00F30FB8">
      <w:pPr>
        <w:pStyle w:val="Zkladntext1"/>
        <w:shd w:val="clear" w:color="auto" w:fill="auto"/>
        <w:spacing w:after="60" w:line="206" w:lineRule="auto"/>
        <w:ind w:firstLine="240"/>
      </w:pPr>
      <w:r>
        <w:t xml:space="preserve">Něco na tom je. </w:t>
      </w:r>
      <w:r>
        <w:rPr>
          <w:lang w:val="en-US" w:eastAsia="en-US" w:bidi="en-US"/>
        </w:rPr>
        <w:t xml:space="preserve">Chamberlain </w:t>
      </w:r>
      <w:r>
        <w:t xml:space="preserve">je nesporně Angličan, nikoli »cizinec«, nikoli žid, jako </w:t>
      </w:r>
      <w:r>
        <w:rPr>
          <w:lang w:val="en-US" w:eastAsia="en-US" w:bidi="en-US"/>
        </w:rPr>
        <w:t xml:space="preserve">Disraeli </w:t>
      </w:r>
      <w:r>
        <w:t xml:space="preserve">nebo Skot, jako </w:t>
      </w:r>
      <w:r>
        <w:rPr>
          <w:lang w:val="en-US" w:eastAsia="en-US" w:bidi="en-US"/>
        </w:rPr>
        <w:t xml:space="preserve">Campbell-Bannerman, </w:t>
      </w:r>
      <w:r>
        <w:t xml:space="preserve">Bonar </w:t>
      </w:r>
      <w:r>
        <w:rPr>
          <w:lang w:val="en-US" w:eastAsia="en-US" w:bidi="en-US"/>
        </w:rPr>
        <w:t xml:space="preserve">Law </w:t>
      </w:r>
      <w:r>
        <w:t xml:space="preserve">nebo </w:t>
      </w:r>
      <w:r>
        <w:rPr>
          <w:lang w:val="en-US" w:eastAsia="en-US" w:bidi="en-US"/>
        </w:rPr>
        <w:t>Ramsay Mac</w:t>
      </w:r>
      <w:r>
        <w:rPr>
          <w:lang w:val="en-US" w:eastAsia="en-US" w:bidi="en-US"/>
        </w:rPr>
        <w:softHyphen/>
        <w:t xml:space="preserve">Donald, </w:t>
      </w:r>
      <w:r>
        <w:t xml:space="preserve">ani Walesan jako </w:t>
      </w:r>
      <w:r>
        <w:rPr>
          <w:lang w:val="en-US" w:eastAsia="en-US" w:bidi="en-US"/>
        </w:rPr>
        <w:t xml:space="preserve">Lloyd George. </w:t>
      </w:r>
      <w:r>
        <w:t>Nemá vlast</w:t>
      </w:r>
      <w:r>
        <w:softHyphen/>
        <w:t>ností, které by ho lišily od davu, jako Balfour se</w:t>
      </w:r>
      <w:r>
        <w:t xml:space="preserve"> svou filosofií nebo </w:t>
      </w:r>
      <w:r>
        <w:rPr>
          <w:lang w:val="en-US" w:eastAsia="en-US" w:bidi="en-US"/>
        </w:rPr>
        <w:t xml:space="preserve">Baldwin </w:t>
      </w:r>
      <w:r>
        <w:t xml:space="preserve">se svou láskou ke klasikům nebo </w:t>
      </w:r>
      <w:r>
        <w:rPr>
          <w:lang w:val="en-US" w:eastAsia="en-US" w:bidi="en-US"/>
        </w:rPr>
        <w:t xml:space="preserve">Asquith </w:t>
      </w:r>
      <w:r>
        <w:t>se svým právnickým vzděláním. Má rád, Sha</w:t>
      </w:r>
      <w:r>
        <w:softHyphen/>
        <w:t xml:space="preserve">kespeara a někdy si nosí v kapse malé vydání některé jeho hry. Je příznačné, že na vrcholu velké podzimní krise citoval verš z Jindřicha IV. Ale </w:t>
      </w:r>
      <w:r>
        <w:t>láska k Shakespea</w:t>
      </w:r>
      <w:r>
        <w:softHyphen/>
        <w:t>rovi je velmi častá u obyčejných Angličanů. Rozhodně</w:t>
      </w:r>
    </w:p>
    <w:p w:rsidR="00500724" w:rsidRDefault="00F30FB8">
      <w:pPr>
        <w:pStyle w:val="Nadpis100"/>
        <w:shd w:val="clear" w:color="auto" w:fill="auto"/>
        <w:spacing w:line="240" w:lineRule="auto"/>
        <w:jc w:val="right"/>
      </w:pPr>
      <w:bookmarkStart w:id="103" w:name="bookmark102"/>
      <w:r>
        <w:rPr>
          <w:rFonts w:ascii="Arial" w:eastAsia="Arial" w:hAnsi="Arial" w:cs="Arial"/>
        </w:rPr>
        <w:t>»</w:t>
      </w:r>
      <w:bookmarkEnd w:id="103"/>
      <w:r>
        <w:br w:type="page"/>
      </w:r>
    </w:p>
    <w:p w:rsidR="00500724" w:rsidRDefault="00F30FB8">
      <w:pPr>
        <w:pStyle w:val="Zkladntext1"/>
        <w:shd w:val="clear" w:color="auto" w:fill="auto"/>
        <w:spacing w:after="40" w:line="209" w:lineRule="auto"/>
        <w:ind w:firstLine="0"/>
      </w:pPr>
      <w:r>
        <w:t xml:space="preserve">je </w:t>
      </w:r>
      <w:r>
        <w:rPr>
          <w:lang w:val="en-US" w:eastAsia="en-US" w:bidi="en-US"/>
        </w:rPr>
        <w:t xml:space="preserve">Chamberlain </w:t>
      </w:r>
      <w:r>
        <w:t xml:space="preserve">praktický obchodník, daleko víc než </w:t>
      </w:r>
      <w:r>
        <w:rPr>
          <w:lang w:val="en-US" w:eastAsia="en-US" w:bidi="en-US"/>
        </w:rPr>
        <w:t xml:space="preserve">Baldwin, </w:t>
      </w:r>
      <w:r>
        <w:t>který se staral o deset jiných věcí — o pra</w:t>
      </w:r>
      <w:r>
        <w:softHyphen/>
        <w:t>sata a dýmky a klasickou literaturu — víc než o ob</w:t>
      </w:r>
      <w:r>
        <w:softHyphen/>
      </w:r>
      <w:r>
        <w:t xml:space="preserve">chod; a daleko spíš než Bon ar </w:t>
      </w:r>
      <w:r>
        <w:rPr>
          <w:lang w:val="en-US" w:eastAsia="en-US" w:bidi="en-US"/>
        </w:rPr>
        <w:t xml:space="preserve">Law, </w:t>
      </w:r>
      <w:r>
        <w:t>který byl víc doko</w:t>
      </w:r>
      <w:r>
        <w:softHyphen/>
        <w:t>nalým statistikem a profesionálním politikem než ob</w:t>
      </w:r>
      <w:r>
        <w:softHyphen/>
        <w:t xml:space="preserve">chodníkem. Opravdu je </w:t>
      </w:r>
      <w:r>
        <w:rPr>
          <w:lang w:val="en-US" w:eastAsia="en-US" w:bidi="en-US"/>
        </w:rPr>
        <w:t xml:space="preserve">Chamberlain </w:t>
      </w:r>
      <w:r>
        <w:t>v jistém smyslu bez obraznosti a tvrdý. V soukromém životě je to velmi vlídný anglický gentleman. Má rád děti a ony</w:t>
      </w:r>
      <w:r>
        <w:t xml:space="preserve"> jeho. Je vždycky &gt;na straně andělů*. Ale jako mnozí Angličané, je netrpělivý k citu, který k ničemu nevede, zejména, domnívá-li se, že cit stojí v cestě praktické nápravě ně</w:t>
      </w:r>
      <w:r>
        <w:softHyphen/>
        <w:t>jakého zlořádu. Když se jednou dostal do pouliční ne</w:t>
      </w:r>
      <w:r>
        <w:softHyphen/>
        <w:t xml:space="preserve">hody v Chichestern, zvolal: </w:t>
      </w:r>
      <w:r>
        <w:t>&gt;Tohle je pěkný pořádek!* Nebyl podrážděn osobními nesnázemi, do nichž se do</w:t>
      </w:r>
      <w:r>
        <w:softHyphen/>
        <w:t>stal, ale zmatek urážel jeho smysl pro pořádek.</w:t>
      </w:r>
    </w:p>
    <w:p w:rsidR="00500724" w:rsidRDefault="00F30FB8">
      <w:pPr>
        <w:pStyle w:val="Zkladntext1"/>
        <w:shd w:val="clear" w:color="auto" w:fill="auto"/>
        <w:spacing w:after="40" w:line="209" w:lineRule="auto"/>
        <w:ind w:firstLine="240"/>
      </w:pPr>
      <w:r>
        <w:t>Když se díval na Evropu, ujímaje seroku 1937 úřa</w:t>
      </w:r>
      <w:r>
        <w:softHyphen/>
        <w:t>du, nepochybně si říkal s ještě větším důrazem, že tohle je pěkný pořádek, a byl a</w:t>
      </w:r>
      <w:r>
        <w:t>si ochoten obětovat mnoho citů k nápravě. Už roku 1936 měl řeč, v níž prohlásil, že pokračovat v sankcích proti Itálii je skutečně pokraj bláznovství. Způsobilo to tehdy rozruch, nebof toto pří</w:t>
      </w:r>
      <w:r>
        <w:softHyphen/>
        <w:t>mé prohlášení se těžko dalo srovnat s politikou vlády a zejmén</w:t>
      </w:r>
      <w:r>
        <w:t xml:space="preserve">a některých jejích členů, jako byl </w:t>
      </w:r>
      <w:r>
        <w:rPr>
          <w:lang w:val="en-US" w:eastAsia="en-US" w:bidi="en-US"/>
        </w:rPr>
        <w:t xml:space="preserve">Anthony </w:t>
      </w:r>
      <w:r>
        <w:t xml:space="preserve">Eden, ministr zahraničních věcí. Vzbudilo to podezření, že </w:t>
      </w:r>
      <w:r>
        <w:rPr>
          <w:lang w:val="en-US" w:eastAsia="en-US" w:bidi="en-US"/>
        </w:rPr>
        <w:t xml:space="preserve">Chamberlain </w:t>
      </w:r>
      <w:r>
        <w:t>má nějakou vlastní zahraniční politiku, která rozhodně nebyla politikou Edenovou a patrně ani Společnosti národů vůbec. Byla to předzvěst sráž</w:t>
      </w:r>
      <w:r>
        <w:t>ky. A brzy srážka skutečně také nastala.</w:t>
      </w:r>
    </w:p>
    <w:p w:rsidR="00500724" w:rsidRDefault="00F30FB8">
      <w:pPr>
        <w:pStyle w:val="Zkladntext1"/>
        <w:shd w:val="clear" w:color="auto" w:fill="auto"/>
        <w:spacing w:after="40" w:line="209" w:lineRule="auto"/>
        <w:ind w:firstLine="0"/>
        <w:jc w:val="center"/>
      </w:pPr>
      <w:r>
        <w:rPr>
          <w:lang w:val="en-US" w:eastAsia="en-US" w:bidi="en-US"/>
        </w:rPr>
        <w:t xml:space="preserve">Chamberlain contra </w:t>
      </w:r>
      <w:r>
        <w:t>Eden</w:t>
      </w:r>
    </w:p>
    <w:p w:rsidR="00500724" w:rsidRDefault="00F30FB8">
      <w:pPr>
        <w:pStyle w:val="Zkladntext1"/>
        <w:shd w:val="clear" w:color="auto" w:fill="auto"/>
        <w:spacing w:after="40" w:line="209" w:lineRule="auto"/>
        <w:ind w:firstLine="240"/>
      </w:pPr>
      <w:r>
        <w:t xml:space="preserve">V prvních dobách svého ministerského předsednictví neměl </w:t>
      </w:r>
      <w:r>
        <w:rPr>
          <w:lang w:val="en-US" w:eastAsia="en-US" w:bidi="en-US"/>
        </w:rPr>
        <w:t xml:space="preserve">Chamberlain </w:t>
      </w:r>
      <w:r>
        <w:t xml:space="preserve">styků s Hitlerem, ale měl přátelský poměr k Mussolinimu, psal si s ním a byl s ním ve styku prostřednictvím své švagrové, </w:t>
      </w:r>
      <w:r>
        <w:t>vdovy po siru Austenu Chamberlainovi, která je osobní přítelkyní a obdivova</w:t>
      </w:r>
      <w:r>
        <w:softHyphen/>
        <w:t>telkou italského diktátora. Naproti tomu Eden se osob</w:t>
      </w:r>
      <w:r>
        <w:softHyphen/>
        <w:t>ně setkal jak s Hitlerem, tak s Mussolinim. Jeho roz</w:t>
      </w:r>
      <w:r>
        <w:softHyphen/>
        <w:t>mluva s Hitlerem byla neuspokojivá a jeho rozmluva s Mussolinim ještě neu</w:t>
      </w:r>
      <w:r>
        <w:t>spokojivější. Neměl rád dikta</w:t>
      </w:r>
      <w:r>
        <w:softHyphen/>
        <w:t>turu jakožto systém a neoblíbil si o nic víc ani diktá</w:t>
      </w:r>
      <w:r>
        <w:softHyphen/>
        <w:t>tory, když je uviděl živé před sebou.</w:t>
      </w:r>
    </w:p>
    <w:p w:rsidR="00500724" w:rsidRDefault="00F30FB8">
      <w:pPr>
        <w:pStyle w:val="Zkladntext1"/>
        <w:shd w:val="clear" w:color="auto" w:fill="auto"/>
        <w:spacing w:line="209" w:lineRule="auto"/>
        <w:ind w:firstLine="240"/>
      </w:pPr>
      <w:r>
        <w:t xml:space="preserve">Tento osobní rozdíl nemusil mnoho znamenat, kdyby nebyl zdůrazňoval a zesiloval věcný rozdíl v politice. Nebof </w:t>
      </w:r>
      <w:r>
        <w:rPr>
          <w:lang w:val="en-US" w:eastAsia="en-US" w:bidi="en-US"/>
        </w:rPr>
        <w:t xml:space="preserve">Chamberlain </w:t>
      </w:r>
      <w:r>
        <w:t>měl svou v</w:t>
      </w:r>
      <w:r>
        <w:t>lastní zahraniční poli</w:t>
      </w:r>
      <w:r>
        <w:softHyphen/>
        <w:t>tiku. Chamberlainovou politikou tehdy bylo, jak se zdá, pokusit se o pořádek v Evropě dohodou s Itálií, která by aspoň zmirňovala německé nebezpečí, stále přítomné v myslích anglických státníků. Itálie byla k takové do</w:t>
      </w:r>
      <w:r>
        <w:softHyphen/>
        <w:t>hodě víc než o</w:t>
      </w:r>
      <w:r>
        <w:t>chotna. Nesmírně potřebovala úvěru a většího zahraničního obchodu. Habeš, dobytá s takový</w:t>
      </w:r>
      <w:r>
        <w:softHyphen/>
        <w:t>mi obětmi, nepřestala být břemenem, a to těžkým. Špa</w:t>
      </w:r>
      <w:r>
        <w:softHyphen/>
        <w:t>nělské dobrodružství sé příliš nedařilo. Na italské stra</w:t>
      </w:r>
      <w:r>
        <w:softHyphen/>
        <w:t>ně mluvilo všechno pro dohodu, a čím dřív, tím lépe.</w:t>
      </w:r>
    </w:p>
    <w:p w:rsidR="00500724" w:rsidRDefault="00F30FB8">
      <w:pPr>
        <w:pStyle w:val="Zkladntext1"/>
        <w:shd w:val="clear" w:color="auto" w:fill="auto"/>
        <w:spacing w:after="40" w:line="209" w:lineRule="auto"/>
        <w:ind w:firstLine="240"/>
      </w:pPr>
      <w:r>
        <w:t>Ede</w:t>
      </w:r>
      <w:r>
        <w:t>n nepopíral, že dohoda s Itálií je žádoucí. Ale měl za to, nikoli bez důvodů, že nějaký důkaz dobré vůle s italské strany je nezbytným předpokladem přátel</w:t>
      </w:r>
      <w:r>
        <w:softHyphen/>
        <w:t>ského paktu. Je nepopiratelné, že Itálie neustále jed</w:t>
      </w:r>
      <w:r>
        <w:softHyphen/>
        <w:t xml:space="preserve">nala opačně: slib neposílat už dobrovolníky do </w:t>
      </w:r>
      <w:r>
        <w:t>Španěl</w:t>
      </w:r>
      <w:r>
        <w:softHyphen/>
        <w:t>ska, byl porušen, sotva byl vysloven. Eden tedy žádal nějaké záruky. Ministerský předseda naproti tomu si nechtěl za tak příznivých okolností nechat ujít příleži</w:t>
      </w:r>
      <w:r>
        <w:softHyphen/>
        <w:t>tost k zlepšení vztahů k Itálii pokusem žádati garancie, kterých by třeba byl nedostal.</w:t>
      </w:r>
      <w:r>
        <w:t xml:space="preserve"> Byl stejně pevný jako Eden v požadavku, aby Italové byli odvoláni ze Špa</w:t>
      </w:r>
      <w:r>
        <w:softHyphen/>
        <w:t>nělska, ale myslil si, že stačí, učiní-li splnění tohoto zá</w:t>
      </w:r>
      <w:r>
        <w:softHyphen/>
        <w:t>vazku podmínkou ratifikace dohody. Byl netrpělivý, aby rozpravy už začaly.</w:t>
      </w:r>
    </w:p>
    <w:p w:rsidR="00500724" w:rsidRDefault="00F30FB8">
      <w:pPr>
        <w:pStyle w:val="Zkladntext1"/>
        <w:shd w:val="clear" w:color="auto" w:fill="auto"/>
        <w:spacing w:line="211" w:lineRule="auto"/>
        <w:ind w:firstLine="240"/>
      </w:pPr>
      <w:r>
        <w:t>Rozdíl mezi oběma stanovisky se zdá vnějšímu po</w:t>
      </w:r>
      <w:r>
        <w:t>zo</w:t>
      </w:r>
      <w:r>
        <w:softHyphen/>
        <w:t>rovateli malý; ale byl zvětšen pozadím sporu. V očích mnoha lidí se stal tento spor zápasem mezi těmi, kdo podporovali Společnost národů, a těmi, kdo ji považo</w:t>
      </w:r>
      <w:r>
        <w:softHyphen/>
        <w:t>vali za mrtvou a chtěli, aby se za ni našla nějaká ná-- hřada. Je sotva spravedlivé k ministe</w:t>
      </w:r>
      <w:r>
        <w:t>rskému předsedo</w:t>
      </w:r>
      <w:r>
        <w:softHyphen/>
        <w:t>vi ztotožňovat jej s tímto druhým směrem. Není pochyb</w:t>
      </w:r>
      <w:r>
        <w:softHyphen/>
        <w:t xml:space="preserve">nosti o jeho sympatiích k hlavním zásadám ženevským. Kdyby byla Společnost národů dobře fungovala, byla by neměla většího zastánce nad něho. Bylo to jen jeho rostoucí přesvědčení, že se </w:t>
      </w:r>
      <w:r>
        <w:t>nedá v nynějším světě oživit, které ho vedlo k hledání jiných prostředků pro zacho</w:t>
      </w:r>
      <w:r>
        <w:softHyphen/>
        <w:t xml:space="preserve">vání míru v Evropě. Je však pravda, že byl jeden velký rozdíl v názorech mezi Chamberlainem a Edenem: </w:t>
      </w:r>
      <w:r>
        <w:rPr>
          <w:lang w:val="en-US" w:eastAsia="en-US" w:bidi="en-US"/>
        </w:rPr>
        <w:t xml:space="preserve">Chamberlain </w:t>
      </w:r>
      <w:r>
        <w:t>se díval na Společnost národů jako na ná</w:t>
      </w:r>
      <w:r>
        <w:softHyphen/>
        <w:t>stroj, s nímž se m</w:t>
      </w:r>
      <w:r>
        <w:t>á pracovat; Eden jako na zásadu, pro niž se má bojovat. Tyto dva názory nejsou nutně proti</w:t>
      </w:r>
      <w:r>
        <w:softHyphen/>
        <w:t>chůdné, ale mohou se stát za určitých okolností nesluči</w:t>
      </w:r>
      <w:r>
        <w:softHyphen/>
        <w:t>telnými — a na počátku roku 1958 skutečně byly. Dne 19. února, po dlouhé kabinetní krisi, Eden resignoval.</w:t>
      </w:r>
    </w:p>
    <w:p w:rsidR="00500724" w:rsidRDefault="00F30FB8">
      <w:pPr>
        <w:pStyle w:val="Zkladntext1"/>
        <w:shd w:val="clear" w:color="auto" w:fill="auto"/>
        <w:spacing w:line="209" w:lineRule="auto"/>
        <w:ind w:firstLine="240"/>
      </w:pPr>
      <w:r>
        <w:t>Pr</w:t>
      </w:r>
      <w:r>
        <w:t>o vládu to byla rozhodně rána. S Edenem se podě</w:t>
      </w:r>
      <w:r>
        <w:softHyphen/>
        <w:t>koval jen jeden ministr, ale bylo známo, že jiní sdíleli jeho názory a měli dokonce pokušení odejít s ním. Vel</w:t>
      </w:r>
      <w:r>
        <w:softHyphen/>
        <w:t xml:space="preserve">ká část veřejného mínění byla na jeho straně, a když se objevil na veřejnosti, bylo mu tleskáno. </w:t>
      </w:r>
      <w:r>
        <w:t>Také za hra</w:t>
      </w:r>
      <w:r>
        <w:softHyphen/>
        <w:t>nicemi byl účinek resignace neutěšený. Edenův odchod následoval po týdnu prudké kampaně italského tisku, jenž žádal jeho odstranění; a tak se zdálo, jako by to byl odchod nadiktovaný. Německo bylo novinou potě</w:t>
      </w:r>
      <w:r>
        <w:softHyphen/>
        <w:t>šeno, Itálie unesena a Francie dep</w:t>
      </w:r>
      <w:r>
        <w:t>rimována.</w:t>
      </w:r>
    </w:p>
    <w:p w:rsidR="00500724" w:rsidRDefault="00F30FB8">
      <w:pPr>
        <w:pStyle w:val="Zkladntext1"/>
        <w:shd w:val="clear" w:color="auto" w:fill="auto"/>
        <w:spacing w:line="209" w:lineRule="auto"/>
        <w:ind w:firstLine="240"/>
      </w:pPr>
      <w:r>
        <w:t>Konec konců z toho tehdy nevzešlo nic dobrého. Do</w:t>
      </w:r>
      <w:r>
        <w:softHyphen/>
        <w:t>hoda s Itálií zůstávala nepodepsána, protože Italové nechtěli odvolat své vojáky ze Španělska. Španělská válka byla i dále trnem v oku ministerského předsedy. Německé a italské letouny potápěly dá</w:t>
      </w:r>
      <w:r>
        <w:t>le lodi s britskou vlajkou a ministerský předseda i vláda trpěli na veřej</w:t>
      </w:r>
      <w:r>
        <w:softHyphen/>
        <w:t>né vážnosti, že se nevzmohli na nic jiného, leda na pro</w:t>
      </w:r>
      <w:r>
        <w:softHyphen/>
        <w:t>testy. Věci se mohly ještě daleko zhoršit, kdyby jiná bouřková mračna, proti nimž tato byla jen pouhým stí</w:t>
      </w:r>
      <w:r>
        <w:softHyphen/>
        <w:t>nem, nebyla vytlači</w:t>
      </w:r>
      <w:r>
        <w:t>la z veřejné pozornosti španělskou válku.</w:t>
      </w:r>
    </w:p>
    <w:p w:rsidR="00500724" w:rsidRDefault="00F30FB8">
      <w:pPr>
        <w:pStyle w:val="Zkladntext1"/>
        <w:shd w:val="clear" w:color="auto" w:fill="auto"/>
        <w:spacing w:line="209" w:lineRule="auto"/>
        <w:ind w:firstLine="240"/>
      </w:pPr>
      <w:r>
        <w:t>Chamberlainův osobní poměr k Edenovi zůstal dost srdečný. Ministerský předseda dělal, co mohl, aby ho přiměl rozmyslit si resignaci, a byl odměněn velkomysl- ností, s níž se odstupující ministr zřekl možnosti vytěž</w:t>
      </w:r>
      <w:r>
        <w:t>it svůj spor s vládou. Eden stál pevně za svým názorem a vyslovil jej veřejně ve sněmovně a ve svém volebním okrese, ale nedělal, jak by byl mohl, nesnáze minister</w:t>
      </w:r>
      <w:r>
        <w:softHyphen/>
        <w:t>skému předsedovi a nepokoušel se rozštěpiti stranu; ta i onen měli důvody, aby mu za to byli</w:t>
      </w:r>
      <w:r>
        <w:t xml:space="preserve"> vděčni.</w:t>
      </w:r>
    </w:p>
    <w:p w:rsidR="00500724" w:rsidRDefault="00F30FB8">
      <w:pPr>
        <w:pStyle w:val="Zkladntext1"/>
        <w:shd w:val="clear" w:color="auto" w:fill="auto"/>
        <w:spacing w:after="60" w:line="209" w:lineRule="auto"/>
        <w:ind w:firstLine="240"/>
      </w:pPr>
      <w:r>
        <w:t xml:space="preserve">Ale na druhé straně </w:t>
      </w:r>
      <w:r>
        <w:rPr>
          <w:lang w:val="en-US" w:eastAsia="en-US" w:bidi="en-US"/>
        </w:rPr>
        <w:t xml:space="preserve">Chamberlain </w:t>
      </w:r>
      <w:r>
        <w:t>nikdy příliš nevá</w:t>
      </w:r>
      <w:r>
        <w:softHyphen/>
        <w:t xml:space="preserve">hal rozloučiti se s ministrem, který s ním nesouhlasil. Nechal Edena odejít, ačkoli se to zdálo riskantní, nebof to mohlo rozpoutat stejnou bouři, jako byla ta, před níž musila ustoupit Baldwinova </w:t>
      </w:r>
      <w:r>
        <w:t>vláda po Hoarových vy</w:t>
      </w:r>
      <w:r>
        <w:softHyphen/>
        <w:t>jednáváních o Habeš. Rozešel se docela klidně po pod</w:t>
      </w:r>
      <w:r>
        <w:softHyphen/>
        <w:t>zimní krisi s Duffem Cooperem, když ten nesouhlasil s jeho politikou — »zřejmě spíš s úlevou než se zármut</w:t>
      </w:r>
      <w:r>
        <w:softHyphen/>
        <w:t>kem*, jak se vyjádřila oběť sama.</w:t>
      </w:r>
    </w:p>
    <w:p w:rsidR="00500724" w:rsidRDefault="00F30FB8">
      <w:pPr>
        <w:pStyle w:val="Zkladntext1"/>
        <w:shd w:val="clear" w:color="auto" w:fill="auto"/>
        <w:spacing w:line="209" w:lineRule="auto"/>
        <w:ind w:firstLine="0"/>
        <w:jc w:val="center"/>
      </w:pPr>
      <w:r>
        <w:t>Úřad změnil člověka</w:t>
      </w:r>
    </w:p>
    <w:p w:rsidR="00500724" w:rsidRDefault="00F30FB8">
      <w:pPr>
        <w:pStyle w:val="Zkladntext1"/>
        <w:shd w:val="clear" w:color="auto" w:fill="auto"/>
        <w:spacing w:line="209" w:lineRule="auto"/>
        <w:ind w:firstLine="240"/>
      </w:pPr>
      <w:r>
        <w:rPr>
          <w:noProof/>
        </w:rPr>
        <mc:AlternateContent>
          <mc:Choice Requires="wps">
            <w:drawing>
              <wp:anchor distT="0" distB="254000" distL="114300" distR="114300" simplePos="0" relativeHeight="125829444" behindDoc="0" locked="0" layoutInCell="1" allowOverlap="1">
                <wp:simplePos x="0" y="0"/>
                <wp:positionH relativeFrom="page">
                  <wp:posOffset>396240</wp:posOffset>
                </wp:positionH>
                <wp:positionV relativeFrom="margin">
                  <wp:posOffset>8981440</wp:posOffset>
                </wp:positionV>
                <wp:extent cx="173990" cy="17081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173990" cy="170815"/>
                        </a:xfrm>
                        <a:prstGeom prst="rect">
                          <a:avLst/>
                        </a:prstGeom>
                        <a:noFill/>
                      </wps:spPr>
                      <wps:txbx>
                        <w:txbxContent>
                          <w:p w:rsidR="00500724" w:rsidRDefault="00F30FB8">
                            <w:pPr>
                              <w:pStyle w:val="Zkladntext1"/>
                              <w:shd w:val="clear" w:color="auto" w:fill="auto"/>
                              <w:ind w:firstLine="0"/>
                              <w:jc w:val="left"/>
                              <w:rPr>
                                <w:sz w:val="20"/>
                                <w:szCs w:val="20"/>
                              </w:rPr>
                            </w:pPr>
                            <w:r>
                              <w:rPr>
                                <w:b/>
                                <w:bCs/>
                                <w:sz w:val="20"/>
                                <w:szCs w:val="20"/>
                              </w:rPr>
                              <w:t>6o</w:t>
                            </w:r>
                          </w:p>
                        </w:txbxContent>
                      </wps:txbx>
                      <wps:bodyPr lIns="0" tIns="0" rIns="0" bIns="0">
                        <a:spAutoFit/>
                      </wps:bodyPr>
                    </wps:wsp>
                  </a:graphicData>
                </a:graphic>
              </wp:anchor>
            </w:drawing>
          </mc:Choice>
          <mc:Fallback>
            <w:pict>
              <v:shape id="_x0000_s1093" type="#_x0000_t202" style="position:absolute;margin-left:31.199999999999999pt;margin-top:707.20000000000005pt;width:13.699999999999999pt;height:13.449999999999999pt;z-index:-125829309;mso-wrap-distance-left:9.pt;mso-wrap-distance-right: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6o</w:t>
                      </w:r>
                    </w:p>
                  </w:txbxContent>
                </v:textbox>
                <w10:wrap type="topAndBottom" anchorx="page" anchory="margin"/>
              </v:shape>
            </w:pict>
          </mc:Fallback>
        </mc:AlternateContent>
      </w:r>
      <w:r>
        <w:t xml:space="preserve">Vysoký úřad </w:t>
      </w:r>
      <w:r>
        <w:t>změnil Chamberlaina k nepoznání. Mlu</w:t>
      </w:r>
      <w:r>
        <w:softHyphen/>
        <w:t>ví nesrovnatelně lépe než mluvíval. Jeho nejlepší řeči stále ještě postrádají ohně a jiskrnosti velkého řečnic</w:t>
      </w:r>
      <w:r>
        <w:softHyphen/>
        <w:t>kého umění, ale přece jen mají aspoň trochu ohně a ja</w:t>
      </w:r>
      <w:r>
        <w:softHyphen/>
        <w:t>kousi jiskru. Už nepřipomínají tak naléhavě, jako jeho</w:t>
      </w:r>
      <w:r>
        <w:t xml:space="preserve"> někdejší řeči, výklady předsedy správní rady unudě- ným členům o výsledcích celkem úspěšného roku. Také jeho způsoby se změnily. Když asi rok nebo dva před Baldwinovým odstoupením zastupoval tehdejšího mini</w:t>
      </w:r>
      <w:r>
        <w:softHyphen/>
        <w:t xml:space="preserve">sterského předsedu na konservativní schůzi, šel </w:t>
      </w:r>
      <w:r>
        <w:t>stře</w:t>
      </w:r>
      <w:r>
        <w:softHyphen/>
        <w:t>dem sálu, nedívaje se ani napravo ani nalevo, zatím co paní Chamberlainová kráčela po jeho boku, usmívajíc se a kynouc na všechny strany. Ale když přišel před skoro totéž obecenstvo jen za několik měsíců poté jako předseda vlády, nikdo nemohl být srde</w:t>
      </w:r>
      <w:r>
        <w:t>čnější, ani se víc smát a uklánět a tisknout všem ruce, než on. Celý muž se zdál jako vyměněný. Tato změna není výjimečná u lidí, povolaných k vysokým úřadům.</w:t>
      </w:r>
      <w:r>
        <w:br w:type="page"/>
      </w:r>
    </w:p>
    <w:p w:rsidR="00500724" w:rsidRDefault="00F30FB8">
      <w:pPr>
        <w:pStyle w:val="Zkladntext1"/>
        <w:shd w:val="clear" w:color="auto" w:fill="auto"/>
        <w:spacing w:line="228" w:lineRule="auto"/>
        <w:ind w:firstLine="260"/>
      </w:pPr>
      <w:r>
        <w:t>Karikaturisté s Nevillem Chamberlainem mnoho ne</w:t>
      </w:r>
      <w:r>
        <w:softHyphen/>
        <w:t>svedli. Kdyby byl nedbalý v oblékání, kdyby nosi</w:t>
      </w:r>
      <w:r>
        <w:t xml:space="preserve">l </w:t>
      </w:r>
      <w:r>
        <w:rPr>
          <w:lang w:val="en-US" w:eastAsia="en-US" w:bidi="en-US"/>
        </w:rPr>
        <w:t xml:space="preserve">mackintosh </w:t>
      </w:r>
      <w:r>
        <w:t>tak vytrvale jako deštník, mohl by se kres</w:t>
      </w:r>
      <w:r>
        <w:softHyphen/>
        <w:t xml:space="preserve">lit, jako kreslí kontinentální tisk typického Angličana. Ale </w:t>
      </w:r>
      <w:r>
        <w:rPr>
          <w:lang w:val="en-US" w:eastAsia="en-US" w:bidi="en-US"/>
        </w:rPr>
        <w:t xml:space="preserve">Chamberlain, </w:t>
      </w:r>
      <w:r>
        <w:t xml:space="preserve">třebaže není tak elegantní jako </w:t>
      </w:r>
      <w:r>
        <w:rPr>
          <w:lang w:val="en-US" w:eastAsia="en-US" w:bidi="en-US"/>
        </w:rPr>
        <w:t xml:space="preserve">Anthony </w:t>
      </w:r>
      <w:r>
        <w:t xml:space="preserve">Eden, je vždycky oblečen podle předpisu. Ani </w:t>
      </w:r>
      <w:r>
        <w:rPr>
          <w:lang w:val="en-US" w:eastAsia="en-US" w:bidi="en-US"/>
        </w:rPr>
        <w:t xml:space="preserve">Low </w:t>
      </w:r>
      <w:r>
        <w:t xml:space="preserve">nedokázal více než nakreslit ho jako </w:t>
      </w:r>
      <w:r>
        <w:t>zkrachova</w:t>
      </w:r>
      <w:r>
        <w:softHyphen/>
        <w:t>ného obchodníka, stěží zadržujícího pláč. Za podzimní krise se objevila znamenitá kresba v oposičním listě, podávajícího jej jako číšníka, spěchajícího s Českoslo</w:t>
      </w:r>
      <w:r>
        <w:softHyphen/>
        <w:t xml:space="preserve">venskem jako pečenou husou na míse obsloužit Hitlera, který sedí za stolem a volá: </w:t>
      </w:r>
      <w:r>
        <w:t xml:space="preserve">&gt;Obsluha!« na což </w:t>
      </w:r>
      <w:r>
        <w:rPr>
          <w:lang w:val="en-US" w:eastAsia="en-US" w:bidi="en-US"/>
        </w:rPr>
        <w:t>Cham</w:t>
      </w:r>
      <w:r>
        <w:rPr>
          <w:lang w:val="en-US" w:eastAsia="en-US" w:bidi="en-US"/>
        </w:rPr>
        <w:softHyphen/>
        <w:t xml:space="preserve">berlain </w:t>
      </w:r>
      <w:r>
        <w:t>ochotně odpovídá: &gt;K službám, vašnostix Ale to je spíš kresba situace než člověka. Fakt je, že nemá typických rysů, které činí politika populárním a známým.</w:t>
      </w:r>
    </w:p>
    <w:p w:rsidR="00500724" w:rsidRDefault="00F30FB8">
      <w:pPr>
        <w:pStyle w:val="Zkladntext1"/>
        <w:shd w:val="clear" w:color="auto" w:fill="auto"/>
        <w:spacing w:line="209" w:lineRule="auto"/>
        <w:ind w:firstLine="260"/>
      </w:pPr>
      <w:r>
        <w:t>Kouří dýmku, ale ne s takovou zakořeněnou náchyl</w:t>
      </w:r>
      <w:r>
        <w:softHyphen/>
        <w:t>ností, jaká učinila</w:t>
      </w:r>
      <w:r>
        <w:t xml:space="preserve"> z dýmky symbol Baldwinův. Jednou s lítostí prohodil, že jemu nebude obecenstvo nikdy ří</w:t>
      </w:r>
      <w:r>
        <w:softHyphen/>
        <w:t xml:space="preserve">kat prostě » </w:t>
      </w:r>
      <w:r>
        <w:rPr>
          <w:lang w:val="en-US" w:eastAsia="en-US" w:bidi="en-US"/>
        </w:rPr>
        <w:t xml:space="preserve">Neville*, </w:t>
      </w:r>
      <w:r>
        <w:t>ale teď to už není tak jisté. Jeho deštník začíná nabývat jakési umírněné proslulosti. Za</w:t>
      </w:r>
      <w:r>
        <w:softHyphen/>
        <w:t>pomněl si jej, když letěl do Mnichova, a musili mu pro</w:t>
      </w:r>
      <w:r>
        <w:t xml:space="preserve"> něj poslat. Když přiletěl do Mnichova, zapomněl jej zase a poslíček jej musil za ním přinést.</w:t>
      </w:r>
    </w:p>
    <w:p w:rsidR="00500724" w:rsidRDefault="00F30FB8">
      <w:pPr>
        <w:pStyle w:val="Zkladntext1"/>
        <w:shd w:val="clear" w:color="auto" w:fill="auto"/>
        <w:spacing w:line="209" w:lineRule="auto"/>
        <w:ind w:firstLine="260"/>
      </w:pPr>
      <w:r>
        <w:t>Je stejně výkonný při svých zábavách jako při práci. Podle svědectví svého sluhy je moc dobrý, moc dobrý rybář; je to veliká škoda, že je zahrabán v Londýně, zat</w:t>
      </w:r>
      <w:r>
        <w:t>ím co by mohl být tady na severu a chytat ryby. Miluje hudbu a má docela slušný hlas, což je zvláštní, protože při řečnění je jeho hlas spíše drsný. Hudba je jedním z pojítek mezi ním a jeho ženou. Rybaření je jeho vášeň. Ještě se připomíná jeho řeč, ktero</w:t>
      </w:r>
      <w:r>
        <w:t>u pronesl jako kancléř pokladu o T. A. Waterhousovi, předsedovi Birminghamského rybářského sdružení, na důkaz vděč</w:t>
      </w:r>
      <w:r>
        <w:softHyphen/>
        <w:t>nosti za všechny jeho zásluhy o amatérské rybářství a o rybařinu vůbec. Je předsedou Středoanglického loso</w:t>
      </w:r>
      <w:r>
        <w:softHyphen/>
        <w:t>sího a pstruzího klubu, malého to,</w:t>
      </w:r>
      <w:r>
        <w:t xml:space="preserve"> ale vybraného spolku. Nejčastěji chytá ve Skotsku. Ale rybařil také ve Wale</w:t>
      </w:r>
      <w:r>
        <w:softHyphen/>
        <w:t>su a v Irsku.</w:t>
      </w:r>
    </w:p>
    <w:p w:rsidR="00500724" w:rsidRDefault="00F30FB8">
      <w:pPr>
        <w:pStyle w:val="Zkladntext1"/>
        <w:shd w:val="clear" w:color="auto" w:fill="auto"/>
        <w:spacing w:line="209" w:lineRule="auto"/>
        <w:ind w:firstLine="260"/>
      </w:pPr>
      <w:r>
        <w:t>K největší výřečnosti však jej pohnula jeho láska k ptákům. Jeho příspěvek, jejž poslal jednou &gt;Daily Te- legraphu*, když letěl s pakostnieí, a v němž líčí, jak přis</w:t>
      </w:r>
      <w:r>
        <w:t xml:space="preserve">tihl kosa, napodobujícího zpěv drozda a &gt;pyšného na svůj výkone, je docela okouzlující kus přírodního líčení. </w:t>
      </w:r>
      <w:r>
        <w:rPr>
          <w:lang w:val="en-US" w:eastAsia="en-US" w:bidi="en-US"/>
        </w:rPr>
        <w:t xml:space="preserve">Chamberlain </w:t>
      </w:r>
      <w:r>
        <w:t xml:space="preserve">popisuje zahradu čísla 11 na </w:t>
      </w:r>
      <w:r>
        <w:rPr>
          <w:lang w:val="en-US" w:eastAsia="en-US" w:bidi="en-US"/>
        </w:rPr>
        <w:t>Dow</w:t>
      </w:r>
      <w:r>
        <w:rPr>
          <w:lang w:val="en-US" w:eastAsia="en-US" w:bidi="en-US"/>
        </w:rPr>
        <w:softHyphen/>
        <w:t xml:space="preserve">ning </w:t>
      </w:r>
      <w:r>
        <w:t>Street, což je sídlo ministerstva financí, a jak ráno vždycky čekával na jásavé hej hou, hej hou</w:t>
      </w:r>
      <w:r>
        <w:t>, až koneč</w:t>
      </w:r>
      <w:r>
        <w:softHyphen/>
        <w:t>ně jednou přistihl ptáka při činu. i-Kdykoli se příště budu vracet v myšlenkách k zahradě čísla 10, vždycky budu znovu slyšet to hej hou, hej hou.* Je to překvapu</w:t>
      </w:r>
      <w:r>
        <w:softHyphen/>
        <w:t>jící z pera, které je obyčejně tak málo lyrické.</w:t>
      </w:r>
    </w:p>
    <w:p w:rsidR="00500724" w:rsidRDefault="00F30FB8">
      <w:pPr>
        <w:pStyle w:val="Zkladntext1"/>
        <w:shd w:val="clear" w:color="auto" w:fill="auto"/>
        <w:spacing w:line="209" w:lineRule="auto"/>
        <w:ind w:firstLine="260"/>
      </w:pPr>
      <w:r>
        <w:t>Hlavní Chamberlainovou vlastností</w:t>
      </w:r>
      <w:r>
        <w:t xml:space="preserve"> je přímost. Vždy</w:t>
      </w:r>
      <w:r>
        <w:softHyphen/>
        <w:t>cky jde přímo k věci. Je-li to člověk, jde se na něj po</w:t>
      </w:r>
      <w:r>
        <w:softHyphen/>
        <w:t xml:space="preserve">dívat. Vzpíral se některý birminghamský majitel hrlo- hů asanaci? Sel se na něj podívat. Dělá </w:t>
      </w:r>
      <w:r>
        <w:rPr>
          <w:lang w:val="en-US" w:eastAsia="en-US" w:bidi="en-US"/>
        </w:rPr>
        <w:t xml:space="preserve">Labour </w:t>
      </w:r>
      <w:r>
        <w:t>velkou oposici? Jde k mluvčímu oposice a rozmlouvá s ním. To byla vždycky jeho me</w:t>
      </w:r>
      <w:r>
        <w:t xml:space="preserve">toda a při poslední křísí také. Sel osobně k odpůrci na druhé straně, tak samozřejmě, jako chodíval k panu </w:t>
      </w:r>
      <w:r>
        <w:rPr>
          <w:lang w:val="en-US" w:eastAsia="en-US" w:bidi="en-US"/>
        </w:rPr>
        <w:t xml:space="preserve">Montagu </w:t>
      </w:r>
      <w:r>
        <w:t>do financí.</w:t>
      </w:r>
    </w:p>
    <w:p w:rsidR="00500724" w:rsidRDefault="00F30FB8">
      <w:pPr>
        <w:pStyle w:val="Zkladntext1"/>
        <w:shd w:val="clear" w:color="auto" w:fill="auto"/>
        <w:spacing w:line="209" w:lineRule="auto"/>
        <w:ind w:firstLine="260"/>
      </w:pPr>
      <w:r>
        <w:t>Nejšfastnější je doma. Na jeho rané dětství padl stín, když mu ve věku šesti let zemřela matka. Kus jeho uzavřenosti se patrně dá</w:t>
      </w:r>
      <w:r>
        <w:t xml:space="preserve"> vysvětlit touto ztrátou. Těž</w:t>
      </w:r>
      <w:r>
        <w:softHyphen/>
        <w:t>kou ránu dostal za války, když ztratil svého milova</w:t>
      </w:r>
      <w:r>
        <w:softHyphen/>
        <w:t xml:space="preserve">ného synovce Normana, skvělého mladého muže, který měl velký zájem o sociální reformy a byl z hlavních jeho spolupracovníků v Birminghamu. V manželství je </w:t>
      </w:r>
      <w:r>
        <w:rPr>
          <w:lang w:val="en-US" w:eastAsia="en-US" w:bidi="en-US"/>
        </w:rPr>
        <w:t xml:space="preserve">Chamberlain </w:t>
      </w:r>
      <w:r>
        <w:t>ideálně</w:t>
      </w:r>
      <w:r>
        <w:t xml:space="preserve"> šťasten. Když zasedá sněmovna, chodí s ním paní Chamberlainová každý den pěšky do schůze, nejčastěji mlčky. </w:t>
      </w:r>
      <w:r>
        <w:rPr>
          <w:lang w:val="en-US" w:eastAsia="en-US" w:bidi="en-US"/>
        </w:rPr>
        <w:t xml:space="preserve">Chamberlain </w:t>
      </w:r>
      <w:r>
        <w:t>není rád vyrušo</w:t>
      </w:r>
      <w:r>
        <w:softHyphen/>
        <w:t>ván ze svých úvah, leda když upoutá jeho pozornost konipásek nebo nějaký jiný pták.</w:t>
      </w:r>
    </w:p>
    <w:p w:rsidR="00500724" w:rsidRDefault="00F30FB8">
      <w:pPr>
        <w:pStyle w:val="Jin0"/>
        <w:shd w:val="clear" w:color="auto" w:fill="auto"/>
        <w:spacing w:after="160"/>
        <w:ind w:firstLine="0"/>
        <w:jc w:val="left"/>
        <w:rPr>
          <w:sz w:val="44"/>
          <w:szCs w:val="44"/>
        </w:rPr>
      </w:pPr>
      <w:r>
        <w:rPr>
          <w:b/>
          <w:bCs/>
          <w:sz w:val="44"/>
          <w:szCs w:val="44"/>
          <w:u w:val="single"/>
        </w:rPr>
        <w:t>život a irasti</w:t>
      </w:r>
      <w:r>
        <w:rPr>
          <w:b/>
          <w:bCs/>
          <w:sz w:val="44"/>
          <w:szCs w:val="44"/>
        </w:rPr>
        <w:t>toče</w:t>
      </w:r>
    </w:p>
    <w:p w:rsidR="00500724" w:rsidRDefault="00F30FB8">
      <w:pPr>
        <w:pStyle w:val="Zkladntext1"/>
        <w:shd w:val="clear" w:color="auto" w:fill="auto"/>
        <w:spacing w:after="60" w:line="218" w:lineRule="auto"/>
        <w:ind w:firstLine="0"/>
        <w:jc w:val="left"/>
        <w:rPr>
          <w:sz w:val="20"/>
          <w:szCs w:val="20"/>
        </w:rPr>
      </w:pPr>
      <w:r>
        <w:rPr>
          <w:i/>
          <w:iCs/>
          <w:sz w:val="20"/>
          <w:szCs w:val="20"/>
        </w:rPr>
        <w:t>Kornel Synek:</w:t>
      </w:r>
    </w:p>
    <w:p w:rsidR="00500724" w:rsidRDefault="00F30FB8">
      <w:pPr>
        <w:pStyle w:val="Nadpis100"/>
        <w:shd w:val="clear" w:color="auto" w:fill="auto"/>
        <w:spacing w:after="100" w:line="240" w:lineRule="auto"/>
      </w:pPr>
      <w:bookmarkStart w:id="104" w:name="bookmark103"/>
      <w:r>
        <w:t>Uprchlíci ve vlastní zemi</w:t>
      </w:r>
      <w:bookmarkEnd w:id="104"/>
    </w:p>
    <w:p w:rsidR="00500724" w:rsidRDefault="00F30FB8">
      <w:pPr>
        <w:pStyle w:val="Zkladntext20"/>
        <w:shd w:val="clear" w:color="auto" w:fill="auto"/>
        <w:spacing w:line="211" w:lineRule="auto"/>
      </w:pPr>
      <w:r>
        <w:t>Světová válka skončila už sice před dvaceti lety, ale ještě dnes si dovedu představit krajinu, kterou táhnou nekonečné průvody uprchlíků, lidí bez domova. Bůh ví, proč je ta krajina vždycky tak smutná, proč visí nad ní olověné mra</w:t>
      </w:r>
      <w:r>
        <w:t>ky a proč prchají po silnicích po</w:t>
      </w:r>
      <w:r>
        <w:softHyphen/>
        <w:t>stavy tak známé. Viděli jste náhodou fotografie z vy- klizované Poličky, kterou nám pak Němci vrátili? Před domem stojí těžký selský povoz, z domu vy</w:t>
      </w:r>
      <w:r>
        <w:softHyphen/>
        <w:t xml:space="preserve">bíhají zoufalé ženy a vyděšené děti, vůz se plní věcmi, které uprchlíci </w:t>
      </w:r>
      <w:r>
        <w:t>popadli v největším chvatu. Kola za</w:t>
      </w:r>
      <w:r>
        <w:softHyphen/>
        <w:t>skřípou, a oči se ještě vrací k ztracenému domovu.</w:t>
      </w:r>
    </w:p>
    <w:p w:rsidR="00500724" w:rsidRDefault="00F30FB8">
      <w:pPr>
        <w:pStyle w:val="Zkladntext20"/>
        <w:shd w:val="clear" w:color="auto" w:fill="auto"/>
      </w:pPr>
      <w:r>
        <w:t>Není třeba povídat, co prožili lidé, kteří jsou dnes mezi námi jako uprchlíci nebo přistěhovalci — říkejte jim, jak chcete, slova nic nezmění. Nelze ani vylíčit, s jakým</w:t>
      </w:r>
      <w:r>
        <w:t>i pocity opouštěli všechno, čím dříve žili. Vy- ptáváte-li se jich na události, zážitky a pocity z po</w:t>
      </w:r>
      <w:r>
        <w:softHyphen/>
        <w:t>sledních měsíců, shledáte, že tito lidé jsou většinou za</w:t>
      </w:r>
      <w:r>
        <w:softHyphen/>
        <w:t xml:space="preserve">mlklí, jako by je slova dosud pálila. Kdy jste přišel? Před třemi měsíci. Odkud? Ze severu. Sám? </w:t>
      </w:r>
      <w:r>
        <w:rPr>
          <w:b/>
          <w:bCs/>
        </w:rPr>
        <w:t xml:space="preserve">I </w:t>
      </w:r>
      <w:r>
        <w:t>s rodi</w:t>
      </w:r>
      <w:r>
        <w:softHyphen/>
        <w:t>nou. Jak jste se sem dostal? To víte, všelijak. Přivezl jste si aspoň něco? Jenom tohle, co tady vidíte — a ruka opisuje půlkruh nad balíčkem prádla, nad lehkým svrchníkem, nad několika kartáči a jedním polštářem. Peníze? Žádné.</w:t>
      </w:r>
    </w:p>
    <w:p w:rsidR="00500724" w:rsidRDefault="00F30FB8">
      <w:pPr>
        <w:pStyle w:val="Zkladntext20"/>
        <w:shd w:val="clear" w:color="auto" w:fill="auto"/>
        <w:spacing w:line="202" w:lineRule="auto"/>
      </w:pPr>
      <w:r>
        <w:t>Bude snad lépe, ne</w:t>
      </w:r>
      <w:r>
        <w:t xml:space="preserve">cháme-li mluvit střízlivé věty </w:t>
      </w:r>
      <w:r>
        <w:rPr>
          <w:b/>
          <w:bCs/>
        </w:rPr>
        <w:t xml:space="preserve">z </w:t>
      </w:r>
      <w:r>
        <w:t>úředního věstníku ministerstva sociální péče:</w:t>
      </w:r>
    </w:p>
    <w:p w:rsidR="00500724" w:rsidRDefault="00F30FB8">
      <w:pPr>
        <w:pStyle w:val="Zkladntext20"/>
        <w:shd w:val="clear" w:color="auto" w:fill="auto"/>
        <w:spacing w:line="175" w:lineRule="auto"/>
        <w:ind w:left="780"/>
        <w:rPr>
          <w:sz w:val="20"/>
          <w:szCs w:val="20"/>
        </w:rPr>
      </w:pPr>
      <w:r>
        <w:rPr>
          <w:sz w:val="20"/>
          <w:szCs w:val="20"/>
        </w:rPr>
        <w:t>^Problém péče o osoby, které se vystěhovaly z pohraničních krajů Čech a Moravy, vyvstal již po 20. květnu 1938. Nenabyl však většího rozsahu až do doby, kdy vznikaly protistátní</w:t>
      </w:r>
      <w:r>
        <w:rPr>
          <w:sz w:val="20"/>
          <w:szCs w:val="20"/>
        </w:rPr>
        <w:t xml:space="preserve"> akce určité části občanů německé národnosti v těchto kra</w:t>
      </w:r>
      <w:r>
        <w:rPr>
          <w:sz w:val="20"/>
          <w:szCs w:val="20"/>
        </w:rPr>
        <w:softHyphen/>
        <w:t>jích, neboť do té doby opouštěly pohraniční okresy většinou osoby lépe situované. Do této doby bylo také celkem klidně možno, aby vystěhovalci od</w:t>
      </w:r>
      <w:r>
        <w:rPr>
          <w:sz w:val="20"/>
          <w:szCs w:val="20"/>
        </w:rPr>
        <w:softHyphen/>
        <w:t>vezli s sebou do vnitrozemí svůj majetek. Jinak tomu</w:t>
      </w:r>
      <w:r>
        <w:rPr>
          <w:sz w:val="20"/>
          <w:szCs w:val="20"/>
        </w:rPr>
        <w:t xml:space="preserve"> bylo po 12. září 1938, kdy i chudí obyvatelé pohraničních krajů prchali z ohroženého území. Byli to zejména národnostně exponovaní čeští lidé, kteří často bez dostatečného oděvu, takřka s holýma rukama vrhali se do vlaků, které želez</w:t>
      </w:r>
      <w:r>
        <w:rPr>
          <w:sz w:val="20"/>
          <w:szCs w:val="20"/>
        </w:rPr>
        <w:softHyphen/>
        <w:t>niční správa byla nuc</w:t>
      </w:r>
      <w:r>
        <w:rPr>
          <w:sz w:val="20"/>
          <w:szCs w:val="20"/>
        </w:rPr>
        <w:t>ena mimořádně zařadit, a kromě toho silnice z pohraničních okresů byly přímo naplněny auty a povozy všeho druhu, jež odvážely skromný majetek a holé životy hrani</w:t>
      </w:r>
      <w:r>
        <w:rPr>
          <w:sz w:val="20"/>
          <w:szCs w:val="20"/>
        </w:rPr>
        <w:softHyphen/>
        <w:t>čářů. Nyní již nejen českých, ale i aktivisticky exponovanějších osob národnosti německé. Mnoz</w:t>
      </w:r>
      <w:r>
        <w:rPr>
          <w:sz w:val="20"/>
          <w:szCs w:val="20"/>
        </w:rPr>
        <w:t>í se sice uchýlili ke svým příbuzným, ale mnozí vyjeli z ohroženého území úplně bez cíle a' bez plánů. Jeli, kam je až železniční správa nebo po- vozce vyvezl, a tu stanuli s holýma rukama. Ně</w:t>
      </w:r>
      <w:r>
        <w:rPr>
          <w:sz w:val="20"/>
          <w:szCs w:val="20"/>
        </w:rPr>
        <w:softHyphen/>
        <w:t>kteří zůstali bydlet v železničních vagonech, ně</w:t>
      </w:r>
      <w:r>
        <w:rPr>
          <w:sz w:val="20"/>
          <w:szCs w:val="20"/>
        </w:rPr>
        <w:softHyphen/>
        <w:t>kterých se uja</w:t>
      </w:r>
      <w:r>
        <w:rPr>
          <w:sz w:val="20"/>
          <w:szCs w:val="20"/>
        </w:rPr>
        <w:t>li z vlastní iniciativy okresní a obec</w:t>
      </w:r>
      <w:r>
        <w:rPr>
          <w:sz w:val="20"/>
          <w:szCs w:val="20"/>
        </w:rPr>
        <w:softHyphen/>
        <w:t>ní úřady, jiných dobročinné organisace sociální a zdravotní... ba i organisace tělovýchovné a mnoho jednotlivců.*</w:t>
      </w:r>
    </w:p>
    <w:p w:rsidR="00500724" w:rsidRDefault="00F30FB8">
      <w:pPr>
        <w:pStyle w:val="Zkladntext20"/>
        <w:shd w:val="clear" w:color="auto" w:fill="auto"/>
        <w:spacing w:after="140" w:line="202" w:lineRule="auto"/>
      </w:pPr>
      <w:r>
        <w:rPr>
          <w:noProof/>
        </w:rPr>
        <mc:AlternateContent>
          <mc:Choice Requires="wps">
            <w:drawing>
              <wp:anchor distT="12700" distB="254000" distL="114300" distR="114300" simplePos="0" relativeHeight="125829446" behindDoc="0" locked="0" layoutInCell="1" allowOverlap="1">
                <wp:simplePos x="0" y="0"/>
                <wp:positionH relativeFrom="page">
                  <wp:posOffset>6912610</wp:posOffset>
                </wp:positionH>
                <wp:positionV relativeFrom="margin">
                  <wp:posOffset>8978900</wp:posOffset>
                </wp:positionV>
                <wp:extent cx="146050" cy="170815"/>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146050"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i/>
                                <w:iCs/>
                                <w:sz w:val="20"/>
                                <w:szCs w:val="20"/>
                              </w:rPr>
                              <w:t>ůi</w:t>
                            </w:r>
                          </w:p>
                        </w:txbxContent>
                      </wps:txbx>
                      <wps:bodyPr lIns="0" tIns="0" rIns="0" bIns="0">
                        <a:spAutoFit/>
                      </wps:bodyPr>
                    </wps:wsp>
                  </a:graphicData>
                </a:graphic>
              </wp:anchor>
            </w:drawing>
          </mc:Choice>
          <mc:Fallback>
            <w:pict>
              <v:shape id="_x0000_s1095" type="#_x0000_t202" style="position:absolute;margin-left:544.29999999999995pt;margin-top:707.pt;width:11.5pt;height:13.449999999999999pt;z-index:-125829307;mso-wrap-distance-left:9.pt;mso-wrap-distance-top:1.pt;mso-wrap-distance-right:9.pt;mso-wrap-distance-bottom:20.pt;mso-position-horizontal-relative:page;mso-position-vertical-relative:margin"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ůi</w:t>
                      </w:r>
                    </w:p>
                  </w:txbxContent>
                </v:textbox>
                <w10:wrap type="topAndBottom" anchorx="page" anchory="margin"/>
              </v:shape>
            </w:pict>
          </mc:Fallback>
        </mc:AlternateContent>
      </w:r>
      <w:r>
        <w:t>Tak je tomu doslova, dovede-li ovšem věcný zá</w:t>
      </w:r>
      <w:r>
        <w:softHyphen/>
        <w:t xml:space="preserve">znam vylíčit, jak a proč tito lidé prchali. Koncem </w:t>
      </w:r>
      <w:r>
        <w:t>září 1938 potkal jsem na chodbě zemského úřadu matku, která již několik dnů hledala své ztracené děti. A za</w:t>
      </w:r>
      <w:r>
        <w:softHyphen/>
        <w:t>čátkem ledna mluvil jsem s dvacetiletým hochem, který dosud neví, kde má rodiče, protože byl zaměst</w:t>
      </w:r>
      <w:r>
        <w:softHyphen/>
        <w:t>nán na Moravě a rodiče žili v sudetských kra jíc</w:t>
      </w:r>
      <w:r>
        <w:t>h. V tá</w:t>
      </w:r>
      <w:r>
        <w:softHyphen/>
        <w:t>boře uprchlíků potkáte lidi, kteří nemají ani tušení, co se s jejich domovem stalo. Je sice pravda, že mnozí se vrátili, ale jakmile počal zábor, valil se do vnitro</w:t>
      </w:r>
      <w:r>
        <w:softHyphen/>
        <w:t>zemí nový proud uprchlíků. Snad byli mezi nimi jed</w:t>
      </w:r>
      <w:r>
        <w:softHyphen/>
        <w:t>notlivci, kteří mohli klidně zůs</w:t>
      </w:r>
      <w:r>
        <w:t>tat, ale většinou musili zachraňovat holé životy. Až se jednou dokumentárně zjistí, co se v zabraných krajích od května roku 1938 dělo, bude to kniha hrůz. Lidé, kteří dnes žijí uprchlic</w:t>
      </w:r>
      <w:r>
        <w:softHyphen/>
        <w:t>ký život u příbuzných nebo v táborech, jsou přede</w:t>
      </w:r>
      <w:r>
        <w:softHyphen/>
        <w:t>vším drobní a chudí</w:t>
      </w:r>
      <w:r>
        <w:t xml:space="preserve"> čeští lidé, kteří musili opustit všechno, co si za dlouhá léta nastřádali. Dnes je jich mezi námi 150.000.</w:t>
      </w:r>
    </w:p>
    <w:p w:rsidR="00500724" w:rsidRDefault="00F30FB8">
      <w:pPr>
        <w:pStyle w:val="Zkladntext20"/>
        <w:shd w:val="clear" w:color="auto" w:fill="auto"/>
        <w:spacing w:after="40"/>
        <w:ind w:firstLine="0"/>
        <w:jc w:val="center"/>
      </w:pPr>
      <w:r>
        <w:t>Jeden za všechny</w:t>
      </w:r>
    </w:p>
    <w:p w:rsidR="00500724" w:rsidRDefault="00F30FB8">
      <w:pPr>
        <w:pStyle w:val="Zkladntext20"/>
        <w:shd w:val="clear" w:color="auto" w:fill="auto"/>
        <w:spacing w:after="40"/>
        <w:ind w:firstLine="320"/>
      </w:pPr>
      <w:r>
        <w:t>I v uprchlických táborech je ovšem vidět, jak jsou lidé různí. Sedím v pokoji, kde bydlí rodina, muž, že</w:t>
      </w:r>
      <w:r>
        <w:softHyphen/>
        <w:t xml:space="preserve">na a dvě děti, povídáme </w:t>
      </w:r>
      <w:r>
        <w:t>si, kouříme. Když mi u konce cigarety roste popel, ohlížím se, kam bych jej oklepal. »Ale, jen to hoďte na zem,« povídá muž a ta podlaha zřejmě tomu byla zvyklá. Pak hovořím se starým hor</w:t>
      </w:r>
      <w:r>
        <w:softHyphen/>
        <w:t>níkem, a jakmile nám začínají cigarety dohořívat, vy</w:t>
      </w:r>
      <w:r>
        <w:softHyphen/>
        <w:t xml:space="preserve">tahuje z kapsy </w:t>
      </w:r>
      <w:r>
        <w:t>sám nějaké plechové víčko, čistě vy</w:t>
      </w:r>
      <w:r>
        <w:softHyphen/>
        <w:t xml:space="preserve">myté, a tak trochu omluvně povídá: »Víte, abychom tu nenadělali, nemám to rád.« A opravdu, na všem je vidět, že to nemá rád. Postel čistě ustlaná, hadříky a několik knížek pečlivě složeny v koutku u postele, celý muž je </w:t>
      </w:r>
      <w:r>
        <w:t>čisťounký od hlavy až k patě. Není na světě zřejmě taková situace, aby mu dala zapomenout na slušné chování a pořádek. Není to jenom vychovaná čistotnost, nýbrž vztah k světu. Jako byste ho slyšeli: Já, člověk, nebudu tady chodit a kramařit. Nebudu hromadi</w:t>
      </w:r>
      <w:r>
        <w:t>t špínu, odpadky a pach, zařídím se na světě čistotně a vlastní odpadky si uklidím. Je to moje po</w:t>
      </w:r>
      <w:r>
        <w:softHyphen/>
        <w:t xml:space="preserve">vinnost k celému okolí </w:t>
      </w:r>
      <w:r>
        <w:rPr>
          <w:i/>
          <w:iCs/>
        </w:rPr>
        <w:t>a</w:t>
      </w:r>
      <w:r>
        <w:t xml:space="preserve"> špínu »nemám rád«. A když s ním potom hovoříte, poznáte, že to není jenom smetí na podlaze, které nemá rád; i v myšlení je všechno uklizeno a urovnáno, všechno je současně lidsky po</w:t>
      </w:r>
      <w:r>
        <w:softHyphen/>
        <w:t>korné i tvrdé. Nevím, co u nás vytváří tento typ lidí: Jsou to břízy na k</w:t>
      </w:r>
      <w:r>
        <w:t>raji českých lesů a mateřídouška na mezích? Jsou to lány jetele, vřes a rybníky v lu</w:t>
      </w:r>
      <w:r>
        <w:softHyphen/>
        <w:t>kách? Jsou to české písně, které vůbec nejsou smutné ani bujaré? Hromady brambor, kterými se český člo</w:t>
      </w:r>
      <w:r>
        <w:softHyphen/>
        <w:t xml:space="preserve">věk živí? Je to úštěpný humor od huby k hubě a švej- kovský záblesk </w:t>
      </w:r>
      <w:r>
        <w:t>v očích lidí? Jakým podivným kouzlem vyrostl člověk nebojovný, ale statečný, člověk s po</w:t>
      </w:r>
      <w:r>
        <w:softHyphen/>
        <w:t>měrně malým školským vzděláním a s nesmírně vy</w:t>
      </w:r>
      <w:r>
        <w:softHyphen/>
        <w:t>sokou kulturou zdravého rozumu a srdce, člověk s podivuhodnou oddaností k práci a svému pozemské</w:t>
      </w:r>
      <w:r>
        <w:softHyphen/>
        <w:t>mu osudu? Ten horník, k</w:t>
      </w:r>
      <w:r>
        <w:t>terý mi vyprávěl o svém ži</w:t>
      </w:r>
      <w:r>
        <w:softHyphen/>
        <w:t>votě, který ztratil práci, mládí, domov a ještě všeli</w:t>
      </w:r>
      <w:r>
        <w:softHyphen/>
        <w:t>cos k tomu, měl jednu největší starost: jak asi dnes vypadá ta šachta, kterou tam nechal uprostřed prá</w:t>
      </w:r>
      <w:r>
        <w:softHyphen/>
        <w:t>ce? Víte, vrstvy uhle jsou takové žilnaté a nahoře se drolí. Kdyby se do</w:t>
      </w:r>
      <w:r>
        <w:t xml:space="preserve"> toho neobratně bouchlo, mohlo by se to sesypat. Vidíte mu přímo na očích starost, aby se to nesesypalo. A starost o muže, kteří by v šachtě přišli o život, třebas jsou to Němci, musíte vědět.</w:t>
      </w:r>
    </w:p>
    <w:p w:rsidR="00500724" w:rsidRDefault="00F30FB8">
      <w:pPr>
        <w:pStyle w:val="Zkladntext20"/>
        <w:shd w:val="clear" w:color="auto" w:fill="auto"/>
        <w:spacing w:after="80" w:line="202" w:lineRule="auto"/>
        <w:ind w:firstLine="260"/>
      </w:pPr>
      <w:r>
        <w:t xml:space="preserve">Víte co, pojďme na pivo, povídám. A tak hezky, jako by mi doma </w:t>
      </w:r>
      <w:r>
        <w:t>nabídl hrnek kávy, vstává a jde se mnou na pivo. Ale protože dvacet — poslyšte, dvacet let! — odcházel z domova jenom dolů do černé hloub</w:t>
      </w:r>
      <w:r>
        <w:softHyphen/>
        <w:t>ky, do temnot a nejistot podzemní šachty, naučila se žena udělat mu křížek na čelo, kdykoli z místnosti od</w:t>
      </w:r>
      <w:r>
        <w:softHyphen/>
        <w:t>chází. To j</w:t>
      </w:r>
      <w:r>
        <w:t>e takový pohyb palcem, tiché zaklínání uhelných vrstev, které by mohly spadnout. A protože ten palec vykonává tuto modlitbu dvacet let, kreslí křížek i teď, když odchází starý jenom na pivo.</w:t>
      </w:r>
    </w:p>
    <w:p w:rsidR="00500724" w:rsidRDefault="00F30FB8">
      <w:pPr>
        <w:pStyle w:val="Zkladntext20"/>
        <w:shd w:val="clear" w:color="auto" w:fill="auto"/>
        <w:spacing w:after="40" w:line="216" w:lineRule="auto"/>
        <w:ind w:firstLine="280"/>
      </w:pPr>
      <w:r>
        <w:t>Jak prostý je život člověka! Z devíti dětí nejstarší už ve třinác</w:t>
      </w:r>
      <w:r>
        <w:t>ti letech nebyl doma dítětem, nýbrž živi</w:t>
      </w:r>
      <w:r>
        <w:softHyphen/>
        <w:t>telem. Když otec umřel, vzala máma chlapce ze školy, aby vydělával v továrně na tužky. Za tři léta odešel na zkušenou do světa. Zastavil se až na Mostecku, kde už v šachtě nadobrou uvázl. Pak byl odveden, přišla vál</w:t>
      </w:r>
      <w:r>
        <w:t>ka, za války legie a Zborov, zbyla z toho zažloutlá potvrzení, stopy po zranění, nějaká vyznamenání a mnoho vzpomínek. Když se vrátil, ani ho nenapadlo uplatňovat nějaké nároky za službu nejtěžší. Vrátil se prostě na šachtu. To jsme se vzali se starou, pov</w:t>
      </w:r>
      <w:r>
        <w:t>ídá. A loni jsem byl tak daleko, že jsem měl našetřeno pět tisícovek. Koupili jsme si nový nábytek. Teď to tam všechno zůstalo. Ani peřiny jsem nepřivezl. Teď už tady sedím tři měsíce, nestěžuji si, ale jaký je to, pro</w:t>
      </w:r>
      <w:r>
        <w:softHyphen/>
        <w:t>boha, život? Potřebuji vědět, co s ná</w:t>
      </w:r>
      <w:r>
        <w:t>mi bude! Vzal bych každou práci, jakoukoli, ale kde a jak ji hledat? To se ví, je to pohroma, začínáme se starou od za</w:t>
      </w:r>
      <w:r>
        <w:softHyphen/>
        <w:t>čátku a už nejsme mladí. Dvacet let dole — člověku to nějak chybí. Ale což, nebál bych se, jen kdybych už věděl, co s námi bude?</w:t>
      </w:r>
    </w:p>
    <w:p w:rsidR="00500724" w:rsidRDefault="00F30FB8">
      <w:pPr>
        <w:pStyle w:val="Zkladntext20"/>
        <w:shd w:val="clear" w:color="auto" w:fill="auto"/>
        <w:spacing w:after="40"/>
        <w:ind w:firstLine="280"/>
      </w:pPr>
      <w:r>
        <w:t>Budoucno</w:t>
      </w:r>
      <w:r>
        <w:t>st? Vůbec se jí nebojím. To neznáte čes</w:t>
      </w:r>
      <w:r>
        <w:softHyphen/>
        <w:t>kého člověka, nikdo mu nic nenamluví. Ví, na čem je, a začne znova. Takové je to s námi už pár let, ne? Já vím, já vím, ti mladí jančí. Ani tady v táboře není mládež po mé chuti. Ale mladí vždycky jančili, to už je t</w:t>
      </w:r>
      <w:r>
        <w:t>ak na světě. Až budou mít ženu a děti, až se za</w:t>
      </w:r>
      <w:r>
        <w:softHyphen/>
        <w:t>přáhnou do práce — taky budou vědět svoje.</w:t>
      </w:r>
    </w:p>
    <w:p w:rsidR="00500724" w:rsidRDefault="00F30FB8">
      <w:pPr>
        <w:pStyle w:val="Zkladntext20"/>
        <w:shd w:val="clear" w:color="auto" w:fill="auto"/>
        <w:spacing w:after="120"/>
        <w:ind w:firstLine="280"/>
      </w:pPr>
      <w:r>
        <w:t>Promiňte, že jsem před chvíli nebyl zcela přesný. Tento muž má sice velikou starost o šachtu, kterou po dvaceti letech opustil, ale ještě víc si láme hlavu, kde a kd</w:t>
      </w:r>
      <w:r>
        <w:t>y najde práci. Nestěžuje si, mezi uprchlíky najde</w:t>
      </w:r>
      <w:r>
        <w:softHyphen/>
        <w:t>te vůbec málo lidí, kteří by si stěžovali. Všichni mluví jenom o práci, protože uprchlický život považují za dočasný. Nejvíc je tíží právě nejistota. V mentalitě starších lidí není ještě kazu, jenom část ml</w:t>
      </w:r>
      <w:r>
        <w:t>ádeže za</w:t>
      </w:r>
      <w:r>
        <w:softHyphen/>
        <w:t>číná jevit nebezpečné sklony k »flinkání«. Není to je</w:t>
      </w:r>
      <w:r>
        <w:softHyphen/>
        <w:t>nom nechuť k práci, ale i zvláštní, povrchní, netrpě</w:t>
      </w:r>
      <w:r>
        <w:softHyphen/>
        <w:t>livý a divoký způsob myšlení, při kterém se snadno vztyčuje pravice, ale těžko vykonává všední po</w:t>
      </w:r>
      <w:r>
        <w:softHyphen/>
        <w:t>vinnost.</w:t>
      </w:r>
    </w:p>
    <w:p w:rsidR="00500724" w:rsidRDefault="00F30FB8">
      <w:pPr>
        <w:pStyle w:val="Zkladntext20"/>
        <w:shd w:val="clear" w:color="auto" w:fill="auto"/>
        <w:spacing w:after="40" w:line="206" w:lineRule="auto"/>
        <w:ind w:firstLine="0"/>
        <w:jc w:val="center"/>
      </w:pPr>
      <w:r>
        <w:t>Sociální a nacionální přehled</w:t>
      </w:r>
      <w:r>
        <w:br/>
        <w:t>upr</w:t>
      </w:r>
      <w:r>
        <w:t>chlíků</w:t>
      </w:r>
    </w:p>
    <w:p w:rsidR="00500724" w:rsidRDefault="00F30FB8">
      <w:pPr>
        <w:pStyle w:val="Zkladntext20"/>
        <w:shd w:val="clear" w:color="auto" w:fill="auto"/>
        <w:spacing w:after="40"/>
        <w:ind w:firstLine="280"/>
        <w:sectPr w:rsidR="00500724">
          <w:footnotePr>
            <w:numFmt w:val="chicago"/>
            <w:numRestart w:val="eachPage"/>
          </w:footnotePr>
          <w:pgSz w:w="11909" w:h="16834"/>
          <w:pgMar w:top="1568" w:right="818" w:bottom="857" w:left="559" w:header="0" w:footer="3" w:gutter="0"/>
          <w:cols w:num="2" w:space="114"/>
          <w:noEndnote/>
          <w:docGrid w:linePitch="360"/>
        </w:sectPr>
      </w:pPr>
      <w:r>
        <w:t>Ujišťuji vás, že horník z Mostecka není náhodný typ a mluví skutečně právem za velkou část uprchlí</w:t>
      </w:r>
      <w:r>
        <w:softHyphen/>
        <w:t>ků. Dělníci jsou totiž mezi uprchlíky nejpočetněji za</w:t>
      </w:r>
      <w:r>
        <w:softHyphen/>
        <w:t xml:space="preserve">stoupeni — s rodinnými příslušníky je jich bezmála 50.000. Přišli k </w:t>
      </w:r>
      <w:r>
        <w:t>nám bez peněz, bez úspor a bez ma</w:t>
      </w:r>
      <w:r>
        <w:softHyphen/>
        <w:t>jetku, přinášejíce jenom zkušené ruce a neúmornou chuť k práci. To je celý jejich kapitál, který čeká ne</w:t>
      </w:r>
      <w:r>
        <w:softHyphen/>
        <w:t>trpělivě na využití. Nemusím snad říkat, že naprostá většina dělnických uprchlíků jsou Češi, malou menši</w:t>
      </w:r>
      <w:r>
        <w:softHyphen/>
        <w:t>nu tvoří dem</w:t>
      </w:r>
      <w:r>
        <w:t>okratičtí Němci, kteří se všichni chystají k odjezdu do zámoří. Teprve za dělníky následují soukromníci, jichž je s rodinnými příslušníky asi 25.000. To jsou lidé, kteří si přece jenom zachránili trochu peněz a nějaký majetek. V táborech je vlastně ani nen</w:t>
      </w:r>
      <w:r>
        <w:t>ajdete, protože bydlí většinou jednotlivě a v soukromí, dokud ovšem peníze stačí. Třetí největší skupinou jsou soukromí zaměstnanci nejrůznějších kategorií — s rodinnými příslušníky skoro dvacet ti</w:t>
      </w:r>
      <w:r>
        <w:softHyphen/>
        <w:t>síc chudých lidí, kteří ztratili zaměstnání, domov i na</w:t>
      </w:r>
      <w:r>
        <w:softHyphen/>
        <w:t>dě</w:t>
      </w:r>
      <w:r>
        <w:t>ji, že se brzy nějak znovu uchytí. Takovou vrstvou</w:t>
      </w:r>
    </w:p>
    <w:p w:rsidR="00500724" w:rsidRDefault="00F30FB8">
      <w:pPr>
        <w:pStyle w:val="Nadpis80"/>
        <w:keepNext/>
        <w:keepLines/>
        <w:shd w:val="clear" w:color="auto" w:fill="auto"/>
        <w:spacing w:after="0"/>
        <w:jc w:val="center"/>
        <w:sectPr w:rsidR="00500724">
          <w:footnotePr>
            <w:numFmt w:val="chicago"/>
            <w:numRestart w:val="eachPage"/>
          </w:footnotePr>
          <w:pgSz w:w="11909" w:h="16834"/>
          <w:pgMar w:top="829" w:right="848" w:bottom="567" w:left="574" w:header="0" w:footer="3" w:gutter="0"/>
          <w:cols w:space="720"/>
          <w:noEndnote/>
          <w:docGrid w:linePitch="360"/>
        </w:sectPr>
      </w:pPr>
      <w:bookmarkStart w:id="105" w:name="bookmark104"/>
      <w:r>
        <w:rPr>
          <w:u w:val="none"/>
        </w:rPr>
        <w:t>Přítomnosti</w:t>
      </w:r>
      <w:bookmarkEnd w:id="105"/>
    </w:p>
    <w:p w:rsidR="00500724" w:rsidRDefault="00500724">
      <w:pPr>
        <w:spacing w:line="37" w:lineRule="exact"/>
        <w:rPr>
          <w:sz w:val="3"/>
          <w:szCs w:val="3"/>
        </w:rPr>
      </w:pPr>
    </w:p>
    <w:p w:rsidR="00500724" w:rsidRDefault="00500724">
      <w:pPr>
        <w:spacing w:line="14" w:lineRule="exact"/>
        <w:sectPr w:rsidR="00500724">
          <w:footnotePr>
            <w:numFmt w:val="chicago"/>
            <w:numRestart w:val="eachPage"/>
          </w:footnotePr>
          <w:type w:val="continuous"/>
          <w:pgSz w:w="11909" w:h="16834"/>
          <w:pgMar w:top="829" w:right="0" w:bottom="567" w:left="0" w:header="0" w:footer="3" w:gutter="0"/>
          <w:cols w:space="720"/>
          <w:noEndnote/>
          <w:docGrid w:linePitch="360"/>
        </w:sectPr>
      </w:pPr>
    </w:p>
    <w:p w:rsidR="00500724" w:rsidRDefault="00F30FB8">
      <w:pPr>
        <w:pStyle w:val="Zkladntext20"/>
        <w:shd w:val="clear" w:color="auto" w:fill="auto"/>
        <w:spacing w:after="60" w:line="221" w:lineRule="auto"/>
        <w:ind w:firstLine="0"/>
      </w:pPr>
      <w:r>
        <w:t>jsou mezi uprchlíky ovšem i živnostníci, jichž je cel</w:t>
      </w:r>
      <w:r>
        <w:softHyphen/>
        <w:t xml:space="preserve">kem na dvacet tisíc. Někteří už začínají znovu, ale většina nemá ani nejnutnější a </w:t>
      </w:r>
      <w:r>
        <w:t>nejskromnější kapitál, jehož je k živnostenskému podnikání zapotřebí. Nej</w:t>
      </w:r>
      <w:r>
        <w:softHyphen/>
        <w:t>méně je rolníků (asi 3000), učitelů (s rodinnými pří</w:t>
      </w:r>
      <w:r>
        <w:softHyphen/>
        <w:t>slušníky přes 3000 osob), veřejných zaměstnanců (celkem 10.000) a lidí ze svobodných povolání — po</w:t>
      </w:r>
      <w:r>
        <w:softHyphen/>
        <w:t>dle odhadu také asi 10.000 oso</w:t>
      </w:r>
      <w:r>
        <w:t>b. Nedivte se, ne- uvádíme-li v tomto seznamu různé kategorie státních zaměstnanců, ačkoli jsou také uprchlíky. Je to jenom proto, že přes všechny rány a útrapy jsou přece je</w:t>
      </w:r>
      <w:r>
        <w:softHyphen/>
        <w:t>nom existenčně zajištěni.</w:t>
      </w:r>
    </w:p>
    <w:p w:rsidR="00500724" w:rsidRDefault="00F30FB8">
      <w:pPr>
        <w:pStyle w:val="Zkladntext20"/>
        <w:shd w:val="clear" w:color="auto" w:fill="auto"/>
        <w:spacing w:after="140" w:line="221" w:lineRule="auto"/>
      </w:pPr>
      <w:r>
        <w:t>Kdo se dal třebas jenom na chvíli zlákat večerníko</w:t>
      </w:r>
      <w:r>
        <w:softHyphen/>
        <w:t>vými</w:t>
      </w:r>
      <w:r>
        <w:t xml:space="preserve"> sensacemi, bude patrně překvapen, zjistí-li, že ze 150.000 uprchlíků je podle národnosti téměř 120.000 Cechů. Němců je pouze 12.000 a židů podle národnosti přes 7000. Chceme-li mezi židy započítat mermomocí všechny osoby semitské rasy, pak je jich ovšem d</w:t>
      </w:r>
      <w:r>
        <w:t>va</w:t>
      </w:r>
      <w:r>
        <w:softHyphen/>
        <w:t>krát tolik, ale nevím, patří-li k nim člověk, který mu</w:t>
      </w:r>
      <w:r>
        <w:softHyphen/>
        <w:t>sil prchnout proto, že byl funkcionářem Sokola, Ma</w:t>
      </w:r>
      <w:r>
        <w:softHyphen/>
        <w:t>tice nebo některé hraničářské organisace. Němci a židé odjíždějí ostatně do zámoří, jakmile se naskytne první příležitost. Mnozí se již vystěhovali</w:t>
      </w:r>
      <w:r>
        <w:t xml:space="preserve"> a pomáhají dalším, aby je následovali. Německých sociálních de</w:t>
      </w:r>
      <w:r>
        <w:softHyphen/>
        <w:t xml:space="preserve">mokratů odjelo už přes 600 a do konce ledna 1939 odjede celkem 2500 židů. Právě tak odjíždějí emigranti z Německa a z bývalého Rakouska, jichž je dnes asi 4000. Mluvil jsem se zástupci těchto </w:t>
      </w:r>
      <w:r>
        <w:t>uprchlíků o všech otázkách, kterými se teď veřejnost zabývá, ale dospěli jsme vždycky k stejnému závěru: odjezd německých a židovských uprchlíků závisí pouze na vystěhovalec- kých možnostech a samozřejmě na finančních pro</w:t>
      </w:r>
      <w:r>
        <w:softHyphen/>
        <w:t xml:space="preserve">středcích, nikoli na jejich dobré </w:t>
      </w:r>
      <w:r>
        <w:t>vůli.</w:t>
      </w:r>
    </w:p>
    <w:p w:rsidR="00500724" w:rsidRDefault="00F30FB8">
      <w:pPr>
        <w:pStyle w:val="Nadpis110"/>
        <w:shd w:val="clear" w:color="auto" w:fill="auto"/>
        <w:spacing w:after="60" w:line="221" w:lineRule="auto"/>
        <w:jc w:val="center"/>
      </w:pPr>
      <w:bookmarkStart w:id="106" w:name="bookmark105"/>
      <w:r>
        <w:rPr>
          <w:rFonts w:ascii="Times New Roman" w:eastAsia="Times New Roman" w:hAnsi="Times New Roman" w:cs="Times New Roman"/>
        </w:rPr>
        <w:t>Všichni za všechny</w:t>
      </w:r>
      <w:bookmarkEnd w:id="106"/>
    </w:p>
    <w:p w:rsidR="00500724" w:rsidRDefault="00F30FB8">
      <w:pPr>
        <w:pStyle w:val="Zkladntext20"/>
        <w:shd w:val="clear" w:color="auto" w:fill="auto"/>
        <w:spacing w:after="100" w:line="221" w:lineRule="auto"/>
      </w:pPr>
      <w:r>
        <w:t xml:space="preserve">Peníze hrají ostatně v životě všech uprchlíků úlohů naprosto mimořádnou. Náklady na péči </w:t>
      </w:r>
      <w:r>
        <w:rPr>
          <w:b/>
          <w:bCs/>
        </w:rPr>
        <w:t xml:space="preserve">o </w:t>
      </w:r>
      <w:r>
        <w:t>uprchlíky vyžádaly si už dosud mnohem víc než 10 milionů ko</w:t>
      </w:r>
      <w:r>
        <w:softHyphen/>
        <w:t>run, nepočítáme-li ovšem vydání nejrůznějších úřa</w:t>
      </w:r>
      <w:r>
        <w:softHyphen/>
        <w:t>dů, institucí, spolků i soukro</w:t>
      </w:r>
      <w:r>
        <w:t>mých osob. Většinou jsou to peníze z konta výboru pro »Pomoc uprchlíkům« a k tomu částky ze sbírky londýnského starosty. Tyto peníze vykonaly svou funkci, pomohly zmírnit nej</w:t>
      </w:r>
      <w:r>
        <w:softHyphen/>
        <w:t>horší bídu, ale nestačí ani zdaleka. Stát nemůže pře</w:t>
      </w:r>
      <w:r>
        <w:softHyphen/>
        <w:t>vzít všechnu tíhu, protože j</w:t>
      </w:r>
      <w:r>
        <w:t>enom platy 50.000 státních zaměstnanců, kteří jsou prozatím bez místa, spotře</w:t>
      </w:r>
      <w:r>
        <w:softHyphen/>
        <w:t>bují za rok 90 milionů. Má-li se uprchlíkům zajistit aspoň existenční minimum, bude k tomu třeba na tento rok asi 700 milionů korun. I to bude však pouze náplast na nezacelené rá</w:t>
      </w:r>
      <w:r>
        <w:t>ny — hlavní otázkou zůstává stále zařádění uprchlíků do hospodářského života. Ale: na úhradu ztrát movitého kapitálu se zabráním území, na vybudování náhradních podniků, na zařá</w:t>
      </w:r>
      <w:r>
        <w:softHyphen/>
        <w:t>dění uprchlíků do výroby atd. budeme musit obstarat podle oficiálního odhadu a</w:t>
      </w:r>
      <w:r>
        <w:t xml:space="preserve"> úvahy alespoň 4 a půl mi</w:t>
      </w:r>
      <w:r>
        <w:softHyphen/>
        <w:t xml:space="preserve">liardy Kč. To je úkol, který nemůže zvládnout ani stát, ani žádná jednotlivá vrstva občanů. Ať* se na to díváme s jakéhokoli hlediska, shledáme, že jde </w:t>
      </w:r>
      <w:r>
        <w:rPr>
          <w:b/>
          <w:bCs/>
        </w:rPr>
        <w:t xml:space="preserve">o věc, </w:t>
      </w:r>
      <w:r>
        <w:t xml:space="preserve">kterou lze svěřit pouze nezdolné lidské a národní </w:t>
      </w:r>
      <w:r>
        <w:rPr>
          <w:b/>
          <w:bCs/>
        </w:rPr>
        <w:t>so</w:t>
      </w:r>
      <w:r>
        <w:rPr>
          <w:b/>
          <w:bCs/>
        </w:rPr>
        <w:softHyphen/>
      </w:r>
      <w:r>
        <w:t>lidaritě.</w:t>
      </w:r>
    </w:p>
    <w:p w:rsidR="00500724" w:rsidRDefault="00F30FB8">
      <w:pPr>
        <w:pStyle w:val="Jin0"/>
        <w:pBdr>
          <w:bottom w:val="single" w:sz="4" w:space="0" w:color="auto"/>
        </w:pBdr>
        <w:shd w:val="clear" w:color="auto" w:fill="auto"/>
        <w:spacing w:after="260"/>
        <w:ind w:firstLine="0"/>
        <w:jc w:val="left"/>
        <w:rPr>
          <w:sz w:val="44"/>
          <w:szCs w:val="44"/>
        </w:rPr>
      </w:pPr>
      <w:r>
        <w:rPr>
          <w:b/>
          <w:bCs/>
          <w:sz w:val="44"/>
          <w:szCs w:val="44"/>
        </w:rPr>
        <w:t>dopisy</w:t>
      </w:r>
    </w:p>
    <w:p w:rsidR="00500724" w:rsidRDefault="00F30FB8">
      <w:pPr>
        <w:pStyle w:val="Zkladntext1"/>
        <w:shd w:val="clear" w:color="auto" w:fill="auto"/>
        <w:spacing w:after="80" w:line="170" w:lineRule="auto"/>
        <w:ind w:firstLine="0"/>
        <w:jc w:val="center"/>
      </w:pPr>
      <w:r>
        <w:rPr>
          <w:b/>
          <w:bCs/>
        </w:rPr>
        <w:t>Odpověď Slovincovi</w:t>
      </w:r>
    </w:p>
    <w:p w:rsidR="00500724" w:rsidRDefault="00F30FB8">
      <w:pPr>
        <w:pStyle w:val="Zkladntext1"/>
        <w:shd w:val="clear" w:color="auto" w:fill="auto"/>
        <w:spacing w:after="100" w:line="180" w:lineRule="auto"/>
        <w:ind w:left="1080" w:firstLine="0"/>
        <w:jc w:val="left"/>
        <w:rPr>
          <w:sz w:val="18"/>
          <w:szCs w:val="18"/>
        </w:rPr>
      </w:pPr>
      <w:r>
        <w:rPr>
          <w:sz w:val="18"/>
          <w:szCs w:val="18"/>
        </w:rPr>
        <w:t>Milý slovanský příteli z Jihu!</w:t>
      </w:r>
    </w:p>
    <w:p w:rsidR="00500724" w:rsidRDefault="00F30FB8">
      <w:pPr>
        <w:pStyle w:val="Zkladntext1"/>
        <w:shd w:val="clear" w:color="auto" w:fill="auto"/>
        <w:spacing w:after="40" w:line="180" w:lineRule="auto"/>
        <w:ind w:firstLine="300"/>
        <w:rPr>
          <w:sz w:val="18"/>
          <w:szCs w:val="18"/>
        </w:rPr>
      </w:pPr>
      <w:r>
        <w:rPr>
          <w:sz w:val="18"/>
          <w:szCs w:val="18"/>
        </w:rPr>
        <w:t>Myslím, že nás můžete mít rád i nadále. Co jste napsal, je sice pravda, ale věřím, že jste svůj list psal spíše jako projev protestu proti náhledu sněkterých našich lidí a kruhů o Masa- rykovi«, jak sám řík</w:t>
      </w:r>
      <w:r>
        <w:rPr>
          <w:sz w:val="18"/>
          <w:szCs w:val="18"/>
        </w:rPr>
        <w:t>áte. Možná však, že ve Vašich řádcích je přece jen skryta jistá obava z dalšího vývoje věcí. A proto Vám odpovídám.</w:t>
      </w:r>
    </w:p>
    <w:p w:rsidR="00500724" w:rsidRDefault="00F30FB8">
      <w:pPr>
        <w:pStyle w:val="Zkladntext1"/>
        <w:shd w:val="clear" w:color="auto" w:fill="auto"/>
        <w:spacing w:after="40" w:line="178" w:lineRule="auto"/>
        <w:ind w:firstLine="300"/>
        <w:rPr>
          <w:sz w:val="18"/>
          <w:szCs w:val="18"/>
        </w:rPr>
      </w:pPr>
      <w:r>
        <w:rPr>
          <w:sz w:val="18"/>
          <w:szCs w:val="18"/>
        </w:rPr>
        <w:t>Věřte, že u nás v republice nikdo svůj názor o Masarykovi nezměnil: ti lidé, kteří Masaryka hanobili před 30. zářím 1938 (možná, že snad ani</w:t>
      </w:r>
      <w:r>
        <w:rPr>
          <w:sz w:val="18"/>
          <w:szCs w:val="18"/>
        </w:rPr>
        <w:t xml:space="preserve"> nevíte, že se tak dělo i dříve), činí tak i nadále. A ti druzí — a těch je ohromná většina — se dosud valně nevzpamatovali z loňského nárazu </w:t>
      </w:r>
      <w:r>
        <w:rPr>
          <w:b/>
          <w:bCs/>
        </w:rPr>
        <w:t xml:space="preserve">a </w:t>
      </w:r>
      <w:r>
        <w:rPr>
          <w:sz w:val="18"/>
          <w:szCs w:val="18"/>
        </w:rPr>
        <w:t>proto mlčí. Akus</w:t>
      </w:r>
      <w:r>
        <w:rPr>
          <w:sz w:val="18"/>
          <w:szCs w:val="18"/>
        </w:rPr>
        <w:softHyphen/>
        <w:t>tický dojem jest tedy snadno vysvětlitelný tím spíše, že ti první nijak své hlasivky nešetří; n</w:t>
      </w:r>
      <w:r>
        <w:rPr>
          <w:sz w:val="18"/>
          <w:szCs w:val="18"/>
        </w:rPr>
        <w:t>ení to tedy bouře živlů, ale docela obyčejný plech za kulisami.</w:t>
      </w:r>
    </w:p>
    <w:p w:rsidR="00500724" w:rsidRDefault="00F30FB8">
      <w:pPr>
        <w:pStyle w:val="Zkladntext1"/>
        <w:shd w:val="clear" w:color="auto" w:fill="auto"/>
        <w:spacing w:after="40" w:line="180" w:lineRule="auto"/>
        <w:ind w:firstLine="300"/>
        <w:rPr>
          <w:sz w:val="18"/>
          <w:szCs w:val="18"/>
        </w:rPr>
      </w:pPr>
      <w:r>
        <w:rPr>
          <w:sz w:val="18"/>
          <w:szCs w:val="18"/>
        </w:rPr>
        <w:t xml:space="preserve">Snad se Vám tedy nelíbí ono přílišné mlčení Přítomnosti a ostatních českých listů, jež čtete. Ale přál bych si, abyste si je dovedl vysvětliti. V redakcích našich listů </w:t>
      </w:r>
      <w:r>
        <w:rPr>
          <w:b/>
          <w:bCs/>
        </w:rPr>
        <w:t xml:space="preserve">je </w:t>
      </w:r>
      <w:r>
        <w:rPr>
          <w:sz w:val="18"/>
          <w:szCs w:val="18"/>
        </w:rPr>
        <w:t>dnes mnohem více než</w:t>
      </w:r>
      <w:r>
        <w:rPr>
          <w:sz w:val="18"/>
          <w:szCs w:val="18"/>
        </w:rPr>
        <w:t xml:space="preserve"> kdy jindy pro posouzení, zda ten neb onen projev může býti otištěn, směrodatným jen zájem státu. Určitá gene</w:t>
      </w:r>
      <w:r>
        <w:rPr>
          <w:sz w:val="18"/>
          <w:szCs w:val="18"/>
        </w:rPr>
        <w:softHyphen/>
        <w:t>rální linie byla — bez jakýchkoliv fermanů ministerstva pro</w:t>
      </w:r>
      <w:r>
        <w:rPr>
          <w:sz w:val="18"/>
          <w:szCs w:val="18"/>
        </w:rPr>
        <w:softHyphen/>
        <w:t xml:space="preserve">pagandy — přijata všemi časopisy, </w:t>
      </w:r>
      <w:r>
        <w:rPr>
          <w:b/>
          <w:bCs/>
        </w:rPr>
        <w:t xml:space="preserve">v </w:t>
      </w:r>
      <w:r>
        <w:rPr>
          <w:sz w:val="18"/>
          <w:szCs w:val="18"/>
        </w:rPr>
        <w:t>detailech se teprve son</w:t>
      </w:r>
      <w:r>
        <w:rPr>
          <w:sz w:val="18"/>
          <w:szCs w:val="18"/>
        </w:rPr>
        <w:softHyphen/>
        <w:t>duje půda a za matku všech</w:t>
      </w:r>
      <w:r>
        <w:rPr>
          <w:sz w:val="18"/>
          <w:szCs w:val="18"/>
        </w:rPr>
        <w:t xml:space="preserve"> moudrostí platí především opa</w:t>
      </w:r>
      <w:r>
        <w:rPr>
          <w:sz w:val="18"/>
          <w:szCs w:val="18"/>
        </w:rPr>
        <w:softHyphen/>
        <w:t xml:space="preserve">trnost. Neklamte se. Nechybějí temperamentní projevy proti; na jeden takový, třebaže nemluvil výslovně o Masarykovi, byl nucen — také v zájmu státu — odpovědět Peroutka </w:t>
      </w:r>
      <w:r>
        <w:rPr>
          <w:b/>
          <w:bCs/>
        </w:rPr>
        <w:t xml:space="preserve">v </w:t>
      </w:r>
      <w:r>
        <w:rPr>
          <w:sz w:val="18"/>
          <w:szCs w:val="18"/>
        </w:rPr>
        <w:t>článku »Umění možného« v 51. loňském čísle Přítomnosti</w:t>
      </w:r>
      <w:r>
        <w:rPr>
          <w:sz w:val="18"/>
          <w:szCs w:val="18"/>
        </w:rPr>
        <w:t>. Ale ty Vám unikají; jak mohl byste tedy vědět, kolik dětí na ško</w:t>
      </w:r>
      <w:r>
        <w:rPr>
          <w:sz w:val="18"/>
          <w:szCs w:val="18"/>
        </w:rPr>
        <w:softHyphen/>
        <w:t>lách plakalo, když jim odebírali Masarykovy obrazy.</w:t>
      </w:r>
    </w:p>
    <w:p w:rsidR="00500724" w:rsidRDefault="00F30FB8">
      <w:pPr>
        <w:pStyle w:val="Zkladntext1"/>
        <w:shd w:val="clear" w:color="auto" w:fill="auto"/>
        <w:spacing w:after="40" w:line="178" w:lineRule="auto"/>
        <w:ind w:firstLine="300"/>
        <w:rPr>
          <w:sz w:val="18"/>
          <w:szCs w:val="18"/>
        </w:rPr>
      </w:pPr>
      <w:r>
        <w:rPr>
          <w:sz w:val="18"/>
          <w:szCs w:val="18"/>
        </w:rPr>
        <w:t>Jsem přesvědčen, že právě s ohledem na zájmy státu může se také o Masarykovi mluvit u nás volně: onen příkaz minis</w:t>
      </w:r>
      <w:r>
        <w:rPr>
          <w:sz w:val="18"/>
          <w:szCs w:val="18"/>
        </w:rPr>
        <w:softHyphen/>
        <w:t>terstva školství, zařa</w:t>
      </w:r>
      <w:r>
        <w:rPr>
          <w:sz w:val="18"/>
          <w:szCs w:val="18"/>
        </w:rPr>
        <w:t>diti Masarykovy obrazy »mezi obrazy ostatních vynikajících mužů«, vysvětlíte si kromě řady podřad</w:t>
      </w:r>
      <w:r>
        <w:rPr>
          <w:sz w:val="18"/>
          <w:szCs w:val="18"/>
        </w:rPr>
        <w:softHyphen/>
        <w:t>nějších důvodů nejspíše oním tápáním v detailech. Neboť po tom, co se nám stalo, jsou i obrazy Masarykovy opravdu jen detailem. Ručím Vám však za to, že právě</w:t>
      </w:r>
      <w:r>
        <w:rPr>
          <w:sz w:val="18"/>
          <w:szCs w:val="18"/>
        </w:rPr>
        <w:t xml:space="preserve"> v tom ohledu se velmi brzo přijde k názoru, že přílišné opatrnictví nebylo </w:t>
      </w:r>
      <w:r>
        <w:rPr>
          <w:b/>
          <w:bCs/>
        </w:rPr>
        <w:t xml:space="preserve">a </w:t>
      </w:r>
      <w:r>
        <w:rPr>
          <w:sz w:val="18"/>
          <w:szCs w:val="18"/>
        </w:rPr>
        <w:t xml:space="preserve">není vůbec na místě, že právě naopak přílišná ustrašenost v zevních projevech lásky ke svému národu nám musí nutně být jen na škodu; vždyť láska k národu se projevuje také úctou </w:t>
      </w:r>
      <w:r>
        <w:rPr>
          <w:sz w:val="18"/>
          <w:szCs w:val="18"/>
        </w:rPr>
        <w:t>k jeho zasloužilým mužům.</w:t>
      </w:r>
    </w:p>
    <w:p w:rsidR="00500724" w:rsidRDefault="00F30FB8">
      <w:pPr>
        <w:pStyle w:val="Zkladntext1"/>
        <w:shd w:val="clear" w:color="auto" w:fill="auto"/>
        <w:spacing w:after="40" w:line="180" w:lineRule="auto"/>
        <w:ind w:firstLine="300"/>
        <w:rPr>
          <w:sz w:val="18"/>
          <w:szCs w:val="18"/>
        </w:rPr>
      </w:pPr>
      <w:r>
        <w:rPr>
          <w:sz w:val="18"/>
          <w:szCs w:val="18"/>
        </w:rPr>
        <w:t>Ale, konec konců nevisí ani ve Spojených Státech Lincol</w:t>
      </w:r>
      <w:r>
        <w:rPr>
          <w:sz w:val="18"/>
          <w:szCs w:val="18"/>
        </w:rPr>
        <w:softHyphen/>
        <w:t xml:space="preserve">novy nebo Washingtonovy obrazy v čele školních učeben. V tomto ohledu jsme u nás vlastně provedli malé odrakouš- tění; už od roku 1918 jsme se totiž chybně domnívali, že </w:t>
      </w:r>
      <w:r>
        <w:rPr>
          <w:sz w:val="18"/>
          <w:szCs w:val="18"/>
        </w:rPr>
        <w:t>obrazy zeměpánovy lze nahraditi jediné obrazem našich presi</w:t>
      </w:r>
      <w:r>
        <w:rPr>
          <w:sz w:val="18"/>
          <w:szCs w:val="18"/>
        </w:rPr>
        <w:softHyphen/>
        <w:t xml:space="preserve">dentů. Věřte, že úcta národa vůči Masarykovi tím ani v nej- menším neklesne, nebudou-li jeho obrazy </w:t>
      </w:r>
      <w:r>
        <w:rPr>
          <w:b/>
          <w:bCs/>
        </w:rPr>
        <w:t xml:space="preserve">v </w:t>
      </w:r>
      <w:r>
        <w:rPr>
          <w:sz w:val="18"/>
          <w:szCs w:val="18"/>
        </w:rPr>
        <w:t>učebnách a úřa</w:t>
      </w:r>
      <w:r>
        <w:rPr>
          <w:sz w:val="18"/>
          <w:szCs w:val="18"/>
        </w:rPr>
        <w:softHyphen/>
        <w:t>dovnách. Je příliš živoucí v srdci každého z nás. Až na ty malé výjimky. Dovolt</w:t>
      </w:r>
      <w:r>
        <w:rPr>
          <w:sz w:val="18"/>
          <w:szCs w:val="18"/>
        </w:rPr>
        <w:t>e, abychom i jako kulturní národ měli malé procento lidí závistivých nebo nemyslících. A dovolte zároveň, abych jako člověk, který téměř z pětiletého pobytu zná tři kulturní evropské země o celkovém počtu obyvatelů 130 mi</w:t>
      </w:r>
      <w:r>
        <w:rPr>
          <w:sz w:val="18"/>
          <w:szCs w:val="18"/>
        </w:rPr>
        <w:softHyphen/>
        <w:t>lionů — se osmělil tvrditi, že tak</w:t>
      </w:r>
      <w:r>
        <w:rPr>
          <w:sz w:val="18"/>
          <w:szCs w:val="18"/>
        </w:rPr>
        <w:t>ových lidi máme u nás po</w:t>
      </w:r>
      <w:r>
        <w:rPr>
          <w:sz w:val="18"/>
          <w:szCs w:val="18"/>
        </w:rPr>
        <w:softHyphen/>
        <w:t>měrně málo.</w:t>
      </w:r>
    </w:p>
    <w:p w:rsidR="00500724" w:rsidRDefault="00F30FB8">
      <w:pPr>
        <w:pStyle w:val="Zkladntext1"/>
        <w:shd w:val="clear" w:color="auto" w:fill="auto"/>
        <w:spacing w:after="80" w:line="178" w:lineRule="auto"/>
        <w:ind w:firstLine="300"/>
        <w:rPr>
          <w:sz w:val="18"/>
          <w:szCs w:val="18"/>
        </w:rPr>
      </w:pPr>
      <w:r>
        <w:rPr>
          <w:sz w:val="18"/>
          <w:szCs w:val="18"/>
        </w:rPr>
        <w:t xml:space="preserve">Kdybyste mohl slyšeti jenom některé </w:t>
      </w:r>
      <w:r>
        <w:rPr>
          <w:b/>
          <w:bCs/>
        </w:rPr>
        <w:t xml:space="preserve">z </w:t>
      </w:r>
      <w:r>
        <w:rPr>
          <w:sz w:val="18"/>
          <w:szCs w:val="18"/>
        </w:rPr>
        <w:t>milionu záložníků, kteří 23. září nastupovali, nevyčítal byste mi domýšlivost.</w:t>
      </w:r>
    </w:p>
    <w:p w:rsidR="00500724" w:rsidRDefault="00F30FB8">
      <w:pPr>
        <w:pStyle w:val="Zkladntext1"/>
        <w:shd w:val="clear" w:color="auto" w:fill="auto"/>
        <w:spacing w:after="40" w:line="180" w:lineRule="auto"/>
        <w:ind w:firstLine="300"/>
        <w:rPr>
          <w:sz w:val="18"/>
          <w:szCs w:val="18"/>
        </w:rPr>
      </w:pPr>
      <w:r>
        <w:rPr>
          <w:sz w:val="18"/>
          <w:szCs w:val="18"/>
        </w:rPr>
        <w:t>Upřímně Vas zdraví</w:t>
      </w:r>
    </w:p>
    <w:p w:rsidR="00500724" w:rsidRDefault="00F30FB8">
      <w:pPr>
        <w:pStyle w:val="Zkladntext1"/>
        <w:shd w:val="clear" w:color="auto" w:fill="auto"/>
        <w:spacing w:after="220" w:line="170" w:lineRule="auto"/>
        <w:ind w:firstLine="0"/>
        <w:jc w:val="right"/>
      </w:pPr>
      <w:r>
        <w:rPr>
          <w:b/>
          <w:bCs/>
        </w:rPr>
        <w:t>nezdolný český optimista.</w:t>
      </w:r>
    </w:p>
    <w:p w:rsidR="00500724" w:rsidRDefault="00F30FB8">
      <w:pPr>
        <w:pStyle w:val="Zkladntext1"/>
        <w:shd w:val="clear" w:color="auto" w:fill="auto"/>
        <w:spacing w:after="80" w:line="166" w:lineRule="auto"/>
        <w:ind w:firstLine="0"/>
        <w:jc w:val="center"/>
      </w:pPr>
      <w:r>
        <w:rPr>
          <w:b/>
          <w:bCs/>
        </w:rPr>
        <w:t>Dopis sedláka o Masarykovi</w:t>
      </w:r>
    </w:p>
    <w:p w:rsidR="00500724" w:rsidRDefault="00F30FB8">
      <w:pPr>
        <w:pStyle w:val="Zkladntext1"/>
        <w:shd w:val="clear" w:color="auto" w:fill="auto"/>
        <w:spacing w:after="80" w:line="175" w:lineRule="auto"/>
        <w:ind w:left="880" w:firstLine="0"/>
        <w:jc w:val="left"/>
        <w:rPr>
          <w:sz w:val="18"/>
          <w:szCs w:val="18"/>
        </w:rPr>
      </w:pPr>
      <w:r>
        <w:rPr>
          <w:sz w:val="18"/>
          <w:szCs w:val="18"/>
        </w:rPr>
        <w:t>Vážený pane redaktore!</w:t>
      </w:r>
    </w:p>
    <w:p w:rsidR="00500724" w:rsidRDefault="00F30FB8">
      <w:pPr>
        <w:pStyle w:val="Zkladntext1"/>
        <w:shd w:val="clear" w:color="auto" w:fill="auto"/>
        <w:spacing w:line="175" w:lineRule="auto"/>
        <w:ind w:firstLine="300"/>
        <w:rPr>
          <w:sz w:val="18"/>
          <w:szCs w:val="18"/>
        </w:rPr>
      </w:pPr>
      <w:r>
        <w:rPr>
          <w:sz w:val="18"/>
          <w:szCs w:val="18"/>
        </w:rPr>
        <w:t>Jsem ro</w:t>
      </w:r>
      <w:r>
        <w:rPr>
          <w:sz w:val="18"/>
          <w:szCs w:val="18"/>
        </w:rPr>
        <w:t>lník, přes třicet roků členem bývalé strany agrární, a se zájmem čítávám Vaši »Přítomnost«. Vážím si Vašeho zdravého úsudku. Těšilo mne na příklad, že jste nesouhlasil před rokem s bojem proti Beranovi — přeškoda, že jste ne</w:t>
      </w:r>
      <w:r>
        <w:rPr>
          <w:sz w:val="18"/>
          <w:szCs w:val="18"/>
        </w:rPr>
        <w:softHyphen/>
        <w:t>mohl jemu zabrániti. Mám dojem,</w:t>
      </w:r>
      <w:r>
        <w:rPr>
          <w:sz w:val="18"/>
          <w:szCs w:val="18"/>
        </w:rPr>
        <w:t xml:space="preserve"> že tato kampaň víc než cokoli jiného zapříčinila naši národní pohromu. Ona způsobila, že nebylo možno přistoupiti k dohodě s Němci, dokud byl čas. Zrovna tak správně odhadujete naše vyhlídky v pádu, že by byla vypukla válka. Když čtu, že dostáváte projevy</w:t>
      </w:r>
      <w:r>
        <w:rPr>
          <w:sz w:val="18"/>
          <w:szCs w:val="18"/>
        </w:rPr>
        <w:t xml:space="preserve"> nesou</w:t>
      </w:r>
      <w:r>
        <w:rPr>
          <w:sz w:val="18"/>
          <w:szCs w:val="18"/>
        </w:rPr>
        <w:softHyphen/>
        <w:t>hlasu, nutí mne to, abych Vám řekl, že jsou lidé, kteří s Vámi souhlasí, ano v nejednom ohledu jsou Vám upřímně vděčni.</w:t>
      </w:r>
    </w:p>
    <w:p w:rsidR="00500724" w:rsidRDefault="00F30FB8">
      <w:pPr>
        <w:pStyle w:val="Zkladntext1"/>
        <w:shd w:val="clear" w:color="auto" w:fill="auto"/>
        <w:spacing w:after="60" w:line="209" w:lineRule="auto"/>
        <w:ind w:firstLine="300"/>
        <w:rPr>
          <w:sz w:val="22"/>
          <w:szCs w:val="22"/>
        </w:rPr>
      </w:pPr>
      <w:r>
        <w:rPr>
          <w:sz w:val="18"/>
          <w:szCs w:val="18"/>
        </w:rPr>
        <w:t>Jsou v naší veřejnosti věci, které hluboce zarmucují, a ne</w:t>
      </w:r>
      <w:r>
        <w:rPr>
          <w:sz w:val="18"/>
          <w:szCs w:val="18"/>
        </w:rPr>
        <w:softHyphen/>
        <w:t>chápu, jak mohlo k tomu dojiti. Tak na příklad památka Ma</w:t>
      </w:r>
      <w:r>
        <w:rPr>
          <w:sz w:val="18"/>
          <w:szCs w:val="18"/>
        </w:rPr>
        <w:softHyphen/>
        <w:t>sarykova. Ma</w:t>
      </w:r>
      <w:r>
        <w:rPr>
          <w:sz w:val="18"/>
          <w:szCs w:val="18"/>
        </w:rPr>
        <w:t>saryk bezesporu náleží k největším mužům na</w:t>
      </w:r>
      <w:r>
        <w:rPr>
          <w:sz w:val="18"/>
          <w:szCs w:val="18"/>
        </w:rPr>
        <w:softHyphen/>
        <w:t>šich dějin. V posledním více nežli půlstoletí jeho osobnost a dílo naplňovalo náš národní život. Kdykoli slyším dr. Fr. Sou</w:t>
      </w:r>
      <w:r>
        <w:rPr>
          <w:sz w:val="18"/>
          <w:szCs w:val="18"/>
        </w:rPr>
        <w:softHyphen/>
        <w:t>kupa, Klofáče. Bechyně, vždy myslím na to, že tito lidé prošli pokrokovým hnutím, v jeho</w:t>
      </w:r>
      <w:r>
        <w:rPr>
          <w:sz w:val="18"/>
          <w:szCs w:val="18"/>
        </w:rPr>
        <w:t xml:space="preserve">ž středu stál Masaryk. Jest to na </w:t>
      </w:r>
      <w:r>
        <w:rPr>
          <w:rFonts w:ascii="Arial" w:eastAsia="Arial" w:hAnsi="Arial" w:cs="Arial"/>
          <w:b/>
          <w:bCs/>
          <w:sz w:val="22"/>
          <w:szCs w:val="22"/>
        </w:rPr>
        <w:t>Oj</w:t>
      </w:r>
    </w:p>
    <w:p w:rsidR="00500724" w:rsidRDefault="00F30FB8">
      <w:pPr>
        <w:pStyle w:val="Zkladntext1"/>
        <w:shd w:val="clear" w:color="auto" w:fill="auto"/>
        <w:spacing w:line="197" w:lineRule="auto"/>
        <w:ind w:firstLine="0"/>
        <w:rPr>
          <w:sz w:val="18"/>
          <w:szCs w:val="18"/>
        </w:rPr>
      </w:pPr>
      <w:r>
        <w:rPr>
          <w:sz w:val="18"/>
          <w:szCs w:val="18"/>
        </w:rPr>
        <w:t xml:space="preserve">nich viděti. I </w:t>
      </w:r>
      <w:r>
        <w:rPr>
          <w:b/>
          <w:bCs/>
        </w:rPr>
        <w:t xml:space="preserve">ti, </w:t>
      </w:r>
      <w:r>
        <w:rPr>
          <w:sz w:val="18"/>
          <w:szCs w:val="18"/>
        </w:rPr>
        <w:t>kdož stáli proti němu, brali od něho. V posled</w:t>
      </w:r>
      <w:r>
        <w:rPr>
          <w:sz w:val="18"/>
          <w:szCs w:val="18"/>
        </w:rPr>
        <w:softHyphen/>
        <w:t>ních pak letech zdálo se, že úcta k němu jest naprostá a vše</w:t>
      </w:r>
      <w:r>
        <w:rPr>
          <w:sz w:val="18"/>
          <w:szCs w:val="18"/>
        </w:rPr>
        <w:softHyphen/>
        <w:t xml:space="preserve">obecná. Z našeho Stanoviska agrárního nebyl sice náš, ale </w:t>
      </w:r>
      <w:r>
        <w:rPr>
          <w:b/>
          <w:bCs/>
        </w:rPr>
        <w:t xml:space="preserve">v </w:t>
      </w:r>
      <w:r>
        <w:rPr>
          <w:sz w:val="18"/>
          <w:szCs w:val="18"/>
        </w:rPr>
        <w:t xml:space="preserve">jaké harmonii pracoval se Švehlou, Udržalem, Malypetrem </w:t>
      </w:r>
      <w:r>
        <w:rPr>
          <w:b/>
          <w:bCs/>
        </w:rPr>
        <w:t xml:space="preserve">a </w:t>
      </w:r>
      <w:r>
        <w:rPr>
          <w:sz w:val="18"/>
          <w:szCs w:val="18"/>
        </w:rPr>
        <w:t>Hodžou! Vzpomínám na jeho slova, že v našem státě nej- revoluěnějši čin vykonala v podstatě konservativní strana agrární, pozemkovou reformou. Vzpomínám, jak vůdce ně</w:t>
      </w:r>
      <w:r>
        <w:rPr>
          <w:sz w:val="18"/>
          <w:szCs w:val="18"/>
        </w:rPr>
        <w:softHyphen/>
        <w:t>meckých zemědělců, Křepek, řekl</w:t>
      </w:r>
      <w:r>
        <w:rPr>
          <w:sz w:val="18"/>
          <w:szCs w:val="18"/>
        </w:rPr>
        <w:t xml:space="preserve"> jednou redaktoru »Prager Tagblattuc: »Masaryka českému národu nenahradí nikdo. Jako Němci mají jediného Bismarcka a Italové Cavoura, tak český národ bude míti jediného Masaryka.*</w:t>
      </w:r>
    </w:p>
    <w:p w:rsidR="00500724" w:rsidRDefault="00F30FB8">
      <w:pPr>
        <w:pStyle w:val="Zkladntext1"/>
        <w:shd w:val="clear" w:color="auto" w:fill="auto"/>
        <w:spacing w:line="199" w:lineRule="auto"/>
        <w:ind w:firstLine="340"/>
        <w:rPr>
          <w:sz w:val="18"/>
          <w:szCs w:val="18"/>
        </w:rPr>
      </w:pPr>
      <w:r>
        <w:rPr>
          <w:sz w:val="18"/>
          <w:szCs w:val="18"/>
        </w:rPr>
        <w:t>A najednou takový obrat. Teď zdá se, že už je trochu lépe. Jako by se národ probíral z omráčení. Ale pořád ještě bojím se vžiti číslo novin do ruky. Tak tyto dny jsem četl, že správní komise v Kutné Hoře přejmenovala náměstí Masarykovo na Svatováclavské. L</w:t>
      </w:r>
      <w:r>
        <w:rPr>
          <w:sz w:val="18"/>
          <w:szCs w:val="18"/>
        </w:rPr>
        <w:t xml:space="preserve">eccos děláme z důvodů zahraničně-politic- kých. Ale čtu, že </w:t>
      </w:r>
      <w:r>
        <w:rPr>
          <w:b/>
          <w:bCs/>
        </w:rPr>
        <w:t xml:space="preserve">v </w:t>
      </w:r>
      <w:r>
        <w:rPr>
          <w:sz w:val="18"/>
          <w:szCs w:val="18"/>
        </w:rPr>
        <w:t>zabraném území visí obrazy Masarykovy vedle Hitlera. Tedy co se to s námi děje?</w:t>
      </w:r>
    </w:p>
    <w:p w:rsidR="00500724" w:rsidRDefault="00F30FB8">
      <w:pPr>
        <w:pStyle w:val="Zkladntext1"/>
        <w:shd w:val="clear" w:color="auto" w:fill="auto"/>
        <w:spacing w:line="194" w:lineRule="auto"/>
        <w:ind w:firstLine="340"/>
        <w:rPr>
          <w:sz w:val="18"/>
          <w:szCs w:val="18"/>
        </w:rPr>
      </w:pPr>
      <w:r>
        <w:rPr>
          <w:b/>
          <w:bCs/>
        </w:rPr>
        <w:t xml:space="preserve">Podobně se to </w:t>
      </w:r>
      <w:r>
        <w:rPr>
          <w:sz w:val="18"/>
          <w:szCs w:val="18"/>
        </w:rPr>
        <w:t>má se svatováclavskou tradicí. Jistě tradice svatováclavská jest cenným národním majetkem. Ale kde z</w:t>
      </w:r>
      <w:r>
        <w:rPr>
          <w:sz w:val="18"/>
          <w:szCs w:val="18"/>
        </w:rPr>
        <w:t>ůstala tradice husitská?</w:t>
      </w:r>
    </w:p>
    <w:p w:rsidR="00500724" w:rsidRDefault="00F30FB8">
      <w:pPr>
        <w:pStyle w:val="Zkladntext1"/>
        <w:shd w:val="clear" w:color="auto" w:fill="auto"/>
        <w:spacing w:line="199" w:lineRule="auto"/>
        <w:ind w:firstLine="340"/>
        <w:rPr>
          <w:sz w:val="18"/>
          <w:szCs w:val="18"/>
        </w:rPr>
      </w:pPr>
      <w:r>
        <w:rPr>
          <w:sz w:val="18"/>
          <w:szCs w:val="18"/>
        </w:rPr>
        <w:t xml:space="preserve">Když se podívám na život našeho národa za posledních sto let, </w:t>
      </w:r>
      <w:r>
        <w:rPr>
          <w:b/>
          <w:bCs/>
        </w:rPr>
        <w:t xml:space="preserve">na </w:t>
      </w:r>
      <w:r>
        <w:rPr>
          <w:sz w:val="18"/>
          <w:szCs w:val="18"/>
        </w:rPr>
        <w:t>každém místě vidím, jak tradice husitská inspirovala jej ve všech směrech. Jeden z nejlepších vůdců mladočeských, roudnický E. Špindler, překládá Meissnerova »Žižku«,</w:t>
      </w:r>
      <w:r>
        <w:rPr>
          <w:sz w:val="18"/>
          <w:szCs w:val="18"/>
        </w:rPr>
        <w:t xml:space="preserve"> kterého koncem minulého století dokumentárně cituje historik Josef Pekař ve své skvělé odpovědi německému učenci Mommse- novi. Jak tradice husitská inspirovala Nerudu, Svat. Čecha, Jiráska, Brožíka, Šalouna, Smetanu, i náš národní odboj, jest přece známo.</w:t>
      </w:r>
      <w:r>
        <w:rPr>
          <w:sz w:val="18"/>
          <w:szCs w:val="18"/>
        </w:rPr>
        <w:t xml:space="preserve"> Byl to vše omyl? Což není možno tradici svato</w:t>
      </w:r>
      <w:r>
        <w:rPr>
          <w:sz w:val="18"/>
          <w:szCs w:val="18"/>
        </w:rPr>
        <w:softHyphen/>
        <w:t>václavskou a husitskou postaviti snášelivě vedle sebe? Tak se zdá, jako bychom k velikým ztrátám územním, hospodář</w:t>
      </w:r>
      <w:r>
        <w:rPr>
          <w:sz w:val="18"/>
          <w:szCs w:val="18"/>
        </w:rPr>
        <w:softHyphen/>
        <w:t>ským a politickým sami zbytečně přidělávali veliké ztráty kul</w:t>
      </w:r>
      <w:r>
        <w:rPr>
          <w:sz w:val="18"/>
          <w:szCs w:val="18"/>
        </w:rPr>
        <w:softHyphen/>
        <w:t xml:space="preserve">turní a duchovní. Vzpomínám, že </w:t>
      </w:r>
      <w:r>
        <w:rPr>
          <w:sz w:val="18"/>
          <w:szCs w:val="18"/>
          <w:lang w:val="en-US" w:eastAsia="en-US" w:bidi="en-US"/>
        </w:rPr>
        <w:t xml:space="preserve">prof. </w:t>
      </w:r>
      <w:r>
        <w:rPr>
          <w:sz w:val="18"/>
          <w:szCs w:val="18"/>
        </w:rPr>
        <w:t>Pekař ve zmíněné od</w:t>
      </w:r>
      <w:r>
        <w:rPr>
          <w:sz w:val="18"/>
          <w:szCs w:val="18"/>
        </w:rPr>
        <w:softHyphen/>
        <w:t>povědi poukazuje na naši reformační minulost a vše co s ni souvisí, jako na náš veliký vklad evropské kultuře. Masaryk a husitská tradice jsou národní aktiva, která nelze škrtati v naší bilanci. A tak tedy mnohé bolí. Opravdu nelz</w:t>
      </w:r>
      <w:r>
        <w:rPr>
          <w:sz w:val="18"/>
          <w:szCs w:val="18"/>
        </w:rPr>
        <w:t>e v neštěstí nalézti cestu k rovnoprávnosti?</w:t>
      </w:r>
    </w:p>
    <w:p w:rsidR="00500724" w:rsidRDefault="00F30FB8">
      <w:pPr>
        <w:pStyle w:val="Zkladntext1"/>
        <w:shd w:val="clear" w:color="auto" w:fill="auto"/>
        <w:spacing w:after="180" w:line="197" w:lineRule="auto"/>
        <w:ind w:firstLine="340"/>
      </w:pPr>
      <w:r>
        <w:rPr>
          <w:sz w:val="18"/>
          <w:szCs w:val="18"/>
        </w:rPr>
        <w:t xml:space="preserve">Chtěl jsem Vám tedy poděkovati za to, co jste udělal a </w:t>
      </w:r>
      <w:r>
        <w:rPr>
          <w:b/>
          <w:bCs/>
        </w:rPr>
        <w:t xml:space="preserve">co </w:t>
      </w:r>
      <w:r>
        <w:rPr>
          <w:sz w:val="18"/>
          <w:szCs w:val="18"/>
        </w:rPr>
        <w:t xml:space="preserve">děláte pro správné a spravedlivé hodnocení věci. Hodi-li se Vám to, otiskněte to jako hlas sedláka z našich hor. J. </w:t>
      </w:r>
      <w:r>
        <w:rPr>
          <w:b/>
          <w:bCs/>
        </w:rPr>
        <w:t>č.</w:t>
      </w:r>
    </w:p>
    <w:p w:rsidR="00500724" w:rsidRDefault="00F30FB8">
      <w:pPr>
        <w:pStyle w:val="Zkladntext1"/>
        <w:shd w:val="clear" w:color="auto" w:fill="auto"/>
        <w:spacing w:line="187" w:lineRule="auto"/>
        <w:ind w:firstLine="0"/>
        <w:jc w:val="center"/>
      </w:pPr>
      <w:r>
        <w:rPr>
          <w:b/>
          <w:bCs/>
        </w:rPr>
        <w:t>Proč jen pět?</w:t>
      </w:r>
    </w:p>
    <w:p w:rsidR="00500724" w:rsidRDefault="00F30FB8">
      <w:pPr>
        <w:pStyle w:val="Zkladntext1"/>
        <w:shd w:val="clear" w:color="auto" w:fill="auto"/>
        <w:spacing w:after="60" w:line="257" w:lineRule="auto"/>
        <w:ind w:left="940" w:firstLine="1640"/>
        <w:jc w:val="left"/>
        <w:rPr>
          <w:sz w:val="18"/>
          <w:szCs w:val="18"/>
        </w:rPr>
      </w:pPr>
      <w:r>
        <w:rPr>
          <w:sz w:val="18"/>
          <w:szCs w:val="18"/>
        </w:rPr>
        <w:t>V M. Ostravě 17. led</w:t>
      </w:r>
      <w:r>
        <w:rPr>
          <w:sz w:val="18"/>
          <w:szCs w:val="18"/>
        </w:rPr>
        <w:t>na 1939 Vážený p. redaktore!</w:t>
      </w:r>
    </w:p>
    <w:p w:rsidR="00500724" w:rsidRDefault="00F30FB8">
      <w:pPr>
        <w:pStyle w:val="Zkladntext1"/>
        <w:shd w:val="clear" w:color="auto" w:fill="auto"/>
        <w:spacing w:line="173" w:lineRule="auto"/>
        <w:ind w:firstLine="340"/>
        <w:rPr>
          <w:sz w:val="18"/>
          <w:szCs w:val="18"/>
        </w:rPr>
      </w:pPr>
      <w:r>
        <w:rPr>
          <w:sz w:val="18"/>
          <w:szCs w:val="18"/>
        </w:rPr>
        <w:t>Prosím jménem evakuovaného učitelstva z Těšínská, Hlu- čínska a Opavska, abyste uveřejnil připojený článek jako opravu k poznámce »Proč jenom pět?«, uveřejněné v »Pří- tomnosti*.</w:t>
      </w:r>
    </w:p>
    <w:p w:rsidR="00500724" w:rsidRDefault="00F30FB8">
      <w:pPr>
        <w:pStyle w:val="Zkladntext1"/>
        <w:shd w:val="clear" w:color="auto" w:fill="auto"/>
        <w:spacing w:line="175" w:lineRule="auto"/>
        <w:ind w:firstLine="340"/>
        <w:rPr>
          <w:sz w:val="18"/>
          <w:szCs w:val="18"/>
        </w:rPr>
      </w:pPr>
      <w:r>
        <w:rPr>
          <w:sz w:val="18"/>
          <w:szCs w:val="18"/>
        </w:rPr>
        <w:t xml:space="preserve">Kdo četl tu poznámku, nabyl mylné představy, že </w:t>
      </w:r>
      <w:r>
        <w:rPr>
          <w:sz w:val="18"/>
          <w:szCs w:val="18"/>
        </w:rPr>
        <w:t>v území zabraném Německem, není přes dobrou vůli německých úřadů českých škol jen z té jediné příčiny, že na ně nechtějí jít čeští učitelé. Skutečnost je bohužel jiná. Poukážeme na ni podle stavu, jaký byl a jaký je na Opavsku a Novojicku.</w:t>
      </w:r>
    </w:p>
    <w:p w:rsidR="00500724" w:rsidRDefault="00F30FB8">
      <w:pPr>
        <w:pStyle w:val="Zkladntext1"/>
        <w:shd w:val="clear" w:color="auto" w:fill="auto"/>
        <w:spacing w:line="173" w:lineRule="auto"/>
        <w:ind w:firstLine="340"/>
        <w:rPr>
          <w:sz w:val="18"/>
          <w:szCs w:val="18"/>
        </w:rPr>
      </w:pPr>
      <w:r>
        <w:rPr>
          <w:sz w:val="18"/>
          <w:szCs w:val="18"/>
        </w:rPr>
        <w:t xml:space="preserve">Tam i při </w:t>
      </w:r>
      <w:r>
        <w:rPr>
          <w:sz w:val="18"/>
          <w:szCs w:val="18"/>
        </w:rPr>
        <w:t>okupaci učitelé na všech veřejných školách se</w:t>
      </w:r>
      <w:r>
        <w:rPr>
          <w:sz w:val="18"/>
          <w:szCs w:val="18"/>
        </w:rPr>
        <w:softHyphen/>
        <w:t>trvali, nikoli jen proto, že jim to československé úřady naři</w:t>
      </w:r>
      <w:r>
        <w:rPr>
          <w:sz w:val="18"/>
          <w:szCs w:val="18"/>
        </w:rPr>
        <w:softHyphen/>
        <w:t>zovaly, nýbrž hlavně z vlastního přesvědčení, že nesmějí ve chvíli nejtěžši opustit lid, s nímž po léta žili. Na všech českých školách jmenovaného o</w:t>
      </w:r>
      <w:r>
        <w:rPr>
          <w:sz w:val="18"/>
          <w:szCs w:val="18"/>
        </w:rPr>
        <w:t>bsazeného území se učilo nepřetržitě i po okupaci dále česky, pokud ovšem německé vojsko ne</w:t>
      </w:r>
      <w:r>
        <w:rPr>
          <w:sz w:val="18"/>
          <w:szCs w:val="18"/>
        </w:rPr>
        <w:softHyphen/>
        <w:t>obsadilo budovy škol. Učitelstvo vydrželo.</w:t>
      </w:r>
    </w:p>
    <w:p w:rsidR="00500724" w:rsidRDefault="00F30FB8">
      <w:pPr>
        <w:pStyle w:val="Zkladntext1"/>
        <w:shd w:val="clear" w:color="auto" w:fill="auto"/>
        <w:spacing w:line="173" w:lineRule="auto"/>
        <w:ind w:firstLine="340"/>
        <w:rPr>
          <w:sz w:val="18"/>
          <w:szCs w:val="18"/>
        </w:rPr>
      </w:pPr>
      <w:r>
        <w:rPr>
          <w:sz w:val="18"/>
          <w:szCs w:val="18"/>
        </w:rPr>
        <w:t>Jednaly-li nové německé orgány s českými školami a čes</w:t>
      </w:r>
      <w:r>
        <w:rPr>
          <w:sz w:val="18"/>
          <w:szCs w:val="18"/>
        </w:rPr>
        <w:softHyphen/>
        <w:t>kými učiteli vždy korektně, jak se v poznámce tvrdí, nechť se poso</w:t>
      </w:r>
      <w:r>
        <w:rPr>
          <w:sz w:val="18"/>
          <w:szCs w:val="18"/>
        </w:rPr>
        <w:t>udí podle činů, jež následovaly brzy po obsazení. Tak Xzu?^</w:t>
      </w:r>
      <w:r>
        <w:rPr>
          <w:sz w:val="18"/>
          <w:szCs w:val="18"/>
          <w:vertAlign w:val="superscript"/>
        </w:rPr>
        <w:t>rese</w:t>
      </w:r>
      <w:r>
        <w:rPr>
          <w:sz w:val="18"/>
          <w:szCs w:val="18"/>
        </w:rPr>
        <w:t xml:space="preserve"> - </w:t>
      </w:r>
      <w:r>
        <w:rPr>
          <w:sz w:val="18"/>
          <w:szCs w:val="18"/>
          <w:vertAlign w:val="superscript"/>
        </w:rPr>
        <w:t>0</w:t>
      </w:r>
      <w:r>
        <w:rPr>
          <w:sz w:val="18"/>
          <w:szCs w:val="18"/>
        </w:rPr>
        <w:t>P</w:t>
      </w:r>
      <w:r>
        <w:rPr>
          <w:sz w:val="18"/>
          <w:szCs w:val="18"/>
          <w:vertAlign w:val="superscript"/>
        </w:rPr>
        <w:t>av</w:t>
      </w:r>
      <w:r>
        <w:rPr>
          <w:sz w:val="18"/>
          <w:szCs w:val="18"/>
        </w:rPr>
        <w:t>ském propustil p. inspektor Fritscher všech 200 českých učitelů a z nich přijal nazpět pouze 8, slovem osm, a to těch, kteří uměli dokonale německy a kteří dali zapsat svoje vlastní děti</w:t>
      </w:r>
      <w:r>
        <w:rPr>
          <w:sz w:val="18"/>
          <w:szCs w:val="18"/>
        </w:rPr>
        <w:t xml:space="preserve"> do německých škol. Na místa ostat</w:t>
      </w:r>
      <w:r>
        <w:rPr>
          <w:sz w:val="18"/>
          <w:szCs w:val="18"/>
        </w:rPr>
        <w:softHyphen/>
        <w:t>ních propuštěných učitelů byli ustanoveni němečtí učitelé, které propustili Poláci na Těšínsku. A tak se nyní na »českých« veřejných školách v opavském okrese učí německy, ačkoli tam čeští učitelé zůstali, jsou tam dodnes</w:t>
      </w:r>
      <w:r>
        <w:rPr>
          <w:sz w:val="18"/>
          <w:szCs w:val="18"/>
        </w:rPr>
        <w:t>, rádi by šli do školy učit, ale nesmějí.</w:t>
      </w:r>
    </w:p>
    <w:p w:rsidR="00500724" w:rsidRDefault="00F30FB8">
      <w:pPr>
        <w:pStyle w:val="Zkladntext1"/>
        <w:shd w:val="clear" w:color="auto" w:fill="auto"/>
        <w:spacing w:line="204" w:lineRule="auto"/>
        <w:ind w:firstLine="340"/>
        <w:rPr>
          <w:sz w:val="20"/>
          <w:szCs w:val="20"/>
        </w:rPr>
      </w:pPr>
      <w:r>
        <w:rPr>
          <w:sz w:val="18"/>
          <w:szCs w:val="18"/>
        </w:rPr>
        <w:t>Rovněž na českých školách v okrese bíloveekém, kde půso</w:t>
      </w:r>
      <w:r>
        <w:rPr>
          <w:sz w:val="18"/>
          <w:szCs w:val="18"/>
        </w:rPr>
        <w:softHyphen/>
        <w:t>bilo na veřejných školách na 180 učitelů, nebylo přerušeno vyučování ani v jediné třídě. Za učitele vojáky se suplovalo. P. insp. Jedlitschka nařídil na všech</w:t>
      </w:r>
      <w:r>
        <w:rPr>
          <w:sz w:val="18"/>
          <w:szCs w:val="18"/>
        </w:rPr>
        <w:t xml:space="preserve"> českých školách německou vyučovací řeč a vyzval učitele, kteří dobře německy neumějí, aby optovali </w:t>
      </w:r>
      <w:r>
        <w:rPr>
          <w:b/>
          <w:bCs/>
        </w:rPr>
        <w:t xml:space="preserve">a </w:t>
      </w:r>
      <w:r>
        <w:rPr>
          <w:sz w:val="18"/>
          <w:szCs w:val="18"/>
        </w:rPr>
        <w:t>hlásili se o místo v ČSR. Nepropouštěl sice české učitele hromadně, ale kdo měl vroubek u místních ordnerů, ani ten nebyl ušetřen. Dostal zprošťovací dekr</w:t>
      </w:r>
      <w:r>
        <w:rPr>
          <w:sz w:val="18"/>
          <w:szCs w:val="18"/>
        </w:rPr>
        <w:t xml:space="preserve">et anebo dútklivý pokyn, že mu </w:t>
      </w:r>
      <w:r>
        <w:rPr>
          <w:b/>
          <w:bCs/>
        </w:rPr>
        <w:t xml:space="preserve">v </w:t>
      </w:r>
      <w:r>
        <w:rPr>
          <w:sz w:val="18"/>
          <w:szCs w:val="18"/>
        </w:rPr>
        <w:t xml:space="preserve">Říši pšenice nepokvete. </w:t>
      </w:r>
      <w:r>
        <w:rPr>
          <w:b/>
          <w:bCs/>
        </w:rPr>
        <w:t xml:space="preserve">Pro- </w:t>
      </w:r>
      <w:r>
        <w:rPr>
          <w:b/>
          <w:bCs/>
          <w:sz w:val="20"/>
          <w:szCs w:val="20"/>
        </w:rPr>
        <w:t>4*</w:t>
      </w:r>
    </w:p>
    <w:p w:rsidR="00500724" w:rsidRDefault="00F30FB8">
      <w:pPr>
        <w:pStyle w:val="Zkladntext1"/>
        <w:shd w:val="clear" w:color="auto" w:fill="auto"/>
        <w:spacing w:after="40" w:line="194" w:lineRule="auto"/>
        <w:ind w:firstLine="0"/>
        <w:rPr>
          <w:sz w:val="18"/>
          <w:szCs w:val="18"/>
        </w:rPr>
      </w:pPr>
      <w:r>
        <w:rPr>
          <w:sz w:val="18"/>
          <w:szCs w:val="18"/>
        </w:rPr>
        <w:t xml:space="preserve">pouštění bylo odůvodňováno nepřátelstvím k Německu anebo se také vyhovovalo projevené prý touze žít </w:t>
      </w:r>
      <w:r>
        <w:rPr>
          <w:b/>
          <w:bCs/>
        </w:rPr>
        <w:t xml:space="preserve">v </w:t>
      </w:r>
      <w:r>
        <w:rPr>
          <w:sz w:val="18"/>
          <w:szCs w:val="18"/>
        </w:rPr>
        <w:t>ČSR. Je-li někdo vyhnán, nemůže setrvat ani se vrátit. Musi si hledat jinde skývu chleba.</w:t>
      </w:r>
    </w:p>
    <w:p w:rsidR="00500724" w:rsidRDefault="00F30FB8">
      <w:pPr>
        <w:pStyle w:val="Zkladntext1"/>
        <w:shd w:val="clear" w:color="auto" w:fill="auto"/>
        <w:spacing w:after="40" w:line="182" w:lineRule="auto"/>
        <w:ind w:firstLine="300"/>
        <w:rPr>
          <w:sz w:val="18"/>
          <w:szCs w:val="18"/>
        </w:rPr>
      </w:pPr>
      <w:r>
        <w:rPr>
          <w:sz w:val="18"/>
          <w:szCs w:val="18"/>
        </w:rPr>
        <w:t>Tedy na Opavsku a Bílovecku jsou nyní »české« školy ve</w:t>
      </w:r>
      <w:r>
        <w:rPr>
          <w:sz w:val="18"/>
          <w:szCs w:val="18"/>
        </w:rPr>
        <w:softHyphen/>
        <w:t xml:space="preserve">řejné, jak bývaly, jenomže na Opavsku </w:t>
      </w:r>
      <w:r>
        <w:rPr>
          <w:b/>
          <w:bCs/>
        </w:rPr>
        <w:t xml:space="preserve">s </w:t>
      </w:r>
      <w:r>
        <w:rPr>
          <w:sz w:val="18"/>
          <w:szCs w:val="18"/>
        </w:rPr>
        <w:t>německým uči</w:t>
      </w:r>
      <w:r>
        <w:rPr>
          <w:sz w:val="18"/>
          <w:szCs w:val="18"/>
        </w:rPr>
        <w:softHyphen/>
        <w:t>telstvem a s německým vyučovacím jazykem a na Bílovecku sice s českým učitelstvem, ale s německým vyučovacím ja</w:t>
      </w:r>
      <w:r>
        <w:rPr>
          <w:sz w:val="18"/>
          <w:szCs w:val="18"/>
        </w:rPr>
        <w:softHyphen/>
        <w:t>zykem.</w:t>
      </w:r>
    </w:p>
    <w:p w:rsidR="00500724" w:rsidRDefault="00F30FB8">
      <w:pPr>
        <w:pStyle w:val="Zkladntext1"/>
        <w:shd w:val="clear" w:color="auto" w:fill="auto"/>
        <w:spacing w:after="40" w:line="170" w:lineRule="auto"/>
        <w:rPr>
          <w:sz w:val="18"/>
          <w:szCs w:val="18"/>
        </w:rPr>
      </w:pPr>
      <w:r>
        <w:rPr>
          <w:sz w:val="18"/>
          <w:szCs w:val="18"/>
        </w:rPr>
        <w:t>Z naší oblasti východní Mora</w:t>
      </w:r>
      <w:r>
        <w:rPr>
          <w:sz w:val="18"/>
          <w:szCs w:val="18"/>
        </w:rPr>
        <w:t>vy se ještě nejlépe vede českým školám na Novojicku a na Hranicku. Tam byli pone</w:t>
      </w:r>
      <w:r>
        <w:rPr>
          <w:sz w:val="18"/>
          <w:szCs w:val="18"/>
        </w:rPr>
        <w:softHyphen/>
        <w:t>cháni jak čeští učitelé, tak i český vyučovací jazyk, jenom z míst vedoucích jsou odvoláváni ředitelé a řídící čeští a jsou nahrazováni německými.</w:t>
      </w:r>
    </w:p>
    <w:p w:rsidR="00500724" w:rsidRDefault="00F30FB8">
      <w:pPr>
        <w:pStyle w:val="Zkladntext1"/>
        <w:shd w:val="clear" w:color="auto" w:fill="auto"/>
        <w:tabs>
          <w:tab w:val="left" w:pos="4853"/>
        </w:tabs>
        <w:spacing w:after="180" w:line="170" w:lineRule="auto"/>
        <w:ind w:firstLine="300"/>
        <w:rPr>
          <w:sz w:val="18"/>
          <w:szCs w:val="18"/>
        </w:rPr>
      </w:pPr>
      <w:r>
        <w:rPr>
          <w:sz w:val="18"/>
          <w:szCs w:val="18"/>
        </w:rPr>
        <w:t>Z toho je vidět, že nelze ml</w:t>
      </w:r>
      <w:r>
        <w:rPr>
          <w:sz w:val="18"/>
          <w:szCs w:val="18"/>
        </w:rPr>
        <w:t>uvit o jednotném postupu vůči českému školství a jeho učitelstvu. V každém okrese zabrané</w:t>
      </w:r>
      <w:r>
        <w:rPr>
          <w:sz w:val="18"/>
          <w:szCs w:val="18"/>
        </w:rPr>
        <w:softHyphen/>
        <w:t>ho území se s ním zachází jinak.</w:t>
      </w:r>
      <w:r>
        <w:rPr>
          <w:sz w:val="18"/>
          <w:szCs w:val="18"/>
        </w:rPr>
        <w:tab/>
        <w:t>jk</w:t>
      </w:r>
    </w:p>
    <w:p w:rsidR="00500724" w:rsidRDefault="00F30FB8">
      <w:pPr>
        <w:pStyle w:val="Zkladntext1"/>
        <w:shd w:val="clear" w:color="auto" w:fill="auto"/>
        <w:spacing w:after="40" w:line="190" w:lineRule="auto"/>
        <w:ind w:left="1060" w:firstLine="0"/>
        <w:jc w:val="left"/>
        <w:rPr>
          <w:sz w:val="18"/>
          <w:szCs w:val="18"/>
        </w:rPr>
      </w:pPr>
      <w:r>
        <w:rPr>
          <w:sz w:val="18"/>
          <w:szCs w:val="18"/>
        </w:rPr>
        <w:t>Vážená redakce!</w:t>
      </w:r>
    </w:p>
    <w:p w:rsidR="00500724" w:rsidRDefault="00F30FB8">
      <w:pPr>
        <w:pStyle w:val="Zkladntext1"/>
        <w:shd w:val="clear" w:color="auto" w:fill="auto"/>
        <w:spacing w:after="40" w:line="199" w:lineRule="auto"/>
        <w:ind w:firstLine="300"/>
        <w:rPr>
          <w:sz w:val="18"/>
          <w:szCs w:val="18"/>
        </w:rPr>
      </w:pPr>
      <w:r>
        <w:rPr>
          <w:sz w:val="18"/>
          <w:szCs w:val="18"/>
        </w:rPr>
        <w:t>Opravdu, proč jenom pět? Známe přece učitele jako obě</w:t>
      </w:r>
      <w:r>
        <w:rPr>
          <w:sz w:val="18"/>
          <w:szCs w:val="18"/>
        </w:rPr>
        <w:softHyphen/>
        <w:t>tavé kulturní a národní pracovníky, odvážné s těmi důsledky,</w:t>
      </w:r>
      <w:r>
        <w:rPr>
          <w:sz w:val="18"/>
          <w:szCs w:val="18"/>
        </w:rPr>
        <w:t xml:space="preserve"> že po zabrání pohraničních krajů měli co dělat, aby zachrá</w:t>
      </w:r>
      <w:r>
        <w:rPr>
          <w:sz w:val="18"/>
          <w:szCs w:val="18"/>
        </w:rPr>
        <w:softHyphen/>
        <w:t>nili životy, přecitlivělé někdy ve svém vlasteneckém smýšlení, poněvadž se k té historii svého národa denně ve škole vracejí. Ta odpovědná, krásná práce, která na ně čeká na českých ško</w:t>
      </w:r>
      <w:r>
        <w:rPr>
          <w:sz w:val="18"/>
          <w:szCs w:val="18"/>
        </w:rPr>
        <w:softHyphen/>
        <w:t>lách v Něm</w:t>
      </w:r>
      <w:r>
        <w:rPr>
          <w:sz w:val="18"/>
          <w:szCs w:val="18"/>
        </w:rPr>
        <w:t>ecku, musí být pro ně opravdu ideálem. A potom, nyní je přece tolik učitelů bez místa, ti bez možnosti jít k ro</w:t>
      </w:r>
      <w:r>
        <w:rPr>
          <w:sz w:val="18"/>
          <w:szCs w:val="18"/>
        </w:rPr>
        <w:softHyphen/>
        <w:t xml:space="preserve">dičům nevědí kudy kam, peníze na stěhováni a cestování jen letí, málem není z čeho žít. A přece »se nehrnou nezaměstnaní učitelé proudem k této </w:t>
      </w:r>
      <w:r>
        <w:rPr>
          <w:sz w:val="18"/>
          <w:szCs w:val="18"/>
        </w:rPr>
        <w:t>nové, těžké a hrdinné práci« v zabra</w:t>
      </w:r>
      <w:r>
        <w:rPr>
          <w:sz w:val="18"/>
          <w:szCs w:val="18"/>
        </w:rPr>
        <w:softHyphen/>
        <w:t>ném území.</w:t>
      </w:r>
    </w:p>
    <w:p w:rsidR="00500724" w:rsidRDefault="00F30FB8">
      <w:pPr>
        <w:pStyle w:val="Zkladntext1"/>
        <w:shd w:val="clear" w:color="auto" w:fill="auto"/>
        <w:tabs>
          <w:tab w:val="left" w:pos="1891"/>
        </w:tabs>
        <w:spacing w:after="240" w:line="190" w:lineRule="auto"/>
        <w:ind w:firstLine="300"/>
        <w:rPr>
          <w:sz w:val="18"/>
          <w:szCs w:val="18"/>
        </w:rPr>
      </w:pPr>
      <w:r>
        <w:rPr>
          <w:sz w:val="18"/>
          <w:szCs w:val="18"/>
        </w:rPr>
        <w:t xml:space="preserve">Když si už odmyslíme to, že o nějaké výzvě ministerstva školství, aby učitelé zahájili práci </w:t>
      </w:r>
      <w:r>
        <w:rPr>
          <w:b/>
          <w:bCs/>
        </w:rPr>
        <w:t xml:space="preserve">v </w:t>
      </w:r>
      <w:r>
        <w:rPr>
          <w:sz w:val="18"/>
          <w:szCs w:val="18"/>
        </w:rPr>
        <w:t>zabraném území, nic ne</w:t>
      </w:r>
      <w:r>
        <w:rPr>
          <w:sz w:val="18"/>
          <w:szCs w:val="18"/>
        </w:rPr>
        <w:softHyphen/>
        <w:t>víme, je tu ještě něco jiného. Nejsou vůbec na místě obavy, že »vymřeli snad v tomto národ</w:t>
      </w:r>
      <w:r>
        <w:rPr>
          <w:sz w:val="18"/>
          <w:szCs w:val="18"/>
        </w:rPr>
        <w:t>ě stateční lidé«. Říkáte, že Němci jsou upřímní a fanatičtí nacionalisté. To je právě to. Češi jsou také upřímní nacionalisté. Zkusil jste žit se svým nacionalis</w:t>
      </w:r>
      <w:r>
        <w:rPr>
          <w:sz w:val="18"/>
          <w:szCs w:val="18"/>
        </w:rPr>
        <w:softHyphen/>
        <w:t xml:space="preserve">mem v našich bývalých národnostně smíšených krajích? To by byla jen malá zkušenost a nepatrná </w:t>
      </w:r>
      <w:r>
        <w:rPr>
          <w:sz w:val="18"/>
          <w:szCs w:val="18"/>
        </w:rPr>
        <w:t>průprava pro život tam, kam se zatím rozbolavělí učitelé pochopitelně nehrnou prou</w:t>
      </w:r>
      <w:r>
        <w:rPr>
          <w:sz w:val="18"/>
          <w:szCs w:val="18"/>
        </w:rPr>
        <w:softHyphen/>
        <w:t>dem. Nejsme tak sobečtí, abychom pro sebe chtěli kdožví jak krásný život. Ale učitel! Co zásob potřebuje, aby z nich mohl dávat dětem! Chce knihy, časopisy, divadla, sem tam</w:t>
      </w:r>
      <w:r>
        <w:rPr>
          <w:sz w:val="18"/>
          <w:szCs w:val="18"/>
        </w:rPr>
        <w:t xml:space="preserve"> se rozjet po vlasti, vyšplouchat se mezi těmi svými jako ryba ve vodě, jinak mu ta jeho kantorská duše vyschne. On sice v té třídě bude mít obraz »T. G. Masaryka vedle představitele němec- kého_státu«. Ale co to je proti vehemenci celého nového pro</w:t>
      </w:r>
      <w:r>
        <w:rPr>
          <w:sz w:val="18"/>
          <w:szCs w:val="18"/>
        </w:rPr>
        <w:softHyphen/>
        <w:t>středí</w:t>
      </w:r>
      <w:r>
        <w:rPr>
          <w:sz w:val="18"/>
          <w:szCs w:val="18"/>
        </w:rPr>
        <w:t xml:space="preserve"> a povinnosti k němu! Přišli někteří učitelé ze zabraného území a říkali; Raději se dám do pracovního tábora. Tak vidíte. Není to to, že »německý stát nevypracoval dosud přesné pod</w:t>
      </w:r>
      <w:r>
        <w:rPr>
          <w:sz w:val="18"/>
          <w:szCs w:val="18"/>
        </w:rPr>
        <w:softHyphen/>
        <w:t>mínky příjmů, platů a pensí českým učitelům a nedodal je vlastnoručně do př</w:t>
      </w:r>
      <w:r>
        <w:rPr>
          <w:sz w:val="18"/>
          <w:szCs w:val="18"/>
        </w:rPr>
        <w:t>íslušného našeho úřadu*. My, pane, se na ty »příjmy« tak hrozně neohlížíme; že něco dostaneme, to víme, poněvadž žít musíme, když tam máme pracovat. Ale zřekněte se života ve vlasti, ve své svobodné vlasti! Půjdeme učit do českých škol v zabraném území, al</w:t>
      </w:r>
      <w:r>
        <w:rPr>
          <w:sz w:val="18"/>
          <w:szCs w:val="18"/>
        </w:rPr>
        <w:t>e ne za cenu čs. státního občanství.</w:t>
      </w:r>
      <w:r>
        <w:rPr>
          <w:sz w:val="18"/>
          <w:szCs w:val="18"/>
        </w:rPr>
        <w:tab/>
      </w:r>
      <w:r>
        <w:rPr>
          <w:sz w:val="18"/>
          <w:szCs w:val="18"/>
          <w:lang w:val="en-US" w:eastAsia="en-US" w:bidi="en-US"/>
        </w:rPr>
        <w:t xml:space="preserve">J. </w:t>
      </w:r>
      <w:r>
        <w:rPr>
          <w:sz w:val="18"/>
          <w:szCs w:val="18"/>
        </w:rPr>
        <w:t>R., odborná učitelka, nyní bez místa.</w:t>
      </w:r>
    </w:p>
    <w:p w:rsidR="00500724" w:rsidRDefault="00F30FB8">
      <w:pPr>
        <w:pStyle w:val="Jin0"/>
        <w:shd w:val="clear" w:color="auto" w:fill="auto"/>
        <w:spacing w:after="120"/>
        <w:ind w:firstLine="0"/>
        <w:jc w:val="left"/>
        <w:rPr>
          <w:sz w:val="44"/>
          <w:szCs w:val="44"/>
        </w:rPr>
      </w:pPr>
      <w:r>
        <w:rPr>
          <w:b/>
          <w:bCs/>
          <w:sz w:val="44"/>
          <w:szCs w:val="44"/>
          <w:u w:val="single"/>
        </w:rPr>
        <w:t>listárna redakce</w:t>
      </w:r>
    </w:p>
    <w:p w:rsidR="00500724" w:rsidRDefault="00F30FB8">
      <w:pPr>
        <w:pStyle w:val="Zkladntext1"/>
        <w:shd w:val="clear" w:color="auto" w:fill="auto"/>
        <w:spacing w:after="40" w:line="204" w:lineRule="auto"/>
        <w:ind w:firstLine="300"/>
        <w:rPr>
          <w:sz w:val="18"/>
          <w:szCs w:val="18"/>
        </w:rPr>
        <w:sectPr w:rsidR="00500724">
          <w:footnotePr>
            <w:numFmt w:val="chicago"/>
            <w:numRestart w:val="eachPage"/>
          </w:footnotePr>
          <w:type w:val="continuous"/>
          <w:pgSz w:w="11909" w:h="16834"/>
          <w:pgMar w:top="829" w:right="834" w:bottom="567" w:left="587" w:header="0" w:footer="3" w:gutter="0"/>
          <w:cols w:num="2" w:space="158"/>
          <w:noEndnote/>
          <w:docGrid w:linePitch="360"/>
        </w:sectPr>
      </w:pPr>
      <w:r>
        <w:rPr>
          <w:sz w:val="18"/>
          <w:szCs w:val="18"/>
        </w:rPr>
        <w:t>Proč jste to v »Přítomnosti« nenašli. Mohli bychom Vám odpovědět: co nenajdete venku, hledejte uvnitř — to je v cen</w:t>
      </w:r>
      <w:r>
        <w:rPr>
          <w:sz w:val="18"/>
          <w:szCs w:val="18"/>
        </w:rPr>
        <w:softHyphen/>
        <w:t xml:space="preserve">sorově koši. </w:t>
      </w:r>
      <w:r>
        <w:rPr>
          <w:sz w:val="18"/>
          <w:szCs w:val="18"/>
        </w:rPr>
        <w:t>Snad by Vám mohlo být známo, že celá řada té</w:t>
      </w:r>
      <w:r>
        <w:rPr>
          <w:sz w:val="18"/>
          <w:szCs w:val="18"/>
        </w:rPr>
        <w:softHyphen/>
        <w:t xml:space="preserve">mat je z veřejného projednávání vyloučena, a snad byste </w:t>
      </w:r>
      <w:r>
        <w:rPr>
          <w:b/>
          <w:bCs/>
        </w:rPr>
        <w:t xml:space="preserve">z </w:t>
      </w:r>
      <w:r>
        <w:rPr>
          <w:sz w:val="18"/>
          <w:szCs w:val="18"/>
        </w:rPr>
        <w:t>toho mohl i usoudit, proč v »Přítomnosti« nevychází článek o tom či onom. Jsou věci, o kterých by u nás praví jako leví žur</w:t>
      </w:r>
      <w:r>
        <w:rPr>
          <w:sz w:val="18"/>
          <w:szCs w:val="18"/>
        </w:rPr>
        <w:softHyphen/>
        <w:t>nalisté se stejnou chutí dost</w:t>
      </w:r>
      <w:r>
        <w:rPr>
          <w:sz w:val="18"/>
          <w:szCs w:val="18"/>
        </w:rPr>
        <w:t xml:space="preserve">i bouřlivě psali, avšak přítomný stav státního zájmu nutí stát, aby je v tom omezoval, nemají-li vznikat tak zvané mezinárodní aféry. Některé státy (nemyslíme tentokrát právě na Německo) dovedou dost drsně vynucovati, aby jejich jednání nebylo posuzováno, </w:t>
      </w:r>
      <w:r>
        <w:rPr>
          <w:sz w:val="18"/>
          <w:szCs w:val="18"/>
        </w:rPr>
        <w:t>a tak na příklad nebývá ani možno, aby v našich novinách byla uveřejněna aspoň úřední polská vyhláška, která by ilustrovala nynější stav čes</w:t>
      </w:r>
      <w:r>
        <w:rPr>
          <w:sz w:val="18"/>
          <w:szCs w:val="18"/>
        </w:rPr>
        <w:softHyphen/>
        <w:t>kého školství na Těšínsku. — Poněvadž pak naše censura se snaží pracovati bez bílých míst, stane se, že z článku be</w:t>
      </w:r>
      <w:r>
        <w:rPr>
          <w:sz w:val="18"/>
          <w:szCs w:val="18"/>
        </w:rPr>
        <w:t>ze stopy zmizí nějaký odstavec a s ním i logická souvislost nebo hlavní argument. Následkem toho vypadá pak někdy no</w:t>
      </w:r>
      <w:r>
        <w:rPr>
          <w:sz w:val="18"/>
          <w:szCs w:val="18"/>
        </w:rPr>
        <w:softHyphen/>
        <w:t xml:space="preserve">vinář před svými čtenáři trochu jako muž chabého rozumu, který </w:t>
      </w:r>
      <w:r>
        <w:rPr>
          <w:sz w:val="18"/>
          <w:szCs w:val="18"/>
          <w:lang w:val="en-US" w:eastAsia="en-US" w:bidi="en-US"/>
        </w:rPr>
        <w:t xml:space="preserve">si </w:t>
      </w:r>
      <w:r>
        <w:rPr>
          <w:sz w:val="18"/>
          <w:szCs w:val="18"/>
        </w:rPr>
        <w:t>ďouho nějaký argument připravuje, ale pak jej ne</w:t>
      </w:r>
      <w:r>
        <w:rPr>
          <w:sz w:val="18"/>
          <w:szCs w:val="18"/>
        </w:rPr>
        <w:softHyphen/>
        <w:t>uvede. Spíše byste nás m</w:t>
      </w:r>
      <w:r>
        <w:rPr>
          <w:sz w:val="18"/>
          <w:szCs w:val="18"/>
        </w:rPr>
        <w:t>ěl politovat než kárat.</w:t>
      </w:r>
    </w:p>
    <w:p w:rsidR="00500724" w:rsidRDefault="00F30FB8">
      <w:pPr>
        <w:pStyle w:val="Nadpis50"/>
        <w:keepNext/>
        <w:keepLines/>
        <w:framePr w:w="7051" w:h="1714" w:wrap="none" w:vAnchor="text" w:hAnchor="page" w:x="3421" w:y="169"/>
        <w:shd w:val="clear" w:color="auto" w:fill="auto"/>
      </w:pPr>
      <w:bookmarkStart w:id="107" w:name="bookmark106"/>
      <w:r>
        <w:t>vět knih</w:t>
      </w:r>
      <w:bookmarkEnd w:id="107"/>
    </w:p>
    <w:p w:rsidR="00500724" w:rsidRDefault="00F30FB8">
      <w:pPr>
        <w:pStyle w:val="Nadpis90"/>
        <w:keepNext/>
        <w:keepLines/>
        <w:framePr w:w="7286" w:h="523" w:wrap="none" w:vAnchor="text" w:hAnchor="page" w:x="3219" w:y="1883"/>
        <w:shd w:val="clear" w:color="auto" w:fill="auto"/>
        <w:spacing w:after="0"/>
        <w:rPr>
          <w:sz w:val="42"/>
          <w:szCs w:val="42"/>
        </w:rPr>
      </w:pPr>
      <w:bookmarkStart w:id="108" w:name="bookmark107"/>
      <w:r>
        <w:rPr>
          <w:b/>
          <w:bCs/>
          <w:sz w:val="34"/>
          <w:szCs w:val="34"/>
        </w:rPr>
        <w:t xml:space="preserve">KULTURNÍ </w:t>
      </w:r>
      <w:r>
        <w:rPr>
          <w:smallCaps/>
          <w:sz w:val="42"/>
          <w:szCs w:val="42"/>
        </w:rPr>
        <w:t>zpravodaj</w:t>
      </w:r>
      <w:bookmarkEnd w:id="108"/>
    </w:p>
    <w:p w:rsidR="00500724" w:rsidRDefault="00F30FB8">
      <w:pPr>
        <w:pStyle w:val="Jin0"/>
        <w:framePr w:w="346" w:h="1594" w:wrap="none" w:vAnchor="text" w:hAnchor="page" w:x="10755" w:y="21"/>
        <w:shd w:val="clear" w:color="auto" w:fill="auto"/>
        <w:ind w:firstLine="0"/>
        <w:jc w:val="left"/>
        <w:rPr>
          <w:sz w:val="15"/>
          <w:szCs w:val="15"/>
        </w:rPr>
      </w:pPr>
      <w:r>
        <w:rPr>
          <w:rFonts w:ascii="Arial" w:eastAsia="Arial" w:hAnsi="Arial" w:cs="Arial"/>
          <w:b/>
          <w:bCs/>
          <w:sz w:val="15"/>
          <w:szCs w:val="15"/>
        </w:rPr>
        <w:t>©</w:t>
      </w:r>
    </w:p>
    <w:p w:rsidR="00500724" w:rsidRDefault="00F30FB8">
      <w:pPr>
        <w:pStyle w:val="Nadpis110"/>
        <w:framePr w:w="346" w:h="1594" w:wrap="none" w:vAnchor="text" w:hAnchor="page" w:x="10755" w:y="21"/>
        <w:shd w:val="clear" w:color="auto" w:fill="auto"/>
        <w:spacing w:line="180" w:lineRule="auto"/>
      </w:pPr>
      <w:bookmarkStart w:id="109" w:name="bookmark108"/>
      <w:r>
        <w:t>r«&lt;</w:t>
      </w:r>
      <w:bookmarkEnd w:id="109"/>
    </w:p>
    <w:p w:rsidR="00500724" w:rsidRDefault="00F30FB8">
      <w:pPr>
        <w:pStyle w:val="Nadpis110"/>
        <w:framePr w:w="346" w:h="1594" w:wrap="none" w:vAnchor="text" w:hAnchor="page" w:x="10755" w:y="21"/>
        <w:shd w:val="clear" w:color="auto" w:fill="auto"/>
        <w:spacing w:after="100"/>
      </w:pPr>
      <w:bookmarkStart w:id="110" w:name="bookmark109"/>
      <w:r>
        <w:t>«o</w:t>
      </w:r>
      <w:bookmarkEnd w:id="110"/>
    </w:p>
    <w:p w:rsidR="00500724" w:rsidRDefault="00F30FB8">
      <w:pPr>
        <w:pStyle w:val="Nadpis110"/>
        <w:framePr w:w="346" w:h="1594" w:wrap="none" w:vAnchor="text" w:hAnchor="page" w:x="10755" w:y="21"/>
        <w:shd w:val="clear" w:color="auto" w:fill="auto"/>
      </w:pPr>
      <w:bookmarkStart w:id="111" w:name="bookmark110"/>
      <w:r>
        <w:t>o</w:t>
      </w:r>
      <w:bookmarkEnd w:id="111"/>
    </w:p>
    <w:p w:rsidR="00500724" w:rsidRDefault="00F30FB8">
      <w:pPr>
        <w:pStyle w:val="Zkladntext40"/>
        <w:framePr w:w="346" w:h="1594" w:wrap="none" w:vAnchor="text" w:hAnchor="page" w:x="10755" w:y="21"/>
        <w:shd w:val="clear" w:color="auto" w:fill="auto"/>
        <w:spacing w:after="200" w:line="180" w:lineRule="auto"/>
        <w:jc w:val="left"/>
      </w:pPr>
      <w:r>
        <w:t>BE-a</w:t>
      </w:r>
    </w:p>
    <w:p w:rsidR="00500724" w:rsidRDefault="00F30FB8">
      <w:pPr>
        <w:pStyle w:val="Nadpis110"/>
        <w:framePr w:w="346" w:h="1594" w:wrap="none" w:vAnchor="text" w:hAnchor="page" w:x="10755" w:y="21"/>
        <w:shd w:val="clear" w:color="auto" w:fill="auto"/>
        <w:spacing w:after="100"/>
      </w:pPr>
      <w:bookmarkStart w:id="112" w:name="bookmark111"/>
      <w:r>
        <w:t>O</w:t>
      </w:r>
      <w:bookmarkEnd w:id="112"/>
    </w:p>
    <w:p w:rsidR="00500724" w:rsidRDefault="00500724">
      <w:pPr>
        <w:spacing w:after="44" w:line="14" w:lineRule="exact"/>
      </w:pPr>
    </w:p>
    <w:p w:rsidR="00500724" w:rsidRDefault="00500724">
      <w:pPr>
        <w:spacing w:line="14" w:lineRule="exact"/>
        <w:sectPr w:rsidR="00500724">
          <w:footnotePr>
            <w:numFmt w:val="chicago"/>
            <w:numRestart w:val="eachPage"/>
          </w:footnotePr>
          <w:pgSz w:w="11909" w:h="16834"/>
          <w:pgMar w:top="3122" w:right="732" w:bottom="905" w:left="588" w:header="0" w:footer="3" w:gutter="0"/>
          <w:cols w:space="720"/>
          <w:noEndnote/>
          <w:docGrid w:linePitch="360"/>
        </w:sectPr>
      </w:pPr>
    </w:p>
    <w:p w:rsidR="00500724" w:rsidRDefault="00F30FB8">
      <w:pPr>
        <w:spacing w:line="14" w:lineRule="exact"/>
      </w:pPr>
      <w:r>
        <w:rPr>
          <w:noProof/>
        </w:rPr>
        <mc:AlternateContent>
          <mc:Choice Requires="wps">
            <w:drawing>
              <wp:anchor distT="0" distB="76200" distL="12700" distR="12700" simplePos="0" relativeHeight="125829448" behindDoc="0" locked="0" layoutInCell="1" allowOverlap="1">
                <wp:simplePos x="0" y="0"/>
                <wp:positionH relativeFrom="page">
                  <wp:posOffset>2101850</wp:posOffset>
                </wp:positionH>
                <wp:positionV relativeFrom="paragraph">
                  <wp:posOffset>27305</wp:posOffset>
                </wp:positionV>
                <wp:extent cx="3239770" cy="83185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3239770" cy="831850"/>
                        </a:xfrm>
                        <a:prstGeom prst="rect">
                          <a:avLst/>
                        </a:prstGeom>
                        <a:noFill/>
                      </wps:spPr>
                      <wps:txbx>
                        <w:txbxContent>
                          <w:p w:rsidR="00500724" w:rsidRDefault="00F30FB8">
                            <w:pPr>
                              <w:pStyle w:val="Zkladntext1"/>
                              <w:shd w:val="clear" w:color="auto" w:fill="auto"/>
                              <w:spacing w:after="40" w:line="223" w:lineRule="auto"/>
                              <w:ind w:firstLine="0"/>
                              <w:jc w:val="center"/>
                              <w:rPr>
                                <w:sz w:val="20"/>
                                <w:szCs w:val="20"/>
                              </w:rPr>
                            </w:pPr>
                            <w:r>
                              <w:rPr>
                                <w:b/>
                                <w:bCs/>
                                <w:sz w:val="20"/>
                                <w:szCs w:val="20"/>
                              </w:rPr>
                              <w:t>Mládí a kniha</w:t>
                            </w:r>
                          </w:p>
                          <w:p w:rsidR="00500724" w:rsidRDefault="00F30FB8">
                            <w:pPr>
                              <w:pStyle w:val="Zkladntext1"/>
                              <w:shd w:val="clear" w:color="auto" w:fill="auto"/>
                              <w:ind w:firstLine="180"/>
                            </w:pPr>
                            <w:r>
                              <w:rPr>
                                <w:b/>
                                <w:bCs/>
                              </w:rPr>
                              <w:t>Knihám, tomu ustavičnému obohacování, jež knihy při</w:t>
                            </w:r>
                            <w:r>
                              <w:rPr>
                                <w:b/>
                                <w:bCs/>
                              </w:rPr>
                              <w:softHyphen/>
                              <w:t xml:space="preserve">nášejí po celý život, je možné přivyknout jenom v mládí. Je proto nutné přivykat styku s </w:t>
                            </w:r>
                            <w:r>
                              <w:rPr>
                                <w:b/>
                                <w:bCs/>
                              </w:rPr>
                              <w:t>knihami především mládež, a to tak, aby se ho již nikdy nevzdala.</w:t>
                            </w:r>
                          </w:p>
                          <w:p w:rsidR="00500724" w:rsidRDefault="00F30FB8">
                            <w:pPr>
                              <w:pStyle w:val="Zkladntext1"/>
                              <w:shd w:val="clear" w:color="auto" w:fill="auto"/>
                              <w:spacing w:line="180" w:lineRule="auto"/>
                              <w:ind w:firstLine="0"/>
                              <w:jc w:val="right"/>
                              <w:rPr>
                                <w:sz w:val="20"/>
                                <w:szCs w:val="20"/>
                              </w:rPr>
                            </w:pPr>
                            <w:r>
                              <w:rPr>
                                <w:i/>
                                <w:iCs/>
                                <w:sz w:val="20"/>
                                <w:szCs w:val="20"/>
                              </w:rPr>
                              <w:t>Gabriel Boissy</w:t>
                            </w:r>
                          </w:p>
                        </w:txbxContent>
                      </wps:txbx>
                      <wps:bodyPr lIns="0" tIns="0" rIns="0" bIns="0">
                        <a:spAutoFit/>
                      </wps:bodyPr>
                    </wps:wsp>
                  </a:graphicData>
                </a:graphic>
              </wp:anchor>
            </w:drawing>
          </mc:Choice>
          <mc:Fallback>
            <w:pict>
              <v:shape id="_x0000_s1097" type="#_x0000_t202" style="position:absolute;margin-left:165.5pt;margin-top:2.1499999999999999pt;width:255.09999999999999pt;height:65.5pt;z-index:-125829305;mso-wrap-distance-left:1.pt;mso-wrap-distance-right:1.pt;mso-wrap-distance-bottom:6.pt;mso-position-horizontal-relative:page" filled="f" stroked="f">
                <v:textbox style="mso-fit-shape-to-text:t" inset="0,0,0,0">
                  <w:txbxContent>
                    <w:p>
                      <w:pPr>
                        <w:pStyle w:val="Style18"/>
                        <w:keepNext w:val="0"/>
                        <w:keepLines w:val="0"/>
                        <w:widowControl w:val="0"/>
                        <w:shd w:val="clear" w:color="auto" w:fill="auto"/>
                        <w:bidi w:val="0"/>
                        <w:spacing w:before="0" w:after="40" w:line="223" w:lineRule="auto"/>
                        <w:ind w:left="0" w:right="0" w:firstLine="0"/>
                        <w:jc w:val="center"/>
                        <w:rPr>
                          <w:sz w:val="20"/>
                          <w:szCs w:val="20"/>
                        </w:rPr>
                      </w:pPr>
                      <w:r>
                        <w:rPr>
                          <w:b/>
                          <w:bCs/>
                          <w:color w:val="000000"/>
                          <w:spacing w:val="0"/>
                          <w:w w:val="100"/>
                          <w:position w:val="0"/>
                          <w:sz w:val="20"/>
                          <w:szCs w:val="20"/>
                          <w:shd w:val="clear" w:color="auto" w:fill="auto"/>
                          <w:lang w:val="cs-CZ" w:eastAsia="cs-CZ" w:bidi="cs-CZ"/>
                        </w:rPr>
                        <w:t>Mládí a kniha</w:t>
                      </w:r>
                    </w:p>
                    <w:p>
                      <w:pPr>
                        <w:pStyle w:val="Style18"/>
                        <w:keepNext w:val="0"/>
                        <w:keepLines w:val="0"/>
                        <w:widowControl w:val="0"/>
                        <w:shd w:val="clear" w:color="auto" w:fill="auto"/>
                        <w:bidi w:val="0"/>
                        <w:spacing w:before="0" w:after="0" w:line="240" w:lineRule="auto"/>
                        <w:ind w:left="0" w:right="0" w:firstLine="180"/>
                      </w:pPr>
                      <w:r>
                        <w:rPr>
                          <w:b/>
                          <w:bCs/>
                          <w:color w:val="000000"/>
                          <w:spacing w:val="0"/>
                          <w:w w:val="100"/>
                          <w:position w:val="0"/>
                          <w:shd w:val="clear" w:color="auto" w:fill="auto"/>
                          <w:lang w:val="cs-CZ" w:eastAsia="cs-CZ" w:bidi="cs-CZ"/>
                        </w:rPr>
                        <w:t>Knihám, tomu ustavičnému obohacování, jež knihy při</w:t>
                        <w:softHyphen/>
                        <w:t>nášejí po celý život, je možné přivyknout jenom v mládí. Je proto nutné přivykat styku s knihami především mládež, a to tak, aby se ho již nikdy nevzdala.</w:t>
                      </w:r>
                    </w:p>
                    <w:p>
                      <w:pPr>
                        <w:pStyle w:val="Style18"/>
                        <w:keepNext w:val="0"/>
                        <w:keepLines w:val="0"/>
                        <w:widowControl w:val="0"/>
                        <w:shd w:val="clear" w:color="auto" w:fill="auto"/>
                        <w:bidi w:val="0"/>
                        <w:spacing w:before="0" w:after="0" w:line="18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Gabriel Boissy</w:t>
                      </w:r>
                    </w:p>
                  </w:txbxContent>
                </v:textbox>
                <w10:wrap type="topAndBottom" anchorx="page"/>
              </v:shape>
            </w:pict>
          </mc:Fallback>
        </mc:AlternateContent>
      </w:r>
    </w:p>
    <w:p w:rsidR="00500724" w:rsidRDefault="00F30FB8">
      <w:pPr>
        <w:pStyle w:val="Zkladntext1"/>
        <w:shd w:val="clear" w:color="auto" w:fill="auto"/>
        <w:spacing w:after="40" w:line="202" w:lineRule="auto"/>
        <w:ind w:firstLine="0"/>
        <w:rPr>
          <w:sz w:val="20"/>
          <w:szCs w:val="20"/>
        </w:rPr>
      </w:pPr>
      <w:r>
        <w:rPr>
          <w:i/>
          <w:iCs/>
          <w:sz w:val="20"/>
          <w:szCs w:val="20"/>
        </w:rPr>
        <w:t>Ladislav Stehlík :</w:t>
      </w:r>
    </w:p>
    <w:p w:rsidR="00500724" w:rsidRDefault="00F30FB8">
      <w:pPr>
        <w:pStyle w:val="Zkladntext1"/>
        <w:shd w:val="clear" w:color="auto" w:fill="auto"/>
        <w:spacing w:after="40" w:line="202" w:lineRule="auto"/>
        <w:ind w:firstLine="0"/>
        <w:rPr>
          <w:sz w:val="20"/>
          <w:szCs w:val="20"/>
        </w:rPr>
      </w:pPr>
      <w:r>
        <w:rPr>
          <w:b/>
          <w:bCs/>
          <w:sz w:val="20"/>
          <w:szCs w:val="20"/>
        </w:rPr>
        <w:t>VE VĚTRU*</w:t>
      </w:r>
    </w:p>
    <w:p w:rsidR="00500724" w:rsidRDefault="00F30FB8">
      <w:pPr>
        <w:pStyle w:val="Zkladntext1"/>
        <w:shd w:val="clear" w:color="auto" w:fill="auto"/>
        <w:spacing w:after="140" w:line="202" w:lineRule="auto"/>
        <w:ind w:firstLine="0"/>
        <w:jc w:val="left"/>
        <w:rPr>
          <w:sz w:val="20"/>
          <w:szCs w:val="20"/>
        </w:rPr>
      </w:pPr>
      <w:r>
        <w:rPr>
          <w:b/>
          <w:bCs/>
          <w:sz w:val="20"/>
          <w:szCs w:val="20"/>
        </w:rPr>
        <w:t xml:space="preserve">(5 </w:t>
      </w:r>
      <w:r>
        <w:rPr>
          <w:i/>
          <w:iCs/>
          <w:sz w:val="20"/>
          <w:szCs w:val="20"/>
        </w:rPr>
        <w:t>lichotné ruce větru, polaskejte smysly moje a ty prudce zas mne prolni, dálko, horkým pocelem. Jiskrou vína ve mně zaplaň, hlase plný nepokoje</w:t>
      </w:r>
      <w:r>
        <w:rPr>
          <w:i/>
          <w:iCs/>
          <w:sz w:val="20"/>
          <w:szCs w:val="20"/>
        </w:rPr>
        <w:t xml:space="preserve"> — rozšum se jak křídlo ohně po plameni shořelém.</w:t>
      </w:r>
    </w:p>
    <w:p w:rsidR="00500724" w:rsidRDefault="00F30FB8">
      <w:pPr>
        <w:pStyle w:val="Zkladntext1"/>
        <w:shd w:val="clear" w:color="auto" w:fill="auto"/>
        <w:spacing w:line="202" w:lineRule="auto"/>
        <w:ind w:firstLine="0"/>
        <w:jc w:val="left"/>
        <w:rPr>
          <w:sz w:val="20"/>
          <w:szCs w:val="20"/>
        </w:rPr>
      </w:pPr>
      <w:r>
        <w:rPr>
          <w:i/>
          <w:iCs/>
          <w:sz w:val="20"/>
          <w:szCs w:val="20"/>
        </w:rPr>
        <w:t>Vlny moře, živle, vášni, rozboř všechny hráze</w:t>
      </w:r>
    </w:p>
    <w:p w:rsidR="00500724" w:rsidRDefault="00F30FB8">
      <w:pPr>
        <w:pStyle w:val="Zkladntext1"/>
        <w:shd w:val="clear" w:color="auto" w:fill="auto"/>
        <w:spacing w:line="202" w:lineRule="auto"/>
        <w:ind w:firstLine="1520"/>
        <w:rPr>
          <w:sz w:val="20"/>
          <w:szCs w:val="20"/>
        </w:rPr>
      </w:pPr>
      <w:r>
        <w:rPr>
          <w:i/>
          <w:iCs/>
          <w:sz w:val="20"/>
          <w:szCs w:val="20"/>
        </w:rPr>
        <w:t>v spěchu — sáhni do ěil rozdychtěných, slunce, rtoma žhavýma.</w:t>
      </w:r>
    </w:p>
    <w:p w:rsidR="00500724" w:rsidRDefault="00F30FB8">
      <w:pPr>
        <w:pStyle w:val="Zkladntext1"/>
        <w:shd w:val="clear" w:color="auto" w:fill="auto"/>
        <w:spacing w:line="202" w:lineRule="auto"/>
        <w:ind w:firstLine="0"/>
        <w:jc w:val="left"/>
        <w:rPr>
          <w:sz w:val="20"/>
          <w:szCs w:val="20"/>
        </w:rPr>
      </w:pPr>
      <w:r>
        <w:rPr>
          <w:i/>
          <w:iCs/>
          <w:sz w:val="20"/>
          <w:szCs w:val="20"/>
        </w:rPr>
        <w:t>Jen pro jedno opojení dej, aS shořím ve tvém</w:t>
      </w:r>
    </w:p>
    <w:p w:rsidR="00500724" w:rsidRDefault="00F30FB8">
      <w:pPr>
        <w:pStyle w:val="Zkladntext1"/>
        <w:shd w:val="clear" w:color="auto" w:fill="auto"/>
        <w:spacing w:line="202" w:lineRule="auto"/>
        <w:ind w:firstLine="0"/>
        <w:jc w:val="right"/>
        <w:rPr>
          <w:sz w:val="20"/>
          <w:szCs w:val="20"/>
        </w:rPr>
      </w:pPr>
      <w:r>
        <w:rPr>
          <w:i/>
          <w:iCs/>
          <w:sz w:val="20"/>
          <w:szCs w:val="20"/>
        </w:rPr>
        <w:t>dechu,</w:t>
      </w:r>
    </w:p>
    <w:p w:rsidR="00500724" w:rsidRDefault="00F30FB8">
      <w:pPr>
        <w:pStyle w:val="Zkladntext1"/>
        <w:shd w:val="clear" w:color="auto" w:fill="auto"/>
        <w:spacing w:after="40" w:line="202" w:lineRule="auto"/>
        <w:ind w:firstLine="0"/>
        <w:jc w:val="left"/>
        <w:rPr>
          <w:sz w:val="20"/>
          <w:szCs w:val="20"/>
        </w:rPr>
      </w:pPr>
      <w:r>
        <w:rPr>
          <w:i/>
          <w:iCs/>
          <w:sz w:val="20"/>
          <w:szCs w:val="20"/>
        </w:rPr>
        <w:t>ničím nespoutaná dálko — ! pro chvíli, jež nen</w:t>
      </w:r>
      <w:r>
        <w:rPr>
          <w:i/>
          <w:iCs/>
          <w:sz w:val="20"/>
          <w:szCs w:val="20"/>
        </w:rPr>
        <w:t>í má.</w:t>
      </w:r>
    </w:p>
    <w:p w:rsidR="00500724" w:rsidRDefault="00F30FB8">
      <w:pPr>
        <w:pStyle w:val="Zkladntext40"/>
        <w:shd w:val="clear" w:color="auto" w:fill="auto"/>
        <w:spacing w:after="120" w:line="180" w:lineRule="auto"/>
        <w:jc w:val="right"/>
      </w:pPr>
      <w:r>
        <w:rPr>
          <w:i/>
          <w:iCs/>
        </w:rPr>
        <w:t>*) Z</w:t>
      </w:r>
      <w:r>
        <w:t xml:space="preserve"> právě vyšlé sbírky »Kořeny«</w:t>
      </w:r>
    </w:p>
    <w:p w:rsidR="00500724" w:rsidRDefault="00F30FB8">
      <w:pPr>
        <w:pStyle w:val="Jin0"/>
        <w:shd w:val="clear" w:color="auto" w:fill="auto"/>
        <w:spacing w:after="40"/>
        <w:ind w:firstLine="0"/>
        <w:rPr>
          <w:sz w:val="26"/>
          <w:szCs w:val="26"/>
        </w:rPr>
      </w:pPr>
      <w:r>
        <w:rPr>
          <w:sz w:val="26"/>
          <w:szCs w:val="26"/>
        </w:rPr>
        <w:t>NOVÉ KNIHY</w:t>
      </w:r>
    </w:p>
    <w:p w:rsidR="00500724" w:rsidRDefault="00F30FB8">
      <w:pPr>
        <w:pStyle w:val="Zkladntext1"/>
        <w:shd w:val="clear" w:color="auto" w:fill="auto"/>
        <w:spacing w:after="40"/>
        <w:ind w:right="180" w:firstLine="0"/>
      </w:pPr>
      <w:r>
        <w:rPr>
          <w:b/>
          <w:bCs/>
        </w:rPr>
        <w:t>LEVNÉ LIDOVÉ VYDÁNI DÍLA KARLA CAPKÁ</w:t>
      </w:r>
    </w:p>
    <w:p w:rsidR="00500724" w:rsidRDefault="00F30FB8">
      <w:pPr>
        <w:pStyle w:val="Zkladntext40"/>
        <w:shd w:val="clear" w:color="auto" w:fill="auto"/>
        <w:spacing w:after="0" w:line="180" w:lineRule="auto"/>
        <w:ind w:firstLine="180"/>
      </w:pPr>
      <w:r>
        <w:t>Smrt Karla Čapka, která v božíhodový navečer tak bolestně překvapila nejen nás, nýbrž 1 celý svět, znamená pro náš národ jed</w:t>
      </w:r>
      <w:r>
        <w:softHyphen/>
        <w:t xml:space="preserve">nu z těch dalších přetěžkých ztrát, jichž </w:t>
      </w:r>
      <w:r>
        <w:t>tolik musil podstou</w:t>
      </w:r>
      <w:r>
        <w:softHyphen/>
        <w:t>pit! na sklonku osudového roku.</w:t>
      </w:r>
    </w:p>
    <w:p w:rsidR="00500724" w:rsidRDefault="00F30FB8">
      <w:pPr>
        <w:pStyle w:val="Zkladntext40"/>
        <w:shd w:val="clear" w:color="auto" w:fill="auto"/>
        <w:spacing w:after="0" w:line="180" w:lineRule="auto"/>
        <w:ind w:firstLine="180"/>
      </w:pPr>
      <w:r>
        <w:t>Je proto přirozené a samozřej</w:t>
      </w:r>
      <w:r>
        <w:softHyphen/>
        <w:t>mé, volá-li se dnes se všech stran po zpřístupnění a zpopu- larisovánl Čapkova odkazu a po úplném vydání jeho úžasně bo</w:t>
      </w:r>
      <w:r>
        <w:softHyphen/>
        <w:t>hatého 1 rozmanitého díla. Aby se Čapkovo dílo mohlo s</w:t>
      </w:r>
      <w:r>
        <w:t>táti du</w:t>
      </w:r>
      <w:r>
        <w:softHyphen/>
        <w:t>chovním majetkem opravdu i nejširších vrstev čtenářských, rozhodlo se nakladatelství Fr. Borový uspořádatl levné lidové vydání díla Karla Čapka v se</w:t>
      </w:r>
      <w:r>
        <w:softHyphen/>
        <w:t>šitech. Toto vydání, tištěné na dobrém dílovém papíře, v důstoj</w:t>
      </w:r>
      <w:r>
        <w:softHyphen/>
        <w:t>né úpravě, obsáhne úplný odkaz Karl</w:t>
      </w:r>
      <w:r>
        <w:t>a Čapka, a to jak výpravnou prózu, divadelní hry 1 causerle, tak všechnu rukopisnou pozůsta</w:t>
      </w:r>
      <w:r>
        <w:softHyphen/>
        <w:t>lost i práce, rozptýlené až dosud po stránkách novin, v biblio</w:t>
      </w:r>
      <w:r>
        <w:softHyphen/>
        <w:t>filiích, v časopisech, nejrozmani</w:t>
      </w:r>
      <w:r>
        <w:softHyphen/>
        <w:t>tějších publikacích, do nichž kdy Čapek přispíval.</w:t>
      </w:r>
    </w:p>
    <w:p w:rsidR="00500724" w:rsidRDefault="00F30FB8">
      <w:pPr>
        <w:pStyle w:val="Zkladntext40"/>
        <w:shd w:val="clear" w:color="auto" w:fill="auto"/>
        <w:spacing w:after="0" w:line="180" w:lineRule="auto"/>
        <w:ind w:firstLine="180"/>
      </w:pPr>
      <w:r>
        <w:t>Z děl dosud vyšl</w:t>
      </w:r>
      <w:r>
        <w:t>ých vyjde nej</w:t>
      </w:r>
      <w:r>
        <w:softHyphen/>
        <w:t>prve slavná románová trilogie Hordubal, Povětroň, Obyčejný ži</w:t>
      </w:r>
      <w:r>
        <w:softHyphen/>
        <w:t>vot, dále knihy cestopisných cau- serií, jako Anglické listy, Obráz</w:t>
      </w:r>
      <w:r>
        <w:softHyphen/>
        <w:t>ky z Holandska, Cesta na sever atd., rozmarná knížka Zahradní</w:t>
      </w:r>
      <w:r>
        <w:softHyphen/>
        <w:t>kův rok, tři íantasticko-utopické romány Krakatit,</w:t>
      </w:r>
      <w:r>
        <w:t xml:space="preserve"> Továrna na ab</w:t>
      </w:r>
      <w:r>
        <w:softHyphen/>
        <w:t>solutno, Válka s Mloky, knihy povídek Boží muka, Trapné po</w:t>
      </w:r>
      <w:r>
        <w:softHyphen/>
        <w:t>vídky, Povídky z jedné kapsy. Povídky z druhé kapsy, román První parta, dále všechny diva</w:t>
      </w:r>
      <w:r>
        <w:softHyphen/>
        <w:t>delní hry, kniha Jak se co dělá, nedoceněný Marsyas čili Na okraj literatury, a konečně díla</w:t>
      </w:r>
      <w:r>
        <w:t>, která psal s Josefem Čapkem.</w:t>
      </w:r>
    </w:p>
    <w:p w:rsidR="00500724" w:rsidRDefault="00F30FB8">
      <w:pPr>
        <w:pStyle w:val="Zkladntext40"/>
        <w:shd w:val="clear" w:color="auto" w:fill="auto"/>
        <w:spacing w:after="40" w:line="180" w:lineRule="auto"/>
        <w:ind w:firstLine="180"/>
      </w:pPr>
      <w:r>
        <w:t>Z prací nevydaných vyjdou velmi brzo Apokryfy, svazek pod- povídek a bajek, nedokončený román Život a dílo skladatele Foltýna, rozšířené vydáni Kri</w:t>
      </w:r>
      <w:r>
        <w:softHyphen/>
        <w:t>tiky slov, které vesměs pro defi</w:t>
      </w:r>
      <w:r>
        <w:softHyphen/>
        <w:t>nitivní vydáni autor sám připra-</w:t>
      </w:r>
    </w:p>
    <w:p w:rsidR="00500724" w:rsidRDefault="00F30FB8">
      <w:pPr>
        <w:pStyle w:val="Zkladntext40"/>
        <w:shd w:val="clear" w:color="auto" w:fill="auto"/>
        <w:spacing w:after="40" w:line="180" w:lineRule="auto"/>
      </w:pPr>
      <w:r>
        <w:t>vil. Z prac</w:t>
      </w:r>
      <w:r>
        <w:t>í autorem nezredigova- ných bude sem postupem času zařáděno asi pět knih, které po</w:t>
      </w:r>
      <w:r>
        <w:softHyphen/>
        <w:t>řadatel souboru zladil v organic</w:t>
      </w:r>
      <w:r>
        <w:softHyphen/>
        <w:t>ké celky. Budou do nich pojaty všechny práce Karla Čapka, roz</w:t>
      </w:r>
      <w:r>
        <w:softHyphen/>
        <w:t>ptýlené po novinách, v bibliofil</w:t>
      </w:r>
      <w:r>
        <w:softHyphen/>
        <w:t>ských tiscích, po různých publi</w:t>
      </w:r>
      <w:r>
        <w:softHyphen/>
        <w:t>kacích a časo</w:t>
      </w:r>
      <w:r>
        <w:t>pisech, a které Ka</w:t>
      </w:r>
      <w:r>
        <w:softHyphen/>
        <w:t>rel Čapek otiskl pod svým jmé</w:t>
      </w:r>
      <w:r>
        <w:softHyphen/>
        <w:t>nem nebo značkami.</w:t>
      </w:r>
    </w:p>
    <w:p w:rsidR="00500724" w:rsidRDefault="00F30FB8">
      <w:pPr>
        <w:pStyle w:val="Zkladntext40"/>
        <w:shd w:val="clear" w:color="auto" w:fill="auto"/>
        <w:spacing w:after="120" w:line="197" w:lineRule="auto"/>
        <w:ind w:firstLine="180"/>
      </w:pPr>
      <w:r>
        <w:t>Jednotlivé sešity o 32 stranách po 2.20 Kč budou vycházeti v tý</w:t>
      </w:r>
      <w:r>
        <w:softHyphen/>
        <w:t>denních lhůtách. První sešit, vý</w:t>
      </w:r>
      <w:r>
        <w:softHyphen/>
        <w:t>jimečně o 16 stranách, naklada</w:t>
      </w:r>
      <w:r>
        <w:softHyphen/>
        <w:t>tel nebo kterýkoliv knihkupec zašle každému na Dožádáni zdar</w:t>
      </w:r>
      <w:r>
        <w:t>ma.</w:t>
      </w:r>
    </w:p>
    <w:p w:rsidR="00500724" w:rsidRDefault="00F30FB8">
      <w:pPr>
        <w:pStyle w:val="Zkladntext1"/>
        <w:shd w:val="clear" w:color="auto" w:fill="auto"/>
        <w:ind w:firstLine="0"/>
        <w:rPr>
          <w:sz w:val="18"/>
          <w:szCs w:val="18"/>
        </w:rPr>
      </w:pPr>
      <w:r>
        <w:rPr>
          <w:b/>
          <w:bCs/>
          <w:sz w:val="18"/>
          <w:szCs w:val="18"/>
        </w:rPr>
        <w:t>Ladislav Stehlík</w:t>
      </w:r>
    </w:p>
    <w:p w:rsidR="00500724" w:rsidRDefault="00F30FB8">
      <w:pPr>
        <w:pStyle w:val="Zkladntext1"/>
        <w:shd w:val="clear" w:color="auto" w:fill="auto"/>
        <w:spacing w:after="40" w:line="233" w:lineRule="auto"/>
        <w:ind w:firstLine="0"/>
        <w:rPr>
          <w:sz w:val="18"/>
          <w:szCs w:val="18"/>
        </w:rPr>
      </w:pPr>
      <w:r>
        <w:rPr>
          <w:b/>
          <w:bCs/>
          <w:sz w:val="18"/>
          <w:szCs w:val="18"/>
        </w:rPr>
        <w:t>KOŘENY</w:t>
      </w:r>
    </w:p>
    <w:p w:rsidR="00500724" w:rsidRDefault="00F30FB8">
      <w:pPr>
        <w:pStyle w:val="Zkladntext40"/>
        <w:shd w:val="clear" w:color="auto" w:fill="auto"/>
        <w:spacing w:line="182" w:lineRule="auto"/>
        <w:ind w:firstLine="180"/>
      </w:pPr>
      <w:r>
        <w:t>Nová básnická sbírka Ladi</w:t>
      </w:r>
      <w:r>
        <w:softHyphen/>
        <w:t>slava Stehlíka, nazvaná příznač</w:t>
      </w:r>
      <w:r>
        <w:softHyphen/>
        <w:t>ně Kořeny, znamená velké pro</w:t>
      </w:r>
      <w:r>
        <w:softHyphen/>
        <w:t>hloubení básníkova pohledu a vi</w:t>
      </w:r>
      <w:r>
        <w:softHyphen/>
        <w:t>dění. Mladý, osobitý lyrik, který v Kvetoucí trnce hledal skrytou tvář rodné krajiny, v jejich kvě</w:t>
      </w:r>
      <w:r>
        <w:softHyphen/>
        <w:t>tinách a v</w:t>
      </w:r>
      <w:r>
        <w:t xml:space="preserve"> ní samé, obrací se v nové své sbírce především k je</w:t>
      </w:r>
      <w:r>
        <w:softHyphen/>
        <w:t>jím lidem, a v nich, v jejich osu</w:t>
      </w:r>
      <w:r>
        <w:softHyphen/>
        <w:t>du hledá i nalézá podstatu svého kraje i rodu, v němž tkvi hlubo</w:t>
      </w:r>
      <w:r>
        <w:softHyphen/>
        <w:t>kými kořeny. Klíčem k pochopení této nové sbírky je především bá</w:t>
      </w:r>
      <w:r>
        <w:softHyphen/>
        <w:t>seň Kořeny, ztvárněná tvrdou, upracovan</w:t>
      </w:r>
      <w:r>
        <w:t>ou selskou řečí, v kte</w:t>
      </w:r>
      <w:r>
        <w:softHyphen/>
        <w:t>ré doznívá echo pranostlk, úsloví, slov lidově jadrných a nějak dřevných ve své podstatě a syro</w:t>
      </w:r>
      <w:r>
        <w:softHyphen/>
        <w:t>vosti. Jde tu o vysledování ko</w:t>
      </w:r>
      <w:r>
        <w:softHyphen/>
        <w:t>řenů, kterými básník souvisí s minulostí svého rodu, s jeho mrtvými i živými, a řekněme ote</w:t>
      </w:r>
      <w:r>
        <w:softHyphen/>
        <w:t>vřeně, že ty v</w:t>
      </w:r>
      <w:r>
        <w:t>erše drsné melodie, zvláštní barvy a rytmu, chutna</w:t>
      </w:r>
      <w:r>
        <w:softHyphen/>
        <w:t>jící na půl hořce a na půl slad</w:t>
      </w:r>
      <w:r>
        <w:softHyphen/>
        <w:t>ce, otvírají nesmírné perspektivy do hloubky prchlého času i osu</w:t>
      </w:r>
      <w:r>
        <w:softHyphen/>
        <w:t>du, vyvažujíce odtud výsostné poznání a životní moudrost pře</w:t>
      </w:r>
      <w:r>
        <w:softHyphen/>
        <w:t>kvapující síly. Ale vezměte z té</w:t>
      </w:r>
      <w:r>
        <w:softHyphen/>
        <w:t>to sbírky něko</w:t>
      </w:r>
      <w:r>
        <w:t>lik delších skladeb sociálního vidu do osudu jiho</w:t>
      </w:r>
      <w:r>
        <w:softHyphen/>
        <w:t>české vsi. Takové Obecni dítě nebo Výměnkářku. Co je v nich uloženo velké životní zkušenosti a básnického poznání. Ladislav Stehlík nespokojil se tu jen po</w:t>
      </w:r>
      <w:r>
        <w:softHyphen/>
        <w:t>stižením jisté reality nebo spíš faktu, ale hledal</w:t>
      </w:r>
      <w:r>
        <w:t xml:space="preserve"> jeho příčiny, jeho skrytou zákonitost, již na</w:t>
      </w:r>
      <w:r>
        <w:softHyphen/>
        <w:t xml:space="preserve">konec také nepodplatně vyjádřil. V strohých, břitkých verších, stavěných do protikladů, zpívá tu Ladislav Stehlík lidskou běd- nost a opuštěnost těch nejubo- žeiších, jejichž osud zapojuje do osudu vesnického </w:t>
      </w:r>
      <w:r>
        <w:t>kolektiva. A za tím vším zni v Zpěvu na mezi píseň domova, povýšená na hud</w:t>
      </w:r>
      <w:r>
        <w:softHyphen/>
        <w:t>bu. Kolem selské práce a venkov</w:t>
      </w:r>
      <w:r>
        <w:softHyphen/>
        <w:t>ských osudů soustředil tu Ladi</w:t>
      </w:r>
      <w:r>
        <w:softHyphen/>
        <w:t xml:space="preserve">slav Stehlík celý život krajiny </w:t>
      </w:r>
      <w:r>
        <w:rPr>
          <w:i/>
          <w:iCs/>
        </w:rPr>
        <w:t xml:space="preserve">a </w:t>
      </w:r>
      <w:r>
        <w:t>polí, chalup, lidí — skutečnost viditelnou i skrytou — výsostný řád a zákon celého o</w:t>
      </w:r>
      <w:r>
        <w:t>sudu. Verš už není tlumený a útlý ve svém melodickém rozklenuti: je to choř, Jako když varhany se plně rozezni ve venkovském kostele uprostřed poli, kde šumí a pras</w:t>
      </w:r>
      <w:r>
        <w:softHyphen/>
        <w:t>kají klasy a zpívají lidé. To bez</w:t>
      </w:r>
      <w:r>
        <w:softHyphen/>
        <w:t>pečné zakotvení v kraji a v ži</w:t>
      </w:r>
      <w:r>
        <w:softHyphen/>
        <w:t>votě vesnice, to prohloube</w:t>
      </w:r>
      <w:r>
        <w:t>ní po</w:t>
      </w:r>
      <w:r>
        <w:softHyphen/>
        <w:t>hledu a vidění, rozšíření obzoru a rozklenuti melodie, ta novost básnické řeči a metafory, ta bo</w:t>
      </w:r>
      <w:r>
        <w:softHyphen/>
        <w:t>hatost slovníku a osobitost ryt</w:t>
      </w:r>
      <w:r>
        <w:softHyphen/>
        <w:t>mu, to jsou největší klady nové sbírky Ladislava Stehlíka, který tu učinil opět velký krok do</w:t>
      </w:r>
      <w:r>
        <w:softHyphen/>
        <w:t>předu jako básník. Cena sbí</w:t>
      </w:r>
      <w:r>
        <w:t>rky v obálce Josefa Čapka je 15 Kč za svazek brožovaný.</w:t>
      </w:r>
    </w:p>
    <w:p w:rsidR="00500724" w:rsidRDefault="00F30FB8">
      <w:pPr>
        <w:pStyle w:val="Jin0"/>
        <w:shd w:val="clear" w:color="auto" w:fill="auto"/>
        <w:ind w:firstLine="0"/>
        <w:rPr>
          <w:sz w:val="26"/>
          <w:szCs w:val="26"/>
        </w:rPr>
      </w:pPr>
      <w:r>
        <w:rPr>
          <w:sz w:val="26"/>
          <w:szCs w:val="26"/>
        </w:rPr>
        <w:t>KNIHY</w:t>
      </w:r>
    </w:p>
    <w:p w:rsidR="00500724" w:rsidRDefault="00F30FB8">
      <w:pPr>
        <w:pStyle w:val="Jin0"/>
        <w:shd w:val="clear" w:color="auto" w:fill="auto"/>
        <w:spacing w:after="60" w:line="233" w:lineRule="auto"/>
        <w:ind w:firstLine="0"/>
        <w:rPr>
          <w:sz w:val="26"/>
          <w:szCs w:val="26"/>
        </w:rPr>
      </w:pPr>
      <w:r>
        <w:rPr>
          <w:sz w:val="26"/>
          <w:szCs w:val="26"/>
        </w:rPr>
        <w:t>REDAKCI DOŠLÉ</w:t>
      </w:r>
    </w:p>
    <w:p w:rsidR="00500724" w:rsidRDefault="00F30FB8">
      <w:pPr>
        <w:pStyle w:val="Zkladntext1"/>
        <w:shd w:val="clear" w:color="auto" w:fill="auto"/>
        <w:ind w:firstLine="0"/>
        <w:rPr>
          <w:sz w:val="18"/>
          <w:szCs w:val="18"/>
        </w:rPr>
      </w:pPr>
      <w:r>
        <w:rPr>
          <w:b/>
          <w:bCs/>
          <w:sz w:val="18"/>
          <w:szCs w:val="18"/>
          <w:lang w:val="en-US" w:eastAsia="en-US" w:bidi="en-US"/>
        </w:rPr>
        <w:t xml:space="preserve">Roger </w:t>
      </w:r>
      <w:r>
        <w:rPr>
          <w:b/>
          <w:bCs/>
          <w:sz w:val="18"/>
          <w:szCs w:val="18"/>
        </w:rPr>
        <w:t>Martin du Gard:</w:t>
      </w:r>
    </w:p>
    <w:p w:rsidR="00500724" w:rsidRDefault="00F30FB8">
      <w:pPr>
        <w:pStyle w:val="Zkladntext1"/>
        <w:shd w:val="clear" w:color="auto" w:fill="auto"/>
        <w:spacing w:after="60"/>
        <w:ind w:firstLine="0"/>
      </w:pPr>
      <w:r>
        <w:rPr>
          <w:b/>
          <w:bCs/>
        </w:rPr>
        <w:t>LÉTO 1914</w:t>
      </w:r>
    </w:p>
    <w:p w:rsidR="00500724" w:rsidRDefault="00F30FB8">
      <w:pPr>
        <w:pStyle w:val="Zkladntext40"/>
        <w:shd w:val="clear" w:color="auto" w:fill="auto"/>
        <w:ind w:firstLine="180"/>
      </w:pPr>
      <w:r>
        <w:t>V Topičových Bílých knihách právě vychází poslední svazek Rodiny Thibaultů od Rogera Mar</w:t>
      </w:r>
      <w:r>
        <w:softHyphen/>
        <w:t>tina du Gard: Léto 1914, 3. část. Jako v předešlých částech</w:t>
      </w:r>
      <w:r>
        <w:t xml:space="preserve"> stup</w:t>
      </w:r>
      <w:r>
        <w:softHyphen/>
        <w:t>ňuje se tu v krátkém časovém úseku desíti dnů jak soukromé drama hlavních osob až po ka</w:t>
      </w:r>
      <w:r>
        <w:softHyphen/>
        <w:t xml:space="preserve">tastrofu, ve které hyne hrdina díla Jakub </w:t>
      </w:r>
      <w:r>
        <w:rPr>
          <w:lang w:val="en-US" w:eastAsia="en-US" w:bidi="en-US"/>
        </w:rPr>
        <w:t xml:space="preserve">Thibault, </w:t>
      </w:r>
      <w:r>
        <w:t>tak i tra</w:t>
      </w:r>
      <w:r>
        <w:softHyphen/>
        <w:t>gické události politické, jejichž uzlem je zavražděni Jaurěsa. Vše se řiti prudkým tokem do jícnu sv</w:t>
      </w:r>
      <w:r>
        <w:t>ětové války. Mnohou z dnešních záhad francouzské politiky ob</w:t>
      </w:r>
      <w:r>
        <w:softHyphen/>
        <w:t>jasňuje nám toto dílo, vyzname</w:t>
      </w:r>
      <w:r>
        <w:softHyphen/>
        <w:t>nané loňskou cenou Nobelovou. Cena svazku jest 42 Kč.</w:t>
      </w:r>
    </w:p>
    <w:p w:rsidR="00500724" w:rsidRDefault="00F30FB8">
      <w:pPr>
        <w:pStyle w:val="Zkladntext1"/>
        <w:shd w:val="clear" w:color="auto" w:fill="auto"/>
        <w:spacing w:after="60"/>
        <w:ind w:firstLine="0"/>
      </w:pPr>
      <w:r>
        <w:rPr>
          <w:b/>
          <w:bCs/>
        </w:rPr>
        <w:t>VĚDECKÁ KRITIKA?</w:t>
      </w:r>
    </w:p>
    <w:p w:rsidR="00500724" w:rsidRDefault="00F30FB8">
      <w:pPr>
        <w:pStyle w:val="Zkladntext40"/>
        <w:shd w:val="clear" w:color="auto" w:fill="auto"/>
        <w:spacing w:after="240"/>
        <w:ind w:firstLine="180"/>
      </w:pPr>
      <w:r>
        <w:t xml:space="preserve">Napsali Ing. dr. Fr. </w:t>
      </w:r>
      <w:r>
        <w:rPr>
          <w:lang w:val="en-US" w:eastAsia="en-US" w:bidi="en-US"/>
        </w:rPr>
        <w:t xml:space="preserve">Kliment </w:t>
      </w:r>
      <w:r>
        <w:t>a Ing. J. Kubeša. stran 24, vydal Orbis, cena Kč 5.—. Brožura ob</w:t>
      </w:r>
      <w:r>
        <w:softHyphen/>
        <w:t>sahuje odpověď obou autorů pro</w:t>
      </w:r>
      <w:r>
        <w:softHyphen/>
        <w:t>fesoru Salavcovi, který ve zvlášt</w:t>
      </w:r>
      <w:r>
        <w:softHyphen/>
        <w:t>ním spisku »Dvě publikace ze soukromé ekonomiky* nepříznivě posoudil knihy: »Normalisace ce</w:t>
      </w:r>
      <w:r>
        <w:softHyphen/>
        <w:t>nových kalkulací průmyslových« od Fr. Klimenta a »Bilanční zisk« od J. Kubeši. Autoři podrobně vyv</w:t>
      </w:r>
      <w:r>
        <w:t>racejí námitky Salavcovy, dokazujíce, že domněle kritický rozbor je ve skutečnosti tendenč</w:t>
      </w:r>
      <w:r>
        <w:softHyphen/>
        <w:t>ní a nevěcný. Spisek bude zají</w:t>
      </w:r>
      <w:r>
        <w:softHyphen/>
        <w:t>mat! zejména čtenáře obou kriti- sovaných knih, nebof není jen po</w:t>
      </w:r>
      <w:r>
        <w:softHyphen/>
        <w:t>lemikou, ale doplňuje a blíže roz</w:t>
      </w:r>
      <w:r>
        <w:softHyphen/>
        <w:t>vádí též these, které autoři za</w:t>
      </w:r>
      <w:r>
        <w:softHyphen/>
        <w:t>st</w:t>
      </w:r>
      <w:r>
        <w:t>ávali ve svých pracích.</w:t>
      </w:r>
    </w:p>
    <w:p w:rsidR="00500724" w:rsidRDefault="00F30FB8">
      <w:pPr>
        <w:pStyle w:val="Zkladntext40"/>
        <w:shd w:val="clear" w:color="auto" w:fill="auto"/>
        <w:spacing w:line="182" w:lineRule="auto"/>
        <w:ind w:firstLine="180"/>
      </w:pPr>
      <w:r>
        <w:rPr>
          <w:rFonts w:ascii="Georgia" w:eastAsia="Georgia" w:hAnsi="Georgia" w:cs="Georgia"/>
          <w:b/>
          <w:bCs/>
          <w:sz w:val="13"/>
          <w:szCs w:val="13"/>
        </w:rPr>
        <w:t xml:space="preserve">Jaromír John: RAJSKÝ OSTROV. </w:t>
      </w:r>
      <w:r>
        <w:t>Tato kniha, jež je »rodinným čte</w:t>
      </w:r>
      <w:r>
        <w:softHyphen/>
        <w:t>ním nahlas pro mládež i pro do- spělé«, velmi poutavě a humorně líčí klukovské výpravy: dobro</w:t>
      </w:r>
      <w:r>
        <w:softHyphen/>
        <w:t xml:space="preserve">družství, radovánky, pražský život v letech sedmdesátých s řadou podařených </w:t>
      </w:r>
      <w:r>
        <w:t>figur a význačných událostí (Jako bylo elektrické slunce pana Hájka, nebo produk</w:t>
      </w:r>
      <w:r>
        <w:softHyphen/>
        <w:t>ce na prvním velocipédu), názor</w:t>
      </w:r>
      <w:r>
        <w:softHyphen/>
        <w:t>ně a dramaticky vyzdvihujíc vše- národni význam zbudovaného Ná</w:t>
      </w:r>
      <w:r>
        <w:softHyphen/>
        <w:t>rodního divadla Jako pomníku dokonalého národního vzkříšení Johnův »Rajský ostro</w:t>
      </w:r>
      <w:r>
        <w:t>v*, vyzdo</w:t>
      </w:r>
      <w:r>
        <w:softHyphen/>
        <w:t>bený mnoha obrázky, Je povzná</w:t>
      </w:r>
      <w:r>
        <w:softHyphen/>
        <w:t>šející četbou pro mládež od 10 do 14 let zvláště v dnešních dobách Cena 25 Kč. Vydal Melantrich.</w:t>
      </w:r>
    </w:p>
    <w:p w:rsidR="00500724" w:rsidRDefault="00F30FB8">
      <w:pPr>
        <w:pStyle w:val="Zkladntext40"/>
        <w:shd w:val="clear" w:color="auto" w:fill="auto"/>
        <w:spacing w:line="182" w:lineRule="auto"/>
        <w:ind w:firstLine="200"/>
      </w:pPr>
      <w:r>
        <w:rPr>
          <w:rFonts w:ascii="Georgia" w:eastAsia="Georgia" w:hAnsi="Georgia" w:cs="Georgia"/>
          <w:b/>
          <w:bCs/>
          <w:sz w:val="13"/>
          <w:szCs w:val="13"/>
        </w:rPr>
        <w:t xml:space="preserve">ŠVEHLA VE FOTOGRAFIE </w:t>
      </w:r>
      <w:r>
        <w:t>Pod názvem »Švehla ve fotogra fii« vyšla důstojně vypravená pu</w:t>
      </w:r>
      <w:r>
        <w:softHyphen/>
        <w:t>blikace, která množstvím živých i z</w:t>
      </w:r>
      <w:r>
        <w:t>dařilých snímků zachycuje vý razný profil jednoho z největších našich politiků A. Švehly. Publi</w:t>
      </w:r>
      <w:r>
        <w:softHyphen/>
        <w:t>kace je uvedena obsáhlou stati R. Halíka a dvěma charakteris</w:t>
      </w:r>
      <w:r>
        <w:softHyphen/>
        <w:t>tickými citáty z dvou projevů Švehlovi, z projevu, který prones., nynější ministerský předseda R. B</w:t>
      </w:r>
      <w:r>
        <w:t>eran ve výročí Švehlovy smrti a z řečí Málypetrovy nad Švehlo- vým hrobem. Cena díla váz. e 7! Kč. Vydal Orbis.</w:t>
      </w:r>
    </w:p>
    <w:p w:rsidR="00500724" w:rsidRDefault="00F30FB8">
      <w:pPr>
        <w:pStyle w:val="Zkladntext40"/>
        <w:shd w:val="clear" w:color="auto" w:fill="auto"/>
        <w:ind w:firstLine="200"/>
      </w:pPr>
      <w:r>
        <w:rPr>
          <w:rFonts w:ascii="Georgia" w:eastAsia="Georgia" w:hAnsi="Georgia" w:cs="Georgia"/>
          <w:b/>
          <w:bCs/>
          <w:sz w:val="13"/>
          <w:szCs w:val="13"/>
        </w:rPr>
        <w:t xml:space="preserve">Paul de Kruif: LID MA PRÁVO </w:t>
      </w:r>
      <w:r>
        <w:t>ŽIT. Přeložil A. A. Hoch. Nová Kruifova kniha »Lid má právo žít*, připomíná nám předchozí i v nás slavné knihy svého</w:t>
      </w:r>
      <w:r>
        <w:t xml:space="preserve"> autora: sLovce mikrobů* a »Bojovníky se smrtí*. Jako ony přináší také dramatické a vrcholně zajímavé kapitoly, otvírající strhující po</w:t>
      </w:r>
      <w:r>
        <w:softHyphen/>
        <w:t>hled do zákulisí i na jeviště vědy kde její vyznavači bojují se smrtí a nemoci ve jménu lidského zdra</w:t>
      </w:r>
      <w:r>
        <w:softHyphen/>
        <w:t>ví a jako ony líčí</w:t>
      </w:r>
      <w:r>
        <w:t xml:space="preserve"> vroucně a za</w:t>
      </w:r>
      <w:r>
        <w:softHyphen/>
        <w:t>svěceně osudy velkých bojovníků proti největším metlám lidstva, volajíc zároveň po spravedlnosti pro člověka. Cena brož. svazku je 45 Kč. Vydal Orbis.</w:t>
      </w:r>
    </w:p>
    <w:p w:rsidR="00500724" w:rsidRDefault="00F30FB8">
      <w:pPr>
        <w:pStyle w:val="Zkladntext40"/>
        <w:shd w:val="clear" w:color="auto" w:fill="auto"/>
        <w:spacing w:line="175" w:lineRule="auto"/>
        <w:ind w:firstLine="200"/>
      </w:pPr>
      <w:r>
        <w:t>Miloslav Pára: KONTROLA FINANČNÍ SPRÁVY. Důležitý rádce ve věcech finančních pro každého, k</w:t>
      </w:r>
      <w:r>
        <w:t>do se zabývá výrobou nebo prodejem předmětů, podlé</w:t>
      </w:r>
      <w:r>
        <w:softHyphen/>
        <w:t>hajících spotřebním daním, dáv</w:t>
      </w:r>
      <w:r>
        <w:softHyphen/>
        <w:t>kám, poplatkům, monopolům a regálům, zejména hostinští, ka</w:t>
      </w:r>
      <w:r>
        <w:softHyphen/>
        <w:t>várních drogisté, lékárníci, obchod</w:t>
      </w:r>
      <w:r>
        <w:softHyphen/>
        <w:t>níci a výrobci nápojů atd., podle soudobně platných zákonů a na</w:t>
      </w:r>
      <w:r>
        <w:softHyphen/>
        <w:t>řízeni. Kniha o</w:t>
      </w:r>
      <w:r>
        <w:t>bsahuje řadu vzorců, žádostí, přihlášek i odhlá</w:t>
      </w:r>
      <w:r>
        <w:softHyphen/>
        <w:t>šek, dále ustanovení trestní, saz</w:t>
      </w:r>
      <w:r>
        <w:softHyphen/>
        <w:t>by na potravní čáře a pod. Cena knihy je 20 Kč. Vydalo naklada</w:t>
      </w:r>
      <w:r>
        <w:softHyphen/>
        <w:t>telství Otakara Janáčka nást. v Praze.</w:t>
      </w:r>
    </w:p>
    <w:p w:rsidR="00500724" w:rsidRDefault="00F30FB8">
      <w:pPr>
        <w:pStyle w:val="Zkladntext40"/>
        <w:shd w:val="clear" w:color="auto" w:fill="auto"/>
        <w:spacing w:line="180" w:lineRule="auto"/>
        <w:ind w:firstLine="200"/>
      </w:pPr>
      <w:r>
        <w:rPr>
          <w:rFonts w:ascii="Georgia" w:eastAsia="Georgia" w:hAnsi="Georgia" w:cs="Georgia"/>
          <w:b/>
          <w:bCs/>
          <w:sz w:val="13"/>
          <w:szCs w:val="13"/>
        </w:rPr>
        <w:t xml:space="preserve">Josef Kopta: PŘÍVOZ POD OŘECHY. </w:t>
      </w:r>
      <w:r>
        <w:t>V tomto románku pro malé i velké vypráví</w:t>
      </w:r>
      <w:r>
        <w:t xml:space="preserve"> Josef Kopta o němém chlapci Václavu Marti</w:t>
      </w:r>
      <w:r>
        <w:softHyphen/>
        <w:t>novi. Děj se odehrává za světové války, kdy byl český lid donucen k mlčení a v hluboké jednotě myslí a srdcí snil o svobodě. A tu je ústřední postava chlapce ác- lava v mnohém smyslu nositel</w:t>
      </w:r>
      <w:r>
        <w:softHyphen/>
        <w:t>kou národní sudby a je</w:t>
      </w:r>
      <w:r>
        <w:t>jím sym</w:t>
      </w:r>
      <w:r>
        <w:softHyphen/>
        <w:t>bolem. Rušný spád epické sklad</w:t>
      </w:r>
      <w:r>
        <w:softHyphen/>
        <w:t>by vrcholí v dramatickém závěru, kdy dvě nejdražší česká slova za</w:t>
      </w:r>
      <w:r>
        <w:softHyphen/>
        <w:t>zní památného říjnového dne ze všech úst. Křehké kresby Vojtě</w:t>
      </w:r>
      <w:r>
        <w:softHyphen/>
        <w:t>cha Sedláčka tvoří s obsahem vkusný celek. Hodí se pro mládež od 12 do 16 let. Cena 25 Kč</w:t>
      </w:r>
      <w:r>
        <w:t>. Vy</w:t>
      </w:r>
      <w:r>
        <w:softHyphen/>
        <w:t>dal Melantrich.</w:t>
      </w:r>
    </w:p>
    <w:p w:rsidR="00500724" w:rsidRDefault="00F30FB8">
      <w:pPr>
        <w:pStyle w:val="Zkladntext40"/>
        <w:shd w:val="clear" w:color="auto" w:fill="auto"/>
        <w:spacing w:line="180" w:lineRule="auto"/>
        <w:ind w:firstLine="200"/>
      </w:pPr>
      <w:r>
        <w:t>J. Z. Novák: VÍTĚZSTVÍ. Kníž</w:t>
      </w:r>
      <w:r>
        <w:softHyphen/>
        <w:t xml:space="preserve">ka klidu, pohody, vysokého nebe. hřejícího slunce a veselých barev Nejde zde ani o fantasii, ani o ci- zokrajná dobrodružství, je to při běh z denního života, vyprávějící o dvou chlapcích a děvčátku, </w:t>
      </w:r>
      <w:r>
        <w:rPr>
          <w:lang w:val="en-US" w:eastAsia="en-US" w:bidi="en-US"/>
        </w:rPr>
        <w:t xml:space="preserve">me </w:t>
      </w:r>
      <w:r>
        <w:t xml:space="preserve">zi </w:t>
      </w:r>
      <w:r>
        <w:t>nimiž dochází ke konfliktům Ale konec je šfastný, nebof spo</w:t>
      </w:r>
      <w:r>
        <w:softHyphen/>
        <w:t>lečné nebezpečí, v němž ve všich</w:t>
      </w:r>
      <w:r>
        <w:softHyphen/>
        <w:t>ni octnou, všecko napraví. Hrdost a utrpěná příkoří jsou rázem za</w:t>
      </w:r>
      <w:r>
        <w:softHyphen/>
        <w:t xml:space="preserve">pomenuty a ze všech se stanou přátelé, kteří jsou ochotni oběto vat vše, aby zachhánil jeden dru </w:t>
      </w:r>
      <w:r>
        <w:t>hého. — Ilustrace V. Vrbové, kte rá bohatě vyzdobila knížku, ii znamenitě doplňují. Vhodné pro mládež od 8 do 12 let. Cena 25 Kč. Vydal Melantrich.</w:t>
      </w:r>
      <w:r>
        <w:br w:type="page"/>
      </w:r>
    </w:p>
    <w:p w:rsidR="00500724" w:rsidRDefault="00F30FB8">
      <w:pPr>
        <w:pStyle w:val="Zkladntext1"/>
        <w:shd w:val="clear" w:color="auto" w:fill="auto"/>
        <w:spacing w:after="40" w:line="204" w:lineRule="auto"/>
        <w:ind w:firstLine="0"/>
        <w:jc w:val="left"/>
        <w:rPr>
          <w:sz w:val="20"/>
          <w:szCs w:val="20"/>
        </w:rPr>
      </w:pPr>
      <w:r>
        <w:rPr>
          <w:i/>
          <w:iCs/>
          <w:sz w:val="20"/>
          <w:szCs w:val="20"/>
          <w:lang w:val="en-US" w:eastAsia="en-US" w:bidi="en-US"/>
        </w:rPr>
        <w:t xml:space="preserve">Prof. dr. J. B. </w:t>
      </w:r>
      <w:r>
        <w:rPr>
          <w:i/>
          <w:iCs/>
          <w:sz w:val="20"/>
          <w:szCs w:val="20"/>
        </w:rPr>
        <w:t>Kozák:</w:t>
      </w:r>
    </w:p>
    <w:p w:rsidR="00500724" w:rsidRDefault="00F30FB8">
      <w:pPr>
        <w:pStyle w:val="Jin0"/>
        <w:shd w:val="clear" w:color="auto" w:fill="auto"/>
        <w:spacing w:after="40"/>
        <w:ind w:firstLine="0"/>
        <w:jc w:val="left"/>
        <w:rPr>
          <w:sz w:val="26"/>
          <w:szCs w:val="26"/>
        </w:rPr>
      </w:pPr>
      <w:r>
        <w:rPr>
          <w:sz w:val="26"/>
          <w:szCs w:val="26"/>
        </w:rPr>
        <w:t>O KARLU ČAPKOVI</w:t>
      </w:r>
    </w:p>
    <w:p w:rsidR="00500724" w:rsidRDefault="00F30FB8">
      <w:pPr>
        <w:pStyle w:val="Zkladntext1"/>
        <w:shd w:val="clear" w:color="auto" w:fill="auto"/>
        <w:spacing w:after="40" w:line="204" w:lineRule="auto"/>
        <w:ind w:firstLine="0"/>
        <w:jc w:val="center"/>
        <w:rPr>
          <w:sz w:val="20"/>
          <w:szCs w:val="20"/>
        </w:rPr>
      </w:pPr>
      <w:r>
        <w:rPr>
          <w:i/>
          <w:iCs/>
          <w:sz w:val="20"/>
          <w:szCs w:val="20"/>
          <w:lang w:val="en-US" w:eastAsia="en-US" w:bidi="en-US"/>
        </w:rPr>
        <w:t>ii.</w:t>
      </w:r>
    </w:p>
    <w:p w:rsidR="00500724" w:rsidRDefault="00F30FB8">
      <w:pPr>
        <w:pStyle w:val="Zkladntext1"/>
        <w:shd w:val="clear" w:color="auto" w:fill="auto"/>
        <w:spacing w:after="40" w:line="204" w:lineRule="auto"/>
        <w:ind w:firstLine="200"/>
        <w:rPr>
          <w:sz w:val="20"/>
          <w:szCs w:val="20"/>
        </w:rPr>
      </w:pPr>
      <w:r>
        <w:rPr>
          <w:i/>
          <w:iCs/>
          <w:sz w:val="20"/>
          <w:szCs w:val="20"/>
        </w:rPr>
        <w:t>Celkový dojem, který mi zůstal z vývoje povahy Čap</w:t>
      </w:r>
      <w:r>
        <w:rPr>
          <w:i/>
          <w:iCs/>
          <w:sz w:val="20"/>
          <w:szCs w:val="20"/>
        </w:rPr>
        <w:softHyphen/>
        <w:t xml:space="preserve">kovy, je </w:t>
      </w:r>
      <w:r>
        <w:rPr>
          <w:i/>
          <w:iCs/>
          <w:sz w:val="20"/>
          <w:szCs w:val="20"/>
        </w:rPr>
        <w:t>něčím, co připomíná krásné housle v rukou uměl</w:t>
      </w:r>
      <w:r>
        <w:rPr>
          <w:i/>
          <w:iCs/>
          <w:sz w:val="20"/>
          <w:szCs w:val="20"/>
        </w:rPr>
        <w:softHyphen/>
        <w:t>cových. Jeho tón byl od po</w:t>
      </w:r>
      <w:r>
        <w:rPr>
          <w:i/>
          <w:iCs/>
          <w:sz w:val="20"/>
          <w:szCs w:val="20"/>
        </w:rPr>
        <w:softHyphen/>
        <w:t>čátku opojný; ale během let se vyhrával, sláďl, prohlubo</w:t>
      </w:r>
      <w:r>
        <w:rPr>
          <w:i/>
          <w:iCs/>
          <w:sz w:val="20"/>
          <w:szCs w:val="20"/>
        </w:rPr>
        <w:softHyphen/>
        <w:t>val, nanáSel na sebe jemný poprašek svrchních tónů. Ale i způsob, jak ty své tóny tvo</w:t>
      </w:r>
      <w:r>
        <w:rPr>
          <w:i/>
          <w:iCs/>
          <w:sz w:val="20"/>
          <w:szCs w:val="20"/>
        </w:rPr>
        <w:softHyphen/>
        <w:t xml:space="preserve">řil, jak hrál, se měnil. Stále více se </w:t>
      </w:r>
      <w:r>
        <w:rPr>
          <w:i/>
          <w:iCs/>
          <w:sz w:val="20"/>
          <w:szCs w:val="20"/>
        </w:rPr>
        <w:t>odvracel ode všeho, co by vzbudilo podezření, že jest pouhou virtuositou. Stá</w:t>
      </w:r>
      <w:r>
        <w:rPr>
          <w:i/>
          <w:iCs/>
          <w:sz w:val="20"/>
          <w:szCs w:val="20"/>
        </w:rPr>
        <w:softHyphen/>
        <w:t xml:space="preserve">le více a tklivěji se vracel do středních a hlubokých poloh. Byly a budou debaty o tom, který Gapek je větší, zdali ten »absolutní*, umělec, či ten druhý čapek, který ^sloužil*. </w:t>
      </w:r>
      <w:r>
        <w:rPr>
          <w:i/>
          <w:iCs/>
          <w:sz w:val="20"/>
          <w:szCs w:val="20"/>
        </w:rPr>
        <w:t>Rozumí se, že jde jen o rela</w:t>
      </w:r>
      <w:r>
        <w:rPr>
          <w:i/>
          <w:iCs/>
          <w:sz w:val="20"/>
          <w:szCs w:val="20"/>
        </w:rPr>
        <w:softHyphen/>
        <w:t>tivní rozdíl — jest to stejný autor. Ale není to zcela stej</w:t>
      </w:r>
      <w:r>
        <w:rPr>
          <w:i/>
          <w:iCs/>
          <w:sz w:val="20"/>
          <w:szCs w:val="20"/>
        </w:rPr>
        <w:softHyphen/>
        <w:t>ná hudba. Skoro bych řekl, že Čapek začal s něčím, jako absolutní hudba a skončil hudbou programní, obsaho</w:t>
      </w:r>
      <w:r>
        <w:rPr>
          <w:i/>
          <w:iCs/>
          <w:sz w:val="20"/>
          <w:szCs w:val="20"/>
        </w:rPr>
        <w:softHyphen/>
        <w:t xml:space="preserve">vou, která má určité poslání a vědomé </w:t>
      </w:r>
      <w:r>
        <w:rPr>
          <w:i/>
          <w:iCs/>
          <w:sz w:val="20"/>
          <w:szCs w:val="20"/>
          <w:lang w:val="en-US" w:eastAsia="en-US" w:bidi="en-US"/>
        </w:rPr>
        <w:t xml:space="preserve">ethos. </w:t>
      </w:r>
      <w:r>
        <w:rPr>
          <w:i/>
          <w:iCs/>
          <w:sz w:val="20"/>
          <w:szCs w:val="20"/>
        </w:rPr>
        <w:t>Jsem si vě</w:t>
      </w:r>
      <w:r>
        <w:rPr>
          <w:i/>
          <w:iCs/>
          <w:sz w:val="20"/>
          <w:szCs w:val="20"/>
        </w:rPr>
        <w:softHyphen/>
        <w:t>dom,</w:t>
      </w:r>
      <w:r>
        <w:rPr>
          <w:i/>
          <w:iCs/>
          <w:sz w:val="20"/>
          <w:szCs w:val="20"/>
        </w:rPr>
        <w:t xml:space="preserve"> že v říši umění není ni</w:t>
      </w:r>
      <w:r>
        <w:rPr>
          <w:i/>
          <w:iCs/>
          <w:sz w:val="20"/>
          <w:szCs w:val="20"/>
        </w:rPr>
        <w:softHyphen/>
        <w:t>čeho, co by se dalo srovná</w:t>
      </w:r>
      <w:r>
        <w:rPr>
          <w:i/>
          <w:iCs/>
          <w:sz w:val="20"/>
          <w:szCs w:val="20"/>
        </w:rPr>
        <w:softHyphen/>
        <w:t>vat podle velikosti. Každý výtvor umělecký je svůj a svého druhu; rozdíly jsou či</w:t>
      </w:r>
      <w:r>
        <w:rPr>
          <w:i/>
          <w:iCs/>
          <w:sz w:val="20"/>
          <w:szCs w:val="20"/>
        </w:rPr>
        <w:softHyphen/>
        <w:t>stě kvalitativní. Ale přiznám se, že je mi nejmilejší ten Čapek sloužící. A řeknu hned, proč.</w:t>
      </w:r>
    </w:p>
    <w:p w:rsidR="00500724" w:rsidRDefault="00F30FB8">
      <w:pPr>
        <w:pStyle w:val="Zkladntext1"/>
        <w:shd w:val="clear" w:color="auto" w:fill="auto"/>
        <w:spacing w:after="40" w:line="202" w:lineRule="auto"/>
        <w:ind w:firstLine="200"/>
        <w:rPr>
          <w:sz w:val="20"/>
          <w:szCs w:val="20"/>
        </w:rPr>
      </w:pPr>
      <w:r>
        <w:rPr>
          <w:i/>
          <w:iCs/>
          <w:sz w:val="20"/>
          <w:szCs w:val="20"/>
        </w:rPr>
        <w:t>Život sám není poslední in</w:t>
      </w:r>
      <w:r>
        <w:rPr>
          <w:i/>
          <w:iCs/>
          <w:sz w:val="20"/>
          <w:szCs w:val="20"/>
        </w:rPr>
        <w:softHyphen/>
        <w:t>s</w:t>
      </w:r>
      <w:r>
        <w:rPr>
          <w:i/>
          <w:iCs/>
          <w:sz w:val="20"/>
          <w:szCs w:val="20"/>
        </w:rPr>
        <w:t>tancí. Karel Čapek zprvu vi</w:t>
      </w:r>
      <w:r>
        <w:rPr>
          <w:i/>
          <w:iCs/>
          <w:sz w:val="20"/>
          <w:szCs w:val="20"/>
        </w:rPr>
        <w:softHyphen/>
        <w:t>děl a vyznával především ži</w:t>
      </w:r>
      <w:r>
        <w:rPr>
          <w:i/>
          <w:iCs/>
          <w:sz w:val="20"/>
          <w:szCs w:val="20"/>
        </w:rPr>
        <w:softHyphen/>
        <w:t>vot. Uměl to, pravda, jako málokdo druhý — viděl jej a slyšel jej v barvách, a do</w:t>
      </w:r>
      <w:r>
        <w:rPr>
          <w:i/>
          <w:iCs/>
          <w:sz w:val="20"/>
          <w:szCs w:val="20"/>
        </w:rPr>
        <w:softHyphen/>
        <w:t>vedl jej promítnouti do fan</w:t>
      </w:r>
      <w:r>
        <w:rPr>
          <w:i/>
          <w:iCs/>
          <w:sz w:val="20"/>
          <w:szCs w:val="20"/>
        </w:rPr>
        <w:softHyphen/>
        <w:t>tastických féerií. Ale život je něco zároveň dobrého i zlé</w:t>
      </w:r>
      <w:r>
        <w:rPr>
          <w:i/>
          <w:iCs/>
          <w:sz w:val="20"/>
          <w:szCs w:val="20"/>
        </w:rPr>
        <w:softHyphen/>
        <w:t>ho. Je radost i hořkost, roze</w:t>
      </w:r>
      <w:r>
        <w:rPr>
          <w:i/>
          <w:iCs/>
          <w:sz w:val="20"/>
          <w:szCs w:val="20"/>
        </w:rPr>
        <w:softHyphen/>
        <w:t>n</w:t>
      </w:r>
      <w:r>
        <w:rPr>
          <w:i/>
          <w:iCs/>
          <w:sz w:val="20"/>
          <w:szCs w:val="20"/>
        </w:rPr>
        <w:t>í i umírání, je čistý i špina</w:t>
      </w:r>
      <w:r>
        <w:rPr>
          <w:i/>
          <w:iCs/>
          <w:sz w:val="20"/>
          <w:szCs w:val="20"/>
        </w:rPr>
        <w:softHyphen/>
        <w:t>vý, veliký i malý, hodný zbož</w:t>
      </w:r>
      <w:r>
        <w:rPr>
          <w:i/>
          <w:iCs/>
          <w:sz w:val="20"/>
          <w:szCs w:val="20"/>
        </w:rPr>
        <w:softHyphen/>
        <w:t>ňování i hodný pohrdání. A právě tím, že Čapek zprvu jen tak vyznával život, do</w:t>
      </w:r>
      <w:r>
        <w:rPr>
          <w:i/>
          <w:iCs/>
          <w:sz w:val="20"/>
          <w:szCs w:val="20"/>
        </w:rPr>
        <w:softHyphen/>
        <w:t>stávala se do jeho díla skep</w:t>
      </w:r>
      <w:r>
        <w:rPr>
          <w:i/>
          <w:iCs/>
          <w:sz w:val="20"/>
          <w:szCs w:val="20"/>
        </w:rPr>
        <w:softHyphen/>
        <w:t xml:space="preserve">se. Vyznávat všecko, to je něco jako panťheismus: hrozí vás to zavěsti někam, kde není </w:t>
      </w:r>
      <w:r>
        <w:rPr>
          <w:i/>
          <w:iCs/>
          <w:sz w:val="20"/>
          <w:szCs w:val="20"/>
        </w:rPr>
        <w:t>žádné pevné nahoře a dole, někam »jenseits von Gut und Bose*. Věříš-li vše</w:t>
      </w:r>
      <w:r>
        <w:rPr>
          <w:i/>
          <w:iCs/>
          <w:sz w:val="20"/>
          <w:szCs w:val="20"/>
        </w:rPr>
        <w:softHyphen/>
        <w:t>mu, co jest, jest to skoro to</w:t>
      </w:r>
      <w:r>
        <w:rPr>
          <w:i/>
          <w:iCs/>
          <w:sz w:val="20"/>
          <w:szCs w:val="20"/>
        </w:rPr>
        <w:softHyphen/>
        <w:t>lik, jako bys nevěřil nic, a uctíváš-li všecko, jsi velmi v nebezpečí, že nebudeš do</w:t>
      </w:r>
      <w:r>
        <w:rPr>
          <w:i/>
          <w:iCs/>
          <w:sz w:val="20"/>
          <w:szCs w:val="20"/>
        </w:rPr>
        <w:softHyphen/>
        <w:t>opravdy vyznávat nic.</w:t>
      </w:r>
    </w:p>
    <w:p w:rsidR="00500724" w:rsidRDefault="00F30FB8">
      <w:pPr>
        <w:pStyle w:val="Zkladntext1"/>
        <w:shd w:val="clear" w:color="auto" w:fill="auto"/>
        <w:spacing w:line="204" w:lineRule="auto"/>
        <w:ind w:firstLine="200"/>
        <w:rPr>
          <w:sz w:val="20"/>
          <w:szCs w:val="20"/>
        </w:rPr>
      </w:pPr>
      <w:r>
        <w:rPr>
          <w:i/>
          <w:iCs/>
          <w:sz w:val="20"/>
          <w:szCs w:val="20"/>
        </w:rPr>
        <w:t>A tu si myslím, že právě v tomto problému by</w:t>
      </w:r>
      <w:r>
        <w:rPr>
          <w:i/>
          <w:iCs/>
          <w:sz w:val="20"/>
          <w:szCs w:val="20"/>
        </w:rPr>
        <w:t>la osa Čapkova života. Viděl jsem, že v hloubi srdce zápasil sám s sebou. Že se nepoddal své virtuositě, že neutonul v bo</w:t>
      </w:r>
      <w:r>
        <w:rPr>
          <w:i/>
          <w:iCs/>
          <w:sz w:val="20"/>
          <w:szCs w:val="20"/>
        </w:rPr>
        <w:softHyphen/>
        <w:t>hatství Jsoucna (zejména ži</w:t>
      </w:r>
      <w:r>
        <w:rPr>
          <w:i/>
          <w:iCs/>
          <w:sz w:val="20"/>
          <w:szCs w:val="20"/>
        </w:rPr>
        <w:softHyphen/>
        <w:t>vého jsoucna) — v tom je největší počet jeho velikosti. Měl, pravda, ostych před kaž</w:t>
      </w:r>
      <w:r>
        <w:rPr>
          <w:i/>
          <w:iCs/>
          <w:sz w:val="20"/>
          <w:szCs w:val="20"/>
        </w:rPr>
        <w:softHyphen/>
        <w:t>dým obnažujícím se vy</w:t>
      </w:r>
      <w:r>
        <w:rPr>
          <w:i/>
          <w:iCs/>
          <w:sz w:val="20"/>
          <w:szCs w:val="20"/>
        </w:rPr>
        <w:t>zna- vačstvím, ba přímo odpor ke všemu kazatelskému. Ale vši</w:t>
      </w:r>
      <w:r>
        <w:rPr>
          <w:i/>
          <w:iCs/>
          <w:sz w:val="20"/>
          <w:szCs w:val="20"/>
        </w:rPr>
        <w:softHyphen/>
        <w:t>mněte si jen, jaký je rozdíl mezi dramatem ťVěc Makro</w:t>
      </w:r>
      <w:r>
        <w:rPr>
          <w:i/>
          <w:iCs/>
          <w:sz w:val="20"/>
          <w:szCs w:val="20"/>
        </w:rPr>
        <w:softHyphen/>
        <w:t xml:space="preserve">pulos* a jeho pozdějšími díly — asi tak ^Hovory s T. C. </w:t>
      </w:r>
      <w:r>
        <w:rPr>
          <w:sz w:val="18"/>
          <w:szCs w:val="18"/>
        </w:rPr>
        <w:t xml:space="preserve">M.« </w:t>
      </w:r>
      <w:r>
        <w:rPr>
          <w:i/>
          <w:iCs/>
          <w:sz w:val="20"/>
          <w:szCs w:val="20"/>
        </w:rPr>
        <w:t>počínaje a konče VPrvní partou*. Pohled na konec nadlidsky dlouhého života je u Č</w:t>
      </w:r>
      <w:r>
        <w:rPr>
          <w:i/>
          <w:iCs/>
          <w:sz w:val="20"/>
          <w:szCs w:val="20"/>
        </w:rPr>
        <w:t>apka (»Věc Makropulos*) docela jiný, než na př. u Bemharda Shawa. Tam kon</w:t>
      </w:r>
      <w:r>
        <w:rPr>
          <w:i/>
          <w:iCs/>
          <w:sz w:val="20"/>
          <w:szCs w:val="20"/>
        </w:rPr>
        <w:softHyphen/>
        <w:t>čí dlouhověcí mlčelivým me</w:t>
      </w:r>
      <w:r>
        <w:rPr>
          <w:i/>
          <w:iCs/>
          <w:sz w:val="20"/>
          <w:szCs w:val="20"/>
        </w:rPr>
        <w:softHyphen/>
        <w:t>ditováním, matematikou a podobnými díly čistého du</w:t>
      </w:r>
      <w:r>
        <w:rPr>
          <w:i/>
          <w:iCs/>
          <w:sz w:val="20"/>
          <w:szCs w:val="20"/>
        </w:rPr>
        <w:softHyphen/>
        <w:t>cha. Ale Čapkova stará pri- madona je cynická a hořká. Nabrala do sebe za tři sta let příliš mnoho cynis</w:t>
      </w:r>
      <w:r>
        <w:rPr>
          <w:i/>
          <w:iCs/>
          <w:sz w:val="20"/>
          <w:szCs w:val="20"/>
        </w:rPr>
        <w:t>mu — příliš mnoho života?</w:t>
      </w:r>
    </w:p>
    <w:p w:rsidR="00500724" w:rsidRDefault="00F30FB8">
      <w:pPr>
        <w:pStyle w:val="Zkladntext1"/>
        <w:shd w:val="clear" w:color="auto" w:fill="auto"/>
        <w:spacing w:line="202" w:lineRule="auto"/>
        <w:ind w:firstLine="240"/>
        <w:rPr>
          <w:sz w:val="20"/>
          <w:szCs w:val="20"/>
        </w:rPr>
      </w:pPr>
      <w:r>
        <w:rPr>
          <w:i/>
          <w:iCs/>
          <w:sz w:val="20"/>
          <w:szCs w:val="20"/>
        </w:rPr>
        <w:t>Karel Čapek se vysmál sli</w:t>
      </w:r>
      <w:r>
        <w:rPr>
          <w:i/>
          <w:iCs/>
          <w:sz w:val="20"/>
          <w:szCs w:val="20"/>
        </w:rPr>
        <w:softHyphen/>
        <w:t>mákům, kteří si libují, že »sladko je žít*, jen když bude méně šneků a víc kapusty. Cítil život též hořce a bo</w:t>
      </w:r>
      <w:r>
        <w:rPr>
          <w:i/>
          <w:iCs/>
          <w:sz w:val="20"/>
          <w:szCs w:val="20"/>
        </w:rPr>
        <w:softHyphen/>
        <w:t>lestně. A ten pesimistický relativismus by byl v něm rozrůstal, kdyby...</w:t>
      </w:r>
    </w:p>
    <w:p w:rsidR="00500724" w:rsidRDefault="00F30FB8">
      <w:pPr>
        <w:pStyle w:val="Zkladntext1"/>
        <w:shd w:val="clear" w:color="auto" w:fill="auto"/>
        <w:spacing w:line="202" w:lineRule="auto"/>
        <w:ind w:firstLine="240"/>
        <w:rPr>
          <w:sz w:val="20"/>
          <w:szCs w:val="20"/>
        </w:rPr>
      </w:pPr>
      <w:r>
        <w:rPr>
          <w:i/>
          <w:iCs/>
          <w:sz w:val="20"/>
          <w:szCs w:val="20"/>
        </w:rPr>
        <w:t>Ano, kdyby nebyl uvě</w:t>
      </w:r>
      <w:r>
        <w:rPr>
          <w:i/>
          <w:iCs/>
          <w:sz w:val="20"/>
          <w:szCs w:val="20"/>
        </w:rPr>
        <w:t>řil ve sféry ducha, v příkazy toho, co má býti, i když to není, i když se to nežije. Nemy</w:t>
      </w:r>
      <w:r>
        <w:rPr>
          <w:i/>
          <w:iCs/>
          <w:sz w:val="20"/>
          <w:szCs w:val="20"/>
        </w:rPr>
        <w:softHyphen/>
        <w:t xml:space="preserve">slím, že zde zasáhl Masaryk. On byl jen takový typ — ale plný života k tomu, starý, ale bez cynismu. Ten pokrok k určitému dualismu života a řádu, přírody a ducha se </w:t>
      </w:r>
      <w:r>
        <w:rPr>
          <w:i/>
          <w:iCs/>
          <w:sz w:val="20"/>
          <w:szCs w:val="20"/>
        </w:rPr>
        <w:t>zrodil v Čapkovi samém; zro</w:t>
      </w:r>
      <w:r>
        <w:rPr>
          <w:i/>
          <w:iCs/>
          <w:sz w:val="20"/>
          <w:szCs w:val="20"/>
        </w:rPr>
        <w:softHyphen/>
        <w:t>dil si za bolestí.</w:t>
      </w:r>
    </w:p>
    <w:p w:rsidR="00500724" w:rsidRDefault="00F30FB8">
      <w:pPr>
        <w:pStyle w:val="Zkladntext1"/>
        <w:shd w:val="clear" w:color="auto" w:fill="auto"/>
        <w:spacing w:line="202" w:lineRule="auto"/>
        <w:ind w:firstLine="240"/>
        <w:rPr>
          <w:sz w:val="20"/>
          <w:szCs w:val="20"/>
        </w:rPr>
      </w:pPr>
      <w:r>
        <w:rPr>
          <w:i/>
          <w:iCs/>
          <w:sz w:val="20"/>
          <w:szCs w:val="20"/>
        </w:rPr>
        <w:t>Ale zrodil se právě ten Ča</w:t>
      </w:r>
      <w:r>
        <w:rPr>
          <w:i/>
          <w:iCs/>
          <w:sz w:val="20"/>
          <w:szCs w:val="20"/>
        </w:rPr>
        <w:softHyphen/>
        <w:t xml:space="preserve">pek sloužící. Nedejte se kla- mati tím, že jeho vlastní »ano, ano, nikoli, nikoli* se neříká na plná ústa. To se v dramatech (»Bílá nemoc*, »Maťka*) nedělá. A vše v nich musí vyznít </w:t>
      </w:r>
      <w:r>
        <w:rPr>
          <w:i/>
          <w:iCs/>
          <w:sz w:val="20"/>
          <w:szCs w:val="20"/>
        </w:rPr>
        <w:t>a uplatnit se a žádat své vážné místo, svou laskavou úvahu — i to, s čím nesouhlasíme. Ale zde se stal Čapek služebníkem.</w:t>
      </w:r>
    </w:p>
    <w:p w:rsidR="00500724" w:rsidRDefault="00F30FB8">
      <w:pPr>
        <w:pStyle w:val="Zkladntext1"/>
        <w:shd w:val="clear" w:color="auto" w:fill="auto"/>
        <w:spacing w:line="202" w:lineRule="auto"/>
        <w:ind w:firstLine="240"/>
        <w:rPr>
          <w:sz w:val="20"/>
          <w:szCs w:val="20"/>
        </w:rPr>
      </w:pPr>
      <w:r>
        <w:rPr>
          <w:i/>
          <w:iCs/>
          <w:sz w:val="20"/>
          <w:szCs w:val="20"/>
        </w:rPr>
        <w:t>Služebníkem — čeho ? Re- \ žimů, ideologií ? Jaké nedo</w:t>
      </w:r>
      <w:r>
        <w:rPr>
          <w:i/>
          <w:iCs/>
          <w:sz w:val="20"/>
          <w:szCs w:val="20"/>
        </w:rPr>
        <w:softHyphen/>
        <w:t>rozumění! Služebníkem lidí, lidí rovných a ve vší prosto</w:t>
      </w:r>
      <w:r>
        <w:rPr>
          <w:i/>
          <w:iCs/>
          <w:sz w:val="20"/>
          <w:szCs w:val="20"/>
        </w:rPr>
        <w:softHyphen/>
        <w:t>tě i nedokonalosti lid</w:t>
      </w:r>
      <w:r>
        <w:rPr>
          <w:i/>
          <w:iCs/>
          <w:sz w:val="20"/>
          <w:szCs w:val="20"/>
        </w:rPr>
        <w:t>í bo</w:t>
      </w:r>
      <w:r>
        <w:rPr>
          <w:i/>
          <w:iCs/>
          <w:sz w:val="20"/>
          <w:szCs w:val="20"/>
        </w:rPr>
        <w:softHyphen/>
        <w:t>žích. A zejména lidí obyčej</w:t>
      </w:r>
      <w:r>
        <w:rPr>
          <w:i/>
          <w:iCs/>
          <w:sz w:val="20"/>
          <w:szCs w:val="20"/>
        </w:rPr>
        <w:softHyphen/>
        <w:t>ných — ty jistě Bůh miluje, proto jich tolik udělal!</w:t>
      </w:r>
    </w:p>
    <w:p w:rsidR="00500724" w:rsidRDefault="00F30FB8">
      <w:pPr>
        <w:pStyle w:val="Zkladntext1"/>
        <w:shd w:val="clear" w:color="auto" w:fill="auto"/>
        <w:spacing w:line="202" w:lineRule="auto"/>
        <w:ind w:firstLine="240"/>
        <w:rPr>
          <w:sz w:val="20"/>
          <w:szCs w:val="20"/>
        </w:rPr>
      </w:pPr>
      <w:r>
        <w:rPr>
          <w:i/>
          <w:iCs/>
          <w:sz w:val="20"/>
          <w:szCs w:val="20"/>
        </w:rPr>
        <w:t>I sloužil Čapek výrazu au</w:t>
      </w:r>
      <w:r>
        <w:rPr>
          <w:i/>
          <w:iCs/>
          <w:sz w:val="20"/>
          <w:szCs w:val="20"/>
        </w:rPr>
        <w:softHyphen/>
        <w:t>tonomní . osobnosti, ale slou</w:t>
      </w:r>
      <w:r>
        <w:rPr>
          <w:i/>
          <w:iCs/>
          <w:sz w:val="20"/>
          <w:szCs w:val="20"/>
        </w:rPr>
        <w:softHyphen/>
        <w:t>žil též lidem přímo. Chudým lidem a chudým dětem. Or</w:t>
      </w:r>
      <w:r>
        <w:rPr>
          <w:i/>
          <w:iCs/>
          <w:sz w:val="20"/>
          <w:szCs w:val="20"/>
        </w:rPr>
        <w:softHyphen/>
        <w:t>ganisoval ^Demokracii dě</w:t>
      </w:r>
      <w:r>
        <w:rPr>
          <w:i/>
          <w:iCs/>
          <w:sz w:val="20"/>
          <w:szCs w:val="20"/>
        </w:rPr>
        <w:softHyphen/>
        <w:t xml:space="preserve">tem* a hleděl být užitečný, kde </w:t>
      </w:r>
      <w:r>
        <w:rPr>
          <w:i/>
          <w:iCs/>
          <w:sz w:val="20"/>
          <w:szCs w:val="20"/>
        </w:rPr>
        <w:t>mohl. Kolik jen politic</w:t>
      </w:r>
      <w:r>
        <w:rPr>
          <w:i/>
          <w:iCs/>
          <w:sz w:val="20"/>
          <w:szCs w:val="20"/>
        </w:rPr>
        <w:softHyphen/>
        <w:t>kých třídních odpůrců se u něho sešlo! Kolikrát radil a pomohl!</w:t>
      </w:r>
    </w:p>
    <w:p w:rsidR="00500724" w:rsidRDefault="00F30FB8">
      <w:pPr>
        <w:pStyle w:val="Zkladntext1"/>
        <w:shd w:val="clear" w:color="auto" w:fill="auto"/>
        <w:spacing w:line="202" w:lineRule="auto"/>
        <w:ind w:firstLine="240"/>
        <w:rPr>
          <w:sz w:val="20"/>
          <w:szCs w:val="20"/>
        </w:rPr>
      </w:pPr>
      <w:r>
        <w:rPr>
          <w:i/>
          <w:iCs/>
          <w:sz w:val="20"/>
          <w:szCs w:val="20"/>
        </w:rPr>
        <w:t>Bjornson napsal, že kudy kráčejí dobří lidé, tam jsou cesty boží. Na ty cesty se vy</w:t>
      </w:r>
      <w:r>
        <w:rPr>
          <w:i/>
          <w:iCs/>
          <w:sz w:val="20"/>
          <w:szCs w:val="20"/>
        </w:rPr>
        <w:softHyphen/>
        <w:t>dal a na nich padl Karel Ča</w:t>
      </w:r>
      <w:r>
        <w:rPr>
          <w:i/>
          <w:iCs/>
          <w:sz w:val="20"/>
          <w:szCs w:val="20"/>
        </w:rPr>
        <w:softHyphen/>
        <w:t>pek.</w:t>
      </w:r>
    </w:p>
    <w:p w:rsidR="00500724" w:rsidRDefault="00F30FB8">
      <w:pPr>
        <w:pStyle w:val="Zkladntext1"/>
        <w:shd w:val="clear" w:color="auto" w:fill="auto"/>
        <w:spacing w:line="204" w:lineRule="auto"/>
        <w:ind w:firstLine="200"/>
        <w:rPr>
          <w:sz w:val="20"/>
          <w:szCs w:val="20"/>
        </w:rPr>
      </w:pPr>
      <w:r>
        <w:rPr>
          <w:noProof/>
        </w:rPr>
        <mc:AlternateContent>
          <mc:Choice Requires="wps">
            <w:drawing>
              <wp:anchor distT="622300" distB="673100" distL="114300" distR="114300" simplePos="0" relativeHeight="125829450" behindDoc="0" locked="0" layoutInCell="1" allowOverlap="1">
                <wp:simplePos x="0" y="0"/>
                <wp:positionH relativeFrom="page">
                  <wp:posOffset>4392295</wp:posOffset>
                </wp:positionH>
                <wp:positionV relativeFrom="margin">
                  <wp:posOffset>652145</wp:posOffset>
                </wp:positionV>
                <wp:extent cx="1892935" cy="2929255"/>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1892935" cy="2929255"/>
                        </a:xfrm>
                        <a:prstGeom prst="rect">
                          <a:avLst/>
                        </a:prstGeom>
                        <a:noFill/>
                      </wps:spPr>
                      <wps:txbx>
                        <w:txbxContent>
                          <w:p w:rsidR="00500724" w:rsidRDefault="00F30FB8">
                            <w:pPr>
                              <w:pStyle w:val="Jin0"/>
                              <w:shd w:val="clear" w:color="auto" w:fill="auto"/>
                              <w:ind w:firstLine="0"/>
                              <w:jc w:val="left"/>
                              <w:rPr>
                                <w:sz w:val="34"/>
                                <w:szCs w:val="34"/>
                              </w:rPr>
                            </w:pPr>
                            <w:r>
                              <w:rPr>
                                <w:rFonts w:ascii="Century Gothic" w:eastAsia="Century Gothic" w:hAnsi="Century Gothic" w:cs="Century Gothic"/>
                                <w:b/>
                                <w:bCs/>
                                <w:sz w:val="34"/>
                                <w:szCs w:val="34"/>
                              </w:rPr>
                              <w:t>BUŠTE RAD, ŽEISTE</w:t>
                            </w:r>
                          </w:p>
                          <w:p w:rsidR="00500724" w:rsidRDefault="00F30FB8">
                            <w:pPr>
                              <w:pStyle w:val="Jin0"/>
                              <w:shd w:val="clear" w:color="auto" w:fill="auto"/>
                              <w:spacing w:after="140" w:line="221" w:lineRule="auto"/>
                              <w:ind w:firstLine="0"/>
                              <w:jc w:val="left"/>
                              <w:rPr>
                                <w:sz w:val="54"/>
                                <w:szCs w:val="54"/>
                              </w:rPr>
                            </w:pPr>
                            <w:r>
                              <w:rPr>
                                <w:rFonts w:ascii="Consolas" w:eastAsia="Consolas" w:hAnsi="Consolas" w:cs="Consolas"/>
                                <w:sz w:val="54"/>
                                <w:szCs w:val="54"/>
                                <w:u w:val="single"/>
                              </w:rPr>
                              <w:t>NERVOSNÍ!</w:t>
                            </w:r>
                          </w:p>
                          <w:p w:rsidR="00500724" w:rsidRDefault="00F30FB8">
                            <w:pPr>
                              <w:pStyle w:val="Jin0"/>
                              <w:shd w:val="clear" w:color="auto" w:fill="auto"/>
                              <w:spacing w:after="60" w:line="214" w:lineRule="auto"/>
                              <w:ind w:firstLine="0"/>
                              <w:rPr>
                                <w:sz w:val="16"/>
                                <w:szCs w:val="16"/>
                              </w:rPr>
                            </w:pPr>
                            <w:r>
                              <w:rPr>
                                <w:rFonts w:ascii="Arial" w:eastAsia="Arial" w:hAnsi="Arial" w:cs="Arial"/>
                                <w:sz w:val="16"/>
                                <w:szCs w:val="16"/>
                              </w:rPr>
                              <w:t xml:space="preserve">To není vtip, to ie </w:t>
                            </w:r>
                            <w:r>
                              <w:rPr>
                                <w:rFonts w:ascii="Arial" w:eastAsia="Arial" w:hAnsi="Arial" w:cs="Arial"/>
                                <w:sz w:val="16"/>
                                <w:szCs w:val="16"/>
                              </w:rPr>
                              <w:t>název vážné knihy</w:t>
                            </w:r>
                          </w:p>
                          <w:p w:rsidR="00500724" w:rsidRDefault="00F30FB8">
                            <w:pPr>
                              <w:pStyle w:val="Jin0"/>
                              <w:shd w:val="clear" w:color="auto" w:fill="auto"/>
                              <w:ind w:firstLine="0"/>
                              <w:rPr>
                                <w:sz w:val="26"/>
                                <w:szCs w:val="26"/>
                              </w:rPr>
                            </w:pPr>
                            <w:r>
                              <w:rPr>
                                <w:rFonts w:ascii="Arial" w:eastAsia="Arial" w:hAnsi="Arial" w:cs="Arial"/>
                                <w:b/>
                                <w:bCs/>
                                <w:w w:val="70"/>
                                <w:sz w:val="26"/>
                                <w:szCs w:val="26"/>
                              </w:rPr>
                              <w:t>MUDr a PHDr LOUISE BISCHE</w:t>
                            </w:r>
                          </w:p>
                          <w:p w:rsidR="00500724" w:rsidRDefault="00F30FB8">
                            <w:pPr>
                              <w:pStyle w:val="Jin0"/>
                              <w:shd w:val="clear" w:color="auto" w:fill="auto"/>
                              <w:spacing w:line="214" w:lineRule="auto"/>
                              <w:ind w:firstLine="0"/>
                              <w:rPr>
                                <w:sz w:val="16"/>
                                <w:szCs w:val="16"/>
                              </w:rPr>
                            </w:pPr>
                            <w:r>
                              <w:rPr>
                                <w:rFonts w:ascii="Arial" w:eastAsia="Arial" w:hAnsi="Arial" w:cs="Arial"/>
                                <w:sz w:val="16"/>
                                <w:szCs w:val="16"/>
                              </w:rPr>
                              <w:t>významného amerického psychiatra, který v ni bojuje proti vžitým předsud</w:t>
                            </w:r>
                            <w:r>
                              <w:rPr>
                                <w:rFonts w:ascii="Arial" w:eastAsia="Arial" w:hAnsi="Arial" w:cs="Arial"/>
                                <w:sz w:val="16"/>
                                <w:szCs w:val="16"/>
                              </w:rPr>
                              <w:softHyphen/>
                              <w:t>kům a skvěle na příkladech dokazuje, že právě</w:t>
                            </w:r>
                          </w:p>
                          <w:p w:rsidR="00500724" w:rsidRDefault="00F30FB8">
                            <w:pPr>
                              <w:pStyle w:val="Zkladntext80"/>
                              <w:shd w:val="clear" w:color="auto" w:fill="auto"/>
                              <w:spacing w:line="226" w:lineRule="auto"/>
                              <w:jc w:val="center"/>
                            </w:pPr>
                            <w:r>
                              <w:rPr>
                                <w:w w:val="70"/>
                              </w:rPr>
                              <w:t>NERVOSNÍ LIBÉ</w:t>
                            </w:r>
                          </w:p>
                          <w:p w:rsidR="00500724" w:rsidRDefault="00F30FB8">
                            <w:pPr>
                              <w:pStyle w:val="Jin0"/>
                              <w:shd w:val="clear" w:color="auto" w:fill="auto"/>
                              <w:spacing w:after="60" w:line="216" w:lineRule="auto"/>
                              <w:ind w:firstLine="0"/>
                              <w:rPr>
                                <w:sz w:val="16"/>
                                <w:szCs w:val="16"/>
                              </w:rPr>
                            </w:pPr>
                            <w:r>
                              <w:rPr>
                                <w:rFonts w:ascii="Arial" w:eastAsia="Arial" w:hAnsi="Arial" w:cs="Arial"/>
                                <w:sz w:val="16"/>
                                <w:szCs w:val="16"/>
                              </w:rPr>
                              <w:t xml:space="preserve">jsou předurčení k nadprúmérnosti po- rozumí-li včas svému stavu, přesíanou-li </w:t>
                            </w:r>
                            <w:r>
                              <w:rPr>
                                <w:rFonts w:ascii="Arial" w:eastAsia="Arial" w:hAnsi="Arial" w:cs="Arial"/>
                                <w:sz w:val="16"/>
                                <w:szCs w:val="16"/>
                              </w:rPr>
                              <w:t>se styděf a bát. - Ostatek podle rad autorových bude snadný.</w:t>
                            </w:r>
                          </w:p>
                          <w:p w:rsidR="00500724" w:rsidRDefault="00F30FB8">
                            <w:pPr>
                              <w:pStyle w:val="Zkladntext80"/>
                              <w:shd w:val="clear" w:color="auto" w:fill="auto"/>
                              <w:spacing w:after="120" w:line="310" w:lineRule="auto"/>
                              <w:jc w:val="both"/>
                            </w:pPr>
                            <w:r>
                              <w:rPr>
                                <w:w w:val="70"/>
                              </w:rPr>
                              <w:t xml:space="preserve">Knížka, na kterou čekají tisíce! Brož. Kč 20 </w:t>
                            </w:r>
                            <w:r>
                              <w:rPr>
                                <w:sz w:val="13"/>
                                <w:szCs w:val="13"/>
                              </w:rPr>
                              <w:t xml:space="preserve">U KNIHKUPCŮ I </w:t>
                            </w:r>
                            <w:r>
                              <w:rPr>
                                <w:w w:val="70"/>
                              </w:rPr>
                              <w:t>Váz. Kč 32</w:t>
                            </w:r>
                          </w:p>
                          <w:p w:rsidR="00500724" w:rsidRDefault="00F30FB8">
                            <w:pPr>
                              <w:pStyle w:val="Zkladntext1"/>
                              <w:shd w:val="clear" w:color="auto" w:fill="auto"/>
                              <w:spacing w:after="40" w:line="341" w:lineRule="auto"/>
                              <w:ind w:firstLine="0"/>
                              <w:rPr>
                                <w:sz w:val="20"/>
                                <w:szCs w:val="20"/>
                              </w:rPr>
                            </w:pPr>
                            <w:r>
                              <w:rPr>
                                <w:b/>
                                <w:bCs/>
                                <w:sz w:val="20"/>
                                <w:szCs w:val="20"/>
                              </w:rPr>
                              <w:t>„ORBIS", PRAHA XII, FOCHOVA 62</w:t>
                            </w:r>
                          </w:p>
                        </w:txbxContent>
                      </wps:txbx>
                      <wps:bodyPr lIns="0" tIns="0" rIns="0" bIns="0">
                        <a:spAutoFit/>
                      </wps:bodyPr>
                    </wps:wsp>
                  </a:graphicData>
                </a:graphic>
              </wp:anchor>
            </w:drawing>
          </mc:Choice>
          <mc:Fallback>
            <w:pict>
              <v:shape id="_x0000_s1099" type="#_x0000_t202" style="position:absolute;margin-left:345.85000000000002pt;margin-top:51.350000000000001pt;width:149.05000000000001pt;height:230.65000000000001pt;z-index:-125829303;mso-wrap-distance-left:9.pt;mso-wrap-distance-top:49.pt;mso-wrap-distance-right:9.pt;mso-wrap-distance-bottom:53.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Fonts w:ascii="Century Gothic" w:eastAsia="Century Gothic" w:hAnsi="Century Gothic" w:cs="Century Gothic"/>
                          <w:b/>
                          <w:bCs/>
                          <w:color w:val="000000"/>
                          <w:spacing w:val="0"/>
                          <w:w w:val="100"/>
                          <w:position w:val="0"/>
                          <w:sz w:val="34"/>
                          <w:szCs w:val="34"/>
                          <w:shd w:val="clear" w:color="auto" w:fill="auto"/>
                          <w:lang w:val="cs-CZ" w:eastAsia="cs-CZ" w:bidi="cs-CZ"/>
                        </w:rPr>
                        <w:t>BUŠTE RAD, ŽEISTE</w:t>
                      </w:r>
                    </w:p>
                    <w:p>
                      <w:pPr>
                        <w:pStyle w:val="Style12"/>
                        <w:keepNext w:val="0"/>
                        <w:keepLines w:val="0"/>
                        <w:widowControl w:val="0"/>
                        <w:shd w:val="clear" w:color="auto" w:fill="auto"/>
                        <w:bidi w:val="0"/>
                        <w:spacing w:before="0" w:after="140" w:line="221" w:lineRule="auto"/>
                        <w:ind w:left="0" w:right="0" w:firstLine="0"/>
                        <w:jc w:val="left"/>
                        <w:rPr>
                          <w:sz w:val="54"/>
                          <w:szCs w:val="54"/>
                        </w:rPr>
                      </w:pPr>
                      <w:r>
                        <w:rPr>
                          <w:rFonts w:ascii="Consolas" w:eastAsia="Consolas" w:hAnsi="Consolas" w:cs="Consolas"/>
                          <w:color w:val="000000"/>
                          <w:spacing w:val="0"/>
                          <w:w w:val="100"/>
                          <w:position w:val="0"/>
                          <w:sz w:val="54"/>
                          <w:szCs w:val="54"/>
                          <w:u w:val="single"/>
                          <w:shd w:val="clear" w:color="auto" w:fill="auto"/>
                          <w:lang w:val="cs-CZ" w:eastAsia="cs-CZ" w:bidi="cs-CZ"/>
                        </w:rPr>
                        <w:t>NERVOSNÍ!</w:t>
                      </w:r>
                    </w:p>
                    <w:p>
                      <w:pPr>
                        <w:pStyle w:val="Style12"/>
                        <w:keepNext w:val="0"/>
                        <w:keepLines w:val="0"/>
                        <w:widowControl w:val="0"/>
                        <w:shd w:val="clear" w:color="auto" w:fill="auto"/>
                        <w:bidi w:val="0"/>
                        <w:spacing w:before="0" w:after="60" w:line="214" w:lineRule="auto"/>
                        <w:ind w:left="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To není vtip, to ie název vážné knihy</w:t>
                      </w:r>
                    </w:p>
                    <w:p>
                      <w:pPr>
                        <w:pStyle w:val="Style12"/>
                        <w:keepNext w:val="0"/>
                        <w:keepLines w:val="0"/>
                        <w:widowControl w:val="0"/>
                        <w:shd w:val="clear" w:color="auto" w:fill="auto"/>
                        <w:bidi w:val="0"/>
                        <w:spacing w:before="0" w:after="0" w:line="240" w:lineRule="auto"/>
                        <w:ind w:left="0" w:right="0" w:firstLine="0"/>
                        <w:rPr>
                          <w:sz w:val="26"/>
                          <w:szCs w:val="26"/>
                        </w:rPr>
                      </w:pPr>
                      <w:r>
                        <w:rPr>
                          <w:rFonts w:ascii="Arial" w:eastAsia="Arial" w:hAnsi="Arial" w:cs="Arial"/>
                          <w:b/>
                          <w:bCs/>
                          <w:color w:val="000000"/>
                          <w:spacing w:val="0"/>
                          <w:w w:val="70"/>
                          <w:position w:val="0"/>
                          <w:sz w:val="26"/>
                          <w:szCs w:val="26"/>
                          <w:shd w:val="clear" w:color="auto" w:fill="auto"/>
                          <w:lang w:val="cs-CZ" w:eastAsia="cs-CZ" w:bidi="cs-CZ"/>
                        </w:rPr>
                        <w:t>MUDr a PHDr LOUISE BISCHE</w:t>
                      </w:r>
                    </w:p>
                    <w:p>
                      <w:pPr>
                        <w:pStyle w:val="Style12"/>
                        <w:keepNext w:val="0"/>
                        <w:keepLines w:val="0"/>
                        <w:widowControl w:val="0"/>
                        <w:shd w:val="clear" w:color="auto" w:fill="auto"/>
                        <w:bidi w:val="0"/>
                        <w:spacing w:before="0" w:after="0" w:line="214" w:lineRule="auto"/>
                        <w:ind w:left="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významného amerického psychiatra, který v ni bojuje proti vžitým předsud</w:t>
                        <w:softHyphen/>
                        <w:t>kům a skvěle na příkladech dokazuje, že právě</w:t>
                      </w:r>
                    </w:p>
                    <w:p>
                      <w:pPr>
                        <w:pStyle w:val="Style150"/>
                        <w:keepNext w:val="0"/>
                        <w:keepLines w:val="0"/>
                        <w:widowControl w:val="0"/>
                        <w:shd w:val="clear" w:color="auto" w:fill="auto"/>
                        <w:bidi w:val="0"/>
                        <w:spacing w:before="0" w:after="0" w:line="226" w:lineRule="auto"/>
                        <w:ind w:left="0" w:right="0" w:firstLine="0"/>
                        <w:jc w:val="center"/>
                      </w:pPr>
                      <w:r>
                        <w:rPr>
                          <w:color w:val="000000"/>
                          <w:spacing w:val="0"/>
                          <w:w w:val="70"/>
                          <w:position w:val="0"/>
                          <w:sz w:val="22"/>
                          <w:szCs w:val="22"/>
                          <w:shd w:val="clear" w:color="auto" w:fill="auto"/>
                          <w:lang w:val="cs-CZ" w:eastAsia="cs-CZ" w:bidi="cs-CZ"/>
                        </w:rPr>
                        <w:t>NERVOSNÍ LIBÉ</w:t>
                      </w:r>
                    </w:p>
                    <w:p>
                      <w:pPr>
                        <w:pStyle w:val="Style12"/>
                        <w:keepNext w:val="0"/>
                        <w:keepLines w:val="0"/>
                        <w:widowControl w:val="0"/>
                        <w:shd w:val="clear" w:color="auto" w:fill="auto"/>
                        <w:bidi w:val="0"/>
                        <w:spacing w:before="0" w:after="60" w:line="216" w:lineRule="auto"/>
                        <w:ind w:left="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jsou předurčení k nadprúmérnosti po- rozumí-li včas svému stavu, přesíanou-li se styděf a bát. - Ostatek podle rad autorových bude snadný.</w:t>
                      </w:r>
                    </w:p>
                    <w:p>
                      <w:pPr>
                        <w:pStyle w:val="Style150"/>
                        <w:keepNext w:val="0"/>
                        <w:keepLines w:val="0"/>
                        <w:widowControl w:val="0"/>
                        <w:shd w:val="clear" w:color="auto" w:fill="auto"/>
                        <w:bidi w:val="0"/>
                        <w:spacing w:before="0" w:after="120" w:line="310" w:lineRule="auto"/>
                        <w:ind w:left="0" w:right="0" w:firstLine="0"/>
                        <w:jc w:val="both"/>
                      </w:pPr>
                      <w:r>
                        <w:rPr>
                          <w:color w:val="000000"/>
                          <w:spacing w:val="0"/>
                          <w:w w:val="70"/>
                          <w:position w:val="0"/>
                          <w:sz w:val="22"/>
                          <w:szCs w:val="22"/>
                          <w:shd w:val="clear" w:color="auto" w:fill="auto"/>
                          <w:lang w:val="cs-CZ" w:eastAsia="cs-CZ" w:bidi="cs-CZ"/>
                        </w:rPr>
                        <w:t xml:space="preserve">Knížka, na kterou čekají tisíce! Brož. Kč 20 </w:t>
                      </w:r>
                      <w:r>
                        <w:rPr>
                          <w:color w:val="000000"/>
                          <w:spacing w:val="0"/>
                          <w:w w:val="100"/>
                          <w:position w:val="0"/>
                          <w:sz w:val="13"/>
                          <w:szCs w:val="13"/>
                          <w:shd w:val="clear" w:color="auto" w:fill="auto"/>
                          <w:lang w:val="cs-CZ" w:eastAsia="cs-CZ" w:bidi="cs-CZ"/>
                        </w:rPr>
                        <w:t xml:space="preserve">U KNIHKUPCŮ I </w:t>
                      </w:r>
                      <w:r>
                        <w:rPr>
                          <w:color w:val="000000"/>
                          <w:spacing w:val="0"/>
                          <w:w w:val="70"/>
                          <w:position w:val="0"/>
                          <w:sz w:val="22"/>
                          <w:szCs w:val="22"/>
                          <w:shd w:val="clear" w:color="auto" w:fill="auto"/>
                          <w:lang w:val="cs-CZ" w:eastAsia="cs-CZ" w:bidi="cs-CZ"/>
                        </w:rPr>
                        <w:t>Váz. Kč 32</w:t>
                      </w:r>
                    </w:p>
                    <w:p>
                      <w:pPr>
                        <w:pStyle w:val="Style18"/>
                        <w:keepNext w:val="0"/>
                        <w:keepLines w:val="0"/>
                        <w:widowControl w:val="0"/>
                        <w:shd w:val="clear" w:color="auto" w:fill="auto"/>
                        <w:bidi w:val="0"/>
                        <w:spacing w:before="0" w:after="40" w:line="341" w:lineRule="auto"/>
                        <w:ind w:left="0" w:right="0" w:firstLine="0"/>
                        <w:rPr>
                          <w:sz w:val="20"/>
                          <w:szCs w:val="20"/>
                        </w:rPr>
                      </w:pPr>
                      <w:r>
                        <w:rPr>
                          <w:b/>
                          <w:bCs/>
                          <w:color w:val="000000"/>
                          <w:spacing w:val="0"/>
                          <w:w w:val="100"/>
                          <w:position w:val="0"/>
                          <w:sz w:val="20"/>
                          <w:szCs w:val="20"/>
                          <w:shd w:val="clear" w:color="auto" w:fill="auto"/>
                          <w:lang w:val="cs-CZ" w:eastAsia="cs-CZ" w:bidi="cs-CZ"/>
                        </w:rPr>
                        <w:t>„ORBIS", PRAHA XII, FOCHOVA 62</w:t>
                      </w:r>
                    </w:p>
                  </w:txbxContent>
                </v:textbox>
                <w10:wrap type="topAndBottom" anchorx="page" anchory="margin"/>
              </v:shape>
            </w:pict>
          </mc:Fallback>
        </mc:AlternateContent>
      </w:r>
      <w:r>
        <w:rPr>
          <w:i/>
          <w:iCs/>
          <w:sz w:val="20"/>
          <w:szCs w:val="20"/>
        </w:rPr>
        <w:t xml:space="preserve">Mysl, jako Čapkova, která byla takovou křižovatkou lidí, zvířat, rostlin, nauk a básní, </w:t>
      </w:r>
      <w:r>
        <w:rPr>
          <w:i/>
          <w:iCs/>
          <w:sz w:val="20"/>
          <w:szCs w:val="20"/>
        </w:rPr>
        <w:t>nemohla se oddati kla</w:t>
      </w:r>
      <w:r>
        <w:rPr>
          <w:i/>
          <w:iCs/>
          <w:sz w:val="20"/>
          <w:szCs w:val="20"/>
        </w:rPr>
        <w:softHyphen/>
        <w:t>mu. že se jí podaří nějakou formulkou obsáhnout všecko, co jest *cesta i pravda i ži</w:t>
      </w:r>
      <w:r>
        <w:rPr>
          <w:i/>
          <w:iCs/>
          <w:sz w:val="20"/>
          <w:szCs w:val="20"/>
        </w:rPr>
        <w:softHyphen/>
        <w:t>vou.. Vydal se za božstvím a za božským jako by na tisí</w:t>
      </w:r>
      <w:r>
        <w:rPr>
          <w:i/>
          <w:iCs/>
          <w:sz w:val="20"/>
          <w:szCs w:val="20"/>
        </w:rPr>
        <w:softHyphen/>
        <w:t>ciletou cestu. (A bylo mu přá</w:t>
      </w:r>
      <w:r>
        <w:rPr>
          <w:i/>
          <w:iCs/>
          <w:sz w:val="20"/>
          <w:szCs w:val="20"/>
        </w:rPr>
        <w:softHyphen/>
        <w:t>no jen osmačtyřicet let!) Hledal jistě toho, co je prav</w:t>
      </w:r>
      <w:r>
        <w:rPr>
          <w:i/>
          <w:iCs/>
          <w:sz w:val="20"/>
          <w:szCs w:val="20"/>
        </w:rPr>
        <w:softHyphen/>
        <w:t>da abso</w:t>
      </w:r>
      <w:r>
        <w:rPr>
          <w:i/>
          <w:iCs/>
          <w:sz w:val="20"/>
          <w:szCs w:val="20"/>
        </w:rPr>
        <w:t>lutní, co platí navždy, ale bylo to jako věčné svítá</w:t>
      </w:r>
      <w:r>
        <w:rPr>
          <w:i/>
          <w:iCs/>
          <w:sz w:val="20"/>
          <w:szCs w:val="20"/>
        </w:rPr>
        <w:softHyphen/>
        <w:t>ní. Před tím nesmírným roz</w:t>
      </w:r>
      <w:r>
        <w:rPr>
          <w:i/>
          <w:iCs/>
          <w:sz w:val="20"/>
          <w:szCs w:val="20"/>
        </w:rPr>
        <w:softHyphen/>
        <w:t>pětím mezi nejmenším de</w:t>
      </w:r>
      <w:r>
        <w:rPr>
          <w:i/>
          <w:iCs/>
          <w:sz w:val="20"/>
          <w:szCs w:val="20"/>
        </w:rPr>
        <w:softHyphen/>
        <w:t>tailem a božským Absolut</w:t>
      </w:r>
      <w:r>
        <w:rPr>
          <w:i/>
          <w:iCs/>
          <w:sz w:val="20"/>
          <w:szCs w:val="20"/>
        </w:rPr>
        <w:softHyphen/>
        <w:t xml:space="preserve">nem nebyl to on, který se tomu absolutnu smál. Smál se jen hloupým lidem, kteří si je strkají do kapsy a do úst, nevědouce, co </w:t>
      </w:r>
      <w:r>
        <w:rPr>
          <w:i/>
          <w:iCs/>
          <w:sz w:val="20"/>
          <w:szCs w:val="20"/>
        </w:rPr>
        <w:t>činí. Jeho cesta byla nekonečná. Ale ni</w:t>
      </w:r>
      <w:r>
        <w:rPr>
          <w:i/>
          <w:iCs/>
          <w:sz w:val="20"/>
          <w:szCs w:val="20"/>
        </w:rPr>
        <w:softHyphen/>
        <w:t>kdy neztratil víru, že na ní existuje směr nesprávný a správný. Mlčící víra takové</w:t>
      </w:r>
      <w:r>
        <w:rPr>
          <w:i/>
          <w:iCs/>
          <w:sz w:val="20"/>
          <w:szCs w:val="20"/>
        </w:rPr>
        <w:softHyphen/>
        <w:t>ho člověka je větší než mno</w:t>
      </w:r>
      <w:r>
        <w:rPr>
          <w:i/>
          <w:iCs/>
          <w:sz w:val="20"/>
          <w:szCs w:val="20"/>
        </w:rPr>
        <w:softHyphen/>
        <w:t>ho zbožného brebentění ma</w:t>
      </w:r>
      <w:r>
        <w:rPr>
          <w:i/>
          <w:iCs/>
          <w:sz w:val="20"/>
          <w:szCs w:val="20"/>
        </w:rPr>
        <w:softHyphen/>
        <w:t>ličkých duchů.</w:t>
      </w:r>
    </w:p>
    <w:p w:rsidR="00500724" w:rsidRDefault="00F30FB8">
      <w:pPr>
        <w:pStyle w:val="Zkladntext1"/>
        <w:shd w:val="clear" w:color="auto" w:fill="auto"/>
        <w:spacing w:line="199" w:lineRule="auto"/>
        <w:ind w:firstLine="200"/>
        <w:rPr>
          <w:sz w:val="20"/>
          <w:szCs w:val="20"/>
        </w:rPr>
      </w:pPr>
      <w:r>
        <w:rPr>
          <w:i/>
          <w:iCs/>
          <w:sz w:val="20"/>
          <w:szCs w:val="20"/>
        </w:rPr>
        <w:t>Ale na této cestě mezi stébly trávy a broučky a li</w:t>
      </w:r>
      <w:r>
        <w:rPr>
          <w:i/>
          <w:iCs/>
          <w:sz w:val="20"/>
          <w:szCs w:val="20"/>
        </w:rPr>
        <w:softHyphen/>
        <w:t xml:space="preserve">dičkami bylo </w:t>
      </w:r>
      <w:r>
        <w:rPr>
          <w:i/>
          <w:iCs/>
          <w:sz w:val="20"/>
          <w:szCs w:val="20"/>
        </w:rPr>
        <w:t>jedno veliké za</w:t>
      </w:r>
      <w:r>
        <w:rPr>
          <w:i/>
          <w:iCs/>
          <w:sz w:val="20"/>
          <w:szCs w:val="20"/>
        </w:rPr>
        <w:softHyphen/>
        <w:t>stavení, veliká stanice na věčné cestě za absolutními hodnotami, něco zároveň lid</w:t>
      </w:r>
      <w:r>
        <w:rPr>
          <w:i/>
          <w:iCs/>
          <w:sz w:val="20"/>
          <w:szCs w:val="20"/>
        </w:rPr>
        <w:softHyphen/>
        <w:t>ského i nadlidského, časové</w:t>
      </w:r>
      <w:r>
        <w:rPr>
          <w:i/>
          <w:iCs/>
          <w:sz w:val="20"/>
          <w:szCs w:val="20"/>
        </w:rPr>
        <w:softHyphen/>
        <w:t>ho i nadčasového, něco veli</w:t>
      </w:r>
      <w:r>
        <w:rPr>
          <w:i/>
          <w:iCs/>
          <w:sz w:val="20"/>
          <w:szCs w:val="20"/>
        </w:rPr>
        <w:softHyphen/>
        <w:t>kého. Nebyl to jeden veliký člověk, ani Masaryk sám. Byl to národ, jeho genius, jeho kulturní dědictví</w:t>
      </w:r>
      <w:r>
        <w:rPr>
          <w:i/>
          <w:iCs/>
          <w:sz w:val="20"/>
          <w:szCs w:val="20"/>
        </w:rPr>
        <w:t>, spor jeho tradic a při tom jejich společná velikost a krása.</w:t>
      </w:r>
    </w:p>
    <w:p w:rsidR="00500724" w:rsidRDefault="00F30FB8">
      <w:pPr>
        <w:pStyle w:val="Zkladntext1"/>
        <w:shd w:val="clear" w:color="auto" w:fill="auto"/>
        <w:spacing w:line="204" w:lineRule="auto"/>
        <w:ind w:firstLine="0"/>
        <w:rPr>
          <w:sz w:val="20"/>
          <w:szCs w:val="20"/>
        </w:rPr>
      </w:pPr>
      <w:r>
        <w:rPr>
          <w:b/>
          <w:bCs/>
        </w:rPr>
        <w:t xml:space="preserve">i </w:t>
      </w:r>
      <w:r>
        <w:rPr>
          <w:i/>
          <w:iCs/>
          <w:sz w:val="20"/>
          <w:szCs w:val="20"/>
        </w:rPr>
        <w:t>Hovořit o tomto tématu, tím se Karel Gapek nikdy neuna</w:t>
      </w:r>
      <w:r>
        <w:rPr>
          <w:i/>
          <w:iCs/>
          <w:sz w:val="20"/>
          <w:szCs w:val="20"/>
        </w:rPr>
        <w:softHyphen/>
        <w:t>vil. Jeho poslední dopis, psa</w:t>
      </w:r>
      <w:r>
        <w:rPr>
          <w:i/>
          <w:iCs/>
          <w:sz w:val="20"/>
          <w:szCs w:val="20"/>
        </w:rPr>
        <w:softHyphen/>
        <w:t>ný v odpověď na dopis septi- mánky, říká, že národ nesmí ztratit a zapřít sama sebe, zahodit svou mravnost</w:t>
      </w:r>
      <w:r>
        <w:rPr>
          <w:i/>
          <w:iCs/>
          <w:sz w:val="20"/>
          <w:szCs w:val="20"/>
        </w:rPr>
        <w:t>. *To jest to jedno potřebné.* tSnad vás tato odpověď neuspokojí, ale jiné není.* Zmatkem du</w:t>
      </w:r>
      <w:r>
        <w:rPr>
          <w:i/>
          <w:iCs/>
          <w:sz w:val="20"/>
          <w:szCs w:val="20"/>
        </w:rPr>
        <w:softHyphen/>
        <w:t>chů v poslední době nevý</w:t>
      </w:r>
      <w:r>
        <w:rPr>
          <w:i/>
          <w:iCs/>
          <w:sz w:val="20"/>
          <w:szCs w:val="20"/>
        </w:rPr>
        <w:softHyphen/>
        <w:t>slovně trpěl; chápal se každé ruky, kterou podával člověk, který se nezměnil...</w:t>
      </w:r>
    </w:p>
    <w:p w:rsidR="00500724" w:rsidRDefault="00F30FB8">
      <w:pPr>
        <w:pStyle w:val="Zkladntext1"/>
        <w:shd w:val="clear" w:color="auto" w:fill="auto"/>
        <w:spacing w:line="204" w:lineRule="auto"/>
        <w:ind w:firstLine="240"/>
        <w:rPr>
          <w:sz w:val="20"/>
          <w:szCs w:val="20"/>
        </w:rPr>
        <w:sectPr w:rsidR="00500724">
          <w:footnotePr>
            <w:numFmt w:val="chicago"/>
            <w:numRestart w:val="eachPage"/>
          </w:footnotePr>
          <w:type w:val="continuous"/>
          <w:pgSz w:w="11909" w:h="16834"/>
          <w:pgMar w:top="1985" w:right="932" w:bottom="0" w:left="494" w:header="0" w:footer="3" w:gutter="0"/>
          <w:cols w:num="4" w:space="100"/>
          <w:noEndnote/>
          <w:docGrid w:linePitch="360"/>
        </w:sectPr>
      </w:pPr>
      <w:r>
        <w:rPr>
          <w:i/>
          <w:iCs/>
          <w:sz w:val="20"/>
          <w:szCs w:val="20"/>
        </w:rPr>
        <w:t>V síni pražského kremato</w:t>
      </w:r>
      <w:r>
        <w:rPr>
          <w:i/>
          <w:iCs/>
          <w:sz w:val="20"/>
          <w:szCs w:val="20"/>
        </w:rPr>
        <w:softHyphen/>
        <w:t>ria</w:t>
      </w:r>
      <w:r>
        <w:rPr>
          <w:i/>
          <w:iCs/>
          <w:sz w:val="20"/>
          <w:szCs w:val="20"/>
        </w:rPr>
        <w:t xml:space="preserve"> odpočívala až do hodiny pohřbu Čapkova rakev vedle rakve s ostatky Karla Hynka Máchy, zachráněnými z lito</w:t>
      </w:r>
      <w:r>
        <w:rPr>
          <w:i/>
          <w:iCs/>
          <w:sz w:val="20"/>
          <w:szCs w:val="20"/>
        </w:rPr>
        <w:softHyphen/>
        <w:t>měřického hřbitova. Oba bá</w:t>
      </w:r>
      <w:r>
        <w:rPr>
          <w:i/>
          <w:iCs/>
          <w:sz w:val="20"/>
          <w:szCs w:val="20"/>
        </w:rPr>
        <w:softHyphen/>
        <w:t>sníci se sešli: tvůrce naší nej</w:t>
      </w:r>
      <w:r>
        <w:rPr>
          <w:i/>
          <w:iCs/>
          <w:sz w:val="20"/>
          <w:szCs w:val="20"/>
        </w:rPr>
        <w:softHyphen/>
        <w:t xml:space="preserve">vlastnější básnické řeči a její dovršitel, ba snad největší mistr. Po tomto spisovateli v </w:t>
      </w:r>
      <w:r>
        <w:rPr>
          <w:i/>
          <w:iCs/>
          <w:sz w:val="20"/>
          <w:szCs w:val="20"/>
        </w:rPr>
        <w:t>naší literatuře už nic banál</w:t>
      </w:r>
      <w:r>
        <w:rPr>
          <w:i/>
          <w:iCs/>
          <w:sz w:val="20"/>
          <w:szCs w:val="20"/>
        </w:rPr>
        <w:softHyphen/>
        <w:t>ního neobstojí. Jeho světová sláva nebyla konjunkturou, nýbrž ovocem právě nejry</w:t>
      </w:r>
      <w:r>
        <w:rPr>
          <w:i/>
          <w:iCs/>
          <w:sz w:val="20"/>
          <w:szCs w:val="20"/>
        </w:rPr>
        <w:softHyphen/>
        <w:t>zejšího češství. Ale on sám upadl jako spálený květ, květ první republiky, ale zároveň tvůrce toho. co nám z jejího ovzduší opravdu zůstane na</w:t>
      </w:r>
      <w:r>
        <w:rPr>
          <w:i/>
          <w:iCs/>
          <w:sz w:val="20"/>
          <w:szCs w:val="20"/>
        </w:rPr>
        <w:softHyphen/>
        <w:t>vžd</w:t>
      </w:r>
      <w:r>
        <w:rPr>
          <w:i/>
          <w:iCs/>
          <w:sz w:val="20"/>
          <w:szCs w:val="20"/>
        </w:rPr>
        <w:t>y a co nám nikdo nemůže, ba ani nechce vžiti. Mně zů</w:t>
      </w:r>
      <w:r>
        <w:rPr>
          <w:i/>
          <w:iCs/>
          <w:sz w:val="20"/>
          <w:szCs w:val="20"/>
        </w:rPr>
        <w:softHyphen/>
        <w:t>stane k tomu všemu vzpo</w:t>
      </w:r>
      <w:r>
        <w:rPr>
          <w:i/>
          <w:iCs/>
          <w:sz w:val="20"/>
          <w:szCs w:val="20"/>
        </w:rPr>
        <w:softHyphen/>
        <w:t>mínka na dlouhé, zdrženlivé přátelství, na kterém se ni</w:t>
      </w:r>
      <w:r>
        <w:rPr>
          <w:i/>
          <w:iCs/>
          <w:sz w:val="20"/>
          <w:szCs w:val="20"/>
        </w:rPr>
        <w:softHyphen/>
        <w:t>kdy ani písmenka nezměnila, které rostlo ze společných, oběma posvátných hlubin a které se prohlubovalo s lety. Z deníku »N</w:t>
      </w:r>
      <w:r>
        <w:rPr>
          <w:i/>
          <w:iCs/>
          <w:sz w:val="20"/>
          <w:szCs w:val="20"/>
        </w:rPr>
        <w:t>árodní práce*.</w:t>
      </w:r>
    </w:p>
    <w:p w:rsidR="00500724" w:rsidRDefault="00F30FB8">
      <w:pPr>
        <w:pStyle w:val="Nadpis40"/>
        <w:keepNext/>
        <w:keepLines/>
        <w:framePr w:w="10214" w:h="1973" w:wrap="none" w:vAnchor="text" w:hAnchor="page" w:x="1213" w:y="2046"/>
        <w:shd w:val="clear" w:color="auto" w:fill="auto"/>
        <w:rPr>
          <w:sz w:val="238"/>
          <w:szCs w:val="238"/>
        </w:rPr>
      </w:pPr>
      <w:bookmarkStart w:id="113" w:name="bookmark112"/>
      <w:r>
        <w:rPr>
          <w:sz w:val="238"/>
          <w:szCs w:val="238"/>
        </w:rPr>
        <w:t>řřtomnosO</w:t>
      </w:r>
      <w:bookmarkEnd w:id="113"/>
    </w:p>
    <w:tbl>
      <w:tblPr>
        <w:tblOverlap w:val="never"/>
        <w:tblW w:w="0" w:type="auto"/>
        <w:tblInd w:w="-3" w:type="dxa"/>
        <w:tblLayout w:type="fixed"/>
        <w:tblCellMar>
          <w:left w:w="10" w:type="dxa"/>
          <w:right w:w="10" w:type="dxa"/>
        </w:tblCellMar>
        <w:tblLook w:val="04A0" w:firstRow="1" w:lastRow="0" w:firstColumn="1" w:lastColumn="0" w:noHBand="0" w:noVBand="1"/>
      </w:tblPr>
      <w:tblGrid>
        <w:gridCol w:w="8064"/>
        <w:gridCol w:w="2837"/>
      </w:tblGrid>
      <w:tr w:rsidR="00500724">
        <w:tblPrEx>
          <w:tblCellMar>
            <w:top w:w="0" w:type="dxa"/>
            <w:bottom w:w="0" w:type="dxa"/>
          </w:tblCellMar>
        </w:tblPrEx>
        <w:trPr>
          <w:trHeight w:hRule="exact" w:val="653"/>
        </w:trPr>
        <w:tc>
          <w:tcPr>
            <w:tcW w:w="0" w:type="auto"/>
            <w:tcBorders>
              <w:top w:val="single" w:sz="4" w:space="0" w:color="auto"/>
              <w:lef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tabs>
                <w:tab w:val="left" w:pos="3970"/>
              </w:tabs>
              <w:ind w:left="220" w:firstLine="20"/>
              <w:rPr>
                <w:sz w:val="20"/>
                <w:szCs w:val="20"/>
              </w:rPr>
            </w:pPr>
            <w:r>
              <w:rPr>
                <w:b/>
                <w:bCs/>
                <w:sz w:val="20"/>
                <w:szCs w:val="20"/>
              </w:rPr>
              <w:t>ROÚNlK XVI</w:t>
            </w:r>
            <w:r>
              <w:rPr>
                <w:b/>
                <w:bCs/>
                <w:sz w:val="20"/>
                <w:szCs w:val="20"/>
              </w:rPr>
              <w:tab/>
              <w:t>V PRAZE 1. ÚNORA 1939</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right="220" w:firstLine="0"/>
              <w:jc w:val="right"/>
              <w:rPr>
                <w:sz w:val="20"/>
                <w:szCs w:val="20"/>
              </w:rPr>
            </w:pPr>
            <w:r>
              <w:rPr>
                <w:b/>
                <w:bCs/>
                <w:sz w:val="20"/>
                <w:szCs w:val="20"/>
              </w:rPr>
              <w:t>ZA Kč 2.—</w:t>
            </w:r>
          </w:p>
        </w:tc>
      </w:tr>
      <w:tr w:rsidR="00500724">
        <w:tblPrEx>
          <w:tblCellMar>
            <w:top w:w="0" w:type="dxa"/>
            <w:bottom w:w="0" w:type="dxa"/>
          </w:tblCellMar>
        </w:tblPrEx>
        <w:trPr>
          <w:trHeight w:hRule="exact" w:val="2107"/>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framePr w:w="10901" w:h="10824" w:wrap="none" w:vAnchor="text" w:hAnchor="page" w:x="584" w:y="4067"/>
              <w:shd w:val="clear" w:color="auto" w:fill="auto"/>
              <w:tabs>
                <w:tab w:val="left" w:pos="8799"/>
              </w:tabs>
              <w:ind w:left="260" w:firstLine="0"/>
              <w:rPr>
                <w:sz w:val="32"/>
                <w:szCs w:val="32"/>
              </w:rPr>
            </w:pPr>
            <w:r>
              <w:rPr>
                <w:sz w:val="58"/>
                <w:szCs w:val="58"/>
              </w:rPr>
              <w:t>Odpověď německému studentu</w:t>
            </w:r>
            <w:r>
              <w:rPr>
                <w:sz w:val="58"/>
                <w:szCs w:val="58"/>
              </w:rPr>
              <w:tab/>
            </w:r>
            <w:r>
              <w:rPr>
                <w:smallCaps/>
                <w:sz w:val="32"/>
                <w:szCs w:val="32"/>
              </w:rPr>
              <w:t>f. peroutka</w:t>
            </w:r>
          </w:p>
        </w:tc>
      </w:tr>
      <w:tr w:rsidR="00500724">
        <w:tblPrEx>
          <w:tblCellMar>
            <w:top w:w="0" w:type="dxa"/>
            <w:bottom w:w="0" w:type="dxa"/>
          </w:tblCellMar>
        </w:tblPrEx>
        <w:trPr>
          <w:trHeight w:hRule="exact" w:val="1195"/>
        </w:trPr>
        <w:tc>
          <w:tcPr>
            <w:tcW w:w="0" w:type="auto"/>
            <w:tcBorders>
              <w:top w:val="single" w:sz="4" w:space="0" w:color="auto"/>
              <w:left w:val="single" w:sz="4" w:space="0" w:color="auto"/>
            </w:tcBorders>
            <w:shd w:val="clear" w:color="auto" w:fill="FFFFFF"/>
            <w:vAlign w:val="bottom"/>
          </w:tcPr>
          <w:p w:rsidR="00500724" w:rsidRDefault="00F30FB8">
            <w:pPr>
              <w:pStyle w:val="Jin0"/>
              <w:framePr w:w="10901" w:h="10824" w:wrap="none" w:vAnchor="text" w:hAnchor="page" w:x="584" w:y="4067"/>
              <w:shd w:val="clear" w:color="auto" w:fill="auto"/>
              <w:ind w:left="220" w:firstLine="20"/>
              <w:jc w:val="left"/>
              <w:rPr>
                <w:sz w:val="58"/>
                <w:szCs w:val="58"/>
              </w:rPr>
            </w:pPr>
            <w:r>
              <w:rPr>
                <w:sz w:val="58"/>
                <w:szCs w:val="58"/>
              </w:rPr>
              <w:t>Dosti!</w:t>
            </w:r>
          </w:p>
          <w:p w:rsidR="00500724" w:rsidRDefault="00F30FB8">
            <w:pPr>
              <w:pStyle w:val="Jin0"/>
              <w:framePr w:w="10901" w:h="10824" w:wrap="none" w:vAnchor="text" w:hAnchor="page" w:x="584" w:y="4067"/>
              <w:shd w:val="clear" w:color="auto" w:fill="auto"/>
              <w:ind w:left="4260" w:firstLine="0"/>
              <w:jc w:val="left"/>
              <w:rPr>
                <w:sz w:val="26"/>
                <w:szCs w:val="26"/>
              </w:rPr>
            </w:pPr>
            <w:r>
              <w:rPr>
                <w:b/>
                <w:bCs/>
                <w:sz w:val="26"/>
                <w:szCs w:val="26"/>
              </w:rPr>
              <w:t>*</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right="220" w:firstLine="0"/>
              <w:jc w:val="right"/>
              <w:rPr>
                <w:sz w:val="26"/>
                <w:szCs w:val="26"/>
              </w:rPr>
            </w:pPr>
            <w:r>
              <w:rPr>
                <w:sz w:val="26"/>
                <w:szCs w:val="26"/>
              </w:rPr>
              <w:t>RUDOLF BECHYNĚ</w:t>
            </w:r>
          </w:p>
        </w:tc>
      </w:tr>
      <w:tr w:rsidR="00500724">
        <w:tblPrEx>
          <w:tblCellMar>
            <w:top w:w="0" w:type="dxa"/>
            <w:bottom w:w="0" w:type="dxa"/>
          </w:tblCellMar>
        </w:tblPrEx>
        <w:trPr>
          <w:trHeight w:hRule="exact" w:val="1195"/>
        </w:trPr>
        <w:tc>
          <w:tcPr>
            <w:tcW w:w="0" w:type="auto"/>
            <w:tcBorders>
              <w:top w:val="single" w:sz="4" w:space="0" w:color="auto"/>
              <w:lef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left="220" w:firstLine="20"/>
              <w:jc w:val="left"/>
              <w:rPr>
                <w:sz w:val="58"/>
                <w:szCs w:val="58"/>
              </w:rPr>
            </w:pPr>
            <w:r>
              <w:rPr>
                <w:sz w:val="58"/>
                <w:szCs w:val="58"/>
              </w:rPr>
              <w:t>Němec Němcům o českém tisku</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right="220" w:firstLine="0"/>
              <w:jc w:val="right"/>
              <w:rPr>
                <w:sz w:val="26"/>
                <w:szCs w:val="26"/>
              </w:rPr>
            </w:pPr>
            <w:r>
              <w:rPr>
                <w:sz w:val="26"/>
                <w:szCs w:val="26"/>
              </w:rPr>
              <w:t>EDUARD BASS</w:t>
            </w:r>
          </w:p>
        </w:tc>
      </w:tr>
      <w:tr w:rsidR="00500724">
        <w:tblPrEx>
          <w:tblCellMar>
            <w:top w:w="0" w:type="dxa"/>
            <w:bottom w:w="0" w:type="dxa"/>
          </w:tblCellMar>
        </w:tblPrEx>
        <w:trPr>
          <w:trHeight w:hRule="exact" w:val="1171"/>
        </w:trPr>
        <w:tc>
          <w:tcPr>
            <w:tcW w:w="0" w:type="auto"/>
            <w:tcBorders>
              <w:top w:val="single" w:sz="4" w:space="0" w:color="auto"/>
              <w:left w:val="single" w:sz="4" w:space="0" w:color="auto"/>
            </w:tcBorders>
            <w:shd w:val="clear" w:color="auto" w:fill="FFFFFF"/>
          </w:tcPr>
          <w:p w:rsidR="00500724" w:rsidRDefault="00F30FB8">
            <w:pPr>
              <w:pStyle w:val="Jin0"/>
              <w:framePr w:w="10901" w:h="10824" w:wrap="none" w:vAnchor="text" w:hAnchor="page" w:x="584" w:y="4067"/>
              <w:shd w:val="clear" w:color="auto" w:fill="auto"/>
              <w:spacing w:before="180"/>
              <w:ind w:left="220" w:firstLine="20"/>
              <w:jc w:val="left"/>
              <w:rPr>
                <w:sz w:val="58"/>
                <w:szCs w:val="58"/>
              </w:rPr>
            </w:pPr>
            <w:r>
              <w:rPr>
                <w:sz w:val="58"/>
                <w:szCs w:val="58"/>
              </w:rPr>
              <w:t>Čapkův nakladatel vzpomíná</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right="220" w:firstLine="0"/>
              <w:jc w:val="right"/>
              <w:rPr>
                <w:sz w:val="26"/>
                <w:szCs w:val="26"/>
              </w:rPr>
            </w:pPr>
            <w:r>
              <w:rPr>
                <w:sz w:val="26"/>
                <w:szCs w:val="26"/>
              </w:rPr>
              <w:t>J. FURTH</w:t>
            </w:r>
          </w:p>
        </w:tc>
      </w:tr>
      <w:tr w:rsidR="00500724">
        <w:tblPrEx>
          <w:tblCellMar>
            <w:top w:w="0" w:type="dxa"/>
            <w:bottom w:w="0" w:type="dxa"/>
          </w:tblCellMar>
        </w:tblPrEx>
        <w:trPr>
          <w:trHeight w:hRule="exact" w:val="1219"/>
        </w:trPr>
        <w:tc>
          <w:tcPr>
            <w:tcW w:w="0" w:type="auto"/>
            <w:tcBorders>
              <w:top w:val="single" w:sz="4" w:space="0" w:color="auto"/>
              <w:lef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left="220" w:firstLine="20"/>
              <w:jc w:val="left"/>
              <w:rPr>
                <w:sz w:val="58"/>
                <w:szCs w:val="58"/>
              </w:rPr>
            </w:pPr>
            <w:r>
              <w:rPr>
                <w:sz w:val="58"/>
                <w:szCs w:val="58"/>
              </w:rPr>
              <w:t xml:space="preserve">Sbohem, </w:t>
            </w:r>
            <w:r>
              <w:rPr>
                <w:sz w:val="58"/>
                <w:szCs w:val="58"/>
                <w:lang w:val="en-US" w:eastAsia="en-US" w:bidi="en-US"/>
              </w:rPr>
              <w:t xml:space="preserve">Jules </w:t>
            </w:r>
            <w:r>
              <w:rPr>
                <w:sz w:val="58"/>
                <w:szCs w:val="58"/>
              </w:rPr>
              <w:t>Romainsi!</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right="220" w:firstLine="0"/>
              <w:jc w:val="right"/>
              <w:rPr>
                <w:sz w:val="26"/>
                <w:szCs w:val="26"/>
              </w:rPr>
            </w:pPr>
            <w:r>
              <w:rPr>
                <w:sz w:val="26"/>
                <w:szCs w:val="26"/>
              </w:rPr>
              <w:t>MARIE KUBEŠOVÁ</w:t>
            </w:r>
          </w:p>
        </w:tc>
      </w:tr>
      <w:tr w:rsidR="00500724">
        <w:tblPrEx>
          <w:tblCellMar>
            <w:top w:w="0" w:type="dxa"/>
            <w:bottom w:w="0" w:type="dxa"/>
          </w:tblCellMar>
        </w:tblPrEx>
        <w:trPr>
          <w:trHeight w:hRule="exact" w:val="1195"/>
        </w:trPr>
        <w:tc>
          <w:tcPr>
            <w:tcW w:w="0" w:type="auto"/>
            <w:tcBorders>
              <w:top w:val="single" w:sz="4" w:space="0" w:color="auto"/>
              <w:lef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left="220" w:firstLine="20"/>
              <w:jc w:val="left"/>
              <w:rPr>
                <w:sz w:val="54"/>
                <w:szCs w:val="54"/>
              </w:rPr>
            </w:pPr>
            <w:r>
              <w:rPr>
                <w:rFonts w:ascii="Arial" w:eastAsia="Arial" w:hAnsi="Arial" w:cs="Arial"/>
                <w:b/>
                <w:bCs/>
                <w:w w:val="70"/>
                <w:sz w:val="54"/>
                <w:szCs w:val="54"/>
              </w:rPr>
              <w:t>Oodatkv k Žurnalistickému slovníku</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right="220" w:firstLine="0"/>
              <w:jc w:val="right"/>
              <w:rPr>
                <w:sz w:val="26"/>
                <w:szCs w:val="26"/>
              </w:rPr>
            </w:pPr>
            <w:r>
              <w:rPr>
                <w:sz w:val="26"/>
                <w:szCs w:val="26"/>
              </w:rPr>
              <w:t>KAREL POLÁČEK</w:t>
            </w:r>
          </w:p>
        </w:tc>
      </w:tr>
      <w:tr w:rsidR="00500724">
        <w:tblPrEx>
          <w:tblCellMar>
            <w:top w:w="0" w:type="dxa"/>
            <w:bottom w:w="0" w:type="dxa"/>
          </w:tblCellMar>
        </w:tblPrEx>
        <w:trPr>
          <w:trHeight w:hRule="exact" w:val="2088"/>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framePr w:w="10901" w:h="10824" w:wrap="none" w:vAnchor="text" w:hAnchor="page" w:x="584" w:y="4067"/>
              <w:shd w:val="clear" w:color="auto" w:fill="auto"/>
              <w:ind w:left="360" w:right="400" w:firstLine="20"/>
              <w:rPr>
                <w:sz w:val="26"/>
                <w:szCs w:val="26"/>
              </w:rPr>
            </w:pPr>
            <w:r>
              <w:rPr>
                <w:b/>
                <w:bCs/>
                <w:sz w:val="26"/>
                <w:szCs w:val="26"/>
              </w:rPr>
              <w:t>Český aktivismus — Rada Společnosti národů zasedala — Co znamená Schachtův odchod? — Po pádu Barcelony — Měl pravdu Masaryk nebo Dyk? — Z dopisů nej</w:t>
            </w:r>
            <w:r>
              <w:rPr>
                <w:b/>
                <w:bCs/>
                <w:sz w:val="26"/>
                <w:szCs w:val="26"/>
              </w:rPr>
              <w:softHyphen/>
              <w:t xml:space="preserve">novějších emigrantů — Co je to neutralita? — Mladí vpřed </w:t>
            </w:r>
            <w:r>
              <w:rPr>
                <w:b/>
                <w:bCs/>
                <w:sz w:val="26"/>
                <w:szCs w:val="26"/>
              </w:rPr>
              <w:t>— Proč jenom pět? —</w:t>
            </w:r>
          </w:p>
          <w:p w:rsidR="00500724" w:rsidRDefault="00F30FB8">
            <w:pPr>
              <w:pStyle w:val="Jin0"/>
              <w:framePr w:w="10901" w:h="10824" w:wrap="none" w:vAnchor="text" w:hAnchor="page" w:x="584" w:y="4067"/>
              <w:shd w:val="clear" w:color="auto" w:fill="auto"/>
              <w:ind w:firstLine="0"/>
              <w:jc w:val="center"/>
              <w:rPr>
                <w:sz w:val="26"/>
                <w:szCs w:val="26"/>
              </w:rPr>
            </w:pPr>
            <w:r>
              <w:rPr>
                <w:b/>
                <w:bCs/>
                <w:sz w:val="26"/>
                <w:szCs w:val="26"/>
              </w:rPr>
              <w:t>Cizí slova — Podporujeme vládu? — Dvě novinářské zprávy — Dobrý rozsudek</w:t>
            </w:r>
          </w:p>
        </w:tc>
      </w:tr>
    </w:tbl>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76" w:line="14" w:lineRule="exact"/>
      </w:pPr>
    </w:p>
    <w:p w:rsidR="00500724" w:rsidRDefault="00500724">
      <w:pPr>
        <w:spacing w:line="14" w:lineRule="exact"/>
        <w:sectPr w:rsidR="00500724">
          <w:footnotePr>
            <w:numFmt w:val="chicago"/>
            <w:numRestart w:val="eachPage"/>
          </w:footnotePr>
          <w:pgSz w:w="11909" w:h="16834"/>
          <w:pgMar w:top="951" w:right="425" w:bottom="794" w:left="583"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452" behindDoc="0" locked="0" layoutInCell="1" allowOverlap="1">
                <wp:simplePos x="0" y="0"/>
                <wp:positionH relativeFrom="page">
                  <wp:posOffset>3756660</wp:posOffset>
                </wp:positionH>
                <wp:positionV relativeFrom="paragraph">
                  <wp:posOffset>12700</wp:posOffset>
                </wp:positionV>
                <wp:extent cx="3096895" cy="32893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3096895" cy="328930"/>
                        </a:xfrm>
                        <a:prstGeom prst="rect">
                          <a:avLst/>
                        </a:prstGeom>
                        <a:solidFill>
                          <a:srgbClr val="555C52"/>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before="80" w:line="240" w:lineRule="auto"/>
                              <w:ind w:left="60"/>
                              <w:jc w:val="center"/>
                            </w:pPr>
                            <w:r>
                              <w:rPr>
                                <w:color w:val="FFFFFF"/>
                              </w:rPr>
                              <w:t>ODBORNÍ LEKAftl</w:t>
                            </w:r>
                          </w:p>
                        </w:txbxContent>
                      </wps:txbx>
                      <wps:bodyPr lIns="0" tIns="0" rIns="0" bIns="0">
                        <a:spAutoFit/>
                      </wps:bodyPr>
                    </wps:wsp>
                  </a:graphicData>
                </a:graphic>
              </wp:anchor>
            </w:drawing>
          </mc:Choice>
          <mc:Fallback>
            <w:pict>
              <v:shape id="_x0000_s1101" type="#_x0000_t202" style="position:absolute;margin-left:295.80000000000001pt;margin-top:1.pt;width:243.84999999999999pt;height:25.899999999999999pt;z-index:-125829301;mso-wrap-distance-left:9.pt;mso-wrap-distance-right:9.pt;mso-position-horizontal-relative:page" fillcolor="#555C52"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80" w:after="0" w:line="240" w:lineRule="auto"/>
                        <w:ind w:left="60" w:right="0" w:firstLine="0"/>
                        <w:jc w:val="center"/>
                      </w:pPr>
                      <w:r>
                        <w:rPr>
                          <w:color w:val="FFFFFF"/>
                          <w:spacing w:val="0"/>
                          <w:w w:val="100"/>
                          <w:position w:val="0"/>
                          <w:sz w:val="22"/>
                          <w:szCs w:val="22"/>
                          <w:shd w:val="clear" w:color="auto" w:fill="auto"/>
                          <w:lang w:val="cs-CZ" w:eastAsia="cs-CZ" w:bidi="cs-CZ"/>
                        </w:rPr>
                        <w:t>ODBORNÍ LEKAftl</w:t>
                      </w:r>
                    </w:p>
                  </w:txbxContent>
                </v:textbox>
                <w10:wrap type="topAndBottom" anchorx="page"/>
              </v:shape>
            </w:pict>
          </mc:Fallback>
        </mc:AlternateContent>
      </w:r>
      <w:r>
        <w:rPr>
          <w:noProof/>
        </w:rPr>
        <mc:AlternateContent>
          <mc:Choice Requires="wps">
            <w:drawing>
              <wp:anchor distT="0" distB="3310255" distL="114300" distR="144780" simplePos="0" relativeHeight="125829454" behindDoc="0" locked="0" layoutInCell="1" allowOverlap="1">
                <wp:simplePos x="0" y="0"/>
                <wp:positionH relativeFrom="page">
                  <wp:posOffset>720725</wp:posOffset>
                </wp:positionH>
                <wp:positionV relativeFrom="paragraph">
                  <wp:posOffset>88265</wp:posOffset>
                </wp:positionV>
                <wp:extent cx="2301240" cy="506095"/>
                <wp:effectExtent l="0" t="0" r="0" b="0"/>
                <wp:wrapSquare wrapText="right"/>
                <wp:docPr id="77" name="Shape 77"/>
                <wp:cNvGraphicFramePr/>
                <a:graphic xmlns:a="http://schemas.openxmlformats.org/drawingml/2006/main">
                  <a:graphicData uri="http://schemas.microsoft.com/office/word/2010/wordprocessingShape">
                    <wps:wsp>
                      <wps:cNvSpPr txBox="1"/>
                      <wps:spPr>
                        <a:xfrm>
                          <a:off x="0" y="0"/>
                          <a:ext cx="2301240" cy="506095"/>
                        </a:xfrm>
                        <a:prstGeom prst="rect">
                          <a:avLst/>
                        </a:prstGeom>
                        <a:noFill/>
                      </wps:spPr>
                      <wps:txbx>
                        <w:txbxContent>
                          <w:p w:rsidR="00500724" w:rsidRDefault="00F30FB8">
                            <w:pPr>
                              <w:pStyle w:val="Jin0"/>
                              <w:shd w:val="clear" w:color="auto" w:fill="auto"/>
                              <w:ind w:firstLine="0"/>
                              <w:jc w:val="left"/>
                              <w:rPr>
                                <w:sz w:val="66"/>
                                <w:szCs w:val="66"/>
                              </w:rPr>
                            </w:pPr>
                            <w:r>
                              <w:rPr>
                                <w:rFonts w:ascii="Arial" w:eastAsia="Arial" w:hAnsi="Arial" w:cs="Arial"/>
                                <w:b/>
                                <w:bCs/>
                                <w:sz w:val="66"/>
                                <w:szCs w:val="66"/>
                                <w:lang w:val="en-US" w:eastAsia="en-US" w:bidi="en-US"/>
                              </w:rPr>
                              <w:t>CORONA</w:t>
                            </w:r>
                          </w:p>
                        </w:txbxContent>
                      </wps:txbx>
                      <wps:bodyPr lIns="0" tIns="0" rIns="0" bIns="0">
                        <a:spAutoFit/>
                      </wps:bodyPr>
                    </wps:wsp>
                  </a:graphicData>
                </a:graphic>
              </wp:anchor>
            </w:drawing>
          </mc:Choice>
          <mc:Fallback>
            <w:pict>
              <v:shape id="_x0000_s1103" type="#_x0000_t202" style="position:absolute;margin-left:56.75pt;margin-top:6.9500000000000002pt;width:181.19999999999999pt;height:39.850000000000001pt;z-index:-125829299;mso-wrap-distance-left:9.pt;mso-wrap-distance-right:11.4pt;mso-wrap-distance-bottom:260.64999999999998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66"/>
                          <w:szCs w:val="66"/>
                        </w:rPr>
                      </w:pPr>
                      <w:r>
                        <w:rPr>
                          <w:rFonts w:ascii="Arial" w:eastAsia="Arial" w:hAnsi="Arial" w:cs="Arial"/>
                          <w:b/>
                          <w:bCs/>
                          <w:color w:val="000000"/>
                          <w:spacing w:val="0"/>
                          <w:w w:val="100"/>
                          <w:position w:val="0"/>
                          <w:sz w:val="66"/>
                          <w:szCs w:val="66"/>
                          <w:shd w:val="clear" w:color="auto" w:fill="auto"/>
                          <w:lang w:val="en-US" w:eastAsia="en-US" w:bidi="en-US"/>
                        </w:rPr>
                        <w:t>CORONA</w:t>
                      </w:r>
                    </w:p>
                  </w:txbxContent>
                </v:textbox>
                <w10:wrap type="square" side="right" anchorx="page"/>
              </v:shape>
            </w:pict>
          </mc:Fallback>
        </mc:AlternateContent>
      </w:r>
    </w:p>
    <w:p w:rsidR="00500724" w:rsidRDefault="00F30FB8">
      <w:pPr>
        <w:pStyle w:val="Zkladntext1"/>
        <w:shd w:val="clear" w:color="auto" w:fill="auto"/>
        <w:spacing w:line="125" w:lineRule="exact"/>
        <w:ind w:left="740" w:right="640" w:firstLine="0"/>
        <w:jc w:val="right"/>
        <w:rPr>
          <w:sz w:val="18"/>
          <w:szCs w:val="18"/>
        </w:rPr>
      </w:pPr>
      <w:r>
        <w:rPr>
          <w:rFonts w:ascii="Arial" w:eastAsia="Arial" w:hAnsi="Arial" w:cs="Arial"/>
          <w:b/>
          <w:bCs/>
          <w:sz w:val="22"/>
          <w:szCs w:val="22"/>
        </w:rPr>
        <w:t xml:space="preserve">Mllřlr ^rnnif! </w:t>
      </w:r>
      <w:r>
        <w:rPr>
          <w:sz w:val="18"/>
          <w:szCs w:val="18"/>
        </w:rPr>
        <w:t xml:space="preserve">odborný lékař pro </w:t>
      </w:r>
      <w:r>
        <w:rPr>
          <w:b/>
          <w:bCs/>
          <w:sz w:val="18"/>
          <w:szCs w:val="18"/>
        </w:rPr>
        <w:t xml:space="preserve">žaludeční </w:t>
      </w:r>
      <w:r>
        <w:rPr>
          <w:rFonts w:ascii="Arial" w:eastAsia="Arial" w:hAnsi="Arial" w:cs="Arial"/>
          <w:b/>
          <w:bCs/>
          <w:sz w:val="22"/>
          <w:szCs w:val="22"/>
        </w:rPr>
        <w:t xml:space="preserve">a íyiUI/i. rronKl </w:t>
      </w:r>
      <w:r>
        <w:rPr>
          <w:b/>
          <w:bCs/>
          <w:sz w:val="18"/>
          <w:szCs w:val="18"/>
        </w:rPr>
        <w:t xml:space="preserve">střevní nemoci </w:t>
      </w:r>
      <w:r>
        <w:rPr>
          <w:sz w:val="18"/>
          <w:szCs w:val="18"/>
        </w:rPr>
        <w:t>a roentgenologii.</w:t>
      </w:r>
    </w:p>
    <w:p w:rsidR="00500724" w:rsidRDefault="00F30FB8">
      <w:pPr>
        <w:pStyle w:val="Zkladntext1"/>
        <w:shd w:val="clear" w:color="auto" w:fill="auto"/>
        <w:spacing w:after="120" w:line="190" w:lineRule="auto"/>
        <w:ind w:left="3340" w:right="600" w:hanging="2000"/>
        <w:jc w:val="left"/>
        <w:rPr>
          <w:sz w:val="18"/>
          <w:szCs w:val="18"/>
        </w:rPr>
      </w:pPr>
      <w:r>
        <w:rPr>
          <w:sz w:val="18"/>
          <w:szCs w:val="18"/>
        </w:rPr>
        <w:t>PRAHA H., NEKAZANKA 4, II. patro. Ord. 9-10. 3-4 Telefon 234-13.</w:t>
      </w:r>
    </w:p>
    <w:p w:rsidR="00500724" w:rsidRDefault="00F30FB8">
      <w:pPr>
        <w:pStyle w:val="Zkladntext1"/>
        <w:shd w:val="clear" w:color="auto" w:fill="auto"/>
        <w:spacing w:line="154" w:lineRule="auto"/>
        <w:ind w:left="740" w:right="640" w:firstLine="0"/>
        <w:jc w:val="right"/>
        <w:rPr>
          <w:sz w:val="18"/>
          <w:szCs w:val="18"/>
        </w:rPr>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rPr>
          <w:sz w:val="18"/>
          <w:szCs w:val="18"/>
        </w:rPr>
        <w:t xml:space="preserve">odborný lékař pro choroby vnitrní, Žaludeční, střevní a výměny látek, em. asistent I. med. kliniky </w:t>
      </w:r>
      <w:r>
        <w:rPr>
          <w:sz w:val="18"/>
          <w:szCs w:val="18"/>
          <w:lang w:val="en-US" w:eastAsia="en-US" w:bidi="en-US"/>
        </w:rPr>
        <w:t xml:space="preserve">prof. </w:t>
      </w:r>
      <w:r>
        <w:rPr>
          <w:sz w:val="18"/>
          <w:szCs w:val="18"/>
        </w:rPr>
        <w:t>Schmidta.</w:t>
      </w:r>
    </w:p>
    <w:p w:rsidR="00500724" w:rsidRDefault="00F30FB8">
      <w:pPr>
        <w:pStyle w:val="Zkladntext1"/>
        <w:shd w:val="clear" w:color="auto" w:fill="auto"/>
        <w:spacing w:after="120" w:line="163" w:lineRule="auto"/>
        <w:ind w:right="640" w:firstLine="0"/>
        <w:jc w:val="right"/>
        <w:rPr>
          <w:sz w:val="18"/>
          <w:szCs w:val="18"/>
        </w:rPr>
      </w:pPr>
      <w:r>
        <w:rPr>
          <w:b/>
          <w:bCs/>
          <w:sz w:val="18"/>
          <w:szCs w:val="18"/>
        </w:rPr>
        <w:t xml:space="preserve">PRAHA I., Na Příkopech 35. Ord. 9-10, </w:t>
      </w:r>
      <w:r>
        <w:rPr>
          <w:i/>
          <w:iCs/>
          <w:sz w:val="18"/>
          <w:szCs w:val="18"/>
        </w:rPr>
        <w:t>V, 3-y,</w:t>
      </w:r>
      <w:r>
        <w:rPr>
          <w:sz w:val="18"/>
          <w:szCs w:val="18"/>
        </w:rPr>
        <w:t xml:space="preserve"> 5. Telef. 228-91</w:t>
      </w:r>
    </w:p>
    <w:p w:rsidR="00500724" w:rsidRDefault="00F30FB8">
      <w:pPr>
        <w:pStyle w:val="Nadpis110"/>
        <w:shd w:val="clear" w:color="auto" w:fill="auto"/>
        <w:spacing w:line="158" w:lineRule="auto"/>
        <w:ind w:left="780" w:firstLine="20"/>
      </w:pPr>
      <w:bookmarkStart w:id="114" w:name="bookmark113"/>
      <w:r>
        <w:t>MUDr. ZDENKA NEDVĚDOVÁ-NEJEDLÁ</w:t>
      </w:r>
      <w:bookmarkEnd w:id="114"/>
    </w:p>
    <w:p w:rsidR="00500724" w:rsidRDefault="00F30FB8">
      <w:pPr>
        <w:pStyle w:val="Zkladntext1"/>
        <w:shd w:val="clear" w:color="auto" w:fill="auto"/>
        <w:spacing w:after="80" w:line="175" w:lineRule="auto"/>
        <w:ind w:left="740" w:right="640" w:firstLine="0"/>
        <w:jc w:val="right"/>
        <w:rPr>
          <w:sz w:val="20"/>
          <w:szCs w:val="20"/>
        </w:rPr>
      </w:pPr>
      <w:r>
        <w:rPr>
          <w:sz w:val="20"/>
          <w:szCs w:val="20"/>
        </w:rPr>
        <w:t>odb. dětská lékařka, PODOLÍ, Pankrácká 14 (stanice elektr. dráhy za Podol, sanatoriem). Ord. 9—10 a 2—4. Tel. 441-77.</w:t>
      </w:r>
    </w:p>
    <w:p w:rsidR="00500724" w:rsidRDefault="00F30FB8">
      <w:pPr>
        <w:pStyle w:val="Zkladntext1"/>
        <w:shd w:val="clear" w:color="auto" w:fill="auto"/>
        <w:spacing w:after="120" w:line="187" w:lineRule="auto"/>
        <w:ind w:left="780" w:right="640" w:firstLine="20"/>
        <w:rPr>
          <w:sz w:val="18"/>
          <w:szCs w:val="18"/>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 xml:space="preserve">ord. 3-4 (a podle úmluvy). Telefon 393-79. </w:t>
      </w:r>
      <w:r>
        <w:rPr>
          <w:b/>
          <w:bCs/>
          <w:sz w:val="18"/>
          <w:szCs w:val="18"/>
        </w:rPr>
        <w:t>PRAHA H.. VO</w:t>
      </w:r>
      <w:r>
        <w:rPr>
          <w:b/>
          <w:bCs/>
          <w:sz w:val="18"/>
          <w:szCs w:val="18"/>
        </w:rPr>
        <w:softHyphen/>
        <w:t>DIČKOVA 15. (Hlávkův nalác.)</w:t>
      </w:r>
    </w:p>
    <w:p w:rsidR="00500724" w:rsidRDefault="00F30FB8">
      <w:pPr>
        <w:pStyle w:val="Zkladntext1"/>
        <w:shd w:val="clear" w:color="auto" w:fill="auto"/>
        <w:spacing w:line="134" w:lineRule="auto"/>
        <w:ind w:left="780" w:right="640" w:firstLine="20"/>
        <w:rPr>
          <w:sz w:val="18"/>
          <w:szCs w:val="18"/>
        </w:rPr>
      </w:pPr>
      <w:r>
        <w:rPr>
          <w:sz w:val="18"/>
          <w:szCs w:val="18"/>
        </w:rPr>
        <w:t xml:space="preserve">Odborný lékař pro porod- </w:t>
      </w:r>
      <w:r>
        <w:rPr>
          <w:rFonts w:ascii="Arial" w:eastAsia="Arial" w:hAnsi="Arial" w:cs="Arial"/>
          <w:b/>
          <w:bCs/>
          <w:sz w:val="22"/>
          <w:szCs w:val="22"/>
        </w:rPr>
        <w:t xml:space="preserve">MUDr. K. STEINBACH </w:t>
      </w:r>
      <w:r>
        <w:rPr>
          <w:sz w:val="18"/>
          <w:szCs w:val="18"/>
        </w:rPr>
        <w:t>mctvi a pro nemoci zen</w:t>
      </w:r>
    </w:p>
    <w:p w:rsidR="00500724" w:rsidRDefault="00F30FB8">
      <w:pPr>
        <w:pStyle w:val="Zkladntext1"/>
        <w:shd w:val="clear" w:color="auto" w:fill="auto"/>
        <w:spacing w:after="100" w:line="151" w:lineRule="auto"/>
        <w:ind w:right="640" w:firstLine="0"/>
        <w:jc w:val="right"/>
        <w:rPr>
          <w:sz w:val="18"/>
          <w:szCs w:val="18"/>
        </w:rPr>
      </w:pPr>
      <w:r>
        <w:rPr>
          <w:b/>
          <w:bCs/>
          <w:sz w:val="18"/>
          <w:szCs w:val="18"/>
        </w:rPr>
        <w:t xml:space="preserve">PRAHA H., </w:t>
      </w:r>
      <w:r>
        <w:rPr>
          <w:sz w:val="18"/>
          <w:szCs w:val="18"/>
        </w:rPr>
        <w:t>Havlíčkovo nám. 22. Ord. 9-11, 2-4. Tel. 270-13.</w:t>
      </w:r>
    </w:p>
    <w:p w:rsidR="00500724" w:rsidRDefault="00F30FB8">
      <w:pPr>
        <w:pStyle w:val="Nadpis110"/>
        <w:shd w:val="clear" w:color="auto" w:fill="auto"/>
        <w:ind w:left="780" w:firstLine="20"/>
      </w:pPr>
      <w:bookmarkStart w:id="115" w:name="bookmark114"/>
      <w:r>
        <w:t>MUDr. EMBL VOGL</w:t>
      </w:r>
      <w:bookmarkEnd w:id="115"/>
    </w:p>
    <w:p w:rsidR="00500724" w:rsidRDefault="00F30FB8">
      <w:pPr>
        <w:pStyle w:val="Zkladntext1"/>
        <w:shd w:val="clear" w:color="auto" w:fill="auto"/>
        <w:spacing w:after="260" w:line="194" w:lineRule="auto"/>
        <w:ind w:left="780" w:right="640" w:firstLine="20"/>
        <w:rPr>
          <w:sz w:val="18"/>
          <w:szCs w:val="18"/>
        </w:rPr>
      </w:pPr>
      <w:r>
        <w:rPr>
          <w:sz w:val="18"/>
          <w:szCs w:val="18"/>
        </w:rPr>
        <w:t xml:space="preserve">odborný lékař Dro nemoci vnitřní, </w:t>
      </w:r>
      <w:r>
        <w:rPr>
          <w:b/>
          <w:bCs/>
          <w:sz w:val="18"/>
          <w:szCs w:val="18"/>
        </w:rPr>
        <w:t xml:space="preserve">PRAHA H.. LÚTZOWOVA 32, roh Washingtonovy. </w:t>
      </w:r>
      <w:r>
        <w:rPr>
          <w:sz w:val="18"/>
          <w:szCs w:val="18"/>
        </w:rPr>
        <w:t>Ord. 9-11. 2-4. Telefon 226-65.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60"/>
        <w:ind w:left="3340" w:hanging="2000"/>
      </w:pPr>
      <w:bookmarkStart w:id="116" w:name="bookmark115"/>
      <w:r>
        <w:rPr>
          <w:color w:val="FFFFFF"/>
        </w:rPr>
        <w:t>VAS VKUS I NÁROKY USPOKOJÍ</w:t>
      </w:r>
      <w:bookmarkEnd w:id="116"/>
    </w:p>
    <w:p w:rsidR="00500724" w:rsidRDefault="00F30FB8">
      <w:pPr>
        <w:pStyle w:val="Jin0"/>
        <w:shd w:val="clear" w:color="auto" w:fill="auto"/>
        <w:ind w:right="80" w:firstLine="0"/>
        <w:jc w:val="center"/>
        <w:rPr>
          <w:sz w:val="26"/>
          <w:szCs w:val="26"/>
        </w:rPr>
      </w:pPr>
      <w:r>
        <w:rPr>
          <w:rFonts w:ascii="Arial" w:eastAsia="Arial" w:hAnsi="Arial" w:cs="Arial"/>
          <w:b/>
          <w:bCs/>
          <w:sz w:val="26"/>
          <w:szCs w:val="26"/>
        </w:rPr>
        <w:t>KRAUS&amp;SPOL.</w:t>
      </w:r>
    </w:p>
    <w:p w:rsidR="00500724" w:rsidRDefault="00F30FB8">
      <w:pPr>
        <w:pStyle w:val="Nadpis120"/>
        <w:shd w:val="clear" w:color="auto" w:fill="auto"/>
        <w:spacing w:line="228" w:lineRule="auto"/>
        <w:ind w:left="0" w:right="80"/>
        <w:jc w:val="center"/>
      </w:pPr>
      <w:bookmarkStart w:id="117" w:name="bookmark116"/>
      <w:r>
        <w:t>krejčí pro pány a dámy</w:t>
      </w:r>
      <w:bookmarkEnd w:id="117"/>
    </w:p>
    <w:p w:rsidR="00500724" w:rsidRDefault="00F30FB8">
      <w:pPr>
        <w:pStyle w:val="Nadpis120"/>
        <w:shd w:val="clear" w:color="auto" w:fill="auto"/>
        <w:ind w:left="8940"/>
      </w:pPr>
      <w:bookmarkStart w:id="118" w:name="bookmark117"/>
      <w:r>
        <w:t>PRAHA n„</w:t>
      </w:r>
      <w:bookmarkEnd w:id="118"/>
    </w:p>
    <w:p w:rsidR="00500724" w:rsidRDefault="00F30FB8">
      <w:pPr>
        <w:pStyle w:val="Zkladntext1"/>
        <w:shd w:val="clear" w:color="auto" w:fill="auto"/>
        <w:tabs>
          <w:tab w:val="left" w:pos="9010"/>
        </w:tabs>
        <w:spacing w:line="204" w:lineRule="auto"/>
        <w:ind w:left="5280" w:firstLine="0"/>
        <w:rPr>
          <w:sz w:val="20"/>
          <w:szCs w:val="20"/>
        </w:rPr>
        <w:sectPr w:rsidR="00500724">
          <w:footnotePr>
            <w:numFmt w:val="chicago"/>
            <w:numRestart w:val="eachPage"/>
          </w:footnotePr>
          <w:pgSz w:w="11909" w:h="16834"/>
          <w:pgMar w:top="814" w:right="401" w:bottom="653" w:left="607" w:header="0" w:footer="3" w:gutter="0"/>
          <w:cols w:space="720"/>
          <w:noEndnote/>
          <w:docGrid w:linePitch="360"/>
        </w:sectPr>
      </w:pPr>
      <w:r>
        <w:rPr>
          <w:sz w:val="20"/>
          <w:szCs w:val="20"/>
        </w:rPr>
        <w:t>Telefon 309-69</w:t>
      </w:r>
      <w:r>
        <w:rPr>
          <w:sz w:val="20"/>
          <w:szCs w:val="20"/>
        </w:rPr>
        <w:tab/>
        <w:t>Panská ul. 10</w:t>
      </w:r>
    </w:p>
    <w:p w:rsidR="00500724" w:rsidRDefault="00F30FB8">
      <w:pPr>
        <w:pStyle w:val="Jin0"/>
        <w:shd w:val="clear" w:color="auto" w:fill="auto"/>
        <w:spacing w:after="100"/>
        <w:ind w:firstLine="0"/>
        <w:jc w:val="left"/>
        <w:rPr>
          <w:sz w:val="46"/>
          <w:szCs w:val="46"/>
        </w:rPr>
      </w:pPr>
      <w:r>
        <w:rPr>
          <w:i/>
          <w:iCs/>
          <w:sz w:val="46"/>
          <w:szCs w:val="46"/>
        </w:rPr>
        <w:t xml:space="preserve">Čtenářům Přítomnosti </w:t>
      </w:r>
      <w:r>
        <w:rPr>
          <w:i/>
          <w:iCs/>
          <w:sz w:val="46"/>
          <w:szCs w:val="46"/>
        </w:rPr>
        <w:t>/</w:t>
      </w:r>
    </w:p>
    <w:p w:rsidR="00500724" w:rsidRDefault="00F30FB8">
      <w:pPr>
        <w:pStyle w:val="Zkladntext1"/>
        <w:shd w:val="clear" w:color="auto" w:fill="auto"/>
        <w:spacing w:line="185" w:lineRule="auto"/>
        <w:ind w:left="1000" w:firstLine="0"/>
      </w:pPr>
      <w:r>
        <w:rPr>
          <w:b/>
          <w:bCs/>
        </w:rPr>
        <w:t>Přátelé a ctitelé Karla Čapka uvidí jeho světovou fantastickou hru</w:t>
      </w:r>
    </w:p>
    <w:p w:rsidR="00500724" w:rsidRDefault="00F30FB8">
      <w:pPr>
        <w:spacing w:line="1" w:lineRule="exact"/>
        <w:rPr>
          <w:sz w:val="2"/>
          <w:szCs w:val="2"/>
        </w:rPr>
      </w:pPr>
      <w:r>
        <w:br w:type="column"/>
      </w:r>
    </w:p>
    <w:p w:rsidR="00500724" w:rsidRDefault="00F30FB8">
      <w:pPr>
        <w:pStyle w:val="Zkladntext40"/>
        <w:pBdr>
          <w:top w:val="single" w:sz="4" w:space="0" w:color="auto"/>
        </w:pBdr>
        <w:shd w:val="clear" w:color="auto" w:fill="auto"/>
        <w:spacing w:after="0" w:line="240" w:lineRule="auto"/>
        <w:jc w:val="center"/>
        <w:rPr>
          <w:sz w:val="14"/>
          <w:szCs w:val="14"/>
        </w:rPr>
      </w:pPr>
      <w:r>
        <w:rPr>
          <w:b/>
          <w:bCs/>
          <w:sz w:val="14"/>
          <w:szCs w:val="14"/>
        </w:rPr>
        <w:t>OBUV PRO VYŠSi NÁROKY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GRAUMANH</w:t>
      </w:r>
    </w:p>
    <w:p w:rsidR="00500724" w:rsidRDefault="00F30FB8">
      <w:pPr>
        <w:pStyle w:val="Zkladntext1"/>
        <w:pBdr>
          <w:bottom w:val="single" w:sz="4" w:space="0" w:color="auto"/>
        </w:pBdr>
        <w:shd w:val="clear" w:color="auto" w:fill="auto"/>
        <w:spacing w:line="230" w:lineRule="auto"/>
        <w:ind w:firstLine="0"/>
        <w:jc w:val="left"/>
        <w:rPr>
          <w:sz w:val="20"/>
          <w:szCs w:val="20"/>
        </w:rPr>
        <w:sectPr w:rsidR="00500724">
          <w:footnotePr>
            <w:numFmt w:val="chicago"/>
            <w:numRestart w:val="eachPage"/>
          </w:footnotePr>
          <w:type w:val="continuous"/>
          <w:pgSz w:w="11909" w:h="16834"/>
          <w:pgMar w:top="814" w:right="1193" w:bottom="653" w:left="655" w:header="0" w:footer="3" w:gutter="0"/>
          <w:cols w:num="2" w:space="384"/>
          <w:noEndnote/>
          <w:docGrid w:linePitch="360"/>
        </w:sectPr>
      </w:pPr>
      <w:r>
        <w:rPr>
          <w:sz w:val="20"/>
          <w:szCs w:val="20"/>
        </w:rPr>
        <w:t>PRAHA I., PŘÍKOPY 35, schodiště A. Tel. 315-28.</w:t>
      </w:r>
    </w:p>
    <w:p w:rsidR="00500724" w:rsidRDefault="00500724">
      <w:pPr>
        <w:spacing w:line="102" w:lineRule="exact"/>
        <w:rPr>
          <w:sz w:val="8"/>
          <w:szCs w:val="8"/>
        </w:rPr>
      </w:pPr>
    </w:p>
    <w:p w:rsidR="00500724" w:rsidRDefault="00500724">
      <w:pPr>
        <w:spacing w:line="14" w:lineRule="exact"/>
        <w:sectPr w:rsidR="00500724">
          <w:footnotePr>
            <w:numFmt w:val="chicago"/>
            <w:numRestart w:val="eachPage"/>
          </w:footnotePr>
          <w:type w:val="continuous"/>
          <w:pgSz w:w="11909" w:h="16834"/>
          <w:pgMar w:top="814" w:right="0" w:bottom="653" w:left="0" w:header="0" w:footer="3" w:gutter="0"/>
          <w:cols w:space="720"/>
          <w:noEndnote/>
          <w:docGrid w:linePitch="360"/>
        </w:sectPr>
      </w:pPr>
    </w:p>
    <w:p w:rsidR="00500724" w:rsidRDefault="00F30FB8">
      <w:pPr>
        <w:pStyle w:val="Zkladntext1"/>
        <w:shd w:val="clear" w:color="auto" w:fill="auto"/>
        <w:spacing w:after="120" w:line="185" w:lineRule="auto"/>
        <w:ind w:left="1120" w:right="480" w:firstLine="0"/>
      </w:pPr>
      <w:r>
        <w:rPr>
          <w:b/>
          <w:bCs/>
        </w:rPr>
        <w:t xml:space="preserve">11a jevišti Stavovského divadla v </w:t>
      </w:r>
      <w:r>
        <w:rPr>
          <w:b/>
          <w:bCs/>
        </w:rPr>
        <w:t>pondělí 6. února 1939 veěer v novém nastudováni a výpravě</w:t>
      </w:r>
    </w:p>
    <w:p w:rsidR="00500724" w:rsidRDefault="00F30FB8">
      <w:pPr>
        <w:pStyle w:val="Zkladntext1"/>
        <w:shd w:val="clear" w:color="auto" w:fill="auto"/>
        <w:spacing w:after="120"/>
        <w:ind w:left="1120" w:firstLine="0"/>
        <w:rPr>
          <w:sz w:val="18"/>
          <w:szCs w:val="18"/>
        </w:rPr>
      </w:pPr>
      <w:r>
        <w:rPr>
          <w:b/>
          <w:bCs/>
          <w:sz w:val="20"/>
          <w:szCs w:val="20"/>
        </w:rPr>
        <w:t xml:space="preserve">za snížené ceny míst od 3 do 20 </w:t>
      </w:r>
      <w:r>
        <w:rPr>
          <w:rFonts w:ascii="Arial" w:eastAsia="Arial" w:hAnsi="Arial" w:cs="Arial"/>
          <w:sz w:val="18"/>
          <w:szCs w:val="18"/>
        </w:rPr>
        <w:t>Kč.</w:t>
      </w:r>
    </w:p>
    <w:p w:rsidR="00500724" w:rsidRDefault="00F30FB8">
      <w:pPr>
        <w:pStyle w:val="Zkladntext1"/>
        <w:shd w:val="clear" w:color="auto" w:fill="auto"/>
        <w:spacing w:line="185" w:lineRule="auto"/>
        <w:ind w:left="1120" w:right="480" w:firstLine="0"/>
      </w:pPr>
      <w:r>
        <w:rPr>
          <w:b/>
          <w:bCs/>
        </w:rPr>
        <w:t>Zlevněné vstupenky možno zakoupiti pou</w:t>
      </w:r>
      <w:r>
        <w:rPr>
          <w:b/>
          <w:bCs/>
        </w:rPr>
        <w:softHyphen/>
        <w:t xml:space="preserve">ze v předprodeji Lidových Novin, Praha </w:t>
      </w:r>
      <w:r>
        <w:rPr>
          <w:b/>
          <w:bCs/>
          <w:sz w:val="20"/>
          <w:szCs w:val="20"/>
        </w:rPr>
        <w:t xml:space="preserve">I., </w:t>
      </w:r>
      <w:r>
        <w:rPr>
          <w:b/>
          <w:bCs/>
        </w:rPr>
        <w:t>Národní třída 11, tel. 390-51. Upozorňuje</w:t>
      </w:r>
      <w:r>
        <w:rPr>
          <w:b/>
          <w:bCs/>
        </w:rPr>
        <w:softHyphen/>
        <w:t xml:space="preserve">me, že u divadelní pokladny jsou </w:t>
      </w:r>
      <w:r>
        <w:rPr>
          <w:b/>
          <w:bCs/>
        </w:rPr>
        <w:t>vstupen</w:t>
      </w:r>
      <w:r>
        <w:rPr>
          <w:b/>
          <w:bCs/>
        </w:rPr>
        <w:softHyphen/>
        <w:t>ky jen za plné ceny.</w:t>
      </w:r>
    </w:p>
    <w:p w:rsidR="00500724" w:rsidRDefault="00F30FB8">
      <w:pPr>
        <w:spacing w:line="1" w:lineRule="exact"/>
        <w:rPr>
          <w:sz w:val="2"/>
          <w:szCs w:val="2"/>
        </w:rPr>
      </w:pPr>
      <w:r>
        <w:br w:type="column"/>
      </w:r>
    </w:p>
    <w:p w:rsidR="00500724" w:rsidRDefault="00F30FB8">
      <w:pPr>
        <w:pStyle w:val="Jin0"/>
        <w:shd w:val="clear" w:color="auto" w:fill="auto"/>
        <w:spacing w:after="40"/>
        <w:ind w:left="160" w:firstLine="0"/>
        <w:jc w:val="left"/>
        <w:rPr>
          <w:sz w:val="44"/>
          <w:szCs w:val="44"/>
        </w:rPr>
      </w:pPr>
      <w:r>
        <w:rPr>
          <w:rFonts w:ascii="Calibri" w:eastAsia="Calibri" w:hAnsi="Calibri" w:cs="Calibri"/>
          <w:b/>
          <w:bCs/>
          <w:w w:val="70"/>
          <w:sz w:val="44"/>
          <w:szCs w:val="44"/>
        </w:rPr>
        <w:t>V lidovém vydání dí la Karla Čapka</w:t>
      </w:r>
    </w:p>
    <w:p w:rsidR="00500724" w:rsidRDefault="00F30FB8">
      <w:pPr>
        <w:pStyle w:val="Jin0"/>
        <w:pBdr>
          <w:bottom w:val="single" w:sz="4" w:space="0" w:color="auto"/>
        </w:pBdr>
        <w:shd w:val="clear" w:color="auto" w:fill="auto"/>
        <w:spacing w:after="200" w:line="293" w:lineRule="auto"/>
        <w:ind w:left="900" w:right="1200" w:firstLine="0"/>
        <w:rPr>
          <w:sz w:val="18"/>
          <w:szCs w:val="18"/>
        </w:rPr>
      </w:pPr>
      <w:r>
        <w:rPr>
          <w:rFonts w:ascii="Arial" w:eastAsia="Arial" w:hAnsi="Arial" w:cs="Arial"/>
          <w:sz w:val="18"/>
          <w:szCs w:val="18"/>
        </w:rPr>
        <w:t>vyšel právě 1, sešit s prvními 16 stranami románu „Hordubal</w:t>
      </w:r>
      <w:r>
        <w:rPr>
          <w:rFonts w:ascii="Arial" w:eastAsia="Arial" w:hAnsi="Arial" w:cs="Arial"/>
          <w:sz w:val="18"/>
          <w:szCs w:val="18"/>
          <w:vertAlign w:val="superscript"/>
        </w:rPr>
        <w:t>11</w:t>
      </w:r>
      <w:r>
        <w:rPr>
          <w:rFonts w:ascii="Arial" w:eastAsia="Arial" w:hAnsi="Arial" w:cs="Arial"/>
          <w:sz w:val="18"/>
          <w:szCs w:val="18"/>
        </w:rPr>
        <w:t>. Podrobné informace najdete v prospektu přiloženém do tohoto čísla nebo u všech knihkupců.</w:t>
      </w:r>
    </w:p>
    <w:p w:rsidR="00500724" w:rsidRDefault="00F30FB8">
      <w:pPr>
        <w:pStyle w:val="Jin0"/>
        <w:shd w:val="clear" w:color="auto" w:fill="auto"/>
        <w:ind w:firstLine="0"/>
        <w:jc w:val="left"/>
        <w:rPr>
          <w:sz w:val="44"/>
          <w:szCs w:val="44"/>
        </w:rPr>
        <w:sectPr w:rsidR="00500724">
          <w:footnotePr>
            <w:numFmt w:val="chicago"/>
            <w:numRestart w:val="eachPage"/>
          </w:footnotePr>
          <w:type w:val="continuous"/>
          <w:pgSz w:w="11909" w:h="16834"/>
          <w:pgMar w:top="814" w:right="896" w:bottom="653" w:left="526" w:header="0" w:footer="3" w:gutter="0"/>
          <w:cols w:num="2" w:space="178"/>
          <w:noEndnote/>
          <w:docGrid w:linePitch="360"/>
        </w:sectPr>
      </w:pPr>
      <w:r>
        <w:rPr>
          <w:rFonts w:ascii="Calibri" w:eastAsia="Calibri" w:hAnsi="Calibri" w:cs="Calibri"/>
          <w:b/>
          <w:bCs/>
          <w:w w:val="60"/>
          <w:sz w:val="72"/>
          <w:szCs w:val="72"/>
          <w:lang w:val="en-US" w:eastAsia="en-US" w:bidi="en-US"/>
        </w:rPr>
        <w:t>LONG I</w:t>
      </w:r>
      <w:r>
        <w:rPr>
          <w:rFonts w:ascii="Calibri" w:eastAsia="Calibri" w:hAnsi="Calibri" w:cs="Calibri"/>
          <w:b/>
          <w:bCs/>
          <w:w w:val="60"/>
          <w:sz w:val="72"/>
          <w:szCs w:val="72"/>
        </w:rPr>
        <w:t xml:space="preserve">N ES </w:t>
      </w:r>
      <w:r>
        <w:rPr>
          <w:rFonts w:ascii="Calibri" w:eastAsia="Calibri" w:hAnsi="Calibri" w:cs="Calibri"/>
          <w:b/>
          <w:bCs/>
          <w:w w:val="70"/>
          <w:sz w:val="44"/>
          <w:szCs w:val="44"/>
        </w:rPr>
        <w:t>hodinky-vždy přesné</w:t>
      </w:r>
    </w:p>
    <w:p w:rsidR="00500724" w:rsidRDefault="00500724">
      <w:pPr>
        <w:spacing w:line="186" w:lineRule="exact"/>
        <w:rPr>
          <w:sz w:val="15"/>
          <w:szCs w:val="15"/>
        </w:rPr>
      </w:pPr>
    </w:p>
    <w:p w:rsidR="00500724" w:rsidRDefault="00500724">
      <w:pPr>
        <w:spacing w:line="14" w:lineRule="exact"/>
        <w:sectPr w:rsidR="00500724">
          <w:footnotePr>
            <w:numFmt w:val="chicago"/>
            <w:numRestart w:val="eachPage"/>
          </w:footnotePr>
          <w:type w:val="continuous"/>
          <w:pgSz w:w="11909" w:h="16834"/>
          <w:pgMar w:top="507" w:right="0" w:bottom="960" w:left="0" w:header="0" w:footer="3" w:gutter="0"/>
          <w:cols w:space="720"/>
          <w:noEndnote/>
          <w:docGrid w:linePitch="360"/>
        </w:sectPr>
      </w:pPr>
    </w:p>
    <w:p w:rsidR="00500724" w:rsidRDefault="00F30FB8">
      <w:pPr>
        <w:spacing w:line="14" w:lineRule="exact"/>
      </w:pPr>
      <w:r>
        <w:rPr>
          <w:noProof/>
        </w:rPr>
        <mc:AlternateContent>
          <mc:Choice Requires="wps">
            <w:drawing>
              <wp:anchor distT="0" distB="490855" distL="177800" distR="186690" simplePos="0" relativeHeight="125829456" behindDoc="0" locked="0" layoutInCell="1" allowOverlap="1">
                <wp:simplePos x="0" y="0"/>
                <wp:positionH relativeFrom="page">
                  <wp:posOffset>229870</wp:posOffset>
                </wp:positionH>
                <wp:positionV relativeFrom="paragraph">
                  <wp:posOffset>1057910</wp:posOffset>
                </wp:positionV>
                <wp:extent cx="2770505" cy="728345"/>
                <wp:effectExtent l="0" t="0" r="0" b="0"/>
                <wp:wrapSquare wrapText="bothSides"/>
                <wp:docPr id="79" name="Shape 79"/>
                <wp:cNvGraphicFramePr/>
                <a:graphic xmlns:a="http://schemas.openxmlformats.org/drawingml/2006/main">
                  <a:graphicData uri="http://schemas.microsoft.com/office/word/2010/wordprocessingShape">
                    <wps:wsp>
                      <wps:cNvSpPr txBox="1"/>
                      <wps:spPr>
                        <a:xfrm>
                          <a:off x="0" y="0"/>
                          <a:ext cx="2770505" cy="728345"/>
                        </a:xfrm>
                        <a:prstGeom prst="rect">
                          <a:avLst/>
                        </a:prstGeom>
                        <a:noFill/>
                      </wps:spPr>
                      <wps:txbx>
                        <w:txbxContent>
                          <w:p w:rsidR="00500724" w:rsidRDefault="00F30FB8">
                            <w:pPr>
                              <w:pStyle w:val="Jin0"/>
                              <w:shd w:val="clear" w:color="auto" w:fill="auto"/>
                              <w:spacing w:before="80"/>
                              <w:ind w:firstLine="0"/>
                              <w:jc w:val="left"/>
                              <w:rPr>
                                <w:sz w:val="88"/>
                                <w:szCs w:val="88"/>
                              </w:rPr>
                            </w:pPr>
                            <w:r>
                              <w:rPr>
                                <w:sz w:val="88"/>
                                <w:szCs w:val="88"/>
                              </w:rPr>
                              <w:t>Přítomnosti</w:t>
                            </w:r>
                          </w:p>
                        </w:txbxContent>
                      </wps:txbx>
                      <wps:bodyPr lIns="0" tIns="0" rIns="0" bIns="0">
                        <a:spAutoFit/>
                      </wps:bodyPr>
                    </wps:wsp>
                  </a:graphicData>
                </a:graphic>
              </wp:anchor>
            </w:drawing>
          </mc:Choice>
          <mc:Fallback>
            <w:pict>
              <v:shape id="_x0000_s1105" type="#_x0000_t202" style="position:absolute;margin-left:18.100000000000001pt;margin-top:83.299999999999997pt;width:218.15000000000001pt;height:57.350000000000001pt;z-index:-125829297;mso-wrap-distance-left:14.pt;mso-wrap-distance-right:14.699999999999999pt;mso-wrap-distance-bottom:38.649999999999999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Přítomnosti</w:t>
                      </w:r>
                    </w:p>
                  </w:txbxContent>
                </v:textbox>
                <w10:wrap type="square" anchorx="page"/>
              </v:shape>
            </w:pict>
          </mc:Fallback>
        </mc:AlternateContent>
      </w:r>
      <w:r>
        <w:rPr>
          <w:noProof/>
        </w:rPr>
        <mc:AlternateContent>
          <mc:Choice Requires="wps">
            <w:drawing>
              <wp:anchor distT="899160" distB="0" distL="226695" distR="177800" simplePos="0" relativeHeight="125829458" behindDoc="0" locked="0" layoutInCell="1" allowOverlap="1">
                <wp:simplePos x="0" y="0"/>
                <wp:positionH relativeFrom="page">
                  <wp:posOffset>278765</wp:posOffset>
                </wp:positionH>
                <wp:positionV relativeFrom="paragraph">
                  <wp:posOffset>1957070</wp:posOffset>
                </wp:positionV>
                <wp:extent cx="2731135" cy="320040"/>
                <wp:effectExtent l="0" t="0" r="0" b="0"/>
                <wp:wrapSquare wrapText="bothSides"/>
                <wp:docPr id="81" name="Shape 81"/>
                <wp:cNvGraphicFramePr/>
                <a:graphic xmlns:a="http://schemas.openxmlformats.org/drawingml/2006/main">
                  <a:graphicData uri="http://schemas.microsoft.com/office/word/2010/wordprocessingShape">
                    <wps:wsp>
                      <wps:cNvSpPr txBox="1"/>
                      <wps:spPr>
                        <a:xfrm>
                          <a:off x="0" y="0"/>
                          <a:ext cx="2731135" cy="32004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107" type="#_x0000_t202" style="position:absolute;margin-left:21.949999999999999pt;margin-top:154.09999999999999pt;width:215.05000000000001pt;height:25.199999999999999pt;z-index:-125829295;mso-wrap-distance-left:17.850000000000001pt;mso-wrap-distance-top:70.799999999999997pt;mso-wrap-distance-right:14.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anchorx="page"/>
              </v:shape>
            </w:pict>
          </mc:Fallback>
        </mc:AlternateContent>
      </w:r>
    </w:p>
    <w:p w:rsidR="00500724" w:rsidRDefault="00F30FB8">
      <w:pPr>
        <w:pStyle w:val="Zkladntext1"/>
        <w:shd w:val="clear" w:color="auto" w:fill="auto"/>
        <w:spacing w:after="340" w:line="228" w:lineRule="auto"/>
        <w:ind w:left="340" w:right="180" w:hanging="340"/>
      </w:pPr>
      <w:r>
        <w:rPr>
          <w:b/>
          <w:bCs/>
          <w:sz w:val="20"/>
          <w:szCs w:val="20"/>
        </w:rPr>
        <w:t xml:space="preserve">OBSAH PŘÍTOMNOSTI C. </w:t>
      </w:r>
      <w:r>
        <w:rPr>
          <w:b/>
          <w:bCs/>
        </w:rPr>
        <w:t xml:space="preserve">4: F. Peroutka: Ještě jednou o loňském roku — </w:t>
      </w:r>
      <w:r>
        <w:rPr>
          <w:b/>
          <w:bCs/>
          <w:lang w:val="en-US" w:eastAsia="en-US" w:bidi="en-US"/>
        </w:rPr>
        <w:t xml:space="preserve">Willi </w:t>
      </w:r>
      <w:r>
        <w:rPr>
          <w:b/>
          <w:bCs/>
        </w:rPr>
        <w:t xml:space="preserve">Schlamm: Proě umřel Karel Čapek — Kornel Synek: Uprchlíci ve vlastní zemi — Milena Jesenská: Proě nemluvíte, mladí? — </w:t>
      </w:r>
      <w:r>
        <w:rPr>
          <w:b/>
          <w:bCs/>
          <w:lang w:val="en-US" w:eastAsia="en-US" w:bidi="en-US"/>
        </w:rPr>
        <w:t xml:space="preserve">Stuart Hodgson: </w:t>
      </w:r>
      <w:r>
        <w:rPr>
          <w:b/>
          <w:bCs/>
        </w:rPr>
        <w:t>Život a kariéra muže, který prý zachránil mír — Josef Pachta: Španělsko vykrvácí? — Karel Křiž: Zůstáváme průmyslo</w:t>
      </w:r>
      <w:r>
        <w:rPr>
          <w:b/>
          <w:bCs/>
        </w:rPr>
        <w:softHyphen/>
        <w:t>vým stá</w:t>
      </w:r>
      <w:r>
        <w:rPr>
          <w:b/>
          <w:bCs/>
        </w:rPr>
        <w:t xml:space="preserve">tem — Co je to ^mnichovská politika« a jak zatím dopadla — Hrozinky a vánočka — Francie, náš obchodní přítel — Směr našeho vývozu — Dvojí pojem práce — </w:t>
      </w:r>
      <w:r>
        <w:rPr>
          <w:b/>
          <w:bCs/>
          <w:lang w:val="en-US" w:eastAsia="en-US" w:bidi="en-US"/>
        </w:rPr>
        <w:t xml:space="preserve">Jules </w:t>
      </w:r>
      <w:r>
        <w:rPr>
          <w:b/>
          <w:bCs/>
        </w:rPr>
        <w:t>Romains se obhajuje — Odpověď Slovincovi — Dopis sedláka o Masarykovi — Proě jenom pět? — Proě jst</w:t>
      </w:r>
      <w:r>
        <w:rPr>
          <w:b/>
          <w:bCs/>
        </w:rPr>
        <w:t>e to v »Přítomnosti« nenašli.</w:t>
      </w:r>
    </w:p>
    <w:p w:rsidR="00500724" w:rsidRDefault="00F30FB8">
      <w:pPr>
        <w:pStyle w:val="Nadpis90"/>
        <w:keepNext/>
        <w:keepLines/>
        <w:shd w:val="clear" w:color="auto" w:fill="auto"/>
        <w:spacing w:after="140"/>
      </w:pPr>
      <w:bookmarkStart w:id="119" w:name="bookmark118"/>
      <w:r>
        <w:rPr>
          <w:u w:val="single"/>
        </w:rPr>
        <w:t>nezávislý týdeník</w:t>
      </w:r>
      <w:bookmarkEnd w:id="119"/>
    </w:p>
    <w:p w:rsidR="00500724" w:rsidRDefault="00F30FB8">
      <w:pPr>
        <w:pStyle w:val="Jin0"/>
        <w:shd w:val="clear" w:color="auto" w:fill="auto"/>
        <w:spacing w:line="312" w:lineRule="auto"/>
        <w:ind w:left="200" w:firstLine="0"/>
        <w:jc w:val="center"/>
        <w:rPr>
          <w:sz w:val="17"/>
          <w:szCs w:val="17"/>
        </w:rPr>
      </w:pPr>
      <w:r>
        <w:rPr>
          <w:rFonts w:ascii="Arial" w:eastAsia="Arial" w:hAnsi="Arial" w:cs="Arial"/>
          <w:sz w:val="17"/>
          <w:szCs w:val="17"/>
        </w:rPr>
        <w:t>vychází ve středu v nakladatelství</w:t>
      </w:r>
      <w:r>
        <w:rPr>
          <w:rFonts w:ascii="Arial" w:eastAsia="Arial" w:hAnsi="Arial" w:cs="Arial"/>
          <w:sz w:val="17"/>
          <w:szCs w:val="17"/>
        </w:rPr>
        <w:br/>
        <w:t xml:space="preserve">FR. BOROVÝ V </w:t>
      </w:r>
      <w:r>
        <w:rPr>
          <w:rFonts w:ascii="Arial" w:eastAsia="Arial" w:hAnsi="Arial" w:cs="Arial"/>
          <w:sz w:val="17"/>
          <w:szCs w:val="17"/>
          <w:lang w:val="en-US" w:eastAsia="en-US" w:bidi="en-US"/>
        </w:rPr>
        <w:t xml:space="preserve">PR </w:t>
      </w:r>
      <w:r>
        <w:rPr>
          <w:rFonts w:ascii="Arial" w:eastAsia="Arial" w:hAnsi="Arial" w:cs="Arial"/>
          <w:sz w:val="17"/>
          <w:szCs w:val="17"/>
        </w:rPr>
        <w:t>AZEI., NÁRODNÍ TŘÍDA 11.</w:t>
      </w:r>
    </w:p>
    <w:p w:rsidR="00500724" w:rsidRDefault="00F30FB8">
      <w:pPr>
        <w:pStyle w:val="Zkladntext40"/>
        <w:shd w:val="clear" w:color="auto" w:fill="auto"/>
        <w:spacing w:after="80" w:line="175" w:lineRule="auto"/>
        <w:ind w:right="180"/>
      </w:pPr>
      <w:r>
        <w:t>Telefon Číslo 390-51 až 54 s Učet poštovní spořitelny číslo 35.622 ® Nevy</w:t>
      </w:r>
      <w:r>
        <w:softHyphen/>
        <w:t>žádané rukopisy se nevracejí • Předplatné na rok KC 100.—,</w:t>
      </w:r>
      <w:r>
        <w:t xml:space="preserve"> na půl roku Kč 50.—, na čtvrt roku Kč 25.—. jednotlivá čísla Kč 2.—. </w:t>
      </w:r>
      <w:r>
        <w:rPr>
          <w:lang w:val="en-US" w:eastAsia="en-US" w:bidi="en-US"/>
        </w:rPr>
        <w:t xml:space="preserve">Pour </w:t>
      </w:r>
      <w:r>
        <w:t>la Fran</w:t>
      </w:r>
      <w:r>
        <w:softHyphen/>
        <w:t xml:space="preserve">ce et ses </w:t>
      </w:r>
      <w:r>
        <w:rPr>
          <w:lang w:val="en-US" w:eastAsia="en-US" w:bidi="en-US"/>
        </w:rPr>
        <w:t xml:space="preserve">Colonies </w:t>
      </w:r>
      <w:r>
        <w:t>Frs 2.50. • Dohlédací pošt. úřad Brno II. • Novin sazba povolena v Brně řed. pošt a telegrafů pod čls. 119.268/IIIa. • Odpovědný redaktor J. Dlabač.</w:t>
      </w:r>
    </w:p>
    <w:p w:rsidR="00500724" w:rsidRDefault="00F30FB8">
      <w:pPr>
        <w:pStyle w:val="Jin0"/>
        <w:shd w:val="clear" w:color="auto" w:fill="auto"/>
        <w:spacing w:after="120" w:line="312" w:lineRule="auto"/>
        <w:ind w:left="5620" w:firstLine="0"/>
        <w:jc w:val="left"/>
        <w:rPr>
          <w:sz w:val="17"/>
          <w:szCs w:val="17"/>
        </w:rPr>
      </w:pPr>
      <w:r>
        <w:rPr>
          <w:rFonts w:ascii="Arial" w:eastAsia="Arial" w:hAnsi="Arial" w:cs="Arial"/>
          <w:sz w:val="17"/>
          <w:szCs w:val="17"/>
        </w:rPr>
        <w:t>TISKEM LIDOVĚ TISKÁRNY, BRNO, ČESKA 6.</w:t>
      </w:r>
      <w:r>
        <w:br w:type="page"/>
      </w:r>
    </w:p>
    <w:p w:rsidR="00500724" w:rsidRDefault="00F30FB8">
      <w:pPr>
        <w:pStyle w:val="Jin0"/>
        <w:shd w:val="clear" w:color="auto" w:fill="auto"/>
        <w:ind w:left="100" w:firstLine="0"/>
        <w:jc w:val="center"/>
        <w:rPr>
          <w:sz w:val="124"/>
          <w:szCs w:val="124"/>
        </w:rPr>
        <w:sectPr w:rsidR="00500724">
          <w:footnotePr>
            <w:numFmt w:val="chicago"/>
            <w:numRestart w:val="eachPage"/>
          </w:footnotePr>
          <w:type w:val="continuous"/>
          <w:pgSz w:w="11909" w:h="16834"/>
          <w:pgMar w:top="507" w:right="679" w:bottom="960" w:left="580" w:header="0" w:footer="3" w:gutter="0"/>
          <w:cols w:space="720"/>
          <w:noEndnote/>
          <w:docGrid w:linePitch="360"/>
        </w:sectPr>
      </w:pPr>
      <w:r>
        <w:rPr>
          <w:sz w:val="124"/>
          <w:szCs w:val="124"/>
          <w:lang w:val="en-US" w:eastAsia="en-US" w:bidi="en-US"/>
        </w:rPr>
        <w:t>PfflDmnosL^</w:t>
      </w:r>
    </w:p>
    <w:p w:rsidR="00500724" w:rsidRDefault="00F30FB8">
      <w:pPr>
        <w:pStyle w:val="Nadpis100"/>
        <w:shd w:val="clear" w:color="auto" w:fill="auto"/>
        <w:spacing w:line="240" w:lineRule="auto"/>
      </w:pPr>
      <w:bookmarkStart w:id="120" w:name="bookmark119"/>
      <w:r>
        <w:t>Dosti!</w:t>
      </w:r>
      <w:bookmarkEnd w:id="120"/>
    </w:p>
    <w:p w:rsidR="00500724" w:rsidRDefault="00F30FB8">
      <w:pPr>
        <w:pStyle w:val="Zkladntext20"/>
        <w:framePr w:dropCap="drop" w:lines="2" w:hSpace="38" w:vSpace="38" w:wrap="auto" w:vAnchor="text" w:hAnchor="text"/>
        <w:shd w:val="clear" w:color="auto" w:fill="auto"/>
        <w:spacing w:line="311" w:lineRule="exact"/>
        <w:ind w:firstLine="0"/>
      </w:pPr>
      <w:r>
        <w:rPr>
          <w:position w:val="-7"/>
          <w:sz w:val="46"/>
          <w:szCs w:val="46"/>
        </w:rPr>
        <w:t>O</w:t>
      </w:r>
    </w:p>
    <w:p w:rsidR="00500724" w:rsidRDefault="00F30FB8">
      <w:pPr>
        <w:pStyle w:val="Zkladntext20"/>
        <w:shd w:val="clear" w:color="auto" w:fill="auto"/>
        <w:spacing w:after="40" w:line="202" w:lineRule="auto"/>
        <w:ind w:firstLine="0"/>
      </w:pPr>
      <w:r>
        <w:t>d katastrofy uběhly čtyři měsíce. Překonal jsem v nich těžký otřes zdravotní a těžší otřes duševní. Byl jsem částí politické soustavy, která ztroskotala — a já vím, co</w:t>
      </w:r>
      <w:r>
        <w:t xml:space="preserve"> z toho následuje. Ubírám se do ústraní bez bolestínství.</w:t>
      </w:r>
    </w:p>
    <w:p w:rsidR="00500724" w:rsidRDefault="00F30FB8">
      <w:pPr>
        <w:pStyle w:val="Zkladntext20"/>
        <w:shd w:val="clear" w:color="auto" w:fill="auto"/>
        <w:spacing w:after="40" w:line="202" w:lineRule="auto"/>
        <w:ind w:firstLine="260"/>
      </w:pPr>
      <w:r>
        <w:t>Před třiceti pěti lety stal jsem se novinářem z po</w:t>
      </w:r>
      <w:r>
        <w:softHyphen/>
        <w:t>volání. Novinářské pero mi zůstalo. Vracím se k lásce svého mládí a svých nejlepších let, o to nezávislejší, oč jsem starší. Nemohu zahodit celoživ</w:t>
      </w:r>
      <w:r>
        <w:t>otní zkušenost. Mohu však asi přispět už jenom radou. To je právě, co chci. Více nic. V našem národě jest myšlenka trva</w:t>
      </w:r>
      <w:r>
        <w:softHyphen/>
        <w:t>lou silou velkého významu. Argument v našem životě nedohrál úlohu. To je vše, co jsem musel říci úvodem.</w:t>
      </w:r>
    </w:p>
    <w:p w:rsidR="00500724" w:rsidRDefault="00F30FB8">
      <w:pPr>
        <w:pStyle w:val="Zkladntext20"/>
        <w:shd w:val="clear" w:color="auto" w:fill="auto"/>
        <w:spacing w:after="40" w:line="202" w:lineRule="auto"/>
        <w:ind w:firstLine="0"/>
        <w:jc w:val="center"/>
      </w:pPr>
      <w:r>
        <w:t>•</w:t>
      </w:r>
    </w:p>
    <w:p w:rsidR="00500724" w:rsidRDefault="00F30FB8">
      <w:pPr>
        <w:pStyle w:val="Zkladntext20"/>
        <w:shd w:val="clear" w:color="auto" w:fill="auto"/>
        <w:spacing w:after="40" w:line="202" w:lineRule="auto"/>
        <w:ind w:firstLine="260"/>
      </w:pPr>
      <w:r>
        <w:t>V pátek citovaly noviny z řeč</w:t>
      </w:r>
      <w:r>
        <w:t>i ministerského před</w:t>
      </w:r>
      <w:r>
        <w:softHyphen/>
        <w:t>sedy R. Berana, pronesené v klubu vládní strany: »Ještě není konec všem nebezpečím, a bylo by přímo katastrofální, kdyby široké vrstvy věřily, že přešlo veškeré nebezpečí, a kdybychom mátli veřejnost, jako by se mohly dít nějaké zázrak</w:t>
      </w:r>
      <w:r>
        <w:t>y.« Téhož dne jsme četli v listě národní strany práce zprávu o sezení za</w:t>
      </w:r>
      <w:r>
        <w:softHyphen/>
        <w:t>hraničně-politické komise strany; zpráva byla opatře</w:t>
      </w:r>
      <w:r>
        <w:softHyphen/>
        <w:t xml:space="preserve">na výmluvným nadpisem: »Národni strana práce pro dobrý poměr k Ně </w:t>
      </w:r>
      <w:r>
        <w:rPr>
          <w:lang w:val="en-US" w:eastAsia="en-US" w:bidi="en-US"/>
        </w:rPr>
        <w:t xml:space="preserve">me </w:t>
      </w:r>
      <w:r>
        <w:t>c ku.« Obě tyto zprávy se doplňují, jsou to jaksi dvě části j</w:t>
      </w:r>
      <w:r>
        <w:t>edné a téže věci.</w:t>
      </w:r>
    </w:p>
    <w:p w:rsidR="00500724" w:rsidRDefault="00F30FB8">
      <w:pPr>
        <w:pStyle w:val="Zkladntext20"/>
        <w:shd w:val="clear" w:color="auto" w:fill="auto"/>
        <w:spacing w:after="40" w:line="202" w:lineRule="auto"/>
        <w:ind w:firstLine="260"/>
      </w:pPr>
      <w:r>
        <w:t>Musíme míti na paměti, co podstatného se změnilo v našem národním a státním životě. Nic horšího by se nám nemohlo přihodit, než kdyby se česko-slovenská politika chtěla dnes říditi stavem věcí, který platil v Evropě včera. Svět, v němž js</w:t>
      </w:r>
      <w:r>
        <w:t>me žili do podzimu, změnil se od základu. Ztratili jsme přes 40 tisíc km</w:t>
      </w:r>
      <w:r>
        <w:rPr>
          <w:vertAlign w:val="superscript"/>
        </w:rPr>
        <w:t xml:space="preserve">3 </w:t>
      </w:r>
      <w:r>
        <w:t>půdy, asi milion Čechů a Slováků je odtrženo od do</w:t>
      </w:r>
      <w:r>
        <w:softHyphen/>
        <w:t>mácího kmene. A přece tato skutečnost nepředstavuje hlavní a základní změnu v našem nynějším a dalším životě národním a státním. Te</w:t>
      </w:r>
      <w:r>
        <w:t>chnikové, hospodáři, finančníci, administrátoři a vojáci říkají, že i v okleště</w:t>
      </w:r>
      <w:r>
        <w:softHyphen/>
        <w:t>né vlasti dá se pilnou prací vybudovat nový život s novou prosperitou. Ničemu jinému bychom nemuseli věnovat pozornost, kdyby naše země byla skutečným ostrovem v širém moři, je</w:t>
      </w:r>
      <w:r>
        <w:t>muž bouře utrhla a v hlubi</w:t>
      </w:r>
      <w:r>
        <w:softHyphen/>
        <w:t>nách pochovala čtvrtinu rozlohy.</w:t>
      </w:r>
    </w:p>
    <w:p w:rsidR="00500724" w:rsidRDefault="00F30FB8">
      <w:pPr>
        <w:pStyle w:val="Zkladntext20"/>
        <w:shd w:val="clear" w:color="auto" w:fill="auto"/>
        <w:spacing w:after="60" w:line="202" w:lineRule="auto"/>
        <w:ind w:firstLine="260"/>
      </w:pPr>
      <w:r>
        <w:t>Naše situace je však jiná. Tomu snad rozumí každý. My tu sedíme pod velikým kloboukem osm- desátimilionového národa, který za pět let vlády Adolfa Hitlera vyrostl na nejsilnější evropskou vel</w:t>
      </w:r>
      <w:r>
        <w:softHyphen/>
        <w:t>moc.</w:t>
      </w:r>
      <w:r>
        <w:t xml:space="preserve"> Evropská rovnováha je ztroskotána. Nejsme již pod ochranou západních velmocí. Velká Britanie nám ukázala svou nemilostivou tvář. Naše spojenecká smlouva s Francií odumřela, s ní pozbyla účinnosti také smlouva se sovětským Ruskem. V říjnu fakticky padly i </w:t>
      </w:r>
      <w:r>
        <w:t>naše smlouvy malodohodové. Ty byly uzavře</w:t>
      </w:r>
      <w:r>
        <w:softHyphen/>
        <w:t>ny na ochranu před revisními nároky maďarskými. Na podzim jsme nemohli volat ku pomoci vojáky jugo</w:t>
      </w:r>
      <w:r>
        <w:softHyphen/>
        <w:t>slávské a rumunské, když ani česko-slovenští nesměli bojovat. Někteří jednotlivci, nemohouce snésti myšlen</w:t>
      </w:r>
      <w:r>
        <w:softHyphen/>
        <w:t>ku, že j</w:t>
      </w:r>
      <w:r>
        <w:t>sme vzdali vlast bez boje, vymyslili si theorii, že náš branný odpor byl by přece jenom strhl vel</w:t>
      </w:r>
      <w:r>
        <w:softHyphen/>
        <w:t xml:space="preserve">moci do války, z níž nám kynula sice hrůza, nicméně však také naděje. Stará vláda nepodlehla této theorii, já na příklad jsem proti ní mluvil nejrozhodněji a </w:t>
      </w:r>
      <w:r>
        <w:t>nej</w:t>
      </w:r>
      <w:r>
        <w:softHyphen/>
        <w:t>otevřeněji. Ve Španělsku je válka třetí rok a žádná z demokratických velmocí se do ní nedala strhnout. Není žádné tajemství, že jsem byl pro obrannou válku až do poslední chvíle, to jest až do chvíle, kdy bylo oficiálně sděleno, že Francie s Anglií nás</w:t>
      </w:r>
      <w:r>
        <w:t xml:space="preserve"> opustily, a že se vojsko tří sousedů strojí na pochod. Svoje hlasování pro válku byl bych zodpověděl před svým svědomím i před národem — ne však hlasování, které by bylo zahnalo národ na beznadějné, zoufalé jatky.</w:t>
      </w:r>
    </w:p>
    <w:p w:rsidR="00500724" w:rsidRDefault="00F30FB8">
      <w:pPr>
        <w:pStyle w:val="Zkladntext20"/>
        <w:shd w:val="clear" w:color="auto" w:fill="auto"/>
        <w:spacing w:after="60" w:line="202" w:lineRule="auto"/>
        <w:ind w:firstLine="260"/>
      </w:pPr>
      <w:r>
        <w:t>To je tedy to nové, základní a roz</w:t>
      </w:r>
      <w:r>
        <w:softHyphen/>
        <w:t>hodují</w:t>
      </w:r>
      <w:r>
        <w:t>cí v naší nynější situaci, že již nejsme pod ochranou politické sou</w:t>
      </w:r>
      <w:r>
        <w:softHyphen/>
        <w:t>stavy, v níž jsme žili bezpečně a v po</w:t>
      </w:r>
      <w:r>
        <w:softHyphen/>
        <w:t>měrném blahobytu dvacet let. Mnichov a Vídeň znamenají, že Francie s Britanií odevzdaly střední Evropu s dunajským prostorem pod vliv Ně</w:t>
      </w:r>
      <w:r>
        <w:softHyphen/>
        <w:t>mecka a Itál</w:t>
      </w:r>
      <w:r>
        <w:t>ie. Musíme se nyní rozumným způsobem vyrovnati s Německem a s ostatními sousedy; a nesmíme udělat nic, čím by tento úkol byl mařen. Takový smysl měla nepochybně po</w:t>
      </w:r>
      <w:r>
        <w:softHyphen/>
        <w:t>slední řeč ministerského předsedy, doplněná prohlá</w:t>
      </w:r>
      <w:r>
        <w:softHyphen/>
        <w:t>šením národní strany práce.</w:t>
      </w:r>
    </w:p>
    <w:p w:rsidR="00500724" w:rsidRDefault="00F30FB8">
      <w:pPr>
        <w:pStyle w:val="Zkladntext20"/>
        <w:shd w:val="clear" w:color="auto" w:fill="auto"/>
        <w:spacing w:line="202" w:lineRule="auto"/>
        <w:ind w:firstLine="260"/>
      </w:pPr>
      <w:r>
        <w:t>V historii žá</w:t>
      </w:r>
      <w:r>
        <w:t>dného národa není snad analogie s tím, v čem jsme se octli my loni na podzim. Zdánlivě se naše situace podobá situaci poválečného Maďarska. Ale jenom zdánlivě. Předválečné Uhry byly mírovými smlouvami okleštěný podobně, jako ČSR dnes. Po</w:t>
      </w:r>
      <w:r>
        <w:softHyphen/>
        <w:t xml:space="preserve">válečné Uhry však </w:t>
      </w:r>
      <w:r>
        <w:t>vstupovaly do nového života za zcela odlišných poměrů politických v Evropě. Bylo po válce, otvírala se vyhlídka na dlouhý mír. Všichni sousedi poraženého státu byli saturováni, nebylo jediné výbojné síly, která by Maďarsko tísnila nebo ohrožovala. V poduna</w:t>
      </w:r>
      <w:r>
        <w:t>jském prostoru zřízena byla vel</w:t>
      </w:r>
      <w:r>
        <w:softHyphen/>
        <w:t>mocemi rovnováha. Hranice Maďarska byla zaručena celým světem, nikdo se jí nesměl dotknout. Nesměl — ostatně ani nechtěl. Nástupnické státy změnily se z činitele válečně-revolučního v činitele konservativ- ního, jemuž běželo</w:t>
      </w:r>
      <w:r>
        <w:t xml:space="preserve"> jedině o to, aby zachoval a paci- fikoval, čeho nabyl revolucí a válkou. Přes zabezpeče</w:t>
      </w:r>
      <w:r>
        <w:softHyphen/>
        <w:t>nou hranici nikdo zvenčí netlačil na vnitřní život nové</w:t>
      </w:r>
      <w:r>
        <w:softHyphen/>
        <w:t>ho státu. Maďarsko mělo vše, co nám dnes právě schází. Neodvažuji se říci, že všichni naši sousedé jsou saturov</w:t>
      </w:r>
      <w:r>
        <w:t>áni. Okolo nás se pořádají síly expansivm. Německá národní revoluce není ukončena, italská rovněž ne; Polsko — nikoli, mlčme o Polsku! A Uhry, kdyby záleželo pouze na nich... Naše hranice není dosud velmocensky zaručena, jak bylo na podzim slíbeno.</w:t>
      </w:r>
    </w:p>
    <w:p w:rsidR="00500724" w:rsidRDefault="00F30FB8">
      <w:pPr>
        <w:pStyle w:val="Zkladntext20"/>
        <w:shd w:val="clear" w:color="auto" w:fill="auto"/>
        <w:spacing w:after="60" w:line="202" w:lineRule="auto"/>
        <w:ind w:firstLine="0"/>
        <w:jc w:val="right"/>
      </w:pPr>
      <w:r>
        <w:t>Tím vší</w:t>
      </w:r>
      <w:r>
        <w:t>m je naznačeno, že jsme ještě nepřeskočili. V našem postavení nesmírně záleží na každém kroku</w:t>
      </w:r>
    </w:p>
    <w:p w:rsidR="00500724" w:rsidRDefault="00F30FB8">
      <w:pPr>
        <w:pStyle w:val="Zkladntext20"/>
        <w:shd w:val="clear" w:color="auto" w:fill="auto"/>
        <w:spacing w:line="202" w:lineRule="auto"/>
        <w:ind w:firstLine="0"/>
      </w:pPr>
      <w:r>
        <w:t>vlády. Stejně záleží na směrech lidového proudění. Dnes by se chyba nedala napraviti nějakým prostřed</w:t>
      </w:r>
      <w:r>
        <w:softHyphen/>
        <w:t xml:space="preserve">kem parlamentárního systému, na příklad změnou vlády nebo </w:t>
      </w:r>
      <w:r>
        <w:t xml:space="preserve">volbami. To jsou rekvisity z dávných časů, řekněme z roku 1938 — neboť to jsou dávné časy. Nesmírně mnoho záleží nejenom na činech, nýbrž také na všem, co se u nás mluví a píše. Kdysi jsem řekl v Národním shromáždění větu, která dostala křídla: Slovo není </w:t>
      </w:r>
      <w:r>
        <w:t>sekyra. Dnes bych se neodvážil tak mluvit, naopak: myslím, že slovo může znamenati kanonádu. Bůh ví, že nikoho nestraším. Sám přece nepatřím k rodu strašpytlů.</w:t>
      </w:r>
    </w:p>
    <w:p w:rsidR="00500724" w:rsidRDefault="00F30FB8">
      <w:pPr>
        <w:pStyle w:val="Zkladntext20"/>
        <w:shd w:val="clear" w:color="auto" w:fill="auto"/>
        <w:spacing w:after="60"/>
        <w:ind w:firstLine="0"/>
        <w:jc w:val="center"/>
      </w:pPr>
      <w:r>
        <w:t>•</w:t>
      </w:r>
    </w:p>
    <w:p w:rsidR="00500724" w:rsidRDefault="00F30FB8">
      <w:pPr>
        <w:pStyle w:val="Zkladntext20"/>
        <w:shd w:val="clear" w:color="auto" w:fill="auto"/>
        <w:spacing w:after="60"/>
        <w:ind w:firstLine="260"/>
      </w:pPr>
      <w:r>
        <w:t>Čítáme nyní dosti často v tisku vládní strany o agi</w:t>
      </w:r>
      <w:r>
        <w:softHyphen/>
        <w:t>taci, která se děje v podzemí se jménem dr</w:t>
      </w:r>
      <w:r>
        <w:t>. Eduarda Beneše a s tajuplným jeho posláním za hranicemi. Dodává se, že je to agitace nebezpečná, protože může vrhnouti značné části národa na scestí, vzbuditi ne</w:t>
      </w:r>
      <w:r>
        <w:softHyphen/>
        <w:t>důvěru za hranicemi a vyvolat zdání, že odpovědná vláda hraje falešnou hru. Jest zapotřebí j</w:t>
      </w:r>
      <w:r>
        <w:t>asně říci, že by to opravdu mohlo býti osudné. Vláda musí být k Německu poctivě loyální a musí v tom míti pevnou oporu národa. Žádné jiné cesty není.</w:t>
      </w:r>
    </w:p>
    <w:p w:rsidR="00500724" w:rsidRDefault="00F30FB8">
      <w:pPr>
        <w:pStyle w:val="Zkladntext20"/>
        <w:shd w:val="clear" w:color="auto" w:fill="auto"/>
        <w:spacing w:after="60"/>
        <w:ind w:firstLine="260"/>
      </w:pPr>
      <w:r>
        <w:t>Mne ze všeho nejvíce a nejdříve zajímalo, zda tato agitace je vedena se souhlasem bývalého presidenta. Nev</w:t>
      </w:r>
      <w:r>
        <w:t>ěřil jsem tomu. Navštívil jsem dr. Eduarda Bene</w:t>
      </w:r>
      <w:r>
        <w:softHyphen/>
        <w:t>še v Sezimově Ostí krátce před jeho odjezdem do ciziny. Výslovně mi řekl, že hlavním politickým úko</w:t>
      </w:r>
      <w:r>
        <w:softHyphen/>
        <w:t>lem vlády bude, nalézti loyální poměr k Německu a uskutečniti ho. Dnes mohu dáti o Benešovi zprávu úplně spo</w:t>
      </w:r>
      <w:r>
        <w:t>lehlivou. Pochází z Londýna. Bývalý presi</w:t>
      </w:r>
      <w:r>
        <w:softHyphen/>
        <w:t>dent tam žije v úplném ústraní. Nehledá a neudržuje politických styků, nezasahuje do veřejných otázek, nechtěje ztěžovati posici pražské vlá</w:t>
      </w:r>
      <w:r>
        <w:softHyphen/>
        <w:t>dy. Pilně si připravuje přednášky pro americké uni</w:t>
      </w:r>
      <w:r>
        <w:softHyphen/>
        <w:t>versity, které ho pozv</w:t>
      </w:r>
      <w:r>
        <w:t>aly k vědecké součinnosti. Ještě sluší dodati, že žije se svou ženou úplně skromně v nevelkém bytě.</w:t>
      </w:r>
    </w:p>
    <w:p w:rsidR="00500724" w:rsidRDefault="00F30FB8">
      <w:pPr>
        <w:pStyle w:val="Zkladntext20"/>
        <w:shd w:val="clear" w:color="auto" w:fill="auto"/>
        <w:spacing w:after="60"/>
        <w:ind w:firstLine="260"/>
      </w:pPr>
      <w:r>
        <w:t>Tuto zprávu uveřejňuji v naději, že poučí lidi dobré vůle. Národ nemůže žiti z ilusí. Nesmí běžeti za blu</w:t>
      </w:r>
      <w:r>
        <w:softHyphen/>
        <w:t>dičkou, nechce-li spadnout do propasti. Fantastick</w:t>
      </w:r>
      <w:r>
        <w:t>é plány — sebe lépe míněné — jsou sebevražedné plá</w:t>
      </w:r>
      <w:r>
        <w:softHyphen/>
        <w:t>ny. Reálné skutečnosti dávají nám dosti nadějí v za</w:t>
      </w:r>
      <w:r>
        <w:softHyphen/>
        <w:t>bezpečení národního života, není třeba se oddávati zoufaleckému hazardu. Lidem dobré vůle to snad stačí. S lidmi zlé vůle ať si to vyřídí vláda po svém.</w:t>
      </w:r>
    </w:p>
    <w:p w:rsidR="00500724" w:rsidRDefault="00F30FB8">
      <w:pPr>
        <w:pStyle w:val="Zkladntext20"/>
        <w:shd w:val="clear" w:color="auto" w:fill="auto"/>
        <w:spacing w:after="40"/>
        <w:ind w:firstLine="260"/>
      </w:pPr>
      <w:r>
        <w:t>A nyní přihlédněme k druhé stránce té agitace. Ta legenda, která se tvoří kolem postavy bývalého presi</w:t>
      </w:r>
      <w:r>
        <w:softHyphen/>
        <w:t>denta, má nějaký kořen, nějakou příčinu. Hledáte ji v působení tajných tiskáren? V rozkladné činnosti ko</w:t>
      </w:r>
      <w:r>
        <w:softHyphen/>
        <w:t>munistických buněk? Pravím vám, že hledáte špatn</w:t>
      </w:r>
      <w:r>
        <w:t>ě. Ona vězí v mravním pathosu české duše lidové. Útoky na dr. Eduarda Beneše v části odpoledního tisku byly příliš drsné, příliš jednostranné, příliš nespravedlivé, než aby v lidové duši nevzbudily pravý opak. I v levě orientovaném lidu klesla popularita d</w:t>
      </w:r>
      <w:r>
        <w:t>r. Beneše až na bod mrazu, když se dostavily následky ztroskotané soustavy naší zahraniční politiky. Ale když potom přišlo hanobení skoro nelidské, dostavila se v lidové duši mravní reakce. Napíše-li se, že Beneš ukradl cen</w:t>
      </w:r>
      <w:r>
        <w:softHyphen/>
        <w:t xml:space="preserve">né sbírky, jež mu byly svěřeny, </w:t>
      </w:r>
      <w:r>
        <w:t>nesnese to lidová masa, když ví, že to není pravda. Ano, běží tu o mrav</w:t>
      </w:r>
      <w:r>
        <w:softHyphen/>
        <w:t>ní reakci, nikoli o politiku. Český lid je reali</w:t>
      </w:r>
      <w:r>
        <w:softHyphen/>
        <w:t>stický, zná celkem novou situaci státu a národa, rozumí tomu, co nyní znamená Německo a jak s ním musíme žít; český lid nekonspiruje, c</w:t>
      </w:r>
      <w:r>
        <w:t xml:space="preserve">hce politiku rozumnou, byť i důstojnou, nepodlézavou </w:t>
      </w:r>
      <w:r>
        <w:rPr>
          <w:b/>
          <w:bCs/>
        </w:rPr>
        <w:t xml:space="preserve">a </w:t>
      </w:r>
      <w:r>
        <w:t>sebevědomou tak, jak je v dané situaci možná. Legen</w:t>
      </w:r>
      <w:r>
        <w:softHyphen/>
        <w:t>da, která se podle zpráv tisku vládní strany tvoří kolem jména dr. Beneše, to není politika proti Berlínu, nýbrž mravní protest proti osobní křivdě.</w:t>
      </w:r>
    </w:p>
    <w:p w:rsidR="00500724" w:rsidRDefault="00F30FB8">
      <w:pPr>
        <w:pStyle w:val="Zkladntext20"/>
        <w:shd w:val="clear" w:color="auto" w:fill="auto"/>
        <w:spacing w:after="40" w:line="202" w:lineRule="auto"/>
        <w:ind w:firstLine="0"/>
        <w:jc w:val="center"/>
      </w:pPr>
      <w:r>
        <w:t>•</w:t>
      </w:r>
    </w:p>
    <w:p w:rsidR="00500724" w:rsidRDefault="00F30FB8">
      <w:pPr>
        <w:pStyle w:val="Zkladntext20"/>
        <w:shd w:val="clear" w:color="auto" w:fill="auto"/>
        <w:spacing w:after="40"/>
        <w:ind w:firstLine="260"/>
      </w:pPr>
      <w:r>
        <w:t>Jest pravda, že soustavu československé zahraniční politiky vytvořil dr. Eduard Beneš. Jest však také pravda, že za ni stála majorita Národního shromáždě</w:t>
      </w:r>
      <w:r>
        <w:softHyphen/>
        <w:t>ní a že s ní souhlasily všechny vlády, co jich v re</w:t>
      </w:r>
      <w:r>
        <w:softHyphen/>
        <w:t>publice bylo. Pisatel těchto řádků byl členem vl</w:t>
      </w:r>
      <w:r>
        <w:t>ády po jedenáct let. Byl náměstkem ministerských předsedů: Antonína Švehly, Františka Udržala, Jana Malypetra, Milana Hodži. Plně souhlasím s požadavkem, aby ne</w:t>
      </w:r>
      <w:r>
        <w:softHyphen/>
        <w:t>stranný tribunál prozkoumal a rozsoudil všechno, co souvisí s podzimní katastrofou. Ano, volejt</w:t>
      </w:r>
      <w:r>
        <w:t>e nás před soud národa a suďte. Pravím n á s, a nejmenuji nikoho jiného, n e ž s e b e. A až do doby, než tento tribunál řekne svůj rozsudek: Dosti Beneše! Zastavte útoky, přestaňte podněcovat. Již se ukazuje, že to má obrácené účinky. Zastavte také vešker</w:t>
      </w:r>
      <w:r>
        <w:t>u podzemní agitaci, o níž tu byla řeč. Pro jedno jméno ne</w:t>
      </w:r>
      <w:r>
        <w:softHyphen/>
        <w:t>může se přece rozbíjeti národ, zvláště v údobí tak nebezpečném. Semknutí sil je zapotřebí dnes více, než kdy jindy.</w:t>
      </w:r>
    </w:p>
    <w:p w:rsidR="00500724" w:rsidRDefault="00F30FB8">
      <w:pPr>
        <w:pStyle w:val="Zkladntext20"/>
        <w:shd w:val="clear" w:color="auto" w:fill="auto"/>
        <w:spacing w:after="40" w:line="202" w:lineRule="auto"/>
        <w:ind w:firstLine="0"/>
        <w:jc w:val="center"/>
      </w:pPr>
      <w:r>
        <w:t>•</w:t>
      </w:r>
    </w:p>
    <w:p w:rsidR="00500724" w:rsidRDefault="00F30FB8">
      <w:pPr>
        <w:pStyle w:val="Zkladntext20"/>
        <w:shd w:val="clear" w:color="auto" w:fill="auto"/>
        <w:spacing w:after="40" w:line="202" w:lineRule="auto"/>
        <w:ind w:firstLine="260"/>
      </w:pPr>
      <w:r>
        <w:t>Všichni víme, že je konec éry, značené jménem Eduarda Beneše. Draze jsme zaplati</w:t>
      </w:r>
      <w:r>
        <w:t>li zkušenost, že žádná síť spojeneckých smluv nebyla s to, vy- mazati z našeho života význam zeměpisu. Jest nám vyrovnati se s tím, že pádem mocenské soustavy evropské bude v našem životě hrát velikou roli sou</w:t>
      </w:r>
      <w:r>
        <w:softHyphen/>
        <w:t>sedství s největším evropským národem. Starejm</w:t>
      </w:r>
      <w:r>
        <w:t>e se, abychom i v tomto sousedství mohli zachovat ne</w:t>
      </w:r>
      <w:r>
        <w:softHyphen/>
        <w:t>porušenou národní duši, abychom tu mohli žiti po svém. Již nikdy nechceme býti mečem v cizích rukách, mečem namířeným k srdci jiného národa. Na jedné tragické zkušenosti máme dost.</w:t>
      </w:r>
    </w:p>
    <w:p w:rsidR="00500724" w:rsidRDefault="00F30FB8">
      <w:pPr>
        <w:pStyle w:val="Zkladntext20"/>
        <w:shd w:val="clear" w:color="auto" w:fill="auto"/>
        <w:tabs>
          <w:tab w:val="left" w:pos="4080"/>
        </w:tabs>
        <w:spacing w:after="280" w:line="202" w:lineRule="auto"/>
        <w:ind w:firstLine="260"/>
        <w:rPr>
          <w:sz w:val="20"/>
          <w:szCs w:val="20"/>
        </w:rPr>
      </w:pPr>
      <w:r>
        <w:t>Všichni toužíme, aby s</w:t>
      </w:r>
      <w:r>
        <w:t>tyky národů ve střední Evropě upraveny byly v přátelském duchu. Přátelství je ovšem poměr vzájemný. Na skutečném přátel</w:t>
      </w:r>
      <w:r>
        <w:softHyphen/>
        <w:t>ství dá se vybudovati trvalé dílo. Kdo by chtěl stavětí jinak, staví na písku.</w:t>
      </w:r>
      <w:r>
        <w:tab/>
      </w:r>
      <w:r>
        <w:rPr>
          <w:i/>
          <w:iCs/>
          <w:smallCaps/>
          <w:sz w:val="18"/>
          <w:szCs w:val="18"/>
        </w:rPr>
        <w:t>r.</w:t>
      </w:r>
      <w:r>
        <w:rPr>
          <w:i/>
          <w:iCs/>
          <w:sz w:val="20"/>
          <w:szCs w:val="20"/>
        </w:rPr>
        <w:t xml:space="preserve"> Bechyně</w:t>
      </w:r>
    </w:p>
    <w:p w:rsidR="00500724" w:rsidRDefault="00F30FB8">
      <w:pPr>
        <w:pStyle w:val="Jin0"/>
        <w:pBdr>
          <w:bottom w:val="single" w:sz="4" w:space="0" w:color="auto"/>
        </w:pBdr>
        <w:shd w:val="clear" w:color="auto" w:fill="auto"/>
        <w:spacing w:after="280"/>
        <w:ind w:firstLine="0"/>
        <w:jc w:val="left"/>
        <w:rPr>
          <w:sz w:val="44"/>
          <w:szCs w:val="44"/>
        </w:rPr>
      </w:pPr>
      <w:r>
        <w:rPr>
          <w:b/>
          <w:bCs/>
          <w:sz w:val="44"/>
          <w:szCs w:val="44"/>
        </w:rPr>
        <w:t>poznámky</w:t>
      </w:r>
    </w:p>
    <w:p w:rsidR="00500724" w:rsidRDefault="00F30FB8">
      <w:pPr>
        <w:pStyle w:val="Zkladntext20"/>
        <w:shd w:val="clear" w:color="auto" w:fill="auto"/>
        <w:spacing w:after="80" w:line="180" w:lineRule="auto"/>
        <w:ind w:firstLine="0"/>
        <w:jc w:val="center"/>
        <w:rPr>
          <w:sz w:val="20"/>
          <w:szCs w:val="20"/>
        </w:rPr>
      </w:pPr>
      <w:r>
        <w:rPr>
          <w:b/>
          <w:bCs/>
          <w:sz w:val="20"/>
          <w:szCs w:val="20"/>
        </w:rPr>
        <w:t>český aktivismus</w:t>
      </w:r>
    </w:p>
    <w:p w:rsidR="00500724" w:rsidRDefault="00F30FB8">
      <w:pPr>
        <w:pStyle w:val="Zkladntext1"/>
        <w:numPr>
          <w:ilvl w:val="0"/>
          <w:numId w:val="14"/>
        </w:numPr>
        <w:shd w:val="clear" w:color="auto" w:fill="auto"/>
        <w:tabs>
          <w:tab w:val="left" w:pos="540"/>
        </w:tabs>
        <w:spacing w:after="40" w:line="190" w:lineRule="auto"/>
        <w:ind w:firstLine="340"/>
      </w:pPr>
      <w:r>
        <w:rPr>
          <w:b/>
          <w:bCs/>
        </w:rPr>
        <w:t xml:space="preserve">předmnichovských </w:t>
      </w:r>
      <w:r>
        <w:rPr>
          <w:b/>
          <w:bCs/>
        </w:rPr>
        <w:t>dobách jsme říhali tomu směni německé politiky, který se stavěl na půdu našeho státu a chtěl zlepšit postaveni německého obyvatelstva positivní součinností s vládou, aktivismus. Hlásila se k němu v prvních dobách své existence i bývalá sudetoněmecká stra</w:t>
      </w:r>
      <w:r>
        <w:rPr>
          <w:b/>
          <w:bCs/>
        </w:rPr>
        <w:softHyphen/>
        <w:t>n</w:t>
      </w:r>
      <w:r>
        <w:rPr>
          <w:b/>
          <w:bCs/>
        </w:rPr>
        <w:t>a, která ostatně setrvala formálně na tomto kladném sta</w:t>
      </w:r>
      <w:r>
        <w:rPr>
          <w:b/>
          <w:bCs/>
        </w:rPr>
        <w:softHyphen/>
        <w:t>novisku až do září 1938. Politiku, kterou děláme od tohoto osudného měsíce my, mohli bychom zase nazvat aktivismem ěeským. Dělají ji naši lidé, kteří zůstali za novými hrani</w:t>
      </w:r>
      <w:r>
        <w:rPr>
          <w:b/>
          <w:bCs/>
        </w:rPr>
        <w:softHyphen/>
        <w:t>cemi — tím, že hlasovali »</w:t>
      </w:r>
      <w:r>
        <w:rPr>
          <w:b/>
          <w:bCs/>
        </w:rPr>
        <w:t>ano« při volbách do říšského sněmu a že si vůbec počínají loyálně — dělá ji i naše vláda zde — tím, že pracuje pro dorozumění s Německem. Jak se pamatujeme, měl německý aktivismus ke stavu, vytvořené</w:t>
      </w:r>
      <w:r>
        <w:rPr>
          <w:b/>
          <w:bCs/>
        </w:rPr>
        <w:softHyphen/>
        <w:t>mu versailieskými smlouvami některé výhrady; ale ty mu n</w:t>
      </w:r>
      <w:r>
        <w:rPr>
          <w:b/>
          <w:bCs/>
        </w:rPr>
        <w:t>ebránily, aby se dal na cestu spolupráce. I tady by se našla analogie.</w:t>
      </w:r>
    </w:p>
    <w:p w:rsidR="00500724" w:rsidRDefault="00F30FB8">
      <w:pPr>
        <w:pStyle w:val="Zkladntext1"/>
        <w:numPr>
          <w:ilvl w:val="0"/>
          <w:numId w:val="14"/>
        </w:numPr>
        <w:shd w:val="clear" w:color="auto" w:fill="auto"/>
        <w:tabs>
          <w:tab w:val="left" w:pos="270"/>
        </w:tabs>
        <w:spacing w:line="190" w:lineRule="auto"/>
        <w:ind w:firstLine="340"/>
      </w:pPr>
      <w:r>
        <w:rPr>
          <w:b/>
          <w:bCs/>
        </w:rPr>
        <w:t>čem byla slabost německého aktivismu, eo podlamo- válo jeho životní sílu a jeho akční schopnost? Jeho malé úspěchy politické. Němečtí politikové se něco navykládali, že nedosáhnou-li ně</w:t>
      </w:r>
      <w:r>
        <w:rPr>
          <w:b/>
          <w:bCs/>
        </w:rPr>
        <w:t>jakého velkého a hmatatelného úspěchu, nebudou moci svému lidu odůvodnit a dokázat správnost své politiky. Měli pravdu, neboť nic není jistějšího než to, že jakost každé politiky se měří a posuzuje podle jejích výsledků. Jejich postavení ovšem bylo o to ob</w:t>
      </w:r>
      <w:r>
        <w:rPr>
          <w:b/>
          <w:bCs/>
        </w:rPr>
        <w:t>tížnější než postavení rodícího se aktivismu českého, že za jejich zády bujel radikalismus, s nímž bylo velmi těžko konlnirovat a v jehož očích žádný úspěch nebyl dosti veliký. V Čechách radikalismu není a náš občan je jistě z nejsoudnějších na celém světě</w:t>
      </w:r>
      <w:r>
        <w:rPr>
          <w:b/>
          <w:bCs/>
        </w:rPr>
        <w:t>. Překážek toho druhu, s nimiž tak těžce zápolil německý aktivismus, u nás taky není. Mohly by se vyskyt</w:t>
      </w:r>
      <w:r>
        <w:rPr>
          <w:b/>
          <w:bCs/>
        </w:rPr>
        <w:softHyphen/>
        <w:t>nout překážky jen tam, kde my nemáme možnost je odstra</w:t>
      </w:r>
      <w:r>
        <w:rPr>
          <w:b/>
          <w:bCs/>
        </w:rPr>
        <w:softHyphen/>
        <w:t>ňovat.</w:t>
      </w:r>
    </w:p>
    <w:p w:rsidR="00500724" w:rsidRDefault="00F30FB8">
      <w:pPr>
        <w:pStyle w:val="Zkladntext1"/>
        <w:shd w:val="clear" w:color="auto" w:fill="auto"/>
        <w:tabs>
          <w:tab w:val="left" w:pos="4656"/>
        </w:tabs>
        <w:spacing w:after="240" w:line="187" w:lineRule="auto"/>
        <w:ind w:firstLine="300"/>
      </w:pPr>
      <w:r>
        <w:rPr>
          <w:b/>
          <w:bCs/>
        </w:rPr>
        <w:t>Chceme říci, že osud českého aktivismu v očích našeho lidu bude záviset na tom, kolik úsp</w:t>
      </w:r>
      <w:r>
        <w:rPr>
          <w:b/>
          <w:bCs/>
        </w:rPr>
        <w:t>ěchů si tento aktivismus dobude. Nezabývejme se otázkou, zdali vůbec jsou nějaké úspěchy, které by mohly vyvážit naše oběti. Ale jistě se shodneme v tom — a snad se to cítí i na německé straně — že nějaké úspěchy přijít musí a že stav, který byl vytvo</w:t>
      </w:r>
      <w:r>
        <w:rPr>
          <w:b/>
          <w:bCs/>
        </w:rPr>
        <w:softHyphen/>
        <w:t>řen,</w:t>
      </w:r>
      <w:r>
        <w:rPr>
          <w:b/>
          <w:bCs/>
        </w:rPr>
        <w:t xml:space="preserve"> se musí projevit nějakými zřejmými výhodami také pro českou stranu. Proto se hned po mnichovské úpravě u nás ozvaly hlasy, že by bylo v zájmu věci, kdyby s němec</w:t>
      </w:r>
      <w:r>
        <w:rPr>
          <w:b/>
          <w:bCs/>
        </w:rPr>
        <w:softHyphen/>
        <w:t>ké strany přišlo nějaké smířlivé gesto. Myslilo se tehdy hlavně na rozhraničovací práce. Snad</w:t>
      </w:r>
      <w:r>
        <w:rPr>
          <w:b/>
          <w:bCs/>
        </w:rPr>
        <w:t xml:space="preserve"> to bylo volání před</w:t>
      </w:r>
      <w:r>
        <w:rPr>
          <w:b/>
          <w:bCs/>
        </w:rPr>
        <w:softHyphen/>
        <w:t>časné, snad bylo tehdy nedůvěry ještě příliš mnoho, než aby se bylo mohlo učinit něco velkorysého. Ale pravda zůstává pravdou, a čím víc se budeme vzdalovat od osud</w:t>
      </w:r>
      <w:r>
        <w:rPr>
          <w:b/>
          <w:bCs/>
        </w:rPr>
        <w:softHyphen/>
        <w:t>ného podzimu 1938, tím víc bude vzrůstat její naléhavost. Snad se už v</w:t>
      </w:r>
      <w:r>
        <w:rPr>
          <w:b/>
          <w:bCs/>
        </w:rPr>
        <w:t xml:space="preserve"> Německu začíná oceňovat dobrá vůle naší vlády, když se vidí, jak bedlivě ona dbá toho, aby se ani slův</w:t>
      </w:r>
      <w:r>
        <w:rPr>
          <w:b/>
          <w:bCs/>
        </w:rPr>
        <w:softHyphen/>
        <w:t>kem, ani tónem neporušilo to ovzduší, které je potřebí k plnému uklidnění a dorozumění. Tím spíš je třeba připomí</w:t>
      </w:r>
      <w:r>
        <w:rPr>
          <w:b/>
          <w:bCs/>
        </w:rPr>
        <w:softHyphen/>
        <w:t>nat to, co jsme právě napsali. Všechno</w:t>
      </w:r>
      <w:r>
        <w:rPr>
          <w:b/>
          <w:bCs/>
        </w:rPr>
        <w:t xml:space="preserve"> záleží na tom. aby naše dorozumění s Německem nemělo jen nějaké konjuk- turní a proto chabé základy. Mají-li se položit základy pevné, je k tomu třeba upřímně a poctivě si navzájem objasnit sta</w:t>
      </w:r>
      <w:r>
        <w:rPr>
          <w:b/>
          <w:bCs/>
        </w:rPr>
        <w:softHyphen/>
        <w:t>noviska. Pravda, kterou jsme připomněli, nemůže být při takov</w:t>
      </w:r>
      <w:r>
        <w:rPr>
          <w:b/>
          <w:bCs/>
        </w:rPr>
        <w:t>é výměně názorů pominuta.</w:t>
      </w:r>
      <w:r>
        <w:rPr>
          <w:b/>
          <w:bCs/>
        </w:rPr>
        <w:tab/>
        <w:t>Z. S.</w:t>
      </w:r>
    </w:p>
    <w:p w:rsidR="00500724" w:rsidRDefault="00F30FB8">
      <w:pPr>
        <w:pStyle w:val="Zkladntext1"/>
        <w:shd w:val="clear" w:color="auto" w:fill="auto"/>
        <w:spacing w:after="80" w:line="178" w:lineRule="auto"/>
        <w:ind w:firstLine="0"/>
        <w:jc w:val="center"/>
        <w:rPr>
          <w:sz w:val="20"/>
          <w:szCs w:val="20"/>
        </w:rPr>
      </w:pPr>
      <w:r>
        <w:rPr>
          <w:b/>
          <w:bCs/>
          <w:sz w:val="20"/>
          <w:szCs w:val="20"/>
        </w:rPr>
        <w:t>Bada Společnosti národů zasedala</w:t>
      </w:r>
    </w:p>
    <w:p w:rsidR="00500724" w:rsidRDefault="00F30FB8">
      <w:pPr>
        <w:pStyle w:val="Zkladntext1"/>
        <w:shd w:val="clear" w:color="auto" w:fill="auto"/>
        <w:spacing w:line="187" w:lineRule="auto"/>
        <w:ind w:firstLine="300"/>
      </w:pPr>
      <w:r>
        <w:rPr>
          <w:b/>
          <w:bCs/>
        </w:rPr>
        <w:t>Těm, kdož to nepostřehli, je určeno těchto několik řádek.</w:t>
      </w:r>
    </w:p>
    <w:p w:rsidR="00500724" w:rsidRDefault="00F30FB8">
      <w:pPr>
        <w:pStyle w:val="Zkladntext1"/>
        <w:shd w:val="clear" w:color="auto" w:fill="auto"/>
        <w:spacing w:line="187" w:lineRule="auto"/>
        <w:ind w:firstLine="300"/>
      </w:pPr>
      <w:r>
        <w:rPr>
          <w:b/>
          <w:bCs/>
        </w:rPr>
        <w:t>V dřívějších letech, a to ještě i po vystoupení Německa a Itálie, těšila se sezení ženevské instituce velikému meziná</w:t>
      </w:r>
      <w:r>
        <w:rPr>
          <w:b/>
          <w:bCs/>
        </w:rPr>
        <w:softHyphen/>
        <w:t xml:space="preserve">rodnímu zájmu. </w:t>
      </w:r>
      <w:r>
        <w:rPr>
          <w:b/>
          <w:bCs/>
        </w:rPr>
        <w:t>Hlavní světové deníky přinášely o jednání na prvých stránkách obšírné referáty a vysílaly do Ženevy své zvláštní zpravodaje. Též i tisk států, stavících se proti Společnosti národů, věnoval ženevským poradám širokou pozornost.</w:t>
      </w:r>
    </w:p>
    <w:p w:rsidR="00500724" w:rsidRDefault="00F30FB8">
      <w:pPr>
        <w:pStyle w:val="Zkladntext1"/>
        <w:shd w:val="clear" w:color="auto" w:fill="auto"/>
        <w:spacing w:line="187" w:lineRule="auto"/>
        <w:ind w:firstLine="300"/>
      </w:pPr>
      <w:r>
        <w:rPr>
          <w:b/>
          <w:bCs/>
        </w:rPr>
        <w:t>A dnes? 104. zasedání rady Sp</w:t>
      </w:r>
      <w:r>
        <w:rPr>
          <w:b/>
          <w:bCs/>
        </w:rPr>
        <w:t>olečnosti národů, k ně</w:t>
      </w:r>
      <w:r>
        <w:rPr>
          <w:b/>
          <w:bCs/>
        </w:rPr>
        <w:softHyphen/>
        <w:t>muž došlo v třetím týdnu lednovém, bylo zahájeno a skon</w:t>
      </w:r>
      <w:r>
        <w:rPr>
          <w:b/>
          <w:bCs/>
        </w:rPr>
        <w:softHyphen/>
        <w:t>čeno v neobyčejné tichosti. Světový tisk demokratických stá</w:t>
      </w:r>
      <w:r>
        <w:rPr>
          <w:b/>
          <w:bCs/>
        </w:rPr>
        <w:softHyphen/>
        <w:t>tů věnoval celému ženevskému jednání jen několik drob</w:t>
      </w:r>
      <w:r>
        <w:rPr>
          <w:b/>
          <w:bCs/>
        </w:rPr>
        <w:softHyphen/>
        <w:t>ných noticek na podružných místech, zatím co přední sloup</w:t>
      </w:r>
      <w:r>
        <w:rPr>
          <w:b/>
          <w:bCs/>
        </w:rPr>
        <w:softHyphen/>
        <w:t>ce se</w:t>
      </w:r>
      <w:r>
        <w:rPr>
          <w:b/>
          <w:bCs/>
        </w:rPr>
        <w:t xml:space="preserve"> zabývaly návštěvou britských ministrů v Římě, mi</w:t>
      </w:r>
      <w:r>
        <w:rPr>
          <w:b/>
          <w:bCs/>
        </w:rPr>
        <w:softHyphen/>
        <w:t>nistra Bečka v Německu, Ciana v Jugoslávii a jinými udá- lostmi většího významu, než jaký dnes představují jednání ženevská. Suchý tón těchto noticek pak zřejmě nasvědčoval tomu, že tu šlo jen o nezbytnou r</w:t>
      </w:r>
      <w:r>
        <w:rPr>
          <w:b/>
          <w:bCs/>
        </w:rPr>
        <w:t>eferentskou povinnost.</w:t>
      </w:r>
    </w:p>
    <w:p w:rsidR="00500724" w:rsidRDefault="00F30FB8">
      <w:pPr>
        <w:pStyle w:val="Zkladntext1"/>
        <w:shd w:val="clear" w:color="auto" w:fill="auto"/>
        <w:spacing w:line="187" w:lineRule="auto"/>
        <w:ind w:firstLine="300"/>
      </w:pPr>
      <w:r>
        <w:rPr>
          <w:b/>
          <w:bCs/>
        </w:rPr>
        <w:t>A přece bylo v Ženevě jednáno o otázkách nemalé dů</w:t>
      </w:r>
      <w:r>
        <w:rPr>
          <w:b/>
          <w:bCs/>
        </w:rPr>
        <w:softHyphen/>
        <w:t>ležitosti: o Španělsku, Číně a Gdaňsku. Výsledek těchto po</w:t>
      </w:r>
      <w:r>
        <w:rPr>
          <w:b/>
          <w:bCs/>
        </w:rPr>
        <w:softHyphen/>
        <w:t>rad však ukazuje, že i těch pár noticek bylo větší pozorností, než si jí 104. zasedání Hady svými výsledky zasloužilo. Ve v</w:t>
      </w:r>
      <w:r>
        <w:rPr>
          <w:b/>
          <w:bCs/>
        </w:rPr>
        <w:t>ěci Španělska nedošlo k ničemu, co by stálo za zmín</w:t>
      </w:r>
      <w:r>
        <w:rPr>
          <w:b/>
          <w:bCs/>
        </w:rPr>
        <w:softHyphen/>
        <w:t>ku. Dokonce si Rada pochvalovala, jak pěkně bylo prove</w:t>
      </w:r>
      <w:r>
        <w:rPr>
          <w:b/>
          <w:bCs/>
        </w:rPr>
        <w:softHyphen/>
        <w:t xml:space="preserve">deno odvolání cizích dobrovolníků (zatím </w:t>
      </w:r>
      <w:r>
        <w:rPr>
          <w:b/>
          <w:bCs/>
          <w:lang w:val="en-US" w:eastAsia="en-US" w:bidi="en-US"/>
        </w:rPr>
        <w:t xml:space="preserve">co </w:t>
      </w:r>
      <w:r>
        <w:rPr>
          <w:b/>
          <w:bCs/>
        </w:rPr>
        <w:t xml:space="preserve">gen. </w:t>
      </w:r>
      <w:r>
        <w:rPr>
          <w:b/>
          <w:bCs/>
          <w:lang w:val="en-US" w:eastAsia="en-US" w:bidi="en-US"/>
        </w:rPr>
        <w:t xml:space="preserve">Franco </w:t>
      </w:r>
      <w:r>
        <w:rPr>
          <w:b/>
          <w:bCs/>
        </w:rPr>
        <w:t>před vstupem do Barcelony poslal Mussolinimu děkovný te</w:t>
      </w:r>
      <w:r>
        <w:rPr>
          <w:b/>
          <w:bCs/>
        </w:rPr>
        <w:softHyphen/>
        <w:t>legram za statečnost italských vojsk)</w:t>
      </w:r>
      <w:r>
        <w:rPr>
          <w:b/>
          <w:bCs/>
        </w:rPr>
        <w:t xml:space="preserve">. V otázce Číny byla schválena resoluce, vyzývající členské státy, zejména ty, jež mají na situaci na Dálném východě přímý zájem, aby přezkoumaly ve spolupráci s ostatními mocnostmi stejného zájmu návrhy čínské delegace, aby byla učiněna účinná opatření k </w:t>
      </w:r>
      <w:r>
        <w:rPr>
          <w:b/>
          <w:bCs/>
        </w:rPr>
        <w:t>pomoci Číně. Problém gdaňský byl pak vůbec odsunut, neboť příslušný výbor usoudil, že je oportunní od</w:t>
      </w:r>
      <w:r>
        <w:rPr>
          <w:b/>
          <w:bCs/>
        </w:rPr>
        <w:softHyphen/>
        <w:t xml:space="preserve">ložili definitivní zkoumání situace (totiž otázky, zda některé zákony, zavedené gdaňským senátem — zejména protižidov- </w:t>
      </w:r>
      <w:r>
        <w:rPr>
          <w:b/>
          <w:bCs/>
          <w:vertAlign w:val="superscript"/>
        </w:rPr>
        <w:t>s</w:t>
      </w:r>
      <w:r>
        <w:rPr>
          <w:b/>
          <w:bCs/>
        </w:rPr>
        <w:t>^,~ í</w:t>
      </w:r>
      <w:r>
        <w:rPr>
          <w:b/>
          <w:bCs/>
          <w:vertAlign w:val="superscript"/>
        </w:rPr>
        <w:t>sou v</w:t>
      </w:r>
      <w:r>
        <w:rPr>
          <w:b/>
          <w:bCs/>
        </w:rPr>
        <w:t xml:space="preserve"> rozporu se gdaňskou úst</w:t>
      </w:r>
      <w:r>
        <w:rPr>
          <w:b/>
          <w:bCs/>
        </w:rPr>
        <w:t>avou) do příštího za</w:t>
      </w:r>
      <w:r>
        <w:rPr>
          <w:b/>
          <w:bCs/>
        </w:rPr>
        <w:softHyphen/>
        <w:t>sedání Rady. Vysoký komisař zatim nastoupil svou dovole</w:t>
      </w:r>
      <w:r>
        <w:rPr>
          <w:b/>
          <w:bCs/>
        </w:rPr>
        <w:softHyphen/>
        <w:t>nou. (Patrně doufají, že problém se zatím vyřeší sám, a Rada bude moci už jen konstatovati výsledek.)</w:t>
      </w:r>
    </w:p>
    <w:p w:rsidR="00500724" w:rsidRDefault="00F30FB8">
      <w:pPr>
        <w:pStyle w:val="Zkladntext1"/>
        <w:shd w:val="clear" w:color="auto" w:fill="auto"/>
        <w:tabs>
          <w:tab w:val="left" w:pos="4735"/>
        </w:tabs>
        <w:spacing w:after="160" w:line="182" w:lineRule="auto"/>
        <w:ind w:firstLine="300"/>
      </w:pPr>
      <w:r>
        <w:rPr>
          <w:b/>
          <w:bCs/>
        </w:rPr>
        <w:t xml:space="preserve">Rada tedy opravdu zasedala. Zasedala tiše a nenápadně. Věděla proč a je </w:t>
      </w:r>
      <w:r>
        <w:rPr>
          <w:b/>
          <w:bCs/>
        </w:rPr>
        <w:t>vděčna, že nebyla rušena ze své pomalé agónie.</w:t>
      </w:r>
      <w:r>
        <w:rPr>
          <w:b/>
          <w:bCs/>
        </w:rPr>
        <w:tab/>
        <w:t>#í,s</w:t>
      </w:r>
    </w:p>
    <w:p w:rsidR="00500724" w:rsidRDefault="00F30FB8">
      <w:pPr>
        <w:pStyle w:val="Zkladntext1"/>
        <w:shd w:val="clear" w:color="auto" w:fill="auto"/>
        <w:spacing w:after="100" w:line="178" w:lineRule="auto"/>
        <w:ind w:left="60" w:firstLine="0"/>
        <w:jc w:val="center"/>
        <w:rPr>
          <w:sz w:val="20"/>
          <w:szCs w:val="20"/>
        </w:rPr>
      </w:pPr>
      <w:r>
        <w:rPr>
          <w:b/>
          <w:bCs/>
          <w:sz w:val="20"/>
          <w:szCs w:val="20"/>
        </w:rPr>
        <w:t>Co znamená Schachtův odchod?</w:t>
      </w:r>
    </w:p>
    <w:p w:rsidR="00500724" w:rsidRDefault="00F30FB8">
      <w:pPr>
        <w:pStyle w:val="Zkladntext1"/>
        <w:shd w:val="clear" w:color="auto" w:fill="auto"/>
        <w:spacing w:line="185" w:lineRule="auto"/>
        <w:ind w:firstLine="300"/>
      </w:pPr>
      <w:r>
        <w:rPr>
          <w:b/>
          <w:bCs/>
        </w:rPr>
        <w:t>Dne 21. ledna 1939 odešel dr. Hjalmar Schacht z úřadu presidenta Reichsbank a od toho dne si klade všechen svě</w:t>
      </w:r>
      <w:r>
        <w:rPr>
          <w:b/>
          <w:bCs/>
        </w:rPr>
        <w:softHyphen/>
        <w:t>tový tisk, City, Wallstreet a mnoho vlád otázku, co Schach</w:t>
      </w:r>
      <w:r>
        <w:rPr>
          <w:b/>
          <w:bCs/>
        </w:rPr>
        <w:softHyphen/>
        <w:t>tův o</w:t>
      </w:r>
      <w:r>
        <w:rPr>
          <w:b/>
          <w:bCs/>
        </w:rPr>
        <w:t>dchod znamená. Zatím ještě nenašel nikdo uspokojivou odpověď.</w:t>
      </w:r>
    </w:p>
    <w:p w:rsidR="00500724" w:rsidRDefault="00F30FB8">
      <w:pPr>
        <w:pStyle w:val="Zkladntext1"/>
        <w:shd w:val="clear" w:color="auto" w:fill="auto"/>
        <w:spacing w:line="187" w:lineRule="auto"/>
        <w:ind w:firstLine="300"/>
      </w:pPr>
      <w:r>
        <w:rPr>
          <w:b/>
          <w:bCs/>
        </w:rPr>
        <w:t>Tento dvaašedesátiletý muž, dosud naprosto svěží a čilý, byl pro západní svět jakýmsi symbolem, že finanční a hospo</w:t>
      </w:r>
      <w:r>
        <w:rPr>
          <w:b/>
          <w:bCs/>
        </w:rPr>
        <w:softHyphen/>
        <w:t>dářské věci v Německu mohou sice býti spravovány »kouzel- níkema, který neváhá</w:t>
      </w:r>
      <w:r>
        <w:rPr>
          <w:b/>
          <w:bCs/>
        </w:rPr>
        <w:t xml:space="preserve"> měnit rychle své náčiní i způsoby, ale konec konců vychází přece jen stále z několika zásad, jež jsou společné všem kapitalistickým národohospodářům a bankéřům.</w:t>
      </w:r>
    </w:p>
    <w:p w:rsidR="00500724" w:rsidRDefault="00F30FB8">
      <w:pPr>
        <w:pStyle w:val="Zkladntext1"/>
        <w:shd w:val="clear" w:color="auto" w:fill="auto"/>
        <w:spacing w:line="187" w:lineRule="auto"/>
        <w:ind w:firstLine="300"/>
      </w:pPr>
      <w:r>
        <w:rPr>
          <w:b/>
          <w:bCs/>
        </w:rPr>
        <w:t>Schacht učinil své jméno světově proslulým po prvé i. 1923, a kritisuje-li se jeho tehdejší hi</w:t>
      </w:r>
      <w:r>
        <w:rPr>
          <w:b/>
          <w:bCs/>
        </w:rPr>
        <w:t>storický úspěch jako »jednoduchý nápade, pak je to oprávněné, ale vlastní vtip a síla byly vprovedení tohoto nápadu. Německá marka se tenkrát počítala v astronomických cifrách, když demo</w:t>
      </w:r>
      <w:r>
        <w:rPr>
          <w:b/>
          <w:bCs/>
        </w:rPr>
        <w:softHyphen/>
        <w:t>kratická strana povolala Schachta do presidentství Reichs</w:t>
      </w:r>
      <w:r>
        <w:rPr>
          <w:b/>
          <w:bCs/>
        </w:rPr>
        <w:softHyphen/>
        <w:t>bank. Tehdy</w:t>
      </w:r>
      <w:r>
        <w:rPr>
          <w:b/>
          <w:bCs/>
        </w:rPr>
        <w:t xml:space="preserve"> si Schacht uvědomil, že měnová jednotka ne</w:t>
      </w:r>
      <w:r>
        <w:rPr>
          <w:b/>
          <w:bCs/>
        </w:rPr>
        <w:softHyphen/>
        <w:t>smí se povalovat všude ve spoustách, má-li míti nějakou cenu, a že musí být podložena zlatém, bude-li státní hospo</w:t>
      </w:r>
      <w:r>
        <w:rPr>
          <w:b/>
          <w:bCs/>
        </w:rPr>
        <w:softHyphen/>
        <w:t>dářství v pořádku. Tuto ideu hájil ostatně již Rathenau r. 1921 na janovské konferenci, uváděje r</w:t>
      </w:r>
      <w:r>
        <w:rPr>
          <w:b/>
          <w:bCs/>
        </w:rPr>
        <w:t>ovnovážný rozpoč et, rozsáhlý, byť i jen vyrovnaný zahranič</w:t>
      </w:r>
      <w:r>
        <w:rPr>
          <w:b/>
          <w:bCs/>
        </w:rPr>
        <w:softHyphen/>
        <w:t>ní obchod, vzájemnou výměnu zboží a práce mezi státy na základě co nejliberálnější obchodní politiky a po</w:t>
      </w:r>
      <w:r>
        <w:rPr>
          <w:b/>
          <w:bCs/>
        </w:rPr>
        <w:softHyphen/>
        <w:t>stupné zvyšováni životní úrovně pracujících lidí spolu správníbezpečností jako čtyři zákla</w:t>
      </w:r>
      <w:r>
        <w:rPr>
          <w:b/>
          <w:bCs/>
        </w:rPr>
        <w:t>dní opory hospodářské obnovy Evropy a zvláště Německa. Schacht energicky zarazil německé republice nekryté výdaje a půjč</w:t>
      </w:r>
      <w:r>
        <w:rPr>
          <w:b/>
          <w:bCs/>
        </w:rPr>
        <w:softHyphen/>
        <w:t>ky na směnky u cedulové banky a vytvořil Rentenmarku. Roku 1932 odešel z úřadu, když za hospodářské krise repu</w:t>
      </w:r>
      <w:r>
        <w:rPr>
          <w:b/>
          <w:bCs/>
        </w:rPr>
        <w:softHyphen/>
        <w:t>blika nedovedla tyto rad</w:t>
      </w:r>
      <w:r>
        <w:rPr>
          <w:b/>
          <w:bCs/>
        </w:rPr>
        <w:t>y sledovat.</w:t>
      </w:r>
    </w:p>
    <w:p w:rsidR="00500724" w:rsidRDefault="00F30FB8">
      <w:pPr>
        <w:pStyle w:val="Zkladntext1"/>
        <w:shd w:val="clear" w:color="auto" w:fill="auto"/>
        <w:spacing w:line="187" w:lineRule="auto"/>
        <w:ind w:firstLine="300"/>
      </w:pPr>
      <w:r>
        <w:rPr>
          <w:b/>
          <w:bCs/>
        </w:rPr>
        <w:t>Roku 1934 ze svého dočasného ústraní radil novému ně</w:t>
      </w:r>
      <w:r>
        <w:rPr>
          <w:b/>
          <w:bCs/>
        </w:rPr>
        <w:softHyphen/>
        <w:t>meckému režimu především k investicím a výdajům peněz, čehož se vláda ovšem ochotně chopila. Tak se Schacht vrá</w:t>
      </w:r>
      <w:r>
        <w:rPr>
          <w:b/>
          <w:bCs/>
        </w:rPr>
        <w:softHyphen/>
        <w:t>til do presidentství Reichsbank a stal se ministrem hospo</w:t>
      </w:r>
      <w:r>
        <w:rPr>
          <w:b/>
          <w:bCs/>
        </w:rPr>
        <w:softHyphen/>
        <w:t>dářství k tomu. Schac</w:t>
      </w:r>
      <w:r>
        <w:rPr>
          <w:b/>
          <w:bCs/>
        </w:rPr>
        <w:t>htova pružnost byla v tom, že nelpěl na doktríně, třeba dobře věděl, kdy kterou užít.</w:t>
      </w:r>
    </w:p>
    <w:p w:rsidR="00500724" w:rsidRDefault="00F30FB8">
      <w:pPr>
        <w:pStyle w:val="Zkladntext1"/>
        <w:shd w:val="clear" w:color="auto" w:fill="auto"/>
        <w:spacing w:line="190" w:lineRule="auto"/>
      </w:pPr>
      <w:r>
        <w:rPr>
          <w:b/>
          <w:bCs/>
        </w:rPr>
        <w:t xml:space="preserve">Nástupce Schachtův, dr. </w:t>
      </w:r>
      <w:r>
        <w:rPr>
          <w:b/>
          <w:bCs/>
          <w:lang w:val="en-US" w:eastAsia="en-US" w:bidi="en-US"/>
        </w:rPr>
        <w:t xml:space="preserve">Funk, </w:t>
      </w:r>
      <w:r>
        <w:rPr>
          <w:b/>
          <w:bCs/>
        </w:rPr>
        <w:t>rovněž bývalý národo</w:t>
      </w:r>
      <w:r>
        <w:rPr>
          <w:b/>
          <w:bCs/>
        </w:rPr>
        <w:softHyphen/>
        <w:t xml:space="preserve">hospodářský redaktor </w:t>
      </w:r>
      <w:r>
        <w:rPr>
          <w:b/>
          <w:bCs/>
          <w:lang w:val="en-US" w:eastAsia="en-US" w:bidi="en-US"/>
        </w:rPr>
        <w:t xml:space="preserve">(Berliner </w:t>
      </w:r>
      <w:r>
        <w:rPr>
          <w:b/>
          <w:bCs/>
        </w:rPr>
        <w:t xml:space="preserve">Boersen Zcitung), je člověk uvážlivý, který se pravděpodobně nedopustí žádné neprozře- </w:t>
      </w:r>
      <w:r>
        <w:rPr>
          <w:b/>
          <w:bCs/>
        </w:rPr>
        <w:t>telnosti; proto asi byl vybrán on a ne Feder, který jaksi byl příliš teoretik a oblačný muž.</w:t>
      </w:r>
    </w:p>
    <w:p w:rsidR="00500724" w:rsidRDefault="00F30FB8">
      <w:pPr>
        <w:pStyle w:val="Zkladntext1"/>
        <w:shd w:val="clear" w:color="auto" w:fill="auto"/>
        <w:tabs>
          <w:tab w:val="left" w:pos="4735"/>
        </w:tabs>
        <w:spacing w:after="160" w:line="190" w:lineRule="auto"/>
        <w:ind w:firstLine="300"/>
      </w:pPr>
      <w:r>
        <w:rPr>
          <w:b/>
          <w:bCs/>
        </w:rPr>
        <w:t>Přes to vše je pozornost nad Schachtovým odchodem ve</w:t>
      </w:r>
      <w:r>
        <w:rPr>
          <w:b/>
          <w:bCs/>
        </w:rPr>
        <w:softHyphen/>
        <w:t>liká, neboť se v něm vidi počátek nového údob</w:t>
      </w:r>
      <w:r>
        <w:rPr>
          <w:b/>
          <w:bCs/>
          <w:i/>
          <w:iCs/>
        </w:rPr>
        <w:t xml:space="preserve">í, </w:t>
      </w:r>
      <w:r>
        <w:rPr>
          <w:b/>
          <w:bCs/>
        </w:rPr>
        <w:t>které nastávalo v Německu vždy, když Schacht buď přichá</w:t>
      </w:r>
      <w:r>
        <w:rPr>
          <w:b/>
          <w:bCs/>
        </w:rPr>
        <w:softHyphen/>
        <w:t>zel ne</w:t>
      </w:r>
      <w:r>
        <w:rPr>
          <w:b/>
          <w:bCs/>
        </w:rPr>
        <w:t>bo odcházel.</w:t>
      </w:r>
      <w:r>
        <w:rPr>
          <w:b/>
          <w:bCs/>
        </w:rPr>
        <w:tab/>
        <w:t>čís.</w:t>
      </w:r>
    </w:p>
    <w:p w:rsidR="00500724" w:rsidRDefault="00F30FB8">
      <w:pPr>
        <w:pStyle w:val="Zkladntext1"/>
        <w:shd w:val="clear" w:color="auto" w:fill="auto"/>
        <w:spacing w:after="60" w:line="178" w:lineRule="auto"/>
        <w:ind w:firstLine="0"/>
        <w:jc w:val="center"/>
        <w:rPr>
          <w:sz w:val="20"/>
          <w:szCs w:val="20"/>
        </w:rPr>
      </w:pPr>
      <w:r>
        <w:rPr>
          <w:b/>
          <w:bCs/>
          <w:sz w:val="20"/>
          <w:szCs w:val="20"/>
        </w:rPr>
        <w:t>Po pádu Barcelony</w:t>
      </w:r>
    </w:p>
    <w:p w:rsidR="00500724" w:rsidRDefault="00F30FB8">
      <w:pPr>
        <w:pStyle w:val="Zkladntext1"/>
        <w:shd w:val="clear" w:color="auto" w:fill="auto"/>
        <w:spacing w:line="187" w:lineRule="auto"/>
        <w:ind w:firstLine="300"/>
      </w:pPr>
      <w:r>
        <w:rPr>
          <w:b/>
          <w:bCs/>
        </w:rPr>
        <w:t>Katalánská tragedie po stránce vojenské se končí, teď nastane údobí osobních tragedií, jak patrně předvídají již britská i francouzská vláda, jež obě přikázaly svým zástup</w:t>
      </w:r>
      <w:r>
        <w:rPr>
          <w:b/>
          <w:bCs/>
        </w:rPr>
        <w:softHyphen/>
        <w:t xml:space="preserve">cům u generála </w:t>
      </w:r>
      <w:r>
        <w:rPr>
          <w:b/>
          <w:bCs/>
          <w:lang w:val="en-US" w:eastAsia="en-US" w:bidi="en-US"/>
        </w:rPr>
        <w:t xml:space="preserve">Franca, </w:t>
      </w:r>
      <w:r>
        <w:rPr>
          <w:b/>
          <w:bCs/>
        </w:rPr>
        <w:t xml:space="preserve">aby mu oznámily, že msta </w:t>
      </w:r>
      <w:r>
        <w:rPr>
          <w:b/>
          <w:bCs/>
        </w:rPr>
        <w:t>nad za</w:t>
      </w:r>
      <w:r>
        <w:rPr>
          <w:b/>
          <w:bCs/>
        </w:rPr>
        <w:softHyphen/>
        <w:t>jatci a občany dosud věrnými barcelonské vládě, by vyvo</w:t>
      </w:r>
      <w:r>
        <w:rPr>
          <w:b/>
          <w:bCs/>
        </w:rPr>
        <w:softHyphen/>
        <w:t>lala zlý dojem. Odpověď, daná jen polooficiálně, zní, že ta</w:t>
      </w:r>
      <w:r>
        <w:rPr>
          <w:b/>
          <w:bCs/>
        </w:rPr>
        <w:softHyphen/>
        <w:t>kové počínání by bylo »zcela odporující charakteru generála Franca«. K tomu možno jen poznamenat, že nelze nevidět, že se vzmáhá rost</w:t>
      </w:r>
      <w:r>
        <w:rPr>
          <w:b/>
          <w:bCs/>
        </w:rPr>
        <w:t>oucí úzkost stále většího počtu lidí v Evro</w:t>
      </w:r>
      <w:r>
        <w:rPr>
          <w:b/>
          <w:bCs/>
        </w:rPr>
        <w:softHyphen/>
        <w:t>pě i Americe nad bezmocností v těchto krvavých událostech, kterou až dosud projevovala demokratická Evropa.</w:t>
      </w:r>
    </w:p>
    <w:p w:rsidR="00500724" w:rsidRDefault="00F30FB8">
      <w:pPr>
        <w:pStyle w:val="Zkladntext1"/>
        <w:shd w:val="clear" w:color="auto" w:fill="auto"/>
        <w:spacing w:after="40" w:line="187" w:lineRule="auto"/>
        <w:ind w:firstLine="300"/>
        <w:sectPr w:rsidR="00500724">
          <w:footnotePr>
            <w:numFmt w:val="chicago"/>
            <w:numRestart w:val="eachPage"/>
          </w:footnotePr>
          <w:type w:val="continuous"/>
          <w:pgSz w:w="11909" w:h="16834"/>
          <w:pgMar w:top="1073" w:right="734" w:bottom="1136" w:left="658" w:header="0" w:footer="3" w:gutter="0"/>
          <w:cols w:num="2" w:space="110"/>
          <w:noEndnote/>
          <w:docGrid w:linePitch="360"/>
        </w:sectPr>
      </w:pPr>
      <w:r>
        <w:rPr>
          <w:b/>
          <w:bCs/>
        </w:rPr>
        <w:t xml:space="preserve">Co se bude díti nyní ve Španělsku dále? To stále ještě nelze přesněji předpovědět. Na řadě je Madrid s provinciemi k němu přilehlými, a je pravděpodobné, že nestane-li se v Evropě něco nečekaného, bude asi zanedlouho gen. </w:t>
      </w:r>
      <w:r>
        <w:rPr>
          <w:b/>
          <w:bCs/>
          <w:lang w:val="en-US" w:eastAsia="en-US" w:bidi="en-US"/>
        </w:rPr>
        <w:t xml:space="preserve">Franco </w:t>
      </w:r>
      <w:r>
        <w:rPr>
          <w:b/>
          <w:bCs/>
        </w:rPr>
        <w:t>pánem celého Španělska. Bud</w:t>
      </w:r>
      <w:r>
        <w:rPr>
          <w:b/>
          <w:bCs/>
        </w:rPr>
        <w:t>e pak míti před . sebou tri kardinální problémy: 1. všechny ty sociálně-hospo- dářské otázky, pro které občanská válka vypukla, totiž útisk malých rolníků, bídu dělníků, bohatství velkostatkářů a hospodářsky neorganisovanou zemi. 2. Zničený stát hmot</w:t>
      </w:r>
      <w:r>
        <w:rPr>
          <w:b/>
          <w:bCs/>
        </w:rPr>
        <w:softHyphen/>
        <w:t>ně, p</w:t>
      </w:r>
      <w:r>
        <w:rPr>
          <w:b/>
          <w:bCs/>
        </w:rPr>
        <w:t>sychologicky i mravně, který bude nutno vybudovat a při tom nějak smířit vášně včerejších válečníků. 3. Otázku</w:t>
      </w:r>
    </w:p>
    <w:p w:rsidR="00500724" w:rsidRDefault="00F30FB8">
      <w:pPr>
        <w:pStyle w:val="Nadpis90"/>
        <w:keepNext/>
        <w:keepLines/>
        <w:pBdr>
          <w:bottom w:val="single" w:sz="4" w:space="0" w:color="auto"/>
        </w:pBdr>
        <w:shd w:val="clear" w:color="auto" w:fill="auto"/>
        <w:spacing w:after="0"/>
        <w:jc w:val="center"/>
        <w:rPr>
          <w:sz w:val="42"/>
          <w:szCs w:val="42"/>
        </w:rPr>
        <w:sectPr w:rsidR="00500724">
          <w:footnotePr>
            <w:numFmt w:val="chicago"/>
            <w:numRestart w:val="eachPage"/>
          </w:footnotePr>
          <w:pgSz w:w="11909" w:h="16834"/>
          <w:pgMar w:top="865" w:right="802" w:bottom="987" w:left="667" w:header="0" w:footer="3" w:gutter="0"/>
          <w:cols w:space="720"/>
          <w:noEndnote/>
          <w:docGrid w:linePitch="360"/>
        </w:sectPr>
      </w:pPr>
      <w:bookmarkStart w:id="121" w:name="bookmark120"/>
      <w:r>
        <w:rPr>
          <w:rFonts w:ascii="Times New Roman" w:eastAsia="Times New Roman" w:hAnsi="Times New Roman" w:cs="Times New Roman"/>
          <w:sz w:val="42"/>
          <w:szCs w:val="42"/>
        </w:rPr>
        <w:t>PfftDmnosLz</w:t>
      </w:r>
      <w:bookmarkEnd w:id="121"/>
    </w:p>
    <w:p w:rsidR="00500724" w:rsidRDefault="00500724">
      <w:pPr>
        <w:spacing w:line="9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171" w:right="0" w:bottom="879" w:left="0" w:header="0" w:footer="3" w:gutter="0"/>
          <w:cols w:space="720"/>
          <w:noEndnote/>
          <w:docGrid w:linePitch="360"/>
        </w:sectPr>
      </w:pPr>
    </w:p>
    <w:p w:rsidR="00500724" w:rsidRDefault="00F30FB8">
      <w:pPr>
        <w:pStyle w:val="Zkladntext1"/>
        <w:shd w:val="clear" w:color="auto" w:fill="auto"/>
        <w:spacing w:line="187" w:lineRule="auto"/>
        <w:ind w:firstLine="0"/>
      </w:pPr>
      <w:r>
        <w:rPr>
          <w:b/>
          <w:bCs/>
        </w:rPr>
        <w:t>cizích armád v zemi, což je problém, který je pociťován ostře také již vlastn</w:t>
      </w:r>
      <w:r>
        <w:rPr>
          <w:b/>
          <w:bCs/>
        </w:rPr>
        <w:t xml:space="preserve">ími stoupenci gen. </w:t>
      </w:r>
      <w:r>
        <w:rPr>
          <w:b/>
          <w:bCs/>
          <w:lang w:val="en-US" w:eastAsia="en-US" w:bidi="en-US"/>
        </w:rPr>
        <w:t xml:space="preserve">Franca. </w:t>
      </w:r>
      <w:r>
        <w:rPr>
          <w:b/>
          <w:bCs/>
        </w:rPr>
        <w:t>To budou očividně úkoly přímo nadlidské, plné risik, s nečekanými možnostmi nových zlých sporů doma i za hranicemi.</w:t>
      </w:r>
    </w:p>
    <w:p w:rsidR="00500724" w:rsidRDefault="00F30FB8">
      <w:pPr>
        <w:pStyle w:val="Zkladntext1"/>
        <w:shd w:val="clear" w:color="auto" w:fill="auto"/>
        <w:spacing w:after="40" w:line="187" w:lineRule="auto"/>
        <w:ind w:firstLine="320"/>
      </w:pPr>
      <w:r>
        <w:rPr>
          <w:b/>
          <w:bCs/>
        </w:rPr>
        <w:t>V Paříži a v Londýně ovšem mají starosti bezprostřed</w:t>
      </w:r>
      <w:r>
        <w:rPr>
          <w:b/>
          <w:bCs/>
        </w:rPr>
        <w:softHyphen/>
        <w:t>nější: potvrdilo se, že Itálie povolala pod prapory ročník 1</w:t>
      </w:r>
      <w:r>
        <w:rPr>
          <w:b/>
          <w:bCs/>
        </w:rPr>
        <w:t>801, tedy nejlepší síly země, a nřes komplimenty, které Daladier ve čtvrtek vzdal italské armádě a italskému ná</w:t>
      </w:r>
      <w:r>
        <w:rPr>
          <w:b/>
          <w:bCs/>
        </w:rPr>
        <w:softHyphen/>
        <w:t>rodu, pokračuje protifrancouzská kampaň v italském tisku s prudkostí, která působí, že i největším smíškům v Paříži zamrzá úsměv. I v Londýně se</w:t>
      </w:r>
      <w:r>
        <w:rPr>
          <w:b/>
          <w:bCs/>
        </w:rPr>
        <w:t xml:space="preserve"> obávají, že úspěch Itálie ve Španělsku posílí mocnosti osy se všemi důsledky, které to bude míti na vývoj mezinárodní krise v západní Evropě.</w:t>
      </w:r>
    </w:p>
    <w:p w:rsidR="00500724" w:rsidRDefault="00F30FB8">
      <w:pPr>
        <w:pStyle w:val="Zkladntext1"/>
        <w:shd w:val="clear" w:color="auto" w:fill="auto"/>
        <w:spacing w:after="200" w:line="185" w:lineRule="auto"/>
        <w:ind w:firstLine="320"/>
        <w:rPr>
          <w:sz w:val="20"/>
          <w:szCs w:val="20"/>
        </w:rPr>
      </w:pPr>
      <w:r>
        <w:rPr>
          <w:b/>
          <w:bCs/>
        </w:rPr>
        <w:t>Pro nás ve střední Evropě však nadchází snad údobí poměrného oddechu. Cesty středoevropských diplomatů za zahrani</w:t>
      </w:r>
      <w:r>
        <w:rPr>
          <w:b/>
          <w:bCs/>
        </w:rPr>
        <w:t>čními ministry osj a jejich zájezdy do Polska a Ju</w:t>
      </w:r>
      <w:r>
        <w:rPr>
          <w:b/>
          <w:bCs/>
        </w:rPr>
        <w:softHyphen/>
        <w:t xml:space="preserve">goslávie jsou poučné přes to, že o nich nevíme více, než bylo tisku oznámeno. Uvědomíme-li si však, že polský ministr </w:t>
      </w:r>
      <w:r>
        <w:rPr>
          <w:b/>
          <w:bCs/>
          <w:lang w:val="en-US" w:eastAsia="en-US" w:bidi="en-US"/>
        </w:rPr>
        <w:t xml:space="preserve">Beck </w:t>
      </w:r>
      <w:r>
        <w:rPr>
          <w:b/>
          <w:bCs/>
        </w:rPr>
        <w:t xml:space="preserve">jel za říšskoněmeckým ministrem Ribbentropem a kancléřem Hitlerem, nyní pak </w:t>
      </w:r>
      <w:r>
        <w:rPr>
          <w:b/>
          <w:bCs/>
          <w:lang w:val="en-US" w:eastAsia="en-US" w:bidi="en-US"/>
        </w:rPr>
        <w:t xml:space="preserve">Ribbentrop </w:t>
      </w:r>
      <w:r>
        <w:rPr>
          <w:b/>
          <w:bCs/>
        </w:rPr>
        <w:t>jel do Varšavy: že maďarský ministr války Csáky jel za Ribbentropem, ital</w:t>
      </w:r>
      <w:r>
        <w:rPr>
          <w:b/>
          <w:bCs/>
        </w:rPr>
        <w:softHyphen/>
        <w:t>ský ministr Ciano za Stojadinovičem a náš ministr Chval- kovský do Berlína, kde mluvil s Hitlerem i Ribbentropem, pak z této aktivity dá se alespoň to soudit, že Berlín^ a</w:t>
      </w:r>
      <w:r>
        <w:rPr>
          <w:b/>
          <w:bCs/>
        </w:rPr>
        <w:t xml:space="preserve"> Ííim si přejí uklidnit poměry ve středovýchodní a jižni Evropě. Patrně proto, že se obrátí pozornost na západ. I to má pro nás, po všem, co jsme zažili, světlé stránky. </w:t>
      </w:r>
      <w:r>
        <w:rPr>
          <w:i/>
          <w:iCs/>
          <w:sz w:val="20"/>
          <w:szCs w:val="20"/>
        </w:rPr>
        <w:t>Cis.</w:t>
      </w:r>
    </w:p>
    <w:p w:rsidR="00500724" w:rsidRDefault="00F30FB8">
      <w:pPr>
        <w:pStyle w:val="Zkladntext1"/>
        <w:shd w:val="clear" w:color="auto" w:fill="auto"/>
        <w:spacing w:after="80" w:line="178" w:lineRule="auto"/>
        <w:ind w:firstLine="0"/>
        <w:jc w:val="center"/>
        <w:rPr>
          <w:sz w:val="20"/>
          <w:szCs w:val="20"/>
        </w:rPr>
      </w:pPr>
      <w:r>
        <w:rPr>
          <w:b/>
          <w:bCs/>
          <w:sz w:val="20"/>
          <w:szCs w:val="20"/>
        </w:rPr>
        <w:t>Měl pravdu Masaryk nebo Dyk?</w:t>
      </w:r>
    </w:p>
    <w:p w:rsidR="00500724" w:rsidRDefault="00F30FB8">
      <w:pPr>
        <w:pStyle w:val="Zkladntext1"/>
        <w:shd w:val="clear" w:color="auto" w:fill="auto"/>
        <w:spacing w:line="185" w:lineRule="auto"/>
        <w:ind w:firstLine="320"/>
      </w:pPr>
      <w:r>
        <w:rPr>
          <w:b/>
          <w:bCs/>
        </w:rPr>
        <w:t xml:space="preserve">Na tom jsme se všichni už více nebo méně shodli, že </w:t>
      </w:r>
      <w:r>
        <w:rPr>
          <w:b/>
          <w:bCs/>
        </w:rPr>
        <w:t>hlavní příčinou naší pohromy bylo to, že jsme nedovedli nalézti správný poměr k Německu a našim Němcům. Byla-li toto hlavní příčina, musíme právě s tohoto hlediska po</w:t>
      </w:r>
      <w:r>
        <w:rPr>
          <w:b/>
          <w:bCs/>
        </w:rPr>
        <w:softHyphen/>
        <w:t>suzovat míru viny nebo zásluh.</w:t>
      </w:r>
    </w:p>
    <w:p w:rsidR="00500724" w:rsidRDefault="00F30FB8">
      <w:pPr>
        <w:pStyle w:val="Zkladntext1"/>
        <w:shd w:val="clear" w:color="auto" w:fill="auto"/>
        <w:spacing w:line="185" w:lineRule="auto"/>
        <w:ind w:firstLine="320"/>
      </w:pPr>
      <w:r>
        <w:rPr>
          <w:b/>
          <w:bCs/>
        </w:rPr>
        <w:t>Nyní byly vydány politické články V. Dýka a bylo řečeno, d</w:t>
      </w:r>
      <w:r>
        <w:rPr>
          <w:b/>
          <w:bCs/>
        </w:rPr>
        <w:t xml:space="preserve">okonce </w:t>
      </w:r>
      <w:r>
        <w:rPr>
          <w:b/>
          <w:bCs/>
          <w:lang w:val="en-US" w:eastAsia="en-US" w:bidi="en-US"/>
        </w:rPr>
        <w:t xml:space="preserve">prof. Arne </w:t>
      </w:r>
      <w:r>
        <w:rPr>
          <w:b/>
          <w:bCs/>
        </w:rPr>
        <w:t>Novákem, že to je důvod, aby mužové bývalé levice zpytovali své svědomí a nahlédli svou vínu. XJž při letmém nahlédnutí do Dykovy knihy se nám tak nezdá. Je zde na př. obsažen článek, který r. 1922 napsal V. Dyk proti T. G. Masarykovi a v</w:t>
      </w:r>
      <w:r>
        <w:rPr>
          <w:b/>
          <w:bCs/>
        </w:rPr>
        <w:t>e kterém formuloval svůj a Masarykův návrh na německý problém. Budeme to čito váti. Prosím čtenáře, aby sami, znajíce to, co se stalo, usoudili, kdo se spíše mýlil, zda Masaryk či Dyk, a zda je vhodno sbírku takovýchto článků vydávati za poučení pro nynějš</w:t>
      </w:r>
      <w:r>
        <w:rPr>
          <w:b/>
          <w:bCs/>
        </w:rPr>
        <w:t>í situaci a zda levice, která tehdy pracovala pro smír s Němci, má se nyní stydět a prosit za odpuštění pravici, která působila proti tomu smíru.</w:t>
      </w:r>
    </w:p>
    <w:p w:rsidR="00500724" w:rsidRDefault="00F30FB8">
      <w:pPr>
        <w:pStyle w:val="Zkladntext1"/>
        <w:shd w:val="clear" w:color="auto" w:fill="auto"/>
        <w:spacing w:after="40" w:line="185" w:lineRule="auto"/>
        <w:ind w:firstLine="320"/>
      </w:pPr>
      <w:r>
        <w:rPr>
          <w:b/>
          <w:bCs/>
        </w:rPr>
        <w:t>Sami tedy rozhodněte, čí názory byly spíše potvrzeny, a zda je siušno vydávat za poučení, co je velmi vzdáleno</w:t>
      </w:r>
      <w:r>
        <w:rPr>
          <w:b/>
          <w:bCs/>
        </w:rPr>
        <w:t xml:space="preserve"> tomu býti poučením.</w:t>
      </w:r>
    </w:p>
    <w:p w:rsidR="00500724" w:rsidRDefault="00F30FB8">
      <w:pPr>
        <w:pStyle w:val="Zkladntext1"/>
        <w:shd w:val="clear" w:color="auto" w:fill="auto"/>
        <w:spacing w:after="40" w:line="185" w:lineRule="auto"/>
        <w:ind w:firstLine="320"/>
      </w:pPr>
      <w:r>
        <w:rPr>
          <w:b/>
          <w:bCs/>
        </w:rPr>
        <w:t>R. 1922 psal tedy Viktor Dyk toto:</w:t>
      </w:r>
    </w:p>
    <w:p w:rsidR="00500724" w:rsidRDefault="00F30FB8">
      <w:pPr>
        <w:pStyle w:val="Zkladntext1"/>
        <w:shd w:val="clear" w:color="auto" w:fill="auto"/>
        <w:spacing w:after="40" w:line="185" w:lineRule="auto"/>
        <w:ind w:firstLine="320"/>
      </w:pPr>
      <w:r>
        <w:rPr>
          <w:b/>
          <w:bCs/>
        </w:rPr>
        <w:t>»— Především byl to problém česko-německý, v němž názory profesora Masaryka zůstaly názory presidenta Ma</w:t>
      </w:r>
      <w:r>
        <w:rPr>
          <w:b/>
          <w:bCs/>
        </w:rPr>
        <w:softHyphen/>
        <w:t>saryka, a který musil uvésti jej v rozpor s cítěním značné části národa bez rozdílu stran. Jaký</w:t>
      </w:r>
      <w:r>
        <w:rPr>
          <w:b/>
          <w:bCs/>
        </w:rPr>
        <w:t xml:space="preserve"> jest tento rozpor?</w:t>
      </w:r>
    </w:p>
    <w:p w:rsidR="00500724" w:rsidRDefault="00F30FB8">
      <w:pPr>
        <w:pStyle w:val="Zkladntext1"/>
        <w:shd w:val="clear" w:color="auto" w:fill="auto"/>
        <w:spacing w:line="187" w:lineRule="auto"/>
        <w:ind w:firstLine="320"/>
      </w:pPr>
      <w:r>
        <w:rPr>
          <w:b/>
          <w:bCs/>
        </w:rPr>
        <w:t>Stará theorie profesora Masaryka zněla, že není možný stát s třemi a půl milionem velezrádců a s mohutným němec</w:t>
      </w:r>
      <w:r>
        <w:rPr>
          <w:b/>
          <w:bCs/>
        </w:rPr>
        <w:softHyphen/>
        <w:t>kým sousedem v pozadí. Praktický důsledek, k němuž došel president Masaryk, je, že nutno stůj co stůj ndělati z domnělého pů</w:t>
      </w:r>
      <w:r>
        <w:rPr>
          <w:b/>
          <w:bCs/>
        </w:rPr>
        <w:t>l čtvrtá milionu velezrádců němec</w:t>
      </w:r>
      <w:r>
        <w:rPr>
          <w:b/>
          <w:bCs/>
        </w:rPr>
        <w:softHyphen/>
        <w:t>kých loyální občany republiky, byť za cenu značných oběti. Vycházeje od této zásady, je president přesvědčen, že re</w:t>
      </w:r>
      <w:r>
        <w:rPr>
          <w:b/>
          <w:bCs/>
        </w:rPr>
        <w:softHyphen/>
        <w:t>publika může býti zabezpečena pouze dohodou s Němci. Aby se dohoda umožnila, je nutno vyjiti Němcům vše</w:t>
      </w:r>
      <w:r>
        <w:rPr>
          <w:b/>
          <w:bCs/>
        </w:rPr>
        <w:softHyphen/>
        <w:t>st</w:t>
      </w:r>
      <w:r>
        <w:rPr>
          <w:b/>
          <w:bCs/>
        </w:rPr>
        <w:t>ranně vstříc. V praksi vylučuje tato politika restituce a represalie. Toto zásadní stanovisko vedlo k praktickým důsledkům v otázce Stavovského divadla, kde vůči poža</w:t>
      </w:r>
      <w:r>
        <w:rPr>
          <w:b/>
          <w:bCs/>
        </w:rPr>
        <w:softHyphen/>
        <w:t>davkům restituce rakouského bezpráví uznával president a později předseda ministerstva dr</w:t>
      </w:r>
      <w:r>
        <w:rPr>
          <w:b/>
          <w:bCs/>
        </w:rPr>
        <w:t>. Beneš právní stav. V politice vnitřní žádala tato zásada, abychom dali Něm</w:t>
      </w:r>
      <w:r>
        <w:rPr>
          <w:b/>
          <w:bCs/>
        </w:rPr>
        <w:softHyphen/>
        <w:t>cům veškerou spravedlnost a víc než spravedlnost, ať už Němci se chovají tak či onak; tedy nikoli podmíněná, nýbrž absolutní spravedlnost. V politice zahraniční zna</w:t>
      </w:r>
      <w:r>
        <w:rPr>
          <w:b/>
          <w:bCs/>
        </w:rPr>
        <w:softHyphen/>
        <w:t>menala, že pro</w:t>
      </w:r>
      <w:r>
        <w:rPr>
          <w:b/>
          <w:bCs/>
        </w:rPr>
        <w:t xml:space="preserve"> sebe ovšem uznáváme za nutnou podmínku, kterou jsou oprávněni hiásati naši sousedé, že třeba, chceme-li, aby žili s námi ve shodě, vyjiti vstříc cizonárod- ním menšinám a naprosto respektovati jejich osobitosti; naproti tomu nemluvilo se nikde o reciproci</w:t>
      </w:r>
      <w:r>
        <w:rPr>
          <w:b/>
          <w:bCs/>
        </w:rPr>
        <w:t>tě.</w:t>
      </w:r>
    </w:p>
    <w:p w:rsidR="00500724" w:rsidRDefault="00F30FB8">
      <w:pPr>
        <w:pStyle w:val="Zkladntext1"/>
        <w:shd w:val="clear" w:color="auto" w:fill="auto"/>
        <w:spacing w:line="187" w:lineRule="auto"/>
        <w:ind w:firstLine="320"/>
      </w:pPr>
      <w:r>
        <w:rPr>
          <w:b/>
          <w:bCs/>
        </w:rPr>
        <w:t>Veškeré ochoty, které jsme mohli prokazovali a pro</w:t>
      </w:r>
      <w:r>
        <w:rPr>
          <w:b/>
          <w:bCs/>
        </w:rPr>
        <w:softHyphen/>
        <w:t>kazovali, prokázali jsme bez nároků na nějaké splněni s druhé strany. Zastaralou methodou bylo, žádati více, abychom dostali míň; zastaralou methodou bylo nechali si v ruce možné kompensace positivní p</w:t>
      </w:r>
      <w:r>
        <w:rPr>
          <w:b/>
          <w:bCs/>
        </w:rPr>
        <w:t>olitiky našich Němců. Tak bylo při smlouvách mírových, tak bylo při tvoření ústavy. Chtěli jsme získávat přátelství ochotami, laskavostí a heslo této politiky bylo: Zapomeňme! Pláštík milosrdenství musí přikrýt krutost minulosti, ať už kým</w:t>
      </w:r>
      <w:r>
        <w:rPr>
          <w:b/>
          <w:bCs/>
        </w:rPr>
        <w:softHyphen/>
        <w:t>koliv zaviněnou.</w:t>
      </w:r>
      <w:r>
        <w:rPr>
          <w:b/>
          <w:bCs/>
        </w:rPr>
        <w:t xml:space="preserve"> Nikoliv hlas vášně, ale hlas rozumu!</w:t>
      </w:r>
    </w:p>
    <w:p w:rsidR="00500724" w:rsidRDefault="00F30FB8">
      <w:pPr>
        <w:pStyle w:val="Zkladntext1"/>
        <w:shd w:val="clear" w:color="auto" w:fill="auto"/>
        <w:spacing w:line="185" w:lineRule="auto"/>
        <w:ind w:firstLine="280"/>
      </w:pPr>
      <w:r>
        <w:rPr>
          <w:b/>
          <w:bCs/>
        </w:rPr>
        <w:t>Český nacionalismus, který bohužel v presidentově inter- viewu s redaktorem »Neue Freie Presse« kladen na roven německému chauvinismu, opírá se rovněž o důvody roz</w:t>
      </w:r>
      <w:r>
        <w:rPr>
          <w:b/>
          <w:bCs/>
        </w:rPr>
        <w:softHyphen/>
        <w:t>umové. Může se mýliti, ale není a nikdy nebyl na úrovn</w:t>
      </w:r>
      <w:r>
        <w:rPr>
          <w:b/>
          <w:bCs/>
        </w:rPr>
        <w:t>i Jungů a Baeranů. Považuje-li president za přední státní úkol usmíří ti Němce, považoval český nacionalismus za první státní nutnost posíliti české menšiny v krajích po</w:t>
      </w:r>
      <w:r>
        <w:rPr>
          <w:b/>
          <w:bCs/>
        </w:rPr>
        <w:softHyphen/>
        <w:t>němčených. Zastánci myšlenky nacionální soudili, že ne</w:t>
      </w:r>
      <w:r>
        <w:rPr>
          <w:b/>
          <w:bCs/>
        </w:rPr>
        <w:softHyphen/>
        <w:t>hrozí vážné nebezpečí vážné vel</w:t>
      </w:r>
      <w:r>
        <w:rPr>
          <w:b/>
          <w:bCs/>
        </w:rPr>
        <w:t>ezrady německé, pokud se nezmění radikálně poměry evropské a dokud bude hospo</w:t>
      </w:r>
      <w:r>
        <w:rPr>
          <w:b/>
          <w:bCs/>
        </w:rPr>
        <w:softHyphen/>
        <w:t>dářskou výhodou pro Němce býti příslušníky republiky; mínili pak — poukazujíce na nedávné děje — že přiznání se Němců ke státu není samo sebou zabezpečením státu, kdyby se situac</w:t>
      </w:r>
      <w:r>
        <w:rPr>
          <w:b/>
          <w:bCs/>
        </w:rPr>
        <w:t>e světová v náš neprospěch změnila. Ne</w:t>
      </w:r>
      <w:r>
        <w:rPr>
          <w:b/>
          <w:bCs/>
        </w:rPr>
        <w:softHyphen/>
        <w:t>podceňovali ani tu okolnost, že zásadní negace všech parlamentních stran německých ztěžuje utvoření se vládní majority a nutí náš politický život spojovali živly těžko slučitelné; předpokládali však, že s Němci nebude</w:t>
      </w:r>
      <w:r>
        <w:rPr>
          <w:b/>
          <w:bCs/>
        </w:rPr>
        <w:t xml:space="preserve"> řeě, dokud neuznají stát jako definitivum, a to že se stane teprve tehdy, až ukážeme, že zabezpeěiti se dovedeme sami. Po jejich rozumu bude tím větší pochybnost o životní schopnosti našeho státu, ěím více budeme se dovolávat jejich součinnosti a ěím více</w:t>
      </w:r>
      <w:r>
        <w:rPr>
          <w:b/>
          <w:bCs/>
        </w:rPr>
        <w:t xml:space="preserve"> budeme jim vstříc vyeházeti. Vydáme-li z rukou vše, co by mohlo býti kompensaěnim objektem, dáváme-li to dokonce za nejpříkřejší domácí i za</w:t>
      </w:r>
      <w:r>
        <w:rPr>
          <w:b/>
          <w:bCs/>
        </w:rPr>
        <w:softHyphen/>
        <w:t>hraniční protistátní propagandy, znemožňujeme dokonce vznik umírněnější německé strany, jež by se stavěla z roz</w:t>
      </w:r>
      <w:r>
        <w:rPr>
          <w:b/>
          <w:bCs/>
        </w:rPr>
        <w:softHyphen/>
        <w:t>um</w:t>
      </w:r>
      <w:r>
        <w:rPr>
          <w:b/>
          <w:bCs/>
        </w:rPr>
        <w:t>ových důvodů na půdu republiky. Neobstojí proti radi</w:t>
      </w:r>
      <w:r>
        <w:rPr>
          <w:b/>
          <w:bCs/>
        </w:rPr>
        <w:softHyphen/>
        <w:t>kálním živlům, kteří ukáži větší upřímnost zásadní oposice. K zabezpečení státu jest zapotřebí dobré zahraniční poli</w:t>
      </w:r>
      <w:r>
        <w:rPr>
          <w:b/>
          <w:bCs/>
        </w:rPr>
        <w:softHyphen/>
        <w:t>tiky; ale bude se moci dělat: taková zahraniční politika, jaká by byla nutná za spolur</w:t>
      </w:r>
      <w:r>
        <w:rPr>
          <w:b/>
          <w:bCs/>
        </w:rPr>
        <w:t>ozhodování Němců? Každá politika, jež by chtěla umožniti spolupráci s Němci, bude v podstatě musit přiblížit se v třech závažných bodech německému stanovisku: dáti jim účast ve vládě a admini</w:t>
      </w:r>
      <w:r>
        <w:rPr>
          <w:b/>
          <w:bCs/>
        </w:rPr>
        <w:softHyphen/>
        <w:t>strativě, již mohou využiti proti státu vůbec nebo aspoň proti č</w:t>
      </w:r>
      <w:r>
        <w:rPr>
          <w:b/>
          <w:bCs/>
        </w:rPr>
        <w:t>eskoslovenskému jeho rázu; poskytnouti jim tak značnou autonomii, že by se stala zbraní proti českým menšinám; prolomili prováděcími nařízeními k jazykovému zákonu dokonale zásadu státní řeči a požadavek znalostí její a jinojazyčných úředníků a zřízenců st</w:t>
      </w:r>
      <w:r>
        <w:rPr>
          <w:b/>
          <w:bCs/>
        </w:rPr>
        <w:t>átních. Praktické důsledky toho jsou jasné.</w:t>
      </w:r>
    </w:p>
    <w:p w:rsidR="00500724" w:rsidRDefault="00F30FB8">
      <w:pPr>
        <w:pStyle w:val="Zkladntext1"/>
        <w:shd w:val="clear" w:color="auto" w:fill="auto"/>
        <w:tabs>
          <w:tab w:val="left" w:pos="4824"/>
        </w:tabs>
        <w:spacing w:after="120" w:line="185" w:lineRule="auto"/>
        <w:rPr>
          <w:sz w:val="20"/>
          <w:szCs w:val="20"/>
        </w:rPr>
      </w:pPr>
      <w:r>
        <w:rPr>
          <w:b/>
          <w:bCs/>
        </w:rPr>
        <w:t>Opakuji: můžeme se mýliti, ale rozcházíme se s presi</w:t>
      </w:r>
      <w:r>
        <w:rPr>
          <w:b/>
          <w:bCs/>
        </w:rPr>
        <w:softHyphen/>
        <w:t xml:space="preserve">dentem z důvodů věcných, jako jsme se rozcházeli dávno už před válkou s </w:t>
      </w:r>
      <w:r>
        <w:rPr>
          <w:b/>
          <w:bCs/>
          <w:lang w:val="en-US" w:eastAsia="en-US" w:bidi="en-US"/>
        </w:rPr>
        <w:t xml:space="preserve">prof. </w:t>
      </w:r>
      <w:r>
        <w:rPr>
          <w:b/>
          <w:bCs/>
        </w:rPr>
        <w:t xml:space="preserve">Masarykem. Smí někdo diviti se tomu, zůstávají-li také jiní věrni svým názorům? </w:t>
      </w:r>
      <w:r>
        <w:rPr>
          <w:b/>
          <w:bCs/>
        </w:rPr>
        <w:t>Je to v demokratické republice pouze právo presidentovo? A lze prohlásiti za útok na presidenta, mám-li hlubokou skepsi vůči možnosti ěesko-německého smíru, jako jsem ji měl před válkou? Je útokem na presidenta, poukazuji-ii, že jsme bojovali a trpěli za r</w:t>
      </w:r>
      <w:r>
        <w:rPr>
          <w:b/>
          <w:bCs/>
        </w:rPr>
        <w:t>epubliku jinou, nežli je dnes? Právě proto, že jsem členem vládní většiny, mám nikoli jen právo, nýbrž povinnost nemíěeti tam, kde po mém názoru děje se chyba. Není mým úmyslem dotýkat: se autority presidentovy. Oč běží, a nač kladu však přední váhu, je au</w:t>
      </w:r>
      <w:r>
        <w:rPr>
          <w:b/>
          <w:bCs/>
        </w:rPr>
        <w:t>torita státní a národní ráz republiky.«</w:t>
      </w:r>
      <w:r>
        <w:rPr>
          <w:b/>
          <w:bCs/>
        </w:rPr>
        <w:tab/>
      </w:r>
      <w:r>
        <w:rPr>
          <w:i/>
          <w:iCs/>
          <w:sz w:val="20"/>
          <w:szCs w:val="20"/>
        </w:rPr>
        <w:t>M.</w:t>
      </w:r>
    </w:p>
    <w:p w:rsidR="00500724" w:rsidRDefault="00F30FB8">
      <w:pPr>
        <w:pStyle w:val="Zkladntext1"/>
        <w:shd w:val="clear" w:color="auto" w:fill="auto"/>
        <w:spacing w:line="266" w:lineRule="auto"/>
        <w:ind w:firstLine="0"/>
        <w:jc w:val="center"/>
      </w:pPr>
      <w:r>
        <w:rPr>
          <w:b/>
          <w:bCs/>
          <w:sz w:val="20"/>
          <w:szCs w:val="20"/>
        </w:rPr>
        <w:t>Z dopisů nejnovějších emigrantů</w:t>
      </w:r>
      <w:r>
        <w:rPr>
          <w:b/>
          <w:bCs/>
          <w:sz w:val="20"/>
          <w:szCs w:val="20"/>
        </w:rPr>
        <w:br/>
      </w:r>
      <w:r>
        <w:rPr>
          <w:b/>
          <w:bCs/>
        </w:rPr>
        <w:t>(II. Z Nového Yorku.)</w:t>
      </w:r>
    </w:p>
    <w:p w:rsidR="00500724" w:rsidRDefault="00F30FB8">
      <w:pPr>
        <w:pStyle w:val="Zkladntext1"/>
        <w:shd w:val="clear" w:color="auto" w:fill="auto"/>
        <w:spacing w:line="185" w:lineRule="auto"/>
        <w:ind w:firstLine="280"/>
      </w:pPr>
      <w:r>
        <w:rPr>
          <w:b/>
          <w:bCs/>
        </w:rPr>
        <w:t>Před třemi měsíci jsem si nedovedl představit, že může člověku spadnout kámen se srdce, když opouští Evropu. Když jsme byli na lodi uprostřed Atlantického oceá</w:t>
      </w:r>
      <w:r>
        <w:rPr>
          <w:b/>
          <w:bCs/>
        </w:rPr>
        <w:t>nu, do</w:t>
      </w:r>
      <w:r>
        <w:rPr>
          <w:b/>
          <w:bCs/>
        </w:rPr>
        <w:softHyphen/>
        <w:t>stal: jsme od amerických přátel telegram — se zaplacenou odpovědí —, je-li všechno v pořádku. Představte si, takoví lidé ještě žijí! A v prvních dnech v Americe jsem viděl, že jich zde žije mnoho! Zde se člověk nauč: znovu věřit v lid</w:t>
      </w:r>
      <w:r>
        <w:rPr>
          <w:b/>
          <w:bCs/>
        </w:rPr>
        <w:softHyphen/>
        <w:t>ské přátelství</w:t>
      </w:r>
      <w:r>
        <w:rPr>
          <w:b/>
          <w:bCs/>
        </w:rPr>
        <w:t>.</w:t>
      </w:r>
    </w:p>
    <w:p w:rsidR="00500724" w:rsidRDefault="00F30FB8">
      <w:pPr>
        <w:pStyle w:val="Zkladntext1"/>
        <w:shd w:val="clear" w:color="auto" w:fill="auto"/>
        <w:spacing w:after="40" w:line="187" w:lineRule="auto"/>
        <w:ind w:firstLine="280"/>
      </w:pPr>
      <w:r>
        <w:rPr>
          <w:b/>
          <w:bCs/>
        </w:rPr>
        <w:t>V noci se objevila první světla americké pevniny. V 6 hodin ráno jsme vjížděli za východu slunce kolem sochy Svobody, docela pomalu. Gigantická paní, na mou věru. Ve</w:t>
      </w:r>
      <w:r>
        <w:rPr>
          <w:b/>
          <w:bCs/>
        </w:rPr>
        <w:softHyphen/>
        <w:t>dle mne stál americký katolický kněz, jemný a nebojácný muž, asi šedesátiletý, který při</w:t>
      </w:r>
      <w:r>
        <w:rPr>
          <w:b/>
          <w:bCs/>
        </w:rPr>
        <w:t>jel v r. 1993 z Německa do Ameriky — nuže, ten mi řekl: »Víte, to je totiž myšleno na</w:t>
      </w:r>
      <w:r>
        <w:rPr>
          <w:b/>
          <w:bCs/>
        </w:rPr>
        <w:softHyphen/>
        <w:t>prosto vážně, poznáte to sám a velmi brzy.« Uvěřil jsem mu na slovo.</w:t>
      </w:r>
    </w:p>
    <w:p w:rsidR="00500724" w:rsidRDefault="00F30FB8">
      <w:pPr>
        <w:pStyle w:val="Zkladntext1"/>
        <w:shd w:val="clear" w:color="auto" w:fill="auto"/>
        <w:spacing w:after="40" w:line="209" w:lineRule="auto"/>
        <w:ind w:firstLine="300"/>
      </w:pPr>
      <w:r>
        <w:rPr>
          <w:b/>
          <w:bCs/>
        </w:rPr>
        <w:t>U celního úřadu dostali jsme průvodčího, který Sel s ná</w:t>
      </w:r>
      <w:r>
        <w:rPr>
          <w:b/>
          <w:bCs/>
        </w:rPr>
        <w:softHyphen/>
        <w:t>mi prohlédnout zavazadla. Po cestě k nim se m</w:t>
      </w:r>
      <w:r>
        <w:rPr>
          <w:b/>
          <w:bCs/>
        </w:rPr>
        <w:t>ůj úředník vůbec nezajímal o to, co pašuji do Ameriky, ale kladl mi celou řadu soukromých otázek: »Jakou jste měli cestu? Jste rád, že jste tady? Uíbí se vám Amerika? Doufám, že se vám zalíbí.« V té chvíli jsem navždycky ztratil touhu po ev</w:t>
      </w:r>
      <w:r>
        <w:rPr>
          <w:b/>
          <w:bCs/>
        </w:rPr>
        <w:softHyphen/>
        <w:t>ropských celníc</w:t>
      </w:r>
      <w:r>
        <w:rPr>
          <w:b/>
          <w:bCs/>
        </w:rPr>
        <w:t>ích.</w:t>
      </w:r>
    </w:p>
    <w:p w:rsidR="00500724" w:rsidRDefault="00F30FB8">
      <w:pPr>
        <w:pStyle w:val="Zkladntext1"/>
        <w:shd w:val="clear" w:color="auto" w:fill="auto"/>
        <w:spacing w:after="40" w:line="206" w:lineRule="auto"/>
        <w:ind w:firstLine="300"/>
      </w:pPr>
      <w:r>
        <w:rPr>
          <w:b/>
          <w:bCs/>
        </w:rPr>
        <w:t>Neštěstí vystěhovalců je, že zůstávají trčet v Manhatta</w:t>
      </w:r>
      <w:r>
        <w:rPr>
          <w:b/>
          <w:bCs/>
        </w:rPr>
        <w:softHyphen/>
        <w:t>nu, v hotelích, boardinghousech, strašlivých zařízených po</w:t>
      </w:r>
      <w:r>
        <w:rPr>
          <w:b/>
          <w:bCs/>
        </w:rPr>
        <w:softHyphen/>
        <w:t xml:space="preserve">kojích a hrozných a beznadějných stržích, jejichž stěny jsou šedesát nebo osmdesát poschodí. Vylíčím vám, jak bydlíme my: Naše ulice je </w:t>
      </w:r>
      <w:r>
        <w:rPr>
          <w:b/>
          <w:bCs/>
        </w:rPr>
        <w:t>vesnická. Nejvyšší dům má tři patra. Náš má dvě a my bydlíme v mansardě. Máme obývací pokoj, ložnici, kuchyni, koupelnu. Byt je nepopsatelně líbezný, čistý a pěkný. Před okny se kývají větve stromů. Před kaž</w:t>
      </w:r>
      <w:r>
        <w:rPr>
          <w:b/>
          <w:bCs/>
        </w:rPr>
        <w:softHyphen/>
        <w:t>dým domečkem je trávník čtyři metry široký. Do j</w:t>
      </w:r>
      <w:r>
        <w:rPr>
          <w:b/>
          <w:bCs/>
        </w:rPr>
        <w:t>edné ho</w:t>
      </w:r>
      <w:r>
        <w:rPr>
          <w:b/>
          <w:bCs/>
        </w:rPr>
        <w:softHyphen/>
        <w:t>diny polední svítí do bytu slunce. Dopoledne nemohu pra</w:t>
      </w:r>
      <w:r>
        <w:rPr>
          <w:b/>
          <w:bCs/>
        </w:rPr>
        <w:softHyphen/>
        <w:t xml:space="preserve">covat, protože mne vyrušuje štěbetání ptáčků. Pod okny si hrají děti a to je jediný hluk tady — až na ty výše zmíněné ptáčky. Nikdy, co jsem živ, nebydlel jsem tak pokojně, po venkovsku, tiše </w:t>
      </w:r>
      <w:r>
        <w:rPr>
          <w:b/>
          <w:bCs/>
        </w:rPr>
        <w:t>a zdravě, jako v Novém Yorku.</w:t>
      </w:r>
    </w:p>
    <w:p w:rsidR="00500724" w:rsidRDefault="00F30FB8">
      <w:pPr>
        <w:pStyle w:val="Zkladntext1"/>
        <w:shd w:val="clear" w:color="auto" w:fill="auto"/>
        <w:spacing w:after="40" w:line="202" w:lineRule="auto"/>
        <w:ind w:firstLine="300"/>
      </w:pPr>
      <w:r>
        <w:rPr>
          <w:b/>
          <w:bCs/>
        </w:rPr>
        <w:t>Nakupuji, nalezl jsem již řadu přátel: jakmile poznají přistěhovalého Evropana, jsou milí, pozorní a soucitní. Ovšem, hotově musíme platit přes to. Těch několik cizích lidí, se kterými jsem se zatím sešel, byli nevzdělaní, ne-</w:t>
      </w:r>
      <w:r>
        <w:rPr>
          <w:b/>
          <w:bCs/>
        </w:rPr>
        <w:t xml:space="preserve"> subtilní, vlídní, ochotní, trpěliví, neholení a i jinak dost ušmudlaní — ani pokud jde o slavnou americkou hygienu, nesouhlasí pověsti o Americe —, zajímali se docela nepřed</w:t>
      </w:r>
      <w:r>
        <w:rPr>
          <w:b/>
          <w:bCs/>
        </w:rPr>
        <w:softHyphen/>
        <w:t>stavitelnou měrou o všechno evropské, rozhořčovali se ne</w:t>
      </w:r>
      <w:r>
        <w:rPr>
          <w:b/>
          <w:bCs/>
        </w:rPr>
        <w:softHyphen/>
        <w:t>smírně naivně nad fašism</w:t>
      </w:r>
      <w:r>
        <w:rPr>
          <w:b/>
          <w:bCs/>
        </w:rPr>
        <w:t>em a dávali docela dobrodružně najevo příchylnost k pojmu svobody. Polovině známých, které jsme potkali, se vede vysloveně dobře, druhé polovině se nevede zle. Jako příklad muže, kterému se vede zname</w:t>
      </w:r>
      <w:r>
        <w:rPr>
          <w:b/>
          <w:bCs/>
        </w:rPr>
        <w:softHyphen/>
        <w:t>nitě: mladý vídeňský architekt, který přijel před třemi</w:t>
      </w:r>
      <w:r>
        <w:rPr>
          <w:b/>
          <w:bCs/>
        </w:rPr>
        <w:t xml:space="preserve"> mě</w:t>
      </w:r>
      <w:r>
        <w:rPr>
          <w:b/>
          <w:bCs/>
        </w:rPr>
        <w:softHyphen/>
        <w:t xml:space="preserve">síci do Ameriky, pracuje samostatně a vydělává 250 dolarů měsíčně. Příklad pro druhou kategorii: československá inte- lektuálka, která pracuje jako </w:t>
      </w:r>
      <w:r>
        <w:rPr>
          <w:b/>
          <w:bCs/>
          <w:lang w:val="en-US" w:eastAsia="en-US" w:bidi="en-US"/>
        </w:rPr>
        <w:t xml:space="preserve">nurse </w:t>
      </w:r>
      <w:r>
        <w:rPr>
          <w:b/>
          <w:bCs/>
        </w:rPr>
        <w:t>u bohatého miminka, vydělává mimo zaopatření 50 dolarů, cítí se však velmi špatně u svých zaměstna</w:t>
      </w:r>
      <w:r>
        <w:rPr>
          <w:b/>
          <w:bCs/>
        </w:rPr>
        <w:t>vatelů.</w:t>
      </w:r>
    </w:p>
    <w:p w:rsidR="00500724" w:rsidRDefault="00F30FB8">
      <w:pPr>
        <w:pStyle w:val="Zkladntext1"/>
        <w:shd w:val="clear" w:color="auto" w:fill="auto"/>
        <w:spacing w:after="40" w:line="209" w:lineRule="auto"/>
        <w:ind w:firstLine="300"/>
      </w:pPr>
      <w:r>
        <w:rPr>
          <w:b/>
          <w:bCs/>
        </w:rPr>
        <w:t>Až na činži je všechno mnohem, mnohem levnější než v Evropě. Ovšem, je naprosto nutno vařit doma — v hostin</w:t>
      </w:r>
      <w:r>
        <w:rPr>
          <w:b/>
          <w:bCs/>
        </w:rPr>
        <w:softHyphen/>
        <w:t>cích je všechno dvakrát až třikrát dražší. Rozpočet velmi pohodlného života pro dvě osoby na měsíc vypadá asi tak</w:t>
      </w:r>
      <w:r>
        <w:rPr>
          <w:b/>
          <w:bCs/>
        </w:rPr>
        <w:softHyphen/>
        <w:t>hle: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437"/>
        <w:gridCol w:w="451"/>
        <w:gridCol w:w="648"/>
      </w:tblGrid>
      <w:tr w:rsidR="00500724">
        <w:tblPrEx>
          <w:tblCellMar>
            <w:top w:w="0" w:type="dxa"/>
            <w:bottom w:w="0" w:type="dxa"/>
          </w:tblCellMar>
        </w:tblPrEx>
        <w:trPr>
          <w:trHeight w:hRule="exact" w:val="206"/>
          <w:jc w:val="center"/>
        </w:trPr>
        <w:tc>
          <w:tcPr>
            <w:tcW w:w="0" w:type="auto"/>
            <w:gridSpan w:val="2"/>
            <w:shd w:val="clear" w:color="auto" w:fill="FFFFFF"/>
          </w:tcPr>
          <w:p w:rsidR="00500724" w:rsidRDefault="00F30FB8">
            <w:pPr>
              <w:pStyle w:val="Jin0"/>
              <w:shd w:val="clear" w:color="auto" w:fill="auto"/>
              <w:ind w:firstLine="0"/>
              <w:jc w:val="left"/>
            </w:pPr>
            <w:r>
              <w:rPr>
                <w:b/>
                <w:bCs/>
              </w:rPr>
              <w:t>Byt (světlo, otop, pl</w:t>
            </w:r>
            <w:r>
              <w:rPr>
                <w:b/>
                <w:bCs/>
              </w:rPr>
              <w:t>yn, telefon) .</w:t>
            </w:r>
          </w:p>
        </w:tc>
        <w:tc>
          <w:tcPr>
            <w:tcW w:w="0" w:type="auto"/>
            <w:gridSpan w:val="2"/>
            <w:shd w:val="clear" w:color="auto" w:fill="FFFFFF"/>
          </w:tcPr>
          <w:p w:rsidR="00500724" w:rsidRDefault="00F30FB8">
            <w:pPr>
              <w:pStyle w:val="Jin0"/>
              <w:shd w:val="clear" w:color="auto" w:fill="auto"/>
              <w:ind w:firstLine="0"/>
              <w:jc w:val="left"/>
            </w:pPr>
            <w:r>
              <w:rPr>
                <w:b/>
                <w:bCs/>
                <w:i/>
                <w:iCs/>
              </w:rPr>
              <w:t>. 60</w:t>
            </w:r>
            <w:r>
              <w:rPr>
                <w:b/>
                <w:bCs/>
              </w:rPr>
              <w:t xml:space="preserve"> dolarů</w:t>
            </w:r>
          </w:p>
        </w:tc>
      </w:tr>
      <w:tr w:rsidR="00500724">
        <w:tblPrEx>
          <w:tblCellMar>
            <w:top w:w="0" w:type="dxa"/>
            <w:bottom w:w="0" w:type="dxa"/>
          </w:tblCellMar>
        </w:tblPrEx>
        <w:trPr>
          <w:trHeight w:hRule="exact" w:val="206"/>
          <w:jc w:val="center"/>
        </w:trPr>
        <w:tc>
          <w:tcPr>
            <w:tcW w:w="0" w:type="auto"/>
            <w:shd w:val="clear" w:color="auto" w:fill="FFFFFF"/>
            <w:vAlign w:val="bottom"/>
          </w:tcPr>
          <w:p w:rsidR="00500724" w:rsidRDefault="00F30FB8">
            <w:pPr>
              <w:pStyle w:val="Jin0"/>
              <w:shd w:val="clear" w:color="auto" w:fill="auto"/>
              <w:ind w:firstLine="0"/>
              <w:jc w:val="left"/>
            </w:pPr>
            <w:r>
              <w:rPr>
                <w:b/>
                <w:bCs/>
              </w:rPr>
              <w:t>Veškeré jídlo pro dva « . .</w:t>
            </w:r>
          </w:p>
        </w:tc>
        <w:tc>
          <w:tcPr>
            <w:tcW w:w="0" w:type="auto"/>
            <w:shd w:val="clear" w:color="auto" w:fill="FFFFFF"/>
            <w:vAlign w:val="bottom"/>
          </w:tcPr>
          <w:p w:rsidR="00500724" w:rsidRDefault="00F30FB8">
            <w:pPr>
              <w:pStyle w:val="Jin0"/>
              <w:shd w:val="clear" w:color="auto" w:fill="auto"/>
              <w:ind w:firstLine="0"/>
              <w:jc w:val="center"/>
            </w:pPr>
            <w:r>
              <w:rPr>
                <w:b/>
                <w:bCs/>
              </w:rPr>
              <w:t>« «</w:t>
            </w:r>
          </w:p>
        </w:tc>
        <w:tc>
          <w:tcPr>
            <w:tcW w:w="0" w:type="auto"/>
            <w:shd w:val="clear" w:color="auto" w:fill="FFFFFF"/>
            <w:vAlign w:val="bottom"/>
          </w:tcPr>
          <w:p w:rsidR="00500724" w:rsidRDefault="00F30FB8">
            <w:pPr>
              <w:pStyle w:val="Jin0"/>
              <w:shd w:val="clear" w:color="auto" w:fill="auto"/>
              <w:ind w:firstLine="0"/>
              <w:jc w:val="left"/>
            </w:pPr>
            <w:r>
              <w:rPr>
                <w:b/>
                <w:bCs/>
              </w:rPr>
              <w:t>. 30</w:t>
            </w:r>
          </w:p>
        </w:tc>
        <w:tc>
          <w:tcPr>
            <w:tcW w:w="0" w:type="auto"/>
            <w:shd w:val="clear" w:color="auto" w:fill="FFFFFF"/>
            <w:vAlign w:val="bottom"/>
          </w:tcPr>
          <w:p w:rsidR="00500724" w:rsidRDefault="00F30FB8">
            <w:pPr>
              <w:pStyle w:val="Jin0"/>
              <w:shd w:val="clear" w:color="auto" w:fill="auto"/>
              <w:ind w:firstLine="0"/>
              <w:jc w:val="center"/>
            </w:pPr>
            <w:r>
              <w:rPr>
                <w:b/>
                <w:bCs/>
              </w:rPr>
              <w:t>»</w:t>
            </w:r>
          </w:p>
        </w:tc>
      </w:tr>
      <w:tr w:rsidR="00500724">
        <w:tblPrEx>
          <w:tblCellMar>
            <w:top w:w="0" w:type="dxa"/>
            <w:bottom w:w="0" w:type="dxa"/>
          </w:tblCellMar>
        </w:tblPrEx>
        <w:trPr>
          <w:trHeight w:hRule="exact" w:val="211"/>
          <w:jc w:val="center"/>
        </w:trPr>
        <w:tc>
          <w:tcPr>
            <w:tcW w:w="0" w:type="auto"/>
            <w:shd w:val="clear" w:color="auto" w:fill="FFFFFF"/>
            <w:vAlign w:val="bottom"/>
          </w:tcPr>
          <w:p w:rsidR="00500724" w:rsidRDefault="00F30FB8">
            <w:pPr>
              <w:pStyle w:val="Jin0"/>
              <w:shd w:val="clear" w:color="auto" w:fill="auto"/>
              <w:ind w:firstLine="0"/>
              <w:jc w:val="left"/>
            </w:pPr>
            <w:r>
              <w:rPr>
                <w:b/>
                <w:bCs/>
              </w:rPr>
              <w:t>Prádlo, čištění, opravy . . .</w:t>
            </w:r>
          </w:p>
        </w:tc>
        <w:tc>
          <w:tcPr>
            <w:tcW w:w="0" w:type="auto"/>
            <w:shd w:val="clear" w:color="auto" w:fill="FFFFFF"/>
            <w:vAlign w:val="bottom"/>
          </w:tcPr>
          <w:p w:rsidR="00500724" w:rsidRDefault="00F30FB8">
            <w:pPr>
              <w:pStyle w:val="Jin0"/>
              <w:shd w:val="clear" w:color="auto" w:fill="auto"/>
              <w:ind w:firstLine="0"/>
              <w:jc w:val="center"/>
            </w:pPr>
            <w:r>
              <w:rPr>
                <w:b/>
                <w:bCs/>
                <w:i/>
                <w:iCs/>
              </w:rPr>
              <w:t>V fi</w:t>
            </w:r>
          </w:p>
        </w:tc>
        <w:tc>
          <w:tcPr>
            <w:tcW w:w="0" w:type="auto"/>
            <w:shd w:val="clear" w:color="auto" w:fill="FFFFFF"/>
            <w:vAlign w:val="bottom"/>
          </w:tcPr>
          <w:p w:rsidR="00500724" w:rsidRDefault="00F30FB8">
            <w:pPr>
              <w:pStyle w:val="Jin0"/>
              <w:shd w:val="clear" w:color="auto" w:fill="auto"/>
              <w:ind w:firstLine="0"/>
              <w:jc w:val="left"/>
            </w:pPr>
            <w:r>
              <w:rPr>
                <w:b/>
                <w:bCs/>
              </w:rPr>
              <w:t>. 7</w:t>
            </w:r>
          </w:p>
        </w:tc>
        <w:tc>
          <w:tcPr>
            <w:tcW w:w="0" w:type="auto"/>
            <w:shd w:val="clear" w:color="auto" w:fill="FFFFFF"/>
          </w:tcPr>
          <w:p w:rsidR="00500724" w:rsidRDefault="00500724">
            <w:pPr>
              <w:rPr>
                <w:sz w:val="10"/>
                <w:szCs w:val="10"/>
              </w:rPr>
            </w:pPr>
          </w:p>
        </w:tc>
      </w:tr>
      <w:tr w:rsidR="00500724">
        <w:tblPrEx>
          <w:tblCellMar>
            <w:top w:w="0" w:type="dxa"/>
            <w:bottom w:w="0" w:type="dxa"/>
          </w:tblCellMar>
        </w:tblPrEx>
        <w:trPr>
          <w:trHeight w:hRule="exact" w:val="216"/>
          <w:jc w:val="center"/>
        </w:trPr>
        <w:tc>
          <w:tcPr>
            <w:tcW w:w="0" w:type="auto"/>
            <w:shd w:val="clear" w:color="auto" w:fill="FFFFFF"/>
          </w:tcPr>
          <w:p w:rsidR="00500724" w:rsidRDefault="00F30FB8">
            <w:pPr>
              <w:pStyle w:val="Jin0"/>
              <w:shd w:val="clear" w:color="auto" w:fill="auto"/>
              <w:ind w:firstLine="0"/>
              <w:jc w:val="left"/>
            </w:pPr>
            <w:r>
              <w:rPr>
                <w:b/>
                <w:bCs/>
              </w:rPr>
              <w:t>Cigarety, porto, noviny, kino</w:t>
            </w:r>
          </w:p>
        </w:tc>
        <w:tc>
          <w:tcPr>
            <w:tcW w:w="0" w:type="auto"/>
            <w:shd w:val="clear" w:color="auto" w:fill="FFFFFF"/>
          </w:tcPr>
          <w:p w:rsidR="00500724" w:rsidRDefault="00500724">
            <w:pPr>
              <w:rPr>
                <w:sz w:val="10"/>
                <w:szCs w:val="10"/>
              </w:rPr>
            </w:pPr>
          </w:p>
        </w:tc>
        <w:tc>
          <w:tcPr>
            <w:tcW w:w="0" w:type="auto"/>
            <w:shd w:val="clear" w:color="auto" w:fill="FFFFFF"/>
          </w:tcPr>
          <w:p w:rsidR="00500724" w:rsidRDefault="00F30FB8">
            <w:pPr>
              <w:pStyle w:val="Jin0"/>
              <w:shd w:val="clear" w:color="auto" w:fill="auto"/>
              <w:ind w:firstLine="0"/>
              <w:jc w:val="left"/>
            </w:pPr>
            <w:r>
              <w:rPr>
                <w:b/>
                <w:bCs/>
              </w:rPr>
              <w:t>. 15</w:t>
            </w:r>
          </w:p>
        </w:tc>
        <w:tc>
          <w:tcPr>
            <w:tcW w:w="0" w:type="auto"/>
            <w:shd w:val="clear" w:color="auto" w:fill="FFFFFF"/>
          </w:tcPr>
          <w:p w:rsidR="00500724" w:rsidRDefault="00F30FB8">
            <w:pPr>
              <w:pStyle w:val="Jin0"/>
              <w:shd w:val="clear" w:color="auto" w:fill="auto"/>
              <w:ind w:firstLine="0"/>
              <w:jc w:val="center"/>
            </w:pPr>
            <w:r>
              <w:rPr>
                <w:b/>
                <w:bCs/>
              </w:rPr>
              <w:t>&gt;</w:t>
            </w:r>
          </w:p>
        </w:tc>
      </w:tr>
      <w:tr w:rsidR="00500724">
        <w:tblPrEx>
          <w:tblCellMar>
            <w:top w:w="0" w:type="dxa"/>
            <w:bottom w:w="0" w:type="dxa"/>
          </w:tblCellMar>
        </w:tblPrEx>
        <w:trPr>
          <w:trHeight w:hRule="exact" w:val="211"/>
          <w:jc w:val="center"/>
        </w:trPr>
        <w:tc>
          <w:tcPr>
            <w:tcW w:w="0" w:type="auto"/>
            <w:shd w:val="clear" w:color="auto" w:fill="FFFFFF"/>
            <w:vAlign w:val="center"/>
          </w:tcPr>
          <w:p w:rsidR="00500724" w:rsidRDefault="00F30FB8">
            <w:pPr>
              <w:pStyle w:val="Jin0"/>
              <w:shd w:val="clear" w:color="auto" w:fill="auto"/>
              <w:ind w:firstLine="0"/>
              <w:jc w:val="left"/>
            </w:pPr>
            <w:r>
              <w:rPr>
                <w:b/>
                <w:bCs/>
              </w:rPr>
              <w:t>Jízdenky, holič</w:t>
            </w:r>
          </w:p>
        </w:tc>
        <w:tc>
          <w:tcPr>
            <w:tcW w:w="0" w:type="auto"/>
            <w:shd w:val="clear" w:color="auto" w:fill="FFFFFF"/>
          </w:tcPr>
          <w:p w:rsidR="00500724" w:rsidRDefault="00500724">
            <w:pPr>
              <w:rPr>
                <w:sz w:val="10"/>
                <w:szCs w:val="10"/>
              </w:rPr>
            </w:pPr>
          </w:p>
        </w:tc>
        <w:tc>
          <w:tcPr>
            <w:tcW w:w="0" w:type="auto"/>
            <w:shd w:val="clear" w:color="auto" w:fill="FFFFFF"/>
            <w:vAlign w:val="center"/>
          </w:tcPr>
          <w:p w:rsidR="00500724" w:rsidRDefault="00F30FB8">
            <w:pPr>
              <w:pStyle w:val="Jin0"/>
              <w:shd w:val="clear" w:color="auto" w:fill="auto"/>
              <w:ind w:firstLine="0"/>
              <w:jc w:val="left"/>
            </w:pPr>
            <w:r>
              <w:rPr>
                <w:b/>
                <w:bCs/>
              </w:rPr>
              <w:t>. 8</w:t>
            </w:r>
          </w:p>
        </w:tc>
        <w:tc>
          <w:tcPr>
            <w:tcW w:w="0" w:type="auto"/>
            <w:shd w:val="clear" w:color="auto" w:fill="FFFFFF"/>
            <w:vAlign w:val="center"/>
          </w:tcPr>
          <w:p w:rsidR="00500724" w:rsidRDefault="00F30FB8">
            <w:pPr>
              <w:pStyle w:val="Jin0"/>
              <w:shd w:val="clear" w:color="auto" w:fill="auto"/>
              <w:ind w:firstLine="0"/>
              <w:jc w:val="center"/>
            </w:pPr>
            <w:r>
              <w:rPr>
                <w:b/>
                <w:bCs/>
              </w:rPr>
              <w:t>»</w:t>
            </w:r>
          </w:p>
        </w:tc>
      </w:tr>
      <w:tr w:rsidR="00500724">
        <w:tblPrEx>
          <w:tblCellMar>
            <w:top w:w="0" w:type="dxa"/>
            <w:bottom w:w="0" w:type="dxa"/>
          </w:tblCellMar>
        </w:tblPrEx>
        <w:trPr>
          <w:trHeight w:hRule="exact" w:val="254"/>
          <w:jc w:val="center"/>
        </w:trPr>
        <w:tc>
          <w:tcPr>
            <w:tcW w:w="0" w:type="auto"/>
            <w:tcBorders>
              <w:top w:val="single" w:sz="4" w:space="0" w:color="auto"/>
            </w:tcBorders>
            <w:shd w:val="clear" w:color="auto" w:fill="FFFFFF"/>
          </w:tcPr>
          <w:p w:rsidR="00500724" w:rsidRDefault="00F30FB8">
            <w:pPr>
              <w:pStyle w:val="Jin0"/>
              <w:shd w:val="clear" w:color="auto" w:fill="auto"/>
              <w:ind w:firstLine="0"/>
              <w:jc w:val="left"/>
            </w:pPr>
            <w:r>
              <w:rPr>
                <w:b/>
                <w:bCs/>
              </w:rPr>
              <w:t>Různá vydání .&lt;«««&lt;</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center"/>
            </w:pPr>
            <w:r>
              <w:rPr>
                <w:b/>
                <w:bCs/>
                <w:i/>
                <w:iCs/>
              </w:rPr>
              <w:t>» «</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left"/>
            </w:pPr>
            <w:r>
              <w:rPr>
                <w:b/>
                <w:bCs/>
              </w:rPr>
              <w:t>. 10</w:t>
            </w:r>
          </w:p>
        </w:tc>
        <w:tc>
          <w:tcPr>
            <w:tcW w:w="0" w:type="auto"/>
            <w:tcBorders>
              <w:bottom w:val="single" w:sz="4" w:space="0" w:color="auto"/>
            </w:tcBorders>
            <w:shd w:val="clear" w:color="auto" w:fill="FFFFFF"/>
            <w:vAlign w:val="center"/>
          </w:tcPr>
          <w:p w:rsidR="00500724" w:rsidRDefault="00F30FB8">
            <w:pPr>
              <w:pStyle w:val="Jin0"/>
              <w:shd w:val="clear" w:color="auto" w:fill="auto"/>
              <w:ind w:firstLine="0"/>
              <w:jc w:val="center"/>
            </w:pPr>
            <w:r>
              <w:rPr>
                <w:b/>
                <w:bCs/>
              </w:rPr>
              <w:t>»</w:t>
            </w:r>
          </w:p>
        </w:tc>
      </w:tr>
    </w:tbl>
    <w:p w:rsidR="00500724" w:rsidRDefault="00F30FB8">
      <w:pPr>
        <w:pStyle w:val="Titulektabulky0"/>
        <w:shd w:val="clear" w:color="auto" w:fill="auto"/>
        <w:ind w:left="3134"/>
        <w:jc w:val="left"/>
        <w:rPr>
          <w:sz w:val="19"/>
          <w:szCs w:val="19"/>
        </w:rPr>
      </w:pPr>
      <w:r>
        <w:rPr>
          <w:sz w:val="19"/>
          <w:szCs w:val="19"/>
        </w:rPr>
        <w:t>130 dolarů</w:t>
      </w:r>
    </w:p>
    <w:p w:rsidR="00500724" w:rsidRDefault="00500724">
      <w:pPr>
        <w:spacing w:after="26" w:line="14" w:lineRule="exact"/>
      </w:pPr>
    </w:p>
    <w:p w:rsidR="00500724" w:rsidRDefault="00F30FB8">
      <w:pPr>
        <w:pStyle w:val="Zkladntext1"/>
        <w:shd w:val="clear" w:color="auto" w:fill="auto"/>
        <w:spacing w:after="260" w:line="206" w:lineRule="auto"/>
        <w:ind w:firstLine="300"/>
      </w:pPr>
      <w:r>
        <w:rPr>
          <w:b/>
          <w:bCs/>
        </w:rPr>
        <w:t xml:space="preserve">Vydání pro dítě možno odhadnout na </w:t>
      </w:r>
      <w:r>
        <w:rPr>
          <w:b/>
          <w:bCs/>
        </w:rPr>
        <w:t>dalších 20 dolarů. Osamělý jedinec potřebuje ovšem, protože nemůže mnoho ušetřit na bytě, alespoň 90 dolarů.</w:t>
      </w:r>
    </w:p>
    <w:p w:rsidR="00500724" w:rsidRDefault="00F30FB8">
      <w:pPr>
        <w:pStyle w:val="Zkladntext1"/>
        <w:shd w:val="clear" w:color="auto" w:fill="auto"/>
        <w:spacing w:after="40" w:line="226" w:lineRule="auto"/>
        <w:ind w:firstLine="0"/>
        <w:jc w:val="center"/>
        <w:rPr>
          <w:sz w:val="20"/>
          <w:szCs w:val="20"/>
        </w:rPr>
      </w:pPr>
      <w:r>
        <w:rPr>
          <w:b/>
          <w:bCs/>
          <w:sz w:val="20"/>
          <w:szCs w:val="20"/>
        </w:rPr>
        <w:t>Cizí slova</w:t>
      </w:r>
    </w:p>
    <w:p w:rsidR="00500724" w:rsidRDefault="00F30FB8">
      <w:pPr>
        <w:pStyle w:val="Zkladntext1"/>
        <w:shd w:val="clear" w:color="auto" w:fill="auto"/>
        <w:ind w:left="860" w:firstLine="20"/>
        <w:jc w:val="left"/>
      </w:pPr>
      <w:r>
        <w:rPr>
          <w:b/>
          <w:bCs/>
        </w:rPr>
        <w:t>Na slova přišla mravní obroda.</w:t>
      </w:r>
    </w:p>
    <w:p w:rsidR="00500724" w:rsidRDefault="00F30FB8">
      <w:pPr>
        <w:pStyle w:val="Zkladntext1"/>
        <w:shd w:val="clear" w:color="auto" w:fill="auto"/>
        <w:ind w:left="860" w:firstLine="20"/>
        <w:jc w:val="left"/>
      </w:pPr>
      <w:r>
        <w:rPr>
          <w:b/>
          <w:bCs/>
        </w:rPr>
        <w:t>Sklad cizích slov se levně vyprodá.</w:t>
      </w:r>
    </w:p>
    <w:p w:rsidR="00500724" w:rsidRDefault="00F30FB8">
      <w:pPr>
        <w:pStyle w:val="Zkladntext1"/>
        <w:shd w:val="clear" w:color="auto" w:fill="auto"/>
        <w:ind w:left="860" w:right="980" w:firstLine="20"/>
        <w:jc w:val="left"/>
      </w:pPr>
      <w:r>
        <w:rPr>
          <w:b/>
          <w:bCs/>
        </w:rPr>
        <w:t>Pryč »bonbon« cizích frází! Zakrátko život náš bude samé »cukrátko«.</w:t>
      </w:r>
    </w:p>
    <w:p w:rsidR="00500724" w:rsidRDefault="00F30FB8">
      <w:pPr>
        <w:pStyle w:val="Zkladntext1"/>
        <w:shd w:val="clear" w:color="auto" w:fill="auto"/>
        <w:ind w:left="860" w:right="900" w:firstLine="20"/>
        <w:jc w:val="left"/>
      </w:pPr>
      <w:r>
        <w:rPr>
          <w:b/>
          <w:bCs/>
        </w:rPr>
        <w:t>» Biograf « padne. Jistě padne s ním i cizácký a hnusný »anonym«, a budeš dostávali v poště ranní jen nepodepsaná a sprostá psaní.</w:t>
      </w:r>
    </w:p>
    <w:p w:rsidR="00500724" w:rsidRDefault="00F30FB8">
      <w:pPr>
        <w:pStyle w:val="Zkladntext1"/>
        <w:shd w:val="clear" w:color="auto" w:fill="auto"/>
        <w:spacing w:after="40"/>
        <w:ind w:left="860" w:right="900" w:firstLine="20"/>
        <w:jc w:val="left"/>
      </w:pPr>
      <w:r>
        <w:rPr>
          <w:b/>
          <w:bCs/>
        </w:rPr>
        <w:t>Tobě, é, mateřštino — blahem plač! — zůstane poctivý český »udavače.</w:t>
      </w:r>
    </w:p>
    <w:p w:rsidR="00500724" w:rsidRDefault="00F30FB8">
      <w:pPr>
        <w:pStyle w:val="Zkladntext1"/>
        <w:shd w:val="clear" w:color="auto" w:fill="auto"/>
        <w:spacing w:after="40"/>
        <w:ind w:firstLine="0"/>
        <w:jc w:val="right"/>
      </w:pPr>
      <w:r>
        <w:rPr>
          <w:i/>
          <w:iCs/>
        </w:rPr>
        <w:t>Rozum brada</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politika</w:t>
      </w:r>
    </w:p>
    <w:p w:rsidR="00500724" w:rsidRDefault="00F30FB8">
      <w:pPr>
        <w:pStyle w:val="Zkladntext1"/>
        <w:shd w:val="clear" w:color="auto" w:fill="auto"/>
        <w:spacing w:after="40" w:line="221" w:lineRule="auto"/>
        <w:ind w:firstLine="0"/>
        <w:jc w:val="left"/>
        <w:rPr>
          <w:sz w:val="20"/>
          <w:szCs w:val="20"/>
        </w:rPr>
      </w:pPr>
      <w:r>
        <w:rPr>
          <w:i/>
          <w:iCs/>
          <w:sz w:val="20"/>
          <w:szCs w:val="20"/>
        </w:rPr>
        <w:t>Eduard Bass:</w:t>
      </w:r>
    </w:p>
    <w:p w:rsidR="00500724" w:rsidRDefault="00F30FB8">
      <w:pPr>
        <w:pStyle w:val="Nadpis100"/>
        <w:shd w:val="clear" w:color="auto" w:fill="auto"/>
        <w:spacing w:line="240" w:lineRule="auto"/>
        <w:jc w:val="left"/>
      </w:pPr>
      <w:bookmarkStart w:id="122" w:name="bookmark121"/>
      <w:r>
        <w:t xml:space="preserve">Němec Němcům o českém </w:t>
      </w:r>
      <w:r>
        <w:t>tisku</w:t>
      </w:r>
      <w:bookmarkEnd w:id="122"/>
    </w:p>
    <w:p w:rsidR="00500724" w:rsidRDefault="00F30FB8">
      <w:pPr>
        <w:pStyle w:val="Zkladntext30"/>
        <w:shd w:val="clear" w:color="auto" w:fill="auto"/>
        <w:spacing w:line="199" w:lineRule="auto"/>
        <w:ind w:firstLine="280"/>
      </w:pPr>
      <w:r>
        <w:t>Rudolf Jung, někdejší člen našeho Národního shro</w:t>
      </w:r>
      <w:r>
        <w:softHyphen/>
        <w:t>máždění, vydal v Berlíně předloni knihu »Die Tschechen« a měl s ní patrně úspěch: tři vydání během roku. Během toho roku 1938, kdy jsme se na</w:t>
      </w:r>
      <w:r>
        <w:softHyphen/>
        <w:t xml:space="preserve">jednou octli v popředí německého zájmu a kdy tak mnozí tam </w:t>
      </w:r>
      <w:r>
        <w:t>si přáli vědět, jací vlastně ti Češi jsou. Pan Jung je poučil na čtvrt tisíci stránek, a když si tu knihu prolistujeme, nedivíme se příliš, že jsme byli na prahu války. A pozastavujeme-li se dnes nad všeli</w:t>
      </w:r>
      <w:r>
        <w:softHyphen/>
        <w:t>kou nedůvěrou, která ovládá ovzduší střední Evropy</w:t>
      </w:r>
      <w:r>
        <w:t>, také se jí nepodivíme, máme-li v rukou veřejný do</w:t>
      </w:r>
      <w:r>
        <w:softHyphen/>
        <w:t>kument, jak vypadá znalecká informace. Velkou chybou nás Čechů je, že jsme zapomněli sledovat ně</w:t>
      </w:r>
      <w:r>
        <w:softHyphen/>
        <w:t xml:space="preserve">meckou literaturu politickou nebo že jsme sledovali jen tu, která nám lahodila. Užitečnější by bylo bývalo </w:t>
      </w:r>
      <w:r>
        <w:t>nahlédnout i do té druhé — nebyli bychom pak tolik překvapeni.</w:t>
      </w:r>
    </w:p>
    <w:p w:rsidR="00500724" w:rsidRDefault="00F30FB8">
      <w:pPr>
        <w:pStyle w:val="Zkladntext30"/>
        <w:shd w:val="clear" w:color="auto" w:fill="auto"/>
        <w:spacing w:line="199" w:lineRule="auto"/>
        <w:ind w:firstLine="280"/>
      </w:pPr>
      <w:r>
        <w:t>Nejde však o to, co bylo, jde o to, co bude. Máme trvalý zájem na tom, aby mezi námi a Němci došlo k vyjasnění. Pravím trvalý zájem, protože jej máme nikoli od října 1938, nýbrž od března 1848,</w:t>
      </w:r>
      <w:r>
        <w:t xml:space="preserve"> kdy se po prvé sešli čeští a němečtí lidé, aby hledali do</w:t>
      </w:r>
      <w:r>
        <w:softHyphen/>
        <w:t>rozumění. Všeliké dohody možno uzavřít, ale d o- rozumění, uvážíte-li to slovo, je víc. Dorozumění znamená jasno. Dorozumění je já pán, ty pán. Předpokladem dorozumění je porozuměni. Vždycky mě pře</w:t>
      </w:r>
      <w:r>
        <w:t>padala hrůza z toho, když jsem viděl německé své přátele, kteří vyrostli v Praze mezi námi, jak nám nerozumějí, jak lyrisují cosi o slovanském půvabu a svérázu, ale nechápají chod našeho myšlení; a na druhé straně když jsem viděl české lidi, kteří dík po</w:t>
      </w:r>
      <w:r>
        <w:softHyphen/>
        <w:t>p</w:t>
      </w:r>
      <w:r>
        <w:t>ulární historii, nemají ani potuchy, jak se dívá Němec na Prahu a Čechy a jaké jsou jeho citové vztahy na příklad k universitě Karlově. Neznáme-li navzájem tyto věci, nejsme-li ani ochotni je poznat, kde se má začíti porozumění?</w:t>
      </w:r>
    </w:p>
    <w:p w:rsidR="00500724" w:rsidRDefault="00F30FB8">
      <w:pPr>
        <w:pStyle w:val="Zkladntext30"/>
        <w:shd w:val="clear" w:color="auto" w:fill="auto"/>
        <w:spacing w:after="0" w:line="202" w:lineRule="auto"/>
        <w:ind w:firstLine="280"/>
      </w:pPr>
      <w:r>
        <w:t xml:space="preserve">Kniha našeho někdejšího </w:t>
      </w:r>
      <w:r>
        <w:t>pana poslance patří k této otázce jako odpověď záporná: »Zde nikoli.« Nechci to prokazovat obsáhlým rozborem. Stačí krát</w:t>
      </w:r>
      <w:r>
        <w:softHyphen/>
        <w:t>ká kapitolka o věci, kterou všichni známe a kde můžeme kontrolovat tvrzení a fakta. Je to český denní tisk, jemuž pan Jung věnuje zvláš</w:t>
      </w:r>
      <w:r>
        <w:t>tní stať. Hodí se k tomu zvlášť také proto, že ji autor zahajuje obec</w:t>
      </w:r>
      <w:r>
        <w:softHyphen/>
        <w:t xml:space="preserve">ným tvrzením: »Nic nevyznačuje charakter národa lépe než jeho tisk.« Je to věta, s kterou by se dalo polemisovat, ale nejde o polemiku, nýbrž o poznání. Pan Jung se domnívá, že národ je </w:t>
      </w:r>
      <w:r>
        <w:t>takový, jaké jsou jeho noviny, je třeba se tedy ještě podívat, o čem se domnívá, že jsou vlastnosti českého tisku, abychom poznali představu, kterou šíří o nás vůbec.^</w:t>
      </w:r>
    </w:p>
    <w:p w:rsidR="00500724" w:rsidRDefault="00F30FB8">
      <w:pPr>
        <w:pStyle w:val="Zkladntext30"/>
        <w:shd w:val="clear" w:color="auto" w:fill="auto"/>
        <w:spacing w:after="0" w:line="202" w:lineRule="auto"/>
        <w:ind w:firstLine="280"/>
      </w:pPr>
      <w:r>
        <w:t xml:space="preserve">První jeho úsudek je velmi prostý a přesný: »Český tisk je rozhodně nejšpatnější v celé </w:t>
      </w:r>
      <w:r>
        <w:t>Evropě.« To tedy není nijak lichotivé zjištění, ale dejme tomu. Oč se však opírá a kde jsou kořeny toho zla, kterému bychom se věru rádi vyhnuli? Pan Jung, probíráme-li se jeho výkladem podrobně, pozastavuje se u těchto nedostatků:</w:t>
      </w:r>
    </w:p>
    <w:p w:rsidR="00500724" w:rsidRDefault="00F30FB8">
      <w:pPr>
        <w:pStyle w:val="Zkladntext30"/>
        <w:numPr>
          <w:ilvl w:val="0"/>
          <w:numId w:val="15"/>
        </w:numPr>
        <w:shd w:val="clear" w:color="auto" w:fill="auto"/>
        <w:tabs>
          <w:tab w:val="left" w:pos="514"/>
        </w:tabs>
        <w:spacing w:line="206" w:lineRule="auto"/>
        <w:ind w:firstLine="280"/>
        <w:sectPr w:rsidR="00500724">
          <w:footnotePr>
            <w:numFmt w:val="chicago"/>
            <w:numRestart w:val="eachPage"/>
          </w:footnotePr>
          <w:type w:val="continuous"/>
          <w:pgSz w:w="11909" w:h="16834"/>
          <w:pgMar w:top="1171" w:right="780" w:bottom="879" w:left="602" w:header="0" w:footer="3" w:gutter="0"/>
          <w:cols w:num="2" w:space="103"/>
          <w:noEndnote/>
          <w:docGrid w:linePitch="360"/>
        </w:sectPr>
      </w:pPr>
      <w:r>
        <w:t>Veškerý český tisk štve a lže, šiří pomluvy a babské tlachy a to úplně bez odpovědnosti. Takové</w:t>
      </w:r>
    </w:p>
    <w:p w:rsidR="00500724" w:rsidRDefault="00F30FB8">
      <w:pPr>
        <w:pStyle w:val="Zkladntext30"/>
        <w:shd w:val="clear" w:color="auto" w:fill="auto"/>
        <w:spacing w:line="202" w:lineRule="auto"/>
        <w:ind w:firstLine="0"/>
      </w:pPr>
      <w:r>
        <w:t>jsou všecky noviny, jen »Venkov« se tu a tam příznivě liší. Naproti tomu je »České Slovo« nejhorší štváč a žádná lež proti nacion</w:t>
      </w:r>
      <w:r>
        <w:t>álním socialistům mu není dost infámní, aby jí nepoužilo. Na příklad přineslo v r. 1933 »Večerní České Slovo« fotografii z historické slavnosti města Stříbra (rytíře v brnění mezi bílými paními) a pod ní nápis: »Přísaha rytířů hákového kříže.« Nebo přinesl</w:t>
      </w:r>
      <w:r>
        <w:t>o snímek z vojenského cvičení u Oberammergau s nápisem »Cvičení hakenkrajclerů v Krkonoších«. Jiných dokladů o štvavé prolhanosti »Českého Slova« autor neuvádí, nýbrž rovnou po</w:t>
      </w:r>
      <w:r>
        <w:softHyphen/>
        <w:t>kračuje, že »Prager Presse není ani o chlup lepší«, nade všecky však že vynikaj</w:t>
      </w:r>
      <w:r>
        <w:t>í »Národní Listy« a »Ná- rodní Politika«. Tato zvlášť »se řídí jen nenávistí k Němcům«; a k ní si lidé přikupují některý večernik, které jsou všechny plny hrůzostrašných pověstí. To je vše o denních listech; nyní ještě zvlášť o českých novinářích.</w:t>
      </w:r>
    </w:p>
    <w:p w:rsidR="00500724" w:rsidRDefault="00F30FB8">
      <w:pPr>
        <w:pStyle w:val="Zkladntext30"/>
        <w:numPr>
          <w:ilvl w:val="0"/>
          <w:numId w:val="15"/>
        </w:numPr>
        <w:shd w:val="clear" w:color="auto" w:fill="auto"/>
        <w:tabs>
          <w:tab w:val="left" w:pos="505"/>
        </w:tabs>
        <w:spacing w:line="202" w:lineRule="auto"/>
        <w:ind w:firstLine="280"/>
      </w:pPr>
      <w:r>
        <w:t>»Většina</w:t>
      </w:r>
      <w:r>
        <w:t xml:space="preserve"> českých (převahou česko-židovských) novinářů mění list a směr podle konjunktury, to jest podle lepšího zaplacení. Dnes ta strana, zítra ona! Lhát a překrucovat lze v každém táboře.«</w:t>
      </w:r>
    </w:p>
    <w:p w:rsidR="00500724" w:rsidRDefault="00F30FB8">
      <w:pPr>
        <w:pStyle w:val="Zkladntext30"/>
        <w:numPr>
          <w:ilvl w:val="0"/>
          <w:numId w:val="15"/>
        </w:numPr>
        <w:shd w:val="clear" w:color="auto" w:fill="auto"/>
        <w:tabs>
          <w:tab w:val="left" w:pos="505"/>
        </w:tabs>
        <w:spacing w:line="199" w:lineRule="auto"/>
        <w:ind w:firstLine="280"/>
      </w:pPr>
      <w:r>
        <w:t xml:space="preserve">»Český novinář je největší překážka na cestě česko-německého dorozumění. </w:t>
      </w:r>
      <w:r>
        <w:t>Je bez jakýchkoli idealistických podnětů, polovzdělán nebo nevzdělán, všecko sleduje pouze se stanoviska: kolik to vynese, co z toho člověk bude mít? Nikdy nepochopí, že se něco pro ideál dělá zadarmo.«</w:t>
      </w:r>
    </w:p>
    <w:p w:rsidR="00500724" w:rsidRDefault="00F30FB8">
      <w:pPr>
        <w:pStyle w:val="Zkladntext30"/>
        <w:shd w:val="clear" w:color="auto" w:fill="auto"/>
        <w:spacing w:line="199" w:lineRule="auto"/>
        <w:ind w:firstLine="280"/>
      </w:pPr>
      <w:r>
        <w:t>Tyto tři body obsahují (jen se stylistickým zkráce</w:t>
      </w:r>
      <w:r>
        <w:softHyphen/>
        <w:t>ní</w:t>
      </w:r>
      <w:r>
        <w:t>m mnohomluvných obratů) všecky výtky, které pan Jung snáší, aby mohl uzavřít: »Češi mají špatný tisk. Zřejmě odpovídá národnímu charakteru.«</w:t>
      </w:r>
    </w:p>
    <w:p w:rsidR="00500724" w:rsidRDefault="00F30FB8">
      <w:pPr>
        <w:pStyle w:val="Zkladntext30"/>
        <w:shd w:val="clear" w:color="auto" w:fill="auto"/>
        <w:spacing w:line="202" w:lineRule="auto"/>
        <w:ind w:firstLine="0"/>
        <w:jc w:val="center"/>
      </w:pPr>
      <w:r>
        <w:t>•</w:t>
      </w:r>
    </w:p>
    <w:p w:rsidR="00500724" w:rsidRDefault="00F30FB8">
      <w:pPr>
        <w:pStyle w:val="Zkladntext30"/>
        <w:shd w:val="clear" w:color="auto" w:fill="auto"/>
        <w:spacing w:line="202" w:lineRule="auto"/>
        <w:ind w:firstLine="280"/>
      </w:pPr>
      <w:r>
        <w:t>Pamatuji se velmi dobře na postavu Rudolfa Junga z poslanecké sněmovny, ale kdykoli si ho připomenu, vždycky ho v</w:t>
      </w:r>
      <w:r>
        <w:t>idím ve stavu rozčilení. Zdá se, že tento stav u něho nepominul se stavem poslaneckým, nýbrž že trvá u něho i jako u spisovatele. Ve stavu klidného uvažování by sotva kdo mohl dokazovati špatnost ná</w:t>
      </w:r>
      <w:r>
        <w:softHyphen/>
        <w:t>roda tím, že před pěti lety přinesl jeden večerník foto</w:t>
      </w:r>
      <w:r>
        <w:softHyphen/>
        <w:t>g</w:t>
      </w:r>
      <w:r>
        <w:t>rafii křižáka v brnění a označil ji jako »rytíře háko</w:t>
      </w:r>
      <w:r>
        <w:softHyphen/>
        <w:t>vého kříže«. Známe ve světovém tisku poněkud drastičtější příklady pomluv a lživého předstírání a pokud nám buňky v mozku ještě správně fungují, nikdy bychom z takových dokladů nedovozovali, že ten či o</w:t>
      </w:r>
      <w:r>
        <w:t>nen národ je posedlý úkladnou falší.</w:t>
      </w:r>
    </w:p>
    <w:p w:rsidR="00500724" w:rsidRDefault="00F30FB8">
      <w:pPr>
        <w:pStyle w:val="Zkladntext30"/>
        <w:shd w:val="clear" w:color="auto" w:fill="auto"/>
        <w:spacing w:after="60"/>
        <w:ind w:firstLine="280"/>
      </w:pPr>
      <w:r>
        <w:t>Při nedostatku konkrétních dokladů páně žalobco</w:t>
      </w:r>
      <w:r>
        <w:softHyphen/>
        <w:t>vých se nám ani nechce zabývat se jeho thesí, že český tisk je ve lživých výmyslech nejhorší. Nebude</w:t>
      </w:r>
      <w:r>
        <w:softHyphen/>
        <w:t>me popírat, že se psalo divoce, ale nemíníme také za</w:t>
      </w:r>
      <w:r>
        <w:softHyphen/>
        <w:t xml:space="preserve">mlčovat, kolik </w:t>
      </w:r>
      <w:r>
        <w:t>vážných námitek se zároveň proti takovému psaní proneslo. Jen k tomu evropskému maximu špatnosti, které se Praze přisuzuje, k tomu kontinentálnímu rekordu ve lžích a výmyslech chce</w:t>
      </w:r>
      <w:r>
        <w:softHyphen/>
        <w:t xml:space="preserve">me připomenout věc, kterou každý nezaujatý pochopí: že »polovzdělaný </w:t>
      </w:r>
      <w:r>
        <w:rPr>
          <w:i/>
          <w:iCs/>
          <w:sz w:val="20"/>
          <w:szCs w:val="20"/>
        </w:rPr>
        <w:t>a</w:t>
      </w:r>
      <w:r>
        <w:t xml:space="preserve"> nevz</w:t>
      </w:r>
      <w:r>
        <w:t>dělaný* novinář zůstane ubohým břídilem i ve lhaní a vymýšlení a že objevily-li se v českém tisku nějaké kruté fantasie, hodné evrop</w:t>
      </w:r>
      <w:r>
        <w:softHyphen/>
        <w:t>ského měřítka, patrně také byly odněkud z Evropy přitaženy. Pan Jung nemá snad dost odborných novi</w:t>
      </w:r>
      <w:r>
        <w:softHyphen/>
        <w:t>nářských zkušeností, aby</w:t>
      </w:r>
      <w:r>
        <w:t xml:space="preserve"> věděl, jaké lži a jak sugestiv</w:t>
      </w:r>
      <w:r>
        <w:softHyphen/>
        <w:t>ní dovedla světová macha novinářská a propagační vy</w:t>
      </w:r>
      <w:r>
        <w:softHyphen/>
        <w:t>robit; ale kdyby prolistoval starší ročníky orgánu své strany a porovnal, co se tam psalo o infámnosti a per- 7° fidii žurnálů francouzských, anglických, amerických a němec</w:t>
      </w:r>
      <w:r>
        <w:t>kých před zglajchšaltováním, patrně by po</w:t>
      </w:r>
      <w:r>
        <w:softHyphen/>
        <w:t>někud shovívavěji soudil o tisku své bývalé vlasti.</w:t>
      </w:r>
    </w:p>
    <w:p w:rsidR="00500724" w:rsidRDefault="00F30FB8">
      <w:pPr>
        <w:pStyle w:val="Zkladntext30"/>
        <w:shd w:val="clear" w:color="auto" w:fill="auto"/>
        <w:spacing w:after="60" w:line="202" w:lineRule="auto"/>
        <w:ind w:firstLine="240"/>
      </w:pPr>
      <w:r>
        <w:t>Tón a obsah novin můžeme konec konců posuzovat se svého subjektivního hlediska tak nebo onak, závaž</w:t>
      </w:r>
      <w:r>
        <w:softHyphen/>
        <w:t>nější je, co náš někdejší krajan tvrdí o novinářích. Kdyby byl</w:t>
      </w:r>
      <w:r>
        <w:t>o pravda, že čeští novináři jsou pouzí ná</w:t>
      </w:r>
      <w:r>
        <w:softHyphen/>
        <w:t>mezdníci, kteří jdou jen za lepším zaplacením a nemají k ničemu ideový poměr, mohl by být český tisk špatný i bez lží a pomluv. Ale náš nelítostný kritik nenajde pro to dokladů, ačkoliv jistě svému tvrzení věří. Je</w:t>
      </w:r>
      <w:r>
        <w:t>dnu vedlejší jeho žalobu jsme na těchto místech bezděky, bez pomyšlení na něho, vyvrátili nedávno: domněnku, že česká žurnalistika je z větší části židov</w:t>
      </w:r>
      <w:r>
        <w:softHyphen/>
        <w:t xml:space="preserve">ská. Ukázali jsme, že v českých redakcích sedí tak málo židů, že se tím český tisk přímo nápadně liší </w:t>
      </w:r>
      <w:r>
        <w:t>od vší žurnalistiky světové. Neméně fantastické jsou i představy ostatní.</w:t>
      </w:r>
    </w:p>
    <w:p w:rsidR="00500724" w:rsidRDefault="00F30FB8">
      <w:pPr>
        <w:pStyle w:val="Zkladntext30"/>
        <w:shd w:val="clear" w:color="auto" w:fill="auto"/>
        <w:spacing w:after="60" w:line="199" w:lineRule="auto"/>
        <w:ind w:firstLine="240"/>
      </w:pPr>
      <w:r>
        <w:t>V celých dějinách českého tisku je jen jeden jediný případ křiklavého obratu ideového, který souvisel s peněžní transakci: je to známá koupě s&gt;Národních Listů« skupinou doktora Kramá</w:t>
      </w:r>
      <w:r>
        <w:t>ře. Bylo to dávno před válkou, a pan Jung sotva co ví o bouři rozhořčení, která se pro tuto změnu směru v celém českém ná</w:t>
      </w:r>
      <w:r>
        <w:softHyphen/>
        <w:t>rodě i tisku pozvedla. Konec konců šlo při tom o vnitř</w:t>
      </w:r>
      <w:r>
        <w:softHyphen/>
        <w:t>ní věc strany, »Národní Listy« byly a zůstaly mlado- české, jen se po změně maj</w:t>
      </w:r>
      <w:r>
        <w:t>itele rozhodly pro jinou taktiku; bylo-li však rozezlení pro tuto věc a pro její souvislost s kapitálem tak prudké, že se jako odstra</w:t>
      </w:r>
      <w:r>
        <w:softHyphen/>
        <w:t>šující příklad uváděla na pamět po desítkách let, je to patrně svědectví, že bylo to v našich poměrech opravdu něco výjime</w:t>
      </w:r>
      <w:r>
        <w:t>čného a že se tu, v národě i v no</w:t>
      </w:r>
      <w:r>
        <w:softHyphen/>
        <w:t>vinách, přikládá zvláštní význam ideálním hodnotám.</w:t>
      </w:r>
    </w:p>
    <w:p w:rsidR="00500724" w:rsidRDefault="00F30FB8">
      <w:pPr>
        <w:pStyle w:val="Zkladntext30"/>
        <w:shd w:val="clear" w:color="auto" w:fill="auto"/>
        <w:spacing w:line="202" w:lineRule="auto"/>
        <w:ind w:firstLine="240"/>
      </w:pPr>
      <w:r>
        <w:t>Ale ani u jednotlivců, vzpomínáme-li na všeliké pře</w:t>
      </w:r>
      <w:r>
        <w:softHyphen/>
        <w:t>stupy z listu do listu, nelze shledat nic, co by oprávnilo tvrzení, že novináři mění list a směr podle lepšího za</w:t>
      </w:r>
      <w:r>
        <w:softHyphen/>
        <w:t>plac</w:t>
      </w:r>
      <w:r>
        <w:t>ení; natož pak většinou! Poměrně nejhojnější jsou přestupy v oborech nepolitických: lokálkář, soudnič- kář, sportovní zpravodaj spíš a lehčeji ovšem změní redakci než ten, kdo se v ní uplatňoval politicky Ale jak málo je i těch změn a jak i u nich je z vel</w:t>
      </w:r>
      <w:r>
        <w:t>ké většiny rozhodující, aby přechod byl čestný a mravně snesitelný! Pro české novinářstvc vůbec se nehodí charakteristika, že jsou to lidé ochotní za lepší za</w:t>
      </w:r>
      <w:r>
        <w:softHyphen/>
        <w:t>placení změnit své působiště. České redakce nejvíce naopak vyznačuje stálost a trvalost jejich sl</w:t>
      </w:r>
      <w:r>
        <w:t>ožení. Největší počet novinářů, kteří zůstávají celý život u novin a jsou jen deníkáři, setrvává co nejdéle v jedné redakci a nijak nevyhledávají změnu, i kdyby zname</w:t>
      </w:r>
      <w:r>
        <w:softHyphen/>
        <w:t>nala hmotné zlepšení. A všechna vydavatelstva se snaží upevnit svůj hlavní redakční soubo</w:t>
      </w:r>
      <w:r>
        <w:t>r, protože tato souvislost společné práce je novinám nejprospěš</w:t>
      </w:r>
      <w:r>
        <w:softHyphen/>
        <w:t>nější. Jsou ovšem i při obojí shodné tendenci změny. Každý redakční soubor musí být časem obměňován, aby se nevyžil, každé vydavatelstvo tedy má na očích jfednotlivce z cizích listů, které jed</w:t>
      </w:r>
      <w:r>
        <w:t>noho dne eventuálně přeplatí. Kdy se to však stane s nějakým křiklavým porušením osobního přesvědčení? Jednotliví redaktoři v redakcích se liší při stejném politickém vyznání víry o odstíny temperamentu; levý národní socialista mohl být zcela už blízek pra</w:t>
      </w:r>
      <w:r>
        <w:t>vějšímu sociálnímu demokratu, pravější národní socialista levějšímu národnímu demo</w:t>
      </w:r>
      <w:r>
        <w:softHyphen/>
        <w:t>kratu. Ale vzpomínáme-li těchto dnes už pohřbených představ: kolik národních socialistů přešlo za těch 20 let do »Práva Lidu«? Kolik jich vstoupilo do »Ná</w:t>
      </w:r>
      <w:r>
        <w:softHyphen/>
      </w:r>
      <w:r>
        <w:br w:type="page"/>
        <w:t>rodních Listů«? K</w:t>
      </w:r>
      <w:r>
        <w:t>terý sociální demokrat se dal koupiti »Národní Politikou« a kterého by byla ona chtěla pře</w:t>
      </w:r>
      <w:r>
        <w:softHyphen/>
        <w:t>platit? Nevzpomenete si na žádný takový případ. Máme v uplynulém dvacetiletí jen jedinou a dosti trva</w:t>
      </w:r>
      <w:r>
        <w:softHyphen/>
        <w:t xml:space="preserve">lou fluktuaci, kde novinář mění směr a zároveň si po- lepšuje: </w:t>
      </w:r>
      <w:r>
        <w:t>byly to úniky komunistů od »Rudého Práva« k listům nemarxistickým. Většinou byly způsobeny zklamáním mladého člověka v ideálech, které měl. V ideálech, nikoli v peněžních nárocích. A pokud si při tom přilepšoval nebo pokud tím opravdu chtěl uniknout z bídy</w:t>
      </w:r>
      <w:r>
        <w:t>, bylo to — v rámci celého českého tisku — vyváženo zase těmi, kteří v určité politické krisi naopak opouštěli tisk, který se jim zdál měšťác- kým, a šli tříti bídu při věrnosti ideám.</w:t>
      </w:r>
    </w:p>
    <w:p w:rsidR="00500724" w:rsidRDefault="00F30FB8">
      <w:pPr>
        <w:pStyle w:val="Zkladntext30"/>
        <w:shd w:val="clear" w:color="auto" w:fill="auto"/>
        <w:spacing w:after="0" w:line="202" w:lineRule="auto"/>
      </w:pPr>
      <w:r>
        <w:t>Nic z těchto změn neni takové povahy, aby se mohlo o českých novinářích</w:t>
      </w:r>
      <w:r>
        <w:t xml:space="preserve"> říci, že jdou jako žoldnéři v ná</w:t>
      </w:r>
      <w:r>
        <w:softHyphen/>
        <w:t>jem kteréhokoli pána. A měl-li snad pan Jung na mysli těch několik málo změn mezi vedoucími lidmi, které se během dvaceti let staly, nechť si povšimne, že snad nikdy se to nestalo způsobem, který předpokládá. Pokud znám po</w:t>
      </w:r>
      <w:r>
        <w:t>zadí, bývaly to přestupy, které se pro</w:t>
      </w:r>
      <w:r>
        <w:softHyphen/>
        <w:t>vedly, když se dva listy silně sblížily a když se i obě vydavatelstva o změně dohodla. Snad není tento detail na první pohled dost průkazný pro ideovou stránku, ale po mém přece jen svědčí, že nešlo o zradu praporu, j</w:t>
      </w:r>
      <w:r>
        <w:t>akou pan Jung v povaze českého novinářstva předpokládá.</w:t>
      </w:r>
    </w:p>
    <w:p w:rsidR="00500724" w:rsidRDefault="00F30FB8">
      <w:pPr>
        <w:pStyle w:val="Zkladntext1"/>
        <w:shd w:val="clear" w:color="auto" w:fill="auto"/>
        <w:spacing w:after="80" w:line="209" w:lineRule="auto"/>
        <w:ind w:firstLine="0"/>
        <w:jc w:val="center"/>
      </w:pPr>
      <w:r>
        <w:t>•</w:t>
      </w:r>
    </w:p>
    <w:p w:rsidR="00500724" w:rsidRDefault="00F30FB8">
      <w:pPr>
        <w:pStyle w:val="Zkladntext30"/>
        <w:shd w:val="clear" w:color="auto" w:fill="auto"/>
        <w:spacing w:line="199" w:lineRule="auto"/>
      </w:pPr>
      <w:r>
        <w:t>»Polovzdělán nebo nevzdělán,« o tom škoda slov. Nedoukové a političtí nedovtipové objevují se v žur</w:t>
      </w:r>
      <w:r>
        <w:softHyphen/>
        <w:t>nalismu po celém světě; a kdo byl po léta aktivním po</w:t>
      </w:r>
      <w:r>
        <w:softHyphen/>
        <w:t>litikem v Cechách a nenašel v českém tisku ž</w:t>
      </w:r>
      <w:r>
        <w:t>ádného vzdělaného novináře, osvojil si právě tu miru věcné znalosti, při níž může i tvrdit, že každý český žurna</w:t>
      </w:r>
      <w:r>
        <w:softHyphen/>
        <w:t>lista jen počítá, kolik mu to vynese.</w:t>
      </w:r>
    </w:p>
    <w:p w:rsidR="00500724" w:rsidRDefault="00F30FB8">
      <w:pPr>
        <w:pStyle w:val="Zkladntext30"/>
        <w:shd w:val="clear" w:color="auto" w:fill="auto"/>
        <w:spacing w:after="220" w:line="202" w:lineRule="auto"/>
      </w:pPr>
      <w:r>
        <w:t>Ale ať už jsem nedovzdělán nebo vůbec nevzdělán, ať žiji bez jakýchkoli idealistických podnětů a koukám j</w:t>
      </w:r>
      <w:r>
        <w:t>en, co z čeho budu mít: tolik vím, že z takového psaní o věcech, které jsou mezi Cechy a Němci, nebudou mít nic ani ti ani oni. Česká žurnalistika jako němec</w:t>
      </w:r>
      <w:r>
        <w:softHyphen/>
        <w:t>ká měla a má svou velikou roli v dorozumění obou ná</w:t>
      </w:r>
      <w:r>
        <w:softHyphen/>
        <w:t>rodů a proto je třeba, aby političtí lidé znal</w:t>
      </w:r>
      <w:r>
        <w:t>i její funkci. Co náš bývalý krajan svým novým krajanům o naší žurnalistice pověděl, podává obraz neodpovída</w:t>
      </w:r>
      <w:r>
        <w:softHyphen/>
        <w:t>jící skutečnosti. Vykonalo to patrně svou službu v mě</w:t>
      </w:r>
      <w:r>
        <w:softHyphen/>
        <w:t>sících, pro které bylo třeba rozplameniti všechen hněv a všechno opovržení. Ale pro léta, kte</w:t>
      </w:r>
      <w:r>
        <w:t>rá nemají probíhat v hněvu, bylo by třeba, aby Němci o nás, my o nich slyšeli především věci úzkostně pravdivé. Teprve pak bude možno s obou stran poctivě mluvit o dalším.</w:t>
      </w:r>
    </w:p>
    <w:p w:rsidR="00500724" w:rsidRDefault="00F30FB8">
      <w:pPr>
        <w:pStyle w:val="Zkladntext30"/>
        <w:shd w:val="clear" w:color="auto" w:fill="auto"/>
        <w:spacing w:line="221" w:lineRule="auto"/>
        <w:ind w:firstLine="0"/>
        <w:rPr>
          <w:sz w:val="20"/>
          <w:szCs w:val="20"/>
        </w:rPr>
      </w:pPr>
      <w:r>
        <w:rPr>
          <w:i/>
          <w:iCs/>
          <w:sz w:val="20"/>
          <w:szCs w:val="20"/>
        </w:rPr>
        <w:t>KornelSynek:</w:t>
      </w:r>
    </w:p>
    <w:p w:rsidR="00500724" w:rsidRDefault="00F30FB8">
      <w:pPr>
        <w:pStyle w:val="Nadpis100"/>
        <w:shd w:val="clear" w:color="auto" w:fill="auto"/>
        <w:spacing w:after="80" w:line="240" w:lineRule="auto"/>
      </w:pPr>
      <w:bookmarkStart w:id="123" w:name="bookmark122"/>
      <w:r>
        <w:t>Co je to neutralita?</w:t>
      </w:r>
      <w:bookmarkEnd w:id="123"/>
    </w:p>
    <w:p w:rsidR="00500724" w:rsidRDefault="00F30FB8">
      <w:pPr>
        <w:pStyle w:val="Zkladntext1"/>
        <w:shd w:val="clear" w:color="auto" w:fill="auto"/>
        <w:spacing w:line="209" w:lineRule="auto"/>
        <w:ind w:firstLine="260"/>
      </w:pPr>
      <w:r>
        <w:t xml:space="preserve">Kterýsi anglický list nedávno napsal, že se </w:t>
      </w:r>
      <w:r>
        <w:t>Německu podařilo neutralisovat půl Evropy. Mám za to, že autor článku měl na mysli především vývoj ve střední a jiho</w:t>
      </w:r>
      <w:r>
        <w:softHyphen/>
        <w:t>východní Evropě.</w:t>
      </w:r>
    </w:p>
    <w:p w:rsidR="00500724" w:rsidRDefault="00F30FB8">
      <w:pPr>
        <w:pStyle w:val="Zkladntext1"/>
        <w:shd w:val="clear" w:color="auto" w:fill="auto"/>
        <w:spacing w:after="120" w:line="209" w:lineRule="auto"/>
        <w:ind w:firstLine="260"/>
      </w:pPr>
      <w:r>
        <w:t>Není to jistě náhoda, že mezi říšskoněmeckým a švý</w:t>
      </w:r>
      <w:r>
        <w:softHyphen/>
        <w:t>carským tiskem vede se teď o neutralitě dialog. »Problém neutrality sta</w:t>
      </w:r>
      <w:r>
        <w:t>l se pro malé demokratické státy životní otázkou,« napsal před časem »Vólkischer Be- obachter.c V německém tisku objevil se nový druh ne</w:t>
      </w:r>
      <w:r>
        <w:softHyphen/>
        <w:t>utrality — totiž neutralita »totálníc. Na obou stranách představily se již hlavní argumenty. Nacionálně-sociali- stické</w:t>
      </w:r>
      <w:r>
        <w:t xml:space="preserve"> pojetí přednesl dr. Bockhoff v dlouhém člán</w:t>
      </w:r>
      <w:r>
        <w:softHyphen/>
        <w:t xml:space="preserve">ku, který vyšel nejdříve v Rosenbergových »National- sozialistische Monatsheftec a rozváděl se pak obšírně téměř v celém říšskoněmeckém tisku. Na švýcarské straně odpovídají mu profesor mezinárodního práva </w:t>
      </w:r>
      <w:r>
        <w:rPr>
          <w:lang w:val="en-US" w:eastAsia="en-US" w:bidi="en-US"/>
        </w:rPr>
        <w:t>Schin</w:t>
      </w:r>
      <w:r>
        <w:rPr>
          <w:lang w:val="en-US" w:eastAsia="en-US" w:bidi="en-US"/>
        </w:rPr>
        <w:t xml:space="preserve">dler </w:t>
      </w:r>
      <w:r>
        <w:t>a bernský profesor H i 11 y. Předmět roz</w:t>
      </w:r>
      <w:r>
        <w:softHyphen/>
        <w:t>pravy je zřejmě tak významný, že zabírá celé sloupce na úvodních místech. Nemůžeme to jistě považovat pouze za učenou diskusi bez vlivu na praktickou politi</w:t>
      </w:r>
      <w:r>
        <w:softHyphen/>
        <w:t>ku. Stojí vskutku za informativní pozornost, i kdyby</w:t>
      </w:r>
      <w:r>
        <w:softHyphen/>
      </w:r>
      <w:r>
        <w:t>chom nevěděli, co všechno se loni v Evropě změnilo.</w:t>
      </w:r>
    </w:p>
    <w:p w:rsidR="00500724" w:rsidRDefault="00F30FB8">
      <w:pPr>
        <w:pStyle w:val="Zkladntext1"/>
        <w:shd w:val="clear" w:color="auto" w:fill="auto"/>
        <w:spacing w:after="80" w:line="209" w:lineRule="auto"/>
        <w:ind w:firstLine="0"/>
        <w:jc w:val="center"/>
      </w:pPr>
      <w:r>
        <w:t>Neutralita a demokracie v 2 0. století</w:t>
      </w:r>
    </w:p>
    <w:p w:rsidR="00500724" w:rsidRDefault="00F30FB8">
      <w:pPr>
        <w:pStyle w:val="Zkladntext1"/>
        <w:shd w:val="clear" w:color="auto" w:fill="auto"/>
        <w:spacing w:line="209" w:lineRule="auto"/>
      </w:pPr>
      <w:r>
        <w:t>V dlouhé úvaze snaží se dr. Bockhoff především do</w:t>
      </w:r>
      <w:r>
        <w:softHyphen/>
        <w:t>kázat, že malé státy nemohou udržet svou státní ne</w:t>
      </w:r>
      <w:r>
        <w:softHyphen/>
        <w:t>utralitu, ponechávají-li lidu (a hlavně ovšem tisku) možnost, kr</w:t>
      </w:r>
      <w:r>
        <w:t>itisovati jiné státy, jejichž režim je autorita</w:t>
      </w:r>
      <w:r>
        <w:softHyphen/>
        <w:t xml:space="preserve">tivní. V takovém případě nemohou ani žádat, aby kriti- sované státy měly k neutralitě úctu, uznávajíce ji bez námitek. Neutralita je v tomto pojetí pro malé státy existenční otázkou a týká se především zemí, </w:t>
      </w:r>
      <w:r>
        <w:t>které se jakýmkoli způsobem zúčastňují zápasu demokracií proti totalitním státům — af už ideologicky, morálně, kultur</w:t>
      </w:r>
      <w:r>
        <w:softHyphen/>
        <w:t>ně, hospodářsky, politicky nebo dokonce vojensky. Kdo chce v případě války zůstati neutrální — praví dr. Bockhoff — musí neutralitu dokáza</w:t>
      </w:r>
      <w:r>
        <w:t>ti už v míru. Poruše</w:t>
      </w:r>
      <w:r>
        <w:softHyphen/>
        <w:t>ním neutrality nemusí být pak jenom činy, jichž se neutrální stát dopustí, ale i různá opomenutí. Nelze prý činiti rozdíl mezi státní a národní nebo lidovou neutrali</w:t>
      </w:r>
      <w:r>
        <w:softHyphen/>
        <w:t>tou, tím méně ovšem mezi státní a tiskovou neutralitou: »Malé demokra</w:t>
      </w:r>
      <w:r>
        <w:t>tické státy nemohou se již vyhnouti to</w:t>
      </w:r>
      <w:r>
        <w:softHyphen/>
        <w:t>muto rozhodnutí. Domnívají se snad, že jsou s to takové rozlišení přesně provésti? Pak jsou povinny říci to na</w:t>
      </w:r>
      <w:r>
        <w:softHyphen/>
        <w:t>prosto otevřeně. Nemáme žádnou chuť, děíati si iluse Doba světové koalice vedla automaticky k tomu, že ne</w:t>
      </w:r>
      <w:r>
        <w:softHyphen/>
      </w:r>
      <w:r>
        <w:t>utralita neplatí jenom za války, nýbrž i v míru.«</w:t>
      </w:r>
    </w:p>
    <w:p w:rsidR="00500724" w:rsidRDefault="00F30FB8">
      <w:pPr>
        <w:pStyle w:val="Zkladntext1"/>
        <w:shd w:val="clear" w:color="auto" w:fill="auto"/>
        <w:spacing w:line="209" w:lineRule="auto"/>
      </w:pPr>
      <w:r>
        <w:t>Tak třeba rozuměti Bockhoffovu dotazu, zda švýcar</w:t>
      </w:r>
      <w:r>
        <w:softHyphen/>
        <w:t>ská spolková rada, prohlašujíc slavnostně bezpodmíneč</w:t>
      </w:r>
      <w:r>
        <w:softHyphen/>
        <w:t>nou neutralitu, chtěla zavázati také švýcarský lid nebo jenom úřady v Bernu a v jednotlivých kantonech</w:t>
      </w:r>
      <w:r>
        <w:t>? Podle Bockhoffova mínění nejde pouze o zásadu tiskové svo</w:t>
      </w:r>
      <w:r>
        <w:softHyphen/>
        <w:t>body, nýbrž o neutralitu nebo nepřátelství švýcarského tisku: /Dokud neutrální malé státy, a zejména Švýcar</w:t>
      </w:r>
      <w:r>
        <w:softHyphen/>
        <w:t>sko, popírají, že stát je povinen zajistiti neutralitu lidu, nemají právo žádati od nás,</w:t>
      </w:r>
      <w:r>
        <w:t xml:space="preserve"> abychom jejich pochybnou neutralitu uznali za neutralitu skutečnou.«</w:t>
      </w:r>
    </w:p>
    <w:p w:rsidR="00500724" w:rsidRDefault="00F30FB8">
      <w:pPr>
        <w:pStyle w:val="Zkladntext1"/>
        <w:shd w:val="clear" w:color="auto" w:fill="auto"/>
        <w:spacing w:after="100" w:line="209" w:lineRule="auto"/>
      </w:pPr>
      <w:r>
        <w:t>Dr. Bockhoff mluví sice jenom teoreticky, ale ani on sám nepopírá, že v podstatě jde o výklad praktické</w:t>
      </w:r>
      <w:r>
        <w:softHyphen/>
        <w:t>ho programu. Celá jeho úvaha je neobyčejně otevřená, takže závěrečná věta nezní už</w:t>
      </w:r>
      <w:r>
        <w:t xml:space="preserve"> vůbec jako překvapení: »V budoucnosti budeme hájiti svůj názor s chladnou a železnou důsledností. Od svého pojetí neustoupíme ani o krůček. Problém neutrality stal se ve 20. století pro malé demokratické státy životní otázkou.«</w:t>
      </w:r>
    </w:p>
    <w:p w:rsidR="00500724" w:rsidRDefault="00F30FB8">
      <w:pPr>
        <w:pStyle w:val="Zkladntext1"/>
        <w:shd w:val="clear" w:color="auto" w:fill="auto"/>
        <w:spacing w:line="209" w:lineRule="auto"/>
        <w:ind w:firstLine="0"/>
        <w:jc w:val="center"/>
      </w:pPr>
      <w:r>
        <w:t>Švýcarská odpověď.</w:t>
      </w:r>
    </w:p>
    <w:p w:rsidR="00500724" w:rsidRDefault="00F30FB8">
      <w:pPr>
        <w:pStyle w:val="Zkladntext1"/>
        <w:shd w:val="clear" w:color="auto" w:fill="auto"/>
        <w:spacing w:after="40" w:line="221" w:lineRule="auto"/>
      </w:pPr>
      <w:r>
        <w:rPr>
          <w:noProof/>
        </w:rPr>
        <mc:AlternateContent>
          <mc:Choice Requires="wps">
            <w:drawing>
              <wp:anchor distT="12700" distB="254000" distL="114300" distR="114300" simplePos="0" relativeHeight="125829460" behindDoc="0" locked="0" layoutInCell="1" allowOverlap="1">
                <wp:simplePos x="0" y="0"/>
                <wp:positionH relativeFrom="page">
                  <wp:posOffset>6893560</wp:posOffset>
                </wp:positionH>
                <wp:positionV relativeFrom="margin">
                  <wp:posOffset>8976360</wp:posOffset>
                </wp:positionV>
                <wp:extent cx="137160" cy="186055"/>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137160" cy="186055"/>
                        </a:xfrm>
                        <a:prstGeom prst="rect">
                          <a:avLst/>
                        </a:prstGeom>
                        <a:noFill/>
                      </wps:spPr>
                      <wps:txbx>
                        <w:txbxContent>
                          <w:p w:rsidR="00500724" w:rsidRDefault="00F30FB8">
                            <w:pPr>
                              <w:pStyle w:val="Zkladntext30"/>
                              <w:shd w:val="clear" w:color="auto" w:fill="auto"/>
                              <w:spacing w:after="0" w:line="240" w:lineRule="auto"/>
                              <w:ind w:firstLine="0"/>
                              <w:jc w:val="left"/>
                            </w:pPr>
                            <w:r>
                              <w:t>7&lt;</w:t>
                            </w:r>
                          </w:p>
                        </w:txbxContent>
                      </wps:txbx>
                      <wps:bodyPr lIns="0" tIns="0" rIns="0" bIns="0">
                        <a:spAutoFit/>
                      </wps:bodyPr>
                    </wps:wsp>
                  </a:graphicData>
                </a:graphic>
              </wp:anchor>
            </w:drawing>
          </mc:Choice>
          <mc:Fallback>
            <w:pict>
              <v:shape id="_x0000_s1109" type="#_x0000_t202" style="position:absolute;margin-left:542.79999999999995pt;margin-top:706.79999999999995pt;width:10.800000000000001pt;height:14.65pt;z-index:-125829293;mso-wrap-distance-left:9.pt;mso-wrap-distance-top:1.pt;mso-wrap-distance-right:9.pt;mso-wrap-distance-bottom:20.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7&lt;</w:t>
                      </w:r>
                    </w:p>
                  </w:txbxContent>
                </v:textbox>
                <w10:wrap type="topAndBottom" anchorx="page" anchory="margin"/>
              </v:shape>
            </w:pict>
          </mc:Fallback>
        </mc:AlternateContent>
      </w:r>
      <w:r>
        <w:t>Co</w:t>
      </w:r>
      <w:r>
        <w:t xml:space="preserve"> se týče neutrality, má Švýcarsko osvědčenou tra</w:t>
      </w:r>
      <w:r>
        <w:softHyphen/>
        <w:t>dici a nikdo je nemusí poučovati, co neutralita znamená — odpovídá švýcarský tisk. Neutralita je věc politické</w:t>
      </w:r>
      <w:r>
        <w:softHyphen/>
        <w:t>ho a strategického postupu. Lze jí rozuměti jenom tak, že se neutrální stát nedopustí žádných či</w:t>
      </w:r>
      <w:r>
        <w:t>nů, které by svědčily, že má zájem na úspěchu některé strany. Ne</w:t>
      </w:r>
      <w:r>
        <w:softHyphen/>
        <w:t xml:space="preserve">utrální vláda musí se chovati tak, aby ji nikdo nemohl podezírat, že nadržuje tomu nebo onomu táboru. Tato povinnost platí právě tak za války, jako v dobách míru. Je až nápadné, že švýcarská </w:t>
      </w:r>
      <w:r>
        <w:t>odpověď mluví stále jenom o chování a jednání státu nebo vlády, rozlišujíc velmi pečlivě mezi odpovědnými orgány a lidem. Podle švý</w:t>
      </w:r>
      <w:r>
        <w:softHyphen/>
        <w:t>carského pojetí má se neutrální stát dokonce postarati, aby ho nikdo nemohl politicky zneužít — a nesmí ovšem dopustiti, aby</w:t>
      </w:r>
      <w:r>
        <w:t xml:space="preserve"> jej kdokoli považoval za možného ne</w:t>
      </w:r>
      <w:r>
        <w:softHyphen/>
        <w:t>přítelova spojence. Tato pravidla určují prý dobré cho</w:t>
      </w:r>
      <w:r>
        <w:softHyphen/>
        <w:t>vání státu stejně, jako chování každého jednotlivého občana, který se musí vystříhat činů, kompromitujících neutrální vládu. Nesmí podniknouti zejména nic, čím by m</w:t>
      </w:r>
      <w:r>
        <w:t>ohl působiti na válečné akce nebo válečné pří</w:t>
      </w:r>
      <w:r>
        <w:softHyphen/>
        <w:t>pravy jiných států.</w:t>
      </w:r>
    </w:p>
    <w:p w:rsidR="00500724" w:rsidRDefault="00F30FB8">
      <w:pPr>
        <w:pStyle w:val="Zkladntext1"/>
        <w:shd w:val="clear" w:color="auto" w:fill="auto"/>
        <w:spacing w:after="40" w:line="209" w:lineRule="auto"/>
        <w:ind w:firstLine="240"/>
      </w:pPr>
      <w:r>
        <w:t xml:space="preserve">Tady je hranice, kde názorová shoda končí, nebof ve všech ostatních bodech je švýcarské pojetí neutrality jiné než německé. Myšlenkový postoj občana </w:t>
      </w:r>
      <w:r>
        <w:rPr>
          <w:sz w:val="20"/>
          <w:szCs w:val="20"/>
        </w:rPr>
        <w:t xml:space="preserve">k </w:t>
      </w:r>
      <w:r>
        <w:t>světo</w:t>
      </w:r>
      <w:r>
        <w:softHyphen/>
        <w:t xml:space="preserve">vým událostem nemá prý s </w:t>
      </w:r>
      <w:r>
        <w:t>neutralitou nic společného — dokazují švýcarští zástupci. Všechno, co dr. Bockhoff od malých států žádá, není prý posílením, ale naopak zeslabením neutrality, nebof představuje zásah do vnitř</w:t>
      </w:r>
      <w:r>
        <w:softHyphen/>
        <w:t>ních poměrů neutrálního státu. Kdyby neutrální stát takovým poža</w:t>
      </w:r>
      <w:r>
        <w:t>davkům vyhověl, musel by se prý odvrátit od ústavních práv a svobod. Švýcarští učenci říkají doslovně: &gt;Občan malého státu nesměl by už říci pravdu o světových událostech, tím méně by ji mohl napsat. Nemohl by si už ujasnit, co se kolem něho děje, takže by</w:t>
      </w:r>
      <w:r>
        <w:t xml:space="preserve"> politické tvoření vůle malých demokratických států utrpělo smrtelnou ránu.« Přiznávají sice, že v tomto smyslu jde opravdu o existenční otázku malých států, ale dívají se na věc jinýma očima. Podříditi se názorům a požadavkům, které dr. Bockhoff vyslovil,</w:t>
      </w:r>
      <w:r>
        <w:t xml:space="preserve"> po</w:t>
      </w:r>
      <w:r>
        <w:softHyphen/>
        <w:t>važuje celý švýcarský tisk za největší zlo, protože se ztrátou vnitřní svobody byl by stát i na venek z polo</w:t>
      </w:r>
      <w:r>
        <w:softHyphen/>
        <w:t>vice ztracen. Pojem neutrality nelze prý libovolně roz- šiřovati a vykládati. Při každé sporné otázce odvolávají se švýcarští zástupci na příkl</w:t>
      </w:r>
      <w:r>
        <w:t>ad z doby světové války, kdy švýcarský stát dokázal, že dovede zacházeti s prin</w:t>
      </w:r>
      <w:r>
        <w:softHyphen/>
        <w:t>cipem neutrality, jako nikdo jiný. Tehdy prokázal celému světu veliké služby právě tím, že neutralitě rozuměl po starém způsobu, švýcarský tisk se ostatně táže: neuznali jste n</w:t>
      </w:r>
      <w:r>
        <w:t>aši bezpodmínečnou neutralitu teprve nedávno? Proč ji nyní vykládáte jinak? Je to jistě působivý argument, ale nelze odhadnout, bude-li míti na politickou skutečnost stejný vliv, jako má na lidský cit.</w:t>
      </w:r>
    </w:p>
    <w:p w:rsidR="00500724" w:rsidRDefault="00F30FB8">
      <w:pPr>
        <w:pStyle w:val="Zkladntext1"/>
        <w:shd w:val="clear" w:color="auto" w:fill="auto"/>
        <w:spacing w:after="40" w:line="209" w:lineRule="auto"/>
        <w:ind w:firstLine="0"/>
        <w:jc w:val="center"/>
      </w:pPr>
      <w:r>
        <w:t>Rozprava bez konce</w:t>
      </w:r>
    </w:p>
    <w:p w:rsidR="00500724" w:rsidRDefault="00F30FB8">
      <w:pPr>
        <w:pStyle w:val="Zkladntext1"/>
        <w:shd w:val="clear" w:color="auto" w:fill="auto"/>
        <w:spacing w:after="380" w:line="223" w:lineRule="auto"/>
        <w:ind w:firstLine="240"/>
      </w:pPr>
      <w:r>
        <w:t>Mezi oběma názory je zřejmě tak vel</w:t>
      </w:r>
      <w:r>
        <w:t>iká propast, že se teoreticky nedá překlenout. Z okolnosti, že úvaha dr. Bockhoffa vyšla v sNationalsozialistische Monats- hefte« a že ji pak rozváděl celý říšskoněmecký tisk, můžeme usouditi, že neměla jenom teoretické poslání. Uvážíme-li, že se jí zabývá</w:t>
      </w:r>
      <w:r>
        <w:t xml:space="preserve"> také všechen švýcarský tisk a dokonce i význační švýcarští učenci a politikové, shledáme, že ani jejich námitky nezůstávají pouze v oblasti čiré teorie. Jaká bude skutečnost, o tom roz</w:t>
      </w:r>
      <w:r>
        <w:softHyphen/>
        <w:t>hodne další vývoj. Tato rozprava o neutralitě musí nás zajímat právě p</w:t>
      </w:r>
      <w:r>
        <w:t>roto, že má jistě širší platnost, než se na první pohled zdá.</w:t>
      </w:r>
    </w:p>
    <w:p w:rsidR="00500724" w:rsidRDefault="00F30FB8">
      <w:pPr>
        <w:pStyle w:val="Jin0"/>
        <w:shd w:val="clear" w:color="auto" w:fill="auto"/>
        <w:spacing w:after="40"/>
        <w:ind w:firstLine="0"/>
        <w:jc w:val="left"/>
        <w:rPr>
          <w:sz w:val="44"/>
          <w:szCs w:val="44"/>
        </w:rPr>
      </w:pPr>
      <w:r>
        <w:rPr>
          <w:b/>
          <w:bCs/>
          <w:sz w:val="44"/>
          <w:szCs w:val="44"/>
          <w:u w:val="single"/>
        </w:rPr>
        <w:t>literatura a umění</w:t>
      </w:r>
    </w:p>
    <w:p w:rsidR="00500724" w:rsidRDefault="00F30FB8">
      <w:pPr>
        <w:pStyle w:val="Jin0"/>
        <w:shd w:val="clear" w:color="auto" w:fill="auto"/>
        <w:spacing w:after="40"/>
        <w:ind w:firstLine="0"/>
        <w:rPr>
          <w:sz w:val="26"/>
          <w:szCs w:val="26"/>
        </w:rPr>
      </w:pPr>
      <w:r>
        <w:rPr>
          <w:i/>
          <w:iCs/>
          <w:sz w:val="26"/>
          <w:szCs w:val="26"/>
        </w:rPr>
        <w:t>J. Furth:</w:t>
      </w:r>
    </w:p>
    <w:p w:rsidR="00500724" w:rsidRDefault="00F30FB8">
      <w:pPr>
        <w:pStyle w:val="Nadpis100"/>
        <w:shd w:val="clear" w:color="auto" w:fill="auto"/>
        <w:spacing w:line="240" w:lineRule="auto"/>
        <w:ind w:firstLine="240"/>
        <w:jc w:val="both"/>
      </w:pPr>
      <w:bookmarkStart w:id="124" w:name="bookmark123"/>
      <w:r>
        <w:t>Čapkův nakladatel vzpomíná</w:t>
      </w:r>
      <w:bookmarkEnd w:id="124"/>
    </w:p>
    <w:p w:rsidR="00500724" w:rsidRDefault="00F30FB8">
      <w:pPr>
        <w:pStyle w:val="Zkladntext30"/>
        <w:shd w:val="clear" w:color="auto" w:fill="auto"/>
        <w:spacing w:line="202" w:lineRule="auto"/>
        <w:ind w:firstLine="240"/>
      </w:pPr>
      <w:r>
        <w:t>Na svatbě Ferdinanda Peroutky v roce 1931 se Peroutkův nakladatel po prvé setkal s Karlem Čap</w:t>
      </w:r>
      <w:r>
        <w:softHyphen/>
        <w:t xml:space="preserve">kem. Tehdy bez jiskry naděje, že by se mohl </w:t>
      </w:r>
      <w:r>
        <w:t>kdy státi nakladatelem také jeho knih. Čapkovy knihy vy</w:t>
      </w:r>
      <w:r>
        <w:softHyphen/>
        <w:t>cházely v Aventinu; dodnes zůstala nevysvětlena pravá příčina, proč nakladatelství Borového nepokra</w:t>
      </w:r>
      <w:r>
        <w:softHyphen/>
        <w:t>čovalo ve vydávání knih bratří Čapků po »Francouz- ské poesii« a ^Zářivých hlubinách«, jejichž první</w:t>
      </w:r>
      <w:r>
        <w:t xml:space="preserve"> vy</w:t>
      </w:r>
      <w:r>
        <w:softHyphen/>
        <w:t>dání uspořádalo právě ono. »Boží muka« vyšla u Ottů a pak Čapkové přešli do Aventina, které zahajovalo ve skromné oficině žižkovské. Aventinu zůstal Čapek věrný i později, kdy nakladatelství Borového přešlo do oblasti »Lidových Novin«, kde Čapek byl ji</w:t>
      </w:r>
      <w:r>
        <w:t>ž před</w:t>
      </w:r>
      <w:r>
        <w:softHyphen/>
        <w:t>ním členem ^pražské redakce. Direktorium u Boro</w:t>
      </w:r>
      <w:r>
        <w:softHyphen/>
        <w:t xml:space="preserve">vých marně toužilo po návratu Čapkově. Čapek, který měl »Lidové Noviny« upřímně rád, odmítl odejiti </w:t>
      </w:r>
      <w:r>
        <w:rPr>
          <w:b/>
          <w:bCs/>
        </w:rPr>
        <w:t xml:space="preserve">z </w:t>
      </w:r>
      <w:r>
        <w:t>Aventina. Základem jeho charakteru byla věrnost.</w:t>
      </w:r>
    </w:p>
    <w:p w:rsidR="00500724" w:rsidRDefault="00F30FB8">
      <w:pPr>
        <w:pStyle w:val="Zkladntext30"/>
        <w:shd w:val="clear" w:color="auto" w:fill="auto"/>
        <w:spacing w:line="199" w:lineRule="auto"/>
        <w:ind w:firstLine="240"/>
      </w:pPr>
      <w:r>
        <w:t>K Borovým přešel po ztroskotání Aventina, když pře</w:t>
      </w:r>
      <w:r>
        <w:t>d tím podnikl mnoho kroků pro záchranu tohoto podniku a kdy ztratil naději v jeho obrodu. A ještě ne naplno. První kniha, která byla u Borových od Čapka po mnohaleté přestávce vydána, byla »Devatero po- hádek«. Tato kniha má na titulním listě i v tiráži uv</w:t>
      </w:r>
      <w:r>
        <w:t>edeno jako nakladatele: Aventinum-Borový. Stalo se tak na příkaz Čapkův, který chtěl pro pří</w:t>
      </w:r>
      <w:r>
        <w:softHyphen/>
        <w:t>pad, že by se přece jen Aventinum zachránilo, za- jistiti tomuto nakladatelství další spolupráci na jeho spisech. Takový byl Čapek.</w:t>
      </w:r>
    </w:p>
    <w:p w:rsidR="00500724" w:rsidRDefault="00F30FB8">
      <w:pPr>
        <w:pStyle w:val="Zkladntext30"/>
        <w:shd w:val="clear" w:color="auto" w:fill="auto"/>
        <w:spacing w:line="199" w:lineRule="auto"/>
        <w:ind w:firstLine="240"/>
      </w:pPr>
      <w:r>
        <w:t>Takový byl i v jiných případech</w:t>
      </w:r>
      <w:r>
        <w:t xml:space="preserve">. Psal »Hovory s Masarykemcc. Když předložil Masarykovi rukopis a ten do něho vlastní rukou vpisoval své připomínky, Čapek odmítl přijmout celý autorský honorář. Dal Masarykovi k disposici jeho polovinu. Masaryk se tím stal de </w:t>
      </w:r>
      <w:r>
        <w:rPr>
          <w:lang w:val="en-US" w:eastAsia="en-US" w:bidi="en-US"/>
        </w:rPr>
        <w:t xml:space="preserve">jure </w:t>
      </w:r>
      <w:r>
        <w:t>spoluautorem »Hovorů«, z</w:t>
      </w:r>
      <w:r>
        <w:t xml:space="preserve"> čehož vyplýval nárok pro oficiálního nakladatele Masarykových spi</w:t>
      </w:r>
      <w:r>
        <w:softHyphen/>
        <w:t>sů, družstvo »Čin«. Čapek přiměl svého nakladatele, aby se s nakladatelem Masarykovým dohovořil. Vý</w:t>
      </w:r>
      <w:r>
        <w:softHyphen/>
        <w:t>sledek je ten, že dodnes nesou »Hovory« na titulním listě jména dvou nakladatelství, svěd</w:t>
      </w:r>
      <w:r>
        <w:t>čící o Čapkově úctě k smlouvám.</w:t>
      </w:r>
    </w:p>
    <w:p w:rsidR="00500724" w:rsidRDefault="00F30FB8">
      <w:pPr>
        <w:pStyle w:val="Zkladntext30"/>
        <w:shd w:val="clear" w:color="auto" w:fill="auto"/>
        <w:spacing w:line="199" w:lineRule="auto"/>
        <w:ind w:firstLine="240"/>
      </w:pPr>
      <w:r>
        <w:t>Dodržet dané slovo ve věcech malých, za jaké lze označiti příslib rukopisu, článku nebo knihy, až po věci veliké, jako jsou smlouvy mezi národy a státy, to bylo základní krédo Čapkova života. Kdo toto o něm věděl, cítil, jak</w:t>
      </w:r>
      <w:r>
        <w:t xml:space="preserve"> mučivě musily působiti na něho události loňského podzimu, kdy překladateli »Fran- couzské poesie« bylo souzeno dožiti se chvíle, kdy smlouva s Francií změnila se přes noc v papír. Kdo prožil s ním noc po Berchiesgadenu, kdo slyšel jeho větu: »Umřel mi svě</w:t>
      </w:r>
      <w:r>
        <w:t>t, svět dodržené smlouvy,« ten musel míti obavu o jeho zdraví, narušené přírodou a čelící jejím nárazům jen životním optimismem, pra</w:t>
      </w:r>
      <w:r>
        <w:softHyphen/>
        <w:t>menícím z lásky k lidem a z víry v lidstvo.</w:t>
      </w:r>
    </w:p>
    <w:p w:rsidR="00500724" w:rsidRDefault="00F30FB8">
      <w:pPr>
        <w:pStyle w:val="Zkladntext30"/>
        <w:shd w:val="clear" w:color="auto" w:fill="auto"/>
        <w:spacing w:line="199" w:lineRule="auto"/>
        <w:ind w:firstLine="240"/>
      </w:pPr>
      <w:r>
        <w:t xml:space="preserve">Věrnost a služba — to byla jeho erbovní hesla. Sloužit vždy a všude, vším svým </w:t>
      </w:r>
      <w:r>
        <w:t>konáním, především svým básnickým talentem. Každý sebemenší projev uzavírá radou a poučením čtenáře o smyslu života, celé jeho literární dílo — toť především studnice mou</w:t>
      </w:r>
      <w:r>
        <w:softHyphen/>
        <w:t xml:space="preserve">drého pozorování světa a veliké vyznání víry v náš lid. Své ^Anglické listy« uzavírá </w:t>
      </w:r>
      <w:r>
        <w:t>horoucí touhou po do</w:t>
      </w:r>
      <w:r>
        <w:softHyphen/>
        <w:t>mově. »Italské listy« oslavou horských pramenů a dřeva a zelených trávníků, typických znaků své rod</w:t>
      </w:r>
      <w:r>
        <w:softHyphen/>
        <w:t>né země, »Obrázky z Holandskacc oslavou malého ná</w:t>
      </w:r>
      <w:r>
        <w:softHyphen/>
        <w:t>roda. Uchýliv se, inspirován exotickou gramofonovou deskou, v románu »Povětroň« do tr</w:t>
      </w:r>
      <w:r>
        <w:t>opů, dává svému hrdinovi zahynouti při horečném návratu letadlem do vlasti.</w:t>
      </w:r>
    </w:p>
    <w:p w:rsidR="00500724" w:rsidRDefault="00F30FB8">
      <w:pPr>
        <w:pStyle w:val="Zkladntext30"/>
        <w:shd w:val="clear" w:color="auto" w:fill="auto"/>
        <w:spacing w:after="0" w:line="202" w:lineRule="auto"/>
        <w:ind w:firstLine="240"/>
      </w:pPr>
      <w:r>
        <w:t>Jedna z křivd, spáchaných na Čapkovi, bylo obviňo</w:t>
      </w:r>
      <w:r>
        <w:softHyphen/>
        <w:t xml:space="preserve">vání, že hledá své motivy v cizině a píše své knihy pro potlesk ciziny. Snášel tuto výtku těžce, hlavně proto, že to nebyla </w:t>
      </w:r>
      <w:r>
        <w:t>pravda. Málokdo zůstával tak do</w:t>
      </w:r>
      <w:r>
        <w:softHyphen/>
        <w:t>konale doma jako on. Jeho zahraniční nakladatel měl asi pravdu, když vysvětloval příčinu jeho úspěchů v cizině takto: »Čapek působí na nás jako cizokrajná rostlina, jejíž květ nám voní jinou půdou a jiným sluncem, půdou česk</w:t>
      </w:r>
      <w:r>
        <w:t>ou a sluncem českým. Jsem pře</w:t>
      </w:r>
      <w:r>
        <w:softHyphen/>
        <w:t>svědčen, že Čapka vychutná dokonale jen ten, kdo ho čte česky.« Budiž také konstatováno, že úspěchy jeho knih byly spontánní. Žádná oficiální nebo oficiosní protekce za nimi nebyla. Zahraniční nakladatelé se předháněli v nabíd</w:t>
      </w:r>
      <w:r>
        <w:t>kách, ale Čapek zůstal vždy věrný těm, kteří ho pro tu kterou zemi objevili, i když se tím hmotně poškodil.</w:t>
      </w:r>
    </w:p>
    <w:p w:rsidR="00500724" w:rsidRDefault="00F30FB8">
      <w:pPr>
        <w:pStyle w:val="Zkladntext30"/>
        <w:shd w:val="clear" w:color="auto" w:fill="auto"/>
        <w:spacing w:after="0"/>
        <w:ind w:firstLine="240"/>
      </w:pPr>
      <w:r>
        <w:t xml:space="preserve">Kdo Čapka viděl zblízka, ví, jaký to byl typicky český člověk. Jen ve svém českém prostředí cítil se doma, odtud vycházely jeho knihy. Uveďme jedno </w:t>
      </w:r>
      <w:r>
        <w:t>svědectví: Čapek přestavuje v podkroví svůj pražský dům. Sám si kreslí plány a návrhy vnitřního zařízení, pomáhá vlastníma rukama zedníkům. Jeden zedník spadne s lešení. Čapek vidí pád a zděšeně běží k dělníkovi, který leží na zemi skoro v bezvědomí. Ten s</w:t>
      </w:r>
      <w:r>
        <w:t>e pomalu zdvihá, Čapek chce volat lékaře, ale zedník, bledý bolestí, stydí se za svou nešikovnost, zastírá svůj úlek a své utrpení strašlivým láteřením na práci, materiál, na tesaře, který stavěl lešení. Celý rejstřík dělnického halasu rozezvučí se v Čapko</w:t>
      </w:r>
      <w:r>
        <w:t>vě domě a také v Čapkově duši. Zedničí dál, ale myšlenkami je už jinde.</w:t>
      </w:r>
    </w:p>
    <w:p w:rsidR="00500724" w:rsidRDefault="00F30FB8">
      <w:pPr>
        <w:pStyle w:val="Zkladntext30"/>
        <w:shd w:val="clear" w:color="auto" w:fill="auto"/>
        <w:spacing w:after="0" w:line="204" w:lineRule="auto"/>
        <w:ind w:firstLine="240"/>
      </w:pPr>
      <w:r>
        <w:t>Svět zbrojí, noviny jsou plné předpovědí války, nad naší zemí stahuje se mrak nejčernější. Jak obstojí český člověk v nastávající krisi? Čapek cítí pojednou, že dobře, neboť před chvíl</w:t>
      </w:r>
      <w:r>
        <w:t>í viděl českého muže z lidu v roli trpitele, před chvílí stál při zrození neznámého vojína — hrdiny. Cítí, že o tom musí napsat knihu. Tak vzniká kniha »První parta«, oslava českého chlapství, hrdinného umírání a bratrské lásky k bliž</w:t>
      </w:r>
      <w:r>
        <w:softHyphen/>
        <w:t>nímu. Vzpomínka na ro</w:t>
      </w:r>
      <w:r>
        <w:t>dné Svatoňovice dodala hornic</w:t>
      </w:r>
      <w:r>
        <w:softHyphen/>
        <w:t>ké prostředí. Čapek jede na Kladno, sfárá do dolů, roz</w:t>
      </w:r>
      <w:r>
        <w:softHyphen/>
        <w:t xml:space="preserve">mlouvá s inženýry, dělníky, lékaři, studuje odbornou literaturu, chodí po lesích Na Strži a spřádá osnovu děje. Pak jednoho dne jde do své pracovny, spouští </w:t>
      </w:r>
      <w:r>
        <w:rPr>
          <w:lang w:val="en-US" w:eastAsia="en-US" w:bidi="en-US"/>
        </w:rPr>
        <w:t xml:space="preserve">radio </w:t>
      </w:r>
      <w:r>
        <w:t>(psal vž</w:t>
      </w:r>
      <w:r>
        <w:t>dy při zvuku hudby), sedá ke stolu a píše rukou svým drobným, těžko čitelným písmem stránku za stránkou. Je léto, Na Strži prohání se tlupa přátel, hlaholí mu pod okny, ale Čapek přichází jen tak na skok, na šálek kávy, rozdá několik úsměvů, rozesměje něko</w:t>
      </w:r>
      <w:r>
        <w:t>lika slovními hříčkami a už spěchá k své práci. Za dvacet osm dní odevzdává rukopis s plachým, rozpačitým a čapkovsky cudným úsměvem. Takový byl Čapek.</w:t>
      </w:r>
    </w:p>
    <w:p w:rsidR="00500724" w:rsidRDefault="00F30FB8">
      <w:pPr>
        <w:pStyle w:val="Zkladntext30"/>
        <w:shd w:val="clear" w:color="auto" w:fill="auto"/>
        <w:spacing w:after="0" w:line="180" w:lineRule="auto"/>
        <w:ind w:firstLine="0"/>
        <w:jc w:val="center"/>
      </w:pPr>
      <w:r>
        <w:t>•</w:t>
      </w:r>
    </w:p>
    <w:p w:rsidR="00500724" w:rsidRDefault="00F30FB8">
      <w:pPr>
        <w:pStyle w:val="Zkladntext30"/>
        <w:shd w:val="clear" w:color="auto" w:fill="auto"/>
        <w:spacing w:after="0" w:line="202" w:lineRule="auto"/>
        <w:ind w:firstLine="240"/>
      </w:pPr>
      <w:r>
        <w:t xml:space="preserve">Poctivý a pilný dělník. Jeho poctivost začínala </w:t>
      </w:r>
      <w:r>
        <w:rPr>
          <w:b/>
          <w:bCs/>
        </w:rPr>
        <w:t xml:space="preserve">v </w:t>
      </w:r>
      <w:r>
        <w:t>jeho jazyce, jehož čistotu střežil jako oko ve své h</w:t>
      </w:r>
      <w:r>
        <w:t>lavě. Rozdurdil se kdysi při korekturách »Horduba- la« na korektora tiskárny, že mu cosi v rukopise opra</w:t>
      </w:r>
      <w:r>
        <w:softHyphen/>
        <w:t>vil. Nechtěl však svoji autoritu uplatnit pouhým roz</w:t>
      </w:r>
      <w:r>
        <w:softHyphen/>
        <w:t>kazem. Rozkázat něco slabšímu, to je lehké, říkal, ale přesvědčit ho, to dá fušku. A proto celé od</w:t>
      </w:r>
      <w:r>
        <w:t>poledne sháněl důkaz pro korektora, že jeho zásah do ruko</w:t>
      </w:r>
      <w:r>
        <w:softHyphen/>
        <w:t>pisu není správný. Nakonec se ukázalo, že má pravdu korektor. Čapek zářil radostí, že tiskárna má tak dobrého strážce čistoty jazyka, ale zle se rozzlobil na to, že musel ztrávit tolik času hledáním</w:t>
      </w:r>
      <w:r>
        <w:t xml:space="preserve"> po různých neúplných příručkách. Proč stále ještě nemáme pří</w:t>
      </w:r>
      <w:r>
        <w:softHyphen/>
        <w:t>ruční slovník jazyka českého? Na toto thema roze</w:t>
      </w:r>
      <w:r>
        <w:softHyphen/>
        <w:t>psal se v nejbližším sloupku nedělních x&gt;Lidových No- vin«. A pokračoval v jiných článcích, uveřejnil svůj rozhovor s Masarykem o tomto vážném na</w:t>
      </w:r>
      <w:r>
        <w:t>šem kultur</w:t>
      </w:r>
      <w:r>
        <w:softHyphen/>
        <w:t>ním nedostatku, hnul stojatými vodami. Slovník České Akademie i slovník Vášův a Trávníčkův by byly ještě delší dobu čekaly na svoji tiskárnu, nebýt Čap</w:t>
      </w:r>
      <w:r>
        <w:softHyphen/>
        <w:t>kova alarmu.</w:t>
      </w:r>
    </w:p>
    <w:p w:rsidR="00500724" w:rsidRDefault="00F30FB8">
      <w:pPr>
        <w:pStyle w:val="Zkladntext30"/>
        <w:shd w:val="clear" w:color="auto" w:fill="auto"/>
        <w:spacing w:after="0" w:line="206" w:lineRule="auto"/>
        <w:ind w:firstLine="240"/>
      </w:pPr>
      <w:r>
        <w:t>Svou lásku vyznával činem. Milujeme-li svůj rodný jazyk, musíme mít slovník, mil</w:t>
      </w:r>
      <w:r>
        <w:t>ujeme-li svůj národ, starejme se o jeho chudé děti: dává popud k založení Demokracie dětem. Utrácet čas v nečinnosti nebo v planém mluvení, to byl pro něho hřích. Po smut</w:t>
      </w:r>
      <w:r>
        <w:softHyphen/>
        <w:t>ných zářijových dnech cítí, že, jako vždy, nejlepší lék pro bolavou duši je mít praco</w:t>
      </w:r>
      <w:r>
        <w:t>vní program. Na své milované Strži obklopí se zedníky a rozšiřuje svůj dům, aby měl v létě víc místa pro přátele. Dělá zed</w:t>
      </w:r>
      <w:r>
        <w:softHyphen/>
        <w:t>nické partě architekta, stavitele, políra i přidavače na stavbě, ošetřuje stromy, poškozené podzimní po</w:t>
      </w:r>
      <w:r>
        <w:softHyphen/>
        <w:t>vodní, připravuje keře k zimn</w:t>
      </w:r>
      <w:r>
        <w:t>ímu spánku a začíná psát novou knihu. Netuší a nikdo s ním, že knihu poslední.</w:t>
      </w:r>
    </w:p>
    <w:p w:rsidR="00500724" w:rsidRDefault="00F30FB8">
      <w:pPr>
        <w:pStyle w:val="Zkladntext30"/>
        <w:shd w:val="clear" w:color="auto" w:fill="auto"/>
        <w:spacing w:after="0" w:line="206" w:lineRule="auto"/>
        <w:ind w:firstLine="240"/>
      </w:pPr>
      <w:r>
        <w:t>Měl původně v úmyslu psát jiný román. »Černá hodinka« se měl jmenovat. Měla to být kniha českého osudu, oslava tří křesťanských ctností, českému lidu tak potřebných: víry, naděj</w:t>
      </w:r>
      <w:r>
        <w:t>e a lásky. Po dvaceti strán</w:t>
      </w:r>
      <w:r>
        <w:softHyphen/>
        <w:t xml:space="preserve">kách ustává a začíná jinou. Cítí pojednou potřebu vy- pořádati se dříve s problémem uměleckého tvoření. Netuší, že píše svůj odkaz, v němž pokorný služebník svého lidu na tragickém případě Foltýnově ukazuje, že talent, který se </w:t>
      </w:r>
      <w:r>
        <w:t>nesnoubí se vzděláním a poctivostí pokorného řemeslníka a s mravní čistotou, vede do propasti. Na devadesáti stránkách, žel Bohu, nedo</w:t>
      </w:r>
      <w:r>
        <w:softHyphen/>
        <w:t>psaného rukopisu, vyzpíval Čapek svou píseň na oslavu tvůrčí práce, práce poctivé, plné utrpení a od</w:t>
      </w:r>
      <w:r>
        <w:softHyphen/>
        <w:t>říkání, ale práce, k</w:t>
      </w:r>
      <w:r>
        <w:t>terá vede k výšinám božím.</w:t>
      </w:r>
    </w:p>
    <w:p w:rsidR="00500724" w:rsidRDefault="00F30FB8">
      <w:pPr>
        <w:pStyle w:val="Zkladntext30"/>
        <w:shd w:val="clear" w:color="auto" w:fill="auto"/>
        <w:spacing w:after="0" w:line="206" w:lineRule="auto"/>
        <w:ind w:firstLine="0"/>
        <w:jc w:val="center"/>
      </w:pPr>
      <w:r>
        <w:t>•</w:t>
      </w:r>
    </w:p>
    <w:p w:rsidR="00500724" w:rsidRDefault="00F30FB8">
      <w:pPr>
        <w:pStyle w:val="Zkladntext30"/>
        <w:shd w:val="clear" w:color="auto" w:fill="auto"/>
        <w:spacing w:after="220" w:line="199" w:lineRule="auto"/>
        <w:ind w:firstLine="240"/>
      </w:pPr>
      <w:r>
        <w:t>Umřel ti, český čtenáři, velký spisovatel. Jsi ochu</w:t>
      </w:r>
      <w:r>
        <w:softHyphen/>
        <w:t>zen o to, co ještě napsati chtěl a mohl, ale bohatství krásy slovesné a moudrosti lidské, které ti zanechal, je studnice veliké útěchy. Ale i tato neumělá skizza Čapkovy osobn</w:t>
      </w:r>
      <w:r>
        <w:t xml:space="preserve">osti by byla nedokreslena, kdyby mělo býti vzpomínáno jen autora slavných dramat a knih. Umřel vzácný člověk. Umřel plachý český hoch, věčný student, tulák, dobrý hospodář, umřel kamarád nad jiné nejvěrnější, veselý milovník vína a přítel žertu všelikého, </w:t>
      </w:r>
      <w:r>
        <w:t>umřel vědec a soudce, umřel statečný voják a věrný manžel a dobrý bratr. Věřte mi. že s ním umřelo ztělesněné dobro.</w:t>
      </w:r>
    </w:p>
    <w:p w:rsidR="00500724" w:rsidRDefault="00F30FB8">
      <w:pPr>
        <w:pStyle w:val="Jin0"/>
        <w:shd w:val="clear" w:color="auto" w:fill="auto"/>
        <w:spacing w:after="140"/>
        <w:ind w:firstLine="0"/>
        <w:jc w:val="left"/>
        <w:rPr>
          <w:sz w:val="44"/>
          <w:szCs w:val="44"/>
        </w:rPr>
      </w:pPr>
      <w:r>
        <w:rPr>
          <w:b/>
          <w:bCs/>
          <w:sz w:val="44"/>
          <w:szCs w:val="44"/>
          <w:u w:val="single"/>
        </w:rPr>
        <w:t>život a instituce</w:t>
      </w:r>
    </w:p>
    <w:p w:rsidR="00500724" w:rsidRDefault="00F30FB8">
      <w:pPr>
        <w:pStyle w:val="Nadpis100"/>
        <w:shd w:val="clear" w:color="auto" w:fill="auto"/>
        <w:spacing w:after="0" w:line="240" w:lineRule="auto"/>
      </w:pPr>
      <w:bookmarkStart w:id="125" w:name="bookmark124"/>
      <w:r>
        <w:t xml:space="preserve">Sbohem, </w:t>
      </w:r>
      <w:r>
        <w:rPr>
          <w:lang w:val="en-US" w:eastAsia="en-US" w:bidi="en-US"/>
        </w:rPr>
        <w:t xml:space="preserve">Jules </w:t>
      </w:r>
      <w:r>
        <w:t>Romainsi!</w:t>
      </w:r>
      <w:bookmarkEnd w:id="125"/>
    </w:p>
    <w:p w:rsidR="00500724" w:rsidRDefault="00F30FB8">
      <w:pPr>
        <w:pStyle w:val="Zkladntext30"/>
        <w:shd w:val="clear" w:color="auto" w:fill="auto"/>
        <w:spacing w:after="80" w:line="221" w:lineRule="auto"/>
        <w:ind w:firstLine="0"/>
        <w:jc w:val="center"/>
        <w:rPr>
          <w:sz w:val="20"/>
          <w:szCs w:val="20"/>
        </w:rPr>
      </w:pPr>
      <w:r>
        <w:rPr>
          <w:sz w:val="20"/>
          <w:szCs w:val="20"/>
        </w:rPr>
        <w:t>(Odpověď na článek v minulém čísle »Přítomnosti«)</w:t>
      </w:r>
    </w:p>
    <w:p w:rsidR="00500724" w:rsidRDefault="00F30FB8">
      <w:pPr>
        <w:pStyle w:val="Zkladntext30"/>
        <w:shd w:val="clear" w:color="auto" w:fill="auto"/>
        <w:spacing w:after="0" w:line="202" w:lineRule="auto"/>
        <w:ind w:firstLine="240"/>
      </w:pPr>
      <w:r>
        <w:t xml:space="preserve">Připadám si povolaná psáti Vám právě proto, že </w:t>
      </w:r>
      <w:r>
        <w:t>pod svůj dopis mohu podepsat jen jméno neznámé. Politikové, básníci a představitelé české kultury, s ni</w:t>
      </w:r>
      <w:r>
        <w:softHyphen/>
        <w:t>miž jste loni na jaře připíjel na francouzsko-česko- slovenské spojenectví, Vám napsali mnoho polemik, článků, memorand, ba i básní, jak píšete. Já, nep</w:t>
      </w:r>
      <w:r>
        <w:t>olitik, mohu napsati jenom dopis čistě osobní. Před půl ro</w:t>
      </w:r>
      <w:r>
        <w:softHyphen/>
        <w:t>kem bych se toho asi nebyla odvážila. Domnívala jsem se, že politika je zaměstnání pro školené politiky a my ostatní že uděláme dobře, nebudeme-li se plést do té složité věci, které rozumíme tak má</w:t>
      </w:r>
      <w:r>
        <w:t>lo. Přišly dny, které, jak píšete, stály Francii několik miliard —- a francouzského spojence, Československo, ještě o něco víc. A v těch dnech jsem poznala, že politika je v lid</w:t>
      </w:r>
      <w:r>
        <w:softHyphen/>
        <w:t xml:space="preserve">ském životě právě tak důležitá, jako láska. Doléhá až na kůži, přilíná k tělu </w:t>
      </w:r>
      <w:r>
        <w:t>jako košile, upíná se k srdci jako nejniternější pocity. V těch dnech jsem vzpomí</w:t>
      </w:r>
      <w:r>
        <w:softHyphen/>
        <w:t>nala svého nejlepšího přítele, který vždycky tvrdil, že politické články se mají psát jako milostné dopisy — s toutéž vřelou soukromostí, s toutéž důležitostí a se stejnou ho</w:t>
      </w:r>
      <w:r>
        <w:t>rečnou nedočkavostí. Nejsou-li psány tak, nejsou to politické články, ale papír, který nikoho ne</w:t>
      </w:r>
      <w:r>
        <w:softHyphen/>
        <w:t>zaujme. A dokud nebudou lidé naprosto nepolitičtí po</w:t>
      </w:r>
      <w:r>
        <w:softHyphen/>
        <w:t>važovat »politiku« — totiž to, co se děje — za právě tak pro sebe důležité, jako věci soukromí, dotud se b</w:t>
      </w:r>
      <w:r>
        <w:t>ude velká masa lidí lhostejně válet mezi událostmi, neuvědomujíc si, že tyto události přicházejí až do je</w:t>
      </w:r>
      <w:r>
        <w:softHyphen/>
        <w:t>jího příbytku, až k mísám, na které se v poledne na</w:t>
      </w:r>
      <w:r>
        <w:softHyphen/>
        <w:t>lévá polévka. Nechť je mi tedy dovoleno napsati Vám, bezejmenné člence českého lidu a mimo to Vaší</w:t>
      </w:r>
      <w:r>
        <w:t xml:space="preserve"> čte</w:t>
      </w:r>
      <w:r>
        <w:softHyphen/>
        <w:t>nářce, v jejímž životě jste hrál vy — spisovatel — vel</w:t>
      </w:r>
      <w:r>
        <w:softHyphen/>
        <w:t>kou úlohu.</w:t>
      </w:r>
    </w:p>
    <w:p w:rsidR="00500724" w:rsidRDefault="00F30FB8">
      <w:pPr>
        <w:pStyle w:val="Zkladntext30"/>
        <w:shd w:val="clear" w:color="auto" w:fill="auto"/>
        <w:spacing w:after="100" w:line="180" w:lineRule="auto"/>
        <w:ind w:firstLine="0"/>
        <w:jc w:val="center"/>
      </w:pPr>
      <w:r>
        <w:t>•</w:t>
      </w:r>
    </w:p>
    <w:p w:rsidR="00500724" w:rsidRDefault="00F30FB8">
      <w:pPr>
        <w:pStyle w:val="Zkladntext30"/>
        <w:shd w:val="clear" w:color="auto" w:fill="auto"/>
        <w:spacing w:after="0" w:line="199" w:lineRule="auto"/>
      </w:pPr>
      <w:r>
        <w:t>Patřím ke generaci, která prožila ve svém mládí přelom století. Pane Bože, jaká jsme to byla generace! »Schóngeisti« nám říkali, a vskutku, měli pravdu. Ži</w:t>
      </w:r>
      <w:r>
        <w:softHyphen/>
        <w:t xml:space="preserve">vili jsme se kulturou, </w:t>
      </w:r>
      <w:r>
        <w:t>přecpávali se jí, hltali ji. Chodí</w:t>
      </w:r>
      <w:r>
        <w:softHyphen/>
        <w:t>ce po nábřeží, šeptali jsme si Březinovy verše. Znali jsme každý takt ze všech klasických symfonií a ko</w:t>
      </w:r>
      <w:r>
        <w:softHyphen/>
        <w:t>morní hudby. Četli jsme Dostojevského, Čechova, Turgeněva, Flauberta, Stendhala se stejným vytrže</w:t>
      </w:r>
      <w:r>
        <w:softHyphen/>
        <w:t>ním, jako čtou dneš</w:t>
      </w:r>
      <w:r>
        <w:t>ní mladí detektivky. Četli jsme celé noci, poslouchali jsme hudbu celé večery, nevy</w:t>
      </w:r>
      <w:r>
        <w:softHyphen/>
        <w:t>cházeli jsme z jakéhosi okouzlení. Život obyčejný jsme považovali za příliš hrubý a drsný pro své jemné a vznešené duše. Vyhýbali jsme se pečlivě všemu, co za</w:t>
      </w:r>
      <w:r>
        <w:softHyphen/>
        <w:t>vánělo potem,</w:t>
      </w:r>
      <w:r>
        <w:t xml:space="preserve"> lidskou dřinou a vůbec člověkem. Člo</w:t>
      </w:r>
      <w:r>
        <w:softHyphen/>
        <w:t>věk byl pro nás ta či ona postava slavného románu a pak, ovšem, my, vyvolení. Žili jsme v mátožném opo</w:t>
      </w:r>
      <w:r>
        <w:softHyphen/>
        <w:t>jení kulturní krásy. První válečné rány třeskly rušivě do našich snů. Byli jsme zvyklí na cizince, kteří cho</w:t>
      </w:r>
      <w:r>
        <w:softHyphen/>
        <w:t>dili P</w:t>
      </w:r>
      <w:r>
        <w:t>rahou a říkali: hezká holka, hubička, jako jedi</w:t>
      </w:r>
      <w:r>
        <w:softHyphen/>
        <w:t>né, co česky dovedli. V prvních válečných dnech jsme poznali cizince, kteří znali jediné české slůvko: bolí. Na nádražích leželi v čekárnách ovázaní lidé, nemoc</w:t>
      </w:r>
      <w:r>
        <w:softHyphen/>
        <w:t>nice byly plné rozstřílených těl, ubohých, zhni</w:t>
      </w:r>
      <w:r>
        <w:t>saných kusů lidského života. Probudili jsme se do strašné skutečnosti.</w:t>
      </w:r>
    </w:p>
    <w:p w:rsidR="00500724" w:rsidRDefault="00F30FB8">
      <w:pPr>
        <w:pStyle w:val="Zkladntext30"/>
        <w:shd w:val="clear" w:color="auto" w:fill="auto"/>
        <w:spacing w:after="0" w:line="199" w:lineRule="auto"/>
      </w:pPr>
      <w:r>
        <w:t>A v tomto prvním jasném probuzení lidí velmi citli</w:t>
      </w:r>
      <w:r>
        <w:softHyphen/>
        <w:t>vých přišla k nám Vaše kniha: »Sur les quais de la Villette«. Předměstí Paříže a stávka. Útok autobusů. Na rozdíl od literatury, ktero</w:t>
      </w:r>
      <w:r>
        <w:t>u jsme znali, nebyla tam duše člověka, ale hýbala se tam ulice. Proti policejní</w:t>
      </w:r>
      <w:r>
        <w:softHyphen/>
        <w:t>mu kordonu v generální stávce jel sražený šik auto</w:t>
      </w:r>
      <w:r>
        <w:softHyphen/>
        <w:t>busů, a člověk, který tam jednal, byl šofér autobusů. Ne jeden, sta jich. Ulice, autobusy a 1 i d — to jste nám přinesl. Začí</w:t>
      </w:r>
      <w:r>
        <w:t>nali jsme spatřovat nikoli už vý</w:t>
      </w:r>
      <w:r>
        <w:softHyphen/>
        <w:t>jimečné lidi, nýbrž obyčejný lid. Naučil jste nás chá</w:t>
      </w:r>
      <w:r>
        <w:softHyphen/>
        <w:t>pat, že je každý člověk výjimečný a že zástupy těchto výjimečných lidí jsou lid. Prorazil jste závoj kraso- myšlení, prorazil jste ho mocnou dírou, najednou se nám objev</w:t>
      </w:r>
      <w:r>
        <w:t>ily daleké obzory. Neříkám, že jste udělal víc. Ale pro nás to bylo nesmírně mnoho. Byli jsme citliví a měli jsme rádi pravdu. Hledali jsme si ji už potom sami.</w:t>
      </w:r>
    </w:p>
    <w:p w:rsidR="00500724" w:rsidRDefault="00F30FB8">
      <w:pPr>
        <w:pStyle w:val="Zkladntext30"/>
        <w:shd w:val="clear" w:color="auto" w:fill="auto"/>
        <w:spacing w:after="60" w:line="240" w:lineRule="auto"/>
        <w:rPr>
          <w:sz w:val="19"/>
          <w:szCs w:val="19"/>
        </w:rPr>
      </w:pPr>
      <w:r>
        <w:t>Měla jsem odjakživa lásku k lidským tvářím. Je něco podivuhodného v lidské tváři, dovedete-li v</w:t>
      </w:r>
      <w:r>
        <w:t xml:space="preserve"> ní číst, je to malý zázrak. Často jsem si věšela na stěnu svého studentského pokojíku fotografie lidí, které jsem ani neznala: jejich tváře se mi líbily. Mezi nimi </w:t>
      </w:r>
      <w:r>
        <w:rPr>
          <w:b/>
          <w:bCs/>
          <w:i/>
          <w:iCs/>
          <w:sz w:val="19"/>
          <w:szCs w:val="19"/>
        </w:rPr>
        <w:t>74</w:t>
      </w:r>
    </w:p>
    <w:p w:rsidR="00500724" w:rsidRDefault="00F30FB8">
      <w:pPr>
        <w:pStyle w:val="Zkladntext30"/>
        <w:shd w:val="clear" w:color="auto" w:fill="auto"/>
        <w:spacing w:after="0" w:line="206" w:lineRule="auto"/>
        <w:ind w:firstLine="0"/>
      </w:pPr>
      <w:r>
        <w:t>visel také Váš obrázek, mistře. Taková hrubě vy</w:t>
      </w:r>
      <w:r>
        <w:softHyphen/>
        <w:t>modelovaná tvář a velký, hrbolatý nos, s</w:t>
      </w:r>
      <w:r>
        <w:t>mělý obličej a mnoho černých vlasů. Za Vámi bylo plno knih a před Vámi psací stůl. Taková tvář na stěně je trochu jako kamarád — nebo kumpán, chcete-li — člověka, který v tom pokoji žije. Máte radost a koukáte na ni. Pláčete a koukáte na ni. Patří trochu k</w:t>
      </w:r>
      <w:r>
        <w:t xml:space="preserve"> Vám a něco z Vás vyjadřuje — anebo si alespoň myslíte, že vy</w:t>
      </w:r>
      <w:r>
        <w:softHyphen/>
        <w:t>jadřuje. U mne vyjadřovala nesmírně bolestný a těž</w:t>
      </w:r>
      <w:r>
        <w:softHyphen/>
        <w:t>ký návrat z patnáctiletého snu na hlínu země. A mimo to jste byl pro mne — jako pro nás pro všechny — ztě</w:t>
      </w:r>
      <w:r>
        <w:softHyphen/>
        <w:t>lesněním odvahy, pravdivosti a smělos</w:t>
      </w:r>
      <w:r>
        <w:t>ti. Váš obrázek tam visel až —</w:t>
      </w:r>
    </w:p>
    <w:p w:rsidR="00500724" w:rsidRDefault="00F30FB8">
      <w:pPr>
        <w:pStyle w:val="Zkladntext30"/>
        <w:shd w:val="clear" w:color="auto" w:fill="auto"/>
        <w:spacing w:after="0" w:line="182" w:lineRule="auto"/>
        <w:ind w:firstLine="0"/>
        <w:jc w:val="center"/>
      </w:pPr>
      <w:r>
        <w:t>•</w:t>
      </w:r>
    </w:p>
    <w:p w:rsidR="00500724" w:rsidRDefault="00F30FB8">
      <w:pPr>
        <w:pStyle w:val="Zkladntext30"/>
        <w:shd w:val="clear" w:color="auto" w:fill="auto"/>
        <w:spacing w:after="0" w:line="202" w:lineRule="auto"/>
      </w:pPr>
      <w:r>
        <w:t xml:space="preserve">Teprve před několika dny jsem četla Vaši obhajobu </w:t>
      </w:r>
      <w:r>
        <w:rPr>
          <w:b/>
          <w:bCs/>
        </w:rPr>
        <w:t xml:space="preserve">v </w:t>
      </w:r>
      <w:r>
        <w:t>»Přítomnosti«. Kdybych byla politik, vypsala bych všechny skutečnosti, pokud jsou nám známy, o zářijo</w:t>
      </w:r>
      <w:r>
        <w:softHyphen/>
        <w:t>vých událostech, v naději, že věc tak naprosto jasná bude i Vám zřejm</w:t>
      </w:r>
      <w:r>
        <w:t>á. Nejsem však politik. Jsem jenom člen malého národa, kterého se politika dotýká. A proto Vám mohu odpovědět nikoli politicky, ale soukromě, a mohu Vám říci totéž, co by Vám řekl kterýkoli člen tohoto národa. Jsme národ statečný a vyspělý — ale jsme národ</w:t>
      </w:r>
      <w:r>
        <w:t xml:space="preserve"> malý. Malé národy prožily mnoho katastrof jenom v důsledku toho, že jsou malé. Každý z nás tyto důsledky přijímá, jako nejznámější věc v životě. A právě proto, že jsme s touto skuteč</w:t>
      </w:r>
      <w:r>
        <w:softHyphen/>
        <w:t>ností obeznámeni, namluvil byste těžko někomu z nás, že nějaká velmoc uz</w:t>
      </w:r>
      <w:r>
        <w:t xml:space="preserve">avře spojeneckou smlouvu z lásky k nám. Jsou snad sympatie mezi státy a jsou snad i příbuznosti. Ani jedno ani druhé nestačí k vojenské dohodě. Je třeba společných zájmů a společné věci, aby státníci uzavírali takové dohody. Rozhodla-li se Francie uzavřít </w:t>
      </w:r>
      <w:r>
        <w:t>s námi spojeneckou smlouvu, měla Francie na našem spojenectví zájem. Každý rolní</w:t>
      </w:r>
      <w:r>
        <w:softHyphen/>
        <w:t>ček a každý příštipkář Vám tohle poví. Nestála-li Francie po našem boku v rozhodném okamžiku, zra</w:t>
      </w:r>
      <w:r>
        <w:softHyphen/>
        <w:t>dila nás ovšem, to je jasné. Ale zradila i sebe. Totiž: především sebe. Tvrdi</w:t>
      </w:r>
      <w:r>
        <w:t>l-li francouzský lid, že není tře</w:t>
      </w:r>
      <w:r>
        <w:softHyphen/>
        <w:t>ba jít do války pro tři miliony Němců, kteří chtějí zpět do vlasti, mýlil se, protože snad bylo třeba jít do války pro mnoho milionů Francouzů a pro celou Francii. Dokud budete mluvit, mistře, o zářijových dnech jako o kat</w:t>
      </w:r>
      <w:r>
        <w:t>astrofě, která postihla Českosloven</w:t>
      </w:r>
      <w:r>
        <w:softHyphen/>
        <w:t>sko, dokud nezačnete mluvit o katastrofě, která po</w:t>
      </w:r>
      <w:r>
        <w:softHyphen/>
        <w:t>stihla Francii — dotud budou Vaše obhajoby bez</w:t>
      </w:r>
      <w:r>
        <w:softHyphen/>
        <w:t>předmětné.</w:t>
      </w:r>
    </w:p>
    <w:p w:rsidR="00500724" w:rsidRDefault="00F30FB8">
      <w:pPr>
        <w:pStyle w:val="Zkladntext30"/>
        <w:shd w:val="clear" w:color="auto" w:fill="auto"/>
        <w:spacing w:after="0" w:line="202" w:lineRule="auto"/>
      </w:pPr>
      <w:r>
        <w:t>O politických věcech nechť s Vámi mluví jiní. Ale pravda celé té události je zaplacena příliš draze, aby</w:t>
      </w:r>
      <w:r>
        <w:softHyphen/>
        <w:t xml:space="preserve">chom </w:t>
      </w:r>
      <w:r>
        <w:t>ji neviděli jasně a zřetelně a abychom necítili osobní nutnost odpovídat.</w:t>
      </w:r>
    </w:p>
    <w:p w:rsidR="00500724" w:rsidRDefault="00F30FB8">
      <w:pPr>
        <w:pStyle w:val="Zkladntext30"/>
        <w:shd w:val="clear" w:color="auto" w:fill="auto"/>
        <w:spacing w:after="0" w:line="202" w:lineRule="auto"/>
      </w:pPr>
      <w:r>
        <w:t>Jenom ještě tolik: mluvíte o morálce našeho lidu a o morálce francouzského lidu. Žádný lid na světě ne</w:t>
      </w:r>
      <w:r>
        <w:softHyphen/>
        <w:t>miluje válku. Každý člověk na světě se války bojí. Živé maso miluje život a nik</w:t>
      </w:r>
      <w:r>
        <w:t>oli rány, hnis a umírání. V těch zářijových dnech jsme narukovali my a na</w:t>
      </w:r>
      <w:r>
        <w:softHyphen/>
        <w:t>rukovali jste částečně i vy. Žádný z nás nechtěl umřít. I my i vy jsme rukovali samozřejmě a statečně. Když jsme však bez boje táhli zpátky, vy jste se smáli a já</w:t>
      </w:r>
      <w:r>
        <w:softHyphen/>
        <w:t>sali — a my jsme pl</w:t>
      </w:r>
      <w:r>
        <w:t>akali. Vy jste jásali, že vám bylo dovoleno žít. Snad to někdo pochopí. Jenom my ne — protože my jsme plakali, že nám zabránili umírat —• za naši společnou věc, českou i francouzskou, mistře.</w:t>
      </w:r>
    </w:p>
    <w:p w:rsidR="00500724" w:rsidRDefault="00F30FB8">
      <w:pPr>
        <w:pStyle w:val="Zkladntext30"/>
        <w:shd w:val="clear" w:color="auto" w:fill="auto"/>
        <w:spacing w:after="0" w:line="202" w:lineRule="auto"/>
      </w:pPr>
      <w:r>
        <w:t>Dnes se u nás změnilo mnoho. Lid je citlivý a podi</w:t>
      </w:r>
      <w:r>
        <w:softHyphen/>
        <w:t>vuhodně cítí.</w:t>
      </w:r>
      <w:r>
        <w:t xml:space="preserve"> Odpustí mnohem spíše otevřené nepřá</w:t>
      </w:r>
      <w:r>
        <w:softHyphen/>
        <w:t>telství než opentlenou zradu. Náš člověk z vesnice ne</w:t>
      </w:r>
      <w:r>
        <w:softHyphen/>
        <w:t>bo z fabriky řekne dnes o Němcích: Umějí to, jen co je pravda. A o Francouzích: ale raději to neřeknu. Nevím, potěší-li Vás tato zpráva.</w:t>
      </w:r>
    </w:p>
    <w:p w:rsidR="00500724" w:rsidRDefault="00F30FB8">
      <w:pPr>
        <w:pStyle w:val="Zkladntext30"/>
        <w:shd w:val="clear" w:color="auto" w:fill="auto"/>
        <w:tabs>
          <w:tab w:val="left" w:pos="3672"/>
        </w:tabs>
        <w:spacing w:after="340" w:line="223" w:lineRule="auto"/>
        <w:ind w:firstLine="240"/>
        <w:rPr>
          <w:sz w:val="20"/>
          <w:szCs w:val="20"/>
        </w:rPr>
      </w:pPr>
      <w:r>
        <w:t xml:space="preserve">Sbohem, </w:t>
      </w:r>
      <w:r>
        <w:rPr>
          <w:lang w:val="en-US" w:eastAsia="en-US" w:bidi="en-US"/>
        </w:rPr>
        <w:t xml:space="preserve">Jules </w:t>
      </w:r>
      <w:r>
        <w:t>Romainsi.</w:t>
      </w:r>
      <w:r>
        <w:tab/>
      </w:r>
      <w:r>
        <w:rPr>
          <w:i/>
          <w:iCs/>
          <w:sz w:val="20"/>
          <w:szCs w:val="20"/>
        </w:rPr>
        <w:t>Mari</w:t>
      </w:r>
      <w:r>
        <w:rPr>
          <w:i/>
          <w:iCs/>
          <w:sz w:val="20"/>
          <w:szCs w:val="20"/>
        </w:rPr>
        <w:t>e Kubešová</w:t>
      </w:r>
    </w:p>
    <w:p w:rsidR="00500724" w:rsidRDefault="00F30FB8">
      <w:pPr>
        <w:pStyle w:val="Jin0"/>
        <w:shd w:val="clear" w:color="auto" w:fill="auto"/>
        <w:spacing w:after="260"/>
        <w:ind w:firstLine="0"/>
        <w:jc w:val="left"/>
        <w:rPr>
          <w:sz w:val="46"/>
          <w:szCs w:val="46"/>
        </w:rPr>
      </w:pPr>
      <w:r>
        <w:rPr>
          <w:b/>
          <w:bCs/>
          <w:sz w:val="46"/>
          <w:szCs w:val="46"/>
          <w:u w:val="single"/>
        </w:rPr>
        <w:t>otázky a od</w:t>
      </w:r>
      <w:r>
        <w:rPr>
          <w:b/>
          <w:bCs/>
          <w:sz w:val="46"/>
          <w:szCs w:val="46"/>
        </w:rPr>
        <w:t xml:space="preserve"> povědí</w:t>
      </w:r>
    </w:p>
    <w:p w:rsidR="00500724" w:rsidRDefault="00F30FB8">
      <w:pPr>
        <w:pStyle w:val="Nadpis100"/>
        <w:shd w:val="clear" w:color="auto" w:fill="auto"/>
        <w:spacing w:after="0" w:line="240" w:lineRule="auto"/>
        <w:ind w:left="140"/>
        <w:jc w:val="left"/>
      </w:pPr>
      <w:bookmarkStart w:id="126" w:name="bookmark125"/>
      <w:r>
        <w:t>Odpověď německému studentu</w:t>
      </w:r>
      <w:bookmarkEnd w:id="126"/>
    </w:p>
    <w:p w:rsidR="00500724" w:rsidRDefault="00F30FB8">
      <w:pPr>
        <w:pStyle w:val="Zkladntext1"/>
        <w:shd w:val="clear" w:color="auto" w:fill="auto"/>
        <w:spacing w:line="233" w:lineRule="auto"/>
        <w:ind w:firstLine="0"/>
        <w:jc w:val="center"/>
      </w:pPr>
      <w:r>
        <w:t>i.</w:t>
      </w:r>
    </w:p>
    <w:p w:rsidR="00500724" w:rsidRDefault="00F30FB8">
      <w:pPr>
        <w:pStyle w:val="Zkladntext1"/>
        <w:shd w:val="clear" w:color="auto" w:fill="auto"/>
        <w:spacing w:after="100" w:line="233" w:lineRule="auto"/>
        <w:ind w:left="1380" w:firstLine="0"/>
        <w:jc w:val="left"/>
      </w:pPr>
      <w:r>
        <w:t>Pane redaktore!</w:t>
      </w:r>
    </w:p>
    <w:p w:rsidR="00500724" w:rsidRDefault="00F30FB8">
      <w:pPr>
        <w:pStyle w:val="Zkladntext1"/>
        <w:shd w:val="clear" w:color="auto" w:fill="auto"/>
        <w:spacing w:line="230" w:lineRule="auto"/>
        <w:ind w:firstLine="240"/>
      </w:pPr>
      <w:r>
        <w:t xml:space="preserve">Promiňte, prosím, jest-li dělám mnoho pravopisných chyb, jsem totiž Němec. Dále se prosím nezlobte, když se jako Němec, pletu do Vašich záležitostí. Ale čítám častěji Váš časopis </w:t>
      </w:r>
      <w:r>
        <w:t>»Přítomnost« a zvláště mě zajímal článek: »Jaké poslání mají Němci ...« K tomu bych Vám rád následující řekl: Mluvíte o tom, že zvláště něm. vysoko-školáci by měli zprostředkovat mezi oběma národy. Ale když jste upřímný, tak musíte uznat, že už podle ironi</w:t>
      </w:r>
      <w:r>
        <w:t>ckého způsobu, jak o tom ^poslání Němců« píšete, se dá poznat, že ani Vy, ani jeden z Vašich kolegů na toto »poslání« vážně věříte.</w:t>
      </w:r>
    </w:p>
    <w:p w:rsidR="00500724" w:rsidRDefault="00F30FB8">
      <w:pPr>
        <w:pStyle w:val="Zkladntext1"/>
        <w:shd w:val="clear" w:color="auto" w:fill="auto"/>
        <w:spacing w:line="233" w:lineRule="auto"/>
        <w:ind w:firstLine="240"/>
      </w:pPr>
      <w:r>
        <w:t xml:space="preserve">A to je ta hlavní chyba! Ano, máte pravdu, už nejsme takoví, jako jsme byli za Goetha, už nejsme jen národ »der Dichter und </w:t>
      </w:r>
      <w:r>
        <w:t xml:space="preserve">Den ker«, nýbrž i národ činů, který se stará o svůj životní prostor. Ale také vy už nejste takoví, jací jste byli za Kolára, ani ti, kterým </w:t>
      </w:r>
      <w:r>
        <w:rPr>
          <w:lang w:val="en-US" w:eastAsia="en-US" w:bidi="en-US"/>
        </w:rPr>
        <w:t xml:space="preserve">Herder </w:t>
      </w:r>
      <w:r>
        <w:t xml:space="preserve">ukazoval krásu básní, kterým </w:t>
      </w:r>
      <w:r>
        <w:rPr>
          <w:lang w:val="en-US" w:eastAsia="en-US" w:bidi="en-US"/>
        </w:rPr>
        <w:t xml:space="preserve">Thiersch </w:t>
      </w:r>
      <w:r>
        <w:t xml:space="preserve">a Fugner dali národní sebevědomí. Také svět kolem nás nezůstal tentýž. </w:t>
      </w:r>
      <w:r>
        <w:t>Co tenkrát byla šlechetná »humanita«, to by dneska byl buď lehkomysl, nebo dokonce i zločin na národě. My jsme to nebyli, kteří dělali z humanity falešný soucit s nekalými živly, se sexuelními zločinci, nebo teď dělali z humanity filosemitism. My jsme to n</w:t>
      </w:r>
      <w:r>
        <w:t>ebyli, kteří zhanobili naše staré svaté ideály, kteří kazili naši hezkou řeč, kteří dokonce našemu národu brali chléb. To vše dělalo židovství. A to bylo také to poslední. To už musela přestat 5&gt;humanita« a začínat zdravý odboj. V jistých novinách (skoro v</w:t>
      </w:r>
      <w:r>
        <w:t>e všech čes</w:t>
      </w:r>
      <w:r>
        <w:softHyphen/>
        <w:t>kých) dělali proto z Nás barbary.</w:t>
      </w:r>
    </w:p>
    <w:p w:rsidR="00500724" w:rsidRDefault="00F30FB8">
      <w:pPr>
        <w:pStyle w:val="Zkladntext1"/>
        <w:shd w:val="clear" w:color="auto" w:fill="auto"/>
        <w:spacing w:line="233" w:lineRule="auto"/>
        <w:ind w:firstLine="240"/>
      </w:pPr>
      <w:r>
        <w:t>A vývoj v Evropě Vám musí dokázat, že jsme šli správnou cestou dál, cestou, která má svůj začátek v humanitě Goetha. Jako tenkrát Goethovy ideály, tak se dnes osvědčily ideály národního socialismu. Viděli jste,</w:t>
      </w:r>
      <w:r>
        <w:t xml:space="preserve"> jak daleko se dostalo Československo přestárlým systémem demokracie a už bohužel zkaženou »humani- tou«. Pročpak bychom tedy nemohli i Cechům zpro</w:t>
      </w:r>
      <w:r>
        <w:softHyphen/>
        <w:t>středkovat nové idée?</w:t>
      </w:r>
    </w:p>
    <w:p w:rsidR="00500724" w:rsidRDefault="00F30FB8">
      <w:pPr>
        <w:pStyle w:val="Zkladntext1"/>
        <w:shd w:val="clear" w:color="auto" w:fill="auto"/>
        <w:spacing w:line="233" w:lineRule="auto"/>
        <w:ind w:firstLine="240"/>
      </w:pPr>
      <w:r>
        <w:t>Říkáte také tam, že my studenti zůstáváme jenom mezi sebou v kolejích. Ano, ale proč?</w:t>
      </w:r>
    </w:p>
    <w:p w:rsidR="00500724" w:rsidRDefault="00F30FB8">
      <w:pPr>
        <w:pStyle w:val="Zkladntext1"/>
        <w:shd w:val="clear" w:color="auto" w:fill="auto"/>
        <w:spacing w:line="233" w:lineRule="auto"/>
        <w:ind w:firstLine="240"/>
      </w:pPr>
      <w:r>
        <w:t>A ostatně, snad poznáte z těchto řádků, že asi také častěji hovořím s Čechy. Jinak bych v češtině neměl takové cvičení. Takových studentů existuje moc a moc!</w:t>
      </w:r>
    </w:p>
    <w:p w:rsidR="00500724" w:rsidRDefault="00F30FB8">
      <w:pPr>
        <w:pStyle w:val="Zkladntext1"/>
        <w:shd w:val="clear" w:color="auto" w:fill="auto"/>
        <w:spacing w:line="230" w:lineRule="auto"/>
        <w:ind w:firstLine="240"/>
      </w:pPr>
      <w:r>
        <w:t>Ale něco bych Vám pane redaktore, ještě mohl pro</w:t>
      </w:r>
      <w:r>
        <w:softHyphen/>
        <w:t>zradit. Řekněte to také Vašim p. kolegům:</w:t>
      </w:r>
    </w:p>
    <w:p w:rsidR="00500724" w:rsidRDefault="00F30FB8">
      <w:pPr>
        <w:pStyle w:val="Zkladntext1"/>
        <w:shd w:val="clear" w:color="auto" w:fill="auto"/>
        <w:spacing w:after="60" w:line="230" w:lineRule="auto"/>
        <w:ind w:firstLine="240"/>
      </w:pPr>
      <w:r>
        <w:t>Připrav</w:t>
      </w:r>
      <w:r>
        <w:t xml:space="preserve">te čs. národ lip na toto sbližování národů. Neštvejte </w:t>
      </w:r>
      <w:r>
        <w:rPr>
          <w:b/>
          <w:bCs/>
          <w:sz w:val="14"/>
          <w:szCs w:val="14"/>
        </w:rPr>
        <w:t xml:space="preserve">v </w:t>
      </w:r>
      <w:r>
        <w:t xml:space="preserve">novinách proti Nám. Otevřené štvaní už censura netrpí; vím to. Ale stačí, když stále a stále naříkáte nad ztrátou &gt;Vašeho« území. O tom »Vašeho« když chcete, jednou později. V té krajině už bydleli </w:t>
      </w:r>
      <w:r>
        <w:t>také odedávna Němci! A stačí tedy, když stále mluvíte o té &gt;křivdě« na kterou národ nikdy nesmí zapomenout, že je Váš národní život ohrožen, a v tom tónu dál ...!</w:t>
      </w:r>
    </w:p>
    <w:p w:rsidR="00500724" w:rsidRDefault="00F30FB8">
      <w:pPr>
        <w:pStyle w:val="Zkladntext1"/>
        <w:shd w:val="clear" w:color="auto" w:fill="auto"/>
        <w:spacing w:after="60" w:line="228" w:lineRule="auto"/>
      </w:pPr>
      <w:r>
        <w:t>Pak samozřejmě Češi nechtějí nic slyšet o Nás, ne</w:t>
      </w:r>
      <w:r>
        <w:softHyphen/>
        <w:t xml:space="preserve">návidí Nás a ani řeč, že by od Nás přijali </w:t>
      </w:r>
      <w:r>
        <w:t>nějakou novou myšlenku.</w:t>
      </w:r>
    </w:p>
    <w:p w:rsidR="00500724" w:rsidRDefault="00F30FB8">
      <w:pPr>
        <w:pStyle w:val="Zkladntext1"/>
        <w:shd w:val="clear" w:color="auto" w:fill="auto"/>
        <w:spacing w:after="60" w:line="230" w:lineRule="auto"/>
      </w:pPr>
      <w:r>
        <w:t>Doufám že mi tyto řádky nezazlíváte. Když tento dopis už nedáte do Vašeho časopisu, tak prosím, jej dejte aspoň číst autorovi jmenovaného článku v »Přítomnosti«.</w:t>
      </w:r>
    </w:p>
    <w:p w:rsidR="00500724" w:rsidRDefault="00F30FB8">
      <w:pPr>
        <w:pStyle w:val="Zkladntext1"/>
        <w:shd w:val="clear" w:color="auto" w:fill="auto"/>
      </w:pPr>
      <w:r>
        <w:t>S pozdravem ujeden z těch studentů — ale teď už</w:t>
      </w:r>
    </w:p>
    <w:p w:rsidR="00500724" w:rsidRDefault="00F30FB8">
      <w:pPr>
        <w:pStyle w:val="Zkladntext1"/>
        <w:shd w:val="clear" w:color="auto" w:fill="auto"/>
        <w:spacing w:line="180" w:lineRule="auto"/>
        <w:ind w:firstLine="0"/>
      </w:pPr>
      <w:r>
        <w:t>v zv 1 z</w:t>
      </w:r>
    </w:p>
    <w:p w:rsidR="00500724" w:rsidRDefault="00F30FB8">
      <w:pPr>
        <w:pStyle w:val="Zkladntext1"/>
        <w:shd w:val="clear" w:color="auto" w:fill="auto"/>
        <w:spacing w:after="120" w:line="180" w:lineRule="auto"/>
        <w:ind w:firstLine="0"/>
      </w:pPr>
      <w:r>
        <w:t>nssky «.</w:t>
      </w:r>
    </w:p>
    <w:p w:rsidR="00500724" w:rsidRDefault="00F30FB8">
      <w:pPr>
        <w:pStyle w:val="Zkladntext1"/>
        <w:shd w:val="clear" w:color="auto" w:fill="auto"/>
        <w:spacing w:after="220" w:line="230" w:lineRule="auto"/>
      </w:pPr>
      <w:r>
        <w:t>V Pr</w:t>
      </w:r>
      <w:r>
        <w:t>aze 21. I. 39.</w:t>
      </w:r>
    </w:p>
    <w:p w:rsidR="00500724" w:rsidRDefault="00F30FB8">
      <w:pPr>
        <w:pStyle w:val="Zkladntext30"/>
        <w:shd w:val="clear" w:color="auto" w:fill="auto"/>
        <w:spacing w:after="120" w:line="221" w:lineRule="auto"/>
        <w:ind w:firstLine="0"/>
        <w:jc w:val="center"/>
      </w:pPr>
      <w:r>
        <w:t>II.</w:t>
      </w:r>
    </w:p>
    <w:p w:rsidR="00500724" w:rsidRDefault="00F30FB8">
      <w:pPr>
        <w:pStyle w:val="Zkladntext30"/>
        <w:shd w:val="clear" w:color="auto" w:fill="auto"/>
        <w:spacing w:after="60" w:line="221" w:lineRule="auto"/>
        <w:ind w:left="1320" w:firstLine="0"/>
        <w:jc w:val="left"/>
      </w:pPr>
      <w:r>
        <w:t>Vážený pane,</w:t>
      </w:r>
    </w:p>
    <w:p w:rsidR="00500724" w:rsidRDefault="00F30FB8">
      <w:pPr>
        <w:pStyle w:val="Zkladntext30"/>
        <w:shd w:val="clear" w:color="auto" w:fill="auto"/>
        <w:spacing w:after="60" w:line="230" w:lineRule="auto"/>
        <w:ind w:firstLine="220"/>
      </w:pPr>
      <w:r>
        <w:t>jistě nebude Váš dopis příčinou, aby někdo zazlíval, že se »jako Němec pletete do našich záležitostí«. Náš národ má rád diskusi, má rád, když se argument po</w:t>
      </w:r>
      <w:r>
        <w:softHyphen/>
        <w:t xml:space="preserve">staví proti argumentu a když společným úsilím hledí se objevit </w:t>
      </w:r>
      <w:r>
        <w:t>pravda. Žádám Vás dokonce, abyste nám dopsal častěji. Budete žít mezi námi na universitě, o které jsem slyšel, že má být obzvláště pečlivě vybu</w:t>
      </w:r>
      <w:r>
        <w:softHyphen/>
        <w:t>dována, i máme zájem na tom, abychom věděli, s ja</w:t>
      </w:r>
      <w:r>
        <w:softHyphen/>
        <w:t>kými pocity a představami budete mezi námi žiti. Snad si z toh</w:t>
      </w:r>
      <w:r>
        <w:t>o, co nám napíšete, vybereme i něco, co uznáme za dobrou radu. Jsou to zcela jiné způsoby než Váš, o kterých někdy říkáme, že se »Němci ple</w:t>
      </w:r>
      <w:r>
        <w:softHyphen/>
        <w:t>tou do naších záležitostk. Vyslechl jsem vážně a s po</w:t>
      </w:r>
      <w:r>
        <w:softHyphen/>
        <w:t>zornosti, co jste Vy chtěl říci nám. Něco za něco. Vy</w:t>
      </w:r>
      <w:r>
        <w:softHyphen/>
        <w:t>slechnět</w:t>
      </w:r>
      <w:r>
        <w:t>e se stejnou pozorností, co Vám odpovídáme.</w:t>
      </w:r>
    </w:p>
    <w:p w:rsidR="00500724" w:rsidRDefault="00F30FB8">
      <w:pPr>
        <w:pStyle w:val="Zkladntext30"/>
        <w:shd w:val="clear" w:color="auto" w:fill="auto"/>
        <w:spacing w:after="60" w:line="221" w:lineRule="auto"/>
        <w:ind w:firstLine="300"/>
      </w:pPr>
      <w:r>
        <w:t>Jste, jak vidím, přesvědčen, že opravdu můžete »Cechům zprostředkovat nové ideje« a věříte, že ony nové ideje by byly ku prospěchu českého národa stej</w:t>
      </w:r>
      <w:r>
        <w:softHyphen/>
        <w:t>ně, jako prospěly národu německému. Podle našeho názoru jde t</w:t>
      </w:r>
      <w:r>
        <w:t>u o dvě věci: 1. o formu, jakou se ono prostředkování bude dít; 2. o obsah ideí, které chcete tlumočit. O formální stránce snad se lehce dohodne</w:t>
      </w:r>
      <w:r>
        <w:softHyphen/>
        <w:t>me: prostředkování, má-li míti úspěch, musí se díti s taktem a šetrností, nesmí býti, abych tak řekl, pří</w:t>
      </w:r>
      <w:r>
        <w:softHyphen/>
        <w:t>liš b</w:t>
      </w:r>
      <w:r>
        <w:t>ouřlivé; národ nesmí ztratit pocit, že on sám, ni</w:t>
      </w:r>
      <w:r>
        <w:softHyphen/>
        <w:t>koli prostředkovatel, je vrchním rozhodčím nad tím, co mu prospívá nebo škodí. Slyšeli jsme nyní mnoho o tom, že musíme míti ohledy na city německého ná</w:t>
      </w:r>
      <w:r>
        <w:softHyphen/>
        <w:t>roda. Poněvadž jsme realisté, zapamatovali jsme si to</w:t>
      </w:r>
      <w:r>
        <w:t xml:space="preserve"> a chceme se podle toho řídit. Slyšeli bychom nyní rádi od Vás, že si uvědomujete, že je třeba míti ohled také na city národa našeho, ačkoliv vás jest osmdesát milionů a nás jen sedm milionů. Početnost a moc roz</w:t>
      </w:r>
      <w:r>
        <w:softHyphen/>
        <w:t xml:space="preserve">hodují v mnohých oborech. Ale jistě nemohou </w:t>
      </w:r>
      <w:r>
        <w:t>rozho</w:t>
      </w:r>
      <w:r>
        <w:softHyphen/>
        <w:t>dovat v oboru taktu a tam, kde má býti založeno trva</w:t>
      </w:r>
      <w:r>
        <w:softHyphen/>
        <w:t>né přátelství. Ale vyslovil jsem již přesvědčení, že o tom se snad dohodneme.</w:t>
      </w:r>
    </w:p>
    <w:p w:rsidR="00500724" w:rsidRDefault="00F30FB8">
      <w:pPr>
        <w:pStyle w:val="Zkladntext30"/>
        <w:shd w:val="clear" w:color="auto" w:fill="auto"/>
        <w:spacing w:after="60" w:line="221" w:lineRule="auto"/>
        <w:ind w:firstLine="300"/>
        <w:sectPr w:rsidR="00500724">
          <w:footnotePr>
            <w:numFmt w:val="chicago"/>
            <w:numRestart w:val="eachPage"/>
          </w:footnotePr>
          <w:pgSz w:w="11909" w:h="16834"/>
          <w:pgMar w:top="1426" w:right="849" w:bottom="961" w:left="528" w:header="0" w:footer="3" w:gutter="0"/>
          <w:cols w:num="2" w:space="109"/>
          <w:noEndnote/>
          <w:docGrid w:linePitch="360"/>
        </w:sectPr>
      </w:pPr>
      <w:r>
        <w:t xml:space="preserve">Složitější a obtížnější jest otázka obsahu oněch ideí, které chcete prostředkovat. My máme </w:t>
      </w:r>
      <w:r>
        <w:t>staré pří</w:t>
      </w:r>
      <w:r>
        <w:softHyphen/>
        <w:t>sloví, že to, co jednomu jest med, jest druhému jed. Chci Vás pohnout k uvažování, zda vskutku některé</w:t>
      </w:r>
    </w:p>
    <w:p w:rsidR="00500724" w:rsidRDefault="00F30FB8">
      <w:pPr>
        <w:pStyle w:val="Zkladntext30"/>
        <w:shd w:val="clear" w:color="auto" w:fill="auto"/>
        <w:spacing w:after="0" w:line="223" w:lineRule="auto"/>
        <w:ind w:firstLine="0"/>
      </w:pPr>
      <w:r>
        <w:t>nové německé ideje byly by stejně ku prospěchu ná</w:t>
      </w:r>
      <w:r>
        <w:softHyphen/>
        <w:t>roda německého, a dokonce, přiznávám se, bych Vás chtěl přimět k tomu, abyste si ještě jednou</w:t>
      </w:r>
      <w:r>
        <w:t xml:space="preserve"> rozvážil, bylo-li by dobrou okolností pro vytvoření harmonic</w:t>
      </w:r>
      <w:r>
        <w:softHyphen/>
        <w:t>kých styků mezi Německem a Česko-Slovenskem, kdyby Češi požili nadměrnou dávku oněch ideí.</w:t>
      </w:r>
    </w:p>
    <w:p w:rsidR="00500724" w:rsidRDefault="00F30FB8">
      <w:pPr>
        <w:pStyle w:val="Zkladntext30"/>
        <w:shd w:val="clear" w:color="auto" w:fill="auto"/>
        <w:spacing w:after="0" w:line="214" w:lineRule="auto"/>
      </w:pPr>
      <w:r>
        <w:t>Dnešní němečtí vůdcové sami někdy říkají, že ná</w:t>
      </w:r>
      <w:r>
        <w:softHyphen/>
        <w:t>rodní socialismus není vývozním artiklem a že vznikl ze</w:t>
      </w:r>
      <w:r>
        <w:t xml:space="preserve"> zvláštních německých podmínek. Je-li tomu tak, pak už z této okolnosti samotné vyplývá, že nemůže</w:t>
      </w:r>
      <w:r>
        <w:softHyphen/>
        <w:t>me nacionální socialismus prostě napodobovat a že všechny jeho ideje nemohou nám být prostředkovány, a to ani bez taktu, ba dokonce ani s taktem. Není po</w:t>
      </w:r>
      <w:r>
        <w:softHyphen/>
        <w:t>chy</w:t>
      </w:r>
      <w:r>
        <w:t>by o tom, že každý národ má svůj vlastní způsob života a práce, a že to, co v jednom prostředí je prav</w:t>
      </w:r>
      <w:r>
        <w:softHyphen/>
        <w:t>divé a plodné, může být v prostředí jiném falešné a jalové. Záleží už na národní tradici, na způsobu, ja</w:t>
      </w:r>
      <w:r>
        <w:softHyphen/>
        <w:t>kým se ten nebo onen národ naučil pracovat.</w:t>
      </w:r>
    </w:p>
    <w:p w:rsidR="00500724" w:rsidRDefault="00F30FB8">
      <w:pPr>
        <w:pStyle w:val="Zkladntext30"/>
        <w:shd w:val="clear" w:color="auto" w:fill="auto"/>
        <w:spacing w:after="0" w:line="199" w:lineRule="auto"/>
      </w:pPr>
      <w:r>
        <w:t>Vezm</w:t>
      </w:r>
      <w:r>
        <w:t>ěme místo všech jiných otázek jen otázku vůdce. Německý nacionální socialismus je bez silné vůdcovské osobnosti nemyslitelný; je dokonce na ní přímo založen. Německo našlo takovou silnou vůd- covskou osobnost v Adolfu Hitlerovi. V českém pro</w:t>
      </w:r>
      <w:r>
        <w:softHyphen/>
        <w:t>středí, kde od</w:t>
      </w:r>
      <w:r>
        <w:t>edávna vedení národa spočívalo na tom, že jedni se radili s druhými, taková osobnost nevy</w:t>
      </w:r>
      <w:r>
        <w:softHyphen/>
        <w:t>rostla a bylo by jistě marno chtít ji vytvořit něja</w:t>
      </w:r>
      <w:r>
        <w:softHyphen/>
        <w:t>kým umělým způsobem, nějakým zahříváním nedo</w:t>
      </w:r>
      <w:r>
        <w:softHyphen/>
        <w:t xml:space="preserve">statečného zárodku. Hitler dostal se k svému vůdcov- skému postavení </w:t>
      </w:r>
      <w:r>
        <w:t>cestou dlouholetého riskantního boje a cílevědomou přípravou. U nás nikdo nešel touto cestou, patrně pro přirozenou demokratičnost české</w:t>
      </w:r>
      <w:r>
        <w:softHyphen/>
        <w:t>ho prostředí; u nás se každý od samého začátku vy</w:t>
      </w:r>
      <w:r>
        <w:softHyphen/>
        <w:t>chovával k způsobu demokratické spolupráce, a kdy</w:t>
      </w:r>
      <w:r>
        <w:softHyphen/>
        <w:t>by teď měl počít ně</w:t>
      </w:r>
      <w:r>
        <w:t>co jiného, připadal by si trochu jako na divadle. Kdybychom jednou byli nějakými okolnostmi nuceni vybrat si vůdce po způsobu němec</w:t>
      </w:r>
      <w:r>
        <w:softHyphen/>
        <w:t>kého nacionálního socialismu, nezbylo by asi než na</w:t>
      </w:r>
      <w:r>
        <w:softHyphen/>
        <w:t xml:space="preserve">psat jména několika přibližně stejně vhodných nebo nevhodných osobností </w:t>
      </w:r>
      <w:r>
        <w:t>na bílé lístky, dát to do klobou</w:t>
      </w:r>
      <w:r>
        <w:softHyphen/>
        <w:t>ku a pozvat bílou myš, aby jeden lístek vytáhla. To však ovšem není způsob, jak se rodí takový vůdce, jakého má nacionální socialismus.</w:t>
      </w:r>
    </w:p>
    <w:p w:rsidR="00500724" w:rsidRDefault="00F30FB8">
      <w:pPr>
        <w:pStyle w:val="Zkladntext30"/>
        <w:shd w:val="clear" w:color="auto" w:fill="auto"/>
        <w:spacing w:after="0" w:line="199" w:lineRule="auto"/>
      </w:pPr>
      <w:r>
        <w:t>To tedy jest nepochybně hned jedna idea, kterou nám nebudete moci s úspěchem prostředko</w:t>
      </w:r>
      <w:r>
        <w:t>vat, prostě proto, že v našem národě chybí podmínky pro tento způsob a že, jdouce touto cestou, nemohli bychom vytvořit více než nějaký falešný patvar, nějakou ná</w:t>
      </w:r>
      <w:r>
        <w:softHyphen/>
        <w:t>podobu bez skutečného vnitřního života. Jen ten po</w:t>
      </w:r>
      <w:r>
        <w:softHyphen/>
        <w:t>litický způsob může národu prospívat, kter</w:t>
      </w:r>
      <w:r>
        <w:t>ý v něm organicky uzrál. Jinak by se národ podobal dělníku, kterému pojednou byl dán do ruky nový a nezvyklý nástroj, se kterým neumí zacházet. Byly už u nás autoritativní vlády, jako jest nyní, ale ty všechny se zakládaly na poradách jedněch s druhými, ne</w:t>
      </w:r>
      <w:r>
        <w:t xml:space="preserve"> na jed</w:t>
      </w:r>
      <w:r>
        <w:softHyphen/>
        <w:t>né osobě, obdařené vší mocí.</w:t>
      </w:r>
    </w:p>
    <w:p w:rsidR="00500724" w:rsidRDefault="00F30FB8">
      <w:pPr>
        <w:pStyle w:val="Zkladntext30"/>
        <w:shd w:val="clear" w:color="auto" w:fill="auto"/>
        <w:spacing w:after="0" w:line="221" w:lineRule="auto"/>
      </w:pPr>
      <w:r>
        <w:t>Mluvíte ovšem s nepřízní o humanitě, a zdá se, že zejména byste nám chtěl odoperovat tuto ideu a na</w:t>
      </w:r>
      <w:r>
        <w:softHyphen/>
        <w:t>hraditi ji nějakou jinou, bližší nacionálně-socialistic- kému nazírání. Ale právě v této věci Vás žádám, abyste vše ješ</w:t>
      </w:r>
      <w:r>
        <w:t xml:space="preserve">tě jednou rozvážil. Právě tu nejvíce může platit: co jednomu med, druhému jed. Nechrne zatím stranou židovskou otázku; pociťuji již dávno potřebu vyložit rozdíl mezi židovským problémem v českém a německém národě; učiním tak příště; také </w:t>
      </w:r>
      <w:r>
        <w:rPr>
          <w:b/>
          <w:bCs/>
        </w:rPr>
        <w:t xml:space="preserve">ró o </w:t>
      </w:r>
      <w:r>
        <w:t>tom rozdílu m</w:t>
      </w:r>
      <w:r>
        <w:t xml:space="preserve">ezi »bóhmisch« a »tschechisch« bude možno pojednati, i </w:t>
      </w:r>
      <w:r>
        <w:rPr>
          <w:b/>
          <w:bCs/>
        </w:rPr>
        <w:t xml:space="preserve">o </w:t>
      </w:r>
      <w:r>
        <w:t>tom, vedlo-li se do podzimu 1938 Němci v Praze hůře než Čechu v Chebu. Mluvme dnes jen o tom, bylo-li by schopno prospět česko-němec- kým vztahům, kdybychom starou ideu humanity na</w:t>
      </w:r>
      <w:r>
        <w:softHyphen/>
        <w:t>hradili nějakou mo</w:t>
      </w:r>
      <w:r>
        <w:t xml:space="preserve">dernější, dynamičtější a nutně </w:t>
      </w:r>
      <w:r>
        <w:rPr>
          <w:b/>
          <w:bCs/>
        </w:rPr>
        <w:t xml:space="preserve">i </w:t>
      </w:r>
      <w:r>
        <w:t>expansivnější ideou. Myslím, že nic jiného by nemohlo tak nebezpečně ohrozit naše vztahy k Německu sou</w:t>
      </w:r>
      <w:r>
        <w:softHyphen/>
        <w:t>sedu. Mám dojem, že nevíte dosti dobře, k čemu nám to radíte.</w:t>
      </w:r>
    </w:p>
    <w:p w:rsidR="00500724" w:rsidRDefault="00F30FB8">
      <w:pPr>
        <w:pStyle w:val="Zkladntext30"/>
        <w:shd w:val="clear" w:color="auto" w:fill="auto"/>
        <w:spacing w:after="0" w:line="211" w:lineRule="auto"/>
        <w:ind w:firstLine="240"/>
      </w:pPr>
      <w:r>
        <w:t xml:space="preserve">Nejdříve však musíte pochopit, co vlastně idea humanity </w:t>
      </w:r>
      <w:r>
        <w:t>českému národu znamenala a co mu bude nepochybně i v budoucnosti znamenat. Humanita pro nás neznamenala jen poměr jedince k jedinci: mohli bychom říci křesťanský poměr —, ani tedy jen vztah k židům, ani »falešný soucit s nekalými živly, se sexuálními zloči</w:t>
      </w:r>
      <w:r>
        <w:t>nek. Byla pro nás více: byla pro nás i mezinárodní taktikou staletých zkušeností a po ne</w:t>
      </w:r>
      <w:r>
        <w:softHyphen/>
        <w:t>zdarech někdy skoro smrtelných s taktikou jinou. V čem spočívala tato humanitní taktika? Na to nám dávají jasnou odpověď výroky velkých našich lidí. Palacký praví: Nás</w:t>
      </w:r>
      <w:r>
        <w:t>ilím bychom se nedodělali ničeho dobrého. Masaryk přejímá ideu Palackého a říká: Smírně, pluhem, prací, to jest odpověď českého ge</w:t>
      </w:r>
      <w:r>
        <w:softHyphen/>
        <w:t>nia, českých dějin. Nyní tedy přišla chvíle, kdy neto</w:t>
      </w:r>
      <w:r>
        <w:softHyphen/>
        <w:t>liko vy, nýbrž i mnozí Češi chtějí ideu humanity pře</w:t>
      </w:r>
      <w:r>
        <w:softHyphen/>
        <w:t>zkoušet a znovu uv</w:t>
      </w:r>
      <w:r>
        <w:t>ážit její prospěch pro národ. Po</w:t>
      </w:r>
      <w:r>
        <w:softHyphen/>
        <w:t>kud jde o některé drobnosti, jistě se nedáme žádným výkladem humanity svésti na příklad k tomu, aby</w:t>
      </w:r>
      <w:r>
        <w:softHyphen/>
        <w:t>chom ve zmenšených svých poměrech a ze zmenšené</w:t>
      </w:r>
      <w:r>
        <w:softHyphen/>
        <w:t>ho bochníku živili spíše příslušníky cizího nějakého národa než členy národ</w:t>
      </w:r>
      <w:r>
        <w:t>a vlastního. Ale to jest mezi námi už vyřízeno. Jde však teď o to, máme-li se vzdáti humanity jako oné mezinárodní taktiky malého ná</w:t>
      </w:r>
      <w:r>
        <w:softHyphen/>
        <w:t>roda, o které jsem mluvil. Jsem přesvědčen, že by to bylo totéž, jako postavit se na. okraj propasti.</w:t>
      </w:r>
    </w:p>
    <w:p w:rsidR="00500724" w:rsidRDefault="00F30FB8">
      <w:pPr>
        <w:pStyle w:val="Zkladntext30"/>
        <w:shd w:val="clear" w:color="auto" w:fill="auto"/>
        <w:spacing w:after="0" w:line="202" w:lineRule="auto"/>
        <w:ind w:firstLine="240"/>
      </w:pPr>
      <w:r>
        <w:t>Humanitní taktika vzn</w:t>
      </w:r>
      <w:r>
        <w:t>ikla už u našich předků z po</w:t>
      </w:r>
      <w:r>
        <w:softHyphen/>
        <w:t>citu, ke kterému jednou se dostane každý malý národ; že násilí je jeho nepřítelem, poněvadž jeho násilí může být jen malé, nesrovnatelné v účinku s násilím ná</w:t>
      </w:r>
      <w:r>
        <w:softHyphen/>
        <w:t>rodů velkých; že tam, kde je násilí vyvoláno, nakonec je ztracen mal</w:t>
      </w:r>
      <w:r>
        <w:t>ý národ, poněvadž jeho hmotné síly, potřebné pro násilí, nejsou dostatečné. Proto již naši předkové pojali ideu, které se říká humanitní a která se zakládá na tom, že postavení malého národa, jako jest český, je třeba zabezpečovat spíše mírovou prací než m</w:t>
      </w:r>
      <w:r>
        <w:t>ečem. Jest možno, že byste nám právě to chtěli rozmlouvati? Jistě bychom vás neuposlechli. Méně než kdy jindy jsme nyní ochotni apelovat na způsob násilí; násilí by pro nás nyní mělo větší risiko než dříve. Jak víte, na podzim minulého roku byli jsme odhod</w:t>
      </w:r>
      <w:r>
        <w:t>láni uchýlit se ke způsobu, jakým pracuje meč. Víte také, jak to dopadlo. Jsme přesvědčeni, že nám do dohledné budoucnosti zbývá právě jen ona taktika práce, pluhu a knihy, které říkáme humanitní, a věru bychom ne</w:t>
      </w:r>
      <w:r>
        <w:softHyphen/>
        <w:t>rozuměli tomu, kdybyste právě vy nás od to</w:t>
      </w:r>
      <w:r>
        <w:t>ho chtěli odvésti a kdybyste nám prostředkovali ideje tomu odporující. Bylo by to nesmyslné s našeho i vašeho stanoviska. Celý nový poměr k Německu může se zakládati jen na taktice nenásilné, to jest humanitní. Kdybychom vám chtěli vyhovět a přijmout váš o</w:t>
      </w:r>
      <w:r>
        <w:t xml:space="preserve">dpor k humanitní taktice, dopadlo by to tak, že bychom jen papouškovali po vás některé </w:t>
      </w:r>
      <w:r>
        <w:rPr>
          <w:b/>
          <w:bCs/>
        </w:rPr>
        <w:t xml:space="preserve">ideje a umiňovali si </w:t>
      </w:r>
      <w:r>
        <w:t>při tom vnitřně, že jich nikdy prakticky nepoužijeme. Hr</w:t>
      </w:r>
      <w:r>
        <w:rPr>
          <w:u w:val="single"/>
        </w:rPr>
        <w:t>áli</w:t>
      </w:r>
      <w:r>
        <w:t xml:space="preserve"> bychom jakous takous komedii — proč vlastně? Proto, abychom se na povrchu podobali jiným</w:t>
      </w:r>
      <w:r>
        <w:t>, když se jim ve skutečnosti podobati nemůžeme? Vypadali bychom jako obchodník, který na svou dopravní loď vyvěsil pirátskou vlajku.</w:t>
      </w:r>
    </w:p>
    <w:p w:rsidR="00500724" w:rsidRDefault="00F30FB8">
      <w:pPr>
        <w:pStyle w:val="Zkladntext30"/>
        <w:shd w:val="clear" w:color="auto" w:fill="auto"/>
        <w:spacing w:after="0"/>
      </w:pPr>
      <w:r>
        <w:t>Nesmíte zapomínat, jak vznikl italský fašismus, nebo německý nacionální socialismus, z jejichž okruhu jistě pocházejí někte</w:t>
      </w:r>
      <w:r>
        <w:t>ré z oněch ideí, jež chcete pro</w:t>
      </w:r>
      <w:r>
        <w:softHyphen/>
        <w:t>středkovat, a jež i pro nás považujete za vhodnější než ideje humanitní. Věřte, že vhodnější nejsou. I fa</w:t>
      </w:r>
      <w:r>
        <w:softHyphen/>
        <w:t>šismus, i nacionální socialismus vznikly z pocitu, že národu byla způsobena křivda; jejich hlavním cílem bylo tuto kři</w:t>
      </w:r>
      <w:r>
        <w:t>vdu odčinit; obě hnutí byla jaksi mečem, který si italský a německý národ ukul do boje za do</w:t>
      </w:r>
      <w:r>
        <w:softHyphen/>
        <w:t xml:space="preserve">sažení určitých cílů; byl to bojovný program vnitřní i zahraniční. Chcete nám poradit, abychom zahodili svou nenásilnou taktiku a vytvořili si také nějaký bojovný </w:t>
      </w:r>
      <w:r>
        <w:t>zahraniční program? Jistě byste neradil tomuto národu dobře. Německý národní socialismus vyrostl na tom, že bouřil proti míru versailleskému. Myslíte, že bychom si měli vytvořit nějaké hnutí, které by bouřilo proti míru mnichovskému? Zajisté si to nemyslít</w:t>
      </w:r>
      <w:r>
        <w:t>e; vždyť dokonce vytýkáte, že příliš na</w:t>
      </w:r>
      <w:r>
        <w:softHyphen/>
        <w:t>říkáme nad ztrátou svých bývalých území. Jaký by tedy mělo smysl vytvářeti u nás hnutí, jehož vrcholný cíl nám musí býti odepřen? Bylo by to více než hra? A má si národ hráti tímto způsobem? Měl byste se lépe seznámi</w:t>
      </w:r>
      <w:r>
        <w:t>t s podstatou toho, čemu se říká naše humanitní taktika. Pak byste pochopil, proč právě na ní lze spolehlivě založit nový poměr k Německu a proč právě jí se musíme držet. Resignujeme na to, změnit svůj osud násilím. Tomu dal Masaryk jméno humanitní taktika</w:t>
      </w:r>
      <w:r>
        <w:t>.</w:t>
      </w:r>
    </w:p>
    <w:p w:rsidR="00500724" w:rsidRDefault="00F30FB8">
      <w:pPr>
        <w:pStyle w:val="Zkladntext30"/>
        <w:shd w:val="clear" w:color="auto" w:fill="auto"/>
        <w:spacing w:after="0"/>
      </w:pPr>
      <w:r>
        <w:t>Pravíte, že bychom se měli podívat na to, kam jsme se dostali zkaženou humanitou. Tak, jako vy, mluvili k nám už před lety někteří Češi, kteří se u nás po</w:t>
      </w:r>
      <w:r>
        <w:softHyphen/>
        <w:t>koušeli zakládat nějaké obdoby fašistického hnutí. Také oni odsuzovali humanitu. Myslíte, že bychom</w:t>
      </w:r>
      <w:r>
        <w:t xml:space="preserve"> se byli dostali dále, kdybychom jich byli uposlechli? Snad o tom nevíte, ale všechny tyto protihumanitní skupiny vytýkaly naší vládě a naší politice přílišnou shovívavost k Němcům, všechny si přály, abychom k své německé menšině zaujali poměr bojovnější. </w:t>
      </w:r>
      <w:r>
        <w:t>Myslíte opravdu, že tato alternativa humanitní taktice by byla bývala správnou cestou pro nás? Je to ovšem nesmyslné. Daleko spíše bychom se byli loňské po</w:t>
      </w:r>
      <w:r>
        <w:softHyphen/>
        <w:t>hromy uchránili, kdybychom byli humanitní taktiku důsledněji rozvinuli, kdybychom byli už dávno svůj</w:t>
      </w:r>
      <w:r>
        <w:t xml:space="preserve"> stát přebudovali ve druhé Švýcarsko, jak některým tanulo na mysli. Bylo jim v tom zabráněno pokřikem těch, kteří humanitu pomlouvali. Zdá se tedy jistým, že budete musit podniknout pečlivý výběr mezi idea</w:t>
      </w:r>
      <w:r>
        <w:softHyphen/>
        <w:t>mi, které chcete prostředkovati, a že budete musit</w:t>
      </w:r>
      <w:r>
        <w:t xml:space="preserve"> odhadnout, které ideje z vašeho arsenálu se pro naše nové postavení vskutku hodí.</w:t>
      </w:r>
    </w:p>
    <w:p w:rsidR="00500724" w:rsidRDefault="00F30FB8">
      <w:pPr>
        <w:pStyle w:val="Zkladntext30"/>
        <w:shd w:val="clear" w:color="auto" w:fill="auto"/>
        <w:spacing w:after="300"/>
        <w:rPr>
          <w:sz w:val="20"/>
          <w:szCs w:val="20"/>
        </w:rPr>
      </w:pPr>
      <w:r>
        <w:t xml:space="preserve">Jedním pravidlem se při svém prostředkování ovšem vždy budete musit řídit: panuje leckdy sklon dívati se na nás, jako bychom nebyli více než obyvateli určitého prostoru, na </w:t>
      </w:r>
      <w:r>
        <w:t xml:space="preserve">kterém má Německo zájem hospodářský a kulturní. Ale my jsme více než jen obyvatelé prostoru. My jsme národ. Jen vycítíte-li tento rozdíl, může vaše prostředkování míti úspěch, abych tak řekl, přirozený a organický, </w:t>
      </w:r>
      <w:r>
        <w:rPr>
          <w:i/>
          <w:iCs/>
          <w:smallCaps/>
          <w:sz w:val="18"/>
          <w:szCs w:val="18"/>
        </w:rPr>
        <w:t>f.</w:t>
      </w:r>
      <w:r>
        <w:rPr>
          <w:i/>
          <w:iCs/>
          <w:sz w:val="20"/>
          <w:szCs w:val="20"/>
        </w:rPr>
        <w:t xml:space="preserve"> Peroutka</w:t>
      </w:r>
    </w:p>
    <w:p w:rsidR="00500724" w:rsidRDefault="00F30FB8">
      <w:pPr>
        <w:pStyle w:val="Nadpis90"/>
        <w:keepNext/>
        <w:keepLines/>
        <w:shd w:val="clear" w:color="auto" w:fill="auto"/>
        <w:spacing w:after="280"/>
      </w:pPr>
      <w:bookmarkStart w:id="127" w:name="bookmark126"/>
      <w:r>
        <w:rPr>
          <w:rFonts w:ascii="Times New Roman" w:eastAsia="Times New Roman" w:hAnsi="Times New Roman" w:cs="Times New Roman"/>
        </w:rPr>
        <w:t xml:space="preserve">f e u i </w:t>
      </w:r>
      <w:r>
        <w:rPr>
          <w:rFonts w:ascii="Times New Roman" w:eastAsia="Times New Roman" w:hAnsi="Times New Roman" w:cs="Times New Roman"/>
          <w:lang w:val="en-US" w:eastAsia="en-US" w:bidi="en-US"/>
        </w:rPr>
        <w:t>1</w:t>
      </w:r>
      <w:r>
        <w:rPr>
          <w:rFonts w:ascii="Times New Roman" w:eastAsia="Times New Roman" w:hAnsi="Times New Roman" w:cs="Times New Roman"/>
        </w:rPr>
        <w:t>1 e t o i)</w:t>
      </w:r>
      <w:bookmarkEnd w:id="127"/>
    </w:p>
    <w:p w:rsidR="00500724" w:rsidRDefault="00F30FB8">
      <w:pPr>
        <w:pStyle w:val="Zkladntext1"/>
        <w:shd w:val="clear" w:color="auto" w:fill="auto"/>
        <w:spacing w:line="218" w:lineRule="auto"/>
        <w:ind w:firstLine="0"/>
      </w:pPr>
      <w:r>
        <w:rPr>
          <w:b/>
          <w:bCs/>
          <w:i/>
          <w:iCs/>
        </w:rPr>
        <w:t xml:space="preserve">Karel </w:t>
      </w:r>
      <w:r>
        <w:rPr>
          <w:b/>
          <w:bCs/>
          <w:i/>
          <w:iCs/>
        </w:rPr>
        <w:t>Poláček:</w:t>
      </w:r>
    </w:p>
    <w:p w:rsidR="00500724" w:rsidRDefault="00F30FB8">
      <w:pPr>
        <w:pStyle w:val="Nadpis100"/>
        <w:shd w:val="clear" w:color="auto" w:fill="auto"/>
        <w:spacing w:after="0" w:line="240" w:lineRule="auto"/>
      </w:pPr>
      <w:bookmarkStart w:id="128" w:name="bookmark127"/>
      <w:r>
        <w:t>Dodatky</w:t>
      </w:r>
      <w:bookmarkEnd w:id="128"/>
    </w:p>
    <w:p w:rsidR="00500724" w:rsidRDefault="00F30FB8">
      <w:pPr>
        <w:pStyle w:val="Nadpis100"/>
        <w:shd w:val="clear" w:color="auto" w:fill="auto"/>
        <w:spacing w:after="0"/>
        <w:ind w:left="420"/>
        <w:jc w:val="left"/>
      </w:pPr>
      <w:bookmarkStart w:id="129" w:name="bookmark128"/>
      <w:r>
        <w:t>k Žurnalistickému slovníku</w:t>
      </w:r>
      <w:bookmarkEnd w:id="129"/>
    </w:p>
    <w:p w:rsidR="00500724" w:rsidRDefault="00F30FB8">
      <w:pPr>
        <w:pStyle w:val="Zkladntext30"/>
        <w:shd w:val="clear" w:color="auto" w:fill="auto"/>
        <w:spacing w:after="0" w:line="240" w:lineRule="auto"/>
        <w:ind w:left="300" w:firstLine="40"/>
        <w:jc w:val="left"/>
      </w:pPr>
      <w:r>
        <w:t>A</w:t>
      </w:r>
    </w:p>
    <w:p w:rsidR="00500724" w:rsidRDefault="00F30FB8">
      <w:pPr>
        <w:pStyle w:val="Zkladntext30"/>
        <w:shd w:val="clear" w:color="auto" w:fill="auto"/>
        <w:spacing w:after="0" w:line="223" w:lineRule="auto"/>
        <w:ind w:firstLine="0"/>
        <w:rPr>
          <w:sz w:val="20"/>
          <w:szCs w:val="20"/>
        </w:rPr>
      </w:pPr>
      <w:r>
        <w:rPr>
          <w:i/>
          <w:iCs/>
          <w:sz w:val="20"/>
          <w:szCs w:val="20"/>
        </w:rPr>
        <w:t>Albion býval hrdý.</w:t>
      </w:r>
    </w:p>
    <w:p w:rsidR="00500724" w:rsidRDefault="00F30FB8">
      <w:pPr>
        <w:pStyle w:val="Zkladntext30"/>
        <w:shd w:val="clear" w:color="auto" w:fill="auto"/>
        <w:spacing w:after="0" w:line="180" w:lineRule="auto"/>
        <w:ind w:firstLine="0"/>
        <w:rPr>
          <w:sz w:val="20"/>
          <w:szCs w:val="20"/>
        </w:rPr>
      </w:pPr>
      <w:r>
        <w:rPr>
          <w:i/>
          <w:iCs/>
          <w:sz w:val="20"/>
          <w:szCs w:val="20"/>
        </w:rPr>
        <w:t>Architektonicky nedotvořil.</w:t>
      </w:r>
    </w:p>
    <w:p w:rsidR="00500724" w:rsidRDefault="00F30FB8">
      <w:pPr>
        <w:pStyle w:val="Zkladntext30"/>
        <w:shd w:val="clear" w:color="auto" w:fill="auto"/>
        <w:spacing w:after="0" w:line="209" w:lineRule="auto"/>
        <w:ind w:firstLine="0"/>
        <w:rPr>
          <w:sz w:val="20"/>
          <w:szCs w:val="20"/>
        </w:rPr>
      </w:pPr>
      <w:r>
        <w:rPr>
          <w:i/>
          <w:iCs/>
          <w:sz w:val="20"/>
          <w:szCs w:val="20"/>
        </w:rPr>
        <w:t xml:space="preserve">Aut </w:t>
      </w:r>
      <w:r>
        <w:rPr>
          <w:i/>
          <w:iCs/>
          <w:sz w:val="20"/>
          <w:szCs w:val="20"/>
          <w:lang w:val="en-US" w:eastAsia="en-US" w:bidi="en-US"/>
        </w:rPr>
        <w:t xml:space="preserve">or, </w:t>
      </w:r>
      <w:r>
        <w:rPr>
          <w:i/>
          <w:iCs/>
          <w:sz w:val="20"/>
          <w:szCs w:val="20"/>
        </w:rPr>
        <w:t>ač volán, se neobjevil. Neuspěl. Nebyl práv.</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B</w:t>
      </w:r>
    </w:p>
    <w:p w:rsidR="00500724" w:rsidRDefault="00F30FB8">
      <w:pPr>
        <w:pStyle w:val="Zkladntext30"/>
        <w:shd w:val="clear" w:color="auto" w:fill="auto"/>
        <w:spacing w:after="0" w:line="209" w:lineRule="auto"/>
        <w:ind w:firstLine="0"/>
        <w:rPr>
          <w:sz w:val="20"/>
          <w:szCs w:val="20"/>
        </w:rPr>
      </w:pPr>
      <w:r>
        <w:rPr>
          <w:i/>
          <w:iCs/>
          <w:sz w:val="20"/>
          <w:szCs w:val="20"/>
        </w:rPr>
        <w:t>Básník opěvá.</w:t>
      </w:r>
    </w:p>
    <w:p w:rsidR="00500724" w:rsidRDefault="00F30FB8">
      <w:pPr>
        <w:pStyle w:val="Zkladntext30"/>
        <w:shd w:val="clear" w:color="auto" w:fill="auto"/>
        <w:spacing w:after="0" w:line="209" w:lineRule="auto"/>
        <w:ind w:firstLine="0"/>
        <w:rPr>
          <w:sz w:val="20"/>
          <w:szCs w:val="20"/>
        </w:rPr>
      </w:pPr>
      <w:r>
        <w:rPr>
          <w:i/>
          <w:iCs/>
          <w:sz w:val="20"/>
          <w:szCs w:val="20"/>
        </w:rPr>
        <w:t>Bohorovný je kritik.</w:t>
      </w:r>
    </w:p>
    <w:p w:rsidR="00500724" w:rsidRDefault="00F30FB8">
      <w:pPr>
        <w:pStyle w:val="Zkladntext30"/>
        <w:shd w:val="clear" w:color="auto" w:fill="auto"/>
        <w:spacing w:after="0" w:line="209" w:lineRule="auto"/>
        <w:ind w:firstLine="0"/>
        <w:rPr>
          <w:sz w:val="20"/>
          <w:szCs w:val="20"/>
        </w:rPr>
      </w:pPr>
      <w:r>
        <w:rPr>
          <w:i/>
          <w:iCs/>
          <w:sz w:val="20"/>
          <w:szCs w:val="20"/>
        </w:rPr>
        <w:t>Briskně odmítáme toto tvrzení.</w:t>
      </w:r>
    </w:p>
    <w:p w:rsidR="00500724" w:rsidRDefault="00F30FB8">
      <w:pPr>
        <w:pStyle w:val="Zkladntext30"/>
        <w:shd w:val="clear" w:color="auto" w:fill="auto"/>
        <w:spacing w:after="0" w:line="209" w:lineRule="auto"/>
        <w:ind w:firstLine="0"/>
        <w:rPr>
          <w:sz w:val="20"/>
          <w:szCs w:val="20"/>
        </w:rPr>
      </w:pPr>
      <w:r>
        <w:rPr>
          <w:i/>
          <w:iCs/>
          <w:sz w:val="20"/>
          <w:szCs w:val="20"/>
        </w:rPr>
        <w:t>Bursa je přívětivá.</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C</w:t>
      </w:r>
    </w:p>
    <w:p w:rsidR="00500724" w:rsidRDefault="00F30FB8">
      <w:pPr>
        <w:pStyle w:val="Zkladntext30"/>
        <w:shd w:val="clear" w:color="auto" w:fill="auto"/>
        <w:spacing w:after="0" w:line="209" w:lineRule="auto"/>
        <w:ind w:firstLine="0"/>
        <w:rPr>
          <w:sz w:val="20"/>
          <w:szCs w:val="20"/>
        </w:rPr>
      </w:pPr>
      <w:r>
        <w:rPr>
          <w:i/>
          <w:iCs/>
          <w:sz w:val="20"/>
          <w:szCs w:val="20"/>
        </w:rPr>
        <w:t>Cenný. Viz: Přínos.</w:t>
      </w:r>
    </w:p>
    <w:p w:rsidR="00500724" w:rsidRDefault="00F30FB8">
      <w:pPr>
        <w:pStyle w:val="Zkladntext30"/>
        <w:shd w:val="clear" w:color="auto" w:fill="auto"/>
        <w:spacing w:after="0" w:line="209" w:lineRule="auto"/>
        <w:ind w:firstLine="0"/>
        <w:rPr>
          <w:sz w:val="20"/>
          <w:szCs w:val="20"/>
        </w:rPr>
      </w:pPr>
      <w:r>
        <w:rPr>
          <w:i/>
          <w:iCs/>
          <w:sz w:val="20"/>
          <w:szCs w:val="20"/>
        </w:rPr>
        <w:t>Citelnou mezeru vyplnilo čilé nakladatelství.</w:t>
      </w:r>
    </w:p>
    <w:p w:rsidR="00500724" w:rsidRDefault="00F30FB8">
      <w:pPr>
        <w:pStyle w:val="Zkladntext30"/>
        <w:shd w:val="clear" w:color="auto" w:fill="auto"/>
        <w:spacing w:after="0" w:line="209" w:lineRule="auto"/>
        <w:ind w:firstLine="0"/>
        <w:rPr>
          <w:sz w:val="20"/>
          <w:szCs w:val="20"/>
        </w:rPr>
      </w:pPr>
      <w:r>
        <w:rPr>
          <w:i/>
          <w:iCs/>
          <w:sz w:val="20"/>
          <w:szCs w:val="20"/>
        </w:rPr>
        <w:t>Citová je náplň.</w:t>
      </w:r>
    </w:p>
    <w:p w:rsidR="00500724" w:rsidRDefault="00F30FB8">
      <w:pPr>
        <w:pStyle w:val="Zkladntext30"/>
        <w:shd w:val="clear" w:color="auto" w:fill="auto"/>
        <w:spacing w:after="0" w:line="209" w:lineRule="auto"/>
        <w:ind w:firstLine="0"/>
        <w:rPr>
          <w:sz w:val="20"/>
          <w:szCs w:val="20"/>
        </w:rPr>
      </w:pPr>
      <w:r>
        <w:rPr>
          <w:i/>
          <w:iCs/>
          <w:sz w:val="20"/>
          <w:szCs w:val="20"/>
        </w:rPr>
        <w:t>Co dám svým milým k Ježíšku?</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Č</w:t>
      </w:r>
    </w:p>
    <w:p w:rsidR="00500724" w:rsidRDefault="00F30FB8">
      <w:pPr>
        <w:pStyle w:val="Zkladntext30"/>
        <w:shd w:val="clear" w:color="auto" w:fill="auto"/>
        <w:spacing w:after="0" w:line="209" w:lineRule="auto"/>
        <w:ind w:firstLine="0"/>
        <w:rPr>
          <w:sz w:val="20"/>
          <w:szCs w:val="20"/>
        </w:rPr>
      </w:pPr>
      <w:r>
        <w:rPr>
          <w:i/>
          <w:iCs/>
          <w:sz w:val="20"/>
          <w:szCs w:val="20"/>
        </w:rPr>
        <w:t>Čestné je seznámení.</w:t>
      </w:r>
    </w:p>
    <w:p w:rsidR="00500724" w:rsidRDefault="00F30FB8">
      <w:pPr>
        <w:pStyle w:val="Zkladntext30"/>
        <w:shd w:val="clear" w:color="auto" w:fill="auto"/>
        <w:spacing w:after="0" w:line="209" w:lineRule="auto"/>
        <w:ind w:firstLine="0"/>
        <w:rPr>
          <w:sz w:val="20"/>
          <w:szCs w:val="20"/>
        </w:rPr>
      </w:pPr>
      <w:r>
        <w:rPr>
          <w:i/>
          <w:iCs/>
          <w:sz w:val="20"/>
          <w:szCs w:val="20"/>
        </w:rPr>
        <w:t>Čestný je dluh a neúspěch.</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 xml:space="preserve">Čilé nakladatelství vydalo </w:t>
      </w:r>
      <w:r>
        <w:rPr>
          <w:b/>
          <w:bCs/>
          <w:i/>
          <w:iCs/>
          <w:sz w:val="19"/>
          <w:szCs w:val="19"/>
        </w:rPr>
        <w:t xml:space="preserve">ve </w:t>
      </w:r>
      <w:r>
        <w:rPr>
          <w:i/>
          <w:iCs/>
          <w:sz w:val="20"/>
          <w:szCs w:val="20"/>
        </w:rPr>
        <w:t xml:space="preserve">sličné </w:t>
      </w:r>
      <w:r>
        <w:rPr>
          <w:b/>
          <w:bCs/>
          <w:i/>
          <w:iCs/>
          <w:sz w:val="19"/>
          <w:szCs w:val="19"/>
        </w:rPr>
        <w:t xml:space="preserve">úpravě. Viz: </w:t>
      </w:r>
      <w:r>
        <w:rPr>
          <w:i/>
          <w:iCs/>
          <w:sz w:val="20"/>
          <w:szCs w:val="20"/>
        </w:rPr>
        <w:t>Xfťlý svazek básní.</w:t>
      </w:r>
    </w:p>
    <w:p w:rsidR="00500724" w:rsidRDefault="00F30FB8">
      <w:pPr>
        <w:pStyle w:val="Zkladntext30"/>
        <w:shd w:val="clear" w:color="auto" w:fill="auto"/>
        <w:spacing w:after="0" w:line="209" w:lineRule="auto"/>
        <w:ind w:firstLine="0"/>
        <w:rPr>
          <w:sz w:val="20"/>
          <w:szCs w:val="20"/>
        </w:rPr>
      </w:pPr>
      <w:r>
        <w:rPr>
          <w:i/>
          <w:iCs/>
          <w:sz w:val="20"/>
          <w:szCs w:val="20"/>
        </w:rPr>
        <w:t>Čistka. Viz: Nekalá soutěž.</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D</w:t>
      </w:r>
    </w:p>
    <w:p w:rsidR="00500724" w:rsidRDefault="00F30FB8">
      <w:pPr>
        <w:pStyle w:val="Zkladntext30"/>
        <w:shd w:val="clear" w:color="auto" w:fill="auto"/>
        <w:spacing w:after="0" w:line="209" w:lineRule="auto"/>
        <w:ind w:firstLine="0"/>
        <w:rPr>
          <w:sz w:val="20"/>
          <w:szCs w:val="20"/>
        </w:rPr>
      </w:pPr>
      <w:r>
        <w:rPr>
          <w:i/>
          <w:iCs/>
          <w:sz w:val="20"/>
          <w:szCs w:val="20"/>
        </w:rPr>
        <w:t xml:space="preserve">Daň zaplatil </w:t>
      </w:r>
      <w:r>
        <w:rPr>
          <w:i/>
          <w:iCs/>
          <w:sz w:val="20"/>
          <w:szCs w:val="20"/>
        </w:rPr>
        <w:t>době.</w:t>
      </w:r>
    </w:p>
    <w:p w:rsidR="00500724" w:rsidRDefault="00F30FB8">
      <w:pPr>
        <w:pStyle w:val="Zkladntext30"/>
        <w:shd w:val="clear" w:color="auto" w:fill="auto"/>
        <w:spacing w:after="0" w:line="209" w:lineRule="auto"/>
        <w:ind w:firstLine="0"/>
        <w:rPr>
          <w:sz w:val="20"/>
          <w:szCs w:val="20"/>
        </w:rPr>
      </w:pPr>
      <w:r>
        <w:rPr>
          <w:i/>
          <w:iCs/>
          <w:sz w:val="20"/>
          <w:szCs w:val="20"/>
        </w:rPr>
        <w:t>Děvče jako lusk.</w:t>
      </w:r>
    </w:p>
    <w:p w:rsidR="00500724" w:rsidRDefault="00F30FB8">
      <w:pPr>
        <w:pStyle w:val="Zkladntext30"/>
        <w:shd w:val="clear" w:color="auto" w:fill="auto"/>
        <w:spacing w:after="0" w:line="209" w:lineRule="auto"/>
        <w:ind w:firstLine="0"/>
        <w:rPr>
          <w:sz w:val="20"/>
          <w:szCs w:val="20"/>
        </w:rPr>
      </w:pPr>
      <w:r>
        <w:rPr>
          <w:i/>
          <w:iCs/>
          <w:sz w:val="20"/>
          <w:szCs w:val="20"/>
        </w:rPr>
        <w:t>Dluh splatil rodnému kraji.</w:t>
      </w:r>
    </w:p>
    <w:p w:rsidR="00500724" w:rsidRDefault="00F30FB8">
      <w:pPr>
        <w:pStyle w:val="Zkladntext30"/>
        <w:shd w:val="clear" w:color="auto" w:fill="auto"/>
        <w:spacing w:after="0" w:line="209" w:lineRule="auto"/>
        <w:ind w:firstLine="0"/>
        <w:rPr>
          <w:sz w:val="20"/>
          <w:szCs w:val="20"/>
        </w:rPr>
      </w:pPr>
      <w:r>
        <w:rPr>
          <w:i/>
          <w:iCs/>
          <w:sz w:val="20"/>
          <w:szCs w:val="20"/>
        </w:rPr>
        <w:t>Dramatický je spád událostí a konfrontace.</w:t>
      </w:r>
    </w:p>
    <w:p w:rsidR="00500724" w:rsidRDefault="00F30FB8">
      <w:pPr>
        <w:pStyle w:val="Zkladntext30"/>
        <w:shd w:val="clear" w:color="auto" w:fill="auto"/>
        <w:spacing w:after="0" w:line="209" w:lineRule="auto"/>
        <w:ind w:firstLine="0"/>
        <w:rPr>
          <w:sz w:val="20"/>
          <w:szCs w:val="20"/>
        </w:rPr>
      </w:pPr>
      <w:r>
        <w:rPr>
          <w:i/>
          <w:iCs/>
          <w:sz w:val="20"/>
          <w:szCs w:val="20"/>
        </w:rPr>
        <w:t>Drazí jsou krajané za tou velkou louží.</w:t>
      </w:r>
    </w:p>
    <w:p w:rsidR="00500724" w:rsidRDefault="00F30FB8">
      <w:pPr>
        <w:pStyle w:val="Zkladntext30"/>
        <w:shd w:val="clear" w:color="auto" w:fill="auto"/>
        <w:spacing w:after="0" w:line="209" w:lineRule="auto"/>
        <w:ind w:firstLine="0"/>
        <w:rPr>
          <w:sz w:val="20"/>
          <w:szCs w:val="20"/>
        </w:rPr>
      </w:pPr>
      <w:r>
        <w:rPr>
          <w:i/>
          <w:iCs/>
          <w:sz w:val="20"/>
          <w:szCs w:val="20"/>
        </w:rPr>
        <w:t>Dravčí jsou pudy.</w:t>
      </w:r>
    </w:p>
    <w:p w:rsidR="00500724" w:rsidRDefault="00F30FB8">
      <w:pPr>
        <w:pStyle w:val="Zkladntext30"/>
        <w:shd w:val="clear" w:color="auto" w:fill="auto"/>
        <w:spacing w:after="0" w:line="209" w:lineRule="auto"/>
        <w:ind w:firstLine="0"/>
        <w:jc w:val="left"/>
        <w:rPr>
          <w:sz w:val="20"/>
          <w:szCs w:val="20"/>
        </w:rPr>
      </w:pPr>
      <w:r>
        <w:rPr>
          <w:i/>
          <w:iCs/>
          <w:sz w:val="20"/>
          <w:szCs w:val="20"/>
        </w:rPr>
        <w:t>Duté. Viz: Splynutí a Vdovec s jedním dítkem Dřeň. Viz: Jáství a Propálil; viz: spisy Fr. Goetze. Deputa</w:t>
      </w:r>
      <w:r>
        <w:rPr>
          <w:i/>
          <w:iCs/>
          <w:sz w:val="20"/>
          <w:szCs w:val="20"/>
        </w:rPr>
        <w:t>ce přednesla panu ministrovi prosbu, aby bez</w:t>
      </w:r>
      <w:r>
        <w:rPr>
          <w:i/>
          <w:iCs/>
          <w:sz w:val="20"/>
          <w:szCs w:val="20"/>
        </w:rPr>
        <w:softHyphen/>
      </w:r>
    </w:p>
    <w:p w:rsidR="00500724" w:rsidRDefault="00F30FB8">
      <w:pPr>
        <w:pStyle w:val="Zkladntext30"/>
        <w:shd w:val="clear" w:color="auto" w:fill="auto"/>
        <w:spacing w:after="0" w:line="209" w:lineRule="auto"/>
        <w:ind w:left="300" w:firstLine="40"/>
        <w:jc w:val="left"/>
        <w:rPr>
          <w:sz w:val="20"/>
          <w:szCs w:val="20"/>
        </w:rPr>
      </w:pPr>
      <w:r>
        <w:rPr>
          <w:i/>
          <w:iCs/>
          <w:sz w:val="20"/>
          <w:szCs w:val="20"/>
        </w:rPr>
        <w:t>odkladně zapříčinil</w:t>
      </w:r>
    </w:p>
    <w:p w:rsidR="00500724" w:rsidRDefault="00F30FB8">
      <w:pPr>
        <w:pStyle w:val="Zkladntext30"/>
        <w:shd w:val="clear" w:color="auto" w:fill="auto"/>
        <w:spacing w:after="0" w:line="209" w:lineRule="auto"/>
        <w:ind w:firstLine="0"/>
        <w:jc w:val="left"/>
        <w:rPr>
          <w:sz w:val="20"/>
          <w:szCs w:val="20"/>
        </w:rPr>
      </w:pPr>
      <w:r>
        <w:rPr>
          <w:i/>
          <w:iCs/>
          <w:sz w:val="20"/>
          <w:szCs w:val="20"/>
        </w:rPr>
        <w:t>Doufám, že mluvím ze srdce všech přítomných. Dynamika je živelná.</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E</w:t>
      </w:r>
    </w:p>
    <w:p w:rsidR="00500724" w:rsidRDefault="00F30FB8">
      <w:pPr>
        <w:pStyle w:val="Zkladntext30"/>
        <w:shd w:val="clear" w:color="auto" w:fill="auto"/>
        <w:spacing w:after="0" w:line="209" w:lineRule="auto"/>
        <w:ind w:firstLine="0"/>
        <w:rPr>
          <w:sz w:val="20"/>
          <w:szCs w:val="20"/>
        </w:rPr>
      </w:pPr>
      <w:r>
        <w:rPr>
          <w:i/>
          <w:iCs/>
          <w:sz w:val="20"/>
          <w:szCs w:val="20"/>
        </w:rPr>
        <w:t>Elcsistenční jsou možnosti.</w:t>
      </w:r>
    </w:p>
    <w:p w:rsidR="00500724" w:rsidRDefault="00F30FB8">
      <w:pPr>
        <w:pStyle w:val="Zkladntext30"/>
        <w:shd w:val="clear" w:color="auto" w:fill="auto"/>
        <w:spacing w:after="0" w:line="204" w:lineRule="auto"/>
        <w:ind w:firstLine="0"/>
        <w:rPr>
          <w:sz w:val="20"/>
          <w:szCs w:val="20"/>
        </w:rPr>
      </w:pPr>
      <w:r>
        <w:rPr>
          <w:i/>
          <w:iCs/>
          <w:sz w:val="20"/>
          <w:szCs w:val="20"/>
        </w:rPr>
        <w:t>Emigrace je nežádoucí.</w:t>
      </w:r>
    </w:p>
    <w:p w:rsidR="00500724" w:rsidRDefault="00F30FB8">
      <w:pPr>
        <w:pStyle w:val="Zkladntext30"/>
        <w:shd w:val="clear" w:color="auto" w:fill="auto"/>
        <w:spacing w:after="0" w:line="221" w:lineRule="auto"/>
        <w:ind w:firstLine="0"/>
        <w:rPr>
          <w:sz w:val="20"/>
          <w:szCs w:val="20"/>
        </w:rPr>
      </w:pPr>
      <w:r>
        <w:rPr>
          <w:i/>
          <w:iCs/>
          <w:sz w:val="20"/>
          <w:szCs w:val="20"/>
        </w:rPr>
        <w:t>E xemplář je podařený. E. nerozřezaný, viz: Recense. Exoty byly mdlé.</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F</w:t>
      </w:r>
    </w:p>
    <w:p w:rsidR="00500724" w:rsidRDefault="00F30FB8">
      <w:pPr>
        <w:pStyle w:val="Zkladntext30"/>
        <w:shd w:val="clear" w:color="auto" w:fill="auto"/>
        <w:spacing w:after="0" w:line="209" w:lineRule="auto"/>
        <w:ind w:firstLine="0"/>
        <w:rPr>
          <w:sz w:val="20"/>
          <w:szCs w:val="20"/>
        </w:rPr>
      </w:pPr>
      <w:r>
        <w:rPr>
          <w:b/>
          <w:bCs/>
          <w:i/>
          <w:iCs/>
          <w:sz w:val="19"/>
          <w:szCs w:val="19"/>
        </w:rPr>
        <w:t xml:space="preserve">Francie </w:t>
      </w:r>
      <w:r>
        <w:rPr>
          <w:i/>
          <w:iCs/>
          <w:sz w:val="20"/>
          <w:szCs w:val="20"/>
        </w:rPr>
        <w:t>bývala sesterská.</w:t>
      </w:r>
    </w:p>
    <w:p w:rsidR="00500724" w:rsidRDefault="00F30FB8">
      <w:pPr>
        <w:pStyle w:val="Zkladntext30"/>
        <w:shd w:val="clear" w:color="auto" w:fill="auto"/>
        <w:spacing w:after="0" w:line="209" w:lineRule="auto"/>
        <w:ind w:left="300" w:firstLine="40"/>
        <w:jc w:val="left"/>
        <w:rPr>
          <w:sz w:val="20"/>
          <w:szCs w:val="20"/>
        </w:rPr>
      </w:pPr>
      <w:r>
        <w:rPr>
          <w:i/>
          <w:iCs/>
          <w:sz w:val="20"/>
          <w:szCs w:val="20"/>
        </w:rPr>
        <w:t>G</w:t>
      </w:r>
    </w:p>
    <w:p w:rsidR="00500724" w:rsidRDefault="00F30FB8">
      <w:pPr>
        <w:pStyle w:val="Zkladntext30"/>
        <w:shd w:val="clear" w:color="auto" w:fill="auto"/>
        <w:spacing w:after="0"/>
        <w:ind w:left="300" w:hanging="300"/>
        <w:jc w:val="left"/>
        <w:rPr>
          <w:sz w:val="20"/>
          <w:szCs w:val="20"/>
        </w:rPr>
      </w:pPr>
      <w:r>
        <w:rPr>
          <w:i/>
          <w:iCs/>
          <w:sz w:val="20"/>
          <w:szCs w:val="20"/>
        </w:rPr>
        <w:t>Gesto je prázdné.</w:t>
      </w:r>
    </w:p>
    <w:p w:rsidR="00500724" w:rsidRDefault="00F30FB8">
      <w:pPr>
        <w:pStyle w:val="Zkladntext30"/>
        <w:shd w:val="clear" w:color="auto" w:fill="auto"/>
        <w:spacing w:after="0" w:line="257" w:lineRule="auto"/>
        <w:ind w:left="300" w:hanging="300"/>
        <w:jc w:val="left"/>
        <w:rPr>
          <w:sz w:val="20"/>
          <w:szCs w:val="20"/>
        </w:rPr>
      </w:pPr>
      <w:r>
        <w:rPr>
          <w:i/>
          <w:iCs/>
          <w:sz w:val="20"/>
          <w:szCs w:val="20"/>
        </w:rPr>
        <w:t>Geopoliticky. Viz: Poroba, Zapojení, Životní prostor. H</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Herci se zhostili svých rolí.</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Hluboká je myšlenková náplň.</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Hluše vyzní ta sloka.</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Holduje se uměnám a nezřízeným pudům.</w:t>
      </w:r>
    </w:p>
    <w:p w:rsidR="00500724" w:rsidRDefault="00F30FB8">
      <w:pPr>
        <w:pStyle w:val="Zkladntext30"/>
        <w:shd w:val="clear" w:color="auto" w:fill="auto"/>
        <w:spacing w:after="0" w:line="209" w:lineRule="auto"/>
        <w:ind w:firstLine="0"/>
        <w:rPr>
          <w:sz w:val="20"/>
          <w:szCs w:val="20"/>
        </w:rPr>
      </w:pPr>
      <w:r>
        <w:rPr>
          <w:i/>
          <w:iCs/>
          <w:sz w:val="20"/>
          <w:szCs w:val="20"/>
        </w:rPr>
        <w:t>Hyzdí národní ráz Prahy cizácké ná</w:t>
      </w:r>
      <w:r>
        <w:rPr>
          <w:i/>
          <w:iCs/>
          <w:sz w:val="20"/>
          <w:szCs w:val="20"/>
        </w:rPr>
        <w:t>pisy.</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Humor český. Viz: Ted.</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Hýří barvami dámy a podzim.</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Hudba. Viz: Dobrovolný příspěvek.</w:t>
      </w:r>
    </w:p>
    <w:p w:rsidR="00500724" w:rsidRDefault="00F30FB8">
      <w:pPr>
        <w:pStyle w:val="Zkladntext30"/>
        <w:shd w:val="clear" w:color="auto" w:fill="auto"/>
        <w:spacing w:after="0" w:line="209" w:lineRule="auto"/>
        <w:ind w:left="300" w:hanging="300"/>
        <w:jc w:val="left"/>
        <w:rPr>
          <w:sz w:val="20"/>
          <w:szCs w:val="20"/>
        </w:rPr>
      </w:pPr>
      <w:r>
        <w:rPr>
          <w:i/>
          <w:iCs/>
          <w:sz w:val="20"/>
          <w:szCs w:val="20"/>
        </w:rPr>
        <w:t>Horlivý je sběratel.</w:t>
      </w:r>
    </w:p>
    <w:p w:rsidR="00500724" w:rsidRDefault="00F30FB8">
      <w:pPr>
        <w:pStyle w:val="Zkladntext30"/>
        <w:shd w:val="clear" w:color="auto" w:fill="auto"/>
        <w:spacing w:after="0" w:line="202" w:lineRule="auto"/>
        <w:ind w:left="280" w:firstLine="20"/>
        <w:jc w:val="left"/>
        <w:rPr>
          <w:sz w:val="20"/>
          <w:szCs w:val="20"/>
        </w:rPr>
      </w:pPr>
      <w:r>
        <w:rPr>
          <w:i/>
          <w:iCs/>
          <w:sz w:val="20"/>
          <w:szCs w:val="20"/>
          <w:lang w:val="en-US" w:eastAsia="en-US" w:bidi="en-US"/>
        </w:rPr>
        <w:t>CH</w:t>
      </w:r>
    </w:p>
    <w:p w:rsidR="00500724" w:rsidRDefault="00F30FB8">
      <w:pPr>
        <w:pStyle w:val="Zkladntext30"/>
        <w:shd w:val="clear" w:color="auto" w:fill="auto"/>
        <w:spacing w:after="0" w:line="202" w:lineRule="auto"/>
        <w:ind w:firstLine="0"/>
        <w:jc w:val="left"/>
        <w:rPr>
          <w:sz w:val="20"/>
          <w:szCs w:val="20"/>
        </w:rPr>
      </w:pPr>
      <w:r>
        <w:rPr>
          <w:i/>
          <w:iCs/>
          <w:sz w:val="20"/>
          <w:szCs w:val="20"/>
        </w:rPr>
        <w:t>Choulostivá je situace a problém.</w:t>
      </w:r>
    </w:p>
    <w:p w:rsidR="00500724" w:rsidRDefault="00F30FB8">
      <w:pPr>
        <w:pStyle w:val="Zkladntext30"/>
        <w:shd w:val="clear" w:color="auto" w:fill="auto"/>
        <w:spacing w:after="80" w:line="202" w:lineRule="auto"/>
        <w:ind w:firstLine="0"/>
        <w:jc w:val="left"/>
        <w:rPr>
          <w:sz w:val="20"/>
          <w:szCs w:val="20"/>
        </w:rPr>
      </w:pPr>
      <w:r>
        <w:rPr>
          <w:i/>
          <w:iCs/>
          <w:sz w:val="20"/>
          <w:szCs w:val="20"/>
        </w:rPr>
        <w:t xml:space="preserve">Chlapské je písemnictví. </w:t>
      </w:r>
      <w:r>
        <w:rPr>
          <w:i/>
          <w:iCs/>
          <w:sz w:val="20"/>
          <w:szCs w:val="20"/>
          <w:lang w:val="en-US" w:eastAsia="en-US" w:bidi="en-US"/>
        </w:rPr>
        <w:t xml:space="preserve">Vie: </w:t>
      </w:r>
      <w:r>
        <w:rPr>
          <w:i/>
          <w:iCs/>
          <w:sz w:val="20"/>
          <w:szCs w:val="20"/>
        </w:rPr>
        <w:t>Krevnaté, Živelné, Zemité</w:t>
      </w:r>
    </w:p>
    <w:p w:rsidR="00500724" w:rsidRDefault="00F30FB8">
      <w:pPr>
        <w:pStyle w:val="Zkladntext1"/>
        <w:shd w:val="clear" w:color="auto" w:fill="auto"/>
        <w:spacing w:line="211" w:lineRule="auto"/>
        <w:ind w:left="280" w:firstLine="20"/>
        <w:jc w:val="left"/>
      </w:pPr>
      <w:r>
        <w:rPr>
          <w:b/>
          <w:bCs/>
          <w:i/>
          <w:iCs/>
        </w:rPr>
        <w:t>1</w:t>
      </w:r>
    </w:p>
    <w:p w:rsidR="00500724" w:rsidRDefault="00F30FB8">
      <w:pPr>
        <w:pStyle w:val="Zkladntext1"/>
        <w:shd w:val="clear" w:color="auto" w:fill="auto"/>
        <w:spacing w:line="202" w:lineRule="auto"/>
        <w:ind w:firstLine="0"/>
        <w:jc w:val="left"/>
        <w:rPr>
          <w:sz w:val="20"/>
          <w:szCs w:val="20"/>
        </w:rPr>
      </w:pPr>
      <w:r>
        <w:rPr>
          <w:i/>
          <w:iCs/>
          <w:sz w:val="20"/>
          <w:szCs w:val="20"/>
        </w:rPr>
        <w:t>Imaginace je žhavá.</w:t>
      </w:r>
    </w:p>
    <w:p w:rsidR="00500724" w:rsidRDefault="00F30FB8">
      <w:pPr>
        <w:pStyle w:val="Zkladntext1"/>
        <w:shd w:val="clear" w:color="auto" w:fill="auto"/>
        <w:spacing w:after="60" w:line="202" w:lineRule="auto"/>
        <w:ind w:firstLine="0"/>
        <w:jc w:val="left"/>
        <w:rPr>
          <w:sz w:val="20"/>
          <w:szCs w:val="20"/>
        </w:rPr>
      </w:pPr>
      <w:r>
        <w:rPr>
          <w:i/>
          <w:iCs/>
          <w:sz w:val="20"/>
          <w:szCs w:val="20"/>
        </w:rPr>
        <w:t>Incident. Vis: Vláda.</w:t>
      </w:r>
    </w:p>
    <w:p w:rsidR="00500724" w:rsidRDefault="00F30FB8">
      <w:pPr>
        <w:pStyle w:val="Zkladntext1"/>
        <w:shd w:val="clear" w:color="auto" w:fill="auto"/>
        <w:spacing w:line="211" w:lineRule="auto"/>
        <w:ind w:left="280" w:firstLine="20"/>
        <w:jc w:val="left"/>
      </w:pPr>
      <w:r>
        <w:rPr>
          <w:b/>
          <w:bCs/>
          <w:i/>
          <w:iCs/>
        </w:rPr>
        <w:t>J</w:t>
      </w:r>
    </w:p>
    <w:p w:rsidR="00500724" w:rsidRDefault="00F30FB8">
      <w:pPr>
        <w:pStyle w:val="Zkladntext1"/>
        <w:shd w:val="clear" w:color="auto" w:fill="auto"/>
        <w:spacing w:line="214" w:lineRule="auto"/>
        <w:ind w:firstLine="0"/>
        <w:jc w:val="left"/>
        <w:rPr>
          <w:sz w:val="20"/>
          <w:szCs w:val="20"/>
        </w:rPr>
      </w:pPr>
      <w:r>
        <w:rPr>
          <w:i/>
          <w:iCs/>
          <w:sz w:val="20"/>
          <w:szCs w:val="20"/>
        </w:rPr>
        <w:t xml:space="preserve">Jáství. </w:t>
      </w:r>
      <w:r>
        <w:rPr>
          <w:i/>
          <w:iCs/>
          <w:sz w:val="20"/>
          <w:szCs w:val="20"/>
          <w:lang w:val="en-US" w:eastAsia="en-US" w:bidi="en-US"/>
        </w:rPr>
        <w:t xml:space="preserve">Vie: </w:t>
      </w:r>
      <w:r>
        <w:rPr>
          <w:i/>
          <w:iCs/>
          <w:sz w:val="20"/>
          <w:szCs w:val="20"/>
        </w:rPr>
        <w:t xml:space="preserve">Dřeň a Propálil se; viz: spisy </w:t>
      </w:r>
      <w:r>
        <w:rPr>
          <w:b/>
          <w:bCs/>
          <w:i/>
          <w:iCs/>
        </w:rPr>
        <w:t xml:space="preserve">Fr. </w:t>
      </w:r>
      <w:r>
        <w:rPr>
          <w:i/>
          <w:iCs/>
          <w:sz w:val="20"/>
          <w:szCs w:val="20"/>
        </w:rPr>
        <w:t>Goetze.</w:t>
      </w:r>
    </w:p>
    <w:p w:rsidR="00500724" w:rsidRDefault="00F30FB8">
      <w:pPr>
        <w:pStyle w:val="Zkladntext1"/>
        <w:shd w:val="clear" w:color="auto" w:fill="auto"/>
        <w:spacing w:line="180" w:lineRule="auto"/>
        <w:ind w:firstLine="0"/>
        <w:jc w:val="left"/>
        <w:rPr>
          <w:sz w:val="20"/>
          <w:szCs w:val="20"/>
        </w:rPr>
      </w:pPr>
      <w:r>
        <w:rPr>
          <w:i/>
          <w:iCs/>
          <w:sz w:val="20"/>
          <w:szCs w:val="20"/>
        </w:rPr>
        <w:t>Jak se nám oznamuje. Viz: Zasvěcená.</w:t>
      </w:r>
    </w:p>
    <w:p w:rsidR="00500724" w:rsidRDefault="00F30FB8">
      <w:pPr>
        <w:pStyle w:val="Zkladntext1"/>
        <w:shd w:val="clear" w:color="auto" w:fill="auto"/>
        <w:spacing w:line="202" w:lineRule="auto"/>
        <w:ind w:firstLine="0"/>
        <w:jc w:val="left"/>
        <w:rPr>
          <w:sz w:val="20"/>
          <w:szCs w:val="20"/>
        </w:rPr>
      </w:pPr>
      <w:r>
        <w:rPr>
          <w:i/>
          <w:iCs/>
          <w:sz w:val="20"/>
          <w:szCs w:val="20"/>
        </w:rPr>
        <w:t>Jiskřivý je vtip.</w:t>
      </w:r>
    </w:p>
    <w:p w:rsidR="00500724" w:rsidRDefault="00F30FB8">
      <w:pPr>
        <w:pStyle w:val="Zkladntext1"/>
        <w:shd w:val="clear" w:color="auto" w:fill="auto"/>
        <w:spacing w:after="60" w:line="211" w:lineRule="auto"/>
        <w:ind w:firstLine="0"/>
        <w:jc w:val="left"/>
      </w:pPr>
      <w:r>
        <w:rPr>
          <w:b/>
          <w:bCs/>
          <w:i/>
          <w:iCs/>
        </w:rPr>
        <w:t>Jednatel je agilní.</w:t>
      </w:r>
    </w:p>
    <w:p w:rsidR="00500724" w:rsidRDefault="00F30FB8">
      <w:pPr>
        <w:pStyle w:val="Zkladntext1"/>
        <w:shd w:val="clear" w:color="auto" w:fill="auto"/>
        <w:spacing w:line="202" w:lineRule="auto"/>
        <w:ind w:left="280" w:firstLine="20"/>
        <w:jc w:val="left"/>
        <w:rPr>
          <w:sz w:val="20"/>
          <w:szCs w:val="20"/>
        </w:rPr>
      </w:pPr>
      <w:r>
        <w:rPr>
          <w:i/>
          <w:iCs/>
          <w:sz w:val="20"/>
          <w:szCs w:val="20"/>
        </w:rPr>
        <w:t>K</w:t>
      </w:r>
    </w:p>
    <w:p w:rsidR="00500724" w:rsidRDefault="00F30FB8">
      <w:pPr>
        <w:pStyle w:val="Zkladntext1"/>
        <w:shd w:val="clear" w:color="auto" w:fill="auto"/>
        <w:spacing w:line="204" w:lineRule="auto"/>
        <w:ind w:firstLine="0"/>
        <w:jc w:val="left"/>
        <w:rPr>
          <w:sz w:val="20"/>
          <w:szCs w:val="20"/>
        </w:rPr>
      </w:pPr>
      <w:r>
        <w:rPr>
          <w:b/>
          <w:bCs/>
          <w:i/>
          <w:iCs/>
        </w:rPr>
        <w:t>Kdo</w:t>
      </w:r>
      <w:r>
        <w:rPr>
          <w:b/>
          <w:bCs/>
        </w:rPr>
        <w:t xml:space="preserve"> sl </w:t>
      </w:r>
      <w:r>
        <w:rPr>
          <w:i/>
          <w:iCs/>
          <w:sz w:val="20"/>
          <w:szCs w:val="20"/>
        </w:rPr>
        <w:t>ponechá dvě čísla, stává se odběratelem. Kratochvilná je historie.</w:t>
      </w:r>
    </w:p>
    <w:p w:rsidR="00500724" w:rsidRDefault="00F30FB8">
      <w:pPr>
        <w:pStyle w:val="Zkladntext1"/>
        <w:shd w:val="clear" w:color="auto" w:fill="auto"/>
        <w:spacing w:line="199" w:lineRule="auto"/>
        <w:ind w:left="280" w:hanging="280"/>
        <w:jc w:val="left"/>
        <w:rPr>
          <w:sz w:val="20"/>
          <w:szCs w:val="20"/>
        </w:rPr>
      </w:pPr>
      <w:r>
        <w:rPr>
          <w:i/>
          <w:iCs/>
          <w:sz w:val="20"/>
          <w:szCs w:val="20"/>
        </w:rPr>
        <w:t xml:space="preserve">Kritika je obziravá, výsostná, spravedlivá. Viz: </w:t>
      </w:r>
      <w:r>
        <w:rPr>
          <w:i/>
          <w:iCs/>
          <w:sz w:val="20"/>
          <w:szCs w:val="20"/>
        </w:rPr>
        <w:t>Kama</w:t>
      </w:r>
      <w:r>
        <w:rPr>
          <w:i/>
          <w:iCs/>
          <w:sz w:val="20"/>
          <w:szCs w:val="20"/>
        </w:rPr>
        <w:softHyphen/>
        <w:t>rádství, Koterie, Hymnické, Chvalozpěvy, Kliky, Postoj.</w:t>
      </w:r>
    </w:p>
    <w:p w:rsidR="00500724" w:rsidRDefault="00F30FB8">
      <w:pPr>
        <w:pStyle w:val="Zkladntext1"/>
        <w:shd w:val="clear" w:color="auto" w:fill="auto"/>
        <w:spacing w:line="199" w:lineRule="auto"/>
        <w:ind w:firstLine="0"/>
        <w:jc w:val="left"/>
        <w:rPr>
          <w:sz w:val="20"/>
          <w:szCs w:val="20"/>
        </w:rPr>
      </w:pPr>
      <w:r>
        <w:rPr>
          <w:i/>
          <w:iCs/>
          <w:sz w:val="20"/>
          <w:szCs w:val="20"/>
        </w:rPr>
        <w:t>Korálové jsou rtíky.</w:t>
      </w:r>
    </w:p>
    <w:p w:rsidR="00500724" w:rsidRDefault="00F30FB8">
      <w:pPr>
        <w:pStyle w:val="Zkladntext1"/>
        <w:shd w:val="clear" w:color="auto" w:fill="auto"/>
        <w:spacing w:line="199" w:lineRule="auto"/>
        <w:ind w:firstLine="0"/>
        <w:jc w:val="left"/>
        <w:rPr>
          <w:sz w:val="20"/>
          <w:szCs w:val="20"/>
        </w:rPr>
      </w:pPr>
      <w:r>
        <w:rPr>
          <w:i/>
          <w:iCs/>
          <w:sz w:val="20"/>
          <w:szCs w:val="20"/>
        </w:rPr>
        <w:t>Každý za své.</w:t>
      </w:r>
    </w:p>
    <w:p w:rsidR="00500724" w:rsidRDefault="00F30FB8">
      <w:pPr>
        <w:pStyle w:val="Zkladntext1"/>
        <w:shd w:val="clear" w:color="auto" w:fill="auto"/>
        <w:spacing w:after="60" w:line="199" w:lineRule="auto"/>
        <w:ind w:firstLine="0"/>
        <w:jc w:val="left"/>
        <w:rPr>
          <w:sz w:val="20"/>
          <w:szCs w:val="20"/>
        </w:rPr>
      </w:pPr>
      <w:r>
        <w:rPr>
          <w:i/>
          <w:iCs/>
          <w:sz w:val="20"/>
          <w:szCs w:val="20"/>
        </w:rPr>
        <w:t>Komika je nedobrovolná.</w:t>
      </w:r>
    </w:p>
    <w:p w:rsidR="00500724" w:rsidRDefault="00F30FB8">
      <w:pPr>
        <w:pStyle w:val="Zkladntext1"/>
        <w:shd w:val="clear" w:color="auto" w:fill="auto"/>
        <w:spacing w:line="202" w:lineRule="auto"/>
        <w:ind w:left="280" w:firstLine="20"/>
        <w:jc w:val="left"/>
        <w:rPr>
          <w:sz w:val="20"/>
          <w:szCs w:val="20"/>
        </w:rPr>
      </w:pPr>
      <w:r>
        <w:rPr>
          <w:i/>
          <w:iCs/>
          <w:sz w:val="20"/>
          <w:szCs w:val="20"/>
        </w:rPr>
        <w:t>L</w:t>
      </w:r>
    </w:p>
    <w:p w:rsidR="00500724" w:rsidRDefault="00F30FB8">
      <w:pPr>
        <w:pStyle w:val="Zkladntext1"/>
        <w:shd w:val="clear" w:color="auto" w:fill="auto"/>
        <w:spacing w:line="202" w:lineRule="auto"/>
        <w:ind w:firstLine="0"/>
        <w:jc w:val="left"/>
        <w:rPr>
          <w:sz w:val="20"/>
          <w:szCs w:val="20"/>
        </w:rPr>
      </w:pPr>
      <w:r>
        <w:rPr>
          <w:i/>
          <w:iCs/>
          <w:sz w:val="20"/>
          <w:szCs w:val="20"/>
        </w:rPr>
        <w:t>Ladění. Viz: Myšlenkové.</w:t>
      </w:r>
    </w:p>
    <w:p w:rsidR="00500724" w:rsidRDefault="00F30FB8">
      <w:pPr>
        <w:pStyle w:val="Zkladntext1"/>
        <w:shd w:val="clear" w:color="auto" w:fill="auto"/>
        <w:spacing w:line="202" w:lineRule="auto"/>
        <w:ind w:firstLine="0"/>
        <w:jc w:val="left"/>
        <w:rPr>
          <w:sz w:val="20"/>
          <w:szCs w:val="20"/>
        </w:rPr>
      </w:pPr>
      <w:r>
        <w:rPr>
          <w:i/>
          <w:iCs/>
          <w:sz w:val="20"/>
          <w:szCs w:val="20"/>
        </w:rPr>
        <w:t>Luzné jsou vidiny.</w:t>
      </w:r>
    </w:p>
    <w:p w:rsidR="00500724" w:rsidRDefault="00F30FB8">
      <w:pPr>
        <w:pStyle w:val="Zkladntext1"/>
        <w:shd w:val="clear" w:color="auto" w:fill="auto"/>
        <w:spacing w:after="60" w:line="202" w:lineRule="auto"/>
        <w:ind w:firstLine="0"/>
        <w:jc w:val="left"/>
        <w:rPr>
          <w:sz w:val="20"/>
          <w:szCs w:val="20"/>
        </w:rPr>
      </w:pPr>
      <w:r>
        <w:rPr>
          <w:i/>
          <w:iCs/>
          <w:sz w:val="20"/>
          <w:szCs w:val="20"/>
        </w:rPr>
        <w:t>Liknavý je odběratel.</w:t>
      </w:r>
    </w:p>
    <w:p w:rsidR="00500724" w:rsidRDefault="00F30FB8">
      <w:pPr>
        <w:pStyle w:val="Zkladntext1"/>
        <w:shd w:val="clear" w:color="auto" w:fill="auto"/>
        <w:spacing w:line="202" w:lineRule="auto"/>
        <w:ind w:left="220" w:firstLine="0"/>
        <w:jc w:val="left"/>
        <w:rPr>
          <w:sz w:val="20"/>
          <w:szCs w:val="20"/>
        </w:rPr>
      </w:pPr>
      <w:r>
        <w:rPr>
          <w:i/>
          <w:iCs/>
          <w:sz w:val="20"/>
          <w:szCs w:val="20"/>
        </w:rPr>
        <w:t>M</w:t>
      </w:r>
    </w:p>
    <w:p w:rsidR="00500724" w:rsidRDefault="00F30FB8">
      <w:pPr>
        <w:pStyle w:val="Zkladntext1"/>
        <w:shd w:val="clear" w:color="auto" w:fill="auto"/>
        <w:spacing w:line="202" w:lineRule="auto"/>
        <w:ind w:firstLine="0"/>
        <w:jc w:val="left"/>
        <w:rPr>
          <w:sz w:val="20"/>
          <w:szCs w:val="20"/>
        </w:rPr>
      </w:pPr>
      <w:r>
        <w:rPr>
          <w:i/>
          <w:iCs/>
          <w:sz w:val="20"/>
          <w:szCs w:val="20"/>
        </w:rPr>
        <w:t>Milé překvapení uchystal náš časopis čtenářům. Mizerný je překlad.</w:t>
      </w:r>
    </w:p>
    <w:p w:rsidR="00500724" w:rsidRDefault="00F30FB8">
      <w:pPr>
        <w:pStyle w:val="Zkladntext1"/>
        <w:shd w:val="clear" w:color="auto" w:fill="auto"/>
        <w:spacing w:line="202" w:lineRule="auto"/>
        <w:ind w:firstLine="0"/>
        <w:jc w:val="left"/>
        <w:rPr>
          <w:sz w:val="20"/>
          <w:szCs w:val="20"/>
        </w:rPr>
      </w:pPr>
      <w:r>
        <w:rPr>
          <w:i/>
          <w:iCs/>
          <w:sz w:val="20"/>
          <w:szCs w:val="20"/>
        </w:rPr>
        <w:t>Mnohomluvnost nikoho nepřesvědčuje.</w:t>
      </w:r>
    </w:p>
    <w:p w:rsidR="00500724" w:rsidRDefault="00F30FB8">
      <w:pPr>
        <w:pStyle w:val="Zkladntext1"/>
        <w:shd w:val="clear" w:color="auto" w:fill="auto"/>
        <w:spacing w:after="60" w:line="202" w:lineRule="auto"/>
        <w:ind w:firstLine="0"/>
        <w:jc w:val="left"/>
        <w:rPr>
          <w:sz w:val="20"/>
          <w:szCs w:val="20"/>
        </w:rPr>
      </w:pPr>
      <w:r>
        <w:rPr>
          <w:i/>
          <w:iCs/>
          <w:sz w:val="20"/>
          <w:szCs w:val="20"/>
        </w:rPr>
        <w:t>Moudří jsou konšelé.</w:t>
      </w:r>
    </w:p>
    <w:p w:rsidR="00500724" w:rsidRDefault="00F30FB8">
      <w:pPr>
        <w:pStyle w:val="Zkladntext1"/>
        <w:shd w:val="clear" w:color="auto" w:fill="auto"/>
        <w:spacing w:line="202" w:lineRule="auto"/>
        <w:ind w:left="280" w:firstLine="20"/>
        <w:jc w:val="left"/>
        <w:rPr>
          <w:sz w:val="20"/>
          <w:szCs w:val="20"/>
        </w:rPr>
      </w:pPr>
      <w:r>
        <w:rPr>
          <w:i/>
          <w:iCs/>
          <w:sz w:val="20"/>
          <w:szCs w:val="20"/>
        </w:rPr>
        <w:t>N</w:t>
      </w:r>
    </w:p>
    <w:p w:rsidR="00500724" w:rsidRDefault="00F30FB8">
      <w:pPr>
        <w:pStyle w:val="Zkladntext1"/>
        <w:shd w:val="clear" w:color="auto" w:fill="auto"/>
        <w:spacing w:line="202" w:lineRule="auto"/>
        <w:ind w:firstLine="0"/>
        <w:jc w:val="left"/>
        <w:rPr>
          <w:sz w:val="20"/>
          <w:szCs w:val="20"/>
        </w:rPr>
      </w:pPr>
      <w:r>
        <w:rPr>
          <w:i/>
          <w:iCs/>
          <w:sz w:val="20"/>
          <w:szCs w:val="20"/>
        </w:rPr>
        <w:t>Nabádavý je Jindřich Vodák.</w:t>
      </w:r>
    </w:p>
    <w:p w:rsidR="00500724" w:rsidRDefault="00F30FB8">
      <w:pPr>
        <w:pStyle w:val="Zkladntext1"/>
        <w:shd w:val="clear" w:color="auto" w:fill="auto"/>
        <w:spacing w:line="202" w:lineRule="auto"/>
        <w:ind w:firstLine="0"/>
        <w:jc w:val="left"/>
        <w:rPr>
          <w:sz w:val="20"/>
          <w:szCs w:val="20"/>
        </w:rPr>
      </w:pPr>
      <w:r>
        <w:rPr>
          <w:i/>
          <w:iCs/>
          <w:sz w:val="20"/>
          <w:szCs w:val="20"/>
        </w:rPr>
        <w:t xml:space="preserve">Nakladatelství vyplnilo citelnou mezeru. Viz: Čilé. N ab </w:t>
      </w:r>
      <w:r>
        <w:rPr>
          <w:i/>
          <w:iCs/>
          <w:sz w:val="20"/>
          <w:szCs w:val="20"/>
          <w:lang w:val="en-US" w:eastAsia="en-US" w:bidi="en-US"/>
        </w:rPr>
        <w:t xml:space="preserve">it </w:t>
      </w:r>
      <w:r>
        <w:rPr>
          <w:i/>
          <w:iCs/>
          <w:sz w:val="20"/>
          <w:szCs w:val="20"/>
        </w:rPr>
        <w:t>ý sál sledoval hru se zatajeným dechem.</w:t>
      </w:r>
    </w:p>
    <w:p w:rsidR="00500724" w:rsidRDefault="00F30FB8">
      <w:pPr>
        <w:pStyle w:val="Zkladntext1"/>
        <w:shd w:val="clear" w:color="auto" w:fill="auto"/>
        <w:spacing w:line="202" w:lineRule="auto"/>
        <w:ind w:firstLine="0"/>
        <w:jc w:val="left"/>
        <w:rPr>
          <w:sz w:val="20"/>
          <w:szCs w:val="20"/>
        </w:rPr>
      </w:pPr>
      <w:r>
        <w:rPr>
          <w:i/>
          <w:iCs/>
          <w:sz w:val="20"/>
          <w:szCs w:val="20"/>
        </w:rPr>
        <w:t>Námět je vděčný a ošumělý.</w:t>
      </w:r>
    </w:p>
    <w:p w:rsidR="00500724" w:rsidRDefault="00F30FB8">
      <w:pPr>
        <w:pStyle w:val="Zkladntext1"/>
        <w:shd w:val="clear" w:color="auto" w:fill="auto"/>
        <w:spacing w:line="202" w:lineRule="auto"/>
        <w:ind w:firstLine="0"/>
        <w:jc w:val="left"/>
        <w:rPr>
          <w:sz w:val="20"/>
          <w:szCs w:val="20"/>
        </w:rPr>
      </w:pPr>
      <w:r>
        <w:rPr>
          <w:i/>
          <w:iCs/>
          <w:sz w:val="20"/>
          <w:szCs w:val="20"/>
        </w:rPr>
        <w:t>Nesmí chybět v žádné vlastenecké knihovně</w:t>
      </w:r>
      <w:r>
        <w:rPr>
          <w:i/>
          <w:iCs/>
          <w:sz w:val="20"/>
          <w:szCs w:val="20"/>
        </w:rPr>
        <w:t>.</w:t>
      </w:r>
    </w:p>
    <w:p w:rsidR="00500724" w:rsidRDefault="00F30FB8">
      <w:pPr>
        <w:pStyle w:val="Zkladntext1"/>
        <w:shd w:val="clear" w:color="auto" w:fill="auto"/>
        <w:spacing w:line="202" w:lineRule="auto"/>
        <w:ind w:firstLine="0"/>
        <w:jc w:val="left"/>
        <w:rPr>
          <w:sz w:val="20"/>
          <w:szCs w:val="20"/>
        </w:rPr>
      </w:pPr>
      <w:r>
        <w:rPr>
          <w:i/>
          <w:iCs/>
          <w:sz w:val="20"/>
          <w:szCs w:val="20"/>
        </w:rPr>
        <w:t>Nesmlouvavé je češství.</w:t>
      </w:r>
    </w:p>
    <w:p w:rsidR="00500724" w:rsidRDefault="00F30FB8">
      <w:pPr>
        <w:pStyle w:val="Zkladntext1"/>
        <w:shd w:val="clear" w:color="auto" w:fill="auto"/>
        <w:spacing w:line="202" w:lineRule="auto"/>
        <w:ind w:firstLine="0"/>
        <w:jc w:val="left"/>
        <w:rPr>
          <w:sz w:val="20"/>
          <w:szCs w:val="20"/>
        </w:rPr>
      </w:pPr>
      <w:r>
        <w:rPr>
          <w:i/>
          <w:iCs/>
          <w:sz w:val="20"/>
          <w:szCs w:val="20"/>
        </w:rPr>
        <w:t>N eus pěl. Viz: Spisovatel.</w:t>
      </w:r>
    </w:p>
    <w:p w:rsidR="00500724" w:rsidRDefault="00F30FB8">
      <w:pPr>
        <w:pStyle w:val="Zkladntext1"/>
        <w:shd w:val="clear" w:color="auto" w:fill="auto"/>
        <w:spacing w:line="202" w:lineRule="auto"/>
        <w:ind w:firstLine="0"/>
        <w:jc w:val="left"/>
        <w:rPr>
          <w:sz w:val="20"/>
          <w:szCs w:val="20"/>
        </w:rPr>
      </w:pPr>
      <w:r>
        <w:rPr>
          <w:i/>
          <w:iCs/>
          <w:sz w:val="20"/>
          <w:szCs w:val="20"/>
        </w:rPr>
        <w:t>Naši se brzy zhostili počáteční nervosy.</w:t>
      </w:r>
    </w:p>
    <w:p w:rsidR="00500724" w:rsidRDefault="00F30FB8">
      <w:pPr>
        <w:pStyle w:val="Zkladntext1"/>
        <w:shd w:val="clear" w:color="auto" w:fill="auto"/>
        <w:spacing w:line="202" w:lineRule="auto"/>
        <w:ind w:left="280" w:hanging="280"/>
        <w:jc w:val="left"/>
        <w:rPr>
          <w:sz w:val="20"/>
          <w:szCs w:val="20"/>
        </w:rPr>
      </w:pPr>
      <w:r>
        <w:rPr>
          <w:i/>
          <w:iCs/>
          <w:sz w:val="20"/>
          <w:szCs w:val="20"/>
        </w:rPr>
        <w:t>Návrh, aby protokol minulé valné hromady nebyl čten, byl přijat jednomyslně.</w:t>
      </w:r>
    </w:p>
    <w:p w:rsidR="00500724" w:rsidRDefault="00F30FB8">
      <w:pPr>
        <w:pStyle w:val="Zkladntext1"/>
        <w:shd w:val="clear" w:color="auto" w:fill="auto"/>
        <w:spacing w:line="202" w:lineRule="auto"/>
        <w:ind w:firstLine="0"/>
        <w:jc w:val="right"/>
        <w:rPr>
          <w:sz w:val="20"/>
          <w:szCs w:val="20"/>
        </w:rPr>
      </w:pPr>
      <w:r>
        <w:rPr>
          <w:i/>
          <w:iCs/>
          <w:sz w:val="20"/>
          <w:szCs w:val="20"/>
        </w:rPr>
        <w:t xml:space="preserve">N earij ské živly se drze roztahují ve vysočanské útulně. Naše řeč: Kinozákon, </w:t>
      </w:r>
      <w:r>
        <w:rPr>
          <w:i/>
          <w:iCs/>
          <w:sz w:val="20"/>
          <w:szCs w:val="20"/>
        </w:rPr>
        <w:t>fotopotřeby. radioposluchači, foto- domov, autosprávkárna. velopotřeby, Zepop, Legiocen-</w:t>
      </w:r>
    </w:p>
    <w:p w:rsidR="00500724" w:rsidRDefault="00F30FB8">
      <w:pPr>
        <w:pStyle w:val="Zkladntext1"/>
        <w:shd w:val="clear" w:color="auto" w:fill="auto"/>
        <w:spacing w:line="202" w:lineRule="auto"/>
        <w:ind w:left="280" w:firstLine="20"/>
        <w:jc w:val="left"/>
        <w:rPr>
          <w:sz w:val="20"/>
          <w:szCs w:val="20"/>
        </w:rPr>
      </w:pPr>
      <w:r>
        <w:rPr>
          <w:i/>
          <w:iCs/>
          <w:sz w:val="20"/>
          <w:szCs w:val="20"/>
        </w:rPr>
        <w:t>trozáložna, Živnodům, Grandpodnik, atd.</w:t>
      </w:r>
    </w:p>
    <w:p w:rsidR="00500724" w:rsidRDefault="00F30FB8">
      <w:pPr>
        <w:pStyle w:val="Zkladntext1"/>
        <w:shd w:val="clear" w:color="auto" w:fill="auto"/>
        <w:spacing w:line="202" w:lineRule="auto"/>
        <w:ind w:firstLine="0"/>
        <w:jc w:val="left"/>
        <w:rPr>
          <w:sz w:val="20"/>
          <w:szCs w:val="20"/>
        </w:rPr>
      </w:pPr>
      <w:r>
        <w:rPr>
          <w:i/>
          <w:iCs/>
          <w:sz w:val="20"/>
          <w:szCs w:val="20"/>
        </w:rPr>
        <w:t>Nutno vyčkati, jak se situace vyvine.</w:t>
      </w:r>
    </w:p>
    <w:p w:rsidR="00500724" w:rsidRDefault="00F30FB8">
      <w:pPr>
        <w:pStyle w:val="Zkladntext1"/>
        <w:shd w:val="clear" w:color="auto" w:fill="auto"/>
        <w:spacing w:after="60" w:line="202" w:lineRule="auto"/>
        <w:ind w:firstLine="0"/>
        <w:jc w:val="left"/>
        <w:rPr>
          <w:sz w:val="20"/>
          <w:szCs w:val="20"/>
        </w:rPr>
      </w:pPr>
      <w:r>
        <w:rPr>
          <w:i/>
          <w:iCs/>
          <w:sz w:val="20"/>
          <w:szCs w:val="20"/>
        </w:rPr>
        <w:t xml:space="preserve">Nízkou přízemní ranou zahájil </w:t>
      </w:r>
      <w:r>
        <w:rPr>
          <w:i/>
          <w:iCs/>
          <w:sz w:val="20"/>
          <w:szCs w:val="20"/>
          <w:lang w:val="en-US" w:eastAsia="en-US" w:bidi="en-US"/>
        </w:rPr>
        <w:t>score.</w:t>
      </w:r>
    </w:p>
    <w:p w:rsidR="00500724" w:rsidRDefault="00F30FB8">
      <w:pPr>
        <w:pStyle w:val="Zkladntext1"/>
        <w:shd w:val="clear" w:color="auto" w:fill="auto"/>
        <w:spacing w:line="202" w:lineRule="auto"/>
        <w:ind w:left="280" w:firstLine="20"/>
        <w:jc w:val="left"/>
        <w:rPr>
          <w:sz w:val="20"/>
          <w:szCs w:val="20"/>
        </w:rPr>
      </w:pPr>
      <w:r>
        <w:rPr>
          <w:i/>
          <w:iCs/>
          <w:sz w:val="20"/>
          <w:szCs w:val="20"/>
        </w:rPr>
        <w:t>Ň</w:t>
      </w:r>
    </w:p>
    <w:p w:rsidR="00500724" w:rsidRDefault="00F30FB8">
      <w:pPr>
        <w:pStyle w:val="Zkladntext1"/>
        <w:shd w:val="clear" w:color="auto" w:fill="auto"/>
        <w:spacing w:after="60" w:line="202" w:lineRule="auto"/>
        <w:ind w:firstLine="0"/>
        <w:jc w:val="left"/>
        <w:rPr>
          <w:sz w:val="20"/>
          <w:szCs w:val="20"/>
        </w:rPr>
      </w:pPr>
      <w:r>
        <w:rPr>
          <w:i/>
          <w:iCs/>
          <w:sz w:val="20"/>
          <w:szCs w:val="20"/>
        </w:rPr>
        <w:t>Ňadra se jí bouřlivě dmula.</w:t>
      </w:r>
    </w:p>
    <w:p w:rsidR="00500724" w:rsidRDefault="00F30FB8">
      <w:pPr>
        <w:pStyle w:val="Zkladntext1"/>
        <w:shd w:val="clear" w:color="auto" w:fill="auto"/>
        <w:spacing w:line="202" w:lineRule="auto"/>
        <w:ind w:left="280" w:firstLine="20"/>
        <w:jc w:val="left"/>
        <w:rPr>
          <w:sz w:val="20"/>
          <w:szCs w:val="20"/>
        </w:rPr>
      </w:pPr>
      <w:r>
        <w:rPr>
          <w:i/>
          <w:iCs/>
          <w:sz w:val="20"/>
          <w:szCs w:val="20"/>
        </w:rPr>
        <w:t>O</w:t>
      </w:r>
    </w:p>
    <w:p w:rsidR="00500724" w:rsidRDefault="00F30FB8">
      <w:pPr>
        <w:pStyle w:val="Zkladntext1"/>
        <w:shd w:val="clear" w:color="auto" w:fill="auto"/>
        <w:spacing w:line="194" w:lineRule="auto"/>
        <w:ind w:firstLine="0"/>
        <w:jc w:val="left"/>
        <w:rPr>
          <w:sz w:val="20"/>
          <w:szCs w:val="20"/>
        </w:rPr>
      </w:pPr>
      <w:r>
        <w:rPr>
          <w:i/>
          <w:iCs/>
          <w:sz w:val="20"/>
          <w:szCs w:val="20"/>
        </w:rPr>
        <w:t>Obecenstvo bylo uzna</w:t>
      </w:r>
      <w:r>
        <w:rPr>
          <w:i/>
          <w:iCs/>
          <w:sz w:val="20"/>
          <w:szCs w:val="20"/>
        </w:rPr>
        <w:t>lé a nešetřilo potleskem. Obzíravý. Viz: Kritik.</w:t>
      </w:r>
    </w:p>
    <w:p w:rsidR="00500724" w:rsidRDefault="00F30FB8">
      <w:pPr>
        <w:pStyle w:val="Zkladntext1"/>
        <w:shd w:val="clear" w:color="auto" w:fill="auto"/>
        <w:spacing w:line="194" w:lineRule="auto"/>
        <w:ind w:firstLine="0"/>
        <w:jc w:val="left"/>
        <w:rPr>
          <w:sz w:val="20"/>
          <w:szCs w:val="20"/>
        </w:rPr>
      </w:pPr>
      <w:r>
        <w:rPr>
          <w:i/>
          <w:iCs/>
          <w:sz w:val="20"/>
          <w:szCs w:val="20"/>
        </w:rPr>
        <w:t>Ob ět mírové myšlence musí přinést malý národ. Obžalovaný ve shodě s vyšetřenými okolnostmi do</w:t>
      </w:r>
      <w:r>
        <w:rPr>
          <w:i/>
          <w:iCs/>
          <w:sz w:val="20"/>
          <w:szCs w:val="20"/>
        </w:rPr>
        <w:softHyphen/>
      </w:r>
    </w:p>
    <w:p w:rsidR="00500724" w:rsidRDefault="00F30FB8">
      <w:pPr>
        <w:pStyle w:val="Zkladntext1"/>
        <w:shd w:val="clear" w:color="auto" w:fill="auto"/>
        <w:spacing w:line="194" w:lineRule="auto"/>
        <w:ind w:left="280" w:firstLine="20"/>
        <w:jc w:val="left"/>
        <w:rPr>
          <w:sz w:val="20"/>
          <w:szCs w:val="20"/>
        </w:rPr>
      </w:pPr>
      <w:r>
        <w:rPr>
          <w:i/>
          <w:iCs/>
          <w:sz w:val="20"/>
          <w:szCs w:val="20"/>
        </w:rPr>
        <w:t>znává a proto je naň právem žalováno.</w:t>
      </w:r>
    </w:p>
    <w:p w:rsidR="00500724" w:rsidRDefault="00F30FB8">
      <w:pPr>
        <w:pStyle w:val="Zkladntext1"/>
        <w:shd w:val="clear" w:color="auto" w:fill="auto"/>
        <w:spacing w:line="194" w:lineRule="auto"/>
        <w:ind w:firstLine="0"/>
        <w:jc w:val="left"/>
        <w:rPr>
          <w:sz w:val="20"/>
          <w:szCs w:val="20"/>
        </w:rPr>
      </w:pPr>
      <w:r>
        <w:rPr>
          <w:i/>
          <w:iCs/>
          <w:sz w:val="20"/>
          <w:szCs w:val="20"/>
        </w:rPr>
        <w:t>Oddaný je personál.</w:t>
      </w:r>
    </w:p>
    <w:p w:rsidR="00500724" w:rsidRDefault="00F30FB8">
      <w:pPr>
        <w:pStyle w:val="Zkladntext1"/>
        <w:shd w:val="clear" w:color="auto" w:fill="auto"/>
        <w:spacing w:line="194" w:lineRule="auto"/>
        <w:ind w:firstLine="0"/>
        <w:jc w:val="left"/>
        <w:rPr>
          <w:sz w:val="20"/>
          <w:szCs w:val="20"/>
        </w:rPr>
      </w:pPr>
      <w:r>
        <w:rPr>
          <w:i/>
          <w:iCs/>
          <w:sz w:val="20"/>
          <w:szCs w:val="20"/>
        </w:rPr>
        <w:t>Odchází na vlastní žádost.</w:t>
      </w:r>
    </w:p>
    <w:p w:rsidR="00500724" w:rsidRDefault="00F30FB8">
      <w:pPr>
        <w:pStyle w:val="Zkladntext1"/>
        <w:shd w:val="clear" w:color="auto" w:fill="auto"/>
        <w:spacing w:after="60" w:line="194" w:lineRule="auto"/>
        <w:ind w:firstLine="0"/>
        <w:jc w:val="left"/>
        <w:rPr>
          <w:sz w:val="20"/>
          <w:szCs w:val="20"/>
        </w:rPr>
      </w:pPr>
      <w:r>
        <w:rPr>
          <w:i/>
          <w:iCs/>
          <w:sz w:val="20"/>
          <w:szCs w:val="20"/>
        </w:rPr>
        <w:t xml:space="preserve">O duš e v n ěl á je </w:t>
      </w:r>
      <w:r>
        <w:rPr>
          <w:i/>
          <w:iCs/>
          <w:sz w:val="20"/>
          <w:szCs w:val="20"/>
        </w:rPr>
        <w:t>zklamaná životem a herecký výkon. Opereta. Viz: Toilety.</w:t>
      </w:r>
    </w:p>
    <w:p w:rsidR="00500724" w:rsidRDefault="00F30FB8">
      <w:pPr>
        <w:pStyle w:val="Zkladntext1"/>
        <w:shd w:val="clear" w:color="auto" w:fill="auto"/>
        <w:spacing w:line="202" w:lineRule="auto"/>
        <w:ind w:left="280" w:firstLine="20"/>
        <w:jc w:val="left"/>
        <w:rPr>
          <w:sz w:val="20"/>
          <w:szCs w:val="20"/>
        </w:rPr>
      </w:pPr>
      <w:r>
        <w:rPr>
          <w:i/>
          <w:iCs/>
          <w:sz w:val="20"/>
          <w:szCs w:val="20"/>
        </w:rPr>
        <w:t>P</w:t>
      </w:r>
    </w:p>
    <w:p w:rsidR="00500724" w:rsidRDefault="00F30FB8">
      <w:pPr>
        <w:pStyle w:val="Zkladntext1"/>
        <w:shd w:val="clear" w:color="auto" w:fill="auto"/>
        <w:spacing w:line="202" w:lineRule="auto"/>
        <w:ind w:firstLine="0"/>
        <w:jc w:val="left"/>
        <w:rPr>
          <w:sz w:val="20"/>
          <w:szCs w:val="20"/>
        </w:rPr>
      </w:pPr>
      <w:r>
        <w:rPr>
          <w:i/>
          <w:iCs/>
          <w:sz w:val="20"/>
          <w:szCs w:val="20"/>
        </w:rPr>
        <w:t>Perlivý je mok a dívčí smích.</w:t>
      </w:r>
    </w:p>
    <w:p w:rsidR="00500724" w:rsidRDefault="00F30FB8">
      <w:pPr>
        <w:pStyle w:val="Zkladntext1"/>
        <w:shd w:val="clear" w:color="auto" w:fill="auto"/>
        <w:spacing w:line="202" w:lineRule="auto"/>
        <w:ind w:firstLine="0"/>
        <w:jc w:val="left"/>
        <w:rPr>
          <w:sz w:val="20"/>
          <w:szCs w:val="20"/>
        </w:rPr>
      </w:pPr>
      <w:r>
        <w:rPr>
          <w:i/>
          <w:iCs/>
          <w:sz w:val="20"/>
          <w:szCs w:val="20"/>
        </w:rPr>
        <w:t>Podobenka se vymění nebo vrátí.</w:t>
      </w:r>
    </w:p>
    <w:p w:rsidR="00500724" w:rsidRDefault="00F30FB8">
      <w:pPr>
        <w:pStyle w:val="Zkladntext1"/>
        <w:shd w:val="clear" w:color="auto" w:fill="auto"/>
        <w:spacing w:line="202" w:lineRule="auto"/>
        <w:ind w:firstLine="0"/>
        <w:jc w:val="left"/>
        <w:rPr>
          <w:sz w:val="20"/>
          <w:szCs w:val="20"/>
        </w:rPr>
      </w:pPr>
      <w:r>
        <w:rPr>
          <w:i/>
          <w:iCs/>
          <w:sz w:val="20"/>
          <w:szCs w:val="20"/>
        </w:rPr>
        <w:t>P ovál-ečná je poživačnost.</w:t>
      </w:r>
    </w:p>
    <w:p w:rsidR="00500724" w:rsidRDefault="00F30FB8">
      <w:pPr>
        <w:pStyle w:val="Zkladntext1"/>
        <w:shd w:val="clear" w:color="auto" w:fill="auto"/>
        <w:spacing w:line="202" w:lineRule="auto"/>
        <w:ind w:firstLine="0"/>
        <w:jc w:val="left"/>
        <w:rPr>
          <w:sz w:val="20"/>
          <w:szCs w:val="20"/>
        </w:rPr>
      </w:pPr>
      <w:r>
        <w:rPr>
          <w:i/>
          <w:iCs/>
          <w:sz w:val="20"/>
          <w:szCs w:val="20"/>
        </w:rPr>
        <w:t>Pohár. Viz: Vypil.</w:t>
      </w:r>
    </w:p>
    <w:p w:rsidR="00500724" w:rsidRDefault="00F30FB8">
      <w:pPr>
        <w:pStyle w:val="Zkladntext1"/>
        <w:shd w:val="clear" w:color="auto" w:fill="auto"/>
        <w:spacing w:line="202" w:lineRule="auto"/>
        <w:ind w:firstLine="0"/>
        <w:jc w:val="left"/>
        <w:rPr>
          <w:sz w:val="20"/>
          <w:szCs w:val="20"/>
        </w:rPr>
      </w:pPr>
      <w:r>
        <w:rPr>
          <w:i/>
          <w:iCs/>
          <w:sz w:val="20"/>
          <w:szCs w:val="20"/>
        </w:rPr>
        <w:t>Postoj nesmlouvavý zaujímá kritik.</w:t>
      </w:r>
    </w:p>
    <w:p w:rsidR="00500724" w:rsidRDefault="00F30FB8">
      <w:pPr>
        <w:pStyle w:val="Zkladntext1"/>
        <w:shd w:val="clear" w:color="auto" w:fill="auto"/>
        <w:spacing w:line="202" w:lineRule="auto"/>
        <w:ind w:firstLine="0"/>
        <w:jc w:val="left"/>
        <w:rPr>
          <w:sz w:val="20"/>
          <w:szCs w:val="20"/>
        </w:rPr>
      </w:pPr>
      <w:r>
        <w:rPr>
          <w:i/>
          <w:iCs/>
          <w:sz w:val="20"/>
          <w:szCs w:val="20"/>
        </w:rPr>
        <w:t>Poutavá je četba do vlaku.</w:t>
      </w:r>
    </w:p>
    <w:p w:rsidR="00500724" w:rsidRDefault="00F30FB8">
      <w:pPr>
        <w:pStyle w:val="Zkladntext1"/>
        <w:shd w:val="clear" w:color="auto" w:fill="auto"/>
        <w:spacing w:line="202" w:lineRule="auto"/>
        <w:ind w:firstLine="0"/>
        <w:jc w:val="left"/>
        <w:rPr>
          <w:sz w:val="20"/>
          <w:szCs w:val="20"/>
        </w:rPr>
      </w:pPr>
      <w:r>
        <w:rPr>
          <w:i/>
          <w:iCs/>
          <w:sz w:val="20"/>
          <w:szCs w:val="20"/>
        </w:rPr>
        <w:t>Pasivní je provoz.</w:t>
      </w:r>
    </w:p>
    <w:p w:rsidR="00500724" w:rsidRDefault="00F30FB8">
      <w:pPr>
        <w:pStyle w:val="Zkladntext1"/>
        <w:shd w:val="clear" w:color="auto" w:fill="auto"/>
        <w:spacing w:line="202" w:lineRule="auto"/>
        <w:ind w:firstLine="0"/>
        <w:jc w:val="left"/>
        <w:rPr>
          <w:sz w:val="20"/>
          <w:szCs w:val="20"/>
        </w:rPr>
      </w:pPr>
      <w:r>
        <w:rPr>
          <w:i/>
          <w:iCs/>
          <w:sz w:val="20"/>
          <w:szCs w:val="20"/>
        </w:rPr>
        <w:t>Prvotina je příslib.</w:t>
      </w:r>
    </w:p>
    <w:p w:rsidR="00500724" w:rsidRDefault="00F30FB8">
      <w:pPr>
        <w:pStyle w:val="Zkladntext1"/>
        <w:shd w:val="clear" w:color="auto" w:fill="auto"/>
        <w:spacing w:line="202" w:lineRule="auto"/>
        <w:ind w:firstLine="0"/>
        <w:jc w:val="left"/>
        <w:rPr>
          <w:sz w:val="20"/>
          <w:szCs w:val="20"/>
        </w:rPr>
      </w:pPr>
      <w:r>
        <w:rPr>
          <w:i/>
          <w:iCs/>
          <w:sz w:val="20"/>
          <w:szCs w:val="20"/>
        </w:rPr>
        <w:t>Publikace je cenná.</w:t>
      </w:r>
    </w:p>
    <w:p w:rsidR="00500724" w:rsidRDefault="00F30FB8">
      <w:pPr>
        <w:pStyle w:val="Zkladntext1"/>
        <w:shd w:val="clear" w:color="auto" w:fill="auto"/>
        <w:spacing w:line="202" w:lineRule="auto"/>
        <w:ind w:firstLine="0"/>
        <w:jc w:val="left"/>
        <w:rPr>
          <w:sz w:val="20"/>
          <w:szCs w:val="20"/>
        </w:rPr>
      </w:pPr>
      <w:r>
        <w:rPr>
          <w:i/>
          <w:iCs/>
          <w:sz w:val="20"/>
          <w:szCs w:val="20"/>
        </w:rPr>
        <w:t>Propálil se až k dřeni svého jáství.</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Předseda je zasloužilý. Předseda vyzval přítomné, aby povstáním uctili zesnulé členy správní rady.</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Přínos. Viz: Cenný.</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Přednes. Viz: Procítěný.</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 xml:space="preserve">Příslovečná smůla lepila se našim </w:t>
      </w:r>
      <w:r>
        <w:rPr>
          <w:i/>
          <w:iCs/>
          <w:sz w:val="20"/>
          <w:szCs w:val="20"/>
        </w:rPr>
        <w:t>borcům na paty.</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P. t. je konsument.</w:t>
      </w:r>
    </w:p>
    <w:p w:rsidR="00500724" w:rsidRDefault="00F30FB8">
      <w:pPr>
        <w:pStyle w:val="Zkladntext30"/>
        <w:shd w:val="clear" w:color="auto" w:fill="auto"/>
        <w:spacing w:after="0" w:line="206" w:lineRule="auto"/>
        <w:ind w:firstLine="280"/>
        <w:rPr>
          <w:sz w:val="20"/>
          <w:szCs w:val="20"/>
        </w:rPr>
      </w:pPr>
      <w:r>
        <w:rPr>
          <w:i/>
          <w:iCs/>
          <w:sz w:val="20"/>
          <w:szCs w:val="20"/>
        </w:rPr>
        <w:t>R</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Románek lásky je tklivý.</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Rur alismus opěvá rodnou líchu.</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Rušný je děj.</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Roztomilé kotě!, zvolal starý seladon.</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Rozhlas vysílá dechovou hudbu.</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Račte šat uvnitř upraviti.</w:t>
      </w:r>
    </w:p>
    <w:p w:rsidR="00500724" w:rsidRDefault="00F30FB8">
      <w:pPr>
        <w:pStyle w:val="Zkladntext30"/>
        <w:shd w:val="clear" w:color="auto" w:fill="auto"/>
        <w:spacing w:after="0" w:line="206" w:lineRule="auto"/>
        <w:ind w:firstLine="280"/>
        <w:rPr>
          <w:sz w:val="20"/>
          <w:szCs w:val="20"/>
        </w:rPr>
      </w:pPr>
      <w:r>
        <w:rPr>
          <w:i/>
          <w:iCs/>
          <w:sz w:val="20"/>
          <w:szCs w:val="20"/>
        </w:rPr>
        <w:t>Ř</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Řádění opilcovo a rozpoutaných živlů.</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 xml:space="preserve">Řešení je </w:t>
      </w:r>
      <w:r>
        <w:rPr>
          <w:i/>
          <w:iCs/>
          <w:sz w:val="20"/>
          <w:szCs w:val="20"/>
        </w:rPr>
        <w:t>neuspokojivé.</w:t>
      </w:r>
    </w:p>
    <w:p w:rsidR="00500724" w:rsidRDefault="00F30FB8">
      <w:pPr>
        <w:pStyle w:val="Zkladntext30"/>
        <w:shd w:val="clear" w:color="auto" w:fill="auto"/>
        <w:spacing w:after="0" w:line="202" w:lineRule="auto"/>
        <w:ind w:firstLine="280"/>
        <w:rPr>
          <w:sz w:val="20"/>
          <w:szCs w:val="20"/>
        </w:rPr>
      </w:pPr>
      <w:r>
        <w:rPr>
          <w:i/>
          <w:iCs/>
          <w:sz w:val="20"/>
          <w:szCs w:val="20"/>
        </w:rPr>
        <w:t>S</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Soukromnice byla při přecházení ulice zachycena pravým blatníkem.</w:t>
      </w:r>
    </w:p>
    <w:p w:rsidR="00500724" w:rsidRDefault="00F30FB8">
      <w:pPr>
        <w:pStyle w:val="Zkladntext30"/>
        <w:shd w:val="clear" w:color="auto" w:fill="auto"/>
        <w:spacing w:after="0" w:line="202" w:lineRule="auto"/>
        <w:ind w:firstLine="0"/>
        <w:jc w:val="left"/>
        <w:rPr>
          <w:sz w:val="20"/>
          <w:szCs w:val="20"/>
        </w:rPr>
      </w:pPr>
      <w:r>
        <w:rPr>
          <w:i/>
          <w:iCs/>
          <w:sz w:val="20"/>
          <w:szCs w:val="20"/>
        </w:rPr>
        <w:t>Spisovatel neuspěl. Viz: Práv, Architektonicky. Styky se vybudují a prohlubují.</w:t>
      </w:r>
    </w:p>
    <w:p w:rsidR="00500724" w:rsidRDefault="00F30FB8">
      <w:pPr>
        <w:pStyle w:val="Zkladntext30"/>
        <w:shd w:val="clear" w:color="auto" w:fill="auto"/>
        <w:spacing w:after="0" w:line="202" w:lineRule="auto"/>
        <w:ind w:left="260" w:hanging="260"/>
        <w:jc w:val="left"/>
        <w:rPr>
          <w:sz w:val="20"/>
          <w:szCs w:val="20"/>
        </w:rPr>
      </w:pPr>
      <w:r>
        <w:rPr>
          <w:i/>
          <w:iCs/>
          <w:sz w:val="20"/>
          <w:szCs w:val="20"/>
        </w:rPr>
        <w:t xml:space="preserve">Svěží je </w:t>
      </w:r>
      <w:r>
        <w:rPr>
          <w:i/>
          <w:iCs/>
          <w:sz w:val="20"/>
          <w:szCs w:val="20"/>
          <w:lang w:val="en-US" w:eastAsia="en-US" w:bidi="en-US"/>
        </w:rPr>
        <w:t>jubilant.</w:t>
      </w:r>
    </w:p>
    <w:p w:rsidR="00500724" w:rsidRDefault="00F30FB8">
      <w:pPr>
        <w:pStyle w:val="Zkladntext30"/>
        <w:shd w:val="clear" w:color="auto" w:fill="auto"/>
        <w:spacing w:after="0" w:line="206" w:lineRule="auto"/>
        <w:ind w:firstLine="280"/>
        <w:rPr>
          <w:sz w:val="20"/>
          <w:szCs w:val="20"/>
        </w:rPr>
      </w:pPr>
      <w:r>
        <w:rPr>
          <w:i/>
          <w:iCs/>
          <w:sz w:val="20"/>
          <w:szCs w:val="20"/>
        </w:rPr>
        <w:t>T</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Teple lidskými postavami zabydlil svůj román.</w:t>
      </w:r>
    </w:p>
    <w:p w:rsidR="00500724" w:rsidRDefault="00F30FB8">
      <w:pPr>
        <w:pStyle w:val="Zkladntext30"/>
        <w:shd w:val="clear" w:color="auto" w:fill="auto"/>
        <w:spacing w:after="0" w:line="206" w:lineRule="auto"/>
        <w:ind w:firstLine="0"/>
        <w:jc w:val="left"/>
        <w:rPr>
          <w:sz w:val="20"/>
          <w:szCs w:val="20"/>
        </w:rPr>
      </w:pPr>
      <w:r>
        <w:rPr>
          <w:i/>
          <w:iCs/>
          <w:sz w:val="20"/>
          <w:szCs w:val="20"/>
        </w:rPr>
        <w:t xml:space="preserve">Ted se chodí domů, starý </w:t>
      </w:r>
      <w:r>
        <w:rPr>
          <w:i/>
          <w:iCs/>
          <w:sz w:val="20"/>
          <w:szCs w:val="20"/>
        </w:rPr>
        <w:t>ochlasto? Viz: Humor český. Toilety dodala firma Hana Podolská. Viz: Opereta.</w:t>
      </w:r>
    </w:p>
    <w:p w:rsidR="00500724" w:rsidRDefault="00F30FB8">
      <w:pPr>
        <w:pStyle w:val="Zkladntext30"/>
        <w:shd w:val="clear" w:color="auto" w:fill="auto"/>
        <w:spacing w:after="0" w:line="206" w:lineRule="auto"/>
        <w:ind w:firstLine="280"/>
        <w:rPr>
          <w:sz w:val="20"/>
          <w:szCs w:val="20"/>
        </w:rPr>
      </w:pPr>
      <w:r>
        <w:rPr>
          <w:i/>
          <w:iCs/>
          <w:sz w:val="20"/>
          <w:szCs w:val="20"/>
        </w:rPr>
        <w:t>V</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Vláda vyslovila politování. Viz: Incident.</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Vdovec s jedním dítkem vítán.</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Vdova s menší tělesnou vadou.</w:t>
      </w:r>
    </w:p>
    <w:p w:rsidR="00500724" w:rsidRDefault="00F30FB8">
      <w:pPr>
        <w:pStyle w:val="Zkladntext30"/>
        <w:shd w:val="clear" w:color="auto" w:fill="auto"/>
        <w:spacing w:after="0" w:line="199" w:lineRule="auto"/>
        <w:ind w:left="260" w:hanging="260"/>
        <w:jc w:val="left"/>
        <w:rPr>
          <w:sz w:val="20"/>
          <w:szCs w:val="20"/>
        </w:rPr>
      </w:pPr>
      <w:r>
        <w:rPr>
          <w:i/>
          <w:iCs/>
          <w:sz w:val="20"/>
          <w:szCs w:val="20"/>
        </w:rPr>
        <w:t>Věno je přiměřené.</w:t>
      </w:r>
    </w:p>
    <w:p w:rsidR="00500724" w:rsidRDefault="00F30FB8">
      <w:pPr>
        <w:pStyle w:val="Zkladntext30"/>
        <w:shd w:val="clear" w:color="auto" w:fill="auto"/>
        <w:spacing w:after="0" w:line="180" w:lineRule="auto"/>
        <w:ind w:left="260" w:hanging="260"/>
        <w:jc w:val="left"/>
        <w:rPr>
          <w:sz w:val="20"/>
          <w:szCs w:val="20"/>
        </w:rPr>
      </w:pPr>
      <w:r>
        <w:rPr>
          <w:i/>
          <w:iCs/>
          <w:sz w:val="20"/>
          <w:szCs w:val="20"/>
        </w:rPr>
        <w:t>Vazba je skvostná.</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Výrazný je profil.</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 xml:space="preserve">V y pil pohár </w:t>
      </w:r>
      <w:r>
        <w:rPr>
          <w:i/>
          <w:iCs/>
          <w:sz w:val="20"/>
          <w:szCs w:val="20"/>
        </w:rPr>
        <w:t>rozkoše až do dna.</w:t>
      </w:r>
    </w:p>
    <w:p w:rsidR="00500724" w:rsidRDefault="00F30FB8">
      <w:pPr>
        <w:pStyle w:val="Zkladntext30"/>
        <w:shd w:val="clear" w:color="auto" w:fill="auto"/>
        <w:spacing w:after="0" w:line="206" w:lineRule="auto"/>
        <w:ind w:firstLine="280"/>
        <w:rPr>
          <w:sz w:val="20"/>
          <w:szCs w:val="20"/>
        </w:rPr>
      </w:pPr>
      <w:r>
        <w:rPr>
          <w:i/>
          <w:iCs/>
          <w:sz w:val="20"/>
          <w:szCs w:val="20"/>
        </w:rPr>
        <w:t>Z</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Zachránění míru. Viz: Z cizího.</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Z cizího krev neteče. Viz: Zachránění.</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Zasvěcená místa zachovávají naprosté mlčení. Viz: Jak se nám oznamuje a Dlužno vyčkati.</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Zabydlil. Viz: Román, Teple-, Postavičky.</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Záměrné je řešení.</w:t>
      </w:r>
    </w:p>
    <w:p w:rsidR="00500724" w:rsidRDefault="00F30FB8">
      <w:pPr>
        <w:pStyle w:val="Zkladntext30"/>
        <w:shd w:val="clear" w:color="auto" w:fill="auto"/>
        <w:spacing w:after="0" w:line="206" w:lineRule="auto"/>
        <w:ind w:left="260" w:hanging="260"/>
        <w:jc w:val="left"/>
        <w:rPr>
          <w:sz w:val="20"/>
          <w:szCs w:val="20"/>
        </w:rPr>
      </w:pPr>
      <w:r>
        <w:rPr>
          <w:i/>
          <w:iCs/>
          <w:sz w:val="20"/>
          <w:szCs w:val="20"/>
        </w:rPr>
        <w:t xml:space="preserve">Zvládl. Viz: </w:t>
      </w:r>
      <w:r>
        <w:rPr>
          <w:i/>
          <w:iCs/>
          <w:sz w:val="20"/>
          <w:szCs w:val="20"/>
        </w:rPr>
        <w:t>Nezvládl svůj úkol.</w:t>
      </w:r>
    </w:p>
    <w:p w:rsidR="00500724" w:rsidRDefault="00F30FB8">
      <w:pPr>
        <w:pStyle w:val="Zkladntext30"/>
        <w:shd w:val="clear" w:color="auto" w:fill="auto"/>
        <w:spacing w:after="0" w:line="206" w:lineRule="auto"/>
        <w:ind w:firstLine="280"/>
        <w:rPr>
          <w:sz w:val="20"/>
          <w:szCs w:val="20"/>
        </w:rPr>
      </w:pPr>
      <w:r>
        <w:rPr>
          <w:i/>
          <w:iCs/>
          <w:sz w:val="20"/>
          <w:szCs w:val="20"/>
        </w:rPr>
        <w:t>Ž</w:t>
      </w:r>
    </w:p>
    <w:p w:rsidR="00500724" w:rsidRDefault="00F30FB8">
      <w:pPr>
        <w:pStyle w:val="Zkladntext30"/>
        <w:shd w:val="clear" w:color="auto" w:fill="auto"/>
        <w:spacing w:after="280" w:line="206" w:lineRule="auto"/>
        <w:ind w:left="260" w:hanging="260"/>
        <w:jc w:val="left"/>
        <w:rPr>
          <w:sz w:val="20"/>
          <w:szCs w:val="20"/>
        </w:rPr>
      </w:pPr>
      <w:r>
        <w:rPr>
          <w:i/>
          <w:iCs/>
          <w:sz w:val="20"/>
          <w:szCs w:val="20"/>
        </w:rPr>
        <w:t>Žádosti se nevyhovuje. Viz: Nechte.</w:t>
      </w:r>
    </w:p>
    <w:p w:rsidR="00500724" w:rsidRDefault="00F30FB8">
      <w:pPr>
        <w:pStyle w:val="Jin0"/>
        <w:pBdr>
          <w:bottom w:val="single" w:sz="4" w:space="0" w:color="auto"/>
        </w:pBdr>
        <w:shd w:val="clear" w:color="auto" w:fill="auto"/>
        <w:spacing w:after="220"/>
        <w:ind w:firstLine="0"/>
        <w:jc w:val="left"/>
        <w:rPr>
          <w:sz w:val="44"/>
          <w:szCs w:val="44"/>
        </w:rPr>
      </w:pPr>
      <w:r>
        <w:rPr>
          <w:b/>
          <w:bCs/>
          <w:sz w:val="44"/>
          <w:szCs w:val="44"/>
        </w:rPr>
        <w:t>dopisy</w:t>
      </w:r>
    </w:p>
    <w:p w:rsidR="00500724" w:rsidRDefault="00F30FB8">
      <w:pPr>
        <w:pStyle w:val="Zkladntext1"/>
        <w:shd w:val="clear" w:color="auto" w:fill="auto"/>
        <w:spacing w:line="190" w:lineRule="auto"/>
        <w:ind w:firstLine="0"/>
        <w:jc w:val="center"/>
      </w:pPr>
      <w:r>
        <w:rPr>
          <w:b/>
          <w:bCs/>
        </w:rPr>
        <w:t>Mladí vpřed!</w:t>
      </w:r>
    </w:p>
    <w:p w:rsidR="00500724" w:rsidRDefault="00F30FB8">
      <w:pPr>
        <w:pStyle w:val="Zkladntext1"/>
        <w:shd w:val="clear" w:color="auto" w:fill="auto"/>
        <w:spacing w:line="202" w:lineRule="auto"/>
        <w:ind w:left="1020" w:firstLine="0"/>
        <w:jc w:val="left"/>
        <w:rPr>
          <w:sz w:val="18"/>
          <w:szCs w:val="18"/>
        </w:rPr>
      </w:pPr>
      <w:r>
        <w:rPr>
          <w:sz w:val="18"/>
          <w:szCs w:val="18"/>
        </w:rPr>
        <w:t>Vážená redakce!</w:t>
      </w:r>
    </w:p>
    <w:p w:rsidR="00500724" w:rsidRDefault="00F30FB8">
      <w:pPr>
        <w:pStyle w:val="Zkladntext1"/>
        <w:shd w:val="clear" w:color="auto" w:fill="auto"/>
        <w:spacing w:line="202" w:lineRule="auto"/>
        <w:ind w:firstLine="280"/>
        <w:rPr>
          <w:sz w:val="18"/>
          <w:szCs w:val="18"/>
        </w:rPr>
      </w:pPr>
      <w:r>
        <w:rPr>
          <w:sz w:val="18"/>
          <w:szCs w:val="18"/>
        </w:rPr>
        <w:t>Mladí dostali dnes slovo, ale ozývají se jen ti, kteří buď již mluvili, anebo ti, kteří pro vlastní ješitnost chtějí se na základě udavačství vyšplhati na špičky.</w:t>
      </w:r>
      <w:r>
        <w:rPr>
          <w:sz w:val="18"/>
          <w:szCs w:val="18"/>
        </w:rPr>
        <w:t xml:space="preserve"> Patřím také mezi mladé a rád bych předložil malou skizzu, co asi ti mladí potřebují.</w:t>
      </w:r>
    </w:p>
    <w:p w:rsidR="00500724" w:rsidRDefault="00F30FB8">
      <w:pPr>
        <w:pStyle w:val="Zkladntext1"/>
        <w:shd w:val="clear" w:color="auto" w:fill="auto"/>
        <w:spacing w:line="202" w:lineRule="auto"/>
        <w:ind w:firstLine="280"/>
        <w:rPr>
          <w:sz w:val="18"/>
          <w:szCs w:val="18"/>
        </w:rPr>
      </w:pPr>
      <w:r>
        <w:rPr>
          <w:sz w:val="18"/>
          <w:szCs w:val="18"/>
        </w:rPr>
        <w:t>Národ žádá populaci a naše vláda je povinna sta- rati se, aby toto uvědomení mohlo přejiti v širší vrstvy. Pře</w:t>
      </w:r>
      <w:r>
        <w:rPr>
          <w:sz w:val="18"/>
          <w:szCs w:val="18"/>
        </w:rPr>
        <w:softHyphen/>
        <w:t xml:space="preserve">dem si musí členové naší vlády uvědomiti, že národ netvoři </w:t>
      </w:r>
      <w:r>
        <w:rPr>
          <w:sz w:val="18"/>
          <w:szCs w:val="18"/>
        </w:rPr>
        <w:t>je</w:t>
      </w:r>
      <w:r>
        <w:rPr>
          <w:sz w:val="18"/>
          <w:szCs w:val="18"/>
        </w:rPr>
        <w:softHyphen/>
        <w:t>nom páni radové a ředitelé ve státních službách a špičky sou</w:t>
      </w:r>
      <w:r>
        <w:rPr>
          <w:sz w:val="18"/>
          <w:szCs w:val="18"/>
        </w:rPr>
        <w:softHyphen/>
        <w:t>kromého podnikání, ale ti, kteři musí za 500.— až 600.— Kč měsíčně vyživovat svou rodinu, která za takových okolností trpí opravdovou podvýživou, ale na kterých je žádáno, aby po</w:t>
      </w:r>
      <w:r>
        <w:rPr>
          <w:sz w:val="18"/>
          <w:szCs w:val="18"/>
        </w:rPr>
        <w:softHyphen/>
        <w:t xml:space="preserve">pulaci brali </w:t>
      </w:r>
      <w:r>
        <w:rPr>
          <w:sz w:val="18"/>
          <w:szCs w:val="18"/>
        </w:rPr>
        <w:t>jako národní uvědomení. To tedy pro tyto rodiny je trochu mnoho, je to nad jejich dobrou snahu i nad je</w:t>
      </w:r>
      <w:r>
        <w:rPr>
          <w:sz w:val="18"/>
          <w:szCs w:val="18"/>
        </w:rPr>
        <w:softHyphen/>
        <w:t>jich síly.</w:t>
      </w:r>
    </w:p>
    <w:p w:rsidR="00500724" w:rsidRDefault="00F30FB8">
      <w:pPr>
        <w:pStyle w:val="Zkladntext1"/>
        <w:shd w:val="clear" w:color="auto" w:fill="auto"/>
        <w:spacing w:line="206" w:lineRule="auto"/>
        <w:ind w:firstLine="280"/>
        <w:rPr>
          <w:sz w:val="18"/>
          <w:szCs w:val="18"/>
        </w:rPr>
      </w:pPr>
      <w:r>
        <w:rPr>
          <w:sz w:val="18"/>
          <w:szCs w:val="18"/>
        </w:rPr>
        <w:t>Proto od těchto tisíců by bylo třeba právě začíti. Tyto ti</w:t>
      </w:r>
      <w:r>
        <w:rPr>
          <w:sz w:val="18"/>
          <w:szCs w:val="18"/>
        </w:rPr>
        <w:softHyphen/>
        <w:t>síce drobných lidí odnášely si domů jenom srážky, které na ně doléhají jako nejpří</w:t>
      </w:r>
      <w:r>
        <w:rPr>
          <w:sz w:val="18"/>
          <w:szCs w:val="18"/>
        </w:rPr>
        <w:t>šernější nepřítel jejich života.</w:t>
      </w:r>
    </w:p>
    <w:p w:rsidR="00500724" w:rsidRDefault="00F30FB8">
      <w:pPr>
        <w:pStyle w:val="Zkladntext1"/>
        <w:shd w:val="clear" w:color="auto" w:fill="auto"/>
        <w:spacing w:line="206" w:lineRule="auto"/>
        <w:ind w:firstLine="280"/>
        <w:rPr>
          <w:sz w:val="18"/>
          <w:szCs w:val="18"/>
        </w:rPr>
      </w:pPr>
      <w:r>
        <w:rPr>
          <w:sz w:val="18"/>
          <w:szCs w:val="18"/>
        </w:rPr>
        <w:t>Dobře — těch 500.—- až 600.— Kč může stačiti začáteční</w:t>
      </w:r>
      <w:r>
        <w:rPr>
          <w:sz w:val="18"/>
          <w:szCs w:val="18"/>
        </w:rPr>
        <w:softHyphen/>
        <w:t xml:space="preserve">kům (svobodným </w:t>
      </w:r>
      <w:r>
        <w:rPr>
          <w:b/>
          <w:bCs/>
        </w:rPr>
        <w:t xml:space="preserve">a </w:t>
      </w:r>
      <w:r>
        <w:rPr>
          <w:sz w:val="18"/>
          <w:szCs w:val="18"/>
        </w:rPr>
        <w:t xml:space="preserve">mladým), ale nestačí tomu, kdo je ženat a na základě svých příjmů je povinen svou rodinu zajišťovat. Bereme si příklady od svých sousedů, vezměme si i </w:t>
      </w:r>
      <w:r>
        <w:rPr>
          <w:sz w:val="18"/>
          <w:szCs w:val="18"/>
        </w:rPr>
        <w:t>takový, který se osvědčil, který prospívá a který se může docela dobře provést.</w:t>
      </w:r>
    </w:p>
    <w:p w:rsidR="00500724" w:rsidRDefault="00F30FB8">
      <w:pPr>
        <w:pStyle w:val="Zkladntext1"/>
        <w:shd w:val="clear" w:color="auto" w:fill="auto"/>
        <w:tabs>
          <w:tab w:val="left" w:pos="3845"/>
        </w:tabs>
        <w:spacing w:after="220" w:line="206" w:lineRule="auto"/>
        <w:ind w:firstLine="280"/>
        <w:rPr>
          <w:sz w:val="20"/>
          <w:szCs w:val="20"/>
        </w:rPr>
      </w:pPr>
      <w:r>
        <w:rPr>
          <w:sz w:val="18"/>
          <w:szCs w:val="18"/>
        </w:rPr>
        <w:t>Upravte platy ženatých (ovšem těchto posledních v žebříč</w:t>
      </w:r>
      <w:r>
        <w:rPr>
          <w:sz w:val="18"/>
          <w:szCs w:val="18"/>
        </w:rPr>
        <w:softHyphen/>
        <w:t xml:space="preserve">ku) na rozdíl od platů svobodných zaměstnanců. Bude to spravedlivé, bude to účelné </w:t>
      </w:r>
      <w:r>
        <w:rPr>
          <w:b/>
          <w:bCs/>
        </w:rPr>
        <w:t xml:space="preserve">a </w:t>
      </w:r>
      <w:r>
        <w:rPr>
          <w:sz w:val="18"/>
          <w:szCs w:val="18"/>
        </w:rPr>
        <w:t>bude to národu prospěšné.</w:t>
      </w:r>
      <w:r>
        <w:rPr>
          <w:sz w:val="18"/>
          <w:szCs w:val="18"/>
        </w:rPr>
        <w:tab/>
      </w:r>
      <w:r>
        <w:rPr>
          <w:i/>
          <w:iCs/>
          <w:sz w:val="20"/>
          <w:szCs w:val="20"/>
        </w:rPr>
        <w:t>Ladislav</w:t>
      </w:r>
      <w:r>
        <w:rPr>
          <w:i/>
          <w:iCs/>
          <w:sz w:val="20"/>
          <w:szCs w:val="20"/>
        </w:rPr>
        <w:t xml:space="preserve"> Křiž</w:t>
      </w:r>
    </w:p>
    <w:p w:rsidR="00500724" w:rsidRDefault="00F30FB8">
      <w:pPr>
        <w:pStyle w:val="Zkladntext1"/>
        <w:shd w:val="clear" w:color="auto" w:fill="auto"/>
        <w:spacing w:after="80" w:line="204" w:lineRule="auto"/>
        <w:ind w:left="1040" w:firstLine="0"/>
        <w:jc w:val="left"/>
        <w:rPr>
          <w:sz w:val="18"/>
          <w:szCs w:val="18"/>
        </w:rPr>
      </w:pPr>
      <w:r>
        <w:rPr>
          <w:sz w:val="18"/>
          <w:szCs w:val="18"/>
        </w:rPr>
        <w:t>Paní Jesenská!</w:t>
      </w:r>
    </w:p>
    <w:p w:rsidR="00500724" w:rsidRDefault="00F30FB8">
      <w:pPr>
        <w:pStyle w:val="Zkladntext1"/>
        <w:shd w:val="clear" w:color="auto" w:fill="auto"/>
        <w:spacing w:line="204" w:lineRule="auto"/>
        <w:ind w:firstLine="280"/>
        <w:rPr>
          <w:sz w:val="18"/>
          <w:szCs w:val="18"/>
        </w:rPr>
      </w:pPr>
      <w:r>
        <w:rPr>
          <w:sz w:val="18"/>
          <w:szCs w:val="18"/>
        </w:rPr>
        <w:t xml:space="preserve">O té přesloužilosti v tom smyslu, jak se ptáte, nemůže býti ani řeči. Přesloužilý umělec! Jaké absurdní slovo! Zdá se, že jste špatně chápala ten výkřik »uvolněte místa mladým*, dnes tak živě aktuální, i názor mladých na výkon a práci </w:t>
      </w:r>
      <w:r>
        <w:rPr>
          <w:sz w:val="18"/>
          <w:szCs w:val="18"/>
        </w:rPr>
        <w:t>jejich předchůdců. Pravím: není tomu tak. Vážíme si jich i ctíme je, avšak nemlčíme a nebudeme mlčet. Ptáme se jen, proč se uza</w:t>
      </w:r>
      <w:r>
        <w:rPr>
          <w:sz w:val="18"/>
          <w:szCs w:val="18"/>
        </w:rPr>
        <w:softHyphen/>
        <w:t xml:space="preserve">vírají ti naši mistři slova do té tvrdé ulity osobní osamělosti, proč se straní naší bouřlivé otevřenosti a ctižádosti státi se </w:t>
      </w:r>
      <w:r>
        <w:rPr>
          <w:sz w:val="18"/>
          <w:szCs w:val="18"/>
        </w:rPr>
        <w:t>či býti někým a něčím?</w:t>
      </w:r>
    </w:p>
    <w:p w:rsidR="00500724" w:rsidRDefault="00F30FB8">
      <w:pPr>
        <w:pStyle w:val="Zkladntext1"/>
        <w:shd w:val="clear" w:color="auto" w:fill="auto"/>
        <w:spacing w:line="204" w:lineRule="auto"/>
        <w:ind w:firstLine="280"/>
        <w:rPr>
          <w:sz w:val="18"/>
          <w:szCs w:val="18"/>
        </w:rPr>
      </w:pPr>
      <w:r>
        <w:rPr>
          <w:sz w:val="18"/>
          <w:szCs w:val="18"/>
        </w:rPr>
        <w:t>Porozumějte nám, a prosim též za všechny ostatní, poraďte nám. Dokážete-li toho vy všichni, jako Nezval, Olbracht, Neu</w:t>
      </w:r>
      <w:r>
        <w:rPr>
          <w:sz w:val="18"/>
          <w:szCs w:val="18"/>
        </w:rPr>
        <w:softHyphen/>
        <w:t>mann, Hora, Seifert či Halas a vy všichni ostatní, nebude pak mezi vámi a námi mladými té oboustranně špatně chápa</w:t>
      </w:r>
      <w:r>
        <w:rPr>
          <w:sz w:val="18"/>
          <w:szCs w:val="18"/>
        </w:rPr>
        <w:t>né řevnivosti a nedůvěry.</w:t>
      </w:r>
    </w:p>
    <w:p w:rsidR="00500724" w:rsidRDefault="00F30FB8">
      <w:pPr>
        <w:pStyle w:val="Zkladntext1"/>
        <w:shd w:val="clear" w:color="auto" w:fill="auto"/>
        <w:spacing w:line="202" w:lineRule="auto"/>
        <w:ind w:firstLine="280"/>
        <w:rPr>
          <w:sz w:val="18"/>
          <w:szCs w:val="18"/>
        </w:rPr>
      </w:pPr>
      <w:r>
        <w:rPr>
          <w:sz w:val="18"/>
          <w:szCs w:val="18"/>
        </w:rPr>
        <w:t>Ptám se: proč uzavíráte k sobě cestu i přistup? Pamatuji se, jak dlouho a s bázlivou úctou čekal jsem v předpokoji pra</w:t>
      </w:r>
      <w:r>
        <w:rPr>
          <w:sz w:val="18"/>
          <w:szCs w:val="18"/>
        </w:rPr>
        <w:softHyphen/>
        <w:t xml:space="preserve">covny jednoho představitele naší krásné literatury. Tu myslím, nemá být žádný začátečník deprimován a tím méně </w:t>
      </w:r>
      <w:r>
        <w:rPr>
          <w:sz w:val="18"/>
          <w:szCs w:val="18"/>
        </w:rPr>
        <w:t>přezírán. V době let osmdesátých všichni naši vykladači krásného slova pracovali společně a hlavně cítili a jednali ve snaze prospěti probouzejícímu se národu.</w:t>
      </w:r>
    </w:p>
    <w:p w:rsidR="00500724" w:rsidRDefault="00F30FB8">
      <w:pPr>
        <w:pStyle w:val="Zkladntext1"/>
        <w:shd w:val="clear" w:color="auto" w:fill="auto"/>
        <w:spacing w:line="202" w:lineRule="auto"/>
        <w:ind w:firstLine="280"/>
        <w:rPr>
          <w:sz w:val="18"/>
          <w:szCs w:val="18"/>
        </w:rPr>
      </w:pPr>
      <w:r>
        <w:rPr>
          <w:sz w:val="18"/>
          <w:szCs w:val="18"/>
        </w:rPr>
        <w:t>To jsem chtěl naznačit. Dnes, kdy všechno toto rozštěpeno je v tolik táborů, k světlu vyzdvihují</w:t>
      </w:r>
      <w:r>
        <w:rPr>
          <w:sz w:val="18"/>
          <w:szCs w:val="18"/>
        </w:rPr>
        <w:t>cích jen ty, kteří se stali znamenanými příslušníky jejich stáda, není možno jiti tou krásnou cestou nezávislého jedince.</w:t>
      </w:r>
    </w:p>
    <w:p w:rsidR="00500724" w:rsidRDefault="00F30FB8">
      <w:pPr>
        <w:pStyle w:val="Zkladntext1"/>
        <w:shd w:val="clear" w:color="auto" w:fill="auto"/>
        <w:spacing w:line="202" w:lineRule="auto"/>
        <w:ind w:firstLine="280"/>
        <w:rPr>
          <w:sz w:val="18"/>
          <w:szCs w:val="18"/>
        </w:rPr>
      </w:pPr>
      <w:r>
        <w:rPr>
          <w:sz w:val="18"/>
          <w:szCs w:val="18"/>
        </w:rPr>
        <w:t xml:space="preserve">To jsem chtěl říci, abych i mohl odpovědět, proč povětšině my mládi mlčíme. A pak není tu ani možnost mluvit. Kde a jak a ke komu? </w:t>
      </w:r>
      <w:r>
        <w:rPr>
          <w:sz w:val="18"/>
          <w:szCs w:val="18"/>
        </w:rPr>
        <w:t>Nutnost býti stranicky zavázán tomu nedo</w:t>
      </w:r>
      <w:r>
        <w:rPr>
          <w:sz w:val="18"/>
          <w:szCs w:val="18"/>
        </w:rPr>
        <w:softHyphen/>
        <w:t>voluje. Máme tu spoustu, říkám, na naši početnost i poměry spoustu literárně-výchovných, avšak stranicky zabarvených komentářů, tedy množství kroužků, z nichž kolem každého se</w:t>
      </w:r>
      <w:r>
        <w:rPr>
          <w:sz w:val="18"/>
          <w:szCs w:val="18"/>
        </w:rPr>
        <w:softHyphen/>
        <w:t>skupeno je to něco z toho celku a navzá</w:t>
      </w:r>
      <w:r>
        <w:rPr>
          <w:sz w:val="18"/>
          <w:szCs w:val="18"/>
        </w:rPr>
        <w:t>jem pak se tepe a po</w:t>
      </w:r>
      <w:r>
        <w:rPr>
          <w:sz w:val="18"/>
          <w:szCs w:val="18"/>
        </w:rPr>
        <w:softHyphen/>
        <w:t>tírá. A to, myslíte, že nám mladým přidá chuti býti živými a hlavně pravdivými k sobě i národu?</w:t>
      </w:r>
    </w:p>
    <w:p w:rsidR="00500724" w:rsidRDefault="00F30FB8">
      <w:pPr>
        <w:pStyle w:val="Zkladntext1"/>
        <w:shd w:val="clear" w:color="auto" w:fill="auto"/>
        <w:tabs>
          <w:tab w:val="left" w:pos="4622"/>
        </w:tabs>
        <w:spacing w:after="240" w:line="204" w:lineRule="auto"/>
        <w:ind w:firstLine="280"/>
        <w:rPr>
          <w:sz w:val="18"/>
          <w:szCs w:val="18"/>
        </w:rPr>
      </w:pPr>
      <w:r>
        <w:rPr>
          <w:sz w:val="18"/>
          <w:szCs w:val="18"/>
        </w:rPr>
        <w:t>Posuďte to Vy sama, pisatelko, a přiznejte, že nám neroz</w:t>
      </w:r>
      <w:r>
        <w:rPr>
          <w:sz w:val="18"/>
          <w:szCs w:val="18"/>
        </w:rPr>
        <w:softHyphen/>
        <w:t>umíte stejně tak, jako my nerozumíme vám, kteří se uzavíráte do ulity nadlidí, boh</w:t>
      </w:r>
      <w:r>
        <w:rPr>
          <w:sz w:val="18"/>
          <w:szCs w:val="18"/>
        </w:rPr>
        <w:t>em i věkem posvěcených.</w:t>
      </w:r>
      <w:r>
        <w:rPr>
          <w:sz w:val="18"/>
          <w:szCs w:val="18"/>
        </w:rPr>
        <w:tab/>
        <w:t>Smící</w:t>
      </w:r>
    </w:p>
    <w:p w:rsidR="00500724" w:rsidRDefault="00F30FB8">
      <w:pPr>
        <w:pStyle w:val="Zkladntext1"/>
        <w:shd w:val="clear" w:color="auto" w:fill="auto"/>
        <w:spacing w:after="100" w:line="204" w:lineRule="auto"/>
        <w:ind w:left="1040" w:firstLine="0"/>
        <w:jc w:val="left"/>
        <w:rPr>
          <w:sz w:val="18"/>
          <w:szCs w:val="18"/>
        </w:rPr>
      </w:pPr>
      <w:r>
        <w:rPr>
          <w:sz w:val="18"/>
          <w:szCs w:val="18"/>
        </w:rPr>
        <w:t>Paní Mileno Jesenská!</w:t>
      </w:r>
    </w:p>
    <w:p w:rsidR="00500724" w:rsidRDefault="00F30FB8">
      <w:pPr>
        <w:pStyle w:val="Zkladntext1"/>
        <w:shd w:val="clear" w:color="auto" w:fill="auto"/>
        <w:spacing w:line="202" w:lineRule="auto"/>
        <w:ind w:firstLine="280"/>
        <w:rPr>
          <w:sz w:val="18"/>
          <w:szCs w:val="18"/>
        </w:rPr>
      </w:pPr>
      <w:r>
        <w:rPr>
          <w:sz w:val="18"/>
          <w:szCs w:val="18"/>
        </w:rPr>
        <w:t>Představuji se Vám, jako čtenář Přítomnosti, a prosim, abyste mi věnovala chvilku času, protože jsem mladý.</w:t>
      </w:r>
    </w:p>
    <w:p w:rsidR="00500724" w:rsidRDefault="00F30FB8">
      <w:pPr>
        <w:pStyle w:val="Zkladntext1"/>
        <w:shd w:val="clear" w:color="auto" w:fill="auto"/>
        <w:spacing w:line="204" w:lineRule="auto"/>
        <w:ind w:firstLine="280"/>
        <w:rPr>
          <w:sz w:val="18"/>
          <w:szCs w:val="18"/>
        </w:rPr>
      </w:pPr>
      <w:r>
        <w:rPr>
          <w:sz w:val="18"/>
          <w:szCs w:val="18"/>
        </w:rPr>
        <w:t>Pojmu »mladý« je v poslední době tak hojně užíváno, že už se skoro protiví i mladým. Heslo »Mlad</w:t>
      </w:r>
      <w:r>
        <w:rPr>
          <w:sz w:val="18"/>
          <w:szCs w:val="18"/>
        </w:rPr>
        <w:t>í vpřed« slyším na ulici, ve vlaku, na valných schůzích (hlavně, když se rozděluji funkce) a ve 4. čísle »Přitomnosti« připomínáte je i Vy, Mileno Jesenská, jejíž články rádi čteme.</w:t>
      </w:r>
    </w:p>
    <w:p w:rsidR="00500724" w:rsidRDefault="00F30FB8">
      <w:pPr>
        <w:pStyle w:val="Zkladntext1"/>
        <w:shd w:val="clear" w:color="auto" w:fill="auto"/>
        <w:spacing w:line="204" w:lineRule="auto"/>
        <w:ind w:firstLine="280"/>
        <w:rPr>
          <w:sz w:val="18"/>
          <w:szCs w:val="18"/>
        </w:rPr>
      </w:pPr>
      <w:r>
        <w:rPr>
          <w:sz w:val="18"/>
          <w:szCs w:val="18"/>
        </w:rPr>
        <w:t>Z poznámky o p. Bedřichu Fučíkovi soudím, že nás mladé pokládáte všecky za</w:t>
      </w:r>
      <w:r>
        <w:rPr>
          <w:sz w:val="18"/>
          <w:szCs w:val="18"/>
        </w:rPr>
        <w:t xml:space="preserve"> pány Fučíky, kteří by byli ochotni posílat Čapka, Nezvala a celé ty dva řádky našich padesátníků, které v » Přítomnosti* vyjmenováváte, na odpočinek. Protestuji proti tomu, abyste generalisovala. Republika má také mladé lidi, dělníky a živnostníky, učitel</w:t>
      </w:r>
      <w:r>
        <w:rPr>
          <w:sz w:val="18"/>
          <w:szCs w:val="18"/>
        </w:rPr>
        <w:t>e a profesory, kteří nikdy nebudou hledět na své vychovatele a tvůrce kultury, jako se hledí na zrezivělé železo. Chodím se jako mladý učitel radit za panem řídicím, můj přítel profesor se radí u starších kolegů, tovaryši pozorují mistra, rolníkův synek se</w:t>
      </w:r>
      <w:r>
        <w:rPr>
          <w:sz w:val="18"/>
          <w:szCs w:val="18"/>
        </w:rPr>
        <w:t xml:space="preserve"> učí orat od táty. Vážíme si jejich šedivých hlav, upracovaných rukou a necítíme potřebu vyhladit všecky nad padesát. Uvědomujeme si, že většina ná</w:t>
      </w:r>
      <w:r>
        <w:rPr>
          <w:sz w:val="18"/>
          <w:szCs w:val="18"/>
        </w:rPr>
        <w:softHyphen/>
        <w:t>padů, se kterými přijdeme do dílny, do třídy nebo přispějeme do debaty, zůstává často jenom nápadem, nepomoh</w:t>
      </w:r>
      <w:r>
        <w:rPr>
          <w:sz w:val="18"/>
          <w:szCs w:val="18"/>
        </w:rPr>
        <w:t>ou-li nám hlavy starší, zkušenější a s životní praksi.</w:t>
      </w:r>
    </w:p>
    <w:p w:rsidR="00500724" w:rsidRDefault="00F30FB8">
      <w:pPr>
        <w:pStyle w:val="Zkladntext1"/>
        <w:shd w:val="clear" w:color="auto" w:fill="auto"/>
        <w:spacing w:line="206" w:lineRule="auto"/>
        <w:ind w:firstLine="280"/>
        <w:rPr>
          <w:sz w:val="18"/>
          <w:szCs w:val="18"/>
        </w:rPr>
      </w:pPr>
      <w:r>
        <w:rPr>
          <w:sz w:val="18"/>
          <w:szCs w:val="18"/>
        </w:rPr>
        <w:t>Co znamená heslo sMládí vpřed«, je třeba řádně promyslit. Sám tomu dobře nerozumím. Nevim, do kolika let je vlastně člověk mladý a marně se ptám i ostatních. Obyčejně slyším jako odpověď ono staré mudr</w:t>
      </w:r>
      <w:r>
        <w:rPr>
          <w:sz w:val="18"/>
          <w:szCs w:val="18"/>
        </w:rPr>
        <w:t xml:space="preserve">osloví: Člověk je tak starý, jak se cítí. A tomu věřím. Věřím, že Masaryk měl sílu mladíka, ještě když jezdil křížem krážem po světě (a to už mu bylo přes šedesát) a že mu pomáhalo více </w:t>
      </w:r>
      <w:r>
        <w:rPr>
          <w:i/>
          <w:iCs/>
          <w:sz w:val="20"/>
          <w:szCs w:val="20"/>
        </w:rPr>
        <w:t>t&gt;</w:t>
      </w:r>
      <w:r>
        <w:rPr>
          <w:sz w:val="18"/>
          <w:szCs w:val="18"/>
        </w:rPr>
        <w:t>padesátiletých mladíků*.</w:t>
      </w:r>
    </w:p>
    <w:p w:rsidR="00500724" w:rsidRDefault="00F30FB8">
      <w:pPr>
        <w:pStyle w:val="Zkladntext1"/>
        <w:shd w:val="clear" w:color="auto" w:fill="auto"/>
        <w:spacing w:line="202" w:lineRule="auto"/>
        <w:ind w:firstLine="280"/>
        <w:rPr>
          <w:sz w:val="18"/>
          <w:szCs w:val="18"/>
        </w:rPr>
      </w:pPr>
      <w:r>
        <w:rPr>
          <w:sz w:val="18"/>
          <w:szCs w:val="18"/>
        </w:rPr>
        <w:t>Pokud mám možnost pozorovat, nejvíce se hes</w:t>
      </w:r>
      <w:r>
        <w:rPr>
          <w:sz w:val="18"/>
          <w:szCs w:val="18"/>
        </w:rPr>
        <w:t>la »Mladí vpřed« chytli staří. Nevadí jim na příklad, když si vážený spo</w:t>
      </w:r>
      <w:r>
        <w:rPr>
          <w:sz w:val="18"/>
          <w:szCs w:val="18"/>
        </w:rPr>
        <w:softHyphen/>
        <w:t>lek zvolí osmnáctiletou jednatelku (která má dokonce více smyslu pro vojáky než pro spolkový život), devatenáctiletého náčelníka a ostatní funkcionáře nemnoho starší. Není třeba k ved</w:t>
      </w:r>
      <w:r>
        <w:rPr>
          <w:sz w:val="18"/>
          <w:szCs w:val="18"/>
        </w:rPr>
        <w:t>ení starších, zkušenějších lidí? Já tvrdím, že ano.</w:t>
      </w:r>
    </w:p>
    <w:p w:rsidR="00500724" w:rsidRDefault="00F30FB8">
      <w:pPr>
        <w:pStyle w:val="Zkladntext1"/>
        <w:shd w:val="clear" w:color="auto" w:fill="auto"/>
        <w:spacing w:line="204" w:lineRule="auto"/>
        <w:ind w:firstLine="280"/>
        <w:rPr>
          <w:sz w:val="18"/>
          <w:szCs w:val="18"/>
        </w:rPr>
      </w:pPr>
      <w:r>
        <w:rPr>
          <w:sz w:val="18"/>
          <w:szCs w:val="18"/>
        </w:rPr>
        <w:t>Ubezpečuji Vás, paní Jesenská, že je málo mladých lidí, kteří volají »bílou nemoc* na staré. To pan Fučík v tom re- formátorském zápalu si asi jen tak prohodil. Vždyť víme, že bychom byli bez vědomostí na</w:t>
      </w:r>
      <w:r>
        <w:rPr>
          <w:sz w:val="18"/>
          <w:szCs w:val="18"/>
        </w:rPr>
        <w:t>šich učitelů a starších rádců jen nulou. O panu Fučíkovi víme zatím jen z jediného (a to ne</w:t>
      </w:r>
      <w:r>
        <w:rPr>
          <w:sz w:val="18"/>
          <w:szCs w:val="18"/>
        </w:rPr>
        <w:softHyphen/>
        <w:t>mnoho slavného) případu. Až něco vykoná, pak už mu bude jistě padesát. Zatím však .... opravdu, jenom ten jeden trapný případ.</w:t>
      </w:r>
    </w:p>
    <w:p w:rsidR="00500724" w:rsidRDefault="00F30FB8">
      <w:pPr>
        <w:pStyle w:val="Zkladntext1"/>
        <w:shd w:val="clear" w:color="auto" w:fill="auto"/>
        <w:spacing w:after="100" w:line="202" w:lineRule="auto"/>
        <w:ind w:firstLine="280"/>
        <w:rPr>
          <w:sz w:val="18"/>
          <w:szCs w:val="18"/>
        </w:rPr>
      </w:pPr>
      <w:r>
        <w:rPr>
          <w:sz w:val="18"/>
          <w:szCs w:val="18"/>
        </w:rPr>
        <w:t>Nevypovídeime tedy válku starých prot</w:t>
      </w:r>
      <w:r>
        <w:rPr>
          <w:sz w:val="18"/>
          <w:szCs w:val="18"/>
        </w:rPr>
        <w:t>i mladým. Svorně do toho, starší dají rozum, mladí sílu a republika bude zase pevná.</w:t>
      </w:r>
    </w:p>
    <w:p w:rsidR="00500724" w:rsidRDefault="00F30FB8">
      <w:pPr>
        <w:pStyle w:val="Zkladntext1"/>
        <w:shd w:val="clear" w:color="auto" w:fill="auto"/>
        <w:spacing w:line="192" w:lineRule="auto"/>
        <w:ind w:left="3220" w:firstLine="0"/>
        <w:jc w:val="left"/>
      </w:pPr>
      <w:r>
        <w:rPr>
          <w:b/>
          <w:bCs/>
        </w:rPr>
        <w:t>S úctou</w:t>
      </w:r>
    </w:p>
    <w:p w:rsidR="00500724" w:rsidRDefault="00F30FB8">
      <w:pPr>
        <w:pStyle w:val="Zkladntext1"/>
        <w:shd w:val="clear" w:color="auto" w:fill="auto"/>
        <w:spacing w:after="220" w:line="214" w:lineRule="auto"/>
        <w:ind w:firstLine="0"/>
        <w:jc w:val="right"/>
        <w:rPr>
          <w:sz w:val="20"/>
          <w:szCs w:val="20"/>
        </w:rPr>
      </w:pPr>
      <w:r>
        <w:rPr>
          <w:i/>
          <w:iCs/>
          <w:sz w:val="20"/>
          <w:szCs w:val="20"/>
        </w:rPr>
        <w:t>Lubomír Nep.</w:t>
      </w:r>
    </w:p>
    <w:p w:rsidR="00500724" w:rsidRDefault="00F30FB8">
      <w:pPr>
        <w:pStyle w:val="Zkladntext1"/>
        <w:shd w:val="clear" w:color="auto" w:fill="auto"/>
        <w:spacing w:after="100" w:line="192" w:lineRule="auto"/>
        <w:ind w:firstLine="0"/>
        <w:jc w:val="center"/>
      </w:pPr>
      <w:r>
        <w:rPr>
          <w:b/>
          <w:bCs/>
        </w:rPr>
        <w:t>Proč jenom pět?</w:t>
      </w:r>
    </w:p>
    <w:p w:rsidR="00500724" w:rsidRDefault="00F30FB8">
      <w:pPr>
        <w:pStyle w:val="Zkladntext1"/>
        <w:shd w:val="clear" w:color="auto" w:fill="auto"/>
        <w:spacing w:after="80" w:line="202" w:lineRule="auto"/>
        <w:ind w:left="860" w:firstLine="20"/>
        <w:jc w:val="left"/>
        <w:rPr>
          <w:sz w:val="18"/>
          <w:szCs w:val="18"/>
        </w:rPr>
      </w:pPr>
      <w:r>
        <w:rPr>
          <w:sz w:val="18"/>
          <w:szCs w:val="18"/>
        </w:rPr>
        <w:t>Vážené redakci!</w:t>
      </w:r>
    </w:p>
    <w:p w:rsidR="00500724" w:rsidRDefault="00F30FB8">
      <w:pPr>
        <w:pStyle w:val="Zkladntext1"/>
        <w:shd w:val="clear" w:color="auto" w:fill="auto"/>
        <w:spacing w:line="202" w:lineRule="auto"/>
        <w:ind w:firstLine="280"/>
        <w:rPr>
          <w:sz w:val="18"/>
          <w:szCs w:val="18"/>
        </w:rPr>
      </w:pPr>
      <w:r>
        <w:rPr>
          <w:sz w:val="18"/>
          <w:szCs w:val="18"/>
        </w:rPr>
        <w:t>K otázce »Proč jenom pět?« z poslední ^Přítomnosti* dovo</w:t>
      </w:r>
      <w:r>
        <w:rPr>
          <w:sz w:val="18"/>
          <w:szCs w:val="18"/>
        </w:rPr>
        <w:softHyphen/>
        <w:t xml:space="preserve">luji si připojiti těchto několik důvodů, proč bylo těch, </w:t>
      </w:r>
      <w:r>
        <w:rPr>
          <w:sz w:val="18"/>
          <w:szCs w:val="18"/>
        </w:rPr>
        <w:t>kteří šli zpět k našim do odstoupeného území, málo.</w:t>
      </w:r>
    </w:p>
    <w:p w:rsidR="00500724" w:rsidRDefault="00F30FB8">
      <w:pPr>
        <w:pStyle w:val="Zkladntext1"/>
        <w:shd w:val="clear" w:color="auto" w:fill="auto"/>
        <w:spacing w:line="202" w:lineRule="auto"/>
        <w:ind w:firstLine="280"/>
        <w:rPr>
          <w:sz w:val="18"/>
          <w:szCs w:val="18"/>
        </w:rPr>
      </w:pPr>
      <w:r>
        <w:rPr>
          <w:sz w:val="18"/>
          <w:szCs w:val="18"/>
        </w:rPr>
        <w:t>Jsou příliš blízko ještě útrapy, které jsme prožívali zvláště v posledním roce. Rozbité nervy, rozrušená zdraví. Máme bo</w:t>
      </w:r>
      <w:r>
        <w:rPr>
          <w:sz w:val="18"/>
          <w:szCs w:val="18"/>
        </w:rPr>
        <w:softHyphen/>
        <w:t>lestné vědomí bezútěšnosti své práce, její zbytečnosti a zhrou</w:t>
      </w:r>
      <w:r>
        <w:rPr>
          <w:sz w:val="18"/>
          <w:szCs w:val="18"/>
        </w:rPr>
        <w:softHyphen/>
        <w:t>cení po dvaceti lete</w:t>
      </w:r>
      <w:r>
        <w:rPr>
          <w:sz w:val="18"/>
          <w:szCs w:val="18"/>
        </w:rPr>
        <w:t>ch. Nevíme, jak by měla vypadat naše nová práce; nevíme, zdali bychom byli my v práci pro republiku exponovaní trpěni, když ie přece známo, že si Třetí říše vy</w:t>
      </w:r>
      <w:r>
        <w:rPr>
          <w:sz w:val="18"/>
          <w:szCs w:val="18"/>
        </w:rPr>
        <w:softHyphen/>
        <w:t>hradila právo nepohodlné vypovídati. (Ti, kteří směli zůstat, nesměli býti exponovaní, nesměli b</w:t>
      </w:r>
      <w:r>
        <w:rPr>
          <w:sz w:val="18"/>
          <w:szCs w:val="18"/>
        </w:rPr>
        <w:t>ýti členy žádného národní</w:t>
      </w:r>
      <w:r>
        <w:rPr>
          <w:sz w:val="18"/>
          <w:szCs w:val="18"/>
        </w:rPr>
        <w:softHyphen/>
        <w:t xml:space="preserve">ho spolku (Sokola, N. J. P„ N. </w:t>
      </w:r>
      <w:r>
        <w:rPr>
          <w:sz w:val="18"/>
          <w:szCs w:val="18"/>
          <w:lang w:val="en-US" w:eastAsia="en-US" w:bidi="en-US"/>
        </w:rPr>
        <w:t xml:space="preserve">J. </w:t>
      </w:r>
      <w:r>
        <w:rPr>
          <w:sz w:val="18"/>
          <w:szCs w:val="18"/>
        </w:rPr>
        <w:t>S., N. J. O., tt. M. S.). To přece byli menšinoví učitelé na 99 procent.) Velmi mnozí z nás jsou i hmotně vyčerpáni, platy přece nebyly valné, hmot</w:t>
      </w:r>
      <w:r>
        <w:rPr>
          <w:sz w:val="18"/>
          <w:szCs w:val="18"/>
        </w:rPr>
        <w:softHyphen/>
        <w:t>ná podpora v exponovaném prostředí žádná.</w:t>
      </w:r>
    </w:p>
    <w:p w:rsidR="00500724" w:rsidRDefault="00F30FB8">
      <w:pPr>
        <w:pStyle w:val="Zkladntext1"/>
        <w:shd w:val="clear" w:color="auto" w:fill="auto"/>
        <w:spacing w:line="202" w:lineRule="auto"/>
        <w:ind w:firstLine="280"/>
        <w:rPr>
          <w:sz w:val="18"/>
          <w:szCs w:val="18"/>
        </w:rPr>
      </w:pPr>
      <w:r>
        <w:rPr>
          <w:sz w:val="18"/>
          <w:szCs w:val="18"/>
        </w:rPr>
        <w:t>Rozhod</w:t>
      </w:r>
      <w:r>
        <w:rPr>
          <w:sz w:val="18"/>
          <w:szCs w:val="18"/>
        </w:rPr>
        <w:t>ně prozíravější by bylo na české krajanské školy v odstoupeném území posílat lidi nové do nových poměrů, nezatí</w:t>
      </w:r>
      <w:r>
        <w:rPr>
          <w:sz w:val="18"/>
          <w:szCs w:val="18"/>
        </w:rPr>
        <w:softHyphen/>
        <w:t>žené ani prožitými útrapami, ani činností v poměrech zcela jiných. Absolventi učitelských ústavů se sídlem v odstoupeném území (Žatec) mají tu z</w:t>
      </w:r>
      <w:r>
        <w:rPr>
          <w:sz w:val="18"/>
          <w:szCs w:val="18"/>
        </w:rPr>
        <w:t>načnou možnost uplatnění. Pak je třeba časového odstupu, a jistě mnozí z těch, kteří se dnes z rozumových důvodů, které dnes platí daleko víc než nějaké zdánlivé hrdinství, půjdou do těžké práce rádi, poněvadž ví si v ní rady a ví také. co potřebuje. Při d</w:t>
      </w:r>
      <w:r>
        <w:rPr>
          <w:sz w:val="18"/>
          <w:szCs w:val="18"/>
        </w:rPr>
        <w:t>nešním tempu vlád</w:t>
      </w:r>
      <w:r>
        <w:rPr>
          <w:sz w:val="18"/>
          <w:szCs w:val="18"/>
        </w:rPr>
        <w:softHyphen/>
        <w:t>ních prací dá se i tato věc rychle vyříditi a ti, kteří dostanou určité záruky ne pro sebe, ale pro výkon svého poslání, dohoní, co se zamešká. Nechť se nikdo nediví, že i zde vítězi »sacro egoismo* a skepse, když i život celého národa se</w:t>
      </w:r>
      <w:r>
        <w:rPr>
          <w:sz w:val="18"/>
          <w:szCs w:val="18"/>
        </w:rPr>
        <w:t xml:space="preserve"> do značné miry zúžil v tomto znamení.</w:t>
      </w:r>
    </w:p>
    <w:p w:rsidR="00500724" w:rsidRDefault="00F30FB8">
      <w:pPr>
        <w:pStyle w:val="Zkladntext1"/>
        <w:shd w:val="clear" w:color="auto" w:fill="auto"/>
        <w:spacing w:after="300" w:line="202" w:lineRule="auto"/>
        <w:ind w:firstLine="0"/>
        <w:jc w:val="right"/>
        <w:rPr>
          <w:sz w:val="18"/>
          <w:szCs w:val="18"/>
        </w:rPr>
      </w:pPr>
      <w:r>
        <w:rPr>
          <w:sz w:val="18"/>
          <w:szCs w:val="18"/>
        </w:rPr>
        <w:t>Přebytečný přidělený učitel býv. státní školy</w:t>
      </w:r>
    </w:p>
    <w:p w:rsidR="00500724" w:rsidRDefault="00F30FB8">
      <w:pPr>
        <w:pStyle w:val="Zkladntext1"/>
        <w:shd w:val="clear" w:color="auto" w:fill="auto"/>
        <w:spacing w:after="80" w:line="204" w:lineRule="auto"/>
        <w:ind w:left="860" w:firstLine="20"/>
        <w:jc w:val="left"/>
        <w:rPr>
          <w:sz w:val="18"/>
          <w:szCs w:val="18"/>
        </w:rPr>
      </w:pPr>
      <w:r>
        <w:rPr>
          <w:sz w:val="18"/>
          <w:szCs w:val="18"/>
        </w:rPr>
        <w:t>Vážená redakce!</w:t>
      </w:r>
    </w:p>
    <w:p w:rsidR="00500724" w:rsidRDefault="00F30FB8">
      <w:pPr>
        <w:pStyle w:val="Zkladntext1"/>
        <w:shd w:val="clear" w:color="auto" w:fill="auto"/>
        <w:spacing w:line="204" w:lineRule="auto"/>
        <w:ind w:firstLine="280"/>
        <w:rPr>
          <w:sz w:val="18"/>
          <w:szCs w:val="18"/>
        </w:rPr>
      </w:pPr>
      <w:r>
        <w:rPr>
          <w:sz w:val="18"/>
          <w:szCs w:val="18"/>
        </w:rPr>
        <w:t>Ve 2. čísle »P ř i t o m n o s t i« bylo vytýkáno v článečku »Proč jenom pěl ?« učitelstvu, že se nehlásí na české školy do Německa. Jsem jeden z těch hran</w:t>
      </w:r>
      <w:r>
        <w:rPr>
          <w:sz w:val="18"/>
          <w:szCs w:val="18"/>
        </w:rPr>
        <w:t>ičářských učitelů, kteří po říjnových tragických dnech museli se slzami v očích rozloučiti se s českými dětmi — odejiti do nového Česko-Slovenska a če- katl na nové ustanovení. Pracoval jsem velmi rád a obětavě na menšinové škole jako řídící učitel a odcho</w:t>
      </w:r>
      <w:r>
        <w:rPr>
          <w:sz w:val="18"/>
          <w:szCs w:val="18"/>
        </w:rPr>
        <w:t>d z tohoto půso</w:t>
      </w:r>
      <w:r>
        <w:rPr>
          <w:sz w:val="18"/>
          <w:szCs w:val="18"/>
        </w:rPr>
        <w:softHyphen/>
        <w:t>biště byl pro mne jeden z nejbolestnějších dnů v mém životě. Poněvadž také hájim stanovisko, že v dnešní době musí býti národu podávána pravdivá skutečnost — chtěl bych reálně od</w:t>
      </w:r>
      <w:r>
        <w:rPr>
          <w:sz w:val="18"/>
          <w:szCs w:val="18"/>
        </w:rPr>
        <w:softHyphen/>
        <w:t>pověděti na článeček: »Proč jenom pět?*</w:t>
      </w:r>
    </w:p>
    <w:p w:rsidR="00500724" w:rsidRDefault="00F30FB8">
      <w:pPr>
        <w:pStyle w:val="Zkladntext1"/>
        <w:shd w:val="clear" w:color="auto" w:fill="auto"/>
        <w:spacing w:after="40" w:line="204" w:lineRule="auto"/>
        <w:ind w:firstLine="280"/>
        <w:rPr>
          <w:sz w:val="18"/>
          <w:szCs w:val="18"/>
        </w:rPr>
      </w:pPr>
      <w:r>
        <w:rPr>
          <w:sz w:val="18"/>
          <w:szCs w:val="18"/>
        </w:rPr>
        <w:t xml:space="preserve">V řadách </w:t>
      </w:r>
      <w:r>
        <w:rPr>
          <w:sz w:val="18"/>
          <w:szCs w:val="18"/>
        </w:rPr>
        <w:t>hraničářských učitelů byli vesměs učitelé z chu</w:t>
      </w:r>
      <w:r>
        <w:rPr>
          <w:sz w:val="18"/>
          <w:szCs w:val="18"/>
        </w:rPr>
        <w:softHyphen/>
        <w:t>dobných rodin, poněvadž zámožnější si našli vždy nějakého toho »strýčka«, který mu dopomohl k umístění ve větším vnitrozemském městě, kde měl mnoho možností pro rozptýlení a pro zábavu ve volném čase a pak mě</w:t>
      </w:r>
      <w:r>
        <w:rPr>
          <w:sz w:val="18"/>
          <w:szCs w:val="18"/>
        </w:rPr>
        <w:t>l také větší příjmy. Zatím hraničářský učitel musil působiti na malých dědinkách s mi</w:t>
      </w:r>
      <w:r>
        <w:rPr>
          <w:sz w:val="18"/>
          <w:szCs w:val="18"/>
        </w:rPr>
        <w:softHyphen/>
        <w:t>nimálním platem, byl odkázán ve všem sám na sebe a musil počítati s každou korunkou — poněvadž chtěl-li si na příklad koupiti jen boty — zdražily se tyto o 20 až 30 Kě, k</w:t>
      </w:r>
      <w:r>
        <w:rPr>
          <w:sz w:val="18"/>
          <w:szCs w:val="18"/>
        </w:rPr>
        <w:t>teré musil</w:t>
      </w:r>
      <w:r>
        <w:rPr>
          <w:sz w:val="18"/>
          <w:szCs w:val="18"/>
        </w:rPr>
        <w:br w:type="page"/>
      </w:r>
      <w:r>
        <w:rPr>
          <w:sz w:val="18"/>
          <w:szCs w:val="18"/>
          <w:lang w:val="en-US" w:eastAsia="en-US" w:bidi="en-US"/>
        </w:rPr>
        <w:t xml:space="preserve">vydati </w:t>
      </w:r>
      <w:r>
        <w:rPr>
          <w:sz w:val="18"/>
          <w:szCs w:val="18"/>
        </w:rPr>
        <w:t>za cestovné do města a při tom musil ztráviti téměř celý den. Nic si nemohl ušetřiti — žil ze dne na den. Pak přišla doba evakuace a mnohý chudák hraničář zachránil jen holý život a musil na svém působišti zanechati vše, co měl. Mnozí v k</w:t>
      </w:r>
      <w:r>
        <w:rPr>
          <w:sz w:val="18"/>
          <w:szCs w:val="18"/>
        </w:rPr>
        <w:t>ritických dnech vvkonávali vojenskou službu a tak se vůbec do svého dřívějšího působiště nemohli ani vrátit a delší dobu musili choditi ve vojenském stejnokroji — poněvadž všechno jim zůstalo za hranicemi. A teď se mnozí diví, proč jenom pět? Proč tak málo</w:t>
      </w:r>
      <w:r>
        <w:rPr>
          <w:sz w:val="18"/>
          <w:szCs w:val="18"/>
        </w:rPr>
        <w:t xml:space="preserve"> se jich hlásí do Německa na české školy?</w:t>
      </w:r>
    </w:p>
    <w:p w:rsidR="00500724" w:rsidRDefault="00F30FB8">
      <w:pPr>
        <w:pStyle w:val="Zkladntext1"/>
        <w:shd w:val="clear" w:color="auto" w:fill="auto"/>
        <w:spacing w:after="40" w:line="214" w:lineRule="auto"/>
        <w:ind w:firstLine="320"/>
        <w:rPr>
          <w:sz w:val="18"/>
          <w:szCs w:val="18"/>
        </w:rPr>
      </w:pPr>
      <w:r>
        <w:rPr>
          <w:sz w:val="18"/>
          <w:szCs w:val="18"/>
        </w:rPr>
        <w:t>Málo je těch učitelů, kteří mají kapitál a na měsíční plat nečekají. Takové případy jsou mezi učitelstvem bílou vránou. Náš učitel — a především hraničářský učitel — ten je chudák. Jak může jít mladý chudobný učite</w:t>
      </w:r>
      <w:r>
        <w:rPr>
          <w:sz w:val="18"/>
          <w:szCs w:val="18"/>
        </w:rPr>
        <w:t>l — a takoví byli hrani</w:t>
      </w:r>
      <w:r>
        <w:rPr>
          <w:sz w:val="18"/>
          <w:szCs w:val="18"/>
        </w:rPr>
        <w:softHyphen/>
        <w:t>čářští učitelé všichni — do Německa zachraňovat národního ducha českých dětí — když mu není zajištěno to nejdůležitější — to životní minimum — každodenní chléb? Vždy a všude se zdůrazňuje sociální cit, ale v této otázce ho není. Daj</w:t>
      </w:r>
      <w:r>
        <w:rPr>
          <w:sz w:val="18"/>
          <w:szCs w:val="18"/>
        </w:rPr>
        <w:t>í mu tam něco lidé zadarmo? To jistě ne. To si snad může dovolit synek boháče, který si doma naplní tobolku stokorunami a když je utratí — přijde domů — zase »zelenými« naplní a jde znovu. Jsem pevně přesvědčen a věřím, že jakmile bude sociální a právní ot</w:t>
      </w:r>
      <w:r>
        <w:rPr>
          <w:sz w:val="18"/>
          <w:szCs w:val="18"/>
        </w:rPr>
        <w:t>ázka v tomto případě vyřešena a vyjasněna, pak jistě bude těch učitelů — odcházejících dobrovolně do Říše zachra</w:t>
      </w:r>
      <w:r>
        <w:rPr>
          <w:sz w:val="18"/>
          <w:szCs w:val="18"/>
        </w:rPr>
        <w:softHyphen/>
        <w:t>ňovat národního ducha českých dětí dost — ba jistě i nadby</w:t>
      </w:r>
      <w:r>
        <w:rPr>
          <w:sz w:val="18"/>
          <w:szCs w:val="18"/>
        </w:rPr>
        <w:softHyphen/>
        <w:t>tek. Nesmíme proto předem psát, že již vymřeli stateční lidé v národě — to by znamen</w:t>
      </w:r>
      <w:r>
        <w:rPr>
          <w:sz w:val="18"/>
          <w:szCs w:val="18"/>
        </w:rPr>
        <w:t>alo podceňováni v řadách učitelstva, kteří po 20 let hájili opravdové češství na menšinách. Nejdří</w:t>
      </w:r>
      <w:r>
        <w:rPr>
          <w:sz w:val="18"/>
          <w:szCs w:val="18"/>
        </w:rPr>
        <w:softHyphen/>
        <w:t>ve se musí vyjasnit tato otázka sociální a projednati otázka právní, a pak jistě naše ministerstvo školství obdrží dobro</w:t>
      </w:r>
      <w:r>
        <w:rPr>
          <w:sz w:val="18"/>
          <w:szCs w:val="18"/>
        </w:rPr>
        <w:softHyphen/>
        <w:t>volných přihlášek a nabídek až dost.</w:t>
      </w:r>
    </w:p>
    <w:p w:rsidR="00500724" w:rsidRDefault="00F30FB8">
      <w:pPr>
        <w:pStyle w:val="Zkladntext1"/>
        <w:shd w:val="clear" w:color="auto" w:fill="auto"/>
        <w:spacing w:after="40" w:line="228" w:lineRule="auto"/>
        <w:ind w:firstLine="320"/>
        <w:rPr>
          <w:sz w:val="18"/>
          <w:szCs w:val="18"/>
        </w:rPr>
      </w:pPr>
      <w:r>
        <w:rPr>
          <w:sz w:val="18"/>
          <w:szCs w:val="18"/>
        </w:rPr>
        <w:t xml:space="preserve">O toto vyjasnění se musí postarati na prvém místě patřiční činitelé a to brzy — aby nebylo pozdě. Nestačí jen v denním tisku uveřejniti výzvu, že učitelé, kteří se o tuto věc zajímají, mohou sami na svůj vrub jeti do odstoupeného území a hlásiti se tam u </w:t>
      </w:r>
      <w:r>
        <w:rPr>
          <w:sz w:val="18"/>
          <w:szCs w:val="18"/>
        </w:rPr>
        <w:t>příslušného školního úřadu o místo na českých ško</w:t>
      </w:r>
      <w:r>
        <w:rPr>
          <w:sz w:val="18"/>
          <w:szCs w:val="18"/>
        </w:rPr>
        <w:softHyphen/>
        <w:t>lách. To je pěkná rada, ale kdo jim dá na chléb?</w:t>
      </w:r>
    </w:p>
    <w:p w:rsidR="00500724" w:rsidRDefault="00F30FB8">
      <w:pPr>
        <w:pStyle w:val="Zkladntext1"/>
        <w:shd w:val="clear" w:color="auto" w:fill="auto"/>
        <w:spacing w:after="200" w:line="214" w:lineRule="auto"/>
        <w:ind w:firstLine="0"/>
        <w:jc w:val="right"/>
        <w:rPr>
          <w:sz w:val="18"/>
          <w:szCs w:val="18"/>
        </w:rPr>
      </w:pPr>
      <w:r>
        <w:rPr>
          <w:sz w:val="18"/>
          <w:szCs w:val="18"/>
        </w:rPr>
        <w:t>Řídící učitel z odstoupeného území.</w:t>
      </w:r>
    </w:p>
    <w:p w:rsidR="00500724" w:rsidRDefault="00F30FB8">
      <w:pPr>
        <w:pStyle w:val="Zkladntext1"/>
        <w:shd w:val="clear" w:color="auto" w:fill="auto"/>
        <w:spacing w:after="120" w:line="214" w:lineRule="auto"/>
        <w:ind w:left="1100" w:firstLine="0"/>
        <w:jc w:val="left"/>
        <w:rPr>
          <w:sz w:val="18"/>
          <w:szCs w:val="18"/>
        </w:rPr>
      </w:pPr>
      <w:r>
        <w:rPr>
          <w:sz w:val="18"/>
          <w:szCs w:val="18"/>
        </w:rPr>
        <w:t>Vážený pane kolego.</w:t>
      </w:r>
    </w:p>
    <w:p w:rsidR="00500724" w:rsidRDefault="00F30FB8">
      <w:pPr>
        <w:pStyle w:val="Zkladntext1"/>
        <w:shd w:val="clear" w:color="auto" w:fill="auto"/>
        <w:spacing w:after="40" w:line="228" w:lineRule="auto"/>
        <w:ind w:firstLine="0"/>
        <w:rPr>
          <w:sz w:val="18"/>
          <w:szCs w:val="18"/>
        </w:rPr>
      </w:pPr>
      <w:r>
        <w:rPr>
          <w:sz w:val="18"/>
          <w:szCs w:val="18"/>
        </w:rPr>
        <w:t>jste jedním z pěti učitelů českých, kteří se odebrali do připo</w:t>
      </w:r>
      <w:r>
        <w:rPr>
          <w:sz w:val="18"/>
          <w:szCs w:val="18"/>
        </w:rPr>
        <w:softHyphen/>
        <w:t>jeného území. Prosím redakci »Přítomno</w:t>
      </w:r>
      <w:r>
        <w:rPr>
          <w:sz w:val="18"/>
          <w:szCs w:val="18"/>
        </w:rPr>
        <w:t>sti«, aby našla Vaši adresu a dodala Vám tento dopis. Obracím se na Vás s pros</w:t>
      </w:r>
      <w:r>
        <w:rPr>
          <w:sz w:val="18"/>
          <w:szCs w:val="18"/>
        </w:rPr>
        <w:softHyphen/>
        <w:t>bou o sdělení informací, týkajících se vyučování v připojeném území. Těším se, že to budou informace přímo od pramene. Především, jak je to se státním občanstvím, je-li nutno je</w:t>
      </w:r>
      <w:r>
        <w:rPr>
          <w:sz w:val="18"/>
          <w:szCs w:val="18"/>
        </w:rPr>
        <w:t xml:space="preserve"> při</w:t>
      </w:r>
      <w:r>
        <w:rPr>
          <w:sz w:val="18"/>
          <w:szCs w:val="18"/>
        </w:rPr>
        <w:softHyphen/>
        <w:t>jmout hned nebo jak se to praktikuje. Dále prosím o sdělení, kam podat žádost, co k ní přiložit. Jsem absolventem filosofie s filosoficko-pedagogickou zkouškou (bez odb. státnic), učil jsem 12 měsíců na okrese Teplice-Šanov. Na podzim chci dělat způso</w:t>
      </w:r>
      <w:r>
        <w:rPr>
          <w:sz w:val="18"/>
          <w:szCs w:val="18"/>
        </w:rPr>
        <w:t>bilost. Potřebuji ještě 8 měsíců prakse. Protože zde ne</w:t>
      </w:r>
      <w:r>
        <w:rPr>
          <w:sz w:val="18"/>
          <w:szCs w:val="18"/>
        </w:rPr>
        <w:softHyphen/>
        <w:t>mohu nalézt místo, abych tuto lhůtu dodržel, rád bych se aspoň na tu dobu dostal do Sudet. Dále prosím o informace, co se týká poměrů, platu a pod., a vůbec všeho, co je nutno vědět. Promiňte, prosím,</w:t>
      </w:r>
      <w:r>
        <w:rPr>
          <w:sz w:val="18"/>
          <w:szCs w:val="18"/>
        </w:rPr>
        <w:t xml:space="preserve"> že Vás obtěžuji. Čekám na Vaše laskavé zprávy.</w:t>
      </w:r>
    </w:p>
    <w:p w:rsidR="00500724" w:rsidRDefault="00F30FB8">
      <w:pPr>
        <w:pStyle w:val="Zkladntext1"/>
        <w:shd w:val="clear" w:color="auto" w:fill="auto"/>
        <w:spacing w:line="214" w:lineRule="auto"/>
        <w:ind w:left="3080" w:firstLine="0"/>
        <w:jc w:val="left"/>
        <w:rPr>
          <w:sz w:val="18"/>
          <w:szCs w:val="18"/>
        </w:rPr>
      </w:pPr>
      <w:r>
        <w:rPr>
          <w:sz w:val="18"/>
          <w:szCs w:val="18"/>
        </w:rPr>
        <w:t>V dokonalé úctě</w:t>
      </w:r>
    </w:p>
    <w:p w:rsidR="00500724" w:rsidRDefault="00F30FB8">
      <w:pPr>
        <w:pStyle w:val="Zkladntext1"/>
        <w:shd w:val="clear" w:color="auto" w:fill="auto"/>
        <w:tabs>
          <w:tab w:val="left" w:pos="4994"/>
        </w:tabs>
        <w:spacing w:after="260" w:line="214" w:lineRule="auto"/>
        <w:ind w:left="4720" w:firstLine="0"/>
        <w:rPr>
          <w:sz w:val="18"/>
          <w:szCs w:val="18"/>
        </w:rPr>
      </w:pPr>
      <w:r>
        <w:rPr>
          <w:i/>
          <w:iCs/>
          <w:sz w:val="18"/>
          <w:szCs w:val="18"/>
        </w:rPr>
        <w:t>J.</w:t>
      </w:r>
      <w:r>
        <w:rPr>
          <w:sz w:val="18"/>
          <w:szCs w:val="18"/>
        </w:rPr>
        <w:tab/>
        <w:t>S.</w:t>
      </w:r>
    </w:p>
    <w:p w:rsidR="00500724" w:rsidRDefault="00F30FB8">
      <w:pPr>
        <w:pStyle w:val="Jin0"/>
        <w:shd w:val="clear" w:color="auto" w:fill="auto"/>
        <w:spacing w:after="180"/>
        <w:ind w:firstLine="0"/>
        <w:jc w:val="left"/>
        <w:rPr>
          <w:sz w:val="46"/>
          <w:szCs w:val="46"/>
        </w:rPr>
      </w:pPr>
      <w:r>
        <w:rPr>
          <w:b/>
          <w:bCs/>
          <w:sz w:val="46"/>
          <w:szCs w:val="46"/>
          <w:u w:val="single"/>
        </w:rPr>
        <w:t>listárna redakce</w:t>
      </w:r>
    </w:p>
    <w:p w:rsidR="00500724" w:rsidRDefault="00F30FB8">
      <w:pPr>
        <w:pStyle w:val="Zkladntext1"/>
        <w:shd w:val="clear" w:color="auto" w:fill="auto"/>
        <w:spacing w:after="40" w:line="226" w:lineRule="auto"/>
        <w:rPr>
          <w:sz w:val="18"/>
          <w:szCs w:val="18"/>
        </w:rPr>
      </w:pPr>
      <w:r>
        <w:rPr>
          <w:sz w:val="18"/>
          <w:szCs w:val="18"/>
        </w:rPr>
        <w:t>Podporujeme vládu? Ptáte se, zda máme v úmyslu podporo</w:t>
      </w:r>
      <w:r>
        <w:rPr>
          <w:sz w:val="18"/>
          <w:szCs w:val="18"/>
        </w:rPr>
        <w:softHyphen/>
        <w:t>vat! dnešní vládu, a tváříte se, jako byste byl nám položil vel</w:t>
      </w:r>
      <w:r>
        <w:rPr>
          <w:sz w:val="18"/>
          <w:szCs w:val="18"/>
        </w:rPr>
        <w:softHyphen/>
        <w:t xml:space="preserve">mi mefistofelskou otázku. Těšíte se, že se budeme </w:t>
      </w:r>
      <w:r>
        <w:rPr>
          <w:sz w:val="18"/>
          <w:szCs w:val="18"/>
        </w:rPr>
        <w:t>nějak vytáčet. Nedočkáte se. Ano, máme v úmyslu dnešní vládu podporovat, právě jako národní strana práce slíbila, že ji bude podporovat ve všech hlavních věcech. Očekával-li jste od nás nějaké zá</w:t>
      </w:r>
      <w:r>
        <w:rPr>
          <w:sz w:val="18"/>
          <w:szCs w:val="18"/>
        </w:rPr>
        <w:softHyphen/>
        <w:t>sadně oposiční smýšlení, obrátil jste se na falešnou adresu.</w:t>
      </w:r>
      <w:r>
        <w:rPr>
          <w:sz w:val="18"/>
          <w:szCs w:val="18"/>
        </w:rPr>
        <w:t xml:space="preserve"> Ne</w:t>
      </w:r>
      <w:r>
        <w:rPr>
          <w:sz w:val="18"/>
          <w:szCs w:val="18"/>
        </w:rPr>
        <w:softHyphen/>
        <w:t>podporovat vládu má smysl jen ve dvou případech: 1. Jestliže je vládu možno nebo dovoleno porazit a rřhhradit ji vládou ji</w:t>
      </w:r>
      <w:r>
        <w:rPr>
          <w:sz w:val="18"/>
          <w:szCs w:val="18"/>
        </w:rPr>
        <w:softHyphen/>
        <w:t>nou a lepší. 2. Jestliže je možno oddělit věc vlády od věci ná</w:t>
      </w:r>
      <w:r>
        <w:rPr>
          <w:sz w:val="18"/>
          <w:szCs w:val="18"/>
        </w:rPr>
        <w:softHyphen/>
        <w:t>roda. Ani to ani ono dnes není možno. Zahraniční okolnosti vů</w:t>
      </w:r>
      <w:r>
        <w:rPr>
          <w:sz w:val="18"/>
          <w:szCs w:val="18"/>
        </w:rPr>
        <w:softHyphen/>
        <w:t xml:space="preserve">bec </w:t>
      </w:r>
      <w:r>
        <w:rPr>
          <w:sz w:val="18"/>
          <w:szCs w:val="18"/>
        </w:rPr>
        <w:t>zakazují, aby na př. národní strana práce usilovala o pře</w:t>
      </w:r>
      <w:r>
        <w:rPr>
          <w:sz w:val="18"/>
          <w:szCs w:val="18"/>
        </w:rPr>
        <w:softHyphen/>
        <w:t xml:space="preserve">vzetí vlády. Národu pak povede se přesně podle toho, co tato vláda dovede pro něj vybojovat. Poněvadž tedy po dohlednou dobu bude tato vláda náš národ representovat, není možno se na ni dívat cize. </w:t>
      </w:r>
      <w:r>
        <w:rPr>
          <w:sz w:val="18"/>
          <w:szCs w:val="18"/>
        </w:rPr>
        <w:t>Její osud je příliš spojen s osudy našimi. Přáti jí neúspěch mohl by jen pošetilec, neboť její neúspěch byl by zároveň neúspěchem národa. Ostatně vždy se snažíme odlišovat věci hlavní od věcí vedlejších, a díváme se spíše na činy vlády než na to. co píše t</w:t>
      </w:r>
      <w:r>
        <w:rPr>
          <w:sz w:val="18"/>
          <w:szCs w:val="18"/>
        </w:rPr>
        <w:t>isk některých skupin, které se spojily v jednotnou vládní stranu. To, co tento tisk píše, může býti zajisté nepříjemné nebo i horší, ale ne rozho</w:t>
      </w:r>
      <w:r>
        <w:rPr>
          <w:sz w:val="18"/>
          <w:szCs w:val="18"/>
        </w:rPr>
        <w:softHyphen/>
        <w:t>dující. Pravíme Vám, že mnoho z toho, co vláda dělá a co se Vám nelíbí, musila by na jejím místě dělat dnes ka</w:t>
      </w:r>
      <w:r>
        <w:rPr>
          <w:sz w:val="18"/>
          <w:szCs w:val="18"/>
        </w:rPr>
        <w:t>ždá jiná vláda, i kdyby v jejím čele stál třeba Masaryk nebo Beneš. Nedovedete-li nahlédnout do této nutnosti, jest to Vaše chyba, a neměl byste svou malou informovanost vy</w:t>
      </w:r>
      <w:r>
        <w:rPr>
          <w:sz w:val="18"/>
          <w:szCs w:val="18"/>
        </w:rPr>
        <w:softHyphen/>
        <w:t>nášet za měřítko všech věcí. Jsou některé akty ke kterým se vláda uchyluje bez potě</w:t>
      </w:r>
      <w:r>
        <w:rPr>
          <w:sz w:val="18"/>
          <w:szCs w:val="18"/>
        </w:rPr>
        <w:t>šení, a přece tak činí. Proč, to Vám nebudeme široce vykládat, poněvadž byste na to měl sám přijít. Ostatně si bude moci vláda počínat tím klidněji a rozumějí, čím zakořeněnější se bude cítit v lidu. Znáte naši minulost: posuďte sám, je-li pravděpodobno, ž</w:t>
      </w:r>
      <w:r>
        <w:rPr>
          <w:sz w:val="18"/>
          <w:szCs w:val="18"/>
        </w:rPr>
        <w:t>e se cho</w:t>
      </w:r>
      <w:r>
        <w:rPr>
          <w:sz w:val="18"/>
          <w:szCs w:val="18"/>
        </w:rPr>
        <w:softHyphen/>
        <w:t>váme tak, jak se chováme, proto, že máme lokajskou duši. nebo proto, že k tomu máme rozumné a čestné důvody.</w:t>
      </w:r>
    </w:p>
    <w:p w:rsidR="00500724" w:rsidRDefault="00F30FB8">
      <w:pPr>
        <w:pStyle w:val="Zkladntext1"/>
        <w:shd w:val="clear" w:color="auto" w:fill="auto"/>
        <w:spacing w:after="40" w:line="223" w:lineRule="auto"/>
        <w:ind w:firstLine="200"/>
        <w:rPr>
          <w:sz w:val="18"/>
          <w:szCs w:val="18"/>
        </w:rPr>
      </w:pPr>
      <w:r>
        <w:rPr>
          <w:sz w:val="18"/>
          <w:szCs w:val="18"/>
        </w:rPr>
        <w:t xml:space="preserve">Dvě novinářské zprávy. Chcete vědět, co je na novinářské zprávě, kterou jste četl v jednom odpoledniku, že »dr. Beneš utekl do Londýna ze </w:t>
      </w:r>
      <w:r>
        <w:rPr>
          <w:sz w:val="18"/>
          <w:szCs w:val="18"/>
        </w:rPr>
        <w:t>strachu před řádným soudem«. Na té zprávě není nic mimo nepravdu a hanebnost. Dr. Beneš odešel do ciziny z téhož důvodu, pro který odstoupil jako president: poněvadž věděl, že jeho přítomnost v republice by byla na závadu normálnímu vybudování oněch zahran</w:t>
      </w:r>
      <w:r>
        <w:rPr>
          <w:sz w:val="18"/>
          <w:szCs w:val="18"/>
        </w:rPr>
        <w:t>ičních styků, na nichž nám nyní musí nejvíce záležet. Vyvodil dů</w:t>
      </w:r>
      <w:r>
        <w:rPr>
          <w:sz w:val="18"/>
          <w:szCs w:val="18"/>
        </w:rPr>
        <w:softHyphen/>
        <w:t>sledky z poznání, že by jeho osoba překážela a mohla se stát i nebezpečím pro národ, právě jako někteří jeho přátelé z téhož poznání odmítli v posledních zářijových dnech orga- nisovati podpi</w:t>
      </w:r>
      <w:r>
        <w:rPr>
          <w:sz w:val="18"/>
          <w:szCs w:val="18"/>
        </w:rPr>
        <w:t>sovou akci, která měla žádati, aby setrval v úřadě. Bylo naprosto třeba postavit věc nad osobu. Učinil tak ostatně i dr. Beneš sám. Píše-li se, že uprchl před »řád- ným soudem*, není to nic lepšího než hanebnost a lživé po</w:t>
      </w:r>
      <w:r>
        <w:rPr>
          <w:sz w:val="18"/>
          <w:szCs w:val="18"/>
        </w:rPr>
        <w:softHyphen/>
        <w:t>puzování, poněvadž ani největší j</w:t>
      </w:r>
      <w:r>
        <w:rPr>
          <w:sz w:val="18"/>
          <w:szCs w:val="18"/>
        </w:rPr>
        <w:t>eho nepřátelé neuvedli nikdy nic, proč by měl být před »řádný«, t. j. trestní soud postaven. Mluvilo se jedině o vyšetřující komisi, která měla posoudit složitou otázku politické viny. — Kdyby Jan Masaryk byl po svém příchodu do Ameriky vskutku řekl to. co</w:t>
      </w:r>
      <w:r>
        <w:rPr>
          <w:sz w:val="18"/>
          <w:szCs w:val="18"/>
        </w:rPr>
        <w:t xml:space="preserve"> některé ame</w:t>
      </w:r>
      <w:r>
        <w:rPr>
          <w:sz w:val="18"/>
          <w:szCs w:val="18"/>
        </w:rPr>
        <w:softHyphen/>
        <w:t>rické noviny psaly a s čím my jsme byli seznámeni prostřed</w:t>
      </w:r>
      <w:r>
        <w:rPr>
          <w:sz w:val="18"/>
          <w:szCs w:val="18"/>
        </w:rPr>
        <w:softHyphen/>
        <w:t>nictvím »Poledního listu*, všichni Češi by se právem od něho odvrátili, neboť, řekne-li někdo, že nemá zájmu na česko</w:t>
      </w:r>
      <w:r>
        <w:rPr>
          <w:sz w:val="18"/>
          <w:szCs w:val="18"/>
        </w:rPr>
        <w:softHyphen/>
        <w:t xml:space="preserve">slovenských hranicích, nemůže býti posuzován jinak než jako suchý </w:t>
      </w:r>
      <w:r>
        <w:rPr>
          <w:sz w:val="18"/>
          <w:szCs w:val="18"/>
        </w:rPr>
        <w:t>list, který odpadl od národního kmene. Jenže my ne</w:t>
      </w:r>
      <w:r>
        <w:rPr>
          <w:sz w:val="18"/>
          <w:szCs w:val="18"/>
        </w:rPr>
        <w:softHyphen/>
        <w:t>věříme, že by se byl Jan Masaryk tak vyjádřil. Je sice pravda, že to vyšlo v amerických novinách, ale je třeba znáti techniku a morální názory amerických reportérů. Mnoho</w:t>
      </w:r>
      <w:r>
        <w:rPr>
          <w:sz w:val="18"/>
          <w:szCs w:val="18"/>
        </w:rPr>
        <w:softHyphen/>
        <w:t>kráte se již stalo, že z jedné vět</w:t>
      </w:r>
      <w:r>
        <w:rPr>
          <w:sz w:val="18"/>
          <w:szCs w:val="18"/>
        </w:rPr>
        <w:t>y, kterou jim řekla osoba, na niž číhali, udělali interwiev na dva sloupce, a někdy do</w:t>
      </w:r>
      <w:r>
        <w:rPr>
          <w:sz w:val="18"/>
          <w:szCs w:val="18"/>
        </w:rPr>
        <w:softHyphen/>
        <w:t>konce neměli ani té jedné věty. Nepochybujeme, že nějak tak bylo tomu i v tomto případě.</w:t>
      </w:r>
    </w:p>
    <w:p w:rsidR="00500724" w:rsidRDefault="00F30FB8">
      <w:pPr>
        <w:pStyle w:val="Zkladntext1"/>
        <w:shd w:val="clear" w:color="auto" w:fill="auto"/>
        <w:spacing w:line="230" w:lineRule="auto"/>
        <w:ind w:firstLine="320"/>
        <w:rPr>
          <w:sz w:val="18"/>
          <w:szCs w:val="18"/>
        </w:rPr>
        <w:sectPr w:rsidR="00500724">
          <w:footnotePr>
            <w:numFmt w:val="chicago"/>
            <w:numRestart w:val="eachPage"/>
          </w:footnotePr>
          <w:pgSz w:w="11909" w:h="16834"/>
          <w:pgMar w:top="1461" w:right="833" w:bottom="941" w:left="574" w:header="0" w:footer="3" w:gutter="0"/>
          <w:cols w:num="2" w:space="123"/>
          <w:noEndnote/>
          <w:docGrid w:linePitch="360"/>
        </w:sectPr>
      </w:pPr>
      <w:r>
        <w:rPr>
          <w:sz w:val="18"/>
          <w:szCs w:val="18"/>
        </w:rPr>
        <w:t>Dobrý rozsudek. Mýlíte se. Soudy trestají každé zdra</w:t>
      </w:r>
      <w:r>
        <w:rPr>
          <w:sz w:val="18"/>
          <w:szCs w:val="18"/>
        </w:rPr>
        <w:t>žování, které jim příslušné úřady oznámí. V »Národní Politice* byl už publikován první protidrahotní rozsudek tohoto znění: »Jmé</w:t>
      </w:r>
      <w:r>
        <w:rPr>
          <w:sz w:val="18"/>
          <w:szCs w:val="18"/>
        </w:rPr>
        <w:softHyphen/>
        <w:t>nem republiky! Okresní soud v Praze II. uznal..., že obžalo</w:t>
      </w:r>
      <w:r>
        <w:rPr>
          <w:sz w:val="18"/>
          <w:szCs w:val="18"/>
        </w:rPr>
        <w:softHyphen/>
        <w:t>vaný Miroslav Klíma, obchodník, Praha III., Lázeňská č. 6, jest vin</w:t>
      </w:r>
      <w:r>
        <w:rPr>
          <w:sz w:val="18"/>
          <w:szCs w:val="18"/>
        </w:rPr>
        <w:t>en, že v roce 1936-38 v Praze jednak z nedbalosti máslo smíchané s margarinem, tudíž potravinu falšovanou, prodával, jednak tuto směs proti zákazu § 3 zák. 26/02 sám vyráběl.* Soud vyměřil obžalovanému trest vězení na dobu 2 měsíců a uložil mu kromě toho p</w:t>
      </w:r>
      <w:r>
        <w:rPr>
          <w:sz w:val="18"/>
          <w:szCs w:val="18"/>
        </w:rPr>
        <w:t>eněžitou pokutu 5000 Kě. Oba tresty jsou nepodmíněné. Rozsudek byl publikován na útraty obžalovaného. Není žádná maličkost, je-li někdo veřejně ozna</w:t>
      </w:r>
      <w:r>
        <w:rPr>
          <w:sz w:val="18"/>
          <w:szCs w:val="18"/>
        </w:rPr>
        <w:softHyphen/>
        <w:t>čen jako zdražovatel. Z rozsudku je vidět, že se vláda posta</w:t>
      </w:r>
      <w:r>
        <w:rPr>
          <w:sz w:val="18"/>
          <w:szCs w:val="18"/>
        </w:rPr>
        <w:softHyphen/>
        <w:t>rala o příslušná nařízení, takže jde jenom o e</w:t>
      </w:r>
      <w:r>
        <w:rPr>
          <w:sz w:val="18"/>
          <w:szCs w:val="18"/>
        </w:rPr>
        <w:t>nergické prová</w:t>
      </w:r>
      <w:r>
        <w:rPr>
          <w:sz w:val="18"/>
          <w:szCs w:val="18"/>
        </w:rPr>
        <w:softHyphen/>
        <w:t>dění platných zákonů.</w:t>
      </w:r>
    </w:p>
    <w:p w:rsidR="00500724" w:rsidRDefault="00F30FB8">
      <w:pPr>
        <w:pStyle w:val="Zkladntext1"/>
        <w:framePr w:w="264" w:h="245" w:wrap="none" w:vAnchor="text" w:hAnchor="page" w:x="618" w:y="21"/>
        <w:shd w:val="clear" w:color="auto" w:fill="auto"/>
        <w:ind w:firstLine="0"/>
        <w:jc w:val="left"/>
        <w:rPr>
          <w:sz w:val="18"/>
          <w:szCs w:val="18"/>
        </w:rPr>
      </w:pPr>
      <w:r>
        <w:rPr>
          <w:i/>
          <w:iCs/>
          <w:sz w:val="18"/>
          <w:szCs w:val="18"/>
        </w:rPr>
        <w:t>So</w:t>
      </w:r>
    </w:p>
    <w:p w:rsidR="00500724" w:rsidRDefault="00500724">
      <w:pPr>
        <w:spacing w:after="231" w:line="14" w:lineRule="exact"/>
      </w:pPr>
    </w:p>
    <w:p w:rsidR="00500724" w:rsidRDefault="00500724">
      <w:pPr>
        <w:spacing w:line="14" w:lineRule="exact"/>
        <w:sectPr w:rsidR="00500724">
          <w:footnotePr>
            <w:numFmt w:val="chicago"/>
            <w:numRestart w:val="eachPage"/>
          </w:footnotePr>
          <w:type w:val="continuous"/>
          <w:pgSz w:w="11909" w:h="16834"/>
          <w:pgMar w:top="1515" w:right="800" w:bottom="749" w:left="617" w:header="0" w:footer="3" w:gutter="0"/>
          <w:cols w:space="720"/>
          <w:noEndnote/>
          <w:docGrid w:linePitch="360"/>
        </w:sectPr>
      </w:pPr>
    </w:p>
    <w:p w:rsidR="00500724" w:rsidRDefault="00F30FB8">
      <w:pPr>
        <w:pStyle w:val="Nadpis50"/>
        <w:keepNext/>
        <w:keepLines/>
        <w:framePr w:w="7061" w:h="1704" w:wrap="none" w:vAnchor="text" w:hAnchor="page" w:x="3409" w:y="337"/>
        <w:shd w:val="clear" w:color="auto" w:fill="auto"/>
      </w:pPr>
      <w:bookmarkStart w:id="130" w:name="bookmark129"/>
      <w:r>
        <w:t>vět knih</w:t>
      </w:r>
      <w:bookmarkEnd w:id="130"/>
    </w:p>
    <w:p w:rsidR="00500724" w:rsidRDefault="00F30FB8">
      <w:pPr>
        <w:pStyle w:val="Nadpis90"/>
        <w:keepNext/>
        <w:keepLines/>
        <w:framePr w:w="7296" w:h="523" w:wrap="none" w:vAnchor="text" w:hAnchor="page" w:x="3203" w:y="2041"/>
        <w:shd w:val="clear" w:color="auto" w:fill="auto"/>
        <w:spacing w:after="0"/>
        <w:rPr>
          <w:sz w:val="42"/>
          <w:szCs w:val="42"/>
        </w:rPr>
      </w:pPr>
      <w:bookmarkStart w:id="131" w:name="bookmark130"/>
      <w:r>
        <w:rPr>
          <w:b/>
          <w:bCs/>
          <w:sz w:val="34"/>
          <w:szCs w:val="34"/>
        </w:rPr>
        <w:t xml:space="preserve">KULTURNÍ </w:t>
      </w:r>
      <w:r>
        <w:rPr>
          <w:smallCaps/>
          <w:sz w:val="42"/>
          <w:szCs w:val="42"/>
        </w:rPr>
        <w:t>zpravodaj</w:t>
      </w:r>
      <w:bookmarkEnd w:id="131"/>
    </w:p>
    <w:p w:rsidR="00500724" w:rsidRDefault="00F30FB8">
      <w:pPr>
        <w:pStyle w:val="Nadpis110"/>
        <w:framePr w:w="336" w:h="1781" w:wrap="none" w:vAnchor="text" w:hAnchor="page" w:x="10748" w:y="21"/>
        <w:shd w:val="clear" w:color="auto" w:fill="auto"/>
      </w:pPr>
      <w:bookmarkStart w:id="132" w:name="bookmark131"/>
      <w:r>
        <w:t>F—</w:t>
      </w:r>
      <w:bookmarkEnd w:id="132"/>
    </w:p>
    <w:p w:rsidR="00500724" w:rsidRDefault="00F30FB8">
      <w:pPr>
        <w:pStyle w:val="Nadpis110"/>
        <w:framePr w:w="336" w:h="1781" w:wrap="none" w:vAnchor="text" w:hAnchor="page" w:x="10748" w:y="21"/>
        <w:shd w:val="clear" w:color="auto" w:fill="auto"/>
        <w:spacing w:line="180" w:lineRule="auto"/>
      </w:pPr>
      <w:bookmarkStart w:id="133" w:name="bookmark132"/>
      <w:r>
        <w:t>o</w:t>
      </w:r>
      <w:bookmarkEnd w:id="133"/>
    </w:p>
    <w:p w:rsidR="00500724" w:rsidRDefault="00F30FB8">
      <w:pPr>
        <w:pStyle w:val="Nadpis110"/>
        <w:framePr w:w="336" w:h="1781" w:wrap="none" w:vAnchor="text" w:hAnchor="page" w:x="10748" w:y="21"/>
        <w:shd w:val="clear" w:color="auto" w:fill="auto"/>
        <w:spacing w:after="400" w:line="180" w:lineRule="auto"/>
      </w:pPr>
      <w:bookmarkStart w:id="134" w:name="bookmark133"/>
      <w:r>
        <w:t>o&lt;</w:t>
      </w:r>
      <w:bookmarkEnd w:id="134"/>
    </w:p>
    <w:p w:rsidR="00500724" w:rsidRDefault="00F30FB8">
      <w:pPr>
        <w:pStyle w:val="Nadpis110"/>
        <w:framePr w:w="336" w:h="1781" w:wrap="none" w:vAnchor="text" w:hAnchor="page" w:x="10748" w:y="21"/>
        <w:shd w:val="clear" w:color="auto" w:fill="auto"/>
      </w:pPr>
      <w:bookmarkStart w:id="135" w:name="bookmark134"/>
      <w:r>
        <w:t>o&lt;</w:t>
      </w:r>
      <w:bookmarkEnd w:id="135"/>
    </w:p>
    <w:p w:rsidR="00500724" w:rsidRDefault="00F30FB8">
      <w:pPr>
        <w:pStyle w:val="Nadpis110"/>
        <w:framePr w:w="336" w:h="1781" w:wrap="none" w:vAnchor="text" w:hAnchor="page" w:x="10748" w:y="21"/>
        <w:shd w:val="clear" w:color="auto" w:fill="auto"/>
      </w:pPr>
      <w:bookmarkStart w:id="136" w:name="bookmark135"/>
      <w:r>
        <w:t>(A</w:t>
      </w:r>
      <w:bookmarkEnd w:id="136"/>
    </w:p>
    <w:p w:rsidR="00500724" w:rsidRDefault="00F30FB8">
      <w:pPr>
        <w:pStyle w:val="Nadpis110"/>
        <w:framePr w:w="336" w:h="1781" w:wrap="none" w:vAnchor="text" w:hAnchor="page" w:x="10748" w:y="21"/>
        <w:shd w:val="clear" w:color="auto" w:fill="auto"/>
        <w:spacing w:after="220"/>
      </w:pPr>
      <w:bookmarkStart w:id="137" w:name="bookmark136"/>
      <w:r>
        <w:t>o</w:t>
      </w:r>
      <w:bookmarkEnd w:id="137"/>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89" w:line="14" w:lineRule="exact"/>
      </w:pPr>
    </w:p>
    <w:p w:rsidR="00500724" w:rsidRDefault="00500724">
      <w:pPr>
        <w:spacing w:line="14" w:lineRule="exact"/>
        <w:sectPr w:rsidR="00500724">
          <w:footnotePr>
            <w:numFmt w:val="chicago"/>
            <w:numRestart w:val="eachPage"/>
          </w:footnotePr>
          <w:pgSz w:w="11909" w:h="16834"/>
          <w:pgMar w:top="742" w:right="773" w:bottom="633" w:left="538" w:header="0" w:footer="3" w:gutter="0"/>
          <w:cols w:space="720"/>
          <w:noEndnote/>
          <w:docGrid w:linePitch="360"/>
        </w:sectPr>
      </w:pPr>
    </w:p>
    <w:p w:rsidR="00500724" w:rsidRDefault="00F30FB8">
      <w:pPr>
        <w:spacing w:line="14" w:lineRule="exact"/>
      </w:pPr>
      <w:r>
        <w:rPr>
          <w:noProof/>
        </w:rPr>
        <mc:AlternateContent>
          <mc:Choice Requires="wps">
            <w:drawing>
              <wp:anchor distT="0" distB="101600" distL="12700" distR="12700" simplePos="0" relativeHeight="125829462" behindDoc="0" locked="0" layoutInCell="1" allowOverlap="1">
                <wp:simplePos x="0" y="0"/>
                <wp:positionH relativeFrom="page">
                  <wp:posOffset>2078990</wp:posOffset>
                </wp:positionH>
                <wp:positionV relativeFrom="paragraph">
                  <wp:posOffset>12700</wp:posOffset>
                </wp:positionV>
                <wp:extent cx="3249295" cy="119761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3249295" cy="1197610"/>
                        </a:xfrm>
                        <a:prstGeom prst="rect">
                          <a:avLst/>
                        </a:prstGeom>
                        <a:noFill/>
                      </wps:spPr>
                      <wps:txbx>
                        <w:txbxContent>
                          <w:p w:rsidR="00500724" w:rsidRDefault="00F30FB8">
                            <w:pPr>
                              <w:pStyle w:val="Jin0"/>
                              <w:shd w:val="clear" w:color="auto" w:fill="auto"/>
                              <w:spacing w:after="40"/>
                              <w:ind w:firstLine="0"/>
                              <w:jc w:val="right"/>
                              <w:rPr>
                                <w:sz w:val="26"/>
                                <w:szCs w:val="26"/>
                              </w:rPr>
                            </w:pPr>
                            <w:r>
                              <w:rPr>
                                <w:b/>
                                <w:bCs/>
                                <w:sz w:val="26"/>
                                <w:szCs w:val="26"/>
                              </w:rPr>
                              <w:t>Dvě z mistrovských ctností Karla Čapka</w:t>
                            </w:r>
                          </w:p>
                          <w:p w:rsidR="00500724" w:rsidRDefault="00F30FB8">
                            <w:pPr>
                              <w:pStyle w:val="Zkladntext1"/>
                              <w:shd w:val="clear" w:color="auto" w:fill="auto"/>
                              <w:spacing w:line="233" w:lineRule="auto"/>
                              <w:ind w:firstLine="200"/>
                            </w:pPr>
                            <w:r>
                              <w:rPr>
                                <w:b/>
                                <w:bCs/>
                              </w:rPr>
                              <w:t xml:space="preserve">Karel čapek byl umělec naprosto vědomý a znal z gruntu pořádně </w:t>
                            </w:r>
                            <w:r>
                              <w:rPr>
                                <w:b/>
                                <w:bCs/>
                              </w:rPr>
                              <w:t>spisovatelské řemeslo. Věděl, jak se dělá napětí, dovedl odhadnout nosnost scény a dosah slova, uměl napsat novelu a uměl postavit drama. Jeho mezinárodní úspěchy, nezpůsobily jakési tajemné známosti, nýbrž skutečnost, že psal knihy pro čtenáře a divadlo p</w:t>
                            </w:r>
                            <w:r>
                              <w:rPr>
                                <w:b/>
                                <w:bCs/>
                              </w:rPr>
                              <w:t>ro diváky.</w:t>
                            </w:r>
                          </w:p>
                          <w:p w:rsidR="00500724" w:rsidRDefault="00F30FB8">
                            <w:pPr>
                              <w:pStyle w:val="Zkladntext1"/>
                              <w:shd w:val="clear" w:color="auto" w:fill="auto"/>
                              <w:spacing w:line="221" w:lineRule="auto"/>
                              <w:ind w:firstLine="0"/>
                              <w:jc w:val="right"/>
                              <w:rPr>
                                <w:sz w:val="20"/>
                                <w:szCs w:val="20"/>
                              </w:rPr>
                            </w:pPr>
                            <w:r>
                              <w:rPr>
                                <w:b/>
                                <w:bCs/>
                                <w:i/>
                                <w:iCs/>
                                <w:sz w:val="20"/>
                                <w:szCs w:val="20"/>
                              </w:rPr>
                              <w:t>Marie Pujmanová (v Kritickém měsíčníku)</w:t>
                            </w:r>
                          </w:p>
                        </w:txbxContent>
                      </wps:txbx>
                      <wps:bodyPr lIns="0" tIns="0" rIns="0" bIns="0">
                        <a:spAutoFit/>
                      </wps:bodyPr>
                    </wps:wsp>
                  </a:graphicData>
                </a:graphic>
              </wp:anchor>
            </w:drawing>
          </mc:Choice>
          <mc:Fallback>
            <w:pict>
              <v:shape id="_x0000_s1111" type="#_x0000_t202" style="position:absolute;margin-left:163.69999999999999pt;margin-top:1.pt;width:255.84999999999999pt;height:94.299999999999997pt;z-index:-125829291;mso-wrap-distance-left:1.pt;mso-wrap-distance-right:1.pt;mso-wrap-distance-bottom:8.pt;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0" w:firstLine="0"/>
                        <w:jc w:val="right"/>
                        <w:rPr>
                          <w:sz w:val="26"/>
                          <w:szCs w:val="26"/>
                        </w:rPr>
                      </w:pPr>
                      <w:r>
                        <w:rPr>
                          <w:b/>
                          <w:bCs/>
                          <w:color w:val="000000"/>
                          <w:spacing w:val="0"/>
                          <w:w w:val="100"/>
                          <w:position w:val="0"/>
                          <w:sz w:val="26"/>
                          <w:szCs w:val="26"/>
                          <w:shd w:val="clear" w:color="auto" w:fill="auto"/>
                          <w:lang w:val="cs-CZ" w:eastAsia="cs-CZ" w:bidi="cs-CZ"/>
                        </w:rPr>
                        <w:t>Dvě z mistrovských ctností Karla Čapka</w:t>
                      </w:r>
                    </w:p>
                    <w:p>
                      <w:pPr>
                        <w:pStyle w:val="Style18"/>
                        <w:keepNext w:val="0"/>
                        <w:keepLines w:val="0"/>
                        <w:widowControl w:val="0"/>
                        <w:shd w:val="clear" w:color="auto" w:fill="auto"/>
                        <w:bidi w:val="0"/>
                        <w:spacing w:before="0" w:after="0" w:line="233" w:lineRule="auto"/>
                        <w:ind w:left="0" w:right="0" w:firstLine="200"/>
                      </w:pPr>
                      <w:r>
                        <w:rPr>
                          <w:b/>
                          <w:bCs/>
                          <w:color w:val="000000"/>
                          <w:spacing w:val="0"/>
                          <w:w w:val="100"/>
                          <w:position w:val="0"/>
                          <w:shd w:val="clear" w:color="auto" w:fill="auto"/>
                          <w:lang w:val="cs-CZ" w:eastAsia="cs-CZ" w:bidi="cs-CZ"/>
                        </w:rPr>
                        <w:t>Karel čapek byl umělec naprosto vědomý a znal z gruntu pořádně spisovatelské řemeslo. Věděl, jak se dělá napětí, dovedl odhadnout nosnost scény a dosah slova, uměl napsat novelu a uměl postavit drama. Jeho mezinárodní úspěchy, nezpůsobily jakési tajemné známosti, nýbrž skutečnost, že psal knihy pro čtenáře a divadlo pro diváky.</w:t>
                      </w:r>
                    </w:p>
                    <w:p>
                      <w:pPr>
                        <w:pStyle w:val="Style18"/>
                        <w:keepNext w:val="0"/>
                        <w:keepLines w:val="0"/>
                        <w:widowControl w:val="0"/>
                        <w:shd w:val="clear" w:color="auto" w:fill="auto"/>
                        <w:bidi w:val="0"/>
                        <w:spacing w:before="0" w:after="0" w:line="221" w:lineRule="auto"/>
                        <w:ind w:left="0" w:right="0" w:firstLine="0"/>
                        <w:jc w:val="right"/>
                        <w:rPr>
                          <w:sz w:val="20"/>
                          <w:szCs w:val="20"/>
                        </w:rPr>
                      </w:pPr>
                      <w:r>
                        <w:rPr>
                          <w:b/>
                          <w:bCs/>
                          <w:i/>
                          <w:iCs/>
                          <w:color w:val="000000"/>
                          <w:spacing w:val="0"/>
                          <w:w w:val="100"/>
                          <w:position w:val="0"/>
                          <w:sz w:val="20"/>
                          <w:szCs w:val="20"/>
                          <w:shd w:val="clear" w:color="auto" w:fill="auto"/>
                          <w:lang w:val="cs-CZ" w:eastAsia="cs-CZ" w:bidi="cs-CZ"/>
                        </w:rPr>
                        <w:t>Marie Pujmanová (v Kritickém měsíčníku)</w:t>
                      </w:r>
                    </w:p>
                  </w:txbxContent>
                </v:textbox>
                <w10:wrap type="topAndBottom" anchorx="page"/>
              </v:shape>
            </w:pict>
          </mc:Fallback>
        </mc:AlternateContent>
      </w:r>
    </w:p>
    <w:p w:rsidR="00500724" w:rsidRDefault="00F30FB8">
      <w:pPr>
        <w:pStyle w:val="Zkladntext30"/>
        <w:shd w:val="clear" w:color="auto" w:fill="auto"/>
        <w:spacing w:after="0" w:line="202" w:lineRule="auto"/>
        <w:ind w:firstLine="0"/>
        <w:jc w:val="left"/>
        <w:rPr>
          <w:sz w:val="20"/>
          <w:szCs w:val="20"/>
        </w:rPr>
      </w:pPr>
      <w:r>
        <w:rPr>
          <w:b/>
          <w:bCs/>
          <w:i/>
          <w:iCs/>
          <w:sz w:val="20"/>
          <w:szCs w:val="20"/>
        </w:rPr>
        <w:t>Josef Hora:</w:t>
      </w:r>
    </w:p>
    <w:p w:rsidR="00500724" w:rsidRDefault="00F30FB8">
      <w:pPr>
        <w:pStyle w:val="Jin0"/>
        <w:shd w:val="clear" w:color="auto" w:fill="auto"/>
        <w:spacing w:after="60"/>
        <w:ind w:firstLine="0"/>
        <w:jc w:val="center"/>
        <w:rPr>
          <w:sz w:val="28"/>
          <w:szCs w:val="28"/>
        </w:rPr>
      </w:pPr>
      <w:r>
        <w:rPr>
          <w:b/>
          <w:bCs/>
          <w:i/>
          <w:iCs/>
          <w:sz w:val="28"/>
          <w:szCs w:val="28"/>
          <w:lang w:val="en-US" w:eastAsia="en-US" w:bidi="en-US"/>
        </w:rPr>
        <w:t xml:space="preserve">ME </w:t>
      </w:r>
      <w:r>
        <w:rPr>
          <w:b/>
          <w:bCs/>
          <w:i/>
          <w:iCs/>
          <w:sz w:val="28"/>
          <w:szCs w:val="28"/>
        </w:rPr>
        <w:t>SÁM</w:t>
      </w:r>
      <w:r>
        <w:rPr>
          <w:b/>
          <w:bCs/>
          <w:i/>
          <w:iCs/>
          <w:sz w:val="28"/>
          <w:szCs w:val="28"/>
        </w:rPr>
        <w:footnoteReference w:id="1"/>
      </w:r>
    </w:p>
    <w:p w:rsidR="00500724" w:rsidRDefault="00F30FB8">
      <w:pPr>
        <w:pStyle w:val="Zkladntext30"/>
        <w:shd w:val="clear" w:color="auto" w:fill="auto"/>
        <w:spacing w:after="0" w:line="202" w:lineRule="auto"/>
        <w:ind w:right="340" w:firstLine="0"/>
        <w:jc w:val="left"/>
        <w:rPr>
          <w:sz w:val="20"/>
          <w:szCs w:val="20"/>
        </w:rPr>
      </w:pPr>
      <w:r>
        <w:rPr>
          <w:i/>
          <w:iCs/>
          <w:sz w:val="20"/>
          <w:szCs w:val="20"/>
        </w:rPr>
        <w:t>Chodí, vím, mezi námi, i sny mi vedou i prst.</w:t>
      </w:r>
    </w:p>
    <w:p w:rsidR="00500724" w:rsidRDefault="00F30FB8">
      <w:pPr>
        <w:pStyle w:val="Zkladntext30"/>
        <w:shd w:val="clear" w:color="auto" w:fill="auto"/>
        <w:spacing w:after="140" w:line="202" w:lineRule="auto"/>
        <w:ind w:right="340" w:firstLine="0"/>
        <w:jc w:val="left"/>
        <w:rPr>
          <w:sz w:val="20"/>
          <w:szCs w:val="20"/>
        </w:rPr>
      </w:pPr>
      <w:r>
        <w:rPr>
          <w:i/>
          <w:iCs/>
          <w:sz w:val="20"/>
          <w:szCs w:val="20"/>
        </w:rPr>
        <w:t>Oni tu, z okna mámí mě noci jiskřící srst.</w:t>
      </w:r>
    </w:p>
    <w:p w:rsidR="00500724" w:rsidRDefault="00F30FB8">
      <w:pPr>
        <w:pStyle w:val="Zkladntext30"/>
        <w:shd w:val="clear" w:color="auto" w:fill="auto"/>
        <w:spacing w:after="0" w:line="199" w:lineRule="auto"/>
        <w:ind w:firstLine="0"/>
        <w:jc w:val="left"/>
        <w:rPr>
          <w:sz w:val="20"/>
          <w:szCs w:val="20"/>
        </w:rPr>
      </w:pPr>
      <w:r>
        <w:rPr>
          <w:i/>
          <w:iCs/>
          <w:sz w:val="20"/>
          <w:szCs w:val="20"/>
        </w:rPr>
        <w:t>Pohled tmou do ní velne, dálka se rozsvítí.</w:t>
      </w:r>
    </w:p>
    <w:p w:rsidR="00500724" w:rsidRDefault="00F30FB8">
      <w:pPr>
        <w:pStyle w:val="Zkladntext30"/>
        <w:shd w:val="clear" w:color="auto" w:fill="auto"/>
        <w:spacing w:after="140" w:line="199" w:lineRule="auto"/>
        <w:ind w:firstLine="0"/>
        <w:jc w:val="left"/>
        <w:rPr>
          <w:sz w:val="20"/>
          <w:szCs w:val="20"/>
        </w:rPr>
      </w:pPr>
      <w:r>
        <w:rPr>
          <w:i/>
          <w:iCs/>
          <w:sz w:val="20"/>
          <w:szCs w:val="20"/>
        </w:rPr>
        <w:t>Ach, o neviditelné se opříti!</w:t>
      </w:r>
    </w:p>
    <w:p w:rsidR="00500724" w:rsidRDefault="00F30FB8">
      <w:pPr>
        <w:pStyle w:val="Zkladntext30"/>
        <w:shd w:val="clear" w:color="auto" w:fill="auto"/>
        <w:spacing w:after="0" w:line="204" w:lineRule="auto"/>
        <w:ind w:firstLine="0"/>
        <w:jc w:val="left"/>
        <w:rPr>
          <w:sz w:val="20"/>
          <w:szCs w:val="20"/>
        </w:rPr>
      </w:pPr>
      <w:r>
        <w:rPr>
          <w:i/>
          <w:iCs/>
          <w:sz w:val="20"/>
          <w:szCs w:val="20"/>
        </w:rPr>
        <w:t xml:space="preserve">Vkročiti do kročeje </w:t>
      </w:r>
      <w:r>
        <w:rPr>
          <w:i/>
          <w:iCs/>
          <w:sz w:val="20"/>
          <w:szCs w:val="20"/>
        </w:rPr>
        <w:t>toho, jenž pevně Sel.</w:t>
      </w:r>
    </w:p>
    <w:p w:rsidR="00500724" w:rsidRDefault="00F30FB8">
      <w:pPr>
        <w:pStyle w:val="Zkladntext30"/>
        <w:shd w:val="clear" w:color="auto" w:fill="auto"/>
        <w:spacing w:after="140" w:line="204" w:lineRule="auto"/>
        <w:ind w:firstLine="0"/>
        <w:jc w:val="left"/>
        <w:rPr>
          <w:sz w:val="20"/>
          <w:szCs w:val="20"/>
        </w:rPr>
      </w:pPr>
      <w:r>
        <w:rPr>
          <w:i/>
          <w:iCs/>
          <w:sz w:val="20"/>
          <w:szCs w:val="20"/>
        </w:rPr>
        <w:t>Nevěřit, bez naděje, že rozblátila se běl.</w:t>
      </w:r>
    </w:p>
    <w:p w:rsidR="00500724" w:rsidRDefault="00F30FB8">
      <w:pPr>
        <w:pStyle w:val="Zkladntext30"/>
        <w:shd w:val="clear" w:color="auto" w:fill="auto"/>
        <w:spacing w:after="0" w:line="202" w:lineRule="auto"/>
        <w:ind w:firstLine="0"/>
        <w:jc w:val="left"/>
        <w:rPr>
          <w:sz w:val="20"/>
          <w:szCs w:val="20"/>
        </w:rPr>
      </w:pPr>
      <w:r>
        <w:rPr>
          <w:i/>
          <w:iCs/>
          <w:sz w:val="20"/>
          <w:szCs w:val="20"/>
        </w:rPr>
        <w:t>Zmnožit se, zmnožit se vSemi, živými, mrtvými.</w:t>
      </w:r>
    </w:p>
    <w:p w:rsidR="00500724" w:rsidRDefault="00F30FB8">
      <w:pPr>
        <w:pStyle w:val="Zkladntext30"/>
        <w:shd w:val="clear" w:color="auto" w:fill="auto"/>
        <w:spacing w:after="140" w:line="202" w:lineRule="auto"/>
        <w:ind w:firstLine="0"/>
        <w:jc w:val="left"/>
        <w:rPr>
          <w:sz w:val="20"/>
          <w:szCs w:val="20"/>
        </w:rPr>
      </w:pPr>
      <w:r>
        <w:rPr>
          <w:i/>
          <w:iCs/>
          <w:sz w:val="20"/>
          <w:szCs w:val="20"/>
        </w:rPr>
        <w:t>Městy i vesnicemi se ubírat za nimi.</w:t>
      </w:r>
    </w:p>
    <w:p w:rsidR="00500724" w:rsidRDefault="00F30FB8">
      <w:pPr>
        <w:pStyle w:val="Zkladntext30"/>
        <w:shd w:val="clear" w:color="auto" w:fill="auto"/>
        <w:spacing w:after="0" w:line="240" w:lineRule="auto"/>
        <w:ind w:firstLine="0"/>
        <w:jc w:val="left"/>
        <w:rPr>
          <w:sz w:val="20"/>
          <w:szCs w:val="20"/>
        </w:rPr>
      </w:pPr>
      <w:r>
        <w:rPr>
          <w:i/>
          <w:iCs/>
          <w:sz w:val="20"/>
          <w:szCs w:val="20"/>
        </w:rPr>
        <w:t>Kdo to jde přede mnou,</w:t>
      </w:r>
    </w:p>
    <w:p w:rsidR="00500724" w:rsidRDefault="00F30FB8">
      <w:pPr>
        <w:pStyle w:val="Zkladntext30"/>
        <w:shd w:val="clear" w:color="auto" w:fill="auto"/>
        <w:spacing w:after="0" w:line="180" w:lineRule="auto"/>
        <w:ind w:firstLine="0"/>
        <w:jc w:val="right"/>
        <w:rPr>
          <w:sz w:val="20"/>
          <w:szCs w:val="20"/>
        </w:rPr>
      </w:pPr>
      <w:r>
        <w:rPr>
          <w:i/>
          <w:iCs/>
          <w:sz w:val="20"/>
          <w:szCs w:val="20"/>
        </w:rPr>
        <w:t>světe?</w:t>
      </w:r>
    </w:p>
    <w:p w:rsidR="00500724" w:rsidRDefault="00F30FB8">
      <w:pPr>
        <w:pStyle w:val="Zkladntext30"/>
        <w:shd w:val="clear" w:color="auto" w:fill="auto"/>
        <w:spacing w:after="80" w:line="202" w:lineRule="auto"/>
        <w:ind w:firstLine="0"/>
        <w:jc w:val="left"/>
        <w:rPr>
          <w:sz w:val="20"/>
          <w:szCs w:val="20"/>
        </w:rPr>
      </w:pPr>
      <w:r>
        <w:rPr>
          <w:i/>
          <w:iCs/>
          <w:sz w:val="20"/>
          <w:szCs w:val="20"/>
        </w:rPr>
        <w:t>Promluv! Kdo vede ho? Vím, píseň vzroste a vzkvete zas z ničeho, z ničeho.</w:t>
      </w:r>
    </w:p>
    <w:p w:rsidR="00500724" w:rsidRDefault="00F30FB8">
      <w:pPr>
        <w:pStyle w:val="Zkladntext40"/>
        <w:shd w:val="clear" w:color="auto" w:fill="auto"/>
        <w:spacing w:after="140" w:line="166" w:lineRule="auto"/>
        <w:jc w:val="left"/>
        <w:rPr>
          <w:sz w:val="16"/>
          <w:szCs w:val="16"/>
        </w:rPr>
      </w:pPr>
      <w:r>
        <w:rPr>
          <w:b/>
          <w:bCs/>
          <w:sz w:val="16"/>
          <w:szCs w:val="16"/>
        </w:rPr>
        <w:t xml:space="preserve">* </w:t>
      </w:r>
      <w:r>
        <w:rPr>
          <w:b/>
          <w:bCs/>
          <w:sz w:val="16"/>
          <w:szCs w:val="16"/>
        </w:rPr>
        <w:t>Z Kritického měsíčníku.</w:t>
      </w:r>
    </w:p>
    <w:p w:rsidR="00500724" w:rsidRDefault="00F30FB8">
      <w:pPr>
        <w:pStyle w:val="Jin0"/>
        <w:shd w:val="clear" w:color="auto" w:fill="auto"/>
        <w:spacing w:after="80"/>
        <w:ind w:firstLine="0"/>
        <w:jc w:val="left"/>
        <w:rPr>
          <w:sz w:val="26"/>
          <w:szCs w:val="26"/>
        </w:rPr>
      </w:pPr>
      <w:r>
        <w:rPr>
          <w:b/>
          <w:bCs/>
          <w:sz w:val="26"/>
          <w:szCs w:val="26"/>
        </w:rPr>
        <w:t>NOVÉ KNIHY</w:t>
      </w:r>
    </w:p>
    <w:p w:rsidR="00500724" w:rsidRDefault="00F30FB8">
      <w:pPr>
        <w:pStyle w:val="Zkladntext1"/>
        <w:shd w:val="clear" w:color="auto" w:fill="auto"/>
        <w:spacing w:line="211" w:lineRule="auto"/>
        <w:ind w:firstLine="0"/>
        <w:jc w:val="left"/>
      </w:pPr>
      <w:r>
        <w:rPr>
          <w:b/>
          <w:bCs/>
        </w:rPr>
        <w:t>Václav Řezáč:</w:t>
      </w:r>
    </w:p>
    <w:p w:rsidR="00500724" w:rsidRDefault="00F30FB8">
      <w:pPr>
        <w:pStyle w:val="Zkladntext1"/>
        <w:shd w:val="clear" w:color="auto" w:fill="auto"/>
        <w:spacing w:after="60"/>
        <w:ind w:firstLine="0"/>
        <w:jc w:val="left"/>
        <w:rPr>
          <w:sz w:val="18"/>
          <w:szCs w:val="18"/>
        </w:rPr>
      </w:pPr>
      <w:r>
        <w:rPr>
          <w:b/>
          <w:bCs/>
          <w:sz w:val="18"/>
          <w:szCs w:val="18"/>
        </w:rPr>
        <w:t>SLEPÁ ULIČKA</w:t>
      </w:r>
    </w:p>
    <w:p w:rsidR="00500724" w:rsidRDefault="00F30FB8">
      <w:pPr>
        <w:pStyle w:val="Zkladntext40"/>
        <w:shd w:val="clear" w:color="auto" w:fill="auto"/>
        <w:spacing w:after="0"/>
      </w:pPr>
      <w:r>
        <w:t>Václav Řezáč, autor pozoruhodně zralé románové práce, která prá</w:t>
      </w:r>
      <w:r>
        <w:softHyphen/>
        <w:t>vě vychází pod názvem Slepá ulič</w:t>
      </w:r>
      <w:r>
        <w:softHyphen/>
        <w:t>ka, je z těch spisovatelů, kteři zrají sice pomalu, ale tlm zákoni</w:t>
      </w:r>
      <w:r>
        <w:softHyphen/>
        <w:t>těji a umělecky přesvědčivěji.</w:t>
      </w:r>
      <w:r>
        <w:t xml:space="preserve"> Třeba již sedmatřicetiletý, nemá za sebou, pomineme-li jeho tři knihy pro mládež a několik poví</w:t>
      </w:r>
      <w:r>
        <w:softHyphen/>
        <w:t>dek, kterými vstoupil do litera</w:t>
      </w:r>
      <w:r>
        <w:softHyphen/>
        <w:t>tury, než dvě prozaické práce. První je Větrná setba, zobrazu</w:t>
      </w:r>
      <w:r>
        <w:softHyphen/>
        <w:t>jící dokumentárně i drásavě</w:t>
      </w:r>
    </w:p>
    <w:p w:rsidR="00500724" w:rsidRDefault="00F30FB8">
      <w:pPr>
        <w:pStyle w:val="Zkladntext40"/>
        <w:shd w:val="clear" w:color="auto" w:fill="auto"/>
        <w:spacing w:after="0"/>
      </w:pPr>
      <w:r>
        <w:t xml:space="preserve">autenticky růst 1 osud mladého </w:t>
      </w:r>
      <w:r>
        <w:t>pokolení ve válečném zázemí, a druhá román Slepá ulička, na</w:t>
      </w:r>
      <w:r>
        <w:softHyphen/>
        <w:t>pojený naléhavou problematikou soudobého života, dílo čtenářsky neobyčejně poutavé a obsahově aktuální, psané ryzím a jadrným, sytým a plastickým jazykem. Srovnána s letopisy chlapeckého růstu a p</w:t>
      </w:r>
      <w:r>
        <w:t>robuzeni, Větrnou set</w:t>
      </w:r>
      <w:r>
        <w:softHyphen/>
        <w:t>bou, jeví se nám Slepá ulička jako dílo daleko velkorysejší v koncepci a zralejší v psychologii i vyprávěni, Byla-li Větrná setba jemnou a odstíněnou kronikou generace, která na svém těle i v své duši prožila zmatek, který rozvracel v</w:t>
      </w:r>
      <w:r>
        <w:t>yhladovělé a demora- lisované zázemí za války, je Sle</w:t>
      </w:r>
      <w:r>
        <w:softHyphen/>
        <w:t>pá ulička již románem v pravém smyslu toho slova to jest dílem, které má svou stavebnou zákoni</w:t>
      </w:r>
      <w:r>
        <w:softHyphen/>
        <w:t>tost, vnitřní zdůvodněnost a dě</w:t>
      </w:r>
      <w:r>
        <w:softHyphen/>
        <w:t>jové zaměření. Ze spletité skuteč</w:t>
      </w:r>
      <w:r>
        <w:softHyphen/>
        <w:t>nosti života z jeho třídních zmat</w:t>
      </w:r>
      <w:r>
        <w:softHyphen/>
        <w:t>ků a sp</w:t>
      </w:r>
      <w:r>
        <w:t>orů vybírá si jen skutečné typy, aby na jejich osudu i údělu soudil přísně i spravedlivě nejen společnost a jeji sociální zřízeni, nýbrž i samou dobu. Dějovými kořeny tkví Jeho román v pohnu</w:t>
      </w:r>
      <w:r>
        <w:softHyphen/>
        <w:t>té době poválečné krise, kterou Václav Řezáč zachycuje tak, jak s</w:t>
      </w:r>
      <w:r>
        <w:t>e obrážela na životních osudech a příbězích nejtypičtějších před</w:t>
      </w:r>
      <w:r>
        <w:softHyphen/>
        <w:t>stavitelů Jednotlivých sociálních tříd, jako továrníka Michala Gro- muse, dělníků Balady a Poura Baladový dcery, krasavice Růže</w:t>
      </w:r>
      <w:r>
        <w:softHyphen/>
        <w:t>ny, vydržované a nakonec za</w:t>
      </w:r>
      <w:r>
        <w:softHyphen/>
        <w:t>vržené milenky boháče Gromuse. Pros</w:t>
      </w:r>
      <w:r>
        <w:t>tě: na vzájemných třídních 1 čistě lidských vztazích svých po</w:t>
      </w:r>
      <w:r>
        <w:softHyphen/>
        <w:t>stav Václav Řezáč přesvědčivě dovodil v tomto románě, jak jsme se za let krise se svou sociální tvořivostí octil ve slepé uličce.</w:t>
      </w:r>
    </w:p>
    <w:p w:rsidR="00500724" w:rsidRDefault="00F30FB8">
      <w:pPr>
        <w:spacing w:line="1" w:lineRule="exact"/>
        <w:rPr>
          <w:sz w:val="2"/>
          <w:szCs w:val="2"/>
        </w:rPr>
      </w:pPr>
      <w:r>
        <w:br w:type="column"/>
      </w:r>
    </w:p>
    <w:p w:rsidR="00500724" w:rsidRDefault="00F30FB8">
      <w:pPr>
        <w:pStyle w:val="Zkladntext40"/>
        <w:shd w:val="clear" w:color="auto" w:fill="auto"/>
        <w:spacing w:after="120" w:line="168" w:lineRule="auto"/>
        <w:rPr>
          <w:sz w:val="16"/>
          <w:szCs w:val="16"/>
        </w:rPr>
      </w:pPr>
      <w:r>
        <w:rPr>
          <w:b/>
          <w:bCs/>
          <w:sz w:val="16"/>
          <w:szCs w:val="16"/>
        </w:rPr>
        <w:t>A zde Je jeho román dokumentem stejně závažným, jako Je závaž</w:t>
      </w:r>
      <w:r>
        <w:rPr>
          <w:b/>
          <w:bCs/>
          <w:sz w:val="16"/>
          <w:szCs w:val="16"/>
        </w:rPr>
        <w:softHyphen/>
      </w:r>
      <w:r>
        <w:rPr>
          <w:b/>
          <w:bCs/>
          <w:sz w:val="16"/>
          <w:szCs w:val="16"/>
        </w:rPr>
        <w:t>ným dílem umělecky tvůrčím. Cena brož. svazku Je 35 Kč.</w:t>
      </w:r>
    </w:p>
    <w:p w:rsidR="00500724" w:rsidRDefault="00F30FB8">
      <w:pPr>
        <w:pStyle w:val="Zkladntext1"/>
        <w:shd w:val="clear" w:color="auto" w:fill="auto"/>
        <w:spacing w:after="40" w:line="223" w:lineRule="auto"/>
        <w:ind w:firstLine="0"/>
        <w:jc w:val="left"/>
        <w:rPr>
          <w:sz w:val="18"/>
          <w:szCs w:val="18"/>
        </w:rPr>
      </w:pPr>
      <w:r>
        <w:rPr>
          <w:b/>
          <w:bCs/>
          <w:sz w:val="18"/>
          <w:szCs w:val="18"/>
        </w:rPr>
        <w:t>KRITICKÝ MĚSÍČNÍK VSTUPUJE DO DRUHÉHO ROČNÍKU</w:t>
      </w:r>
    </w:p>
    <w:p w:rsidR="00500724" w:rsidRDefault="00F30FB8">
      <w:pPr>
        <w:pStyle w:val="Zkladntext40"/>
        <w:shd w:val="clear" w:color="auto" w:fill="auto"/>
        <w:spacing w:after="0" w:line="175" w:lineRule="auto"/>
      </w:pPr>
      <w:r>
        <w:t>Právě vyšlé první číslo Kritické</w:t>
      </w:r>
      <w:r>
        <w:softHyphen/>
        <w:t>ho měsíčníku věnuje velkou po</w:t>
      </w:r>
      <w:r>
        <w:softHyphen/>
        <w:t>zornost původním básním. Přiná</w:t>
      </w:r>
      <w:r>
        <w:softHyphen/>
        <w:t xml:space="preserve">ší verše Josefa Hory, </w:t>
      </w:r>
      <w:r>
        <w:rPr>
          <w:lang w:val="en-US" w:eastAsia="en-US" w:bidi="en-US"/>
        </w:rPr>
        <w:t xml:space="preserve">Cassia, </w:t>
      </w:r>
      <w:r>
        <w:t>Ji</w:t>
      </w:r>
      <w:r>
        <w:softHyphen/>
        <w:t xml:space="preserve">řího Taufra Zdeňka Kriebla </w:t>
      </w:r>
      <w:r>
        <w:t>La</w:t>
      </w:r>
      <w:r>
        <w:softHyphen/>
        <w:t>dislava Stehlíka Ivana Blatného, Svatopluka Kadlece, Klementa Bochořáka, Františka Halase a Kamila Bednáře. Básnické pří</w:t>
      </w:r>
      <w:r>
        <w:softHyphen/>
        <w:t>spěvky jsou doplněny kritickým průhledem do nové poesie, kde Václav Černý pronikavě soudí a rozbírá novou básnickou sbírku Vladimíra</w:t>
      </w:r>
      <w:r>
        <w:t xml:space="preserve"> Holana Září 1938, bá</w:t>
      </w:r>
      <w:r>
        <w:softHyphen/>
        <w:t>seň Josefa Hory Zpěv rodné zemi, nové verše Františka Halase Tor</w:t>
      </w:r>
      <w:r>
        <w:softHyphen/>
        <w:t>so naděje, Bohumil Polán vrhá zajímavý kritický pohled na ly</w:t>
      </w:r>
      <w:r>
        <w:softHyphen/>
        <w:t>rické glosy Jaroslava Seiferta Zhasněte světla, Karel Polák vy</w:t>
      </w:r>
      <w:r>
        <w:softHyphen/>
        <w:t xml:space="preserve">soce hodnotí novou lyriku Kol- mana </w:t>
      </w:r>
      <w:r>
        <w:rPr>
          <w:lang w:val="en-US" w:eastAsia="en-US" w:bidi="en-US"/>
        </w:rPr>
        <w:t xml:space="preserve">Cassia </w:t>
      </w:r>
      <w:r>
        <w:t>Že</w:t>
      </w:r>
      <w:r>
        <w:t>lezná košile, a ko</w:t>
      </w:r>
      <w:r>
        <w:softHyphen/>
        <w:t>nečně slovenský kritik M. Chor- váth upozorňuje a poukazuje kri</w:t>
      </w:r>
      <w:r>
        <w:softHyphen/>
        <w:t>ticky zdůvodněně na sbírku veršů R. Fabryho Vodné hodiny hodiny píesočné. Teoretic</w:t>
      </w:r>
      <w:r>
        <w:softHyphen/>
        <w:t>ký doplněk naléhavé pravdivosti a důležitosti tvoří úvodní projev redaktora časopisu Václa</w:t>
      </w:r>
      <w:r>
        <w:t>va Čer</w:t>
      </w:r>
      <w:r>
        <w:softHyphen/>
        <w:t>ného, přiléhavě nazvaný Ještě o básnících ve dnech krise a ještě k básníkům, vyznívající v kate</w:t>
      </w:r>
      <w:r>
        <w:softHyphen/>
        <w:t>gorický imperativ k básníkům: Nenechte si vzít slávu, že Jste byli básníky této přítomné chví</w:t>
      </w:r>
      <w:r>
        <w:softHyphen/>
        <w:t>le ... Neodcházejte z boje o přl-</w:t>
      </w:r>
    </w:p>
    <w:p w:rsidR="00500724" w:rsidRDefault="00F30FB8">
      <w:pPr>
        <w:spacing w:line="1" w:lineRule="exact"/>
        <w:rPr>
          <w:sz w:val="2"/>
          <w:szCs w:val="2"/>
        </w:rPr>
      </w:pPr>
      <w:r>
        <w:br w:type="column"/>
      </w:r>
    </w:p>
    <w:p w:rsidR="00500724" w:rsidRDefault="00F30FB8">
      <w:pPr>
        <w:pStyle w:val="Zkladntext1"/>
        <w:shd w:val="clear" w:color="auto" w:fill="auto"/>
        <w:spacing w:line="180" w:lineRule="auto"/>
        <w:ind w:firstLine="0"/>
        <w:jc w:val="left"/>
        <w:rPr>
          <w:sz w:val="20"/>
          <w:szCs w:val="20"/>
        </w:rPr>
      </w:pPr>
      <w:r>
        <w:rPr>
          <w:i/>
          <w:iCs/>
          <w:sz w:val="20"/>
          <w:szCs w:val="20"/>
        </w:rPr>
        <w:t>A. Mikulášková:</w:t>
      </w:r>
    </w:p>
    <w:p w:rsidR="00500724" w:rsidRDefault="00F30FB8">
      <w:pPr>
        <w:pStyle w:val="Zkladntext30"/>
        <w:shd w:val="clear" w:color="auto" w:fill="auto"/>
        <w:spacing w:after="120" w:line="240" w:lineRule="auto"/>
        <w:ind w:firstLine="0"/>
        <w:jc w:val="center"/>
        <w:rPr>
          <w:sz w:val="24"/>
          <w:szCs w:val="24"/>
        </w:rPr>
      </w:pPr>
      <w:r>
        <w:rPr>
          <w:i/>
          <w:iCs/>
          <w:sz w:val="24"/>
          <w:szCs w:val="24"/>
        </w:rPr>
        <w:t xml:space="preserve">25. </w:t>
      </w:r>
      <w:r>
        <w:rPr>
          <w:i/>
          <w:iCs/>
          <w:sz w:val="24"/>
          <w:szCs w:val="24"/>
        </w:rPr>
        <w:t>Xll. 1938*</w:t>
      </w:r>
    </w:p>
    <w:p w:rsidR="00500724" w:rsidRDefault="00F30FB8">
      <w:pPr>
        <w:pStyle w:val="Zkladntext30"/>
        <w:shd w:val="clear" w:color="auto" w:fill="auto"/>
        <w:spacing w:after="0" w:line="180" w:lineRule="auto"/>
        <w:ind w:firstLine="200"/>
        <w:rPr>
          <w:sz w:val="20"/>
          <w:szCs w:val="20"/>
        </w:rPr>
      </w:pPr>
      <w:r>
        <w:rPr>
          <w:i/>
          <w:iCs/>
          <w:sz w:val="20"/>
          <w:szCs w:val="20"/>
        </w:rPr>
        <w:t>Teď už ta neblahá skříň</w:t>
      </w:r>
      <w:r>
        <w:rPr>
          <w:i/>
          <w:iCs/>
          <w:sz w:val="20"/>
          <w:szCs w:val="20"/>
        </w:rPr>
        <w:softHyphen/>
        <w:t>ka mlčí. Mamě jsem ji upro</w:t>
      </w:r>
      <w:r>
        <w:rPr>
          <w:i/>
          <w:iCs/>
          <w:sz w:val="20"/>
          <w:szCs w:val="20"/>
        </w:rPr>
        <w:softHyphen/>
        <w:t>šovala úzkostlivými pohle</w:t>
      </w:r>
      <w:r>
        <w:rPr>
          <w:i/>
          <w:iCs/>
          <w:sz w:val="20"/>
          <w:szCs w:val="20"/>
        </w:rPr>
        <w:softHyphen/>
        <w:t>dy. Ten pocit stoupající a zase klesající naděje a úder slova tzemřelt jsem už jed</w:t>
      </w:r>
      <w:r>
        <w:rPr>
          <w:i/>
          <w:iCs/>
          <w:sz w:val="20"/>
          <w:szCs w:val="20"/>
        </w:rPr>
        <w:softHyphen/>
        <w:t>nou prožila. Když umřel sta</w:t>
      </w:r>
      <w:r>
        <w:rPr>
          <w:i/>
          <w:iCs/>
          <w:sz w:val="20"/>
          <w:szCs w:val="20"/>
        </w:rPr>
        <w:softHyphen/>
        <w:t xml:space="preserve">rý bělovlasý pán s vlídnýma očima. Jenže tehdy jste tu </w:t>
      </w:r>
      <w:r>
        <w:rPr>
          <w:i/>
          <w:iCs/>
          <w:sz w:val="20"/>
          <w:szCs w:val="20"/>
        </w:rPr>
        <w:t>zůstal Vy, přiblížil ho naše</w:t>
      </w:r>
      <w:r>
        <w:rPr>
          <w:i/>
          <w:iCs/>
          <w:sz w:val="20"/>
          <w:szCs w:val="20"/>
        </w:rPr>
        <w:softHyphen/>
        <w:t>mu srdci, pomohl jste těšiti.</w:t>
      </w:r>
    </w:p>
    <w:p w:rsidR="00500724" w:rsidRDefault="00F30FB8">
      <w:pPr>
        <w:pStyle w:val="Zkladntext30"/>
        <w:shd w:val="clear" w:color="auto" w:fill="auto"/>
        <w:spacing w:after="0" w:line="180" w:lineRule="auto"/>
        <w:ind w:firstLine="200"/>
        <w:rPr>
          <w:sz w:val="20"/>
          <w:szCs w:val="20"/>
        </w:rPr>
      </w:pPr>
      <w:r>
        <w:rPr>
          <w:i/>
          <w:iCs/>
          <w:sz w:val="20"/>
          <w:szCs w:val="20"/>
        </w:rPr>
        <w:t>Jako žák Masarykův jste věřil v nesmrtelnost duše. Skoda, že jsem se ještě ne</w:t>
      </w:r>
      <w:r>
        <w:rPr>
          <w:i/>
          <w:iCs/>
          <w:sz w:val="20"/>
          <w:szCs w:val="20"/>
        </w:rPr>
        <w:softHyphen/>
        <w:t>naučila dost pevně věřit. Člo</w:t>
      </w:r>
      <w:r>
        <w:rPr>
          <w:i/>
          <w:iCs/>
          <w:sz w:val="20"/>
          <w:szCs w:val="20"/>
        </w:rPr>
        <w:softHyphen/>
        <w:t>věk si připadá žalostně bez</w:t>
      </w:r>
      <w:r>
        <w:rPr>
          <w:i/>
          <w:iCs/>
          <w:sz w:val="20"/>
          <w:szCs w:val="20"/>
        </w:rPr>
        <w:softHyphen/>
        <w:t>mocný, že nemůže nahléd</w:t>
      </w:r>
      <w:r>
        <w:rPr>
          <w:i/>
          <w:iCs/>
          <w:sz w:val="20"/>
          <w:szCs w:val="20"/>
        </w:rPr>
        <w:softHyphen/>
        <w:t>nout přes začarovaný kruh, který jste</w:t>
      </w:r>
      <w:r>
        <w:rPr>
          <w:i/>
          <w:iCs/>
          <w:sz w:val="20"/>
          <w:szCs w:val="20"/>
        </w:rPr>
        <w:t xml:space="preserve"> překročil.</w:t>
      </w:r>
    </w:p>
    <w:p w:rsidR="00500724" w:rsidRDefault="00F30FB8">
      <w:pPr>
        <w:pStyle w:val="Zkladntext30"/>
        <w:shd w:val="clear" w:color="auto" w:fill="auto"/>
        <w:spacing w:after="0" w:line="180" w:lineRule="auto"/>
        <w:ind w:firstLine="200"/>
        <w:rPr>
          <w:sz w:val="20"/>
          <w:szCs w:val="20"/>
        </w:rPr>
      </w:pPr>
      <w:r>
        <w:rPr>
          <w:i/>
          <w:iCs/>
          <w:sz w:val="20"/>
          <w:szCs w:val="20"/>
        </w:rPr>
        <w:t>Na dosah ruky leží Vaše knihy. Nemusím v nich listo</w:t>
      </w:r>
      <w:r>
        <w:rPr>
          <w:i/>
          <w:iCs/>
          <w:sz w:val="20"/>
          <w:szCs w:val="20"/>
        </w:rPr>
        <w:softHyphen/>
        <w:t>vat, znám je příliš dobře. Zase budete ke mně mluvit, až je vezmu zítra do ruky a za měsíc, za rok zase, až bu</w:t>
      </w:r>
      <w:r>
        <w:rPr>
          <w:i/>
          <w:iCs/>
          <w:sz w:val="20"/>
          <w:szCs w:val="20"/>
        </w:rPr>
        <w:softHyphen/>
        <w:t>du docela stará.</w:t>
      </w:r>
    </w:p>
    <w:p w:rsidR="00500724" w:rsidRDefault="00F30FB8">
      <w:pPr>
        <w:pStyle w:val="Zkladntext30"/>
        <w:shd w:val="clear" w:color="auto" w:fill="auto"/>
        <w:spacing w:after="0" w:line="180" w:lineRule="auto"/>
        <w:ind w:firstLine="200"/>
        <w:rPr>
          <w:sz w:val="20"/>
          <w:szCs w:val="20"/>
        </w:rPr>
        <w:sectPr w:rsidR="00500724">
          <w:footnotePr>
            <w:numFmt w:val="chicago"/>
            <w:numRestart w:val="eachPage"/>
          </w:footnotePr>
          <w:type w:val="continuous"/>
          <w:pgSz w:w="11909" w:h="16834"/>
          <w:pgMar w:top="742" w:right="815" w:bottom="633" w:left="538" w:header="0" w:footer="3" w:gutter="0"/>
          <w:cols w:num="4" w:space="100"/>
          <w:noEndnote/>
          <w:docGrid w:linePitch="360"/>
        </w:sectPr>
      </w:pPr>
      <w:r>
        <w:rPr>
          <w:i/>
          <w:iCs/>
          <w:sz w:val="20"/>
          <w:szCs w:val="20"/>
        </w:rPr>
        <w:t>Vzpomínám na mnoho a mnoho lidí, s</w:t>
      </w:r>
      <w:r>
        <w:rPr>
          <w:i/>
          <w:iCs/>
          <w:sz w:val="20"/>
          <w:szCs w:val="20"/>
        </w:rPr>
        <w:t xml:space="preserve"> nimiž jste se v životě setkal. Pamatujete se na toho hubeného Angli</w:t>
      </w:r>
      <w:r>
        <w:rPr>
          <w:i/>
          <w:iCs/>
          <w:sz w:val="20"/>
          <w:szCs w:val="20"/>
        </w:rPr>
        <w:softHyphen/>
        <w:t>čana, který bydlí v domečku z červených cihel a právě zapíjí svého vánočního kro</w:t>
      </w:r>
      <w:r>
        <w:rPr>
          <w:i/>
          <w:iCs/>
          <w:sz w:val="20"/>
          <w:szCs w:val="20"/>
        </w:rPr>
        <w:softHyphen/>
        <w:t>cana? Nebo na toho Španě</w:t>
      </w:r>
      <w:r>
        <w:rPr>
          <w:i/>
          <w:iCs/>
          <w:sz w:val="20"/>
          <w:szCs w:val="20"/>
        </w:rPr>
        <w:softHyphen/>
        <w:t xml:space="preserve">la, který seděl vedle Vás na býčích zápasech v Seville, když bylo nebe tak pěkně </w:t>
      </w:r>
      <w:r>
        <w:rPr>
          <w:i/>
          <w:iCs/>
          <w:sz w:val="20"/>
          <w:szCs w:val="20"/>
        </w:rPr>
        <w:t>modré? Nebo na toho mladé</w:t>
      </w:r>
      <w:r>
        <w:rPr>
          <w:i/>
          <w:iCs/>
          <w:sz w:val="20"/>
          <w:szCs w:val="20"/>
        </w:rPr>
        <w:softHyphen/>
        <w:t>ho Holanďana, který kolem Vás přejel na kole, jen to zafičelo? Nevím, co zrovna dělá. Nebo na toho tmavého Itala, který na Vás jednou</w:t>
      </w:r>
    </w:p>
    <w:p w:rsidR="00500724" w:rsidRDefault="00500724">
      <w:pPr>
        <w:rPr>
          <w:sz w:val="2"/>
          <w:szCs w:val="2"/>
        </w:rPr>
        <w:sectPr w:rsidR="00500724">
          <w:footnotePr>
            <w:numFmt w:val="chicago"/>
            <w:numRestart w:val="eachPage"/>
          </w:footnotePr>
          <w:type w:val="continuous"/>
          <w:pgSz w:w="11909" w:h="16834"/>
          <w:pgMar w:top="833" w:right="0" w:bottom="619" w:left="0" w:header="0" w:footer="3" w:gutter="0"/>
          <w:cols w:space="720"/>
          <w:noEndnote/>
          <w:docGrid w:linePitch="360"/>
        </w:sectPr>
      </w:pPr>
    </w:p>
    <w:p w:rsidR="00500724" w:rsidRDefault="00F30FB8">
      <w:pPr>
        <w:pStyle w:val="Jin0"/>
        <w:shd w:val="clear" w:color="auto" w:fill="auto"/>
        <w:spacing w:after="140"/>
        <w:ind w:firstLine="0"/>
        <w:jc w:val="center"/>
        <w:rPr>
          <w:sz w:val="26"/>
          <w:szCs w:val="26"/>
        </w:rPr>
      </w:pPr>
      <w:r>
        <w:rPr>
          <w:sz w:val="26"/>
          <w:szCs w:val="26"/>
        </w:rPr>
        <w:t>FEUILLETON</w:t>
      </w:r>
    </w:p>
    <w:p w:rsidR="00500724" w:rsidRDefault="00F30FB8">
      <w:pPr>
        <w:pStyle w:val="Zkladntext40"/>
        <w:shd w:val="clear" w:color="auto" w:fill="auto"/>
        <w:spacing w:after="0" w:line="166" w:lineRule="auto"/>
        <w:jc w:val="left"/>
        <w:rPr>
          <w:sz w:val="16"/>
          <w:szCs w:val="16"/>
        </w:rPr>
      </w:pPr>
      <w:r>
        <w:rPr>
          <w:b/>
          <w:bCs/>
          <w:sz w:val="16"/>
          <w:szCs w:val="16"/>
        </w:rPr>
        <w:t>Václav Řezáč:</w:t>
      </w:r>
    </w:p>
    <w:p w:rsidR="00500724" w:rsidRDefault="00F30FB8">
      <w:pPr>
        <w:pStyle w:val="Zkladntext1"/>
        <w:shd w:val="clear" w:color="auto" w:fill="auto"/>
        <w:spacing w:after="60"/>
        <w:ind w:firstLine="0"/>
        <w:jc w:val="center"/>
      </w:pPr>
      <w:r>
        <w:rPr>
          <w:b/>
          <w:bCs/>
        </w:rPr>
        <w:t>SLEPÁ ULIČKA*</w:t>
      </w:r>
    </w:p>
    <w:p w:rsidR="00500724" w:rsidRDefault="00F30FB8">
      <w:pPr>
        <w:pStyle w:val="Zkladntext40"/>
        <w:shd w:val="clear" w:color="auto" w:fill="auto"/>
        <w:spacing w:after="0" w:line="166" w:lineRule="auto"/>
        <w:ind w:firstLine="180"/>
        <w:rPr>
          <w:sz w:val="16"/>
          <w:szCs w:val="16"/>
        </w:rPr>
      </w:pPr>
      <w:r>
        <w:rPr>
          <w:b/>
          <w:bCs/>
          <w:sz w:val="16"/>
          <w:szCs w:val="16"/>
        </w:rPr>
        <w:t>Josef Balada seděl a vyhýbal</w:t>
      </w:r>
      <w:r>
        <w:rPr>
          <w:b/>
          <w:bCs/>
          <w:sz w:val="16"/>
          <w:szCs w:val="16"/>
        </w:rPr>
        <w:t xml:space="preserve"> se pohledu svého zaměstnavatele. Tu písničku známe, o tomhle vě</w:t>
      </w:r>
      <w:r>
        <w:rPr>
          <w:b/>
          <w:bCs/>
          <w:sz w:val="16"/>
          <w:szCs w:val="16"/>
        </w:rPr>
        <w:softHyphen/>
        <w:t>tru víme, odkud fouká a kam. Byl rozhodnut vyslechnout, co se mu bude povídat a neřícl na to ani slova.</w:t>
      </w:r>
    </w:p>
    <w:p w:rsidR="00500724" w:rsidRDefault="00F30FB8">
      <w:pPr>
        <w:pStyle w:val="Zkladntext40"/>
        <w:shd w:val="clear" w:color="auto" w:fill="auto"/>
        <w:spacing w:after="0" w:line="166" w:lineRule="auto"/>
        <w:ind w:firstLine="180"/>
        <w:rPr>
          <w:sz w:val="16"/>
          <w:szCs w:val="16"/>
        </w:rPr>
      </w:pPr>
      <w:r>
        <w:rPr>
          <w:b/>
          <w:bCs/>
          <w:sz w:val="16"/>
          <w:szCs w:val="16"/>
        </w:rPr>
        <w:t>Michal se však při řeči uklidňo</w:t>
      </w:r>
      <w:r>
        <w:rPr>
          <w:b/>
          <w:bCs/>
          <w:sz w:val="16"/>
          <w:szCs w:val="16"/>
        </w:rPr>
        <w:softHyphen/>
        <w:t>val a nabýval jistoty. Baladovo mračení ho rozveseloval</w:t>
      </w:r>
      <w:r>
        <w:rPr>
          <w:b/>
          <w:bCs/>
          <w:sz w:val="16"/>
          <w:szCs w:val="16"/>
        </w:rPr>
        <w:t>o a posi</w:t>
      </w:r>
      <w:r>
        <w:rPr>
          <w:b/>
          <w:bCs/>
          <w:sz w:val="16"/>
          <w:szCs w:val="16"/>
        </w:rPr>
        <w:softHyphen/>
        <w:t>lovalo jeho vůli. Snad je někdy těžké být pánem sama sebe, ale rozhodně je lehké vládnout jiným.</w:t>
      </w:r>
    </w:p>
    <w:p w:rsidR="00500724" w:rsidRDefault="00F30FB8">
      <w:pPr>
        <w:pStyle w:val="Zkladntext40"/>
        <w:shd w:val="clear" w:color="auto" w:fill="auto"/>
        <w:spacing w:after="0" w:line="166" w:lineRule="auto"/>
        <w:ind w:firstLine="180"/>
        <w:rPr>
          <w:sz w:val="16"/>
          <w:szCs w:val="16"/>
        </w:rPr>
      </w:pPr>
      <w:r>
        <w:rPr>
          <w:b/>
          <w:bCs/>
          <w:sz w:val="16"/>
          <w:szCs w:val="16"/>
        </w:rPr>
        <w:t>— Zavolal jsem vás, abyste mi pověděl, co mohu očekávat, až přijdu se snížením mzdy. Nebude malé, naopak. Třicet procent a ří</w:t>
      </w:r>
      <w:r>
        <w:rPr>
          <w:b/>
          <w:bCs/>
          <w:sz w:val="16"/>
          <w:szCs w:val="16"/>
        </w:rPr>
        <w:softHyphen/>
        <w:t>kám vám napřed, že z nic</w:t>
      </w:r>
      <w:r>
        <w:rPr>
          <w:b/>
          <w:bCs/>
          <w:sz w:val="16"/>
          <w:szCs w:val="16"/>
        </w:rPr>
        <w:t>h nebu</w:t>
      </w:r>
      <w:r>
        <w:rPr>
          <w:b/>
          <w:bCs/>
          <w:sz w:val="16"/>
          <w:szCs w:val="16"/>
        </w:rPr>
        <w:softHyphen/>
        <w:t>du moci slevit ani setinu.</w:t>
      </w:r>
    </w:p>
    <w:p w:rsidR="00500724" w:rsidRDefault="00F30FB8">
      <w:pPr>
        <w:pStyle w:val="Zkladntext40"/>
        <w:shd w:val="clear" w:color="auto" w:fill="auto"/>
        <w:spacing w:after="0" w:line="166" w:lineRule="auto"/>
        <w:ind w:firstLine="180"/>
        <w:rPr>
          <w:sz w:val="16"/>
          <w:szCs w:val="16"/>
        </w:rPr>
      </w:pPr>
      <w:r>
        <w:rPr>
          <w:b/>
          <w:bCs/>
          <w:sz w:val="16"/>
          <w:szCs w:val="16"/>
        </w:rPr>
        <w:t>Josef Balada cítil, že bledne. Procitl v něm bývalý předseda závodního výboru, jehož úkolem</w:t>
      </w:r>
      <w:r>
        <w:rPr>
          <w:b/>
          <w:bCs/>
          <w:sz w:val="16"/>
          <w:szCs w:val="16"/>
        </w:rPr>
        <w:br w:type="column"/>
        <w:t>bylo hájit zájmy těch, kdo mu dali svou důvěru. Řekl prudce:</w:t>
      </w:r>
    </w:p>
    <w:p w:rsidR="00500724" w:rsidRDefault="00F30FB8">
      <w:pPr>
        <w:pStyle w:val="Zkladntext40"/>
        <w:shd w:val="clear" w:color="auto" w:fill="auto"/>
        <w:spacing w:after="0" w:line="168" w:lineRule="auto"/>
        <w:ind w:firstLine="180"/>
        <w:rPr>
          <w:sz w:val="16"/>
          <w:szCs w:val="16"/>
        </w:rPr>
      </w:pPr>
      <w:r>
        <w:rPr>
          <w:b/>
          <w:bCs/>
          <w:sz w:val="16"/>
          <w:szCs w:val="16"/>
        </w:rPr>
        <w:t>— Nikdy s tím nebudou sou</w:t>
      </w:r>
      <w:r>
        <w:rPr>
          <w:b/>
          <w:bCs/>
          <w:sz w:val="16"/>
          <w:szCs w:val="16"/>
        </w:rPr>
        <w:softHyphen/>
        <w:t>hlasit.</w:t>
      </w:r>
    </w:p>
    <w:p w:rsidR="00500724" w:rsidRDefault="00F30FB8">
      <w:pPr>
        <w:pStyle w:val="Zkladntext40"/>
        <w:shd w:val="clear" w:color="auto" w:fill="auto"/>
        <w:spacing w:after="0" w:line="168" w:lineRule="auto"/>
        <w:ind w:firstLine="180"/>
        <w:rPr>
          <w:sz w:val="16"/>
          <w:szCs w:val="16"/>
        </w:rPr>
      </w:pPr>
      <w:r>
        <w:rPr>
          <w:b/>
          <w:bCs/>
          <w:sz w:val="16"/>
          <w:szCs w:val="16"/>
        </w:rPr>
        <w:t>Michal se usmál a v tu chvíli pamět</w:t>
      </w:r>
      <w:r>
        <w:rPr>
          <w:b/>
          <w:bCs/>
          <w:sz w:val="16"/>
          <w:szCs w:val="16"/>
        </w:rPr>
        <w:t xml:space="preserve"> mu vydala obraz, který ho kdysi znepokojoval: Baladu, dozí</w:t>
      </w:r>
      <w:r>
        <w:rPr>
          <w:b/>
          <w:bCs/>
          <w:sz w:val="16"/>
          <w:szCs w:val="16"/>
        </w:rPr>
        <w:softHyphen/>
        <w:t>rajícího na skládající dělníky a dělníky pohrdavé a lhostejné k přítomnosti svých zaměstnava</w:t>
      </w:r>
      <w:r>
        <w:rPr>
          <w:b/>
          <w:bCs/>
          <w:sz w:val="16"/>
          <w:szCs w:val="16"/>
        </w:rPr>
        <w:softHyphen/>
        <w:t>telů. Síla, jejíž váhu nedovedl kdysi odhadnout, a jež mu téměř naháněla strach právě touto ne- zvažite</w:t>
      </w:r>
      <w:r>
        <w:rPr>
          <w:b/>
          <w:bCs/>
          <w:sz w:val="16"/>
          <w:szCs w:val="16"/>
        </w:rPr>
        <w:t>lností, mu připadala nyní zvětšelá a neskutečná jako sama tato vzpomínka.</w:t>
      </w:r>
    </w:p>
    <w:p w:rsidR="00500724" w:rsidRDefault="00F30FB8">
      <w:pPr>
        <w:pStyle w:val="Zkladntext40"/>
        <w:shd w:val="clear" w:color="auto" w:fill="auto"/>
        <w:spacing w:after="0" w:line="168" w:lineRule="auto"/>
        <w:ind w:firstLine="180"/>
        <w:rPr>
          <w:sz w:val="16"/>
          <w:szCs w:val="16"/>
        </w:rPr>
      </w:pPr>
      <w:r>
        <w:rPr>
          <w:b/>
          <w:bCs/>
          <w:sz w:val="16"/>
          <w:szCs w:val="16"/>
        </w:rPr>
        <w:t>— Myslím, že trochu přeháníte. Předpokládám odpor, nebo, přes</w:t>
      </w:r>
      <w:r>
        <w:rPr>
          <w:b/>
          <w:bCs/>
          <w:sz w:val="16"/>
          <w:szCs w:val="16"/>
        </w:rPr>
        <w:softHyphen/>
        <w:t>něji řečeno, námitky. Čekám, že mi pohrozí i stávkou ...</w:t>
      </w:r>
    </w:p>
    <w:p w:rsidR="00500724" w:rsidRDefault="00F30FB8">
      <w:pPr>
        <w:pStyle w:val="Zkladntext40"/>
        <w:shd w:val="clear" w:color="auto" w:fill="auto"/>
        <w:spacing w:after="0" w:line="168" w:lineRule="auto"/>
        <w:ind w:firstLine="180"/>
        <w:rPr>
          <w:sz w:val="16"/>
          <w:szCs w:val="16"/>
        </w:rPr>
      </w:pPr>
      <w:r>
        <w:rPr>
          <w:b/>
          <w:bCs/>
          <w:sz w:val="16"/>
          <w:szCs w:val="16"/>
        </w:rPr>
        <w:t xml:space="preserve">— O tom nepochybujte, vpadl rozhorleně Balada. Vracela se mu </w:t>
      </w:r>
      <w:r>
        <w:rPr>
          <w:b/>
          <w:bCs/>
          <w:sz w:val="16"/>
          <w:szCs w:val="16"/>
        </w:rPr>
        <w:t>tribunská rozhodnost, zdálo se mu, že se naskytla příležitost, aby se opět vřadil do pospolitosti, z níž byl vyvržen a získal si zá</w:t>
      </w:r>
      <w:r>
        <w:rPr>
          <w:b/>
          <w:bCs/>
          <w:sz w:val="16"/>
          <w:szCs w:val="16"/>
        </w:rPr>
        <w:softHyphen/>
        <w:t>sluhy o houfec, který tak lehko</w:t>
      </w:r>
      <w:r>
        <w:rPr>
          <w:b/>
          <w:bCs/>
          <w:sz w:val="16"/>
          <w:szCs w:val="16"/>
        </w:rPr>
        <w:softHyphen/>
        <w:t>myslně a z malicherných příčin pohrdl jeho vedením. Nebude tu svědků, ale snad se to přece k</w:t>
      </w:r>
      <w:r>
        <w:rPr>
          <w:b/>
          <w:bCs/>
          <w:sz w:val="16"/>
          <w:szCs w:val="16"/>
        </w:rPr>
        <w:t xml:space="preserve"> nim nějak donese a nakonec k ně</w:t>
      </w:r>
      <w:r>
        <w:rPr>
          <w:b/>
          <w:bCs/>
          <w:sz w:val="16"/>
          <w:szCs w:val="16"/>
        </w:rPr>
        <w:softHyphen/>
        <w:t>mu přijdou. Soudruhu, sakra, ne</w:t>
      </w:r>
      <w:r>
        <w:rPr>
          <w:b/>
          <w:bCs/>
          <w:sz w:val="16"/>
          <w:szCs w:val="16"/>
        </w:rPr>
        <w:softHyphen/>
      </w:r>
      <w:r>
        <w:rPr>
          <w:b/>
          <w:bCs/>
          <w:sz w:val="16"/>
          <w:szCs w:val="16"/>
        </w:rPr>
        <w:br w:type="column"/>
        <w:t>jde to, jak to chodívalo. Nic ve zlé, odpusťme si, co jsme sl. ale chop se toho zase. — Srazíte-li jim třicet procent z dnešní mzdy, zůstane jim sotva žebrácký groš. za který nemohou žít. Js</w:t>
      </w:r>
      <w:r>
        <w:rPr>
          <w:b/>
          <w:bCs/>
          <w:sz w:val="16"/>
          <w:szCs w:val="16"/>
        </w:rPr>
        <w:t>ou roz</w:t>
      </w:r>
      <w:r>
        <w:rPr>
          <w:b/>
          <w:bCs/>
          <w:sz w:val="16"/>
          <w:szCs w:val="16"/>
        </w:rPr>
        <w:softHyphen/>
        <w:t>hořčeni už tím, že koupí strojů přišlo mnoho z nich i o to málo. nutné k životu. Tohle bude kap</w:t>
      </w:r>
      <w:r>
        <w:rPr>
          <w:b/>
          <w:bCs/>
          <w:sz w:val="16"/>
          <w:szCs w:val="16"/>
        </w:rPr>
        <w:softHyphen/>
        <w:t>ka, kterou hrneček přeteče.</w:t>
      </w:r>
    </w:p>
    <w:p w:rsidR="00500724" w:rsidRDefault="00F30FB8">
      <w:pPr>
        <w:pStyle w:val="Zkladntext40"/>
        <w:shd w:val="clear" w:color="auto" w:fill="auto"/>
        <w:spacing w:after="0" w:line="166" w:lineRule="auto"/>
        <w:ind w:firstLine="180"/>
        <w:rPr>
          <w:sz w:val="16"/>
          <w:szCs w:val="16"/>
        </w:rPr>
      </w:pPr>
      <w:r>
        <w:rPr>
          <w:b/>
          <w:bCs/>
          <w:sz w:val="16"/>
          <w:szCs w:val="16"/>
        </w:rPr>
        <w:t>Michal se nepřestával usmívat shovívavým, podněcujícím úsmě</w:t>
      </w:r>
      <w:r>
        <w:rPr>
          <w:b/>
          <w:bCs/>
          <w:sz w:val="16"/>
          <w:szCs w:val="16"/>
        </w:rPr>
        <w:softHyphen/>
        <w:t>vem.</w:t>
      </w:r>
    </w:p>
    <w:p w:rsidR="00500724" w:rsidRDefault="00F30FB8">
      <w:pPr>
        <w:pStyle w:val="Zkladntext40"/>
        <w:shd w:val="clear" w:color="auto" w:fill="auto"/>
        <w:spacing w:after="0" w:line="166" w:lineRule="auto"/>
        <w:ind w:firstLine="180"/>
        <w:rPr>
          <w:sz w:val="16"/>
          <w:szCs w:val="16"/>
        </w:rPr>
      </w:pPr>
      <w:r>
        <w:rPr>
          <w:b/>
          <w:bCs/>
          <w:sz w:val="16"/>
          <w:szCs w:val="16"/>
        </w:rPr>
        <w:t>— Někdo by jim měl poradit, aby se do stávky nepouštěli. Mil</w:t>
      </w:r>
      <w:r>
        <w:rPr>
          <w:b/>
          <w:bCs/>
          <w:sz w:val="16"/>
          <w:szCs w:val="16"/>
        </w:rPr>
        <w:t>ý pane Balado, nevymyslel jsem si stroje a netoužil jsem po nich. Patřím dokonce k lidem, kteří si více váží práce rukou než strojů. Ale nemohu se stavět proti prou</w:t>
      </w:r>
      <w:r>
        <w:rPr>
          <w:b/>
          <w:bCs/>
          <w:sz w:val="16"/>
          <w:szCs w:val="16"/>
        </w:rPr>
        <w:softHyphen/>
        <w:t>du vývoje. Nikdo není dosti silný, aby se mohl postavit. Jestliže je</w:t>
      </w:r>
      <w:r>
        <w:rPr>
          <w:b/>
          <w:bCs/>
          <w:sz w:val="16"/>
          <w:szCs w:val="16"/>
        </w:rPr>
        <w:softHyphen/>
        <w:t>den z nás začal s raci</w:t>
      </w:r>
      <w:r>
        <w:rPr>
          <w:b/>
          <w:bCs/>
          <w:sz w:val="16"/>
          <w:szCs w:val="16"/>
        </w:rPr>
        <w:t>onalisaci, všichni ostatní ho musí následo</w:t>
      </w:r>
      <w:r>
        <w:rPr>
          <w:b/>
          <w:bCs/>
          <w:sz w:val="16"/>
          <w:szCs w:val="16"/>
        </w:rPr>
        <w:softHyphen/>
        <w:t>vat. A tak je tomu i se mzdami. Zahraniční soutěž mne nutí, abych snížil ceny výrobků. Mohu se jí ubránit dvojím způsobem: buď provedu další racionalisaci a propustím další dělníky, nebo snížím mzdy. Jsem přesvědč</w:t>
      </w:r>
      <w:r>
        <w:rPr>
          <w:b/>
          <w:bCs/>
          <w:sz w:val="16"/>
          <w:szCs w:val="16"/>
        </w:rPr>
        <w:t>en, že druhé řešení je i sociálně spra</w:t>
      </w:r>
      <w:r>
        <w:rPr>
          <w:b/>
          <w:bCs/>
          <w:sz w:val="16"/>
          <w:szCs w:val="16"/>
        </w:rPr>
        <w:softHyphen/>
      </w:r>
      <w:r>
        <w:rPr>
          <w:b/>
          <w:bCs/>
          <w:sz w:val="16"/>
          <w:szCs w:val="16"/>
        </w:rPr>
        <w:br w:type="column"/>
        <w:t>vedlivější: nebude jich trpět jen několik, břemeno bude rozloženo na všechny stejně. Někdo by jim to měl rozumně vyložit.</w:t>
      </w:r>
    </w:p>
    <w:p w:rsidR="00500724" w:rsidRDefault="00F30FB8">
      <w:pPr>
        <w:pStyle w:val="Zkladntext40"/>
        <w:shd w:val="clear" w:color="auto" w:fill="auto"/>
        <w:spacing w:after="0" w:line="166" w:lineRule="auto"/>
        <w:ind w:firstLine="180"/>
        <w:rPr>
          <w:sz w:val="16"/>
          <w:szCs w:val="16"/>
        </w:rPr>
      </w:pPr>
      <w:r>
        <w:rPr>
          <w:b/>
          <w:bCs/>
          <w:sz w:val="16"/>
          <w:szCs w:val="16"/>
        </w:rPr>
        <w:t>— Se mnou nemůžete počítat, odpověděl Josef Balada okamžitě. — Jsou přesvědčeni, že jste si mě</w:t>
      </w:r>
      <w:r>
        <w:rPr>
          <w:b/>
          <w:bCs/>
          <w:sz w:val="16"/>
          <w:szCs w:val="16"/>
        </w:rPr>
        <w:t xml:space="preserve"> koupil a nedali by na má slova. Uvěřili by raději, že jste mne po</w:t>
      </w:r>
      <w:r>
        <w:rPr>
          <w:b/>
          <w:bCs/>
          <w:sz w:val="16"/>
          <w:szCs w:val="16"/>
        </w:rPr>
        <w:softHyphen/>
        <w:t>slal, abych je oblafnul. Se mnou rozhodně nepočítejte.</w:t>
      </w:r>
    </w:p>
    <w:p w:rsidR="00500724" w:rsidRDefault="00F30FB8">
      <w:pPr>
        <w:pStyle w:val="Zkladntext40"/>
        <w:shd w:val="clear" w:color="auto" w:fill="auto"/>
        <w:spacing w:after="0" w:line="166" w:lineRule="auto"/>
        <w:ind w:firstLine="180"/>
        <w:rPr>
          <w:sz w:val="16"/>
          <w:szCs w:val="16"/>
        </w:rPr>
      </w:pPr>
      <w:r>
        <w:rPr>
          <w:b/>
          <w:bCs/>
          <w:sz w:val="16"/>
          <w:szCs w:val="16"/>
        </w:rPr>
        <w:t>— Snad jsem nemyslel ani pří</w:t>
      </w:r>
      <w:r>
        <w:rPr>
          <w:b/>
          <w:bCs/>
          <w:sz w:val="16"/>
          <w:szCs w:val="16"/>
        </w:rPr>
        <w:softHyphen/>
        <w:t>mo vás. Ale je tu přece váš zeť. Pokud vím, jemu velmi důvěřují. Kdyby se vám podařilo přesvěd</w:t>
      </w:r>
      <w:r>
        <w:rPr>
          <w:b/>
          <w:bCs/>
          <w:sz w:val="16"/>
          <w:szCs w:val="16"/>
        </w:rPr>
        <w:softHyphen/>
        <w:t>čit jeho —</w:t>
      </w:r>
      <w:r>
        <w:rPr>
          <w:b/>
          <w:bCs/>
          <w:sz w:val="16"/>
          <w:szCs w:val="16"/>
        </w:rPr>
        <w:t xml:space="preserve"> Michal vyčkal, jako by znovu vážil dosah toho, co chtěl říci — a jemu i ostatní, snad by se našel nějaký způsob, jak mu nahradit ztrátu, kterou by utrpěl při těchto srážkách. Mladým manželům by mohlo při</w:t>
      </w:r>
      <w:r>
        <w:rPr>
          <w:b/>
          <w:bCs/>
          <w:sz w:val="16"/>
          <w:szCs w:val="16"/>
        </w:rPr>
        <w:softHyphen/>
        <w:t>jít jen vhod, kdyby jimi nebyli postiženi.</w:t>
      </w:r>
    </w:p>
    <w:p w:rsidR="00500724" w:rsidRDefault="00F30FB8">
      <w:pPr>
        <w:pStyle w:val="Zkladntext40"/>
        <w:shd w:val="clear" w:color="auto" w:fill="auto"/>
        <w:spacing w:after="0" w:line="166" w:lineRule="auto"/>
        <w:ind w:firstLine="180"/>
        <w:rPr>
          <w:sz w:val="16"/>
          <w:szCs w:val="16"/>
        </w:rPr>
      </w:pPr>
      <w:r>
        <w:rPr>
          <w:b/>
          <w:bCs/>
          <w:sz w:val="16"/>
          <w:szCs w:val="16"/>
        </w:rPr>
        <w:t>Skladník</w:t>
      </w:r>
      <w:r>
        <w:rPr>
          <w:b/>
          <w:bCs/>
          <w:sz w:val="16"/>
          <w:szCs w:val="16"/>
        </w:rPr>
        <w:t xml:space="preserve"> zrudl a dýchal těžce. Proč si vybral právě jeho a jeho rodinu? Nebylo už dost hanby, do které je zavlekl? Copak od něho neměli mít nikdy pokoj?</w:t>
      </w:r>
    </w:p>
    <w:p w:rsidR="00500724" w:rsidRDefault="00F30FB8">
      <w:pPr>
        <w:pStyle w:val="Zkladntext40"/>
        <w:shd w:val="clear" w:color="auto" w:fill="auto"/>
        <w:spacing w:after="0" w:line="166" w:lineRule="auto"/>
        <w:ind w:firstLine="180"/>
        <w:rPr>
          <w:sz w:val="16"/>
          <w:szCs w:val="16"/>
        </w:rPr>
      </w:pPr>
      <w:r>
        <w:rPr>
          <w:b/>
          <w:bCs/>
          <w:sz w:val="16"/>
          <w:szCs w:val="16"/>
        </w:rPr>
        <w:t>Michal se díval pozorně na jeho tvář. Hleďme, nakonec vybuchne a začne mi tu řvát. Je těžko jim</w:t>
      </w:r>
      <w:r>
        <w:br w:type="page"/>
      </w:r>
    </w:p>
    <w:p w:rsidR="00500724" w:rsidRDefault="00F30FB8">
      <w:pPr>
        <w:pStyle w:val="Zkladntext1"/>
        <w:shd w:val="clear" w:color="auto" w:fill="auto"/>
        <w:spacing w:line="180" w:lineRule="auto"/>
        <w:ind w:firstLine="0"/>
        <w:rPr>
          <w:sz w:val="20"/>
          <w:szCs w:val="20"/>
        </w:rPr>
      </w:pPr>
      <w:r>
        <w:rPr>
          <w:i/>
          <w:iCs/>
          <w:sz w:val="20"/>
          <w:szCs w:val="20"/>
        </w:rPr>
        <w:t xml:space="preserve">tak přívětivě </w:t>
      </w:r>
      <w:r>
        <w:rPr>
          <w:i/>
          <w:iCs/>
          <w:sz w:val="20"/>
          <w:szCs w:val="20"/>
        </w:rPr>
        <w:t>vycenil bílé zu</w:t>
      </w:r>
      <w:r>
        <w:rPr>
          <w:i/>
          <w:iCs/>
          <w:sz w:val="20"/>
          <w:szCs w:val="20"/>
        </w:rPr>
        <w:softHyphen/>
        <w:t>by? Dává si asi zdát nějaký hrozně velikášský sen. Nebo na toho dobrého captaina, který Vás vezl k Severnímu mysu? Bože, až se to doví, vytáhne veliký kostkovaný kapesník a dlouze, obřadně a pohnutě jím osuší své oči barvy Severního moře. J</w:t>
      </w:r>
      <w:r>
        <w:rPr>
          <w:i/>
          <w:iCs/>
          <w:sz w:val="20"/>
          <w:szCs w:val="20"/>
        </w:rPr>
        <w:t>istě se pamatujete i na ty ostat</w:t>
      </w:r>
      <w:r>
        <w:rPr>
          <w:i/>
          <w:iCs/>
          <w:sz w:val="20"/>
          <w:szCs w:val="20"/>
        </w:rPr>
        <w:softHyphen/>
        <w:t>ní, s nimiž jste se sešel v Německu, v Dánsku, na se</w:t>
      </w:r>
      <w:r>
        <w:rPr>
          <w:i/>
          <w:iCs/>
          <w:sz w:val="20"/>
          <w:szCs w:val="20"/>
        </w:rPr>
        <w:softHyphen/>
        <w:t>veru, ve Francii. Ano, v té Francii, kterou jste miloval tak. že Vám z vděčnosti zpí</w:t>
      </w:r>
      <w:r>
        <w:rPr>
          <w:i/>
          <w:iCs/>
          <w:sz w:val="20"/>
          <w:szCs w:val="20"/>
        </w:rPr>
        <w:softHyphen/>
        <w:t>vala nejsladšími písněmi. Jen jednou Vám její písně neda</w:t>
      </w:r>
      <w:r>
        <w:rPr>
          <w:i/>
          <w:iCs/>
          <w:sz w:val="20"/>
          <w:szCs w:val="20"/>
        </w:rPr>
        <w:softHyphen/>
        <w:t>ly útěchy. Ale to jste jí už</w:t>
      </w:r>
      <w:r>
        <w:rPr>
          <w:i/>
          <w:iCs/>
          <w:sz w:val="20"/>
          <w:szCs w:val="20"/>
        </w:rPr>
        <w:t xml:space="preserve"> jistě odpustil. Vzpomínám hlavně na tolik nejrůznějších lidí země malé a těžce zkoušené, kterou jste miloval ze všech nejvíce. Mnoho lidí osamělo Vaší smrtí a mně je těžko za ně všechny.</w:t>
      </w:r>
    </w:p>
    <w:p w:rsidR="00500724" w:rsidRDefault="00F30FB8">
      <w:pPr>
        <w:pStyle w:val="Zkladntext1"/>
        <w:shd w:val="clear" w:color="auto" w:fill="auto"/>
        <w:spacing w:line="180" w:lineRule="auto"/>
        <w:ind w:firstLine="180"/>
        <w:rPr>
          <w:sz w:val="20"/>
          <w:szCs w:val="20"/>
        </w:rPr>
      </w:pPr>
      <w:r>
        <w:rPr>
          <w:i/>
          <w:iCs/>
          <w:sz w:val="20"/>
          <w:szCs w:val="20"/>
        </w:rPr>
        <w:t>Nikdy v životě jsem Vás neviděla. Stačilo mi, že jsem Vás znala z Va</w:t>
      </w:r>
      <w:r>
        <w:rPr>
          <w:i/>
          <w:iCs/>
          <w:sz w:val="20"/>
          <w:szCs w:val="20"/>
        </w:rPr>
        <w:t>šich knih. Sta</w:t>
      </w:r>
      <w:r>
        <w:rPr>
          <w:i/>
          <w:iCs/>
          <w:sz w:val="20"/>
          <w:szCs w:val="20"/>
        </w:rPr>
        <w:softHyphen/>
        <w:t>čilo mi, Se jste někde mezi sty lidí, které jsem denně potkávala. Když mě někd/y vedla cesta Úzkou ulicí, vlastně nevedla, ale ráda jsem si tudy zašla, stačilo mi vědomí, že žijete za některým oknem své Sluté vily. Ten</w:t>
      </w:r>
      <w:r>
        <w:rPr>
          <w:i/>
          <w:iCs/>
          <w:sz w:val="20"/>
          <w:szCs w:val="20"/>
        </w:rPr>
        <w:softHyphen/>
        <w:t>krát se za Vašimi okny</w:t>
      </w:r>
      <w:r>
        <w:rPr>
          <w:i/>
          <w:iCs/>
          <w:sz w:val="20"/>
          <w:szCs w:val="20"/>
        </w:rPr>
        <w:t xml:space="preserve"> čer</w:t>
      </w:r>
      <w:r>
        <w:rPr>
          <w:i/>
          <w:iCs/>
          <w:sz w:val="20"/>
          <w:szCs w:val="20"/>
        </w:rPr>
        <w:softHyphen/>
        <w:t>veně smály fuchsie a Vaše zahrádka kvetla. Teď Vám už nemohu říci, jak jsem mě</w:t>
      </w:r>
      <w:r>
        <w:rPr>
          <w:i/>
          <w:iCs/>
          <w:sz w:val="20"/>
          <w:szCs w:val="20"/>
        </w:rPr>
        <w:softHyphen/>
        <w:t>la ráda Vaše knihy, nikdy Vám už nepoděkuji za útě</w:t>
      </w:r>
      <w:r>
        <w:rPr>
          <w:i/>
          <w:iCs/>
          <w:sz w:val="20"/>
          <w:szCs w:val="20"/>
        </w:rPr>
        <w:softHyphen/>
        <w:t>chu, kterou mi daly v nejhor</w:t>
      </w:r>
      <w:r>
        <w:rPr>
          <w:i/>
          <w:iCs/>
          <w:sz w:val="20"/>
          <w:szCs w:val="20"/>
        </w:rPr>
        <w:softHyphen/>
        <w:t>ších dobách Vaše Hovory.</w:t>
      </w:r>
    </w:p>
    <w:p w:rsidR="00500724" w:rsidRDefault="00F30FB8">
      <w:pPr>
        <w:pStyle w:val="Zkladntext1"/>
        <w:shd w:val="clear" w:color="auto" w:fill="auto"/>
        <w:spacing w:after="280" w:line="180" w:lineRule="auto"/>
        <w:ind w:firstLine="180"/>
        <w:rPr>
          <w:sz w:val="20"/>
          <w:szCs w:val="20"/>
        </w:rPr>
      </w:pPr>
      <w:r>
        <w:rPr>
          <w:i/>
          <w:iCs/>
          <w:sz w:val="20"/>
          <w:szCs w:val="20"/>
        </w:rPr>
        <w:t>Je to rok a den, kdy Váš hlas zvěstoval světu posel</w:t>
      </w:r>
      <w:r>
        <w:rPr>
          <w:i/>
          <w:iCs/>
          <w:sz w:val="20"/>
          <w:szCs w:val="20"/>
        </w:rPr>
        <w:softHyphen/>
        <w:t>ství míru. VS j</w:t>
      </w:r>
      <w:r>
        <w:rPr>
          <w:i/>
          <w:iCs/>
          <w:sz w:val="20"/>
          <w:szCs w:val="20"/>
        </w:rPr>
        <w:t>e nikdy z Va</w:t>
      </w:r>
      <w:r>
        <w:rPr>
          <w:i/>
          <w:iCs/>
          <w:sz w:val="20"/>
          <w:szCs w:val="20"/>
        </w:rPr>
        <w:softHyphen/>
        <w:t>šich úst neuslyším. Ale jmé</w:t>
      </w:r>
      <w:r>
        <w:rPr>
          <w:i/>
          <w:iCs/>
          <w:sz w:val="20"/>
          <w:szCs w:val="20"/>
        </w:rPr>
        <w:softHyphen/>
      </w:r>
    </w:p>
    <w:p w:rsidR="00500724" w:rsidRDefault="00F30FB8">
      <w:pPr>
        <w:pStyle w:val="Zkladntext40"/>
        <w:shd w:val="clear" w:color="auto" w:fill="auto"/>
        <w:spacing w:after="220" w:line="204" w:lineRule="auto"/>
      </w:pPr>
      <w:r>
        <w:t>tomnost do snu o krásnější bu</w:t>
      </w:r>
      <w:r>
        <w:softHyphen/>
        <w:t>doucnosti: takový sen je oprávně</w:t>
      </w:r>
      <w:r>
        <w:softHyphen/>
        <w:t>ný jen potud, pokud ho máte po</w:t>
      </w:r>
      <w:r>
        <w:softHyphen/>
        <w:t>třebí k posile této hodiny ... Ne- bot v této chvíli právě je básník buď hlasitým svědomím, nebo vů</w:t>
      </w:r>
      <w:r>
        <w:softHyphen/>
        <w:t>bec ničím. Vedle toh</w:t>
      </w:r>
      <w:r>
        <w:t>o přináší toto číslo Kritického měsíčníku vzpo</w:t>
      </w:r>
      <w:r>
        <w:softHyphen/>
        <w:t>mínku Boh Mathesia na K. čap-</w:t>
      </w:r>
    </w:p>
    <w:p w:rsidR="00500724" w:rsidRDefault="00F30FB8">
      <w:pPr>
        <w:pStyle w:val="Zkladntext90"/>
        <w:shd w:val="clear" w:color="auto" w:fill="auto"/>
        <w:spacing w:line="204" w:lineRule="auto"/>
        <w:ind w:firstLine="0"/>
      </w:pPr>
      <w:r>
        <w:t>iíoxozumět. Sekl bys, že tenhle dědek je posedlý po penězích, že není, čeho bys za ně u něho nedosáhl a najednou je tu hrani</w:t>
      </w:r>
      <w:r>
        <w:softHyphen/>
        <w:t xml:space="preserve">ce, přes kterou ho nepřetáhneš. A promluvil rychle, </w:t>
      </w:r>
      <w:r>
        <w:t>když se mu zdálo, že skladník se chystá ote</w:t>
      </w:r>
      <w:r>
        <w:softHyphen/>
        <w:t>vřít ústa k odpovědi.</w:t>
      </w:r>
    </w:p>
    <w:p w:rsidR="00500724" w:rsidRDefault="00F30FB8">
      <w:pPr>
        <w:pStyle w:val="Zkladntext90"/>
        <w:shd w:val="clear" w:color="auto" w:fill="auto"/>
      </w:pPr>
      <w:r>
        <w:t>— Nečekám, že ml odpovíte ihned. Byl to jen námět k úvaze. Vy znáte svého zetě lip než já a posoudíte sám, můžete-li mu něco podobného svěřit, či ne. S mé strany to byl jen pokus, jak se vyh</w:t>
      </w:r>
      <w:r>
        <w:t>nout komplikacím. Nemám rád, jsou-li věci hnány až na ostří. Myslííe-li však. že zákrok, který jsem vám navrhl, nemá na</w:t>
      </w:r>
      <w:r>
        <w:softHyphen/>
        <w:t>děje na úspěch, nezkoušejte to vůbec. Předložím závodnímu vý</w:t>
      </w:r>
      <w:r>
        <w:softHyphen/>
        <w:t>boru svůj návrh a nebude-li při</w:t>
      </w:r>
      <w:r>
        <w:softHyphen/>
        <w:t>jat, nebudu vyjednávat, ani čekat na vypově</w:t>
      </w:r>
      <w:r>
        <w:t>zení stávky. Zastavím prostě práci. Na tak dlouho, do</w:t>
      </w:r>
      <w:r>
        <w:softHyphen/>
        <w:t>kud nevyprodám zásoby a dokud nové objednávky mne nepřinutí, abych ji obnovil. A pak ovšem přijmu jen ty, kdo budou ochotni pracovat za nových podmínek. To je vše.</w:t>
      </w:r>
    </w:p>
    <w:p w:rsidR="00500724" w:rsidRDefault="00F30FB8">
      <w:pPr>
        <w:pStyle w:val="Zkladntext90"/>
        <w:shd w:val="clear" w:color="auto" w:fill="auto"/>
      </w:pPr>
      <w:r>
        <w:t>Michal Gromus vstal. Slyšení bylo u ko</w:t>
      </w:r>
      <w:r>
        <w:t>nce. Skladník neřekl už ani slova, pozdravil a odcházel, tváře se, jako by přehlédl, že mu jeho zaměstnavatel podává ruku. Když byl u dveří, řekl Michal:</w:t>
      </w:r>
    </w:p>
    <w:p w:rsidR="00500724" w:rsidRDefault="00F30FB8">
      <w:pPr>
        <w:pStyle w:val="Zkladntext90"/>
        <w:shd w:val="clear" w:color="auto" w:fill="auto"/>
      </w:pPr>
      <w:r>
        <w:t>— Dojde-li k tomu. vy tím</w:t>
      </w:r>
    </w:p>
    <w:p w:rsidR="00500724" w:rsidRDefault="00F30FB8">
      <w:pPr>
        <w:spacing w:line="1" w:lineRule="exact"/>
        <w:rPr>
          <w:sz w:val="2"/>
          <w:szCs w:val="2"/>
        </w:rPr>
      </w:pPr>
      <w:r>
        <w:br w:type="column"/>
      </w:r>
    </w:p>
    <w:p w:rsidR="00500724" w:rsidRDefault="00F30FB8">
      <w:pPr>
        <w:pStyle w:val="Zkladntext1"/>
        <w:shd w:val="clear" w:color="auto" w:fill="auto"/>
        <w:spacing w:line="185" w:lineRule="auto"/>
        <w:ind w:firstLine="0"/>
        <w:rPr>
          <w:sz w:val="20"/>
          <w:szCs w:val="20"/>
        </w:rPr>
      </w:pPr>
      <w:r>
        <w:rPr>
          <w:i/>
          <w:iCs/>
          <w:sz w:val="20"/>
          <w:szCs w:val="20"/>
        </w:rPr>
        <w:t>no Karel Čapek samo je vel</w:t>
      </w:r>
      <w:r>
        <w:rPr>
          <w:i/>
          <w:iCs/>
          <w:sz w:val="20"/>
          <w:szCs w:val="20"/>
        </w:rPr>
        <w:softHyphen/>
        <w:t>kým a krásným mírovým po</w:t>
      </w:r>
      <w:r>
        <w:rPr>
          <w:i/>
          <w:iCs/>
          <w:sz w:val="20"/>
          <w:szCs w:val="20"/>
        </w:rPr>
        <w:softHyphen/>
        <w:t>selstvím, je v něm úsm</w:t>
      </w:r>
      <w:r>
        <w:rPr>
          <w:i/>
          <w:iCs/>
          <w:sz w:val="20"/>
          <w:szCs w:val="20"/>
        </w:rPr>
        <w:t>ěv moudrého života a pohlazení laskavé ruky. Připomíná mi také ty měkce červené růže na Vaší zahrádce, které jste tak pečlivě zabalil, aby jim nebylo zima.</w:t>
      </w:r>
    </w:p>
    <w:p w:rsidR="00500724" w:rsidRDefault="00F30FB8">
      <w:pPr>
        <w:pStyle w:val="Zkladntext1"/>
        <w:shd w:val="clear" w:color="auto" w:fill="auto"/>
        <w:spacing w:line="180" w:lineRule="auto"/>
        <w:ind w:firstLine="240"/>
        <w:rPr>
          <w:sz w:val="20"/>
          <w:szCs w:val="20"/>
        </w:rPr>
      </w:pPr>
      <w:r>
        <w:rPr>
          <w:i/>
          <w:iCs/>
          <w:sz w:val="20"/>
          <w:szCs w:val="20"/>
        </w:rPr>
        <w:t>Věřil jste, že duševní hod</w:t>
      </w:r>
      <w:r>
        <w:rPr>
          <w:i/>
          <w:iCs/>
          <w:sz w:val="20"/>
          <w:szCs w:val="20"/>
        </w:rPr>
        <w:softHyphen/>
        <w:t xml:space="preserve">noty smrtí nezanikají. A já věřím, že nemůže zaniknout ani ta láska, již </w:t>
      </w:r>
      <w:r>
        <w:rPr>
          <w:i/>
          <w:iCs/>
          <w:sz w:val="20"/>
          <w:szCs w:val="20"/>
        </w:rPr>
        <w:t>jste měl k všemu, co dýchá, roste a kve</w:t>
      </w:r>
      <w:r>
        <w:rPr>
          <w:i/>
          <w:iCs/>
          <w:sz w:val="20"/>
          <w:szCs w:val="20"/>
        </w:rPr>
        <w:softHyphen/>
        <w:t>te na zemském povrchu. Va</w:t>
      </w:r>
      <w:r>
        <w:rPr>
          <w:i/>
          <w:iCs/>
          <w:sz w:val="20"/>
          <w:szCs w:val="20"/>
        </w:rPr>
        <w:softHyphen/>
        <w:t>še srdce asi velmi, velmi trpělo; jinak by se nemohlo zastavili právě teď, kdy tolik potřebujeme vzájemné lás</w:t>
      </w:r>
      <w:r>
        <w:rPr>
          <w:i/>
          <w:iCs/>
          <w:sz w:val="20"/>
          <w:szCs w:val="20"/>
        </w:rPr>
        <w:softHyphen/>
        <w:t>ky a porozumění. Mnoho krásného jsme letos pocho</w:t>
      </w:r>
      <w:r>
        <w:rPr>
          <w:i/>
          <w:iCs/>
          <w:sz w:val="20"/>
          <w:szCs w:val="20"/>
        </w:rPr>
        <w:softHyphen/>
        <w:t>vali; tím hůře je nám při myšle</w:t>
      </w:r>
      <w:r>
        <w:rPr>
          <w:i/>
          <w:iCs/>
          <w:sz w:val="20"/>
          <w:szCs w:val="20"/>
        </w:rPr>
        <w:t>nce, že ani Vy s námi nepůjdete do nového údobí. Poručíme však srdcím, aby byla statečná, a vyzbrojíme je Vaším odkazem lásky k životu a člověku.</w:t>
      </w:r>
    </w:p>
    <w:p w:rsidR="00500724" w:rsidRDefault="00F30FB8">
      <w:pPr>
        <w:pStyle w:val="Zkladntext1"/>
        <w:shd w:val="clear" w:color="auto" w:fill="auto"/>
        <w:spacing w:line="180" w:lineRule="auto"/>
        <w:ind w:firstLine="240"/>
        <w:rPr>
          <w:sz w:val="20"/>
          <w:szCs w:val="20"/>
        </w:rPr>
      </w:pPr>
      <w:r>
        <w:rPr>
          <w:i/>
          <w:iCs/>
          <w:sz w:val="20"/>
          <w:szCs w:val="20"/>
        </w:rPr>
        <w:t>Ukazoval jste nám, jak je všední život krásný v své tvůrčí síle, životnosti a neko</w:t>
      </w:r>
      <w:r>
        <w:rPr>
          <w:i/>
          <w:iCs/>
          <w:sz w:val="20"/>
          <w:szCs w:val="20"/>
        </w:rPr>
        <w:softHyphen/>
        <w:t>nečných obměnách, jak stojí</w:t>
      </w:r>
      <w:r>
        <w:rPr>
          <w:i/>
          <w:iCs/>
          <w:sz w:val="20"/>
          <w:szCs w:val="20"/>
        </w:rPr>
        <w:t xml:space="preserve"> za to, aby byl žit. Ale je také sobecký; tvrdý k živým a ne</w:t>
      </w:r>
      <w:r>
        <w:rPr>
          <w:i/>
          <w:iCs/>
          <w:sz w:val="20"/>
          <w:szCs w:val="20"/>
        </w:rPr>
        <w:softHyphen/>
        <w:t>vděčný k mrtvým. Vaše velké a statečné srdce mlčí a lho</w:t>
      </w:r>
      <w:r>
        <w:rPr>
          <w:i/>
          <w:iCs/>
          <w:sz w:val="20"/>
          <w:szCs w:val="20"/>
        </w:rPr>
        <w:softHyphen/>
        <w:t>stejný šedivý všední život ky</w:t>
      </w:r>
      <w:r>
        <w:rPr>
          <w:i/>
          <w:iCs/>
          <w:sz w:val="20"/>
          <w:szCs w:val="20"/>
        </w:rPr>
        <w:softHyphen/>
        <w:t>pí a hlučí. Ten bezohledný život jste nás učil milovat. Co mu říkáte nyní? Vy už teď všechno víte.</w:t>
      </w:r>
    </w:p>
    <w:p w:rsidR="00500724" w:rsidRDefault="00F30FB8">
      <w:pPr>
        <w:pStyle w:val="Zkladntext1"/>
        <w:shd w:val="clear" w:color="auto" w:fill="auto"/>
        <w:spacing w:after="100" w:line="199" w:lineRule="auto"/>
        <w:ind w:firstLine="240"/>
        <w:rPr>
          <w:sz w:val="20"/>
          <w:szCs w:val="20"/>
        </w:rPr>
      </w:pPr>
      <w:r>
        <w:rPr>
          <w:i/>
          <w:iCs/>
          <w:sz w:val="20"/>
          <w:szCs w:val="20"/>
        </w:rPr>
        <w:t>Jako byste</w:t>
      </w:r>
      <w:r>
        <w:rPr>
          <w:i/>
          <w:iCs/>
          <w:sz w:val="20"/>
          <w:szCs w:val="20"/>
        </w:rPr>
        <w:t xml:space="preserve"> se někde blízko usmíval a řřkal: /Tak je to dobře!«</w:t>
      </w:r>
    </w:p>
    <w:p w:rsidR="00500724" w:rsidRDefault="00F30FB8">
      <w:pPr>
        <w:pStyle w:val="Zkladntext40"/>
        <w:shd w:val="clear" w:color="auto" w:fill="auto"/>
        <w:spacing w:after="240" w:line="204" w:lineRule="auto"/>
      </w:pPr>
      <w:r>
        <w:t>* Autorka je posluchačkou IV. tř. Československé obchodní akade</w:t>
      </w:r>
      <w:r>
        <w:softHyphen/>
        <w:t>mie. (Přetisk ze Studentského ča</w:t>
      </w:r>
      <w:r>
        <w:softHyphen/>
        <w:t>sopisu.) ka, glosu M. Pujmanové Sedmero mistrovských ctností K. Čapka a řadu zajímavých i naléhavých pozná</w:t>
      </w:r>
      <w:r>
        <w:t>mek, vztahujících se k sou</w:t>
      </w:r>
      <w:r>
        <w:softHyphen/>
        <w:t>časné situaci filosofie, kultury a umění, a článek Jaromíra Johna. polemisující důmyslně a přesvěd</w:t>
      </w:r>
      <w:r>
        <w:softHyphen/>
        <w:t>čivě s Chalupného názorem, že »jsme prý nedovedli pochopit</w:t>
      </w:r>
    </w:p>
    <w:p w:rsidR="00500724" w:rsidRDefault="00F30FB8">
      <w:pPr>
        <w:pStyle w:val="Zkladntext90"/>
        <w:shd w:val="clear" w:color="auto" w:fill="auto"/>
        <w:spacing w:line="204" w:lineRule="auto"/>
        <w:ind w:firstLine="0"/>
      </w:pPr>
      <w:r>
        <w:t>ovšem nebudete postižen. Neboť sklad musí býti udržován v po</w:t>
      </w:r>
      <w:r>
        <w:softHyphen/>
        <w:t>řádku a pa</w:t>
      </w:r>
      <w:r>
        <w:t>k bude v něm jaktak dost práce.</w:t>
      </w:r>
    </w:p>
    <w:p w:rsidR="00500724" w:rsidRDefault="00F30FB8">
      <w:pPr>
        <w:pStyle w:val="Zkladntext90"/>
        <w:shd w:val="clear" w:color="auto" w:fill="auto"/>
        <w:spacing w:line="204" w:lineRule="auto"/>
      </w:pPr>
      <w:r>
        <w:t>Josef Balada se obrátil. Slova se mu chvíli kymácela v ústech jako srdce, hledajíc! zvon. Bál se jich. Odmítal je 1 vábil. Jiné je mluvltl za všechny — je to, jako bys, napaden, opíral se zády o zeď a zeď bojovala s tebou. J</w:t>
      </w:r>
      <w:r>
        <w:t>iné je mluvit sám za sebe. bez jisto</w:t>
      </w:r>
      <w:r>
        <w:softHyphen/>
        <w:t>ty, že se budeš mít o koho opřít, na koho spolehnout, s úzkostí, že zeď, v niž jsi věřil, unikne a ne</w:t>
      </w:r>
      <w:r>
        <w:softHyphen/>
        <w:t>chá prázdnotu za tvými zády. Ale jednou to musíš skoncovat, člově</w:t>
      </w:r>
      <w:r>
        <w:softHyphen/>
        <w:t>če. Tvá dcera je vdána, proč ty by ses dále pokořov</w:t>
      </w:r>
      <w:r>
        <w:t>al, proč bys dále hrál ničemu, jehož čest tančí a poskakuje za korunu jako obec</w:t>
      </w:r>
      <w:r>
        <w:softHyphen/>
        <w:t>ní blázen.</w:t>
      </w:r>
    </w:p>
    <w:p w:rsidR="00500724" w:rsidRDefault="00F30FB8">
      <w:pPr>
        <w:pStyle w:val="Zkladntext90"/>
        <w:shd w:val="clear" w:color="auto" w:fill="auto"/>
        <w:spacing w:line="204" w:lineRule="auto"/>
      </w:pPr>
      <w:r>
        <w:t>— Dojde-li k tomu, řekl koneč</w:t>
      </w:r>
      <w:r>
        <w:softHyphen/>
        <w:t>ně, — budu solidární s ostatními.</w:t>
      </w:r>
    </w:p>
    <w:p w:rsidR="00500724" w:rsidRDefault="00F30FB8">
      <w:pPr>
        <w:pStyle w:val="Zkladntext90"/>
        <w:shd w:val="clear" w:color="auto" w:fill="auto"/>
        <w:spacing w:line="204" w:lineRule="auto"/>
      </w:pPr>
      <w:r>
        <w:t>Michal unaveně vzdychl.</w:t>
      </w:r>
    </w:p>
    <w:p w:rsidR="00500724" w:rsidRDefault="00F30FB8">
      <w:pPr>
        <w:pStyle w:val="Zkladntext90"/>
        <w:shd w:val="clear" w:color="auto" w:fill="auto"/>
      </w:pPr>
      <w:r>
        <w:t>— Dejme tomu, že jste to mu</w:t>
      </w:r>
      <w:r>
        <w:softHyphen/>
        <w:t>sel říci, abyste se z nějakého dů</w:t>
      </w:r>
      <w:r>
        <w:softHyphen/>
        <w:t>vodu ospravedln</w:t>
      </w:r>
      <w:r>
        <w:t>il sám před se</w:t>
      </w:r>
      <w:r>
        <w:softHyphen/>
        <w:t>bou. Myslíte-li to však vážně, upozorňuji, že posuzujete špatně své postavení i okolnosti. Dejme tomu, že opravdu dojde k zasta</w:t>
      </w:r>
      <w:r>
        <w:softHyphen/>
        <w:t>vení práce a že vy nepřijdete, ač jste k tomu byl vyzván. Budu to považovat za zákonnou výpověď.</w:t>
      </w:r>
    </w:p>
    <w:p w:rsidR="00500724" w:rsidRDefault="00F30FB8">
      <w:pPr>
        <w:pStyle w:val="Zkladntext90"/>
        <w:shd w:val="clear" w:color="auto" w:fill="auto"/>
        <w:spacing w:line="204" w:lineRule="auto"/>
      </w:pPr>
      <w:r>
        <w:t>A Josef Balada v</w:t>
      </w:r>
      <w:r>
        <w:t>yšel ze dveří už bez -ozdravu.</w:t>
      </w:r>
    </w:p>
    <w:p w:rsidR="00500724" w:rsidRDefault="00F30FB8">
      <w:pPr>
        <w:spacing w:line="1" w:lineRule="exact"/>
        <w:rPr>
          <w:sz w:val="2"/>
          <w:szCs w:val="2"/>
        </w:rPr>
      </w:pPr>
      <w:r>
        <w:br w:type="column"/>
      </w:r>
    </w:p>
    <w:p w:rsidR="00500724" w:rsidRDefault="00F30FB8">
      <w:pPr>
        <w:pStyle w:val="Zkladntext40"/>
        <w:shd w:val="clear" w:color="auto" w:fill="auto"/>
        <w:spacing w:after="120" w:line="204" w:lineRule="auto"/>
      </w:pPr>
      <w:r>
        <w:t>mentalltu«. Celkem lze říci, že prvé číslo nového ročníku Kri</w:t>
      </w:r>
      <w:r>
        <w:softHyphen/>
        <w:t xml:space="preserve">tického měsíčníku, který slibuje podstatné rozšíření kruhu svých spolupracovníků nejen u nás, ale 1 v cizině — přinese příspěvky vlámského kritika Landsmanna, </w:t>
      </w:r>
      <w:r>
        <w:t>francouzského spisovatele Niza- na, anglického essayisty Lehman- na a jiných—-je víc než slib. Je to závazek! Cena jednotlivých čí</w:t>
      </w:r>
      <w:r>
        <w:softHyphen/>
        <w:t>sel je 3 Kč. Předplatné na celý ročník (10 čísel) je 25 Kč.</w:t>
      </w:r>
    </w:p>
    <w:p w:rsidR="00500724" w:rsidRDefault="00F30FB8">
      <w:pPr>
        <w:pStyle w:val="Zkladntext1"/>
        <w:shd w:val="clear" w:color="auto" w:fill="auto"/>
        <w:spacing w:after="80" w:line="216" w:lineRule="auto"/>
        <w:ind w:right="320" w:firstLine="0"/>
        <w:jc w:val="left"/>
        <w:rPr>
          <w:sz w:val="22"/>
          <w:szCs w:val="22"/>
        </w:rPr>
      </w:pPr>
      <w:r>
        <w:rPr>
          <w:b/>
          <w:bCs/>
        </w:rPr>
        <w:t xml:space="preserve">STUDENTSKÝ ČASOPIS </w:t>
      </w:r>
      <w:r>
        <w:rPr>
          <w:b/>
          <w:bCs/>
          <w:smallCaps/>
          <w:sz w:val="22"/>
          <w:szCs w:val="22"/>
        </w:rPr>
        <w:t>a</w:t>
      </w:r>
      <w:r>
        <w:rPr>
          <w:b/>
          <w:bCs/>
        </w:rPr>
        <w:t xml:space="preserve"> KAREL </w:t>
      </w:r>
      <w:r>
        <w:rPr>
          <w:b/>
          <w:bCs/>
          <w:smallCaps/>
          <w:sz w:val="22"/>
          <w:szCs w:val="22"/>
        </w:rPr>
        <w:t>Čapek</w:t>
      </w:r>
    </w:p>
    <w:p w:rsidR="00500724" w:rsidRDefault="00F30FB8">
      <w:pPr>
        <w:pStyle w:val="Zkladntext40"/>
        <w:shd w:val="clear" w:color="auto" w:fill="auto"/>
        <w:spacing w:after="80" w:line="204" w:lineRule="auto"/>
      </w:pPr>
      <w:r>
        <w:t>Páté ’číslo Studentského časopis</w:t>
      </w:r>
      <w:r>
        <w:t>u je zčásti věnováno památce Karla Čapka. Tak hned na obálce je reprodukce Dvořákovy busty a uvnitř snímek posmrtného odlit</w:t>
      </w:r>
      <w:r>
        <w:softHyphen/>
        <w:t>ku Čapkovy ruky. O mrtvém bá</w:t>
      </w:r>
      <w:r>
        <w:softHyphen/>
        <w:t>sníku a jeho poměru k Student</w:t>
      </w:r>
      <w:r>
        <w:softHyphen/>
        <w:t xml:space="preserve">skému časopisu píše s vroucím zaujetím redator časopisu Ant. íteřábek, o </w:t>
      </w:r>
      <w:r>
        <w:t>chlapci, který se v Čapkovi neustále skrýval, zajik- lý, zjihlý, opojený láskou, kama</w:t>
      </w:r>
      <w:r>
        <w:softHyphen/>
        <w:t>rádstvím 1 touhou po činnosti a statečnosti, po tom, být chlapem a mužem, píše Václav Řezáč, a snítku vzpomínek, vyznání lásky a dojetí na básníkův hrob posí</w:t>
      </w:r>
      <w:r>
        <w:softHyphen/>
        <w:t>lají ve form</w:t>
      </w:r>
      <w:r>
        <w:t>ě veršů a próz, jíma</w:t>
      </w:r>
      <w:r>
        <w:softHyphen/>
        <w:t>jících vroucností citu a upřím</w:t>
      </w:r>
      <w:r>
        <w:softHyphen/>
        <w:t>ností slova, středoškoláci Kocou</w:t>
      </w:r>
      <w:r>
        <w:softHyphen/>
        <w:t>rek, J. Kopecký, A. Mikulášová a J. Javorová.</w:t>
      </w:r>
    </w:p>
    <w:p w:rsidR="00500724" w:rsidRDefault="00F30FB8">
      <w:pPr>
        <w:pStyle w:val="Jin0"/>
        <w:shd w:val="clear" w:color="auto" w:fill="auto"/>
        <w:spacing w:after="80" w:line="262" w:lineRule="auto"/>
        <w:ind w:firstLine="0"/>
        <w:jc w:val="left"/>
        <w:rPr>
          <w:sz w:val="26"/>
          <w:szCs w:val="26"/>
        </w:rPr>
      </w:pPr>
      <w:r>
        <w:rPr>
          <w:sz w:val="26"/>
          <w:szCs w:val="26"/>
        </w:rPr>
        <w:t>REDAKCI DOŠLÉ KNIHY</w:t>
      </w:r>
    </w:p>
    <w:p w:rsidR="00500724" w:rsidRDefault="00F30FB8">
      <w:pPr>
        <w:pStyle w:val="Zkladntext40"/>
        <w:shd w:val="clear" w:color="auto" w:fill="auto"/>
        <w:spacing w:after="80" w:line="206" w:lineRule="auto"/>
        <w:ind w:firstLine="180"/>
      </w:pPr>
      <w:r>
        <w:rPr>
          <w:noProof/>
        </w:rPr>
        <mc:AlternateContent>
          <mc:Choice Requires="wps">
            <w:drawing>
              <wp:anchor distT="724535" distB="3780155" distL="92075" distR="88900" simplePos="0" relativeHeight="125829464" behindDoc="0" locked="0" layoutInCell="1" allowOverlap="1">
                <wp:simplePos x="0" y="0"/>
                <wp:positionH relativeFrom="page">
                  <wp:posOffset>3826510</wp:posOffset>
                </wp:positionH>
                <wp:positionV relativeFrom="margin">
                  <wp:posOffset>5782310</wp:posOffset>
                </wp:positionV>
                <wp:extent cx="3056890" cy="316865"/>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3056890" cy="31686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PRACOVNÍM STOLKEM</w:t>
                            </w:r>
                          </w:p>
                        </w:txbxContent>
                      </wps:txbx>
                      <wps:bodyPr lIns="0" tIns="0" rIns="0" bIns="0">
                        <a:spAutoFit/>
                      </wps:bodyPr>
                    </wps:wsp>
                  </a:graphicData>
                </a:graphic>
              </wp:anchor>
            </w:drawing>
          </mc:Choice>
          <mc:Fallback>
            <w:pict>
              <v:shape id="_x0000_s1113" type="#_x0000_t202" style="position:absolute;margin-left:301.30000000000001pt;margin-top:455.30000000000001pt;width:240.69999999999999pt;height:24.949999999999999pt;z-index:-125829289;mso-wrap-distance-left:7.25pt;mso-wrap-distance-top:57.049999999999997pt;mso-wrap-distance-right:7.pt;mso-wrap-distance-bottom:297.64999999999998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PRACOVNÍM STOLKEM</w:t>
                      </w:r>
                    </w:p>
                  </w:txbxContent>
                </v:textbox>
                <w10:wrap type="topAndBottom" anchorx="page" anchory="margin"/>
              </v:shape>
            </w:pict>
          </mc:Fallback>
        </mc:AlternateContent>
      </w:r>
      <w:r>
        <w:rPr>
          <w:noProof/>
        </w:rPr>
        <mc:AlternateContent>
          <mc:Choice Requires="wps">
            <w:drawing>
              <wp:anchor distT="1044575" distB="3027045" distL="238125" distR="1384300" simplePos="0" relativeHeight="125829466" behindDoc="0" locked="0" layoutInCell="1" allowOverlap="1">
                <wp:simplePos x="0" y="0"/>
                <wp:positionH relativeFrom="page">
                  <wp:posOffset>3973195</wp:posOffset>
                </wp:positionH>
                <wp:positionV relativeFrom="margin">
                  <wp:posOffset>6102350</wp:posOffset>
                </wp:positionV>
                <wp:extent cx="1615440" cy="749935"/>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1615440" cy="749935"/>
                        </a:xfrm>
                        <a:prstGeom prst="rect">
                          <a:avLst/>
                        </a:prstGeom>
                        <a:noFill/>
                      </wps:spPr>
                      <wps:txbx>
                        <w:txbxContent>
                          <w:p w:rsidR="00500724" w:rsidRDefault="00F30FB8">
                            <w:pPr>
                              <w:pStyle w:val="Zkladntext50"/>
                              <w:shd w:val="clear" w:color="auto" w:fill="auto"/>
                              <w:spacing w:after="0" w:line="240" w:lineRule="auto"/>
                              <w:ind w:left="0"/>
                              <w:jc w:val="center"/>
                            </w:pPr>
                            <w:r>
                              <w:t>č. 310</w:t>
                            </w:r>
                          </w:p>
                          <w:p w:rsidR="00500724" w:rsidRDefault="00F30FB8">
                            <w:pPr>
                              <w:pStyle w:val="Zkladntext50"/>
                              <w:shd w:val="clear" w:color="auto" w:fill="auto"/>
                              <w:spacing w:after="0" w:line="240" w:lineRule="auto"/>
                              <w:ind w:left="0"/>
                              <w:jc w:val="center"/>
                            </w:pPr>
                            <w:r>
                              <w:t>100 cm dlouhým.</w:t>
                            </w:r>
                          </w:p>
                          <w:p w:rsidR="00500724" w:rsidRDefault="00F30FB8">
                            <w:pPr>
                              <w:pStyle w:val="Zkladntext50"/>
                              <w:shd w:val="clear" w:color="auto" w:fill="auto"/>
                              <w:spacing w:after="0" w:line="396" w:lineRule="auto"/>
                              <w:ind w:left="0"/>
                              <w:jc w:val="center"/>
                            </w:pPr>
                            <w:r>
                              <w:t>65 cm hlubokým</w:t>
                            </w:r>
                            <w:r>
                              <w:br/>
                              <w:t>nástroj</w:t>
                            </w:r>
                          </w:p>
                          <w:p w:rsidR="00500724" w:rsidRDefault="00F30FB8">
                            <w:pPr>
                              <w:pStyle w:val="Zkladntext50"/>
                              <w:shd w:val="clear" w:color="auto" w:fill="auto"/>
                              <w:spacing w:after="0" w:line="240" w:lineRule="auto"/>
                              <w:ind w:left="0"/>
                              <w:jc w:val="left"/>
                            </w:pPr>
                            <w:r>
                              <w:t>POŘÁDKU A POHODLI</w:t>
                            </w:r>
                          </w:p>
                        </w:txbxContent>
                      </wps:txbx>
                      <wps:bodyPr lIns="0" tIns="0" rIns="0" bIns="0">
                        <a:spAutoFit/>
                      </wps:bodyPr>
                    </wps:wsp>
                  </a:graphicData>
                </a:graphic>
              </wp:anchor>
            </w:drawing>
          </mc:Choice>
          <mc:Fallback>
            <w:pict>
              <v:shape id="_x0000_s1115" type="#_x0000_t202" style="position:absolute;margin-left:312.85000000000002pt;margin-top:480.5pt;width:127.2pt;height:59.049999999999997pt;z-index:-125829287;mso-wrap-distance-left:18.75pt;mso-wrap-distance-top:82.25pt;mso-wrap-distance-right:109.pt;mso-wrap-distance-bottom:238.34999999999999pt;mso-position-horizontal-relative:page;mso-position-vertical-relative:margin" filled="f" stroked="f">
                <v:textbox style="mso-fit-shape-to-text:t" inset="0,0,0,0">
                  <w:txbxContent>
                    <w:p>
                      <w:pPr>
                        <w:pStyle w:val="Style80"/>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č. 310</w:t>
                      </w:r>
                    </w:p>
                    <w:p>
                      <w:pPr>
                        <w:pStyle w:val="Style80"/>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100 cm dlouhým.</w:t>
                      </w:r>
                    </w:p>
                    <w:p>
                      <w:pPr>
                        <w:pStyle w:val="Style80"/>
                        <w:keepNext w:val="0"/>
                        <w:keepLines w:val="0"/>
                        <w:widowControl w:val="0"/>
                        <w:shd w:val="clear" w:color="auto" w:fill="auto"/>
                        <w:bidi w:val="0"/>
                        <w:spacing w:before="0" w:after="0" w:line="396" w:lineRule="auto"/>
                        <w:ind w:left="0" w:right="0" w:firstLine="0"/>
                        <w:jc w:val="center"/>
                      </w:pPr>
                      <w:r>
                        <w:rPr>
                          <w:color w:val="000000"/>
                          <w:spacing w:val="0"/>
                          <w:w w:val="100"/>
                          <w:position w:val="0"/>
                          <w:shd w:val="clear" w:color="auto" w:fill="auto"/>
                          <w:lang w:val="cs-CZ" w:eastAsia="cs-CZ" w:bidi="cs-CZ"/>
                        </w:rPr>
                        <w:t>65 cm hlubokým</w:t>
                        <w:br/>
                        <w:t>nástroj</w:t>
                      </w:r>
                    </w:p>
                    <w:p>
                      <w:pPr>
                        <w:pStyle w:val="Style8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POŘÁDKU A POHODLI</w:t>
                      </w:r>
                    </w:p>
                  </w:txbxContent>
                </v:textbox>
                <w10:wrap type="topAndBottom" anchorx="page" anchory="margin"/>
              </v:shape>
            </w:pict>
          </mc:Fallback>
        </mc:AlternateContent>
      </w:r>
      <w:r>
        <w:rPr>
          <w:noProof/>
        </w:rPr>
        <mc:AlternateContent>
          <mc:Choice Requires="wps">
            <w:drawing>
              <wp:anchor distT="1757680" distB="2914650" distL="1887220" distR="107315" simplePos="0" relativeHeight="125829468" behindDoc="0" locked="0" layoutInCell="1" allowOverlap="1">
                <wp:simplePos x="0" y="0"/>
                <wp:positionH relativeFrom="page">
                  <wp:posOffset>5622290</wp:posOffset>
                </wp:positionH>
                <wp:positionV relativeFrom="margin">
                  <wp:posOffset>6815455</wp:posOffset>
                </wp:positionV>
                <wp:extent cx="1243330" cy="149225"/>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1243330" cy="149225"/>
                        </a:xfrm>
                        <a:prstGeom prst="rect">
                          <a:avLst/>
                        </a:prstGeom>
                        <a:noFill/>
                      </wps:spPr>
                      <wps:txbx>
                        <w:txbxContent>
                          <w:p w:rsidR="00500724" w:rsidRDefault="00F30FB8">
                            <w:pPr>
                              <w:pStyle w:val="Zkladntext50"/>
                              <w:pBdr>
                                <w:bottom w:val="single" w:sz="4" w:space="0" w:color="auto"/>
                              </w:pBdr>
                              <w:shd w:val="clear" w:color="auto" w:fill="auto"/>
                              <w:spacing w:after="0" w:line="240" w:lineRule="auto"/>
                              <w:ind w:left="0"/>
                              <w:jc w:val="left"/>
                            </w:pPr>
                            <w:r>
                              <w:t xml:space="preserve">PRAHA II., </w:t>
                            </w:r>
                            <w:r>
                              <w:t>Vodičkova 22</w:t>
                            </w:r>
                          </w:p>
                        </w:txbxContent>
                      </wps:txbx>
                      <wps:bodyPr lIns="0" tIns="0" rIns="0" bIns="0">
                        <a:spAutoFit/>
                      </wps:bodyPr>
                    </wps:wsp>
                  </a:graphicData>
                </a:graphic>
              </wp:anchor>
            </w:drawing>
          </mc:Choice>
          <mc:Fallback>
            <w:pict>
              <v:shape id="_x0000_s1117" type="#_x0000_t202" style="position:absolute;margin-left:442.69999999999999pt;margin-top:536.64999999999998pt;width:97.900000000000006pt;height:11.75pt;z-index:-125829285;mso-wrap-distance-left:148.59999999999999pt;mso-wrap-distance-top:138.40000000000001pt;mso-wrap-distance-right:8.4499999999999993pt;mso-wrap-distance-bottom:229.5pt;mso-position-horizontal-relative:page;mso-position-vertical-relative:margin" filled="f" stroked="f">
                <v:textbox style="mso-fit-shape-to-text:t" inset="0,0,0,0">
                  <w:txbxContent>
                    <w:p>
                      <w:pPr>
                        <w:pStyle w:val="Style80"/>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PRAHA II., Vodičkova 22</w:t>
                      </w:r>
                    </w:p>
                  </w:txbxContent>
                </v:textbox>
                <w10:wrap type="topAndBottom" anchorx="page" anchory="margin"/>
              </v:shape>
            </w:pict>
          </mc:Fallback>
        </mc:AlternateContent>
      </w:r>
      <w:r>
        <w:rPr>
          <w:noProof/>
        </w:rPr>
        <mc:AlternateContent>
          <mc:Choice Requires="wps">
            <w:drawing>
              <wp:anchor distT="2211705" distB="469900" distL="189230" distR="113030" simplePos="0" relativeHeight="125829470" behindDoc="0" locked="0" layoutInCell="1" allowOverlap="1">
                <wp:simplePos x="0" y="0"/>
                <wp:positionH relativeFrom="page">
                  <wp:posOffset>3924300</wp:posOffset>
                </wp:positionH>
                <wp:positionV relativeFrom="margin">
                  <wp:posOffset>7269480</wp:posOffset>
                </wp:positionV>
                <wp:extent cx="2934970" cy="213995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2934970" cy="2139950"/>
                        </a:xfrm>
                        <a:prstGeom prst="rect">
                          <a:avLst/>
                        </a:prstGeom>
                        <a:noFill/>
                      </wps:spPr>
                      <wps:txbx>
                        <w:txbxContent>
                          <w:p w:rsidR="00500724" w:rsidRDefault="00F30FB8">
                            <w:pPr>
                              <w:pStyle w:val="Jin0"/>
                              <w:shd w:val="clear" w:color="auto" w:fill="auto"/>
                              <w:spacing w:line="372" w:lineRule="auto"/>
                              <w:ind w:firstLine="0"/>
                              <w:rPr>
                                <w:sz w:val="40"/>
                                <w:szCs w:val="40"/>
                              </w:rPr>
                            </w:pPr>
                            <w:r>
                              <w:rPr>
                                <w:sz w:val="40"/>
                                <w:szCs w:val="40"/>
                              </w:rPr>
                              <w:t>ŽIVOT A DÍLO KARLA ČAPKA</w:t>
                            </w:r>
                          </w:p>
                          <w:p w:rsidR="00500724" w:rsidRDefault="00F30FB8">
                            <w:pPr>
                              <w:pStyle w:val="Zkladntext30"/>
                              <w:shd w:val="clear" w:color="auto" w:fill="auto"/>
                              <w:spacing w:after="200" w:line="240" w:lineRule="auto"/>
                              <w:ind w:left="960" w:firstLine="20"/>
                            </w:pPr>
                            <w:r>
                              <w:t>výstava knih, fotografií, kreseb a věcí, které měl rád.</w:t>
                            </w:r>
                          </w:p>
                          <w:p w:rsidR="00500724" w:rsidRDefault="00F30FB8">
                            <w:pPr>
                              <w:pStyle w:val="Zkladntext30"/>
                              <w:shd w:val="clear" w:color="auto" w:fill="auto"/>
                              <w:spacing w:after="0" w:line="271" w:lineRule="auto"/>
                              <w:ind w:left="960" w:hanging="960"/>
                              <w:rPr>
                                <w:sz w:val="20"/>
                                <w:szCs w:val="20"/>
                              </w:rPr>
                            </w:pPr>
                            <w:r>
                              <w:rPr>
                                <w:i/>
                                <w:iCs/>
                                <w:sz w:val="32"/>
                                <w:szCs w:val="32"/>
                              </w:rPr>
                              <w:t xml:space="preserve">Topičův salon - leden-únor 1Q3Q </w:t>
                            </w:r>
                            <w:r>
                              <w:rPr>
                                <w:b/>
                                <w:bCs/>
                                <w:sz w:val="20"/>
                                <w:szCs w:val="20"/>
                              </w:rPr>
                              <w:t>Otevřeno denně 12-19, v neděli 10-18. PRAHA I., NÁRODNÍ 11.</w:t>
                            </w:r>
                          </w:p>
                        </w:txbxContent>
                      </wps:txbx>
                      <wps:bodyPr lIns="0" tIns="0" rIns="0" bIns="0">
                        <a:spAutoFit/>
                      </wps:bodyPr>
                    </wps:wsp>
                  </a:graphicData>
                </a:graphic>
              </wp:anchor>
            </w:drawing>
          </mc:Choice>
          <mc:Fallback>
            <w:pict>
              <v:shape id="_x0000_s1119" type="#_x0000_t202" style="position:absolute;margin-left:309.pt;margin-top:572.39999999999998pt;width:231.09999999999999pt;height:168.5pt;z-index:-125829283;mso-wrap-distance-left:14.9pt;mso-wrap-distance-top:174.15000000000001pt;mso-wrap-distance-right:8.9000000000000004pt;mso-wrap-distance-bottom:37.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372" w:lineRule="auto"/>
                        <w:ind w:left="0" w:right="0" w:firstLine="0"/>
                        <w:rPr>
                          <w:sz w:val="40"/>
                          <w:szCs w:val="40"/>
                        </w:rPr>
                      </w:pPr>
                      <w:r>
                        <w:rPr>
                          <w:color w:val="000000"/>
                          <w:spacing w:val="0"/>
                          <w:w w:val="100"/>
                          <w:position w:val="0"/>
                          <w:sz w:val="40"/>
                          <w:szCs w:val="40"/>
                          <w:shd w:val="clear" w:color="auto" w:fill="auto"/>
                          <w:lang w:val="cs-CZ" w:eastAsia="cs-CZ" w:bidi="cs-CZ"/>
                        </w:rPr>
                        <w:t>ŽIVOT A DÍLO KARLA ČAPKA</w:t>
                      </w:r>
                    </w:p>
                    <w:p>
                      <w:pPr>
                        <w:pStyle w:val="Style22"/>
                        <w:keepNext w:val="0"/>
                        <w:keepLines w:val="0"/>
                        <w:widowControl w:val="0"/>
                        <w:shd w:val="clear" w:color="auto" w:fill="auto"/>
                        <w:bidi w:val="0"/>
                        <w:spacing w:before="0" w:after="200" w:line="240" w:lineRule="auto"/>
                        <w:ind w:left="960" w:right="0" w:firstLine="20"/>
                      </w:pPr>
                      <w:r>
                        <w:rPr>
                          <w:color w:val="000000"/>
                          <w:spacing w:val="0"/>
                          <w:w w:val="100"/>
                          <w:position w:val="0"/>
                          <w:shd w:val="clear" w:color="auto" w:fill="auto"/>
                          <w:lang w:val="cs-CZ" w:eastAsia="cs-CZ" w:bidi="cs-CZ"/>
                        </w:rPr>
                        <w:t>výstava knih, fotografií, kreseb a věcí, které měl rád.</w:t>
                      </w:r>
                    </w:p>
                    <w:p>
                      <w:pPr>
                        <w:pStyle w:val="Style22"/>
                        <w:keepNext w:val="0"/>
                        <w:keepLines w:val="0"/>
                        <w:widowControl w:val="0"/>
                        <w:shd w:val="clear" w:color="auto" w:fill="auto"/>
                        <w:bidi w:val="0"/>
                        <w:spacing w:before="0" w:after="0" w:line="271" w:lineRule="auto"/>
                        <w:ind w:left="960" w:right="0" w:hanging="960"/>
                        <w:rPr>
                          <w:sz w:val="20"/>
                          <w:szCs w:val="20"/>
                        </w:rPr>
                      </w:pPr>
                      <w:r>
                        <w:rPr>
                          <w:i/>
                          <w:iCs/>
                          <w:color w:val="000000"/>
                          <w:spacing w:val="0"/>
                          <w:w w:val="100"/>
                          <w:position w:val="0"/>
                          <w:sz w:val="32"/>
                          <w:szCs w:val="32"/>
                          <w:shd w:val="clear" w:color="auto" w:fill="auto"/>
                          <w:lang w:val="cs-CZ" w:eastAsia="cs-CZ" w:bidi="cs-CZ"/>
                        </w:rPr>
                        <w:t xml:space="preserve">Topičův salon - leden-únor 1Q3Q </w:t>
                      </w:r>
                      <w:r>
                        <w:rPr>
                          <w:b/>
                          <w:bCs/>
                          <w:color w:val="000000"/>
                          <w:spacing w:val="0"/>
                          <w:w w:val="100"/>
                          <w:position w:val="0"/>
                          <w:sz w:val="20"/>
                          <w:szCs w:val="20"/>
                          <w:shd w:val="clear" w:color="auto" w:fill="auto"/>
                          <w:lang w:val="cs-CZ" w:eastAsia="cs-CZ" w:bidi="cs-CZ"/>
                        </w:rPr>
                        <w:t>Otevřeno denně 12-19, v neděli 10-18. PRAHA I., NÁRODNÍ 11.</w:t>
                      </w:r>
                    </w:p>
                  </w:txbxContent>
                </v:textbox>
                <w10:wrap type="topAndBottom" anchorx="page" anchory="margin"/>
              </v:shape>
            </w:pict>
          </mc:Fallback>
        </mc:AlternateContent>
      </w:r>
      <w:r>
        <w:rPr>
          <w:rFonts w:ascii="Georgia" w:eastAsia="Georgia" w:hAnsi="Georgia" w:cs="Georgia"/>
          <w:b/>
          <w:bCs/>
          <w:sz w:val="13"/>
          <w:szCs w:val="13"/>
          <w:lang w:val="en-US" w:eastAsia="en-US" w:bidi="en-US"/>
        </w:rPr>
        <w:t xml:space="preserve">Guy </w:t>
      </w:r>
      <w:r>
        <w:rPr>
          <w:rFonts w:ascii="Georgia" w:eastAsia="Georgia" w:hAnsi="Georgia" w:cs="Georgia"/>
          <w:b/>
          <w:bCs/>
          <w:sz w:val="13"/>
          <w:szCs w:val="13"/>
        </w:rPr>
        <w:t xml:space="preserve">de Pourtales: FBANZ </w:t>
      </w:r>
      <w:r>
        <w:rPr>
          <w:lang w:val="en-US" w:eastAsia="en-US" w:bidi="en-US"/>
        </w:rPr>
        <w:t xml:space="preserve">LISZT. </w:t>
      </w:r>
      <w:r>
        <w:t>Román jeho života a dí</w:t>
      </w:r>
      <w:r>
        <w:softHyphen/>
        <w:t xml:space="preserve">la. Autor, </w:t>
      </w:r>
      <w:r>
        <w:t>čerpající z bohatých pramenů, vylíčil chronologicky nejen život velikého umělce, nýbrž 1 život muže, jehož údělem bylo milovat. Autor, zaznamená</w:t>
      </w:r>
      <w:r>
        <w:softHyphen/>
        <w:t>vající skutečné událostí z Llszto-</w:t>
      </w:r>
      <w:r>
        <w:br w:type="column"/>
        <w:t>va života, nenapsal jenom pouta</w:t>
      </w:r>
      <w:r>
        <w:softHyphen/>
        <w:t xml:space="preserve">vý román, nýbrž 1 bystrou studii o jednom z </w:t>
      </w:r>
      <w:r>
        <w:t>největších hudebních umělců, o velikém objeviteli v oblastech krásna, vyjadřovaného hudbou, o geniu, bez něhož by nebylo ani Richarda Wagnera, který to sám doznává. Knihu přeložil z francouzštiny Svato</w:t>
      </w:r>
      <w:r>
        <w:softHyphen/>
        <w:t>pluk Kadlec. Vyšla v »Neuberto- vě pásmu dobrých knih«</w:t>
      </w:r>
      <w:r>
        <w:t xml:space="preserve"> o 256 stranách za 28 Kč.</w:t>
      </w:r>
    </w:p>
    <w:p w:rsidR="00500724" w:rsidRDefault="00F30FB8">
      <w:pPr>
        <w:pStyle w:val="Zkladntext40"/>
        <w:shd w:val="clear" w:color="auto" w:fill="auto"/>
        <w:spacing w:after="80" w:line="206" w:lineRule="auto"/>
        <w:ind w:firstLine="180"/>
      </w:pPr>
      <w:r>
        <w:rPr>
          <w:rFonts w:ascii="Georgia" w:eastAsia="Georgia" w:hAnsi="Georgia" w:cs="Georgia"/>
          <w:b/>
          <w:bCs/>
          <w:sz w:val="13"/>
          <w:szCs w:val="13"/>
        </w:rPr>
        <w:t xml:space="preserve">František </w:t>
      </w:r>
      <w:r>
        <w:rPr>
          <w:rFonts w:ascii="Georgia" w:eastAsia="Georgia" w:hAnsi="Georgia" w:cs="Georgia"/>
          <w:b/>
          <w:bCs/>
          <w:sz w:val="13"/>
          <w:szCs w:val="13"/>
          <w:lang w:val="en-US" w:eastAsia="en-US" w:bidi="en-US"/>
        </w:rPr>
        <w:t xml:space="preserve">Markup: </w:t>
      </w:r>
      <w:r>
        <w:rPr>
          <w:rFonts w:ascii="Georgia" w:eastAsia="Georgia" w:hAnsi="Georgia" w:cs="Georgia"/>
          <w:b/>
          <w:bCs/>
          <w:sz w:val="13"/>
          <w:szCs w:val="13"/>
        </w:rPr>
        <w:t xml:space="preserve">MODŘÍ </w:t>
      </w:r>
      <w:r>
        <w:t>KVĚT. Román neblahého žen</w:t>
      </w:r>
      <w:r>
        <w:softHyphen/>
        <w:t>ského osudu je prvou závažnější prací sedmatřlcetiletého Františ</w:t>
      </w:r>
      <w:r>
        <w:softHyphen/>
        <w:t>ka Markupa, jenž se dosud ome</w:t>
      </w:r>
      <w:r>
        <w:softHyphen/>
        <w:t>zoval na drobnou, porůznu uve</w:t>
      </w:r>
      <w:r>
        <w:softHyphen/>
        <w:t>řejňovanou prózu a rozmarně na</w:t>
      </w:r>
      <w:r>
        <w:softHyphen/>
        <w:t>hozený, z prostředí jižn</w:t>
      </w:r>
      <w:r>
        <w:t>í Francie čerpající krajanský příběh »2eny versus muži«, r. 1935 otiskovaný v odpoledních »Lidovkách«. Ro</w:t>
      </w:r>
      <w:r>
        <w:softHyphen/>
        <w:t xml:space="preserve">mán »Modrý květ« vyšel vítězně z letošní soutěže Zeyerova fondu při České akademii věd a umění v Praze, jehož nákladem vyšlo 1. vydání. To samo jistě </w:t>
      </w:r>
      <w:r>
        <w:t>nejvýmluv- nějl osvědčuje vážnost i zdar autorova úsilí o zajímavý námět. Kniha o 376 stranách stojí 20 Kč, vydalo ji Neubertovo nakladatel</w:t>
      </w:r>
      <w:r>
        <w:softHyphen/>
        <w:t>ství v Praze.</w:t>
      </w:r>
    </w:p>
    <w:p w:rsidR="00500724" w:rsidRDefault="00F30FB8">
      <w:pPr>
        <w:pStyle w:val="Zkladntext40"/>
        <w:shd w:val="clear" w:color="auto" w:fill="auto"/>
        <w:spacing w:after="80" w:line="206" w:lineRule="auto"/>
        <w:ind w:firstLine="180"/>
        <w:sectPr w:rsidR="00500724">
          <w:footnotePr>
            <w:numFmt w:val="chicago"/>
            <w:numRestart w:val="eachPage"/>
          </w:footnotePr>
          <w:type w:val="continuous"/>
          <w:pgSz w:w="11909" w:h="16834"/>
          <w:pgMar w:top="833" w:right="879" w:bottom="619" w:left="518" w:header="0" w:footer="3" w:gutter="0"/>
          <w:cols w:num="4" w:space="100"/>
          <w:noEndnote/>
          <w:docGrid w:linePitch="360"/>
        </w:sectPr>
      </w:pPr>
      <w:r>
        <w:rPr>
          <w:rFonts w:ascii="Georgia" w:eastAsia="Georgia" w:hAnsi="Georgia" w:cs="Georgia"/>
          <w:b/>
          <w:bCs/>
          <w:sz w:val="13"/>
          <w:szCs w:val="13"/>
        </w:rPr>
        <w:t xml:space="preserve">F. E. </w:t>
      </w:r>
      <w:r>
        <w:t>Šaman: KOKRHAJÍCÍ SMRTCE. Román, zachycující po</w:t>
      </w:r>
      <w:r>
        <w:softHyphen/>
        <w:t>válečný život a ne</w:t>
      </w:r>
      <w:r>
        <w:t>normální pomě</w:t>
      </w:r>
      <w:r>
        <w:softHyphen/>
        <w:t>ry, které přinesly samozřejmě i určitý neklid a chaos v nazírání na otázku ženy, manželství a ma</w:t>
      </w:r>
      <w:r>
        <w:softHyphen/>
        <w:t>teřství. Snad jistá uvolněnost mravů, nervové a duševní otře</w:t>
      </w:r>
      <w:r>
        <w:softHyphen/>
        <w:t>sy, nezdravé vypjetí touhy po »osvobczení a osamostatněnu i ve světě žen zvláště, by</w:t>
      </w:r>
      <w:r>
        <w:t>ly popu</w:t>
      </w:r>
      <w:r>
        <w:softHyphen/>
        <w:t>dem k řešení problémů, zdánlivě jednoduchých a samozřejmých, ale hluboce se dotýkajících až kořenů tvora člověka, jeho stabi</w:t>
      </w:r>
      <w:r>
        <w:softHyphen/>
        <w:t>lity a tradiční morálky. Kniha vy</w:t>
      </w:r>
      <w:r>
        <w:softHyphen/>
        <w:t>šla v »Neubertově pásmu dob</w:t>
      </w:r>
      <w:r>
        <w:softHyphen/>
        <w:t>rých knih«. Má 280 stran a stojí 30 Kč.</w:t>
      </w:r>
    </w:p>
    <w:p w:rsidR="00500724" w:rsidRDefault="00F30FB8">
      <w:pPr>
        <w:pStyle w:val="Nadpis40"/>
        <w:keepNext/>
        <w:keepLines/>
        <w:shd w:val="clear" w:color="auto" w:fill="auto"/>
        <w:spacing w:before="80" w:after="180"/>
      </w:pPr>
      <w:bookmarkStart w:id="138" w:name="bookmark137"/>
      <w:r>
        <w:rPr>
          <w:u w:val="single"/>
        </w:rPr>
        <w:t>Bítomnosó</w:t>
      </w:r>
      <w:bookmarkEnd w:id="138"/>
    </w:p>
    <w:p w:rsidR="00500724" w:rsidRDefault="00F30FB8">
      <w:pPr>
        <w:pStyle w:val="Titulektabulky0"/>
        <w:shd w:val="clear" w:color="auto" w:fill="auto"/>
        <w:tabs>
          <w:tab w:val="left" w:pos="3475"/>
          <w:tab w:val="left" w:pos="9000"/>
        </w:tabs>
        <w:rPr>
          <w:sz w:val="22"/>
          <w:szCs w:val="22"/>
        </w:rPr>
      </w:pPr>
      <w:r>
        <w:rPr>
          <w:sz w:val="22"/>
          <w:szCs w:val="22"/>
        </w:rPr>
        <w:t>ROCNlKXVI</w:t>
      </w:r>
      <w:r>
        <w:rPr>
          <w:sz w:val="22"/>
          <w:szCs w:val="22"/>
        </w:rPr>
        <w:tab/>
        <w:t>V</w:t>
      </w:r>
      <w:r>
        <w:rPr>
          <w:sz w:val="22"/>
          <w:szCs w:val="22"/>
        </w:rPr>
        <w:t xml:space="preserve"> PRAZE 8. ÚNOR A 1989</w:t>
      </w:r>
      <w:r>
        <w:rPr>
          <w:sz w:val="22"/>
          <w:szCs w:val="22"/>
        </w:rPr>
        <w:tab/>
        <w:t>ZA Kč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95"/>
        <w:gridCol w:w="2942"/>
      </w:tblGrid>
      <w:tr w:rsidR="00500724">
        <w:tblPrEx>
          <w:tblCellMar>
            <w:top w:w="0" w:type="dxa"/>
            <w:bottom w:w="0" w:type="dxa"/>
          </w:tblCellMar>
        </w:tblPrEx>
        <w:trPr>
          <w:trHeight w:hRule="exact" w:val="2093"/>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0"/>
              <w:jc w:val="left"/>
              <w:rPr>
                <w:sz w:val="56"/>
                <w:szCs w:val="56"/>
              </w:rPr>
            </w:pPr>
            <w:r>
              <w:rPr>
                <w:sz w:val="56"/>
                <w:szCs w:val="56"/>
              </w:rPr>
              <w:t>List do Anglie</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firstLine="0"/>
              <w:jc w:val="center"/>
              <w:rPr>
                <w:sz w:val="26"/>
                <w:szCs w:val="26"/>
              </w:rPr>
            </w:pPr>
            <w:r>
              <w:rPr>
                <w:sz w:val="26"/>
                <w:szCs w:val="26"/>
              </w:rPr>
              <w:t>RUDOLF BECHYNĚ</w:t>
            </w:r>
          </w:p>
        </w:tc>
      </w:tr>
      <w:tr w:rsidR="00500724">
        <w:tblPrEx>
          <w:tblCellMar>
            <w:top w:w="0" w:type="dxa"/>
            <w:bottom w:w="0" w:type="dxa"/>
          </w:tblCellMar>
        </w:tblPrEx>
        <w:trPr>
          <w:trHeight w:hRule="exact" w:val="119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0"/>
              <w:jc w:val="left"/>
              <w:rPr>
                <w:sz w:val="56"/>
                <w:szCs w:val="56"/>
              </w:rPr>
            </w:pPr>
            <w:r>
              <w:rPr>
                <w:sz w:val="56"/>
                <w:szCs w:val="56"/>
              </w:rPr>
              <w:t>Viděl jsem ukřižování...</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firstLine="0"/>
              <w:jc w:val="center"/>
              <w:rPr>
                <w:sz w:val="26"/>
                <w:szCs w:val="26"/>
              </w:rPr>
            </w:pPr>
            <w:r>
              <w:rPr>
                <w:sz w:val="26"/>
                <w:szCs w:val="26"/>
                <w:lang w:val="en-US" w:eastAsia="en-US" w:bidi="en-US"/>
              </w:rPr>
              <w:t>SIDNEY MORRELL</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0"/>
              <w:jc w:val="left"/>
              <w:rPr>
                <w:sz w:val="56"/>
                <w:szCs w:val="56"/>
              </w:rPr>
            </w:pPr>
            <w:r>
              <w:rPr>
                <w:sz w:val="56"/>
                <w:szCs w:val="56"/>
              </w:rPr>
              <w:t>Ze statku do chalupy?</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00" w:firstLine="0"/>
              <w:jc w:val="center"/>
              <w:rPr>
                <w:sz w:val="26"/>
                <w:szCs w:val="26"/>
              </w:rPr>
            </w:pPr>
            <w:r>
              <w:rPr>
                <w:sz w:val="26"/>
                <w:szCs w:val="26"/>
              </w:rPr>
              <w:t>VIKTOR FELBER</w:t>
            </w:r>
          </w:p>
        </w:tc>
      </w:tr>
      <w:tr w:rsidR="00500724">
        <w:tblPrEx>
          <w:tblCellMar>
            <w:top w:w="0" w:type="dxa"/>
            <w:bottom w:w="0" w:type="dxa"/>
          </w:tblCellMar>
        </w:tblPrEx>
        <w:trPr>
          <w:trHeight w:hRule="exact" w:val="119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0"/>
              <w:jc w:val="left"/>
              <w:rPr>
                <w:sz w:val="56"/>
                <w:szCs w:val="56"/>
              </w:rPr>
            </w:pPr>
            <w:r>
              <w:rPr>
                <w:sz w:val="56"/>
                <w:szCs w:val="56"/>
              </w:rPr>
              <w:t>Podmínka přijetí: bud hezká!</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firstLine="0"/>
              <w:jc w:val="center"/>
              <w:rPr>
                <w:sz w:val="26"/>
                <w:szCs w:val="26"/>
              </w:rPr>
            </w:pPr>
            <w:r>
              <w:rPr>
                <w:sz w:val="26"/>
                <w:szCs w:val="26"/>
              </w:rPr>
              <w:t>MILENA JESENSKÁ</w:t>
            </w:r>
          </w:p>
        </w:tc>
      </w:tr>
      <w:tr w:rsidR="00500724">
        <w:tblPrEx>
          <w:tblCellMar>
            <w:top w:w="0" w:type="dxa"/>
            <w:bottom w:w="0" w:type="dxa"/>
          </w:tblCellMar>
        </w:tblPrEx>
        <w:trPr>
          <w:trHeight w:hRule="exact" w:val="1186"/>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260" w:firstLine="0"/>
              <w:jc w:val="left"/>
              <w:rPr>
                <w:sz w:val="56"/>
                <w:szCs w:val="56"/>
              </w:rPr>
            </w:pPr>
            <w:r>
              <w:rPr>
                <w:sz w:val="56"/>
                <w:szCs w:val="56"/>
              </w:rPr>
              <w:t>Jak se stýkati s Němci</w:t>
            </w:r>
          </w:p>
        </w:tc>
      </w:tr>
      <w:tr w:rsidR="00500724">
        <w:tblPrEx>
          <w:tblCellMar>
            <w:top w:w="0" w:type="dxa"/>
            <w:bottom w:w="0" w:type="dxa"/>
          </w:tblCellMar>
        </w:tblPrEx>
        <w:trPr>
          <w:trHeight w:hRule="exact" w:val="1296"/>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ind w:left="260" w:firstLine="0"/>
              <w:jc w:val="left"/>
              <w:rPr>
                <w:sz w:val="56"/>
                <w:szCs w:val="56"/>
              </w:rPr>
            </w:pPr>
            <w:r>
              <w:rPr>
                <w:sz w:val="56"/>
                <w:szCs w:val="56"/>
              </w:rPr>
              <w:t>Konflikt ve Středozemním moři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shd w:val="clear" w:color="auto" w:fill="auto"/>
              <w:ind w:firstLine="0"/>
              <w:jc w:val="center"/>
              <w:rPr>
                <w:sz w:val="26"/>
                <w:szCs w:val="26"/>
              </w:rPr>
            </w:pPr>
            <w:r>
              <w:rPr>
                <w:sz w:val="26"/>
                <w:szCs w:val="26"/>
              </w:rPr>
              <w:t>VÁCLAV PILECKÝ</w:t>
            </w:r>
          </w:p>
        </w:tc>
      </w:tr>
    </w:tbl>
    <w:p w:rsidR="00500724" w:rsidRDefault="00500724">
      <w:pPr>
        <w:spacing w:after="346" w:line="14" w:lineRule="exact"/>
      </w:pPr>
    </w:p>
    <w:p w:rsidR="00500724" w:rsidRDefault="00F30FB8">
      <w:pPr>
        <w:pStyle w:val="Jin0"/>
        <w:shd w:val="clear" w:color="auto" w:fill="auto"/>
        <w:spacing w:after="280"/>
        <w:ind w:firstLine="0"/>
        <w:jc w:val="center"/>
        <w:rPr>
          <w:sz w:val="26"/>
          <w:szCs w:val="26"/>
        </w:rPr>
        <w:sectPr w:rsidR="00500724">
          <w:footnotePr>
            <w:numFmt w:val="chicago"/>
            <w:numRestart w:val="eachPage"/>
          </w:footnotePr>
          <w:pgSz w:w="11909" w:h="16834"/>
          <w:pgMar w:top="1184" w:right="543" w:bottom="1184" w:left="629" w:header="0" w:footer="3" w:gutter="0"/>
          <w:cols w:space="720"/>
          <w:noEndnote/>
          <w:docGrid w:linePitch="360"/>
        </w:sectPr>
      </w:pPr>
      <w:r>
        <w:rPr>
          <w:b/>
          <w:bCs/>
          <w:sz w:val="26"/>
          <w:szCs w:val="26"/>
        </w:rPr>
        <w:t>Puntík za pověstmi — Hospodářská rada z osobního pohledu — Hospodářská stránka</w:t>
      </w:r>
      <w:r>
        <w:rPr>
          <w:b/>
          <w:bCs/>
          <w:sz w:val="26"/>
          <w:szCs w:val="26"/>
        </w:rPr>
        <w:br/>
        <w:t>Hitlerovy řeči — Censura dobrovolná a nedobrovolná — Noviny radí čtenářům —</w:t>
      </w:r>
      <w:r>
        <w:rPr>
          <w:b/>
          <w:bCs/>
          <w:sz w:val="26"/>
          <w:szCs w:val="26"/>
        </w:rPr>
        <w:br/>
        <w:t>Odpověď německému studentu — Mladí vpřed! — Proč jenom pět? — Německý nac</w:t>
      </w:r>
      <w:r>
        <w:rPr>
          <w:b/>
          <w:bCs/>
          <w:sz w:val="26"/>
          <w:szCs w:val="26"/>
        </w:rPr>
        <w:t>ionální</w:t>
      </w:r>
      <w:r>
        <w:rPr>
          <w:b/>
          <w:bCs/>
          <w:sz w:val="26"/>
          <w:szCs w:val="26"/>
        </w:rPr>
        <w:br/>
        <w:t>socialista nám píše — Nepravdy</w:t>
      </w:r>
    </w:p>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line="240" w:lineRule="auto"/>
        <w:ind w:left="6840"/>
        <w:rPr>
          <w:sz w:val="26"/>
          <w:szCs w:val="26"/>
        </w:rPr>
        <w:sectPr w:rsidR="00500724">
          <w:footnotePr>
            <w:numFmt w:val="chicago"/>
            <w:numRestart w:val="eachPage"/>
          </w:footnotePr>
          <w:pgSz w:w="11909" w:h="16834"/>
          <w:pgMar w:top="819" w:right="867" w:bottom="533" w:left="545" w:header="0" w:footer="3" w:gutter="0"/>
          <w:cols w:space="720"/>
          <w:noEndnote/>
          <w:docGrid w:linePitch="360"/>
        </w:sectPr>
      </w:pPr>
      <w:r>
        <w:rPr>
          <w:color w:val="FFFFFF"/>
        </w:rPr>
        <w:t xml:space="preserve">ODBORNÍ </w:t>
      </w:r>
      <w:r>
        <w:rPr>
          <w:b w:val="0"/>
          <w:bCs w:val="0"/>
          <w:smallCaps/>
          <w:color w:val="FFFFFF"/>
          <w:sz w:val="26"/>
          <w:szCs w:val="26"/>
        </w:rPr>
        <w:t>lékaři</w:t>
      </w:r>
    </w:p>
    <w:p w:rsidR="00500724" w:rsidRDefault="00F30FB8">
      <w:pPr>
        <w:spacing w:line="14" w:lineRule="exact"/>
      </w:pPr>
      <w:r>
        <w:rPr>
          <w:noProof/>
        </w:rPr>
        <mc:AlternateContent>
          <mc:Choice Requires="wps">
            <w:drawing>
              <wp:anchor distT="88900" distB="3125470" distL="4113530" distR="995045" simplePos="0" relativeHeight="125829472" behindDoc="0" locked="0" layoutInCell="1" allowOverlap="1">
                <wp:simplePos x="0" y="0"/>
                <wp:positionH relativeFrom="page">
                  <wp:posOffset>4359910</wp:posOffset>
                </wp:positionH>
                <wp:positionV relativeFrom="paragraph">
                  <wp:posOffset>5769610</wp:posOffset>
                </wp:positionV>
                <wp:extent cx="1654810" cy="75311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1654810" cy="753110"/>
                        </a:xfrm>
                        <a:prstGeom prst="rect">
                          <a:avLst/>
                        </a:prstGeom>
                        <a:noFill/>
                      </wps:spPr>
                      <wps:txbx>
                        <w:txbxContent>
                          <w:p w:rsidR="00500724" w:rsidRDefault="00F30FB8">
                            <w:pPr>
                              <w:pStyle w:val="Zkladntext40"/>
                              <w:pBdr>
                                <w:bottom w:val="single" w:sz="4" w:space="0" w:color="auto"/>
                              </w:pBdr>
                              <w:shd w:val="clear" w:color="auto" w:fill="auto"/>
                              <w:spacing w:after="0" w:line="240" w:lineRule="auto"/>
                              <w:jc w:val="left"/>
                              <w:rPr>
                                <w:sz w:val="16"/>
                                <w:szCs w:val="16"/>
                              </w:rPr>
                            </w:pPr>
                            <w:r>
                              <w:rPr>
                                <w:b/>
                                <w:bCs/>
                                <w:sz w:val="16"/>
                                <w:szCs w:val="16"/>
                              </w:rPr>
                              <w:t>*****</w:t>
                            </w:r>
                          </w:p>
                        </w:txbxContent>
                      </wps:txbx>
                      <wps:bodyPr lIns="0" tIns="0" rIns="0" bIns="0">
                        <a:spAutoFit/>
                      </wps:bodyPr>
                    </wps:wsp>
                  </a:graphicData>
                </a:graphic>
              </wp:anchor>
            </w:drawing>
          </mc:Choice>
          <mc:Fallback>
            <w:pict>
              <v:shape id="_x0000_s1121" type="#_x0000_t202" style="position:absolute;margin-left:343.30000000000001pt;margin-top:454.30000000000001pt;width:130.30000000000001pt;height:59.299999999999997pt;z-index:-125829281;mso-wrap-distance-left:323.89999999999998pt;mso-wrap-distance-top:7.pt;mso-wrap-distance-right:78.349999999999994pt;mso-wrap-distance-bottom:246.09999999999999pt;mso-position-horizontal-relative:page" filled="f" stroked="f">
                <v:textbox style="mso-fit-shape-to-text:t" inset="0,0,0,0">
                  <w:txbxContent>
                    <w:p>
                      <w:pPr>
                        <w:pStyle w:val="Style42"/>
                        <w:keepNext w:val="0"/>
                        <w:keepLines w:val="0"/>
                        <w:widowControl w:val="0"/>
                        <w:pBdr>
                          <w:bottom w:val="single" w:sz="4" w:space="0" w:color="auto"/>
                        </w:pBdr>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w:t>
                      </w:r>
                    </w:p>
                  </w:txbxContent>
                </v:textbox>
                <w10:wrap type="topAndBottom" anchorx="page"/>
              </v:shape>
            </w:pict>
          </mc:Fallback>
        </mc:AlternateContent>
      </w:r>
      <w:r>
        <w:rPr>
          <w:noProof/>
        </w:rPr>
        <mc:AlternateContent>
          <mc:Choice Requires="wps">
            <w:drawing>
              <wp:anchor distT="1350645" distB="1891030" distL="315595" distR="114300" simplePos="0" relativeHeight="125829474" behindDoc="0" locked="0" layoutInCell="1" allowOverlap="1">
                <wp:simplePos x="0" y="0"/>
                <wp:positionH relativeFrom="page">
                  <wp:posOffset>562610</wp:posOffset>
                </wp:positionH>
                <wp:positionV relativeFrom="paragraph">
                  <wp:posOffset>7031990</wp:posOffset>
                </wp:positionV>
                <wp:extent cx="6333490" cy="725170"/>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6333490" cy="725170"/>
                        </a:xfrm>
                        <a:prstGeom prst="rect">
                          <a:avLst/>
                        </a:prstGeom>
                        <a:noFill/>
                      </wps:spPr>
                      <wps:txbx>
                        <w:txbxContent>
                          <w:p w:rsidR="00500724" w:rsidRDefault="00F30FB8">
                            <w:pPr>
                              <w:pStyle w:val="Zkladntext1"/>
                              <w:pBdr>
                                <w:bottom w:val="single" w:sz="4" w:space="0" w:color="auto"/>
                              </w:pBdr>
                              <w:shd w:val="clear" w:color="auto" w:fill="auto"/>
                              <w:spacing w:line="190" w:lineRule="auto"/>
                              <w:ind w:left="220" w:hanging="220"/>
                            </w:pPr>
                            <w:r>
                              <w:rPr>
                                <w:b/>
                                <w:bCs/>
                                <w:sz w:val="20"/>
                                <w:szCs w:val="20"/>
                              </w:rPr>
                              <w:t xml:space="preserve">OBSAH PŘÍTOMNOSTI C. </w:t>
                            </w:r>
                            <w:r>
                              <w:rPr>
                                <w:b/>
                                <w:bCs/>
                              </w:rPr>
                              <w:t xml:space="preserve">5: F. PEROUTKA: Odpověď německému studentu. — RUDOLF BECHYNĚ: Dosti EDUARD BASS: Němec Němcům o českém tisku. — J. FÚRTH: Čapkův nakladatel </w:t>
                            </w:r>
                            <w:r>
                              <w:rPr>
                                <w:b/>
                                <w:bCs/>
                              </w:rPr>
                              <w:t>vzpomíná. — MARIE KUBE</w:t>
                            </w:r>
                            <w:r>
                              <w:rPr>
                                <w:b/>
                                <w:bCs/>
                              </w:rPr>
                              <w:softHyphen/>
                              <w:t xml:space="preserve">ŠOVÁ: Sbohem, </w:t>
                            </w:r>
                            <w:r>
                              <w:rPr>
                                <w:b/>
                                <w:bCs/>
                                <w:lang w:val="en-US" w:eastAsia="en-US" w:bidi="en-US"/>
                              </w:rPr>
                              <w:t xml:space="preserve">Jules </w:t>
                            </w:r>
                            <w:r>
                              <w:rPr>
                                <w:b/>
                                <w:bCs/>
                              </w:rPr>
                              <w:t>Romainsi! — KAREL POLÁČEK: Dodatky k Žurnalistickému slovníku. — ZDENĚK SMETÁ</w:t>
                            </w:r>
                            <w:r>
                              <w:rPr>
                                <w:b/>
                                <w:bCs/>
                              </w:rPr>
                              <w:softHyphen/>
                              <w:t>ČEK: Český aktivismus. — KORNEL SYNEK: Co je to neutralita? — Rada Společnosti národů zasedala. — Co znamená Schachtův odchod? — Po pád</w:t>
                            </w:r>
                            <w:r>
                              <w:rPr>
                                <w:b/>
                                <w:bCs/>
                              </w:rPr>
                              <w:t>u Barcelony. — Měl pravdu Masaryk nebo Dyk? — Z dopisů nejnovějších emigrantů. — Mladí vpřed. — Proč jenom pět? — Cizí slova. — Dvě novinářské zprávy. — Dobrý rozsudek.</w:t>
                            </w:r>
                          </w:p>
                        </w:txbxContent>
                      </wps:txbx>
                      <wps:bodyPr lIns="0" tIns="0" rIns="0" bIns="0">
                        <a:spAutoFit/>
                      </wps:bodyPr>
                    </wps:wsp>
                  </a:graphicData>
                </a:graphic>
              </wp:anchor>
            </w:drawing>
          </mc:Choice>
          <mc:Fallback>
            <w:pict>
              <v:shape id="_x0000_s1123" type="#_x0000_t202" style="position:absolute;margin-left:44.299999999999997pt;margin-top:553.70000000000005pt;width:498.69999999999999pt;height:57.100000000000001pt;z-index:-125829279;mso-wrap-distance-left:24.850000000000001pt;mso-wrap-distance-top:106.34999999999999pt;mso-wrap-distance-right:9.pt;mso-wrap-distance-bottom:148.90000000000001pt;mso-position-horizontal-relative:page" filled="f" stroked="f">
                <v:textbox style="mso-fit-shape-to-text:t" inset="0,0,0,0">
                  <w:txbxContent>
                    <w:p>
                      <w:pPr>
                        <w:pStyle w:val="Style18"/>
                        <w:keepNext w:val="0"/>
                        <w:keepLines w:val="0"/>
                        <w:widowControl w:val="0"/>
                        <w:pBdr>
                          <w:bottom w:val="single" w:sz="4" w:space="0" w:color="auto"/>
                        </w:pBdr>
                        <w:shd w:val="clear" w:color="auto" w:fill="auto"/>
                        <w:bidi w:val="0"/>
                        <w:spacing w:before="0" w:after="0" w:line="190" w:lineRule="auto"/>
                        <w:ind w:left="220" w:right="0" w:hanging="220"/>
                      </w:pPr>
                      <w:r>
                        <w:rPr>
                          <w:b/>
                          <w:bCs/>
                          <w:color w:val="000000"/>
                          <w:spacing w:val="0"/>
                          <w:w w:val="100"/>
                          <w:position w:val="0"/>
                          <w:sz w:val="20"/>
                          <w:szCs w:val="20"/>
                          <w:shd w:val="clear" w:color="auto" w:fill="auto"/>
                          <w:lang w:val="cs-CZ" w:eastAsia="cs-CZ" w:bidi="cs-CZ"/>
                        </w:rPr>
                        <w:t xml:space="preserve">OBSAH PŘÍTOMNOSTI C. </w:t>
                      </w:r>
                      <w:r>
                        <w:rPr>
                          <w:b/>
                          <w:bCs/>
                          <w:color w:val="000000"/>
                          <w:spacing w:val="0"/>
                          <w:w w:val="100"/>
                          <w:position w:val="0"/>
                          <w:shd w:val="clear" w:color="auto" w:fill="auto"/>
                          <w:lang w:val="cs-CZ" w:eastAsia="cs-CZ" w:bidi="cs-CZ"/>
                        </w:rPr>
                        <w:t>5: F. PEROUTKA: Odpověď německému studentu. — RUDOLF BECHYNĚ: Dosti EDUARD BASS: Němec Němcům o českém tisku. — J. FÚRTH: Čapkův nakladatel vzpomíná. — MARIE KUBE</w:t>
                        <w:softHyphen/>
                        <w:t xml:space="preserve">ŠOVÁ: Sbohem, </w:t>
                      </w:r>
                      <w:r>
                        <w:rPr>
                          <w:b/>
                          <w:bCs/>
                          <w:color w:val="000000"/>
                          <w:spacing w:val="0"/>
                          <w:w w:val="100"/>
                          <w:position w:val="0"/>
                          <w:shd w:val="clear" w:color="auto" w:fill="auto"/>
                          <w:lang w:val="en-US" w:eastAsia="en-US" w:bidi="en-US"/>
                        </w:rPr>
                        <w:t xml:space="preserve">Jules </w:t>
                      </w:r>
                      <w:r>
                        <w:rPr>
                          <w:b/>
                          <w:bCs/>
                          <w:color w:val="000000"/>
                          <w:spacing w:val="0"/>
                          <w:w w:val="100"/>
                          <w:position w:val="0"/>
                          <w:shd w:val="clear" w:color="auto" w:fill="auto"/>
                          <w:lang w:val="cs-CZ" w:eastAsia="cs-CZ" w:bidi="cs-CZ"/>
                        </w:rPr>
                        <w:t>Romainsi! — KAREL POLÁČEK: Dodatky k Žurnalistickému slovníku. — ZDENĚK SMETÁ</w:t>
                        <w:softHyphen/>
                        <w:t>ČEK: Český aktivismus. — KORNEL SYNEK: Co je to neutralita? — Rada Společnosti národů zasedala. — Co znamená Schachtův odchod? — Po pádu Barcelony. — Měl pravdu Masaryk nebo Dyk? — Z dopisů nejnovějších emigrantů. — Mladí vpřed. — Proč jenom pět? — Cizí slova. — Dvě novinářské zprávy. — Dobrý rozsudek.</w:t>
                      </w:r>
                    </w:p>
                  </w:txbxContent>
                </v:textbox>
                <w10:wrap type="topAndBottom" anchorx="page"/>
              </v:shape>
            </w:pict>
          </mc:Fallback>
        </mc:AlternateContent>
      </w:r>
      <w:r>
        <w:rPr>
          <w:noProof/>
        </w:rPr>
        <mc:AlternateContent>
          <mc:Choice Requires="wps">
            <w:drawing>
              <wp:anchor distT="2320290" distB="854710" distL="114300" distR="3915410" simplePos="0" relativeHeight="125829476" behindDoc="0" locked="0" layoutInCell="1" allowOverlap="1">
                <wp:simplePos x="0" y="0"/>
                <wp:positionH relativeFrom="page">
                  <wp:posOffset>361315</wp:posOffset>
                </wp:positionH>
                <wp:positionV relativeFrom="paragraph">
                  <wp:posOffset>8001000</wp:posOffset>
                </wp:positionV>
                <wp:extent cx="2734310" cy="79248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2734310" cy="792480"/>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rPr>
                              <w:t>Přítomnosti</w:t>
                            </w:r>
                          </w:p>
                        </w:txbxContent>
                      </wps:txbx>
                      <wps:bodyPr lIns="0" tIns="0" rIns="0" bIns="0">
                        <a:spAutoFit/>
                      </wps:bodyPr>
                    </wps:wsp>
                  </a:graphicData>
                </a:graphic>
              </wp:anchor>
            </w:drawing>
          </mc:Choice>
          <mc:Fallback>
            <w:pict>
              <v:shape id="_x0000_s1125" type="#_x0000_t202" style="position:absolute;margin-left:28.449999999999999pt;margin-top:630.pt;width:215.30000000000001pt;height:62.399999999999999pt;z-index:-125829277;mso-wrap-distance-left:9.pt;mso-wrap-distance-top:182.69999999999999pt;mso-wrap-distance-right:308.30000000000001pt;mso-wrap-distance-bottom:67.299999999999997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Přítomnosti</w:t>
                      </w:r>
                    </w:p>
                  </w:txbxContent>
                </v:textbox>
                <w10:wrap type="topAndBottom" anchorx="page"/>
              </v:shape>
            </w:pict>
          </mc:Fallback>
        </mc:AlternateContent>
      </w:r>
      <w:r>
        <w:rPr>
          <w:noProof/>
        </w:rPr>
        <mc:AlternateContent>
          <mc:Choice Requires="wps">
            <w:drawing>
              <wp:anchor distT="3234690" distB="412750" distL="153670" distR="3902710" simplePos="0" relativeHeight="125829478" behindDoc="0" locked="0" layoutInCell="1" allowOverlap="1">
                <wp:simplePos x="0" y="0"/>
                <wp:positionH relativeFrom="page">
                  <wp:posOffset>400685</wp:posOffset>
                </wp:positionH>
                <wp:positionV relativeFrom="paragraph">
                  <wp:posOffset>8915400</wp:posOffset>
                </wp:positionV>
                <wp:extent cx="2706370" cy="32004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2706370" cy="32004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127" type="#_x0000_t202" style="position:absolute;margin-left:31.550000000000001pt;margin-top:702.pt;width:213.09999999999999pt;height:25.199999999999999pt;z-index:-125829275;mso-wrap-distance-left:12.1pt;mso-wrap-distance-top:254.69999999999999pt;mso-wrap-distance-right:307.30000000000001pt;mso-wrap-distance-bottom:32.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topAndBottom" anchorx="page"/>
              </v:shape>
            </w:pict>
          </mc:Fallback>
        </mc:AlternateContent>
      </w:r>
      <w:r>
        <w:rPr>
          <w:noProof/>
        </w:rPr>
        <mc:AlternateContent>
          <mc:Choice Requires="wps">
            <w:drawing>
              <wp:anchor distT="2280285" distB="254000" distL="3034030" distR="117475" simplePos="0" relativeHeight="125829480" behindDoc="0" locked="0" layoutInCell="1" allowOverlap="1">
                <wp:simplePos x="0" y="0"/>
                <wp:positionH relativeFrom="page">
                  <wp:posOffset>3281045</wp:posOffset>
                </wp:positionH>
                <wp:positionV relativeFrom="paragraph">
                  <wp:posOffset>7961630</wp:posOffset>
                </wp:positionV>
                <wp:extent cx="3611880" cy="1432560"/>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3611880" cy="1432560"/>
                        </a:xfrm>
                        <a:prstGeom prst="rect">
                          <a:avLst/>
                        </a:prstGeom>
                        <a:noFill/>
                      </wps:spPr>
                      <wps:txbx>
                        <w:txbxContent>
                          <w:p w:rsidR="00500724" w:rsidRDefault="00F30FB8">
                            <w:pPr>
                              <w:pStyle w:val="Nadpis90"/>
                              <w:keepNext/>
                              <w:keepLines/>
                              <w:shd w:val="clear" w:color="auto" w:fill="auto"/>
                              <w:spacing w:after="140"/>
                            </w:pPr>
                            <w:bookmarkStart w:id="139" w:name="bookmark138"/>
                            <w:r>
                              <w:rPr>
                                <w:u w:val="single"/>
                              </w:rPr>
                              <w:t>nezávislý týdeník</w:t>
                            </w:r>
                            <w:bookmarkEnd w:id="139"/>
                          </w:p>
                          <w:p w:rsidR="00500724" w:rsidRDefault="00F30FB8">
                            <w:pPr>
                              <w:pStyle w:val="Zkladntext50"/>
                              <w:shd w:val="clear" w:color="auto" w:fill="auto"/>
                              <w:spacing w:after="0" w:line="307" w:lineRule="auto"/>
                              <w:ind w:left="0"/>
                              <w:jc w:val="center"/>
                            </w:pPr>
                            <w:r>
                              <w:t xml:space="preserve">vycházi ve středu v </w:t>
                            </w:r>
                            <w:r>
                              <w:t>nakladatelství</w:t>
                            </w:r>
                            <w:r>
                              <w:br/>
                              <w:t xml:space="preserve">FR. BOROVÝ V </w:t>
                            </w:r>
                            <w:r>
                              <w:rPr>
                                <w:lang w:val="en-US" w:eastAsia="en-US" w:bidi="en-US"/>
                              </w:rPr>
                              <w:t xml:space="preserve">PR </w:t>
                            </w:r>
                            <w:r>
                              <w:t>AZEI., NÁRODNÍ TŘÍDA 11.</w:t>
                            </w:r>
                          </w:p>
                          <w:p w:rsidR="00500724" w:rsidRDefault="00F30FB8">
                            <w:pPr>
                              <w:pStyle w:val="Zkladntext40"/>
                              <w:shd w:val="clear" w:color="auto" w:fill="auto"/>
                              <w:spacing w:after="100" w:line="168" w:lineRule="auto"/>
                              <w:rPr>
                                <w:sz w:val="16"/>
                                <w:szCs w:val="16"/>
                              </w:rPr>
                            </w:pPr>
                            <w:r>
                              <w:rPr>
                                <w:b/>
                                <w:bCs/>
                                <w:sz w:val="16"/>
                                <w:szCs w:val="16"/>
                              </w:rPr>
                              <w:t>Telefon číslo 390-51 až 54 • Učet poštovní spořitelny číslo 35.622 • Nevy</w:t>
                            </w:r>
                            <w:r>
                              <w:rPr>
                                <w:b/>
                                <w:bCs/>
                                <w:sz w:val="16"/>
                                <w:szCs w:val="16"/>
                              </w:rPr>
                              <w:softHyphen/>
                            </w:r>
                            <w:r>
                              <w:rPr>
                                <w:b/>
                                <w:bCs/>
                                <w:sz w:val="16"/>
                                <w:szCs w:val="16"/>
                              </w:rPr>
                              <w:t xml:space="preserve">žádané rukopisy se nevracejí • Předplatné na rok Kč 100.—, na půl roku Kč 50.—, na čtvrt roku Kč 25.—, Jednotlivá čísla Kč 2.—. </w:t>
                            </w:r>
                            <w:r>
                              <w:rPr>
                                <w:b/>
                                <w:bCs/>
                                <w:sz w:val="16"/>
                                <w:szCs w:val="16"/>
                                <w:lang w:val="en-US" w:eastAsia="en-US" w:bidi="en-US"/>
                              </w:rPr>
                              <w:t xml:space="preserve">Pour </w:t>
                            </w:r>
                            <w:r>
                              <w:rPr>
                                <w:b/>
                                <w:bCs/>
                                <w:sz w:val="16"/>
                                <w:szCs w:val="16"/>
                              </w:rPr>
                              <w:t>la Fran</w:t>
                            </w:r>
                            <w:r>
                              <w:rPr>
                                <w:b/>
                                <w:bCs/>
                                <w:sz w:val="16"/>
                                <w:szCs w:val="16"/>
                              </w:rPr>
                              <w:softHyphen/>
                              <w:t xml:space="preserve">ce et ses </w:t>
                            </w:r>
                            <w:r>
                              <w:rPr>
                                <w:b/>
                                <w:bCs/>
                                <w:sz w:val="16"/>
                                <w:szCs w:val="16"/>
                                <w:lang w:val="en-US" w:eastAsia="en-US" w:bidi="en-US"/>
                              </w:rPr>
                              <w:t xml:space="preserve">Colonies </w:t>
                            </w:r>
                            <w:r>
                              <w:rPr>
                                <w:b/>
                                <w:bCs/>
                                <w:sz w:val="16"/>
                                <w:szCs w:val="16"/>
                              </w:rPr>
                              <w:t>Frs 2.50, • Dohlédaci pošt. úřad Brno II. • Novin, sazba povolena v Brně řed. pošt a telegrafů p</w:t>
                            </w:r>
                            <w:r>
                              <w:rPr>
                                <w:b/>
                                <w:bCs/>
                                <w:sz w:val="16"/>
                                <w:szCs w:val="16"/>
                              </w:rPr>
                              <w:t>od čís. 119.268/IHa. • Odpovědný redaktor J. Dlabač.</w:t>
                            </w:r>
                          </w:p>
                          <w:p w:rsidR="00500724" w:rsidRDefault="00F30FB8">
                            <w:pPr>
                              <w:pStyle w:val="Zkladntext50"/>
                              <w:shd w:val="clear" w:color="auto" w:fill="auto"/>
                              <w:spacing w:after="100" w:line="158" w:lineRule="auto"/>
                              <w:ind w:left="0"/>
                              <w:jc w:val="center"/>
                            </w:pPr>
                            <w:r>
                              <w:t>TISKEM LIDOVÉ TISKÁRNY, BRNO, ČESKA 6.</w:t>
                            </w:r>
                          </w:p>
                        </w:txbxContent>
                      </wps:txbx>
                      <wps:bodyPr lIns="0" tIns="0" rIns="0" bIns="0">
                        <a:spAutoFit/>
                      </wps:bodyPr>
                    </wps:wsp>
                  </a:graphicData>
                </a:graphic>
              </wp:anchor>
            </w:drawing>
          </mc:Choice>
          <mc:Fallback>
            <w:pict>
              <v:shape id="_x0000_s1129" type="#_x0000_t202" style="position:absolute;margin-left:258.35000000000002pt;margin-top:626.89999999999998pt;width:284.39999999999998pt;height:112.8pt;z-index:-125829273;mso-wrap-distance-left:238.90000000000001pt;mso-wrap-distance-top:179.55000000000001pt;mso-wrap-distance-right:9.25pt;mso-wrap-distance-bottom:20.pt;mso-position-horizontal-relative:page" filled="f" stroked="f">
                <v:textbox style="mso-fit-shape-to-text:t" inset="0,0,0,0">
                  <w:txbxContent>
                    <w:p>
                      <w:pPr>
                        <w:pStyle w:val="Style26"/>
                        <w:keepNext/>
                        <w:keepLines/>
                        <w:widowControl w:val="0"/>
                        <w:shd w:val="clear" w:color="auto" w:fill="auto"/>
                        <w:bidi w:val="0"/>
                        <w:spacing w:before="0" w:after="140" w:line="240" w:lineRule="auto"/>
                        <w:ind w:left="0" w:right="0" w:firstLine="0"/>
                        <w:jc w:val="left"/>
                      </w:pPr>
                      <w:bookmarkStart w:id="138" w:name="bookmark138"/>
                      <w:r>
                        <w:rPr>
                          <w:color w:val="000000"/>
                          <w:spacing w:val="0"/>
                          <w:w w:val="100"/>
                          <w:position w:val="0"/>
                          <w:u w:val="single"/>
                          <w:shd w:val="clear" w:color="auto" w:fill="auto"/>
                          <w:lang w:val="cs-CZ" w:eastAsia="cs-CZ" w:bidi="cs-CZ"/>
                        </w:rPr>
                        <w:t>nezávislý týdeník</w:t>
                      </w:r>
                      <w:bookmarkEnd w:id="138"/>
                    </w:p>
                    <w:p>
                      <w:pPr>
                        <w:pStyle w:val="Style80"/>
                        <w:keepNext w:val="0"/>
                        <w:keepLines w:val="0"/>
                        <w:widowControl w:val="0"/>
                        <w:shd w:val="clear" w:color="auto" w:fill="auto"/>
                        <w:bidi w:val="0"/>
                        <w:spacing w:before="0" w:after="0" w:line="307" w:lineRule="auto"/>
                        <w:ind w:left="0" w:right="0" w:firstLine="0"/>
                        <w:jc w:val="center"/>
                      </w:pPr>
                      <w:r>
                        <w:rPr>
                          <w:color w:val="000000"/>
                          <w:spacing w:val="0"/>
                          <w:w w:val="100"/>
                          <w:position w:val="0"/>
                          <w:shd w:val="clear" w:color="auto" w:fill="auto"/>
                          <w:lang w:val="cs-CZ" w:eastAsia="cs-CZ" w:bidi="cs-CZ"/>
                        </w:rPr>
                        <w:t>vycházi ve středu v nakladatelství</w:t>
                        <w:br/>
                        <w:t xml:space="preserve">FR. BOROVÝ V </w:t>
                      </w:r>
                      <w:r>
                        <w:rPr>
                          <w:color w:val="000000"/>
                          <w:spacing w:val="0"/>
                          <w:w w:val="100"/>
                          <w:position w:val="0"/>
                          <w:shd w:val="clear" w:color="auto" w:fill="auto"/>
                          <w:lang w:val="en-US" w:eastAsia="en-US" w:bidi="en-US"/>
                        </w:rPr>
                        <w:t xml:space="preserve">PR </w:t>
                      </w:r>
                      <w:r>
                        <w:rPr>
                          <w:color w:val="000000"/>
                          <w:spacing w:val="0"/>
                          <w:w w:val="100"/>
                          <w:position w:val="0"/>
                          <w:shd w:val="clear" w:color="auto" w:fill="auto"/>
                          <w:lang w:val="cs-CZ" w:eastAsia="cs-CZ" w:bidi="cs-CZ"/>
                        </w:rPr>
                        <w:t>AZEI., NÁRODNÍ TŘÍDA 11.</w:t>
                      </w:r>
                    </w:p>
                    <w:p>
                      <w:pPr>
                        <w:pStyle w:val="Style42"/>
                        <w:keepNext w:val="0"/>
                        <w:keepLines w:val="0"/>
                        <w:widowControl w:val="0"/>
                        <w:shd w:val="clear" w:color="auto" w:fill="auto"/>
                        <w:bidi w:val="0"/>
                        <w:spacing w:before="0" w:after="100" w:line="168" w:lineRule="auto"/>
                        <w:ind w:left="0" w:right="0" w:firstLine="0"/>
                        <w:rPr>
                          <w:sz w:val="16"/>
                          <w:szCs w:val="16"/>
                        </w:rPr>
                      </w:pPr>
                      <w:r>
                        <w:rPr>
                          <w:b/>
                          <w:bCs/>
                          <w:color w:val="000000"/>
                          <w:spacing w:val="0"/>
                          <w:w w:val="100"/>
                          <w:position w:val="0"/>
                          <w:sz w:val="16"/>
                          <w:szCs w:val="16"/>
                          <w:shd w:val="clear" w:color="auto" w:fill="auto"/>
                          <w:lang w:val="cs-CZ" w:eastAsia="cs-CZ" w:bidi="cs-CZ"/>
                        </w:rPr>
                        <w:t>Telefon číslo 390-51 až 54 • Učet poštovní spořitelny číslo 35.622 • Nevy</w:t>
                        <w:softHyphen/>
                        <w:t xml:space="preserve">žádané rukopisy se nevracejí • Předplatné na rok Kč 100.—, na půl roku Kč 50.—, na čtvrt roku Kč 25.—, Jednotlivá čísla Kč 2.—. </w:t>
                      </w:r>
                      <w:r>
                        <w:rPr>
                          <w:b/>
                          <w:bCs/>
                          <w:color w:val="000000"/>
                          <w:spacing w:val="0"/>
                          <w:w w:val="100"/>
                          <w:position w:val="0"/>
                          <w:sz w:val="16"/>
                          <w:szCs w:val="16"/>
                          <w:shd w:val="clear" w:color="auto" w:fill="auto"/>
                          <w:lang w:val="en-US" w:eastAsia="en-US" w:bidi="en-US"/>
                        </w:rPr>
                        <w:t xml:space="preserve">Pour </w:t>
                      </w:r>
                      <w:r>
                        <w:rPr>
                          <w:b/>
                          <w:bCs/>
                          <w:color w:val="000000"/>
                          <w:spacing w:val="0"/>
                          <w:w w:val="100"/>
                          <w:position w:val="0"/>
                          <w:sz w:val="16"/>
                          <w:szCs w:val="16"/>
                          <w:shd w:val="clear" w:color="auto" w:fill="auto"/>
                          <w:lang w:val="cs-CZ" w:eastAsia="cs-CZ" w:bidi="cs-CZ"/>
                        </w:rPr>
                        <w:t>la Fran</w:t>
                        <w:softHyphen/>
                        <w:t xml:space="preserve">ce et ses </w:t>
                      </w:r>
                      <w:r>
                        <w:rPr>
                          <w:b/>
                          <w:bCs/>
                          <w:color w:val="000000"/>
                          <w:spacing w:val="0"/>
                          <w:w w:val="100"/>
                          <w:position w:val="0"/>
                          <w:sz w:val="16"/>
                          <w:szCs w:val="16"/>
                          <w:shd w:val="clear" w:color="auto" w:fill="auto"/>
                          <w:lang w:val="en-US" w:eastAsia="en-US" w:bidi="en-US"/>
                        </w:rPr>
                        <w:t xml:space="preserve">Colonies </w:t>
                      </w:r>
                      <w:r>
                        <w:rPr>
                          <w:b/>
                          <w:bCs/>
                          <w:color w:val="000000"/>
                          <w:spacing w:val="0"/>
                          <w:w w:val="100"/>
                          <w:position w:val="0"/>
                          <w:sz w:val="16"/>
                          <w:szCs w:val="16"/>
                          <w:shd w:val="clear" w:color="auto" w:fill="auto"/>
                          <w:lang w:val="cs-CZ" w:eastAsia="cs-CZ" w:bidi="cs-CZ"/>
                        </w:rPr>
                        <w:t>Frs 2.50, • Dohlédaci pošt. úřad Brno II. • Novin, sazba povolena v Brně řed. pošt a telegrafů pod čís. 119.268/IHa. • Odpovědný redaktor J. Dlabač.</w:t>
                      </w:r>
                    </w:p>
                    <w:p>
                      <w:pPr>
                        <w:pStyle w:val="Style80"/>
                        <w:keepNext w:val="0"/>
                        <w:keepLines w:val="0"/>
                        <w:widowControl w:val="0"/>
                        <w:shd w:val="clear" w:color="auto" w:fill="auto"/>
                        <w:bidi w:val="0"/>
                        <w:spacing w:before="0" w:after="100" w:line="158" w:lineRule="auto"/>
                        <w:ind w:left="0" w:right="0" w:firstLine="0"/>
                        <w:jc w:val="center"/>
                      </w:pPr>
                      <w:r>
                        <w:rPr>
                          <w:color w:val="000000"/>
                          <w:spacing w:val="0"/>
                          <w:w w:val="100"/>
                          <w:position w:val="0"/>
                          <w:shd w:val="clear" w:color="auto" w:fill="auto"/>
                          <w:lang w:val="cs-CZ" w:eastAsia="cs-CZ" w:bidi="cs-CZ"/>
                        </w:rPr>
                        <w:t>TISKEM LIDOVÉ TISKÁRNY, BRNO, ČESKA 6.</w:t>
                      </w:r>
                    </w:p>
                  </w:txbxContent>
                </v:textbox>
                <w10:wrap type="topAndBottom" anchorx="page"/>
              </v:shape>
            </w:pict>
          </mc:Fallback>
        </mc:AlternateContent>
      </w:r>
    </w:p>
    <w:p w:rsidR="00500724" w:rsidRDefault="00F30FB8">
      <w:pPr>
        <w:pStyle w:val="Jin0"/>
        <w:shd w:val="clear" w:color="auto" w:fill="auto"/>
        <w:spacing w:after="100"/>
        <w:ind w:left="700" w:firstLine="0"/>
        <w:jc w:val="left"/>
        <w:rPr>
          <w:sz w:val="38"/>
          <w:szCs w:val="38"/>
        </w:rPr>
      </w:pPr>
      <w:r>
        <w:rPr>
          <w:rFonts w:ascii="Arial" w:eastAsia="Arial" w:hAnsi="Arial" w:cs="Arial"/>
          <w:sz w:val="44"/>
          <w:szCs w:val="44"/>
        </w:rPr>
        <w:t xml:space="preserve">f2W </w:t>
      </w:r>
      <w:r>
        <w:rPr>
          <w:i/>
          <w:iCs/>
          <w:sz w:val="38"/>
          <w:szCs w:val="38"/>
        </w:rPr>
        <w:t>kíiifiy</w:t>
      </w:r>
    </w:p>
    <w:p w:rsidR="00500724" w:rsidRDefault="00F30FB8">
      <w:pPr>
        <w:pStyle w:val="Zkladntext40"/>
        <w:shd w:val="clear" w:color="auto" w:fill="auto"/>
        <w:tabs>
          <w:tab w:val="left" w:pos="3492"/>
        </w:tabs>
        <w:spacing w:line="194" w:lineRule="auto"/>
        <w:ind w:left="860" w:right="700" w:hanging="160"/>
        <w:rPr>
          <w:sz w:val="16"/>
          <w:szCs w:val="16"/>
        </w:rPr>
      </w:pPr>
      <w:r>
        <w:rPr>
          <w:b/>
          <w:bCs/>
          <w:sz w:val="16"/>
          <w:szCs w:val="16"/>
        </w:rPr>
        <w:t>CASSON H. N„ Umění jednat s lidmi. 18X13 cm, 139 str.</w:t>
      </w:r>
      <w:r>
        <w:rPr>
          <w:b/>
          <w:bCs/>
          <w:sz w:val="16"/>
          <w:szCs w:val="16"/>
        </w:rPr>
        <w:tab/>
        <w:t>váz. K 20.—</w:t>
      </w:r>
    </w:p>
    <w:p w:rsidR="00500724" w:rsidRDefault="00F30FB8">
      <w:pPr>
        <w:pStyle w:val="Zkladntext40"/>
        <w:shd w:val="clear" w:color="auto" w:fill="auto"/>
        <w:spacing w:line="202" w:lineRule="auto"/>
        <w:ind w:left="860" w:right="700" w:hanging="160"/>
        <w:rPr>
          <w:sz w:val="16"/>
          <w:szCs w:val="16"/>
        </w:rPr>
      </w:pPr>
      <w:r>
        <w:rPr>
          <w:b/>
          <w:bCs/>
          <w:sz w:val="16"/>
          <w:szCs w:val="16"/>
        </w:rPr>
        <w:t xml:space="preserve">de KRUIF Paul, Sedm železných dobyvatelů. 22X15 cm, 185 str., brož. K 27.—, váz. K </w:t>
      </w:r>
      <w:r>
        <w:rPr>
          <w:b/>
          <w:bCs/>
          <w:sz w:val="16"/>
          <w:szCs w:val="16"/>
        </w:rPr>
        <w:t>37.—</w:t>
      </w:r>
    </w:p>
    <w:p w:rsidR="00500724" w:rsidRDefault="00F30FB8">
      <w:pPr>
        <w:pStyle w:val="Zkladntext40"/>
        <w:shd w:val="clear" w:color="auto" w:fill="auto"/>
        <w:tabs>
          <w:tab w:val="left" w:pos="2447"/>
        </w:tabs>
        <w:spacing w:line="194" w:lineRule="auto"/>
        <w:ind w:left="860" w:right="700" w:hanging="160"/>
        <w:rPr>
          <w:sz w:val="16"/>
          <w:szCs w:val="16"/>
        </w:rPr>
      </w:pPr>
      <w:r>
        <w:rPr>
          <w:b/>
          <w:bCs/>
          <w:sz w:val="16"/>
          <w:szCs w:val="16"/>
        </w:rPr>
        <w:t>NEBESÁR Jaroslav, Úspory a Investice. 21X13 cm, 204 str.</w:t>
      </w:r>
      <w:r>
        <w:rPr>
          <w:b/>
          <w:bCs/>
          <w:sz w:val="16"/>
          <w:szCs w:val="16"/>
        </w:rPr>
        <w:tab/>
        <w:t>brož. K 25.—, váz. K 35.—</w:t>
      </w:r>
    </w:p>
    <w:p w:rsidR="00500724" w:rsidRDefault="00F30FB8">
      <w:pPr>
        <w:pStyle w:val="Zkladntext40"/>
        <w:shd w:val="clear" w:color="auto" w:fill="auto"/>
        <w:spacing w:after="0" w:line="194" w:lineRule="auto"/>
        <w:ind w:left="860" w:right="700" w:hanging="160"/>
        <w:rPr>
          <w:sz w:val="16"/>
          <w:szCs w:val="16"/>
        </w:rPr>
      </w:pPr>
      <w:r>
        <w:rPr>
          <w:b/>
          <w:bCs/>
          <w:sz w:val="16"/>
          <w:szCs w:val="16"/>
        </w:rPr>
        <w:t xml:space="preserve">PAULAT </w:t>
      </w:r>
      <w:r>
        <w:rPr>
          <w:b/>
          <w:bCs/>
          <w:sz w:val="16"/>
          <w:szCs w:val="16"/>
          <w:lang w:val="en-US" w:eastAsia="en-US" w:bidi="en-US"/>
        </w:rPr>
        <w:t xml:space="preserve">Vlad. </w:t>
      </w:r>
      <w:r>
        <w:rPr>
          <w:b/>
          <w:bCs/>
          <w:sz w:val="16"/>
          <w:szCs w:val="16"/>
        </w:rPr>
        <w:t>J. Ing. JUDr., Hospodářská vý</w:t>
      </w:r>
      <w:r>
        <w:rPr>
          <w:b/>
          <w:bCs/>
          <w:sz w:val="16"/>
          <w:szCs w:val="16"/>
        </w:rPr>
        <w:softHyphen/>
        <w:t>stavba druhé republiky. 21 x 15 cm, 117 str.</w:t>
      </w:r>
    </w:p>
    <w:p w:rsidR="00500724" w:rsidRDefault="00F30FB8">
      <w:pPr>
        <w:pStyle w:val="Zkladntext40"/>
        <w:shd w:val="clear" w:color="auto" w:fill="auto"/>
        <w:spacing w:line="194" w:lineRule="auto"/>
        <w:ind w:left="3460"/>
        <w:jc w:val="left"/>
        <w:rPr>
          <w:sz w:val="16"/>
          <w:szCs w:val="16"/>
        </w:rPr>
      </w:pPr>
      <w:r>
        <w:rPr>
          <w:b/>
          <w:bCs/>
          <w:sz w:val="16"/>
          <w:szCs w:val="16"/>
        </w:rPr>
        <w:t>brož. K 12.—</w:t>
      </w:r>
    </w:p>
    <w:p w:rsidR="00500724" w:rsidRDefault="00F30FB8">
      <w:pPr>
        <w:pStyle w:val="Zkladntext40"/>
        <w:shd w:val="clear" w:color="auto" w:fill="auto"/>
        <w:spacing w:after="0" w:line="190" w:lineRule="auto"/>
        <w:ind w:left="860" w:right="700" w:hanging="160"/>
        <w:rPr>
          <w:sz w:val="16"/>
          <w:szCs w:val="16"/>
        </w:rPr>
      </w:pPr>
      <w:r>
        <w:rPr>
          <w:sz w:val="18"/>
          <w:szCs w:val="18"/>
        </w:rPr>
        <w:t xml:space="preserve">t </w:t>
      </w:r>
      <w:r>
        <w:rPr>
          <w:b/>
          <w:bCs/>
          <w:sz w:val="16"/>
          <w:szCs w:val="16"/>
        </w:rPr>
        <w:t xml:space="preserve">SOUČEK Stanislav, Komenský jako theoretlk kazatelského uměni- </w:t>
      </w:r>
      <w:r>
        <w:rPr>
          <w:b/>
          <w:bCs/>
          <w:sz w:val="16"/>
          <w:szCs w:val="16"/>
        </w:rPr>
        <w:t>27X18 cm, 229 str.</w:t>
      </w:r>
    </w:p>
    <w:p w:rsidR="00500724" w:rsidRDefault="00F30FB8">
      <w:pPr>
        <w:pStyle w:val="Zkladntext40"/>
        <w:shd w:val="clear" w:color="auto" w:fill="auto"/>
        <w:spacing w:line="180" w:lineRule="auto"/>
        <w:ind w:left="3460"/>
        <w:jc w:val="left"/>
        <w:rPr>
          <w:sz w:val="16"/>
          <w:szCs w:val="16"/>
        </w:rPr>
      </w:pPr>
      <w:r>
        <w:rPr>
          <w:b/>
          <w:bCs/>
          <w:sz w:val="16"/>
          <w:szCs w:val="16"/>
        </w:rPr>
        <w:t>brož. K 50.—</w:t>
      </w:r>
    </w:p>
    <w:p w:rsidR="00500724" w:rsidRDefault="00F30FB8">
      <w:pPr>
        <w:pStyle w:val="Zkladntext40"/>
        <w:shd w:val="clear" w:color="auto" w:fill="auto"/>
        <w:spacing w:after="0" w:line="197" w:lineRule="auto"/>
        <w:ind w:left="860" w:right="700" w:hanging="160"/>
        <w:rPr>
          <w:sz w:val="16"/>
          <w:szCs w:val="16"/>
        </w:rPr>
      </w:pPr>
      <w:r>
        <w:rPr>
          <w:b/>
          <w:bCs/>
          <w:sz w:val="16"/>
          <w:szCs w:val="16"/>
        </w:rPr>
        <w:t xml:space="preserve">SKRACH </w:t>
      </w:r>
      <w:r>
        <w:rPr>
          <w:b/>
          <w:bCs/>
          <w:sz w:val="16"/>
          <w:szCs w:val="16"/>
          <w:lang w:val="en-US" w:eastAsia="en-US" w:bidi="en-US"/>
        </w:rPr>
        <w:t xml:space="preserve">Vasil </w:t>
      </w:r>
      <w:r>
        <w:rPr>
          <w:b/>
          <w:bCs/>
          <w:sz w:val="16"/>
          <w:szCs w:val="16"/>
        </w:rPr>
        <w:t>K„ Z tradice našeho dějinného myšlení. Frant. Palacký, Augustin Smetana, Tomáš G. Masaryk. 19X15 cm, 13 str.</w:t>
      </w:r>
    </w:p>
    <w:p w:rsidR="00500724" w:rsidRDefault="00F30FB8">
      <w:pPr>
        <w:pStyle w:val="Zkladntext40"/>
        <w:shd w:val="clear" w:color="auto" w:fill="auto"/>
        <w:spacing w:line="180" w:lineRule="auto"/>
        <w:ind w:left="3460"/>
        <w:jc w:val="left"/>
        <w:rPr>
          <w:sz w:val="16"/>
          <w:szCs w:val="16"/>
        </w:rPr>
      </w:pPr>
      <w:r>
        <w:rPr>
          <w:b/>
          <w:bCs/>
          <w:sz w:val="16"/>
          <w:szCs w:val="16"/>
        </w:rPr>
        <w:t>brož. K 3.—-</w:t>
      </w:r>
    </w:p>
    <w:p w:rsidR="00500724" w:rsidRDefault="00F30FB8">
      <w:pPr>
        <w:pStyle w:val="Zkladntext40"/>
        <w:shd w:val="clear" w:color="auto" w:fill="auto"/>
        <w:spacing w:line="194" w:lineRule="auto"/>
        <w:ind w:left="860" w:right="700" w:hanging="160"/>
        <w:rPr>
          <w:sz w:val="16"/>
          <w:szCs w:val="16"/>
        </w:rPr>
      </w:pPr>
      <w:r>
        <w:rPr>
          <w:b/>
          <w:bCs/>
          <w:sz w:val="16"/>
          <w:szCs w:val="16"/>
          <w:lang w:val="en-US" w:eastAsia="en-US" w:bidi="en-US"/>
        </w:rPr>
        <w:t xml:space="preserve">The Full Facts of the Czech Crisis. </w:t>
      </w:r>
      <w:r>
        <w:rPr>
          <w:b/>
          <w:bCs/>
          <w:sz w:val="16"/>
          <w:szCs w:val="16"/>
        </w:rPr>
        <w:t xml:space="preserve">Vydala </w:t>
      </w:r>
      <w:r>
        <w:rPr>
          <w:b/>
          <w:bCs/>
          <w:sz w:val="16"/>
          <w:szCs w:val="16"/>
          <w:lang w:val="en-US" w:eastAsia="en-US" w:bidi="en-US"/>
        </w:rPr>
        <w:t>La</w:t>
      </w:r>
      <w:r>
        <w:rPr>
          <w:b/>
          <w:bCs/>
          <w:sz w:val="16"/>
          <w:szCs w:val="16"/>
          <w:lang w:val="en-US" w:eastAsia="en-US" w:bidi="en-US"/>
        </w:rPr>
        <w:softHyphen/>
        <w:t xml:space="preserve">bour Party. 24X19 cm, 16 </w:t>
      </w:r>
      <w:r>
        <w:rPr>
          <w:b/>
          <w:bCs/>
          <w:sz w:val="16"/>
          <w:szCs w:val="16"/>
        </w:rPr>
        <w:t xml:space="preserve">str. brož. </w:t>
      </w:r>
      <w:r>
        <w:rPr>
          <w:b/>
          <w:bCs/>
          <w:sz w:val="16"/>
          <w:szCs w:val="16"/>
          <w:lang w:val="en-US" w:eastAsia="en-US" w:bidi="en-US"/>
        </w:rPr>
        <w:t>K 1.50</w:t>
      </w:r>
    </w:p>
    <w:p w:rsidR="00500724" w:rsidRDefault="00F30FB8">
      <w:pPr>
        <w:pStyle w:val="Zkladntext40"/>
        <w:shd w:val="clear" w:color="auto" w:fill="auto"/>
        <w:tabs>
          <w:tab w:val="left" w:pos="3492"/>
        </w:tabs>
        <w:spacing w:line="194" w:lineRule="auto"/>
        <w:ind w:left="860" w:right="700" w:hanging="160"/>
        <w:rPr>
          <w:sz w:val="16"/>
          <w:szCs w:val="16"/>
        </w:rPr>
      </w:pPr>
      <w:r>
        <w:rPr>
          <w:b/>
          <w:bCs/>
          <w:sz w:val="16"/>
          <w:szCs w:val="16"/>
          <w:lang w:val="en-US" w:eastAsia="en-US" w:bidi="en-US"/>
        </w:rPr>
        <w:t>EINZIG Paul. Economic Problems of the Next War. 22X14 cm. 146 str.</w:t>
      </w:r>
      <w:r>
        <w:rPr>
          <w:b/>
          <w:bCs/>
          <w:sz w:val="16"/>
          <w:szCs w:val="16"/>
          <w:lang w:val="en-US" w:eastAsia="en-US" w:bidi="en-US"/>
        </w:rPr>
        <w:tab/>
      </w:r>
      <w:r>
        <w:rPr>
          <w:b/>
          <w:bCs/>
          <w:sz w:val="16"/>
          <w:szCs w:val="16"/>
        </w:rPr>
        <w:t xml:space="preserve">váz. </w:t>
      </w:r>
      <w:r>
        <w:rPr>
          <w:b/>
          <w:bCs/>
          <w:sz w:val="16"/>
          <w:szCs w:val="16"/>
          <w:lang w:val="en-US" w:eastAsia="en-US" w:bidi="en-US"/>
        </w:rPr>
        <w:t>K 60.—</w:t>
      </w:r>
    </w:p>
    <w:p w:rsidR="00500724" w:rsidRDefault="00F30FB8">
      <w:pPr>
        <w:pStyle w:val="Zkladntext40"/>
        <w:shd w:val="clear" w:color="auto" w:fill="auto"/>
        <w:tabs>
          <w:tab w:val="left" w:pos="3492"/>
        </w:tabs>
        <w:spacing w:line="192" w:lineRule="auto"/>
        <w:ind w:left="860" w:right="700" w:hanging="160"/>
        <w:rPr>
          <w:sz w:val="16"/>
          <w:szCs w:val="16"/>
        </w:rPr>
      </w:pPr>
      <w:r>
        <w:rPr>
          <w:b/>
          <w:bCs/>
          <w:sz w:val="16"/>
          <w:szCs w:val="16"/>
          <w:lang w:val="en-US" w:eastAsia="en-US" w:bidi="en-US"/>
        </w:rPr>
        <w:t xml:space="preserve">NUMELIN Ragnar, Les Migrations Humaines. Etude de l’esprit mlgratolre. 23X14 cm, 378 </w:t>
      </w:r>
      <w:r>
        <w:rPr>
          <w:b/>
          <w:bCs/>
          <w:sz w:val="16"/>
          <w:szCs w:val="16"/>
        </w:rPr>
        <w:t>str.</w:t>
      </w:r>
      <w:r>
        <w:rPr>
          <w:b/>
          <w:bCs/>
          <w:sz w:val="16"/>
          <w:szCs w:val="16"/>
        </w:rPr>
        <w:tab/>
        <w:t xml:space="preserve">brož. </w:t>
      </w:r>
      <w:r>
        <w:rPr>
          <w:b/>
          <w:bCs/>
          <w:sz w:val="16"/>
          <w:szCs w:val="16"/>
          <w:lang w:val="en-US" w:eastAsia="en-US" w:bidi="en-US"/>
        </w:rPr>
        <w:t>K 50.—</w:t>
      </w:r>
    </w:p>
    <w:p w:rsidR="00500724" w:rsidRDefault="00F30FB8">
      <w:pPr>
        <w:pStyle w:val="Zkladntext40"/>
        <w:shd w:val="clear" w:color="auto" w:fill="auto"/>
        <w:tabs>
          <w:tab w:val="left" w:pos="3492"/>
        </w:tabs>
        <w:spacing w:line="197" w:lineRule="auto"/>
        <w:ind w:left="860" w:right="700" w:hanging="160"/>
        <w:rPr>
          <w:sz w:val="16"/>
          <w:szCs w:val="16"/>
        </w:rPr>
      </w:pPr>
      <w:r>
        <w:rPr>
          <w:b/>
          <w:bCs/>
          <w:sz w:val="16"/>
          <w:szCs w:val="16"/>
          <w:lang w:val="en-US" w:eastAsia="en-US" w:bidi="en-US"/>
        </w:rPr>
        <w:t xml:space="preserve">TABOUIS </w:t>
      </w:r>
      <w:r>
        <w:rPr>
          <w:b/>
          <w:bCs/>
          <w:sz w:val="16"/>
          <w:szCs w:val="16"/>
        </w:rPr>
        <w:t xml:space="preserve">Genevlěve, </w:t>
      </w:r>
      <w:r>
        <w:rPr>
          <w:b/>
          <w:bCs/>
          <w:sz w:val="16"/>
          <w:szCs w:val="16"/>
          <w:lang w:val="en-US" w:eastAsia="en-US" w:bidi="en-US"/>
        </w:rPr>
        <w:t xml:space="preserve">Albion perflde ou loyale. De la guerre de cent ans </w:t>
      </w:r>
      <w:r>
        <w:rPr>
          <w:b/>
          <w:bCs/>
          <w:sz w:val="16"/>
          <w:szCs w:val="16"/>
        </w:rPr>
        <w:t xml:space="preserve">á </w:t>
      </w:r>
      <w:r>
        <w:rPr>
          <w:b/>
          <w:bCs/>
          <w:sz w:val="16"/>
          <w:szCs w:val="16"/>
          <w:lang w:val="en-US" w:eastAsia="en-US" w:bidi="en-US"/>
        </w:rPr>
        <w:t>nos jours. 23X15 cm, 296 str.</w:t>
      </w:r>
      <w:r>
        <w:rPr>
          <w:b/>
          <w:bCs/>
          <w:sz w:val="16"/>
          <w:szCs w:val="16"/>
          <w:lang w:val="en-US" w:eastAsia="en-US" w:bidi="en-US"/>
        </w:rPr>
        <w:tab/>
      </w:r>
      <w:r>
        <w:rPr>
          <w:b/>
          <w:bCs/>
          <w:sz w:val="16"/>
          <w:szCs w:val="16"/>
        </w:rPr>
        <w:t xml:space="preserve">brož. </w:t>
      </w:r>
      <w:r>
        <w:rPr>
          <w:b/>
          <w:bCs/>
          <w:sz w:val="16"/>
          <w:szCs w:val="16"/>
          <w:lang w:val="en-US" w:eastAsia="en-US" w:bidi="en-US"/>
        </w:rPr>
        <w:t>K 30.—</w:t>
      </w:r>
    </w:p>
    <w:p w:rsidR="00500724" w:rsidRDefault="00F30FB8">
      <w:pPr>
        <w:pStyle w:val="Zkladntext40"/>
        <w:shd w:val="clear" w:color="auto" w:fill="auto"/>
        <w:spacing w:after="0" w:line="194" w:lineRule="auto"/>
        <w:ind w:left="860" w:right="700" w:hanging="160"/>
        <w:rPr>
          <w:sz w:val="16"/>
          <w:szCs w:val="16"/>
        </w:rPr>
      </w:pPr>
      <w:r>
        <w:rPr>
          <w:b/>
          <w:bCs/>
          <w:sz w:val="16"/>
          <w:szCs w:val="16"/>
          <w:lang w:val="en-US" w:eastAsia="en-US" w:bidi="en-US"/>
        </w:rPr>
        <w:t>BRISTLER Eduard, Die Volkerrechtslehre des Natlonalsozlalismus. 22X15 cm, 230 str.</w:t>
      </w:r>
    </w:p>
    <w:p w:rsidR="00500724" w:rsidRDefault="00F30FB8">
      <w:pPr>
        <w:pStyle w:val="Zkladntext40"/>
        <w:shd w:val="clear" w:color="auto" w:fill="auto"/>
        <w:spacing w:line="194" w:lineRule="auto"/>
        <w:ind w:left="3520"/>
        <w:jc w:val="left"/>
        <w:rPr>
          <w:sz w:val="16"/>
          <w:szCs w:val="16"/>
        </w:rPr>
      </w:pPr>
      <w:r>
        <w:rPr>
          <w:b/>
          <w:bCs/>
          <w:sz w:val="16"/>
          <w:szCs w:val="16"/>
        </w:rPr>
        <w:t xml:space="preserve">váz. </w:t>
      </w:r>
      <w:r>
        <w:rPr>
          <w:b/>
          <w:bCs/>
          <w:sz w:val="16"/>
          <w:szCs w:val="16"/>
          <w:lang w:val="en-US" w:eastAsia="en-US" w:bidi="en-US"/>
        </w:rPr>
        <w:t>K 67.50</w:t>
      </w:r>
    </w:p>
    <w:p w:rsidR="00500724" w:rsidRDefault="00F30FB8">
      <w:pPr>
        <w:pStyle w:val="Zkladntext40"/>
        <w:shd w:val="clear" w:color="auto" w:fill="auto"/>
        <w:spacing w:after="0" w:line="194" w:lineRule="auto"/>
        <w:ind w:left="860" w:right="700" w:hanging="160"/>
        <w:rPr>
          <w:sz w:val="16"/>
          <w:szCs w:val="16"/>
        </w:rPr>
      </w:pPr>
      <w:r>
        <w:rPr>
          <w:b/>
          <w:bCs/>
          <w:sz w:val="16"/>
          <w:szCs w:val="16"/>
          <w:lang w:val="en-US" w:eastAsia="en-US" w:bidi="en-US"/>
        </w:rPr>
        <w:t xml:space="preserve">INGENLEUF Peter Dr., </w:t>
      </w:r>
      <w:r>
        <w:rPr>
          <w:b/>
          <w:bCs/>
          <w:sz w:val="16"/>
          <w:szCs w:val="16"/>
        </w:rPr>
        <w:t xml:space="preserve">Probléme </w:t>
      </w:r>
      <w:r>
        <w:rPr>
          <w:b/>
          <w:bCs/>
          <w:sz w:val="16"/>
          <w:szCs w:val="16"/>
          <w:lang w:val="en-US" w:eastAsia="en-US" w:bidi="en-US"/>
        </w:rPr>
        <w:t>der Batlonali- slerung im Rahmen nazlonalsozialistischer Wirtschaftsauffassung. 23X15 c</w:t>
      </w:r>
      <w:r>
        <w:rPr>
          <w:b/>
          <w:bCs/>
          <w:sz w:val="16"/>
          <w:szCs w:val="16"/>
          <w:lang w:val="en-US" w:eastAsia="en-US" w:bidi="en-US"/>
        </w:rPr>
        <w:t>m, 73 str.</w:t>
      </w:r>
    </w:p>
    <w:p w:rsidR="00500724" w:rsidRDefault="00F30FB8">
      <w:pPr>
        <w:pStyle w:val="Zkladntext40"/>
        <w:shd w:val="clear" w:color="auto" w:fill="auto"/>
        <w:spacing w:line="194" w:lineRule="auto"/>
        <w:ind w:left="3460"/>
        <w:jc w:val="left"/>
        <w:rPr>
          <w:sz w:val="16"/>
          <w:szCs w:val="16"/>
        </w:rPr>
      </w:pPr>
      <w:r>
        <w:rPr>
          <w:b/>
          <w:bCs/>
          <w:sz w:val="16"/>
          <w:szCs w:val="16"/>
        </w:rPr>
        <w:t xml:space="preserve">brož. </w:t>
      </w:r>
      <w:r>
        <w:rPr>
          <w:b/>
          <w:bCs/>
          <w:sz w:val="16"/>
          <w:szCs w:val="16"/>
          <w:lang w:val="en-US" w:eastAsia="en-US" w:bidi="en-US"/>
        </w:rPr>
        <w:t>K 33.—</w:t>
      </w:r>
    </w:p>
    <w:p w:rsidR="00500724" w:rsidRDefault="00F30FB8">
      <w:pPr>
        <w:pStyle w:val="Zkladntext40"/>
        <w:shd w:val="clear" w:color="auto" w:fill="auto"/>
        <w:spacing w:after="0" w:line="202" w:lineRule="auto"/>
        <w:ind w:left="860" w:right="700" w:hanging="160"/>
        <w:rPr>
          <w:sz w:val="16"/>
          <w:szCs w:val="16"/>
        </w:rPr>
      </w:pPr>
      <w:r>
        <w:rPr>
          <w:b/>
          <w:bCs/>
          <w:sz w:val="16"/>
          <w:szCs w:val="16"/>
          <w:lang w:val="en-US" w:eastAsia="en-US" w:bidi="en-US"/>
        </w:rPr>
        <w:t>ZACHMANN Relnhold Dr., Volkswirtsehaftliche Theorie des Staatskredlts. 21X15 cm, 130 str.</w:t>
      </w:r>
    </w:p>
    <w:p w:rsidR="00500724" w:rsidRDefault="00F30FB8">
      <w:pPr>
        <w:pStyle w:val="Zkladntext40"/>
        <w:shd w:val="clear" w:color="auto" w:fill="auto"/>
        <w:spacing w:after="520" w:line="202" w:lineRule="auto"/>
        <w:ind w:left="3460"/>
        <w:jc w:val="left"/>
        <w:rPr>
          <w:sz w:val="16"/>
          <w:szCs w:val="16"/>
        </w:rPr>
      </w:pPr>
      <w:r>
        <w:rPr>
          <w:b/>
          <w:bCs/>
          <w:sz w:val="16"/>
          <w:szCs w:val="16"/>
        </w:rPr>
        <w:t xml:space="preserve">brož. </w:t>
      </w:r>
      <w:r>
        <w:rPr>
          <w:b/>
          <w:bCs/>
          <w:sz w:val="16"/>
          <w:szCs w:val="16"/>
          <w:lang w:val="en-US" w:eastAsia="en-US" w:bidi="en-US"/>
        </w:rPr>
        <w:t>K 39.—</w:t>
      </w:r>
    </w:p>
    <w:p w:rsidR="00500724" w:rsidRDefault="00F30FB8">
      <w:pPr>
        <w:pStyle w:val="Jin0"/>
        <w:shd w:val="clear" w:color="auto" w:fill="auto"/>
        <w:spacing w:after="540"/>
        <w:ind w:left="860" w:hanging="160"/>
      </w:pPr>
      <w:r>
        <w:rPr>
          <w:rFonts w:ascii="Arial" w:eastAsia="Arial" w:hAnsi="Arial" w:cs="Arial"/>
        </w:rPr>
        <w:t xml:space="preserve">knihkupectví, </w:t>
      </w:r>
      <w:r>
        <w:rPr>
          <w:rFonts w:ascii="Arial" w:eastAsia="Arial" w:hAnsi="Arial" w:cs="Arial"/>
          <w:lang w:val="en-US" w:eastAsia="en-US" w:bidi="en-US"/>
        </w:rPr>
        <w:t xml:space="preserve">Praha I,, </w:t>
      </w:r>
      <w:r>
        <w:rPr>
          <w:rFonts w:ascii="Arial" w:eastAsia="Arial" w:hAnsi="Arial" w:cs="Arial"/>
        </w:rPr>
        <w:t xml:space="preserve">Národní </w:t>
      </w:r>
      <w:r>
        <w:rPr>
          <w:rFonts w:ascii="Arial" w:eastAsia="Arial" w:hAnsi="Arial" w:cs="Arial"/>
          <w:lang w:val="en-US" w:eastAsia="en-US" w:bidi="en-US"/>
        </w:rPr>
        <w:t>11</w:t>
      </w:r>
    </w:p>
    <w:p w:rsidR="00500724" w:rsidRDefault="00F30FB8">
      <w:pPr>
        <w:pStyle w:val="Jin0"/>
        <w:shd w:val="clear" w:color="auto" w:fill="auto"/>
        <w:spacing w:after="60" w:line="206" w:lineRule="auto"/>
        <w:ind w:left="860" w:hanging="160"/>
        <w:rPr>
          <w:sz w:val="15"/>
          <w:szCs w:val="15"/>
        </w:rPr>
      </w:pPr>
      <w:r>
        <w:rPr>
          <w:rFonts w:ascii="Arial" w:eastAsia="Arial" w:hAnsi="Arial" w:cs="Arial"/>
          <w:b/>
          <w:bCs/>
          <w:sz w:val="15"/>
          <w:szCs w:val="15"/>
        </w:rPr>
        <w:t xml:space="preserve">akademické knihkupectvo, </w:t>
      </w:r>
      <w:r>
        <w:rPr>
          <w:rFonts w:ascii="Arial" w:eastAsia="Arial" w:hAnsi="Arial" w:cs="Arial"/>
          <w:b/>
          <w:bCs/>
          <w:sz w:val="15"/>
          <w:szCs w:val="15"/>
          <w:lang w:val="en-US" w:eastAsia="en-US" w:bidi="en-US"/>
        </w:rPr>
        <w:t xml:space="preserve">Bratislava, </w:t>
      </w:r>
      <w:r>
        <w:rPr>
          <w:rFonts w:ascii="Arial" w:eastAsia="Arial" w:hAnsi="Arial" w:cs="Arial"/>
          <w:b/>
          <w:bCs/>
          <w:sz w:val="15"/>
          <w:szCs w:val="15"/>
        </w:rPr>
        <w:t xml:space="preserve">Dunajská </w:t>
      </w:r>
      <w:r>
        <w:rPr>
          <w:rFonts w:ascii="Arial" w:eastAsia="Arial" w:hAnsi="Arial" w:cs="Arial"/>
          <w:b/>
          <w:bCs/>
          <w:sz w:val="15"/>
          <w:szCs w:val="15"/>
          <w:lang w:val="en-US" w:eastAsia="en-US" w:bidi="en-US"/>
        </w:rPr>
        <w:t>21</w:t>
      </w:r>
    </w:p>
    <w:p w:rsidR="00500724" w:rsidRDefault="00F30FB8">
      <w:pPr>
        <w:spacing w:line="1" w:lineRule="exact"/>
        <w:rPr>
          <w:sz w:val="2"/>
          <w:szCs w:val="2"/>
        </w:rPr>
      </w:pPr>
      <w:r>
        <w:br w:type="column"/>
      </w:r>
    </w:p>
    <w:p w:rsidR="00500724" w:rsidRDefault="00F30FB8">
      <w:pPr>
        <w:pStyle w:val="Zkladntext1"/>
        <w:shd w:val="clear" w:color="auto" w:fill="auto"/>
        <w:ind w:firstLine="0"/>
        <w:jc w:val="right"/>
        <w:rPr>
          <w:sz w:val="18"/>
          <w:szCs w:val="18"/>
        </w:rPr>
      </w:pPr>
      <w:r>
        <w:rPr>
          <w:rFonts w:ascii="Arial" w:eastAsia="Arial" w:hAnsi="Arial" w:cs="Arial"/>
          <w:b/>
          <w:bCs/>
          <w:sz w:val="17"/>
          <w:szCs w:val="17"/>
          <w:lang w:val="en-US" w:eastAsia="en-US" w:bidi="en-US"/>
        </w:rPr>
        <w:t xml:space="preserve">AJlin_ C...L1 </w:t>
      </w:r>
      <w:r>
        <w:rPr>
          <w:sz w:val="18"/>
          <w:szCs w:val="18"/>
        </w:rPr>
        <w:t xml:space="preserve">odborný lékař </w:t>
      </w:r>
      <w:r>
        <w:rPr>
          <w:sz w:val="18"/>
          <w:szCs w:val="18"/>
          <w:lang w:val="en-US" w:eastAsia="en-US" w:bidi="en-US"/>
        </w:rPr>
        <w:t xml:space="preserve">pro </w:t>
      </w:r>
      <w:r>
        <w:rPr>
          <w:sz w:val="18"/>
          <w:szCs w:val="18"/>
        </w:rPr>
        <w:t xml:space="preserve">žaludeční </w:t>
      </w:r>
      <w:r>
        <w:rPr>
          <w:sz w:val="18"/>
          <w:szCs w:val="18"/>
          <w:lang w:val="en-US" w:eastAsia="en-US" w:bidi="en-US"/>
        </w:rPr>
        <w:t>a</w:t>
      </w:r>
    </w:p>
    <w:p w:rsidR="00500724" w:rsidRDefault="00F30FB8">
      <w:pPr>
        <w:pStyle w:val="Zkladntext1"/>
        <w:shd w:val="clear" w:color="auto" w:fill="auto"/>
        <w:spacing w:line="175" w:lineRule="auto"/>
        <w:ind w:firstLine="0"/>
        <w:jc w:val="right"/>
        <w:rPr>
          <w:sz w:val="18"/>
          <w:szCs w:val="18"/>
        </w:rPr>
      </w:pPr>
      <w:r>
        <w:rPr>
          <w:rFonts w:ascii="Arial" w:eastAsia="Arial" w:hAnsi="Arial" w:cs="Arial"/>
          <w:b/>
          <w:bCs/>
          <w:sz w:val="22"/>
          <w:szCs w:val="22"/>
        </w:rPr>
        <w:t xml:space="preserve">iVřHJlJP. rranKl </w:t>
      </w:r>
      <w:r>
        <w:rPr>
          <w:b/>
          <w:bCs/>
          <w:sz w:val="18"/>
          <w:szCs w:val="18"/>
        </w:rPr>
        <w:t xml:space="preserve">střevní nemoci a roentgenologií. </w:t>
      </w:r>
      <w:r>
        <w:rPr>
          <w:b/>
          <w:bCs/>
          <w:sz w:val="18"/>
          <w:szCs w:val="18"/>
          <w:lang w:val="en-US" w:eastAsia="en-US" w:bidi="en-US"/>
        </w:rPr>
        <w:t xml:space="preserve">PRAHA H., </w:t>
      </w:r>
      <w:r>
        <w:rPr>
          <w:b/>
          <w:bCs/>
          <w:sz w:val="18"/>
          <w:szCs w:val="18"/>
        </w:rPr>
        <w:t xml:space="preserve">NEKAZANKA </w:t>
      </w:r>
      <w:r>
        <w:rPr>
          <w:b/>
          <w:bCs/>
          <w:sz w:val="18"/>
          <w:szCs w:val="18"/>
          <w:lang w:val="en-US" w:eastAsia="en-US" w:bidi="en-US"/>
        </w:rPr>
        <w:t xml:space="preserve">4, </w:t>
      </w:r>
      <w:r>
        <w:rPr>
          <w:sz w:val="18"/>
          <w:szCs w:val="18"/>
          <w:lang w:val="en-US" w:eastAsia="en-US" w:bidi="en-US"/>
        </w:rPr>
        <w:t xml:space="preserve">II. </w:t>
      </w:r>
      <w:r>
        <w:rPr>
          <w:sz w:val="18"/>
          <w:szCs w:val="18"/>
        </w:rPr>
        <w:t xml:space="preserve">patro. Ord. </w:t>
      </w:r>
      <w:r>
        <w:rPr>
          <w:sz w:val="18"/>
          <w:szCs w:val="18"/>
          <w:lang w:val="en-US" w:eastAsia="en-US" w:bidi="en-US"/>
        </w:rPr>
        <w:t>9-10. 3-4.</w:t>
      </w:r>
    </w:p>
    <w:p w:rsidR="00500724" w:rsidRDefault="00F30FB8">
      <w:pPr>
        <w:pStyle w:val="Zkladntext1"/>
        <w:pBdr>
          <w:bottom w:val="single" w:sz="4" w:space="0" w:color="auto"/>
        </w:pBdr>
        <w:shd w:val="clear" w:color="auto" w:fill="auto"/>
        <w:spacing w:after="140" w:line="194" w:lineRule="auto"/>
        <w:ind w:left="2540" w:firstLine="0"/>
        <w:jc w:val="left"/>
        <w:rPr>
          <w:sz w:val="18"/>
          <w:szCs w:val="18"/>
        </w:rPr>
      </w:pPr>
      <w:r>
        <w:rPr>
          <w:sz w:val="18"/>
          <w:szCs w:val="18"/>
        </w:rPr>
        <w:t>Telefon 234-13.</w:t>
      </w:r>
    </w:p>
    <w:p w:rsidR="00500724" w:rsidRDefault="00F30FB8">
      <w:pPr>
        <w:pStyle w:val="Zkladntext1"/>
        <w:shd w:val="clear" w:color="auto" w:fill="auto"/>
        <w:spacing w:line="154" w:lineRule="auto"/>
        <w:ind w:firstLine="0"/>
        <w:jc w:val="right"/>
        <w:rPr>
          <w:sz w:val="18"/>
          <w:szCs w:val="18"/>
        </w:rPr>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rPr>
          <w:sz w:val="18"/>
          <w:szCs w:val="18"/>
        </w:rPr>
        <w:t xml:space="preserve">odborný lékař pro choroby vnitřní, žaludeční, střevní a výměny látek, em. asistent I. med. kliniky </w:t>
      </w:r>
      <w:r>
        <w:rPr>
          <w:sz w:val="18"/>
          <w:szCs w:val="18"/>
          <w:lang w:val="en-US" w:eastAsia="en-US" w:bidi="en-US"/>
        </w:rPr>
        <w:t xml:space="preserve">prof. </w:t>
      </w:r>
      <w:r>
        <w:rPr>
          <w:sz w:val="18"/>
          <w:szCs w:val="18"/>
        </w:rPr>
        <w:t>Schmidta,</w:t>
      </w:r>
    </w:p>
    <w:p w:rsidR="00500724" w:rsidRDefault="00F30FB8">
      <w:pPr>
        <w:pStyle w:val="Zkladntext1"/>
        <w:shd w:val="clear" w:color="auto" w:fill="auto"/>
        <w:spacing w:after="100" w:line="163" w:lineRule="auto"/>
        <w:ind w:firstLine="0"/>
        <w:jc w:val="right"/>
        <w:rPr>
          <w:sz w:val="18"/>
          <w:szCs w:val="18"/>
        </w:rPr>
      </w:pPr>
      <w:r>
        <w:rPr>
          <w:b/>
          <w:bCs/>
          <w:sz w:val="18"/>
          <w:szCs w:val="18"/>
          <w:u w:val="single"/>
        </w:rPr>
        <w:t xml:space="preserve">PRAHA I., Na Příkopech </w:t>
      </w:r>
      <w:r>
        <w:rPr>
          <w:sz w:val="18"/>
          <w:szCs w:val="18"/>
          <w:u w:val="single"/>
        </w:rPr>
        <w:t>35. Ord. 9-10, t&lt;3-^5. Telef. 228-91.</w:t>
      </w:r>
    </w:p>
    <w:p w:rsidR="00500724" w:rsidRDefault="00F30FB8">
      <w:pPr>
        <w:pStyle w:val="Nadpis110"/>
        <w:shd w:val="clear" w:color="auto" w:fill="auto"/>
        <w:spacing w:after="60" w:line="163" w:lineRule="auto"/>
        <w:jc w:val="both"/>
      </w:pPr>
      <w:bookmarkStart w:id="140" w:name="bookmark139"/>
      <w:r>
        <w:t>MUDr. ZDENKA NEDVĚDOVÁ-NEJEDLÁ</w:t>
      </w:r>
      <w:bookmarkEnd w:id="140"/>
    </w:p>
    <w:p w:rsidR="00500724" w:rsidRDefault="00F30FB8">
      <w:pPr>
        <w:pStyle w:val="Zkladntext30"/>
        <w:shd w:val="clear" w:color="auto" w:fill="auto"/>
        <w:spacing w:after="120" w:line="180" w:lineRule="auto"/>
        <w:ind w:firstLine="0"/>
        <w:jc w:val="right"/>
        <w:rPr>
          <w:sz w:val="20"/>
          <w:szCs w:val="20"/>
        </w:rPr>
      </w:pPr>
      <w:r>
        <w:rPr>
          <w:sz w:val="20"/>
          <w:szCs w:val="20"/>
        </w:rPr>
        <w:t xml:space="preserve">odb. dětská lékařka, PODOLÍ, Pankrácká 14 (stanice elektr. </w:t>
      </w:r>
      <w:r>
        <w:rPr>
          <w:sz w:val="20"/>
          <w:szCs w:val="20"/>
          <w:u w:val="single"/>
        </w:rPr>
        <w:t>dráhy za Podol, sanatoriem). Ord. 9—10 a 2—4. Tel. 441-77.</w:t>
      </w:r>
    </w:p>
    <w:p w:rsidR="00500724" w:rsidRDefault="00F30FB8">
      <w:pPr>
        <w:pStyle w:val="Zkladntext1"/>
        <w:shd w:val="clear" w:color="auto" w:fill="auto"/>
        <w:spacing w:after="120" w:line="192" w:lineRule="auto"/>
        <w:ind w:firstLine="0"/>
        <w:rPr>
          <w:sz w:val="18"/>
          <w:szCs w:val="18"/>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 xml:space="preserve">ord. 3-4 (a podle úmluvy). Telefon 393-79. </w:t>
      </w:r>
      <w:r>
        <w:rPr>
          <w:b/>
          <w:bCs/>
          <w:sz w:val="18"/>
          <w:szCs w:val="18"/>
        </w:rPr>
        <w:t>PRAHA n„ VO</w:t>
      </w:r>
      <w:r>
        <w:rPr>
          <w:b/>
          <w:bCs/>
          <w:sz w:val="18"/>
          <w:szCs w:val="18"/>
        </w:rPr>
        <w:softHyphen/>
      </w:r>
      <w:r>
        <w:rPr>
          <w:b/>
          <w:bCs/>
          <w:sz w:val="18"/>
          <w:szCs w:val="18"/>
          <w:u w:val="single"/>
        </w:rPr>
        <w:t>DIČKOVA 15. (Hlávkův palác.)</w:t>
      </w:r>
    </w:p>
    <w:p w:rsidR="00500724" w:rsidRDefault="00F30FB8">
      <w:pPr>
        <w:pStyle w:val="Zkladntext1"/>
        <w:shd w:val="clear" w:color="auto" w:fill="auto"/>
        <w:spacing w:line="134" w:lineRule="auto"/>
        <w:ind w:firstLine="0"/>
        <w:rPr>
          <w:sz w:val="18"/>
          <w:szCs w:val="18"/>
        </w:rPr>
      </w:pPr>
      <w:r>
        <w:rPr>
          <w:sz w:val="18"/>
          <w:szCs w:val="18"/>
        </w:rPr>
        <w:t xml:space="preserve">Odborný lékař pro porod- </w:t>
      </w:r>
      <w:r>
        <w:rPr>
          <w:rFonts w:ascii="Arial" w:eastAsia="Arial" w:hAnsi="Arial" w:cs="Arial"/>
          <w:b/>
          <w:bCs/>
          <w:sz w:val="22"/>
          <w:szCs w:val="22"/>
        </w:rPr>
        <w:t xml:space="preserve">MUDr. K. STEINBACH </w:t>
      </w:r>
      <w:r>
        <w:rPr>
          <w:sz w:val="18"/>
          <w:szCs w:val="18"/>
        </w:rPr>
        <w:t>nictví a pro nemoci zen</w:t>
      </w:r>
    </w:p>
    <w:p w:rsidR="00500724" w:rsidRDefault="00F30FB8">
      <w:pPr>
        <w:pStyle w:val="Zkladntext1"/>
        <w:shd w:val="clear" w:color="auto" w:fill="auto"/>
        <w:spacing w:after="140" w:line="187" w:lineRule="auto"/>
        <w:ind w:firstLine="0"/>
        <w:jc w:val="right"/>
        <w:rPr>
          <w:sz w:val="18"/>
          <w:szCs w:val="18"/>
        </w:rPr>
      </w:pPr>
      <w:r>
        <w:rPr>
          <w:sz w:val="18"/>
          <w:szCs w:val="18"/>
          <w:u w:val="single"/>
        </w:rPr>
        <w:t>PRAHA n</w:t>
      </w:r>
      <w:r>
        <w:rPr>
          <w:sz w:val="18"/>
          <w:szCs w:val="18"/>
          <w:u w:val="single"/>
          <w:vertAlign w:val="subscript"/>
        </w:rPr>
        <w:t>M</w:t>
      </w:r>
      <w:r>
        <w:rPr>
          <w:sz w:val="18"/>
          <w:szCs w:val="18"/>
          <w:u w:val="single"/>
        </w:rPr>
        <w:t xml:space="preserve"> Havlíčkovo nám. 22. Ord. 9-11, 2-4. TeL 270-13.</w:t>
      </w:r>
    </w:p>
    <w:p w:rsidR="00500724" w:rsidRDefault="00F30FB8">
      <w:pPr>
        <w:pStyle w:val="Zkladntext1"/>
        <w:shd w:val="clear" w:color="auto" w:fill="auto"/>
        <w:spacing w:after="140" w:line="199" w:lineRule="auto"/>
        <w:ind w:firstLine="0"/>
        <w:rPr>
          <w:sz w:val="18"/>
          <w:szCs w:val="18"/>
        </w:rPr>
      </w:pPr>
      <w:r>
        <w:rPr>
          <w:rFonts w:ascii="Arial" w:eastAsia="Arial" w:hAnsi="Arial" w:cs="Arial"/>
          <w:b/>
          <w:bCs/>
          <w:sz w:val="22"/>
          <w:szCs w:val="22"/>
        </w:rPr>
        <w:t xml:space="preserve">MUDr. STANISLAV TUMFACH </w:t>
      </w:r>
      <w:r>
        <w:rPr>
          <w:sz w:val="18"/>
          <w:szCs w:val="18"/>
        </w:rPr>
        <w:t>odborný lékař pro chiru</w:t>
      </w:r>
      <w:r>
        <w:rPr>
          <w:sz w:val="18"/>
          <w:szCs w:val="18"/>
        </w:rPr>
        <w:t xml:space="preserve">rgii a urologii. PRAHA XH., Fochova 84 (Nám. krále </w:t>
      </w:r>
      <w:r>
        <w:rPr>
          <w:sz w:val="18"/>
          <w:szCs w:val="18"/>
          <w:u w:val="single"/>
        </w:rPr>
        <w:t>Jiřího). Ord. 15—17. Tel. 512-86, byt: 513-38.</w:t>
      </w:r>
    </w:p>
    <w:p w:rsidR="00500724" w:rsidRDefault="00F30FB8">
      <w:pPr>
        <w:pStyle w:val="Nadpis110"/>
        <w:shd w:val="clear" w:color="auto" w:fill="auto"/>
        <w:jc w:val="both"/>
      </w:pPr>
      <w:bookmarkStart w:id="141" w:name="bookmark140"/>
      <w:r>
        <w:t>MUDr. EMIL VOGL</w:t>
      </w:r>
      <w:bookmarkEnd w:id="141"/>
    </w:p>
    <w:p w:rsidR="00500724" w:rsidRDefault="00F30FB8">
      <w:pPr>
        <w:pStyle w:val="Zkladntext1"/>
        <w:shd w:val="clear" w:color="auto" w:fill="auto"/>
        <w:spacing w:after="280" w:line="194" w:lineRule="auto"/>
        <w:ind w:firstLine="0"/>
        <w:rPr>
          <w:sz w:val="18"/>
          <w:szCs w:val="18"/>
        </w:rPr>
      </w:pPr>
      <w:r>
        <w:rPr>
          <w:sz w:val="18"/>
          <w:szCs w:val="18"/>
        </w:rPr>
        <w:t xml:space="preserve">odborný lékař nro nemoci vnitřní, PRAHA H„ LÚTZOWOVA </w:t>
      </w:r>
      <w:r>
        <w:rPr>
          <w:sz w:val="18"/>
          <w:szCs w:val="18"/>
          <w:u w:val="single"/>
        </w:rPr>
        <w:t>32, roh Washingtonovy. Ord. 9-11, 2-4, Telefon 226-65.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60"/>
        <w:ind w:left="120"/>
        <w:jc w:val="center"/>
      </w:pPr>
      <w:bookmarkStart w:id="142" w:name="bookmark141"/>
      <w:r>
        <w:rPr>
          <w:color w:val="FFFFFF"/>
        </w:rPr>
        <w:t>VAS VKUS I NÁROKY USPOKOJÍ</w:t>
      </w:r>
      <w:bookmarkEnd w:id="142"/>
    </w:p>
    <w:p w:rsidR="00500724" w:rsidRDefault="00F30FB8">
      <w:pPr>
        <w:pStyle w:val="Jin0"/>
        <w:shd w:val="clear" w:color="auto" w:fill="auto"/>
        <w:ind w:left="120" w:firstLine="0"/>
        <w:jc w:val="center"/>
        <w:rPr>
          <w:sz w:val="26"/>
          <w:szCs w:val="26"/>
        </w:rPr>
      </w:pPr>
      <w:r>
        <w:rPr>
          <w:rFonts w:ascii="Arial" w:eastAsia="Arial" w:hAnsi="Arial" w:cs="Arial"/>
          <w:b/>
          <w:bCs/>
          <w:sz w:val="26"/>
          <w:szCs w:val="26"/>
        </w:rPr>
        <w:t>KRAUS &amp;</w:t>
      </w:r>
      <w:r>
        <w:rPr>
          <w:rFonts w:ascii="Arial" w:eastAsia="Arial" w:hAnsi="Arial" w:cs="Arial"/>
          <w:b/>
          <w:bCs/>
          <w:sz w:val="26"/>
          <w:szCs w:val="26"/>
        </w:rPr>
        <w:t xml:space="preserve"> SPOL.</w:t>
      </w:r>
    </w:p>
    <w:p w:rsidR="00500724" w:rsidRDefault="00F30FB8">
      <w:pPr>
        <w:pStyle w:val="Nadpis120"/>
        <w:shd w:val="clear" w:color="auto" w:fill="auto"/>
        <w:spacing w:line="230" w:lineRule="auto"/>
        <w:ind w:left="120"/>
        <w:jc w:val="center"/>
      </w:pPr>
      <w:bookmarkStart w:id="143" w:name="bookmark142"/>
      <w:r>
        <w:t>krejčí pro pány a dámy</w:t>
      </w:r>
      <w:bookmarkEnd w:id="143"/>
    </w:p>
    <w:p w:rsidR="00500724" w:rsidRDefault="00F30FB8">
      <w:pPr>
        <w:pStyle w:val="Nadpis120"/>
        <w:shd w:val="clear" w:color="auto" w:fill="auto"/>
        <w:ind w:left="3700"/>
      </w:pPr>
      <w:bookmarkStart w:id="144" w:name="bookmark143"/>
      <w:r>
        <w:t>PRAHA H.,</w:t>
      </w:r>
      <w:bookmarkEnd w:id="144"/>
    </w:p>
    <w:p w:rsidR="00500724" w:rsidRDefault="00F30FB8">
      <w:pPr>
        <w:pStyle w:val="Zkladntext30"/>
        <w:shd w:val="clear" w:color="auto" w:fill="auto"/>
        <w:tabs>
          <w:tab w:val="left" w:pos="3624"/>
        </w:tabs>
        <w:spacing w:after="200" w:line="204" w:lineRule="auto"/>
        <w:ind w:firstLine="0"/>
        <w:rPr>
          <w:sz w:val="20"/>
          <w:szCs w:val="20"/>
        </w:rPr>
      </w:pPr>
      <w:r>
        <w:rPr>
          <w:b/>
          <w:bCs/>
          <w:sz w:val="20"/>
          <w:szCs w:val="20"/>
        </w:rPr>
        <w:t>Telefon 309-69</w:t>
      </w:r>
      <w:r>
        <w:rPr>
          <w:b/>
          <w:bCs/>
          <w:sz w:val="20"/>
          <w:szCs w:val="20"/>
        </w:rPr>
        <w:tab/>
        <w:t>Panská ul. 10</w:t>
      </w:r>
    </w:p>
    <w:p w:rsidR="00500724" w:rsidRDefault="00F30FB8">
      <w:pPr>
        <w:pStyle w:val="Zkladntext1"/>
        <w:shd w:val="clear" w:color="auto" w:fill="auto"/>
        <w:ind w:left="120" w:firstLine="0"/>
        <w:jc w:val="center"/>
        <w:rPr>
          <w:sz w:val="18"/>
          <w:szCs w:val="18"/>
        </w:rPr>
      </w:pPr>
      <w:r>
        <w:rPr>
          <w:b/>
          <w:bCs/>
          <w:smallCaps/>
          <w:sz w:val="18"/>
          <w:szCs w:val="18"/>
        </w:rPr>
        <w:t>obuv pro vyšší nároky</w:t>
      </w:r>
    </w:p>
    <w:p w:rsidR="00500724" w:rsidRDefault="00F30FB8">
      <w:pPr>
        <w:pStyle w:val="Jin0"/>
        <w:shd w:val="clear" w:color="auto" w:fill="auto"/>
        <w:spacing w:line="192" w:lineRule="auto"/>
        <w:ind w:left="120"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
        <w:shd w:val="clear" w:color="auto" w:fill="auto"/>
        <w:spacing w:after="60" w:line="230" w:lineRule="auto"/>
        <w:ind w:left="120" w:firstLine="0"/>
        <w:jc w:val="center"/>
        <w:rPr>
          <w:sz w:val="20"/>
          <w:szCs w:val="20"/>
        </w:rPr>
      </w:pPr>
      <w:r>
        <w:rPr>
          <w:sz w:val="20"/>
          <w:szCs w:val="20"/>
        </w:rPr>
        <w:t>PRAHA I., PŘÍKOPY 35, schodiště A. TeL 315-28.</w:t>
      </w:r>
    </w:p>
    <w:p w:rsidR="00500724" w:rsidRDefault="00F30FB8">
      <w:pPr>
        <w:pStyle w:val="Jin0"/>
        <w:shd w:val="clear" w:color="auto" w:fill="auto"/>
        <w:spacing w:after="140"/>
        <w:ind w:firstLine="0"/>
        <w:jc w:val="left"/>
        <w:rPr>
          <w:sz w:val="44"/>
          <w:szCs w:val="44"/>
        </w:rPr>
      </w:pPr>
      <w:r>
        <w:rPr>
          <w:rFonts w:ascii="Calibri" w:eastAsia="Calibri" w:hAnsi="Calibri" w:cs="Calibri"/>
          <w:b/>
          <w:bCs/>
          <w:w w:val="60"/>
          <w:sz w:val="72"/>
          <w:szCs w:val="72"/>
          <w:lang w:val="en-US" w:eastAsia="en-US" w:bidi="en-US"/>
        </w:rPr>
        <w:t>LONG I</w:t>
      </w:r>
      <w:r>
        <w:rPr>
          <w:rFonts w:ascii="Calibri" w:eastAsia="Calibri" w:hAnsi="Calibri" w:cs="Calibri"/>
          <w:b/>
          <w:bCs/>
          <w:w w:val="60"/>
          <w:sz w:val="72"/>
          <w:szCs w:val="72"/>
        </w:rPr>
        <w:t xml:space="preserve">N ES </w:t>
      </w:r>
      <w:r>
        <w:rPr>
          <w:rFonts w:ascii="Calibri" w:eastAsia="Calibri" w:hAnsi="Calibri" w:cs="Calibri"/>
          <w:b/>
          <w:bCs/>
          <w:w w:val="70"/>
          <w:sz w:val="44"/>
          <w:szCs w:val="44"/>
        </w:rPr>
        <w:t>hodinky-vždy přesné</w:t>
      </w:r>
      <w:r>
        <w:br w:type="page"/>
      </w:r>
    </w:p>
    <w:p w:rsidR="00500724" w:rsidRDefault="00F30FB8">
      <w:pPr>
        <w:pStyle w:val="Nadpis100"/>
        <w:shd w:val="clear" w:color="auto" w:fill="auto"/>
        <w:spacing w:after="0" w:line="240" w:lineRule="auto"/>
      </w:pPr>
      <w:bookmarkStart w:id="145" w:name="bookmark144"/>
      <w:r>
        <w:t>List do Anglie</w:t>
      </w:r>
      <w:bookmarkEnd w:id="145"/>
    </w:p>
    <w:p w:rsidR="00500724" w:rsidRDefault="00F30FB8">
      <w:pPr>
        <w:pStyle w:val="Zkladntext30"/>
        <w:shd w:val="clear" w:color="auto" w:fill="auto"/>
        <w:spacing w:after="200" w:line="240" w:lineRule="auto"/>
        <w:ind w:firstLine="0"/>
        <w:jc w:val="center"/>
      </w:pPr>
      <w:r>
        <w:t xml:space="preserve">(dopis majorovi </w:t>
      </w:r>
      <w:r>
        <w:rPr>
          <w:lang w:val="en-US" w:eastAsia="en-US" w:bidi="en-US"/>
        </w:rPr>
        <w:t>Attlee,</w:t>
      </w:r>
      <w:r>
        <w:rPr>
          <w:lang w:val="en-US" w:eastAsia="en-US" w:bidi="en-US"/>
        </w:rPr>
        <w:br/>
      </w:r>
      <w:r>
        <w:t>vůdci Anglické dělnické strany)</w:t>
      </w:r>
    </w:p>
    <w:p w:rsidR="00500724" w:rsidRDefault="00F30FB8">
      <w:pPr>
        <w:pStyle w:val="Zkladntext30"/>
        <w:shd w:val="clear" w:color="auto" w:fill="auto"/>
        <w:spacing w:after="0" w:line="288" w:lineRule="auto"/>
        <w:ind w:left="1340" w:firstLine="640"/>
        <w:jc w:val="left"/>
      </w:pPr>
      <w:r>
        <w:t>V Praze, na počátku února 1939. Milý přiteli!</w:t>
      </w:r>
    </w:p>
    <w:p w:rsidR="00500724" w:rsidRDefault="00F30FB8">
      <w:pPr>
        <w:pStyle w:val="Zkladntext30"/>
        <w:shd w:val="clear" w:color="auto" w:fill="auto"/>
        <w:spacing w:after="0" w:line="209" w:lineRule="auto"/>
      </w:pPr>
      <w:r>
        <w:t>Děkuji Vám za pozdrav a zprávy. My jsme tu ve své zemi nezapomněli na přátelský zájem, který jste nám osvědčoval, dokud jsme patřili ke šťastným ná</w:t>
      </w:r>
      <w:r>
        <w:softHyphen/>
        <w:t>rodům Evropy; a který, jak vidím, trvá i dnes.</w:t>
      </w:r>
    </w:p>
    <w:p w:rsidR="00500724" w:rsidRDefault="00F30FB8">
      <w:pPr>
        <w:pStyle w:val="Zkladntext30"/>
        <w:shd w:val="clear" w:color="auto" w:fill="auto"/>
        <w:spacing w:after="0" w:line="202" w:lineRule="auto"/>
      </w:pPr>
      <w:r>
        <w:t>Mimoděk srovnáv</w:t>
      </w:r>
      <w:r>
        <w:t>áme Vaši starostlivost o další vý</w:t>
      </w:r>
      <w:r>
        <w:softHyphen/>
        <w:t>voj věcí u nás s jednáním a chováním bývalých našich přátel ve Francii. Ať jest úsudek českého lidu o po</w:t>
      </w:r>
      <w:r>
        <w:softHyphen/>
        <w:t>stupu britské diplomacie v uplynulém roce jakýkoli, jedno uznáváme všichni: co dělala vláda Velké Bri</w:t>
      </w:r>
      <w:r>
        <w:softHyphen/>
        <w:t>tanie, byla pol</w:t>
      </w:r>
      <w:r>
        <w:t>itika; nebyla to však zrada. Vaše země nebyla naším spojencem; náš generální štáb nebyl dependencí Vašeho generálního štábu; naši vedoucí důstojnici nebyli žáky Vaší školy válečné a Vaši důstojnici neorganisovali naši armádu; angličtí vojáci a vládnoucí mu</w:t>
      </w:r>
      <w:r>
        <w:t>žové na nás nenaléhali, abychom dávali veliké miliardy do válečné zbroje. Při každé vhodné nebo i méně vhodné příležitosti nás francouzští vůdco</w:t>
      </w:r>
      <w:r>
        <w:softHyphen/>
        <w:t>vé ujišťovali svou věrností, užívajíce k tomu všech forem projevu: veřejných prohlášení odpovědných státníků, d</w:t>
      </w:r>
      <w:r>
        <w:t>iplomatických not, řečí na lidových tribu</w:t>
      </w:r>
      <w:r>
        <w:softHyphen/>
        <w:t>nách politických sjezdů a táborů, přípitků na banke</w:t>
      </w:r>
      <w:r>
        <w:softHyphen/>
        <w:t>tech v Paříži i v Praze, vzkazů vojenského vedení, soukromých rozmluv a dopisů... Této Francii jsme důvěřovali, protože jsme ji milovali. Láska bývá slepá. K blah</w:t>
      </w:r>
      <w:r>
        <w:t>obytu Francie přispívali jsme rok co rok mnohými desítkami milionů, po léta byla naše obchod</w:t>
      </w:r>
      <w:r>
        <w:softHyphen/>
        <w:t>ní a platební bilance s Francií pasivní. Platili jsme takto francouzskému kapitálu, nad něhož není v Evropě bezohlednějšího, těžkou daň. A tato Francie bohatá, mno</w:t>
      </w:r>
      <w:r>
        <w:t>homluvná a duchaplná — co nám učinila!</w:t>
      </w:r>
    </w:p>
    <w:p w:rsidR="00500724" w:rsidRDefault="00F30FB8">
      <w:pPr>
        <w:pStyle w:val="Zkladntext30"/>
        <w:shd w:val="clear" w:color="auto" w:fill="auto"/>
        <w:spacing w:after="1680" w:line="204" w:lineRule="auto"/>
      </w:pPr>
      <w:r>
        <w:t>Nežalujem. Jenom přemýšlíme. Dnes je již téměř jisto, že iniciativu při všem, co se nám stalo, měl Londýn. Adolf Hitler nebyl první, který vyslovil po</w:t>
      </w:r>
      <w:r>
        <w:softHyphen/>
        <w:t>žadavek, abychom odstoupili svoje území. Toto re</w:t>
      </w:r>
      <w:r>
        <w:softHyphen/>
        <w:t>voluční slovo nej</w:t>
      </w:r>
      <w:r>
        <w:t>dříve pronesl anglický konservativec.</w:t>
      </w:r>
    </w:p>
    <w:p w:rsidR="00500724" w:rsidRDefault="00F30FB8">
      <w:pPr>
        <w:pStyle w:val="Zkladntext30"/>
        <w:shd w:val="clear" w:color="auto" w:fill="auto"/>
        <w:spacing w:line="202" w:lineRule="auto"/>
      </w:pPr>
      <w:r>
        <w:t>Naši bývalí přátelé ze socialistické internacionály nejradikálněji mluvili a psali proti německému fa</w:t>
      </w:r>
      <w:r>
        <w:softHyphen/>
        <w:t>šismu. To byly celé ohňostroje demokratické a so</w:t>
      </w:r>
      <w:r>
        <w:softHyphen/>
        <w:t>cialistické ideologie. Jiskry z tohoto požáru létaly až k nám, rozp</w:t>
      </w:r>
      <w:r>
        <w:t>alovaly srdce a posilovaly vůli. Ach, milý příteli, byly to fráze, jež způsobily více zla, než lze vyjádřiti. Pochopil jste, jak mi bylo sděleno, proč bývalá čs. sociální demokracie vystoupila z Inter</w:t>
      </w:r>
      <w:r>
        <w:softHyphen/>
        <w:t xml:space="preserve">nacionály. Stalo se to k mému návrhu. Byla k tomu řada </w:t>
      </w:r>
      <w:r>
        <w:t>důvodů. Jeden z nich byl, že jsme chtěli ušetřit Léonu Blumoví a jeho kruhu hanbu, s jakou by před námi klopili oči. Srovnáváme, jak se po Mnichovu cho</w:t>
      </w:r>
      <w:r>
        <w:softHyphen/>
        <w:t>vala socialistická a demokratická Francie, a jak se cho</w:t>
      </w:r>
      <w:r>
        <w:softHyphen/>
        <w:t>vala labouristická Anglie. A srovnavše, smíme Vá</w:t>
      </w:r>
      <w:r>
        <w:t>m zachovati své přátelství, a jsme Vám zavázáni, že ani Vy jste nám neodepřeli svoje. .</w:t>
      </w:r>
    </w:p>
    <w:p w:rsidR="00500724" w:rsidRDefault="00F30FB8">
      <w:pPr>
        <w:pStyle w:val="Zkladntext30"/>
        <w:shd w:val="clear" w:color="auto" w:fill="auto"/>
        <w:spacing w:after="0" w:line="202" w:lineRule="auto"/>
      </w:pPr>
      <w:r>
        <w:t>Tolik o nás víte, že nenáležíme k druhu romantiků a fantastů. Přijali jsme důsledky Mnichova, a ne</w:t>
      </w:r>
      <w:r>
        <w:softHyphen/>
        <w:t xml:space="preserve">spekulujeme s tím, že Vy byste mohli nebo chtěli retablovat situaci. </w:t>
      </w:r>
      <w:r>
        <w:t>Potřebujeme Vašeho přátelství k jiným věcem. Dovolte mi, abych o tom mluvil velmi otevřeně.</w:t>
      </w:r>
    </w:p>
    <w:p w:rsidR="00500724" w:rsidRDefault="00F30FB8">
      <w:pPr>
        <w:pStyle w:val="Zkladntext30"/>
        <w:shd w:val="clear" w:color="auto" w:fill="auto"/>
        <w:spacing w:after="100" w:line="202" w:lineRule="auto"/>
        <w:ind w:firstLine="0"/>
        <w:jc w:val="center"/>
      </w:pPr>
      <w:r>
        <w:t>•</w:t>
      </w:r>
    </w:p>
    <w:p w:rsidR="00500724" w:rsidRDefault="00F30FB8">
      <w:pPr>
        <w:pStyle w:val="Zkladntext30"/>
        <w:shd w:val="clear" w:color="auto" w:fill="auto"/>
        <w:spacing w:after="0" w:line="202" w:lineRule="auto"/>
      </w:pPr>
      <w:r>
        <w:t>Nechodíme v tom slzavém údolí s hlavou obrácenou dozadu. Co bylo, bylo. Všechny naše myšlenky obrá</w:t>
      </w:r>
      <w:r>
        <w:softHyphen/>
        <w:t>ceny jsou nyní k přítomnosti. Po Mnichovu jsme si připadali jak</w:t>
      </w:r>
      <w:r>
        <w:t>o sirotci, opuštění světem i štěstím. Kdybyste znal podrobněji dějiny mé země, připamato- val byste si snad, kdo byli Sirotci v husitských vál</w:t>
      </w:r>
      <w:r>
        <w:softHyphen/>
        <w:t>kách; já však, užívaje slova sirotci, nenarážím na Sirotky, na tyto dlouho nepřemožitelné vojáky, kteří honili mn</w:t>
      </w:r>
      <w:r>
        <w:t>ohokrát silnější křižácká vojska ze země. Dnešní Čechové dobře vědí, že ani zbraně nejdokona</w:t>
      </w:r>
      <w:r>
        <w:softHyphen/>
        <w:t xml:space="preserve">lejší </w:t>
      </w:r>
      <w:r>
        <w:rPr>
          <w:i/>
          <w:iCs/>
        </w:rPr>
        <w:t>a</w:t>
      </w:r>
      <w:r>
        <w:t xml:space="preserve"> srdce nejstatečnější nemohou změnit, co se stalo. Zajisté, také my si ve své dnešní situaci chceme zachovat armádu, přiměřenou právě té dnešní situaci, pro</w:t>
      </w:r>
      <w:r>
        <w:t>tože národ bez vojenské organisace a bez výchovy mládeže k duchu brannosti je ztracený národ. Ale náš hlavní zřetel není obrácen k dělům, tankům, letadlům a kulometům; více se zajímáme o rolníkův pluh, o kovářovo kladivo, o zednickou lžíci, o tesařovu širo</w:t>
      </w:r>
      <w:r>
        <w:t>- činu, o podnikatelovu myšlenku, o učitelovu didak</w:t>
      </w:r>
      <w:r>
        <w:softHyphen/>
        <w:t xml:space="preserve">tiku a pedagogiku, a učencovu laboratoř, o technikův výpočet, o spisovatelovo pero. Po čtyřech měsících, </w:t>
      </w:r>
      <w:r>
        <w:rPr>
          <w:b/>
          <w:bCs/>
        </w:rPr>
        <w:t xml:space="preserve">z </w:t>
      </w:r>
      <w:r>
        <w:t>nichž bych Vám a Vašemu lidu nepřál prožiti ani jediný den, jsme se dobrali k přesvědčení, že vla</w:t>
      </w:r>
      <w:r>
        <w:t>st můžeme obnoviti jenom prací mozků a rukou. Vzpa</w:t>
      </w:r>
      <w:r>
        <w:softHyphen/>
        <w:t xml:space="preserve">matovali jsme se, osud nás nezlomil. </w:t>
      </w:r>
      <w:r>
        <w:rPr>
          <w:i/>
          <w:iCs/>
        </w:rPr>
        <w:t>Živé</w:t>
      </w:r>
      <w:r>
        <w:t xml:space="preserve"> síly národa jsou při díle! Bude-li nám dopřáno, abychom toto dílo směli konat v míru a pokoji, pak nejsme ztraceni. »Být, čím jsem, to není nic, všakbezpečně tím </w:t>
      </w:r>
      <w:r>
        <w:rPr>
          <w:b/>
          <w:bCs/>
        </w:rPr>
        <w:t xml:space="preserve">b </w:t>
      </w:r>
      <w:r>
        <w:t xml:space="preserve">ý t,« praví jedna ze Shakespearových postav, a touto větou jest vyjádřena celá naše situace, potřeba </w:t>
      </w:r>
      <w:r>
        <w:rPr>
          <w:b/>
          <w:bCs/>
        </w:rPr>
        <w:t xml:space="preserve">a </w:t>
      </w:r>
      <w:r>
        <w:t>touha.</w:t>
      </w:r>
    </w:p>
    <w:p w:rsidR="00500724" w:rsidRDefault="00F30FB8">
      <w:pPr>
        <w:pStyle w:val="Zkladntext30"/>
        <w:shd w:val="clear" w:color="auto" w:fill="auto"/>
        <w:spacing w:after="180" w:line="202" w:lineRule="auto"/>
        <w:sectPr w:rsidR="00500724">
          <w:footnotePr>
            <w:numFmt w:val="chicago"/>
            <w:numRestart w:val="eachPage"/>
          </w:footnotePr>
          <w:type w:val="continuous"/>
          <w:pgSz w:w="11909" w:h="16834"/>
          <w:pgMar w:top="1480" w:right="883" w:bottom="72" w:left="563" w:header="0" w:footer="3" w:gutter="0"/>
          <w:cols w:num="2" w:space="134"/>
          <w:noEndnote/>
          <w:docGrid w:linePitch="360"/>
        </w:sectPr>
      </w:pPr>
      <w:r>
        <w:rPr>
          <w:noProof/>
        </w:rPr>
        <mc:AlternateContent>
          <mc:Choice Requires="wps">
            <w:drawing>
              <wp:anchor distT="38100" distB="254000" distL="114300" distR="114300" simplePos="0" relativeHeight="125829482" behindDoc="0" locked="0" layoutInCell="1" allowOverlap="1">
                <wp:simplePos x="0" y="0"/>
                <wp:positionH relativeFrom="page">
                  <wp:posOffset>6838315</wp:posOffset>
                </wp:positionH>
                <wp:positionV relativeFrom="margin">
                  <wp:posOffset>8199755</wp:posOffset>
                </wp:positionV>
                <wp:extent cx="130810" cy="140335"/>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130810" cy="140335"/>
                        </a:xfrm>
                        <a:prstGeom prst="rect">
                          <a:avLst/>
                        </a:prstGeom>
                        <a:noFill/>
                      </wps:spPr>
                      <wps:txbx>
                        <w:txbxContent>
                          <w:p w:rsidR="00500724" w:rsidRDefault="00F30FB8">
                            <w:pPr>
                              <w:pStyle w:val="Zkladntext40"/>
                              <w:shd w:val="clear" w:color="auto" w:fill="auto"/>
                              <w:spacing w:after="0" w:line="240" w:lineRule="auto"/>
                              <w:jc w:val="left"/>
                            </w:pPr>
                            <w:r>
                              <w:rPr>
                                <w:b/>
                                <w:bCs/>
                                <w:i/>
                                <w:iCs/>
                              </w:rPr>
                              <w:t>8i</w:t>
                            </w:r>
                          </w:p>
                        </w:txbxContent>
                      </wps:txbx>
                      <wps:bodyPr lIns="0" tIns="0" rIns="0" bIns="0">
                        <a:spAutoFit/>
                      </wps:bodyPr>
                    </wps:wsp>
                  </a:graphicData>
                </a:graphic>
              </wp:anchor>
            </w:drawing>
          </mc:Choice>
          <mc:Fallback>
            <w:pict>
              <v:shape id="_x0000_s1131" type="#_x0000_t202" style="position:absolute;margin-left:538.45000000000005pt;margin-top:645.64999999999998pt;width:10.300000000000001pt;height:11.050000000000001pt;z-index:-125829271;mso-wrap-distance-left:9.pt;mso-wrap-distance-top:3.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8i</w:t>
                      </w:r>
                    </w:p>
                  </w:txbxContent>
                </v:textbox>
                <w10:wrap type="topAndBottom" anchorx="page" anchory="margin"/>
              </v:shape>
            </w:pict>
          </mc:Fallback>
        </mc:AlternateContent>
      </w:r>
      <w:r>
        <w:t>Vaše mocná země, milý příteli, jest nám něčím po</w:t>
      </w:r>
      <w:r>
        <w:softHyphen/>
        <w:t xml:space="preserve">vinna. </w:t>
      </w:r>
      <w:r>
        <w:rPr>
          <w:lang w:val="en-US" w:eastAsia="en-US" w:bidi="en-US"/>
        </w:rPr>
        <w:t xml:space="preserve">Pan Chamberlain </w:t>
      </w:r>
      <w:r>
        <w:t xml:space="preserve">provedl svůj plán s tvrdostí </w:t>
      </w:r>
      <w:r>
        <w:t>naprostou. My dnes víme, že po pěti letech vývoje hitlerismu v Německu nemohli jsme již žiti se sudet- skými Němci v jednom státě po starém způsobu. Ani dnes nepřipouštíme, že Němci v naší zemi byli utlače</w:t>
      </w:r>
      <w:r>
        <w:softHyphen/>
        <w:t>ným národem. »Die Sudetendeutsche sind kein unter-</w:t>
      </w:r>
      <w:r>
        <w:t xml:space="preserve"> driicktes, sie sind ein benachteiligtes Volk,« napsal krátce před svou smrtí starý vůdce rakouského děl</w:t>
      </w:r>
      <w:r>
        <w:softHyphen/>
      </w:r>
    </w:p>
    <w:p w:rsidR="00500724" w:rsidRDefault="00500724">
      <w:pPr>
        <w:spacing w:line="240" w:lineRule="exact"/>
        <w:rPr>
          <w:sz w:val="19"/>
          <w:szCs w:val="19"/>
        </w:rPr>
      </w:pPr>
    </w:p>
    <w:p w:rsidR="00500724" w:rsidRDefault="00500724">
      <w:pPr>
        <w:spacing w:before="39" w:after="39" w:line="240" w:lineRule="exact"/>
        <w:rPr>
          <w:sz w:val="19"/>
          <w:szCs w:val="19"/>
        </w:rPr>
      </w:pPr>
    </w:p>
    <w:p w:rsidR="00500724" w:rsidRDefault="00500724">
      <w:pPr>
        <w:spacing w:line="14" w:lineRule="exact"/>
        <w:sectPr w:rsidR="00500724">
          <w:footnotePr>
            <w:numFmt w:val="chicago"/>
            <w:numRestart w:val="eachPage"/>
          </w:footnotePr>
          <w:pgSz w:w="11909" w:h="16834"/>
          <w:pgMar w:top="1589" w:right="0" w:bottom="1109" w:left="0" w:header="0" w:footer="3" w:gutter="0"/>
          <w:cols w:space="720"/>
          <w:noEndnote/>
          <w:docGrid w:linePitch="360"/>
        </w:sectPr>
      </w:pPr>
    </w:p>
    <w:p w:rsidR="00500724" w:rsidRDefault="00F30FB8">
      <w:pPr>
        <w:pStyle w:val="Zkladntext30"/>
        <w:shd w:val="clear" w:color="auto" w:fill="auto"/>
        <w:spacing w:after="180" w:line="216" w:lineRule="auto"/>
        <w:ind w:firstLine="0"/>
      </w:pPr>
      <w:r>
        <w:t>nického hnutí, který znal poměry do nejmenší po' drobnosti. Adolf Hitler viděl a posuzoval věc jinak Nebyl nám ponechán č</w:t>
      </w:r>
      <w:r>
        <w:t>as, abychom postavili soužití obou národů na jiný základ. Mohu Vám však sdělit, že dosti Čechů dopracovalo se k poznání, že ani toto řeše</w:t>
      </w:r>
      <w:r>
        <w:softHyphen/>
        <w:t>ní není bez výhod, Pikají: Jaký by to byl život s Němci ve společném státě po všem, co se od roku 1933 stalo v Německu</w:t>
      </w:r>
      <w:r>
        <w:t xml:space="preserve"> a co následovalo u nás? Měli by úplnou autonomii, tam směřovaly věci tak či onak, to jest: vykonávali by na náš národní a státní život nesmírný vliv; jsouce vášnivě orientováni k Německu hákového kříže, a nacházejíce se pod ochranou moc</w:t>
      </w:r>
      <w:r>
        <w:softHyphen/>
        <w:t>ného souseda, byli</w:t>
      </w:r>
      <w:r>
        <w:t xml:space="preserve"> by brzo směrodatným činitelem v naší politice zahraniční, hospodářské, obchodní, a jejich vliv by byl časem v tak intimním styku chtěl působiti i na naše ustrojení duchovní. Země by nedošla klidu, věci by se byly zhoršovaly. Jakmile západní velmoci nemohl</w:t>
      </w:r>
      <w:r>
        <w:t>y nebo nechtěly držet starý stav věcí, nemohlo to se sudetskými Němci dopadnout jinak; dosti Čechů — jak řečeno — smiřuje se s tímto řeše</w:t>
      </w:r>
      <w:r>
        <w:softHyphen/>
        <w:t>ním. Něco jiného však jest, jakým způsobem se stalo předání našeho bývalého území. Nemohu o tom mluvit, jenom Vás pros</w:t>
      </w:r>
      <w:r>
        <w:t>ím, abyste mi uvěřil, že právě tento způsob představuje tragedii národa, tragedii desítek tisíců jeho rodin. Vláda, v níž jsem zasedal, podrobila se nezbytnosti a zásadně přijala Chamber</w:t>
      </w:r>
      <w:r>
        <w:softHyphen/>
        <w:t>lainovo řešení, když chtěla zem ušetřiti války bez spo</w:t>
      </w:r>
      <w:r>
        <w:softHyphen/>
        <w:t>jenců a pomoci</w:t>
      </w:r>
      <w:r>
        <w:t>. Prosila však vládu Velké Britanie i Francie, aby se předání území stalo organicky, po</w:t>
      </w:r>
      <w:r>
        <w:softHyphen/>
        <w:t>stupně, do rukou mezinárodního vojska. Byli jsme ochotni demobilisovat, nebyli bychom bývali tvořili žádnou novou obrannou linii, Anglie s Francií a s ostatními velmoce</w:t>
      </w:r>
      <w:r>
        <w:t>mi byly dostatečnou zárukou, že věci budou uspořádány klidně. Naše vláda žádala, aby byla včas stanovena nová hranice, a zaručena všemi, kteří se zúčastnili. Žádali jsme, aby bylo upraveno právo státní příslušnosti, aby byly stanoveny zásady, podle nichž b</w:t>
      </w:r>
      <w:r>
        <w:t>y se upravily otázky vlastnické mezi oběma státy, i tisíceré vztahy soukromovlastnické i jiné otázky soukromoprávní. Nic z toho Vaše vláda nepřijala. Adolf Hitler nechtěl válku, tomu my dnes věříme;</w:t>
      </w:r>
    </w:p>
    <w:p w:rsidR="00500724" w:rsidRDefault="00F30FB8">
      <w:pPr>
        <w:pStyle w:val="Zkladntext30"/>
        <w:shd w:val="clear" w:color="auto" w:fill="auto"/>
        <w:spacing w:after="0" w:line="240" w:lineRule="auto"/>
        <w:ind w:firstLine="0"/>
        <w:jc w:val="right"/>
      </w:pPr>
      <w:r>
        <w:t>Pravím</w:t>
      </w:r>
    </w:p>
    <w:p w:rsidR="00500724" w:rsidRDefault="00F30FB8">
      <w:pPr>
        <w:pStyle w:val="Zkladntext30"/>
        <w:shd w:val="clear" w:color="auto" w:fill="auto"/>
        <w:spacing w:line="182" w:lineRule="auto"/>
        <w:ind w:firstLine="0"/>
      </w:pPr>
      <w:r>
        <w:t>Vám, že následky toho jsou pro nas nesmírné.</w:t>
      </w:r>
    </w:p>
    <w:p w:rsidR="00500724" w:rsidRDefault="00F30FB8">
      <w:pPr>
        <w:pStyle w:val="Zkladntext30"/>
        <w:shd w:val="clear" w:color="auto" w:fill="auto"/>
        <w:spacing w:after="0" w:line="202" w:lineRule="auto"/>
        <w:ind w:firstLine="0"/>
        <w:jc w:val="right"/>
      </w:pPr>
      <w:r>
        <w:t>Tento</w:t>
      </w:r>
      <w:r>
        <w:t xml:space="preserve"> stav věci mne opravňuje říci, že Vaše země</w:t>
      </w:r>
    </w:p>
    <w:p w:rsidR="00500724" w:rsidRDefault="00F30FB8">
      <w:pPr>
        <w:pStyle w:val="Zkladntext30"/>
        <w:shd w:val="clear" w:color="auto" w:fill="auto"/>
        <w:spacing w:after="120" w:line="202" w:lineRule="auto"/>
        <w:ind w:firstLine="0"/>
      </w:pPr>
      <w:r>
        <w:t>jest nám ještě něčím povinna. Dovolte mi ještě jedno odbočeni. Snesl jsem anglickou politiku a francouz</w:t>
      </w:r>
      <w:r>
        <w:softHyphen/>
        <w:t>skou slabost; snesl jsem schůzi kabinetu, v níž jsem odevzdal svůj hlas pro kapitulaci; snesl jsem nástup Po</w:t>
      </w:r>
      <w:r>
        <w:t>lsky (která prožila své trojí dělení a nevzala si na</w:t>
      </w:r>
      <w:r>
        <w:softHyphen/>
        <w:t>učení!) i nástup Maďarska; a po všech těchto ranách jsem se nezhroutil — neměl jsem k tomu právo, byl jsem povinen vytrvat až do poslední chvíle. Ale když jsem jednoho dne ráno četl zprávu, že v Londý</w:t>
      </w:r>
      <w:r>
        <w:softHyphen/>
        <w:t>ně</w:t>
      </w:r>
      <w:r>
        <w:t xml:space="preserve"> pro nás pořádají veřejné sbírky, selhala moje síla a zachvátila mne křeč pláče. Já vím, milý příteli, že to bylo dobře myšleno a že nám tím chtěla Anglie osvěd</w:t>
      </w:r>
      <w:r>
        <w:softHyphen/>
        <w:t>čili svou sympatii. Lady, která obětovala ve prospěch sbírky rodinné náčiní čajové, jest dojist</w:t>
      </w:r>
      <w:r>
        <w:t>a žena ušlech</w:t>
      </w:r>
      <w:r>
        <w:softHyphen/>
        <w:t>tilá. Ale strašně to bolelo.</w:t>
      </w:r>
    </w:p>
    <w:p w:rsidR="00500724" w:rsidRDefault="00F30FB8">
      <w:pPr>
        <w:pStyle w:val="Zkladntext30"/>
        <w:shd w:val="clear" w:color="auto" w:fill="auto"/>
        <w:spacing w:after="80" w:line="204" w:lineRule="auto"/>
        <w:ind w:firstLine="0"/>
        <w:jc w:val="center"/>
      </w:pPr>
      <w:r>
        <w:t>•</w:t>
      </w:r>
    </w:p>
    <w:p w:rsidR="00500724" w:rsidRDefault="00F30FB8">
      <w:pPr>
        <w:pStyle w:val="Zkladntext30"/>
        <w:shd w:val="clear" w:color="auto" w:fill="auto"/>
        <w:spacing w:after="0" w:line="204" w:lineRule="auto"/>
        <w:ind w:firstLine="240"/>
      </w:pPr>
      <w:r>
        <w:t>Co tedy žádáme od Vás, od Vaší mocné země?</w:t>
      </w:r>
    </w:p>
    <w:p w:rsidR="00500724" w:rsidRDefault="00F30FB8">
      <w:pPr>
        <w:pStyle w:val="Zkladntext30"/>
        <w:shd w:val="clear" w:color="auto" w:fill="auto"/>
        <w:spacing w:after="0" w:line="221" w:lineRule="auto"/>
        <w:ind w:firstLine="240"/>
      </w:pPr>
      <w:r>
        <w:t>Žádáme, aby byly splněny sliby učiněné. Naše hra</w:t>
      </w:r>
      <w:r>
        <w:softHyphen/>
        <w:t>nice není dosud stanovena a garantována. Týká se tato věc také Velké Britanie?</w:t>
      </w:r>
    </w:p>
    <w:p w:rsidR="00500724" w:rsidRDefault="00F30FB8">
      <w:pPr>
        <w:pStyle w:val="Zkladntext30"/>
        <w:shd w:val="clear" w:color="auto" w:fill="auto"/>
        <w:spacing w:after="0" w:line="221" w:lineRule="auto"/>
        <w:ind w:firstLine="240"/>
      </w:pPr>
      <w:r>
        <w:t xml:space="preserve">Chceme žiti v úplné a Evropou zaručené </w:t>
      </w:r>
      <w:r>
        <w:t>neutralitě. Nespekulujeme s válkou, a dojde-li k ní přece, touží</w:t>
      </w:r>
      <w:r>
        <w:softHyphen/>
        <w:t>me, abychom s ní nepřišli do styku.</w:t>
      </w:r>
    </w:p>
    <w:p w:rsidR="00500724" w:rsidRDefault="00F30FB8">
      <w:pPr>
        <w:pStyle w:val="Zkladntext30"/>
        <w:shd w:val="clear" w:color="auto" w:fill="auto"/>
        <w:spacing w:after="0" w:line="221" w:lineRule="auto"/>
        <w:ind w:firstLine="240"/>
      </w:pPr>
      <w:r>
        <w:t>Chceme si zachovati přátelství Velké Britanie, ne</w:t>
      </w:r>
      <w:r>
        <w:softHyphen/>
        <w:t>slibujíce již oběť krve, která byla loni odmítnuta. Vzá</w:t>
      </w:r>
      <w:r>
        <w:softHyphen/>
        <w:t>jemné styky hospodářské a kulturní, to jest asi v</w:t>
      </w:r>
      <w:r>
        <w:t>še, co můžeme nabídnout i splnit, a o co Vás prosíme. Milý příteli, vykonáte dosti, budete-li v tomto směru s námi sympatisovat.</w:t>
      </w:r>
    </w:p>
    <w:p w:rsidR="00500724" w:rsidRDefault="00F30FB8">
      <w:pPr>
        <w:pStyle w:val="Zkladntext30"/>
        <w:shd w:val="clear" w:color="auto" w:fill="auto"/>
        <w:spacing w:after="0" w:line="221" w:lineRule="auto"/>
        <w:ind w:firstLine="240"/>
      </w:pPr>
      <w:r>
        <w:t>Vy ovšem máte řadu pochybností, ne-li výtek, co se týče nynějšího stavu věcí u nás. Soudím, že většina z nich plyne z neúplné i</w:t>
      </w:r>
      <w:r>
        <w:t>nformace. Dovolte mi, abych se jimi stručně obíral.</w:t>
      </w:r>
    </w:p>
    <w:p w:rsidR="00500724" w:rsidRDefault="00F30FB8">
      <w:pPr>
        <w:pStyle w:val="Zkladntext30"/>
        <w:shd w:val="clear" w:color="auto" w:fill="auto"/>
        <w:spacing w:after="0" w:line="204" w:lineRule="auto"/>
        <w:ind w:firstLine="240"/>
      </w:pPr>
      <w:r>
        <w:t>Snad Vám můj list připadá jako elegie. Nuže, poli</w:t>
      </w:r>
      <w:r>
        <w:softHyphen/>
        <w:t xml:space="preserve">tické raporty jsem Vám posílal v srpnu a počátkem září. Moje zprávy byly přesné, a když je dnes znovu pročítám, vidím, že správně prorokovaly budoucnost. </w:t>
      </w:r>
      <w:r>
        <w:t>Vylíčil jsem, co znamená branná moc ČSR pro zá</w:t>
      </w:r>
      <w:r>
        <w:softHyphen/>
        <w:t>padní svět i pro Německo, co znamená ČSR jako brá</w:t>
      </w:r>
      <w:r>
        <w:softHyphen/>
        <w:t>na k jihovýchodní a východní Evropě, co znamená československá obilnice, zbrojní průmysl a dopravní siť. Napsal jsem Vám, co po kapitulaci by znamenalo Česko-S</w:t>
      </w:r>
      <w:r>
        <w:t>lovensko pro politiku berlínsko-římské osy. Dával jste mi za pravdu, ale nemohl jste změniti po</w:t>
      </w:r>
      <w:r>
        <w:softHyphen/>
        <w:t>litiku své vlády. Nyní se dostavilo vše, čeho jsme se obávali. Povězte mi, prosím, co můžeme dělat jiného, než děláme?</w:t>
      </w:r>
    </w:p>
    <w:p w:rsidR="00500724" w:rsidRDefault="00F30FB8">
      <w:pPr>
        <w:pStyle w:val="Zkladntext30"/>
        <w:shd w:val="clear" w:color="auto" w:fill="auto"/>
        <w:spacing w:after="0" w:line="204" w:lineRule="auto"/>
        <w:ind w:firstLine="240"/>
      </w:pPr>
      <w:r>
        <w:t xml:space="preserve">V kruzích </w:t>
      </w:r>
      <w:r>
        <w:rPr>
          <w:lang w:val="en-US" w:eastAsia="en-US" w:bidi="en-US"/>
        </w:rPr>
        <w:t xml:space="preserve">labour </w:t>
      </w:r>
      <w:r>
        <w:t>rozšířeny jsou nesprávné</w:t>
      </w:r>
      <w:r>
        <w:t xml:space="preserve"> názory o pražské vládě. Prosím, abyste přijal moje ujištění, že v naší vládě zasedají živly čestné. Není pravda, že vládnou terorem. Svoboda slova je u nás ovšem pod</w:t>
      </w:r>
      <w:r>
        <w:softHyphen/>
        <w:t>vázána, je to dočasné opatření a je nezbytné. Vláda má plné moci, ale ani jednou jich nez</w:t>
      </w:r>
      <w:r>
        <w:t>neužila. Není žádných tajných smluv. Není žádných koncentračních táborů — slovenská vláda je zřídila na papíře, teo</w:t>
      </w:r>
      <w:r>
        <w:softHyphen/>
        <w:t>reticky, ale žádné nejsou ve skutečnosti. Živly demo</w:t>
      </w:r>
      <w:r>
        <w:softHyphen/>
        <w:t>kratické nejsou v Čechách pronásledovány. Není u nás žádného antisemitismu, který by mě</w:t>
      </w:r>
      <w:r>
        <w:t>l kořeny v lidu; rozhodně se v tomto oboru nestalo nic, co by nesneslo evropské kritiky. Beranova vláda si vede až dosud slušně a zasluhuje si podpory. Takový je sku</w:t>
      </w:r>
      <w:r>
        <w:softHyphen/>
        <w:t>tečný stav věcí.</w:t>
      </w:r>
    </w:p>
    <w:p w:rsidR="00500724" w:rsidRDefault="00F30FB8">
      <w:pPr>
        <w:pStyle w:val="Zkladntext30"/>
        <w:shd w:val="clear" w:color="auto" w:fill="auto"/>
        <w:spacing w:after="80" w:line="204" w:lineRule="auto"/>
        <w:ind w:firstLine="240"/>
      </w:pPr>
      <w:r>
        <w:t>Ke konci Vás ubezpečuji,_ že jsme odhodláni všemi silami držet ducha star</w:t>
      </w:r>
      <w:r>
        <w:t>ých Čech, ducha lásky k lidské svobodě a demokracii. Byli jsme a budeme. V našem lidu jest něco nezmarného, silného a věčného. Dávno bychom byli zahynuli, kdyby to v něm nebylo. Chce</w:t>
      </w:r>
      <w:r>
        <w:softHyphen/>
        <w:t>me žiti v přátelství se svými sousedy i s ostatními ná</w:t>
      </w:r>
      <w:r>
        <w:softHyphen/>
        <w:t>rody světa. Pro mn</w:t>
      </w:r>
      <w:r>
        <w:t>e osobně je to nemalá útěcha, když vidím, že Vy na nás myslíte a zůstal jste nám nakloněn. Ještě jednou Vám za to děkuji.</w:t>
      </w:r>
    </w:p>
    <w:p w:rsidR="00500724" w:rsidRDefault="00F30FB8">
      <w:pPr>
        <w:pStyle w:val="Zkladntext30"/>
        <w:shd w:val="clear" w:color="auto" w:fill="auto"/>
        <w:spacing w:after="0" w:line="204" w:lineRule="auto"/>
        <w:ind w:firstLine="0"/>
        <w:jc w:val="center"/>
      </w:pPr>
      <w:r>
        <w:rPr>
          <w:noProof/>
        </w:rPr>
        <mc:AlternateContent>
          <mc:Choice Requires="wps">
            <w:drawing>
              <wp:anchor distT="0" distB="254000" distL="114300" distR="114300" simplePos="0" relativeHeight="125829484" behindDoc="0" locked="0" layoutInCell="1" allowOverlap="1">
                <wp:simplePos x="0" y="0"/>
                <wp:positionH relativeFrom="page">
                  <wp:posOffset>6272530</wp:posOffset>
                </wp:positionH>
                <wp:positionV relativeFrom="margin">
                  <wp:posOffset>9033510</wp:posOffset>
                </wp:positionV>
                <wp:extent cx="682625" cy="164465"/>
                <wp:effectExtent l="0" t="0" r="0" b="0"/>
                <wp:wrapSquare wrapText="left"/>
                <wp:docPr id="107" name="Shape 107"/>
                <wp:cNvGraphicFramePr/>
                <a:graphic xmlns:a="http://schemas.openxmlformats.org/drawingml/2006/main">
                  <a:graphicData uri="http://schemas.microsoft.com/office/word/2010/wordprocessingShape">
                    <wps:wsp>
                      <wps:cNvSpPr txBox="1"/>
                      <wps:spPr>
                        <a:xfrm>
                          <a:off x="0" y="0"/>
                          <a:ext cx="682625" cy="164465"/>
                        </a:xfrm>
                        <a:prstGeom prst="rect">
                          <a:avLst/>
                        </a:prstGeom>
                        <a:noFill/>
                      </wps:spPr>
                      <wps:txbx>
                        <w:txbxContent>
                          <w:p w:rsidR="00500724" w:rsidRDefault="00F30FB8">
                            <w:pPr>
                              <w:pStyle w:val="Zkladntext1"/>
                              <w:shd w:val="clear" w:color="auto" w:fill="auto"/>
                              <w:ind w:firstLine="0"/>
                              <w:jc w:val="left"/>
                            </w:pPr>
                            <w:r>
                              <w:rPr>
                                <w:i/>
                                <w:iCs/>
                              </w:rPr>
                              <w:t>R. Bechyni}.</w:t>
                            </w:r>
                          </w:p>
                        </w:txbxContent>
                      </wps:txbx>
                      <wps:bodyPr lIns="0" tIns="0" rIns="0" bIns="0">
                        <a:spAutoFit/>
                      </wps:bodyPr>
                    </wps:wsp>
                  </a:graphicData>
                </a:graphic>
              </wp:anchor>
            </w:drawing>
          </mc:Choice>
          <mc:Fallback>
            <w:pict>
              <v:shape id="_x0000_s1133" type="#_x0000_t202" style="position:absolute;margin-left:493.89999999999998pt;margin-top:711.29999999999995pt;width:53.75pt;height:12.949999999999999pt;z-index:-125829269;mso-wrap-distance-left:9.pt;mso-wrap-distance-right: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R. Bechyni}.</w:t>
                      </w:r>
                    </w:p>
                  </w:txbxContent>
                </v:textbox>
                <w10:wrap type="square" side="left" anchorx="page" anchory="margin"/>
              </v:shape>
            </w:pict>
          </mc:Fallback>
        </mc:AlternateContent>
      </w:r>
      <w:r>
        <w:t>S přátelským pozdravem</w:t>
      </w:r>
      <w:r>
        <w:br w:type="page"/>
      </w:r>
    </w:p>
    <w:p w:rsidR="00500724" w:rsidRDefault="00F30FB8">
      <w:pPr>
        <w:pStyle w:val="Jin0"/>
        <w:shd w:val="clear" w:color="auto" w:fill="auto"/>
        <w:spacing w:after="320"/>
        <w:ind w:firstLine="0"/>
        <w:jc w:val="left"/>
        <w:rPr>
          <w:sz w:val="44"/>
          <w:szCs w:val="44"/>
        </w:rPr>
      </w:pPr>
      <w:r>
        <w:rPr>
          <w:b/>
          <w:bCs/>
          <w:sz w:val="44"/>
          <w:szCs w:val="44"/>
        </w:rPr>
        <w:t>poznámky</w:t>
      </w:r>
    </w:p>
    <w:p w:rsidR="00500724" w:rsidRDefault="00F30FB8">
      <w:pPr>
        <w:pStyle w:val="Zkladntext1"/>
        <w:shd w:val="clear" w:color="auto" w:fill="auto"/>
        <w:spacing w:after="40" w:line="178" w:lineRule="auto"/>
        <w:ind w:firstLine="0"/>
        <w:jc w:val="center"/>
        <w:rPr>
          <w:sz w:val="20"/>
          <w:szCs w:val="20"/>
        </w:rPr>
      </w:pPr>
      <w:r>
        <w:rPr>
          <w:b/>
          <w:bCs/>
          <w:sz w:val="20"/>
          <w:szCs w:val="20"/>
        </w:rPr>
        <w:t>Puntík za pověstmi</w:t>
      </w:r>
    </w:p>
    <w:p w:rsidR="00500724" w:rsidRDefault="00F30FB8">
      <w:pPr>
        <w:pStyle w:val="Zkladntext1"/>
        <w:shd w:val="clear" w:color="auto" w:fill="auto"/>
        <w:spacing w:line="187" w:lineRule="auto"/>
        <w:ind w:firstLine="300"/>
      </w:pPr>
      <w:r>
        <w:rPr>
          <w:b/>
          <w:bCs/>
        </w:rPr>
        <w:t>Ve čtvrtek 2. února vstoupil bývalý president českoslo</w:t>
      </w:r>
      <w:r>
        <w:rPr>
          <w:b/>
          <w:bCs/>
        </w:rPr>
        <w:softHyphen/>
        <w:t xml:space="preserve">venské </w:t>
      </w:r>
      <w:r>
        <w:rPr>
          <w:b/>
          <w:bCs/>
        </w:rPr>
        <w:t>republiky dr. Edvard Beneš v Anglii na Iod’. která ho odvezla do Ameriky. Beneš jede do Chicaga na univer</w:t>
      </w:r>
      <w:r>
        <w:rPr>
          <w:b/>
          <w:bCs/>
        </w:rPr>
        <w:softHyphen/>
        <w:t>situ, která mu nabídla profesorské místo; bude přednášet sociologii a věnuje se vědecké práci. Několik dní před svým odjezdem řekl redaktoru anglickéh</w:t>
      </w:r>
      <w:r>
        <w:rPr>
          <w:b/>
          <w:bCs/>
        </w:rPr>
        <w:t xml:space="preserve">o listu </w:t>
      </w:r>
      <w:r>
        <w:rPr>
          <w:b/>
          <w:bCs/>
          <w:lang w:val="en-US" w:eastAsia="en-US" w:bidi="en-US"/>
        </w:rPr>
        <w:t xml:space="preserve">Sunday </w:t>
      </w:r>
      <w:r>
        <w:rPr>
          <w:b/>
          <w:bCs/>
        </w:rPr>
        <w:t>Keferee: »S politikou nemám už co dělat, naprosto a definitivně jsem jí zanechal.«</w:t>
      </w:r>
    </w:p>
    <w:p w:rsidR="00500724" w:rsidRDefault="00F30FB8">
      <w:pPr>
        <w:pStyle w:val="Zkladntext1"/>
        <w:shd w:val="clear" w:color="auto" w:fill="auto"/>
        <w:spacing w:line="187" w:lineRule="auto"/>
        <w:ind w:firstLine="300"/>
      </w:pPr>
      <w:r>
        <w:rPr>
          <w:b/>
          <w:bCs/>
        </w:rPr>
        <w:t>To je zajisté nejautentičtější puntík za rozmanitými po</w:t>
      </w:r>
      <w:r>
        <w:rPr>
          <w:b/>
          <w:bCs/>
        </w:rPr>
        <w:softHyphen/>
        <w:t xml:space="preserve">věstmi, které se jednu dobu o činnosti dr. Beneše šířily. Jednou bylo slyšet, že je v Hušku a že </w:t>
      </w:r>
      <w:r>
        <w:rPr>
          <w:b/>
          <w:bCs/>
        </w:rPr>
        <w:t>odtamtud mluví do radia, po druhé zase, že se jeho řeči v Londýně nahrávají na desky a vysílají pak z Moskvy. Nic z toho všeho nebyla pravda.</w:t>
      </w:r>
    </w:p>
    <w:p w:rsidR="00500724" w:rsidRDefault="00F30FB8">
      <w:pPr>
        <w:pStyle w:val="Zkladntext1"/>
        <w:shd w:val="clear" w:color="auto" w:fill="auto"/>
        <w:spacing w:line="187" w:lineRule="auto"/>
        <w:ind w:firstLine="300"/>
      </w:pPr>
      <w:r>
        <w:rPr>
          <w:b/>
          <w:bCs/>
        </w:rPr>
        <w:t>Zprávy, pokud o něm z Londýna došly, vesměs potvrzo</w:t>
      </w:r>
      <w:r>
        <w:rPr>
          <w:b/>
          <w:bCs/>
        </w:rPr>
        <w:softHyphen/>
        <w:t>valy, že se z Londýna nevzdálil, že žije v ústraní a že se při</w:t>
      </w:r>
      <w:r>
        <w:rPr>
          <w:b/>
          <w:bCs/>
        </w:rPr>
        <w:t>pravuje na universitní činnost v Americe. Když se vzdá</w:t>
      </w:r>
      <w:r>
        <w:rPr>
          <w:b/>
          <w:bCs/>
        </w:rPr>
        <w:softHyphen/>
        <w:t>val presideníské hodnosti, řekl v projevu na rozloučenou, že si je vědom svých povinností občana. Potvrdil to svým cho</w:t>
      </w:r>
      <w:r>
        <w:rPr>
          <w:b/>
          <w:bCs/>
        </w:rPr>
        <w:softHyphen/>
        <w:t xml:space="preserve">váním za hranicemi. Ani jedním činem a ani jedním slovem neztížil naší vládě její </w:t>
      </w:r>
      <w:r>
        <w:rPr>
          <w:b/>
          <w:bCs/>
        </w:rPr>
        <w:t>postavení a úkoly. Třebas už se neza</w:t>
      </w:r>
      <w:r>
        <w:rPr>
          <w:b/>
          <w:bCs/>
        </w:rPr>
        <w:softHyphen/>
        <w:t>bývá politikou, je příliš politikem, aby věděl, co mu ny</w:t>
      </w:r>
      <w:r>
        <w:rPr>
          <w:b/>
          <w:bCs/>
        </w:rPr>
        <w:softHyphen/>
        <w:t>nější situace ukládá.</w:t>
      </w:r>
    </w:p>
    <w:p w:rsidR="00500724" w:rsidRDefault="00F30FB8">
      <w:pPr>
        <w:pStyle w:val="Zkladntext1"/>
        <w:shd w:val="clear" w:color="auto" w:fill="auto"/>
        <w:tabs>
          <w:tab w:val="left" w:pos="4555"/>
        </w:tabs>
        <w:spacing w:after="120" w:line="187" w:lineRule="auto"/>
        <w:ind w:firstLine="300"/>
      </w:pPr>
      <w:r>
        <w:rPr>
          <w:b/>
          <w:bCs/>
        </w:rPr>
        <w:t>Jiná otázka však byla, zdali neztížil vládě postaveni určitý tisk, který měl s Benešem nevyřízené účty a který se domníval, že podzim 1938 j</w:t>
      </w:r>
      <w:r>
        <w:rPr>
          <w:b/>
          <w:bCs/>
        </w:rPr>
        <w:t>e zvláště vhodná doba, aby si je s ním vyřídil. Z vnitropolitických důvodů se zabýval Bene</w:t>
      </w:r>
      <w:r>
        <w:rPr>
          <w:b/>
          <w:bCs/>
        </w:rPr>
        <w:softHyphen/>
        <w:t>šem tolik a nadouval každou pověst a pomluvu tolik, že mohl za hranicemi, kde se, jak víme, náš tisk nesmírně po</w:t>
      </w:r>
      <w:r>
        <w:rPr>
          <w:b/>
          <w:bCs/>
        </w:rPr>
        <w:softHyphen/>
        <w:t>zorně ěte, vzbudit dojem, jako by u nás existovala j</w:t>
      </w:r>
      <w:r>
        <w:rPr>
          <w:b/>
          <w:bCs/>
        </w:rPr>
        <w:t>eště jakási benešovská otázka. Můžeme si snadno představil, co by se dělo, kdyby se tam ustálilo mínění, že tomu tak oprav</w:t>
      </w:r>
      <w:r>
        <w:rPr>
          <w:b/>
          <w:bCs/>
        </w:rPr>
        <w:softHyphen/>
        <w:t>du jest. Důsledky by neodnesl dr. Beneš, který je daleko, nýbrž náš stát, který zůstal tam, kde býval. Tohle pochopit je tak na dosah</w:t>
      </w:r>
      <w:r>
        <w:rPr>
          <w:b/>
          <w:bCs/>
        </w:rPr>
        <w:t xml:space="preserve"> každé soudnosti, že u toho, kdo se podle toho nezařizuje, je těžko nalézt motiv.</w:t>
      </w:r>
      <w:r>
        <w:rPr>
          <w:b/>
          <w:bCs/>
        </w:rPr>
        <w:tab/>
        <w:t>Z. S.</w:t>
      </w:r>
    </w:p>
    <w:p w:rsidR="00500724" w:rsidRDefault="00F30FB8">
      <w:pPr>
        <w:pStyle w:val="Zkladntext1"/>
        <w:shd w:val="clear" w:color="auto" w:fill="auto"/>
        <w:spacing w:after="40" w:line="178" w:lineRule="auto"/>
        <w:ind w:firstLine="0"/>
        <w:jc w:val="center"/>
        <w:rPr>
          <w:sz w:val="20"/>
          <w:szCs w:val="20"/>
        </w:rPr>
      </w:pPr>
      <w:r>
        <w:rPr>
          <w:b/>
          <w:bCs/>
          <w:sz w:val="20"/>
          <w:szCs w:val="20"/>
        </w:rPr>
        <w:t>Hospodářská rada z osobního pohledu</w:t>
      </w:r>
    </w:p>
    <w:p w:rsidR="00500724" w:rsidRDefault="00F30FB8">
      <w:pPr>
        <w:pStyle w:val="Zkladntext1"/>
        <w:shd w:val="clear" w:color="auto" w:fill="auto"/>
        <w:spacing w:after="100" w:line="187" w:lineRule="auto"/>
        <w:ind w:firstLine="300"/>
      </w:pPr>
      <w:r>
        <w:rPr>
          <w:b/>
          <w:bCs/>
        </w:rPr>
        <w:t>O významu státní hospodářské rady, kterou vláda právě ustavila, nelze pochybovat, ačkoli její poslání plně vynikne teprve za nějakou</w:t>
      </w:r>
      <w:r>
        <w:rPr>
          <w:b/>
          <w:bCs/>
        </w:rPr>
        <w:t xml:space="preserve"> dobu. Bylo by tedy předčasné mluviti už teď o hospodářských pracích nového sboru a zkoumati jeho záměry. Veřejnost zajímá především osobní složení rady, které je vskutku zvláštní a pro nový vývoj poměrů příznač</w:t>
      </w:r>
      <w:r>
        <w:rPr>
          <w:b/>
          <w:bCs/>
        </w:rPr>
        <w:softHyphen/>
        <w:t>né. Oěekával-li někdo, že v této instituci b</w:t>
      </w:r>
      <w:r>
        <w:rPr>
          <w:b/>
          <w:bCs/>
        </w:rPr>
        <w:t>udou jenom hospo</w:t>
      </w:r>
      <w:r>
        <w:rPr>
          <w:b/>
          <w:bCs/>
        </w:rPr>
        <w:softHyphen/>
        <w:t>dářští zástupci a důvěrníci vládnoucí strany Národní jed</w:t>
      </w:r>
      <w:r>
        <w:rPr>
          <w:b/>
          <w:bCs/>
        </w:rPr>
        <w:softHyphen/>
        <w:t>noty, poznává, že vláda byla prozíravější. Kromě mužů, kteří patří nesporně k předním funkcionářům strany Národ</w:t>
      </w:r>
      <w:r>
        <w:rPr>
          <w:b/>
          <w:bCs/>
        </w:rPr>
        <w:softHyphen/>
        <w:t>ní jednoty, vidíme v státní hospodářské radě také osobnosti, stojící n</w:t>
      </w:r>
      <w:r>
        <w:rPr>
          <w:b/>
          <w:bCs/>
        </w:rPr>
        <w:t>a vedoucích místech Národní strany práce. Je mezí nimi na příklad profesor dr. Macek, předseda národohospo</w:t>
      </w:r>
      <w:r>
        <w:rPr>
          <w:b/>
          <w:bCs/>
        </w:rPr>
        <w:softHyphen/>
        <w:t>dářské komise Národní strany práce. Už to je důkaz, že vláda nechtěla ochudit hospodářskou radu o spolupráci osob</w:t>
      </w:r>
      <w:r>
        <w:rPr>
          <w:b/>
          <w:bCs/>
        </w:rPr>
        <w:softHyphen/>
        <w:t>ností z druhé strany; nechtěla je t</w:t>
      </w:r>
      <w:r>
        <w:rPr>
          <w:b/>
          <w:bCs/>
        </w:rPr>
        <w:t>aké v zájmu společné věcí vyloučit z kladné, třebas i někdy kritické účasti při řešení hospodářských a sociálních otázek, které jsou stále naléha</w:t>
      </w:r>
      <w:r>
        <w:rPr>
          <w:b/>
          <w:bCs/>
        </w:rPr>
        <w:softHyphen/>
        <w:t>vější. Je to jistě dobré a uklidňující znamení hlavně proto, že naznačuje nový poměr k společným věcem. Můžeme</w:t>
      </w:r>
      <w:r>
        <w:rPr>
          <w:b/>
          <w:bCs/>
        </w:rPr>
        <w:t xml:space="preserve"> v tom spatřovati také důkaz, že mezi oběma politickými stranami, které se u nás po Mnichovu utvořily, nevládne poměr ohně a vody. V rozhodujících otázkách může vláda počítat také s porozuměním a podporou druhé — nikoli jen oposiční — strany, zato však nem</w:t>
      </w:r>
      <w:r>
        <w:rPr>
          <w:b/>
          <w:bCs/>
        </w:rPr>
        <w:t>usi ani druhá strana jisti pouze suchý a tvrdý oposiční chléb. Ve vývoji našich poli</w:t>
      </w:r>
      <w:r>
        <w:rPr>
          <w:b/>
          <w:bCs/>
        </w:rPr>
        <w:softHyphen/>
        <w:t>tických poměrů je to bezpochyby podstatná změna, kterou si mnozí lidé dosud ani neuvědomili. Potrvá asi delší dobu, než se tento nový poměr vyzkouší a vžije; ještě víc vod</w:t>
      </w:r>
      <w:r>
        <w:rPr>
          <w:b/>
          <w:bCs/>
        </w:rPr>
        <w:t>y uplyne, než si najde cestu k vědomí lidí, ale začátek je zřej</w:t>
      </w:r>
      <w:r>
        <w:rPr>
          <w:b/>
          <w:bCs/>
        </w:rPr>
        <w:softHyphen/>
        <w:t xml:space="preserve">mý. Neni snad třeba rozvádět, co to znamená pro vnitřní pružnost našeho veřejného života. A není třeba dokazovat, Jak to odpovídá tradici a potřebám českého vývoje. </w:t>
      </w:r>
      <w:r>
        <w:rPr>
          <w:b/>
          <w:bCs/>
          <w:i/>
          <w:iCs/>
        </w:rPr>
        <w:t>K. S.</w:t>
      </w:r>
    </w:p>
    <w:p w:rsidR="00500724" w:rsidRDefault="00F30FB8">
      <w:pPr>
        <w:pStyle w:val="Zkladntext1"/>
        <w:shd w:val="clear" w:color="auto" w:fill="auto"/>
        <w:spacing w:after="40" w:line="178" w:lineRule="auto"/>
        <w:ind w:firstLine="0"/>
        <w:jc w:val="center"/>
        <w:rPr>
          <w:sz w:val="20"/>
          <w:szCs w:val="20"/>
        </w:rPr>
      </w:pPr>
      <w:r>
        <w:rPr>
          <w:b/>
          <w:bCs/>
          <w:sz w:val="20"/>
          <w:szCs w:val="20"/>
        </w:rPr>
        <w:t xml:space="preserve">Censura dobrovolná a </w:t>
      </w:r>
      <w:r>
        <w:rPr>
          <w:b/>
          <w:bCs/>
          <w:sz w:val="20"/>
          <w:szCs w:val="20"/>
        </w:rPr>
        <w:t>nedobrovolná</w:t>
      </w:r>
    </w:p>
    <w:p w:rsidR="00500724" w:rsidRDefault="00F30FB8">
      <w:pPr>
        <w:pStyle w:val="Zkladntext1"/>
        <w:shd w:val="clear" w:color="auto" w:fill="auto"/>
        <w:spacing w:after="40" w:line="190" w:lineRule="auto"/>
        <w:ind w:firstLine="0"/>
      </w:pPr>
      <w:r>
        <w:rPr>
          <w:b/>
          <w:bCs/>
        </w:rPr>
        <w:t>Čtenáři novin dobře vědí, že je dnes předběžná tisková censura a že v každé redakci sedí státní úředník, který roz</w:t>
      </w:r>
      <w:r>
        <w:rPr>
          <w:b/>
          <w:bCs/>
        </w:rPr>
        <w:softHyphen/>
        <w:t>horluje o tom, co vyjít smí a co nesmí. Přes to nemyslím, že tito úředníci mají ve vážných novinách mnoho práce — totiž s vlastn</w:t>
      </w:r>
      <w:r>
        <w:rPr>
          <w:b/>
          <w:bCs/>
        </w:rPr>
        <w:t>ím censurováním, nepočítajíc tu denní hromadu po</w:t>
      </w:r>
      <w:r>
        <w:rPr>
          <w:b/>
          <w:bCs/>
        </w:rPr>
        <w:softHyphen/>
        <w:t>vinné četby. Neboť seriosní novináři, kteří vědí, jak se dnes za hranicemi na český list a jeho úkoly hledí, kteří si uvě</w:t>
      </w:r>
      <w:r>
        <w:rPr>
          <w:b/>
          <w:bCs/>
        </w:rPr>
        <w:softHyphen/>
        <w:t>domují, co a jak je třeba činit, nepřidělávají censorům zby</w:t>
      </w:r>
      <w:r>
        <w:rPr>
          <w:b/>
          <w:bCs/>
        </w:rPr>
        <w:softHyphen/>
        <w:t>tečnou práci, ukládají si</w:t>
      </w:r>
      <w:r>
        <w:rPr>
          <w:b/>
          <w:bCs/>
        </w:rPr>
        <w:t xml:space="preserve"> sami censuru dobrovolnou a píší tak, jak je to za daných poměrů možné. To znamená, že od</w:t>
      </w:r>
      <w:r>
        <w:rPr>
          <w:b/>
          <w:bCs/>
        </w:rPr>
        <w:softHyphen/>
        <w:t>povědnost, kterou s nich vlastně stát zavedením předběžné censury sňal, na sebe zase sami dobrovolně berou. Mohli by to přece dělat také jinak: mohli by psát nazdařbů</w:t>
      </w:r>
      <w:r>
        <w:rPr>
          <w:b/>
          <w:bCs/>
        </w:rPr>
        <w:t>h a svalit všechnu starost na censora, ponechávajíce mu na vůli, aby propustil, co uzná pro státní zájem za únosné. A dalo by se ještě psát dost všelijakých věcí, pro jejichž potlačeni by; i předběžná censura možná těžko sháněla důvody. Ale, jak řečeno, sv</w:t>
      </w:r>
      <w:r>
        <w:rPr>
          <w:b/>
          <w:bCs/>
        </w:rPr>
        <w:t>ědomití novináři to nedělají, poněvadž vědí, že to, co censura propustí, je konec konců v očích domácích a zvláště cizích čtenářů mínění státně povolené, právě proto, že censurou prošlo. Nedělají to, poněvadž myslí na stát a na jeho nesnadné postavení a ne</w:t>
      </w:r>
      <w:r>
        <w:rPr>
          <w:b/>
          <w:bCs/>
        </w:rPr>
        <w:t>chtějí mu v ničem přidělávat obtíží. Vědí, že i z našeho zdánlivě čistě domácího útočení, škorpení a hádání se ledacos vyvozuje — třebas i mylně — co se pak vládě nebo jiným zástupcům státu při určitých příležitostech předkládá a co nebývá vždycky docela p</w:t>
      </w:r>
      <w:r>
        <w:rPr>
          <w:b/>
          <w:bCs/>
        </w:rPr>
        <w:t>říjem- né. Proto se i toho vážní novináři zdržují; ostatně do toho nemají ani chuti. Ale nedělají to, bohužel, novináři všichni, neboť nemají všichni tolik sebekázně a často ani svědomi</w:t>
      </w:r>
      <w:r>
        <w:rPr>
          <w:b/>
          <w:bCs/>
        </w:rPr>
        <w:softHyphen/>
        <w:t>tosti, aby odlišili věc osobní od věci společné anebo soukro</w:t>
      </w:r>
      <w:r>
        <w:rPr>
          <w:b/>
          <w:bCs/>
        </w:rPr>
        <w:softHyphen/>
        <w:t>mou chout</w:t>
      </w:r>
      <w:r>
        <w:rPr>
          <w:b/>
          <w:bCs/>
        </w:rPr>
        <w:t>ku od veřejného zájmu. Bez nejmenších rozpaků využívají toho, že státní censura se dělí s novinářem o odpo</w:t>
      </w:r>
      <w:r>
        <w:rPr>
          <w:b/>
          <w:bCs/>
        </w:rPr>
        <w:softHyphen/>
        <w:t>vědnost a svalují na ni odpovědnost všechnu. Nijak nehle</w:t>
      </w:r>
      <w:r>
        <w:rPr>
          <w:b/>
          <w:bCs/>
        </w:rPr>
        <w:softHyphen/>
        <w:t>dí na to, že jejich podněcování a insinuace se nutně budou za hranicemi považovat za odůvodn</w:t>
      </w:r>
      <w:r>
        <w:rPr>
          <w:b/>
          <w:bCs/>
        </w:rPr>
        <w:t>ěné a potřebné, když byly propuštěny a tím jakoby schváleny státní censurou.</w:t>
      </w:r>
    </w:p>
    <w:p w:rsidR="00500724" w:rsidRDefault="00F30FB8">
      <w:pPr>
        <w:pStyle w:val="Zkladntext1"/>
        <w:shd w:val="clear" w:color="auto" w:fill="auto"/>
        <w:spacing w:after="40" w:line="180" w:lineRule="auto"/>
        <w:ind w:firstLine="0"/>
        <w:jc w:val="right"/>
        <w:rPr>
          <w:sz w:val="20"/>
          <w:szCs w:val="20"/>
        </w:rPr>
      </w:pPr>
      <w:r>
        <w:rPr>
          <w:i/>
          <w:iCs/>
          <w:sz w:val="20"/>
          <w:szCs w:val="20"/>
        </w:rPr>
        <w:t>Z. S.</w:t>
      </w:r>
    </w:p>
    <w:p w:rsidR="00500724" w:rsidRDefault="00F30FB8">
      <w:pPr>
        <w:pStyle w:val="Zkladntext1"/>
        <w:shd w:val="clear" w:color="auto" w:fill="auto"/>
        <w:spacing w:after="40" w:line="180" w:lineRule="auto"/>
        <w:ind w:firstLine="0"/>
        <w:jc w:val="center"/>
        <w:rPr>
          <w:sz w:val="20"/>
          <w:szCs w:val="20"/>
        </w:rPr>
      </w:pPr>
      <w:r>
        <w:rPr>
          <w:b/>
          <w:bCs/>
          <w:sz w:val="20"/>
          <w:szCs w:val="20"/>
        </w:rPr>
        <w:t>Hospodářská stránka Hitlerovy řeči</w:t>
      </w:r>
    </w:p>
    <w:p w:rsidR="00500724" w:rsidRDefault="00F30FB8">
      <w:pPr>
        <w:pStyle w:val="Zkladntext1"/>
        <w:shd w:val="clear" w:color="auto" w:fill="auto"/>
        <w:spacing w:after="40" w:line="187" w:lineRule="auto"/>
        <w:ind w:firstLine="300"/>
      </w:pPr>
      <w:r>
        <w:rPr>
          <w:b/>
          <w:bCs/>
        </w:rPr>
        <w:t>fteč říšskoněmeckého kancléře Adolfa Hitlera se proje</w:t>
      </w:r>
      <w:r>
        <w:rPr>
          <w:b/>
          <w:bCs/>
        </w:rPr>
        <w:softHyphen/>
        <w:t xml:space="preserve">vila na světových bursách v Novém Yorku a speciálně pak v Londýně vzestupem kursů a </w:t>
      </w:r>
      <w:r>
        <w:rPr>
          <w:b/>
          <w:bCs/>
        </w:rPr>
        <w:t>důvěřivějším obchodem. (Za poznámku také stojí, že i na tak zvané »ěerné burse« obcho</w:t>
      </w:r>
      <w:r>
        <w:rPr>
          <w:b/>
          <w:bCs/>
        </w:rPr>
        <w:softHyphen/>
        <w:t>dované ěs. koruny zaznamenaly vzestup kursů ve prospěch naší měny.) Obě věci souvisí s tím, že každý hospodářsky myslící člověk poznal, že především řeě říšskoněmeckého k</w:t>
      </w:r>
      <w:r>
        <w:rPr>
          <w:b/>
          <w:bCs/>
        </w:rPr>
        <w:t>ancléře nezhoršila evropské politické napětí, protože ne</w:t>
      </w:r>
      <w:r>
        <w:rPr>
          <w:b/>
          <w:bCs/>
        </w:rPr>
        <w:softHyphen/>
        <w:t>přinesla nové hrozby ani ostře vyhrocené požadavky a do</w:t>
      </w:r>
      <w:r>
        <w:rPr>
          <w:b/>
          <w:bCs/>
        </w:rPr>
        <w:softHyphen/>
        <w:t>konce již ne požadavky toho druhu, že setrvání na nich by vyvolalo vážné risiko konfliktu. Za druhé, že Hitler sám vyslovil naději na dlouhotrv</w:t>
      </w:r>
      <w:r>
        <w:rPr>
          <w:b/>
          <w:bCs/>
        </w:rPr>
        <w:t>ající mír. Nutno je vžiti za základ rozboru jen to, co řekl, když totiž chceme posuzovat jeho řeč, nikoli, co si myslí, neboť to neznáme.</w:t>
      </w:r>
    </w:p>
    <w:p w:rsidR="00500724" w:rsidRDefault="00F30FB8">
      <w:pPr>
        <w:pStyle w:val="Zkladntext1"/>
        <w:shd w:val="clear" w:color="auto" w:fill="auto"/>
        <w:spacing w:after="40" w:line="190" w:lineRule="auto"/>
        <w:ind w:firstLine="300"/>
      </w:pPr>
      <w:r>
        <w:rPr>
          <w:b/>
          <w:bCs/>
        </w:rPr>
        <w:t>Po prvé za dobu své vlády s velkou energií prohlásil říš</w:t>
      </w:r>
      <w:r>
        <w:rPr>
          <w:b/>
          <w:bCs/>
        </w:rPr>
        <w:softHyphen/>
        <w:t>ský kancléř, že »Německo musí exportovat anebo umřitc a proto</w:t>
      </w:r>
      <w:r>
        <w:rPr>
          <w:b/>
          <w:bCs/>
        </w:rPr>
        <w:t>že ovšem umírat nechce, že žádá spravedlivý pódii na světovém obchodě, tím spíše, že po několik let se tento po</w:t>
      </w:r>
      <w:r>
        <w:rPr>
          <w:b/>
          <w:bCs/>
        </w:rPr>
        <w:softHyphen/>
        <w:t>díl z vlastní vůle Německa zmenšoval. To je ovšem -obrat naprosto zásadní povahy. Jak snad je ještě v paměti někte</w:t>
      </w:r>
      <w:r>
        <w:rPr>
          <w:b/>
          <w:bCs/>
        </w:rPr>
        <w:softHyphen/>
        <w:t xml:space="preserve">rých čtenářů, rozbírali jsme </w:t>
      </w:r>
      <w:r>
        <w:rPr>
          <w:b/>
          <w:bCs/>
        </w:rPr>
        <w:t>zde před několika léty častěji názory národohospodářské skupiny »Die Tat«, která v no</w:t>
      </w:r>
      <w:r>
        <w:rPr>
          <w:b/>
          <w:bCs/>
        </w:rPr>
        <w:softHyphen/>
        <w:t>vém německém režimu hrála významnou úlohu a jejíž do</w:t>
      </w:r>
      <w:r>
        <w:rPr>
          <w:b/>
          <w:bCs/>
        </w:rPr>
        <w:softHyphen/>
        <w:t>poručení a úsudky nebyly bez vlivu na praktickou hospo</w:t>
      </w:r>
      <w:r>
        <w:rPr>
          <w:b/>
          <w:bCs/>
        </w:rPr>
        <w:softHyphen/>
        <w:t xml:space="preserve">dářskou politiku Německa. Ferdinand </w:t>
      </w:r>
      <w:r>
        <w:rPr>
          <w:b/>
          <w:bCs/>
          <w:lang w:val="en-US" w:eastAsia="en-US" w:bidi="en-US"/>
        </w:rPr>
        <w:t xml:space="preserve">Fried </w:t>
      </w:r>
      <w:r>
        <w:rPr>
          <w:b/>
          <w:bCs/>
        </w:rPr>
        <w:t>a jeho kniha o hospo</w:t>
      </w:r>
      <w:r>
        <w:rPr>
          <w:b/>
          <w:bCs/>
        </w:rPr>
        <w:t xml:space="preserve">dářské samostatnosti Německa, »Die </w:t>
      </w:r>
      <w:r>
        <w:rPr>
          <w:b/>
          <w:bCs/>
          <w:lang w:val="en-US" w:eastAsia="en-US" w:bidi="en-US"/>
        </w:rPr>
        <w:t xml:space="preserve">Autarkies, </w:t>
      </w:r>
      <w:r>
        <w:rPr>
          <w:b/>
          <w:bCs/>
        </w:rPr>
        <w:t>je toho nejlepším dokladem, srovnáme-li totiž její návrhy s tím, co německá vláda dělala. Tito národohospodáři navrho</w:t>
      </w:r>
      <w:r>
        <w:rPr>
          <w:b/>
          <w:bCs/>
        </w:rPr>
        <w:softHyphen/>
        <w:t>vali ve smyslu již sto let staré doktríny německého národo</w:t>
      </w:r>
      <w:r>
        <w:rPr>
          <w:b/>
          <w:bCs/>
        </w:rPr>
        <w:softHyphen/>
        <w:t>hospodáře Lišta, ovšem přizpůsobe</w:t>
      </w:r>
      <w:r>
        <w:rPr>
          <w:b/>
          <w:bCs/>
        </w:rPr>
        <w:t>né německému režimu současné doby, aby Německo nejenom omezovalo podstatně dovoz, ale dokonce i plánovitě omezovalo vývoz. To se sku</w:t>
      </w:r>
      <w:r>
        <w:rPr>
          <w:b/>
          <w:bCs/>
        </w:rPr>
        <w:softHyphen/>
        <w:t>tečně dělo, i když ne ve všech směrech friedovské teorie.</w:t>
      </w:r>
    </w:p>
    <w:p w:rsidR="00500724" w:rsidRDefault="00F30FB8">
      <w:pPr>
        <w:pStyle w:val="Zkladntext1"/>
        <w:shd w:val="clear" w:color="auto" w:fill="auto"/>
        <w:spacing w:line="190" w:lineRule="auto"/>
        <w:ind w:firstLine="200"/>
        <w:sectPr w:rsidR="00500724">
          <w:footnotePr>
            <w:numFmt w:val="chicago"/>
            <w:numRestart w:val="eachPage"/>
          </w:footnotePr>
          <w:type w:val="continuous"/>
          <w:pgSz w:w="11909" w:h="16834"/>
          <w:pgMar w:top="1589" w:right="949" w:bottom="1109" w:left="644" w:header="0" w:footer="3" w:gutter="0"/>
          <w:cols w:num="2" w:space="153"/>
          <w:noEndnote/>
          <w:docGrid w:linePitch="360"/>
        </w:sectPr>
      </w:pPr>
      <w:r>
        <w:rPr>
          <w:b/>
          <w:bCs/>
        </w:rPr>
        <w:t>Hitler tentokrát neváhal výslovně p</w:t>
      </w:r>
      <w:r>
        <w:rPr>
          <w:b/>
          <w:bCs/>
        </w:rPr>
        <w:t>řiznat, že Německo má vážné hospodářské obtíže a prohlásil, že se z nich Německo musí dostat. Cestou k tomu je podle jeho projevu rozšířeni německého podílu na světovém obchodu a získání koloniální říše. Ale co je důležité v tomto směru právě s hlediska po</w:t>
      </w:r>
      <w:r>
        <w:rPr>
          <w:b/>
          <w:bCs/>
        </w:rPr>
        <w:t>li</w:t>
      </w:r>
      <w:r>
        <w:rPr>
          <w:b/>
          <w:bCs/>
        </w:rPr>
        <w:softHyphen/>
        <w:t>tického, jak to alespoň podle anglického tisku posuzovali na londýnské burse, je výslovné prohlášení říšského kancléře, že je přesvědčen, že k válce pro tyto věci nedojde. Proto ani rozšiřování německého zahraničního obchodu zvýšeným exportem i importem</w:t>
      </w:r>
      <w:r>
        <w:rPr>
          <w:b/>
          <w:bCs/>
        </w:rPr>
        <w:t xml:space="preserve"> a opatřeni kolonií pro Německo, ač jde o věci podstatné, nevyvolaly v anglosaském světě zne</w:t>
      </w:r>
      <w:r>
        <w:rPr>
          <w:b/>
          <w:bCs/>
        </w:rPr>
        <w:softHyphen/>
      </w:r>
    </w:p>
    <w:p w:rsidR="00500724" w:rsidRDefault="00500724">
      <w:pPr>
        <w:spacing w:line="167" w:lineRule="exact"/>
        <w:rPr>
          <w:sz w:val="13"/>
          <w:szCs w:val="13"/>
        </w:rPr>
      </w:pPr>
    </w:p>
    <w:p w:rsidR="00500724" w:rsidRDefault="00500724">
      <w:pPr>
        <w:spacing w:line="14" w:lineRule="exact"/>
        <w:sectPr w:rsidR="00500724">
          <w:footnotePr>
            <w:numFmt w:val="chicago"/>
            <w:numRestart w:val="eachPage"/>
          </w:footnotePr>
          <w:pgSz w:w="11909" w:h="16834"/>
          <w:pgMar w:top="1774" w:right="0" w:bottom="493" w:left="0" w:header="0" w:footer="3" w:gutter="0"/>
          <w:cols w:space="720"/>
          <w:noEndnote/>
          <w:docGrid w:linePitch="360"/>
        </w:sectPr>
      </w:pPr>
    </w:p>
    <w:p w:rsidR="00500724" w:rsidRDefault="00F30FB8">
      <w:pPr>
        <w:spacing w:line="14" w:lineRule="exact"/>
      </w:pPr>
      <w:r>
        <w:rPr>
          <w:noProof/>
        </w:rPr>
        <mc:AlternateContent>
          <mc:Choice Requires="wps">
            <w:drawing>
              <wp:anchor distT="50800" distB="254000" distL="114300" distR="114300" simplePos="0" relativeHeight="125829486" behindDoc="0" locked="0" layoutInCell="1" allowOverlap="1">
                <wp:simplePos x="0" y="0"/>
                <wp:positionH relativeFrom="page">
                  <wp:posOffset>381635</wp:posOffset>
                </wp:positionH>
                <wp:positionV relativeFrom="paragraph">
                  <wp:posOffset>9079865</wp:posOffset>
                </wp:positionV>
                <wp:extent cx="155575" cy="170815"/>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155575" cy="170815"/>
                        </a:xfrm>
                        <a:prstGeom prst="rect">
                          <a:avLst/>
                        </a:prstGeom>
                        <a:noFill/>
                      </wps:spPr>
                      <wps:txbx>
                        <w:txbxContent>
                          <w:p w:rsidR="00500724" w:rsidRDefault="00F30FB8">
                            <w:pPr>
                              <w:pStyle w:val="Zkladntext1"/>
                              <w:shd w:val="clear" w:color="auto" w:fill="auto"/>
                              <w:ind w:firstLine="0"/>
                              <w:jc w:val="left"/>
                              <w:rPr>
                                <w:sz w:val="20"/>
                                <w:szCs w:val="20"/>
                              </w:rPr>
                            </w:pPr>
                            <w:r>
                              <w:rPr>
                                <w:i/>
                                <w:iCs/>
                                <w:sz w:val="20"/>
                                <w:szCs w:val="20"/>
                              </w:rPr>
                              <w:t>S4</w:t>
                            </w:r>
                          </w:p>
                        </w:txbxContent>
                      </wps:txbx>
                      <wps:bodyPr lIns="0" tIns="0" rIns="0" bIns="0">
                        <a:spAutoFit/>
                      </wps:bodyPr>
                    </wps:wsp>
                  </a:graphicData>
                </a:graphic>
              </wp:anchor>
            </w:drawing>
          </mc:Choice>
          <mc:Fallback>
            <w:pict>
              <v:shape id="_x0000_s1135" type="#_x0000_t202" style="position:absolute;margin-left:30.050000000000001pt;margin-top:714.95000000000005pt;width:12.25pt;height:13.449999999999999pt;z-index:-125829267;mso-wrap-distance-left:9.pt;mso-wrap-distance-top:4.pt;mso-wrap-distance-right:9.pt;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S4</w:t>
                      </w:r>
                    </w:p>
                  </w:txbxContent>
                </v:textbox>
                <w10:wrap type="topAndBottom" anchorx="page"/>
              </v:shape>
            </w:pict>
          </mc:Fallback>
        </mc:AlternateContent>
      </w:r>
    </w:p>
    <w:p w:rsidR="00500724" w:rsidRDefault="00F30FB8">
      <w:pPr>
        <w:pStyle w:val="Zkladntext1"/>
        <w:shd w:val="clear" w:color="auto" w:fill="auto"/>
        <w:spacing w:line="190" w:lineRule="auto"/>
        <w:ind w:firstLine="0"/>
      </w:pPr>
      <w:r>
        <w:rPr>
          <w:b/>
          <w:bCs/>
        </w:rPr>
        <w:t xml:space="preserve">pokojení, naopak, nastalo jisté uklidnění. Uvažuje se totiž asi tak, že zvýšením rozsahu německého podílu na světovém obchodu </w:t>
      </w:r>
      <w:r>
        <w:rPr>
          <w:b/>
          <w:bCs/>
        </w:rPr>
        <w:t>se zvýší blahobyt v Německu a tím také Německo se stane klidnější a spokojenější zemí. Dokonce se uznává, že Německo má v jistém smyslu přirozené právo žádat nové rozdělení koloniálního bohatství, třebas se ovšem nemluví o tom, kdo tyto kolonie poskytne. O</w:t>
      </w:r>
      <w:r>
        <w:rPr>
          <w:b/>
          <w:bCs/>
        </w:rPr>
        <w:t>statně je v tom kus spravedlnosti a s ěesko-slovenského hlediska máme i my velký zájem na tom, aby se Německu vedlo lépe, protože je vždy dobře míti zámožného souseda, se kterým obchodní styku jsou pak vzájemně prospěšné, než stát s hospodářský</w:t>
      </w:r>
      <w:r>
        <w:rPr>
          <w:b/>
          <w:bCs/>
        </w:rPr>
        <w:softHyphen/>
        <w:t>mi obtížemi</w:t>
      </w:r>
      <w:r>
        <w:rPr>
          <w:b/>
          <w:bCs/>
        </w:rPr>
        <w:t>. Získá-ii Německo kolonie a dostane-li se mu vyššího podílu na světovém obchodu, nestane se to na náš úkor a naše hospodářství na tom neprodělá, spíše získá.</w:t>
      </w:r>
    </w:p>
    <w:p w:rsidR="00500724" w:rsidRDefault="00F30FB8">
      <w:pPr>
        <w:pStyle w:val="Zkladntext1"/>
        <w:shd w:val="clear" w:color="auto" w:fill="auto"/>
        <w:spacing w:line="190" w:lineRule="auto"/>
        <w:ind w:firstLine="320"/>
      </w:pPr>
      <w:r>
        <w:rPr>
          <w:b/>
          <w:bCs/>
        </w:rPr>
        <w:t xml:space="preserve">Mimochodem i v této věci je patrno, jak špatně posuzuji někteří lidé u nás německý režim: v tom, </w:t>
      </w:r>
      <w:r>
        <w:rPr>
          <w:b/>
          <w:bCs/>
        </w:rPr>
        <w:t>že Hitler mluví o spravedlivějším rozdělení majetku mezi světovými státy a prohlašuje, že z německého lidu nelze dělat národ páriů, je zřetelná socialistická nota; u nás se rádo někdy zapo</w:t>
      </w:r>
      <w:r>
        <w:rPr>
          <w:b/>
          <w:bCs/>
        </w:rPr>
        <w:softHyphen/>
        <w:t>míná, že v Německu je u moci nacionální socialismus a že to není je</w:t>
      </w:r>
      <w:r>
        <w:rPr>
          <w:b/>
          <w:bCs/>
        </w:rPr>
        <w:t>n pouhá firma. To platí i o Hitlerově prohlá</w:t>
      </w:r>
      <w:r>
        <w:rPr>
          <w:b/>
          <w:bCs/>
        </w:rPr>
        <w:softHyphen/>
        <w:t>šení, že válka ve dvacátém století jíž nemůže přinést hospo</w:t>
      </w:r>
      <w:r>
        <w:rPr>
          <w:b/>
          <w:bCs/>
        </w:rPr>
        <w:softHyphen/>
        <w:t>dářský prospěch. Kdo by při tom nevzpomněl na předvá</w:t>
      </w:r>
      <w:r>
        <w:rPr>
          <w:b/>
          <w:bCs/>
        </w:rPr>
        <w:softHyphen/>
        <w:t>lečnou knihu anglického politického spisovatele Normana Angela »Velká iluse«?</w:t>
      </w:r>
    </w:p>
    <w:p w:rsidR="00500724" w:rsidRDefault="00F30FB8">
      <w:pPr>
        <w:pStyle w:val="Zkladntext1"/>
        <w:shd w:val="clear" w:color="auto" w:fill="auto"/>
        <w:spacing w:line="190" w:lineRule="auto"/>
        <w:ind w:firstLine="320"/>
      </w:pPr>
      <w:r>
        <w:rPr>
          <w:b/>
          <w:bCs/>
        </w:rPr>
        <w:t>Hitler je si ovšem v</w:t>
      </w:r>
      <w:r>
        <w:rPr>
          <w:b/>
          <w:bCs/>
        </w:rPr>
        <w:t>ědom, že tyto cesty nejsou tak rychlé, aby zvýšení životní míry německého pracujícího lidu nastalo brzy. Proto otevřeně řekl na adresu dělnictva, že v dohledné době je další zvýšení mezd nemožné. Současně však pozna</w:t>
      </w:r>
      <w:r>
        <w:rPr>
          <w:b/>
          <w:bCs/>
        </w:rPr>
        <w:softHyphen/>
        <w:t>menal, že německý sedlák není s to vyrob</w:t>
      </w:r>
      <w:r>
        <w:rPr>
          <w:b/>
          <w:bCs/>
        </w:rPr>
        <w:t>iti již další vyšší množství potravin a tím také odůvodňoval jak potřebu roz</w:t>
      </w:r>
      <w:r>
        <w:rPr>
          <w:b/>
          <w:bCs/>
        </w:rPr>
        <w:softHyphen/>
        <w:t>šíření německého exportu, aby mohlo za tuto zvýšenou kvótu dovážet ze zámoří potraviny, tak i požadavek, aby Německo mělo vlastní potraviny v budoucí německé kolo</w:t>
      </w:r>
      <w:r>
        <w:rPr>
          <w:b/>
          <w:bCs/>
        </w:rPr>
        <w:softHyphen/>
        <w:t>niální říši.</w:t>
      </w:r>
    </w:p>
    <w:p w:rsidR="00500724" w:rsidRDefault="00F30FB8">
      <w:pPr>
        <w:pStyle w:val="Zkladntext1"/>
        <w:shd w:val="clear" w:color="auto" w:fill="auto"/>
        <w:spacing w:line="187" w:lineRule="auto"/>
        <w:ind w:firstLine="320"/>
      </w:pPr>
      <w:r>
        <w:rPr>
          <w:b/>
          <w:bCs/>
        </w:rPr>
        <w:t>Hospodářská stránka Hitlerovy řeěi tedy není znepoko</w:t>
      </w:r>
      <w:r>
        <w:rPr>
          <w:b/>
          <w:bCs/>
        </w:rPr>
        <w:softHyphen/>
        <w:t>jující. I když ovšem všechny spekulace o tom, co bude teď dělat Itálie a do jaké míry ji bude prakticky Německo pod</w:t>
      </w:r>
      <w:r>
        <w:rPr>
          <w:b/>
          <w:bCs/>
        </w:rPr>
        <w:softHyphen/>
        <w:t>porovat — nebof co jest snevyprovokovaný útok«? — jsou pouhé dohady a ponechávají západ</w:t>
      </w:r>
      <w:r>
        <w:rPr>
          <w:b/>
          <w:bCs/>
        </w:rPr>
        <w:t>ní svět v nejistotě o udá</w:t>
      </w:r>
      <w:r>
        <w:rPr>
          <w:b/>
          <w:bCs/>
        </w:rPr>
        <w:softHyphen/>
        <w:t>lostech budoucích měsíců, i když Velká Britanie a Spojené Státy prudce zvyšují válečnou výrobu, pak přece jenom lze soudit, že Německo asi má nyní více na mysli zřetele hospodářské. To souvisí ovšem právě s tou vnitřní hospodářsko</w:t>
      </w:r>
      <w:r>
        <w:rPr>
          <w:b/>
          <w:bCs/>
        </w:rPr>
        <w:t>u situací, jejíž obtížnost říšský kancléř docela otevřeně ve své řeči nastínil.</w:t>
      </w:r>
    </w:p>
    <w:p w:rsidR="00500724" w:rsidRDefault="00F30FB8">
      <w:pPr>
        <w:pStyle w:val="Zkladntext1"/>
        <w:shd w:val="clear" w:color="auto" w:fill="auto"/>
        <w:spacing w:line="187" w:lineRule="auto"/>
        <w:ind w:firstLine="320"/>
      </w:pPr>
      <w:r>
        <w:rPr>
          <w:b/>
          <w:bCs/>
        </w:rPr>
        <w:t>Avšak ten, kdo uvažuje hospodářsky, je lépe přístupen hospodářským argumentům a má také lepší pochopení pro hospodářské výhody, než ten, kdo vše posuzuje jen poli</w:t>
      </w:r>
      <w:r>
        <w:rPr>
          <w:b/>
          <w:bCs/>
        </w:rPr>
        <w:softHyphen/>
        <w:t xml:space="preserve">ticky. Tu se </w:t>
      </w:r>
      <w:r>
        <w:rPr>
          <w:b/>
          <w:bCs/>
        </w:rPr>
        <w:t>tedy otevírá pak přirozeně cesta nejenom do</w:t>
      </w:r>
      <w:r>
        <w:rPr>
          <w:b/>
          <w:bCs/>
        </w:rPr>
        <w:softHyphen/>
        <w:t>cela jiným možnostem dohody velmocí, ale též i dohodě o hospodářské spolupráci Německa s jeho malými sousedy. Napsali jsme zde již, že je prakticky možné mnoho dosáh</w:t>
      </w:r>
      <w:r>
        <w:rPr>
          <w:b/>
          <w:bCs/>
        </w:rPr>
        <w:softHyphen/>
        <w:t>nout i na příklad mezi Německem a Česko-Sloven</w:t>
      </w:r>
      <w:r>
        <w:rPr>
          <w:b/>
          <w:bCs/>
        </w:rPr>
        <w:t>skem. Je přirozené, že taková jednáni jsou těžká, když oba vyjedna</w:t>
      </w:r>
      <w:r>
        <w:rPr>
          <w:b/>
          <w:bCs/>
        </w:rPr>
        <w:softHyphen/>
        <w:t xml:space="preserve">vači ovládají látku a chtějí dosáhnout maximálních výhod. Mělo-li by se však všeobecně jednat o zvýšení německého podílu na světovém obchodu a o úpravě koloniální otázky, pak se budou tyto </w:t>
      </w:r>
      <w:r>
        <w:rPr>
          <w:b/>
          <w:bCs/>
        </w:rPr>
        <w:t>věci řešit zásadně a ze světového hle</w:t>
      </w:r>
      <w:r>
        <w:rPr>
          <w:b/>
          <w:bCs/>
        </w:rPr>
        <w:softHyphen/>
        <w:t>diska. Bude-li tedy hospodářské uvažování hrát stále větší roli v politice Německa, jak se tomu zdá z této Hitlerovy řeči, povede to pravděpodobně ke klidnějšímu posuzování možností dohody bez válečného konfliktu.</w:t>
      </w:r>
    </w:p>
    <w:p w:rsidR="00500724" w:rsidRDefault="00F30FB8">
      <w:pPr>
        <w:pStyle w:val="Zkladntext1"/>
        <w:shd w:val="clear" w:color="auto" w:fill="auto"/>
        <w:spacing w:line="190" w:lineRule="auto"/>
        <w:ind w:firstLine="320"/>
      </w:pPr>
      <w:r>
        <w:rPr>
          <w:b/>
          <w:bCs/>
        </w:rPr>
        <w:t>Rozu</w:t>
      </w:r>
      <w:r>
        <w:rPr>
          <w:b/>
          <w:bCs/>
        </w:rPr>
        <w:t>mí se ovšem, že tím se některé základní tendence světové politiky asi sotva změní, protože jsou dány dosud neotřesenými předpoklady mocensko-poiitickými a také psychologickými, ba přímo Ideologickými. Ale i tu nejsou obraty vyloučeny, jak patrno z toho, že</w:t>
      </w:r>
      <w:r>
        <w:rPr>
          <w:b/>
          <w:bCs/>
        </w:rPr>
        <w:t xml:space="preserve"> mezi Německem a Ruskem se začíná vážné jednání o hospodářskou spolu</w:t>
      </w:r>
      <w:r>
        <w:rPr>
          <w:b/>
          <w:bCs/>
        </w:rPr>
        <w:softHyphen/>
        <w:t>práci a novou obchodní smlouvu. Rusko tu patrně také po</w:t>
      </w:r>
      <w:r>
        <w:rPr>
          <w:b/>
          <w:bCs/>
        </w:rPr>
        <w:softHyphen/>
        <w:t>někud čelilo poslednímu polskému obratu — Polsko nej</w:t>
      </w:r>
      <w:r>
        <w:rPr>
          <w:b/>
          <w:bCs/>
        </w:rPr>
        <w:softHyphen/>
        <w:t>prve po říjnových událostech se přiklonilo nahonem k Rus</w:t>
      </w:r>
      <w:r>
        <w:rPr>
          <w:b/>
          <w:bCs/>
        </w:rPr>
        <w:softHyphen/>
        <w:t>ku a pak se zase od n</w:t>
      </w:r>
      <w:r>
        <w:rPr>
          <w:b/>
          <w:bCs/>
        </w:rPr>
        <w:t>ěho po Novém roce odvrátilo — ale Německo ostatně vždy pečlivě rozlišovalo v posledních pěti letech mezi Ruskem jako velestátem a Komunistickou internacioná</w:t>
      </w:r>
      <w:r>
        <w:rPr>
          <w:b/>
          <w:bCs/>
        </w:rPr>
        <w:softHyphen/>
        <w:t>lou. Toto rozlišování ostatně pěstovala ruská vláda, když toho bylo třeba, sama také. Zmizi-li přek</w:t>
      </w:r>
      <w:r>
        <w:rPr>
          <w:b/>
          <w:bCs/>
        </w:rPr>
        <w:t>ážka Komunistické internacionály, pak není vyloučeno překvapení, že Německo bude, alespoň hospodářsky zatím, na cestě k dohodě s Rus</w:t>
      </w:r>
      <w:r>
        <w:rPr>
          <w:b/>
          <w:bCs/>
        </w:rPr>
        <w:softHyphen/>
        <w:t>kem. Jakýsi náznak možno spatřovat v tom, že tentokráte již se Hitler o Rusku ani slovem nezmínil. A tu by se pak i dnes od</w:t>
      </w:r>
      <w:r>
        <w:rPr>
          <w:b/>
          <w:bCs/>
        </w:rPr>
        <w:t>ložené problémy, jako na příklad ukrajinský, asi staly řešitelnými.</w:t>
      </w:r>
    </w:p>
    <w:p w:rsidR="00500724" w:rsidRDefault="00F30FB8">
      <w:pPr>
        <w:pStyle w:val="Zkladntext1"/>
        <w:shd w:val="clear" w:color="auto" w:fill="auto"/>
        <w:tabs>
          <w:tab w:val="left" w:pos="4690"/>
        </w:tabs>
        <w:spacing w:after="100" w:line="187" w:lineRule="auto"/>
        <w:ind w:firstLine="320"/>
        <w:rPr>
          <w:sz w:val="20"/>
          <w:szCs w:val="20"/>
        </w:rPr>
      </w:pPr>
      <w:r>
        <w:rPr>
          <w:b/>
          <w:bCs/>
        </w:rPr>
        <w:t>Proto lze označit poslední Hitlerovu řeč jako zvláště vý</w:t>
      </w:r>
      <w:r>
        <w:rPr>
          <w:b/>
          <w:bCs/>
        </w:rPr>
        <w:softHyphen/>
        <w:t>znamnou.</w:t>
      </w:r>
      <w:r>
        <w:rPr>
          <w:b/>
          <w:bCs/>
        </w:rPr>
        <w:tab/>
      </w:r>
      <w:r>
        <w:rPr>
          <w:i/>
          <w:iCs/>
          <w:sz w:val="20"/>
          <w:szCs w:val="20"/>
        </w:rPr>
        <w:t>Cis,</w:t>
      </w:r>
    </w:p>
    <w:p w:rsidR="00500724" w:rsidRDefault="00F30FB8">
      <w:pPr>
        <w:pStyle w:val="Zkladntext1"/>
        <w:shd w:val="clear" w:color="auto" w:fill="auto"/>
        <w:spacing w:after="100" w:line="180" w:lineRule="auto"/>
        <w:ind w:firstLine="0"/>
        <w:jc w:val="center"/>
        <w:rPr>
          <w:sz w:val="20"/>
          <w:szCs w:val="20"/>
        </w:rPr>
      </w:pPr>
      <w:r>
        <w:rPr>
          <w:b/>
          <w:bCs/>
          <w:sz w:val="20"/>
          <w:szCs w:val="20"/>
        </w:rPr>
        <w:t>Noviny radí čtenářům</w:t>
      </w:r>
    </w:p>
    <w:p w:rsidR="00500724" w:rsidRDefault="00F30FB8">
      <w:pPr>
        <w:pStyle w:val="Zkladntext1"/>
        <w:shd w:val="clear" w:color="auto" w:fill="auto"/>
        <w:spacing w:line="190" w:lineRule="auto"/>
        <w:ind w:firstLine="320"/>
      </w:pPr>
      <w:r>
        <w:rPr>
          <w:b/>
          <w:bCs/>
        </w:rPr>
        <w:t>Události loňského podzimu změnily do základů poměry bývalých pohraničních oblasti státu. Velké d</w:t>
      </w:r>
      <w:r>
        <w:rPr>
          <w:b/>
          <w:bCs/>
        </w:rPr>
        <w:t>rama našich krajanů doznívá v tisícerých strastech, jež teprve čas vyléčí. Ale i do života někdejších německých spoluobčanů vnesly územní přesuny mnoho drobných i vážných problémů, Které si musí řešit každý pro sebe v novém politickém, sociálním a kulturní</w:t>
      </w:r>
      <w:r>
        <w:rPr>
          <w:b/>
          <w:bCs/>
        </w:rPr>
        <w:t>m řádu. Kdo se o tom chce poučit, může nahléd</w:t>
      </w:r>
      <w:r>
        <w:rPr>
          <w:b/>
          <w:bCs/>
        </w:rPr>
        <w:softHyphen/>
        <w:t>nout do některého pondělníku sudetoněmeckého listu xDeutscho Post«. Mají tam zajímavou redakční poradnu, jež vyplňuje týdně čtyři až osm sloupců a ve svém celku podává živý obraz časových zájmů čtenářstva. Dota</w:t>
      </w:r>
      <w:r>
        <w:rPr>
          <w:b/>
          <w:bCs/>
        </w:rPr>
        <w:t>zy za</w:t>
      </w:r>
      <w:r>
        <w:rPr>
          <w:b/>
          <w:bCs/>
        </w:rPr>
        <w:softHyphen/>
        <w:t>bírají nejen do hloubky, ale i do šíře opravdu vzácné.</w:t>
      </w:r>
    </w:p>
    <w:p w:rsidR="00500724" w:rsidRDefault="00F30FB8">
      <w:pPr>
        <w:pStyle w:val="Zkladntext1"/>
        <w:shd w:val="clear" w:color="auto" w:fill="auto"/>
        <w:spacing w:line="190" w:lineRule="auto"/>
        <w:ind w:firstLine="320"/>
      </w:pPr>
      <w:r>
        <w:rPr>
          <w:b/>
          <w:bCs/>
        </w:rPr>
        <w:t>Dlouholetý odběratel by na přiklad rád věděl, kam se obrátit ve věci odersko-dunajského průplavu; jiný by pro</w:t>
      </w:r>
      <w:r>
        <w:rPr>
          <w:b/>
          <w:bCs/>
        </w:rPr>
        <w:softHyphen/>
        <w:t>dal zbylé známky léčebného fondu; třetí platil od roku 1936 příspěvky do krematoria v</w:t>
      </w:r>
      <w:r>
        <w:rPr>
          <w:b/>
          <w:bCs/>
        </w:rPr>
        <w:t xml:space="preserve"> Olomouci a chtěl by si zacho</w:t>
      </w:r>
      <w:r>
        <w:rPr>
          <w:b/>
          <w:bCs/>
        </w:rPr>
        <w:softHyphen/>
        <w:t>vat nárok na zpopelnění. Tazatel z Vrbna čeká marně na peníze, zaslané poštovní poukázkou koncem září; Javor- ničan prosí o radu, může-li si vyzdvihnout zavazadlo, které tehdy zanechal na nádraží v Jablunkově, jež teď patří Po</w:t>
      </w:r>
      <w:r>
        <w:rPr>
          <w:b/>
          <w:bCs/>
        </w:rPr>
        <w:softHyphen/>
        <w:t>lákům. Časté a složité jsou dotazy ve věcech státní a rasové příslušnosti: Narodil jsem se v Londýně; matka byla sudet</w:t>
      </w:r>
      <w:r>
        <w:rPr>
          <w:b/>
          <w:bCs/>
        </w:rPr>
        <w:softHyphen/>
        <w:t>ská Němka, otec Ital neuznal otcovství; jak si opatřím arijský průkaz? — Mám optovat za adoptivní dceru? — Lze získat státní občanství b</w:t>
      </w:r>
      <w:r>
        <w:rPr>
          <w:b/>
          <w:bCs/>
        </w:rPr>
        <w:t xml:space="preserve">ez opce? ... Značku »Pradědc zajímá rozdíl mezi krví německou a příbuznou. Německé krvi, odpovídá redakce, je příbuzná na př. krev Slovanů a Románů. Příbuzenství se vztahuje i na Finy a Maďary. Chabě vyzněl dotaz značky, jež chtěla vypátrat, kde leží obec </w:t>
      </w:r>
      <w:r>
        <w:rPr>
          <w:b/>
          <w:bCs/>
        </w:rPr>
        <w:t>Natlslawitz, po případě, jak se teď jmenuje. Před rokem 1844 byla v okolí Opavy, asi prý na území staré říše. Nyní je obec nezvěstná.</w:t>
      </w:r>
    </w:p>
    <w:p w:rsidR="00500724" w:rsidRDefault="00F30FB8">
      <w:pPr>
        <w:pStyle w:val="Zkladntext1"/>
        <w:shd w:val="clear" w:color="auto" w:fill="auto"/>
        <w:spacing w:line="190" w:lineRule="auto"/>
        <w:ind w:firstLine="320"/>
      </w:pPr>
      <w:r>
        <w:rPr>
          <w:b/>
          <w:bCs/>
        </w:rPr>
        <w:t>Čtenářky se ku podivu hlavně starají o své příští po</w:t>
      </w:r>
      <w:r>
        <w:rPr>
          <w:b/>
          <w:bCs/>
        </w:rPr>
        <w:softHyphen/>
        <w:t>volání. Jedna by chtěla studovat na učitelku sportu, jiná na sekretář</w:t>
      </w:r>
      <w:r>
        <w:rPr>
          <w:b/>
          <w:bCs/>
        </w:rPr>
        <w:t>ku velkostatku. Skromnější se táže, jakým pod</w:t>
      </w:r>
      <w:r>
        <w:rPr>
          <w:b/>
          <w:bCs/>
        </w:rPr>
        <w:softHyphen/>
        <w:t>mínkám musí vyhovovat porodní asistentka. — Několik ta</w:t>
      </w:r>
      <w:r>
        <w:rPr>
          <w:b/>
          <w:bCs/>
        </w:rPr>
        <w:softHyphen/>
        <w:t>zatelů projevuje, třebaže výjimkou, sklony sobecké. Jak přiměje S8ietý syn 631etou matku, aby mu vydala statek? ^Obezřetný Sudeťan« se ptá, jaké daně ho po</w:t>
      </w:r>
      <w:r>
        <w:rPr>
          <w:b/>
          <w:bCs/>
        </w:rPr>
        <w:t>stihnou v Ně</w:t>
      </w:r>
      <w:r>
        <w:rPr>
          <w:b/>
          <w:bCs/>
        </w:rPr>
        <w:softHyphen/>
        <w:t>mecku. Jiný snaživec se domnívá, že veřejní úředníci, osvo</w:t>
      </w:r>
      <w:r>
        <w:rPr>
          <w:b/>
          <w:bCs/>
        </w:rPr>
        <w:softHyphen/>
        <w:t>bození připojením k říši, mají nárok na osvobozovací pří</w:t>
      </w:r>
      <w:r>
        <w:rPr>
          <w:b/>
          <w:bCs/>
        </w:rPr>
        <w:softHyphen/>
        <w:t>platek. Krátkou pamět má občan, prosící o sdělení, jak se jmenovalo hlavní nakladatelství sudetoněmecké strany, v naší republic</w:t>
      </w:r>
      <w:r>
        <w:rPr>
          <w:b/>
          <w:bCs/>
        </w:rPr>
        <w:t>e (K. H. Frank). Do zášeří minulosti upírá hledy rakousltý voják, který by si rád dodatečně opatřil Karlův Truppenkreuz. Vědec amatér se pídí po nalezištích starogermánských run; nedočkavý naopak naléhá, kde by si mohl již dnes objednat lidový vůz model 19</w:t>
      </w:r>
      <w:r>
        <w:rPr>
          <w:b/>
          <w:bCs/>
        </w:rPr>
        <w:t>40.</w:t>
      </w:r>
    </w:p>
    <w:p w:rsidR="00500724" w:rsidRDefault="00F30FB8">
      <w:pPr>
        <w:pStyle w:val="Zkladntext1"/>
        <w:shd w:val="clear" w:color="auto" w:fill="auto"/>
        <w:spacing w:line="190" w:lineRule="auto"/>
        <w:ind w:firstLine="320"/>
      </w:pPr>
      <w:r>
        <w:rPr>
          <w:b/>
          <w:bCs/>
        </w:rPr>
        <w:t xml:space="preserve">Celkem vzato, není v poradně odstavečku bez trochy praktického smyslu. A přece, přece jen... paprsek světla se vloudil do střízlivého shonu dne. Muž, značka Olga 15, se seznámil se ženou-Češkou, bez vlastní viny rozvedenou. Může si ji vzít? Je-li Vaše </w:t>
      </w:r>
      <w:r>
        <w:rPr>
          <w:b/>
          <w:bCs/>
        </w:rPr>
        <w:t>nastávající po předcích zdráva, není nejmenších námitek, odpovídá redakce. Ani nepřidá, máte-li se rádi... Froč, nač? Vždyť právě tahle věcná řiz- nost dává úřední punc skutečnosti, že existuje něco, jedno jediné, co nezná hranic národů a států. Láska, bož</w:t>
      </w:r>
      <w:r>
        <w:rPr>
          <w:b/>
          <w:bCs/>
        </w:rPr>
        <w:t>e, láska.</w:t>
      </w:r>
    </w:p>
    <w:p w:rsidR="00500724" w:rsidRDefault="00F30FB8">
      <w:pPr>
        <w:pStyle w:val="Zkladntext1"/>
        <w:shd w:val="clear" w:color="auto" w:fill="auto"/>
        <w:tabs>
          <w:tab w:val="left" w:pos="4350"/>
        </w:tabs>
        <w:spacing w:after="240" w:line="180" w:lineRule="auto"/>
        <w:ind w:left="4080" w:firstLine="0"/>
        <w:rPr>
          <w:sz w:val="20"/>
          <w:szCs w:val="20"/>
        </w:rPr>
      </w:pPr>
      <w:r>
        <w:rPr>
          <w:i/>
          <w:iCs/>
          <w:sz w:val="20"/>
          <w:szCs w:val="20"/>
        </w:rPr>
        <w:t>J.</w:t>
      </w:r>
      <w:r>
        <w:rPr>
          <w:i/>
          <w:iCs/>
          <w:sz w:val="20"/>
          <w:szCs w:val="20"/>
        </w:rPr>
        <w:tab/>
        <w:t>Bonhard</w:t>
      </w:r>
    </w:p>
    <w:p w:rsidR="00500724" w:rsidRDefault="00F30FB8">
      <w:pPr>
        <w:pStyle w:val="Jin0"/>
        <w:shd w:val="clear" w:color="auto" w:fill="auto"/>
        <w:spacing w:after="100"/>
        <w:ind w:firstLine="0"/>
        <w:jc w:val="left"/>
        <w:rPr>
          <w:sz w:val="44"/>
          <w:szCs w:val="44"/>
        </w:rPr>
      </w:pPr>
      <w:r>
        <w:rPr>
          <w:b/>
          <w:bCs/>
          <w:sz w:val="44"/>
          <w:szCs w:val="44"/>
          <w:u w:val="single"/>
        </w:rPr>
        <w:t>politika________</w:t>
      </w:r>
    </w:p>
    <w:p w:rsidR="00500724" w:rsidRDefault="00F30FB8">
      <w:pPr>
        <w:pStyle w:val="Zkladntext1"/>
        <w:shd w:val="clear" w:color="auto" w:fill="auto"/>
        <w:spacing w:line="182" w:lineRule="auto"/>
        <w:ind w:firstLine="0"/>
        <w:rPr>
          <w:sz w:val="20"/>
          <w:szCs w:val="20"/>
        </w:rPr>
      </w:pPr>
      <w:r>
        <w:rPr>
          <w:i/>
          <w:iCs/>
          <w:sz w:val="20"/>
          <w:szCs w:val="20"/>
          <w:lang w:val="en-US" w:eastAsia="en-US" w:bidi="en-US"/>
        </w:rPr>
        <w:t>Sidney Morrell:</w:t>
      </w:r>
    </w:p>
    <w:p w:rsidR="00500724" w:rsidRDefault="00F30FB8">
      <w:pPr>
        <w:pStyle w:val="Nadpis100"/>
        <w:shd w:val="clear" w:color="auto" w:fill="auto"/>
        <w:spacing w:after="0" w:line="240" w:lineRule="auto"/>
      </w:pPr>
      <w:bookmarkStart w:id="146" w:name="bookmark145"/>
      <w:r>
        <w:t>Viděl jsem ukřižování . . .</w:t>
      </w:r>
      <w:bookmarkEnd w:id="146"/>
    </w:p>
    <w:p w:rsidR="00500724" w:rsidRDefault="00F30FB8">
      <w:pPr>
        <w:pStyle w:val="Zkladntext1"/>
        <w:shd w:val="clear" w:color="auto" w:fill="auto"/>
        <w:spacing w:after="100" w:line="182" w:lineRule="auto"/>
        <w:ind w:left="780" w:firstLine="260"/>
        <w:rPr>
          <w:sz w:val="20"/>
          <w:szCs w:val="20"/>
        </w:rPr>
        <w:sectPr w:rsidR="00500724">
          <w:footnotePr>
            <w:numFmt w:val="chicago"/>
            <w:numRestart w:val="eachPage"/>
          </w:footnotePr>
          <w:type w:val="continuous"/>
          <w:pgSz w:w="11909" w:h="16834"/>
          <w:pgMar w:top="1774" w:right="841" w:bottom="493" w:left="674" w:header="0" w:footer="3" w:gutter="0"/>
          <w:cols w:num="2" w:space="100"/>
          <w:noEndnote/>
          <w:docGrid w:linePitch="360"/>
        </w:sectPr>
      </w:pPr>
      <w:r>
        <w:rPr>
          <w:sz w:val="20"/>
          <w:szCs w:val="20"/>
        </w:rPr>
        <w:t xml:space="preserve">Tato stať je překladem několika míst z knihy </w:t>
      </w:r>
      <w:r>
        <w:rPr>
          <w:b/>
          <w:bCs/>
        </w:rPr>
        <w:t xml:space="preserve">s </w:t>
      </w:r>
      <w:r>
        <w:rPr>
          <w:sz w:val="20"/>
          <w:szCs w:val="20"/>
        </w:rPr>
        <w:t xml:space="preserve">týmž titulem, kterou napsal anglický žurnalista, člen redakce »Daily Express«, jenž prožil v </w:t>
      </w:r>
      <w:r>
        <w:rPr>
          <w:sz w:val="20"/>
          <w:szCs w:val="20"/>
        </w:rPr>
        <w:t>Česko</w:t>
      </w:r>
      <w:r>
        <w:rPr>
          <w:sz w:val="20"/>
          <w:szCs w:val="20"/>
        </w:rPr>
        <w:softHyphen/>
        <w:t>slovensku celý vývoj od března do října. Kniha ta, která v Londýně teprve vyjde, je nejdramatičtěj</w:t>
      </w:r>
      <w:r>
        <w:rPr>
          <w:sz w:val="20"/>
          <w:szCs w:val="20"/>
        </w:rPr>
        <w:softHyphen/>
        <w:t xml:space="preserve">ším vylíčením dělení Česko-Siovenska, jaké jsme </w:t>
      </w:r>
      <w:r>
        <w:rPr>
          <w:b/>
          <w:bCs/>
          <w:sz w:val="20"/>
          <w:szCs w:val="20"/>
        </w:rPr>
        <w:t xml:space="preserve">z </w:t>
      </w:r>
      <w:r>
        <w:rPr>
          <w:sz w:val="20"/>
          <w:szCs w:val="20"/>
        </w:rPr>
        <w:t>pera cizincova dosud četli. Za dnešních poměrů</w:t>
      </w:r>
    </w:p>
    <w:p w:rsidR="00500724" w:rsidRDefault="00500724">
      <w:pPr>
        <w:spacing w:line="116" w:lineRule="exact"/>
        <w:rPr>
          <w:sz w:val="9"/>
          <w:szCs w:val="9"/>
        </w:rPr>
      </w:pPr>
    </w:p>
    <w:p w:rsidR="00500724" w:rsidRDefault="00500724">
      <w:pPr>
        <w:spacing w:line="14" w:lineRule="exact"/>
        <w:sectPr w:rsidR="00500724">
          <w:footnotePr>
            <w:numFmt w:val="chicago"/>
            <w:numRestart w:val="eachPage"/>
          </w:footnotePr>
          <w:pgSz w:w="11909" w:h="16834"/>
          <w:pgMar w:top="1576" w:right="0" w:bottom="951" w:left="0" w:header="0" w:footer="3" w:gutter="0"/>
          <w:cols w:space="720"/>
          <w:noEndnote/>
          <w:docGrid w:linePitch="360"/>
        </w:sectPr>
      </w:pPr>
    </w:p>
    <w:p w:rsidR="00500724" w:rsidRDefault="00F30FB8">
      <w:pPr>
        <w:pStyle w:val="Zkladntext1"/>
        <w:shd w:val="clear" w:color="auto" w:fill="auto"/>
        <w:spacing w:after="100" w:line="180" w:lineRule="auto"/>
        <w:ind w:left="820" w:firstLine="20"/>
        <w:rPr>
          <w:sz w:val="20"/>
          <w:szCs w:val="20"/>
        </w:rPr>
      </w:pPr>
      <w:r>
        <w:rPr>
          <w:sz w:val="20"/>
          <w:szCs w:val="20"/>
        </w:rPr>
        <w:t xml:space="preserve">není asi pomyšlení, že by </w:t>
      </w:r>
      <w:r>
        <w:rPr>
          <w:sz w:val="20"/>
          <w:szCs w:val="20"/>
        </w:rPr>
        <w:t>mohla vyjiti v českém překladu: na to autor příliš realisticky a drama</w:t>
      </w:r>
      <w:r>
        <w:rPr>
          <w:sz w:val="20"/>
          <w:szCs w:val="20"/>
        </w:rPr>
        <w:softHyphen/>
        <w:t>ticky líčí vzpouru Němců v Sudetech po Hitlerově řeči v Norimberku. Vypsali jsme několik míst, jež mají vztah k thematu, které zde soustavně sledu</w:t>
      </w:r>
      <w:r>
        <w:rPr>
          <w:sz w:val="20"/>
          <w:szCs w:val="20"/>
        </w:rPr>
        <w:softHyphen/>
        <w:t>jeme: jak k tomu došlo. Za zvláště výz</w:t>
      </w:r>
      <w:r>
        <w:rPr>
          <w:sz w:val="20"/>
          <w:szCs w:val="20"/>
        </w:rPr>
        <w:t>namnou a novou považujeme úryvek první, uvádějící u nás neznámé detaily o styku Chamberlaina s americ</w:t>
      </w:r>
      <w:r>
        <w:rPr>
          <w:sz w:val="20"/>
          <w:szCs w:val="20"/>
        </w:rPr>
        <w:softHyphen/>
        <w:t>kými žurnalisty loni v květnu, při kteréžto příleži</w:t>
      </w:r>
      <w:r>
        <w:rPr>
          <w:sz w:val="20"/>
          <w:szCs w:val="20"/>
        </w:rPr>
        <w:softHyphen/>
        <w:t>tosti britský ministerský předseda otevřel své srdce. Nebylo by to malou okolností pro poznání pravdy,</w:t>
      </w:r>
      <w:r>
        <w:rPr>
          <w:sz w:val="20"/>
          <w:szCs w:val="20"/>
        </w:rPr>
        <w:t xml:space="preserve"> zjistí-li se skutečně, že p. </w:t>
      </w:r>
      <w:r>
        <w:rPr>
          <w:sz w:val="20"/>
          <w:szCs w:val="20"/>
          <w:lang w:val="en-US" w:eastAsia="en-US" w:bidi="en-US"/>
        </w:rPr>
        <w:t xml:space="preserve">Chamberlain </w:t>
      </w:r>
      <w:r>
        <w:rPr>
          <w:sz w:val="20"/>
          <w:szCs w:val="20"/>
        </w:rPr>
        <w:t>byl již v květnu odhodlán k dělení Československa.</w:t>
      </w:r>
    </w:p>
    <w:p w:rsidR="00500724" w:rsidRDefault="00F30FB8">
      <w:pPr>
        <w:pStyle w:val="Zkladntext1"/>
        <w:shd w:val="clear" w:color="auto" w:fill="auto"/>
        <w:spacing w:after="40" w:line="211" w:lineRule="auto"/>
        <w:ind w:firstLine="0"/>
        <w:jc w:val="center"/>
      </w:pPr>
      <w:r>
        <w:t>Významná předehra</w:t>
      </w:r>
    </w:p>
    <w:p w:rsidR="00500724" w:rsidRDefault="00F30FB8">
      <w:pPr>
        <w:pStyle w:val="Zkladntext1"/>
        <w:shd w:val="clear" w:color="auto" w:fill="auto"/>
        <w:spacing w:line="211" w:lineRule="auto"/>
        <w:ind w:firstLine="240"/>
      </w:pPr>
      <w:r>
        <w:t>Jednoho dne v polovici května zašel jsem si do Čer</w:t>
      </w:r>
      <w:r>
        <w:softHyphen/>
        <w:t>nínského paláce, abych se podíval na své přátele z tisko</w:t>
      </w:r>
      <w:r>
        <w:softHyphen/>
        <w:t xml:space="preserve">vého odboru československého </w:t>
      </w:r>
      <w:r>
        <w:t>ministerstva zahranič</w:t>
      </w:r>
      <w:r>
        <w:softHyphen/>
        <w:t>ních věcí. Chodil jsem po chodbě sem tam, klepal na všechny dveře, nenašel jsem však nikoho v kanceláři. Konečně jsem je všechny objevil, Byli všichni shromáž</w:t>
      </w:r>
      <w:r>
        <w:softHyphen/>
        <w:t>děni v přednostově kanceláři. Šest z nich stálo okolo šéfova stolu a všichn</w:t>
      </w:r>
      <w:r>
        <w:t>i se mračili nad papírovými listy, které šéf držel v rukou. Přednosta mě spatřil dříve než ostatní a zvolal: ^Podívejte se, co o tom soudíte?&lt; Roz</w:t>
      </w:r>
      <w:r>
        <w:softHyphen/>
        <w:t>ložil listy na stůl, a já jsem je četl se vzrůstající úzkostí.</w:t>
      </w:r>
    </w:p>
    <w:p w:rsidR="00500724" w:rsidRDefault="00F30FB8">
      <w:pPr>
        <w:pStyle w:val="Zkladntext1"/>
        <w:shd w:val="clear" w:color="auto" w:fill="auto"/>
        <w:spacing w:after="40" w:line="211" w:lineRule="auto"/>
        <w:ind w:firstLine="240"/>
      </w:pPr>
      <w:r>
        <w:t>Byly to zprávy, které obsahovaly výňatky z nov</w:t>
      </w:r>
      <w:r>
        <w:t xml:space="preserve">in ze Spojených Států amerických. Všechny tyto výňatky pravily, rozdílnými sice slovy, ale s neomylnou jasností, že britská vláda jest přesvědčena, že Československo nemůže dále žít ve své přítomné formě. Veškeré tyto zprávy se dostaly do amerických novin </w:t>
      </w:r>
      <w:r>
        <w:t>od londýnských korespondentů.</w:t>
      </w:r>
    </w:p>
    <w:p w:rsidR="00500724" w:rsidRDefault="00F30FB8">
      <w:pPr>
        <w:pStyle w:val="Zkladntext1"/>
        <w:shd w:val="clear" w:color="auto" w:fill="auto"/>
        <w:spacing w:line="211" w:lineRule="auto"/>
        <w:ind w:firstLine="240"/>
      </w:pPr>
      <w:r>
        <w:t>Byl jsem zmaten, opravdu strašně zmaten. Věděl jsem, že na anglickém vyslanectví v Praze jsou diplomaté, kteří nemají rádi Čechy, dívajíce se na ně jako na lidi středních vrstev, a že se nikdy nepokusili, aby Čechům porozuměli</w:t>
      </w:r>
      <w:r>
        <w:t>. Čechové příliš pilně budovali svůj stát, než aby se nafukovali. Tito diplomaté nalézali přitažlivěj</w:t>
      </w:r>
      <w:r>
        <w:softHyphen/>
        <w:t>šími zámky a honební revíry dřívějších německých ari</w:t>
      </w:r>
      <w:r>
        <w:softHyphen/>
        <w:t>stokratů a proto soukromě sympatisovali s Henleinem a s postoupením sudeto-německého území. Avšak to,</w:t>
      </w:r>
      <w:r>
        <w:t xml:space="preserve"> co angličtí diplomaté dělali a říkali na soukromých weekendových partiích, bylo docela něčím jiným než to, co nyní britská vláda dovolovala uveřejnit v americ</w:t>
      </w:r>
      <w:r>
        <w:softHyphen/>
        <w:t xml:space="preserve">kých listech. Co se, pro Boha, vlastně dálo </w:t>
      </w:r>
      <w:r>
        <w:rPr>
          <w:b/>
          <w:bCs/>
          <w:sz w:val="14"/>
          <w:szCs w:val="14"/>
        </w:rPr>
        <w:t xml:space="preserve">v </w:t>
      </w:r>
      <w:r>
        <w:t>Londýně, že se Hitlerovi rozvazovaly ruce nad Česk</w:t>
      </w:r>
      <w:r>
        <w:t>oslovenskem?</w:t>
      </w:r>
    </w:p>
    <w:p w:rsidR="00500724" w:rsidRDefault="00F30FB8">
      <w:pPr>
        <w:pStyle w:val="Zkladntext1"/>
        <w:shd w:val="clear" w:color="auto" w:fill="auto"/>
        <w:spacing w:line="211" w:lineRule="auto"/>
        <w:ind w:firstLine="240"/>
      </w:pPr>
      <w:r>
        <w:t xml:space="preserve">Bylo to vskutku docela jednoduché. Lady Astorová uspořádala slavnostní oběd. Později jsem mluvil </w:t>
      </w:r>
      <w:r>
        <w:rPr>
          <w:b/>
          <w:bCs/>
          <w:sz w:val="20"/>
          <w:szCs w:val="20"/>
        </w:rPr>
        <w:t xml:space="preserve">s </w:t>
      </w:r>
      <w:r>
        <w:t>jed</w:t>
      </w:r>
      <w:r>
        <w:softHyphen/>
        <w:t>ním účastníkem tohoto oběda v domě, který přečnívá stromy na náměstí v St. James, a proto vám mohu říci, co se tam odehrálo.</w:t>
      </w:r>
    </w:p>
    <w:p w:rsidR="00500724" w:rsidRDefault="00F30FB8">
      <w:pPr>
        <w:pStyle w:val="Zkladntext1"/>
        <w:shd w:val="clear" w:color="auto" w:fill="auto"/>
        <w:spacing w:after="40" w:line="211" w:lineRule="auto"/>
        <w:ind w:firstLine="240"/>
      </w:pPr>
      <w:r>
        <w:t xml:space="preserve">Několik měsíců </w:t>
      </w:r>
      <w:r>
        <w:t>předtím se vláda Jeho Veličenstva zneklidňovala nepříjemnými zprávami, které američtí korespondenti v Londýně posílali svým listům a v nichž důkladně kritisovali anglickou politiku. Lady Astorová bystře navrhla rozřešit tento problém. Majíc vždy pře</w:t>
      </w:r>
      <w:r>
        <w:softHyphen/>
        <w:t>devším</w:t>
      </w:r>
      <w:r>
        <w:t xml:space="preserve"> na paměti společenskou stránku takových otá</w:t>
      </w:r>
      <w:r>
        <w:softHyphen/>
        <w:t xml:space="preserve">zek, nabídla se, že uspořádá ve svém domě slavnostní oběd, při němž by si mohli američtí žurnalisté volně pohovořit s </w:t>
      </w:r>
      <w:r>
        <w:rPr>
          <w:lang w:val="en-US" w:eastAsia="en-US" w:bidi="en-US"/>
        </w:rPr>
        <w:t xml:space="preserve">Mr. </w:t>
      </w:r>
      <w:r>
        <w:t>Chamberlainem o zahraničních problé</w:t>
      </w:r>
      <w:r>
        <w:softHyphen/>
        <w:t>mech.</w:t>
      </w:r>
    </w:p>
    <w:p w:rsidR="00500724" w:rsidRDefault="00F30FB8">
      <w:pPr>
        <w:pStyle w:val="Zkladntext1"/>
        <w:shd w:val="clear" w:color="auto" w:fill="auto"/>
        <w:spacing w:line="211" w:lineRule="auto"/>
        <w:ind w:firstLine="240"/>
      </w:pPr>
      <w:r>
        <w:t>Oběd se dával 10. května. Bylo pozváno asi čtyř</w:t>
      </w:r>
      <w:r>
        <w:t>icet amerických novinářů, pečlivě vybraných, jako repre</w:t>
      </w:r>
      <w:r>
        <w:softHyphen/>
        <w:t xml:space="preserve">sentanti listů ve Spojených Státech. V seznamu hostů Lady Astorové nebyl na příklad ani jediný žurnalista kanadský, nebof se dalo předpokládat, že </w:t>
      </w:r>
      <w:r>
        <w:rPr>
          <w:lang w:val="en-US" w:eastAsia="en-US" w:bidi="en-US"/>
        </w:rPr>
        <w:t>Mr. Cham</w:t>
      </w:r>
      <w:r>
        <w:rPr>
          <w:lang w:val="en-US" w:eastAsia="en-US" w:bidi="en-US"/>
        </w:rPr>
        <w:softHyphen/>
        <w:t xml:space="preserve">berlain </w:t>
      </w:r>
      <w:r>
        <w:t xml:space="preserve">bude mluvit docela volně o anglické </w:t>
      </w:r>
      <w:r>
        <w:t>zahraniční politice k lidem ze Spojených Států, že však vysloví ná</w:t>
      </w:r>
      <w:r>
        <w:softHyphen/>
        <w:t xml:space="preserve">zory, které bude třeba za každých okolností diskrétně skrýt před lidmi samého britského impéria. Ostatně, i když je člověk ministerským předsedou, nezvýší se </w:t>
      </w:r>
      <w:r>
        <w:rPr>
          <w:lang w:val="en-US" w:eastAsia="en-US" w:bidi="en-US"/>
        </w:rPr>
        <w:t xml:space="preserve">chance </w:t>
      </w:r>
      <w:r>
        <w:t>setrvat v téinže postave</w:t>
      </w:r>
      <w:r>
        <w:t>ní tím, že se otevřeně podporuje zahraniční politika, která by mohla přivodit ztrátu milionů voličů. Byl zde příklad Sira Samuela Hoara, který jako anglický ministr zahraničních věcí uzavřel s Francií tajný pakt o řešení problému války v Habeši. V tomto př</w:t>
      </w:r>
      <w:r>
        <w:t>ípadě se na neštěstí tajný pakt do</w:t>
      </w:r>
      <w:r>
        <w:softHyphen/>
        <w:t>stal na veřejnost dříve, než se mohl prakticky uskuteč</w:t>
      </w:r>
      <w:r>
        <w:softHyphen/>
        <w:t xml:space="preserve">nit, a anglické veřejné mínění odstrčilo Sira Samuela Hoara. </w:t>
      </w:r>
      <w:r>
        <w:rPr>
          <w:lang w:val="en-US" w:eastAsia="en-US" w:bidi="en-US"/>
        </w:rPr>
        <w:t xml:space="preserve">Mr. Chamberlain </w:t>
      </w:r>
      <w:r>
        <w:t>nechtěl být druhým Sirem Sa</w:t>
      </w:r>
      <w:r>
        <w:softHyphen/>
        <w:t>muelem Hoarem. Úspěch jeho politiky v československé otázce b</w:t>
      </w:r>
      <w:r>
        <w:t>yl závislý na jeho schopnosti tajiti tuto politiku před anglickou veřejností.</w:t>
      </w:r>
    </w:p>
    <w:p w:rsidR="00500724" w:rsidRDefault="00F30FB8">
      <w:pPr>
        <w:pStyle w:val="Zkladntext1"/>
        <w:shd w:val="clear" w:color="auto" w:fill="auto"/>
        <w:spacing w:after="120" w:line="211" w:lineRule="auto"/>
        <w:ind w:firstLine="240"/>
      </w:pPr>
      <w:r>
        <w:t>Po obědě žurnalisté chvatně odešli a poslali svým li</w:t>
      </w:r>
      <w:r>
        <w:softHyphen/>
        <w:t>stům kabelovou zprávu o svých dojmech.</w:t>
      </w:r>
    </w:p>
    <w:p w:rsidR="00500724" w:rsidRDefault="00F30FB8">
      <w:pPr>
        <w:pStyle w:val="Zkladntext1"/>
        <w:shd w:val="clear" w:color="auto" w:fill="auto"/>
        <w:spacing w:after="40" w:line="204" w:lineRule="auto"/>
        <w:ind w:firstLine="240"/>
      </w:pPr>
      <w:r>
        <w:t>New York Heral d-T r i b u n e tenkrát napsala:</w:t>
      </w:r>
    </w:p>
    <w:p w:rsidR="00500724" w:rsidRDefault="00F30FB8">
      <w:pPr>
        <w:pStyle w:val="Zkladntext1"/>
        <w:shd w:val="clear" w:color="auto" w:fill="auto"/>
        <w:spacing w:after="40" w:line="187" w:lineRule="auto"/>
        <w:ind w:firstLine="240"/>
      </w:pPr>
      <w:r>
        <w:t xml:space="preserve">^Angličané jsou přesvědčeni, že Československo nemůže setrvat ve své </w:t>
      </w:r>
      <w:r>
        <w:rPr>
          <w:sz w:val="16"/>
          <w:szCs w:val="16"/>
        </w:rPr>
        <w:t xml:space="preserve">nynější formě. I </w:t>
      </w:r>
      <w:r>
        <w:t>kdyby českoslovenští spo</w:t>
      </w:r>
      <w:r>
        <w:softHyphen/>
        <w:t xml:space="preserve">jenci a přátelé vybojovali vítěznou válku na straně Čechů, naléhali by, aby Češi propustili cizí menšinu, aby se tím předešlo další válce ze </w:t>
      </w:r>
      <w:r>
        <w:t>stejného důvodu v budoucnosti. Proto by Čechové měli být praktičtější a pokud možno se nejlépe dohodnout s Hitlerem bez jakékoli války.*</w:t>
      </w:r>
    </w:p>
    <w:p w:rsidR="00500724" w:rsidRDefault="00F30FB8">
      <w:pPr>
        <w:pStyle w:val="Zkladntext1"/>
        <w:shd w:val="clear" w:color="auto" w:fill="auto"/>
        <w:spacing w:after="40" w:line="204" w:lineRule="auto"/>
        <w:ind w:firstLine="240"/>
      </w:pPr>
      <w:r>
        <w:t>ANewYorkTimes napsaly:</w:t>
      </w:r>
    </w:p>
    <w:p w:rsidR="00500724" w:rsidRDefault="00F30FB8">
      <w:pPr>
        <w:pStyle w:val="Zkladntext1"/>
        <w:shd w:val="clear" w:color="auto" w:fill="auto"/>
        <w:spacing w:line="204" w:lineRule="auto"/>
        <w:ind w:firstLine="240"/>
      </w:pPr>
      <w:r>
        <w:t>s-Původně britský ministerský předseda zřejmě zastával stanovisko, že nejlepším východiskem by b</w:t>
      </w:r>
      <w:r>
        <w:t>ylo přeměnit Československo v jakési druhé Švýcarsko, kde by každá národnost tvořila zvláštní kanton s dalekosáhlou autonomií. Avšak odborným šetřením se projevily nedostatky podob</w:t>
      </w:r>
      <w:r>
        <w:softHyphen/>
        <w:t xml:space="preserve">ného plánu </w:t>
      </w:r>
      <w:r>
        <w:rPr>
          <w:lang w:val="en-US" w:eastAsia="en-US" w:bidi="en-US"/>
        </w:rPr>
        <w:t xml:space="preserve">a Mr. Chamberlain </w:t>
      </w:r>
      <w:r>
        <w:t>dnes, přirozeně bez újmy práv hlavních interes</w:t>
      </w:r>
      <w:r>
        <w:t>ovaných stran, zřejmě se kloní k dras</w:t>
      </w:r>
      <w:r>
        <w:softHyphen/>
        <w:t>tičtějšímu opatření — totiž k oddělení německých okresů od československé republiky a k jejich připojení k Ně</w:t>
      </w:r>
      <w:r>
        <w:softHyphen/>
        <w:t>mecku.*</w:t>
      </w:r>
    </w:p>
    <w:p w:rsidR="00500724" w:rsidRDefault="00F30FB8">
      <w:pPr>
        <w:pStyle w:val="Zkladntext1"/>
        <w:shd w:val="clear" w:color="auto" w:fill="auto"/>
        <w:spacing w:line="204" w:lineRule="auto"/>
        <w:ind w:firstLine="240"/>
      </w:pPr>
      <w:r>
        <w:t>Po určitou dobu se rozšířil hluk z těchto úvah pouze ve Spojených Státech a v Praze, kde si Češi, pl</w:t>
      </w:r>
      <w:r>
        <w:t>ni úzko</w:t>
      </w:r>
      <w:r>
        <w:softHyphen/>
        <w:t>sti a obav, počali uvědomovat síly, které se šikovaly proti nim.</w:t>
      </w:r>
    </w:p>
    <w:p w:rsidR="00500724" w:rsidRDefault="00F30FB8">
      <w:pPr>
        <w:pStyle w:val="Zkladntext1"/>
        <w:shd w:val="clear" w:color="auto" w:fill="auto"/>
        <w:spacing w:line="204" w:lineRule="auto"/>
        <w:ind w:firstLine="240"/>
      </w:pPr>
      <w:r>
        <w:t xml:space="preserve">Je sice pravda, že Sir John Simon opět upozornil na prohlášení </w:t>
      </w:r>
      <w:r>
        <w:rPr>
          <w:lang w:val="en-US" w:eastAsia="en-US" w:bidi="en-US"/>
        </w:rPr>
        <w:t xml:space="preserve">Mr. </w:t>
      </w:r>
      <w:r>
        <w:t xml:space="preserve">Chamberlaina v dolní sněmovně ze dne </w:t>
      </w:r>
      <w:r>
        <w:rPr>
          <w:b/>
          <w:bCs/>
          <w:i/>
          <w:iCs/>
          <w:sz w:val="20"/>
          <w:szCs w:val="20"/>
        </w:rPr>
        <w:t>24.</w:t>
      </w:r>
      <w:r>
        <w:t xml:space="preserve"> března, kdy pravil, že německý vpád do Českoslo</w:t>
      </w:r>
      <w:r>
        <w:softHyphen/>
        <w:t>venska by znamenal pro Angl</w:t>
      </w:r>
      <w:r>
        <w:t>ii, že se musí postavit po boku Francie. Avšak, srovnáte-li to s tím, co se dověděli američtí žurnalisté na obědě u Lady Astorové, byl to jen apel na Hitlera, aby brzdil svůj vpád do Českosloven</w:t>
      </w:r>
      <w:r>
        <w:softHyphen/>
        <w:t>ska, aby měl trpělivost a čekal na Anglii, od níž dostane vše</w:t>
      </w:r>
      <w:r>
        <w:t>, co si přeje.</w:t>
      </w:r>
    </w:p>
    <w:p w:rsidR="00500724" w:rsidRDefault="00F30FB8">
      <w:pPr>
        <w:pStyle w:val="Zkladntext1"/>
        <w:shd w:val="clear" w:color="auto" w:fill="auto"/>
        <w:spacing w:after="40" w:line="204" w:lineRule="auto"/>
        <w:ind w:firstLine="240"/>
      </w:pPr>
      <w:r>
        <w:t>Myslím, že už je teď jasné, že tím, že se Hitler zřekl námořní síly, Anglie se zřekla svého zájmu ve střední Evropě. Když vpochodovala německá vojska do Porýní, zdržovali jsme Francii, aby nezasadila Hitlerovi ránu, která ho mohla zničit. By</w:t>
      </w:r>
      <w:r>
        <w:t>l jsem tenkrát při tomto dra</w:t>
      </w:r>
      <w:r>
        <w:softHyphen/>
        <w:t>matickém weekendovém pochodu v Kolíně a viděl jsem, jak velitelé Reichswehru se třásli ve svých vyso</w:t>
      </w:r>
      <w:r>
        <w:softHyphen/>
        <w:t>kých botách. Avšak Hitler věděl více než oni; znal dobře Anglii.</w:t>
      </w:r>
    </w:p>
    <w:p w:rsidR="00500724" w:rsidRDefault="00F30FB8">
      <w:pPr>
        <w:pStyle w:val="Zkladntext1"/>
        <w:shd w:val="clear" w:color="auto" w:fill="auto"/>
        <w:spacing w:after="40" w:line="214" w:lineRule="auto"/>
        <w:ind w:firstLine="240"/>
      </w:pPr>
      <w:r>
        <w:t>Na počátku roku 1938 navštívil britský ministr zahra</w:t>
      </w:r>
      <w:r>
        <w:softHyphen/>
        <w:t xml:space="preserve">ničních </w:t>
      </w:r>
      <w:r>
        <w:t xml:space="preserve">věcí </w:t>
      </w:r>
      <w:r>
        <w:rPr>
          <w:lang w:val="en-US" w:eastAsia="en-US" w:bidi="en-US"/>
        </w:rPr>
        <w:t xml:space="preserve">Lord Halifax </w:t>
      </w:r>
      <w:r>
        <w:t>Hitlera v Berchtesgadenu a vrátil se, jak říkají Němci, s rudou tváří a s hučením v uších. Brzy poté padlo Rakousko a Anglie, která zaru</w:t>
      </w:r>
      <w:r>
        <w:softHyphen/>
        <w:t>čila nezávislost tohoto státu ve Strese, se ani nepohnula. Po Rakousku přišlo na řadu Československo.</w:t>
      </w:r>
      <w:r>
        <w:t xml:space="preserve"> Je pravda, jak napsaly »New </w:t>
      </w:r>
      <w:r>
        <w:rPr>
          <w:lang w:val="en-US" w:eastAsia="en-US" w:bidi="en-US"/>
        </w:rPr>
        <w:t xml:space="preserve">York Times*, Mr. Chamberlain </w:t>
      </w:r>
      <w:r>
        <w:t>si po</w:t>
      </w:r>
      <w:r>
        <w:softHyphen/>
        <w:t>hrával s plánem kantonálního Švýcarska, ale jak jsme později viděli v Praze, odhodil tuto kartu.</w:t>
      </w:r>
    </w:p>
    <w:p w:rsidR="00500724" w:rsidRDefault="00F30FB8">
      <w:pPr>
        <w:pStyle w:val="Zkladntext1"/>
        <w:shd w:val="clear" w:color="auto" w:fill="auto"/>
        <w:spacing w:line="211" w:lineRule="auto"/>
        <w:ind w:firstLine="240"/>
      </w:pPr>
      <w:r>
        <w:t>Hitler věděl více. Nahlédl do karet již počátkem květ</w:t>
      </w:r>
      <w:r>
        <w:softHyphen/>
        <w:t xml:space="preserve">na. Věděl, že </w:t>
      </w:r>
      <w:r>
        <w:rPr>
          <w:lang w:val="en-US" w:eastAsia="en-US" w:bidi="en-US"/>
        </w:rPr>
        <w:t xml:space="preserve">Mr. Chamberlain </w:t>
      </w:r>
      <w:r>
        <w:t xml:space="preserve">se rozhodl </w:t>
      </w:r>
      <w:r>
        <w:t>ustoupit. Ovšem, bylo třeba určitých formalit; musilo být na příklad vyhověno anglickému smyslu pro fair-play</w:t>
      </w:r>
    </w:p>
    <w:p w:rsidR="00500724" w:rsidRDefault="00F30FB8">
      <w:pPr>
        <w:pStyle w:val="Zkladntext1"/>
        <w:shd w:val="clear" w:color="auto" w:fill="auto"/>
        <w:spacing w:after="40" w:line="211" w:lineRule="auto"/>
        <w:ind w:firstLine="240"/>
      </w:pPr>
      <w:r>
        <w:t xml:space="preserve">Kdyby byl </w:t>
      </w:r>
      <w:r>
        <w:rPr>
          <w:lang w:val="en-US" w:eastAsia="en-US" w:bidi="en-US"/>
        </w:rPr>
        <w:t xml:space="preserve">Chamberlain </w:t>
      </w:r>
      <w:r>
        <w:t>učinil z československého problému svou záležitost, uvažoval jsem, měl pouze dvě možnosti. Postavit se proti Hitlerovi a být</w:t>
      </w:r>
      <w:r>
        <w:t xml:space="preserve"> připraven </w:t>
      </w:r>
      <w:r>
        <w:rPr>
          <w:b/>
          <w:bCs/>
          <w:sz w:val="14"/>
          <w:szCs w:val="14"/>
        </w:rPr>
        <w:t xml:space="preserve">i </w:t>
      </w:r>
      <w:r>
        <w:t>bojovat, bude-li toho třeba. Druhá možnost byla donutit Čechy, aby povolili. Beneš částečnou mobilisaci v květ</w:t>
      </w:r>
      <w:r>
        <w:softHyphen/>
        <w:t>nu ukázal Chamberlainovi, že neustoupí. To znamenalo těžkosti — pro Beneše.</w:t>
      </w:r>
    </w:p>
    <w:p w:rsidR="00500724" w:rsidRDefault="00F30FB8">
      <w:pPr>
        <w:pStyle w:val="Zkladntext1"/>
        <w:shd w:val="clear" w:color="auto" w:fill="auto"/>
        <w:spacing w:line="209" w:lineRule="auto"/>
        <w:ind w:firstLine="0"/>
        <w:jc w:val="center"/>
      </w:pPr>
      <w:r>
        <w:t>Runcimanova mise</w:t>
      </w:r>
    </w:p>
    <w:p w:rsidR="00500724" w:rsidRDefault="00F30FB8">
      <w:pPr>
        <w:pStyle w:val="Zkladntext1"/>
        <w:shd w:val="clear" w:color="auto" w:fill="auto"/>
        <w:spacing w:line="209" w:lineRule="auto"/>
      </w:pPr>
      <w:r>
        <w:t xml:space="preserve">Stáli jsme — 86 žurnalistů všech </w:t>
      </w:r>
      <w:r>
        <w:t>možných národno</w:t>
      </w:r>
      <w:r>
        <w:softHyphen/>
        <w:t>stí — v hale pražského hotelu Alcron. Hosté, ubytovaní v hotelu, pili svou kávu na druhém konci haly a zvě</w:t>
      </w:r>
      <w:r>
        <w:softHyphen/>
        <w:t>davě se po nás ohlíželi. Dva číšníci přehradili tlustou záclonou halu a tím nás ukryli. Za několik minut při</w:t>
      </w:r>
      <w:r>
        <w:softHyphen/>
        <w:t xml:space="preserve">nesli </w:t>
      </w:r>
      <w:r>
        <w:rPr>
          <w:lang w:val="en-US" w:eastAsia="en-US" w:bidi="en-US"/>
        </w:rPr>
        <w:t xml:space="preserve">podium </w:t>
      </w:r>
      <w:r>
        <w:t>a obloukové</w:t>
      </w:r>
      <w:r>
        <w:t xml:space="preserve"> světlo.</w:t>
      </w:r>
    </w:p>
    <w:p w:rsidR="00500724" w:rsidRDefault="00F30FB8">
      <w:pPr>
        <w:pStyle w:val="Zkladntext1"/>
        <w:shd w:val="clear" w:color="auto" w:fill="auto"/>
        <w:spacing w:line="209" w:lineRule="auto"/>
      </w:pPr>
      <w:r>
        <w:t>Bylo slyšet šumot a záclona se rozhrnula. Objevil se malý muž v staromódním smokingu a s neobvykle vy</w:t>
      </w:r>
      <w:r>
        <w:softHyphen/>
        <w:t>sokým límcem. Držel list papíru. Váhali jsme a pak ko</w:t>
      </w:r>
      <w:r>
        <w:softHyphen/>
        <w:t xml:space="preserve">nečně kdosi začal tleskat. Lord Runciman zakašlal a vystoupil na </w:t>
      </w:r>
      <w:r>
        <w:rPr>
          <w:lang w:val="en-US" w:eastAsia="en-US" w:bidi="en-US"/>
        </w:rPr>
        <w:t xml:space="preserve">podium. </w:t>
      </w:r>
      <w:r>
        <w:t xml:space="preserve">Oblouková lampa </w:t>
      </w:r>
      <w:r>
        <w:t>ozařovala jeho obličej, když tam tak stál, slabě nakloněn, s pažemi volně spuštěnými podél těla. Ustal potlesk a nastalo ně</w:t>
      </w:r>
      <w:r>
        <w:softHyphen/>
        <w:t>kolik vteřin trapného ticha. Pak se Runciman pokusil přerušit chlad.</w:t>
      </w:r>
    </w:p>
    <w:p w:rsidR="00500724" w:rsidRDefault="00F30FB8">
      <w:pPr>
        <w:pStyle w:val="Zkladntext1"/>
        <w:shd w:val="clear" w:color="auto" w:fill="auto"/>
        <w:spacing w:line="211" w:lineRule="auto"/>
      </w:pPr>
      <w:r>
        <w:t>»Nuže,« pravil s překvapujícím hlubokým hlasem, »Kdo půjde prvn</w:t>
      </w:r>
      <w:r>
        <w:t>í, reportéři nebo fotografové?«</w:t>
      </w:r>
    </w:p>
    <w:p w:rsidR="00500724" w:rsidRDefault="00F30FB8">
      <w:pPr>
        <w:pStyle w:val="Zkladntext1"/>
        <w:shd w:val="clear" w:color="auto" w:fill="auto"/>
        <w:spacing w:line="211" w:lineRule="auto"/>
      </w:pPr>
      <w:r>
        <w:t>Žádali jsme, aby se věnoval napřed reportérům. Tak Runciman pozvedl list papíru a pravil nám — čta tak rychle, že jsem mu stačil pouze nejrychlejším těsnopi</w:t>
      </w:r>
      <w:r>
        <w:softHyphen/>
        <w:t>sem — že přijel do Prahy jako přítel všech a nepřítel nikoho, že mí</w:t>
      </w:r>
      <w:r>
        <w:t>r může být zachráněn vzájemným souhla</w:t>
      </w:r>
      <w:r>
        <w:softHyphen/>
        <w:t>sem a že další zprávy budou občas vydávány tisku. Se</w:t>
      </w:r>
      <w:r>
        <w:softHyphen/>
        <w:t xml:space="preserve">stoupil s </w:t>
      </w:r>
      <w:r>
        <w:rPr>
          <w:lang w:val="en-US" w:eastAsia="en-US" w:bidi="en-US"/>
        </w:rPr>
        <w:t xml:space="preserve">podia </w:t>
      </w:r>
      <w:r>
        <w:t>a ti, kdož uměli anglicky, byli ihned ob</w:t>
      </w:r>
      <w:r>
        <w:softHyphen/>
        <w:t>stoupeni těmi, kteří mu nerozuměli a kteří také chtěli vědět, co Runciman řekl. Když jsme jim to řekli, neby</w:t>
      </w:r>
      <w:r>
        <w:t>li příliš spokojeni. Runciman se pečlivě vyhnul jakékoli otázce, která se nám zdála být zajímavá.</w:t>
      </w:r>
    </w:p>
    <w:p w:rsidR="00500724" w:rsidRDefault="00F30FB8">
      <w:pPr>
        <w:pStyle w:val="Zkladntext1"/>
        <w:shd w:val="clear" w:color="auto" w:fill="auto"/>
        <w:spacing w:line="211" w:lineRule="auto"/>
      </w:pPr>
      <w:r>
        <w:t xml:space="preserve">Tak na příklad mimořádně důležitá otázka, čí to byl v prvé řadě nápad poslat Runcimanovu misi do Prahy. Všichni, kdož jste čtli noviny, vzpomenete si, že 26. </w:t>
      </w:r>
      <w:r>
        <w:t>čer</w:t>
      </w:r>
      <w:r>
        <w:softHyphen/>
        <w:t xml:space="preserve">vence </w:t>
      </w:r>
      <w:r>
        <w:rPr>
          <w:lang w:val="en-US" w:eastAsia="en-US" w:bidi="en-US"/>
        </w:rPr>
        <w:t xml:space="preserve">Mr. Chamberlain </w:t>
      </w:r>
      <w:r>
        <w:t>učinil v dolní sněmovně prohlá</w:t>
      </w:r>
      <w:r>
        <w:softHyphen/>
        <w:t>šení o Runcimanově misi. Pravil, že Lord Runciman po</w:t>
      </w:r>
      <w:r>
        <w:softHyphen/>
        <w:t>jede do Prahy nikoli jako rozhodčí, nýbrž jako vyšetřo</w:t>
      </w:r>
      <w:r>
        <w:softHyphen/>
        <w:t>vatel a prostředník... a to na žádost pražské vlády.</w:t>
      </w:r>
    </w:p>
    <w:p w:rsidR="00500724" w:rsidRDefault="00F30FB8">
      <w:pPr>
        <w:pStyle w:val="Zkladntext1"/>
        <w:shd w:val="clear" w:color="auto" w:fill="auto"/>
        <w:spacing w:line="211" w:lineRule="auto"/>
      </w:pPr>
      <w:r>
        <w:t>To bylo pro mne v Praze novinkou. Nese</w:t>
      </w:r>
      <w:r>
        <w:t>tkal jsem se s nikým z pražské vlády, kdo by byl nadšen myšlenkou Runcimanovy mise, a nalezl jsem mnoho Čechů, af ve vládě či mimo vládu, kteří hluboce nedůvěřovali Cham</w:t>
      </w:r>
      <w:r>
        <w:softHyphen/>
        <w:t>berlainovým pohnutkám.</w:t>
      </w:r>
    </w:p>
    <w:p w:rsidR="00500724" w:rsidRDefault="00F30FB8">
      <w:pPr>
        <w:pStyle w:val="Zkladntext1"/>
        <w:shd w:val="clear" w:color="auto" w:fill="auto"/>
        <w:spacing w:line="209" w:lineRule="auto"/>
      </w:pPr>
      <w:r>
        <w:t>Po prvé jsem slyšel, že Runciman má být poslán do Prahy, od fra</w:t>
      </w:r>
      <w:r>
        <w:t xml:space="preserve">ncouzského přítele, který ke mně přišel a pravil mi: ^Slyšel jste tu novinku? Angličané chtějí poslat do Prahy prostředkovatele. Uvědomili o tomto plánu francouzskou vládu. Váš král a královna byli v Paříži. </w:t>
      </w:r>
      <w:r>
        <w:rPr>
          <w:lang w:val="en-US" w:eastAsia="en-US" w:bidi="en-US"/>
        </w:rPr>
        <w:t xml:space="preserve">Lord Halifax, </w:t>
      </w:r>
      <w:r>
        <w:t>váš ministr zahraničních věcí, pro</w:t>
      </w:r>
      <w:r>
        <w:softHyphen/>
        <w:t>hlásil, že je třeba rychle rozřešit československý pro</w:t>
      </w:r>
      <w:r>
        <w:softHyphen/>
        <w:t>blém. Co můžeme m y dělat? Musili jsme dát souhlas.«</w:t>
      </w:r>
    </w:p>
    <w:p w:rsidR="00500724" w:rsidRDefault="00F30FB8">
      <w:pPr>
        <w:pStyle w:val="Zkladntext1"/>
        <w:shd w:val="clear" w:color="auto" w:fill="auto"/>
        <w:spacing w:line="209" w:lineRule="auto"/>
      </w:pPr>
      <w:r>
        <w:t>Telefonoval jsem dvakrát do Černínského paláce, kde je umístěno ministerstvo zahraničních věcí, a shledal jsem, že již všechno odešlo domů. Volal j</w:t>
      </w:r>
      <w:r>
        <w:t>sem telefonicky úředníky ministerstva zahraničních věcí, jednoho po druhém, v jejich domovech. Nic o tom nevěděli. Sháněli informace na různých místech a pak mně telefonovali: »Nikdo neví nic o tom,« telefonovali, ínemůže to být pravda.«</w:t>
      </w:r>
    </w:p>
    <w:p w:rsidR="00500724" w:rsidRDefault="00F30FB8">
      <w:pPr>
        <w:pStyle w:val="Zkladntext1"/>
        <w:shd w:val="clear" w:color="auto" w:fill="auto"/>
        <w:spacing w:line="209" w:lineRule="auto"/>
      </w:pPr>
      <w:r>
        <w:t>Tolik jen o tom če</w:t>
      </w:r>
      <w:r>
        <w:t>ském »pozvání«.</w:t>
      </w:r>
    </w:p>
    <w:p w:rsidR="00500724" w:rsidRDefault="00F30FB8">
      <w:pPr>
        <w:pStyle w:val="Zkladntext1"/>
        <w:shd w:val="clear" w:color="auto" w:fill="auto"/>
        <w:spacing w:line="209" w:lineRule="auto"/>
      </w:pPr>
      <w:r>
        <w:t>Druhý den jsem viděl britského ministra v Praze, Ba- siía Newtona, jak vsedl do své limousiny před britským vyslanectvím a pak odjel dvě stě metrů do kopce na Hrad. Téhož dne jsem navštívil své přátele na minister</w:t>
      </w:r>
      <w:r>
        <w:softHyphen/>
        <w:t>stvu zahraničních věcí. By</w:t>
      </w:r>
      <w:r>
        <w:t>li velmi zasmušilí. Nyní již věděli o Runcimanově poslání.</w:t>
      </w:r>
    </w:p>
    <w:p w:rsidR="00500724" w:rsidRDefault="00F30FB8">
      <w:pPr>
        <w:pStyle w:val="Zkladntext1"/>
        <w:shd w:val="clear" w:color="auto" w:fill="auto"/>
        <w:spacing w:line="211" w:lineRule="auto"/>
      </w:pPr>
      <w:r>
        <w:t>Téhož večera jsem pil kávu s jedním z nich v za</w:t>
      </w:r>
      <w:r>
        <w:softHyphen/>
        <w:t>hradní restauraci na levém břehu Vltavy. Mladí Češi tančili při své jazzové hudbě. Můj přítel nervosně kou</w:t>
      </w:r>
      <w:r>
        <w:softHyphen/>
        <w:t>řil cigarety. s&gt;Co jsme my mohli dělat? pr</w:t>
      </w:r>
      <w:r>
        <w:t>avil. » Angli</w:t>
      </w:r>
      <w:r>
        <w:softHyphen/>
        <w:t>čané nás požádali, abychom přijali prostředkovatele, a Francouzi je podporují. Nemohli jsme odmítnout. To by nás uvrhlo do špatného světla. Musili jsme při</w:t>
      </w:r>
      <w:r>
        <w:softHyphen/>
        <w:t>jmou t.«</w:t>
      </w:r>
    </w:p>
    <w:p w:rsidR="00500724" w:rsidRDefault="00F30FB8">
      <w:pPr>
        <w:pStyle w:val="Zkladntext1"/>
        <w:shd w:val="clear" w:color="auto" w:fill="auto"/>
        <w:spacing w:line="214" w:lineRule="auto"/>
        <w:rPr>
          <w:sz w:val="14"/>
          <w:szCs w:val="14"/>
        </w:rPr>
      </w:pPr>
      <w:r>
        <w:t xml:space="preserve">Runciman se usadil </w:t>
      </w:r>
      <w:r>
        <w:rPr>
          <w:b/>
          <w:bCs/>
          <w:sz w:val="20"/>
          <w:szCs w:val="20"/>
        </w:rPr>
        <w:t xml:space="preserve">v </w:t>
      </w:r>
      <w:r>
        <w:t>Alcroně. Čechové přichystali pro něho a jeho družinu řad</w:t>
      </w:r>
      <w:r>
        <w:t>u místností. Byly tam insta</w:t>
      </w:r>
      <w:r>
        <w:softHyphen/>
        <w:t>lovány soukromé telefonní linky. Avšak i soukromé telefony se dají odposlouchat. A telefonní linka z Pra</w:t>
      </w:r>
      <w:r>
        <w:softHyphen/>
        <w:t>hy do Londýna jde přes Německo. Všemožné druhy nejzáhadněji vypadajících osob se najednou začaly po</w:t>
      </w:r>
      <w:r>
        <w:softHyphen/>
        <w:t>hybovat v hale Alcronu.</w:t>
      </w:r>
      <w:r>
        <w:t xml:space="preserve"> Nepochybuji o tom, že vět</w:t>
      </w:r>
      <w:r>
        <w:softHyphen/>
        <w:t>šina z nich byli náhodní hosté, ale stejně to bylo podiv</w:t>
      </w:r>
      <w:r>
        <w:softHyphen/>
        <w:t>né. Sudetští Němci se dověděli, že Runciman má rád vážnou hudbu. Následujícího dne dostal tříčlenný or</w:t>
      </w:r>
      <w:r>
        <w:softHyphen/>
        <w:t xml:space="preserve">chestr, který hrál v hale každý večer, celý svazek not </w:t>
      </w:r>
      <w:r>
        <w:rPr>
          <w:b/>
          <w:bCs/>
          <w:sz w:val="14"/>
          <w:szCs w:val="14"/>
        </w:rPr>
        <w:t>klasické hudby</w:t>
      </w:r>
      <w:r>
        <w:rPr>
          <w:b/>
          <w:bCs/>
          <w:sz w:val="14"/>
          <w:szCs w:val="14"/>
        </w:rPr>
        <w:t>.</w:t>
      </w:r>
    </w:p>
    <w:p w:rsidR="00500724" w:rsidRDefault="00F30FB8">
      <w:pPr>
        <w:pStyle w:val="Zkladntext1"/>
        <w:shd w:val="clear" w:color="auto" w:fill="auto"/>
        <w:spacing w:line="211" w:lineRule="auto"/>
      </w:pPr>
      <w:r>
        <w:t>Runcimanova mise zalezla do skořápky a nechtěla z ní ven. Ta byla těsnější než u želvy. Jednou, když jsme již byli rozhořčeni nad tím, že jsme nedostávali žádné zprávy, čemuž jsme nerozuměli a což jsme také neprominuli, napadli jsme jednoho člena z Runci</w:t>
      </w:r>
      <w:r>
        <w:t>ma</w:t>
      </w:r>
      <w:r>
        <w:softHyphen/>
        <w:t>novy mise. Byl docela upřímný.</w:t>
      </w:r>
    </w:p>
    <w:p w:rsidR="00500724" w:rsidRDefault="00F30FB8">
      <w:pPr>
        <w:pStyle w:val="Zkladntext1"/>
        <w:shd w:val="clear" w:color="auto" w:fill="auto"/>
        <w:spacing w:line="211" w:lineRule="auto"/>
      </w:pPr>
      <w:r>
        <w:t>&gt; Je mi velice líto,« pravil »Znám vaše těžkosti. Avšak v těchto dnech je nezbytně třeba, aby větší část naší práce zůstala naprosto důvěrná. Nejmenší problesknutí zpráv by mohlo vést k ... nuže tedy k válce.«</w:t>
      </w:r>
    </w:p>
    <w:p w:rsidR="00500724" w:rsidRDefault="00F30FB8">
      <w:pPr>
        <w:pStyle w:val="Zkladntext1"/>
        <w:shd w:val="clear" w:color="auto" w:fill="auto"/>
        <w:spacing w:line="211" w:lineRule="auto"/>
      </w:pPr>
      <w:r>
        <w:t xml:space="preserve">»Máte-li za </w:t>
      </w:r>
      <w:r>
        <w:t>to, že stav věcí je tak vážný, nemyslíte, že by bylo lépe, kdyby anglický lid se něco o tom do</w:t>
      </w:r>
      <w:r>
        <w:softHyphen/>
        <w:t>věděl ?«</w:t>
      </w:r>
    </w:p>
    <w:p w:rsidR="00500724" w:rsidRDefault="00F30FB8">
      <w:pPr>
        <w:pStyle w:val="Zkladntext1"/>
        <w:shd w:val="clear" w:color="auto" w:fill="auto"/>
        <w:spacing w:line="211" w:lineRule="auto"/>
      </w:pPr>
      <w:r>
        <w:t>Byla to zbytečná otázka. Znali jsme sami odpověď. Nesmí se nikdy dovolit, aby anglické veřejné mínění myslilo na válku dříve než týden před jejím vypukn</w:t>
      </w:r>
      <w:r>
        <w:t>u</w:t>
      </w:r>
      <w:r>
        <w:softHyphen/>
        <w:t>tím. Působilo by to těžkosti obchodu. Lidé neutrácejí peníze, když vědí, že bude válka. Působí to potíže poli</w:t>
      </w:r>
      <w:r>
        <w:softHyphen/>
        <w:t>tice a nepříznivě to působí na prestyž ministerského předsedy — a snad i samé konservativní strany.</w:t>
      </w:r>
    </w:p>
    <w:p w:rsidR="00500724" w:rsidRDefault="00F30FB8">
      <w:pPr>
        <w:pStyle w:val="Zkladntext1"/>
        <w:shd w:val="clear" w:color="auto" w:fill="auto"/>
        <w:spacing w:line="211" w:lineRule="auto"/>
      </w:pPr>
      <w:r>
        <w:t>Pokusili jsme se na to jít jinak: »Získáme-l</w:t>
      </w:r>
      <w:r>
        <w:t>i zprávy z jiných pramenů, potvrdíte nebo vyvrátíte nám je?«</w:t>
      </w:r>
    </w:p>
    <w:p w:rsidR="00500724" w:rsidRDefault="00F30FB8">
      <w:pPr>
        <w:pStyle w:val="Zkladntext1"/>
        <w:shd w:val="clear" w:color="auto" w:fill="auto"/>
        <w:spacing w:line="211" w:lineRule="auto"/>
      </w:pPr>
      <w:r>
        <w:t>Člen mise si pohrával s whisky a sodou: » Nevím, jsem-li oprávněn odpovědět kladně na tuto otázku. Ne</w:t>
      </w:r>
      <w:r>
        <w:softHyphen/>
        <w:t>mohu vám, přátelé, popsat, jak je ta situace nebez</w:t>
      </w:r>
      <w:r>
        <w:softHyphen/>
        <w:t>pečná.«</w:t>
      </w:r>
    </w:p>
    <w:p w:rsidR="00500724" w:rsidRDefault="00F30FB8">
      <w:pPr>
        <w:pStyle w:val="Zkladntext1"/>
        <w:shd w:val="clear" w:color="auto" w:fill="auto"/>
        <w:spacing w:line="211" w:lineRule="auto"/>
      </w:pPr>
      <w:r>
        <w:t xml:space="preserve">My jsme to ovšem nemohli vědět! </w:t>
      </w:r>
      <w:r>
        <w:t>Byli jsme v Česko</w:t>
      </w:r>
      <w:r>
        <w:softHyphen/>
        <w:t>slovensku celé čtyři měsíce již předtím, než do Prahy přijela Runcimanova mise. Procestovali jsme celou zemi a mluvili jsme se všemi možnými lidmi. Runcimanova mise byla naproti tomu v Praze pouze několik týdnů a při tom se nepohnula z ho</w:t>
      </w:r>
      <w:r>
        <w:t xml:space="preserve">telu kromě weekendových přepychových zájezdů na venkovská sídla sudetských Němců. Nyní jsme již věděli, jak jsme na tom s touto misí. Řeklo se nám vskutku velmi zdvořile: »Mám strach, že vám nic nemohu říci, a mám za to, že jsem oprávněn k tomu, abych vám </w:t>
      </w:r>
      <w:r>
        <w:t xml:space="preserve">lhal, je-li toho třeba.« Runciman navštívil Hodžu a Beneše, aby je pozdravil. Viděl jsem jej, jak jel na Hrad ve svém autě, které mu zapůjčilo anglické vyslanectví a které bylo opatřeno značkou C. D. — </w:t>
      </w:r>
      <w:r>
        <w:rPr>
          <w:lang w:val="en-US" w:eastAsia="en-US" w:bidi="en-US"/>
        </w:rPr>
        <w:t>Corps Diplomatique.</w:t>
      </w:r>
    </w:p>
    <w:p w:rsidR="00500724" w:rsidRDefault="00F30FB8">
      <w:pPr>
        <w:pStyle w:val="Zkladntext1"/>
        <w:shd w:val="clear" w:color="auto" w:fill="auto"/>
        <w:spacing w:line="211" w:lineRule="auto"/>
      </w:pPr>
      <w:r>
        <w:t>Kundt jezdil do Alcronu v malém ot</w:t>
      </w:r>
      <w:r>
        <w:t>evřeném čtyř</w:t>
      </w:r>
      <w:r>
        <w:softHyphen/>
        <w:t>sedadlovém voze. Následovala jiná auta s právnickými a hospodářskými experty i ; sudetoněmecké strany, je</w:t>
      </w:r>
      <w:r>
        <w:softHyphen/>
        <w:t>jichž kožené brašny praskaly obsahem. Auta řídili čle</w:t>
      </w:r>
      <w:r>
        <w:softHyphen/>
        <w:t>nové uniformované stráže sudetoněmecké strany — v še</w:t>
      </w:r>
      <w:r>
        <w:softHyphen/>
        <w:t>dých košilích, černých kalhotá</w:t>
      </w:r>
      <w:r>
        <w:t>ch a černých vysokých botách. Sudetští Němci se stávali smělejšími a ukazo</w:t>
      </w:r>
      <w:r>
        <w:softHyphen/>
        <w:t>vali své uniformy mezi českým pražským obyvatel</w:t>
      </w:r>
      <w:r>
        <w:softHyphen/>
        <w:t>stvem.</w:t>
      </w:r>
    </w:p>
    <w:p w:rsidR="00500724" w:rsidRDefault="00F30FB8">
      <w:pPr>
        <w:pStyle w:val="Zkladntext1"/>
        <w:shd w:val="clear" w:color="auto" w:fill="auto"/>
        <w:spacing w:line="211" w:lineRule="auto"/>
      </w:pPr>
      <w:r>
        <w:t>Přátelé v Londýně mně říkali, že Runciman čekal na počátku svého pobytu celých čtrnáct dnů, že Češi učiní nějaký krok. Je zcel</w:t>
      </w:r>
      <w:r>
        <w:t>a pravda, že během prvních sedm</w:t>
      </w:r>
      <w:r>
        <w:softHyphen/>
        <w:t>nácti dnů od příjezdu Runcimana do Prahy nepodnikl nikdo nic důležitějšího. Ježto Runciman byl vyslán jako vyšetřovatel a prostředkovatek domnívali jsme se vši</w:t>
      </w:r>
      <w:r>
        <w:softHyphen/>
        <w:t>chni, že napřed bude vyšetřovat a pak prostředkovat, a Češi, kte</w:t>
      </w:r>
      <w:r>
        <w:t>ří byli zdvořilí a vvčkávali jeho pokynů, byli stejného názoru.</w:t>
      </w:r>
    </w:p>
    <w:p w:rsidR="00500724" w:rsidRDefault="00F30FB8">
      <w:pPr>
        <w:pStyle w:val="Zkladntext1"/>
        <w:shd w:val="clear" w:color="auto" w:fill="auto"/>
        <w:spacing w:line="211" w:lineRule="auto"/>
        <w:sectPr w:rsidR="00500724">
          <w:footnotePr>
            <w:numFmt w:val="chicago"/>
            <w:numRestart w:val="eachPage"/>
          </w:footnotePr>
          <w:type w:val="continuous"/>
          <w:pgSz w:w="11909" w:h="16834"/>
          <w:pgMar w:top="1576" w:right="909" w:bottom="951" w:left="612" w:header="0" w:footer="3" w:gutter="0"/>
          <w:cols w:num="2" w:space="100"/>
          <w:noEndnote/>
          <w:docGrid w:linePitch="360"/>
        </w:sectPr>
      </w:pPr>
      <w:r>
        <w:t>Podle mého soudu měl Runciman beznadějný úkol, chtěl-li doopravdy se pokusit spravedlivě rozřešit tento</w:t>
      </w:r>
    </w:p>
    <w:p w:rsidR="00500724" w:rsidRDefault="00F30FB8">
      <w:pPr>
        <w:pStyle w:val="Zkladntext1"/>
        <w:shd w:val="clear" w:color="auto" w:fill="auto"/>
        <w:spacing w:line="211" w:lineRule="auto"/>
        <w:ind w:firstLine="0"/>
      </w:pPr>
      <w:r>
        <w:t>problém. Jak mohl rozřešit v několika týdnech pro</w:t>
      </w:r>
      <w:r>
        <w:softHyphen/>
        <w:t>blém tak</w:t>
      </w:r>
      <w:r>
        <w:t xml:space="preserve"> hlul oce zakořeněný v čase? Přiznám se, že jsem neměl žádné vlastní řešení, ani výhled na nějaké řešení. Kdyby zde nebylo Hitlera, bylo by vše zcela jednoduché. Jsem přesvědčen, že na předpokladu auto</w:t>
      </w:r>
      <w:r>
        <w:softHyphen/>
        <w:t>nomie s vlastními místními úředníky silná ústřední pra</w:t>
      </w:r>
      <w:r>
        <w:t>žská vláda by byla s to udržet si loyalitu většiny su</w:t>
      </w:r>
      <w:r>
        <w:softHyphen/>
        <w:t>detských Němců.</w:t>
      </w:r>
    </w:p>
    <w:p w:rsidR="00500724" w:rsidRDefault="00F30FB8">
      <w:pPr>
        <w:pStyle w:val="Zkladntext1"/>
        <w:shd w:val="clear" w:color="auto" w:fill="auto"/>
        <w:spacing w:after="120" w:line="211" w:lineRule="auto"/>
        <w:ind w:firstLine="260"/>
      </w:pPr>
      <w:r>
        <w:t xml:space="preserve">Češi poznali, že nyní již bylo pozdě. Neboť — a to je nejdůležitější stránka Runcimanovy mise — kontrola československé zahraniční politiky konečně vypadla z Benešových rukou. </w:t>
      </w:r>
      <w:r>
        <w:rPr>
          <w:lang w:val="en-US" w:eastAsia="en-US" w:bidi="en-US"/>
        </w:rPr>
        <w:t xml:space="preserve">Chamberlain </w:t>
      </w:r>
      <w:r>
        <w:t>kontroloval českoslo</w:t>
      </w:r>
      <w:r>
        <w:softHyphen/>
        <w:t>venskou zahraniční politiku prostřednictvím Runcima- na v Praze. Co mohli Češi dělat? V očích celého světa byli nuceni vyčkat Runcimanova rozhodnutí, i když sebe více prohlašovali, že budou bránit celistvost svého státu. Be</w:t>
      </w:r>
      <w:r>
        <w:t>neš již nemohl posílat vyslance Jana Masaryka, syna svého učitele, do Londýna, aby hájil českou věc u ministra zahraničních věcí Halifaxe, nebof by se Masarykovi zdvořile odpovědělo, že britská vláda musí být nutně pod vlivem Runcimanovýc.h rad. Osuský, vy</w:t>
      </w:r>
      <w:r>
        <w:softHyphen/>
        <w:t>slanec v Paříži, také již se nemohl odebrat na Quai ďOrsay s nějakým úspěchem, nebof Francouzi měli vol</w:t>
      </w:r>
      <w:r>
        <w:softHyphen/>
        <w:t>bu mezi paktem s Československem a dohodou s Anglií a klonili se, ač nejistě a s obavami, k Anglii.</w:t>
      </w:r>
    </w:p>
    <w:p w:rsidR="00500724" w:rsidRDefault="00F30FB8">
      <w:pPr>
        <w:pStyle w:val="Zkladntext1"/>
        <w:shd w:val="clear" w:color="auto" w:fill="auto"/>
        <w:spacing w:after="80" w:line="209" w:lineRule="auto"/>
        <w:ind w:firstLine="0"/>
        <w:jc w:val="center"/>
      </w:pPr>
      <w:r>
        <w:t>A n g 1 o-f rancouzský nátlak</w:t>
      </w:r>
    </w:p>
    <w:p w:rsidR="00500724" w:rsidRDefault="00F30FB8">
      <w:pPr>
        <w:pStyle w:val="Zkladntext1"/>
        <w:shd w:val="clear" w:color="auto" w:fill="auto"/>
        <w:spacing w:line="209" w:lineRule="auto"/>
        <w:ind w:firstLine="260"/>
      </w:pPr>
      <w:r>
        <w:t>Pražská světla se mih</w:t>
      </w:r>
      <w:r>
        <w:t>otala v údolí, když jsem jel přes Bílou Horu v oné noci 20. září.</w:t>
      </w:r>
    </w:p>
    <w:p w:rsidR="00500724" w:rsidRDefault="00F30FB8">
      <w:pPr>
        <w:pStyle w:val="Zkladntext1"/>
        <w:shd w:val="clear" w:color="auto" w:fill="auto"/>
        <w:spacing w:line="209" w:lineRule="auto"/>
        <w:ind w:firstLine="260"/>
      </w:pPr>
      <w:r>
        <w:t>Anglie nebyla v nevolnictví pod jinou zemí asi po devět set let. Právě proto je velmi těžké pro Angličany si uvědomit plnou hodnotu svobody a porozumět poci</w:t>
      </w:r>
      <w:r>
        <w:softHyphen/>
        <w:t>tům Cechů, jejichž svoboda byla t</w:t>
      </w:r>
      <w:r>
        <w:t>éto noci opět v nebez</w:t>
      </w:r>
      <w:r>
        <w:softHyphen/>
        <w:t xml:space="preserve">pečí. Avšak každý Cech si uvědomoval toto nebezpečí a byl připrtven bojovat, stejně jako vy budete ochotni bojovat, bude-li vaše osobní svoboda ohrožena. </w:t>
      </w:r>
      <w:r>
        <w:rPr>
          <w:b/>
          <w:bCs/>
          <w:sz w:val="20"/>
          <w:szCs w:val="20"/>
        </w:rPr>
        <w:t xml:space="preserve">V </w:t>
      </w:r>
      <w:r>
        <w:t xml:space="preserve">tomto případě se tenkrát zdálo, </w:t>
      </w:r>
      <w:r>
        <w:rPr>
          <w:b/>
          <w:bCs/>
          <w:sz w:val="20"/>
          <w:szCs w:val="20"/>
        </w:rPr>
        <w:t xml:space="preserve">že </w:t>
      </w:r>
      <w:r>
        <w:t>Čechům nezbývalo nic ji</w:t>
      </w:r>
      <w:r>
        <w:softHyphen/>
        <w:t>ného než oetrvat př</w:t>
      </w:r>
      <w:r>
        <w:t>i jejich rozhodnutí a bojovat, bude-li toho zapotřebí. Vládní anglické listy v těchto dnech mluvily o tom, že se musí najít mírové řešení: předpo</w:t>
      </w:r>
      <w:r>
        <w:softHyphen/>
        <w:t>kládaly, že mírové rozřešení lze nalézt jediné, když Céši učiní ústupky. Nikdo však nepožádal Hitlera, aby uči</w:t>
      </w:r>
      <w:r>
        <w:softHyphen/>
        <w:t>nil nějaké ústupky.</w:t>
      </w:r>
    </w:p>
    <w:p w:rsidR="00500724" w:rsidRDefault="00F30FB8">
      <w:pPr>
        <w:pStyle w:val="Zkladntext1"/>
        <w:shd w:val="clear" w:color="auto" w:fill="auto"/>
        <w:spacing w:line="209" w:lineRule="auto"/>
        <w:ind w:firstLine="260"/>
      </w:pPr>
      <w:r>
        <w:t>A nyní byl poslán z Londýna do Prahy seznam obětí, které se od Cechů žádaly. Francie, jejíž zahraniční mi</w:t>
      </w:r>
      <w:r>
        <w:softHyphen/>
        <w:t xml:space="preserve">nistr </w:t>
      </w:r>
      <w:r>
        <w:rPr>
          <w:lang w:val="en-US" w:eastAsia="en-US" w:bidi="en-US"/>
        </w:rPr>
        <w:t xml:space="preserve">Bonnet </w:t>
      </w:r>
      <w:r>
        <w:t>ještě před nedávném ujistil českosloven</w:t>
      </w:r>
      <w:r>
        <w:softHyphen/>
        <w:t>ského vyslance v Paříži, Osuského, že Francie dostojí svému závazku, vyvěraj</w:t>
      </w:r>
      <w:r>
        <w:t>ícímu z francouzsko-českoslo- venského paktu, do posledního písmene, přiložila své závaží k anglickému tlaku. Uvidíte, o jaký tlak se jed</w:t>
      </w:r>
      <w:r>
        <w:softHyphen/>
        <w:t>nalo. Modlil jsem se, aby Beneš byl s to odporovat, ne</w:t>
      </w:r>
      <w:r>
        <w:softHyphen/>
        <w:t>bof jsem hluboce a trpce cítil, že Anglie páše hrozný omyl. Při</w:t>
      </w:r>
      <w:r>
        <w:t>pomeňte si jen, že sudetští Němci přece ne</w:t>
      </w:r>
      <w:r>
        <w:softHyphen/>
        <w:t>byli vlastním problémem.</w:t>
      </w:r>
    </w:p>
    <w:p w:rsidR="00500724" w:rsidRDefault="00F30FB8">
      <w:pPr>
        <w:pStyle w:val="Zkladntext1"/>
        <w:shd w:val="clear" w:color="auto" w:fill="auto"/>
        <w:spacing w:line="209" w:lineRule="auto"/>
        <w:ind w:firstLine="260"/>
      </w:pPr>
      <w:r>
        <w:t>Sjížděl jsem do Prahy okolo Hradčan a zpozoroval jsem jasné světlo v křídle, kde Beneš bydlel. Na Václavském náměstí byly obvyklé zástupy lidí, avšak jejich tváře byly zasmušilé. Věděli nv</w:t>
      </w:r>
      <w:r>
        <w:t>ní, co pro ně znamená Berch- tesgaden. Hromadili se okolo novinářských stánků, ku</w:t>
      </w:r>
      <w:r>
        <w:softHyphen/>
        <w:t>pujíce každé nejnovější vydání novin. Tlačili se na chodnících před redakcemi listů, čtouce poslední zprá</w:t>
      </w:r>
      <w:r>
        <w:softHyphen/>
        <w:t>vy. Byli plni úzkosti, protože ani noviny jim neřekly, co vlastně je</w:t>
      </w:r>
      <w:r>
        <w:t>jich vláda dělá.</w:t>
      </w:r>
    </w:p>
    <w:p w:rsidR="00500724" w:rsidRDefault="00F30FB8">
      <w:pPr>
        <w:pStyle w:val="Zkladntext1"/>
        <w:shd w:val="clear" w:color="auto" w:fill="auto"/>
        <w:spacing w:line="209" w:lineRule="auto"/>
        <w:ind w:firstLine="260"/>
      </w:pPr>
      <w:r>
        <w:t>Beneš zápasil o čas a konečně vypracoval svou odpo</w:t>
      </w:r>
      <w:r>
        <w:softHyphen/>
        <w:t>věď. Vrátil se k dvanáct let staré smlouvě mezi Němec</w:t>
      </w:r>
      <w:r>
        <w:softHyphen/>
        <w:t>kem a Československem, na kterou již většina lidí za</w:t>
      </w:r>
      <w:r>
        <w:softHyphen/>
        <w:t xml:space="preserve">pomněla. Je to smlouva o arbitráži, která byla obsažena ve smlouvě locarnské. Kd </w:t>
      </w:r>
      <w:r>
        <w:t>yž Hitler vypověděl locarnskou smlouvu, výslovně prohlásil, že všechny dodatkové smlouvy, mezi nimiž také arbitrážní smlouva s Česko</w:t>
      </w:r>
      <w:r>
        <w:softHyphen/>
        <w:t>slovenskem, zůstávají v nedotčené platnosti.</w:t>
      </w:r>
    </w:p>
    <w:p w:rsidR="00500724" w:rsidRDefault="00F30FB8">
      <w:pPr>
        <w:pStyle w:val="Zkladntext1"/>
        <w:shd w:val="clear" w:color="auto" w:fill="auto"/>
        <w:spacing w:line="209" w:lineRule="auto"/>
        <w:ind w:firstLine="260"/>
      </w:pPr>
      <w:r>
        <w:t>Arbitráž podle této smlouvy byla dvojího druhu Šlo jednak o arbitráž Mezinárod</w:t>
      </w:r>
      <w:r>
        <w:t>ního dvora v Haagu, jed</w:t>
      </w:r>
      <w:r>
        <w:softHyphen/>
        <w:t>nak o arbitráž mezinárodní komise složené z Čechů, Němců a zástupců neutrálních států. Podle arbitrážní smlouvy měly být rozřešeny všechny spory mezi Česko</w:t>
      </w:r>
      <w:r>
        <w:softHyphen/>
        <w:t>slovenskem a Německem jedním z těchto dvou způsobů. Beneš připomněl tuto sml</w:t>
      </w:r>
      <w:r>
        <w:t>ouvu a žádal arbitráž.</w:t>
      </w:r>
    </w:p>
    <w:p w:rsidR="00500724" w:rsidRDefault="00F30FB8">
      <w:pPr>
        <w:pStyle w:val="Zkladntext1"/>
        <w:shd w:val="clear" w:color="auto" w:fill="auto"/>
        <w:spacing w:line="209" w:lineRule="auto"/>
        <w:ind w:firstLine="240"/>
      </w:pPr>
      <w:r>
        <w:t>Avšak Angličané a ovšem také Francouzi odmítli při</w:t>
      </w:r>
      <w:r>
        <w:softHyphen/>
        <w:t xml:space="preserve">jmout tuto odpověď pro Hitlera. (Vzpomněl jsem si však, že </w:t>
      </w:r>
      <w:r>
        <w:rPr>
          <w:lang w:val="en-US" w:eastAsia="en-US" w:bidi="en-US"/>
        </w:rPr>
        <w:t xml:space="preserve">Chamberlain </w:t>
      </w:r>
      <w:r>
        <w:t>přijal Hitlerovy požadavky v Berchtes</w:t>
      </w:r>
      <w:r>
        <w:softHyphen/>
        <w:t>gadenu bez jediného šeptnutí.)</w:t>
      </w:r>
    </w:p>
    <w:p w:rsidR="00500724" w:rsidRDefault="00F30FB8">
      <w:pPr>
        <w:pStyle w:val="Zkladntext1"/>
        <w:shd w:val="clear" w:color="auto" w:fill="auto"/>
        <w:spacing w:line="211" w:lineRule="auto"/>
        <w:ind w:firstLine="240"/>
      </w:pPr>
      <w:r>
        <w:t xml:space="preserve">Několik týdnů později, když byla obnovena </w:t>
      </w:r>
      <w:r>
        <w:t>doprava na drahách mezi Německem a Československem, dostal jsem »Times« ze čtvrtka 21. září, v nichž jsem se zá</w:t>
      </w:r>
      <w:r>
        <w:softHyphen/>
        <w:t>jmem četl o posledním Benešově úsilí. Zvláště zajímavá byla zpráva diplomatického korespondenta, jak v nej</w:t>
      </w:r>
      <w:r>
        <w:softHyphen/>
        <w:t>rannějších hodinách ve středu ráno br</w:t>
      </w:r>
      <w:r>
        <w:t>itská a francouzská vláda ^učinila naléhavou výzvu u československé vlády, aby určitěji odpověděla na anglicko-francouzské návrhy*,</w:t>
      </w:r>
    </w:p>
    <w:p w:rsidR="00500724" w:rsidRDefault="00F30FB8">
      <w:pPr>
        <w:pStyle w:val="Zkladntext1"/>
        <w:shd w:val="clear" w:color="auto" w:fill="auto"/>
        <w:spacing w:line="211" w:lineRule="auto"/>
        <w:ind w:firstLine="240"/>
      </w:pPr>
      <w:r>
        <w:t>Rád bych vám řekl, jak byla učiněna tato vnaléhavá výzva «.</w:t>
      </w:r>
    </w:p>
    <w:p w:rsidR="00500724" w:rsidRDefault="00F30FB8">
      <w:pPr>
        <w:pStyle w:val="Zkladntext1"/>
        <w:shd w:val="clear" w:color="auto" w:fill="auto"/>
        <w:spacing w:line="211" w:lineRule="auto"/>
        <w:ind w:firstLine="240"/>
      </w:pPr>
      <w:r>
        <w:t xml:space="preserve">Ve tři hodiny ráno dne 21. září anglický velvyslanec v Praze </w:t>
      </w:r>
      <w:r>
        <w:rPr>
          <w:lang w:val="en-US" w:eastAsia="en-US" w:bidi="en-US"/>
        </w:rPr>
        <w:t>Bas</w:t>
      </w:r>
      <w:r>
        <w:rPr>
          <w:lang w:val="en-US" w:eastAsia="en-US" w:bidi="en-US"/>
        </w:rPr>
        <w:t xml:space="preserve">il </w:t>
      </w:r>
      <w:r>
        <w:t>Newton odjel z anglického vyslanectví na Hrad. Zvědavé davy, které stály po celý den před Hra</w:t>
      </w:r>
      <w:r>
        <w:softHyphen/>
        <w:t xml:space="preserve">dem, se rozešly a jedině dva legionáři tam stáli na stráži. Tam se k Newtonovi připojil francouzský velvyslanec M. de </w:t>
      </w:r>
      <w:r>
        <w:rPr>
          <w:lang w:val="en-US" w:eastAsia="en-US" w:bidi="en-US"/>
        </w:rPr>
        <w:t xml:space="preserve">la Croix. </w:t>
      </w:r>
      <w:r>
        <w:t xml:space="preserve">Žádali, aby ihned mohli mluvit </w:t>
      </w:r>
      <w:r>
        <w:t>s Benešem.</w:t>
      </w:r>
    </w:p>
    <w:p w:rsidR="00500724" w:rsidRDefault="00F30FB8">
      <w:pPr>
        <w:pStyle w:val="Zkladntext1"/>
        <w:shd w:val="clear" w:color="auto" w:fill="auto"/>
        <w:spacing w:line="211" w:lineRule="auto"/>
        <w:ind w:firstLine="240"/>
      </w:pPr>
      <w:r>
        <w:t>Tajemník spěchal v županu Jo Benešovy ložnice, aby vzbudil spícího presidenta. Rád bych, abyste si v mysli představili, jak tenkráte vypadal Beneš, unavený, před</w:t>
      </w:r>
      <w:r>
        <w:softHyphen/>
        <w:t>časně zestárlý ve čtyřiapadesati letech, trpící nervovým přepracováním, když šel z-</w:t>
      </w:r>
      <w:r>
        <w:t>a britským a francouzským ministrem, aby se podíval tváří v tvář tomu, o čem musil vědět, že to bude konečně nevyhnutelné. Podle slov &gt;Times« oba ministři žádali »rozhodně jasné přijetí*. Řeknu vám určitěji, co vlastně říkali, jak mně to vy</w:t>
      </w:r>
      <w:r>
        <w:softHyphen/>
        <w:t xml:space="preserve">pravoval jeden </w:t>
      </w:r>
      <w:r>
        <w:t>český ministr, kterého si později Beneš zavolal na Hrad.</w:t>
      </w:r>
    </w:p>
    <w:p w:rsidR="00500724" w:rsidRDefault="00F30FB8">
      <w:pPr>
        <w:pStyle w:val="Zkladntext1"/>
        <w:shd w:val="clear" w:color="auto" w:fill="auto"/>
        <w:spacing w:line="211" w:lineRule="auto"/>
        <w:ind w:firstLine="240"/>
      </w:pPr>
      <w:r>
        <w:t xml:space="preserve">De </w:t>
      </w:r>
      <w:r>
        <w:rPr>
          <w:lang w:val="en-US" w:eastAsia="en-US" w:bidi="en-US"/>
        </w:rPr>
        <w:t xml:space="preserve">la Croix </w:t>
      </w:r>
      <w:r>
        <w:t>měl první a krajně nepříjemný úkol. Bylo mu uloženo, aby prohlásil Benešovi, že Francie ne</w:t>
      </w:r>
      <w:r>
        <w:softHyphen/>
        <w:t>může přijít na pomoc Československu, kdyby bylo na</w:t>
      </w:r>
      <w:r>
        <w:softHyphen/>
        <w:t xml:space="preserve">padeno. Newton pak pravil, že Anglie zůstane </w:t>
      </w:r>
      <w:r>
        <w:t>naprosto lhostejná k osudu Čechů, nedají-li svůj souhlas k po</w:t>
      </w:r>
      <w:r>
        <w:softHyphen/>
        <w:t>stoupení sudetského území Hitlerovi.</w:t>
      </w:r>
    </w:p>
    <w:p w:rsidR="00500724" w:rsidRDefault="00F30FB8">
      <w:pPr>
        <w:pStyle w:val="Zkladntext1"/>
        <w:shd w:val="clear" w:color="auto" w:fill="auto"/>
        <w:spacing w:line="211" w:lineRule="auto"/>
        <w:ind w:firstLine="240"/>
      </w:pPr>
      <w:r>
        <w:t>Tak najednou Beneš poznal, že byl opuštěn. Oba mi</w:t>
      </w:r>
      <w:r>
        <w:softHyphen/>
        <w:t>nistři důrazně připomněli, že jeho odpověď nebyla do</w:t>
      </w:r>
      <w:r>
        <w:softHyphen/>
        <w:t xml:space="preserve">statečná. Odpověď, kterou měl </w:t>
      </w:r>
      <w:r>
        <w:rPr>
          <w:lang w:val="en-US" w:eastAsia="en-US" w:bidi="en-US"/>
        </w:rPr>
        <w:t xml:space="preserve">Chamberlain </w:t>
      </w:r>
      <w:r>
        <w:t>přivézt druh</w:t>
      </w:r>
      <w:r>
        <w:t>ý den Hitlerovi do Godesbergu, musila být buď úplné přijetí, chtěl-li Beneš jejich pomoc, nebo úpl: é odmítnutí.</w:t>
      </w:r>
    </w:p>
    <w:p w:rsidR="00500724" w:rsidRDefault="00F30FB8">
      <w:pPr>
        <w:pStyle w:val="Zkladntext1"/>
        <w:shd w:val="clear" w:color="auto" w:fill="auto"/>
        <w:spacing w:line="211" w:lineRule="auto"/>
        <w:ind w:firstLine="240"/>
      </w:pPr>
      <w:r>
        <w:t>Beneš potřeboval čas, aby mohl uvážit situaci. Pouká</w:t>
      </w:r>
      <w:r>
        <w:softHyphen/>
        <w:t xml:space="preserve">zal na to, že jsou tři hodiny v noci. </w:t>
      </w:r>
      <w:r>
        <w:rPr>
          <w:lang w:val="en-US" w:eastAsia="en-US" w:bidi="en-US"/>
        </w:rPr>
        <w:t xml:space="preserve">Chamberlain </w:t>
      </w:r>
      <w:r>
        <w:t>měl odletět do Godesbergu teprve v pátek</w:t>
      </w:r>
      <w:r>
        <w:t xml:space="preserve"> ráno. Zřejmě zde bylo dosti času, aby se vyspal a pak svolal ráno kabinet, aby se do večera odeslala do Londýna odpověď.</w:t>
      </w:r>
    </w:p>
    <w:p w:rsidR="00500724" w:rsidRDefault="00F30FB8">
      <w:pPr>
        <w:pStyle w:val="Zkladntext1"/>
        <w:shd w:val="clear" w:color="auto" w:fill="auto"/>
        <w:spacing w:line="211" w:lineRule="auto"/>
        <w:ind w:firstLine="240"/>
        <w:jc w:val="left"/>
      </w:pPr>
      <w:r>
        <w:t>Oba diplomaté byli neúprosní. Československý mi</w:t>
      </w:r>
      <w:r>
        <w:softHyphen/>
        <w:t>nistr mně pravil: »Z postoje Newtonova dá se usuzo</w:t>
      </w:r>
      <w:r>
        <w:softHyphen/>
        <w:t xml:space="preserve">vat, že </w:t>
      </w:r>
      <w:r>
        <w:rPr>
          <w:lang w:val="en-US" w:eastAsia="en-US" w:bidi="en-US"/>
        </w:rPr>
        <w:t xml:space="preserve">Chamberlain </w:t>
      </w:r>
      <w:r>
        <w:t xml:space="preserve">čekal v Londýně u telefonu na Newtonovu odpověď.* Newton </w:t>
      </w:r>
      <w:r>
        <w:rPr>
          <w:lang w:val="en-US" w:eastAsia="en-US" w:bidi="en-US"/>
        </w:rPr>
        <w:t xml:space="preserve">a </w:t>
      </w:r>
      <w:r>
        <w:t xml:space="preserve">de </w:t>
      </w:r>
      <w:r>
        <w:rPr>
          <w:lang w:val="en-US" w:eastAsia="en-US" w:bidi="en-US"/>
        </w:rPr>
        <w:t xml:space="preserve">la Croix </w:t>
      </w:r>
      <w:r>
        <w:t>žádali okamžité svolání kabinetu. Beneš viděl, že je konec a unaveně svolil.</w:t>
      </w:r>
    </w:p>
    <w:p w:rsidR="00500724" w:rsidRDefault="00F30FB8">
      <w:pPr>
        <w:pStyle w:val="Zkladntext1"/>
        <w:shd w:val="clear" w:color="auto" w:fill="auto"/>
        <w:spacing w:line="211" w:lineRule="auto"/>
        <w:ind w:firstLine="240"/>
      </w:pPr>
      <w:r>
        <w:t xml:space="preserve">Telefon probudil ministerského předsedu Hodžu v jeho vile na pokraji Prahy a pět dalších členů užšího </w:t>
      </w:r>
      <w:r>
        <w:t>kabinetu. Dostavili se všichni na Hrad. Bylo půl čtvrté ráno, když začala tato schůze kabinetu — poslední, které předsedal Hodža.</w:t>
      </w:r>
    </w:p>
    <w:p w:rsidR="00500724" w:rsidRDefault="00F30FB8">
      <w:pPr>
        <w:pStyle w:val="Zkladntext1"/>
        <w:shd w:val="clear" w:color="auto" w:fill="auto"/>
        <w:spacing w:line="211" w:lineRule="auto"/>
        <w:ind w:firstLine="240"/>
      </w:pPr>
      <w:r>
        <w:rPr>
          <w:noProof/>
        </w:rPr>
        <mc:AlternateContent>
          <mc:Choice Requires="wps">
            <w:drawing>
              <wp:anchor distT="12700" distB="254000" distL="114300" distR="114300" simplePos="0" relativeHeight="125829488" behindDoc="0" locked="0" layoutInCell="1" allowOverlap="1">
                <wp:simplePos x="0" y="0"/>
                <wp:positionH relativeFrom="page">
                  <wp:posOffset>6863080</wp:posOffset>
                </wp:positionH>
                <wp:positionV relativeFrom="margin">
                  <wp:posOffset>9097645</wp:posOffset>
                </wp:positionV>
                <wp:extent cx="149225" cy="17081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49225" cy="170815"/>
                        </a:xfrm>
                        <a:prstGeom prst="rect">
                          <a:avLst/>
                        </a:prstGeom>
                        <a:noFill/>
                      </wps:spPr>
                      <wps:txbx>
                        <w:txbxContent>
                          <w:p w:rsidR="00500724" w:rsidRDefault="00F30FB8">
                            <w:pPr>
                              <w:pStyle w:val="Zkladntext1"/>
                              <w:shd w:val="clear" w:color="auto" w:fill="auto"/>
                              <w:ind w:firstLine="0"/>
                              <w:jc w:val="left"/>
                              <w:rPr>
                                <w:sz w:val="20"/>
                                <w:szCs w:val="20"/>
                              </w:rPr>
                            </w:pPr>
                            <w:r>
                              <w:rPr>
                                <w:i/>
                                <w:iCs/>
                                <w:sz w:val="20"/>
                                <w:szCs w:val="20"/>
                              </w:rPr>
                              <w:t>S7</w:t>
                            </w:r>
                          </w:p>
                        </w:txbxContent>
                      </wps:txbx>
                      <wps:bodyPr lIns="0" tIns="0" rIns="0" bIns="0">
                        <a:spAutoFit/>
                      </wps:bodyPr>
                    </wps:wsp>
                  </a:graphicData>
                </a:graphic>
              </wp:anchor>
            </w:drawing>
          </mc:Choice>
          <mc:Fallback>
            <w:pict>
              <v:shape id="_x0000_s1137" type="#_x0000_t202" style="position:absolute;margin-left:540.39999999999998pt;margin-top:716.35000000000002pt;width:11.75pt;height:13.449999999999999pt;z-index:-125829265;mso-wrap-distance-left:9.pt;mso-wrap-distance-top:1.pt;mso-wrap-distance-right: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S7</w:t>
                      </w:r>
                    </w:p>
                  </w:txbxContent>
                </v:textbox>
                <w10:wrap type="topAndBottom" anchorx="page" anchory="margin"/>
              </v:shape>
            </w:pict>
          </mc:Fallback>
        </mc:AlternateContent>
      </w:r>
      <w:r>
        <w:t>Trvala tři hodiny, během nichž prošel Beneš se svými ministry zahradou Getsemanskou Francie je opustila. Francie následo</w:t>
      </w:r>
      <w:r>
        <w:t xml:space="preserve">vala Anglii </w:t>
      </w:r>
      <w:r>
        <w:rPr>
          <w:lang w:val="en-US" w:eastAsia="en-US" w:bidi="en-US"/>
        </w:rPr>
        <w:t xml:space="preserve">a Chamberlain </w:t>
      </w:r>
      <w:r>
        <w:t>byl rozhod</w:t>
      </w:r>
      <w:r>
        <w:softHyphen/>
        <w:t xml:space="preserve">nut zachovat mír za cenu jakékoli oběti, kterou mohl vnutit Čechům. Zbylo zde Rusko, ale to potřebovalo &gt;ři měsíce, než by ruské jednotky se dostaly ve větším počtu na českou stranu. Byla zde možnost pustit se do války </w:t>
      </w:r>
      <w:r>
        <w:t>a vést ústupový boj až na Moravu, kde by se za</w:t>
      </w:r>
      <w:r>
        <w:softHyphen/>
        <w:t>kopali před Vysokými a Nízkými Tatrami a čekali, až přijdou Rusové.</w:t>
      </w:r>
    </w:p>
    <w:p w:rsidR="00500724" w:rsidRDefault="00F30FB8">
      <w:pPr>
        <w:pStyle w:val="Zkladntext1"/>
        <w:shd w:val="clear" w:color="auto" w:fill="auto"/>
        <w:spacing w:line="211" w:lineRule="auto"/>
        <w:ind w:firstLine="240"/>
      </w:pPr>
      <w:r>
        <w:t>Avšak přišly zprávy, které rozprášily všechny na</w:t>
      </w:r>
      <w:r>
        <w:softHyphen/>
        <w:t>děje na možnost obrany. Maďarsko a Polsko, které vyčkávaly celou tu dobu, aby poznaly, který</w:t>
      </w:r>
      <w:r>
        <w:t>m směrem vane vítr, dodaly si anglickým stanoviskem odvahy a postavily se odhodlaně na stranu Hitlera. Poláci se při</w:t>
      </w:r>
      <w:r>
        <w:softHyphen/>
        <w:t xml:space="preserve">pravovali vpochodovat do Těšína na východě, Maďaři na Slovensko a Podkarpatskou Rus na jihu. Z 1400 mil dlouhých hranic pouze </w:t>
      </w:r>
      <w:r>
        <w:rPr>
          <w:lang w:val="en-US" w:eastAsia="en-US" w:bidi="en-US"/>
        </w:rPr>
        <w:t xml:space="preserve">SO </w:t>
      </w:r>
      <w:r>
        <w:t>mil bylo b</w:t>
      </w:r>
      <w:r>
        <w:t>ezpečných na straně Rumunska.</w:t>
      </w:r>
    </w:p>
    <w:p w:rsidR="00500724" w:rsidRDefault="00F30FB8">
      <w:pPr>
        <w:pStyle w:val="Zkladntext1"/>
        <w:shd w:val="clear" w:color="auto" w:fill="auto"/>
        <w:spacing w:line="209" w:lineRule="auto"/>
        <w:ind w:firstLine="240"/>
      </w:pPr>
      <w:r>
        <w:t>Slunce se probíralo ze slabé mlhy nad Prahou, když Hodža sjížděl s Hradu. Jel na schůzi dvaceti zástupců šesti koaličních stran, které byly ve vládě, a upřímně tam vyložil situaci tak, jaká ve skutečnosti byla. Mezi</w:t>
      </w:r>
      <w:r>
        <w:softHyphen/>
        <w:t>tím Newton</w:t>
      </w:r>
      <w:r>
        <w:t xml:space="preserve"> </w:t>
      </w:r>
      <w:r>
        <w:rPr>
          <w:lang w:val="en-US" w:eastAsia="en-US" w:bidi="en-US"/>
        </w:rPr>
        <w:t xml:space="preserve">a </w:t>
      </w:r>
      <w:r>
        <w:t xml:space="preserve">de </w:t>
      </w:r>
      <w:r>
        <w:rPr>
          <w:lang w:val="en-US" w:eastAsia="en-US" w:bidi="en-US"/>
        </w:rPr>
        <w:t xml:space="preserve">la Croix </w:t>
      </w:r>
      <w:r>
        <w:t>neustále naléhali na odpověď.</w:t>
      </w:r>
    </w:p>
    <w:p w:rsidR="00500724" w:rsidRDefault="00F30FB8">
      <w:pPr>
        <w:pStyle w:val="Zkladntext1"/>
        <w:shd w:val="clear" w:color="auto" w:fill="auto"/>
        <w:spacing w:line="209" w:lineRule="auto"/>
        <w:ind w:firstLine="240"/>
      </w:pPr>
      <w:r>
        <w:t>V jednu hodinu odpoledne zasedl Beneš s plným ka</w:t>
      </w:r>
      <w:r>
        <w:softHyphen/>
        <w:t>binetem ke konečné schůzi. Byli zde přítomni repre</w:t>
      </w:r>
      <w:r>
        <w:softHyphen/>
        <w:t xml:space="preserve">sentanti hlavního štábu a dopravní znalci. V půl čtvrté odpoledne byli zavoláni ministři Newton </w:t>
      </w:r>
      <w:r>
        <w:rPr>
          <w:lang w:val="en-US" w:eastAsia="en-US" w:bidi="en-US"/>
        </w:rPr>
        <w:t xml:space="preserve">a </w:t>
      </w:r>
      <w:r>
        <w:t xml:space="preserve">de </w:t>
      </w:r>
      <w:r>
        <w:rPr>
          <w:lang w:val="en-US" w:eastAsia="en-US" w:bidi="en-US"/>
        </w:rPr>
        <w:t xml:space="preserve">la Croix, </w:t>
      </w:r>
      <w:r>
        <w:t>aby si přišli na ministerstvo zahraničních věcí pro od</w:t>
      </w:r>
      <w:r>
        <w:softHyphen/>
        <w:t xml:space="preserve">pověď. Ministr zahraničních věcí Krofta — znavený </w:t>
      </w:r>
      <w:r>
        <w:rPr>
          <w:b/>
          <w:bCs/>
          <w:sz w:val="20"/>
          <w:szCs w:val="20"/>
        </w:rPr>
        <w:t xml:space="preserve">a </w:t>
      </w:r>
      <w:r>
        <w:t>sklíčený — ji odevzdal. Úplné bezpodmínečné přijetí.</w:t>
      </w:r>
    </w:p>
    <w:p w:rsidR="00500724" w:rsidRDefault="00F30FB8">
      <w:pPr>
        <w:pStyle w:val="Zkladntext1"/>
        <w:shd w:val="clear" w:color="auto" w:fill="auto"/>
        <w:spacing w:line="209" w:lineRule="auto"/>
        <w:ind w:firstLine="240"/>
      </w:pPr>
      <w:r>
        <w:t>Hodža odjel z Hradu. Měl strhanou tvář. Ztratil svůj úhledný vzhled a krčil se do koutka v autě.</w:t>
      </w:r>
      <w:r>
        <w:t xml:space="preserve"> Ani nepo- zdravil legionáře, kteří jej zdravili. Druhého dne resig</w:t>
      </w:r>
      <w:r>
        <w:softHyphen/>
        <w:t xml:space="preserve">noval. Sbohem, </w:t>
      </w:r>
      <w:r>
        <w:rPr>
          <w:lang w:val="en-US" w:eastAsia="en-US" w:bidi="en-US"/>
        </w:rPr>
        <w:t xml:space="preserve">Mr. </w:t>
      </w:r>
      <w:r>
        <w:t>Hodža.'</w:t>
      </w:r>
    </w:p>
    <w:p w:rsidR="00500724" w:rsidRDefault="00F30FB8">
      <w:pPr>
        <w:pStyle w:val="Zkladntext1"/>
        <w:shd w:val="clear" w:color="auto" w:fill="auto"/>
        <w:spacing w:after="120" w:line="209" w:lineRule="auto"/>
        <w:ind w:firstLine="240"/>
      </w:pPr>
      <w:r>
        <w:t>Zástupy houstly. Noviny nemusily vypravovat, co se stalo. Diváci před Hradem vyčtli vše z rysů na tvářích členů kabinetu, když odjížděli.</w:t>
      </w:r>
    </w:p>
    <w:p w:rsidR="00500724" w:rsidRDefault="00F30FB8">
      <w:pPr>
        <w:pStyle w:val="Zkladntext1"/>
        <w:shd w:val="clear" w:color="auto" w:fill="auto"/>
        <w:spacing w:line="209" w:lineRule="auto"/>
        <w:ind w:firstLine="0"/>
        <w:jc w:val="center"/>
      </w:pPr>
      <w:r>
        <w:t>Mobilisace</w:t>
      </w:r>
    </w:p>
    <w:p w:rsidR="00500724" w:rsidRDefault="00F30FB8">
      <w:pPr>
        <w:pStyle w:val="Zkladntext1"/>
        <w:shd w:val="clear" w:color="auto" w:fill="auto"/>
        <w:spacing w:line="209" w:lineRule="auto"/>
        <w:ind w:firstLine="240"/>
      </w:pPr>
      <w:r>
        <w:t>Uplynulo sed</w:t>
      </w:r>
      <w:r>
        <w:t>m dní téměř od mobilisace až k té zou</w:t>
      </w:r>
      <w:r>
        <w:softHyphen/>
        <w:t>falé noci 30. září, kdy Češi přijali mnichovský plán. V těchto sedmi dnech prošli Češi všemi cestami od na</w:t>
      </w:r>
      <w:r>
        <w:softHyphen/>
        <w:t>dšení národa, bojujícího o své bytí, až po černou bez</w:t>
      </w:r>
      <w:r>
        <w:softHyphen/>
        <w:t>útěšnost zatraceného a odsouzeného. Po šest dní čekali na</w:t>
      </w:r>
      <w:r>
        <w:t xml:space="preserve"> smrt, která jim hrozila ze vzduchu, ale nebáli se. A sedmého se podrobili.</w:t>
      </w:r>
    </w:p>
    <w:p w:rsidR="00500724" w:rsidRDefault="00F30FB8">
      <w:pPr>
        <w:pStyle w:val="Zkladntext1"/>
        <w:shd w:val="clear" w:color="auto" w:fill="auto"/>
        <w:spacing w:line="209" w:lineRule="auto"/>
        <w:ind w:firstLine="240"/>
      </w:pPr>
      <w:r>
        <w:t>Češi byli vždycky jednotný národ, ale v noci mobili</w:t>
      </w:r>
      <w:r>
        <w:softHyphen/>
        <w:t>sace byli obdivuhodnými ve své kázni. Šel jsem napřed k německému vyslanectví, nedošlo-li tam k protiněmec- kým projevům. Toto v</w:t>
      </w:r>
      <w:r>
        <w:t>yslanectví je blízko vyslanectví britského a bylo vždycky dobře střeženo vojáky a po</w:t>
      </w:r>
      <w:r>
        <w:softHyphen/>
        <w:t>licií. Avšak této noci tam nebylo žádných průvodů. Češi, neuvěřitelně rozumní v okamžiku, kdy obyčejně citové vzněty člověka vybuchnou, si uvědomili, že je čeká mnoho prác</w:t>
      </w:r>
      <w:r>
        <w:t>e, kterou třeba vykonat, než aby měli čas na průvody. Nikdo se nepokusil demonstrovat před německým vyslanectvím.</w:t>
      </w:r>
    </w:p>
    <w:p w:rsidR="00500724" w:rsidRDefault="00F30FB8">
      <w:pPr>
        <w:pStyle w:val="Zkladntext1"/>
        <w:shd w:val="clear" w:color="auto" w:fill="auto"/>
        <w:spacing w:line="209" w:lineRule="auto"/>
        <w:ind w:firstLine="240"/>
      </w:pPr>
      <w:r>
        <w:t>Opravdu po prvním chvatu v mobilisaci se Praha stala cize tichou.</w:t>
      </w:r>
    </w:p>
    <w:p w:rsidR="00500724" w:rsidRDefault="00F30FB8">
      <w:pPr>
        <w:pStyle w:val="Zkladntext1"/>
        <w:shd w:val="clear" w:color="auto" w:fill="auto"/>
        <w:spacing w:line="209" w:lineRule="auto"/>
        <w:ind w:firstLine="240"/>
      </w:pPr>
      <w:r>
        <w:t>Nyní šlo o to najít nějaké vysvětlení, které by ne</w:t>
      </w:r>
      <w:r>
        <w:softHyphen/>
        <w:t>vyvolalo u anglické veřej</w:t>
      </w:r>
      <w:r>
        <w:t xml:space="preserve">nosti pokořující pocity, že </w:t>
      </w:r>
      <w:r>
        <w:rPr>
          <w:lang w:val="en-US" w:eastAsia="en-US" w:bidi="en-US"/>
        </w:rPr>
        <w:t xml:space="preserve">Chamberlain </w:t>
      </w:r>
      <w:r>
        <w:t>ustoupil před Hitlerem, ale současně takové, podle něhož vskutku Hitler ustoupil před Cham</w:t>
      </w:r>
      <w:r>
        <w:softHyphen/>
        <w:t>berlainem, takže by anglické veřejné mínění dovolilo žádat další ústupky od Čechů.</w:t>
      </w:r>
    </w:p>
    <w:p w:rsidR="00500724" w:rsidRDefault="00F30FB8">
      <w:pPr>
        <w:pStyle w:val="Zkladntext1"/>
        <w:shd w:val="clear" w:color="auto" w:fill="auto"/>
        <w:spacing w:line="209" w:lineRule="auto"/>
        <w:ind w:firstLine="240"/>
      </w:pPr>
      <w:r>
        <w:rPr>
          <w:lang w:val="en-US" w:eastAsia="en-US" w:bidi="en-US"/>
        </w:rPr>
        <w:t xml:space="preserve">Mr. Chamberlain </w:t>
      </w:r>
      <w:r>
        <w:t xml:space="preserve">letěl zpět do Londýna. Protože go- desberský plán byl nepřijatelný pro Anglii, </w:t>
      </w:r>
      <w:r>
        <w:rPr>
          <w:lang w:val="en-US" w:eastAsia="en-US" w:bidi="en-US"/>
        </w:rPr>
        <w:t xml:space="preserve">Basil </w:t>
      </w:r>
      <w:r>
        <w:t xml:space="preserve">Newton </w:t>
      </w:r>
      <w:r>
        <w:rPr>
          <w:lang w:val="en-US" w:eastAsia="en-US" w:bidi="en-US"/>
        </w:rPr>
        <w:t xml:space="preserve">a </w:t>
      </w:r>
      <w:r>
        <w:t xml:space="preserve">de </w:t>
      </w:r>
      <w:r>
        <w:rPr>
          <w:lang w:val="en-US" w:eastAsia="en-US" w:bidi="en-US"/>
        </w:rPr>
        <w:t xml:space="preserve">la Croix </w:t>
      </w:r>
      <w:r>
        <w:t>byli posláni k presidentu Bene</w:t>
      </w:r>
      <w:r>
        <w:softHyphen/>
        <w:t>šovi s radou, aby mobilisoval. Tato rada nezněla přímo pro mobilisaci. Oba diplomaté pravili, že jejich vlády berou zpě</w:t>
      </w:r>
      <w:r>
        <w:t>t žádost, aby se nemobilisovalo. To bylo pro nás novinkou, že Anglie a Francie předložily předtím žádost, aby Československo nemobilisovalo. A fakt, že Československo této žádosti vyhovělo, prokázal, jak Češi vložili svůj osud do rukou svého spojence Franc</w:t>
      </w:r>
      <w:r>
        <w:t>ie a svého přítele Anglie.</w:t>
      </w:r>
    </w:p>
    <w:p w:rsidR="00500724" w:rsidRDefault="00F30FB8">
      <w:pPr>
        <w:pStyle w:val="Zkladntext1"/>
        <w:shd w:val="clear" w:color="auto" w:fill="auto"/>
        <w:spacing w:line="209" w:lineRule="auto"/>
        <w:ind w:firstLine="240"/>
      </w:pPr>
      <w:r>
        <w:t>Doposud nám všem v Praze, vyjma několika lidí, bylo docela neznámo, co se odehrávalo mezi Londýnem a Ber</w:t>
      </w:r>
      <w:r>
        <w:softHyphen/>
        <w:t>línem. Čechové se připravovali téměř s radostí na válku, ne snad, že by milovali válku nebo nenáviděli Němce — nebof nikdo n</w:t>
      </w:r>
      <w:r>
        <w:t xml:space="preserve">emiluje válku a zmínil jsem se o tom, </w:t>
      </w:r>
      <w:r>
        <w:rPr>
          <w:b/>
          <w:bCs/>
          <w:sz w:val="20"/>
          <w:szCs w:val="20"/>
        </w:rPr>
        <w:t xml:space="preserve">že </w:t>
      </w:r>
      <w:r>
        <w:t>nebyly žádné demonstrace v Praze proti Němcům — nýbrž jediné proto, že se jim naskytovala příležitost bo</w:t>
      </w:r>
      <w:r>
        <w:softHyphen/>
        <w:t>jovat pro bytí své vlasti. Okna polepili křížem krážem páskami modrého papíru, aby se nerozbila pod otřesy z v</w:t>
      </w:r>
      <w:r>
        <w:t xml:space="preserve">ýbušných pum. Ženy se rozloučily se svými muži </w:t>
      </w:r>
      <w:r>
        <w:rPr>
          <w:b/>
          <w:bCs/>
          <w:sz w:val="20"/>
          <w:szCs w:val="20"/>
        </w:rPr>
        <w:t xml:space="preserve">a </w:t>
      </w:r>
      <w:r>
        <w:t>syny a když vyšly na nákup, přehodily si přes rameno plynovou masku. Čekaly, co přijde. Děti chodily do školy jako obyčejně, nebof rodiče věděli, že vláda se může lépe postarat o děti a evakuovat je rychleji</w:t>
      </w:r>
      <w:r>
        <w:t>, jsou-li ve skupinách, než kdyby byly roztroušeny po svých do</w:t>
      </w:r>
      <w:r>
        <w:softHyphen/>
        <w:t>movech. Biografy, všechny v bezpečí pod zemí, se za</w:t>
      </w:r>
      <w:r>
        <w:softHyphen/>
        <w:t>temněnými vchody, dávaly neustále čtyři představení každý den. Kavárny a restaurace byly přeplněny kaž</w:t>
      </w:r>
      <w:r>
        <w:softHyphen/>
        <w:t>dou noc. Avšak přes to přese všecko se</w:t>
      </w:r>
      <w:r>
        <w:t xml:space="preserve"> člověk nemohl zhostit zoufalého pocitu války, nebof biografy přinášely ukázky nastupujících záložníků do zbraně a restaurace byly zabedněny, aby z nich neprosakovalo světlo a sví</w:t>
      </w:r>
      <w:r>
        <w:softHyphen/>
        <w:t>tilo se modrými žárovkami, které dávaly pouze slabé světlo. I v podzemních r</w:t>
      </w:r>
      <w:r>
        <w:t>estauracích jste se nemohl zba</w:t>
      </w:r>
      <w:r>
        <w:softHyphen/>
        <w:t>vit pocitu války, nebof jste postrádal muže v cikánských orchestrech a uvědomoval jste si, že ti muži byli v opev</w:t>
      </w:r>
      <w:r>
        <w:softHyphen/>
        <w:t>něních na hranicích.</w:t>
      </w:r>
    </w:p>
    <w:p w:rsidR="00500724" w:rsidRDefault="00F30FB8">
      <w:pPr>
        <w:pStyle w:val="Zkladntext1"/>
        <w:shd w:val="clear" w:color="auto" w:fill="auto"/>
        <w:spacing w:after="120" w:line="211" w:lineRule="auto"/>
      </w:pPr>
      <w:r>
        <w:t>Někteří zahraniční korespondenti odjeli vlakem do Polska a jiní si najali v okolí Prahy po</w:t>
      </w:r>
      <w:r>
        <w:t xml:space="preserve">koj, kam se šli vždycky v noci vyspat, aby se dostali z toho napětí </w:t>
      </w:r>
      <w:r>
        <w:rPr>
          <w:b/>
          <w:bCs/>
          <w:sz w:val="20"/>
          <w:szCs w:val="20"/>
        </w:rPr>
        <w:t xml:space="preserve">a </w:t>
      </w:r>
      <w:r>
        <w:t>zhostili se pocitu, že jsou sami, pocitu, který ve vás vy</w:t>
      </w:r>
      <w:r>
        <w:softHyphen/>
        <w:t>volává zatemnění. Já jsem slíbil naší služebné, že ji ne</w:t>
      </w:r>
      <w:r>
        <w:softHyphen/>
        <w:t>nechám samu v našem bytě.</w:t>
      </w:r>
    </w:p>
    <w:p w:rsidR="00500724" w:rsidRDefault="00F30FB8">
      <w:pPr>
        <w:pStyle w:val="Zkladntext1"/>
        <w:shd w:val="clear" w:color="auto" w:fill="auto"/>
        <w:spacing w:line="199" w:lineRule="auto"/>
        <w:ind w:firstLine="0"/>
        <w:jc w:val="center"/>
        <w:rPr>
          <w:sz w:val="20"/>
          <w:szCs w:val="20"/>
        </w:rPr>
      </w:pPr>
      <w:r>
        <w:rPr>
          <w:b/>
          <w:bCs/>
          <w:sz w:val="20"/>
          <w:szCs w:val="20"/>
        </w:rPr>
        <w:t>Sedmý den</w:t>
      </w:r>
    </w:p>
    <w:p w:rsidR="00500724" w:rsidRDefault="00F30FB8">
      <w:pPr>
        <w:pStyle w:val="Zkladntext1"/>
        <w:shd w:val="clear" w:color="auto" w:fill="auto"/>
        <w:spacing w:line="211" w:lineRule="auto"/>
      </w:pPr>
      <w:r>
        <w:t>Koupil jsem si noviny. Nebylo v nic</w:t>
      </w:r>
      <w:r>
        <w:t xml:space="preserve">h nic jiného kromě toho, že </w:t>
      </w:r>
      <w:r>
        <w:rPr>
          <w:lang w:val="en-US" w:eastAsia="en-US" w:bidi="en-US"/>
        </w:rPr>
        <w:t xml:space="preserve">Chamberlain, </w:t>
      </w:r>
      <w:r>
        <w:t xml:space="preserve">Daladier, </w:t>
      </w:r>
      <w:r>
        <w:rPr>
          <w:lang w:val="en-US" w:eastAsia="en-US" w:bidi="en-US"/>
        </w:rPr>
        <w:t xml:space="preserve">Mussolini </w:t>
      </w:r>
      <w:r>
        <w:t xml:space="preserve">a Hitler se v Mnichově dohodli. </w:t>
      </w:r>
      <w:r>
        <w:rPr>
          <w:lang w:val="en-US" w:eastAsia="en-US" w:bidi="en-US"/>
        </w:rPr>
        <w:t xml:space="preserve">Chamberlain </w:t>
      </w:r>
      <w:r>
        <w:t>měl ještě téhož dne přiletěl do Londýna. Bylo to v pátek 30. září. Odešel jsem z Černínského paláce, abych si pohovořil s jed</w:t>
      </w:r>
      <w:r>
        <w:softHyphen/>
        <w:t>ním přítelem ze zahraničn</w:t>
      </w:r>
      <w:r>
        <w:t>ího ministerstva a abych se od něho dověděl, co je nového. Když jsem vkročil do jeho kanceláře, zhrozil jsem se jeho bledého obličeje.</w:t>
      </w:r>
    </w:p>
    <w:p w:rsidR="00500724" w:rsidRDefault="00F30FB8">
      <w:pPr>
        <w:pStyle w:val="Zkladntext1"/>
        <w:shd w:val="clear" w:color="auto" w:fill="auto"/>
        <w:spacing w:line="211" w:lineRule="auto"/>
      </w:pPr>
      <w:r>
        <w:t>^Přijali jsme,« pravil.</w:t>
      </w:r>
    </w:p>
    <w:p w:rsidR="00500724" w:rsidRDefault="00F30FB8">
      <w:pPr>
        <w:pStyle w:val="Zkladntext1"/>
        <w:shd w:val="clear" w:color="auto" w:fill="auto"/>
        <w:spacing w:line="211" w:lineRule="auto"/>
      </w:pPr>
      <w:r>
        <w:t xml:space="preserve">»Co jste přijali?« tázal jsem se a vysvětlil mu, že jsem byl celý den na cestě, ftekl mně, co se </w:t>
      </w:r>
      <w:r>
        <w:t>stalo.</w:t>
      </w:r>
    </w:p>
    <w:p w:rsidR="00500724" w:rsidRDefault="00F30FB8">
      <w:pPr>
        <w:pStyle w:val="Zkladntext1"/>
        <w:shd w:val="clear" w:color="auto" w:fill="auto"/>
        <w:spacing w:line="211" w:lineRule="auto"/>
      </w:pPr>
      <w:r>
        <w:t>Čtyři muži v Mnichově našli kompromis, který za</w:t>
      </w:r>
      <w:r>
        <w:softHyphen/>
        <w:t>chránil Chamberlaina a dal Hitlerovi vše, co žádal. Němci měli začít okupovat sedětské území již 1. října, jak si to přál Hitler, ale okupace měla trvat deset dní a měla probíhat ve čtyřech etapách. Če</w:t>
      </w:r>
      <w:r>
        <w:t>ši, usazení v prvním pásmu — Chebsko — musili do zítřka utéci. (V Anglii se dává aspoň nějaká doba na vystěhování, chcete-li někoho dostat z pronajatého bytu, pomyslil jsem si.) Československá vláda musila zanechat v oku</w:t>
      </w:r>
      <w:r>
        <w:softHyphen/>
        <w:t>povaném území všechna opevnění, let</w:t>
      </w:r>
      <w:r>
        <w:t>iště, dobytek, su</w:t>
      </w:r>
      <w:r>
        <w:softHyphen/>
        <w:t>roviny, potraviny — právě tak, jak to Hitler žádal v Godeshergu.</w:t>
      </w:r>
    </w:p>
    <w:p w:rsidR="00500724" w:rsidRDefault="00F30FB8">
      <w:pPr>
        <w:pStyle w:val="Zkladntext1"/>
        <w:shd w:val="clear" w:color="auto" w:fill="auto"/>
        <w:spacing w:line="211" w:lineRule="auto"/>
      </w:pPr>
      <w:r>
        <w:t>To nejsou pro Angličana příjemné věci ku psaní, avšak myslím si, že jiní Angličané, kteří si neuvědomují tyto věci, měli by pochopit, že Anglie ztratila v Mni</w:t>
      </w:r>
      <w:r>
        <w:softHyphen/>
        <w:t>chově mnohem v</w:t>
      </w:r>
      <w:r>
        <w:t>íce, než Československo.</w:t>
      </w:r>
    </w:p>
    <w:p w:rsidR="00500724" w:rsidRDefault="00F30FB8">
      <w:pPr>
        <w:pStyle w:val="Zkladntext1"/>
        <w:shd w:val="clear" w:color="auto" w:fill="auto"/>
        <w:spacing w:line="211" w:lineRule="auto"/>
      </w:pPr>
      <w:r>
        <w:t>Celé toto století vzhlížely malé země k Anglii, protože za Anglií stálo impérium, které bylo považováno za morální sílu až do konce světa, protože Anglie udržovala otevřená moře (ovšem, že za to brala patřičnou provisi) a hlavně, p</w:t>
      </w:r>
      <w:r>
        <w:t>rotože malé národy při svých sporech se mohly obrátit na britské impérium pro rozhodčí výrok a mohly očekávat, že ten bude aspoň tak spravedlivý, jak lze být spravedlivým ve světě obyčejných mužů a žen. Tyto věci ospravedlňovaly v myslích malých ná</w:t>
      </w:r>
      <w:r>
        <w:softHyphen/>
        <w:t>rodů sa</w:t>
      </w:r>
      <w:r>
        <w:t>mu existenci britského impéria. Rozdělením Čes</w:t>
      </w:r>
      <w:r>
        <w:softHyphen/>
        <w:t>koslovenska toto ospravedlnění zmizelo. Zůstalo jen jediné ospravedlnění pro další bytí britského impéria, a to je v přímém poměru k počtu bitevních lodí, letadel a ponorek, které může Anglie vybudovat, a k po</w:t>
      </w:r>
      <w:r>
        <w:t>čtu vo</w:t>
      </w:r>
      <w:r>
        <w:softHyphen/>
        <w:t>jáků, které může vycvičit. Ztrativši pověst mezinárodní spravedlnosti, musí Anglie spoléhat se na sílu.</w:t>
      </w:r>
    </w:p>
    <w:p w:rsidR="00500724" w:rsidRDefault="00F30FB8">
      <w:pPr>
        <w:pStyle w:val="Zkladntext1"/>
        <w:shd w:val="clear" w:color="auto" w:fill="auto"/>
        <w:spacing w:line="211" w:lineRule="auto"/>
        <w:ind w:firstLine="240"/>
      </w:pPr>
      <w:r>
        <w:t>Přítel v ministerstvu zahraničních věcí mně řekl, že Anglie a Francie poslaly téhož dne ráno do Prahy po</w:t>
      </w:r>
      <w:r>
        <w:softHyphen/>
        <w:t>drobnosti mnichovské dohody. Žádaly odpo</w:t>
      </w:r>
      <w:r>
        <w:t>věď do půl</w:t>
      </w:r>
      <w:r>
        <w:softHyphen/>
        <w:t>noci, což znamenalo, že se Čechům ponechávalo na roz</w:t>
      </w:r>
      <w:r>
        <w:softHyphen/>
        <w:t>myšlenou pouze šest hodin, buď přijmout návrhy nebo odmítnout je, v kterémžto případě by stáli Češi sami.</w:t>
      </w:r>
    </w:p>
    <w:p w:rsidR="00500724" w:rsidRDefault="00F30FB8">
      <w:pPr>
        <w:pStyle w:val="Zkladntext1"/>
        <w:shd w:val="clear" w:color="auto" w:fill="auto"/>
        <w:spacing w:line="211" w:lineRule="auto"/>
        <w:ind w:firstLine="240"/>
      </w:pPr>
      <w:r>
        <w:t>Sešel se československý kabinet. Předseda] mu sám Beneš. Okolo poledne přijali. Můj př</w:t>
      </w:r>
      <w:r>
        <w:t>ítel mi podal čer</w:t>
      </w:r>
      <w:r>
        <w:softHyphen/>
        <w:t>stvě napsané komuniké, které leželo na jeho stole. Podle jazyka mezinárodní diplomacie se v něm Beneš pokou</w:t>
      </w:r>
      <w:r>
        <w:softHyphen/>
        <w:t>šel říci celému světu, že mnichovská dohoda byla vnu</w:t>
      </w:r>
      <w:r>
        <w:softHyphen/>
        <w:t>cena Československu Anglií a Francií.</w:t>
      </w:r>
    </w:p>
    <w:p w:rsidR="00500724" w:rsidRDefault="00F30FB8">
      <w:pPr>
        <w:pStyle w:val="Zkladntext1"/>
        <w:shd w:val="clear" w:color="auto" w:fill="auto"/>
        <w:spacing w:line="211" w:lineRule="auto"/>
        <w:ind w:firstLine="240"/>
      </w:pPr>
      <w:r>
        <w:t>V ulicích o tom ještě nikdo nevěděl. Av</w:t>
      </w:r>
      <w:r>
        <w:t>šak tušilo se, že se přihodilo něco strašného. Zesilovače na Václav</w:t>
      </w:r>
      <w:r>
        <w:softHyphen/>
        <w:t>ském náměstí oznamovaly, že generál Syrový, voják- ministerský předseda, promluví do rozhlasu. Hloučky lidí čekaly okolo amplionů. Můj přítel z ministerstva zahraničních věcí nechal v jedn</w:t>
      </w:r>
      <w:r>
        <w:t xml:space="preserve">é místnosti v Alcroně připravit </w:t>
      </w:r>
      <w:r>
        <w:rPr>
          <w:lang w:val="en-US" w:eastAsia="en-US" w:bidi="en-US"/>
        </w:rPr>
        <w:t xml:space="preserve">radio. </w:t>
      </w:r>
      <w:r>
        <w:t>Pozval několik nás žurnalistů, abychom si šli poslechnout řeč Syrového. Seděli jsme po celém pokoji. Můj přítel seděl na pohovce. Tiše jsme hovořili, zatím co hlasatel přinášel zprávy o Španělsku, Číně, Palestině, avš</w:t>
      </w:r>
      <w:r>
        <w:t>ak nic nového, nač všichni venku v ulicích čekali. Pak oznámil jméno Syrového. Můj přítel si za</w:t>
      </w:r>
      <w:r>
        <w:softHyphen/>
        <w:t>clonil rukou oči. Syrový začal mluvit.</w:t>
      </w:r>
    </w:p>
    <w:p w:rsidR="00500724" w:rsidRDefault="00F30FB8">
      <w:pPr>
        <w:pStyle w:val="Zkladntext1"/>
        <w:shd w:val="clear" w:color="auto" w:fill="auto"/>
        <w:spacing w:line="211" w:lineRule="auto"/>
        <w:ind w:firstLine="240"/>
      </w:pPr>
      <w:r>
        <w:t xml:space="preserve">Svým tvrdým vojenským hlasem oznámil Čechům mnichovské rozhodnutí. Pravil, že vláda byla nucena přijmout toto rozhodnutí </w:t>
      </w:r>
      <w:r>
        <w:t>na naléhavou žádost Anglie a Francie. Prohlásil, že to bylo poslední východisko, jak zachránit mír. A zástupy porozuměly — že kdyby čes</w:t>
      </w:r>
      <w:r>
        <w:softHyphen/>
        <w:t>koslovenská vláda byla cdmítla přijmout mnichovské rozhodnutí, zůstaly by Anglie s Francií stát stranou a Československo</w:t>
      </w:r>
      <w:r>
        <w:t xml:space="preserve"> by bylo postaveno osamocené proti Ně</w:t>
      </w:r>
      <w:r>
        <w:softHyphen/>
        <w:t>mecku. Syrový vyzval občany, aby měli důvěru ve svou vládu. Vyzýval ke klidu a pořádku.</w:t>
      </w:r>
    </w:p>
    <w:p w:rsidR="00500724" w:rsidRDefault="00F30FB8">
      <w:pPr>
        <w:pStyle w:val="Zkladntext1"/>
        <w:shd w:val="clear" w:color="auto" w:fill="auto"/>
        <w:spacing w:line="211" w:lineRule="auto"/>
        <w:ind w:firstLine="240"/>
      </w:pPr>
      <w:r>
        <w:t>Skončil. Stál jsem u okna a díval jsem se oknem na ulici, kde poslouchaly zástupy lidu. Můj přítel spustil svou ruku s očí a vstal</w:t>
      </w:r>
      <w:r>
        <w:t>. Byl bledý jako stěna. Byli jsme tam většinou angličtí a američtí žurnalisté. Můj přítel věděl, jak nám asi bylo a co jsme cítili. Vyšel ven sám. My jsme počkali několik minut a teprve pak jsme také odešli.</w:t>
      </w:r>
    </w:p>
    <w:p w:rsidR="00500724" w:rsidRDefault="00F30FB8">
      <w:pPr>
        <w:pStyle w:val="Zkladntext1"/>
        <w:shd w:val="clear" w:color="auto" w:fill="auto"/>
        <w:spacing w:line="211" w:lineRule="auto"/>
        <w:ind w:firstLine="240"/>
      </w:pPr>
      <w:r>
        <w:t>Popsal jsem vám masové projevy v Praze, když bri</w:t>
      </w:r>
      <w:r>
        <w:t>t</w:t>
      </w:r>
      <w:r>
        <w:softHyphen/>
        <w:t>ská a francouzská vláda přinutily Beneše, aby přijal berchtesgadenský plán. To však nebylo nic u srovnání s tím, co se odehrálo v Praze té noci, kdy se Češi dovči- děli, že jim byl vnucen mnichovský plán. Nikdy před</w:t>
      </w:r>
      <w:r>
        <w:softHyphen/>
        <w:t>tím jsem neviděl slepě chodící zástupy</w:t>
      </w:r>
      <w:r>
        <w:t xml:space="preserve"> po chodnících s proudy slzí na tvářích. Nikdy jsem neviděl davy, zuřivé bezradnou zuřivostí, vyzývající strážníky, aby se spíše připojili k nim, než aby je rozháněli. A nikdy jsem předtím neviděl strážníky tak jemně zacházet s davem, kdy užívali spíše pře</w:t>
      </w:r>
      <w:r>
        <w:t>svědčujících slov než obušku. »Měli byste pochodovat s námi,« slyšel jsem, jak v jednom zástupu vyzývají mladého strážníka, který je zdržoval a bránil jim projít úzkou uličkou, která vede ke Hradu.</w:t>
      </w:r>
    </w:p>
    <w:p w:rsidR="00500724" w:rsidRDefault="00F30FB8">
      <w:pPr>
        <w:pStyle w:val="Zkladntext1"/>
        <w:shd w:val="clear" w:color="auto" w:fill="auto"/>
        <w:spacing w:line="211" w:lineRule="auto"/>
        <w:ind w:firstLine="240"/>
      </w:pPr>
      <w:r>
        <w:t>»Ne, ne,&lt; odpověděl strážník, rozpřahuje ruce, aby je zadr</w:t>
      </w:r>
      <w:r>
        <w:t>žel. &gt;Vy byste právě měli ukázat, že důvěřujete své vládě a presidentu. Měli byste jít raději domů a počkat až do zítřka. Nikdo neví, co chystají. Možná, že se ještě najde nějaké řešení a budete-li dělat demonstrace jako teď, tak se může stát, že takové ro</w:t>
      </w:r>
      <w:r>
        <w:t>zřešení překazíte.*</w:t>
      </w:r>
    </w:p>
    <w:p w:rsidR="00500724" w:rsidRDefault="00F30FB8">
      <w:pPr>
        <w:pStyle w:val="Zkladntext1"/>
        <w:shd w:val="clear" w:color="auto" w:fill="auto"/>
        <w:spacing w:line="211" w:lineRule="auto"/>
        <w:ind w:firstLine="240"/>
      </w:pPr>
      <w:r>
        <w:t>Přesvědčoval dav takovým způsobem po několik mi</w:t>
      </w:r>
      <w:r>
        <w:softHyphen/>
        <w:t>nut a dav mu naslouchal. Dav se tím uklidnil a vplul zpět do hlavních tříd, kde byly nejhustější zástupy a kde jej pohltila opět obrovská atmosféra hněvu a zou</w:t>
      </w:r>
      <w:r>
        <w:softHyphen/>
        <w:t>falství.</w:t>
      </w:r>
    </w:p>
    <w:p w:rsidR="00500724" w:rsidRDefault="00F30FB8">
      <w:pPr>
        <w:pStyle w:val="Zkladntext1"/>
        <w:shd w:val="clear" w:color="auto" w:fill="auto"/>
        <w:spacing w:after="40" w:line="211" w:lineRule="auto"/>
        <w:ind w:firstLine="240"/>
      </w:pPr>
      <w:r>
        <w:t>To byl lid, zbavený</w:t>
      </w:r>
      <w:r>
        <w:t xml:space="preserve"> jakékoli naděje. Před devíti noce- mi demonstrovali proti berchtesgadenskému plánu. Na</w:t>
      </w:r>
      <w:r>
        <w:softHyphen/>
        <w:t xml:space="preserve">plnili ulice a táhli v průvodech, vykřikujíce svůj hněv. Avšak tenkrát měli někoho, ke komu se mohli obrátit o pomoc. Obrátili se k armádě a voják se stal jejich </w:t>
      </w:r>
      <w:r>
        <w:rPr>
          <w:u w:val="single"/>
        </w:rPr>
        <w:t>mi</w:t>
      </w:r>
      <w:r>
        <w:t xml:space="preserve">- </w:t>
      </w:r>
      <w:r>
        <w:t>nisterským předsedou. Ten zmobilisoval armádu pro boj proti tomu, kdo je chtěl zničit. Avšak nyní sama armáda, tentýž voják-ministerský předseda, přijala ještě horší podmínky... a nyní již zde nebyl nikdo, ke komu se mohli obrátit. Byl to ztracený lid, kte</w:t>
      </w:r>
      <w:r>
        <w:t>rý blou</w:t>
      </w:r>
      <w:r>
        <w:softHyphen/>
        <w:t>dil bezúčelně ulicemi a ulevoval pláčem svému žalu a své bezradnosti.</w:t>
      </w:r>
    </w:p>
    <w:p w:rsidR="00500724" w:rsidRDefault="00F30FB8">
      <w:pPr>
        <w:pStyle w:val="Zkladntext1"/>
        <w:numPr>
          <w:ilvl w:val="0"/>
          <w:numId w:val="16"/>
        </w:numPr>
        <w:shd w:val="clear" w:color="auto" w:fill="auto"/>
        <w:tabs>
          <w:tab w:val="left" w:pos="471"/>
        </w:tabs>
        <w:spacing w:line="211" w:lineRule="auto"/>
      </w:pPr>
      <w:r>
        <w:t xml:space="preserve">půlnoci jsem si zašel do Radiojournalu s Mauricem Hindusem, který vysílal relace do Ameriky. Seděli jsme ve studiu, zatím </w:t>
      </w:r>
      <w:r>
        <w:rPr>
          <w:lang w:val="en-US" w:eastAsia="en-US" w:bidi="en-US"/>
        </w:rPr>
        <w:t xml:space="preserve">co Hindus </w:t>
      </w:r>
      <w:r>
        <w:t>pronášel své poslední věty. Uslyšeli jsme hlas</w:t>
      </w:r>
      <w:r>
        <w:t xml:space="preserve"> Dérera, ministra spravedlnosti. Dérer byl Slovák a nedovedl skrýt své city, podobně jako jiní jeho kolegové z vlády. Slyšel jste již někdy plakat muže nad mikrofonem? Rve to srdce a svírá to duši. Dérer se snažil klidně vysvětlit své zemi, proč přijali mn</w:t>
      </w:r>
      <w:r>
        <w:t>ichovské podmínky, avšak jeho hlas unikl jeho kontrole. Zesílil</w:t>
      </w:r>
    </w:p>
    <w:p w:rsidR="00500724" w:rsidRDefault="00F30FB8">
      <w:pPr>
        <w:pStyle w:val="Zkladntext1"/>
        <w:shd w:val="clear" w:color="auto" w:fill="auto"/>
        <w:spacing w:line="211" w:lineRule="auto"/>
      </w:pPr>
      <w:r>
        <w:t>ři výkřicích vášně, pak se zlomil a Dérer plakal. Pla- aje, snažil se dále ml uviti klidně. Najednou ho však přemohla jiná vlna vášně. Tak dlouho, dokud budu živ, nezapomenu nikdy, jak jsem se</w:t>
      </w:r>
      <w:r>
        <w:t>děl ve studiu v rozhlase a poslouchal jsem muže, který byl rván na kousky ve svém nitru. Vysvětloval obsah mnichovské dohody. Pra</w:t>
      </w:r>
      <w:r>
        <w:softHyphen/>
        <w:t>vil, že kdyby Češi necouvli a odmítli přijmout mnichov</w:t>
      </w:r>
      <w:r>
        <w:softHyphen/>
        <w:t>ské podmínky, musili by si uvědomit, že v případě války s Německem by s</w:t>
      </w:r>
      <w:r>
        <w:t>e Anglie a Francie postavily na stranu</w:t>
      </w:r>
    </w:p>
    <w:p w:rsidR="00500724" w:rsidRDefault="00F30FB8">
      <w:pPr>
        <w:pStyle w:val="Zkladntext1"/>
        <w:shd w:val="clear" w:color="auto" w:fill="auto"/>
        <w:spacing w:after="40" w:line="211" w:lineRule="auto"/>
        <w:ind w:firstLine="0"/>
      </w:pPr>
      <w:r>
        <w:t>Německa.</w:t>
      </w:r>
    </w:p>
    <w:p w:rsidR="00500724" w:rsidRDefault="00F30FB8">
      <w:pPr>
        <w:pStyle w:val="Zkladntext1"/>
        <w:shd w:val="clear" w:color="auto" w:fill="auto"/>
        <w:spacing w:line="211" w:lineRule="auto"/>
      </w:pPr>
      <w:r>
        <w:t xml:space="preserve">Nevěřím, že by mohlo dojít k takovému uspořádání front, ale bylo by zajímavé znát pravý obsah vět, které pronesl britský ministr v Praze </w:t>
      </w:r>
      <w:r>
        <w:rPr>
          <w:lang w:val="en-US" w:eastAsia="en-US" w:bidi="en-US"/>
        </w:rPr>
        <w:t xml:space="preserve">Mr. Basil </w:t>
      </w:r>
      <w:r>
        <w:t>Newton před presidentem Benešem ráno v pátek 30. září, když h</w:t>
      </w:r>
      <w:r>
        <w:t>o žá</w:t>
      </w:r>
      <w:r>
        <w:softHyphen/>
        <w:t>dal, aby přijal podmínky, stanovené státníky v Mni</w:t>
      </w:r>
      <w:r>
        <w:softHyphen/>
        <w:t>chově. Nevěřím, že by nějaká britská vláda mohla vtáhnout britské impérium Jo války proti Českosloven</w:t>
      </w:r>
      <w:r>
        <w:softHyphen/>
        <w:t>sku na straně Německa, avšak není pochyby o tom, že československý kabinet se obával takové možnos</w:t>
      </w:r>
      <w:r>
        <w:t>ti.</w:t>
      </w:r>
    </w:p>
    <w:p w:rsidR="00500724" w:rsidRDefault="00F30FB8">
      <w:pPr>
        <w:pStyle w:val="Zkladntext1"/>
        <w:shd w:val="clear" w:color="auto" w:fill="auto"/>
        <w:spacing w:line="211" w:lineRule="auto"/>
      </w:pPr>
      <w:r>
        <w:t>Nebof po Dérerově řeči promluvil ministr propagan</w:t>
      </w:r>
      <w:r>
        <w:softHyphen/>
        <w:t>dy Vavrečka. Pravil hlasem stejně truchlivým jako Dé</w:t>
      </w:r>
      <w:r>
        <w:softHyphen/>
        <w:t>rer: sMusili jsme si uvědomit, že Rusové by potřebovali týdny, než by nám přišli na pomoc... a to by bylo snad příliš dlouho, nebof do té doby bylo b</w:t>
      </w:r>
      <w:r>
        <w:t>y zabito několik milionů našich mužů, žen a dětí. Musili jsme ještě více uvážit, že naše válka na straně Sovětského Ruska by ne</w:t>
      </w:r>
      <w:r>
        <w:softHyphen/>
        <w:t>byla pouze bojem proti Německu, nýbrž byla by vy</w:t>
      </w:r>
      <w:r>
        <w:softHyphen/>
        <w:t xml:space="preserve">kládána jako boj na straně bolševismu. A pak by se možná celá Evropa postavila </w:t>
      </w:r>
      <w:r>
        <w:t>do války proti nám a Rusku.*</w:t>
      </w:r>
    </w:p>
    <w:p w:rsidR="00500724" w:rsidRDefault="00F30FB8">
      <w:pPr>
        <w:pStyle w:val="Zkladntext1"/>
        <w:shd w:val="clear" w:color="auto" w:fill="auto"/>
        <w:spacing w:after="40" w:line="180" w:lineRule="auto"/>
        <w:ind w:firstLine="0"/>
        <w:jc w:val="center"/>
      </w:pPr>
      <w:r>
        <w:t>•</w:t>
      </w:r>
    </w:p>
    <w:p w:rsidR="00500724" w:rsidRDefault="00F30FB8">
      <w:pPr>
        <w:pStyle w:val="Zkladntext1"/>
        <w:numPr>
          <w:ilvl w:val="0"/>
          <w:numId w:val="16"/>
        </w:numPr>
        <w:shd w:val="clear" w:color="auto" w:fill="auto"/>
        <w:tabs>
          <w:tab w:val="left" w:pos="466"/>
        </w:tabs>
        <w:spacing w:after="240" w:line="214" w:lineRule="auto"/>
      </w:pPr>
      <w:r>
        <w:t>sobotu ráno 1. října, když německé jednotky, vpo</w:t>
      </w:r>
      <w:r>
        <w:softHyphen/>
        <w:t>chodovaly do Chebu, Praha byla městem bez života. Byly tam sice stále malé hloučky lidí, rozmlouvajících na rohu ulice, když jsem odjížděl k severní hranici. Avšak nebylo již v</w:t>
      </w:r>
      <w:r>
        <w:t xml:space="preserve"> nich žádné bojovnosti. Zdálo se jim, že se celý svět spiknul proti nim.</w:t>
      </w:r>
    </w:p>
    <w:p w:rsidR="00500724" w:rsidRDefault="00F30FB8">
      <w:pPr>
        <w:pStyle w:val="Zkladntext1"/>
        <w:shd w:val="clear" w:color="auto" w:fill="auto"/>
        <w:spacing w:after="40" w:line="199" w:lineRule="auto"/>
        <w:ind w:firstLine="0"/>
        <w:rPr>
          <w:sz w:val="20"/>
          <w:szCs w:val="20"/>
        </w:rPr>
      </w:pPr>
      <w:r>
        <w:rPr>
          <w:i/>
          <w:iCs/>
          <w:sz w:val="20"/>
          <w:szCs w:val="20"/>
        </w:rPr>
        <w:t>Václav P ilec k ý:</w:t>
      </w:r>
    </w:p>
    <w:p w:rsidR="00500724" w:rsidRDefault="00F30FB8">
      <w:pPr>
        <w:pStyle w:val="Nadpis100"/>
        <w:shd w:val="clear" w:color="auto" w:fill="auto"/>
        <w:spacing w:line="240" w:lineRule="auto"/>
        <w:ind w:left="140" w:firstLine="20"/>
        <w:jc w:val="left"/>
      </w:pPr>
      <w:bookmarkStart w:id="147" w:name="bookmark146"/>
      <w:r>
        <w:t>Konflikt ve Středozemním moři</w:t>
      </w:r>
      <w:bookmarkEnd w:id="147"/>
    </w:p>
    <w:p w:rsidR="00500724" w:rsidRDefault="00F30FB8">
      <w:pPr>
        <w:pStyle w:val="Zkladntext1"/>
        <w:numPr>
          <w:ilvl w:val="0"/>
          <w:numId w:val="16"/>
        </w:numPr>
        <w:shd w:val="clear" w:color="auto" w:fill="auto"/>
        <w:tabs>
          <w:tab w:val="left" w:pos="476"/>
        </w:tabs>
        <w:spacing w:line="211" w:lineRule="auto"/>
      </w:pPr>
      <w:r>
        <w:t>dějinách najdeme hodně oblastí, které byly vždy</w:t>
      </w:r>
      <w:r>
        <w:softHyphen/>
      </w:r>
      <w:r>
        <w:t xml:space="preserve">cky ohniskem krisí a sporů. Středozemní moře patří od nepaměti k takovým oblastem. Věděl to už kardinál </w:t>
      </w:r>
      <w:r>
        <w:rPr>
          <w:lang w:val="en-US" w:eastAsia="en-US" w:bidi="en-US"/>
        </w:rPr>
        <w:t xml:space="preserve">Richelieu, </w:t>
      </w:r>
      <w:r>
        <w:t>nazývaje Středozemní moře dědictvím, kte</w:t>
      </w:r>
      <w:r>
        <w:softHyphen/>
        <w:t>rého budou žádat mnozí vládcové — a to nejen z titulu práva, nýbrž i z titulu pouhé moci. Mezi všemi</w:t>
      </w:r>
      <w:r>
        <w:t xml:space="preserve"> silami, které spor o Středozemní moře stále znovu oživují, hraje význačnou úlohu hospodářství. I v nynější krisi přísluší hospodářským zájmům vynikající místo.</w:t>
      </w:r>
    </w:p>
    <w:p w:rsidR="00500724" w:rsidRDefault="00F30FB8">
      <w:pPr>
        <w:pStyle w:val="Zkladntext1"/>
        <w:shd w:val="clear" w:color="auto" w:fill="auto"/>
        <w:spacing w:after="40" w:line="211" w:lineRule="auto"/>
      </w:pPr>
      <w:r>
        <w:t>Středozemní moře je ohniskem sporů především proto, že tvoří jednotný a uzavřený hospodářský pr</w:t>
      </w:r>
      <w:r>
        <w:t xml:space="preserve">ostor. Tím si můžeme vysvětlit také pojem »mare </w:t>
      </w:r>
      <w:r>
        <w:rPr>
          <w:lang w:val="en-US" w:eastAsia="en-US" w:bidi="en-US"/>
        </w:rPr>
        <w:t xml:space="preserve">nostrum*: </w:t>
      </w:r>
      <w:r>
        <w:t>před</w:t>
      </w:r>
    </w:p>
    <w:p w:rsidR="00500724" w:rsidRDefault="00F30FB8">
      <w:pPr>
        <w:pStyle w:val="Zkladntext1"/>
        <w:shd w:val="clear" w:color="auto" w:fill="auto"/>
        <w:spacing w:line="218" w:lineRule="auto"/>
        <w:ind w:firstLine="0"/>
      </w:pPr>
      <w:r>
        <w:t>Římany snažili se již Rekové, Féničané, Turci a Spanělé uplatniti tuto zásadu. Ale celá tato oblast, kterou lze považovati za hospodářskou jednotku, má společnou ve</w:t>
      </w:r>
      <w:r>
        <w:softHyphen/>
        <w:t>likou nevýhodu: trpí nedosta</w:t>
      </w:r>
      <w:r>
        <w:t>tkem průmyslových suro</w:t>
      </w:r>
      <w:r>
        <w:softHyphen/>
        <w:t>vin, zejména rud. Proto se již ve starověku a středověku uplatnily tady výbojné a imperialistické tendence (vý</w:t>
      </w:r>
      <w:r>
        <w:softHyphen/>
        <w:t>boje Alexandrovy, pronikání Římanů do střední Evro</w:t>
      </w:r>
      <w:r>
        <w:softHyphen/>
        <w:t>py a do Afriky, obchod italských přístavních republik s východní Asií a</w:t>
      </w:r>
      <w:r>
        <w:t>td.)</w:t>
      </w:r>
    </w:p>
    <w:p w:rsidR="00500724" w:rsidRDefault="00F30FB8">
      <w:pPr>
        <w:pStyle w:val="Zkladntext1"/>
        <w:shd w:val="clear" w:color="auto" w:fill="auto"/>
        <w:spacing w:line="211" w:lineRule="auto"/>
        <w:ind w:firstLine="260"/>
      </w:pPr>
      <w:r>
        <w:t>Druhou hlavní otázkou je dopravně-hospodářský vý</w:t>
      </w:r>
      <w:r>
        <w:softHyphen/>
        <w:t>znam Středozemního moře. Už proto, že má ústřední po</w:t>
      </w:r>
      <w:r>
        <w:softHyphen/>
        <w:t>lohu a je obklopeno třemi světadíly (dva z nich skrývají veliké koloniální oblasti s neprozkoumaným bohatsvím surovin), přitahuje Středozemní moře ta</w:t>
      </w:r>
      <w:r>
        <w:t>ké zájem vel</w:t>
      </w:r>
      <w:r>
        <w:softHyphen/>
        <w:t>kých národů, usídlených mimo tuto oblast. Rozhodující úlohu Portugalska a Holandska převzala, jak známo, Anglie. Po otevření suezského průplavu, jehož vybudo</w:t>
      </w:r>
      <w:r>
        <w:softHyphen/>
        <w:t>vání se Anglie s počátku obávala — ovšem jen s ohle</w:t>
      </w:r>
      <w:r>
        <w:softHyphen/>
        <w:t>dem na nové politické nesnáze — m</w:t>
      </w:r>
      <w:r>
        <w:t>usila britská Vše změniti svou hospodářskou politiku v oblasti Středo</w:t>
      </w:r>
      <w:r>
        <w:softHyphen/>
        <w:t>zemního moře.</w:t>
      </w:r>
    </w:p>
    <w:p w:rsidR="00500724" w:rsidRDefault="00F30FB8">
      <w:pPr>
        <w:pStyle w:val="Zkladntext1"/>
        <w:shd w:val="clear" w:color="auto" w:fill="auto"/>
        <w:spacing w:line="211" w:lineRule="auto"/>
        <w:ind w:firstLine="260"/>
      </w:pPr>
      <w:r>
        <w:t>Oba tyto důvody jsou vlastní příčinou italského tvrze</w:t>
      </w:r>
      <w:r>
        <w:softHyphen/>
        <w:t>ní, že Středozemní moře má pro Itálii životní význam, ale pro ostatní dvě zúčastněné velmoci, totiž pro Anglii a Franc</w:t>
      </w:r>
      <w:r>
        <w:t>ii, jenom význam dopravní. Podívejme se přede</w:t>
      </w:r>
      <w:r>
        <w:softHyphen/>
        <w:t>vším na hospodářské zájmy Anglie a Francie, abychom poznali, co mají tady hájiti.</w:t>
      </w:r>
    </w:p>
    <w:p w:rsidR="00500724" w:rsidRDefault="00F30FB8">
      <w:pPr>
        <w:pStyle w:val="Zkladntext1"/>
        <w:shd w:val="clear" w:color="auto" w:fill="auto"/>
        <w:spacing w:line="211" w:lineRule="auto"/>
        <w:ind w:firstLine="0"/>
        <w:jc w:val="center"/>
      </w:pPr>
      <w:r>
        <w:t>W</w:t>
      </w:r>
    </w:p>
    <w:p w:rsidR="00500724" w:rsidRDefault="00F30FB8">
      <w:pPr>
        <w:pStyle w:val="Zkladntext1"/>
        <w:shd w:val="clear" w:color="auto" w:fill="auto"/>
        <w:spacing w:line="211" w:lineRule="auto"/>
        <w:ind w:firstLine="260"/>
      </w:pPr>
      <w:r>
        <w:t>S obchodního a hospodářského hlediska mají země ko</w:t>
      </w:r>
      <w:r>
        <w:softHyphen/>
        <w:t>lem Středozemního moře pro Anglii poměrně malý vý</w:t>
      </w:r>
      <w:r>
        <w:softHyphen/>
        <w:t>znam: jejich podíl na zah</w:t>
      </w:r>
      <w:r>
        <w:t>raničním obchodě britské říše dosahuje průměrně jenom 12 procent. Ačkoliv podíl na celkovém obratu italského zahraničního obchodu činí 14 až 15 procent, jsou přece absolutní čísla pro Anglii mno</w:t>
      </w:r>
      <w:r>
        <w:softHyphen/>
        <w:t>hem větší než pro Itálii. Egypt a Palestina patří totiž k ang</w:t>
      </w:r>
      <w:r>
        <w:t>lické hospodářské oblasti, egyptská bavlna a zajor- dánská nafta tvoří důležitou položku v každém výkazu zahraničního obchodu, a anglické investice ve státech kolem Středozemního moře jsou ještě stále větší, než in</w:t>
      </w:r>
      <w:r>
        <w:softHyphen/>
        <w:t xml:space="preserve">vestice italské. Po vybudování suezského </w:t>
      </w:r>
      <w:r>
        <w:t xml:space="preserve">průplavu je Středozemní moře nejdůležitější dopravní cestou britské říše. Chrání ji dva silné opěrné body mezi Gibraltarem a Alexandrií, zatím co země blízkého východu a Rudého moře patří už dlouho do iámce britské politiky. Světová válka ukázala však, že </w:t>
      </w:r>
      <w:r>
        <w:t>hospodářskou funkci Středozem</w:t>
      </w:r>
      <w:r>
        <w:softHyphen/>
        <w:t>ního moře může Anglie udržeti v plném rozsahu pouze v dobách míru. Rozvoj letectví a lehkých námořních zbraní, jejichž stavbě věnovala Itálie velikou péči, způ</w:t>
      </w:r>
      <w:r>
        <w:softHyphen/>
        <w:t>sobily, že ani silné anglické loďstvo nemůže již zaručiti britském</w:t>
      </w:r>
      <w:r>
        <w:t>u zboží bezpečnou dopravu. Od r. 1919 vyvodila toho Anglie nenápadně, ale zato radikálně, všechny dů</w:t>
      </w:r>
      <w:r>
        <w:softHyphen/>
        <w:t>sledky: za války může dopravovali všechno zboží kolem Mysu Dobré naděje. Rozvojem moderní techniky do</w:t>
      </w:r>
      <w:r>
        <w:softHyphen/>
        <w:t>sáhly obchodní lodi takové průměrné rychlosti, že ces</w:t>
      </w:r>
      <w:r>
        <w:t>ta kolem Mysu Dobré naděje netrvá mnohem déle, než trvávala plavba suezským průplavem, kde se mimo to doprava zatěžuje vysokými poplatky. Trvá-li Anglie přes to na této cestě, činí tak proto, že je přece jenom rychlejší a kromě toho má pro anglickou politi</w:t>
      </w:r>
      <w:r>
        <w:t>ku v Přední Asii a v Egyptě, v Sudanu a britské východní</w:t>
      </w:r>
    </w:p>
    <w:p w:rsidR="00500724" w:rsidRDefault="00F30FB8">
      <w:pPr>
        <w:pStyle w:val="Zkladntext1"/>
        <w:shd w:val="clear" w:color="auto" w:fill="auto"/>
        <w:spacing w:line="211" w:lineRule="auto"/>
        <w:ind w:firstLine="0"/>
      </w:pPr>
      <w:r>
        <w:t>Africe mimořádný význam (Palestina).</w:t>
      </w:r>
    </w:p>
    <w:p w:rsidR="00500724" w:rsidRDefault="00F30FB8">
      <w:pPr>
        <w:pStyle w:val="Zkladntext1"/>
        <w:shd w:val="clear" w:color="auto" w:fill="auto"/>
        <w:spacing w:line="211" w:lineRule="auto"/>
        <w:ind w:firstLine="0"/>
        <w:jc w:val="center"/>
      </w:pPr>
      <w:r>
        <w:t>•</w:t>
      </w:r>
    </w:p>
    <w:p w:rsidR="00500724" w:rsidRDefault="00F30FB8">
      <w:pPr>
        <w:pStyle w:val="Zkladntext1"/>
        <w:shd w:val="clear" w:color="auto" w:fill="auto"/>
        <w:spacing w:line="211" w:lineRule="auto"/>
        <w:ind w:firstLine="260"/>
      </w:pPr>
      <w:r>
        <w:t>Francie má sice ve Středozemním moři veliké zájmy, ale přece jenom menší než Anglie. Nejdůležitější je pro Francii západní pánev, která leží naproti Alžíru, Mar</w:t>
      </w:r>
      <w:r>
        <w:t>o</w:t>
      </w:r>
      <w:r>
        <w:softHyphen/>
        <w:t>ku a Tunisu. Tyto tři zeině jsou důležitější nádrží ho</w:t>
      </w:r>
      <w:r>
        <w:softHyphen/>
        <w:t>spodářských sil, než ostatní zámořské kolonie. Tam je skryta autarkční síla Francie (kromě nafty). Mimo to hraničí tyto země přímo s obrovskou koloniální říší ve střední Africe — a to znamená 10 mili</w:t>
      </w:r>
      <w:r>
        <w:t>onů km</w:t>
      </w:r>
      <w:r>
        <w:rPr>
          <w:vertAlign w:val="superscript"/>
        </w:rPr>
        <w:t>2</w:t>
      </w:r>
      <w:r>
        <w:t xml:space="preserve"> a 55 mi</w:t>
      </w:r>
      <w:r>
        <w:softHyphen/>
        <w:t>lionů obyvatel. Alžír, který je hospodářskou a dopravní základnou této obrovské říše, je také největší a nejbo</w:t>
      </w:r>
      <w:r>
        <w:softHyphen/>
        <w:t>hatší pobřežní provincií. Francie ji považuje za integrál</w:t>
      </w:r>
      <w:r>
        <w:softHyphen/>
        <w:t xml:space="preserve">ní součást mateřské země. Proto také Alžír podléhá, jako každý jiný </w:t>
      </w:r>
      <w:r>
        <w:t>francouzský departement, ministerstvu vnitra, zatím co Tunis a Maroko spravuje ministerstvo zahraničí jfcko protektorát. Ostatní francouzská území v Africe spravuje ministerstvo kolonií. Klimatické a geologické podmínky tří pobřežních provincií umožnily, ž</w:t>
      </w:r>
      <w:r>
        <w:t>e se tam Francouzi cítili jako doma a nikoli jako »dobyvatelé«. V zemědělství mohli uplatniti domácí vý</w:t>
      </w:r>
      <w:r>
        <w:softHyphen/>
        <w:t>robní způsoby, pěstujíce bez potíží obilí, révu, olivy a dobytek. 75 procent vývozu z těchto provincií jde pří</w:t>
      </w:r>
      <w:r>
        <w:softHyphen/>
        <w:t>mo do mateřské země, zatím eo vývoz do tě</w:t>
      </w:r>
      <w:r>
        <w:t>chto zemí následuje hned po vývozu do Německa a Spojených Států. Kromě zemědělských plodin má zde Francie také ložiska železné, zinkové a olověné rudy a fosfáty (druhé největší ložisko na světě). Volný průjezd Středozemním mořem má tedy pro Francii nesmírn</w:t>
      </w:r>
      <w:r>
        <w:t>ý význam. Velké přístavy v Oránu, Bisertě a Tunisu jsou v přímém spo</w:t>
      </w:r>
      <w:r>
        <w:softHyphen/>
        <w:t xml:space="preserve">jení s francouzskými přístavy (Port Vendres, Marseille, </w:t>
      </w:r>
      <w:r>
        <w:rPr>
          <w:lang w:val="en-US" w:eastAsia="en-US" w:bidi="en-US"/>
        </w:rPr>
        <w:t xml:space="preserve">Toulon) </w:t>
      </w:r>
      <w:r>
        <w:t xml:space="preserve">a ovšem i s přístavy na atlantickém pobřeží Maroka </w:t>
      </w:r>
      <w:r>
        <w:rPr>
          <w:lang w:val="en-US" w:eastAsia="en-US" w:bidi="en-US"/>
        </w:rPr>
        <w:t xml:space="preserve">(Casablanca </w:t>
      </w:r>
      <w:r>
        <w:t>a Rabat). Dráha by sice Francii umožnila udržeti spojení mat</w:t>
      </w:r>
      <w:r>
        <w:t>eřské země se severní Afri</w:t>
      </w:r>
      <w:r>
        <w:softHyphen/>
        <w:t>kou, ale doprava by se zdražila a zpomalila, takže by prakticky sotva přicházela v úvahu.</w:t>
      </w:r>
    </w:p>
    <w:p w:rsidR="00500724" w:rsidRDefault="00F30FB8">
      <w:pPr>
        <w:pStyle w:val="Zkladntext1"/>
        <w:shd w:val="clear" w:color="auto" w:fill="auto"/>
        <w:spacing w:after="60" w:line="214" w:lineRule="auto"/>
        <w:ind w:firstLine="0"/>
        <w:jc w:val="center"/>
      </w:pPr>
      <w:r>
        <w:t>•</w:t>
      </w:r>
    </w:p>
    <w:p w:rsidR="00500724" w:rsidRDefault="00F30FB8">
      <w:pPr>
        <w:pStyle w:val="Zkladntext1"/>
        <w:shd w:val="clear" w:color="auto" w:fill="auto"/>
        <w:spacing w:line="209" w:lineRule="auto"/>
        <w:ind w:firstLine="260"/>
      </w:pPr>
      <w:r>
        <w:t xml:space="preserve">Tyto skutečnosti odporují tedy italské thesi, že pro Itálii má Středozemní moře životní význam, ale Anglii a Francii jenom prospívá. Jak </w:t>
      </w:r>
      <w:r>
        <w:t>se jeví italské zájmy s hospodářského hlediska? Vnitřní hospodářská ústava Itálie vyvolala ohromné vypětí výrobních a finančních sil, které však nestačí zdolali rozhodující nedostatek surovin a devis. Tím, že Itálie snížila dovoz obilí, snížila se sice pas</w:t>
      </w:r>
      <w:r>
        <w:t>ivita obchodní bilance, ale hlavní položky latební bilance — totiž cizinecký ruch a poukázky za- raničních Italů domů — jsou stále menší. Vnější ho</w:t>
      </w:r>
      <w:r>
        <w:softHyphen/>
        <w:t>spodářskou situaci Itálie určují tři okolnosti: ztráta ve</w:t>
      </w:r>
      <w:r>
        <w:softHyphen/>
        <w:t>doucího postavení v jihovýchodní Evropě, nedostate</w:t>
      </w:r>
      <w:r>
        <w:t>k kapitálu při hospodářském využití říše a výdaje ve</w:t>
      </w:r>
    </w:p>
    <w:p w:rsidR="00500724" w:rsidRDefault="00F30FB8">
      <w:pPr>
        <w:pStyle w:val="Zkladntext1"/>
        <w:shd w:val="clear" w:color="auto" w:fill="auto"/>
        <w:spacing w:line="209" w:lineRule="auto"/>
        <w:ind w:firstLine="0"/>
      </w:pPr>
      <w:r>
        <w:t>Španělsku.</w:t>
      </w:r>
    </w:p>
    <w:p w:rsidR="00500724" w:rsidRDefault="00F30FB8">
      <w:pPr>
        <w:pStyle w:val="Zkladntext1"/>
        <w:shd w:val="clear" w:color="auto" w:fill="auto"/>
        <w:spacing w:line="211" w:lineRule="auto"/>
        <w:ind w:firstLine="260"/>
      </w:pPr>
      <w:r>
        <w:t>Je tedy naprosto pochopitelné, soustřeďuje-li se zájem Itálie na Středozemní moře, jako na kompensaci za ztra</w:t>
      </w:r>
      <w:r>
        <w:softHyphen/>
        <w:t>cené výhody. Italský obchod se zeměmi u Středozem</w:t>
      </w:r>
      <w:r>
        <w:softHyphen/>
        <w:t xml:space="preserve">ního moře vykazoval v r. 1937 </w:t>
      </w:r>
      <w:r>
        <w:t>podle úředních italských statistik tyto položky (v milionech lir): dovoz — 1579, vývoz 1435, přebytek dovozu činil tedy 145 milionů lir, ačkoli v těch zemích bydlí půl druhého milionu Italů. Celý obchod ve Středozemním moři jeví se takto- do</w:t>
      </w:r>
      <w:r>
        <w:softHyphen/>
        <w:t>voz — 1682, vý</w:t>
      </w:r>
      <w:r>
        <w:t>voz — 1903, zbývá tedy vývozní přebytek 220 milionů lir. Celý italský zahraniční obchod vyka</w:t>
      </w:r>
      <w:r>
        <w:softHyphen/>
        <w:t>zuje dovozní schodek ve výši 5640 milionů lir —■ ovšem bez italských osad. Spolu s nimi zbývá vývozní přeby</w:t>
      </w:r>
      <w:r>
        <w:softHyphen/>
        <w:t xml:space="preserve">tek 3408 milionů lir. Poněvadž celkový obrat italského </w:t>
      </w:r>
      <w:r>
        <w:t>zahraničního obchodu v zeních u Středozemního moře znamená ročně jenom 14—15 procent, je zřejmé, že Itá</w:t>
      </w:r>
      <w:r>
        <w:softHyphen/>
        <w:t>lii jde především o obchodně-politické zázemí. Co se týče surovin, nejsou italské osady (egejské ostrovy, Li</w:t>
      </w:r>
      <w:r>
        <w:softHyphen/>
        <w:t xml:space="preserve">bye a Habeš) příliš hodnotné, takže Itálii </w:t>
      </w:r>
      <w:r>
        <w:t>jde jednak o uvolnění dosavadní situace a jednak hledá vhodné ob</w:t>
      </w:r>
      <w:r>
        <w:softHyphen/>
        <w:t>jekty pro výhodnou směnu.</w:t>
      </w:r>
    </w:p>
    <w:p w:rsidR="00500724" w:rsidRDefault="00F30FB8">
      <w:pPr>
        <w:pStyle w:val="Zkladntext1"/>
        <w:shd w:val="clear" w:color="auto" w:fill="auto"/>
        <w:spacing w:after="140" w:line="211" w:lineRule="auto"/>
        <w:ind w:firstLine="260"/>
      </w:pPr>
      <w:r>
        <w:t>Řekli jsme už, že Francie a Anglie mají teoretickou možnost udržeti spojení s kole emi i v případě války, ale Itálie by byla uzavřením Středozemního moře u Gibraltar</w:t>
      </w:r>
      <w:r>
        <w:t>u a znemožněním plavby suezskvm průpla</w:t>
      </w:r>
      <w:r>
        <w:softHyphen/>
        <w:t xml:space="preserve">vem odříznuta (cesta přes </w:t>
      </w:r>
      <w:r>
        <w:rPr>
          <w:lang w:val="en-US" w:eastAsia="en-US" w:bidi="en-US"/>
        </w:rPr>
        <w:t xml:space="preserve">Sv. </w:t>
      </w:r>
      <w:r>
        <w:t xml:space="preserve">Gothard, </w:t>
      </w:r>
      <w:r>
        <w:rPr>
          <w:lang w:val="en-US" w:eastAsia="en-US" w:bidi="en-US"/>
        </w:rPr>
        <w:t xml:space="preserve">Brenner </w:t>
      </w:r>
      <w:r>
        <w:t>atd. do německých, belgických a holandských atlantických pří</w:t>
      </w:r>
      <w:r>
        <w:softHyphen/>
        <w:t>stavů byla by pro ohromné náklady neuskutečnitelná). Proto se Itálie dovolává »při rozených nároků*, k’eré sl</w:t>
      </w:r>
      <w:r>
        <w:t xml:space="preserve">edují dvojí účel: jednak si chce ulehčiti dosavadní situaci a jednak usiluje o nové posice. K první skupině požadavků patří italské nároky na traf Džibuti </w:t>
      </w:r>
      <w:r>
        <w:rPr>
          <w:lang w:val="en-US" w:eastAsia="en-US" w:bidi="en-US"/>
        </w:rPr>
        <w:t xml:space="preserve">-Addis </w:t>
      </w:r>
      <w:r>
        <w:t xml:space="preserve">Abeba, sniž. ní poplatků v suezském průplavu a získání Džibuti. Druhá skupina se týká Korsiky </w:t>
      </w:r>
      <w:r>
        <w:t>a Tunisu. Špa</w:t>
      </w:r>
      <w:r>
        <w:softHyphen/>
      </w:r>
      <w:r>
        <w:br w:type="page"/>
        <w:t>nělsko tvoří přechod mezi oběma skupinami — proto se snaží Itálie tak neústupně, aby si v teto oblasti zaji</w:t>
      </w:r>
      <w:r>
        <w:softHyphen/>
        <w:t>stila vliv.</w:t>
      </w:r>
    </w:p>
    <w:p w:rsidR="00500724" w:rsidRDefault="00F30FB8">
      <w:pPr>
        <w:pStyle w:val="Jin0"/>
        <w:shd w:val="clear" w:color="auto" w:fill="auto"/>
        <w:spacing w:after="300"/>
        <w:ind w:firstLine="0"/>
        <w:jc w:val="left"/>
        <w:rPr>
          <w:sz w:val="44"/>
          <w:szCs w:val="44"/>
        </w:rPr>
      </w:pPr>
      <w:r>
        <w:rPr>
          <w:b/>
          <w:bCs/>
          <w:sz w:val="44"/>
          <w:szCs w:val="44"/>
          <w:u w:val="single"/>
        </w:rPr>
        <w:t>národní hospodář</w:t>
      </w:r>
    </w:p>
    <w:p w:rsidR="00500724" w:rsidRDefault="00F30FB8">
      <w:pPr>
        <w:pStyle w:val="Zkladntext1"/>
        <w:shd w:val="clear" w:color="auto" w:fill="auto"/>
        <w:spacing w:line="178" w:lineRule="auto"/>
        <w:ind w:firstLine="0"/>
        <w:rPr>
          <w:sz w:val="20"/>
          <w:szCs w:val="20"/>
        </w:rPr>
      </w:pPr>
      <w:r>
        <w:rPr>
          <w:i/>
          <w:iCs/>
          <w:sz w:val="20"/>
          <w:szCs w:val="20"/>
        </w:rPr>
        <w:t>Ing. dr. Viktor F elber:</w:t>
      </w:r>
    </w:p>
    <w:p w:rsidR="00500724" w:rsidRDefault="00F30FB8">
      <w:pPr>
        <w:pStyle w:val="Nadpis100"/>
        <w:shd w:val="clear" w:color="auto" w:fill="auto"/>
        <w:spacing w:after="80" w:line="240" w:lineRule="auto"/>
      </w:pPr>
      <w:bookmarkStart w:id="148" w:name="bookmark147"/>
      <w:r>
        <w:t>Ze statku do chalupy ?</w:t>
      </w:r>
      <w:bookmarkEnd w:id="148"/>
    </w:p>
    <w:p w:rsidR="00500724" w:rsidRDefault="00F30FB8">
      <w:pPr>
        <w:pStyle w:val="Zkladntext1"/>
        <w:shd w:val="clear" w:color="auto" w:fill="auto"/>
        <w:spacing w:after="60" w:line="178" w:lineRule="auto"/>
        <w:ind w:left="1360" w:firstLine="0"/>
        <w:jc w:val="left"/>
        <w:rPr>
          <w:sz w:val="20"/>
          <w:szCs w:val="20"/>
        </w:rPr>
      </w:pPr>
      <w:r>
        <w:rPr>
          <w:sz w:val="20"/>
          <w:szCs w:val="20"/>
        </w:rPr>
        <w:t>Vážený pane redaktore!</w:t>
      </w:r>
    </w:p>
    <w:p w:rsidR="00500724" w:rsidRDefault="00F30FB8">
      <w:pPr>
        <w:pStyle w:val="Zkladntext1"/>
        <w:shd w:val="clear" w:color="auto" w:fill="auto"/>
        <w:spacing w:line="178" w:lineRule="auto"/>
        <w:ind w:left="580" w:firstLine="260"/>
        <w:rPr>
          <w:sz w:val="20"/>
          <w:szCs w:val="20"/>
        </w:rPr>
      </w:pPr>
      <w:r>
        <w:rPr>
          <w:sz w:val="20"/>
          <w:szCs w:val="20"/>
        </w:rPr>
        <w:t xml:space="preserve">Zdá se mi, že se čtenáři </w:t>
      </w:r>
      <w:r>
        <w:rPr>
          <w:sz w:val="20"/>
          <w:szCs w:val="20"/>
        </w:rPr>
        <w:t>»Přítomnosti« články v ní obsaženými podává příliš pesimistický názor do budoucna po stránce hospodářské. Tyto vyhlíd</w:t>
      </w:r>
      <w:r>
        <w:rPr>
          <w:sz w:val="20"/>
          <w:szCs w:val="20"/>
        </w:rPr>
        <w:softHyphen/>
        <w:t>ky jsou vskutku smutné pod zorným úhlem dneš</w:t>
      </w:r>
      <w:r>
        <w:rPr>
          <w:sz w:val="20"/>
          <w:szCs w:val="20"/>
        </w:rPr>
        <w:softHyphen/>
        <w:t>ního řádu hospodářského. Zcela jiný výhled podává však vědecké stanovisko energetické, zvlášt</w:t>
      </w:r>
      <w:r>
        <w:rPr>
          <w:sz w:val="20"/>
          <w:szCs w:val="20"/>
        </w:rPr>
        <w:t>ě se zře</w:t>
      </w:r>
      <w:r>
        <w:rPr>
          <w:sz w:val="20"/>
          <w:szCs w:val="20"/>
        </w:rPr>
        <w:softHyphen/>
        <w:t>telem na skutečnost, že lid republiky je v práci vy</w:t>
      </w:r>
      <w:r>
        <w:rPr>
          <w:sz w:val="20"/>
          <w:szCs w:val="20"/>
        </w:rPr>
        <w:softHyphen/>
        <w:t>trvalý, dovedný, podnikavý a že prokázal svou vskutku vzornou rozvahou svou zralost a vysokou mravní i kulturní úroveň.</w:t>
      </w:r>
    </w:p>
    <w:p w:rsidR="00500724" w:rsidRDefault="00F30FB8">
      <w:pPr>
        <w:pStyle w:val="Zkladntext1"/>
        <w:shd w:val="clear" w:color="auto" w:fill="auto"/>
        <w:spacing w:after="60" w:line="178" w:lineRule="auto"/>
        <w:ind w:left="580" w:firstLine="260"/>
        <w:rPr>
          <w:sz w:val="20"/>
          <w:szCs w:val="20"/>
        </w:rPr>
      </w:pPr>
      <w:r>
        <w:rPr>
          <w:sz w:val="20"/>
          <w:szCs w:val="20"/>
        </w:rPr>
        <w:t>Dovoluji si Vám zaslati pro » Přítomnost« pojed</w:t>
      </w:r>
      <w:r>
        <w:rPr>
          <w:sz w:val="20"/>
          <w:szCs w:val="20"/>
        </w:rPr>
        <w:softHyphen/>
        <w:t>nání »Ze statku do chalupy?</w:t>
      </w:r>
      <w:r>
        <w:rPr>
          <w:sz w:val="20"/>
          <w:szCs w:val="20"/>
        </w:rPr>
        <w:t>«, navazující na po</w:t>
      </w:r>
      <w:r>
        <w:rPr>
          <w:sz w:val="20"/>
          <w:szCs w:val="20"/>
        </w:rPr>
        <w:softHyphen/>
        <w:t>známku zpravodaje posl. Remeše, jež byla citována v 51. čísle minulého ročníku. Zastávám tu stano</w:t>
      </w:r>
      <w:r>
        <w:rPr>
          <w:sz w:val="20"/>
          <w:szCs w:val="20"/>
        </w:rPr>
        <w:softHyphen/>
        <w:t>visko optimistické, které, myslím, jediné vede k pokroku. Jsem hluboce přesvědčen, že se změnou nazírání na děje hospodářské i v nových po</w:t>
      </w:r>
      <w:r>
        <w:rPr>
          <w:sz w:val="20"/>
          <w:szCs w:val="20"/>
        </w:rPr>
        <w:t>měrech nám vyplyne šťastná budoucnost naší tvořivou pracovitostí.</w:t>
      </w:r>
    </w:p>
    <w:p w:rsidR="00500724" w:rsidRDefault="00F30FB8">
      <w:pPr>
        <w:pStyle w:val="Zkladntext1"/>
        <w:shd w:val="clear" w:color="auto" w:fill="auto"/>
        <w:spacing w:line="221" w:lineRule="auto"/>
        <w:ind w:firstLine="300"/>
        <w:rPr>
          <w:sz w:val="18"/>
          <w:szCs w:val="18"/>
        </w:rPr>
      </w:pPr>
      <w:r>
        <w:rPr>
          <w:sz w:val="18"/>
          <w:szCs w:val="18"/>
        </w:rPr>
        <w:t>Pohroma - sice bez hromadného ničení života a stat</w:t>
      </w:r>
      <w:r>
        <w:rPr>
          <w:sz w:val="18"/>
          <w:szCs w:val="18"/>
        </w:rPr>
        <w:softHyphen/>
        <w:t>ků - postihla před čtvrt rokem nás stát; ve jménu sebe</w:t>
      </w:r>
      <w:r>
        <w:rPr>
          <w:sz w:val="18"/>
          <w:szCs w:val="18"/>
        </w:rPr>
        <w:softHyphen/>
      </w:r>
      <w:r>
        <w:rPr>
          <w:sz w:val="18"/>
          <w:szCs w:val="18"/>
        </w:rPr>
        <w:t xml:space="preserve">určení národů pozbyl třetinu území. Ztratili jsme přes dvě třetiny uhelné těžby - hlavního to základu všeho průmyslu - a přerušeny byly četné silniční </w:t>
      </w:r>
      <w:r>
        <w:rPr>
          <w:b/>
          <w:bCs/>
          <w:sz w:val="20"/>
          <w:szCs w:val="20"/>
        </w:rPr>
        <w:t xml:space="preserve">i </w:t>
      </w:r>
      <w:r>
        <w:rPr>
          <w:sz w:val="18"/>
          <w:szCs w:val="18"/>
        </w:rPr>
        <w:t>železniční spoje. Stát byl tak postaven před nové úkoly, jež může zdolali jen pilnou prací všeho oby</w:t>
      </w:r>
      <w:r>
        <w:rPr>
          <w:sz w:val="18"/>
          <w:szCs w:val="18"/>
        </w:rPr>
        <w:softHyphen/>
        <w:t>va</w:t>
      </w:r>
      <w:r>
        <w:rPr>
          <w:sz w:val="18"/>
          <w:szCs w:val="18"/>
        </w:rPr>
        <w:t>telstva.</w:t>
      </w:r>
    </w:p>
    <w:p w:rsidR="00500724" w:rsidRDefault="00F30FB8">
      <w:pPr>
        <w:pStyle w:val="Zkladntext1"/>
        <w:shd w:val="clear" w:color="auto" w:fill="auto"/>
        <w:spacing w:line="223" w:lineRule="auto"/>
        <w:ind w:firstLine="300"/>
        <w:rPr>
          <w:sz w:val="18"/>
          <w:szCs w:val="18"/>
        </w:rPr>
      </w:pPr>
      <w:r>
        <w:rPr>
          <w:sz w:val="18"/>
          <w:szCs w:val="18"/>
        </w:rPr>
        <w:t>Proto právem vláda ústřední i vlády krajinské volaly všechen lid do pilné práce. Toto volání bylo všude při</w:t>
      </w:r>
      <w:r>
        <w:rPr>
          <w:sz w:val="18"/>
          <w:szCs w:val="18"/>
        </w:rPr>
        <w:softHyphen/>
        <w:t>jímáno jako samozřejmý požadavek. Technikové, jichž se nové úkoly zvláště dotýkaly, se pustili bez meškání do práce, a to v několika středi</w:t>
      </w:r>
      <w:r>
        <w:rPr>
          <w:sz w:val="18"/>
          <w:szCs w:val="18"/>
        </w:rPr>
        <w:t>scích, v Masarykově akade</w:t>
      </w:r>
      <w:r>
        <w:rPr>
          <w:sz w:val="18"/>
          <w:szCs w:val="18"/>
        </w:rPr>
        <w:softHyphen/>
        <w:t>mii práce, ve Spolku čs. inženýrů a v nově zřízeném Pra</w:t>
      </w:r>
      <w:r>
        <w:rPr>
          <w:sz w:val="18"/>
          <w:szCs w:val="18"/>
        </w:rPr>
        <w:softHyphen/>
        <w:t xml:space="preserve">covním sboru hospodářské obnovy. Ztracená ložiska uhlí mají býti nahrazena jednak intensivnější výrobou, jednak hospodárnějším využitím paliva zplyněním a chemickou výrobou, </w:t>
      </w:r>
      <w:r>
        <w:rPr>
          <w:sz w:val="18"/>
          <w:szCs w:val="18"/>
        </w:rPr>
        <w:t>jednak hospodárnějším využitím dokonalejšími motory, nahrazením parního pohonu lokomotiv elektric</w:t>
      </w:r>
      <w:r>
        <w:rPr>
          <w:sz w:val="18"/>
          <w:szCs w:val="18"/>
        </w:rPr>
        <w:softHyphen/>
        <w:t>kým a zavedením termodynamického topení za využiíko- vání slunečního tepla s prokázanou topnou účinností 350 procent i vyšší: využitkováním vodní energie naši</w:t>
      </w:r>
      <w:r>
        <w:rPr>
          <w:sz w:val="18"/>
          <w:szCs w:val="18"/>
        </w:rPr>
        <w:t>ch toků má býti provedena velkolepá elektrisace celého státu.</w:t>
      </w:r>
    </w:p>
    <w:p w:rsidR="00500724" w:rsidRDefault="00F30FB8">
      <w:pPr>
        <w:pStyle w:val="Zkladntext1"/>
        <w:shd w:val="clear" w:color="auto" w:fill="auto"/>
        <w:spacing w:after="60" w:line="223" w:lineRule="auto"/>
        <w:ind w:firstLine="0"/>
        <w:jc w:val="center"/>
        <w:rPr>
          <w:sz w:val="18"/>
          <w:szCs w:val="18"/>
        </w:rPr>
      </w:pPr>
      <w:r>
        <w:rPr>
          <w:sz w:val="18"/>
          <w:szCs w:val="18"/>
        </w:rPr>
        <w:t>Pesimističtí finančníci</w:t>
      </w:r>
    </w:p>
    <w:p w:rsidR="00500724" w:rsidRDefault="00F30FB8">
      <w:pPr>
        <w:pStyle w:val="Zkladntext1"/>
        <w:shd w:val="clear" w:color="auto" w:fill="auto"/>
        <w:spacing w:line="221" w:lineRule="auto"/>
        <w:ind w:firstLine="300"/>
        <w:rPr>
          <w:sz w:val="18"/>
          <w:szCs w:val="18"/>
        </w:rPr>
      </w:pPr>
      <w:r>
        <w:rPr>
          <w:sz w:val="18"/>
          <w:szCs w:val="18"/>
        </w:rPr>
        <w:t>Zdá se však, že počáteční pracovní tempo pokleslo. Pracovní nadšení techniků, kteří si troufali povznést stát i za nových poměrů k blahobytu, bylo ochlazeno výpočty finan</w:t>
      </w:r>
      <w:r>
        <w:rPr>
          <w:sz w:val="18"/>
          <w:szCs w:val="18"/>
        </w:rPr>
        <w:t>čníků, poukazujícími, že tyto podniky ne</w:t>
      </w:r>
      <w:r>
        <w:rPr>
          <w:sz w:val="18"/>
          <w:szCs w:val="18"/>
        </w:rPr>
        <w:softHyphen/>
        <w:t>budou pravděpodobně rentabilní a že by se staly pro stát těžkými břemeny. Finančníci varují před unáhleným rozhodnutím z obavy - před finančním ztroskotáním. Je prý naopak nutno omezili státní vydání; stát se má vzd</w:t>
      </w:r>
      <w:r>
        <w:rPr>
          <w:sz w:val="18"/>
          <w:szCs w:val="18"/>
        </w:rPr>
        <w:t>áíi všeho nerentabilníhro podnikání i účasti v ban</w:t>
      </w:r>
      <w:r>
        <w:rPr>
          <w:sz w:val="18"/>
          <w:szCs w:val="18"/>
        </w:rPr>
        <w:softHyphen/>
        <w:t>kách a omezili počet svých zaměstnanců. A poněvadž nelze propustili státní zaměstnance, uprchlé nebo vyká</w:t>
      </w:r>
      <w:r>
        <w:rPr>
          <w:sz w:val="18"/>
          <w:szCs w:val="18"/>
        </w:rPr>
        <w:softHyphen/>
        <w:t>zané z německých území a ze Slovenska a Podkarpatské Rusi, třeba zjednati pro ně místa předčasným p</w:t>
      </w:r>
      <w:r>
        <w:rPr>
          <w:sz w:val="18"/>
          <w:szCs w:val="18"/>
        </w:rPr>
        <w:t>ensiono- váním a vyloučením provdaných žen ze státních a ve</w:t>
      </w:r>
      <w:r>
        <w:rPr>
          <w:sz w:val="18"/>
          <w:szCs w:val="18"/>
        </w:rPr>
        <w:softHyphen/>
        <w:t>řejných služeb.</w:t>
      </w:r>
    </w:p>
    <w:p w:rsidR="00500724" w:rsidRDefault="00F30FB8">
      <w:pPr>
        <w:pStyle w:val="Zkladntext1"/>
        <w:shd w:val="clear" w:color="auto" w:fill="auto"/>
        <w:spacing w:line="216" w:lineRule="auto"/>
        <w:ind w:firstLine="300"/>
        <w:rPr>
          <w:sz w:val="18"/>
          <w:szCs w:val="18"/>
        </w:rPr>
      </w:pPr>
      <w:r>
        <w:rPr>
          <w:sz w:val="18"/>
          <w:szCs w:val="18"/>
        </w:rPr>
        <w:t>Současně se odsuzuje podpora v nezaměstnanosti, kte</w:t>
      </w:r>
      <w:r>
        <w:rPr>
          <w:sz w:val="18"/>
          <w:szCs w:val="18"/>
        </w:rPr>
        <w:softHyphen/>
      </w:r>
      <w:r>
        <w:rPr>
          <w:b/>
          <w:bCs/>
        </w:rPr>
        <w:t xml:space="preserve">ré </w:t>
      </w:r>
      <w:r>
        <w:rPr>
          <w:sz w:val="18"/>
          <w:szCs w:val="18"/>
        </w:rPr>
        <w:t>dosavadní finanční systém dával přednost před prací, poněvadž to byl prostředek zdánlivě lacinější. Ale za</w:t>
      </w:r>
      <w:r>
        <w:rPr>
          <w:sz w:val="18"/>
          <w:szCs w:val="18"/>
        </w:rPr>
        <w:softHyphen/>
        <w:t>pomíná se, že před</w:t>
      </w:r>
      <w:r>
        <w:rPr>
          <w:sz w:val="18"/>
          <w:szCs w:val="18"/>
        </w:rPr>
        <w:t>časné pensionování je také jen jiná forma podpory ve vynucené nezaměstnanosti.</w:t>
      </w:r>
    </w:p>
    <w:p w:rsidR="00500724" w:rsidRDefault="00F30FB8">
      <w:pPr>
        <w:pStyle w:val="Zkladntext1"/>
        <w:shd w:val="clear" w:color="auto" w:fill="auto"/>
        <w:spacing w:line="221" w:lineRule="auto"/>
        <w:rPr>
          <w:sz w:val="18"/>
          <w:szCs w:val="18"/>
        </w:rPr>
      </w:pPr>
      <w:r>
        <w:rPr>
          <w:sz w:val="18"/>
          <w:szCs w:val="18"/>
        </w:rPr>
        <w:t>Nikoliv, země, která rodí plodiny a je ozářena životo</w:t>
      </w:r>
      <w:r>
        <w:rPr>
          <w:sz w:val="18"/>
          <w:szCs w:val="18"/>
        </w:rPr>
        <w:softHyphen/>
        <w:t>dárným sluncem, není chudá,- a není také chůd národ, jenž je obdařen touhou po tvořivé práci a pracovními způso</w:t>
      </w:r>
      <w:r>
        <w:rPr>
          <w:sz w:val="18"/>
          <w:szCs w:val="18"/>
        </w:rPr>
        <w:softHyphen/>
        <w:t>bilostmi. B</w:t>
      </w:r>
      <w:r>
        <w:rPr>
          <w:sz w:val="18"/>
          <w:szCs w:val="18"/>
        </w:rPr>
        <w:t>yli by však chudi duchem organisátoři, kteří by nedovedli zužitkovati toto skryté bohatství a přeměnit je v živobytné hodnoty.</w:t>
      </w:r>
    </w:p>
    <w:p w:rsidR="00500724" w:rsidRDefault="00F30FB8">
      <w:pPr>
        <w:pStyle w:val="Zkladntext1"/>
        <w:shd w:val="clear" w:color="auto" w:fill="auto"/>
        <w:spacing w:after="100" w:line="218" w:lineRule="auto"/>
        <w:ind w:firstLine="280"/>
        <w:rPr>
          <w:sz w:val="18"/>
          <w:szCs w:val="18"/>
        </w:rPr>
      </w:pPr>
      <w:r>
        <w:rPr>
          <w:sz w:val="18"/>
          <w:szCs w:val="18"/>
        </w:rPr>
        <w:t xml:space="preserve">Optimistické these a plány techniků jsou umlčovány, </w:t>
      </w:r>
      <w:r>
        <w:rPr>
          <w:b/>
          <w:bCs/>
          <w:sz w:val="20"/>
          <w:szCs w:val="20"/>
        </w:rPr>
        <w:t xml:space="preserve">a </w:t>
      </w:r>
      <w:r>
        <w:rPr>
          <w:sz w:val="18"/>
          <w:szCs w:val="18"/>
        </w:rPr>
        <w:t>šíří se opětně pesimistické these finančních národo</w:t>
      </w:r>
      <w:r>
        <w:rPr>
          <w:sz w:val="18"/>
          <w:szCs w:val="18"/>
        </w:rPr>
        <w:softHyphen/>
        <w:t>hospodářů. Byli jsme pr</w:t>
      </w:r>
      <w:r>
        <w:rPr>
          <w:sz w:val="18"/>
          <w:szCs w:val="18"/>
        </w:rPr>
        <w:t>ý již za Rakouska chudi. Národ zůstal chudým i ve svém státě, jenž vzkvétal za štědré podpory cizího kapitálu. Tak podařilo se nám za dvacet let i přes sedm hladových let krise přece vybudovati dosti pohodlný dům, střední statek — ovšem zadlužený. Mnichovs</w:t>
      </w:r>
      <w:r>
        <w:rPr>
          <w:sz w:val="18"/>
          <w:szCs w:val="18"/>
        </w:rPr>
        <w:t>kou konferencí byli jsme však nuceni opustit tento statek; nvšichni si musíme býti vědomi skutečnosti, že jsme se z pěkného domu přestěhovali do chalupy.í</w:t>
      </w:r>
      <w:r>
        <w:rPr>
          <w:sz w:val="18"/>
          <w:szCs w:val="18"/>
        </w:rPr>
        <w:footnoteReference w:id="2"/>
      </w:r>
      <w:r>
        <w:rPr>
          <w:sz w:val="18"/>
          <w:szCs w:val="18"/>
        </w:rPr>
        <w:t>)</w:t>
      </w:r>
    </w:p>
    <w:p w:rsidR="00500724" w:rsidRDefault="00F30FB8">
      <w:pPr>
        <w:pStyle w:val="Zkladntext1"/>
        <w:shd w:val="clear" w:color="auto" w:fill="auto"/>
        <w:spacing w:after="60" w:line="209" w:lineRule="auto"/>
        <w:ind w:firstLine="0"/>
        <w:jc w:val="center"/>
      </w:pPr>
      <w:r>
        <w:t>Optimističtí technikové</w:t>
      </w:r>
    </w:p>
    <w:p w:rsidR="00500724" w:rsidRDefault="00F30FB8">
      <w:pPr>
        <w:pStyle w:val="Zkladntext1"/>
        <w:shd w:val="clear" w:color="auto" w:fill="auto"/>
        <w:spacing w:line="221" w:lineRule="auto"/>
        <w:ind w:firstLine="280"/>
        <w:rPr>
          <w:sz w:val="18"/>
          <w:szCs w:val="18"/>
        </w:rPr>
      </w:pPr>
      <w:r>
        <w:rPr>
          <w:sz w:val="18"/>
          <w:szCs w:val="18"/>
        </w:rPr>
        <w:t xml:space="preserve">Teorie přirozené chudoby státu, obývaného chudými národy a ochuzeného v </w:t>
      </w:r>
      <w:r>
        <w:rPr>
          <w:sz w:val="18"/>
          <w:szCs w:val="18"/>
        </w:rPr>
        <w:t>zájmu zachování evropského míru, je založena na jistém předpokladu, jehož třeba si podrobněji všímnouti; že výrobnost státu se měří finanč</w:t>
      </w:r>
      <w:r>
        <w:rPr>
          <w:sz w:val="18"/>
          <w:szCs w:val="18"/>
        </w:rPr>
        <w:softHyphen/>
        <w:t>ním kapitálem jeho národů a že tento kapitál je v úzkém vztahu se zlatým pokladem cedulové banky.</w:t>
      </w:r>
    </w:p>
    <w:p w:rsidR="00500724" w:rsidRDefault="00F30FB8">
      <w:pPr>
        <w:pStyle w:val="Zkladntext1"/>
        <w:shd w:val="clear" w:color="auto" w:fill="auto"/>
        <w:spacing w:line="221" w:lineRule="auto"/>
        <w:ind w:firstLine="280"/>
        <w:rPr>
          <w:sz w:val="18"/>
          <w:szCs w:val="18"/>
        </w:rPr>
      </w:pPr>
      <w:r>
        <w:rPr>
          <w:sz w:val="18"/>
          <w:szCs w:val="18"/>
        </w:rPr>
        <w:t>Teorie chudoby stát</w:t>
      </w:r>
      <w:r>
        <w:rPr>
          <w:sz w:val="18"/>
          <w:szCs w:val="18"/>
        </w:rPr>
        <w:t>u a národa je tedy vázána na ka</w:t>
      </w:r>
      <w:r>
        <w:rPr>
          <w:sz w:val="18"/>
          <w:szCs w:val="18"/>
        </w:rPr>
        <w:softHyphen/>
        <w:t>pitalistický řád hospodářský, v němž je těžební kapitál základem výrobnesti; jeho význačnou vlastností je ren- tabilnost - schopnost vynášeli jeho vlastníkům zisk nevyrovnaný jejich prací, užitečnou státnímu spole</w:t>
      </w:r>
      <w:r>
        <w:rPr>
          <w:sz w:val="18"/>
          <w:szCs w:val="18"/>
        </w:rPr>
        <w:softHyphen/>
        <w:t>čenství. T</w:t>
      </w:r>
      <w:r>
        <w:rPr>
          <w:sz w:val="18"/>
          <w:szCs w:val="18"/>
        </w:rPr>
        <w:t>yto kapitalistické zásady, že peníze jsou ne</w:t>
      </w:r>
      <w:r>
        <w:rPr>
          <w:sz w:val="18"/>
          <w:szCs w:val="18"/>
        </w:rPr>
        <w:softHyphen/>
        <w:t>přímý statek, vyznačený schopností vynášeli úrok jako odměnu za úvěrovou službu, že podnikání je risiko, za</w:t>
      </w:r>
      <w:r>
        <w:rPr>
          <w:sz w:val="18"/>
          <w:szCs w:val="18"/>
        </w:rPr>
        <w:softHyphen/>
        <w:t>sluhující zvláštní odměny, tak houževnatě zastávané zvláště demokratickými státy jsou uznávány dále i u</w:t>
      </w:r>
      <w:r>
        <w:rPr>
          <w:sz w:val="18"/>
          <w:szCs w:val="18"/>
        </w:rPr>
        <w:t xml:space="preserve"> nás, přes to, že jsme svou dosavadní ideologii vc druhé re</w:t>
      </w:r>
      <w:r>
        <w:rPr>
          <w:sz w:val="18"/>
          <w:szCs w:val="18"/>
        </w:rPr>
        <w:softHyphen/>
        <w:t>publice v lecčems přizpůsobili ideologii autoritativní. Ideologie autoritativních států hlásá naopak, že vlastním a skutečným kapitálem státu je pracovitost a, výrobní způ</w:t>
      </w:r>
      <w:r>
        <w:rPr>
          <w:sz w:val="18"/>
          <w:szCs w:val="18"/>
        </w:rPr>
        <w:softHyphen/>
        <w:t>sobilost lidu; že peníze</w:t>
      </w:r>
      <w:r>
        <w:rPr>
          <w:sz w:val="18"/>
          <w:szCs w:val="18"/>
        </w:rPr>
        <w:t xml:space="preserve"> mají býti pouhou hospodářskou pomůckou, že tedy nemají býti statkem, byť abstraktním, jenž svou právní povahou zasahuje brzdivě do hospodář</w:t>
      </w:r>
      <w:r>
        <w:rPr>
          <w:sz w:val="18"/>
          <w:szCs w:val="18"/>
        </w:rPr>
        <w:softHyphen/>
        <w:t>ského dění. Tato ideologie fašismu i nacismu nahradila již kapitalistickou zásadu rentabilnosti pro vlast</w:t>
      </w:r>
      <w:r>
        <w:rPr>
          <w:sz w:val="18"/>
          <w:szCs w:val="18"/>
        </w:rPr>
        <w:softHyphen/>
        <w:t>níky a sp</w:t>
      </w:r>
      <w:r>
        <w:rPr>
          <w:sz w:val="18"/>
          <w:szCs w:val="18"/>
        </w:rPr>
        <w:t>rávce kapitálu zásadou užitečnosti pro národ.</w:t>
      </w:r>
    </w:p>
    <w:p w:rsidR="00500724" w:rsidRDefault="00F30FB8">
      <w:pPr>
        <w:pStyle w:val="Zkladntext1"/>
        <w:shd w:val="clear" w:color="auto" w:fill="auto"/>
        <w:spacing w:line="221" w:lineRule="auto"/>
        <w:ind w:firstLine="280"/>
        <w:rPr>
          <w:sz w:val="18"/>
          <w:szCs w:val="18"/>
        </w:rPr>
      </w:pPr>
      <w:r>
        <w:rPr>
          <w:sz w:val="18"/>
          <w:szCs w:val="18"/>
        </w:rPr>
        <w:t>I my jsme se teď přiklonili k ideologii f. zv. národní; můžeme však při tom zůstati věrni myšlence humanitní. Sloužíce svému národu a nepoškozujíce záměrně zájmy jiných národů, prospějeme nejlépe sobě i všemu l</w:t>
      </w:r>
      <w:r>
        <w:rPr>
          <w:sz w:val="18"/>
          <w:szCs w:val="18"/>
        </w:rPr>
        <w:t>idstvu. Chápeme-li takto národní ideu, musíme všechnu svou činnost podříditi prospěchu národa - to jest všeho lidu. Myšlenka národní, dáváme-li pojmu národ reálný smysl, splývá proto logicky s ideou sociální. Této idei, dnes jediné správné, se musí přizpůs</w:t>
      </w:r>
      <w:r>
        <w:rPr>
          <w:sz w:val="18"/>
          <w:szCs w:val="18"/>
        </w:rPr>
        <w:t>obit i celá státní organisace. Uznáváme-li tedy obecně nutnost pře</w:t>
      </w:r>
      <w:r>
        <w:rPr>
          <w:sz w:val="18"/>
          <w:szCs w:val="18"/>
        </w:rPr>
        <w:softHyphen/>
        <w:t>stavby státu, je třeba bezpodmínečně i nová re orga</w:t>
      </w:r>
      <w:r>
        <w:rPr>
          <w:sz w:val="18"/>
          <w:szCs w:val="18"/>
        </w:rPr>
        <w:softHyphen/>
        <w:t>nisace hospodářské. Idea národní stojí nad zvy</w:t>
      </w:r>
      <w:r>
        <w:rPr>
          <w:sz w:val="18"/>
          <w:szCs w:val="18"/>
        </w:rPr>
        <w:softHyphen/>
        <w:t>kovým řádem kapitalistických výsad.</w:t>
      </w:r>
    </w:p>
    <w:p w:rsidR="00500724" w:rsidRDefault="00F30FB8">
      <w:pPr>
        <w:pStyle w:val="Zkladntext1"/>
        <w:shd w:val="clear" w:color="auto" w:fill="auto"/>
        <w:spacing w:line="221" w:lineRule="auto"/>
        <w:ind w:firstLine="280"/>
        <w:rPr>
          <w:sz w:val="18"/>
          <w:szCs w:val="18"/>
        </w:rPr>
      </w:pPr>
      <w:r>
        <w:rPr>
          <w:sz w:val="18"/>
          <w:szCs w:val="18"/>
        </w:rPr>
        <w:t xml:space="preserve">Idea národní, pojatá reálně </w:t>
      </w:r>
      <w:r>
        <w:rPr>
          <w:b/>
          <w:bCs/>
          <w:sz w:val="20"/>
          <w:szCs w:val="20"/>
        </w:rPr>
        <w:t xml:space="preserve">a </w:t>
      </w:r>
      <w:r>
        <w:rPr>
          <w:sz w:val="18"/>
          <w:szCs w:val="18"/>
        </w:rPr>
        <w:t xml:space="preserve">tedy sociálně, je tudíž </w:t>
      </w:r>
      <w:r>
        <w:rPr>
          <w:sz w:val="18"/>
          <w:szCs w:val="18"/>
        </w:rPr>
        <w:t>v zásadním rozporu i s řádem hospo</w:t>
      </w:r>
      <w:r>
        <w:rPr>
          <w:sz w:val="18"/>
          <w:szCs w:val="18"/>
        </w:rPr>
        <w:softHyphen/>
        <w:t>dářským, jevícím se zvláště soukromokapi- talistickým úvěrem a spekulativním tvo</w:t>
      </w:r>
      <w:r>
        <w:rPr>
          <w:sz w:val="18"/>
          <w:szCs w:val="18"/>
        </w:rPr>
        <w:softHyphen/>
        <w:t>řením cen za zboží a práci. I když pojem národ není dosud přesně vytčen, je již provždy pohřben názor, že národ je pouze jistá vrstva společ</w:t>
      </w:r>
      <w:r>
        <w:rPr>
          <w:sz w:val="18"/>
          <w:szCs w:val="18"/>
        </w:rPr>
        <w:t>enská. Proto se idea národní nutně rozchází s ideou pseudoliberalisíického ka</w:t>
      </w:r>
      <w:r>
        <w:rPr>
          <w:sz w:val="18"/>
          <w:szCs w:val="18"/>
        </w:rPr>
        <w:softHyphen/>
        <w:t>pitalismu.</w:t>
      </w:r>
    </w:p>
    <w:p w:rsidR="00500724" w:rsidRDefault="00F30FB8">
      <w:pPr>
        <w:pStyle w:val="Zkladntext1"/>
        <w:shd w:val="clear" w:color="auto" w:fill="auto"/>
        <w:spacing w:after="40" w:line="221" w:lineRule="auto"/>
        <w:ind w:firstLine="280"/>
        <w:rPr>
          <w:sz w:val="18"/>
          <w:szCs w:val="18"/>
        </w:rPr>
        <w:sectPr w:rsidR="00500724">
          <w:footnotePr>
            <w:numFmt w:val="chicago"/>
            <w:numRestart w:val="eachPage"/>
          </w:footnotePr>
          <w:pgSz w:w="11909" w:h="16834"/>
          <w:pgMar w:top="1530" w:right="842" w:bottom="765" w:left="651" w:header="0" w:footer="3" w:gutter="0"/>
          <w:cols w:num="2" w:space="115"/>
          <w:noEndnote/>
          <w:docGrid w:linePitch="360"/>
        </w:sectPr>
      </w:pPr>
      <w:r>
        <w:rPr>
          <w:noProof/>
        </w:rPr>
        <mc:AlternateContent>
          <mc:Choice Requires="wps">
            <w:drawing>
              <wp:anchor distT="25400" distB="254000" distL="114300" distR="114300" simplePos="0" relativeHeight="125829490" behindDoc="0" locked="0" layoutInCell="1" allowOverlap="1">
                <wp:simplePos x="0" y="0"/>
                <wp:positionH relativeFrom="page">
                  <wp:posOffset>6835775</wp:posOffset>
                </wp:positionH>
                <wp:positionV relativeFrom="margin">
                  <wp:posOffset>9079230</wp:posOffset>
                </wp:positionV>
                <wp:extent cx="146050" cy="15557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146050" cy="155575"/>
                        </a:xfrm>
                        <a:prstGeom prst="rect">
                          <a:avLst/>
                        </a:prstGeom>
                        <a:noFill/>
                      </wps:spPr>
                      <wps:txbx>
                        <w:txbxContent>
                          <w:p w:rsidR="00500724" w:rsidRDefault="00F30FB8">
                            <w:pPr>
                              <w:pStyle w:val="Zkladntext1"/>
                              <w:shd w:val="clear" w:color="auto" w:fill="auto"/>
                              <w:ind w:firstLine="0"/>
                              <w:jc w:val="left"/>
                              <w:rPr>
                                <w:sz w:val="18"/>
                                <w:szCs w:val="18"/>
                              </w:rPr>
                            </w:pPr>
                            <w:r>
                              <w:rPr>
                                <w:sz w:val="18"/>
                                <w:szCs w:val="18"/>
                              </w:rPr>
                              <w:t>ÍH</w:t>
                            </w:r>
                          </w:p>
                        </w:txbxContent>
                      </wps:txbx>
                      <wps:bodyPr lIns="0" tIns="0" rIns="0" bIns="0">
                        <a:spAutoFit/>
                      </wps:bodyPr>
                    </wps:wsp>
                  </a:graphicData>
                </a:graphic>
              </wp:anchor>
            </w:drawing>
          </mc:Choice>
          <mc:Fallback>
            <w:pict>
              <v:shape id="_x0000_s1139" type="#_x0000_t202" style="position:absolute;margin-left:538.25pt;margin-top:714.89999999999998pt;width:11.5pt;height:12.25pt;z-index:-125829263;mso-wrap-distance-left:9.pt;mso-wrap-distance-top:2.pt;mso-wrap-distance-right: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shd w:val="clear" w:color="auto" w:fill="auto"/>
                          <w:lang w:val="cs-CZ" w:eastAsia="cs-CZ" w:bidi="cs-CZ"/>
                        </w:rPr>
                        <w:t>ÍH</w:t>
                      </w:r>
                    </w:p>
                  </w:txbxContent>
                </v:textbox>
                <w10:wrap type="topAndBottom" anchorx="page" anchory="margin"/>
              </v:shape>
            </w:pict>
          </mc:Fallback>
        </mc:AlternateContent>
      </w:r>
      <w:r>
        <w:rPr>
          <w:sz w:val="18"/>
          <w:szCs w:val="18"/>
        </w:rPr>
        <w:t>Proto je naléhavým úkolem vlády, jež přejímá odpo</w:t>
      </w:r>
      <w:r>
        <w:rPr>
          <w:sz w:val="18"/>
          <w:szCs w:val="18"/>
        </w:rPr>
        <w:softHyphen/>
        <w:t xml:space="preserve">vědnost za uskutečňování </w:t>
      </w:r>
      <w:r>
        <w:rPr>
          <w:sz w:val="18"/>
          <w:szCs w:val="18"/>
          <w:lang w:val="en-US" w:eastAsia="en-US" w:bidi="en-US"/>
        </w:rPr>
        <w:t xml:space="preserve">idee </w:t>
      </w:r>
      <w:r>
        <w:rPr>
          <w:sz w:val="18"/>
          <w:szCs w:val="18"/>
        </w:rPr>
        <w:t>národní, i úlohou obou po-</w:t>
      </w:r>
    </w:p>
    <w:p w:rsidR="00500724" w:rsidRDefault="00500724">
      <w:pPr>
        <w:spacing w:line="83" w:lineRule="exact"/>
        <w:rPr>
          <w:sz w:val="7"/>
          <w:szCs w:val="7"/>
        </w:rPr>
      </w:pPr>
    </w:p>
    <w:p w:rsidR="00500724" w:rsidRDefault="00500724">
      <w:pPr>
        <w:spacing w:line="14" w:lineRule="exact"/>
        <w:sectPr w:rsidR="00500724">
          <w:footnotePr>
            <w:numFmt w:val="chicago"/>
            <w:numRestart w:val="eachPage"/>
          </w:footnotePr>
          <w:pgSz w:w="11909" w:h="16834"/>
          <w:pgMar w:top="1552" w:right="0" w:bottom="773" w:left="0" w:header="0" w:footer="3" w:gutter="0"/>
          <w:cols w:space="720"/>
          <w:noEndnote/>
          <w:docGrid w:linePitch="360"/>
        </w:sectPr>
      </w:pPr>
    </w:p>
    <w:p w:rsidR="00500724" w:rsidRDefault="00F30FB8">
      <w:pPr>
        <w:pStyle w:val="Zkladntext1"/>
        <w:shd w:val="clear" w:color="auto" w:fill="auto"/>
        <w:spacing w:line="218" w:lineRule="auto"/>
        <w:ind w:firstLine="0"/>
        <w:rPr>
          <w:sz w:val="18"/>
          <w:szCs w:val="18"/>
        </w:rPr>
      </w:pPr>
      <w:r>
        <w:rPr>
          <w:sz w:val="18"/>
          <w:szCs w:val="18"/>
        </w:rPr>
        <w:t xml:space="preserve">litických stran, jež obě prospěch národa postavily za svůj cíl, připravili rozchod s kapitalistickým řádem výsado- vým a převésti stát postupně do hospodářského zřízení, </w:t>
      </w:r>
      <w:r>
        <w:rPr>
          <w:b/>
          <w:bCs/>
        </w:rPr>
        <w:t xml:space="preserve">v </w:t>
      </w:r>
      <w:r>
        <w:rPr>
          <w:sz w:val="18"/>
          <w:szCs w:val="18"/>
        </w:rPr>
        <w:t>němž zájem národa jako celku je příkazem nejvyšším. — K racionální přeměně řádu je</w:t>
      </w:r>
      <w:r>
        <w:rPr>
          <w:sz w:val="18"/>
          <w:szCs w:val="18"/>
        </w:rPr>
        <w:t xml:space="preserve">dnostranných výsad </w:t>
      </w:r>
      <w:r>
        <w:rPr>
          <w:b/>
          <w:bCs/>
        </w:rPr>
        <w:t xml:space="preserve">v </w:t>
      </w:r>
      <w:r>
        <w:rPr>
          <w:sz w:val="18"/>
          <w:szCs w:val="18"/>
        </w:rPr>
        <w:t>řád národní výrobnosti s obecnou pracovní povinností měla by také přispěli nově zřízená Státní rada náro</w:t>
      </w:r>
      <w:r>
        <w:rPr>
          <w:sz w:val="18"/>
          <w:szCs w:val="18"/>
        </w:rPr>
        <w:softHyphen/>
        <w:t>dohospodářská.</w:t>
      </w:r>
    </w:p>
    <w:p w:rsidR="00500724" w:rsidRDefault="00F30FB8">
      <w:pPr>
        <w:pStyle w:val="Zkladntext1"/>
        <w:shd w:val="clear" w:color="auto" w:fill="auto"/>
        <w:spacing w:line="218" w:lineRule="auto"/>
        <w:ind w:firstLine="300"/>
        <w:rPr>
          <w:sz w:val="18"/>
          <w:szCs w:val="18"/>
        </w:rPr>
      </w:pPr>
      <w:r>
        <w:rPr>
          <w:sz w:val="18"/>
          <w:szCs w:val="18"/>
        </w:rPr>
        <w:t xml:space="preserve">Náš národní statek byl vinou naší i zaviněním cizím zmenšen ve stateček, jehož úrodná půda klesla téměř </w:t>
      </w:r>
      <w:r>
        <w:rPr>
          <w:b/>
          <w:bCs/>
        </w:rPr>
        <w:t xml:space="preserve">s </w:t>
      </w:r>
      <w:r>
        <w:rPr>
          <w:sz w:val="18"/>
          <w:szCs w:val="18"/>
        </w:rPr>
        <w:t>počtem ob</w:t>
      </w:r>
      <w:r>
        <w:rPr>
          <w:sz w:val="18"/>
          <w:szCs w:val="18"/>
        </w:rPr>
        <w:t xml:space="preserve">yvatelstva. Prohospodaříme-li tento stateček </w:t>
      </w:r>
      <w:r>
        <w:rPr>
          <w:b/>
          <w:bCs/>
        </w:rPr>
        <w:t xml:space="preserve">v </w:t>
      </w:r>
      <w:r>
        <w:rPr>
          <w:sz w:val="18"/>
          <w:szCs w:val="18"/>
        </w:rPr>
        <w:t>chalupu, místo abychom intensivním racionálním hos</w:t>
      </w:r>
      <w:r>
        <w:rPr>
          <w:sz w:val="18"/>
          <w:szCs w:val="18"/>
        </w:rPr>
        <w:softHyphen/>
        <w:t>podařením zvětšili jeho výnos a zajistili tak národu lepší živobytí, bude jediné naší vinou, že jsme nedovedli vy</w:t>
      </w:r>
      <w:r>
        <w:rPr>
          <w:sz w:val="18"/>
          <w:szCs w:val="18"/>
        </w:rPr>
        <w:softHyphen/>
        <w:t>užiti pracovního nadšení lidu a pilných ruko</w:t>
      </w:r>
      <w:r>
        <w:rPr>
          <w:sz w:val="18"/>
          <w:szCs w:val="18"/>
        </w:rPr>
        <w:t>u odpoutá</w:t>
      </w:r>
      <w:r>
        <w:rPr>
          <w:sz w:val="18"/>
          <w:szCs w:val="18"/>
        </w:rPr>
        <w:softHyphen/>
        <w:t>ním se od nevyhovujícího řádu hospodářského. Svobodu práce na vlastní roli ani přijatý mnichovský diktát neruší.</w:t>
      </w:r>
    </w:p>
    <w:p w:rsidR="00500724" w:rsidRDefault="00F30FB8">
      <w:pPr>
        <w:pStyle w:val="Zkladntext1"/>
        <w:shd w:val="clear" w:color="auto" w:fill="auto"/>
        <w:spacing w:after="120" w:line="221" w:lineRule="auto"/>
        <w:ind w:firstLine="300"/>
        <w:rPr>
          <w:sz w:val="18"/>
          <w:szCs w:val="18"/>
        </w:rPr>
      </w:pPr>
      <w:r>
        <w:rPr>
          <w:sz w:val="18"/>
          <w:szCs w:val="18"/>
        </w:rPr>
        <w:t xml:space="preserve">Český národ, vědomý si svých práv i povinností, řízený vládou, jaké jeho pilný, dovedný a rozvážný lid právem zasluhuje, bude za </w:t>
      </w:r>
      <w:r>
        <w:rPr>
          <w:sz w:val="18"/>
          <w:szCs w:val="18"/>
        </w:rPr>
        <w:t>vedení svých vůdců se zdarem hospo</w:t>
      </w:r>
      <w:r>
        <w:rPr>
          <w:sz w:val="18"/>
          <w:szCs w:val="18"/>
        </w:rPr>
        <w:softHyphen/>
        <w:t>dařili i na svém zmenšeném statečku a vybuduje sobě svou prací zasloužený blahobyt. Nemusí se proto obá</w:t>
      </w:r>
      <w:r>
        <w:rPr>
          <w:sz w:val="18"/>
          <w:szCs w:val="18"/>
        </w:rPr>
        <w:softHyphen/>
        <w:t>vali, že bude odkázán na chudobnou chalupu.</w:t>
      </w:r>
    </w:p>
    <w:p w:rsidR="00500724" w:rsidRDefault="00F30FB8">
      <w:pPr>
        <w:pStyle w:val="Jin0"/>
        <w:shd w:val="clear" w:color="auto" w:fill="auto"/>
        <w:spacing w:after="160"/>
        <w:ind w:firstLine="0"/>
        <w:jc w:val="left"/>
        <w:rPr>
          <w:sz w:val="44"/>
          <w:szCs w:val="44"/>
        </w:rPr>
      </w:pPr>
      <w:r>
        <w:rPr>
          <w:b/>
          <w:bCs/>
          <w:sz w:val="44"/>
          <w:szCs w:val="44"/>
          <w:u w:val="single"/>
        </w:rPr>
        <w:t>život a instituce</w:t>
      </w:r>
    </w:p>
    <w:p w:rsidR="00500724" w:rsidRDefault="00F30FB8">
      <w:pPr>
        <w:pStyle w:val="Nadpis100"/>
        <w:shd w:val="clear" w:color="auto" w:fill="auto"/>
        <w:spacing w:after="60" w:line="240" w:lineRule="auto"/>
      </w:pPr>
      <w:bookmarkStart w:id="149" w:name="bookmark148"/>
      <w:r>
        <w:t>Jak se stýkali s Němci</w:t>
      </w:r>
      <w:bookmarkEnd w:id="149"/>
    </w:p>
    <w:p w:rsidR="00500724" w:rsidRDefault="00F30FB8">
      <w:pPr>
        <w:pStyle w:val="Zkladntext20"/>
        <w:shd w:val="clear" w:color="auto" w:fill="auto"/>
        <w:spacing w:line="178" w:lineRule="auto"/>
        <w:ind w:left="1380" w:firstLine="0"/>
        <w:jc w:val="left"/>
        <w:rPr>
          <w:sz w:val="20"/>
          <w:szCs w:val="20"/>
        </w:rPr>
      </w:pPr>
      <w:r>
        <w:rPr>
          <w:sz w:val="20"/>
          <w:szCs w:val="20"/>
        </w:rPr>
        <w:t>Pane redaktore,</w:t>
      </w:r>
    </w:p>
    <w:p w:rsidR="00500724" w:rsidRDefault="00F30FB8">
      <w:pPr>
        <w:pStyle w:val="Zkladntext20"/>
        <w:shd w:val="clear" w:color="auto" w:fill="auto"/>
        <w:spacing w:line="178" w:lineRule="auto"/>
        <w:ind w:left="580" w:firstLine="0"/>
        <w:rPr>
          <w:sz w:val="20"/>
          <w:szCs w:val="20"/>
        </w:rPr>
      </w:pPr>
      <w:r>
        <w:rPr>
          <w:sz w:val="20"/>
          <w:szCs w:val="20"/>
        </w:rPr>
        <w:t xml:space="preserve">byl jsem přes tři roky služebně </w:t>
      </w:r>
      <w:r>
        <w:rPr>
          <w:b/>
          <w:bCs/>
          <w:sz w:val="14"/>
          <w:szCs w:val="14"/>
        </w:rPr>
        <w:t xml:space="preserve">v </w:t>
      </w:r>
      <w:r>
        <w:rPr>
          <w:sz w:val="20"/>
          <w:szCs w:val="20"/>
        </w:rPr>
        <w:t xml:space="preserve">Německu, myslím, že jsem Němce poznal. Budeme se nyní s Němci stýkat! více než dříve. Snad tedy tyto mé zkušenosti mají nějakou obecnou cenu. </w:t>
      </w:r>
      <w:r>
        <w:rPr>
          <w:b/>
          <w:bCs/>
          <w:i/>
          <w:iCs/>
          <w:sz w:val="20"/>
          <w:szCs w:val="20"/>
          <w:lang w:val="en-US" w:eastAsia="en-US" w:bidi="en-US"/>
        </w:rPr>
        <w:t xml:space="preserve">J. </w:t>
      </w:r>
      <w:r>
        <w:rPr>
          <w:b/>
          <w:bCs/>
          <w:i/>
          <w:iCs/>
          <w:sz w:val="20"/>
          <w:szCs w:val="20"/>
        </w:rPr>
        <w:t>D.</w:t>
      </w:r>
    </w:p>
    <w:p w:rsidR="00500724" w:rsidRDefault="00F30FB8">
      <w:pPr>
        <w:pStyle w:val="Zkladntext20"/>
        <w:shd w:val="clear" w:color="auto" w:fill="auto"/>
        <w:spacing w:line="178" w:lineRule="auto"/>
        <w:ind w:left="580"/>
        <w:rPr>
          <w:sz w:val="20"/>
          <w:szCs w:val="20"/>
        </w:rPr>
      </w:pPr>
      <w:r>
        <w:rPr>
          <w:sz w:val="20"/>
          <w:szCs w:val="20"/>
        </w:rPr>
        <w:t xml:space="preserve">Otiskujíce rádi tyto informace, dodáváme, že se pokusíme sestavit také </w:t>
      </w:r>
      <w:r>
        <w:rPr>
          <w:sz w:val="20"/>
          <w:szCs w:val="20"/>
        </w:rPr>
        <w:t>pravidla pro styk Němců s Čechy, a že bychom byli rádi, kdyby jich Němci chtěli použít.</w:t>
      </w:r>
    </w:p>
    <w:p w:rsidR="00500724" w:rsidRDefault="00F30FB8">
      <w:pPr>
        <w:pStyle w:val="Zkladntext1"/>
        <w:shd w:val="clear" w:color="auto" w:fill="auto"/>
        <w:spacing w:after="60" w:line="211" w:lineRule="auto"/>
      </w:pPr>
      <w:r>
        <w:rPr>
          <w:b/>
          <w:bCs/>
          <w:sz w:val="14"/>
          <w:szCs w:val="14"/>
        </w:rPr>
        <w:t xml:space="preserve">Po </w:t>
      </w:r>
      <w:r>
        <w:t xml:space="preserve">událostech posledních měsíců budou se naše styky </w:t>
      </w:r>
      <w:r>
        <w:rPr>
          <w:b/>
          <w:bCs/>
          <w:sz w:val="14"/>
          <w:szCs w:val="14"/>
        </w:rPr>
        <w:t xml:space="preserve">8 </w:t>
      </w:r>
      <w:r>
        <w:t xml:space="preserve">Němci stále </w:t>
      </w:r>
      <w:r>
        <w:rPr>
          <w:lang w:val="en-US" w:eastAsia="en-US" w:bidi="en-US"/>
        </w:rPr>
        <w:t xml:space="preserve">vice </w:t>
      </w:r>
      <w:r>
        <w:t>množit. Máme zájem na tom, aby sty</w:t>
      </w:r>
      <w:r>
        <w:softHyphen/>
        <w:t>ky ty byly hladké, věcné a pro nás prospěšné. Proto je dobře u</w:t>
      </w:r>
      <w:r>
        <w:t>vědomiti si, za jakých předpokladů v dnešní době styky ty mohou býti hladké, po případě co by tomu mohlo býti na překážku.</w:t>
      </w:r>
    </w:p>
    <w:p w:rsidR="00500724" w:rsidRDefault="00F30FB8">
      <w:pPr>
        <w:pStyle w:val="Zkladntext40"/>
        <w:shd w:val="clear" w:color="auto" w:fill="auto"/>
        <w:spacing w:after="0" w:line="240" w:lineRule="auto"/>
        <w:jc w:val="center"/>
        <w:rPr>
          <w:sz w:val="14"/>
          <w:szCs w:val="14"/>
        </w:rPr>
      </w:pPr>
      <w:r>
        <w:rPr>
          <w:b/>
          <w:bCs/>
          <w:sz w:val="14"/>
          <w:szCs w:val="14"/>
        </w:rPr>
        <w:t>Musíte umět německy</w:t>
      </w:r>
    </w:p>
    <w:p w:rsidR="00500724" w:rsidRDefault="00F30FB8">
      <w:pPr>
        <w:pStyle w:val="Zkladntext1"/>
        <w:shd w:val="clear" w:color="auto" w:fill="auto"/>
        <w:spacing w:line="211" w:lineRule="auto"/>
        <w:ind w:firstLine="300"/>
      </w:pPr>
      <w:r>
        <w:rPr>
          <w:b/>
          <w:bCs/>
          <w:sz w:val="14"/>
          <w:szCs w:val="14"/>
        </w:rPr>
        <w:t xml:space="preserve">Je tu </w:t>
      </w:r>
      <w:r>
        <w:t>hned jedna věc — nej důležitější: dokonalá znalost němčiny. Najdete u nás, zejména v mladší generaci, hojně</w:t>
      </w:r>
      <w:r>
        <w:t xml:space="preserve"> lidí, kteří dovedou slušně mluvit i psát francouzský, někdy i anglicky, ale ku podivu lámou němčinu. Bylo za naší dosavadní »západnické« orien</w:t>
      </w:r>
      <w:r>
        <w:softHyphen/>
        <w:t>tace chybou, že jsme pomíjeli němčinu. Stávalo se po převratu, že v jednom velkém odboru našeho vysokého úřadu m</w:t>
      </w:r>
      <w:r>
        <w:t>ezi 60 úředníky-vysokoškoláky nebylo jednoho, jenž by určitou stať dovedl přeložit do bezvadné něm</w:t>
      </w:r>
      <w:r>
        <w:softHyphen/>
        <w:t>činy. Každý uzná, že se zde musí mnoho změniti. A při tom nepůjde jen o to, aby se lidé určení pro styk s Ně</w:t>
      </w:r>
      <w:r>
        <w:softHyphen/>
        <w:t>meckem naučili správnému vyjadřování němčinou, s</w:t>
      </w:r>
      <w:r>
        <w:t>tejně důležitou jest i dobrá výslovnost. Důvěru cizince a snad obzvláště Němce získáte nejsnadněji, dovedete-li s ním plynně pohovořiti v jeho mateřštině tak, aby při každém slově nebyl drážděn kostrbatou výslovností, ko</w:t>
      </w:r>
      <w:r>
        <w:softHyphen/>
        <w:t>mickými obraty a vazbami. Mějme při</w:t>
      </w:r>
      <w:r>
        <w:t xml:space="preserve"> tom na paměti, že dnes již v úředním, obchodním a společenském styku nebude míti převahu akcent vídeňský, starorakouský, nýbrž především němčina berlínská, onen ostřejší, hro</w:t>
      </w:r>
      <w:r>
        <w:softHyphen/>
        <w:t>titý a rychlejší akcent severoněmeeký.</w:t>
      </w:r>
    </w:p>
    <w:p w:rsidR="00500724" w:rsidRDefault="00F30FB8">
      <w:pPr>
        <w:pStyle w:val="Zkladntext1"/>
        <w:shd w:val="clear" w:color="auto" w:fill="auto"/>
        <w:spacing w:line="211" w:lineRule="auto"/>
      </w:pPr>
      <w:r>
        <w:t>Mám-li se s cizincem sblížiti, nestačí, a</w:t>
      </w:r>
      <w:r>
        <w:t>bych znal je</w:t>
      </w:r>
      <w:r>
        <w:softHyphen/>
        <w:t>nom jeho jazyk, ještě důležitější je znalost jeho duchov</w:t>
      </w:r>
      <w:r>
        <w:softHyphen/>
        <w:t>ní kultury, zvláštností jeho prostředí, jeho povahy, jeho hmotných i duševních potřeb. Naše starší generace — ještě doba Nerudova — znala dokonale německou lite</w:t>
      </w:r>
      <w:r>
        <w:softHyphen/>
        <w:t xml:space="preserve">raturu a filosofii. Celá </w:t>
      </w:r>
      <w:r>
        <w:t>česká kultura nesla do konce mi</w:t>
      </w:r>
      <w:r>
        <w:softHyphen/>
        <w:t>nulého století pečeť vlivů německých a proto snad bylo</w:t>
      </w:r>
    </w:p>
    <w:p w:rsidR="00500724" w:rsidRDefault="00F30FB8">
      <w:pPr>
        <w:pStyle w:val="Zkladntext1"/>
        <w:framePr w:dropCap="drop" w:lines="2" w:wrap="auto" w:vAnchor="text" w:hAnchor="text"/>
        <w:shd w:val="clear" w:color="auto" w:fill="auto"/>
        <w:spacing w:line="274" w:lineRule="exact"/>
        <w:ind w:firstLine="0"/>
      </w:pPr>
      <w:r>
        <w:rPr>
          <w:rFonts w:ascii="Arial" w:eastAsia="Arial" w:hAnsi="Arial" w:cs="Arial"/>
          <w:position w:val="-6"/>
          <w:sz w:val="32"/>
          <w:szCs w:val="32"/>
        </w:rPr>
        <w:t>Í</w:t>
      </w:r>
    </w:p>
    <w:p w:rsidR="00500724" w:rsidRDefault="00F30FB8">
      <w:pPr>
        <w:pStyle w:val="Zkladntext1"/>
        <w:shd w:val="clear" w:color="auto" w:fill="auto"/>
        <w:spacing w:line="211" w:lineRule="auto"/>
        <w:ind w:firstLine="0"/>
      </w:pPr>
      <w:r>
        <w:t>&gt;ro naše lidi v tehdejší době snadnější pochopiti menta- itu a prostředí německé, než dovedeme dnes my.</w:t>
      </w:r>
    </w:p>
    <w:p w:rsidR="00500724" w:rsidRDefault="00F30FB8">
      <w:pPr>
        <w:pStyle w:val="Zkladntext1"/>
        <w:shd w:val="clear" w:color="auto" w:fill="auto"/>
        <w:spacing w:after="40" w:line="211" w:lineRule="auto"/>
      </w:pPr>
      <w:r>
        <w:t>Veškerý německý život a mluva je prostoupena zlido</w:t>
      </w:r>
      <w:r>
        <w:softHyphen/>
        <w:t xml:space="preserve">vělými </w:t>
      </w:r>
      <w:r>
        <w:t>citáty z německé literatury. Zkuste to: Citujte Němcovi při vhodné příležitosti ten či onen verš, který zná každý německý školák, tu či onu běžnou průpo</w:t>
      </w:r>
      <w:r>
        <w:softHyphen/>
        <w:t xml:space="preserve">vídku, přísloví. Němec bude udiven, polichocen, stoupne i respekt vůři vám co »inteligentnímu člověkuc </w:t>
      </w:r>
      <w:r>
        <w:t>a jeho vztah k vám stane se okamžitě přátelštějším, důvěři</w:t>
      </w:r>
      <w:r>
        <w:softHyphen/>
        <w:t>vějším.</w:t>
      </w:r>
    </w:p>
    <w:p w:rsidR="00500724" w:rsidRDefault="00F30FB8">
      <w:pPr>
        <w:pStyle w:val="Zkladntext1"/>
        <w:shd w:val="clear" w:color="auto" w:fill="auto"/>
        <w:spacing w:after="40" w:line="211" w:lineRule="auto"/>
        <w:ind w:firstLine="0"/>
        <w:jc w:val="center"/>
      </w:pPr>
      <w:r>
        <w:t>Nemusíte býti ponížení</w:t>
      </w:r>
    </w:p>
    <w:p w:rsidR="00500724" w:rsidRDefault="00F30FB8">
      <w:pPr>
        <w:pStyle w:val="Zkladntext1"/>
        <w:shd w:val="clear" w:color="auto" w:fill="auto"/>
        <w:spacing w:line="211" w:lineRule="auto"/>
      </w:pPr>
      <w:r>
        <w:t>Nejednou se mi Němci přiznali, že nás Cechy pova</w:t>
      </w:r>
      <w:r>
        <w:softHyphen/>
        <w:t xml:space="preserve">žují za záludné, falešné, úskočné. Má odpověď zněla: Kdybyste nás nebyli tisíc let tiskli, nebyli byste nás — národ </w:t>
      </w:r>
      <w:r>
        <w:t>mnohokrát slabší — přinutili býti ve styku s vámi opatrnými, to jest, jak vy říkáte úskočnými. České opa- trnictví, tichošlápství jest, doufám, i leckterému Čecho</w:t>
      </w:r>
      <w:r>
        <w:softHyphen/>
        <w:t>vi proti mysli. Nutno však výslovně varovati před chytračením, úskočností a lísavostí ve styk</w:t>
      </w:r>
      <w:r>
        <w:t>u s Němci, kteří cítí až fysický odpor proti pochlebníkům a chy</w:t>
      </w:r>
      <w:r>
        <w:softHyphen/>
        <w:t xml:space="preserve">trákům, zvláště počínají-li si při tom dotěrně. Pro styk s Němci vybírejme lidi vyhraněné, přímé, kteří, bude-li toho situace vyžadovat, raději řeknou Němci pravdu taktně do tváře, než aby mu </w:t>
      </w:r>
      <w:r>
        <w:t>podlézali.</w:t>
      </w:r>
    </w:p>
    <w:p w:rsidR="00500724" w:rsidRDefault="00F30FB8">
      <w:pPr>
        <w:pStyle w:val="Zkladntext1"/>
        <w:shd w:val="clear" w:color="auto" w:fill="auto"/>
        <w:spacing w:after="80" w:line="211" w:lineRule="auto"/>
      </w:pPr>
      <w:r>
        <w:t xml:space="preserve">Němec jest člověkem zákona, kázně, řádu. Máte-li s Němcem spor a jste-li v právu, apelujte na zákon, řád, slušnost. To vždy Němce zarazí a přinutí k uvažování. Zarazí jej jednak obava, aby snad přece jen nepřišel do konfiktu se zákonem (úřady), </w:t>
      </w:r>
      <w:r>
        <w:t>jednak i značný fond osobní slušnosti. Tento smysl pro objektivní normu jed</w:t>
      </w:r>
      <w:r>
        <w:softHyphen/>
        <w:t>nání — jak učí zkušenost — není stejně silně vyvinut leckde mimo hranice Německa.</w:t>
      </w:r>
    </w:p>
    <w:p w:rsidR="00500724" w:rsidRDefault="00F30FB8">
      <w:pPr>
        <w:pStyle w:val="Zkladntext40"/>
        <w:shd w:val="clear" w:color="auto" w:fill="auto"/>
        <w:spacing w:after="40" w:line="286" w:lineRule="auto"/>
        <w:jc w:val="center"/>
        <w:rPr>
          <w:sz w:val="14"/>
          <w:szCs w:val="14"/>
        </w:rPr>
      </w:pPr>
      <w:r>
        <w:rPr>
          <w:b/>
          <w:bCs/>
          <w:sz w:val="14"/>
          <w:szCs w:val="14"/>
        </w:rPr>
        <w:t>Musíte vědět, co pro ně znamená</w:t>
      </w:r>
      <w:r>
        <w:rPr>
          <w:b/>
          <w:bCs/>
          <w:sz w:val="14"/>
          <w:szCs w:val="14"/>
        </w:rPr>
        <w:br/>
        <w:t>»m ísto na slunek</w:t>
      </w:r>
    </w:p>
    <w:p w:rsidR="00500724" w:rsidRDefault="00F30FB8">
      <w:pPr>
        <w:pStyle w:val="Zkladntext1"/>
        <w:shd w:val="clear" w:color="auto" w:fill="auto"/>
        <w:spacing w:line="211" w:lineRule="auto"/>
      </w:pPr>
      <w:r>
        <w:t>Nejsme příliš optimističtí v očekávání, že by se</w:t>
      </w:r>
      <w:r>
        <w:t xml:space="preserve"> Němci snažili (anebo dovedli) pochopit naše národní zvláštno</w:t>
      </w:r>
      <w:r>
        <w:softHyphen/>
        <w:t>sti, potřeby a tužby. To nám však nesmí překáželi, aby</w:t>
      </w:r>
      <w:r>
        <w:softHyphen/>
        <w:t xml:space="preserve">chom se nesnažili pochopiti my je. </w:t>
      </w:r>
      <w:r>
        <w:rPr>
          <w:b/>
          <w:bCs/>
          <w:sz w:val="14"/>
          <w:szCs w:val="14"/>
        </w:rPr>
        <w:t xml:space="preserve">A </w:t>
      </w:r>
      <w:r>
        <w:t xml:space="preserve">nutno po pravdě říci, že oprávněné tužby a základní potřeby německého národa nebyly a nejsou ve státě </w:t>
      </w:r>
      <w:r>
        <w:t>dosti přesně a spra</w:t>
      </w:r>
      <w:r>
        <w:softHyphen/>
        <w:t>vedlivě chápány. Nejde nám tu o politické hodnocení věci, nýbrž o vystižení mentality průměrného Němce.</w:t>
      </w:r>
    </w:p>
    <w:p w:rsidR="00500724" w:rsidRDefault="00F30FB8">
      <w:pPr>
        <w:pStyle w:val="Zkladntext1"/>
        <w:shd w:val="clear" w:color="auto" w:fill="auto"/>
        <w:spacing w:line="211" w:lineRule="auto"/>
      </w:pPr>
      <w:r>
        <w:t>Především by si měl každý z nás promyslit skuteč</w:t>
      </w:r>
      <w:r>
        <w:softHyphen/>
        <w:t>nost, že ze čtyř Němců vždy jen jeden žije na venkově a tři v městech anebo v průmy</w:t>
      </w:r>
      <w:r>
        <w:t>slových ctřediscích a že v některých německých krajích hustota obyvatelstva přesahuje 200 osob na km</w:t>
      </w:r>
      <w:r>
        <w:rPr>
          <w:vertAlign w:val="superscript"/>
        </w:rPr>
        <w:t>2</w:t>
      </w:r>
      <w:r>
        <w:t>. Víte, co tento nedostatek prostoru (kolonií) při dnešní vitalitě Němců znamená? Znamená to, že pyramida německého sociálního ústrojí stojí na špici. Něme</w:t>
      </w:r>
      <w:r>
        <w:t>cká expanse — byť i ne populační, kolonisační, zato však hospodářská — je životní nut</w:t>
      </w:r>
      <w:r>
        <w:softHyphen/>
        <w:t>ností. Byla by se dala zasytit mohutnými obchodními styky s celým světem na podkladě liberální dohody se všemi státy. Víte však, jak jsme od tohoto liberálního uspořádání</w:t>
      </w:r>
      <w:r>
        <w:t xml:space="preserve"> mezinárodních vztahů v dnešní době vzdá</w:t>
      </w:r>
      <w:r>
        <w:softHyphen/>
        <w:t>leni. Dílčí náraz, vyplynuvší z oné situace úzkosti ně</w:t>
      </w:r>
      <w:r>
        <w:softHyphen/>
        <w:t>meckého prostoru, jsme my v ČSR již pocítili. Další vý</w:t>
      </w:r>
      <w:r>
        <w:softHyphen/>
        <w:t>boje německé expanse pocítí ostatní svět, při čemž my nebudeme zasahovat. Mějme však ve styku s Němci po</w:t>
      </w:r>
      <w:r>
        <w:softHyphen/>
      </w:r>
      <w:r>
        <w:t>chopení pro to, mluví-li cni o nedostatku prostoru, o žá</w:t>
      </w:r>
      <w:r>
        <w:softHyphen/>
        <w:t>doucnosti lepšího místa na slunci a pod.</w:t>
      </w:r>
    </w:p>
    <w:p w:rsidR="00500724" w:rsidRDefault="00F30FB8">
      <w:pPr>
        <w:pStyle w:val="Zkladntext1"/>
        <w:shd w:val="clear" w:color="auto" w:fill="auto"/>
        <w:spacing w:line="211" w:lineRule="auto"/>
      </w:pPr>
      <w:r>
        <w:rPr>
          <w:noProof/>
        </w:rPr>
        <mc:AlternateContent>
          <mc:Choice Requires="wps">
            <w:drawing>
              <wp:anchor distT="12700" distB="254000" distL="114300" distR="114300" simplePos="0" relativeHeight="125829492" behindDoc="0" locked="0" layoutInCell="1" allowOverlap="1">
                <wp:simplePos x="0" y="0"/>
                <wp:positionH relativeFrom="page">
                  <wp:posOffset>398145</wp:posOffset>
                </wp:positionH>
                <wp:positionV relativeFrom="margin">
                  <wp:posOffset>9120505</wp:posOffset>
                </wp:positionV>
                <wp:extent cx="170815" cy="170815"/>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170815"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i/>
                                <w:iCs/>
                                <w:sz w:val="20"/>
                                <w:szCs w:val="20"/>
                              </w:rPr>
                              <w:t>Q2</w:t>
                            </w:r>
                          </w:p>
                        </w:txbxContent>
                      </wps:txbx>
                      <wps:bodyPr lIns="0" tIns="0" rIns="0" bIns="0">
                        <a:spAutoFit/>
                      </wps:bodyPr>
                    </wps:wsp>
                  </a:graphicData>
                </a:graphic>
              </wp:anchor>
            </w:drawing>
          </mc:Choice>
          <mc:Fallback>
            <w:pict>
              <v:shape id="_x0000_s1141" type="#_x0000_t202" style="position:absolute;margin-left:31.350000000000001pt;margin-top:718.14999999999998pt;width:13.449999999999999pt;height:13.449999999999999pt;z-index:-125829261;mso-wrap-distance-left:9.pt;mso-wrap-distance-top:1.pt;mso-wrap-distance-right:9.pt;mso-wrap-distance-bottom:20.pt;mso-position-horizontal-relative:page;mso-position-vertical-relative:margin"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Q2</w:t>
                      </w:r>
                    </w:p>
                  </w:txbxContent>
                </v:textbox>
                <w10:wrap type="topAndBottom" anchorx="page" anchory="margin"/>
              </v:shape>
            </w:pict>
          </mc:Fallback>
        </mc:AlternateContent>
      </w:r>
      <w:r>
        <w:t xml:space="preserve">Němce hněte vědomí, že Francouzi, Angličané, ba </w:t>
      </w:r>
      <w:r>
        <w:rPr>
          <w:b/>
          <w:bCs/>
          <w:sz w:val="14"/>
          <w:szCs w:val="14"/>
        </w:rPr>
        <w:t xml:space="preserve">i </w:t>
      </w:r>
      <w:r>
        <w:t>Rusové a Američané si vytvořili svůj prostor, svá impé</w:t>
      </w:r>
      <w:r>
        <w:softHyphen/>
        <w:t>ria, kdežto oni — národ střídmý, tvořivý a bojo</w:t>
      </w:r>
      <w:r>
        <w:t>vný — uvízli na omezeném prostoru, jenž do nedávná byl ještě zúžován okupací Porýní, dnes ještě polským koridorem. Proč Francouzi a Angličané a proč ne my? — táže f3 Němec. Němci musili se v poválečných deseti letech spo- kojovati spartánskou stravou a náh</w:t>
      </w:r>
      <w:r>
        <w:t>ražkovými látkami, kdežto Francouzi, pohodlní a podle úsudku Němců de</w:t>
      </w:r>
      <w:r>
        <w:softHyphen/>
        <w:t>kadentní, tonou v nadbytku. Je to nechuť vůči beati possidentes tohoto světa, jež zžírá Němce. I to je nutno chápat. Vysvětlení, že Němci a Italové se svým sjedno</w:t>
      </w:r>
      <w:r>
        <w:softHyphen/>
        <w:t>cením přišli o 150 a ví</w:t>
      </w:r>
      <w:r>
        <w:t>ce let po Francii a Anglii, tento pocit neodstraní.</w:t>
      </w:r>
    </w:p>
    <w:p w:rsidR="00500724" w:rsidRDefault="00F30FB8">
      <w:pPr>
        <w:pStyle w:val="Zkladntext1"/>
        <w:shd w:val="clear" w:color="auto" w:fill="auto"/>
        <w:spacing w:line="211" w:lineRule="auto"/>
        <w:ind w:firstLine="0"/>
        <w:jc w:val="center"/>
      </w:pPr>
      <w:r>
        <w:t>Nesmíte se dotýkat staré rány</w:t>
      </w:r>
    </w:p>
    <w:p w:rsidR="00500724" w:rsidRDefault="00F30FB8">
      <w:pPr>
        <w:pStyle w:val="Zkladntext1"/>
        <w:shd w:val="clear" w:color="auto" w:fill="auto"/>
        <w:spacing w:line="211" w:lineRule="auto"/>
      </w:pPr>
      <w:r>
        <w:t>Nechápe dnešního Němce ten, kdo nepochopil to, co lze nazvati versaill eský m kemp lex em u Něm</w:t>
      </w:r>
      <w:r>
        <w:softHyphen/>
        <w:t xml:space="preserve">ců — onen otřes, který prožili v důsledku porážky 1918. Nemyslete, že na svou </w:t>
      </w:r>
      <w:r>
        <w:t>porážku zapomněli, i když se Německo nežitím zase už stalo nejsilnější mocí v Evro</w:t>
      </w:r>
      <w:r>
        <w:softHyphen/>
        <w:t>pě, kráčející od politického vítězství k ' ítězství. K cito</w:t>
      </w:r>
      <w:r>
        <w:softHyphen/>
        <w:t>vé nepřízni vůči bohatému Západu pojilo se aspoň do nedávná vědomí hanby z porážky, z ^černošské* oku</w:t>
      </w:r>
      <w:r>
        <w:softHyphen/>
        <w:t>pace Porýní</w:t>
      </w:r>
      <w:r>
        <w:t>, křivdy válečných náhrad a pjd. Jak hlu</w:t>
      </w:r>
      <w:r>
        <w:softHyphen/>
        <w:t>boko šla ta rána, lze pochopiti jen z toho, víme-li, s ja</w:t>
      </w:r>
      <w:r>
        <w:softHyphen/>
        <w:t>kou vášní absolutního sebeobětování Němci usilovali o vítězství. Dva příklady ozřejmily pisateli tuto vůli k ví</w:t>
      </w:r>
      <w:r>
        <w:softHyphen/>
        <w:t>tězství:</w:t>
      </w:r>
    </w:p>
    <w:p w:rsidR="00500724" w:rsidRDefault="00F30FB8">
      <w:pPr>
        <w:pStyle w:val="Zkladntext1"/>
        <w:shd w:val="clear" w:color="auto" w:fill="auto"/>
        <w:spacing w:line="211" w:lineRule="auto"/>
      </w:pPr>
      <w:r>
        <w:t>Asi r. 1924 setkal se ve vlaku s říš</w:t>
      </w:r>
      <w:r>
        <w:t>skoněmeckým mi- strem-barvířem, pracujícím v kterési československé to</w:t>
      </w:r>
      <w:r>
        <w:softHyphen/>
        <w:t>várně. Vyprávěl o bojích pod Verdunem. Byl poddů</w:t>
      </w:r>
      <w:r>
        <w:softHyphen/>
        <w:t>stojníkem u kulometů. Prodělal nejstrašnější boje, sta a sta kamarádů viděl na vlastní oči hynout.</w:t>
      </w:r>
    </w:p>
    <w:p w:rsidR="00500724" w:rsidRDefault="00F30FB8">
      <w:pPr>
        <w:pStyle w:val="Zkladntext1"/>
        <w:shd w:val="clear" w:color="auto" w:fill="auto"/>
        <w:spacing w:line="211" w:lineRule="auto"/>
      </w:pPr>
      <w:r>
        <w:t xml:space="preserve">&gt;A přece isme to nevyhráli,« pravil, </w:t>
      </w:r>
      <w:r>
        <w:t>a slzy vytryskly mu z očí. Pak dodal: ^Kdybychom byli pod Verdunem obětovali ještě 100.000 mužů, byli bychom možná přece francouzskou frontu prolo</w:t>
      </w:r>
      <w:r>
        <w:softHyphen/>
        <w:t>mili a válku vyhráli.*</w:t>
      </w:r>
    </w:p>
    <w:p w:rsidR="00500724" w:rsidRDefault="00F30FB8">
      <w:pPr>
        <w:pStyle w:val="Zkladntext1"/>
        <w:shd w:val="clear" w:color="auto" w:fill="auto"/>
        <w:spacing w:line="211" w:lineRule="auto"/>
      </w:pPr>
      <w:r>
        <w:t xml:space="preserve">Lze ještě někde v jiném národě na světě nalézti mistra- barvíře (nikoliv tedy </w:t>
      </w:r>
      <w:r>
        <w:t>aktivního generála), účastníka nej</w:t>
      </w:r>
      <w:r>
        <w:softHyphen/>
        <w:t>strašnější bitvy v dějinách, jenž by si přál obětovati ještě 100.000 svých kamarádů, aby bylo dosaženo ví</w:t>
      </w:r>
      <w:r>
        <w:softHyphen/>
        <w:t>tězství?</w:t>
      </w:r>
    </w:p>
    <w:p w:rsidR="00500724" w:rsidRDefault="00F30FB8">
      <w:pPr>
        <w:pStyle w:val="Zkladntext1"/>
        <w:shd w:val="clear" w:color="auto" w:fill="auto"/>
        <w:spacing w:line="211" w:lineRule="auto"/>
      </w:pPr>
      <w:r>
        <w:t xml:space="preserve">Německý záložní důstojník, v civilu student, byl ve Flandrech zraněn mimo jiné i do pravé ruky a po léčbě </w:t>
      </w:r>
      <w:r>
        <w:t>v nemocnici propuštěn domu na delší dovolenou. Rána se zahojila, důstojník však viděl, že pravicí již nebude moci střílet.</w:t>
      </w:r>
    </w:p>
    <w:p w:rsidR="00500724" w:rsidRDefault="00F30FB8">
      <w:pPr>
        <w:pStyle w:val="Zkladntext1"/>
        <w:shd w:val="clear" w:color="auto" w:fill="auto"/>
        <w:spacing w:line="211" w:lineRule="auto"/>
      </w:pPr>
      <w:r>
        <w:t>»A tu vycházel,* praví jeho sestra, »z vlastního pod</w:t>
      </w:r>
      <w:r>
        <w:softHyphen/>
        <w:t>nětu za město na úhor aučilse tam střílet le</w:t>
      </w:r>
      <w:r>
        <w:softHyphen/>
        <w:t>vou rukou z revolveru, aby se zas m</w:t>
      </w:r>
      <w:r>
        <w:t>ohl vrátit na frontu.* Byl na frontě opět zraněn a několik let po vál</w:t>
      </w:r>
      <w:r>
        <w:softHyphen/>
        <w:t>ce, jsa již manželem a otcem, zemřel na následky váleč</w:t>
      </w:r>
      <w:r>
        <w:softHyphen/>
        <w:t>ných zranění</w:t>
      </w:r>
    </w:p>
    <w:p w:rsidR="00500724" w:rsidRDefault="00F30FB8">
      <w:pPr>
        <w:pStyle w:val="Zkladntext1"/>
        <w:shd w:val="clear" w:color="auto" w:fill="auto"/>
        <w:spacing w:line="211" w:lineRule="auto"/>
      </w:pPr>
      <w:r>
        <w:t>Poddůstojník, jenž by byl obětoval ještě 100.000 vo-</w:t>
      </w:r>
    </w:p>
    <w:p w:rsidR="00500724" w:rsidRDefault="00F30FB8">
      <w:pPr>
        <w:pStyle w:val="Zkladntext1"/>
        <w:framePr w:dropCap="drop" w:lines="2" w:wrap="auto" w:vAnchor="text" w:hAnchor="text"/>
        <w:shd w:val="clear" w:color="auto" w:fill="auto"/>
        <w:spacing w:line="269" w:lineRule="exact"/>
        <w:ind w:firstLine="0"/>
      </w:pPr>
      <w:r>
        <w:rPr>
          <w:rFonts w:ascii="Arial" w:eastAsia="Arial" w:hAnsi="Arial" w:cs="Arial"/>
          <w:position w:val="-6"/>
          <w:sz w:val="32"/>
          <w:szCs w:val="32"/>
        </w:rPr>
        <w:t>Í</w:t>
      </w:r>
    </w:p>
    <w:p w:rsidR="00500724" w:rsidRDefault="00F30FB8">
      <w:pPr>
        <w:pStyle w:val="Zkladntext1"/>
        <w:shd w:val="clear" w:color="auto" w:fill="auto"/>
        <w:spacing w:line="211" w:lineRule="auto"/>
        <w:ind w:firstLine="0"/>
      </w:pPr>
      <w:r>
        <w:t xml:space="preserve">‘áků u Verdunu, a záložní důstojník, učící se sám střílet </w:t>
      </w:r>
      <w:r>
        <w:t>evičkou, aby mohl opět na frontu, to činí zřejmým roz</w:t>
      </w:r>
      <w:r>
        <w:softHyphen/>
        <w:t>sah hrdinského sebeobětování německého vojáka. Tento národ nezapomněl, že byl poražen. To mějme na mysli, přicházíme-li s Němci do styku. Zde je rána, jíž není záhodno se dotýkali.</w:t>
      </w:r>
    </w:p>
    <w:p w:rsidR="00500724" w:rsidRDefault="00F30FB8">
      <w:pPr>
        <w:pStyle w:val="Zkladntext1"/>
        <w:shd w:val="clear" w:color="auto" w:fill="auto"/>
        <w:spacing w:line="254" w:lineRule="auto"/>
        <w:ind w:left="180" w:firstLine="420"/>
        <w:jc w:val="left"/>
      </w:pPr>
      <w:r>
        <w:t>Musíte si zvyknout na</w:t>
      </w:r>
      <w:r>
        <w:t xml:space="preserve"> pořádek Pocifuje-li Němec vůči západním národům touhu, mít</w:t>
      </w:r>
    </w:p>
    <w:p w:rsidR="00500724" w:rsidRDefault="00F30FB8">
      <w:pPr>
        <w:pStyle w:val="Zkladntext1"/>
        <w:shd w:val="clear" w:color="auto" w:fill="auto"/>
        <w:spacing w:line="211" w:lineRule="auto"/>
        <w:ind w:firstLine="0"/>
      </w:pPr>
      <w:r>
        <w:t>tolik, co oni, má vůči národům východním, zvláště vůči Slovanům, pocit převahy. Vše na východ od Berlína a Vídně jest pro něj nádrží méněcennosti. Nejvýše se ještě připustí, že Srbové jsou národem</w:t>
      </w:r>
      <w:r>
        <w:t xml:space="preserve"> bojovným a Češi že mají schopnost organisovat. Dvěma vlastnostmi vyni</w:t>
      </w:r>
      <w:r>
        <w:softHyphen/>
        <w:t>ká Němec — též podle svého vlastního úsudku — nad téměř všechny, zvláště východní národy: smyslem pro pořádek a pro čistotu.</w:t>
      </w:r>
    </w:p>
    <w:p w:rsidR="00500724" w:rsidRDefault="00F30FB8">
      <w:pPr>
        <w:pStyle w:val="Zkladntext1"/>
        <w:shd w:val="clear" w:color="auto" w:fill="auto"/>
        <w:spacing w:line="209" w:lineRule="auto"/>
      </w:pPr>
      <w:r>
        <w:t xml:space="preserve">O německém pořádku se již mnoho napsalo. Existuje, je to na </w:t>
      </w:r>
      <w:r>
        <w:t>úzkém německém prostoru veliká usměrňující a umocňující síla, má jen jeden rub: jestliže se Němcům &gt;pořádek« zvrtne, bývají bezradní. Když náhodou při nějaké slavnosti pořádek předem stanovený selže, ztrá</w:t>
      </w:r>
      <w:r>
        <w:softHyphen/>
        <w:t>cejí účastníci hlavu, nebof dar improvisace jim sch</w:t>
      </w:r>
      <w:r>
        <w:t>ází. Stává se to zřídka a pořádek, plán provádí se zpravidla svědomitě do všech podrobností, jak ukázala na příklad berlínská Olympiáda r. 1936.</w:t>
      </w:r>
    </w:p>
    <w:p w:rsidR="00500724" w:rsidRDefault="00F30FB8">
      <w:pPr>
        <w:pStyle w:val="Zkladntext1"/>
        <w:shd w:val="clear" w:color="auto" w:fill="auto"/>
        <w:spacing w:line="209" w:lineRule="auto"/>
      </w:pPr>
      <w:r>
        <w:t xml:space="preserve">Pro cizince je toho »pořádku« v Německu někdy pří- liš. S jakousi lítostí pozorujete, že se Němcům pro sa- mou </w:t>
      </w:r>
      <w:r>
        <w:t>formu, formality, vědomí povinnosti, pro samou ká</w:t>
      </w:r>
      <w:r>
        <w:softHyphen/>
        <w:t>zeň někdy ztrácí obsah. Poklidné setrvávání v čase, na určitém místě, v určitém dojmu, kochání se, užívání — to je leckterému Němci nedostupné. Někdy si to Němci uvědomují, což bývá dalším důvodem nespokoje</w:t>
      </w:r>
      <w:r>
        <w:t>nosti vůči národům, spatřujícím smysl života v požitku a umějícím na tomto nástroji virtuosně hráti.</w:t>
      </w:r>
    </w:p>
    <w:p w:rsidR="00500724" w:rsidRDefault="00F30FB8">
      <w:pPr>
        <w:pStyle w:val="Zkladntext1"/>
        <w:shd w:val="clear" w:color="auto" w:fill="auto"/>
        <w:spacing w:line="209" w:lineRule="auto"/>
      </w:pPr>
      <w:r>
        <w:t>Nespouštějme tedy z mysli, že setkáme-li se s Něm</w:t>
      </w:r>
      <w:r>
        <w:softHyphen/>
        <w:t>cem, bude jedním okem zkoumati, máme-li u nás pořá</w:t>
      </w:r>
      <w:r>
        <w:softHyphen/>
        <w:t>dek, a druhým, je-li tu vše dosti čisté. Ano, slovutný</w:t>
      </w:r>
      <w:r>
        <w:t xml:space="preserve"> magistráte, nepořádejme pouze dny čistoty, nýbrž ra</w:t>
      </w:r>
      <w:r>
        <w:softHyphen/>
        <w:t>ději hned celé roky čistoty!</w:t>
      </w:r>
    </w:p>
    <w:p w:rsidR="00500724" w:rsidRDefault="00F30FB8">
      <w:pPr>
        <w:pStyle w:val="Zkladntext1"/>
        <w:shd w:val="clear" w:color="auto" w:fill="auto"/>
        <w:spacing w:line="209" w:lineRule="auto"/>
        <w:ind w:firstLine="0"/>
        <w:jc w:val="center"/>
      </w:pPr>
      <w:r>
        <w:t>Nesmíte se hned leknout...</w:t>
      </w:r>
    </w:p>
    <w:p w:rsidR="00500724" w:rsidRDefault="00F30FB8">
      <w:pPr>
        <w:pStyle w:val="Zkladntext1"/>
        <w:shd w:val="clear" w:color="auto" w:fill="auto"/>
        <w:spacing w:line="209" w:lineRule="auto"/>
      </w:pPr>
      <w:r>
        <w:t>Pokud jde o společenské formy, porozumí si Cech s Němcem lépe nežli s příslušníky jiných národů. Žijete-li delší dobu hodně daleko od střední Evrop</w:t>
      </w:r>
      <w:r>
        <w:t>y, tu teprve po</w:t>
      </w:r>
      <w:r>
        <w:softHyphen/>
        <w:t>chopíte, že si Češi a Němci jako sociální typ jsou daleko bližší nežli Čech a Rus anebo Čech a Franeouz. Němci jsou snad občas tuze přímočaří, ostří (schneidig), drsní.</w:t>
      </w:r>
    </w:p>
    <w:p w:rsidR="00500724" w:rsidRDefault="00F30FB8">
      <w:pPr>
        <w:pStyle w:val="Zkladntext1"/>
        <w:shd w:val="clear" w:color="auto" w:fill="auto"/>
        <w:spacing w:line="209" w:lineRule="auto"/>
      </w:pPr>
      <w:r>
        <w:t xml:space="preserve">»They </w:t>
      </w:r>
      <w:r>
        <w:rPr>
          <w:lang w:val="en-US" w:eastAsia="en-US" w:bidi="en-US"/>
        </w:rPr>
        <w:t>are not very formal,</w:t>
      </w:r>
      <w:r>
        <w:t>« říkají Anglosasové. Jenže to vše je nám poc</w:t>
      </w:r>
      <w:r>
        <w:t>hopitelnější nežli onen francouzský diplomat, starého typu, jemuž byl určitý úředník jiné národnosti představen v úřadovně, načež jej Francouz několik let ve společnosti ostentativně ignoroval, tvrdě, že jej nezná. Proč? Poněvadž mu kromě návštěvy úřed</w:t>
      </w:r>
      <w:r>
        <w:softHyphen/>
        <w:t xml:space="preserve">ní </w:t>
      </w:r>
      <w:r>
        <w:t>nevykonal ještě návštěvy soukromé.</w:t>
      </w:r>
    </w:p>
    <w:p w:rsidR="00500724" w:rsidRDefault="00F30FB8">
      <w:pPr>
        <w:pStyle w:val="Zkladntext1"/>
        <w:shd w:val="clear" w:color="auto" w:fill="auto"/>
        <w:spacing w:line="209" w:lineRule="auto"/>
      </w:pPr>
      <w:r>
        <w:t>Chtějí-Ii si páni v Německu pohovořit, zajdou &gt;na pivo«, dámy si uspořádají s-kávový věneček* anebo prostě Kaffeeťratsch, v čemž není podstatného rozdílu. To vše máme i my v Čechách. Nedomnívejte se však, že obřadný způso</w:t>
      </w:r>
      <w:r>
        <w:t>b popíjení, který prý vynalezli již staří Germáni, a jenž je stejně rozšířen ve vrstvách lidových jako mezi akademickou inteligencí, lze tak snadno na- podobiti. Vyžaduje cviku. Nelze též říci, že by v Ně</w:t>
      </w:r>
      <w:r>
        <w:softHyphen/>
        <w:t>mecku neexistovaly určité vrstvy vytříbené společen</w:t>
      </w:r>
      <w:r>
        <w:t>ské úrovně.</w:t>
      </w:r>
    </w:p>
    <w:p w:rsidR="00500724" w:rsidRDefault="00F30FB8">
      <w:pPr>
        <w:pStyle w:val="Zkladntext1"/>
        <w:shd w:val="clear" w:color="auto" w:fill="auto"/>
        <w:spacing w:after="180" w:line="209" w:lineRule="auto"/>
      </w:pPr>
      <w:r>
        <w:t>Nakonec budiž připomenuto: Nelekejte se, jestliže vás německý průvodčí ve vlaku nebo v tramvaji nebo stráž</w:t>
      </w:r>
      <w:r>
        <w:softHyphen/>
        <w:t xml:space="preserve">ník na ulici ve 1 i t el s k ý m tónem vyzve, abyste ukázal lístek, šel po pravé straně chodníku a pod. Při návštěvě německých kostelů, </w:t>
      </w:r>
      <w:r>
        <w:t>na př. Domkirche v Ber</w:t>
      </w:r>
      <w:r>
        <w:softHyphen/>
        <w:t>líně, zjistil jsem, že i němečtí pastoři se k věřícím s kaza</w:t>
      </w:r>
      <w:r>
        <w:softHyphen/>
        <w:t xml:space="preserve">telny obracejí slovy velitelskými. Němec, mající nějakou funkci, :dy komanduje, a </w:t>
      </w:r>
      <w:r>
        <w:rPr>
          <w:vertAlign w:val="superscript"/>
        </w:rPr>
        <w:t>1</w:t>
      </w:r>
      <w:r>
        <w:t xml:space="preserve"> lyby to byl jenom hlídač aut: po tu drbu, co vaše auto stojí na jeho stanovišti, jest on</w:t>
      </w:r>
      <w:r>
        <w:t xml:space="preserve"> velitelem. Němci rádi komandují, ale též se podřizují. A bude-li se vám n</w:t>
      </w:r>
      <w:r>
        <w:rPr>
          <w:vertAlign w:val="superscript"/>
        </w:rPr>
        <w:t>v</w:t>
      </w:r>
      <w:r>
        <w:t xml:space="preserve"> uecká Kommandosprache v občanském životě zdáti příliš tvrdou a někdy zbyteč</w:t>
      </w:r>
      <w:r>
        <w:softHyphen/>
        <w:t>nou, nezapomeňte, že Němci jsou řízní a tvrdí i jeden vůči druhému a že se jim to zdá samozřejmým.</w:t>
      </w:r>
    </w:p>
    <w:p w:rsidR="00500724" w:rsidRDefault="00F30FB8">
      <w:pPr>
        <w:pStyle w:val="Zkladntext1"/>
        <w:shd w:val="clear" w:color="auto" w:fill="auto"/>
        <w:spacing w:after="120" w:line="211" w:lineRule="auto"/>
      </w:pPr>
      <w:r>
        <w:t>S Něm</w:t>
      </w:r>
      <w:r>
        <w:t>cem nejlépe vyjdete, ovládnete-li dokonale jeho jazyk, pochopíte-li jeho mentalitu a přizpůsobíte-li se v Německu pořádku, který si tam zavedli. Mají jednu přednost, které si važme: jsou přímí jako přátelé i jako odpůrci. Hrozí-li odpůrci, tedy ty hrozby s</w:t>
      </w:r>
      <w:r>
        <w:t>plní. Ale ne</w:t>
      </w:r>
      <w:r>
        <w:softHyphen/>
        <w:t>třeba se obávati, že budou někomu desetiletí vyznávati přátelství, aby jej pak znenadání napadli zezadu, octne- te-li se na svahu, aby vás srazili do propasti.</w:t>
      </w:r>
    </w:p>
    <w:p w:rsidR="00500724" w:rsidRDefault="00F30FB8">
      <w:pPr>
        <w:pStyle w:val="Jin0"/>
        <w:pBdr>
          <w:bottom w:val="single" w:sz="4" w:space="0" w:color="auto"/>
        </w:pBdr>
        <w:shd w:val="clear" w:color="auto" w:fill="auto"/>
        <w:spacing w:after="120"/>
        <w:ind w:firstLine="0"/>
        <w:jc w:val="left"/>
        <w:rPr>
          <w:sz w:val="46"/>
          <w:szCs w:val="46"/>
        </w:rPr>
      </w:pPr>
      <w:r>
        <w:rPr>
          <w:b/>
          <w:bCs/>
          <w:sz w:val="46"/>
          <w:szCs w:val="46"/>
        </w:rPr>
        <w:t>doba a lidé</w:t>
      </w:r>
    </w:p>
    <w:p w:rsidR="00500724" w:rsidRDefault="00F30FB8">
      <w:pPr>
        <w:pStyle w:val="Zkladntext1"/>
        <w:shd w:val="clear" w:color="auto" w:fill="auto"/>
        <w:spacing w:line="202" w:lineRule="auto"/>
        <w:ind w:firstLine="0"/>
        <w:rPr>
          <w:sz w:val="20"/>
          <w:szCs w:val="20"/>
        </w:rPr>
      </w:pPr>
      <w:r>
        <w:rPr>
          <w:i/>
          <w:iCs/>
          <w:sz w:val="20"/>
          <w:szCs w:val="20"/>
        </w:rPr>
        <w:t>Milena Jesenská:</w:t>
      </w:r>
    </w:p>
    <w:p w:rsidR="00500724" w:rsidRDefault="00F30FB8">
      <w:pPr>
        <w:pStyle w:val="Nadpis100"/>
        <w:shd w:val="clear" w:color="auto" w:fill="auto"/>
        <w:spacing w:after="0" w:line="218" w:lineRule="auto"/>
        <w:ind w:left="200" w:firstLine="20"/>
        <w:jc w:val="left"/>
      </w:pPr>
      <w:bookmarkStart w:id="150" w:name="bookmark149"/>
      <w:r>
        <w:t>Podmínka přijetí: buď hezká!</w:t>
      </w:r>
      <w:bookmarkEnd w:id="150"/>
    </w:p>
    <w:p w:rsidR="00500724" w:rsidRDefault="00F30FB8">
      <w:pPr>
        <w:pStyle w:val="Zkladntext1"/>
        <w:shd w:val="clear" w:color="auto" w:fill="auto"/>
        <w:spacing w:line="211" w:lineRule="auto"/>
      </w:pPr>
      <w:r>
        <w:t xml:space="preserve">Jak si vyřeší ženy svoji </w:t>
      </w:r>
      <w:r>
        <w:t>změněnou situaci, jak se zařídí ty, které musely odejít z práce a jak se změní ony, které se chystaly studovat — to je věc, která se ukáže teprve později. Stále však ještě zůstává v práci celá armáda mladých děvčat, kterým se — až na plato</w:t>
      </w:r>
      <w:r>
        <w:softHyphen/>
        <w:t xml:space="preserve">vé srážky — nic </w:t>
      </w:r>
      <w:r>
        <w:t>nestalo. Mohou stejně, jako dříve, na</w:t>
      </w:r>
      <w:r>
        <w:softHyphen/>
        <w:t xml:space="preserve">stupovat každého rána svoji práci u psacího stroje nebo </w:t>
      </w:r>
      <w:r>
        <w:rPr>
          <w:b/>
          <w:bCs/>
          <w:sz w:val="20"/>
          <w:szCs w:val="20"/>
        </w:rPr>
        <w:t xml:space="preserve">u </w:t>
      </w:r>
      <w:r>
        <w:t>krámského pultu a mohou, stejně jako dříve, vracet se večer unavené a umořené prací. Ale máme-li se skutečně starat o svůj dorost a o mladé členky svého národa,</w:t>
      </w:r>
      <w:r>
        <w:t xml:space="preserve"> je třeba uvědomit si, že právě tento zástup za</w:t>
      </w:r>
      <w:r>
        <w:softHyphen/>
        <w:t>městnaných a pracovitých dívek vede existenci z nej</w:t>
      </w:r>
      <w:r>
        <w:softHyphen/>
        <w:t>trpčích a — nejnebezpečnějších. Tisíce mladých děvčat chodí těsně po okraji propasti celá dlouhá léta nej</w:t>
      </w:r>
      <w:r>
        <w:softHyphen/>
        <w:t>lepšího mládí. Dříve snad tady byla naděje, že ten</w:t>
      </w:r>
      <w:r>
        <w:t>to život skončí v manželství. Dnes je ta naděje menší. Ale bez ohledu na to: celý svět strká tato mladá stvoření rovnou na šikmou plochu, celý svět je honí z jedné zlé situace do druhé a je zapotřebí nesmírné trpělivosti, zdatnosti, rozvahy, klidu a charak</w:t>
      </w:r>
      <w:r>
        <w:t>teru, aby se z pracu</w:t>
      </w:r>
      <w:r>
        <w:softHyphen/>
        <w:t>jící mladé dívky nestal lhostejný, ubitý a pokřivený člověk. A promyslíme-li všechny okolnosti, za jakých žijí, je obdivuhodné, že je mezi nimi tolik pevných a slušných mladých žen.</w:t>
      </w:r>
    </w:p>
    <w:p w:rsidR="00500724" w:rsidRDefault="00F30FB8">
      <w:pPr>
        <w:pStyle w:val="Zkladntext1"/>
        <w:shd w:val="clear" w:color="auto" w:fill="auto"/>
        <w:spacing w:line="209" w:lineRule="auto"/>
        <w:ind w:firstLine="240"/>
      </w:pPr>
      <w:r>
        <w:t>Říká sé, že práce povznáší a jistě je to nějak pravda</w:t>
      </w:r>
      <w:r>
        <w:t>. Ale zatím co truhlář vyrobí stůl, tedy ze dřeva udělá něco hotového, zatím co rolník zašije zrno a dívá se, jak vyrůstá, zatím co zedník cihlu po cihle sleduje růst svého domu, nemá práce, které se říká ženská — psát na stroji, vést pokladnu, zapisovat d</w:t>
      </w:r>
      <w:r>
        <w:t>o kartiček, pro</w:t>
      </w:r>
      <w:r>
        <w:softHyphen/>
        <w:t>dávat, obsluhovat v bufetu, psát kancelářská akta — tuto vzestupnou křivku zrodu, růstu a dozrávání. Ne- obíhá obloukem, nýbrž přímkou. Je jednotvárná, jako šedivé, zatažené nebe. Lze ji dělat svědomitě, pečlivě a dobře. Lze si jí vydělávat</w:t>
      </w:r>
      <w:r>
        <w:t xml:space="preserve"> peníze. Ale pochybuji, že povznáší. Co se přežvykuje denně, jenom unavuje a umoří ducha. Co je věčně stejné, pociťuje se jako po</w:t>
      </w:r>
      <w:r>
        <w:softHyphen/>
        <w:t>vinnost, obživa, ale nikoli j-ko radost. Člověk není stvo</w:t>
      </w:r>
      <w:r>
        <w:softHyphen/>
        <w:t>řen, aby se radoval z pouhého jídla a střechy nad hla</w:t>
      </w:r>
      <w:r>
        <w:softHyphen/>
        <w:t>vou — nelze se</w:t>
      </w:r>
      <w:r>
        <w:t xml:space="preserve"> radovat z toho, co se nezbytně potřebuje k holému životu. Člověk se dovede radovat z věcí, které začínají právě za hranicí, kdy bylo nasyceno holé živo</w:t>
      </w:r>
      <w:r>
        <w:softHyphen/>
        <w:t>bytí. Práce, která vynese na jídlo a přespání jenom proto, aby se mohlo jít zase do práce —- neponecháv</w:t>
      </w:r>
      <w:r>
        <w:t>á vůbec místo na radost. Je to nejhroznější a nejsmut</w:t>
      </w:r>
      <w:r>
        <w:softHyphen/>
        <w:t xml:space="preserve">nější práce. Dívka z kanceláře nebo obchodu dostává však prvního u pokladny šest nebo sedm stovek a to je právě ta pěšinka po okraji propasti. Pěšinka, na které nic nekvete. Každá radost stojí peníze a </w:t>
      </w:r>
      <w:r>
        <w:t>radosti zadarmo nejsou. Člověk za sedm set korun — ale kolik jich má sedm set? Dobrá polovina jich má 500 K! — nemá ani halíř na nic jiného, než na nezbytné. Na stravu, na byt, na šaty a na předepsanou krásu. Neděle ztrávená venku v přírodě, biograf, tanec</w:t>
      </w:r>
      <w:r>
        <w:t xml:space="preserve"> — a všechno, co mladé dívky milují — už obyčejně závisí na po</w:t>
      </w:r>
      <w:r>
        <w:softHyphen/>
        <w:t>zvání, tedy na tom, že to zaplatí někdo druhý. Hoši ne- platívají za mladé dívky z dobročinnosti. A tady vede ta pěšinka rovnou dolů, rovnou dolů, do trapných a bolestných zážitků, které z mlad</w:t>
      </w:r>
      <w:r>
        <w:t>ých dívek vychová</w:t>
      </w:r>
      <w:r>
        <w:softHyphen/>
        <w:t>vají všechno jiné, jenom ne zdravé, veselé a spokojené ženy a matky.</w:t>
      </w:r>
    </w:p>
    <w:p w:rsidR="00500724" w:rsidRDefault="00F30FB8">
      <w:pPr>
        <w:pStyle w:val="Zkladntext1"/>
        <w:shd w:val="clear" w:color="auto" w:fill="auto"/>
        <w:spacing w:line="209" w:lineRule="auto"/>
        <w:ind w:firstLine="0"/>
        <w:jc w:val="center"/>
      </w:pPr>
      <w:r>
        <w:t>Co stojí krása?</w:t>
      </w:r>
    </w:p>
    <w:p w:rsidR="00500724" w:rsidRDefault="00F30FB8">
      <w:pPr>
        <w:pStyle w:val="Zkladntext1"/>
        <w:shd w:val="clear" w:color="auto" w:fill="auto"/>
        <w:spacing w:line="211" w:lineRule="auto"/>
        <w:ind w:firstLine="240"/>
      </w:pPr>
      <w:r>
        <w:t>Pod pojmem krása se myslí dnes něco velmi standard</w:t>
      </w:r>
      <w:r>
        <w:softHyphen/>
        <w:t>ního. Zaměstnavatel žádá krásu, jako samozřejmý pří</w:t>
      </w:r>
      <w:r>
        <w:softHyphen/>
        <w:t>davek. Děvče, které obsluhuje v bufetu, manekýnka,</w:t>
      </w:r>
      <w:r>
        <w:t xml:space="preserve"> prodavačka, úřednice, pracující dívka, která se stýká se zákazníky, má být hezká. To jest: její účes má mít módní silhuetu, její šaty se mají podobat střihu </w:t>
      </w:r>
      <w:r>
        <w:rPr>
          <w:lang w:val="en-US" w:eastAsia="en-US" w:bidi="en-US"/>
        </w:rPr>
        <w:t xml:space="preserve">toilet, </w:t>
      </w:r>
      <w:r>
        <w:t xml:space="preserve">ušitých u velkých švadlen, alespoň na první pohled. Její ruce mají být pečlivě upravené — </w:t>
      </w:r>
      <w:r>
        <w:t>ale to ovšem nestačí — mají být hebké, jako kočičí tlapky a mají mít rudé drápky. Její pleť má být matná a obočí zřetelně vykreslené, ústa patřičně rudá a oči důkladně podmalovány. A žádný zaměstnavatel ovšem nebude trpět, aby děvče přinášelo v šatech pach</w:t>
      </w:r>
      <w:r>
        <w:t>y předměst</w:t>
      </w:r>
      <w:r>
        <w:softHyphen/>
        <w:t>ského domova, aby čpělo cibulí a bramborovými škrab</w:t>
      </w:r>
      <w:r>
        <w:softHyphen/>
        <w:t>kami, kterými je doma cítit celý dům, aby vonělo mydlinkami a louhem, připomínajícími den velkého prádla. Tedy: kolínskou vodu a dobrou ústní vodu. Podle druhu práce je třeba víc nebo méně péče</w:t>
      </w:r>
      <w:r>
        <w:t>. Ale ženy, které se skutečně pěstí, které se svěřují pečli</w:t>
      </w:r>
      <w:r>
        <w:softHyphen/>
        <w:t>vým rukám kosmetiček, které si dávají upravovat vlas y, podrobují se masážím tváří a maskám, osvěžujícím pleť a náznaky vrásek, ženy, které ztráví dobrou polovinu života nikoli prací, ale hlídáním</w:t>
      </w:r>
      <w:r>
        <w:t xml:space="preserve"> a ošetřováním svého zevnějšku, vědí asi, kolik to stojí peněz. Všechny pro</w:t>
      </w:r>
      <w:r>
        <w:softHyphen/>
        <w:t>středky, které potřebuje žena k tomu, aby byla krásná, jsou totiž nesmírně drahé. Přesněji řečeno: prostředky, které skutečně pomáhají, jsou velmi drahé. Pak jsou ovšem i prostředk</w:t>
      </w:r>
      <w:r>
        <w:t>y levné. Jenomže mají asi opačný účinek, než ty první: ničí a kazí dívčí pleť a nenávratně ničí ženské vlasy. Chudého člověka však přijde všechno draho. Neplatí jenom penězi. Právě proto, že nemůže platit penězi, doplácí jinak.</w:t>
      </w:r>
    </w:p>
    <w:p w:rsidR="00500724" w:rsidRDefault="00F30FB8">
      <w:pPr>
        <w:pStyle w:val="Zkladntext1"/>
        <w:shd w:val="clear" w:color="auto" w:fill="auto"/>
        <w:spacing w:line="209" w:lineRule="auto"/>
      </w:pPr>
      <w:r>
        <w:t xml:space="preserve">Kolínská voda se dostane už </w:t>
      </w:r>
      <w:r>
        <w:t>za 2.80 K. Stačí tak na týden. Ale příliš pronikavě voní, jako všechny levné přípravky. Nejmenší rouge na rty stojí asi 5 K. Jedno umytí hlavy a jedna manykýra stojí 11 K. Krabička nejlevnějšího pudru 6 K. Pak je třeba všelijakých krémů — pod pudr, aby pud</w:t>
      </w:r>
      <w:r>
        <w:t>r držel a suchého krému na ruce. Dobře upravená hlava vyžaduje alespoň jed</w:t>
      </w:r>
      <w:r>
        <w:softHyphen/>
        <w:t>nou týdně holiče. Jsou nejrůznější druhy vlasů: některé prostě nepodrží, co se po nich žádá. Je třeba upravovat je násilím a protože není peněz, děje se to doma na- břátou gulmou na</w:t>
      </w:r>
      <w:r>
        <w:t>d lihovým plamenem. Každá kůže potřebuje své ošetření a ovšem mnoho záleží na celko</w:t>
      </w:r>
      <w:r>
        <w:softHyphen/>
        <w:t>vém stavu organismu, je-li kůže pěkná a čistá. Děvče, které je v trvalém stavu podvýživy — jednak není na pořádné jídlo peněz, jednak je třeba udržet si štíhlou linii — děv</w:t>
      </w:r>
      <w:r>
        <w:t>če, které nepřijde, jak je rok dlouhý, na čerstvý vzduch, děvče, které spí v pokoji s několika sourozenci a celý den pracuje shrbené nad psacím strojem, má ovšem neduživou, šedivou a zvadlou kůži třeba i v osmnácti letech. Zvadlé kůži se v tomto pří</w:t>
      </w:r>
      <w:r>
        <w:softHyphen/>
        <w:t>padě d</w:t>
      </w:r>
      <w:r>
        <w:t>á pomoci jenom barvivém a pudrem a to levným barvivém a levným pudrem. Projdete-li se jednou po Václavském náměstí v neděli odpoledne před čtvrtou hodinou po chodníku, kde je Baťa, uvidíte zástup mla</w:t>
      </w:r>
      <w:r>
        <w:softHyphen/>
        <w:t>dých dívek a mladých hochů. Procházejí se pomalým krokem</w:t>
      </w:r>
      <w:r>
        <w:t xml:space="preserve"> dvěma proudy — nahoru levým a dolů pra</w:t>
      </w:r>
      <w:r>
        <w:softHyphen/>
        <w:t>vým — a uvidíte je vystavené nemilosrdnému slunci, jasu neděle a svitu dne. Skoro bez výjimky jsou všechny »upravované« a mají slepené a přepálené vlasy. Skoro bez výjimky jsou to neduživé, chudokrevné holčičky se šp</w:t>
      </w:r>
      <w:r>
        <w:t>atnou pletí, s uhry, zamazanými růmělkou a kré</w:t>
      </w:r>
      <w:r>
        <w:softHyphen/>
        <w:t>mem, s vpadlými tvářemi polepenými pudrem. Skoro všechny mají masku a nikoli tvář. Mladí lidé nemají ještě tvář, jenom její příslib. Ale tento příslib může mít to jedinečné kouzlo mláděte, hebkost kůže, broskv</w:t>
      </w:r>
      <w:r>
        <w:t>ový nádech mladosti a půvab, který nemá s krásou nic společného, ale který je nekonečně krásnější, než krása: půvab holčičího, štěněckého, půvab mláděte. O tento půvab je tato upravená generace dívek připravená nadobro. A při tom vydávají tyto holčičky nej</w:t>
      </w:r>
      <w:r>
        <w:t>méně 70 —100 K ze své hubené gáže na to, aby zničily svou pleť, zkazily své vlasy a urovnaly je pod kloboučkem v trapné kadeře. Pětina platu! Pětina tohoto platu! A takové výsledky!</w:t>
      </w:r>
    </w:p>
    <w:p w:rsidR="00500724" w:rsidRDefault="00F30FB8">
      <w:pPr>
        <w:pStyle w:val="Zkladntext1"/>
        <w:shd w:val="clear" w:color="auto" w:fill="auto"/>
        <w:spacing w:line="209" w:lineRule="auto"/>
        <w:ind w:firstLine="0"/>
      </w:pPr>
      <w:r>
        <w:t>Chudému člověku přijde všechno drážl</w:t>
      </w:r>
    </w:p>
    <w:p w:rsidR="00500724" w:rsidRDefault="00F30FB8">
      <w:pPr>
        <w:pStyle w:val="Zkladntext1"/>
        <w:shd w:val="clear" w:color="auto" w:fill="auto"/>
        <w:spacing w:line="209" w:lineRule="auto"/>
      </w:pPr>
      <w:r>
        <w:t>Tato předepsaná vlastnost líbit se zá</w:t>
      </w:r>
      <w:r>
        <w:t>kazníkům má ovšem své psychologické důsledky. Každé děvče se chce líbit. Líbit se patří k dobré pověsti závodu, kde je zaměstnaná. Z přirozené chuti líbit se někomu stává se povinnost líbit se každému. A to je nový krůček po pěšince, která se svažuje. Děvč</w:t>
      </w:r>
      <w:r>
        <w:t xml:space="preserve">e, které se naučí líbit se každému, je vždycky v nebezpečí nákazy. Děvče, které se naučí líbit se tomu, kdo má možnost mu něco poskytnout, už nosí v sobě bacily. A děvče, které považuje soužití s mužem za věc, která není tak důležitá, zbavuje se navždycky </w:t>
      </w:r>
      <w:r>
        <w:t>jakéhokoli kouzla. Nej</w:t>
      </w:r>
      <w:r>
        <w:softHyphen/>
        <w:t>větším kouzlem ženy je její slušnost. Žena, která je lhostejná k tomu, co se s ní děje, je snad zajímavá, vábná a žádoucí. Tady se ta pěšinka rozděluje na křižo</w:t>
      </w:r>
      <w:r>
        <w:softHyphen/>
        <w:t>vatku: muži rozeznávají ženy, které je lákají a ženy.</w:t>
      </w:r>
    </w:p>
    <w:p w:rsidR="00500724" w:rsidRDefault="00F30FB8">
      <w:pPr>
        <w:pStyle w:val="Zkladntext1"/>
        <w:shd w:val="clear" w:color="auto" w:fill="auto"/>
        <w:spacing w:line="211" w:lineRule="auto"/>
        <w:ind w:firstLine="0"/>
      </w:pPr>
      <w:r>
        <w:t>se kterými se mimo</w:t>
      </w:r>
      <w:r>
        <w:t xml:space="preserve"> to ještě žení. Není citlivější měřítko pro přirozený půvab ženy, než tato mužská vyběravost. To se neprojevuje hned v mládí, to je věc, která se ukáže až ve stárnutí. Jsou ženy, které stárnou křečovitě, v bolestech a slzách, s plastickými operacemi a mnoh</w:t>
      </w:r>
      <w:r>
        <w:t>a starostmi. A jsou ženy, které stárnou klidně vedle svých dětí, nosí pokojně svoje vrásky a nebojí se odejít z ero</w:t>
      </w:r>
      <w:r>
        <w:softHyphen/>
        <w:t>tické konkurence. Takové poklidné a lahodné stáří ženy nelze však získat ve čtyřiceti letech: to lze založit v šestnácti, udržovat ve dvacet</w:t>
      </w:r>
      <w:r>
        <w:t>i, tušit ve třiceti a pokor</w:t>
      </w:r>
      <w:r>
        <w:softHyphen/>
        <w:t>ně přijmout ve čtyřiceti.</w:t>
      </w:r>
    </w:p>
    <w:p w:rsidR="00500724" w:rsidRDefault="00F30FB8">
      <w:pPr>
        <w:pStyle w:val="Zkladntext1"/>
        <w:shd w:val="clear" w:color="auto" w:fill="auto"/>
        <w:spacing w:line="211" w:lineRule="auto"/>
      </w:pPr>
      <w:r>
        <w:t>Chci tady moralisovat? Chci těmto dívkám, které pracují těžce a žijí ještě tížeji, které za každou radost zaplatí, jak jen chudý člověk platit může, totiž risikem celé své osobnosti a svého života — chc</w:t>
      </w:r>
      <w:r>
        <w:t>i jim tu dělat ká</w:t>
      </w:r>
      <w:r>
        <w:softHyphen/>
        <w:t>zání, jak mají žít? . anc Bože, ne! Chtěla bych jen říci, velmi nahlas a velmi důrazně, že pěšinka, na kterou zaháníme tuto dívčí a v podstatě statečnou generaci, je příliš úzká. Sociální podmínky, ve kterých tyto dívky vyrůstají, nemohou</w:t>
      </w:r>
      <w:r>
        <w:t xml:space="preserve"> z nich tvořit, co potřebujeme: ne</w:t>
      </w:r>
      <w:r>
        <w:softHyphen/>
        <w:t>zlomené, zdravé a přirozené ženy, výtečné matky a mou</w:t>
      </w:r>
      <w:r>
        <w:softHyphen/>
        <w:t>dré jednou babičky. Pěšinka vynucené, chudé a tenké krásy, pěšinka podivné formy poloprostituce, které pro</w:t>
      </w:r>
      <w:r>
        <w:softHyphen/>
        <w:t>padá mnoho z nich, pěšinka strašně šedivá a jednotvár- há na</w:t>
      </w:r>
      <w:r>
        <w:t>d srázem, který vypadá na pohled poset rozkvet</w:t>
      </w:r>
      <w:r>
        <w:softHyphen/>
        <w:t>lými planými růžemi, ve skutečnosti je šedivější a pustší než poušť saharská, může jenom dívky lámat, otupovat, ničit. Zocelit může jenom výjimky.</w:t>
      </w:r>
    </w:p>
    <w:p w:rsidR="00500724" w:rsidRDefault="00F30FB8">
      <w:pPr>
        <w:pStyle w:val="Zkladntext1"/>
        <w:shd w:val="clear" w:color="auto" w:fill="auto"/>
        <w:spacing w:line="211" w:lineRule="auto"/>
      </w:pPr>
      <w:r>
        <w:t>Možná, že mi namítnete, že tato generace má větší pří</w:t>
      </w:r>
      <w:r>
        <w:softHyphen/>
        <w:t>ležitost</w:t>
      </w:r>
      <w:r>
        <w:t xml:space="preserve"> </w:t>
      </w:r>
      <w:r>
        <w:rPr>
          <w:b/>
          <w:bCs/>
          <w:sz w:val="20"/>
          <w:szCs w:val="20"/>
        </w:rPr>
        <w:t xml:space="preserve">k </w:t>
      </w:r>
      <w:r>
        <w:t xml:space="preserve">rekreaci, než jsme my kdy měli. Možná, že řeknete, že po týdnu kanceláře, vysedávání za strojem a vystávání za pultem přijde </w:t>
      </w:r>
      <w:r>
        <w:rPr>
          <w:lang w:val="en-US" w:eastAsia="en-US" w:bidi="en-US"/>
        </w:rPr>
        <w:t xml:space="preserve">weekend, </w:t>
      </w:r>
      <w:r>
        <w:t>putování do chat, hromadné stěhování na slunce, na lyže, k vodě. Řeknete snad, že tato okolnost dodává mladé dívčí gene</w:t>
      </w:r>
      <w:r>
        <w:softHyphen/>
        <w:t>raci víc radosti, než cokoli jiného. Nevím. Mně připadá, že právě tato okolnost ji zbavuje nejvzácnějšího roz</w:t>
      </w:r>
      <w:r>
        <w:softHyphen/>
        <w:t>květu, kterého je mladá žena schopna: totiž lásky. Dnes je svět docela jiný a změnil se v tomto ohledu právě chatami, společnými výlety a družným</w:t>
      </w:r>
      <w:r>
        <w:t xml:space="preserve"> životem děvčat s hochy. Je v tom jistě hodně dobrého, kamarádského, veselého. Ale kamarádství není láska. Stále víc a víc mi připadá, že mladí lidé zaměňují dnes tyto dva po</w:t>
      </w:r>
      <w:r>
        <w:softHyphen/>
        <w:t>jmy s jakýmsi sportovním gestem. Kamarádství posta</w:t>
      </w:r>
      <w:r>
        <w:softHyphen/>
        <w:t>vené na lásce je skála, kterou</w:t>
      </w:r>
      <w:r>
        <w:t xml:space="preserve"> nezdoláš. Láska posta</w:t>
      </w:r>
      <w:r>
        <w:softHyphen/>
        <w:t>vená na kamarádství je omyl, nuda, věcná hrůza a ži</w:t>
      </w:r>
      <w:r>
        <w:softHyphen/>
        <w:t>vot, který nerozkvetl.</w:t>
      </w:r>
    </w:p>
    <w:p w:rsidR="00500724" w:rsidRDefault="00F30FB8">
      <w:pPr>
        <w:pStyle w:val="Zkladntext1"/>
        <w:shd w:val="clear" w:color="auto" w:fill="auto"/>
        <w:spacing w:after="180" w:line="211" w:lineRule="auto"/>
      </w:pPr>
      <w:r>
        <w:t>Tahle všechna úskalí čekají na dívku, která má po</w:t>
      </w:r>
      <w:r>
        <w:softHyphen/>
        <w:t>vinnost líbit se každému. V životě muže je úskalí pře</w:t>
      </w:r>
      <w:r>
        <w:softHyphen/>
        <w:t>kážka, která se zdolá. V životě ženy je úskalí přehoze</w:t>
      </w:r>
      <w:r>
        <w:t>ná kolej, po které jede vláček až do konce jinak, než mohl. Jaké by to však bylo mládí, kdyby nebylo lehkomyslné, zvědavé, hýřivé, potřeštěné? Samozřejmě, že jsou tako</w:t>
      </w:r>
      <w:r>
        <w:softHyphen/>
        <w:t>vé, i když vydělávají jenom pět stovek měsíčně. Není však na nás, abychom jim pomáhali —</w:t>
      </w:r>
      <w:r>
        <w:t xml:space="preserve"> ve vlastním zá</w:t>
      </w:r>
      <w:r>
        <w:softHyphen/>
        <w:t>jmu? A ruku na srdce — pomáhá jim někdo na světě? Není to však veliká vina? Počínáme si jako zahradník, který by chtěl vypěstovat nádhernou zahradu, ale za</w:t>
      </w:r>
      <w:r>
        <w:softHyphen/>
        <w:t>nedbával své sazeničky, místo barvy jim nalepoval po</w:t>
      </w:r>
      <w:r>
        <w:softHyphen/>
        <w:t>zlátka, místo potravy jim dal p</w:t>
      </w:r>
      <w:r>
        <w:t>odvýživu, místo vzduchu jim dal skleníkový odvar a místo radosti samé povin</w:t>
      </w:r>
      <w:r>
        <w:softHyphen/>
        <w:t>nosti. Za několik let se shledá s tenoučkými stromky a neduživými, podlomenými květinkami místo vzrostlých keřů a rozkvetlých kytek.</w:t>
      </w:r>
    </w:p>
    <w:p w:rsidR="00500724" w:rsidRDefault="00F30FB8">
      <w:pPr>
        <w:pStyle w:val="Jin0"/>
        <w:pBdr>
          <w:bottom w:val="single" w:sz="4" w:space="0" w:color="auto"/>
        </w:pBdr>
        <w:shd w:val="clear" w:color="auto" w:fill="auto"/>
        <w:spacing w:after="180"/>
        <w:ind w:firstLine="0"/>
        <w:jc w:val="left"/>
        <w:rPr>
          <w:sz w:val="44"/>
          <w:szCs w:val="44"/>
        </w:rPr>
      </w:pPr>
      <w:r>
        <w:rPr>
          <w:rFonts w:ascii="Calibri" w:eastAsia="Calibri" w:hAnsi="Calibri" w:cs="Calibri"/>
          <w:b/>
          <w:bCs/>
          <w:w w:val="70"/>
          <w:sz w:val="44"/>
          <w:szCs w:val="44"/>
        </w:rPr>
        <w:t>dopisy</w:t>
      </w:r>
    </w:p>
    <w:p w:rsidR="00500724" w:rsidRDefault="00F30FB8">
      <w:pPr>
        <w:pStyle w:val="Zkladntext1"/>
        <w:shd w:val="clear" w:color="auto" w:fill="auto"/>
        <w:spacing w:after="40" w:line="170" w:lineRule="auto"/>
        <w:ind w:firstLine="0"/>
        <w:jc w:val="center"/>
      </w:pPr>
      <w:r>
        <w:rPr>
          <w:b/>
          <w:bCs/>
        </w:rPr>
        <w:t>Odpověď německému studentu</w:t>
      </w:r>
    </w:p>
    <w:p w:rsidR="00500724" w:rsidRDefault="00F30FB8">
      <w:pPr>
        <w:pStyle w:val="Zkladntext1"/>
        <w:shd w:val="clear" w:color="auto" w:fill="auto"/>
        <w:spacing w:after="40" w:line="180" w:lineRule="auto"/>
        <w:ind w:firstLine="0"/>
        <w:jc w:val="right"/>
        <w:rPr>
          <w:sz w:val="18"/>
          <w:szCs w:val="18"/>
        </w:rPr>
      </w:pPr>
      <w:r>
        <w:rPr>
          <w:sz w:val="18"/>
          <w:szCs w:val="18"/>
        </w:rPr>
        <w:t xml:space="preserve">V Praze 6. </w:t>
      </w:r>
      <w:r>
        <w:rPr>
          <w:sz w:val="18"/>
          <w:szCs w:val="18"/>
        </w:rPr>
        <w:t>února 1939</w:t>
      </w:r>
    </w:p>
    <w:p w:rsidR="00500724" w:rsidRDefault="00F30FB8">
      <w:pPr>
        <w:pStyle w:val="Zkladntext1"/>
        <w:shd w:val="clear" w:color="auto" w:fill="auto"/>
        <w:spacing w:after="40" w:line="180" w:lineRule="auto"/>
        <w:ind w:left="880" w:firstLine="0"/>
        <w:jc w:val="left"/>
        <w:rPr>
          <w:sz w:val="18"/>
          <w:szCs w:val="18"/>
        </w:rPr>
      </w:pPr>
      <w:r>
        <w:rPr>
          <w:sz w:val="18"/>
          <w:szCs w:val="18"/>
        </w:rPr>
        <w:t>Vážený pane redaktore!</w:t>
      </w:r>
    </w:p>
    <w:p w:rsidR="00500724" w:rsidRDefault="00F30FB8">
      <w:pPr>
        <w:pStyle w:val="Zkladntext1"/>
        <w:shd w:val="clear" w:color="auto" w:fill="auto"/>
        <w:spacing w:line="180" w:lineRule="auto"/>
        <w:ind w:firstLine="300"/>
        <w:rPr>
          <w:sz w:val="18"/>
          <w:szCs w:val="18"/>
        </w:rPr>
      </w:pPr>
      <w:r>
        <w:rPr>
          <w:sz w:val="18"/>
          <w:szCs w:val="18"/>
        </w:rPr>
        <w:t xml:space="preserve">Promiňte, že se vracím ještě k dopisu německého studenta. Souhlasím docela s Vaší odpovědí, ale chtěla bych ještě něco dodati. Myslím, že můj projev, třeba jako neoficiální osobnosti, bude se krýt s hodně rozšířeným, ba </w:t>
      </w:r>
      <w:r>
        <w:rPr>
          <w:sz w:val="18"/>
          <w:szCs w:val="18"/>
        </w:rPr>
        <w:t>obecným názorem mezi studenty. Německý student píše, že ěesko-německá spolupráce je brzděna štvaním tisku a animositou proti Němcům. Uzná</w:t>
      </w:r>
      <w:r>
        <w:rPr>
          <w:sz w:val="18"/>
          <w:szCs w:val="18"/>
        </w:rPr>
        <w:softHyphen/>
        <w:t xml:space="preserve">vám, že měl trochu pravdu, a moje dobrá vůle jde tak daleko, že inu nebudu dokazovat, proč jsme se domnívali, že máme </w:t>
      </w:r>
      <w:r>
        <w:rPr>
          <w:sz w:val="18"/>
          <w:szCs w:val="18"/>
        </w:rPr>
        <w:t>k svému rozhořčení důvod. Nyní snad pan pisatei nahlédl, že se poměry změnily a že naše vůle k spolupráci je opravdu upřímná. A právě o té spolupráci bych chtěla říci několik slov. Je nutně třeba, aby němečtí a čeští studenti vystupovali při vzájemném styk</w:t>
      </w:r>
      <w:r>
        <w:rPr>
          <w:sz w:val="18"/>
          <w:szCs w:val="18"/>
        </w:rPr>
        <w:t>u především jako representanti svých vědeckých disciplin. Aby se stýkali jako filologové, právníci, medici, technici a ne jako nositelé nebo odpůrci různých politických idejí. Hlavním pojítkem mezi nimi musí být zájem o vlastni povoláni, zájem o vědu, tech</w:t>
      </w:r>
      <w:r>
        <w:rPr>
          <w:sz w:val="18"/>
          <w:szCs w:val="18"/>
        </w:rPr>
        <w:t>niku, kulturu a umění. To je myslím nejlepší půda, ve které by mělo každé sblížení vzklíčit. Uváží-li rozumově Němci nutnou rozervanost a bolest našeho národa po nedáv</w:t>
      </w:r>
      <w:r>
        <w:rPr>
          <w:sz w:val="18"/>
          <w:szCs w:val="18"/>
        </w:rPr>
        <w:softHyphen/>
        <w:t>ných událostech, omezí jistě kolportování svých politických nauk na vlastní zemi. Uznáte</w:t>
      </w:r>
      <w:r>
        <w:rPr>
          <w:sz w:val="18"/>
          <w:szCs w:val="18"/>
        </w:rPr>
        <w:t>-li, vážený pane redaktore, abyste to uveřejnil, přijměte můj srdečný dík. Není to jen můj osobní názor, ale mnoha mladých lidí, s nimiž se stýkám a s kterými jsme to mnohokrát prodebatovali. Čeští studenti se nebudou vyhýbat spolupráci s německými kolegy,</w:t>
      </w:r>
      <w:r>
        <w:rPr>
          <w:sz w:val="18"/>
          <w:szCs w:val="18"/>
        </w:rPr>
        <w:t xml:space="preserve"> zvláště ne tehdy, po- užije-li se k ní objektivní a vyšší hledisko vědy.</w:t>
      </w:r>
    </w:p>
    <w:p w:rsidR="00500724" w:rsidRDefault="00F30FB8">
      <w:pPr>
        <w:pStyle w:val="Zkladntext1"/>
        <w:shd w:val="clear" w:color="auto" w:fill="auto"/>
        <w:spacing w:line="228" w:lineRule="auto"/>
        <w:ind w:left="1980" w:firstLine="720"/>
        <w:jc w:val="left"/>
      </w:pPr>
      <w:r>
        <w:rPr>
          <w:sz w:val="18"/>
          <w:szCs w:val="18"/>
        </w:rPr>
        <w:t xml:space="preserve">S úctou Olga Machulová </w:t>
      </w:r>
      <w:r>
        <w:rPr>
          <w:b/>
          <w:bCs/>
        </w:rPr>
        <w:t>Mladí vpřed!</w:t>
      </w:r>
    </w:p>
    <w:p w:rsidR="00500724" w:rsidRDefault="00F30FB8">
      <w:pPr>
        <w:pStyle w:val="Zkladntext1"/>
        <w:shd w:val="clear" w:color="auto" w:fill="auto"/>
        <w:spacing w:line="233" w:lineRule="auto"/>
        <w:ind w:left="1200" w:firstLine="0"/>
        <w:jc w:val="left"/>
        <w:rPr>
          <w:sz w:val="18"/>
          <w:szCs w:val="18"/>
        </w:rPr>
      </w:pPr>
      <w:r>
        <w:rPr>
          <w:sz w:val="18"/>
          <w:szCs w:val="18"/>
        </w:rPr>
        <w:t>Vážený pane redaktore.</w:t>
      </w:r>
    </w:p>
    <w:p w:rsidR="00500724" w:rsidRDefault="00F30FB8">
      <w:pPr>
        <w:pStyle w:val="Zkladntext1"/>
        <w:shd w:val="clear" w:color="auto" w:fill="auto"/>
        <w:spacing w:line="175" w:lineRule="auto"/>
        <w:ind w:firstLine="200"/>
        <w:rPr>
          <w:sz w:val="18"/>
          <w:szCs w:val="18"/>
        </w:rPr>
      </w:pPr>
      <w:r>
        <w:rPr>
          <w:sz w:val="18"/>
          <w:szCs w:val="18"/>
        </w:rPr>
        <w:t>poznámku Mileny Jesenské o starých a mladých ve 4. čísle Přítomnosti chtěl bych glosovat několika citáty, adresovanými všem</w:t>
      </w:r>
      <w:r>
        <w:rPr>
          <w:sz w:val="18"/>
          <w:szCs w:val="18"/>
        </w:rPr>
        <w:t xml:space="preserve"> mladým lidem, především těm, kteří tolik teď křičí o touze vést podle hesla »mladí v ěelo«. Nuže, měli jsme jednoho českého filosofa, velkého posměváčka a nevázaného chlapa, je</w:t>
      </w:r>
      <w:r>
        <w:rPr>
          <w:sz w:val="18"/>
          <w:szCs w:val="18"/>
        </w:rPr>
        <w:softHyphen/>
        <w:t xml:space="preserve">hož by mohli nejen staří lidé, ale i ti mladí rozhorleně nazvat »klukem« nebo </w:t>
      </w:r>
      <w:r>
        <w:rPr>
          <w:sz w:val="18"/>
          <w:szCs w:val="18"/>
        </w:rPr>
        <w:t>s»uličníkem« za jeho časté filosofování bičem, zvláště kdyby vzali v úvahu, že se nedožil ani padesátky. Ten filosof se jmenuje Ladislav Klima, a do své knižky ;&gt;Vteřina a věčností zařadil jeden svůj časopisecký článek s názvem Úcta k stáří. Nejraději bych</w:t>
      </w:r>
      <w:r>
        <w:rPr>
          <w:sz w:val="18"/>
          <w:szCs w:val="18"/>
        </w:rPr>
        <w:t xml:space="preserve"> jej tu opsal celý, ale má tři strán</w:t>
      </w:r>
      <w:r>
        <w:rPr>
          <w:sz w:val="18"/>
          <w:szCs w:val="18"/>
        </w:rPr>
        <w:softHyphen/>
        <w:t>ky, proto jen několik odstavců. Aby nebylo domněnky, že zde Klímu cituje nějaký uražený stařešina, musím připomenout, že mám 35 let.</w:t>
      </w:r>
    </w:p>
    <w:p w:rsidR="00500724" w:rsidRDefault="00F30FB8">
      <w:pPr>
        <w:pStyle w:val="Zkladntext1"/>
        <w:shd w:val="clear" w:color="auto" w:fill="auto"/>
        <w:spacing w:line="175" w:lineRule="auto"/>
        <w:ind w:firstLine="200"/>
        <w:rPr>
          <w:sz w:val="18"/>
          <w:szCs w:val="18"/>
        </w:rPr>
      </w:pPr>
      <w:r>
        <w:rPr>
          <w:sz w:val="18"/>
          <w:szCs w:val="18"/>
        </w:rPr>
        <w:t>»Pro staré lidi má dnešní doba — pardon, snad jen český jazyk! — hlavně jen nadávky: D</w:t>
      </w:r>
      <w:r>
        <w:rPr>
          <w:sz w:val="18"/>
          <w:szCs w:val="18"/>
        </w:rPr>
        <w:t>ědek, bába... »Stařec úcty- hodný« bylo epitheton constans dříve, — a správně! Dnes sdědek plesnivá«. Ale snad je v tom pokrok, který nevidím? My nejsme přece nic jiného dnes. než »pokrok«. Dnes -nejen že se neprokazuje vysokému věku speciální úcta — nejen</w:t>
      </w:r>
      <w:r>
        <w:rPr>
          <w:sz w:val="18"/>
          <w:szCs w:val="18"/>
        </w:rPr>
        <w:t xml:space="preserve"> ani obyčejná, konvenční úcta: dnes dokonce s pojmem »starý člověk« spojuje se instinktivně představa čehosi opovržení hod</w:t>
      </w:r>
      <w:r>
        <w:rPr>
          <w:sz w:val="18"/>
          <w:szCs w:val="18"/>
        </w:rPr>
        <w:softHyphen/>
        <w:t>ného, odporného, jen k výsměchu lákajícího!</w:t>
      </w:r>
    </w:p>
    <w:p w:rsidR="00500724" w:rsidRDefault="00F30FB8">
      <w:pPr>
        <w:pStyle w:val="Zkladntext1"/>
        <w:shd w:val="clear" w:color="auto" w:fill="auto"/>
        <w:spacing w:line="175" w:lineRule="auto"/>
        <w:ind w:firstLine="200"/>
        <w:rPr>
          <w:sz w:val="18"/>
          <w:szCs w:val="18"/>
        </w:rPr>
      </w:pPr>
      <w:r>
        <w:rPr>
          <w:sz w:val="18"/>
          <w:szCs w:val="18"/>
        </w:rPr>
        <w:t xml:space="preserve">Poklesla dnes úcta k stáří na stupeň nižší, než u nejnižšich národů v Africe. Ale stupeň </w:t>
      </w:r>
      <w:r>
        <w:rPr>
          <w:sz w:val="18"/>
          <w:szCs w:val="18"/>
        </w:rPr>
        <w:t>úcty té udává dosti dobře stupeň ušlechtilosti a pravé ceny u všech národů a kultur. Poklesla ušlechtilost a pravá cena Evropana na nejnižší stupeň; přese všechny aeroplány a radiotelegrafie.</w:t>
      </w:r>
    </w:p>
    <w:p w:rsidR="00500724" w:rsidRDefault="00F30FB8">
      <w:pPr>
        <w:pStyle w:val="Zkladntext1"/>
        <w:shd w:val="clear" w:color="auto" w:fill="auto"/>
        <w:spacing w:line="175" w:lineRule="auto"/>
        <w:ind w:firstLine="200"/>
        <w:rPr>
          <w:sz w:val="18"/>
          <w:szCs w:val="18"/>
        </w:rPr>
      </w:pPr>
      <w:r>
        <w:rPr>
          <w:sz w:val="18"/>
          <w:szCs w:val="18"/>
        </w:rPr>
        <w:t xml:space="preserve">X nejomezenější stáři vynikají v mnohých podstatných bodech nad </w:t>
      </w:r>
      <w:r>
        <w:rPr>
          <w:sz w:val="18"/>
          <w:szCs w:val="18"/>
        </w:rPr>
        <w:t>mladé a dospělé — i nejnadanější: hlubokým p o- znáním života — třeba pro ně slovy nevyjadřitelnými stáří nemůže být nahrazeno ani geniem — ať šumí proti tomu mlá</w:t>
      </w:r>
      <w:r>
        <w:rPr>
          <w:sz w:val="18"/>
          <w:szCs w:val="18"/>
        </w:rPr>
        <w:softHyphen/>
        <w:t>dí sebe bláznivěji... Dále je stáří mravně ušlechtilejší než všechny ostatní životní periody:</w:t>
      </w:r>
      <w:r>
        <w:rPr>
          <w:sz w:val="18"/>
          <w:szCs w:val="18"/>
        </w:rPr>
        <w:t xml:space="preserve"> mírné, snášelivě, odpouštějící, spravedlivé — vidící a smějící se ... Poznal jsem mnohé, kteří ještě v 50. roce byli kluci, — po 60. — mužové...</w:t>
      </w:r>
    </w:p>
    <w:p w:rsidR="00500724" w:rsidRDefault="00F30FB8">
      <w:pPr>
        <w:pStyle w:val="Zkladntext1"/>
        <w:shd w:val="clear" w:color="auto" w:fill="auto"/>
        <w:spacing w:line="175" w:lineRule="auto"/>
        <w:ind w:firstLine="200"/>
        <w:rPr>
          <w:sz w:val="18"/>
          <w:szCs w:val="18"/>
        </w:rPr>
      </w:pPr>
      <w:r>
        <w:rPr>
          <w:sz w:val="18"/>
          <w:szCs w:val="18"/>
        </w:rPr>
        <w:t>Nutně vybujel dnes kult mládí — symptom zestárlé kultu</w:t>
      </w:r>
      <w:r>
        <w:rPr>
          <w:sz w:val="18"/>
          <w:szCs w:val="18"/>
        </w:rPr>
        <w:softHyphen/>
        <w:t>ry... Kdyby bylo možno prokazovat! mládí vše, — jen s ú</w:t>
      </w:r>
      <w:r>
        <w:rPr>
          <w:sz w:val="18"/>
          <w:szCs w:val="18"/>
        </w:rPr>
        <w:t xml:space="preserve">ctou by to nešlo. Mládí je opak úctyhodnosti: syrové, něco naprosto nedodělaného — nezralá švestka — jedna šestina... Kultus mládí je proti kultu stáří kultem </w:t>
      </w:r>
      <w:r>
        <w:rPr>
          <w:sz w:val="18"/>
          <w:szCs w:val="18"/>
          <w:lang w:val="en-US" w:eastAsia="en-US" w:bidi="en-US"/>
        </w:rPr>
        <w:t xml:space="preserve">animality </w:t>
      </w:r>
      <w:r>
        <w:rPr>
          <w:sz w:val="18"/>
          <w:szCs w:val="18"/>
        </w:rPr>
        <w:t>proti kultu lidsko</w:t>
      </w:r>
      <w:r>
        <w:rPr>
          <w:sz w:val="18"/>
          <w:szCs w:val="18"/>
        </w:rPr>
        <w:softHyphen/>
        <w:t xml:space="preserve">sti, t. j. rozumu ... Jelikož vaše tajná myšlenka je, že staří jsou </w:t>
      </w:r>
      <w:r>
        <w:rPr>
          <w:sz w:val="18"/>
          <w:szCs w:val="18"/>
        </w:rPr>
        <w:t>vašimi vyžírači, zbytečným balastem letu vašeho za vašimi vznešenými cíli, — udělejte to jako divoši se starými otci...!«</w:t>
      </w:r>
    </w:p>
    <w:p w:rsidR="00500724" w:rsidRDefault="00F30FB8">
      <w:pPr>
        <w:pStyle w:val="Zkladntext1"/>
        <w:shd w:val="clear" w:color="auto" w:fill="auto"/>
        <w:spacing w:line="175" w:lineRule="auto"/>
        <w:ind w:firstLine="200"/>
        <w:rPr>
          <w:sz w:val="18"/>
          <w:szCs w:val="18"/>
        </w:rPr>
      </w:pPr>
      <w:r>
        <w:rPr>
          <w:sz w:val="18"/>
          <w:szCs w:val="18"/>
        </w:rPr>
        <w:t>Otisknete-li, pane redaktore, těch několik řádků, budu Vám vděčný.</w:t>
      </w:r>
    </w:p>
    <w:p w:rsidR="00500724" w:rsidRDefault="00F30FB8">
      <w:pPr>
        <w:pStyle w:val="Zkladntext40"/>
        <w:shd w:val="clear" w:color="auto" w:fill="auto"/>
        <w:spacing w:after="0" w:line="197" w:lineRule="auto"/>
        <w:jc w:val="center"/>
        <w:rPr>
          <w:sz w:val="16"/>
          <w:szCs w:val="16"/>
        </w:rPr>
      </w:pPr>
      <w:r>
        <w:rPr>
          <w:sz w:val="16"/>
          <w:szCs w:val="16"/>
        </w:rPr>
        <w:t>S projevem úcty</w:t>
      </w:r>
    </w:p>
    <w:p w:rsidR="00500724" w:rsidRDefault="00F30FB8">
      <w:pPr>
        <w:pStyle w:val="Zkladntext1"/>
        <w:shd w:val="clear" w:color="auto" w:fill="auto"/>
        <w:spacing w:after="80" w:line="175" w:lineRule="auto"/>
        <w:ind w:right="220" w:firstLine="0"/>
        <w:jc w:val="right"/>
        <w:rPr>
          <w:sz w:val="18"/>
          <w:szCs w:val="18"/>
        </w:rPr>
      </w:pPr>
      <w:r>
        <w:rPr>
          <w:sz w:val="18"/>
          <w:szCs w:val="18"/>
        </w:rPr>
        <w:t>Jaroslav Teichmann</w:t>
      </w:r>
    </w:p>
    <w:p w:rsidR="00500724" w:rsidRDefault="00F30FB8">
      <w:pPr>
        <w:pStyle w:val="Zkladntext1"/>
        <w:shd w:val="clear" w:color="auto" w:fill="auto"/>
        <w:spacing w:line="166" w:lineRule="auto"/>
        <w:ind w:firstLine="0"/>
        <w:jc w:val="center"/>
      </w:pPr>
      <w:r>
        <w:rPr>
          <w:b/>
          <w:bCs/>
        </w:rPr>
        <w:t>Proč jenom pět?</w:t>
      </w:r>
    </w:p>
    <w:p w:rsidR="00500724" w:rsidRDefault="00F30FB8">
      <w:pPr>
        <w:pStyle w:val="Zkladntext40"/>
        <w:shd w:val="clear" w:color="auto" w:fill="auto"/>
        <w:spacing w:after="0" w:line="197" w:lineRule="auto"/>
        <w:ind w:left="1200"/>
        <w:jc w:val="left"/>
        <w:rPr>
          <w:sz w:val="16"/>
          <w:szCs w:val="16"/>
        </w:rPr>
      </w:pPr>
      <w:r>
        <w:rPr>
          <w:sz w:val="16"/>
          <w:szCs w:val="16"/>
        </w:rPr>
        <w:t xml:space="preserve">Ctěný pane </w:t>
      </w:r>
      <w:r>
        <w:rPr>
          <w:sz w:val="16"/>
          <w:szCs w:val="16"/>
        </w:rPr>
        <w:t>redaktore,</w:t>
      </w:r>
    </w:p>
    <w:p w:rsidR="00500724" w:rsidRDefault="00F30FB8">
      <w:pPr>
        <w:pStyle w:val="Zkladntext1"/>
        <w:shd w:val="clear" w:color="auto" w:fill="auto"/>
        <w:spacing w:line="178" w:lineRule="auto"/>
        <w:ind w:firstLine="0"/>
        <w:rPr>
          <w:sz w:val="18"/>
          <w:szCs w:val="18"/>
        </w:rPr>
      </w:pPr>
      <w:r>
        <w:rPr>
          <w:sz w:val="18"/>
          <w:szCs w:val="18"/>
        </w:rPr>
        <w:t>uveřejnil jste v č. 2. »Přítomnosti« poznámku, která do Vašeho časopisu nepatřila a věřim, že se tam dostala nedopatřením. Je totiž psána jako ozvěna známého tisku, proslulého svou dema</w:t>
      </w:r>
      <w:r>
        <w:rPr>
          <w:sz w:val="18"/>
          <w:szCs w:val="18"/>
        </w:rPr>
        <w:softHyphen/>
        <w:t>gogií proti českému učitelstvu.</w:t>
      </w:r>
    </w:p>
    <w:p w:rsidR="00500724" w:rsidRDefault="00F30FB8">
      <w:pPr>
        <w:pStyle w:val="Zkladntext1"/>
        <w:shd w:val="clear" w:color="auto" w:fill="auto"/>
        <w:spacing w:line="178" w:lineRule="auto"/>
        <w:ind w:firstLine="200"/>
        <w:rPr>
          <w:sz w:val="18"/>
          <w:szCs w:val="18"/>
        </w:rPr>
      </w:pPr>
      <w:r>
        <w:rPr>
          <w:sz w:val="18"/>
          <w:szCs w:val="18"/>
        </w:rPr>
        <w:t>Jako státní úředník — nikol</w:t>
      </w:r>
      <w:r>
        <w:rPr>
          <w:sz w:val="18"/>
          <w:szCs w:val="18"/>
        </w:rPr>
        <w:t>iv učitel — který ztrávil v ná</w:t>
      </w:r>
      <w:r>
        <w:rPr>
          <w:sz w:val="18"/>
          <w:szCs w:val="18"/>
        </w:rPr>
        <w:softHyphen/>
        <w:t>rodnostně smíšeném území (nyní připojeném k Německu) 29 let své kariéry v úzké spolupráci s učitelstvem, cítím po</w:t>
      </w:r>
      <w:r>
        <w:rPr>
          <w:sz w:val="18"/>
          <w:szCs w:val="18"/>
        </w:rPr>
        <w:softHyphen/>
        <w:t>vinnost, abych omyly v minulé poznámce opravil.</w:t>
      </w:r>
    </w:p>
    <w:p w:rsidR="00500724" w:rsidRDefault="00F30FB8">
      <w:pPr>
        <w:pStyle w:val="Zkladntext1"/>
        <w:shd w:val="clear" w:color="auto" w:fill="auto"/>
        <w:spacing w:after="120" w:line="178" w:lineRule="auto"/>
        <w:ind w:firstLine="200"/>
        <w:rPr>
          <w:sz w:val="18"/>
          <w:szCs w:val="18"/>
        </w:rPr>
      </w:pPr>
      <w:r>
        <w:rPr>
          <w:sz w:val="18"/>
          <w:szCs w:val="18"/>
        </w:rPr>
        <w:t>Je trapno stále opakovat, že učitelé státních (t. zv. menšino</w:t>
      </w:r>
      <w:r>
        <w:rPr>
          <w:sz w:val="18"/>
          <w:szCs w:val="18"/>
        </w:rPr>
        <w:softHyphen/>
        <w:t>v</w:t>
      </w:r>
      <w:r>
        <w:rPr>
          <w:sz w:val="18"/>
          <w:szCs w:val="18"/>
        </w:rPr>
        <w:t>ých) českých škol odešli ze svých míst na úřední eva</w:t>
      </w:r>
      <w:r>
        <w:rPr>
          <w:sz w:val="18"/>
          <w:szCs w:val="18"/>
        </w:rPr>
        <w:softHyphen/>
        <w:t xml:space="preserve">kuační rozkaz. Kde některý učitel zůstal, stalo se to ze soukromých důvodů (na př. jako majitelé nemovitosti, učitel- syn (dcera) tam usedlých rodičů, učitelka-manželka zustavsích důlních </w:t>
      </w:r>
      <w:r>
        <w:rPr>
          <w:b/>
          <w:bCs/>
        </w:rPr>
        <w:t xml:space="preserve">a </w:t>
      </w:r>
      <w:r>
        <w:rPr>
          <w:sz w:val="18"/>
          <w:szCs w:val="18"/>
        </w:rPr>
        <w:t xml:space="preserve">továrních </w:t>
      </w:r>
      <w:r>
        <w:rPr>
          <w:sz w:val="18"/>
          <w:szCs w:val="18"/>
        </w:rPr>
        <w:t>zaměstnanců a pod.) a s charakterem pro</w:t>
      </w:r>
      <w:r>
        <w:rPr>
          <w:sz w:val="18"/>
          <w:szCs w:val="18"/>
        </w:rPr>
        <w:softHyphen/>
        <w:t>stého občana, nikoliv učitele. Na týž rozkaz odešli ostatní zaměstnanci a profesoři. Nikomu nenapadne jim to vytýkat. Vytýká se to jen učitelstvu. Z čeho měli být tito zbylí učitelé živi, když naše vláda zakázala vyp</w:t>
      </w:r>
      <w:r>
        <w:rPr>
          <w:sz w:val="18"/>
          <w:szCs w:val="18"/>
        </w:rPr>
        <w:t>láceti služné všem, kdož zůstali v onom území? Za takových služebních poměrů nemo</w:t>
      </w:r>
      <w:r>
        <w:rPr>
          <w:sz w:val="18"/>
          <w:szCs w:val="18"/>
        </w:rPr>
        <w:softHyphen/>
        <w:t>hou se hrnout (a také se nehrnou) do školní práce ani ně</w:t>
      </w:r>
      <w:r>
        <w:rPr>
          <w:sz w:val="18"/>
          <w:szCs w:val="18"/>
        </w:rPr>
        <w:softHyphen/>
        <w:t>mečtí učitelé po celém světě, jak piše p. ja. Hraničář</w:t>
      </w:r>
    </w:p>
    <w:p w:rsidR="00500724" w:rsidRDefault="00F30FB8">
      <w:pPr>
        <w:pStyle w:val="Zkladntext1"/>
        <w:shd w:val="clear" w:color="auto" w:fill="auto"/>
        <w:spacing w:line="175" w:lineRule="auto"/>
        <w:ind w:left="960" w:firstLine="0"/>
        <w:jc w:val="left"/>
        <w:rPr>
          <w:sz w:val="18"/>
          <w:szCs w:val="18"/>
        </w:rPr>
      </w:pPr>
      <w:r>
        <w:rPr>
          <w:sz w:val="18"/>
          <w:szCs w:val="18"/>
        </w:rPr>
        <w:t>Vážená redakce!</w:t>
      </w:r>
    </w:p>
    <w:p w:rsidR="00500724" w:rsidRDefault="00F30FB8">
      <w:pPr>
        <w:pStyle w:val="Zkladntext1"/>
        <w:shd w:val="clear" w:color="auto" w:fill="auto"/>
        <w:spacing w:line="175" w:lineRule="auto"/>
        <w:ind w:firstLine="240"/>
        <w:rPr>
          <w:sz w:val="18"/>
          <w:szCs w:val="18"/>
        </w:rPr>
      </w:pPr>
      <w:r>
        <w:rPr>
          <w:sz w:val="18"/>
          <w:szCs w:val="18"/>
        </w:rPr>
        <w:t>Článek »Proč jenom pět« dal popud k výměně náz</w:t>
      </w:r>
      <w:r>
        <w:rPr>
          <w:sz w:val="18"/>
          <w:szCs w:val="18"/>
        </w:rPr>
        <w:t>orů. Dovolil bych si upozornit, že tu jde vlastně jen o nepatrnou výseč rozsáhlého problému péče o naše zahraniční krajany a nyní zejména o ty, kteří jsou v území připojeném k říši. Budou potřebovat nejen školy, ale také své instituce sociální, ústavy hosp</w:t>
      </w:r>
      <w:r>
        <w:rPr>
          <w:sz w:val="18"/>
          <w:szCs w:val="18"/>
        </w:rPr>
        <w:t xml:space="preserve">odářské a finanční, bude zde potřebí také něčeho, co by pečovalo o to, aby vlákna duchovního spojení sílily a ne- budou-li moci siliti, tedy aspoň, aby nevadly. Budeme muset býti nápomocni, aby Češi v říši se necítili opuštěni těmi, kteří mají štěstí býti </w:t>
      </w:r>
      <w:r>
        <w:rPr>
          <w:sz w:val="18"/>
          <w:szCs w:val="18"/>
        </w:rPr>
        <w:t>doma. Je pravda, že Němci jdou ochotně do ciziny podporovat své soukmenovce, ať je to kde</w:t>
      </w:r>
      <w:r>
        <w:rPr>
          <w:sz w:val="18"/>
          <w:szCs w:val="18"/>
        </w:rPr>
        <w:softHyphen/>
        <w:t>koliv, avšak u nich jde o propagovanou a plánovitě vedenou akci. Tak B. d. D. staral se o to, aby chudé zemědělské děl</w:t>
      </w:r>
      <w:r>
        <w:rPr>
          <w:sz w:val="18"/>
          <w:szCs w:val="18"/>
        </w:rPr>
        <w:softHyphen/>
        <w:t>nictvo z Krušnohoři dostávalo místa čeledínů, s</w:t>
      </w:r>
      <w:r>
        <w:rPr>
          <w:sz w:val="18"/>
          <w:szCs w:val="18"/>
        </w:rPr>
        <w:t>lužek u boha</w:t>
      </w:r>
      <w:r>
        <w:rPr>
          <w:sz w:val="18"/>
          <w:szCs w:val="18"/>
        </w:rPr>
        <w:softHyphen/>
        <w:t>tých soukmenovců v Kravařsku a v Podyjí, aby německé vesnice, hlavně na národnostním rozhraní, měly své německé řemeslníky, obchodníky, lékaře a pod.</w:t>
      </w:r>
    </w:p>
    <w:p w:rsidR="00500724" w:rsidRDefault="00F30FB8">
      <w:pPr>
        <w:pStyle w:val="Zkladntext1"/>
        <w:shd w:val="clear" w:color="auto" w:fill="auto"/>
        <w:spacing w:line="175" w:lineRule="auto"/>
        <w:ind w:firstLine="240"/>
        <w:rPr>
          <w:sz w:val="18"/>
          <w:szCs w:val="18"/>
        </w:rPr>
      </w:pPr>
      <w:r>
        <w:rPr>
          <w:sz w:val="18"/>
          <w:szCs w:val="18"/>
        </w:rPr>
        <w:t>U nás v tom směru se neděje nic, a i to vyzvání učitelům se stalo tak krotce, že věc vešla ve</w:t>
      </w:r>
      <w:r>
        <w:rPr>
          <w:sz w:val="18"/>
          <w:szCs w:val="18"/>
        </w:rPr>
        <w:t xml:space="preserve"> známost až pro ten bez</w:t>
      </w:r>
      <w:r>
        <w:rPr>
          <w:sz w:val="18"/>
          <w:szCs w:val="18"/>
        </w:rPr>
        <w:softHyphen/>
        <w:t>úspěšný výsledek. Ovšem, posud nevíme, k jakým výsledkům povede mezistátní jednání a k jakým výsledkům povede slíbená reciprocita; přes to však jímá člověka bolest, když pozoruje, jak o těch Češích na druhém břehu se tak mlčí. Nemůž</w:t>
      </w:r>
      <w:r>
        <w:rPr>
          <w:sz w:val="18"/>
          <w:szCs w:val="18"/>
        </w:rPr>
        <w:t>eme sice naše bratry v říši srovnávat s našimi Němci již proto, že tito jsou jednak ve výhodě okamžitou situací, jednak proto, že mají své instituce s mnohaletou tradici. Se závistí musíme se dívat na bratry Slováky, jak si energicky vedou. Právě přípravu,</w:t>
      </w:r>
      <w:r>
        <w:rPr>
          <w:sz w:val="18"/>
          <w:szCs w:val="18"/>
        </w:rPr>
        <w:t xml:space="preserve"> sjezd </w:t>
      </w:r>
      <w:r>
        <w:rPr>
          <w:b/>
          <w:bCs/>
        </w:rPr>
        <w:t xml:space="preserve">a </w:t>
      </w:r>
      <w:r>
        <w:rPr>
          <w:sz w:val="18"/>
          <w:szCs w:val="18"/>
        </w:rPr>
        <w:t>založení politické organisace svých v Ma</w:t>
      </w:r>
      <w:r>
        <w:rPr>
          <w:sz w:val="18"/>
          <w:szCs w:val="18"/>
        </w:rPr>
        <w:softHyphen/>
        <w:t>ďarsku, ačkoliv chování Maďarů ke Slovákům není tak korektní, jako je chováni Němců k Čechům v říši. Jednání Slováků je o to pozoruhodnější, že Slováci nemají ani vhodné ústředí k péči o své, jako my, kteří</w:t>
      </w:r>
      <w:r>
        <w:rPr>
          <w:sz w:val="18"/>
          <w:szCs w:val="18"/>
        </w:rPr>
        <w:t xml:space="preserve"> máme Zahraniční Ústav v Praze. Nechci tímto ČÚZ křivdit, snad má důvod pro své vyčkávací stanovisko. Doufejme, že ČÚZ se svých úkolů ujme, jakmile mezistátními dohodami mu pro jeho práci bude dán právní základ.</w:t>
      </w:r>
    </w:p>
    <w:p w:rsidR="00500724" w:rsidRDefault="00F30FB8">
      <w:pPr>
        <w:pStyle w:val="Zkladntext1"/>
        <w:shd w:val="clear" w:color="auto" w:fill="auto"/>
        <w:spacing w:line="175" w:lineRule="auto"/>
        <w:ind w:left="1400" w:firstLine="0"/>
        <w:jc w:val="left"/>
        <w:rPr>
          <w:sz w:val="18"/>
          <w:szCs w:val="18"/>
        </w:rPr>
      </w:pPr>
      <w:r>
        <w:rPr>
          <w:sz w:val="18"/>
          <w:szCs w:val="18"/>
        </w:rPr>
        <w:t>V hluboké úctě</w:t>
      </w:r>
    </w:p>
    <w:p w:rsidR="00500724" w:rsidRDefault="00F30FB8">
      <w:pPr>
        <w:pStyle w:val="Zkladntext1"/>
        <w:shd w:val="clear" w:color="auto" w:fill="auto"/>
        <w:spacing w:line="175" w:lineRule="auto"/>
        <w:ind w:firstLine="0"/>
        <w:jc w:val="right"/>
        <w:rPr>
          <w:sz w:val="18"/>
          <w:szCs w:val="18"/>
        </w:rPr>
      </w:pPr>
      <w:r>
        <w:rPr>
          <w:sz w:val="18"/>
          <w:szCs w:val="18"/>
        </w:rPr>
        <w:t xml:space="preserve">Dr. </w:t>
      </w:r>
      <w:r>
        <w:rPr>
          <w:sz w:val="18"/>
          <w:szCs w:val="18"/>
          <w:lang w:val="en-US" w:eastAsia="en-US" w:bidi="en-US"/>
        </w:rPr>
        <w:t xml:space="preserve">J. </w:t>
      </w:r>
      <w:r>
        <w:rPr>
          <w:sz w:val="18"/>
          <w:szCs w:val="18"/>
        </w:rPr>
        <w:t>M.</w:t>
      </w:r>
    </w:p>
    <w:p w:rsidR="00500724" w:rsidRDefault="00F30FB8">
      <w:pPr>
        <w:pStyle w:val="Zkladntext1"/>
        <w:shd w:val="clear" w:color="auto" w:fill="auto"/>
        <w:spacing w:line="276" w:lineRule="auto"/>
        <w:ind w:left="1080" w:right="780" w:hanging="200"/>
        <w:jc w:val="left"/>
        <w:rPr>
          <w:sz w:val="18"/>
          <w:szCs w:val="18"/>
        </w:rPr>
      </w:pPr>
      <w:r>
        <w:rPr>
          <w:b/>
          <w:bCs/>
        </w:rPr>
        <w:t xml:space="preserve">Německý nacionální socialista nám píše </w:t>
      </w:r>
      <w:r>
        <w:rPr>
          <w:sz w:val="18"/>
          <w:szCs w:val="18"/>
        </w:rPr>
        <w:t>Vážený pane redaktore!</w:t>
      </w:r>
    </w:p>
    <w:p w:rsidR="00500724" w:rsidRDefault="00F30FB8">
      <w:pPr>
        <w:pStyle w:val="Zkladntext1"/>
        <w:shd w:val="clear" w:color="auto" w:fill="auto"/>
        <w:spacing w:line="173" w:lineRule="auto"/>
        <w:ind w:firstLine="240"/>
        <w:rPr>
          <w:sz w:val="18"/>
          <w:szCs w:val="18"/>
        </w:rPr>
      </w:pPr>
      <w:r>
        <w:rPr>
          <w:sz w:val="18"/>
          <w:szCs w:val="18"/>
        </w:rPr>
        <w:t>Píše se dnes spousta věcí o tom, co bylo, co je a co bude, musí být anebo co by alespoň mělo být. Jsou to vyjádření vedoucích mužů druhé republiky a jsou to hlasy jiných, méně odpovědných a prot</w:t>
      </w:r>
      <w:r>
        <w:rPr>
          <w:sz w:val="18"/>
          <w:szCs w:val="18"/>
        </w:rPr>
        <w:t>o méně vázaných osob, jejichž názory však tím spíše jsou totožný s názory širokých vrstev národa českého. A právě ono takto vyjádřené smýšlení, které se projevuje nejen slovy, ale především skutky, je důvod, proč Vám dnes píši jako čs. občan národnosti něm</w:t>
      </w:r>
      <w:r>
        <w:rPr>
          <w:sz w:val="18"/>
          <w:szCs w:val="18"/>
        </w:rPr>
        <w:t>ecké, neboť pokládám vel</w:t>
      </w:r>
      <w:r>
        <w:rPr>
          <w:sz w:val="18"/>
          <w:szCs w:val="18"/>
        </w:rPr>
        <w:softHyphen/>
        <w:t>kou řadu těchto enunciací za nevhodnou.</w:t>
      </w:r>
    </w:p>
    <w:p w:rsidR="00500724" w:rsidRDefault="00F30FB8">
      <w:pPr>
        <w:pStyle w:val="Zkladntext1"/>
        <w:shd w:val="clear" w:color="auto" w:fill="auto"/>
        <w:spacing w:line="173" w:lineRule="auto"/>
        <w:ind w:firstLine="240"/>
        <w:rPr>
          <w:sz w:val="18"/>
          <w:szCs w:val="18"/>
        </w:rPr>
      </w:pPr>
      <w:r>
        <w:rPr>
          <w:sz w:val="18"/>
          <w:szCs w:val="18"/>
        </w:rPr>
        <w:t>Nemluvím o vedoucích mužích, kteří jistě jsou vedeni snahou, upraviti poměr s Německem co nejlépe. Nemluvím též o růz</w:t>
      </w:r>
      <w:r>
        <w:rPr>
          <w:sz w:val="18"/>
          <w:szCs w:val="18"/>
        </w:rPr>
        <w:softHyphen/>
        <w:t>ných ujednáních a úmluvách rázu mezistátního, neboť tyto jsou věcí státní</w:t>
      </w:r>
      <w:r>
        <w:rPr>
          <w:sz w:val="18"/>
          <w:szCs w:val="18"/>
        </w:rPr>
        <w:t>ků a odborníků obou států. Pokládám však za svou povinnost, prostřednictvím Vašeho, mně z dřívějších dob dobře známého listu, upozorniti na velké nebezpečí, plynoucí z dosavadního duševního postoje velké části národa českého, včetně značné části tisku, zvl</w:t>
      </w:r>
      <w:r>
        <w:rPr>
          <w:sz w:val="18"/>
          <w:szCs w:val="18"/>
        </w:rPr>
        <w:t>áště jednoho velkého tiskového koncernu. Nové poměry si vyžadují s absolutní nutností úplnou změnu tohoto nikdy ničím neoprávněného, v nedávné minu</w:t>
      </w:r>
      <w:r>
        <w:rPr>
          <w:sz w:val="18"/>
          <w:szCs w:val="18"/>
        </w:rPr>
        <w:softHyphen/>
        <w:t>losti tak zhoubného a v budoucnosti krajně nebezpečného postoje.</w:t>
      </w:r>
    </w:p>
    <w:p w:rsidR="00500724" w:rsidRDefault="00F30FB8">
      <w:pPr>
        <w:pStyle w:val="Zkladntext1"/>
        <w:shd w:val="clear" w:color="auto" w:fill="auto"/>
        <w:spacing w:line="173" w:lineRule="auto"/>
        <w:ind w:firstLine="240"/>
        <w:rPr>
          <w:sz w:val="18"/>
          <w:szCs w:val="18"/>
        </w:rPr>
      </w:pPr>
      <w:r>
        <w:rPr>
          <w:sz w:val="18"/>
          <w:szCs w:val="18"/>
        </w:rPr>
        <w:t>Poukázal bych jen na ukázku, na jeden hodně</w:t>
      </w:r>
      <w:r>
        <w:rPr>
          <w:sz w:val="18"/>
          <w:szCs w:val="18"/>
        </w:rPr>
        <w:t xml:space="preserve"> rozšířený list, který po přechodném »obratu na čtyráku« si libuje poznenáhlu zase v starém tónu, jen že, snad z opatrnosti, prozatím mírně tlumeném. Marně byste prostudoval všechny ty jeho různé večerníky a pod. </w:t>
      </w:r>
      <w:r>
        <w:rPr>
          <w:i/>
          <w:iCs/>
          <w:sz w:val="20"/>
          <w:szCs w:val="20"/>
        </w:rPr>
        <w:t>a</w:t>
      </w:r>
      <w:r>
        <w:rPr>
          <w:sz w:val="18"/>
          <w:szCs w:val="18"/>
        </w:rPr>
        <w:t xml:space="preserve"> hledal sebemenší náznak přátelštějšího ch</w:t>
      </w:r>
      <w:r>
        <w:rPr>
          <w:sz w:val="18"/>
          <w:szCs w:val="18"/>
        </w:rPr>
        <w:t>ováni, dobré vůle anebo alespoň pochopení nově utvořené situace. Uznávám, že je jistě těžké pro člověka, žijícího více než 20 let v určité ideologii, prohlašované po celou tu dobu za samospasitelnou, změniti se téměř přes noc tak radikálně, aby viděl v opr</w:t>
      </w:r>
      <w:r>
        <w:rPr>
          <w:sz w:val="18"/>
          <w:szCs w:val="18"/>
        </w:rPr>
        <w:t>avdovém anebo spíše domnělém odpůrci z vče</w:t>
      </w:r>
      <w:r>
        <w:rPr>
          <w:sz w:val="18"/>
          <w:szCs w:val="18"/>
        </w:rPr>
        <w:softHyphen/>
        <w:t>rejška svého přítele z dneška a chovati se podle toho.</w:t>
      </w:r>
    </w:p>
    <w:p w:rsidR="00500724" w:rsidRDefault="00F30FB8">
      <w:pPr>
        <w:pStyle w:val="Zkladntext1"/>
        <w:shd w:val="clear" w:color="auto" w:fill="auto"/>
        <w:spacing w:line="175" w:lineRule="auto"/>
        <w:ind w:firstLine="240"/>
        <w:rPr>
          <w:sz w:val="18"/>
          <w:szCs w:val="18"/>
        </w:rPr>
      </w:pPr>
      <w:r>
        <w:rPr>
          <w:sz w:val="18"/>
          <w:szCs w:val="18"/>
        </w:rPr>
        <w:t xml:space="preserve">Jde-li však o muže, jehož názory budou více méně slepě vzaty za své širokou obcí čtenářskou, je takový zpátečník hotovým neštěstím a škůdcem vlastního národa </w:t>
      </w:r>
      <w:r>
        <w:rPr>
          <w:sz w:val="18"/>
          <w:szCs w:val="18"/>
        </w:rPr>
        <w:t>a bylo by na místě, nahradit jej co nejdříve schopnější a mužnější osob</w:t>
      </w:r>
      <w:r>
        <w:rPr>
          <w:sz w:val="18"/>
          <w:szCs w:val="18"/>
        </w:rPr>
        <w:softHyphen/>
        <w:t>ností, která má dosti odvahy říci svým čtenářům pravdu a vyvozovati z ní patřičné důsledky, nikoliv ve smyslu dosavad</w:t>
      </w:r>
      <w:r>
        <w:rPr>
          <w:sz w:val="18"/>
          <w:szCs w:val="18"/>
        </w:rPr>
        <w:softHyphen/>
        <w:t>ního pokryteckého a negativistického směru, nýbrž s plným pochopen</w:t>
      </w:r>
      <w:r>
        <w:rPr>
          <w:sz w:val="18"/>
          <w:szCs w:val="18"/>
        </w:rPr>
        <w:t>ím jak pro potřebu vlastního národa tak pro kladnou, odpovědnou a upřímnou spolupráci s národy ostatními, nájmě však německým.</w:t>
      </w:r>
    </w:p>
    <w:p w:rsidR="00500724" w:rsidRDefault="00F30FB8">
      <w:pPr>
        <w:pStyle w:val="Zkladntext1"/>
        <w:shd w:val="clear" w:color="auto" w:fill="auto"/>
        <w:spacing w:line="175" w:lineRule="auto"/>
        <w:ind w:firstLine="200"/>
        <w:rPr>
          <w:sz w:val="18"/>
          <w:szCs w:val="18"/>
        </w:rPr>
      </w:pPr>
      <w:r>
        <w:rPr>
          <w:sz w:val="18"/>
          <w:szCs w:val="18"/>
        </w:rPr>
        <w:t xml:space="preserve">Nejprve třeba říci si několik pravd, bez ohledu na to, zdali jsou příjemné či nic. Základní nravda jest, že druhá republika jest </w:t>
      </w:r>
      <w:r>
        <w:rPr>
          <w:sz w:val="18"/>
          <w:szCs w:val="18"/>
        </w:rPr>
        <w:t>hlavně státem Čechů, Slováků a Ukrajinců, s tou dolož</w:t>
      </w:r>
      <w:r>
        <w:rPr>
          <w:sz w:val="18"/>
          <w:szCs w:val="18"/>
        </w:rPr>
        <w:softHyphen/>
        <w:t xml:space="preserve">kou, že jest státem všech svých občanů a tedy též státem zde zbylé národní skupiny německé. To znamená, že stát jest povinen již z toho titulu, zabrániti, třeba z moci úřední, všem zjevům hospodářského </w:t>
      </w:r>
      <w:r>
        <w:rPr>
          <w:sz w:val="18"/>
          <w:szCs w:val="18"/>
        </w:rPr>
        <w:t>útisku a ohrožování existence přísluš</w:t>
      </w:r>
      <w:r>
        <w:rPr>
          <w:sz w:val="18"/>
          <w:szCs w:val="18"/>
        </w:rPr>
        <w:softHyphen/>
        <w:t>níků národnosti německé.</w:t>
      </w:r>
    </w:p>
    <w:p w:rsidR="00500724" w:rsidRDefault="00F30FB8">
      <w:pPr>
        <w:pStyle w:val="Zkladntext1"/>
        <w:shd w:val="clear" w:color="auto" w:fill="auto"/>
        <w:spacing w:line="175" w:lineRule="auto"/>
        <w:ind w:firstLine="200"/>
        <w:rPr>
          <w:sz w:val="18"/>
          <w:szCs w:val="18"/>
        </w:rPr>
      </w:pPr>
      <w:r>
        <w:rPr>
          <w:sz w:val="18"/>
          <w:szCs w:val="18"/>
        </w:rPr>
        <w:t>Další pravda jest, že zde zbylá skupina německá jest, přes čs. státní občanství, součástí velkého národa německého, se všemi povinnostmi a právy, plynoucími z této skutečnosti. Musí býti všem j</w:t>
      </w:r>
      <w:r>
        <w:rPr>
          <w:sz w:val="18"/>
          <w:szCs w:val="18"/>
        </w:rPr>
        <w:t>asno, že zacházeti nepřátelsky se zdejším Němcem zna</w:t>
      </w:r>
      <w:r>
        <w:rPr>
          <w:sz w:val="18"/>
          <w:szCs w:val="18"/>
        </w:rPr>
        <w:softHyphen/>
        <w:t>mená nepřátelský postoj k celému národu německému.</w:t>
      </w:r>
    </w:p>
    <w:p w:rsidR="00500724" w:rsidRDefault="00F30FB8">
      <w:pPr>
        <w:pStyle w:val="Zkladntext1"/>
        <w:shd w:val="clear" w:color="auto" w:fill="auto"/>
        <w:spacing w:line="175" w:lineRule="auto"/>
        <w:ind w:firstLine="200"/>
        <w:rPr>
          <w:sz w:val="18"/>
          <w:szCs w:val="18"/>
        </w:rPr>
      </w:pPr>
      <w:r>
        <w:rPr>
          <w:sz w:val="18"/>
          <w:szCs w:val="18"/>
        </w:rPr>
        <w:t>Dále nutno ujasniti si, především v českém táboře, že zdejší Němec jest, beze všech výhrad, národním socialistou a že jest jeho samozřejmým právem, moci</w:t>
      </w:r>
      <w:r>
        <w:rPr>
          <w:sz w:val="18"/>
          <w:szCs w:val="18"/>
        </w:rPr>
        <w:t xml:space="preserve"> se přihlásit! k tomuto pře</w:t>
      </w:r>
      <w:r>
        <w:rPr>
          <w:sz w:val="18"/>
          <w:szCs w:val="18"/>
        </w:rPr>
        <w:softHyphen/>
        <w:t>svědčení všude a bez újmy na své existenci anebo svých život</w:t>
      </w:r>
      <w:r>
        <w:rPr>
          <w:sz w:val="18"/>
          <w:szCs w:val="18"/>
        </w:rPr>
        <w:softHyphen/>
        <w:t>ních zájmech, a to se všemi vnějšími odznaky příslušnosti ke straně jakož i svéprávnosti kulturní a národní vůbec.</w:t>
      </w:r>
    </w:p>
    <w:p w:rsidR="00500724" w:rsidRDefault="00F30FB8">
      <w:pPr>
        <w:pStyle w:val="Zkladntext1"/>
        <w:shd w:val="clear" w:color="auto" w:fill="auto"/>
        <w:spacing w:line="175" w:lineRule="auto"/>
        <w:ind w:firstLine="200"/>
        <w:rPr>
          <w:sz w:val="18"/>
          <w:szCs w:val="18"/>
        </w:rPr>
      </w:pPr>
      <w:r>
        <w:rPr>
          <w:sz w:val="18"/>
          <w:szCs w:val="18"/>
        </w:rPr>
        <w:t xml:space="preserve">Konečně jest nutno konstatovati pravdu, že čs. stát </w:t>
      </w:r>
      <w:r>
        <w:rPr>
          <w:sz w:val="18"/>
          <w:szCs w:val="18"/>
        </w:rPr>
        <w:t>tvoři integrující součást hospodářského prostoru velkoněmeckého. Bylo tomu tak sice i dříve, ořeš veškeré politické extravagance právě smeteného režimu, platí však dnes dvojnásobně a nutno proto vyvozovati z této skutečnosti všecky důsledky.</w:t>
      </w:r>
    </w:p>
    <w:p w:rsidR="00500724" w:rsidRDefault="00F30FB8">
      <w:pPr>
        <w:pStyle w:val="Zkladntext1"/>
        <w:shd w:val="clear" w:color="auto" w:fill="auto"/>
        <w:spacing w:line="175" w:lineRule="auto"/>
        <w:ind w:firstLine="200"/>
        <w:rPr>
          <w:sz w:val="18"/>
          <w:szCs w:val="18"/>
        </w:rPr>
      </w:pPr>
      <w:r>
        <w:rPr>
          <w:sz w:val="18"/>
          <w:szCs w:val="18"/>
        </w:rPr>
        <w:t>Shora uvedeným</w:t>
      </w:r>
      <w:r>
        <w:rPr>
          <w:sz w:val="18"/>
          <w:szCs w:val="18"/>
        </w:rPr>
        <w:t>i fakty jest již dána cesta, kterou by se měl brát národ český, aby dospěl ve vlastním zájmu k novému a positivnímu poměru k národu německému, to jest k upřímné, přátelské a prospěšné spolupráci obou národů bez ohledu na státní hranice. S německé strany by</w:t>
      </w:r>
      <w:r>
        <w:rPr>
          <w:sz w:val="18"/>
          <w:szCs w:val="18"/>
        </w:rPr>
        <w:t>la tato ochota k spolupráci vyjádřena nejen oficiálními představiteli Velkého Německa, ale též při různých příležitostech vyslovena ústy vůdce zdejší národní skupiny německé, posl. E. Kundta.</w:t>
      </w:r>
    </w:p>
    <w:p w:rsidR="00500724" w:rsidRDefault="00F30FB8">
      <w:pPr>
        <w:pStyle w:val="Zkladntext1"/>
        <w:shd w:val="clear" w:color="auto" w:fill="auto"/>
        <w:spacing w:line="175" w:lineRule="auto"/>
        <w:ind w:firstLine="200"/>
        <w:rPr>
          <w:sz w:val="18"/>
          <w:szCs w:val="18"/>
        </w:rPr>
      </w:pPr>
      <w:r>
        <w:rPr>
          <w:sz w:val="18"/>
          <w:szCs w:val="18"/>
        </w:rPr>
        <w:t>Podivný fakt, že tato prohlášení Kundtova byla zamlčena české ve</w:t>
      </w:r>
      <w:r>
        <w:rPr>
          <w:sz w:val="18"/>
          <w:szCs w:val="18"/>
        </w:rPr>
        <w:t>řejnosti značnou částí bývalého ideologického, nyní poněkud přebarveného tisku, jest částečně dalším důvodem, proč Vám, pane redaktore, dnes píšu. Myslím, že střízlivý a pracovitý národ český, jeden z nejvyspělejších národů slo</w:t>
      </w:r>
      <w:r>
        <w:rPr>
          <w:sz w:val="18"/>
          <w:szCs w:val="18"/>
        </w:rPr>
        <w:softHyphen/>
        <w:t>vanských, má plný nárok na t</w:t>
      </w:r>
      <w:r>
        <w:rPr>
          <w:sz w:val="18"/>
          <w:szCs w:val="18"/>
        </w:rPr>
        <w:t>o, aby se mu konečně říkala pravda bez obalu. Aby se konečně chopil historického svého úkolu positivně, to jest být mostem a prostředníkem mezi světem německým a slovanským.</w:t>
      </w:r>
    </w:p>
    <w:p w:rsidR="00500724" w:rsidRDefault="00F30FB8">
      <w:pPr>
        <w:pStyle w:val="Zkladntext1"/>
        <w:shd w:val="clear" w:color="auto" w:fill="auto"/>
        <w:spacing w:line="175" w:lineRule="auto"/>
        <w:ind w:firstLine="200"/>
        <w:rPr>
          <w:sz w:val="18"/>
          <w:szCs w:val="18"/>
        </w:rPr>
      </w:pPr>
      <w:r>
        <w:rPr>
          <w:sz w:val="18"/>
          <w:szCs w:val="18"/>
        </w:rPr>
        <w:t>Jak též prohlásil vůdce zdejší skupiny německé, poslanec E. Kundt. byly to vždv ča</w:t>
      </w:r>
      <w:r>
        <w:rPr>
          <w:sz w:val="18"/>
          <w:szCs w:val="18"/>
        </w:rPr>
        <w:t>sy neišťastnějši pro rozvoj národa českého, když Češi a Němci závodili, ne zbraněmi, ale spo</w:t>
      </w:r>
      <w:r>
        <w:rPr>
          <w:sz w:val="18"/>
          <w:szCs w:val="18"/>
        </w:rPr>
        <w:softHyphen/>
        <w:t>lečným úsilím o blaho společné vlasti. K této spolupráci, jsme my, národně-socialističtí Němci, ochotni a připraveni, věrni příkazu staleté tradice své minulosti v</w:t>
      </w:r>
      <w:r>
        <w:rPr>
          <w:sz w:val="18"/>
          <w:szCs w:val="18"/>
        </w:rPr>
        <w:t xml:space="preserve"> tomto sídelním prostoru a poslušní vůle svých vůdců.</w:t>
      </w:r>
    </w:p>
    <w:p w:rsidR="00500724" w:rsidRDefault="00F30FB8">
      <w:pPr>
        <w:pStyle w:val="Zkladntext1"/>
        <w:shd w:val="clear" w:color="auto" w:fill="auto"/>
        <w:spacing w:line="175" w:lineRule="auto"/>
        <w:ind w:firstLine="200"/>
        <w:rPr>
          <w:sz w:val="18"/>
          <w:szCs w:val="18"/>
        </w:rPr>
      </w:pPr>
      <w:r>
        <w:rPr>
          <w:sz w:val="18"/>
          <w:szCs w:val="18"/>
        </w:rPr>
        <w:t xml:space="preserve">Přál bych si, jako muž, který žije 20 let mezi Čechy a který se naučil vážit si dobrých vlastností českého národa, aby došlo co nejdříve k tomuto krajně nutnému přerodu duše českého člověka. A byl bych </w:t>
      </w:r>
      <w:r>
        <w:rPr>
          <w:sz w:val="18"/>
          <w:szCs w:val="18"/>
        </w:rPr>
        <w:t>velmi rád, kdyby tyto řádky daly podnět k hodně plodné diskusi a tím vedly oba národy o krůček dál na cestě k vzájemnému poznávání a přátelství.</w:t>
      </w:r>
    </w:p>
    <w:p w:rsidR="00500724" w:rsidRDefault="00F30FB8">
      <w:pPr>
        <w:pStyle w:val="Zkladntext1"/>
        <w:shd w:val="clear" w:color="auto" w:fill="auto"/>
        <w:spacing w:line="175" w:lineRule="auto"/>
        <w:ind w:firstLine="0"/>
        <w:jc w:val="right"/>
        <w:rPr>
          <w:sz w:val="18"/>
          <w:szCs w:val="18"/>
        </w:rPr>
      </w:pPr>
      <w:r>
        <w:rPr>
          <w:sz w:val="18"/>
          <w:szCs w:val="18"/>
        </w:rPr>
        <w:t>Němec</w:t>
      </w:r>
    </w:p>
    <w:p w:rsidR="00500724" w:rsidRDefault="00F30FB8">
      <w:pPr>
        <w:pStyle w:val="Zkladntext1"/>
        <w:shd w:val="clear" w:color="auto" w:fill="auto"/>
        <w:spacing w:after="200" w:line="178" w:lineRule="auto"/>
        <w:ind w:firstLine="200"/>
        <w:rPr>
          <w:sz w:val="18"/>
          <w:szCs w:val="18"/>
        </w:rPr>
      </w:pPr>
      <w:r>
        <w:rPr>
          <w:sz w:val="18"/>
          <w:szCs w:val="18"/>
        </w:rPr>
        <w:t xml:space="preserve">(Pozn. </w:t>
      </w:r>
      <w:r>
        <w:rPr>
          <w:sz w:val="18"/>
          <w:szCs w:val="18"/>
          <w:lang w:val="en-US" w:eastAsia="en-US" w:bidi="en-US"/>
        </w:rPr>
        <w:t xml:space="preserve">red. </w:t>
      </w:r>
      <w:r>
        <w:rPr>
          <w:sz w:val="18"/>
          <w:szCs w:val="18"/>
        </w:rPr>
        <w:t xml:space="preserve">Doufáme, že naši čtenáři přijmou tento dopis, jak jim jej podáváme — jako informaci o </w:t>
      </w:r>
      <w:r>
        <w:rPr>
          <w:sz w:val="18"/>
          <w:szCs w:val="18"/>
        </w:rPr>
        <w:t>smýšlení oněch Němců, kteří zůstali mezi námi. Nehledíce k obsahu onoho dopisu, jehož některá tvrzení by bylo lze vyvrátiti (naši Němci patrně neuznávají, jak těžkou práci vykonává česká žurnali</w:t>
      </w:r>
      <w:r>
        <w:rPr>
          <w:sz w:val="18"/>
          <w:szCs w:val="18"/>
        </w:rPr>
        <w:softHyphen/>
        <w:t>stika při výchově lidu k nové orientaci), považujeme jej za p</w:t>
      </w:r>
      <w:r>
        <w:rPr>
          <w:sz w:val="18"/>
          <w:szCs w:val="18"/>
        </w:rPr>
        <w:t>říznivé znamení, jimiž naši Němci cítí potřebu dohovořit se s Čechy přímo.)</w:t>
      </w:r>
    </w:p>
    <w:p w:rsidR="00500724" w:rsidRDefault="00F30FB8">
      <w:pPr>
        <w:pStyle w:val="Jin0"/>
        <w:shd w:val="clear" w:color="auto" w:fill="auto"/>
        <w:spacing w:after="240"/>
        <w:ind w:firstLine="0"/>
        <w:jc w:val="left"/>
        <w:rPr>
          <w:sz w:val="44"/>
          <w:szCs w:val="44"/>
        </w:rPr>
      </w:pPr>
      <w:r>
        <w:rPr>
          <w:b/>
          <w:bCs/>
          <w:sz w:val="44"/>
          <w:szCs w:val="44"/>
          <w:u w:val="single"/>
        </w:rPr>
        <w:t>listárna redakce</w:t>
      </w:r>
    </w:p>
    <w:p w:rsidR="00500724" w:rsidRDefault="00F30FB8">
      <w:pPr>
        <w:pStyle w:val="Zkladntext1"/>
        <w:shd w:val="clear" w:color="auto" w:fill="auto"/>
        <w:spacing w:line="182" w:lineRule="auto"/>
        <w:ind w:firstLine="280"/>
        <w:rPr>
          <w:sz w:val="18"/>
          <w:szCs w:val="18"/>
        </w:rPr>
      </w:pPr>
      <w:r>
        <w:rPr>
          <w:sz w:val="18"/>
          <w:szCs w:val="18"/>
        </w:rPr>
        <w:t xml:space="preserve">Nepravdy. V těchto dnech otiskl časopis »Pražský List* zprávu, že » Přítomnost* je rozesílána odběratelům zastaveného časopisu »Národní Osvobození* zdarma, a ptal </w:t>
      </w:r>
      <w:r>
        <w:rPr>
          <w:sz w:val="18"/>
          <w:szCs w:val="18"/>
        </w:rPr>
        <w:t>se, odkud vzala »Přítomnost« peníze a adresář »Národního Osvobození*. Ten</w:t>
      </w:r>
      <w:r>
        <w:rPr>
          <w:sz w:val="18"/>
          <w:szCs w:val="18"/>
        </w:rPr>
        <w:softHyphen/>
        <w:t>dence této nepravdivé zprávy je průhledná. Má za účel denun- covati ^Přítomnost* před úřady, že se pokouší býti jakousi ná</w:t>
      </w:r>
      <w:r>
        <w:rPr>
          <w:sz w:val="18"/>
          <w:szCs w:val="18"/>
        </w:rPr>
        <w:softHyphen/>
        <w:t>hradou zastaveného časopisu. K tomu prohlašujeme:</w:t>
      </w:r>
    </w:p>
    <w:p w:rsidR="00500724" w:rsidRDefault="00F30FB8">
      <w:pPr>
        <w:pStyle w:val="Zkladntext1"/>
        <w:numPr>
          <w:ilvl w:val="0"/>
          <w:numId w:val="17"/>
        </w:numPr>
        <w:shd w:val="clear" w:color="auto" w:fill="auto"/>
        <w:tabs>
          <w:tab w:val="left" w:pos="462"/>
        </w:tabs>
        <w:spacing w:line="182" w:lineRule="auto"/>
        <w:ind w:firstLine="200"/>
        <w:rPr>
          <w:sz w:val="18"/>
          <w:szCs w:val="18"/>
        </w:rPr>
      </w:pPr>
      <w:r>
        <w:rPr>
          <w:sz w:val="18"/>
          <w:szCs w:val="18"/>
        </w:rPr>
        <w:t>Žádný adr</w:t>
      </w:r>
      <w:r>
        <w:rPr>
          <w:sz w:val="18"/>
          <w:szCs w:val="18"/>
        </w:rPr>
        <w:t>esář odběratelů ^Národního Osvobození* jsme nedostali ani zdarma ani nekoupili a nemohl tudíž být námi použit k nějaké akci.</w:t>
      </w:r>
    </w:p>
    <w:p w:rsidR="00500724" w:rsidRDefault="00F30FB8">
      <w:pPr>
        <w:pStyle w:val="Zkladntext1"/>
        <w:numPr>
          <w:ilvl w:val="0"/>
          <w:numId w:val="17"/>
        </w:numPr>
        <w:shd w:val="clear" w:color="auto" w:fill="auto"/>
        <w:tabs>
          <w:tab w:val="left" w:pos="500"/>
        </w:tabs>
        <w:spacing w:line="182" w:lineRule="auto"/>
        <w:ind w:firstLine="280"/>
        <w:rPr>
          <w:sz w:val="18"/>
          <w:szCs w:val="18"/>
        </w:rPr>
      </w:pPr>
      <w:r>
        <w:rPr>
          <w:sz w:val="18"/>
          <w:szCs w:val="18"/>
        </w:rPr>
        <w:t>Svoji propagaci, jakož i veškeré výrobní náklady hradí »Přítomnost« z vlastních prostředků. Nepřijala ani za I. ani za II. republik</w:t>
      </w:r>
      <w:r>
        <w:rPr>
          <w:sz w:val="18"/>
          <w:szCs w:val="18"/>
        </w:rPr>
        <w:t>y od nikoho ani haléře. »Přítomnost« žila a žije jen z vlastních prostředků, t. j. z peněz, které získá na předplat</w:t>
      </w:r>
      <w:r>
        <w:rPr>
          <w:sz w:val="18"/>
          <w:szCs w:val="18"/>
        </w:rPr>
        <w:softHyphen/>
        <w:t>ném, z prodeje jednotlivých čísel v novinářských prodejnách a za inserci, která je ovšem jen malým zlomkem jejího finanční</w:t>
      </w:r>
      <w:r>
        <w:rPr>
          <w:sz w:val="18"/>
          <w:szCs w:val="18"/>
        </w:rPr>
        <w:softHyphen/>
        <w:t>ho obratu.</w:t>
      </w:r>
    </w:p>
    <w:p w:rsidR="00500724" w:rsidRDefault="00F30FB8">
      <w:pPr>
        <w:pStyle w:val="Zkladntext1"/>
        <w:shd w:val="clear" w:color="auto" w:fill="auto"/>
        <w:tabs>
          <w:tab w:val="left" w:pos="3883"/>
        </w:tabs>
        <w:spacing w:line="180" w:lineRule="auto"/>
        <w:ind w:firstLine="280"/>
        <w:rPr>
          <w:sz w:val="18"/>
          <w:szCs w:val="18"/>
        </w:rPr>
      </w:pPr>
      <w:r>
        <w:rPr>
          <w:sz w:val="18"/>
          <w:szCs w:val="18"/>
        </w:rPr>
        <w:t>Poněva</w:t>
      </w:r>
      <w:r>
        <w:rPr>
          <w:sz w:val="18"/>
          <w:szCs w:val="18"/>
        </w:rPr>
        <w:t>dž můžeme všechna tato svá tvrzeni řádně doložiti. upozorňujeme, že budeme každého, kdo bude rozšiřovati opač</w:t>
      </w:r>
      <w:r>
        <w:rPr>
          <w:sz w:val="18"/>
          <w:szCs w:val="18"/>
        </w:rPr>
        <w:softHyphen/>
      </w:r>
      <w:r>
        <w:rPr>
          <w:b/>
          <w:bCs/>
        </w:rPr>
        <w:t xml:space="preserve">né </w:t>
      </w:r>
      <w:r>
        <w:rPr>
          <w:sz w:val="18"/>
          <w:szCs w:val="18"/>
        </w:rPr>
        <w:t>zprávy, stíhati soudem.</w:t>
      </w:r>
      <w:r>
        <w:rPr>
          <w:sz w:val="18"/>
          <w:szCs w:val="18"/>
        </w:rPr>
        <w:tab/>
        <w:t>Vydavatelstvo</w:t>
      </w:r>
    </w:p>
    <w:p w:rsidR="00500724" w:rsidRDefault="00F30FB8">
      <w:pPr>
        <w:pStyle w:val="Zkladntext1"/>
        <w:shd w:val="clear" w:color="auto" w:fill="auto"/>
        <w:spacing w:line="182" w:lineRule="auto"/>
        <w:ind w:firstLine="280"/>
        <w:rPr>
          <w:sz w:val="18"/>
          <w:szCs w:val="18"/>
        </w:rPr>
        <w:sectPr w:rsidR="00500724">
          <w:footnotePr>
            <w:numFmt w:val="chicago"/>
            <w:numRestart w:val="eachPage"/>
          </w:footnotePr>
          <w:type w:val="continuous"/>
          <w:pgSz w:w="11909" w:h="16834"/>
          <w:pgMar w:top="1552" w:right="980" w:bottom="773" w:left="551" w:header="0" w:footer="3" w:gutter="0"/>
          <w:cols w:num="2" w:space="146"/>
          <w:noEndnote/>
          <w:docGrid w:linePitch="360"/>
        </w:sectPr>
      </w:pPr>
      <w:r>
        <w:rPr>
          <w:sz w:val="18"/>
          <w:szCs w:val="18"/>
        </w:rPr>
        <w:t>Toto číslo vyšlo pro redaktorovu chorobu o den později.</w:t>
      </w:r>
    </w:p>
    <w:p w:rsidR="00500724" w:rsidRDefault="00F30FB8">
      <w:pPr>
        <w:pStyle w:val="Jin0"/>
        <w:shd w:val="clear" w:color="auto" w:fill="auto"/>
        <w:ind w:left="360" w:firstLine="0"/>
        <w:jc w:val="left"/>
        <w:rPr>
          <w:sz w:val="15"/>
          <w:szCs w:val="15"/>
        </w:rPr>
      </w:pPr>
      <w:r>
        <w:rPr>
          <w:rFonts w:ascii="Arial" w:eastAsia="Arial" w:hAnsi="Arial" w:cs="Arial"/>
          <w:b/>
          <w:bCs/>
          <w:sz w:val="15"/>
          <w:szCs w:val="15"/>
        </w:rPr>
        <w:t>93</w:t>
      </w:r>
    </w:p>
    <w:p w:rsidR="00500724" w:rsidRDefault="00F30FB8">
      <w:pPr>
        <w:pStyle w:val="Zkladntext1"/>
        <w:shd w:val="clear" w:color="auto" w:fill="auto"/>
        <w:spacing w:line="190" w:lineRule="auto"/>
        <w:ind w:left="360" w:firstLine="0"/>
        <w:jc w:val="left"/>
        <w:rPr>
          <w:sz w:val="20"/>
          <w:szCs w:val="20"/>
        </w:rPr>
      </w:pPr>
      <w:r>
        <w:rPr>
          <w:b/>
          <w:bCs/>
          <w:sz w:val="20"/>
          <w:szCs w:val="20"/>
        </w:rPr>
        <w:t>O</w:t>
      </w:r>
    </w:p>
    <w:p w:rsidR="00500724" w:rsidRDefault="00F30FB8">
      <w:pPr>
        <w:pStyle w:val="Zkladntext1"/>
        <w:shd w:val="clear" w:color="auto" w:fill="auto"/>
        <w:spacing w:line="180" w:lineRule="auto"/>
        <w:ind w:left="360" w:firstLine="0"/>
        <w:jc w:val="left"/>
        <w:rPr>
          <w:sz w:val="20"/>
          <w:szCs w:val="20"/>
        </w:rPr>
      </w:pPr>
      <w:r>
        <w:rPr>
          <w:b/>
          <w:bCs/>
          <w:sz w:val="20"/>
          <w:szCs w:val="20"/>
        </w:rPr>
        <w:t>n&lt;</w:t>
      </w:r>
    </w:p>
    <w:p w:rsidR="00500724" w:rsidRDefault="00F30FB8">
      <w:pPr>
        <w:pStyle w:val="Zkladntext40"/>
        <w:shd w:val="clear" w:color="auto" w:fill="auto"/>
        <w:spacing w:after="0" w:line="180" w:lineRule="auto"/>
        <w:ind w:left="360"/>
        <w:jc w:val="left"/>
      </w:pPr>
      <w:r>
        <w:t>•</w:t>
      </w:r>
    </w:p>
    <w:p w:rsidR="00500724" w:rsidRDefault="00F30FB8">
      <w:pPr>
        <w:pStyle w:val="Zkladntext1"/>
        <w:shd w:val="clear" w:color="auto" w:fill="auto"/>
        <w:spacing w:after="100" w:line="204" w:lineRule="auto"/>
        <w:ind w:left="360" w:firstLine="0"/>
        <w:jc w:val="left"/>
        <w:rPr>
          <w:sz w:val="20"/>
          <w:szCs w:val="20"/>
        </w:rPr>
      </w:pPr>
      <w:r>
        <w:rPr>
          <w:b/>
          <w:bCs/>
          <w:sz w:val="20"/>
          <w:szCs w:val="20"/>
        </w:rPr>
        <w:t>«o</w:t>
      </w:r>
    </w:p>
    <w:p w:rsidR="00500724" w:rsidRDefault="00F30FB8">
      <w:pPr>
        <w:pStyle w:val="Zkladntext1"/>
        <w:shd w:val="clear" w:color="auto" w:fill="auto"/>
        <w:spacing w:after="60"/>
        <w:ind w:left="360" w:firstLine="0"/>
        <w:jc w:val="left"/>
        <w:rPr>
          <w:sz w:val="20"/>
          <w:szCs w:val="20"/>
        </w:rPr>
      </w:pPr>
      <w:r>
        <w:rPr>
          <w:b/>
          <w:bCs/>
          <w:sz w:val="20"/>
          <w:szCs w:val="20"/>
        </w:rPr>
        <w:t>o&lt;</w:t>
      </w:r>
    </w:p>
    <w:p w:rsidR="00500724" w:rsidRDefault="00F30FB8">
      <w:pPr>
        <w:pStyle w:val="Zkladntext40"/>
        <w:shd w:val="clear" w:color="auto" w:fill="auto"/>
        <w:spacing w:after="0" w:line="240" w:lineRule="auto"/>
        <w:ind w:left="360"/>
        <w:jc w:val="left"/>
      </w:pPr>
      <w:r>
        <w:t>ÍZ&gt;</w:t>
      </w:r>
    </w:p>
    <w:p w:rsidR="00500724" w:rsidRDefault="00F30FB8">
      <w:pPr>
        <w:pStyle w:val="Nadpis110"/>
        <w:shd w:val="clear" w:color="auto" w:fill="auto"/>
        <w:ind w:left="360"/>
        <w:sectPr w:rsidR="00500724">
          <w:footnotePr>
            <w:numFmt w:val="chicago"/>
            <w:numRestart w:val="eachPage"/>
          </w:footnotePr>
          <w:pgSz w:w="11909" w:h="16834"/>
          <w:pgMar w:top="737" w:right="665" w:bottom="1006" w:left="10553" w:header="0" w:footer="3" w:gutter="0"/>
          <w:cols w:space="720"/>
          <w:noEndnote/>
          <w:docGrid w:linePitch="360"/>
        </w:sectPr>
      </w:pPr>
      <w:bookmarkStart w:id="151" w:name="bookmark150"/>
      <w:r>
        <w:t>o</w:t>
      </w:r>
      <w:bookmarkEnd w:id="151"/>
    </w:p>
    <w:p w:rsidR="00500724" w:rsidRDefault="00F30FB8">
      <w:pPr>
        <w:spacing w:line="14" w:lineRule="exact"/>
      </w:pPr>
      <w:r>
        <w:rPr>
          <w:noProof/>
        </w:rPr>
        <mc:AlternateContent>
          <mc:Choice Requires="wps">
            <w:drawing>
              <wp:anchor distT="0" distB="50800" distL="12700" distR="12700" simplePos="0" relativeHeight="125829494" behindDoc="0" locked="0" layoutInCell="1" allowOverlap="1">
                <wp:simplePos x="0" y="0"/>
                <wp:positionH relativeFrom="page">
                  <wp:posOffset>2183765</wp:posOffset>
                </wp:positionH>
                <wp:positionV relativeFrom="paragraph">
                  <wp:posOffset>12700</wp:posOffset>
                </wp:positionV>
                <wp:extent cx="3212465" cy="1350010"/>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3212465" cy="1350010"/>
                        </a:xfrm>
                        <a:prstGeom prst="rect">
                          <a:avLst/>
                        </a:prstGeom>
                        <a:noFill/>
                      </wps:spPr>
                      <wps:txbx>
                        <w:txbxContent>
                          <w:p w:rsidR="00500724" w:rsidRDefault="00F30FB8">
                            <w:pPr>
                              <w:pStyle w:val="Jin0"/>
                              <w:shd w:val="clear" w:color="auto" w:fill="auto"/>
                              <w:spacing w:after="40"/>
                              <w:ind w:left="140" w:firstLine="0"/>
                              <w:jc w:val="left"/>
                              <w:rPr>
                                <w:sz w:val="26"/>
                                <w:szCs w:val="26"/>
                              </w:rPr>
                            </w:pPr>
                            <w:r>
                              <w:rPr>
                                <w:b/>
                                <w:bCs/>
                                <w:sz w:val="26"/>
                                <w:szCs w:val="26"/>
                              </w:rPr>
                              <w:t>Duchovní orientace nezcizitelným právem</w:t>
                            </w:r>
                          </w:p>
                          <w:p w:rsidR="00500724" w:rsidRDefault="00F30FB8">
                            <w:pPr>
                              <w:pStyle w:val="Zkladntext1"/>
                              <w:shd w:val="clear" w:color="auto" w:fill="auto"/>
                              <w:spacing w:line="211" w:lineRule="auto"/>
                              <w:ind w:firstLine="280"/>
                              <w:rPr>
                                <w:sz w:val="20"/>
                                <w:szCs w:val="20"/>
                              </w:rPr>
                            </w:pPr>
                            <w:r>
                              <w:rPr>
                                <w:b/>
                                <w:bCs/>
                              </w:rPr>
                              <w:t xml:space="preserve">Vzdělanec s živým smyslem pro krásu, občan s pravým sociálním cítěním, intelektuál se schopností a s odvahou kritického soudu nedá se usměrnili, nedá se znásilnit!. Jen on odmítne s </w:t>
                            </w:r>
                            <w:r>
                              <w:rPr>
                                <w:b/>
                                <w:bCs/>
                              </w:rPr>
                              <w:t>mužnou rozhodností i to, čím mu právě nyní hrozí národně politický teror, bolestně pociťovaný zvláště u nás v mocném sousedství německém — všem, kdož uklá</w:t>
                            </w:r>
                            <w:r>
                              <w:rPr>
                                <w:b/>
                                <w:bCs/>
                              </w:rPr>
                              <w:softHyphen/>
                              <w:t>dají o svobodu naší kulturní volby, musíme odpověděti, že rozhodování o naší duchovní orientaci zůstá</w:t>
                            </w:r>
                            <w:r>
                              <w:rPr>
                                <w:b/>
                                <w:bCs/>
                              </w:rPr>
                              <w:t xml:space="preserve">vá a zůstane právem nezcizitelným. </w:t>
                            </w:r>
                            <w:r>
                              <w:rPr>
                                <w:i/>
                                <w:iCs/>
                                <w:sz w:val="20"/>
                                <w:szCs w:val="20"/>
                              </w:rPr>
                              <w:t>Arne Novák (ve Vědě a Sivotě)</w:t>
                            </w:r>
                          </w:p>
                        </w:txbxContent>
                      </wps:txbx>
                      <wps:bodyPr lIns="0" tIns="0" rIns="0" bIns="0">
                        <a:spAutoFit/>
                      </wps:bodyPr>
                    </wps:wsp>
                  </a:graphicData>
                </a:graphic>
              </wp:anchor>
            </w:drawing>
          </mc:Choice>
          <mc:Fallback>
            <w:pict>
              <v:shape id="_x0000_s1143" type="#_x0000_t202" style="position:absolute;margin-left:171.94999999999999pt;margin-top:1.pt;width:252.94999999999999pt;height:106.3pt;z-index:-125829259;mso-wrap-distance-left:1.pt;mso-wrap-distance-right:1.pt;mso-wrap-distance-bottom:4.pt;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140" w:right="0" w:firstLine="0"/>
                        <w:jc w:val="left"/>
                        <w:rPr>
                          <w:sz w:val="26"/>
                          <w:szCs w:val="26"/>
                        </w:rPr>
                      </w:pPr>
                      <w:r>
                        <w:rPr>
                          <w:b/>
                          <w:bCs/>
                          <w:color w:val="000000"/>
                          <w:spacing w:val="0"/>
                          <w:w w:val="100"/>
                          <w:position w:val="0"/>
                          <w:sz w:val="26"/>
                          <w:szCs w:val="26"/>
                          <w:shd w:val="clear" w:color="auto" w:fill="auto"/>
                          <w:lang w:val="cs-CZ" w:eastAsia="cs-CZ" w:bidi="cs-CZ"/>
                        </w:rPr>
                        <w:t>Duchovní orientace nezcizitelným právem</w:t>
                      </w:r>
                    </w:p>
                    <w:p>
                      <w:pPr>
                        <w:pStyle w:val="Style18"/>
                        <w:keepNext w:val="0"/>
                        <w:keepLines w:val="0"/>
                        <w:widowControl w:val="0"/>
                        <w:shd w:val="clear" w:color="auto" w:fill="auto"/>
                        <w:bidi w:val="0"/>
                        <w:spacing w:before="0" w:after="0" w:line="211" w:lineRule="auto"/>
                        <w:ind w:left="0" w:right="0" w:firstLine="280"/>
                        <w:rPr>
                          <w:sz w:val="20"/>
                          <w:szCs w:val="20"/>
                        </w:rPr>
                      </w:pPr>
                      <w:r>
                        <w:rPr>
                          <w:b/>
                          <w:bCs/>
                          <w:color w:val="000000"/>
                          <w:spacing w:val="0"/>
                          <w:w w:val="100"/>
                          <w:position w:val="0"/>
                          <w:sz w:val="19"/>
                          <w:szCs w:val="19"/>
                          <w:shd w:val="clear" w:color="auto" w:fill="auto"/>
                          <w:lang w:val="cs-CZ" w:eastAsia="cs-CZ" w:bidi="cs-CZ"/>
                        </w:rPr>
                        <w:t>Vzdělanec s živým smyslem pro krásu, občan s pravým sociálním cítěním, intelektuál se schopností a s odvahou kritického soudu nedá se usměrnili, nedá se znásilnit!. Jen on odmítne s mužnou rozhodností i to, čím mu právě nyní hrozí národně politický teror, bolestně pociťovaný zvláště u nás v mocném sousedství německém — všem, kdož uklá</w:t>
                        <w:softHyphen/>
                        <w:t xml:space="preserve">dají o svobodu naší kulturní volby, musíme odpověděti, že rozhodování o naší duchovní orientaci zůstává a zůstane právem nezcizitelným. </w:t>
                      </w:r>
                      <w:r>
                        <w:rPr>
                          <w:i/>
                          <w:iCs/>
                          <w:color w:val="000000"/>
                          <w:spacing w:val="0"/>
                          <w:w w:val="100"/>
                          <w:position w:val="0"/>
                          <w:sz w:val="20"/>
                          <w:szCs w:val="20"/>
                          <w:shd w:val="clear" w:color="auto" w:fill="auto"/>
                          <w:lang w:val="cs-CZ" w:eastAsia="cs-CZ" w:bidi="cs-CZ"/>
                        </w:rPr>
                        <w:t>Arne Novák (ve Vědě a Sivotě)</w:t>
                      </w:r>
                    </w:p>
                  </w:txbxContent>
                </v:textbox>
                <w10:wrap type="topAndBottom" anchorx="page"/>
              </v:shape>
            </w:pict>
          </mc:Fallback>
        </mc:AlternateContent>
      </w:r>
    </w:p>
    <w:p w:rsidR="00500724" w:rsidRDefault="00F30FB8">
      <w:pPr>
        <w:pStyle w:val="Zkladntext40"/>
        <w:shd w:val="clear" w:color="auto" w:fill="auto"/>
        <w:spacing w:after="40" w:line="209" w:lineRule="auto"/>
        <w:jc w:val="left"/>
      </w:pPr>
      <w:r>
        <w:t>Dr. Otakar Vočadlo:</w:t>
      </w:r>
    </w:p>
    <w:p w:rsidR="00500724" w:rsidRDefault="00F30FB8">
      <w:pPr>
        <w:pStyle w:val="Zkladntext90"/>
        <w:shd w:val="clear" w:color="auto" w:fill="auto"/>
        <w:spacing w:after="40" w:line="240" w:lineRule="auto"/>
      </w:pPr>
      <w:r>
        <w:t>KAREL ČAPEK V ANGLII.</w:t>
      </w:r>
      <w:r>
        <w:footnoteReference w:id="3"/>
      </w:r>
      <w:r>
        <w:t>)</w:t>
      </w:r>
    </w:p>
    <w:p w:rsidR="00500724" w:rsidRDefault="00F30FB8">
      <w:pPr>
        <w:pStyle w:val="Zkladntext40"/>
        <w:shd w:val="clear" w:color="auto" w:fill="auto"/>
        <w:spacing w:after="40" w:line="240" w:lineRule="auto"/>
        <w:ind w:firstLine="180"/>
      </w:pPr>
      <w:r>
        <w:t xml:space="preserve">Tážete se mne, jak vznikly Anglické listy, nejlepší Čapkovy cestopisné feuilletony. Rád vám povím, co vlm, tím spíše, že jsem na tom měl jistou </w:t>
      </w:r>
      <w:r>
        <w:t>účast a je to snad moje jediná zásluha o naši literaturu.</w:t>
      </w:r>
    </w:p>
    <w:p w:rsidR="00500724" w:rsidRDefault="00F30FB8">
      <w:pPr>
        <w:pStyle w:val="Zkladntext40"/>
        <w:shd w:val="clear" w:color="auto" w:fill="auto"/>
        <w:spacing w:after="40" w:line="209" w:lineRule="auto"/>
        <w:ind w:firstLine="180"/>
      </w:pPr>
      <w:r>
        <w:t xml:space="preserve">S Karlem Čapkem mne sblížil společný zájem o anglické divadlo. </w:t>
      </w:r>
      <w:r>
        <w:rPr>
          <w:rFonts w:ascii="Georgia" w:eastAsia="Georgia" w:hAnsi="Georgia" w:cs="Georgia"/>
          <w:b/>
          <w:bCs/>
          <w:sz w:val="13"/>
          <w:szCs w:val="13"/>
        </w:rPr>
        <w:t xml:space="preserve">Už </w:t>
      </w:r>
      <w:r>
        <w:t>jako student (»postgraduate«) londýnské university posílal jsem mu přehledy a posudky divadel</w:t>
      </w:r>
      <w:r>
        <w:softHyphen/>
        <w:t>ních novinek, i dozadu za léta vá</w:t>
      </w:r>
      <w:r>
        <w:softHyphen/>
        <w:t>lečn</w:t>
      </w:r>
      <w:r>
        <w:t>á jsem mu vypracoval jakýsi referát. Byl tehdy dramaturgem vinohradského divadla a pama</w:t>
      </w:r>
      <w:r>
        <w:softHyphen/>
        <w:t xml:space="preserve">tuji se, jak </w:t>
      </w:r>
      <w:r>
        <w:rPr>
          <w:rFonts w:ascii="Georgia" w:eastAsia="Georgia" w:hAnsi="Georgia" w:cs="Georgia"/>
          <w:b/>
          <w:bCs/>
          <w:sz w:val="13"/>
          <w:szCs w:val="13"/>
        </w:rPr>
        <w:t xml:space="preserve">sl </w:t>
      </w:r>
      <w:r>
        <w:t xml:space="preserve">na tom zakládal </w:t>
      </w:r>
      <w:r>
        <w:rPr>
          <w:rFonts w:ascii="Georgia" w:eastAsia="Georgia" w:hAnsi="Georgia" w:cs="Georgia"/>
          <w:b/>
          <w:bCs/>
          <w:sz w:val="13"/>
          <w:szCs w:val="13"/>
        </w:rPr>
        <w:t xml:space="preserve">že </w:t>
      </w:r>
      <w:r>
        <w:t>první vypravil Shelleyho bás</w:t>
      </w:r>
      <w:r>
        <w:softHyphen/>
        <w:t>nické drama z renesanční Itálie Cencl. Neměl sice tak úplný pri</w:t>
      </w:r>
      <w:r>
        <w:softHyphen/>
        <w:t>mát — v Anglii se jednou o to pokusili —</w:t>
      </w:r>
      <w:r>
        <w:t xml:space="preserve"> ale na evropském kon</w:t>
      </w:r>
      <w:r>
        <w:softHyphen/>
        <w:t xml:space="preserve">tinentě byl snad Čapek opravdu první, kdo se toho odvážil. Když R. </w:t>
      </w:r>
      <w:r>
        <w:rPr>
          <w:rFonts w:ascii="Georgia" w:eastAsia="Georgia" w:hAnsi="Georgia" w:cs="Georgia"/>
          <w:b/>
          <w:bCs/>
          <w:sz w:val="13"/>
          <w:szCs w:val="13"/>
        </w:rPr>
        <w:t xml:space="preserve">U. </w:t>
      </w:r>
      <w:r>
        <w:t>R. proniklo na anglickou scénu, byla to událost průkopnic</w:t>
      </w:r>
      <w:r>
        <w:softHyphen/>
        <w:t>kého významu. Rázem se pozor</w:t>
      </w:r>
      <w:r>
        <w:softHyphen/>
        <w:t>nost anglického literárního -věta soustředila na Čapkovu podnět</w:t>
      </w:r>
      <w:r>
        <w:softHyphen/>
        <w:t>nou hru. Mnoz</w:t>
      </w:r>
      <w:r>
        <w:t>í s nl polemisovall, aé ne tak prudce jako později s pesimismem Komedie hmyzu, ale její originalitě se obdivovali vši</w:t>
      </w:r>
      <w:r>
        <w:softHyphen/>
        <w:t>chni. Sám vím nejlépe, s jakým zájmem si ji už předem přečetl H. G. Wells, kterému jsem ji při</w:t>
      </w:r>
      <w:r>
        <w:softHyphen/>
        <w:t xml:space="preserve">nesl, 1 </w:t>
      </w:r>
      <w:r>
        <w:rPr>
          <w:lang w:val="en-US" w:eastAsia="en-US" w:bidi="en-US"/>
        </w:rPr>
        <w:t xml:space="preserve">A. Bennett. </w:t>
      </w:r>
      <w:r>
        <w:t>Bernard Shaw měl s Ches</w:t>
      </w:r>
      <w:r>
        <w:t xml:space="preserve">tertonem o ni vtipnou veřejnou diskusi, </w:t>
      </w:r>
      <w:r>
        <w:rPr>
          <w:lang w:val="en-US" w:eastAsia="en-US" w:bidi="en-US"/>
        </w:rPr>
        <w:t xml:space="preserve">Galsworthy </w:t>
      </w:r>
      <w:r>
        <w:t xml:space="preserve">o nl napsal </w:t>
      </w:r>
      <w:r>
        <w:rPr>
          <w:lang w:val="en-US" w:eastAsia="en-US" w:bidi="en-US"/>
        </w:rPr>
        <w:t xml:space="preserve">essay. </w:t>
      </w:r>
      <w:r>
        <w:t>Slovo robot přešlo do anglického slovníku. Karel Ča</w:t>
      </w:r>
      <w:r>
        <w:softHyphen/>
        <w:t>pek v Anglii takřka přes noc zví</w:t>
      </w:r>
      <w:r>
        <w:softHyphen/>
        <w:t>tězil.</w:t>
      </w:r>
    </w:p>
    <w:p w:rsidR="00500724" w:rsidRDefault="00F30FB8">
      <w:pPr>
        <w:pStyle w:val="Zkladntext40"/>
        <w:shd w:val="clear" w:color="auto" w:fill="auto"/>
        <w:spacing w:after="160" w:line="206" w:lineRule="auto"/>
        <w:ind w:firstLine="180"/>
      </w:pPr>
      <w:r>
        <w:t>Dva roky po založení Penkluhu dostalo se mu pozváni do Londý</w:t>
      </w:r>
      <w:r>
        <w:softHyphen/>
        <w:t>na. Každý jiný by byl spěchal po</w:t>
      </w:r>
      <w:r>
        <w:softHyphen/>
      </w:r>
      <w:r>
        <w:t>zváni vyhovět, ale s Čapkem byl křiž. Anglie a Angličané ho sice odjakživa zajímali a znal je do</w:t>
      </w:r>
      <w:r>
        <w:softHyphen/>
        <w:t>bře z literatury i z filosofie, ale Čapek, duch tak skromný a do</w:t>
      </w:r>
      <w:r>
        <w:softHyphen/>
        <w:t>mácí vyhýbal se okázalosti a for</w:t>
      </w:r>
      <w:r>
        <w:softHyphen/>
        <w:t>málnostem. Myšlenka, že by byl hoštěn slavnými anglickými lit</w:t>
      </w:r>
      <w:r>
        <w:t>e</w:t>
      </w:r>
      <w:r>
        <w:softHyphen/>
        <w:t>ráty, ho patrně proto odstrašova</w:t>
      </w:r>
      <w:r>
        <w:softHyphen/>
        <w:t>la. Ale nakonec se dal přemluvltl, když sl uvědomil národně propa</w:t>
      </w:r>
      <w:r>
        <w:softHyphen/>
        <w:t>gační význam zájezdu. A tak Jsem dostal na jaře 1924 dlouho očekávaný dopis, že přijede, s podmínkou, že ho budu čekat na londýnském nádraží. Jako by se to</w:t>
      </w:r>
      <w:r>
        <w:t xml:space="preserve"> nerozumělo samo sebou! By</w:t>
      </w:r>
      <w:r>
        <w:softHyphen/>
        <w:t>dleli jsme tehdy v Surbitonu, v domě známého slavisty Sira Ber</w:t>
      </w:r>
      <w:r>
        <w:softHyphen/>
        <w:t xml:space="preserve">narda Parese, který právě tehdy přednášel v Americe, a tam jsem Čapka zavezl. Ztrávil zde první dny, než se odstěhoval blíže do centra, ale 1 pak sl přijížděl </w:t>
      </w:r>
      <w:r>
        <w:rPr>
          <w:smallCaps/>
          <w:sz w:val="13"/>
          <w:szCs w:val="13"/>
        </w:rPr>
        <w:t xml:space="preserve">k </w:t>
      </w:r>
      <w:r>
        <w:t>nám o</w:t>
      </w:r>
      <w:r>
        <w:t>dpočinout, jak říkal, a v klidu si psát své první dojmy. Měli jsme za to prlvilej, že jsme si směli hned za tepla čist Listy, jak vycházely z jeho vtipného a po-</w:t>
      </w:r>
    </w:p>
    <w:p w:rsidR="00500724" w:rsidRDefault="00F30FB8">
      <w:pPr>
        <w:pStyle w:val="Zkladntext40"/>
        <w:shd w:val="clear" w:color="auto" w:fill="auto"/>
        <w:spacing w:after="40" w:line="180" w:lineRule="auto"/>
        <w:ind w:firstLine="180"/>
      </w:pPr>
      <w:r>
        <w:t>•) Přetištěno z »Luhaěovského Sokola*.</w:t>
      </w:r>
    </w:p>
    <w:p w:rsidR="00500724" w:rsidRDefault="00F30FB8">
      <w:pPr>
        <w:pStyle w:val="Zkladntext40"/>
        <w:shd w:val="clear" w:color="auto" w:fill="auto"/>
        <w:spacing w:after="0" w:line="204" w:lineRule="auto"/>
      </w:pPr>
      <w:r>
        <w:t xml:space="preserve">žehnaného pera. Byl červen, teh dy ku podivu krásný, a </w:t>
      </w:r>
      <w:r>
        <w:t>Čapek rád sedával v zahradě pod rozlo</w:t>
      </w:r>
      <w:r>
        <w:softHyphen/>
        <w:t>žitým libanonským cedrem. Tam nám prozradil svou touhu, napsat do konce života sto knížek a vy</w:t>
      </w:r>
      <w:r>
        <w:softHyphen/>
        <w:t>zkoušet všechny literární Kruhy. Tam se také zařlkal, že se nebude ženit, ale to jsme nebrali vážné, už proto, že nám nemoh</w:t>
      </w:r>
      <w:r>
        <w:t>lo ujít, jak netrpělivě čekává na kores</w:t>
      </w:r>
      <w:r>
        <w:softHyphen/>
        <w:t>pondenci své pozdější choti.</w:t>
      </w:r>
    </w:p>
    <w:p w:rsidR="00500724" w:rsidRDefault="00F30FB8">
      <w:pPr>
        <w:pStyle w:val="Zkladntext40"/>
        <w:shd w:val="clear" w:color="auto" w:fill="auto"/>
        <w:spacing w:after="0" w:line="204" w:lineRule="auto"/>
        <w:ind w:firstLine="180"/>
      </w:pPr>
      <w:r>
        <w:t>Londýnská společnost přijala mladého, zajímavého autora R. U. R. velmi srdečně. Byl stále zván. Společně jsme byli na vege tariánském obědě u Shawa a na weekendu u Wellse v jeho býva</w:t>
      </w:r>
      <w:r>
        <w:softHyphen/>
      </w:r>
      <w:r>
        <w:t xml:space="preserve">lém venkovském </w:t>
      </w:r>
      <w:r>
        <w:rPr>
          <w:lang w:val="en-US" w:eastAsia="en-US" w:bidi="en-US"/>
        </w:rPr>
        <w:t xml:space="preserve">sidle Easton Glebe, </w:t>
      </w:r>
      <w:r>
        <w:t>kam přijel též Čapkův pro</w:t>
      </w:r>
      <w:r>
        <w:softHyphen/>
        <w:t xml:space="preserve">pagátor na anglickém jevišti </w:t>
      </w:r>
      <w:r>
        <w:rPr>
          <w:lang w:val="en-US" w:eastAsia="en-US" w:bidi="en-US"/>
        </w:rPr>
        <w:t>Ni</w:t>
      </w:r>
      <w:r>
        <w:rPr>
          <w:lang w:val="en-US" w:eastAsia="en-US" w:bidi="en-US"/>
        </w:rPr>
        <w:softHyphen/>
        <w:t xml:space="preserve">gel Playfair </w:t>
      </w:r>
      <w:r>
        <w:t xml:space="preserve">(pozdč)i Sir — byl povýšen na své zásluhy o divadlo do šlechtického stavu) a historik </w:t>
      </w:r>
      <w:r>
        <w:rPr>
          <w:lang w:val="en-US" w:eastAsia="en-US" w:bidi="en-US"/>
        </w:rPr>
        <w:t xml:space="preserve">Guedalla. </w:t>
      </w:r>
      <w:r>
        <w:t xml:space="preserve">V neděli tam zavítal za námi i elegantní </w:t>
      </w:r>
      <w:r>
        <w:rPr>
          <w:lang w:val="en-US" w:eastAsia="en-US" w:bidi="en-US"/>
        </w:rPr>
        <w:t>Galsworthy. P</w:t>
      </w:r>
      <w:r>
        <w:rPr>
          <w:lang w:val="en-US" w:eastAsia="en-US" w:bidi="en-US"/>
        </w:rPr>
        <w:t xml:space="preserve">en </w:t>
      </w:r>
      <w:r>
        <w:t>- klub uspořádal slavnostní lunch, na němž byl Čapek čestným hos</w:t>
      </w:r>
      <w:r>
        <w:softHyphen/>
        <w:t>tem spolu s rumunskou králov</w:t>
      </w:r>
      <w:r>
        <w:softHyphen/>
        <w:t>nou Marií. Reč, kterou tam pro</w:t>
      </w:r>
      <w:r>
        <w:softHyphen/>
        <w:t>nesl, přinesly druhý den celou no • viny Times a psaly o ní všecky časopisy.*)</w:t>
      </w:r>
    </w:p>
    <w:p w:rsidR="00500724" w:rsidRDefault="00F30FB8">
      <w:pPr>
        <w:pStyle w:val="Zkladntext40"/>
        <w:shd w:val="clear" w:color="auto" w:fill="auto"/>
        <w:spacing w:after="140" w:line="206" w:lineRule="auto"/>
        <w:ind w:firstLine="180"/>
      </w:pPr>
      <w:r>
        <w:t>Důležitá pro naši literaturu by</w:t>
      </w:r>
      <w:r>
        <w:softHyphen/>
        <w:t>la hlavně Jeho ce</w:t>
      </w:r>
      <w:r>
        <w:t>sta po Anglii. Kladl si za podmínku, abych ho na cestě provázel, aě sám se brzo docela dobře anglicky dohovořil. A tak jsme spolu putovali po brit</w:t>
      </w:r>
      <w:r>
        <w:softHyphen/>
        <w:t>ských ostrovech — s výjimkou Irska a černého průmyslového kraje — obdivovali r.e nádherným gotickým katedrálá</w:t>
      </w:r>
      <w:r>
        <w:t xml:space="preserve">m, kochali se romantickoú skotskou přírodou, prohlíželi přístavy a stará města. Své dojmy Čapek zpravidla hned večer zpracoval v </w:t>
      </w:r>
      <w:r>
        <w:rPr>
          <w:lang w:val="en-US" w:eastAsia="en-US" w:bidi="en-US"/>
        </w:rPr>
        <w:t xml:space="preserve">essay, </w:t>
      </w:r>
      <w:r>
        <w:t xml:space="preserve">který pak odesílal Lidovým Novinám Psát každý den mu bylo duševní potřebou. Nemohl-11 se dostat k napsáni své denní </w:t>
      </w:r>
      <w:r>
        <w:t>dávky, byl ne</w:t>
      </w:r>
      <w:r>
        <w:softHyphen/>
        <w:t>klidný a nesvůj. Vzpomínám, jak jednou v odlehlém koutě kdesi u skotských jezer nebylo veěer v pokoji osvětleni. Byl nešťasten ale svíčka, kterou jsem sehnal, mu vrátila dobrou náladu. Zdálo se, že píše nesmírně rychle. Ode-</w:t>
      </w:r>
    </w:p>
    <w:p w:rsidR="00500724" w:rsidRDefault="00F30FB8">
      <w:pPr>
        <w:pStyle w:val="Zkladntext40"/>
        <w:shd w:val="clear" w:color="auto" w:fill="auto"/>
        <w:spacing w:after="80" w:line="175" w:lineRule="auto"/>
        <w:ind w:firstLine="180"/>
      </w:pPr>
      <w:r>
        <w:t>*) S počátku nemě</w:t>
      </w:r>
      <w:r>
        <w:t>l chuť pro</w:t>
      </w:r>
      <w:r>
        <w:softHyphen/>
        <w:t>mluvit, ale nakonec jsme ho pře</w:t>
      </w:r>
      <w:r>
        <w:softHyphen/>
        <w:t>ce přemluvili a měl velký úspěch. Jeho nechut k proslovům Je dohře známá. Marně jsem ho prosil, aby promluvil ke studentům v lon</w:t>
      </w:r>
      <w:r>
        <w:softHyphen/>
        <w:t>dýnském klubu, byl ochoten jen k diskusi. A nepodařilo se mi ho přemluvit, aby proml</w:t>
      </w:r>
      <w:r>
        <w:t>uvil pro lon</w:t>
      </w:r>
      <w:r>
        <w:softHyphen/>
        <w:t>dýnský rozhlas.</w:t>
      </w:r>
    </w:p>
    <w:p w:rsidR="00500724" w:rsidRDefault="00F30FB8">
      <w:pPr>
        <w:pStyle w:val="Zkladntext40"/>
        <w:shd w:val="clear" w:color="auto" w:fill="auto"/>
        <w:spacing w:after="0" w:line="206" w:lineRule="auto"/>
      </w:pPr>
      <w:r>
        <w:t>šel do svého pokoje a za hodinku se vrátil s definitivně upraveným rukopisem. Ale ve skutečnosti svěřoval papíru produkt už hoto</w:t>
      </w:r>
      <w:r>
        <w:softHyphen/>
        <w:t>vý, pečlivě promyšlený. Poznám</w:t>
      </w:r>
      <w:r>
        <w:softHyphen/>
        <w:t>ky si nedělal, nosil své nápady po celý den v hlavě, až mu vy- krys</w:t>
      </w:r>
      <w:r>
        <w:t>talisovaly v přiléhavých slo</w:t>
      </w:r>
      <w:r>
        <w:softHyphen/>
        <w:t>vech. »Ríkával: »Ono se zdá, že celý den nic nedělám. Ale naši</w:t>
      </w:r>
      <w:r>
        <w:softHyphen/>
        <w:t>nec pracuje vlastně pořád, pozo</w:t>
      </w:r>
      <w:r>
        <w:softHyphen/>
        <w:t>ruje a přemýšlí.* Škrtal poměrně málo, o slovech předem uvažoval s odborným zájmem školeného fi</w:t>
      </w:r>
      <w:r>
        <w:softHyphen/>
        <w:t>lologa. Pamatuji se. jak jsme de</w:t>
      </w:r>
      <w:r>
        <w:softHyphen/>
        <w:t>bat</w:t>
      </w:r>
      <w:r>
        <w:t>ovali o slově xkosodřevina*, není-li to vlastně germanismus. Bohatství slov ho fascinovalo. Proto později s humorem odmítal moje apoštolování pro zjednodu</w:t>
      </w:r>
      <w:r>
        <w:softHyphen/>
        <w:t>šenou mezinárodní angličtinu Ba</w:t>
      </w:r>
      <w:r>
        <w:softHyphen/>
        <w:t xml:space="preserve">sic </w:t>
      </w:r>
      <w:r>
        <w:rPr>
          <w:lang w:val="en-US" w:eastAsia="en-US" w:bidi="en-US"/>
        </w:rPr>
        <w:t xml:space="preserve">English </w:t>
      </w:r>
      <w:r>
        <w:t>— čím více slov, tim lip! Šlo-li o nějakou odbornou zmínk</w:t>
      </w:r>
      <w:r>
        <w:t>u, vždycky sl věc důkladně ověřil. Podrobně se na př. vy ptá</w:t>
      </w:r>
      <w:r>
        <w:softHyphen/>
        <w:t xml:space="preserve">val na Pikty nebo na waleský Jazyk </w:t>
      </w:r>
      <w:r>
        <w:rPr>
          <w:i/>
          <w:iCs/>
        </w:rPr>
        <w:t>a</w:t>
      </w:r>
      <w:r>
        <w:t xml:space="preserve"> zákony o změně souhlá</w:t>
      </w:r>
      <w:r>
        <w:softHyphen/>
        <w:t>sek na začátku slov, zvané indic</w:t>
      </w:r>
      <w:r>
        <w:softHyphen/>
        <w:t>kým slovem »sandhi«, ho zajíma</w:t>
      </w:r>
      <w:r>
        <w:softHyphen/>
        <w:t>ly. Vypůjčil si mou waleskou bibli a vybral si jedno místo, kte</w:t>
      </w:r>
      <w:r>
        <w:softHyphen/>
        <w:t>ré pak c</w:t>
      </w:r>
      <w:r>
        <w:t>itoval. Posloužilo mu ovšem k vtipnému parodováni ob</w:t>
      </w:r>
      <w:r>
        <w:softHyphen/>
        <w:t>tíží waleštiny. Vůbec jsou Listy psány většinou žertovně s náde</w:t>
      </w:r>
      <w:r>
        <w:softHyphen/>
        <w:t>chem lehké, zdvořilé satiry. Ale Čapek viděl i stíny a nezamlěel Je. Jeho kapitolu o bídě londýn</w:t>
      </w:r>
      <w:r>
        <w:softHyphen/>
        <w:t>ského East-Endu zařadil slavný dánský angl</w:t>
      </w:r>
      <w:r>
        <w:t>ista Otto Jespersen do své výborné anglické čítanky. A hrůza z brlohů chudiny v Glas</w:t>
      </w:r>
      <w:r>
        <w:softHyphen/>
        <w:t xml:space="preserve">gowě úplně setřela vzpomínku na zajímavou obrazovou galerii </w:t>
      </w:r>
      <w:r>
        <w:rPr>
          <w:rFonts w:ascii="Georgia" w:eastAsia="Georgia" w:hAnsi="Georgia" w:cs="Georgia"/>
          <w:b/>
          <w:bCs/>
          <w:sz w:val="13"/>
          <w:szCs w:val="13"/>
        </w:rPr>
        <w:t xml:space="preserve">s </w:t>
      </w:r>
      <w:r>
        <w:t>Whistlerem.</w:t>
      </w:r>
    </w:p>
    <w:p w:rsidR="00500724" w:rsidRDefault="00F30FB8">
      <w:pPr>
        <w:pStyle w:val="Zkladntext40"/>
        <w:shd w:val="clear" w:color="auto" w:fill="auto"/>
        <w:spacing w:after="0" w:line="206" w:lineRule="auto"/>
        <w:ind w:firstLine="180"/>
      </w:pPr>
      <w:r>
        <w:t>Počasí nám na naši cestě větši</w:t>
      </w:r>
      <w:r>
        <w:softHyphen/>
        <w:t>nou přálo. Smůlu Jsme měli jen na waleských horách, kde mžilo a pr</w:t>
      </w:r>
      <w:r>
        <w:t>šelo a kde mou mlhavou sil- huetu označil jako »skvělou vy</w:t>
      </w:r>
      <w:r>
        <w:softHyphen/>
        <w:t>hlídku s vrcholku Snowdenu*. Ale vlhké anglické klima Čapkovi nevadilo, naopak si Je chválival, že ho duševně vzpružuje. Snad to</w:t>
      </w:r>
      <w:r>
        <w:softHyphen/>
        <w:t>mu vděčíme za to, že Anglické li</w:t>
      </w:r>
      <w:r>
        <w:softHyphen/>
        <w:t>sty jsou z jeho nejlepšlch děl. Zvl</w:t>
      </w:r>
      <w:r>
        <w:t>áštní přízni osudu nás Hebrl- dy, pověstné deštivým podnebím, přivítaly se vším zářivým kouz</w:t>
      </w:r>
      <w:r>
        <w:softHyphen/>
        <w:t>lem tajemných jezer, průzračné</w:t>
      </w:r>
      <w:r>
        <w:softHyphen/>
        <w:t>ho moře a rozeklaných hor, které připomínají Ossianovy zpěvy. Po</w:t>
      </w:r>
      <w:r>
        <w:softHyphen/>
        <w:t>znáni přírodních krás těchto vi- kingských ostrovů, kde se dosud ml</w:t>
      </w:r>
      <w:r>
        <w:t>uví keltsky, nám umožnilo po</w:t>
      </w:r>
      <w:r>
        <w:softHyphen/>
        <w:t xml:space="preserve">hostinství </w:t>
      </w:r>
      <w:r>
        <w:rPr>
          <w:lang w:val="en-US" w:eastAsia="en-US" w:bidi="en-US"/>
        </w:rPr>
        <w:t xml:space="preserve">prof. </w:t>
      </w:r>
      <w:r>
        <w:t>Setona-Walsona na ostrově Skye. Čapek ho svou perokresbou znamenitě vystihl &gt;? o jeho vzácné »antické« choti jsme se též dočtu v Listech.*)</w:t>
      </w:r>
    </w:p>
    <w:p w:rsidR="00500724" w:rsidRDefault="00F30FB8">
      <w:pPr>
        <w:pStyle w:val="Zkladntext40"/>
        <w:shd w:val="clear" w:color="auto" w:fill="auto"/>
        <w:spacing w:after="0" w:line="214" w:lineRule="auto"/>
        <w:ind w:firstLine="200"/>
      </w:pPr>
      <w:r>
        <w:t>Když vyšly Listy anglicky, bylo z nich všude v Anglii velké potě</w:t>
      </w:r>
      <w:r>
        <w:softHyphen/>
        <w:t>šení.</w:t>
      </w:r>
      <w:r>
        <w:t xml:space="preserve"> Jen přátelé z Liverpoolu se na mne sesypali jako vosy, když </w:t>
      </w:r>
      <w:r>
        <w:rPr>
          <w:rFonts w:ascii="Georgia" w:eastAsia="Georgia" w:hAnsi="Georgia" w:cs="Georgia"/>
          <w:b/>
          <w:bCs/>
          <w:sz w:val="13"/>
          <w:szCs w:val="13"/>
        </w:rPr>
        <w:t xml:space="preserve">jsem </w:t>
      </w:r>
      <w:r>
        <w:t>se tam později ukázal. Mu</w:t>
      </w:r>
      <w:r>
        <w:softHyphen/>
        <w:t>sel jsem s pravdou ven, proč prá</w:t>
      </w:r>
      <w:r>
        <w:softHyphen/>
        <w:t>vě Liverpool tak špatně pochodil a konejšil jsem Je, že to byly dů</w:t>
      </w:r>
      <w:r>
        <w:softHyphen/>
        <w:t>vody čistě osobní. Náhodou jsme totiž dorazili do Liverpoolu prá</w:t>
      </w:r>
      <w:r>
        <w:t xml:space="preserve">vě v době královské návštěvy a tak se stalo, že přítel slavista, s Jehož pohostinstvím jsem počítal, měl v bytě plno vlastních příbuzných a všecky hotely byly plně obsazeny. Nakonec Jsme sehnali Jen Jednu postel v námořnické hospodě — takové krčmě, kde se </w:t>
      </w:r>
      <w:r>
        <w:t>muselo pla</w:t>
      </w:r>
      <w:r>
        <w:softHyphen/>
        <w:t>tit předem. Tu krěmu sl tedy Li</w:t>
      </w:r>
      <w:r>
        <w:softHyphen/>
        <w:t>verpool odpykal. Jinak se nám však cestovalo hladce a bez pří</w:t>
      </w:r>
      <w:r>
        <w:softHyphen/>
        <w:t>hod. Jen když jsme odjížděli z Bangoru a ve spěchu chytali vlak, Čapek již nestačil naskočit e tak jsem z rozjíždějícího vlaku Jen zahlédl Jeho vyčítav</w:t>
      </w:r>
      <w:r>
        <w:t>ou tvář s dět</w:t>
      </w:r>
      <w:r>
        <w:softHyphen/>
        <w:t>sky udivenýma očima. Nerozešli jsem se však nadlouho, vystoupil jsem v příští stanici a tam jsme se zase sešli.</w:t>
      </w:r>
    </w:p>
    <w:p w:rsidR="00500724" w:rsidRDefault="00F30FB8">
      <w:pPr>
        <w:pStyle w:val="Zkladntext40"/>
        <w:shd w:val="clear" w:color="auto" w:fill="auto"/>
        <w:spacing w:after="0" w:line="240" w:lineRule="auto"/>
        <w:ind w:firstLine="200"/>
        <w:sectPr w:rsidR="00500724">
          <w:footnotePr>
            <w:numFmt w:val="chicago"/>
            <w:numRestart w:val="eachPage"/>
          </w:footnotePr>
          <w:type w:val="continuous"/>
          <w:pgSz w:w="11909" w:h="16834"/>
          <w:pgMar w:top="737" w:right="731" w:bottom="737" w:left="718" w:header="0" w:footer="3" w:gutter="0"/>
          <w:cols w:num="4" w:sep="1" w:space="100"/>
          <w:noEndnote/>
          <w:docGrid w:linePitch="360"/>
        </w:sectPr>
      </w:pPr>
      <w:r>
        <w:t>Anglické listy, které vycházely v Anglii nejprve ve známém libe</w:t>
      </w:r>
      <w:r>
        <w:softHyphen/>
        <w:t>rálním Manchester Guardianu a pak k</w:t>
      </w:r>
      <w:r>
        <w:t>nižně v četných vydáních, se staly v Anglii vedle Zahradní</w:t>
      </w:r>
      <w:r>
        <w:softHyphen/>
        <w:t>kova roku</w:t>
      </w:r>
      <w:r>
        <w:footnoteReference w:id="4"/>
      </w:r>
      <w:r>
        <w:t>) Čapkovou nejobl! benějšl knihou. Jak si jl Angliča</w:t>
      </w:r>
      <w:r>
        <w:softHyphen/>
        <w:t>né váží, Je vidět z toho, že bývá uváděna 1 v odborné literatuře o anglickém charakteru. Málokdo s! uvědomuje, že Čapek byl našim hlav</w:t>
      </w:r>
      <w:r>
        <w:t>ním representantem vůěi kul</w:t>
      </w:r>
      <w:r>
        <w:softHyphen/>
        <w:t>turnímu anglosaskému světu. Byl nejen jediným českým spisovate</w:t>
      </w:r>
      <w:r>
        <w:softHyphen/>
        <w:t>lem, skutečně známým a oblíbe</w:t>
      </w:r>
      <w:r>
        <w:softHyphen/>
        <w:t>ným, Jehož slovům byla Anglie i Amerika kdykoli ochotna naslou</w:t>
      </w:r>
      <w:r>
        <w:softHyphen/>
        <w:t>chat, ale byl 1 laskavým a srdeč</w:t>
      </w:r>
      <w:r>
        <w:softHyphen/>
        <w:t>ným hostitelem všech význam</w:t>
      </w:r>
      <w:r>
        <w:softHyphen/>
        <w:t>ných cizinc</w:t>
      </w:r>
      <w:r>
        <w:t>ů. Patřil prostě k zna- menitostem Prahy; přijet a nena</w:t>
      </w:r>
      <w:r>
        <w:softHyphen/>
        <w:t>vštívit ho na jeho pověstných pá</w:t>
      </w:r>
      <w:r>
        <w:softHyphen/>
        <w:t>tečních schůzkách, bylo pro dis tinguované návštěvy nemysli</w:t>
      </w:r>
      <w:r>
        <w:softHyphen/>
        <w:t>telné. I po té stránce nám bude Karel Čapek bolestně chybět.</w:t>
      </w:r>
    </w:p>
    <w:p w:rsidR="00500724" w:rsidRDefault="00F30FB8">
      <w:pPr>
        <w:pStyle w:val="Zkladntext40"/>
        <w:framePr w:w="2573" w:h="9653" w:vSpace="200" w:wrap="around" w:vAnchor="text" w:hAnchor="page" w:x="2970" w:y="865"/>
        <w:shd w:val="clear" w:color="auto" w:fill="auto"/>
        <w:spacing w:after="40" w:line="173" w:lineRule="auto"/>
      </w:pPr>
      <w:r>
        <w:t>Napište si ihned o ukázkové číslo III. ročníku</w:t>
      </w:r>
      <w:r>
        <w:t xml:space="preserve"> nebo objednejte IL za Kě 15.— s odvoláním na náš list.</w:t>
      </w:r>
    </w:p>
    <w:p w:rsidR="00500724" w:rsidRDefault="00F30FB8">
      <w:pPr>
        <w:pStyle w:val="Zkladntext40"/>
        <w:framePr w:w="2573" w:h="9653" w:vSpace="200" w:wrap="around" w:vAnchor="text" w:hAnchor="page" w:x="2970" w:y="865"/>
        <w:shd w:val="clear" w:color="auto" w:fill="auto"/>
        <w:spacing w:after="40" w:line="175" w:lineRule="auto"/>
        <w:ind w:firstLine="180"/>
      </w:pPr>
      <w:r>
        <w:rPr>
          <w:rFonts w:ascii="Georgia" w:eastAsia="Georgia" w:hAnsi="Georgia" w:cs="Georgia"/>
          <w:b/>
          <w:bCs/>
          <w:sz w:val="13"/>
          <w:szCs w:val="13"/>
        </w:rPr>
        <w:t xml:space="preserve">MASARYK, SOUPIS TISKU V CIZÍCH JAZYCÍCH </w:t>
      </w:r>
      <w:r>
        <w:t>(brož. 30 Kč), který sestavil dr. Jar. Doležal. Na 300 stranách velkého lex. formá</w:t>
      </w:r>
      <w:r>
        <w:softHyphen/>
        <w:t>tu sneseno vše, co kde z Masary</w:t>
      </w:r>
      <w:r>
        <w:softHyphen/>
        <w:t xml:space="preserve">ka a o Masarykovi bylo vydáno anglický, </w:t>
      </w:r>
      <w:r>
        <w:t>čínsky, dánský, eston</w:t>
      </w:r>
      <w:r>
        <w:softHyphen/>
        <w:t>ský, francouzský, hebrejsky, ho- lansky, charvátsky, italsky, ja</w:t>
      </w:r>
      <w:r>
        <w:softHyphen/>
        <w:t>ponsky, katalánsky, litevsky, lo</w:t>
      </w:r>
      <w:r>
        <w:softHyphen/>
        <w:t>tyšský, lužlckosrbsky, maďarský, německy, norský, portugalský, ru</w:t>
      </w:r>
      <w:r>
        <w:softHyphen/>
        <w:t>munský, ruský, řecký, slovinský, srbsky, Španělsky, švédsky, ukra</w:t>
      </w:r>
      <w:r>
        <w:softHyphen/>
        <w:t>jins</w:t>
      </w:r>
      <w:r>
        <w:t>ky, flámsky i v umělých ře</w:t>
      </w:r>
      <w:r>
        <w:softHyphen/>
        <w:t xml:space="preserve">čech esperanto, </w:t>
      </w:r>
      <w:r>
        <w:rPr>
          <w:lang w:val="en-US" w:eastAsia="en-US" w:bidi="en-US"/>
        </w:rPr>
        <w:t xml:space="preserve">occidental </w:t>
      </w:r>
      <w:r>
        <w:t>nebo jiddisch a v slepeckém tisku. Vy</w:t>
      </w:r>
      <w:r>
        <w:softHyphen/>
        <w:t>dal Orbis, Praha.</w:t>
      </w:r>
    </w:p>
    <w:p w:rsidR="00500724" w:rsidRDefault="00F30FB8">
      <w:pPr>
        <w:pStyle w:val="Zkladntext40"/>
        <w:framePr w:w="2573" w:h="9653" w:vSpace="200" w:wrap="around" w:vAnchor="text" w:hAnchor="page" w:x="2970" w:y="865"/>
        <w:shd w:val="clear" w:color="auto" w:fill="auto"/>
        <w:spacing w:after="40" w:line="175" w:lineRule="auto"/>
        <w:ind w:firstLine="180"/>
      </w:pPr>
      <w:r>
        <w:rPr>
          <w:rFonts w:ascii="Georgia" w:eastAsia="Georgia" w:hAnsi="Georgia" w:cs="Georgia"/>
          <w:b/>
          <w:bCs/>
          <w:sz w:val="13"/>
          <w:szCs w:val="13"/>
        </w:rPr>
        <w:t xml:space="preserve">VÍDEŇ—PAŘÍŽ— VÍDEŇ je </w:t>
      </w:r>
      <w:r>
        <w:t>ná</w:t>
      </w:r>
      <w:r>
        <w:softHyphen/>
        <w:t>zev právě vyšlého 41. svazku Li</w:t>
      </w:r>
      <w:r>
        <w:softHyphen/>
        <w:t>dové knihovny vídeňské. Autor Ant. Machát liči v knize nejenom světovou výstavu pařížskou</w:t>
      </w:r>
      <w:r>
        <w:t xml:space="preserve">, ale 1 země rakouské, Francií, </w:t>
      </w:r>
      <w:r>
        <w:rPr>
          <w:lang w:val="en-US" w:eastAsia="en-US" w:bidi="en-US"/>
        </w:rPr>
        <w:t xml:space="preserve">Monaco </w:t>
      </w:r>
      <w:r>
        <w:t xml:space="preserve">a Itálii. Je to poutavá četba, </w:t>
      </w:r>
      <w:r>
        <w:rPr>
          <w:lang w:val="en-US" w:eastAsia="en-US" w:bidi="en-US"/>
        </w:rPr>
        <w:t>mis</w:t>
      </w:r>
      <w:r>
        <w:rPr>
          <w:lang w:val="en-US" w:eastAsia="en-US" w:bidi="en-US"/>
        </w:rPr>
        <w:softHyphen/>
        <w:t xml:space="preserve">ty </w:t>
      </w:r>
      <w:r>
        <w:t>kořeněná humorem. Kniha o 224 stranách je pěkně upravena a doplněna mnohými obrázky. Ce</w:t>
      </w:r>
      <w:r>
        <w:softHyphen/>
        <w:t>na do Česko-Slovenska 1 s poštov</w:t>
      </w:r>
      <w:r>
        <w:softHyphen/>
        <w:t xml:space="preserve">ným 18 Kč. Objednávky vyřizuje Lidová knihovna, Vídeň V., </w:t>
      </w:r>
      <w:r>
        <w:t>Mar- garetenplatz 7.</w:t>
      </w:r>
    </w:p>
    <w:p w:rsidR="00500724" w:rsidRDefault="00F30FB8">
      <w:pPr>
        <w:pStyle w:val="Zkladntext40"/>
        <w:framePr w:w="2573" w:h="9653" w:vSpace="200" w:wrap="around" w:vAnchor="text" w:hAnchor="page" w:x="2970" w:y="865"/>
        <w:shd w:val="clear" w:color="auto" w:fill="auto"/>
        <w:spacing w:after="40" w:line="175" w:lineRule="auto"/>
        <w:ind w:firstLine="180"/>
      </w:pPr>
      <w:r>
        <w:t xml:space="preserve">BUĎTE </w:t>
      </w:r>
      <w:r>
        <w:rPr>
          <w:rFonts w:ascii="Georgia" w:eastAsia="Georgia" w:hAnsi="Georgia" w:cs="Georgia"/>
          <w:b/>
          <w:bCs/>
          <w:sz w:val="13"/>
          <w:szCs w:val="13"/>
        </w:rPr>
        <w:t xml:space="preserve">RAD, ŽE JSTE NER- </w:t>
      </w:r>
      <w:r>
        <w:t>VOSNÍ... to je název vážné kni</w:t>
      </w:r>
      <w:r>
        <w:softHyphen/>
        <w:t>hy významného amerického psy</w:t>
      </w:r>
      <w:r>
        <w:softHyphen/>
        <w:t>chiatra MUDr. a PhDr. Louise Bi- sche, napsané k útěše a posile všech nervosních. Neurotické sta</w:t>
      </w:r>
      <w:r>
        <w:softHyphen/>
        <w:t>vy vyskytují se častěji než rýma. Musi se však venkonc</w:t>
      </w:r>
      <w:r>
        <w:t xml:space="preserve">em </w:t>
      </w:r>
      <w:r>
        <w:rPr>
          <w:lang w:val="en-US" w:eastAsia="en-US" w:bidi="en-US"/>
        </w:rPr>
        <w:t>neuro</w:t>
      </w:r>
      <w:r>
        <w:rPr>
          <w:lang w:val="en-US" w:eastAsia="en-US" w:bidi="en-US"/>
        </w:rPr>
        <w:softHyphen/>
        <w:t xml:space="preserve">tic! </w:t>
      </w:r>
      <w:r>
        <w:t>cítiti ubohými? Rozhodné NE autorovo je závěrem jeho práce. Jsa sám neurotikem. přináší cen</w:t>
      </w:r>
      <w:r>
        <w:softHyphen/>
        <w:t>nou pomoc pro každého, af už jeho neurosa je mírná nebo váž</w:t>
      </w:r>
      <w:r>
        <w:softHyphen/>
        <w:t>ná. Dokazuje, že neurosa oboha</w:t>
      </w:r>
      <w:r>
        <w:softHyphen/>
        <w:t>tila jeho život a dodala mu elá</w:t>
      </w:r>
      <w:r>
        <w:softHyphen/>
        <w:t>nu a říká, že totéž, co uči</w:t>
      </w:r>
      <w:r>
        <w:t>nil pro sebe, má každý ve své moci, po</w:t>
      </w:r>
      <w:r>
        <w:softHyphen/>
        <w:t>rozumí-]! svému stavu, přestane-li se stydět a bát. Knihu vydalo nakladatelství Orbis (Praha XIL) ve sbírce PERSPEKTIVY a je brož. za Kč 20.—.</w:t>
      </w:r>
    </w:p>
    <w:p w:rsidR="00500724" w:rsidRDefault="00F30FB8">
      <w:pPr>
        <w:pStyle w:val="Zkladntext40"/>
        <w:framePr w:w="2573" w:h="9653" w:vSpace="200" w:wrap="around" w:vAnchor="text" w:hAnchor="page" w:x="2970" w:y="865"/>
        <w:shd w:val="clear" w:color="auto" w:fill="auto"/>
        <w:spacing w:after="40" w:line="175" w:lineRule="auto"/>
        <w:ind w:firstLine="180"/>
      </w:pPr>
      <w:r>
        <w:t xml:space="preserve">NOVÉ NEBE A NOVA ZEMÉ! Výzva k náboženské a sociální obnově. Napsali L. Ragaz a O. Bauer. Knihovna »Nové cesty* sv. 2. (Praha-Dejvice, čp. 1672). Str. 32. Cena 3 Kč. Je to program světového hnutí nábožensko-so- ciálního. Jeho autoři, </w:t>
      </w:r>
      <w:r>
        <w:rPr>
          <w:lang w:val="en-US" w:eastAsia="en-US" w:bidi="en-US"/>
        </w:rPr>
        <w:t xml:space="preserve">prof. </w:t>
      </w:r>
      <w:r>
        <w:t>L. Ra</w:t>
      </w:r>
      <w:r>
        <w:softHyphen/>
        <w:t>gaz, vůdce</w:t>
      </w:r>
      <w:r>
        <w:t xml:space="preserve"> tohoto hnutí ve Švý</w:t>
      </w:r>
      <w:r>
        <w:softHyphen/>
        <w:t>carsku a Otto Bauer, bývalý vůd</w:t>
      </w:r>
      <w:r>
        <w:softHyphen/>
        <w:t>ce tohoto hnutí v Rakousku (není totožný se soe.-dem. poslancem téhož jména), ukazují tu, že se rozkládá dnešní oficiální křestan- ství a oficiální socialismus a že je nutná jejich radikální obnova, maji</w:t>
      </w:r>
      <w:r>
        <w:t>-11 splnit své poslání a při</w:t>
      </w:r>
      <w:r>
        <w:softHyphen/>
        <w:t>spět k záchraně dnešního světa</w:t>
      </w:r>
    </w:p>
    <w:p w:rsidR="00500724" w:rsidRDefault="00F30FB8">
      <w:pPr>
        <w:spacing w:line="14" w:lineRule="exact"/>
      </w:pPr>
      <w:r>
        <w:rPr>
          <w:noProof/>
        </w:rPr>
        <mc:AlternateContent>
          <mc:Choice Requires="wps">
            <w:drawing>
              <wp:anchor distT="0" distB="50800" distL="114300" distR="114300" simplePos="0" relativeHeight="125829496" behindDoc="0" locked="0" layoutInCell="1" allowOverlap="1">
                <wp:simplePos x="0" y="0"/>
                <wp:positionH relativeFrom="page">
                  <wp:posOffset>1022350</wp:posOffset>
                </wp:positionH>
                <wp:positionV relativeFrom="paragraph">
                  <wp:posOffset>12700</wp:posOffset>
                </wp:positionV>
                <wp:extent cx="1682750" cy="426720"/>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1682750" cy="426720"/>
                        </a:xfrm>
                        <a:prstGeom prst="rect">
                          <a:avLst/>
                        </a:prstGeom>
                        <a:noFill/>
                      </wps:spPr>
                      <wps:txbx>
                        <w:txbxContent>
                          <w:p w:rsidR="00500724" w:rsidRDefault="00F30FB8">
                            <w:pPr>
                              <w:pStyle w:val="Jin0"/>
                              <w:pBdr>
                                <w:bottom w:val="single" w:sz="4" w:space="0" w:color="auto"/>
                              </w:pBdr>
                              <w:shd w:val="clear" w:color="auto" w:fill="auto"/>
                              <w:spacing w:line="233" w:lineRule="auto"/>
                              <w:ind w:firstLine="0"/>
                              <w:jc w:val="left"/>
                            </w:pPr>
                            <w:r>
                              <w:rPr>
                                <w:rFonts w:ascii="Courier New" w:eastAsia="Courier New" w:hAnsi="Courier New" w:cs="Courier New"/>
                              </w:rPr>
                              <w:t>Když hrozí chřipka, chrání Vás AKGINOLKY. Tažte se svého lékaře.</w:t>
                            </w:r>
                          </w:p>
                        </w:txbxContent>
                      </wps:txbx>
                      <wps:bodyPr lIns="0" tIns="0" rIns="0" bIns="0">
                        <a:spAutoFit/>
                      </wps:bodyPr>
                    </wps:wsp>
                  </a:graphicData>
                </a:graphic>
              </wp:anchor>
            </w:drawing>
          </mc:Choice>
          <mc:Fallback>
            <w:pict>
              <v:shape id="_x0000_s1145" type="#_x0000_t202" style="position:absolute;margin-left:80.5pt;margin-top:1.pt;width:132.5pt;height:33.600000000000001pt;z-index:-125829257;mso-wrap-distance-left:9.pt;mso-wrap-distance-right:9.pt;mso-wrap-distance-bottom:4.pt;mso-position-horizontal-relative:page" filled="f" stroked="f">
                <v:textbox style="mso-fit-shape-to-text:t" inset="0,0,0,0">
                  <w:txbxContent>
                    <w:p>
                      <w:pPr>
                        <w:pStyle w:val="Style12"/>
                        <w:keepNext w:val="0"/>
                        <w:keepLines w:val="0"/>
                        <w:widowControl w:val="0"/>
                        <w:pBdr>
                          <w:bottom w:val="single" w:sz="4" w:space="0" w:color="auto"/>
                        </w:pBdr>
                        <w:shd w:val="clear" w:color="auto" w:fill="auto"/>
                        <w:bidi w:val="0"/>
                        <w:spacing w:before="0" w:after="0" w:line="233" w:lineRule="auto"/>
                        <w:ind w:left="0" w:right="0" w:firstLine="0"/>
                        <w:jc w:val="left"/>
                      </w:pPr>
                      <w:r>
                        <w:rPr>
                          <w:rFonts w:ascii="Courier New" w:eastAsia="Courier New" w:hAnsi="Courier New" w:cs="Courier New"/>
                          <w:color w:val="000000"/>
                          <w:spacing w:val="0"/>
                          <w:w w:val="100"/>
                          <w:position w:val="0"/>
                          <w:sz w:val="19"/>
                          <w:szCs w:val="19"/>
                          <w:shd w:val="clear" w:color="auto" w:fill="auto"/>
                          <w:lang w:val="cs-CZ" w:eastAsia="cs-CZ" w:bidi="cs-CZ"/>
                        </w:rPr>
                        <w:t>Když hrozí chřipka, chrání Vás AKGINOLKY. Tažte se svého lékaře.</w:t>
                      </w:r>
                    </w:p>
                  </w:txbxContent>
                </v:textbox>
                <w10:wrap type="topAndBottom" anchorx="page"/>
              </v:shape>
            </w:pict>
          </mc:Fallback>
        </mc:AlternateContent>
      </w:r>
      <w:r>
        <w:rPr>
          <w:noProof/>
        </w:rPr>
        <mc:AlternateContent>
          <mc:Choice Requires="wps">
            <w:drawing>
              <wp:anchor distT="6292850" distB="1223010" distL="0" distR="3175" simplePos="0" relativeHeight="125829498" behindDoc="0" locked="0" layoutInCell="1" allowOverlap="1">
                <wp:simplePos x="0" y="0"/>
                <wp:positionH relativeFrom="page">
                  <wp:posOffset>1885315</wp:posOffset>
                </wp:positionH>
                <wp:positionV relativeFrom="paragraph">
                  <wp:posOffset>6714490</wp:posOffset>
                </wp:positionV>
                <wp:extent cx="1630680" cy="1710055"/>
                <wp:effectExtent l="0" t="0" r="0" b="0"/>
                <wp:wrapSquare wrapText="bothSides"/>
                <wp:docPr id="121" name="Shape 121"/>
                <wp:cNvGraphicFramePr/>
                <a:graphic xmlns:a="http://schemas.openxmlformats.org/drawingml/2006/main">
                  <a:graphicData uri="http://schemas.microsoft.com/office/word/2010/wordprocessingShape">
                    <wps:wsp>
                      <wps:cNvSpPr txBox="1"/>
                      <wps:spPr>
                        <a:xfrm>
                          <a:off x="0" y="0"/>
                          <a:ext cx="1630680" cy="1710055"/>
                        </a:xfrm>
                        <a:prstGeom prst="rect">
                          <a:avLst/>
                        </a:prstGeom>
                        <a:noFill/>
                      </wps:spPr>
                      <wps:txbx>
                        <w:txbxContent>
                          <w:p w:rsidR="00500724" w:rsidRDefault="00F30FB8">
                            <w:pPr>
                              <w:pStyle w:val="Jin0"/>
                              <w:shd w:val="clear" w:color="auto" w:fill="auto"/>
                              <w:ind w:firstLine="0"/>
                              <w:jc w:val="left"/>
                              <w:rPr>
                                <w:sz w:val="26"/>
                                <w:szCs w:val="26"/>
                              </w:rPr>
                            </w:pPr>
                            <w:r>
                              <w:rPr>
                                <w:rFonts w:ascii="Calibri" w:eastAsia="Calibri" w:hAnsi="Calibri" w:cs="Calibri"/>
                                <w:b/>
                                <w:bCs/>
                                <w:w w:val="70"/>
                                <w:sz w:val="26"/>
                                <w:szCs w:val="26"/>
                              </w:rPr>
                              <w:t>Nakládejte si deskový archiv.</w:t>
                            </w:r>
                          </w:p>
                          <w:p w:rsidR="00500724" w:rsidRDefault="00F30FB8">
                            <w:pPr>
                              <w:pStyle w:val="Zkladntext40"/>
                              <w:shd w:val="clear" w:color="auto" w:fill="auto"/>
                              <w:spacing w:after="0" w:line="173" w:lineRule="auto"/>
                              <w:jc w:val="center"/>
                            </w:pPr>
                            <w:r>
                              <w:t>Bude vedle Vaši knihovny chlou-</w:t>
                            </w:r>
                            <w:r>
                              <w:br/>
                              <w:t>bou a radostí Vašeho domova a</w:t>
                            </w:r>
                            <w:r>
                              <w:br/>
                              <w:t>zůstane kulturním dokladem naši</w:t>
                            </w:r>
                            <w:r>
                              <w:br/>
                              <w:t>d</w:t>
                            </w:r>
                            <w:r>
                              <w:t>oby.</w:t>
                            </w:r>
                          </w:p>
                          <w:p w:rsidR="00500724" w:rsidRDefault="00F30FB8">
                            <w:pPr>
                              <w:pStyle w:val="Jin0"/>
                              <w:shd w:val="clear" w:color="auto" w:fill="auto"/>
                              <w:spacing w:line="182" w:lineRule="auto"/>
                              <w:ind w:firstLine="0"/>
                              <w:jc w:val="center"/>
                              <w:rPr>
                                <w:sz w:val="22"/>
                                <w:szCs w:val="22"/>
                              </w:rPr>
                            </w:pPr>
                            <w:r>
                              <w:rPr>
                                <w:rFonts w:ascii="Calibri" w:eastAsia="Calibri" w:hAnsi="Calibri" w:cs="Calibri"/>
                                <w:b/>
                                <w:bCs/>
                                <w:w w:val="70"/>
                                <w:sz w:val="22"/>
                                <w:szCs w:val="22"/>
                              </w:rPr>
                              <w:t>Expedice gramofonových desek</w:t>
                            </w:r>
                            <w:r>
                              <w:rPr>
                                <w:rFonts w:ascii="Calibri" w:eastAsia="Calibri" w:hAnsi="Calibri" w:cs="Calibri"/>
                                <w:b/>
                                <w:bCs/>
                                <w:w w:val="70"/>
                                <w:sz w:val="22"/>
                                <w:szCs w:val="22"/>
                              </w:rPr>
                              <w:br/>
                              <w:t>a zvukových pásů</w:t>
                            </w:r>
                          </w:p>
                          <w:p w:rsidR="00500724" w:rsidRDefault="00F30FB8">
                            <w:pPr>
                              <w:pStyle w:val="Zkladntext40"/>
                              <w:shd w:val="clear" w:color="auto" w:fill="auto"/>
                              <w:spacing w:after="0" w:line="182" w:lineRule="auto"/>
                              <w:jc w:val="center"/>
                            </w:pPr>
                            <w:r>
                              <w:t>M. FÚRSTOVA, Praha XVI.,</w:t>
                            </w:r>
                          </w:p>
                          <w:p w:rsidR="00500724" w:rsidRDefault="00F30FB8">
                            <w:pPr>
                              <w:pStyle w:val="Zkladntext40"/>
                              <w:shd w:val="clear" w:color="auto" w:fill="auto"/>
                              <w:spacing w:after="0" w:line="182" w:lineRule="auto"/>
                            </w:pPr>
                            <w:r>
                              <w:t>Na Zatlance 8 — telefon 479-10, obstará Vám odborně Vaši zami</w:t>
                            </w:r>
                            <w:r>
                              <w:softHyphen/>
                              <w:t>lovanou hudbu, klasickou, kon certni i taneční a zašle Vám ne závazně speciální seznamy hud</w:t>
                            </w:r>
                            <w:r>
                              <w:softHyphen/>
                              <w:t xml:space="preserve">by, o kterou se zajímáte, </w:t>
                            </w:r>
                            <w:r>
                              <w:t>na des</w:t>
                            </w:r>
                            <w:r>
                              <w:softHyphen/>
                              <w:t>kách všech značek. K reprodukci dodá Vám dokonalou elektrickou</w:t>
                            </w:r>
                          </w:p>
                          <w:p w:rsidR="00500724" w:rsidRDefault="00F30FB8">
                            <w:pPr>
                              <w:pStyle w:val="Zkladntext40"/>
                              <w:shd w:val="clear" w:color="auto" w:fill="auto"/>
                              <w:spacing w:after="0" w:line="182" w:lineRule="auto"/>
                              <w:jc w:val="center"/>
                            </w:pPr>
                            <w:r>
                              <w:t>přenosku nebo gramofon.</w:t>
                            </w:r>
                          </w:p>
                        </w:txbxContent>
                      </wps:txbx>
                      <wps:bodyPr lIns="0" tIns="0" rIns="0" bIns="0">
                        <a:spAutoFit/>
                      </wps:bodyPr>
                    </wps:wsp>
                  </a:graphicData>
                </a:graphic>
              </wp:anchor>
            </w:drawing>
          </mc:Choice>
          <mc:Fallback>
            <w:pict>
              <v:shape id="_x0000_s1147" type="#_x0000_t202" style="position:absolute;margin-left:148.44999999999999pt;margin-top:528.70000000000005pt;width:128.40000000000001pt;height:134.65000000000001pt;z-index:-125829255;mso-wrap-distance-left:0;mso-wrap-distance-top:495.5pt;mso-wrap-distance-right:0.25pt;mso-wrap-distance-bottom:96.299999999999997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Calibri" w:eastAsia="Calibri" w:hAnsi="Calibri" w:cs="Calibri"/>
                          <w:b/>
                          <w:bCs/>
                          <w:color w:val="000000"/>
                          <w:spacing w:val="0"/>
                          <w:w w:val="70"/>
                          <w:position w:val="0"/>
                          <w:sz w:val="26"/>
                          <w:szCs w:val="26"/>
                          <w:shd w:val="clear" w:color="auto" w:fill="auto"/>
                          <w:lang w:val="cs-CZ" w:eastAsia="cs-CZ" w:bidi="cs-CZ"/>
                        </w:rPr>
                        <w:t>Nakládejte si deskový archiv.</w:t>
                      </w:r>
                    </w:p>
                    <w:p>
                      <w:pPr>
                        <w:pStyle w:val="Style42"/>
                        <w:keepNext w:val="0"/>
                        <w:keepLines w:val="0"/>
                        <w:widowControl w:val="0"/>
                        <w:shd w:val="clear" w:color="auto" w:fill="auto"/>
                        <w:bidi w:val="0"/>
                        <w:spacing w:before="0" w:after="0" w:line="173" w:lineRule="auto"/>
                        <w:ind w:left="0" w:right="0" w:firstLine="0"/>
                        <w:jc w:val="center"/>
                      </w:pPr>
                      <w:r>
                        <w:rPr>
                          <w:color w:val="000000"/>
                          <w:spacing w:val="0"/>
                          <w:w w:val="100"/>
                          <w:position w:val="0"/>
                          <w:shd w:val="clear" w:color="auto" w:fill="auto"/>
                          <w:lang w:val="cs-CZ" w:eastAsia="cs-CZ" w:bidi="cs-CZ"/>
                        </w:rPr>
                        <w:t>Bude vedle Vaši knihovny chlou</w:t>
                        <w:t>-</w:t>
                        <w:br/>
                        <w:t>bou a radostí Vašeho domova a</w:t>
                        <w:br/>
                        <w:t>zůstane kulturním dokladem naši</w:t>
                        <w:br/>
                        <w:t>doby.</w:t>
                      </w:r>
                    </w:p>
                    <w:p>
                      <w:pPr>
                        <w:pStyle w:val="Style12"/>
                        <w:keepNext w:val="0"/>
                        <w:keepLines w:val="0"/>
                        <w:widowControl w:val="0"/>
                        <w:shd w:val="clear" w:color="auto" w:fill="auto"/>
                        <w:bidi w:val="0"/>
                        <w:spacing w:before="0" w:after="0" w:line="182" w:lineRule="auto"/>
                        <w:ind w:left="0" w:right="0" w:firstLine="0"/>
                        <w:jc w:val="center"/>
                        <w:rPr>
                          <w:sz w:val="22"/>
                          <w:szCs w:val="22"/>
                        </w:rPr>
                      </w:pPr>
                      <w:r>
                        <w:rPr>
                          <w:rFonts w:ascii="Calibri" w:eastAsia="Calibri" w:hAnsi="Calibri" w:cs="Calibri"/>
                          <w:b/>
                          <w:bCs/>
                          <w:color w:val="000000"/>
                          <w:spacing w:val="0"/>
                          <w:w w:val="70"/>
                          <w:position w:val="0"/>
                          <w:sz w:val="22"/>
                          <w:szCs w:val="22"/>
                          <w:shd w:val="clear" w:color="auto" w:fill="auto"/>
                          <w:lang w:val="cs-CZ" w:eastAsia="cs-CZ" w:bidi="cs-CZ"/>
                        </w:rPr>
                        <w:t>Expedice gramofonových desek</w:t>
                        <w:br/>
                        <w:t>a zvukových pásů</w:t>
                      </w:r>
                    </w:p>
                    <w:p>
                      <w:pPr>
                        <w:pStyle w:val="Style42"/>
                        <w:keepNext w:val="0"/>
                        <w:keepLines w:val="0"/>
                        <w:widowControl w:val="0"/>
                        <w:shd w:val="clear" w:color="auto" w:fill="auto"/>
                        <w:bidi w:val="0"/>
                        <w:spacing w:before="0" w:after="0" w:line="182" w:lineRule="auto"/>
                        <w:ind w:left="0" w:right="0" w:firstLine="0"/>
                        <w:jc w:val="center"/>
                      </w:pPr>
                      <w:r>
                        <w:rPr>
                          <w:color w:val="000000"/>
                          <w:spacing w:val="0"/>
                          <w:w w:val="100"/>
                          <w:position w:val="0"/>
                          <w:shd w:val="clear" w:color="auto" w:fill="auto"/>
                          <w:lang w:val="cs-CZ" w:eastAsia="cs-CZ" w:bidi="cs-CZ"/>
                        </w:rPr>
                        <w:t>M. FÚRSTOVA, Praha XVI.,</w:t>
                      </w:r>
                    </w:p>
                    <w:p>
                      <w:pPr>
                        <w:pStyle w:val="Style42"/>
                        <w:keepNext w:val="0"/>
                        <w:keepLines w:val="0"/>
                        <w:widowControl w:val="0"/>
                        <w:shd w:val="clear" w:color="auto" w:fill="auto"/>
                        <w:bidi w:val="0"/>
                        <w:spacing w:before="0" w:after="0" w:line="182" w:lineRule="auto"/>
                        <w:ind w:left="0" w:right="0" w:firstLine="0"/>
                      </w:pPr>
                      <w:r>
                        <w:rPr>
                          <w:color w:val="000000"/>
                          <w:spacing w:val="0"/>
                          <w:w w:val="100"/>
                          <w:position w:val="0"/>
                          <w:shd w:val="clear" w:color="auto" w:fill="auto"/>
                          <w:lang w:val="cs-CZ" w:eastAsia="cs-CZ" w:bidi="cs-CZ"/>
                        </w:rPr>
                        <w:t>Na Zatlance 8 — telefon 479-10, obstará Vám odborně Vaši zami</w:t>
                        <w:softHyphen/>
                        <w:t>lovanou hudbu, klasickou, kon certni i taneční a zašle Vám ne závazně speciální seznamy hud</w:t>
                        <w:softHyphen/>
                        <w:t>by, o kterou se zajímáte, na des</w:t>
                        <w:softHyphen/>
                        <w:t>kách všech značek. K reprodukci dodá Vám dokonalou elektrickou</w:t>
                      </w:r>
                    </w:p>
                    <w:p>
                      <w:pPr>
                        <w:pStyle w:val="Style42"/>
                        <w:keepNext w:val="0"/>
                        <w:keepLines w:val="0"/>
                        <w:widowControl w:val="0"/>
                        <w:shd w:val="clear" w:color="auto" w:fill="auto"/>
                        <w:bidi w:val="0"/>
                        <w:spacing w:before="0" w:after="0" w:line="182" w:lineRule="auto"/>
                        <w:ind w:left="0" w:right="0" w:firstLine="0"/>
                        <w:jc w:val="center"/>
                      </w:pPr>
                      <w:r>
                        <w:rPr>
                          <w:color w:val="000000"/>
                          <w:spacing w:val="0"/>
                          <w:w w:val="100"/>
                          <w:position w:val="0"/>
                          <w:shd w:val="clear" w:color="auto" w:fill="auto"/>
                          <w:lang w:val="cs-CZ" w:eastAsia="cs-CZ" w:bidi="cs-CZ"/>
                        </w:rPr>
                        <w:t>přenosku nebo gramofon.</w:t>
                      </w:r>
                    </w:p>
                  </w:txbxContent>
                </v:textbox>
                <w10:wrap type="square" anchorx="page"/>
              </v:shape>
            </w:pict>
          </mc:Fallback>
        </mc:AlternateContent>
      </w:r>
      <w:r>
        <w:rPr>
          <w:noProof/>
        </w:rPr>
        <mc:AlternateContent>
          <mc:Choice Requires="wps">
            <w:drawing>
              <wp:anchor distT="8051800" distB="254000" distL="0" distR="0" simplePos="0" relativeHeight="125829500" behindDoc="0" locked="0" layoutInCell="1" allowOverlap="1">
                <wp:simplePos x="0" y="0"/>
                <wp:positionH relativeFrom="page">
                  <wp:posOffset>1885315</wp:posOffset>
                </wp:positionH>
                <wp:positionV relativeFrom="paragraph">
                  <wp:posOffset>8473440</wp:posOffset>
                </wp:positionV>
                <wp:extent cx="1633855" cy="920750"/>
                <wp:effectExtent l="0" t="0" r="0" b="0"/>
                <wp:wrapSquare wrapText="bothSides"/>
                <wp:docPr id="123" name="Shape 123"/>
                <wp:cNvGraphicFramePr/>
                <a:graphic xmlns:a="http://schemas.openxmlformats.org/drawingml/2006/main">
                  <a:graphicData uri="http://schemas.microsoft.com/office/word/2010/wordprocessingShape">
                    <wps:wsp>
                      <wps:cNvSpPr txBox="1"/>
                      <wps:spPr>
                        <a:xfrm>
                          <a:off x="0" y="0"/>
                          <a:ext cx="1633855" cy="920750"/>
                        </a:xfrm>
                        <a:prstGeom prst="rect">
                          <a:avLst/>
                        </a:prstGeom>
                        <a:noFill/>
                      </wps:spPr>
                      <wps:txbx>
                        <w:txbxContent>
                          <w:p w:rsidR="00500724" w:rsidRDefault="00F30FB8">
                            <w:pPr>
                              <w:pStyle w:val="Zkladntext40"/>
                              <w:shd w:val="clear" w:color="auto" w:fill="auto"/>
                              <w:spacing w:after="0" w:line="180" w:lineRule="auto"/>
                              <w:ind w:firstLine="160"/>
                            </w:pPr>
                            <w:r>
                              <w:rPr>
                                <w:rFonts w:ascii="Georgia" w:eastAsia="Georgia" w:hAnsi="Georgia" w:cs="Georgia"/>
                                <w:b/>
                                <w:bCs/>
                                <w:sz w:val="13"/>
                                <w:szCs w:val="13"/>
                              </w:rPr>
                              <w:t xml:space="preserve">Starý zvyk se opět vživá. V </w:t>
                            </w:r>
                            <w:r>
                              <w:t xml:space="preserve">každé domácnosti stál před lety na plotně připravený hrnek kávy. Dnes se tento dobrý zvyk opět vživá. Lidé si pochutnávají na </w:t>
                            </w:r>
                            <w:r>
                              <w:t>dobrém kafíčku z Karo-Franckov- ky a Peroly. Vědí, že je to zdra</w:t>
                            </w:r>
                            <w:r>
                              <w:softHyphen/>
                              <w:t>vá, levná a výživná pochoutka, vědí, že je to naše káva, která u nás roste a vyrábí se v Pardubi</w:t>
                            </w:r>
                            <w:r>
                              <w:softHyphen/>
                              <w:t>cích.</w:t>
                            </w:r>
                          </w:p>
                        </w:txbxContent>
                      </wps:txbx>
                      <wps:bodyPr lIns="0" tIns="0" rIns="0" bIns="0">
                        <a:spAutoFit/>
                      </wps:bodyPr>
                    </wps:wsp>
                  </a:graphicData>
                </a:graphic>
              </wp:anchor>
            </w:drawing>
          </mc:Choice>
          <mc:Fallback>
            <w:pict>
              <v:shape id="_x0000_s1149" type="#_x0000_t202" style="position:absolute;margin-left:148.44999999999999pt;margin-top:667.20000000000005pt;width:128.65000000000001pt;height:72.5pt;z-index:-125829253;mso-wrap-distance-left:0;mso-wrap-distance-top:634.pt;mso-wrap-distance-right:0;mso-wrap-distance-bottom:20.pt;mso-position-horizontal-relative:page" filled="f" stroked="f">
                <v:textbox style="mso-fit-shape-to-text:t" inset="0,0,0,0">
                  <w:txbxContent>
                    <w:p>
                      <w:pPr>
                        <w:pStyle w:val="Style42"/>
                        <w:keepNext w:val="0"/>
                        <w:keepLines w:val="0"/>
                        <w:widowControl w:val="0"/>
                        <w:shd w:val="clear" w:color="auto" w:fill="auto"/>
                        <w:bidi w:val="0"/>
                        <w:spacing w:before="0" w:after="0" w:line="180" w:lineRule="auto"/>
                        <w:ind w:left="0" w:right="0" w:firstLine="160"/>
                      </w:pPr>
                      <w:r>
                        <w:rPr>
                          <w:rFonts w:ascii="Georgia" w:eastAsia="Georgia" w:hAnsi="Georgia" w:cs="Georgia"/>
                          <w:b/>
                          <w:bCs/>
                          <w:color w:val="000000"/>
                          <w:spacing w:val="0"/>
                          <w:w w:val="100"/>
                          <w:position w:val="0"/>
                          <w:sz w:val="13"/>
                          <w:szCs w:val="13"/>
                          <w:shd w:val="clear" w:color="auto" w:fill="auto"/>
                          <w:lang w:val="cs-CZ" w:eastAsia="cs-CZ" w:bidi="cs-CZ"/>
                        </w:rPr>
                        <w:t xml:space="preserve">Starý zvyk se opět vživá. V </w:t>
                      </w:r>
                      <w:r>
                        <w:rPr>
                          <w:color w:val="000000"/>
                          <w:spacing w:val="0"/>
                          <w:w w:val="100"/>
                          <w:position w:val="0"/>
                          <w:shd w:val="clear" w:color="auto" w:fill="auto"/>
                          <w:lang w:val="cs-CZ" w:eastAsia="cs-CZ" w:bidi="cs-CZ"/>
                        </w:rPr>
                        <w:t>každé domácnosti stál před lety na plotně připravený hrnek kávy. Dnes se tento dobrý zvyk opět vživá. Lidé si pochutnávají na dobrém kafíčku z Karo-Franckov- ky a Peroly. Vědí, že je to zdra</w:t>
                        <w:softHyphen/>
                        <w:t>vá, levná a výživná pochoutka, vědí, že je to naše káva, která u nás roste a vyrábí se v Pardubi</w:t>
                        <w:softHyphen/>
                        <w:t>cích.</w:t>
                      </w:r>
                    </w:p>
                  </w:txbxContent>
                </v:textbox>
                <w10:wrap type="square" anchorx="page"/>
              </v:shape>
            </w:pict>
          </mc:Fallback>
        </mc:AlternateContent>
      </w:r>
    </w:p>
    <w:p w:rsidR="00500724" w:rsidRDefault="00F30FB8">
      <w:pPr>
        <w:pStyle w:val="Zkladntext40"/>
        <w:shd w:val="clear" w:color="auto" w:fill="auto"/>
        <w:spacing w:after="40" w:line="175" w:lineRule="auto"/>
        <w:ind w:firstLine="180"/>
      </w:pPr>
      <w:r>
        <w:t>NOVA VYDANÍ NĚKTERÝCH KNIH KABLA ČAPKA. Smrt Kar</w:t>
      </w:r>
      <w:r>
        <w:softHyphen/>
        <w:t>la Čapka neotřásla jen svědomím českýc</w:t>
      </w:r>
      <w:r>
        <w:t>h čtenářů, kteří si teprve nad básníkovým rovem uvědomi</w:t>
      </w:r>
      <w:r>
        <w:softHyphen/>
        <w:t>li, jak velkým nedoceněným podí</w:t>
      </w:r>
      <w:r>
        <w:softHyphen/>
        <w:t>lem přispěl k obohacení pokladu našeho národního písemnictví, ale také zněkolikanásobila obec jeho čtenářů. Svědčí o tom fakt. že řada knih Karla Čapka b- la roze</w:t>
      </w:r>
      <w:r>
        <w:softHyphen/>
        <w:t>brána</w:t>
      </w:r>
      <w:r>
        <w:t xml:space="preserve"> a že čtenáři 1 když je ohlá Seno úplné lidové vydání díla Kar - la Čapka, je neustále žádají. </w:t>
      </w:r>
      <w:r>
        <w:rPr>
          <w:lang w:val="en-US" w:eastAsia="en-US" w:bidi="en-US"/>
        </w:rPr>
        <w:t xml:space="preserve">Pro </w:t>
      </w:r>
      <w:r>
        <w:t>to vycházejí znovu. Tak Zahrad níkův rok s rozmarnými obrázku Josefa Čapka, nazvaný kýmsi trefně bibli zahradníků, dosahuje již 5. vydání, utopická Válka s M</w:t>
      </w:r>
      <w:r>
        <w:t>loky 7. vydáni a rozkošné svěží Italské listy již 12. vydání.</w:t>
      </w:r>
    </w:p>
    <w:p w:rsidR="00500724" w:rsidRDefault="00F30FB8">
      <w:pPr>
        <w:pStyle w:val="Zkladntext40"/>
        <w:shd w:val="clear" w:color="auto" w:fill="auto"/>
        <w:spacing w:after="0" w:line="173" w:lineRule="auto"/>
        <w:ind w:firstLine="180"/>
      </w:pPr>
      <w:r>
        <w:t>OSOBNOST KEMALA ATATUR- KA, nedávno zemřelého, je jednou z těch, jež potřeba obrození náro</w:t>
      </w:r>
      <w:r>
        <w:softHyphen/>
        <w:t>da a historické přelomy vývojové vyvolávají jednou za tisíciletí. Vzestup Kemalův je historií ro</w:t>
      </w:r>
      <w:r>
        <w:softHyphen/>
        <w:t>mánové</w:t>
      </w:r>
      <w:r>
        <w:t xml:space="preserve"> povahy, ale výklad jeho práce, který podává M. Tekinalp v knize KEMALISMUS, je četbou budovatelů a státníků. Z obsahu knihy uvádíme: Čely národ svlékl starou kůži. -— Duch kemalismu</w:t>
      </w:r>
    </w:p>
    <w:p w:rsidR="00500724" w:rsidRDefault="00F30FB8">
      <w:pPr>
        <w:pStyle w:val="Zkladntext40"/>
        <w:numPr>
          <w:ilvl w:val="0"/>
          <w:numId w:val="18"/>
        </w:numPr>
        <w:shd w:val="clear" w:color="auto" w:fill="auto"/>
        <w:tabs>
          <w:tab w:val="left" w:pos="294"/>
        </w:tabs>
        <w:spacing w:after="0" w:line="173" w:lineRule="auto"/>
      </w:pPr>
      <w:r>
        <w:t>V ulicích lstanbulských — Údo</w:t>
      </w:r>
      <w:r>
        <w:softHyphen/>
        <w:t>bí reforem —- Národ dobyvatelů</w:t>
      </w:r>
    </w:p>
    <w:p w:rsidR="00500724" w:rsidRDefault="00F30FB8">
      <w:pPr>
        <w:pStyle w:val="Zkladntext40"/>
        <w:numPr>
          <w:ilvl w:val="0"/>
          <w:numId w:val="18"/>
        </w:numPr>
        <w:shd w:val="clear" w:color="auto" w:fill="auto"/>
        <w:tabs>
          <w:tab w:val="left" w:pos="294"/>
        </w:tabs>
        <w:spacing w:after="0" w:line="173" w:lineRule="auto"/>
      </w:pPr>
      <w:r>
        <w:t>Kolektivlsmu</w:t>
      </w:r>
      <w:r>
        <w:t>s tureckého lidu</w:t>
      </w:r>
    </w:p>
    <w:p w:rsidR="00500724" w:rsidRDefault="00F30FB8">
      <w:pPr>
        <w:pStyle w:val="Zkladntext40"/>
        <w:numPr>
          <w:ilvl w:val="0"/>
          <w:numId w:val="18"/>
        </w:numPr>
        <w:shd w:val="clear" w:color="auto" w:fill="auto"/>
        <w:tabs>
          <w:tab w:val="left" w:pos="298"/>
        </w:tabs>
        <w:spacing w:after="40" w:line="173" w:lineRule="auto"/>
      </w:pPr>
      <w:r>
        <w:t>Boj o nezávislost — Duševní stav Atatůrkův — Tajemství ná</w:t>
      </w:r>
      <w:r>
        <w:softHyphen/>
        <w:t>roda v rukou Atatílrkových — Proti vnitřním nepřátelům — Sta</w:t>
      </w:r>
      <w:r>
        <w:softHyphen/>
        <w:t>tečnost a neohroženost — Cha</w:t>
      </w:r>
      <w:r>
        <w:softHyphen/>
        <w:t>rakteristika velkých mužů — Po litická taktika Atatíirkova — Na věci záleží víc než na slov</w:t>
      </w:r>
      <w:r>
        <w:t>ech — Nový Turek — Lidová strana — Výstavba —• Činy beze slov — Laické zákony — Osvobození že</w:t>
      </w:r>
      <w:r>
        <w:softHyphen/>
        <w:t>ny — Sociální zla demokracie — Liberalismus a soukromá iniciati</w:t>
      </w:r>
      <w:r>
        <w:softHyphen/>
        <w:t>va — Nacionalismus — Dosah ke</w:t>
      </w:r>
      <w:r>
        <w:softHyphen/>
        <w:t>malismu — Radikalismus a dy- namismus a j. Vyšla v Politické knihovn</w:t>
      </w:r>
      <w:r>
        <w:t>ě, vydané ORBISEM (Pra</w:t>
      </w:r>
      <w:r>
        <w:softHyphen/>
        <w:t xml:space="preserve">ha XII.) s předmluvou univ. </w:t>
      </w:r>
      <w:r>
        <w:rPr>
          <w:lang w:val="en-US" w:eastAsia="en-US" w:bidi="en-US"/>
        </w:rPr>
        <w:t xml:space="preserve">prof. </w:t>
      </w:r>
      <w:r>
        <w:t>Drachovského a je brož. za Kč 30.—-, váz. Kč 40.—. Přečtěte si ji!</w:t>
      </w:r>
    </w:p>
    <w:p w:rsidR="00500724" w:rsidRDefault="00F30FB8">
      <w:pPr>
        <w:pStyle w:val="Zkladntext40"/>
        <w:shd w:val="clear" w:color="auto" w:fill="auto"/>
        <w:spacing w:after="40"/>
        <w:ind w:firstLine="180"/>
      </w:pPr>
      <w:r>
        <w:rPr>
          <w:rFonts w:ascii="Georgia" w:eastAsia="Georgia" w:hAnsi="Georgia" w:cs="Georgia"/>
          <w:b/>
          <w:bCs/>
          <w:sz w:val="13"/>
          <w:szCs w:val="13"/>
        </w:rPr>
        <w:t xml:space="preserve">STARÉ A NOVÉ čESKO-SLO- VENSKO — Národohospodářský přehled a práce </w:t>
      </w:r>
      <w:r>
        <w:t>1918-38. Dr. JM, Weirich: Je to u nás první příruč</w:t>
      </w:r>
      <w:r>
        <w:softHyphen/>
        <w:t xml:space="preserve">ka, která </w:t>
      </w:r>
      <w:r>
        <w:t>shrnuje a popularisuje všechna dosažitelná statistická data o vývoji našeho národního hospodářství od r. 1918 do r. 1938 a podává bilanci ztrát po osud</w:t>
      </w:r>
      <w:r>
        <w:softHyphen/>
        <w:t>ném přelomu v záři 1938. Je to velice dobře a populárně dělaná příručka, z které se čtenář v zá</w:t>
      </w:r>
      <w:r>
        <w:softHyphen/>
        <w:t xml:space="preserve">sadních </w:t>
      </w:r>
      <w:r>
        <w:t>rysech dozví vše o Cesko- Slovensku. Knihu, čítající 396 stran a 2tí diagramů a vyobraze</w:t>
      </w:r>
      <w:r>
        <w:softHyphen/>
        <w:t>ní ukončuje věcný rejstřík s 1600 hesly a zeměpisný rejstřík s 350 jmény. Vyšla ve velké řadě Prak</w:t>
      </w:r>
      <w:r>
        <w:softHyphen/>
        <w:t>tické knihovny, kterou vydává Odborné knihkupectví Ferd. Svo</w:t>
      </w:r>
      <w:r>
        <w:softHyphen/>
        <w:t>boda, n</w:t>
      </w:r>
      <w:r>
        <w:t>ást. Jaroslav Samec, Pra</w:t>
      </w:r>
      <w:r>
        <w:softHyphen/>
        <w:t>ha II. Cena brožovaného výtisku je Kč 40.—.</w:t>
      </w:r>
    </w:p>
    <w:p w:rsidR="00500724" w:rsidRDefault="00F30FB8">
      <w:pPr>
        <w:pStyle w:val="Zkladntext40"/>
        <w:shd w:val="clear" w:color="auto" w:fill="auto"/>
        <w:spacing w:after="40" w:line="175" w:lineRule="auto"/>
        <w:ind w:firstLine="180"/>
      </w:pPr>
      <w:r>
        <w:rPr>
          <w:rFonts w:ascii="Georgia" w:eastAsia="Georgia" w:hAnsi="Georgia" w:cs="Georgia"/>
          <w:b/>
          <w:bCs/>
          <w:sz w:val="13"/>
          <w:szCs w:val="13"/>
          <w:lang w:val="en-US" w:eastAsia="en-US" w:bidi="en-US"/>
        </w:rPr>
        <w:t xml:space="preserve">WINIFRED </w:t>
      </w:r>
      <w:r>
        <w:rPr>
          <w:rFonts w:ascii="Georgia" w:eastAsia="Georgia" w:hAnsi="Georgia" w:cs="Georgia"/>
          <w:b/>
          <w:bCs/>
          <w:sz w:val="13"/>
          <w:szCs w:val="13"/>
        </w:rPr>
        <w:t xml:space="preserve">HOLTBY: JIŽNÍ </w:t>
      </w:r>
      <w:r>
        <w:t>OKRES. Vyšel v Topičových Bí</w:t>
      </w:r>
      <w:r>
        <w:softHyphen/>
        <w:t xml:space="preserve">lých knihách </w:t>
      </w:r>
      <w:r>
        <w:rPr>
          <w:rFonts w:ascii="Georgia" w:eastAsia="Georgia" w:hAnsi="Georgia" w:cs="Georgia"/>
          <w:b/>
          <w:bCs/>
          <w:sz w:val="13"/>
          <w:szCs w:val="13"/>
        </w:rPr>
        <w:t xml:space="preserve">v </w:t>
      </w:r>
      <w:r>
        <w:t>překladu Jarmily Fastrové. S původním dřevorytem a v graf. úpravě Cyrila Boudy. W. Holtbyová pocházela z far</w:t>
      </w:r>
      <w:r>
        <w:softHyphen/>
        <w:t>mářské rodi</w:t>
      </w:r>
      <w:r>
        <w:t>ny yorkshirské a »Jižním okresem« vybudovala ne</w:t>
      </w:r>
      <w:r>
        <w:softHyphen/>
        <w:t>hynoucí románový památník své</w:t>
      </w:r>
      <w:r>
        <w:softHyphen/>
        <w:t>mu obdivuhodnému kraji. Na po</w:t>
      </w:r>
      <w:r>
        <w:softHyphen/>
        <w:t>zadí děje »Jižního okresu* se se</w:t>
      </w:r>
      <w:r>
        <w:softHyphen/>
        <w:t xml:space="preserve">tká sociolog s rozsáhlým, </w:t>
      </w:r>
      <w:r>
        <w:rPr>
          <w:lang w:val="en-US" w:eastAsia="en-US" w:bidi="en-US"/>
        </w:rPr>
        <w:t xml:space="preserve">plastic </w:t>
      </w:r>
      <w:r>
        <w:t>kým a dokumentárním panora</w:t>
      </w:r>
      <w:r>
        <w:softHyphen/>
        <w:t>matem anglického venkova let 1933-1934, kdy se anglick</w:t>
      </w:r>
      <w:r>
        <w:t>é stat- kářstvo ocitá v hospodářské tísni a kdy na zelených nivách vy růstají vagónové kolonie. Stran 624. Cena Kč 56.—.</w:t>
      </w:r>
    </w:p>
    <w:p w:rsidR="00500724" w:rsidRDefault="00F30FB8">
      <w:pPr>
        <w:pStyle w:val="Zkladntext40"/>
        <w:shd w:val="clear" w:color="auto" w:fill="auto"/>
        <w:spacing w:after="40" w:line="180" w:lineRule="auto"/>
        <w:ind w:firstLine="140"/>
      </w:pPr>
      <w:r>
        <w:rPr>
          <w:rFonts w:ascii="Georgia" w:eastAsia="Georgia" w:hAnsi="Georgia" w:cs="Georgia"/>
          <w:b/>
          <w:bCs/>
          <w:sz w:val="13"/>
          <w:szCs w:val="13"/>
        </w:rPr>
        <w:t xml:space="preserve">KNIŽNICE </w:t>
      </w:r>
      <w:r>
        <w:rPr>
          <w:b/>
          <w:bCs/>
          <w:smallCaps/>
          <w:sz w:val="14"/>
          <w:szCs w:val="14"/>
        </w:rPr>
        <w:t>juZLATA</w:t>
      </w:r>
      <w:r>
        <w:rPr>
          <w:rFonts w:ascii="Georgia" w:eastAsia="Georgia" w:hAnsi="Georgia" w:cs="Georgia"/>
          <w:b/>
          <w:bCs/>
          <w:sz w:val="13"/>
          <w:szCs w:val="13"/>
        </w:rPr>
        <w:t xml:space="preserve"> POKLADNÍ CE DOBRÝCH RAD* v CHOCNI </w:t>
      </w:r>
      <w:r>
        <w:t>zahájila vydávání III. ročníku Obsahuje velmi cenné články a rady pro lidský život a</w:t>
      </w:r>
      <w:r>
        <w:t xml:space="preserve"> pro zdraví vedle rubrik: xDomácí lékařství* »Léčivé byliny* a »Rady pro do</w:t>
      </w:r>
      <w:r>
        <w:softHyphen/>
        <w:t>mácnost*. Pouhé roční předplatné Kč 14.— umožňuje každému ode</w:t>
      </w:r>
      <w:r>
        <w:softHyphen/>
        <w:t xml:space="preserve">bíráni </w:t>
      </w:r>
      <w:r>
        <w:rPr>
          <w:rFonts w:ascii="Georgia" w:eastAsia="Georgia" w:hAnsi="Georgia" w:cs="Georgia"/>
          <w:b/>
          <w:bCs/>
          <w:sz w:val="13"/>
          <w:szCs w:val="13"/>
        </w:rPr>
        <w:t xml:space="preserve">a </w:t>
      </w:r>
      <w:r>
        <w:t>sledováni tak nejnověj</w:t>
      </w:r>
      <w:r>
        <w:softHyphen/>
        <w:t>ších výzkumů osvědčených rad.</w:t>
      </w:r>
    </w:p>
    <w:p w:rsidR="00500724" w:rsidRDefault="00F30FB8">
      <w:pPr>
        <w:spacing w:line="1" w:lineRule="exact"/>
        <w:rPr>
          <w:sz w:val="2"/>
          <w:szCs w:val="2"/>
        </w:rPr>
      </w:pPr>
      <w:r>
        <w:br w:type="column"/>
      </w:r>
    </w:p>
    <w:p w:rsidR="00500724" w:rsidRDefault="00F30FB8">
      <w:pPr>
        <w:pStyle w:val="Jin0"/>
        <w:shd w:val="clear" w:color="auto" w:fill="auto"/>
        <w:spacing w:line="223" w:lineRule="auto"/>
        <w:ind w:left="1460" w:hanging="1100"/>
        <w:jc w:val="left"/>
        <w:rPr>
          <w:sz w:val="58"/>
          <w:szCs w:val="58"/>
        </w:rPr>
      </w:pPr>
      <w:r>
        <w:rPr>
          <w:i/>
          <w:iCs/>
          <w:sz w:val="58"/>
          <w:szCs w:val="58"/>
        </w:rPr>
        <w:t>Wláte úmysl ptesídliti</w:t>
      </w:r>
    </w:p>
    <w:p w:rsidR="00500724" w:rsidRDefault="00F30FB8">
      <w:pPr>
        <w:pStyle w:val="Jin0"/>
        <w:shd w:val="clear" w:color="auto" w:fill="auto"/>
        <w:spacing w:after="200" w:line="223" w:lineRule="auto"/>
        <w:ind w:firstLine="0"/>
        <w:jc w:val="right"/>
        <w:rPr>
          <w:sz w:val="58"/>
          <w:szCs w:val="58"/>
        </w:rPr>
      </w:pPr>
      <w:r>
        <w:rPr>
          <w:i/>
          <w:iCs/>
          <w:sz w:val="58"/>
          <w:szCs w:val="58"/>
        </w:rPr>
        <w:t>da ciziny?</w:t>
      </w:r>
    </w:p>
    <w:p w:rsidR="00500724" w:rsidRDefault="00F30FB8">
      <w:pPr>
        <w:pStyle w:val="Jin0"/>
        <w:shd w:val="clear" w:color="auto" w:fill="auto"/>
        <w:spacing w:after="160" w:line="266" w:lineRule="auto"/>
        <w:ind w:right="180" w:firstLine="0"/>
        <w:jc w:val="center"/>
        <w:rPr>
          <w:sz w:val="28"/>
          <w:szCs w:val="28"/>
        </w:rPr>
      </w:pPr>
      <w:r>
        <w:rPr>
          <w:b/>
          <w:bCs/>
          <w:sz w:val="28"/>
          <w:szCs w:val="28"/>
        </w:rPr>
        <w:t>Dejte se informovat!</w:t>
      </w:r>
      <w:r>
        <w:rPr>
          <w:b/>
          <w:bCs/>
          <w:sz w:val="28"/>
          <w:szCs w:val="28"/>
        </w:rPr>
        <w:t xml:space="preserve"> o</w:t>
      </w:r>
    </w:p>
    <w:p w:rsidR="00500724" w:rsidRDefault="00F30FB8">
      <w:pPr>
        <w:pStyle w:val="Jin0"/>
        <w:shd w:val="clear" w:color="auto" w:fill="auto"/>
        <w:spacing w:after="60" w:line="228" w:lineRule="auto"/>
        <w:ind w:left="340" w:firstLine="20"/>
        <w:jc w:val="left"/>
        <w:rPr>
          <w:sz w:val="104"/>
          <w:szCs w:val="104"/>
        </w:rPr>
      </w:pPr>
      <w:r>
        <w:rPr>
          <w:rFonts w:ascii="Calibri" w:eastAsia="Calibri" w:hAnsi="Calibri" w:cs="Calibri"/>
          <w:b/>
          <w:bCs/>
          <w:w w:val="70"/>
          <w:sz w:val="104"/>
          <w:szCs w:val="104"/>
        </w:rPr>
        <w:t>JIŽNÍ AMERICE</w:t>
      </w:r>
    </w:p>
    <w:p w:rsidR="00500724" w:rsidRDefault="00F30FB8">
      <w:pPr>
        <w:pStyle w:val="Jin0"/>
        <w:shd w:val="clear" w:color="auto" w:fill="auto"/>
        <w:spacing w:after="280" w:line="266" w:lineRule="auto"/>
        <w:ind w:right="180" w:firstLine="0"/>
        <w:jc w:val="center"/>
        <w:rPr>
          <w:sz w:val="28"/>
          <w:szCs w:val="28"/>
        </w:rPr>
      </w:pPr>
      <w:r>
        <w:rPr>
          <w:b/>
          <w:bCs/>
          <w:sz w:val="28"/>
          <w:szCs w:val="28"/>
        </w:rPr>
        <w:t>v této době významnou knihou</w:t>
      </w:r>
      <w:r>
        <w:rPr>
          <w:b/>
          <w:bCs/>
          <w:sz w:val="28"/>
          <w:szCs w:val="28"/>
        </w:rPr>
        <w:br/>
        <w:t>zplnomocněného ministra</w:t>
      </w:r>
      <w:r>
        <w:rPr>
          <w:b/>
          <w:bCs/>
          <w:sz w:val="28"/>
          <w:szCs w:val="28"/>
        </w:rPr>
        <w:br/>
        <w:t>a vyslance</w:t>
      </w:r>
    </w:p>
    <w:p w:rsidR="00500724" w:rsidRDefault="00F30FB8">
      <w:pPr>
        <w:pStyle w:val="Jin0"/>
        <w:shd w:val="clear" w:color="auto" w:fill="auto"/>
        <w:spacing w:after="200"/>
        <w:ind w:left="660" w:firstLine="0"/>
        <w:jc w:val="left"/>
        <w:rPr>
          <w:sz w:val="44"/>
          <w:szCs w:val="44"/>
        </w:rPr>
      </w:pPr>
      <w:r>
        <w:rPr>
          <w:rFonts w:ascii="Calibri" w:eastAsia="Calibri" w:hAnsi="Calibri" w:cs="Calibri"/>
          <w:b/>
          <w:bCs/>
          <w:w w:val="70"/>
          <w:sz w:val="44"/>
          <w:szCs w:val="44"/>
        </w:rPr>
        <w:t>Dr.VLASTIMILA KYSALA</w:t>
      </w:r>
    </w:p>
    <w:p w:rsidR="00500724" w:rsidRDefault="00F30FB8">
      <w:pPr>
        <w:pStyle w:val="Jin0"/>
        <w:shd w:val="clear" w:color="auto" w:fill="auto"/>
        <w:spacing w:line="214" w:lineRule="auto"/>
        <w:ind w:left="1300" w:firstLine="0"/>
        <w:jc w:val="left"/>
        <w:rPr>
          <w:sz w:val="164"/>
          <w:szCs w:val="164"/>
        </w:rPr>
      </w:pPr>
      <w:r>
        <w:rPr>
          <w:rFonts w:ascii="Calibri" w:eastAsia="Calibri" w:hAnsi="Calibri" w:cs="Calibri"/>
          <w:b/>
          <w:bCs/>
          <w:w w:val="70"/>
          <w:sz w:val="164"/>
          <w:szCs w:val="164"/>
        </w:rPr>
        <w:t>JIŽNÍ</w:t>
      </w:r>
    </w:p>
    <w:p w:rsidR="00500724" w:rsidRDefault="00F30FB8">
      <w:pPr>
        <w:pStyle w:val="Jin0"/>
        <w:shd w:val="clear" w:color="auto" w:fill="auto"/>
        <w:spacing w:after="160" w:line="180" w:lineRule="auto"/>
        <w:ind w:left="340" w:firstLine="20"/>
        <w:jc w:val="left"/>
        <w:rPr>
          <w:sz w:val="164"/>
          <w:szCs w:val="164"/>
        </w:rPr>
      </w:pPr>
      <w:r>
        <w:rPr>
          <w:rFonts w:ascii="Calibri" w:eastAsia="Calibri" w:hAnsi="Calibri" w:cs="Calibri"/>
          <w:b/>
          <w:bCs/>
          <w:w w:val="70"/>
          <w:sz w:val="164"/>
          <w:szCs w:val="164"/>
        </w:rPr>
        <w:t>AMERIKA</w:t>
      </w:r>
    </w:p>
    <w:p w:rsidR="00500724" w:rsidRDefault="00F30FB8">
      <w:pPr>
        <w:pStyle w:val="Jin0"/>
        <w:shd w:val="clear" w:color="auto" w:fill="auto"/>
        <w:spacing w:after="240" w:line="264" w:lineRule="auto"/>
        <w:ind w:right="180" w:firstLine="0"/>
        <w:jc w:val="center"/>
        <w:rPr>
          <w:sz w:val="28"/>
          <w:szCs w:val="28"/>
        </w:rPr>
      </w:pPr>
      <w:r>
        <w:rPr>
          <w:b/>
          <w:bCs/>
          <w:sz w:val="28"/>
          <w:szCs w:val="28"/>
        </w:rPr>
        <w:t>Přehled hospodářský, obchodní</w:t>
      </w:r>
      <w:r>
        <w:rPr>
          <w:b/>
          <w:bCs/>
          <w:sz w:val="28"/>
          <w:szCs w:val="28"/>
        </w:rPr>
        <w:br/>
        <w:t>a politický s hospodářskou map-</w:t>
      </w:r>
      <w:r>
        <w:rPr>
          <w:b/>
          <w:bCs/>
          <w:sz w:val="28"/>
          <w:szCs w:val="28"/>
        </w:rPr>
        <w:br/>
        <w:t>kou Jižní Ameriky</w:t>
      </w:r>
    </w:p>
    <w:p w:rsidR="00500724" w:rsidRDefault="00F30FB8">
      <w:pPr>
        <w:pStyle w:val="Jin0"/>
        <w:shd w:val="clear" w:color="auto" w:fill="auto"/>
        <w:spacing w:after="240" w:line="269" w:lineRule="auto"/>
        <w:ind w:right="180" w:firstLine="0"/>
        <w:jc w:val="center"/>
        <w:rPr>
          <w:sz w:val="28"/>
          <w:szCs w:val="28"/>
        </w:rPr>
      </w:pPr>
      <w:r>
        <w:rPr>
          <w:b/>
          <w:bCs/>
          <w:sz w:val="28"/>
          <w:szCs w:val="28"/>
        </w:rPr>
        <w:t>Cena brožov. výtisku K 30*-</w:t>
      </w:r>
      <w:r>
        <w:rPr>
          <w:b/>
          <w:bCs/>
          <w:sz w:val="28"/>
          <w:szCs w:val="28"/>
        </w:rPr>
        <w:br/>
        <w:t>váz. K 40-</w:t>
      </w:r>
    </w:p>
    <w:p w:rsidR="00500724" w:rsidRDefault="00F30FB8">
      <w:pPr>
        <w:pStyle w:val="Jin0"/>
        <w:shd w:val="clear" w:color="auto" w:fill="auto"/>
        <w:spacing w:after="560" w:line="266" w:lineRule="auto"/>
        <w:ind w:right="180" w:firstLine="0"/>
        <w:jc w:val="center"/>
        <w:rPr>
          <w:sz w:val="28"/>
          <w:szCs w:val="28"/>
        </w:rPr>
      </w:pPr>
      <w:r>
        <w:rPr>
          <w:b/>
          <w:bCs/>
          <w:sz w:val="28"/>
          <w:szCs w:val="28"/>
        </w:rPr>
        <w:t>K dostání u knihkupců</w:t>
      </w:r>
    </w:p>
    <w:p w:rsidR="00500724" w:rsidRDefault="00F30FB8">
      <w:pPr>
        <w:pStyle w:val="Jin0"/>
        <w:shd w:val="clear" w:color="auto" w:fill="auto"/>
        <w:ind w:right="160" w:firstLine="0"/>
        <w:jc w:val="center"/>
        <w:rPr>
          <w:sz w:val="68"/>
          <w:szCs w:val="68"/>
        </w:rPr>
      </w:pPr>
      <w:r>
        <w:rPr>
          <w:rFonts w:ascii="Calibri" w:eastAsia="Calibri" w:hAnsi="Calibri" w:cs="Calibri"/>
          <w:b/>
          <w:bCs/>
          <w:sz w:val="68"/>
          <w:szCs w:val="68"/>
        </w:rPr>
        <w:t>VESMÍR</w:t>
      </w:r>
    </w:p>
    <w:p w:rsidR="00500724" w:rsidRDefault="00F30FB8">
      <w:pPr>
        <w:pStyle w:val="Jin0"/>
        <w:shd w:val="clear" w:color="auto" w:fill="auto"/>
        <w:spacing w:line="266" w:lineRule="auto"/>
        <w:ind w:right="180" w:firstLine="0"/>
        <w:jc w:val="center"/>
        <w:rPr>
          <w:sz w:val="28"/>
          <w:szCs w:val="28"/>
        </w:rPr>
      </w:pPr>
      <w:r>
        <w:rPr>
          <w:b/>
          <w:bCs/>
          <w:sz w:val="28"/>
          <w:szCs w:val="28"/>
        </w:rPr>
        <w:t>nakladatelská spol. s r. o.</w:t>
      </w:r>
    </w:p>
    <w:p w:rsidR="00500724" w:rsidRDefault="00F30FB8">
      <w:pPr>
        <w:pStyle w:val="Jin0"/>
        <w:shd w:val="clear" w:color="auto" w:fill="auto"/>
        <w:spacing w:after="220" w:line="228" w:lineRule="auto"/>
        <w:ind w:left="340" w:firstLine="20"/>
        <w:jc w:val="left"/>
        <w:rPr>
          <w:sz w:val="44"/>
          <w:szCs w:val="44"/>
        </w:rPr>
        <w:sectPr w:rsidR="00500724">
          <w:footnotePr>
            <w:numFmt w:val="chicago"/>
            <w:numRestart w:val="eachPage"/>
          </w:footnotePr>
          <w:pgSz w:w="11909" w:h="16834"/>
          <w:pgMar w:top="997" w:right="1236" w:bottom="836" w:left="319" w:header="0" w:footer="3" w:gutter="0"/>
          <w:cols w:num="2" w:sep="1" w:space="187"/>
          <w:noEndnote/>
          <w:docGrid w:linePitch="360"/>
        </w:sectPr>
      </w:pPr>
      <w:r>
        <w:rPr>
          <w:rFonts w:ascii="Calibri" w:eastAsia="Calibri" w:hAnsi="Calibri" w:cs="Calibri"/>
          <w:b/>
          <w:bCs/>
          <w:w w:val="70"/>
          <w:sz w:val="44"/>
          <w:szCs w:val="44"/>
        </w:rPr>
        <w:t>Praha VII., Dobrovského ul. 29</w:t>
      </w:r>
    </w:p>
    <w:p w:rsidR="00500724" w:rsidRDefault="00F30FB8">
      <w:pPr>
        <w:pStyle w:val="Nadpis40"/>
        <w:keepNext/>
        <w:keepLines/>
        <w:shd w:val="clear" w:color="auto" w:fill="auto"/>
        <w:spacing w:before="1140"/>
        <w:ind w:left="780"/>
      </w:pPr>
      <w:bookmarkStart w:id="152" w:name="bookmark151"/>
      <w:r>
        <w:t>fítomnosO</w:t>
      </w:r>
      <w:bookmarkEnd w:id="152"/>
    </w:p>
    <w:tbl>
      <w:tblPr>
        <w:tblOverlap w:val="never"/>
        <w:tblW w:w="0" w:type="auto"/>
        <w:jc w:val="center"/>
        <w:tblLayout w:type="fixed"/>
        <w:tblCellMar>
          <w:left w:w="10" w:type="dxa"/>
          <w:right w:w="10" w:type="dxa"/>
        </w:tblCellMar>
        <w:tblLook w:val="04A0" w:firstRow="1" w:lastRow="0" w:firstColumn="1" w:lastColumn="0" w:noHBand="0" w:noVBand="1"/>
      </w:tblPr>
      <w:tblGrid>
        <w:gridCol w:w="8261"/>
        <w:gridCol w:w="3110"/>
      </w:tblGrid>
      <w:tr w:rsidR="00500724">
        <w:tblPrEx>
          <w:tblCellMar>
            <w:top w:w="0" w:type="dxa"/>
            <w:bottom w:w="0" w:type="dxa"/>
          </w:tblCellMar>
        </w:tblPrEx>
        <w:trPr>
          <w:trHeight w:hRule="exact" w:val="384"/>
          <w:jc w:val="center"/>
        </w:trPr>
        <w:tc>
          <w:tcPr>
            <w:tcW w:w="0" w:type="auto"/>
            <w:tcBorders>
              <w:left w:val="single" w:sz="4" w:space="0" w:color="auto"/>
            </w:tcBorders>
            <w:shd w:val="clear" w:color="auto" w:fill="FFFFFF"/>
          </w:tcPr>
          <w:p w:rsidR="00500724" w:rsidRDefault="00500724">
            <w:pPr>
              <w:rPr>
                <w:sz w:val="10"/>
                <w:szCs w:val="10"/>
              </w:rPr>
            </w:pPr>
          </w:p>
        </w:tc>
        <w:tc>
          <w:tcPr>
            <w:tcW w:w="0" w:type="auto"/>
            <w:tcBorders>
              <w:right w:val="single" w:sz="4" w:space="0" w:color="auto"/>
            </w:tcBorders>
            <w:shd w:val="clear" w:color="auto" w:fill="FFFFFF"/>
          </w:tcPr>
          <w:p w:rsidR="00500724" w:rsidRDefault="00500724">
            <w:pPr>
              <w:rPr>
                <w:sz w:val="10"/>
                <w:szCs w:val="10"/>
              </w:rPr>
            </w:pPr>
          </w:p>
        </w:tc>
      </w:tr>
      <w:tr w:rsidR="00500724">
        <w:tblPrEx>
          <w:tblCellMar>
            <w:top w:w="0" w:type="dxa"/>
            <w:bottom w:w="0" w:type="dxa"/>
          </w:tblCellMar>
        </w:tblPrEx>
        <w:trPr>
          <w:trHeight w:hRule="exact" w:val="60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3970"/>
              </w:tabs>
              <w:ind w:left="360" w:firstLine="20"/>
              <w:rPr>
                <w:sz w:val="22"/>
                <w:szCs w:val="22"/>
              </w:rPr>
            </w:pPr>
            <w:r>
              <w:rPr>
                <w:b/>
                <w:bCs/>
                <w:sz w:val="22"/>
                <w:szCs w:val="22"/>
              </w:rPr>
              <w:t>BOCNÍKXVI</w:t>
            </w:r>
            <w:r>
              <w:rPr>
                <w:b/>
                <w:bCs/>
                <w:sz w:val="22"/>
                <w:szCs w:val="22"/>
              </w:rPr>
              <w:tab/>
              <w:t xml:space="preserve">V </w:t>
            </w:r>
            <w:r>
              <w:rPr>
                <w:b/>
                <w:bCs/>
                <w:sz w:val="22"/>
                <w:szCs w:val="22"/>
                <w:lang w:val="en-US" w:eastAsia="en-US" w:bidi="en-US"/>
              </w:rPr>
              <w:t xml:space="preserve">PR </w:t>
            </w:r>
            <w:r>
              <w:rPr>
                <w:b/>
                <w:bCs/>
                <w:sz w:val="22"/>
                <w:szCs w:val="22"/>
              </w:rPr>
              <w:t>AZE 15. ÚNORA 1939</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b/>
                <w:bCs/>
                <w:sz w:val="22"/>
                <w:szCs w:val="22"/>
              </w:rPr>
              <w:t xml:space="preserve">ZA </w:t>
            </w:r>
            <w:r>
              <w:rPr>
                <w:sz w:val="26"/>
                <w:szCs w:val="26"/>
              </w:rPr>
              <w:t>K 2.—</w:t>
            </w:r>
          </w:p>
        </w:tc>
      </w:tr>
      <w:tr w:rsidR="00500724">
        <w:tblPrEx>
          <w:tblCellMar>
            <w:top w:w="0" w:type="dxa"/>
            <w:bottom w:w="0" w:type="dxa"/>
          </w:tblCellMar>
        </w:tblPrEx>
        <w:trPr>
          <w:trHeight w:hRule="exact" w:val="191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380" w:firstLine="0"/>
              <w:jc w:val="left"/>
              <w:rPr>
                <w:sz w:val="72"/>
                <w:szCs w:val="72"/>
              </w:rPr>
            </w:pPr>
            <w:r>
              <w:rPr>
                <w:sz w:val="32"/>
                <w:szCs w:val="32"/>
              </w:rPr>
              <w:t xml:space="preserve">0 </w:t>
            </w:r>
            <w:r>
              <w:rPr>
                <w:rFonts w:ascii="Arial" w:eastAsia="Arial" w:hAnsi="Arial" w:cs="Arial"/>
                <w:b/>
                <w:bCs/>
                <w:w w:val="50"/>
                <w:sz w:val="72"/>
                <w:szCs w:val="72"/>
              </w:rPr>
              <w:t xml:space="preserve">Mel řečech a o slovanském šfiMní </w:t>
            </w:r>
            <w:r>
              <w:rPr>
                <w:rFonts w:ascii="Arial" w:eastAsia="Arial" w:hAnsi="Arial" w:cs="Arial"/>
                <w:b/>
                <w:bCs/>
                <w:w w:val="50"/>
                <w:sz w:val="72"/>
                <w:szCs w:val="72"/>
                <w:vertAlign w:val="subscript"/>
              </w:rPr>
              <w:t>R</w:t>
            </w:r>
            <w:r>
              <w:rPr>
                <w:rFonts w:ascii="Arial" w:eastAsia="Arial" w:hAnsi="Arial" w:cs="Arial"/>
                <w:b/>
                <w:bCs/>
                <w:w w:val="50"/>
                <w:sz w:val="72"/>
                <w:szCs w:val="72"/>
              </w:rPr>
              <w:t xml:space="preserve"> ™</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60" w:firstLine="20"/>
              <w:jc w:val="left"/>
              <w:rPr>
                <w:sz w:val="58"/>
                <w:szCs w:val="58"/>
              </w:rPr>
            </w:pPr>
            <w:r>
              <w:rPr>
                <w:sz w:val="58"/>
                <w:szCs w:val="58"/>
              </w:rPr>
              <w:t>Po pádu Barcelony</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 xml:space="preserve">GUSTAV </w:t>
            </w:r>
            <w:r>
              <w:rPr>
                <w:sz w:val="26"/>
                <w:szCs w:val="26"/>
                <w:lang w:val="en-US" w:eastAsia="en-US" w:bidi="en-US"/>
              </w:rPr>
              <w:t>WINTER</w:t>
            </w:r>
          </w:p>
        </w:tc>
      </w:tr>
      <w:tr w:rsidR="00500724">
        <w:tblPrEx>
          <w:tblCellMar>
            <w:top w:w="0" w:type="dxa"/>
            <w:bottom w:w="0" w:type="dxa"/>
          </w:tblCellMar>
        </w:tblPrEx>
        <w:trPr>
          <w:trHeight w:hRule="exact" w:val="1176"/>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4340" w:firstLine="0"/>
              <w:jc w:val="left"/>
              <w:rPr>
                <w:sz w:val="58"/>
                <w:szCs w:val="58"/>
              </w:rPr>
            </w:pPr>
            <w:r>
              <w:rPr>
                <w:sz w:val="58"/>
                <w:szCs w:val="58"/>
              </w:rPr>
              <w:t>v</w:t>
            </w:r>
          </w:p>
          <w:p w:rsidR="00500724" w:rsidRDefault="00F30FB8">
            <w:pPr>
              <w:pStyle w:val="Jin0"/>
              <w:shd w:val="clear" w:color="auto" w:fill="auto"/>
              <w:spacing w:line="180" w:lineRule="auto"/>
              <w:ind w:left="360" w:firstLine="20"/>
              <w:jc w:val="left"/>
              <w:rPr>
                <w:sz w:val="58"/>
                <w:szCs w:val="58"/>
              </w:rPr>
            </w:pPr>
            <w:r>
              <w:rPr>
                <w:sz w:val="58"/>
                <w:szCs w:val="58"/>
              </w:rPr>
              <w:t>Jak se stýkali s Cechy</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MILENA JESENSKÁ</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60" w:firstLine="20"/>
              <w:jc w:val="left"/>
              <w:rPr>
                <w:sz w:val="58"/>
                <w:szCs w:val="58"/>
              </w:rPr>
            </w:pPr>
            <w:r>
              <w:rPr>
                <w:sz w:val="58"/>
                <w:szCs w:val="58"/>
              </w:rPr>
              <w:t>Proč jenom pět?</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K. PRIMAS</w:t>
            </w:r>
          </w:p>
        </w:tc>
      </w:tr>
      <w:tr w:rsidR="00500724">
        <w:tblPrEx>
          <w:tblCellMar>
            <w:top w:w="0" w:type="dxa"/>
            <w:bottom w:w="0" w:type="dxa"/>
          </w:tblCellMar>
        </w:tblPrEx>
        <w:trPr>
          <w:trHeight w:hRule="exact" w:val="121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60" w:firstLine="20"/>
              <w:jc w:val="left"/>
              <w:rPr>
                <w:sz w:val="72"/>
                <w:szCs w:val="72"/>
              </w:rPr>
            </w:pPr>
            <w:r>
              <w:rPr>
                <w:rFonts w:ascii="Arial" w:eastAsia="Arial" w:hAnsi="Arial" w:cs="Arial"/>
                <w:b/>
                <w:bCs/>
                <w:w w:val="50"/>
                <w:sz w:val="72"/>
                <w:szCs w:val="72"/>
              </w:rPr>
              <w:t>lak se má žifl-emlgtan! choval v Anglii</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JOSEF PACHT A</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60" w:firstLine="20"/>
              <w:jc w:val="left"/>
              <w:rPr>
                <w:sz w:val="58"/>
                <w:szCs w:val="58"/>
              </w:rPr>
            </w:pPr>
            <w:r>
              <w:rPr>
                <w:sz w:val="58"/>
                <w:szCs w:val="58"/>
              </w:rPr>
              <w:t>Je Alois Jirásek národní?</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EDMOND KONRÁD</w:t>
            </w:r>
          </w:p>
        </w:tc>
      </w:tr>
      <w:tr w:rsidR="00500724">
        <w:tblPrEx>
          <w:tblCellMar>
            <w:top w:w="0" w:type="dxa"/>
            <w:bottom w:w="0" w:type="dxa"/>
          </w:tblCellMar>
        </w:tblPrEx>
        <w:trPr>
          <w:trHeight w:hRule="exact" w:val="1176"/>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firstLine="0"/>
              <w:jc w:val="center"/>
              <w:rPr>
                <w:sz w:val="32"/>
                <w:szCs w:val="32"/>
              </w:rPr>
            </w:pPr>
            <w:r>
              <w:rPr>
                <w:sz w:val="32"/>
                <w:szCs w:val="32"/>
              </w:rPr>
              <w:t>Náhlý odchod Stojadinovicův — Kolik nám půjčily Anglie s Francií?</w:t>
            </w:r>
          </w:p>
        </w:tc>
      </w:tr>
      <w:tr w:rsidR="00500724">
        <w:tblPrEx>
          <w:tblCellMar>
            <w:top w:w="0" w:type="dxa"/>
            <w:bottom w:w="0" w:type="dxa"/>
          </w:tblCellMar>
        </w:tblPrEx>
        <w:trPr>
          <w:trHeight w:hRule="exact" w:val="1277"/>
          <w:jc w:val="center"/>
        </w:trPr>
        <w:tc>
          <w:tcPr>
            <w:tcW w:w="0" w:type="auto"/>
            <w:tcBorders>
              <w:left w:val="single" w:sz="4" w:space="0" w:color="auto"/>
              <w:bottom w:val="single" w:sz="4" w:space="0" w:color="auto"/>
            </w:tcBorders>
            <w:shd w:val="clear" w:color="auto" w:fill="FFFFFF"/>
          </w:tcPr>
          <w:p w:rsidR="00500724" w:rsidRDefault="00F30FB8">
            <w:pPr>
              <w:pStyle w:val="Jin0"/>
              <w:shd w:val="clear" w:color="auto" w:fill="auto"/>
              <w:spacing w:line="269" w:lineRule="auto"/>
              <w:ind w:left="3460" w:hanging="2640"/>
              <w:jc w:val="left"/>
              <w:rPr>
                <w:sz w:val="32"/>
                <w:szCs w:val="32"/>
              </w:rPr>
            </w:pPr>
            <w:r>
              <w:rPr>
                <w:sz w:val="32"/>
                <w:szCs w:val="32"/>
              </w:rPr>
              <w:t xml:space="preserve">Francie a její spojenci — Dopis Němce z Brna </w:t>
            </w:r>
            <w:r>
              <w:rPr>
                <w:sz w:val="32"/>
                <w:szCs w:val="32"/>
              </w:rPr>
              <w:t>Mladí vpřed — Co je peáž ?</w:t>
            </w:r>
          </w:p>
        </w:tc>
        <w:tc>
          <w:tcPr>
            <w:tcW w:w="0" w:type="auto"/>
            <w:tcBorders>
              <w:bottom w:val="single" w:sz="4" w:space="0" w:color="auto"/>
              <w:right w:val="single" w:sz="4" w:space="0" w:color="auto"/>
            </w:tcBorders>
            <w:shd w:val="clear" w:color="auto" w:fill="FFFFFF"/>
          </w:tcPr>
          <w:p w:rsidR="00500724" w:rsidRDefault="00F30FB8">
            <w:pPr>
              <w:pStyle w:val="Jin0"/>
              <w:shd w:val="clear" w:color="auto" w:fill="auto"/>
              <w:ind w:firstLine="0"/>
              <w:jc w:val="left"/>
              <w:rPr>
                <w:sz w:val="32"/>
                <w:szCs w:val="32"/>
              </w:rPr>
            </w:pPr>
            <w:r>
              <w:rPr>
                <w:sz w:val="32"/>
                <w:szCs w:val="32"/>
              </w:rPr>
              <w:t>o dorozumění</w:t>
            </w:r>
          </w:p>
        </w:tc>
      </w:tr>
    </w:tbl>
    <w:p w:rsidR="00500724" w:rsidRDefault="00F30FB8">
      <w:pPr>
        <w:spacing w:line="1" w:lineRule="exact"/>
        <w:rPr>
          <w:sz w:val="2"/>
          <w:szCs w:val="2"/>
        </w:rPr>
      </w:pPr>
      <w:r>
        <w:br w:type="page"/>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40"/>
        <w:ind w:left="6920"/>
      </w:pPr>
      <w:bookmarkStart w:id="153" w:name="bookmark152"/>
      <w:r>
        <w:rPr>
          <w:color w:val="FFFFFF"/>
        </w:rPr>
        <w:t xml:space="preserve">ODBORNÍ </w:t>
      </w:r>
      <w:r>
        <w:rPr>
          <w:color w:val="FFFFFF"/>
          <w:lang w:val="en-US" w:eastAsia="en-US" w:bidi="en-US"/>
        </w:rPr>
        <w:t>LEKAftl</w:t>
      </w:r>
      <w:bookmarkEnd w:id="153"/>
    </w:p>
    <w:p w:rsidR="00500724" w:rsidRDefault="00F30FB8">
      <w:pPr>
        <w:pStyle w:val="Nadpis80"/>
        <w:keepNext/>
        <w:keepLines/>
        <w:shd w:val="clear" w:color="auto" w:fill="auto"/>
        <w:spacing w:after="0"/>
        <w:ind w:left="680" w:firstLine="20"/>
      </w:pPr>
      <w:r>
        <w:rPr>
          <w:noProof/>
        </w:rPr>
        <mc:AlternateContent>
          <mc:Choice Requires="wps">
            <w:drawing>
              <wp:anchor distT="0" distB="1124585" distL="114300" distR="525780" simplePos="0" relativeHeight="125829502" behindDoc="0" locked="0" layoutInCell="1" allowOverlap="1">
                <wp:simplePos x="0" y="0"/>
                <wp:positionH relativeFrom="page">
                  <wp:posOffset>455930</wp:posOffset>
                </wp:positionH>
                <wp:positionV relativeFrom="margin">
                  <wp:posOffset>271145</wp:posOffset>
                </wp:positionV>
                <wp:extent cx="2233930" cy="2054225"/>
                <wp:effectExtent l="0" t="0" r="0" b="0"/>
                <wp:wrapSquare wrapText="right"/>
                <wp:docPr id="125" name="Shape 125"/>
                <wp:cNvGraphicFramePr/>
                <a:graphic xmlns:a="http://schemas.openxmlformats.org/drawingml/2006/main">
                  <a:graphicData uri="http://schemas.microsoft.com/office/word/2010/wordprocessingShape">
                    <wps:wsp>
                      <wps:cNvSpPr txBox="1"/>
                      <wps:spPr>
                        <a:xfrm>
                          <a:off x="0" y="0"/>
                          <a:ext cx="2233930" cy="2054225"/>
                        </a:xfrm>
                        <a:prstGeom prst="rect">
                          <a:avLst/>
                        </a:prstGeom>
                        <a:noFill/>
                      </wps:spPr>
                      <wps:txbx>
                        <w:txbxContent>
                          <w:p w:rsidR="00500724" w:rsidRDefault="00F30FB8">
                            <w:pPr>
                              <w:pStyle w:val="Jin0"/>
                              <w:shd w:val="clear" w:color="auto" w:fill="auto"/>
                              <w:spacing w:line="216" w:lineRule="auto"/>
                              <w:ind w:firstLine="0"/>
                              <w:jc w:val="right"/>
                              <w:rPr>
                                <w:sz w:val="86"/>
                                <w:szCs w:val="86"/>
                              </w:rPr>
                            </w:pPr>
                            <w:r>
                              <w:rPr>
                                <w:rFonts w:ascii="Arial" w:eastAsia="Arial" w:hAnsi="Arial" w:cs="Arial"/>
                                <w:b/>
                                <w:bCs/>
                                <w:w w:val="60"/>
                                <w:sz w:val="86"/>
                                <w:szCs w:val="86"/>
                              </w:rPr>
                              <w:t>Obchod uhlím Živnostenské banky</w:t>
                            </w:r>
                          </w:p>
                          <w:p w:rsidR="00500724" w:rsidRDefault="00F30FB8">
                            <w:pPr>
                              <w:pStyle w:val="Zkladntext1"/>
                              <w:shd w:val="clear" w:color="auto" w:fill="auto"/>
                              <w:ind w:firstLine="0"/>
                              <w:jc w:val="right"/>
                            </w:pPr>
                            <w:r>
                              <w:rPr>
                                <w:b/>
                                <w:bCs/>
                              </w:rPr>
                              <w:t>PRAHA II., JUNGMANNOVA TŘ. Č. 1</w:t>
                            </w:r>
                          </w:p>
                          <w:p w:rsidR="00500724" w:rsidRDefault="00F30FB8">
                            <w:pPr>
                              <w:pStyle w:val="Zkladntext1"/>
                              <w:shd w:val="clear" w:color="auto" w:fill="auto"/>
                              <w:ind w:firstLine="0"/>
                              <w:jc w:val="right"/>
                              <w:rPr>
                                <w:sz w:val="20"/>
                                <w:szCs w:val="20"/>
                              </w:rPr>
                            </w:pPr>
                            <w:r>
                              <w:rPr>
                                <w:sz w:val="20"/>
                                <w:szCs w:val="20"/>
                              </w:rPr>
                              <w:t xml:space="preserve">Telefon 329.51 </w:t>
                            </w:r>
                            <w:r>
                              <w:rPr>
                                <w:sz w:val="20"/>
                                <w:szCs w:val="20"/>
                                <w:lang w:val="en-US" w:eastAsia="en-US" w:bidi="en-US"/>
                              </w:rPr>
                              <w:t>serie</w:t>
                            </w:r>
                          </w:p>
                        </w:txbxContent>
                      </wps:txbx>
                      <wps:bodyPr lIns="0" tIns="0" rIns="0" bIns="0">
                        <a:spAutoFit/>
                      </wps:bodyPr>
                    </wps:wsp>
                  </a:graphicData>
                </a:graphic>
              </wp:anchor>
            </w:drawing>
          </mc:Choice>
          <mc:Fallback>
            <w:pict>
              <v:shape id="_x0000_s1151" type="#_x0000_t202" style="position:absolute;margin-left:35.899999999999999pt;margin-top:21.350000000000001pt;width:175.90000000000001pt;height:161.75pt;z-index:-125829251;mso-wrap-distance-left:9.pt;mso-wrap-distance-right:41.399999999999999pt;mso-wrap-distance-bottom:88.549999999999997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16" w:lineRule="auto"/>
                        <w:ind w:left="0" w:right="0" w:firstLine="0"/>
                        <w:jc w:val="right"/>
                        <w:rPr>
                          <w:sz w:val="86"/>
                          <w:szCs w:val="86"/>
                        </w:rPr>
                      </w:pPr>
                      <w:r>
                        <w:rPr>
                          <w:rFonts w:ascii="Arial" w:eastAsia="Arial" w:hAnsi="Arial" w:cs="Arial"/>
                          <w:b/>
                          <w:bCs/>
                          <w:color w:val="000000"/>
                          <w:spacing w:val="0"/>
                          <w:w w:val="60"/>
                          <w:position w:val="0"/>
                          <w:sz w:val="86"/>
                          <w:szCs w:val="86"/>
                          <w:shd w:val="clear" w:color="auto" w:fill="auto"/>
                          <w:lang w:val="cs-CZ" w:eastAsia="cs-CZ" w:bidi="cs-CZ"/>
                        </w:rPr>
                        <w:t>Obchod uhlím Živnostenské banky</w:t>
                      </w:r>
                    </w:p>
                    <w:p>
                      <w:pPr>
                        <w:pStyle w:val="Style18"/>
                        <w:keepNext w:val="0"/>
                        <w:keepLines w:val="0"/>
                        <w:widowControl w:val="0"/>
                        <w:shd w:val="clear" w:color="auto" w:fill="auto"/>
                        <w:bidi w:val="0"/>
                        <w:spacing w:before="0" w:after="0" w:line="240" w:lineRule="auto"/>
                        <w:ind w:left="0" w:right="0" w:firstLine="0"/>
                        <w:jc w:val="right"/>
                      </w:pPr>
                      <w:r>
                        <w:rPr>
                          <w:b/>
                          <w:bCs/>
                          <w:color w:val="000000"/>
                          <w:spacing w:val="0"/>
                          <w:w w:val="100"/>
                          <w:position w:val="0"/>
                          <w:shd w:val="clear" w:color="auto" w:fill="auto"/>
                          <w:lang w:val="cs-CZ" w:eastAsia="cs-CZ" w:bidi="cs-CZ"/>
                        </w:rPr>
                        <w:t>PRAHA II., JUNGMANNOVA TŘ. Č. 1</w:t>
                      </w:r>
                    </w:p>
                    <w:p>
                      <w:pPr>
                        <w:pStyle w:val="Style18"/>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shd w:val="clear" w:color="auto" w:fill="auto"/>
                          <w:lang w:val="cs-CZ" w:eastAsia="cs-CZ" w:bidi="cs-CZ"/>
                        </w:rPr>
                        <w:t xml:space="preserve">Telefon 329.51 </w:t>
                      </w:r>
                      <w:r>
                        <w:rPr>
                          <w:color w:val="000000"/>
                          <w:spacing w:val="0"/>
                          <w:w w:val="100"/>
                          <w:position w:val="0"/>
                          <w:sz w:val="20"/>
                          <w:szCs w:val="20"/>
                          <w:shd w:val="clear" w:color="auto" w:fill="auto"/>
                          <w:lang w:val="en-US" w:eastAsia="en-US" w:bidi="en-US"/>
                        </w:rPr>
                        <w:t>serie</w:t>
                      </w:r>
                    </w:p>
                  </w:txbxContent>
                </v:textbox>
                <w10:wrap type="square" side="right" anchorx="page" anchory="margin"/>
              </v:shape>
            </w:pict>
          </mc:Fallback>
        </mc:AlternateContent>
      </w:r>
      <w:r>
        <w:rPr>
          <w:noProof/>
        </w:rPr>
        <mc:AlternateContent>
          <mc:Choice Requires="wps">
            <w:drawing>
              <wp:anchor distT="2487295" distB="0" distL="114300" distR="114300" simplePos="0" relativeHeight="125829504" behindDoc="0" locked="0" layoutInCell="1" allowOverlap="1">
                <wp:simplePos x="0" y="0"/>
                <wp:positionH relativeFrom="page">
                  <wp:posOffset>455930</wp:posOffset>
                </wp:positionH>
                <wp:positionV relativeFrom="margin">
                  <wp:posOffset>2758440</wp:posOffset>
                </wp:positionV>
                <wp:extent cx="2645410" cy="692150"/>
                <wp:effectExtent l="0" t="0" r="0" b="0"/>
                <wp:wrapSquare wrapText="right"/>
                <wp:docPr id="127" name="Shape 127"/>
                <wp:cNvGraphicFramePr/>
                <a:graphic xmlns:a="http://schemas.openxmlformats.org/drawingml/2006/main">
                  <a:graphicData uri="http://schemas.microsoft.com/office/word/2010/wordprocessingShape">
                    <wps:wsp>
                      <wps:cNvSpPr txBox="1"/>
                      <wps:spPr>
                        <a:xfrm>
                          <a:off x="0" y="0"/>
                          <a:ext cx="2645410" cy="692150"/>
                        </a:xfrm>
                        <a:prstGeom prst="rect">
                          <a:avLst/>
                        </a:prstGeom>
                        <a:noFill/>
                      </wps:spPr>
                      <wps:txbx>
                        <w:txbxContent>
                          <w:p w:rsidR="00500724" w:rsidRDefault="00F30FB8">
                            <w:pPr>
                              <w:pStyle w:val="Zkladntext1"/>
                              <w:shd w:val="clear" w:color="auto" w:fill="auto"/>
                              <w:spacing w:line="276" w:lineRule="auto"/>
                              <w:ind w:firstLine="0"/>
                              <w:jc w:val="left"/>
                              <w:rPr>
                                <w:sz w:val="20"/>
                                <w:szCs w:val="20"/>
                              </w:rPr>
                            </w:pPr>
                            <w:r>
                              <w:rPr>
                                <w:sz w:val="20"/>
                                <w:szCs w:val="20"/>
                              </w:rPr>
                              <w:t>FILIÁLKY:</w:t>
                            </w:r>
                          </w:p>
                          <w:p w:rsidR="00500724" w:rsidRDefault="00F30FB8">
                            <w:pPr>
                              <w:pStyle w:val="Zkladntext1"/>
                              <w:shd w:val="clear" w:color="auto" w:fill="auto"/>
                              <w:spacing w:line="288" w:lineRule="auto"/>
                              <w:ind w:left="880" w:firstLine="20"/>
                              <w:jc w:val="left"/>
                              <w:rPr>
                                <w:sz w:val="18"/>
                                <w:szCs w:val="18"/>
                              </w:rPr>
                            </w:pPr>
                            <w:r>
                              <w:rPr>
                                <w:b/>
                                <w:bCs/>
                              </w:rPr>
                              <w:t xml:space="preserve">BRNO, </w:t>
                            </w:r>
                            <w:r>
                              <w:rPr>
                                <w:sz w:val="18"/>
                                <w:szCs w:val="18"/>
                              </w:rPr>
                              <w:t xml:space="preserve">telefon </w:t>
                            </w:r>
                            <w:r>
                              <w:rPr>
                                <w:i/>
                                <w:iCs/>
                                <w:sz w:val="20"/>
                                <w:szCs w:val="20"/>
                              </w:rPr>
                              <w:t>6.</w:t>
                            </w:r>
                            <w:r>
                              <w:rPr>
                                <w:sz w:val="18"/>
                                <w:szCs w:val="18"/>
                              </w:rPr>
                              <w:t xml:space="preserve"> 110-81, 110-82 </w:t>
                            </w:r>
                            <w:r>
                              <w:rPr>
                                <w:b/>
                                <w:bCs/>
                              </w:rPr>
                              <w:t xml:space="preserve">MOR. OSTRAVA, </w:t>
                            </w:r>
                            <w:r>
                              <w:rPr>
                                <w:sz w:val="18"/>
                                <w:szCs w:val="18"/>
                              </w:rPr>
                              <w:t xml:space="preserve">telefon č. 3602, 3603 </w:t>
                            </w:r>
                            <w:r>
                              <w:rPr>
                                <w:b/>
                                <w:bCs/>
                              </w:rPr>
                              <w:t xml:space="preserve">BRATISLAVA, </w:t>
                            </w:r>
                            <w:r>
                              <w:rPr>
                                <w:sz w:val="18"/>
                                <w:szCs w:val="18"/>
                              </w:rPr>
                              <w:t xml:space="preserve">telefon </w:t>
                            </w:r>
                            <w:r>
                              <w:rPr>
                                <w:i/>
                                <w:iCs/>
                                <w:sz w:val="20"/>
                                <w:szCs w:val="20"/>
                              </w:rPr>
                              <w:t>ě.</w:t>
                            </w:r>
                            <w:r>
                              <w:rPr>
                                <w:sz w:val="18"/>
                                <w:szCs w:val="18"/>
                              </w:rPr>
                              <w:t xml:space="preserve"> 1483</w:t>
                            </w:r>
                          </w:p>
                        </w:txbxContent>
                      </wps:txbx>
                      <wps:bodyPr lIns="0" tIns="0" rIns="0" bIns="0">
                        <a:spAutoFit/>
                      </wps:bodyPr>
                    </wps:wsp>
                  </a:graphicData>
                </a:graphic>
              </wp:anchor>
            </w:drawing>
          </mc:Choice>
          <mc:Fallback>
            <w:pict>
              <v:shape id="_x0000_s1153" type="#_x0000_t202" style="position:absolute;margin-left:35.899999999999999pt;margin-top:217.19999999999999pt;width:208.30000000000001pt;height:54.5pt;z-index:-125829249;mso-wrap-distance-left:9.pt;mso-wrap-distance-top:195.84999999999999pt;mso-wrap-distance-right:9.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76" w:lineRule="auto"/>
                        <w:ind w:left="0" w:right="0" w:firstLine="0"/>
                        <w:jc w:val="left"/>
                        <w:rPr>
                          <w:sz w:val="20"/>
                          <w:szCs w:val="20"/>
                        </w:rPr>
                      </w:pPr>
                      <w:r>
                        <w:rPr>
                          <w:color w:val="000000"/>
                          <w:spacing w:val="0"/>
                          <w:w w:val="100"/>
                          <w:position w:val="0"/>
                          <w:sz w:val="20"/>
                          <w:szCs w:val="20"/>
                          <w:shd w:val="clear" w:color="auto" w:fill="auto"/>
                          <w:lang w:val="cs-CZ" w:eastAsia="cs-CZ" w:bidi="cs-CZ"/>
                        </w:rPr>
                        <w:t>FILIÁLKY:</w:t>
                      </w:r>
                    </w:p>
                    <w:p>
                      <w:pPr>
                        <w:pStyle w:val="Style18"/>
                        <w:keepNext w:val="0"/>
                        <w:keepLines w:val="0"/>
                        <w:widowControl w:val="0"/>
                        <w:shd w:val="clear" w:color="auto" w:fill="auto"/>
                        <w:bidi w:val="0"/>
                        <w:spacing w:before="0" w:after="0" w:line="288" w:lineRule="auto"/>
                        <w:ind w:left="880" w:right="0" w:firstLine="20"/>
                        <w:jc w:val="left"/>
                        <w:rPr>
                          <w:sz w:val="18"/>
                          <w:szCs w:val="18"/>
                        </w:rPr>
                      </w:pPr>
                      <w:r>
                        <w:rPr>
                          <w:b/>
                          <w:bCs/>
                          <w:color w:val="000000"/>
                          <w:spacing w:val="0"/>
                          <w:w w:val="100"/>
                          <w:position w:val="0"/>
                          <w:sz w:val="19"/>
                          <w:szCs w:val="19"/>
                          <w:shd w:val="clear" w:color="auto" w:fill="auto"/>
                          <w:lang w:val="cs-CZ" w:eastAsia="cs-CZ" w:bidi="cs-CZ"/>
                        </w:rPr>
                        <w:t xml:space="preserve">BRNO, </w:t>
                      </w:r>
                      <w:r>
                        <w:rPr>
                          <w:color w:val="000000"/>
                          <w:spacing w:val="0"/>
                          <w:w w:val="100"/>
                          <w:position w:val="0"/>
                          <w:sz w:val="18"/>
                          <w:szCs w:val="18"/>
                          <w:shd w:val="clear" w:color="auto" w:fill="auto"/>
                          <w:lang w:val="cs-CZ" w:eastAsia="cs-CZ" w:bidi="cs-CZ"/>
                        </w:rPr>
                        <w:t xml:space="preserve">telefon </w:t>
                      </w:r>
                      <w:r>
                        <w:rPr>
                          <w:i/>
                          <w:iCs/>
                          <w:color w:val="000000"/>
                          <w:spacing w:val="0"/>
                          <w:w w:val="100"/>
                          <w:position w:val="0"/>
                          <w:sz w:val="20"/>
                          <w:szCs w:val="20"/>
                          <w:shd w:val="clear" w:color="auto" w:fill="auto"/>
                          <w:lang w:val="cs-CZ" w:eastAsia="cs-CZ" w:bidi="cs-CZ"/>
                        </w:rPr>
                        <w:t>6.</w:t>
                      </w:r>
                      <w:r>
                        <w:rPr>
                          <w:color w:val="000000"/>
                          <w:spacing w:val="0"/>
                          <w:w w:val="100"/>
                          <w:position w:val="0"/>
                          <w:sz w:val="18"/>
                          <w:szCs w:val="18"/>
                          <w:shd w:val="clear" w:color="auto" w:fill="auto"/>
                          <w:lang w:val="cs-CZ" w:eastAsia="cs-CZ" w:bidi="cs-CZ"/>
                        </w:rPr>
                        <w:t xml:space="preserve"> 110-81, 110-82 </w:t>
                      </w:r>
                      <w:r>
                        <w:rPr>
                          <w:b/>
                          <w:bCs/>
                          <w:color w:val="000000"/>
                          <w:spacing w:val="0"/>
                          <w:w w:val="100"/>
                          <w:position w:val="0"/>
                          <w:sz w:val="19"/>
                          <w:szCs w:val="19"/>
                          <w:shd w:val="clear" w:color="auto" w:fill="auto"/>
                          <w:lang w:val="cs-CZ" w:eastAsia="cs-CZ" w:bidi="cs-CZ"/>
                        </w:rPr>
                        <w:t xml:space="preserve">MOR. OSTRAVA, </w:t>
                      </w:r>
                      <w:r>
                        <w:rPr>
                          <w:color w:val="000000"/>
                          <w:spacing w:val="0"/>
                          <w:w w:val="100"/>
                          <w:position w:val="0"/>
                          <w:sz w:val="18"/>
                          <w:szCs w:val="18"/>
                          <w:shd w:val="clear" w:color="auto" w:fill="auto"/>
                          <w:lang w:val="cs-CZ" w:eastAsia="cs-CZ" w:bidi="cs-CZ"/>
                        </w:rPr>
                        <w:t xml:space="preserve">telefon č. 3602, 3603 </w:t>
                      </w:r>
                      <w:r>
                        <w:rPr>
                          <w:b/>
                          <w:bCs/>
                          <w:color w:val="000000"/>
                          <w:spacing w:val="0"/>
                          <w:w w:val="100"/>
                          <w:position w:val="0"/>
                          <w:sz w:val="19"/>
                          <w:szCs w:val="19"/>
                          <w:shd w:val="clear" w:color="auto" w:fill="auto"/>
                          <w:lang w:val="cs-CZ" w:eastAsia="cs-CZ" w:bidi="cs-CZ"/>
                        </w:rPr>
                        <w:t xml:space="preserve">BRATISLAVA, </w:t>
                      </w:r>
                      <w:r>
                        <w:rPr>
                          <w:color w:val="000000"/>
                          <w:spacing w:val="0"/>
                          <w:w w:val="100"/>
                          <w:position w:val="0"/>
                          <w:sz w:val="18"/>
                          <w:szCs w:val="18"/>
                          <w:shd w:val="clear" w:color="auto" w:fill="auto"/>
                          <w:lang w:val="cs-CZ" w:eastAsia="cs-CZ" w:bidi="cs-CZ"/>
                        </w:rPr>
                        <w:t xml:space="preserve">telefon </w:t>
                      </w:r>
                      <w:r>
                        <w:rPr>
                          <w:i/>
                          <w:iCs/>
                          <w:color w:val="000000"/>
                          <w:spacing w:val="0"/>
                          <w:w w:val="100"/>
                          <w:position w:val="0"/>
                          <w:sz w:val="20"/>
                          <w:szCs w:val="20"/>
                          <w:shd w:val="clear" w:color="auto" w:fill="auto"/>
                          <w:lang w:val="cs-CZ" w:eastAsia="cs-CZ" w:bidi="cs-CZ"/>
                        </w:rPr>
                        <w:t>ě.</w:t>
                      </w:r>
                      <w:r>
                        <w:rPr>
                          <w:color w:val="000000"/>
                          <w:spacing w:val="0"/>
                          <w:w w:val="100"/>
                          <w:position w:val="0"/>
                          <w:sz w:val="18"/>
                          <w:szCs w:val="18"/>
                          <w:shd w:val="clear" w:color="auto" w:fill="auto"/>
                          <w:lang w:val="cs-CZ" w:eastAsia="cs-CZ" w:bidi="cs-CZ"/>
                        </w:rPr>
                        <w:t xml:space="preserve"> 1483</w:t>
                      </w:r>
                    </w:p>
                  </w:txbxContent>
                </v:textbox>
                <w10:wrap type="square" side="right" anchorx="page" anchory="margin"/>
              </v:shape>
            </w:pict>
          </mc:Fallback>
        </mc:AlternateContent>
      </w:r>
      <w:bookmarkStart w:id="154" w:name="bookmark153"/>
      <w:r>
        <w:rPr>
          <w:u w:val="none"/>
        </w:rPr>
        <w:t>Sanatorium Dr. Borůvka</w:t>
      </w:r>
      <w:bookmarkEnd w:id="154"/>
    </w:p>
    <w:p w:rsidR="00500724" w:rsidRDefault="00F30FB8">
      <w:pPr>
        <w:pStyle w:val="Zkladntext1"/>
        <w:shd w:val="clear" w:color="auto" w:fill="auto"/>
        <w:spacing w:after="140" w:line="209" w:lineRule="auto"/>
        <w:ind w:left="680" w:right="740" w:firstLine="20"/>
        <w:jc w:val="left"/>
        <w:rPr>
          <w:sz w:val="18"/>
          <w:szCs w:val="18"/>
        </w:rPr>
      </w:pPr>
      <w:r>
        <w:rPr>
          <w:sz w:val="18"/>
          <w:szCs w:val="18"/>
        </w:rPr>
        <w:t>ústav pro choroby chirurgické.ženské a porody, PRAHA H.. LEGEROVA 61/63. Telefony 212-37, 379-06, 332-38. ftídici lé</w:t>
      </w:r>
      <w:r>
        <w:rPr>
          <w:sz w:val="18"/>
          <w:szCs w:val="18"/>
        </w:rPr>
        <w:softHyphen/>
      </w:r>
      <w:r>
        <w:rPr>
          <w:sz w:val="18"/>
          <w:szCs w:val="18"/>
          <w:u w:val="single"/>
        </w:rPr>
        <w:t xml:space="preserve">kař dr. </w:t>
      </w:r>
      <w:r>
        <w:rPr>
          <w:sz w:val="18"/>
          <w:szCs w:val="18"/>
          <w:u w:val="single"/>
          <w:lang w:val="en-US" w:eastAsia="en-US" w:bidi="en-US"/>
        </w:rPr>
        <w:t>Klinger.</w:t>
      </w:r>
    </w:p>
    <w:p w:rsidR="00500724" w:rsidRDefault="00F30FB8">
      <w:pPr>
        <w:pStyle w:val="Zkladntext1"/>
        <w:shd w:val="clear" w:color="auto" w:fill="auto"/>
        <w:spacing w:line="173" w:lineRule="auto"/>
        <w:ind w:left="640" w:right="780" w:firstLine="0"/>
        <w:jc w:val="right"/>
        <w:rPr>
          <w:sz w:val="18"/>
          <w:szCs w:val="18"/>
        </w:rPr>
      </w:pPr>
      <w:r>
        <w:rPr>
          <w:b/>
          <w:bCs/>
          <w:sz w:val="18"/>
          <w:szCs w:val="18"/>
        </w:rPr>
        <w:t xml:space="preserve">Crfinlfl odborný lékař pro žaludeční a iYÍUWr. rranKl střevní nemoci </w:t>
      </w:r>
      <w:r>
        <w:rPr>
          <w:b/>
          <w:bCs/>
          <w:sz w:val="18"/>
          <w:szCs w:val="18"/>
          <w:lang w:val="en-US" w:eastAsia="en-US" w:bidi="en-US"/>
        </w:rPr>
        <w:t xml:space="preserve">a </w:t>
      </w:r>
      <w:r>
        <w:rPr>
          <w:b/>
          <w:bCs/>
          <w:sz w:val="18"/>
          <w:szCs w:val="18"/>
        </w:rPr>
        <w:t xml:space="preserve">roentgenologií. PRAHA H., </w:t>
      </w:r>
      <w:r>
        <w:rPr>
          <w:b/>
          <w:bCs/>
          <w:sz w:val="18"/>
          <w:szCs w:val="18"/>
        </w:rPr>
        <w:t>NEKAZANKA 4, II. patro. Ord. 9-10. 3-4.</w:t>
      </w:r>
    </w:p>
    <w:p w:rsidR="00500724" w:rsidRDefault="00F30FB8">
      <w:pPr>
        <w:pStyle w:val="Zkladntext1"/>
        <w:pBdr>
          <w:bottom w:val="single" w:sz="4" w:space="0" w:color="auto"/>
        </w:pBdr>
        <w:shd w:val="clear" w:color="auto" w:fill="auto"/>
        <w:spacing w:after="200" w:line="173" w:lineRule="auto"/>
        <w:ind w:left="3260" w:firstLine="20"/>
        <w:jc w:val="left"/>
        <w:rPr>
          <w:sz w:val="18"/>
          <w:szCs w:val="18"/>
        </w:rPr>
      </w:pPr>
      <w:r>
        <w:rPr>
          <w:sz w:val="18"/>
          <w:szCs w:val="18"/>
        </w:rPr>
        <w:t>Telefon 234-13.</w:t>
      </w:r>
    </w:p>
    <w:p w:rsidR="00500724" w:rsidRDefault="00F30FB8">
      <w:pPr>
        <w:pStyle w:val="Zkladntext1"/>
        <w:shd w:val="clear" w:color="auto" w:fill="auto"/>
        <w:spacing w:line="154" w:lineRule="auto"/>
        <w:ind w:left="640" w:right="780" w:firstLine="0"/>
        <w:jc w:val="right"/>
        <w:rPr>
          <w:sz w:val="18"/>
          <w:szCs w:val="18"/>
        </w:rPr>
      </w:pPr>
      <w:r>
        <w:rPr>
          <w:rFonts w:ascii="Arial" w:eastAsia="Arial" w:hAnsi="Arial" w:cs="Arial"/>
          <w:b/>
          <w:bCs/>
          <w:sz w:val="22"/>
          <w:szCs w:val="22"/>
        </w:rPr>
        <w:t xml:space="preserve">MUDr. Ervín Fróhlich. </w:t>
      </w:r>
      <w:r>
        <w:rPr>
          <w:sz w:val="18"/>
          <w:szCs w:val="18"/>
        </w:rPr>
        <w:t xml:space="preserve">odborný lékař pro choroby vnitřní, žaludeční, střevní a výměny látek, em. asistent I. med. kliniky </w:t>
      </w:r>
      <w:r>
        <w:rPr>
          <w:sz w:val="18"/>
          <w:szCs w:val="18"/>
          <w:lang w:val="en-US" w:eastAsia="en-US" w:bidi="en-US"/>
        </w:rPr>
        <w:t xml:space="preserve">prof. </w:t>
      </w:r>
      <w:r>
        <w:rPr>
          <w:sz w:val="18"/>
          <w:szCs w:val="18"/>
        </w:rPr>
        <w:t>Schmidta.</w:t>
      </w:r>
    </w:p>
    <w:p w:rsidR="00500724" w:rsidRDefault="00F30FB8">
      <w:pPr>
        <w:pStyle w:val="Zkladntext1"/>
        <w:shd w:val="clear" w:color="auto" w:fill="auto"/>
        <w:spacing w:after="160" w:line="163" w:lineRule="auto"/>
        <w:ind w:left="680" w:firstLine="20"/>
        <w:jc w:val="left"/>
        <w:rPr>
          <w:sz w:val="18"/>
          <w:szCs w:val="18"/>
        </w:rPr>
      </w:pPr>
      <w:r>
        <w:rPr>
          <w:sz w:val="18"/>
          <w:szCs w:val="18"/>
          <w:u w:val="single"/>
        </w:rPr>
        <w:t>PRAHA I., Na Příkopech 35. Ord. 9-10, 143-145. Telef. 228-91</w:t>
      </w:r>
    </w:p>
    <w:p w:rsidR="00500724" w:rsidRDefault="00F30FB8">
      <w:pPr>
        <w:pStyle w:val="Nadpis110"/>
        <w:shd w:val="clear" w:color="auto" w:fill="auto"/>
        <w:spacing w:line="163" w:lineRule="auto"/>
        <w:ind w:left="680" w:firstLine="20"/>
      </w:pPr>
      <w:bookmarkStart w:id="155" w:name="bookmark154"/>
      <w:r>
        <w:t>MUDr. ZDENKA NEDVĚDOVÁ-NEJEDLÁ</w:t>
      </w:r>
      <w:bookmarkEnd w:id="155"/>
    </w:p>
    <w:p w:rsidR="00500724" w:rsidRDefault="00F30FB8">
      <w:pPr>
        <w:pStyle w:val="Zkladntext1"/>
        <w:shd w:val="clear" w:color="auto" w:fill="auto"/>
        <w:spacing w:line="180" w:lineRule="auto"/>
        <w:ind w:left="680" w:right="740" w:firstLine="20"/>
        <w:jc w:val="left"/>
        <w:rPr>
          <w:sz w:val="20"/>
          <w:szCs w:val="20"/>
        </w:rPr>
      </w:pPr>
      <w:r>
        <w:rPr>
          <w:sz w:val="20"/>
          <w:szCs w:val="20"/>
        </w:rPr>
        <w:t>odb. dětská lékařka, PODOLÍ, Pankrácká 14 (stanice elektr. dráhy za Podol, sanatoriem). Ord. 9—10 a 2—4. Tel. 441-77.</w:t>
      </w:r>
    </w:p>
    <w:p w:rsidR="00500724" w:rsidRDefault="00F30FB8">
      <w:pPr>
        <w:pStyle w:val="Zkladntext1"/>
        <w:pBdr>
          <w:bottom w:val="single" w:sz="4" w:space="0" w:color="auto"/>
        </w:pBdr>
        <w:shd w:val="clear" w:color="auto" w:fill="auto"/>
        <w:tabs>
          <w:tab w:val="left" w:leader="dot" w:pos="964"/>
          <w:tab w:val="left" w:leader="dot" w:pos="2767"/>
        </w:tabs>
        <w:spacing w:line="180" w:lineRule="auto"/>
        <w:ind w:left="680" w:firstLine="20"/>
        <w:rPr>
          <w:sz w:val="18"/>
          <w:szCs w:val="18"/>
        </w:rPr>
      </w:pPr>
      <w:r>
        <w:rPr>
          <w:sz w:val="18"/>
          <w:szCs w:val="18"/>
        </w:rPr>
        <w:t>'</w:t>
      </w:r>
      <w:r>
        <w:rPr>
          <w:sz w:val="18"/>
          <w:szCs w:val="18"/>
        </w:rPr>
        <w:tab/>
        <w:t>—i</w:t>
      </w:r>
      <w:r>
        <w:rPr>
          <w:sz w:val="18"/>
          <w:szCs w:val="18"/>
        </w:rPr>
        <w:tab/>
      </w:r>
    </w:p>
    <w:p w:rsidR="00500724" w:rsidRDefault="00F30FB8">
      <w:pPr>
        <w:pStyle w:val="Zkladntext1"/>
        <w:shd w:val="clear" w:color="auto" w:fill="auto"/>
        <w:spacing w:after="180" w:line="190" w:lineRule="auto"/>
        <w:ind w:left="680" w:right="740" w:firstLine="20"/>
        <w:jc w:val="left"/>
        <w:rPr>
          <w:sz w:val="18"/>
          <w:szCs w:val="18"/>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ord. 3-4 (a podle úmluvy). Telefon 393-79. PRAHA H.. VO</w:t>
      </w:r>
      <w:r>
        <w:rPr>
          <w:sz w:val="18"/>
          <w:szCs w:val="18"/>
        </w:rPr>
        <w:softHyphen/>
      </w:r>
      <w:r>
        <w:rPr>
          <w:sz w:val="18"/>
          <w:szCs w:val="18"/>
          <w:u w:val="single"/>
        </w:rPr>
        <w:t>DIČKOVA 15. (Hlávkův nalác.)</w:t>
      </w:r>
    </w:p>
    <w:p w:rsidR="00500724" w:rsidRDefault="00F30FB8">
      <w:pPr>
        <w:pStyle w:val="Zkladntext1"/>
        <w:shd w:val="clear" w:color="auto" w:fill="auto"/>
        <w:spacing w:line="134" w:lineRule="auto"/>
        <w:ind w:left="680" w:right="740" w:firstLine="20"/>
        <w:jc w:val="left"/>
        <w:rPr>
          <w:sz w:val="18"/>
          <w:szCs w:val="18"/>
        </w:rPr>
      </w:pPr>
      <w:r>
        <w:rPr>
          <w:sz w:val="18"/>
          <w:szCs w:val="18"/>
        </w:rPr>
        <w:t xml:space="preserve">Odborný lékař pro porod- </w:t>
      </w:r>
      <w:r>
        <w:rPr>
          <w:rFonts w:ascii="Arial" w:eastAsia="Arial" w:hAnsi="Arial" w:cs="Arial"/>
          <w:b/>
          <w:bCs/>
          <w:sz w:val="22"/>
          <w:szCs w:val="22"/>
        </w:rPr>
        <w:t xml:space="preserve">MUDr. K. STEINBACH </w:t>
      </w:r>
      <w:r>
        <w:rPr>
          <w:sz w:val="18"/>
          <w:szCs w:val="18"/>
        </w:rPr>
        <w:t>nictví a pro nemoci žen</w:t>
      </w:r>
    </w:p>
    <w:p w:rsidR="00500724" w:rsidRDefault="00F30FB8">
      <w:pPr>
        <w:pStyle w:val="Zkladntext1"/>
        <w:shd w:val="clear" w:color="auto" w:fill="auto"/>
        <w:spacing w:line="151" w:lineRule="auto"/>
        <w:ind w:left="680" w:firstLine="20"/>
        <w:jc w:val="left"/>
        <w:rPr>
          <w:sz w:val="18"/>
          <w:szCs w:val="18"/>
        </w:rPr>
        <w:sectPr w:rsidR="00500724">
          <w:footnotePr>
            <w:numFmt w:val="chicago"/>
            <w:numRestart w:val="eachPage"/>
          </w:footnotePr>
          <w:pgSz w:w="11909" w:h="16834"/>
          <w:pgMar w:top="1343" w:right="194" w:bottom="0" w:left="343" w:header="0" w:footer="3" w:gutter="0"/>
          <w:cols w:space="720"/>
          <w:noEndnote/>
          <w:docGrid w:linePitch="360"/>
        </w:sectPr>
      </w:pPr>
      <w:r>
        <w:rPr>
          <w:sz w:val="18"/>
          <w:szCs w:val="18"/>
          <w:u w:val="single"/>
        </w:rPr>
        <w:t>PRAHA H., Havlíčkovo nám. 22. Ord. 9-11, 2-4. Tel. z70-13.</w:t>
      </w:r>
    </w:p>
    <w:p w:rsidR="00500724" w:rsidRDefault="00F30FB8">
      <w:pPr>
        <w:spacing w:line="14" w:lineRule="exact"/>
      </w:pPr>
      <w:r>
        <w:rPr>
          <w:noProof/>
        </w:rPr>
        <mc:AlternateContent>
          <mc:Choice Requires="wps">
            <w:drawing>
              <wp:anchor distT="0" distB="63500" distL="114300" distR="114300" simplePos="0" relativeHeight="125829506" behindDoc="0" locked="0" layoutInCell="1" allowOverlap="1">
                <wp:simplePos x="0" y="0"/>
                <wp:positionH relativeFrom="page">
                  <wp:posOffset>3653155</wp:posOffset>
                </wp:positionH>
                <wp:positionV relativeFrom="paragraph">
                  <wp:posOffset>12700</wp:posOffset>
                </wp:positionV>
                <wp:extent cx="3298190" cy="445135"/>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3298190" cy="445135"/>
                        </a:xfrm>
                        <a:prstGeom prst="rect">
                          <a:avLst/>
                        </a:prstGeom>
                        <a:noFill/>
                      </wps:spPr>
                      <wps:txbx>
                        <w:txbxContent>
                          <w:p w:rsidR="00500724" w:rsidRDefault="00F30FB8">
                            <w:pPr>
                              <w:pStyle w:val="Zkladntext80"/>
                              <w:shd w:val="clear" w:color="auto" w:fill="auto"/>
                              <w:spacing w:line="240" w:lineRule="auto"/>
                              <w:jc w:val="both"/>
                            </w:pPr>
                            <w:r>
                              <w:t>MUDr. EMIL VOGL</w:t>
                            </w:r>
                          </w:p>
                          <w:p w:rsidR="00500724" w:rsidRDefault="00F30FB8">
                            <w:pPr>
                              <w:pStyle w:val="Zkladntext1"/>
                              <w:shd w:val="clear" w:color="auto" w:fill="auto"/>
                              <w:spacing w:line="194" w:lineRule="auto"/>
                              <w:ind w:firstLine="0"/>
                              <w:rPr>
                                <w:sz w:val="18"/>
                                <w:szCs w:val="18"/>
                              </w:rPr>
                            </w:pPr>
                            <w:r>
                              <w:rPr>
                                <w:sz w:val="16"/>
                                <w:szCs w:val="16"/>
                              </w:rPr>
                              <w:t xml:space="preserve">odborný lékař nro nemoci vnitřní, </w:t>
                            </w:r>
                            <w:r>
                              <w:rPr>
                                <w:b/>
                                <w:bCs/>
                                <w:sz w:val="18"/>
                                <w:szCs w:val="18"/>
                              </w:rPr>
                              <w:t>PRAHA H„ LÚTZOWOVA 82</w:t>
                            </w:r>
                            <w:r>
                              <w:rPr>
                                <w:b/>
                                <w:bCs/>
                                <w:sz w:val="18"/>
                                <w:szCs w:val="18"/>
                              </w:rPr>
                              <w:t>, roh Washingtonovy Ord. 9-11. 2-4. Telefon 226-65.</w:t>
                            </w:r>
                          </w:p>
                        </w:txbxContent>
                      </wps:txbx>
                      <wps:bodyPr lIns="0" tIns="0" rIns="0" bIns="0">
                        <a:spAutoFit/>
                      </wps:bodyPr>
                    </wps:wsp>
                  </a:graphicData>
                </a:graphic>
              </wp:anchor>
            </w:drawing>
          </mc:Choice>
          <mc:Fallback>
            <w:pict>
              <v:shape id="_x0000_s1155" type="#_x0000_t202" style="position:absolute;margin-left:287.64999999999998pt;margin-top:1.pt;width:259.69999999999999pt;height:35.049999999999997pt;z-index:-125829247;mso-wrap-distance-left:9.pt;mso-wrap-distance-right:9.pt;mso-wrap-distance-bottom:5.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cs-CZ" w:eastAsia="cs-CZ" w:bidi="cs-CZ"/>
                        </w:rPr>
                        <w:t>MUDr. EMIL VOGL</w:t>
                      </w:r>
                    </w:p>
                    <w:p>
                      <w:pPr>
                        <w:pStyle w:val="Style18"/>
                        <w:keepNext w:val="0"/>
                        <w:keepLines w:val="0"/>
                        <w:widowControl w:val="0"/>
                        <w:shd w:val="clear" w:color="auto" w:fill="auto"/>
                        <w:bidi w:val="0"/>
                        <w:spacing w:before="0" w:after="0" w:line="194" w:lineRule="auto"/>
                        <w:ind w:left="0" w:right="0" w:firstLine="0"/>
                        <w:rPr>
                          <w:sz w:val="18"/>
                          <w:szCs w:val="18"/>
                        </w:rPr>
                      </w:pPr>
                      <w:r>
                        <w:rPr>
                          <w:color w:val="000000"/>
                          <w:spacing w:val="0"/>
                          <w:w w:val="100"/>
                          <w:position w:val="0"/>
                          <w:sz w:val="16"/>
                          <w:szCs w:val="16"/>
                          <w:shd w:val="clear" w:color="auto" w:fill="auto"/>
                          <w:lang w:val="cs-CZ" w:eastAsia="cs-CZ" w:bidi="cs-CZ"/>
                        </w:rPr>
                        <w:t xml:space="preserve">odborný lékař nro nemoci vnitřní, </w:t>
                      </w:r>
                      <w:r>
                        <w:rPr>
                          <w:b/>
                          <w:bCs/>
                          <w:color w:val="000000"/>
                          <w:spacing w:val="0"/>
                          <w:w w:val="100"/>
                          <w:position w:val="0"/>
                          <w:sz w:val="18"/>
                          <w:szCs w:val="18"/>
                          <w:shd w:val="clear" w:color="auto" w:fill="auto"/>
                          <w:lang w:val="cs-CZ" w:eastAsia="cs-CZ" w:bidi="cs-CZ"/>
                        </w:rPr>
                        <w:t>PRAHA H„ LÚTZOWOVA 82, roh Washingtonovy Ord. 9-11. 2-4. Telefon 226-65.</w:t>
                      </w:r>
                    </w:p>
                  </w:txbxContent>
                </v:textbox>
                <w10:wrap type="topAndBottom" anchorx="page"/>
              </v:shape>
            </w:pict>
          </mc:Fallback>
        </mc:AlternateContent>
      </w:r>
    </w:p>
    <w:p w:rsidR="00500724" w:rsidRDefault="00F30FB8">
      <w:pPr>
        <w:pStyle w:val="Zkladntext1"/>
        <w:shd w:val="clear" w:color="auto" w:fill="auto"/>
        <w:spacing w:after="200" w:line="230" w:lineRule="auto"/>
        <w:ind w:firstLine="0"/>
        <w:rPr>
          <w:sz w:val="20"/>
          <w:szCs w:val="20"/>
        </w:rPr>
      </w:pPr>
      <w:r>
        <w:rPr>
          <w:sz w:val="20"/>
          <w:szCs w:val="20"/>
        </w:rPr>
        <w:t>Telegrafická adresa: ŽIVNOCARBO</w:t>
      </w:r>
    </w:p>
    <w:p w:rsidR="00500724" w:rsidRDefault="00F30FB8">
      <w:pPr>
        <w:pStyle w:val="Zkladntext1"/>
        <w:shd w:val="clear" w:color="auto" w:fill="auto"/>
        <w:ind w:firstLine="0"/>
      </w:pPr>
      <w:r>
        <w:rPr>
          <w:b/>
          <w:bCs/>
        </w:rPr>
        <w:t>Komisionářský prodej uhlí a koksu z revíru ostravsko-karvinského. Export koksu do Polska, Jugoslávie, Bulharska atd. Prodej la dřevěného ulili retortního bukového.</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ectPr w:rsidR="00500724">
          <w:footnotePr>
            <w:numFmt w:val="chicago"/>
            <w:numRestart w:val="eachPage"/>
          </w:footnotePr>
          <w:type w:val="continuous"/>
          <w:pgSz w:w="11909" w:h="16834"/>
          <w:pgMar w:top="1343" w:right="1651" w:bottom="0" w:left="696" w:header="0" w:footer="3" w:gutter="0"/>
          <w:cols w:num="2" w:space="1423"/>
          <w:noEndnote/>
          <w:docGrid w:linePitch="360"/>
        </w:sectPr>
      </w:pPr>
      <w:bookmarkStart w:id="156" w:name="bookmark155"/>
      <w:r>
        <w:rPr>
          <w:color w:val="FFFFFF"/>
        </w:rPr>
        <w:t>VAS VKUS I NÁROKY USPOKOJÍ</w:t>
      </w:r>
      <w:bookmarkEnd w:id="156"/>
    </w:p>
    <w:p w:rsidR="00500724" w:rsidRDefault="00500724">
      <w:pPr>
        <w:spacing w:line="52" w:lineRule="exact"/>
        <w:rPr>
          <w:sz w:val="4"/>
          <w:szCs w:val="4"/>
        </w:rPr>
      </w:pPr>
    </w:p>
    <w:p w:rsidR="00500724" w:rsidRDefault="00500724">
      <w:pPr>
        <w:spacing w:line="14" w:lineRule="exact"/>
        <w:sectPr w:rsidR="00500724">
          <w:footnotePr>
            <w:numFmt w:val="chicago"/>
            <w:numRestart w:val="eachPage"/>
          </w:footnotePr>
          <w:type w:val="continuous"/>
          <w:pgSz w:w="11909" w:h="16834"/>
          <w:pgMar w:top="1343" w:right="0" w:bottom="0" w:left="0" w:header="0" w:footer="3" w:gutter="0"/>
          <w:cols w:space="720"/>
          <w:noEndnote/>
          <w:docGrid w:linePitch="360"/>
        </w:sectPr>
      </w:pPr>
    </w:p>
    <w:p w:rsidR="00500724" w:rsidRDefault="00F30FB8">
      <w:pPr>
        <w:pStyle w:val="Jin0"/>
        <w:shd w:val="clear" w:color="auto" w:fill="auto"/>
        <w:spacing w:after="100"/>
        <w:ind w:firstLine="0"/>
        <w:jc w:val="center"/>
        <w:rPr>
          <w:sz w:val="32"/>
          <w:szCs w:val="32"/>
        </w:rPr>
      </w:pPr>
      <w:r>
        <w:rPr>
          <w:rFonts w:ascii="Arial" w:eastAsia="Arial" w:hAnsi="Arial" w:cs="Arial"/>
          <w:sz w:val="28"/>
          <w:szCs w:val="28"/>
        </w:rPr>
        <w:t xml:space="preserve">óěte </w:t>
      </w:r>
      <w:r>
        <w:rPr>
          <w:i/>
          <w:iCs/>
          <w:sz w:val="32"/>
          <w:szCs w:val="32"/>
        </w:rPr>
        <w:t>LIDOVÍ NOVINY</w:t>
      </w:r>
    </w:p>
    <w:p w:rsidR="00500724" w:rsidRDefault="00F30FB8">
      <w:pPr>
        <w:pStyle w:val="Jin0"/>
        <w:shd w:val="clear" w:color="auto" w:fill="auto"/>
        <w:ind w:firstLine="0"/>
        <w:jc w:val="left"/>
        <w:rPr>
          <w:sz w:val="44"/>
          <w:szCs w:val="44"/>
        </w:rPr>
      </w:pPr>
      <w:r>
        <w:rPr>
          <w:rFonts w:ascii="Calibri" w:eastAsia="Calibri" w:hAnsi="Calibri" w:cs="Calibri"/>
          <w:b/>
          <w:bCs/>
          <w:w w:val="60"/>
          <w:sz w:val="72"/>
          <w:szCs w:val="72"/>
          <w:lang w:val="en-US" w:eastAsia="en-US" w:bidi="en-US"/>
        </w:rPr>
        <w:t xml:space="preserve">LONG IN </w:t>
      </w:r>
      <w:r>
        <w:rPr>
          <w:rFonts w:ascii="Calibri" w:eastAsia="Calibri" w:hAnsi="Calibri" w:cs="Calibri"/>
          <w:b/>
          <w:bCs/>
          <w:w w:val="70"/>
          <w:sz w:val="44"/>
          <w:szCs w:val="44"/>
        </w:rPr>
        <w:t>ES hodinky-vždy přesné</w:t>
      </w:r>
    </w:p>
    <w:p w:rsidR="00500724" w:rsidRDefault="00F30FB8">
      <w:pPr>
        <w:spacing w:line="1" w:lineRule="exact"/>
        <w:rPr>
          <w:sz w:val="2"/>
          <w:szCs w:val="2"/>
        </w:rPr>
      </w:pPr>
      <w:r>
        <w:br w:type="column"/>
      </w:r>
    </w:p>
    <w:p w:rsidR="00500724" w:rsidRDefault="00F30FB8">
      <w:pPr>
        <w:pStyle w:val="Jin0"/>
        <w:shd w:val="clear" w:color="auto" w:fill="auto"/>
        <w:ind w:firstLine="0"/>
        <w:jc w:val="center"/>
        <w:rPr>
          <w:sz w:val="30"/>
          <w:szCs w:val="30"/>
        </w:rPr>
      </w:pPr>
      <w:r>
        <w:rPr>
          <w:rFonts w:ascii="Calibri" w:eastAsia="Calibri" w:hAnsi="Calibri" w:cs="Calibri"/>
          <w:b/>
          <w:bCs/>
          <w:sz w:val="30"/>
          <w:szCs w:val="30"/>
        </w:rPr>
        <w:t>KRAUS&amp;SPOL.</w:t>
      </w:r>
    </w:p>
    <w:p w:rsidR="00500724" w:rsidRDefault="00F30FB8">
      <w:pPr>
        <w:pStyle w:val="Nadpis120"/>
        <w:shd w:val="clear" w:color="auto" w:fill="auto"/>
        <w:spacing w:line="228" w:lineRule="auto"/>
        <w:ind w:left="0"/>
        <w:jc w:val="center"/>
      </w:pPr>
      <w:bookmarkStart w:id="157" w:name="bookmark156"/>
      <w:r>
        <w:t>krejčí pro pány a dámy</w:t>
      </w:r>
      <w:bookmarkEnd w:id="157"/>
    </w:p>
    <w:p w:rsidR="00500724" w:rsidRDefault="00F30FB8">
      <w:pPr>
        <w:pStyle w:val="Nadpis120"/>
        <w:shd w:val="clear" w:color="auto" w:fill="auto"/>
        <w:ind w:left="0"/>
        <w:jc w:val="right"/>
      </w:pPr>
      <w:bookmarkStart w:id="158" w:name="bookmark157"/>
      <w:r>
        <w:t>PRAHA II.,</w:t>
      </w:r>
      <w:bookmarkEnd w:id="158"/>
    </w:p>
    <w:p w:rsidR="00500724" w:rsidRDefault="00F30FB8">
      <w:pPr>
        <w:pStyle w:val="Zkladntext1"/>
        <w:pBdr>
          <w:bottom w:val="single" w:sz="4" w:space="0" w:color="auto"/>
        </w:pBdr>
        <w:shd w:val="clear" w:color="auto" w:fill="auto"/>
        <w:tabs>
          <w:tab w:val="left" w:pos="3859"/>
        </w:tabs>
        <w:spacing w:after="240" w:line="233" w:lineRule="auto"/>
        <w:ind w:firstLine="0"/>
        <w:rPr>
          <w:sz w:val="18"/>
          <w:szCs w:val="18"/>
        </w:rPr>
      </w:pPr>
      <w:r>
        <w:rPr>
          <w:sz w:val="18"/>
          <w:szCs w:val="18"/>
        </w:rPr>
        <w:t>Telefon 309-69</w:t>
      </w:r>
      <w:r>
        <w:rPr>
          <w:sz w:val="18"/>
          <w:szCs w:val="18"/>
        </w:rPr>
        <w:tab/>
        <w:t>Panská ul. 10</w:t>
      </w:r>
    </w:p>
    <w:p w:rsidR="00500724" w:rsidRDefault="00F30FB8">
      <w:pPr>
        <w:pStyle w:val="Zkladntext40"/>
        <w:shd w:val="clear" w:color="auto" w:fill="auto"/>
        <w:spacing w:after="0" w:line="240" w:lineRule="auto"/>
        <w:jc w:val="center"/>
        <w:rPr>
          <w:sz w:val="14"/>
          <w:szCs w:val="14"/>
        </w:rPr>
      </w:pPr>
      <w:r>
        <w:rPr>
          <w:b/>
          <w:bCs/>
          <w:sz w:val="14"/>
          <w:szCs w:val="14"/>
        </w:rPr>
        <w:t>OBUV PBC VYSSi NÁROKY</w:t>
      </w:r>
    </w:p>
    <w:p w:rsidR="00500724" w:rsidRDefault="00F30FB8">
      <w:pPr>
        <w:pStyle w:val="Jin0"/>
        <w:shd w:val="clear" w:color="auto" w:fill="auto"/>
        <w:spacing w:line="199"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
        <w:shd w:val="clear" w:color="auto" w:fill="auto"/>
        <w:tabs>
          <w:tab w:val="left" w:pos="3859"/>
        </w:tabs>
        <w:spacing w:line="230" w:lineRule="auto"/>
        <w:ind w:firstLine="0"/>
        <w:rPr>
          <w:sz w:val="20"/>
          <w:szCs w:val="20"/>
        </w:rPr>
        <w:sectPr w:rsidR="00500724">
          <w:footnotePr>
            <w:numFmt w:val="chicago"/>
            <w:numRestart w:val="eachPage"/>
          </w:footnotePr>
          <w:type w:val="continuous"/>
          <w:pgSz w:w="11909" w:h="16834"/>
          <w:pgMar w:top="1343" w:right="1123" w:bottom="0" w:left="312" w:header="0" w:footer="3" w:gutter="0"/>
          <w:cols w:num="2" w:sep="1" w:space="575"/>
          <w:noEndnote/>
          <w:docGrid w:linePitch="360"/>
        </w:sectPr>
      </w:pPr>
      <w:r>
        <w:rPr>
          <w:sz w:val="20"/>
          <w:szCs w:val="20"/>
        </w:rPr>
        <w:t>PRAHA 1., PŘÍKOPY 35, schodiště A.</w:t>
      </w:r>
      <w:r>
        <w:rPr>
          <w:sz w:val="20"/>
          <w:szCs w:val="20"/>
        </w:rPr>
        <w:tab/>
        <w:t>Tel. 315-28.</w:t>
      </w:r>
    </w:p>
    <w:p w:rsidR="00500724" w:rsidRDefault="00F30FB8">
      <w:pPr>
        <w:pStyle w:val="Jin0"/>
        <w:shd w:val="clear" w:color="auto" w:fill="auto"/>
        <w:ind w:left="1280" w:firstLine="0"/>
        <w:jc w:val="left"/>
        <w:rPr>
          <w:sz w:val="126"/>
          <w:szCs w:val="126"/>
        </w:rPr>
      </w:pPr>
      <w:r>
        <w:rPr>
          <w:rFonts w:ascii="Arial" w:eastAsia="Arial" w:hAnsi="Arial" w:cs="Arial"/>
          <w:sz w:val="126"/>
          <w:szCs w:val="126"/>
        </w:rPr>
        <w:t>W</w:t>
      </w:r>
      <w:r>
        <w:rPr>
          <w:rFonts w:ascii="Arial" w:eastAsia="Arial" w:hAnsi="Arial" w:cs="Arial"/>
          <w:sz w:val="126"/>
          <w:szCs w:val="126"/>
          <w:vertAlign w:val="superscript"/>
        </w:rPr>
        <w:t>8</w:t>
      </w:r>
      <w:r>
        <w:rPr>
          <w:rFonts w:ascii="Arial" w:eastAsia="Arial" w:hAnsi="Arial" w:cs="Arial"/>
          <w:sz w:val="126"/>
          <w:szCs w:val="126"/>
        </w:rPr>
        <w:t xml:space="preserve"> JJ&amp;é*^</w:t>
      </w:r>
      <w:r>
        <w:rPr>
          <w:rFonts w:ascii="Arial" w:eastAsia="Arial" w:hAnsi="Arial" w:cs="Arial"/>
          <w:sz w:val="126"/>
          <w:szCs w:val="126"/>
          <w:vertAlign w:val="superscript"/>
        </w:rPr>
        <w:t>1</w:t>
      </w:r>
      <w:r>
        <w:rPr>
          <w:rFonts w:ascii="Arial" w:eastAsia="Arial" w:hAnsi="Arial" w:cs="Arial"/>
          <w:sz w:val="126"/>
          <w:szCs w:val="126"/>
        </w:rPr>
        <w:t>*“'***^*^</w:t>
      </w:r>
    </w:p>
    <w:p w:rsidR="00500724" w:rsidRDefault="00F30FB8">
      <w:pPr>
        <w:pStyle w:val="Jin0"/>
        <w:pBdr>
          <w:bottom w:val="single" w:sz="4" w:space="0" w:color="auto"/>
        </w:pBdr>
        <w:shd w:val="clear" w:color="auto" w:fill="auto"/>
        <w:spacing w:after="520"/>
        <w:ind w:left="4100" w:firstLine="0"/>
        <w:jc w:val="left"/>
        <w:rPr>
          <w:sz w:val="28"/>
          <w:szCs w:val="28"/>
        </w:rPr>
      </w:pPr>
      <w:r>
        <w:rPr>
          <w:rFonts w:ascii="Arial" w:eastAsia="Arial" w:hAnsi="Arial" w:cs="Arial"/>
          <w:sz w:val="28"/>
          <w:szCs w:val="28"/>
        </w:rPr>
        <w:t>Roste u nás, vyrábí se v Pardubicích</w:t>
      </w:r>
    </w:p>
    <w:p w:rsidR="00500724" w:rsidRDefault="00F30FB8">
      <w:pPr>
        <w:pStyle w:val="Zkladntext1"/>
        <w:pBdr>
          <w:bottom w:val="single" w:sz="4" w:space="0" w:color="auto"/>
        </w:pBdr>
        <w:shd w:val="clear" w:color="auto" w:fill="auto"/>
        <w:spacing w:after="420" w:line="233" w:lineRule="auto"/>
        <w:ind w:left="280" w:hanging="280"/>
      </w:pPr>
      <w:r>
        <w:rPr>
          <w:b/>
          <w:bCs/>
          <w:sz w:val="20"/>
          <w:szCs w:val="20"/>
        </w:rPr>
        <w:t xml:space="preserve">OBSAH PŘÍTOMNOSTI C. 6: </w:t>
      </w:r>
      <w:r>
        <w:rPr>
          <w:b/>
          <w:bCs/>
        </w:rPr>
        <w:t xml:space="preserve">Rudolf Bechyně: List do Anglie — </w:t>
      </w:r>
      <w:r>
        <w:rPr>
          <w:b/>
          <w:bCs/>
          <w:lang w:val="en-US" w:eastAsia="en-US" w:bidi="en-US"/>
        </w:rPr>
        <w:t xml:space="preserve">Sidney Morrell: </w:t>
      </w:r>
      <w:r>
        <w:rPr>
          <w:b/>
          <w:bCs/>
        </w:rPr>
        <w:t xml:space="preserve">Viděl jsem ukřižováni — Viktor Felber: Ze </w:t>
      </w:r>
      <w:r>
        <w:rPr>
          <w:b/>
          <w:bCs/>
        </w:rPr>
        <w:t>statku do chalupy? — Milena Jesenská: Podmínka přijetí: buď hezká! — Václav Pilecký: Konflikt ve Středozemním moři — Zdeněk Smetáček: Puntík za pověstmi — Kornel Synek: Hospodářská rada z osobního pohledu — J. Bonhard: Noviny radí čtenářům — Jak se stýkati</w:t>
      </w:r>
      <w:r>
        <w:rPr>
          <w:b/>
          <w:bCs/>
        </w:rPr>
        <w:t xml:space="preserve"> s Němci — Hospodářská stránka Hitlerovy řeči — Censura dobrovolná a nedobrovolná — Odpověď německému studentu — Mladí vpřed! — Proč jenom pět? — Německý na</w:t>
      </w:r>
      <w:r>
        <w:rPr>
          <w:b/>
          <w:bCs/>
        </w:rPr>
        <w:softHyphen/>
        <w:t>cionální socialista nám píše — Nepravdy</w:t>
      </w:r>
    </w:p>
    <w:p w:rsidR="00500724" w:rsidRDefault="00F30FB8">
      <w:pPr>
        <w:pStyle w:val="Nadpis80"/>
        <w:keepNext/>
        <w:keepLines/>
        <w:shd w:val="clear" w:color="auto" w:fill="auto"/>
        <w:spacing w:after="140"/>
      </w:pPr>
      <w:r>
        <w:rPr>
          <w:noProof/>
        </w:rPr>
        <mc:AlternateContent>
          <mc:Choice Requires="wps">
            <w:drawing>
              <wp:anchor distT="0" distB="511810" distL="117475" distR="117475" simplePos="0" relativeHeight="125829508" behindDoc="0" locked="0" layoutInCell="1" allowOverlap="1">
                <wp:simplePos x="0" y="0"/>
                <wp:positionH relativeFrom="page">
                  <wp:posOffset>260350</wp:posOffset>
                </wp:positionH>
                <wp:positionV relativeFrom="paragraph">
                  <wp:posOffset>127000</wp:posOffset>
                </wp:positionV>
                <wp:extent cx="2764790" cy="667385"/>
                <wp:effectExtent l="0" t="0" r="0" b="0"/>
                <wp:wrapSquare wrapText="right"/>
                <wp:docPr id="131" name="Shape 131"/>
                <wp:cNvGraphicFramePr/>
                <a:graphic xmlns:a="http://schemas.openxmlformats.org/drawingml/2006/main">
                  <a:graphicData uri="http://schemas.microsoft.com/office/word/2010/wordprocessingShape">
                    <wps:wsp>
                      <wps:cNvSpPr txBox="1"/>
                      <wps:spPr>
                        <a:xfrm>
                          <a:off x="0" y="0"/>
                          <a:ext cx="2764790" cy="667385"/>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rPr>
                              <w:t>■ntomnost_.</w:t>
                            </w:r>
                          </w:p>
                        </w:txbxContent>
                      </wps:txbx>
                      <wps:bodyPr lIns="0" tIns="0" rIns="0" bIns="0">
                        <a:spAutoFit/>
                      </wps:bodyPr>
                    </wps:wsp>
                  </a:graphicData>
                </a:graphic>
              </wp:anchor>
            </w:drawing>
          </mc:Choice>
          <mc:Fallback>
            <w:pict>
              <v:shape id="_x0000_s1157" type="#_x0000_t202" style="position:absolute;margin-left:20.5pt;margin-top:10.pt;width:217.69999999999999pt;height:52.549999999999997pt;z-index:-125829245;mso-wrap-distance-left:9.25pt;mso-wrap-distance-right:9.25pt;mso-wrap-distance-bottom:40.299999999999997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■ntomnost_.</w:t>
                      </w:r>
                    </w:p>
                  </w:txbxContent>
                </v:textbox>
                <w10:wrap type="square" side="right" anchorx="page"/>
              </v:shape>
            </w:pict>
          </mc:Fallback>
        </mc:AlternateContent>
      </w:r>
      <w:r>
        <w:rPr>
          <w:noProof/>
        </w:rPr>
        <mc:AlternateContent>
          <mc:Choice Requires="wps">
            <w:drawing>
              <wp:anchor distT="850265" distB="0" distL="114300" distR="114300" simplePos="0" relativeHeight="125829510" behindDoc="0" locked="0" layoutInCell="1" allowOverlap="1">
                <wp:simplePos x="0" y="0"/>
                <wp:positionH relativeFrom="page">
                  <wp:posOffset>257810</wp:posOffset>
                </wp:positionH>
                <wp:positionV relativeFrom="paragraph">
                  <wp:posOffset>977265</wp:posOffset>
                </wp:positionV>
                <wp:extent cx="2770505" cy="328930"/>
                <wp:effectExtent l="0" t="0" r="0" b="0"/>
                <wp:wrapSquare wrapText="right"/>
                <wp:docPr id="133" name="Shape 133"/>
                <wp:cNvGraphicFramePr/>
                <a:graphic xmlns:a="http://schemas.openxmlformats.org/drawingml/2006/main">
                  <a:graphicData uri="http://schemas.microsoft.com/office/word/2010/wordprocessingShape">
                    <wps:wsp>
                      <wps:cNvSpPr txBox="1"/>
                      <wps:spPr>
                        <a:xfrm>
                          <a:off x="0" y="0"/>
                          <a:ext cx="2770505" cy="32893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159" type="#_x0000_t202" style="position:absolute;margin-left:20.300000000000001pt;margin-top:76.950000000000003pt;width:218.15000000000001pt;height:25.899999999999999pt;z-index:-125829243;mso-wrap-distance-left:9.pt;mso-wrap-distance-top:66.950000000000003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bookmarkStart w:id="159" w:name="bookmark158"/>
      <w:r>
        <w:t>nezávislý týdeník</w:t>
      </w:r>
      <w:bookmarkEnd w:id="159"/>
    </w:p>
    <w:p w:rsidR="00500724" w:rsidRDefault="00F30FB8">
      <w:pPr>
        <w:pStyle w:val="Zkladntext50"/>
        <w:shd w:val="clear" w:color="auto" w:fill="auto"/>
        <w:spacing w:line="240" w:lineRule="auto"/>
        <w:ind w:left="0"/>
        <w:jc w:val="center"/>
      </w:pPr>
      <w:r>
        <w:t>vychází ve středu v nakladatelství</w:t>
      </w:r>
    </w:p>
    <w:p w:rsidR="00500724" w:rsidRDefault="00F30FB8">
      <w:pPr>
        <w:pStyle w:val="Zkladntext50"/>
        <w:shd w:val="clear" w:color="auto" w:fill="auto"/>
        <w:spacing w:line="240" w:lineRule="auto"/>
        <w:ind w:left="0"/>
        <w:jc w:val="center"/>
      </w:pPr>
      <w:r>
        <w:t>FR. BOROVÝ V PRAZE I., NÁRODNÍ TftlDA 11.</w:t>
      </w:r>
    </w:p>
    <w:p w:rsidR="00500724" w:rsidRDefault="00F30FB8">
      <w:pPr>
        <w:pStyle w:val="Zkladntext40"/>
        <w:shd w:val="clear" w:color="auto" w:fill="auto"/>
        <w:spacing w:after="0" w:line="182" w:lineRule="auto"/>
      </w:pPr>
      <w:r>
        <w:t>Telefon Číslo 390-51 až 54 # CCet poštovní spořitelny Cislo 35.622 • Nevy</w:t>
      </w:r>
      <w:r>
        <w:softHyphen/>
        <w:t xml:space="preserve">žádané rukopisy se nevracejí </w:t>
      </w:r>
      <w:r>
        <w:rPr>
          <w:rFonts w:ascii="Arial" w:eastAsia="Arial" w:hAnsi="Arial" w:cs="Arial"/>
          <w:b/>
          <w:bCs/>
          <w:sz w:val="13"/>
          <w:szCs w:val="13"/>
        </w:rPr>
        <w:t xml:space="preserve">o </w:t>
      </w:r>
      <w:r>
        <w:t>Předplatné na rok Kč 100.—, na půl roku KC 50.—. na Čtvrt roku KC 25.—, Je</w:t>
      </w:r>
      <w:r>
        <w:t xml:space="preserve">dnotlivá Čísla KC 2.—. </w:t>
      </w:r>
      <w:r>
        <w:rPr>
          <w:lang w:val="en-US" w:eastAsia="en-US" w:bidi="en-US"/>
        </w:rPr>
        <w:t xml:space="preserve">Pour </w:t>
      </w:r>
      <w:r>
        <w:t>la Fran</w:t>
      </w:r>
      <w:r>
        <w:softHyphen/>
        <w:t xml:space="preserve">ce et ses </w:t>
      </w:r>
      <w:r>
        <w:rPr>
          <w:lang w:val="en-US" w:eastAsia="en-US" w:bidi="en-US"/>
        </w:rPr>
        <w:t xml:space="preserve">Colonies </w:t>
      </w:r>
      <w:r>
        <w:t>Frs 2.50. • Dohlédaci pošt úřad Brno II. • Novin sazba povolena v Brně řed. pošt a telegrafů pod Cis. 119.268/IIIa. • Odpovědny redaktor J. DlabaC.</w:t>
      </w:r>
    </w:p>
    <w:p w:rsidR="00500724" w:rsidRDefault="00F30FB8">
      <w:pPr>
        <w:pStyle w:val="Zkladntext1"/>
        <w:shd w:val="clear" w:color="auto" w:fill="auto"/>
        <w:ind w:left="8240" w:firstLine="0"/>
        <w:jc w:val="left"/>
      </w:pPr>
      <w:r>
        <w:rPr>
          <w:b/>
          <w:bCs/>
        </w:rPr>
        <w:t>nu</w:t>
      </w:r>
      <w:r>
        <w:br w:type="page"/>
      </w:r>
    </w:p>
    <w:p w:rsidR="00500724" w:rsidRDefault="00F30FB8">
      <w:pPr>
        <w:pStyle w:val="Nadpis60"/>
        <w:keepNext/>
        <w:keepLines/>
        <w:shd w:val="clear" w:color="auto" w:fill="auto"/>
        <w:sectPr w:rsidR="00500724">
          <w:footnotePr>
            <w:numFmt w:val="chicago"/>
            <w:numRestart w:val="eachPage"/>
          </w:footnotePr>
          <w:type w:val="continuous"/>
          <w:pgSz w:w="11909" w:h="16834"/>
          <w:pgMar w:top="688" w:right="860" w:bottom="559" w:left="413" w:header="0" w:footer="3" w:gutter="0"/>
          <w:cols w:space="720"/>
          <w:noEndnote/>
          <w:docGrid w:linePitch="360"/>
        </w:sectPr>
      </w:pPr>
      <w:bookmarkStart w:id="160" w:name="bookmark159"/>
      <w:r>
        <w:t>Přítomnosti</w:t>
      </w:r>
      <w:bookmarkEnd w:id="160"/>
    </w:p>
    <w:p w:rsidR="00500724" w:rsidRDefault="00500724">
      <w:pPr>
        <w:spacing w:before="3" w:after="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44" w:right="0" w:bottom="883" w:left="0" w:header="0" w:footer="3" w:gutter="0"/>
          <w:cols w:space="720"/>
          <w:noEndnote/>
          <w:docGrid w:linePitch="360"/>
        </w:sectPr>
      </w:pPr>
    </w:p>
    <w:p w:rsidR="00500724" w:rsidRDefault="00500724">
      <w:pPr>
        <w:spacing w:after="629" w:line="14" w:lineRule="exact"/>
      </w:pPr>
    </w:p>
    <w:p w:rsidR="00500724" w:rsidRDefault="00500724">
      <w:pPr>
        <w:spacing w:line="14" w:lineRule="exact"/>
        <w:sectPr w:rsidR="00500724">
          <w:footnotePr>
            <w:numFmt w:val="chicago"/>
            <w:numRestart w:val="eachPage"/>
          </w:footnotePr>
          <w:type w:val="continuous"/>
          <w:pgSz w:w="11909" w:h="16834"/>
          <w:pgMar w:top="944" w:right="888" w:bottom="883" w:left="643" w:header="0" w:footer="3" w:gutter="0"/>
          <w:cols w:space="720"/>
          <w:noEndnote/>
          <w:docGrid w:linePitch="360"/>
        </w:sectPr>
      </w:pPr>
    </w:p>
    <w:p w:rsidR="00500724" w:rsidRDefault="00F30FB8">
      <w:pPr>
        <w:pStyle w:val="Nadpis100"/>
        <w:shd w:val="clear" w:color="auto" w:fill="auto"/>
        <w:spacing w:after="0" w:line="223" w:lineRule="auto"/>
      </w:pPr>
      <w:bookmarkStart w:id="161" w:name="bookmark160"/>
      <w:r>
        <w:t>O pitomých řečech</w:t>
      </w:r>
      <w:r>
        <w:br/>
        <w:t>a o slovanském štěkání</w:t>
      </w:r>
      <w:r>
        <w:br/>
        <w:t>i.</w:t>
      </w:r>
      <w:bookmarkEnd w:id="161"/>
    </w:p>
    <w:p w:rsidR="00500724" w:rsidRDefault="00F30FB8">
      <w:pPr>
        <w:pStyle w:val="Zkladntext20"/>
        <w:shd w:val="clear" w:color="auto" w:fill="auto"/>
        <w:spacing w:after="80" w:line="264" w:lineRule="auto"/>
        <w:ind w:left="880" w:firstLine="1180"/>
        <w:jc w:val="left"/>
      </w:pPr>
      <w:r>
        <w:t>Český Šternberk 7. února 1939 Vážený pane redaktore, milý Peroutko,</w:t>
      </w:r>
    </w:p>
    <w:p w:rsidR="00500724" w:rsidRDefault="00F30FB8">
      <w:pPr>
        <w:pStyle w:val="Zkladntext20"/>
        <w:shd w:val="clear" w:color="auto" w:fill="auto"/>
        <w:spacing w:line="204" w:lineRule="auto"/>
        <w:ind w:firstLine="0"/>
      </w:pPr>
      <w:r>
        <w:t xml:space="preserve">ještě jeden dopis — dnes ode mne. Promiňte mi </w:t>
      </w:r>
      <w:r>
        <w:rPr>
          <w:b/>
          <w:bCs/>
        </w:rPr>
        <w:t xml:space="preserve">to, </w:t>
      </w:r>
      <w:r>
        <w:t xml:space="preserve">je-li to možné. Říká mi jakýsi nevýslovně nutkavý, vnitřní i mravní hlas, že bych Vám měl poděkovat! </w:t>
      </w:r>
      <w:r>
        <w:rPr>
          <w:b/>
          <w:bCs/>
        </w:rPr>
        <w:t xml:space="preserve">za </w:t>
      </w:r>
      <w:r>
        <w:t>Váš článek z nedělních »Lidovek« (5. února), věno</w:t>
      </w:r>
      <w:r>
        <w:softHyphen/>
        <w:t>vaný ^Pisatelům několika dopisů«. Je to nanejvýše potřebný — dobrý článek. Nechci tím nikterak říci, ž</w:t>
      </w:r>
      <w:r>
        <w:t>e všecky Vaše články jsou dobré — i užitečné. Ale du</w:t>
      </w:r>
      <w:r>
        <w:softHyphen/>
        <w:t xml:space="preserve">ševní stav našeho lidu, a vidím to </w:t>
      </w:r>
      <w:r>
        <w:rPr>
          <w:b/>
          <w:bCs/>
        </w:rPr>
        <w:t xml:space="preserve">z </w:t>
      </w:r>
      <w:r>
        <w:t>nahodilých roz</w:t>
      </w:r>
      <w:r>
        <w:softHyphen/>
        <w:t>hovorů i zde na venkově, není normální, a skutečně jen hrstka jakýchsi mluvků, chcete říci: radikálů, jej krok za krokem rozvrací. Mnozí stále ještě zp</w:t>
      </w:r>
      <w:r>
        <w:t>ívají po hospodách: »Rus je námi, kdo proti nám, toho Francouz...«. Byl jsem, ač velmi mrzut, že mne od</w:t>
      </w:r>
      <w:r>
        <w:softHyphen/>
        <w:t>trhuji od potřebné práce, na jednom z venkovských plesů. Inu, »plesal« ten lid jak uměl. Poněvadž já ne- plešu, seděl jsem a pil jsem hraběcí pivo. Nepl</w:t>
      </w:r>
      <w:r>
        <w:t>echa! Ale co tu bylo kolem mne žalostných řečí! Ze na jaře Rusové půjdou na Poláky, Francie že se vzpamatuje (patrně zvýší do jara svou porodnost!), Itálie opustí Německo a podobně. Nežil jsem v dobách Byronových či Máchových, zažil jsem jen vzrušivou chví</w:t>
      </w:r>
      <w:r>
        <w:t>li v »Mo- derní revui«, ale stejně mi nejde na rozum, jak po dvacetileté éře masarykovského »realismu« může náš lid propadat takovému romantismu, jenž je hoden po</w:t>
      </w:r>
      <w:r>
        <w:softHyphen/>
        <w:t>čátku neblahého devatenáctého století — století »po- kroku«. Století hospodářského liberalism</w:t>
      </w:r>
      <w:r>
        <w:t xml:space="preserve">u, dělnických stávek a ztráty víry! Století, v němž aristokrat </w:t>
      </w:r>
      <w:r>
        <w:rPr>
          <w:lang w:val="en-US" w:eastAsia="en-US" w:bidi="en-US"/>
        </w:rPr>
        <w:t>Bau</w:t>
      </w:r>
      <w:r>
        <w:rPr>
          <w:lang w:val="en-US" w:eastAsia="en-US" w:bidi="en-US"/>
        </w:rPr>
        <w:softHyphen/>
        <w:t xml:space="preserve">delaire </w:t>
      </w:r>
      <w:r>
        <w:t>bojoval na barikádách, křiče: »Zádám smrt generála Aupica«, poněvadž Aupic byl jeho nevlastním otcem a básník to nikdy své matce neodpustil. Podob</w:t>
      </w:r>
      <w:r>
        <w:softHyphen/>
        <w:t xml:space="preserve">ně křičí i někteří naši básníci — </w:t>
      </w:r>
      <w:r>
        <w:t>bez politických mo</w:t>
      </w:r>
      <w:r>
        <w:softHyphen/>
        <w:t>tivů, často jen z nějakého intimního osobního popudu.</w:t>
      </w:r>
    </w:p>
    <w:p w:rsidR="00500724" w:rsidRDefault="00F30FB8">
      <w:pPr>
        <w:pStyle w:val="Zkladntext20"/>
        <w:shd w:val="clear" w:color="auto" w:fill="auto"/>
        <w:spacing w:line="202" w:lineRule="auto"/>
      </w:pPr>
      <w:r>
        <w:t>Zdá se mi, že bude nutné přichystat všecku zbroj proti těžkých poruchám v mysli našeho lidu. Nebát se! Také já dostávám sprosté dopisy a vyhrožuje se mi v nich smrtí. Eh, smrt — ta ná</w:t>
      </w:r>
      <w:r>
        <w:t>m všem byla ne</w:t>
      </w:r>
      <w:r>
        <w:softHyphen/>
        <w:t>dávno tak blízko, že je to k smíchu, uvážíme-li, že ten Člověk dříve slintá na papír! Ale je tu nebezpečí jiné: lidé jsou podněcováni nesvědomitou cháskou dobro</w:t>
      </w:r>
      <w:r>
        <w:softHyphen/>
        <w:t>volných agitátorů. Pokud vím, neplatí je SSSR, platí se jaksi sami, »radost ze z</w:t>
      </w:r>
      <w:r>
        <w:t>la úhrnem«. Říkají — mezí jiným — že tento stav dlouho nepotrvá, že nepotřebu</w:t>
      </w:r>
      <w:r>
        <w:softHyphen/>
        <w:t>jeme Syrového, Berana (patrně by to vše zařídil Zde</w:t>
      </w:r>
      <w:r>
        <w:softHyphen/>
        <w:t>něk Nejedlý!), že bude pomsta lidí Benešových na li</w:t>
      </w:r>
      <w:r>
        <w:softHyphen/>
        <w:t>dech — druhých, že bude pomsta ...</w:t>
      </w:r>
    </w:p>
    <w:p w:rsidR="00500724" w:rsidRDefault="00F30FB8">
      <w:pPr>
        <w:pStyle w:val="Zkladntext20"/>
        <w:shd w:val="clear" w:color="auto" w:fill="auto"/>
        <w:spacing w:after="40" w:line="206" w:lineRule="auto"/>
      </w:pPr>
      <w:r>
        <w:t>Ani nevím, jak bych co nejúpřímněji řek</w:t>
      </w:r>
      <w:r>
        <w:t>l české žur</w:t>
      </w:r>
      <w:r>
        <w:softHyphen/>
        <w:t xml:space="preserve">nalistice, aby zuřivě bojovala proti těmto pověrám. Tyto </w:t>
      </w:r>
      <w:r>
        <w:rPr>
          <w:b/>
          <w:bCs/>
        </w:rPr>
        <w:t xml:space="preserve">a </w:t>
      </w:r>
      <w:r>
        <w:t xml:space="preserve">podobné řeči vynesly nám páté </w:t>
      </w:r>
      <w:r>
        <w:rPr>
          <w:b/>
          <w:bCs/>
        </w:rPr>
        <w:t xml:space="preserve">a </w:t>
      </w:r>
      <w:r>
        <w:t>šesté pásmo,;</w:t>
      </w:r>
    </w:p>
    <w:p w:rsidR="00500724" w:rsidRDefault="00F30FB8">
      <w:pPr>
        <w:pStyle w:val="Zkladntext20"/>
        <w:shd w:val="clear" w:color="auto" w:fill="auto"/>
        <w:spacing w:line="202" w:lineRule="auto"/>
        <w:ind w:firstLine="0"/>
      </w:pPr>
      <w:r>
        <w:t>jichž by snad před tím nebylo. Další pitomé řeči mo</w:t>
      </w:r>
      <w:r>
        <w:softHyphen/>
        <w:t>hou nám vynést více.</w:t>
      </w:r>
    </w:p>
    <w:p w:rsidR="00500724" w:rsidRDefault="00F30FB8">
      <w:pPr>
        <w:pStyle w:val="Zkladntext20"/>
        <w:shd w:val="clear" w:color="auto" w:fill="auto"/>
        <w:spacing w:line="202" w:lineRule="auto"/>
      </w:pPr>
      <w:r>
        <w:t xml:space="preserve">Píšete ve svém článku </w:t>
      </w:r>
      <w:r>
        <w:rPr>
          <w:b/>
          <w:bCs/>
        </w:rPr>
        <w:t xml:space="preserve">o </w:t>
      </w:r>
      <w:r>
        <w:t>husitství. Měl jste snad ještě dodat, že t</w:t>
      </w:r>
      <w:r>
        <w:t>oto husitství byl opravdu produkt středověku a že každá jeho novodobá aplikace je za dnešních časů prostě směšná — jako historie pana Broučka. Loni jsme se mínili bít — doufajíce ovšem pevně v pomoc přátel. Vidouce, že není takové po</w:t>
      </w:r>
      <w:r>
        <w:softHyphen/>
        <w:t>moci, osiřeli jsme a o</w:t>
      </w:r>
      <w:r>
        <w:t>bzírali jsme pochmurně okolní svět, zatím co nám ukrajovali hranice. I štěkali jsme — jeden na druhého. Nato okrajovali hranice ještě víc! Nepřestane-li toto ubohé slovanské štěkání, čeká nás osud všech těch Slovanů, jež Bůh, patrně maje dobrý s nimi úmysl</w:t>
      </w:r>
      <w:r>
        <w:t>, postavil do středu Evropy.</w:t>
      </w:r>
    </w:p>
    <w:p w:rsidR="00500724" w:rsidRDefault="00F30FB8">
      <w:pPr>
        <w:pStyle w:val="Zkladntext20"/>
        <w:shd w:val="clear" w:color="auto" w:fill="auto"/>
        <w:spacing w:line="202" w:lineRule="auto"/>
      </w:pPr>
      <w:r>
        <w:t xml:space="preserve">Tak tedy — ještě nikdy jsem nenapsal tak dlouhý dopis. Jsem líný — skoro jako Vy. Ale protože jsem častokráte se přesvědčil, že Vaše mysl je neodvislá </w:t>
      </w:r>
      <w:r>
        <w:rPr>
          <w:b/>
          <w:bCs/>
        </w:rPr>
        <w:t xml:space="preserve">a a </w:t>
      </w:r>
      <w:r>
        <w:t>svá, napsal jsem tato slova, která doprovázím srdeč</w:t>
      </w:r>
      <w:r>
        <w:softHyphen/>
        <w:t>nými pozdravy.</w:t>
      </w:r>
    </w:p>
    <w:p w:rsidR="00500724" w:rsidRDefault="00F30FB8">
      <w:pPr>
        <w:pStyle w:val="Zkladntext20"/>
        <w:shd w:val="clear" w:color="auto" w:fill="auto"/>
        <w:spacing w:line="202" w:lineRule="auto"/>
        <w:ind w:left="2600" w:firstLine="0"/>
        <w:jc w:val="left"/>
      </w:pPr>
      <w:r>
        <w:t>Váš</w:t>
      </w:r>
    </w:p>
    <w:p w:rsidR="00500724" w:rsidRDefault="00F30FB8">
      <w:pPr>
        <w:pStyle w:val="Zkladntext1"/>
        <w:shd w:val="clear" w:color="auto" w:fill="auto"/>
        <w:tabs>
          <w:tab w:val="left" w:pos="4528"/>
        </w:tabs>
        <w:spacing w:after="100"/>
        <w:ind w:left="4220" w:firstLine="0"/>
      </w:pPr>
      <w:r>
        <w:rPr>
          <w:b/>
          <w:bCs/>
          <w:i/>
          <w:iCs/>
        </w:rPr>
        <w:t>R</w:t>
      </w:r>
      <w:r>
        <w:rPr>
          <w:b/>
          <w:bCs/>
          <w:i/>
          <w:iCs/>
        </w:rPr>
        <w:t>.</w:t>
      </w:r>
      <w:r>
        <w:rPr>
          <w:b/>
          <w:bCs/>
          <w:i/>
          <w:iCs/>
        </w:rPr>
        <w:tab/>
        <w:t>MedeTi</w:t>
      </w:r>
    </w:p>
    <w:p w:rsidR="00500724" w:rsidRDefault="00F30FB8">
      <w:pPr>
        <w:pStyle w:val="Zkladntext20"/>
        <w:shd w:val="clear" w:color="auto" w:fill="auto"/>
        <w:spacing w:line="240" w:lineRule="auto"/>
        <w:ind w:firstLine="0"/>
        <w:jc w:val="center"/>
      </w:pPr>
      <w:r>
        <w:t>II.</w:t>
      </w:r>
    </w:p>
    <w:p w:rsidR="00500724" w:rsidRDefault="00F30FB8">
      <w:pPr>
        <w:pStyle w:val="Zkladntext20"/>
        <w:shd w:val="clear" w:color="auto" w:fill="auto"/>
        <w:spacing w:after="60" w:line="240" w:lineRule="auto"/>
        <w:ind w:left="880" w:right="2800" w:firstLine="0"/>
        <w:jc w:val="left"/>
      </w:pPr>
      <w:r>
        <w:t>Pane generále, milý Medku,</w:t>
      </w:r>
    </w:p>
    <w:p w:rsidR="00500724" w:rsidRDefault="00F30FB8">
      <w:pPr>
        <w:pStyle w:val="Zkladntext20"/>
        <w:shd w:val="clear" w:color="auto" w:fill="auto"/>
        <w:spacing w:line="204" w:lineRule="auto"/>
        <w:ind w:firstLine="0"/>
      </w:pPr>
      <w:r>
        <w:t xml:space="preserve">ačkoliv jsme po léta stáli každý jinde, vzniklo mezi námi před časem jakési drsné přátelství, které, jak z Vašeho dopisu vidím, dosud trvá. Myslím, že toto přátelství se původně založilo na společné naší nechuti k </w:t>
      </w:r>
      <w:r>
        <w:t>některým — řekněme — tenounkým a průsvitným osobnostem a na společné zálibě v onom blahodárném řádu lidského ducha, který jsme oba nazývali zdra</w:t>
      </w:r>
      <w:r>
        <w:softHyphen/>
        <w:t>vým rozumem. Připočítejme na vrub nedokonalosti všech věcí, že jsme si často stanovisko zdravého roz</w:t>
      </w:r>
      <w:r>
        <w:softHyphen/>
        <w:t>umu vyklád</w:t>
      </w:r>
      <w:r>
        <w:t>ali každý jinak.</w:t>
      </w:r>
    </w:p>
    <w:p w:rsidR="00500724" w:rsidRDefault="00F30FB8">
      <w:pPr>
        <w:pStyle w:val="Zkladntext20"/>
        <w:shd w:val="clear" w:color="auto" w:fill="auto"/>
        <w:spacing w:line="204" w:lineRule="auto"/>
      </w:pPr>
      <w:r>
        <w:t>Zato v dnešní situaci chápeme kategorický příkaz zdravého rozumu úplně shodně a je asi opravdu naší povinností stále a znovu tu určitou šedivou národní potřebu vykládati. V čem je ta potřeba? V tom za</w:t>
      </w:r>
      <w:r>
        <w:softHyphen/>
        <w:t>jisté, že pro naši další národní činno</w:t>
      </w:r>
      <w:r>
        <w:t>st je nejdříve ne</w:t>
      </w:r>
      <w:r>
        <w:softHyphen/>
        <w:t>zbytno objeviti všechna nová základní fakta naší si</w:t>
      </w:r>
      <w:r>
        <w:softHyphen/>
        <w:t>tuace a nedovolit, aby byla něčím zatemněna, ani ci</w:t>
      </w:r>
      <w:r>
        <w:softHyphen/>
        <w:t>tem ne, ani toužením ne. Nikdy na skutečném rea</w:t>
      </w:r>
      <w:r>
        <w:softHyphen/>
        <w:t>lismu tolik nezáleželo, jako nyní, nikdy jsme ještě ne</w:t>
      </w:r>
      <w:r>
        <w:softHyphen/>
        <w:t>potřebovali tak důkladně vědět,</w:t>
      </w:r>
      <w:r>
        <w:t xml:space="preserve"> co skutečně jest, </w:t>
      </w:r>
      <w:r>
        <w:rPr>
          <w:b/>
          <w:bCs/>
        </w:rPr>
        <w:t xml:space="preserve">a' </w:t>
      </w:r>
      <w:r>
        <w:t>rozlišit to od toho, co se jen zdá, nebo co by se nám líbilo. Musíme probudit všechny schopnosti necitel</w:t>
      </w:r>
      <w:r>
        <w:softHyphen/>
        <w:t>ného rozumu. Český realismus vystoupil kdysi proti tomu, že byly padělány rukopisy. Je-li dnes ještě ně</w:t>
      </w:r>
      <w:r>
        <w:softHyphen/>
        <w:t>jaký český realismus, mus</w:t>
      </w:r>
      <w:r>
        <w:t>í vystoupit, aby nebylo pa</w:t>
      </w:r>
      <w:r>
        <w:softHyphen/>
        <w:t>děláno, falšováno a romantisováno celé naše posta</w:t>
      </w:r>
      <w:r>
        <w:softHyphen/>
        <w:t>vení. Jde-li někdo uzoučkou stezkou, podle niž zeje hloubka, musí být pořádným realistou, nesmí poklá</w:t>
      </w:r>
      <w:r>
        <w:softHyphen/>
        <w:t>dat za pevný kámen, co jím není, nesmí mít chumáč mlhy za kus země.</w:t>
      </w:r>
    </w:p>
    <w:p w:rsidR="00500724" w:rsidRDefault="00F30FB8">
      <w:pPr>
        <w:pStyle w:val="Zkladntext20"/>
        <w:shd w:val="clear" w:color="auto" w:fill="auto"/>
        <w:spacing w:line="204" w:lineRule="auto"/>
      </w:pPr>
      <w:r>
        <w:t>Řeknu Vám</w:t>
      </w:r>
      <w:r>
        <w:t xml:space="preserve">, že mívám zoufalé pokušení někam s&lt; odklidit, dostanu-li od takového českého inteligenta dopis, z něhož je na výsost patrno, že jeho pisatel si z naší současné situace ještě nic neráčil uvědomit a </w:t>
      </w:r>
      <w:r>
        <w:rPr>
          <w:b/>
          <w:bCs/>
        </w:rPr>
        <w:t xml:space="preserve">že </w:t>
      </w:r>
      <w:r>
        <w:t>se na svět dívá nejdětštějšíma a nejnaivnějšíma oči</w:t>
      </w:r>
      <w:r>
        <w:softHyphen/>
        <w:t>ma.</w:t>
      </w:r>
      <w:r>
        <w:t xml:space="preserve"> Ale běda, obyčejně je to dítě zlostné a jeho dopis je jako oštěp, kterým Vás protkne za to, že se mu ne</w:t>
      </w:r>
      <w:r>
        <w:softHyphen/>
        <w:t>chcete podobat v jeho nevidomosti. Má doma asi bar- votisk, představující Havlíčka před porotou, a končí dopis obyčejně takto: To jste mi pěkný Havlíče</w:t>
      </w:r>
      <w:r>
        <w:t>k! Ale hlavním Havlíčkovým nárokem na slávu nebyla ta okolnost, že byl postaven před porotu, nýbrž jeho zralý a neústupný smysl pro skutečnost a prospěch českého národa; následkem toho už v jeho době byla sekta Čechů, kteří na něj pokřikovali: To jsi nám p</w:t>
      </w:r>
      <w:r>
        <w:t>ěkný husita! Zkrátka a dobře, český novinář dnes jest jako bytost vpředu i vzadu jedním centem obtíže</w:t>
      </w:r>
      <w:r>
        <w:softHyphen/>
        <w:t>ná, censurou i pocitem odpovědnosti, ale část publika stojí okolo a přísně posuzuje, jak se mu daří dělat pi</w:t>
      </w:r>
      <w:r>
        <w:softHyphen/>
        <w:t>ruety.</w:t>
      </w:r>
    </w:p>
    <w:p w:rsidR="00500724" w:rsidRDefault="00F30FB8">
      <w:pPr>
        <w:pStyle w:val="Zkladntext20"/>
        <w:shd w:val="clear" w:color="auto" w:fill="auto"/>
        <w:spacing w:line="202" w:lineRule="auto"/>
        <w:ind w:firstLine="260"/>
      </w:pPr>
      <w:r>
        <w:t xml:space="preserve">Konec konců to ovšem není intimní </w:t>
      </w:r>
      <w:r>
        <w:t>otázka novinář</w:t>
      </w:r>
      <w:r>
        <w:softHyphen/>
        <w:t>ská a nejde o to, jak se nám osobně vede, když jsme takto omíláni v mlýně neporozumění. Je to nejváž</w:t>
      </w:r>
      <w:r>
        <w:softHyphen/>
        <w:t>nější otázka státní a národní, jsme-li schopni vidět skutečnost a zařídit se podle ní. Tady přece nezáleží na tom, co kdo dříve byl, nebo co</w:t>
      </w:r>
      <w:r>
        <w:t xml:space="preserve"> snad ještě je, pravý nebo levý. Tady vůbec nejde o politické přesvědčení, nýbrž o fakta. Na neschopnost vidět pravdu někdy ná</w:t>
      </w:r>
      <w:r>
        <w:softHyphen/>
        <w:t>rody zacházejí. Je-li něco bílé nebo černé, na tom se musí pravý, střední i levý dohodnout, nejsou-Ii to ná</w:t>
      </w:r>
      <w:r>
        <w:softHyphen/>
        <w:t>hodou blázni nebo zat</w:t>
      </w:r>
      <w:r>
        <w:t>racení tvrdohlavci. Z tisku vlád</w:t>
      </w:r>
      <w:r>
        <w:softHyphen/>
        <w:t>ní strany se dovídáme, že existuje nějaká agitace, a také vy píšete, že se »vedou pitomé řeči«. Pravíte-li »pitomé«, nemohu proti tomu nic mít, je-li obsah je</w:t>
      </w:r>
      <w:r>
        <w:softHyphen/>
        <w:t>jich takový, jak naznačujete. Ale pochybuji, že by to byla »rado</w:t>
      </w:r>
      <w:r>
        <w:t>st ze zla úhmem«, která inspiruje ty řeči. Po každé velké katastrofě v každém národě určitá část lidí se z žalu trochu pomátne a roznáší svůj zma</w:t>
      </w:r>
      <w:r>
        <w:softHyphen/>
        <w:t>tek — i bez radosti ze zla; nesnáší studenou mluvu fakt a zoufale hledá nějakou ilusi, která by pomohla žít; j</w:t>
      </w:r>
      <w:r>
        <w:t>sou to ti lidé, kteří i stínu stébla se chápou; víte jistě, že stále rostoucí počet lidí hledá útěchu u astrologie — také bez radosti ze zla; překvapilo mne, když jsem shledal, jak inteligentní lidé, o kte</w:t>
      </w:r>
      <w:r>
        <w:softHyphen/>
        <w:t>rých bych to byl nikdy nevěřil, se pídí po proroct</w:t>
      </w:r>
      <w:r>
        <w:t>vích švýcarských astrologů na rok 1939.</w:t>
      </w:r>
    </w:p>
    <w:p w:rsidR="00500724" w:rsidRDefault="00F30FB8">
      <w:pPr>
        <w:pStyle w:val="Zkladntext20"/>
        <w:shd w:val="clear" w:color="auto" w:fill="auto"/>
        <w:spacing w:line="202" w:lineRule="auto"/>
        <w:ind w:firstLine="260"/>
      </w:pPr>
      <w:r>
        <w:t>Nuže, ty řeči, o kterých píšete, to je taková politic</w:t>
      </w:r>
      <w:r>
        <w:softHyphen/>
        <w:t>ká astrologie a nějaký způsob zoufalství. To vše je po</w:t>
      </w:r>
      <w:r>
        <w:softHyphen/>
        <w:t>chopitelné, ale zle bude státu, jehož vedení by dovo</w:t>
      </w:r>
      <w:r>
        <w:softHyphen/>
        <w:t>lilo, aby politická astrologie nebo takové řečné zou</w:t>
      </w:r>
      <w:r>
        <w:softHyphen/>
        <w:t>f</w:t>
      </w:r>
      <w:r>
        <w:t>alství na ně měly vliv. Na rozdíl od Vás věřím, že to mohou být docela hodní lidé, kteří vedou podobné řeči; ale docela v souhlase s Vámi prosím pro všechno na světě každého, aby jim nevěřil, a vidím s Vámi nej</w:t>
      </w:r>
      <w:r>
        <w:softHyphen/>
        <w:t>přednější úkol žurnalistiky v tom, aby rozumn</w:t>
      </w:r>
      <w:r>
        <w:t>ým po</w:t>
      </w:r>
      <w:r>
        <w:softHyphen/>
        <w:t>učováním takové povídání vyvracela.</w:t>
      </w:r>
    </w:p>
    <w:p w:rsidR="00500724" w:rsidRDefault="00F30FB8">
      <w:pPr>
        <w:pStyle w:val="Zkladntext20"/>
        <w:shd w:val="clear" w:color="auto" w:fill="auto"/>
        <w:spacing w:line="228" w:lineRule="auto"/>
        <w:ind w:firstLine="260"/>
        <w:rPr>
          <w:sz w:val="15"/>
          <w:szCs w:val="15"/>
        </w:rPr>
      </w:pPr>
      <w:r>
        <w:t>Jestliže ještě dnes opravdu někdo zpívá »Rus je s námi, kdo proti nám, toho Francouz smete«, tedy je to vzhledem k tomu, že loni na podzim se ukázal pravý matematický opak, jen nějaká truchlivá forma bláznovství. P</w:t>
      </w:r>
      <w:r>
        <w:t>odívejte se, lidi: loni jsme to prohráli na ilusi, že západ nám pomůže — ale to byla nějaká iluse! Byly to docela přesné smlouvy, podepsané a stvrzené sty projevy odpovědných státníků, vypadalo to tak skutečné jako kus kamene. A přece to byla bublina. Napr</w:t>
      </w:r>
      <w:r>
        <w:t xml:space="preserve">oti tomu dnes nemáme ani podpisy ani projevy odpovědných státníků, nemáme nic než zahanbené </w:t>
      </w:r>
      <w:r>
        <w:rPr>
          <w:b/>
          <w:bCs/>
        </w:rPr>
        <w:t xml:space="preserve">je- </w:t>
      </w:r>
      <w:r>
        <w:rPr>
          <w:b/>
          <w:bCs/>
          <w:i/>
          <w:iCs/>
          <w:sz w:val="15"/>
          <w:szCs w:val="15"/>
        </w:rPr>
        <w:t>98</w:t>
      </w:r>
    </w:p>
    <w:p w:rsidR="00500724" w:rsidRDefault="00F30FB8">
      <w:pPr>
        <w:pStyle w:val="Zkladntext20"/>
        <w:shd w:val="clear" w:color="auto" w:fill="auto"/>
        <w:spacing w:after="40" w:line="218" w:lineRule="auto"/>
        <w:ind w:firstLine="0"/>
      </w:pPr>
      <w:r>
        <w:t>jich mlčení a nějaké chýry, šeptané po českých hospo</w:t>
      </w:r>
      <w:r>
        <w:softHyphen/>
        <w:t xml:space="preserve">dách: kdo by se odvážil na tom stavět, když ani </w:t>
      </w:r>
      <w:r>
        <w:rPr>
          <w:b/>
          <w:bCs/>
        </w:rPr>
        <w:t xml:space="preserve">na </w:t>
      </w:r>
      <w:r>
        <w:t xml:space="preserve">minulém stavět se nevyplatilo? Ano, zastavte tu </w:t>
      </w:r>
      <w:r>
        <w:rPr>
          <w:b/>
          <w:bCs/>
        </w:rPr>
        <w:t>ne</w:t>
      </w:r>
      <w:r>
        <w:rPr>
          <w:b/>
          <w:bCs/>
        </w:rPr>
        <w:softHyphen/>
      </w:r>
      <w:r>
        <w:t>sm</w:t>
      </w:r>
      <w:r>
        <w:t>yslnou a nebezpečnou agitaci!</w:t>
      </w:r>
    </w:p>
    <w:p w:rsidR="00500724" w:rsidRDefault="00F30FB8">
      <w:pPr>
        <w:pStyle w:val="Zkladntext20"/>
        <w:shd w:val="clear" w:color="auto" w:fill="auto"/>
        <w:spacing w:after="40" w:line="202" w:lineRule="auto"/>
      </w:pPr>
      <w:r>
        <w:t>Já nevím, jak může někdo věřit, že Itálie opustí Ně</w:t>
      </w:r>
      <w:r>
        <w:softHyphen/>
        <w:t xml:space="preserve">mecko, když přece právě nyní dosti důvodně doufá, že ve spolku s ním vymůže si splnění svých světových přání. Je nepochopitelno, jak lze věřit, že Anglie </w:t>
      </w:r>
      <w:r>
        <w:rPr>
          <w:b/>
          <w:bCs/>
        </w:rPr>
        <w:t xml:space="preserve">a </w:t>
      </w:r>
      <w:r>
        <w:t xml:space="preserve">Francie půjdou do </w:t>
      </w:r>
      <w:r>
        <w:t>války letos, když před ní couvly, loni na podzim, kdy mohly válčit za daleko výhodněj</w:t>
      </w:r>
      <w:r>
        <w:softHyphen/>
        <w:t>ších podmínek, poněvadž Československo by bylo tehdy vázalo čtyřicet německých divisí, které by nyní byly od prvního dne volny proti Francii. Mimo to měla loni Francie sp</w:t>
      </w:r>
      <w:r>
        <w:t>olek s Ruskem, který nyní leží v střepi</w:t>
      </w:r>
      <w:r>
        <w:softHyphen/>
        <w:t>nách, jež se už ani nikdo nenamáhá slepit. Jak si tedy myslit, že Anglie a Francie teď budou létat s jedním křídlem, když si netroufaly nedávno létat s křídly dvěma?</w:t>
      </w:r>
    </w:p>
    <w:p w:rsidR="00500724" w:rsidRDefault="00F30FB8">
      <w:pPr>
        <w:pStyle w:val="Zkladntext20"/>
        <w:shd w:val="clear" w:color="auto" w:fill="auto"/>
        <w:spacing w:after="40" w:line="202" w:lineRule="auto"/>
      </w:pPr>
      <w:r>
        <w:t>Ostatně je pochybno, zda my ještě z jejich rozletu</w:t>
      </w:r>
      <w:r>
        <w:t xml:space="preserve"> můžeme vůbec něco očekávat. Ačkoliv to širší veřej</w:t>
      </w:r>
      <w:r>
        <w:softHyphen/>
        <w:t>nost neví, už loni na jaře dávali nám angličtí a fran</w:t>
      </w:r>
      <w:r>
        <w:softHyphen/>
        <w:t>couzští diplomaté na srozuměnou, že se kloní k tomu, aby pokládali vytvoření Československa v jeho sta</w:t>
      </w:r>
      <w:r>
        <w:softHyphen/>
        <w:t>rých hranicích za omyl, a že by asi Česko-Slove</w:t>
      </w:r>
      <w:r>
        <w:t>nsko ani po vítězné válce nebylo už obnoveno 7 původních hranicích, poněvadž tak velký počet jinonárodních minorit by bylo třeba i do budoucna pokládat za vý</w:t>
      </w:r>
      <w:r>
        <w:softHyphen/>
        <w:t xml:space="preserve">bušný problém. V září to pak řekl </w:t>
      </w:r>
      <w:r>
        <w:rPr>
          <w:lang w:val="en-US" w:eastAsia="en-US" w:bidi="en-US"/>
        </w:rPr>
        <w:t xml:space="preserve">Mr. Chamberlain </w:t>
      </w:r>
      <w:r>
        <w:t>docela veřejně. Jestliže by tedy někdo považoval</w:t>
      </w:r>
      <w:r>
        <w:t xml:space="preserve"> nás za nějaké důležité thema příští války, mýlí se určitě. Svět je celkem rád, že se česko-slovenského problému zbavil a jen ze setrvačnosti si někteří lidé myslí, že se kolem nás ještě něco točí.</w:t>
      </w:r>
    </w:p>
    <w:p w:rsidR="00500724" w:rsidRDefault="00F30FB8">
      <w:pPr>
        <w:pStyle w:val="Zkladntext20"/>
        <w:shd w:val="clear" w:color="auto" w:fill="auto"/>
        <w:spacing w:line="202" w:lineRule="auto"/>
      </w:pPr>
      <w:r>
        <w:t xml:space="preserve">Do obrazu částečného rozvratu myslí patří, že tolik lidí </w:t>
      </w:r>
      <w:r>
        <w:t>slyšelo v rozhlase řeči, které vůbec nebyly pro</w:t>
      </w:r>
      <w:r>
        <w:softHyphen/>
        <w:t>neseny. Loni se lidi zapřisáhali, že osobně slyšeli v moskevském radiu paličskou řeč Stalinovu proti Hitlerovi. Nebylo na tom slovo pravdy. Letos se vy</w:t>
      </w:r>
      <w:r>
        <w:softHyphen/>
        <w:t>skytují lidé, kteří na některé cizí vlně slyšeli, kterak</w:t>
      </w:r>
      <w:r>
        <w:t xml:space="preserve"> dr. Beneš posílá různé výzvy do vesmírného prostoru a do vlasti. Tato zvěst byla stejně udělána z ničeho jako loňská zvěst o Stalinově projevu. Přesvědčil jsem se, že nesmíte věřit ani lidem, kteří ujišťují, že něco na vlastní uši slyšeli. Vůbec pak nevěř</w:t>
      </w:r>
      <w:r>
        <w:t>te pověstem o Benešově činnosti v cizině. Slyšeli jsme z věrohodné</w:t>
      </w:r>
      <w:r>
        <w:softHyphen/>
        <w:t>ho pramene, že se zdržuje politiky. I kdyby se jí ne</w:t>
      </w:r>
      <w:r>
        <w:softHyphen/>
        <w:t xml:space="preserve">chtěl zdržovat, nebylo by to tak jednoduché, jak si někteří nadšenci představují. Anglie </w:t>
      </w:r>
      <w:r>
        <w:rPr>
          <w:b/>
          <w:bCs/>
        </w:rPr>
        <w:t xml:space="preserve">a </w:t>
      </w:r>
      <w:r>
        <w:t>Francie jistě po dlouhých úvahách dovedly lon</w:t>
      </w:r>
      <w:r>
        <w:t xml:space="preserve">i věci až k Mnichovu. A daly tím dostatečně najevo svou nezlomnou vůli. Nedají se vyvrátit ze svých kolejí, ani kdyby k nim bývalý náš president mluvil jazykem andělským. Ještě nedávno jste mohli číst, jak francouzský senát zase jásal po řeči Bonnetově </w:t>
      </w:r>
      <w:r>
        <w:rPr>
          <w:lang w:val="en-US" w:eastAsia="en-US" w:bidi="en-US"/>
        </w:rPr>
        <w:t>a M</w:t>
      </w:r>
      <w:r>
        <w:rPr>
          <w:lang w:val="en-US" w:eastAsia="en-US" w:bidi="en-US"/>
        </w:rPr>
        <w:t xml:space="preserve">r. Chamberlain </w:t>
      </w:r>
      <w:r>
        <w:t>do</w:t>
      </w:r>
      <w:r>
        <w:softHyphen/>
        <w:t>sud neztratil v Anglii čestný titul muže, jenž zachrá</w:t>
      </w:r>
      <w:r>
        <w:softHyphen/>
        <w:t>nil mír. Myslíte, že anglická a francouzská vláda by byly dovolily dr. Benešovi, aby svou agitací mátl tyto jejich kruhy? Čili, aby prakticky proti nim popouzel? Brzy by s ním byly zač</w:t>
      </w:r>
      <w:r>
        <w:t>aly zacházet jako s obtížným cizincem a nebyly by zajisté couvly ani před vypově</w:t>
      </w:r>
      <w:r>
        <w:softHyphen/>
        <w:t>děním. Už proto nemohlo být žádné takové Benešovy činnosti v cizině, o jaké se šeptá. Dr. Beneš se mohl udržet v Chamberlainově Anglii jen jako soukromník, který pořádá své vě</w:t>
      </w:r>
      <w:r>
        <w:t xml:space="preserve">ci. Jestliže pak někdo věří, že by se byť i plné činnosti tohoto muže mohlo podařit zvrátit všechna ta velká a světová fakta, která loni vedla </w:t>
      </w:r>
      <w:r>
        <w:rPr>
          <w:b/>
          <w:bCs/>
        </w:rPr>
        <w:t xml:space="preserve">k </w:t>
      </w:r>
      <w:r>
        <w:t>Mnichovu, věru nic neví o politice velmocí a lépe než pro politiku by se hodil k tomu, aby zakládal nějakou mys</w:t>
      </w:r>
      <w:r>
        <w:t>tickou náboženskou sektu.</w:t>
      </w:r>
    </w:p>
    <w:p w:rsidR="00500724" w:rsidRDefault="00F30FB8">
      <w:pPr>
        <w:pStyle w:val="Zkladntext20"/>
        <w:shd w:val="clear" w:color="auto" w:fill="auto"/>
        <w:spacing w:line="202" w:lineRule="auto"/>
        <w:ind w:firstLine="260"/>
      </w:pPr>
      <w:r>
        <w:t xml:space="preserve">Všechny takové řeči jsou nejen neúčeíné, nýbrž </w:t>
      </w:r>
      <w:r>
        <w:rPr>
          <w:b/>
          <w:bCs/>
        </w:rPr>
        <w:t xml:space="preserve">i </w:t>
      </w:r>
      <w:r>
        <w:t xml:space="preserve">škodlivé, poněvadž mohou hatit dílo odpovědné vládní politiky, jejímž hlavním úkolem jest nastolit dobrý poměr k Německu, s nímž jsme nyní uzavřeni ve středoevropském prostoru za </w:t>
      </w:r>
      <w:r>
        <w:t>nedbalé celkem pozor</w:t>
      </w:r>
      <w:r>
        <w:softHyphen/>
        <w:t xml:space="preserve">nosti a mdlého zájmu ostatního světa. Takové řeěi mohly by vzbudit podezření, že hrajeme dvojí hru, </w:t>
      </w:r>
      <w:r>
        <w:rPr>
          <w:b/>
          <w:bCs/>
        </w:rPr>
        <w:t xml:space="preserve">a </w:t>
      </w:r>
      <w:r>
        <w:t xml:space="preserve">to jest v našich nových poměrech luxus, který si nesmíme dovolit. Nevím přesně, zda, jak píšete, takové </w:t>
      </w:r>
      <w:r>
        <w:rPr>
          <w:b/>
          <w:bCs/>
        </w:rPr>
        <w:t xml:space="preserve">a </w:t>
      </w:r>
      <w:r>
        <w:t>podobné řeči nám vynesly pá</w:t>
      </w:r>
      <w:r>
        <w:t>té a šesté pásmo, ale vím dosti přesně, že by nám mohly vynésti nyní mno</w:t>
      </w:r>
      <w:r>
        <w:softHyphen/>
      </w:r>
      <w:r>
        <w:rPr>
          <w:b/>
          <w:bCs/>
        </w:rPr>
        <w:t xml:space="preserve">ho </w:t>
      </w:r>
      <w:r>
        <w:t>zlého a tragického. Není proto předsudku, který by mne mohl zdržet, abych se proti nim nepostavil.</w:t>
      </w:r>
    </w:p>
    <w:p w:rsidR="00500724" w:rsidRDefault="00F30FB8">
      <w:pPr>
        <w:pStyle w:val="Zkladntext20"/>
        <w:shd w:val="clear" w:color="auto" w:fill="auto"/>
        <w:spacing w:line="202" w:lineRule="auto"/>
        <w:ind w:firstLine="260"/>
      </w:pPr>
      <w:r>
        <w:t>To »slovanské štěkání« pak, jak říkáte projevům nevole, jež se obracejí proti těm</w:t>
      </w:r>
      <w:r>
        <w:t>, kdo v této věci konají svou povinnost, je třeba snášeti s klidnou myslí, dokud jsou tu lidé, kteří se nenaučili nic jiného než štěkati. Ovšem je perverse drásat se v takové situaci ještě navzájem.</w:t>
      </w:r>
    </w:p>
    <w:p w:rsidR="00500724" w:rsidRDefault="00F30FB8">
      <w:pPr>
        <w:pStyle w:val="Zkladntext20"/>
        <w:shd w:val="clear" w:color="auto" w:fill="auto"/>
        <w:spacing w:line="202" w:lineRule="auto"/>
        <w:ind w:firstLine="260"/>
      </w:pPr>
      <w:r>
        <w:t>Máte pravdu, slovanské štěkání existuje. Beranova vláda p</w:t>
      </w:r>
      <w:r>
        <w:t xml:space="preserve">racuje a působí v tak těžké situaci, v jaké ještě žádná vláda republiky nebyla; na jejím zdaru záleží tolik, jako nezáleželo na zdaru ještě žádné naší vlády. Toto vše je pravda, i když všechny okolnosti nelze veřejně vykládat. Jestliže tedy někdo šeptanou </w:t>
      </w:r>
      <w:r>
        <w:t>pro</w:t>
      </w:r>
      <w:r>
        <w:softHyphen/>
        <w:t>pagandou se snaží podrýt posici této vlády, není to ani úctyhodná ani vlastenecká činnost. Jenže, milý příteli, není slovanské štěkání jen na jedné straně, nýbrž také na druhé, a na té se dokonce mnohem více rozléhá. Ti jedni mohou dnes slovansky štěka</w:t>
      </w:r>
      <w:r>
        <w:t>t jen jaksi šeptem, kdežto ti druzí tak činí na schůzích a ve všech sloup</w:t>
      </w:r>
      <w:r>
        <w:softHyphen/>
        <w:t>cích svých časopisů. Dovolte, abych Vás upozornil na ono drásavé, zlé, praslovanské štěkání, které se na podzim rozléhalo kolem nešťastného Karla Čapka. Ztráceli jsme území kus po ku</w:t>
      </w:r>
      <w:r>
        <w:t>se, a někteří lidé ne</w:t>
      </w:r>
      <w:r>
        <w:softHyphen/>
        <w:t>měli jinou starost, než aby Čapek byl zničen. Stál jsem mu blizko a jsem svědkem, že to byla jedna z těch věcí, jež ho zabily. Neboť naše slovanské štěká</w:t>
      </w:r>
      <w:r>
        <w:softHyphen/>
        <w:t>ní přechází až do slovanského cenění zubů a do slo</w:t>
      </w:r>
      <w:r>
        <w:softHyphen/>
        <w:t>vanského kousání. Jsou žurnal</w:t>
      </w:r>
      <w:r>
        <w:t>isté, jejichž nejmilejší zábavou nyní jest sestavovat seznam kolegů, kterým má být zakázáno provozovat novinářské povolání. A jsou čeští spisovatelé, kteří samou starostí o to, který český časopis má být zastaven, se ani k českému spisování nedostanou.</w:t>
      </w:r>
    </w:p>
    <w:p w:rsidR="00500724" w:rsidRDefault="00F30FB8">
      <w:pPr>
        <w:pStyle w:val="Zkladntext20"/>
        <w:shd w:val="clear" w:color="auto" w:fill="auto"/>
        <w:spacing w:line="202" w:lineRule="auto"/>
        <w:ind w:firstLine="260"/>
      </w:pPr>
      <w:r>
        <w:t>Tad</w:t>
      </w:r>
      <w:r>
        <w:t>y pomůže jen jedno: jestliže každý se proti tomu slovanskému štěkání postaví tam, kde má vliv a jestliže se proti němu obrátí i tehdy, když se netýká jeho. Poněvadž tam, kde je stiň, rád hledám i světlo, nemohu se o jednom případu nezmínit. Po říjnové kata</w:t>
      </w:r>
      <w:r>
        <w:t>strofě se zdvihlo mnoho hlav a hlaviček, které nabyly domnění, že nyní nastala pro ně konjunktura; snažily se toho využít nejmohutnějším známým způso</w:t>
      </w:r>
      <w:r>
        <w:softHyphen/>
        <w:t>bem; vší mocí rozšiřovaly svůj životní prostor; každý prostředek jim byl vhod. Jestliže je u nás muž, o ně</w:t>
      </w:r>
      <w:r>
        <w:t xml:space="preserve">mž by bylo možno říci, že pro něho pádem starého režimu nastala konjunktura, je to Karel Horký. Má za sebou mnoho let nejveřejnějších bojů proti Masarykovi </w:t>
      </w:r>
      <w:r>
        <w:rPr>
          <w:b/>
          <w:bCs/>
        </w:rPr>
        <w:t xml:space="preserve">a </w:t>
      </w:r>
      <w:r>
        <w:t>Benešovi; nikdo nemá svou kvalifikaci pro novou kon</w:t>
      </w:r>
      <w:r>
        <w:softHyphen/>
        <w:t>junkturu tak v pořádku jako on. Byl by se mohl</w:t>
      </w:r>
      <w:r>
        <w:t xml:space="preserve"> prostě nachýlit k jejímu prsu a dlouze ssáti. Místo toho za</w:t>
      </w:r>
      <w:r>
        <w:softHyphen/>
        <w:t>cházel s touto svou příležitostí způsobem, který nelze jinak nazvat, než ušlechtilým a odříkavým. Pomáhal zachraňovat ze zátopy demagogie co se dalo; odnášel umělecké hodnoty s pole, na které dop</w:t>
      </w:r>
      <w:r>
        <w:t>adala hrubá střelba večerníků; zastával se lidí, věřil-li v nějakou hodnotu v nich, i když patřili k jinému táboru; chránil některé své bývalé nepřátele. Užil konjunktury nikoliv pro sebe. Dlouhá léta jsme s Karlem Horkým dělali, jako bychom se neviděli. A</w:t>
      </w:r>
      <w:r>
        <w:t>ž se příště potkáme, myslím, že před ním smeknu klobouk.</w:t>
      </w:r>
    </w:p>
    <w:p w:rsidR="00500724" w:rsidRDefault="00F30FB8">
      <w:pPr>
        <w:pStyle w:val="Zkladntext20"/>
        <w:shd w:val="clear" w:color="auto" w:fill="auto"/>
        <w:spacing w:after="120" w:line="202" w:lineRule="auto"/>
        <w:ind w:firstLine="280"/>
      </w:pPr>
      <w:r>
        <w:t>Milý Medku, jsem neobyčejně rád, že jste mi na</w:t>
      </w:r>
      <w:r>
        <w:softHyphen/>
        <w:t>psal. Jednak proto, že vidím, že staré ono naše drsné přátelství se nepotrhalo úplně, jednak proto, že Vám mohu říci: vývoj věcí Vám svěřil velkou ducho</w:t>
      </w:r>
      <w:r>
        <w:t>vni moc; mnoho mladých lidí bude nyní dychtivě naslou</w:t>
      </w:r>
      <w:r>
        <w:softHyphen/>
        <w:t>chat Vašemu hlasu; musíte si toho být vědom; prosím Vás, abyste své moci užil po pečlivé rozvaze.</w:t>
      </w:r>
    </w:p>
    <w:p w:rsidR="00500724" w:rsidRDefault="00F30FB8">
      <w:pPr>
        <w:pStyle w:val="Zkladntext20"/>
        <w:shd w:val="clear" w:color="auto" w:fill="auto"/>
        <w:spacing w:after="40" w:line="202" w:lineRule="auto"/>
        <w:ind w:firstLine="0"/>
        <w:jc w:val="center"/>
      </w:pPr>
      <w:r>
        <w:t>Srdečně Vás pozdravuju</w:t>
      </w:r>
    </w:p>
    <w:p w:rsidR="00500724" w:rsidRDefault="00F30FB8">
      <w:pPr>
        <w:pStyle w:val="Zkladntext20"/>
        <w:shd w:val="clear" w:color="auto" w:fill="auto"/>
        <w:spacing w:after="40" w:line="202" w:lineRule="auto"/>
        <w:ind w:left="3520" w:firstLine="0"/>
        <w:jc w:val="left"/>
      </w:pPr>
      <w:r>
        <w:t>Váš</w:t>
      </w:r>
    </w:p>
    <w:p w:rsidR="00500724" w:rsidRDefault="00F30FB8">
      <w:pPr>
        <w:pStyle w:val="Zkladntext20"/>
        <w:shd w:val="clear" w:color="auto" w:fill="auto"/>
        <w:spacing w:after="260" w:line="223" w:lineRule="auto"/>
        <w:ind w:firstLine="0"/>
        <w:jc w:val="right"/>
        <w:rPr>
          <w:sz w:val="20"/>
          <w:szCs w:val="20"/>
        </w:rPr>
      </w:pPr>
      <w:r>
        <w:rPr>
          <w:i/>
          <w:iCs/>
          <w:sz w:val="20"/>
          <w:szCs w:val="20"/>
        </w:rPr>
        <w:t>F. Peroutka</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poznámky</w:t>
      </w:r>
    </w:p>
    <w:p w:rsidR="00500724" w:rsidRDefault="00F30FB8">
      <w:pPr>
        <w:pStyle w:val="Nadpis110"/>
        <w:shd w:val="clear" w:color="auto" w:fill="auto"/>
        <w:spacing w:after="40"/>
        <w:jc w:val="center"/>
      </w:pPr>
      <w:bookmarkStart w:id="162" w:name="bookmark161"/>
      <w:r>
        <w:rPr>
          <w:rFonts w:ascii="Times New Roman" w:eastAsia="Times New Roman" w:hAnsi="Times New Roman" w:cs="Times New Roman"/>
        </w:rPr>
        <w:t>Náhlý odchod Stojadinovicův</w:t>
      </w:r>
      <w:bookmarkEnd w:id="162"/>
    </w:p>
    <w:p w:rsidR="00500724" w:rsidRDefault="00F30FB8">
      <w:pPr>
        <w:pStyle w:val="Zkladntext1"/>
        <w:shd w:val="clear" w:color="auto" w:fill="auto"/>
        <w:spacing w:after="40" w:line="190" w:lineRule="auto"/>
        <w:ind w:firstLine="280"/>
      </w:pPr>
      <w:r>
        <w:rPr>
          <w:b/>
          <w:bCs/>
        </w:rPr>
        <w:t xml:space="preserve">Ne každý politik by byl </w:t>
      </w:r>
      <w:r>
        <w:rPr>
          <w:b/>
          <w:bCs/>
        </w:rPr>
        <w:t xml:space="preserve">ochoten přiznat to, co řeld před poslanci své strany dr. Stojadinovič: Že totiž se dověděl až z novin o krisi ve své vládě, t. j. o demisi pěti jejich ministrů, kteří se vyslovili pro neodkladné řešení otázky chorvátské. Takovému řešení prý je na překážku </w:t>
      </w:r>
      <w:r>
        <w:rPr>
          <w:b/>
          <w:bCs/>
        </w:rPr>
        <w:t>dosavadní vláda, napsali tito ministři ve svém dopise ministerskému předsedovi Stojadinovicovi. Jejich krok byl současně pro</w:t>
      </w:r>
      <w:r>
        <w:rPr>
          <w:b/>
          <w:bCs/>
        </w:rPr>
        <w:softHyphen/>
        <w:t xml:space="preserve">testem proti řeěi jednoho předáka srbské složky vládni strany ve skupštině. Zdá se, že tato proticharvátská řeč byla spíše vítanou </w:t>
      </w:r>
      <w:r>
        <w:rPr>
          <w:b/>
          <w:bCs/>
        </w:rPr>
        <w:t>záminkou. Na této palácové revoluci měli účast všechny složky vládní strany JEZ (Jugoslavenska ra- dikalna za jednica), tedy jak Korošec, vůdce slovinské lidové strany, tak Spaho, jenž vede bosenské muslimany, i ko</w:t>
      </w:r>
      <w:r>
        <w:rPr>
          <w:b/>
          <w:bCs/>
        </w:rPr>
        <w:softHyphen/>
        <w:t>nečně Cvetkovié, jenž se tím stavěl v čel</w:t>
      </w:r>
      <w:r>
        <w:rPr>
          <w:b/>
          <w:bCs/>
        </w:rPr>
        <w:t>o srbské oposici proti Stojadinovicovi ve vládním táboře. Není zatím dosti objasněno, jak se podařilo utajit takové překvapení, které Stojadinovič nikterak neokrašloval. Dovedl ostatně při ji</w:t>
      </w:r>
      <w:r>
        <w:rPr>
          <w:b/>
          <w:bCs/>
        </w:rPr>
        <w:softHyphen/>
        <w:t>ných příležitostech s otevřenou nenuceností mluviti o své politi</w:t>
      </w:r>
      <w:r>
        <w:rPr>
          <w:b/>
          <w:bCs/>
        </w:rPr>
        <w:t>ce a o tajemstvích politického úspěchu.</w:t>
      </w:r>
    </w:p>
    <w:p w:rsidR="00500724" w:rsidRDefault="00F30FB8">
      <w:pPr>
        <w:pStyle w:val="Zkladntext1"/>
        <w:shd w:val="clear" w:color="auto" w:fill="auto"/>
        <w:spacing w:after="40" w:line="190" w:lineRule="auto"/>
        <w:ind w:firstLine="280"/>
      </w:pPr>
      <w:r>
        <w:rPr>
          <w:b/>
          <w:bCs/>
        </w:rPr>
        <w:t>Stojadinovié nejednou se dovolával jako svého vzoru Ni- koly Pašiée, jenž první zpozoroval nadání a schopnosti mla</w:t>
      </w:r>
      <w:r>
        <w:rPr>
          <w:b/>
          <w:bCs/>
        </w:rPr>
        <w:softHyphen/>
        <w:t>dého Stojadinoviée. Stojadinovič dovršil své právnické a ná</w:t>
      </w:r>
      <w:r>
        <w:rPr>
          <w:b/>
          <w:bCs/>
        </w:rPr>
        <w:softHyphen/>
        <w:t>rodohospodářské vzdělání na západě a v Ně</w:t>
      </w:r>
      <w:r>
        <w:rPr>
          <w:b/>
          <w:bCs/>
        </w:rPr>
        <w:t>mecku, směřo</w:t>
      </w:r>
      <w:r>
        <w:rPr>
          <w:b/>
          <w:bCs/>
        </w:rPr>
        <w:softHyphen/>
        <w:t>val hned k praktickému užití tohoto vzdělání, takže mu zů</w:t>
      </w:r>
      <w:r>
        <w:rPr>
          <w:b/>
          <w:bCs/>
        </w:rPr>
        <w:softHyphen/>
        <w:t>stalo málo času pro bělehradskou universitu, na níž se ha</w:t>
      </w:r>
      <w:r>
        <w:rPr>
          <w:b/>
          <w:bCs/>
        </w:rPr>
        <w:softHyphen/>
        <w:t>bilitoval pro národní hospodářství. Pašič vstoupil do politiky jako revolucionář národní a jako radikál sociální. Stál pak na č</w:t>
      </w:r>
      <w:r>
        <w:rPr>
          <w:b/>
          <w:bCs/>
        </w:rPr>
        <w:t>elném místě v osvobozenském boji proti Turecku a Ka- kousko-Uhersku. Byl při tom ve svém Srbsku mistrem poli</w:t>
      </w:r>
      <w:r>
        <w:rPr>
          <w:b/>
          <w:bCs/>
        </w:rPr>
        <w:softHyphen/>
        <w:t>tické hry. Takové revoluční minulosti Stojadinovič za sebou nemá. Měl možnost se teprve plně uplatnit až po válce kdy ve Velké Jugoslávii bylo toli</w:t>
      </w:r>
      <w:r>
        <w:rPr>
          <w:b/>
          <w:bCs/>
        </w:rPr>
        <w:t>k nových a nečekaných mož</w:t>
      </w:r>
      <w:r>
        <w:rPr>
          <w:b/>
          <w:bCs/>
        </w:rPr>
        <w:softHyphen/>
        <w:t>ností v oblasti hospodářské a finanční. Poznal jako nikdo jiný z jeho vrstevníků v Jugoslávii, kde jsou ony páky finančního dění a pohybu uvnitř a mimo hranice země. Poznal, kde a jak se setkávají a doplňují hospodářství a po</w:t>
      </w:r>
      <w:r>
        <w:rPr>
          <w:b/>
          <w:bCs/>
        </w:rPr>
        <w:softHyphen/>
        <w:t>liti</w:t>
      </w:r>
      <w:r>
        <w:rPr>
          <w:b/>
          <w:bCs/>
        </w:rPr>
        <w:t>ka.</w:t>
      </w:r>
    </w:p>
    <w:p w:rsidR="00500724" w:rsidRDefault="00F30FB8">
      <w:pPr>
        <w:pStyle w:val="Zkladntext1"/>
        <w:shd w:val="clear" w:color="auto" w:fill="auto"/>
        <w:spacing w:after="40" w:line="190" w:lineRule="auto"/>
        <w:ind w:firstLine="280"/>
        <w:sectPr w:rsidR="00500724">
          <w:footnotePr>
            <w:numFmt w:val="chicago"/>
            <w:numRestart w:val="eachPage"/>
          </w:footnotePr>
          <w:type w:val="continuous"/>
          <w:pgSz w:w="11909" w:h="16834"/>
          <w:pgMar w:top="1130" w:right="931" w:bottom="997" w:left="593" w:header="0" w:footer="3" w:gutter="0"/>
          <w:cols w:num="2" w:space="133"/>
          <w:noEndnote/>
          <w:docGrid w:linePitch="360"/>
        </w:sectPr>
      </w:pPr>
      <w:r>
        <w:rPr>
          <w:b/>
          <w:bCs/>
        </w:rPr>
        <w:t>Po Pašiéově odchodu se ukázal nápadný nedostatek poli</w:t>
      </w:r>
      <w:r>
        <w:rPr>
          <w:b/>
          <w:bCs/>
        </w:rPr>
        <w:softHyphen/>
        <w:t>tických a státnických osobností v táboře srbském. Příprava a trening nových politických garnitur se zdržely za diktá</w:t>
      </w:r>
      <w:r>
        <w:rPr>
          <w:b/>
          <w:bCs/>
        </w:rPr>
        <w:softHyphen/>
        <w:t xml:space="preserve">torského režimu krále Alexandra, po jehož náhlé </w:t>
      </w:r>
      <w:r>
        <w:rPr>
          <w:b/>
          <w:bCs/>
        </w:rPr>
        <w:t>tragické smrti byl tento nedostatek tím citelnější. Jen této okolnosti děkoval Jeftié, že mohl po smrti krále Alexandra na konci roku 1931 zůstat ještě půl roku u kormidla v čele vlády, jež navazovala na systém královské diktatury, která pevnou rukou chtěl</w:t>
      </w:r>
      <w:r>
        <w:rPr>
          <w:b/>
          <w:bCs/>
        </w:rPr>
        <w:t>a prosadit! vytvoření jednotného jilioslovan- ského národa a předejiti tak vývoji k trojčlenné federaci.</w:t>
      </w:r>
    </w:p>
    <w:p w:rsidR="00500724" w:rsidRDefault="00F30FB8">
      <w:pPr>
        <w:spacing w:line="14" w:lineRule="exact"/>
      </w:pPr>
      <w:r>
        <w:rPr>
          <w:noProof/>
        </w:rPr>
        <mc:AlternateContent>
          <mc:Choice Requires="wps">
            <w:drawing>
              <wp:anchor distT="0" distB="97790" distL="114300" distR="3658870" simplePos="0" relativeHeight="125829512" behindDoc="0" locked="0" layoutInCell="1" allowOverlap="1">
                <wp:simplePos x="0" y="0"/>
                <wp:positionH relativeFrom="page">
                  <wp:posOffset>3035935</wp:posOffset>
                </wp:positionH>
                <wp:positionV relativeFrom="paragraph">
                  <wp:posOffset>12700</wp:posOffset>
                </wp:positionV>
                <wp:extent cx="377825" cy="393065"/>
                <wp:effectExtent l="0" t="0" r="0" b="0"/>
                <wp:wrapTopAndBottom/>
                <wp:docPr id="135" name="Shape 135"/>
                <wp:cNvGraphicFramePr/>
                <a:graphic xmlns:a="http://schemas.openxmlformats.org/drawingml/2006/main">
                  <a:graphicData uri="http://schemas.microsoft.com/office/word/2010/wordprocessingShape">
                    <wps:wsp>
                      <wps:cNvSpPr txBox="1"/>
                      <wps:spPr>
                        <a:xfrm>
                          <a:off x="0" y="0"/>
                          <a:ext cx="377825" cy="393065"/>
                        </a:xfrm>
                        <a:prstGeom prst="rect">
                          <a:avLst/>
                        </a:prstGeom>
                        <a:noFill/>
                      </wps:spPr>
                      <wps:txbx>
                        <w:txbxContent>
                          <w:p w:rsidR="00500724" w:rsidRDefault="00F30FB8">
                            <w:pPr>
                              <w:pStyle w:val="Jin0"/>
                              <w:shd w:val="clear" w:color="auto" w:fill="auto"/>
                              <w:ind w:firstLine="0"/>
                              <w:jc w:val="left"/>
                              <w:rPr>
                                <w:sz w:val="44"/>
                                <w:szCs w:val="44"/>
                              </w:rPr>
                            </w:pPr>
                            <w:r>
                              <w:rPr>
                                <w:rFonts w:ascii="Calibri" w:eastAsia="Calibri" w:hAnsi="Calibri" w:cs="Calibri"/>
                                <w:b/>
                                <w:bCs/>
                                <w:w w:val="70"/>
                                <w:sz w:val="44"/>
                                <w:szCs w:val="44"/>
                                <w:lang w:val="en-US" w:eastAsia="en-US" w:bidi="en-US"/>
                              </w:rPr>
                              <w:t>frit</w:t>
                            </w:r>
                          </w:p>
                        </w:txbxContent>
                      </wps:txbx>
                      <wps:bodyPr lIns="0" tIns="0" rIns="0" bIns="0">
                        <a:spAutoFit/>
                      </wps:bodyPr>
                    </wps:wsp>
                  </a:graphicData>
                </a:graphic>
              </wp:anchor>
            </w:drawing>
          </mc:Choice>
          <mc:Fallback>
            <w:pict>
              <v:shape id="_x0000_s1161" type="#_x0000_t202" style="position:absolute;margin-left:239.05000000000001pt;margin-top:1.pt;width:29.75pt;height:30.949999999999999pt;z-index:-125829241;mso-wrap-distance-left:9.pt;mso-wrap-distance-right:288.10000000000002pt;mso-wrap-distance-bottom:7.7000000000000002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r>
                        <w:rPr>
                          <w:rFonts w:ascii="Calibri" w:eastAsia="Calibri" w:hAnsi="Calibri" w:cs="Calibri"/>
                          <w:b/>
                          <w:bCs/>
                          <w:color w:val="000000"/>
                          <w:spacing w:val="0"/>
                          <w:w w:val="70"/>
                          <w:position w:val="0"/>
                          <w:sz w:val="44"/>
                          <w:szCs w:val="44"/>
                          <w:shd w:val="clear" w:color="auto" w:fill="auto"/>
                          <w:lang w:val="en-US" w:eastAsia="en-US" w:bidi="en-US"/>
                        </w:rPr>
                        <w:t>frit</w:t>
                      </w:r>
                    </w:p>
                  </w:txbxContent>
                </v:textbox>
                <w10:wrap type="topAndBottom" anchorx="page"/>
              </v:shape>
            </w:pict>
          </mc:Fallback>
        </mc:AlternateContent>
      </w:r>
      <w:r>
        <w:rPr>
          <w:noProof/>
        </w:rPr>
        <mc:AlternateContent>
          <mc:Choice Requires="wps">
            <w:drawing>
              <wp:anchor distT="152400" distB="164465" distL="498475" distR="3336290" simplePos="0" relativeHeight="125829514" behindDoc="0" locked="0" layoutInCell="1" allowOverlap="1">
                <wp:simplePos x="0" y="0"/>
                <wp:positionH relativeFrom="page">
                  <wp:posOffset>3420110</wp:posOffset>
                </wp:positionH>
                <wp:positionV relativeFrom="paragraph">
                  <wp:posOffset>165100</wp:posOffset>
                </wp:positionV>
                <wp:extent cx="316865" cy="17399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316865" cy="173990"/>
                        </a:xfrm>
                        <a:prstGeom prst="rect">
                          <a:avLst/>
                        </a:prstGeom>
                        <a:noFill/>
                      </wps:spPr>
                      <wps:txbx>
                        <w:txbxContent>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pPr>
                            <w:bookmarkStart w:id="163" w:name="bookmark162"/>
                            <w:r>
                              <w:rPr>
                                <w:color w:val="FFFFFF"/>
                              </w:rPr>
                              <w:t>•JIH</w:t>
                            </w:r>
                            <w:bookmarkEnd w:id="163"/>
                          </w:p>
                        </w:txbxContent>
                      </wps:txbx>
                      <wps:bodyPr lIns="0" tIns="0" rIns="0" bIns="0">
                        <a:spAutoFit/>
                      </wps:bodyPr>
                    </wps:wsp>
                  </a:graphicData>
                </a:graphic>
              </wp:anchor>
            </w:drawing>
          </mc:Choice>
          <mc:Fallback>
            <w:pict>
              <v:shape id="_x0000_s1163" type="#_x0000_t202" style="position:absolute;margin-left:269.30000000000001pt;margin-top:13.pt;width:24.949999999999999pt;height:13.699999999999999pt;z-index:-125829239;mso-wrap-distance-left:39.25pt;mso-wrap-distance-top:12.pt;mso-wrap-distance-right:262.69999999999999pt;mso-wrap-distance-bottom:12.949999999999999pt;mso-position-horizontal-relative:page" filled="f" stroked="f">
                <v:textbox style="mso-fit-shape-to-text:t" inset="0,0,0,0">
                  <w:txbxContent>
                    <w:p>
                      <w:pPr>
                        <w:pStyle w:val="Style5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162" w:name="bookmark162"/>
                      <w:r>
                        <w:rPr>
                          <w:color w:val="FFFFFF"/>
                          <w:spacing w:val="0"/>
                          <w:w w:val="100"/>
                          <w:position w:val="0"/>
                          <w:sz w:val="22"/>
                          <w:szCs w:val="22"/>
                          <w:shd w:val="clear" w:color="auto" w:fill="auto"/>
                          <w:lang w:val="cs-CZ" w:eastAsia="cs-CZ" w:bidi="cs-CZ"/>
                        </w:rPr>
                        <w:t>•JIH</w:t>
                      </w:r>
                      <w:bookmarkEnd w:id="162"/>
                    </w:p>
                  </w:txbxContent>
                </v:textbox>
                <w10:wrap type="topAndBottom" anchorx="page"/>
              </v:shape>
            </w:pict>
          </mc:Fallback>
        </mc:AlternateContent>
      </w:r>
      <w:r>
        <w:rPr>
          <w:noProof/>
        </w:rPr>
        <mc:AlternateContent>
          <mc:Choice Requires="wps">
            <w:drawing>
              <wp:anchor distT="91440" distB="164465" distL="821690" distR="2741930" simplePos="0" relativeHeight="125829516" behindDoc="0" locked="0" layoutInCell="1" allowOverlap="1">
                <wp:simplePos x="0" y="0"/>
                <wp:positionH relativeFrom="page">
                  <wp:posOffset>3743325</wp:posOffset>
                </wp:positionH>
                <wp:positionV relativeFrom="paragraph">
                  <wp:posOffset>104140</wp:posOffset>
                </wp:positionV>
                <wp:extent cx="588010" cy="234950"/>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588010" cy="234950"/>
                        </a:xfrm>
                        <a:prstGeom prst="rect">
                          <a:avLst/>
                        </a:prstGeom>
                        <a:noFill/>
                      </wps:spPr>
                      <wps:txbx>
                        <w:txbxContent>
                          <w:p w:rsidR="00500724" w:rsidRDefault="00F30FB8">
                            <w:pPr>
                              <w:pStyle w:val="Jin0"/>
                              <w:shd w:val="clear" w:color="auto" w:fill="auto"/>
                              <w:ind w:firstLine="0"/>
                              <w:jc w:val="left"/>
                              <w:rPr>
                                <w:sz w:val="34"/>
                                <w:szCs w:val="34"/>
                              </w:rPr>
                            </w:pPr>
                            <w:r>
                              <w:rPr>
                                <w:rFonts w:ascii="Arial" w:eastAsia="Arial" w:hAnsi="Arial" w:cs="Arial"/>
                                <w:sz w:val="34"/>
                                <w:szCs w:val="34"/>
                              </w:rPr>
                              <w:t>lOSLz</w:t>
                            </w:r>
                          </w:p>
                        </w:txbxContent>
                      </wps:txbx>
                      <wps:bodyPr lIns="0" tIns="0" rIns="0" bIns="0">
                        <a:spAutoFit/>
                      </wps:bodyPr>
                    </wps:wsp>
                  </a:graphicData>
                </a:graphic>
              </wp:anchor>
            </w:drawing>
          </mc:Choice>
          <mc:Fallback>
            <w:pict>
              <v:shape id="_x0000_s1165" type="#_x0000_t202" style="position:absolute;margin-left:294.75pt;margin-top:8.1999999999999993pt;width:46.299999999999997pt;height:18.5pt;z-index:-125829237;mso-wrap-distance-left:64.700000000000003pt;mso-wrap-distance-top:7.2000000000000002pt;mso-wrap-distance-right:215.90000000000001pt;mso-wrap-distance-bottom:12.94999999999999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lOSLz</w:t>
                      </w:r>
                    </w:p>
                  </w:txbxContent>
                </v:textbox>
                <w10:wrap type="topAndBottom" anchorx="page"/>
              </v:shape>
            </w:pict>
          </mc:Fallback>
        </mc:AlternateContent>
      </w:r>
      <w:r>
        <w:rPr>
          <w:noProof/>
        </w:rPr>
        <mc:AlternateContent>
          <mc:Choice Requires="wps">
            <w:drawing>
              <wp:anchor distT="326390" distB="0" distL="3951605" distR="114300" simplePos="0" relativeHeight="125829518" behindDoc="0" locked="0" layoutInCell="1" allowOverlap="1">
                <wp:simplePos x="0" y="0"/>
                <wp:positionH relativeFrom="page">
                  <wp:posOffset>6873875</wp:posOffset>
                </wp:positionH>
                <wp:positionV relativeFrom="paragraph">
                  <wp:posOffset>339090</wp:posOffset>
                </wp:positionV>
                <wp:extent cx="85090" cy="164465"/>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85090" cy="164465"/>
                        </a:xfrm>
                        <a:prstGeom prst="rect">
                          <a:avLst/>
                        </a:prstGeom>
                        <a:noFill/>
                      </wps:spPr>
                      <wps:txbx>
                        <w:txbxContent>
                          <w:p w:rsidR="00500724" w:rsidRDefault="00F30FB8">
                            <w:pPr>
                              <w:pStyle w:val="Zkladntext1"/>
                              <w:shd w:val="clear" w:color="auto" w:fill="auto"/>
                              <w:ind w:firstLine="0"/>
                              <w:jc w:val="left"/>
                            </w:pPr>
                            <w:r>
                              <w:rPr>
                                <w:b/>
                                <w:bCs/>
                              </w:rPr>
                              <w:t>K&gt;</w:t>
                            </w:r>
                          </w:p>
                        </w:txbxContent>
                      </wps:txbx>
                      <wps:bodyPr lIns="0" tIns="0" rIns="0" bIns="0">
                        <a:spAutoFit/>
                      </wps:bodyPr>
                    </wps:wsp>
                  </a:graphicData>
                </a:graphic>
              </wp:anchor>
            </w:drawing>
          </mc:Choice>
          <mc:Fallback>
            <w:pict>
              <v:shape id="_x0000_s1167" type="#_x0000_t202" style="position:absolute;margin-left:541.25pt;margin-top:26.699999999999999pt;width:6.7000000000000002pt;height:12.949999999999999pt;z-index:-125829235;mso-wrap-distance-left:311.14999999999998pt;mso-wrap-distance-top:25.699999999999999pt;mso-wrap-distance-right:9.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K&gt;</w:t>
                      </w:r>
                    </w:p>
                  </w:txbxContent>
                </v:textbox>
                <w10:wrap type="topAndBottom" anchorx="page"/>
              </v:shape>
            </w:pict>
          </mc:Fallback>
        </mc:AlternateContent>
      </w:r>
      <w:r>
        <w:rPr>
          <w:noProof/>
        </w:rPr>
        <mc:AlternateContent>
          <mc:Choice Requires="wps">
            <w:drawing>
              <wp:anchor distT="25400" distB="254000" distL="114300" distR="114300" simplePos="0" relativeHeight="125829520" behindDoc="0" locked="0" layoutInCell="1" allowOverlap="1">
                <wp:simplePos x="0" y="0"/>
                <wp:positionH relativeFrom="page">
                  <wp:posOffset>405765</wp:posOffset>
                </wp:positionH>
                <wp:positionV relativeFrom="paragraph">
                  <wp:posOffset>9643745</wp:posOffset>
                </wp:positionV>
                <wp:extent cx="216535" cy="170815"/>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216535" cy="170815"/>
                        </a:xfrm>
                        <a:prstGeom prst="rect">
                          <a:avLst/>
                        </a:prstGeom>
                        <a:noFill/>
                      </wps:spPr>
                      <wps:txbx>
                        <w:txbxContent>
                          <w:p w:rsidR="00500724" w:rsidRDefault="00F30FB8">
                            <w:pPr>
                              <w:pStyle w:val="Zkladntext1"/>
                              <w:shd w:val="clear" w:color="auto" w:fill="auto"/>
                              <w:ind w:firstLine="0"/>
                              <w:jc w:val="left"/>
                              <w:rPr>
                                <w:sz w:val="20"/>
                                <w:szCs w:val="20"/>
                              </w:rPr>
                            </w:pPr>
                            <w:r>
                              <w:rPr>
                                <w:i/>
                                <w:iCs/>
                                <w:sz w:val="20"/>
                                <w:szCs w:val="20"/>
                              </w:rPr>
                              <w:t>iOO</w:t>
                            </w:r>
                          </w:p>
                        </w:txbxContent>
                      </wps:txbx>
                      <wps:bodyPr lIns="0" tIns="0" rIns="0" bIns="0">
                        <a:spAutoFit/>
                      </wps:bodyPr>
                    </wps:wsp>
                  </a:graphicData>
                </a:graphic>
              </wp:anchor>
            </w:drawing>
          </mc:Choice>
          <mc:Fallback>
            <w:pict>
              <v:shape id="_x0000_s1169" type="#_x0000_t202" style="position:absolute;margin-left:31.949999999999999pt;margin-top:759.35000000000002pt;width:17.050000000000001pt;height:13.449999999999999pt;z-index:-125829233;mso-wrap-distance-left:9.pt;mso-wrap-distance-top:2.pt;mso-wrap-distance-right:9.pt;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iOO</w:t>
                      </w:r>
                    </w:p>
                  </w:txbxContent>
                </v:textbox>
                <w10:wrap type="topAndBottom" anchorx="page"/>
              </v:shape>
            </w:pict>
          </mc:Fallback>
        </mc:AlternateContent>
      </w:r>
    </w:p>
    <w:p w:rsidR="00500724" w:rsidRDefault="00F30FB8">
      <w:pPr>
        <w:pStyle w:val="Zkladntext1"/>
        <w:shd w:val="clear" w:color="auto" w:fill="auto"/>
        <w:spacing w:after="40" w:line="190" w:lineRule="auto"/>
        <w:ind w:firstLine="280"/>
      </w:pPr>
      <w:r>
        <w:rPr>
          <w:b/>
          <w:bCs/>
        </w:rPr>
        <w:t xml:space="preserve">Jeftiée porazil koncem jara 1935 politický </w:t>
      </w:r>
      <w:r>
        <w:rPr>
          <w:b/>
          <w:bCs/>
          <w:lang w:val="en-US" w:eastAsia="en-US" w:bidi="en-US"/>
        </w:rPr>
        <w:t xml:space="preserve">homo </w:t>
      </w:r>
      <w:r>
        <w:rPr>
          <w:b/>
          <w:bCs/>
        </w:rPr>
        <w:t xml:space="preserve">novus, 461etý Stojadinovié, za okolnosti, které jsou právě nyní </w:t>
      </w:r>
      <w:r>
        <w:rPr>
          <w:b/>
          <w:bCs/>
        </w:rPr>
        <w:t>zvlášť zajímavé a na které upozornil před týdnem berlínský »Voíkischer Beobachter« v úvodním článku, jehož autor zná dobře stav věcí v Jugoslávii a zaujímá k němu postoj zdrže</w:t>
      </w:r>
      <w:r>
        <w:rPr>
          <w:b/>
          <w:bCs/>
        </w:rPr>
        <w:softHyphen/>
        <w:t>livě objektivní: xOhromuje přesnost — píše — s jakou v noci ze 3. na 4. února se</w:t>
      </w:r>
      <w:r>
        <w:rPr>
          <w:b/>
          <w:bCs/>
        </w:rPr>
        <w:t xml:space="preserve"> opakovala událost, jež skoro za stejných okolností vedla před tři a půl rokem ke změně vlády v Bělehradě. Kovněž tenkrát — 5. května 1935 — předcházely volby, při nichž vládní strana, vedená dr. Bo- goljubem Jeftiéem, dobyla většiny. Mačkovi Charváti však</w:t>
      </w:r>
      <w:r>
        <w:rPr>
          <w:b/>
          <w:bCs/>
        </w:rPr>
        <w:t xml:space="preserve"> získali silnou menšinu. Také tehdy asi šest neděl po volbách přišlo pět ministrů s demisí, když byli prohlásili, že je nutno nyní řešiti charvátskou otázku a dáti koruně příležitost k novým rozhodnutím. Těchto pět ministrů, kteří tehdy rozbili kabinet Jef</w:t>
      </w:r>
      <w:r>
        <w:rPr>
          <w:b/>
          <w:bCs/>
        </w:rPr>
        <w:t>íiéův, vedl dr. Milan Stojadino- v i é. Bije do očí, že doslova takový postup byl uplatněn teď v noci na 4. únor, kdy mluvčím demisionujících pěti ministrů se stal ministr sociální péče Dragiša Cvetkovié. Rovněž tentokráte se praví v odůvodnění tohoto krok</w:t>
      </w:r>
      <w:r>
        <w:rPr>
          <w:b/>
          <w:bCs/>
        </w:rPr>
        <w:t>u, že nelze již odkládat řešení eharvátské otázky. Dějiny běle</w:t>
      </w:r>
      <w:r>
        <w:rPr>
          <w:b/>
          <w:bCs/>
        </w:rPr>
        <w:softHyphen/>
        <w:t>hradských krisi se opakují Mohlo by se přijít na myšlenku, že tu režíruje nějaká jistá ruka.*</w:t>
      </w:r>
    </w:p>
    <w:p w:rsidR="00500724" w:rsidRDefault="00F30FB8">
      <w:pPr>
        <w:pStyle w:val="Zkladntext1"/>
        <w:shd w:val="clear" w:color="auto" w:fill="auto"/>
        <w:spacing w:after="40" w:line="190" w:lineRule="auto"/>
        <w:ind w:firstLine="320"/>
      </w:pPr>
      <w:r>
        <w:rPr>
          <w:b/>
          <w:bCs/>
        </w:rPr>
        <w:t>Jestliže berlínský list oceňuje úspěch Stojadinoviéův na koleji politiky zahraniční, kde našel cest</w:t>
      </w:r>
      <w:r>
        <w:rPr>
          <w:b/>
          <w:bCs/>
        </w:rPr>
        <w:t>u do Berlína a do Říma, přiznává na druhé straně, že nevedla k úspěchu jeho politika vnitřní. Jeho příliš různorodá strana byla prý tvo</w:t>
      </w:r>
      <w:r>
        <w:rPr>
          <w:b/>
          <w:bCs/>
        </w:rPr>
        <w:softHyphen/>
        <w:t>řena od shora, nezapustila proto dostatečně hluboko své kořeny v širokých vrstvách. Neměla proto dostatečné prů- bojnost</w:t>
      </w:r>
      <w:r>
        <w:rPr>
          <w:b/>
          <w:bCs/>
        </w:rPr>
        <w:t>i, aby byla s to řešit problém charvátský. Tento problém — dodává německý list — stoji nerozřešen stejně před vládou novou, jako stál před vládou Stojadinoviéovou.</w:t>
      </w:r>
    </w:p>
    <w:p w:rsidR="00500724" w:rsidRDefault="00F30FB8">
      <w:pPr>
        <w:pStyle w:val="Zkladntext1"/>
        <w:shd w:val="clear" w:color="auto" w:fill="auto"/>
        <w:spacing w:after="40" w:line="190" w:lineRule="auto"/>
        <w:ind w:firstLine="320"/>
      </w:pPr>
      <w:r>
        <w:rPr>
          <w:b/>
          <w:bCs/>
        </w:rPr>
        <w:t>Stojadinovié, ohlašuje předem své vítězství ve volbách 11. ledna t. r., ohlašoval tim součas</w:t>
      </w:r>
      <w:r>
        <w:rPr>
          <w:b/>
          <w:bCs/>
        </w:rPr>
        <w:t>ně, že nabude takto legi</w:t>
      </w:r>
      <w:r>
        <w:rPr>
          <w:b/>
          <w:bCs/>
        </w:rPr>
        <w:softHyphen/>
        <w:t>timace k řešení hlavní státně-politické otázky: eharvátské. Mělo býti těmito volbami dokázáno, že je splněn konečně předpoklad, požadovaný Máčkem: Na straně srbské že je totiž partner, vybavený dostatečnou autoritou, který skýtá zá</w:t>
      </w:r>
      <w:r>
        <w:rPr>
          <w:b/>
          <w:bCs/>
        </w:rPr>
        <w:t>ruku, že každá dohoda s Charváty bude schválena dosta</w:t>
      </w:r>
      <w:r>
        <w:rPr>
          <w:b/>
          <w:bCs/>
        </w:rPr>
        <w:softHyphen/>
        <w:t>čující většinou na straně srbské a že to bude dohoda pevná a trvalá. Výsledek voleb nesplnil takové očekávání — ob</w:t>
      </w:r>
      <w:r>
        <w:rPr>
          <w:b/>
          <w:bCs/>
        </w:rPr>
        <w:softHyphen/>
        <w:t>dobně jako tomu bylo ve volbách v r. 1935. Zprávy, jež vyšly v cizině o lednových volbá</w:t>
      </w:r>
      <w:r>
        <w:rPr>
          <w:b/>
          <w:bCs/>
        </w:rPr>
        <w:t>ch v Jugoslávii, mohly vyvolat! o nich mylné představy. Získala-li vláda v oněch veřej</w:t>
      </w:r>
      <w:r>
        <w:rPr>
          <w:b/>
          <w:bCs/>
        </w:rPr>
        <w:softHyphen/>
        <w:t xml:space="preserve">ných volbách 1,690.000 hlasů — t. j. o 300.000 více nežli oposice — pak na tomto vládním výsledku participovali Slo- vinci, vedeni Korošcem, a muslimani, vedeni Spahou. </w:t>
      </w:r>
      <w:r>
        <w:rPr>
          <w:b/>
          <w:bCs/>
        </w:rPr>
        <w:t>asi 300.000 hlasů. Alespoň stejný počet hlasů připadl na státní a veřejné zaměstnance. Spolehlivých stoupenců a voličů ze strany Stojadinoviéovy bylo tedy méně, než by se dalo soudit z celkové číslice výsledků vládní kandidátky. Volební systém jihoslovansk</w:t>
      </w:r>
      <w:r>
        <w:rPr>
          <w:b/>
          <w:bCs/>
        </w:rPr>
        <w:t>ý zabezpečil 300 mandátů z celkového počtu 370. Tato většina byla pak ohrožena, jakmile se začaty odpoutávat! strana Korošcova a Spahova. Korošec krátce po volbách podal demisi. To jsou pak skutečně strany s pev</w:t>
      </w:r>
      <w:r>
        <w:rPr>
          <w:b/>
          <w:bCs/>
        </w:rPr>
        <w:softHyphen/>
        <w:t>nou základnou. Nejpevnějším stranickým útvar</w:t>
      </w:r>
      <w:r>
        <w:rPr>
          <w:b/>
          <w:bCs/>
        </w:rPr>
        <w:t>em v této chvíli v Jugoslávii je ovšem charvátská strana Mačkova, nositelka myšlenky rovnocennosti všech kmenů anebo ná</w:t>
      </w:r>
      <w:r>
        <w:rPr>
          <w:b/>
          <w:bCs/>
        </w:rPr>
        <w:softHyphen/>
        <w:t>rodů v Jugoslávii.</w:t>
      </w:r>
    </w:p>
    <w:p w:rsidR="00500724" w:rsidRDefault="00F30FB8">
      <w:pPr>
        <w:pStyle w:val="Zkladntext1"/>
        <w:shd w:val="clear" w:color="auto" w:fill="auto"/>
        <w:spacing w:after="40" w:line="187" w:lineRule="auto"/>
        <w:ind w:firstLine="320"/>
      </w:pPr>
      <w:r>
        <w:rPr>
          <w:b/>
          <w:bCs/>
        </w:rPr>
        <w:t>Za této dnešní situace je srbská složka, jež je nejsilnějši a jež je hlavní nositelkou státní vůle uvnitř hranic Jugo</w:t>
      </w:r>
      <w:r>
        <w:rPr>
          <w:b/>
          <w:bCs/>
        </w:rPr>
        <w:softHyphen/>
        <w:t>slávie, v postavení nevýhodném. Podle statistiky z r. 1931 je v Jugoslávii 44 proč. Srbů a 34 proč. Charvátů. Nedosta</w:t>
      </w:r>
      <w:r>
        <w:rPr>
          <w:b/>
          <w:bCs/>
        </w:rPr>
        <w:softHyphen/>
        <w:t>tek soudržnosti a jednoty na straně srbské a nevyřešení otázky eharvátské právem může zneklidňovat! odpovědné politické hlavy, činitele v</w:t>
      </w:r>
      <w:r>
        <w:rPr>
          <w:b/>
          <w:bCs/>
        </w:rPr>
        <w:t>ojenské a dynastii.</w:t>
      </w:r>
    </w:p>
    <w:p w:rsidR="00500724" w:rsidRDefault="00F30FB8">
      <w:pPr>
        <w:pStyle w:val="Zkladntext1"/>
        <w:shd w:val="clear" w:color="auto" w:fill="auto"/>
        <w:spacing w:after="40" w:line="190" w:lineRule="auto"/>
        <w:ind w:firstLine="320"/>
      </w:pPr>
      <w:r>
        <w:rPr>
          <w:b/>
          <w:bCs/>
        </w:rPr>
        <w:t>Bude na nové vládě, aby začala vlastně vnitropolitický, tam, kde byla Jugoslávie před nastolením vlády Stojadino</w:t>
      </w:r>
      <w:r>
        <w:rPr>
          <w:b/>
          <w:bCs/>
        </w:rPr>
        <w:softHyphen/>
        <w:t>viéovy. Tento převzal v létě 1935 na sebe závazek, že pro</w:t>
      </w:r>
      <w:r>
        <w:rPr>
          <w:b/>
          <w:bCs/>
        </w:rPr>
        <w:softHyphen/>
        <w:t>vede přechod k režimu parlamentárnimu a tento slib něko</w:t>
      </w:r>
      <w:r>
        <w:rPr>
          <w:b/>
          <w:bCs/>
        </w:rPr>
        <w:softHyphen/>
        <w:t>likráte o</w:t>
      </w:r>
      <w:r>
        <w:rPr>
          <w:b/>
          <w:bCs/>
        </w:rPr>
        <w:t>bnovoval, třebaže v poslední době naznačoval mož</w:t>
      </w:r>
      <w:r>
        <w:rPr>
          <w:b/>
          <w:bCs/>
        </w:rPr>
        <w:softHyphen/>
        <w:t>nosti režimu spíše autoritativního. Maček a s ním srbská složka CO (Udružena opostcia) žádají jako předpoklad každé vnitrostátní úpravy, aby byly uvedeny v život ony, zákony svobody, které měla uvésti v živo</w:t>
      </w:r>
      <w:r>
        <w:rPr>
          <w:b/>
          <w:bCs/>
        </w:rPr>
        <w:t>t vláda Stojadino- viéova. Jde o nový zákon tiskový, shromažďovaeí a vypsání svobodných tajných voleb, které by uvolnily cestu k dohodě kmenů či národů v Jugoslávii. Toto dílo v souhlase s prin</w:t>
      </w:r>
      <w:r>
        <w:rPr>
          <w:b/>
          <w:bCs/>
        </w:rPr>
        <w:softHyphen/>
        <w:t xml:space="preserve">cem regentem má nyní připravovat! nová vláda, která je vládou </w:t>
      </w:r>
      <w:r>
        <w:rPr>
          <w:b/>
          <w:bCs/>
        </w:rPr>
        <w:t>přechodnou už proto, že po nových volbách by byla vystřídána vládou parlamentní, tvořenou na nové základně*</w:t>
      </w:r>
    </w:p>
    <w:p w:rsidR="00500724" w:rsidRDefault="00F30FB8">
      <w:pPr>
        <w:pStyle w:val="Zkladntext1"/>
        <w:shd w:val="clear" w:color="auto" w:fill="auto"/>
        <w:spacing w:line="190" w:lineRule="auto"/>
        <w:ind w:firstLine="0"/>
      </w:pPr>
      <w:r>
        <w:rPr>
          <w:b/>
          <w:bCs/>
        </w:rPr>
        <w:t>Uvnitř vládního tábora má za sebou už dnes Cvetkovié vět</w:t>
      </w:r>
      <w:r>
        <w:rPr>
          <w:b/>
          <w:bCs/>
        </w:rPr>
        <w:softHyphen/>
        <w:t>šinu, třebaže Stojadinovié je s to udržet pohromadě ze svého vedení dosti významnou menšinu</w:t>
      </w:r>
      <w:r>
        <w:rPr>
          <w:b/>
          <w:bCs/>
        </w:rPr>
        <w:t xml:space="preserve"> vládních poslanců. Maček zaujímá k nové vládě stanovisko »blahovolné vyčká- vací«, prohlašuje, že jeho konečné stanovisko bude určováno praxi a činy vlády Cvetkoviéovy.</w:t>
      </w:r>
    </w:p>
    <w:p w:rsidR="00500724" w:rsidRDefault="00F30FB8">
      <w:pPr>
        <w:pStyle w:val="Zkladntext1"/>
        <w:shd w:val="clear" w:color="auto" w:fill="auto"/>
        <w:tabs>
          <w:tab w:val="left" w:pos="4195"/>
        </w:tabs>
        <w:spacing w:after="160" w:line="190" w:lineRule="auto"/>
        <w:ind w:firstLine="300"/>
        <w:rPr>
          <w:sz w:val="20"/>
          <w:szCs w:val="20"/>
        </w:rPr>
      </w:pPr>
      <w:r>
        <w:rPr>
          <w:b/>
          <w:bCs/>
        </w:rPr>
        <w:t>Všichni tl, kdož myslí dopředu a starají se o co největší vnitřní zpevnění jihoslovans</w:t>
      </w:r>
      <w:r>
        <w:rPr>
          <w:b/>
          <w:bCs/>
        </w:rPr>
        <w:t>kého státu pro příští údobí, hledí co nejvíce urychliti řešení podstatného státního pro</w:t>
      </w:r>
      <w:r>
        <w:rPr>
          <w:b/>
          <w:bCs/>
        </w:rPr>
        <w:softHyphen/>
        <w:t>blému charvátského. Je to úkol těžký — toho jsou si vědomi jak Srbi, tak Charváti a Slovinei. Praktické řešení kaž</w:t>
      </w:r>
      <w:r>
        <w:rPr>
          <w:b/>
          <w:bCs/>
        </w:rPr>
        <w:softHyphen/>
        <w:t>dého národnostního problému v dnešní atmosféře evrop</w:t>
      </w:r>
      <w:r>
        <w:rPr>
          <w:b/>
          <w:bCs/>
        </w:rPr>
        <w:softHyphen/>
      </w:r>
      <w:r>
        <w:rPr>
          <w:b/>
          <w:bCs/>
        </w:rPr>
        <w:t>ské je pracný a nesnadný úkol politický, hospodářský a psy</w:t>
      </w:r>
      <w:r>
        <w:rPr>
          <w:b/>
          <w:bCs/>
        </w:rPr>
        <w:softHyphen/>
        <w:t>chologický.</w:t>
      </w:r>
      <w:r>
        <w:rPr>
          <w:b/>
          <w:bCs/>
        </w:rPr>
        <w:tab/>
      </w:r>
      <w:r>
        <w:rPr>
          <w:i/>
          <w:iCs/>
          <w:sz w:val="20"/>
          <w:szCs w:val="20"/>
        </w:rPr>
        <w:t>Ant. PeSl</w:t>
      </w:r>
    </w:p>
    <w:p w:rsidR="00500724" w:rsidRDefault="00F30FB8">
      <w:pPr>
        <w:pStyle w:val="Zkladntext1"/>
        <w:shd w:val="clear" w:color="auto" w:fill="auto"/>
        <w:spacing w:after="80" w:line="180" w:lineRule="auto"/>
        <w:ind w:firstLine="0"/>
        <w:jc w:val="center"/>
        <w:rPr>
          <w:sz w:val="20"/>
          <w:szCs w:val="20"/>
        </w:rPr>
      </w:pPr>
      <w:r>
        <w:rPr>
          <w:b/>
          <w:bCs/>
          <w:sz w:val="20"/>
          <w:szCs w:val="20"/>
        </w:rPr>
        <w:t>Kolik nám půjčily Anglie s Francií?</w:t>
      </w:r>
    </w:p>
    <w:p w:rsidR="00500724" w:rsidRDefault="00F30FB8">
      <w:pPr>
        <w:pStyle w:val="Zkladntext1"/>
        <w:shd w:val="clear" w:color="auto" w:fill="auto"/>
        <w:spacing w:line="190" w:lineRule="auto"/>
        <w:ind w:firstLine="300"/>
      </w:pPr>
      <w:r>
        <w:rPr>
          <w:b/>
          <w:bCs/>
        </w:rPr>
        <w:t>Z denního tisku je známo, že celková půjčka VeEié Brita</w:t>
      </w:r>
      <w:r>
        <w:rPr>
          <w:b/>
          <w:bCs/>
        </w:rPr>
        <w:softHyphen/>
        <w:t>nie a Francie česko-Slovensku z titulu mnichovské kata</w:t>
      </w:r>
      <w:r>
        <w:rPr>
          <w:b/>
          <w:bCs/>
        </w:rPr>
        <w:softHyphen/>
        <w:t xml:space="preserve">strofy čin! 16 milionů </w:t>
      </w:r>
      <w:r>
        <w:rPr>
          <w:b/>
          <w:bCs/>
        </w:rPr>
        <w:t>liber, tedy podle oficiálního kursu něco kolem dvou a čtvrt miliardy K. Rozumí se, že je to málo, ale nemělo by smyslň kritisovat výši této částky, ani pod</w:t>
      </w:r>
      <w:r>
        <w:rPr>
          <w:b/>
          <w:bCs/>
        </w:rPr>
        <w:softHyphen/>
        <w:t>mínky, kterými je půjčka provázena. Fakta mluvi sama o sobě řečí jasnou. Jenže tato fakta nejsou u n</w:t>
      </w:r>
      <w:r>
        <w:rPr>
          <w:b/>
          <w:bCs/>
        </w:rPr>
        <w:t>ás dosti obecně známa. Podle anglických novin — přidržujeme se po- looficiálniho výkladu v hospodářské rubrice »Times« — jsou přesná data tato:</w:t>
      </w:r>
    </w:p>
    <w:p w:rsidR="00500724" w:rsidRDefault="00F30FB8">
      <w:pPr>
        <w:pStyle w:val="Zkladntext1"/>
        <w:shd w:val="clear" w:color="auto" w:fill="auto"/>
        <w:spacing w:line="190" w:lineRule="auto"/>
      </w:pPr>
      <w:r>
        <w:rPr>
          <w:b/>
          <w:bCs/>
        </w:rPr>
        <w:t>Celková částka 16 milionů liber se rozpadá na část fran</w:t>
      </w:r>
      <w:r>
        <w:rPr>
          <w:b/>
          <w:bCs/>
        </w:rPr>
        <w:softHyphen/>
        <w:t>couzskou a britskou a na dar. Proberme nejprve příspěvek</w:t>
      </w:r>
      <w:r>
        <w:rPr>
          <w:b/>
          <w:bCs/>
        </w:rPr>
        <w:t xml:space="preserve"> Francie. Nuže, Francie nám nedává vůbec žádné hotové peníze. Jak známo, půjčila nám Francie za krise r. 1932 po</w:t>
      </w:r>
      <w:r>
        <w:rPr>
          <w:b/>
          <w:bCs/>
        </w:rPr>
        <w:softHyphen/>
        <w:t>stupně 700 milionů zlatých franků. To jsou ty 4 miliony liber. Nyní Je Francie přebírá na sebe a bude za nás platit úroky a úmor. Jenže ušetřen</w:t>
      </w:r>
      <w:r>
        <w:rPr>
          <w:b/>
          <w:bCs/>
        </w:rPr>
        <w:t>é úroky a úmor nezůstanou Čes</w:t>
      </w:r>
      <w:r>
        <w:rPr>
          <w:b/>
          <w:bCs/>
        </w:rPr>
        <w:softHyphen/>
        <w:t>ko-Slovensku. Oněch 35 milionů franků, které tyto úroky; s amortisací představují, musí dáti Česko-Slovensko k dispo</w:t>
      </w:r>
      <w:r>
        <w:rPr>
          <w:b/>
          <w:bCs/>
        </w:rPr>
        <w:softHyphen/>
        <w:t>sici na zvláštní účet a z něho se budou poskytovat cizí va</w:t>
      </w:r>
      <w:r>
        <w:rPr>
          <w:b/>
          <w:bCs/>
        </w:rPr>
        <w:softHyphen/>
        <w:t>luty uprchlíkům, kteří se hodlají z Česko-Slovensk</w:t>
      </w:r>
      <w:r>
        <w:rPr>
          <w:b/>
          <w:bCs/>
        </w:rPr>
        <w:t>a vystěho</w:t>
      </w:r>
      <w:r>
        <w:rPr>
          <w:b/>
          <w:bCs/>
        </w:rPr>
        <w:softHyphen/>
        <w:t>vat. To znamená, že vláda bude musit tyto devisy opatřit a dát pak svolení k jejich vývozu. Tím jsme hotovi s pří</w:t>
      </w:r>
      <w:r>
        <w:rPr>
          <w:b/>
          <w:bCs/>
        </w:rPr>
        <w:softHyphen/>
        <w:t>spěvkem Francie.</w:t>
      </w:r>
    </w:p>
    <w:p w:rsidR="00500724" w:rsidRDefault="00F30FB8">
      <w:pPr>
        <w:pStyle w:val="Zkladntext1"/>
        <w:shd w:val="clear" w:color="auto" w:fill="auto"/>
        <w:spacing w:line="187" w:lineRule="auto"/>
        <w:ind w:firstLine="300"/>
      </w:pPr>
      <w:r>
        <w:rPr>
          <w:b/>
          <w:bCs/>
        </w:rPr>
        <w:t xml:space="preserve">Teď pojednejme stručně o příspěvku Anglie. Předně </w:t>
      </w:r>
      <w:r>
        <w:rPr>
          <w:b/>
          <w:bCs/>
          <w:sz w:val="20"/>
          <w:szCs w:val="20"/>
        </w:rPr>
        <w:t xml:space="preserve">z </w:t>
      </w:r>
      <w:r>
        <w:rPr>
          <w:b/>
          <w:bCs/>
        </w:rPr>
        <w:t>oněch 12 milionů liber dávají se republice 4 miliony liber dare</w:t>
      </w:r>
      <w:r>
        <w:rPr>
          <w:b/>
          <w:bCs/>
        </w:rPr>
        <w:t>m. Ale tyto 4 miliony liber je povinna republika rozdat za britsko-francouzské kontroly uprchlíkům ze sudet</w:t>
      </w:r>
      <w:r>
        <w:rPr>
          <w:b/>
          <w:bCs/>
        </w:rPr>
        <w:softHyphen/>
        <w:t>ského území, kteří se budou vystéhovávat. Jak známo, na jednu rodinu připadne 200 liber, které dostanou vystěhovalci jako dar. Zámožní si zaplatí, c</w:t>
      </w:r>
      <w:r>
        <w:rPr>
          <w:b/>
          <w:bCs/>
        </w:rPr>
        <w:t>hudí je dostanou zdarma. Zá</w:t>
      </w:r>
      <w:r>
        <w:rPr>
          <w:b/>
          <w:bCs/>
        </w:rPr>
        <w:softHyphen/>
        <w:t>možným se počítá vyšší kurs, a z toho se pomáhá zase to</w:t>
      </w:r>
      <w:r>
        <w:rPr>
          <w:b/>
          <w:bCs/>
        </w:rPr>
        <w:softHyphen/>
        <w:t>muto fondu, aby měl více prostředků k vystěhování dalších uprchlíků. Asi pětina těchto 4 milionů liber byla již rozdá</w:t>
      </w:r>
      <w:r>
        <w:rPr>
          <w:b/>
          <w:bCs/>
        </w:rPr>
        <w:softHyphen/>
        <w:t>na; jde zatím asi o tři tisíce vystěhovalců. Celkem se</w:t>
      </w:r>
      <w:r>
        <w:rPr>
          <w:b/>
          <w:bCs/>
        </w:rPr>
        <w:t xml:space="preserve"> za tyto peníze vystěhuje asi deset tisíc lidí, protože někteří do</w:t>
      </w:r>
      <w:r>
        <w:rPr>
          <w:b/>
          <w:bCs/>
        </w:rPr>
        <w:softHyphen/>
        <w:t>stanou více než 200 liber. Kdyby dostali jen po 200 librách, mohlo by odejiti do ciziny asi 15 až 20 tisíc vystěhovalců. Je ovšem velmi dobré, že tyto peníze jsou zde, protože na př. do Aus</w:t>
      </w:r>
      <w:r>
        <w:rPr>
          <w:b/>
          <w:bCs/>
        </w:rPr>
        <w:t>trálie se nemůže přistěhovat nikdo, kdo nemá alespoň dvě stě volných liber v cizině. Nebýti tohoto daru, nemohli by tito lidé emigrovat, protože my prostě bychom nemohli zásoby valut takto rozdávat, nebof jích potřebuje náš prů</w:t>
      </w:r>
      <w:r>
        <w:rPr>
          <w:b/>
          <w:bCs/>
        </w:rPr>
        <w:softHyphen/>
        <w:t xml:space="preserve">mysl na kupování nezbytných </w:t>
      </w:r>
      <w:r>
        <w:rPr>
          <w:b/>
          <w:bCs/>
        </w:rPr>
        <w:t>surovin v cizině. Nesporně se republice ulehčí, také politicky, protože převážná většina emigrantů jsou němečtí židé.</w:t>
      </w:r>
    </w:p>
    <w:p w:rsidR="00500724" w:rsidRDefault="00F30FB8">
      <w:pPr>
        <w:pStyle w:val="Zkladntext1"/>
        <w:shd w:val="clear" w:color="auto" w:fill="auto"/>
        <w:spacing w:line="192" w:lineRule="auto"/>
        <w:ind w:firstLine="300"/>
      </w:pPr>
      <w:r>
        <w:rPr>
          <w:b/>
          <w:bCs/>
        </w:rPr>
        <w:t>Zbývá tedy z celé půjčky již jen 8 milionů liber, o nichž jsme se zatím nezmínili. To Je skutečná půjčka. Asi třetina této částky padne na</w:t>
      </w:r>
      <w:r>
        <w:rPr>
          <w:b/>
          <w:bCs/>
        </w:rPr>
        <w:t xml:space="preserve"> nevyhnutelné stažení státovek. Další 2 miliony liber bude nutno postoupit vystěhovaleckému fondu a bude nutno mu je přidělit v librách, protože totiž nám již vyplaceny nebudou. Jak je snad ještě v paměti, poukázala Anglie v prvních dnech po Mnichovu 10 mi</w:t>
      </w:r>
      <w:r>
        <w:rPr>
          <w:b/>
          <w:bCs/>
        </w:rPr>
        <w:t>lionů liber jako zálohu na větší půjčku, o které se tehdy mírnilo. Jelikož teď dostali jsme vlastně jen 8 milionů liber, tedy 2 miliony liber bylo ve skutečnosti předplaceno, musí tyto 2 miliony liber býti dány do onoho 4milionového vystéhova- leckého fond</w:t>
      </w:r>
      <w:r>
        <w:rPr>
          <w:b/>
          <w:bCs/>
        </w:rPr>
        <w:t>u, na který poukazuje Anglie už přibližně nižší částku. Pro vlastní půjčku zbývá tedy 6 milionů liber čili necelá jedna miliarda K.</w:t>
      </w:r>
    </w:p>
    <w:p w:rsidR="00500724" w:rsidRDefault="00F30FB8">
      <w:pPr>
        <w:pStyle w:val="Zkladntext1"/>
        <w:shd w:val="clear" w:color="auto" w:fill="auto"/>
        <w:tabs>
          <w:tab w:val="left" w:pos="4718"/>
        </w:tabs>
        <w:spacing w:after="40" w:line="192" w:lineRule="auto"/>
      </w:pPr>
      <w:r>
        <w:rPr>
          <w:b/>
          <w:bCs/>
        </w:rPr>
        <w:t xml:space="preserve">Původně se očekávala půjčka asi 30 milionů liber. Celá ^hospodářská pomoc*, která nám byla slibována Anglií </w:t>
      </w:r>
      <w:r>
        <w:rPr>
          <w:b/>
          <w:bCs/>
          <w:sz w:val="20"/>
          <w:szCs w:val="20"/>
        </w:rPr>
        <w:t xml:space="preserve">a </w:t>
      </w:r>
      <w:r>
        <w:rPr>
          <w:b/>
          <w:bCs/>
        </w:rPr>
        <w:t xml:space="preserve">Francii, když </w:t>
      </w:r>
      <w:r>
        <w:rPr>
          <w:b/>
          <w:bCs/>
        </w:rPr>
        <w:t>nás nutily, abychom přijali mnichovské roz</w:t>
      </w:r>
      <w:r>
        <w:rPr>
          <w:b/>
          <w:bCs/>
        </w:rPr>
        <w:softHyphen/>
        <w:t>hodnuti, se tedy končí redukcí našich exportních kvót do Francie na polovinu a touto půjčkou.</w:t>
      </w:r>
      <w:r>
        <w:rPr>
          <w:b/>
          <w:bCs/>
        </w:rPr>
        <w:tab/>
      </w:r>
      <w:r>
        <w:rPr>
          <w:b/>
          <w:bCs/>
          <w:i/>
          <w:iCs/>
        </w:rPr>
        <w:t>Cis,</w:t>
      </w:r>
      <w:r>
        <w:br w:type="page"/>
      </w:r>
    </w:p>
    <w:p w:rsidR="00500724" w:rsidRDefault="00F30FB8">
      <w:pPr>
        <w:pStyle w:val="Zkladntext1"/>
        <w:shd w:val="clear" w:color="auto" w:fill="auto"/>
        <w:spacing w:after="80" w:line="180" w:lineRule="auto"/>
        <w:ind w:firstLine="0"/>
        <w:jc w:val="center"/>
        <w:rPr>
          <w:sz w:val="20"/>
          <w:szCs w:val="20"/>
        </w:rPr>
      </w:pPr>
      <w:r>
        <w:rPr>
          <w:b/>
          <w:bCs/>
          <w:sz w:val="20"/>
          <w:szCs w:val="20"/>
        </w:rPr>
        <w:t>Francie a její spojenci</w:t>
      </w:r>
    </w:p>
    <w:p w:rsidR="00500724" w:rsidRDefault="00F30FB8">
      <w:pPr>
        <w:pStyle w:val="Zkladntext1"/>
        <w:shd w:val="clear" w:color="auto" w:fill="auto"/>
        <w:spacing w:line="190" w:lineRule="auto"/>
        <w:ind w:firstLine="320"/>
      </w:pPr>
      <w:r>
        <w:rPr>
          <w:b/>
          <w:bCs/>
        </w:rPr>
        <w:t>Poměr francouzsko-německý byl po válce ústředním pro</w:t>
      </w:r>
      <w:r>
        <w:rPr>
          <w:b/>
          <w:bCs/>
        </w:rPr>
        <w:softHyphen/>
        <w:t xml:space="preserve">blémem evropské politiky. S nim byl </w:t>
      </w:r>
      <w:r>
        <w:rPr>
          <w:b/>
          <w:bCs/>
        </w:rPr>
        <w:t>těsně spiat celý spo</w:t>
      </w:r>
      <w:r>
        <w:rPr>
          <w:b/>
          <w:bCs/>
        </w:rPr>
        <w:softHyphen/>
        <w:t>jenecký systém, vytvořený Francií. Na něm bylo zvláště za</w:t>
      </w:r>
      <w:r>
        <w:rPr>
          <w:b/>
          <w:bCs/>
        </w:rPr>
        <w:softHyphen/>
        <w:t>interesováno Polsko, vzhledem k neutěšeným svým vzta</w:t>
      </w:r>
      <w:r>
        <w:rPr>
          <w:b/>
          <w:bCs/>
        </w:rPr>
        <w:softHyphen/>
        <w:t>hům k Německu. Poválečná politika Francie nalézala proto největší pochopení v Polsku. Když pak v pozdější době, zvláště od é</w:t>
      </w:r>
      <w:r>
        <w:rPr>
          <w:b/>
          <w:bCs/>
        </w:rPr>
        <w:t>ry Stresemannovy, postupně byly rušeny rozdíly, mezi státy vítěznými a poraženými, polská politika reago</w:t>
      </w:r>
      <w:r>
        <w:rPr>
          <w:b/>
          <w:bCs/>
        </w:rPr>
        <w:softHyphen/>
        <w:t xml:space="preserve">vala citlivě na každou změnu, která tu nastala. </w:t>
      </w:r>
      <w:r>
        <w:rPr>
          <w:b/>
          <w:bCs/>
          <w:lang w:val="en-US" w:eastAsia="en-US" w:bidi="en-US"/>
        </w:rPr>
        <w:t xml:space="preserve">Locarno </w:t>
      </w:r>
      <w:r>
        <w:rPr>
          <w:b/>
          <w:bCs/>
        </w:rPr>
        <w:t>bylo prvním krokem k tomu, co se později v diplomatické mluvě nazývalo »Iikvidací válliy«. Zvlá</w:t>
      </w:r>
      <w:r>
        <w:rPr>
          <w:b/>
          <w:bCs/>
        </w:rPr>
        <w:t>ště rok 1930 přinesl řešení několika takových problémů. Po rozřešení problému řepa- ručního stala se akutní otázka vyklizeni Porýní. V této souvislosti byla provedena ve Francií i v Polsku diskuse o celém aliančním systému poválečné francouzské politiky.</w:t>
      </w:r>
    </w:p>
    <w:p w:rsidR="00500724" w:rsidRDefault="00F30FB8">
      <w:pPr>
        <w:pStyle w:val="Zkladntext1"/>
        <w:shd w:val="clear" w:color="auto" w:fill="auto"/>
        <w:spacing w:line="190" w:lineRule="auto"/>
        <w:ind w:firstLine="320"/>
      </w:pPr>
      <w:r>
        <w:rPr>
          <w:b/>
          <w:bCs/>
        </w:rPr>
        <w:t>Z</w:t>
      </w:r>
      <w:r>
        <w:rPr>
          <w:b/>
          <w:bCs/>
        </w:rPr>
        <w:t>ásadní dohoda o předčasném vyklizeni Porýní a jeho přirozené důsleky byly polskou veřejnosti chápány jako poslední krok od versailleské politiky evropských záruk. Zvlášť podrobně byla v Polsku glosována polemika mezi SfiUerandem aBriandem. Polská pravice a</w:t>
      </w:r>
      <w:r>
        <w:rPr>
          <w:b/>
          <w:bCs/>
        </w:rPr>
        <w:t xml:space="preserve"> střed polemísovaly a Briandovým tvrzením, že Polsko bylo Locarnem nadšeno. Někteří žurnalisté docela tvrdili, že tehdejši polský zahra</w:t>
      </w:r>
      <w:r>
        <w:rPr>
          <w:b/>
          <w:bCs/>
        </w:rPr>
        <w:softHyphen/>
        <w:t>niční ministr Skrzyůski byl do locamských úmluv vehnán. Jistý rozruch vyvolala také v polském tisku výměna ná</w:t>
      </w:r>
      <w:r>
        <w:rPr>
          <w:b/>
          <w:bCs/>
        </w:rPr>
        <w:softHyphen/>
        <w:t xml:space="preserve">zorů mezi </w:t>
      </w:r>
      <w:r>
        <w:rPr>
          <w:b/>
          <w:bCs/>
        </w:rPr>
        <w:t>Briandem a Franklinem Bouillonem o výroku předsedy polského zahraničního výboru, knížete Janusze Badziwilla, že locarnská politika naprosto neznamená za</w:t>
      </w:r>
      <w:r>
        <w:rPr>
          <w:b/>
          <w:bCs/>
        </w:rPr>
        <w:softHyphen/>
        <w:t>jištění polských hranic.</w:t>
      </w:r>
    </w:p>
    <w:p w:rsidR="00500724" w:rsidRDefault="00F30FB8">
      <w:pPr>
        <w:pStyle w:val="Zkladntext1"/>
        <w:shd w:val="clear" w:color="auto" w:fill="auto"/>
        <w:spacing w:line="190" w:lineRule="auto"/>
        <w:ind w:firstLine="320"/>
      </w:pPr>
      <w:r>
        <w:rPr>
          <w:b/>
          <w:bCs/>
        </w:rPr>
        <w:t xml:space="preserve">Franeii vadil stále neutěšený poměr polsko-německý, což ve Francii pociťovali </w:t>
      </w:r>
      <w:r>
        <w:rPr>
          <w:b/>
          <w:bCs/>
        </w:rPr>
        <w:t>jako stále tíživější překážku sblíženi B Německem. Zřejmou nervositu vyvolávalo pak ve Francii zostřené napětí vůči Itálii. Bojovné projevy Mussoliniho</w:t>
      </w:r>
    </w:p>
    <w:p w:rsidR="00500724" w:rsidRDefault="00F30FB8">
      <w:pPr>
        <w:pStyle w:val="Zkladntext1"/>
        <w:numPr>
          <w:ilvl w:val="0"/>
          <w:numId w:val="19"/>
        </w:numPr>
        <w:shd w:val="clear" w:color="auto" w:fill="auto"/>
        <w:tabs>
          <w:tab w:val="left" w:pos="289"/>
        </w:tabs>
        <w:spacing w:line="190" w:lineRule="auto"/>
        <w:ind w:firstLine="0"/>
      </w:pPr>
      <w:r>
        <w:rPr>
          <w:b/>
          <w:bCs/>
        </w:rPr>
        <w:t>Livorinu, Florencii a v Miláně, první masové projevy v Itálii pro navrácení Nizzy a Savojska, to vše zvy</w:t>
      </w:r>
      <w:r>
        <w:rPr>
          <w:b/>
          <w:bCs/>
        </w:rPr>
        <w:t>šovalo nervositu francouzské veřejnosti. Tehdy také se vynořily kombinace o možnosti sblížení, ba docela i spolku itaisko- německého. V této souvislosti byl dán podnět k francouzské diskusi o možnostech spolku francouzsko-německého a re</w:t>
      </w:r>
      <w:r>
        <w:rPr>
          <w:b/>
          <w:bCs/>
        </w:rPr>
        <w:softHyphen/>
        <w:t>visi celého aliančn</w:t>
      </w:r>
      <w:r>
        <w:rPr>
          <w:b/>
          <w:bCs/>
        </w:rPr>
        <w:t>ího systému poválečné francouzské poli</w:t>
      </w:r>
      <w:r>
        <w:rPr>
          <w:b/>
          <w:bCs/>
        </w:rPr>
        <w:softHyphen/>
        <w:t>tiky. Spolek francouzsko-německý měl nahraditi Francii dosavadní politiku aliancí s malými státy, sousedícími s Ně</w:t>
      </w:r>
      <w:r>
        <w:rPr>
          <w:b/>
          <w:bCs/>
        </w:rPr>
        <w:softHyphen/>
        <w:t>meckem. Předpokladem dohody s Německem měla býti revise versailleského míru, jíž by Německu byly vráce</w:t>
      </w:r>
      <w:r>
        <w:rPr>
          <w:b/>
          <w:bCs/>
        </w:rPr>
        <w:t>ny kolonie a polský koridor, a dohoda o zbrojeni.. Tyto myšlen</w:t>
      </w:r>
      <w:r>
        <w:rPr>
          <w:b/>
          <w:bCs/>
        </w:rPr>
        <w:softHyphen/>
        <w:t xml:space="preserve">ky hlásali </w:t>
      </w:r>
      <w:r>
        <w:rPr>
          <w:b/>
          <w:bCs/>
          <w:lang w:val="en-US" w:eastAsia="en-US" w:bidi="en-US"/>
        </w:rPr>
        <w:t xml:space="preserve">prof. </w:t>
      </w:r>
      <w:r>
        <w:rPr>
          <w:b/>
          <w:bCs/>
        </w:rPr>
        <w:t>Dauzat v časopise »Volontě« a v »Matinuc známý žurnalista Sanerwein. Poincaré a Clemenceau do</w:t>
      </w:r>
      <w:r>
        <w:rPr>
          <w:b/>
          <w:bCs/>
        </w:rPr>
        <w:softHyphen/>
        <w:t>pustili se podle těchto žurnalistů veliké chyby, když zá</w:t>
      </w:r>
      <w:r>
        <w:rPr>
          <w:b/>
          <w:bCs/>
        </w:rPr>
        <w:softHyphen/>
        <w:t>kladem versailleského mír</w:t>
      </w:r>
      <w:r>
        <w:rPr>
          <w:b/>
          <w:bCs/>
        </w:rPr>
        <w:t>u učinili princip co největšího oslabení Německa a jeho obklíčení řetězem států, jimž byly splněny jejich maximální požadavky. Slabinou tohoto systému je, že tak byla vytvořena umělá hranice nových států, oslabených vnitřně nepřátelskými minoritami. Disku</w:t>
      </w:r>
      <w:r>
        <w:rPr>
          <w:b/>
          <w:bCs/>
        </w:rPr>
        <w:softHyphen/>
      </w:r>
      <w:r>
        <w:rPr>
          <w:b/>
          <w:bCs/>
        </w:rPr>
        <w:t>se šla tak daleko, že mluvila o nespravedlivosti německé vý</w:t>
      </w:r>
      <w:r>
        <w:rPr>
          <w:b/>
          <w:bCs/>
        </w:rPr>
        <w:softHyphen/>
        <w:t xml:space="preserve">chodní hranice a neudrží teinos ti </w:t>
      </w:r>
      <w:r>
        <w:rPr>
          <w:b/>
          <w:bCs/>
          <w:lang w:val="en-US" w:eastAsia="en-US" w:bidi="en-US"/>
        </w:rPr>
        <w:t xml:space="preserve">statu quo. </w:t>
      </w:r>
      <w:r>
        <w:rPr>
          <w:b/>
          <w:bCs/>
        </w:rPr>
        <w:t>Polská veřejnost se musila dovědět, že spolek polsko-francouzský je prospěšný pouze Polsku, Francii však že je na obtíž. Poincaré prý bez souhlasu par</w:t>
      </w:r>
      <w:r>
        <w:rPr>
          <w:b/>
          <w:bCs/>
        </w:rPr>
        <w:t>lamentu sledoval myšlenku nahraditi odpadlé Rusko svazkem spojeneckým s Polskem a státy Malé do</w:t>
      </w:r>
      <w:r>
        <w:rPr>
          <w:b/>
          <w:bCs/>
        </w:rPr>
        <w:softHyphen/>
        <w:t>hody. Tento systém však předpokládal spolek Francie, Anglie a Itálie. K jeho vytvoření však nedošlo a proto se ukázala nutnost spolku francouzsko-německého.</w:t>
      </w:r>
    </w:p>
    <w:p w:rsidR="00500724" w:rsidRDefault="00F30FB8">
      <w:pPr>
        <w:pStyle w:val="Zkladntext1"/>
        <w:shd w:val="clear" w:color="auto" w:fill="auto"/>
        <w:spacing w:line="190" w:lineRule="auto"/>
        <w:ind w:firstLine="320"/>
      </w:pPr>
      <w:r>
        <w:rPr>
          <w:b/>
          <w:bCs/>
        </w:rPr>
        <w:t>V s</w:t>
      </w:r>
      <w:r>
        <w:rPr>
          <w:b/>
          <w:bCs/>
        </w:rPr>
        <w:t>ouvislosti s napětím francouzsko-itaiským vyskytl se</w:t>
      </w:r>
    </w:p>
    <w:p w:rsidR="00500724" w:rsidRDefault="00F30FB8">
      <w:pPr>
        <w:pStyle w:val="Zkladntext1"/>
        <w:numPr>
          <w:ilvl w:val="0"/>
          <w:numId w:val="19"/>
        </w:numPr>
        <w:shd w:val="clear" w:color="auto" w:fill="auto"/>
        <w:tabs>
          <w:tab w:val="left" w:pos="250"/>
        </w:tabs>
        <w:spacing w:line="190" w:lineRule="auto"/>
        <w:ind w:firstLine="0"/>
      </w:pPr>
      <w:r>
        <w:rPr>
          <w:b/>
          <w:bCs/>
        </w:rPr>
        <w:t>Paříži návrh na rozvázání spojeneckého svazku Francie</w:t>
      </w:r>
    </w:p>
    <w:p w:rsidR="00500724" w:rsidRDefault="00F30FB8">
      <w:pPr>
        <w:pStyle w:val="Zkladntext1"/>
        <w:shd w:val="clear" w:color="auto" w:fill="auto"/>
        <w:tabs>
          <w:tab w:val="left" w:pos="4142"/>
        </w:tabs>
        <w:spacing w:line="190" w:lineRule="auto"/>
        <w:ind w:firstLine="0"/>
      </w:pPr>
      <w:r>
        <w:rPr>
          <w:b/>
          <w:bCs/>
        </w:rPr>
        <w:t>s Jugoslávií. Francouzslfý tisk uspořádal též anketu o revisi míru trianonského. V této akci hrály významnou roli poli</w:t>
      </w:r>
      <w:r>
        <w:rPr>
          <w:b/>
          <w:bCs/>
        </w:rPr>
        <w:softHyphen/>
        <w:t xml:space="preserve">tické kruhy, blízké finanční </w:t>
      </w:r>
      <w:r>
        <w:rPr>
          <w:b/>
          <w:bCs/>
        </w:rPr>
        <w:t>skupině Loucheurově. Ostrých forem nabyla však polemika o praktické ceně spojenectví polsko-francouzského. V Polsku byl proto vývoj francouzské zahraniční politiky sledován stále veimi bedlivě. Když v dub</w:t>
      </w:r>
      <w:r>
        <w:rPr>
          <w:b/>
          <w:bCs/>
        </w:rPr>
        <w:softHyphen/>
        <w:t>nu r. 1933 byl Francií zamítnut Pilsudského návrh n</w:t>
      </w:r>
      <w:r>
        <w:rPr>
          <w:b/>
          <w:bCs/>
        </w:rPr>
        <w:t>a akci, která měla donutit Německo k zastaveni zbrojeni, vyvodilo z tolio Polsko známé důsledky uzavřením paktu o neútoěeni S Německem. Také Belgie reagovala podobně na tuto fran</w:t>
      </w:r>
      <w:r>
        <w:rPr>
          <w:b/>
          <w:bCs/>
        </w:rPr>
        <w:softHyphen/>
        <w:t>couzskou politiku. Obrat Belgie od poválečné politiky těsného spojenectví s F</w:t>
      </w:r>
      <w:r>
        <w:rPr>
          <w:b/>
          <w:bCs/>
        </w:rPr>
        <w:t>rancií k předválečné politice neutra</w:t>
      </w:r>
      <w:r>
        <w:rPr>
          <w:b/>
          <w:bCs/>
        </w:rPr>
        <w:softHyphen/>
        <w:t xml:space="preserve">lity vysvětlil nedávno ministr Jaspar takto: »Po postupném porušování versailleské smlouvy Belgie čekala reakci a ta </w:t>
      </w:r>
      <w:r>
        <w:rPr>
          <w:b/>
          <w:bCs/>
          <w:lang w:val="en-US" w:eastAsia="en-US" w:bidi="en-US"/>
        </w:rPr>
        <w:t xml:space="preserve">so </w:t>
      </w:r>
      <w:r>
        <w:rPr>
          <w:b/>
          <w:bCs/>
        </w:rPr>
        <w:t>nedostavila. Proto jsme se rozhodli vrátit se k politice ne</w:t>
      </w:r>
      <w:r>
        <w:rPr>
          <w:b/>
          <w:bCs/>
        </w:rPr>
        <w:softHyphen/>
        <w:t>utrality z roku 1914.« Tak se Jeví dneš</w:t>
      </w:r>
      <w:r>
        <w:rPr>
          <w:b/>
          <w:bCs/>
        </w:rPr>
        <w:t>ní situace v historické perspektivě toho desetiletí.</w:t>
      </w:r>
      <w:r>
        <w:rPr>
          <w:b/>
          <w:bCs/>
        </w:rPr>
        <w:tab/>
      </w:r>
      <w:r>
        <w:rPr>
          <w:i/>
          <w:iCs/>
          <w:sz w:val="20"/>
          <w:szCs w:val="20"/>
        </w:rPr>
        <w:t xml:space="preserve">J, </w:t>
      </w:r>
      <w:r>
        <w:rPr>
          <w:b/>
          <w:bCs/>
          <w:i/>
          <w:iCs/>
        </w:rPr>
        <w:t>Růžička</w:t>
      </w:r>
    </w:p>
    <w:p w:rsidR="00500724" w:rsidRDefault="00F30FB8">
      <w:pPr>
        <w:spacing w:line="1" w:lineRule="exact"/>
        <w:rPr>
          <w:sz w:val="2"/>
          <w:szCs w:val="2"/>
        </w:rPr>
      </w:pPr>
      <w:r>
        <w:br w:type="column"/>
      </w:r>
    </w:p>
    <w:p w:rsidR="00500724" w:rsidRDefault="00F30FB8">
      <w:pPr>
        <w:pStyle w:val="Jin0"/>
        <w:pBdr>
          <w:bottom w:val="single" w:sz="4" w:space="0" w:color="auto"/>
        </w:pBdr>
        <w:shd w:val="clear" w:color="auto" w:fill="auto"/>
        <w:spacing w:after="260"/>
        <w:ind w:firstLine="0"/>
        <w:jc w:val="left"/>
        <w:rPr>
          <w:sz w:val="44"/>
          <w:szCs w:val="44"/>
        </w:rPr>
      </w:pPr>
      <w:r>
        <w:rPr>
          <w:b/>
          <w:bCs/>
          <w:sz w:val="44"/>
          <w:szCs w:val="44"/>
        </w:rPr>
        <w:t>politika</w:t>
      </w:r>
    </w:p>
    <w:p w:rsidR="00500724" w:rsidRDefault="00F30FB8">
      <w:pPr>
        <w:pStyle w:val="Zkladntext1"/>
        <w:shd w:val="clear" w:color="auto" w:fill="auto"/>
        <w:spacing w:line="202" w:lineRule="auto"/>
        <w:ind w:firstLine="0"/>
        <w:jc w:val="left"/>
        <w:rPr>
          <w:sz w:val="20"/>
          <w:szCs w:val="20"/>
        </w:rPr>
      </w:pPr>
      <w:r>
        <w:rPr>
          <w:i/>
          <w:iCs/>
          <w:sz w:val="20"/>
          <w:szCs w:val="20"/>
        </w:rPr>
        <w:t xml:space="preserve">Gust a o </w:t>
      </w:r>
      <w:r>
        <w:rPr>
          <w:i/>
          <w:iCs/>
          <w:sz w:val="20"/>
          <w:szCs w:val="20"/>
          <w:lang w:val="en-US" w:eastAsia="en-US" w:bidi="en-US"/>
        </w:rPr>
        <w:t>Winter:</w:t>
      </w:r>
    </w:p>
    <w:p w:rsidR="00500724" w:rsidRDefault="00F30FB8">
      <w:pPr>
        <w:pStyle w:val="Nadpis100"/>
        <w:shd w:val="clear" w:color="auto" w:fill="auto"/>
        <w:spacing w:after="0" w:line="233" w:lineRule="auto"/>
      </w:pPr>
      <w:bookmarkStart w:id="164" w:name="bookmark165"/>
      <w:r>
        <w:t>Po pádu Barcelony</w:t>
      </w:r>
      <w:bookmarkEnd w:id="164"/>
    </w:p>
    <w:p w:rsidR="00500724" w:rsidRDefault="00F30FB8">
      <w:pPr>
        <w:pStyle w:val="Zkladntext1"/>
        <w:shd w:val="clear" w:color="auto" w:fill="auto"/>
        <w:spacing w:after="80" w:line="211" w:lineRule="auto"/>
        <w:ind w:firstLine="0"/>
        <w:jc w:val="center"/>
      </w:pPr>
      <w:r>
        <w:t>(Zhroucení Katalánie)</w:t>
      </w:r>
    </w:p>
    <w:p w:rsidR="00500724" w:rsidRDefault="00F30FB8">
      <w:pPr>
        <w:pStyle w:val="Zkladntext1"/>
        <w:shd w:val="clear" w:color="auto" w:fill="auto"/>
        <w:spacing w:line="209" w:lineRule="auto"/>
      </w:pPr>
      <w:r>
        <w:t xml:space="preserve">V desetitisícových zástupech přechází každý den katalánské obyvatelstvo francouzské hranice. Počítá se, že s ozbrojenými </w:t>
      </w:r>
      <w:r>
        <w:t>muži přesáhne tento příliv čtvrt milionu osob.</w:t>
      </w:r>
    </w:p>
    <w:p w:rsidR="00500724" w:rsidRDefault="00F30FB8">
      <w:pPr>
        <w:pStyle w:val="Zkladntext1"/>
        <w:shd w:val="clear" w:color="auto" w:fill="auto"/>
        <w:spacing w:line="211" w:lineRule="auto"/>
      </w:pPr>
      <w:r>
        <w:t>Odkud to náhlé a rychlé zhroucení katalánské fronty? Slyšel jsem vojenského odborníka vykládat, proč byla Barcelona tíže hajitelná než Madrid a proč se v tomto případě nemohl opakovat »madridský zázrakc. Bez j</w:t>
      </w:r>
      <w:r>
        <w:t xml:space="preserve">akýchkoli vojenských podrobností lze prostě říci, že se nikdy ještě žádný zázrak neopakoval — zázračnost je právě v jedinečnosti případu. Ale kromě toho obrana Madridu se konala za vojenských podmínek mnohem výhodnějších, nepoměr sil a materiálu nebyl tak </w:t>
      </w:r>
      <w:r>
        <w:t>zou</w:t>
      </w:r>
      <w:r>
        <w:softHyphen/>
        <w:t>falý jako před Barcelonou — katalánská armáda měla 120.000 mužů proti 250.000 Francovým, 500 děl proti 3000, 50 tanků proti 500, 50 letadel proti 800 a munice jen na dvě neděle — a také psychologická odolnost oby</w:t>
      </w:r>
      <w:r>
        <w:softHyphen/>
        <w:t>vatelstva byla jiná ve čtvrtém měsíci v</w:t>
      </w:r>
      <w:r>
        <w:t>álky než v třicá</w:t>
      </w:r>
      <w:r>
        <w:softHyphen/>
        <w:t>tém, nemluvíc o problému zásobovacím.</w:t>
      </w:r>
    </w:p>
    <w:p w:rsidR="00500724" w:rsidRDefault="00F30FB8">
      <w:pPr>
        <w:pStyle w:val="Zkladntext1"/>
        <w:shd w:val="clear" w:color="auto" w:fill="auto"/>
        <w:spacing w:after="100" w:line="211" w:lineRule="auto"/>
      </w:pPr>
      <w:r>
        <w:t>Přes to vše se tak rychlé zhroucení nečekalo. Kata</w:t>
      </w:r>
      <w:r>
        <w:softHyphen/>
        <w:t>lánie zklamala poněkud v celé této válce. Přes rok jed</w:t>
      </w:r>
      <w:r>
        <w:softHyphen/>
        <w:t>nala na vlastní pěst v přesvědčení, že ona zůstane mimo nebezpečí, k společné obraně přispívala</w:t>
      </w:r>
      <w:r>
        <w:t xml:space="preserve"> spíše symbo</w:t>
      </w:r>
      <w:r>
        <w:softHyphen/>
        <w:t>lickými gesty než účinnou podporou, a teprve pozdě dospěla k vědomí skutečné situace. Statečnost, projeve</w:t>
      </w:r>
      <w:r>
        <w:softHyphen/>
        <w:t>ná ve snášení leteckých útoků na civilní obyvatelstvo, hrdinské hladovění trvající déle než rok, to jsou krásné rysy tohoto zápasu, odčiň</w:t>
      </w:r>
      <w:r>
        <w:t>ující nejednu chybu a počáteč</w:t>
      </w:r>
      <w:r>
        <w:softHyphen/>
        <w:t>ní bezstarostnost. Ale fakt je, že Katalánie je příliš evropská, aby byla mohla soutěžit v tragickém stoicismu s Kastilií, jež právě v takových situacích nejpatetičtěji dokazuje svou africkou schopnost snášet vše a obejít se b</w:t>
      </w:r>
      <w:r>
        <w:t>eze všeho.</w:t>
      </w:r>
    </w:p>
    <w:p w:rsidR="00500724" w:rsidRDefault="00F30FB8">
      <w:pPr>
        <w:pStyle w:val="Zkladntext1"/>
        <w:shd w:val="clear" w:color="auto" w:fill="auto"/>
        <w:spacing w:after="80" w:line="211" w:lineRule="auto"/>
        <w:ind w:firstLine="0"/>
        <w:jc w:val="center"/>
      </w:pPr>
      <w:r>
        <w:t>Intervence a neintervence</w:t>
      </w:r>
    </w:p>
    <w:p w:rsidR="00500724" w:rsidRDefault="00F30FB8">
      <w:pPr>
        <w:pStyle w:val="Zkladntext1"/>
        <w:shd w:val="clear" w:color="auto" w:fill="auto"/>
        <w:spacing w:line="211" w:lineRule="auto"/>
      </w:pPr>
      <w:r>
        <w:t>Formálně byla až doposud válka ve Španělsku vnitřní věcí španělskou. Bylo těžko udržovat tuto fikci, ale proslulý neintervenční výbor dovedl důsledně nevidět a neslyšet a anglo-francouzská diplomacie vyvinula zcela mimo</w:t>
      </w:r>
      <w:r>
        <w:t>řádné úsilí, aby nemusila brát na vědomost skutečný stav věcí. V původních odhadech se jistě ne</w:t>
      </w:r>
      <w:r>
        <w:softHyphen/>
        <w:t>počítalo s tak dlouhým odporem republikánů, ale čím více tato akce vyžadovala nákladů a námahy, čím více v ní totalitní velmoci angažovaly svůj prestyž — obě uz</w:t>
      </w:r>
      <w:r>
        <w:t xml:space="preserve">naly </w:t>
      </w:r>
      <w:r>
        <w:rPr>
          <w:lang w:val="en-US" w:eastAsia="en-US" w:bidi="en-US"/>
        </w:rPr>
        <w:t xml:space="preserve">Franca </w:t>
      </w:r>
      <w:r>
        <w:t>za držitele legální moci ve Španělsku už na podzim 1936 — tím pevněji a vytrvaleji jednaly fíím a Berlín, aby oběti nebyly přineseny nadarmo. Na této straně barikády je politika jasná a důsledná.</w:t>
      </w:r>
    </w:p>
    <w:p w:rsidR="00500724" w:rsidRDefault="00F30FB8">
      <w:pPr>
        <w:pStyle w:val="Zkladntext1"/>
        <w:shd w:val="clear" w:color="auto" w:fill="auto"/>
        <w:spacing w:after="60" w:line="211" w:lineRule="auto"/>
      </w:pPr>
      <w:r>
        <w:rPr>
          <w:noProof/>
        </w:rPr>
        <mc:AlternateContent>
          <mc:Choice Requires="wps">
            <w:drawing>
              <wp:anchor distT="0" distB="254000" distL="114300" distR="114300" simplePos="0" relativeHeight="125829522" behindDoc="0" locked="0" layoutInCell="1" allowOverlap="1">
                <wp:simplePos x="0" y="0"/>
                <wp:positionH relativeFrom="page">
                  <wp:posOffset>6823075</wp:posOffset>
                </wp:positionH>
                <wp:positionV relativeFrom="margin">
                  <wp:posOffset>9063355</wp:posOffset>
                </wp:positionV>
                <wp:extent cx="191770" cy="21336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19177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lot</w:t>
                            </w:r>
                          </w:p>
                        </w:txbxContent>
                      </wps:txbx>
                      <wps:bodyPr lIns="0" tIns="0" rIns="0" bIns="0">
                        <a:spAutoFit/>
                      </wps:bodyPr>
                    </wps:wsp>
                  </a:graphicData>
                </a:graphic>
              </wp:anchor>
            </w:drawing>
          </mc:Choice>
          <mc:Fallback>
            <w:pict>
              <v:shape id="_x0000_s1171" type="#_x0000_t202" style="position:absolute;margin-left:537.25pt;margin-top:713.64999999999998pt;width:15.1pt;height:16.800000000000001pt;z-index:-125829231;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lot</w:t>
                      </w:r>
                    </w:p>
                  </w:txbxContent>
                </v:textbox>
                <w10:wrap type="topAndBottom" anchorx="page" anchory="margin"/>
              </v:shape>
            </w:pict>
          </mc:Fallback>
        </mc:AlternateContent>
      </w:r>
      <w:r>
        <w:t>Na druhé straně je od začátku až do konce</w:t>
      </w:r>
      <w:r>
        <w:t xml:space="preserve"> bezrad</w:t>
      </w:r>
      <w:r>
        <w:softHyphen/>
        <w:t>nost a nejistota, v neposlední řadě také proto, že veřejné mínění anglické i francouzské je rozděleno a neposuzuje poměry ve Španělsku se zřetelem k zájmům svých zemí, nýbrž podle ideologické příbuznosti a po většině bez náležité znalosti, jak věci</w:t>
      </w:r>
      <w:r>
        <w:t xml:space="preserve"> ve Španělsku vypadají a oě tam vlastně běží. Anglická veřejnost stála s po</w:t>
      </w:r>
      <w:r>
        <w:softHyphen/>
        <w:t>čátku většinou na straně Francově, část proto, že se bála socialistických experimentů, část proto, že byla pohoršena zprávami o pálení kostelů. Když se konaly obecní volby v několi</w:t>
      </w:r>
      <w:r>
        <w:t xml:space="preserve">ka stech obcí v Anglii na podzim 1936, ztratila </w:t>
      </w:r>
      <w:r>
        <w:rPr>
          <w:lang w:val="en-US" w:eastAsia="en-US" w:bidi="en-US"/>
        </w:rPr>
        <w:t xml:space="preserve">Labour </w:t>
      </w:r>
      <w:r>
        <w:t>Party v některých městech citelné množství hlasů, poněvadž se — opatrně a nesměle — postavila za madridskou vláda. Otázka cizí intervence se ještě tehdy nejevila ve své pozdější ostrosti a průměr</w:t>
      </w:r>
      <w:r>
        <w:softHyphen/>
        <w:t>ný An</w:t>
      </w:r>
      <w:r>
        <w:t xml:space="preserve">gličan si prostě přál, aby tam dole </w:t>
      </w:r>
      <w:r>
        <w:rPr>
          <w:b/>
          <w:bCs/>
          <w:sz w:val="20"/>
          <w:szCs w:val="20"/>
        </w:rPr>
        <w:t xml:space="preserve">v </w:t>
      </w:r>
      <w:r>
        <w:t>té barbarsky</w:t>
      </w:r>
      <w:r>
        <w:br w:type="page"/>
      </w:r>
    </w:p>
    <w:p w:rsidR="00500724" w:rsidRDefault="00F30FB8">
      <w:pPr>
        <w:pStyle w:val="Zkladntext1"/>
        <w:shd w:val="clear" w:color="auto" w:fill="auto"/>
        <w:spacing w:line="211" w:lineRule="auto"/>
        <w:ind w:firstLine="0"/>
      </w:pPr>
      <w:r>
        <w:t>krásné zenai, odkud přicházejí tak vysoké dividendy — Rio Tinto atd. jsou velmi půvabná jména, za nimiž se skrývají velmi positivní hospodářské zájmy — byl už zase pořádek. Na možnost ohrožení bezpečnosti</w:t>
      </w:r>
      <w:r>
        <w:t xml:space="preserve"> ve Středomoří nikdo zatím nemyslil. Když se věci vyvíjely jinak, než jak se s počátku zdálo, když se za občanskou válkou rýsovaly veliké mezinárodní komplikace, počalo se veřejné mínění britské obracet. Sentimentálně stála jeho většina v poslední době na </w:t>
      </w:r>
      <w:r>
        <w:t>straně republikánů a politicky se také mnoho prvotních stoupenců Franco</w:t>
      </w:r>
      <w:r>
        <w:softHyphen/>
        <w:t xml:space="preserve">vých obrátilo. Ale to už seděl </w:t>
      </w:r>
      <w:r>
        <w:rPr>
          <w:lang w:val="en-US" w:eastAsia="en-US" w:bidi="en-US"/>
        </w:rPr>
        <w:t xml:space="preserve">Chamberlain </w:t>
      </w:r>
      <w:r>
        <w:t>v sedle a dělal svou politiku, neohlížeje se na to, co veřejné mí</w:t>
      </w:r>
      <w:r>
        <w:softHyphen/>
        <w:t>nění jeho země myslí. Angličané mají obdivuhodnou literaturu o Španělsku, a</w:t>
      </w:r>
      <w:r>
        <w:t>le pro koho se takové knihy píší a vydávají, je u boha</w:t>
      </w:r>
    </w:p>
    <w:p w:rsidR="00500724" w:rsidRDefault="00F30FB8">
      <w:pPr>
        <w:pStyle w:val="Zkladntext1"/>
        <w:shd w:val="clear" w:color="auto" w:fill="auto"/>
        <w:spacing w:line="211" w:lineRule="auto"/>
        <w:ind w:firstLine="260"/>
      </w:pPr>
      <w:r>
        <w:t>Když vypukla válka ve Španělsku, nebyla francouz</w:t>
      </w:r>
      <w:r>
        <w:softHyphen/>
        <w:t>ská veřejnost připravena lépe než anglická chápat ji a hledat, kde je francouzský zájem, nýbrž s velikou vášní se rozdělila na dva tábory. Nezapomínejme</w:t>
      </w:r>
      <w:r>
        <w:t>, že to bylo několik neděl po volbách, že vítězná volební formace se ve Francii stejně jako ve Španělsku jmenovala j-lidová fronta« a že právě v tu dobu uskutečňovala Blumová vláda sociální reformy, jež se politickým a hospodářským konservativcům zajídaly.</w:t>
      </w:r>
    </w:p>
    <w:p w:rsidR="00500724" w:rsidRDefault="00F30FB8">
      <w:pPr>
        <w:pStyle w:val="Zkladntext1"/>
        <w:shd w:val="clear" w:color="auto" w:fill="auto"/>
        <w:spacing w:line="211" w:lineRule="auto"/>
        <w:ind w:firstLine="260"/>
      </w:pPr>
      <w:r>
        <w:t>To vysvětluje zaujatost, s kterou ti i oni posuzovali první období občanské války. Není pochyby, na kterou stranu se klonila ve své většině Blumová vláda. Nic</w:t>
      </w:r>
      <w:r>
        <w:softHyphen/>
        <w:t>méně právě ona dala podnět k politice neintervence. Dva důvody působily jistě na Blumovo rozhodn</w:t>
      </w:r>
      <w:r>
        <w:t>utí. Jednak se nechtěl odchýlit od solidarity s Anglií, krátce předtím pracně obnovené. Diskutovalo se mnoho o tom v socialistických kruzích francouzských i jiných, vy- konala-li anglická vláda na francouzskou skutečný ná</w:t>
      </w:r>
      <w:r>
        <w:softHyphen/>
        <w:t>tlak. Někteří francouzští socialis</w:t>
      </w:r>
      <w:r>
        <w:t>té, osobně blízcí Blu</w:t>
      </w:r>
      <w:r>
        <w:softHyphen/>
        <w:t>moví, to tvrdili, Eden to kategoricky popřel, když byl interpelován anglickými labouristy. Ale jsou formy ná</w:t>
      </w:r>
      <w:r>
        <w:softHyphen/>
        <w:t xml:space="preserve">tlaku, nezachycené v žádných diplomatických aktech a demarších. Pouhé vědomí, že by byla solidárnost s Anglií opět otřesena, </w:t>
      </w:r>
      <w:r>
        <w:t>stačilo Blumoví, aby zakolísal. Druhý důvod byl vnitřní. Zajisté nešlo ani o úmysl intervence, ale i prostý prodej válečného materiálu republikánům, povolený mezinárodním právem, byl by narazil na protesty jedné části veřejného mínění. Ale Blum měl svůj ob</w:t>
      </w:r>
      <w:r>
        <w:t>sáhlý vládní program a měl ctižádost provést jej. K tomu potřeboval uvnitř klidu — ještě v červenci propukly stávky s obsazením továren a ne</w:t>
      </w:r>
      <w:r>
        <w:softHyphen/>
        <w:t>bylo možno zlikvidovat je. Do toho nepokojného ovzduší nechtěl házet novou zápalnou látku.</w:t>
      </w:r>
    </w:p>
    <w:p w:rsidR="00500724" w:rsidRDefault="00F30FB8">
      <w:pPr>
        <w:pStyle w:val="Zkladntext1"/>
        <w:shd w:val="clear" w:color="auto" w:fill="auto"/>
        <w:spacing w:after="60" w:line="209" w:lineRule="auto"/>
        <w:ind w:firstLine="260"/>
      </w:pPr>
      <w:r>
        <w:t>Bylo francouzské dělnict</w:t>
      </w:r>
      <w:r>
        <w:t>vo ostatně tak odhodláno dosáhnout podpory pro španělské republikány? Viděl jsem ty schůze, na kterých se křičelo &gt;děla a letadla pro Španělsko«, ale po schůzi šli to lidé klidně zapít, přesvědčeni, že křikem udělali pro Španělsko dost. Výroba byla v tu do</w:t>
      </w:r>
      <w:r>
        <w:t>bu ještě rozrušena a Francie by ne</w:t>
      </w:r>
      <w:r>
        <w:softHyphen/>
        <w:t>byla mohla mnoho dodávat, nemajíc dobře z čeho. Otáz</w:t>
      </w:r>
      <w:r>
        <w:softHyphen/>
        <w:t>ka pracovní doby, mezd a jiných konkrétních zlepšení byla mnohem citlivější než otázka pomoci Španělsku. Kdyby se byl projevil ve francouzském dělnictvu v tu dobu skute</w:t>
      </w:r>
      <w:r>
        <w:t>čný živelný proud pro pomoc republi</w:t>
      </w:r>
      <w:r>
        <w:softHyphen/>
        <w:t>kánům, třeba bez intervence, nebyl by mu mohl Blum odolat. Ale všecko zůstalo při slovech a sbírkách, jež ostatně také nevynesly mnoho. A konečně v tu dobu byla ještě naděje, že se podaří vynutit neintervenci oboustranno</w:t>
      </w:r>
      <w:r>
        <w:t>u a snad by se to bylo podařilo, kdyby si nebyl Blum svázal ruce tím, že z okamžité reciprocity neudělal předpoklad neintervenční politiky.</w:t>
      </w:r>
    </w:p>
    <w:p w:rsidR="00500724" w:rsidRDefault="00F30FB8">
      <w:pPr>
        <w:pStyle w:val="Zkladntext1"/>
        <w:shd w:val="clear" w:color="auto" w:fill="auto"/>
        <w:spacing w:line="211" w:lineRule="auto"/>
        <w:ind w:firstLine="0"/>
        <w:jc w:val="center"/>
      </w:pPr>
      <w:r>
        <w:t>Chvíle splatnosti</w:t>
      </w:r>
    </w:p>
    <w:p w:rsidR="00500724" w:rsidRDefault="00F30FB8">
      <w:pPr>
        <w:pStyle w:val="Zkladntext1"/>
        <w:shd w:val="clear" w:color="auto" w:fill="auto"/>
        <w:spacing w:line="254" w:lineRule="auto"/>
        <w:ind w:firstLine="260"/>
        <w:rPr>
          <w:sz w:val="20"/>
          <w:szCs w:val="20"/>
        </w:rPr>
      </w:pPr>
      <w:r>
        <w:t xml:space="preserve">Nemá smyslu podávat tu historii slavného slepého a hluchého neintervenčního výboru. Podívejme se, </w:t>
      </w:r>
      <w:r>
        <w:t>jak teď vypadá situace po pádu Barcelony. Teď se blíží okamžik, kdy se z války ve Španělsku může vy</w:t>
      </w:r>
      <w:r>
        <w:softHyphen/>
        <w:t xml:space="preserve">vinout zápas oŠpanělsko. Teď se totiž přibližuje </w:t>
      </w:r>
      <w:r>
        <w:rPr>
          <w:rFonts w:ascii="Arial" w:eastAsia="Arial" w:hAnsi="Arial" w:cs="Arial"/>
          <w:b/>
          <w:bCs/>
          <w:i/>
          <w:iCs/>
          <w:sz w:val="20"/>
          <w:szCs w:val="20"/>
        </w:rPr>
        <w:t>ioa</w:t>
      </w:r>
    </w:p>
    <w:p w:rsidR="00500724" w:rsidRDefault="00F30FB8">
      <w:pPr>
        <w:pStyle w:val="Zkladntext1"/>
        <w:shd w:val="clear" w:color="auto" w:fill="auto"/>
        <w:spacing w:after="120" w:line="211" w:lineRule="auto"/>
        <w:ind w:firstLine="0"/>
      </w:pPr>
      <w:r>
        <w:t xml:space="preserve">chvíle splatnosti jednoho velmi důležitého slibu. </w:t>
      </w:r>
      <w:r>
        <w:rPr>
          <w:b/>
          <w:bCs/>
          <w:sz w:val="20"/>
          <w:szCs w:val="20"/>
        </w:rPr>
        <w:t xml:space="preserve">Už </w:t>
      </w:r>
      <w:r>
        <w:t xml:space="preserve">dávno se intervenující velmoci svou pomocí </w:t>
      </w:r>
      <w:r>
        <w:t>Francovi nijak netajily, naopak okázale oslavovaly vítězství svých zbraní na španělské půdě, už dávno se tedy ne</w:t>
      </w:r>
      <w:r>
        <w:softHyphen/>
        <w:t xml:space="preserve">mohly neintervenující velmoci tvářit nevidomými </w:t>
      </w:r>
      <w:r>
        <w:rPr>
          <w:b/>
          <w:bCs/>
          <w:sz w:val="20"/>
          <w:szCs w:val="20"/>
        </w:rPr>
        <w:t xml:space="preserve">a </w:t>
      </w:r>
      <w:r>
        <w:t>místo oboustranného vyklizení cizích vojáků spokojo- valy se dvojím ujištěním, jednak že Itál</w:t>
      </w:r>
      <w:r>
        <w:t>ie povolá zpátky své legionáře, až bude po válce, jednak že nemíní po</w:t>
      </w:r>
      <w:r>
        <w:softHyphen/>
        <w:t xml:space="preserve">držet ani čtverečného metru španělského území. Konec války, to znamenalo pro Itálii konec vítězný </w:t>
      </w:r>
      <w:r>
        <w:rPr>
          <w:lang w:val="en-US" w:eastAsia="en-US" w:bidi="en-US"/>
        </w:rPr>
        <w:t>pro Fran</w:t>
      </w:r>
      <w:r>
        <w:rPr>
          <w:lang w:val="en-US" w:eastAsia="en-US" w:bidi="en-US"/>
        </w:rPr>
        <w:softHyphen/>
        <w:t xml:space="preserve">ca </w:t>
      </w:r>
      <w:r>
        <w:t xml:space="preserve">— </w:t>
      </w:r>
      <w:r>
        <w:rPr>
          <w:lang w:val="en-US" w:eastAsia="en-US" w:bidi="en-US"/>
        </w:rPr>
        <w:t xml:space="preserve">Mussolini </w:t>
      </w:r>
      <w:r>
        <w:t xml:space="preserve">to nejednou řekl bez jakéhokoli dvoj- smyslu. Už dávno anglická </w:t>
      </w:r>
      <w:r>
        <w:t>politika otevřeně a fran</w:t>
      </w:r>
      <w:r>
        <w:softHyphen/>
        <w:t>couzská politika zastřeně počítaly také s tímto výsled</w:t>
      </w:r>
      <w:r>
        <w:softHyphen/>
        <w:t>kem, ba pokoušely se aspoň nepřímo urychlit jej, aby tím urychlily odchod Italů ze Španělska. Nenaléhaly vážně na odchod italských vojsk a německých techni</w:t>
      </w:r>
      <w:r>
        <w:softHyphen/>
        <w:t>ků, i když bylo komi</w:t>
      </w:r>
      <w:r>
        <w:t>sí Společnosti národů zjištěno, že republikánská vláda poslala pryč všechny členy mezinárodních brigád, trpěly bombardování, aby při</w:t>
      </w:r>
      <w:r>
        <w:softHyphen/>
        <w:t>pravily civilní obyvatelstvo na nutnost kapitulace, až do zcela nedávné doby odmítaly dodávat do Španělska i za drahé peníz</w:t>
      </w:r>
      <w:r>
        <w:t>e potraviny — teprve koncem minulého roku prodala francouzská vláda španělské část svých obilních přebytků. Mezinárodní situace ujasnila totiž veřejnému mínění obou zemí důležitost posic, jež teď Italové ve Španělsku drží, a vlády obou zemí jsou netrpělivé</w:t>
      </w:r>
      <w:r>
        <w:t xml:space="preserve">, aby tyto posice byly vyklizeny. Francouzská sněmovna objevila pozdě, ale přece, že na neutrálním Španělsku závisí bezpečnost francouzských </w:t>
      </w:r>
      <w:r>
        <w:rPr>
          <w:lang w:val="en-US" w:eastAsia="en-US" w:bidi="en-US"/>
        </w:rPr>
        <w:t xml:space="preserve">^routes </w:t>
      </w:r>
      <w:r>
        <w:t>impérialesc, a několik resolucí parlamentu a vládních prohlášení zavazuje Francii, aby se teď domáhala jed</w:t>
      </w:r>
      <w:r>
        <w:softHyphen/>
      </w:r>
      <w:r>
        <w:t>nak rychlé evakuace cizinců ze španělského území, jednak vyklizení choulostivých strategických bodů.</w:t>
      </w:r>
    </w:p>
    <w:p w:rsidR="00500724" w:rsidRDefault="00F30FB8">
      <w:pPr>
        <w:pStyle w:val="Zkladntext1"/>
        <w:shd w:val="clear" w:color="auto" w:fill="auto"/>
        <w:spacing w:after="60" w:line="206" w:lineRule="auto"/>
        <w:ind w:firstLine="0"/>
        <w:jc w:val="center"/>
      </w:pPr>
      <w:r>
        <w:t>Pozdní znepokojení</w:t>
      </w:r>
    </w:p>
    <w:p w:rsidR="00500724" w:rsidRDefault="00F30FB8">
      <w:pPr>
        <w:pStyle w:val="Zkladntext1"/>
        <w:shd w:val="clear" w:color="auto" w:fill="auto"/>
        <w:spacing w:line="199" w:lineRule="auto"/>
      </w:pPr>
      <w:r>
        <w:t>Francouzští politikové rozličných — a často proti</w:t>
      </w:r>
      <w:r>
        <w:softHyphen/>
        <w:t>lehlých — tendencí byli v posledních měsících zneklid</w:t>
      </w:r>
      <w:r>
        <w:softHyphen/>
        <w:t>něni mezinárodní stránkou událos</w:t>
      </w:r>
      <w:r>
        <w:t>tí ve Španělsku. Pan. de Kerillis, jenž první nemýlíme-li se, dal podnět k tomu, aby byla generálu Francovi odevzdána čestná šavle jako dar jeho francouzských obdivovatelů, pro</w:t>
      </w:r>
      <w:r>
        <w:softHyphen/>
        <w:t>nesl a napsal v nedávné době mnoho výstražných slov o nebezpečí, jemuž bude Fra</w:t>
      </w:r>
      <w:r>
        <w:t>ncie vydána, nechá-li Pyreneje v okruhu eventuálních italsko-německých operací. Křesťansko sociální poslanec pan Pezet podal v těchto dnech v listě své strany »Aube« tento obraz nesnází, jež mohou pro Francii nastat, i když opravdu budou cizí vojska odvolá</w:t>
      </w:r>
      <w:r>
        <w:t>na:</w:t>
      </w:r>
    </w:p>
    <w:p w:rsidR="00500724" w:rsidRDefault="00F30FB8">
      <w:pPr>
        <w:pStyle w:val="Zkladntext1"/>
        <w:shd w:val="clear" w:color="auto" w:fill="auto"/>
        <w:spacing w:line="187" w:lineRule="auto"/>
        <w:rPr>
          <w:sz w:val="20"/>
          <w:szCs w:val="20"/>
        </w:rPr>
      </w:pPr>
      <w:r>
        <w:rPr>
          <w:sz w:val="20"/>
          <w:szCs w:val="20"/>
        </w:rPr>
        <w:t>»Nálada, kterou Francův tisk a rozhlas vzbudil proti nám, zůstane a povede rozhodující osobnosti Francova Špa</w:t>
      </w:r>
      <w:r>
        <w:rPr>
          <w:sz w:val="20"/>
          <w:szCs w:val="20"/>
        </w:rPr>
        <w:softHyphen/>
        <w:t xml:space="preserve">nělska k tomu, že budou podporovat Itálii a Německo v jejich operacích proti Francii. Ke zdaru těch operací stačí, aby se </w:t>
      </w:r>
      <w:r>
        <w:rPr>
          <w:sz w:val="20"/>
          <w:szCs w:val="20"/>
          <w:lang w:val="en-US" w:eastAsia="en-US" w:bidi="en-US"/>
        </w:rPr>
        <w:t xml:space="preserve">Franco </w:t>
      </w:r>
      <w:r>
        <w:rPr>
          <w:sz w:val="20"/>
          <w:szCs w:val="20"/>
        </w:rPr>
        <w:t>uvolil znepok</w:t>
      </w:r>
      <w:r>
        <w:rPr>
          <w:sz w:val="20"/>
          <w:szCs w:val="20"/>
        </w:rPr>
        <w:t>ojovat Francii na Pyrenejích, v Maroku a Středomoří. Stačí, aby Francie neměla absolut</w:t>
      </w:r>
      <w:r>
        <w:rPr>
          <w:sz w:val="20"/>
          <w:szCs w:val="20"/>
        </w:rPr>
        <w:softHyphen/>
        <w:t>ní jistotu, že bude moci volně disponovat svými vojenský</w:t>
      </w:r>
      <w:r>
        <w:rPr>
          <w:sz w:val="20"/>
          <w:szCs w:val="20"/>
        </w:rPr>
        <w:softHyphen/>
        <w:t>mi silami v severní Africe a volně je dovážet. Stačí, aby ještě po několik měsíců Anglie byla znepokojována na G</w:t>
      </w:r>
      <w:r>
        <w:rPr>
          <w:sz w:val="20"/>
          <w:szCs w:val="20"/>
        </w:rPr>
        <w:t>ibral</w:t>
      </w:r>
      <w:r>
        <w:rPr>
          <w:sz w:val="20"/>
          <w:szCs w:val="20"/>
        </w:rPr>
        <w:softHyphen/>
        <w:t xml:space="preserve">taru, jenž může být neutralisován, ba ohrožen zezadu </w:t>
      </w:r>
      <w:r>
        <w:t xml:space="preserve">a </w:t>
      </w:r>
      <w:r>
        <w:rPr>
          <w:sz w:val="20"/>
          <w:szCs w:val="20"/>
        </w:rPr>
        <w:t>zepředu, ze španělského Maroka. Stačí, aby bylo obyvatel</w:t>
      </w:r>
      <w:r>
        <w:rPr>
          <w:sz w:val="20"/>
          <w:szCs w:val="20"/>
        </w:rPr>
        <w:softHyphen/>
        <w:t xml:space="preserve">stvo jižní Francie po několik neděl necháno v nejistotě </w:t>
      </w:r>
      <w:r>
        <w:t xml:space="preserve">o </w:t>
      </w:r>
      <w:r>
        <w:rPr>
          <w:sz w:val="20"/>
          <w:szCs w:val="20"/>
        </w:rPr>
        <w:t>svém osudu a poplašeno nebezpečím útoku ze vzduchu. Několik tisíc dobře mířených</w:t>
      </w:r>
      <w:r>
        <w:rPr>
          <w:sz w:val="20"/>
          <w:szCs w:val="20"/>
        </w:rPr>
        <w:t xml:space="preserve"> bomb by učinilo celou jižní železniční síť neupotřebitelnou. A to by pak umožnilo nový Mnichov, tentokrát pravděpodobně na útraty Francie.«</w:t>
      </w:r>
    </w:p>
    <w:p w:rsidR="00500724" w:rsidRDefault="00F30FB8">
      <w:pPr>
        <w:pStyle w:val="Zkladntext1"/>
        <w:shd w:val="clear" w:color="auto" w:fill="auto"/>
        <w:spacing w:after="60" w:line="206" w:lineRule="auto"/>
      </w:pPr>
      <w:r>
        <w:t>To se úmyslně vyhýbáme citovat některého Dolitika nebo některý list, jenž by mohl být podezříván ze sym</w:t>
      </w:r>
      <w:r>
        <w:softHyphen/>
        <w:t>patií k rep</w:t>
      </w:r>
      <w:r>
        <w:t xml:space="preserve">ublikánskému Španělsku. Je možno říci, že až na pana Doriota, na záhadné kruhy, za něž mluví j&gt;Matin« a » Jour« a s jistými výhradami na pana Flan- dina, celá Francie si dodatečně uvědomuje, co je pro ni v sázce. A vláda? Jejím jménem prohlásil </w:t>
      </w:r>
      <w:r>
        <w:rPr>
          <w:lang w:val="en-US" w:eastAsia="en-US" w:bidi="en-US"/>
        </w:rPr>
        <w:t xml:space="preserve">pan Bonnet </w:t>
      </w:r>
      <w:r>
        <w:t>v senátě minulý týden:</w:t>
      </w:r>
    </w:p>
    <w:p w:rsidR="00500724" w:rsidRDefault="00F30FB8">
      <w:pPr>
        <w:pStyle w:val="Zkladntext1"/>
        <w:shd w:val="clear" w:color="auto" w:fill="auto"/>
        <w:spacing w:line="180" w:lineRule="auto"/>
        <w:rPr>
          <w:sz w:val="20"/>
          <w:szCs w:val="20"/>
        </w:rPr>
      </w:pPr>
      <w:r>
        <w:rPr>
          <w:sz w:val="20"/>
          <w:szCs w:val="20"/>
        </w:rPr>
        <w:t>^Důležitost Španělska je prvotřídní pro naše dopravní spoje, a nemohli bychom strpět, aby přítomnost cizího státu ve Španělsku ohrožovala nedotknutelnost našich říšských cest. Vláda v Burgosu se zavázala v září, že žádný cizí stát ne</w:t>
      </w:r>
      <w:r>
        <w:rPr>
          <w:sz w:val="20"/>
          <w:szCs w:val="20"/>
        </w:rPr>
        <w:t>bude mít nadále rozhodující vliv na španělském území. Italská vláda pak prohlásila, že si nechce zajistit žádný územní nebo politický zisk ve Španělsku a vláda anglická Jako naše vzala na vědomost ta prohlášeni a ty závazky. Do</w:t>
      </w:r>
      <w:r>
        <w:rPr>
          <w:sz w:val="20"/>
          <w:szCs w:val="20"/>
        </w:rPr>
        <w:softHyphen/>
        <w:t>dávám, že ty závazky byly dá</w:t>
      </w:r>
      <w:r>
        <w:rPr>
          <w:sz w:val="20"/>
          <w:szCs w:val="20"/>
        </w:rPr>
        <w:t>ny bez výhrady a budou musit být rovněž splněny bez výhrady.*</w:t>
      </w:r>
    </w:p>
    <w:p w:rsidR="00500724" w:rsidRDefault="00F30FB8">
      <w:pPr>
        <w:pStyle w:val="Zkladntext1"/>
        <w:shd w:val="clear" w:color="auto" w:fill="auto"/>
        <w:spacing w:after="80" w:line="211" w:lineRule="auto"/>
        <w:ind w:firstLine="260"/>
      </w:pPr>
      <w:r>
        <w:t>Necháváme stranou otázku, je-li možno v Evropě po Mnichově vynucovat opravdu od Itálie něco bez vý</w:t>
      </w:r>
      <w:r>
        <w:softHyphen/>
        <w:t xml:space="preserve">hrady, i jinou otázku, byl-li </w:t>
      </w:r>
      <w:r>
        <w:rPr>
          <w:lang w:val="en-US" w:eastAsia="en-US" w:bidi="en-US"/>
        </w:rPr>
        <w:t xml:space="preserve">by pan Bonnet </w:t>
      </w:r>
      <w:r>
        <w:t>opravdu dost energický pokoušet se o to. Většinu it</w:t>
      </w:r>
      <w:r>
        <w:t>alských pro</w:t>
      </w:r>
      <w:r>
        <w:softHyphen/>
        <w:t xml:space="preserve">jevů o této věci nezná svět přímo z italských úst, nýbrž </w:t>
      </w:r>
      <w:r>
        <w:rPr>
          <w:b/>
          <w:bCs/>
          <w:sz w:val="20"/>
          <w:szCs w:val="20"/>
        </w:rPr>
        <w:t xml:space="preserve">z </w:t>
      </w:r>
      <w:r>
        <w:t xml:space="preserve">prohlášení francouzských a anglických státníků. Existují ovšem ujištění, že se Itálie nemíní usadit ve Španělsku trvale, ale jsou mnohem méně kategorická a bezvýhradná, než </w:t>
      </w:r>
      <w:r>
        <w:rPr>
          <w:lang w:val="en-US" w:eastAsia="en-US" w:bidi="en-US"/>
        </w:rPr>
        <w:t xml:space="preserve">pan Bonnet </w:t>
      </w:r>
      <w:r>
        <w:t>s</w:t>
      </w:r>
      <w:r>
        <w:t>oudí.</w:t>
      </w:r>
    </w:p>
    <w:p w:rsidR="00500724" w:rsidRDefault="00F30FB8">
      <w:pPr>
        <w:pStyle w:val="Zkladntext40"/>
        <w:shd w:val="clear" w:color="auto" w:fill="auto"/>
        <w:spacing w:after="0" w:line="240" w:lineRule="auto"/>
        <w:jc w:val="center"/>
        <w:rPr>
          <w:sz w:val="14"/>
          <w:szCs w:val="14"/>
        </w:rPr>
      </w:pPr>
      <w:r>
        <w:rPr>
          <w:b/>
          <w:bCs/>
          <w:sz w:val="14"/>
          <w:szCs w:val="14"/>
        </w:rPr>
        <w:t>Naděje, nikoli jistota</w:t>
      </w:r>
    </w:p>
    <w:p w:rsidR="00500724" w:rsidRDefault="00F30FB8">
      <w:pPr>
        <w:pStyle w:val="Zkladntext1"/>
        <w:shd w:val="clear" w:color="auto" w:fill="auto"/>
        <w:spacing w:after="120" w:line="211" w:lineRule="auto"/>
        <w:ind w:firstLine="260"/>
      </w:pPr>
      <w:r>
        <w:t>Anglická a francouzská vláda soudí, že teď přijde chvíle, kdy Itálie jednak odvolá své sbory, jednak vy</w:t>
      </w:r>
      <w:r>
        <w:softHyphen/>
        <w:t xml:space="preserve">klidí Baleáry a ostatní strategické posice. Co do dalšího, věří, že čas pracuje aspoň ve španělské věci pro ně. Podle </w:t>
      </w:r>
      <w:r>
        <w:t>jejich mínění nebude Francovi proti mysli, bude-li se moci trochu opřít o Londýn a Paříž a získat tak volnost pohybu vůči těm, jimž děkuje za své vítěz</w:t>
      </w:r>
      <w:r>
        <w:softHyphen/>
        <w:t>ství. Nebude se hněvat, bude-li mu nabídnuta hospodář</w:t>
      </w:r>
      <w:r>
        <w:softHyphen/>
        <w:t xml:space="preserve">ská pomoc. Země válkou zruinovaná bude potřebovat </w:t>
      </w:r>
      <w:r>
        <w:t xml:space="preserve">nákladné obnovy, a peníze jsou v Londýně a Paříži, ne jinde. Ale Londýn a Paříž neotevrou měšec dříve, pokud nebude Španělsko vyklizeno, </w:t>
      </w:r>
      <w:r>
        <w:rPr>
          <w:lang w:val="en-US" w:eastAsia="en-US" w:bidi="en-US"/>
        </w:rPr>
        <w:t xml:space="preserve">Franco </w:t>
      </w:r>
      <w:r>
        <w:t>bude tedy sám nejvíce naléhat, aby tento slib byl co nejdříve splněn. A pak, říkají si v Paříži a v Londýně, neš</w:t>
      </w:r>
      <w:r>
        <w:t>ko</w:t>
      </w:r>
      <w:r>
        <w:softHyphen/>
        <w:t xml:space="preserve">dil o, že Itálie vynaložila tolik sil ve Španělsku — kdyby došlo k nějakému velikému konfliktu, to, co ztratila ve Španělsku, bude jí už vždycky scházet. Konečně nelze přehlédnout jeden moment psychologický, čerpaný ze španělských dějin — Eden více než </w:t>
      </w:r>
      <w:r>
        <w:t>před rokem se ho do</w:t>
      </w:r>
      <w:r>
        <w:softHyphen/>
        <w:t>volával v anglické sněmovně, pan Flandin jím operoval před nedávném ve sněmovně francouzské. Španělský národ je velmi nedůtklivý na svou čest a nezávislost a nenávidí vetřelce — Napoleon měl příležitost přesvěd</w:t>
      </w:r>
      <w:r>
        <w:softHyphen/>
        <w:t>čit se o tom k své škodě.</w:t>
      </w:r>
      <w:r>
        <w:t xml:space="preserve"> Af se věci upraví ve Španěl</w:t>
      </w:r>
      <w:r>
        <w:softHyphen/>
        <w:t xml:space="preserve">sku jakkoli, Spanělé všech odstínů budou nakonec dělit svět na ty, kdo se míchali do jejich války, a na ty, kdo se drželi stranou. A těm, kteří se drželi stranou, soudí auglo-francouzská diplomacie, budou vděčni a s nimi budou </w:t>
      </w:r>
      <w:r>
        <w:t>chtít společně pracovat politicky, kultur</w:t>
      </w:r>
      <w:r>
        <w:softHyphen/>
        <w:t>ně a hospodářsky. Jednostranná neintervence mohla snad způsobit dočasný pokles franco-anglického vlivu, ale nakonec na něm Anglie i Francie vydělají.</w:t>
      </w:r>
    </w:p>
    <w:p w:rsidR="00500724" w:rsidRDefault="00F30FB8">
      <w:pPr>
        <w:pStyle w:val="Zkladntext1"/>
        <w:shd w:val="clear" w:color="auto" w:fill="auto"/>
        <w:spacing w:line="211" w:lineRule="auto"/>
        <w:ind w:firstLine="0"/>
        <w:jc w:val="center"/>
      </w:pPr>
      <w:r>
        <w:t>Co Itálie drží.</w:t>
      </w:r>
    </w:p>
    <w:p w:rsidR="00500724" w:rsidRDefault="00F30FB8">
      <w:pPr>
        <w:pStyle w:val="Zkladntext1"/>
        <w:shd w:val="clear" w:color="auto" w:fill="auto"/>
        <w:spacing w:line="204" w:lineRule="auto"/>
        <w:ind w:firstLine="260"/>
      </w:pPr>
      <w:r>
        <w:t xml:space="preserve">Jinak, docela jinak se asi dívají na vývoj věcí </w:t>
      </w:r>
      <w:r>
        <w:t xml:space="preserve">v Římě </w:t>
      </w:r>
      <w:r>
        <w:rPr>
          <w:sz w:val="22"/>
          <w:szCs w:val="22"/>
        </w:rPr>
        <w:t xml:space="preserve">a </w:t>
      </w:r>
      <w:r>
        <w:t>v Berlíně. Italsko-německé vítězství ve Španělsku vytvořilo ve Středomoří novou situaci, kterou ještě před pádem Barcelony, formulovala »Yorkshire Post* takto:</w:t>
      </w:r>
    </w:p>
    <w:p w:rsidR="00500724" w:rsidRDefault="00F30FB8">
      <w:pPr>
        <w:pStyle w:val="Zkladntext1"/>
        <w:shd w:val="clear" w:color="auto" w:fill="auto"/>
        <w:spacing w:line="178" w:lineRule="auto"/>
        <w:ind w:firstLine="260"/>
        <w:rPr>
          <w:sz w:val="20"/>
          <w:szCs w:val="20"/>
        </w:rPr>
      </w:pPr>
      <w:r>
        <w:rPr>
          <w:sz w:val="20"/>
          <w:szCs w:val="20"/>
        </w:rPr>
        <w:t>^Francie, náš spojenec, by mohla být napadena od jihu jako s ostatních stran a poražena</w:t>
      </w:r>
      <w:r>
        <w:rPr>
          <w:sz w:val="20"/>
          <w:szCs w:val="20"/>
        </w:rPr>
        <w:t xml:space="preserve"> dříve, než bychom jí mohli přijít na pomoc. Každý rok dovážíme po moři dvacet milionů tun potravin. Kdyby nám byla uzavřena středo- mořská cesta, znamenalo by to pro nás konec dovozu po</w:t>
      </w:r>
      <w:r>
        <w:rPr>
          <w:sz w:val="20"/>
          <w:szCs w:val="20"/>
        </w:rPr>
        <w:softHyphen/>
        <w:t>travin ze středomořských zemí a petroleje z Haify. Nepřítel, mající r</w:t>
      </w:r>
      <w:r>
        <w:rPr>
          <w:sz w:val="20"/>
          <w:szCs w:val="20"/>
        </w:rPr>
        <w:t>ozhodující vliv ve Španělsku, by mohl přeříznout dvě třetiny našich mořských cest a odseknout nás od našich zásobovacích zdrojů. Naše zásobovací cesta okolo mysu Dobré naděje by vyžadovala většího množství lodí než záso</w:t>
      </w:r>
      <w:r>
        <w:rPr>
          <w:sz w:val="20"/>
          <w:szCs w:val="20"/>
        </w:rPr>
        <w:softHyphen/>
        <w:t>bovací cesta přes Středomoří, a to v</w:t>
      </w:r>
      <w:r>
        <w:rPr>
          <w:sz w:val="20"/>
          <w:szCs w:val="20"/>
        </w:rPr>
        <w:t xml:space="preserve"> poměru 9:5. Tonáž na</w:t>
      </w:r>
      <w:r>
        <w:rPr>
          <w:sz w:val="20"/>
          <w:szCs w:val="20"/>
        </w:rPr>
        <w:softHyphen/>
        <w:t>šeho obchodního loďstva je dnes o celou čtvrtinu menší než roku 1914. Ztrátou nadvlády ve Středomoří by bylo britské Impérium rozděleno ve dvě části, jež by si navzájem ne</w:t>
      </w:r>
      <w:r>
        <w:rPr>
          <w:sz w:val="20"/>
          <w:szCs w:val="20"/>
        </w:rPr>
        <w:softHyphen/>
        <w:t>mohly pomáhat.</w:t>
      </w:r>
    </w:p>
    <w:p w:rsidR="00500724" w:rsidRDefault="00F30FB8">
      <w:pPr>
        <w:pStyle w:val="Zkladntext1"/>
        <w:shd w:val="clear" w:color="auto" w:fill="auto"/>
        <w:spacing w:line="209" w:lineRule="auto"/>
        <w:ind w:firstLine="260"/>
        <w:rPr>
          <w:sz w:val="20"/>
          <w:szCs w:val="20"/>
        </w:rPr>
      </w:pPr>
      <w:r>
        <w:t>To, co se počátkem prosince formulovalo takto z</w:t>
      </w:r>
      <w:r>
        <w:t>pů</w:t>
      </w:r>
      <w:r>
        <w:softHyphen/>
        <w:t xml:space="preserve">sobem Dodmiňovacím, je dnes nutno formulovat už způsobem oznamovacím: Pro Francii je ztráta ještě Citelnější. Po dvě stě let platilo pro ni heslo Ludvíka čtrnáctého &gt;Není už Pyrenejíc — </w:t>
      </w:r>
      <w:r>
        <w:rPr>
          <w:b/>
          <w:bCs/>
          <w:sz w:val="20"/>
          <w:szCs w:val="20"/>
        </w:rPr>
        <w:t>a jakými obětmi do</w:t>
      </w:r>
      <w:r>
        <w:rPr>
          <w:b/>
          <w:bCs/>
          <w:sz w:val="20"/>
          <w:szCs w:val="20"/>
        </w:rPr>
        <w:softHyphen/>
      </w:r>
    </w:p>
    <w:p w:rsidR="00500724" w:rsidRDefault="00F30FB8">
      <w:pPr>
        <w:pStyle w:val="Zkladntext1"/>
        <w:shd w:val="clear" w:color="auto" w:fill="auto"/>
        <w:spacing w:after="40" w:line="209" w:lineRule="auto"/>
        <w:ind w:firstLine="0"/>
      </w:pPr>
      <w:r>
        <w:t>sáhl tohoto uvolnění jihozápadních hranici — dn</w:t>
      </w:r>
      <w:r>
        <w:t>es Francie pozoruje, že Pyreneje zase existují. A kromě toho bezpečnost spojení mezi metropolí a Afrikou je ta tam.</w:t>
      </w:r>
    </w:p>
    <w:p w:rsidR="00500724" w:rsidRDefault="00F30FB8">
      <w:pPr>
        <w:pStyle w:val="Zkladntext1"/>
        <w:shd w:val="clear" w:color="auto" w:fill="auto"/>
        <w:spacing w:after="40" w:line="211" w:lineRule="auto"/>
        <w:ind w:firstLine="260"/>
      </w:pPr>
      <w:r>
        <w:t>Lze rozumně očekávat, že Itálie a Německo vydají tak beze všeho tyto trumfy z rukou? A oč se opírá na</w:t>
      </w:r>
      <w:r>
        <w:softHyphen/>
        <w:t xml:space="preserve">děje, že </w:t>
      </w:r>
      <w:r>
        <w:rPr>
          <w:lang w:val="en-US" w:eastAsia="en-US" w:bidi="en-US"/>
        </w:rPr>
        <w:t xml:space="preserve">Franco </w:t>
      </w:r>
      <w:r>
        <w:t>se bude hledět vyprost</w:t>
      </w:r>
      <w:r>
        <w:t xml:space="preserve">it z italsko-ně- meckého spojenectví? Zdá se, že je s ním </w:t>
      </w:r>
      <w:r>
        <w:rPr>
          <w:lang w:val="en-US" w:eastAsia="en-US" w:bidi="en-US"/>
        </w:rPr>
        <w:t xml:space="preserve">Franco </w:t>
      </w:r>
      <w:r>
        <w:t>úplně spokojen. Kdyby však nebyl, připomíná mu italský i německý tisk v těchto dnech velmi důrazně, že vítěz</w:t>
      </w:r>
      <w:r>
        <w:softHyphen/>
        <w:t xml:space="preserve">ství nedobyl on, nýbrž jeho spojenci, a to je pravda. Kdyby bylo třeba, dovede se </w:t>
      </w:r>
      <w:r>
        <w:t xml:space="preserve">i </w:t>
      </w:r>
      <w:r>
        <w:rPr>
          <w:lang w:val="en-US" w:eastAsia="en-US" w:bidi="en-US"/>
        </w:rPr>
        <w:t xml:space="preserve">Mussolini </w:t>
      </w:r>
      <w:r>
        <w:t>i Hitler posta</w:t>
      </w:r>
      <w:r>
        <w:softHyphen/>
        <w:t>rat, aby se neodchýlil od osy — prostředky k tomu mají. Válka stála Itálii veliké peníze — podle anglických od</w:t>
      </w:r>
      <w:r>
        <w:softHyphen/>
        <w:t>hadů třicet milionů liber šterlinků, nepočítajíc přímá vydání za italské mužstvo ve Španělsku a jeho výzbroj — je možn</w:t>
      </w:r>
      <w:r>
        <w:t xml:space="preserve">o čekat, že nežádajíc ani haléře náhrady, stáhne svou armádu bez záruky zaplacení? </w:t>
      </w:r>
      <w:r>
        <w:rPr>
          <w:lang w:val="en-US" w:eastAsia="en-US" w:bidi="en-US"/>
        </w:rPr>
        <w:t xml:space="preserve">Franco </w:t>
      </w:r>
      <w:r>
        <w:t>nemá peněz, ale může platit a už platí ve formě hospo</w:t>
      </w:r>
      <w:r>
        <w:softHyphen/>
        <w:t>dářských koncesí v rudném území, ve formě dovolení ke kolonisaci v územích málo zalidněných, Itálie má zkrátka m</w:t>
      </w:r>
      <w:r>
        <w:t xml:space="preserve">noho cest, jimiž může zajistit svou trvalou přítomnost ve Španělsku. A je tak jisto, že </w:t>
      </w:r>
      <w:r>
        <w:rPr>
          <w:lang w:val="en-US" w:eastAsia="en-US" w:bidi="en-US"/>
        </w:rPr>
        <w:t xml:space="preserve">Franco </w:t>
      </w:r>
      <w:r>
        <w:t>bude nutně potřebovat pařížských a londýnských měš</w:t>
      </w:r>
      <w:r>
        <w:softHyphen/>
        <w:t>ců k hospodářské nápravě? Španělsko je potenciálně bohatá země a němečtí technikové a finančníci se mohou úspě</w:t>
      </w:r>
      <w:r>
        <w:t>šně pokusit o organisaci tohoto bohatství a racionálního těžení z něho.</w:t>
      </w:r>
    </w:p>
    <w:p w:rsidR="00500724" w:rsidRDefault="00F30FB8">
      <w:pPr>
        <w:pStyle w:val="Zkladntext40"/>
        <w:shd w:val="clear" w:color="auto" w:fill="auto"/>
        <w:spacing w:after="40" w:line="240" w:lineRule="auto"/>
        <w:jc w:val="center"/>
        <w:rPr>
          <w:sz w:val="14"/>
          <w:szCs w:val="14"/>
        </w:rPr>
      </w:pPr>
      <w:r>
        <w:rPr>
          <w:b/>
          <w:bCs/>
          <w:sz w:val="14"/>
          <w:szCs w:val="14"/>
        </w:rPr>
        <w:t>Španělsko jako výměnný předmět</w:t>
      </w:r>
    </w:p>
    <w:p w:rsidR="00500724" w:rsidRDefault="00F30FB8">
      <w:pPr>
        <w:pStyle w:val="Zkladntext1"/>
        <w:shd w:val="clear" w:color="auto" w:fill="auto"/>
        <w:spacing w:line="209" w:lineRule="auto"/>
        <w:ind w:firstLine="260"/>
      </w:pPr>
      <w:r>
        <w:t>Připusťme však možnost nejpříznivější a nejméně pravdě podobnou, že totiž Itálie vysloví ochotu ze Špa</w:t>
      </w:r>
      <w:r>
        <w:softHyphen/>
        <w:t>nělska a z Baleár odejít. V tom případě bude chtít</w:t>
      </w:r>
      <w:r>
        <w:t xml:space="preserve"> — a se svého stanoviska docela logickv — těchto posic využít aspoň jako výměnného předmětu v jednání s Francií. To nevyslovujeme žádnou hypotésu — pře</w:t>
      </w:r>
      <w:r>
        <w:softHyphen/>
        <w:t xml:space="preserve">čtěme si, co píše velmi autoritativní »Resto </w:t>
      </w:r>
      <w:r>
        <w:rPr>
          <w:lang w:val="en-US" w:eastAsia="en-US" w:bidi="en-US"/>
        </w:rPr>
        <w:t xml:space="preserve">del Carlino* </w:t>
      </w:r>
      <w:r>
        <w:t>6. února:</w:t>
      </w:r>
    </w:p>
    <w:p w:rsidR="00500724" w:rsidRDefault="00F30FB8">
      <w:pPr>
        <w:pStyle w:val="Zkladntext1"/>
        <w:shd w:val="clear" w:color="auto" w:fill="auto"/>
        <w:spacing w:after="40" w:line="178" w:lineRule="auto"/>
        <w:ind w:firstLine="260"/>
        <w:rPr>
          <w:sz w:val="20"/>
          <w:szCs w:val="20"/>
        </w:rPr>
      </w:pPr>
      <w:r>
        <w:rPr>
          <w:sz w:val="20"/>
          <w:szCs w:val="20"/>
        </w:rPr>
        <w:t xml:space="preserve">s&gt;Válka v Habeši byla italským </w:t>
      </w:r>
      <w:r>
        <w:rPr>
          <w:sz w:val="20"/>
          <w:szCs w:val="20"/>
        </w:rPr>
        <w:t>vítězstvím nad 52 národy, váika ve Španělsku je italské vítězství nad Francií. Pro</w:t>
      </w:r>
      <w:r>
        <w:rPr>
          <w:sz w:val="20"/>
          <w:szCs w:val="20"/>
        </w:rPr>
        <w:softHyphen/>
        <w:t>hraná válka se platí, a to tím dráže, že máme ještě vyřizo</w:t>
      </w:r>
      <w:r>
        <w:rPr>
          <w:sz w:val="20"/>
          <w:szCs w:val="20"/>
        </w:rPr>
        <w:softHyphen/>
        <w:t>vat staré účty, na př. Korsiku, Tunis, Nizzu, Savojsko, Dži</w:t>
      </w:r>
      <w:r>
        <w:rPr>
          <w:sz w:val="20"/>
          <w:szCs w:val="20"/>
        </w:rPr>
        <w:softHyphen/>
        <w:t xml:space="preserve">buti, </w:t>
      </w:r>
      <w:r>
        <w:rPr>
          <w:sz w:val="20"/>
          <w:szCs w:val="20"/>
          <w:lang w:val="en-US" w:eastAsia="en-US" w:bidi="en-US"/>
        </w:rPr>
        <w:t xml:space="preserve">Suez </w:t>
      </w:r>
      <w:r>
        <w:rPr>
          <w:sz w:val="20"/>
          <w:szCs w:val="20"/>
        </w:rPr>
        <w:t>atd.«</w:t>
      </w:r>
    </w:p>
    <w:p w:rsidR="00500724" w:rsidRDefault="00F30FB8">
      <w:pPr>
        <w:pStyle w:val="Zkladntext1"/>
        <w:shd w:val="clear" w:color="auto" w:fill="auto"/>
        <w:spacing w:line="211" w:lineRule="auto"/>
        <w:ind w:firstLine="260"/>
      </w:pPr>
      <w:r>
        <w:t>Tento článek velmi dobře vystihuje, j</w:t>
      </w:r>
      <w:r>
        <w:t xml:space="preserve">ak se Itálie dívá na mezinárodní situaci po pádu Kalalánie. Nebude prostého ponechání </w:t>
      </w:r>
      <w:r>
        <w:rPr>
          <w:lang w:val="en-US" w:eastAsia="en-US" w:bidi="en-US"/>
        </w:rPr>
        <w:t xml:space="preserve">Franca </w:t>
      </w:r>
      <w:r>
        <w:t>dalšímu osudu — ostatně pan Virginio Gayda naznačil již, že italské vojsko zů</w:t>
      </w:r>
      <w:r>
        <w:softHyphen/>
        <w:t>stane ve Španělsku až do vítězství politického, nejen vojenského.</w:t>
      </w:r>
    </w:p>
    <w:p w:rsidR="00500724" w:rsidRDefault="00F30FB8">
      <w:pPr>
        <w:pStyle w:val="Zkladntext1"/>
        <w:shd w:val="clear" w:color="auto" w:fill="auto"/>
        <w:spacing w:after="40" w:line="211" w:lineRule="auto"/>
        <w:ind w:firstLine="260"/>
      </w:pPr>
      <w:r>
        <w:t>Článek novináře, je</w:t>
      </w:r>
      <w:r>
        <w:t>nž tak často tlumočí mínění nej</w:t>
      </w:r>
      <w:r>
        <w:softHyphen/>
        <w:t>vlivnějších míst', vzbudil v Londýně poplach takový, že vedl k oficiálnímu dotazu anglického velvyslance. Podle neúředních zpráv, odpověděl hrabě Ciano, že pan Gayda vyslovil jen svůj osobní názor. Tím lépe. Ale jak je vidět</w:t>
      </w:r>
      <w:r>
        <w:t xml:space="preserve"> z citovaného již »Resto </w:t>
      </w:r>
      <w:r>
        <w:rPr>
          <w:lang w:val="en-US" w:eastAsia="en-US" w:bidi="en-US"/>
        </w:rPr>
        <w:t xml:space="preserve">del Carlino*, </w:t>
      </w:r>
      <w:r>
        <w:t xml:space="preserve">odchod Italů ze Španělska nebude hladkou operací. V případě nejpříznivějším rozvinou se teď vážná mezinárodní jednání o této operaci, v nichž si dá Itálie svůj odchod přiměřeně zaplatit. Ta vyjednávání a vše, co se z </w:t>
      </w:r>
      <w:r>
        <w:t>nich může dále vyvinout, dopadnou-li příznivě i dopadnou-li nepříznivě, se nás již přímo netýkají a můžeme se na ně dívat jako pozorovatelé.</w:t>
      </w:r>
    </w:p>
    <w:p w:rsidR="00500724" w:rsidRDefault="00F30FB8">
      <w:pPr>
        <w:pStyle w:val="Zkladntext1"/>
        <w:shd w:val="clear" w:color="auto" w:fill="auto"/>
        <w:spacing w:after="40" w:line="211" w:lineRule="auto"/>
        <w:ind w:firstLine="0"/>
        <w:jc w:val="center"/>
      </w:pPr>
      <w:r>
        <w:t>Španělsko věčné</w:t>
      </w:r>
    </w:p>
    <w:p w:rsidR="00500724" w:rsidRDefault="00F30FB8">
      <w:pPr>
        <w:pStyle w:val="Zkladntext1"/>
        <w:shd w:val="clear" w:color="auto" w:fill="auto"/>
        <w:spacing w:after="40" w:line="233" w:lineRule="auto"/>
        <w:ind w:firstLine="260"/>
        <w:rPr>
          <w:sz w:val="20"/>
          <w:szCs w:val="20"/>
        </w:rPr>
      </w:pPr>
      <w:r>
        <w:t xml:space="preserve">Co soudí a co by chtěl španělský národ sám? </w:t>
      </w:r>
      <w:r>
        <w:rPr>
          <w:lang w:val="en-US" w:eastAsia="en-US" w:bidi="en-US"/>
        </w:rPr>
        <w:t xml:space="preserve">Franco </w:t>
      </w:r>
      <w:r>
        <w:t xml:space="preserve">odmítl v těchto dnech opět myšlenku jakéhokoli </w:t>
      </w:r>
      <w:r>
        <w:t>ple- biscitu, nějaké volby v dohledné době rovněž nebudou, není tedy prostředku, jak zjistit skutečnou politickou vůli v zemi. Jen obecnou únavu na obou stranách zji</w:t>
      </w:r>
      <w:r>
        <w:softHyphen/>
        <w:t>šťují všichni, kdo se v poslední době ze Španělska vrá</w:t>
      </w:r>
      <w:r>
        <w:softHyphen/>
        <w:t>tili. Všimněme si však některých pa</w:t>
      </w:r>
      <w:r>
        <w:t>radoxních stránek nynější situace za Pyrenejemj — jakmile jde o Španěl</w:t>
      </w:r>
      <w:r>
        <w:softHyphen/>
        <w:t xml:space="preserve">sko, ocitáme se ostatně vždveky v říši oaradoxů. Po celé století zápasily ve Španělsku dva hlavní proudy, </w:t>
      </w:r>
      <w:r>
        <w:rPr>
          <w:i/>
          <w:iCs/>
          <w:sz w:val="20"/>
          <w:szCs w:val="20"/>
        </w:rPr>
        <w:t>103</w:t>
      </w:r>
    </w:p>
    <w:p w:rsidR="00500724" w:rsidRDefault="00F30FB8">
      <w:pPr>
        <w:pStyle w:val="Zkladntext1"/>
        <w:shd w:val="clear" w:color="auto" w:fill="auto"/>
        <w:spacing w:line="211" w:lineRule="auto"/>
        <w:ind w:firstLine="0"/>
      </w:pPr>
      <w:r>
        <w:rPr>
          <w:lang w:val="en-US" w:eastAsia="en-US" w:bidi="en-US"/>
        </w:rPr>
        <w:t xml:space="preserve">»europeizantes«, </w:t>
      </w:r>
      <w:r>
        <w:t>kteří chtěli dohánět Evropu, a zastánci domácí tradice. Zh</w:t>
      </w:r>
      <w:r>
        <w:t>ruba — as jistými výhradami — lze říci, že dnešní republikáni jsou europeizantes a Fran- covci že jsou stoupenci domácího tradicionalismu. Nuže — a to je paradox první — ti europeizantes se marně dovolávali pomoci a zájmu liberální Evropy, zato jiná ěást E</w:t>
      </w:r>
      <w:r>
        <w:t>vropy, arci protiliberální, pomohla vší silou od</w:t>
      </w:r>
      <w:r>
        <w:softHyphen/>
        <w:t>půrcům evropských vlivů. Pochybujeme, že budou mít ještě jednou španělští europeizantes chuť vést doma zápas za Evropu, která je nechala na holičkách.</w:t>
      </w:r>
    </w:p>
    <w:p w:rsidR="00500724" w:rsidRDefault="00F30FB8">
      <w:pPr>
        <w:pStyle w:val="Zkladntext1"/>
        <w:shd w:val="clear" w:color="auto" w:fill="auto"/>
        <w:spacing w:line="211" w:lineRule="auto"/>
        <w:ind w:firstLine="260"/>
      </w:pPr>
      <w:r>
        <w:t>Nezajde-li však snad celý španělský národ v tomto vyvraž</w:t>
      </w:r>
      <w:r>
        <w:t>ďovacím zápase? Nemáme snad vidět v tom, co se teď ve Španělsku děje, smrtelné křeče země, státu a plemene? Mnoho by bylo možno říci o tomto tématu. Ale řekněme jen, že španělský národ zažil ve svých dě</w:t>
      </w:r>
      <w:r>
        <w:softHyphen/>
        <w:t>jinách podobných křečí už několik — jak otřásly celou</w:t>
      </w:r>
      <w:r>
        <w:t xml:space="preserve"> zemí na př. války proti Napoleonovi, nebo dlouhá a bezpříkladně krutá válka karlistická! Zažil a přežil, přežije i tuto hroznou zkoušku. Mýlí se arci ti ve Francii nebo v Anglii, kteří spoléhají na to, že jim budou Špa- nělé vděčni za neintervenci.</w:t>
      </w:r>
    </w:p>
    <w:p w:rsidR="00500724" w:rsidRDefault="00F30FB8">
      <w:pPr>
        <w:pStyle w:val="Zkladntext1"/>
        <w:shd w:val="clear" w:color="auto" w:fill="auto"/>
        <w:spacing w:after="160" w:line="211" w:lineRule="auto"/>
        <w:ind w:firstLine="260"/>
      </w:pPr>
      <w:r>
        <w:t>Španěl</w:t>
      </w:r>
      <w:r>
        <w:t>é jsou fatalisty, jak jim určuje i jejich arabská krev i poučení jejich tisícileté historie. Ten fatalismus není však pesimistický, vede naopak k hluboké víře, že po všem protivenství bude, musí být zase jednou lépe. Na konci sedmnáctého století, už na skl</w:t>
      </w:r>
      <w:r>
        <w:t xml:space="preserve">onku španělské moci, věří </w:t>
      </w:r>
      <w:r>
        <w:rPr>
          <w:lang w:val="en-US" w:eastAsia="en-US" w:bidi="en-US"/>
        </w:rPr>
        <w:t xml:space="preserve">Alvarez </w:t>
      </w:r>
      <w:r>
        <w:t>Ossorio, že &gt;mucha mal suele ser víspera de mucho bien« — &gt;mnoho zla bývá obyčejně předvečerem obratu k dobrému*. Ten národ doufá a věří — někdy tak pevně, že považuje za zbytečné hnout prstem, aby svou víru a naději pomoh</w:t>
      </w:r>
      <w:r>
        <w:t>l uskutečnit. I když si nejvíce zoufá nad úpadkem, i když nejnelítost</w:t>
      </w:r>
      <w:r>
        <w:softHyphen/>
        <w:t xml:space="preserve">něji analysuje a bičuje svou neschopnost přizpůsobit se modernímu světu, je Španěl v hloubce přesvědčen o tom, že Španělsko nezahyne. </w:t>
      </w:r>
      <w:r>
        <w:rPr>
          <w:lang w:val="en-US" w:eastAsia="en-US" w:bidi="en-US"/>
        </w:rPr>
        <w:t xml:space="preserve">Costa, </w:t>
      </w:r>
      <w:r>
        <w:t>veliký pesimista, jenž napsal Španělům do svě</w:t>
      </w:r>
      <w:r>
        <w:t>domí pravdy nejméně pří</w:t>
      </w:r>
      <w:r>
        <w:softHyphen/>
        <w:t xml:space="preserve">jemné a tolikrát proklínal španělský osud, napsal také: »Jako </w:t>
      </w:r>
      <w:r>
        <w:rPr>
          <w:lang w:val="en-US" w:eastAsia="en-US" w:bidi="en-US"/>
        </w:rPr>
        <w:t xml:space="preserve">Fichte </w:t>
      </w:r>
      <w:r>
        <w:t>věřil ve věčnost německého plemene ve chvíli, kdy je deptal Napoleon, věříme my zase ve věč</w:t>
      </w:r>
      <w:r>
        <w:softHyphen/>
        <w:t>nost španělského.*</w:t>
      </w:r>
    </w:p>
    <w:p w:rsidR="00500724" w:rsidRDefault="00F30FB8">
      <w:pPr>
        <w:pStyle w:val="Jin0"/>
        <w:shd w:val="clear" w:color="auto" w:fill="auto"/>
        <w:spacing w:after="200"/>
        <w:ind w:firstLine="0"/>
        <w:jc w:val="left"/>
        <w:rPr>
          <w:sz w:val="44"/>
          <w:szCs w:val="44"/>
        </w:rPr>
      </w:pPr>
      <w:r>
        <w:rPr>
          <w:b/>
          <w:bCs/>
          <w:sz w:val="44"/>
          <w:szCs w:val="44"/>
          <w:u w:val="single"/>
        </w:rPr>
        <w:t>literatura a uměni</w:t>
      </w:r>
    </w:p>
    <w:p w:rsidR="00500724" w:rsidRDefault="00F30FB8">
      <w:pPr>
        <w:pStyle w:val="Zkladntext40"/>
        <w:shd w:val="clear" w:color="auto" w:fill="auto"/>
        <w:spacing w:after="80" w:line="240" w:lineRule="auto"/>
      </w:pPr>
      <w:r>
        <w:rPr>
          <w:b/>
          <w:bCs/>
          <w:i/>
          <w:iCs/>
        </w:rPr>
        <w:t>Edmond Konrád:</w:t>
      </w:r>
    </w:p>
    <w:p w:rsidR="00500724" w:rsidRDefault="00F30FB8">
      <w:pPr>
        <w:pStyle w:val="Nadpis100"/>
        <w:shd w:val="clear" w:color="auto" w:fill="auto"/>
        <w:spacing w:after="80" w:line="240" w:lineRule="auto"/>
      </w:pPr>
      <w:bookmarkStart w:id="165" w:name="bookmark166"/>
      <w:r>
        <w:t xml:space="preserve">Je Alois Jirásek </w:t>
      </w:r>
      <w:r>
        <w:t>národní?</w:t>
      </w:r>
      <w:bookmarkEnd w:id="165"/>
    </w:p>
    <w:p w:rsidR="00500724" w:rsidRDefault="00F30FB8">
      <w:pPr>
        <w:pStyle w:val="Zkladntext20"/>
        <w:shd w:val="clear" w:color="auto" w:fill="auto"/>
        <w:spacing w:after="80" w:line="202" w:lineRule="auto"/>
        <w:ind w:firstLine="0"/>
        <w:jc w:val="center"/>
      </w:pPr>
      <w:r>
        <w:t>Co je národní?</w:t>
      </w:r>
    </w:p>
    <w:p w:rsidR="00500724" w:rsidRDefault="00F30FB8">
      <w:pPr>
        <w:pStyle w:val="Zkladntext20"/>
        <w:shd w:val="clear" w:color="auto" w:fill="auto"/>
        <w:spacing w:line="202" w:lineRule="auto"/>
        <w:ind w:firstLine="260"/>
      </w:pPr>
      <w:r>
        <w:t>A co je v umění nenárodní? Zní to, jako by se vra</w:t>
      </w:r>
      <w:r>
        <w:softHyphen/>
        <w:t>cely doby, kdy se u nás jaksi po rusku hledaly »pravé« a »levé« úchylky.</w:t>
      </w:r>
    </w:p>
    <w:p w:rsidR="00500724" w:rsidRDefault="00F30FB8">
      <w:pPr>
        <w:pStyle w:val="Zkladntext20"/>
        <w:shd w:val="clear" w:color="auto" w:fill="auto"/>
        <w:spacing w:after="200" w:line="202" w:lineRule="auto"/>
        <w:ind w:firstLine="260"/>
      </w:pPr>
      <w:r>
        <w:t>Docela patrně pro národní umění jako pro každé jiné umění je třeba měřítek (Salda psával: sudidel) umělecky z</w:t>
      </w:r>
      <w:r>
        <w:t>důvodněných. Jinak propukne zmatek. Na počátku novodobého rozvoje našeho — podle úsloví »co je české, to je hezké« — nejhorší potupou novému dílu bývalo, nazvat je »nečeským«. V příručkách čte</w:t>
      </w:r>
      <w:r>
        <w:softHyphen/>
        <w:t>nář si laskavě zopakuj, co touto výtkou vytrpěli třebas Mácha a</w:t>
      </w:r>
      <w:r>
        <w:t xml:space="preserve"> Smetana. Skladatel ^Prodané nevěsty« ob</w:t>
      </w:r>
      <w:r>
        <w:softHyphen/>
        <w:t>viňován byl z wagneriánství, tedy z hudebního germa- nofilství a německosti. Ryze »český« byl podle tehdej</w:t>
      </w:r>
      <w:r>
        <w:softHyphen/>
        <w:t>ších měřítek Sebor. Jsou však dodnes lidé, kteří »Pro- danou nevěstu« za nejčeštější operu považují proto, ž</w:t>
      </w:r>
      <w:r>
        <w:t>e se v ní nosí selské kroje, a že její nápěvy dávno znají odjinud než z divadla. Domnívají se patrně, že jsou to národní písně. To nebuď důvod k ruměncům studu. I v Německu jsou ještě lidé, kterým Beethove</w:t>
      </w:r>
      <w:r>
        <w:softHyphen/>
        <w:t>nova skladba »U potoka« je proto mistrovským dílem</w:t>
      </w:r>
      <w:r>
        <w:t>, poněvadž hlas kukaččin je tak mistrně napodoben.</w:t>
      </w:r>
    </w:p>
    <w:p w:rsidR="00500724" w:rsidRDefault="00F30FB8">
      <w:pPr>
        <w:pStyle w:val="Zkladntext1"/>
        <w:shd w:val="clear" w:color="auto" w:fill="auto"/>
        <w:spacing w:after="120"/>
        <w:ind w:firstLine="0"/>
      </w:pPr>
      <w:r>
        <w:rPr>
          <w:b/>
          <w:bCs/>
          <w:i/>
          <w:iCs/>
        </w:rPr>
        <w:t>iO4</w:t>
      </w:r>
    </w:p>
    <w:p w:rsidR="00500724" w:rsidRDefault="00F30FB8">
      <w:pPr>
        <w:pStyle w:val="Zkladntext20"/>
        <w:shd w:val="clear" w:color="auto" w:fill="auto"/>
        <w:spacing w:line="202" w:lineRule="auto"/>
      </w:pPr>
      <w:r>
        <w:t>Kdyby se takto a podobně měřidel obsahových užilo na Aloise Jiráska, obstojí podle nich nejen jako klasik národní, ale jako klasik ruralismu: tak přečasto sedlák, zemědělec a zeman jsou jeho hrdiny. Po</w:t>
      </w:r>
      <w:r>
        <w:t>mník za všechny: padolská kronika »U nás«, nezapomenu</w:t>
      </w:r>
      <w:r>
        <w:softHyphen/>
        <w:t>telná, kdyby ne vším jiným, tedy nepoddajným chuďa</w:t>
      </w:r>
      <w:r>
        <w:softHyphen/>
        <w:t>sovým: »A přeci se to uďálo!« Sedláci a zemané jsou i ti sršatci, kdož se za Janem z Trocnova sbíhají na Hradiště hory Tábor a odtad za ním ku Praze tá</w:t>
      </w:r>
      <w:r>
        <w:t>hnou na pomoc proti »té šelmě ryšavé«, tomu machometovi Zikmundu Lucemburskému, římskému císaři a králi uherskému. Poslední z nich, Roháč ze Siona, se zbylý</w:t>
      </w:r>
      <w:r>
        <w:softHyphen/>
        <w:t>mi nejvěrnějšími toho lidu po bitvě lipanské ještě hájí, s primitivní charakterností počestného rad</w:t>
      </w:r>
      <w:r>
        <w:t>ikála, pro</w:t>
      </w:r>
      <w:r>
        <w:softHyphen/>
        <w:t>gramu táborského proti cizovládě téhož machometa: rodem Lucemburka, jenž je po otci Francouz, podle císařského titulu Němec a smýšlením Maďar. Nelze si vybrat hrdinu zatvrzeleji národního, než je tento poslední pokračovatel Zižkova selského a ná</w:t>
      </w:r>
      <w:r>
        <w:t>rodního boje proti světové internacionále křižáků, namířené k vyhlazení českého národa. Bylo by jistě třeba sple</w:t>
      </w:r>
      <w:r>
        <w:softHyphen/>
        <w:t xml:space="preserve">titých triků logických, aby takový bitec byl vyloučen </w:t>
      </w:r>
      <w:r>
        <w:rPr>
          <w:b/>
          <w:bCs/>
          <w:sz w:val="26"/>
          <w:szCs w:val="26"/>
        </w:rPr>
        <w:t xml:space="preserve">z </w:t>
      </w:r>
      <w:r>
        <w:t>tradice národního umění. Bylo by pro měřítko obsa</w:t>
      </w:r>
      <w:r>
        <w:softHyphen/>
        <w:t>hové patrně třeba velmi zúžit pojem n</w:t>
      </w:r>
      <w:r>
        <w:t>árodní tradice v umění, případně jednotlivé její složky, ústrojně po sobě jdoucí během věků, uměle a neústrojně stavět proti sobě: třebas tradici svatováclavskou, oslavenou Stanislavem Lomem, proti tradici Jiříka z Poděbrad, opěvané Rudolfem Medkem. Nebo t</w:t>
      </w:r>
      <w:r>
        <w:t>radici Palackého proti předchozí, proti českému baroku — ač ve sku</w:t>
      </w:r>
      <w:r>
        <w:softHyphen/>
        <w:t xml:space="preserve">tečnosti vždy ona z této roste, žádná nepředstavuje než vývojové období a všechny dohromady teprve tvoří, v dějinách i v umění, celou národní tradici českou. Tak jako sotva by koho napadlo </w:t>
      </w:r>
      <w:r>
        <w:rPr>
          <w:b/>
          <w:bCs/>
          <w:sz w:val="26"/>
          <w:szCs w:val="26"/>
        </w:rPr>
        <w:t xml:space="preserve">z </w:t>
      </w:r>
      <w:r>
        <w:t>národní tradice francouzské vylučovat buď tradici Ludvíků až do krá</w:t>
      </w:r>
      <w:r>
        <w:softHyphen/>
        <w:t>le Slunce, nebo tradici napoleonskou.</w:t>
      </w:r>
    </w:p>
    <w:p w:rsidR="00500724" w:rsidRDefault="00F30FB8">
      <w:pPr>
        <w:pStyle w:val="Zkladntext20"/>
        <w:shd w:val="clear" w:color="auto" w:fill="auto"/>
        <w:spacing w:line="202" w:lineRule="auto"/>
      </w:pPr>
      <w:r>
        <w:t>Naopak podle měřítek obsahových, užitých prosto</w:t>
      </w:r>
      <w:r>
        <w:softHyphen/>
        <w:t xml:space="preserve">duše, došlo by se případně k tomu, že </w:t>
      </w:r>
      <w:r>
        <w:rPr>
          <w:b/>
          <w:bCs/>
          <w:sz w:val="26"/>
          <w:szCs w:val="26"/>
        </w:rPr>
        <w:t xml:space="preserve">z </w:t>
      </w:r>
      <w:r>
        <w:t>tradice uměni národního musil by být vylučován básník, vyhla</w:t>
      </w:r>
      <w:r>
        <w:t>šova</w:t>
      </w:r>
      <w:r>
        <w:softHyphen/>
        <w:t>ný právě dnes mnohými za básníka národního a to snad největšího: Jaroslav Durych. Buď hned zdůraz</w:t>
      </w:r>
      <w:r>
        <w:softHyphen/>
        <w:t>něno, že zde je řeč nikoli o jeho osobě, ani o jeho politickém — případně nepolitickém — počínání, k němuž se těmito řádky nezaujímá stanovisko. Má zde b</w:t>
      </w:r>
      <w:r>
        <w:t>ýt řeč o jeho díle, a sice o knize, po výtce se vztahující k naší národní tradici: o »Bloudění«.</w:t>
      </w:r>
    </w:p>
    <w:p w:rsidR="00500724" w:rsidRDefault="00F30FB8">
      <w:pPr>
        <w:pStyle w:val="Zkladntext20"/>
        <w:shd w:val="clear" w:color="auto" w:fill="auto"/>
        <w:spacing w:after="40" w:line="202" w:lineRule="auto"/>
      </w:pPr>
      <w:r>
        <w:t>Bez rozdílu stran snad každému průměrnému Cechu se Bílá hora vžila jako symbol národní katastrofy. Podle soupisu frází, jaký kdysi v besedách pořizoval Svatopl</w:t>
      </w:r>
      <w:r>
        <w:t>uk Cech, nebo v podobném duchu poláčkov- ského slovníku mohlo by se psát: »Bělohorská« viz »Pohroma«. Příliš často a zajisté nikoli právem vy</w:t>
      </w:r>
      <w:r>
        <w:softHyphen/>
        <w:t>skytovalo se jméno Bílé hory v nářcích na černý pod</w:t>
      </w:r>
      <w:r>
        <w:softHyphen/>
        <w:t xml:space="preserve">zim roku právě minulého. Je superlativem nejtěžší bídy našeho </w:t>
      </w:r>
      <w:r>
        <w:t>národa. Spisovatelé se ve volbě látky dlouho vyhýbali osudnému 8. listopadu 1620, Jirásek míjel celou tu dobu téměř soustavně, Josef Jiří Kolár ^Pražského žida« nasadil sice těsně za ni, hořký Viktor Dyk v »Poslu« promítl polemický šleh do blíz</w:t>
      </w:r>
      <w:r>
        <w:softHyphen/>
        <w:t xml:space="preserve">kosti toho </w:t>
      </w:r>
      <w:r>
        <w:t>data, dávný Třebízský, katolický kněz, lkal své »Bělohorské elegie« až nad jeho následky — niko</w:t>
      </w:r>
      <w:r>
        <w:softHyphen/>
        <w:t xml:space="preserve">mu se nechtělo do námětu samého. Až Zikmund </w:t>
      </w:r>
      <w:r>
        <w:rPr>
          <w:lang w:val="en-US" w:eastAsia="en-US" w:bidi="en-US"/>
        </w:rPr>
        <w:t>Win</w:t>
      </w:r>
      <w:r>
        <w:rPr>
          <w:lang w:val="en-US" w:eastAsia="en-US" w:bidi="en-US"/>
        </w:rPr>
        <w:softHyphen/>
        <w:t xml:space="preserve">ter </w:t>
      </w:r>
      <w:r>
        <w:t>»Mistrem Kampanem« se do něho pustil, se za</w:t>
      </w:r>
      <w:r>
        <w:softHyphen/>
        <w:t>ťatými zuby a svíraje žalem srdce čtenářovo. Na je</w:t>
      </w:r>
      <w:r>
        <w:softHyphen/>
        <w:t>višti se toho</w:t>
      </w:r>
      <w:r>
        <w:t xml:space="preserve"> s nezdarem odvážil Arnošt Dvořák. Sebe rozdílnější v traktaci, romanopisec </w:t>
      </w:r>
      <w:r>
        <w:rPr>
          <w:b/>
          <w:bCs/>
          <w:sz w:val="26"/>
          <w:szCs w:val="26"/>
        </w:rPr>
        <w:t xml:space="preserve">i </w:t>
      </w:r>
      <w:r>
        <w:t>dramatik ovšenl představovali Bílou horu jako to, čím je citu obecně platnému — jako nedozírné neštěstí. S jiným pojetím se české srdce nesmíří.</w:t>
      </w:r>
    </w:p>
    <w:p w:rsidR="00500724" w:rsidRDefault="00F30FB8">
      <w:pPr>
        <w:pStyle w:val="Zkladntext20"/>
        <w:shd w:val="clear" w:color="auto" w:fill="auto"/>
        <w:spacing w:after="40" w:line="202" w:lineRule="auto"/>
        <w:ind w:firstLine="260"/>
      </w:pPr>
      <w:r>
        <w:t>S tímto pojetím od Kolára po Dvoř</w:t>
      </w:r>
      <w:r>
        <w:t>áka srovnej čte</w:t>
      </w:r>
      <w:r>
        <w:softHyphen/>
        <w:t>nář v Durychově »Bloudění« vylíčení popravy staro</w:t>
      </w:r>
      <w:r>
        <w:softHyphen/>
        <w:t>městské a popis bitvy bělohorské, o jejímž průběhu dvůr vítězů si dává drahně po ní na bojišti referovat na způsob rakouských manévrových »Besprechungů«. Není nejmenší pochyby, že devadesáti</w:t>
      </w:r>
      <w:r>
        <w:t xml:space="preserve"> devíti procen</w:t>
      </w:r>
      <w:r>
        <w:softHyphen/>
        <w:t>tům čtenářstva národně uvědomělého se při četbě těch dvou líčení bude vařit krev. Prostší duch pocítí je patrně jako cynismus. Jemnější jako křivdu. Ráznější národní dogmatik, užije-li obsahového měřítka, vy</w:t>
      </w:r>
      <w:r>
        <w:softHyphen/>
        <w:t>loučí Jaroslava Durycha z národa.</w:t>
      </w:r>
      <w:r>
        <w:t xml:space="preserve"> Vyvrhne ho z tra</w:t>
      </w:r>
      <w:r>
        <w:softHyphen/>
        <w:t>dice národního umění.</w:t>
      </w:r>
    </w:p>
    <w:p w:rsidR="00500724" w:rsidRDefault="00F30FB8">
      <w:pPr>
        <w:pStyle w:val="Zkladntext20"/>
        <w:shd w:val="clear" w:color="auto" w:fill="auto"/>
        <w:spacing w:after="160" w:line="202" w:lineRule="auto"/>
        <w:ind w:firstLine="260"/>
      </w:pPr>
      <w:r>
        <w:t>Zatím není pochyby, že Durychovo bojovné kato</w:t>
      </w:r>
      <w:r>
        <w:softHyphen/>
        <w:t>lictví, jež s ironickým chladem odstupu referuje o bitvě, s démonickým bystrozrakém zdánlivé neúčasti kreslí popravu, je pozdní, kaktusově trnitý květ české</w:t>
      </w:r>
      <w:r>
        <w:softHyphen/>
        <w:t>ho baroku, ja</w:t>
      </w:r>
      <w:r>
        <w:t>kož vůbec asi baroko je vlastní svět tohoto bizarního ducha, prostoupeného hlubokým vnitřním rozporem. Podrobnější a výňatky doložený rozbor obou míst i celého románového díla, do něhož jsou vepsány, ukázal by ho jako věřícího, jenž v roz</w:t>
      </w:r>
      <w:r>
        <w:softHyphen/>
        <w:t>poru mezi národem</w:t>
      </w:r>
      <w:r>
        <w:t xml:space="preserve"> a církví volí církev. Jenž si národ přeje vidět spíše na zemi vyhuben, než na věčnosti za</w:t>
      </w:r>
      <w:r>
        <w:softHyphen/>
        <w:t>tracen. Příznačně uzavřen je román milostným obje</w:t>
      </w:r>
      <w:r>
        <w:softHyphen/>
        <w:t>tím vrátkého obráceného českého kacíře s dívkou církevně téměř svátou, v jejímž náručí truchlivý někdejší bludař vy</w:t>
      </w:r>
      <w:r>
        <w:t>krvácí, aby ji s pomezí propustil zpátky do milované vlasti, obtěžkanou a těhotnou příštím spaseným Cechem, jenž je zároveň nejryzejší katolík. Nekatolík, nevěřící, bludař, kacíř je tomuto naprosto nekompromisnímu pojetí člověkem ne</w:t>
      </w:r>
      <w:r>
        <w:softHyphen/>
        <w:t xml:space="preserve">českým. Dogma »Nic než </w:t>
      </w:r>
      <w:r>
        <w:t>národ«, jež pud sebezáchovy vnuká pojmu nesmlouvavého národního umění, u Ja</w:t>
      </w:r>
      <w:r>
        <w:softHyphen/>
        <w:t>roslava Durycha zní: »Nic než církev!« Opravdu také básník častěji pochybil, vylučuje z národa vše, co bylo nebo se zdálo nekatolické. Je tedy</w:t>
      </w:r>
    </w:p>
    <w:p w:rsidR="00500724" w:rsidRDefault="00F30FB8">
      <w:pPr>
        <w:pStyle w:val="Zkladntext20"/>
        <w:shd w:val="clear" w:color="auto" w:fill="auto"/>
        <w:spacing w:after="120" w:line="202" w:lineRule="auto"/>
        <w:ind w:firstLine="0"/>
        <w:jc w:val="center"/>
      </w:pPr>
      <w:r>
        <w:t>Jaroslav Durych nenárodní?</w:t>
      </w:r>
    </w:p>
    <w:p w:rsidR="00500724" w:rsidRDefault="00F30FB8">
      <w:pPr>
        <w:pStyle w:val="Zkladntext20"/>
        <w:shd w:val="clear" w:color="auto" w:fill="auto"/>
        <w:spacing w:after="40" w:line="204" w:lineRule="auto"/>
        <w:ind w:firstLine="260"/>
      </w:pPr>
      <w:r>
        <w:t>Protinárodní? Příliš národní? Posuzován podle »tendence«, jež českou nacionálu, mimochodem po</w:t>
      </w:r>
      <w:r>
        <w:softHyphen/>
        <w:t>drobuje církevní internacionále, asi by musil být ozna</w:t>
      </w:r>
      <w:r>
        <w:softHyphen/>
        <w:t>čen jako krajní pravá úchylka pravičáctví, jako jakýsi trockista nacionalismu.</w:t>
      </w:r>
    </w:p>
    <w:p w:rsidR="00500724" w:rsidRDefault="00F30FB8">
      <w:pPr>
        <w:pStyle w:val="Zkladntext20"/>
        <w:shd w:val="clear" w:color="auto" w:fill="auto"/>
        <w:spacing w:after="80" w:line="202" w:lineRule="auto"/>
        <w:ind w:firstLine="260"/>
      </w:pPr>
      <w:r>
        <w:t>Není účel toho, co zde psáno</w:t>
      </w:r>
      <w:r>
        <w:t>, Jaroslava Durycha soudit ani obhajovat. Užívá se ho jako příkladu, kam by vedlo primitivnější užívám měřítka především obsahového. Proto sluší dodat, na čem se přese vše rozdíly s valnou, ne-li větší částí kritiky shodlo umě</w:t>
      </w:r>
      <w:r>
        <w:softHyphen/>
        <w:t>lecky cítící čtenářstvo, že »</w:t>
      </w:r>
      <w:r>
        <w:t>Bloudění» je dílo, včetně zmíněných kapitol, umělecky závažné a hodnotné, buďtež odchylky v jeho úhrnném hodnocení, míry vý</w:t>
      </w:r>
      <w:r>
        <w:softHyphen/>
        <w:t xml:space="preserve">tek skladbě či slohu jakékoli. A nezbývá než poctivě přiznat po svědomitém zkoumání, že umělecky má přednost jak před »BíIou horou« </w:t>
      </w:r>
      <w:r>
        <w:t>Dvořákovou, tak před Winterovým »Mistrem Kampanem« — na</w:t>
      </w:r>
      <w:r>
        <w:softHyphen/>
        <w:t>kolik sudidla umělecká mohou vůbec být objektivní. Je to umění proti naší české srsti, nicméně umění a nicméně české. V jakém smyslu a do jaké míry je nejen jazykově, nýbrž i povahově české, o tom pou</w:t>
      </w:r>
      <w:r>
        <w:t>čí na pří</w:t>
      </w:r>
      <w:r>
        <w:softHyphen/>
        <w:t>klad srovnání s Doblinovým »Wallensteinem«, jenž je prosycen účastí na českém utrpení, přes to, přiroze</w:t>
      </w:r>
      <w:r>
        <w:softHyphen/>
        <w:t>ně, bytostně nečeský.</w:t>
      </w:r>
    </w:p>
    <w:p w:rsidR="00500724" w:rsidRDefault="00F30FB8">
      <w:pPr>
        <w:pStyle w:val="Zkladntext20"/>
        <w:shd w:val="clear" w:color="auto" w:fill="auto"/>
        <w:spacing w:after="60" w:line="202" w:lineRule="auto"/>
        <w:ind w:firstLine="0"/>
        <w:jc w:val="center"/>
      </w:pPr>
      <w:r>
        <w:t>Národní program</w:t>
      </w:r>
    </w:p>
    <w:p w:rsidR="00500724" w:rsidRDefault="00F30FB8">
      <w:pPr>
        <w:pStyle w:val="Zkladntext20"/>
        <w:shd w:val="clear" w:color="auto" w:fill="auto"/>
        <w:spacing w:line="202" w:lineRule="auto"/>
        <w:ind w:firstLine="260"/>
      </w:pPr>
      <w:r>
        <w:t>Úchylkové dogma tedy, kdyby platilo, jak si někteří přejí, stálo by před neřešitelným rozporem: Durych č</w:t>
      </w:r>
      <w:r>
        <w:t>i Jirásek? V tomto světle třebas ten »Jan Roháč« by se jevil jako přesný rub hrdiny Durychova, jako jeho pravý protinožec. Je však patrno, že národní tra</w:t>
      </w:r>
      <w:r>
        <w:softHyphen/>
        <w:t xml:space="preserve">dice je, ať tak </w:t>
      </w:r>
      <w:r>
        <w:rPr>
          <w:lang w:val="en-US" w:eastAsia="en-US" w:bidi="en-US"/>
        </w:rPr>
        <w:t xml:space="preserve">dim, </w:t>
      </w:r>
      <w:r>
        <w:t>jich obou geometrické místo a že se ve své rozloze na šíři i do hloubi nemůže bez</w:t>
      </w:r>
      <w:r>
        <w:t xml:space="preserve"> újmy zříci žádného z nich. Národní tradice umělecká vůbec nemůže pozůstávat ve zužování a vylučování, nýbrž právě naopak v zahrnování a slučování co největších a nejplodnějších duchových držav. Nedávno na ve</w:t>
      </w:r>
      <w:r>
        <w:softHyphen/>
        <w:t>řejné schůzi kdosi prohlásil, že Karel Čapek by</w:t>
      </w:r>
      <w:r>
        <w:t>l sice dobrý spisovatel, ale národu neprospěl. Dobrý spiso</w:t>
      </w:r>
      <w:r>
        <w:softHyphen/>
        <w:t>vatel, který národu neprospívá, prostě neexistuje. Kdyby existoval, musilo by to platit na Jaroslava Durycha, jenž ve svém románě dal za pravdu vítězům nad národem.</w:t>
      </w:r>
    </w:p>
    <w:p w:rsidR="00500724" w:rsidRDefault="00F30FB8">
      <w:pPr>
        <w:pStyle w:val="Zkladntext20"/>
        <w:shd w:val="clear" w:color="auto" w:fill="auto"/>
        <w:spacing w:line="202" w:lineRule="auto"/>
        <w:ind w:firstLine="260"/>
      </w:pPr>
      <w:r>
        <w:t>Tudíž národní program, jenž vylu</w:t>
      </w:r>
      <w:r>
        <w:t>čuje tvůrčí oblast či způsob, není národní program. Národní tradice bude z umění vylučovat jenom nekvalitu.</w:t>
      </w:r>
    </w:p>
    <w:p w:rsidR="00500724" w:rsidRDefault="00F30FB8">
      <w:pPr>
        <w:pStyle w:val="Zkladntext20"/>
        <w:shd w:val="clear" w:color="auto" w:fill="auto"/>
        <w:spacing w:line="202" w:lineRule="auto"/>
        <w:ind w:firstLine="260"/>
      </w:pPr>
      <w:r>
        <w:t xml:space="preserve">Nebudiž program či tradice zaměňována s literární módou. A budiž dbáno, aby se jejich vedlejší znaky, ty, jež jsou napodobitelné, v módu nezvrhaly. </w:t>
      </w:r>
      <w:r>
        <w:t>Ve mla</w:t>
      </w:r>
      <w:r>
        <w:softHyphen/>
        <w:t>distvých, bujných letech po světové válce každá mo</w:t>
      </w:r>
      <w:r>
        <w:softHyphen/>
        <w:t>derní básnička slynula buď revolučním davem, nad nímž plul dejme tomu anděl, co možná mezi hvězdami uličních svítilen, anebo na příklad námořníkem a jaz</w:t>
      </w:r>
      <w:r>
        <w:softHyphen/>
        <w:t xml:space="preserve">zem. Uvolněný verš i rým a záměrná neumělost </w:t>
      </w:r>
      <w:r>
        <w:t>po</w:t>
      </w:r>
      <w:r>
        <w:softHyphen/>
        <w:t xml:space="preserve">koušely se s prvky svrchu uvedenými o sloh, tak jako s parukou a pastýřskou holí zlatého věku Rousseauova se ve sloh snoubilo nejkrutější nevolnictví a salonní příroda rokokových zámků. Po davech a námořnících přišly a přešly jiné -Ismy, jiné programy, </w:t>
      </w:r>
      <w:r>
        <w:t xml:space="preserve">Jiné módy, jež vylíčit zde není proč. Z nich všech zbyl Wolker, přežívá je třebas Hora, Halas, Seifert, ovšem Nezval, jehož básnická zpěvnost se hloubila a oprošťovala, svlékajíc -ismy jako had kůži. Básník je živý doklad, že neměli pravdu někdejší mladí, </w:t>
      </w:r>
      <w:r>
        <w:t>když se jednou ohni</w:t>
      </w:r>
      <w:r>
        <w:softHyphen/>
        <w:t>vě přeli, že napřed je theorie a program, potom teprve osobnost a tvorba básnická. Z těch, kteří tenkrát po několik hodin usvědčovali pisatele těchto řádků jako beznadějného a ztraceného literárního buržousta, ne</w:t>
      </w:r>
      <w:r>
        <w:softHyphen/>
        <w:t>píše už, myslím, ani je</w:t>
      </w:r>
      <w:r>
        <w:t>diný. Básníkem se mezi nimi nestal nikdo. Za to několik let později v Rusku začalo hnutí »proti rudému kýči«.</w:t>
      </w:r>
    </w:p>
    <w:p w:rsidR="00500724" w:rsidRDefault="00F30FB8">
      <w:pPr>
        <w:pStyle w:val="Zkladntext20"/>
        <w:shd w:val="clear" w:color="auto" w:fill="auto"/>
        <w:spacing w:line="202" w:lineRule="auto"/>
        <w:ind w:firstLine="260"/>
      </w:pPr>
      <w:r>
        <w:t>Od podzimu 1938 prožívá české písemnictví nový, bohdá plodný neklid. Zraněný národní cit, jenž nej</w:t>
      </w:r>
      <w:r>
        <w:softHyphen/>
        <w:t xml:space="preserve">prve lapal po slovech a začal s mýtěním cizích </w:t>
      </w:r>
      <w:r>
        <w:t>výrazů, záhy si začal určitý program, ostatně už před tím existovavší, stavět na oči jako vůdčí. Je to naskrze pochopitelné a nutné. Je-li smysl umění, promlouvat k citu, přirozeně ten cit potřebuje dnes něčeho jiného, než potřeboval po světové válce. Netř</w:t>
      </w:r>
      <w:r>
        <w:t>eba vystihnout zde všechny složité zřetele vnější a vnitřní, jež vedou k tomu, aby se český člověk ohlížel po konejšivé do</w:t>
      </w:r>
      <w:r>
        <w:softHyphen/>
        <w:t>mácí krajině, aby se dotkl její půdy, ponořil, jak toužil kdysi Otokar Theer, tvář do zrnitého jitrocelů na prosté české mezi. Z pouh</w:t>
      </w:r>
      <w:r>
        <w:t>ého pudu sebezáchovy stává se hrouda programem, a její tradice tradicí vůdčí.</w:t>
      </w:r>
    </w:p>
    <w:p w:rsidR="00500724" w:rsidRDefault="00F30FB8">
      <w:pPr>
        <w:pStyle w:val="Zkladntext20"/>
        <w:shd w:val="clear" w:color="auto" w:fill="auto"/>
        <w:spacing w:line="240" w:lineRule="auto"/>
        <w:ind w:firstLine="260"/>
      </w:pPr>
      <w:r>
        <w:t>Jejími prvky však dán je nejen program. Je dán také recept na módu. Je dána theorie pro každého, kdo proto nijak nemusí být básnická osobnost. Co třebas Knappovi roste z nejhlubš</w:t>
      </w:r>
      <w:r>
        <w:t>ího vnitra jeho dávné</w:t>
      </w:r>
      <w:r>
        <w:softHyphen/>
        <w:t xml:space="preserve">ho a stálého založení, může si po něm leckdo uvázat </w:t>
      </w:r>
      <w:r>
        <w:rPr>
          <w:i/>
          <w:iCs/>
        </w:rPr>
        <w:t xml:space="preserve">toS </w:t>
      </w:r>
      <w:r>
        <w:t xml:space="preserve">jako nákrčník </w:t>
      </w:r>
      <w:r>
        <w:rPr>
          <w:lang w:val="en-US" w:eastAsia="en-US" w:bidi="en-US"/>
        </w:rPr>
        <w:t xml:space="preserve">dernier </w:t>
      </w:r>
      <w:r>
        <w:t>cri. Nepříliš dávno otiskl kte</w:t>
      </w:r>
      <w:r>
        <w:softHyphen/>
        <w:t xml:space="preserve">rýsi časopis takový nákrčník, vyrobený podle návodu: vezmi zdravou venkovskou dívku, veď ji zelenými lány mimo kvetoucí sad, </w:t>
      </w:r>
      <w:r>
        <w:t>v němž samozřejmě pracuje osmahlý a dobrosrdečný jinoch. Přidej k tomu děda, jenž sad založil, otce, který jej rozšířil, se strany obou mladých lidí trochu milostné nesmělosti, a ostatek už se udělá sám sebou. Člověk pamětník mimoděk vzpo</w:t>
      </w:r>
      <w:r>
        <w:softHyphen/>
        <w:t xml:space="preserve">mene na někdejší </w:t>
      </w:r>
      <w:r>
        <w:t xml:space="preserve">revoluční dav, anděle a námořníky. Při tom si všimne pikantní podrobnosti, že jazykově ta práce je věrnou, byť chudou a padělanou ozvěnou prosté řeči Karla Čapka, spisovatele, jenž ^neprospěl národu*, vytvořiv bezpočet nejčeštějšich postav, jako ten Sefl </w:t>
      </w:r>
      <w:r>
        <w:rPr>
          <w:b/>
          <w:bCs/>
          <w:sz w:val="26"/>
          <w:szCs w:val="26"/>
        </w:rPr>
        <w:t>v</w:t>
      </w:r>
      <w:r>
        <w:rPr>
          <w:b/>
          <w:bCs/>
          <w:sz w:val="26"/>
          <w:szCs w:val="26"/>
        </w:rPr>
        <w:t xml:space="preserve"> </w:t>
      </w:r>
      <w:r>
        <w:t>»Loupežníku«, ta podhorská česká Nána v cizáckém »R. U. R.«, jako ti četníci, komisaři, muzi</w:t>
      </w:r>
      <w:r>
        <w:softHyphen/>
        <w:t xml:space="preserve">kanti, duchaří a jiní z jeho povídek, jako ten pan rada </w:t>
      </w:r>
      <w:r>
        <w:rPr>
          <w:b/>
          <w:bCs/>
          <w:sz w:val="26"/>
          <w:szCs w:val="26"/>
        </w:rPr>
        <w:t xml:space="preserve">z </w:t>
      </w:r>
      <w:r>
        <w:t>»Obyčejného života« a tak dále a tak dále. Časem se přijde na to, jak blízce pokrevné jsou kresby těch j</w:t>
      </w:r>
      <w:r>
        <w:t>eho lidiček s kresbami Alšovými a s melodiemi Dvo</w:t>
      </w:r>
      <w:r>
        <w:softHyphen/>
        <w:t>řákovými.</w:t>
      </w:r>
    </w:p>
    <w:p w:rsidR="00500724" w:rsidRDefault="00F30FB8">
      <w:pPr>
        <w:pStyle w:val="Zkladntext20"/>
        <w:shd w:val="clear" w:color="auto" w:fill="auto"/>
        <w:spacing w:after="160" w:line="202" w:lineRule="auto"/>
        <w:ind w:firstLine="280"/>
      </w:pPr>
      <w:r>
        <w:t>Ti dva jsou jistě nesporná, nejryzejší národní tra</w:t>
      </w:r>
      <w:r>
        <w:softHyphen/>
        <w:t>dice. Prošli do ní oba obvyklou trnitou cestou, každým se přiměřenou karenční lhůtou pohrdalo, každý na čas byl mimo program toho času vůdčí. Věk</w:t>
      </w:r>
      <w:r>
        <w:t xml:space="preserve"> národní jed</w:t>
      </w:r>
      <w:r>
        <w:softHyphen/>
        <w:t xml:space="preserve">noty, jenž nás, jak všichni doufáme a věříme, vyvede z trudu, svízelů a nebezpečí, mohl by se národnímu písemnictví stát věkem zlatým, jestliže z ní nebude vylučovat než ty, co nic neumějí — a ani ty netřeba vylučovati: vyloučí se časem sami, </w:t>
      </w:r>
      <w:r>
        <w:t>jak tomu bylo vždy. Věk národní jednoty hledí zpět na stopadesát téměř let českého písemnického vývoje, na růst po mnohé stránce zázračný od buditelů až ke slávě svě</w:t>
      </w:r>
      <w:r>
        <w:softHyphen/>
        <w:t>tové, od Šedivých a Thámů k dnešní rozvité plnosti jazykové i představové. Snadno poučit s</w:t>
      </w:r>
      <w:r>
        <w:t>e na tom zpět</w:t>
      </w:r>
      <w:r>
        <w:softHyphen/>
        <w:t>ném pohledu, jak nesmiřitelné rozpory, dávno doznělé, jevily jen různé stránky českého býti. Jak hnutí, po</w:t>
      </w:r>
      <w:r>
        <w:softHyphen/>
        <w:t>ciťovaná jako var odboje, ústrojně doplňovala do</w:t>
      </w:r>
      <w:r>
        <w:softHyphen/>
        <w:t>časný stav, sloužila vývoji. Kdo si dnes ještě připome</w:t>
      </w:r>
      <w:r>
        <w:softHyphen/>
        <w:t>ne zápas plodný a zbytečně urpu</w:t>
      </w:r>
      <w:r>
        <w:t>tný, mezi časomírou a veršem přízvučným? Tenkrát jazyk a písemnictví byly v začátcích. Oběma chyběla zkušenost. Století nám ji dalo. Po té stránce i po mnohé jiné jsme šťast</w:t>
      </w:r>
      <w:r>
        <w:softHyphen/>
        <w:t>nější, byť po jiných nešťastnější. Proto ti, kdo teď budou hospodařit s naším duch</w:t>
      </w:r>
      <w:r>
        <w:t>ovým bohatstvím, ná</w:t>
      </w:r>
      <w:r>
        <w:softHyphen/>
        <w:t>rodní hospodáři kulturní, budou moci zcela jinak a lépe dbát, aby se nemařilo hodnotami. Aby se nekazila duchová měna. Aby mez citové inflace nebyla překro</w:t>
      </w:r>
      <w:r>
        <w:softHyphen/>
        <w:t>čena přes míru (neboť určité odhodnocení kýčem nutně musí nastat v každém období</w:t>
      </w:r>
      <w:r>
        <w:t>). Aby národní jednota v umění vskutku obsáhla veškeré národní věno duchové.</w:t>
      </w:r>
    </w:p>
    <w:p w:rsidR="00500724" w:rsidRDefault="00F30FB8">
      <w:pPr>
        <w:pStyle w:val="Jin0"/>
        <w:shd w:val="clear" w:color="auto" w:fill="auto"/>
        <w:spacing w:after="180"/>
        <w:ind w:firstLine="0"/>
        <w:jc w:val="left"/>
        <w:rPr>
          <w:sz w:val="46"/>
          <w:szCs w:val="46"/>
        </w:rPr>
      </w:pPr>
      <w:r>
        <w:rPr>
          <w:b/>
          <w:bCs/>
          <w:sz w:val="46"/>
          <w:szCs w:val="46"/>
          <w:u w:val="single"/>
        </w:rPr>
        <w:t>život a instituce</w:t>
      </w:r>
    </w:p>
    <w:p w:rsidR="00500724" w:rsidRDefault="00F30FB8">
      <w:pPr>
        <w:pStyle w:val="Zkladntext40"/>
        <w:shd w:val="clear" w:color="auto" w:fill="auto"/>
        <w:spacing w:after="0" w:line="240" w:lineRule="auto"/>
      </w:pPr>
      <w:r>
        <w:rPr>
          <w:b/>
          <w:bCs/>
          <w:i/>
          <w:iCs/>
        </w:rPr>
        <w:t>Milena Jesenská:</w:t>
      </w:r>
    </w:p>
    <w:p w:rsidR="00500724" w:rsidRDefault="00F30FB8">
      <w:pPr>
        <w:pStyle w:val="Nadpis100"/>
        <w:shd w:val="clear" w:color="auto" w:fill="auto"/>
        <w:spacing w:after="0" w:line="233" w:lineRule="auto"/>
      </w:pPr>
      <w:bookmarkStart w:id="166" w:name="bookmark167"/>
      <w:r>
        <w:t>Jak se stýkati s Cechy?</w:t>
      </w:r>
      <w:bookmarkEnd w:id="166"/>
    </w:p>
    <w:p w:rsidR="00500724" w:rsidRDefault="00F30FB8">
      <w:pPr>
        <w:pStyle w:val="Zkladntext20"/>
        <w:shd w:val="clear" w:color="auto" w:fill="auto"/>
        <w:spacing w:line="240" w:lineRule="auto"/>
        <w:ind w:firstLine="0"/>
        <w:jc w:val="center"/>
      </w:pPr>
      <w:r>
        <w:t>(Odpověď na článek »Jak se stýkati s Němci*</w:t>
      </w:r>
      <w:r>
        <w:br/>
        <w:t>z minulého čísla.)</w:t>
      </w:r>
    </w:p>
    <w:p w:rsidR="00500724" w:rsidRDefault="00F30FB8">
      <w:pPr>
        <w:pStyle w:val="Zkladntext20"/>
        <w:shd w:val="clear" w:color="auto" w:fill="auto"/>
        <w:spacing w:line="254" w:lineRule="auto"/>
        <w:ind w:firstLine="220"/>
        <w:rPr>
          <w:sz w:val="15"/>
          <w:szCs w:val="15"/>
        </w:rPr>
      </w:pPr>
      <w:r>
        <w:t xml:space="preserve">Psychologické uzpůsobení národa vyrůstá z jeho skutečné </w:t>
      </w:r>
      <w:r>
        <w:t>situace a stopy této situace najdete v každém z nás. Malý osmimilionový národ neměl na příklad nikdy příležitost, aby dal v sobě vzklíčiti tvrdé bez</w:t>
      </w:r>
      <w:r>
        <w:softHyphen/>
        <w:t xml:space="preserve">ohlednosti a výbojnosti. Z této skutečnosti se vyvinulo </w:t>
      </w:r>
      <w:r>
        <w:rPr>
          <w:b/>
          <w:bCs/>
          <w:i/>
          <w:iCs/>
          <w:sz w:val="15"/>
          <w:szCs w:val="15"/>
        </w:rPr>
        <w:t>1OÓ</w:t>
      </w:r>
    </w:p>
    <w:p w:rsidR="00500724" w:rsidRDefault="00F30FB8">
      <w:pPr>
        <w:pStyle w:val="Zkladntext20"/>
        <w:shd w:val="clear" w:color="auto" w:fill="auto"/>
        <w:spacing w:line="202" w:lineRule="auto"/>
        <w:ind w:firstLine="0"/>
        <w:jc w:val="left"/>
      </w:pPr>
      <w:r>
        <w:t xml:space="preserve">něco, co Evropa o nás neví: zvláštní druh naší </w:t>
      </w:r>
      <w:r>
        <w:t>odvahy.</w:t>
      </w:r>
    </w:p>
    <w:p w:rsidR="00500724" w:rsidRDefault="00F30FB8">
      <w:pPr>
        <w:pStyle w:val="Zkladntext20"/>
        <w:shd w:val="clear" w:color="auto" w:fill="auto"/>
        <w:spacing w:line="202" w:lineRule="auto"/>
        <w:ind w:firstLine="260"/>
      </w:pPr>
      <w:r>
        <w:t>Naše odvaha je trpělivá houževnatost a neúmorná vytrvalost. A snad právě proto, že jsme musili vždycky více vydržet, než jsme mohli a směli vybojovat, vy</w:t>
      </w:r>
      <w:r>
        <w:softHyphen/>
        <w:t>tříbil se rozum každého z nás v ono rychlé a realistic</w:t>
      </w:r>
      <w:r>
        <w:softHyphen/>
        <w:t>ké oceňování skutečností, které snad na</w:t>
      </w:r>
      <w:r>
        <w:t xml:space="preserve"> první pohled vypadá jako poddajnost. Je to poddajnost klamná a zdánlivá. Snad to není velký ideál: žiti. Zatím jsme však neměli větší. Nechceme, než žít po svém, po vý</w:t>
      </w:r>
      <w:r>
        <w:softHyphen/>
        <w:t xml:space="preserve">razu své bytosti, po řeči svých předků. Tento skromný ideál vyčerpával celé generace z </w:t>
      </w:r>
      <w:r>
        <w:t>nás natolik, že sku</w:t>
      </w:r>
      <w:r>
        <w:softHyphen/>
        <w:t>tečně nedokázaly o mnoho víc, než udržet národní sou</w:t>
      </w:r>
      <w:r>
        <w:softHyphen/>
        <w:t>vislost. Ale zde je hranice, kterou není dobře pře</w:t>
      </w:r>
      <w:r>
        <w:softHyphen/>
        <w:t>kračovat, protože zde jsou začátky toho, co je nám nezbytné jako vzduch a co bránit je samozřejmé, jako dýchat. Bránit národní souvi</w:t>
      </w:r>
      <w:r>
        <w:t>slost a bránit její zvlášt</w:t>
      </w:r>
      <w:r>
        <w:softHyphen/>
        <w:t>ní výraz, který vyrostl po staletí.</w:t>
      </w:r>
    </w:p>
    <w:p w:rsidR="00500724" w:rsidRDefault="00F30FB8">
      <w:pPr>
        <w:pStyle w:val="Zkladntext20"/>
        <w:shd w:val="clear" w:color="auto" w:fill="auto"/>
        <w:spacing w:line="202" w:lineRule="auto"/>
        <w:ind w:firstLine="260"/>
      </w:pPr>
      <w:r>
        <w:t>Mírumilovnost — humanita, chcete-li — vyrostla v nás jako hluboká nutnost a jako jediná forma uchovat se na živu. A tato mírumilovnost vytvořila v nás několik vlastností, kterých je třeba dbát,</w:t>
      </w:r>
      <w:r>
        <w:t xml:space="preserve"> zá- leží-li někomu na opravdu dobrém styku s námi.</w:t>
      </w:r>
    </w:p>
    <w:p w:rsidR="00500724" w:rsidRDefault="00F30FB8">
      <w:pPr>
        <w:pStyle w:val="Zkladntext20"/>
        <w:shd w:val="clear" w:color="auto" w:fill="auto"/>
        <w:spacing w:line="202" w:lineRule="auto"/>
        <w:ind w:firstLine="260"/>
      </w:pPr>
      <w:r>
        <w:t>Pokojný člověk si nerad dává poroučet. Nemaje v úmyslu dáti se na výboj, spravuje si Cech svoje věci po svém. Rozkazů nejen že není třeba, rozkazy vy</w:t>
      </w:r>
      <w:r>
        <w:softHyphen/>
        <w:t>volávají v něm všechno, co je pohotové k odboji. Nikdy</w:t>
      </w:r>
      <w:r>
        <w:t xml:space="preserve"> nám nebylo třeba poroučet. Pominu dny mo</w:t>
      </w:r>
      <w:r>
        <w:softHyphen/>
        <w:t>bilisace a demobilisace, které jsou skvělým dokladem mého tvrzení a uvedu drobný příklad. Drobné příklady osvětlují velké věci: Před hlavními sletovými dny v r. 1938 vzpomněla si pražská obec, že dá natřít na Václa</w:t>
      </w:r>
      <w:r>
        <w:t>vském náměstí kandelábry. Právě ve dnech, kdy šly celé hodiny průvody Prahou a kdy na Václavském náměstí by byl špendlík nepropadl, byly ty kandelábry mokré a lesklé a byly obtočeny motouzkem s několika papírky. Nic víc. Inu, nebylo zrovna snadné v té stra</w:t>
      </w:r>
      <w:r>
        <w:t>šné tlačenici vyhýbat se čerstvě natřeným slou</w:t>
      </w:r>
      <w:r>
        <w:softHyphen/>
        <w:t>pům, ale všichni lidé, do jednoho, trpělivě je obchá</w:t>
      </w:r>
      <w:r>
        <w:softHyphen/>
        <w:t>zeli, držíce kabáty v hrsti. Kolem všech kandelábrů, jak je náměstí dlouhé, byla prázdná políčka, třebaže bylo lidí hlava na hlavě. A teď mi řekněte, kde ji</w:t>
      </w:r>
      <w:r>
        <w:t>nde na světě by a) magistrát měl ten neblahý nápad, nechat ty kandelábry mokré v den největší tlačenice, b) kde jinde na světě by bez reptání a hubování, v dobrovolné kázni vyhýbalo se tisíce lidí, a neklelo na ten magistrát? To je, jak pravím, drobný přík</w:t>
      </w:r>
      <w:r>
        <w:t>lad. Ale prozrazuje aspoň tolik, že si Čech řekne: Je to mokré, neumažu si přece nový kabát, jaké dlouhé řeči, vyhnu se. Kdyby tam byly bývaly nápisy, roz</w:t>
      </w:r>
      <w:r>
        <w:softHyphen/>
        <w:t>kazy a hrozby, ručím za to, že by druhý den byly ty kandelábry schválně ohmatané, poškozené a polepen</w:t>
      </w:r>
      <w:r>
        <w:t>é papírky. Poněvadž právě to, co Němec v tak velké míře má — totiž úctu k úřadu a nařízení — to Cech vůbec nemá. Příliš často nám nařizovaly cizí úřady. Nemohu si pomoci, vyvinuli jsme alespoň některé po</w:t>
      </w:r>
      <w:r>
        <w:softHyphen/>
        <w:t>vahové, obranné látky proti těmto cizím rozkazům: vá</w:t>
      </w:r>
      <w:r>
        <w:t>žili jsme si nařízení velmi málo. Právě tak, jako jsme byli vždycky ochotni plnit do písmene, co bylo nutné, jako jsme s úžasnou disciplinou dobrovolně vy</w:t>
      </w:r>
      <w:r>
        <w:softHyphen/>
        <w:t xml:space="preserve">konali vše, co bylo naší povinností, právě tak je v povaze každého Čecha hluboko v srdci mocný odpor </w:t>
      </w:r>
      <w:r>
        <w:t>proti pouhým rozkazům a panování.</w:t>
      </w:r>
    </w:p>
    <w:p w:rsidR="00500724" w:rsidRDefault="00F30FB8">
      <w:pPr>
        <w:pStyle w:val="Zkladntext20"/>
        <w:shd w:val="clear" w:color="auto" w:fill="auto"/>
        <w:spacing w:after="40" w:line="204" w:lineRule="auto"/>
        <w:ind w:firstLine="260"/>
      </w:pPr>
      <w:r>
        <w:t>Je-li každý Němec, který vykonává nějakou práci, velitel, je každý Cech, který vykonává nějakou práci, především soukromá osoba. Je-li německý průvodčí rázný a řízný, je český především laskavý. Naši důstojníci jedli s muž</w:t>
      </w:r>
      <w:r>
        <w:t>stvem jednu menáž a považovali to za svou povinnost. Naši učitelé rozmlouvají s dětmi jako se sobě rovnými. Obdivuje-li Němec autoritativ</w:t>
      </w:r>
      <w:r>
        <w:softHyphen/>
        <w:t>ní jednání a touží-li se mu naučit, neobdivuje Cech nikdy autoritativní jednání a ocitne-li se na místě, kdy by mohl a</w:t>
      </w:r>
      <w:r>
        <w:t>utoritu uplatňovat, je si vždycky vědom, že jí dosáhne právě tím, že ji nebude uplatňovat veli</w:t>
      </w:r>
      <w:r>
        <w:softHyphen/>
        <w:t>telsky, nýbrž kamarádsky, řekla bych skoro: otcov</w:t>
      </w:r>
      <w:r>
        <w:softHyphen/>
        <w:t xml:space="preserve">sky. To je zvláštní rys povahy a myslím, že vzácný. Vždycky lépe uděláme to, co dobrovolně nahlédneme, než to, </w:t>
      </w:r>
      <w:r>
        <w:t>co se nám řízně přikazuje. Proti nařízení a drsným rozkazům se brání Cech asi tak, jako se brání děti vůči dospělým: tichou sabotáží. Pilní děl</w:t>
      </w:r>
      <w:r>
        <w:softHyphen/>
        <w:t>níci, s uctivým vztahem k práci, dovedeme se pro</w:t>
      </w:r>
      <w:r>
        <w:softHyphen/>
        <w:t>měnit v zástup nevidomých, nedoslýchavých, nechápa</w:t>
      </w:r>
      <w:r>
        <w:softHyphen/>
        <w:t>vých a neobr</w:t>
      </w:r>
      <w:r>
        <w:t>atných lidí. Ani bych neřekla, že bychom to dělali vědomě. Prostě: je to česká reakce na veli</w:t>
      </w:r>
      <w:r>
        <w:softHyphen/>
        <w:t>telské poroučení. Nesnáší je, jako dítě nesnáší otce, který křičí a tříská dveřmi. Uniká do netečnosti a uniká do humoru — dvě ulity, které je těžko rozbít českém</w:t>
      </w:r>
      <w:r>
        <w:t>u člověku, jehož země leží nahá uprostřed Evropy.</w:t>
      </w:r>
    </w:p>
    <w:p w:rsidR="00500724" w:rsidRDefault="00F30FB8">
      <w:pPr>
        <w:pStyle w:val="Zkladntext20"/>
        <w:shd w:val="clear" w:color="auto" w:fill="auto"/>
        <w:spacing w:after="40" w:line="202" w:lineRule="auto"/>
        <w:ind w:firstLine="0"/>
        <w:jc w:val="center"/>
      </w:pPr>
      <w:r>
        <w:t>Jak je to s tou řečí?</w:t>
      </w:r>
    </w:p>
    <w:p w:rsidR="00500724" w:rsidRDefault="00F30FB8">
      <w:pPr>
        <w:pStyle w:val="Zkladntext20"/>
        <w:shd w:val="clear" w:color="auto" w:fill="auto"/>
        <w:spacing w:after="40" w:line="202" w:lineRule="auto"/>
        <w:ind w:firstLine="260"/>
      </w:pPr>
      <w:r>
        <w:t>Pravda, bude nám stýkati se s Němci a je naší po</w:t>
      </w:r>
      <w:r>
        <w:softHyphen/>
        <w:t xml:space="preserve">vinností umět dobře německy. Žila jsem deset let v Německu, ovládám němčinu dokonale a mám ji ráda. Je však příliš neskromné </w:t>
      </w:r>
      <w:r>
        <w:t>podotknout, že vlast</w:t>
      </w:r>
      <w:r>
        <w:softHyphen/>
        <w:t>nost — totiž rád hovořiti ve vlastní řeči — má bez výjimky každý národ na světě, tedy i Češi? Znám však Němce, kteří žijí u nás dvacet let a neumějí ani česky pozdravit. Bez ohledu na to, je-li tu kdo doma nebo ne, je to zdvořilé? Němc</w:t>
      </w:r>
      <w:r>
        <w:t>i jsou neobyčejně zdvořilí lidé, dbají vnější formy, a v tom ohledu bychom se mohli od nich mnohému naučit. Tím spíše je s podivem, že necítí potřebu naučit se alespoň několik nejběžnějších slov, pozdravů, výrazů, žijí-li u nás a mezi námi. Myslím, že bych</w:t>
      </w:r>
      <w:r>
        <w:t xml:space="preserve"> považovala za svoji povinnost naučit se zdravit i zulukafersky, kdy</w:t>
      </w:r>
      <w:r>
        <w:softHyphen/>
        <w:t>bych žila mezi Zulukafry. Chápu, že je pro Němce čeština obtížná. Chápu, že je i zbytečné, aby se pří</w:t>
      </w:r>
      <w:r>
        <w:softHyphen/>
        <w:t>slušník osmdesátimilionového národa učil řeči, kterou může na světě použít na území t</w:t>
      </w:r>
      <w:r>
        <w:t>ak malém. Přijde-li však Němec k Čechovi a řekne třeba lámanou češti</w:t>
      </w:r>
      <w:r>
        <w:softHyphen/>
        <w:t>nou několik vět, nalezne člověka ochotného a —• trochu polichoceného touto samozřejmou zdvořilostí. Bude-li však předpokládat, že Cech v důsledku svého postavení má mluvit s Němcem německ</w:t>
      </w:r>
      <w:r>
        <w:t>y i doma v Cechách, nalezne lidi, kteří odmítnou mluvit němec</w:t>
      </w:r>
      <w:r>
        <w:softHyphen/>
        <w:t>ky, i když snad dovedou. To máte tak: chudý člověk lpí na tom, co je jeho. My Češi lpíme na své řeči nejen z národní hrdosti, z národního vědomí a z ná</w:t>
      </w:r>
      <w:r>
        <w:softHyphen/>
        <w:t>rodního vzdoru, nýbrž i proto, že jsou cel</w:t>
      </w:r>
      <w:r>
        <w:t>á desítiletí, kdy je jediným naším majetkem, jediným výrazem našich myšlenek, našich tradic, našeho způsobu jednání.</w:t>
      </w:r>
    </w:p>
    <w:p w:rsidR="00500724" w:rsidRDefault="00F30FB8">
      <w:pPr>
        <w:pStyle w:val="Zkladntext20"/>
        <w:shd w:val="clear" w:color="auto" w:fill="auto"/>
        <w:spacing w:after="40" w:line="202" w:lineRule="auto"/>
        <w:ind w:firstLine="0"/>
        <w:jc w:val="center"/>
      </w:pPr>
      <w:r>
        <w:t>Čech, člověk soukromý</w:t>
      </w:r>
    </w:p>
    <w:p w:rsidR="00500724" w:rsidRDefault="00F30FB8">
      <w:pPr>
        <w:pStyle w:val="Zkladntext20"/>
        <w:shd w:val="clear" w:color="auto" w:fill="auto"/>
        <w:spacing w:after="100" w:line="202" w:lineRule="auto"/>
        <w:ind w:firstLine="260"/>
      </w:pPr>
      <w:r>
        <w:t>Když se dívám někdy na obrázky slavných dnů Berlína, Vídně nebo Říma, na řady lidí, kteří stojí jako zeď, na les zdvi</w:t>
      </w:r>
      <w:r>
        <w:t>žených pravic, na oblaka praporů a nápisů, na pochodňové průvody a rozžaté reflektory, myslívám si vždycky: to by u nás nebylo asi možné. Ne snad, že bychom to nedovedli, ale českému člověku nelahodí příliš mnoho slávy. Nemá pochopení pro po</w:t>
      </w:r>
      <w:r>
        <w:softHyphen/>
        <w:t>stavy, opředen</w:t>
      </w:r>
      <w:r>
        <w:t>é bájí, a pociťuje prostotu jako větší blízkost. Cím bližší je nám člověk, tím více ho miluje</w:t>
      </w:r>
      <w:r>
        <w:softHyphen/>
        <w:t>me. Cím soukroměji mezi námi vystupuje, tím srdeč</w:t>
      </w:r>
      <w:r>
        <w:softHyphen/>
        <w:t>něji ho vítáme. Cím méně stráží má, tím bezpečnější a vítanější je mezi námi. To pramení z hluboké demokratičnos</w:t>
      </w:r>
      <w:r>
        <w:t>ti našeho lidu, z potřeby lidské blízkosti, z úcty k lidské osobitosti a z té hlubo</w:t>
      </w:r>
      <w:r>
        <w:softHyphen/>
        <w:t>ké dobrovolnosti, která je podmínkou všeho blaho</w:t>
      </w:r>
      <w:r>
        <w:softHyphen/>
        <w:t>dárného. Nelámejte tuto vlastnost, protože zlomivše ji, naleznete něco zrůdného v tváři českého lidu. Pře- rvala by se nejk</w:t>
      </w:r>
      <w:r>
        <w:t>rásnější vlastnost malého národa a nejvýraznější projev jeho svobodné vůle: jeho láska k soukromí a dobrovolnost k spo</w:t>
      </w:r>
      <w:r>
        <w:softHyphen/>
        <w:t>lečným zájmům. Važte si, že máte před sebou člověka, který má veliký smysl pro sebekázeň. To je víc, než kázeň. Je užitečnější, je pohoto</w:t>
      </w:r>
      <w:r>
        <w:t>vější. Neberte ji Čechu nikdy. V sebekázni vyvine hrdě nejlepší své vlastnosti a maximum svých schopností. V pouhé kázni ochabne, uschne, dodá jen zakrnělý výkon — a uhne do posměšku.</w:t>
      </w:r>
    </w:p>
    <w:p w:rsidR="00500724" w:rsidRDefault="00F30FB8">
      <w:pPr>
        <w:pStyle w:val="Zkladntext20"/>
        <w:shd w:val="clear" w:color="auto" w:fill="auto"/>
        <w:spacing w:after="40" w:line="202" w:lineRule="auto"/>
        <w:ind w:firstLine="0"/>
        <w:jc w:val="center"/>
      </w:pPr>
      <w:r>
        <w:t>Proč právě prostor?</w:t>
      </w:r>
    </w:p>
    <w:p w:rsidR="00500724" w:rsidRDefault="00F30FB8">
      <w:pPr>
        <w:pStyle w:val="Zkladntext20"/>
        <w:shd w:val="clear" w:color="auto" w:fill="auto"/>
        <w:spacing w:after="40" w:line="202" w:lineRule="auto"/>
      </w:pPr>
      <w:r>
        <w:t>V poslední době slyšíme tak zhusta větu, že jsme zač</w:t>
      </w:r>
      <w:r>
        <w:t>leněni do německého životního prostoru a že v tomto prostoru tvoříme jakousi jednu zemi a jednu vlast...</w:t>
      </w:r>
    </w:p>
    <w:p w:rsidR="00500724" w:rsidRDefault="00F30FB8">
      <w:pPr>
        <w:pStyle w:val="Zkladntext20"/>
        <w:shd w:val="clear" w:color="auto" w:fill="auto"/>
        <w:spacing w:after="40" w:line="202" w:lineRule="auto"/>
      </w:pPr>
      <w:r>
        <w:t>Jsem Češka a mám proto dobrý hudební sluch. Slyším jasně slova a vyvolávám si přesně, co před</w:t>
      </w:r>
      <w:r>
        <w:softHyphen/>
        <w:t>stavují. Prostor — to je nebe, vzduch, oblaka, něco široš</w:t>
      </w:r>
      <w:r>
        <w:t>irého, nejasného, rozvlátého. My však bydlíme na hroudě této země, dobývajíce z ní obživu. Bydlíme tu celá staletí, děd předával otci, otec synu ruchadlo. Bydlíme tu a žijeme tu. Netvoříme prostor, jsme jen národ 8 milionů lidí. Národ, který má svou řeč, z</w:t>
      </w:r>
      <w:r>
        <w:t>vyky a mravy, písně, touhy a ideály. Netvoříme most mezi Němectvem a Slovanstvem, po mém názoru. Tvoří</w:t>
      </w:r>
      <w:r>
        <w:softHyphen/>
        <w:t>me — my dnešní Češi — most mezi Cechy včerejška a Cechy zítřejšími. Předáváme chorál svátého Václa</w:t>
      </w:r>
      <w:r>
        <w:softHyphen/>
        <w:t>va svým dětem. To a nic jiného děláme.</w:t>
      </w:r>
    </w:p>
    <w:p w:rsidR="00500724" w:rsidRDefault="00F30FB8">
      <w:pPr>
        <w:pStyle w:val="Zkladntext20"/>
        <w:shd w:val="clear" w:color="auto" w:fill="auto"/>
        <w:spacing w:after="40" w:line="209" w:lineRule="auto"/>
      </w:pPr>
      <w:r>
        <w:t>Nepočítejte lid</w:t>
      </w:r>
      <w:r>
        <w:t>i v prostoru, jako hvězdy na nebi. Vyrostli jsme tady, jako roste na našich mezích mateřídouška a jako rostou naše břízy na skalách. Fatříme na svoji zemi a nalezli jsme si způsob, kterak na ní žiti. Vyplynul přirozeně ze všech podmínek a tradic tohoto nár</w:t>
      </w:r>
      <w:r>
        <w:t>oda, vynořil se, jako podstatná věc našeho myšlenkového bytí. Píše-li německý nacionál</w:t>
      </w:r>
      <w:r>
        <w:softHyphen/>
        <w:t>ní socialista v 6. čísle »Přítomnosti«, že »Němec jest, beze všech výhrad, národním socialistou a že je jeho samozřejmým právem moci se k tomuto přesvědčení přihlásiti v</w:t>
      </w:r>
      <w:r>
        <w:t>šude ...« lze jenom odpověděti, že ani my nežádáme pro sebe nic jiného, než míti samozřejmé právo hlásiti se ke svému přesvědčení a k formě myšlení, jež nerozkvetlo přes noc, ale přes staletí. Mluvíte-li však o »krajně nutném přerodu duše české</w:t>
      </w:r>
      <w:r>
        <w:softHyphen/>
        <w:t>ho člověka«</w:t>
      </w:r>
      <w:r>
        <w:t>, mohu jen opakovat, že mám citlivé uši pro slova: přerod nemůže být krajně nutný. Přerod může být pouze organický. Jinak to není přerod, ale přelom. Duše národů se nepřerodí na povel. Možno ovšem na opravdovou duši národa nalepiti jakési vněj</w:t>
      </w:r>
      <w:r>
        <w:softHyphen/>
        <w:t>ší znaky a n</w:t>
      </w:r>
      <w:r>
        <w:t>azývati to zdařilou operací. Nejsem si jista, zda-li bychom mohli tím vytvořit něco jiného, než zmetka nové národní duše. Jako rostla duše dnešního německého národa a jako rostl nacionální socialismus, až se vykrystalisoval ve vyhraněný názor, podobně rost</w:t>
      </w:r>
      <w:r>
        <w:t>la duše českého lidu a českého národa od Lipan k Bílé hoře a od Bílé hory k Mnichovu, krysta- lisujíc se ve vyhraněný názor, který dnes dýchá /o?</w:t>
      </w:r>
    </w:p>
    <w:p w:rsidR="00500724" w:rsidRDefault="00F30FB8">
      <w:pPr>
        <w:pStyle w:val="Zkladntext20"/>
        <w:shd w:val="clear" w:color="auto" w:fill="auto"/>
        <w:spacing w:after="140" w:line="204" w:lineRule="auto"/>
        <w:ind w:firstLine="0"/>
      </w:pPr>
      <w:r>
        <w:t>v každém z nás, jako živá věc. Naše dějiny daly by se vyjádřiti dvěma větami ve dvou různých dobách: »Bijte, z</w:t>
      </w:r>
      <w:r>
        <w:t>abijte, nikoho neživte!« a — »... nedej za</w:t>
      </w:r>
      <w:r>
        <w:softHyphen/>
        <w:t>hynouti, nám ni budoucím!« Není pochyby, že teď nesou naše dny pečeť druhé písně. Přijali jsme ji klidně. Přijali jsme ji jako úkol své doby a budeme ji zpívati vroucně nahlas — nebo pošeptmu. Jsme na tuto píseň c</w:t>
      </w:r>
      <w:r>
        <w:t>itliví — alespoň tak, jako jsou Němci citli</w:t>
      </w:r>
      <w:r>
        <w:softHyphen/>
        <w:t>ví na versailleský mír. Chcete-li mít z nás dobré sou</w:t>
      </w:r>
      <w:r>
        <w:softHyphen/>
        <w:t>sedy, naučte se ctít tuto píseň, jako výraz naší ná</w:t>
      </w:r>
      <w:r>
        <w:softHyphen/>
        <w:t>rodní duše!</w:t>
      </w:r>
    </w:p>
    <w:p w:rsidR="00500724" w:rsidRDefault="00F30FB8">
      <w:pPr>
        <w:pStyle w:val="Zkladntext20"/>
        <w:shd w:val="clear" w:color="auto" w:fill="auto"/>
        <w:spacing w:line="223" w:lineRule="auto"/>
        <w:ind w:firstLine="0"/>
        <w:rPr>
          <w:sz w:val="20"/>
          <w:szCs w:val="20"/>
        </w:rPr>
      </w:pPr>
      <w:r>
        <w:rPr>
          <w:b/>
          <w:bCs/>
          <w:i/>
          <w:iCs/>
          <w:sz w:val="20"/>
          <w:szCs w:val="20"/>
        </w:rPr>
        <w:t>Odb. uč. K. Primas:</w:t>
      </w:r>
    </w:p>
    <w:p w:rsidR="00500724" w:rsidRDefault="00F30FB8">
      <w:pPr>
        <w:pStyle w:val="Nadpis100"/>
        <w:shd w:val="clear" w:color="auto" w:fill="auto"/>
        <w:spacing w:after="60" w:line="230" w:lineRule="auto"/>
      </w:pPr>
      <w:bookmarkStart w:id="167" w:name="bookmark168"/>
      <w:r>
        <w:t>Proč jenom pět</w:t>
      </w:r>
      <w:bookmarkEnd w:id="167"/>
    </w:p>
    <w:p w:rsidR="00500724" w:rsidRDefault="00F30FB8">
      <w:pPr>
        <w:pStyle w:val="Zkladntext20"/>
        <w:shd w:val="clear" w:color="auto" w:fill="auto"/>
        <w:spacing w:after="80" w:line="182" w:lineRule="auto"/>
        <w:ind w:left="560" w:firstLine="280"/>
        <w:rPr>
          <w:sz w:val="20"/>
          <w:szCs w:val="20"/>
        </w:rPr>
      </w:pPr>
      <w:r>
        <w:rPr>
          <w:sz w:val="20"/>
          <w:szCs w:val="20"/>
        </w:rPr>
        <w:t>Byl jsem téměř pět týdnů v Sudetech, abych po</w:t>
      </w:r>
      <w:r>
        <w:rPr>
          <w:sz w:val="20"/>
          <w:szCs w:val="20"/>
        </w:rPr>
        <w:softHyphen/>
        <w:t xml:space="preserve">mohl české </w:t>
      </w:r>
      <w:r>
        <w:rPr>
          <w:sz w:val="20"/>
          <w:szCs w:val="20"/>
        </w:rPr>
        <w:t>menšině k otevření českých škol. Přijel jsem v minulém týdnu do Prahy, kde mi bylo před</w:t>
      </w:r>
      <w:r>
        <w:rPr>
          <w:sz w:val="20"/>
          <w:szCs w:val="20"/>
        </w:rPr>
        <w:softHyphen/>
        <w:t>loženo několik čísel »Přítomnosti«, v níž článeček &gt;Proč jenom pět« vyvolal značnou pozornost. Cítím se povinen říci něco o svých zkušenostech z území, při</w:t>
      </w:r>
      <w:r>
        <w:rPr>
          <w:sz w:val="20"/>
          <w:szCs w:val="20"/>
        </w:rPr>
        <w:softHyphen/>
        <w:t>pojeného k ř</w:t>
      </w:r>
      <w:r>
        <w:rPr>
          <w:sz w:val="20"/>
          <w:szCs w:val="20"/>
        </w:rPr>
        <w:t>íši.</w:t>
      </w:r>
    </w:p>
    <w:p w:rsidR="00500724" w:rsidRDefault="00F30FB8">
      <w:pPr>
        <w:pStyle w:val="Zkladntext1"/>
        <w:shd w:val="clear" w:color="auto" w:fill="auto"/>
        <w:spacing w:line="262" w:lineRule="auto"/>
        <w:ind w:firstLine="0"/>
        <w:jc w:val="center"/>
        <w:rPr>
          <w:sz w:val="18"/>
          <w:szCs w:val="18"/>
        </w:rPr>
      </w:pPr>
      <w:r>
        <w:rPr>
          <w:sz w:val="18"/>
          <w:szCs w:val="18"/>
        </w:rPr>
        <w:t>Pravděpodobný vznik článku</w:t>
      </w:r>
      <w:r>
        <w:rPr>
          <w:sz w:val="18"/>
          <w:szCs w:val="18"/>
        </w:rPr>
        <w:br/>
        <w:t>»Proč j enom pšti</w:t>
      </w:r>
    </w:p>
    <w:p w:rsidR="00500724" w:rsidRDefault="00F30FB8">
      <w:pPr>
        <w:pStyle w:val="Zkladntext1"/>
        <w:shd w:val="clear" w:color="auto" w:fill="auto"/>
        <w:ind w:firstLine="280"/>
        <w:rPr>
          <w:sz w:val="18"/>
          <w:szCs w:val="18"/>
        </w:rPr>
      </w:pPr>
      <w:r>
        <w:rPr>
          <w:sz w:val="18"/>
          <w:szCs w:val="18"/>
        </w:rPr>
        <w:t xml:space="preserve">Učil jsem patnáct roků na státních školách národních na Teplicku. Těsně před příchodem německého vojska byli jsme všichni vyzváni okresním úřadem, abychom opustili místa. Odjeli jsme tedy posledním čs. </w:t>
      </w:r>
      <w:r>
        <w:rPr>
          <w:sz w:val="18"/>
          <w:szCs w:val="18"/>
        </w:rPr>
        <w:t>vlakem a v opuštěném území jsme zanechali všechen svůj maje</w:t>
      </w:r>
      <w:r>
        <w:rPr>
          <w:sz w:val="18"/>
          <w:szCs w:val="18"/>
        </w:rPr>
        <w:softHyphen/>
        <w:t>tek v bytovém zařízení. V listopadu dostal jsem zprávu, že můj byt byl částečně vyloupen. Odebral jsem se proto ne</w:t>
      </w:r>
      <w:r>
        <w:rPr>
          <w:sz w:val="18"/>
          <w:szCs w:val="18"/>
        </w:rPr>
        <w:softHyphen/>
        <w:t>prodleně do Teplic, abych zachránil část svého majetku. Jel jsem tam se smíšenými</w:t>
      </w:r>
      <w:r>
        <w:rPr>
          <w:sz w:val="18"/>
          <w:szCs w:val="18"/>
        </w:rPr>
        <w:t xml:space="preserve"> pocity, byl jsem totiž před ce</w:t>
      </w:r>
      <w:r>
        <w:rPr>
          <w:sz w:val="18"/>
          <w:szCs w:val="18"/>
        </w:rPr>
        <w:softHyphen/>
        <w:t>stou varován. Tehdy se ještě vypravovaly hrůzostrašné věci o počínání ordnerském. Byl jsem veřejně značně exponován a naposled ještě na státní oslavě 1. května jsem mluvil před desíti tisíci lidmi na Tržním, nyní Hitle</w:t>
      </w:r>
      <w:r>
        <w:rPr>
          <w:sz w:val="18"/>
          <w:szCs w:val="18"/>
        </w:rPr>
        <w:softHyphen/>
        <w:t xml:space="preserve">rově </w:t>
      </w:r>
      <w:r>
        <w:rPr>
          <w:sz w:val="18"/>
          <w:szCs w:val="18"/>
        </w:rPr>
        <w:t>náměstí.</w:t>
      </w:r>
    </w:p>
    <w:p w:rsidR="00500724" w:rsidRDefault="00F30FB8">
      <w:pPr>
        <w:pStyle w:val="Zkladntext1"/>
        <w:shd w:val="clear" w:color="auto" w:fill="auto"/>
        <w:ind w:firstLine="280"/>
        <w:rPr>
          <w:sz w:val="18"/>
          <w:szCs w:val="18"/>
        </w:rPr>
      </w:pPr>
      <w:r>
        <w:rPr>
          <w:sz w:val="18"/>
          <w:szCs w:val="18"/>
        </w:rPr>
        <w:t>První má cesta vedla na obecní úřad v Trnovanech. Byl jsem velmi překvapen srdečným přijetím bývalými politickými nepřáteli a starostou obce přímo požádán, abych zůstal, poněvadž je třeba, aby se někdo staral ne</w:t>
      </w:r>
      <w:r>
        <w:rPr>
          <w:sz w:val="18"/>
          <w:szCs w:val="18"/>
        </w:rPr>
        <w:softHyphen/>
        <w:t>jen o české školy, ale i o celou če</w:t>
      </w:r>
      <w:r>
        <w:rPr>
          <w:sz w:val="18"/>
          <w:szCs w:val="18"/>
        </w:rPr>
        <w:t>skou menšinu. Druhá překvapení na policii, kde mne přivítalo několik strážní</w:t>
      </w:r>
      <w:r>
        <w:rPr>
          <w:sz w:val="18"/>
          <w:szCs w:val="18"/>
        </w:rPr>
        <w:softHyphen/>
        <w:t xml:space="preserve">ků, bývalých členů naší čs. policie. Na radu starosty obce intervenoval jsem na okresním úřadě, aby byly otevřeny česká školy. Bylo mi řečeno, že budou otevřeny, jakmile se vrátí </w:t>
      </w:r>
      <w:r>
        <w:rPr>
          <w:sz w:val="18"/>
          <w:szCs w:val="18"/>
        </w:rPr>
        <w:t>čeští učitelé. Byl jsem rozhodnut, že zůstanu, již také z toho důvodu, že jsem byl na ulici zastavován na</w:t>
      </w:r>
      <w:r>
        <w:rPr>
          <w:sz w:val="18"/>
          <w:szCs w:val="18"/>
        </w:rPr>
        <w:softHyphen/>
        <w:t>šimi lidmi, kteří mi s radostí a slzami v očích tiskli ruce.</w:t>
      </w:r>
    </w:p>
    <w:p w:rsidR="00500724" w:rsidRDefault="00F30FB8">
      <w:pPr>
        <w:pStyle w:val="Zkladntext1"/>
        <w:shd w:val="clear" w:color="auto" w:fill="auto"/>
        <w:ind w:firstLine="280"/>
        <w:rPr>
          <w:sz w:val="18"/>
          <w:szCs w:val="18"/>
        </w:rPr>
      </w:pPr>
      <w:r>
        <w:rPr>
          <w:sz w:val="18"/>
          <w:szCs w:val="18"/>
        </w:rPr>
        <w:t>Odjel jsem do Prahy, abych o tom podal zprávu mi</w:t>
      </w:r>
      <w:r>
        <w:rPr>
          <w:sz w:val="18"/>
          <w:szCs w:val="18"/>
        </w:rPr>
        <w:softHyphen/>
        <w:t>nisterstvu školství. Ministerstvo mi oka</w:t>
      </w:r>
      <w:r>
        <w:rPr>
          <w:sz w:val="18"/>
          <w:szCs w:val="18"/>
        </w:rPr>
        <w:t>mžitě dalo adresy patnácti učitelů, kteří jsou ochotni jiti na teplický okres, a poradilo těmto učitelům, po přezkoumání všech možno</w:t>
      </w:r>
      <w:r>
        <w:rPr>
          <w:sz w:val="18"/>
          <w:szCs w:val="18"/>
        </w:rPr>
        <w:softHyphen/>
        <w:t>stí, aby si vyjednali právní zajištění s německými úřady sami. Adresy těchto učitelů jsem odevzdal v prosinci škol</w:t>
      </w:r>
      <w:r>
        <w:rPr>
          <w:sz w:val="18"/>
          <w:szCs w:val="18"/>
        </w:rPr>
        <w:softHyphen/>
        <w:t>nímu úřa</w:t>
      </w:r>
      <w:r>
        <w:rPr>
          <w:sz w:val="18"/>
          <w:szCs w:val="18"/>
        </w:rPr>
        <w:t>du v Teplicích. Nato jsem byl ustanoven zem</w:t>
      </w:r>
      <w:r>
        <w:rPr>
          <w:sz w:val="18"/>
          <w:szCs w:val="18"/>
        </w:rPr>
        <w:softHyphen/>
        <w:t>skou školní radou přespočetným učitelem na okrese králo</w:t>
      </w:r>
      <w:r>
        <w:rPr>
          <w:sz w:val="18"/>
          <w:szCs w:val="18"/>
        </w:rPr>
        <w:softHyphen/>
        <w:t>véhradeckém a sudetské území jsem tedy opustil, abych vyhověl úřednímu vyzvání. Tím se věc českých škol na Teplicku zastavila.</w:t>
      </w:r>
    </w:p>
    <w:p w:rsidR="00500724" w:rsidRDefault="00F30FB8">
      <w:pPr>
        <w:pStyle w:val="Zkladntext1"/>
        <w:shd w:val="clear" w:color="auto" w:fill="auto"/>
        <w:spacing w:line="276" w:lineRule="auto"/>
        <w:ind w:firstLine="280"/>
        <w:jc w:val="left"/>
      </w:pPr>
      <w:r>
        <w:rPr>
          <w:sz w:val="18"/>
          <w:szCs w:val="18"/>
        </w:rPr>
        <w:t>V této době přišel pravděpodo</w:t>
      </w:r>
      <w:r>
        <w:rPr>
          <w:sz w:val="18"/>
          <w:szCs w:val="18"/>
        </w:rPr>
        <w:t>bně pisatel článku •Proč jenom pět« k ministerstvu školství a tam dostal zprávu, kterou v článku uveřejnil/ ovšem ukázalo se, že tato zpráva nebyla pravdivá. Ministerstvo sice vyzvalo několik učitelů, aby odjeli do Sudet a tam si osobním stykem ujednali pr</w:t>
      </w:r>
      <w:r>
        <w:rPr>
          <w:sz w:val="18"/>
          <w:szCs w:val="18"/>
        </w:rPr>
        <w:t xml:space="preserve">ávní a služební podmínky. Ale vyzvaní </w:t>
      </w:r>
      <w:r>
        <w:rPr>
          <w:b/>
          <w:bCs/>
          <w:i/>
          <w:iCs/>
        </w:rPr>
        <w:t>10S</w:t>
      </w:r>
    </w:p>
    <w:p w:rsidR="00500724" w:rsidRDefault="00F30FB8">
      <w:pPr>
        <w:pStyle w:val="Zkladntext1"/>
        <w:shd w:val="clear" w:color="auto" w:fill="auto"/>
        <w:spacing w:after="120"/>
        <w:ind w:firstLine="0"/>
        <w:rPr>
          <w:sz w:val="18"/>
          <w:szCs w:val="18"/>
        </w:rPr>
      </w:pPr>
      <w:r>
        <w:rPr>
          <w:sz w:val="18"/>
          <w:szCs w:val="18"/>
        </w:rPr>
        <w:t>učitelé ovšem, zcela pochopitelně, nejeli, poněvadž člo</w:t>
      </w:r>
      <w:r>
        <w:rPr>
          <w:sz w:val="18"/>
          <w:szCs w:val="18"/>
        </w:rPr>
        <w:softHyphen/>
        <w:t>věk neznalý poměrů, se tak snadno nemůže odhodlali sjednávali pracovní podmínky s cizím státem. Na pěti školách na Teplicku se tedy vůbec dosud neučí. V lednu</w:t>
      </w:r>
      <w:r>
        <w:rPr>
          <w:sz w:val="18"/>
          <w:szCs w:val="18"/>
        </w:rPr>
        <w:t xml:space="preserve"> jsem byl vyrozuměn, že otázka českých škol v Teplicích- Saňově stává se aktuální, abych přijel věc organisovalL Odjel jsem tedy do Sudet znovu a zjistil jsem, že je nutno dohodou sa starosty obcí ujednali otevření českých škol </w:t>
      </w:r>
      <w:r>
        <w:rPr>
          <w:b/>
          <w:bCs/>
          <w:sz w:val="20"/>
          <w:szCs w:val="20"/>
        </w:rPr>
        <w:t xml:space="preserve">v </w:t>
      </w:r>
      <w:r>
        <w:rPr>
          <w:sz w:val="18"/>
          <w:szCs w:val="18"/>
        </w:rPr>
        <w:t>jednotlivých místech. Tříd</w:t>
      </w:r>
      <w:r>
        <w:rPr>
          <w:sz w:val="18"/>
          <w:szCs w:val="18"/>
        </w:rPr>
        <w:t>a musí míti nejméně patnáct, nejvíce šedesát žáků. To se podařilo uskutečnit v několika obcích, které totiž měly pro české školy budovy. (Proboš- tov, Běhánky, Cukmantl, Košťany, Teplice). V Trnovanech není budovy, bývalá budova české státní školy je obsa</w:t>
      </w:r>
      <w:r>
        <w:rPr>
          <w:sz w:val="18"/>
          <w:szCs w:val="18"/>
        </w:rPr>
        <w:softHyphen/>
      </w:r>
      <w:r>
        <w:rPr>
          <w:sz w:val="18"/>
          <w:szCs w:val="18"/>
        </w:rPr>
        <w:t>zena vojskem. Tam se musí nejdříve opatřili budova. Snad úpravou bývalé staré české školy.</w:t>
      </w:r>
    </w:p>
    <w:p w:rsidR="00500724" w:rsidRDefault="00F30FB8">
      <w:pPr>
        <w:pStyle w:val="Zkladntext1"/>
        <w:shd w:val="clear" w:color="auto" w:fill="auto"/>
        <w:spacing w:after="60"/>
        <w:ind w:firstLine="0"/>
        <w:rPr>
          <w:sz w:val="20"/>
          <w:szCs w:val="20"/>
        </w:rPr>
      </w:pPr>
      <w:r>
        <w:rPr>
          <w:b/>
          <w:bCs/>
          <w:sz w:val="20"/>
          <w:szCs w:val="20"/>
        </w:rPr>
        <w:t>Jak vypadá otázka českých škol oficiálně</w:t>
      </w:r>
    </w:p>
    <w:p w:rsidR="00500724" w:rsidRDefault="00F30FB8">
      <w:pPr>
        <w:pStyle w:val="Zkladntext1"/>
        <w:shd w:val="clear" w:color="auto" w:fill="auto"/>
        <w:spacing w:after="60"/>
        <w:ind w:firstLine="320"/>
        <w:rPr>
          <w:sz w:val="18"/>
          <w:szCs w:val="18"/>
        </w:rPr>
      </w:pPr>
      <w:r>
        <w:rPr>
          <w:sz w:val="18"/>
          <w:szCs w:val="18"/>
        </w:rPr>
        <w:t xml:space="preserve">Pokud se na některých českých školách </w:t>
      </w:r>
      <w:r>
        <w:rPr>
          <w:b/>
          <w:bCs/>
          <w:sz w:val="20"/>
          <w:szCs w:val="20"/>
        </w:rPr>
        <w:t xml:space="preserve">v </w:t>
      </w:r>
      <w:r>
        <w:rPr>
          <w:sz w:val="18"/>
          <w:szCs w:val="18"/>
        </w:rPr>
        <w:t>Sudetech vy</w:t>
      </w:r>
      <w:r>
        <w:rPr>
          <w:sz w:val="18"/>
          <w:szCs w:val="18"/>
        </w:rPr>
        <w:softHyphen/>
        <w:t xml:space="preserve">učuje, děje se tak po dohodě </w:t>
      </w:r>
      <w:r>
        <w:rPr>
          <w:b/>
          <w:bCs/>
          <w:sz w:val="20"/>
          <w:szCs w:val="20"/>
        </w:rPr>
        <w:t xml:space="preserve">s </w:t>
      </w:r>
      <w:r>
        <w:rPr>
          <w:sz w:val="18"/>
          <w:szCs w:val="18"/>
        </w:rPr>
        <w:t xml:space="preserve">místními činiteli </w:t>
      </w:r>
      <w:r>
        <w:rPr>
          <w:b/>
          <w:bCs/>
          <w:sz w:val="20"/>
          <w:szCs w:val="20"/>
        </w:rPr>
        <w:t xml:space="preserve">a </w:t>
      </w:r>
      <w:r>
        <w:rPr>
          <w:sz w:val="18"/>
          <w:szCs w:val="18"/>
        </w:rPr>
        <w:t>podle místních poměrů</w:t>
      </w:r>
      <w:r>
        <w:rPr>
          <w:sz w:val="18"/>
          <w:szCs w:val="18"/>
        </w:rPr>
        <w:t xml:space="preserve">. Tak se vyučovalo v jedné třídě </w:t>
      </w:r>
      <w:r>
        <w:rPr>
          <w:b/>
          <w:bCs/>
          <w:sz w:val="20"/>
          <w:szCs w:val="20"/>
        </w:rPr>
        <w:t xml:space="preserve">v </w:t>
      </w:r>
      <w:r>
        <w:rPr>
          <w:sz w:val="18"/>
          <w:szCs w:val="18"/>
        </w:rPr>
        <w:t xml:space="preserve">Mostě, Kopistech, Souši </w:t>
      </w:r>
      <w:r>
        <w:rPr>
          <w:b/>
          <w:bCs/>
          <w:sz w:val="20"/>
          <w:szCs w:val="20"/>
        </w:rPr>
        <w:t xml:space="preserve">a </w:t>
      </w:r>
      <w:r>
        <w:rPr>
          <w:sz w:val="18"/>
          <w:szCs w:val="18"/>
        </w:rPr>
        <w:t>Horním Litvínově. V Mostě se již zase neučí, v Horním Litvínově učí učitelka, ovládající velmi špatně češtinu. Zdálo by se, že na českých školách se ne</w:t>
      </w:r>
      <w:r>
        <w:rPr>
          <w:sz w:val="18"/>
          <w:szCs w:val="18"/>
        </w:rPr>
        <w:softHyphen/>
        <w:t>učí proto, že není českých učitelů. To je o</w:t>
      </w:r>
      <w:r>
        <w:rPr>
          <w:sz w:val="18"/>
          <w:szCs w:val="18"/>
        </w:rPr>
        <w:t>myl. Na okres</w:t>
      </w:r>
      <w:r>
        <w:rPr>
          <w:sz w:val="18"/>
          <w:szCs w:val="18"/>
        </w:rPr>
        <w:softHyphen/>
        <w:t xml:space="preserve">ních úřadech v území, připojeném k říši, hromadí se žádosti českých učitelů, kteří chtějí učiti </w:t>
      </w:r>
      <w:r>
        <w:rPr>
          <w:b/>
          <w:bCs/>
          <w:sz w:val="20"/>
          <w:szCs w:val="20"/>
        </w:rPr>
        <w:t xml:space="preserve">na </w:t>
      </w:r>
      <w:r>
        <w:rPr>
          <w:sz w:val="18"/>
          <w:szCs w:val="18"/>
        </w:rPr>
        <w:t>českých školách. Na okresním úřadě v Teplicích je těchto žádostí pětapade</w:t>
      </w:r>
      <w:r>
        <w:rPr>
          <w:sz w:val="18"/>
          <w:szCs w:val="18"/>
        </w:rPr>
        <w:softHyphen/>
        <w:t>sát. Je tedy českých učitelů, hlásících se do Sudet, nad</w:t>
      </w:r>
      <w:r>
        <w:rPr>
          <w:sz w:val="18"/>
          <w:szCs w:val="18"/>
        </w:rPr>
        <w:softHyphen/>
        <w:t>bytek, ale d</w:t>
      </w:r>
      <w:r>
        <w:rPr>
          <w:sz w:val="18"/>
          <w:szCs w:val="18"/>
        </w:rPr>
        <w:t>osud žádná z žádostí nebyla vyřízena, poně</w:t>
      </w:r>
      <w:r>
        <w:rPr>
          <w:sz w:val="18"/>
          <w:szCs w:val="18"/>
        </w:rPr>
        <w:softHyphen/>
        <w:t>vadž oficiálně nejsou dosud česká školy otevřeny. Před čtrnácti dny byl jsem se zástupci české menšiny na Tep</w:t>
      </w:r>
      <w:r>
        <w:rPr>
          <w:sz w:val="18"/>
          <w:szCs w:val="18"/>
        </w:rPr>
        <w:softHyphen/>
        <w:t>licku u zemského rady (Landrat) se žádostí, aby byly české školy na okrese otevřeny. Zemský rada se dal</w:t>
      </w:r>
      <w:r>
        <w:rPr>
          <w:sz w:val="18"/>
          <w:szCs w:val="18"/>
        </w:rPr>
        <w:t xml:space="preserve"> podrobná o situaci českých dětí a škol informovat a slíbil, že ihned požádá nadřízený úřad o povolení k otevření potřebných českých škol obecných na Teplicku a jedné měšfanky. Druhý den byl jsem s deputací české menšiny u presiden</w:t>
      </w:r>
      <w:r>
        <w:rPr>
          <w:sz w:val="18"/>
          <w:szCs w:val="18"/>
        </w:rPr>
        <w:softHyphen/>
        <w:t xml:space="preserve">ta Hans Krebse </w:t>
      </w:r>
      <w:r>
        <w:rPr>
          <w:b/>
          <w:bCs/>
          <w:sz w:val="20"/>
          <w:szCs w:val="20"/>
        </w:rPr>
        <w:t xml:space="preserve">v </w:t>
      </w:r>
      <w:r>
        <w:rPr>
          <w:sz w:val="18"/>
          <w:szCs w:val="18"/>
        </w:rPr>
        <w:t>Ostí na</w:t>
      </w:r>
      <w:r>
        <w:rPr>
          <w:sz w:val="18"/>
          <w:szCs w:val="18"/>
        </w:rPr>
        <w:t>d Labem. Byli jsme srdečně při</w:t>
      </w:r>
      <w:r>
        <w:rPr>
          <w:sz w:val="18"/>
          <w:szCs w:val="18"/>
        </w:rPr>
        <w:softHyphen/>
        <w:t xml:space="preserve">jati </w:t>
      </w:r>
      <w:r>
        <w:rPr>
          <w:sz w:val="18"/>
          <w:szCs w:val="18"/>
          <w:lang w:val="en-US" w:eastAsia="en-US" w:bidi="en-US"/>
        </w:rPr>
        <w:t xml:space="preserve">a pan Krebs </w:t>
      </w:r>
      <w:r>
        <w:rPr>
          <w:sz w:val="18"/>
          <w:szCs w:val="18"/>
        </w:rPr>
        <w:t>projevil porozumění pro naše starosti. Podrobně jsme věc znovu projednali s referentem pro školské otázky, který nám oznámil, že již několikráte o této věci jednali, ale o otevření nebylo dosud rozhodnuto. Ně</w:t>
      </w:r>
      <w:r>
        <w:rPr>
          <w:sz w:val="18"/>
          <w:szCs w:val="18"/>
        </w:rPr>
        <w:t>mecká úřady nedaly dosud pokyn k otevření českých škol, protože vzájemná dohoda mezi oběma státy není do</w:t>
      </w:r>
      <w:r>
        <w:rPr>
          <w:sz w:val="18"/>
          <w:szCs w:val="18"/>
        </w:rPr>
        <w:softHyphen/>
        <w:t xml:space="preserve">sud ukončena. Tam, kde se na českých školách učí, děje se to </w:t>
      </w:r>
      <w:r>
        <w:rPr>
          <w:rFonts w:ascii="Arial" w:eastAsia="Arial" w:hAnsi="Arial" w:cs="Arial"/>
          <w:smallCaps/>
          <w:sz w:val="15"/>
          <w:szCs w:val="15"/>
        </w:rPr>
        <w:t>jz</w:t>
      </w:r>
      <w:r>
        <w:rPr>
          <w:sz w:val="18"/>
          <w:szCs w:val="18"/>
        </w:rPr>
        <w:t xml:space="preserve"> blahovůle místních činitelů a německé úřady to mlčky trpíí. České školy, podle prohlášení příslušného refe</w:t>
      </w:r>
      <w:r>
        <w:rPr>
          <w:sz w:val="18"/>
          <w:szCs w:val="18"/>
        </w:rPr>
        <w:softHyphen/>
        <w:t>renta, budou otevřeny hromadně až po vzájemné mezi</w:t>
      </w:r>
      <w:r>
        <w:rPr>
          <w:sz w:val="18"/>
          <w:szCs w:val="18"/>
        </w:rPr>
        <w:softHyphen/>
        <w:t>státní dohodě. Nicméně však dostalo se nám prohlášení, že bude podána zpráva ministerstvu školstv</w:t>
      </w:r>
      <w:r>
        <w:rPr>
          <w:sz w:val="18"/>
          <w:szCs w:val="18"/>
        </w:rPr>
        <w:t>í v Berlíně, které rozhodne a rozhodnutí sdělí okresnímu úřadu v Teplících k dalšímu řízení. Výsledku jsem se nedočkal, poněvadž moje dovolená skončila a musel jsem se vrátit zpět.</w:t>
      </w:r>
    </w:p>
    <w:p w:rsidR="00500724" w:rsidRDefault="00F30FB8">
      <w:pPr>
        <w:pStyle w:val="Zkladntext1"/>
        <w:shd w:val="clear" w:color="auto" w:fill="auto"/>
        <w:spacing w:after="140"/>
        <w:ind w:firstLine="320"/>
        <w:rPr>
          <w:sz w:val="18"/>
          <w:szCs w:val="18"/>
        </w:rPr>
      </w:pPr>
      <w:r>
        <w:rPr>
          <w:sz w:val="18"/>
          <w:szCs w:val="18"/>
        </w:rPr>
        <w:t>Můj dojem z jednání s německými úřady je ten, že se očekává po provedení op</w:t>
      </w:r>
      <w:r>
        <w:rPr>
          <w:sz w:val="18"/>
          <w:szCs w:val="18"/>
        </w:rPr>
        <w:t>tování nová velká vlna stěho</w:t>
      </w:r>
      <w:r>
        <w:rPr>
          <w:sz w:val="18"/>
          <w:szCs w:val="18"/>
        </w:rPr>
        <w:softHyphen/>
        <w:t>vání do republiky. Úřady jsou přesvědčeny, že dnešní číslice počtu českých dětí se podstatně sníží.</w:t>
      </w:r>
    </w:p>
    <w:p w:rsidR="00500724" w:rsidRDefault="00F30FB8">
      <w:pPr>
        <w:pStyle w:val="Zkladntext1"/>
        <w:shd w:val="clear" w:color="auto" w:fill="auto"/>
        <w:spacing w:after="60"/>
        <w:ind w:firstLine="0"/>
        <w:jc w:val="center"/>
        <w:rPr>
          <w:sz w:val="18"/>
          <w:szCs w:val="18"/>
        </w:rPr>
      </w:pPr>
      <w:r>
        <w:rPr>
          <w:sz w:val="18"/>
          <w:szCs w:val="18"/>
        </w:rPr>
        <w:t>Situace českých dětí</w:t>
      </w:r>
    </w:p>
    <w:p w:rsidR="00500724" w:rsidRDefault="00F30FB8">
      <w:pPr>
        <w:pStyle w:val="Zkladntext1"/>
        <w:shd w:val="clear" w:color="auto" w:fill="auto"/>
        <w:spacing w:after="80"/>
        <w:ind w:firstLine="320"/>
        <w:rPr>
          <w:sz w:val="18"/>
          <w:szCs w:val="18"/>
        </w:rPr>
      </w:pPr>
      <w:r>
        <w:rPr>
          <w:sz w:val="18"/>
          <w:szCs w:val="18"/>
        </w:rPr>
        <w:t>Některé děti chodí do německých škol. S počátku ně</w:t>
      </w:r>
      <w:r>
        <w:rPr>
          <w:sz w:val="18"/>
          <w:szCs w:val="18"/>
        </w:rPr>
        <w:softHyphen/>
      </w:r>
      <w:r>
        <w:rPr>
          <w:sz w:val="18"/>
          <w:szCs w:val="18"/>
        </w:rPr>
        <w:t xml:space="preserve">mecké školy odmítaly přijmouti děti po obou rodičích peské. Později, na nátlak úřadů, byly přijímány děti české, pokud je rodiče dali zapsati. Děti chodí do německých Škol nerady, poněvadž se tam cítí cizinci. Němečtí učitelé mají přeplněné třídy, nemohou </w:t>
      </w:r>
      <w:r>
        <w:rPr>
          <w:sz w:val="18"/>
          <w:szCs w:val="18"/>
        </w:rPr>
        <w:t xml:space="preserve">se českým dětem věnovali, a proto je nespokojenost na obou stranách. Hůře však je </w:t>
      </w:r>
      <w:r>
        <w:rPr>
          <w:b/>
          <w:bCs/>
          <w:sz w:val="20"/>
          <w:szCs w:val="20"/>
        </w:rPr>
        <w:t xml:space="preserve">s </w:t>
      </w:r>
      <w:r>
        <w:rPr>
          <w:sz w:val="18"/>
          <w:szCs w:val="18"/>
        </w:rPr>
        <w:t>dětmi, která ještě dosud nechodí nikam do školy. Ne-</w:t>
      </w:r>
      <w:r>
        <w:br w:type="page"/>
      </w:r>
    </w:p>
    <w:p w:rsidR="00500724" w:rsidRDefault="00F30FB8">
      <w:pPr>
        <w:pStyle w:val="Zkladntext1"/>
        <w:shd w:val="clear" w:color="auto" w:fill="auto"/>
        <w:spacing w:after="140"/>
        <w:ind w:firstLine="0"/>
        <w:rPr>
          <w:sz w:val="18"/>
          <w:szCs w:val="18"/>
        </w:rPr>
      </w:pPr>
      <w:r>
        <w:rPr>
          <w:noProof/>
        </w:rPr>
        <mc:AlternateContent>
          <mc:Choice Requires="wps">
            <w:drawing>
              <wp:anchor distT="0" distB="82550" distL="114300" distR="1028700" simplePos="0" relativeHeight="125829524" behindDoc="0" locked="0" layoutInCell="1" allowOverlap="1">
                <wp:simplePos x="0" y="0"/>
                <wp:positionH relativeFrom="page">
                  <wp:posOffset>3023870</wp:posOffset>
                </wp:positionH>
                <wp:positionV relativeFrom="margin">
                  <wp:posOffset>-211455</wp:posOffset>
                </wp:positionV>
                <wp:extent cx="381000" cy="37465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381000" cy="374650"/>
                        </a:xfrm>
                        <a:prstGeom prst="rect">
                          <a:avLst/>
                        </a:prstGeom>
                        <a:noFill/>
                      </wps:spPr>
                      <wps:txbx>
                        <w:txbxContent>
                          <w:p w:rsidR="00500724" w:rsidRDefault="00F30FB8">
                            <w:pPr>
                              <w:pStyle w:val="Nadpis90"/>
                              <w:keepNext/>
                              <w:keepLines/>
                              <w:shd w:val="clear" w:color="auto" w:fill="auto"/>
                              <w:spacing w:after="0"/>
                            </w:pPr>
                            <w:bookmarkStart w:id="168" w:name="bookmark163"/>
                            <w:r>
                              <w:rPr>
                                <w:rFonts w:ascii="Times New Roman" w:eastAsia="Times New Roman" w:hAnsi="Times New Roman" w:cs="Times New Roman"/>
                              </w:rPr>
                              <w:t>Pfít</w:t>
                            </w:r>
                            <w:bookmarkEnd w:id="168"/>
                          </w:p>
                        </w:txbxContent>
                      </wps:txbx>
                      <wps:bodyPr lIns="0" tIns="0" rIns="0" bIns="0">
                        <a:spAutoFit/>
                      </wps:bodyPr>
                    </wps:wsp>
                  </a:graphicData>
                </a:graphic>
              </wp:anchor>
            </w:drawing>
          </mc:Choice>
          <mc:Fallback>
            <w:pict>
              <v:shape id="_x0000_s1173" type="#_x0000_t202" style="position:absolute;margin-left:238.09999999999999pt;margin-top:-16.649999999999999pt;width:30.pt;height:29.5pt;z-index:-125829229;mso-wrap-distance-left:9.pt;mso-wrap-distance-right:81.pt;mso-wrap-distance-bottom:6.5pt;mso-position-horizontal-relative:page;mso-position-vertical-relative:margin"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163" w:name="bookmark163"/>
                      <w:r>
                        <w:rPr>
                          <w:rFonts w:ascii="Times New Roman" w:eastAsia="Times New Roman" w:hAnsi="Times New Roman" w:cs="Times New Roman"/>
                          <w:color w:val="000000"/>
                          <w:spacing w:val="0"/>
                          <w:w w:val="100"/>
                          <w:position w:val="0"/>
                          <w:shd w:val="clear" w:color="auto" w:fill="auto"/>
                          <w:lang w:val="cs-CZ" w:eastAsia="cs-CZ" w:bidi="cs-CZ"/>
                        </w:rPr>
                        <w:t>Pfít</w:t>
                      </w:r>
                      <w:bookmarkEnd w:id="163"/>
                    </w:p>
                  </w:txbxContent>
                </v:textbox>
                <w10:wrap type="topAndBottom" anchorx="page" anchory="margin"/>
              </v:shape>
            </w:pict>
          </mc:Fallback>
        </mc:AlternateContent>
      </w:r>
      <w:r>
        <w:rPr>
          <w:noProof/>
        </w:rPr>
        <mc:AlternateContent>
          <mc:Choice Requires="wps">
            <w:drawing>
              <wp:anchor distT="21590" distB="76200" distL="501650" distR="513715" simplePos="0" relativeHeight="125829526" behindDoc="0" locked="0" layoutInCell="1" allowOverlap="1">
                <wp:simplePos x="0" y="0"/>
                <wp:positionH relativeFrom="page">
                  <wp:posOffset>3410585</wp:posOffset>
                </wp:positionH>
                <wp:positionV relativeFrom="margin">
                  <wp:posOffset>-189865</wp:posOffset>
                </wp:positionV>
                <wp:extent cx="509270" cy="35941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509270" cy="359410"/>
                        </a:xfrm>
                        <a:prstGeom prst="rect">
                          <a:avLst/>
                        </a:prstGeom>
                        <a:noFill/>
                      </wps:spPr>
                      <wps:txbx>
                        <w:txbxContent>
                          <w:p w:rsidR="00500724" w:rsidRDefault="00F30FB8">
                            <w:pPr>
                              <w:pStyle w:val="Nadpis80"/>
                              <w:keepNext/>
                              <w:keepLines/>
                              <w:pBdr>
                                <w:top w:val="single" w:sz="0" w:space="0" w:color="000000"/>
                                <w:left w:val="single" w:sz="0" w:space="0" w:color="000000"/>
                                <w:bottom w:val="single" w:sz="0" w:space="0" w:color="000000"/>
                                <w:right w:val="single" w:sz="0" w:space="0" w:color="000000"/>
                              </w:pBdr>
                              <w:shd w:val="clear" w:color="auto" w:fill="000000"/>
                              <w:spacing w:after="0"/>
                            </w:pPr>
                            <w:bookmarkStart w:id="169" w:name="bookmark164"/>
                            <w:r>
                              <w:rPr>
                                <w:rFonts w:ascii="Arial" w:eastAsia="Arial" w:hAnsi="Arial" w:cs="Arial"/>
                                <w:color w:val="FFFFFF"/>
                                <w:u w:val="none"/>
                              </w:rPr>
                              <w:t>•jmi •</w:t>
                            </w:r>
                            <w:bookmarkEnd w:id="169"/>
                          </w:p>
                        </w:txbxContent>
                      </wps:txbx>
                      <wps:bodyPr lIns="0" tIns="0" rIns="0" bIns="0">
                        <a:spAutoFit/>
                      </wps:bodyPr>
                    </wps:wsp>
                  </a:graphicData>
                </a:graphic>
              </wp:anchor>
            </w:drawing>
          </mc:Choice>
          <mc:Fallback>
            <w:pict>
              <v:shape id="_x0000_s1175" type="#_x0000_t202" style="position:absolute;margin-left:268.55000000000001pt;margin-top:-14.949999999999999pt;width:40.100000000000001pt;height:28.300000000000001pt;z-index:-125829227;mso-wrap-distance-left:39.5pt;mso-wrap-distance-top:1.7pt;mso-wrap-distance-right:40.450000000000003pt;mso-wrap-distance-bottom:6.pt;mso-position-horizontal-relative:page;mso-position-vertical-relative:margin" filled="f" stroked="f">
                <v:textbox style="mso-fit-shape-to-text:t" inset="0,0,0,0">
                  <w:txbxContent>
                    <w:p>
                      <w:pPr>
                        <w:pStyle w:val="Style56"/>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164" w:name="bookmark164"/>
                      <w:r>
                        <w:rPr>
                          <w:rFonts w:ascii="Arial" w:eastAsia="Arial" w:hAnsi="Arial" w:cs="Arial"/>
                          <w:color w:val="FFFFFF"/>
                          <w:spacing w:val="0"/>
                          <w:w w:val="100"/>
                          <w:position w:val="0"/>
                          <w:sz w:val="46"/>
                          <w:szCs w:val="46"/>
                          <w:u w:val="none"/>
                          <w:shd w:val="clear" w:color="auto" w:fill="auto"/>
                          <w:lang w:val="cs-CZ" w:eastAsia="cs-CZ" w:bidi="cs-CZ"/>
                        </w:rPr>
                        <w:t>•jmi •</w:t>
                      </w:r>
                      <w:bookmarkEnd w:id="164"/>
                    </w:p>
                  </w:txbxContent>
                </v:textbox>
                <w10:wrap type="topAndBottom" anchorx="page" anchory="margin"/>
              </v:shape>
            </w:pict>
          </mc:Fallback>
        </mc:AlternateContent>
      </w:r>
      <w:r>
        <w:rPr>
          <w:noProof/>
        </w:rPr>
        <mc:AlternateContent>
          <mc:Choice Requires="wps">
            <w:drawing>
              <wp:anchor distT="94615" distB="76200" distL="1016635" distR="114300" simplePos="0" relativeHeight="125829528" behindDoc="0" locked="0" layoutInCell="1" allowOverlap="1">
                <wp:simplePos x="0" y="0"/>
                <wp:positionH relativeFrom="page">
                  <wp:posOffset>3926205</wp:posOffset>
                </wp:positionH>
                <wp:positionV relativeFrom="margin">
                  <wp:posOffset>-116840</wp:posOffset>
                </wp:positionV>
                <wp:extent cx="393065" cy="286385"/>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393065" cy="286385"/>
                        </a:xfrm>
                        <a:prstGeom prst="rect">
                          <a:avLst/>
                        </a:prstGeom>
                        <a:noFill/>
                      </wps:spPr>
                      <wps:txbx>
                        <w:txbxContent>
                          <w:p w:rsidR="00500724" w:rsidRDefault="00F30FB8">
                            <w:pPr>
                              <w:pStyle w:val="Jin0"/>
                              <w:shd w:val="clear" w:color="auto" w:fill="auto"/>
                              <w:ind w:firstLine="0"/>
                              <w:jc w:val="left"/>
                              <w:rPr>
                                <w:sz w:val="36"/>
                                <w:szCs w:val="36"/>
                              </w:rPr>
                            </w:pPr>
                            <w:r>
                              <w:rPr>
                                <w:rFonts w:ascii="Arial" w:eastAsia="Arial" w:hAnsi="Arial" w:cs="Arial"/>
                                <w:sz w:val="36"/>
                                <w:szCs w:val="36"/>
                                <w:lang w:val="en-US" w:eastAsia="en-US" w:bidi="en-US"/>
                              </w:rPr>
                              <w:t>SO</w:t>
                            </w:r>
                          </w:p>
                        </w:txbxContent>
                      </wps:txbx>
                      <wps:bodyPr lIns="0" tIns="0" rIns="0" bIns="0">
                        <a:spAutoFit/>
                      </wps:bodyPr>
                    </wps:wsp>
                  </a:graphicData>
                </a:graphic>
              </wp:anchor>
            </w:drawing>
          </mc:Choice>
          <mc:Fallback>
            <w:pict>
              <v:shape id="_x0000_s1177" type="#_x0000_t202" style="position:absolute;margin-left:309.14999999999998pt;margin-top:-9.1999999999999993pt;width:30.949999999999999pt;height:22.550000000000001pt;z-index:-125829225;mso-wrap-distance-left:80.049999999999997pt;mso-wrap-distance-top:7.4500000000000002pt;mso-wrap-distance-right:9.pt;mso-wrap-distance-bottom:6.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en-US" w:eastAsia="en-US" w:bidi="en-US"/>
                        </w:rPr>
                        <w:t>SO</w:t>
                      </w:r>
                    </w:p>
                  </w:txbxContent>
                </v:textbox>
                <w10:wrap type="topAndBottom" anchorx="page" anchory="margin"/>
              </v:shape>
            </w:pict>
          </mc:Fallback>
        </mc:AlternateContent>
      </w:r>
      <w:r>
        <w:rPr>
          <w:sz w:val="18"/>
          <w:szCs w:val="18"/>
        </w:rPr>
        <w:t xml:space="preserve">počítáme-li králkou dobu v září, nechodí české děli do Iškoly již přes půl roku. Mnoho rodičů </w:t>
      </w:r>
      <w:r>
        <w:rPr>
          <w:sz w:val="18"/>
          <w:szCs w:val="18"/>
        </w:rPr>
        <w:t>poslalo děli do (českých škol do republiky bud k příbuzným nebo k cizím, za plat. Rodiče dělí v mnoha případech opustili Sudety, opusíili práci a odstěhovali se do republiky, aby zajistili dětem výchovu v mateřském jazyku. Nebudou-li v brzku otevřeny české</w:t>
      </w:r>
      <w:r>
        <w:rPr>
          <w:sz w:val="18"/>
          <w:szCs w:val="18"/>
        </w:rPr>
        <w:t xml:space="preserve"> školy, vystěhuje se z této příčiny ještě Značné množství Čechů.</w:t>
      </w:r>
    </w:p>
    <w:p w:rsidR="00500724" w:rsidRDefault="00F30FB8">
      <w:pPr>
        <w:pStyle w:val="Zkladntext1"/>
        <w:shd w:val="clear" w:color="auto" w:fill="auto"/>
        <w:spacing w:after="140" w:line="233" w:lineRule="auto"/>
        <w:ind w:firstLine="0"/>
        <w:jc w:val="center"/>
        <w:rPr>
          <w:sz w:val="18"/>
          <w:szCs w:val="18"/>
        </w:rPr>
      </w:pPr>
      <w:r>
        <w:rPr>
          <w:sz w:val="18"/>
          <w:szCs w:val="18"/>
        </w:rPr>
        <w:t>Čeští učitelé</w:t>
      </w:r>
    </w:p>
    <w:p w:rsidR="00500724" w:rsidRDefault="00F30FB8">
      <w:pPr>
        <w:pStyle w:val="Zkladntext1"/>
        <w:shd w:val="clear" w:color="auto" w:fill="auto"/>
        <w:spacing w:line="221" w:lineRule="auto"/>
        <w:ind w:firstLine="200"/>
        <w:rPr>
          <w:sz w:val="18"/>
          <w:szCs w:val="18"/>
        </w:rPr>
      </w:pPr>
      <w:r>
        <w:rPr>
          <w:sz w:val="18"/>
          <w:szCs w:val="18"/>
        </w:rPr>
        <w:t>Některé české listy zcela zbytečně a nespravedlivě rozvířily řadu útoků na české učitelstvo, že se nechce vrátit do odstoupeného území na české školy. Do Sudet je však přihlášeno tolik učitelů, že nebudou moci býti všichni zaměstnáni. Z 55 učitelů, kteří ž</w:t>
      </w:r>
      <w:r>
        <w:rPr>
          <w:sz w:val="18"/>
          <w:szCs w:val="18"/>
        </w:rPr>
        <w:t xml:space="preserve">ádají na Teplicko, bude jich podle stavu dětí dnes na okrese (560) přijato nejvýše patnáct. Některé obce přijaly již české učitele </w:t>
      </w:r>
      <w:r>
        <w:rPr>
          <w:b/>
          <w:bCs/>
          <w:sz w:val="20"/>
          <w:szCs w:val="20"/>
        </w:rPr>
        <w:t xml:space="preserve">a </w:t>
      </w:r>
      <w:r>
        <w:rPr>
          <w:sz w:val="18"/>
          <w:szCs w:val="18"/>
        </w:rPr>
        <w:t>platí je, třeba dosud školy otevřeny nejsou. Jsou to vesměs učitelé výpomocní, kteří byli v republice pro</w:t>
      </w:r>
      <w:r>
        <w:rPr>
          <w:sz w:val="18"/>
          <w:szCs w:val="18"/>
        </w:rPr>
        <w:softHyphen/>
        <w:t>puštěni.</w:t>
      </w:r>
    </w:p>
    <w:p w:rsidR="00500724" w:rsidRDefault="00F30FB8">
      <w:pPr>
        <w:pStyle w:val="Zkladntext1"/>
        <w:shd w:val="clear" w:color="auto" w:fill="auto"/>
        <w:spacing w:after="140" w:line="233" w:lineRule="auto"/>
        <w:ind w:firstLine="280"/>
        <w:rPr>
          <w:sz w:val="18"/>
          <w:szCs w:val="18"/>
        </w:rPr>
      </w:pPr>
      <w:r>
        <w:rPr>
          <w:sz w:val="18"/>
          <w:szCs w:val="18"/>
        </w:rPr>
        <w:t>Nejlepší</w:t>
      </w:r>
      <w:r>
        <w:rPr>
          <w:sz w:val="18"/>
          <w:szCs w:val="18"/>
        </w:rPr>
        <w:t xml:space="preserve"> dnes způsob umístění v Sudelech je přímý styk s německými úřady. K přijetí místa mohou se od</w:t>
      </w:r>
      <w:r>
        <w:rPr>
          <w:sz w:val="18"/>
          <w:szCs w:val="18"/>
        </w:rPr>
        <w:softHyphen/>
        <w:t>hodlali jen učitelé nezaměstnaní nebo začátečníci, poně</w:t>
      </w:r>
      <w:r>
        <w:rPr>
          <w:sz w:val="18"/>
          <w:szCs w:val="18"/>
        </w:rPr>
        <w:softHyphen/>
        <w:t>vadž nemusí řešiti složitá otázky pensijní a celou řadu služebních otázek, vyplývajících z delšího služebn</w:t>
      </w:r>
      <w:r>
        <w:rPr>
          <w:sz w:val="18"/>
          <w:szCs w:val="18"/>
        </w:rPr>
        <w:t>ího poměru. Německé úřady se nechií předem v těchto věcech k ničemu zavazovali a česko-slovenská vláda rovněž ne, dokud tyto věci nebudou mezistátní dohodou ujednány. Na učitele čeká v území, připojeném k říši, veliké množství práce. V Sudetech je třeba dá</w:t>
      </w:r>
      <w:r>
        <w:rPr>
          <w:sz w:val="18"/>
          <w:szCs w:val="18"/>
        </w:rPr>
        <w:t>ti do pořádku a otevřití české knihovny. Na mnohých místech jsou lyto knihovny nedostatečně uskladněny. Je třeba zabez</w:t>
      </w:r>
      <w:r>
        <w:rPr>
          <w:sz w:val="18"/>
          <w:szCs w:val="18"/>
        </w:rPr>
        <w:softHyphen/>
        <w:t>pečili školní archivy, české školní inventáře a p. Je to nesmírně důležitá práce, o kterou musí míti naše úřady větší zájem, než úřady ně</w:t>
      </w:r>
      <w:r>
        <w:rPr>
          <w:sz w:val="18"/>
          <w:szCs w:val="18"/>
        </w:rPr>
        <w:t>mecké. Tyto důležité věci mohl by vykonati na každém okrese učitel, který v tomto území dříve působil a zná dobře místní poměry. Vláda republiky by mohla pro naši českou menšinu mnoho vy</w:t>
      </w:r>
      <w:r>
        <w:rPr>
          <w:sz w:val="18"/>
          <w:szCs w:val="18"/>
        </w:rPr>
        <w:softHyphen/>
        <w:t>konali, kdyby pověřila pro každý okres učitele nebo úředníka, který v</w:t>
      </w:r>
      <w:r>
        <w:rPr>
          <w:sz w:val="18"/>
          <w:szCs w:val="18"/>
        </w:rPr>
        <w:t xml:space="preserve"> tomto okrese působil. Tento učitel nebo úředník dostal by dovolenou a odebral by se neprodleně do svého okresu, ke svým lidem a tam by provedl vše, co v zájmu české menšiny je nutno provésti. Jak vzne</w:t>
      </w:r>
      <w:r>
        <w:rPr>
          <w:sz w:val="18"/>
          <w:szCs w:val="18"/>
        </w:rPr>
        <w:softHyphen/>
        <w:t xml:space="preserve">sený to úkol a jak nesmírně důležitý! Co majetku by </w:t>
      </w:r>
      <w:r>
        <w:rPr>
          <w:b/>
          <w:bCs/>
          <w:sz w:val="20"/>
          <w:szCs w:val="20"/>
        </w:rPr>
        <w:t>se</w:t>
      </w:r>
      <w:r>
        <w:rPr>
          <w:b/>
          <w:bCs/>
          <w:sz w:val="20"/>
          <w:szCs w:val="20"/>
        </w:rPr>
        <w:t xml:space="preserve"> </w:t>
      </w:r>
      <w:r>
        <w:rPr>
          <w:sz w:val="18"/>
          <w:szCs w:val="18"/>
        </w:rPr>
        <w:t>dalo zachránili, kolika lidem pomoci, co žalu a slz mohlo by takovéto opatření setříti. A nic by to nestálo, poněvadž řada učitelů i úředníků byla přikázána na svá nová pů- sobitě jako síly přespočetné.</w:t>
      </w:r>
    </w:p>
    <w:p w:rsidR="00500724" w:rsidRDefault="00F30FB8">
      <w:pPr>
        <w:pStyle w:val="Zkladntext1"/>
        <w:shd w:val="clear" w:color="auto" w:fill="auto"/>
        <w:spacing w:after="140"/>
        <w:ind w:firstLine="0"/>
        <w:jc w:val="center"/>
        <w:rPr>
          <w:sz w:val="20"/>
          <w:szCs w:val="20"/>
        </w:rPr>
      </w:pPr>
      <w:r>
        <w:rPr>
          <w:b/>
          <w:bCs/>
          <w:sz w:val="20"/>
          <w:szCs w:val="20"/>
        </w:rPr>
        <w:t>Naši lidé za hranicemi</w:t>
      </w:r>
    </w:p>
    <w:p w:rsidR="00500724" w:rsidRDefault="00F30FB8">
      <w:pPr>
        <w:pStyle w:val="Zkladntext1"/>
        <w:shd w:val="clear" w:color="auto" w:fill="auto"/>
        <w:spacing w:after="140"/>
        <w:ind w:firstLine="280"/>
        <w:rPr>
          <w:sz w:val="20"/>
          <w:szCs w:val="20"/>
        </w:rPr>
      </w:pPr>
      <w:r>
        <w:rPr>
          <w:sz w:val="18"/>
          <w:szCs w:val="18"/>
        </w:rPr>
        <w:t xml:space="preserve">Jsou znepokojeni, rozmrzelí, </w:t>
      </w:r>
      <w:r>
        <w:rPr>
          <w:sz w:val="18"/>
          <w:szCs w:val="18"/>
        </w:rPr>
        <w:t>bojí se o budoucnost. Ne</w:t>
      </w:r>
      <w:r>
        <w:rPr>
          <w:sz w:val="18"/>
          <w:szCs w:val="18"/>
        </w:rPr>
        <w:softHyphen/>
        <w:t xml:space="preserve">ní škol, není kulturního života. Svobodní lidé přenášejí tyto věci snáze přes srdce. Ženatí však </w:t>
      </w:r>
      <w:r>
        <w:rPr>
          <w:b/>
          <w:bCs/>
          <w:sz w:val="20"/>
          <w:szCs w:val="20"/>
        </w:rPr>
        <w:t xml:space="preserve">s </w:t>
      </w:r>
      <w:r>
        <w:rPr>
          <w:sz w:val="18"/>
          <w:szCs w:val="18"/>
        </w:rPr>
        <w:t>dětmi jsou ne</w:t>
      </w:r>
      <w:r>
        <w:rPr>
          <w:sz w:val="18"/>
          <w:szCs w:val="18"/>
        </w:rPr>
        <w:softHyphen/>
        <w:t>ustále vystavováni otázce, co bude z dětí? Hmotné pod</w:t>
      </w:r>
      <w:r>
        <w:rPr>
          <w:sz w:val="18"/>
          <w:szCs w:val="18"/>
        </w:rPr>
        <w:softHyphen/>
        <w:t xml:space="preserve">mínky by nebyly špatné. Kdo pracuje, slušně vydělává. </w:t>
      </w:r>
      <w:r>
        <w:rPr>
          <w:b/>
          <w:bCs/>
          <w:sz w:val="20"/>
          <w:szCs w:val="20"/>
        </w:rPr>
        <w:t xml:space="preserve">1 </w:t>
      </w:r>
      <w:r>
        <w:rPr>
          <w:sz w:val="18"/>
          <w:szCs w:val="18"/>
        </w:rPr>
        <w:t>ten, kdo</w:t>
      </w:r>
      <w:r>
        <w:rPr>
          <w:sz w:val="18"/>
          <w:szCs w:val="18"/>
        </w:rPr>
        <w:t xml:space="preserve"> nepracuje, je slušně podporován. Mnoho sta</w:t>
      </w:r>
      <w:r>
        <w:rPr>
          <w:sz w:val="18"/>
          <w:szCs w:val="18"/>
        </w:rPr>
        <w:softHyphen/>
        <w:t xml:space="preserve">rostí leží dnes našim krajanům na bedrech. Optovat, ne- optovat, pro koho? K tomu řada starostí majetkových </w:t>
      </w:r>
      <w:r>
        <w:rPr>
          <w:b/>
          <w:bCs/>
          <w:sz w:val="20"/>
          <w:szCs w:val="20"/>
        </w:rPr>
        <w:t xml:space="preserve">i </w:t>
      </w:r>
      <w:r>
        <w:rPr>
          <w:sz w:val="18"/>
          <w:szCs w:val="18"/>
        </w:rPr>
        <w:t>existenčních. Lidé se chápou každé příležitosti, aby se in</w:t>
      </w:r>
      <w:r>
        <w:rPr>
          <w:sz w:val="18"/>
          <w:szCs w:val="18"/>
        </w:rPr>
        <w:softHyphen/>
        <w:t xml:space="preserve">formovali. Poslouchají pilně rozhlas, čtou </w:t>
      </w:r>
      <w:r>
        <w:rPr>
          <w:sz w:val="18"/>
          <w:szCs w:val="18"/>
        </w:rPr>
        <w:t xml:space="preserve">české noviny, pokud do sudetského území docházejí, ale nic se v nich nedočtou, jen to, že Němcům v Cesko-Slovensku se vede po stránce kulturní daleko lépe. Občas povolí se zábava </w:t>
      </w:r>
      <w:r>
        <w:rPr>
          <w:b/>
          <w:bCs/>
          <w:sz w:val="20"/>
          <w:szCs w:val="20"/>
        </w:rPr>
        <w:t xml:space="preserve">v </w:t>
      </w:r>
      <w:r>
        <w:rPr>
          <w:sz w:val="18"/>
          <w:szCs w:val="18"/>
        </w:rPr>
        <w:t xml:space="preserve">českém hostinci, kde se sejdou všichni Češi, mladí </w:t>
      </w:r>
      <w:r>
        <w:rPr>
          <w:b/>
          <w:bCs/>
          <w:sz w:val="20"/>
          <w:szCs w:val="20"/>
        </w:rPr>
        <w:t xml:space="preserve">1 </w:t>
      </w:r>
      <w:r>
        <w:rPr>
          <w:sz w:val="18"/>
          <w:szCs w:val="18"/>
        </w:rPr>
        <w:t>staří, aby zapomněli n</w:t>
      </w:r>
      <w:r>
        <w:rPr>
          <w:sz w:val="18"/>
          <w:szCs w:val="18"/>
        </w:rPr>
        <w:t xml:space="preserve">a bolesti. Většinou jsou lito lidé odhodláni vystěhovali se do republiky i za cenu, že budou žiti v horších poměrech hmotných. V této psychologicky tak těžké době je dobrá rada, útěcha a povzbuzení, </w:t>
      </w:r>
      <w:r>
        <w:rPr>
          <w:b/>
          <w:bCs/>
          <w:sz w:val="20"/>
          <w:szCs w:val="20"/>
        </w:rPr>
        <w:t>nad</w:t>
      </w:r>
    </w:p>
    <w:p w:rsidR="00500724" w:rsidRDefault="00F30FB8">
      <w:pPr>
        <w:pStyle w:val="Zkladntext1"/>
        <w:shd w:val="clear" w:color="auto" w:fill="auto"/>
        <w:spacing w:line="233" w:lineRule="auto"/>
        <w:ind w:firstLine="0"/>
        <w:rPr>
          <w:sz w:val="18"/>
          <w:szCs w:val="18"/>
        </w:rPr>
      </w:pPr>
      <w:r>
        <w:rPr>
          <w:sz w:val="18"/>
          <w:szCs w:val="18"/>
        </w:rPr>
        <w:t>všechny pozemské statky. Tím, že jsou čeští lidé v Su</w:t>
      </w:r>
      <w:r>
        <w:rPr>
          <w:sz w:val="18"/>
          <w:szCs w:val="18"/>
        </w:rPr>
        <w:t>de</w:t>
      </w:r>
      <w:r>
        <w:rPr>
          <w:sz w:val="18"/>
          <w:szCs w:val="18"/>
        </w:rPr>
        <w:softHyphen/>
        <w:t>tech ponecháni sami sobě, bez rady a bez pomoci, zvyšuje se neklid až v stěhovací paniku.</w:t>
      </w:r>
    </w:p>
    <w:p w:rsidR="00500724" w:rsidRDefault="00F30FB8">
      <w:pPr>
        <w:pStyle w:val="Zkladntext1"/>
        <w:shd w:val="clear" w:color="auto" w:fill="auto"/>
        <w:ind w:firstLine="300"/>
        <w:rPr>
          <w:sz w:val="18"/>
          <w:szCs w:val="18"/>
        </w:rPr>
      </w:pPr>
      <w:r>
        <w:rPr>
          <w:sz w:val="18"/>
          <w:szCs w:val="18"/>
        </w:rPr>
        <w:t>Německé úřady vycházejí našim lidem dosti vstříc, jednají s nimi slušně. Nemůže si nikdo z Cechů stěžovali, že by mu úřad v něčem škodil úmyslně. Čeští lidé za hra</w:t>
      </w:r>
      <w:r>
        <w:rPr>
          <w:sz w:val="18"/>
          <w:szCs w:val="18"/>
        </w:rPr>
        <w:softHyphen/>
        <w:t>nicemi jsou aktivisté. Při volbách volili kladně a ve svém aktivismu chtějí pokračovali, poněvadž se pohybují po zemi, jsou realisté, nehledají vidiny a nečekají zázraků. Říšský kancléř Hitler prohlásil, že dá Cechům, kteří bydlí po připojení v říši, možn</w:t>
      </w:r>
      <w:r>
        <w:rPr>
          <w:sz w:val="18"/>
          <w:szCs w:val="18"/>
        </w:rPr>
        <w:t>ost úplného kulturního vývoje. I Konrád Henlein slíbil Cechům před volbami, že bude dbáno všech menšinových práv. Ale provedení se zdržuje dlouhými jednáními mezi oběma vládami. Buď se lidé zbytečně z připojeného území vystěhují, nebo si děti čes</w:t>
      </w:r>
      <w:r>
        <w:rPr>
          <w:sz w:val="18"/>
          <w:szCs w:val="18"/>
        </w:rPr>
        <w:softHyphen/>
        <w:t>kých rodi</w:t>
      </w:r>
      <w:r>
        <w:rPr>
          <w:sz w:val="18"/>
          <w:szCs w:val="18"/>
        </w:rPr>
        <w:t xml:space="preserve">čů musí zvyknouti na německé školy </w:t>
      </w:r>
      <w:r>
        <w:rPr>
          <w:b/>
          <w:bCs/>
          <w:sz w:val="20"/>
          <w:szCs w:val="20"/>
        </w:rPr>
        <w:t xml:space="preserve">a </w:t>
      </w:r>
      <w:r>
        <w:rPr>
          <w:sz w:val="18"/>
          <w:szCs w:val="18"/>
        </w:rPr>
        <w:t>budou poněmčeny. To by ovšem bylo proti programu nacionál</w:t>
      </w:r>
      <w:r>
        <w:rPr>
          <w:sz w:val="18"/>
          <w:szCs w:val="18"/>
        </w:rPr>
        <w:softHyphen/>
        <w:t>ního socialismu, který na prvém místě zdůrazňuje národ</w:t>
      </w:r>
      <w:r>
        <w:rPr>
          <w:sz w:val="18"/>
          <w:szCs w:val="18"/>
        </w:rPr>
        <w:softHyphen/>
        <w:t>nost. Než dojde ke skutečnému vyrovnání mezi oběma vlá</w:t>
      </w:r>
      <w:r>
        <w:rPr>
          <w:sz w:val="18"/>
          <w:szCs w:val="18"/>
        </w:rPr>
        <w:softHyphen/>
        <w:t xml:space="preserve">dami na základě vzájemnosti, je třeba zachraňovali </w:t>
      </w:r>
      <w:r>
        <w:rPr>
          <w:sz w:val="18"/>
          <w:szCs w:val="18"/>
        </w:rPr>
        <w:t>drob</w:t>
      </w:r>
      <w:r>
        <w:rPr>
          <w:sz w:val="18"/>
          <w:szCs w:val="18"/>
        </w:rPr>
        <w:softHyphen/>
        <w:t>nou prací majetek, lidi, duše, naši kulturu a naši krev.</w:t>
      </w:r>
    </w:p>
    <w:p w:rsidR="00500724" w:rsidRDefault="00F30FB8">
      <w:pPr>
        <w:pStyle w:val="Zkladntext1"/>
        <w:shd w:val="clear" w:color="auto" w:fill="auto"/>
        <w:spacing w:after="260"/>
        <w:ind w:firstLine="300"/>
        <w:rPr>
          <w:sz w:val="18"/>
          <w:szCs w:val="18"/>
        </w:rPr>
      </w:pPr>
      <w:r>
        <w:rPr>
          <w:sz w:val="18"/>
          <w:szCs w:val="18"/>
        </w:rPr>
        <w:t xml:space="preserve">České školy budou, ať již je bude vydržovati Německo nebo Cesko-Slovensko. Nyní nám musí jiti o to, v jakém rozsahu a jakého druhu to školy budou. Čím více českých dětí, tím více škol musí býti </w:t>
      </w:r>
      <w:r>
        <w:rPr>
          <w:sz w:val="18"/>
          <w:szCs w:val="18"/>
        </w:rPr>
        <w:t>pro ně zřízeno. Naší dnešní starostí musí býti, aby Se nám čeští lidé v připojeném úze</w:t>
      </w:r>
      <w:r>
        <w:rPr>
          <w:sz w:val="18"/>
          <w:szCs w:val="18"/>
        </w:rPr>
        <w:softHyphen/>
        <w:t>mí nevystěhovali nebo neodnárodňovali. Chceme za hra</w:t>
      </w:r>
      <w:r>
        <w:rPr>
          <w:sz w:val="18"/>
          <w:szCs w:val="18"/>
        </w:rPr>
        <w:softHyphen/>
        <w:t>nicemi žiti svou kulturou, chceme míti všechna práva ná</w:t>
      </w:r>
      <w:r>
        <w:rPr>
          <w:sz w:val="18"/>
          <w:szCs w:val="18"/>
        </w:rPr>
        <w:softHyphen/>
        <w:t>rodní menšiny, jak je sami ve svém státě národním menši</w:t>
      </w:r>
      <w:r>
        <w:rPr>
          <w:sz w:val="18"/>
          <w:szCs w:val="18"/>
        </w:rPr>
        <w:softHyphen/>
        <w:t xml:space="preserve">nám </w:t>
      </w:r>
      <w:r>
        <w:rPr>
          <w:sz w:val="18"/>
          <w:szCs w:val="18"/>
        </w:rPr>
        <w:t>dáváme.</w:t>
      </w:r>
    </w:p>
    <w:p w:rsidR="00500724" w:rsidRDefault="00F30FB8">
      <w:pPr>
        <w:pStyle w:val="Jin0"/>
        <w:pBdr>
          <w:bottom w:val="single" w:sz="4" w:space="0" w:color="auto"/>
        </w:pBdr>
        <w:shd w:val="clear" w:color="auto" w:fill="auto"/>
        <w:spacing w:after="180"/>
        <w:ind w:firstLine="0"/>
        <w:jc w:val="left"/>
        <w:rPr>
          <w:sz w:val="44"/>
          <w:szCs w:val="44"/>
        </w:rPr>
      </w:pPr>
      <w:r>
        <w:rPr>
          <w:b/>
          <w:bCs/>
          <w:sz w:val="44"/>
          <w:szCs w:val="44"/>
        </w:rPr>
        <w:t>doba a lidé</w:t>
      </w:r>
    </w:p>
    <w:p w:rsidR="00500724" w:rsidRDefault="00F30FB8">
      <w:pPr>
        <w:pStyle w:val="Zkladntext1"/>
        <w:shd w:val="clear" w:color="auto" w:fill="auto"/>
        <w:ind w:firstLine="0"/>
        <w:rPr>
          <w:sz w:val="20"/>
          <w:szCs w:val="20"/>
        </w:rPr>
      </w:pPr>
      <w:r>
        <w:rPr>
          <w:i/>
          <w:iCs/>
          <w:sz w:val="20"/>
          <w:szCs w:val="20"/>
        </w:rPr>
        <w:t>Josef Pachta (Londýn):</w:t>
      </w:r>
    </w:p>
    <w:p w:rsidR="00500724" w:rsidRDefault="00F30FB8">
      <w:pPr>
        <w:pStyle w:val="Nadpis100"/>
        <w:shd w:val="clear" w:color="auto" w:fill="auto"/>
        <w:spacing w:after="80" w:line="218" w:lineRule="auto"/>
      </w:pPr>
      <w:bookmarkStart w:id="170" w:name="bookmark169"/>
      <w:r>
        <w:t>Jak se má žid-emigrant</w:t>
      </w:r>
      <w:r>
        <w:br/>
        <w:t>chovat v Anglii</w:t>
      </w:r>
      <w:bookmarkEnd w:id="170"/>
    </w:p>
    <w:p w:rsidR="00500724" w:rsidRDefault="00F30FB8">
      <w:pPr>
        <w:pStyle w:val="Zkladntext40"/>
        <w:shd w:val="clear" w:color="auto" w:fill="auto"/>
        <w:spacing w:after="120" w:line="319" w:lineRule="auto"/>
        <w:ind w:firstLine="220"/>
        <w:rPr>
          <w:sz w:val="14"/>
          <w:szCs w:val="14"/>
        </w:rPr>
      </w:pPr>
      <w:r>
        <w:rPr>
          <w:b/>
          <w:bCs/>
          <w:sz w:val="14"/>
          <w:szCs w:val="14"/>
        </w:rPr>
        <w:t>Anglie je zásadně ochotna poskytnouti židovským uprchlíkům jenom kratší nebo delší, dočasný pobyt. Po několika týdnech nebo měsících, jichž je třeba, aby si uprchlík obstaral</w:t>
      </w:r>
      <w:r>
        <w:rPr>
          <w:b/>
          <w:bCs/>
          <w:sz w:val="14"/>
          <w:szCs w:val="14"/>
        </w:rPr>
        <w:t xml:space="preserve"> povolení k odjezdu do zámořských zemí, aby se přeškolil, a v každém případě naučil anglicky, musí všichni uprchlíci z Anglie odjet. Zůstat mohou jenom ti, kteří jsou britskému průmyslu a vědě prospěšní: jsou to především průmyslníci, kteří mohou založit t</w:t>
      </w:r>
      <w:r>
        <w:rPr>
          <w:b/>
          <w:bCs/>
          <w:sz w:val="14"/>
          <w:szCs w:val="14"/>
        </w:rPr>
        <w:t>ovárny nebo dílny pro výrobu zboží, jež se dosud do Anglie z ciziny dováželo nebo se může do ciziny vyvážet, dále pak učenci, techničtí pracovníci, proslulí lékaři a vynálezci, kteří mohou přispět k zlepše</w:t>
      </w:r>
      <w:r>
        <w:rPr>
          <w:b/>
          <w:bCs/>
          <w:sz w:val="14"/>
          <w:szCs w:val="14"/>
        </w:rPr>
        <w:softHyphen/>
        <w:t>ní vědecké práce a pomoci při výchově nové gene</w:t>
      </w:r>
      <w:r>
        <w:rPr>
          <w:b/>
          <w:bCs/>
          <w:sz w:val="14"/>
          <w:szCs w:val="14"/>
        </w:rPr>
        <w:softHyphen/>
        <w:t>ra</w:t>
      </w:r>
      <w:r>
        <w:rPr>
          <w:b/>
          <w:bCs/>
          <w:sz w:val="14"/>
          <w:szCs w:val="14"/>
        </w:rPr>
        <w:t>ce. Pomocí zámožných uprchlíků z Německa, z bý</w:t>
      </w:r>
      <w:r>
        <w:rPr>
          <w:b/>
          <w:bCs/>
          <w:sz w:val="14"/>
          <w:szCs w:val="14"/>
        </w:rPr>
        <w:softHyphen/>
        <w:t>valého Rakouska a Československa snaží se Anglie roz</w:t>
      </w:r>
      <w:r>
        <w:rPr>
          <w:b/>
          <w:bCs/>
          <w:sz w:val="14"/>
          <w:szCs w:val="14"/>
        </w:rPr>
        <w:softHyphen/>
        <w:t>řešit částečně i problém nezaměstnanosti. Vláda po</w:t>
      </w:r>
      <w:r>
        <w:rPr>
          <w:b/>
          <w:bCs/>
          <w:sz w:val="14"/>
          <w:szCs w:val="14"/>
        </w:rPr>
        <w:softHyphen/>
        <w:t>skytuje nejrůznější výhody a pomoc uprchlým kapita</w:t>
      </w:r>
      <w:r>
        <w:rPr>
          <w:b/>
          <w:bCs/>
          <w:sz w:val="14"/>
          <w:szCs w:val="14"/>
        </w:rPr>
        <w:softHyphen/>
        <w:t>listům, kteří zakládají průmyslové podniky v západ</w:t>
      </w:r>
      <w:r>
        <w:rPr>
          <w:b/>
          <w:bCs/>
          <w:sz w:val="14"/>
          <w:szCs w:val="14"/>
        </w:rPr>
        <w:softHyphen/>
        <w:t>níc</w:t>
      </w:r>
      <w:r>
        <w:rPr>
          <w:b/>
          <w:bCs/>
          <w:sz w:val="14"/>
          <w:szCs w:val="14"/>
        </w:rPr>
        <w:t xml:space="preserve">h krajích Anglie, kde je nezaměstnanost největší, nebo kteří zaměstnávají pracovní síly </w:t>
      </w:r>
      <w:r>
        <w:rPr>
          <w:b/>
          <w:bCs/>
          <w:sz w:val="20"/>
          <w:szCs w:val="20"/>
        </w:rPr>
        <w:t xml:space="preserve">v </w:t>
      </w:r>
      <w:r>
        <w:rPr>
          <w:b/>
          <w:bCs/>
          <w:sz w:val="14"/>
          <w:szCs w:val="14"/>
        </w:rPr>
        <w:t>tak zvaném domácím průmyslu. Do konce minulého roku přijelo do Anglie 11.000 uprchlíků, ale počet anglických děl</w:t>
      </w:r>
      <w:r>
        <w:rPr>
          <w:b/>
          <w:bCs/>
          <w:sz w:val="14"/>
          <w:szCs w:val="14"/>
        </w:rPr>
        <w:softHyphen/>
        <w:t xml:space="preserve">níků, kteří našli zaměstnání v podnicích, založených </w:t>
      </w:r>
      <w:r>
        <w:rPr>
          <w:b/>
          <w:bCs/>
          <w:sz w:val="14"/>
          <w:szCs w:val="14"/>
        </w:rPr>
        <w:t>německými uprchlíky, dosáhl již dosud 15.000. Od září minulého roku přijala Anglie 6000 politických uprchlíků, ale někteří z nich zakládají už podniky, jejichž domovem bývaly dříve sudetske kraje. Anglie</w:t>
      </w:r>
    </w:p>
    <w:p w:rsidR="00500724" w:rsidRDefault="00F30FB8">
      <w:pPr>
        <w:pStyle w:val="Zkladntext1"/>
        <w:shd w:val="clear" w:color="auto" w:fill="auto"/>
        <w:spacing w:after="100"/>
        <w:ind w:firstLine="0"/>
        <w:jc w:val="right"/>
      </w:pPr>
      <w:r>
        <w:rPr>
          <w:b/>
          <w:bCs/>
          <w:i/>
          <w:iCs/>
        </w:rPr>
        <w:t>1OQ</w:t>
      </w:r>
      <w:r>
        <w:br w:type="page"/>
      </w:r>
    </w:p>
    <w:p w:rsidR="00500724" w:rsidRDefault="00F30FB8">
      <w:pPr>
        <w:pStyle w:val="Zkladntext40"/>
        <w:shd w:val="clear" w:color="auto" w:fill="auto"/>
        <w:spacing w:after="40" w:line="286" w:lineRule="auto"/>
        <w:rPr>
          <w:sz w:val="14"/>
          <w:szCs w:val="14"/>
        </w:rPr>
      </w:pPr>
      <w:r>
        <w:rPr>
          <w:b/>
          <w:bCs/>
          <w:sz w:val="14"/>
          <w:szCs w:val="14"/>
        </w:rPr>
        <w:t>se na otázku politických uprchlíků nedívá jenom</w:t>
      </w:r>
      <w:r>
        <w:rPr>
          <w:b/>
          <w:bCs/>
          <w:sz w:val="14"/>
          <w:szCs w:val="14"/>
        </w:rPr>
        <w:t xml:space="preserve"> s hu</w:t>
      </w:r>
      <w:r>
        <w:rPr>
          <w:b/>
          <w:bCs/>
          <w:sz w:val="14"/>
          <w:szCs w:val="14"/>
        </w:rPr>
        <w:softHyphen/>
        <w:t>mánního hlediska, nýbrž snaží se jí využiti také obchod</w:t>
      </w:r>
      <w:r>
        <w:rPr>
          <w:b/>
          <w:bCs/>
          <w:sz w:val="14"/>
          <w:szCs w:val="14"/>
        </w:rPr>
        <w:softHyphen/>
        <w:t>ně. Odpovídá to britské tradici: většinu anglického vý</w:t>
      </w:r>
      <w:r>
        <w:rPr>
          <w:b/>
          <w:bCs/>
          <w:sz w:val="14"/>
          <w:szCs w:val="14"/>
        </w:rPr>
        <w:softHyphen/>
        <w:t>vozního průmyslu založili v minulých stoletích cizí političtí uprchlíci. Spolu s námořnickými schopnostmi anglického národa dali tak základ</w:t>
      </w:r>
      <w:r>
        <w:rPr>
          <w:b/>
          <w:bCs/>
          <w:sz w:val="14"/>
          <w:szCs w:val="14"/>
        </w:rPr>
        <w:t xml:space="preserve"> světové hospodář</w:t>
      </w:r>
      <w:r>
        <w:rPr>
          <w:b/>
          <w:bCs/>
          <w:sz w:val="14"/>
          <w:szCs w:val="14"/>
        </w:rPr>
        <w:softHyphen/>
        <w:t>ské moci Velké Britanie. Protože anglický tisk uve</w:t>
      </w:r>
      <w:r>
        <w:rPr>
          <w:b/>
          <w:bCs/>
          <w:sz w:val="14"/>
          <w:szCs w:val="14"/>
        </w:rPr>
        <w:softHyphen/>
        <w:t>řejňuje statistiky o uprchlících neustále, vyznívá poli</w:t>
      </w:r>
      <w:r>
        <w:rPr>
          <w:b/>
          <w:bCs/>
          <w:sz w:val="14"/>
          <w:szCs w:val="14"/>
        </w:rPr>
        <w:softHyphen/>
        <w:t xml:space="preserve">tická agitace proti uprchlíkům na prázdno. 11.000 uprchlíků a 15.000 Britů, kteří pomocí uprchlíků našli opět práci — o majitelích </w:t>
      </w:r>
      <w:r>
        <w:rPr>
          <w:b/>
          <w:bCs/>
          <w:sz w:val="14"/>
          <w:szCs w:val="14"/>
        </w:rPr>
        <w:t>a zaměstnancích malých hotelů ani nemluvě — to je nejjistější argument, který na průměrného Angličana působí.</w:t>
      </w:r>
    </w:p>
    <w:p w:rsidR="00500724" w:rsidRDefault="00F30FB8">
      <w:pPr>
        <w:pStyle w:val="Zkladntext40"/>
        <w:shd w:val="clear" w:color="auto" w:fill="auto"/>
        <w:spacing w:after="40" w:line="286" w:lineRule="auto"/>
        <w:jc w:val="center"/>
        <w:rPr>
          <w:sz w:val="14"/>
          <w:szCs w:val="14"/>
        </w:rPr>
      </w:pPr>
      <w:r>
        <w:rPr>
          <w:b/>
          <w:bCs/>
          <w:sz w:val="14"/>
          <w:szCs w:val="14"/>
        </w:rPr>
        <w:t>§ 1: Buď poctivý</w:t>
      </w:r>
    </w:p>
    <w:p w:rsidR="00500724" w:rsidRDefault="00F30FB8">
      <w:pPr>
        <w:pStyle w:val="Zkladntext40"/>
        <w:shd w:val="clear" w:color="auto" w:fill="auto"/>
        <w:spacing w:after="0" w:line="283" w:lineRule="auto"/>
        <w:ind w:firstLine="500"/>
        <w:rPr>
          <w:sz w:val="14"/>
          <w:szCs w:val="14"/>
        </w:rPr>
      </w:pPr>
      <w:r>
        <w:rPr>
          <w:b/>
          <w:bCs/>
          <w:sz w:val="14"/>
          <w:szCs w:val="14"/>
        </w:rPr>
        <w:t>Lidé, kterým se podařilo proniknouti dvojitou hradbou některého anglického konsulátu a imigrač</w:t>
      </w:r>
      <w:r>
        <w:rPr>
          <w:b/>
          <w:bCs/>
          <w:sz w:val="14"/>
          <w:szCs w:val="14"/>
        </w:rPr>
        <w:softHyphen/>
        <w:t>ního důstojníka v anglickém přísta</w:t>
      </w:r>
      <w:r>
        <w:rPr>
          <w:b/>
          <w:bCs/>
          <w:sz w:val="14"/>
          <w:szCs w:val="14"/>
        </w:rPr>
        <w:t>vu, nejsou ovšem sami kapitalisté. (Imigrační důstojník jedná naprosto svrchovaně a nemusí uznat žádné visum. Může vrátit každého majitele visa a může také povoliti vstup na anglickou půdu člověka, který nemá žádné visum. Imigrační důstojníci jsou velmi in</w:t>
      </w:r>
      <w:r>
        <w:rPr>
          <w:b/>
          <w:bCs/>
          <w:sz w:val="14"/>
          <w:szCs w:val="14"/>
        </w:rPr>
        <w:t>teligentní a vzdě</w:t>
      </w:r>
      <w:r>
        <w:rPr>
          <w:b/>
          <w:bCs/>
          <w:sz w:val="14"/>
          <w:szCs w:val="14"/>
        </w:rPr>
        <w:softHyphen/>
        <w:t>laní úředníci ministerstva vnitra, kteří vykonávají službu v anglických přístavech nebo přímo na lodích). Přijíždějí také uprchlíci bez kapitálu, často jenom s ně</w:t>
      </w:r>
      <w:r>
        <w:rPr>
          <w:b/>
          <w:bCs/>
          <w:sz w:val="14"/>
          <w:szCs w:val="14"/>
        </w:rPr>
        <w:softHyphen/>
        <w:t xml:space="preserve">kolika šilinky </w:t>
      </w:r>
      <w:r>
        <w:rPr>
          <w:b/>
          <w:bCs/>
          <w:sz w:val="20"/>
          <w:szCs w:val="20"/>
        </w:rPr>
        <w:t xml:space="preserve">v </w:t>
      </w:r>
      <w:r>
        <w:rPr>
          <w:b/>
          <w:bCs/>
          <w:sz w:val="14"/>
          <w:szCs w:val="14"/>
        </w:rPr>
        <w:t xml:space="preserve">kapse. Pro chudobu se nemusí nikdo vrátit, udělá-li dobrý </w:t>
      </w:r>
      <w:r>
        <w:rPr>
          <w:b/>
          <w:bCs/>
          <w:sz w:val="14"/>
          <w:szCs w:val="14"/>
        </w:rPr>
        <w:t>dojem na přistěhovaleckého důstojníka. Všichni tito úředníci mají bystré oči a úžasně jemný sluch. Jsou to nejlepší znalci lidí, jaké si lze představit. Nemusíš mluvit anglicky, ale vyslýcha</w:t>
      </w:r>
      <w:r>
        <w:rPr>
          <w:b/>
          <w:bCs/>
          <w:sz w:val="14"/>
          <w:szCs w:val="14"/>
        </w:rPr>
        <w:softHyphen/>
        <w:t>jící úředník přes to pozná, s kým má co dělat. Pocti</w:t>
      </w:r>
      <w:r>
        <w:rPr>
          <w:b/>
          <w:bCs/>
          <w:sz w:val="14"/>
          <w:szCs w:val="14"/>
        </w:rPr>
        <w:softHyphen/>
        <w:t>vost a spole</w:t>
      </w:r>
      <w:r>
        <w:rPr>
          <w:b/>
          <w:bCs/>
          <w:sz w:val="14"/>
          <w:szCs w:val="14"/>
        </w:rPr>
        <w:t>hlivost jsou pro něho jediným měřítkem. Běda tomu, kdo by řekl nějakou nepravdu. Za nějaký čas přijdou na ni úřady zcela určitě, zaznamenávajíce lháře jednou pro vždy do seznamu nespolehlivých cizinců, který platí pro celou britskou říši.</w:t>
      </w:r>
    </w:p>
    <w:p w:rsidR="00500724" w:rsidRDefault="00F30FB8">
      <w:pPr>
        <w:pStyle w:val="Zkladntext40"/>
        <w:shd w:val="clear" w:color="auto" w:fill="auto"/>
        <w:spacing w:after="40" w:line="283" w:lineRule="auto"/>
        <w:ind w:firstLine="300"/>
        <w:rPr>
          <w:sz w:val="14"/>
          <w:szCs w:val="14"/>
        </w:rPr>
      </w:pPr>
      <w:r>
        <w:rPr>
          <w:b/>
          <w:bCs/>
          <w:sz w:val="14"/>
          <w:szCs w:val="14"/>
        </w:rPr>
        <w:t>Je podivuhodné, j</w:t>
      </w:r>
      <w:r>
        <w:rPr>
          <w:b/>
          <w:bCs/>
          <w:sz w:val="14"/>
          <w:szCs w:val="14"/>
        </w:rPr>
        <w:t>ak je policie o každém člověku informována, ačkoli Anglie ještě nezavedla přihlašo</w:t>
      </w:r>
      <w:r>
        <w:rPr>
          <w:b/>
          <w:bCs/>
          <w:sz w:val="14"/>
          <w:szCs w:val="14"/>
        </w:rPr>
        <w:softHyphen/>
        <w:t>vací povinnost. Přistěhovalec nemá ani zdání, co všech</w:t>
      </w:r>
      <w:r>
        <w:rPr>
          <w:b/>
          <w:bCs/>
          <w:sz w:val="14"/>
          <w:szCs w:val="14"/>
        </w:rPr>
        <w:softHyphen/>
        <w:t>no poznamenává přistčhovalecký důstojník na bílý lísteček, který musí každý imigrant vyplnit. Policie přezkoumává všec</w:t>
      </w:r>
      <w:r>
        <w:rPr>
          <w:b/>
          <w:bCs/>
          <w:sz w:val="14"/>
          <w:szCs w:val="14"/>
        </w:rPr>
        <w:t>hny údaje diskrétně, ale velmi pečli</w:t>
      </w:r>
      <w:r>
        <w:rPr>
          <w:b/>
          <w:bCs/>
          <w:sz w:val="14"/>
          <w:szCs w:val="14"/>
        </w:rPr>
        <w:softHyphen/>
        <w:t>vě. Zjistí-li, že přistěhovalec neřekl plnou pravdu, že za účel cesty udal na příklad něco jiného, než ve sku</w:t>
      </w:r>
      <w:r>
        <w:rPr>
          <w:b/>
          <w:bCs/>
          <w:sz w:val="14"/>
          <w:szCs w:val="14"/>
        </w:rPr>
        <w:softHyphen/>
        <w:t xml:space="preserve">tečnosti dělá, nepovolí už další pobyt za žádnou cenu. Političtí uprchlíci nejsou sice deportováni, ale není </w:t>
      </w:r>
      <w:r>
        <w:rPr>
          <w:b/>
          <w:bCs/>
          <w:sz w:val="14"/>
          <w:szCs w:val="14"/>
        </w:rPr>
        <w:t>žádných předpisů, koho mají úřady za politického uprchlíka považovat. Anglický soudce řídí se pouze svým svědomím — a anglickým instinktem.</w:t>
      </w:r>
    </w:p>
    <w:p w:rsidR="00500724" w:rsidRDefault="00F30FB8">
      <w:pPr>
        <w:pStyle w:val="Zkladntext40"/>
        <w:shd w:val="clear" w:color="auto" w:fill="auto"/>
        <w:spacing w:after="40" w:line="286" w:lineRule="auto"/>
        <w:jc w:val="center"/>
        <w:rPr>
          <w:sz w:val="14"/>
          <w:szCs w:val="14"/>
        </w:rPr>
      </w:pPr>
      <w:r>
        <w:rPr>
          <w:b/>
          <w:bCs/>
          <w:sz w:val="14"/>
          <w:szCs w:val="14"/>
        </w:rPr>
        <w:t>Obavy anglických židů</w:t>
      </w:r>
    </w:p>
    <w:p w:rsidR="00500724" w:rsidRDefault="00F30FB8">
      <w:pPr>
        <w:pStyle w:val="Zkladntext40"/>
        <w:shd w:val="clear" w:color="auto" w:fill="auto"/>
        <w:spacing w:after="100" w:line="286" w:lineRule="auto"/>
        <w:ind w:firstLine="300"/>
        <w:rPr>
          <w:sz w:val="14"/>
          <w:szCs w:val="14"/>
        </w:rPr>
      </w:pPr>
      <w:r>
        <w:rPr>
          <w:b/>
          <w:bCs/>
          <w:sz w:val="14"/>
          <w:szCs w:val="14"/>
        </w:rPr>
        <w:t xml:space="preserve">Kromě úcty k zákonům a pravdomluvnosti očekává Angličan od přistěhovalce především dobré </w:t>
      </w:r>
      <w:r>
        <w:rPr>
          <w:b/>
          <w:bCs/>
          <w:sz w:val="14"/>
          <w:szCs w:val="14"/>
        </w:rPr>
        <w:t>chování. Toto anglické chování je ovšem prapodivná věc. Nelze se mu naučit, a snaží-li se cizinec chovat vůči Angliča</w:t>
      </w:r>
      <w:r>
        <w:rPr>
          <w:b/>
          <w:bCs/>
          <w:sz w:val="14"/>
          <w:szCs w:val="14"/>
        </w:rPr>
        <w:softHyphen/>
        <w:t>nům jako Angličan, je pouze směšný. Každý průvodčí a poslíček pozná cizince, zejména však židovského uprchlíka, na první pohled. To je prá</w:t>
      </w:r>
      <w:r>
        <w:rPr>
          <w:b/>
          <w:bCs/>
          <w:sz w:val="14"/>
          <w:szCs w:val="14"/>
        </w:rPr>
        <w:t>vě jedna z nej</w:t>
      </w:r>
      <w:r>
        <w:rPr>
          <w:b/>
          <w:bCs/>
          <w:sz w:val="14"/>
          <w:szCs w:val="14"/>
        </w:rPr>
        <w:softHyphen/>
        <w:t>větších starostí britských židů. Máme-li jí rozumět, musíme si všimnout především chování britských židů k nešťastným souvěrcům ze střední a východní Evropy. V porovnání s našimi pojmy je ochotná pomoc brit</w:t>
      </w:r>
      <w:r>
        <w:rPr>
          <w:b/>
          <w:bCs/>
          <w:sz w:val="14"/>
          <w:szCs w:val="14"/>
        </w:rPr>
        <w:softHyphen/>
        <w:t>ských židů nesmírně veliká, ale so</w:t>
      </w:r>
      <w:r>
        <w:rPr>
          <w:b/>
          <w:bCs/>
          <w:sz w:val="14"/>
          <w:szCs w:val="14"/>
        </w:rPr>
        <w:t>učasně se britští židé souží obavami, aby příliš silný příliv necivilisovaných, nezpůsobných a bezohledných souvěrců — a za takové považují většinu uprchlíků z kontinentu — nevyvolal v Anglii antisemitismus jako politické hnutí. Angličtí židé se obávají, ž</w:t>
      </w:r>
      <w:r>
        <w:rPr>
          <w:b/>
          <w:bCs/>
          <w:sz w:val="14"/>
          <w:szCs w:val="14"/>
        </w:rPr>
        <w:t>e by přistěhovalci mohli zavést ve vyšších společenských vrstvách nebezpečné způsoby a zvyky, protože hmotně a duchovně nepatří už k ono</w:t>
      </w:r>
      <w:r>
        <w:rPr>
          <w:b/>
          <w:bCs/>
          <w:sz w:val="14"/>
          <w:szCs w:val="14"/>
        </w:rPr>
        <w:softHyphen/>
        <w:t>mu židovskému proletariátu z Ruska a Polska, který za světové války a později zaplavil určité čtvrti chudiny ve východn</w:t>
      </w:r>
      <w:r>
        <w:rPr>
          <w:b/>
          <w:bCs/>
          <w:sz w:val="14"/>
          <w:szCs w:val="14"/>
        </w:rPr>
        <w:t>ím Londýně. Proto se snaží angličtí židé vysvětliti uprchlým německým souvěrcům, jejichž značná část pochází ještě přímo z Polska, základní pravidla sociální a obchodní slušnosti v anglickém slova smyslu. Jsou ochotni přinésti největší hmotné oběti, aby př</w:t>
      </w:r>
      <w:r>
        <w:rPr>
          <w:b/>
          <w:bCs/>
          <w:sz w:val="14"/>
          <w:szCs w:val="14"/>
        </w:rPr>
        <w:t>istěhovalec, který nemá povolení k práci a žije z vlastního kapitálu nebo z podpor, nic nepod</w:t>
      </w:r>
      <w:r>
        <w:rPr>
          <w:b/>
          <w:bCs/>
          <w:sz w:val="14"/>
          <w:szCs w:val="14"/>
        </w:rPr>
        <w:softHyphen/>
        <w:t>nikal, aby nepřijal žádné placené zaměstnání a ne</w:t>
      </w:r>
      <w:r>
        <w:rPr>
          <w:b/>
          <w:bCs/>
          <w:sz w:val="14"/>
          <w:szCs w:val="14"/>
        </w:rPr>
        <w:softHyphen/>
        <w:t>snižoval platy anglických dělníků a zaměstnanců. Raději mu zajistí živobytí z vlastní kapsy, než by dovolili, ab</w:t>
      </w:r>
      <w:r>
        <w:rPr>
          <w:b/>
          <w:bCs/>
          <w:sz w:val="14"/>
          <w:szCs w:val="14"/>
        </w:rPr>
        <w:t>y uprchlík ubíral práci anglickým dělníkům nebo snižoval jejich mzdy.</w:t>
      </w:r>
    </w:p>
    <w:p w:rsidR="00500724" w:rsidRDefault="00F30FB8">
      <w:pPr>
        <w:pStyle w:val="Zkladntext40"/>
        <w:shd w:val="clear" w:color="auto" w:fill="auto"/>
        <w:spacing w:after="40" w:line="286" w:lineRule="auto"/>
        <w:jc w:val="center"/>
        <w:rPr>
          <w:sz w:val="14"/>
          <w:szCs w:val="14"/>
        </w:rPr>
      </w:pPr>
      <w:r>
        <w:rPr>
          <w:b/>
          <w:bCs/>
          <w:sz w:val="14"/>
          <w:szCs w:val="14"/>
        </w:rPr>
        <w:t>Loyalita, která se ještě vyplácí</w:t>
      </w:r>
    </w:p>
    <w:p w:rsidR="00500724" w:rsidRDefault="00F30FB8">
      <w:pPr>
        <w:pStyle w:val="Zkladntext40"/>
        <w:shd w:val="clear" w:color="auto" w:fill="auto"/>
        <w:spacing w:after="0" w:line="286" w:lineRule="auto"/>
        <w:ind w:firstLine="240"/>
        <w:rPr>
          <w:sz w:val="14"/>
          <w:szCs w:val="14"/>
        </w:rPr>
      </w:pPr>
      <w:r>
        <w:rPr>
          <w:b/>
          <w:bCs/>
          <w:sz w:val="14"/>
          <w:szCs w:val="14"/>
        </w:rPr>
        <w:t>Denní tisk přinesl nedávno zprávu, že londýnský výbor pro pomoc německým uprchlíkům spolu se židov</w:t>
      </w:r>
      <w:r>
        <w:rPr>
          <w:b/>
          <w:bCs/>
          <w:sz w:val="14"/>
          <w:szCs w:val="14"/>
        </w:rPr>
        <w:softHyphen/>
        <w:t>skými náboženskými obcemi vydal pro židovské uprchlí</w:t>
      </w:r>
      <w:r>
        <w:rPr>
          <w:b/>
          <w:bCs/>
          <w:sz w:val="14"/>
          <w:szCs w:val="14"/>
        </w:rPr>
        <w:softHyphen/>
      </w:r>
      <w:r>
        <w:rPr>
          <w:b/>
          <w:bCs/>
          <w:sz w:val="14"/>
          <w:szCs w:val="14"/>
        </w:rPr>
        <w:t>ky brožurku, obsahující pravidla dobrého chování. Malý modrý sešitek o 24 stranách není jenom praktic</w:t>
      </w:r>
      <w:r>
        <w:rPr>
          <w:b/>
          <w:bCs/>
          <w:sz w:val="14"/>
          <w:szCs w:val="14"/>
        </w:rPr>
        <w:softHyphen/>
        <w:t xml:space="preserve">kým vodítkem pro uprchlíky, ale také zajímavým kulturním dokumentem, protože vysvětluje rozdíly mezi životním názorem a způsoby na kontinentě a v Anglii, </w:t>
      </w:r>
      <w:r>
        <w:rPr>
          <w:b/>
          <w:bCs/>
          <w:sz w:val="14"/>
          <w:szCs w:val="14"/>
        </w:rPr>
        <w:t>především však rozdíly mezi židy.</w:t>
      </w:r>
    </w:p>
    <w:p w:rsidR="00500724" w:rsidRDefault="00F30FB8">
      <w:pPr>
        <w:pStyle w:val="Zkladntext40"/>
        <w:shd w:val="clear" w:color="auto" w:fill="auto"/>
        <w:spacing w:after="0" w:line="286" w:lineRule="auto"/>
        <w:ind w:firstLine="240"/>
        <w:rPr>
          <w:sz w:val="14"/>
          <w:szCs w:val="14"/>
        </w:rPr>
      </w:pPr>
      <w:r>
        <w:rPr>
          <w:b/>
          <w:bCs/>
          <w:sz w:val="14"/>
          <w:szCs w:val="14"/>
        </w:rPr>
        <w:t xml:space="preserve">První rada anglických židů napomíná uprchlíky k trpělivosti. Není radno, aby se uprchlík po první přihlášce ve </w:t>
      </w:r>
      <w:r>
        <w:rPr>
          <w:b/>
          <w:bCs/>
          <w:sz w:val="14"/>
          <w:szCs w:val="14"/>
          <w:lang w:val="en-US" w:eastAsia="en-US" w:bidi="en-US"/>
        </w:rPr>
        <w:t xml:space="preserve">Woburn </w:t>
      </w:r>
      <w:r>
        <w:rPr>
          <w:b/>
          <w:bCs/>
          <w:sz w:val="14"/>
          <w:szCs w:val="14"/>
        </w:rPr>
        <w:t>House, kde ho zaregistrují a dají mu číslo, hned znovu hlásil. Pomocné organisace jsou přetíženy prací a</w:t>
      </w:r>
      <w:r>
        <w:rPr>
          <w:b/>
          <w:bCs/>
          <w:sz w:val="14"/>
          <w:szCs w:val="14"/>
        </w:rPr>
        <w:t xml:space="preserve"> udělají všechno, co se udělati dá, bez naléhání. Je proto zbytečné připomínati jim to nebo ono, zejména osobní návštěvou. Zdá se, že s dotěr</w:t>
      </w:r>
      <w:r>
        <w:rPr>
          <w:b/>
          <w:bCs/>
          <w:sz w:val="14"/>
          <w:szCs w:val="14"/>
        </w:rPr>
        <w:softHyphen/>
        <w:t>ností židovských uprchlíků mají v Anglii dosti špatné zkušenosti, poněvadž pomocné výbory žádají, aby si nikdo nes</w:t>
      </w:r>
      <w:r>
        <w:rPr>
          <w:b/>
          <w:bCs/>
          <w:sz w:val="14"/>
          <w:szCs w:val="14"/>
        </w:rPr>
        <w:t>těžoval, musí-li čekat. Každou osobní návštěvu je třeba napřed písemně ohlásit. V Anglii není totiž zvykem navštíviti někoho osobně znenadání. Přísloví &gt;my house, my častie« jest rozuměti tak, že každý člověk má právo, aby sám určil, kde a kdy chce návštěv</w:t>
      </w:r>
      <w:r>
        <w:rPr>
          <w:b/>
          <w:bCs/>
          <w:sz w:val="14"/>
          <w:szCs w:val="14"/>
        </w:rPr>
        <w:t>níka vidět nebo přijmout.</w:t>
      </w:r>
    </w:p>
    <w:p w:rsidR="00500724" w:rsidRDefault="00F30FB8">
      <w:pPr>
        <w:pStyle w:val="Zkladntext40"/>
        <w:shd w:val="clear" w:color="auto" w:fill="auto"/>
        <w:spacing w:after="0" w:line="286" w:lineRule="auto"/>
        <w:ind w:firstLine="240"/>
        <w:rPr>
          <w:sz w:val="14"/>
          <w:szCs w:val="14"/>
        </w:rPr>
      </w:pPr>
      <w:r>
        <w:rPr>
          <w:b/>
          <w:bCs/>
          <w:sz w:val="14"/>
          <w:szCs w:val="14"/>
        </w:rPr>
        <w:t>V odstavci »o toleranci a sympatiích Velké Britanie&lt; knížečka praví:</w:t>
      </w:r>
    </w:p>
    <w:p w:rsidR="00500724" w:rsidRDefault="00F30FB8">
      <w:pPr>
        <w:pStyle w:val="Zkladntext1"/>
        <w:shd w:val="clear" w:color="auto" w:fill="auto"/>
        <w:spacing w:after="40" w:line="180" w:lineRule="auto"/>
        <w:ind w:firstLine="320"/>
        <w:rPr>
          <w:sz w:val="20"/>
          <w:szCs w:val="20"/>
        </w:rPr>
      </w:pPr>
      <w:r>
        <w:rPr>
          <w:sz w:val="20"/>
          <w:szCs w:val="20"/>
        </w:rPr>
        <w:t>»Odvéká snášelivost a sympatie Velké Britanie k židům je věc, které si každý britský žid hluboce váží. Slovy a činy, osobní službou a společným úsilím učiní vše,</w:t>
      </w:r>
      <w:r>
        <w:rPr>
          <w:sz w:val="20"/>
          <w:szCs w:val="20"/>
        </w:rPr>
        <w:t xml:space="preserve"> co je v jeho moci, aby loyalitu k Velké Britanii vyjádřil. Tato loyalita stojí na předním místě a každý uprchlík by měl uznat, jak hluboce ji pociťuje. Židovská obec ve Velké Britanii učiní všechno, aby uprchlíky přijala a zajistila, aby vychovala jejich </w:t>
      </w:r>
      <w:r>
        <w:rPr>
          <w:sz w:val="20"/>
          <w:szCs w:val="20"/>
        </w:rPr>
        <w:t>děti a postarala se o staré a nemocné, pomáhajíc uprch</w:t>
      </w:r>
      <w:r>
        <w:rPr>
          <w:sz w:val="20"/>
          <w:szCs w:val="20"/>
        </w:rPr>
        <w:softHyphen/>
        <w:t>líkům všemi způsoby, najiti v zámořských zemích nový do</w:t>
      </w:r>
      <w:r>
        <w:rPr>
          <w:sz w:val="20"/>
          <w:szCs w:val="20"/>
        </w:rPr>
        <w:softHyphen/>
        <w:t>mov. Pomáhá nám při tom mnoho křesťanů ze všech spo</w:t>
      </w:r>
      <w:r>
        <w:rPr>
          <w:sz w:val="20"/>
          <w:szCs w:val="20"/>
        </w:rPr>
        <w:softHyphen/>
        <w:t>lečenských vrstev. Od uprchlíků žádáme za to jenom tolik, aby se ve svém chování řídili co ne</w:t>
      </w:r>
      <w:r>
        <w:rPr>
          <w:sz w:val="20"/>
          <w:szCs w:val="20"/>
        </w:rPr>
        <w:t>jpřesněji těmito pravidly, Chcete-li se usaditi trvale v zámoří, považujte pobyt v Anglii za čekací lhůtu, které můžete využít k tomu, abyste se při</w:t>
      </w:r>
      <w:r>
        <w:rPr>
          <w:sz w:val="20"/>
          <w:szCs w:val="20"/>
        </w:rPr>
        <w:softHyphen/>
        <w:t>pravili na nový život. Neočekávejte, že budete hned pozváni do anglických rodin, protože Angličan potřebuje</w:t>
      </w:r>
      <w:r>
        <w:rPr>
          <w:sz w:val="20"/>
          <w:szCs w:val="20"/>
        </w:rPr>
        <w:t xml:space="preserve"> určitý čas, než cizinci otevře dveře.«</w:t>
      </w:r>
    </w:p>
    <w:p w:rsidR="00500724" w:rsidRDefault="00F30FB8">
      <w:pPr>
        <w:pStyle w:val="Zkladntext1"/>
        <w:shd w:val="clear" w:color="auto" w:fill="auto"/>
        <w:spacing w:after="100" w:line="180" w:lineRule="auto"/>
        <w:ind w:firstLine="0"/>
        <w:jc w:val="center"/>
        <w:rPr>
          <w:sz w:val="20"/>
          <w:szCs w:val="20"/>
        </w:rPr>
      </w:pPr>
      <w:r>
        <w:rPr>
          <w:sz w:val="20"/>
          <w:szCs w:val="20"/>
        </w:rPr>
        <w:t>Osm čestných povinnosti</w:t>
      </w:r>
    </w:p>
    <w:p w:rsidR="00500724" w:rsidRDefault="00F30FB8">
      <w:pPr>
        <w:pStyle w:val="Zkladntext1"/>
        <w:numPr>
          <w:ilvl w:val="0"/>
          <w:numId w:val="20"/>
        </w:numPr>
        <w:shd w:val="clear" w:color="auto" w:fill="auto"/>
        <w:tabs>
          <w:tab w:val="left" w:pos="432"/>
        </w:tabs>
        <w:spacing w:after="40" w:line="180" w:lineRule="auto"/>
        <w:ind w:firstLine="240"/>
        <w:rPr>
          <w:sz w:val="20"/>
          <w:szCs w:val="20"/>
        </w:rPr>
      </w:pPr>
      <w:r>
        <w:rPr>
          <w:sz w:val="20"/>
          <w:szCs w:val="20"/>
        </w:rPr>
        <w:t>Využijte volného času neprodleně, abyste se naučili anglickému jazyku a správné výslovnosti.</w:t>
      </w:r>
    </w:p>
    <w:p w:rsidR="00500724" w:rsidRDefault="00F30FB8">
      <w:pPr>
        <w:pStyle w:val="Zkladntext1"/>
        <w:numPr>
          <w:ilvl w:val="0"/>
          <w:numId w:val="20"/>
        </w:numPr>
        <w:shd w:val="clear" w:color="auto" w:fill="auto"/>
        <w:tabs>
          <w:tab w:val="left" w:pos="519"/>
        </w:tabs>
        <w:spacing w:after="40" w:line="178" w:lineRule="auto"/>
        <w:ind w:firstLine="320"/>
        <w:rPr>
          <w:sz w:val="20"/>
          <w:szCs w:val="20"/>
        </w:rPr>
      </w:pPr>
      <w:r>
        <w:rPr>
          <w:sz w:val="20"/>
          <w:szCs w:val="20"/>
        </w:rPr>
        <w:t>Nemluvte německy ani na ulici, ani nikde jinde na ve</w:t>
      </w:r>
      <w:r>
        <w:rPr>
          <w:sz w:val="20"/>
          <w:szCs w:val="20"/>
        </w:rPr>
        <w:softHyphen/>
        <w:t>řejnosti, jako na příklad v restauracích. Mluv</w:t>
      </w:r>
      <w:r>
        <w:rPr>
          <w:sz w:val="20"/>
          <w:szCs w:val="20"/>
        </w:rPr>
        <w:t>te raději špat- ně anglicky, než plynně německy — anemluvtehlasi- t ě. (Podtrženo v originálu.) Nečtěte veřejně noviny.</w:t>
      </w:r>
    </w:p>
    <w:p w:rsidR="00500724" w:rsidRDefault="00F30FB8">
      <w:pPr>
        <w:pStyle w:val="Zkladntext1"/>
        <w:numPr>
          <w:ilvl w:val="0"/>
          <w:numId w:val="20"/>
        </w:numPr>
        <w:shd w:val="clear" w:color="auto" w:fill="auto"/>
        <w:tabs>
          <w:tab w:val="left" w:pos="529"/>
        </w:tabs>
        <w:spacing w:after="40" w:line="180" w:lineRule="auto"/>
        <w:ind w:firstLine="320"/>
        <w:rPr>
          <w:sz w:val="20"/>
          <w:szCs w:val="20"/>
        </w:rPr>
      </w:pPr>
      <w:r>
        <w:rPr>
          <w:sz w:val="20"/>
          <w:szCs w:val="20"/>
        </w:rPr>
        <w:t>Nekritisujte ani rozhodnutí vlády, ani některé anglické zvyky. Neříkejte, že »to nebo ono dělá se v Německu o tolik lépe«. Někdy je to s</w:t>
      </w:r>
      <w:r>
        <w:rPr>
          <w:sz w:val="20"/>
          <w:szCs w:val="20"/>
        </w:rPr>
        <w:t>nad pravda, ale v porovnání se sympatii a svobodou Anglie, jež se vám teď dostává, neznamená to nic. Nezapomeňte na to nikdy.</w:t>
      </w:r>
    </w:p>
    <w:p w:rsidR="00500724" w:rsidRDefault="00F30FB8">
      <w:pPr>
        <w:pStyle w:val="Zkladntext1"/>
        <w:numPr>
          <w:ilvl w:val="0"/>
          <w:numId w:val="20"/>
        </w:numPr>
        <w:shd w:val="clear" w:color="auto" w:fill="auto"/>
        <w:tabs>
          <w:tab w:val="left" w:pos="442"/>
        </w:tabs>
        <w:spacing w:after="40" w:line="185" w:lineRule="auto"/>
        <w:ind w:firstLine="200"/>
        <w:rPr>
          <w:sz w:val="20"/>
          <w:szCs w:val="20"/>
        </w:rPr>
      </w:pPr>
      <w:r>
        <w:rPr>
          <w:sz w:val="20"/>
          <w:szCs w:val="20"/>
        </w:rPr>
        <w:t>Nestaňte se členy žádné politické organisace a ne</w:t>
      </w:r>
      <w:r>
        <w:rPr>
          <w:sz w:val="20"/>
          <w:szCs w:val="20"/>
        </w:rPr>
        <w:softHyphen/>
        <w:t>zúčastněte se žádného politického hnutí.</w:t>
      </w:r>
    </w:p>
    <w:p w:rsidR="00500724" w:rsidRDefault="00F30FB8">
      <w:pPr>
        <w:pStyle w:val="Zkladntext1"/>
        <w:numPr>
          <w:ilvl w:val="0"/>
          <w:numId w:val="20"/>
        </w:numPr>
        <w:shd w:val="clear" w:color="auto" w:fill="auto"/>
        <w:tabs>
          <w:tab w:val="left" w:pos="432"/>
        </w:tabs>
        <w:spacing w:after="40" w:line="221" w:lineRule="auto"/>
        <w:ind w:firstLine="200"/>
        <w:rPr>
          <w:sz w:val="20"/>
          <w:szCs w:val="20"/>
        </w:rPr>
      </w:pPr>
      <w:r>
        <w:rPr>
          <w:noProof/>
        </w:rPr>
        <mc:AlternateContent>
          <mc:Choice Requires="wps">
            <w:drawing>
              <wp:anchor distT="0" distB="254000" distL="114300" distR="114300" simplePos="0" relativeHeight="125829530" behindDoc="0" locked="0" layoutInCell="1" allowOverlap="1">
                <wp:simplePos x="0" y="0"/>
                <wp:positionH relativeFrom="page">
                  <wp:posOffset>382905</wp:posOffset>
                </wp:positionH>
                <wp:positionV relativeFrom="margin">
                  <wp:posOffset>9304655</wp:posOffset>
                </wp:positionV>
                <wp:extent cx="189230" cy="170815"/>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189230" cy="170815"/>
                        </a:xfrm>
                        <a:prstGeom prst="rect">
                          <a:avLst/>
                        </a:prstGeom>
                        <a:noFill/>
                      </wps:spPr>
                      <wps:txbx>
                        <w:txbxContent>
                          <w:p w:rsidR="00500724" w:rsidRDefault="00F30FB8">
                            <w:pPr>
                              <w:pStyle w:val="Zkladntext80"/>
                              <w:shd w:val="clear" w:color="auto" w:fill="auto"/>
                              <w:spacing w:line="240" w:lineRule="auto"/>
                              <w:rPr>
                                <w:sz w:val="20"/>
                                <w:szCs w:val="20"/>
                              </w:rPr>
                            </w:pPr>
                            <w:r>
                              <w:rPr>
                                <w:b w:val="0"/>
                                <w:bCs w:val="0"/>
                                <w:i/>
                                <w:iCs/>
                                <w:sz w:val="20"/>
                                <w:szCs w:val="20"/>
                              </w:rPr>
                              <w:t>no</w:t>
                            </w:r>
                          </w:p>
                        </w:txbxContent>
                      </wps:txbx>
                      <wps:bodyPr lIns="0" tIns="0" rIns="0" bIns="0">
                        <a:spAutoFit/>
                      </wps:bodyPr>
                    </wps:wsp>
                  </a:graphicData>
                </a:graphic>
              </wp:anchor>
            </w:drawing>
          </mc:Choice>
          <mc:Fallback>
            <w:pict>
              <v:shape id="_x0000_s1179" type="#_x0000_t202" style="position:absolute;margin-left:30.149999999999999pt;margin-top:732.64999999999998pt;width:14.9pt;height:13.449999999999999pt;z-index:-125829223;mso-wrap-distance-left:9.pt;mso-wrap-distance-right:9.pt;mso-wrap-distance-bottom:20.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0"/>
                          <w:szCs w:val="20"/>
                        </w:rPr>
                      </w:pPr>
                      <w:r>
                        <w:rPr>
                          <w:b w:val="0"/>
                          <w:bCs w:val="0"/>
                          <w:i/>
                          <w:iCs/>
                          <w:color w:val="000000"/>
                          <w:spacing w:val="0"/>
                          <w:w w:val="100"/>
                          <w:position w:val="0"/>
                          <w:sz w:val="20"/>
                          <w:szCs w:val="20"/>
                          <w:shd w:val="clear" w:color="auto" w:fill="auto"/>
                          <w:lang w:val="cs-CZ" w:eastAsia="cs-CZ" w:bidi="cs-CZ"/>
                        </w:rPr>
                        <w:t>no</w:t>
                      </w:r>
                    </w:p>
                  </w:txbxContent>
                </v:textbox>
                <w10:wrap type="topAndBottom" anchorx="page" anchory="margin"/>
              </v:shape>
            </w:pict>
          </mc:Fallback>
        </mc:AlternateContent>
      </w:r>
      <w:r>
        <w:rPr>
          <w:sz w:val="20"/>
          <w:szCs w:val="20"/>
        </w:rPr>
        <w:t xml:space="preserve">Nechovejte se nápadně hlasitým </w:t>
      </w:r>
      <w:r>
        <w:rPr>
          <w:sz w:val="20"/>
          <w:szCs w:val="20"/>
        </w:rPr>
        <w:t>hovorem, způsoby ne</w:t>
      </w:r>
      <w:r>
        <w:rPr>
          <w:sz w:val="20"/>
          <w:szCs w:val="20"/>
        </w:rPr>
        <w:softHyphen/>
        <w:t xml:space="preserve">bo oblékáním. Nápadnost, křiklavé a nekonvenční oblékáni </w:t>
      </w:r>
      <w:r>
        <w:rPr>
          <w:b/>
          <w:bCs/>
          <w:sz w:val="14"/>
          <w:szCs w:val="14"/>
        </w:rPr>
        <w:t xml:space="preserve">a </w:t>
      </w:r>
      <w:r>
        <w:rPr>
          <w:sz w:val="20"/>
          <w:szCs w:val="20"/>
        </w:rPr>
        <w:t xml:space="preserve">způsoby se Angličanovi příčí. Skromnosti, klidnému oblé- kání a klidným způsobům připisuje neobyčejnou důležitost. </w:t>
      </w:r>
      <w:r>
        <w:rPr>
          <w:b/>
          <w:bCs/>
          <w:sz w:val="14"/>
          <w:szCs w:val="14"/>
        </w:rPr>
        <w:t xml:space="preserve">V </w:t>
      </w:r>
      <w:r>
        <w:rPr>
          <w:sz w:val="20"/>
          <w:szCs w:val="20"/>
        </w:rPr>
        <w:t>rozhovoru má raději skromná tvrzení, než nadsázky.</w:t>
      </w:r>
    </w:p>
    <w:p w:rsidR="00500724" w:rsidRDefault="00F30FB8">
      <w:pPr>
        <w:pStyle w:val="Zkladntext1"/>
        <w:shd w:val="clear" w:color="auto" w:fill="auto"/>
        <w:spacing w:line="185" w:lineRule="auto"/>
        <w:ind w:firstLine="0"/>
        <w:rPr>
          <w:sz w:val="20"/>
          <w:szCs w:val="20"/>
        </w:rPr>
      </w:pPr>
      <w:r>
        <w:rPr>
          <w:sz w:val="20"/>
          <w:szCs w:val="20"/>
        </w:rPr>
        <w:t>Dobré způ</w:t>
      </w:r>
      <w:r>
        <w:rPr>
          <w:sz w:val="20"/>
          <w:szCs w:val="20"/>
        </w:rPr>
        <w:t>soby oceňuje mnohem výše. než jakékoli známky bohatství.</w:t>
      </w:r>
    </w:p>
    <w:p w:rsidR="00500724" w:rsidRDefault="00F30FB8">
      <w:pPr>
        <w:pStyle w:val="Zkladntext1"/>
        <w:numPr>
          <w:ilvl w:val="0"/>
          <w:numId w:val="20"/>
        </w:numPr>
        <w:shd w:val="clear" w:color="auto" w:fill="auto"/>
        <w:tabs>
          <w:tab w:val="left" w:pos="433"/>
        </w:tabs>
        <w:spacing w:line="185" w:lineRule="auto"/>
        <w:rPr>
          <w:sz w:val="20"/>
          <w:szCs w:val="20"/>
        </w:rPr>
      </w:pPr>
      <w:r>
        <w:rPr>
          <w:sz w:val="20"/>
          <w:szCs w:val="20"/>
        </w:rPr>
        <w:t>Snažte se, abyste při společenských a obchodních sty</w:t>
      </w:r>
      <w:r>
        <w:rPr>
          <w:sz w:val="20"/>
          <w:szCs w:val="20"/>
        </w:rPr>
        <w:softHyphen/>
        <w:t>cích dbali a zachovávali zvyky a mravy této země.</w:t>
      </w:r>
    </w:p>
    <w:p w:rsidR="00500724" w:rsidRDefault="00F30FB8">
      <w:pPr>
        <w:pStyle w:val="Zkladntext1"/>
        <w:numPr>
          <w:ilvl w:val="0"/>
          <w:numId w:val="20"/>
        </w:numPr>
        <w:shd w:val="clear" w:color="auto" w:fill="auto"/>
        <w:tabs>
          <w:tab w:val="left" w:pos="524"/>
        </w:tabs>
        <w:spacing w:line="185" w:lineRule="auto"/>
        <w:ind w:firstLine="300"/>
        <w:rPr>
          <w:sz w:val="20"/>
          <w:szCs w:val="20"/>
        </w:rPr>
      </w:pPr>
      <w:r>
        <w:rPr>
          <w:sz w:val="20"/>
          <w:szCs w:val="20"/>
        </w:rPr>
        <w:t xml:space="preserve">Nerozšiřujte otravný názor, že </w:t>
      </w:r>
      <w:r>
        <w:rPr>
          <w:b/>
          <w:bCs/>
          <w:i/>
          <w:iCs/>
          <w:sz w:val="20"/>
          <w:szCs w:val="20"/>
        </w:rPr>
        <w:t>»ve</w:t>
      </w:r>
      <w:r>
        <w:rPr>
          <w:sz w:val="20"/>
          <w:szCs w:val="20"/>
        </w:rPr>
        <w:t xml:space="preserve"> vaší zemi dopadne to stejně«. Britský žid odmítá rozhodně rozšiřování této bez</w:t>
      </w:r>
      <w:r>
        <w:rPr>
          <w:sz w:val="20"/>
          <w:szCs w:val="20"/>
        </w:rPr>
        <w:softHyphen/>
        <w:t>duché ideje.</w:t>
      </w:r>
    </w:p>
    <w:p w:rsidR="00500724" w:rsidRDefault="00F30FB8">
      <w:pPr>
        <w:pStyle w:val="Zkladntext1"/>
        <w:numPr>
          <w:ilvl w:val="0"/>
          <w:numId w:val="20"/>
        </w:numPr>
        <w:shd w:val="clear" w:color="auto" w:fill="auto"/>
        <w:tabs>
          <w:tab w:val="left" w:pos="428"/>
        </w:tabs>
        <w:spacing w:after="40" w:line="185" w:lineRule="auto"/>
        <w:rPr>
          <w:sz w:val="20"/>
          <w:szCs w:val="20"/>
        </w:rPr>
      </w:pPr>
      <w:r>
        <w:rPr>
          <w:sz w:val="20"/>
          <w:szCs w:val="20"/>
        </w:rPr>
        <w:t>Uznejte především, že židovská obec spoléhá na to, že vy — a to vy osobně a každý z vás — prokážete v této zemi nejlepší židovské vlastnosti, že zachováte důstojno</w:t>
      </w:r>
      <w:r>
        <w:rPr>
          <w:sz w:val="20"/>
          <w:szCs w:val="20"/>
        </w:rPr>
        <w:t>st a pomůžete a posloužíte jiným. Buďte k Anglii, k zemi, jejímž Jste hostem, loyální.</w:t>
      </w:r>
    </w:p>
    <w:p w:rsidR="00500724" w:rsidRDefault="00F30FB8">
      <w:pPr>
        <w:pStyle w:val="Nadpis120"/>
        <w:shd w:val="clear" w:color="auto" w:fill="auto"/>
        <w:spacing w:after="40" w:line="182" w:lineRule="auto"/>
        <w:ind w:left="0"/>
        <w:jc w:val="center"/>
      </w:pPr>
      <w:bookmarkStart w:id="171" w:name="bookmark170"/>
      <w:r>
        <w:t>Kde žijí?</w:t>
      </w:r>
      <w:bookmarkEnd w:id="171"/>
    </w:p>
    <w:p w:rsidR="00500724" w:rsidRDefault="00F30FB8">
      <w:pPr>
        <w:pStyle w:val="Zkladntext1"/>
        <w:shd w:val="clear" w:color="auto" w:fill="auto"/>
        <w:spacing w:line="211" w:lineRule="auto"/>
      </w:pPr>
      <w:r>
        <w:t>Židovské obec nevydala tento zákoník dobrého cho</w:t>
      </w:r>
      <w:r>
        <w:softHyphen/>
        <w:t>vání zbytečaě. Londýn, který má dnes devět milionů obyvatel, je sice ohromným mořem lidí, v němž by několik de</w:t>
      </w:r>
      <w:r>
        <w:t xml:space="preserve">sítek tisíc německých židů zapadlo, ale jsou v Londýně některé čtvrti, kde se židovští uprchlíci vyskytují houfněji. Především je najdeme v ulicích severně od Hyde-Parku. Zámožní němečtí uprchlíci usadili se hlavně na Bayswater-Road v Paddingtonu a okolí, </w:t>
      </w:r>
      <w:r>
        <w:t xml:space="preserve">kde jsou tiché, dobré hotely, </w:t>
      </w:r>
      <w:r>
        <w:rPr>
          <w:b/>
          <w:bCs/>
          <w:sz w:val="20"/>
          <w:szCs w:val="20"/>
        </w:rPr>
        <w:t xml:space="preserve">v </w:t>
      </w:r>
      <w:r>
        <w:t>nichž trávili dovolenou britští koloniální úředníci s rodinami. Tady se nachází, ku podivu, také klub, který lze považovati za i Hnědý dům« v Londýně. Ale zdá se, že to nikoho neruší.</w:t>
      </w:r>
    </w:p>
    <w:p w:rsidR="00500724" w:rsidRDefault="00F30FB8">
      <w:pPr>
        <w:pStyle w:val="Zkladntext1"/>
        <w:numPr>
          <w:ilvl w:val="0"/>
          <w:numId w:val="19"/>
        </w:numPr>
        <w:shd w:val="clear" w:color="auto" w:fill="auto"/>
        <w:tabs>
          <w:tab w:val="left" w:pos="462"/>
        </w:tabs>
        <w:spacing w:line="211" w:lineRule="auto"/>
      </w:pPr>
      <w:r>
        <w:t xml:space="preserve">tomto okolí, kde bydlí s oblibou i </w:t>
      </w:r>
      <w:r>
        <w:t>umělci a novináři, žije nejvíc německých uprchlíků. Každý druhý člověk, který se tady prochází, mluví německy. Ženy nosi berlínskou a vídeňskou eleganci, která je zajisté de</w:t>
      </w:r>
      <w:r>
        <w:softHyphen/>
        <w:t>centní a harmonická, ale přece se liší hned na první pohled od anglické decentnost</w:t>
      </w:r>
      <w:r>
        <w:t>i. Snad už tím, že je mnohem vybranější, mnohem pečlivěji decentní a sou</w:t>
      </w:r>
      <w:r>
        <w:softHyphen/>
        <w:t>lad ná. Desetkrát a stokrát můžete tady potkat židov</w:t>
      </w:r>
      <w:r>
        <w:softHyphen/>
        <w:t>ského intelektuála z kontinentu: s měkkými rysy v obličeji, s brýlemi a s chápavým pohledem. Vidíte, jak se snaží, aby vypadal čis</w:t>
      </w:r>
      <w:r>
        <w:t>tě a pěstěně, ale právě tím je nápadný.</w:t>
      </w:r>
    </w:p>
    <w:p w:rsidR="00500724" w:rsidRDefault="00F30FB8">
      <w:pPr>
        <w:pStyle w:val="Zkladntext1"/>
        <w:shd w:val="clear" w:color="auto" w:fill="auto"/>
        <w:spacing w:line="211" w:lineRule="auto"/>
      </w:pPr>
      <w:r>
        <w:t xml:space="preserve">Nedaleko nad severním výběžkem Hyde-Parku stojí obrovský hotel </w:t>
      </w:r>
      <w:r>
        <w:rPr>
          <w:lang w:val="en-US" w:eastAsia="en-US" w:bidi="en-US"/>
        </w:rPr>
        <w:t xml:space="preserve">Cumberland </w:t>
      </w:r>
      <w:r>
        <w:t xml:space="preserve">House a hned za ním Hotel </w:t>
      </w:r>
      <w:r>
        <w:rPr>
          <w:lang w:val="en-US" w:eastAsia="en-US" w:bidi="en-US"/>
        </w:rPr>
        <w:t xml:space="preserve">Mount Royal. </w:t>
      </w:r>
      <w:r>
        <w:t>Haly těchto hotelů, v nichž za 21 šilinků dostanete pokoj s koupelnou, celé zaopatření a rafino</w:t>
      </w:r>
      <w:r>
        <w:softHyphen/>
        <w:t>vané po</w:t>
      </w:r>
      <w:r>
        <w:t>hodlí velkých íiejmodernějšíeh hotelů, kde však nesmí nikdo bydlet déle než tři měsíce, aby nezabíral místo novým hostům, jsou v Londýně určitou náhraž</w:t>
      </w:r>
      <w:r>
        <w:softHyphen/>
        <w:t xml:space="preserve">kou za kavárny. Za </w:t>
      </w:r>
      <w:r>
        <w:rPr>
          <w:lang w:val="en-US" w:eastAsia="en-US" w:bidi="en-US"/>
        </w:rPr>
        <w:t xml:space="preserve">sixpence </w:t>
      </w:r>
      <w:r>
        <w:t>dostanete kávu, při které můžete sedět celé hodiny, aniž by číšnice v hnědýc</w:t>
      </w:r>
      <w:r>
        <w:t>h šatech projevila sebe menší netrpělivost.</w:t>
      </w:r>
    </w:p>
    <w:p w:rsidR="00500724" w:rsidRDefault="00F30FB8">
      <w:pPr>
        <w:pStyle w:val="Zkladntext1"/>
        <w:numPr>
          <w:ilvl w:val="0"/>
          <w:numId w:val="19"/>
        </w:numPr>
        <w:shd w:val="clear" w:color="auto" w:fill="auto"/>
        <w:tabs>
          <w:tab w:val="left" w:pos="476"/>
        </w:tabs>
        <w:spacing w:after="200" w:line="209" w:lineRule="auto"/>
      </w:pPr>
      <w:r>
        <w:t>obou těchto halách, které jsou větší než bývají jinde koncertní síně, uslyšíte odpoledne a večer sou</w:t>
      </w:r>
      <w:r>
        <w:softHyphen/>
        <w:t>středěnou židovskou emigraci ze střední Evropy. Ro</w:t>
      </w:r>
      <w:r>
        <w:softHyphen/>
        <w:t>mánská kavárna a Konigshof v Berlíně, Grandhotel a kavárna F</w:t>
      </w:r>
      <w:r>
        <w:t xml:space="preserve">enstergucker ve Vídni potkávají se tady s příbuznými, se známými, s novými uprchlíky, kteří mají ještě mnoho co vyprávět, a ovšem i s těmi, kteří už odjíždějí ze Southamptonu, z </w:t>
      </w:r>
      <w:r>
        <w:rPr>
          <w:lang w:val="en-US" w:eastAsia="en-US" w:bidi="en-US"/>
        </w:rPr>
        <w:t xml:space="preserve">Tilbury </w:t>
      </w:r>
      <w:r>
        <w:t>do všech koutů světa. Většina uprchlíků zbavila se již podlamu</w:t>
      </w:r>
      <w:r>
        <w:softHyphen/>
        <w:t xml:space="preserve">jících </w:t>
      </w:r>
      <w:r>
        <w:t xml:space="preserve">následků paniky. Slyšíte již hlasitý hovor a vidíte pestré kravaty i drahé kožichy, které by Angličanka do takových veřejných místností nikdy neoblékla. V těchto halách cítíte se zas trochu jako na kontinentě. </w:t>
      </w:r>
      <w:r>
        <w:rPr>
          <w:sz w:val="22"/>
          <w:szCs w:val="22"/>
        </w:rPr>
        <w:t xml:space="preserve">A </w:t>
      </w:r>
      <w:r>
        <w:t>tento kontinent bude nyní odvlečen do jiných</w:t>
      </w:r>
      <w:r>
        <w:t xml:space="preserve"> dílů světa, kde z něj vyvstane něco naprosto nového.</w:t>
      </w:r>
    </w:p>
    <w:p w:rsidR="00500724" w:rsidRDefault="00F30FB8">
      <w:pPr>
        <w:pStyle w:val="Nadpis80"/>
        <w:keepNext/>
        <w:keepLines/>
        <w:pBdr>
          <w:bottom w:val="single" w:sz="4" w:space="0" w:color="auto"/>
        </w:pBdr>
        <w:shd w:val="clear" w:color="auto" w:fill="auto"/>
        <w:spacing w:after="280"/>
        <w:rPr>
          <w:sz w:val="44"/>
          <w:szCs w:val="44"/>
        </w:rPr>
      </w:pPr>
      <w:bookmarkStart w:id="172" w:name="bookmark171"/>
      <w:r>
        <w:rPr>
          <w:sz w:val="44"/>
          <w:szCs w:val="44"/>
          <w:u w:val="none"/>
        </w:rPr>
        <w:t>dopisy</w:t>
      </w:r>
      <w:bookmarkEnd w:id="172"/>
    </w:p>
    <w:p w:rsidR="00500724" w:rsidRDefault="00F30FB8">
      <w:pPr>
        <w:pStyle w:val="Zkladntext1"/>
        <w:shd w:val="clear" w:color="auto" w:fill="auto"/>
        <w:spacing w:after="40" w:line="175" w:lineRule="auto"/>
        <w:ind w:left="1020" w:firstLine="0"/>
        <w:jc w:val="left"/>
      </w:pPr>
      <w:r>
        <w:rPr>
          <w:b/>
          <w:bCs/>
        </w:rPr>
        <w:t>Dopis Němce z Brna o dorozumění</w:t>
      </w:r>
    </w:p>
    <w:p w:rsidR="00500724" w:rsidRDefault="00F30FB8">
      <w:pPr>
        <w:pStyle w:val="Zkladntext50"/>
        <w:shd w:val="clear" w:color="auto" w:fill="auto"/>
        <w:spacing w:after="0" w:line="240" w:lineRule="auto"/>
        <w:ind w:left="0" w:right="200"/>
        <w:jc w:val="right"/>
      </w:pPr>
      <w:r>
        <w:t>V Brně dne 4. února 1939</w:t>
      </w:r>
    </w:p>
    <w:p w:rsidR="00500724" w:rsidRDefault="00F30FB8">
      <w:pPr>
        <w:pStyle w:val="Zkladntext1"/>
        <w:shd w:val="clear" w:color="auto" w:fill="auto"/>
        <w:spacing w:after="60" w:line="185" w:lineRule="auto"/>
        <w:ind w:left="1020" w:firstLine="0"/>
        <w:jc w:val="left"/>
        <w:rPr>
          <w:sz w:val="18"/>
          <w:szCs w:val="18"/>
        </w:rPr>
      </w:pPr>
      <w:r>
        <w:rPr>
          <w:sz w:val="18"/>
          <w:szCs w:val="18"/>
        </w:rPr>
        <w:t>Velevážený pane redaktore!</w:t>
      </w:r>
    </w:p>
    <w:p w:rsidR="00500724" w:rsidRDefault="00F30FB8">
      <w:pPr>
        <w:pStyle w:val="Zkladntext1"/>
        <w:shd w:val="clear" w:color="auto" w:fill="auto"/>
        <w:spacing w:line="185" w:lineRule="auto"/>
        <w:ind w:firstLine="300"/>
        <w:rPr>
          <w:sz w:val="18"/>
          <w:szCs w:val="18"/>
        </w:rPr>
      </w:pPr>
      <w:r>
        <w:rPr>
          <w:sz w:val="18"/>
          <w:szCs w:val="18"/>
        </w:rPr>
        <w:t xml:space="preserve">3 velkým zájmem jsem četl v čísle Vašeho časopisu dopis onoho pražského studenta a Vaši odpověď. Když Vám nyní i já píši několik řádků, tak to laskavě nepovažujte za pokračováni </w:t>
      </w:r>
      <w:r>
        <w:rPr>
          <w:b/>
          <w:bCs/>
        </w:rPr>
        <w:t xml:space="preserve">v </w:t>
      </w:r>
      <w:r>
        <w:rPr>
          <w:sz w:val="18"/>
          <w:szCs w:val="18"/>
        </w:rPr>
        <w:t>polemice. Píši je Vám osobně, poněvadž jako dlouholetý čte</w:t>
      </w:r>
      <w:r>
        <w:rPr>
          <w:sz w:val="18"/>
          <w:szCs w:val="18"/>
        </w:rPr>
        <w:softHyphen/>
        <w:t>nář »Přítomnosti«</w:t>
      </w:r>
      <w:r>
        <w:rPr>
          <w:sz w:val="18"/>
          <w:szCs w:val="18"/>
        </w:rPr>
        <w:t xml:space="preserve"> si Vás dovedu vážiti a dobře vím, že se s Vámi dá věcně hovoriti. Kéž bych to mohl tvrditi o většině Vašich pánů kolegů! Velmi rád čítávám Vaše články; je to skutečně potěšení pro čtenáře, když v těchto pohnutých do</w:t>
      </w:r>
      <w:r>
        <w:rPr>
          <w:sz w:val="18"/>
          <w:szCs w:val="18"/>
        </w:rPr>
        <w:softHyphen/>
        <w:t>bách nájde žurnalistu, který se snaží o</w:t>
      </w:r>
      <w:r>
        <w:rPr>
          <w:sz w:val="18"/>
          <w:szCs w:val="18"/>
        </w:rPr>
        <w:t>bjektivně rozebírat si</w:t>
      </w:r>
      <w:r>
        <w:rPr>
          <w:sz w:val="18"/>
          <w:szCs w:val="18"/>
        </w:rPr>
        <w:softHyphen/>
        <w:t>tuaci a přes všechny útoky a hanobení zastává se svého pře</w:t>
      </w:r>
      <w:r>
        <w:rPr>
          <w:sz w:val="18"/>
          <w:szCs w:val="18"/>
        </w:rPr>
        <w:softHyphen/>
        <w:t xml:space="preserve">svědčení. Musím se přiznati, že nemohu vždy s Vašimi názory jakož </w:t>
      </w:r>
      <w:r>
        <w:rPr>
          <w:sz w:val="18"/>
          <w:szCs w:val="18"/>
          <w:lang w:val="en-US" w:eastAsia="en-US" w:bidi="en-US"/>
        </w:rPr>
        <w:t xml:space="preserve">i s </w:t>
      </w:r>
      <w:r>
        <w:rPr>
          <w:sz w:val="18"/>
          <w:szCs w:val="18"/>
        </w:rPr>
        <w:t xml:space="preserve">názory jiných Vašich spolupracovníků souhlasiti: Jsem němec a přesvědčený národní socialista a poněvadž </w:t>
      </w:r>
      <w:r>
        <w:rPr>
          <w:sz w:val="18"/>
          <w:szCs w:val="18"/>
        </w:rPr>
        <w:t>za</w:t>
      </w:r>
      <w:r>
        <w:rPr>
          <w:sz w:val="18"/>
          <w:szCs w:val="18"/>
        </w:rPr>
        <w:softHyphen/>
        <w:t>stupujete dosti vyhraněný levicový směr, je souhlas v mnoha případech dosti nesnadný. Což však nemění nic na pravdě, že si Váš týdeník pro jeho úroveň velmi vážím.</w:t>
      </w:r>
    </w:p>
    <w:p w:rsidR="00500724" w:rsidRDefault="00F30FB8">
      <w:pPr>
        <w:pStyle w:val="Zkladntext1"/>
        <w:shd w:val="clear" w:color="auto" w:fill="auto"/>
        <w:spacing w:line="175" w:lineRule="auto"/>
        <w:ind w:firstLine="300"/>
        <w:rPr>
          <w:sz w:val="18"/>
          <w:szCs w:val="18"/>
        </w:rPr>
      </w:pPr>
      <w:r>
        <w:rPr>
          <w:sz w:val="18"/>
          <w:szCs w:val="18"/>
        </w:rPr>
        <w:t xml:space="preserve">Předem bych Vám rád vyslovil svoje upřímné díky za milý a skutečně uznání hodný způsob </w:t>
      </w:r>
      <w:r>
        <w:rPr>
          <w:sz w:val="18"/>
          <w:szCs w:val="18"/>
        </w:rPr>
        <w:t>Vaši odpovědi pražskému kole</w:t>
      </w:r>
      <w:r>
        <w:rPr>
          <w:sz w:val="18"/>
          <w:szCs w:val="18"/>
        </w:rPr>
        <w:softHyphen/>
        <w:t>govi. Formuloval — řekněme to shovívavě — trochu ne</w:t>
      </w:r>
      <w:r>
        <w:rPr>
          <w:sz w:val="18"/>
          <w:szCs w:val="18"/>
        </w:rPr>
        <w:softHyphen/>
        <w:t>opatrně a vybočil tím Bohužel z mezí věcné diskuse. K věci sa</w:t>
      </w:r>
      <w:r>
        <w:rPr>
          <w:sz w:val="18"/>
          <w:szCs w:val="18"/>
        </w:rPr>
        <w:softHyphen/>
        <w:t xml:space="preserve">motné, totiž na článek </w:t>
      </w:r>
      <w:r>
        <w:rPr>
          <w:b/>
          <w:bCs/>
          <w:sz w:val="16"/>
          <w:szCs w:val="16"/>
        </w:rPr>
        <w:t xml:space="preserve">pana Z. S„ </w:t>
      </w:r>
      <w:r>
        <w:rPr>
          <w:sz w:val="18"/>
          <w:szCs w:val="18"/>
        </w:rPr>
        <w:t>řekl vlastně pramálo a to bych rád nyní dodal.</w:t>
      </w:r>
    </w:p>
    <w:p w:rsidR="00500724" w:rsidRDefault="00F30FB8">
      <w:pPr>
        <w:pStyle w:val="Zkladntext1"/>
        <w:shd w:val="clear" w:color="auto" w:fill="auto"/>
        <w:spacing w:line="180" w:lineRule="auto"/>
        <w:ind w:firstLine="300"/>
        <w:rPr>
          <w:sz w:val="18"/>
          <w:szCs w:val="18"/>
        </w:rPr>
      </w:pPr>
      <w:r>
        <w:rPr>
          <w:sz w:val="18"/>
          <w:szCs w:val="18"/>
        </w:rPr>
        <w:t xml:space="preserve">Pán Z. S. tvrdí, že naši </w:t>
      </w:r>
      <w:r>
        <w:rPr>
          <w:sz w:val="18"/>
          <w:szCs w:val="18"/>
        </w:rPr>
        <w:t>studenti přicházejí do Prahy, tam studují a dokonči svá studia, aniž by si vůbec dali záležet na tom, aby si přivlastnili znalosti češtiny aneb aspoň vyhledali společnost Čechů a odjíždějí, aniž by si odnesli jen ty základní pojmy o povaze hostitelského ná</w:t>
      </w:r>
      <w:r>
        <w:rPr>
          <w:sz w:val="18"/>
          <w:szCs w:val="18"/>
        </w:rPr>
        <w:t>roda. To však naprosto neod</w:t>
      </w:r>
      <w:r>
        <w:rPr>
          <w:sz w:val="18"/>
          <w:szCs w:val="18"/>
        </w:rPr>
        <w:softHyphen/>
        <w:t>povídá skutečnostem. Jak v Praze, tak obzvláště v Brně existo</w:t>
      </w:r>
      <w:r>
        <w:rPr>
          <w:sz w:val="18"/>
          <w:szCs w:val="18"/>
        </w:rPr>
        <w:softHyphen/>
        <w:t>vali odedávna dosti těsné styky mezi německými a českým,! studenty a byly dokonce časy, které daly očekávat to nejlepší pro spolupráci na velkém díle vzájemného poroz</w:t>
      </w:r>
      <w:r>
        <w:rPr>
          <w:sz w:val="18"/>
          <w:szCs w:val="18"/>
        </w:rPr>
        <w:t>uměni. Když se to později změnilo, naše vina to věru nebyla!</w:t>
      </w:r>
    </w:p>
    <w:p w:rsidR="00500724" w:rsidRDefault="00F30FB8">
      <w:pPr>
        <w:pStyle w:val="Zkladntext1"/>
        <w:shd w:val="clear" w:color="auto" w:fill="auto"/>
        <w:spacing w:line="180" w:lineRule="auto"/>
        <w:ind w:firstLine="180"/>
        <w:rPr>
          <w:sz w:val="18"/>
          <w:szCs w:val="18"/>
        </w:rPr>
      </w:pPr>
      <w:r>
        <w:rPr>
          <w:sz w:val="18"/>
          <w:szCs w:val="18"/>
        </w:rPr>
        <w:t>Kdo si přeje utvořiti skutečně objektivní obraz o této kapi</w:t>
      </w:r>
      <w:r>
        <w:rPr>
          <w:sz w:val="18"/>
          <w:szCs w:val="18"/>
        </w:rPr>
        <w:softHyphen/>
        <w:t>tole národnostních styků, musí pečlivě rozeznávati mezi pro</w:t>
      </w:r>
      <w:r>
        <w:rPr>
          <w:sz w:val="18"/>
          <w:szCs w:val="18"/>
        </w:rPr>
        <w:softHyphen/>
        <w:t>středím pražském a prostředím brněnském. Praha pro nás Němce byla vždy půda</w:t>
      </w:r>
      <w:r>
        <w:rPr>
          <w:sz w:val="18"/>
          <w:szCs w:val="18"/>
        </w:rPr>
        <w:t xml:space="preserve"> velmi choulostivá, protože drazí spolu</w:t>
      </w:r>
      <w:r>
        <w:rPr>
          <w:sz w:val="18"/>
          <w:szCs w:val="18"/>
        </w:rPr>
        <w:softHyphen/>
        <w:t>občané národnosti české nám život »zpestřili«, kde jen mohli. V převážné většině všech případů přišel náš sudetoněmecký r. ’adík do Prahy se znalostmi češtiny, kterých nabyl ve střední škole. Co se tam naučil, to Vám</w:t>
      </w:r>
      <w:r>
        <w:rPr>
          <w:sz w:val="18"/>
          <w:szCs w:val="18"/>
        </w:rPr>
        <w:t xml:space="preserve"> snad nemusím vyprávět. Ne více než český středoškolák němčiny a toho je pramálo. V pra</w:t>
      </w:r>
      <w:r>
        <w:rPr>
          <w:sz w:val="18"/>
          <w:szCs w:val="18"/>
        </w:rPr>
        <w:softHyphen/>
        <w:t>vidle byl rád, když se vůbec nějak domluvil. Bylo na něm sa</w:t>
      </w:r>
      <w:r>
        <w:rPr>
          <w:sz w:val="18"/>
          <w:szCs w:val="18"/>
        </w:rPr>
        <w:softHyphen/>
        <w:t>mozřejmě na prvním slově znát, že Libuše nebyla jeho babič</w:t>
      </w:r>
      <w:r>
        <w:rPr>
          <w:sz w:val="18"/>
          <w:szCs w:val="18"/>
        </w:rPr>
        <w:softHyphen/>
        <w:t>kou. A v pramnohých případech se pak stalo, že od</w:t>
      </w:r>
      <w:r>
        <w:rPr>
          <w:sz w:val="18"/>
          <w:szCs w:val="18"/>
        </w:rPr>
        <w:t>pověď Pra</w:t>
      </w:r>
      <w:r>
        <w:rPr>
          <w:sz w:val="18"/>
          <w:szCs w:val="18"/>
        </w:rPr>
        <w:softHyphen/>
        <w:t>žana neobsahovala ani těch nej primitivnějších orvků zdvoři</w:t>
      </w:r>
      <w:r>
        <w:rPr>
          <w:sz w:val="18"/>
          <w:szCs w:val="18"/>
        </w:rPr>
        <w:softHyphen/>
        <w:t>losti. Že takové chování nepůsobilo právě příznivě, to snad uznáte sám. V těch málo případech, kdy se našemu studentu podařilo, navázati styk: s pražskou společnosti, musel záhy po</w:t>
      </w:r>
      <w:r>
        <w:rPr>
          <w:sz w:val="18"/>
          <w:szCs w:val="18"/>
        </w:rPr>
        <w:softHyphen/>
        <w:t>znati</w:t>
      </w:r>
      <w:r>
        <w:rPr>
          <w:sz w:val="18"/>
          <w:szCs w:val="18"/>
        </w:rPr>
        <w:t>, že je tam považován za cizí živel a pouze trpěn. Ten po</w:t>
      </w:r>
      <w:r>
        <w:rPr>
          <w:sz w:val="18"/>
          <w:szCs w:val="18"/>
        </w:rPr>
        <w:softHyphen/>
        <w:t>cit pak přirozeně měl za následek psychologický předpoklad pro vznik oněch zjevů, které dali panu Z. S. podnět k onomu satirickému projevu.</w:t>
      </w:r>
    </w:p>
    <w:p w:rsidR="00500724" w:rsidRDefault="00F30FB8">
      <w:pPr>
        <w:pStyle w:val="Zkladntext1"/>
        <w:shd w:val="clear" w:color="auto" w:fill="auto"/>
        <w:spacing w:line="180" w:lineRule="auto"/>
        <w:ind w:firstLine="300"/>
        <w:rPr>
          <w:sz w:val="18"/>
          <w:szCs w:val="18"/>
        </w:rPr>
      </w:pPr>
      <w:r>
        <w:rPr>
          <w:sz w:val="18"/>
          <w:szCs w:val="18"/>
        </w:rPr>
        <w:t>Naprosto jiného rázu byly do roku 1933 poměry v brněn</w:t>
      </w:r>
      <w:r>
        <w:rPr>
          <w:sz w:val="18"/>
          <w:szCs w:val="18"/>
        </w:rPr>
        <w:softHyphen/>
        <w:t>ském</w:t>
      </w:r>
      <w:r>
        <w:rPr>
          <w:sz w:val="18"/>
          <w:szCs w:val="18"/>
        </w:rPr>
        <w:t xml:space="preserve"> prostředí. Z vlastní zkušenosti mohu tvrditi, že po dlouhá léta patřilo k největším vzácnostem, nastalo-li nějaké nedorozumění vážnějšího rázu. Byl jsem členem iDeutsehe Studentenschaft« na německé technice Brněnské a měl jsem nejednou příležitost, s jiný</w:t>
      </w:r>
      <w:r>
        <w:rPr>
          <w:sz w:val="18"/>
          <w:szCs w:val="18"/>
        </w:rPr>
        <w:t xml:space="preserve">mi kolegy navštíviti valné hromady spolku posluchačů techniky. Měl jsem a má ještě dnes mnoho milých přitelů mezi svými českými kolegy, navštěvoval jsem velmi často zábavy jimi pořádané a přišel jsem následkem toho do dosti úzkého styku s brněnskou českou </w:t>
      </w:r>
      <w:r>
        <w:rPr>
          <w:sz w:val="18"/>
          <w:szCs w:val="18"/>
        </w:rPr>
        <w:t>společnosti. Musel bych mluviti nepravdu, kdybych chtěl tvrditi, že jsem se tam cítil nevítaným. Stávalo se velmi často, že jsme dlouhé hodiny proseděli v »Zoře« a kdekterý z mých tehdejších kolegů čes</w:t>
      </w:r>
      <w:r>
        <w:rPr>
          <w:sz w:val="18"/>
          <w:szCs w:val="18"/>
        </w:rPr>
        <w:softHyphen/>
        <w:t>kých by Vám mohl podat! svědectví o tom, že nedorozumě</w:t>
      </w:r>
      <w:r>
        <w:rPr>
          <w:sz w:val="18"/>
          <w:szCs w:val="18"/>
        </w:rPr>
        <w:t>ni mezi námi prostě neexistovalo, ačkoliv jsme se ve svých deba</w:t>
      </w:r>
      <w:r>
        <w:rPr>
          <w:sz w:val="18"/>
          <w:szCs w:val="18"/>
        </w:rPr>
        <w:softHyphen/>
        <w:t>tách naprosto nevyhýbali choulostivým otázkám národnostním.</w:t>
      </w:r>
    </w:p>
    <w:p w:rsidR="00500724" w:rsidRDefault="00F30FB8">
      <w:pPr>
        <w:pStyle w:val="Zkladntext1"/>
        <w:shd w:val="clear" w:color="auto" w:fill="auto"/>
        <w:spacing w:line="180" w:lineRule="auto"/>
        <w:ind w:firstLine="300"/>
        <w:rPr>
          <w:sz w:val="18"/>
          <w:szCs w:val="18"/>
        </w:rPr>
      </w:pPr>
      <w:r>
        <w:rPr>
          <w:sz w:val="18"/>
          <w:szCs w:val="18"/>
        </w:rPr>
        <w:t>Nevím, zdali vy Pražané si dovedete uvědomit ten úžasný rozdíl mezi mentalitou moravského Čecha a Pražana?</w:t>
      </w:r>
    </w:p>
    <w:p w:rsidR="00500724" w:rsidRDefault="00F30FB8">
      <w:pPr>
        <w:pStyle w:val="Zkladntext1"/>
        <w:shd w:val="clear" w:color="auto" w:fill="auto"/>
        <w:spacing w:line="180" w:lineRule="auto"/>
        <w:ind w:firstLine="300"/>
        <w:rPr>
          <w:sz w:val="18"/>
          <w:szCs w:val="18"/>
        </w:rPr>
      </w:pPr>
      <w:r>
        <w:rPr>
          <w:sz w:val="18"/>
          <w:szCs w:val="18"/>
        </w:rPr>
        <w:t>To vše se ovšem rázně změ</w:t>
      </w:r>
      <w:r>
        <w:rPr>
          <w:sz w:val="18"/>
          <w:szCs w:val="18"/>
        </w:rPr>
        <w:t>nilo, když náhle — a jak ještě dnes jsme přesvědčeni — i bez veškerého pádného důvodu byly rozpuštěny naše národní strany a počaly persekuce jejich čle</w:t>
      </w:r>
      <w:r>
        <w:rPr>
          <w:sz w:val="18"/>
          <w:szCs w:val="18"/>
        </w:rPr>
        <w:softHyphen/>
        <w:t xml:space="preserve">nů. Ku cti svých českých kolegů však musím přiznati, </w:t>
      </w:r>
      <w:r>
        <w:rPr>
          <w:b/>
          <w:bCs/>
        </w:rPr>
        <w:t xml:space="preserve">že </w:t>
      </w:r>
      <w:r>
        <w:rPr>
          <w:sz w:val="18"/>
          <w:szCs w:val="18"/>
        </w:rPr>
        <w:t>kde</w:t>
      </w:r>
      <w:r>
        <w:rPr>
          <w:sz w:val="18"/>
          <w:szCs w:val="18"/>
        </w:rPr>
        <w:softHyphen/>
        <w:t>který uznal zbytečnost, ba neobratnost tohot</w:t>
      </w:r>
      <w:r>
        <w:rPr>
          <w:sz w:val="18"/>
          <w:szCs w:val="18"/>
        </w:rPr>
        <w:t>o zásahu a chá</w:t>
      </w:r>
      <w:r>
        <w:rPr>
          <w:sz w:val="18"/>
          <w:szCs w:val="18"/>
        </w:rPr>
        <w:softHyphen/>
        <w:t>pal, že jsme my z toho odvodily svoje důsledky. Avšak i nám částečné přerušení styků naprosto neodpovídalo! Vždyť nám scházela ona výměna názorů, která se nám po léta stala mi</w:t>
      </w:r>
      <w:r>
        <w:rPr>
          <w:sz w:val="18"/>
          <w:szCs w:val="18"/>
        </w:rPr>
        <w:softHyphen/>
        <w:t>lým zvykem a mimo to nám sprostředkovala pochopení mnoha idei a z</w:t>
      </w:r>
      <w:r>
        <w:rPr>
          <w:sz w:val="18"/>
          <w:szCs w:val="18"/>
        </w:rPr>
        <w:t>jevů, nám dosud cizých. Naučili jsme se zajimati se o soudobou českou literaturu, začali jsme navštivovati divadlo, koncerty a výstavy a odnesli .isme si mnoho travanlivých do</w:t>
      </w:r>
      <w:r>
        <w:rPr>
          <w:sz w:val="18"/>
          <w:szCs w:val="18"/>
        </w:rPr>
        <w:softHyphen/>
        <w:t xml:space="preserve">jmů. Ale i o svých českých přátelů tehdejších dob mohu </w:t>
      </w:r>
      <w:r>
        <w:rPr>
          <w:b/>
          <w:bCs/>
        </w:rPr>
        <w:t xml:space="preserve">e </w:t>
      </w:r>
      <w:r>
        <w:rPr>
          <w:sz w:val="18"/>
          <w:szCs w:val="18"/>
        </w:rPr>
        <w:t>ra</w:t>
      </w:r>
      <w:r>
        <w:rPr>
          <w:sz w:val="18"/>
          <w:szCs w:val="18"/>
        </w:rPr>
        <w:softHyphen/>
        <w:t>dosti říci, že zůsta</w:t>
      </w:r>
      <w:r>
        <w:rPr>
          <w:sz w:val="18"/>
          <w:szCs w:val="18"/>
        </w:rPr>
        <w:t>li věrni tradici hodin společně prožitých a nepropadli onomu chauvinismu zářijových dnů minulého roku, aniž by sl byli tím ve své národní hrdosti v tom nejmenším zadali.</w:t>
      </w:r>
    </w:p>
    <w:p w:rsidR="00500724" w:rsidRDefault="00F30FB8">
      <w:pPr>
        <w:pStyle w:val="Zkladntext1"/>
        <w:shd w:val="clear" w:color="auto" w:fill="auto"/>
        <w:spacing w:line="230" w:lineRule="auto"/>
        <w:ind w:firstLine="300"/>
        <w:rPr>
          <w:sz w:val="18"/>
          <w:szCs w:val="18"/>
        </w:rPr>
      </w:pPr>
      <w:r>
        <w:rPr>
          <w:sz w:val="18"/>
          <w:szCs w:val="18"/>
        </w:rPr>
        <w:t>Byly-li snad názory, které pán Z. S. projevil v onom článku, ještě jakž takž na rozhra</w:t>
      </w:r>
      <w:r>
        <w:rPr>
          <w:sz w:val="18"/>
          <w:szCs w:val="18"/>
        </w:rPr>
        <w:t>ní toho, co se při určité dávce velko</w:t>
      </w:r>
      <w:r>
        <w:rPr>
          <w:sz w:val="18"/>
          <w:szCs w:val="18"/>
        </w:rPr>
        <w:softHyphen/>
        <w:t xml:space="preserve">rysosti dá přičíst! jeho ^Pražské mentalitě«, je pochopení jeho dalšího článku o českém aktivismu skoro nemožné. Nechci zde rozeblrati obšírně ovzduší dřívějších dob; vedlo by to příliš </w:t>
      </w:r>
      <w:r>
        <w:rPr>
          <w:i/>
          <w:iCs/>
          <w:sz w:val="18"/>
          <w:szCs w:val="18"/>
        </w:rPr>
        <w:t>ití</w:t>
      </w:r>
      <w:r>
        <w:rPr>
          <w:i/>
          <w:iCs/>
          <w:sz w:val="18"/>
          <w:szCs w:val="18"/>
        </w:rPr>
        <w:br w:type="page"/>
      </w:r>
      <w:r>
        <w:rPr>
          <w:sz w:val="18"/>
          <w:szCs w:val="18"/>
        </w:rPr>
        <w:t>daleko a přesahovalo by to m</w:t>
      </w:r>
      <w:r>
        <w:rPr>
          <w:sz w:val="18"/>
          <w:szCs w:val="18"/>
        </w:rPr>
        <w:t>eze dopisu, které chci zachovat!. Správně jste řekl ve Vaši odpovědi, že při každé diskusi o vě</w:t>
      </w:r>
      <w:r>
        <w:rPr>
          <w:sz w:val="18"/>
          <w:szCs w:val="18"/>
        </w:rPr>
        <w:softHyphen/>
        <w:t xml:space="preserve">cech tak choulostivých je nezbytně nutné, přísně dbáti nejen naprosté objektivity, nýbrž také nemalé dávky onoho taktu </w:t>
      </w:r>
      <w:r>
        <w:rPr>
          <w:b/>
          <w:bCs/>
        </w:rPr>
        <w:t xml:space="preserve">a </w:t>
      </w:r>
      <w:r>
        <w:rPr>
          <w:sz w:val="18"/>
          <w:szCs w:val="18"/>
        </w:rPr>
        <w:t>porozumněnl, které při každém rozhovoru</w:t>
      </w:r>
      <w:r>
        <w:rPr>
          <w:sz w:val="18"/>
          <w:szCs w:val="18"/>
        </w:rPr>
        <w:t xml:space="preserve"> mezi vzdělanými jsou nepostradatelné. Věřte ml, jsem v rozpacích, jak psáti takovým způsobem, abych i já se rovnal úrovni Vaši odpovědi.</w:t>
      </w:r>
    </w:p>
    <w:p w:rsidR="00500724" w:rsidRDefault="00F30FB8">
      <w:pPr>
        <w:pStyle w:val="Zkladntext1"/>
        <w:shd w:val="clear" w:color="auto" w:fill="auto"/>
        <w:spacing w:line="180" w:lineRule="auto"/>
        <w:ind w:firstLine="340"/>
        <w:rPr>
          <w:sz w:val="18"/>
          <w:szCs w:val="18"/>
        </w:rPr>
      </w:pPr>
      <w:r>
        <w:rPr>
          <w:sz w:val="18"/>
          <w:szCs w:val="18"/>
        </w:rPr>
        <w:t xml:space="preserve">Snad </w:t>
      </w:r>
      <w:r>
        <w:rPr>
          <w:sz w:val="18"/>
          <w:szCs w:val="18"/>
          <w:lang w:val="en-US" w:eastAsia="en-US" w:bidi="en-US"/>
        </w:rPr>
        <w:t xml:space="preserve">si </w:t>
      </w:r>
      <w:r>
        <w:rPr>
          <w:sz w:val="18"/>
          <w:szCs w:val="18"/>
        </w:rPr>
        <w:t>1 pán Z. S. dobře nerozvážil dosah látky, kterou si vzal za námět. Jinak bych nemohl chápati, na jaký věcný zá</w:t>
      </w:r>
      <w:r>
        <w:rPr>
          <w:sz w:val="18"/>
          <w:szCs w:val="18"/>
        </w:rPr>
        <w:t>klad stav! svoje přirovnání tehdejšího německého akti</w:t>
      </w:r>
      <w:r>
        <w:rPr>
          <w:sz w:val="18"/>
          <w:szCs w:val="18"/>
        </w:rPr>
        <w:softHyphen/>
        <w:t>vismu k nynějšímu aktivismu českému. Předpoklady jakož 1 vývoj a obzvláště pak doba trvání jsou tak různého tvaru, že je snad skoro nemožné, přivésti je na společný základ. Ne- popírám správnost psychol</w:t>
      </w:r>
      <w:r>
        <w:rPr>
          <w:sz w:val="18"/>
          <w:szCs w:val="18"/>
        </w:rPr>
        <w:t>ogického pozadí. Vy Češi dnes přiro</w:t>
      </w:r>
      <w:r>
        <w:rPr>
          <w:sz w:val="18"/>
          <w:szCs w:val="18"/>
        </w:rPr>
        <w:softHyphen/>
        <w:t>zeně ještě nemůžete mít ten odstup od událostech minulého roku. Mnichov představuje pro Vás tak hluboký zásah, že dvě náramně důležité události se skoro vůbec minuly pozornosti široké veřejnosti. Připomeňme si laskavě ná</w:t>
      </w:r>
      <w:r>
        <w:rPr>
          <w:sz w:val="18"/>
          <w:szCs w:val="18"/>
        </w:rPr>
        <w:t>rodnostní mapu, na základě které byl uzavřen Mnichovský smír: Uznáte snad sám, že znamenalo pro vás nesporný politický úspěch, že bylo upuštěno od úmyslů, provésti plebiscity ve třech velkých měs</w:t>
      </w:r>
      <w:r>
        <w:rPr>
          <w:sz w:val="18"/>
          <w:szCs w:val="18"/>
        </w:rPr>
        <w:softHyphen/>
        <w:t>tech moravských. Dále bych pana S. prosil, aby laskavě uvá</w:t>
      </w:r>
      <w:r>
        <w:rPr>
          <w:sz w:val="18"/>
          <w:szCs w:val="18"/>
        </w:rPr>
        <w:softHyphen/>
        <w:t>ž</w:t>
      </w:r>
      <w:r>
        <w:rPr>
          <w:sz w:val="18"/>
          <w:szCs w:val="18"/>
        </w:rPr>
        <w:t>il o poměrech na Slovensku a v Podkarpatské Rusi v listopadů a prosinci minulého roku. Snad zná rozsah tehdejších poža</w:t>
      </w:r>
      <w:r>
        <w:rPr>
          <w:sz w:val="18"/>
          <w:szCs w:val="18"/>
        </w:rPr>
        <w:softHyphen/>
        <w:t xml:space="preserve">davků maďarských a polských a jejich dalekosáhlost. Není pak, když nahlíží </w:t>
      </w:r>
      <w:r>
        <w:rPr>
          <w:b/>
          <w:bCs/>
        </w:rPr>
        <w:t xml:space="preserve">z </w:t>
      </w:r>
      <w:r>
        <w:rPr>
          <w:sz w:val="18"/>
          <w:szCs w:val="18"/>
        </w:rPr>
        <w:t>onoho hlediska, i Vídeňské rozhodnutí uznání- hodným úspěche</w:t>
      </w:r>
      <w:r>
        <w:rPr>
          <w:sz w:val="18"/>
          <w:szCs w:val="18"/>
        </w:rPr>
        <w:t>m zahraniční politiky česko-slovenské?</w:t>
      </w:r>
    </w:p>
    <w:p w:rsidR="00500724" w:rsidRDefault="00F30FB8">
      <w:pPr>
        <w:pStyle w:val="Zkladntext1"/>
        <w:shd w:val="clear" w:color="auto" w:fill="auto"/>
        <w:spacing w:line="180" w:lineRule="auto"/>
        <w:ind w:firstLine="340"/>
        <w:rPr>
          <w:sz w:val="18"/>
          <w:szCs w:val="18"/>
        </w:rPr>
      </w:pPr>
      <w:r>
        <w:rPr>
          <w:sz w:val="18"/>
          <w:szCs w:val="18"/>
        </w:rPr>
        <w:t>Opakuji: Uznávám naprosto odůvodněnost aneb řekněme raději pozadí onoho požadavku. Nemyslete si, že nevíme velmi dobře, jaké obtiže máji vaši odpovědní, aby udrželi lid v klidu a zabránili, aby ovoce propagandistickýc</w:t>
      </w:r>
      <w:r>
        <w:rPr>
          <w:sz w:val="18"/>
          <w:szCs w:val="18"/>
        </w:rPr>
        <w:t>h úskoků večerníků neuzrálo a nevedlo k činům, které by pak měly neblahé ná</w:t>
      </w:r>
      <w:r>
        <w:rPr>
          <w:sz w:val="18"/>
          <w:szCs w:val="18"/>
        </w:rPr>
        <w:softHyphen/>
        <w:t xml:space="preserve">sledky. Neračte také přehlédnouti jednu okolnost : Nemluvím teď o Vás osobně, musím-li to ještě zvláště podotknouti. Vaše noviny se teď na základě určitých vládních směrnic snaží, </w:t>
      </w:r>
      <w:r>
        <w:rPr>
          <w:sz w:val="18"/>
          <w:szCs w:val="18"/>
        </w:rPr>
        <w:t>uklidftovati a vyjasnit! podnebí, zkrátka opravit!, co se ještě opravit dá. Znáte-li průměrného čtenáře českých novin, tož snad uznáte, že drtivá většina konsumovala v nesmírném množství ony dvacetlhaléřové večerníky, o jejichž tendenci po celou dobu trván</w:t>
      </w:r>
      <w:r>
        <w:rPr>
          <w:sz w:val="18"/>
          <w:szCs w:val="18"/>
        </w:rPr>
        <w:t>í ČSR se nechci dále rozšiřovati. Zprávy tam podané a mentalita jimi zprostředkovaná během těch dvaceti let tak utkvěla v mysli oněch čtenářů, že dnes náhlý obrat ve způsobu psaní zkrátka nechápou a odvozují si z toho vše možné. Vrstva těch, kteři se snaži</w:t>
      </w:r>
      <w:r>
        <w:rPr>
          <w:sz w:val="18"/>
          <w:szCs w:val="18"/>
        </w:rPr>
        <w:t>li, vniknoutl do argumen</w:t>
      </w:r>
      <w:r>
        <w:rPr>
          <w:sz w:val="18"/>
          <w:szCs w:val="18"/>
        </w:rPr>
        <w:softHyphen/>
        <w:t xml:space="preserve">tace i alterae </w:t>
      </w:r>
      <w:r>
        <w:rPr>
          <w:sz w:val="18"/>
          <w:szCs w:val="18"/>
          <w:lang w:val="en-US" w:eastAsia="en-US" w:bidi="en-US"/>
        </w:rPr>
        <w:t xml:space="preserve">partis </w:t>
      </w:r>
      <w:r>
        <w:rPr>
          <w:sz w:val="18"/>
          <w:szCs w:val="18"/>
        </w:rPr>
        <w:t>a to čtením novin cizojazyčných byla a Bohužel i jest tak úžasně teňounká, že postrádá veškerého rozhodujícího vlivu.</w:t>
      </w:r>
    </w:p>
    <w:p w:rsidR="00500724" w:rsidRDefault="00F30FB8">
      <w:pPr>
        <w:pStyle w:val="Zkladntext1"/>
        <w:shd w:val="clear" w:color="auto" w:fill="auto"/>
        <w:spacing w:line="180" w:lineRule="auto"/>
        <w:ind w:firstLine="340"/>
        <w:rPr>
          <w:sz w:val="18"/>
          <w:szCs w:val="18"/>
        </w:rPr>
      </w:pPr>
      <w:r>
        <w:rPr>
          <w:sz w:val="18"/>
          <w:szCs w:val="18"/>
        </w:rPr>
        <w:t>Nechť si pán S. též uvědomí, jak dlouho nám byl odepřen veškerý politický úspěch! Na základ</w:t>
      </w:r>
      <w:r>
        <w:rPr>
          <w:sz w:val="18"/>
          <w:szCs w:val="18"/>
        </w:rPr>
        <w:t>ě čeho tedy toto naléhání? Budiž ujištěn, že i my naprosto chápeme, že v politickém sou</w:t>
      </w:r>
      <w:r>
        <w:rPr>
          <w:sz w:val="18"/>
          <w:szCs w:val="18"/>
        </w:rPr>
        <w:softHyphen/>
        <w:t>žití základ veškeré sympatie je hmotný zisk a nikoliv pouhé uznání slovy a že jsme přesvědčeni, že — vyvinou-li se poměry skutečně ve směru společné pospolitosti — i on</w:t>
      </w:r>
      <w:r>
        <w:rPr>
          <w:sz w:val="18"/>
          <w:szCs w:val="18"/>
        </w:rPr>
        <w:t>y vyreklamo- vané politické úspěchy přijdou. Vždyť sami o sobě tvrdite, že jste realisté: Zůstaňte tedy přece realisty i v tom ohledu!</w:t>
      </w:r>
    </w:p>
    <w:p w:rsidR="00500724" w:rsidRDefault="00F30FB8">
      <w:pPr>
        <w:pStyle w:val="Zkladntext1"/>
        <w:shd w:val="clear" w:color="auto" w:fill="auto"/>
        <w:spacing w:line="180" w:lineRule="auto"/>
        <w:ind w:firstLine="280"/>
        <w:rPr>
          <w:sz w:val="18"/>
          <w:szCs w:val="18"/>
        </w:rPr>
      </w:pPr>
      <w:r>
        <w:rPr>
          <w:sz w:val="18"/>
          <w:szCs w:val="18"/>
        </w:rPr>
        <w:t>Nyní na konec ještě něk.olik slov o Vaši odpovědi pražské</w:t>
      </w:r>
      <w:r>
        <w:rPr>
          <w:sz w:val="18"/>
          <w:szCs w:val="18"/>
        </w:rPr>
        <w:softHyphen/>
        <w:t>mu studentu: Je samozřejmé, že Vaše vývody jsou skoro bez výjim</w:t>
      </w:r>
      <w:r>
        <w:rPr>
          <w:sz w:val="18"/>
          <w:szCs w:val="18"/>
        </w:rPr>
        <w:t>ky naprosto správné. Kdo hledá porozumění pro sebe a sám se snaží, je na druhé straně povzbuditi, musí co nej</w:t>
      </w:r>
      <w:r>
        <w:rPr>
          <w:sz w:val="18"/>
          <w:szCs w:val="18"/>
        </w:rPr>
        <w:softHyphen/>
        <w:t>pečlivěji i dbáti formy, kterou se to děje. Rány ještě nezaho- jené prohlubovat! (i když nejsou uznané za rány) určitě není správný způsob hojení.</w:t>
      </w:r>
      <w:r>
        <w:rPr>
          <w:sz w:val="18"/>
          <w:szCs w:val="18"/>
        </w:rPr>
        <w:t xml:space="preserve"> Pochopen může býti vždy jen ten, který snahy z druhé strany povzbuzuje formou šetrnou a taktní.</w:t>
      </w:r>
    </w:p>
    <w:p w:rsidR="00500724" w:rsidRDefault="00F30FB8">
      <w:pPr>
        <w:pStyle w:val="Zkladntext1"/>
        <w:shd w:val="clear" w:color="auto" w:fill="auto"/>
        <w:spacing w:line="180" w:lineRule="auto"/>
        <w:ind w:firstLine="280"/>
        <w:rPr>
          <w:sz w:val="18"/>
          <w:szCs w:val="18"/>
        </w:rPr>
      </w:pPr>
      <w:r>
        <w:rPr>
          <w:i/>
          <w:iCs/>
          <w:sz w:val="18"/>
          <w:szCs w:val="18"/>
        </w:rPr>
        <w:t>Ze</w:t>
      </w:r>
      <w:r>
        <w:rPr>
          <w:sz w:val="18"/>
          <w:szCs w:val="18"/>
        </w:rPr>
        <w:t xml:space="preserve"> naprosto nemáme v úmyslu, importovati Vám zásady národního socialismu, o tom můžete býti přesvědčen, avšak nikoliv z důvcsdů, které jste uvedl Vy, nýbrž jed</w:t>
      </w:r>
      <w:r>
        <w:rPr>
          <w:sz w:val="18"/>
          <w:szCs w:val="18"/>
        </w:rPr>
        <w:t>ině proto, že na rozdíl od domněnky vyslovené Vámi jsme si velmi dobře vědomi, že nemáme v národě českém před sebou pouze »oby- vatelé našeho životního prostoru*, nýbrž národ vysloveného svérázu a přirozené a zdravé vitality, jehož jsme za posledních desít</w:t>
      </w:r>
      <w:r>
        <w:rPr>
          <w:sz w:val="18"/>
          <w:szCs w:val="18"/>
        </w:rPr>
        <w:t>iletí velmi důkladně poznali. Národu českému chtít na- vštípiti vůdcovský princip by byl nesmysl, poněvadž — jak správně tvrdíte — veškerá vaše tradice jakož i historický vý</w:t>
      </w:r>
      <w:r>
        <w:rPr>
          <w:sz w:val="18"/>
          <w:szCs w:val="18"/>
        </w:rPr>
        <w:softHyphen/>
        <w:t>voj pobělohorský by tomu odporovali. Neni však vyloučené, že jednou i mezi vámi po</w:t>
      </w:r>
      <w:r>
        <w:rPr>
          <w:sz w:val="18"/>
          <w:szCs w:val="18"/>
        </w:rPr>
        <w:t>vstane muž tak silné osobitosti, že strhne sebou svůj národ a povede ho k lepši budoucnosti. To se však nikdy nemůže státi z cizího popudu. Rozhodně však popírám Váš názor, že by takový vývoj musel vésti k nové srážce mezi vámi a námi. Cožpak nechápete, že</w:t>
      </w:r>
      <w:r>
        <w:rPr>
          <w:sz w:val="18"/>
          <w:szCs w:val="18"/>
        </w:rPr>
        <w:t xml:space="preserve"> přirozený směr vývoje vašeho i našeho jde na východ? Nevystihli jste ohromnou kulturní úlohu, která vás, kteří jste přece nesporně nejinteligentnějši a nejpokročilejší část národů slovanských čeká? Že vaše dosávadní ryze západní orientace byla mylná, to j</w:t>
      </w:r>
      <w:r>
        <w:rPr>
          <w:sz w:val="18"/>
          <w:szCs w:val="18"/>
        </w:rPr>
        <w:t xml:space="preserve">ste snad </w:t>
      </w:r>
      <w:r>
        <w:rPr>
          <w:b/>
          <w:bCs/>
        </w:rPr>
        <w:t xml:space="preserve">v </w:t>
      </w:r>
      <w:r>
        <w:rPr>
          <w:sz w:val="18"/>
          <w:szCs w:val="18"/>
        </w:rPr>
        <w:t>poslední době poznali sami, či ne?</w:t>
      </w:r>
    </w:p>
    <w:p w:rsidR="00500724" w:rsidRDefault="00F30FB8">
      <w:pPr>
        <w:pStyle w:val="Zkladntext1"/>
        <w:shd w:val="clear" w:color="auto" w:fill="auto"/>
        <w:spacing w:line="182" w:lineRule="auto"/>
        <w:ind w:firstLine="340"/>
        <w:rPr>
          <w:sz w:val="18"/>
          <w:szCs w:val="18"/>
        </w:rPr>
      </w:pPr>
      <w:r>
        <w:rPr>
          <w:sz w:val="18"/>
          <w:szCs w:val="18"/>
        </w:rPr>
        <w:t>A co my nyní skutečně máme za úlohu? Při dnešní obou- strané nedůvěře vyzní následující slova skoro paradoxně: Chceme býti prostředníky, přípravce cesty do lepší budouc</w:t>
      </w:r>
      <w:r>
        <w:rPr>
          <w:sz w:val="18"/>
          <w:szCs w:val="18"/>
        </w:rPr>
        <w:softHyphen/>
      </w:r>
      <w:r>
        <w:rPr>
          <w:sz w:val="18"/>
          <w:szCs w:val="18"/>
        </w:rPr>
        <w:t xml:space="preserve">nosti obou národů, kteří tisíciletými dějinami jsou odkázáni na společný životní prostor. </w:t>
      </w:r>
      <w:r>
        <w:rPr>
          <w:b/>
          <w:bCs/>
        </w:rPr>
        <w:t xml:space="preserve">A </w:t>
      </w:r>
      <w:r>
        <w:rPr>
          <w:sz w:val="18"/>
          <w:szCs w:val="18"/>
        </w:rPr>
        <w:t xml:space="preserve">věříme pevně a neoblomně, že jsme osudem k této úloze povoláni. Snad </w:t>
      </w:r>
      <w:r>
        <w:rPr>
          <w:b/>
          <w:bCs/>
        </w:rPr>
        <w:t xml:space="preserve">v </w:t>
      </w:r>
      <w:r>
        <w:rPr>
          <w:sz w:val="18"/>
          <w:szCs w:val="18"/>
        </w:rPr>
        <w:t>dohledné době se vám naskytne příležitost se přesvědčit!, že náš úmysl, splnit! toto svoje po</w:t>
      </w:r>
      <w:r>
        <w:rPr>
          <w:sz w:val="18"/>
          <w:szCs w:val="18"/>
        </w:rPr>
        <w:t>slání je poctivý. Když jednou nastanou doby, kdy ovzduší rozeštvanosti a národní nenávisti bude rekvisitem neblahé minulosti, přece snad jen přijde chvíle;, kdy si oba ná</w:t>
      </w:r>
      <w:r>
        <w:rPr>
          <w:sz w:val="18"/>
          <w:szCs w:val="18"/>
        </w:rPr>
        <w:softHyphen/>
        <w:t>rody upřímně podají ruce ku společnému dílů. Musím se Vás snad ještě ptáti, zda souhl</w:t>
      </w:r>
      <w:r>
        <w:rPr>
          <w:sz w:val="18"/>
          <w:szCs w:val="18"/>
        </w:rPr>
        <w:t>asíte tím myšlenkovým postupem?</w:t>
      </w:r>
    </w:p>
    <w:p w:rsidR="00500724" w:rsidRDefault="00F30FB8">
      <w:pPr>
        <w:pStyle w:val="Zkladntext1"/>
        <w:shd w:val="clear" w:color="auto" w:fill="auto"/>
        <w:spacing w:after="80" w:line="180" w:lineRule="auto"/>
        <w:ind w:firstLine="280"/>
        <w:rPr>
          <w:sz w:val="18"/>
          <w:szCs w:val="18"/>
        </w:rPr>
      </w:pPr>
      <w:r>
        <w:rPr>
          <w:sz w:val="18"/>
          <w:szCs w:val="18"/>
        </w:rPr>
        <w:t xml:space="preserve">Doufám, že mi prominete pravopisné chyby a germanismy. Snad i přes tyto chyby vycítíte snahu přispěti a vysvětliti. Upřímně by mne těšilo, kdybych u Vás našel to pochopení, na které apeluji. Snad se i jednou poskytne </w:t>
      </w:r>
      <w:r>
        <w:rPr>
          <w:sz w:val="18"/>
          <w:szCs w:val="18"/>
        </w:rPr>
        <w:t>příležitost ku pokračování ve vzájemné výměně názorů.</w:t>
      </w:r>
    </w:p>
    <w:p w:rsidR="00500724" w:rsidRDefault="00F30FB8">
      <w:pPr>
        <w:pStyle w:val="Zkladntext1"/>
        <w:shd w:val="clear" w:color="auto" w:fill="auto"/>
        <w:tabs>
          <w:tab w:val="left" w:pos="4164"/>
        </w:tabs>
        <w:spacing w:after="60" w:line="163" w:lineRule="auto"/>
        <w:ind w:left="1380" w:firstLine="0"/>
        <w:rPr>
          <w:sz w:val="20"/>
          <w:szCs w:val="20"/>
        </w:rPr>
      </w:pPr>
      <w:r>
        <w:rPr>
          <w:sz w:val="20"/>
          <w:szCs w:val="20"/>
        </w:rPr>
        <w:t>Zdraví Vás</w:t>
      </w:r>
      <w:r>
        <w:rPr>
          <w:sz w:val="20"/>
          <w:szCs w:val="20"/>
        </w:rPr>
        <w:tab/>
      </w:r>
      <w:r>
        <w:rPr>
          <w:b/>
          <w:bCs/>
          <w:i/>
          <w:iCs/>
          <w:sz w:val="20"/>
          <w:szCs w:val="20"/>
        </w:rPr>
        <w:t>Ing. F. E.</w:t>
      </w:r>
    </w:p>
    <w:p w:rsidR="00500724" w:rsidRDefault="00F30FB8">
      <w:pPr>
        <w:pStyle w:val="Zkladntext1"/>
        <w:shd w:val="clear" w:color="auto" w:fill="auto"/>
        <w:spacing w:after="80" w:line="180" w:lineRule="auto"/>
        <w:ind w:firstLine="0"/>
        <w:jc w:val="center"/>
        <w:rPr>
          <w:sz w:val="18"/>
          <w:szCs w:val="18"/>
        </w:rPr>
      </w:pPr>
      <w:r>
        <w:rPr>
          <w:sz w:val="18"/>
          <w:szCs w:val="18"/>
        </w:rPr>
        <w:t>8!</w:t>
      </w:r>
    </w:p>
    <w:p w:rsidR="00500724" w:rsidRDefault="00F30FB8">
      <w:pPr>
        <w:pStyle w:val="Zkladntext1"/>
        <w:shd w:val="clear" w:color="auto" w:fill="auto"/>
        <w:spacing w:after="80" w:line="170" w:lineRule="auto"/>
        <w:ind w:firstLine="0"/>
        <w:jc w:val="center"/>
      </w:pPr>
      <w:r>
        <w:rPr>
          <w:b/>
          <w:bCs/>
        </w:rPr>
        <w:t>Mladí vpřed!</w:t>
      </w:r>
    </w:p>
    <w:p w:rsidR="00500724" w:rsidRDefault="00F30FB8">
      <w:pPr>
        <w:pStyle w:val="Zkladntext1"/>
        <w:shd w:val="clear" w:color="auto" w:fill="auto"/>
        <w:spacing w:after="60" w:line="180" w:lineRule="auto"/>
        <w:ind w:left="1180" w:firstLine="0"/>
        <w:jc w:val="left"/>
        <w:rPr>
          <w:sz w:val="18"/>
          <w:szCs w:val="18"/>
        </w:rPr>
      </w:pPr>
      <w:r>
        <w:rPr>
          <w:sz w:val="18"/>
          <w:szCs w:val="18"/>
        </w:rPr>
        <w:t>Vážená redakce!</w:t>
      </w:r>
    </w:p>
    <w:p w:rsidR="00500724" w:rsidRDefault="00F30FB8">
      <w:pPr>
        <w:pStyle w:val="Zkladntext1"/>
        <w:shd w:val="clear" w:color="auto" w:fill="auto"/>
        <w:spacing w:line="180" w:lineRule="auto"/>
        <w:ind w:firstLine="280"/>
        <w:rPr>
          <w:sz w:val="18"/>
          <w:szCs w:val="18"/>
        </w:rPr>
      </w:pPr>
      <w:r>
        <w:rPr>
          <w:sz w:val="18"/>
          <w:szCs w:val="18"/>
        </w:rPr>
        <w:t>Myslím, že jsme skoro všichni mládi pocítili článek M. Je</w:t>
      </w:r>
      <w:r>
        <w:rPr>
          <w:sz w:val="18"/>
          <w:szCs w:val="18"/>
        </w:rPr>
        <w:softHyphen/>
        <w:t>senské ve 4. č. ^Přítomnosti* jako bolestnou křivdu. Kdo jsou ti » mladí*, po nichž se dne</w:t>
      </w:r>
      <w:r>
        <w:rPr>
          <w:sz w:val="18"/>
          <w:szCs w:val="18"/>
        </w:rPr>
        <w:t xml:space="preserve">s na všech stranách volá? Čím jsme se to provinili, že jsme všichni nemilosrdně vrženi na jedno místo k p. B. Fučíkovi </w:t>
      </w:r>
      <w:r>
        <w:rPr>
          <w:sz w:val="18"/>
          <w:szCs w:val="18"/>
          <w:lang w:val="en-US" w:eastAsia="en-US" w:bidi="en-US"/>
        </w:rPr>
        <w:t xml:space="preserve">a spot? </w:t>
      </w:r>
      <w:r>
        <w:rPr>
          <w:sz w:val="18"/>
          <w:szCs w:val="18"/>
        </w:rPr>
        <w:t>Že jsme mlčeli — my malí .(neboť »mladí* jsou asi lidé až od dvaceti let) mezi velkými?</w:t>
      </w:r>
    </w:p>
    <w:p w:rsidR="00500724" w:rsidRDefault="00F30FB8">
      <w:pPr>
        <w:pStyle w:val="Zkladntext1"/>
        <w:shd w:val="clear" w:color="auto" w:fill="auto"/>
        <w:spacing w:line="180" w:lineRule="auto"/>
        <w:ind w:firstLine="280"/>
        <w:rPr>
          <w:sz w:val="18"/>
          <w:szCs w:val="18"/>
        </w:rPr>
      </w:pPr>
      <w:r>
        <w:rPr>
          <w:sz w:val="18"/>
          <w:szCs w:val="18"/>
        </w:rPr>
        <w:t xml:space="preserve">Vzali jste nám, ještě dětem, víru — </w:t>
      </w:r>
      <w:r>
        <w:rPr>
          <w:b/>
          <w:bCs/>
        </w:rPr>
        <w:t xml:space="preserve">a </w:t>
      </w:r>
      <w:r>
        <w:rPr>
          <w:sz w:val="18"/>
          <w:szCs w:val="18"/>
        </w:rPr>
        <w:t>chc</w:t>
      </w:r>
      <w:r>
        <w:rPr>
          <w:sz w:val="18"/>
          <w:szCs w:val="18"/>
        </w:rPr>
        <w:t>ete, abychom vě</w:t>
      </w:r>
      <w:r>
        <w:rPr>
          <w:sz w:val="18"/>
          <w:szCs w:val="18"/>
        </w:rPr>
        <w:softHyphen/>
        <w:t xml:space="preserve">řili. Dali jste nám poznat Masaryka — </w:t>
      </w:r>
      <w:r>
        <w:rPr>
          <w:b/>
          <w:bCs/>
        </w:rPr>
        <w:t xml:space="preserve">a </w:t>
      </w:r>
      <w:r>
        <w:rPr>
          <w:sz w:val="18"/>
          <w:szCs w:val="18"/>
        </w:rPr>
        <w:t xml:space="preserve">pak jste ho hanobili. Učili jste nás o rovném právu žen — </w:t>
      </w:r>
      <w:r>
        <w:rPr>
          <w:b/>
          <w:bCs/>
        </w:rPr>
        <w:t xml:space="preserve">a </w:t>
      </w:r>
      <w:r>
        <w:rPr>
          <w:sz w:val="18"/>
          <w:szCs w:val="18"/>
        </w:rPr>
        <w:t>pak jste nám, vy velcí, vyprávěli o jejich jediném úkolu — ^mateřském štěstí*. Na</w:t>
      </w:r>
      <w:r>
        <w:rPr>
          <w:sz w:val="18"/>
          <w:szCs w:val="18"/>
        </w:rPr>
        <w:softHyphen/>
        <w:t>učili jste nás mnoha krásným ideám — a pak jste vše najedn</w:t>
      </w:r>
      <w:r>
        <w:rPr>
          <w:sz w:val="18"/>
          <w:szCs w:val="18"/>
        </w:rPr>
        <w:t>ou vyvrátili. A teď chcete, abychom mluvili? Byla zlomena naše důvěra ve vás velké a silné. Mlčíme před vámi. Ale to nezna</w:t>
      </w:r>
      <w:r>
        <w:rPr>
          <w:sz w:val="18"/>
          <w:szCs w:val="18"/>
        </w:rPr>
        <w:softHyphen/>
        <w:t>mená, že souhlasíme. Jsme jenom věrni v sobě tomu, čemu jste nás učili, dokud jste nám byli blíže. Jsme ještě příliš ne</w:t>
      </w:r>
      <w:r>
        <w:rPr>
          <w:sz w:val="18"/>
          <w:szCs w:val="18"/>
        </w:rPr>
        <w:softHyphen/>
        <w:t>zkušení, abyc</w:t>
      </w:r>
      <w:r>
        <w:rPr>
          <w:sz w:val="18"/>
          <w:szCs w:val="18"/>
        </w:rPr>
        <w:t>hom se uměli tak rychle změnit. — Víme, že 1 mezi vámi velkými jsou ti, kdo zůstávají. Ale ti pak jsou věčně mladí, nikdy nestárnoucí.</w:t>
      </w:r>
    </w:p>
    <w:p w:rsidR="00500724" w:rsidRDefault="00F30FB8">
      <w:pPr>
        <w:pStyle w:val="Zkladntext1"/>
        <w:shd w:val="clear" w:color="auto" w:fill="auto"/>
        <w:spacing w:line="180" w:lineRule="auto"/>
        <w:ind w:firstLine="280"/>
        <w:rPr>
          <w:sz w:val="18"/>
          <w:szCs w:val="18"/>
        </w:rPr>
      </w:pPr>
      <w:r>
        <w:rPr>
          <w:sz w:val="18"/>
          <w:szCs w:val="18"/>
        </w:rPr>
        <w:t xml:space="preserve">Tím méně jsme se nadáli výtky Vaši, paní Mileno Jesenská, o které jsme věřili, že nám rozumí. Podle čeho tak přísně </w:t>
      </w:r>
      <w:r>
        <w:rPr>
          <w:b/>
          <w:bCs/>
        </w:rPr>
        <w:t xml:space="preserve">a' </w:t>
      </w:r>
      <w:r>
        <w:rPr>
          <w:sz w:val="18"/>
          <w:szCs w:val="18"/>
        </w:rPr>
        <w:t>neprávem soudíte, že »mladí hodnotí jinak zralé výkony* atd.? Což není nic plátno, že nejen sami mezi sebou, ale i na' příklad ve Studentském časopise kolegové ze Slovenska vo</w:t>
      </w:r>
      <w:r>
        <w:rPr>
          <w:sz w:val="18"/>
          <w:szCs w:val="18"/>
        </w:rPr>
        <w:softHyphen/>
        <w:t>lají po návratu českých profesorů (dopis č. 178 a j.), že se ozýváme proti propo</w:t>
      </w:r>
      <w:r>
        <w:rPr>
          <w:sz w:val="18"/>
          <w:szCs w:val="18"/>
        </w:rPr>
        <w:t xml:space="preserve">uštění vdaných žen (zvi. dopisy v 3. čísle), že plně hodnotíme umělecké dílo všech věkově starších, že </w:t>
      </w:r>
      <w:r>
        <w:rPr>
          <w:b/>
          <w:bCs/>
        </w:rPr>
        <w:t xml:space="preserve">sl </w:t>
      </w:r>
      <w:r>
        <w:rPr>
          <w:sz w:val="18"/>
          <w:szCs w:val="18"/>
        </w:rPr>
        <w:t>jich velmi vážíme a že často přísnějším měřítkem posuzujeme výkon »mladých«, které bychom snad měli naopak hodně po</w:t>
      </w:r>
      <w:r>
        <w:rPr>
          <w:sz w:val="18"/>
          <w:szCs w:val="18"/>
        </w:rPr>
        <w:softHyphen/>
        <w:t>vzbuzovat, než výkon starších? (Na</w:t>
      </w:r>
      <w:r>
        <w:rPr>
          <w:sz w:val="18"/>
          <w:szCs w:val="18"/>
        </w:rPr>
        <w:t xml:space="preserve"> příklad divadelní i ostatní referáty, dopisy, recense atd., které píší vesměs věkem nej- mladši.) Slyšela jste nás někdy, paní Mileno Jesenská, stě</w:t>
      </w:r>
      <w:r>
        <w:rPr>
          <w:sz w:val="18"/>
          <w:szCs w:val="18"/>
        </w:rPr>
        <w:softHyphen/>
        <w:t>žovat si na »přesloužilost« umělců? Myslíte, že bychom je lehce ztráceli? Což věříte, že naše mládí je o to</w:t>
      </w:r>
      <w:r>
        <w:rPr>
          <w:sz w:val="18"/>
          <w:szCs w:val="18"/>
        </w:rPr>
        <w:t>lik jiné, než bylo Vaše?</w:t>
      </w:r>
    </w:p>
    <w:p w:rsidR="00500724" w:rsidRDefault="00F30FB8">
      <w:pPr>
        <w:pStyle w:val="Zkladntext1"/>
        <w:shd w:val="clear" w:color="auto" w:fill="auto"/>
        <w:spacing w:line="180" w:lineRule="auto"/>
        <w:ind w:firstLine="180"/>
        <w:rPr>
          <w:sz w:val="18"/>
          <w:szCs w:val="18"/>
        </w:rPr>
      </w:pPr>
      <w:r>
        <w:rPr>
          <w:sz w:val="18"/>
          <w:szCs w:val="18"/>
        </w:rPr>
        <w:t>Ovšem, možná, že vůbec nemám právo mluvit, neboť my, středoškolští studenti, snad opravdu ještě nejsme mladými lidmi a nesmíme se k nim tedy hlásit. A s dětmi, za které nás máte, se obyčejně o vážných věcech nemluvívá. — Odpusťte m</w:t>
      </w:r>
      <w:r>
        <w:rPr>
          <w:sz w:val="18"/>
          <w:szCs w:val="18"/>
        </w:rPr>
        <w:t>i. Ale mluvím upřímně.</w:t>
      </w:r>
    </w:p>
    <w:p w:rsidR="00500724" w:rsidRDefault="00F30FB8">
      <w:pPr>
        <w:pStyle w:val="Zkladntext1"/>
        <w:shd w:val="clear" w:color="auto" w:fill="auto"/>
        <w:spacing w:after="260" w:line="163" w:lineRule="auto"/>
        <w:ind w:firstLine="0"/>
        <w:jc w:val="right"/>
        <w:rPr>
          <w:sz w:val="20"/>
          <w:szCs w:val="20"/>
        </w:rPr>
      </w:pPr>
      <w:r>
        <w:rPr>
          <w:b/>
          <w:bCs/>
          <w:i/>
          <w:iCs/>
          <w:sz w:val="20"/>
          <w:szCs w:val="20"/>
        </w:rPr>
        <w:t>A. L., VII. Rg. *Krásnohorská&lt;</w:t>
      </w:r>
    </w:p>
    <w:p w:rsidR="00500724" w:rsidRDefault="00F30FB8">
      <w:pPr>
        <w:pStyle w:val="Jin0"/>
        <w:shd w:val="clear" w:color="auto" w:fill="auto"/>
        <w:spacing w:after="200"/>
        <w:ind w:firstLine="0"/>
        <w:jc w:val="left"/>
        <w:rPr>
          <w:sz w:val="38"/>
          <w:szCs w:val="38"/>
        </w:rPr>
      </w:pPr>
      <w:r>
        <w:rPr>
          <w:rFonts w:ascii="Arial" w:eastAsia="Arial" w:hAnsi="Arial" w:cs="Arial"/>
          <w:b/>
          <w:bCs/>
          <w:sz w:val="38"/>
          <w:szCs w:val="38"/>
          <w:u w:val="single"/>
        </w:rPr>
        <w:t>listárna redakce</w:t>
      </w:r>
    </w:p>
    <w:p w:rsidR="00500724" w:rsidRDefault="00F30FB8">
      <w:pPr>
        <w:pStyle w:val="Zkladntext1"/>
        <w:shd w:val="clear" w:color="auto" w:fill="auto"/>
        <w:spacing w:line="180" w:lineRule="auto"/>
        <w:ind w:firstLine="280"/>
        <w:rPr>
          <w:sz w:val="18"/>
          <w:szCs w:val="18"/>
        </w:rPr>
      </w:pPr>
      <w:r>
        <w:rPr>
          <w:sz w:val="18"/>
          <w:szCs w:val="18"/>
        </w:rPr>
        <w:t>Co je to peáž? Převraty ve společenském nebo státním zří</w:t>
      </w:r>
      <w:r>
        <w:rPr>
          <w:sz w:val="18"/>
          <w:szCs w:val="18"/>
        </w:rPr>
        <w:softHyphen/>
        <w:t>zení někdy uvedou v širokou známost odborný termín, užívaný, do té doby jen vědeckými pracovníky nebo specialisty v někte</w:t>
      </w:r>
      <w:r>
        <w:rPr>
          <w:sz w:val="18"/>
          <w:szCs w:val="18"/>
        </w:rPr>
        <w:softHyphen/>
        <w:t xml:space="preserve">rém </w:t>
      </w:r>
      <w:r>
        <w:rPr>
          <w:sz w:val="18"/>
          <w:szCs w:val="18"/>
        </w:rPr>
        <w:t>zvláštním oboru lidské práce. Jako válka a doba pováleč</w:t>
      </w:r>
      <w:r>
        <w:rPr>
          <w:sz w:val="18"/>
          <w:szCs w:val="18"/>
        </w:rPr>
        <w:softHyphen/>
        <w:t>ná seznámila kdekoho na příklad s významem slov »valuta«, »devalvace« a »inflace«, tak slovo, které se nyní u nás často v novinách vyskytuje, je »peáž«. Lidé vědí, že je to něco, co souvisí se železni</w:t>
      </w:r>
      <w:r>
        <w:rPr>
          <w:sz w:val="18"/>
          <w:szCs w:val="18"/>
        </w:rPr>
        <w:t>ční dopravou v území připojeném k říši, ale jde o to, aby smysl tohoto slova, jež asi tak hned z běžného užíváni nevymizí, byl znám trochu přesněji.</w:t>
      </w:r>
    </w:p>
    <w:p w:rsidR="00500724" w:rsidRDefault="00F30FB8">
      <w:pPr>
        <w:pStyle w:val="Zkladntext1"/>
        <w:shd w:val="clear" w:color="auto" w:fill="auto"/>
        <w:spacing w:line="180" w:lineRule="auto"/>
        <w:ind w:firstLine="280"/>
        <w:rPr>
          <w:sz w:val="18"/>
          <w:szCs w:val="18"/>
        </w:rPr>
        <w:sectPr w:rsidR="00500724">
          <w:footnotePr>
            <w:numFmt w:val="chicago"/>
            <w:numRestart w:val="eachPage"/>
          </w:footnotePr>
          <w:pgSz w:w="11909" w:h="16834"/>
          <w:pgMar w:top="1094" w:right="892" w:bottom="286" w:left="593" w:header="0" w:footer="3" w:gutter="0"/>
          <w:cols w:num="2" w:space="100"/>
          <w:noEndnote/>
          <w:docGrid w:linePitch="360"/>
        </w:sectPr>
      </w:pPr>
      <w:r>
        <w:rPr>
          <w:sz w:val="18"/>
          <w:szCs w:val="18"/>
        </w:rPr>
        <w:t>Železniční peáží nazýváme dopravu vlaků jedné železniční správy po trati jiné ž</w:t>
      </w:r>
      <w:r>
        <w:rPr>
          <w:sz w:val="18"/>
          <w:szCs w:val="18"/>
        </w:rPr>
        <w:t>elezniční správy, při čemž železniční správa vlak provozující (peážující), nemá tuto trať ani ve vlastnictví, ani v nájmu. Železniční správa vlak provozující používá pro jeho dopravu po cizí trati vlastních strojů a va</w:t>
      </w:r>
      <w:r>
        <w:rPr>
          <w:sz w:val="18"/>
          <w:szCs w:val="18"/>
        </w:rPr>
        <w:softHyphen/>
        <w:t>gonů a doprovází jej vlastním personá</w:t>
      </w:r>
      <w:r>
        <w:rPr>
          <w:sz w:val="18"/>
          <w:szCs w:val="18"/>
        </w:rPr>
        <w:t xml:space="preserve">lem. Železniční peáž tedy může vésti po území vlastního státu i po cizím státním území. Pakliže v tomto druhém případě pro přepravu cestujících </w:t>
      </w:r>
      <w:r>
        <w:rPr>
          <w:b/>
          <w:bCs/>
        </w:rPr>
        <w:t xml:space="preserve">a </w:t>
      </w:r>
      <w:r>
        <w:rPr>
          <w:sz w:val="18"/>
          <w:szCs w:val="18"/>
        </w:rPr>
        <w:t xml:space="preserve">zboží, přepravovaných peážující železnicí přes cizí státní území, povolí stát, jehož územím se projíždí (stát </w:t>
      </w:r>
      <w:r>
        <w:rPr>
          <w:sz w:val="18"/>
          <w:szCs w:val="18"/>
        </w:rPr>
        <w:t>peážovaný) úlevy, spočívající v tom, že cestující a zboží, přepravené v peážních vlacích, nepodléhají ani při přestupu hranice, ani za přepravy po cizím státním území celní, pasové a veterinární kontrole, tu mluvíme o peáži privilegované. Jak slovo peáž sa</w:t>
      </w:r>
      <w:r>
        <w:rPr>
          <w:sz w:val="18"/>
          <w:szCs w:val="18"/>
        </w:rPr>
        <w:t>mo vzniklo, nepodařilo se nám ještě zjistit!.</w:t>
      </w:r>
    </w:p>
    <w:p w:rsidR="00500724" w:rsidRDefault="00F30FB8">
      <w:pPr>
        <w:pStyle w:val="Zkladntext1"/>
        <w:framePr w:w="283" w:h="245" w:wrap="none" w:vAnchor="text" w:hAnchor="page" w:x="642" w:y="21"/>
        <w:shd w:val="clear" w:color="auto" w:fill="auto"/>
        <w:ind w:firstLine="0"/>
        <w:jc w:val="left"/>
        <w:rPr>
          <w:sz w:val="18"/>
          <w:szCs w:val="18"/>
        </w:rPr>
      </w:pPr>
      <w:r>
        <w:rPr>
          <w:i/>
          <w:iCs/>
          <w:sz w:val="18"/>
          <w:szCs w:val="18"/>
        </w:rPr>
        <w:t>tít</w:t>
      </w:r>
    </w:p>
    <w:p w:rsidR="00500724" w:rsidRDefault="00500724">
      <w:pPr>
        <w:spacing w:after="231" w:line="14" w:lineRule="exact"/>
      </w:pPr>
    </w:p>
    <w:p w:rsidR="00500724" w:rsidRDefault="00500724">
      <w:pPr>
        <w:spacing w:line="14" w:lineRule="exact"/>
        <w:sectPr w:rsidR="00500724">
          <w:footnotePr>
            <w:numFmt w:val="chicago"/>
            <w:numRestart w:val="eachPage"/>
          </w:footnotePr>
          <w:type w:val="continuous"/>
          <w:pgSz w:w="11909" w:h="16834"/>
          <w:pgMar w:top="1582" w:right="977" w:bottom="585" w:left="545" w:header="0" w:footer="3" w:gutter="0"/>
          <w:cols w:space="720"/>
          <w:noEndnote/>
          <w:docGrid w:linePitch="360"/>
        </w:sectPr>
      </w:pPr>
    </w:p>
    <w:p w:rsidR="00500724" w:rsidRDefault="00F30FB8">
      <w:pPr>
        <w:pStyle w:val="Nadpis50"/>
        <w:keepNext/>
        <w:keepLines/>
        <w:framePr w:w="7205" w:h="1738" w:wrap="none" w:vAnchor="text" w:hAnchor="page" w:x="3452" w:y="169"/>
        <w:shd w:val="clear" w:color="auto" w:fill="auto"/>
      </w:pPr>
      <w:bookmarkStart w:id="173" w:name="bookmark172"/>
      <w:r>
        <w:t>vět knih</w:t>
      </w:r>
      <w:bookmarkEnd w:id="173"/>
    </w:p>
    <w:p w:rsidR="00500724" w:rsidRDefault="00F30FB8">
      <w:pPr>
        <w:pStyle w:val="Nadpis90"/>
        <w:keepNext/>
        <w:keepLines/>
        <w:framePr w:w="7440" w:h="523" w:wrap="none" w:vAnchor="text" w:hAnchor="page" w:x="3246" w:y="1907"/>
        <w:shd w:val="clear" w:color="auto" w:fill="auto"/>
        <w:spacing w:after="0"/>
        <w:rPr>
          <w:sz w:val="42"/>
          <w:szCs w:val="42"/>
        </w:rPr>
      </w:pPr>
      <w:bookmarkStart w:id="174" w:name="bookmark173"/>
      <w:r>
        <w:rPr>
          <w:b/>
          <w:bCs/>
          <w:sz w:val="34"/>
          <w:szCs w:val="34"/>
        </w:rPr>
        <w:t xml:space="preserve">KULTURNÍ </w:t>
      </w:r>
      <w:r>
        <w:rPr>
          <w:smallCaps/>
          <w:sz w:val="42"/>
          <w:szCs w:val="42"/>
        </w:rPr>
        <w:t>zpravodaj</w:t>
      </w:r>
      <w:bookmarkEnd w:id="174"/>
    </w:p>
    <w:p w:rsidR="00500724" w:rsidRDefault="00F30FB8">
      <w:pPr>
        <w:pStyle w:val="Jin0"/>
        <w:framePr w:w="422" w:h="1613" w:wrap="none" w:vAnchor="text" w:hAnchor="page" w:x="10964" w:y="21"/>
        <w:shd w:val="clear" w:color="auto" w:fill="auto"/>
        <w:ind w:firstLine="0"/>
        <w:jc w:val="left"/>
      </w:pPr>
      <w:r>
        <w:rPr>
          <w:rFonts w:ascii="Courier New" w:eastAsia="Courier New" w:hAnsi="Courier New" w:cs="Courier New"/>
        </w:rPr>
        <w:t>©</w:t>
      </w:r>
    </w:p>
    <w:p w:rsidR="00500724" w:rsidRDefault="00F30FB8">
      <w:pPr>
        <w:pStyle w:val="Jin0"/>
        <w:framePr w:w="422" w:h="1613" w:wrap="none" w:vAnchor="text" w:hAnchor="page" w:x="10964" w:y="21"/>
        <w:shd w:val="clear" w:color="auto" w:fill="auto"/>
        <w:spacing w:after="240" w:line="197" w:lineRule="auto"/>
        <w:ind w:firstLine="0"/>
        <w:jc w:val="left"/>
      </w:pPr>
      <w:r>
        <w:rPr>
          <w:rFonts w:ascii="Courier New" w:eastAsia="Courier New" w:hAnsi="Courier New" w:cs="Courier New"/>
        </w:rPr>
        <w:t>©&lt;</w:t>
      </w:r>
    </w:p>
    <w:p w:rsidR="00500724" w:rsidRDefault="00F30FB8">
      <w:pPr>
        <w:pStyle w:val="Jin0"/>
        <w:framePr w:w="422" w:h="1613" w:wrap="none" w:vAnchor="text" w:hAnchor="page" w:x="10964" w:y="21"/>
        <w:shd w:val="clear" w:color="auto" w:fill="auto"/>
        <w:spacing w:after="60"/>
        <w:ind w:firstLine="0"/>
        <w:jc w:val="left"/>
        <w:rPr>
          <w:sz w:val="34"/>
          <w:szCs w:val="34"/>
        </w:rPr>
      </w:pPr>
      <w:r>
        <w:rPr>
          <w:sz w:val="34"/>
          <w:szCs w:val="34"/>
        </w:rPr>
        <w:t>n&lt;</w:t>
      </w:r>
    </w:p>
    <w:p w:rsidR="00500724" w:rsidRDefault="00F30FB8">
      <w:pPr>
        <w:pStyle w:val="Zkladntext40"/>
        <w:framePr w:w="422" w:h="1613" w:wrap="none" w:vAnchor="text" w:hAnchor="page" w:x="10964" w:y="21"/>
        <w:shd w:val="clear" w:color="auto" w:fill="auto"/>
        <w:spacing w:after="100" w:line="240" w:lineRule="auto"/>
        <w:jc w:val="left"/>
      </w:pPr>
      <w:r>
        <w:t>tfl</w:t>
      </w:r>
    </w:p>
    <w:p w:rsidR="00500724" w:rsidRDefault="00F30FB8">
      <w:pPr>
        <w:pStyle w:val="Jin0"/>
        <w:framePr w:w="422" w:h="1613" w:wrap="none" w:vAnchor="text" w:hAnchor="page" w:x="10964" w:y="21"/>
        <w:shd w:val="clear" w:color="auto" w:fill="auto"/>
        <w:spacing w:after="100"/>
        <w:ind w:firstLine="0"/>
        <w:jc w:val="left"/>
      </w:pPr>
      <w:r>
        <w:rPr>
          <w:rFonts w:ascii="Courier New" w:eastAsia="Courier New" w:hAnsi="Courier New" w:cs="Courier New"/>
        </w:rPr>
        <w:t>©</w:t>
      </w:r>
    </w:p>
    <w:p w:rsidR="00500724" w:rsidRDefault="00500724">
      <w:pPr>
        <w:spacing w:after="68" w:line="14" w:lineRule="exact"/>
      </w:pPr>
    </w:p>
    <w:p w:rsidR="00500724" w:rsidRDefault="00500724">
      <w:pPr>
        <w:spacing w:line="14" w:lineRule="exact"/>
        <w:sectPr w:rsidR="00500724">
          <w:footnotePr>
            <w:numFmt w:val="chicago"/>
            <w:numRestart w:val="eachPage"/>
          </w:footnotePr>
          <w:pgSz w:w="11909" w:h="16834"/>
          <w:pgMar w:top="3173" w:right="524" w:bottom="606" w:left="557" w:header="0" w:footer="3" w:gutter="0"/>
          <w:cols w:space="720"/>
          <w:noEndnote/>
          <w:docGrid w:linePitch="360"/>
        </w:sectPr>
      </w:pPr>
    </w:p>
    <w:p w:rsidR="00500724" w:rsidRDefault="00500724">
      <w:pPr>
        <w:spacing w:line="63" w:lineRule="exact"/>
        <w:rPr>
          <w:sz w:val="5"/>
          <w:szCs w:val="5"/>
        </w:rPr>
      </w:pPr>
    </w:p>
    <w:p w:rsidR="00500724" w:rsidRDefault="00500724">
      <w:pPr>
        <w:spacing w:line="14" w:lineRule="exact"/>
        <w:sectPr w:rsidR="00500724">
          <w:footnotePr>
            <w:numFmt w:val="chicago"/>
            <w:numRestart w:val="eachPage"/>
          </w:footnotePr>
          <w:type w:val="continuous"/>
          <w:pgSz w:w="11909" w:h="16834"/>
          <w:pgMar w:top="3073" w:right="0" w:bottom="606"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532" behindDoc="0" locked="0" layoutInCell="1" allowOverlap="1">
                <wp:simplePos x="0" y="0"/>
                <wp:positionH relativeFrom="page">
                  <wp:posOffset>2145665</wp:posOffset>
                </wp:positionH>
                <wp:positionV relativeFrom="paragraph">
                  <wp:posOffset>12700</wp:posOffset>
                </wp:positionV>
                <wp:extent cx="3337560" cy="871855"/>
                <wp:effectExtent l="0" t="0" r="0" b="0"/>
                <wp:wrapSquare wrapText="right"/>
                <wp:docPr id="155" name="Shape 155"/>
                <wp:cNvGraphicFramePr/>
                <a:graphic xmlns:a="http://schemas.openxmlformats.org/drawingml/2006/main">
                  <a:graphicData uri="http://schemas.microsoft.com/office/word/2010/wordprocessingShape">
                    <wps:wsp>
                      <wps:cNvSpPr txBox="1"/>
                      <wps:spPr>
                        <a:xfrm>
                          <a:off x="0" y="0"/>
                          <a:ext cx="3337560" cy="871855"/>
                        </a:xfrm>
                        <a:prstGeom prst="rect">
                          <a:avLst/>
                        </a:prstGeom>
                        <a:noFill/>
                      </wps:spPr>
                      <wps:txbx>
                        <w:txbxContent>
                          <w:p w:rsidR="00500724" w:rsidRDefault="00F30FB8">
                            <w:pPr>
                              <w:pStyle w:val="Jin0"/>
                              <w:shd w:val="clear" w:color="auto" w:fill="auto"/>
                              <w:spacing w:after="40"/>
                              <w:ind w:left="60" w:firstLine="0"/>
                              <w:jc w:val="center"/>
                              <w:rPr>
                                <w:sz w:val="26"/>
                                <w:szCs w:val="26"/>
                              </w:rPr>
                            </w:pPr>
                            <w:r>
                              <w:rPr>
                                <w:b/>
                                <w:bCs/>
                                <w:sz w:val="26"/>
                                <w:szCs w:val="26"/>
                              </w:rPr>
                              <w:t>Krása jazyka a zvyk</w:t>
                            </w:r>
                          </w:p>
                          <w:p w:rsidR="00500724" w:rsidRDefault="00F30FB8">
                            <w:pPr>
                              <w:pStyle w:val="Zkladntext1"/>
                              <w:shd w:val="clear" w:color="auto" w:fill="auto"/>
                              <w:tabs>
                                <w:tab w:val="left" w:pos="3826"/>
                              </w:tabs>
                              <w:spacing w:line="216" w:lineRule="auto"/>
                              <w:ind w:firstLine="200"/>
                            </w:pPr>
                            <w:r>
                              <w:rPr>
                                <w:b/>
                                <w:bCs/>
                              </w:rPr>
                              <w:t xml:space="preserve">Národové si neuvědomují, že mluví řeěí vil své </w:t>
                            </w:r>
                            <w:r>
                              <w:rPr>
                                <w:b/>
                                <w:bCs/>
                              </w:rPr>
                              <w:t>vlasti. Pro většinu lidí, kteří přivykli jisté řeči, slova ztratila svou heb</w:t>
                            </w:r>
                            <w:r>
                              <w:rPr>
                                <w:b/>
                                <w:bCs/>
                              </w:rPr>
                              <w:softHyphen/>
                              <w:t>kou ojiněnost. Stala se z nich slova běžná, která lidem hor</w:t>
                            </w:r>
                            <w:r>
                              <w:rPr>
                                <w:b/>
                                <w:bCs/>
                              </w:rPr>
                              <w:softHyphen/>
                              <w:t>livě slouží od rána do večera, ale člověk se na ně už ani neohlíží.</w:t>
                            </w:r>
                            <w:r>
                              <w:rPr>
                                <w:b/>
                                <w:bCs/>
                              </w:rPr>
                              <w:tab/>
                            </w:r>
                            <w:r>
                              <w:rPr>
                                <w:i/>
                                <w:iCs/>
                                <w:sz w:val="20"/>
                                <w:szCs w:val="20"/>
                              </w:rPr>
                              <w:t xml:space="preserve">René </w:t>
                            </w:r>
                            <w:r>
                              <w:rPr>
                                <w:b/>
                                <w:bCs/>
                                <w:i/>
                                <w:iCs/>
                              </w:rPr>
                              <w:t>Schickele</w:t>
                            </w:r>
                          </w:p>
                        </w:txbxContent>
                      </wps:txbx>
                      <wps:bodyPr lIns="0" tIns="0" rIns="0" bIns="0">
                        <a:spAutoFit/>
                      </wps:bodyPr>
                    </wps:wsp>
                  </a:graphicData>
                </a:graphic>
              </wp:anchor>
            </w:drawing>
          </mc:Choice>
          <mc:Fallback>
            <w:pict>
              <v:shape id="_x0000_s1181" type="#_x0000_t202" style="position:absolute;margin-left:168.94999999999999pt;margin-top:1.pt;width:262.80000000000001pt;height:68.650000000000006pt;z-index:-125829221;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60" w:right="0" w:firstLine="0"/>
                        <w:jc w:val="center"/>
                        <w:rPr>
                          <w:sz w:val="26"/>
                          <w:szCs w:val="26"/>
                        </w:rPr>
                      </w:pPr>
                      <w:r>
                        <w:rPr>
                          <w:b/>
                          <w:bCs/>
                          <w:color w:val="000000"/>
                          <w:spacing w:val="0"/>
                          <w:w w:val="100"/>
                          <w:position w:val="0"/>
                          <w:sz w:val="26"/>
                          <w:szCs w:val="26"/>
                          <w:shd w:val="clear" w:color="auto" w:fill="auto"/>
                          <w:lang w:val="cs-CZ" w:eastAsia="cs-CZ" w:bidi="cs-CZ"/>
                        </w:rPr>
                        <w:t>Krása jazyka a zvyk</w:t>
                      </w:r>
                    </w:p>
                    <w:p>
                      <w:pPr>
                        <w:pStyle w:val="Style18"/>
                        <w:keepNext w:val="0"/>
                        <w:keepLines w:val="0"/>
                        <w:widowControl w:val="0"/>
                        <w:shd w:val="clear" w:color="auto" w:fill="auto"/>
                        <w:tabs>
                          <w:tab w:pos="3826" w:val="left"/>
                        </w:tabs>
                        <w:bidi w:val="0"/>
                        <w:spacing w:before="0" w:after="0" w:line="216" w:lineRule="auto"/>
                        <w:ind w:left="0" w:right="0" w:firstLine="200"/>
                      </w:pPr>
                      <w:r>
                        <w:rPr>
                          <w:b/>
                          <w:bCs/>
                          <w:color w:val="000000"/>
                          <w:spacing w:val="0"/>
                          <w:w w:val="100"/>
                          <w:position w:val="0"/>
                          <w:shd w:val="clear" w:color="auto" w:fill="auto"/>
                          <w:lang w:val="cs-CZ" w:eastAsia="cs-CZ" w:bidi="cs-CZ"/>
                        </w:rPr>
                        <w:t>Národové si neuvědomují, že mluví řeěí vil své vlasti. Pro většinu lidí, kteří přivykli jisté řeči, slova ztratila svou heb</w:t>
                        <w:softHyphen/>
                        <w:t>kou ojiněnost. Stala se z nich slova běžná, která lidem hor</w:t>
                        <w:softHyphen/>
                        <w:t>livě slouží od rána do večera, ale člověk se na ně už ani neohlíží.</w:t>
                        <w:tab/>
                      </w:r>
                      <w:r>
                        <w:rPr>
                          <w:i/>
                          <w:iCs/>
                          <w:color w:val="000000"/>
                          <w:spacing w:val="0"/>
                          <w:w w:val="100"/>
                          <w:position w:val="0"/>
                          <w:sz w:val="20"/>
                          <w:szCs w:val="20"/>
                          <w:shd w:val="clear" w:color="auto" w:fill="auto"/>
                          <w:lang w:val="cs-CZ" w:eastAsia="cs-CZ" w:bidi="cs-CZ"/>
                        </w:rPr>
                        <w:t xml:space="preserve">René </w:t>
                      </w:r>
                      <w:r>
                        <w:rPr>
                          <w:b/>
                          <w:bCs/>
                          <w:i/>
                          <w:iCs/>
                          <w:color w:val="000000"/>
                          <w:spacing w:val="0"/>
                          <w:w w:val="100"/>
                          <w:position w:val="0"/>
                          <w:shd w:val="clear" w:color="auto" w:fill="auto"/>
                          <w:lang w:val="cs-CZ" w:eastAsia="cs-CZ" w:bidi="cs-CZ"/>
                        </w:rPr>
                        <w:t>Schickele</w:t>
                      </w:r>
                    </w:p>
                  </w:txbxContent>
                </v:textbox>
                <w10:wrap type="square" side="right" anchorx="page"/>
              </v:shape>
            </w:pict>
          </mc:Fallback>
        </mc:AlternateContent>
      </w:r>
      <w:r>
        <w:rPr>
          <w:noProof/>
        </w:rPr>
        <mc:AlternateContent>
          <mc:Choice Requires="wps">
            <w:drawing>
              <wp:anchor distT="50800" distB="254000" distL="12700" distR="12700" simplePos="0" relativeHeight="125829534" behindDoc="0" locked="0" layoutInCell="1" allowOverlap="1">
                <wp:simplePos x="0" y="0"/>
                <wp:positionH relativeFrom="page">
                  <wp:posOffset>2148840</wp:posOffset>
                </wp:positionH>
                <wp:positionV relativeFrom="paragraph">
                  <wp:posOffset>6766560</wp:posOffset>
                </wp:positionV>
                <wp:extent cx="3298190" cy="1258570"/>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3298190" cy="1258570"/>
                        </a:xfrm>
                        <a:prstGeom prst="rect">
                          <a:avLst/>
                        </a:prstGeom>
                        <a:noFill/>
                      </wps:spPr>
                      <wps:txbx>
                        <w:txbxContent>
                          <w:p w:rsidR="00500724" w:rsidRDefault="00F30FB8">
                            <w:pPr>
                              <w:pStyle w:val="Jin0"/>
                              <w:shd w:val="clear" w:color="auto" w:fill="auto"/>
                              <w:spacing w:after="40"/>
                              <w:ind w:firstLine="0"/>
                              <w:jc w:val="left"/>
                              <w:rPr>
                                <w:sz w:val="28"/>
                                <w:szCs w:val="28"/>
                              </w:rPr>
                            </w:pPr>
                            <w:r>
                              <w:rPr>
                                <w:rFonts w:ascii="Arial" w:eastAsia="Arial" w:hAnsi="Arial" w:cs="Arial"/>
                                <w:b/>
                                <w:bCs/>
                                <w:w w:val="70"/>
                                <w:sz w:val="28"/>
                                <w:szCs w:val="28"/>
                              </w:rPr>
                              <w:t>Hraničáři prosí o upotřebené pošt</w:t>
                            </w:r>
                            <w:r>
                              <w:rPr>
                                <w:rFonts w:ascii="Arial" w:eastAsia="Arial" w:hAnsi="Arial" w:cs="Arial"/>
                                <w:b/>
                                <w:bCs/>
                                <w:w w:val="70"/>
                                <w:sz w:val="28"/>
                                <w:szCs w:val="28"/>
                              </w:rPr>
                              <w:t>ovní známky t</w:t>
                            </w:r>
                          </w:p>
                          <w:p w:rsidR="00500724" w:rsidRDefault="00F30FB8">
                            <w:pPr>
                              <w:pStyle w:val="Zkladntext40"/>
                              <w:shd w:val="clear" w:color="auto" w:fill="auto"/>
                              <w:spacing w:after="40" w:line="209" w:lineRule="auto"/>
                            </w:pPr>
                            <w:r>
                              <w:t>Učitelský sbor státní obecné školy v Zahrádkách u Česká Lípy, která se nyní nachází v připojeném území, prosí své bývalé příznivce o darování upotřebených známek z Vaší koresponden</w:t>
                            </w:r>
                            <w:r>
                              <w:softHyphen/>
                              <w:t>ce. Zisk z filatelistické akce je poukazován hraničářům-uprch</w:t>
                            </w:r>
                            <w:r>
                              <w:t>lí- kům. Prosíme Vás, pomozte těm, kteří trpí a darujte známky, které snad m-o Vás nemají žádnou cenu. Zásilky adresujte: Fila</w:t>
                            </w:r>
                            <w:r>
                              <w:softHyphen/>
                              <w:t>telistická akce hraničářů v Bosni, p. Mnichovo Hradiště.</w:t>
                            </w:r>
                          </w:p>
                          <w:p w:rsidR="00500724" w:rsidRDefault="00F30FB8">
                            <w:pPr>
                              <w:pStyle w:val="Zkladntext40"/>
                              <w:shd w:val="clear" w:color="auto" w:fill="auto"/>
                              <w:spacing w:after="40" w:line="173" w:lineRule="auto"/>
                              <w:ind w:firstLine="180"/>
                            </w:pPr>
                            <w:r>
                              <w:t>Za Vaši ochotu Vám srdečně děkujeme jménem padesáti rodin hraničářů ze Z</w:t>
                            </w:r>
                            <w:r>
                              <w:t>ahrádek u České Lípy a okolí.</w:t>
                            </w:r>
                          </w:p>
                          <w:p w:rsidR="00500724" w:rsidRDefault="00F30FB8">
                            <w:pPr>
                              <w:pStyle w:val="Zkladntext40"/>
                              <w:shd w:val="clear" w:color="auto" w:fill="auto"/>
                              <w:spacing w:after="40" w:line="209" w:lineRule="auto"/>
                              <w:jc w:val="right"/>
                            </w:pPr>
                            <w:r>
                              <w:t>Miroslav Havlík, učitel, Oldřich Gottwald, řídíc! učitel.</w:t>
                            </w:r>
                          </w:p>
                        </w:txbxContent>
                      </wps:txbx>
                      <wps:bodyPr lIns="0" tIns="0" rIns="0" bIns="0">
                        <a:spAutoFit/>
                      </wps:bodyPr>
                    </wps:wsp>
                  </a:graphicData>
                </a:graphic>
              </wp:anchor>
            </w:drawing>
          </mc:Choice>
          <mc:Fallback>
            <w:pict>
              <v:shape id="_x0000_s1183" type="#_x0000_t202" style="position:absolute;margin-left:169.19999999999999pt;margin-top:532.79999999999995pt;width:259.69999999999999pt;height:99.099999999999994pt;z-index:-125829219;mso-wrap-distance-left:1.pt;mso-wrap-distance-top:4.pt;mso-wrap-distance-right:1.pt;mso-wrap-distance-bottom:20.pt;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0" w:firstLine="0"/>
                        <w:jc w:val="left"/>
                        <w:rPr>
                          <w:sz w:val="28"/>
                          <w:szCs w:val="28"/>
                        </w:rPr>
                      </w:pPr>
                      <w:r>
                        <w:rPr>
                          <w:rFonts w:ascii="Arial" w:eastAsia="Arial" w:hAnsi="Arial" w:cs="Arial"/>
                          <w:b/>
                          <w:bCs/>
                          <w:color w:val="000000"/>
                          <w:spacing w:val="0"/>
                          <w:w w:val="70"/>
                          <w:position w:val="0"/>
                          <w:sz w:val="28"/>
                          <w:szCs w:val="28"/>
                          <w:shd w:val="clear" w:color="auto" w:fill="auto"/>
                          <w:lang w:val="cs-CZ" w:eastAsia="cs-CZ" w:bidi="cs-CZ"/>
                        </w:rPr>
                        <w:t>Hraničáři prosí o upotřebené poštovní známky t</w:t>
                      </w:r>
                    </w:p>
                    <w:p>
                      <w:pPr>
                        <w:pStyle w:val="Style42"/>
                        <w:keepNext w:val="0"/>
                        <w:keepLines w:val="0"/>
                        <w:widowControl w:val="0"/>
                        <w:shd w:val="clear" w:color="auto" w:fill="auto"/>
                        <w:bidi w:val="0"/>
                        <w:spacing w:before="0" w:after="40" w:line="209" w:lineRule="auto"/>
                        <w:ind w:left="0" w:right="0" w:firstLine="0"/>
                      </w:pPr>
                      <w:r>
                        <w:rPr>
                          <w:color w:val="000000"/>
                          <w:spacing w:val="0"/>
                          <w:w w:val="100"/>
                          <w:position w:val="0"/>
                          <w:shd w:val="clear" w:color="auto" w:fill="auto"/>
                          <w:lang w:val="cs-CZ" w:eastAsia="cs-CZ" w:bidi="cs-CZ"/>
                        </w:rPr>
                        <w:t>Učitelský sbor státní obecné školy v Zahrádkách u Česká Lípy, která se nyní nachází v připojeném území, prosí své bývalé příznivce o darování upotřebených známek z Vaší koresponden</w:t>
                        <w:softHyphen/>
                        <w:t>ce. Zisk z filatelistické akce je poukazován hraničářům-uprchlí- kům. Prosíme Vás, pomozte těm, kteří trpí a darujte známky, které snad m-o Vás nemají žádnou cenu. Zásilky adresujte: Fila</w:t>
                        <w:softHyphen/>
                        <w:t>telistická akce hraničářů v Bosni, p. Mnichovo Hradiště.</w:t>
                      </w:r>
                    </w:p>
                    <w:p>
                      <w:pPr>
                        <w:pStyle w:val="Style42"/>
                        <w:keepNext w:val="0"/>
                        <w:keepLines w:val="0"/>
                        <w:widowControl w:val="0"/>
                        <w:shd w:val="clear" w:color="auto" w:fill="auto"/>
                        <w:bidi w:val="0"/>
                        <w:spacing w:before="0" w:after="40" w:line="173" w:lineRule="auto"/>
                        <w:ind w:left="0" w:right="0" w:firstLine="180"/>
                      </w:pPr>
                      <w:r>
                        <w:rPr>
                          <w:color w:val="000000"/>
                          <w:spacing w:val="0"/>
                          <w:w w:val="100"/>
                          <w:position w:val="0"/>
                          <w:shd w:val="clear" w:color="auto" w:fill="auto"/>
                          <w:lang w:val="cs-CZ" w:eastAsia="cs-CZ" w:bidi="cs-CZ"/>
                        </w:rPr>
                        <w:t>Za Vaši ochotu Vám srdečně děkujeme jménem padesáti rodin hraničářů ze Zahrádek u České Lípy a okolí.</w:t>
                      </w:r>
                    </w:p>
                    <w:p>
                      <w:pPr>
                        <w:pStyle w:val="Style42"/>
                        <w:keepNext w:val="0"/>
                        <w:keepLines w:val="0"/>
                        <w:widowControl w:val="0"/>
                        <w:shd w:val="clear" w:color="auto" w:fill="auto"/>
                        <w:bidi w:val="0"/>
                        <w:spacing w:before="0" w:after="40" w:line="209" w:lineRule="auto"/>
                        <w:ind w:left="0" w:right="0" w:firstLine="0"/>
                        <w:jc w:val="right"/>
                      </w:pPr>
                      <w:r>
                        <w:rPr>
                          <w:color w:val="000000"/>
                          <w:spacing w:val="0"/>
                          <w:w w:val="100"/>
                          <w:position w:val="0"/>
                          <w:shd w:val="clear" w:color="auto" w:fill="auto"/>
                          <w:lang w:val="cs-CZ" w:eastAsia="cs-CZ" w:bidi="cs-CZ"/>
                        </w:rPr>
                        <w:t>Miroslav Havlík, učitel, Oldřich Gottwald, řídíc! učitel.</w:t>
                      </w:r>
                    </w:p>
                  </w:txbxContent>
                </v:textbox>
                <w10:wrap type="topAndBottom" anchorx="page"/>
              </v:shape>
            </w:pict>
          </mc:Fallback>
        </mc:AlternateContent>
      </w:r>
    </w:p>
    <w:p w:rsidR="00500724" w:rsidRDefault="00F30FB8">
      <w:pPr>
        <w:pStyle w:val="Zkladntext1"/>
        <w:shd w:val="clear" w:color="auto" w:fill="auto"/>
        <w:spacing w:after="120" w:line="194" w:lineRule="auto"/>
        <w:ind w:firstLine="0"/>
        <w:jc w:val="left"/>
      </w:pPr>
      <w:r>
        <w:rPr>
          <w:b/>
          <w:bCs/>
          <w:i/>
          <w:iCs/>
        </w:rPr>
        <w:t>Marie Pujmanová:</w:t>
      </w:r>
    </w:p>
    <w:p w:rsidR="00500724" w:rsidRDefault="00F30FB8">
      <w:pPr>
        <w:pStyle w:val="Zkladntext1"/>
        <w:shd w:val="clear" w:color="auto" w:fill="auto"/>
        <w:spacing w:after="160" w:line="185" w:lineRule="auto"/>
        <w:ind w:firstLine="0"/>
        <w:jc w:val="left"/>
        <w:rPr>
          <w:sz w:val="20"/>
          <w:szCs w:val="20"/>
        </w:rPr>
      </w:pPr>
      <w:r>
        <w:rPr>
          <w:b/>
          <w:bCs/>
          <w:sz w:val="20"/>
          <w:szCs w:val="20"/>
        </w:rPr>
        <w:t xml:space="preserve">Dvojzpěv potmě </w:t>
      </w:r>
      <w:r>
        <w:rPr>
          <w:b/>
          <w:bCs/>
          <w:sz w:val="20"/>
          <w:szCs w:val="20"/>
        </w:rPr>
        <w:footnoteReference w:id="5"/>
      </w:r>
    </w:p>
    <w:p w:rsidR="00500724" w:rsidRDefault="00F30FB8">
      <w:pPr>
        <w:pStyle w:val="Zkladntext1"/>
        <w:shd w:val="clear" w:color="auto" w:fill="auto"/>
        <w:spacing w:line="182" w:lineRule="auto"/>
        <w:ind w:firstLine="0"/>
        <w:jc w:val="left"/>
        <w:rPr>
          <w:sz w:val="20"/>
          <w:szCs w:val="20"/>
        </w:rPr>
      </w:pPr>
      <w:r>
        <w:rPr>
          <w:i/>
          <w:iCs/>
          <w:sz w:val="20"/>
          <w:szCs w:val="20"/>
        </w:rPr>
        <w:t>A pojďme tmou, tmou altovou má po fialách dech.</w:t>
      </w:r>
    </w:p>
    <w:p w:rsidR="00500724" w:rsidRDefault="00F30FB8">
      <w:pPr>
        <w:pStyle w:val="Zkladntext1"/>
        <w:shd w:val="clear" w:color="auto" w:fill="auto"/>
        <w:spacing w:after="160" w:line="182" w:lineRule="auto"/>
        <w:ind w:firstLine="0"/>
        <w:jc w:val="left"/>
        <w:rPr>
          <w:sz w:val="20"/>
          <w:szCs w:val="20"/>
        </w:rPr>
      </w:pPr>
      <w:r>
        <w:rPr>
          <w:i/>
          <w:iCs/>
          <w:sz w:val="20"/>
          <w:szCs w:val="20"/>
        </w:rPr>
        <w:t>Ten den, co třeštil nad hlavou už dosnít nech.</w:t>
      </w:r>
    </w:p>
    <w:p w:rsidR="00500724" w:rsidRDefault="00F30FB8">
      <w:pPr>
        <w:pStyle w:val="Zkladntext1"/>
        <w:shd w:val="clear" w:color="auto" w:fill="auto"/>
        <w:spacing w:line="182" w:lineRule="auto"/>
        <w:ind w:firstLine="0"/>
        <w:jc w:val="left"/>
        <w:rPr>
          <w:sz w:val="20"/>
          <w:szCs w:val="20"/>
        </w:rPr>
      </w:pPr>
      <w:r>
        <w:rPr>
          <w:i/>
          <w:iCs/>
          <w:sz w:val="20"/>
          <w:szCs w:val="20"/>
        </w:rPr>
        <w:t xml:space="preserve">Poslouchej tón, tón violy, má </w:t>
      </w:r>
      <w:r>
        <w:rPr>
          <w:i/>
          <w:iCs/>
          <w:sz w:val="20"/>
          <w:szCs w:val="20"/>
        </w:rPr>
        <w:t>tmavomodrý hlas.</w:t>
      </w:r>
    </w:p>
    <w:p w:rsidR="00500724" w:rsidRDefault="00F30FB8">
      <w:pPr>
        <w:pStyle w:val="Zkladntext1"/>
        <w:shd w:val="clear" w:color="auto" w:fill="auto"/>
        <w:spacing w:after="160" w:line="182" w:lineRule="auto"/>
        <w:ind w:firstLine="0"/>
        <w:jc w:val="left"/>
        <w:rPr>
          <w:sz w:val="20"/>
          <w:szCs w:val="20"/>
        </w:rPr>
      </w:pPr>
      <w:r>
        <w:rPr>
          <w:i/>
          <w:iCs/>
          <w:sz w:val="20"/>
          <w:szCs w:val="20"/>
        </w:rPr>
        <w:t>Dřív z kobaltové fioly šly hvězdy pít svůj jas.</w:t>
      </w:r>
    </w:p>
    <w:p w:rsidR="00500724" w:rsidRDefault="00F30FB8">
      <w:pPr>
        <w:pStyle w:val="Zkladntext1"/>
        <w:shd w:val="clear" w:color="auto" w:fill="auto"/>
        <w:spacing w:line="185" w:lineRule="auto"/>
        <w:ind w:firstLine="0"/>
        <w:jc w:val="left"/>
        <w:rPr>
          <w:sz w:val="20"/>
          <w:szCs w:val="20"/>
        </w:rPr>
      </w:pPr>
      <w:r>
        <w:rPr>
          <w:i/>
          <w:iCs/>
          <w:sz w:val="20"/>
          <w:szCs w:val="20"/>
        </w:rPr>
        <w:t>Na černou dlah, dlaň fialek sedají lyšaji.</w:t>
      </w:r>
    </w:p>
    <w:p w:rsidR="00500724" w:rsidRDefault="00F30FB8">
      <w:pPr>
        <w:pStyle w:val="Zkladntext1"/>
        <w:shd w:val="clear" w:color="auto" w:fill="auto"/>
        <w:spacing w:after="160" w:line="185" w:lineRule="auto"/>
        <w:ind w:firstLine="0"/>
        <w:jc w:val="left"/>
        <w:rPr>
          <w:sz w:val="20"/>
          <w:szCs w:val="20"/>
        </w:rPr>
      </w:pPr>
      <w:r>
        <w:rPr>
          <w:i/>
          <w:iCs/>
          <w:sz w:val="20"/>
          <w:szCs w:val="20"/>
        </w:rPr>
        <w:t>Ty neboj se a vzdech a vzdech metlice utají.</w:t>
      </w:r>
    </w:p>
    <w:p w:rsidR="00500724" w:rsidRDefault="00F30FB8">
      <w:pPr>
        <w:pStyle w:val="Zkladntext1"/>
        <w:shd w:val="clear" w:color="auto" w:fill="auto"/>
        <w:spacing w:line="185" w:lineRule="auto"/>
        <w:ind w:firstLine="0"/>
        <w:jc w:val="left"/>
        <w:rPr>
          <w:sz w:val="20"/>
          <w:szCs w:val="20"/>
        </w:rPr>
      </w:pPr>
      <w:r>
        <w:rPr>
          <w:i/>
          <w:iCs/>
          <w:sz w:val="20"/>
          <w:szCs w:val="20"/>
        </w:rPr>
        <w:t>Tmou padáme, tmou</w:t>
      </w:r>
    </w:p>
    <w:p w:rsidR="00500724" w:rsidRDefault="00F30FB8">
      <w:pPr>
        <w:pStyle w:val="Zkladntext1"/>
        <w:shd w:val="clear" w:color="auto" w:fill="auto"/>
        <w:spacing w:line="185" w:lineRule="auto"/>
        <w:ind w:firstLine="0"/>
        <w:jc w:val="right"/>
        <w:rPr>
          <w:sz w:val="20"/>
          <w:szCs w:val="20"/>
        </w:rPr>
      </w:pPr>
      <w:r>
        <w:rPr>
          <w:i/>
          <w:iCs/>
          <w:sz w:val="20"/>
          <w:szCs w:val="20"/>
        </w:rPr>
        <w:t>v snědý jih</w:t>
      </w:r>
    </w:p>
    <w:p w:rsidR="00500724" w:rsidRDefault="00F30FB8">
      <w:pPr>
        <w:pStyle w:val="Zkladntext1"/>
        <w:shd w:val="clear" w:color="auto" w:fill="auto"/>
        <w:spacing w:line="185" w:lineRule="auto"/>
        <w:ind w:firstLine="0"/>
        <w:jc w:val="left"/>
        <w:rPr>
          <w:sz w:val="20"/>
          <w:szCs w:val="20"/>
        </w:rPr>
      </w:pPr>
      <w:r>
        <w:rPr>
          <w:i/>
          <w:iCs/>
          <w:sz w:val="20"/>
          <w:szCs w:val="20"/>
        </w:rPr>
        <w:t>na elektrický mech.</w:t>
      </w:r>
    </w:p>
    <w:p w:rsidR="00500724" w:rsidRDefault="00F30FB8">
      <w:pPr>
        <w:pStyle w:val="Zkladntext1"/>
        <w:shd w:val="clear" w:color="auto" w:fill="auto"/>
        <w:spacing w:after="160" w:line="185" w:lineRule="auto"/>
        <w:ind w:firstLine="0"/>
        <w:jc w:val="left"/>
        <w:rPr>
          <w:sz w:val="20"/>
          <w:szCs w:val="20"/>
        </w:rPr>
      </w:pPr>
      <w:r>
        <w:rPr>
          <w:i/>
          <w:iCs/>
          <w:sz w:val="20"/>
          <w:szCs w:val="20"/>
        </w:rPr>
        <w:t>Trs vlhký metel růžových mé nohy šleh’.</w:t>
      </w:r>
    </w:p>
    <w:p w:rsidR="00500724" w:rsidRDefault="00F30FB8">
      <w:pPr>
        <w:pStyle w:val="Zkladntext1"/>
        <w:shd w:val="clear" w:color="auto" w:fill="auto"/>
        <w:spacing w:after="160" w:line="182" w:lineRule="auto"/>
        <w:ind w:firstLine="0"/>
        <w:jc w:val="left"/>
        <w:rPr>
          <w:sz w:val="20"/>
          <w:szCs w:val="20"/>
        </w:rPr>
      </w:pPr>
      <w:r>
        <w:rPr>
          <w:i/>
          <w:iCs/>
          <w:sz w:val="20"/>
          <w:szCs w:val="20"/>
        </w:rPr>
        <w:t xml:space="preserve">Tmou padáme, </w:t>
      </w:r>
      <w:r>
        <w:rPr>
          <w:i/>
          <w:iCs/>
          <w:sz w:val="20"/>
          <w:szCs w:val="20"/>
        </w:rPr>
        <w:t>tmou hluboko až na dřeň zdrhlých trav, až na dno tknuté, zátoko; a prší jisker splav.</w:t>
      </w:r>
    </w:p>
    <w:p w:rsidR="00500724" w:rsidRDefault="00F30FB8">
      <w:pPr>
        <w:pStyle w:val="Zkladntext1"/>
        <w:shd w:val="clear" w:color="auto" w:fill="auto"/>
        <w:spacing w:line="185" w:lineRule="auto"/>
        <w:ind w:firstLine="0"/>
        <w:jc w:val="left"/>
        <w:rPr>
          <w:sz w:val="20"/>
          <w:szCs w:val="20"/>
        </w:rPr>
      </w:pPr>
      <w:r>
        <w:rPr>
          <w:i/>
          <w:iCs/>
          <w:sz w:val="20"/>
          <w:szCs w:val="20"/>
        </w:rPr>
        <w:t>Až oprchá, až dohasne, i nejmenší, co žhla, v tmě vyplulé, v tmě</w:t>
      </w:r>
    </w:p>
    <w:p w:rsidR="00500724" w:rsidRDefault="00F30FB8">
      <w:pPr>
        <w:pStyle w:val="Zkladntext1"/>
        <w:shd w:val="clear" w:color="auto" w:fill="auto"/>
        <w:spacing w:line="185" w:lineRule="auto"/>
        <w:ind w:firstLine="0"/>
        <w:jc w:val="right"/>
        <w:rPr>
          <w:sz w:val="20"/>
          <w:szCs w:val="20"/>
        </w:rPr>
      </w:pPr>
      <w:r>
        <w:rPr>
          <w:i/>
          <w:iCs/>
          <w:sz w:val="20"/>
          <w:szCs w:val="20"/>
        </w:rPr>
        <w:t>překrásné</w:t>
      </w:r>
    </w:p>
    <w:p w:rsidR="00500724" w:rsidRDefault="00F30FB8">
      <w:pPr>
        <w:pStyle w:val="Zkladntext1"/>
        <w:shd w:val="clear" w:color="auto" w:fill="auto"/>
        <w:spacing w:after="160" w:line="185" w:lineRule="auto"/>
        <w:ind w:firstLine="0"/>
        <w:jc w:val="left"/>
        <w:rPr>
          <w:sz w:val="20"/>
          <w:szCs w:val="20"/>
        </w:rPr>
      </w:pPr>
      <w:r>
        <w:rPr>
          <w:i/>
          <w:iCs/>
          <w:sz w:val="20"/>
          <w:szCs w:val="20"/>
        </w:rPr>
        <w:t>mou najde ruka mdlá.</w:t>
      </w:r>
    </w:p>
    <w:p w:rsidR="00500724" w:rsidRDefault="00F30FB8">
      <w:pPr>
        <w:pStyle w:val="Zkladntext1"/>
        <w:shd w:val="clear" w:color="auto" w:fill="auto"/>
        <w:spacing w:line="185" w:lineRule="auto"/>
        <w:ind w:firstLine="0"/>
        <w:jc w:val="left"/>
        <w:rPr>
          <w:sz w:val="20"/>
          <w:szCs w:val="20"/>
        </w:rPr>
      </w:pPr>
      <w:r>
        <w:rPr>
          <w:i/>
          <w:iCs/>
          <w:sz w:val="20"/>
          <w:szCs w:val="20"/>
        </w:rPr>
        <w:t>Ta na poslední znamení.</w:t>
      </w:r>
    </w:p>
    <w:p w:rsidR="00500724" w:rsidRDefault="00F30FB8">
      <w:pPr>
        <w:pStyle w:val="Zkladntext1"/>
        <w:shd w:val="clear" w:color="auto" w:fill="auto"/>
        <w:spacing w:line="185" w:lineRule="auto"/>
        <w:ind w:firstLine="0"/>
        <w:jc w:val="left"/>
        <w:rPr>
          <w:sz w:val="20"/>
          <w:szCs w:val="20"/>
        </w:rPr>
      </w:pPr>
      <w:r>
        <w:rPr>
          <w:i/>
          <w:iCs/>
          <w:sz w:val="20"/>
          <w:szCs w:val="20"/>
        </w:rPr>
        <w:t>Spí zabitá, spí vrah.</w:t>
      </w:r>
    </w:p>
    <w:p w:rsidR="00500724" w:rsidRDefault="00F30FB8">
      <w:pPr>
        <w:pStyle w:val="Zkladntext1"/>
        <w:shd w:val="clear" w:color="auto" w:fill="auto"/>
        <w:spacing w:line="185" w:lineRule="auto"/>
        <w:ind w:firstLine="0"/>
        <w:jc w:val="left"/>
        <w:rPr>
          <w:sz w:val="20"/>
          <w:szCs w:val="20"/>
        </w:rPr>
      </w:pPr>
      <w:r>
        <w:rPr>
          <w:i/>
          <w:iCs/>
          <w:sz w:val="20"/>
          <w:szCs w:val="20"/>
        </w:rPr>
        <w:t>Až z mrtvých vstáném</w:t>
      </w:r>
    </w:p>
    <w:p w:rsidR="00500724" w:rsidRDefault="00F30FB8">
      <w:pPr>
        <w:pStyle w:val="Zkladntext1"/>
        <w:shd w:val="clear" w:color="auto" w:fill="auto"/>
        <w:spacing w:line="185" w:lineRule="auto"/>
        <w:ind w:firstLine="0"/>
        <w:jc w:val="right"/>
        <w:rPr>
          <w:sz w:val="20"/>
          <w:szCs w:val="20"/>
        </w:rPr>
      </w:pPr>
      <w:r>
        <w:rPr>
          <w:i/>
          <w:iCs/>
          <w:sz w:val="20"/>
          <w:szCs w:val="20"/>
        </w:rPr>
        <w:t>zmámeni</w:t>
      </w:r>
    </w:p>
    <w:p w:rsidR="00500724" w:rsidRDefault="00F30FB8">
      <w:pPr>
        <w:pStyle w:val="Zkladntext1"/>
        <w:shd w:val="clear" w:color="auto" w:fill="auto"/>
        <w:spacing w:after="160" w:line="194" w:lineRule="auto"/>
        <w:ind w:firstLine="0"/>
        <w:jc w:val="left"/>
      </w:pPr>
      <w:r>
        <w:rPr>
          <w:b/>
          <w:bCs/>
          <w:i/>
          <w:iCs/>
        </w:rPr>
        <w:t>v čarovných tmách.</w:t>
      </w:r>
    </w:p>
    <w:p w:rsidR="00500724" w:rsidRDefault="00F30FB8">
      <w:pPr>
        <w:pStyle w:val="Zkladntext40"/>
        <w:shd w:val="clear" w:color="auto" w:fill="auto"/>
        <w:spacing w:after="260" w:line="240" w:lineRule="auto"/>
        <w:jc w:val="right"/>
      </w:pPr>
      <w:r>
        <w:t>* Z právě vyšlé sbírky »Zpěvník«.</w:t>
      </w:r>
    </w:p>
    <w:p w:rsidR="00500724" w:rsidRDefault="00F30FB8">
      <w:pPr>
        <w:pStyle w:val="Zkladntext80"/>
        <w:shd w:val="clear" w:color="auto" w:fill="auto"/>
        <w:spacing w:after="80" w:line="240" w:lineRule="auto"/>
        <w:rPr>
          <w:sz w:val="24"/>
          <w:szCs w:val="24"/>
        </w:rPr>
      </w:pPr>
      <w:r>
        <w:rPr>
          <w:b w:val="0"/>
          <w:bCs w:val="0"/>
          <w:sz w:val="24"/>
          <w:szCs w:val="24"/>
        </w:rPr>
        <w:t>NOVÉ KNIHY</w:t>
      </w:r>
    </w:p>
    <w:p w:rsidR="00500724" w:rsidRDefault="00F30FB8">
      <w:pPr>
        <w:pStyle w:val="Zkladntext1"/>
        <w:shd w:val="clear" w:color="auto" w:fill="auto"/>
        <w:spacing w:after="80" w:line="182" w:lineRule="auto"/>
        <w:ind w:firstLine="0"/>
        <w:jc w:val="left"/>
        <w:rPr>
          <w:sz w:val="18"/>
          <w:szCs w:val="18"/>
        </w:rPr>
      </w:pPr>
      <w:r>
        <w:rPr>
          <w:b/>
          <w:bCs/>
          <w:sz w:val="18"/>
          <w:szCs w:val="18"/>
          <w:lang w:val="en-US" w:eastAsia="en-US" w:bidi="en-US"/>
        </w:rPr>
        <w:t xml:space="preserve">Rainer </w:t>
      </w:r>
      <w:r>
        <w:rPr>
          <w:b/>
          <w:bCs/>
          <w:sz w:val="18"/>
          <w:szCs w:val="18"/>
        </w:rPr>
        <w:t xml:space="preserve">Maria </w:t>
      </w:r>
      <w:r>
        <w:rPr>
          <w:b/>
          <w:bCs/>
          <w:sz w:val="18"/>
          <w:szCs w:val="18"/>
          <w:lang w:val="en-US" w:eastAsia="en-US" w:bidi="en-US"/>
        </w:rPr>
        <w:t xml:space="preserve">Rilke: </w:t>
      </w:r>
      <w:r>
        <w:rPr>
          <w:b/>
          <w:bCs/>
          <w:sz w:val="18"/>
          <w:szCs w:val="18"/>
        </w:rPr>
        <w:t>SAD.</w:t>
      </w:r>
    </w:p>
    <w:p w:rsidR="00500724" w:rsidRDefault="00F30FB8">
      <w:pPr>
        <w:pStyle w:val="Zkladntext1"/>
        <w:shd w:val="clear" w:color="auto" w:fill="auto"/>
        <w:spacing w:after="160" w:line="182" w:lineRule="auto"/>
        <w:rPr>
          <w:sz w:val="18"/>
          <w:szCs w:val="18"/>
        </w:rPr>
      </w:pPr>
      <w:r>
        <w:rPr>
          <w:sz w:val="18"/>
          <w:szCs w:val="18"/>
        </w:rPr>
        <w:t>Podle francouzského origi</w:t>
      </w:r>
      <w:r>
        <w:rPr>
          <w:sz w:val="18"/>
          <w:szCs w:val="18"/>
        </w:rPr>
        <w:softHyphen/>
        <w:t>nálu přeložil Vladimír Holan. — Ve stejné úpravě, v jaké loni vyšel Holanův překlad fran</w:t>
      </w:r>
      <w:r>
        <w:rPr>
          <w:sz w:val="18"/>
          <w:szCs w:val="18"/>
        </w:rPr>
        <w:softHyphen/>
        <w:t xml:space="preserve">couzských básní Rainera M. Rilka »Růže a okna«, </w:t>
      </w:r>
      <w:r>
        <w:rPr>
          <w:sz w:val="18"/>
          <w:szCs w:val="18"/>
        </w:rPr>
        <w:t>vychází český překlad Rilkovy básnic</w:t>
      </w:r>
      <w:r>
        <w:rPr>
          <w:sz w:val="18"/>
          <w:szCs w:val="18"/>
        </w:rPr>
        <w:softHyphen/>
        <w:t>ké sbírky »Sad«, již z francouz</w:t>
      </w:r>
      <w:r>
        <w:rPr>
          <w:sz w:val="18"/>
          <w:szCs w:val="18"/>
        </w:rPr>
        <w:softHyphen/>
        <w:t xml:space="preserve">ského originálu přebásnil opět Vladimír Holan. </w:t>
      </w:r>
      <w:r>
        <w:rPr>
          <w:sz w:val="18"/>
          <w:szCs w:val="18"/>
          <w:lang w:val="en-US" w:eastAsia="en-US" w:bidi="en-US"/>
        </w:rPr>
        <w:t xml:space="preserve">Rainer </w:t>
      </w:r>
      <w:r>
        <w:rPr>
          <w:sz w:val="18"/>
          <w:szCs w:val="18"/>
        </w:rPr>
        <w:t xml:space="preserve">Maria </w:t>
      </w:r>
      <w:r>
        <w:rPr>
          <w:sz w:val="18"/>
          <w:szCs w:val="18"/>
          <w:lang w:val="en-US" w:eastAsia="en-US" w:bidi="en-US"/>
        </w:rPr>
        <w:t xml:space="preserve">Rilke, </w:t>
      </w:r>
      <w:r>
        <w:rPr>
          <w:sz w:val="18"/>
          <w:szCs w:val="18"/>
        </w:rPr>
        <w:t>jeden z největších bás</w:t>
      </w:r>
      <w:r>
        <w:rPr>
          <w:sz w:val="18"/>
          <w:szCs w:val="18"/>
        </w:rPr>
        <w:softHyphen/>
        <w:t>nických mágů německých, blíz</w:t>
      </w:r>
      <w:r>
        <w:rPr>
          <w:sz w:val="18"/>
          <w:szCs w:val="18"/>
        </w:rPr>
        <w:softHyphen/>
        <w:t>ký nám svým pražským půvo</w:t>
      </w:r>
      <w:r>
        <w:rPr>
          <w:sz w:val="18"/>
          <w:szCs w:val="18"/>
        </w:rPr>
        <w:softHyphen/>
        <w:t>dem, který skutečně zachytil nezachytiteln</w:t>
      </w:r>
      <w:r>
        <w:rPr>
          <w:sz w:val="18"/>
          <w:szCs w:val="18"/>
        </w:rPr>
        <w:t>é a vyslovil nevy</w:t>
      </w:r>
      <w:r>
        <w:rPr>
          <w:sz w:val="18"/>
          <w:szCs w:val="18"/>
        </w:rPr>
        <w:softHyphen/>
        <w:t>slovitelné, napsal vedle řady básnických sbírek německých, i několik sbírek, v nichž po</w:t>
      </w:r>
      <w:r>
        <w:rPr>
          <w:sz w:val="18"/>
          <w:szCs w:val="18"/>
        </w:rPr>
        <w:softHyphen/>
        <w:t xml:space="preserve">volil své přirozené náklonnosti veršovati francouzský. Tuto svou tvorbu v jazyce země Ro- dinovy, jehož byl </w:t>
      </w:r>
      <w:r>
        <w:rPr>
          <w:sz w:val="18"/>
          <w:szCs w:val="18"/>
          <w:lang w:val="en-US" w:eastAsia="en-US" w:bidi="en-US"/>
        </w:rPr>
        <w:t xml:space="preserve">Rilke </w:t>
      </w:r>
      <w:r>
        <w:rPr>
          <w:sz w:val="18"/>
          <w:szCs w:val="18"/>
        </w:rPr>
        <w:t>nějaký čas tajemníkem a země Mal- la</w:t>
      </w:r>
      <w:r>
        <w:rPr>
          <w:sz w:val="18"/>
          <w:szCs w:val="18"/>
        </w:rPr>
        <w:t>rméovy, jemuž se blíží apo- linstvím své poesie její sošností a tajemností, nazývá básnik</w:t>
      </w:r>
    </w:p>
    <w:p w:rsidR="00500724" w:rsidRDefault="00F30FB8">
      <w:pPr>
        <w:pStyle w:val="Zkladntext1"/>
        <w:shd w:val="clear" w:color="auto" w:fill="auto"/>
        <w:spacing w:after="100" w:line="182" w:lineRule="auto"/>
        <w:ind w:firstLine="0"/>
        <w:rPr>
          <w:sz w:val="18"/>
          <w:szCs w:val="18"/>
        </w:rPr>
      </w:pPr>
      <w:r>
        <w:rPr>
          <w:sz w:val="18"/>
          <w:szCs w:val="18"/>
        </w:rPr>
        <w:t>skromně Ingressovými houslič</w:t>
      </w:r>
      <w:r>
        <w:rPr>
          <w:sz w:val="18"/>
          <w:szCs w:val="18"/>
        </w:rPr>
        <w:softHyphen/>
        <w:t xml:space="preserve">kami. Avšak i odtud zní čistý a výsostný zpěv Rilka, básníka opravdu essenciálního, tvůrce poesie, zachycující substanci času a bytostná </w:t>
      </w:r>
      <w:r>
        <w:rPr>
          <w:sz w:val="18"/>
          <w:szCs w:val="18"/>
        </w:rPr>
        <w:t>zjevení věcí uzavřených v čistém čase. Vla</w:t>
      </w:r>
      <w:r>
        <w:rPr>
          <w:sz w:val="18"/>
          <w:szCs w:val="18"/>
        </w:rPr>
        <w:softHyphen/>
        <w:t xml:space="preserve">dimír Holan pokusil se tu o převedení plného obsahu této poesie i o český ekvivalent Rilkova slova. Všechna čest jeho úsilí a práci, která nám podává rovnomocninu originálu »Sadu« tak, že nás ty verše okouzlují a </w:t>
      </w:r>
      <w:r>
        <w:rPr>
          <w:sz w:val="18"/>
          <w:szCs w:val="18"/>
        </w:rPr>
        <w:t>strhují nezapome</w:t>
      </w:r>
      <w:r>
        <w:rPr>
          <w:sz w:val="18"/>
          <w:szCs w:val="18"/>
        </w:rPr>
        <w:softHyphen/>
        <w:t>nutelně mocí ryzí a velké poesie. Cena brož. svazku je 15 K.</w:t>
      </w:r>
    </w:p>
    <w:p w:rsidR="00500724" w:rsidRDefault="00F30FB8">
      <w:pPr>
        <w:pStyle w:val="Zkladntext1"/>
        <w:shd w:val="clear" w:color="auto" w:fill="auto"/>
        <w:spacing w:after="100" w:line="182" w:lineRule="auto"/>
        <w:ind w:firstLine="0"/>
        <w:rPr>
          <w:sz w:val="18"/>
          <w:szCs w:val="18"/>
        </w:rPr>
      </w:pPr>
      <w:r>
        <w:rPr>
          <w:b/>
          <w:bCs/>
          <w:sz w:val="18"/>
          <w:szCs w:val="18"/>
        </w:rPr>
        <w:t>Marie Pujmanová: ZPĚVNÍK</w:t>
      </w:r>
    </w:p>
    <w:p w:rsidR="00500724" w:rsidRDefault="00F30FB8">
      <w:pPr>
        <w:pStyle w:val="Zkladntext1"/>
        <w:shd w:val="clear" w:color="auto" w:fill="auto"/>
        <w:spacing w:after="100" w:line="182" w:lineRule="auto"/>
        <w:ind w:firstLine="180"/>
        <w:rPr>
          <w:sz w:val="18"/>
          <w:szCs w:val="18"/>
        </w:rPr>
      </w:pPr>
      <w:r>
        <w:rPr>
          <w:sz w:val="18"/>
          <w:szCs w:val="18"/>
        </w:rPr>
        <w:t>Vynikající prozatérka Marie Pujmanová, jejíž závažná a ob</w:t>
      </w:r>
      <w:r>
        <w:rPr>
          <w:sz w:val="18"/>
          <w:szCs w:val="18"/>
        </w:rPr>
        <w:softHyphen/>
        <w:t>sáhlá románová práce Lidé na křižovatce, vychází právě rus</w:t>
      </w:r>
      <w:r>
        <w:rPr>
          <w:sz w:val="18"/>
          <w:szCs w:val="18"/>
        </w:rPr>
        <w:softHyphen/>
        <w:t>ký, debutuje i jako básnířka sbírkou</w:t>
      </w:r>
      <w:r>
        <w:rPr>
          <w:sz w:val="18"/>
          <w:szCs w:val="18"/>
        </w:rPr>
        <w:t xml:space="preserve"> »Zpěvník«, vycháze</w:t>
      </w:r>
      <w:r>
        <w:rPr>
          <w:sz w:val="18"/>
          <w:szCs w:val="18"/>
        </w:rPr>
        <w:softHyphen/>
        <w:t>jící jako dvaatřicátý svazek edice České básně. Je to lidsky vroucí lyrika inspirovaná jed</w:t>
      </w:r>
      <w:r>
        <w:rPr>
          <w:sz w:val="18"/>
          <w:szCs w:val="18"/>
        </w:rPr>
        <w:softHyphen/>
        <w:t xml:space="preserve">nak zážitky matky, před níž se v dítěti, jeho hrách, otázkách </w:t>
      </w:r>
      <w:r>
        <w:rPr>
          <w:i/>
          <w:iCs/>
          <w:sz w:val="18"/>
          <w:szCs w:val="18"/>
        </w:rPr>
        <w:t>a</w:t>
      </w:r>
      <w:r>
        <w:rPr>
          <w:sz w:val="18"/>
          <w:szCs w:val="18"/>
        </w:rPr>
        <w:t xml:space="preserve"> přáních, která jsou odrazem snů, otvírá pohádkový svět dětství i vzpomínky, jednak mravním postojem ženy, milu</w:t>
      </w:r>
      <w:r>
        <w:rPr>
          <w:sz w:val="18"/>
          <w:szCs w:val="18"/>
        </w:rPr>
        <w:softHyphen/>
        <w:t>jící člověka a soucítící s jeho těžkým údělem. A tak verše jakoby rozeznělé echem pohá</w:t>
      </w:r>
      <w:r>
        <w:rPr>
          <w:sz w:val="18"/>
          <w:szCs w:val="18"/>
        </w:rPr>
        <w:softHyphen/>
        <w:t>dek, dětského smíchu i mateř</w:t>
      </w:r>
      <w:r>
        <w:rPr>
          <w:sz w:val="18"/>
          <w:szCs w:val="18"/>
        </w:rPr>
        <w:softHyphen/>
        <w:t>ské radosti, dětským skotače</w:t>
      </w:r>
      <w:r>
        <w:rPr>
          <w:sz w:val="18"/>
          <w:szCs w:val="18"/>
        </w:rPr>
        <w:softHyphen/>
        <w:t>ním verše jakoby utkané z jemného přediva dětských vi</w:t>
      </w:r>
      <w:r>
        <w:rPr>
          <w:sz w:val="18"/>
          <w:szCs w:val="18"/>
        </w:rPr>
        <w:softHyphen/>
        <w:t xml:space="preserve">din </w:t>
      </w:r>
      <w:r>
        <w:rPr>
          <w:i/>
          <w:iCs/>
          <w:sz w:val="18"/>
          <w:szCs w:val="18"/>
        </w:rPr>
        <w:t>a</w:t>
      </w:r>
      <w:r>
        <w:rPr>
          <w:sz w:val="18"/>
          <w:szCs w:val="18"/>
        </w:rPr>
        <w:t xml:space="preserve"> znovu vzkříšených vzpo</w:t>
      </w:r>
      <w:r>
        <w:rPr>
          <w:sz w:val="18"/>
          <w:szCs w:val="18"/>
        </w:rPr>
        <w:softHyphen/>
        <w:t>mínek na postavy a děje Ander</w:t>
      </w:r>
      <w:r>
        <w:rPr>
          <w:sz w:val="18"/>
          <w:szCs w:val="18"/>
        </w:rPr>
        <w:softHyphen/>
        <w:t>senových pohádek, střídají se s básněmi, které zrcadlí bídu i zmatek doby, hořké osudy so</w:t>
      </w:r>
      <w:r>
        <w:rPr>
          <w:sz w:val="18"/>
          <w:szCs w:val="18"/>
        </w:rPr>
        <w:softHyphen/>
        <w:t xml:space="preserve">ciálního pokoření a které plně zjevují její vroucně </w:t>
      </w:r>
      <w:r>
        <w:rPr>
          <w:sz w:val="18"/>
          <w:szCs w:val="18"/>
        </w:rPr>
        <w:t>i hluboce lidské přiznání, vyslovené nad</w:t>
      </w:r>
      <w:r>
        <w:rPr>
          <w:sz w:val="18"/>
          <w:szCs w:val="18"/>
        </w:rPr>
        <w:softHyphen/>
        <w:t>pisem poslední básně: V lidech miluji tuto zemi. Celkem je »Zpěvník« sbírkou, která pod</w:t>
      </w:r>
      <w:r>
        <w:rPr>
          <w:sz w:val="18"/>
          <w:szCs w:val="18"/>
        </w:rPr>
        <w:softHyphen/>
        <w:t>statně přispívá k poznání tvůr</w:t>
      </w:r>
      <w:r>
        <w:rPr>
          <w:sz w:val="18"/>
          <w:szCs w:val="18"/>
        </w:rPr>
        <w:softHyphen/>
        <w:t>čí osobnosti Marie Pujmanové. Cena brož. svazku je 15 K.</w:t>
      </w:r>
    </w:p>
    <w:p w:rsidR="00500724" w:rsidRDefault="00F30FB8">
      <w:pPr>
        <w:pStyle w:val="Zkladntext1"/>
        <w:shd w:val="clear" w:color="auto" w:fill="auto"/>
        <w:ind w:firstLine="0"/>
        <w:jc w:val="left"/>
        <w:rPr>
          <w:sz w:val="20"/>
          <w:szCs w:val="20"/>
        </w:rPr>
      </w:pPr>
      <w:r>
        <w:rPr>
          <w:i/>
          <w:iCs/>
          <w:sz w:val="20"/>
          <w:szCs w:val="20"/>
        </w:rPr>
        <w:t>Eduard Bass:</w:t>
      </w:r>
    </w:p>
    <w:p w:rsidR="00500724" w:rsidRDefault="00F30FB8">
      <w:pPr>
        <w:pStyle w:val="Zkladntext1"/>
        <w:shd w:val="clear" w:color="auto" w:fill="auto"/>
        <w:spacing w:after="80"/>
        <w:ind w:firstLine="0"/>
        <w:jc w:val="left"/>
        <w:rPr>
          <w:sz w:val="20"/>
          <w:szCs w:val="20"/>
        </w:rPr>
      </w:pPr>
      <w:r>
        <w:rPr>
          <w:b/>
          <w:bCs/>
          <w:sz w:val="20"/>
          <w:szCs w:val="20"/>
        </w:rPr>
        <w:t>Karel čapek, novinář*</w:t>
      </w:r>
    </w:p>
    <w:p w:rsidR="00500724" w:rsidRDefault="00F30FB8">
      <w:pPr>
        <w:pStyle w:val="Zkladntext40"/>
        <w:shd w:val="clear" w:color="auto" w:fill="auto"/>
        <w:spacing w:after="0" w:line="218" w:lineRule="auto"/>
        <w:ind w:firstLine="180"/>
      </w:pPr>
      <w:r>
        <w:t>Vzpo</w:t>
      </w:r>
      <w:r>
        <w:t>minám-li na pohnutky, které mě před devatenácti lety vedly myslet na to, kterak bratry Čapky převést do Lidových Novin, stále cítím, že pro mne nejvíce rozhodovalo, co bylo nej</w:t>
      </w:r>
      <w:r>
        <w:softHyphen/>
        <w:t>vzdálenější: ony první krátké prózičky třpytných vět a ironic</w:t>
      </w:r>
      <w:r>
        <w:softHyphen/>
        <w:t>kých postřehů, kt</w:t>
      </w:r>
      <w:r>
        <w:t>eré se jako exotičtí kolibříci zableskly ve Stopě Karla Horkého. Čtěte ještě dnes onu barvitou Krako</w:t>
      </w:r>
      <w:r>
        <w:softHyphen/>
        <w:t>nošovu zahrádku, která z nich vznikla, najdete tam v jádře celé pozdější umění Čapků, které odtud rostlo jenom k lid</w:t>
      </w:r>
      <w:r>
        <w:softHyphen/>
        <w:t>skému oproštění, k životně zmoudřelé p</w:t>
      </w:r>
      <w:r>
        <w:t>okoře a jednodu</w:t>
      </w:r>
      <w:r>
        <w:softHyphen/>
        <w:t>chosti. Tenkrát však — a už je to, Pane Bože, třicet let — byly ty básnické přesmyčky strohých skutečností jako zjevení. Škatul</w:t>
      </w:r>
      <w:r>
        <w:softHyphen/>
        <w:t>kující kritika si nevěděla rady s jejich novostí, s tím virtuosním duchovním globe-trotterstvim, které hrálo poz</w:t>
      </w:r>
      <w:r>
        <w:t>natky všech kul</w:t>
      </w:r>
      <w:r>
        <w:softHyphen/>
        <w:t>tur; ale pro novináře-literáta, jako byl Karel Horký, bylo jasno, že tu jde o objev nové mohutné hodnoty. Velký a slavný typ no</w:t>
      </w:r>
      <w:r>
        <w:softHyphen/>
        <w:t>vinářského fejtonu staré doby se vyžil a bylo třeba vzkřísit jej ve zcela nové podobě. Ve Vídni a v Berlíně se u</w:t>
      </w:r>
      <w:r>
        <w:t>ž také rozrůstala nová škola krátké novinářské prózy, subjektivní a dojmové, vysoce kultivované literárně a přece úzce soucítící s žilobitím dne a doby; bylo by možno cito</w:t>
      </w:r>
      <w:r>
        <w:softHyphen/>
        <w:t>vat! celou plejádu jmen, ale uve</w:t>
      </w:r>
      <w:r>
        <w:softHyphen/>
        <w:t>du jen nejsubjektivnějšího impre- sionistu mezi nim</w:t>
      </w:r>
      <w:r>
        <w:t>i, Petra Alten- berga, pro připomínku onoho vpádu literatury do denního tisku. Začátky bratři Čapků mají s tímto zjevem styk jen v sou- dobosti, pro jejich tvorbu by se v onom hnutí nenašel žádný vzor a žádná předloha, nelze ji zařa- diti do žádné takové š</w:t>
      </w:r>
      <w:r>
        <w:t>koly, ale bezpečně přísluší do ovzduší doby, v níž zjemnělý tvůrčí duch umě</w:t>
      </w:r>
      <w:r>
        <w:softHyphen/>
        <w:t>lecky reaguje na žhavé podněty dne. Po letech se autorská dvojí</w:t>
      </w:r>
      <w:r>
        <w:softHyphen/>
        <w:t>ce při zpětném pohledu přiznává, že popud k těm drobným okouzlu</w:t>
      </w:r>
      <w:r>
        <w:softHyphen/>
        <w:t>jícím skladbičkám jí dala »nej- častěji četba novin,</w:t>
      </w:r>
      <w:r>
        <w:t xml:space="preserve"> aktuality, plynoucí doba a počasí.«</w:t>
      </w:r>
    </w:p>
    <w:p w:rsidR="00500724" w:rsidRDefault="00F30FB8">
      <w:pPr>
        <w:pStyle w:val="Zkladntext40"/>
        <w:shd w:val="clear" w:color="auto" w:fill="auto"/>
        <w:spacing w:after="0" w:line="218" w:lineRule="auto"/>
        <w:ind w:firstLine="180"/>
      </w:pPr>
      <w:r>
        <w:t>Talent, který takto začíná, je sám v sobě předurčen k novinám. Studium filosofie a literární po</w:t>
      </w:r>
      <w:r>
        <w:softHyphen/>
        <w:t>kusy ještě chvíli držely Karla Čapka stranou, ale za války už ho vidíme včestěavNárod- ních Listech; v té době bo</w:t>
      </w:r>
      <w:r>
        <w:softHyphen/>
        <w:t xml:space="preserve">lestného </w:t>
      </w:r>
      <w:r>
        <w:t>strádání dal nám několik povídek, v nichž tajemnost boží</w:t>
      </w:r>
      <w:r>
        <w:softHyphen/>
        <w:t>ho úradku a sliby nadějí září útěšnou mystikou v národní český advent, čekající Vykupitele.</w:t>
      </w:r>
    </w:p>
    <w:p w:rsidR="00500724" w:rsidRDefault="00F30FB8">
      <w:pPr>
        <w:pStyle w:val="Zkladntext40"/>
        <w:shd w:val="clear" w:color="auto" w:fill="auto"/>
        <w:spacing w:after="0" w:line="218" w:lineRule="auto"/>
        <w:ind w:firstLine="180"/>
        <w:sectPr w:rsidR="00500724">
          <w:footnotePr>
            <w:numFmt w:val="chicago"/>
            <w:numRestart w:val="eachPage"/>
          </w:footnotePr>
          <w:type w:val="continuous"/>
          <w:pgSz w:w="11909" w:h="16834"/>
          <w:pgMar w:top="3073" w:right="600" w:bottom="606" w:left="595" w:header="0" w:footer="3" w:gutter="0"/>
          <w:cols w:num="4" w:sep="1" w:space="100"/>
          <w:noEndnote/>
          <w:docGrid w:linePitch="360"/>
        </w:sectPr>
      </w:pPr>
      <w:r>
        <w:t>Plné a někdy až překotné roz</w:t>
      </w:r>
      <w:r>
        <w:softHyphen/>
        <w:t xml:space="preserve">vinutí všech sil nastalo u Karla Čapka vstupem </w:t>
      </w:r>
      <w:r>
        <w:t>do Lidových No</w:t>
      </w:r>
      <w:r>
        <w:softHyphen/>
        <w:t>vin. Našel tu především ovzduší vnější i vnitřní svobody a nezá</w:t>
      </w:r>
      <w:r>
        <w:softHyphen/>
        <w:t>vislosti a v redakci bezpečně ka</w:t>
      </w:r>
      <w:r>
        <w:softHyphen/>
        <w:t>marádské prostředí. Mělo to pro něho značný význam; postižen bolestnou chorobou páteře, od mládí slabý a křehký, v literatu</w:t>
      </w:r>
      <w:r>
        <w:softHyphen/>
        <w:t>ře brzo vystaven nep</w:t>
      </w:r>
      <w:r>
        <w:t>ochopení, útokům a intrikám, dlouho nesl v sobě jistou plachou nedůvěři</w:t>
      </w:r>
      <w:r>
        <w:softHyphen/>
        <w:t>vost k drsnému světu. Redakce mu otevřela úsek, kde se cítil bezpečný a chráněn a odkud mohl postupně vykročiti dále. Oplácel to svému listu téměř ce</w:t>
      </w:r>
      <w:r>
        <w:softHyphen/>
        <w:t>lou svoji mnohotvárnou tvorbou, po</w:t>
      </w:r>
      <w:r>
        <w:t>dněty a popudy, radami a postřehy, které podstatně přispí</w:t>
      </w:r>
      <w:r>
        <w:softHyphen/>
        <w:t>valy ke zdaru kolektivní práce. Jakkoli je dílo Čapkovo ještě zplna mezi námi živo, sluší se připomenout! s hlediska novin bo</w:t>
      </w:r>
      <w:r>
        <w:softHyphen/>
        <w:t>hatství jeho forem. Sotva v nové redakci zdomácněl, pustil se do psaní r</w:t>
      </w:r>
      <w:r>
        <w:t>ománu pro noviny. To</w:t>
      </w:r>
      <w:r>
        <w:softHyphen/>
        <w:t>várna na Absolutno a Krakatit byly pravé typy no</w:t>
      </w:r>
      <w:r>
        <w:softHyphen/>
        <w:t>vinářského románu, živé, hybné, vtipné, plné současných podnětů a trvale napínavé. Slavná pozděj</w:t>
      </w:r>
      <w:r>
        <w:softHyphen/>
        <w:t>ší trilogie hordubalovská, kterou rovněž otiskl pod čarou, lišila se od oněch dvou svým č</w:t>
      </w:r>
      <w:r>
        <w:t>istým za</w:t>
      </w:r>
      <w:r>
        <w:softHyphen/>
        <w:t>měřením literárně tvůrčím a dala bezděky podnět, že se pro romá</w:t>
      </w:r>
      <w:r>
        <w:softHyphen/>
        <w:t>ny toho druhu vytvořila Knihovna Lidových Novin. Nejtypičtější čapkovský útvar byla ovšem cau- serie ve sloupku kursivy a drob</w:t>
      </w:r>
      <w:r>
        <w:softHyphen/>
        <w:t>nější v entrefiletu; ale vedle toho psal povídky, cestop</w:t>
      </w:r>
      <w:r>
        <w:t>isné črty, povzbudivé úvodníky, soubory aforismů, pohádky dětem, humor</w:t>
      </w:r>
      <w:r>
        <w:softHyphen/>
        <w:t>ná líčení svých zkušeností diva</w:t>
      </w:r>
      <w:r>
        <w:softHyphen/>
        <w:t>delních, filmařských, zahradnic</w:t>
      </w:r>
      <w:r>
        <w:softHyphen/>
        <w:t>kých, psářských, která nejednou sám ilustroval podivuhodně živou kresbou nebo dokonalou svou fotografii. Občas přispěl re</w:t>
      </w:r>
      <w:r>
        <w:t>ferá</w:t>
      </w:r>
      <w:r>
        <w:softHyphen/>
        <w:t>tem literárním a bylo-li třeba, veršoval nouzově rozhlásky a zredigoval anekdoty v Pražském filmu. Nejeden důvtipný Jeho postřeh oživil anonymně rubriku denních zpráv; a šlo-li o velkou společnou reportáž při výjimeč</w:t>
      </w:r>
      <w:r>
        <w:softHyphen/>
        <w:t>ných událostech, hlásil se vždy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35"/>
        <w:gridCol w:w="2659"/>
      </w:tblGrid>
      <w:tr w:rsidR="00500724">
        <w:tblPrEx>
          <w:tblCellMar>
            <w:top w:w="0" w:type="dxa"/>
            <w:bottom w:w="0" w:type="dxa"/>
          </w:tblCellMar>
        </w:tblPrEx>
        <w:trPr>
          <w:trHeight w:hRule="exact" w:val="1003"/>
          <w:jc w:val="center"/>
        </w:trPr>
        <w:tc>
          <w:tcPr>
            <w:tcW w:w="0" w:type="auto"/>
            <w:gridSpan w:val="2"/>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spacing w:line="233" w:lineRule="auto"/>
              <w:ind w:left="1320" w:firstLine="20"/>
              <w:jc w:val="left"/>
            </w:pPr>
            <w:r>
              <w:t>Kd</w:t>
            </w:r>
            <w:r>
              <w:t>yž hrozí chřipka, chrání Vás ANGINOLKY.</w:t>
            </w:r>
          </w:p>
          <w:p w:rsidR="00500724" w:rsidRDefault="00F30FB8">
            <w:pPr>
              <w:pStyle w:val="Jin0"/>
              <w:shd w:val="clear" w:color="auto" w:fill="auto"/>
              <w:spacing w:line="233" w:lineRule="auto"/>
              <w:ind w:left="1320" w:firstLine="20"/>
              <w:jc w:val="left"/>
            </w:pPr>
            <w:r>
              <w:t>Tažte se svého lékaře.</w:t>
            </w:r>
          </w:p>
        </w:tc>
      </w:tr>
      <w:tr w:rsidR="00500724">
        <w:tblPrEx>
          <w:tblCellMar>
            <w:top w:w="0" w:type="dxa"/>
            <w:bottom w:w="0" w:type="dxa"/>
          </w:tblCellMar>
        </w:tblPrEx>
        <w:trPr>
          <w:trHeight w:hRule="exact" w:val="987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spacing w:line="218" w:lineRule="auto"/>
              <w:ind w:firstLine="0"/>
              <w:rPr>
                <w:sz w:val="15"/>
                <w:szCs w:val="15"/>
              </w:rPr>
            </w:pPr>
            <w:r>
              <w:rPr>
                <w:sz w:val="15"/>
                <w:szCs w:val="15"/>
              </w:rPr>
              <w:t xml:space="preserve">o svůj úkol mezi ostatními. Stěží už bude možno obnoviti v paměti všechny Jeho šťastné podněty redakčních prací. </w:t>
            </w:r>
            <w:r>
              <w:rPr>
                <w:sz w:val="15"/>
                <w:szCs w:val="15"/>
                <w:lang w:val="en-US" w:eastAsia="en-US" w:bidi="en-US"/>
              </w:rPr>
              <w:t xml:space="preserve">Casto </w:t>
            </w:r>
            <w:r>
              <w:rPr>
                <w:sz w:val="15"/>
                <w:szCs w:val="15"/>
              </w:rPr>
              <w:t>přinesl popud k jednotnému zre- digování celého výjimečného ěísla nebo ke</w:t>
            </w:r>
            <w:r>
              <w:rPr>
                <w:sz w:val="15"/>
                <w:szCs w:val="15"/>
              </w:rPr>
              <w:t xml:space="preserve"> zvláštnímu podniku v novinách. Tak před lety Inspiro</w:t>
            </w:r>
            <w:r>
              <w:rPr>
                <w:sz w:val="15"/>
                <w:szCs w:val="15"/>
              </w:rPr>
              <w:softHyphen/>
              <w:t>val úchvatnou anketu, v níž se čtenáři zpovídali z krás svého po</w:t>
            </w:r>
            <w:r>
              <w:rPr>
                <w:sz w:val="15"/>
                <w:szCs w:val="15"/>
              </w:rPr>
              <w:softHyphen/>
              <w:t>volání; a jestliže básník Rudolf Těsnohlídek dal v Lidových No</w:t>
            </w:r>
            <w:r>
              <w:rPr>
                <w:sz w:val="15"/>
                <w:szCs w:val="15"/>
              </w:rPr>
              <w:softHyphen/>
              <w:t>vinách podnět k nadílkovým vá</w:t>
            </w:r>
            <w:r>
              <w:rPr>
                <w:sz w:val="15"/>
                <w:szCs w:val="15"/>
              </w:rPr>
              <w:softHyphen/>
              <w:t>nočním stromům Republiky, bás</w:t>
            </w:r>
            <w:r>
              <w:rPr>
                <w:sz w:val="15"/>
                <w:szCs w:val="15"/>
              </w:rPr>
              <w:softHyphen/>
              <w:t>ník Karel Čape</w:t>
            </w:r>
            <w:r>
              <w:rPr>
                <w:sz w:val="15"/>
                <w:szCs w:val="15"/>
              </w:rPr>
              <w:t>k založil v nich velikonoční pomlázku, sbírku pro letní pobyt chudých dětí, která vynesla prázdninovým koloniím statisíce.</w:t>
            </w:r>
          </w:p>
          <w:p w:rsidR="00500724" w:rsidRDefault="00F30FB8">
            <w:pPr>
              <w:pStyle w:val="Jin0"/>
              <w:shd w:val="clear" w:color="auto" w:fill="auto"/>
              <w:spacing w:line="218" w:lineRule="auto"/>
              <w:ind w:firstLine="160"/>
              <w:rPr>
                <w:sz w:val="15"/>
                <w:szCs w:val="15"/>
              </w:rPr>
            </w:pPr>
            <w:r>
              <w:rPr>
                <w:sz w:val="15"/>
                <w:szCs w:val="15"/>
              </w:rPr>
              <w:t xml:space="preserve">V té rozložité činnosti zavadil Karel Čapek během devatenácti let přirozeně téměř o všecko. </w:t>
            </w:r>
            <w:r>
              <w:rPr>
                <w:sz w:val="15"/>
                <w:szCs w:val="15"/>
                <w:lang w:val="en-US" w:eastAsia="en-US" w:bidi="en-US"/>
              </w:rPr>
              <w:t xml:space="preserve">Casto </w:t>
            </w:r>
            <w:r>
              <w:rPr>
                <w:sz w:val="15"/>
                <w:szCs w:val="15"/>
              </w:rPr>
              <w:t>zabrousil do politiky, kde jeho smí</w:t>
            </w:r>
            <w:r>
              <w:rPr>
                <w:sz w:val="15"/>
                <w:szCs w:val="15"/>
              </w:rPr>
              <w:t>řlivá povaha, usilující stále o harmonické sblížení, slou</w:t>
            </w:r>
            <w:r>
              <w:rPr>
                <w:sz w:val="15"/>
                <w:szCs w:val="15"/>
              </w:rPr>
              <w:softHyphen/>
              <w:t>čení a dorozumění, nebývala v třesku partajních svárů dost po</w:t>
            </w:r>
            <w:r>
              <w:rPr>
                <w:sz w:val="15"/>
                <w:szCs w:val="15"/>
              </w:rPr>
              <w:softHyphen/>
              <w:t>chopena. Poměrně nejméně Čapek psal o životě literárním a diva</w:t>
            </w:r>
            <w:r>
              <w:rPr>
                <w:sz w:val="15"/>
                <w:szCs w:val="15"/>
              </w:rPr>
              <w:softHyphen/>
              <w:t>delním; měl s tím hořké zkuše</w:t>
            </w:r>
            <w:r>
              <w:rPr>
                <w:sz w:val="15"/>
                <w:szCs w:val="15"/>
              </w:rPr>
              <w:softHyphen/>
              <w:t>nosti a ačkoliv ho už léta vábilo psát o pr</w:t>
            </w:r>
            <w:r>
              <w:rPr>
                <w:sz w:val="15"/>
                <w:szCs w:val="15"/>
              </w:rPr>
              <w:t>oblémech tvorby a slohu, odsouval to stále do let pozděj</w:t>
            </w:r>
            <w:r>
              <w:rPr>
                <w:sz w:val="15"/>
                <w:szCs w:val="15"/>
              </w:rPr>
              <w:softHyphen/>
              <w:t>ších. Jádro jeho sloupků tvoři vlastně témata prostá a všední, věci a pozorování každodenního života, které však uměl ozářiti takovou krásou, tolikerou půvab- ností a učinit! je ve svém užas</w:t>
            </w:r>
            <w:r>
              <w:rPr>
                <w:sz w:val="15"/>
                <w:szCs w:val="15"/>
              </w:rPr>
              <w:softHyphen/>
              <w:t>lém pohl</w:t>
            </w:r>
            <w:r>
              <w:rPr>
                <w:sz w:val="15"/>
                <w:szCs w:val="15"/>
              </w:rPr>
              <w:t>edu tak hodnými pomilo</w:t>
            </w:r>
            <w:r>
              <w:rPr>
                <w:sz w:val="15"/>
                <w:szCs w:val="15"/>
              </w:rPr>
              <w:softHyphen/>
              <w:t>vání, že čtenář cítil, jak mu šedá vlastní existence bohatne a stojí za prožití.</w:t>
            </w:r>
          </w:p>
          <w:p w:rsidR="00500724" w:rsidRDefault="00F30FB8">
            <w:pPr>
              <w:pStyle w:val="Jin0"/>
              <w:shd w:val="clear" w:color="auto" w:fill="auto"/>
              <w:spacing w:line="218" w:lineRule="auto"/>
              <w:ind w:firstLine="160"/>
              <w:rPr>
                <w:sz w:val="15"/>
                <w:szCs w:val="15"/>
              </w:rPr>
            </w:pPr>
            <w:r>
              <w:rPr>
                <w:sz w:val="15"/>
                <w:szCs w:val="15"/>
              </w:rPr>
              <w:t>Od věcí přecházel Čapek k li</w:t>
            </w:r>
            <w:r>
              <w:rPr>
                <w:sz w:val="15"/>
                <w:szCs w:val="15"/>
              </w:rPr>
              <w:softHyphen/>
              <w:t>dem a k národu, stále naplněn touž laskavou pozorností k skryté kráse a ušlechtilosti, pravý apoštol lidské družnosti, trpě</w:t>
            </w:r>
            <w:r>
              <w:rPr>
                <w:sz w:val="15"/>
                <w:szCs w:val="15"/>
              </w:rPr>
              <w:softHyphen/>
              <w:t>livý objevovatel lepšího člověka uprostřed lidské bestiality a veli</w:t>
            </w:r>
            <w:r>
              <w:rPr>
                <w:sz w:val="15"/>
                <w:szCs w:val="15"/>
              </w:rPr>
              <w:softHyphen/>
              <w:t>ký utěšovatel srdcí toužících po spravedlnosti. Soukromé Čap</w:t>
            </w:r>
            <w:r>
              <w:rPr>
                <w:sz w:val="15"/>
                <w:szCs w:val="15"/>
              </w:rPr>
              <w:softHyphen/>
              <w:t>kovo zahradničení, k němuž se od novin utíkal, bylo velikým da</w:t>
            </w:r>
            <w:r>
              <w:rPr>
                <w:sz w:val="15"/>
                <w:szCs w:val="15"/>
              </w:rPr>
              <w:softHyphen/>
              <w:t>rem světu, neboť v něm dozrálo básníkovo pochopení života a z n</w:t>
            </w:r>
            <w:r>
              <w:rPr>
                <w:sz w:val="15"/>
                <w:szCs w:val="15"/>
              </w:rPr>
              <w:t>ěho přinášel čtenářům svého deníku nejen úchvatné obrazy přírodního děni, ale i odhalená tajemství životního řádu s jeho odvěkou harmonií a neporušitel-</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spacing w:line="218" w:lineRule="auto"/>
              <w:ind w:firstLine="0"/>
              <w:rPr>
                <w:sz w:val="15"/>
                <w:szCs w:val="15"/>
              </w:rPr>
            </w:pPr>
            <w:r>
              <w:rPr>
                <w:sz w:val="15"/>
                <w:szCs w:val="15"/>
              </w:rPr>
              <w:t>nou přípravou časů budoucích. Karel Čapek, který začal tím, že z novin vytvářel literaturu, dospěl k té</w:t>
            </w:r>
            <w:r>
              <w:rPr>
                <w:sz w:val="15"/>
                <w:szCs w:val="15"/>
              </w:rPr>
              <w:t xml:space="preserve"> tvůrčí velikosti, kdy mistrovstvím slova a denní služ</w:t>
            </w:r>
            <w:r>
              <w:rPr>
                <w:sz w:val="15"/>
                <w:szCs w:val="15"/>
              </w:rPr>
              <w:softHyphen/>
              <w:t>bou novin přetvářel život pro ži</w:t>
            </w:r>
            <w:r>
              <w:rPr>
                <w:sz w:val="15"/>
                <w:szCs w:val="15"/>
              </w:rPr>
              <w:softHyphen/>
              <w:t>vot.</w:t>
            </w:r>
          </w:p>
          <w:p w:rsidR="00500724" w:rsidRDefault="00F30FB8">
            <w:pPr>
              <w:pStyle w:val="Jin0"/>
              <w:shd w:val="clear" w:color="auto" w:fill="auto"/>
              <w:tabs>
                <w:tab w:val="left" w:pos="1133"/>
                <w:tab w:val="left" w:pos="1502"/>
              </w:tabs>
              <w:spacing w:line="218" w:lineRule="auto"/>
              <w:rPr>
                <w:sz w:val="15"/>
                <w:szCs w:val="15"/>
              </w:rPr>
            </w:pPr>
            <w:r>
              <w:rPr>
                <w:sz w:val="15"/>
                <w:szCs w:val="15"/>
              </w:rPr>
              <w:t>Mistrovství slova je nejvýznač</w:t>
            </w:r>
            <w:r>
              <w:rPr>
                <w:sz w:val="15"/>
                <w:szCs w:val="15"/>
              </w:rPr>
              <w:softHyphen/>
              <w:t>nější formální známka Čapkovy působnosti v novinách. Miloval řeč, kterou pěstoval, chránil a šlechtil jako nejkrásnější a nej- vzácn</w:t>
            </w:r>
            <w:r>
              <w:rPr>
                <w:sz w:val="15"/>
                <w:szCs w:val="15"/>
              </w:rPr>
              <w:t>ějši bylinu své zahrádky. Jeho vzděláni a znalosti podivu</w:t>
            </w:r>
            <w:r>
              <w:rPr>
                <w:sz w:val="15"/>
                <w:szCs w:val="15"/>
              </w:rPr>
              <w:softHyphen/>
              <w:t>hodně rozprostřené i po všelikých odlehlých koutech lidské čin</w:t>
            </w:r>
            <w:r>
              <w:rPr>
                <w:sz w:val="15"/>
                <w:szCs w:val="15"/>
              </w:rPr>
              <w:softHyphen/>
              <w:t>nosti, zásobovaly ho nevyčerpa</w:t>
            </w:r>
            <w:r>
              <w:rPr>
                <w:sz w:val="15"/>
                <w:szCs w:val="15"/>
              </w:rPr>
              <w:softHyphen/>
              <w:t>telným pokladem slov a výrazů, které oceňoval po všech jejich odstínech i co do lahody zvuku a barvy hlá</w:t>
            </w:r>
            <w:r>
              <w:rPr>
                <w:sz w:val="15"/>
                <w:szCs w:val="15"/>
              </w:rPr>
              <w:t>sek a melodické ka- dence. V začátcích ho vábilo hý</w:t>
            </w:r>
            <w:r>
              <w:rPr>
                <w:sz w:val="15"/>
                <w:szCs w:val="15"/>
              </w:rPr>
              <w:softHyphen/>
              <w:t xml:space="preserve">řit přímo tímto bohatstvím, kupit synonyma, aby se to třpytilo všemi facettami mluvy básnické, lidové, předměstské, starodávné, biblické, venkovské, odborné i žar- gonni, ale jak jeho mistrovství rostlo, </w:t>
            </w:r>
            <w:r>
              <w:rPr>
                <w:sz w:val="15"/>
                <w:szCs w:val="15"/>
              </w:rPr>
              <w:t>učil se i tu vybírat a vy- brušovat, omezovat se na to je</w:t>
            </w:r>
            <w:r>
              <w:rPr>
                <w:sz w:val="15"/>
                <w:szCs w:val="15"/>
              </w:rPr>
              <w:softHyphen/>
              <w:t>diné pravé. Tak dospěl k vrchol</w:t>
            </w:r>
            <w:r>
              <w:rPr>
                <w:sz w:val="15"/>
                <w:szCs w:val="15"/>
              </w:rPr>
              <w:softHyphen/>
              <w:t>nému uméni prosté a živé věty, nepatetické</w:t>
            </w:r>
            <w:r>
              <w:rPr>
                <w:sz w:val="15"/>
                <w:szCs w:val="15"/>
              </w:rPr>
              <w:tab/>
              <w:t>a</w:t>
            </w:r>
            <w:r>
              <w:rPr>
                <w:sz w:val="15"/>
                <w:szCs w:val="15"/>
              </w:rPr>
              <w:tab/>
              <w:t>nepokroucené,</w:t>
            </w:r>
          </w:p>
          <w:p w:rsidR="00500724" w:rsidRDefault="00F30FB8">
            <w:pPr>
              <w:pStyle w:val="Jin0"/>
              <w:shd w:val="clear" w:color="auto" w:fill="auto"/>
              <w:spacing w:after="40" w:line="218" w:lineRule="auto"/>
              <w:ind w:firstLine="0"/>
              <w:rPr>
                <w:sz w:val="15"/>
                <w:szCs w:val="15"/>
              </w:rPr>
            </w:pPr>
            <w:r>
              <w:rPr>
                <w:sz w:val="15"/>
                <w:szCs w:val="15"/>
              </w:rPr>
              <w:t>věty takřka občanské a všední a při tom výsostné básnické a ne</w:t>
            </w:r>
            <w:r>
              <w:rPr>
                <w:sz w:val="15"/>
                <w:szCs w:val="15"/>
              </w:rPr>
              <w:softHyphen/>
              <w:t>všední, protože každé její slovíč</w:t>
            </w:r>
            <w:r>
              <w:rPr>
                <w:sz w:val="15"/>
                <w:szCs w:val="15"/>
              </w:rPr>
              <w:softHyphen/>
              <w:t>ko jako by</w:t>
            </w:r>
            <w:r>
              <w:rPr>
                <w:sz w:val="15"/>
                <w:szCs w:val="15"/>
              </w:rPr>
              <w:t xml:space="preserve"> neslo auru duchovní</w:t>
            </w:r>
            <w:r>
              <w:rPr>
                <w:sz w:val="15"/>
                <w:szCs w:val="15"/>
              </w:rPr>
              <w:softHyphen/>
              <w:t>ho zasvěcení. Čapek znal doko</w:t>
            </w:r>
            <w:r>
              <w:rPr>
                <w:sz w:val="15"/>
                <w:szCs w:val="15"/>
              </w:rPr>
              <w:softHyphen/>
              <w:t>nale techniku monologu i dialogu, věděl, jak konstruovat větu, aby zaujala, zaútočila, zachytila, pře</w:t>
            </w:r>
            <w:r>
              <w:rPr>
                <w:sz w:val="15"/>
                <w:szCs w:val="15"/>
              </w:rPr>
              <w:softHyphen/>
              <w:t>mohla čtenáře; byl virtuos větné skladby, caesury, vsuvky, všeho, čím oživit a dynamisovat souvětí za s</w:t>
            </w:r>
            <w:r>
              <w:rPr>
                <w:sz w:val="15"/>
                <w:szCs w:val="15"/>
              </w:rPr>
              <w:t>ouvětím. Ale především a nade vše byl mezi českými spiso</w:t>
            </w:r>
            <w:r>
              <w:rPr>
                <w:sz w:val="15"/>
                <w:szCs w:val="15"/>
              </w:rPr>
              <w:softHyphen/>
              <w:t>vateli největší mistr v tom, kte</w:t>
            </w:r>
            <w:r>
              <w:rPr>
                <w:sz w:val="15"/>
                <w:szCs w:val="15"/>
              </w:rPr>
              <w:softHyphen/>
              <w:t>rak i lidovému čtenáři rozklenout krásy nebes a země duše básnic</w:t>
            </w:r>
            <w:r>
              <w:rPr>
                <w:sz w:val="15"/>
                <w:szCs w:val="15"/>
              </w:rPr>
              <w:softHyphen/>
              <w:t>ké a dát mu vejít v tento útěšný eden. A Karel Čapek byl jediný, který mohl pro srdce a ducha nejpros</w:t>
            </w:r>
            <w:r>
              <w:rPr>
                <w:sz w:val="15"/>
                <w:szCs w:val="15"/>
              </w:rPr>
              <w:t>tšího českého člověka vy</w:t>
            </w:r>
            <w:r>
              <w:rPr>
                <w:sz w:val="15"/>
                <w:szCs w:val="15"/>
              </w:rPr>
              <w:softHyphen/>
              <w:t>tvořit své hovory s T. G. M., rozdat celému národu tento na věku hořící plamen české národ</w:t>
            </w:r>
            <w:r>
              <w:rPr>
                <w:sz w:val="15"/>
                <w:szCs w:val="15"/>
              </w:rPr>
              <w:softHyphen/>
              <w:t xml:space="preserve">ní </w:t>
            </w:r>
            <w:r>
              <w:rPr>
                <w:i/>
                <w:iCs/>
                <w:sz w:val="15"/>
                <w:szCs w:val="15"/>
              </w:rPr>
              <w:t>a</w:t>
            </w:r>
            <w:r>
              <w:rPr>
                <w:sz w:val="15"/>
                <w:szCs w:val="15"/>
              </w:rPr>
              <w:t xml:space="preserve"> lidské myšlenky a nic ne</w:t>
            </w:r>
            <w:r>
              <w:rPr>
                <w:sz w:val="15"/>
                <w:szCs w:val="15"/>
              </w:rPr>
              <w:softHyphen/>
              <w:t>ztratit z jeho mohutné sily, záře, zápalnosti a hřejívosti.</w:t>
            </w:r>
          </w:p>
          <w:p w:rsidR="00500724" w:rsidRDefault="00F30FB8">
            <w:pPr>
              <w:pStyle w:val="Jin0"/>
              <w:shd w:val="clear" w:color="auto" w:fill="auto"/>
              <w:spacing w:line="221" w:lineRule="auto"/>
              <w:rPr>
                <w:sz w:val="15"/>
                <w:szCs w:val="15"/>
              </w:rPr>
            </w:pPr>
            <w:r>
              <w:rPr>
                <w:sz w:val="15"/>
                <w:szCs w:val="15"/>
              </w:rPr>
              <w:t>To byl zajisté největší čin Karla Capka-novináře.</w:t>
            </w:r>
          </w:p>
        </w:tc>
      </w:tr>
      <w:tr w:rsidR="00500724">
        <w:tblPrEx>
          <w:tblCellMar>
            <w:top w:w="0" w:type="dxa"/>
            <w:bottom w:w="0" w:type="dxa"/>
          </w:tblCellMar>
        </w:tblPrEx>
        <w:trPr>
          <w:trHeight w:hRule="exact" w:val="3250"/>
          <w:jc w:val="center"/>
        </w:trPr>
        <w:tc>
          <w:tcPr>
            <w:tcW w:w="0" w:type="auto"/>
            <w:gridSpan w:val="2"/>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spacing w:after="460"/>
              <w:ind w:right="200" w:firstLine="0"/>
              <w:jc w:val="right"/>
              <w:rPr>
                <w:sz w:val="13"/>
                <w:szCs w:val="13"/>
              </w:rPr>
            </w:pPr>
            <w:r>
              <w:rPr>
                <w:rFonts w:ascii="Arial" w:eastAsia="Arial" w:hAnsi="Arial" w:cs="Arial"/>
                <w:b/>
                <w:bCs/>
                <w:sz w:val="13"/>
                <w:szCs w:val="13"/>
              </w:rPr>
              <w:t>V sebemenším bytě</w:t>
            </w:r>
          </w:p>
          <w:p w:rsidR="00500724" w:rsidRDefault="00F30FB8">
            <w:pPr>
              <w:pStyle w:val="Jin0"/>
              <w:shd w:val="clear" w:color="auto" w:fill="auto"/>
              <w:ind w:left="200" w:firstLine="0"/>
              <w:jc w:val="left"/>
              <w:rPr>
                <w:sz w:val="40"/>
                <w:szCs w:val="40"/>
              </w:rPr>
            </w:pPr>
            <w:r>
              <w:rPr>
                <w:rFonts w:ascii="Arial" w:eastAsia="Arial" w:hAnsi="Arial" w:cs="Arial"/>
                <w:sz w:val="40"/>
                <w:szCs w:val="40"/>
              </w:rPr>
              <w:t>PRACOVNÍM STOLKEM</w:t>
            </w:r>
          </w:p>
          <w:p w:rsidR="00500724" w:rsidRDefault="00F30FB8">
            <w:pPr>
              <w:pStyle w:val="Jin0"/>
              <w:shd w:val="clear" w:color="auto" w:fill="auto"/>
              <w:spacing w:after="160"/>
              <w:ind w:left="1520" w:firstLine="0"/>
              <w:jc w:val="left"/>
            </w:pPr>
            <w:r>
              <w:t>ř. 310</w:t>
            </w:r>
          </w:p>
          <w:p w:rsidR="00500724" w:rsidRDefault="00F30FB8">
            <w:pPr>
              <w:pStyle w:val="Jin0"/>
              <w:shd w:val="clear" w:color="auto" w:fill="auto"/>
              <w:tabs>
                <w:tab w:val="left" w:pos="3262"/>
              </w:tabs>
              <w:ind w:left="1020" w:firstLine="0"/>
            </w:pPr>
            <w:r>
              <w:t>65 cm hlubokým</w:t>
            </w:r>
            <w:r>
              <w:tab/>
              <w:t>|^Bt^3lLHLI.IIÍ</w:t>
            </w:r>
            <w:r>
              <w:rPr>
                <w:vertAlign w:val="superscript"/>
              </w:rPr>
              <w:t>-</w:t>
            </w:r>
            <w:r>
              <w:t>l</w:t>
            </w:r>
          </w:p>
          <w:p w:rsidR="00500724" w:rsidRDefault="00F30FB8">
            <w:pPr>
              <w:pStyle w:val="Jin0"/>
              <w:shd w:val="clear" w:color="auto" w:fill="auto"/>
              <w:ind w:left="1320" w:firstLine="20"/>
              <w:jc w:val="left"/>
            </w:pPr>
            <w:r>
              <w:t>nástroj</w:t>
            </w:r>
          </w:p>
          <w:p w:rsidR="00500724" w:rsidRDefault="00F30FB8">
            <w:pPr>
              <w:pStyle w:val="Jin0"/>
              <w:shd w:val="clear" w:color="auto" w:fill="auto"/>
              <w:tabs>
                <w:tab w:val="left" w:pos="3542"/>
                <w:tab w:val="left" w:pos="4036"/>
                <w:tab w:val="left" w:pos="4919"/>
              </w:tabs>
              <w:spacing w:line="180" w:lineRule="auto"/>
              <w:ind w:left="460" w:firstLine="0"/>
              <w:rPr>
                <w:sz w:val="40"/>
                <w:szCs w:val="40"/>
              </w:rPr>
            </w:pPr>
            <w:r>
              <w:t>POŘÁDKU A POHODLI</w:t>
            </w:r>
            <w:r>
              <w:tab/>
            </w:r>
            <w:r>
              <w:rPr>
                <w:rFonts w:ascii="Arial" w:eastAsia="Arial" w:hAnsi="Arial" w:cs="Arial"/>
                <w:sz w:val="40"/>
                <w:szCs w:val="40"/>
              </w:rPr>
              <w:t>li</w:t>
            </w:r>
            <w:r>
              <w:rPr>
                <w:rFonts w:ascii="Arial" w:eastAsia="Arial" w:hAnsi="Arial" w:cs="Arial"/>
                <w:sz w:val="40"/>
                <w:szCs w:val="40"/>
              </w:rPr>
              <w:tab/>
              <w:t>#</w:t>
            </w:r>
            <w:r>
              <w:rPr>
                <w:rFonts w:ascii="Arial" w:eastAsia="Arial" w:hAnsi="Arial" w:cs="Arial"/>
                <w:sz w:val="40"/>
                <w:szCs w:val="40"/>
              </w:rPr>
              <w:tab/>
              <w:t>*</w:t>
            </w:r>
          </w:p>
          <w:p w:rsidR="00500724" w:rsidRDefault="00F30FB8">
            <w:pPr>
              <w:pStyle w:val="Jin0"/>
              <w:shd w:val="clear" w:color="auto" w:fill="auto"/>
              <w:spacing w:after="160" w:line="199" w:lineRule="auto"/>
              <w:ind w:right="200" w:firstLine="0"/>
              <w:jc w:val="right"/>
            </w:pPr>
            <w:r>
              <w:t>PRAHA 11.. Vodičkova 22</w:t>
            </w:r>
          </w:p>
        </w:tc>
      </w:tr>
      <w:tr w:rsidR="00500724">
        <w:tblPrEx>
          <w:tblCellMar>
            <w:top w:w="0" w:type="dxa"/>
            <w:bottom w:w="0" w:type="dxa"/>
          </w:tblCellMar>
        </w:tblPrEx>
        <w:trPr>
          <w:trHeight w:hRule="exact" w:val="149"/>
          <w:jc w:val="center"/>
        </w:trPr>
        <w:tc>
          <w:tcPr>
            <w:tcW w:w="0" w:type="auto"/>
            <w:gridSpan w:val="2"/>
            <w:tcBorders>
              <w:top w:val="single" w:sz="4" w:space="0" w:color="auto"/>
              <w:left w:val="single" w:sz="4" w:space="0" w:color="auto"/>
              <w:right w:val="single" w:sz="4" w:space="0" w:color="auto"/>
            </w:tcBorders>
            <w:shd w:val="clear" w:color="auto" w:fill="FFFFFF"/>
          </w:tcPr>
          <w:p w:rsidR="00500724" w:rsidRDefault="00500724">
            <w:pPr>
              <w:rPr>
                <w:sz w:val="10"/>
                <w:szCs w:val="10"/>
              </w:rPr>
            </w:pPr>
          </w:p>
        </w:tc>
      </w:tr>
      <w:tr w:rsidR="00500724">
        <w:tblPrEx>
          <w:tblCellMar>
            <w:top w:w="0" w:type="dxa"/>
            <w:bottom w:w="0" w:type="dxa"/>
          </w:tblCellMar>
        </w:tblPrEx>
        <w:trPr>
          <w:trHeight w:hRule="exact" w:val="1421"/>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spacing w:line="230" w:lineRule="auto"/>
              <w:ind w:firstLine="160"/>
              <w:rPr>
                <w:sz w:val="15"/>
                <w:szCs w:val="15"/>
              </w:rPr>
            </w:pPr>
            <w:r>
              <w:t xml:space="preserve">U </w:t>
            </w:r>
            <w:r>
              <w:rPr>
                <w:sz w:val="15"/>
                <w:szCs w:val="15"/>
              </w:rPr>
              <w:t xml:space="preserve">nás roste káva. Každoročně urodí se u nás tisíce metrických centů výživného plnozmného žita. Z těch nejhodnotnějších </w:t>
            </w:r>
            <w:r>
              <w:rPr>
                <w:sz w:val="15"/>
                <w:szCs w:val="15"/>
              </w:rPr>
              <w:t>druhů se pak připravuje Perola, oblíbená žitná káva. Proto Perola tak chutná, proto je tak výživná.</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shd w:val="clear" w:color="auto" w:fill="auto"/>
              <w:ind w:firstLine="0"/>
              <w:rPr>
                <w:sz w:val="15"/>
                <w:szCs w:val="15"/>
              </w:rPr>
            </w:pPr>
            <w:r>
              <w:rPr>
                <w:sz w:val="15"/>
                <w:szCs w:val="15"/>
              </w:rPr>
              <w:t>Káva z Karo-Franckovky a Pe- roly prospívá srdci I žaludku a dává silu dětem 1 dospělým. Pe</w:t>
            </w:r>
            <w:r>
              <w:rPr>
                <w:sz w:val="15"/>
                <w:szCs w:val="15"/>
              </w:rPr>
              <w:softHyphen/>
              <w:t>rola a Franckovka je naše káva, svěděl zdraví a pomáhá tvořit le</w:t>
            </w:r>
            <w:r>
              <w:rPr>
                <w:sz w:val="15"/>
                <w:szCs w:val="15"/>
              </w:rPr>
              <w:t>pší budoucnost našeho hospo</w:t>
            </w:r>
            <w:r>
              <w:rPr>
                <w:sz w:val="15"/>
                <w:szCs w:val="15"/>
              </w:rPr>
              <w:softHyphen/>
              <w:t>dářství.</w:t>
            </w:r>
          </w:p>
        </w:tc>
      </w:tr>
    </w:tbl>
    <w:p w:rsidR="00500724" w:rsidRDefault="00F30FB8">
      <w:pPr>
        <w:pStyle w:val="Jin0"/>
        <w:shd w:val="clear" w:color="auto" w:fill="auto"/>
        <w:spacing w:after="400"/>
        <w:ind w:right="100" w:firstLine="0"/>
        <w:jc w:val="center"/>
        <w:rPr>
          <w:sz w:val="40"/>
          <w:szCs w:val="40"/>
        </w:rPr>
      </w:pPr>
      <w:r>
        <w:rPr>
          <w:i/>
          <w:iCs/>
          <w:sz w:val="40"/>
          <w:szCs w:val="40"/>
        </w:rPr>
        <w:t>$emné dapi&amp;ni papvty,</w:t>
      </w:r>
    </w:p>
    <w:p w:rsidR="00500724" w:rsidRDefault="00F30FB8">
      <w:pPr>
        <w:pStyle w:val="Jin0"/>
        <w:shd w:val="clear" w:color="auto" w:fill="auto"/>
        <w:spacing w:after="340"/>
        <w:ind w:right="300" w:firstLine="0"/>
        <w:jc w:val="right"/>
        <w:rPr>
          <w:sz w:val="34"/>
          <w:szCs w:val="34"/>
        </w:rPr>
      </w:pPr>
      <w:r>
        <w:rPr>
          <w:rFonts w:ascii="Arial" w:eastAsia="Arial" w:hAnsi="Arial" w:cs="Arial"/>
          <w:b/>
          <w:bCs/>
          <w:i/>
          <w:iCs/>
          <w:sz w:val="34"/>
          <w:szCs w:val="34"/>
        </w:rPr>
        <w:t>spaCMivá zlatá plnicí peca</w:t>
      </w:r>
    </w:p>
    <w:p w:rsidR="00500724" w:rsidRDefault="00F30FB8">
      <w:pPr>
        <w:pStyle w:val="Jin0"/>
        <w:shd w:val="clear" w:color="auto" w:fill="auto"/>
        <w:ind w:left="380" w:firstLine="20"/>
        <w:jc w:val="left"/>
        <w:rPr>
          <w:sz w:val="102"/>
          <w:szCs w:val="102"/>
        </w:rPr>
      </w:pPr>
      <w:r>
        <w:rPr>
          <w:b/>
          <w:bCs/>
          <w:w w:val="50"/>
          <w:sz w:val="102"/>
          <w:szCs w:val="102"/>
          <w:lang w:val="en-US" w:eastAsia="en-US" w:bidi="en-US"/>
        </w:rPr>
        <w:t>KAREL KELLNER</w:t>
      </w:r>
    </w:p>
    <w:p w:rsidR="00500724" w:rsidRDefault="00F30FB8">
      <w:pPr>
        <w:pStyle w:val="Jin0"/>
        <w:shd w:val="clear" w:color="auto" w:fill="auto"/>
        <w:spacing w:after="40"/>
        <w:ind w:left="380" w:firstLine="20"/>
        <w:jc w:val="left"/>
        <w:rPr>
          <w:sz w:val="70"/>
          <w:szCs w:val="70"/>
        </w:rPr>
      </w:pPr>
      <w:r>
        <w:rPr>
          <w:rFonts w:ascii="Arial" w:eastAsia="Arial" w:hAnsi="Arial" w:cs="Arial"/>
          <w:b/>
          <w:bCs/>
          <w:sz w:val="70"/>
          <w:szCs w:val="70"/>
        </w:rPr>
        <w:t>PRAHA,</w:t>
      </w:r>
    </w:p>
    <w:p w:rsidR="00500724" w:rsidRDefault="00F30FB8">
      <w:pPr>
        <w:pStyle w:val="Jin0"/>
        <w:shd w:val="clear" w:color="auto" w:fill="auto"/>
        <w:spacing w:after="140"/>
        <w:ind w:left="1440" w:firstLine="20"/>
        <w:jc w:val="left"/>
        <w:rPr>
          <w:sz w:val="8"/>
          <w:szCs w:val="8"/>
        </w:rPr>
      </w:pPr>
      <w:r>
        <w:rPr>
          <w:rFonts w:ascii="Arial" w:eastAsia="Arial" w:hAnsi="Arial" w:cs="Arial"/>
          <w:b/>
          <w:bCs/>
          <w:sz w:val="8"/>
          <w:szCs w:val="8"/>
          <w:u w:val="single"/>
        </w:rPr>
        <w:t xml:space="preserve">■ ■■ I ■ </w:t>
      </w:r>
      <w:r>
        <w:rPr>
          <w:rFonts w:ascii="Arial" w:eastAsia="Arial" w:hAnsi="Arial" w:cs="Arial"/>
          <w:b/>
          <w:bCs/>
          <w:sz w:val="8"/>
          <w:szCs w:val="8"/>
          <w:u w:val="single"/>
          <w:lang w:val="en-US" w:eastAsia="en-US" w:bidi="en-US"/>
        </w:rPr>
        <w:t xml:space="preserve">11 111 </w:t>
      </w:r>
      <w:r>
        <w:rPr>
          <w:rFonts w:ascii="Arial" w:eastAsia="Arial" w:hAnsi="Arial" w:cs="Arial"/>
          <w:b/>
          <w:bCs/>
          <w:sz w:val="8"/>
          <w:szCs w:val="8"/>
          <w:u w:val="single"/>
        </w:rPr>
        <w:t xml:space="preserve">II </w:t>
      </w:r>
      <w:r>
        <w:rPr>
          <w:rFonts w:ascii="Arial" w:eastAsia="Arial" w:hAnsi="Arial" w:cs="Arial"/>
          <w:b/>
          <w:bCs/>
          <w:sz w:val="8"/>
          <w:szCs w:val="8"/>
          <w:u w:val="single"/>
          <w:lang w:val="en-US" w:eastAsia="en-US" w:bidi="en-US"/>
        </w:rPr>
        <w:t>1</w:t>
      </w:r>
      <w:r>
        <w:rPr>
          <w:rFonts w:ascii="Arial" w:eastAsia="Arial" w:hAnsi="Arial" w:cs="Arial"/>
          <w:b/>
          <w:bCs/>
          <w:sz w:val="8"/>
          <w:szCs w:val="8"/>
          <w:u w:val="single"/>
        </w:rPr>
        <w:t xml:space="preserve">1 il !■«■ 1IB </w:t>
      </w:r>
      <w:r>
        <w:rPr>
          <w:rFonts w:ascii="Arial" w:eastAsia="Arial" w:hAnsi="Arial" w:cs="Arial"/>
          <w:b/>
          <w:bCs/>
          <w:sz w:val="8"/>
          <w:szCs w:val="8"/>
          <w:u w:val="single"/>
          <w:lang w:val="en-US" w:eastAsia="en-US" w:bidi="en-US"/>
        </w:rPr>
        <w:t xml:space="preserve">HIM </w:t>
      </w:r>
      <w:r>
        <w:rPr>
          <w:rFonts w:ascii="Arial" w:eastAsia="Arial" w:hAnsi="Arial" w:cs="Arial"/>
          <w:b/>
          <w:bCs/>
          <w:sz w:val="8"/>
          <w:szCs w:val="8"/>
          <w:u w:val="single"/>
        </w:rPr>
        <w:t>■ ■■■■■IKOiagOTWMBtMBBBMMBnWEgqtaMMiaBI</w:t>
      </w:r>
    </w:p>
    <w:p w:rsidR="00500724" w:rsidRDefault="00F30FB8">
      <w:pPr>
        <w:pStyle w:val="Jin0"/>
        <w:shd w:val="clear" w:color="auto" w:fill="auto"/>
        <w:spacing w:after="140"/>
        <w:ind w:right="300" w:firstLine="0"/>
        <w:jc w:val="right"/>
        <w:rPr>
          <w:sz w:val="38"/>
          <w:szCs w:val="38"/>
        </w:rPr>
      </w:pPr>
      <w:r>
        <w:rPr>
          <w:rFonts w:ascii="Arial" w:eastAsia="Arial" w:hAnsi="Arial" w:cs="Arial"/>
          <w:b/>
          <w:bCs/>
          <w:sz w:val="38"/>
          <w:szCs w:val="38"/>
        </w:rPr>
        <w:t>Václavské nám 25.</w:t>
      </w:r>
    </w:p>
    <w:p w:rsidR="00500724" w:rsidRDefault="00F30FB8">
      <w:pPr>
        <w:pStyle w:val="Nadpis100"/>
        <w:shd w:val="clear" w:color="auto" w:fill="auto"/>
        <w:spacing w:after="140" w:line="240" w:lineRule="auto"/>
        <w:ind w:right="300"/>
        <w:jc w:val="right"/>
      </w:pPr>
      <w:bookmarkStart w:id="175" w:name="bookmark174"/>
      <w:r>
        <w:rPr>
          <w:rFonts w:ascii="Arial" w:eastAsia="Arial" w:hAnsi="Arial" w:cs="Arial"/>
        </w:rPr>
        <w:t>Nároží krásných dárků</w:t>
      </w:r>
      <w:bookmarkEnd w:id="175"/>
    </w:p>
    <w:p w:rsidR="00500724" w:rsidRDefault="00F30FB8">
      <w:pPr>
        <w:pStyle w:val="Jin0"/>
        <w:shd w:val="clear" w:color="auto" w:fill="auto"/>
        <w:spacing w:after="140"/>
        <w:ind w:right="100" w:firstLine="0"/>
        <w:jc w:val="center"/>
        <w:rPr>
          <w:sz w:val="38"/>
          <w:szCs w:val="38"/>
        </w:rPr>
      </w:pPr>
      <w:r>
        <w:rPr>
          <w:rFonts w:ascii="Arial" w:eastAsia="Arial" w:hAnsi="Arial" w:cs="Arial"/>
          <w:b/>
          <w:bCs/>
          <w:sz w:val="38"/>
          <w:szCs w:val="38"/>
        </w:rPr>
        <w:t>Dlouhá Iř. 17.</w:t>
      </w:r>
    </w:p>
    <w:p w:rsidR="00500724" w:rsidRDefault="00F30FB8">
      <w:pPr>
        <w:pStyle w:val="Jin0"/>
        <w:shd w:val="clear" w:color="auto" w:fill="auto"/>
        <w:spacing w:after="140"/>
        <w:ind w:right="300" w:firstLine="0"/>
        <w:jc w:val="right"/>
        <w:rPr>
          <w:sz w:val="28"/>
          <w:szCs w:val="28"/>
        </w:rPr>
        <w:sectPr w:rsidR="00500724">
          <w:footnotePr>
            <w:numFmt w:val="chicago"/>
            <w:numRestart w:val="eachPage"/>
          </w:footnotePr>
          <w:pgSz w:w="11909" w:h="16834"/>
          <w:pgMar w:top="579" w:right="1298" w:bottom="346" w:left="36" w:header="0" w:footer="3" w:gutter="0"/>
          <w:cols w:num="2" w:sep="1" w:space="100"/>
          <w:noEndnote/>
          <w:docGrid w:linePitch="360"/>
        </w:sectPr>
      </w:pPr>
      <w:r>
        <w:rPr>
          <w:b/>
          <w:bCs/>
          <w:sz w:val="28"/>
          <w:szCs w:val="28"/>
          <w:u w:val="single"/>
        </w:rPr>
        <w:t>poblíž Staroměstského nám.</w:t>
      </w:r>
    </w:p>
    <w:p w:rsidR="00500724" w:rsidRDefault="00F30FB8">
      <w:pPr>
        <w:pStyle w:val="Nadpis30"/>
        <w:keepNext/>
        <w:keepLines/>
        <w:shd w:val="clear" w:color="auto" w:fill="auto"/>
        <w:spacing w:after="0"/>
      </w:pPr>
      <w:bookmarkStart w:id="176" w:name="bookmark177"/>
      <w:r>
        <w:t>PítomnosO</w:t>
      </w:r>
      <w:bookmarkEnd w:id="176"/>
    </w:p>
    <w:p w:rsidR="00500724" w:rsidRDefault="00F30FB8">
      <w:pPr>
        <w:spacing w:line="14" w:lineRule="exact"/>
        <w:sectPr w:rsidR="00500724">
          <w:footnotePr>
            <w:numFmt w:val="chicago"/>
            <w:numRestart w:val="eachPage"/>
          </w:footnotePr>
          <w:pgSz w:w="11909" w:h="16834"/>
          <w:pgMar w:top="1397" w:right="288" w:bottom="664" w:left="629" w:header="0" w:footer="3" w:gutter="0"/>
          <w:cols w:space="720"/>
          <w:noEndnote/>
          <w:docGrid w:linePitch="360"/>
        </w:sectPr>
      </w:pPr>
      <w:r>
        <w:rPr>
          <w:noProof/>
        </w:rPr>
        <mc:AlternateContent>
          <mc:Choice Requires="wps">
            <w:drawing>
              <wp:anchor distT="19685" distB="1950720" distL="114300" distR="5783580" simplePos="0" relativeHeight="125829536" behindDoc="0" locked="0" layoutInCell="1" allowOverlap="1">
                <wp:simplePos x="0" y="0"/>
                <wp:positionH relativeFrom="page">
                  <wp:posOffset>480060</wp:posOffset>
                </wp:positionH>
                <wp:positionV relativeFrom="paragraph">
                  <wp:posOffset>28575</wp:posOffset>
                </wp:positionV>
                <wp:extent cx="1124585" cy="186055"/>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1124585" cy="186055"/>
                        </a:xfrm>
                        <a:prstGeom prst="rect">
                          <a:avLst/>
                        </a:prstGeom>
                        <a:noFill/>
                      </wps:spPr>
                      <wps:txbx>
                        <w:txbxContent>
                          <w:p w:rsidR="00500724" w:rsidRDefault="00F30FB8">
                            <w:pPr>
                              <w:pStyle w:val="Zkladntext30"/>
                              <w:shd w:val="clear" w:color="auto" w:fill="auto"/>
                              <w:spacing w:after="0" w:line="240" w:lineRule="auto"/>
                              <w:ind w:firstLine="0"/>
                              <w:jc w:val="left"/>
                            </w:pPr>
                            <w:r>
                              <w:rPr>
                                <w:b/>
                                <w:bCs/>
                              </w:rPr>
                              <w:t>ROČNÍK XVI</w:t>
                            </w:r>
                          </w:p>
                        </w:txbxContent>
                      </wps:txbx>
                      <wps:bodyPr lIns="0" tIns="0" rIns="0" bIns="0"/>
                    </wps:wsp>
                  </a:graphicData>
                </a:graphic>
              </wp:anchor>
            </w:drawing>
          </mc:Choice>
          <mc:Fallback>
            <w:pict>
              <v:shape id="_x0000_s1185" type="#_x0000_t202" style="position:absolute;margin-left:37.799999999999997pt;margin-top:2.25pt;width:88.549999999999997pt;height:14.65pt;z-index:-125829217;mso-wrap-distance-left:9.pt;mso-wrap-distance-top:1.55pt;mso-wrap-distance-right:455.39999999999998pt;mso-wrap-distance-bottom:153.5999999999999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ROČNÍK XVI</w:t>
                      </w:r>
                    </w:p>
                  </w:txbxContent>
                </v:textbox>
                <w10:wrap type="topAndBottom" anchorx="page"/>
              </v:shape>
            </w:pict>
          </mc:Fallback>
        </mc:AlternateContent>
      </w:r>
      <w:r>
        <w:rPr>
          <w:noProof/>
        </w:rPr>
        <mc:AlternateContent>
          <mc:Choice Requires="wps">
            <w:drawing>
              <wp:anchor distT="19685" distB="1950720" distL="2488565" distR="2351405" simplePos="0" relativeHeight="125829538" behindDoc="0" locked="0" layoutInCell="1" allowOverlap="1">
                <wp:simplePos x="0" y="0"/>
                <wp:positionH relativeFrom="page">
                  <wp:posOffset>2854325</wp:posOffset>
                </wp:positionH>
                <wp:positionV relativeFrom="paragraph">
                  <wp:posOffset>28575</wp:posOffset>
                </wp:positionV>
                <wp:extent cx="2182495" cy="186055"/>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2182495" cy="186055"/>
                        </a:xfrm>
                        <a:prstGeom prst="rect">
                          <a:avLst/>
                        </a:prstGeom>
                        <a:noFill/>
                      </wps:spPr>
                      <wps:txbx>
                        <w:txbxContent>
                          <w:p w:rsidR="00500724" w:rsidRDefault="00F30FB8">
                            <w:pPr>
                              <w:pStyle w:val="Zkladntext30"/>
                              <w:shd w:val="clear" w:color="auto" w:fill="auto"/>
                              <w:spacing w:after="0" w:line="240" w:lineRule="auto"/>
                              <w:ind w:firstLine="0"/>
                              <w:jc w:val="left"/>
                            </w:pPr>
                            <w:r>
                              <w:rPr>
                                <w:b/>
                                <w:bCs/>
                              </w:rPr>
                              <w:t>V PRAZE 22. ÚNORA 1939</w:t>
                            </w:r>
                          </w:p>
                        </w:txbxContent>
                      </wps:txbx>
                      <wps:bodyPr lIns="0" tIns="0" rIns="0" bIns="0"/>
                    </wps:wsp>
                  </a:graphicData>
                </a:graphic>
              </wp:anchor>
            </w:drawing>
          </mc:Choice>
          <mc:Fallback>
            <w:pict>
              <v:shape id="_x0000_s1187" type="#_x0000_t202" style="position:absolute;margin-left:224.75pt;margin-top:2.25pt;width:171.84999999999999pt;height:14.65pt;z-index:-125829215;mso-wrap-distance-left:195.94999999999999pt;mso-wrap-distance-top:1.55pt;mso-wrap-distance-right:185.15000000000001pt;mso-wrap-distance-bottom:153.5999999999999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V PRAZE 22. ÚNORA 1939</w:t>
                      </w:r>
                    </w:p>
                  </w:txbxContent>
                </v:textbox>
                <w10:wrap type="topAndBottom" anchorx="page"/>
              </v:shape>
            </w:pict>
          </mc:Fallback>
        </mc:AlternateContent>
      </w:r>
      <w:r>
        <w:rPr>
          <w:noProof/>
        </w:rPr>
        <mc:AlternateContent>
          <mc:Choice Requires="wps">
            <w:drawing>
              <wp:anchor distT="16510" distB="1953895" distL="6130925" distR="114300" simplePos="0" relativeHeight="125829540" behindDoc="0" locked="0" layoutInCell="1" allowOverlap="1">
                <wp:simplePos x="0" y="0"/>
                <wp:positionH relativeFrom="page">
                  <wp:posOffset>6496685</wp:posOffset>
                </wp:positionH>
                <wp:positionV relativeFrom="paragraph">
                  <wp:posOffset>25400</wp:posOffset>
                </wp:positionV>
                <wp:extent cx="777240" cy="186055"/>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777240" cy="186055"/>
                        </a:xfrm>
                        <a:prstGeom prst="rect">
                          <a:avLst/>
                        </a:prstGeom>
                        <a:noFill/>
                      </wps:spPr>
                      <wps:txbx>
                        <w:txbxContent>
                          <w:p w:rsidR="00500724" w:rsidRDefault="00F30FB8">
                            <w:pPr>
                              <w:pStyle w:val="Zkladntext30"/>
                              <w:shd w:val="clear" w:color="auto" w:fill="auto"/>
                              <w:spacing w:after="0" w:line="240" w:lineRule="auto"/>
                              <w:ind w:firstLine="0"/>
                              <w:jc w:val="left"/>
                            </w:pPr>
                            <w:r>
                              <w:rPr>
                                <w:b/>
                                <w:bCs/>
                              </w:rPr>
                              <w:t>ZA K 2.—</w:t>
                            </w:r>
                          </w:p>
                        </w:txbxContent>
                      </wps:txbx>
                      <wps:bodyPr lIns="0" tIns="0" rIns="0" bIns="0"/>
                    </wps:wsp>
                  </a:graphicData>
                </a:graphic>
              </wp:anchor>
            </w:drawing>
          </mc:Choice>
          <mc:Fallback>
            <w:pict>
              <v:shape id="_x0000_s1189" type="#_x0000_t202" style="position:absolute;margin-left:511.55000000000001pt;margin-top:2.pt;width:61.200000000000003pt;height:14.65pt;z-index:-125829213;mso-wrap-distance-left:482.75pt;mso-wrap-distance-top:1.3pt;mso-wrap-distance-right:9.pt;mso-wrap-distance-bottom:153.8499999999999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ZA K 2.—</w:t>
                      </w:r>
                    </w:p>
                  </w:txbxContent>
                </v:textbox>
                <w10:wrap type="topAndBottom" anchorx="page"/>
              </v:shape>
            </w:pict>
          </mc:Fallback>
        </mc:AlternateContent>
      </w:r>
      <w:r>
        <w:rPr>
          <w:noProof/>
        </w:rPr>
        <mc:AlternateContent>
          <mc:Choice Requires="wps">
            <w:drawing>
              <wp:anchor distT="918845" distB="753110" distL="147955" distR="3927475" simplePos="0" relativeHeight="125829542" behindDoc="0" locked="0" layoutInCell="1" allowOverlap="1">
                <wp:simplePos x="0" y="0"/>
                <wp:positionH relativeFrom="page">
                  <wp:posOffset>513715</wp:posOffset>
                </wp:positionH>
                <wp:positionV relativeFrom="paragraph">
                  <wp:posOffset>927735</wp:posOffset>
                </wp:positionV>
                <wp:extent cx="2947670" cy="48450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2947670" cy="484505"/>
                        </a:xfrm>
                        <a:prstGeom prst="rect">
                          <a:avLst/>
                        </a:prstGeom>
                        <a:noFill/>
                      </wps:spPr>
                      <wps:txbx>
                        <w:txbxContent>
                          <w:p w:rsidR="00500724" w:rsidRDefault="00F30FB8">
                            <w:pPr>
                              <w:pStyle w:val="Nadpis70"/>
                              <w:keepNext/>
                              <w:keepLines/>
                              <w:pBdr>
                                <w:bottom w:val="single" w:sz="4" w:space="0" w:color="auto"/>
                              </w:pBdr>
                              <w:shd w:val="clear" w:color="auto" w:fill="auto"/>
                            </w:pPr>
                            <w:bookmarkStart w:id="177" w:name="bookmark175"/>
                            <w:r>
                              <w:rPr>
                                <w:rFonts w:ascii="Times New Roman" w:eastAsia="Times New Roman" w:hAnsi="Times New Roman" w:cs="Times New Roman"/>
                                <w:w w:val="100"/>
                              </w:rPr>
                              <w:t>Češi, Němci a židé</w:t>
                            </w:r>
                            <w:bookmarkEnd w:id="177"/>
                          </w:p>
                        </w:txbxContent>
                      </wps:txbx>
                      <wps:bodyPr lIns="0" tIns="0" rIns="0" bIns="0"/>
                    </wps:wsp>
                  </a:graphicData>
                </a:graphic>
              </wp:anchor>
            </w:drawing>
          </mc:Choice>
          <mc:Fallback>
            <w:pict>
              <v:shape id="_x0000_s1191" type="#_x0000_t202" style="position:absolute;margin-left:40.450000000000003pt;margin-top:73.049999999999997pt;width:232.09999999999999pt;height:38.149999999999999pt;z-index:-125829211;mso-wrap-distance-left:11.65pt;mso-wrap-distance-top:72.349999999999994pt;mso-wrap-distance-right:309.25pt;mso-wrap-distance-bottom:59.299999999999997pt;mso-position-horizontal-relative:page" filled="f" stroked="f">
                <v:textbox inset="0,0,0,0">
                  <w:txbxContent>
                    <w:p>
                      <w:pPr>
                        <w:pStyle w:val="Style85"/>
                        <w:keepNext/>
                        <w:keepLines/>
                        <w:widowControl w:val="0"/>
                        <w:pBdr>
                          <w:bottom w:val="single" w:sz="4" w:space="0" w:color="auto"/>
                        </w:pBdr>
                        <w:shd w:val="clear" w:color="auto" w:fill="auto"/>
                        <w:bidi w:val="0"/>
                        <w:spacing w:before="0" w:after="0" w:line="240" w:lineRule="auto"/>
                        <w:ind w:left="0" w:right="0" w:firstLine="0"/>
                        <w:jc w:val="left"/>
                      </w:pPr>
                      <w:bookmarkStart w:id="175" w:name="bookmark175"/>
                      <w:r>
                        <w:rPr>
                          <w:rFonts w:ascii="Times New Roman" w:eastAsia="Times New Roman" w:hAnsi="Times New Roman" w:cs="Times New Roman"/>
                          <w:color w:val="000000"/>
                          <w:spacing w:val="0"/>
                          <w:w w:val="100"/>
                          <w:position w:val="0"/>
                          <w:shd w:val="clear" w:color="auto" w:fill="auto"/>
                          <w:lang w:val="cs-CZ" w:eastAsia="cs-CZ" w:bidi="cs-CZ"/>
                        </w:rPr>
                        <w:t>Češi, Němci a židé</w:t>
                      </w:r>
                      <w:bookmarkEnd w:id="175"/>
                    </w:p>
                  </w:txbxContent>
                </v:textbox>
                <w10:wrap type="topAndBottom" anchorx="page"/>
              </v:shape>
            </w:pict>
          </mc:Fallback>
        </mc:AlternateContent>
      </w:r>
      <w:r>
        <w:rPr>
          <w:noProof/>
        </w:rPr>
        <mc:AlternateContent>
          <mc:Choice Requires="wps">
            <w:drawing>
              <wp:anchor distT="1120140" distB="820420" distL="5673725" distR="144780" simplePos="0" relativeHeight="125829544" behindDoc="0" locked="0" layoutInCell="1" allowOverlap="1">
                <wp:simplePos x="0" y="0"/>
                <wp:positionH relativeFrom="page">
                  <wp:posOffset>6039485</wp:posOffset>
                </wp:positionH>
                <wp:positionV relativeFrom="paragraph">
                  <wp:posOffset>1129030</wp:posOffset>
                </wp:positionV>
                <wp:extent cx="1203960" cy="21653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1203960" cy="216535"/>
                        </a:xfrm>
                        <a:prstGeom prst="rect">
                          <a:avLst/>
                        </a:prstGeom>
                        <a:noFill/>
                      </wps:spPr>
                      <wps:txbx>
                        <w:txbxContent>
                          <w:p w:rsidR="00500724" w:rsidRDefault="00F30FB8">
                            <w:pPr>
                              <w:pStyle w:val="Jin0"/>
                              <w:shd w:val="clear" w:color="auto" w:fill="auto"/>
                              <w:ind w:firstLine="0"/>
                              <w:jc w:val="left"/>
                              <w:rPr>
                                <w:sz w:val="26"/>
                                <w:szCs w:val="26"/>
                              </w:rPr>
                            </w:pPr>
                            <w:r>
                              <w:rPr>
                                <w:b/>
                                <w:bCs/>
                                <w:sz w:val="26"/>
                                <w:szCs w:val="26"/>
                              </w:rPr>
                              <w:t>F. PEROUTKA</w:t>
                            </w:r>
                          </w:p>
                        </w:txbxContent>
                      </wps:txbx>
                      <wps:bodyPr lIns="0" tIns="0" rIns="0" bIns="0"/>
                    </wps:wsp>
                  </a:graphicData>
                </a:graphic>
              </wp:anchor>
            </w:drawing>
          </mc:Choice>
          <mc:Fallback>
            <w:pict>
              <v:shape id="_x0000_s1193" type="#_x0000_t202" style="position:absolute;margin-left:475.55000000000001pt;margin-top:88.900000000000006pt;width:94.799999999999997pt;height:17.050000000000001pt;z-index:-125829209;mso-wrap-distance-left:446.75pt;mso-wrap-distance-top:88.200000000000003pt;mso-wrap-distance-right:11.4pt;mso-wrap-distance-bottom:64.599999999999994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F. PEROUTKA</w:t>
                      </w:r>
                    </w:p>
                  </w:txbxContent>
                </v:textbox>
                <w10:wrap type="topAndBottom" anchorx="page"/>
              </v:shape>
            </w:pict>
          </mc:Fallback>
        </mc:AlternateContent>
      </w:r>
      <w:r>
        <w:rPr>
          <w:noProof/>
        </w:rPr>
        <mc:AlternateContent>
          <mc:Choice Requires="wps">
            <w:drawing>
              <wp:anchor distT="1671320" distB="0" distL="147955" distR="4186555" simplePos="0" relativeHeight="125829546" behindDoc="0" locked="0" layoutInCell="1" allowOverlap="1">
                <wp:simplePos x="0" y="0"/>
                <wp:positionH relativeFrom="page">
                  <wp:posOffset>513715</wp:posOffset>
                </wp:positionH>
                <wp:positionV relativeFrom="paragraph">
                  <wp:posOffset>1680210</wp:posOffset>
                </wp:positionV>
                <wp:extent cx="2688590" cy="49403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2688590" cy="494030"/>
                        </a:xfrm>
                        <a:prstGeom prst="rect">
                          <a:avLst/>
                        </a:prstGeom>
                        <a:noFill/>
                      </wps:spPr>
                      <wps:txbx>
                        <w:txbxContent>
                          <w:p w:rsidR="00500724" w:rsidRDefault="00F30FB8">
                            <w:pPr>
                              <w:pStyle w:val="Nadpis70"/>
                              <w:keepNext/>
                              <w:keepLines/>
                              <w:pBdr>
                                <w:bottom w:val="single" w:sz="4" w:space="0" w:color="auto"/>
                              </w:pBdr>
                              <w:shd w:val="clear" w:color="auto" w:fill="auto"/>
                            </w:pPr>
                            <w:bookmarkStart w:id="178" w:name="bookmark176"/>
                            <w:r>
                              <w:rPr>
                                <w:rFonts w:ascii="Times New Roman" w:eastAsia="Times New Roman" w:hAnsi="Times New Roman" w:cs="Times New Roman"/>
                                <w:w w:val="100"/>
                              </w:rPr>
                              <w:t>Čapek mezi lidmi</w:t>
                            </w:r>
                            <w:bookmarkEnd w:id="178"/>
                          </w:p>
                        </w:txbxContent>
                      </wps:txbx>
                      <wps:bodyPr lIns="0" tIns="0" rIns="0" bIns="0"/>
                    </wps:wsp>
                  </a:graphicData>
                </a:graphic>
              </wp:anchor>
            </w:drawing>
          </mc:Choice>
          <mc:Fallback>
            <w:pict>
              <v:shape id="_x0000_s1195" type="#_x0000_t202" style="position:absolute;margin-left:40.450000000000003pt;margin-top:132.30000000000001pt;width:211.69999999999999pt;height:38.899999999999999pt;z-index:-125829207;mso-wrap-distance-left:11.65pt;mso-wrap-distance-top:131.59999999999999pt;mso-wrap-distance-right:329.64999999999998pt;mso-position-horizontal-relative:page" filled="f" stroked="f">
                <v:textbox inset="0,0,0,0">
                  <w:txbxContent>
                    <w:p>
                      <w:pPr>
                        <w:pStyle w:val="Style85"/>
                        <w:keepNext/>
                        <w:keepLines/>
                        <w:widowControl w:val="0"/>
                        <w:pBdr>
                          <w:bottom w:val="single" w:sz="4" w:space="0" w:color="auto"/>
                        </w:pBdr>
                        <w:shd w:val="clear" w:color="auto" w:fill="auto"/>
                        <w:bidi w:val="0"/>
                        <w:spacing w:before="0" w:after="0" w:line="240" w:lineRule="auto"/>
                        <w:ind w:left="0" w:right="0" w:firstLine="0"/>
                        <w:jc w:val="left"/>
                      </w:pPr>
                      <w:bookmarkStart w:id="176" w:name="bookmark176"/>
                      <w:r>
                        <w:rPr>
                          <w:rFonts w:ascii="Times New Roman" w:eastAsia="Times New Roman" w:hAnsi="Times New Roman" w:cs="Times New Roman"/>
                          <w:color w:val="000000"/>
                          <w:spacing w:val="0"/>
                          <w:w w:val="100"/>
                          <w:position w:val="0"/>
                          <w:shd w:val="clear" w:color="auto" w:fill="auto"/>
                          <w:lang w:val="cs-CZ" w:eastAsia="cs-CZ" w:bidi="cs-CZ"/>
                        </w:rPr>
                        <w:t>Čapek mezi lidmi</w:t>
                      </w:r>
                      <w:bookmarkEnd w:id="176"/>
                    </w:p>
                  </w:txbxContent>
                </v:textbox>
                <w10:wrap type="topAndBottom" anchorx="page"/>
              </v:shape>
            </w:pict>
          </mc:Fallback>
        </mc:AlternateContent>
      </w:r>
      <w:r>
        <w:rPr>
          <w:noProof/>
        </w:rPr>
        <mc:AlternateContent>
          <mc:Choice Requires="wps">
            <w:drawing>
              <wp:anchor distT="1887855" distB="67310" distL="5064125" distR="141605" simplePos="0" relativeHeight="125829548" behindDoc="0" locked="0" layoutInCell="1" allowOverlap="1">
                <wp:simplePos x="0" y="0"/>
                <wp:positionH relativeFrom="page">
                  <wp:posOffset>5429885</wp:posOffset>
                </wp:positionH>
                <wp:positionV relativeFrom="paragraph">
                  <wp:posOffset>1896745</wp:posOffset>
                </wp:positionV>
                <wp:extent cx="1816735" cy="20129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1816735" cy="201295"/>
                        </a:xfrm>
                        <a:prstGeom prst="rect">
                          <a:avLst/>
                        </a:prstGeom>
                        <a:noFill/>
                      </wps:spPr>
                      <wps:txbx>
                        <w:txbxContent>
                          <w:p w:rsidR="00500724" w:rsidRDefault="00F30FB8">
                            <w:pPr>
                              <w:pStyle w:val="Zkladntext80"/>
                              <w:shd w:val="clear" w:color="auto" w:fill="auto"/>
                              <w:spacing w:line="240" w:lineRule="auto"/>
                              <w:rPr>
                                <w:sz w:val="24"/>
                                <w:szCs w:val="24"/>
                              </w:rPr>
                            </w:pPr>
                            <w:r>
                              <w:rPr>
                                <w:b w:val="0"/>
                                <w:bCs w:val="0"/>
                                <w:sz w:val="24"/>
                                <w:szCs w:val="24"/>
                              </w:rPr>
                              <w:t>FRANTIŠEK LANGER</w:t>
                            </w:r>
                          </w:p>
                        </w:txbxContent>
                      </wps:txbx>
                      <wps:bodyPr lIns="0" tIns="0" rIns="0" bIns="0"/>
                    </wps:wsp>
                  </a:graphicData>
                </a:graphic>
              </wp:anchor>
            </w:drawing>
          </mc:Choice>
          <mc:Fallback>
            <w:pict>
              <v:shape id="_x0000_s1197" type="#_x0000_t202" style="position:absolute;margin-left:427.55000000000001pt;margin-top:149.34999999999999pt;width:143.05000000000001pt;height:15.85pt;z-index:-125829205;mso-wrap-distance-left:398.75pt;mso-wrap-distance-top:148.65000000000001pt;mso-wrap-distance-right:11.15pt;mso-wrap-distance-bottom:5.2999999999999998pt;mso-position-horizontal-relative:page" filled="f" stroked="f">
                <v:textbox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auto"/>
                          <w:lang w:val="cs-CZ" w:eastAsia="cs-CZ" w:bidi="cs-CZ"/>
                        </w:rPr>
                        <w:t>FRANTIŠEK LANGER</w:t>
                      </w:r>
                    </w:p>
                  </w:txbxContent>
                </v:textbox>
                <w10:wrap type="topAndBottom" anchorx="page"/>
              </v:shape>
            </w:pict>
          </mc:Fallback>
        </mc:AlternateContent>
      </w:r>
    </w:p>
    <w:p w:rsidR="00500724" w:rsidRDefault="00F30FB8">
      <w:pPr>
        <w:pStyle w:val="Nadpis70"/>
        <w:keepNext/>
        <w:keepLines/>
        <w:shd w:val="clear" w:color="auto" w:fill="auto"/>
        <w:spacing w:after="500"/>
        <w:rPr>
          <w:sz w:val="34"/>
          <w:szCs w:val="34"/>
        </w:rPr>
      </w:pPr>
      <w:bookmarkStart w:id="179" w:name="bookmark179"/>
      <w:r>
        <w:rPr>
          <w:rFonts w:ascii="Times New Roman" w:eastAsia="Times New Roman" w:hAnsi="Times New Roman" w:cs="Times New Roman"/>
          <w:w w:val="100"/>
          <w:u w:val="single"/>
        </w:rPr>
        <w:t xml:space="preserve">Jak se o nás píše v Německu </w:t>
      </w:r>
      <w:r>
        <w:rPr>
          <w:rFonts w:ascii="Times New Roman" w:eastAsia="Times New Roman" w:hAnsi="Times New Roman" w:cs="Times New Roman"/>
          <w:smallCaps/>
          <w:w w:val="100"/>
          <w:sz w:val="34"/>
          <w:szCs w:val="34"/>
          <w:u w:val="single"/>
        </w:rPr>
        <w:t>zdenek smetáček</w:t>
      </w:r>
      <w:bookmarkEnd w:id="179"/>
    </w:p>
    <w:p w:rsidR="00500724" w:rsidRDefault="00F30FB8">
      <w:pPr>
        <w:pStyle w:val="Jin0"/>
        <w:shd w:val="clear" w:color="auto" w:fill="auto"/>
        <w:ind w:firstLine="0"/>
        <w:jc w:val="left"/>
        <w:rPr>
          <w:sz w:val="34"/>
          <w:szCs w:val="34"/>
        </w:rPr>
      </w:pPr>
      <w:r>
        <w:rPr>
          <w:rFonts w:ascii="Arial" w:eastAsia="Arial" w:hAnsi="Arial" w:cs="Arial"/>
          <w:b/>
          <w:bCs/>
          <w:w w:val="70"/>
          <w:sz w:val="54"/>
          <w:szCs w:val="54"/>
        </w:rPr>
        <w:t xml:space="preserve">Co se skrývá za palestinskou konferencí? </w:t>
      </w:r>
      <w:r>
        <w:rPr>
          <w:smallCaps/>
          <w:sz w:val="34"/>
          <w:szCs w:val="34"/>
          <w:vertAlign w:val="subscript"/>
        </w:rPr>
        <w:t>L</w:t>
      </w:r>
      <w:r>
        <w:rPr>
          <w:smallCaps/>
          <w:sz w:val="34"/>
          <w:szCs w:val="34"/>
        </w:rPr>
        <w:t>.novo™?</w:t>
      </w:r>
    </w:p>
    <w:p w:rsidR="00500724" w:rsidRDefault="00F30FB8">
      <w:pPr>
        <w:spacing w:line="14" w:lineRule="exact"/>
        <w:sectPr w:rsidR="00500724">
          <w:footnotePr>
            <w:numFmt w:val="chicago"/>
            <w:numRestart w:val="eachPage"/>
          </w:footnotePr>
          <w:type w:val="continuous"/>
          <w:pgSz w:w="11909" w:h="16834"/>
          <w:pgMar w:top="1397" w:right="396" w:bottom="664" w:left="737" w:header="0" w:footer="3" w:gutter="0"/>
          <w:cols w:space="720"/>
          <w:noEndnote/>
          <w:docGrid w:linePitch="360"/>
        </w:sectPr>
      </w:pPr>
      <w:r>
        <w:rPr>
          <w:noProof/>
        </w:rPr>
        <mc:AlternateContent>
          <mc:Choice Requires="wps">
            <w:drawing>
              <wp:anchor distT="245110" distB="0" distL="114300" distR="3333115" simplePos="0" relativeHeight="125829550" behindDoc="0" locked="0" layoutInCell="1" allowOverlap="1">
                <wp:simplePos x="0" y="0"/>
                <wp:positionH relativeFrom="page">
                  <wp:posOffset>522605</wp:posOffset>
                </wp:positionH>
                <wp:positionV relativeFrom="paragraph">
                  <wp:posOffset>254000</wp:posOffset>
                </wp:positionV>
                <wp:extent cx="3505200" cy="44831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3505200" cy="448310"/>
                        </a:xfrm>
                        <a:prstGeom prst="rect">
                          <a:avLst/>
                        </a:prstGeom>
                        <a:noFill/>
                      </wps:spPr>
                      <wps:txbx>
                        <w:txbxContent>
                          <w:p w:rsidR="00500724" w:rsidRDefault="00F30FB8">
                            <w:pPr>
                              <w:pStyle w:val="Nadpis70"/>
                              <w:keepNext/>
                              <w:keepLines/>
                              <w:shd w:val="clear" w:color="auto" w:fill="auto"/>
                            </w:pPr>
                            <w:bookmarkStart w:id="180" w:name="bookmark178"/>
                            <w:r>
                              <w:rPr>
                                <w:rFonts w:ascii="Times New Roman" w:eastAsia="Times New Roman" w:hAnsi="Times New Roman" w:cs="Times New Roman"/>
                                <w:w w:val="100"/>
                              </w:rPr>
                              <w:t>V bludišti černé bursy</w:t>
                            </w:r>
                            <w:bookmarkEnd w:id="180"/>
                          </w:p>
                        </w:txbxContent>
                      </wps:txbx>
                      <wps:bodyPr lIns="0" tIns="0" rIns="0" bIns="0"/>
                    </wps:wsp>
                  </a:graphicData>
                </a:graphic>
              </wp:anchor>
            </w:drawing>
          </mc:Choice>
          <mc:Fallback>
            <w:pict>
              <v:shape id="_x0000_s1199" type="#_x0000_t202" style="position:absolute;margin-left:41.149999999999999pt;margin-top:20.pt;width:276.pt;height:35.299999999999997pt;z-index:-125829203;mso-wrap-distance-left:9.pt;mso-wrap-distance-top:19.300000000000001pt;mso-wrap-distance-right:262.44999999999999pt;mso-position-horizontal-relative:page" filled="f" stroked="f">
                <v:textbox inset="0,0,0,0">
                  <w:txbxContent>
                    <w:p>
                      <w:pPr>
                        <w:pStyle w:val="Style85"/>
                        <w:keepNext/>
                        <w:keepLines/>
                        <w:widowControl w:val="0"/>
                        <w:shd w:val="clear" w:color="auto" w:fill="auto"/>
                        <w:bidi w:val="0"/>
                        <w:spacing w:before="0" w:after="0" w:line="240" w:lineRule="auto"/>
                        <w:ind w:left="0" w:right="0" w:firstLine="0"/>
                        <w:jc w:val="left"/>
                      </w:pPr>
                      <w:bookmarkStart w:id="178" w:name="bookmark178"/>
                      <w:r>
                        <w:rPr>
                          <w:rFonts w:ascii="Times New Roman" w:eastAsia="Times New Roman" w:hAnsi="Times New Roman" w:cs="Times New Roman"/>
                          <w:color w:val="000000"/>
                          <w:spacing w:val="0"/>
                          <w:w w:val="100"/>
                          <w:position w:val="0"/>
                          <w:shd w:val="clear" w:color="auto" w:fill="auto"/>
                          <w:lang w:val="cs-CZ" w:eastAsia="cs-CZ" w:bidi="cs-CZ"/>
                        </w:rPr>
                        <w:t>V bludišti černé bursy</w:t>
                      </w:r>
                      <w:bookmarkEnd w:id="178"/>
                    </w:p>
                  </w:txbxContent>
                </v:textbox>
                <w10:wrap type="topAndBottom" anchorx="page"/>
              </v:shape>
            </w:pict>
          </mc:Fallback>
        </mc:AlternateContent>
      </w:r>
      <w:r>
        <w:rPr>
          <w:noProof/>
        </w:rPr>
        <mc:AlternateContent>
          <mc:Choice Requires="wps">
            <w:drawing>
              <wp:anchor distT="412750" distB="55245" distL="5424170" distR="114300" simplePos="0" relativeHeight="125829552" behindDoc="0" locked="0" layoutInCell="1" allowOverlap="1">
                <wp:simplePos x="0" y="0"/>
                <wp:positionH relativeFrom="page">
                  <wp:posOffset>5832475</wp:posOffset>
                </wp:positionH>
                <wp:positionV relativeFrom="paragraph">
                  <wp:posOffset>421640</wp:posOffset>
                </wp:positionV>
                <wp:extent cx="1414145" cy="216535"/>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1414145" cy="216535"/>
                        </a:xfrm>
                        <a:prstGeom prst="rect">
                          <a:avLst/>
                        </a:prstGeom>
                        <a:noFill/>
                      </wps:spPr>
                      <wps:txbx>
                        <w:txbxContent>
                          <w:p w:rsidR="00500724" w:rsidRDefault="00F30FB8">
                            <w:pPr>
                              <w:pStyle w:val="Jin0"/>
                              <w:shd w:val="clear" w:color="auto" w:fill="auto"/>
                              <w:ind w:firstLine="0"/>
                              <w:jc w:val="left"/>
                              <w:rPr>
                                <w:sz w:val="26"/>
                                <w:szCs w:val="26"/>
                              </w:rPr>
                            </w:pPr>
                            <w:r>
                              <w:rPr>
                                <w:b/>
                                <w:bCs/>
                                <w:sz w:val="26"/>
                                <w:szCs w:val="26"/>
                              </w:rPr>
                              <w:t>KORNEL SYNEK</w:t>
                            </w:r>
                          </w:p>
                        </w:txbxContent>
                      </wps:txbx>
                      <wps:bodyPr lIns="0" tIns="0" rIns="0" bIns="0"/>
                    </wps:wsp>
                  </a:graphicData>
                </a:graphic>
              </wp:anchor>
            </w:drawing>
          </mc:Choice>
          <mc:Fallback>
            <w:pict>
              <v:shape id="_x0000_s1201" type="#_x0000_t202" style="position:absolute;margin-left:459.25pt;margin-top:33.200000000000003pt;width:111.34999999999999pt;height:17.050000000000001pt;z-index:-125829201;mso-wrap-distance-left:427.10000000000002pt;mso-wrap-distance-top:32.5pt;mso-wrap-distance-right:9.pt;mso-wrap-distance-bottom:4.3499999999999996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KORNEL SYNEK</w:t>
                      </w:r>
                    </w:p>
                  </w:txbxContent>
                </v:textbox>
                <w10:wrap type="topAndBottom" anchorx="page"/>
              </v:shape>
            </w:pict>
          </mc:Fallback>
        </mc:AlternateContent>
      </w:r>
    </w:p>
    <w:p w:rsidR="00500724" w:rsidRDefault="00500724">
      <w:pPr>
        <w:spacing w:before="56" w:after="56"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397" w:right="0" w:bottom="664" w:left="0" w:header="0" w:footer="3" w:gutter="0"/>
          <w:cols w:space="720"/>
          <w:noEndnote/>
          <w:docGrid w:linePitch="360"/>
        </w:sectPr>
      </w:pPr>
    </w:p>
    <w:p w:rsidR="00500724" w:rsidRDefault="00F30FB8">
      <w:pPr>
        <w:pStyle w:val="Nadpis70"/>
        <w:keepNext/>
        <w:keepLines/>
        <w:shd w:val="clear" w:color="auto" w:fill="auto"/>
        <w:tabs>
          <w:tab w:val="left" w:pos="8458"/>
        </w:tabs>
        <w:spacing w:after="600"/>
        <w:jc w:val="both"/>
        <w:rPr>
          <w:sz w:val="34"/>
          <w:szCs w:val="34"/>
        </w:rPr>
      </w:pPr>
      <w:bookmarkStart w:id="181" w:name="bookmark180"/>
      <w:r>
        <w:rPr>
          <w:rFonts w:ascii="Times New Roman" w:eastAsia="Times New Roman" w:hAnsi="Times New Roman" w:cs="Times New Roman"/>
          <w:w w:val="100"/>
          <w:u w:val="single"/>
          <w:lang w:val="en-US" w:eastAsia="en-US" w:bidi="en-US"/>
        </w:rPr>
        <w:t xml:space="preserve">Mickey Mouse </w:t>
      </w:r>
      <w:r>
        <w:rPr>
          <w:rFonts w:ascii="Times New Roman" w:eastAsia="Times New Roman" w:hAnsi="Times New Roman" w:cs="Times New Roman"/>
          <w:w w:val="100"/>
          <w:u w:val="single"/>
        </w:rPr>
        <w:t>předvádí...</w:t>
      </w:r>
      <w:r>
        <w:rPr>
          <w:rFonts w:ascii="Times New Roman" w:eastAsia="Times New Roman" w:hAnsi="Times New Roman" w:cs="Times New Roman"/>
          <w:w w:val="100"/>
          <w:u w:val="single"/>
        </w:rPr>
        <w:tab/>
      </w:r>
      <w:r>
        <w:rPr>
          <w:rFonts w:ascii="Times New Roman" w:eastAsia="Times New Roman" w:hAnsi="Times New Roman" w:cs="Times New Roman"/>
          <w:smallCaps/>
          <w:w w:val="100"/>
          <w:sz w:val="34"/>
          <w:szCs w:val="34"/>
          <w:u w:val="single"/>
        </w:rPr>
        <w:t>walt disne?</w:t>
      </w:r>
      <w:bookmarkEnd w:id="181"/>
    </w:p>
    <w:p w:rsidR="00500724" w:rsidRDefault="00F30FB8">
      <w:pPr>
        <w:pStyle w:val="Jin0"/>
        <w:shd w:val="clear" w:color="auto" w:fill="auto"/>
        <w:ind w:firstLine="0"/>
        <w:jc w:val="center"/>
        <w:rPr>
          <w:sz w:val="32"/>
          <w:szCs w:val="32"/>
        </w:rPr>
        <w:sectPr w:rsidR="00500724">
          <w:footnotePr>
            <w:numFmt w:val="chicago"/>
            <w:numRestart w:val="eachPage"/>
          </w:footnotePr>
          <w:type w:val="continuous"/>
          <w:pgSz w:w="11909" w:h="16834"/>
          <w:pgMar w:top="1397" w:right="396" w:bottom="664" w:left="737" w:header="0" w:footer="3" w:gutter="0"/>
          <w:cols w:space="720"/>
          <w:noEndnote/>
          <w:docGrid w:linePitch="360"/>
        </w:sectPr>
      </w:pPr>
      <w:r>
        <w:rPr>
          <w:sz w:val="32"/>
          <w:szCs w:val="32"/>
        </w:rPr>
        <w:t xml:space="preserve">Proč odešel Vojtěch </w:t>
      </w:r>
      <w:r>
        <w:rPr>
          <w:sz w:val="32"/>
          <w:szCs w:val="32"/>
        </w:rPr>
        <w:t>Imrédy — Hospodářská podezdívka osy a díra</w:t>
      </w:r>
      <w:r>
        <w:rPr>
          <w:sz w:val="32"/>
          <w:szCs w:val="32"/>
        </w:rPr>
        <w:br/>
        <w:t>mezi Francií a námi — Křesťanství - heslo a skutečnost — Londý-</w:t>
      </w:r>
      <w:r>
        <w:rPr>
          <w:sz w:val="32"/>
          <w:szCs w:val="32"/>
        </w:rPr>
        <w:br/>
        <w:t xml:space="preserve">ňan a válka — </w:t>
      </w:r>
      <w:r>
        <w:rPr>
          <w:sz w:val="32"/>
          <w:szCs w:val="32"/>
          <w:lang w:val="en-US" w:eastAsia="en-US" w:bidi="en-US"/>
        </w:rPr>
        <w:t xml:space="preserve">Ulrich </w:t>
      </w:r>
      <w:r>
        <w:rPr>
          <w:sz w:val="32"/>
          <w:szCs w:val="32"/>
        </w:rPr>
        <w:t>— Odpovědi německým nacionálním socia-</w:t>
      </w:r>
      <w:r>
        <w:rPr>
          <w:sz w:val="32"/>
          <w:szCs w:val="32"/>
        </w:rPr>
        <w:br/>
        <w:t>listům — Mladí vpřed — Jak vzniklo slovo peáž</w:t>
      </w:r>
    </w:p>
    <w:p w:rsidR="00500724" w:rsidRDefault="00F30FB8">
      <w:pPr>
        <w:pStyle w:val="Nadpis110"/>
        <w:shd w:val="clear" w:color="auto" w:fill="auto"/>
        <w:spacing w:after="100"/>
        <w:ind w:left="400" w:hanging="220"/>
      </w:pPr>
      <w:bookmarkStart w:id="182" w:name="bookmark181"/>
      <w:r>
        <w:t>Nové knihy:</w:t>
      </w:r>
      <w:bookmarkEnd w:id="182"/>
    </w:p>
    <w:p w:rsidR="00500724" w:rsidRDefault="00F30FB8">
      <w:pPr>
        <w:pStyle w:val="Zkladntext40"/>
        <w:shd w:val="clear" w:color="auto" w:fill="auto"/>
        <w:spacing w:after="40" w:line="173" w:lineRule="auto"/>
        <w:ind w:left="400" w:hanging="220"/>
        <w:jc w:val="left"/>
        <w:rPr>
          <w:sz w:val="16"/>
          <w:szCs w:val="16"/>
        </w:rPr>
      </w:pPr>
      <w:r>
        <w:rPr>
          <w:b/>
          <w:bCs/>
          <w:sz w:val="16"/>
          <w:szCs w:val="16"/>
        </w:rPr>
        <w:t xml:space="preserve">MERHOUT Cyril, Děti českých </w:t>
      </w:r>
      <w:r>
        <w:rPr>
          <w:b/>
          <w:bCs/>
          <w:sz w:val="16"/>
          <w:szCs w:val="16"/>
        </w:rPr>
        <w:t>králů. 20.5krát</w:t>
      </w:r>
    </w:p>
    <w:p w:rsidR="00500724" w:rsidRDefault="00F30FB8">
      <w:pPr>
        <w:pStyle w:val="Zkladntext40"/>
        <w:shd w:val="clear" w:color="auto" w:fill="auto"/>
        <w:tabs>
          <w:tab w:val="left" w:pos="3806"/>
        </w:tabs>
        <w:spacing w:after="40" w:line="173" w:lineRule="auto"/>
        <w:ind w:left="400" w:firstLine="20"/>
        <w:rPr>
          <w:sz w:val="16"/>
          <w:szCs w:val="16"/>
        </w:rPr>
      </w:pPr>
      <w:r>
        <w:rPr>
          <w:b/>
          <w:bCs/>
          <w:sz w:val="16"/>
          <w:szCs w:val="16"/>
        </w:rPr>
        <w:t>15 cm. 169 stran.</w:t>
      </w:r>
      <w:r>
        <w:rPr>
          <w:b/>
          <w:bCs/>
          <w:sz w:val="16"/>
          <w:szCs w:val="16"/>
        </w:rPr>
        <w:tab/>
        <w:t>brož. K 20.—</w:t>
      </w:r>
    </w:p>
    <w:p w:rsidR="00500724" w:rsidRDefault="00F30FB8">
      <w:pPr>
        <w:pStyle w:val="Zkladntext40"/>
        <w:shd w:val="clear" w:color="auto" w:fill="auto"/>
        <w:spacing w:after="0" w:line="175" w:lineRule="auto"/>
        <w:ind w:left="400" w:hanging="220"/>
        <w:jc w:val="left"/>
        <w:rPr>
          <w:sz w:val="16"/>
          <w:szCs w:val="16"/>
        </w:rPr>
      </w:pPr>
      <w:r>
        <w:rPr>
          <w:b/>
          <w:bCs/>
          <w:sz w:val="16"/>
          <w:szCs w:val="16"/>
        </w:rPr>
        <w:t>MUSIL Alois, Itálie v Africe. (Nová Libye.)</w:t>
      </w:r>
    </w:p>
    <w:p w:rsidR="00500724" w:rsidRDefault="00F30FB8">
      <w:pPr>
        <w:pStyle w:val="Zkladntext40"/>
        <w:shd w:val="clear" w:color="auto" w:fill="auto"/>
        <w:tabs>
          <w:tab w:val="left" w:pos="3806"/>
        </w:tabs>
        <w:spacing w:after="40" w:line="175" w:lineRule="auto"/>
        <w:ind w:left="400" w:firstLine="20"/>
        <w:rPr>
          <w:sz w:val="16"/>
          <w:szCs w:val="16"/>
        </w:rPr>
      </w:pPr>
      <w:r>
        <w:rPr>
          <w:b/>
          <w:bCs/>
          <w:sz w:val="16"/>
          <w:szCs w:val="16"/>
        </w:rPr>
        <w:t>23X15 cm, 300 stran, mapa,</w:t>
      </w:r>
      <w:r>
        <w:rPr>
          <w:b/>
          <w:bCs/>
          <w:sz w:val="16"/>
          <w:szCs w:val="16"/>
        </w:rPr>
        <w:tab/>
        <w:t>brož. K 50.—</w:t>
      </w:r>
    </w:p>
    <w:p w:rsidR="00500724" w:rsidRDefault="00F30FB8">
      <w:pPr>
        <w:pStyle w:val="Zkladntext40"/>
        <w:shd w:val="clear" w:color="auto" w:fill="auto"/>
        <w:spacing w:after="0" w:line="175" w:lineRule="auto"/>
        <w:jc w:val="right"/>
        <w:rPr>
          <w:sz w:val="16"/>
          <w:szCs w:val="16"/>
        </w:rPr>
      </w:pPr>
      <w:r>
        <w:rPr>
          <w:b/>
          <w:bCs/>
          <w:sz w:val="16"/>
          <w:szCs w:val="16"/>
        </w:rPr>
        <w:t>váz. K 65.—</w:t>
      </w:r>
    </w:p>
    <w:p w:rsidR="00500724" w:rsidRDefault="00F30FB8">
      <w:pPr>
        <w:pStyle w:val="Zkladntext40"/>
        <w:shd w:val="clear" w:color="auto" w:fill="auto"/>
        <w:spacing w:after="40" w:line="175" w:lineRule="auto"/>
        <w:ind w:left="400" w:hanging="220"/>
        <w:jc w:val="left"/>
        <w:rPr>
          <w:sz w:val="16"/>
          <w:szCs w:val="16"/>
        </w:rPr>
      </w:pPr>
      <w:r>
        <w:rPr>
          <w:b/>
          <w:bCs/>
          <w:sz w:val="16"/>
          <w:szCs w:val="16"/>
        </w:rPr>
        <w:t>SÝKORA Václav Dr., Praktická příručka exe</w:t>
      </w:r>
      <w:r>
        <w:rPr>
          <w:b/>
          <w:bCs/>
          <w:sz w:val="16"/>
          <w:szCs w:val="16"/>
        </w:rPr>
        <w:softHyphen/>
        <w:t>kuční 1 se zřetelem k vymáháni pohledá</w:t>
      </w:r>
      <w:r>
        <w:rPr>
          <w:b/>
          <w:bCs/>
          <w:sz w:val="16"/>
          <w:szCs w:val="16"/>
        </w:rPr>
        <w:softHyphen/>
        <w:t xml:space="preserve">vek v připojeném území. 26 x 18 </w:t>
      </w:r>
      <w:r>
        <w:rPr>
          <w:b/>
          <w:bCs/>
          <w:sz w:val="16"/>
          <w:szCs w:val="16"/>
          <w:lang w:val="en-US" w:eastAsia="en-US" w:bidi="en-US"/>
        </w:rPr>
        <w:t xml:space="preserve">cm. 111 </w:t>
      </w:r>
      <w:r>
        <w:rPr>
          <w:b/>
          <w:bCs/>
          <w:sz w:val="16"/>
          <w:szCs w:val="16"/>
        </w:rPr>
        <w:t xml:space="preserve">str., </w:t>
      </w:r>
      <w:r>
        <w:rPr>
          <w:b/>
          <w:bCs/>
          <w:sz w:val="16"/>
          <w:szCs w:val="16"/>
          <w:lang w:val="en-US" w:eastAsia="en-US" w:bidi="en-US"/>
        </w:rPr>
        <w:t xml:space="preserve">kart. </w:t>
      </w:r>
      <w:r>
        <w:rPr>
          <w:b/>
          <w:bCs/>
          <w:sz w:val="16"/>
          <w:szCs w:val="16"/>
        </w:rPr>
        <w:t>K 20.—</w:t>
      </w:r>
    </w:p>
    <w:p w:rsidR="00500724" w:rsidRDefault="00F30FB8">
      <w:pPr>
        <w:pStyle w:val="Zkladntext40"/>
        <w:shd w:val="clear" w:color="auto" w:fill="auto"/>
        <w:tabs>
          <w:tab w:val="left" w:pos="3806"/>
        </w:tabs>
        <w:spacing w:after="40" w:line="175" w:lineRule="auto"/>
        <w:ind w:left="400" w:hanging="220"/>
        <w:jc w:val="left"/>
        <w:rPr>
          <w:sz w:val="16"/>
          <w:szCs w:val="16"/>
        </w:rPr>
      </w:pPr>
      <w:r>
        <w:rPr>
          <w:b/>
          <w:bCs/>
          <w:sz w:val="16"/>
          <w:szCs w:val="16"/>
        </w:rPr>
        <w:t>MEIRICH Marko Dr., Staré a nové Česko-Slo</w:t>
      </w:r>
      <w:r>
        <w:rPr>
          <w:b/>
          <w:bCs/>
          <w:sz w:val="16"/>
          <w:szCs w:val="16"/>
        </w:rPr>
        <w:softHyphen/>
        <w:t>vensko. Národohospodářský přehled bohat</w:t>
      </w:r>
      <w:r>
        <w:rPr>
          <w:b/>
          <w:bCs/>
          <w:sz w:val="16"/>
          <w:szCs w:val="16"/>
        </w:rPr>
        <w:softHyphen/>
        <w:t>ství a práce. 24X16 cm, 395 stran,</w:t>
      </w:r>
      <w:r>
        <w:rPr>
          <w:b/>
          <w:bCs/>
          <w:sz w:val="16"/>
          <w:szCs w:val="16"/>
        </w:rPr>
        <w:tab/>
        <w:t>brož. K 40.—</w:t>
      </w:r>
    </w:p>
    <w:p w:rsidR="00500724" w:rsidRDefault="00F30FB8">
      <w:pPr>
        <w:pStyle w:val="Zkladntext40"/>
        <w:shd w:val="clear" w:color="auto" w:fill="auto"/>
        <w:spacing w:after="0" w:line="173" w:lineRule="auto"/>
        <w:ind w:left="400" w:hanging="220"/>
        <w:jc w:val="left"/>
        <w:rPr>
          <w:sz w:val="16"/>
          <w:szCs w:val="16"/>
        </w:rPr>
      </w:pPr>
      <w:r>
        <w:rPr>
          <w:b/>
          <w:bCs/>
          <w:sz w:val="16"/>
          <w:szCs w:val="16"/>
          <w:lang w:val="en-US" w:eastAsia="en-US" w:bidi="en-US"/>
        </w:rPr>
        <w:t xml:space="preserve">BELLOC Hilaire, </w:t>
      </w:r>
      <w:r>
        <w:rPr>
          <w:b/>
          <w:bCs/>
          <w:sz w:val="16"/>
          <w:szCs w:val="16"/>
        </w:rPr>
        <w:t xml:space="preserve">Monarchy. A Study </w:t>
      </w:r>
      <w:r>
        <w:rPr>
          <w:b/>
          <w:bCs/>
          <w:sz w:val="16"/>
          <w:szCs w:val="16"/>
          <w:lang w:val="en-US" w:eastAsia="en-US" w:bidi="en-US"/>
        </w:rPr>
        <w:t xml:space="preserve">of </w:t>
      </w:r>
      <w:r>
        <w:rPr>
          <w:b/>
          <w:bCs/>
          <w:sz w:val="16"/>
          <w:szCs w:val="16"/>
        </w:rPr>
        <w:t>Louis</w:t>
      </w:r>
    </w:p>
    <w:p w:rsidR="00500724" w:rsidRDefault="00F30FB8">
      <w:pPr>
        <w:pStyle w:val="Zkladntext40"/>
        <w:shd w:val="clear" w:color="auto" w:fill="auto"/>
        <w:tabs>
          <w:tab w:val="left" w:pos="3806"/>
        </w:tabs>
        <w:spacing w:after="40" w:line="173" w:lineRule="auto"/>
        <w:ind w:left="400" w:firstLine="20"/>
        <w:rPr>
          <w:sz w:val="16"/>
          <w:szCs w:val="16"/>
        </w:rPr>
      </w:pPr>
      <w:r>
        <w:rPr>
          <w:b/>
          <w:bCs/>
          <w:sz w:val="16"/>
          <w:szCs w:val="16"/>
        </w:rPr>
        <w:t>XIV. 22.5X14 cm, 392 stran,</w:t>
      </w:r>
      <w:r>
        <w:rPr>
          <w:b/>
          <w:bCs/>
          <w:sz w:val="16"/>
          <w:szCs w:val="16"/>
        </w:rPr>
        <w:tab/>
        <w:t>váz. K100.—</w:t>
      </w:r>
    </w:p>
    <w:p w:rsidR="00500724" w:rsidRDefault="00F30FB8">
      <w:pPr>
        <w:pStyle w:val="Zkladntext40"/>
        <w:shd w:val="clear" w:color="auto" w:fill="auto"/>
        <w:spacing w:after="0" w:line="173" w:lineRule="auto"/>
        <w:ind w:left="400" w:hanging="220"/>
        <w:jc w:val="left"/>
        <w:rPr>
          <w:sz w:val="16"/>
          <w:szCs w:val="16"/>
        </w:rPr>
      </w:pPr>
      <w:r>
        <w:rPr>
          <w:b/>
          <w:bCs/>
          <w:sz w:val="16"/>
          <w:szCs w:val="16"/>
          <w:lang w:val="en-US" w:eastAsia="en-US" w:bidi="en-US"/>
        </w:rPr>
        <w:t xml:space="preserve">COLE </w:t>
      </w:r>
      <w:r>
        <w:rPr>
          <w:b/>
          <w:bCs/>
          <w:sz w:val="16"/>
          <w:szCs w:val="16"/>
        </w:rPr>
        <w:t xml:space="preserve">G. D. H., </w:t>
      </w:r>
      <w:r>
        <w:rPr>
          <w:b/>
          <w:bCs/>
          <w:sz w:val="16"/>
          <w:szCs w:val="16"/>
          <w:lang w:val="en-US" w:eastAsia="en-US" w:bidi="en-US"/>
        </w:rPr>
        <w:t>The Simple Case for Socialism.</w:t>
      </w:r>
    </w:p>
    <w:p w:rsidR="00500724" w:rsidRDefault="00F30FB8">
      <w:pPr>
        <w:pStyle w:val="Zkladntext40"/>
        <w:shd w:val="clear" w:color="auto" w:fill="auto"/>
        <w:tabs>
          <w:tab w:val="left" w:pos="3806"/>
        </w:tabs>
        <w:spacing w:after="40" w:line="173" w:lineRule="auto"/>
        <w:ind w:left="400" w:firstLine="20"/>
        <w:rPr>
          <w:sz w:val="16"/>
          <w:szCs w:val="16"/>
        </w:rPr>
      </w:pPr>
      <w:r>
        <w:rPr>
          <w:b/>
          <w:bCs/>
          <w:sz w:val="16"/>
          <w:szCs w:val="16"/>
          <w:lang w:val="en-US" w:eastAsia="en-US" w:bidi="en-US"/>
        </w:rPr>
        <w:t xml:space="preserve">19X12 cm, 288 </w:t>
      </w:r>
      <w:r>
        <w:rPr>
          <w:b/>
          <w:bCs/>
          <w:sz w:val="16"/>
          <w:szCs w:val="16"/>
        </w:rPr>
        <w:t>stran,</w:t>
      </w:r>
      <w:r>
        <w:rPr>
          <w:b/>
          <w:bCs/>
          <w:sz w:val="16"/>
          <w:szCs w:val="16"/>
        </w:rPr>
        <w:tab/>
        <w:t xml:space="preserve">váz. </w:t>
      </w:r>
      <w:r>
        <w:rPr>
          <w:b/>
          <w:bCs/>
          <w:sz w:val="16"/>
          <w:szCs w:val="16"/>
          <w:lang w:val="en-US" w:eastAsia="en-US" w:bidi="en-US"/>
        </w:rPr>
        <w:t>K 40.—</w:t>
      </w:r>
    </w:p>
    <w:p w:rsidR="00500724" w:rsidRDefault="00F30FB8">
      <w:pPr>
        <w:pStyle w:val="Zkladntext40"/>
        <w:shd w:val="clear" w:color="auto" w:fill="auto"/>
        <w:spacing w:after="0" w:line="173" w:lineRule="auto"/>
        <w:ind w:left="400" w:hanging="220"/>
        <w:jc w:val="left"/>
        <w:rPr>
          <w:sz w:val="16"/>
          <w:szCs w:val="16"/>
        </w:rPr>
      </w:pPr>
      <w:r>
        <w:rPr>
          <w:b/>
          <w:bCs/>
          <w:sz w:val="16"/>
          <w:szCs w:val="16"/>
          <w:lang w:val="en-US" w:eastAsia="en-US" w:bidi="en-US"/>
        </w:rPr>
        <w:t>The Bible Designed to Be Bead as Literature.</w:t>
      </w:r>
    </w:p>
    <w:p w:rsidR="00500724" w:rsidRDefault="00F30FB8">
      <w:pPr>
        <w:pStyle w:val="Zkladntext40"/>
        <w:shd w:val="clear" w:color="auto" w:fill="auto"/>
        <w:tabs>
          <w:tab w:val="left" w:pos="3806"/>
        </w:tabs>
        <w:spacing w:after="40" w:line="173" w:lineRule="auto"/>
        <w:ind w:left="400" w:firstLine="20"/>
        <w:jc w:val="left"/>
        <w:rPr>
          <w:sz w:val="16"/>
          <w:szCs w:val="16"/>
        </w:rPr>
      </w:pPr>
      <w:r>
        <w:rPr>
          <w:b/>
          <w:bCs/>
          <w:sz w:val="16"/>
          <w:szCs w:val="16"/>
          <w:lang w:val="en-US" w:eastAsia="en-US" w:bidi="en-US"/>
        </w:rPr>
        <w:t xml:space="preserve">Edited and arranged by Ernst Sutherland BATES with an Introduction by Laurence BINYON. 24X16 cm, 1243 </w:t>
      </w:r>
      <w:r>
        <w:rPr>
          <w:b/>
          <w:bCs/>
          <w:sz w:val="16"/>
          <w:szCs w:val="16"/>
        </w:rPr>
        <w:t>stran,</w:t>
      </w:r>
      <w:r>
        <w:rPr>
          <w:b/>
          <w:bCs/>
          <w:sz w:val="16"/>
          <w:szCs w:val="16"/>
        </w:rPr>
        <w:tab/>
        <w:t xml:space="preserve">váz. </w:t>
      </w:r>
      <w:r>
        <w:rPr>
          <w:b/>
          <w:bCs/>
          <w:sz w:val="16"/>
          <w:szCs w:val="16"/>
          <w:lang w:val="en-US" w:eastAsia="en-US" w:bidi="en-US"/>
        </w:rPr>
        <w:t>K 96.—</w:t>
      </w:r>
    </w:p>
    <w:p w:rsidR="00500724" w:rsidRDefault="00F30FB8">
      <w:pPr>
        <w:pStyle w:val="Zkladntext40"/>
        <w:shd w:val="clear" w:color="auto" w:fill="auto"/>
        <w:spacing w:after="0" w:line="173" w:lineRule="auto"/>
        <w:ind w:left="400" w:hanging="220"/>
        <w:jc w:val="left"/>
        <w:rPr>
          <w:sz w:val="16"/>
          <w:szCs w:val="16"/>
        </w:rPr>
      </w:pPr>
      <w:r>
        <w:rPr>
          <w:b/>
          <w:bCs/>
          <w:sz w:val="16"/>
          <w:szCs w:val="16"/>
        </w:rPr>
        <w:t xml:space="preserve">LÉMONON </w:t>
      </w:r>
      <w:r>
        <w:rPr>
          <w:b/>
          <w:bCs/>
          <w:sz w:val="16"/>
          <w:szCs w:val="16"/>
          <w:lang w:val="en-US" w:eastAsia="en-US" w:bidi="en-US"/>
        </w:rPr>
        <w:t xml:space="preserve">Ernest, De Cavour </w:t>
      </w:r>
      <w:r>
        <w:rPr>
          <w:b/>
          <w:bCs/>
          <w:sz w:val="16"/>
          <w:szCs w:val="16"/>
          <w:lang w:val="en-US" w:eastAsia="en-US" w:bidi="en-US"/>
        </w:rPr>
        <w:t>a Mussolini.</w:t>
      </w:r>
    </w:p>
    <w:p w:rsidR="00500724" w:rsidRDefault="00F30FB8">
      <w:pPr>
        <w:pStyle w:val="Zkladntext40"/>
        <w:shd w:val="clear" w:color="auto" w:fill="auto"/>
        <w:spacing w:after="0" w:line="173" w:lineRule="auto"/>
        <w:ind w:left="400" w:firstLine="20"/>
        <w:rPr>
          <w:sz w:val="16"/>
          <w:szCs w:val="16"/>
        </w:rPr>
      </w:pPr>
      <w:r>
        <w:rPr>
          <w:b/>
          <w:bCs/>
          <w:sz w:val="16"/>
          <w:szCs w:val="16"/>
        </w:rPr>
        <w:t xml:space="preserve">Préface </w:t>
      </w:r>
      <w:r>
        <w:rPr>
          <w:b/>
          <w:bCs/>
          <w:sz w:val="16"/>
          <w:szCs w:val="16"/>
          <w:lang w:val="en-US" w:eastAsia="en-US" w:bidi="en-US"/>
        </w:rPr>
        <w:t>de M. Louis Madelin. 23X14 cm,</w:t>
      </w:r>
    </w:p>
    <w:p w:rsidR="00500724" w:rsidRDefault="00F30FB8">
      <w:pPr>
        <w:pStyle w:val="Zkladntext40"/>
        <w:shd w:val="clear" w:color="auto" w:fill="auto"/>
        <w:tabs>
          <w:tab w:val="left" w:pos="3806"/>
        </w:tabs>
        <w:spacing w:after="40" w:line="173" w:lineRule="auto"/>
        <w:ind w:left="400" w:firstLine="20"/>
        <w:rPr>
          <w:sz w:val="16"/>
          <w:szCs w:val="16"/>
        </w:rPr>
      </w:pPr>
      <w:r>
        <w:rPr>
          <w:b/>
          <w:bCs/>
          <w:sz w:val="16"/>
          <w:szCs w:val="16"/>
          <w:lang w:val="en-US" w:eastAsia="en-US" w:bidi="en-US"/>
        </w:rPr>
        <w:t xml:space="preserve">94 </w:t>
      </w:r>
      <w:r>
        <w:rPr>
          <w:b/>
          <w:bCs/>
          <w:sz w:val="16"/>
          <w:szCs w:val="16"/>
        </w:rPr>
        <w:t>stran,</w:t>
      </w:r>
      <w:r>
        <w:rPr>
          <w:b/>
          <w:bCs/>
          <w:sz w:val="16"/>
          <w:szCs w:val="16"/>
        </w:rPr>
        <w:tab/>
        <w:t xml:space="preserve">brož. </w:t>
      </w:r>
      <w:r>
        <w:rPr>
          <w:b/>
          <w:bCs/>
          <w:sz w:val="16"/>
          <w:szCs w:val="16"/>
          <w:lang w:val="en-US" w:eastAsia="en-US" w:bidi="en-US"/>
        </w:rPr>
        <w:t>K 25.—</w:t>
      </w:r>
    </w:p>
    <w:p w:rsidR="00500724" w:rsidRDefault="00F30FB8">
      <w:pPr>
        <w:pStyle w:val="Zkladntext40"/>
        <w:shd w:val="clear" w:color="auto" w:fill="auto"/>
        <w:spacing w:after="0" w:line="175" w:lineRule="auto"/>
        <w:ind w:right="1240"/>
        <w:jc w:val="right"/>
        <w:rPr>
          <w:sz w:val="16"/>
          <w:szCs w:val="16"/>
        </w:rPr>
      </w:pPr>
      <w:r>
        <w:rPr>
          <w:b/>
          <w:bCs/>
          <w:sz w:val="16"/>
          <w:szCs w:val="16"/>
          <w:lang w:val="en-US" w:eastAsia="en-US" w:bidi="en-US"/>
        </w:rPr>
        <w:t xml:space="preserve">La Crlse Internationale de septembre 19S8. L’enchainement des faits. </w:t>
      </w:r>
      <w:r>
        <w:rPr>
          <w:b/>
          <w:bCs/>
          <w:sz w:val="16"/>
          <w:szCs w:val="16"/>
        </w:rPr>
        <w:t xml:space="preserve">Préface </w:t>
      </w:r>
      <w:r>
        <w:rPr>
          <w:b/>
          <w:bCs/>
          <w:sz w:val="16"/>
          <w:szCs w:val="16"/>
          <w:lang w:val="en-US" w:eastAsia="en-US" w:bidi="en-US"/>
        </w:rPr>
        <w:t>de M.</w:t>
      </w:r>
    </w:p>
    <w:p w:rsidR="00500724" w:rsidRDefault="00F30FB8">
      <w:pPr>
        <w:pStyle w:val="Zkladntext40"/>
        <w:shd w:val="clear" w:color="auto" w:fill="auto"/>
        <w:tabs>
          <w:tab w:val="left" w:pos="3806"/>
        </w:tabs>
        <w:spacing w:after="40" w:line="175" w:lineRule="auto"/>
        <w:ind w:left="400" w:firstLine="20"/>
        <w:rPr>
          <w:sz w:val="16"/>
          <w:szCs w:val="16"/>
        </w:rPr>
      </w:pPr>
      <w:r>
        <w:rPr>
          <w:b/>
          <w:bCs/>
          <w:sz w:val="16"/>
          <w:szCs w:val="16"/>
        </w:rPr>
        <w:t xml:space="preserve">André </w:t>
      </w:r>
      <w:r>
        <w:rPr>
          <w:b/>
          <w:bCs/>
          <w:sz w:val="16"/>
          <w:szCs w:val="16"/>
          <w:lang w:val="en-US" w:eastAsia="en-US" w:bidi="en-US"/>
        </w:rPr>
        <w:t xml:space="preserve">MAZON. 25X16 cm, 75 </w:t>
      </w:r>
      <w:r>
        <w:rPr>
          <w:b/>
          <w:bCs/>
          <w:sz w:val="16"/>
          <w:szCs w:val="16"/>
        </w:rPr>
        <w:t>stran,</w:t>
      </w:r>
      <w:r>
        <w:rPr>
          <w:b/>
          <w:bCs/>
          <w:sz w:val="16"/>
          <w:szCs w:val="16"/>
        </w:rPr>
        <w:tab/>
        <w:t xml:space="preserve">brož. </w:t>
      </w:r>
      <w:r>
        <w:rPr>
          <w:b/>
          <w:bCs/>
          <w:sz w:val="16"/>
          <w:szCs w:val="16"/>
          <w:lang w:val="en-US" w:eastAsia="en-US" w:bidi="en-US"/>
        </w:rPr>
        <w:t>K 5.—</w:t>
      </w:r>
    </w:p>
    <w:p w:rsidR="00500724" w:rsidRDefault="00F30FB8">
      <w:pPr>
        <w:pStyle w:val="Zkladntext40"/>
        <w:shd w:val="clear" w:color="auto" w:fill="auto"/>
        <w:spacing w:after="0" w:line="163" w:lineRule="auto"/>
        <w:ind w:right="1240"/>
        <w:jc w:val="right"/>
        <w:rPr>
          <w:sz w:val="16"/>
          <w:szCs w:val="16"/>
        </w:rPr>
      </w:pPr>
      <w:r>
        <w:rPr>
          <w:b/>
          <w:bCs/>
          <w:sz w:val="16"/>
          <w:szCs w:val="16"/>
          <w:lang w:val="en-US" w:eastAsia="en-US" w:bidi="en-US"/>
        </w:rPr>
        <w:t xml:space="preserve">STURZO Luigi, Politique et morale. </w:t>
      </w:r>
      <w:r>
        <w:rPr>
          <w:b/>
          <w:bCs/>
          <w:sz w:val="16"/>
          <w:szCs w:val="16"/>
        </w:rPr>
        <w:t xml:space="preserve">Supplé- </w:t>
      </w:r>
      <w:r>
        <w:rPr>
          <w:b/>
          <w:bCs/>
          <w:sz w:val="16"/>
          <w:szCs w:val="16"/>
          <w:lang w:val="en-US" w:eastAsia="en-US" w:bidi="en-US"/>
        </w:rPr>
        <w:t xml:space="preserve">ment: </w:t>
      </w:r>
      <w:r>
        <w:rPr>
          <w:b/>
          <w:bCs/>
          <w:sz w:val="16"/>
          <w:szCs w:val="16"/>
        </w:rPr>
        <w:t xml:space="preserve">Les ldées </w:t>
      </w:r>
      <w:r>
        <w:rPr>
          <w:b/>
          <w:bCs/>
          <w:sz w:val="16"/>
          <w:szCs w:val="16"/>
          <w:lang w:val="en-US" w:eastAsia="en-US" w:bidi="en-US"/>
        </w:rPr>
        <w:t>et les livres. 23X14 cm,</w:t>
      </w:r>
    </w:p>
    <w:p w:rsidR="00500724" w:rsidRDefault="00F30FB8">
      <w:pPr>
        <w:pStyle w:val="Zkladntext40"/>
        <w:shd w:val="clear" w:color="auto" w:fill="auto"/>
        <w:tabs>
          <w:tab w:val="left" w:pos="3806"/>
        </w:tabs>
        <w:spacing w:after="40" w:line="163" w:lineRule="auto"/>
        <w:ind w:left="400" w:firstLine="20"/>
        <w:rPr>
          <w:sz w:val="16"/>
          <w:szCs w:val="16"/>
        </w:rPr>
      </w:pPr>
      <w:r>
        <w:rPr>
          <w:b/>
          <w:bCs/>
          <w:sz w:val="16"/>
          <w:szCs w:val="16"/>
          <w:lang w:val="en-US" w:eastAsia="en-US" w:bidi="en-US"/>
        </w:rPr>
        <w:t xml:space="preserve">179 </w:t>
      </w:r>
      <w:r>
        <w:rPr>
          <w:b/>
          <w:bCs/>
          <w:sz w:val="16"/>
          <w:szCs w:val="16"/>
        </w:rPr>
        <w:t>stran,</w:t>
      </w:r>
      <w:r>
        <w:rPr>
          <w:b/>
          <w:bCs/>
          <w:sz w:val="16"/>
          <w:szCs w:val="16"/>
        </w:rPr>
        <w:tab/>
        <w:t xml:space="preserve">brož. </w:t>
      </w:r>
      <w:r>
        <w:rPr>
          <w:b/>
          <w:bCs/>
          <w:sz w:val="16"/>
          <w:szCs w:val="16"/>
          <w:lang w:val="en-US" w:eastAsia="en-US" w:bidi="en-US"/>
        </w:rPr>
        <w:t>K 24.—</w:t>
      </w:r>
    </w:p>
    <w:p w:rsidR="00500724" w:rsidRDefault="00F30FB8">
      <w:pPr>
        <w:pStyle w:val="Zkladntext40"/>
        <w:shd w:val="clear" w:color="auto" w:fill="auto"/>
        <w:tabs>
          <w:tab w:val="left" w:pos="3806"/>
        </w:tabs>
        <w:spacing w:after="40" w:line="170" w:lineRule="auto"/>
        <w:ind w:left="400" w:hanging="220"/>
        <w:jc w:val="left"/>
        <w:rPr>
          <w:sz w:val="16"/>
          <w:szCs w:val="16"/>
        </w:rPr>
      </w:pPr>
      <w:r>
        <w:rPr>
          <w:b/>
          <w:bCs/>
          <w:sz w:val="16"/>
          <w:szCs w:val="16"/>
          <w:lang w:val="en-US" w:eastAsia="en-US" w:bidi="en-US"/>
        </w:rPr>
        <w:t>HABE Hans, Eine Zeit brlcht zusammen. Ro</w:t>
      </w:r>
      <w:r>
        <w:rPr>
          <w:b/>
          <w:bCs/>
          <w:sz w:val="16"/>
          <w:szCs w:val="16"/>
          <w:lang w:val="en-US" w:eastAsia="en-US" w:bidi="en-US"/>
        </w:rPr>
        <w:softHyphen/>
        <w:t xml:space="preserve">man. 22 X14 cm, 655 </w:t>
      </w:r>
      <w:r>
        <w:rPr>
          <w:b/>
          <w:bCs/>
          <w:sz w:val="16"/>
          <w:szCs w:val="16"/>
        </w:rPr>
        <w:t>stran,</w:t>
      </w:r>
      <w:r>
        <w:rPr>
          <w:b/>
          <w:bCs/>
          <w:sz w:val="16"/>
          <w:szCs w:val="16"/>
        </w:rPr>
        <w:tab/>
        <w:t xml:space="preserve">brož. </w:t>
      </w:r>
      <w:r>
        <w:rPr>
          <w:b/>
          <w:bCs/>
          <w:sz w:val="16"/>
          <w:szCs w:val="16"/>
          <w:lang w:val="en-US" w:eastAsia="en-US" w:bidi="en-US"/>
        </w:rPr>
        <w:t>K 65.-—</w:t>
      </w:r>
    </w:p>
    <w:p w:rsidR="00500724" w:rsidRDefault="00F30FB8">
      <w:pPr>
        <w:pStyle w:val="Zkladntext40"/>
        <w:shd w:val="clear" w:color="auto" w:fill="auto"/>
        <w:spacing w:after="40" w:line="170" w:lineRule="auto"/>
        <w:ind w:left="400" w:hanging="220"/>
        <w:jc w:val="left"/>
        <w:rPr>
          <w:sz w:val="16"/>
          <w:szCs w:val="16"/>
        </w:rPr>
      </w:pPr>
      <w:r>
        <w:rPr>
          <w:b/>
          <w:bCs/>
          <w:sz w:val="16"/>
          <w:szCs w:val="16"/>
          <w:lang w:val="en-US" w:eastAsia="en-US" w:bidi="en-US"/>
        </w:rPr>
        <w:t>KOOPMANN Doz. MUDr., Abriss der gericht- Iichen und sozialen Medlzin ftir Studie- rende und Arzte. 20.5X13.5 cm, 50</w:t>
      </w:r>
      <w:r>
        <w:rPr>
          <w:b/>
          <w:bCs/>
          <w:sz w:val="16"/>
          <w:szCs w:val="16"/>
          <w:lang w:val="en-US" w:eastAsia="en-US" w:bidi="en-US"/>
        </w:rPr>
        <w:t xml:space="preserve"> </w:t>
      </w:r>
      <w:r>
        <w:rPr>
          <w:b/>
          <w:bCs/>
          <w:sz w:val="16"/>
          <w:szCs w:val="16"/>
        </w:rPr>
        <w:t xml:space="preserve">stran, </w:t>
      </w:r>
      <w:r>
        <w:rPr>
          <w:b/>
          <w:bCs/>
          <w:sz w:val="16"/>
          <w:szCs w:val="16"/>
          <w:lang w:val="en-US" w:eastAsia="en-US" w:bidi="en-US"/>
        </w:rPr>
        <w:t>kart. K _20.—</w:t>
      </w:r>
    </w:p>
    <w:p w:rsidR="00500724" w:rsidRDefault="00F30FB8">
      <w:pPr>
        <w:pStyle w:val="Zkladntext40"/>
        <w:shd w:val="clear" w:color="auto" w:fill="auto"/>
        <w:tabs>
          <w:tab w:val="left" w:pos="3806"/>
        </w:tabs>
        <w:spacing w:after="140" w:line="170" w:lineRule="auto"/>
        <w:ind w:left="400" w:hanging="220"/>
        <w:jc w:val="left"/>
        <w:rPr>
          <w:sz w:val="16"/>
          <w:szCs w:val="16"/>
        </w:rPr>
      </w:pPr>
      <w:r>
        <w:rPr>
          <w:b/>
          <w:bCs/>
          <w:sz w:val="16"/>
          <w:szCs w:val="16"/>
          <w:lang w:val="en-US" w:eastAsia="en-US" w:bidi="en-US"/>
        </w:rPr>
        <w:t xml:space="preserve">RAUPACH Hans, Der tschechische Friihnatio- nalismtis. Ein Beitrag zur Geseilschafts- und Ideengeschichte des Vormarz in Bohmen. 25X16 cm, 155 </w:t>
      </w:r>
      <w:r>
        <w:rPr>
          <w:b/>
          <w:bCs/>
          <w:sz w:val="16"/>
          <w:szCs w:val="16"/>
        </w:rPr>
        <w:t>stran,</w:t>
      </w:r>
      <w:r>
        <w:rPr>
          <w:b/>
          <w:bCs/>
          <w:sz w:val="16"/>
          <w:szCs w:val="16"/>
        </w:rPr>
        <w:tab/>
        <w:t xml:space="preserve">váz. </w:t>
      </w:r>
      <w:r>
        <w:rPr>
          <w:b/>
          <w:bCs/>
          <w:sz w:val="16"/>
          <w:szCs w:val="16"/>
          <w:lang w:val="en-US" w:eastAsia="en-US" w:bidi="en-US"/>
        </w:rPr>
        <w:t>K 52.—</w:t>
      </w:r>
    </w:p>
    <w:p w:rsidR="00500724" w:rsidRDefault="00F30FB8">
      <w:pPr>
        <w:pStyle w:val="Zkladntext50"/>
        <w:shd w:val="clear" w:color="auto" w:fill="auto"/>
        <w:spacing w:after="40" w:line="161" w:lineRule="auto"/>
        <w:ind w:left="0"/>
        <w:jc w:val="right"/>
        <w:rPr>
          <w:sz w:val="18"/>
          <w:szCs w:val="18"/>
        </w:rPr>
      </w:pPr>
      <w:r>
        <w:rPr>
          <w:b/>
          <w:bCs/>
          <w:sz w:val="32"/>
          <w:szCs w:val="32"/>
          <w:lang w:val="en-US" w:eastAsia="en-US" w:bidi="en-US"/>
        </w:rPr>
        <w:t xml:space="preserve">F. </w:t>
      </w:r>
      <w:r>
        <w:rPr>
          <w:b/>
          <w:bCs/>
          <w:sz w:val="32"/>
          <w:szCs w:val="32"/>
        </w:rPr>
        <w:t xml:space="preserve">TOPÍC, </w:t>
      </w:r>
      <w:r>
        <w:rPr>
          <w:sz w:val="18"/>
          <w:szCs w:val="18"/>
        </w:rPr>
        <w:t xml:space="preserve">knihkupectví, </w:t>
      </w:r>
      <w:r>
        <w:rPr>
          <w:sz w:val="18"/>
          <w:szCs w:val="18"/>
          <w:lang w:val="en-US" w:eastAsia="en-US" w:bidi="en-US"/>
        </w:rPr>
        <w:t xml:space="preserve">Praha I, </w:t>
      </w:r>
      <w:r>
        <w:rPr>
          <w:sz w:val="18"/>
          <w:szCs w:val="18"/>
        </w:rPr>
        <w:t xml:space="preserve">Národní </w:t>
      </w:r>
      <w:r>
        <w:rPr>
          <w:sz w:val="18"/>
          <w:szCs w:val="18"/>
          <w:lang w:val="en-US" w:eastAsia="en-US" w:bidi="en-US"/>
        </w:rPr>
        <w:t>11,</w:t>
      </w:r>
    </w:p>
    <w:p w:rsidR="00500724" w:rsidRDefault="00F30FB8">
      <w:pPr>
        <w:pStyle w:val="Zkladntext50"/>
        <w:shd w:val="clear" w:color="auto" w:fill="auto"/>
        <w:spacing w:after="540" w:line="204" w:lineRule="auto"/>
        <w:ind w:left="400" w:hanging="220"/>
        <w:jc w:val="left"/>
        <w:rPr>
          <w:sz w:val="18"/>
          <w:szCs w:val="18"/>
        </w:rPr>
      </w:pPr>
      <w:r>
        <w:rPr>
          <w:b/>
          <w:bCs/>
          <w:sz w:val="32"/>
          <w:szCs w:val="32"/>
          <w:lang w:val="en-US" w:eastAsia="en-US" w:bidi="en-US"/>
        </w:rPr>
        <w:t xml:space="preserve">Fr- </w:t>
      </w:r>
      <w:r>
        <w:rPr>
          <w:b/>
          <w:bCs/>
          <w:sz w:val="32"/>
          <w:szCs w:val="32"/>
        </w:rPr>
        <w:t xml:space="preserve">Borový, </w:t>
      </w:r>
      <w:r>
        <w:rPr>
          <w:sz w:val="18"/>
          <w:szCs w:val="18"/>
        </w:rPr>
        <w:t xml:space="preserve">akademické knihkupectvo, </w:t>
      </w:r>
      <w:r>
        <w:rPr>
          <w:sz w:val="18"/>
          <w:szCs w:val="18"/>
          <w:lang w:val="en-US" w:eastAsia="en-US" w:bidi="en-US"/>
        </w:rPr>
        <w:t xml:space="preserve">Bratislava, </w:t>
      </w:r>
      <w:r>
        <w:rPr>
          <w:sz w:val="18"/>
          <w:szCs w:val="18"/>
        </w:rPr>
        <w:t xml:space="preserve">Dunajská </w:t>
      </w:r>
      <w:r>
        <w:rPr>
          <w:sz w:val="18"/>
          <w:szCs w:val="18"/>
          <w:lang w:val="en-US" w:eastAsia="en-US" w:bidi="en-US"/>
        </w:rPr>
        <w:t>21</w:t>
      </w:r>
    </w:p>
    <w:p w:rsidR="00500724" w:rsidRDefault="00F30FB8">
      <w:pPr>
        <w:pStyle w:val="Jin0"/>
        <w:shd w:val="clear" w:color="auto" w:fill="auto"/>
        <w:spacing w:after="300"/>
        <w:ind w:firstLine="0"/>
        <w:jc w:val="center"/>
        <w:rPr>
          <w:sz w:val="32"/>
          <w:szCs w:val="32"/>
        </w:rPr>
      </w:pPr>
      <w:r>
        <w:rPr>
          <w:sz w:val="30"/>
          <w:szCs w:val="30"/>
          <w:u w:val="single"/>
        </w:rPr>
        <w:t xml:space="preserve">Čtěte </w:t>
      </w:r>
      <w:r>
        <w:rPr>
          <w:rFonts w:ascii="Cambria" w:eastAsia="Cambria" w:hAnsi="Cambria" w:cs="Cambria"/>
          <w:b/>
          <w:bCs/>
          <w:i/>
          <w:iCs/>
          <w:sz w:val="32"/>
          <w:szCs w:val="32"/>
          <w:u w:val="single"/>
        </w:rPr>
        <w:t>LIDOVÍ NOVINY</w:t>
      </w:r>
    </w:p>
    <w:p w:rsidR="00500724" w:rsidRDefault="00F30FB8">
      <w:pPr>
        <w:pStyle w:val="Nadpis90"/>
        <w:keepNext/>
        <w:keepLines/>
        <w:shd w:val="clear" w:color="auto" w:fill="auto"/>
        <w:spacing w:after="0"/>
        <w:rPr>
          <w:sz w:val="42"/>
          <w:szCs w:val="42"/>
        </w:rPr>
      </w:pPr>
      <w:bookmarkStart w:id="183" w:name="bookmark182"/>
      <w:r>
        <w:rPr>
          <w:rFonts w:ascii="Calibri" w:eastAsia="Calibri" w:hAnsi="Calibri" w:cs="Calibri"/>
          <w:b/>
          <w:bCs/>
          <w:w w:val="60"/>
          <w:sz w:val="42"/>
          <w:szCs w:val="42"/>
        </w:rPr>
        <w:t xml:space="preserve">LONGINES </w:t>
      </w:r>
      <w:r>
        <w:rPr>
          <w:rFonts w:ascii="Times New Roman" w:eastAsia="Times New Roman" w:hAnsi="Times New Roman" w:cs="Times New Roman"/>
          <w:w w:val="80"/>
          <w:sz w:val="42"/>
          <w:szCs w:val="42"/>
        </w:rPr>
        <w:t>hodinky-vždy přesné</w:t>
      </w:r>
      <w:bookmarkEnd w:id="183"/>
    </w:p>
    <w:p w:rsidR="00500724" w:rsidRDefault="00F30FB8">
      <w:pPr>
        <w:spacing w:line="1" w:lineRule="exact"/>
        <w:rPr>
          <w:sz w:val="2"/>
          <w:szCs w:val="2"/>
        </w:rPr>
      </w:pPr>
      <w:r>
        <w:br w:type="column"/>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40"/>
        <w:jc w:val="center"/>
      </w:pPr>
      <w:bookmarkStart w:id="184" w:name="bookmark183"/>
      <w:r>
        <w:rPr>
          <w:color w:val="FFFFFF"/>
        </w:rPr>
        <w:t xml:space="preserve">ODBORNÍ </w:t>
      </w:r>
      <w:r>
        <w:rPr>
          <w:color w:val="FFFFFF"/>
          <w:lang w:val="en-US" w:eastAsia="en-US" w:bidi="en-US"/>
        </w:rPr>
        <w:t>LEKAftl</w:t>
      </w:r>
      <w:bookmarkEnd w:id="184"/>
    </w:p>
    <w:p w:rsidR="00500724" w:rsidRDefault="00F30FB8">
      <w:pPr>
        <w:pStyle w:val="Zkladntext1"/>
        <w:shd w:val="clear" w:color="auto" w:fill="auto"/>
        <w:spacing w:line="142" w:lineRule="auto"/>
        <w:ind w:firstLine="0"/>
        <w:jc w:val="right"/>
        <w:rPr>
          <w:sz w:val="18"/>
          <w:szCs w:val="18"/>
        </w:rPr>
      </w:pPr>
      <w:r>
        <w:rPr>
          <w:rFonts w:ascii="Arial" w:eastAsia="Arial" w:hAnsi="Arial" w:cs="Arial"/>
          <w:b/>
          <w:bCs/>
        </w:rPr>
        <w:t xml:space="preserve">MUDr Frnnlrl </w:t>
      </w:r>
      <w:r>
        <w:rPr>
          <w:b/>
          <w:bCs/>
          <w:sz w:val="18"/>
          <w:szCs w:val="18"/>
        </w:rPr>
        <w:t xml:space="preserve">odborný lékař pro žaludeční a </w:t>
      </w:r>
      <w:r>
        <w:rPr>
          <w:rFonts w:ascii="Arial" w:eastAsia="Arial" w:hAnsi="Arial" w:cs="Arial"/>
          <w:b/>
          <w:bCs/>
        </w:rPr>
        <w:t xml:space="preserve">• ranní </w:t>
      </w:r>
      <w:r>
        <w:rPr>
          <w:b/>
          <w:bCs/>
          <w:sz w:val="18"/>
          <w:szCs w:val="18"/>
        </w:rPr>
        <w:t>střevní nemoci a roentgenologil.</w:t>
      </w:r>
    </w:p>
    <w:p w:rsidR="00500724" w:rsidRDefault="00F30FB8">
      <w:pPr>
        <w:pStyle w:val="Zkladntext1"/>
        <w:shd w:val="clear" w:color="auto" w:fill="auto"/>
        <w:spacing w:line="142" w:lineRule="auto"/>
        <w:ind w:firstLine="0"/>
        <w:jc w:val="right"/>
      </w:pPr>
      <w:r>
        <w:rPr>
          <w:b/>
          <w:bCs/>
        </w:rPr>
        <w:t>PRAHA IL, NEKAZANKA 4, H patro. Ord. 9-10. 3-4.</w:t>
      </w:r>
    </w:p>
    <w:p w:rsidR="00500724" w:rsidRDefault="00F30FB8">
      <w:pPr>
        <w:pStyle w:val="Zkladntext1"/>
        <w:pBdr>
          <w:bottom w:val="single" w:sz="4" w:space="0" w:color="auto"/>
        </w:pBdr>
        <w:shd w:val="clear" w:color="auto" w:fill="auto"/>
        <w:spacing w:after="240" w:line="142" w:lineRule="auto"/>
        <w:ind w:left="2620" w:firstLine="0"/>
        <w:jc w:val="left"/>
      </w:pPr>
      <w:r>
        <w:rPr>
          <w:b/>
          <w:bCs/>
        </w:rPr>
        <w:t xml:space="preserve">Telefon </w:t>
      </w:r>
      <w:r>
        <w:rPr>
          <w:b/>
          <w:bCs/>
        </w:rPr>
        <w:t>234-13.</w:t>
      </w:r>
    </w:p>
    <w:p w:rsidR="00500724" w:rsidRDefault="00F30FB8">
      <w:pPr>
        <w:pStyle w:val="Zkladntext1"/>
        <w:shd w:val="clear" w:color="auto" w:fill="auto"/>
        <w:spacing w:line="149" w:lineRule="auto"/>
        <w:ind w:firstLine="0"/>
        <w:jc w:val="right"/>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rPr>
          <w:b/>
          <w:bCs/>
        </w:rPr>
        <w:t xml:space="preserve">odborný lékař pro choroby vnitřní, žaludeční, střevní a výměny látek, em. asistent X. med. kliniky </w:t>
      </w:r>
      <w:r>
        <w:rPr>
          <w:b/>
          <w:bCs/>
          <w:lang w:val="en-US" w:eastAsia="en-US" w:bidi="en-US"/>
        </w:rPr>
        <w:t xml:space="preserve">prof. </w:t>
      </w:r>
      <w:r>
        <w:rPr>
          <w:b/>
          <w:bCs/>
        </w:rPr>
        <w:t>Schmidta,</w:t>
      </w:r>
    </w:p>
    <w:p w:rsidR="00500724" w:rsidRDefault="00F30FB8">
      <w:pPr>
        <w:pStyle w:val="Zkladntext1"/>
        <w:shd w:val="clear" w:color="auto" w:fill="auto"/>
        <w:spacing w:after="160" w:line="156" w:lineRule="auto"/>
        <w:ind w:firstLine="0"/>
        <w:jc w:val="right"/>
      </w:pPr>
      <w:r>
        <w:rPr>
          <w:b/>
          <w:bCs/>
          <w:u w:val="single"/>
        </w:rPr>
        <w:t>PRAHA I., Na Příkopech 35. Ord. 9-10, ’/,3-%5. Telef. 228-91.</w:t>
      </w:r>
    </w:p>
    <w:p w:rsidR="00500724" w:rsidRDefault="00F30FB8">
      <w:pPr>
        <w:pStyle w:val="Nadpis110"/>
        <w:shd w:val="clear" w:color="auto" w:fill="auto"/>
        <w:jc w:val="both"/>
      </w:pPr>
      <w:bookmarkStart w:id="185" w:name="bookmark184"/>
      <w:r>
        <w:t>MUDr. ZDENKA NEDVĚDOVÁ-NEJEDLÁ</w:t>
      </w:r>
      <w:bookmarkEnd w:id="185"/>
    </w:p>
    <w:p w:rsidR="00500724" w:rsidRDefault="00F30FB8">
      <w:pPr>
        <w:pStyle w:val="Zkladntext1"/>
        <w:shd w:val="clear" w:color="auto" w:fill="auto"/>
        <w:spacing w:after="160" w:line="190" w:lineRule="auto"/>
        <w:ind w:firstLine="0"/>
        <w:jc w:val="right"/>
      </w:pPr>
      <w:r>
        <w:rPr>
          <w:b/>
          <w:bCs/>
        </w:rPr>
        <w:t xml:space="preserve">odb. dětská lékařka, PODOLÍ, Pankrácká 14 (stanice elektr. </w:t>
      </w:r>
      <w:r>
        <w:rPr>
          <w:b/>
          <w:bCs/>
          <w:u w:val="single"/>
        </w:rPr>
        <w:t>dráhy za Podol, sanatoriem). Ord. 9—10 a 2—4. TeL 441-77.</w:t>
      </w:r>
    </w:p>
    <w:p w:rsidR="00500724" w:rsidRDefault="00F30FB8">
      <w:pPr>
        <w:pStyle w:val="Zkladntext1"/>
        <w:shd w:val="clear" w:color="auto" w:fill="auto"/>
        <w:spacing w:after="200" w:line="194" w:lineRule="auto"/>
        <w:ind w:firstLine="0"/>
      </w:pPr>
      <w:r>
        <w:rPr>
          <w:b/>
          <w:bCs/>
        </w:rPr>
        <w:t xml:space="preserve">Pro plastickou chirurgii </w:t>
      </w:r>
      <w:r>
        <w:rPr>
          <w:rFonts w:ascii="Arial" w:eastAsia="Arial" w:hAnsi="Arial" w:cs="Arial"/>
          <w:b/>
          <w:bCs/>
          <w:sz w:val="22"/>
          <w:szCs w:val="22"/>
        </w:rPr>
        <w:t xml:space="preserve">Dr. RUDOLF SLUNEČKO </w:t>
      </w:r>
      <w:r>
        <w:rPr>
          <w:b/>
          <w:bCs/>
        </w:rPr>
        <w:t>ord. 3-4 (a podle úmluvy). Telefon 393-79. PRAHA EL, VO</w:t>
      </w:r>
      <w:r>
        <w:rPr>
          <w:b/>
          <w:bCs/>
        </w:rPr>
        <w:softHyphen/>
      </w:r>
      <w:r>
        <w:rPr>
          <w:b/>
          <w:bCs/>
          <w:u w:val="single"/>
        </w:rPr>
        <w:t>DIČKOVA 15. (Hlávkův palác.)</w:t>
      </w:r>
    </w:p>
    <w:p w:rsidR="00500724" w:rsidRDefault="00F30FB8">
      <w:pPr>
        <w:pStyle w:val="Zkladntext1"/>
        <w:shd w:val="clear" w:color="auto" w:fill="auto"/>
        <w:spacing w:line="0" w:lineRule="atLeast"/>
        <w:ind w:firstLine="0"/>
      </w:pPr>
      <w:r>
        <w:rPr>
          <w:b/>
          <w:bCs/>
        </w:rPr>
        <w:t>Odborný l</w:t>
      </w:r>
      <w:r>
        <w:rPr>
          <w:b/>
          <w:bCs/>
        </w:rPr>
        <w:t xml:space="preserve">ékař pro porod- </w:t>
      </w:r>
      <w:r>
        <w:rPr>
          <w:rFonts w:ascii="Arial" w:eastAsia="Arial" w:hAnsi="Arial" w:cs="Arial"/>
          <w:b/>
          <w:bCs/>
          <w:sz w:val="26"/>
          <w:szCs w:val="26"/>
        </w:rPr>
        <w:t xml:space="preserve">MUDr. K. STEINBACH </w:t>
      </w:r>
      <w:r>
        <w:rPr>
          <w:b/>
          <w:bCs/>
        </w:rPr>
        <w:t>nictví a pro nemoci žen</w:t>
      </w:r>
    </w:p>
    <w:p w:rsidR="00500724" w:rsidRDefault="00F30FB8">
      <w:pPr>
        <w:pStyle w:val="Zkladntext1"/>
        <w:shd w:val="clear" w:color="auto" w:fill="auto"/>
        <w:spacing w:after="240" w:line="137" w:lineRule="auto"/>
        <w:ind w:firstLine="0"/>
        <w:jc w:val="right"/>
      </w:pPr>
      <w:r>
        <w:rPr>
          <w:b/>
          <w:bCs/>
          <w:u w:val="single"/>
        </w:rPr>
        <w:t>PRAHA H., Havlíčkovo nám. 22. Ord. 9-11, 2-4. Tel. z7(j-13.</w:t>
      </w:r>
    </w:p>
    <w:p w:rsidR="00500724" w:rsidRDefault="00F30FB8">
      <w:pPr>
        <w:pStyle w:val="Zkladntext1"/>
        <w:shd w:val="clear" w:color="auto" w:fill="auto"/>
        <w:spacing w:after="280" w:line="199" w:lineRule="auto"/>
        <w:ind w:firstLine="0"/>
      </w:pPr>
      <w:r>
        <w:rPr>
          <w:rFonts w:ascii="Arial" w:eastAsia="Arial" w:hAnsi="Arial" w:cs="Arial"/>
          <w:b/>
          <w:bCs/>
          <w:sz w:val="22"/>
          <w:szCs w:val="22"/>
        </w:rPr>
        <w:t xml:space="preserve">MUDr. STANISLAV TUMPACH </w:t>
      </w:r>
      <w:r>
        <w:rPr>
          <w:b/>
          <w:bCs/>
        </w:rPr>
        <w:t xml:space="preserve">odborný lékař pro chirurgii a urologii. PRAHA XH., Fochova 84 (Nám. krále </w:t>
      </w:r>
      <w:r>
        <w:rPr>
          <w:b/>
          <w:bCs/>
          <w:u w:val="single"/>
        </w:rPr>
        <w:t xml:space="preserve">Jiřího). Ord. 15—17. Tel. 512-86, byt: </w:t>
      </w:r>
      <w:r>
        <w:rPr>
          <w:b/>
          <w:bCs/>
          <w:u w:val="single"/>
        </w:rPr>
        <w:t>513-38.</w:t>
      </w:r>
    </w:p>
    <w:p w:rsidR="00500724" w:rsidRDefault="00F30FB8">
      <w:pPr>
        <w:pStyle w:val="Nadpis110"/>
        <w:shd w:val="clear" w:color="auto" w:fill="auto"/>
        <w:jc w:val="both"/>
      </w:pPr>
      <w:bookmarkStart w:id="186" w:name="bookmark185"/>
      <w:r>
        <w:t>MUDr. EMIL VOGL</w:t>
      </w:r>
      <w:bookmarkEnd w:id="186"/>
    </w:p>
    <w:p w:rsidR="00500724" w:rsidRDefault="00F30FB8">
      <w:pPr>
        <w:pStyle w:val="Zkladntext1"/>
        <w:shd w:val="clear" w:color="auto" w:fill="auto"/>
        <w:spacing w:after="360" w:line="190" w:lineRule="auto"/>
        <w:ind w:firstLine="0"/>
      </w:pPr>
      <w:r>
        <w:rPr>
          <w:b/>
          <w:bCs/>
        </w:rPr>
        <w:t xml:space="preserve">odborný lékař nro nemoci vnitřní, PRAHA EL, LÚTZOWOVA </w:t>
      </w:r>
      <w:r>
        <w:rPr>
          <w:b/>
          <w:bCs/>
          <w:u w:val="single"/>
        </w:rPr>
        <w:t>32, roh Washingtonovy. Ord. 9-11, 2-4. Telefon 226-68.</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420"/>
        <w:jc w:val="center"/>
      </w:pPr>
      <w:bookmarkStart w:id="187" w:name="bookmark186"/>
      <w:r>
        <w:rPr>
          <w:color w:val="FFFFFF"/>
        </w:rPr>
        <w:t>VAS VKUS I NÁROKY USPOKOJÍ</w:t>
      </w:r>
      <w:bookmarkEnd w:id="187"/>
    </w:p>
    <w:p w:rsidR="00500724" w:rsidRDefault="00F30FB8">
      <w:pPr>
        <w:pStyle w:val="Jin0"/>
        <w:shd w:val="clear" w:color="auto" w:fill="auto"/>
        <w:ind w:firstLine="0"/>
        <w:jc w:val="center"/>
        <w:rPr>
          <w:sz w:val="26"/>
          <w:szCs w:val="26"/>
        </w:rPr>
      </w:pPr>
      <w:r>
        <w:rPr>
          <w:rFonts w:ascii="Arial" w:eastAsia="Arial" w:hAnsi="Arial" w:cs="Arial"/>
          <w:b/>
          <w:bCs/>
          <w:sz w:val="26"/>
          <w:szCs w:val="26"/>
        </w:rPr>
        <w:t>KRAUS&amp;SPOL.</w:t>
      </w:r>
    </w:p>
    <w:p w:rsidR="00500724" w:rsidRDefault="00F30FB8">
      <w:pPr>
        <w:pStyle w:val="Nadpis120"/>
        <w:shd w:val="clear" w:color="auto" w:fill="auto"/>
        <w:ind w:left="0"/>
        <w:jc w:val="center"/>
      </w:pPr>
      <w:bookmarkStart w:id="188" w:name="bookmark187"/>
      <w:r>
        <w:t>krejčí pro pány a dámy</w:t>
      </w:r>
      <w:bookmarkEnd w:id="188"/>
    </w:p>
    <w:p w:rsidR="00500724" w:rsidRDefault="00F30FB8">
      <w:pPr>
        <w:pStyle w:val="Nadpis120"/>
        <w:shd w:val="clear" w:color="auto" w:fill="auto"/>
        <w:ind w:left="0" w:right="220"/>
        <w:jc w:val="right"/>
      </w:pPr>
      <w:bookmarkStart w:id="189" w:name="bookmark188"/>
      <w:r>
        <w:t>PRAHA H.,</w:t>
      </w:r>
      <w:bookmarkEnd w:id="189"/>
    </w:p>
    <w:p w:rsidR="00500724" w:rsidRDefault="00F30FB8">
      <w:pPr>
        <w:pStyle w:val="Zkladntext1"/>
        <w:shd w:val="clear" w:color="auto" w:fill="auto"/>
        <w:tabs>
          <w:tab w:val="left" w:pos="4019"/>
        </w:tabs>
        <w:spacing w:after="240" w:line="226" w:lineRule="auto"/>
        <w:ind w:left="140" w:firstLine="20"/>
      </w:pPr>
      <w:r>
        <w:rPr>
          <w:b/>
          <w:bCs/>
        </w:rPr>
        <w:t>Telefon 309-69</w:t>
      </w:r>
      <w:r>
        <w:rPr>
          <w:b/>
          <w:bCs/>
        </w:rPr>
        <w:tab/>
        <w:t>Panská ul. 10</w:t>
      </w:r>
    </w:p>
    <w:p w:rsidR="00500724" w:rsidRDefault="00F30FB8">
      <w:pPr>
        <w:pStyle w:val="Zkladntext40"/>
        <w:shd w:val="clear" w:color="auto" w:fill="auto"/>
        <w:spacing w:after="0" w:line="240" w:lineRule="auto"/>
        <w:jc w:val="center"/>
        <w:rPr>
          <w:sz w:val="14"/>
          <w:szCs w:val="14"/>
        </w:rPr>
      </w:pPr>
      <w:r>
        <w:rPr>
          <w:b/>
          <w:bCs/>
          <w:sz w:val="14"/>
          <w:szCs w:val="14"/>
        </w:rPr>
        <w:t>OBUV PRU VYSSl NÁROKY</w:t>
      </w:r>
    </w:p>
    <w:p w:rsidR="00500724" w:rsidRDefault="00F30FB8">
      <w:pPr>
        <w:pStyle w:val="Jin0"/>
        <w:shd w:val="clear" w:color="auto" w:fill="auto"/>
        <w:spacing w:line="199"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
        <w:shd w:val="clear" w:color="auto" w:fill="auto"/>
        <w:tabs>
          <w:tab w:val="left" w:pos="4019"/>
        </w:tabs>
        <w:ind w:left="140" w:firstLine="20"/>
        <w:rPr>
          <w:sz w:val="18"/>
          <w:szCs w:val="18"/>
        </w:rPr>
        <w:sectPr w:rsidR="00500724">
          <w:footnotePr>
            <w:numFmt w:val="chicago"/>
            <w:numRestart w:val="eachPage"/>
          </w:footnotePr>
          <w:pgSz w:w="11909" w:h="16834"/>
          <w:pgMar w:top="615" w:right="898" w:bottom="612" w:left="331" w:header="0" w:footer="3" w:gutter="0"/>
          <w:cols w:num="2" w:sep="1" w:space="139"/>
          <w:noEndnote/>
          <w:docGrid w:linePitch="360"/>
        </w:sectPr>
      </w:pPr>
      <w:r>
        <w:rPr>
          <w:b/>
          <w:bCs/>
          <w:sz w:val="18"/>
          <w:szCs w:val="18"/>
        </w:rPr>
        <w:t>PRAHA I., PŘÍKOPY 35, schodiště A.</w:t>
      </w:r>
      <w:r>
        <w:rPr>
          <w:b/>
          <w:bCs/>
          <w:sz w:val="18"/>
          <w:szCs w:val="18"/>
        </w:rPr>
        <w:tab/>
        <w:t>TeL 315-28.</w: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60" w:after="60"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347" w:right="0" w:bottom="879" w:left="0" w:header="0" w:footer="3" w:gutter="0"/>
          <w:cols w:space="720"/>
          <w:noEndnote/>
          <w:docGrid w:linePitch="360"/>
        </w:sectPr>
      </w:pPr>
    </w:p>
    <w:p w:rsidR="00500724" w:rsidRDefault="00F30FB8">
      <w:pPr>
        <w:spacing w:line="14" w:lineRule="exact"/>
      </w:pPr>
      <w:r>
        <w:rPr>
          <w:noProof/>
        </w:rPr>
        <mc:AlternateContent>
          <mc:Choice Requires="wps">
            <w:drawing>
              <wp:anchor distT="0" distB="487680" distL="190500" distR="199390" simplePos="0" relativeHeight="125829554" behindDoc="0" locked="0" layoutInCell="1" allowOverlap="1">
                <wp:simplePos x="0" y="0"/>
                <wp:positionH relativeFrom="page">
                  <wp:posOffset>146050</wp:posOffset>
                </wp:positionH>
                <wp:positionV relativeFrom="paragraph">
                  <wp:posOffset>1718945</wp:posOffset>
                </wp:positionV>
                <wp:extent cx="2819400" cy="770890"/>
                <wp:effectExtent l="0" t="0" r="0" b="0"/>
                <wp:wrapSquare wrapText="bothSides"/>
                <wp:docPr id="177" name="Shape 177"/>
                <wp:cNvGraphicFramePr/>
                <a:graphic xmlns:a="http://schemas.openxmlformats.org/drawingml/2006/main">
                  <a:graphicData uri="http://schemas.microsoft.com/office/word/2010/wordprocessingShape">
                    <wps:wsp>
                      <wps:cNvSpPr txBox="1"/>
                      <wps:spPr>
                        <a:xfrm>
                          <a:off x="0" y="0"/>
                          <a:ext cx="2819400" cy="770890"/>
                        </a:xfrm>
                        <a:prstGeom prst="rect">
                          <a:avLst/>
                        </a:prstGeom>
                        <a:noFill/>
                      </wps:spPr>
                      <wps:txbx>
                        <w:txbxContent>
                          <w:p w:rsidR="00500724" w:rsidRDefault="00F30FB8">
                            <w:pPr>
                              <w:pStyle w:val="Jin0"/>
                              <w:shd w:val="clear" w:color="auto" w:fill="auto"/>
                              <w:spacing w:before="80"/>
                              <w:ind w:firstLine="0"/>
                              <w:jc w:val="left"/>
                              <w:rPr>
                                <w:sz w:val="94"/>
                                <w:szCs w:val="94"/>
                              </w:rPr>
                            </w:pPr>
                            <w:r>
                              <w:rPr>
                                <w:sz w:val="94"/>
                                <w:szCs w:val="94"/>
                              </w:rPr>
                              <w:t>Přítomnosti</w:t>
                            </w:r>
                          </w:p>
                        </w:txbxContent>
                      </wps:txbx>
                      <wps:bodyPr lIns="0" tIns="0" rIns="0" bIns="0">
                        <a:spAutoFit/>
                      </wps:bodyPr>
                    </wps:wsp>
                  </a:graphicData>
                </a:graphic>
              </wp:anchor>
            </w:drawing>
          </mc:Choice>
          <mc:Fallback>
            <w:pict>
              <v:shape id="_x0000_s1203" type="#_x0000_t202" style="position:absolute;margin-left:11.5pt;margin-top:135.34999999999999pt;width:222.pt;height:60.700000000000003pt;z-index:-125829199;mso-wrap-distance-left:15.pt;mso-wrap-distance-right:15.699999999999999pt;mso-wrap-distance-bottom:38.399999999999999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94"/>
                          <w:szCs w:val="94"/>
                        </w:rPr>
                      </w:pPr>
                      <w:r>
                        <w:rPr>
                          <w:color w:val="000000"/>
                          <w:spacing w:val="0"/>
                          <w:w w:val="100"/>
                          <w:position w:val="0"/>
                          <w:sz w:val="94"/>
                          <w:szCs w:val="94"/>
                          <w:shd w:val="clear" w:color="auto" w:fill="auto"/>
                          <w:lang w:val="cs-CZ" w:eastAsia="cs-CZ" w:bidi="cs-CZ"/>
                        </w:rPr>
                        <w:t>Přítomnosti</w:t>
                      </w:r>
                    </w:p>
                  </w:txbxContent>
                </v:textbox>
                <w10:wrap type="square" anchorx="page"/>
              </v:shape>
            </w:pict>
          </mc:Fallback>
        </mc:AlternateContent>
      </w:r>
      <w:r>
        <w:rPr>
          <w:noProof/>
        </w:rPr>
        <mc:AlternateContent>
          <mc:Choice Requires="wps">
            <w:drawing>
              <wp:anchor distT="929640" distB="0" distL="251460" distR="190500" simplePos="0" relativeHeight="125829556" behindDoc="0" locked="0" layoutInCell="1" allowOverlap="1">
                <wp:simplePos x="0" y="0"/>
                <wp:positionH relativeFrom="page">
                  <wp:posOffset>207010</wp:posOffset>
                </wp:positionH>
                <wp:positionV relativeFrom="paragraph">
                  <wp:posOffset>2648585</wp:posOffset>
                </wp:positionV>
                <wp:extent cx="2767330" cy="328930"/>
                <wp:effectExtent l="0" t="0" r="0" b="0"/>
                <wp:wrapSquare wrapText="bothSides"/>
                <wp:docPr id="179" name="Shape 179"/>
                <wp:cNvGraphicFramePr/>
                <a:graphic xmlns:a="http://schemas.openxmlformats.org/drawingml/2006/main">
                  <a:graphicData uri="http://schemas.microsoft.com/office/word/2010/wordprocessingShape">
                    <wps:wsp>
                      <wps:cNvSpPr txBox="1"/>
                      <wps:spPr>
                        <a:xfrm>
                          <a:off x="0" y="0"/>
                          <a:ext cx="2767330" cy="32893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205" type="#_x0000_t202" style="position:absolute;margin-left:16.300000000000001pt;margin-top:208.55000000000001pt;width:217.90000000000001pt;height:25.899999999999999pt;z-index:-125829197;mso-wrap-distance-left:19.800000000000001pt;mso-wrap-distance-top:73.200000000000003pt;mso-wrap-distance-right:1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anchorx="page"/>
              </v:shape>
            </w:pict>
          </mc:Fallback>
        </mc:AlternateContent>
      </w:r>
    </w:p>
    <w:p w:rsidR="00500724" w:rsidRDefault="00F30FB8">
      <w:pPr>
        <w:pStyle w:val="Jin0"/>
        <w:pBdr>
          <w:bottom w:val="single" w:sz="4" w:space="0" w:color="auto"/>
        </w:pBdr>
        <w:shd w:val="clear" w:color="auto" w:fill="auto"/>
        <w:spacing w:after="520"/>
        <w:ind w:left="4120" w:firstLine="0"/>
        <w:jc w:val="left"/>
        <w:rPr>
          <w:sz w:val="26"/>
          <w:szCs w:val="26"/>
        </w:rPr>
      </w:pPr>
      <w:r>
        <w:rPr>
          <w:rFonts w:ascii="Arial" w:eastAsia="Arial" w:hAnsi="Arial" w:cs="Arial"/>
          <w:b/>
          <w:bCs/>
          <w:sz w:val="26"/>
          <w:szCs w:val="26"/>
        </w:rPr>
        <w:t>Roste u nás, vyrábí se v Pardubicích</w:t>
      </w:r>
    </w:p>
    <w:p w:rsidR="00500724" w:rsidRDefault="00F30FB8">
      <w:pPr>
        <w:pStyle w:val="Zkladntext1"/>
        <w:shd w:val="clear" w:color="auto" w:fill="auto"/>
        <w:spacing w:after="480" w:line="276" w:lineRule="auto"/>
        <w:ind w:firstLine="0"/>
        <w:jc w:val="left"/>
      </w:pPr>
      <w:r>
        <w:rPr>
          <w:b/>
          <w:bCs/>
          <w:sz w:val="22"/>
          <w:szCs w:val="22"/>
        </w:rPr>
        <w:t xml:space="preserve">OBSAH PŘÍTOMNOSTI C. </w:t>
      </w:r>
      <w:r>
        <w:rPr>
          <w:b/>
          <w:bCs/>
        </w:rPr>
        <w:t xml:space="preserve">7: R, MEDEK a F. PEROUTKA: O pitomých řečech a slovanském štěkáni. — GUSTAV </w:t>
      </w:r>
      <w:r>
        <w:rPr>
          <w:b/>
          <w:bCs/>
          <w:lang w:val="en-US" w:eastAsia="en-US" w:bidi="en-US"/>
        </w:rPr>
        <w:t xml:space="preserve">WINTER: </w:t>
      </w:r>
      <w:r>
        <w:rPr>
          <w:b/>
          <w:bCs/>
        </w:rPr>
        <w:t>Po pádu Barcelony. — K. PRIMAS: Proč jenom pět? — MILENA JESENSKÁ: Jak se stýkati s Cechy. — JOSEF PACHTA: Jak se má žid-emigrant chovat v Anglii. — EDMOND KONRÁD: Je Alois</w:t>
      </w:r>
      <w:r>
        <w:rPr>
          <w:b/>
          <w:bCs/>
        </w:rPr>
        <w:t xml:space="preserve"> Jirásek národní? — ANT. PEŠL: Náhlý odchod Stojadinovičův. — J. RŮŽIČKA: Francie a její spojenci. — Kolik nám půjčily Anglie a Francie? — Dopis Němce z Brna o dorozumění. — Mladí vpřed. — Co je peáž?</w:t>
      </w:r>
    </w:p>
    <w:p w:rsidR="00500724" w:rsidRDefault="00F30FB8">
      <w:pPr>
        <w:pStyle w:val="Nadpis90"/>
        <w:keepNext/>
        <w:keepLines/>
        <w:shd w:val="clear" w:color="auto" w:fill="auto"/>
        <w:spacing w:after="160"/>
      </w:pPr>
      <w:bookmarkStart w:id="190" w:name="bookmark189"/>
      <w:r>
        <w:rPr>
          <w:u w:val="single"/>
        </w:rPr>
        <w:t>nezávislý týdeník</w:t>
      </w:r>
      <w:bookmarkEnd w:id="190"/>
    </w:p>
    <w:p w:rsidR="00500724" w:rsidRDefault="00F30FB8">
      <w:pPr>
        <w:pStyle w:val="Zkladntext50"/>
        <w:shd w:val="clear" w:color="auto" w:fill="auto"/>
        <w:spacing w:after="80" w:line="240" w:lineRule="auto"/>
        <w:ind w:left="100"/>
        <w:jc w:val="center"/>
        <w:rPr>
          <w:sz w:val="16"/>
          <w:szCs w:val="16"/>
        </w:rPr>
      </w:pPr>
      <w:r>
        <w:rPr>
          <w:b/>
          <w:bCs/>
          <w:sz w:val="16"/>
          <w:szCs w:val="16"/>
        </w:rPr>
        <w:t>vychází ve středu v nakladatelství</w:t>
      </w:r>
    </w:p>
    <w:p w:rsidR="00500724" w:rsidRDefault="00F30FB8">
      <w:pPr>
        <w:pStyle w:val="Jin0"/>
        <w:shd w:val="clear" w:color="auto" w:fill="auto"/>
        <w:spacing w:after="80"/>
        <w:ind w:left="100" w:firstLine="0"/>
        <w:jc w:val="center"/>
        <w:rPr>
          <w:sz w:val="15"/>
          <w:szCs w:val="15"/>
        </w:rPr>
      </w:pPr>
      <w:r>
        <w:rPr>
          <w:rFonts w:ascii="Arial" w:eastAsia="Arial" w:hAnsi="Arial" w:cs="Arial"/>
          <w:b/>
          <w:bCs/>
          <w:sz w:val="15"/>
          <w:szCs w:val="15"/>
        </w:rPr>
        <w:t xml:space="preserve">FR. BOROVÝ V </w:t>
      </w:r>
      <w:r>
        <w:rPr>
          <w:rFonts w:ascii="Arial" w:eastAsia="Arial" w:hAnsi="Arial" w:cs="Arial"/>
          <w:b/>
          <w:bCs/>
          <w:sz w:val="15"/>
          <w:szCs w:val="15"/>
          <w:lang w:val="en-US" w:eastAsia="en-US" w:bidi="en-US"/>
        </w:rPr>
        <w:t xml:space="preserve">PR AZE </w:t>
      </w:r>
      <w:r>
        <w:rPr>
          <w:rFonts w:ascii="Arial" w:eastAsia="Arial" w:hAnsi="Arial" w:cs="Arial"/>
          <w:b/>
          <w:bCs/>
          <w:sz w:val="15"/>
          <w:szCs w:val="15"/>
        </w:rPr>
        <w:t>I., NÁRODNÍ TŘÍDA 11.</w:t>
      </w:r>
    </w:p>
    <w:p w:rsidR="00500724" w:rsidRDefault="00F30FB8">
      <w:pPr>
        <w:pStyle w:val="Zkladntext1"/>
        <w:shd w:val="clear" w:color="auto" w:fill="auto"/>
        <w:spacing w:after="80" w:line="151" w:lineRule="auto"/>
        <w:ind w:firstLine="0"/>
        <w:rPr>
          <w:sz w:val="18"/>
          <w:szCs w:val="18"/>
        </w:rPr>
      </w:pPr>
      <w:r>
        <w:rPr>
          <w:sz w:val="18"/>
          <w:szCs w:val="18"/>
        </w:rPr>
        <w:t xml:space="preserve">Telefon číslo 390-51 až 54 • Učet poštovní spořitelny číslo 35.622 </w:t>
      </w:r>
      <w:r>
        <w:rPr>
          <w:b/>
          <w:bCs/>
        </w:rPr>
        <w:t>• Nevy</w:t>
      </w:r>
      <w:r>
        <w:rPr>
          <w:b/>
          <w:bCs/>
        </w:rPr>
        <w:softHyphen/>
      </w:r>
      <w:r>
        <w:rPr>
          <w:sz w:val="18"/>
          <w:szCs w:val="18"/>
        </w:rPr>
        <w:t xml:space="preserve">žádané rukopisy se nevracejí • Předplatné na rok K 100.—, na půl roku K 50.—, na čtvrt roku K 25.—, Jednotlivá čísla K 2.—. </w:t>
      </w:r>
      <w:r>
        <w:rPr>
          <w:sz w:val="18"/>
          <w:szCs w:val="18"/>
          <w:lang w:val="en-US" w:eastAsia="en-US" w:bidi="en-US"/>
        </w:rPr>
        <w:t xml:space="preserve">Pour </w:t>
      </w:r>
      <w:r>
        <w:rPr>
          <w:sz w:val="18"/>
          <w:szCs w:val="18"/>
        </w:rPr>
        <w:t>la Fran</w:t>
      </w:r>
      <w:r>
        <w:rPr>
          <w:sz w:val="18"/>
          <w:szCs w:val="18"/>
        </w:rPr>
        <w:softHyphen/>
      </w:r>
      <w:r>
        <w:rPr>
          <w:sz w:val="18"/>
          <w:szCs w:val="18"/>
        </w:rPr>
        <w:t xml:space="preserve">ce et ses </w:t>
      </w:r>
      <w:r>
        <w:rPr>
          <w:sz w:val="18"/>
          <w:szCs w:val="18"/>
          <w:lang w:val="en-US" w:eastAsia="en-US" w:bidi="en-US"/>
        </w:rPr>
        <w:t xml:space="preserve">Colonies </w:t>
      </w:r>
      <w:r>
        <w:rPr>
          <w:sz w:val="18"/>
          <w:szCs w:val="18"/>
        </w:rPr>
        <w:t xml:space="preserve">Frs 2.50. • Dohlédací pošt úřad Brno n. • Novin, sazba povolena </w:t>
      </w:r>
      <w:r>
        <w:rPr>
          <w:b/>
          <w:bCs/>
        </w:rPr>
        <w:t xml:space="preserve">v </w:t>
      </w:r>
      <w:r>
        <w:rPr>
          <w:sz w:val="18"/>
          <w:szCs w:val="18"/>
        </w:rPr>
        <w:t>Brné řed. pošt a telegrafů pod čls. 119.268/IIIa. • Odpovědný redaktor J. Dlabač.</w:t>
      </w:r>
    </w:p>
    <w:p w:rsidR="00500724" w:rsidRDefault="00F30FB8">
      <w:pPr>
        <w:pStyle w:val="Jin0"/>
        <w:shd w:val="clear" w:color="auto" w:fill="auto"/>
        <w:spacing w:after="120"/>
        <w:ind w:left="5620" w:firstLine="0"/>
        <w:jc w:val="left"/>
        <w:rPr>
          <w:sz w:val="15"/>
          <w:szCs w:val="15"/>
        </w:rPr>
      </w:pPr>
      <w:r>
        <w:rPr>
          <w:rFonts w:ascii="Arial" w:eastAsia="Arial" w:hAnsi="Arial" w:cs="Arial"/>
          <w:b/>
          <w:bCs/>
          <w:sz w:val="15"/>
          <w:szCs w:val="15"/>
        </w:rPr>
        <w:t>TISKEM LIDOVĚ TISKÁRNY, BRNO, ČESKA 6.</w:t>
      </w:r>
      <w:r>
        <w:br w:type="page"/>
      </w:r>
    </w:p>
    <w:p w:rsidR="00500724" w:rsidRDefault="00F30FB8">
      <w:pPr>
        <w:pStyle w:val="Jin0"/>
        <w:pBdr>
          <w:bottom w:val="single" w:sz="4" w:space="0" w:color="auto"/>
        </w:pBdr>
        <w:shd w:val="clear" w:color="auto" w:fill="auto"/>
        <w:ind w:left="140" w:firstLine="0"/>
        <w:jc w:val="center"/>
        <w:rPr>
          <w:sz w:val="112"/>
          <w:szCs w:val="112"/>
        </w:rPr>
        <w:sectPr w:rsidR="00500724">
          <w:footnotePr>
            <w:numFmt w:val="chicago"/>
            <w:numRestart w:val="eachPage"/>
          </w:footnotePr>
          <w:type w:val="continuous"/>
          <w:pgSz w:w="11909" w:h="16834"/>
          <w:pgMar w:top="347" w:right="786" w:bottom="879" w:left="438" w:header="0" w:footer="3" w:gutter="0"/>
          <w:cols w:space="720"/>
          <w:noEndnote/>
          <w:docGrid w:linePitch="360"/>
        </w:sectPr>
      </w:pPr>
      <w:r>
        <w:rPr>
          <w:sz w:val="112"/>
          <w:szCs w:val="112"/>
        </w:rPr>
        <w:t>Přítomnosti</w:t>
      </w:r>
    </w:p>
    <w:p w:rsidR="00500724" w:rsidRDefault="00500724">
      <w:pPr>
        <w:spacing w:after="677" w:line="14" w:lineRule="exact"/>
      </w:pPr>
    </w:p>
    <w:p w:rsidR="00500724" w:rsidRDefault="00500724">
      <w:pPr>
        <w:spacing w:line="14" w:lineRule="exact"/>
        <w:sectPr w:rsidR="00500724">
          <w:footnotePr>
            <w:numFmt w:val="chicago"/>
            <w:numRestart w:val="eachPage"/>
          </w:footnotePr>
          <w:type w:val="continuous"/>
          <w:pgSz w:w="11909" w:h="16834"/>
          <w:pgMar w:top="898" w:right="817" w:bottom="947" w:left="658" w:header="0" w:footer="3" w:gutter="0"/>
          <w:cols w:space="720"/>
          <w:noEndnote/>
          <w:docGrid w:linePitch="360"/>
        </w:sectPr>
      </w:pPr>
    </w:p>
    <w:p w:rsidR="00500724" w:rsidRDefault="00F30FB8">
      <w:pPr>
        <w:pStyle w:val="Nadpis100"/>
        <w:shd w:val="clear" w:color="auto" w:fill="auto"/>
        <w:spacing w:line="240" w:lineRule="auto"/>
      </w:pPr>
      <w:bookmarkStart w:id="191" w:name="bookmark190"/>
      <w:r>
        <w:t>Češi, Němci a židé</w:t>
      </w:r>
      <w:bookmarkEnd w:id="191"/>
    </w:p>
    <w:p w:rsidR="00500724" w:rsidRDefault="00F30FB8">
      <w:pPr>
        <w:pStyle w:val="Zkladntext30"/>
        <w:shd w:val="clear" w:color="auto" w:fill="auto"/>
        <w:spacing w:line="223" w:lineRule="auto"/>
        <w:ind w:firstLine="240"/>
      </w:pPr>
      <w:r>
        <w:t>Z dopisu německého studenta, na který jsem zde nedávno odpovídal, ponechal jsem si jedno místo pro speciální odpověď. Německý onen student psal:</w:t>
      </w:r>
    </w:p>
    <w:p w:rsidR="00500724" w:rsidRDefault="00F30FB8">
      <w:pPr>
        <w:pStyle w:val="Zkladntext30"/>
        <w:shd w:val="clear" w:color="auto" w:fill="auto"/>
        <w:spacing w:line="204" w:lineRule="auto"/>
        <w:ind w:firstLine="300"/>
        <w:rPr>
          <w:sz w:val="20"/>
          <w:szCs w:val="20"/>
        </w:rPr>
      </w:pPr>
      <w:r>
        <w:rPr>
          <w:sz w:val="20"/>
          <w:szCs w:val="20"/>
        </w:rPr>
        <w:t xml:space="preserve">»My jsme to nebyli, kteři zhanobili naše staré svaté ideály, </w:t>
      </w:r>
      <w:r>
        <w:rPr>
          <w:sz w:val="20"/>
          <w:szCs w:val="20"/>
        </w:rPr>
        <w:t>kteři kazili naši hezkou řeč, kteří dokonce našemu národu brali chléb. To vše dělalo židovství.«</w:t>
      </w:r>
    </w:p>
    <w:p w:rsidR="00500724" w:rsidRDefault="00F30FB8">
      <w:pPr>
        <w:pStyle w:val="Zkladntext30"/>
        <w:shd w:val="clear" w:color="auto" w:fill="auto"/>
        <w:spacing w:line="214" w:lineRule="auto"/>
        <w:ind w:firstLine="240"/>
      </w:pPr>
      <w:r>
        <w:t>Jestliže průměrný Čech mluví s průměrným Něm</w:t>
      </w:r>
      <w:r>
        <w:softHyphen/>
        <w:t xml:space="preserve">cem o židovské otázce, vždy jest mezi nimi rozdíl v tónu. Němec — stokrát jsem to slyšel — mluví s nezkrotným </w:t>
      </w:r>
      <w:r>
        <w:t>hněvem. Čech, i když se sám třeba hlásí k antisemitismu, mluví o tom tišeji, klidněji. Tento rozdíl v tónu je pozoruhodný, a věřím, i vy</w:t>
      </w:r>
      <w:r>
        <w:softHyphen/>
        <w:t>světlitelný. Mluvil jsem s Němci, kteří se prohlašovali za liberály; přišla-li však řeč na židovskou otázku, rozohňoval</w:t>
      </w:r>
      <w:r>
        <w:t>i se více než i ti Češi, kteří se předem pro</w:t>
      </w:r>
      <w:r>
        <w:softHyphen/>
        <w:t>hlašovali za požírače židů. To musí mít nějaký důvod. Bude patrně lépe, jestliže s německým studentem, pokud jde o tuto věc, nebudu mluvit o ideách, nýbrž o faktech.</w:t>
      </w:r>
    </w:p>
    <w:p w:rsidR="00500724" w:rsidRDefault="00F30FB8">
      <w:pPr>
        <w:pStyle w:val="Zkladntext30"/>
        <w:shd w:val="clear" w:color="auto" w:fill="auto"/>
        <w:spacing w:line="202" w:lineRule="auto"/>
        <w:ind w:firstLine="240"/>
      </w:pPr>
      <w:r>
        <w:t>Abych předem řekl, co si myslím: rozdílnost v</w:t>
      </w:r>
      <w:r>
        <w:t xml:space="preserve"> tónu mezi Čechem a Němcem, hovořícími o židovské otázce, nepochybně spočívá na rozdílné zkušenosti, kterou ti i oni s židovským elementem udělali. Každý orga</w:t>
      </w:r>
      <w:r>
        <w:softHyphen/>
        <w:t>nismus brání se otravě cizí látkou. Lze předpokládat, že roztok židovského elementu v německém ži</w:t>
      </w:r>
      <w:r>
        <w:t>votě byl tak silný, že na to německý organismus reagoval jako na otravu. Proč tomu tak bylo, proč židovský podíl na bývalém německém životě byl tak velký, proč židov</w:t>
      </w:r>
      <w:r>
        <w:softHyphen/>
        <w:t>stvo v určité době spělo za německou kulturou a civi- lisací jako mouchy za světlem, to je</w:t>
      </w:r>
      <w:r>
        <w:t xml:space="preserve"> snad jedna ze záhad historie. Proč tomu u nás bylo jinak, to si už dovedeme lépe vysvětlit.</w:t>
      </w:r>
    </w:p>
    <w:p w:rsidR="00500724" w:rsidRDefault="00F30FB8">
      <w:pPr>
        <w:pStyle w:val="Zkladntext30"/>
        <w:shd w:val="clear" w:color="auto" w:fill="auto"/>
        <w:spacing w:after="0" w:line="202" w:lineRule="auto"/>
        <w:ind w:firstLine="240"/>
      </w:pPr>
      <w:r>
        <w:t>Začněme tímto: německý student píše, že židé kazili hezkou německou řeč. Byli němečtí židovští spisovate</w:t>
      </w:r>
      <w:r>
        <w:softHyphen/>
        <w:t>lé, kteří německou řeč jistě nekazili: jistě to nelze říci</w:t>
      </w:r>
      <w:r>
        <w:t xml:space="preserve"> o Heinrichu Heinovi, jehož některé básně i v dneš</w:t>
      </w:r>
      <w:r>
        <w:softHyphen/>
        <w:t xml:space="preserve">ním Německu žijí jako lidové písně, a jistě to nelze říci o Karlu Krausovi, který dokonce nad německou jazykovou čistotou bděl jako </w:t>
      </w:r>
      <w:r>
        <w:rPr>
          <w:lang w:val="en-US" w:eastAsia="en-US" w:bidi="en-US"/>
        </w:rPr>
        <w:t xml:space="preserve">Savonarola. </w:t>
      </w:r>
      <w:r>
        <w:t>Ale v celku může mít německý student pravdu. Počet židovských</w:t>
      </w:r>
      <w:r>
        <w:t xml:space="preserve"> spisovatelů a žurnalistů v Německu byl přílišný, daleko větší než v kterémkoli jiném národě, přímo sensační počet. Jejich jazykové výkony, brány v celku, podstatně oddálily němčinu od její klasické podoby. Styl židovského německého spisovatele hlavně v do</w:t>
      </w:r>
      <w:r>
        <w:t>bě expresionismu podobal se břečce, ve které plavou ne</w:t>
      </w:r>
      <w:r>
        <w:softHyphen/>
        <w:t>známé substance, styl pak typického německého žur</w:t>
      </w:r>
      <w:r>
        <w:softHyphen/>
        <w:t>nalisty, který dovedl udělat feuilleton ze všeho na světě, páchl na dálku jako pomáda. Řekne-li někdo, že jejich působením němčina ztrácela formu, že j</w:t>
      </w:r>
      <w:r>
        <w:t>í měkly kosti a klouby, nelze proti tomu polemisovat, zejména ti Češi proti tomu nemohou polemisovat, kteří již kdysi se odvraceli od této podoby německé literatury, od tohoto pestrého a nejistého majetku a dívali se směrem k literatuře anglické, odkud oče</w:t>
      </w:r>
      <w:r>
        <w:t>ká</w:t>
      </w:r>
      <w:r>
        <w:softHyphen/>
        <w:t>vali závan posilujícího, svěžího vzduchu. Židovských spisovatelů a žurnalistů bylo v Německu příliš mnoho, aby se dali asimilovati německým duchem a prostře</w:t>
      </w:r>
      <w:r>
        <w:softHyphen/>
        <w:t>dím. Spíše tam žili v přesile, a posilujíce se navzájem, zachovali si své zvláštnosti. Jest věcí</w:t>
      </w:r>
      <w:r>
        <w:t xml:space="preserve"> Němců samých, jak to chtějí posuzovat se stanoviska svého národního býti. Ale je pravda, že polévka byla přesolena.</w:t>
      </w:r>
    </w:p>
    <w:p w:rsidR="00500724" w:rsidRDefault="00F30FB8">
      <w:pPr>
        <w:pStyle w:val="Zkladntext30"/>
        <w:shd w:val="clear" w:color="auto" w:fill="auto"/>
        <w:spacing w:after="0" w:line="204" w:lineRule="auto"/>
        <w:ind w:firstLine="220"/>
      </w:pPr>
      <w:r>
        <w:t>Pravda dále jest, že u nás tomu bylo docela jinak. Na sto německých židovských literátů nebo novinářů přicházel u nás sotva jeden český žid</w:t>
      </w:r>
      <w:r>
        <w:t>ovský. Německé divadlo a film byly v určité době na všech předních místech ovládány lidmi židovského původu. My měli jediného židovského herce. Proto u nás nebylo pravé půdy pro vznik kulturního antisemitismu. Na to byla účast židů na naší kultuře příliš n</w:t>
      </w:r>
      <w:r>
        <w:t>epatrná, všechna jejich činnost nemohla zastřít nebo zmásti naše zá</w:t>
      </w:r>
      <w:r>
        <w:softHyphen/>
        <w:t>kladní české rysy; mimo to byli naši čeští židovští spisovatelé a novináři daleko asimilovanější svému prostředí než němečtí, nežili v prostoru tak vzducho- prázdném; ti z nich, kteří to n</w:t>
      </w:r>
      <w:r>
        <w:t>ěkam přivedli, napojili se českým duchem a mohli naší kosmopolitické avant</w:t>
      </w:r>
      <w:r>
        <w:softHyphen/>
        <w:t>gardě dokonce někdy sloužit za vzor češství. Musím učinit jedno přiznání: nemám žádného talentu k anti</w:t>
      </w:r>
      <w:r>
        <w:softHyphen/>
        <w:t>semitismu, ale při pohledu na bývalou německou lite</w:t>
      </w:r>
      <w:r>
        <w:softHyphen/>
        <w:t xml:space="preserve">raturu několikrát jsem si </w:t>
      </w:r>
      <w:r>
        <w:t>pomyslil, že by ve mně mohlo vzniknout pokušení kulturního antisemitismu, kdyby, podobně jako tam, málo asimilovaní židé se zmocnili ducha naší literatury a našich novin a kdyby svými způsoby a svým myšlením zastírali naše způ</w:t>
      </w:r>
      <w:r>
        <w:softHyphen/>
        <w:t>soby vlastní a přehlušovali r</w:t>
      </w:r>
      <w:r>
        <w:t>áz myšlení našeho. Avšak poměry u nás jsou takové, že naši řeč nekazí židé, nýbrž večerníky, a že, když někdy myslíme špatně, jsou to ryze české a arijské chyby. V čtyřicátých letech minulého století přihlásil se teprve první židov</w:t>
      </w:r>
      <w:r>
        <w:softHyphen/>
        <w:t xml:space="preserve">ský spisovatel k účasti </w:t>
      </w:r>
      <w:r>
        <w:t>na našem písemnictví a Karel Havlíček ho přivítal takto: »Ačkoliv v německé litera</w:t>
      </w:r>
      <w:r>
        <w:softHyphen/>
        <w:t>tuře Israelité již hodný pluk tvoří a zvláště jaksi žur</w:t>
      </w:r>
      <w:r>
        <w:softHyphen/>
        <w:t>nalistiku opanovali (zdá se nám, že více na škodu než ve prospěch německého národu), u nás teprve panu Kapperovi prvn</w:t>
      </w:r>
      <w:r>
        <w:t>ímu napadlo připojiti se ke korouhvi české.« Od té doby více židovských spisovatelů uznalo, český prapor za svůj, ale, srovnáme-li to s německý</w:t>
      </w:r>
      <w:r>
        <w:softHyphen/>
        <w:t xml:space="preserve">mi poměry, nebylo to nikdy více než kapka a my jsme si v kultuře vždy žili svým vlastním způsobem. Proto je nám </w:t>
      </w:r>
      <w:r>
        <w:t>snadno mluviti v tomto punktu o židovské otázce bez hněvu: v kultuře jsme skrze židy neutrpěli žádných škod.</w:t>
      </w:r>
    </w:p>
    <w:p w:rsidR="00500724" w:rsidRDefault="00F30FB8">
      <w:pPr>
        <w:pStyle w:val="Zkladntext30"/>
        <w:shd w:val="clear" w:color="auto" w:fill="auto"/>
        <w:spacing w:after="80" w:line="202" w:lineRule="auto"/>
        <w:ind w:firstLine="300"/>
      </w:pPr>
      <w:r>
        <w:t>V prostoru, ve kterém žijeme, byli, když začala emancipace židů, Němci nesrovnatelně mocnější a bohatší než my; měli také mnohem rozvitější kulturu</w:t>
      </w:r>
      <w:r>
        <w:t>; tím se jistě vysvětluje, proč židé, nabyvše občanských práv, s daleko větší chutí se hrnuli k Němcům než k nám, k Maďarům spíše než k Slovákům^ Tu a tam přilnuli k nám chudí židé, osamoceně žijící v českém venkovském prostředí a nemajíce tak jako tak nad</w:t>
      </w:r>
      <w:r>
        <w:t>ěji na společenský vzestup. Básník Viktor Dyk formulo</w:t>
      </w:r>
      <w:r>
        <w:softHyphen/>
        <w:t>val kdysi židovskou otázku v Čechách takto:</w:t>
      </w:r>
    </w:p>
    <w:p w:rsidR="00500724" w:rsidRDefault="00F30FB8">
      <w:pPr>
        <w:pStyle w:val="Zkladntext30"/>
        <w:shd w:val="clear" w:color="auto" w:fill="auto"/>
        <w:spacing w:after="0" w:line="240" w:lineRule="auto"/>
        <w:ind w:left="1100" w:firstLine="0"/>
        <w:jc w:val="left"/>
        <w:rPr>
          <w:sz w:val="20"/>
          <w:szCs w:val="20"/>
        </w:rPr>
      </w:pPr>
      <w:r>
        <w:rPr>
          <w:sz w:val="20"/>
          <w:szCs w:val="20"/>
        </w:rPr>
        <w:t>»Dva židi ve vsi.</w:t>
      </w:r>
    </w:p>
    <w:p w:rsidR="00500724" w:rsidRDefault="00F30FB8">
      <w:pPr>
        <w:pStyle w:val="Zkladntext30"/>
        <w:shd w:val="clear" w:color="auto" w:fill="auto"/>
        <w:spacing w:after="0" w:line="199" w:lineRule="auto"/>
        <w:ind w:left="1100" w:firstLine="0"/>
        <w:jc w:val="left"/>
        <w:rPr>
          <w:sz w:val="20"/>
          <w:szCs w:val="20"/>
        </w:rPr>
      </w:pPr>
      <w:r>
        <w:rPr>
          <w:sz w:val="20"/>
          <w:szCs w:val="20"/>
        </w:rPr>
        <w:t>Rád na ten pár si vzpomínám.</w:t>
      </w:r>
    </w:p>
    <w:p w:rsidR="00500724" w:rsidRDefault="00F30FB8">
      <w:pPr>
        <w:pStyle w:val="Zkladntext30"/>
        <w:shd w:val="clear" w:color="auto" w:fill="auto"/>
        <w:spacing w:after="0" w:line="204" w:lineRule="auto"/>
        <w:ind w:left="1100" w:firstLine="0"/>
        <w:jc w:val="left"/>
        <w:rPr>
          <w:sz w:val="20"/>
          <w:szCs w:val="20"/>
        </w:rPr>
      </w:pPr>
      <w:r>
        <w:rPr>
          <w:sz w:val="20"/>
          <w:szCs w:val="20"/>
        </w:rPr>
        <w:t>Kohn nemá nic, ten je s námi,</w:t>
      </w:r>
    </w:p>
    <w:p w:rsidR="00500724" w:rsidRDefault="00F30FB8">
      <w:pPr>
        <w:pStyle w:val="Zkladntext30"/>
        <w:shd w:val="clear" w:color="auto" w:fill="auto"/>
        <w:spacing w:after="80" w:line="199" w:lineRule="auto"/>
        <w:ind w:left="1100" w:firstLine="0"/>
        <w:jc w:val="left"/>
        <w:rPr>
          <w:sz w:val="20"/>
          <w:szCs w:val="20"/>
        </w:rPr>
      </w:pPr>
      <w:r>
        <w:rPr>
          <w:sz w:val="20"/>
          <w:szCs w:val="20"/>
          <w:lang w:val="en-US" w:eastAsia="en-US" w:bidi="en-US"/>
        </w:rPr>
        <w:t xml:space="preserve">Bloch </w:t>
      </w:r>
      <w:r>
        <w:rPr>
          <w:sz w:val="20"/>
          <w:szCs w:val="20"/>
        </w:rPr>
        <w:t>něco má — je proti nám.«</w:t>
      </w:r>
    </w:p>
    <w:p w:rsidR="00500724" w:rsidRDefault="00F30FB8">
      <w:pPr>
        <w:pStyle w:val="Zkladntext30"/>
        <w:shd w:val="clear" w:color="auto" w:fill="auto"/>
        <w:spacing w:after="0" w:line="221" w:lineRule="auto"/>
        <w:ind w:firstLine="240"/>
      </w:pPr>
      <w:r>
        <w:t xml:space="preserve">V Rakousku-Uhersku spojili se bohatí a dopředu </w:t>
      </w:r>
      <w:r>
        <w:t>spějící židé s Němci a Maďary proti nám. Němečtí židovští žurnalisté využívali všeho svého nemalého umu proti naší věci. Věru nemáme žádnou příčinu být vděčnými německým židům ani povinnost je ochraňo</w:t>
      </w:r>
      <w:r>
        <w:softHyphen/>
        <w:t>vat a jestliže se nyní snažíme věc českých židů od nich</w:t>
      </w:r>
      <w:r>
        <w:t xml:space="preserve"> spravedlivě odděliti, je to založeno na nemilých histo</w:t>
      </w:r>
      <w:r>
        <w:softHyphen/>
        <w:t>rických vzpomínkách na německé židy: bohatí němečtí židé ochotně sloužili rakouské vládě jako nástroj ger- manisace; kdyby nebylo této jejich činnosti, nebyla by ani mnichovská konference od nás odděl</w:t>
      </w:r>
      <w:r>
        <w:t>ila tolik území, poněvadž by v některých okresech nebylo tak pokleslo procento lidí, hlásících se k českému jazyku Přitažlivé síly bohatého a vyspělého německého ná</w:t>
      </w:r>
      <w:r>
        <w:softHyphen/>
        <w:t>roda odssály židovské živly od nás; který z židů před válkou se k nám hlásil, jistě tak neč</w:t>
      </w:r>
      <w:r>
        <w:t>inil z konjunktury, nýbrž z přirozeného citu; neměl tím co získat; byl prostě tím, čím byl, Čechem, a odpovídá jaksi našemu smyslu pro spravedlnost snažit se nyní, aby za to ne</w:t>
      </w:r>
      <w:r>
        <w:softHyphen/>
        <w:t>trpěl a aby nebyl posazen na tu káru, která odváží židy německé.</w:t>
      </w:r>
    </w:p>
    <w:p w:rsidR="00500724" w:rsidRDefault="00F30FB8">
      <w:pPr>
        <w:pStyle w:val="Zkladntext30"/>
        <w:shd w:val="clear" w:color="auto" w:fill="auto"/>
        <w:spacing w:after="0" w:line="221" w:lineRule="auto"/>
        <w:ind w:firstLine="240"/>
      </w:pPr>
      <w:r>
        <w:t>Českých židů t</w:t>
      </w:r>
      <w:r>
        <w:t>edy bylo mezi námi tak málo, že ne</w:t>
      </w:r>
      <w:r>
        <w:softHyphen/>
        <w:t>mohli mít vliv na naše osudy; jejich poměr byl po</w:t>
      </w:r>
      <w:r>
        <w:softHyphen/>
        <w:t>měrný počet k prostředí, to jest, jenž z židovské otáz</w:t>
      </w:r>
      <w:r>
        <w:softHyphen/>
        <w:t>ky dělá něco jiného pro nás a pro Němce. Můžeme vžiti za pravidlo, že každý, málo asimilovanými židov</w:t>
      </w:r>
      <w:r>
        <w:softHyphen/>
        <w:t>skými živly př</w:t>
      </w:r>
      <w:r>
        <w:t xml:space="preserve">esycený národ projevuje dříve nebo později sklon k antisemitismu; myslím, že nakonec se židé nedočkají ničeho dobrého ani v Americe, kam nyní houfně směřují; toto hromadné přistěhovalectví je schopno porušit starou rovnováhu v této zemi, a tuším, že socha </w:t>
      </w:r>
      <w:r>
        <w:t>Svobody v novoyorském přístavu se dosti brzy začne mračit. Myslím, že jednou bude po</w:t>
      </w:r>
      <w:r>
        <w:softHyphen/>
        <w:t>měr k židům přezkoumáván se značným lomozem i v Rusku, kde procento židů na vedoucích místech je nadměrné.</w:t>
      </w:r>
    </w:p>
    <w:p w:rsidR="00500724" w:rsidRDefault="00F30FB8">
      <w:pPr>
        <w:pStyle w:val="Zkladntext30"/>
        <w:shd w:val="clear" w:color="auto" w:fill="auto"/>
        <w:spacing w:after="0" w:line="221" w:lineRule="auto"/>
        <w:ind w:firstLine="240"/>
      </w:pPr>
      <w:r>
        <w:t>U nás, odpočítáme-li německé židy, které isme vždy kladli na něm</w:t>
      </w:r>
      <w:r>
        <w:t>ecké konto, nebylo nikdy takové nad- měrnosti v podílů židů na národním životě; proto se díváme na židovskou otázku klidně, proto v minulosti ani žádná agitace nezpůsobila, aby u nás vyrostla silná antisemitská strana, už Havlíček, který vlastně neměl židy</w:t>
      </w:r>
      <w:r>
        <w:t xml:space="preserve"> rád, se na to díval s příznačným klidem: Napsal: » Jestliže jsme vskutku tak bídný a ničemný národ, aby nás několik tisíc židů ve všech obchodech atd. přehnalo a předělalo, věru nestojíme ani za poiitování.«</w:t>
      </w:r>
    </w:p>
    <w:p w:rsidR="00500724" w:rsidRDefault="00F30FB8">
      <w:pPr>
        <w:pStyle w:val="Zkladntext30"/>
        <w:shd w:val="clear" w:color="auto" w:fill="auto"/>
        <w:spacing w:after="0" w:line="211" w:lineRule="auto"/>
        <w:ind w:firstLine="240"/>
      </w:pPr>
      <w:r>
        <w:t>Na druhé straně třeba uznat, že německým očím m</w:t>
      </w:r>
      <w:r>
        <w:t>nohé mohlo připadat jinak než našim. Naši čeští židé po staletí žili na českém venkově a stali se Čechy docela přirozenou cestou. V Berlíně však a ve Vídni každý mohl postřehnout silné vrstvy neasimilovaných, z východu teprve nedávno přišedších židů. Jejic</w:t>
      </w:r>
      <w:r>
        <w:t>h vliv byl neúměrný, srovnáme-li to s našimi poměry. Po té stránce vždy může budit podiv historie Rakouska po válce. Tento stát byl několik let ovládán dvěma židy, c nichž jest holá pravda, že zbohatli na neštěstí a bídě jiných: byli to Bosel a Castiglioni</w:t>
      </w:r>
      <w:r>
        <w:t>. Jejich fantastické majetky povstaly z inflace, která rozdrtila ostatní obyvatelstvo. Nějakou dobu měli skoro více moci, než rakouské vlády; rozdělili se o vliv; jeden kontro</w:t>
      </w:r>
      <w:r>
        <w:softHyphen/>
        <w:t>loval celou rakouskou kulturu, druhý administrativu a platil ze svých peněz i čá</w:t>
      </w:r>
      <w:r>
        <w:t>st platů vídeňské policie. Byla to vláda dravých rytířů inflace, tohoto nej</w:t>
      </w:r>
      <w:r>
        <w:softHyphen/>
        <w:t>nesympatičtějšího typu na světě. Aby neštěstí bylo dovršeno, přistěhoval se pak z Maďarska do Vídně třetí žid, jménem Békessy, který za krátkou dobu svou hnusnou teroristickou a vy</w:t>
      </w:r>
      <w:r>
        <w:t>děračskou žurnalisti</w:t>
      </w:r>
      <w:r>
        <w:softHyphen/>
        <w:t>kou ovládl zbytek. Je těžko chtít zasednout na soud</w:t>
      </w:r>
      <w:r>
        <w:softHyphen/>
        <w:t xml:space="preserve">nou stolici nad lidem, který to snášel s hněvem. Kdybychom my byli prožili něco podobného, patrně i my bychom cítili v židovské otázce ohnivěji. Ostatně i ve vědomí říšských Němců je </w:t>
      </w:r>
      <w:r>
        <w:t>jakási bolestná rána z doby inflace. Mluvil jsem jednou s Němcem, který zachovával obdivuhodný klid, dokud nepřišla řeč na židovskou otázku. Řekl jsem mu: »Zidovské matky u nás teď pláčou, když se jim rodí děti.« »Také v Ně</w:t>
      </w:r>
      <w:r>
        <w:softHyphen/>
        <w:t>mecku,« odpověděl, splakaly něme</w:t>
      </w:r>
      <w:r>
        <w:t>cké matky, když se jim rodily děti; bylo to za inflace.« To je právě ten rozdílný tón, založený na rozdílných zkušenostech. My jsme inflaci neprodělali, neneseme tedy v paměti ani její neblahé průvodní zjevy.</w:t>
      </w:r>
    </w:p>
    <w:p w:rsidR="00500724" w:rsidRDefault="00F30FB8">
      <w:pPr>
        <w:pStyle w:val="Zkladntext30"/>
        <w:shd w:val="clear" w:color="auto" w:fill="auto"/>
        <w:tabs>
          <w:tab w:val="left" w:pos="3989"/>
        </w:tabs>
        <w:spacing w:after="220" w:line="202" w:lineRule="auto"/>
        <w:ind w:firstLine="240"/>
        <w:rPr>
          <w:sz w:val="20"/>
          <w:szCs w:val="20"/>
        </w:rPr>
      </w:pPr>
      <w:r>
        <w:t>Řekl jsem úvodem, že tentokráte nebudu mluvit o</w:t>
      </w:r>
      <w:r>
        <w:t xml:space="preserve"> ideách, nýbrž o faktech. Pokládám za fakt, že ži</w:t>
      </w:r>
      <w:r>
        <w:softHyphen/>
        <w:t>dovská otázka měla jinou podobu v našem a v němec</w:t>
      </w:r>
      <w:r>
        <w:softHyphen/>
        <w:t>kém prostředí, a že se z toho musí vykládat i odlišný pří</w:t>
      </w:r>
      <w:r>
        <w:softHyphen/>
        <w:t>zvuk, se kterým o ní my a Němci mluvíme. Poněvadž se blíží asi chvíle, kdy mezi Čechy a Němci bude</w:t>
      </w:r>
      <w:r>
        <w:t xml:space="preserve"> za</w:t>
      </w:r>
      <w:r>
        <w:softHyphen/>
        <w:t>hájen dialog o židovských věcech, myslím, že tato od</w:t>
      </w:r>
      <w:r>
        <w:softHyphen/>
        <w:t>lišnost měla by býti předem vyložena. Pokusil jsem se O to.</w:t>
      </w:r>
      <w:r>
        <w:tab/>
        <w:t xml:space="preserve">P. </w:t>
      </w:r>
      <w:r>
        <w:rPr>
          <w:i/>
          <w:iCs/>
          <w:sz w:val="20"/>
          <w:szCs w:val="20"/>
        </w:rPr>
        <w:t>Peroutka</w:t>
      </w:r>
    </w:p>
    <w:p w:rsidR="00500724" w:rsidRDefault="00F30FB8">
      <w:pPr>
        <w:pStyle w:val="Jin0"/>
        <w:shd w:val="clear" w:color="auto" w:fill="auto"/>
        <w:spacing w:after="220"/>
        <w:ind w:firstLine="0"/>
        <w:jc w:val="left"/>
        <w:rPr>
          <w:sz w:val="44"/>
          <w:szCs w:val="44"/>
        </w:rPr>
      </w:pPr>
      <w:r>
        <w:rPr>
          <w:b/>
          <w:bCs/>
          <w:sz w:val="44"/>
          <w:szCs w:val="44"/>
        </w:rPr>
        <w:t>poznámky</w:t>
      </w:r>
    </w:p>
    <w:p w:rsidR="00500724" w:rsidRDefault="00F30FB8">
      <w:pPr>
        <w:pStyle w:val="Zkladntext30"/>
        <w:shd w:val="clear" w:color="auto" w:fill="auto"/>
        <w:spacing w:after="80" w:line="240" w:lineRule="auto"/>
        <w:ind w:firstLine="0"/>
        <w:jc w:val="center"/>
      </w:pPr>
      <w:r>
        <w:t>Proč odešeí Vojtěch Imrédy?</w:t>
      </w:r>
    </w:p>
    <w:p w:rsidR="00500724" w:rsidRDefault="00F30FB8">
      <w:pPr>
        <w:pStyle w:val="Zkladntext1"/>
        <w:shd w:val="clear" w:color="auto" w:fill="auto"/>
        <w:spacing w:line="190" w:lineRule="auto"/>
        <w:ind w:firstLine="240"/>
      </w:pPr>
      <w:r>
        <w:rPr>
          <w:b/>
          <w:bCs/>
        </w:rPr>
        <w:t xml:space="preserve">Deset měsíců stál Imrédy </w:t>
      </w:r>
      <w:r>
        <w:rPr>
          <w:i/>
          <w:iCs/>
          <w:sz w:val="20"/>
          <w:szCs w:val="20"/>
        </w:rPr>
        <w:t>v</w:t>
      </w:r>
      <w:r>
        <w:rPr>
          <w:b/>
          <w:bCs/>
        </w:rPr>
        <w:t xml:space="preserve"> čele maďarské vlády, ale jen pět z nich prožil v pohodě. Nebo jinak: pět měsíců byl zkoušen, zda je vskutku tím mužem, který byl po Darányim hledán, a dalších pět měsíců byl spojenou oposieí zprava i zleva násilně páčen se svého místa. Žádný předseda ma</w:t>
      </w:r>
      <w:r>
        <w:rPr>
          <w:b/>
          <w:bCs/>
        </w:rPr>
        <w:softHyphen/>
        <w:t>ď</w:t>
      </w:r>
      <w:r>
        <w:rPr>
          <w:b/>
          <w:bCs/>
        </w:rPr>
        <w:t>arské vlády neměl na růžích nstláno; ale zdá se, že Imrédy, když proti sobě viděl velkostatkářskou, nacionálné- sociaiistickou i občanskou oposici, se rozhodl sedět i na trni a nepovolit. Rozhodnuti vídeňské konference o revis- ních nárocích Maďarska využi</w:t>
      </w:r>
      <w:r>
        <w:rPr>
          <w:b/>
          <w:bCs/>
        </w:rPr>
        <w:t>l jako svůj úspěch, třebas jeho odpůrci hlasitě prohlašovali, že to je poslední hřebík do jeho rakve. Úspěch, aspoň zdánlivý, reklamoval pro sebe Imrédy i ve vzrušeném zápase s šlechtickým velko</w:t>
      </w:r>
      <w:r>
        <w:rPr>
          <w:b/>
          <w:bCs/>
        </w:rPr>
        <w:softHyphen/>
        <w:t>statkem, na jehož účtu bylo devatenáct přepadů česko</w:t>
      </w:r>
      <w:r>
        <w:rPr>
          <w:b/>
          <w:bCs/>
        </w:rPr>
        <w:softHyphen/>
        <w:t>slovensk</w:t>
      </w:r>
      <w:r>
        <w:rPr>
          <w:b/>
          <w:bCs/>
        </w:rPr>
        <w:t>ého území... Imrédy mohl si oddychnout jako zá</w:t>
      </w:r>
      <w:r>
        <w:rPr>
          <w:b/>
          <w:bCs/>
        </w:rPr>
        <w:softHyphen/>
        <w:t>pasník, který věří, že jeho odpůrce na čas zchroml. Velko</w:t>
      </w:r>
      <w:r>
        <w:rPr>
          <w:b/>
          <w:bCs/>
        </w:rPr>
        <w:softHyphen/>
        <w:t>statek se sice i poté pokusil o další teroristický přepad u Užhorodu, ale hned bylo jasné prohlášení podplukovníka Molnára, že napříště už nemíní trpět</w:t>
      </w:r>
      <w:r>
        <w:rPr>
          <w:b/>
          <w:bCs/>
        </w:rPr>
        <w:t xml:space="preserve"> extravagance lidí, kteři se domnívají, že jim v Maďarska není žádný zákon dán. Konečně opatření maďarské vlády na demarkaění čáře hned nato ukázalo, že Imrédyho kabinet, bude-li toho třeba, je připraven zmáčknout i hlavu tohoto odbojného hnutí.</w:t>
      </w:r>
    </w:p>
    <w:p w:rsidR="00500724" w:rsidRDefault="00F30FB8">
      <w:pPr>
        <w:pStyle w:val="Jin0"/>
        <w:shd w:val="clear" w:color="auto" w:fill="auto"/>
        <w:spacing w:after="140"/>
        <w:ind w:firstLine="240"/>
        <w:rPr>
          <w:sz w:val="15"/>
          <w:szCs w:val="15"/>
        </w:rPr>
      </w:pPr>
      <w:r>
        <w:rPr>
          <w:rFonts w:ascii="Arial" w:eastAsia="Arial" w:hAnsi="Arial" w:cs="Arial"/>
          <w:b/>
          <w:bCs/>
          <w:sz w:val="15"/>
          <w:szCs w:val="15"/>
        </w:rPr>
        <w:t>To však by</w:t>
      </w:r>
      <w:r>
        <w:rPr>
          <w:rFonts w:ascii="Arial" w:eastAsia="Arial" w:hAnsi="Arial" w:cs="Arial"/>
          <w:b/>
          <w:bCs/>
          <w:sz w:val="15"/>
          <w:szCs w:val="15"/>
        </w:rPr>
        <w:t>lo neopatrné. Bývalý guvernér Maďarské ná-</w:t>
      </w:r>
    </w:p>
    <w:p w:rsidR="00500724" w:rsidRDefault="00F30FB8">
      <w:pPr>
        <w:pStyle w:val="Zkladntext1"/>
        <w:shd w:val="clear" w:color="auto" w:fill="auto"/>
        <w:spacing w:after="40" w:line="197" w:lineRule="auto"/>
        <w:ind w:firstLine="0"/>
      </w:pPr>
      <w:r>
        <w:rPr>
          <w:b/>
          <w:bCs/>
        </w:rPr>
        <w:t>rodní banky mohl vědět, že lidé, s nimiž se dal do boje, dovedli zneškodnit i statnějšího bijce, než byl on. Imrédy věřil ve svou hvězdu. Proto asi přehlédl, že nátlak, který byl na něho zase s jiné strany vykonáv</w:t>
      </w:r>
      <w:r>
        <w:rPr>
          <w:b/>
          <w:bCs/>
        </w:rPr>
        <w:t>án, je zvláště ošidný, a že je nutné mít se v této věci na pozoru. Poradil-li mu kdosi, že jen muž jeho energie a síly je schopen uskutečnit v zemi dlouho želaný židovský zákon, Imrédy, polichocen, si řekl, že důvěru v něho kladenou nezklame. Do židovského</w:t>
      </w:r>
      <w:r>
        <w:rPr>
          <w:b/>
          <w:bCs/>
        </w:rPr>
        <w:t xml:space="preserve"> zákona se pustil s energií muže, který by těžce nesl, Kdyby o něm někdo řekl, že ve věcech státní a národní důležitosti okolku je nebo váhá. Duch bývalého guvernéra Národní ban</w:t>
      </w:r>
      <w:r>
        <w:rPr>
          <w:b/>
          <w:bCs/>
        </w:rPr>
        <w:softHyphen/>
        <w:t>ky v něm asi už zahynul, protože by jinak musil s nepoko</w:t>
      </w:r>
      <w:r>
        <w:rPr>
          <w:b/>
          <w:bCs/>
        </w:rPr>
        <w:softHyphen/>
        <w:t>jem pozorovat překotn</w:t>
      </w:r>
      <w:r>
        <w:rPr>
          <w:b/>
          <w:bCs/>
        </w:rPr>
        <w:t xml:space="preserve">ý chvat, s nímž maďarský kapitál mizí do ciziny. Když mu konečně tento stav vyvstal před očima, bylo pozdě. Najednou proti sobě viděl oposici zleva i zprava, kterou s vlídnými úsměvy shromažďoval a slovem posiloval přítel </w:t>
      </w:r>
      <w:r>
        <w:rPr>
          <w:b/>
          <w:bCs/>
          <w:lang w:val="en-US" w:eastAsia="en-US" w:bidi="en-US"/>
        </w:rPr>
        <w:t xml:space="preserve">hr. </w:t>
      </w:r>
      <w:r>
        <w:rPr>
          <w:b/>
          <w:bCs/>
        </w:rPr>
        <w:t>Štěpán Bethlen.</w:t>
      </w:r>
    </w:p>
    <w:p w:rsidR="00500724" w:rsidRDefault="00F30FB8">
      <w:pPr>
        <w:pStyle w:val="Zkladntext1"/>
        <w:shd w:val="clear" w:color="auto" w:fill="auto"/>
        <w:spacing w:after="40" w:line="187" w:lineRule="auto"/>
        <w:ind w:firstLine="240"/>
      </w:pPr>
      <w:r>
        <w:rPr>
          <w:b/>
          <w:bCs/>
        </w:rPr>
        <w:t>Tak došlo k po</w:t>
      </w:r>
      <w:r>
        <w:rPr>
          <w:b/>
          <w:bCs/>
        </w:rPr>
        <w:t>slednímu jednání této hry. Začalo to tím, že na Imrédyho byl vznesen veřejný dotaz, jak prý to při</w:t>
      </w:r>
      <w:r>
        <w:rPr>
          <w:b/>
          <w:bCs/>
        </w:rPr>
        <w:softHyphen/>
        <w:t>jde, že on, který se honosí předky z židovské krve, chce se zasloužit o provedení židovského zákona v Maďarsku. Imré- dy dobře pochopil, co tento dotaz zname</w:t>
      </w:r>
      <w:r>
        <w:rPr>
          <w:b/>
          <w:bCs/>
        </w:rPr>
        <w:t>ná. Proto již 16. ledna pronesl řeč, kde vyvracel pomluvy oposice o tom, že prý má třicet sedm a půl procenta židovské krve. Imrédy ovšem nemohl popřít skutečnost, že jistý jeho děd s matčiny strany byl původu židovského. Ale namítl, že ostatní čtvrti</w:t>
      </w:r>
      <w:r>
        <w:rPr>
          <w:b/>
          <w:bCs/>
        </w:rPr>
        <w:softHyphen/>
        <w:t xml:space="preserve">na, </w:t>
      </w:r>
      <w:r>
        <w:rPr>
          <w:b/>
          <w:bCs/>
        </w:rPr>
        <w:t>ba ani polovina židovské krve nebere ještě někomu kom</w:t>
      </w:r>
      <w:r>
        <w:rPr>
          <w:b/>
          <w:bCs/>
        </w:rPr>
        <w:softHyphen/>
        <w:t>petenci, aby byl antisemitou. Dodal, že doklady o jeho arij- ském a germánském původu dal vyložit v sekretariátě, kde si je každý může prohlédnout,</w:t>
      </w:r>
    </w:p>
    <w:p w:rsidR="00500724" w:rsidRDefault="00F30FB8">
      <w:pPr>
        <w:pStyle w:val="Zkladntext1"/>
        <w:shd w:val="clear" w:color="auto" w:fill="auto"/>
        <w:tabs>
          <w:tab w:val="left" w:pos="3317"/>
        </w:tabs>
        <w:spacing w:after="120" w:line="187" w:lineRule="auto"/>
        <w:ind w:firstLine="240"/>
        <w:rPr>
          <w:sz w:val="20"/>
          <w:szCs w:val="20"/>
        </w:rPr>
      </w:pPr>
      <w:r>
        <w:rPr>
          <w:b/>
          <w:bCs/>
        </w:rPr>
        <w:t>A to se také stalo, ba víc. Lidé, jimž na tom záleželo</w:t>
      </w:r>
      <w:r>
        <w:rPr>
          <w:b/>
          <w:bCs/>
        </w:rPr>
        <w:t>, aby Imrédy zatoužil po odchodu z vlády, pídili se ještě po jiných dokladech, aby ty, které si Imrédy před sebe postavil jako ocln-annou hráz, mohly být brány v pochybnost. Když pak projednávání židovského zákona v parlamentě bylo se stra</w:t>
      </w:r>
      <w:r>
        <w:rPr>
          <w:b/>
          <w:bCs/>
        </w:rPr>
        <w:softHyphen/>
        <w:t>ny Imrédyho insc</w:t>
      </w:r>
      <w:r>
        <w:rPr>
          <w:b/>
          <w:bCs/>
        </w:rPr>
        <w:t>enováno tak, že osnova byla ještě krok za krokem zostřována k nelibosti poslanců, kteří se hrozili hos</w:t>
      </w:r>
      <w:r>
        <w:rPr>
          <w:b/>
          <w:bCs/>
        </w:rPr>
        <w:softHyphen/>
        <w:t>podářských následků této věci, byl Imrédy vehnán do po</w:t>
      </w:r>
      <w:r>
        <w:rPr>
          <w:b/>
          <w:bCs/>
        </w:rPr>
        <w:softHyphen/>
        <w:t>sledního kola zápasu. Ještě v úterý večer se zdálo, že Imrédy výdrži i tento soustředěný útok prav</w:t>
      </w:r>
      <w:r>
        <w:rPr>
          <w:b/>
          <w:bCs/>
        </w:rPr>
        <w:t>olevé oposice. Proto ma</w:t>
      </w:r>
      <w:r>
        <w:rPr>
          <w:b/>
          <w:bCs/>
        </w:rPr>
        <w:softHyphen/>
        <w:t>ďarská tisková kancelář tak energicky dementovala zprávu o pádu Imrédyho kabinetu. Ale po půlnoci musil Imrédy uznat, že jeho židovský předek z doby Napoleona I. mu vskutku nedovoluje provádět politiku známého směru, a ze svého úřad</w:t>
      </w:r>
      <w:r>
        <w:rPr>
          <w:b/>
          <w:bCs/>
        </w:rPr>
        <w:t>u se poděkoval.</w:t>
      </w:r>
      <w:r>
        <w:rPr>
          <w:b/>
          <w:bCs/>
        </w:rPr>
        <w:tab/>
      </w:r>
      <w:r>
        <w:rPr>
          <w:i/>
          <w:iCs/>
          <w:sz w:val="20"/>
          <w:szCs w:val="20"/>
        </w:rPr>
        <w:t>Josef T eichman</w:t>
      </w:r>
    </w:p>
    <w:p w:rsidR="00500724" w:rsidRDefault="00F30FB8">
      <w:pPr>
        <w:pStyle w:val="Nadpis120"/>
        <w:shd w:val="clear" w:color="auto" w:fill="auto"/>
        <w:spacing w:after="40" w:line="218" w:lineRule="auto"/>
        <w:ind w:left="0"/>
        <w:jc w:val="center"/>
      </w:pPr>
      <w:bookmarkStart w:id="192" w:name="bookmark191"/>
      <w:r>
        <w:t>Hospodářská podezdívka osy — a díra mezi Francií</w:t>
      </w:r>
      <w:r>
        <w:br/>
        <w:t>a námi</w:t>
      </w:r>
      <w:bookmarkEnd w:id="192"/>
    </w:p>
    <w:p w:rsidR="00500724" w:rsidRDefault="00F30FB8">
      <w:pPr>
        <w:pStyle w:val="Zkladntext1"/>
        <w:shd w:val="clear" w:color="auto" w:fill="auto"/>
        <w:spacing w:after="40" w:line="185" w:lineRule="auto"/>
        <w:ind w:firstLine="340"/>
      </w:pPr>
      <w:r>
        <w:rPr>
          <w:b/>
          <w:bCs/>
        </w:rPr>
        <w:t>Co znamenají dnes dobré hospodářské vztahy pro vzá</w:t>
      </w:r>
      <w:r>
        <w:rPr>
          <w:b/>
          <w:bCs/>
        </w:rPr>
        <w:softHyphen/>
      </w:r>
      <w:r>
        <w:rPr>
          <w:b/>
          <w:bCs/>
        </w:rPr>
        <w:t xml:space="preserve">jemný politický poměr jednotlivých států, poznáme snad nejlépe z vývoje hospodářských styků mezi Německem a Itálii. Prohiásil-Ii nedávno říšský r.Jnistr </w:t>
      </w:r>
      <w:r>
        <w:rPr>
          <w:b/>
          <w:bCs/>
          <w:lang w:val="en-US" w:eastAsia="en-US" w:bidi="en-US"/>
        </w:rPr>
        <w:t xml:space="preserve">Funk, </w:t>
      </w:r>
      <w:r>
        <w:rPr>
          <w:b/>
          <w:bCs/>
        </w:rPr>
        <w:t>že poli</w:t>
      </w:r>
      <w:r>
        <w:rPr>
          <w:b/>
          <w:bCs/>
        </w:rPr>
        <w:softHyphen/>
        <w:t>tická souhra osy musí býti podepřena také hospodářskou spoluprací, uskutečňuje se tento n</w:t>
      </w:r>
      <w:r>
        <w:rPr>
          <w:b/>
          <w:bCs/>
        </w:rPr>
        <w:t>ožadavek velmi rychle. Nebuďme vůbec překvapeni, zaujme-li Itálie v německém zahraničním obchodě vedoucí místo, ačkoli do nedávná byla ještě v pořadí desátá. Hospodářská jednání mezi obě</w:t>
      </w:r>
      <w:r>
        <w:rPr>
          <w:b/>
          <w:bCs/>
        </w:rPr>
        <w:softHyphen/>
        <w:t>ma státy osy trvala sice dlouho, ale výsledek je takový, že výměna zb</w:t>
      </w:r>
      <w:r>
        <w:rPr>
          <w:b/>
          <w:bCs/>
        </w:rPr>
        <w:t>oží zvýší se již letos o 23 až 30 procent. Nová obchodní dohoda, která byla právě v Římě podensána, dává italskému vývozu veliké možnosti, ale ' Německo přišlo na své. Nezáleží příliš na tom, že základem výměny zboží je samozřejmě clearing — daleko více ro</w:t>
      </w:r>
      <w:r>
        <w:rPr>
          <w:b/>
          <w:bCs/>
        </w:rPr>
        <w:t>zhoduje nová úprava Dlatcbní bilance, která je pro oba státy osy výhod</w:t>
      </w:r>
      <w:r>
        <w:rPr>
          <w:b/>
          <w:bCs/>
        </w:rPr>
        <w:softHyphen/>
        <w:t>ná. Nepochybujme, že teď bude hospodářský styk obou velmocí mnohem čilejší a že nová dohodě bude míti vliv i na politickou souhru.</w:t>
      </w:r>
    </w:p>
    <w:p w:rsidR="00500724" w:rsidRDefault="00F30FB8">
      <w:pPr>
        <w:pStyle w:val="Zkladntext1"/>
        <w:shd w:val="clear" w:color="auto" w:fill="auto"/>
        <w:spacing w:line="187" w:lineRule="auto"/>
        <w:ind w:firstLine="300"/>
      </w:pPr>
      <w:r>
        <w:rPr>
          <w:b/>
          <w:bCs/>
        </w:rPr>
        <w:t>Stojí snad za to porovnati s tímto vývojem náš obchod</w:t>
      </w:r>
      <w:r>
        <w:rPr>
          <w:b/>
          <w:bCs/>
        </w:rPr>
        <w:softHyphen/>
      </w:r>
      <w:r>
        <w:rPr>
          <w:b/>
          <w:bCs/>
        </w:rPr>
        <w:t>ní poměr k západním velmocím, především k Francii. Za posledních deset let doplatili jsme na Francii — jenom obchodně — přes miliardu kornn, protože francouzský vý</w:t>
      </w:r>
      <w:r>
        <w:rPr>
          <w:b/>
          <w:bCs/>
        </w:rPr>
        <w:softHyphen/>
        <w:t xml:space="preserve">voz do Československa převyšoval stále náš vývoz do Francie o celé desítky milionů. V tomto </w:t>
      </w:r>
      <w:r>
        <w:rPr>
          <w:b/>
          <w:bCs/>
        </w:rPr>
        <w:t>ohledu byla Fran- cle vždycky sobecká, odmífaiíc soustavně naše požadavky. Pamatuji se ještě velmi dobře na přednáším, kterou měl v Praze profesor Dominois, osobni přítel Bhimův. který tehdy ve Francii vládl. Politicky oplývala přednáška laska</w:t>
      </w:r>
      <w:r>
        <w:rPr>
          <w:b/>
          <w:bCs/>
        </w:rPr>
        <w:softHyphen/>
        <w:t>vosti, ale n</w:t>
      </w:r>
      <w:r>
        <w:rPr>
          <w:b/>
          <w:bCs/>
        </w:rPr>
        <w:t xml:space="preserve">a hospodářské stížnosti zůstal 1 profesor </w:t>
      </w:r>
      <w:r>
        <w:rPr>
          <w:b/>
          <w:bCs/>
          <w:lang w:val="en-US" w:eastAsia="en-US" w:bidi="en-US"/>
        </w:rPr>
        <w:t>Domi</w:t>
      </w:r>
      <w:r>
        <w:rPr>
          <w:b/>
          <w:bCs/>
          <w:lang w:val="en-US" w:eastAsia="en-US" w:bidi="en-US"/>
        </w:rPr>
        <w:softHyphen/>
        <w:t xml:space="preserve">nois </w:t>
      </w:r>
      <w:r>
        <w:rPr>
          <w:b/>
          <w:bCs/>
        </w:rPr>
        <w:t>odpověď dlužen. Po Mnichovu sl Francie oosníšila, aby našemu vývozu uložila další omezeni, takže náš hospodář</w:t>
      </w:r>
      <w:r>
        <w:rPr>
          <w:b/>
          <w:bCs/>
        </w:rPr>
        <w:softHyphen/>
        <w:t>ský styk je ještě horší než býval. Ani při jednání o půjčku neukázala Francie žádnou ochotu. D</w:t>
      </w:r>
      <w:r>
        <w:rPr>
          <w:b/>
          <w:bCs/>
        </w:rPr>
        <w:t>nes už také víme, že i Anglie má přímý zájem pouze na zemích, kde je investo</w:t>
      </w:r>
      <w:r>
        <w:rPr>
          <w:b/>
          <w:bCs/>
        </w:rPr>
        <w:softHyphen/>
        <w:t>ván velký britský kapitál a kde se hraje přímo o nějaký životní zájem britské říše. Takovou zemí jsme však nebyli — a proto zněly hospodářské posudky Runcimanovy mise velmi chladn</w:t>
      </w:r>
      <w:r>
        <w:rPr>
          <w:b/>
          <w:bCs/>
        </w:rPr>
        <w:t>ě.</w:t>
      </w:r>
    </w:p>
    <w:p w:rsidR="00500724" w:rsidRDefault="00F30FB8">
      <w:pPr>
        <w:pStyle w:val="Zkladntext1"/>
        <w:shd w:val="clear" w:color="auto" w:fill="auto"/>
        <w:tabs>
          <w:tab w:val="left" w:pos="4546"/>
        </w:tabs>
        <w:spacing w:after="180" w:line="185" w:lineRule="auto"/>
        <w:ind w:firstLine="280"/>
        <w:rPr>
          <w:sz w:val="20"/>
          <w:szCs w:val="20"/>
        </w:rPr>
      </w:pPr>
      <w:r>
        <w:rPr>
          <w:b/>
          <w:bCs/>
        </w:rPr>
        <w:t>Ale proě to vlastně říkáme? Jenom z toho důvodu, aby</w:t>
      </w:r>
      <w:r>
        <w:rPr>
          <w:b/>
          <w:bCs/>
        </w:rPr>
        <w:softHyphen/>
        <w:t>chom ani v nových poměrech nezapomněli, že přísloví o jasných smlouvách a dobrém přátelství platí především v hospodářském životě, který je teď pro nás mnohem slo</w:t>
      </w:r>
      <w:r>
        <w:rPr>
          <w:b/>
          <w:bCs/>
        </w:rPr>
        <w:softHyphen/>
        <w:t xml:space="preserve">žitější a důležitější, než kdykoli </w:t>
      </w:r>
      <w:r>
        <w:rPr>
          <w:b/>
          <w:bCs/>
        </w:rPr>
        <w:t>dosud.</w:t>
      </w:r>
      <w:r>
        <w:rPr>
          <w:b/>
          <w:bCs/>
        </w:rPr>
        <w:tab/>
      </w:r>
      <w:r>
        <w:rPr>
          <w:i/>
          <w:iCs/>
          <w:sz w:val="20"/>
          <w:szCs w:val="20"/>
        </w:rPr>
        <w:t>K. 8.</w:t>
      </w:r>
    </w:p>
    <w:p w:rsidR="00500724" w:rsidRDefault="00F30FB8">
      <w:pPr>
        <w:pStyle w:val="Zkladntext1"/>
        <w:shd w:val="clear" w:color="auto" w:fill="auto"/>
        <w:spacing w:line="262" w:lineRule="auto"/>
        <w:ind w:left="60" w:firstLine="0"/>
        <w:jc w:val="center"/>
        <w:rPr>
          <w:sz w:val="20"/>
          <w:szCs w:val="20"/>
        </w:rPr>
      </w:pPr>
      <w:r>
        <w:rPr>
          <w:b/>
          <w:bCs/>
          <w:sz w:val="20"/>
          <w:szCs w:val="20"/>
        </w:rPr>
        <w:t>Křesťanství — heslo a skutečnost</w:t>
      </w:r>
      <w:r>
        <w:rPr>
          <w:b/>
          <w:bCs/>
          <w:sz w:val="20"/>
          <w:szCs w:val="20"/>
        </w:rPr>
        <w:br/>
      </w:r>
      <w:r>
        <w:rPr>
          <w:sz w:val="20"/>
          <w:szCs w:val="20"/>
        </w:rPr>
        <w:t>(Poznámky k dnešní náladě)</w:t>
      </w:r>
    </w:p>
    <w:p w:rsidR="00500724" w:rsidRDefault="00F30FB8">
      <w:pPr>
        <w:pStyle w:val="Zkladntext1"/>
        <w:shd w:val="clear" w:color="auto" w:fill="auto"/>
        <w:spacing w:line="209" w:lineRule="auto"/>
        <w:ind w:firstLine="200"/>
      </w:pPr>
      <w:r>
        <w:rPr>
          <w:b/>
          <w:bCs/>
        </w:rPr>
        <w:t>Af dnes kdokoliv a o ěemkoliv mluví a píše, zakončí buď kratší nebo delší zmínkou o tradici svatováclavské a o tom, že se zbavujeme cizí ideologie a jsme pro křesťanství. Pro věřícího</w:t>
      </w:r>
      <w:r>
        <w:rPr>
          <w:b/>
          <w:bCs/>
        </w:rPr>
        <w:t xml:space="preserve"> člověka (katolíka i protestanta), který tyto pro</w:t>
      </w:r>
      <w:r>
        <w:rPr>
          <w:b/>
          <w:bCs/>
        </w:rPr>
        <w:softHyphen/>
        <w:t>jevy čte a slyší, by to mohlo být někdy zadostiučiněním: Marně ses tedy nenamáhal kdysi, když jsi mládeži vyklá</w:t>
      </w:r>
      <w:r>
        <w:rPr>
          <w:b/>
          <w:bCs/>
        </w:rPr>
        <w:softHyphen/>
        <w:t>dal, že jedině křesťanství (a to nejen slovo, ale živý Kristus, Bůh a Spasitel) spasí jednotli</w:t>
      </w:r>
      <w:r>
        <w:rPr>
          <w:b/>
          <w:bCs/>
        </w:rPr>
        <w:t>vce i národy. Marně jsi nedokazoval, že i pro národ jako celek je opravdová, živá víra nejvyšším pokladem. Přes změny režimů, pravých a levých, které jsou tu dnes a zítra kdes, zůstává nezmě</w:t>
      </w:r>
      <w:r>
        <w:rPr>
          <w:b/>
          <w:bCs/>
        </w:rPr>
        <w:softHyphen/>
        <w:t>něno: Kristus na věky.</w:t>
      </w:r>
    </w:p>
    <w:p w:rsidR="00500724" w:rsidRDefault="00F30FB8">
      <w:pPr>
        <w:pStyle w:val="Zkladntext1"/>
        <w:shd w:val="clear" w:color="auto" w:fill="auto"/>
        <w:spacing w:line="209" w:lineRule="auto"/>
        <w:ind w:firstLine="280"/>
      </w:pPr>
      <w:r>
        <w:rPr>
          <w:b/>
          <w:bCs/>
        </w:rPr>
        <w:t>Tento náboženský obsah stal se však většin</w:t>
      </w:r>
      <w:r>
        <w:rPr>
          <w:b/>
          <w:bCs/>
        </w:rPr>
        <w:t>ě lidí ne dost pochopitelný, a křesťanství bylo (aby se stalo stravi</w:t>
      </w:r>
      <w:r>
        <w:rPr>
          <w:b/>
          <w:bCs/>
        </w:rPr>
        <w:softHyphen/>
        <w:t>telnějším) převáděno na politického jmenovatele. Nechci zde opakovati, nakolik Masaryk sám způsobil u nás tento způsob hodnocení křesťanství a nakolik jeho popularisátoři rozuměli křesťan</w:t>
      </w:r>
      <w:r>
        <w:rPr>
          <w:b/>
          <w:bCs/>
        </w:rPr>
        <w:t>stvím vždy jen slabounký odvar pokro</w:t>
      </w:r>
      <w:r>
        <w:rPr>
          <w:b/>
          <w:bCs/>
        </w:rPr>
        <w:softHyphen/>
        <w:t>kových myšlenek se sociálním zabarvením. Proto také po- převratové hnutí protikatolické, aě stále vytýkalo kato</w:t>
      </w:r>
      <w:r>
        <w:rPr>
          <w:b/>
          <w:bCs/>
        </w:rPr>
        <w:softHyphen/>
        <w:t>lictví klerikalismus (»zneužívání myšlenek náboženských k účelům politickým«), bylo vedeno hesiy politický</w:t>
      </w:r>
      <w:r>
        <w:rPr>
          <w:b/>
          <w:bCs/>
        </w:rPr>
        <w:softHyphen/>
      </w:r>
      <w:r>
        <w:rPr>
          <w:b/>
          <w:bCs/>
        </w:rPr>
        <w:t>mi; vzpomeňme si hned, že hlavním heslem byla cizost katolictví, proti které je prý třeba bojovat národní církví (českobratrskou a československou). Vlivem Masaryko</w:t>
      </w:r>
      <w:r>
        <w:rPr>
          <w:b/>
          <w:bCs/>
        </w:rPr>
        <w:softHyphen/>
        <w:t>vým ustálilo se v české veřejnosti heslo o tradici h u s i t- s k é. Jak této tradici rozum</w:t>
      </w:r>
      <w:r>
        <w:rPr>
          <w:b/>
          <w:bCs/>
        </w:rPr>
        <w:t>ět!, o tom se názory různily: pokud stoupenci Masarykovi četli jeho spisy, měli o husit</w:t>
      </w:r>
      <w:r>
        <w:rPr>
          <w:b/>
          <w:bCs/>
        </w:rPr>
        <w:softHyphen/>
        <w:t>ské (či lépe řečeno: českobratrské) tradici určitější před</w:t>
      </w:r>
      <w:r>
        <w:rPr>
          <w:b/>
          <w:bCs/>
        </w:rPr>
        <w:softHyphen/>
        <w:t>stavu; když však tuto tradici začali převáděli na úkoly moderního státu, rozcházeli se podle toho, ke které p</w:t>
      </w:r>
      <w:r>
        <w:rPr>
          <w:b/>
          <w:bCs/>
        </w:rPr>
        <w:t>oli</w:t>
      </w:r>
      <w:r>
        <w:rPr>
          <w:b/>
          <w:bCs/>
        </w:rPr>
        <w:softHyphen/>
        <w:t>tické straně náleželi. Že nebyli shovívaví k názorům jiným a k názorům křesťanů, kteří právě nechtěli opakovat po</w:t>
      </w:r>
      <w:r>
        <w:rPr>
          <w:b/>
          <w:bCs/>
        </w:rPr>
        <w:softHyphen/>
        <w:t>kroková hesla, je třeba nyní vzpomenouti se shovívavostí; užiti tehdy jména Viktor Dyk vedle slova Masaryk se ne</w:t>
      </w:r>
      <w:r>
        <w:rPr>
          <w:b/>
          <w:bCs/>
        </w:rPr>
        <w:softHyphen/>
        <w:t>doporučovalo v řeči, neřk</w:t>
      </w:r>
      <w:r>
        <w:rPr>
          <w:b/>
          <w:bCs/>
        </w:rPr>
        <w:t>u-li v článcích; užiti slova »silná armáda« znamenalo podezření z militarismu (a křesťanství kolem roku 1931, v době odzbrojovací konference, bylo radikálně pacifistické a manifesty i proti obranné válce vy- cházely, podpisovány křesťany i nekřesťany, jede</w:t>
      </w:r>
      <w:r>
        <w:rPr>
          <w:b/>
          <w:bCs/>
        </w:rPr>
        <w:t>n za dru</w:t>
      </w:r>
      <w:r>
        <w:rPr>
          <w:b/>
          <w:bCs/>
        </w:rPr>
        <w:softHyphen/>
        <w:t>hým) ; kritisovati socialismus znamenalo nedostatek so</w:t>
      </w:r>
      <w:r>
        <w:rPr>
          <w:b/>
          <w:bCs/>
        </w:rPr>
        <w:softHyphen/>
        <w:t>ciálního cítění (socialismus se slučoval s královstvím bo</w:t>
      </w:r>
      <w:r>
        <w:rPr>
          <w:b/>
          <w:bCs/>
        </w:rPr>
        <w:softHyphen/>
        <w:t>žím na zemi) atd. Vyvinul se jakýsi typ nesnášelivého kře</w:t>
      </w:r>
      <w:r>
        <w:rPr>
          <w:b/>
          <w:bCs/>
        </w:rPr>
        <w:softHyphen/>
        <w:t>sťanství, které nesnášelo nic, co neodpovídá vykonstruo</w:t>
      </w:r>
      <w:r>
        <w:rPr>
          <w:b/>
          <w:bCs/>
        </w:rPr>
        <w:softHyphen/>
        <w:t>vané stoprocentní po</w:t>
      </w:r>
      <w:r>
        <w:rPr>
          <w:b/>
          <w:bCs/>
        </w:rPr>
        <w:t>krokovosti. Při tom většina národa klidně přijímala to, co se jí ve formě husitské tradice před</w:t>
      </w:r>
      <w:r>
        <w:rPr>
          <w:b/>
          <w:bCs/>
        </w:rPr>
        <w:softHyphen/>
        <w:t>kládalo: chodila povinně na Husovy oslavy, zazpívala (oby</w:t>
      </w:r>
      <w:r>
        <w:rPr>
          <w:b/>
          <w:bCs/>
        </w:rPr>
        <w:softHyphen/>
        <w:t>čejně špatně) »Kdož jste boží bojovníci« a »Hranice vzplá- la«, vyslechla obyčejně nudné řeěi protikat</w:t>
      </w:r>
      <w:r>
        <w:rPr>
          <w:b/>
          <w:bCs/>
        </w:rPr>
        <w:t>olicky naladěné a — šla domů, aby si zase celý rok na tradici nevzpomn a,</w:t>
      </w:r>
    </w:p>
    <w:p w:rsidR="00500724" w:rsidRDefault="00F30FB8">
      <w:pPr>
        <w:pStyle w:val="Zkladntext1"/>
        <w:shd w:val="clear" w:color="auto" w:fill="auto"/>
        <w:spacing w:after="80" w:line="209" w:lineRule="auto"/>
        <w:ind w:firstLine="280"/>
      </w:pPr>
      <w:r>
        <w:rPr>
          <w:b/>
          <w:bCs/>
        </w:rPr>
        <w:t>Věděla-li veřejnost málo o náboženském obsahu husitské tradice, kolik toho ví o tradici svatováclavské? Četli jsme v několika časopisech a krajinských listech, že tato tradice má čel</w:t>
      </w:r>
      <w:r>
        <w:rPr>
          <w:b/>
          <w:bCs/>
        </w:rPr>
        <w:t>iti cizí ideologii. Jaké? Masarykovi? Marxismu? Jednou tomu, po druhé onomu. Ve skuteč</w:t>
      </w:r>
      <w:r>
        <w:rPr>
          <w:b/>
          <w:bCs/>
        </w:rPr>
        <w:softHyphen/>
        <w:t>nosti, věděl-li dříve normální Čech o husitské tradici málo, neví dnes o svatováclavské tradici nic. Normální Čech za</w:t>
      </w:r>
      <w:r>
        <w:rPr>
          <w:b/>
          <w:bCs/>
        </w:rPr>
        <w:softHyphen/>
        <w:t>zpívá sice s pohnutím chorál »Svatý Václave«, ale c</w:t>
      </w:r>
      <w:r>
        <w:rPr>
          <w:b/>
          <w:bCs/>
        </w:rPr>
        <w:t>o to</w:t>
      </w:r>
    </w:p>
    <w:p w:rsidR="00500724" w:rsidRDefault="00F30FB8">
      <w:pPr>
        <w:pStyle w:val="Jin0"/>
        <w:shd w:val="clear" w:color="auto" w:fill="auto"/>
        <w:ind w:firstLine="0"/>
        <w:jc w:val="right"/>
        <w:rPr>
          <w:sz w:val="26"/>
          <w:szCs w:val="26"/>
        </w:rPr>
        <w:sectPr w:rsidR="00500724">
          <w:footnotePr>
            <w:numFmt w:val="chicago"/>
            <w:numRestart w:val="eachPage"/>
          </w:footnotePr>
          <w:type w:val="continuous"/>
          <w:pgSz w:w="11909" w:h="16834"/>
          <w:pgMar w:top="1274" w:right="936" w:bottom="878" w:left="602" w:header="0" w:footer="3" w:gutter="0"/>
          <w:cols w:num="2" w:space="100"/>
          <w:noEndnote/>
          <w:docGrid w:linePitch="360"/>
        </w:sectPr>
      </w:pPr>
      <w:r>
        <w:rPr>
          <w:rFonts w:ascii="Arial" w:eastAsia="Arial" w:hAnsi="Arial" w:cs="Arial"/>
          <w:b/>
          <w:bCs/>
          <w:i/>
          <w:iCs/>
          <w:sz w:val="26"/>
          <w:szCs w:val="26"/>
        </w:rPr>
        <w:t>U5</w:t>
      </w:r>
    </w:p>
    <w:p w:rsidR="00500724" w:rsidRDefault="00F30FB8">
      <w:pPr>
        <w:pStyle w:val="Zkladntext1"/>
        <w:shd w:val="clear" w:color="auto" w:fill="auto"/>
        <w:spacing w:after="40" w:line="209" w:lineRule="auto"/>
        <w:ind w:firstLine="0"/>
      </w:pPr>
      <w:r>
        <w:rPr>
          <w:b/>
          <w:bCs/>
        </w:rPr>
        <w:t>pro něj (je-li na př. bývalým českým socialistou bez vy</w:t>
      </w:r>
      <w:r>
        <w:rPr>
          <w:b/>
          <w:bCs/>
        </w:rPr>
        <w:softHyphen/>
        <w:t>smání) znamená?</w:t>
      </w:r>
    </w:p>
    <w:p w:rsidR="00500724" w:rsidRDefault="00F30FB8">
      <w:pPr>
        <w:pStyle w:val="Zkladntext1"/>
        <w:shd w:val="clear" w:color="auto" w:fill="auto"/>
        <w:spacing w:after="40" w:line="209" w:lineRule="auto"/>
        <w:ind w:firstLine="320"/>
      </w:pPr>
      <w:r>
        <w:rPr>
          <w:b/>
          <w:bCs/>
        </w:rPr>
        <w:t>Není ovšem pochyby o tom, že po pádu starého režimu r. 1938 hledá se nějaká myšlenková opora v tradici (jako ji hledají všechny režimy po celém sv</w:t>
      </w:r>
      <w:r>
        <w:rPr>
          <w:b/>
          <w:bCs/>
        </w:rPr>
        <w:t>ětě). Proč se nalézá právě v hesle »tradice svatováclavská*, souvisí se vzrů</w:t>
      </w:r>
      <w:r>
        <w:rPr>
          <w:b/>
          <w:bCs/>
        </w:rPr>
        <w:softHyphen/>
        <w:t>stem moci katolictví. Jinak si nelze přece vysvětliti, proč najednou je opuštěna (také národní) tradice husitská. Ka</w:t>
      </w:r>
      <w:r>
        <w:rPr>
          <w:b/>
          <w:bCs/>
        </w:rPr>
        <w:softHyphen/>
        <w:t>tolictví naše přes všechny úsměšky a pohrdání protivníků a ods</w:t>
      </w:r>
      <w:r>
        <w:rPr>
          <w:b/>
          <w:bCs/>
        </w:rPr>
        <w:t>trkování vlivem nedostatku politické moci dovedlo se po náboženské stránce vzpamatovali z ponížení r. 1918 a vytvořilo uvědomělý typ českého katolíka. Zatim co tak zvaný pokrokový tábor protikatolický ustrnul na jedno</w:t>
      </w:r>
      <w:r>
        <w:rPr>
          <w:b/>
          <w:bCs/>
        </w:rPr>
        <w:softHyphen/>
        <w:t xml:space="preserve">tvárném čerpání z arsenálu obnošených </w:t>
      </w:r>
      <w:r>
        <w:rPr>
          <w:b/>
          <w:bCs/>
        </w:rPr>
        <w:t>pokrokových ideálů, dovedli se myšlenkově pružnější katolíci povznésti nad malichernou pomstychtivost a vnitřní prací ve sdru</w:t>
      </w:r>
      <w:r>
        <w:rPr>
          <w:b/>
          <w:bCs/>
        </w:rPr>
        <w:softHyphen/>
        <w:t>ženích, posilováním vnitřní misie překvapili dnes nekato</w:t>
      </w:r>
      <w:r>
        <w:rPr>
          <w:b/>
          <w:bCs/>
        </w:rPr>
        <w:softHyphen/>
        <w:t>lickou nebo ihostejně-katoíickou část národa. Tento pře</w:t>
      </w:r>
      <w:r>
        <w:rPr>
          <w:b/>
          <w:bCs/>
        </w:rPr>
        <w:softHyphen/>
        <w:t>lom, dlouho připr</w:t>
      </w:r>
      <w:r>
        <w:rPr>
          <w:b/>
          <w:bCs/>
        </w:rPr>
        <w:t>avovaný, není malou částí české veřej</w:t>
      </w:r>
      <w:r>
        <w:rPr>
          <w:b/>
          <w:bCs/>
        </w:rPr>
        <w:softHyphen/>
        <w:t>nosti dobře stráven a lidé se překvapeně ptají: Kde zůstala husitská tradice? Za povšimnutí však stojí, s jakým pra</w:t>
      </w:r>
      <w:r>
        <w:rPr>
          <w:b/>
          <w:bCs/>
        </w:rPr>
        <w:softHyphen/>
        <w:t>zvláštním klidem byl většinou české veřejnosti tento pře</w:t>
      </w:r>
      <w:r>
        <w:rPr>
          <w:b/>
          <w:bCs/>
        </w:rPr>
        <w:softHyphen/>
        <w:t>lom přijat</w:t>
      </w:r>
    </w:p>
    <w:p w:rsidR="00500724" w:rsidRDefault="00F30FB8">
      <w:pPr>
        <w:pStyle w:val="Zkladntext1"/>
        <w:shd w:val="clear" w:color="auto" w:fill="auto"/>
        <w:tabs>
          <w:tab w:val="left" w:pos="4805"/>
        </w:tabs>
        <w:spacing w:after="120" w:line="204" w:lineRule="auto"/>
        <w:ind w:firstLine="320"/>
        <w:rPr>
          <w:sz w:val="20"/>
          <w:szCs w:val="20"/>
        </w:rPr>
      </w:pPr>
      <w:r>
        <w:rPr>
          <w:b/>
          <w:bCs/>
        </w:rPr>
        <w:t>Vzhledem k tomu, že ke křesťanství</w:t>
      </w:r>
      <w:r>
        <w:rPr>
          <w:b/>
          <w:bCs/>
        </w:rPr>
        <w:t xml:space="preserve"> hlásí se dnes skoro všechny vítězící režimy, bylo by se nám z toho radovati. Vzpomínáme-li si však dobře, je jedna něžná, útlá bylinka, bez níž není křesťanského života, bylinka, která se jmenuje — pokora. »Tichý a pokorný srdcem.* Ze samé radosti nad při</w:t>
      </w:r>
      <w:r>
        <w:rPr>
          <w:b/>
          <w:bCs/>
        </w:rPr>
        <w:t>cházejícím novým společenským křesťanským řádem je dobře si všímati, pokud se ona útlá bylinka někde vy</w:t>
      </w:r>
      <w:r>
        <w:rPr>
          <w:b/>
          <w:bCs/>
        </w:rPr>
        <w:softHyphen/>
        <w:t>skytuje: v projevech vedoucích státníků, v novinách, na schůzích, ve spolcích, v rodinách, v myslích a srdcích jed</w:t>
      </w:r>
      <w:r>
        <w:rPr>
          <w:b/>
          <w:bCs/>
        </w:rPr>
        <w:softHyphen/>
        <w:t>notlivců. Není patrně útěkem ze skute</w:t>
      </w:r>
      <w:r>
        <w:rPr>
          <w:b/>
          <w:bCs/>
        </w:rPr>
        <w:t>čnosti, řekneme-li to, co platilo vždycky: Boj o křesťanství se bojuje v kostelích a basiiikáeh, na tichých a zpívaných mších, na kazatelnách a ve zpovědnicích, tichou, skromnou prací ve školách a shromážděních, v křesťanských rodinách. Je dobře se i zde u</w:t>
      </w:r>
      <w:r>
        <w:rPr>
          <w:b/>
          <w:bCs/>
        </w:rPr>
        <w:t>čiti z minulých chyb.</w:t>
      </w:r>
      <w:r>
        <w:rPr>
          <w:b/>
          <w:bCs/>
        </w:rPr>
        <w:tab/>
      </w:r>
      <w:r>
        <w:rPr>
          <w:i/>
          <w:iCs/>
          <w:sz w:val="20"/>
          <w:szCs w:val="20"/>
        </w:rPr>
        <w:t>T.</w:t>
      </w:r>
    </w:p>
    <w:p w:rsidR="00500724" w:rsidRDefault="00F30FB8">
      <w:pPr>
        <w:pStyle w:val="Zkladntext1"/>
        <w:shd w:val="clear" w:color="auto" w:fill="auto"/>
        <w:spacing w:after="100" w:line="178" w:lineRule="auto"/>
        <w:ind w:firstLine="320"/>
        <w:rPr>
          <w:sz w:val="20"/>
          <w:szCs w:val="20"/>
        </w:rPr>
      </w:pPr>
      <w:r>
        <w:rPr>
          <w:sz w:val="20"/>
          <w:szCs w:val="20"/>
        </w:rPr>
        <w:t>(Pozn. redakce. Projev tento, který nám zasílá muž, mající svou celou životní činností věru právo nazývati se křesťanem, uveřejňujeme mimo jiné také proto, že nám dává příležitost k tomu, nač jsme už dávno pomýšleli: vy- zvati česk</w:t>
      </w:r>
      <w:r>
        <w:rPr>
          <w:sz w:val="20"/>
          <w:szCs w:val="20"/>
        </w:rPr>
        <w:t>é historiky, aby vyložili, co je třeba pokládati za svatováclavskou tradici. Také nám se zdá, že se zde operuie s pojmem, pod kterým jen nemnozí si myslí něco určitého. Snad by to nebyl příliš těžký úkol pro naše děje</w:t>
      </w:r>
      <w:r>
        <w:rPr>
          <w:sz w:val="20"/>
          <w:szCs w:val="20"/>
        </w:rPr>
        <w:softHyphen/>
        <w:t>pisce, říci jednou lidově, co to svato</w:t>
      </w:r>
      <w:r>
        <w:rPr>
          <w:sz w:val="20"/>
          <w:szCs w:val="20"/>
        </w:rPr>
        <w:t>václavská tradice jest.)</w:t>
      </w:r>
    </w:p>
    <w:p w:rsidR="00500724" w:rsidRDefault="00F30FB8">
      <w:pPr>
        <w:pStyle w:val="Nadpis120"/>
        <w:shd w:val="clear" w:color="auto" w:fill="auto"/>
        <w:spacing w:after="40"/>
        <w:ind w:left="0"/>
        <w:jc w:val="center"/>
      </w:pPr>
      <w:bookmarkStart w:id="193" w:name="bookmark192"/>
      <w:r>
        <w:t>Londýňan a válka</w:t>
      </w:r>
      <w:bookmarkEnd w:id="193"/>
    </w:p>
    <w:p w:rsidR="00500724" w:rsidRDefault="00F30FB8">
      <w:pPr>
        <w:pStyle w:val="Zkladntext1"/>
        <w:shd w:val="clear" w:color="auto" w:fill="auto"/>
        <w:spacing w:after="40" w:line="187" w:lineRule="auto"/>
        <w:ind w:firstLine="240"/>
      </w:pPr>
      <w:r>
        <w:rPr>
          <w:b/>
          <w:bCs/>
        </w:rPr>
        <w:t xml:space="preserve">Hnutí </w:t>
      </w:r>
      <w:r>
        <w:rPr>
          <w:b/>
          <w:bCs/>
          <w:lang w:val="en-US" w:eastAsia="en-US" w:bidi="en-US"/>
        </w:rPr>
        <w:t xml:space="preserve">xMass Observation*, </w:t>
      </w:r>
      <w:r>
        <w:rPr>
          <w:b/>
          <w:bCs/>
        </w:rPr>
        <w:t>sloužící soustavnému prozkou mání veřejného mínění v Anglii, poslalo dva týdny po uveřejnění oficiální příručky »pro dobrovolnou službu vo</w:t>
      </w:r>
      <w:r>
        <w:rPr>
          <w:b/>
          <w:bCs/>
        </w:rPr>
        <w:softHyphen/>
        <w:t xml:space="preserve">jenskou v dobách válečných* své spolupracovníky </w:t>
      </w:r>
      <w:r>
        <w:rPr>
          <w:b/>
          <w:bCs/>
        </w:rPr>
        <w:t>po růz</w:t>
      </w:r>
      <w:r>
        <w:rPr>
          <w:b/>
          <w:bCs/>
        </w:rPr>
        <w:softHyphen/>
        <w:t>ných londýnských předměstích. Chodili ode dveří ke dveřím a kladli lidem otázku: Jak smýšlíte o té dobrovolné službě? Musíte vědět, že tento vládní spisek vyšel ve dvaceti mi</w:t>
      </w:r>
      <w:r>
        <w:rPr>
          <w:b/>
          <w:bCs/>
        </w:rPr>
        <w:softHyphen/>
        <w:t>lionech exemplářů, že byl všem domácnostem v Anglii, Skotsku i Walesu dodá</w:t>
      </w:r>
      <w:r>
        <w:rPr>
          <w:b/>
          <w:bCs/>
        </w:rPr>
        <w:t xml:space="preserve">n poštou zdarma a mimo </w:t>
      </w:r>
      <w:r>
        <w:rPr>
          <w:b/>
          <w:bCs/>
          <w:lang w:val="en-US" w:eastAsia="en-US" w:bidi="en-US"/>
        </w:rPr>
        <w:t xml:space="preserve">to </w:t>
      </w:r>
      <w:r>
        <w:rPr>
          <w:b/>
          <w:bCs/>
        </w:rPr>
        <w:t>byl na každé poště k mání pro každého, kdo si jej vyžádali Odpo</w:t>
      </w:r>
      <w:r>
        <w:rPr>
          <w:b/>
          <w:bCs/>
        </w:rPr>
        <w:softHyphen/>
        <w:t>vědi na otázku byly zajímavé:</w:t>
      </w:r>
    </w:p>
    <w:p w:rsidR="00500724" w:rsidRDefault="00F30FB8">
      <w:pPr>
        <w:pStyle w:val="Zkladntext1"/>
        <w:shd w:val="clear" w:color="auto" w:fill="auto"/>
        <w:spacing w:after="40" w:line="187" w:lineRule="auto"/>
        <w:ind w:firstLine="240"/>
      </w:pPr>
      <w:r>
        <w:rPr>
          <w:b/>
          <w:bCs/>
        </w:rPr>
        <w:t>V ji ž ní m okresu, kde bydlí převážně děl</w:t>
      </w:r>
      <w:r>
        <w:rPr>
          <w:b/>
          <w:bCs/>
        </w:rPr>
        <w:softHyphen/>
        <w:t>níci, odpověděla 35ietá dělnická žena: Nečetla jsem to. Můj muž tvrdí, že je to těžko srozumi</w:t>
      </w:r>
      <w:r>
        <w:rPr>
          <w:b/>
          <w:bCs/>
        </w:rPr>
        <w:t xml:space="preserve">telné, ale přihlásil se k protiletecké obranné službě. Pomáhala bych ráda, aby k válce nedošlo, a bude-li tomu národní služba pomáhat, </w:t>
      </w:r>
      <w:r>
        <w:rPr>
          <w:sz w:val="18"/>
          <w:szCs w:val="18"/>
        </w:rPr>
        <w:t xml:space="preserve">přihlásím </w:t>
      </w:r>
      <w:r>
        <w:rPr>
          <w:b/>
          <w:bCs/>
        </w:rPr>
        <w:t>se, abych také něco dělala. Domnívám se, že jsme dosti silní, abychom dovedli uchovat mír.</w:t>
      </w:r>
    </w:p>
    <w:p w:rsidR="00500724" w:rsidRDefault="00F30FB8">
      <w:pPr>
        <w:pStyle w:val="Zkladntext1"/>
        <w:shd w:val="clear" w:color="auto" w:fill="auto"/>
        <w:spacing w:after="40" w:line="185" w:lineRule="auto"/>
        <w:ind w:firstLine="240"/>
      </w:pPr>
      <w:r>
        <w:rPr>
          <w:b/>
          <w:bCs/>
        </w:rPr>
        <w:t>SOIetá dělnická žena</w:t>
      </w:r>
      <w:r>
        <w:rPr>
          <w:b/>
          <w:bCs/>
        </w:rPr>
        <w:t>: Nečetla jsem tu knihu. Nerozumím tomu všemu, ale je na čase, abychom lidu ukázali, že jsme připraveni na všechny možnosti.</w:t>
      </w:r>
    </w:p>
    <w:p w:rsidR="00500724" w:rsidRDefault="00F30FB8">
      <w:pPr>
        <w:pStyle w:val="Zkladntext1"/>
        <w:shd w:val="clear" w:color="auto" w:fill="auto"/>
        <w:spacing w:line="187" w:lineRule="auto"/>
        <w:ind w:firstLine="240"/>
      </w:pPr>
      <w:r>
        <w:rPr>
          <w:b/>
          <w:bCs/>
        </w:rPr>
        <w:t>401etá dělnická žena: Mám to tu někde, ale nečetla jsem to. Budí to ve mně hrůzu. Domníváte se, že dojde k válce? Víle, provdala js</w:t>
      </w:r>
      <w:r>
        <w:rPr>
          <w:b/>
          <w:bCs/>
        </w:rPr>
        <w:t>em se v roce 1917, můj muž byl v roce 1918 zabit a zůstala jsem tu sama s děťátkem. Domnívám se, že nám ta kniha chce ukázat, jak zabránit válce?</w:t>
      </w:r>
    </w:p>
    <w:p w:rsidR="00500724" w:rsidRDefault="00F30FB8">
      <w:pPr>
        <w:pStyle w:val="Zkladntext1"/>
        <w:shd w:val="clear" w:color="auto" w:fill="auto"/>
        <w:spacing w:after="40" w:line="432" w:lineRule="auto"/>
        <w:ind w:right="420" w:firstLine="240"/>
        <w:jc w:val="left"/>
      </w:pPr>
      <w:r>
        <w:rPr>
          <w:b/>
          <w:bCs/>
        </w:rPr>
        <w:t>69’etý dělník: Dostal jsem to, aie nezajímá mne to. ítÓ</w:t>
      </w:r>
    </w:p>
    <w:p w:rsidR="00500724" w:rsidRDefault="00F30FB8">
      <w:pPr>
        <w:pStyle w:val="Zkladntext1"/>
        <w:shd w:val="clear" w:color="auto" w:fill="auto"/>
        <w:spacing w:after="60" w:line="187" w:lineRule="auto"/>
        <w:ind w:firstLine="200"/>
      </w:pPr>
      <w:r>
        <w:rPr>
          <w:b/>
          <w:bCs/>
        </w:rPr>
        <w:t>45Ietá dělnice: Nečetla jsem ji, ale jedna paní povída</w:t>
      </w:r>
      <w:r>
        <w:rPr>
          <w:b/>
          <w:bCs/>
        </w:rPr>
        <w:t>la, že bych se mohla zúčastnit jako ošetřovatelka. Budu se tedy dobrovolné hlásit. Nevím však, na koho se obrátit, vládě nepíši ráda, myslím si, že má svoje starosti a tak nevím, co počít.</w:t>
      </w:r>
    </w:p>
    <w:p w:rsidR="00500724" w:rsidRDefault="00F30FB8">
      <w:pPr>
        <w:pStyle w:val="Zkladntext1"/>
        <w:shd w:val="clear" w:color="auto" w:fill="auto"/>
        <w:spacing w:after="60" w:line="175" w:lineRule="auto"/>
        <w:ind w:firstLine="0"/>
        <w:jc w:val="left"/>
      </w:pPr>
      <w:r>
        <w:rPr>
          <w:b/>
          <w:bCs/>
        </w:rPr>
        <w:t>Z bytů zámožnější střední vrstvy zazněly tyto odpovědi:</w:t>
      </w:r>
    </w:p>
    <w:p w:rsidR="00500724" w:rsidRDefault="00F30FB8">
      <w:pPr>
        <w:pStyle w:val="Zkladntext1"/>
        <w:shd w:val="clear" w:color="auto" w:fill="auto"/>
        <w:spacing w:line="185" w:lineRule="auto"/>
        <w:ind w:firstLine="200"/>
      </w:pPr>
      <w:r>
        <w:rPr>
          <w:b/>
          <w:bCs/>
        </w:rPr>
        <w:t xml:space="preserve">451etá </w:t>
      </w:r>
      <w:r>
        <w:rPr>
          <w:b/>
          <w:bCs/>
        </w:rPr>
        <w:t>žena: Neměla jsem ěas ěíst to. Mám mnoho práce.</w:t>
      </w:r>
    </w:p>
    <w:p w:rsidR="00500724" w:rsidRDefault="00F30FB8">
      <w:pPr>
        <w:pStyle w:val="Zkladntext1"/>
        <w:shd w:val="clear" w:color="auto" w:fill="auto"/>
        <w:spacing w:line="185" w:lineRule="auto"/>
        <w:ind w:firstLine="200"/>
      </w:pPr>
      <w:r>
        <w:rPr>
          <w:b/>
          <w:bCs/>
        </w:rPr>
        <w:t>30Ietý muž: Mám za to, že to je velmi dobrá věc. Na- lezne-li dobrý ohlas, ukáže se, co se dá podniknout na do</w:t>
      </w:r>
      <w:r>
        <w:rPr>
          <w:b/>
          <w:bCs/>
        </w:rPr>
        <w:softHyphen/>
        <w:t>brovolné základně.</w:t>
      </w:r>
    </w:p>
    <w:p w:rsidR="00500724" w:rsidRDefault="00F30FB8">
      <w:pPr>
        <w:pStyle w:val="Zkladntext1"/>
        <w:shd w:val="clear" w:color="auto" w:fill="auto"/>
        <w:spacing w:after="60" w:line="185" w:lineRule="auto"/>
        <w:ind w:firstLine="200"/>
      </w:pPr>
      <w:r>
        <w:rPr>
          <w:b/>
          <w:bCs/>
        </w:rPr>
        <w:t>GQletá žena: Bádá bych se zúčastnila. Ráda bych si s ně</w:t>
      </w:r>
      <w:r>
        <w:rPr>
          <w:b/>
          <w:bCs/>
        </w:rPr>
        <w:softHyphen/>
        <w:t>kým pohovořila. Byla j</w:t>
      </w:r>
      <w:r>
        <w:rPr>
          <w:b/>
          <w:bCs/>
        </w:rPr>
        <w:t>sem sice na radnici, ale byli tam jenom menší úředníci, kteří mi dali jenom formuláře. Já bych však s někým ráda důkladně hovořila.</w:t>
      </w:r>
    </w:p>
    <w:p w:rsidR="00500724" w:rsidRDefault="00F30FB8">
      <w:pPr>
        <w:pStyle w:val="Zkladntext1"/>
        <w:numPr>
          <w:ilvl w:val="0"/>
          <w:numId w:val="21"/>
        </w:numPr>
        <w:shd w:val="clear" w:color="auto" w:fill="auto"/>
        <w:tabs>
          <w:tab w:val="left" w:pos="265"/>
        </w:tabs>
        <w:spacing w:line="187" w:lineRule="auto"/>
        <w:ind w:firstLine="0"/>
      </w:pPr>
      <w:r>
        <w:rPr>
          <w:b/>
          <w:bCs/>
        </w:rPr>
        <w:t>jižním předměstí dělnickém</w:t>
      </w:r>
    </w:p>
    <w:p w:rsidR="00500724" w:rsidRDefault="00F30FB8">
      <w:pPr>
        <w:pStyle w:val="Zkladntext1"/>
        <w:shd w:val="clear" w:color="auto" w:fill="auto"/>
        <w:spacing w:line="185" w:lineRule="auto"/>
        <w:ind w:firstLine="200"/>
      </w:pPr>
      <w:r>
        <w:rPr>
          <w:b/>
          <w:bCs/>
        </w:rPr>
        <w:t>GOletá žena: Nečetla jsem ji ještě.</w:t>
      </w:r>
    </w:p>
    <w:p w:rsidR="00500724" w:rsidRDefault="00F30FB8">
      <w:pPr>
        <w:pStyle w:val="Zkladntext1"/>
        <w:shd w:val="clear" w:color="auto" w:fill="auto"/>
        <w:spacing w:line="185" w:lineRule="auto"/>
        <w:ind w:firstLine="200"/>
      </w:pPr>
      <w:r>
        <w:rPr>
          <w:b/>
          <w:bCs/>
        </w:rPr>
        <w:t>451etý muž: Nečetl jsem ji ještě.</w:t>
      </w:r>
    </w:p>
    <w:p w:rsidR="00500724" w:rsidRDefault="00F30FB8">
      <w:pPr>
        <w:pStyle w:val="Zkladntext1"/>
        <w:shd w:val="clear" w:color="auto" w:fill="auto"/>
        <w:spacing w:line="185" w:lineRule="auto"/>
        <w:ind w:firstLine="200"/>
      </w:pPr>
      <w:r>
        <w:rPr>
          <w:b/>
          <w:bCs/>
        </w:rPr>
        <w:t>Jiný 45Ietý muž: Chcete mne</w:t>
      </w:r>
      <w:r>
        <w:rPr>
          <w:b/>
          <w:bCs/>
        </w:rPr>
        <w:t xml:space="preserve"> uvést do rozpaků, viďte? Jsem v rozpacích. Nedovedu o tom nic říci.</w:t>
      </w:r>
    </w:p>
    <w:p w:rsidR="00500724" w:rsidRDefault="00F30FB8">
      <w:pPr>
        <w:pStyle w:val="Zkladntext1"/>
        <w:shd w:val="clear" w:color="auto" w:fill="auto"/>
        <w:spacing w:line="185" w:lineRule="auto"/>
        <w:ind w:firstLine="200"/>
      </w:pPr>
      <w:r>
        <w:rPr>
          <w:b/>
          <w:bCs/>
        </w:rPr>
        <w:t>601etý muž= Dobré je to pro mladíky. Já už jsem svoje užil. Byl jsem ve válce.</w:t>
      </w:r>
    </w:p>
    <w:p w:rsidR="00500724" w:rsidRDefault="00F30FB8">
      <w:pPr>
        <w:pStyle w:val="Zkladntext1"/>
        <w:shd w:val="clear" w:color="auto" w:fill="auto"/>
        <w:spacing w:line="185" w:lineRule="auto"/>
        <w:ind w:firstLine="200"/>
      </w:pPr>
      <w:r>
        <w:rPr>
          <w:b/>
          <w:bCs/>
        </w:rPr>
        <w:t>65Ietá žena: Nemyslím si o tom nic. Jsem už příliš stará. Je ěas, abych na takové věci zapomněla. Jaký to by</w:t>
      </w:r>
      <w:r>
        <w:rPr>
          <w:b/>
          <w:bCs/>
        </w:rPr>
        <w:t>l po</w:t>
      </w:r>
      <w:r>
        <w:rPr>
          <w:b/>
          <w:bCs/>
        </w:rPr>
        <w:softHyphen/>
        <w:t>plach s maskami, když přišly, a teď už o nich není nic slyšet.</w:t>
      </w:r>
    </w:p>
    <w:p w:rsidR="00500724" w:rsidRDefault="00F30FB8">
      <w:pPr>
        <w:pStyle w:val="Zkladntext1"/>
        <w:shd w:val="clear" w:color="auto" w:fill="auto"/>
        <w:spacing w:line="185" w:lineRule="auto"/>
        <w:ind w:firstLine="200"/>
      </w:pPr>
      <w:r>
        <w:rPr>
          <w:b/>
          <w:bCs/>
        </w:rPr>
        <w:t>SOietý muž: Musím být upřímný: nečetl jsem to pořádně, nezajímá mne to nijak zvlášť. Co mne se týče, radil bych, aby byla zavedena obecná branná povinnost.</w:t>
      </w:r>
    </w:p>
    <w:p w:rsidR="00500724" w:rsidRDefault="00F30FB8">
      <w:pPr>
        <w:pStyle w:val="Zkladntext1"/>
        <w:shd w:val="clear" w:color="auto" w:fill="auto"/>
        <w:spacing w:line="190" w:lineRule="auto"/>
        <w:ind w:firstLine="0"/>
        <w:jc w:val="left"/>
      </w:pPr>
      <w:r>
        <w:rPr>
          <w:b/>
          <w:bCs/>
        </w:rPr>
        <w:t>Ze dveří chudších středních lidí</w:t>
      </w:r>
      <w:r>
        <w:rPr>
          <w:b/>
          <w:bCs/>
        </w:rPr>
        <w:t xml:space="preserve"> zněly odpovědi:</w:t>
      </w:r>
    </w:p>
    <w:p w:rsidR="00500724" w:rsidRDefault="00F30FB8">
      <w:pPr>
        <w:pStyle w:val="Zkladntext1"/>
        <w:shd w:val="clear" w:color="auto" w:fill="auto"/>
        <w:spacing w:line="187" w:lineRule="auto"/>
        <w:ind w:firstLine="200"/>
      </w:pPr>
      <w:r>
        <w:rPr>
          <w:b/>
          <w:bCs/>
        </w:rPr>
        <w:t>251etý muž: Skládám svoji naději v Ježíše Krista a slou</w:t>
      </w:r>
      <w:r>
        <w:rPr>
          <w:b/>
          <w:bCs/>
        </w:rPr>
        <w:softHyphen/>
        <w:t>žím pouze jemu. Nemohu sloužit jinému Pánu.</w:t>
      </w:r>
    </w:p>
    <w:p w:rsidR="00500724" w:rsidRDefault="00F30FB8">
      <w:pPr>
        <w:pStyle w:val="Zkladntext1"/>
        <w:shd w:val="clear" w:color="auto" w:fill="auto"/>
        <w:spacing w:line="187" w:lineRule="auto"/>
        <w:ind w:firstLine="200"/>
      </w:pPr>
      <w:r>
        <w:rPr>
          <w:b/>
          <w:bCs/>
        </w:rPr>
        <w:t>401etý muž: Nezajímá mne to.</w:t>
      </w:r>
    </w:p>
    <w:p w:rsidR="00500724" w:rsidRDefault="00F30FB8">
      <w:pPr>
        <w:pStyle w:val="Zkladntext1"/>
        <w:shd w:val="clear" w:color="auto" w:fill="auto"/>
        <w:spacing w:line="187" w:lineRule="auto"/>
        <w:ind w:firstLine="200"/>
      </w:pPr>
      <w:r>
        <w:rPr>
          <w:b/>
          <w:bCs/>
        </w:rPr>
        <w:t>251etá žena: Zdá se, že to je dobrý nápad. Přečetla jsem to a právě se chystám, že se dobrovolně někam přihlás</w:t>
      </w:r>
      <w:r>
        <w:rPr>
          <w:b/>
          <w:bCs/>
        </w:rPr>
        <w:t>ím.</w:t>
      </w:r>
    </w:p>
    <w:p w:rsidR="00500724" w:rsidRDefault="00F30FB8">
      <w:pPr>
        <w:pStyle w:val="Zkladntext1"/>
        <w:shd w:val="clear" w:color="auto" w:fill="auto"/>
        <w:spacing w:line="187" w:lineRule="auto"/>
        <w:ind w:firstLine="200"/>
      </w:pPr>
      <w:r>
        <w:rPr>
          <w:b/>
          <w:bCs/>
        </w:rPr>
        <w:t>55Ietý muž: Jsem starý voják a vidím, že se ta věc dělá tak špatně, jak jen možno. Je na čase mluvit o jediném: o zavedení obecné branné povinnosti.</w:t>
      </w:r>
    </w:p>
    <w:p w:rsidR="00500724" w:rsidRDefault="00F30FB8">
      <w:pPr>
        <w:pStyle w:val="Zkladntext1"/>
        <w:numPr>
          <w:ilvl w:val="0"/>
          <w:numId w:val="21"/>
        </w:numPr>
        <w:shd w:val="clear" w:color="auto" w:fill="auto"/>
        <w:tabs>
          <w:tab w:val="left" w:pos="265"/>
        </w:tabs>
        <w:spacing w:line="190" w:lineRule="auto"/>
        <w:ind w:firstLine="0"/>
      </w:pPr>
      <w:r>
        <w:rPr>
          <w:b/>
          <w:bCs/>
        </w:rPr>
        <w:t>City, kde jsou ve dne jenom zaměstnanci a chodci:</w:t>
      </w:r>
    </w:p>
    <w:p w:rsidR="00500724" w:rsidRDefault="00F30FB8">
      <w:pPr>
        <w:pStyle w:val="Zkladntext1"/>
        <w:shd w:val="clear" w:color="auto" w:fill="auto"/>
        <w:spacing w:line="190" w:lineRule="auto"/>
        <w:ind w:firstLine="200"/>
      </w:pPr>
      <w:r>
        <w:rPr>
          <w:b/>
          <w:bCs/>
        </w:rPr>
        <w:t xml:space="preserve">401etý zaměstnanec: Byl by to docela slušný plán, </w:t>
      </w:r>
      <w:r>
        <w:rPr>
          <w:b/>
          <w:bCs/>
        </w:rPr>
        <w:t>kdyby byl dobře organisován. Bude-li však dělán tak, jako pro</w:t>
      </w:r>
      <w:r>
        <w:rPr>
          <w:b/>
          <w:bCs/>
        </w:rPr>
        <w:softHyphen/>
        <w:t>tiletecká obrana, bylo by lépe dáti s tím hned pokoj. Ne</w:t>
      </w:r>
      <w:r>
        <w:rPr>
          <w:b/>
          <w:bCs/>
        </w:rPr>
        <w:softHyphen/>
        <w:t xml:space="preserve">potřebujeme žádnou fušku </w:t>
      </w:r>
      <w:r>
        <w:rPr>
          <w:b/>
          <w:bCs/>
          <w:lang w:val="en-US" w:eastAsia="en-US" w:bidi="en-US"/>
        </w:rPr>
        <w:t xml:space="preserve">(muddle). </w:t>
      </w:r>
      <w:r>
        <w:rPr>
          <w:b/>
          <w:bCs/>
        </w:rPr>
        <w:t xml:space="preserve">Chápu vládu, ale proč nezavede obecnou brannou povinnost? Bylo by to pro všechny snazší. Víme, jak to </w:t>
      </w:r>
      <w:r>
        <w:rPr>
          <w:b/>
          <w:bCs/>
        </w:rPr>
        <w:t>s námi stojí.</w:t>
      </w:r>
    </w:p>
    <w:p w:rsidR="00500724" w:rsidRDefault="00F30FB8">
      <w:pPr>
        <w:pStyle w:val="Zkladntext1"/>
        <w:shd w:val="clear" w:color="auto" w:fill="auto"/>
        <w:spacing w:line="190" w:lineRule="auto"/>
        <w:ind w:firstLine="200"/>
      </w:pPr>
      <w:r>
        <w:rPr>
          <w:b/>
          <w:bCs/>
        </w:rPr>
        <w:t>401etý nezaměstnaný: Nečetl jsem tu knihu. To není nic pro našince. Nechápu nic z toho. Je čas, abychom dostali práci a nikoli válku.</w:t>
      </w:r>
    </w:p>
    <w:p w:rsidR="00500724" w:rsidRDefault="00F30FB8">
      <w:pPr>
        <w:pStyle w:val="Zkladntext1"/>
        <w:shd w:val="clear" w:color="auto" w:fill="auto"/>
        <w:spacing w:line="223" w:lineRule="auto"/>
        <w:ind w:firstLine="200"/>
      </w:pPr>
      <w:r>
        <w:rPr>
          <w:b/>
          <w:bCs/>
        </w:rPr>
        <w:t>251etý zaměstnaný: Ano, četl jsem to, ale jsem pacifista a nechci s tím mít nic společného. Je to návod k vr</w:t>
      </w:r>
      <w:r>
        <w:rPr>
          <w:b/>
          <w:bCs/>
        </w:rPr>
        <w:t>aždění. Ve východním předměstí:</w:t>
      </w:r>
    </w:p>
    <w:p w:rsidR="00500724" w:rsidRDefault="00F30FB8">
      <w:pPr>
        <w:pStyle w:val="Zkladntext1"/>
        <w:shd w:val="clear" w:color="auto" w:fill="auto"/>
        <w:spacing w:line="223" w:lineRule="auto"/>
        <w:ind w:firstLine="200"/>
      </w:pPr>
      <w:r>
        <w:rPr>
          <w:b/>
          <w:bCs/>
        </w:rPr>
        <w:t>Majitel obchodu: Myslím, že to je dobrá myšlénka.</w:t>
      </w:r>
    </w:p>
    <w:p w:rsidR="00500724" w:rsidRDefault="00F30FB8">
      <w:pPr>
        <w:pStyle w:val="Zkladntext1"/>
        <w:shd w:val="clear" w:color="auto" w:fill="auto"/>
        <w:spacing w:line="192" w:lineRule="auto"/>
        <w:ind w:firstLine="200"/>
      </w:pPr>
      <w:r>
        <w:rPr>
          <w:b/>
          <w:bCs/>
        </w:rPr>
        <w:t>Starožitnik ve středních letech: Upřímně řečeno jsem to ještě nečetl, ale zdá se, že měla úspěch. Většina mladých lidí hodlá se dát zapsat k pěchotě. Chtějí se však učit řídi</w:t>
      </w:r>
      <w:r>
        <w:rPr>
          <w:b/>
          <w:bCs/>
        </w:rPr>
        <w:t>t vůz.</w:t>
      </w:r>
    </w:p>
    <w:p w:rsidR="00500724" w:rsidRDefault="00F30FB8">
      <w:pPr>
        <w:pStyle w:val="Zkladntext1"/>
        <w:shd w:val="clear" w:color="auto" w:fill="auto"/>
        <w:spacing w:line="192" w:lineRule="auto"/>
        <w:ind w:firstLine="200"/>
      </w:pPr>
      <w:r>
        <w:rPr>
          <w:b/>
          <w:bCs/>
        </w:rPr>
        <w:t>42Ietý inženýr: Jenom jsem spisek prolistoval, ale ne</w:t>
      </w:r>
      <w:r>
        <w:rPr>
          <w:b/>
          <w:bCs/>
        </w:rPr>
        <w:softHyphen/>
        <w:t>rozhodl jsem se ještě. V našem závodě je zaměstnáno 200 mužů a 200 žen, ale nikdo se nehlásil k dobrovolné službě. Nikdo nemá chuť celý den pracovat a po práci chodit do dobrovolného kursu.</w:t>
      </w:r>
    </w:p>
    <w:p w:rsidR="00500724" w:rsidRDefault="00F30FB8">
      <w:pPr>
        <w:pStyle w:val="Jin0"/>
        <w:shd w:val="clear" w:color="auto" w:fill="auto"/>
        <w:spacing w:after="60" w:line="228" w:lineRule="auto"/>
        <w:ind w:firstLine="0"/>
        <w:jc w:val="center"/>
        <w:rPr>
          <w:sz w:val="16"/>
          <w:szCs w:val="16"/>
        </w:rPr>
      </w:pPr>
      <w:r>
        <w:rPr>
          <w:rFonts w:ascii="Arial" w:eastAsia="Arial" w:hAnsi="Arial" w:cs="Arial"/>
          <w:i/>
          <w:iCs/>
          <w:sz w:val="16"/>
          <w:szCs w:val="16"/>
        </w:rPr>
        <w:t>®</w:t>
      </w:r>
    </w:p>
    <w:p w:rsidR="00500724" w:rsidRDefault="00F30FB8">
      <w:pPr>
        <w:pStyle w:val="Zkladntext1"/>
        <w:shd w:val="clear" w:color="auto" w:fill="auto"/>
        <w:spacing w:after="160" w:line="185" w:lineRule="auto"/>
        <w:ind w:firstLine="200"/>
        <w:rPr>
          <w:sz w:val="20"/>
          <w:szCs w:val="20"/>
        </w:rPr>
      </w:pPr>
      <w:r>
        <w:rPr>
          <w:b/>
          <w:bCs/>
        </w:rPr>
        <w:t xml:space="preserve">Bude-li Anglie skutečně pomýšlet na válku, bude asi muset zavést obecnou brannou povinnost. </w:t>
      </w:r>
      <w:r>
        <w:rPr>
          <w:i/>
          <w:iCs/>
          <w:sz w:val="20"/>
          <w:szCs w:val="20"/>
          <w:lang w:val="en-US" w:eastAsia="en-US" w:bidi="en-US"/>
        </w:rPr>
        <w:t xml:space="preserve">J. </w:t>
      </w:r>
      <w:r>
        <w:rPr>
          <w:i/>
          <w:iCs/>
          <w:sz w:val="20"/>
          <w:szCs w:val="20"/>
        </w:rPr>
        <w:t>P. (Londýn)</w:t>
      </w:r>
    </w:p>
    <w:p w:rsidR="00500724" w:rsidRDefault="00F30FB8">
      <w:pPr>
        <w:pStyle w:val="Zkladntext1"/>
        <w:shd w:val="clear" w:color="auto" w:fill="auto"/>
        <w:spacing w:after="100" w:line="187" w:lineRule="auto"/>
        <w:ind w:firstLine="0"/>
        <w:jc w:val="center"/>
      </w:pPr>
      <w:r>
        <w:t>Uíricli</w:t>
      </w:r>
    </w:p>
    <w:p w:rsidR="00500724" w:rsidRDefault="00F30FB8">
      <w:pPr>
        <w:pStyle w:val="Zkladntext1"/>
        <w:shd w:val="clear" w:color="auto" w:fill="auto"/>
        <w:spacing w:line="190" w:lineRule="auto"/>
        <w:ind w:firstLine="200"/>
      </w:pPr>
      <w:r>
        <w:rPr>
          <w:b/>
          <w:bCs/>
        </w:rPr>
        <w:t xml:space="preserve">Nedávno dožil se osmdesáti let bývalý starosta Hradce Králové, dr. František </w:t>
      </w:r>
      <w:r>
        <w:rPr>
          <w:b/>
          <w:bCs/>
          <w:lang w:val="en-US" w:eastAsia="en-US" w:bidi="en-US"/>
        </w:rPr>
        <w:t xml:space="preserve">Ulrich. Fro </w:t>
      </w:r>
      <w:r>
        <w:rPr>
          <w:b/>
          <w:bCs/>
        </w:rPr>
        <w:t>mnohé představa Hradce Králové je nerozlučně spojena</w:t>
      </w:r>
      <w:r>
        <w:rPr>
          <w:b/>
          <w:bCs/>
        </w:rPr>
        <w:t xml:space="preserve"> s představou jeho bývalého starosty Ulricha: věnoval mu více než půl století ze svého života. Život a práce dr. Františka Ulricha ukazuje, jak hlubokou stopu může po sobě zanechati jednotlivec.</w:t>
      </w:r>
    </w:p>
    <w:p w:rsidR="00500724" w:rsidRDefault="00F30FB8">
      <w:pPr>
        <w:pStyle w:val="Zkladntext1"/>
        <w:shd w:val="clear" w:color="auto" w:fill="auto"/>
        <w:spacing w:line="190" w:lineRule="auto"/>
        <w:ind w:firstLine="200"/>
      </w:pPr>
      <w:r>
        <w:rPr>
          <w:b/>
          <w:bCs/>
        </w:rPr>
        <w:t>Jména mnohých politiků zanikla právem i neprávem. Jména, kter</w:t>
      </w:r>
      <w:r>
        <w:rPr>
          <w:b/>
          <w:bCs/>
        </w:rPr>
        <w:t>á jsme v mládí četli, neříkají nic dnešním li</w:t>
      </w:r>
      <w:r>
        <w:rPr>
          <w:b/>
          <w:bCs/>
        </w:rPr>
        <w:softHyphen/>
        <w:t>dem. A naopak: jsou jména, jichž závažnost roste teprve s odstupem času. Dlouho jméno Hradec Králové</w:t>
      </w:r>
      <w:r>
        <w:rPr>
          <w:b/>
          <w:bCs/>
        </w:rPr>
        <w:br w:type="page"/>
        <w:t>bude vyvolávat jméno jiné: Ulrleh, i pro ty, kteří ne</w:t>
      </w:r>
      <w:r>
        <w:rPr>
          <w:b/>
          <w:bCs/>
        </w:rPr>
        <w:softHyphen/>
        <w:t>mají vztahu k Hradci Králové.</w:t>
      </w:r>
    </w:p>
    <w:p w:rsidR="00500724" w:rsidRDefault="00F30FB8">
      <w:pPr>
        <w:pStyle w:val="Zkladntext1"/>
        <w:shd w:val="clear" w:color="auto" w:fill="auto"/>
        <w:tabs>
          <w:tab w:val="left" w:pos="4512"/>
        </w:tabs>
        <w:spacing w:after="180" w:line="209" w:lineRule="auto"/>
        <w:rPr>
          <w:sz w:val="20"/>
          <w:szCs w:val="20"/>
        </w:rPr>
      </w:pPr>
      <w:r>
        <w:rPr>
          <w:b/>
          <w:bCs/>
        </w:rPr>
        <w:t>A je tu dán i příklad pro</w:t>
      </w:r>
      <w:r>
        <w:rPr>
          <w:b/>
          <w:bCs/>
        </w:rPr>
        <w:t xml:space="preserve"> jiné. Je to viditelný důkaz, co lze vykonati v komunální politice. Jsou známa slova, že obec je základem státu. Ale ne vždy slovo se na</w:t>
      </w:r>
      <w:r>
        <w:rPr>
          <w:b/>
          <w:bCs/>
        </w:rPr>
        <w:softHyphen/>
        <w:t xml:space="preserve">plnilo Činem. </w:t>
      </w:r>
      <w:r>
        <w:rPr>
          <w:b/>
          <w:bCs/>
          <w:lang w:val="en-US" w:eastAsia="en-US" w:bidi="en-US"/>
        </w:rPr>
        <w:t xml:space="preserve">Ulrich </w:t>
      </w:r>
      <w:r>
        <w:rPr>
          <w:b/>
          <w:bCs/>
        </w:rPr>
        <w:t>ukázal, jak se dají tato slova proměnit V čin. A v tom přerůstá jeho význam zdi Hradce Králové i o</w:t>
      </w:r>
      <w:r>
        <w:rPr>
          <w:b/>
          <w:bCs/>
        </w:rPr>
        <w:t xml:space="preserve">blast nejvýchodnějších Čech, kde </w:t>
      </w:r>
      <w:r>
        <w:rPr>
          <w:b/>
          <w:bCs/>
          <w:lang w:val="en-US" w:eastAsia="en-US" w:bidi="en-US"/>
        </w:rPr>
        <w:t xml:space="preserve">Ulrich </w:t>
      </w:r>
      <w:r>
        <w:rPr>
          <w:b/>
          <w:bCs/>
        </w:rPr>
        <w:t>ukázal pravou sílu regionalis</w:t>
      </w:r>
      <w:r>
        <w:rPr>
          <w:b/>
          <w:bCs/>
          <w:u w:val="single"/>
        </w:rPr>
        <w:t>mu</w:t>
      </w:r>
      <w:r>
        <w:rPr>
          <w:b/>
          <w:bCs/>
        </w:rPr>
        <w:t xml:space="preserve"> v době, kdy slovo regionalismus bylo ještě docela cizí.</w:t>
      </w:r>
      <w:r>
        <w:rPr>
          <w:b/>
          <w:bCs/>
        </w:rPr>
        <w:tab/>
      </w:r>
      <w:r>
        <w:rPr>
          <w:i/>
          <w:iCs/>
          <w:sz w:val="20"/>
          <w:szCs w:val="20"/>
        </w:rPr>
        <w:t>V. G.</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politika</w:t>
      </w:r>
    </w:p>
    <w:p w:rsidR="00500724" w:rsidRDefault="00F30FB8">
      <w:pPr>
        <w:pStyle w:val="Zkladntext1"/>
        <w:shd w:val="clear" w:color="auto" w:fill="auto"/>
        <w:spacing w:after="40" w:line="221" w:lineRule="auto"/>
        <w:ind w:firstLine="0"/>
        <w:rPr>
          <w:sz w:val="20"/>
          <w:szCs w:val="20"/>
        </w:rPr>
      </w:pPr>
      <w:r>
        <w:rPr>
          <w:i/>
          <w:iCs/>
          <w:sz w:val="20"/>
          <w:szCs w:val="20"/>
        </w:rPr>
        <w:t>Zdeněk Smetáček:</w:t>
      </w:r>
    </w:p>
    <w:p w:rsidR="00500724" w:rsidRDefault="00F30FB8">
      <w:pPr>
        <w:pStyle w:val="Nadpis100"/>
        <w:shd w:val="clear" w:color="auto" w:fill="auto"/>
        <w:spacing w:line="240" w:lineRule="auto"/>
        <w:ind w:left="340"/>
        <w:jc w:val="left"/>
      </w:pPr>
      <w:bookmarkStart w:id="194" w:name="bookmark193"/>
      <w:r>
        <w:t>Jak se o nás píše v Německu</w:t>
      </w:r>
      <w:bookmarkEnd w:id="194"/>
    </w:p>
    <w:p w:rsidR="00500724" w:rsidRDefault="00F30FB8">
      <w:pPr>
        <w:pStyle w:val="Zkladntext1"/>
        <w:shd w:val="clear" w:color="auto" w:fill="auto"/>
        <w:spacing w:line="233" w:lineRule="auto"/>
      </w:pPr>
      <w:r>
        <w:t xml:space="preserve">Rubrika o česko-slovenských věcech není dnes už v německých listech tak obsáhlá. Po podzimní kampani zájem zase trochu utuchl a listy se z největší části omezují na běžné zpravodajství </w:t>
      </w:r>
      <w:r>
        <w:rPr>
          <w:b/>
          <w:bCs/>
        </w:rPr>
        <w:t xml:space="preserve">a </w:t>
      </w:r>
      <w:r>
        <w:t>na příležitostné komentáře. Málo se v německých novinách píše o na</w:t>
      </w:r>
      <w:r>
        <w:softHyphen/>
        <w:t>ši</w:t>
      </w:r>
      <w:r>
        <w:t>ch věcech kulturních, a pokud se píše, bere se to s hlediska politického, takže estetická a jiná hodnotící měřítka přijdou zkrátka. Nenašel jsem v poslední době nic o českém výtvarnic,tví. V jednom nedávném článku je stručný posudek o české hudbě, ale niko</w:t>
      </w:r>
      <w:r>
        <w:t xml:space="preserve">li o soudobé. Starší naše hudba v posuzovatelových očích obstála, protože na Smetanu měl vliv </w:t>
      </w:r>
      <w:r>
        <w:rPr>
          <w:lang w:val="en-US" w:eastAsia="en-US" w:bidi="en-US"/>
        </w:rPr>
        <w:t xml:space="preserve">Wagner! </w:t>
      </w:r>
      <w:r>
        <w:rPr>
          <w:b/>
          <w:bCs/>
        </w:rPr>
        <w:t xml:space="preserve">A </w:t>
      </w:r>
      <w:r>
        <w:t>tak dále. Kdybychom chtěli klasifikovat, mohli bychom říci, že němečtí novináři se o nás mimo běžnou politiku zajímají jen v ohledu dějepisném, zeměpisn</w:t>
      </w:r>
      <w:r>
        <w:t>ém a hospo</w:t>
      </w:r>
      <w:r>
        <w:softHyphen/>
        <w:t>dářském. Musíme mít ovšem na paměti, že je to dějepis, zeměpis i hospodářství nacionálně socialistické.</w:t>
      </w:r>
    </w:p>
    <w:p w:rsidR="00500724" w:rsidRDefault="00F30FB8">
      <w:pPr>
        <w:pStyle w:val="Zkladntext1"/>
        <w:shd w:val="clear" w:color="auto" w:fill="auto"/>
        <w:spacing w:after="100" w:line="233" w:lineRule="auto"/>
      </w:pPr>
      <w:r>
        <w:t>Není to tedy takové, jak bychom si přáli. Snad bychom v zájmu nestrannosti jen měli dodat, že my na tom snad nejsme, pokud jde o věcnou znalo</w:t>
      </w:r>
      <w:r>
        <w:t>st soudobého Německa, o mnoho lépe.</w:t>
      </w:r>
    </w:p>
    <w:p w:rsidR="00500724" w:rsidRDefault="00F30FB8">
      <w:pPr>
        <w:pStyle w:val="Zkladntext1"/>
        <w:shd w:val="clear" w:color="auto" w:fill="auto"/>
        <w:spacing w:after="40" w:line="233" w:lineRule="auto"/>
        <w:ind w:firstLine="0"/>
        <w:jc w:val="center"/>
      </w:pPr>
      <w:r>
        <w:t>&gt;Německá kulturní půda*</w:t>
      </w:r>
    </w:p>
    <w:p w:rsidR="00500724" w:rsidRDefault="00F30FB8">
      <w:pPr>
        <w:pStyle w:val="Zkladntext1"/>
        <w:shd w:val="clear" w:color="auto" w:fill="auto"/>
        <w:spacing w:after="40" w:line="233" w:lineRule="auto"/>
      </w:pPr>
      <w:r>
        <w:t>Nejtypičtější a nejčastější tvrzení, s nímž se v ně</w:t>
      </w:r>
      <w:r>
        <w:softHyphen/>
        <w:t>meckém tisku v rozmanitých obměnách potkáváme, zni, že Cechy a Morava patří do německé sféry. Obyčejně se to podává ve smyslu kulturním a hospod</w:t>
      </w:r>
      <w:r>
        <w:t>ářském, Říká se, že Cechy s Moravou jsou &gt;stará německá kul</w:t>
      </w:r>
      <w:r>
        <w:softHyphen/>
        <w:t>turní půda* anebo součást »německého hospodářského prostoru^. V prvním případě se argumentuje vesměs hi</w:t>
      </w:r>
      <w:r>
        <w:softHyphen/>
        <w:t>storicky — zmíníme se o tem hned podrobněji — v dru</w:t>
      </w:r>
      <w:r>
        <w:softHyphen/>
        <w:t xml:space="preserve">hém se ukazuje hlavně na to, že Německo </w:t>
      </w:r>
      <w:r>
        <w:t>je náš nej</w:t>
      </w:r>
      <w:r>
        <w:softHyphen/>
        <w:t>větší odběratel.</w:t>
      </w:r>
    </w:p>
    <w:p w:rsidR="00500724" w:rsidRDefault="00F30FB8">
      <w:pPr>
        <w:pStyle w:val="Zkladntext1"/>
        <w:shd w:val="clear" w:color="auto" w:fill="auto"/>
        <w:spacing w:after="40" w:line="233" w:lineRule="auto"/>
      </w:pPr>
      <w:r>
        <w:t>Pokud jde o tu historii, zaujímá v ní největší místo středověk. Je to nápadné při jinak naprosto nehisto</w:t>
      </w:r>
      <w:r>
        <w:softHyphen/>
        <w:t>rické, ale naopak biologické, antropologické a národo</w:t>
      </w:r>
      <w:r>
        <w:softHyphen/>
        <w:t>pisné povaze nacionálního socialismu. Vydatným pod</w:t>
      </w:r>
      <w:r>
        <w:softHyphen/>
        <w:t xml:space="preserve">nětem k </w:t>
      </w:r>
      <w:r>
        <w:t>historisování bylo německému tisku na příklad zahájení přednášek na německé universitě v Praze. Podle německého názoru je to první německá universita vůbec, protože byla založena římsko-německým císařem Karlem IV. Celkem nejvěcněji psala uNational-Zeitungc</w:t>
      </w:r>
    </w:p>
    <w:p w:rsidR="00500724" w:rsidRDefault="00F30FB8">
      <w:pPr>
        <w:pStyle w:val="Zkladntext1"/>
        <w:shd w:val="clear" w:color="auto" w:fill="auto"/>
        <w:spacing w:after="40" w:line="199" w:lineRule="auto"/>
        <w:rPr>
          <w:sz w:val="20"/>
          <w:szCs w:val="20"/>
        </w:rPr>
      </w:pPr>
      <w:r>
        <w:rPr>
          <w:sz w:val="20"/>
          <w:szCs w:val="20"/>
        </w:rPr>
        <w:t>»Praha měla již po dvě stě let německou kulturní tvář, když byla Karlem IV. povýšena na hlavní město říše. Karel IV., který chtěl vybudovat velký německý stát v stře</w:t>
      </w:r>
      <w:r>
        <w:rPr>
          <w:sz w:val="20"/>
          <w:szCs w:val="20"/>
        </w:rPr>
        <w:softHyphen/>
        <w:t>doevropském pásmu, založil Carolinum, první německou universitu. Byly později spory o to,</w:t>
      </w:r>
      <w:r>
        <w:rPr>
          <w:sz w:val="20"/>
          <w:szCs w:val="20"/>
        </w:rPr>
        <w:t xml:space="preserve"> zdali Karel IV. založil universitu jako král český nebo římský... Nelze však otřásti základní skutečností, že Karel IV. vytvořil tuto universitu, aby učinil svou říši nezávislou na vědě </w:t>
      </w:r>
      <w:r>
        <w:rPr>
          <w:b/>
          <w:bCs/>
          <w:sz w:val="20"/>
          <w:szCs w:val="20"/>
        </w:rPr>
        <w:t xml:space="preserve">v </w:t>
      </w:r>
      <w:r>
        <w:rPr>
          <w:sz w:val="20"/>
          <w:szCs w:val="20"/>
        </w:rPr>
        <w:t>cizině</w:t>
      </w:r>
    </w:p>
    <w:p w:rsidR="00500724" w:rsidRDefault="00F30FB8">
      <w:pPr>
        <w:pStyle w:val="Zkladntext1"/>
        <w:shd w:val="clear" w:color="auto" w:fill="auto"/>
        <w:spacing w:line="197" w:lineRule="auto"/>
        <w:ind w:firstLine="140"/>
        <w:rPr>
          <w:sz w:val="20"/>
          <w:szCs w:val="20"/>
        </w:rPr>
      </w:pPr>
      <w:r>
        <w:rPr>
          <w:sz w:val="20"/>
          <w:szCs w:val="20"/>
        </w:rPr>
        <w:t>a aby v neposlední řadě umožnil úředníkům výchovu doma. Vnější vzor byl ovšem přijat z Paříže. Ze čtyř národností česká byla nejslabší, činila jen šestinu posluchačstva. Universita měla tedy vysloveně německý ráz, byť se i přednášelo latinsky... Po dekretu</w:t>
      </w:r>
      <w:r>
        <w:rPr>
          <w:sz w:val="20"/>
          <w:szCs w:val="20"/>
        </w:rPr>
        <w:t xml:space="preserve"> kutnohorském došlo k vystěhování tří »cizích* národností do Lipska. Choroba </w:t>
      </w:r>
      <w:r>
        <w:rPr>
          <w:sz w:val="20"/>
          <w:szCs w:val="20"/>
          <w:lang w:val="en-US" w:eastAsia="en-US" w:bidi="en-US"/>
        </w:rPr>
        <w:t xml:space="preserve">Carolina </w:t>
      </w:r>
      <w:r>
        <w:rPr>
          <w:sz w:val="20"/>
          <w:szCs w:val="20"/>
        </w:rPr>
        <w:t>trvala celou generaci... Josef II. určil němčinu jako jediný vyučovací jazyk, roku 1848 si však Češi zase vybojovali zrovnoprávnění češtiny s němčinou, národnostní</w:t>
      </w:r>
    </w:p>
    <w:p w:rsidR="00500724" w:rsidRDefault="00F30FB8">
      <w:pPr>
        <w:pStyle w:val="Zkladntext1"/>
        <w:shd w:val="clear" w:color="auto" w:fill="auto"/>
        <w:spacing w:line="197" w:lineRule="auto"/>
        <w:ind w:firstLine="0"/>
        <w:rPr>
          <w:sz w:val="20"/>
          <w:szCs w:val="20"/>
        </w:rPr>
      </w:pPr>
      <w:r>
        <w:rPr>
          <w:sz w:val="20"/>
          <w:szCs w:val="20"/>
        </w:rPr>
        <w:t>- třen</w:t>
      </w:r>
      <w:r>
        <w:rPr>
          <w:sz w:val="20"/>
          <w:szCs w:val="20"/>
        </w:rPr>
        <w:t xml:space="preserve">ice však neustaly, až roku 1882 došlo k rozdělení na universitu českou a německou. Pražská vláda určila roku 1920, že české universitě přísluší udržovati tradice starého </w:t>
      </w:r>
      <w:r>
        <w:rPr>
          <w:sz w:val="20"/>
          <w:szCs w:val="20"/>
          <w:lang w:val="en-US" w:eastAsia="en-US" w:bidi="en-US"/>
        </w:rPr>
        <w:t>Carolina</w:t>
      </w:r>
      <w:r>
        <w:rPr>
          <w:sz w:val="20"/>
          <w:szCs w:val="20"/>
        </w:rPr>
        <w:t xml:space="preserve">... Přes to je německá universita pokračovatel- kou tradice </w:t>
      </w:r>
      <w:r>
        <w:rPr>
          <w:sz w:val="20"/>
          <w:szCs w:val="20"/>
          <w:lang w:val="en-US" w:eastAsia="en-US" w:bidi="en-US"/>
        </w:rPr>
        <w:t xml:space="preserve">Carolina. </w:t>
      </w:r>
      <w:r>
        <w:rPr>
          <w:sz w:val="20"/>
          <w:szCs w:val="20"/>
        </w:rPr>
        <w:t>Bude asi</w:t>
      </w:r>
      <w:r>
        <w:rPr>
          <w:sz w:val="20"/>
          <w:szCs w:val="20"/>
        </w:rPr>
        <w:t xml:space="preserve"> otázkou nejbližší budouc</w:t>
      </w:r>
      <w:r>
        <w:rPr>
          <w:sz w:val="20"/>
          <w:szCs w:val="20"/>
        </w:rPr>
        <w:softHyphen/>
        <w:t>nosti, že Česko-Slovensko... obnoví historická práva německé university ...«</w:t>
      </w:r>
    </w:p>
    <w:p w:rsidR="00500724" w:rsidRDefault="00F30FB8">
      <w:pPr>
        <w:pStyle w:val="Zkladntext1"/>
        <w:shd w:val="clear" w:color="auto" w:fill="auto"/>
        <w:spacing w:line="233" w:lineRule="auto"/>
        <w:ind w:firstLine="320"/>
      </w:pPr>
      <w:r>
        <w:t>Vůbec je doba Karla IV. německým novinářům nej</w:t>
      </w:r>
      <w:r>
        <w:softHyphen/>
        <w:t>užívanějším příkladem pro dokazování these, že kdykoli byly Čechy co nejtěsněji spojeny s Německem, těšily</w:t>
      </w:r>
      <w:r>
        <w:t xml:space="preserve"> se největšímu rozkvětu kulturnímu, největší jistotě politické, největšímu blahobytu hospodářskému, nej</w:t>
      </w:r>
      <w:r>
        <w:softHyphen/>
        <w:t>lepšímu veřejnému pořádku a klidu, kdežto kdykoli toto spojení přetrhly, měly z toho jen kulturní rozvrat, poli</w:t>
      </w:r>
      <w:r>
        <w:softHyphen/>
        <w:t xml:space="preserve">tickou zkázu, krveprolití, ničení všech </w:t>
      </w:r>
      <w:r>
        <w:t>hodnot a vůbec jen to nejhorší. Takové černé doby jsou podle německého názoru v českých dějinách dvě: epocha husitská a léta 1918—1938. Někdy německý tisk užívá pro tuto teorii názvu &gt;zákon českého životního prostoru*.</w:t>
      </w:r>
    </w:p>
    <w:p w:rsidR="00500724" w:rsidRDefault="00F30FB8">
      <w:pPr>
        <w:pStyle w:val="Zkladntext1"/>
        <w:shd w:val="clear" w:color="auto" w:fill="auto"/>
        <w:spacing w:line="209" w:lineRule="auto"/>
        <w:ind w:firstLine="320"/>
      </w:pPr>
      <w:r>
        <w:t>Docela důsledně — a nutno říci mechan</w:t>
      </w:r>
      <w:r>
        <w:t>icky — po</w:t>
      </w:r>
      <w:r>
        <w:softHyphen/>
        <w:t>suzuje pak podle této teorie i nejmodernější zjevy české kultury. A protože moderní česká kultura se skutečně do velké míry odloučila od německých vzorů — což je jen důsledek uplatnění moderní národnostní zásady, kterou jinak nacionální socialism</w:t>
      </w:r>
      <w:r>
        <w:t>us tolik zdůrazňuje — považují ji někteří němečtí žurnalisté namnoze za něco nepřirozeného, nemístného, neorganického a často nás žádají, abychom se jí vzdali. Jinými slovy: žádají ha nás, abychom provedli kulturní revoluci, která by zavrhla aspoň stopades</w:t>
      </w:r>
      <w:r>
        <w:t>át let nepřetržitého kulturního vývoje, čili většinu toho, na čem spočívá dnešní česká osobitost. Nejvíc hodno politování při tom je, že ně</w:t>
      </w:r>
      <w:r>
        <w:softHyphen/>
        <w:t>mečtí novináři, nemajíce dost podrobných znalostí na</w:t>
      </w:r>
      <w:r>
        <w:softHyphen/>
        <w:t>šeho života a Snad ani dost snahy vcítit se do našeho duchovníh</w:t>
      </w:r>
      <w:r>
        <w:t>o světa, vykládají si každý český kulturní čin, který právě nehoví jejich vkusu, jako jakousi dem &gt;n- straci proti němectví a podkládají mu jako motiv ne</w:t>
      </w:r>
      <w:r>
        <w:softHyphen/>
        <w:t xml:space="preserve">návist k Němcům. Chodíme se učit do Paříže a do Moskvy — tak nějak se na to dívají, nepozorujíce, jak </w:t>
      </w:r>
      <w:r>
        <w:t>při tom vycházejí z absurdního názoru, že moderní české umění je vlastně celé založeno na nenávisti. íako by se na nenávisti dalo něco kladného a velkého vůbec postavit! Uveďme na příklad »Berlir?r Tageidatt*</w:t>
      </w:r>
    </w:p>
    <w:p w:rsidR="00500724" w:rsidRDefault="00F30FB8">
      <w:pPr>
        <w:pStyle w:val="Zkladntext1"/>
        <w:shd w:val="clear" w:color="auto" w:fill="auto"/>
        <w:spacing w:line="178" w:lineRule="auto"/>
        <w:ind w:firstLine="320"/>
        <w:rPr>
          <w:sz w:val="20"/>
          <w:szCs w:val="20"/>
        </w:rPr>
      </w:pPr>
      <w:r>
        <w:rPr>
          <w:sz w:val="20"/>
          <w:szCs w:val="20"/>
        </w:rPr>
        <w:t>»Je známo, že již staří češti králové povolával</w:t>
      </w:r>
      <w:r>
        <w:rPr>
          <w:sz w:val="20"/>
          <w:szCs w:val="20"/>
        </w:rPr>
        <w:t>i do země Němce jako prostředkovatele německé kultury. Všechna česká města vděčí za svůj vznik Němcům, jen Tábor je českého původu, ale právě Tábor ukazuje, že tu nebylo dáno východisko pro svérázný vývoj. V městech bylo do</w:t>
      </w:r>
      <w:r>
        <w:rPr>
          <w:sz w:val="20"/>
          <w:szCs w:val="20"/>
        </w:rPr>
        <w:softHyphen/>
        <w:t>saženo vzorného řešeni, jež tepr</w:t>
      </w:r>
      <w:r>
        <w:rPr>
          <w:sz w:val="20"/>
          <w:szCs w:val="20"/>
        </w:rPr>
        <w:t>ve v nejnovější době na</w:t>
      </w:r>
      <w:r>
        <w:rPr>
          <w:sz w:val="20"/>
          <w:szCs w:val="20"/>
        </w:rPr>
        <w:softHyphen/>
        <w:t>podobením moskevské bezduchovosti dostalo trhlinu, na příklad v Mělníku, kde na jedné straně bylo odstraněno loubí, nebo v Bratislavě, kde zbožná gotika Františkánské</w:t>
      </w:r>
      <w:r>
        <w:rPr>
          <w:sz w:val="20"/>
          <w:szCs w:val="20"/>
        </w:rPr>
        <w:softHyphen/>
        <w:t>ho náměstí byla rozdrcena nápadnou novostavbou, a no- sléze v Pra</w:t>
      </w:r>
      <w:r>
        <w:rPr>
          <w:sz w:val="20"/>
          <w:szCs w:val="20"/>
        </w:rPr>
        <w:t>ze. Nejhoroucnějším přáním každého kulturního bolševika bylo vžiti tomuto městu jeho věčně německý ráz. Barokní kostely a paláce nebyly sice bořeny, ale byly k nim stavěny protějšky, jako Památník osvobození nebo Všeobecný pensijní ústav.«</w:t>
      </w:r>
    </w:p>
    <w:p w:rsidR="00500724" w:rsidRDefault="00F30FB8">
      <w:pPr>
        <w:pStyle w:val="Zkladntext1"/>
        <w:shd w:val="clear" w:color="auto" w:fill="auto"/>
        <w:spacing w:line="178" w:lineRule="auto"/>
        <w:ind w:firstLine="320"/>
        <w:rPr>
          <w:sz w:val="20"/>
          <w:szCs w:val="20"/>
        </w:rPr>
      </w:pPr>
      <w:r>
        <w:rPr>
          <w:noProof/>
        </w:rPr>
        <mc:AlternateContent>
          <mc:Choice Requires="wps">
            <w:drawing>
              <wp:anchor distT="38100" distB="254000" distL="114300" distR="114300" simplePos="0" relativeHeight="125829558" behindDoc="0" locked="0" layoutInCell="1" allowOverlap="1">
                <wp:simplePos x="0" y="0"/>
                <wp:positionH relativeFrom="page">
                  <wp:posOffset>6789420</wp:posOffset>
                </wp:positionH>
                <wp:positionV relativeFrom="margin">
                  <wp:posOffset>9122410</wp:posOffset>
                </wp:positionV>
                <wp:extent cx="182880" cy="164465"/>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182880" cy="164465"/>
                        </a:xfrm>
                        <a:prstGeom prst="rect">
                          <a:avLst/>
                        </a:prstGeom>
                        <a:noFill/>
                      </wps:spPr>
                      <wps:txbx>
                        <w:txbxContent>
                          <w:p w:rsidR="00500724" w:rsidRDefault="00F30FB8">
                            <w:pPr>
                              <w:pStyle w:val="Zkladntext1"/>
                              <w:shd w:val="clear" w:color="auto" w:fill="auto"/>
                              <w:ind w:firstLine="0"/>
                              <w:jc w:val="left"/>
                            </w:pPr>
                            <w:r>
                              <w:rPr>
                                <w:i/>
                                <w:iCs/>
                              </w:rPr>
                              <w:t>U2</w:t>
                            </w:r>
                          </w:p>
                        </w:txbxContent>
                      </wps:txbx>
                      <wps:bodyPr lIns="0" tIns="0" rIns="0" bIns="0">
                        <a:spAutoFit/>
                      </wps:bodyPr>
                    </wps:wsp>
                  </a:graphicData>
                </a:graphic>
              </wp:anchor>
            </w:drawing>
          </mc:Choice>
          <mc:Fallback>
            <w:pict>
              <v:shape id="_x0000_s1207" type="#_x0000_t202" style="position:absolute;margin-left:534.60000000000002pt;margin-top:718.29999999999995pt;width:14.4pt;height:12.949999999999999pt;z-index:-125829195;mso-wrap-distance-left:9.pt;mso-wrap-distance-top:3.pt;mso-wrap-distance-right: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U2</w:t>
                      </w:r>
                    </w:p>
                  </w:txbxContent>
                </v:textbox>
                <w10:wrap type="topAndBottom" anchorx="page" anchory="margin"/>
              </v:shape>
            </w:pict>
          </mc:Fallback>
        </mc:AlternateContent>
      </w:r>
      <w:r>
        <w:rPr>
          <w:sz w:val="20"/>
          <w:szCs w:val="20"/>
        </w:rPr>
        <w:t>»Přijímání</w:t>
      </w:r>
      <w:r>
        <w:rPr>
          <w:sz w:val="20"/>
          <w:szCs w:val="20"/>
        </w:rPr>
        <w:t xml:space="preserve"> německé kultury bylo vždy s prospěchem pro Slovany Čech, Moravy a Slovenska. Když po válce pánové Beneš a spol. v ideologii nenávisti roztrhali ná</w:t>
      </w:r>
      <w:r>
        <w:rPr>
          <w:sz w:val="20"/>
          <w:szCs w:val="20"/>
        </w:rPr>
        <w:softHyphen/>
        <w:t>silně toto tradiční pouto a Moskva se měla stát trumfem, ukázalo se záhy, že náhražka nemohla poskytnout toh</w:t>
      </w:r>
      <w:r>
        <w:rPr>
          <w:sz w:val="20"/>
          <w:szCs w:val="20"/>
        </w:rPr>
        <w:t>o nejmenšího. A snahy o náhražku náhražky ze západu skon</w:t>
      </w:r>
      <w:r>
        <w:rPr>
          <w:sz w:val="20"/>
          <w:szCs w:val="20"/>
        </w:rPr>
        <w:softHyphen/>
        <w:t>čily rovněž se stoprocentním neúspěchem...«</w:t>
      </w:r>
    </w:p>
    <w:p w:rsidR="00500724" w:rsidRDefault="00F30FB8">
      <w:pPr>
        <w:pStyle w:val="Zkladntext40"/>
        <w:shd w:val="clear" w:color="auto" w:fill="auto"/>
        <w:spacing w:line="240" w:lineRule="auto"/>
        <w:jc w:val="center"/>
        <w:rPr>
          <w:sz w:val="14"/>
          <w:szCs w:val="14"/>
        </w:rPr>
      </w:pPr>
      <w:r>
        <w:rPr>
          <w:b/>
          <w:bCs/>
          <w:sz w:val="14"/>
          <w:szCs w:val="14"/>
        </w:rPr>
        <w:t>Proti Palackému a Masarykovi</w:t>
      </w:r>
    </w:p>
    <w:p w:rsidR="00500724" w:rsidRDefault="00F30FB8">
      <w:pPr>
        <w:pStyle w:val="Zkladntext1"/>
        <w:shd w:val="clear" w:color="auto" w:fill="auto"/>
      </w:pPr>
      <w:r>
        <w:t xml:space="preserve">Palackého teorii českých dějin — ona známá slova o ustavičném stýkání a potýkání s římanstvím a ně- mectvím — němečtí </w:t>
      </w:r>
      <w:r>
        <w:t>posuzovatelé ostře odmítají. Nejsou jí ovšem právi, nebof ji chápou tak, jako by byl Pa</w:t>
      </w:r>
      <w:r>
        <w:softHyphen/>
        <w:t xml:space="preserve">lacký hlásal ustavičné nepřátelství, stálý politický a po případě i vojenský boj Čechů proti Němcům. Tento smysl pak dávají i filosofii Masarykově, opírajíce sé hlavně </w:t>
      </w:r>
      <w:r>
        <w:t>o jeho názory na poslání českého národa v po</w:t>
      </w:r>
      <w:r>
        <w:softHyphen/>
        <w:t>válečné Evropě. Zas nepřesně, poněvadž Masaryk nikdy nehlásal boj proti Němcům nebo německému národu, nýbrž jen proti jedné z předválečných politických teorií německých, t. zv. pangermanismu. Tohoto pojmu však n</w:t>
      </w:r>
      <w:r>
        <w:t>ěmečtí publicisté neuznávají, podle nich žádný pangermanismus nebyl. Jinak nutno uznat, že Masa</w:t>
      </w:r>
      <w:r>
        <w:softHyphen/>
        <w:t>rykovo jméno jen zřídka zatahují do běžných polemik a že se jím většinou zabývají jaksi na vyšší, teoretické úrovni.</w:t>
      </w:r>
    </w:p>
    <w:p w:rsidR="00500724" w:rsidRDefault="00F30FB8">
      <w:pPr>
        <w:pStyle w:val="Zkladntext1"/>
        <w:shd w:val="clear" w:color="auto" w:fill="auto"/>
        <w:spacing w:after="60" w:line="233" w:lineRule="auto"/>
      </w:pPr>
      <w:r>
        <w:t>Protože Palackého teorii chápou němečtí nov</w:t>
      </w:r>
      <w:r>
        <w:t>ináři úzce politicky a přímo válečnický, snadno ji ovšem potom vyvracejí, ukazujíce na to, že Němci nepřišli do Čech s mečem, nýbrž s pluhem a že se stávali Čechům kulturními vzory. Palackého teorie je neoprávněná, nebof Němci nejsou nepřátelé, nýbrž kultu</w:t>
      </w:r>
      <w:r>
        <w:t>rní pracov</w:t>
      </w:r>
      <w:r>
        <w:softHyphen/>
        <w:t>níci, tak asi zní argument. Nejšfastnějsí doby českých dějin jsou tedy ty, kdy se Češi takto na Němce dívali a kdy je vítali jako nositele kultury — doba přemyslov</w:t>
      </w:r>
      <w:r>
        <w:softHyphen/>
        <w:t>ská, lucemburská a doba německy orientovaných Habsburků. Naopak zase znamenají do</w:t>
      </w:r>
      <w:r>
        <w:t>by protiněmecké politiky v Čechách obecný úpadek — doby husitské. Palacký a Masaryk chybili, že právě tyto doby po</w:t>
      </w:r>
      <w:r>
        <w:softHyphen/>
        <w:t>važovali za vrchol českých dějin.</w:t>
      </w:r>
    </w:p>
    <w:p w:rsidR="00500724" w:rsidRDefault="00F30FB8">
      <w:pPr>
        <w:pStyle w:val="Zkladntext1"/>
        <w:shd w:val="clear" w:color="auto" w:fill="auto"/>
        <w:spacing w:line="202" w:lineRule="auto"/>
        <w:rPr>
          <w:sz w:val="20"/>
          <w:szCs w:val="20"/>
        </w:rPr>
      </w:pPr>
      <w:r>
        <w:rPr>
          <w:sz w:val="20"/>
          <w:szCs w:val="20"/>
        </w:rPr>
        <w:t xml:space="preserve">^Masaryk sám jednou prohlásil, že historik, který svůj národ nesprávně poučuje o jeho minulosti, vychovává </w:t>
      </w:r>
      <w:r>
        <w:rPr>
          <w:sz w:val="20"/>
          <w:szCs w:val="20"/>
        </w:rPr>
        <w:t>jen zároveň k utopistickému chápání budoucnosti. Je tragikou jeho i jeho národa, že z tohoto poznání nevyvodil důsledky a že nevystoupil také proti české dějinné lži se stejnou silou, jakou vynaložil v boji proti podvrhům rukopis</w:t>
      </w:r>
      <w:r>
        <w:rPr>
          <w:sz w:val="20"/>
          <w:szCs w:val="20"/>
        </w:rPr>
        <w:softHyphen/>
        <w:t>ným ... Ve svém vlastním p</w:t>
      </w:r>
      <w:r>
        <w:rPr>
          <w:sz w:val="20"/>
          <w:szCs w:val="20"/>
        </w:rPr>
        <w:t>odání dějin si osvojil ducha, který vycházel z těchto podvrhů a který našel v dějepis</w:t>
      </w:r>
      <w:r>
        <w:rPr>
          <w:sz w:val="20"/>
          <w:szCs w:val="20"/>
        </w:rPr>
        <w:softHyphen/>
        <w:t>ném dile Palackého svůj pivní projev... Český národ za</w:t>
      </w:r>
      <w:r>
        <w:rPr>
          <w:sz w:val="20"/>
          <w:szCs w:val="20"/>
        </w:rPr>
        <w:softHyphen/>
        <w:t xml:space="preserve">kusil zhroucení své politiky, která spočívá na falešném učení jeho historiků. Svedli jej k protiněmecké politice a </w:t>
      </w:r>
      <w:r>
        <w:rPr>
          <w:sz w:val="20"/>
          <w:szCs w:val="20"/>
        </w:rPr>
        <w:t>tím i s cesty, která vedla k nejšťastnější budoucnosti.</w:t>
      </w:r>
    </w:p>
    <w:p w:rsidR="00500724" w:rsidRDefault="00F30FB8">
      <w:pPr>
        <w:pStyle w:val="Zkladntext1"/>
        <w:shd w:val="clear" w:color="auto" w:fill="auto"/>
        <w:spacing w:after="140" w:line="202" w:lineRule="auto"/>
        <w:rPr>
          <w:sz w:val="20"/>
          <w:szCs w:val="20"/>
        </w:rPr>
      </w:pPr>
      <w:r>
        <w:rPr>
          <w:sz w:val="20"/>
          <w:szCs w:val="20"/>
        </w:rPr>
        <w:t>Až český národ zase pozná, že politika Přemyslovců a nikoli doby husitské vedla k vrcholům jeho dějin a až bude stavět na poznání této skutečnosti, pak bude muset hodnotit svou politickou přítomnost j</w:t>
      </w:r>
      <w:r>
        <w:rPr>
          <w:sz w:val="20"/>
          <w:szCs w:val="20"/>
        </w:rPr>
        <w:t>ako začátek nového vývoje, který jej může vést k lepší budoucnosti. Konec politického systému Masarykova a Benešova rozhodně není neštěstím českého národa.* (Volkischer Beobachter.)</w:t>
      </w:r>
    </w:p>
    <w:p w:rsidR="00500724" w:rsidRDefault="00F30FB8">
      <w:pPr>
        <w:pStyle w:val="Zkladntext1"/>
        <w:shd w:val="clear" w:color="auto" w:fill="auto"/>
        <w:spacing w:after="60" w:line="233" w:lineRule="auto"/>
      </w:pPr>
      <w:r>
        <w:t>^Pohyblivé hranice* a zase — Palacký</w:t>
      </w:r>
    </w:p>
    <w:p w:rsidR="00500724" w:rsidRDefault="00F30FB8">
      <w:pPr>
        <w:pStyle w:val="Zkladntext1"/>
        <w:shd w:val="clear" w:color="auto" w:fill="auto"/>
      </w:pPr>
      <w:r>
        <w:t>K velmi zajímavým názorům na české hr</w:t>
      </w:r>
      <w:r>
        <w:t xml:space="preserve">anice a ještě zajímavějším politickým důsledkům došel Kurt Ober- dorffer v brožuře »Das Sudetenland </w:t>
      </w:r>
      <w:r>
        <w:rPr>
          <w:lang w:val="en-US" w:eastAsia="en-US" w:bidi="en-US"/>
        </w:rPr>
        <w:t xml:space="preserve">in </w:t>
      </w:r>
      <w:r>
        <w:t>der deutschen Geschichte* (Sudetsko v německých dějinách). Podává</w:t>
      </w:r>
      <w:r>
        <w:softHyphen/>
        <w:t>me je podle referátu dr. Franze Lorenze v »Die Zeit«.</w:t>
      </w:r>
    </w:p>
    <w:p w:rsidR="00500724" w:rsidRDefault="00F30FB8">
      <w:pPr>
        <w:pStyle w:val="Zkladntext1"/>
        <w:shd w:val="clear" w:color="auto" w:fill="auto"/>
        <w:spacing w:after="60"/>
        <w:rPr>
          <w:sz w:val="20"/>
          <w:szCs w:val="20"/>
        </w:rPr>
      </w:pPr>
      <w:r>
        <w:t xml:space="preserve">Habsburkové a Češi vychovali prý </w:t>
      </w:r>
      <w:r>
        <w:t>Němce k tomu, aby se dívali na hranice Čech jako na ztrnulé. Ale mezi Německem a Čechami dlouho žádných hranic nebylo, Teprve němečtí sedláci se svým německým právem, jakož i kolonisační práce klášterů vytvořili v sudetském území hranice, které však dlouho</w:t>
      </w:r>
      <w:r>
        <w:t xml:space="preserve"> potom ještě neměly politické povahy. Když byla zlatou bulou Karla IV. v německé říši vytvořena knížecí teritoria, byly hranice české země stále ještě plynulé (fliessend) a teprve za </w:t>
      </w:r>
      <w:r>
        <w:rPr>
          <w:b/>
          <w:bCs/>
          <w:i/>
          <w:iCs/>
          <w:sz w:val="20"/>
          <w:szCs w:val="20"/>
        </w:rPr>
        <w:t>US</w:t>
      </w:r>
    </w:p>
    <w:p w:rsidR="00500724" w:rsidRDefault="00F30FB8">
      <w:pPr>
        <w:pStyle w:val="Zkladntext1"/>
        <w:shd w:val="clear" w:color="auto" w:fill="auto"/>
        <w:spacing w:line="216" w:lineRule="auto"/>
        <w:ind w:firstLine="0"/>
      </w:pPr>
      <w:r>
        <w:t xml:space="preserve">Habsburků se staly politickým dělidlem. Naposledy se </w:t>
      </w:r>
      <w:r>
        <w:rPr>
          <w:b/>
          <w:bCs/>
          <w:sz w:val="14"/>
          <w:szCs w:val="14"/>
        </w:rPr>
        <w:t xml:space="preserve">o </w:t>
      </w:r>
      <w:r>
        <w:t>věci rozhodoval</w:t>
      </w:r>
      <w:r>
        <w:t>o roku 1848, kdy Češi za vedení Palackého odmítli říšskou myšlenku a nešli na sněm do Frankfurtu. Podporovali vývoj Rakouska v dynastic</w:t>
      </w:r>
      <w:r>
        <w:softHyphen/>
        <w:t>ký stát Habsburků a doufali, že tak z Čech vytvoří val proti německé říši. Zlomili tak tradici devíti set let. Ale neupl</w:t>
      </w:r>
      <w:r>
        <w:t>ynulo ani sto let od roku 1848 a tradice se opět proti Palackému a Masarykovi uplatnila. Zase jednou se ukázalo, že nelze beztrestně hřešit proti s&gt;zákonům prostoru*.</w:t>
      </w:r>
    </w:p>
    <w:p w:rsidR="00500724" w:rsidRDefault="00F30FB8">
      <w:pPr>
        <w:pStyle w:val="Zkladntext1"/>
        <w:shd w:val="clear" w:color="auto" w:fill="auto"/>
        <w:spacing w:line="211" w:lineRule="auto"/>
      </w:pPr>
      <w:r>
        <w:t>Podivnou logikou — a to je nejzajímavější — dochází však Oberdorffer k názoru, že oddělen</w:t>
      </w:r>
      <w:r>
        <w:t>í německých krajů od Čech a Moravy obnovilo onu starou zákonitost českého prostoru.</w:t>
      </w:r>
    </w:p>
    <w:p w:rsidR="00500724" w:rsidRDefault="00F30FB8">
      <w:pPr>
        <w:pStyle w:val="Zkladntext1"/>
        <w:shd w:val="clear" w:color="auto" w:fill="auto"/>
        <w:spacing w:line="206" w:lineRule="auto"/>
        <w:rPr>
          <w:sz w:val="22"/>
          <w:szCs w:val="22"/>
        </w:rPr>
      </w:pPr>
      <w:r>
        <w:t>Tyto úvahy rázu historického doplňuje německý tisk zhusta důvody hospodářskými. Téma je vždycky stejné: české hospodářství se nemůže plně rozvinout a rozkvést, než včlení-l</w:t>
      </w:r>
      <w:r>
        <w:t>i se do velkého hospodářského prostoru německého — někdy se také říká středoevrop</w:t>
      </w:r>
      <w:r>
        <w:softHyphen/>
        <w:t>ského. O způsobu tohoto včlenění nejsou, jak se zdá, ještě ustálené představy. Obyčejně se přestává na obec</w:t>
      </w:r>
      <w:r>
        <w:softHyphen/>
        <w:t xml:space="preserve">né zásadě, ačkoli »Volkischer Beobachter* šel už na </w:t>
      </w:r>
      <w:r>
        <w:rPr>
          <w:sz w:val="22"/>
          <w:szCs w:val="22"/>
        </w:rPr>
        <w:t xml:space="preserve">Nový rok dále </w:t>
      </w:r>
      <w:r>
        <w:rPr>
          <w:sz w:val="22"/>
          <w:szCs w:val="22"/>
        </w:rPr>
        <w:t>a napsal:</w:t>
      </w:r>
    </w:p>
    <w:p w:rsidR="00500724" w:rsidRDefault="00F30FB8">
      <w:pPr>
        <w:pStyle w:val="Zkladntext1"/>
        <w:shd w:val="clear" w:color="auto" w:fill="auto"/>
        <w:spacing w:line="175" w:lineRule="auto"/>
        <w:rPr>
          <w:sz w:val="20"/>
          <w:szCs w:val="20"/>
        </w:rPr>
      </w:pPr>
      <w:r>
        <w:rPr>
          <w:sz w:val="20"/>
          <w:szCs w:val="20"/>
        </w:rPr>
        <w:t>^Zmenšené Česko-Slovensko tvoří ještě plně autarkni útvar, nesouvisící nijak s velkoněmeckým hospodářským prostorem. Jeví se snahy o vybudování vzájemného ob</w:t>
      </w:r>
      <w:r>
        <w:rPr>
          <w:sz w:val="20"/>
          <w:szCs w:val="20"/>
        </w:rPr>
        <w:softHyphen/>
        <w:t xml:space="preserve">chodního styku normální obchodně-politickou cestou, tyto snahy však brzy dosáhnou </w:t>
      </w:r>
      <w:r>
        <w:rPr>
          <w:sz w:val="20"/>
          <w:szCs w:val="20"/>
        </w:rPr>
        <w:t>přirozené horní meze. Český průmysl trpí příliš velkým aparátem, který není v pomě» ru k skrovnější odbytové síle zmenšeného hospodářského území. Otázka nezaměstnanosti může býti vyřešena jen tehdy, včleni li se české hospodářství do velkoněmeckého hospodá</w:t>
      </w:r>
      <w:r>
        <w:rPr>
          <w:sz w:val="20"/>
          <w:szCs w:val="20"/>
        </w:rPr>
        <w:t>řského prostoru. Pak by byl český průmysl hned plně zaměstnán.«</w:t>
      </w:r>
    </w:p>
    <w:p w:rsidR="00500724" w:rsidRDefault="00F30FB8">
      <w:pPr>
        <w:pStyle w:val="Zkladntext1"/>
        <w:shd w:val="clear" w:color="auto" w:fill="auto"/>
        <w:spacing w:line="211" w:lineRule="auto"/>
        <w:ind w:firstLine="0"/>
        <w:jc w:val="center"/>
      </w:pPr>
      <w:r>
        <w:t>•</w:t>
      </w:r>
    </w:p>
    <w:p w:rsidR="00500724" w:rsidRDefault="00F30FB8">
      <w:pPr>
        <w:pStyle w:val="Zkladntext1"/>
        <w:shd w:val="clear" w:color="auto" w:fill="auto"/>
        <w:spacing w:line="211" w:lineRule="auto"/>
      </w:pPr>
      <w:r>
        <w:t>Otázka, která napadne českého čtenáře je: Odkud tento velký zájem o středověkou minulost? Vysvětlení je asi toto: předně německá politická publicistika vůbec hodně vzpomíná na první německou</w:t>
      </w:r>
      <w:r>
        <w:t xml:space="preserve"> říši a je nakloněna věřit, že Třetí říše je po některých stránkách její obnovou; a za druhé to vězí, pokud jde o naši zemi, v tom, že autory historisujícíeh úvah jsou většinou sudetští Němci. Skoro celá dnešní německá literatura, týkající se Čech a Čechů,</w:t>
      </w:r>
      <w:r>
        <w:t xml:space="preserve"> pochází od nich. Tím si vy</w:t>
      </w:r>
      <w:r>
        <w:softHyphen/>
        <w:t>světlíme její bojovnost.</w:t>
      </w:r>
    </w:p>
    <w:p w:rsidR="00500724" w:rsidRDefault="00F30FB8">
      <w:pPr>
        <w:pStyle w:val="Zkladntext1"/>
        <w:shd w:val="clear" w:color="auto" w:fill="auto"/>
        <w:spacing w:after="120" w:line="211" w:lineRule="auto"/>
      </w:pPr>
      <w:r>
        <w:t>Německá oficiální politika se hlásí k právu sebeurče</w:t>
      </w:r>
      <w:r>
        <w:softHyphen/>
        <w:t>ní a hájí stanovisko, že Evropa má být uspořádána po</w:t>
      </w:r>
      <w:r>
        <w:softHyphen/>
        <w:t xml:space="preserve">dle národnostního principu tak, aby se její politická mapa přibližně kryla s mapou národnos+ní. </w:t>
      </w:r>
      <w:r>
        <w:t xml:space="preserve">To je něco docela jiného než teorie, které jsme výše uvedli. Je to princip z oboru práva přirozeného a nikoli historického. Je třeba se rozhodnout mezi vzpomínkami na minulost a mezi přítomnou skutečností, mezi stoletím třináctým a dvacátým. Nemůže platit </w:t>
      </w:r>
      <w:r>
        <w:t>pro jeden národ právo hi</w:t>
      </w:r>
      <w:r>
        <w:softHyphen/>
        <w:t>storické a pro ostatní právo přirozené.</w:t>
      </w:r>
    </w:p>
    <w:p w:rsidR="00500724" w:rsidRDefault="00F30FB8">
      <w:pPr>
        <w:pStyle w:val="Zkladntext1"/>
        <w:shd w:val="clear" w:color="auto" w:fill="auto"/>
        <w:spacing w:line="199" w:lineRule="auto"/>
        <w:ind w:firstLine="0"/>
        <w:rPr>
          <w:sz w:val="20"/>
          <w:szCs w:val="20"/>
        </w:rPr>
      </w:pPr>
      <w:r>
        <w:rPr>
          <w:b/>
          <w:bCs/>
          <w:i/>
          <w:iCs/>
          <w:sz w:val="20"/>
          <w:szCs w:val="20"/>
        </w:rPr>
        <w:t>L. Novotný:</w:t>
      </w:r>
    </w:p>
    <w:p w:rsidR="00500724" w:rsidRDefault="00F30FB8">
      <w:pPr>
        <w:pStyle w:val="Nadpis100"/>
        <w:shd w:val="clear" w:color="auto" w:fill="auto"/>
        <w:spacing w:after="0" w:line="240" w:lineRule="auto"/>
      </w:pPr>
      <w:bookmarkStart w:id="195" w:name="bookmark194"/>
      <w:r>
        <w:t>Co se skrývá</w:t>
      </w:r>
      <w:bookmarkEnd w:id="195"/>
    </w:p>
    <w:p w:rsidR="00500724" w:rsidRDefault="00F30FB8">
      <w:pPr>
        <w:pStyle w:val="Nadpis100"/>
        <w:shd w:val="clear" w:color="auto" w:fill="auto"/>
        <w:spacing w:after="0" w:line="218" w:lineRule="auto"/>
        <w:ind w:left="380"/>
        <w:jc w:val="left"/>
      </w:pPr>
      <w:bookmarkStart w:id="196" w:name="bookmark195"/>
      <w:r>
        <w:t>za palestinskou konferencí ?</w:t>
      </w:r>
      <w:bookmarkEnd w:id="196"/>
    </w:p>
    <w:p w:rsidR="00500724" w:rsidRDefault="00F30FB8">
      <w:pPr>
        <w:pStyle w:val="Zkladntext1"/>
        <w:shd w:val="clear" w:color="auto" w:fill="auto"/>
        <w:spacing w:line="211" w:lineRule="auto"/>
      </w:pPr>
      <w:r>
        <w:t xml:space="preserve">Když </w:t>
      </w:r>
      <w:r>
        <w:rPr>
          <w:lang w:val="en-US" w:eastAsia="en-US" w:bidi="en-US"/>
        </w:rPr>
        <w:t xml:space="preserve">Malcolm MacDonald, </w:t>
      </w:r>
      <w:r>
        <w:t xml:space="preserve">syn kdysi váženého vůdce </w:t>
      </w:r>
      <w:r>
        <w:rPr>
          <w:lang w:val="en-US" w:eastAsia="en-US" w:bidi="en-US"/>
        </w:rPr>
        <w:t xml:space="preserve">Labour </w:t>
      </w:r>
      <w:r>
        <w:t>Party, zahajoval tak zvanou palestinskou kon</w:t>
      </w:r>
      <w:r>
        <w:softHyphen/>
        <w:t>ferenci v paláci St. James, musil sd</w:t>
      </w:r>
      <w:r>
        <w:t>ěliti novinářům velmi nemilou věc. Jako státní sekretář pro britské ko</w:t>
      </w:r>
      <w:r>
        <w:softHyphen/>
        <w:t>lonie přiznal, že se zástupci Arabů pod nátlakem pale</w:t>
      </w:r>
      <w:r>
        <w:softHyphen/>
        <w:t>stinských rebelů nechtěli posadit k jednomu stolu se zástupci židů, a mimo to naznačil, že i mezi oběma politickými stranami palest</w:t>
      </w:r>
      <w:r>
        <w:t>inských Arabů vládne velke nepřátelství. Konference, která se měla konat u kulaté</w:t>
      </w:r>
      <w:r>
        <w:softHyphen/>
        <w:t xml:space="preserve">ho stolu, změnila se v porady britské vlády se třemi nepřátelskými teamy. To nebyl slibný začátek, ale </w:t>
      </w:r>
      <w:r>
        <w:rPr>
          <w:lang w:val="en-US" w:eastAsia="en-US" w:bidi="en-US"/>
        </w:rPr>
        <w:t>Mal</w:t>
      </w:r>
      <w:r>
        <w:rPr>
          <w:lang w:val="en-US" w:eastAsia="en-US" w:bidi="en-US"/>
        </w:rPr>
        <w:softHyphen/>
        <w:t xml:space="preserve">colm </w:t>
      </w:r>
      <w:r>
        <w:t>MacĎonald. kterého zlé jazyky nazývají Cham- berlainovým poslí</w:t>
      </w:r>
      <w:r>
        <w:t>čkem, musel při svém úkolu vytrvat.</w:t>
      </w:r>
    </w:p>
    <w:p w:rsidR="00500724" w:rsidRDefault="00F30FB8">
      <w:pPr>
        <w:pStyle w:val="Zkladntext1"/>
        <w:shd w:val="clear" w:color="auto" w:fill="auto"/>
        <w:spacing w:after="60" w:line="211" w:lineRule="auto"/>
        <w:ind w:firstLine="0"/>
      </w:pPr>
      <w:r>
        <w:t>Starý birminghamský obchodník je ještě stále přesvěd</w:t>
      </w:r>
      <w:r>
        <w:softHyphen/>
        <w:t>čen, že v politických záležitostech je osobní styk právě tak výhodný, jako ve věcech obchodních.</w:t>
      </w:r>
    </w:p>
    <w:p w:rsidR="00500724" w:rsidRDefault="00F30FB8">
      <w:pPr>
        <w:pStyle w:val="Zkladntext1"/>
        <w:shd w:val="clear" w:color="auto" w:fill="auto"/>
        <w:spacing w:after="60" w:line="209" w:lineRule="auto"/>
        <w:ind w:firstLine="0"/>
        <w:jc w:val="center"/>
      </w:pPr>
      <w:r>
        <w:t>Sliby z válečné doby už neplatí</w:t>
      </w:r>
    </w:p>
    <w:p w:rsidR="00500724" w:rsidRDefault="00F30FB8">
      <w:pPr>
        <w:pStyle w:val="Zkladntext1"/>
        <w:shd w:val="clear" w:color="auto" w:fill="auto"/>
        <w:spacing w:after="60" w:line="209" w:lineRule="auto"/>
        <w:ind w:firstLine="240"/>
      </w:pPr>
      <w:r>
        <w:t>Starosti s likvidací palestinské otázk</w:t>
      </w:r>
      <w:r>
        <w:t xml:space="preserve">y převzal </w:t>
      </w:r>
      <w:r>
        <w:rPr>
          <w:lang w:val="en-US" w:eastAsia="en-US" w:bidi="en-US"/>
        </w:rPr>
        <w:t>Cham</w:t>
      </w:r>
      <w:r>
        <w:rPr>
          <w:lang w:val="en-US" w:eastAsia="en-US" w:bidi="en-US"/>
        </w:rPr>
        <w:softHyphen/>
        <w:t xml:space="preserve">berlain </w:t>
      </w:r>
      <w:r>
        <w:t>od svých předchůdců. Hned v r. 1914, když se Turecko přidalo k Německu, udělali Angličané z pale</w:t>
      </w:r>
      <w:r>
        <w:softHyphen/>
        <w:t>stinské otázky velký všearabský problém. Nad přísta</w:t>
      </w:r>
      <w:r>
        <w:softHyphen/>
        <w:t>vem Džidda, který tehdy patřil ještě Turecku, objevili se náhle britští letci a zača</w:t>
      </w:r>
      <w:r>
        <w:t>li shazovat letáky, vyzýva</w:t>
      </w:r>
      <w:r>
        <w:softHyphen/>
        <w:t>jící Araby k boji proti Turkům. Letáky slibovaly, že vítězná Velká Britanie zajistí v mírových smlouvách naprostou nezávislost arabského poloostrova a svátých mohamcdánských měst. Anglie nevedla válku jenom zbraněmi, ale i propag</w:t>
      </w:r>
      <w:r>
        <w:t>ačními prostředky, které se v četných koloniálních válkách dobře osvědčily. Tato propaganda mlftvila k jednotlivým kmenům nepřátel</w:t>
      </w:r>
      <w:r>
        <w:softHyphen/>
        <w:t>ských knížat, aby vyvolala nejednotnost. Této taktiky použili Angličané za světové války i vůěi některým evropským národům, a</w:t>
      </w:r>
      <w:r>
        <w:t xml:space="preserve">čkoli se pak za ni stydějí, hledíce rychle napravit všechno, čím se v zápalu boje proti tak zvané korektnosti provinili. V Asii měla tato taktika značné úspěchy. Arabská knížata, stojící k turecké říši v poměru dosti volném, zapletl plukovník </w:t>
      </w:r>
      <w:r>
        <w:rPr>
          <w:lang w:val="en-US" w:eastAsia="en-US" w:bidi="en-US"/>
        </w:rPr>
        <w:t xml:space="preserve">Lawrence </w:t>
      </w:r>
      <w:r>
        <w:t>do g</w:t>
      </w:r>
      <w:r>
        <w:t xml:space="preserve">uerillových bojů proti sultánovi; slíbil jim nezávislost a probudil v nich naděje, že se obnoví velká, světová arabská říše. Když generál </w:t>
      </w:r>
      <w:r>
        <w:rPr>
          <w:lang w:val="en-US" w:eastAsia="en-US" w:bidi="en-US"/>
        </w:rPr>
        <w:t xml:space="preserve">Maude </w:t>
      </w:r>
      <w:r>
        <w:t>vtáhl v r. 1917 pomocí Arabů do Bagdadu, vydal k arabskému světu prokla</w:t>
      </w:r>
      <w:r>
        <w:softHyphen/>
        <w:t>maci, která hlásala: ^Spojené mocnosti d</w:t>
      </w:r>
      <w:r>
        <w:t>oufají, že si arabská rasa vzpomene na svou velikou minulost a spojí se v jednotný celek.c Anglie tedy podnítila rozvoj arabského nacionalismu — ovšem jenom proto, aby v dané chvíli podkopala vojenskou sílu ústředních mocností.</w:t>
      </w:r>
    </w:p>
    <w:p w:rsidR="00500724" w:rsidRDefault="00F30FB8">
      <w:pPr>
        <w:pStyle w:val="Zkladntext40"/>
        <w:shd w:val="clear" w:color="auto" w:fill="auto"/>
        <w:spacing w:line="240" w:lineRule="auto"/>
        <w:jc w:val="center"/>
        <w:rPr>
          <w:sz w:val="14"/>
          <w:szCs w:val="14"/>
        </w:rPr>
      </w:pPr>
      <w:r>
        <w:rPr>
          <w:b/>
          <w:bCs/>
          <w:sz w:val="14"/>
          <w:szCs w:val="14"/>
        </w:rPr>
        <w:t>Přední Asie se probouzí</w:t>
      </w:r>
    </w:p>
    <w:p w:rsidR="00500724" w:rsidRDefault="00F30FB8">
      <w:pPr>
        <w:pStyle w:val="Zkladntext1"/>
        <w:shd w:val="clear" w:color="auto" w:fill="auto"/>
        <w:spacing w:line="209" w:lineRule="auto"/>
        <w:ind w:firstLine="240"/>
      </w:pPr>
      <w:r>
        <w:t>Arabský nacionalismus začal o půl století později, než se probudilo nacionální vědomí malých evropských národů. Pod vlivem evropských nacionalistů začala mluvit o nacionální samosprávě nejdřív mládež v Sýrii. Mluvila jen šeptem, aby ji neslyšela turecká po</w:t>
      </w:r>
      <w:r>
        <w:t>licie. První prohlášení arabských nároků pochází teprve z r. 1905. Proklamace, kterou vydalo několik set mladých intelektuálů, seznámených s evropskými školami a lite</w:t>
      </w:r>
      <w:r>
        <w:softHyphen/>
        <w:t>raturou, pravila: ^Arabové si zas uvědomili svou nacio</w:t>
      </w:r>
      <w:r>
        <w:softHyphen/>
        <w:t>nální, dějinnou a rasovou jednotu.</w:t>
      </w:r>
      <w:r>
        <w:t xml:space="preserve"> Chtějí se odtrhnouti od nahlodaného stromu ctomanské říše, aby se spojili v samostatném státě. Arabská říše bude míti přirozené hranice, sahajíc od údolí Tigridu a Eufratu až </w:t>
      </w:r>
      <w:r>
        <w:rPr>
          <w:b/>
          <w:bCs/>
          <w:sz w:val="20"/>
          <w:szCs w:val="20"/>
        </w:rPr>
        <w:t xml:space="preserve">k </w:t>
      </w:r>
      <w:r>
        <w:t>Suez- skému průplavu a od Středozemního moře až k Omanu.«</w:t>
      </w:r>
    </w:p>
    <w:p w:rsidR="00500724" w:rsidRDefault="00F30FB8">
      <w:pPr>
        <w:pStyle w:val="Zkladntext1"/>
        <w:shd w:val="clear" w:color="auto" w:fill="auto"/>
        <w:spacing w:line="209" w:lineRule="auto"/>
        <w:ind w:firstLine="240"/>
      </w:pPr>
      <w:r>
        <w:t>Tuto proklamaci, kte</w:t>
      </w:r>
      <w:r>
        <w:t>rou vydalo několik set nezná</w:t>
      </w:r>
      <w:r>
        <w:softHyphen/>
        <w:t>mých, mladých Arabů, nevzal v Evropě na vědomost nikdo, vyjímaje příslušné referenty v londýnském mi</w:t>
      </w:r>
      <w:r>
        <w:softHyphen/>
        <w:t>nisterstvu zahraničních věcí. Tam si na ni vzpomněli,</w:t>
      </w:r>
    </w:p>
    <w:p w:rsidR="00500724" w:rsidRDefault="00F30FB8">
      <w:pPr>
        <w:pStyle w:val="Zkladntext1"/>
        <w:shd w:val="clear" w:color="auto" w:fill="auto"/>
        <w:spacing w:line="209" w:lineRule="auto"/>
        <w:ind w:firstLine="0"/>
      </w:pPr>
      <w:r>
        <w:t>, akmile vypukla světová válka. A v osobě tichého anglic</w:t>
      </w:r>
      <w:r>
        <w:softHyphen/>
        <w:t>kého filologa E</w:t>
      </w:r>
      <w:r>
        <w:t xml:space="preserve">. T. </w:t>
      </w:r>
      <w:r>
        <w:rPr>
          <w:lang w:val="en-US" w:eastAsia="en-US" w:bidi="en-US"/>
        </w:rPr>
        <w:t xml:space="preserve">Lawrence </w:t>
      </w:r>
      <w:r>
        <w:t>objevili vhodného muže, cterý měl starou proklamaci změniti v účinný nástroj zritského vedení války.</w:t>
      </w:r>
    </w:p>
    <w:p w:rsidR="00500724" w:rsidRDefault="00F30FB8">
      <w:pPr>
        <w:pStyle w:val="Zkladntext1"/>
        <w:shd w:val="clear" w:color="auto" w:fill="auto"/>
        <w:spacing w:after="60" w:line="209" w:lineRule="auto"/>
        <w:ind w:firstLine="240"/>
      </w:pPr>
      <w:r>
        <w:t>Většinu slibů, které Arabům dali, Angličané opravdu splnili: po světové válce nevznikla sice žádná Velká Arábie, ale zato pět dosti nezávislý</w:t>
      </w:r>
      <w:r>
        <w:t>ch arabských států. Nemohou-li se spojit v jednotný celek, třeba to připsat především nesvornosti jednotlivých vládců a náčelníků. Malá Palestina — celý arabský svět zabírá přes tři mi</w:t>
      </w:r>
      <w:r>
        <w:softHyphen/>
        <w:t>liony čtverečných kilometrů — je právě dokladem, jakou úlohu hrají v ar</w:t>
      </w:r>
      <w:r>
        <w:t>abském světě osobní a rodinné rozpory.</w:t>
      </w:r>
    </w:p>
    <w:p w:rsidR="00500724" w:rsidRDefault="00F30FB8">
      <w:pPr>
        <w:pStyle w:val="Zkladntext1"/>
        <w:shd w:val="clear" w:color="auto" w:fill="auto"/>
        <w:spacing w:after="60" w:line="209" w:lineRule="auto"/>
        <w:ind w:firstLine="0"/>
        <w:jc w:val="center"/>
      </w:pPr>
      <w:r>
        <w:t>Tanec kolem zlatého telete</w:t>
      </w:r>
    </w:p>
    <w:p w:rsidR="00500724" w:rsidRDefault="00F30FB8">
      <w:pPr>
        <w:pStyle w:val="Zkladntext1"/>
        <w:shd w:val="clear" w:color="auto" w:fill="auto"/>
        <w:spacing w:after="60" w:line="209" w:lineRule="auto"/>
        <w:ind w:firstLine="0"/>
      </w:pPr>
      <w:r>
        <w:t>' Pro válku nepotřebovala Velká Britanie jenom vo</w:t>
      </w:r>
      <w:r>
        <w:softHyphen/>
        <w:t>jáky, kteří jsou poměrně levní, nýbrž i peníze. Na začátku a v průběhu války byly peníze ještě volné a nepodléhaly^ žádným vládním omezením.</w:t>
      </w:r>
      <w:r>
        <w:t xml:space="preserve"> Velká část malého a středního kapitálu byla ve všech civilisova- ných zemích v rukou židů. Na myšlenku, využiti židov</w:t>
      </w:r>
      <w:r>
        <w:softHyphen/>
        <w:t>ských peněz a židovské touhy po zaslíbené zemi pro válečné potřeby Velké Britanie, přivedl anglickou vládu londýnský chemik dr. Chajim We</w:t>
      </w:r>
      <w:r>
        <w:t xml:space="preserve">izmann, který britské armádě a civilní správě prokázal svými vynálezy veliké služby. Weizmann byl na rozdíl od asimilantů sionista, to je stoupenec nacionální židovské myšlenky. Britská vláda věděla, s jakou ochotou podporují židé skromné kolonisační akce </w:t>
      </w:r>
      <w:r>
        <w:t>v Palestině, opírající se hlavně o finanční pomoc zámožných amerických židů. Aby využila šekových knížek bohatých židů a současně židovského nadšení na celém světě, chopila se anglická vláda myšlenky dr. Weizmanna. Slíbila židům, že jim vrátí osvobozenou P</w:t>
      </w:r>
      <w:r>
        <w:t xml:space="preserve">alestinu jako národní domov, který před 2000 lety ztratili. Zatím co plukovník </w:t>
      </w:r>
      <w:r>
        <w:rPr>
          <w:lang w:val="en-US" w:eastAsia="en-US" w:bidi="en-US"/>
        </w:rPr>
        <w:t xml:space="preserve">Lawrence </w:t>
      </w:r>
      <w:r>
        <w:t xml:space="preserve">a generál </w:t>
      </w:r>
      <w:r>
        <w:rPr>
          <w:lang w:val="en-US" w:eastAsia="en-US" w:bidi="en-US"/>
        </w:rPr>
        <w:t xml:space="preserve">Maude </w:t>
      </w:r>
      <w:r>
        <w:t xml:space="preserve">slibovali Arabům celou Arábii, slíbil ministerský předseda </w:t>
      </w:r>
      <w:r>
        <w:rPr>
          <w:lang w:val="en-US" w:eastAsia="en-US" w:bidi="en-US"/>
        </w:rPr>
        <w:t xml:space="preserve">Balfour </w:t>
      </w:r>
      <w:r>
        <w:t>židům celou Palestinu, která byla už 1200 let arabskou zemí. Britské sliby vy</w:t>
      </w:r>
      <w:r>
        <w:softHyphen/>
        <w:t>vrcholi</w:t>
      </w:r>
      <w:r>
        <w:t>ly v tak zvané Balfourově deklaraci v r. 1917, která židům dávala nezávislý nacionální domov v Pale</w:t>
      </w:r>
      <w:r>
        <w:softHyphen/>
        <w:t>stině, totiž nezávislý židovský stát s vlastní’ židovskou svrchovaností. Když armáda lorda Allenbyho obsazo</w:t>
      </w:r>
      <w:r>
        <w:softHyphen/>
        <w:t xml:space="preserve">vala v posledním roce války Palestinu, bojovaly </w:t>
      </w:r>
      <w:r>
        <w:t>v ní tři židovské legie: jedna legie palestinských, druhá legie britských a třetí legie amerických židů. Tuto akci podporovaly židovské peníze a vliv z celého světa. Když rada Společnosti národů 24. července 1922 slav</w:t>
      </w:r>
      <w:r>
        <w:softHyphen/>
        <w:t>nostně potvrdila, že podle mírové smlo</w:t>
      </w:r>
      <w:r>
        <w:t>uvy zůstává Palestina britským mandátem, dosáhlo nadšení židů na celém světě vrcholu. Při tom budiž poznamenáno: schůze Rady, která byla doplněna zástupci Spojených Států, konala se tehdy v tomtéž paláci sv. Jakuba, kde dnes zasedá palestinská konference a</w:t>
      </w:r>
      <w:r>
        <w:t xml:space="preserve"> kde se má rozplynout židovský sen.</w:t>
      </w:r>
    </w:p>
    <w:p w:rsidR="00500724" w:rsidRDefault="00F30FB8">
      <w:pPr>
        <w:pStyle w:val="Zkladntext1"/>
        <w:shd w:val="clear" w:color="auto" w:fill="auto"/>
        <w:spacing w:after="60" w:line="211" w:lineRule="auto"/>
        <w:ind w:firstLine="0"/>
        <w:jc w:val="center"/>
      </w:pPr>
      <w:r>
        <w:t>Nemilé následky neupřímnosti</w:t>
      </w:r>
    </w:p>
    <w:p w:rsidR="00500724" w:rsidRDefault="00F30FB8">
      <w:pPr>
        <w:pStyle w:val="Zkladntext1"/>
        <w:shd w:val="clear" w:color="auto" w:fill="auto"/>
        <w:spacing w:line="211" w:lineRule="auto"/>
        <w:ind w:firstLine="240"/>
      </w:pPr>
      <w:r>
        <w:t>Jak mohla Anglie slíbit kůži jednoho medvěda součas</w:t>
      </w:r>
      <w:r>
        <w:softHyphen/>
        <w:t xml:space="preserve">ně dvěma lovcům? Snad jenom proto, že vůči Arabům, si Anglie ponechala otevřená zadní dvířka. Sir Henry MacMahon, britský vrchní komisař v </w:t>
      </w:r>
      <w:r>
        <w:t>Egyptě, slíbil kní</w:t>
      </w:r>
      <w:r>
        <w:softHyphen/>
        <w:t>žeti Husseinovi zvláštním dopisem, že za obranu Suez- ského průplavu a za rozklad turecké říše dostane ne</w:t>
      </w:r>
      <w:r>
        <w:softHyphen/>
        <w:t xml:space="preserve">závislost celého území, obývaného Araby — vyjímaje Palestinu a Libanon. </w:t>
      </w:r>
      <w:r>
        <w:rPr>
          <w:lang w:val="en-US" w:eastAsia="en-US" w:bidi="en-US"/>
        </w:rPr>
        <w:t xml:space="preserve">Hussein </w:t>
      </w:r>
      <w:r>
        <w:t>sice neuznal týto výhrady, ale souhlasil, aby se ta</w:t>
      </w:r>
      <w:r>
        <w:t>to otázka rozřešila teprve po světové válce. Brzy po odeslání dopisu Husseinovi uza</w:t>
      </w:r>
      <w:r>
        <w:softHyphen/>
        <w:t>vřela Anglie s Francií tajnou dohodu, která zajišťovala Francouzům mocenský vliv v Sýrii a v Libanonu.</w:t>
      </w:r>
    </w:p>
    <w:p w:rsidR="00500724" w:rsidRDefault="00F30FB8">
      <w:pPr>
        <w:pStyle w:val="Zkladntext1"/>
        <w:shd w:val="clear" w:color="auto" w:fill="auto"/>
        <w:spacing w:line="211" w:lineRule="auto"/>
        <w:ind w:firstLine="240"/>
      </w:pPr>
      <w:r>
        <w:t>Židovsko-arabské soužití nevypadalo s počátku špat</w:t>
      </w:r>
      <w:r>
        <w:softHyphen/>
        <w:t xml:space="preserve">ně. Dr. Weizmann, </w:t>
      </w:r>
      <w:r>
        <w:t xml:space="preserve">který byl po válce zvolen předsedou </w:t>
      </w:r>
      <w:r>
        <w:rPr>
          <w:lang w:val="en-US" w:eastAsia="en-US" w:bidi="en-US"/>
        </w:rPr>
        <w:t xml:space="preserve">Jewish Agency, </w:t>
      </w:r>
      <w:r>
        <w:t>to je náčelníkem světové židovské orga</w:t>
      </w:r>
      <w:r>
        <w:softHyphen/>
        <w:t>nisace pro kolonisaci Palestiny, navštívily v poušti transjordánského krále Feisala a přesvědčil ho, že židovská kolonisace nebude míti za následek politický útisk Ar</w:t>
      </w:r>
      <w:r>
        <w:t>abů. Ale čím více židů přijíždělo do Palestiny — od skončení světové války přistěhovalo se do Palesti</w:t>
      </w:r>
      <w:r>
        <w:softHyphen/>
        <w:t>ny asi 400.000 židů — čím více peněz investovali do nákupu půdy od Arabů, čím více se odrážel židovský blahobyt židovských kolonií od bídy feudálních arab</w:t>
      </w:r>
      <w:r>
        <w:softHyphen/>
        <w:t>ských krajů, čím více arabských proletářů hledalo živo</w:t>
      </w:r>
      <w:r>
        <w:softHyphen/>
        <w:t>bytí v židovských městech, kde arabští dělníci dostávali nejen vyšší mzdy, ale měli také větší sociální práva — tím více rostly obavy arabských knížat a velkostatkářů. Když v r. 1929 padl v Jerusalemě</w:t>
      </w:r>
      <w:r>
        <w:t xml:space="preserve"> první výstřel v židov</w:t>
      </w:r>
      <w:r>
        <w:softHyphen/>
        <w:t>sko-arabské občanské válce, nechyběly už při tom ani cizí vlivy. Trvalo deset let, než se Velká Britanie od</w:t>
      </w:r>
      <w:r>
        <w:softHyphen/>
        <w:t>hodlala ukončiti tuto občanskou válku pokojnou cestou. Palestina: citlivé místo Velké Britanie</w:t>
      </w:r>
    </w:p>
    <w:p w:rsidR="00500724" w:rsidRDefault="00F30FB8">
      <w:pPr>
        <w:pStyle w:val="Zkladntext1"/>
        <w:shd w:val="clear" w:color="auto" w:fill="auto"/>
        <w:spacing w:after="60" w:line="257" w:lineRule="auto"/>
        <w:ind w:firstLine="240"/>
        <w:rPr>
          <w:sz w:val="20"/>
          <w:szCs w:val="20"/>
        </w:rPr>
      </w:pPr>
      <w:r>
        <w:t>Co se týče palestinské politik</w:t>
      </w:r>
      <w:r>
        <w:t>y, nebyla Velká Britanie po světové válce nikdy sentimentální. Věděla přede</w:t>
      </w:r>
      <w:r>
        <w:softHyphen/>
        <w:t xml:space="preserve">vším, že v dobách míru i v příští válce budou Arabové významnějším činitelem, než palestinští židé a sionisté na celém světě. Proto byla britská politika nakloněna </w:t>
      </w:r>
      <w:r>
        <w:rPr>
          <w:i/>
          <w:iCs/>
          <w:sz w:val="20"/>
          <w:szCs w:val="20"/>
        </w:rPr>
        <w:t>119</w:t>
      </w:r>
    </w:p>
    <w:p w:rsidR="00500724" w:rsidRDefault="00F30FB8">
      <w:pPr>
        <w:pStyle w:val="Zkladntext1"/>
        <w:shd w:val="clear" w:color="auto" w:fill="auto"/>
        <w:spacing w:after="60" w:line="209" w:lineRule="auto"/>
        <w:ind w:firstLine="0"/>
      </w:pPr>
      <w:r>
        <w:t xml:space="preserve">spíše </w:t>
      </w:r>
      <w:r>
        <w:t>Arabům, než židům. Ačkoli je Palestina finančně aktivní země — díky přílivu židovského kapitálu a vývozní činnosti — měla britská správa sympatie a porozumění spíše pro Araby, než pro židy, kteří do Palestiny přicházeli.</w:t>
      </w:r>
    </w:p>
    <w:p w:rsidR="00500724" w:rsidRDefault="00F30FB8">
      <w:pPr>
        <w:pStyle w:val="Zkladntext1"/>
        <w:shd w:val="clear" w:color="auto" w:fill="auto"/>
        <w:spacing w:after="60" w:line="209" w:lineRule="auto"/>
      </w:pPr>
      <w:r>
        <w:t>Velká Britanie má vážné hospodářské</w:t>
      </w:r>
      <w:r>
        <w:t xml:space="preserve"> i politické dů</w:t>
      </w:r>
      <w:r>
        <w:softHyphen/>
        <w:t>vody, aby svou moc v arabském světě neohrozila a podle možností zesílila. K arabskému světu patří celý arabský poloostrov a celé východní pobřeží Středozem</w:t>
      </w:r>
      <w:r>
        <w:softHyphen/>
        <w:t>ního moře. Nejde jen o Suezský průplav, zajištující plavbu do Indie a na Daleký vých</w:t>
      </w:r>
      <w:r>
        <w:t xml:space="preserve">od, ale také o letecké linie na Dálný východ a do Austrálie. Letecké přístavy těchto linií leží v oblastech, které jsou částí příští Velké Arábie. Je-li nejsilnější arabský stát, totiž </w:t>
      </w:r>
      <w:r>
        <w:rPr>
          <w:lang w:val="en-US" w:eastAsia="en-US" w:bidi="en-US"/>
        </w:rPr>
        <w:t xml:space="preserve">Irak, </w:t>
      </w:r>
      <w:r>
        <w:t>samo</w:t>
      </w:r>
      <w:r>
        <w:softHyphen/>
        <w:t>statný, dává britsko-iracká smlouva naftová pole vý</w:t>
      </w:r>
      <w:r>
        <w:softHyphen/>
        <w:t>lučně do</w:t>
      </w:r>
      <w:r>
        <w:t xml:space="preserve"> rukou Velké Britanie, která je hlídá britskými posádkami. V Sýrii, která teprve nedávno dostala samostatnost od Francie, je pro Anglii těžkým diploma</w:t>
      </w:r>
      <w:r>
        <w:softHyphen/>
        <w:t>tickým úkolem, pohnouti francouzskou správu k tomu, aby udržela svůj vliv v této důležité části arabského</w:t>
      </w:r>
      <w:r>
        <w:t xml:space="preserve"> světa.</w:t>
      </w:r>
    </w:p>
    <w:p w:rsidR="00500724" w:rsidRDefault="00F30FB8">
      <w:pPr>
        <w:pStyle w:val="Zkladntext40"/>
        <w:shd w:val="clear" w:color="auto" w:fill="auto"/>
        <w:spacing w:line="240" w:lineRule="auto"/>
        <w:jc w:val="center"/>
        <w:rPr>
          <w:sz w:val="14"/>
          <w:szCs w:val="14"/>
        </w:rPr>
      </w:pPr>
      <w:r>
        <w:rPr>
          <w:b/>
          <w:bCs/>
          <w:sz w:val="14"/>
          <w:szCs w:val="14"/>
        </w:rPr>
        <w:t>Velké a malé řešení</w:t>
      </w:r>
    </w:p>
    <w:p w:rsidR="00500724" w:rsidRDefault="00F30FB8">
      <w:pPr>
        <w:pStyle w:val="Zkladntext1"/>
        <w:shd w:val="clear" w:color="auto" w:fill="auto"/>
        <w:spacing w:after="140" w:line="209" w:lineRule="auto"/>
      </w:pPr>
      <w:r>
        <w:t>Do nedávná zastávala ještě britská vláda názor, že je možné řešiti jenom palestinskou otázku, tedy problém politického soužití Arabů a židů. Aby rozptýlil obavy palestinských velkostatkářů a nacionalistů, navrhl vy</w:t>
      </w:r>
      <w:r>
        <w:softHyphen/>
        <w:t xml:space="preserve">soký komisař </w:t>
      </w:r>
      <w:r>
        <w:t>pro Palestinu již v r. 1935, aby se omezil prodej půdy pro židovskou kolonisaci. Usiloval také, aby se utvořil zákonodárný poradní sbor, který by uznal výsady Arabů. Britská sněmovna odmítla tento návrh, poněvadž odporoval Balfourově deklaraci, ale tím zmi</w:t>
      </w:r>
      <w:r>
        <w:softHyphen/>
        <w:t>zela také poslední možnost, uspokojiti arabské poža</w:t>
      </w:r>
      <w:r>
        <w:softHyphen/>
        <w:t>davky. Arabští nacionalisté prohlásili, že od Anglie nemají už co očekávat, a od té doby zuří v Palestině</w:t>
      </w:r>
      <w:r>
        <w:rPr>
          <w:vertAlign w:val="superscript"/>
        </w:rPr>
        <w:t xml:space="preserve">1 </w:t>
      </w:r>
      <w:r>
        <w:t>občanská válka, ačkoli Velká Britanie snížila v posled</w:t>
      </w:r>
      <w:r>
        <w:softHyphen/>
        <w:t>ních dvou letech dokonce i normální přist</w:t>
      </w:r>
      <w:r>
        <w:t>ěhovaleckou kvótu, jen aby Araby uklidnila. Po dvou letech navrhla královská komise rozdělení Palestiny na tři části: na ži</w:t>
      </w:r>
      <w:r>
        <w:softHyphen/>
        <w:t>dovský, arabský a britský díl. Tento návrh zamítli svor</w:t>
      </w:r>
      <w:r>
        <w:softHyphen/>
        <w:t>ně Arabové i židé. Další plán byl technicky neprovedi</w:t>
      </w:r>
      <w:r>
        <w:softHyphen/>
        <w:t>telný. Zatím rostl v a</w:t>
      </w:r>
      <w:r>
        <w:t>rabském světě cizí vliv, zaplétaje do věci otázku moslimů, aby Velká Britanie měla ještě větší nesnáze. Moslimská oblast sahá totiž až do Indie. (Jakmile věci dospěly tak daleko, rozhodla se britská vlá</w:t>
      </w:r>
      <w:r>
        <w:softHyphen/>
        <w:t>da loni pro velkoarabské řešení. Ve skutečnosti se ch</w:t>
      </w:r>
      <w:r>
        <w:t>ce zbavit odpovědnosti za palestinský mandát a za Bal- fourovu deklaraci. Chce se zbavit závazku z doby svě</w:t>
      </w:r>
      <w:r>
        <w:softHyphen/>
        <w:t>tové války, jako se zřekla morálního závazku vůči Československu, který pochází také ze světové války.</w:t>
      </w:r>
    </w:p>
    <w:p w:rsidR="00500724" w:rsidRDefault="00F30FB8">
      <w:pPr>
        <w:pStyle w:val="Zkladntext40"/>
        <w:shd w:val="clear" w:color="auto" w:fill="auto"/>
        <w:spacing w:line="240" w:lineRule="auto"/>
        <w:jc w:val="center"/>
        <w:rPr>
          <w:sz w:val="14"/>
          <w:szCs w:val="14"/>
        </w:rPr>
      </w:pPr>
      <w:r>
        <w:rPr>
          <w:b/>
          <w:bCs/>
          <w:sz w:val="14"/>
          <w:szCs w:val="14"/>
        </w:rPr>
        <w:t>Velkoarabské řešení</w:t>
      </w:r>
    </w:p>
    <w:p w:rsidR="00500724" w:rsidRDefault="00F30FB8">
      <w:pPr>
        <w:pStyle w:val="Zkladntext1"/>
        <w:shd w:val="clear" w:color="auto" w:fill="auto"/>
        <w:spacing w:after="60" w:line="209" w:lineRule="auto"/>
      </w:pPr>
      <w:r>
        <w:t xml:space="preserve">Zástupci arabských států </w:t>
      </w:r>
      <w:r>
        <w:t>měli před londýnskou kon</w:t>
      </w:r>
      <w:r>
        <w:softHyphen/>
        <w:t>ferencí zvláštní poradu v Kahýře. V tomto městě, které je v arabském světě nejevropštější a nejbohatší, je už několik let sídlo panarabského hnutí. Porada, které se zúčastnili delegáti z Egypta, Iráku, Transjordánie, Saudské Arábie</w:t>
      </w:r>
      <w:r>
        <w:t>, Yemenu a Palestiny, představuje nej- důležitější událost v dosavadní historii panarabského hnutí. Nelze vědět, na jakém programu se tam delegace arabských států dohodly, ale je jisto, že je rozdělují ne</w:t>
      </w:r>
      <w:r>
        <w:softHyphen/>
        <w:t>překonatelné názorové, politické, hospodářské i oso</w:t>
      </w:r>
      <w:r>
        <w:t>bní rozpory. Proto se už my nedočkáme asi Velké Arábie, která by spojila dva a půl milionu km</w:t>
      </w:r>
      <w:r>
        <w:rPr>
          <w:vertAlign w:val="superscript"/>
        </w:rPr>
        <w:t>2</w:t>
      </w:r>
      <w:r>
        <w:t xml:space="preserve"> pouště a 40 mi</w:t>
      </w:r>
      <w:r>
        <w:softHyphen/>
        <w:t xml:space="preserve">lionů obyvatel, z velké části potulných. Angličané a židé byli by s takovým řešením spokojeni, kdyby ovšem celé území zůstalo pod britským vlivem </w:t>
      </w:r>
      <w:r>
        <w:t>a kdyby v tomto velkoarabském státě mohli židé tvořit alespoň 35 pro</w:t>
      </w:r>
      <w:r>
        <w:softHyphen/>
        <w:t>cent obyvatelstva. Ale to jsou naděje, které mají daleko k uskutečnění.</w:t>
      </w:r>
    </w:p>
    <w:p w:rsidR="00500724" w:rsidRDefault="00F30FB8">
      <w:pPr>
        <w:pStyle w:val="Zkladntext1"/>
        <w:shd w:val="clear" w:color="auto" w:fill="auto"/>
        <w:spacing w:after="220" w:line="214" w:lineRule="auto"/>
      </w:pPr>
      <w:r>
        <w:t>Teoreticky je pouze možné, že se utvoří federace arab</w:t>
      </w:r>
      <w:r>
        <w:softHyphen/>
        <w:t>ských států, které by byly ve své vnitřní politice — tedy i v</w:t>
      </w:r>
      <w:r>
        <w:t xml:space="preserve"> projednávání židovského vystěhovalectví — ne-</w:t>
      </w:r>
    </w:p>
    <w:p w:rsidR="00500724" w:rsidRDefault="00F30FB8">
      <w:pPr>
        <w:pStyle w:val="Zkladntext1"/>
        <w:shd w:val="clear" w:color="auto" w:fill="auto"/>
        <w:spacing w:after="140" w:line="209" w:lineRule="auto"/>
        <w:ind w:firstLine="0"/>
      </w:pPr>
      <w:r>
        <w:rPr>
          <w:b/>
          <w:bCs/>
        </w:rPr>
        <w:t xml:space="preserve">tóO </w:t>
      </w:r>
      <w:r>
        <w:t xml:space="preserve">závislé a kromě společné zahraniční politiky měly by také společný celní režim. Toto úsilí vychází především z Egypta, jehož ctižádostivý ministerský předseda, Nuri- el </w:t>
      </w:r>
      <w:r>
        <w:rPr>
          <w:lang w:val="en-US" w:eastAsia="en-US" w:bidi="en-US"/>
        </w:rPr>
        <w:t xml:space="preserve">Said </w:t>
      </w:r>
      <w:r>
        <w:t>paša, dal rozšířiti dokonce zpr</w:t>
      </w:r>
      <w:r>
        <w:t>ávu, že egyptský král byl by ochoten přijmouti hodnost kalifa, která je od r. 1922 neobsazena (kalif je nejvyšším knězem moha- medánské církve). Tento záměr ztroskotal na odporu mladého krále a orthodoxních moslimů z Yemenu a ze Saudské Arábie. Konfederaci</w:t>
      </w:r>
      <w:r>
        <w:t xml:space="preserve"> neodmítají jenom oba tyto státy, ale i palestinští Arabové, kterým je Egypt příliš britský. Obávají se také, že králův příbuzný, princ Abd el Moneim, chtěl by se sám státi palestinským králem. Syrští Arabové, kteří zaujímají význačná místa v kul</w:t>
      </w:r>
      <w:r>
        <w:softHyphen/>
        <w:t>turním ži</w:t>
      </w:r>
      <w:r>
        <w:t xml:space="preserve">votě celého arabského světa, souhlasili by rádi </w:t>
      </w:r>
      <w:r>
        <w:rPr>
          <w:sz w:val="22"/>
          <w:szCs w:val="22"/>
        </w:rPr>
        <w:t xml:space="preserve">s </w:t>
      </w:r>
      <w:r>
        <w:t>jakýmkoli řešením, jen aby vznikl samostatný arab</w:t>
      </w:r>
      <w:r>
        <w:softHyphen/>
        <w:t>ský stát, v kterém by se mohli mnohem lépe uplatnit.</w:t>
      </w:r>
    </w:p>
    <w:p w:rsidR="00500724" w:rsidRDefault="00F30FB8">
      <w:pPr>
        <w:pStyle w:val="Zkladntext1"/>
        <w:shd w:val="clear" w:color="auto" w:fill="auto"/>
        <w:spacing w:after="40" w:line="199" w:lineRule="auto"/>
        <w:ind w:firstLine="0"/>
        <w:jc w:val="center"/>
        <w:rPr>
          <w:sz w:val="20"/>
          <w:szCs w:val="20"/>
        </w:rPr>
      </w:pPr>
      <w:r>
        <w:rPr>
          <w:b/>
          <w:bCs/>
          <w:sz w:val="20"/>
          <w:szCs w:val="20"/>
        </w:rPr>
        <w:t>Vnější vlivy</w:t>
      </w:r>
    </w:p>
    <w:p w:rsidR="00500724" w:rsidRDefault="00F30FB8">
      <w:pPr>
        <w:pStyle w:val="Zkladntext1"/>
        <w:shd w:val="clear" w:color="auto" w:fill="auto"/>
        <w:spacing w:after="300" w:line="209" w:lineRule="auto"/>
        <w:ind w:firstLine="240"/>
      </w:pPr>
      <w:r>
        <w:t>Nemluvě o slabém a zdrženlivě přijímaném japon</w:t>
      </w:r>
      <w:r>
        <w:softHyphen/>
        <w:t xml:space="preserve">ském vlivu, je rozhodně nejslabší turecký </w:t>
      </w:r>
      <w:r>
        <w:t>vliv. Tím větší je vliv Německa a Itálie. Při jednání s Velkou Bri</w:t>
      </w:r>
      <w:r>
        <w:softHyphen/>
        <w:t>tanií a Francií dovedou Arabové velmi takticky využiti okolnosti, že za jistých podmínek mohli by uzavřití spo</w:t>
      </w:r>
      <w:r>
        <w:softHyphen/>
        <w:t>lek s oběma velmocemi osy. V Yemenu, který je nej</w:t>
      </w:r>
      <w:r>
        <w:softHyphen/>
        <w:t>uzavřenějším arabským státem</w:t>
      </w:r>
      <w:r>
        <w:t xml:space="preserve"> (celkem je tam pouze 11 bělochů), byl do nedávná italský vliv rozhodující. V I r a k u mělo největší vliv Německo, podporované ze</w:t>
      </w:r>
      <w:r>
        <w:softHyphen/>
        <w:t>jména ministerským předsedou Bekirem Sidkym, který náhle zemřel. Německý vyslanec v Bagdadu, světozná</w:t>
      </w:r>
      <w:r>
        <w:softHyphen/>
        <w:t xml:space="preserve">mý orientalista, odjel </w:t>
      </w:r>
      <w:r>
        <w:t>nedávno jako první německý vy</w:t>
      </w:r>
      <w:r>
        <w:softHyphen/>
        <w:t>slanec do Saudské Arábie. Německý a italský vliv je silný také v Sýrii, protože francouzská správa pro</w:t>
      </w:r>
      <w:r>
        <w:softHyphen/>
        <w:t>kázala svou neschopnost. Jak vidět, nejsou naděje na arabskou konferenci pod britským vlivem příliš růžové. Ať už dopadne l</w:t>
      </w:r>
      <w:r>
        <w:t xml:space="preserve">ondýnská konference jakkoli, bude </w:t>
      </w:r>
      <w:r>
        <w:rPr>
          <w:b/>
          <w:bCs/>
          <w:sz w:val="20"/>
          <w:szCs w:val="20"/>
        </w:rPr>
        <w:t xml:space="preserve">se </w:t>
      </w:r>
      <w:r>
        <w:t>Evropa ještě dlouho zabývat arabským problémem.</w:t>
      </w:r>
    </w:p>
    <w:p w:rsidR="00500724" w:rsidRDefault="00F30FB8">
      <w:pPr>
        <w:pStyle w:val="Jin0"/>
        <w:shd w:val="clear" w:color="auto" w:fill="auto"/>
        <w:spacing w:after="180"/>
        <w:ind w:firstLine="0"/>
        <w:jc w:val="left"/>
        <w:rPr>
          <w:sz w:val="44"/>
          <w:szCs w:val="44"/>
        </w:rPr>
      </w:pPr>
      <w:r>
        <w:rPr>
          <w:b/>
          <w:bCs/>
          <w:sz w:val="44"/>
          <w:szCs w:val="44"/>
          <w:u w:val="single"/>
        </w:rPr>
        <w:t>literatura a uměni</w:t>
      </w:r>
    </w:p>
    <w:p w:rsidR="00500724" w:rsidRDefault="00F30FB8">
      <w:pPr>
        <w:pStyle w:val="Zkladntext1"/>
        <w:shd w:val="clear" w:color="auto" w:fill="auto"/>
        <w:spacing w:after="40" w:line="221" w:lineRule="auto"/>
        <w:ind w:firstLine="0"/>
        <w:rPr>
          <w:sz w:val="20"/>
          <w:szCs w:val="20"/>
        </w:rPr>
      </w:pPr>
      <w:r>
        <w:rPr>
          <w:b/>
          <w:bCs/>
          <w:i/>
          <w:iCs/>
          <w:sz w:val="20"/>
          <w:szCs w:val="20"/>
        </w:rPr>
        <w:t>Fráni. Langer:</w:t>
      </w:r>
    </w:p>
    <w:p w:rsidR="00500724" w:rsidRDefault="00F30FB8">
      <w:pPr>
        <w:pStyle w:val="Nadpis100"/>
        <w:shd w:val="clear" w:color="auto" w:fill="auto"/>
        <w:spacing w:line="240" w:lineRule="auto"/>
      </w:pPr>
      <w:bookmarkStart w:id="197" w:name="bookmark196"/>
      <w:r>
        <w:t>Čapek mezi lidmi</w:t>
      </w:r>
      <w:bookmarkEnd w:id="197"/>
    </w:p>
    <w:p w:rsidR="00500724" w:rsidRDefault="00F30FB8">
      <w:pPr>
        <w:pStyle w:val="Zkladntext30"/>
        <w:shd w:val="clear" w:color="auto" w:fill="auto"/>
        <w:spacing w:after="0" w:line="199" w:lineRule="auto"/>
        <w:ind w:firstLine="240"/>
      </w:pPr>
      <w:r>
        <w:t xml:space="preserve">Karel Čapek a lidé? Od každého, kdo se s ním setkal nebo stýkal, se z jeho vzpomínek dovíte, že styk s ním i jen pouhé </w:t>
      </w:r>
      <w:r>
        <w:t>potkání v životě mělo pro něho svou význačnost a zajímavost. Vzpomínající si mnoho od</w:t>
      </w:r>
      <w:r>
        <w:softHyphen/>
        <w:t xml:space="preserve">náší ze slova i ze stisku ruky. A tak z těch mnoha </w:t>
      </w:r>
      <w:r>
        <w:rPr>
          <w:b/>
          <w:bCs/>
          <w:sz w:val="26"/>
          <w:szCs w:val="26"/>
        </w:rPr>
        <w:t xml:space="preserve">a </w:t>
      </w:r>
      <w:r>
        <w:t>dobře utkvělých vzpomínek budeme někdy v bu</w:t>
      </w:r>
      <w:r>
        <w:softHyphen/>
        <w:t>doucnu sestavovat celou Čapkovu vnější tvářnost. Já dnes nebudu vzpomínat</w:t>
      </w:r>
      <w:r>
        <w:t xml:space="preserve"> na naše vzájemné styky. Budu sedět tiše proti němu a pozorovat jej, jak se mi jevil ve styku s jiným člověkem i s houfcem lidí ko</w:t>
      </w:r>
      <w:r>
        <w:softHyphen/>
        <w:t>lem sebe, jak jsem jej pozoroval tolikrát a jen tak po kamarádsku.</w:t>
      </w:r>
    </w:p>
    <w:p w:rsidR="00500724" w:rsidRDefault="00F30FB8">
      <w:pPr>
        <w:pStyle w:val="Zkladntext1"/>
        <w:shd w:val="clear" w:color="auto" w:fill="auto"/>
        <w:spacing w:after="40" w:line="233" w:lineRule="auto"/>
        <w:ind w:firstLine="0"/>
        <w:jc w:val="center"/>
      </w:pPr>
      <w:r>
        <w:t>•</w:t>
      </w:r>
    </w:p>
    <w:p w:rsidR="00500724" w:rsidRDefault="00F30FB8">
      <w:pPr>
        <w:pStyle w:val="Zkladntext30"/>
        <w:shd w:val="clear" w:color="auto" w:fill="auto"/>
        <w:spacing w:line="202" w:lineRule="auto"/>
        <w:ind w:firstLine="240"/>
      </w:pPr>
      <w:r>
        <w:t>Z jeho vztahů k lidem přirozeně musím začít s člo</w:t>
      </w:r>
      <w:r>
        <w:softHyphen/>
        <w:t>věkem,</w:t>
      </w:r>
      <w:r>
        <w:t xml:space="preserve"> jemu po většinu života nejbližším, s jeho bratrem Josefem. V svých literárních počátcích ne</w:t>
      </w:r>
      <w:r>
        <w:softHyphen/>
        <w:t>existoval vůbec žádný Karel Čapek, ale jen polovina autorské dvojice Bratří Čapků. Bratří si svým bratrským svazkem rádi trochu pohrávali. Chodili v prvé době v úp</w:t>
      </w:r>
      <w:r>
        <w:t>lně stejných šatech a v stejných bu</w:t>
      </w:r>
      <w:r>
        <w:softHyphen/>
        <w:t>řinkách, přicházeli a odcházeli nápadně společně. Když mluvili, jeden se stále dovolával druhého a hájil jeho názory, doplňovali se a přebíjeli, podávali si navzájem nit hovoru a myšlenek. Jako by mluvila jedna osoba. Mě</w:t>
      </w:r>
      <w:r>
        <w:t>li svůj dialekt, svůj ustálený způsob hovorových</w:t>
      </w:r>
      <w:r>
        <w:br w:type="page"/>
        <w:t xml:space="preserve">žertíků a svůj vlastní typ slovních hříček, takže </w:t>
      </w:r>
      <w:r>
        <w:rPr>
          <w:b/>
          <w:bCs/>
          <w:sz w:val="26"/>
          <w:szCs w:val="26"/>
        </w:rPr>
        <w:t xml:space="preserve">v </w:t>
      </w:r>
      <w:r>
        <w:t>ostatní různorodé společnosti se podobali dvěma vý</w:t>
      </w:r>
      <w:r>
        <w:softHyphen/>
        <w:t>borně sehraným chlapíkům na pódiu. Kumštýřská společnost v Unionce, do které nejdříve zapadli, vy</w:t>
      </w:r>
      <w:r>
        <w:softHyphen/>
        <w:t xml:space="preserve">našla </w:t>
      </w:r>
      <w:r>
        <w:t>pro ně jako značku ochrannou známku blíženců na solingenské oceli. To byla jejich první karikatura.</w:t>
      </w:r>
    </w:p>
    <w:p w:rsidR="00500724" w:rsidRDefault="00F30FB8">
      <w:pPr>
        <w:pStyle w:val="Zkladntext30"/>
        <w:shd w:val="clear" w:color="auto" w:fill="auto"/>
        <w:spacing w:after="0" w:line="199" w:lineRule="auto"/>
        <w:ind w:firstLine="280"/>
      </w:pPr>
      <w:r>
        <w:t xml:space="preserve">Často ovšem, při každém vážném rozhovoru, bylo zřejmo, že myšlenky, které se zdají tak jiskřivě vzlétlé, a úsudky tak lehce nahozené, musily vyrůst z vážné </w:t>
      </w:r>
      <w:r>
        <w:t>myšlenkové práce a z dlouhého pření a dorozumívání. Tak nakonec, kdo oba bratry poznali, věděli, že ty společné slovní hříčky, míčové hry s nápady a do- hrávání s improvisací jsou už navyklou chlapeckou řečí dvojenců ze společného ostrova dětství. Že za ni</w:t>
      </w:r>
      <w:r>
        <w:t xml:space="preserve">mi je ještě společná světnice, stůl, lampa, společný růst </w:t>
      </w:r>
      <w:r>
        <w:rPr>
          <w:b/>
          <w:bCs/>
          <w:sz w:val="26"/>
          <w:szCs w:val="26"/>
        </w:rPr>
        <w:t xml:space="preserve">í </w:t>
      </w:r>
      <w:r>
        <w:t>plány a především dokonalé bratrské souznění. Je</w:t>
      </w:r>
      <w:r>
        <w:softHyphen/>
        <w:t>jich tehdejší bohémské okolí marně čekalo na občasné změny v tom vzájemném poměru, na nějaké pohádání nebo chvilkový rozchod, který zpestřuje bratr</w:t>
      </w:r>
      <w:r>
        <w:t xml:space="preserve">ské svazky. Někdy se sice poškorpili, ale jistě pro nějakou maličkost, a i takové malé mrzutosti jako by zařaďo- vali do svých </w:t>
      </w:r>
      <w:r>
        <w:rPr>
          <w:lang w:val="en-US" w:eastAsia="en-US" w:bidi="en-US"/>
        </w:rPr>
        <w:t xml:space="preserve">her. </w:t>
      </w:r>
      <w:r>
        <w:t>V tomto bratrství byla Karlovi do</w:t>
      </w:r>
      <w:r>
        <w:softHyphen/>
        <w:t>volena všecka práva mladšího. Směl být impulsivní, rozmarný i tvrdohlavý. Směl se také Jos</w:t>
      </w:r>
      <w:r>
        <w:t xml:space="preserve">efa ve všem dovolávat jako autority. Za </w:t>
      </w:r>
      <w:r>
        <w:rPr>
          <w:lang w:val="en-US" w:eastAsia="en-US" w:bidi="en-US"/>
        </w:rPr>
        <w:t xml:space="preserve">to si’musil </w:t>
      </w:r>
      <w:r>
        <w:t>nechat líbit ně</w:t>
      </w:r>
      <w:r>
        <w:softHyphen/>
        <w:t>jaké to zabručení, někdy i napomenutí nebo i dohled, jak se sluší od bratra staršího a v životě lépe obezna</w:t>
      </w:r>
      <w:r>
        <w:softHyphen/>
        <w:t>lého, a ukázal se celkem poslušným. Byl-li Karel přece někdy s námi sám, což býv</w:t>
      </w:r>
      <w:r>
        <w:t>alo zřídka, cítil se bez Jo</w:t>
      </w:r>
      <w:r>
        <w:softHyphen/>
        <w:t>sefa osamělým a byl i trochu zkroušenější, méně útoč</w:t>
      </w:r>
      <w:r>
        <w:softHyphen/>
        <w:t>ný i méně neústupný v debatách. Bez Josefa nebyl úplný. Když se po prvé rozjeli na delší dobu, Josef do Paříže, Karel do Berlína, zastihl jsem jej v Berlíně samotařícího a mrz</w:t>
      </w:r>
      <w:r>
        <w:t>utého. A sotva jsme se přivítali, začal na mně zkoušet stejný způsob dialogických hří</w:t>
      </w:r>
      <w:r>
        <w:softHyphen/>
        <w:t xml:space="preserve">ček a slovních kejklů, které provozovali s Josefem. Byl jako štěně, opuštěné druhým, které chce vylákat </w:t>
      </w:r>
      <w:r>
        <w:rPr>
          <w:b/>
          <w:bCs/>
          <w:sz w:val="26"/>
          <w:szCs w:val="26"/>
        </w:rPr>
        <w:t xml:space="preserve">k </w:t>
      </w:r>
      <w:r>
        <w:t>obvyklým hrám třebas i ovci. I když to vůbec ne- řekl, rozuměl j</w:t>
      </w:r>
      <w:r>
        <w:t>sem z toho, jak se mu stýská po Jose</w:t>
      </w:r>
      <w:r>
        <w:softHyphen/>
        <w:t>fovi. Ale aspoň jsme tak v Berlíně založili své kama</w:t>
      </w:r>
      <w:r>
        <w:softHyphen/>
        <w:t>rádství, tak trochu náhradou za Josefa. Byl to vzácný bratrský souzvuk, tím vzácnější, že spojoval dvě velké umělecké individuality, a Karel se své strany dal mu vše,</w:t>
      </w:r>
      <w:r>
        <w:t xml:space="preserve"> co bylo jeho podílem. Poskytne literárním histo</w:t>
      </w:r>
      <w:r>
        <w:softHyphen/>
        <w:t>rikům všelijaké zajímavosti, psychologům oříšky spo</w:t>
      </w:r>
      <w:r>
        <w:softHyphen/>
        <w:t>lečného tvoření a vzájemného ovlivňování, a filo</w:t>
      </w:r>
      <w:r>
        <w:softHyphen/>
        <w:t>logům příležitost uvažovat o Čapkově dikci s ohledem na rodinný dialekt, protože jej budou moci vysledovat</w:t>
      </w:r>
      <w:r>
        <w:t xml:space="preserve"> u obou bratří a dokonce i u sestry, která také napsala několik knížek.</w:t>
      </w:r>
    </w:p>
    <w:p w:rsidR="00500724" w:rsidRDefault="00F30FB8">
      <w:pPr>
        <w:pStyle w:val="Zkladntext30"/>
        <w:shd w:val="clear" w:color="auto" w:fill="auto"/>
        <w:spacing w:line="202" w:lineRule="auto"/>
        <w:ind w:firstLine="0"/>
        <w:jc w:val="center"/>
      </w:pPr>
      <w:r>
        <w:t>•</w:t>
      </w:r>
    </w:p>
    <w:p w:rsidR="00500724" w:rsidRDefault="00F30FB8">
      <w:pPr>
        <w:pStyle w:val="Zkladntext30"/>
        <w:shd w:val="clear" w:color="auto" w:fill="auto"/>
        <w:spacing w:after="0" w:line="197" w:lineRule="auto"/>
        <w:ind w:firstLine="280"/>
      </w:pPr>
      <w:r>
        <w:t>Pak byl v životě Čapkově jeho otec. Byl na svého tatínka velmi pyšný, na starého venkovského lékaře s jeho úctyhodnou prací v horském okrese, na to, že byl široko daleko prvním lékař</w:t>
      </w:r>
      <w:r>
        <w:t xml:space="preserve">em, který uvěřil </w:t>
      </w:r>
      <w:r>
        <w:rPr>
          <w:b/>
          <w:bCs/>
          <w:sz w:val="26"/>
          <w:szCs w:val="26"/>
        </w:rPr>
        <w:t xml:space="preserve">v </w:t>
      </w:r>
      <w:r>
        <w:t>asepsi, na jeho životní zkušenost a moudrost. To ne</w:t>
      </w:r>
      <w:r>
        <w:softHyphen/>
        <w:t>vadilo, aby do rozhovorů se starým pánem nevnášel, kdy jen mohl, prostořeký, chlapecký tón a trochu klu- kovské neuctivosti, jako by mu bylo teprve deset let. Jako by tehdy vzájemný pom</w:t>
      </w:r>
      <w:r>
        <w:t xml:space="preserve">ěr otce a syna již ustrnul a od té doby už nestárl. Ovšem — někde v té besídce u svátého Ivana pod Skálou, kde si ještě starý pán </w:t>
      </w:r>
      <w:r>
        <w:rPr>
          <w:b/>
          <w:bCs/>
          <w:sz w:val="26"/>
          <w:szCs w:val="26"/>
        </w:rPr>
        <w:t xml:space="preserve">v </w:t>
      </w:r>
      <w:r>
        <w:t>létě zaordinoval — otec nezůstával synovi mnoho dlužen, takže bylo vidět, že vnější forma těch slovních her obou bratří má š</w:t>
      </w:r>
      <w:r>
        <w:t>irší, rodinný pramen. Když se později starý pan doktor k němu nadobro nastěhoval, provázel Karel touto nevážností na oko všecku svou péči, kterou otci tak opravdu a prostě synovský věno</w:t>
      </w:r>
      <w:r>
        <w:softHyphen/>
        <w:t>val. A když otec ochuravěl, trousil své úštěpky a šprým</w:t>
      </w:r>
      <w:r>
        <w:softHyphen/>
        <w:t>ky do svých st</w:t>
      </w:r>
      <w:r>
        <w:t>arostí a napomínání, a přibývalo stále víc všelijakého toho škádlení a dopalování, čím víc měla být otci zatajena úzkost, kterou Karel cítil z ne</w:t>
      </w:r>
      <w:r>
        <w:softHyphen/>
        <w:t>úprosného konce nemoci. To už se tak snad sám brá</w:t>
      </w:r>
      <w:r>
        <w:softHyphen/>
        <w:t>nil citu, který jej zaléval, a projevům něžnosti, které nevy</w:t>
      </w:r>
      <w:r>
        <w:t>jadřoval nikdy jinak, než nějakým malým gestem, jež nezasvěcený ani nechápal. Bylo to tehdy do muže uzavřené, statečné sebezapírání, které ještě jednou opakoval, když se v prosincové dny loučil se svou ženou.</w:t>
      </w:r>
    </w:p>
    <w:p w:rsidR="00500724" w:rsidRDefault="00F30FB8">
      <w:pPr>
        <w:pStyle w:val="Zkladntext30"/>
        <w:shd w:val="clear" w:color="auto" w:fill="auto"/>
        <w:spacing w:after="0" w:line="182" w:lineRule="auto"/>
        <w:ind w:firstLine="0"/>
        <w:jc w:val="center"/>
      </w:pPr>
      <w:r>
        <w:t>•</w:t>
      </w:r>
    </w:p>
    <w:p w:rsidR="00500724" w:rsidRDefault="00F30FB8">
      <w:pPr>
        <w:pStyle w:val="Zkladntext30"/>
        <w:shd w:val="clear" w:color="auto" w:fill="auto"/>
        <w:spacing w:after="0" w:line="202" w:lineRule="auto"/>
      </w:pPr>
      <w:r>
        <w:t>Jaké lidi měl rád? Řekl bych, že celé lidi, j</w:t>
      </w:r>
      <w:r>
        <w:t>akým se říká osobnosti, s hustou životní náplní, případně i ob</w:t>
      </w:r>
      <w:r>
        <w:softHyphen/>
        <w:t>dařené ve svém konání náležitým úspěchem. Prvním dojmem, který si odnesl od takové osobnosti, kterou poznal, byla zpravidla jakási mladická, řekl bych, až školácká úcta, ba i okouzlení. Potom t</w:t>
      </w:r>
      <w:r>
        <w:t>eprve začal zkoumat, co mu na ní imponuje, sbírat její výroky a přemýšlet o jejím jednání, zařaďovat ji jako lidský typ. To činil velmi rád, nejraději by každé lidské osob</w:t>
      </w:r>
      <w:r>
        <w:softHyphen/>
        <w:t>nosti zasadil zahradnickou jmenovku, a octl-li se před postavou tak dotvořenou, že j</w:t>
      </w:r>
      <w:r>
        <w:t>i mohl charakterisovat, jak je možno jenom čistý typ, takřka jedním slovem, věděl jsem, že mu imponovala nejvíc. Takovou posta</w:t>
      </w:r>
      <w:r>
        <w:softHyphen/>
        <w:t>vou byl pro něho kdysi Kramář, kterého ve své typo</w:t>
      </w:r>
      <w:r>
        <w:softHyphen/>
        <w:t>logii označil jménem »pán« s celou důstojností tohoto pojmu. Nebo později Šveh</w:t>
      </w:r>
      <w:r>
        <w:t>la, to byl pro něho »sedlák« a zase s poctou, kterou přikládal celému stavu. Na</w:t>
      </w:r>
      <w:r>
        <w:softHyphen/>
        <w:t>konec se veškerý jeho obdiv soustředil k Masarykovi. Pro něho nenašel a nehledal takovou osvobozující eti</w:t>
      </w:r>
      <w:r>
        <w:softHyphen/>
        <w:t xml:space="preserve">ketu, byl pro něho jen T. </w:t>
      </w:r>
      <w:r>
        <w:rPr>
          <w:b/>
          <w:bCs/>
          <w:sz w:val="26"/>
          <w:szCs w:val="26"/>
        </w:rPr>
        <w:t xml:space="preserve">G. </w:t>
      </w:r>
      <w:r>
        <w:t>M. a vyjádření této osob</w:t>
      </w:r>
      <w:r>
        <w:softHyphen/>
        <w:t xml:space="preserve">nosti vtělil ne </w:t>
      </w:r>
      <w:r>
        <w:t>do jednoho slova, ale do své největší knihy. Pak měl ještě jednu lásku, pravda, také k vy</w:t>
      </w:r>
      <w:r>
        <w:softHyphen/>
        <w:t>hraněné osobnosti, ale úplně odlišné od předešlých. K básníku Šrámkovi, k zosobněnému tichu a citu, k ly</w:t>
      </w:r>
      <w:r>
        <w:softHyphen/>
        <w:t>rikovi a poustevníkovi, k nahému lidskému srdci. To byl pro n</w:t>
      </w:r>
      <w:r>
        <w:t>ěho »básník«. Dohaduji se, byla to Čapkova první literární láska, jako byl Šrámek láskou celé naší generace, a Čapek jí zůstal překrásně věren po celý svůj život.</w:t>
      </w:r>
    </w:p>
    <w:p w:rsidR="00500724" w:rsidRDefault="00F30FB8">
      <w:pPr>
        <w:pStyle w:val="Zkladntext30"/>
        <w:shd w:val="clear" w:color="auto" w:fill="auto"/>
        <w:spacing w:after="0" w:line="199" w:lineRule="auto"/>
        <w:sectPr w:rsidR="00500724">
          <w:footnotePr>
            <w:numFmt w:val="chicago"/>
            <w:numRestart w:val="eachPage"/>
          </w:footnotePr>
          <w:pgSz w:w="11909" w:h="16834"/>
          <w:pgMar w:top="1512" w:right="948" w:bottom="697" w:left="603" w:header="0" w:footer="3" w:gutter="0"/>
          <w:cols w:num="2" w:space="100"/>
          <w:noEndnote/>
          <w:docGrid w:linePitch="360"/>
        </w:sectPr>
      </w:pPr>
      <w:r>
        <w:rPr>
          <w:noProof/>
        </w:rPr>
        <mc:AlternateContent>
          <mc:Choice Requires="wps">
            <w:drawing>
              <wp:anchor distT="38100" distB="254000" distL="114300" distR="114300" simplePos="0" relativeHeight="125829560" behindDoc="0" locked="0" layoutInCell="1" allowOverlap="1">
                <wp:simplePos x="0" y="0"/>
                <wp:positionH relativeFrom="page">
                  <wp:posOffset>6817360</wp:posOffset>
                </wp:positionH>
                <wp:positionV relativeFrom="margin">
                  <wp:posOffset>9018905</wp:posOffset>
                </wp:positionV>
                <wp:extent cx="189230" cy="133985"/>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189230" cy="133985"/>
                        </a:xfrm>
                        <a:prstGeom prst="rect">
                          <a:avLst/>
                        </a:prstGeom>
                        <a:noFill/>
                      </wps:spPr>
                      <wps:txbx>
                        <w:txbxContent>
                          <w:p w:rsidR="00500724" w:rsidRDefault="00F30FB8">
                            <w:pPr>
                              <w:pStyle w:val="Zkladntext40"/>
                              <w:shd w:val="clear" w:color="auto" w:fill="auto"/>
                              <w:spacing w:after="0" w:line="240" w:lineRule="auto"/>
                              <w:jc w:val="left"/>
                            </w:pPr>
                            <w:r>
                              <w:rPr>
                                <w:b/>
                                <w:bCs/>
                                <w:i/>
                                <w:iCs/>
                              </w:rPr>
                              <w:t>istl</w:t>
                            </w:r>
                          </w:p>
                        </w:txbxContent>
                      </wps:txbx>
                      <wps:bodyPr lIns="0" tIns="0" rIns="0" bIns="0">
                        <a:spAutoFit/>
                      </wps:bodyPr>
                    </wps:wsp>
                  </a:graphicData>
                </a:graphic>
              </wp:anchor>
            </w:drawing>
          </mc:Choice>
          <mc:Fallback>
            <w:pict>
              <v:shape id="_x0000_s1209" type="#_x0000_t202" style="position:absolute;margin-left:536.79999999999995pt;margin-top:710.14999999999998pt;width:14.9pt;height:10.550000000000001pt;z-index:-125829193;mso-wrap-distance-left:9.pt;mso-wrap-distance-top:3.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istl</w:t>
                      </w:r>
                    </w:p>
                  </w:txbxContent>
                </v:textbox>
                <w10:wrap type="topAndBottom" anchorx="page" anchory="margin"/>
              </v:shape>
            </w:pict>
          </mc:Fallback>
        </mc:AlternateContent>
      </w:r>
      <w:r>
        <w:t>Měl ve skutečnosti rád všecky zdařilé a ucelené lid</w:t>
      </w:r>
      <w:r>
        <w:softHyphen/>
        <w:t xml:space="preserve">ské </w:t>
      </w:r>
      <w:r>
        <w:t>exempláře bez jakéhokoli třídění podle sociál</w:t>
      </w:r>
      <w:r>
        <w:softHyphen/>
        <w:t>ního žebříčku. Nerad měl pouze rozervance a troseč</w:t>
      </w:r>
      <w:r>
        <w:softHyphen/>
        <w:t>níky, nikoli životního úspěchu, ale ducha a vůle, i když s nimi cítil a pomáhal jim. Jeho člověkem byl každý, velký i malý, jen když byl úplný a celý jako vají</w:t>
      </w:r>
      <w:r>
        <w:t>čko, Pro takový lidský exemplář měl dobrý čich a to byl pak pro něho »pořádný« člověk, »pořádný« zahrad</w:t>
      </w:r>
      <w:r>
        <w:softHyphen/>
        <w:t>ník, voják nebo instalatér. Často mi takového »pořád- ného« zahradníka maloval a sliboval týdny napřed a kupoval u něho své sazenice raději než u nějaké</w:t>
      </w:r>
      <w:r>
        <w:t>ho lépe zásobeného. Měl skoro málo obměňovaný, ale vždy příjemný a jednoduchý způsob, jak se k lidem přiblížit. Pozdravil je prostě, neměstsky, skoro kmotrovsky. Má úcta říkal snad jen v obchodě. Pak následovala nějaká praobyčejná poznámka obecného rázu, n</w:t>
      </w:r>
      <w:r>
        <w:t>a kterou druhý mohl právě tak navázat, o po</w:t>
      </w:r>
      <w:r>
        <w:softHyphen/>
        <w:t>časí, o pěkném místě, o té dálce až sem. Vznikla lec</w:t>
      </w:r>
      <w:r>
        <w:softHyphen/>
        <w:t xml:space="preserve">kdy taková jadrná rozprávka z jedné kapsy jako </w:t>
      </w:r>
      <w:r>
        <w:rPr>
          <w:b/>
          <w:bCs/>
          <w:sz w:val="26"/>
          <w:szCs w:val="26"/>
        </w:rPr>
        <w:t xml:space="preserve">v </w:t>
      </w:r>
      <w:r>
        <w:t>Čapkových povídkách. Dovedl při ní přeskočit názoro</w:t>
      </w:r>
      <w:r>
        <w:softHyphen/>
      </w:r>
      <w:r>
        <w:rPr>
          <w:b/>
          <w:bCs/>
          <w:sz w:val="26"/>
          <w:szCs w:val="26"/>
        </w:rPr>
        <w:t xml:space="preserve">vé </w:t>
      </w:r>
      <w:r>
        <w:t>rozdíly, nepouštěl se do debat a přesvědčování, ne-</w:t>
      </w:r>
    </w:p>
    <w:p w:rsidR="00500724" w:rsidRDefault="00F30FB8">
      <w:pPr>
        <w:pStyle w:val="Zkladntext30"/>
        <w:shd w:val="clear" w:color="auto" w:fill="auto"/>
        <w:spacing w:line="204" w:lineRule="auto"/>
        <w:ind w:firstLine="0"/>
      </w:pPr>
      <w:r>
        <w:t>tah</w:t>
      </w:r>
      <w:r>
        <w:t>al z lidí rozumy a nevnucoval jim své. Nikdy nej</w:t>
      </w:r>
      <w:r>
        <w:softHyphen/>
        <w:t>menší pokus hledat v někom dokument pro svou spi</w:t>
      </w:r>
      <w:r>
        <w:softHyphen/>
        <w:t>sovatelskou práci, prostě hledal jen živý styk s člově</w:t>
      </w:r>
      <w:r>
        <w:softHyphen/>
        <w:t>kem. Připadal mi v něm jako soused celého světa a tak prostě, příjemně a jen sousedsky asi připadal vše</w:t>
      </w:r>
      <w:r>
        <w:t>m těm rozpravěčům, kteří ho neznali. Trochu roz</w:t>
      </w:r>
      <w:r>
        <w:softHyphen/>
        <w:t xml:space="preserve">paků cítil před dětmi. Dovedl sice s nimi pohovořit, říci i něco, co je zajímalo, ale všecko to bylo daleko od té chuti dětsky si s nimi pobesedovat, jako to uměl, když se pro ně rozepsal. A oddechl si, když </w:t>
      </w:r>
      <w:r>
        <w:t>bylo dítě už zase pryč, jako by mu šlapalo do kytek. A před že</w:t>
      </w:r>
      <w:r>
        <w:softHyphen/>
        <w:t>nami byl také tak ne ve své kůži a při zdvořilosti, kte</w:t>
      </w:r>
      <w:r>
        <w:softHyphen/>
        <w:t>rá byla velmi pozorná a nedělaná, byl vždy rád, když se rozhovor brzy ukončil. Zvlášť, když byl na ženské straně plný zvědavosti nebo dok</w:t>
      </w:r>
      <w:r>
        <w:t>once obdivu.</w:t>
      </w:r>
    </w:p>
    <w:p w:rsidR="00500724" w:rsidRDefault="00F30FB8">
      <w:pPr>
        <w:pStyle w:val="Zkladntext30"/>
        <w:shd w:val="clear" w:color="auto" w:fill="auto"/>
        <w:spacing w:line="204" w:lineRule="auto"/>
        <w:ind w:firstLine="0"/>
        <w:jc w:val="center"/>
      </w:pPr>
      <w:r>
        <w:t>•</w:t>
      </w:r>
    </w:p>
    <w:p w:rsidR="00500724" w:rsidRDefault="00F30FB8">
      <w:pPr>
        <w:pStyle w:val="Zkladntext30"/>
        <w:shd w:val="clear" w:color="auto" w:fill="auto"/>
        <w:spacing w:line="199" w:lineRule="auto"/>
        <w:ind w:firstLine="280"/>
      </w:pPr>
      <w:r>
        <w:t>Čapek měl rád kolem sebe i lidi v celém houfu. Pro množství, různost a zápolení jejich myšlenek. Byl při</w:t>
      </w:r>
      <w:r>
        <w:softHyphen/>
        <w:t>rozeně družný, ovšem ne tak, aby mu lidská společ</w:t>
      </w:r>
      <w:r>
        <w:softHyphen/>
        <w:t>nost překazila jeho hodiny práce. Pracoval-li, tedy i nejlepší kamarád musil počkat. P</w:t>
      </w:r>
      <w:r>
        <w:t>roto měl rád spo</w:t>
      </w:r>
      <w:r>
        <w:softHyphen/>
        <w:t>lečnost, shromažďující se v pravidelných sezeních, a pro takovou si vždy čas udělal. První lidský houfec, ‘do kterého Čapek v Praze zapadl, našel u kumštýř- ských stolů v kavárně Union, v dobách, kdy tyto stoly hlučely odezvami prvních výb</w:t>
      </w:r>
      <w:r>
        <w:t>ojů kubismu, tedy nové vývojové epochy. A mezi tuto společnost, která tam za</w:t>
      </w:r>
      <w:r>
        <w:softHyphen/>
        <w:t>sedala denně od oběda do večera, chodil — vlastně cho</w:t>
      </w:r>
      <w:r>
        <w:softHyphen/>
        <w:t>dili, protože to byli Bratří Čapkové — dvakrát týdně na dvě hodiny na kousek toho rozhovoru. V neděli, po</w:t>
      </w:r>
      <w:r>
        <w:softHyphen/>
        <w:t>kud byli v Praze, b</w:t>
      </w:r>
      <w:r>
        <w:t>ratří chodili s ní i na obvyklé vý</w:t>
      </w:r>
      <w:r>
        <w:softHyphen/>
        <w:t>lety tančit někam za město, třebas jen s nepatrným zájmem o tanec i o děvčata. Ale cesta tam i zpět a všelijaké to posezení na mezi bylo vyplněno debatami s obsahem, který by slušel i nejvybranějšímu peri- patetikovi. Sám</w:t>
      </w:r>
      <w:r>
        <w:t xml:space="preserve"> Karel často tehdy také docházel do redakce a spolu i administrace »Přehledu« v den, kdy se vypravovalo číslo na poštu a pomáhal při skládání čísla a lepení obálek jako všichni ostatní. Tam se setkával s celou tou redakční společností o jedno de</w:t>
      </w:r>
      <w:r>
        <w:softHyphen/>
        <w:t>sítiletí s</w:t>
      </w:r>
      <w:r>
        <w:t>tarší, než byl sám, v které jsme byli více po</w:t>
      </w:r>
      <w:r>
        <w:softHyphen/>
        <w:t>sluchači než účastníky rozhovorů, vždy obsažných a širokého doteku.</w:t>
      </w:r>
    </w:p>
    <w:p w:rsidR="00500724" w:rsidRDefault="00F30FB8">
      <w:pPr>
        <w:pStyle w:val="Zkladntext30"/>
        <w:shd w:val="clear" w:color="auto" w:fill="auto"/>
        <w:spacing w:line="199" w:lineRule="auto"/>
        <w:ind w:firstLine="280"/>
      </w:pPr>
      <w:r>
        <w:t>Po válce založil svou společnost »Pátečníků«. Při</w:t>
      </w:r>
      <w:r>
        <w:softHyphen/>
        <w:t>vedl ji k dokonalosti jako všecko, v čem nalezl oprav</w:t>
      </w:r>
      <w:r>
        <w:softHyphen/>
        <w:t>dové sportovní zalíbení, jako své zahr</w:t>
      </w:r>
      <w:r>
        <w:t>adničení, foto</w:t>
      </w:r>
      <w:r>
        <w:softHyphen/>
        <w:t>grafování, sbírání koberců a gramofonových desek a tucet jiných zálib. Zdokonaloval ji, až vznikl kolem ně</w:t>
      </w:r>
      <w:r>
        <w:softHyphen/>
        <w:t>ho společenský útvar, jaký právě měl rád: pravidelný, dosti uzavřený a přece volný celek s ustálenými zvyk</w:t>
      </w:r>
      <w:r>
        <w:softHyphen/>
        <w:t xml:space="preserve">lostmi </w:t>
      </w:r>
      <w:r>
        <w:rPr>
          <w:i/>
          <w:iCs/>
        </w:rPr>
        <w:t>a</w:t>
      </w:r>
      <w:r>
        <w:t xml:space="preserve"> pořádky a s družnou, mužskou atmosférou. Čapek nad svými hosty starostoval. Hlídal každému jeho oblíbený koutek i dietu, zajímal se o jejich práci i starosti. Zařídil svůj dům bezmála jen pro ně, obklo</w:t>
      </w:r>
      <w:r>
        <w:softHyphen/>
        <w:t>poval je stálou pozorností až do těch pozdravů rodi</w:t>
      </w:r>
      <w:r>
        <w:softHyphen/>
        <w:t>n</w:t>
      </w:r>
      <w:r>
        <w:t xml:space="preserve">ám při loučení a do knížek na památku. Vítal všecky po sousedsku </w:t>
      </w:r>
      <w:r>
        <w:rPr>
          <w:lang w:val="en-US" w:eastAsia="en-US" w:bidi="en-US"/>
        </w:rPr>
        <w:t xml:space="preserve">hne’d </w:t>
      </w:r>
      <w:r>
        <w:t>u dveří, skoro si dohlížel na pra</w:t>
      </w:r>
      <w:r>
        <w:softHyphen/>
        <w:t>videlnou docházku, omlouval nepřítomné a v noci své hosty vyprovázel před vrátka, kde ještě poprorokoval počasí jako skutečný starosta.</w:t>
      </w:r>
    </w:p>
    <w:p w:rsidR="00500724" w:rsidRDefault="00F30FB8">
      <w:pPr>
        <w:pStyle w:val="Zkladntext30"/>
        <w:shd w:val="clear" w:color="auto" w:fill="auto"/>
        <w:spacing w:after="0" w:line="202" w:lineRule="auto"/>
        <w:ind w:firstLine="280"/>
      </w:pPr>
      <w:r>
        <w:t>S každým na při</w:t>
      </w:r>
      <w:r>
        <w:t>vítanou zahovořil tak říkajíc jeho vlastním jazykem, aby jej hned uvedl do domác</w:t>
      </w:r>
      <w:r>
        <w:softHyphen/>
        <w:t>kého ovzduší. S panem Poláčkem jazykem soudničky nebo melancholického živnostníka, s panem Adlofem jazykem sokolským a s Kupkou legionářskou rušti</w:t>
      </w:r>
      <w:r>
        <w:softHyphen/>
        <w:t>nou, zvlášť k tomu účelu utv</w:t>
      </w:r>
      <w:r>
        <w:t>ořenou. Čápek, jak jsme ho znali, rád mluvíval jen v dialogu. Nepřenášel nikdy ani souvislý dlouhý výklad, ani ze široka a epicky ne</w:t>
      </w:r>
      <w:r>
        <w:softHyphen/>
        <w:t>vyprávěl. Kdysi mu poskytoval Josef všecku příleži</w:t>
      </w:r>
      <w:r>
        <w:softHyphen/>
        <w:t>tost k proměně monologu v dialog, v pátek mu po</w:t>
      </w:r>
      <w:r>
        <w:softHyphen/>
        <w:t>skytla příležitost k tom</w:t>
      </w:r>
      <w:r>
        <w:t>u tato velká a mnohohlasá spo</w:t>
      </w:r>
      <w:r>
        <w:softHyphen/>
        <w:t>lečnost. Přirozeně, že byl jejím středem, ale ani jako hostiteli nebyla mu poskytována žádná větší práva ani na rozsah ani na oprávněnost výroků. Přišel-li s něčím, musil i svůj názor vystavovat stejně kritice a třebas i úštěp</w:t>
      </w:r>
      <w:r>
        <w:t>kům jako kdo druhý. Ukázal se oprav</w:t>
      </w:r>
      <w:r>
        <w:softHyphen/>
        <w:t>du uměleckým dirigentem tohoto mužského chóru,, což bylo vidět zejména v těch výjimečných dnech, kdy v pátek chyběl a pátečnici propadali povídavosti a anarchii, ale stejně tak se dobře cítil jako pouhá součást kolektiva</w:t>
      </w:r>
      <w:r>
        <w:t>, rozplameňoval se na společném nadšení nebo rozhorlení, zúčastnil se smíchu i malých mužských legrací jako pouhý dobrý kumpán. Pátky se staly jeho pravidelným zvykem a vrcholnou spole</w:t>
      </w:r>
      <w:r>
        <w:softHyphen/>
        <w:t>čenskou povinností. Však pro jeho hosty byly také vy</w:t>
      </w:r>
      <w:r>
        <w:softHyphen/>
        <w:t xml:space="preserve">vrcholením týdne. </w:t>
      </w:r>
      <w:r>
        <w:t>A budou pro celý jejich život zna</w:t>
      </w:r>
      <w:r>
        <w:softHyphen/>
        <w:t>menat vzpomínky na družný styk, který vytvořil a nad kterým bděl Čapek, na to zdomácnění v jeho po</w:t>
      </w:r>
      <w:r>
        <w:softHyphen/>
        <w:t>koji, na nenávratné barvy soumraků a nenávratné idyly večerů nad předměstskými zahrádkami.</w:t>
      </w:r>
    </w:p>
    <w:p w:rsidR="00500724" w:rsidRDefault="00F30FB8">
      <w:pPr>
        <w:pStyle w:val="Zkladntext30"/>
        <w:shd w:val="clear" w:color="auto" w:fill="auto"/>
        <w:spacing w:after="120" w:line="202" w:lineRule="auto"/>
        <w:ind w:firstLine="220"/>
      </w:pPr>
      <w:r>
        <w:t>Měl opravdu vzácný dar připoutáv</w:t>
      </w:r>
      <w:r>
        <w:t>at k sobě lidi a svou osobou je spoutávat do skupin. Dovedl kolem sebe vyvolat takového ducha družnosti v redakci, kde pracoval, ve svém posledním intimním kroužku ve Strži, na zasedáních Penklubu nebo Demokracie dě</w:t>
      </w:r>
      <w:r>
        <w:softHyphen/>
        <w:t>tem, nakonec v Kruhu spisovatelů při voj</w:t>
      </w:r>
      <w:r>
        <w:t>enském vě</w:t>
      </w:r>
      <w:r>
        <w:softHyphen/>
        <w:t>deckém ústavě za své účasti na branné výchově. Jistě to byla bohatá rozloha jeho umělecké osobnosti, která lidi k němu především poutala. Ale, když jste jej tak viděli mezi lidmi, byl to jejich důvěrník a rádce, sou</w:t>
      </w:r>
      <w:r>
        <w:softHyphen/>
        <w:t>sed a společník, moudrý a byst</w:t>
      </w:r>
      <w:r>
        <w:t>rý člověk, a nic víc ne</w:t>
      </w:r>
      <w:r>
        <w:softHyphen/>
        <w:t>chtěl být a každý k němu mohl přijít, a vlastně všichni, kdo to vycítili, k němu přistupovali těmito prostými lidskými cestami. A to snad bylo na něm to, co kaž</w:t>
      </w:r>
      <w:r>
        <w:softHyphen/>
        <w:t>dého nejvíc k němu táhlo. Ta lidská prostota vedle velikosti.</w:t>
      </w:r>
    </w:p>
    <w:p w:rsidR="00500724" w:rsidRDefault="00F30FB8">
      <w:pPr>
        <w:pStyle w:val="Zkladntext30"/>
        <w:shd w:val="clear" w:color="auto" w:fill="auto"/>
        <w:spacing w:after="0" w:line="226" w:lineRule="auto"/>
        <w:ind w:firstLine="0"/>
        <w:rPr>
          <w:sz w:val="20"/>
          <w:szCs w:val="20"/>
        </w:rPr>
      </w:pPr>
      <w:r>
        <w:rPr>
          <w:i/>
          <w:iCs/>
          <w:sz w:val="20"/>
          <w:szCs w:val="20"/>
        </w:rPr>
        <w:t>Walt Disn</w:t>
      </w:r>
      <w:r>
        <w:rPr>
          <w:i/>
          <w:iCs/>
          <w:sz w:val="20"/>
          <w:szCs w:val="20"/>
        </w:rPr>
        <w:t>ey:</w:t>
      </w:r>
    </w:p>
    <w:p w:rsidR="00500724" w:rsidRDefault="00F30FB8">
      <w:pPr>
        <w:pStyle w:val="Nadpis100"/>
        <w:shd w:val="clear" w:color="auto" w:fill="auto"/>
        <w:spacing w:after="0" w:line="240" w:lineRule="auto"/>
        <w:ind w:left="380"/>
        <w:jc w:val="left"/>
      </w:pPr>
      <w:bookmarkStart w:id="198" w:name="bookmark197"/>
      <w:r>
        <w:rPr>
          <w:lang w:val="en-US" w:eastAsia="en-US" w:bidi="en-US"/>
        </w:rPr>
        <w:t xml:space="preserve">Mickey Mouse </w:t>
      </w:r>
      <w:r>
        <w:t>předvádí . ..</w:t>
      </w:r>
      <w:bookmarkEnd w:id="198"/>
    </w:p>
    <w:p w:rsidR="00500724" w:rsidRDefault="00F30FB8">
      <w:pPr>
        <w:pStyle w:val="Zkladntext30"/>
        <w:shd w:val="clear" w:color="auto" w:fill="auto"/>
        <w:spacing w:after="0" w:line="175" w:lineRule="auto"/>
        <w:ind w:left="840" w:firstLine="180"/>
        <w:rPr>
          <w:sz w:val="20"/>
          <w:szCs w:val="20"/>
        </w:rPr>
      </w:pPr>
      <w:r>
        <w:rPr>
          <w:sz w:val="20"/>
          <w:szCs w:val="20"/>
        </w:rPr>
        <w:t>Nejslavnější tvůrce kreslených grotesek na</w:t>
      </w:r>
      <w:r>
        <w:rPr>
          <w:sz w:val="20"/>
          <w:szCs w:val="20"/>
        </w:rPr>
        <w:softHyphen/>
        <w:t>psal článek o své práci. Jistě bude, zejména po &gt;Sněhurce«, zajímat.</w:t>
      </w:r>
    </w:p>
    <w:p w:rsidR="00500724" w:rsidRDefault="00F30FB8">
      <w:pPr>
        <w:pStyle w:val="Zkladntext1"/>
        <w:shd w:val="clear" w:color="auto" w:fill="auto"/>
        <w:spacing w:line="211" w:lineRule="auto"/>
      </w:pPr>
      <w:r>
        <w:t>Světem filmových kreslených grotesek je svět naší obraznosti, svět, v němž slunce, měsíc, hvězdy a všech</w:t>
      </w:r>
      <w:r>
        <w:softHyphen/>
      </w:r>
      <w:r>
        <w:t xml:space="preserve">no živé je poslušno našich rozkazů. Vytáhneme si z obraznosti libovolnou postavičku, poroučíme jí, a stane-li se neposlušnou, prostě ji vymažeme gumou. Žádný diktátor nemá tak absolutní </w:t>
      </w:r>
      <w:r>
        <w:rPr>
          <w:smallCaps/>
        </w:rPr>
        <w:t>hidc.</w:t>
      </w:r>
      <w:r>
        <w:t xml:space="preserve"> Naším mate</w:t>
      </w:r>
      <w:r>
        <w:softHyphen/>
        <w:t>riálem je všechno, co si mozek může vymyslit, svět sk</w:t>
      </w:r>
      <w:r>
        <w:t>utečný i všechny světy vysněné, barva, hudba, zvuky a především pohyb.</w:t>
      </w:r>
    </w:p>
    <w:p w:rsidR="00500724" w:rsidRDefault="00F30FB8">
      <w:pPr>
        <w:pStyle w:val="Zkladntext30"/>
        <w:shd w:val="clear" w:color="auto" w:fill="auto"/>
        <w:spacing w:after="0" w:line="206" w:lineRule="auto"/>
        <w:ind w:firstLine="0"/>
        <w:jc w:val="center"/>
      </w:pPr>
      <w:r>
        <w:t>Námět</w:t>
      </w:r>
    </w:p>
    <w:p w:rsidR="00500724" w:rsidRDefault="00F30FB8">
      <w:pPr>
        <w:pStyle w:val="Zkladntext1"/>
        <w:shd w:val="clear" w:color="auto" w:fill="auto"/>
        <w:spacing w:line="211" w:lineRule="auto"/>
      </w:pPr>
      <w:r>
        <w:t>Nejvýznamnější etapou při výrobě kresleného filmu je volba námětu. Slabý námět nezachrání ani dobrá barva, ani dobrá hudba, ani správný pohyb. Náměty, kterých používáme, jsou větš</w:t>
      </w:r>
      <w:r>
        <w:t>inou původní, ačkoli máme velikou knihovnu dětských knížek, lidových pohádek a všelijakých dobrodružství a často v nich hledáváme náměty stejně jako v dětských písničkách. Ale rozumí se samo sebou, že naše práce se na konec velmi liší od originálu, protože</w:t>
      </w:r>
      <w:r>
        <w:t xml:space="preserve"> není možné vyprávěti ty příběhy</w:t>
      </w:r>
    </w:p>
    <w:p w:rsidR="00500724" w:rsidRDefault="00F30FB8">
      <w:pPr>
        <w:pStyle w:val="Zkladntext1"/>
        <w:shd w:val="clear" w:color="auto" w:fill="auto"/>
        <w:spacing w:line="206" w:lineRule="auto"/>
        <w:ind w:firstLine="0"/>
      </w:pPr>
      <w:r>
        <w:rPr>
          <w:sz w:val="22"/>
          <w:szCs w:val="22"/>
        </w:rPr>
        <w:t xml:space="preserve">v </w:t>
      </w:r>
      <w:r>
        <w:t>osini minutách bez pronikavé revise a silného zhuště</w:t>
      </w:r>
      <w:r>
        <w:softHyphen/>
        <w:t>ní. Dokonce i v prvním našem velkofilmu ^Sněhurka a sedm trpaslíků« bylo nutné text bratří Grimmů silně proškrtat, ačkoli nebyl o nic delší než průměrná po</w:t>
      </w:r>
      <w:r>
        <w:softHyphen/>
        <w:t xml:space="preserve">vídka a </w:t>
      </w:r>
      <w:r>
        <w:t>ačkoli náš film měl trvat déle než hodinu. Ale bez těch škrtů by nám nebylo zbylo místo pro naši vlastní fantasii, pro naši vlastní komiku a pro vytvoření svých postav.</w:t>
      </w:r>
    </w:p>
    <w:p w:rsidR="00500724" w:rsidRDefault="00F30FB8">
      <w:pPr>
        <w:pStyle w:val="Zkladntext1"/>
        <w:shd w:val="clear" w:color="auto" w:fill="auto"/>
        <w:spacing w:line="211" w:lineRule="auto"/>
      </w:pPr>
      <w:r>
        <w:t>Pro krátkost filmu a protože valná část našich 250 metrů iilmu bývá spotřebována na vše</w:t>
      </w:r>
      <w:r>
        <w:t>lijaké roz</w:t>
      </w:r>
      <w:r>
        <w:softHyphen/>
        <w:t>marnosti, gagy (vtipné nápady, legrace, »psiny&lt;) a žertíky každé z našich postav, základní myšlenka na</w:t>
      </w:r>
      <w:r>
        <w:softHyphen/>
        <w:t>šeho námětu musí býti docela prostá. Obyčejně se dá .vyslovit jedinou větou, na příklad:</w:t>
      </w:r>
    </w:p>
    <w:p w:rsidR="00500724" w:rsidRDefault="00F30FB8">
      <w:pPr>
        <w:pStyle w:val="Zkladntext1"/>
        <w:shd w:val="clear" w:color="auto" w:fill="auto"/>
        <w:spacing w:line="209" w:lineRule="auto"/>
      </w:pPr>
      <w:r>
        <w:t xml:space="preserve">Na ledě: </w:t>
      </w:r>
      <w:r>
        <w:rPr>
          <w:lang w:val="en-US" w:eastAsia="en-US" w:bidi="en-US"/>
        </w:rPr>
        <w:t xml:space="preserve">Mickey </w:t>
      </w:r>
      <w:r>
        <w:t>a její družina jdou bruslit.</w:t>
      </w:r>
    </w:p>
    <w:p w:rsidR="00500724" w:rsidRDefault="00F30FB8">
      <w:pPr>
        <w:pStyle w:val="Zkladntext1"/>
        <w:shd w:val="clear" w:color="auto" w:fill="auto"/>
        <w:spacing w:line="209" w:lineRule="auto"/>
      </w:pPr>
      <w:r>
        <w:t xml:space="preserve">Čističi </w:t>
      </w:r>
      <w:r>
        <w:t xml:space="preserve">hodin: </w:t>
      </w:r>
      <w:r>
        <w:rPr>
          <w:lang w:val="en-US" w:eastAsia="en-US" w:bidi="en-US"/>
        </w:rPr>
        <w:t xml:space="preserve">Mickey </w:t>
      </w:r>
      <w:r>
        <w:t>a její družina čistí hodiny na věži.</w:t>
      </w:r>
    </w:p>
    <w:p w:rsidR="00500724" w:rsidRDefault="00F30FB8">
      <w:pPr>
        <w:pStyle w:val="Zkladntext1"/>
        <w:shd w:val="clear" w:color="auto" w:fill="auto"/>
        <w:spacing w:line="209" w:lineRule="auto"/>
      </w:pPr>
      <w:r>
        <w:t xml:space="preserve">Stěhování: </w:t>
      </w:r>
      <w:r>
        <w:rPr>
          <w:lang w:val="en-US" w:eastAsia="en-US" w:bidi="en-US"/>
        </w:rPr>
        <w:t xml:space="preserve">Mickey </w:t>
      </w:r>
      <w:r>
        <w:t>a její přátelé dostali soudní výpověď z bytu a prožívají všechna trápení, obvyklá při stěhování.</w:t>
      </w:r>
    </w:p>
    <w:p w:rsidR="00500724" w:rsidRDefault="00F30FB8">
      <w:pPr>
        <w:pStyle w:val="Zkladntext1"/>
        <w:shd w:val="clear" w:color="auto" w:fill="auto"/>
        <w:spacing w:line="209" w:lineRule="auto"/>
      </w:pPr>
      <w:r>
        <w:t>Donald a Pluto: Pluto polkl magnet a přitahuje teď všechny předměty v domě.</w:t>
      </w:r>
    </w:p>
    <w:p w:rsidR="00500724" w:rsidRDefault="00F30FB8">
      <w:pPr>
        <w:pStyle w:val="Zkladntext1"/>
        <w:shd w:val="clear" w:color="auto" w:fill="auto"/>
        <w:spacing w:line="209" w:lineRule="auto"/>
      </w:pPr>
      <w:r>
        <w:t>Snažíme se, ab</w:t>
      </w:r>
      <w:r>
        <w:t>y se naše náměty líbily jak dětem, tak dospělým. Je nezbytné, aby se naše kreslené filmy líbily také dospělým, protože většinu návštěvníků našich filmů tvoří lidé dospělí. Bývá zajímavé pozorovat, jak rozdílně reagují děti a publikum dospělé. Děti se smějí</w:t>
      </w:r>
      <w:r>
        <w:t xml:space="preserve"> věcem naprosto odlišným od vtipů, které baví dospě</w:t>
      </w:r>
      <w:r>
        <w:softHyphen/>
        <w:t>lého člověka. Kdykoli je to možné, pokoušíme se najít kompromis, který by bavil obě tyto složky našich diváků.</w:t>
      </w:r>
    </w:p>
    <w:p w:rsidR="00500724" w:rsidRDefault="00F30FB8">
      <w:pPr>
        <w:pStyle w:val="Zkladntext1"/>
        <w:shd w:val="clear" w:color="auto" w:fill="auto"/>
        <w:spacing w:after="80" w:line="209" w:lineRule="auto"/>
      </w:pPr>
      <w:r>
        <w:t>Nápady na jednotlivé příhody našich filmů se rodí ve všech koutech našeho filmového atelieru.</w:t>
      </w:r>
      <w:r>
        <w:t xml:space="preserve"> Nikdy je nekupujeme od nikoho zvenčí, protože nápady, které jsou nám nabízeny odjinud, se téměř vždycky shodují s myšlenkami, na které jsme v atelieru přišli sami. Tak může snadno dojít k soudnímu sporu, když si některý autor myslí, že jsme mu ukradli jeh</w:t>
      </w:r>
      <w:r>
        <w:t>o myšlenku.</w:t>
      </w:r>
    </w:p>
    <w:p w:rsidR="00500724" w:rsidRDefault="00F30FB8">
      <w:pPr>
        <w:pStyle w:val="Zkladntext40"/>
        <w:shd w:val="clear" w:color="auto" w:fill="auto"/>
        <w:spacing w:after="0" w:line="240" w:lineRule="auto"/>
        <w:ind w:left="1220"/>
        <w:jc w:val="left"/>
        <w:rPr>
          <w:sz w:val="14"/>
          <w:szCs w:val="14"/>
        </w:rPr>
      </w:pPr>
      <w:r>
        <w:rPr>
          <w:b/>
          <w:bCs/>
          <w:sz w:val="14"/>
          <w:szCs w:val="14"/>
        </w:rPr>
        <w:t>Gagmeni při práci</w:t>
      </w:r>
    </w:p>
    <w:p w:rsidR="00500724" w:rsidRDefault="00F30FB8">
      <w:pPr>
        <w:pStyle w:val="Zkladntext1"/>
        <w:shd w:val="clear" w:color="auto" w:fill="auto"/>
        <w:spacing w:line="209" w:lineRule="auto"/>
      </w:pPr>
      <w:r>
        <w:t>Kreslený film se vyrábí jako kterýkoli jiný film celo</w:t>
      </w:r>
      <w:r>
        <w:softHyphen/>
        <w:t xml:space="preserve">večerní. Především je zde oddělení scenáristů, složené ze dvou nebo tří </w:t>
      </w:r>
      <w:r>
        <w:rPr>
          <w:lang w:val="en-US" w:eastAsia="en-US" w:bidi="en-US"/>
        </w:rPr>
        <w:t>gagmen</w:t>
      </w:r>
      <w:r>
        <w:t>ň a ze sestřihovačského odbor</w:t>
      </w:r>
      <w:r>
        <w:softHyphen/>
      </w:r>
      <w:r>
        <w:t xml:space="preserve">níka. Scenáristé si vezmou do práce nějaký docela prostý námět a hrají si s ním několik neděl. Když je to film s gagy, vybudovaný kolem nějakého prostého námětu, točí se celý děj kolem g a g ů. Na příklad: </w:t>
      </w:r>
      <w:r>
        <w:rPr>
          <w:lang w:val="en-US" w:eastAsia="en-US" w:bidi="en-US"/>
        </w:rPr>
        <w:t xml:space="preserve">Mickey, </w:t>
      </w:r>
      <w:r>
        <w:t>kačer Donald a pes upevňují vysoko ve vzdu</w:t>
      </w:r>
      <w:r>
        <w:softHyphen/>
        <w:t>chu veliké hodiny. Gagmeni sestaví především se</w:t>
      </w:r>
      <w:r>
        <w:softHyphen/>
        <w:t>znam potřebných rekvisit, zvláště strojových pomůcek, jako jsou všelijaká pera, kolečka a kyvadlo. Potom studují jednotlivé situace a ovzduší, v nichž se naše figurky budou pohybovat. Mnoho g a g ů je založe</w:t>
      </w:r>
      <w:r>
        <w:t xml:space="preserve">no na principu mechanicky vyřešených příčin a následků. Tak na příklad pes vyleze na lešení a chce čistit zvon. Protože zvon se houpá, houpá S3 také pes. Když odbíjí hodina, z orloje vycházejí figurky a jedna z nich udeří bezbranného psa po hlavě. V tomto </w:t>
      </w:r>
      <w:r>
        <w:t>údobí studia vy</w:t>
      </w:r>
      <w:r>
        <w:softHyphen/>
        <w:t>mýšlejí scenáristé spousty vtipných situací. O všech nápadech se ustavičně diskutuje, až se nakonec dospěje k definitivní formě. Ta je pak sepsána ve formě vý</w:t>
      </w:r>
      <w:r>
        <w:softHyphen/>
        <w:t xml:space="preserve">kladu s poznámkami, jaké všelijaké situace by se daly rozvinouti ve filmu. Každý </w:t>
      </w:r>
      <w:r>
        <w:t>člen našeho atelieru dosta</w:t>
      </w:r>
      <w:r>
        <w:softHyphen/>
        <w:t xml:space="preserve">ne jeden exemplář tohoto sepsaného výkladu, čte si jej ve svých volných chvílích nebo také doma a dělá si hned ke všem nápadům, jež se mu při četbě zrodí v hlavě, poznámky. Za dvě neděle potom jsou všechny tyto náčrtky odevzdány </w:t>
      </w:r>
      <w:r>
        <w:t>scenáristům. Často se při tom ukáže, že něčí nápad úplně změnil vzhled celého scena- ria. Oddělení scenáristů prostuduje celý materiál a na</w:t>
      </w:r>
      <w:r>
        <w:softHyphen/>
        <w:t xml:space="preserve">konec sestaví </w:t>
      </w:r>
      <w:r>
        <w:rPr>
          <w:lang w:val="en-US" w:eastAsia="en-US" w:bidi="en-US"/>
        </w:rPr>
        <w:t xml:space="preserve">scenario </w:t>
      </w:r>
      <w:r>
        <w:t>definitivní, do něhož se snažíme dostat všechny dobré gagy a podněty, jež navrhli naši zaměst</w:t>
      </w:r>
      <w:r>
        <w:t>nanci. Během několika měsíců dosáhne námět postupně své definitivní formy svědomitým přidáváním a vynecháváním jednotlivých nápadů.</w:t>
      </w:r>
    </w:p>
    <w:p w:rsidR="00500724" w:rsidRDefault="00F30FB8">
      <w:pPr>
        <w:pStyle w:val="Zkladntext1"/>
        <w:numPr>
          <w:ilvl w:val="0"/>
          <w:numId w:val="21"/>
        </w:numPr>
        <w:shd w:val="clear" w:color="auto" w:fill="auto"/>
        <w:tabs>
          <w:tab w:val="left" w:pos="462"/>
        </w:tabs>
        <w:spacing w:line="209" w:lineRule="auto"/>
      </w:pPr>
      <w:r>
        <w:t>tomto přípravném údobí jsou všichni scenáristé ně</w:t>
      </w:r>
      <w:r>
        <w:softHyphen/>
        <w:t xml:space="preserve">kolikrát svoláni k debatám o daném námětu. Schůzky se konají u přenosného </w:t>
      </w:r>
      <w:r>
        <w:t>promítacího plátna, na němž jsou upevněny kresby, ukazující hlavní myšlenky sce- naria. Téměř všichni naši scenáristé jsou výtvarníci, nikoli spisovatelé, protože při této práci je třeba vy</w:t>
      </w:r>
      <w:r>
        <w:softHyphen/>
        <w:t>jadřovat myšlenky spíše cbrazem než slovem. Scenári</w:t>
      </w:r>
      <w:r>
        <w:softHyphen/>
        <w:t xml:space="preserve">sta musí míti </w:t>
      </w:r>
      <w:r>
        <w:t>schopnost uvědomit si, jak budou jeho myšlenky vypadat na plátně. Charakteristickým zna</w:t>
      </w:r>
      <w:r>
        <w:softHyphen/>
        <w:t>kem těchto schůzek je naprosto upřímné kritika.</w:t>
      </w:r>
    </w:p>
    <w:p w:rsidR="00500724" w:rsidRDefault="00F30FB8">
      <w:pPr>
        <w:pStyle w:val="Zkladntext1"/>
        <w:numPr>
          <w:ilvl w:val="0"/>
          <w:numId w:val="21"/>
        </w:numPr>
        <w:shd w:val="clear" w:color="auto" w:fill="auto"/>
        <w:tabs>
          <w:tab w:val="left" w:pos="476"/>
        </w:tabs>
        <w:spacing w:after="60" w:line="209" w:lineRule="auto"/>
      </w:pPr>
      <w:r>
        <w:t>těchto změnách, úpravách a zlepšováních se usta</w:t>
      </w:r>
      <w:r>
        <w:softHyphen/>
        <w:t>vičně pokračuje. Na jednom scenariu, dříve než je předloženo řediteli, s</w:t>
      </w:r>
      <w:r>
        <w:t>e pracuje osm neděl až šest měsíců.</w:t>
      </w:r>
    </w:p>
    <w:p w:rsidR="00500724" w:rsidRDefault="00F30FB8">
      <w:pPr>
        <w:pStyle w:val="Zkladntext40"/>
        <w:shd w:val="clear" w:color="auto" w:fill="auto"/>
        <w:spacing w:after="0" w:line="283" w:lineRule="auto"/>
        <w:jc w:val="center"/>
        <w:rPr>
          <w:sz w:val="14"/>
          <w:szCs w:val="14"/>
        </w:rPr>
      </w:pPr>
      <w:r>
        <w:rPr>
          <w:b/>
          <w:bCs/>
          <w:sz w:val="14"/>
          <w:szCs w:val="14"/>
        </w:rPr>
        <w:t>Pozor na úskalí</w:t>
      </w:r>
    </w:p>
    <w:p w:rsidR="00500724" w:rsidRDefault="00F30FB8">
      <w:pPr>
        <w:pStyle w:val="Zkladntext1"/>
        <w:shd w:val="clear" w:color="auto" w:fill="auto"/>
        <w:spacing w:line="206" w:lineRule="auto"/>
      </w:pPr>
      <w:r>
        <w:t>Zde je několik úskalí, jimž by se naši scenáristé měli vyhýbat:</w:t>
      </w:r>
    </w:p>
    <w:p w:rsidR="00500724" w:rsidRDefault="00F30FB8">
      <w:pPr>
        <w:pStyle w:val="Zkladntext40"/>
        <w:shd w:val="clear" w:color="auto" w:fill="auto"/>
        <w:spacing w:after="0" w:line="283" w:lineRule="auto"/>
        <w:ind w:firstLine="220"/>
        <w:rPr>
          <w:sz w:val="14"/>
          <w:szCs w:val="14"/>
        </w:rPr>
      </w:pPr>
      <w:r>
        <w:rPr>
          <w:b/>
          <w:bCs/>
          <w:sz w:val="14"/>
          <w:szCs w:val="14"/>
        </w:rPr>
        <w:t>Chybná úvaha: Doufat, že námět, dobrý na film čtyřsetmetrový, se dá seškrtat na dobrý film dvěstě- metrový.</w:t>
      </w:r>
    </w:p>
    <w:p w:rsidR="00500724" w:rsidRDefault="00F30FB8">
      <w:pPr>
        <w:pStyle w:val="Zkladntext1"/>
        <w:shd w:val="clear" w:color="auto" w:fill="auto"/>
        <w:spacing w:line="211" w:lineRule="auto"/>
      </w:pPr>
      <w:r>
        <w:t>Zapomíná se na veřejnost: Celý n</w:t>
      </w:r>
      <w:r>
        <w:t>ámět je nám znám tak dobře, že máme sklon zrychlovati děj, takže diváci mu pak nerozumí docela jasně. Místa, kte</w:t>
      </w:r>
      <w:r>
        <w:softHyphen/>
        <w:t>rá mají rozpoutávat smích, přecházíme tak rychle, že publikum nemá kdy smáti se a oceniti plně jednotlivé gagy. Vkládáme do obrázku příliš mnoh</w:t>
      </w:r>
      <w:r>
        <w:t>o věcí najed</w:t>
      </w:r>
      <w:r>
        <w:softHyphen/>
        <w:t>nou, takže divák mu již nerozumí, a jenom proto, že my sami jim rozumíme, nezobrazujeme jednotlivé části svého námětu jasně.</w:t>
      </w:r>
    </w:p>
    <w:p w:rsidR="00500724" w:rsidRDefault="00F30FB8">
      <w:pPr>
        <w:pStyle w:val="Zkladntext1"/>
        <w:shd w:val="clear" w:color="auto" w:fill="auto"/>
        <w:spacing w:line="209" w:lineRule="auto"/>
      </w:pPr>
      <w:r>
        <w:t>Nápady, které se nám v jimi líbí: I velmi vtipná myšlenka může býti nevhodná do daného ná</w:t>
      </w:r>
      <w:r>
        <w:softHyphen/>
        <w:t>mětu. Bývá ovšem nemálo kruš</w:t>
      </w:r>
      <w:r>
        <w:t>né, vynechávat takové myšlenky, zvláště, když se zrodily z naší hlavy, ale děj musí plynouti bez zbytečných odboček.</w:t>
      </w:r>
    </w:p>
    <w:p w:rsidR="00500724" w:rsidRDefault="00F30FB8">
      <w:pPr>
        <w:pStyle w:val="Zkladntext1"/>
        <w:shd w:val="clear" w:color="auto" w:fill="auto"/>
        <w:spacing w:after="60" w:line="209" w:lineRule="auto"/>
      </w:pPr>
      <w:r>
        <w:t>Jemnosti Jemná myšlenka může býti velmi svůdné, ale je již předem odsouzena, že publikum ji nepochopí. Celá naše práce musí být přímá a jas</w:t>
      </w:r>
      <w:r>
        <w:t>ná. Naše technika ještě nedosáhla takové dokonalosti, aby</w:t>
      </w:r>
      <w:r>
        <w:softHyphen/>
        <w:t>chom mohli kresbou s úspěchem vyjadřovat jemnosti a abychom si mohli být jisti výsledkem.</w:t>
      </w:r>
    </w:p>
    <w:p w:rsidR="00500724" w:rsidRDefault="00F30FB8">
      <w:pPr>
        <w:pStyle w:val="Zkladntext1"/>
        <w:shd w:val="clear" w:color="auto" w:fill="auto"/>
        <w:spacing w:line="211" w:lineRule="auto"/>
        <w:ind w:firstLine="0"/>
        <w:jc w:val="center"/>
      </w:pPr>
      <w:r>
        <w:t>Námět putuje k řediteli</w:t>
      </w:r>
    </w:p>
    <w:p w:rsidR="00500724" w:rsidRDefault="00F30FB8">
      <w:pPr>
        <w:pStyle w:val="Zkladntext1"/>
        <w:shd w:val="clear" w:color="auto" w:fill="auto"/>
        <w:spacing w:line="211" w:lineRule="auto"/>
      </w:pPr>
      <w:r>
        <w:t xml:space="preserve">Když se námět i po několikaměsíční přípravě zdráhá nabýti určité formy, bývá buď zahozen nebo odložen na tak dlouho, až nám bude možné zlepšiti jej novými nápady. Když máme dojem, že </w:t>
      </w:r>
      <w:r>
        <w:rPr>
          <w:lang w:val="en-US" w:eastAsia="en-US" w:bidi="en-US"/>
        </w:rPr>
        <w:t xml:space="preserve">scenario </w:t>
      </w:r>
      <w:r>
        <w:t>je již blízké tomu, co máme na mysli, odevzdáme je řediteli a je</w:t>
      </w:r>
      <w:r>
        <w:t>ho vrchnímu scenáristovi. Ředitel je především odborní</w:t>
      </w:r>
      <w:r>
        <w:softHyphen/>
        <w:t>kem technickým, zkušeným v mechanismu filmové výroby. Není-li snad dosti zběhlý v posuzování námětů, vyrovná tuto jeho nedostatečnost vrchní scenárista.</w:t>
      </w:r>
    </w:p>
    <w:p w:rsidR="00500724" w:rsidRDefault="00F30FB8">
      <w:pPr>
        <w:pStyle w:val="Zkladntext1"/>
        <w:shd w:val="clear" w:color="auto" w:fill="auto"/>
        <w:spacing w:line="211" w:lineRule="auto"/>
      </w:pPr>
      <w:r>
        <w:t xml:space="preserve">Ředitel a vrchní scenárista teď spolu kombinují každý detail filmu, metr po metru, obraz za obrazem. Je to zdlouhavá práce. Ředitel zkrátí </w:t>
      </w:r>
      <w:r>
        <w:rPr>
          <w:lang w:val="en-US" w:eastAsia="en-US" w:bidi="en-US"/>
        </w:rPr>
        <w:t xml:space="preserve">scenario </w:t>
      </w:r>
      <w:r>
        <w:t>na žádoucí délku, upraví začátky a zakončení jednotlivých pří</w:t>
      </w:r>
      <w:r>
        <w:softHyphen/>
        <w:t>běhů a určí všechny technické podrobnosti. Roz</w:t>
      </w:r>
      <w:r>
        <w:t>hodne, kolik metrů připadne na každou příhodu a spolu s hudebním ředitelem připraví zhruba hudbu a zvukové efekty.</w:t>
      </w:r>
    </w:p>
    <w:p w:rsidR="00500724" w:rsidRDefault="00F30FB8">
      <w:pPr>
        <w:pStyle w:val="Zkladntext1"/>
        <w:shd w:val="clear" w:color="auto" w:fill="auto"/>
        <w:spacing w:line="211" w:lineRule="auto"/>
      </w:pPr>
      <w:r>
        <w:t>Když je ředitel připraven povolat k práci kreslíře^ sepíše si celý příběh na t. zv. náčrtkový nebo měrný list, který je pak jeho pracovním sc</w:t>
      </w:r>
      <w:r>
        <w:t>enariem. Je to papír, rozdělený na obdélníčky, z nichž každý znamená jeden hudební takt. Do každého obdélníčku je zapsán děj, zvukové efekty a dialog, které bude ve filmu vidět a slyšet, zatím co bude hrán ten jeden hudební takt. Tento list je vodítkem tak</w:t>
      </w:r>
      <w:r>
        <w:t xml:space="preserve">é pro hudebního ředitele, který si zatím, po několika konferencích s ředitelem, připravil uástin své partitury. Zkrátka; toto ředitelovo pracovní </w:t>
      </w:r>
      <w:r>
        <w:rPr>
          <w:lang w:val="en-US" w:eastAsia="en-US" w:bidi="en-US"/>
        </w:rPr>
        <w:t xml:space="preserve">scenario </w:t>
      </w:r>
      <w:r>
        <w:t>obsahuje kostru celého filmu. Ředitel má tak film na papíře, aniž potřebuje vyhledávat jed</w:t>
      </w:r>
      <w:r>
        <w:softHyphen/>
        <w:t>notlivé sc</w:t>
      </w:r>
      <w:r>
        <w:t>ény. Montážnímu oddělení to pomáhá určití délku jednotlivých scén a zvuků.</w:t>
      </w:r>
    </w:p>
    <w:p w:rsidR="00500724" w:rsidRDefault="00F30FB8">
      <w:pPr>
        <w:pStyle w:val="Zkladntext1"/>
        <w:shd w:val="clear" w:color="auto" w:fill="auto"/>
        <w:spacing w:line="209" w:lineRule="auto"/>
      </w:pPr>
      <w:r>
        <w:t xml:space="preserve">Teprve teď svolá ředitel šéfy kreslířského oddělení </w:t>
      </w:r>
      <w:r>
        <w:rPr>
          <w:b/>
          <w:bCs/>
          <w:sz w:val="20"/>
          <w:szCs w:val="20"/>
        </w:rPr>
        <w:t xml:space="preserve">a </w:t>
      </w:r>
      <w:r>
        <w:t>vysvětlí jim podrobně děj připravovaného filmu. Potom ji rozdá jednotlivé scény a přidělí co možná každému kreslíři ten druh dě</w:t>
      </w:r>
      <w:r>
        <w:t xml:space="preserve">je, v němž vyniká. Speciali- sace je v našem filmovém studiu všeobecná. Někteří kreslíři vynikají v tom, jak dovedou kreslit Donalda nebo myšku </w:t>
      </w:r>
      <w:r>
        <w:rPr>
          <w:lang w:val="en-US" w:eastAsia="en-US" w:bidi="en-US"/>
        </w:rPr>
        <w:t xml:space="preserve">Mickey. </w:t>
      </w:r>
      <w:r>
        <w:t>Jiní dovedou skvěle uvádět v přesný soulad pohyby rtů s dialogem, jiní kreslí zna</w:t>
      </w:r>
      <w:r>
        <w:softHyphen/>
        <w:t xml:space="preserve">menitě zvířata a jiní </w:t>
      </w:r>
      <w:r>
        <w:t>dovedou dáti potřebnou rušnost tanečním číslům nebo bláznivým honičkám. Když je kreslíř obdařen nadáním nevšedně tvůrčím, ředitel mu ponechává značnou volnost v podrobném rozvíjení děje.</w:t>
      </w:r>
    </w:p>
    <w:p w:rsidR="00500724" w:rsidRDefault="00F30FB8">
      <w:pPr>
        <w:pStyle w:val="Zkladntext1"/>
        <w:shd w:val="clear" w:color="auto" w:fill="auto"/>
        <w:spacing w:after="80" w:line="206" w:lineRule="auto"/>
      </w:pPr>
      <w:r>
        <w:t xml:space="preserve">Pro kreslíře, který takové tvůrčí nadání nemá, ředitel </w:t>
      </w:r>
      <w:r>
        <w:rPr>
          <w:b/>
          <w:bCs/>
          <w:sz w:val="20"/>
          <w:szCs w:val="20"/>
        </w:rPr>
        <w:t xml:space="preserve">a </w:t>
      </w:r>
      <w:r>
        <w:t>vrchní scená</w:t>
      </w:r>
      <w:r>
        <w:t xml:space="preserve">rista rozvinou podrobně děj, který je mu svěřen, takže pak postačí, když je dobrým kreslířem a když se přesně drží daných pokynů. Sotva více než tucet výtvarníků je dnes hodno jména znamenitých kreslířů, mistrů filmových grotesek. Nebof mistrovský kreslíř </w:t>
      </w:r>
      <w:r>
        <w:t>filmů musí být něčím více než výborným kreslí</w:t>
      </w:r>
      <w:r>
        <w:softHyphen/>
        <w:t xml:space="preserve">řem a umělcem. Musí znáti i věci tak odlišné od jeho povolání, jako je rytmus, obchodní stránka filmového podnikání a reakce filmového publika. Musí míti instinkt a znalosti dobrého herce, protože jeho postavy </w:t>
      </w:r>
      <w:r>
        <w:t xml:space="preserve">jednají pak na plátně jenom podle toho, kolik pohybu </w:t>
      </w:r>
      <w:r>
        <w:rPr>
          <w:b/>
          <w:bCs/>
          <w:sz w:val="20"/>
          <w:szCs w:val="20"/>
        </w:rPr>
        <w:t xml:space="preserve">a </w:t>
      </w:r>
      <w:r>
        <w:t>umění do nich vložil on. Musí míti také vlastnosti dobrého režiséra.</w:t>
      </w:r>
    </w:p>
    <w:p w:rsidR="00500724" w:rsidRDefault="00F30FB8">
      <w:pPr>
        <w:pStyle w:val="Zkladntext1"/>
        <w:shd w:val="clear" w:color="auto" w:fill="auto"/>
        <w:spacing w:line="209" w:lineRule="auto"/>
        <w:ind w:firstLine="0"/>
        <w:jc w:val="center"/>
      </w:pPr>
      <w:r>
        <w:t>Hledají se kreslíři</w:t>
      </w:r>
    </w:p>
    <w:p w:rsidR="00500724" w:rsidRDefault="00F30FB8">
      <w:pPr>
        <w:pStyle w:val="Zkladntext1"/>
        <w:shd w:val="clear" w:color="auto" w:fill="auto"/>
        <w:spacing w:line="206" w:lineRule="auto"/>
      </w:pPr>
      <w:r>
        <w:t>Abychom rozhojnili svůj štáb kreslířů, sháníme mladé umělce ve všech státech a rozvíjíme jejich nadání ve své šk</w:t>
      </w:r>
      <w:r>
        <w:t xml:space="preserve">ole. Budoucnost kreslených filmů leží na jejich bedrech. V příštích letech budeme potřebovat rok co </w:t>
      </w:r>
      <w:r>
        <w:rPr>
          <w:b/>
          <w:bCs/>
          <w:sz w:val="20"/>
          <w:szCs w:val="20"/>
        </w:rPr>
        <w:t xml:space="preserve">rok </w:t>
      </w:r>
      <w:r>
        <w:t>dvě stě nových mladých kreslířů. Ale jenom hrstce z nich se podaří, státi se mistry v tomto oboru. Ze zbý</w:t>
      </w:r>
      <w:r>
        <w:softHyphen/>
        <w:t>vajících 99 procent se někteří stanou asistent</w:t>
      </w:r>
      <w:r>
        <w:t>y kreslíř</w:t>
      </w:r>
      <w:r>
        <w:softHyphen/>
        <w:t>ských mistrů, z jiných budou ti vrchní kresliči pohybo</w:t>
      </w:r>
      <w:r>
        <w:softHyphen/>
        <w:t>vých obrázků, kterým jsou svěřovány scény, nevyžadu</w:t>
      </w:r>
      <w:r>
        <w:softHyphen/>
        <w:t xml:space="preserve">jící tvůrčího nadání, kdežto ostatní skončí v oddělení </w:t>
      </w:r>
      <w:r>
        <w:rPr>
          <w:b/>
          <w:bCs/>
          <w:sz w:val="20"/>
          <w:szCs w:val="20"/>
        </w:rPr>
        <w:t xml:space="preserve">pro </w:t>
      </w:r>
      <w:r>
        <w:t>kresbu dekorací nebo v oddělení pro skicy.</w:t>
      </w:r>
    </w:p>
    <w:p w:rsidR="00500724" w:rsidRDefault="00F30FB8">
      <w:pPr>
        <w:pStyle w:val="Zkladntext1"/>
        <w:shd w:val="clear" w:color="auto" w:fill="auto"/>
        <w:spacing w:line="209" w:lineRule="auto"/>
      </w:pPr>
      <w:r>
        <w:t>Když dostal od ředitele instrukce, kr</w:t>
      </w:r>
      <w:r>
        <w:t>eslíř se dává do práce. Kreslí tužkou na průhledném papíře. Každý list tohoto papíru má dole dva otvory, zapadající přesně na dva kolíčky, které jsou připevněny na kreslicím prkně. Tyto kolíčky upevňují papír, protože je nezbyt</w:t>
      </w:r>
      <w:r>
        <w:softHyphen/>
        <w:t>né, aby obrázky byly fotogra</w:t>
      </w:r>
      <w:r>
        <w:t>fovány vždycky v přesné poloze. Uprostřed kreslicího prkna a přímo pod papí</w:t>
      </w:r>
      <w:r>
        <w:softHyphen/>
        <w:t>rem je skleněné okénko, osvětlované zdola elektrickým světlem. Když si udělal první náčrtek své kresby, kreslíř jej nesundá s kreslicího prkna. Naopak: položí nový list průsvitného</w:t>
      </w:r>
      <w:r>
        <w:t xml:space="preserve"> papíru přesně na kresbu č. 1, viditel</w:t>
      </w:r>
      <w:r>
        <w:softHyphen/>
        <w:t xml:space="preserve">nou pod novým papírem tak, že je možné okopírovat ji. Načrtne si teď kresbu o. 2 a na další papíry všechny postupné kresby děje, který mu byl přidělen, ale tak, že kopíruje s první kresby jenom ty části postav, které </w:t>
      </w:r>
      <w:r>
        <w:t>zůstávají nehybné. Části, které se v ději pohybují, jsou potom postupně překreslovány na jednu kresbu za dru</w:t>
      </w:r>
      <w:r>
        <w:softHyphen/>
        <w:t>hou. Jsou to drobné postupné změny, které právě způ</w:t>
      </w:r>
      <w:r>
        <w:softHyphen/>
        <w:t>sobují, že osoby, když je pak film promítán, vypadají, jako by se pohybovaly. Kopírování nehybn</w:t>
      </w:r>
      <w:r>
        <w:t>ých částí je ovšem velikou úsporou času a zabezpečuje to také po</w:t>
      </w:r>
      <w:r>
        <w:softHyphen/>
        <w:t>stavám na každé kresbě stejnou velikost a obrys.</w:t>
      </w:r>
    </w:p>
    <w:p w:rsidR="00500724" w:rsidRDefault="00F30FB8">
      <w:pPr>
        <w:pStyle w:val="Zkladntext1"/>
        <w:shd w:val="clear" w:color="auto" w:fill="auto"/>
        <w:spacing w:line="209" w:lineRule="auto"/>
      </w:pPr>
      <w:r>
        <w:t>Někteří kreslíři dovedou pracovati tak, že používají jako vodítka předloh, to jest kreseb jednotlivé postavy v rozmanitých posicích. Protože k</w:t>
      </w:r>
      <w:r>
        <w:t>aždý kreslíř má svůj individuální styl a aspoň trochu odlišné pojetí dané po</w:t>
      </w:r>
      <w:r>
        <w:softHyphen/>
        <w:t xml:space="preserve">stavy, takové předlohy jsou nezbytné, aby myška </w:t>
      </w:r>
      <w:r>
        <w:rPr>
          <w:lang w:val="en-US" w:eastAsia="en-US" w:bidi="en-US"/>
        </w:rPr>
        <w:t xml:space="preserve">Mickey, </w:t>
      </w:r>
      <w:r>
        <w:t>kreslená různými kreslíři, měla stále stejnou podobu. U ^Sněhurky a sedmi trpaslíků* používali kreslíři jako předlohy figur</w:t>
      </w:r>
      <w:r>
        <w:t>ek z plasteliny.</w:t>
      </w:r>
    </w:p>
    <w:p w:rsidR="00500724" w:rsidRDefault="00F30FB8">
      <w:pPr>
        <w:pStyle w:val="Zkladntext1"/>
        <w:shd w:val="clear" w:color="auto" w:fill="auto"/>
        <w:spacing w:after="100" w:line="209" w:lineRule="auto"/>
      </w:pPr>
      <w:r>
        <w:t>Funkce šéfa kreslířského oddělení neboli mistra se úplně podobá funkci profesora. Asistenti provádějí většinu kreseb pod jeho dohledem. Pro zlomek děje, jehož spád vyžaduje čtyřiadvaceti kreseb ve vteřině, načrtne šéf zhruba jenom hlavní m</w:t>
      </w:r>
      <w:r>
        <w:t xml:space="preserve">omenty, na příklad kresby č. 1, 8, 16 a 24. Ostatní čísla nakreslí jeho asistenti a obyčejně pak také všechno provedou na čisto. Asistenti asistentů neboli kreslířští učedníci dělají jenom lehčí práce, na příklad dokreslování náčrtků nebo kresby sněhových </w:t>
      </w:r>
      <w:r>
        <w:t>vloček nebo včelího roje. Mistrovských kreslířů je málo a proto jich musíme využívati tak, aby se svou prací aspoň účastnili co největší části filmu.</w:t>
      </w:r>
    </w:p>
    <w:p w:rsidR="00500724" w:rsidRDefault="00F30FB8">
      <w:pPr>
        <w:pStyle w:val="Zkladntext1"/>
        <w:shd w:val="clear" w:color="auto" w:fill="auto"/>
        <w:spacing w:line="209" w:lineRule="auto"/>
        <w:ind w:firstLine="0"/>
        <w:jc w:val="center"/>
      </w:pPr>
      <w:r>
        <w:t>Zkouška v parní lázni</w:t>
      </w:r>
    </w:p>
    <w:p w:rsidR="00500724" w:rsidRDefault="00F30FB8">
      <w:pPr>
        <w:pStyle w:val="Zkladntext1"/>
        <w:shd w:val="clear" w:color="auto" w:fill="auto"/>
        <w:spacing w:line="209" w:lineRule="auto"/>
      </w:pPr>
      <w:r>
        <w:t xml:space="preserve">Prvním kresbám tužkou se říká </w:t>
      </w:r>
      <w:r>
        <w:rPr>
          <w:lang w:val="en-US" w:eastAsia="en-US" w:bidi="en-US"/>
        </w:rPr>
        <w:t xml:space="preserve">roughs </w:t>
      </w:r>
      <w:r>
        <w:t>(hrubý náčrt). Když některé oddělení skončilo p</w:t>
      </w:r>
      <w:r>
        <w:t>řidělenou scé</w:t>
      </w:r>
      <w:r>
        <w:softHyphen/>
        <w:t>nu, výjev je ofotografován a promítán na plátno v malé místnosti, zvané sparní lázeň* (sweat-box). Právě tam ředitel, vrchní scenárista, kreslíři a také já se díváme na celou scénu, kritisujeme ji, analysujeme náčrtky kreslířů a zjišťujeme, z</w:t>
      </w:r>
      <w:r>
        <w:t>dali děj probíhá nerušeně. Dě</w:t>
      </w:r>
      <w:r>
        <w:softHyphen/>
        <w:t>láme při tom mnoho změn a prohlížíme ten výjev ně</w:t>
      </w:r>
      <w:r>
        <w:softHyphen/>
        <w:t>kolik hodin, ba někdy i několik dní, než nás uspokojí. Tak na příklad Sněhurka byla překreslována pětkrát. Právě pro tuto naši péči o jakost vytvoří naši kreslíři průměrně jeno</w:t>
      </w:r>
      <w:r>
        <w:t>m asi metr nebo metr dvacet děje denně.</w:t>
      </w:r>
    </w:p>
    <w:p w:rsidR="00500724" w:rsidRDefault="00F30FB8">
      <w:pPr>
        <w:pStyle w:val="Zkladntext1"/>
        <w:shd w:val="clear" w:color="auto" w:fill="auto"/>
        <w:spacing w:line="209" w:lineRule="auto"/>
      </w:pPr>
      <w:r>
        <w:t>Zatím co kreslíři živých postav a věcí načrtávají své figurky v pohybu, oddělení pro kresbu dekorací a efektů řeší zase své zvláštní problémy. s&gt;Efekty&lt; se říká všem speciálním pohybům, jako jsou na př. po</w:t>
      </w:r>
      <w:r>
        <w:softHyphen/>
        <w:t>hyby stínů</w:t>
      </w:r>
      <w:r>
        <w:t>, měsíčního světla, mraků, deště, sněhu a vodopádů. Dekorace jsou malovány akvarelovými bar</w:t>
      </w:r>
      <w:r>
        <w:softHyphen/>
        <w:t>vami na tuhý kreslicí papír. Naši »dekoratéři« jsou vesměs umělci velmi zkušení v barvách, v krajinářství, v dekoracích a v jevištním osvětlování. Musejí vědět, jak</w:t>
      </w:r>
      <w:r>
        <w:t xml:space="preserve"> budou jejich barvy vypadat na fotografii, neboť &gt;technikolor&lt; nereprodukuje všechny barvy přesně.</w:t>
      </w:r>
    </w:p>
    <w:p w:rsidR="00500724" w:rsidRDefault="00F30FB8">
      <w:pPr>
        <w:pStyle w:val="Zkladntext1"/>
        <w:shd w:val="clear" w:color="auto" w:fill="auto"/>
        <w:spacing w:line="211" w:lineRule="auto"/>
      </w:pPr>
      <w:r>
        <w:t>Když svou práci skončili i kreslíři dekorací, jsou tužkové kresby kreslířů pohybových poslány do od</w:t>
      </w:r>
      <w:r>
        <w:softHyphen/>
        <w:t>dělení, kde jsou tuší kopírovány na celuloidové listy, si</w:t>
      </w:r>
      <w:r>
        <w:t>lné asi desetinu milimetru. V tomto oddělení jsou zaměstnávány jenom ženy, protože jejich povaha se lépe přizpůsobuje takové práci, vyžadující veliké po</w:t>
      </w:r>
      <w:r>
        <w:softHyphen/>
        <w:t>zornosti a trpělivosti. Většina jich studovala na umě</w:t>
      </w:r>
      <w:r>
        <w:softHyphen/>
        <w:t>leckých akademiích. Je naprosto nezbytné, aby do</w:t>
      </w:r>
      <w:r>
        <w:softHyphen/>
      </w:r>
      <w:r>
        <w:t>vedly kreslit přesně, bez nejmenší chybičky, protože i nejmenší záchvěv na kreslené čáře a sebe nepatrnější odchylka v síle čáry budou na plátně zvětšeny několika- setnásobně.</w:t>
      </w:r>
    </w:p>
    <w:p w:rsidR="00500724" w:rsidRDefault="00F30FB8">
      <w:pPr>
        <w:pStyle w:val="Zkladntext1"/>
        <w:shd w:val="clear" w:color="auto" w:fill="auto"/>
        <w:spacing w:after="60" w:line="209" w:lineRule="auto"/>
      </w:pPr>
      <w:r>
        <w:t xml:space="preserve">Když tyto »inkoustářky« okopírovaly tužkové kresby na očíslované celuloidové </w:t>
      </w:r>
      <w:r>
        <w:t>listy, jiná skupina žen na</w:t>
      </w:r>
      <w:r>
        <w:softHyphen/>
        <w:t>náší na rub listů barvy. Barvy míchají v laboratoři tohoto oddělení zvláštní odbornice. »Celulky« pro</w:t>
      </w:r>
      <w:r>
        <w:softHyphen/>
        <w:t>cházejí malířským oddělením podobně jako auto na pracovním pásu. Stovka žen potřebuje asi týden, než obtáhne tuší a pomaluje do</w:t>
      </w:r>
      <w:r>
        <w:t>cela krátký příběh</w:t>
      </w:r>
    </w:p>
    <w:p w:rsidR="00500724" w:rsidRDefault="00F30FB8">
      <w:pPr>
        <w:pStyle w:val="Zkladntext1"/>
        <w:shd w:val="clear" w:color="auto" w:fill="auto"/>
        <w:spacing w:line="209" w:lineRule="auto"/>
        <w:ind w:firstLine="0"/>
        <w:jc w:val="center"/>
      </w:pPr>
      <w:r>
        <w:t>»T o ě í m e«</w:t>
      </w:r>
    </w:p>
    <w:p w:rsidR="00500724" w:rsidRDefault="00F30FB8">
      <w:pPr>
        <w:pStyle w:val="Zkladntext1"/>
        <w:shd w:val="clear" w:color="auto" w:fill="auto"/>
        <w:spacing w:line="209" w:lineRule="auto"/>
      </w:pPr>
      <w:r>
        <w:t>Když jsou všechny »cclulky« — s pohybovými obráz</w:t>
      </w:r>
      <w:r>
        <w:softHyphen/>
        <w:t>ky i s dekoracemi — hotovy shromáždí se ve snímko</w:t>
      </w:r>
      <w:r>
        <w:softHyphen/>
        <w:t>vém oddělení. Hollywoodští operatéři s&gt;natáčejí«. Naši fotografují každý obrázek zvlášť. Ale jedni i druzí po</w:t>
      </w:r>
      <w:r>
        <w:softHyphen/>
        <w:t>užívají podobn</w:t>
      </w:r>
      <w:r>
        <w:t>ých aparátů. Naše aparáty jsou fixní a jsou upevněny kolmo nad stolem, na němž jsou shro</w:t>
      </w:r>
      <w:r>
        <w:softHyphen/>
        <w:t>mážděny kresby, zvané sframec neboli rámečky. Stůl je opatřen značkovacími kolíčky, aby rámečky ležely vždycky přesně na témž místě. Na kolíčky se .vloží napřed »pozad</w:t>
      </w:r>
      <w:r>
        <w:t>í&lt; a potom čtyři »celulky« s kresbami postav. Když má &gt;frame&lt; jenom tři s&gt;ceíulky«, přidá</w:t>
      </w:r>
      <w:r>
        <w:softHyphen/>
        <w:t>váme jednu prázdnou, abychom měli stálou hustotu světla, protože celuloid není úpině čistě průsvitný. Zkrátka: každý snímek vzniká ofotografováním čtyř &gt;celulekc, pol</w:t>
      </w:r>
      <w:r>
        <w:t>ožených na pozadí.</w:t>
      </w:r>
    </w:p>
    <w:p w:rsidR="00500724" w:rsidRDefault="00F30FB8">
      <w:pPr>
        <w:pStyle w:val="Zkladntext1"/>
        <w:shd w:val="clear" w:color="auto" w:fill="auto"/>
        <w:spacing w:line="209" w:lineRule="auto"/>
      </w:pPr>
      <w:r>
        <w:t>Jakmile je rámeček č. i pohromadě, operatér stiskne knoflík a obrázek je ofotografován. s&gt;Celulky« se s ko</w:t>
      </w:r>
      <w:r>
        <w:softHyphen/>
        <w:t>líčků sundají a na totéž pozadí se vloží čtyři nové sce- lulky«, rámeček č. 2 se ofotografuje a tak se pokračuje, až je hotova cel</w:t>
      </w:r>
      <w:r>
        <w:t>á scéna s týmž pozadím. Pak se vezme pozadí další scény a fotografování pokračuje. Při tomto pracném postupu je třeba asi stovky hodin, než je, obrázek za obrázkem, na fotografován kratičký osmi</w:t>
      </w:r>
      <w:r>
        <w:softHyphen/>
        <w:t>minutový film, kdežto u obyčejného filmu trvá natáčení scény,</w:t>
      </w:r>
      <w:r>
        <w:t xml:space="preserve"> která na plátně běží osm minut, také jenom osm minut.</w:t>
      </w:r>
    </w:p>
    <w:p w:rsidR="00500724" w:rsidRDefault="00F30FB8">
      <w:pPr>
        <w:pStyle w:val="Zkladntext1"/>
        <w:shd w:val="clear" w:color="auto" w:fill="auto"/>
        <w:spacing w:line="209" w:lineRule="auto"/>
        <w:ind w:firstLine="0"/>
        <w:jc w:val="center"/>
      </w:pPr>
      <w:r>
        <w:t>Zvukové efekty</w:t>
      </w:r>
    </w:p>
    <w:p w:rsidR="00500724" w:rsidRDefault="00F30FB8">
      <w:pPr>
        <w:pStyle w:val="Zkladntext1"/>
        <w:shd w:val="clear" w:color="auto" w:fill="auto"/>
        <w:spacing w:line="209" w:lineRule="auto"/>
        <w:ind w:firstLine="240"/>
      </w:pPr>
      <w:r>
        <w:t>Ve svých ateliérech máme skupinu čtyř mužů, kteří byli dříve zaměstnáni většinou v rozhlase, jsou specia</w:t>
      </w:r>
      <w:r>
        <w:softHyphen/>
        <w:t>listy ve zvukových efektech a stále v tomto oboru badají. Výsledků jejich práce b</w:t>
      </w:r>
      <w:r>
        <w:t>ude použito v budouc</w:t>
      </w:r>
      <w:r>
        <w:softHyphen/>
        <w:t>nosti. Máme také mnoho aparátů, jimiž lze dosáhnouti téměř všech zvukových efektů, a ti lidé nám s nimi do</w:t>
      </w:r>
      <w:r>
        <w:softHyphen/>
        <w:t>vedou vytvářet všechny zvuky, kterých potřebujeme.</w:t>
      </w:r>
    </w:p>
    <w:p w:rsidR="00500724" w:rsidRDefault="00F30FB8">
      <w:pPr>
        <w:pStyle w:val="Zkladntext1"/>
        <w:shd w:val="clear" w:color="auto" w:fill="auto"/>
        <w:spacing w:line="209" w:lineRule="auto"/>
        <w:ind w:firstLine="240"/>
      </w:pPr>
      <w:r>
        <w:t>Když na příklad potřebujeme hukot prudkého lijáku, můžeme použiti buď strojů,</w:t>
      </w:r>
      <w:r>
        <w:t xml:space="preserve"> napodobujících dešf, neoo když ten zvuk chceme míti hodně silný, naši speciali</w:t>
      </w:r>
      <w:r>
        <w:softHyphen/>
        <w:t>sté napodobí lijavec ústy a hudebními nástroji. Když potřebujeme zvuk, který dělá žvýkající obr, můžeme použiti buď skutečného zvuku nějakého drtiče kameni nebo se ten zvuk nap</w:t>
      </w:r>
      <w:r>
        <w:t>odobí drcením hrstky písku.</w:t>
      </w:r>
    </w:p>
    <w:p w:rsidR="00500724" w:rsidRDefault="00F30FB8">
      <w:pPr>
        <w:pStyle w:val="Zkladntext1"/>
        <w:shd w:val="clear" w:color="auto" w:fill="auto"/>
        <w:spacing w:line="209" w:lineRule="auto"/>
        <w:ind w:firstLine="240"/>
      </w:pPr>
      <w:r>
        <w:t>Karikatura je umění, jehož účelem je vyjadřovat podstatu předmětu nebo osobu zdůrazňováním a pře- střelováním jejich charakteristických znaků. To platí také o našich karikaturách zvukových. Když přehání</w:t>
      </w:r>
      <w:r>
        <w:softHyphen/>
        <w:t>me nějaký tón, buď tím ka</w:t>
      </w:r>
      <w:r>
        <w:t>rikujeme zvuk sám, nebo tím upozorňujeme na nějaký charakteristický znak oso</w:t>
      </w:r>
      <w:r>
        <w:softHyphen/>
        <w:t>by nebo předmětu, kteří ten zvuk vydávají. Tak na pří</w:t>
      </w:r>
      <w:r>
        <w:softHyphen/>
        <w:t>klad typický rytmický hukot a prskoí přehřátého aero- plánového motoru je zvukový efekt, který probouzí smích, protože stupňu</w:t>
      </w:r>
      <w:r>
        <w:t>je důvěrně známý zvuk k vrcholné burlesknosti. Ačkoli žádný aeroplán nikdy nevydával takový hukot jako naše letadla, zvuky, které vytváříme, jenom zvýrazňují základní rytmus a hukot opravdových leteckých motorů. Nebo jiný příklad: v našem filmu Zajícaželva</w:t>
      </w:r>
      <w:r>
        <w:t>je zajícova hrozná rychlost karikována realistickým zvukovým efektem. Když se zajíc najednou v plné rychlosti zastavuje, je slyšet zvuk skřípajících automobilových brzd. Tento zvuk byl opravdu zazna</w:t>
      </w:r>
      <w:r>
        <w:softHyphen/>
        <w:t>menán na zvukový pás před naším atelierem. Kdyby týž zvuk</w:t>
      </w:r>
      <w:r>
        <w:t xml:space="preserve"> byl na plátno promítán zároveň s brzdícím autem, dojem by byl mnohem slabší, leda že bychom zvuk zesílili do směšnosti.</w:t>
      </w:r>
    </w:p>
    <w:p w:rsidR="00500724" w:rsidRDefault="00F30FB8">
      <w:pPr>
        <w:pStyle w:val="Zkladntext1"/>
        <w:shd w:val="clear" w:color="auto" w:fill="auto"/>
        <w:spacing w:after="120" w:line="209" w:lineRule="auto"/>
        <w:ind w:firstLine="240"/>
      </w:pPr>
      <w:r>
        <w:t>Zvukové efekty, hudba a dialogy jsou zaznamenává</w:t>
      </w:r>
      <w:r>
        <w:softHyphen/>
        <w:t>ny na zvukové pásy, pospojované potom v jediný pás. Dialog byl zaznamenán ještě dříve,</w:t>
      </w:r>
      <w:r>
        <w:t xml:space="preserve"> než byly zhotoveny kresby, aby pohyb rtů mohl býti nakreslen v časové shodě s ním. Toho se dosahuje tím, že kreslíř si potřeb</w:t>
      </w:r>
      <w:r>
        <w:softHyphen/>
        <w:t>ná slova vyslovuje před zrcadlem a kopíruje pohyby vlastních rtů.</w:t>
      </w:r>
    </w:p>
    <w:p w:rsidR="00500724" w:rsidRDefault="00F30FB8">
      <w:pPr>
        <w:pStyle w:val="Zkladntext1"/>
        <w:shd w:val="clear" w:color="auto" w:fill="auto"/>
        <w:spacing w:line="209" w:lineRule="auto"/>
        <w:ind w:firstLine="0"/>
        <w:jc w:val="center"/>
      </w:pPr>
      <w:r>
        <w:t>Budoucnost kresleného filmu</w:t>
      </w:r>
    </w:p>
    <w:p w:rsidR="00500724" w:rsidRDefault="00F30FB8">
      <w:pPr>
        <w:pStyle w:val="Zkladntext1"/>
        <w:shd w:val="clear" w:color="auto" w:fill="auto"/>
        <w:spacing w:line="209" w:lineRule="auto"/>
        <w:ind w:firstLine="240"/>
      </w:pPr>
      <w:r>
        <w:t xml:space="preserve">V budoucnosti budeme vyrábět ještě </w:t>
      </w:r>
      <w:r>
        <w:t xml:space="preserve">více takových </w:t>
      </w:r>
      <w:r>
        <w:rPr>
          <w:lang w:val="en-US" w:eastAsia="en-US" w:bidi="en-US"/>
        </w:rPr>
        <w:t xml:space="preserve">Silly Symphonies, </w:t>
      </w:r>
      <w:r>
        <w:t xml:space="preserve">kde se čistá fantasie bude rozvíjet podle hudebních melodií: to bylo ostatně naší první myšlenkou při jejich vzniku. V příštích letech budeme vytvářet co nejvíce symfonií tanečních. Děj, kontrolovaný hudebním doprovodem, je </w:t>
      </w:r>
      <w:r>
        <w:t>velmi půvabný v království neskutečnosti, kdežto ve filmech, kde se snažíme vzbuzovat ilusi skutečnosti, nám hudba klade přesné hranice.</w:t>
      </w:r>
    </w:p>
    <w:p w:rsidR="00500724" w:rsidRDefault="00F30FB8">
      <w:pPr>
        <w:pStyle w:val="Zkladntext1"/>
        <w:shd w:val="clear" w:color="auto" w:fill="auto"/>
        <w:spacing w:line="206" w:lineRule="auto"/>
        <w:ind w:firstLine="240"/>
      </w:pPr>
      <w:r>
        <w:t>Technické zdokonalování, jež ustavičně prohlubuje</w:t>
      </w:r>
      <w:r>
        <w:softHyphen/>
        <w:t>me a rozšiřujeme, nám umožní zdůrazňovat čím dále tím lépe komické si</w:t>
      </w:r>
      <w:r>
        <w:t xml:space="preserve">tuace, vznikající z povahy našich postaviček a z jejich žertíků. A souběžně s tím budeme čím dále tím více ubírat podružných mechanických g a g ů. Je pravděpodobné, že občas vyvedeme </w:t>
      </w:r>
      <w:r>
        <w:rPr>
          <w:lang w:val="en-US" w:eastAsia="en-US" w:bidi="en-US"/>
        </w:rPr>
        <w:t xml:space="preserve">Mickey </w:t>
      </w:r>
      <w:r>
        <w:rPr>
          <w:sz w:val="22"/>
          <w:szCs w:val="22"/>
        </w:rPr>
        <w:t xml:space="preserve">z </w:t>
      </w:r>
      <w:r>
        <w:t>ovzduší selského dvora a malého města a že jí přidělí</w:t>
      </w:r>
      <w:r>
        <w:softHyphen/>
        <w:t>me úlohy h</w:t>
      </w:r>
      <w:r>
        <w:t>odně fantastické nebo z ní uděláme 1 drno</w:t>
      </w:r>
      <w:r>
        <w:softHyphen/>
        <w:t>vou hvězdu některých známých pohádek.</w:t>
      </w:r>
    </w:p>
    <w:p w:rsidR="00500724" w:rsidRDefault="00F30FB8">
      <w:pPr>
        <w:pStyle w:val="Zkladntext1"/>
        <w:shd w:val="clear" w:color="auto" w:fill="auto"/>
        <w:spacing w:line="230" w:lineRule="auto"/>
      </w:pPr>
      <w:r>
        <w:t>Myslíme, že naše celovečerní filmy velmi zvýší zájem o kreslené filmy i úctu k nim. Nevidíme žádný logický důvod, pro který by kreslený film nemohl zájem a po</w:t>
      </w:r>
      <w:r>
        <w:softHyphen/>
        <w:t>zornost publika u</w:t>
      </w:r>
      <w:r>
        <w:t>poutat po celých devadesát minut, tedy stejně jako obyčejný celovečerní film.</w:t>
      </w:r>
    </w:p>
    <w:p w:rsidR="00500724" w:rsidRDefault="00F30FB8">
      <w:pPr>
        <w:pStyle w:val="Zkladntext1"/>
        <w:shd w:val="clear" w:color="auto" w:fill="auto"/>
        <w:spacing w:line="216" w:lineRule="auto"/>
      </w:pPr>
      <w:r>
        <w:t xml:space="preserve">Ve svých velkofilmech se patrně budeme snažit, abychom v nich neměli jen a jen postavy lidské. To je věc Hollywoodu. My máme své vlastní království, v němž drobná zvířátka, ba i </w:t>
      </w:r>
      <w:r>
        <w:t xml:space="preserve">neživé předměty mohou mluvit, myslit a jednat jako bytosti lidské, ale s větším půvabem. Ačkoli jsme dosáhli již značné dokonalosti v práci s lidskými postavičkami, bude nám trvat ještě mnoho let, než se nám podaří kreslit je stejně poutavě jako zvířátka. </w:t>
      </w:r>
      <w:r>
        <w:t xml:space="preserve">To vyplývá hlavně z toho, že publikum je mnohem kritičtější při posuzování kreslených postav lidských, nebof ví přesně, jak vypadá člověk a jak jedná, kdežto naše karikovaná podání zvířat přijímá bez výhrad, protože je divák nepozoroval dosti pečlivě. Náš </w:t>
      </w:r>
      <w:r>
        <w:t>vyjadřovací způsob bude míti jednoho dne umělce schopné vyjadřovat kresbou všechny city, ale i pak to bude umění karikatury a nikoli pouhé napodobo</w:t>
      </w:r>
      <w:r>
        <w:softHyphen/>
        <w:t>vání slavných jevištních nebo filmových herců.</w:t>
      </w:r>
    </w:p>
    <w:p w:rsidR="00500724" w:rsidRDefault="00F30FB8">
      <w:pPr>
        <w:pStyle w:val="Zkladntext1"/>
        <w:shd w:val="clear" w:color="auto" w:fill="auto"/>
        <w:spacing w:after="460" w:line="209" w:lineRule="auto"/>
      </w:pPr>
      <w:r>
        <w:t>Při rychlosti, s níž moji mladí umělci dosáhli mi</w:t>
      </w:r>
      <w:r>
        <w:softHyphen/>
        <w:t xml:space="preserve">strovského </w:t>
      </w:r>
      <w:r>
        <w:t>ovládání kreslířské techniky, je možné, ‘že zanedlouho uvidíme nádherné kreslené filmy, opravdo</w:t>
      </w:r>
      <w:r>
        <w:softHyphen/>
        <w:t>vá veledíla. Také kreslené filmy budou jednou míti své geniální umělce, to se rozumí samo sebou. Nikdy se proto nesmí zapomínat, že náš vyjadřovací způsob, posu</w:t>
      </w:r>
      <w:r>
        <w:t>zovaný jakožto umění, je dosuď mladý, že ještě nevyzrál, a že také naši umělci jsou dosud mladí a ne</w:t>
      </w:r>
      <w:r>
        <w:softHyphen/>
        <w:t>zralí. Zatím ještě stále hledáme svou cestu — čerpajíce zkušenosti ze svých pokusů a omylů — ale ustavičně se zdokonalujeme ve všech oborech svého zaměstná</w:t>
      </w:r>
      <w:r>
        <w:t>ní.</w:t>
      </w:r>
    </w:p>
    <w:p w:rsidR="00500724" w:rsidRDefault="00F30FB8">
      <w:pPr>
        <w:pStyle w:val="Jin0"/>
        <w:pBdr>
          <w:bottom w:val="single" w:sz="4" w:space="0" w:color="auto"/>
        </w:pBdr>
        <w:shd w:val="clear" w:color="auto" w:fill="auto"/>
        <w:spacing w:after="280"/>
        <w:ind w:firstLine="0"/>
        <w:jc w:val="left"/>
        <w:rPr>
          <w:sz w:val="44"/>
          <w:szCs w:val="44"/>
        </w:rPr>
      </w:pPr>
      <w:r>
        <w:rPr>
          <w:b/>
          <w:bCs/>
          <w:sz w:val="44"/>
          <w:szCs w:val="44"/>
        </w:rPr>
        <w:t>doba a lidé</w:t>
      </w:r>
    </w:p>
    <w:p w:rsidR="00500724" w:rsidRDefault="00F30FB8">
      <w:pPr>
        <w:pStyle w:val="Zkladntext1"/>
        <w:shd w:val="clear" w:color="auto" w:fill="auto"/>
        <w:spacing w:line="199" w:lineRule="auto"/>
        <w:ind w:firstLine="0"/>
        <w:rPr>
          <w:sz w:val="20"/>
          <w:szCs w:val="20"/>
        </w:rPr>
      </w:pPr>
      <w:r>
        <w:rPr>
          <w:i/>
          <w:iCs/>
          <w:sz w:val="20"/>
          <w:szCs w:val="20"/>
        </w:rPr>
        <w:t>Kornel Synek:</w:t>
      </w:r>
    </w:p>
    <w:p w:rsidR="00500724" w:rsidRDefault="00F30FB8">
      <w:pPr>
        <w:pStyle w:val="Nadpis100"/>
        <w:shd w:val="clear" w:color="auto" w:fill="auto"/>
        <w:spacing w:after="0" w:line="240" w:lineRule="auto"/>
      </w:pPr>
      <w:bookmarkStart w:id="199" w:name="bookmark198"/>
      <w:r>
        <w:t>V bludišti černé bursy</w:t>
      </w:r>
      <w:bookmarkEnd w:id="199"/>
    </w:p>
    <w:p w:rsidR="00500724" w:rsidRDefault="00F30FB8">
      <w:pPr>
        <w:pStyle w:val="Zkladntext1"/>
        <w:shd w:val="clear" w:color="auto" w:fill="auto"/>
        <w:spacing w:line="211" w:lineRule="auto"/>
      </w:pPr>
      <w:r>
        <w:t>Sedí-li dnes u mramorového stolku některé pražské kavárny dva nebo tři muži, mluvící důležitým šeptem, můžete se vsadit, že hovoří o vystěhovalectví a přeško</w:t>
      </w:r>
      <w:r>
        <w:softHyphen/>
        <w:t>lování, o cestovních pasech a devisových před</w:t>
      </w:r>
      <w:r>
        <w:t>pisech, o podnebí na San Domingu — a samozřejmě o záru</w:t>
      </w:r>
      <w:r>
        <w:softHyphen/>
        <w:t xml:space="preserve">kách, které jednotlivé státy od vystěhovalců žádají. Není těžko poznat, jak jsou tito lidé neklidní </w:t>
      </w:r>
      <w:r>
        <w:rPr>
          <w:b/>
          <w:bCs/>
          <w:sz w:val="20"/>
          <w:szCs w:val="20"/>
        </w:rPr>
        <w:t xml:space="preserve">a </w:t>
      </w:r>
      <w:r>
        <w:t>ne</w:t>
      </w:r>
      <w:r>
        <w:softHyphen/>
        <w:t>trpěliví, jak úzkostlivě sledují každou zprávu o nových vystěhovaleckých nařízeních a jak je nej</w:t>
      </w:r>
      <w:r>
        <w:t>istota vyčer</w:t>
      </w:r>
      <w:r>
        <w:softHyphen/>
        <w:t>pává. Nejsou to jenom emigranti z Německa a z býva</w:t>
      </w:r>
      <w:r>
        <w:softHyphen/>
        <w:t>lého Rakouska, kteří už mají za sebou důkladnou školu, a nejsou to pouze němečtí nebo židovští uprchlíci z připojených krajů. K odjezdu do zámoří chystá se také hodně zdejších židů a ovšem i m</w:t>
      </w:r>
      <w:r>
        <w:t>nozí čeští uprchlíci, kteří se chtějí pokusit o štěstí v daleké cizině. Nevím přesně, kolik je to lidí. Zato vím však naprosto bezpeč</w:t>
      </w:r>
      <w:r>
        <w:softHyphen/>
        <w:t>ně: nad tímto zástupem příštích vystěhovalců je už natažena síť černé bursy a všude tam, kde se budoucí emigranti scházejí</w:t>
      </w:r>
      <w:r>
        <w:t>, pohybují se také agenti neviditelné finanční instituce, která nesídlí v žádné honosné budově a nevydává ani záznamy kursů, ačkoli nabízí a prodává všechno, oč se dav vystěhovalců zajímá.</w:t>
      </w:r>
    </w:p>
    <w:p w:rsidR="00500724" w:rsidRDefault="00F30FB8">
      <w:pPr>
        <w:pStyle w:val="Zkladntext1"/>
        <w:shd w:val="clear" w:color="auto" w:fill="auto"/>
        <w:spacing w:line="211" w:lineRule="auto"/>
        <w:ind w:firstLine="0"/>
        <w:jc w:val="center"/>
      </w:pPr>
      <w:r>
        <w:t>Nové postavy před našimi soudy</w:t>
      </w:r>
    </w:p>
    <w:p w:rsidR="00500724" w:rsidRDefault="00F30FB8">
      <w:pPr>
        <w:pStyle w:val="Zkladntext1"/>
        <w:shd w:val="clear" w:color="auto" w:fill="auto"/>
        <w:spacing w:line="211" w:lineRule="auto"/>
        <w:sectPr w:rsidR="00500724">
          <w:footnotePr>
            <w:numFmt w:val="chicago"/>
            <w:numRestart w:val="eachPage"/>
          </w:footnotePr>
          <w:pgSz w:w="11909" w:h="16834"/>
          <w:pgMar w:top="1546" w:right="832" w:bottom="1192" w:left="689" w:header="0" w:footer="3" w:gutter="0"/>
          <w:cols w:num="2" w:space="100"/>
          <w:noEndnote/>
          <w:docGrid w:linePitch="360"/>
        </w:sectPr>
      </w:pPr>
      <w:r>
        <w:t xml:space="preserve">Dnes už </w:t>
      </w:r>
      <w:r>
        <w:t>nemine skoro ani jediný den, aby zprávy bezpečnostních orgánů nehlásily, co se na černé burse odehrálo. Z těch zpráv můžeme si snadno představit, kolik je už obětí na černé burse a čím se tato tajemná</w:t>
      </w:r>
    </w:p>
    <w:p w:rsidR="00500724" w:rsidRDefault="00F30FB8">
      <w:pPr>
        <w:pStyle w:val="Zkladntext1"/>
        <w:shd w:val="clear" w:color="auto" w:fill="auto"/>
        <w:spacing w:after="40"/>
        <w:ind w:firstLine="0"/>
      </w:pPr>
      <w:r>
        <w:t>podzemní organisace zabývá. Vyslechněte alespoň ně</w:t>
      </w:r>
      <w:r>
        <w:softHyphen/>
      </w:r>
      <w:r>
        <w:t>kolik hlášení:</w:t>
      </w:r>
    </w:p>
    <w:p w:rsidR="00500724" w:rsidRDefault="00F30FB8">
      <w:pPr>
        <w:pStyle w:val="Zkladntext1"/>
        <w:shd w:val="clear" w:color="auto" w:fill="auto"/>
        <w:spacing w:after="40" w:line="223" w:lineRule="auto"/>
        <w:ind w:firstLine="240"/>
        <w:rPr>
          <w:sz w:val="20"/>
          <w:szCs w:val="20"/>
        </w:rPr>
      </w:pPr>
      <w:r>
        <w:rPr>
          <w:sz w:val="20"/>
          <w:szCs w:val="20"/>
        </w:rPr>
        <w:t xml:space="preserve">»Na policejním ředitelství v Praze učinil trestní oznámeni pro podvod dr. L. E. z Trnavy na dva občany, kteří na něm vylákali 66.000 K na hotovosti se záminkou, že mu opatří povolení vývozu 300 liber šterlinků (42 tisíc K). Tvrdili, </w:t>
      </w:r>
      <w:r>
        <w:t xml:space="preserve">že </w:t>
      </w:r>
      <w:r>
        <w:rPr>
          <w:sz w:val="20"/>
          <w:szCs w:val="20"/>
        </w:rPr>
        <w:t xml:space="preserve">mají </w:t>
      </w:r>
      <w:r>
        <w:rPr>
          <w:sz w:val="20"/>
          <w:szCs w:val="20"/>
        </w:rPr>
        <w:t>styky s vlivnými osobami a že věc spolehlivě vyřídí.«</w:t>
      </w:r>
    </w:p>
    <w:p w:rsidR="00500724" w:rsidRDefault="00F30FB8">
      <w:pPr>
        <w:pStyle w:val="Zkladntext1"/>
        <w:shd w:val="clear" w:color="auto" w:fill="auto"/>
        <w:spacing w:after="40" w:line="233" w:lineRule="auto"/>
        <w:ind w:firstLine="240"/>
      </w:pPr>
      <w:r>
        <w:t>Není snad třeba ujišťovat, že tento důvěřivý muž ne</w:t>
      </w:r>
      <w:r>
        <w:softHyphen/>
        <w:t>dostal zpět ani haléře a dal se prostě oklamat, ačkoli je to graduovaný člověk. »Obchod« se týkal anglické libry, která je na černé burse nejhledanějš</w:t>
      </w:r>
      <w:r>
        <w:t>ím zbožím. Jistou zvláštnost ovšem laik nepostřehne, protože patří k obchodním tajemstvím černé bursy. 300 liber za 42 tisíc K? Kdyby někdo nabídl takovou kupní cenu agentu černé bursy, považoval by ho jistě za slabomysl</w:t>
      </w:r>
      <w:r>
        <w:softHyphen/>
        <w:t>ného. Začátkem ledna prodávala čern</w:t>
      </w:r>
      <w:r>
        <w:t>á bursa libru za 600 až 700 K, pak klesla cena na 400 až 500 K. Chápe</w:t>
      </w:r>
      <w:r>
        <w:softHyphen/>
        <w:t>me sice, že policejní zpráva počítá libru za úřední kurs, ale na černé burse platí docela jiné zákony nabídky a poptávky. Hlavní agenti černé bursy dostávají denně zprávy ze všech evrops</w:t>
      </w:r>
      <w:r>
        <w:t>kých hlavních měst a počítají se všemi okolnostmi, především však se svízel</w:t>
      </w:r>
      <w:r>
        <w:softHyphen/>
        <w:t>nou situací lidí, hodlajících se vystěhovat. Každý vy- stěhovalec ví, kolik peněz maže při odjezdu vyvézt, a má-li víc, než předpisy dovolují, snaží se obejít zákony všemi způsoby.</w:t>
      </w:r>
      <w:r>
        <w:t xml:space="preserve"> Hraje vysokou a nebezpečnou hru, při které může ztratit nejen jmění, ale i svobodu. Přes to sází slepě na podvodnou kartu, kterou mu agent černé bursy nabízí. 90 procent obchodů, které se na černé burse uzavírají, jsou vyložené podvody — a zbytek se podob</w:t>
      </w:r>
      <w:r>
        <w:t>á tanci mezi paragrafy trestního zákona. Způsob, o kterém mluví policejní zpráva, je při měnových obchodech na černé burse nejčastější. Agent — nebo podvodník, jak chcete — předstírá, že má někde v cizi</w:t>
      </w:r>
      <w:r>
        <w:softHyphen/>
        <w:t>ně libry, dolary, švýcarské franky nebo také holandsk</w:t>
      </w:r>
      <w:r>
        <w:t>é zlaté. Žádá za ně mnohonásobně víc, než je úřední kurs, a chce ovšem dostat kupní cenu nebo aspoň zálohu pře</w:t>
      </w:r>
      <w:r>
        <w:softHyphen/>
        <w:t>dem. Pak se ovšem ukáže, že nemá vůbec nic, ale oběť je bezmocná. Není mnoho lidí, kteří se odhodlají ozná</w:t>
      </w:r>
      <w:r>
        <w:softHyphen/>
        <w:t>mí ti takový podvod policii, obávajíce</w:t>
      </w:r>
      <w:r>
        <w:t xml:space="preserve"> se sami trest</w:t>
      </w:r>
      <w:r>
        <w:softHyphen/>
        <w:t xml:space="preserve">ních následků. Z povahy černé bursy vyplývá zcela samozřejmě, že obchody jsou vždycky naprosto »důvěr- né« </w:t>
      </w:r>
      <w:r>
        <w:rPr>
          <w:i/>
          <w:iCs/>
          <w:sz w:val="20"/>
          <w:szCs w:val="20"/>
        </w:rPr>
        <w:t>a</w:t>
      </w:r>
      <w:r>
        <w:t xml:space="preserve"> uzavírají se jenom mezi čtyřma očima.</w:t>
      </w:r>
    </w:p>
    <w:p w:rsidR="00500724" w:rsidRDefault="00F30FB8">
      <w:pPr>
        <w:pStyle w:val="Zkladntext1"/>
        <w:shd w:val="clear" w:color="auto" w:fill="auto"/>
        <w:spacing w:after="40" w:line="209" w:lineRule="auto"/>
        <w:ind w:firstLine="280"/>
      </w:pPr>
      <w:r>
        <w:t xml:space="preserve">Jiný způsob: člen černé tlupy předstírá, že má ady u nás libry nebo dolary a že je může </w:t>
      </w:r>
      <w:r>
        <w:t>bezpečně dopravit do ciziny, poněvadž zná vlivné a nepodezřelé osoby. Vyláká kupní cenu nebo aspoň zálohu a nedá oběti nic, leda vyhrůžky. Stalo se už, že agent odjel se zákazní</w:t>
      </w:r>
      <w:r>
        <w:softHyphen/>
        <w:t>kem do Londýna nebo do Amsterodamu, aby prý »me- lounyc bezpečně odevzdal. Zák</w:t>
      </w:r>
      <w:r>
        <w:t>azník zaplatil tady kupní cenu některému společníkovi černého agenta, který se mu ovšem v Londýně vysmál.</w:t>
      </w:r>
    </w:p>
    <w:p w:rsidR="00500724" w:rsidRDefault="00F30FB8">
      <w:pPr>
        <w:pStyle w:val="Zkladntext1"/>
        <w:shd w:val="clear" w:color="auto" w:fill="auto"/>
        <w:spacing w:after="40" w:line="209" w:lineRule="auto"/>
        <w:ind w:firstLine="280"/>
      </w:pPr>
      <w:r>
        <w:t>Málokdy se vyskytne na černé burse pravidelný obchod, ale i ten je nečistý. Cizí peníze přicházejí na černou bursu »z volné rukyt, agenti si je opatřu</w:t>
      </w:r>
      <w:r>
        <w:t>jí od cizích návštěvníků nebo je k nám podloudně dopravují, aby je pak prodali za lichvářské ceny. Určitá speciali- sace nastala už i na černé burse: jsou tlupy, které se zabývají odborně »šíbováním« peněz, jiné se věnují černému zlatnictví (nákupu, prodej</w:t>
      </w:r>
      <w:r>
        <w:t>i a podloudné do</w:t>
      </w:r>
      <w:r>
        <w:softHyphen/>
        <w:t xml:space="preserve">pravě za hranice) a jsou také kroužky, které obchodují jenom s ^cennými papíry«. Na černé burse je cenným papírem cestovní pas, visum, záruční list ze Spojených Států, povolení pobytu v některé zemi mimo Evropu </w:t>
      </w:r>
      <w:r>
        <w:rPr>
          <w:b/>
          <w:bCs/>
          <w:sz w:val="20"/>
          <w:szCs w:val="20"/>
        </w:rPr>
        <w:t xml:space="preserve">a </w:t>
      </w:r>
      <w:r>
        <w:t xml:space="preserve">v určitých případech také </w:t>
      </w:r>
      <w:r>
        <w:t>— křestní list.</w:t>
      </w:r>
    </w:p>
    <w:p w:rsidR="00500724" w:rsidRDefault="00F30FB8">
      <w:pPr>
        <w:pStyle w:val="Zkladntext40"/>
        <w:shd w:val="clear" w:color="auto" w:fill="auto"/>
        <w:spacing w:after="40" w:line="396" w:lineRule="auto"/>
        <w:ind w:firstLine="240"/>
        <w:rPr>
          <w:sz w:val="20"/>
          <w:szCs w:val="20"/>
        </w:rPr>
      </w:pPr>
      <w:r>
        <w:rPr>
          <w:b/>
          <w:bCs/>
          <w:sz w:val="14"/>
          <w:szCs w:val="14"/>
        </w:rPr>
        <w:t xml:space="preserve">Dvě ilustrace k činnosti černé bursy: Nedávno zatkla ' ražská policie několik význačných členů tohoto pod- </w:t>
      </w:r>
      <w:r>
        <w:rPr>
          <w:i/>
          <w:iCs/>
          <w:sz w:val="20"/>
          <w:szCs w:val="20"/>
        </w:rPr>
        <w:t>12Ó</w:t>
      </w:r>
    </w:p>
    <w:p w:rsidR="00500724" w:rsidRDefault="00F30FB8">
      <w:pPr>
        <w:pStyle w:val="Zkladntext1"/>
        <w:shd w:val="clear" w:color="auto" w:fill="auto"/>
        <w:spacing w:line="233" w:lineRule="auto"/>
        <w:ind w:firstLine="0"/>
      </w:pPr>
      <w:r>
        <w:t>zemí a následek se dostavil téměř okamžitě: Na černé burse nastala panika a kurs libry klesl ihned o několik bodů.</w:t>
      </w:r>
    </w:p>
    <w:p w:rsidR="00500724" w:rsidRDefault="00F30FB8">
      <w:pPr>
        <w:pStyle w:val="Zkladntext1"/>
        <w:shd w:val="clear" w:color="auto" w:fill="auto"/>
        <w:ind w:firstLine="240"/>
      </w:pPr>
      <w:r>
        <w:t>Zvědavý noviná</w:t>
      </w:r>
      <w:r>
        <w:t>ř, který -i opatřoval informace o černé burse zjistil, že není snadno dostat v normálním obcho</w:t>
      </w:r>
      <w:r>
        <w:softHyphen/>
        <w:t>dě malé brilianty s modravým leskem, které jsou vzác</w:t>
      </w:r>
      <w:r>
        <w:softHyphen/>
        <w:t>nější a samozřejmě dražší, než obyčejné »kamínky«.</w:t>
      </w:r>
    </w:p>
    <w:p w:rsidR="00500724" w:rsidRDefault="00F30FB8">
      <w:pPr>
        <w:pStyle w:val="Zkladntext1"/>
        <w:shd w:val="clear" w:color="auto" w:fill="auto"/>
        <w:spacing w:line="233" w:lineRule="auto"/>
        <w:ind w:firstLine="240"/>
      </w:pPr>
      <w:r>
        <w:t>V posledních týdnech vyváželo se od nás — totiž šíbo</w:t>
      </w:r>
      <w:r>
        <w:softHyphen/>
        <w:t>valo</w:t>
      </w:r>
      <w:r>
        <w:t xml:space="preserve"> — všelicos. Ženy vyvážely drahé toilety a kožichy, šperky a zlato, ale i cenné filatelistické zboží a nejrůz</w:t>
      </w:r>
      <w:r>
        <w:softHyphen/>
        <w:t>nější umělecké předměty, takže černá bursa má skutečně široké pole působnosti. Šíbuje se také ve velkém: výrobce nebo velkoobchodník vyváží na pří</w:t>
      </w:r>
      <w:r>
        <w:t>klad zboží do An</w:t>
      </w:r>
      <w:r>
        <w:softHyphen/>
        <w:t>glie. Na oko je všechno v pořádku, vývozce dostal povo</w:t>
      </w:r>
      <w:r>
        <w:softHyphen/>
        <w:t>lení a Národní banka dostane libry. Jenže: mezi faktu</w:t>
      </w:r>
      <w:r>
        <w:softHyphen/>
        <w:t>rovanou a skutečnou prodejní cenou je značný rozdíl. Faktura udává na příklad, že londýnský zákazník za</w:t>
      </w:r>
      <w:r>
        <w:softHyphen/>
        <w:t>platil za každý kus půl li</w:t>
      </w:r>
      <w:r>
        <w:t>bry, ale vpravdě koupil výro</w:t>
      </w:r>
      <w:r>
        <w:softHyphen/>
        <w:t xml:space="preserve">bek za </w:t>
      </w:r>
      <w:r>
        <w:rPr>
          <w:i/>
          <w:iCs/>
          <w:vertAlign w:val="superscript"/>
        </w:rPr>
        <w:t>3</w:t>
      </w:r>
      <w:r>
        <w:rPr>
          <w:i/>
          <w:iCs/>
        </w:rPr>
        <w:t>li</w:t>
      </w:r>
      <w:r>
        <w:t xml:space="preserve"> libry. O rozdíl se oba rozdělí. A vývozci zů</w:t>
      </w:r>
      <w:r>
        <w:softHyphen/>
        <w:t>stane ovšem v zahraničí hezká částka, zejména v tom případě, opakuje-li se tato spekulace několikrát. Ne</w:t>
      </w:r>
      <w:r>
        <w:softHyphen/>
        <w:t xml:space="preserve">divte se tedy, zamýšlí-li vláda vyslati do podezřelých podniků </w:t>
      </w:r>
      <w:r>
        <w:t>odborné finanční znalce, kteří by na takový »vývoz« dohlíželi.</w:t>
      </w:r>
    </w:p>
    <w:p w:rsidR="00500724" w:rsidRDefault="00F30FB8">
      <w:pPr>
        <w:pStyle w:val="Zkladntext1"/>
        <w:shd w:val="clear" w:color="auto" w:fill="auto"/>
        <w:spacing w:line="233" w:lineRule="auto"/>
        <w:ind w:firstLine="0"/>
        <w:jc w:val="center"/>
      </w:pPr>
      <w:r>
        <w:t>Podzemní obchod s papíry</w:t>
      </w:r>
    </w:p>
    <w:p w:rsidR="00500724" w:rsidRDefault="00F30FB8">
      <w:pPr>
        <w:pStyle w:val="Zkladntext1"/>
        <w:shd w:val="clear" w:color="auto" w:fill="auto"/>
        <w:spacing w:line="233" w:lineRule="auto"/>
        <w:ind w:firstLine="240"/>
      </w:pPr>
      <w:r>
        <w:t>Domnívá-li se někdo, že tyto údaje jsou přehnané, af si přečte policejní zprávu:</w:t>
      </w:r>
    </w:p>
    <w:p w:rsidR="00500724" w:rsidRDefault="00F30FB8">
      <w:pPr>
        <w:pStyle w:val="Zkladntext1"/>
        <w:shd w:val="clear" w:color="auto" w:fill="auto"/>
        <w:spacing w:line="223" w:lineRule="auto"/>
        <w:ind w:firstLine="240"/>
        <w:rPr>
          <w:sz w:val="20"/>
          <w:szCs w:val="20"/>
        </w:rPr>
      </w:pPr>
      <w:r>
        <w:rPr>
          <w:sz w:val="20"/>
          <w:szCs w:val="20"/>
        </w:rPr>
        <w:t>^Vídeňské policejní ředitelství uveřejňuje výstrahu před podvodníkem, který chodí od do</w:t>
      </w:r>
      <w:r>
        <w:rPr>
          <w:sz w:val="20"/>
          <w:szCs w:val="20"/>
        </w:rPr>
        <w:t>mu k domu a vyptává se, zda v domě bydlí česko-slovenští státní občané. Pak je na</w:t>
      </w:r>
      <w:r>
        <w:rPr>
          <w:sz w:val="20"/>
          <w:szCs w:val="20"/>
        </w:rPr>
        <w:softHyphen/>
        <w:t>vštěvuje a láká na nich česko-slovenské pasy pod záminkou revise, kterou prý provádějí česko-slovenské úřady. Oby</w:t>
      </w:r>
      <w:r>
        <w:rPr>
          <w:sz w:val="20"/>
          <w:szCs w:val="20"/>
        </w:rPr>
        <w:softHyphen/>
        <w:t>čejně slíbí, že pas přinese zpět. Ve skutečnosti tento podvo</w:t>
      </w:r>
      <w:r>
        <w:rPr>
          <w:sz w:val="20"/>
          <w:szCs w:val="20"/>
        </w:rPr>
        <w:t>d</w:t>
      </w:r>
      <w:r>
        <w:rPr>
          <w:sz w:val="20"/>
          <w:szCs w:val="20"/>
        </w:rPr>
        <w:softHyphen/>
        <w:t>ník prodává vylákané pasy emigrantům.«</w:t>
      </w:r>
    </w:p>
    <w:p w:rsidR="00500724" w:rsidRDefault="00F30FB8">
      <w:pPr>
        <w:pStyle w:val="Zkladntext1"/>
        <w:shd w:val="clear" w:color="auto" w:fill="auto"/>
        <w:ind w:firstLine="240"/>
      </w:pPr>
      <w:r>
        <w:t>Neptejte se ani, za kolik je prodává. V lednu zne</w:t>
      </w:r>
      <w:r>
        <w:softHyphen/>
        <w:t>škodnila policie celou kancelář, zabývající se opatřová</w:t>
      </w:r>
      <w:r>
        <w:softHyphen/>
        <w:t>ním a prodejem černých papírů. Vedl ji člověk, který si dával říkat pan inženýr a sliboval opatřit rychle ame</w:t>
      </w:r>
      <w:r>
        <w:t>rické visum. Žádal za to jenom maličkost: 10 až 30 tisíc korun, podle toho, jak zákazníka odhadl. Našla se oběť, která mu za slíbené americké visum zaplatila 38.000 K. Snad to byly poslední peníze, které ten ubohý člověk měl. Peníze už nedostal; pan inžený</w:t>
      </w:r>
      <w:r>
        <w:t>r mu dokonce vyhrožoval, že ho dá z Česko-Slovenska vypovědět. Pak hrozil pan inženýr udáním pro podloudný nákup valut, což je už vážná věc. Musil-li peníze přes to vrátit, je to pouze výjimka.</w:t>
      </w:r>
    </w:p>
    <w:p w:rsidR="00500724" w:rsidRDefault="00F30FB8">
      <w:pPr>
        <w:pStyle w:val="Zkladntext1"/>
        <w:shd w:val="clear" w:color="auto" w:fill="auto"/>
        <w:ind w:firstLine="240"/>
      </w:pPr>
      <w:r>
        <w:t>Takových podniků a společností máme už teď několik desítek. Ne</w:t>
      </w:r>
      <w:r>
        <w:t>jen v Praze, ale i v menších městech. V Brně zatkla policie majitele firmy, která se věnovala vystě</w:t>
      </w:r>
      <w:r>
        <w:softHyphen/>
        <w:t>hovalectví do Nicaraguy, aniž by ovšem byla minister</w:t>
      </w:r>
      <w:r>
        <w:softHyphen/>
        <w:t>stvem povolena. Bůhví, kolik lidí přišlo zásluhou této firmy o peníze.</w:t>
      </w:r>
    </w:p>
    <w:p w:rsidR="00500724" w:rsidRDefault="00F30FB8">
      <w:pPr>
        <w:pStyle w:val="Zkladntext1"/>
        <w:shd w:val="clear" w:color="auto" w:fill="auto"/>
        <w:spacing w:line="233" w:lineRule="auto"/>
        <w:ind w:firstLine="240"/>
      </w:pPr>
      <w:r>
        <w:t>Jak máme nazvat člověka, který s</w:t>
      </w:r>
      <w:r>
        <w:t>e živí tím, že opatřuje panamské visum za 2000 K, ačkoli je konsulát udělí za 250 korun? Zač ho máme považovat, prodává-li takový cenný papír lidem, kteří se chtějí za poslední peníze vystěhovat, ale nevyznají se ovšem v labyrintu velkého města a vystěhova</w:t>
      </w:r>
      <w:r>
        <w:t>leckých formalit? A jak se máme na něho dívat, opatřuje-li visum za 2000 K také svému starému příteli a spolužáku, se kterým žil dlouho v jednom zákopu za světové války?</w:t>
      </w:r>
    </w:p>
    <w:p w:rsidR="00500724" w:rsidRDefault="00F30FB8">
      <w:pPr>
        <w:pStyle w:val="Zkladntext40"/>
        <w:shd w:val="clear" w:color="auto" w:fill="auto"/>
        <w:spacing w:after="0" w:line="322" w:lineRule="auto"/>
        <w:ind w:firstLine="240"/>
        <w:rPr>
          <w:sz w:val="14"/>
          <w:szCs w:val="14"/>
        </w:rPr>
      </w:pPr>
      <w:r>
        <w:rPr>
          <w:b/>
          <w:bCs/>
          <w:sz w:val="14"/>
          <w:szCs w:val="14"/>
        </w:rPr>
        <w:t>Činnost černé bursy je děsivým vysvědčením o morál</w:t>
      </w:r>
      <w:r>
        <w:rPr>
          <w:b/>
          <w:bCs/>
          <w:sz w:val="14"/>
          <w:szCs w:val="14"/>
        </w:rPr>
        <w:softHyphen/>
        <w:t>ních následcích vývoje, který Evrop</w:t>
      </w:r>
      <w:r>
        <w:rPr>
          <w:b/>
          <w:bCs/>
          <w:sz w:val="14"/>
          <w:szCs w:val="14"/>
        </w:rPr>
        <w:t>a prožívá.</w:t>
      </w:r>
    </w:p>
    <w:p w:rsidR="00500724" w:rsidRDefault="00F30FB8">
      <w:pPr>
        <w:pStyle w:val="Zkladntext1"/>
        <w:shd w:val="clear" w:color="auto" w:fill="auto"/>
        <w:spacing w:after="40" w:line="218" w:lineRule="auto"/>
        <w:ind w:firstLine="0"/>
        <w:jc w:val="center"/>
      </w:pPr>
      <w:r>
        <w:t>réžtý úděl bezpečnostních orgánů</w:t>
      </w:r>
    </w:p>
    <w:p w:rsidR="00500724" w:rsidRDefault="00F30FB8">
      <w:pPr>
        <w:pStyle w:val="Zkladntext1"/>
        <w:shd w:val="clear" w:color="auto" w:fill="auto"/>
        <w:spacing w:after="40" w:line="218" w:lineRule="auto"/>
      </w:pPr>
      <w:r>
        <w:t xml:space="preserve">Policie </w:t>
      </w:r>
      <w:r>
        <w:rPr>
          <w:sz w:val="20"/>
          <w:szCs w:val="20"/>
        </w:rPr>
        <w:t xml:space="preserve">má </w:t>
      </w:r>
      <w:r>
        <w:t xml:space="preserve">s černou bursou těžkou práci. Černá bursa nezanechává za sebou žádné viditelné stopy, obklopujíc se hradbou naprosté mlčeli vosti a úžasné opatrnosti. Hlavní osoby černé bursy nejsou malí zloději, </w:t>
      </w:r>
      <w:r>
        <w:t>nýbrž lidé, vydělávající veliké peníze. Nevyskytují se nikdy v druhořadých místnostech a nepohybují se v podezře</w:t>
      </w:r>
      <w:r>
        <w:softHyphen/>
        <w:t>lé společnosti, kterou by policie hlídala. Mají společen</w:t>
      </w:r>
      <w:r>
        <w:softHyphen/>
        <w:t>ský švih a výborný čich. Mohou si snadno opatřovat informace z okolí skutečných burs a</w:t>
      </w:r>
      <w:r>
        <w:t xml:space="preserve"> mohou se také obklopit právními poradci Pátrat může na černé burse jenom člověk, který ví, co se ve světě děje a vyzná se také v hospodářských otázkách. Jinak by ho agenti černé bursy ihned poznali. Mezi všemi společnostmi a tlupami černé bnrsy platí neps</w:t>
      </w:r>
      <w:r>
        <w:t>aný, ale zato tím přís</w:t>
      </w:r>
      <w:r>
        <w:softHyphen/>
        <w:t>něji. zákon vzájemného ručení.</w:t>
      </w:r>
    </w:p>
    <w:p w:rsidR="00500724" w:rsidRDefault="00F30FB8">
      <w:pPr>
        <w:pStyle w:val="Zkladntext1"/>
        <w:shd w:val="clear" w:color="auto" w:fill="auto"/>
        <w:spacing w:after="260" w:line="209" w:lineRule="auto"/>
      </w:pPr>
      <w:r>
        <w:t>A přes to: jakmile byste jen jednou viděli některého agenta černé bursy, poznali byste pak už všechny ostatní, i kdyby se přetvařovali. I tento druh dravců má svůj zvláštní vzhled, kterým se vždycky pro</w:t>
      </w:r>
      <w:r>
        <w:t>zradí.</w:t>
      </w:r>
    </w:p>
    <w:p w:rsidR="00500724" w:rsidRDefault="00F30FB8">
      <w:pPr>
        <w:pStyle w:val="Nadpis80"/>
        <w:keepNext/>
        <w:keepLines/>
        <w:pBdr>
          <w:bottom w:val="single" w:sz="4" w:space="0" w:color="auto"/>
        </w:pBdr>
        <w:shd w:val="clear" w:color="auto" w:fill="auto"/>
        <w:spacing w:after="240"/>
        <w:rPr>
          <w:sz w:val="44"/>
          <w:szCs w:val="44"/>
        </w:rPr>
      </w:pPr>
      <w:bookmarkStart w:id="200" w:name="bookmark199"/>
      <w:r>
        <w:rPr>
          <w:sz w:val="44"/>
          <w:szCs w:val="44"/>
          <w:u w:val="none"/>
        </w:rPr>
        <w:t>dopisy</w:t>
      </w:r>
      <w:bookmarkEnd w:id="200"/>
    </w:p>
    <w:p w:rsidR="00500724" w:rsidRDefault="00F30FB8">
      <w:pPr>
        <w:pStyle w:val="Zkladntext40"/>
        <w:shd w:val="clear" w:color="auto" w:fill="auto"/>
        <w:spacing w:after="40" w:line="240" w:lineRule="auto"/>
        <w:jc w:val="center"/>
        <w:rPr>
          <w:sz w:val="16"/>
          <w:szCs w:val="16"/>
        </w:rPr>
      </w:pPr>
      <w:r>
        <w:rPr>
          <w:b/>
          <w:bCs/>
          <w:sz w:val="16"/>
          <w:szCs w:val="16"/>
        </w:rPr>
        <w:t>Odpovědi německým nacionálním socialistům</w:t>
      </w:r>
    </w:p>
    <w:p w:rsidR="00500724" w:rsidRDefault="00F30FB8">
      <w:pPr>
        <w:pStyle w:val="Zkladntext1"/>
        <w:shd w:val="clear" w:color="auto" w:fill="auto"/>
        <w:spacing w:after="40" w:line="180" w:lineRule="auto"/>
        <w:ind w:left="3160" w:firstLine="0"/>
        <w:jc w:val="left"/>
        <w:rPr>
          <w:sz w:val="18"/>
          <w:szCs w:val="18"/>
        </w:rPr>
      </w:pPr>
      <w:r>
        <w:rPr>
          <w:sz w:val="18"/>
          <w:szCs w:val="18"/>
        </w:rPr>
        <w:t>Plzeň 15. února 1939</w:t>
      </w:r>
    </w:p>
    <w:p w:rsidR="00500724" w:rsidRDefault="00F30FB8">
      <w:pPr>
        <w:pStyle w:val="Zkladntext1"/>
        <w:shd w:val="clear" w:color="auto" w:fill="auto"/>
        <w:spacing w:after="40" w:line="180" w:lineRule="auto"/>
        <w:ind w:left="1320" w:firstLine="0"/>
        <w:jc w:val="left"/>
        <w:rPr>
          <w:sz w:val="18"/>
          <w:szCs w:val="18"/>
        </w:rPr>
      </w:pPr>
      <w:r>
        <w:rPr>
          <w:sz w:val="18"/>
          <w:szCs w:val="18"/>
        </w:rPr>
        <w:t>Vážený č.-s. Němče,</w:t>
      </w:r>
    </w:p>
    <w:p w:rsidR="00500724" w:rsidRDefault="00F30FB8">
      <w:pPr>
        <w:pStyle w:val="Zkladntext1"/>
        <w:shd w:val="clear" w:color="auto" w:fill="auto"/>
        <w:spacing w:after="40" w:line="180" w:lineRule="auto"/>
        <w:ind w:firstLine="0"/>
        <w:rPr>
          <w:sz w:val="18"/>
          <w:szCs w:val="18"/>
        </w:rPr>
      </w:pPr>
      <w:r>
        <w:rPr>
          <w:sz w:val="18"/>
          <w:szCs w:val="18"/>
        </w:rPr>
        <w:t>četl jsem se zájmem Váš dopis v 6. čísle »Přítomnosti« a dě</w:t>
      </w:r>
      <w:r>
        <w:rPr>
          <w:sz w:val="18"/>
          <w:szCs w:val="18"/>
        </w:rPr>
        <w:softHyphen/>
        <w:t>kuji Vám vřele zaň, ačkoliv s jeho obsahem nemohu plně sou</w:t>
      </w:r>
      <w:r>
        <w:rPr>
          <w:sz w:val="18"/>
          <w:szCs w:val="18"/>
        </w:rPr>
        <w:softHyphen/>
        <w:t xml:space="preserve">hlasit. Myslím však, že přímá výměna </w:t>
      </w:r>
      <w:r>
        <w:rPr>
          <w:sz w:val="18"/>
          <w:szCs w:val="18"/>
        </w:rPr>
        <w:t>názorů mezi námi může přinést více. než nějaké mezistátní ujednání.</w:t>
      </w:r>
    </w:p>
    <w:p w:rsidR="00500724" w:rsidRDefault="00F30FB8">
      <w:pPr>
        <w:pStyle w:val="Zkladntext1"/>
        <w:shd w:val="clear" w:color="auto" w:fill="auto"/>
        <w:spacing w:after="40" w:line="180" w:lineRule="auto"/>
        <w:ind w:firstLine="340"/>
        <w:jc w:val="left"/>
        <w:rPr>
          <w:sz w:val="18"/>
          <w:szCs w:val="18"/>
        </w:rPr>
      </w:pPr>
      <w:r>
        <w:rPr>
          <w:sz w:val="18"/>
          <w:szCs w:val="18"/>
        </w:rPr>
        <w:t xml:space="preserve">Předem Vám však musím říci, že jste za těch 20 let, co žijete mezi námi, nepoznal dostatečně povahu českého lidu, neb jinak byste nežádal, aby to, co nás ovlivňovalo mnohem déle než 20 </w:t>
      </w:r>
      <w:r>
        <w:rPr>
          <w:sz w:val="18"/>
          <w:szCs w:val="18"/>
        </w:rPr>
        <w:t>let, se změnilo za 2 měsíce. Chápejte tu naši si</w:t>
      </w:r>
      <w:r>
        <w:rPr>
          <w:sz w:val="18"/>
          <w:szCs w:val="18"/>
        </w:rPr>
        <w:softHyphen/>
        <w:t>tuaci tak, jako by se něco podobného stalo v Německu.</w:t>
      </w:r>
    </w:p>
    <w:p w:rsidR="00500724" w:rsidRDefault="00F30FB8">
      <w:pPr>
        <w:pStyle w:val="Zkladntext1"/>
        <w:shd w:val="clear" w:color="auto" w:fill="auto"/>
        <w:spacing w:after="40" w:line="180" w:lineRule="auto"/>
        <w:ind w:firstLine="340"/>
        <w:jc w:val="left"/>
        <w:rPr>
          <w:sz w:val="18"/>
          <w:szCs w:val="18"/>
        </w:rPr>
      </w:pPr>
      <w:r>
        <w:rPr>
          <w:sz w:val="18"/>
          <w:szCs w:val="18"/>
        </w:rPr>
        <w:t>U nás nikdy nebyla »slepá nenávist« vůči německým spolu</w:t>
      </w:r>
      <w:r>
        <w:rPr>
          <w:sz w:val="18"/>
          <w:szCs w:val="18"/>
        </w:rPr>
        <w:softHyphen/>
        <w:t>občanům a ani říši. To jsme plně prokázali v říjnu a listopadu v r. 1913 a naprostou pasivností k</w:t>
      </w:r>
      <w:r>
        <w:rPr>
          <w:sz w:val="18"/>
          <w:szCs w:val="18"/>
        </w:rPr>
        <w:t xml:space="preserve"> odvetě — a zejména u na</w:t>
      </w:r>
      <w:r>
        <w:rPr>
          <w:sz w:val="18"/>
          <w:szCs w:val="18"/>
        </w:rPr>
        <w:softHyphen/>
        <w:t>šich lidí v Sudetech. Nyní český tisk koná plně povinnost pro č.-s.-něm. sbližení, ale musíte uznat, že jest to práce velice těžká, kterou nelze vykonat »na rozkaz«. Buďte jist, že český lid plně chápe nutnost změny a ta přeměna po</w:t>
      </w:r>
      <w:r>
        <w:rPr>
          <w:sz w:val="18"/>
          <w:szCs w:val="18"/>
        </w:rPr>
        <w:t>kračuje a Vy se nemusíte ničeho obávat, co by zhoršovalo poměr mezi oběma státv.</w:t>
      </w:r>
    </w:p>
    <w:p w:rsidR="00500724" w:rsidRDefault="00F30FB8">
      <w:pPr>
        <w:pStyle w:val="Zkladntext1"/>
        <w:shd w:val="clear" w:color="auto" w:fill="auto"/>
        <w:spacing w:after="40" w:line="180" w:lineRule="auto"/>
        <w:ind w:firstLine="340"/>
        <w:rPr>
          <w:sz w:val="18"/>
          <w:szCs w:val="18"/>
        </w:rPr>
      </w:pPr>
      <w:r>
        <w:rPr>
          <w:sz w:val="18"/>
          <w:szCs w:val="18"/>
        </w:rPr>
        <w:t>Náš národ jest vyspělý. Snad jste pozoroval mezi námi všemi — ženy nevyjímaje — to přímo svaté nadšeni jít v osu</w:t>
      </w:r>
      <w:r>
        <w:rPr>
          <w:sz w:val="18"/>
          <w:szCs w:val="18"/>
        </w:rPr>
        <w:softHyphen/>
        <w:t>dových dnech hájit celistvost naší vlasti: to zapírat nikdo ne</w:t>
      </w:r>
      <w:r>
        <w:rPr>
          <w:sz w:val="18"/>
          <w:szCs w:val="18"/>
        </w:rPr>
        <w:softHyphen/>
        <w:t>bude. Ale když jsme poznali, že spojenecké smlouvy zůstaly pouze na papíru, přijali jsme podmínky. A naše armáda zůstala tak jako celý národ v naprostém klidu na svých místech a vyčkala rozkazů svého velení; třeba, že pěsti byly zaťaty a oči slzely. Nikde</w:t>
      </w:r>
      <w:r>
        <w:rPr>
          <w:sz w:val="18"/>
          <w:szCs w:val="18"/>
        </w:rPr>
        <w:t xml:space="preserve"> však nebylo učiněno vůči Vám nějaké násilí, ačkoliv se »na to« čekalo. Zde ukázal náš národ tu naši vel</w:t>
      </w:r>
      <w:r>
        <w:rPr>
          <w:sz w:val="18"/>
          <w:szCs w:val="18"/>
        </w:rPr>
        <w:softHyphen/>
        <w:t>kou duševní vyspělost.</w:t>
      </w:r>
    </w:p>
    <w:p w:rsidR="00500724" w:rsidRDefault="00F30FB8">
      <w:pPr>
        <w:pStyle w:val="Zkladntext1"/>
        <w:shd w:val="clear" w:color="auto" w:fill="auto"/>
        <w:spacing w:after="40" w:line="178" w:lineRule="auto"/>
        <w:ind w:firstLine="340"/>
        <w:rPr>
          <w:sz w:val="18"/>
          <w:szCs w:val="18"/>
        </w:rPr>
      </w:pPr>
      <w:r>
        <w:rPr>
          <w:sz w:val="18"/>
          <w:szCs w:val="18"/>
        </w:rPr>
        <w:t>Pane Němče, vžijte se do tehdejší naší situace i do nynější jako člověk, který ctí vlastenectví i jiného národa. Chceme od Vás b</w:t>
      </w:r>
      <w:r>
        <w:rPr>
          <w:sz w:val="18"/>
          <w:szCs w:val="18"/>
        </w:rPr>
        <w:t>ezpodmínečně jednu věc: naprostou věrnost k naší společné vlasti: nic méně, než se žádá od Cechů v německé říši, a to jest Vaše povinnost. Vaše národní sociální smýšlení Vám nebude nikdo brát, neb to a náboženství jest soukromou věcí každého jednotlivce, a</w:t>
      </w:r>
      <w:r>
        <w:rPr>
          <w:sz w:val="18"/>
          <w:szCs w:val="18"/>
        </w:rPr>
        <w:t>le nesmíte při tom zapomínat, že jste státním občanem č.-s. státu, ke kterému máte také po</w:t>
      </w:r>
      <w:r>
        <w:rPr>
          <w:sz w:val="18"/>
          <w:szCs w:val="18"/>
        </w:rPr>
        <w:softHyphen/>
        <w:t>vinnosti.</w:t>
      </w:r>
    </w:p>
    <w:p w:rsidR="00500724" w:rsidRDefault="00F30FB8">
      <w:pPr>
        <w:pStyle w:val="Zkladntext1"/>
        <w:shd w:val="clear" w:color="auto" w:fill="auto"/>
        <w:spacing w:after="40" w:line="170" w:lineRule="auto"/>
        <w:ind w:firstLine="340"/>
        <w:rPr>
          <w:sz w:val="18"/>
          <w:szCs w:val="18"/>
        </w:rPr>
      </w:pPr>
      <w:r>
        <w:rPr>
          <w:sz w:val="18"/>
          <w:szCs w:val="18"/>
        </w:rPr>
        <w:t>Hospodářsky jsme’ spolupracovali spolu již dávno a jistě nyní se všechny styky — i kulturní — mezi oběma státy hodně rozmnoží.</w:t>
      </w:r>
    </w:p>
    <w:p w:rsidR="00500724" w:rsidRDefault="00F30FB8">
      <w:pPr>
        <w:pStyle w:val="Zkladntext1"/>
        <w:shd w:val="clear" w:color="auto" w:fill="auto"/>
        <w:spacing w:after="40" w:line="180" w:lineRule="auto"/>
        <w:ind w:firstLine="340"/>
        <w:rPr>
          <w:sz w:val="18"/>
          <w:szCs w:val="18"/>
        </w:rPr>
      </w:pPr>
      <w:r>
        <w:rPr>
          <w:sz w:val="18"/>
          <w:szCs w:val="18"/>
        </w:rPr>
        <w:t>Buďte ubezpečen, milý německ</w:t>
      </w:r>
      <w:r>
        <w:rPr>
          <w:sz w:val="18"/>
          <w:szCs w:val="18"/>
        </w:rPr>
        <w:t>ý občane, že my všichni chceme žiti nejen s Vámi, ale i s tím velkým a mocným ně</w:t>
      </w:r>
      <w:r>
        <w:rPr>
          <w:sz w:val="18"/>
          <w:szCs w:val="18"/>
        </w:rPr>
        <w:softHyphen/>
        <w:t>meckým národem opravdu v přátelském poměru, ale tak, jako jest to v rodině: doufáme, že Vy a i v říši budete na nás po</w:t>
      </w:r>
      <w:r>
        <w:rPr>
          <w:sz w:val="18"/>
          <w:szCs w:val="18"/>
        </w:rPr>
        <w:softHyphen/>
        <w:t>hlížet co na příslušníky malého národa, ale jak jste sám</w:t>
      </w:r>
      <w:r>
        <w:rPr>
          <w:sz w:val="18"/>
          <w:szCs w:val="18"/>
        </w:rPr>
        <w:t xml:space="preserve"> na</w:t>
      </w:r>
      <w:r>
        <w:rPr>
          <w:sz w:val="18"/>
          <w:szCs w:val="18"/>
        </w:rPr>
        <w:softHyphen/>
        <w:t>psal, pracovitého a hodně vzdělaného: t. j., že nás budete hod</w:t>
      </w:r>
      <w:r>
        <w:rPr>
          <w:sz w:val="18"/>
          <w:szCs w:val="18"/>
        </w:rPr>
        <w:softHyphen/>
        <w:t>notit jako sebe. Vasaly nechceme být nikoho!</w:t>
      </w:r>
    </w:p>
    <w:p w:rsidR="00500724" w:rsidRDefault="00F30FB8">
      <w:pPr>
        <w:pStyle w:val="Zkladntext1"/>
        <w:shd w:val="clear" w:color="auto" w:fill="auto"/>
        <w:spacing w:line="180" w:lineRule="auto"/>
        <w:ind w:firstLine="340"/>
        <w:rPr>
          <w:sz w:val="18"/>
          <w:szCs w:val="18"/>
        </w:rPr>
      </w:pPr>
      <w:r>
        <w:rPr>
          <w:sz w:val="18"/>
          <w:szCs w:val="18"/>
        </w:rPr>
        <w:t>Stane-li se tak — a k tomu musíme společně pracovat — ta’: buďte ubezpečen, že Vašeho přátelství budeme si vážit a dokážeme Vám, že ten most, jí</w:t>
      </w:r>
      <w:r>
        <w:rPr>
          <w:sz w:val="18"/>
          <w:szCs w:val="18"/>
        </w:rPr>
        <w:t>mž máme být mezi Vámi a ostatními slovanskými národy, bude pevný a spolehlivý. Naše národy mají hodně společného zájmu a bude-li na obou stra</w:t>
      </w:r>
      <w:r>
        <w:rPr>
          <w:sz w:val="18"/>
          <w:szCs w:val="18"/>
        </w:rPr>
        <w:softHyphen/>
        <w:t xml:space="preserve">nách poctivá snaha k přátelskému spolužiti, získáme všichni. Vy, naši němečtí spoluobčané máte hodně možnosti nám </w:t>
      </w:r>
      <w:r>
        <w:rPr>
          <w:sz w:val="18"/>
          <w:szCs w:val="18"/>
        </w:rPr>
        <w:t>po</w:t>
      </w:r>
      <w:r>
        <w:rPr>
          <w:sz w:val="18"/>
          <w:szCs w:val="18"/>
        </w:rPr>
        <w:softHyphen/>
        <w:t>moci. Pro tuto práci najdete u nás hodně spolupracovníků,</w:t>
      </w:r>
    </w:p>
    <w:p w:rsidR="00500724" w:rsidRDefault="00F30FB8">
      <w:pPr>
        <w:pStyle w:val="Zkladntext1"/>
        <w:shd w:val="clear" w:color="auto" w:fill="auto"/>
        <w:spacing w:line="204" w:lineRule="auto"/>
        <w:ind w:left="180" w:firstLine="0"/>
        <w:jc w:val="left"/>
        <w:rPr>
          <w:sz w:val="18"/>
          <w:szCs w:val="18"/>
        </w:rPr>
      </w:pPr>
      <w:r>
        <w:rPr>
          <w:sz w:val="18"/>
          <w:szCs w:val="18"/>
        </w:rPr>
        <w:t>Pravdu spolu mluvme — dobrými spolu buďme.</w:t>
      </w:r>
    </w:p>
    <w:p w:rsidR="00500724" w:rsidRDefault="00F30FB8">
      <w:pPr>
        <w:pStyle w:val="Zkladntext1"/>
        <w:shd w:val="clear" w:color="auto" w:fill="auto"/>
        <w:tabs>
          <w:tab w:val="left" w:pos="3765"/>
        </w:tabs>
        <w:spacing w:after="200" w:line="182" w:lineRule="auto"/>
        <w:ind w:firstLine="280"/>
        <w:rPr>
          <w:sz w:val="18"/>
          <w:szCs w:val="18"/>
        </w:rPr>
      </w:pPr>
      <w:r>
        <w:rPr>
          <w:sz w:val="18"/>
          <w:szCs w:val="18"/>
        </w:rPr>
        <w:t>S přátelským pozdravem</w:t>
      </w:r>
      <w:r>
        <w:rPr>
          <w:sz w:val="18"/>
          <w:szCs w:val="18"/>
        </w:rPr>
        <w:tab/>
        <w:t>Václav Holub</w:t>
      </w:r>
    </w:p>
    <w:p w:rsidR="00500724" w:rsidRDefault="00F30FB8">
      <w:pPr>
        <w:pStyle w:val="Zkladntext1"/>
        <w:shd w:val="clear" w:color="auto" w:fill="auto"/>
        <w:spacing w:line="182" w:lineRule="auto"/>
        <w:ind w:firstLine="0"/>
        <w:jc w:val="right"/>
        <w:rPr>
          <w:sz w:val="18"/>
          <w:szCs w:val="18"/>
        </w:rPr>
      </w:pPr>
      <w:r>
        <w:rPr>
          <w:sz w:val="18"/>
          <w:szCs w:val="18"/>
        </w:rPr>
        <w:t>15. února 1939.</w:t>
      </w:r>
    </w:p>
    <w:p w:rsidR="00500724" w:rsidRDefault="00F30FB8">
      <w:pPr>
        <w:pStyle w:val="Zkladntext100"/>
        <w:shd w:val="clear" w:color="auto" w:fill="auto"/>
        <w:spacing w:line="192" w:lineRule="auto"/>
        <w:ind w:left="1280" w:firstLine="0"/>
        <w:jc w:val="left"/>
        <w:rPr>
          <w:sz w:val="17"/>
          <w:szCs w:val="17"/>
        </w:rPr>
      </w:pPr>
      <w:r>
        <w:rPr>
          <w:sz w:val="17"/>
          <w:szCs w:val="17"/>
        </w:rPr>
        <w:t>Vážený pane,</w:t>
      </w:r>
    </w:p>
    <w:p w:rsidR="00500724" w:rsidRDefault="00F30FB8">
      <w:pPr>
        <w:pStyle w:val="Zkladntext100"/>
        <w:shd w:val="clear" w:color="auto" w:fill="auto"/>
      </w:pPr>
      <w:r>
        <w:t xml:space="preserve">Váš podnět k přímé diskusi mezi Cechy </w:t>
      </w:r>
      <w:r>
        <w:rPr>
          <w:b/>
          <w:bCs/>
          <w:sz w:val="19"/>
          <w:szCs w:val="19"/>
        </w:rPr>
        <w:t xml:space="preserve">a </w:t>
      </w:r>
      <w:r>
        <w:t xml:space="preserve">Němci setká se jistě s živým souhlasem všech </w:t>
      </w:r>
      <w:r>
        <w:t>čtenářů »Přítomnosti«. Protože znáte dostatečně český národ, je zbytečné Vás ujišťovati, že velká většina Cechů nechová nenávist k německému národu a nepřeje si dnes, jako si nepřála kdykoli dříve, nic upřímněji než smír a přátelské soužití jak s Němci v r</w:t>
      </w:r>
      <w:r>
        <w:t>epublice tak v řiši. Není to jen naše vina, že se tato touha prakticky tak málo uplatnila: většině i zdejších Němců jsme prostě nestáli za to, aby se snažili nás poznat.</w:t>
      </w:r>
    </w:p>
    <w:p w:rsidR="00500724" w:rsidRDefault="00F30FB8">
      <w:pPr>
        <w:pStyle w:val="Zkladntext100"/>
        <w:shd w:val="clear" w:color="auto" w:fill="auto"/>
        <w:spacing w:line="206" w:lineRule="auto"/>
      </w:pPr>
      <w:r>
        <w:t>Dnes je situace na jedné straně o to příznivější, že poměry nutí k těsné spolupráci, n</w:t>
      </w:r>
      <w:r>
        <w:t>a druhé straně však o to horší, že se Němci uzavřeli do výlučnosti své zvláštní, podle jejich vlast</w:t>
      </w:r>
      <w:r>
        <w:softHyphen/>
        <w:t>ního učení jiným národům nepřístupné ideologie.</w:t>
      </w:r>
    </w:p>
    <w:p w:rsidR="00500724" w:rsidRDefault="00F30FB8">
      <w:pPr>
        <w:pStyle w:val="Zkladntext100"/>
        <w:shd w:val="clear" w:color="auto" w:fill="auto"/>
        <w:spacing w:line="197" w:lineRule="auto"/>
      </w:pPr>
      <w:r>
        <w:t>Pokládají-li Němci náš stát jen za integrující součást hospodářského prostoru velkoněmeckéhoc, přehlížejí, ž</w:t>
      </w:r>
      <w:r>
        <w:t>e hospodářství je jen jedna složka národního života, a že pro ná</w:t>
      </w:r>
      <w:r>
        <w:softHyphen/>
        <w:t>rodní osobitost není směrodatná jen geopolitika a zeměpisná poloha, ale také duchovni orientace. Ta nebyla vytvářena jen posledních dvacet let, nýbrž dlouhá staletí, a vzdát se jí, zna</w:t>
      </w:r>
      <w:r>
        <w:softHyphen/>
        <w:t>mená p</w:t>
      </w:r>
      <w:r>
        <w:t>ro nás přestat být samostatným národem. Na neštěstí ji dělí od dnešní německé ideologie propast celých našich ná</w:t>
      </w:r>
      <w:r>
        <w:softHyphen/>
        <w:t>rodních dějin a tradic. Máme oprávněné pochybnosti, zda Němci dovedou respektovat naši duchovní svéprávnost.</w:t>
      </w:r>
    </w:p>
    <w:p w:rsidR="00500724" w:rsidRDefault="00F30FB8">
      <w:pPr>
        <w:pStyle w:val="Zkladntext100"/>
        <w:shd w:val="clear" w:color="auto" w:fill="auto"/>
        <w:spacing w:line="180" w:lineRule="auto"/>
      </w:pPr>
      <w:r>
        <w:t xml:space="preserve">Na poli hospodářském by mohlo být </w:t>
      </w:r>
      <w:r>
        <w:t>požehnáním, kdyby se Německu — dnes po Rusku největší kontinentální velmoci s největší průmyslovou výrobou a vyspělým obchodem — neda</w:t>
      </w:r>
      <w:r>
        <w:softHyphen/>
        <w:t>řilo hospodářsky zorganisovat střední a východní Evropu. Ovšem pod jednou podmínkou: že nepůjde o německou he</w:t>
      </w:r>
      <w:r>
        <w:softHyphen/>
        <w:t>gemonii, ale</w:t>
      </w:r>
      <w:r>
        <w:t xml:space="preserve"> o harmonisaci samostatných složek. V takovém usnorádáni by Německo nenašlo loyálnější a zdatnější spolu</w:t>
      </w:r>
      <w:r>
        <w:softHyphen/>
        <w:t>pracovníky nad nás. Bojím se však, že Němci přes vynikající hudebníky, které měli — nedospěli ještě tak daleko, aby oce</w:t>
      </w:r>
      <w:r>
        <w:softHyphen/>
        <w:t>nili krásu harmonie a vícehlaso</w:t>
      </w:r>
      <w:r>
        <w:t>sti a setrvávají raději nři mo- nodii. Zdá se jim to lehčí.</w:t>
      </w:r>
    </w:p>
    <w:p w:rsidR="00500724" w:rsidRDefault="00F30FB8">
      <w:pPr>
        <w:pStyle w:val="Zkladntext100"/>
        <w:shd w:val="clear" w:color="auto" w:fill="auto"/>
        <w:spacing w:line="180" w:lineRule="auto"/>
      </w:pPr>
      <w:r>
        <w:t>Přes všechno, co nás dělí, jsme vzájemně tak osudově spjati, že se musíme dohodnout. Bude to možné, když se vzá</w:t>
      </w:r>
      <w:r>
        <w:softHyphen/>
        <w:t>jemně poznáme, když se naučíme jeden druhého respektovat a když začneme s tím, co mů</w:t>
      </w:r>
      <w:r>
        <w:t>žeme pokládat za věc společnou.</w:t>
      </w:r>
    </w:p>
    <w:p w:rsidR="00500724" w:rsidRDefault="00F30FB8">
      <w:pPr>
        <w:pStyle w:val="Zkladntext100"/>
        <w:shd w:val="clear" w:color="auto" w:fill="auto"/>
        <w:spacing w:line="180" w:lineRule="auto"/>
        <w:ind w:firstLine="0"/>
      </w:pPr>
      <w:r>
        <w:t>I v samotné nacionálně-socialistické nauce jsou některé myšlen</w:t>
      </w:r>
      <w:r>
        <w:softHyphen/>
        <w:t>ky a podněty, které můžeme také my přijmout, právě tak, jako je hodný naši pozornosti důraz, kladený na stránku sociální, a některé Instituce nacismem zavedené.</w:t>
      </w:r>
    </w:p>
    <w:p w:rsidR="00500724" w:rsidRDefault="00F30FB8">
      <w:pPr>
        <w:pStyle w:val="Zkladntext100"/>
        <w:shd w:val="clear" w:color="auto" w:fill="auto"/>
        <w:spacing w:line="178" w:lineRule="auto"/>
      </w:pPr>
      <w:r>
        <w:t>Bylo by velmi užitečno tyto věci důkladně prohovořit!. Ve</w:t>
      </w:r>
      <w:r>
        <w:softHyphen/>
        <w:t>řejně či soukromě, písemně či ústně; nezáleží na způsobu a místu. Záleží jen na poctivém myšlení na obou stranách.</w:t>
      </w:r>
    </w:p>
    <w:p w:rsidR="00500724" w:rsidRDefault="00F30FB8">
      <w:pPr>
        <w:pStyle w:val="Zkladntext100"/>
        <w:shd w:val="clear" w:color="auto" w:fill="auto"/>
        <w:spacing w:after="160" w:line="182" w:lineRule="auto"/>
        <w:ind w:firstLine="0"/>
        <w:jc w:val="right"/>
      </w:pPr>
      <w:r>
        <w:t>Jarmila Krejčí</w:t>
      </w:r>
    </w:p>
    <w:p w:rsidR="00500724" w:rsidRDefault="00F30FB8">
      <w:pPr>
        <w:pStyle w:val="Zkladntext100"/>
        <w:shd w:val="clear" w:color="auto" w:fill="auto"/>
        <w:spacing w:line="182" w:lineRule="auto"/>
        <w:ind w:left="1280" w:firstLine="0"/>
        <w:jc w:val="left"/>
      </w:pPr>
      <w:r>
        <w:t>Vážený pane redaktore!</w:t>
      </w:r>
    </w:p>
    <w:p w:rsidR="00500724" w:rsidRDefault="00F30FB8">
      <w:pPr>
        <w:pStyle w:val="Zkladntext100"/>
        <w:shd w:val="clear" w:color="auto" w:fill="auto"/>
        <w:spacing w:line="182" w:lineRule="auto"/>
      </w:pPr>
      <w:r>
        <w:t xml:space="preserve">Otiskli jste v »Přítomnosti« několik dopisů </w:t>
      </w:r>
      <w:r>
        <w:t>německých čte</w:t>
      </w:r>
      <w:r>
        <w:softHyphen/>
        <w:t>nářů, v nichž nám Cechům vytýkají malou ochotu ke změně myšlenkové i politické orientace v duchu lepšího vzájemného poměru. Vím, že tím mají na mysli hlavně široké vrstvy na</w:t>
      </w:r>
      <w:r>
        <w:softHyphen/>
        <w:t>šeho lidu. Jsem si také vědoma, že slušný sousedský poměr mezi oběma</w:t>
      </w:r>
      <w:r>
        <w:t xml:space="preserve"> zúčastněnými stranami jest dnes naprostou státní nezbytností, tolik zdravého realismu a rozumné rozvahy se ná n nesmí upírat. Ale bylo by nesprávné, kdybychom si za</w:t>
      </w:r>
      <w:r>
        <w:softHyphen/>
        <w:t>pírali, že jsou tu určité okolnosti, které v každém uvědomělém Čechu vyvolávají nepříjemné</w:t>
      </w:r>
      <w:r>
        <w:t xml:space="preserve"> dojmy, těžko překonatelné, dokud nebudou odstraněny nejzákladnější jejich příčiny. A to jest zase v moci strany druhé.</w:t>
      </w:r>
    </w:p>
    <w:p w:rsidR="00500724" w:rsidRDefault="00F30FB8">
      <w:pPr>
        <w:pStyle w:val="Zkladntext100"/>
        <w:shd w:val="clear" w:color="auto" w:fill="auto"/>
        <w:spacing w:line="182" w:lineRule="auto"/>
        <w:jc w:val="left"/>
      </w:pPr>
      <w:r>
        <w:t>V témž čísle »Přítomnosti« jest podána dobrá charakte</w:t>
      </w:r>
      <w:r>
        <w:softHyphen/>
        <w:t>ristika německé národní povahy a především zdůrazněna p ř í m o s t a respekt k ní</w:t>
      </w:r>
      <w:r>
        <w:t>. (Odvolávajíc se na ni, chci tedy také přímo a bez obmyslu pověděti pisatelům oněch dopisů ně</w:t>
      </w:r>
      <w:r>
        <w:softHyphen/>
        <w:t>kolik slov.</w:t>
      </w:r>
    </w:p>
    <w:p w:rsidR="00500724" w:rsidRDefault="00F30FB8">
      <w:pPr>
        <w:pStyle w:val="Zkladntext100"/>
        <w:shd w:val="clear" w:color="auto" w:fill="auto"/>
        <w:spacing w:after="200" w:line="180" w:lineRule="auto"/>
      </w:pPr>
      <w:r>
        <w:t xml:space="preserve">Myslím, že nepotřebuji Němcům, kteří právě v poslední dob 3 zažili nejpyšněiší a nejsílnější chvíle svého nacionalismu, příliš zdůrazňovati, že také </w:t>
      </w:r>
      <w:r>
        <w:t>my považujeme svůj národ za hod</w:t>
      </w:r>
      <w:r>
        <w:softHyphen/>
        <w:t>na vší lásky a že jej ze všech sil milujeme: nemůžeme se ovšem honositi počtem, ale tlm více si vážíme jeho duchovní veli</w:t>
      </w:r>
      <w:r>
        <w:softHyphen/>
        <w:t>kosti, jíž se po celou svou tisíciletou historii řadil mezi nej- vysoělejši národy světa. Tato skutečn</w:t>
      </w:r>
      <w:r>
        <w:t>ost dýchá ze všech řádků českých dějin — a bylí-li jsme v duchovní mdlobě po bitvě bělohorské, není to tím obdivuhodnější, že jsme téměř mrtvy národ, utištěný hospodářsky, politicky i kulturně dovedli mílo-</w:t>
      </w:r>
    </w:p>
    <w:p w:rsidR="00500724" w:rsidRDefault="00F30FB8">
      <w:pPr>
        <w:pStyle w:val="Zkladntext100"/>
        <w:shd w:val="clear" w:color="auto" w:fill="auto"/>
        <w:spacing w:line="182" w:lineRule="auto"/>
        <w:ind w:firstLine="0"/>
        <w:jc w:val="right"/>
        <w:sectPr w:rsidR="00500724">
          <w:footnotePr>
            <w:numFmt w:val="chicago"/>
            <w:numRestart w:val="eachPage"/>
          </w:footnotePr>
          <w:pgSz w:w="11909" w:h="16834"/>
          <w:pgMar w:top="1688" w:right="962" w:bottom="627" w:left="534" w:header="0" w:footer="3" w:gutter="0"/>
          <w:cols w:num="2" w:space="113"/>
          <w:noEndnote/>
          <w:docGrid w:linePitch="360"/>
        </w:sectPr>
      </w:pPr>
      <w:r>
        <w:t>Í27</w:t>
      </w:r>
    </w:p>
    <w:p w:rsidR="00500724" w:rsidRDefault="00F30FB8">
      <w:pPr>
        <w:pStyle w:val="Zkladntext100"/>
        <w:shd w:val="clear" w:color="auto" w:fill="auto"/>
        <w:spacing w:line="202" w:lineRule="auto"/>
        <w:ind w:firstLine="0"/>
      </w:pPr>
      <w:r>
        <w:t>vými skoky opět t</w:t>
      </w:r>
      <w:r>
        <w:t xml:space="preserve">am, kde stojí jiné nejpokročilejší národy, těšici se staleté svobodě a volnosti? </w:t>
      </w:r>
      <w:r>
        <w:rPr>
          <w:b/>
          <w:bCs/>
        </w:rPr>
        <w:t xml:space="preserve">A </w:t>
      </w:r>
      <w:r>
        <w:t>přece — nechci zde vzpomínat všech podceňování, ano i posměšků, s nimiž jsme byli přezíráni a snižována naše dobrá vůle po srovnání se všemi nejbližšíml našimi jinonárodními</w:t>
      </w:r>
      <w:r>
        <w:t xml:space="preserve"> sousedy, jejichž před</w:t>
      </w:r>
      <w:r>
        <w:softHyphen/>
        <w:t>ními výspami byly naše menšiny. Jest ještě jiný stát na světě, který by byl své povinnosti k menšinám plnil tak opravdo</w:t>
      </w:r>
      <w:r>
        <w:softHyphen/>
        <w:t xml:space="preserve">vým způsobem? </w:t>
      </w:r>
      <w:r>
        <w:rPr>
          <w:b/>
          <w:bCs/>
        </w:rPr>
        <w:t xml:space="preserve">A </w:t>
      </w:r>
      <w:r>
        <w:t>konec? — Než není času na výčitky, jde nám tu o něco jiného. Budiž — přijali jsme rozhodnutí mni</w:t>
      </w:r>
      <w:r>
        <w:softHyphen/>
      </w:r>
      <w:r>
        <w:t>chovské konference; natolik jsme střízliví a rozumní. Utěšo</w:t>
      </w:r>
      <w:r>
        <w:softHyphen/>
        <w:t xml:space="preserve">vali jsme se však myšlenkou, že se tedy německý problém </w:t>
      </w:r>
      <w:r>
        <w:rPr>
          <w:b/>
          <w:bCs/>
        </w:rPr>
        <w:t xml:space="preserve">u </w:t>
      </w:r>
      <w:r>
        <w:t>nás vyřeší, že konečně staletý zápas o národní býti a ne</w:t>
      </w:r>
      <w:r>
        <w:softHyphen/>
        <w:t>bytí bude vyřešen. Bylo ujednáno právo opce — věřili jsme, že naši němečtí spoluo</w:t>
      </w:r>
      <w:r>
        <w:t>bčané, kteří tu ještě ve vnitrozemí zbyli, ho plnou měrou využijí a odejdou; ale misto toho se zdá, že na to pomýšlejí velmi málo, nepovažujíce se vůbec (tvoři dvacetinu státního národa) za menšinu, ale spojku mezi námi a říší.</w:t>
      </w:r>
    </w:p>
    <w:p w:rsidR="00500724" w:rsidRDefault="00F30FB8">
      <w:pPr>
        <w:pStyle w:val="Zkladntext100"/>
        <w:shd w:val="clear" w:color="auto" w:fill="auto"/>
        <w:spacing w:line="202" w:lineRule="auto"/>
        <w:ind w:firstLine="320"/>
      </w:pPr>
      <w:r>
        <w:t>Bereme prostě na vědomost př</w:t>
      </w:r>
      <w:r>
        <w:t>iznání pisatelovo, že »zdejši Němec jest beze všech výhrad národním socialistou a že jest jeho samozřejmým právem moci se přihlásiti k tomuto pře</w:t>
      </w:r>
      <w:r>
        <w:softHyphen/>
        <w:t>svědčeni všude a bez újmy na své existenci anebo svých život</w:t>
      </w:r>
      <w:r>
        <w:softHyphen/>
        <w:t>ních zájmech a to se všemi vnějšími odznaky přísl</w:t>
      </w:r>
      <w:r>
        <w:t>ušnosti ke straně, jakož i svéprávnosti kulturní a národní vůbec«. Smíme my Čechové totéž právo požadovat! pro své početnější kraja</w:t>
      </w:r>
      <w:r>
        <w:softHyphen/>
        <w:t>ny za novými hranicemi? Tato odpověď by mne a jistě i mnoho jiných velmi zajímala. A zcela samozřejmě žádáme tuto svo</w:t>
      </w:r>
      <w:r>
        <w:softHyphen/>
        <w:t>bodu p</w:t>
      </w:r>
      <w:r>
        <w:t>řesvědčení pro sebe ve svém vlastním státě; nemůžeme činit nic jiného. Mýlí se pisatel, domnivá-li se, že svou demo</w:t>
      </w:r>
      <w:r>
        <w:softHyphen/>
        <w:t xml:space="preserve">kratickou ideologii jsme vyznávali 20 let, to jest duchovni vyznáni českého národa po celé trvání jeho existence — krásně to vyjádřil Karel </w:t>
      </w:r>
      <w:r>
        <w:t xml:space="preserve">Čapek: »Podívejte se do našich dějin, listujte </w:t>
      </w:r>
      <w:r>
        <w:rPr>
          <w:b/>
          <w:bCs/>
        </w:rPr>
        <w:t xml:space="preserve">v </w:t>
      </w:r>
      <w:r>
        <w:t>našich básnících, vzpomeňte si na své otce a dědy; Nena</w:t>
      </w:r>
      <w:r>
        <w:softHyphen/>
        <w:t>jdete jediného svědectví, kde by selhávala naše láska k svo</w:t>
      </w:r>
      <w:r>
        <w:softHyphen/>
        <w:t>bodě duchovní a politické; kde bychom nebyli svým srdcem při všem, co se bránilo násilí a b</w:t>
      </w:r>
      <w:r>
        <w:t>ezpráví; kde bychom přisluhovali jakémukoliv absolutismu, netoleranci a útlaku. V tom všem je řeč naší minulosti, naprosto jasná a určitá. Kdo by cokoliv chtěl měnit na těchto mravních jistotách, porušoval by samu souvislost našich vnitřních dějin. Bylo by</w:t>
      </w:r>
      <w:r>
        <w:t xml:space="preserve"> to, jako by nám někdo doporučoval, abychom se vzhledem k okolnostem pře</w:t>
      </w:r>
      <w:r>
        <w:softHyphen/>
        <w:t>dělali na jiný národ.«</w:t>
      </w:r>
    </w:p>
    <w:p w:rsidR="00500724" w:rsidRDefault="00F30FB8">
      <w:pPr>
        <w:pStyle w:val="Zkladntext100"/>
        <w:shd w:val="clear" w:color="auto" w:fill="auto"/>
        <w:spacing w:line="180" w:lineRule="auto"/>
        <w:ind w:firstLine="320"/>
      </w:pPr>
      <w:r>
        <w:t>Tim ovšem není řečeno, že ponechávajíce si svůj národní svéráz a osobitost, nechceme hledat a nalézt přátelský poměr k Němcům; ale respektujíce jejich národní v</w:t>
      </w:r>
      <w:r>
        <w:t>yznání, odpoví</w:t>
      </w:r>
      <w:r>
        <w:softHyphen/>
        <w:t>dající jejich duchu, máme jistě plné právo žádat respekt pro své, odpovídající zase našemu národnímu duchu. Dosáhneme-li toho mizí s cesty jistě balvan jeden z největších. Vůbec bych doporučovala obojím, aby si důkladně prostudovali dě</w:t>
      </w:r>
      <w:r>
        <w:softHyphen/>
        <w:t xml:space="preserve">jiny </w:t>
      </w:r>
      <w:r>
        <w:t>svých národů a pak si studium vyměnili; pochopili by velmi mnohé, zejména Němci naši reservovanost vůči nim, jež vyplývá, přiznejme otevřeně, z našich obav o národní existenci. Jest v jejich moci rozptýlit! tyto obavy.</w:t>
      </w:r>
    </w:p>
    <w:p w:rsidR="00500724" w:rsidRDefault="00F30FB8">
      <w:pPr>
        <w:pStyle w:val="Zkladntext100"/>
        <w:shd w:val="clear" w:color="auto" w:fill="auto"/>
        <w:spacing w:line="180" w:lineRule="auto"/>
        <w:ind w:firstLine="320"/>
      </w:pPr>
      <w:r>
        <w:t>To jsou nejpalčivější bolesti české d</w:t>
      </w:r>
      <w:r>
        <w:t>uše. Pochopit je — znamená přinést vzájemnému dorozumění cenný podíl. Český člověk zjistí, že není rozdílu mezi líbivými a honosnými hesly a mezi jejich plněním, že co platí pro jiné, platí i pro něj. Pozná, Že jest správně ceněn a uznáván, že se nemusí te</w:t>
      </w:r>
      <w:r>
        <w:t>dy strachovat o svou svobodu. Ze není jen »integrující součást hospodářského prostoru velkoněmeckého«, ale samostatný pracovník na své vlastní neohrožené hroudě — a tedy ochotný ke spolupráci se všemi, tím více se svým velkým sousedem. Pochopí Němci nejist</w:t>
      </w:r>
      <w:r>
        <w:t>otu a touhy českého člověka, podají ruku k spolupráci nikoliv s gestem velitele a přemožitele, ale přítele, jako to učinil český národ jim po prohrané světové válce?</w:t>
      </w:r>
    </w:p>
    <w:p w:rsidR="00500724" w:rsidRDefault="00F30FB8">
      <w:pPr>
        <w:pStyle w:val="Zkladntext100"/>
        <w:shd w:val="clear" w:color="auto" w:fill="auto"/>
        <w:spacing w:after="100" w:line="202" w:lineRule="auto"/>
        <w:ind w:firstLine="0"/>
        <w:jc w:val="right"/>
      </w:pPr>
      <w:r>
        <w:t>Češka.</w:t>
      </w:r>
    </w:p>
    <w:p w:rsidR="00500724" w:rsidRDefault="00F30FB8">
      <w:pPr>
        <w:pStyle w:val="Zkladntext100"/>
        <w:shd w:val="clear" w:color="auto" w:fill="auto"/>
        <w:spacing w:line="202" w:lineRule="auto"/>
        <w:ind w:left="1320" w:firstLine="0"/>
        <w:jc w:val="left"/>
      </w:pPr>
      <w:r>
        <w:t>Vážený pane redaktore,</w:t>
      </w:r>
    </w:p>
    <w:p w:rsidR="00500724" w:rsidRDefault="00F30FB8">
      <w:pPr>
        <w:pStyle w:val="Zkladntext100"/>
        <w:shd w:val="clear" w:color="auto" w:fill="auto"/>
        <w:spacing w:line="173" w:lineRule="auto"/>
        <w:ind w:firstLine="220"/>
      </w:pPr>
      <w:r>
        <w:t>Vy máte možnosti, prosím Vás tedy, řekněte jim — těm na</w:t>
      </w:r>
      <w:r>
        <w:softHyphen/>
        <w:t xml:space="preserve">šim </w:t>
      </w:r>
      <w:r>
        <w:t xml:space="preserve">Němcům totiž — řekněte jim, že my, prostí čeští lidé, i když jsme si plně uvědomovali nebezpečí, vyplývající z našeho geografického postavení, jsme byli skutečně odhodláni bít se do posledního dechu za naši politickou svobodu a naši zemi. Přes to vše jsme </w:t>
      </w:r>
      <w:r>
        <w:t>padli. Nebyl pro nás Mnichov o nic milosrd</w:t>
      </w:r>
      <w:r>
        <w:softHyphen/>
        <w:t>nější než Versailles pro Německo. Nebylo možno jinak než s tvrdým odhodláním se podřídit. Ani my, prostí lidé, nesníme o odvetě. Osm milionů proti osmdesáti a nedávná zkušenost se spojenci, to vyléčí snad i toho n</w:t>
      </w:r>
      <w:r>
        <w:t xml:space="preserve">ejvětšího fanatika. Jsme odhodláni do nových poměrů se vpravit, a nejde-li to vždy dost hladce a rychle, pak nemusí být všechna vina jen na nás. Možná, že kdyby se ve Versailles nebyla tak tvrdě uplatnila, že by to dnes v Evropě vypadalo jinak — možná, že </w:t>
      </w:r>
      <w:r>
        <w:t>lépe hlav</w:t>
      </w:r>
      <w:r>
        <w:softHyphen/>
        <w:t>ně nro ty, kteří tenkrát diktovali. Záleží také na vítězích, má-li se studená loyálnost změnit v něco přívětivějšího, teplejšího.</w:t>
      </w:r>
    </w:p>
    <w:p w:rsidR="00500724" w:rsidRDefault="00F30FB8">
      <w:pPr>
        <w:pStyle w:val="Zkladntext100"/>
        <w:shd w:val="clear" w:color="auto" w:fill="auto"/>
        <w:tabs>
          <w:tab w:val="left" w:pos="4123"/>
        </w:tabs>
        <w:spacing w:after="220"/>
        <w:ind w:firstLine="200"/>
      </w:pPr>
      <w:r>
        <w:t xml:space="preserve">Náš tisk — i ten lidový, levr.ý — se snaží, </w:t>
      </w:r>
      <w:r>
        <w:rPr>
          <w:b/>
          <w:bCs/>
          <w:sz w:val="19"/>
          <w:szCs w:val="19"/>
        </w:rPr>
        <w:t xml:space="preserve">a já </w:t>
      </w:r>
      <w:r>
        <w:t>věřím, že poctivě, vpravit se do nových poměrů. Ten dřívější nám ov</w:t>
      </w:r>
      <w:r>
        <w:t xml:space="preserve">šem mnoho cti nedělával, čítali jsme ho často i my </w:t>
      </w:r>
      <w:r>
        <w:rPr>
          <w:b/>
          <w:bCs/>
        </w:rPr>
        <w:t xml:space="preserve">s </w:t>
      </w:r>
      <w:r>
        <w:t>odpo</w:t>
      </w:r>
      <w:r>
        <w:softHyphen/>
        <w:t xml:space="preserve">rem a sledovali propagandu našich odpůrců. To však patří mi- minulosti. Slušní lidé se vždy dohodnou — politika rozumná </w:t>
      </w:r>
      <w:r>
        <w:rPr>
          <w:b/>
          <w:bCs/>
        </w:rPr>
        <w:t xml:space="preserve">a </w:t>
      </w:r>
      <w:r>
        <w:t>poctivá — dnes potřebujeme slušných a rozumných a pocti</w:t>
      </w:r>
      <w:r>
        <w:softHyphen/>
        <w:t>vých víc snad než kd</w:t>
      </w:r>
      <w:r>
        <w:t>y jindy.</w:t>
      </w:r>
      <w:r>
        <w:tab/>
        <w:t>K., montér</w:t>
      </w:r>
    </w:p>
    <w:p w:rsidR="00500724" w:rsidRDefault="00F30FB8">
      <w:pPr>
        <w:pStyle w:val="Zkladntext100"/>
        <w:shd w:val="clear" w:color="auto" w:fill="auto"/>
        <w:spacing w:after="40"/>
        <w:ind w:firstLine="0"/>
        <w:jc w:val="center"/>
      </w:pPr>
      <w:r>
        <w:rPr>
          <w:b/>
          <w:bCs/>
        </w:rPr>
        <w:t>Mladí vpřed!</w:t>
      </w:r>
    </w:p>
    <w:p w:rsidR="00500724" w:rsidRDefault="00F30FB8">
      <w:pPr>
        <w:pStyle w:val="Zkladntext100"/>
        <w:shd w:val="clear" w:color="auto" w:fill="auto"/>
        <w:spacing w:after="40" w:line="218" w:lineRule="auto"/>
        <w:ind w:left="1280" w:firstLine="1500"/>
        <w:jc w:val="left"/>
      </w:pPr>
      <w:r>
        <w:t>V Praze dne 12. února 1939 Vážený pane redaktore,</w:t>
      </w:r>
    </w:p>
    <w:p w:rsidR="00500724" w:rsidRDefault="00F30FB8">
      <w:pPr>
        <w:pStyle w:val="Zkladntext100"/>
        <w:shd w:val="clear" w:color="auto" w:fill="auto"/>
        <w:spacing w:after="40" w:line="202" w:lineRule="auto"/>
        <w:ind w:firstLine="0"/>
      </w:pPr>
      <w:r>
        <w:t xml:space="preserve">dovolte mi, abych ještě dodatečně připojil k článku </w:t>
      </w:r>
      <w:r>
        <w:rPr>
          <w:b/>
          <w:bCs/>
        </w:rPr>
        <w:t xml:space="preserve">M. </w:t>
      </w:r>
      <w:r>
        <w:t>Je</w:t>
      </w:r>
      <w:r>
        <w:softHyphen/>
        <w:t>senské »Proč nemluvíte mladí« několik poznámek.</w:t>
      </w:r>
    </w:p>
    <w:p w:rsidR="00500724" w:rsidRDefault="00F30FB8">
      <w:pPr>
        <w:pStyle w:val="Zkladntext100"/>
        <w:shd w:val="clear" w:color="auto" w:fill="auto"/>
        <w:spacing w:after="40" w:line="204" w:lineRule="auto"/>
      </w:pPr>
      <w:r>
        <w:t>Snaha mladých po větším uplatnění, jež v současné době nabývá důraz</w:t>
      </w:r>
      <w:r>
        <w:t>nosti, je mylně spojována s opatřením vlády, aby byl omezen stav státních a veřejných zaměstnanců a tím ulehčena finanční situace státu. Omyl vznikl jen ze součas</w:t>
      </w:r>
      <w:r>
        <w:softHyphen/>
        <w:t>nosti obou problémů. Mladí lidé jsou stejně postiženi přeru</w:t>
      </w:r>
      <w:r>
        <w:softHyphen/>
        <w:t>šením přijímání nových sil na dva</w:t>
      </w:r>
      <w:r>
        <w:t xml:space="preserve"> roky. Je nepopiratelné, že v některých úřadech jsou skutečně přesloužilí, jejichž pracov</w:t>
      </w:r>
      <w:r>
        <w:softHyphen/>
        <w:t>ní výkon není takový, jak by bylo třeba. Jediné z těchto důvo</w:t>
      </w:r>
      <w:r>
        <w:softHyphen/>
        <w:t>dů schvalují mládi opatření vlády.</w:t>
      </w:r>
    </w:p>
    <w:p w:rsidR="00500724" w:rsidRDefault="00F30FB8">
      <w:pPr>
        <w:pStyle w:val="Zkladntext100"/>
        <w:shd w:val="clear" w:color="auto" w:fill="auto"/>
        <w:ind w:firstLine="200"/>
      </w:pPr>
      <w:r>
        <w:t>Tak rozumný je každý, aby si uvědomil, že přednostou úřa</w:t>
      </w:r>
      <w:r>
        <w:softHyphen/>
        <w:t>du nebo ředi</w:t>
      </w:r>
      <w:r>
        <w:t>telem školy nemůže být nikdo ve dvaceti letech, že nezbytným doplňkem mladistvého nadšeni a odhodlání pra</w:t>
      </w:r>
      <w:r>
        <w:softHyphen/>
        <w:t>covat je zkušenost, kterou poskytuje život a čas. Křivdil by jim však ten, kdo se domnívá, že by mladým bylo lhostejno, ba dokonce vítáno vyřazováni n</w:t>
      </w:r>
      <w:r>
        <w:t xml:space="preserve">ašich umělců, spisovatelů </w:t>
      </w:r>
      <w:r>
        <w:rPr>
          <w:b/>
          <w:bCs/>
        </w:rPr>
        <w:t xml:space="preserve">a </w:t>
      </w:r>
      <w:r>
        <w:t xml:space="preserve">vědců po dosažení určité věkové hranice. V tom, myslím, se mladí oproti dřivější generaci nezměnili a jistě si s ostatními přejí, aby život tvůrců kultury skončil teprve tehdy, až by vydali vše, čím je jejich nitro naplněno. Vždyť nejde už ani </w:t>
      </w:r>
      <w:r>
        <w:rPr>
          <w:b/>
          <w:bCs/>
        </w:rPr>
        <w:t xml:space="preserve">o </w:t>
      </w:r>
      <w:r>
        <w:t>duchovní m</w:t>
      </w:r>
      <w:r>
        <w:t xml:space="preserve">ajetek jednotlivce, jako o majetek celého národa,- a představitelé naši kultury jsou v podstatě jeho nositeli </w:t>
      </w:r>
      <w:r>
        <w:rPr>
          <w:b/>
          <w:bCs/>
        </w:rPr>
        <w:t xml:space="preserve">a </w:t>
      </w:r>
      <w:r>
        <w:t>správci. Hlas p. Fučíka je hlasem volajícího na poušti. Zapad</w:t>
      </w:r>
      <w:r>
        <w:softHyphen/>
        <w:t xml:space="preserve">ne, i kdyby slova byla sebehlasitější. Nejsme všichni stejní, </w:t>
      </w:r>
      <w:r>
        <w:rPr>
          <w:b/>
          <w:bCs/>
        </w:rPr>
        <w:t xml:space="preserve">a </w:t>
      </w:r>
      <w:r>
        <w:t xml:space="preserve">volání toho druhu </w:t>
      </w:r>
      <w:r>
        <w:t>se neujme. Proto také ono mlčení, které není vždy souhlasem, ale někdy i dokladem neúspěchu a ne</w:t>
      </w:r>
      <w:r>
        <w:softHyphen/>
        <w:t>porozumění.</w:t>
      </w:r>
    </w:p>
    <w:p w:rsidR="00500724" w:rsidRDefault="00F30FB8">
      <w:pPr>
        <w:pStyle w:val="Zkladntext100"/>
        <w:shd w:val="clear" w:color="auto" w:fill="auto"/>
        <w:spacing w:after="40"/>
        <w:ind w:firstLine="200"/>
      </w:pPr>
      <w:r>
        <w:t>Generační problém mladých a těch, kteří jsou nazýváni sta</w:t>
      </w:r>
      <w:r>
        <w:softHyphen/>
        <w:t>rými má jiný podklad, a mám nezvratný dojem, že vznikl vinou starých. V jejich rukou také</w:t>
      </w:r>
      <w:r>
        <w:t xml:space="preserve"> spočívá možnost nápravy. Sta</w:t>
      </w:r>
      <w:r>
        <w:softHyphen/>
        <w:t>rým chybí pochopení pro mladé. Odmítání snah mladých kate</w:t>
      </w:r>
      <w:r>
        <w:softHyphen/>
        <w:t>gorickým zavrhováním i sebelepších návrhů, potíráním inicia</w:t>
      </w:r>
      <w:r>
        <w:softHyphen/>
        <w:t>tivy a kladením překážek jenom proto, že někdo je mladý, je podstatou celého problému. Jednání toho druhu zn</w:t>
      </w:r>
      <w:r>
        <w:t>echucuje i ty nejschopnější mladé, způsobuje zatrpklost vůči starým, která se potom vybíjí různým způsobem. Bude-li více pocho</w:t>
      </w:r>
      <w:r>
        <w:softHyphen/>
        <w:t xml:space="preserve">peni pro mladé a pro jejich snahy, bude-li se jim vycházet! vstříc radou a bude-li tříděno dobré a špatné a jen pod tímto zorným </w:t>
      </w:r>
      <w:r>
        <w:t>úhlem posuzováno, bude v tichosti a s prospěchem pro obě strany onen problém zlikvidován. Zapřáhněte elán mladých a využijte jejich energie, jíž můžete dát sami jakou</w:t>
      </w:r>
      <w:r>
        <w:softHyphen/>
        <w:t>koliv formu, jen zásadně nepotírejte.</w:t>
      </w:r>
    </w:p>
    <w:p w:rsidR="00500724" w:rsidRDefault="00F30FB8">
      <w:pPr>
        <w:pStyle w:val="Zkladntext100"/>
        <w:shd w:val="clear" w:color="auto" w:fill="auto"/>
        <w:spacing w:line="240" w:lineRule="auto"/>
        <w:ind w:left="1620" w:firstLine="0"/>
        <w:jc w:val="left"/>
      </w:pPr>
      <w:r>
        <w:t>S projevem úcty</w:t>
      </w:r>
    </w:p>
    <w:p w:rsidR="00500724" w:rsidRDefault="00F30FB8">
      <w:pPr>
        <w:pStyle w:val="Zkladntext100"/>
        <w:shd w:val="clear" w:color="auto" w:fill="auto"/>
        <w:spacing w:after="240" w:line="180" w:lineRule="auto"/>
        <w:ind w:firstLine="0"/>
        <w:jc w:val="right"/>
      </w:pPr>
      <w:r>
        <w:t>L. Smrčka</w:t>
      </w:r>
    </w:p>
    <w:p w:rsidR="00500724" w:rsidRDefault="00F30FB8">
      <w:pPr>
        <w:pStyle w:val="Jin0"/>
        <w:shd w:val="clear" w:color="auto" w:fill="auto"/>
        <w:spacing w:after="180"/>
        <w:ind w:firstLine="0"/>
        <w:jc w:val="left"/>
        <w:rPr>
          <w:sz w:val="44"/>
          <w:szCs w:val="44"/>
        </w:rPr>
      </w:pPr>
      <w:r>
        <w:rPr>
          <w:b/>
          <w:bCs/>
          <w:sz w:val="44"/>
          <w:szCs w:val="44"/>
          <w:u w:val="single"/>
        </w:rPr>
        <w:t>listárna redakce</w:t>
      </w:r>
    </w:p>
    <w:p w:rsidR="00500724" w:rsidRDefault="00F30FB8">
      <w:pPr>
        <w:pStyle w:val="Zkladntext100"/>
        <w:shd w:val="clear" w:color="auto" w:fill="auto"/>
        <w:spacing w:after="40"/>
        <w:ind w:firstLine="200"/>
        <w:jc w:val="left"/>
        <w:sectPr w:rsidR="00500724">
          <w:footnotePr>
            <w:numFmt w:val="chicago"/>
            <w:numRestart w:val="eachPage"/>
          </w:footnotePr>
          <w:pgSz w:w="11909" w:h="16834"/>
          <w:pgMar w:top="1525" w:right="812" w:bottom="1047" w:left="725" w:header="0" w:footer="3" w:gutter="0"/>
          <w:cols w:num="2" w:space="130"/>
          <w:noEndnote/>
          <w:docGrid w:linePitch="360"/>
        </w:sectPr>
      </w:pPr>
      <w:r>
        <w:t>Jak vzniklo slovo »peáž«. Píše nám čtenář: »V »Přítomnosti« končíte informaci »Co je to peáž?« zjištěním: »Jak slovo peáž samo vzniklo, nepodařilo se nám ještě zjistiti.c Dovoluji si proto Vám sděliti, že tu jde o francouzské s</w:t>
      </w:r>
      <w:r>
        <w:t xml:space="preserve">lovo; péage, které znamená poplatek, který se vybírá za použití určitého mostu nebo silnice. Slovo péage odpovídá asi českému pojmu mýto. Slovo péage má latinský kmen a sice pes, </w:t>
      </w:r>
      <w:r>
        <w:rPr>
          <w:lang w:val="en-US" w:eastAsia="en-US" w:bidi="en-US"/>
        </w:rPr>
        <w:t xml:space="preserve">pedis </w:t>
      </w:r>
      <w:r>
        <w:t>— noha — (známá Baťova pedikúra). V pozdější, zejména středověké latině</w:t>
      </w:r>
      <w:r>
        <w:t xml:space="preserve"> se vyskytuje již výraz »pedaticum« ve smyslu mýto, který ve formě: péage se zachoval ve francouzštině. Třebas že v případě přicházejícím v úvahu poplatek odpadá (jenž jest obsažen v pojmu francouzského slova péage), ježto se jedná, jak správně ve Vašem čl</w:t>
      </w:r>
      <w:r>
        <w:t>ánku bylo podotknuto, o peáž privilegovanou, zachovalo slovo p e á ž i jako nový odborový termín v českém jazyku svůj původní význam potud, že jím vyjádříme použití cizích dopravních cest, vázané vlastníkem cesty na dodržení určitých podmínek. Těší mne, že</w:t>
      </w:r>
      <w:r>
        <w:t xml:space="preserve"> po několika letech mám po prvé příležitost poučiti výjimečně Vás.«</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89" w:line="14" w:lineRule="exact"/>
      </w:pPr>
    </w:p>
    <w:p w:rsidR="00500724" w:rsidRDefault="00500724">
      <w:pPr>
        <w:spacing w:line="14" w:lineRule="exact"/>
        <w:sectPr w:rsidR="00500724">
          <w:footnotePr>
            <w:numFmt w:val="chicago"/>
            <w:numRestart w:val="eachPage"/>
          </w:footnotePr>
          <w:pgSz w:w="11909" w:h="16834"/>
          <w:pgMar w:top="437" w:right="641" w:bottom="746" w:left="454" w:header="0" w:footer="3" w:gutter="0"/>
          <w:cols w:space="720"/>
          <w:noEndnote/>
          <w:docGrid w:linePitch="360"/>
        </w:sectPr>
      </w:pPr>
    </w:p>
    <w:p w:rsidR="00500724" w:rsidRDefault="00F30FB8">
      <w:pPr>
        <w:spacing w:line="14" w:lineRule="exact"/>
      </w:pPr>
      <w:r>
        <w:rPr>
          <w:noProof/>
        </w:rPr>
        <mc:AlternateContent>
          <mc:Choice Requires="wps">
            <w:drawing>
              <wp:anchor distT="0" distB="63500" distL="0" distR="0" simplePos="0" relativeHeight="125829562" behindDoc="0" locked="0" layoutInCell="1" allowOverlap="1">
                <wp:simplePos x="0" y="0"/>
                <wp:positionH relativeFrom="page">
                  <wp:posOffset>2071370</wp:posOffset>
                </wp:positionH>
                <wp:positionV relativeFrom="paragraph">
                  <wp:posOffset>12700</wp:posOffset>
                </wp:positionV>
                <wp:extent cx="3303905" cy="1246505"/>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3303905" cy="1246505"/>
                        </a:xfrm>
                        <a:prstGeom prst="rect">
                          <a:avLst/>
                        </a:prstGeom>
                        <a:noFill/>
                      </wps:spPr>
                      <wps:txbx>
                        <w:txbxContent>
                          <w:p w:rsidR="00500724" w:rsidRDefault="00F30FB8">
                            <w:pPr>
                              <w:pStyle w:val="Jin0"/>
                              <w:shd w:val="clear" w:color="auto" w:fill="auto"/>
                              <w:spacing w:after="40"/>
                              <w:ind w:firstLine="0"/>
                              <w:jc w:val="center"/>
                              <w:rPr>
                                <w:sz w:val="26"/>
                                <w:szCs w:val="26"/>
                              </w:rPr>
                            </w:pPr>
                            <w:r>
                              <w:rPr>
                                <w:b/>
                                <w:bCs/>
                                <w:sz w:val="26"/>
                                <w:szCs w:val="26"/>
                              </w:rPr>
                              <w:t>Rada mladým básníkům</w:t>
                            </w:r>
                          </w:p>
                          <w:p w:rsidR="00500724" w:rsidRDefault="00F30FB8">
                            <w:pPr>
                              <w:pStyle w:val="Zkladntext1"/>
                              <w:shd w:val="clear" w:color="auto" w:fill="auto"/>
                              <w:spacing w:line="192" w:lineRule="auto"/>
                              <w:ind w:firstLine="280"/>
                            </w:pPr>
                            <w:r>
                              <w:rPr>
                                <w:b/>
                                <w:bCs/>
                              </w:rPr>
                              <w:t>Hledejte v sobě, co vás ponouká psát; zkoumejte, zdali je tato potřeba zakořeněna až na dně vašeho srdce. Vy</w:t>
                            </w:r>
                            <w:r>
                              <w:rPr>
                                <w:b/>
                                <w:bCs/>
                              </w:rPr>
                              <w:softHyphen/>
                              <w:t>zpovídejte se sami so</w:t>
                            </w:r>
                            <w:r>
                              <w:rPr>
                                <w:b/>
                                <w:bCs/>
                              </w:rPr>
                              <w:t>bě: umřeli byste, kdyby vám bylo za</w:t>
                            </w:r>
                            <w:r>
                              <w:rPr>
                                <w:b/>
                                <w:bCs/>
                              </w:rPr>
                              <w:softHyphen/>
                              <w:t>kázáno psát? Ale hlavně: zamyslete se v nejtišší své chvili: xOpravdu musím psát?« Zahloubejte se do sebe pro nej</w:t>
                            </w:r>
                            <w:r>
                              <w:rPr>
                                <w:b/>
                                <w:bCs/>
                              </w:rPr>
                              <w:softHyphen/>
                              <w:t>hlubší odpověď. Jestliže je kladná, jestliže můžete na tak vážnou otázku odpovědět silným a prostým: »Musi</w:t>
                            </w:r>
                            <w:r>
                              <w:rPr>
                                <w:b/>
                                <w:bCs/>
                              </w:rPr>
                              <w:t>m«, to potom si vybudujte život podle této nutnosti.</w:t>
                            </w:r>
                          </w:p>
                          <w:p w:rsidR="00500724" w:rsidRDefault="00F30FB8">
                            <w:pPr>
                              <w:pStyle w:val="Zkladntext1"/>
                              <w:shd w:val="clear" w:color="auto" w:fill="auto"/>
                              <w:spacing w:line="182" w:lineRule="auto"/>
                              <w:ind w:firstLine="0"/>
                              <w:jc w:val="right"/>
                              <w:rPr>
                                <w:sz w:val="20"/>
                                <w:szCs w:val="20"/>
                              </w:rPr>
                            </w:pPr>
                            <w:r>
                              <w:rPr>
                                <w:b/>
                                <w:bCs/>
                                <w:i/>
                                <w:iCs/>
                                <w:sz w:val="20"/>
                                <w:szCs w:val="20"/>
                                <w:lang w:val="en-US" w:eastAsia="en-US" w:bidi="en-US"/>
                              </w:rPr>
                              <w:t xml:space="preserve">Rainer </w:t>
                            </w:r>
                            <w:r>
                              <w:rPr>
                                <w:b/>
                                <w:bCs/>
                                <w:i/>
                                <w:iCs/>
                                <w:sz w:val="20"/>
                                <w:szCs w:val="20"/>
                              </w:rPr>
                              <w:t xml:space="preserve">Maria </w:t>
                            </w:r>
                            <w:r>
                              <w:rPr>
                                <w:b/>
                                <w:bCs/>
                                <w:i/>
                                <w:iCs/>
                                <w:sz w:val="20"/>
                                <w:szCs w:val="20"/>
                                <w:lang w:val="en-US" w:eastAsia="en-US" w:bidi="en-US"/>
                              </w:rPr>
                              <w:t>Rilke</w:t>
                            </w:r>
                          </w:p>
                        </w:txbxContent>
                      </wps:txbx>
                      <wps:bodyPr lIns="0" tIns="0" rIns="0" bIns="0">
                        <a:spAutoFit/>
                      </wps:bodyPr>
                    </wps:wsp>
                  </a:graphicData>
                </a:graphic>
              </wp:anchor>
            </w:drawing>
          </mc:Choice>
          <mc:Fallback>
            <w:pict>
              <v:shape id="_x0000_s1211" type="#_x0000_t202" style="position:absolute;margin-left:163.09999999999999pt;margin-top:1.pt;width:260.14999999999998pt;height:98.150000000000006pt;z-index:-125829191;mso-wrap-distance-left:0;mso-wrap-distance-right:0;mso-wrap-distance-bottom:5.pt;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Rada mladým básníkům</w:t>
                      </w:r>
                    </w:p>
                    <w:p>
                      <w:pPr>
                        <w:pStyle w:val="Style18"/>
                        <w:keepNext w:val="0"/>
                        <w:keepLines w:val="0"/>
                        <w:widowControl w:val="0"/>
                        <w:shd w:val="clear" w:color="auto" w:fill="auto"/>
                        <w:bidi w:val="0"/>
                        <w:spacing w:before="0" w:after="0" w:line="192" w:lineRule="auto"/>
                        <w:ind w:left="0" w:right="0" w:firstLine="280"/>
                      </w:pPr>
                      <w:r>
                        <w:rPr>
                          <w:b/>
                          <w:bCs/>
                          <w:color w:val="000000"/>
                          <w:spacing w:val="0"/>
                          <w:w w:val="100"/>
                          <w:position w:val="0"/>
                          <w:shd w:val="clear" w:color="auto" w:fill="auto"/>
                          <w:lang w:val="cs-CZ" w:eastAsia="cs-CZ" w:bidi="cs-CZ"/>
                        </w:rPr>
                        <w:t>Hledejte v sobě, co vás ponouká psát; zkoumejte, zdali je tato potřeba zakořeněna až na dně vašeho srdce. Vy</w:t>
                        <w:softHyphen/>
                        <w:t>zpovídejte se sami sobě: umřeli byste, kdyby vám bylo za</w:t>
                        <w:softHyphen/>
                        <w:t>kázáno psát? Ale hlavně: zamyslete se v nejtišší své chvili: xOpravdu musím psát?« Zahloubejte se do sebe pro nej</w:t>
                        <w:softHyphen/>
                        <w:t>hlubší odpověď. Jestliže je kladná, jestliže můžete na tak vážnou otázku odpovědět silným a prostým: »Musim«, to potom si vybudujte život podle této nutnosti.</w:t>
                      </w:r>
                    </w:p>
                    <w:p>
                      <w:pPr>
                        <w:pStyle w:val="Style18"/>
                        <w:keepNext w:val="0"/>
                        <w:keepLines w:val="0"/>
                        <w:widowControl w:val="0"/>
                        <w:shd w:val="clear" w:color="auto" w:fill="auto"/>
                        <w:bidi w:val="0"/>
                        <w:spacing w:before="0" w:after="0" w:line="182" w:lineRule="auto"/>
                        <w:ind w:left="0" w:right="0" w:firstLine="0"/>
                        <w:jc w:val="right"/>
                        <w:rPr>
                          <w:sz w:val="20"/>
                          <w:szCs w:val="20"/>
                        </w:rPr>
                      </w:pPr>
                      <w:r>
                        <w:rPr>
                          <w:b/>
                          <w:bCs/>
                          <w:i/>
                          <w:iCs/>
                          <w:color w:val="000000"/>
                          <w:spacing w:val="0"/>
                          <w:w w:val="100"/>
                          <w:position w:val="0"/>
                          <w:sz w:val="20"/>
                          <w:szCs w:val="20"/>
                          <w:shd w:val="clear" w:color="auto" w:fill="auto"/>
                          <w:lang w:val="en-US" w:eastAsia="en-US" w:bidi="en-US"/>
                        </w:rPr>
                        <w:t xml:space="preserve">Rainer </w:t>
                      </w:r>
                      <w:r>
                        <w:rPr>
                          <w:b/>
                          <w:bCs/>
                          <w:i/>
                          <w:iCs/>
                          <w:color w:val="000000"/>
                          <w:spacing w:val="0"/>
                          <w:w w:val="100"/>
                          <w:position w:val="0"/>
                          <w:sz w:val="20"/>
                          <w:szCs w:val="20"/>
                          <w:shd w:val="clear" w:color="auto" w:fill="auto"/>
                          <w:lang w:val="cs-CZ" w:eastAsia="cs-CZ" w:bidi="cs-CZ"/>
                        </w:rPr>
                        <w:t xml:space="preserve">Maria </w:t>
                      </w:r>
                      <w:r>
                        <w:rPr>
                          <w:b/>
                          <w:bCs/>
                          <w:i/>
                          <w:iCs/>
                          <w:color w:val="000000"/>
                          <w:spacing w:val="0"/>
                          <w:w w:val="100"/>
                          <w:position w:val="0"/>
                          <w:sz w:val="20"/>
                          <w:szCs w:val="20"/>
                          <w:shd w:val="clear" w:color="auto" w:fill="auto"/>
                          <w:lang w:val="en-US" w:eastAsia="en-US" w:bidi="en-US"/>
                        </w:rPr>
                        <w:t>Rilke</w:t>
                      </w:r>
                    </w:p>
                  </w:txbxContent>
                </v:textbox>
                <w10:wrap type="topAndBottom" anchorx="page"/>
              </v:shape>
            </w:pict>
          </mc:Fallback>
        </mc:AlternateContent>
      </w:r>
    </w:p>
    <w:p w:rsidR="00500724" w:rsidRDefault="00F30FB8">
      <w:pPr>
        <w:pStyle w:val="Zkladntext1"/>
        <w:shd w:val="clear" w:color="auto" w:fill="auto"/>
        <w:spacing w:after="60" w:line="266" w:lineRule="auto"/>
        <w:ind w:firstLine="0"/>
        <w:jc w:val="left"/>
      </w:pPr>
      <w:r>
        <w:rPr>
          <w:b/>
          <w:bCs/>
          <w:i/>
          <w:iCs/>
          <w:sz w:val="20"/>
          <w:szCs w:val="20"/>
          <w:lang w:val="en-US" w:eastAsia="en-US" w:bidi="en-US"/>
        </w:rPr>
        <w:t xml:space="preserve">Rainer </w:t>
      </w:r>
      <w:r>
        <w:rPr>
          <w:b/>
          <w:bCs/>
          <w:i/>
          <w:iCs/>
          <w:sz w:val="20"/>
          <w:szCs w:val="20"/>
        </w:rPr>
        <w:t xml:space="preserve">Maria </w:t>
      </w:r>
      <w:r>
        <w:rPr>
          <w:b/>
          <w:bCs/>
          <w:i/>
          <w:iCs/>
          <w:sz w:val="20"/>
          <w:szCs w:val="20"/>
          <w:lang w:val="en-US" w:eastAsia="en-US" w:bidi="en-US"/>
        </w:rPr>
        <w:t>Rilke</w:t>
      </w:r>
      <w:r>
        <w:rPr>
          <w:b/>
          <w:bCs/>
          <w:i/>
          <w:iCs/>
          <w:sz w:val="20"/>
          <w:szCs w:val="20"/>
        </w:rPr>
        <w:t xml:space="preserve">: </w:t>
      </w:r>
      <w:r>
        <w:rPr>
          <w:b/>
          <w:bCs/>
        </w:rPr>
        <w:t>KOLIK DŮVĚRNOSTI . . .</w:t>
      </w:r>
    </w:p>
    <w:p w:rsidR="00500724" w:rsidRDefault="00F30FB8">
      <w:pPr>
        <w:pStyle w:val="Zkladntext1"/>
        <w:shd w:val="clear" w:color="auto" w:fill="auto"/>
        <w:spacing w:after="160" w:line="185" w:lineRule="auto"/>
        <w:ind w:firstLine="0"/>
        <w:jc w:val="left"/>
        <w:rPr>
          <w:sz w:val="20"/>
          <w:szCs w:val="20"/>
        </w:rPr>
      </w:pPr>
      <w:r>
        <w:rPr>
          <w:b/>
          <w:bCs/>
          <w:i/>
          <w:iCs/>
          <w:sz w:val="20"/>
          <w:szCs w:val="20"/>
        </w:rPr>
        <w:t>Ach, kolik důvěrnosti plaše jsme našeptali květinám, by tyto váhy řekly nám, jak těžká že je vroucnost naše.</w:t>
      </w:r>
    </w:p>
    <w:p w:rsidR="00500724" w:rsidRDefault="00F30FB8">
      <w:pPr>
        <w:pStyle w:val="Zkladntext1"/>
        <w:shd w:val="clear" w:color="auto" w:fill="auto"/>
        <w:spacing w:line="182" w:lineRule="auto"/>
        <w:ind w:firstLine="0"/>
        <w:jc w:val="left"/>
        <w:rPr>
          <w:sz w:val="20"/>
          <w:szCs w:val="20"/>
        </w:rPr>
      </w:pPr>
      <w:r>
        <w:rPr>
          <w:b/>
          <w:bCs/>
          <w:i/>
          <w:iCs/>
          <w:sz w:val="20"/>
          <w:szCs w:val="20"/>
        </w:rPr>
        <w:t xml:space="preserve">Že mícháme jej do svých žalů </w:t>
      </w:r>
      <w:r>
        <w:rPr>
          <w:b/>
          <w:bCs/>
          <w:i/>
          <w:iCs/>
          <w:sz w:val="20"/>
          <w:szCs w:val="20"/>
        </w:rPr>
        <w:t>svět hvězd je zmaten, nezře</w:t>
      </w:r>
    </w:p>
    <w:p w:rsidR="00500724" w:rsidRDefault="00F30FB8">
      <w:pPr>
        <w:pStyle w:val="Zkladntext1"/>
        <w:shd w:val="clear" w:color="auto" w:fill="auto"/>
        <w:spacing w:line="182" w:lineRule="auto"/>
        <w:ind w:firstLine="0"/>
        <w:jc w:val="right"/>
        <w:rPr>
          <w:sz w:val="20"/>
          <w:szCs w:val="20"/>
        </w:rPr>
      </w:pPr>
      <w:r>
        <w:rPr>
          <w:b/>
          <w:bCs/>
          <w:i/>
          <w:iCs/>
          <w:sz w:val="20"/>
          <w:szCs w:val="20"/>
        </w:rPr>
        <w:t>ěím.</w:t>
      </w:r>
    </w:p>
    <w:p w:rsidR="00500724" w:rsidRDefault="00F30FB8">
      <w:pPr>
        <w:pStyle w:val="Zkladntext1"/>
        <w:shd w:val="clear" w:color="auto" w:fill="auto"/>
        <w:spacing w:after="160" w:line="182" w:lineRule="auto"/>
        <w:ind w:firstLine="0"/>
        <w:jc w:val="left"/>
        <w:rPr>
          <w:sz w:val="20"/>
          <w:szCs w:val="20"/>
        </w:rPr>
      </w:pPr>
      <w:r>
        <w:rPr>
          <w:b/>
          <w:bCs/>
          <w:i/>
          <w:iCs/>
          <w:sz w:val="20"/>
          <w:szCs w:val="20"/>
        </w:rPr>
        <w:t>Od nejsilnějších k nejkřehčím už nikdo nesnáší ni v málu</w:t>
      </w:r>
    </w:p>
    <w:p w:rsidR="00500724" w:rsidRDefault="00F30FB8">
      <w:pPr>
        <w:pStyle w:val="Zkladntext1"/>
        <w:shd w:val="clear" w:color="auto" w:fill="auto"/>
        <w:spacing w:after="140" w:line="185" w:lineRule="auto"/>
        <w:ind w:firstLine="0"/>
        <w:jc w:val="left"/>
        <w:rPr>
          <w:sz w:val="20"/>
          <w:szCs w:val="20"/>
        </w:rPr>
      </w:pPr>
      <w:r>
        <w:rPr>
          <w:b/>
          <w:bCs/>
          <w:i/>
          <w:iCs/>
          <w:sz w:val="20"/>
          <w:szCs w:val="20"/>
        </w:rPr>
        <w:t>náladu naši, vrátké stavy, revolty, dravý pláč a strach... krom stolu, jenž se neunaví a lože (stolu ve mdlobách).</w:t>
      </w:r>
    </w:p>
    <w:p w:rsidR="00500724" w:rsidRDefault="00F30FB8">
      <w:pPr>
        <w:pStyle w:val="Zkladntext1"/>
        <w:shd w:val="clear" w:color="auto" w:fill="auto"/>
        <w:spacing w:after="140" w:line="154" w:lineRule="auto"/>
        <w:ind w:firstLine="200"/>
        <w:rPr>
          <w:sz w:val="18"/>
          <w:szCs w:val="18"/>
        </w:rPr>
      </w:pPr>
      <w:r>
        <w:rPr>
          <w:i/>
          <w:iCs/>
          <w:sz w:val="18"/>
          <w:szCs w:val="18"/>
        </w:rPr>
        <w:t>Ze</w:t>
      </w:r>
      <w:r>
        <w:rPr>
          <w:sz w:val="18"/>
          <w:szCs w:val="18"/>
        </w:rPr>
        <w:t xml:space="preserve"> sbírky veršů S a d. Z fran</w:t>
      </w:r>
      <w:r>
        <w:rPr>
          <w:sz w:val="18"/>
          <w:szCs w:val="18"/>
        </w:rPr>
        <w:softHyphen/>
        <w:t>couzského originálu p</w:t>
      </w:r>
      <w:r>
        <w:rPr>
          <w:sz w:val="18"/>
          <w:szCs w:val="18"/>
        </w:rPr>
        <w:t>řeložil Vla</w:t>
      </w:r>
      <w:r>
        <w:rPr>
          <w:sz w:val="18"/>
          <w:szCs w:val="18"/>
        </w:rPr>
        <w:softHyphen/>
        <w:t>dimír Holan.</w:t>
      </w:r>
    </w:p>
    <w:p w:rsidR="00500724" w:rsidRDefault="00F30FB8">
      <w:pPr>
        <w:pStyle w:val="Jin0"/>
        <w:shd w:val="clear" w:color="auto" w:fill="auto"/>
        <w:spacing w:after="60"/>
        <w:ind w:firstLine="0"/>
        <w:jc w:val="left"/>
        <w:rPr>
          <w:sz w:val="24"/>
          <w:szCs w:val="24"/>
        </w:rPr>
      </w:pPr>
      <w:r>
        <w:rPr>
          <w:rFonts w:ascii="Arial" w:eastAsia="Arial" w:hAnsi="Arial" w:cs="Arial"/>
          <w:sz w:val="24"/>
          <w:szCs w:val="24"/>
        </w:rPr>
        <w:t>NOVÉ KNIHY</w:t>
      </w:r>
    </w:p>
    <w:p w:rsidR="00500724" w:rsidRDefault="00F30FB8">
      <w:pPr>
        <w:pStyle w:val="Zkladntext40"/>
        <w:shd w:val="clear" w:color="auto" w:fill="auto"/>
        <w:spacing w:line="163" w:lineRule="auto"/>
        <w:jc w:val="left"/>
        <w:rPr>
          <w:sz w:val="16"/>
          <w:szCs w:val="16"/>
        </w:rPr>
      </w:pPr>
      <w:r>
        <w:rPr>
          <w:b/>
          <w:bCs/>
          <w:sz w:val="16"/>
          <w:szCs w:val="16"/>
        </w:rPr>
        <w:t>Ferdinand Peroutka: OSOBNOST. CHAOS a ZLOZVYKY.</w:t>
      </w:r>
    </w:p>
    <w:p w:rsidR="00500724" w:rsidRDefault="00F30FB8">
      <w:pPr>
        <w:pStyle w:val="Zkladntext1"/>
        <w:shd w:val="clear" w:color="auto" w:fill="auto"/>
        <w:spacing w:line="149" w:lineRule="auto"/>
        <w:ind w:firstLine="200"/>
        <w:rPr>
          <w:sz w:val="18"/>
          <w:szCs w:val="18"/>
        </w:rPr>
      </w:pPr>
      <w:r>
        <w:rPr>
          <w:sz w:val="18"/>
          <w:szCs w:val="18"/>
        </w:rPr>
        <w:t>Nová kniha literárních essayů Ferdinanda Peroutky shromaž</w:t>
      </w:r>
      <w:r>
        <w:rPr>
          <w:sz w:val="18"/>
          <w:szCs w:val="18"/>
        </w:rPr>
        <w:softHyphen/>
        <w:t>ďuje žeň jeho studii, psaných vždy na okraj nějaké dobové aktuální literární události a uveřejňova</w:t>
      </w:r>
      <w:r>
        <w:rPr>
          <w:sz w:val="18"/>
          <w:szCs w:val="18"/>
        </w:rPr>
        <w:softHyphen/>
        <w:t xml:space="preserve">ných v </w:t>
      </w:r>
      <w:r>
        <w:rPr>
          <w:sz w:val="18"/>
          <w:szCs w:val="18"/>
        </w:rPr>
        <w:t>Přítomnosti počínajíc ro</w:t>
      </w:r>
      <w:r>
        <w:rPr>
          <w:sz w:val="18"/>
          <w:szCs w:val="18"/>
        </w:rPr>
        <w:softHyphen/>
        <w:t>kem 1924. Představuje tedy ve svém celku svéráznou literárně historickou retrospektivu na do</w:t>
      </w:r>
      <w:r>
        <w:rPr>
          <w:sz w:val="18"/>
          <w:szCs w:val="18"/>
        </w:rPr>
        <w:softHyphen/>
        <w:t>bu patnácti let.</w:t>
      </w:r>
    </w:p>
    <w:p w:rsidR="00500724" w:rsidRDefault="00F30FB8">
      <w:pPr>
        <w:pStyle w:val="Zkladntext1"/>
        <w:shd w:val="clear" w:color="auto" w:fill="auto"/>
        <w:spacing w:line="149" w:lineRule="auto"/>
        <w:ind w:firstLine="200"/>
        <w:rPr>
          <w:sz w:val="18"/>
          <w:szCs w:val="18"/>
        </w:rPr>
      </w:pPr>
      <w:r>
        <w:rPr>
          <w:sz w:val="18"/>
          <w:szCs w:val="18"/>
        </w:rPr>
        <w:t>Přes to, že první studie této knihy, nazvaná Vysvětlení směrů, byla napsána v roce 1931 a spadá tedy chronologicky do sam</w:t>
      </w:r>
      <w:r>
        <w:rPr>
          <w:sz w:val="18"/>
          <w:szCs w:val="18"/>
        </w:rPr>
        <w:t>a stře</w:t>
      </w:r>
      <w:r>
        <w:rPr>
          <w:sz w:val="18"/>
          <w:szCs w:val="18"/>
        </w:rPr>
        <w:softHyphen/>
        <w:t>du knihy, neváhal ji Peroutka po- staviti do čela této sbírky essayů a to asi z toho důvodu, že je ja</w:t>
      </w:r>
      <w:r>
        <w:rPr>
          <w:sz w:val="18"/>
          <w:szCs w:val="18"/>
        </w:rPr>
        <w:softHyphen/>
        <w:t>kýmsi programatickým vyznáním</w:t>
      </w:r>
    </w:p>
    <w:p w:rsidR="00500724" w:rsidRDefault="00F30FB8">
      <w:pPr>
        <w:pStyle w:val="Zkladntext1"/>
        <w:shd w:val="clear" w:color="auto" w:fill="auto"/>
        <w:spacing w:line="149" w:lineRule="auto"/>
        <w:ind w:firstLine="0"/>
        <w:rPr>
          <w:sz w:val="18"/>
          <w:szCs w:val="18"/>
        </w:rPr>
      </w:pPr>
      <w:r>
        <w:rPr>
          <w:sz w:val="18"/>
          <w:szCs w:val="18"/>
        </w:rPr>
        <w:t>nejen autorovy literární přísluš</w:t>
      </w:r>
      <w:r>
        <w:rPr>
          <w:sz w:val="18"/>
          <w:szCs w:val="18"/>
        </w:rPr>
        <w:softHyphen/>
        <w:t>nosti, nýbrž i jeho kritické meto</w:t>
      </w:r>
      <w:r>
        <w:rPr>
          <w:sz w:val="18"/>
          <w:szCs w:val="18"/>
        </w:rPr>
        <w:softHyphen/>
        <w:t>dy. S hlediska platnosti soudů, vynášených vždy na</w:t>
      </w:r>
      <w:r>
        <w:rPr>
          <w:sz w:val="18"/>
          <w:szCs w:val="18"/>
        </w:rPr>
        <w:t>d vznikem toho kterého uměleckého díla, za</w:t>
      </w:r>
      <w:r>
        <w:rPr>
          <w:sz w:val="18"/>
          <w:szCs w:val="18"/>
        </w:rPr>
        <w:softHyphen/>
        <w:t>ložení té které literární školy a jejich vlivu nebo reakce na sou</w:t>
      </w:r>
      <w:r>
        <w:rPr>
          <w:sz w:val="18"/>
          <w:szCs w:val="18"/>
        </w:rPr>
        <w:softHyphen/>
        <w:t>časníky, je kniha věru imponují</w:t>
      </w:r>
      <w:r>
        <w:rPr>
          <w:sz w:val="18"/>
          <w:szCs w:val="18"/>
        </w:rPr>
        <w:softHyphen/>
        <w:t xml:space="preserve">cím svědectvím autorovy jasno- zřivosti; ukazuje totiž, jak již tehdy dovedl bezpečně rozlišit hodnoty od pahodnot </w:t>
      </w:r>
      <w:r>
        <w:rPr>
          <w:sz w:val="18"/>
          <w:szCs w:val="18"/>
        </w:rPr>
        <w:t xml:space="preserve">a dočasnou módnost od opravdového umění. V sedmnácti studiích, tvořících tuto knihu, setkáváme se tedy znovu se všemi těmi událostmi 1 rádobyudálostmi, které </w:t>
      </w:r>
      <w:r>
        <w:rPr>
          <w:sz w:val="18"/>
          <w:szCs w:val="18"/>
          <w:lang w:val="en-US" w:eastAsia="en-US" w:bidi="en-US"/>
        </w:rPr>
        <w:t xml:space="preserve">at </w:t>
      </w:r>
      <w:r>
        <w:rPr>
          <w:sz w:val="18"/>
          <w:szCs w:val="18"/>
        </w:rPr>
        <w:t>příjem</w:t>
      </w:r>
      <w:r>
        <w:rPr>
          <w:sz w:val="18"/>
          <w:szCs w:val="18"/>
        </w:rPr>
        <w:softHyphen/>
        <w:t xml:space="preserve">ně či nepříjemně kdysi vzrušovaly nebo chtěly vzrušovat kulturní veřejnost a které dnes </w:t>
      </w:r>
      <w:r>
        <w:rPr>
          <w:sz w:val="18"/>
          <w:szCs w:val="18"/>
        </w:rPr>
        <w:t>z odstupu více let představují právě jen ony plevy a nebo jen ona zrna z ono</w:t>
      </w:r>
      <w:r>
        <w:rPr>
          <w:sz w:val="18"/>
          <w:szCs w:val="18"/>
        </w:rPr>
        <w:softHyphen/>
        <w:t>ho pozoruhodného procesu umě</w:t>
      </w:r>
      <w:r>
        <w:rPr>
          <w:sz w:val="18"/>
          <w:szCs w:val="18"/>
        </w:rPr>
        <w:softHyphen/>
        <w:t>leckého klíčení a zrání. V před</w:t>
      </w:r>
      <w:r>
        <w:rPr>
          <w:sz w:val="18"/>
          <w:szCs w:val="18"/>
        </w:rPr>
        <w:softHyphen/>
        <w:t>mluvě říká autor sám toto: »Kni- ha tato obsahuje několik literár</w:t>
      </w:r>
      <w:r>
        <w:rPr>
          <w:sz w:val="18"/>
          <w:szCs w:val="18"/>
        </w:rPr>
        <w:softHyphen/>
        <w:t xml:space="preserve">ních úvah a kritik, psaných v rozpětí čtrnácti let. </w:t>
      </w:r>
      <w:r>
        <w:rPr>
          <w:sz w:val="18"/>
          <w:szCs w:val="18"/>
        </w:rPr>
        <w:t>Může se státi v jednom nebo ve dvou případech, že čtenář se už nepamatuje ani na jméno autora, jehož jméno se tu vyskytne. Nechť se tim čte</w:t>
      </w:r>
      <w:r>
        <w:rPr>
          <w:sz w:val="18"/>
          <w:szCs w:val="18"/>
        </w:rPr>
        <w:softHyphen/>
        <w:t>nář neznepokojuje. Myslím, že jsem ani jednou nenapsal obvyklý literární referát o jednotlivé kni</w:t>
      </w:r>
      <w:r>
        <w:rPr>
          <w:sz w:val="18"/>
          <w:szCs w:val="18"/>
        </w:rPr>
        <w:softHyphen/>
        <w:t xml:space="preserve">ze. Šlo mi vždy o </w:t>
      </w:r>
      <w:r>
        <w:rPr>
          <w:sz w:val="18"/>
          <w:szCs w:val="18"/>
        </w:rPr>
        <w:t>psychologický typ, který za knihou stojí, o pro</w:t>
      </w:r>
      <w:r>
        <w:rPr>
          <w:sz w:val="18"/>
          <w:szCs w:val="18"/>
        </w:rPr>
        <w:softHyphen/>
        <w:t>blém, o kterém je možno nad ní uvažovat. Tu mi vždy platil je</w:t>
      </w:r>
      <w:r>
        <w:rPr>
          <w:sz w:val="18"/>
          <w:szCs w:val="18"/>
        </w:rPr>
        <w:softHyphen/>
        <w:t>den za všechny. Je-li kniha mrtva, je-li autor zapomenut, typ se opa</w:t>
      </w:r>
      <w:r>
        <w:rPr>
          <w:sz w:val="18"/>
          <w:szCs w:val="18"/>
        </w:rPr>
        <w:softHyphen/>
        <w:t>kuje a problém žije. V podstatě sledoval jsem tu na různých pří</w:t>
      </w:r>
      <w:r>
        <w:rPr>
          <w:sz w:val="18"/>
          <w:szCs w:val="18"/>
        </w:rPr>
        <w:softHyphen/>
        <w:t xml:space="preserve">kladech vždy </w:t>
      </w:r>
      <w:r>
        <w:rPr>
          <w:sz w:val="18"/>
          <w:szCs w:val="18"/>
        </w:rPr>
        <w:t>jedno téma: roz</w:t>
      </w:r>
      <w:r>
        <w:rPr>
          <w:sz w:val="18"/>
          <w:szCs w:val="18"/>
        </w:rPr>
        <w:softHyphen/>
        <w:t>manité cesty a způsoby, jimiž duch chaosu dotíral na jednotu osobnosti, na vládu rozumu a na pevnost institucí. V určitém smyslu je tedy tato kniha postup</w:t>
      </w:r>
      <w:r>
        <w:rPr>
          <w:sz w:val="18"/>
          <w:szCs w:val="18"/>
        </w:rPr>
        <w:softHyphen/>
        <w:t>ně psanou historii evropského du</w:t>
      </w:r>
      <w:r>
        <w:rPr>
          <w:sz w:val="18"/>
          <w:szCs w:val="18"/>
        </w:rPr>
        <w:softHyphen/>
        <w:t>chovního rozkladu. »Již dávno syrský Orontes vtéká d</w:t>
      </w:r>
      <w:r>
        <w:rPr>
          <w:sz w:val="18"/>
          <w:szCs w:val="18"/>
        </w:rPr>
        <w:t>o Tibe</w:t>
      </w:r>
      <w:r>
        <w:rPr>
          <w:sz w:val="18"/>
          <w:szCs w:val="18"/>
        </w:rPr>
        <w:softHyphen/>
        <w:t>ry...« Vedle toho může zde čte</w:t>
      </w:r>
      <w:r>
        <w:rPr>
          <w:sz w:val="18"/>
          <w:szCs w:val="18"/>
        </w:rPr>
        <w:softHyphen/>
        <w:t>nář snad nalézti příspěvky k psy</w:t>
      </w:r>
      <w:r>
        <w:rPr>
          <w:sz w:val="18"/>
          <w:szCs w:val="18"/>
        </w:rPr>
        <w:softHyphen/>
        <w:t>chologii mladé české poválečné poesie a hněvivý, jak se přizná</w:t>
      </w:r>
      <w:r>
        <w:rPr>
          <w:sz w:val="18"/>
          <w:szCs w:val="18"/>
        </w:rPr>
        <w:softHyphen/>
        <w:t>vám, boj proti některým literár</w:t>
      </w:r>
      <w:r>
        <w:rPr>
          <w:sz w:val="18"/>
          <w:szCs w:val="18"/>
        </w:rPr>
        <w:softHyphen/>
        <w:t>ním zlozvykům, které stejně roz</w:t>
      </w:r>
      <w:r>
        <w:rPr>
          <w:sz w:val="18"/>
          <w:szCs w:val="18"/>
        </w:rPr>
        <w:softHyphen/>
        <w:t>kládaly styl a formu, jako někte</w:t>
      </w:r>
      <w:r>
        <w:rPr>
          <w:sz w:val="18"/>
          <w:szCs w:val="18"/>
        </w:rPr>
        <w:softHyphen/>
        <w:t>rá duchovní proudění rozk</w:t>
      </w:r>
      <w:r>
        <w:rPr>
          <w:sz w:val="18"/>
          <w:szCs w:val="18"/>
        </w:rPr>
        <w:t>ládala osobnost. Řekl bych sám, že je to více kniha znepokojeného životní</w:t>
      </w:r>
      <w:r>
        <w:rPr>
          <w:sz w:val="18"/>
          <w:szCs w:val="18"/>
        </w:rPr>
        <w:softHyphen/>
        <w:t>ho instinktu, než kniha určité li</w:t>
      </w:r>
      <w:r>
        <w:rPr>
          <w:sz w:val="18"/>
          <w:szCs w:val="18"/>
        </w:rPr>
        <w:softHyphen/>
        <w:t>terární metody.« Po politických Bojích o dnešek«, po studii o čes</w:t>
      </w:r>
      <w:r>
        <w:rPr>
          <w:sz w:val="18"/>
          <w:szCs w:val="18"/>
        </w:rPr>
        <w:softHyphen/>
        <w:t>ké otázce »Jací jsme« a knize portrétů »Ano a ne&lt; je nové Pe- routkovo dílo ^Osobn</w:t>
      </w:r>
      <w:r>
        <w:rPr>
          <w:sz w:val="18"/>
          <w:szCs w:val="18"/>
        </w:rPr>
        <w:t>ost, chaos a zlozvyky« vedle knížky feuilleto- nů »Z deníku žurnalistova</w:t>
      </w:r>
      <w:r>
        <w:rPr>
          <w:sz w:val="18"/>
          <w:szCs w:val="18"/>
        </w:rPr>
        <w:footnoteReference w:id="6"/>
      </w:r>
      <w:r>
        <w:rPr>
          <w:sz w:val="18"/>
          <w:szCs w:val="18"/>
        </w:rPr>
        <w:t xml:space="preserve"> a mnohasvazkového »Budování stá</w:t>
      </w:r>
      <w:r>
        <w:rPr>
          <w:sz w:val="18"/>
          <w:szCs w:val="18"/>
        </w:rPr>
        <w:softHyphen/>
        <w:t>tu*, již čtvrtou knihou jeho pro</w:t>
      </w:r>
      <w:r>
        <w:rPr>
          <w:sz w:val="18"/>
          <w:szCs w:val="18"/>
        </w:rPr>
        <w:softHyphen/>
        <w:t>nikavých essayů. Cena brož. vý</w:t>
      </w:r>
      <w:r>
        <w:rPr>
          <w:sz w:val="18"/>
          <w:szCs w:val="18"/>
        </w:rPr>
        <w:softHyphen/>
        <w:t>tisku je 15 K.</w:t>
      </w:r>
    </w:p>
    <w:p w:rsidR="00500724" w:rsidRDefault="00F30FB8">
      <w:pPr>
        <w:pStyle w:val="Zkladntext1"/>
        <w:shd w:val="clear" w:color="auto" w:fill="auto"/>
        <w:spacing w:after="80" w:line="190" w:lineRule="auto"/>
        <w:ind w:firstLine="0"/>
        <w:jc w:val="left"/>
        <w:rPr>
          <w:sz w:val="20"/>
          <w:szCs w:val="20"/>
        </w:rPr>
      </w:pPr>
      <w:r>
        <w:rPr>
          <w:b/>
          <w:bCs/>
          <w:i/>
          <w:iCs/>
          <w:sz w:val="20"/>
          <w:szCs w:val="20"/>
        </w:rPr>
        <w:t>Jean C as sou:</w:t>
      </w:r>
    </w:p>
    <w:p w:rsidR="00500724" w:rsidRDefault="00F30FB8">
      <w:pPr>
        <w:pStyle w:val="Zkladntext30"/>
        <w:shd w:val="clear" w:color="auto" w:fill="auto"/>
        <w:spacing w:after="80" w:line="170" w:lineRule="auto"/>
        <w:ind w:firstLine="0"/>
        <w:jc w:val="left"/>
      </w:pPr>
      <w:r>
        <w:rPr>
          <w:b/>
          <w:bCs/>
          <w:smallCaps/>
        </w:rPr>
        <w:t>Česko slovenský rilke</w:t>
      </w:r>
    </w:p>
    <w:p w:rsidR="00500724" w:rsidRDefault="00F30FB8">
      <w:pPr>
        <w:pStyle w:val="Zkladntext30"/>
        <w:shd w:val="clear" w:color="auto" w:fill="auto"/>
        <w:spacing w:after="80" w:line="190" w:lineRule="auto"/>
        <w:ind w:firstLine="0"/>
        <w:jc w:val="center"/>
        <w:rPr>
          <w:sz w:val="20"/>
          <w:szCs w:val="20"/>
        </w:rPr>
      </w:pPr>
      <w:r>
        <w:rPr>
          <w:b/>
          <w:bCs/>
          <w:i/>
          <w:iCs/>
          <w:sz w:val="20"/>
          <w:szCs w:val="20"/>
        </w:rPr>
        <w:t>(Tištěno z rukopisu)</w:t>
      </w:r>
    </w:p>
    <w:p w:rsidR="00500724" w:rsidRDefault="00F30FB8">
      <w:pPr>
        <w:pStyle w:val="Zkladntext30"/>
        <w:shd w:val="clear" w:color="auto" w:fill="auto"/>
        <w:spacing w:after="0" w:line="187" w:lineRule="auto"/>
        <w:ind w:firstLine="220"/>
        <w:rPr>
          <w:sz w:val="20"/>
          <w:szCs w:val="20"/>
        </w:rPr>
        <w:sectPr w:rsidR="00500724">
          <w:footnotePr>
            <w:numFmt w:val="chicago"/>
            <w:numRestart w:val="eachPage"/>
          </w:footnotePr>
          <w:type w:val="continuous"/>
          <w:pgSz w:w="11909" w:h="16834"/>
          <w:pgMar w:top="437" w:right="731" w:bottom="746" w:left="487" w:header="0" w:footer="3" w:gutter="0"/>
          <w:cols w:num="4" w:sep="1" w:space="100"/>
          <w:noEndnote/>
          <w:docGrid w:linePitch="360"/>
        </w:sectPr>
      </w:pPr>
      <w:r>
        <w:rPr>
          <w:b/>
          <w:bCs/>
          <w:i/>
          <w:iCs/>
          <w:sz w:val="20"/>
          <w:szCs w:val="20"/>
        </w:rPr>
        <w:t>Několik měst se rozdělilo o srdce Rilkovo a ozývá se v jeho díle: miloval Toledo a Rondu, kam jej volaly před</w:t>
      </w:r>
      <w:r>
        <w:rPr>
          <w:b/>
          <w:bCs/>
          <w:i/>
          <w:iCs/>
          <w:sz w:val="20"/>
          <w:szCs w:val="20"/>
        </w:rPr>
        <w:softHyphen/>
        <w:t>tuchy a nálady, a kde, jak krásně řekl jeden španělský spisovatel, nezanechal jeho pobyt více stop než přelet pták</w:t>
      </w:r>
      <w:r>
        <w:rPr>
          <w:b/>
          <w:bCs/>
          <w:i/>
          <w:iCs/>
          <w:sz w:val="20"/>
          <w:szCs w:val="20"/>
        </w:rPr>
        <w:t>a v oblacích; miloval to</w:t>
      </w:r>
      <w:r>
        <w:rPr>
          <w:b/>
          <w:bCs/>
          <w:i/>
          <w:iCs/>
          <w:sz w:val="20"/>
          <w:szCs w:val="20"/>
        </w:rPr>
        <w:softHyphen/>
        <w:t>lik Paříž, že stvořil Paříž ne</w:t>
      </w:r>
      <w:r>
        <w:rPr>
          <w:b/>
          <w:bCs/>
          <w:i/>
          <w:iCs/>
          <w:sz w:val="20"/>
          <w:szCs w:val="20"/>
        </w:rPr>
        <w:softHyphen/>
        <w:t>zapomenutelnou, oživenou vzrušujícími obličeji, Paříž Malta Lauridse-Briggea, kte</w:t>
      </w:r>
      <w:r>
        <w:rPr>
          <w:b/>
          <w:bCs/>
          <w:i/>
          <w:iCs/>
          <w:sz w:val="20"/>
          <w:szCs w:val="20"/>
        </w:rPr>
        <w:softHyphen/>
      </w:r>
      <w:r>
        <w:rPr>
          <w:i/>
          <w:iCs/>
        </w:rPr>
        <w:t xml:space="preserve">rá </w:t>
      </w:r>
      <w:r>
        <w:rPr>
          <w:b/>
          <w:bCs/>
          <w:i/>
          <w:iCs/>
          <w:sz w:val="20"/>
          <w:szCs w:val="20"/>
        </w:rPr>
        <w:t>jest proů stejně jako pro Strindberga Paříží Infema; miloval Kodaň, druhou vlast Malta a Sorena Kierkegaar- da. Ale</w:t>
      </w:r>
      <w:r>
        <w:rPr>
          <w:b/>
          <w:bCs/>
          <w:i/>
          <w:iCs/>
          <w:sz w:val="20"/>
          <w:szCs w:val="20"/>
        </w:rPr>
        <w:t xml:space="preserve"> nakonec je tento ces</w:t>
      </w:r>
      <w:r>
        <w:rPr>
          <w:b/>
          <w:bCs/>
          <w:i/>
          <w:iCs/>
          <w:sz w:val="20"/>
          <w:szCs w:val="20"/>
        </w:rPr>
        <w:softHyphen/>
        <w:t>tovatel, u něhož se projevuje snění tolika ras, především českým rytířem, a mladý čes</w:t>
      </w:r>
      <w:r>
        <w:rPr>
          <w:b/>
          <w:bCs/>
          <w:i/>
          <w:iCs/>
          <w:sz w:val="20"/>
          <w:szCs w:val="20"/>
        </w:rPr>
        <w:softHyphen/>
        <w:t>koslovenský národ právem se jej dovolává jako svého básníka. On sám se hlásil od zrození či spíše od znovuzrot- zení své vlasti, v počet jejích obča</w:t>
      </w:r>
      <w:r>
        <w:rPr>
          <w:b/>
          <w:bCs/>
          <w:i/>
          <w:iCs/>
          <w:sz w:val="20"/>
          <w:szCs w:val="20"/>
        </w:rPr>
        <w:t>nů, rozptýlených ještě ve světě. Je tedy třeba v se</w:t>
      </w:r>
      <w:r>
        <w:rPr>
          <w:b/>
          <w:bCs/>
          <w:i/>
          <w:iCs/>
          <w:sz w:val="20"/>
          <w:szCs w:val="20"/>
        </w:rPr>
        <w:softHyphen/>
        <w:t>znamu měst, jejichž kouzlo Rilke procítil a zachytil, za</w:t>
      </w:r>
      <w:r>
        <w:rPr>
          <w:b/>
          <w:bCs/>
          <w:i/>
          <w:iCs/>
          <w:sz w:val="20"/>
          <w:szCs w:val="20"/>
        </w:rPr>
        <w:softHyphen/>
        <w:t>psati na prvém místě Prahu, město jeho dětství, krásné, staré barokní město, kde poe</w:t>
      </w:r>
      <w:r>
        <w:rPr>
          <w:b/>
          <w:bCs/>
          <w:i/>
          <w:iCs/>
          <w:sz w:val="20"/>
          <w:szCs w:val="20"/>
        </w:rPr>
        <w:softHyphen/>
        <w:t>sie italských zahrad a jesuit-</w:t>
      </w:r>
    </w:p>
    <w:p w:rsidR="00500724" w:rsidRDefault="00500724">
      <w:pPr>
        <w:spacing w:line="8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135" w:right="0" w:bottom="98" w:left="0" w:header="0" w:footer="3" w:gutter="0"/>
          <w:cols w:space="720"/>
          <w:noEndnote/>
          <w:docGrid w:linePitch="360"/>
        </w:sectPr>
      </w:pPr>
    </w:p>
    <w:p w:rsidR="00500724" w:rsidRDefault="00F30FB8">
      <w:pPr>
        <w:pStyle w:val="Zkladntext50"/>
        <w:shd w:val="clear" w:color="auto" w:fill="auto"/>
        <w:spacing w:after="240" w:line="240" w:lineRule="auto"/>
        <w:ind w:left="0"/>
        <w:jc w:val="center"/>
        <w:rPr>
          <w:sz w:val="18"/>
          <w:szCs w:val="18"/>
        </w:rPr>
      </w:pPr>
      <w:r>
        <w:rPr>
          <w:sz w:val="18"/>
          <w:szCs w:val="18"/>
        </w:rPr>
        <w:t>FEUILLETON</w:t>
      </w:r>
    </w:p>
    <w:p w:rsidR="00500724" w:rsidRDefault="00F30FB8">
      <w:pPr>
        <w:pStyle w:val="Zkladntext40"/>
        <w:shd w:val="clear" w:color="auto" w:fill="auto"/>
        <w:spacing w:after="40" w:line="168" w:lineRule="auto"/>
        <w:jc w:val="left"/>
        <w:rPr>
          <w:sz w:val="16"/>
          <w:szCs w:val="16"/>
        </w:rPr>
      </w:pPr>
      <w:r>
        <w:rPr>
          <w:b/>
          <w:bCs/>
          <w:sz w:val="16"/>
          <w:szCs w:val="16"/>
        </w:rPr>
        <w:t>JAN KOftlNEK:</w:t>
      </w:r>
    </w:p>
    <w:p w:rsidR="00500724" w:rsidRDefault="00F30FB8">
      <w:pPr>
        <w:pStyle w:val="Zkladntext100"/>
        <w:shd w:val="clear" w:color="auto" w:fill="auto"/>
        <w:spacing w:after="40" w:line="240" w:lineRule="auto"/>
        <w:ind w:firstLine="0"/>
        <w:jc w:val="left"/>
        <w:rPr>
          <w:sz w:val="19"/>
          <w:szCs w:val="19"/>
        </w:rPr>
      </w:pPr>
      <w:r>
        <w:rPr>
          <w:b/>
          <w:bCs/>
          <w:sz w:val="19"/>
          <w:szCs w:val="19"/>
        </w:rPr>
        <w:t>BÁSNÍK PftÍRODOPISEC *</w:t>
      </w:r>
    </w:p>
    <w:p w:rsidR="00500724" w:rsidRDefault="00F30FB8">
      <w:pPr>
        <w:pStyle w:val="Zkladntext40"/>
        <w:shd w:val="clear" w:color="auto" w:fill="auto"/>
        <w:spacing w:after="0" w:line="168" w:lineRule="auto"/>
        <w:ind w:firstLine="180"/>
        <w:rPr>
          <w:sz w:val="16"/>
          <w:szCs w:val="16"/>
        </w:rPr>
      </w:pPr>
      <w:r>
        <w:rPr>
          <w:b/>
          <w:bCs/>
          <w:sz w:val="16"/>
          <w:szCs w:val="16"/>
        </w:rPr>
        <w:t>Karel Čapek byl kolegou nás přírodopisců. A poněvadž své vě</w:t>
      </w:r>
      <w:r>
        <w:rPr>
          <w:b/>
          <w:bCs/>
          <w:sz w:val="16"/>
          <w:szCs w:val="16"/>
        </w:rPr>
        <w:softHyphen/>
        <w:t>dění nabídl štědře samému živo</w:t>
      </w:r>
      <w:r>
        <w:rPr>
          <w:b/>
          <w:bCs/>
          <w:sz w:val="16"/>
          <w:szCs w:val="16"/>
        </w:rPr>
        <w:softHyphen/>
        <w:t>tu, je spravedlivé vzpomenout ho 1 v tomto časopise. Karel Čapek byl účastníkem Čádova filosofic</w:t>
      </w:r>
      <w:r>
        <w:rPr>
          <w:b/>
          <w:bCs/>
          <w:sz w:val="16"/>
          <w:szCs w:val="16"/>
        </w:rPr>
        <w:softHyphen/>
        <w:t xml:space="preserve">kého semináře. </w:t>
      </w:r>
      <w:r>
        <w:rPr>
          <w:b/>
          <w:bCs/>
          <w:sz w:val="16"/>
          <w:szCs w:val="16"/>
        </w:rPr>
        <w:t>Profesor Čáda byl polyhistorem přímo úžasným. Znal přirozeně nazpamět celou filoso</w:t>
      </w:r>
      <w:r>
        <w:rPr>
          <w:b/>
          <w:bCs/>
          <w:sz w:val="16"/>
          <w:szCs w:val="16"/>
        </w:rPr>
        <w:softHyphen/>
        <w:t>fii od Thaleta z Miletu až po na</w:t>
      </w:r>
      <w:r>
        <w:rPr>
          <w:b/>
          <w:bCs/>
          <w:sz w:val="16"/>
          <w:szCs w:val="16"/>
        </w:rPr>
        <w:softHyphen/>
        <w:t>še časy; ale na přidánek znal ta</w:t>
      </w:r>
      <w:r>
        <w:rPr>
          <w:b/>
          <w:bCs/>
          <w:sz w:val="16"/>
          <w:szCs w:val="16"/>
        </w:rPr>
        <w:softHyphen/>
        <w:t>ké skoro celou přírodovědu a by</w:t>
      </w:r>
      <w:r>
        <w:rPr>
          <w:b/>
          <w:bCs/>
          <w:sz w:val="16"/>
          <w:szCs w:val="16"/>
        </w:rPr>
        <w:softHyphen/>
        <w:t>lo mně. přírodopisci, dost nepří- jemno. že byl v přírodovědecké li</w:t>
      </w:r>
      <w:r>
        <w:rPr>
          <w:b/>
          <w:bCs/>
          <w:sz w:val="16"/>
          <w:szCs w:val="16"/>
        </w:rPr>
        <w:softHyphen/>
        <w:t>teratuř</w:t>
      </w:r>
      <w:r>
        <w:rPr>
          <w:b/>
          <w:bCs/>
          <w:sz w:val="16"/>
          <w:szCs w:val="16"/>
        </w:rPr>
        <w:t>e zběhlejší než leckterý přírodopisec. Myslím, že z Čády a Krejčího čerpal Čapek víc než z Masaryka, který byl spíš filoso</w:t>
      </w:r>
      <w:r>
        <w:rPr>
          <w:b/>
          <w:bCs/>
          <w:sz w:val="16"/>
          <w:szCs w:val="16"/>
        </w:rPr>
        <w:softHyphen/>
        <w:t>fem rázu filologického a politic</w:t>
      </w:r>
      <w:r>
        <w:rPr>
          <w:b/>
          <w:bCs/>
          <w:sz w:val="16"/>
          <w:szCs w:val="16"/>
        </w:rPr>
        <w:softHyphen/>
        <w:t>kého. To hlavní, co Čapka udělalo světovým spisovatelem, byla jeho vřelá láska k přírodě a té se v ž</w:t>
      </w:r>
      <w:r>
        <w:rPr>
          <w:b/>
          <w:bCs/>
          <w:sz w:val="16"/>
          <w:szCs w:val="16"/>
        </w:rPr>
        <w:t>ádném semináři nenaučí ten, ko</w:t>
      </w:r>
      <w:r>
        <w:rPr>
          <w:b/>
          <w:bCs/>
          <w:sz w:val="16"/>
          <w:szCs w:val="16"/>
        </w:rPr>
        <w:softHyphen/>
        <w:t>mu nevypučela v srdci.</w:t>
      </w:r>
    </w:p>
    <w:p w:rsidR="00500724" w:rsidRDefault="00F30FB8">
      <w:pPr>
        <w:pStyle w:val="Zkladntext40"/>
        <w:shd w:val="clear" w:color="auto" w:fill="auto"/>
        <w:spacing w:line="168" w:lineRule="auto"/>
        <w:ind w:firstLine="180"/>
        <w:rPr>
          <w:sz w:val="16"/>
          <w:szCs w:val="16"/>
        </w:rPr>
      </w:pPr>
      <w:r>
        <w:rPr>
          <w:b/>
          <w:bCs/>
          <w:sz w:val="16"/>
          <w:szCs w:val="16"/>
        </w:rPr>
        <w:t>To, že byl Karel Čapek přírodo- piscem, myslíme opravdu a doslo</w:t>
      </w:r>
      <w:r>
        <w:rPr>
          <w:b/>
          <w:bCs/>
          <w:sz w:val="16"/>
          <w:szCs w:val="16"/>
        </w:rPr>
        <w:softHyphen/>
        <w:t>va; naprosto to nemá být pouhé vtipné paradoxon. Od »Loupežní- ka« počínajíc je snad celé jeho dí</w:t>
      </w:r>
      <w:r>
        <w:rPr>
          <w:b/>
          <w:bCs/>
          <w:sz w:val="16"/>
          <w:szCs w:val="16"/>
        </w:rPr>
        <w:softHyphen/>
        <w:t>lo přírodovědecky podloženo. »Loupežník«</w:t>
      </w:r>
      <w:r>
        <w:rPr>
          <w:b/>
          <w:bCs/>
          <w:sz w:val="16"/>
          <w:szCs w:val="16"/>
        </w:rPr>
        <w:t xml:space="preserve"> je téměř jeho prvo</w:t>
      </w:r>
      <w:r>
        <w:rPr>
          <w:b/>
          <w:bCs/>
          <w:sz w:val="16"/>
          <w:szCs w:val="16"/>
        </w:rPr>
        <w:softHyphen/>
        <w:t>tinou; je to dílo jeho mládí a v mládí srdce překřikuje rozum. Materiál, z něhož byl utvořen Loupežník, je erotika, standardní a téměř universální to spisovatel</w:t>
      </w:r>
      <w:r>
        <w:rPr>
          <w:b/>
          <w:bCs/>
          <w:sz w:val="16"/>
          <w:szCs w:val="16"/>
        </w:rPr>
        <w:softHyphen/>
        <w:t>ský materiál. Protiva stáří a mlá</w:t>
      </w:r>
      <w:r>
        <w:rPr>
          <w:b/>
          <w:bCs/>
          <w:sz w:val="16"/>
          <w:szCs w:val="16"/>
        </w:rPr>
        <w:softHyphen/>
        <w:t xml:space="preserve">dí </w:t>
      </w:r>
      <w:r>
        <w:rPr>
          <w:b/>
          <w:bCs/>
          <w:sz w:val="16"/>
          <w:szCs w:val="16"/>
          <w:lang w:val="en-US" w:eastAsia="en-US" w:bidi="en-US"/>
        </w:rPr>
        <w:t xml:space="preserve">in rebus </w:t>
      </w:r>
      <w:r>
        <w:rPr>
          <w:b/>
          <w:bCs/>
          <w:sz w:val="16"/>
          <w:szCs w:val="16"/>
        </w:rPr>
        <w:t>venereis, s daným vý</w:t>
      </w:r>
      <w:r>
        <w:rPr>
          <w:b/>
          <w:bCs/>
          <w:sz w:val="16"/>
          <w:szCs w:val="16"/>
        </w:rPr>
        <w:softHyphen/>
        <w:t>sledkem.</w:t>
      </w:r>
      <w:r>
        <w:rPr>
          <w:b/>
          <w:bCs/>
          <w:sz w:val="16"/>
          <w:szCs w:val="16"/>
        </w:rPr>
        <w:t xml:space="preserve"> Mládí to musí přirozeně vyhrát. Možná, že »Loupežníkem« autor odreagoval také svůj kom</w:t>
      </w:r>
      <w:r>
        <w:rPr>
          <w:b/>
          <w:bCs/>
          <w:sz w:val="16"/>
          <w:szCs w:val="16"/>
        </w:rPr>
        <w:softHyphen/>
        <w:t>plex mužské nesmělosti. Jeho duše byla tvrdě chlapská, ale bohužel jejím sídlem bylo choré a křehké tělo. Jeho duševní páteř byla oce</w:t>
      </w:r>
      <w:r>
        <w:rPr>
          <w:b/>
          <w:bCs/>
          <w:sz w:val="16"/>
          <w:szCs w:val="16"/>
        </w:rPr>
        <w:softHyphen/>
        <w:t>lová, ale tělesná páteř byla křeh</w:t>
      </w:r>
      <w:r>
        <w:rPr>
          <w:b/>
          <w:bCs/>
          <w:sz w:val="16"/>
          <w:szCs w:val="16"/>
        </w:rPr>
        <w:softHyphen/>
      </w:r>
      <w:r>
        <w:rPr>
          <w:b/>
          <w:bCs/>
          <w:sz w:val="16"/>
          <w:szCs w:val="16"/>
        </w:rPr>
        <w:t>ká, zlobila a bolela. Mým soukro</w:t>
      </w:r>
      <w:r>
        <w:rPr>
          <w:b/>
          <w:bCs/>
          <w:sz w:val="16"/>
          <w:szCs w:val="16"/>
        </w:rPr>
        <w:softHyphen/>
        <w:t>mým koníčkem je biotypologická psychologie a tu musím říci, že ve sbírce mých povah není případu, kde by bylo tolik naděje a opti</w:t>
      </w:r>
      <w:r>
        <w:rPr>
          <w:b/>
          <w:bCs/>
          <w:sz w:val="16"/>
          <w:szCs w:val="16"/>
        </w:rPr>
        <w:softHyphen/>
        <w:t>mismu v tak slabém těle, kde sí</w:t>
      </w:r>
      <w:r>
        <w:rPr>
          <w:b/>
          <w:bCs/>
          <w:sz w:val="16"/>
          <w:szCs w:val="16"/>
        </w:rPr>
        <w:softHyphen/>
        <w:t>dlí skoro vždy duše paskřivce.</w:t>
      </w:r>
    </w:p>
    <w:p w:rsidR="00500724" w:rsidRDefault="00F30FB8">
      <w:pPr>
        <w:pStyle w:val="Zkladntext40"/>
        <w:shd w:val="clear" w:color="auto" w:fill="auto"/>
        <w:spacing w:line="168" w:lineRule="auto"/>
        <w:ind w:firstLine="180"/>
        <w:rPr>
          <w:sz w:val="16"/>
          <w:szCs w:val="16"/>
        </w:rPr>
      </w:pPr>
      <w:r>
        <w:rPr>
          <w:b/>
          <w:bCs/>
          <w:sz w:val="16"/>
          <w:szCs w:val="16"/>
        </w:rPr>
        <w:t>Nemám v úmyslu probrat celou Č</w:t>
      </w:r>
      <w:r>
        <w:rPr>
          <w:b/>
          <w:bCs/>
          <w:sz w:val="16"/>
          <w:szCs w:val="16"/>
        </w:rPr>
        <w:t>apkovu tvorbu a dokazovat v každém jednotlivém díle jeho pří</w:t>
      </w:r>
      <w:r>
        <w:rPr>
          <w:b/>
          <w:bCs/>
          <w:sz w:val="16"/>
          <w:szCs w:val="16"/>
        </w:rPr>
        <w:softHyphen/>
        <w:t>rodovědeckou kostru anebo aspoň silné přírodovědecké podbarvení. To může udělati soustavně lite</w:t>
      </w:r>
      <w:r>
        <w:rPr>
          <w:b/>
          <w:bCs/>
          <w:sz w:val="16"/>
          <w:szCs w:val="16"/>
        </w:rPr>
        <w:softHyphen/>
        <w:t>rární kritik a historik. Chci zde stejně uvésti jen několik příkla</w:t>
      </w:r>
      <w:r>
        <w:rPr>
          <w:b/>
          <w:bCs/>
          <w:sz w:val="16"/>
          <w:szCs w:val="16"/>
        </w:rPr>
        <w:softHyphen/>
        <w:t>dů. Tak třeba »Válku s mloky«. T</w:t>
      </w:r>
      <w:r>
        <w:rPr>
          <w:b/>
          <w:bCs/>
          <w:sz w:val="16"/>
          <w:szCs w:val="16"/>
        </w:rPr>
        <w:t>akovou práci nenapíše ten, kdo neví. že švýcarský zoolog Schleuchzer omylem pokládal ko</w:t>
      </w:r>
      <w:r>
        <w:rPr>
          <w:b/>
          <w:bCs/>
          <w:sz w:val="16"/>
          <w:szCs w:val="16"/>
        </w:rPr>
        <w:softHyphen/>
        <w:t>stru japonského velemloka za kostru pračlověka a že pro do</w:t>
      </w:r>
      <w:r>
        <w:rPr>
          <w:b/>
          <w:bCs/>
          <w:sz w:val="16"/>
          <w:szCs w:val="16"/>
        </w:rPr>
        <w:softHyphen/>
        <w:t>mnělého nového předchůdce člo</w:t>
      </w:r>
      <w:r>
        <w:rPr>
          <w:b/>
          <w:bCs/>
          <w:sz w:val="16"/>
          <w:szCs w:val="16"/>
        </w:rPr>
        <w:softHyphen/>
        <w:t xml:space="preserve">věka bylo tvořeno i jméno; </w:t>
      </w:r>
      <w:r>
        <w:rPr>
          <w:b/>
          <w:bCs/>
          <w:sz w:val="16"/>
          <w:szCs w:val="16"/>
          <w:lang w:val="en-US" w:eastAsia="en-US" w:bidi="en-US"/>
        </w:rPr>
        <w:t xml:space="preserve">Homo </w:t>
      </w:r>
      <w:r>
        <w:rPr>
          <w:b/>
          <w:bCs/>
          <w:sz w:val="16"/>
          <w:szCs w:val="16"/>
        </w:rPr>
        <w:t xml:space="preserve">diluvii </w:t>
      </w:r>
      <w:r>
        <w:rPr>
          <w:b/>
          <w:bCs/>
          <w:sz w:val="16"/>
          <w:szCs w:val="16"/>
          <w:lang w:val="en-US" w:eastAsia="en-US" w:bidi="en-US"/>
        </w:rPr>
        <w:t xml:space="preserve">testis. </w:t>
      </w:r>
      <w:r>
        <w:rPr>
          <w:b/>
          <w:bCs/>
          <w:sz w:val="16"/>
          <w:szCs w:val="16"/>
        </w:rPr>
        <w:t>K takové práci ovšem musí autor</w:t>
      </w:r>
      <w:r>
        <w:rPr>
          <w:b/>
          <w:bCs/>
          <w:sz w:val="16"/>
          <w:szCs w:val="16"/>
        </w:rPr>
        <w:t xml:space="preserve"> taky znát lec</w:t>
      </w:r>
      <w:r>
        <w:rPr>
          <w:b/>
          <w:bCs/>
          <w:sz w:val="16"/>
          <w:szCs w:val="16"/>
        </w:rPr>
        <w:softHyphen/>
        <w:t>cos ze zeměpisu, zoologie, oceano- I grafie a bůhvíčeho, musí mít i trpělivost prokousat se suchopár</w:t>
      </w:r>
      <w:r>
        <w:rPr>
          <w:b/>
          <w:bCs/>
          <w:sz w:val="16"/>
          <w:szCs w:val="16"/>
        </w:rPr>
        <w:softHyphen/>
        <w:t>ným vědeckým separátem, když naň chce napsat parodii. Ty zna</w:t>
      </w:r>
      <w:r>
        <w:rPr>
          <w:b/>
          <w:bCs/>
          <w:sz w:val="16"/>
          <w:szCs w:val="16"/>
        </w:rPr>
        <w:softHyphen/>
        <w:t xml:space="preserve">losti musí autor také důkladné strávit, a ne jen tak na honem si něco přečíst. </w:t>
      </w:r>
      <w:r>
        <w:rPr>
          <w:b/>
          <w:bCs/>
          <w:sz w:val="16"/>
          <w:szCs w:val="16"/>
        </w:rPr>
        <w:t>Nebo jiný příklad: »R. U. R.« Na to se zas musí znát notný kus biologie a živočišné fy- siologie, jinak by vaše manipula</w:t>
      </w:r>
      <w:r>
        <w:rPr>
          <w:b/>
          <w:bCs/>
          <w:sz w:val="16"/>
          <w:szCs w:val="16"/>
        </w:rPr>
        <w:softHyphen/>
        <w:t>ce se slovem »hormon« dopadla prakomicky. Poslouchal jsem to drama v Paříži s ctihodným pro</w:t>
      </w:r>
      <w:r>
        <w:rPr>
          <w:b/>
          <w:bCs/>
          <w:sz w:val="16"/>
          <w:szCs w:val="16"/>
        </w:rPr>
        <w:softHyphen/>
        <w:t>fesorem biologie z Melboumu.Ani jednou sebo</w:t>
      </w:r>
      <w:r>
        <w:rPr>
          <w:b/>
          <w:bCs/>
          <w:sz w:val="16"/>
          <w:szCs w:val="16"/>
        </w:rPr>
        <w:t>u neškubl, samé »splendid«, »nice®, a to musíte vědět, jak je to s námi přírodo</w:t>
      </w:r>
      <w:r>
        <w:rPr>
          <w:b/>
          <w:bCs/>
          <w:sz w:val="16"/>
          <w:szCs w:val="16"/>
        </w:rPr>
        <w:softHyphen/>
        <w:t>pise!. Rutinovaný hudebník sebou škubne při symfonii, když tu tam zazní jeden jediný falešný tón. Podobně pro nás existují takové falešné tóny; jsou jimi biologic</w:t>
      </w:r>
      <w:r>
        <w:rPr>
          <w:b/>
          <w:bCs/>
          <w:sz w:val="16"/>
          <w:szCs w:val="16"/>
        </w:rPr>
        <w:softHyphen/>
        <w:t>ké absurdnost</w:t>
      </w:r>
      <w:r>
        <w:rPr>
          <w:b/>
          <w:bCs/>
          <w:sz w:val="16"/>
          <w:szCs w:val="16"/>
        </w:rPr>
        <w:t>i. Rovněž »Ze života hmyzu« je dílo umělecké, ale umělecké nadání by tu samo o sobě nebylo stačilo. Autor musil z entymologie znát mnohem víc, než že na jaře létají chrousti a v létě mouchy. A ani ty vědomosti nestačí. Jsme přesvědčeni, že Ka</w:t>
      </w:r>
      <w:r>
        <w:rPr>
          <w:b/>
          <w:bCs/>
          <w:sz w:val="16"/>
          <w:szCs w:val="16"/>
        </w:rPr>
        <w:softHyphen/>
        <w:t>rel Čapek měl</w:t>
      </w:r>
      <w:r>
        <w:rPr>
          <w:b/>
          <w:bCs/>
          <w:sz w:val="16"/>
          <w:szCs w:val="16"/>
        </w:rPr>
        <w:t xml:space="preserve"> třeba k takovým cvrčkům vřelý osobní vztah, že na mezích celé hodiny se kochal jejich primitivními koncerty a možná že je i chytal kouskem stébla. Narodil se na venkově a měšťák si ani nedovede předsta</w:t>
      </w:r>
      <w:r>
        <w:rPr>
          <w:b/>
          <w:bCs/>
          <w:sz w:val="16"/>
          <w:szCs w:val="16"/>
        </w:rPr>
        <w:softHyphen/>
        <w:t>vit. jak se cvrček chytá. Možná, že mnozí by se ho tř</w:t>
      </w:r>
      <w:r>
        <w:rPr>
          <w:b/>
          <w:bCs/>
          <w:sz w:val="16"/>
          <w:szCs w:val="16"/>
        </w:rPr>
        <w:t>eba i báli.</w:t>
      </w:r>
    </w:p>
    <w:p w:rsidR="00500724" w:rsidRDefault="00F30FB8">
      <w:pPr>
        <w:pStyle w:val="Zkladntext40"/>
        <w:shd w:val="clear" w:color="auto" w:fill="auto"/>
        <w:spacing w:after="0" w:line="170" w:lineRule="auto"/>
        <w:ind w:firstLine="180"/>
        <w:rPr>
          <w:sz w:val="16"/>
          <w:szCs w:val="16"/>
        </w:rPr>
      </w:pPr>
      <w:r>
        <w:rPr>
          <w:b/>
          <w:bCs/>
          <w:sz w:val="16"/>
          <w:szCs w:val="16"/>
        </w:rPr>
        <w:t xml:space="preserve">»Továrna na absolutno«. Tu zas je třeba vědět, co je to intraato- mová energie a co je to Kantovo: Ding </w:t>
      </w:r>
      <w:r>
        <w:rPr>
          <w:b/>
          <w:bCs/>
          <w:sz w:val="16"/>
          <w:szCs w:val="16"/>
          <w:lang w:val="en-US" w:eastAsia="en-US" w:bidi="en-US"/>
        </w:rPr>
        <w:t xml:space="preserve">an </w:t>
      </w:r>
      <w:r>
        <w:rPr>
          <w:b/>
          <w:bCs/>
          <w:sz w:val="16"/>
          <w:szCs w:val="16"/>
        </w:rPr>
        <w:t>sich. A mohl bych tak pokračovat a analysovat přírodo</w:t>
      </w:r>
      <w:r>
        <w:rPr>
          <w:b/>
          <w:bCs/>
          <w:sz w:val="16"/>
          <w:szCs w:val="16"/>
        </w:rPr>
        <w:softHyphen/>
        <w:t>vědecky »Krakatit«. »Věc Makro</w:t>
      </w:r>
      <w:r>
        <w:rPr>
          <w:b/>
          <w:bCs/>
          <w:sz w:val="16"/>
          <w:szCs w:val="16"/>
        </w:rPr>
        <w:softHyphen/>
        <w:t>pulos®, »Adama stvořitele«, i ty jednotlivé malé pov</w:t>
      </w:r>
      <w:r>
        <w:rPr>
          <w:b/>
          <w:bCs/>
          <w:sz w:val="16"/>
          <w:szCs w:val="16"/>
        </w:rPr>
        <w:t>ídky.</w:t>
      </w:r>
    </w:p>
    <w:p w:rsidR="00500724" w:rsidRDefault="00F30FB8">
      <w:pPr>
        <w:pStyle w:val="Zkladntext40"/>
        <w:shd w:val="clear" w:color="auto" w:fill="auto"/>
        <w:spacing w:after="0" w:line="168" w:lineRule="auto"/>
        <w:ind w:firstLine="180"/>
        <w:rPr>
          <w:sz w:val="16"/>
          <w:szCs w:val="16"/>
        </w:rPr>
      </w:pPr>
      <w:r>
        <w:rPr>
          <w:b/>
          <w:bCs/>
          <w:sz w:val="16"/>
          <w:szCs w:val="16"/>
        </w:rPr>
        <w:t>Čapek se nejen narodil na ven</w:t>
      </w:r>
      <w:r>
        <w:rPr>
          <w:b/>
          <w:bCs/>
          <w:sz w:val="16"/>
          <w:szCs w:val="16"/>
        </w:rPr>
        <w:softHyphen/>
        <w:t>kově, poslední dobou na venkově téměř bydlil a ve městě mu ven</w:t>
      </w:r>
      <w:r>
        <w:rPr>
          <w:b/>
          <w:bCs/>
          <w:sz w:val="16"/>
          <w:szCs w:val="16"/>
        </w:rPr>
        <w:softHyphen/>
        <w:t>kov nahrazovala jeho zahrádka. Jak patrno ze »Zahradníkova ro</w:t>
      </w:r>
      <w:r>
        <w:rPr>
          <w:b/>
          <w:bCs/>
          <w:sz w:val="16"/>
          <w:szCs w:val="16"/>
        </w:rPr>
        <w:softHyphen/>
        <w:t>ku®, byla mu zahrádka ne hro</w:t>
      </w:r>
      <w:r>
        <w:rPr>
          <w:b/>
          <w:bCs/>
          <w:sz w:val="16"/>
          <w:szCs w:val="16"/>
        </w:rPr>
        <w:softHyphen/>
        <w:t>madou mrtvé hlíny, nýbrž zdro</w:t>
      </w:r>
      <w:r>
        <w:rPr>
          <w:b/>
          <w:bCs/>
          <w:sz w:val="16"/>
          <w:szCs w:val="16"/>
        </w:rPr>
        <w:softHyphen/>
        <w:t>jem krásna. Masaryk, Čáda, Krej</w:t>
      </w:r>
      <w:r>
        <w:rPr>
          <w:b/>
          <w:bCs/>
          <w:sz w:val="16"/>
          <w:szCs w:val="16"/>
        </w:rPr>
        <w:softHyphen/>
        <w:t xml:space="preserve">čí, </w:t>
      </w:r>
      <w:r>
        <w:rPr>
          <w:b/>
          <w:bCs/>
          <w:sz w:val="16"/>
          <w:szCs w:val="16"/>
        </w:rPr>
        <w:t>jeho učitelé filosofie mu před</w:t>
      </w:r>
      <w:r>
        <w:rPr>
          <w:b/>
          <w:bCs/>
          <w:sz w:val="16"/>
          <w:szCs w:val="16"/>
        </w:rPr>
        <w:softHyphen/>
        <w:t>ložili mnoho -ismů k výběru, ale on si z nich vybral jedině prag</w:t>
      </w:r>
      <w:r>
        <w:rPr>
          <w:b/>
          <w:bCs/>
          <w:sz w:val="16"/>
          <w:szCs w:val="16"/>
        </w:rPr>
        <w:softHyphen/>
        <w:t>matismus, filosofii stojící na ská</w:t>
      </w:r>
      <w:r>
        <w:rPr>
          <w:b/>
          <w:bCs/>
          <w:sz w:val="16"/>
          <w:szCs w:val="16"/>
        </w:rPr>
        <w:softHyphen/>
        <w:t>le přírodovědecké reality. Jen se zahloubejte s toho hlediska nad »První partou®.</w:t>
      </w:r>
    </w:p>
    <w:p w:rsidR="00500724" w:rsidRDefault="00F30FB8">
      <w:pPr>
        <w:pStyle w:val="Zkladntext40"/>
        <w:shd w:val="clear" w:color="auto" w:fill="auto"/>
        <w:spacing w:after="0"/>
        <w:ind w:firstLine="180"/>
        <w:rPr>
          <w:sz w:val="16"/>
          <w:szCs w:val="16"/>
        </w:rPr>
      </w:pPr>
      <w:r>
        <w:rPr>
          <w:b/>
          <w:bCs/>
          <w:sz w:val="16"/>
          <w:szCs w:val="16"/>
        </w:rPr>
        <w:t>Nám přírodopiscům vadí na běžné krásné próz</w:t>
      </w:r>
      <w:r>
        <w:rPr>
          <w:b/>
          <w:bCs/>
          <w:sz w:val="16"/>
          <w:szCs w:val="16"/>
        </w:rPr>
        <w:t>e, že často po</w:t>
      </w:r>
      <w:r>
        <w:rPr>
          <w:b/>
          <w:bCs/>
          <w:sz w:val="16"/>
          <w:szCs w:val="16"/>
        </w:rPr>
        <w:softHyphen/>
        <w:t>kládá téměř jediné erotiku za materiál hodný, aby byl zbaven všedností a stal se hodnotnější realitou uměleckou. Čapek doká</w:t>
      </w:r>
      <w:r>
        <w:rPr>
          <w:b/>
          <w:bCs/>
          <w:sz w:val="16"/>
          <w:szCs w:val="16"/>
        </w:rPr>
        <w:softHyphen/>
        <w:t>zal, že takového materiálu je na světě mnoho, že jím mohou býti i přírodovědecké poznatky. A tím se nám stal tak blíz</w:t>
      </w:r>
      <w:r>
        <w:rPr>
          <w:b/>
          <w:bCs/>
          <w:sz w:val="16"/>
          <w:szCs w:val="16"/>
        </w:rPr>
        <w:t>kým. Praco</w:t>
      </w:r>
      <w:r>
        <w:rPr>
          <w:b/>
          <w:bCs/>
          <w:sz w:val="16"/>
          <w:szCs w:val="16"/>
        </w:rPr>
        <w:softHyphen/>
        <w:t>val s tímže materiálem, co my, přírodozpytci. On ovšem srdcem a my rozumem, ale to stačí, aby</w:t>
      </w:r>
      <w:r>
        <w:rPr>
          <w:b/>
          <w:bCs/>
          <w:sz w:val="16"/>
          <w:szCs w:val="16"/>
        </w:rPr>
        <w:softHyphen/>
        <w:t>chom měli právo pokládat jej za kolegu. On ukázal světu, že věda a umění nejsou antogonisty, že v dovedných rukou jsou schopny skladu. Čapkova díla jso</w:t>
      </w:r>
      <w:r>
        <w:rPr>
          <w:b/>
          <w:bCs/>
          <w:sz w:val="16"/>
          <w:szCs w:val="16"/>
        </w:rPr>
        <w:t>u nejdo</w:t>
      </w:r>
      <w:r>
        <w:rPr>
          <w:b/>
          <w:bCs/>
          <w:sz w:val="16"/>
          <w:szCs w:val="16"/>
        </w:rPr>
        <w:softHyphen/>
        <w:t>konalejším produktem symbiosy</w:t>
      </w:r>
      <w:r>
        <w:br w:type="page"/>
      </w:r>
    </w:p>
    <w:p w:rsidR="00500724" w:rsidRDefault="00F30FB8">
      <w:pPr>
        <w:pStyle w:val="Zkladntext1"/>
        <w:shd w:val="clear" w:color="auto" w:fill="auto"/>
        <w:spacing w:after="40" w:line="185" w:lineRule="auto"/>
        <w:ind w:firstLine="0"/>
        <w:rPr>
          <w:sz w:val="20"/>
          <w:szCs w:val="20"/>
        </w:rPr>
      </w:pPr>
      <w:r>
        <w:rPr>
          <w:noProof/>
        </w:rPr>
        <mc:AlternateContent>
          <mc:Choice Requires="wps">
            <w:drawing>
              <wp:anchor distT="0" distB="101600" distL="114300" distR="114300" simplePos="0" relativeHeight="125829564" behindDoc="0" locked="0" layoutInCell="1" allowOverlap="1">
                <wp:simplePos x="0" y="0"/>
                <wp:positionH relativeFrom="page">
                  <wp:posOffset>1158240</wp:posOffset>
                </wp:positionH>
                <wp:positionV relativeFrom="margin">
                  <wp:posOffset>0</wp:posOffset>
                </wp:positionV>
                <wp:extent cx="1657985" cy="463550"/>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1657985" cy="463550"/>
                        </a:xfrm>
                        <a:prstGeom prst="rect">
                          <a:avLst/>
                        </a:prstGeom>
                        <a:noFill/>
                      </wps:spPr>
                      <wps:txbx>
                        <w:txbxContent>
                          <w:p w:rsidR="00500724" w:rsidRDefault="00F30FB8">
                            <w:pPr>
                              <w:pStyle w:val="Nadpis120"/>
                              <w:shd w:val="clear" w:color="auto" w:fill="auto"/>
                              <w:spacing w:line="206" w:lineRule="auto"/>
                              <w:ind w:left="0"/>
                            </w:pPr>
                            <w:bookmarkStart w:id="201" w:name="bookmark200"/>
                            <w:r>
                              <w:t>Když hrozí chřipka, chrání Vás ANGINOLKY. Tažte se svého lékaře.</w:t>
                            </w:r>
                            <w:bookmarkEnd w:id="201"/>
                          </w:p>
                        </w:txbxContent>
                      </wps:txbx>
                      <wps:bodyPr lIns="0" tIns="0" rIns="0" bIns="0">
                        <a:spAutoFit/>
                      </wps:bodyPr>
                    </wps:wsp>
                  </a:graphicData>
                </a:graphic>
              </wp:anchor>
            </w:drawing>
          </mc:Choice>
          <mc:Fallback>
            <w:pict>
              <v:shape id="_x0000_s1213" type="#_x0000_t202" style="position:absolute;margin-left:91.200000000000003pt;margin-top:0;width:130.55000000000001pt;height:36.5pt;z-index:-125829189;mso-wrap-distance-left:9.pt;mso-wrap-distance-right:9.pt;mso-wrap-distance-bottom:8.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0" w:line="206" w:lineRule="auto"/>
                        <w:ind w:left="0" w:right="0" w:firstLine="0"/>
                        <w:jc w:val="left"/>
                      </w:pPr>
                      <w:bookmarkStart w:id="200" w:name="bookmark200"/>
                      <w:r>
                        <w:rPr>
                          <w:color w:val="000000"/>
                          <w:spacing w:val="0"/>
                          <w:w w:val="100"/>
                          <w:position w:val="0"/>
                          <w:shd w:val="clear" w:color="auto" w:fill="auto"/>
                          <w:lang w:val="cs-CZ" w:eastAsia="cs-CZ" w:bidi="cs-CZ"/>
                        </w:rPr>
                        <w:t>Když hrozí chřipka, chrání Vás ANGINOLKY. Tažte se svého lékaře.</w:t>
                      </w:r>
                      <w:bookmarkEnd w:id="200"/>
                    </w:p>
                  </w:txbxContent>
                </v:textbox>
                <w10:wrap type="topAndBottom" anchorx="page" anchory="margin"/>
              </v:shape>
            </w:pict>
          </mc:Fallback>
        </mc:AlternateContent>
      </w:r>
      <w:r>
        <w:rPr>
          <w:b/>
          <w:bCs/>
          <w:i/>
          <w:iCs/>
          <w:sz w:val="20"/>
          <w:szCs w:val="20"/>
        </w:rPr>
        <w:t>šitých, Jcaplí se spojuje se zvláštním přízvukem slovan</w:t>
      </w:r>
      <w:r>
        <w:rPr>
          <w:b/>
          <w:bCs/>
          <w:i/>
          <w:iCs/>
          <w:sz w:val="20"/>
          <w:szCs w:val="20"/>
        </w:rPr>
        <w:softHyphen/>
        <w:t>ským: je to ona, která mu odkázala své nejdra&amp;ší anej- hlubší nostalgie.</w:t>
      </w:r>
    </w:p>
    <w:p w:rsidR="00500724" w:rsidRDefault="00F30FB8">
      <w:pPr>
        <w:pStyle w:val="Jin0"/>
        <w:shd w:val="clear" w:color="auto" w:fill="auto"/>
        <w:spacing w:after="40"/>
        <w:ind w:firstLine="0"/>
        <w:rPr>
          <w:sz w:val="24"/>
          <w:szCs w:val="24"/>
        </w:rPr>
      </w:pPr>
      <w:r>
        <w:rPr>
          <w:rFonts w:ascii="Arial" w:eastAsia="Arial" w:hAnsi="Arial" w:cs="Arial"/>
          <w:sz w:val="24"/>
          <w:szCs w:val="24"/>
        </w:rPr>
        <w:t>DOŠLE KNIHY</w:t>
      </w:r>
    </w:p>
    <w:p w:rsidR="00500724" w:rsidRDefault="00F30FB8">
      <w:pPr>
        <w:pStyle w:val="Zkladntext40"/>
        <w:shd w:val="clear" w:color="auto" w:fill="auto"/>
        <w:spacing w:after="0" w:line="166" w:lineRule="auto"/>
        <w:ind w:firstLine="180"/>
        <w:rPr>
          <w:sz w:val="14"/>
          <w:szCs w:val="14"/>
        </w:rPr>
      </w:pPr>
      <w:r>
        <w:rPr>
          <w:b/>
          <w:bCs/>
          <w:sz w:val="14"/>
          <w:szCs w:val="14"/>
        </w:rPr>
        <w:t xml:space="preserve">ZÁKLADNÍ PROBLÉMY </w:t>
      </w:r>
      <w:r>
        <w:rPr>
          <w:b/>
          <w:bCs/>
          <w:smallCaps/>
          <w:sz w:val="19"/>
          <w:szCs w:val="19"/>
        </w:rPr>
        <w:t>mezi</w:t>
      </w:r>
      <w:r>
        <w:rPr>
          <w:b/>
          <w:bCs/>
          <w:smallCaps/>
          <w:sz w:val="19"/>
          <w:szCs w:val="19"/>
        </w:rPr>
        <w:softHyphen/>
        <w:t>národního</w:t>
      </w:r>
      <w:r>
        <w:rPr>
          <w:b/>
          <w:bCs/>
          <w:sz w:val="14"/>
          <w:szCs w:val="14"/>
        </w:rPr>
        <w:t xml:space="preserve"> SOUDNÍHO FRO-</w:t>
      </w:r>
    </w:p>
    <w:p w:rsidR="00500724" w:rsidRDefault="00F30FB8">
      <w:pPr>
        <w:pStyle w:val="Zkladntext40"/>
        <w:shd w:val="clear" w:color="auto" w:fill="auto"/>
        <w:spacing w:after="40" w:line="180" w:lineRule="auto"/>
      </w:pPr>
      <w:r>
        <w:t>CESU. Napsal JUDr. Bohumil Ku- Cera, soukromý docent Masary</w:t>
      </w:r>
      <w:r>
        <w:softHyphen/>
        <w:t>kovy university a odborový rada v ministerstvu zahraničních věci. Vyšlo ve Sbírce spisů právnic</w:t>
      </w:r>
      <w:r>
        <w:softHyphen/>
        <w:t>kých a národohospodářských, kte</w:t>
      </w:r>
      <w:r>
        <w:softHyphen/>
        <w:t xml:space="preserve">rou vydávají univ. </w:t>
      </w:r>
      <w:r>
        <w:rPr>
          <w:lang w:val="en-US" w:eastAsia="en-US" w:bidi="en-US"/>
        </w:rPr>
        <w:t>pr</w:t>
      </w:r>
      <w:r>
        <w:rPr>
          <w:lang w:val="en-US" w:eastAsia="en-US" w:bidi="en-US"/>
        </w:rPr>
        <w:t xml:space="preserve">of. </w:t>
      </w:r>
      <w:r>
        <w:t>JUDr. Karel Engliš a JUDr. František Weyr. Nakladatelství ORBIS (Praha XII.). Brož. KC 50.—. Spis se opírá o hojný mezinárodni ma</w:t>
      </w:r>
      <w:r>
        <w:softHyphen/>
        <w:t>teriál a hlavně mezinárodni judi</w:t>
      </w:r>
      <w:r>
        <w:softHyphen/>
        <w:t xml:space="preserve">katuru, z níž je patrno. Jak </w:t>
      </w:r>
      <w:r>
        <w:rPr>
          <w:b/>
          <w:bCs/>
          <w:sz w:val="14"/>
          <w:szCs w:val="14"/>
        </w:rPr>
        <w:t xml:space="preserve">se </w:t>
      </w:r>
      <w:r>
        <w:t>mezinárodni proces vyvíjel a sta- bilisoval. Používáni sp</w:t>
      </w:r>
      <w:r>
        <w:t>isu Jest usnadněno podrobným věcným rejstříkem, který podává živý obraz o bohatosti problémů. Jimž jest svérázná kniha věnována.</w:t>
      </w:r>
    </w:p>
    <w:p w:rsidR="00500724" w:rsidRDefault="00F30FB8">
      <w:pPr>
        <w:pStyle w:val="Zkladntext40"/>
        <w:shd w:val="clear" w:color="auto" w:fill="auto"/>
        <w:spacing w:after="40"/>
        <w:ind w:firstLine="180"/>
      </w:pPr>
      <w:r>
        <w:t xml:space="preserve">C. C. </w:t>
      </w:r>
      <w:r>
        <w:rPr>
          <w:lang w:val="en-US" w:eastAsia="en-US" w:bidi="en-US"/>
        </w:rPr>
        <w:t xml:space="preserve">Furnas: </w:t>
      </w:r>
      <w:r>
        <w:t>PŘÍŠTÍCH STO LET POKROKU VE VÉDĚ. Na otázky, Jak asi bude vypadat svět ve všech oborech vědy, prů</w:t>
      </w:r>
      <w:r>
        <w:softHyphen/>
        <w:t>myslu, po strán</w:t>
      </w:r>
      <w:r>
        <w:t>ce technické, so</w:t>
      </w:r>
      <w:r>
        <w:softHyphen/>
        <w:t xml:space="preserve">ciologické a národohospodářské, odpovídá spisovatel C. C. </w:t>
      </w:r>
      <w:r>
        <w:rPr>
          <w:lang w:val="en-US" w:eastAsia="en-US" w:bidi="en-US"/>
        </w:rPr>
        <w:t xml:space="preserve">Furnas, </w:t>
      </w:r>
      <w:r>
        <w:t>mladý praktický vědec, který je dnes profesorem moderní chemie na Yaleské universitě v Americe, a náleží do skupiny de Kruifovy, Carellovy a srozumitelným podá</w:t>
      </w:r>
      <w:r>
        <w:softHyphen/>
        <w:t>ním řadí se m</w:t>
      </w:r>
      <w:r>
        <w:t>ezi dobré populari- sátory vědy. Cena brož. 48 K. Vydal Kvasnička a Hampl, Praha.</w:t>
      </w:r>
    </w:p>
    <w:p w:rsidR="00500724" w:rsidRDefault="00F30FB8">
      <w:pPr>
        <w:pStyle w:val="Zkladntext40"/>
        <w:shd w:val="clear" w:color="auto" w:fill="auto"/>
        <w:spacing w:after="40" w:line="180" w:lineRule="auto"/>
        <w:ind w:firstLine="180"/>
      </w:pPr>
      <w:r>
        <w:t>Inž. Fr. Schwarz: ŘÍZENÉ HOS</w:t>
      </w:r>
      <w:r>
        <w:softHyphen/>
        <w:t>PODÁŘSTVÍ. Odborné knihkupec</w:t>
      </w:r>
      <w:r>
        <w:softHyphen/>
        <w:t>tví Ferd. Svobody nást. Jar. Sa</w:t>
      </w:r>
      <w:r>
        <w:softHyphen/>
        <w:t>mec, Praha, vydalo v těchto dnech jako druhý svazek »Praktické knihovny®, spis posla</w:t>
      </w:r>
      <w:r>
        <w:t xml:space="preserve">nce Frant. Schwarze o řízeném hospodářství. Spis jest rozdělen na pět dílů, a </w:t>
      </w:r>
      <w:r>
        <w:rPr>
          <w:lang w:val="en-US" w:eastAsia="en-US" w:bidi="en-US"/>
        </w:rPr>
        <w:t xml:space="preserve">to: </w:t>
      </w:r>
      <w:r>
        <w:t>I. »Z čeho se zrodilo řízené hospodářství« (stav a vývoj po</w:t>
      </w:r>
      <w:r>
        <w:softHyphen/>
        <w:t>válečné společnosti), II. »Teorie řízeného hospodářství v Česko</w:t>
      </w:r>
      <w:r>
        <w:softHyphen/>
        <w:t>slovenské republice* (s částí obecnou »Povšechná t</w:t>
      </w:r>
      <w:r>
        <w:t>eorie a její posouzení*, a s částí zvláštní, »Návrhy na jednotlivé opatřeni řízeného hospodářství a jejich po</w:t>
      </w:r>
      <w:r>
        <w:softHyphen/>
        <w:t xml:space="preserve">souzení*), III. »Některé ukázky praxe řízeného hospodářství v ČSR*. IV. »Vyhlídky řízeného hos- </w:t>
      </w:r>
      <w:r>
        <w:rPr>
          <w:u w:val="single"/>
        </w:rPr>
        <w:t>podářství*, V. »Zásady hospodář</w:t>
      </w:r>
      <w:r>
        <w:rPr>
          <w:u w:val="single"/>
        </w:rPr>
        <w:softHyphen/>
      </w:r>
      <w:r>
        <w:t>ské a sociální pol</w:t>
      </w:r>
      <w:r>
        <w:t>itiky*. Kniha má 280 stran a stojí brož. 32 K.</w:t>
      </w:r>
    </w:p>
    <w:p w:rsidR="00500724" w:rsidRDefault="00F30FB8">
      <w:pPr>
        <w:pStyle w:val="Zkladntext40"/>
        <w:shd w:val="clear" w:color="auto" w:fill="auto"/>
        <w:spacing w:after="40" w:line="180" w:lineRule="auto"/>
        <w:ind w:firstLine="200"/>
      </w:pPr>
      <w:r>
        <w:rPr>
          <w:b/>
          <w:bCs/>
          <w:sz w:val="16"/>
          <w:szCs w:val="16"/>
        </w:rPr>
        <w:t xml:space="preserve">A. Musil: ITÁLIE V AFRICE. </w:t>
      </w:r>
      <w:r>
        <w:t>(Nová Libye.) Italská východní Afrika. Vydal Melantrlch 1939. Mladá sjednocená Itálie toužila po dědictví svých předků, sta</w:t>
      </w:r>
      <w:r>
        <w:softHyphen/>
        <w:t xml:space="preserve">rých Římanů, na asijském nebo africkém pobřeží </w:t>
      </w:r>
      <w:r>
        <w:t>Středozemního moře. Usilovně se chystala do Tuniska, avšak Francie ji r. 1881 předešla a přiklonila se k Velké Britanii. Na jeji pupod se usadila r. 1885 při Rudém moři a Indic</w:t>
      </w:r>
      <w:r>
        <w:softHyphen/>
        <w:t>kém oceánu, kde založila své první kolonie, Eritreu a Somalii. Tajnou úmluvou z</w:t>
      </w:r>
      <w:r>
        <w:t xml:space="preserve"> 1. listopadu 1902 závazně slíbila, že nepůjde do války proti Francii s Němec</w:t>
      </w:r>
      <w:r>
        <w:softHyphen/>
        <w:t>kem, s nímž byla spojena, začež Francie a Velká Britanie projevi</w:t>
      </w:r>
      <w:r>
        <w:softHyphen/>
        <w:t>ly souhlas, aby si vzala Tripol- sko, africkou provincii turecké ří</w:t>
      </w:r>
      <w:r>
        <w:softHyphen/>
        <w:t>še, za jejíž celistvost velmoci ru</w:t>
      </w:r>
      <w:r>
        <w:softHyphen/>
        <w:t>čily. Učin</w:t>
      </w:r>
      <w:r>
        <w:t>ila to na podzim 1911 a usadila se nejen v Tripolsku ne</w:t>
      </w:r>
      <w:r>
        <w:softHyphen/>
        <w:t>boli Libyi, nýbrž I na ostrovech Rodu a Dodekanesu. S britským 1 francouzským vědomím se od r. 1932 hotovila do Habeše a dala se do útočné války, když si 7. ledna 1935 zajistila souhlas Fran</w:t>
      </w:r>
      <w:r>
        <w:softHyphen/>
        <w:t>cie slibe</w:t>
      </w:r>
      <w:r>
        <w:t>m, že se s ní domluví o zabezpečení Porýní a Rakouska. Francie odvrátila zákaz dovozu uhlí a petroleje, jehož se v Říme nejvíce báli. Vtrhli do Habeše a 9. května 1936 vyhlásili své Im</w:t>
      </w:r>
      <w:r>
        <w:softHyphen/>
        <w:t>périum. Italská východní Afrika se prostírá při Rudém moři a Indickém o</w:t>
      </w:r>
      <w:r>
        <w:t>ceánu, jež Velká Bri</w:t>
      </w:r>
      <w:r>
        <w:softHyphen/>
        <w:t>tanie dotud měla za své državy. Na západ sousedí s anglicko- egyptským Súdánem, do něhož vedou přímé cesty též z Libye. Přirozený vývoj pudí italské im</w:t>
      </w:r>
      <w:r>
        <w:softHyphen/>
        <w:t>perialisty, aby sloučili Libyi s ital</w:t>
      </w:r>
      <w:r>
        <w:softHyphen/>
        <w:t>skou východní Afrikou. Ocitají se v rozporu s</w:t>
      </w:r>
      <w:r>
        <w:t>e zájmy britského im</w:t>
      </w:r>
      <w:r>
        <w:softHyphen/>
        <w:t>péria a v tomto rozporu snad tkvi zárodky nové světové války.</w:t>
      </w:r>
    </w:p>
    <w:p w:rsidR="00500724" w:rsidRDefault="00F30FB8">
      <w:pPr>
        <w:pStyle w:val="Zkladntext40"/>
        <w:shd w:val="clear" w:color="auto" w:fill="auto"/>
        <w:spacing w:after="40" w:line="180" w:lineRule="auto"/>
        <w:ind w:firstLine="200"/>
      </w:pPr>
      <w:r>
        <w:rPr>
          <w:b/>
          <w:bCs/>
          <w:sz w:val="16"/>
          <w:szCs w:val="16"/>
        </w:rPr>
        <w:t xml:space="preserve">Vilém </w:t>
      </w:r>
      <w:r>
        <w:t>Bitnar: POSTAVY A PRO</w:t>
      </w:r>
      <w:r>
        <w:softHyphen/>
        <w:t>BLÉMY ČESKÉHO BAROKU LI</w:t>
      </w:r>
      <w:r>
        <w:softHyphen/>
        <w:t>TERÁRNÍHO. Po první knize »O českém baroku slovesném* (1932), která v literárním světě vzbudila pozornost, vychází nyní J</w:t>
      </w:r>
      <w:r>
        <w:t>eho dru</w:t>
      </w:r>
      <w:r>
        <w:softHyphen/>
        <w:t>há kniha, v níž vedle studií o Bri- delovi a Rozenplutovi najdou se zcela nové a naprosto původní práce o baroku premonstrátském, o problému periodisace a termino</w:t>
      </w:r>
      <w:r>
        <w:softHyphen/>
        <w:t>logie literárního baroku, v nichž dnešní věda dosud tápe. Před</w:t>
      </w:r>
      <w:r>
        <w:softHyphen/>
        <w:t>nosti prací Bitnarovýc</w:t>
      </w:r>
      <w:r>
        <w:t>h je zdů</w:t>
      </w:r>
      <w:r>
        <w:softHyphen/>
        <w:t>razňování estetických živlů poe</w:t>
      </w:r>
      <w:r>
        <w:softHyphen/>
        <w:t>sie barokové. Kniha přináší z to</w:t>
      </w:r>
      <w:r>
        <w:softHyphen/>
        <w:t>hoto oboru zcela novou kapitolu o anafoře lyriky Bridelovy. Stran 230. Cena brož. 28 K, vydalo Cy- rilo-metodějské knihkupectví Gu</w:t>
      </w:r>
      <w:r>
        <w:softHyphen/>
        <w:t>stava Francia, Praha.</w:t>
      </w:r>
    </w:p>
    <w:p w:rsidR="00500724" w:rsidRDefault="00F30FB8">
      <w:pPr>
        <w:pStyle w:val="Zkladntext80"/>
        <w:shd w:val="clear" w:color="auto" w:fill="auto"/>
        <w:spacing w:after="40" w:line="240" w:lineRule="auto"/>
        <w:jc w:val="both"/>
        <w:rPr>
          <w:sz w:val="24"/>
          <w:szCs w:val="24"/>
        </w:rPr>
      </w:pPr>
      <w:r>
        <w:rPr>
          <w:b w:val="0"/>
          <w:bCs w:val="0"/>
          <w:sz w:val="24"/>
          <w:szCs w:val="24"/>
        </w:rPr>
        <w:t>POZNÁMKY</w:t>
      </w:r>
    </w:p>
    <w:p w:rsidR="00500724" w:rsidRDefault="00F30FB8">
      <w:pPr>
        <w:pStyle w:val="Zkladntext40"/>
        <w:shd w:val="clear" w:color="auto" w:fill="auto"/>
        <w:spacing w:after="40" w:line="180" w:lineRule="auto"/>
        <w:ind w:firstLine="200"/>
      </w:pPr>
      <w:r>
        <w:t>MEZINÁRODNI FOTOGRAF</w:t>
      </w:r>
      <w:r>
        <w:t>IC</w:t>
      </w:r>
      <w:r>
        <w:softHyphen/>
        <w:t>KÁ VÝSTAVA V PRAZE. Klub Přátel Amatérské Fotografie v Praze uspořádá při příležitosti svého 151etého trvání 5. klubovou výstavu, s mezinárodní účastí, v době od 19. února do 12. března 1939 v Ústřední knihovně hlavní</w:t>
      </w:r>
      <w:r>
        <w:softHyphen/>
        <w:t>ho města Prahy. Na výstavě této bud</w:t>
      </w:r>
      <w:r>
        <w:t>ou zastoupena známá jména autorů, jako Vadas, Aszmann, Bertoglio. Dále pak autoři z Ju</w:t>
      </w:r>
      <w:r>
        <w:softHyphen/>
        <w:t>goslávie, Polska, Belgie, Rakous</w:t>
      </w:r>
      <w:r>
        <w:softHyphen/>
        <w:t>ka, Rumunska. Z domácích auto</w:t>
      </w:r>
      <w:r>
        <w:softHyphen/>
        <w:t>rů známé jméno Funke a Sudek. Již dnes na výstavu tuto upozor</w:t>
      </w:r>
      <w:r>
        <w:softHyphen/>
        <w:t>ňujeme.</w:t>
      </w:r>
    </w:p>
    <w:p w:rsidR="00500724" w:rsidRDefault="00F30FB8">
      <w:pPr>
        <w:pStyle w:val="Zkladntext40"/>
        <w:shd w:val="clear" w:color="auto" w:fill="auto"/>
        <w:spacing w:after="40" w:line="180" w:lineRule="auto"/>
        <w:ind w:firstLine="200"/>
      </w:pPr>
      <w:r>
        <w:t>ČASOVÉ DÍLO VĚDECKÉ. Prá</w:t>
      </w:r>
      <w:r>
        <w:softHyphen/>
        <w:t>vě vyšla kn</w:t>
      </w:r>
      <w:r>
        <w:t>iha, podávající vědec</w:t>
      </w:r>
      <w:r>
        <w:softHyphen/>
        <w:t>ké poučení o mnohých otázkách dne. Diskutuje se horlivě o křes- tanské morálce ve školách, o po</w:t>
      </w:r>
      <w:r>
        <w:softHyphen/>
        <w:t>měru školy a náboženství, o po</w:t>
      </w:r>
      <w:r>
        <w:softHyphen/>
        <w:t>měru morálky náboženské a laic</w:t>
      </w:r>
      <w:r>
        <w:softHyphen/>
        <w:t>ké, o všeobecných zásadách vý</w:t>
      </w:r>
      <w:r>
        <w:softHyphen/>
        <w:t>chovy a základních zásadách stá</w:t>
      </w:r>
      <w:r>
        <w:softHyphen/>
        <w:t>tu a politiky,</w:t>
      </w:r>
      <w:r>
        <w:t xml:space="preserve"> o politickém stanic- tví, o poměru mravnosti a práva a tak dále. V těchto diskusích bývá mnoho nejasností a ne</w:t>
      </w:r>
      <w:r>
        <w:softHyphen/>
        <w:t>správnosti, i mnoho zbytečných rozčilování, sporů a polemik, vy</w:t>
      </w:r>
      <w:r>
        <w:softHyphen/>
        <w:t>plývajících z nedostatečné zna</w:t>
      </w:r>
      <w:r>
        <w:softHyphen/>
        <w:t>losti základních otázek. Této zna-</w:t>
      </w:r>
    </w:p>
    <w:p w:rsidR="00500724" w:rsidRDefault="00F30FB8">
      <w:pPr>
        <w:pStyle w:val="Zkladntext40"/>
        <w:shd w:val="clear" w:color="auto" w:fill="auto"/>
        <w:spacing w:after="120" w:line="180" w:lineRule="auto"/>
      </w:pPr>
      <w:r>
        <w:rPr>
          <w:noProof/>
        </w:rPr>
        <mc:AlternateContent>
          <mc:Choice Requires="wps">
            <w:drawing>
              <wp:anchor distT="203200" distB="317500" distL="114300" distR="114300" simplePos="0" relativeHeight="125829566" behindDoc="0" locked="0" layoutInCell="1" allowOverlap="1">
                <wp:simplePos x="0" y="0"/>
                <wp:positionH relativeFrom="page">
                  <wp:posOffset>4346575</wp:posOffset>
                </wp:positionH>
                <wp:positionV relativeFrom="margin">
                  <wp:posOffset>228600</wp:posOffset>
                </wp:positionV>
                <wp:extent cx="2221865" cy="2346960"/>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2221865" cy="2346960"/>
                        </a:xfrm>
                        <a:prstGeom prst="rect">
                          <a:avLst/>
                        </a:prstGeom>
                        <a:noFill/>
                      </wps:spPr>
                      <wps:txbx>
                        <w:txbxContent>
                          <w:p w:rsidR="00500724" w:rsidRDefault="00F30FB8">
                            <w:pPr>
                              <w:pStyle w:val="Jin0"/>
                              <w:shd w:val="clear" w:color="auto" w:fill="auto"/>
                              <w:tabs>
                                <w:tab w:val="left" w:pos="2923"/>
                              </w:tabs>
                              <w:spacing w:after="40" w:line="209" w:lineRule="auto"/>
                              <w:ind w:firstLine="0"/>
                              <w:rPr>
                                <w:sz w:val="54"/>
                                <w:szCs w:val="54"/>
                              </w:rPr>
                            </w:pPr>
                            <w:r>
                              <w:rPr>
                                <w:rFonts w:ascii="Arial" w:eastAsia="Arial" w:hAnsi="Arial" w:cs="Arial"/>
                                <w:b/>
                                <w:bCs/>
                                <w:w w:val="70"/>
                                <w:sz w:val="54"/>
                                <w:szCs w:val="54"/>
                              </w:rPr>
                              <w:t xml:space="preserve">Miliony </w:t>
                            </w:r>
                            <w:r>
                              <w:rPr>
                                <w:rFonts w:ascii="Arial" w:eastAsia="Arial" w:hAnsi="Arial" w:cs="Arial"/>
                                <w:i/>
                                <w:iCs/>
                                <w:smallCaps/>
                                <w:sz w:val="52"/>
                                <w:szCs w:val="52"/>
                              </w:rPr>
                              <w:t xml:space="preserve">• </w:t>
                            </w:r>
                            <w:r>
                              <w:rPr>
                                <w:rFonts w:ascii="Arial" w:eastAsia="Arial" w:hAnsi="Arial" w:cs="Arial"/>
                                <w:i/>
                                <w:iCs/>
                                <w:smallCaps/>
                                <w:sz w:val="52"/>
                                <w:szCs w:val="52"/>
                              </w:rPr>
                              <w:t>'a.</w:t>
                            </w:r>
                            <w:r>
                              <w:rPr>
                                <w:rFonts w:ascii="Arial" w:eastAsia="Arial" w:hAnsi="Arial" w:cs="Arial"/>
                                <w:i/>
                                <w:iCs/>
                                <w:smallCaps/>
                                <w:sz w:val="52"/>
                                <w:szCs w:val="52"/>
                                <w:vertAlign w:val="superscript"/>
                              </w:rPr>
                              <w:t xml:space="preserve">9 </w:t>
                            </w:r>
                            <w:r>
                              <w:rPr>
                                <w:rFonts w:ascii="Arial" w:eastAsia="Arial" w:hAnsi="Arial" w:cs="Arial"/>
                                <w:b/>
                                <w:bCs/>
                                <w:w w:val="70"/>
                                <w:sz w:val="54"/>
                                <w:szCs w:val="54"/>
                              </w:rPr>
                              <w:t>z ničeho .</w:t>
                            </w:r>
                            <w:r>
                              <w:rPr>
                                <w:rFonts w:ascii="Arial" w:eastAsia="Arial" w:hAnsi="Arial" w:cs="Arial"/>
                                <w:b/>
                                <w:bCs/>
                                <w:w w:val="70"/>
                                <w:sz w:val="54"/>
                                <w:szCs w:val="54"/>
                              </w:rPr>
                              <w:tab/>
                              <w:t>. •</w:t>
                            </w:r>
                          </w:p>
                          <w:p w:rsidR="00500724" w:rsidRDefault="00F30FB8">
                            <w:pPr>
                              <w:pStyle w:val="Jin0"/>
                              <w:shd w:val="clear" w:color="auto" w:fill="auto"/>
                              <w:spacing w:after="40"/>
                              <w:ind w:firstLine="0"/>
                              <w:rPr>
                                <w:sz w:val="26"/>
                                <w:szCs w:val="26"/>
                              </w:rPr>
                            </w:pPr>
                            <w:r>
                              <w:rPr>
                                <w:rFonts w:ascii="Arial" w:eastAsia="Arial" w:hAnsi="Arial" w:cs="Arial"/>
                                <w:b/>
                                <w:bCs/>
                                <w:sz w:val="26"/>
                                <w:szCs w:val="26"/>
                              </w:rPr>
                              <w:t>JAN VZNIKAJÍ fl ROSTOU</w:t>
                            </w:r>
                          </w:p>
                          <w:p w:rsidR="00500724" w:rsidRDefault="00F30FB8">
                            <w:pPr>
                              <w:pStyle w:val="Zkladntext30"/>
                              <w:shd w:val="clear" w:color="auto" w:fill="auto"/>
                              <w:tabs>
                                <w:tab w:val="left" w:pos="2635"/>
                              </w:tabs>
                              <w:spacing w:after="80" w:line="240" w:lineRule="auto"/>
                              <w:ind w:firstLine="0"/>
                            </w:pPr>
                            <w:r>
                              <w:t>Brož. K 28'-</w:t>
                            </w:r>
                            <w:r>
                              <w:tab/>
                              <w:t>Víz. 138-</w:t>
                            </w:r>
                          </w:p>
                          <w:p w:rsidR="00500724" w:rsidRDefault="00F30FB8">
                            <w:pPr>
                              <w:pStyle w:val="Zkladntext40"/>
                              <w:shd w:val="clear" w:color="auto" w:fill="auto"/>
                              <w:spacing w:after="100" w:line="185" w:lineRule="auto"/>
                              <w:rPr>
                                <w:sz w:val="16"/>
                                <w:szCs w:val="16"/>
                              </w:rPr>
                            </w:pPr>
                            <w:r>
                              <w:rPr>
                                <w:b/>
                                <w:bCs/>
                                <w:sz w:val="14"/>
                                <w:szCs w:val="14"/>
                              </w:rPr>
                              <w:t xml:space="preserve">NAP3AL E. A. </w:t>
                            </w:r>
                            <w:r>
                              <w:t xml:space="preserve">JAM </w:t>
                            </w:r>
                            <w:r>
                              <w:rPr>
                                <w:b/>
                                <w:bCs/>
                                <w:sz w:val="14"/>
                                <w:szCs w:val="14"/>
                              </w:rPr>
                              <w:t xml:space="preserve">ES ON. Knihy osudů </w:t>
                            </w:r>
                            <w:r>
                              <w:rPr>
                                <w:b/>
                                <w:bCs/>
                                <w:sz w:val="16"/>
                                <w:szCs w:val="16"/>
                              </w:rPr>
                              <w:t>a práce.</w:t>
                            </w:r>
                          </w:p>
                          <w:p w:rsidR="00500724" w:rsidRDefault="00F30FB8">
                            <w:pPr>
                              <w:pStyle w:val="Zkladntext40"/>
                              <w:shd w:val="clear" w:color="auto" w:fill="auto"/>
                              <w:spacing w:after="40" w:line="194" w:lineRule="auto"/>
                            </w:pPr>
                            <w:r>
                              <w:t xml:space="preserve">Jsou to moderní pohádky nali skutečnosti, které uchvacují tvořivým optimismem a životni odvahou. Kniha, která zvláště v těchto dobách bude </w:t>
                            </w:r>
                            <w:r>
                              <w:t>vzpruhou pro podnikavé a tvořivé lidi.</w:t>
                            </w:r>
                          </w:p>
                          <w:p w:rsidR="00500724" w:rsidRDefault="00F30FB8">
                            <w:pPr>
                              <w:pStyle w:val="Zkladntext40"/>
                              <w:shd w:val="clear" w:color="auto" w:fill="auto"/>
                              <w:spacing w:after="80"/>
                            </w:pPr>
                            <w:r>
                              <w:t xml:space="preserve">Obsahuje27 životopisů slavných kapitánů průmyslu a obchodu. Jsou mezí nimi: Kodak. Ford, </w:t>
                            </w:r>
                            <w:r>
                              <w:rPr>
                                <w:lang w:val="en-US" w:eastAsia="en-US" w:bidi="en-US"/>
                              </w:rPr>
                              <w:t xml:space="preserve">Pullman, </w:t>
                            </w:r>
                            <w:r>
                              <w:t xml:space="preserve">Gllette. </w:t>
                            </w:r>
                            <w:r>
                              <w:rPr>
                                <w:lang w:val="en-US" w:eastAsia="en-US" w:bidi="en-US"/>
                              </w:rPr>
                              <w:t xml:space="preserve">Bens. Cook. Reuter, </w:t>
                            </w:r>
                            <w:r>
                              <w:t>Royce-Rolls, Nobe</w:t>
                            </w:r>
                            <w:r>
                              <w:softHyphen/>
                              <w:t>lové a J.</w:t>
                            </w:r>
                          </w:p>
                          <w:p w:rsidR="00500724" w:rsidRDefault="00F30FB8">
                            <w:pPr>
                              <w:pStyle w:val="Zkladntext40"/>
                              <w:shd w:val="clear" w:color="auto" w:fill="auto"/>
                              <w:spacing w:after="100" w:line="199" w:lineRule="auto"/>
                              <w:rPr>
                                <w:sz w:val="14"/>
                                <w:szCs w:val="14"/>
                              </w:rPr>
                            </w:pPr>
                            <w:r>
                              <w:rPr>
                                <w:b/>
                                <w:bCs/>
                                <w:sz w:val="14"/>
                                <w:szCs w:val="14"/>
                              </w:rPr>
                              <w:t>DODÁ KAŽDÝ KNIHKUPEC!</w:t>
                            </w:r>
                          </w:p>
                          <w:p w:rsidR="00500724" w:rsidRDefault="00F30FB8">
                            <w:pPr>
                              <w:pStyle w:val="Zkladntext40"/>
                              <w:shd w:val="clear" w:color="auto" w:fill="auto"/>
                              <w:spacing w:line="185" w:lineRule="auto"/>
                            </w:pPr>
                            <w:r>
                              <w:rPr>
                                <w:b/>
                                <w:bCs/>
                              </w:rPr>
                              <w:t>Nakladatelství »Orbls«, Praha XII</w:t>
                            </w:r>
                          </w:p>
                        </w:txbxContent>
                      </wps:txbx>
                      <wps:bodyPr lIns="0" tIns="0" rIns="0" bIns="0">
                        <a:spAutoFit/>
                      </wps:bodyPr>
                    </wps:wsp>
                  </a:graphicData>
                </a:graphic>
              </wp:anchor>
            </w:drawing>
          </mc:Choice>
          <mc:Fallback>
            <w:pict>
              <v:shape id="_x0000_s1215" type="#_x0000_t202" style="position:absolute;margin-left:342.25pt;margin-top:18.pt;width:174.94999999999999pt;height:184.80000000000001pt;z-index:-125829187;mso-wrap-distance-left:9.pt;mso-wrap-distance-top:16.pt;mso-wrap-distance-right:9.pt;mso-wrap-distance-bottom:25.pt;mso-position-horizontal-relative:page;mso-position-vertical-relative:margin" filled="f" stroked="f">
                <v:textbox style="mso-fit-shape-to-text:t" inset="0,0,0,0">
                  <w:txbxContent>
                    <w:p>
                      <w:pPr>
                        <w:pStyle w:val="Style12"/>
                        <w:keepNext w:val="0"/>
                        <w:keepLines w:val="0"/>
                        <w:widowControl w:val="0"/>
                        <w:shd w:val="clear" w:color="auto" w:fill="auto"/>
                        <w:tabs>
                          <w:tab w:pos="2923" w:val="left"/>
                        </w:tabs>
                        <w:bidi w:val="0"/>
                        <w:spacing w:before="0" w:after="40" w:line="209" w:lineRule="auto"/>
                        <w:ind w:left="0" w:right="0" w:firstLine="0"/>
                        <w:rPr>
                          <w:sz w:val="54"/>
                          <w:szCs w:val="54"/>
                        </w:rPr>
                      </w:pPr>
                      <w:r>
                        <w:rPr>
                          <w:rFonts w:ascii="Arial" w:eastAsia="Arial" w:hAnsi="Arial" w:cs="Arial"/>
                          <w:b/>
                          <w:bCs/>
                          <w:color w:val="000000"/>
                          <w:spacing w:val="0"/>
                          <w:w w:val="70"/>
                          <w:position w:val="0"/>
                          <w:sz w:val="54"/>
                          <w:szCs w:val="54"/>
                          <w:shd w:val="clear" w:color="auto" w:fill="auto"/>
                          <w:lang w:val="cs-CZ" w:eastAsia="cs-CZ" w:bidi="cs-CZ"/>
                        </w:rPr>
                        <w:t xml:space="preserve">Miliony </w:t>
                      </w:r>
                      <w:r>
                        <w:rPr>
                          <w:rFonts w:ascii="Arial" w:eastAsia="Arial" w:hAnsi="Arial" w:cs="Arial"/>
                          <w:i/>
                          <w:iCs/>
                          <w:smallCaps/>
                          <w:color w:val="000000"/>
                          <w:spacing w:val="0"/>
                          <w:w w:val="100"/>
                          <w:position w:val="0"/>
                          <w:sz w:val="52"/>
                          <w:szCs w:val="52"/>
                          <w:shd w:val="clear" w:color="auto" w:fill="auto"/>
                          <w:lang w:val="cs-CZ" w:eastAsia="cs-CZ" w:bidi="cs-CZ"/>
                        </w:rPr>
                        <w:t>• 'a.</w:t>
                      </w:r>
                      <w:r>
                        <w:rPr>
                          <w:rFonts w:ascii="Arial" w:eastAsia="Arial" w:hAnsi="Arial" w:cs="Arial"/>
                          <w:i/>
                          <w:iCs/>
                          <w:smallCaps/>
                          <w:color w:val="000000"/>
                          <w:spacing w:val="0"/>
                          <w:w w:val="100"/>
                          <w:position w:val="0"/>
                          <w:sz w:val="52"/>
                          <w:szCs w:val="52"/>
                          <w:shd w:val="clear" w:color="auto" w:fill="auto"/>
                          <w:vertAlign w:val="superscript"/>
                          <w:lang w:val="cs-CZ" w:eastAsia="cs-CZ" w:bidi="cs-CZ"/>
                        </w:rPr>
                        <w:t xml:space="preserve">9 </w:t>
                      </w:r>
                      <w:r>
                        <w:rPr>
                          <w:rFonts w:ascii="Arial" w:eastAsia="Arial" w:hAnsi="Arial" w:cs="Arial"/>
                          <w:b/>
                          <w:bCs/>
                          <w:color w:val="000000"/>
                          <w:spacing w:val="0"/>
                          <w:w w:val="70"/>
                          <w:position w:val="0"/>
                          <w:sz w:val="54"/>
                          <w:szCs w:val="54"/>
                          <w:shd w:val="clear" w:color="auto" w:fill="auto"/>
                          <w:lang w:val="cs-CZ" w:eastAsia="cs-CZ" w:bidi="cs-CZ"/>
                        </w:rPr>
                        <w:t>z ničeho .</w:t>
                        <w:tab/>
                        <w:t>. •</w:t>
                      </w:r>
                    </w:p>
                    <w:p>
                      <w:pPr>
                        <w:pStyle w:val="Style12"/>
                        <w:keepNext w:val="0"/>
                        <w:keepLines w:val="0"/>
                        <w:widowControl w:val="0"/>
                        <w:shd w:val="clear" w:color="auto" w:fill="auto"/>
                        <w:bidi w:val="0"/>
                        <w:spacing w:before="0" w:after="40" w:line="240" w:lineRule="auto"/>
                        <w:ind w:left="0" w:right="0" w:firstLine="0"/>
                        <w:rPr>
                          <w:sz w:val="26"/>
                          <w:szCs w:val="26"/>
                        </w:rPr>
                      </w:pPr>
                      <w:r>
                        <w:rPr>
                          <w:rFonts w:ascii="Arial" w:eastAsia="Arial" w:hAnsi="Arial" w:cs="Arial"/>
                          <w:b/>
                          <w:bCs/>
                          <w:color w:val="000000"/>
                          <w:spacing w:val="0"/>
                          <w:w w:val="100"/>
                          <w:position w:val="0"/>
                          <w:sz w:val="26"/>
                          <w:szCs w:val="26"/>
                          <w:shd w:val="clear" w:color="auto" w:fill="auto"/>
                          <w:lang w:val="cs-CZ" w:eastAsia="cs-CZ" w:bidi="cs-CZ"/>
                        </w:rPr>
                        <w:t>JAN VZNIKAJÍ fl ROSTOU</w:t>
                      </w:r>
                    </w:p>
                    <w:p>
                      <w:pPr>
                        <w:pStyle w:val="Style22"/>
                        <w:keepNext w:val="0"/>
                        <w:keepLines w:val="0"/>
                        <w:widowControl w:val="0"/>
                        <w:shd w:val="clear" w:color="auto" w:fill="auto"/>
                        <w:tabs>
                          <w:tab w:pos="2635" w:val="left"/>
                        </w:tabs>
                        <w:bidi w:val="0"/>
                        <w:spacing w:before="0" w:after="80" w:line="240" w:lineRule="auto"/>
                        <w:ind w:left="0" w:right="0" w:firstLine="0"/>
                      </w:pPr>
                      <w:r>
                        <w:rPr>
                          <w:color w:val="000000"/>
                          <w:spacing w:val="0"/>
                          <w:w w:val="100"/>
                          <w:position w:val="0"/>
                          <w:shd w:val="clear" w:color="auto" w:fill="auto"/>
                          <w:lang w:val="cs-CZ" w:eastAsia="cs-CZ" w:bidi="cs-CZ"/>
                        </w:rPr>
                        <w:t>Brož. K 28'-</w:t>
                        <w:tab/>
                        <w:t>Víz. 138-</w:t>
                      </w:r>
                    </w:p>
                    <w:p>
                      <w:pPr>
                        <w:pStyle w:val="Style42"/>
                        <w:keepNext w:val="0"/>
                        <w:keepLines w:val="0"/>
                        <w:widowControl w:val="0"/>
                        <w:shd w:val="clear" w:color="auto" w:fill="auto"/>
                        <w:bidi w:val="0"/>
                        <w:spacing w:before="0" w:after="100" w:line="185" w:lineRule="auto"/>
                        <w:ind w:left="0" w:right="0" w:firstLine="0"/>
                        <w:rPr>
                          <w:sz w:val="16"/>
                          <w:szCs w:val="16"/>
                        </w:rPr>
                      </w:pPr>
                      <w:r>
                        <w:rPr>
                          <w:b/>
                          <w:bCs/>
                          <w:color w:val="000000"/>
                          <w:spacing w:val="0"/>
                          <w:w w:val="100"/>
                          <w:position w:val="0"/>
                          <w:sz w:val="14"/>
                          <w:szCs w:val="14"/>
                          <w:shd w:val="clear" w:color="auto" w:fill="auto"/>
                          <w:lang w:val="cs-CZ" w:eastAsia="cs-CZ" w:bidi="cs-CZ"/>
                        </w:rPr>
                        <w:t xml:space="preserve">NAP3AL E. A. </w:t>
                      </w:r>
                      <w:r>
                        <w:rPr>
                          <w:color w:val="000000"/>
                          <w:spacing w:val="0"/>
                          <w:w w:val="100"/>
                          <w:position w:val="0"/>
                          <w:sz w:val="15"/>
                          <w:szCs w:val="15"/>
                          <w:shd w:val="clear" w:color="auto" w:fill="auto"/>
                          <w:lang w:val="cs-CZ" w:eastAsia="cs-CZ" w:bidi="cs-CZ"/>
                        </w:rPr>
                        <w:t xml:space="preserve">JAM </w:t>
                      </w:r>
                      <w:r>
                        <w:rPr>
                          <w:b/>
                          <w:bCs/>
                          <w:color w:val="000000"/>
                          <w:spacing w:val="0"/>
                          <w:w w:val="100"/>
                          <w:position w:val="0"/>
                          <w:sz w:val="14"/>
                          <w:szCs w:val="14"/>
                          <w:shd w:val="clear" w:color="auto" w:fill="auto"/>
                          <w:lang w:val="cs-CZ" w:eastAsia="cs-CZ" w:bidi="cs-CZ"/>
                        </w:rPr>
                        <w:t xml:space="preserve">ES ON. Knihy osudů </w:t>
                      </w:r>
                      <w:r>
                        <w:rPr>
                          <w:b/>
                          <w:bCs/>
                          <w:color w:val="000000"/>
                          <w:spacing w:val="0"/>
                          <w:w w:val="100"/>
                          <w:position w:val="0"/>
                          <w:sz w:val="16"/>
                          <w:szCs w:val="16"/>
                          <w:shd w:val="clear" w:color="auto" w:fill="auto"/>
                          <w:lang w:val="cs-CZ" w:eastAsia="cs-CZ" w:bidi="cs-CZ"/>
                        </w:rPr>
                        <w:t>a práce.</w:t>
                      </w:r>
                    </w:p>
                    <w:p>
                      <w:pPr>
                        <w:pStyle w:val="Style42"/>
                        <w:keepNext w:val="0"/>
                        <w:keepLines w:val="0"/>
                        <w:widowControl w:val="0"/>
                        <w:shd w:val="clear" w:color="auto" w:fill="auto"/>
                        <w:bidi w:val="0"/>
                        <w:spacing w:before="0" w:after="40" w:line="194" w:lineRule="auto"/>
                        <w:ind w:left="0" w:right="0" w:firstLine="0"/>
                      </w:pPr>
                      <w:r>
                        <w:rPr>
                          <w:color w:val="000000"/>
                          <w:spacing w:val="0"/>
                          <w:w w:val="100"/>
                          <w:position w:val="0"/>
                          <w:shd w:val="clear" w:color="auto" w:fill="auto"/>
                          <w:lang w:val="cs-CZ" w:eastAsia="cs-CZ" w:bidi="cs-CZ"/>
                        </w:rPr>
                        <w:t>Jsou to moderní pohádky nali skutečnosti, které uchvacují tvořivým optimismem a životni odvahou. Kniha, která zvláště v těchto dobách bude vzpruhou pro podnikavé a tvořivé lidi.</w:t>
                      </w:r>
                    </w:p>
                    <w:p>
                      <w:pPr>
                        <w:pStyle w:val="Style42"/>
                        <w:keepNext w:val="0"/>
                        <w:keepLines w:val="0"/>
                        <w:widowControl w:val="0"/>
                        <w:shd w:val="clear" w:color="auto" w:fill="auto"/>
                        <w:bidi w:val="0"/>
                        <w:spacing w:before="0" w:after="80"/>
                        <w:ind w:left="0" w:right="0" w:firstLine="0"/>
                      </w:pPr>
                      <w:r>
                        <w:rPr>
                          <w:color w:val="000000"/>
                          <w:spacing w:val="0"/>
                          <w:w w:val="100"/>
                          <w:position w:val="0"/>
                          <w:shd w:val="clear" w:color="auto" w:fill="auto"/>
                          <w:lang w:val="cs-CZ" w:eastAsia="cs-CZ" w:bidi="cs-CZ"/>
                        </w:rPr>
                        <w:t xml:space="preserve">Obsahuje27 životopisů slavných kapitánů průmyslu a obchodu. Jsou mezí nimi: Kodak. Ford, </w:t>
                      </w:r>
                      <w:r>
                        <w:rPr>
                          <w:color w:val="000000"/>
                          <w:spacing w:val="0"/>
                          <w:w w:val="100"/>
                          <w:position w:val="0"/>
                          <w:shd w:val="clear" w:color="auto" w:fill="auto"/>
                          <w:lang w:val="en-US" w:eastAsia="en-US" w:bidi="en-US"/>
                        </w:rPr>
                        <w:t xml:space="preserve">Pullman, </w:t>
                      </w:r>
                      <w:r>
                        <w:rPr>
                          <w:color w:val="000000"/>
                          <w:spacing w:val="0"/>
                          <w:w w:val="100"/>
                          <w:position w:val="0"/>
                          <w:shd w:val="clear" w:color="auto" w:fill="auto"/>
                          <w:lang w:val="cs-CZ" w:eastAsia="cs-CZ" w:bidi="cs-CZ"/>
                        </w:rPr>
                        <w:t xml:space="preserve">Gllette. </w:t>
                      </w:r>
                      <w:r>
                        <w:rPr>
                          <w:color w:val="000000"/>
                          <w:spacing w:val="0"/>
                          <w:w w:val="100"/>
                          <w:position w:val="0"/>
                          <w:shd w:val="clear" w:color="auto" w:fill="auto"/>
                          <w:lang w:val="en-US" w:eastAsia="en-US" w:bidi="en-US"/>
                        </w:rPr>
                        <w:t xml:space="preserve">Bens. Cook. Reuter, </w:t>
                      </w:r>
                      <w:r>
                        <w:rPr>
                          <w:color w:val="000000"/>
                          <w:spacing w:val="0"/>
                          <w:w w:val="100"/>
                          <w:position w:val="0"/>
                          <w:shd w:val="clear" w:color="auto" w:fill="auto"/>
                          <w:lang w:val="cs-CZ" w:eastAsia="cs-CZ" w:bidi="cs-CZ"/>
                        </w:rPr>
                        <w:t>Royce-Rolls, Nobe</w:t>
                        <w:softHyphen/>
                        <w:t>lové a J.</w:t>
                      </w:r>
                    </w:p>
                    <w:p>
                      <w:pPr>
                        <w:pStyle w:val="Style42"/>
                        <w:keepNext w:val="0"/>
                        <w:keepLines w:val="0"/>
                        <w:widowControl w:val="0"/>
                        <w:shd w:val="clear" w:color="auto" w:fill="auto"/>
                        <w:bidi w:val="0"/>
                        <w:spacing w:before="0" w:after="100" w:line="199" w:lineRule="auto"/>
                        <w:ind w:left="0" w:right="0" w:firstLine="0"/>
                        <w:rPr>
                          <w:sz w:val="14"/>
                          <w:szCs w:val="14"/>
                        </w:rPr>
                      </w:pPr>
                      <w:r>
                        <w:rPr>
                          <w:b/>
                          <w:bCs/>
                          <w:color w:val="000000"/>
                          <w:spacing w:val="0"/>
                          <w:w w:val="100"/>
                          <w:position w:val="0"/>
                          <w:sz w:val="14"/>
                          <w:szCs w:val="14"/>
                          <w:shd w:val="clear" w:color="auto" w:fill="auto"/>
                          <w:lang w:val="cs-CZ" w:eastAsia="cs-CZ" w:bidi="cs-CZ"/>
                        </w:rPr>
                        <w:t>DODÁ KAŽDÝ KNIHKUPEC!</w:t>
                      </w:r>
                    </w:p>
                    <w:p>
                      <w:pPr>
                        <w:pStyle w:val="Style42"/>
                        <w:keepNext w:val="0"/>
                        <w:keepLines w:val="0"/>
                        <w:widowControl w:val="0"/>
                        <w:shd w:val="clear" w:color="auto" w:fill="auto"/>
                        <w:bidi w:val="0"/>
                        <w:spacing w:before="0" w:line="185" w:lineRule="auto"/>
                        <w:ind w:left="0" w:right="0" w:firstLine="0"/>
                      </w:pPr>
                      <w:r>
                        <w:rPr>
                          <w:b/>
                          <w:bCs/>
                          <w:color w:val="000000"/>
                          <w:spacing w:val="0"/>
                          <w:w w:val="100"/>
                          <w:position w:val="0"/>
                          <w:sz w:val="15"/>
                          <w:szCs w:val="15"/>
                          <w:shd w:val="clear" w:color="auto" w:fill="auto"/>
                          <w:lang w:val="cs-CZ" w:eastAsia="cs-CZ" w:bidi="cs-CZ"/>
                        </w:rPr>
                        <w:t>Nakladatelství »Orbls«, Praha XII</w:t>
                      </w:r>
                    </w:p>
                  </w:txbxContent>
                </v:textbox>
                <w10:wrap type="topAndBottom" anchorx="page" anchory="margin"/>
              </v:shape>
            </w:pict>
          </mc:Fallback>
        </mc:AlternateContent>
      </w:r>
      <w:r>
        <w:rPr>
          <w:lang w:val="en-US" w:eastAsia="en-US" w:bidi="en-US"/>
        </w:rPr>
        <w:t xml:space="preserve">lost! </w:t>
      </w:r>
      <w:r>
        <w:t xml:space="preserve">může svědomitý vzdělanec nabýti z právě vydaného nového svazku ^Sociologie* </w:t>
      </w:r>
      <w:r>
        <w:rPr>
          <w:lang w:val="en-US" w:eastAsia="en-US" w:bidi="en-US"/>
        </w:rPr>
        <w:t xml:space="preserve">prof. </w:t>
      </w:r>
      <w:r>
        <w:t>dr. E. Chalupného (IV. díl, II. svazek: Sociologie práva, mravnosti, vý</w:t>
      </w:r>
      <w:r>
        <w:softHyphen/>
        <w:t xml:space="preserve">chovy, politiky a náboženství). Knihu o 288 stranách vydal Me- </w:t>
      </w:r>
      <w:r>
        <w:rPr>
          <w:u w:val="single"/>
        </w:rPr>
        <w:t>lantrich za 45 K.</w:t>
      </w:r>
    </w:p>
    <w:p w:rsidR="00500724" w:rsidRDefault="00F30FB8">
      <w:pPr>
        <w:pStyle w:val="Zkladntext40"/>
        <w:shd w:val="clear" w:color="auto" w:fill="auto"/>
        <w:spacing w:after="0"/>
        <w:ind w:firstLine="180"/>
      </w:pPr>
      <w:r>
        <w:rPr>
          <w:noProof/>
        </w:rPr>
        <mc:AlternateContent>
          <mc:Choice Requires="wps">
            <w:drawing>
              <wp:anchor distT="563880" distB="4311650" distL="228600" distR="164465" simplePos="0" relativeHeight="125829568" behindDoc="0" locked="0" layoutInCell="1" allowOverlap="1">
                <wp:simplePos x="0" y="0"/>
                <wp:positionH relativeFrom="page">
                  <wp:posOffset>3968750</wp:posOffset>
                </wp:positionH>
                <wp:positionV relativeFrom="margin">
                  <wp:posOffset>4712335</wp:posOffset>
                </wp:positionV>
                <wp:extent cx="2968625" cy="1009015"/>
                <wp:effectExtent l="0" t="0" r="0" b="0"/>
                <wp:wrapSquare wrapText="bothSides"/>
                <wp:docPr id="191" name="Shape 191"/>
                <wp:cNvGraphicFramePr/>
                <a:graphic xmlns:a="http://schemas.openxmlformats.org/drawingml/2006/main">
                  <a:graphicData uri="http://schemas.microsoft.com/office/word/2010/wordprocessingShape">
                    <wps:wsp>
                      <wps:cNvSpPr txBox="1"/>
                      <wps:spPr>
                        <a:xfrm>
                          <a:off x="0" y="0"/>
                          <a:ext cx="2968625" cy="1009015"/>
                        </a:xfrm>
                        <a:prstGeom prst="rect">
                          <a:avLst/>
                        </a:prstGeom>
                        <a:noFill/>
                      </wps:spPr>
                      <wps:txbx>
                        <w:txbxContent>
                          <w:p w:rsidR="00500724" w:rsidRDefault="00F30FB8">
                            <w:pPr>
                              <w:pStyle w:val="Jin0"/>
                              <w:shd w:val="clear" w:color="auto" w:fill="auto"/>
                              <w:spacing w:line="463" w:lineRule="auto"/>
                              <w:ind w:firstLine="0"/>
                              <w:jc w:val="center"/>
                              <w:rPr>
                                <w:sz w:val="36"/>
                                <w:szCs w:val="36"/>
                              </w:rPr>
                            </w:pPr>
                            <w:r>
                              <w:rPr>
                                <w:b/>
                                <w:bCs/>
                                <w:i/>
                                <w:iCs/>
                                <w:sz w:val="36"/>
                                <w:szCs w:val="36"/>
                              </w:rPr>
                              <w:t xml:space="preserve">Jemné dopisní </w:t>
                            </w:r>
                            <w:r>
                              <w:rPr>
                                <w:b/>
                                <w:bCs/>
                                <w:i/>
                                <w:iCs/>
                                <w:sz w:val="36"/>
                                <w:szCs w:val="36"/>
                              </w:rPr>
                              <w:t>papvty&gt;</w:t>
                            </w:r>
                            <w:r>
                              <w:rPr>
                                <w:b/>
                                <w:bCs/>
                                <w:i/>
                                <w:iCs/>
                                <w:sz w:val="36"/>
                                <w:szCs w:val="36"/>
                              </w:rPr>
                              <w:br/>
                              <w:t>spolehlivá zlatá plnicí peca</w:t>
                            </w:r>
                          </w:p>
                        </w:txbxContent>
                      </wps:txbx>
                      <wps:bodyPr lIns="0" tIns="0" rIns="0" bIns="0">
                        <a:spAutoFit/>
                      </wps:bodyPr>
                    </wps:wsp>
                  </a:graphicData>
                </a:graphic>
              </wp:anchor>
            </w:drawing>
          </mc:Choice>
          <mc:Fallback>
            <w:pict>
              <v:shape id="_x0000_s1217" type="#_x0000_t202" style="position:absolute;margin-left:312.5pt;margin-top:371.05000000000001pt;width:233.75pt;height:79.450000000000003pt;z-index:-125829185;mso-wrap-distance-left:18.pt;mso-wrap-distance-top:44.399999999999999pt;mso-wrap-distance-right:12.949999999999999pt;mso-wrap-distance-bottom:339.5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463" w:lineRule="auto"/>
                        <w:ind w:left="0" w:right="0" w:firstLine="0"/>
                        <w:jc w:val="center"/>
                        <w:rPr>
                          <w:sz w:val="36"/>
                          <w:szCs w:val="36"/>
                        </w:rPr>
                      </w:pPr>
                      <w:r>
                        <w:rPr>
                          <w:b/>
                          <w:bCs/>
                          <w:i/>
                          <w:iCs/>
                          <w:color w:val="000000"/>
                          <w:spacing w:val="0"/>
                          <w:w w:val="100"/>
                          <w:position w:val="0"/>
                          <w:sz w:val="36"/>
                          <w:szCs w:val="36"/>
                          <w:shd w:val="clear" w:color="auto" w:fill="auto"/>
                          <w:lang w:val="cs-CZ" w:eastAsia="cs-CZ" w:bidi="cs-CZ"/>
                        </w:rPr>
                        <w:t>Jemné dopisní papvty&gt;</w:t>
                        <w:br/>
                        <w:t>spolehlivá zlatá plnicí peca</w:t>
                      </w:r>
                    </w:p>
                  </w:txbxContent>
                </v:textbox>
                <w10:wrap type="square" anchorx="page" anchory="margin"/>
              </v:shape>
            </w:pict>
          </mc:Fallback>
        </mc:AlternateContent>
      </w:r>
      <w:r>
        <w:rPr>
          <w:noProof/>
        </w:rPr>
        <mc:AlternateContent>
          <mc:Choice Requires="wps">
            <w:drawing>
              <wp:anchor distT="1725295" distB="2744470" distL="222250" distR="161290" simplePos="0" relativeHeight="125829570" behindDoc="0" locked="0" layoutInCell="1" allowOverlap="1">
                <wp:simplePos x="0" y="0"/>
                <wp:positionH relativeFrom="page">
                  <wp:posOffset>3962400</wp:posOffset>
                </wp:positionH>
                <wp:positionV relativeFrom="margin">
                  <wp:posOffset>5873750</wp:posOffset>
                </wp:positionV>
                <wp:extent cx="2978150" cy="1414145"/>
                <wp:effectExtent l="0" t="0" r="0" b="0"/>
                <wp:wrapSquare wrapText="bothSides"/>
                <wp:docPr id="193" name="Shape 193"/>
                <wp:cNvGraphicFramePr/>
                <a:graphic xmlns:a="http://schemas.openxmlformats.org/drawingml/2006/main">
                  <a:graphicData uri="http://schemas.microsoft.com/office/word/2010/wordprocessingShape">
                    <wps:wsp>
                      <wps:cNvSpPr txBox="1"/>
                      <wps:spPr>
                        <a:xfrm>
                          <a:off x="0" y="0"/>
                          <a:ext cx="2978150" cy="1414145"/>
                        </a:xfrm>
                        <a:prstGeom prst="rect">
                          <a:avLst/>
                        </a:prstGeom>
                        <a:noFill/>
                      </wps:spPr>
                      <wps:txbx>
                        <w:txbxContent>
                          <w:p w:rsidR="00500724" w:rsidRDefault="00F30FB8">
                            <w:pPr>
                              <w:pStyle w:val="Jin0"/>
                              <w:shd w:val="clear" w:color="auto" w:fill="auto"/>
                              <w:spacing w:after="200"/>
                              <w:ind w:firstLine="0"/>
                              <w:jc w:val="left"/>
                              <w:rPr>
                                <w:sz w:val="102"/>
                                <w:szCs w:val="102"/>
                              </w:rPr>
                            </w:pPr>
                            <w:r>
                              <w:rPr>
                                <w:b/>
                                <w:bCs/>
                                <w:w w:val="50"/>
                                <w:sz w:val="102"/>
                                <w:szCs w:val="102"/>
                              </w:rPr>
                              <w:t xml:space="preserve">KAREL </w:t>
                            </w:r>
                            <w:r>
                              <w:rPr>
                                <w:b/>
                                <w:bCs/>
                                <w:w w:val="50"/>
                                <w:sz w:val="102"/>
                                <w:szCs w:val="102"/>
                                <w:lang w:val="en-US" w:eastAsia="en-US" w:bidi="en-US"/>
                              </w:rPr>
                              <w:t>KELLNER</w:t>
                            </w:r>
                          </w:p>
                          <w:p w:rsidR="00500724" w:rsidRDefault="00F30FB8">
                            <w:pPr>
                              <w:pStyle w:val="Jin0"/>
                              <w:shd w:val="clear" w:color="auto" w:fill="auto"/>
                              <w:ind w:firstLine="0"/>
                              <w:jc w:val="left"/>
                              <w:rPr>
                                <w:sz w:val="70"/>
                                <w:szCs w:val="70"/>
                              </w:rPr>
                            </w:pPr>
                            <w:r>
                              <w:rPr>
                                <w:rFonts w:ascii="Arial" w:eastAsia="Arial" w:hAnsi="Arial" w:cs="Arial"/>
                                <w:b/>
                                <w:bCs/>
                                <w:sz w:val="70"/>
                                <w:szCs w:val="70"/>
                              </w:rPr>
                              <w:t>PRAHA,</w:t>
                            </w:r>
                          </w:p>
                        </w:txbxContent>
                      </wps:txbx>
                      <wps:bodyPr lIns="0" tIns="0" rIns="0" bIns="0">
                        <a:spAutoFit/>
                      </wps:bodyPr>
                    </wps:wsp>
                  </a:graphicData>
                </a:graphic>
              </wp:anchor>
            </w:drawing>
          </mc:Choice>
          <mc:Fallback>
            <w:pict>
              <v:shape id="_x0000_s1219" type="#_x0000_t202" style="position:absolute;margin-left:312.pt;margin-top:462.5pt;width:234.5pt;height:111.34999999999999pt;z-index:-125829183;mso-wrap-distance-left:17.5pt;mso-wrap-distance-top:135.84999999999999pt;mso-wrap-distance-right:12.699999999999999pt;mso-wrap-distance-bottom:216.09999999999999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200" w:line="240" w:lineRule="auto"/>
                        <w:ind w:left="0" w:right="0" w:firstLine="0"/>
                        <w:jc w:val="left"/>
                        <w:rPr>
                          <w:sz w:val="102"/>
                          <w:szCs w:val="102"/>
                        </w:rPr>
                      </w:pPr>
                      <w:r>
                        <w:rPr>
                          <w:b/>
                          <w:bCs/>
                          <w:color w:val="000000"/>
                          <w:spacing w:val="0"/>
                          <w:w w:val="50"/>
                          <w:position w:val="0"/>
                          <w:sz w:val="102"/>
                          <w:szCs w:val="102"/>
                          <w:shd w:val="clear" w:color="auto" w:fill="auto"/>
                          <w:lang w:val="cs-CZ" w:eastAsia="cs-CZ" w:bidi="cs-CZ"/>
                        </w:rPr>
                        <w:t xml:space="preserve">KAREL </w:t>
                      </w:r>
                      <w:r>
                        <w:rPr>
                          <w:b/>
                          <w:bCs/>
                          <w:color w:val="000000"/>
                          <w:spacing w:val="0"/>
                          <w:w w:val="50"/>
                          <w:position w:val="0"/>
                          <w:sz w:val="102"/>
                          <w:szCs w:val="102"/>
                          <w:shd w:val="clear" w:color="auto" w:fill="auto"/>
                          <w:lang w:val="en-US" w:eastAsia="en-US" w:bidi="en-US"/>
                        </w:rPr>
                        <w:t>KELLNER</w:t>
                      </w:r>
                    </w:p>
                    <w:p>
                      <w:pPr>
                        <w:pStyle w:val="Style12"/>
                        <w:keepNext w:val="0"/>
                        <w:keepLines w:val="0"/>
                        <w:widowControl w:val="0"/>
                        <w:shd w:val="clear" w:color="auto" w:fill="auto"/>
                        <w:bidi w:val="0"/>
                        <w:spacing w:before="0" w:after="0" w:line="240" w:lineRule="auto"/>
                        <w:ind w:left="0" w:right="0" w:firstLine="0"/>
                        <w:jc w:val="left"/>
                        <w:rPr>
                          <w:sz w:val="70"/>
                          <w:szCs w:val="70"/>
                        </w:rPr>
                      </w:pPr>
                      <w:r>
                        <w:rPr>
                          <w:rFonts w:ascii="Arial" w:eastAsia="Arial" w:hAnsi="Arial" w:cs="Arial"/>
                          <w:b/>
                          <w:bCs/>
                          <w:color w:val="000000"/>
                          <w:spacing w:val="0"/>
                          <w:w w:val="100"/>
                          <w:position w:val="0"/>
                          <w:sz w:val="70"/>
                          <w:szCs w:val="70"/>
                          <w:shd w:val="clear" w:color="auto" w:fill="auto"/>
                          <w:lang w:val="cs-CZ" w:eastAsia="cs-CZ" w:bidi="cs-CZ"/>
                        </w:rPr>
                        <w:t>PRAHA,</w:t>
                      </w:r>
                    </w:p>
                  </w:txbxContent>
                </v:textbox>
                <w10:wrap type="square" anchorx="page" anchory="margin"/>
              </v:shape>
            </w:pict>
          </mc:Fallback>
        </mc:AlternateContent>
      </w:r>
      <w:r>
        <w:rPr>
          <w:noProof/>
        </w:rPr>
        <mc:AlternateContent>
          <mc:Choice Requires="wps">
            <w:drawing>
              <wp:anchor distT="3633470" distB="1592580" distL="875030" distR="173990" simplePos="0" relativeHeight="125829572" behindDoc="0" locked="0" layoutInCell="1" allowOverlap="1">
                <wp:simplePos x="0" y="0"/>
                <wp:positionH relativeFrom="page">
                  <wp:posOffset>4614545</wp:posOffset>
                </wp:positionH>
                <wp:positionV relativeFrom="margin">
                  <wp:posOffset>7781290</wp:posOffset>
                </wp:positionV>
                <wp:extent cx="2313305" cy="658495"/>
                <wp:effectExtent l="0" t="0" r="0" b="0"/>
                <wp:wrapSquare wrapText="bothSides"/>
                <wp:docPr id="195" name="Shape 195"/>
                <wp:cNvGraphicFramePr/>
                <a:graphic xmlns:a="http://schemas.openxmlformats.org/drawingml/2006/main">
                  <a:graphicData uri="http://schemas.microsoft.com/office/word/2010/wordprocessingShape">
                    <wps:wsp>
                      <wps:cNvSpPr txBox="1"/>
                      <wps:spPr>
                        <a:xfrm>
                          <a:off x="0" y="0"/>
                          <a:ext cx="2313305" cy="658495"/>
                        </a:xfrm>
                        <a:prstGeom prst="rect">
                          <a:avLst/>
                        </a:prstGeom>
                        <a:noFill/>
                      </wps:spPr>
                      <wps:txbx>
                        <w:txbxContent>
                          <w:p w:rsidR="00500724" w:rsidRDefault="00F30FB8">
                            <w:pPr>
                              <w:pStyle w:val="Jin0"/>
                              <w:shd w:val="clear" w:color="auto" w:fill="auto"/>
                              <w:spacing w:after="140"/>
                              <w:ind w:firstLine="0"/>
                              <w:jc w:val="left"/>
                              <w:rPr>
                                <w:sz w:val="38"/>
                                <w:szCs w:val="38"/>
                              </w:rPr>
                            </w:pPr>
                            <w:r>
                              <w:rPr>
                                <w:rFonts w:ascii="Arial" w:eastAsia="Arial" w:hAnsi="Arial" w:cs="Arial"/>
                                <w:b/>
                                <w:bCs/>
                                <w:sz w:val="38"/>
                                <w:szCs w:val="38"/>
                              </w:rPr>
                              <w:t>Václavské nám 25.</w:t>
                            </w:r>
                          </w:p>
                          <w:p w:rsidR="00500724" w:rsidRDefault="00F30FB8">
                            <w:pPr>
                              <w:pStyle w:val="Jin0"/>
                              <w:shd w:val="clear" w:color="auto" w:fill="auto"/>
                              <w:ind w:firstLine="0"/>
                              <w:jc w:val="left"/>
                              <w:rPr>
                                <w:sz w:val="32"/>
                                <w:szCs w:val="32"/>
                              </w:rPr>
                            </w:pPr>
                            <w:r>
                              <w:rPr>
                                <w:rFonts w:ascii="Arial" w:eastAsia="Arial" w:hAnsi="Arial" w:cs="Arial"/>
                                <w:sz w:val="32"/>
                                <w:szCs w:val="32"/>
                              </w:rPr>
                              <w:t>Nároží krásných dárků</w:t>
                            </w:r>
                          </w:p>
                        </w:txbxContent>
                      </wps:txbx>
                      <wps:bodyPr lIns="0" tIns="0" rIns="0" bIns="0">
                        <a:spAutoFit/>
                      </wps:bodyPr>
                    </wps:wsp>
                  </a:graphicData>
                </a:graphic>
              </wp:anchor>
            </w:drawing>
          </mc:Choice>
          <mc:Fallback>
            <w:pict>
              <v:shape id="_x0000_s1221" type="#_x0000_t202" style="position:absolute;margin-left:363.35000000000002pt;margin-top:612.70000000000005pt;width:182.15000000000001pt;height:51.850000000000001pt;z-index:-125829181;mso-wrap-distance-left:68.900000000000006pt;mso-wrap-distance-top:286.10000000000002pt;mso-wrap-distance-right:13.699999999999999pt;mso-wrap-distance-bottom:125.40000000000001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140" w:line="240"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Václavské nám 25.</w:t>
                      </w:r>
                    </w:p>
                    <w:p>
                      <w:pPr>
                        <w:pStyle w:val="Style12"/>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color w:val="000000"/>
                          <w:spacing w:val="0"/>
                          <w:w w:val="100"/>
                          <w:position w:val="0"/>
                          <w:sz w:val="32"/>
                          <w:szCs w:val="32"/>
                          <w:shd w:val="clear" w:color="auto" w:fill="auto"/>
                          <w:lang w:val="cs-CZ" w:eastAsia="cs-CZ" w:bidi="cs-CZ"/>
                        </w:rPr>
                        <w:t>Nároží krásných dárků</w:t>
                      </w:r>
                    </w:p>
                  </w:txbxContent>
                </v:textbox>
                <w10:wrap type="square" anchorx="page" anchory="margin"/>
              </v:shape>
            </w:pict>
          </mc:Fallback>
        </mc:AlternateContent>
      </w:r>
      <w:r>
        <w:rPr>
          <w:noProof/>
        </w:rPr>
        <mc:AlternateContent>
          <mc:Choice Requires="wps">
            <w:drawing>
              <wp:anchor distT="4346575" distB="952500" distL="875030" distR="679450" simplePos="0" relativeHeight="125829574" behindDoc="0" locked="0" layoutInCell="1" allowOverlap="1">
                <wp:simplePos x="0" y="0"/>
                <wp:positionH relativeFrom="page">
                  <wp:posOffset>4614545</wp:posOffset>
                </wp:positionH>
                <wp:positionV relativeFrom="margin">
                  <wp:posOffset>8495030</wp:posOffset>
                </wp:positionV>
                <wp:extent cx="1807210" cy="585470"/>
                <wp:effectExtent l="0" t="0" r="0" b="0"/>
                <wp:wrapSquare wrapText="bothSides"/>
                <wp:docPr id="197" name="Shape 197"/>
                <wp:cNvGraphicFramePr/>
                <a:graphic xmlns:a="http://schemas.openxmlformats.org/drawingml/2006/main">
                  <a:graphicData uri="http://schemas.microsoft.com/office/word/2010/wordprocessingShape">
                    <wps:wsp>
                      <wps:cNvSpPr txBox="1"/>
                      <wps:spPr>
                        <a:xfrm>
                          <a:off x="0" y="0"/>
                          <a:ext cx="1807210" cy="585470"/>
                        </a:xfrm>
                        <a:prstGeom prst="rect">
                          <a:avLst/>
                        </a:prstGeom>
                        <a:noFill/>
                      </wps:spPr>
                      <wps:txbx>
                        <w:txbxContent>
                          <w:p w:rsidR="00500724" w:rsidRDefault="00F30FB8">
                            <w:pPr>
                              <w:pStyle w:val="Jin0"/>
                              <w:shd w:val="clear" w:color="auto" w:fill="auto"/>
                              <w:spacing w:after="120"/>
                              <w:ind w:firstLine="0"/>
                              <w:jc w:val="left"/>
                              <w:rPr>
                                <w:sz w:val="38"/>
                                <w:szCs w:val="38"/>
                              </w:rPr>
                            </w:pPr>
                            <w:r>
                              <w:rPr>
                                <w:rFonts w:ascii="Arial" w:eastAsia="Arial" w:hAnsi="Arial" w:cs="Arial"/>
                                <w:b/>
                                <w:bCs/>
                                <w:sz w:val="38"/>
                                <w:szCs w:val="38"/>
                              </w:rPr>
                              <w:t>Dlouhá tř. 17.</w:t>
                            </w:r>
                          </w:p>
                          <w:p w:rsidR="00500724" w:rsidRDefault="00F30FB8">
                            <w:pPr>
                              <w:pStyle w:val="Zkladntext80"/>
                              <w:shd w:val="clear" w:color="auto" w:fill="auto"/>
                              <w:spacing w:line="240" w:lineRule="auto"/>
                            </w:pPr>
                            <w:r>
                              <w:t>poblíž Staroměstského</w:t>
                            </w:r>
                          </w:p>
                        </w:txbxContent>
                      </wps:txbx>
                      <wps:bodyPr lIns="0" tIns="0" rIns="0" bIns="0">
                        <a:spAutoFit/>
                      </wps:bodyPr>
                    </wps:wsp>
                  </a:graphicData>
                </a:graphic>
              </wp:anchor>
            </w:drawing>
          </mc:Choice>
          <mc:Fallback>
            <w:pict>
              <v:shape id="_x0000_s1223" type="#_x0000_t202" style="position:absolute;margin-left:363.35000000000002pt;margin-top:668.89999999999998pt;width:142.30000000000001pt;height:46.100000000000001pt;z-index:-125829179;mso-wrap-distance-left:68.900000000000006pt;mso-wrap-distance-top:342.25pt;mso-wrap-distance-right:53.5pt;mso-wrap-distance-bottom:75.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120" w:line="240"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Dlouhá tř. 17.</w:t>
                      </w:r>
                    </w:p>
                    <w:p>
                      <w:pPr>
                        <w:pStyle w:val="Style150"/>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poblíž Staroměstského</w:t>
                      </w:r>
                    </w:p>
                  </w:txbxContent>
                </v:textbox>
                <w10:wrap type="square" anchorx="page" anchory="margin"/>
              </v:shape>
            </w:pict>
          </mc:Fallback>
        </mc:AlternateContent>
      </w:r>
      <w:r>
        <w:rPr>
          <w:noProof/>
        </w:rPr>
        <mc:AlternateContent>
          <mc:Choice Requires="wps">
            <w:drawing>
              <wp:anchor distT="4709160" distB="958850" distL="2770505" distR="179705" simplePos="0" relativeHeight="125829576" behindDoc="0" locked="0" layoutInCell="1" allowOverlap="1">
                <wp:simplePos x="0" y="0"/>
                <wp:positionH relativeFrom="page">
                  <wp:posOffset>6510655</wp:posOffset>
                </wp:positionH>
                <wp:positionV relativeFrom="margin">
                  <wp:posOffset>8857615</wp:posOffset>
                </wp:positionV>
                <wp:extent cx="411480" cy="216535"/>
                <wp:effectExtent l="0" t="0" r="0" b="0"/>
                <wp:wrapSquare wrapText="bothSides"/>
                <wp:docPr id="199" name="Shape 199"/>
                <wp:cNvGraphicFramePr/>
                <a:graphic xmlns:a="http://schemas.openxmlformats.org/drawingml/2006/main">
                  <a:graphicData uri="http://schemas.microsoft.com/office/word/2010/wordprocessingShape">
                    <wps:wsp>
                      <wps:cNvSpPr txBox="1"/>
                      <wps:spPr>
                        <a:xfrm>
                          <a:off x="0" y="0"/>
                          <a:ext cx="411480" cy="216535"/>
                        </a:xfrm>
                        <a:prstGeom prst="rect">
                          <a:avLst/>
                        </a:prstGeom>
                        <a:noFill/>
                      </wps:spPr>
                      <wps:txbx>
                        <w:txbxContent>
                          <w:p w:rsidR="00500724" w:rsidRDefault="00F30FB8">
                            <w:pPr>
                              <w:pStyle w:val="Jin0"/>
                              <w:shd w:val="clear" w:color="auto" w:fill="auto"/>
                              <w:ind w:firstLine="0"/>
                              <w:jc w:val="left"/>
                              <w:rPr>
                                <w:sz w:val="26"/>
                                <w:szCs w:val="26"/>
                              </w:rPr>
                            </w:pPr>
                            <w:r>
                              <w:rPr>
                                <w:b/>
                                <w:bCs/>
                                <w:sz w:val="26"/>
                                <w:szCs w:val="26"/>
                              </w:rPr>
                              <w:t>nám.</w:t>
                            </w:r>
                          </w:p>
                        </w:txbxContent>
                      </wps:txbx>
                      <wps:bodyPr lIns="0" tIns="0" rIns="0" bIns="0">
                        <a:spAutoFit/>
                      </wps:bodyPr>
                    </wps:wsp>
                  </a:graphicData>
                </a:graphic>
              </wp:anchor>
            </w:drawing>
          </mc:Choice>
          <mc:Fallback>
            <w:pict>
              <v:shape id="_x0000_s1225" type="#_x0000_t202" style="position:absolute;margin-left:512.64999999999998pt;margin-top:697.45000000000005pt;width:32.399999999999999pt;height:17.050000000000001pt;z-index:-125829177;mso-wrap-distance-left:218.15000000000001pt;mso-wrap-distance-top:370.80000000000001pt;mso-wrap-distance-right:14.15pt;mso-wrap-distance-bottom:75.5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nám.</w:t>
                      </w:r>
                    </w:p>
                  </w:txbxContent>
                </v:textbox>
                <w10:wrap type="square" anchorx="page" anchory="margin"/>
              </v:shape>
            </w:pict>
          </mc:Fallback>
        </mc:AlternateContent>
      </w:r>
      <w:r>
        <w:rPr>
          <w:b/>
          <w:bCs/>
          <w:sz w:val="16"/>
          <w:szCs w:val="16"/>
        </w:rPr>
        <w:t xml:space="preserve">Čten&amp;ře-pražské krejčí prosíme </w:t>
      </w:r>
      <w:r>
        <w:t xml:space="preserve">o zaměstnání pro krejčovského dělníka na malou práci nebo na velkou k </w:t>
      </w:r>
      <w:r>
        <w:t>ruce. Lask. nabídky pří</w:t>
      </w:r>
      <w:r>
        <w:softHyphen/>
        <w:t>mo redakci t. 1. — 1 telefonicky.</w:t>
      </w:r>
    </w:p>
    <w:p w:rsidR="00500724" w:rsidRDefault="00F30FB8">
      <w:pPr>
        <w:pStyle w:val="Zkladntext40"/>
        <w:shd w:val="clear" w:color="auto" w:fill="auto"/>
        <w:spacing w:after="0" w:line="233" w:lineRule="auto"/>
        <w:ind w:firstLine="180"/>
        <w:sectPr w:rsidR="00500724">
          <w:footnotePr>
            <w:numFmt w:val="chicago"/>
            <w:numRestart w:val="eachPage"/>
          </w:footnotePr>
          <w:type w:val="continuous"/>
          <w:pgSz w:w="11909" w:h="16834"/>
          <w:pgMar w:top="1135" w:right="801" w:bottom="98" w:left="442" w:header="0" w:footer="3" w:gutter="0"/>
          <w:cols w:num="4" w:sep="1" w:space="100"/>
          <w:noEndnote/>
          <w:docGrid w:linePitch="360"/>
        </w:sectPr>
      </w:pPr>
      <w:r>
        <w:t xml:space="preserve">Něco pro nervy. Je známo, jak značně životospráva ovlivňuje nervy. Základ tvoři snídaně a kdo mysli na nervy, pije kávu z Karo- Franckovky a Peroly. Tato káva srdci, </w:t>
      </w:r>
      <w:r>
        <w:t>nervům a žaludku prospívá. Je výživná a lehce stravitelná. Odbyt Karo-Franckovky a Peroly slouží 1 našemu hospodářství Rostou u nás, vyrábějí se v Par</w:t>
      </w:r>
      <w:r>
        <w:softHyphen/>
        <w:t>dubicích.</w:t>
      </w:r>
    </w:p>
    <w:p w:rsidR="00500724" w:rsidRDefault="00F30FB8">
      <w:pPr>
        <w:pStyle w:val="Nadpis30"/>
        <w:keepNext/>
        <w:keepLines/>
        <w:shd w:val="clear" w:color="auto" w:fill="auto"/>
        <w:spacing w:after="140"/>
        <w:rPr>
          <w:sz w:val="258"/>
          <w:szCs w:val="258"/>
        </w:rPr>
      </w:pPr>
      <w:bookmarkStart w:id="202" w:name="bookmark201"/>
      <w:r>
        <w:rPr>
          <w:sz w:val="258"/>
          <w:szCs w:val="258"/>
          <w:u w:val="single"/>
        </w:rPr>
        <w:t>ŘtomnosC</w:t>
      </w:r>
      <w:bookmarkEnd w:id="202"/>
    </w:p>
    <w:p w:rsidR="00500724" w:rsidRDefault="00F30FB8">
      <w:pPr>
        <w:pStyle w:val="Nadpis70"/>
        <w:keepNext/>
        <w:keepLines/>
        <w:shd w:val="clear" w:color="auto" w:fill="auto"/>
        <w:spacing w:after="560"/>
        <w:ind w:left="360"/>
        <w:jc w:val="both"/>
        <w:rPr>
          <w:sz w:val="26"/>
          <w:szCs w:val="26"/>
        </w:rPr>
      </w:pPr>
      <w:bookmarkStart w:id="203" w:name="bookmark202"/>
      <w:r>
        <w:rPr>
          <w:rFonts w:ascii="Times New Roman" w:eastAsia="Times New Roman" w:hAnsi="Times New Roman" w:cs="Times New Roman"/>
          <w:w w:val="100"/>
        </w:rPr>
        <w:t xml:space="preserve">Jean Giono ví, že je Cesko-Slovensko </w:t>
      </w:r>
      <w:r>
        <w:rPr>
          <w:rFonts w:ascii="Times New Roman" w:eastAsia="Times New Roman" w:hAnsi="Times New Roman" w:cs="Times New Roman"/>
          <w:b/>
          <w:bCs/>
          <w:w w:val="100"/>
          <w:sz w:val="24"/>
          <w:szCs w:val="24"/>
        </w:rPr>
        <w:t xml:space="preserve">G. </w:t>
      </w:r>
      <w:r>
        <w:rPr>
          <w:rFonts w:ascii="Times New Roman" w:eastAsia="Times New Roman" w:hAnsi="Times New Roman" w:cs="Times New Roman"/>
          <w:w w:val="100"/>
          <w:sz w:val="26"/>
          <w:szCs w:val="26"/>
          <w:lang w:val="en-US" w:eastAsia="en-US" w:bidi="en-US"/>
        </w:rPr>
        <w:t>WINTER</w:t>
      </w:r>
      <w:bookmarkEnd w:id="203"/>
    </w:p>
    <w:p w:rsidR="00500724" w:rsidRDefault="00F30FB8">
      <w:pPr>
        <w:pStyle w:val="Nadpis70"/>
        <w:keepNext/>
        <w:keepLines/>
        <w:shd w:val="clear" w:color="auto" w:fill="auto"/>
        <w:spacing w:after="560"/>
        <w:ind w:left="360"/>
        <w:jc w:val="both"/>
        <w:rPr>
          <w:sz w:val="26"/>
          <w:szCs w:val="26"/>
        </w:rPr>
      </w:pPr>
      <w:bookmarkStart w:id="204" w:name="bookmark203"/>
      <w:r>
        <w:rPr>
          <w:rFonts w:ascii="Times New Roman" w:eastAsia="Times New Roman" w:hAnsi="Times New Roman" w:cs="Times New Roman"/>
          <w:w w:val="100"/>
          <w:u w:val="single"/>
          <w:lang w:val="en-US" w:eastAsia="en-US" w:bidi="en-US"/>
        </w:rPr>
        <w:t xml:space="preserve">Bonnet </w:t>
      </w:r>
      <w:r>
        <w:rPr>
          <w:rFonts w:ascii="Times New Roman" w:eastAsia="Times New Roman" w:hAnsi="Times New Roman" w:cs="Times New Roman"/>
          <w:w w:val="100"/>
          <w:u w:val="single"/>
        </w:rPr>
        <w:t>a f</w:t>
      </w:r>
      <w:r>
        <w:rPr>
          <w:rFonts w:ascii="Times New Roman" w:eastAsia="Times New Roman" w:hAnsi="Times New Roman" w:cs="Times New Roman"/>
          <w:w w:val="100"/>
        </w:rPr>
        <w:t>r</w:t>
      </w:r>
      <w:r>
        <w:rPr>
          <w:rFonts w:ascii="Times New Roman" w:eastAsia="Times New Roman" w:hAnsi="Times New Roman" w:cs="Times New Roman"/>
          <w:w w:val="100"/>
          <w:u w:val="single"/>
        </w:rPr>
        <w:t>ancou</w:t>
      </w:r>
      <w:r>
        <w:rPr>
          <w:rFonts w:ascii="Times New Roman" w:eastAsia="Times New Roman" w:hAnsi="Times New Roman" w:cs="Times New Roman"/>
          <w:w w:val="100"/>
        </w:rPr>
        <w:t xml:space="preserve">zská veřejnost K. </w:t>
      </w:r>
      <w:r>
        <w:rPr>
          <w:rFonts w:ascii="Times New Roman" w:eastAsia="Times New Roman" w:hAnsi="Times New Roman" w:cs="Times New Roman"/>
          <w:w w:val="100"/>
          <w:sz w:val="26"/>
          <w:szCs w:val="26"/>
        </w:rPr>
        <w:t>NEDVED</w:t>
      </w:r>
      <w:bookmarkEnd w:id="204"/>
    </w:p>
    <w:p w:rsidR="00500724" w:rsidRDefault="00F30FB8">
      <w:pPr>
        <w:pStyle w:val="Nadpis70"/>
        <w:keepNext/>
        <w:keepLines/>
        <w:shd w:val="clear" w:color="auto" w:fill="auto"/>
        <w:tabs>
          <w:tab w:val="left" w:pos="8501"/>
        </w:tabs>
        <w:spacing w:after="560"/>
        <w:ind w:left="360"/>
        <w:jc w:val="both"/>
        <w:rPr>
          <w:sz w:val="26"/>
          <w:szCs w:val="26"/>
        </w:rPr>
      </w:pPr>
      <w:bookmarkStart w:id="205" w:name="bookmark204"/>
      <w:r>
        <w:rPr>
          <w:rFonts w:ascii="Times New Roman" w:eastAsia="Times New Roman" w:hAnsi="Times New Roman" w:cs="Times New Roman"/>
          <w:w w:val="100"/>
        </w:rPr>
        <w:t>Přiznání k Alšovi</w:t>
      </w:r>
      <w:r>
        <w:rPr>
          <w:rFonts w:ascii="Times New Roman" w:eastAsia="Times New Roman" w:hAnsi="Times New Roman" w:cs="Times New Roman"/>
          <w:w w:val="100"/>
        </w:rPr>
        <w:tab/>
      </w:r>
      <w:r>
        <w:rPr>
          <w:rFonts w:ascii="Times New Roman" w:eastAsia="Times New Roman" w:hAnsi="Times New Roman" w:cs="Times New Roman"/>
          <w:w w:val="100"/>
          <w:sz w:val="26"/>
          <w:szCs w:val="26"/>
        </w:rPr>
        <w:t>MIROSLAV MICKO</w:t>
      </w:r>
      <w:bookmarkEnd w:id="205"/>
    </w:p>
    <w:p w:rsidR="00500724" w:rsidRDefault="00F30FB8">
      <w:pPr>
        <w:pStyle w:val="Nadpis70"/>
        <w:keepNext/>
        <w:keepLines/>
        <w:shd w:val="clear" w:color="auto" w:fill="auto"/>
        <w:tabs>
          <w:tab w:val="left" w:pos="8875"/>
        </w:tabs>
        <w:spacing w:after="560"/>
        <w:ind w:left="360"/>
        <w:jc w:val="both"/>
        <w:rPr>
          <w:sz w:val="26"/>
          <w:szCs w:val="26"/>
        </w:rPr>
      </w:pPr>
      <w:bookmarkStart w:id="206" w:name="bookmark205"/>
      <w:r>
        <w:rPr>
          <w:rFonts w:ascii="Times New Roman" w:eastAsia="Times New Roman" w:hAnsi="Times New Roman" w:cs="Times New Roman"/>
          <w:w w:val="100"/>
          <w:u w:val="single"/>
        </w:rPr>
        <w:t>Londýnská City dělá politiku</w:t>
      </w:r>
      <w:r>
        <w:rPr>
          <w:rFonts w:ascii="Times New Roman" w:eastAsia="Times New Roman" w:hAnsi="Times New Roman" w:cs="Times New Roman"/>
          <w:w w:val="100"/>
          <w:u w:val="single"/>
        </w:rPr>
        <w:tab/>
      </w:r>
      <w:r>
        <w:rPr>
          <w:rFonts w:ascii="Times New Roman" w:eastAsia="Times New Roman" w:hAnsi="Times New Roman" w:cs="Times New Roman"/>
          <w:w w:val="100"/>
          <w:sz w:val="26"/>
          <w:szCs w:val="26"/>
          <w:u w:val="single"/>
        </w:rPr>
        <w:t>JOSEF PACHTA</w:t>
      </w:r>
      <w:bookmarkEnd w:id="206"/>
    </w:p>
    <w:p w:rsidR="00500724" w:rsidRDefault="00F30FB8">
      <w:pPr>
        <w:pStyle w:val="Jin0"/>
        <w:shd w:val="clear" w:color="auto" w:fill="auto"/>
        <w:spacing w:after="560"/>
        <w:ind w:left="360" w:right="320" w:firstLine="0"/>
        <w:rPr>
          <w:sz w:val="32"/>
          <w:szCs w:val="32"/>
        </w:rPr>
        <w:sectPr w:rsidR="00500724">
          <w:footnotePr>
            <w:numFmt w:val="chicago"/>
            <w:numRestart w:val="eachPage"/>
          </w:footnotePr>
          <w:pgSz w:w="11909" w:h="16834"/>
          <w:pgMar w:top="877" w:right="323" w:bottom="877" w:left="280" w:header="0" w:footer="3" w:gutter="0"/>
          <w:cols w:space="720"/>
          <w:noEndnote/>
          <w:docGrid w:linePitch="360"/>
        </w:sectPr>
      </w:pPr>
      <w:r>
        <w:rPr>
          <w:sz w:val="32"/>
          <w:szCs w:val="32"/>
          <w:u w:val="single"/>
        </w:rPr>
        <w:t>První rozpočet nového Česko-Siove</w:t>
      </w:r>
      <w:r>
        <w:rPr>
          <w:sz w:val="32"/>
          <w:szCs w:val="32"/>
        </w:rPr>
        <w:t>n</w:t>
      </w:r>
      <w:r>
        <w:rPr>
          <w:sz w:val="32"/>
          <w:szCs w:val="32"/>
          <w:u w:val="single"/>
        </w:rPr>
        <w:t>ska</w:t>
      </w:r>
      <w:r>
        <w:rPr>
          <w:sz w:val="32"/>
          <w:szCs w:val="32"/>
        </w:rPr>
        <w:t xml:space="preserve"> — Nač si stěžují zdejší Němci ? — Slovensko před vážnými úkoly — Vojenské události v Anglii — Páté a šesté pásmo — Dopis z lidu generálu Medkovi — Otcové a děti — Češi, Němci a židé — City a politika — Padlé bašty</w:t>
      </w:r>
    </w:p>
    <w:p w:rsidR="00500724" w:rsidRDefault="00F30FB8">
      <w:pPr>
        <w:pStyle w:val="Nadpis120"/>
        <w:framePr w:w="149" w:h="293" w:wrap="none" w:vAnchor="text" w:hAnchor="page" w:x="11816" w:y="21"/>
        <w:shd w:val="clear" w:color="auto" w:fill="auto"/>
        <w:ind w:left="0"/>
      </w:pPr>
      <w:bookmarkStart w:id="207" w:name="bookmark206"/>
      <w:r>
        <w:t>’T</w:t>
      </w:r>
      <w:bookmarkEnd w:id="207"/>
    </w:p>
    <w:p w:rsidR="00500724" w:rsidRDefault="00500724">
      <w:pPr>
        <w:spacing w:after="279" w:line="14" w:lineRule="exact"/>
      </w:pPr>
    </w:p>
    <w:p w:rsidR="00500724" w:rsidRDefault="00500724">
      <w:pPr>
        <w:spacing w:line="14" w:lineRule="exact"/>
        <w:sectPr w:rsidR="00500724">
          <w:footnotePr>
            <w:numFmt w:val="chicago"/>
            <w:numRestart w:val="eachPage"/>
          </w:footnotePr>
          <w:pgSz w:w="11909" w:h="16834"/>
          <w:pgMar w:top="41" w:right="0" w:bottom="912" w:left="420" w:header="0" w:footer="3" w:gutter="0"/>
          <w:cols w:space="720"/>
          <w:noEndnote/>
          <w:docGrid w:linePitch="360"/>
        </w:sectPr>
      </w:pPr>
    </w:p>
    <w:tbl>
      <w:tblPr>
        <w:tblpPr w:vertAnchor="text" w:horzAnchor="page" w:tblpX="4130" w:tblpY="1742"/>
        <w:tblW w:w="0" w:type="auto"/>
        <w:tblLayout w:type="fixed"/>
        <w:tblCellMar>
          <w:left w:w="10" w:type="dxa"/>
          <w:right w:w="10" w:type="dxa"/>
        </w:tblCellMar>
        <w:tblLook w:val="04A0" w:firstRow="1" w:lastRow="0" w:firstColumn="1" w:lastColumn="0" w:noHBand="0" w:noVBand="1"/>
      </w:tblPr>
      <w:tblGrid>
        <w:gridCol w:w="494"/>
        <w:gridCol w:w="202"/>
        <w:gridCol w:w="437"/>
      </w:tblGrid>
      <w:tr w:rsidR="00500724">
        <w:tblPrEx>
          <w:tblCellMar>
            <w:top w:w="0" w:type="dxa"/>
            <w:bottom w:w="0" w:type="dxa"/>
          </w:tblCellMar>
        </w:tblPrEx>
        <w:trPr>
          <w:trHeight w:hRule="exact" w:val="259"/>
          <w:tblHeader/>
        </w:trPr>
        <w:tc>
          <w:tcPr>
            <w:tcW w:w="0" w:type="auto"/>
            <w:shd w:val="clear" w:color="auto" w:fill="FFFFFF"/>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15</w:t>
            </w:r>
            <w:r>
              <w:rPr>
                <w:b/>
                <w:bCs/>
                <w:sz w:val="16"/>
                <w:szCs w:val="16"/>
              </w:rPr>
              <w:t>.—</w:t>
            </w:r>
          </w:p>
        </w:tc>
      </w:tr>
      <w:tr w:rsidR="00500724">
        <w:tblPrEx>
          <w:tblCellMar>
            <w:top w:w="0" w:type="dxa"/>
            <w:bottom w:w="0" w:type="dxa"/>
          </w:tblCellMar>
        </w:tblPrEx>
        <w:trPr>
          <w:trHeight w:hRule="exact" w:val="259"/>
        </w:trPr>
        <w:tc>
          <w:tcPr>
            <w:tcW w:w="0" w:type="auto"/>
            <w:shd w:val="clear" w:color="auto" w:fill="FFFFFF"/>
            <w:vAlign w:val="bottom"/>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25.—</w:t>
            </w:r>
          </w:p>
        </w:tc>
      </w:tr>
      <w:tr w:rsidR="00500724">
        <w:tblPrEx>
          <w:tblCellMar>
            <w:top w:w="0" w:type="dxa"/>
            <w:bottom w:w="0" w:type="dxa"/>
          </w:tblCellMar>
        </w:tblPrEx>
        <w:trPr>
          <w:trHeight w:hRule="exact" w:val="211"/>
        </w:trPr>
        <w:tc>
          <w:tcPr>
            <w:tcW w:w="0" w:type="auto"/>
            <w:shd w:val="clear" w:color="auto" w:fill="FFFFFF"/>
          </w:tcPr>
          <w:p w:rsidR="00500724" w:rsidRDefault="00F30FB8">
            <w:pPr>
              <w:pStyle w:val="Jin0"/>
              <w:shd w:val="clear" w:color="auto" w:fill="auto"/>
              <w:ind w:firstLine="0"/>
              <w:jc w:val="right"/>
              <w:rPr>
                <w:sz w:val="16"/>
                <w:szCs w:val="16"/>
              </w:rPr>
            </w:pPr>
            <w:r>
              <w:rPr>
                <w:b/>
                <w:bCs/>
                <w:sz w:val="16"/>
                <w:szCs w:val="16"/>
              </w:rPr>
              <w:t>váz.</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35.—</w:t>
            </w:r>
          </w:p>
        </w:tc>
      </w:tr>
      <w:tr w:rsidR="00500724">
        <w:tblPrEx>
          <w:tblCellMar>
            <w:top w:w="0" w:type="dxa"/>
            <w:bottom w:w="0" w:type="dxa"/>
          </w:tblCellMar>
        </w:tblPrEx>
        <w:trPr>
          <w:trHeight w:hRule="exact" w:val="202"/>
        </w:trPr>
        <w:tc>
          <w:tcPr>
            <w:tcW w:w="0" w:type="auto"/>
            <w:shd w:val="clear" w:color="auto" w:fill="FFFFFF"/>
            <w:vAlign w:val="bottom"/>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20.—</w:t>
            </w:r>
          </w:p>
        </w:tc>
      </w:tr>
      <w:tr w:rsidR="00500724">
        <w:tblPrEx>
          <w:tblCellMar>
            <w:top w:w="0" w:type="dxa"/>
            <w:bottom w:w="0" w:type="dxa"/>
          </w:tblCellMar>
        </w:tblPrEx>
        <w:trPr>
          <w:trHeight w:hRule="exact" w:val="202"/>
        </w:trPr>
        <w:tc>
          <w:tcPr>
            <w:tcW w:w="0" w:type="auto"/>
            <w:shd w:val="clear" w:color="auto" w:fill="FFFFFF"/>
          </w:tcPr>
          <w:p w:rsidR="00500724" w:rsidRDefault="00F30FB8">
            <w:pPr>
              <w:pStyle w:val="Jin0"/>
              <w:shd w:val="clear" w:color="auto" w:fill="auto"/>
              <w:ind w:firstLine="0"/>
              <w:jc w:val="right"/>
              <w:rPr>
                <w:sz w:val="16"/>
                <w:szCs w:val="16"/>
              </w:rPr>
            </w:pPr>
            <w:r>
              <w:rPr>
                <w:b/>
                <w:bCs/>
                <w:sz w:val="16"/>
                <w:szCs w:val="16"/>
              </w:rPr>
              <w:t>váz.</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30.—</w:t>
            </w:r>
          </w:p>
        </w:tc>
      </w:tr>
      <w:tr w:rsidR="00500724">
        <w:tblPrEx>
          <w:tblCellMar>
            <w:top w:w="0" w:type="dxa"/>
            <w:bottom w:w="0" w:type="dxa"/>
          </w:tblCellMar>
        </w:tblPrEx>
        <w:trPr>
          <w:trHeight w:hRule="exact" w:val="202"/>
        </w:trPr>
        <w:tc>
          <w:tcPr>
            <w:tcW w:w="0" w:type="auto"/>
            <w:shd w:val="clear" w:color="auto" w:fill="FFFFFF"/>
            <w:vAlign w:val="bottom"/>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25.—</w:t>
            </w:r>
          </w:p>
        </w:tc>
      </w:tr>
      <w:tr w:rsidR="00500724">
        <w:tblPrEx>
          <w:tblCellMar>
            <w:top w:w="0" w:type="dxa"/>
            <w:bottom w:w="0" w:type="dxa"/>
          </w:tblCellMar>
        </w:tblPrEx>
        <w:trPr>
          <w:trHeight w:hRule="exact" w:val="278"/>
        </w:trPr>
        <w:tc>
          <w:tcPr>
            <w:tcW w:w="0" w:type="auto"/>
            <w:shd w:val="clear" w:color="auto" w:fill="FFFFFF"/>
          </w:tcPr>
          <w:p w:rsidR="00500724" w:rsidRDefault="00F30FB8">
            <w:pPr>
              <w:pStyle w:val="Jin0"/>
              <w:shd w:val="clear" w:color="auto" w:fill="auto"/>
              <w:ind w:firstLine="0"/>
              <w:jc w:val="right"/>
              <w:rPr>
                <w:sz w:val="16"/>
                <w:szCs w:val="16"/>
              </w:rPr>
            </w:pPr>
            <w:r>
              <w:rPr>
                <w:b/>
                <w:bCs/>
                <w:sz w:val="16"/>
                <w:szCs w:val="16"/>
              </w:rPr>
              <w:t>váz.</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tcPr>
          <w:p w:rsidR="00500724" w:rsidRDefault="00F30FB8">
            <w:pPr>
              <w:pStyle w:val="Jin0"/>
              <w:shd w:val="clear" w:color="auto" w:fill="auto"/>
              <w:ind w:firstLine="0"/>
              <w:jc w:val="left"/>
              <w:rPr>
                <w:sz w:val="16"/>
                <w:szCs w:val="16"/>
              </w:rPr>
            </w:pPr>
            <w:r>
              <w:rPr>
                <w:b/>
                <w:bCs/>
                <w:sz w:val="16"/>
                <w:szCs w:val="16"/>
              </w:rPr>
              <w:t>35.—</w:t>
            </w:r>
          </w:p>
        </w:tc>
      </w:tr>
      <w:tr w:rsidR="00500724">
        <w:tblPrEx>
          <w:tblCellMar>
            <w:top w:w="0" w:type="dxa"/>
            <w:bottom w:w="0" w:type="dxa"/>
          </w:tblCellMar>
        </w:tblPrEx>
        <w:trPr>
          <w:trHeight w:hRule="exact" w:val="283"/>
        </w:trPr>
        <w:tc>
          <w:tcPr>
            <w:tcW w:w="0" w:type="auto"/>
            <w:shd w:val="clear" w:color="auto" w:fill="FFFFFF"/>
            <w:vAlign w:val="bottom"/>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20.—</w:t>
            </w:r>
          </w:p>
        </w:tc>
      </w:tr>
      <w:tr w:rsidR="00500724">
        <w:tblPrEx>
          <w:tblCellMar>
            <w:top w:w="0" w:type="dxa"/>
            <w:bottom w:w="0" w:type="dxa"/>
          </w:tblCellMar>
        </w:tblPrEx>
        <w:trPr>
          <w:trHeight w:hRule="exact" w:val="216"/>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váz.</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28.—</w:t>
            </w:r>
          </w:p>
        </w:tc>
      </w:tr>
      <w:tr w:rsidR="00500724">
        <w:tblPrEx>
          <w:tblCellMar>
            <w:top w:w="0" w:type="dxa"/>
            <w:bottom w:w="0" w:type="dxa"/>
          </w:tblCellMar>
        </w:tblPrEx>
        <w:trPr>
          <w:trHeight w:hRule="exact" w:val="312"/>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 váz.</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56.10</w:t>
            </w:r>
          </w:p>
        </w:tc>
      </w:tr>
      <w:tr w:rsidR="00500724">
        <w:tblPrEx>
          <w:tblCellMar>
            <w:top w:w="0" w:type="dxa"/>
            <w:bottom w:w="0" w:type="dxa"/>
          </w:tblCellMar>
        </w:tblPrEx>
        <w:trPr>
          <w:trHeight w:hRule="exact" w:val="432"/>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váz.</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60.—</w:t>
            </w:r>
          </w:p>
        </w:tc>
      </w:tr>
      <w:tr w:rsidR="00500724">
        <w:tblPrEx>
          <w:tblCellMar>
            <w:top w:w="0" w:type="dxa"/>
            <w:bottom w:w="0" w:type="dxa"/>
          </w:tblCellMar>
        </w:tblPrEx>
        <w:trPr>
          <w:trHeight w:hRule="exact" w:val="509"/>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25.—</w:t>
            </w:r>
          </w:p>
        </w:tc>
      </w:tr>
      <w:tr w:rsidR="00500724">
        <w:tblPrEx>
          <w:tblCellMar>
            <w:top w:w="0" w:type="dxa"/>
            <w:bottom w:w="0" w:type="dxa"/>
          </w:tblCellMar>
        </w:tblPrEx>
        <w:trPr>
          <w:trHeight w:hRule="exact" w:val="432"/>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25.™</w:t>
            </w:r>
          </w:p>
        </w:tc>
      </w:tr>
      <w:tr w:rsidR="00500724">
        <w:tblPrEx>
          <w:tblCellMar>
            <w:top w:w="0" w:type="dxa"/>
            <w:bottom w:w="0" w:type="dxa"/>
          </w:tblCellMar>
        </w:tblPrEx>
        <w:trPr>
          <w:trHeight w:hRule="exact" w:val="442"/>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18.—</w:t>
            </w:r>
          </w:p>
        </w:tc>
      </w:tr>
      <w:tr w:rsidR="00500724">
        <w:tblPrEx>
          <w:tblCellMar>
            <w:top w:w="0" w:type="dxa"/>
            <w:bottom w:w="0" w:type="dxa"/>
          </w:tblCellMar>
        </w:tblPrEx>
        <w:trPr>
          <w:trHeight w:hRule="exact" w:val="586"/>
        </w:trPr>
        <w:tc>
          <w:tcPr>
            <w:tcW w:w="0" w:type="auto"/>
            <w:shd w:val="clear" w:color="auto" w:fill="FFFFFF"/>
            <w:vAlign w:val="center"/>
          </w:tcPr>
          <w:p w:rsidR="00500724" w:rsidRDefault="00F30FB8">
            <w:pPr>
              <w:pStyle w:val="Jin0"/>
              <w:shd w:val="clear" w:color="auto" w:fill="auto"/>
              <w:ind w:firstLine="0"/>
              <w:jc w:val="right"/>
              <w:rPr>
                <w:sz w:val="16"/>
                <w:szCs w:val="16"/>
              </w:rPr>
            </w:pPr>
            <w:r>
              <w:rPr>
                <w:b/>
                <w:bCs/>
                <w:sz w:val="16"/>
                <w:szCs w:val="16"/>
              </w:rPr>
              <w:t>váz.</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center"/>
          </w:tcPr>
          <w:p w:rsidR="00500724" w:rsidRDefault="00F30FB8">
            <w:pPr>
              <w:pStyle w:val="Jin0"/>
              <w:shd w:val="clear" w:color="auto" w:fill="auto"/>
              <w:ind w:firstLine="0"/>
              <w:jc w:val="left"/>
              <w:rPr>
                <w:sz w:val="16"/>
                <w:szCs w:val="16"/>
              </w:rPr>
            </w:pPr>
            <w:r>
              <w:rPr>
                <w:b/>
                <w:bCs/>
                <w:sz w:val="16"/>
                <w:szCs w:val="16"/>
              </w:rPr>
              <w:t>58.—</w:t>
            </w:r>
          </w:p>
        </w:tc>
      </w:tr>
      <w:tr w:rsidR="00500724">
        <w:tblPrEx>
          <w:tblCellMar>
            <w:top w:w="0" w:type="dxa"/>
            <w:bottom w:w="0" w:type="dxa"/>
          </w:tblCellMar>
        </w:tblPrEx>
        <w:trPr>
          <w:trHeight w:hRule="exact" w:val="509"/>
        </w:trPr>
        <w:tc>
          <w:tcPr>
            <w:tcW w:w="0" w:type="auto"/>
            <w:shd w:val="clear" w:color="auto" w:fill="FFFFFF"/>
            <w:vAlign w:val="bottom"/>
          </w:tcPr>
          <w:p w:rsidR="00500724" w:rsidRDefault="00F30FB8">
            <w:pPr>
              <w:pStyle w:val="Jin0"/>
              <w:shd w:val="clear" w:color="auto" w:fill="auto"/>
              <w:ind w:firstLine="0"/>
              <w:jc w:val="right"/>
              <w:rPr>
                <w:sz w:val="16"/>
                <w:szCs w:val="16"/>
              </w:rPr>
            </w:pPr>
            <w:r>
              <w:rPr>
                <w:b/>
                <w:bCs/>
                <w:sz w:val="16"/>
                <w:szCs w:val="16"/>
              </w:rPr>
              <w:t>brož.</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K</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33.—</w:t>
            </w:r>
          </w:p>
        </w:tc>
      </w:tr>
      <w:tr w:rsidR="00500724">
        <w:tblPrEx>
          <w:tblCellMar>
            <w:top w:w="0" w:type="dxa"/>
            <w:bottom w:w="0" w:type="dxa"/>
          </w:tblCellMar>
        </w:tblPrEx>
        <w:trPr>
          <w:trHeight w:hRule="exact" w:val="384"/>
        </w:trPr>
        <w:tc>
          <w:tcPr>
            <w:tcW w:w="0" w:type="auto"/>
            <w:shd w:val="clear" w:color="auto" w:fill="FFFFFF"/>
            <w:vAlign w:val="bottom"/>
          </w:tcPr>
          <w:p w:rsidR="00500724" w:rsidRDefault="00F30FB8">
            <w:pPr>
              <w:pStyle w:val="Jin0"/>
              <w:shd w:val="clear" w:color="auto" w:fill="auto"/>
              <w:ind w:firstLine="0"/>
              <w:jc w:val="right"/>
              <w:rPr>
                <w:sz w:val="18"/>
                <w:szCs w:val="18"/>
              </w:rPr>
            </w:pPr>
            <w:r>
              <w:rPr>
                <w:rFonts w:ascii="Arial" w:eastAsia="Arial" w:hAnsi="Arial" w:cs="Arial"/>
                <w:sz w:val="18"/>
                <w:szCs w:val="18"/>
              </w:rPr>
              <w:t>Náro</w:t>
            </w:r>
          </w:p>
        </w:tc>
        <w:tc>
          <w:tcPr>
            <w:tcW w:w="0" w:type="auto"/>
            <w:shd w:val="clear" w:color="auto" w:fill="FFFFFF"/>
            <w:vAlign w:val="bottom"/>
          </w:tcPr>
          <w:p w:rsidR="00500724" w:rsidRDefault="00F30FB8">
            <w:pPr>
              <w:pStyle w:val="Jin0"/>
              <w:shd w:val="clear" w:color="auto" w:fill="auto"/>
              <w:ind w:firstLine="0"/>
              <w:jc w:val="left"/>
              <w:rPr>
                <w:sz w:val="16"/>
                <w:szCs w:val="16"/>
              </w:rPr>
            </w:pPr>
            <w:r>
              <w:rPr>
                <w:b/>
                <w:bCs/>
                <w:sz w:val="16"/>
                <w:szCs w:val="16"/>
              </w:rPr>
              <w:t>dn</w:t>
            </w:r>
          </w:p>
        </w:tc>
        <w:tc>
          <w:tcPr>
            <w:tcW w:w="0" w:type="auto"/>
            <w:shd w:val="clear" w:color="auto" w:fill="FFFFFF"/>
            <w:vAlign w:val="bottom"/>
          </w:tcPr>
          <w:p w:rsidR="00500724" w:rsidRDefault="00F30FB8">
            <w:pPr>
              <w:pStyle w:val="Jin0"/>
              <w:shd w:val="clear" w:color="auto" w:fill="auto"/>
              <w:ind w:firstLine="0"/>
              <w:jc w:val="left"/>
              <w:rPr>
                <w:sz w:val="18"/>
                <w:szCs w:val="18"/>
              </w:rPr>
            </w:pPr>
            <w:r>
              <w:rPr>
                <w:b/>
                <w:bCs/>
                <w:sz w:val="16"/>
                <w:szCs w:val="16"/>
              </w:rPr>
              <w:t xml:space="preserve">iř </w:t>
            </w:r>
            <w:r>
              <w:rPr>
                <w:rFonts w:ascii="Arial" w:eastAsia="Arial" w:hAnsi="Arial" w:cs="Arial"/>
                <w:sz w:val="18"/>
                <w:szCs w:val="18"/>
              </w:rPr>
              <w:t>11,</w:t>
            </w:r>
          </w:p>
        </w:tc>
      </w:tr>
    </w:tbl>
    <w:p w:rsidR="00500724" w:rsidRDefault="00F30FB8">
      <w:pPr>
        <w:spacing w:line="14" w:lineRule="exact"/>
      </w:pPr>
      <w:r>
        <w:rPr>
          <w:noProof/>
        </w:rPr>
        <mc:AlternateContent>
          <mc:Choice Requires="wps">
            <w:drawing>
              <wp:anchor distT="0" distB="0" distL="25400" distR="25400" simplePos="0" relativeHeight="125829578" behindDoc="0" locked="0" layoutInCell="1" allowOverlap="1">
                <wp:simplePos x="0" y="0"/>
                <wp:positionH relativeFrom="page">
                  <wp:posOffset>3698875</wp:posOffset>
                </wp:positionH>
                <wp:positionV relativeFrom="paragraph">
                  <wp:posOffset>841375</wp:posOffset>
                </wp:positionV>
                <wp:extent cx="1584960" cy="186055"/>
                <wp:effectExtent l="0" t="0" r="0" b="0"/>
                <wp:wrapSquare wrapText="right"/>
                <wp:docPr id="201" name="Shape 201"/>
                <wp:cNvGraphicFramePr/>
                <a:graphic xmlns:a="http://schemas.openxmlformats.org/drawingml/2006/main">
                  <a:graphicData uri="http://schemas.microsoft.com/office/word/2010/wordprocessingShape">
                    <wps:wsp>
                      <wps:cNvSpPr txBox="1"/>
                      <wps:spPr>
                        <a:xfrm>
                          <a:off x="0" y="0"/>
                          <a:ext cx="1584960" cy="186055"/>
                        </a:xfrm>
                        <a:prstGeom prst="rect">
                          <a:avLst/>
                        </a:prstGeom>
                        <a:noFill/>
                      </wps:spPr>
                      <wps:txbx>
                        <w:txbxContent>
                          <w:p w:rsidR="00500724" w:rsidRDefault="00F30FB8">
                            <w:pPr>
                              <w:pStyle w:val="Zkladntext80"/>
                              <w:shd w:val="clear" w:color="auto" w:fill="auto"/>
                              <w:spacing w:line="240" w:lineRule="auto"/>
                            </w:pPr>
                            <w:r>
                              <w:t xml:space="preserve">MUDr. </w:t>
                            </w:r>
                            <w:r>
                              <w:rPr>
                                <w:lang w:val="en-US" w:eastAsia="en-US" w:bidi="en-US"/>
                              </w:rPr>
                              <w:t>Ervin Frohlich,</w:t>
                            </w:r>
                          </w:p>
                        </w:txbxContent>
                      </wps:txbx>
                      <wps:bodyPr lIns="0" tIns="0" rIns="0" bIns="0">
                        <a:spAutoFit/>
                      </wps:bodyPr>
                    </wps:wsp>
                  </a:graphicData>
                </a:graphic>
              </wp:anchor>
            </w:drawing>
          </mc:Choice>
          <mc:Fallback>
            <w:pict>
              <v:shape id="_x0000_s1227" type="#_x0000_t202" style="position:absolute;margin-left:291.25pt;margin-top:66.25pt;width:124.8pt;height:14.65pt;z-index:-125829175;mso-wrap-distance-left:2.pt;mso-wrap-distance-right:2.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MUDr. </w:t>
                      </w:r>
                      <w:r>
                        <w:rPr>
                          <w:color w:val="000000"/>
                          <w:spacing w:val="0"/>
                          <w:w w:val="100"/>
                          <w:position w:val="0"/>
                          <w:shd w:val="clear" w:color="auto" w:fill="auto"/>
                          <w:lang w:val="en-US" w:eastAsia="en-US" w:bidi="en-US"/>
                        </w:rPr>
                        <w:t>Ervin Frohlich,</w:t>
                      </w:r>
                    </w:p>
                  </w:txbxContent>
                </v:textbox>
                <w10:wrap type="square" side="right" anchorx="page"/>
              </v:shape>
            </w:pict>
          </mc:Fallback>
        </mc:AlternateContent>
      </w:r>
    </w:p>
    <w:p w:rsidR="00500724" w:rsidRDefault="00F30FB8">
      <w:pPr>
        <w:pStyle w:val="Jin0"/>
        <w:shd w:val="clear" w:color="auto" w:fill="auto"/>
        <w:spacing w:after="40"/>
        <w:ind w:firstLine="0"/>
        <w:jc w:val="left"/>
        <w:rPr>
          <w:sz w:val="50"/>
          <w:szCs w:val="50"/>
        </w:rPr>
      </w:pPr>
      <w:r>
        <w:rPr>
          <w:i/>
          <w:iCs/>
          <w:sz w:val="50"/>
          <w:szCs w:val="50"/>
        </w:rPr>
        <w:t>Jalové knihy</w:t>
      </w:r>
    </w:p>
    <w:p w:rsidR="00500724" w:rsidRDefault="00F30FB8">
      <w:pPr>
        <w:pStyle w:val="Jin0"/>
        <w:shd w:val="clear" w:color="auto" w:fill="auto"/>
        <w:spacing w:after="100"/>
        <w:ind w:firstLine="0"/>
        <w:jc w:val="left"/>
        <w:rPr>
          <w:sz w:val="50"/>
          <w:szCs w:val="50"/>
        </w:rPr>
      </w:pPr>
      <w:r>
        <w:rPr>
          <w:i/>
          <w:iCs/>
          <w:sz w:val="50"/>
          <w:szCs w:val="50"/>
          <w:lang w:val="en-US" w:eastAsia="en-US" w:bidi="en-US"/>
        </w:rPr>
        <w:t xml:space="preserve">politicize, </w:t>
      </w:r>
      <w:r>
        <w:rPr>
          <w:i/>
          <w:iCs/>
          <w:sz w:val="50"/>
          <w:szCs w:val="50"/>
        </w:rPr>
        <w:t>hospodářské</w:t>
      </w:r>
    </w:p>
    <w:p w:rsidR="00500724" w:rsidRDefault="00F30FB8">
      <w:pPr>
        <w:pStyle w:val="Zkladntext40"/>
        <w:shd w:val="clear" w:color="auto" w:fill="auto"/>
        <w:spacing w:after="40" w:line="202" w:lineRule="auto"/>
        <w:ind w:left="280" w:right="1000" w:hanging="280"/>
        <w:jc w:val="left"/>
        <w:rPr>
          <w:sz w:val="16"/>
          <w:szCs w:val="16"/>
        </w:rPr>
      </w:pPr>
      <w:r>
        <w:rPr>
          <w:b/>
          <w:bCs/>
          <w:sz w:val="16"/>
          <w:szCs w:val="16"/>
        </w:rPr>
        <w:t>BROŽ. Rudolf Dr., Hospodářské příčiny naší pohromy. 21x15 cm, 74 str,,</w:t>
      </w:r>
    </w:p>
    <w:p w:rsidR="00500724" w:rsidRDefault="00F30FB8">
      <w:pPr>
        <w:pStyle w:val="Zkladntext40"/>
        <w:shd w:val="clear" w:color="auto" w:fill="auto"/>
        <w:spacing w:after="120" w:line="194" w:lineRule="auto"/>
        <w:ind w:left="280" w:hanging="280"/>
        <w:rPr>
          <w:sz w:val="16"/>
          <w:szCs w:val="16"/>
        </w:rPr>
      </w:pPr>
      <w:r>
        <w:rPr>
          <w:b/>
          <w:bCs/>
          <w:sz w:val="16"/>
          <w:szCs w:val="16"/>
          <w:lang w:val="en-US" w:eastAsia="en-US" w:bidi="en-US"/>
        </w:rPr>
        <w:t xml:space="preserve">JAMESON </w:t>
      </w:r>
      <w:r>
        <w:rPr>
          <w:b/>
          <w:bCs/>
          <w:sz w:val="16"/>
          <w:szCs w:val="16"/>
        </w:rPr>
        <w:t>E. A., Miliony z ničeho. Jak vzni</w:t>
      </w:r>
      <w:r>
        <w:rPr>
          <w:b/>
          <w:bCs/>
          <w:sz w:val="16"/>
          <w:szCs w:val="16"/>
        </w:rPr>
        <w:softHyphen/>
        <w:t>kají a rostou. 23x15 cm, 223 str.,</w:t>
      </w:r>
    </w:p>
    <w:p w:rsidR="00500724" w:rsidRDefault="00F30FB8">
      <w:pPr>
        <w:pStyle w:val="Zkladntext40"/>
        <w:shd w:val="clear" w:color="auto" w:fill="auto"/>
        <w:spacing w:after="100" w:line="187" w:lineRule="auto"/>
        <w:ind w:left="280" w:hanging="280"/>
        <w:rPr>
          <w:sz w:val="16"/>
          <w:szCs w:val="16"/>
        </w:rPr>
      </w:pPr>
      <w:r>
        <w:rPr>
          <w:b/>
          <w:bCs/>
          <w:sz w:val="16"/>
          <w:szCs w:val="16"/>
          <w:lang w:val="en-US" w:eastAsia="en-US" w:bidi="en-US"/>
        </w:rPr>
        <w:t xml:space="preserve">MILER </w:t>
      </w:r>
      <w:r>
        <w:rPr>
          <w:b/>
          <w:bCs/>
          <w:sz w:val="16"/>
          <w:szCs w:val="16"/>
        </w:rPr>
        <w:t>Josef JUDr., Nové selské právo ně</w:t>
      </w:r>
      <w:r>
        <w:rPr>
          <w:b/>
          <w:bCs/>
          <w:sz w:val="16"/>
          <w:szCs w:val="16"/>
        </w:rPr>
        <w:softHyphen/>
        <w:t>mecké. 21x13 cm, 185 st.,</w:t>
      </w:r>
    </w:p>
    <w:p w:rsidR="00500724" w:rsidRDefault="00F30FB8">
      <w:pPr>
        <w:pStyle w:val="Zkladntext40"/>
        <w:shd w:val="clear" w:color="auto" w:fill="auto"/>
        <w:spacing w:after="100" w:line="194" w:lineRule="auto"/>
        <w:ind w:left="280" w:hanging="280"/>
        <w:rPr>
          <w:sz w:val="16"/>
          <w:szCs w:val="16"/>
        </w:rPr>
      </w:pPr>
      <w:r>
        <w:rPr>
          <w:b/>
          <w:bCs/>
          <w:sz w:val="16"/>
          <w:szCs w:val="16"/>
        </w:rPr>
        <w:t>NEBESÁR Jaroslav, Úspory a investice. 21krát 14 cm, 204 str.,</w:t>
      </w:r>
    </w:p>
    <w:p w:rsidR="00500724" w:rsidRDefault="00F30FB8">
      <w:pPr>
        <w:pStyle w:val="Zkladntext40"/>
        <w:shd w:val="clear" w:color="auto" w:fill="auto"/>
        <w:spacing w:after="0" w:line="202" w:lineRule="auto"/>
        <w:ind w:left="280" w:hanging="280"/>
        <w:rPr>
          <w:sz w:val="16"/>
          <w:szCs w:val="16"/>
        </w:rPr>
      </w:pPr>
      <w:r>
        <w:rPr>
          <w:b/>
          <w:bCs/>
          <w:sz w:val="16"/>
          <w:szCs w:val="16"/>
        </w:rPr>
        <w:t>ŠTAFL Adolf JUDr., Rádné 1 mimořádné opravné prostředky v řízeni správním.</w:t>
      </w:r>
    </w:p>
    <w:p w:rsidR="00500724" w:rsidRDefault="00F30FB8">
      <w:pPr>
        <w:pStyle w:val="Zkladntext40"/>
        <w:shd w:val="clear" w:color="auto" w:fill="auto"/>
        <w:spacing w:after="120" w:line="202" w:lineRule="auto"/>
        <w:ind w:left="280" w:firstLine="20"/>
        <w:jc w:val="left"/>
        <w:rPr>
          <w:sz w:val="16"/>
          <w:szCs w:val="16"/>
        </w:rPr>
      </w:pPr>
      <w:r>
        <w:rPr>
          <w:b/>
          <w:bCs/>
          <w:sz w:val="16"/>
          <w:szCs w:val="16"/>
        </w:rPr>
        <w:t>21.5X15 cm, 115 str.,</w:t>
      </w:r>
    </w:p>
    <w:p w:rsidR="00500724" w:rsidRDefault="00F30FB8">
      <w:pPr>
        <w:pStyle w:val="Zkladntext40"/>
        <w:shd w:val="clear" w:color="auto" w:fill="auto"/>
        <w:spacing w:after="40" w:line="194" w:lineRule="auto"/>
        <w:ind w:left="280" w:hanging="280"/>
        <w:rPr>
          <w:sz w:val="16"/>
          <w:szCs w:val="16"/>
        </w:rPr>
      </w:pPr>
      <w:r>
        <w:rPr>
          <w:b/>
          <w:bCs/>
          <w:sz w:val="16"/>
          <w:szCs w:val="16"/>
          <w:lang w:val="en-US" w:eastAsia="en-US" w:bidi="en-US"/>
        </w:rPr>
        <w:t>BYRON Gordon, Give yourself a chance! The seven steps to success. 22x14.5 cm, 348 str.</w:t>
      </w:r>
    </w:p>
    <w:p w:rsidR="00500724" w:rsidRDefault="00F30FB8">
      <w:pPr>
        <w:pStyle w:val="Zkladntext40"/>
        <w:shd w:val="clear" w:color="auto" w:fill="auto"/>
        <w:spacing w:after="40" w:line="202" w:lineRule="auto"/>
        <w:ind w:left="280" w:hanging="280"/>
        <w:rPr>
          <w:sz w:val="16"/>
          <w:szCs w:val="16"/>
        </w:rPr>
      </w:pPr>
      <w:r>
        <w:rPr>
          <w:b/>
          <w:bCs/>
          <w:sz w:val="16"/>
          <w:szCs w:val="16"/>
          <w:lang w:val="en-US" w:eastAsia="en-US" w:bidi="en-US"/>
        </w:rPr>
        <w:t xml:space="preserve">EINZIG </w:t>
      </w:r>
      <w:r>
        <w:rPr>
          <w:b/>
          <w:bCs/>
          <w:sz w:val="16"/>
          <w:szCs w:val="16"/>
          <w:lang w:val="en-US" w:eastAsia="en-US" w:bidi="en-US"/>
        </w:rPr>
        <w:t>Paul, Economic Problems of the Next War. 22x14 cm, 146 str.,</w:t>
      </w:r>
    </w:p>
    <w:p w:rsidR="00500724" w:rsidRDefault="00F30FB8">
      <w:pPr>
        <w:pStyle w:val="Zkladntext40"/>
        <w:shd w:val="clear" w:color="auto" w:fill="auto"/>
        <w:spacing w:after="0" w:line="194" w:lineRule="auto"/>
        <w:ind w:left="280" w:hanging="280"/>
        <w:rPr>
          <w:sz w:val="16"/>
          <w:szCs w:val="16"/>
        </w:rPr>
      </w:pPr>
      <w:r>
        <w:rPr>
          <w:b/>
          <w:bCs/>
          <w:sz w:val="16"/>
          <w:szCs w:val="16"/>
          <w:lang w:val="en-US" w:eastAsia="en-US" w:bidi="en-US"/>
        </w:rPr>
        <w:t>CARCOPINO Jerome, La vie uuotidicnne A Ro</w:t>
      </w:r>
      <w:r>
        <w:rPr>
          <w:b/>
          <w:bCs/>
          <w:sz w:val="16"/>
          <w:szCs w:val="16"/>
          <w:lang w:val="en-US" w:eastAsia="en-US" w:bidi="en-US"/>
        </w:rPr>
        <w:softHyphen/>
        <w:t xml:space="preserve">me </w:t>
      </w:r>
      <w:r>
        <w:rPr>
          <w:b/>
          <w:bCs/>
          <w:sz w:val="16"/>
          <w:szCs w:val="16"/>
        </w:rPr>
        <w:t xml:space="preserve">á J’aposée </w:t>
      </w:r>
      <w:r>
        <w:rPr>
          <w:b/>
          <w:bCs/>
          <w:sz w:val="16"/>
          <w:szCs w:val="16"/>
          <w:lang w:val="en-US" w:eastAsia="en-US" w:bidi="en-US"/>
        </w:rPr>
        <w:t>de 1'Empire. 20.5x13 cm,</w:t>
      </w:r>
    </w:p>
    <w:p w:rsidR="00500724" w:rsidRDefault="00F30FB8">
      <w:pPr>
        <w:pStyle w:val="Zkladntext40"/>
        <w:shd w:val="clear" w:color="auto" w:fill="auto"/>
        <w:spacing w:after="40" w:line="194" w:lineRule="auto"/>
        <w:ind w:left="280" w:firstLine="20"/>
        <w:jc w:val="left"/>
        <w:rPr>
          <w:sz w:val="16"/>
          <w:szCs w:val="16"/>
        </w:rPr>
      </w:pPr>
      <w:r>
        <w:rPr>
          <w:b/>
          <w:bCs/>
          <w:sz w:val="16"/>
          <w:szCs w:val="16"/>
          <w:lang w:val="en-US" w:eastAsia="en-US" w:bidi="en-US"/>
        </w:rPr>
        <w:t xml:space="preserve">348 </w:t>
      </w:r>
      <w:r>
        <w:rPr>
          <w:b/>
          <w:bCs/>
          <w:sz w:val="16"/>
          <w:szCs w:val="16"/>
        </w:rPr>
        <w:t>stran,</w:t>
      </w:r>
    </w:p>
    <w:p w:rsidR="00500724" w:rsidRDefault="00F30FB8">
      <w:pPr>
        <w:pStyle w:val="Zkladntext40"/>
        <w:shd w:val="clear" w:color="auto" w:fill="auto"/>
        <w:spacing w:after="40" w:line="182" w:lineRule="auto"/>
        <w:ind w:left="280" w:hanging="280"/>
        <w:rPr>
          <w:sz w:val="16"/>
          <w:szCs w:val="16"/>
        </w:rPr>
      </w:pPr>
      <w:r>
        <w:rPr>
          <w:b/>
          <w:bCs/>
          <w:sz w:val="16"/>
          <w:szCs w:val="16"/>
          <w:lang w:val="en-US" w:eastAsia="en-US" w:bidi="en-US"/>
        </w:rPr>
        <w:t>CARDUPUY Gaston, Don Carlos. La guerre civile en Espagne (1833—1840). 23X14.5 cm,</w:t>
      </w:r>
    </w:p>
    <w:p w:rsidR="00500724" w:rsidRDefault="00F30FB8">
      <w:pPr>
        <w:pStyle w:val="Zkladntext40"/>
        <w:shd w:val="clear" w:color="auto" w:fill="auto"/>
        <w:spacing w:after="40" w:line="194" w:lineRule="auto"/>
        <w:ind w:left="280" w:firstLine="20"/>
        <w:jc w:val="left"/>
        <w:rPr>
          <w:sz w:val="16"/>
          <w:szCs w:val="16"/>
        </w:rPr>
      </w:pPr>
      <w:r>
        <w:rPr>
          <w:b/>
          <w:bCs/>
          <w:sz w:val="16"/>
          <w:szCs w:val="16"/>
          <w:lang w:val="en-US" w:eastAsia="en-US" w:bidi="en-US"/>
        </w:rPr>
        <w:t xml:space="preserve">221 </w:t>
      </w:r>
      <w:r>
        <w:rPr>
          <w:b/>
          <w:bCs/>
          <w:sz w:val="16"/>
          <w:szCs w:val="16"/>
        </w:rPr>
        <w:t>stran,</w:t>
      </w:r>
    </w:p>
    <w:p w:rsidR="00500724" w:rsidRDefault="00F30FB8">
      <w:pPr>
        <w:pStyle w:val="Zkladntext40"/>
        <w:shd w:val="clear" w:color="auto" w:fill="auto"/>
        <w:spacing w:after="40" w:line="202" w:lineRule="auto"/>
        <w:ind w:left="280" w:hanging="280"/>
        <w:rPr>
          <w:sz w:val="16"/>
          <w:szCs w:val="16"/>
        </w:rPr>
      </w:pPr>
      <w:r>
        <w:rPr>
          <w:b/>
          <w:bCs/>
          <w:sz w:val="16"/>
          <w:szCs w:val="16"/>
          <w:lang w:val="en-US" w:eastAsia="en-US" w:bidi="en-US"/>
        </w:rPr>
        <w:t>MONTIGNY J</w:t>
      </w:r>
      <w:r>
        <w:rPr>
          <w:b/>
          <w:bCs/>
          <w:sz w:val="16"/>
          <w:szCs w:val="16"/>
          <w:lang w:val="en-US" w:eastAsia="en-US" w:bidi="en-US"/>
        </w:rPr>
        <w:t xml:space="preserve">ean, Prance, </w:t>
      </w:r>
      <w:r>
        <w:rPr>
          <w:b/>
          <w:bCs/>
          <w:sz w:val="16"/>
          <w:szCs w:val="16"/>
        </w:rPr>
        <w:t xml:space="preserve">liběre-toi! </w:t>
      </w:r>
      <w:r>
        <w:rPr>
          <w:b/>
          <w:bCs/>
          <w:sz w:val="16"/>
          <w:szCs w:val="16"/>
          <w:lang w:val="en-US" w:eastAsia="en-US" w:bidi="en-US"/>
        </w:rPr>
        <w:t xml:space="preserve">22.5krat 14 cm, 315 </w:t>
      </w:r>
      <w:r>
        <w:rPr>
          <w:b/>
          <w:bCs/>
          <w:sz w:val="16"/>
          <w:szCs w:val="16"/>
        </w:rPr>
        <w:t>stran,</w:t>
      </w:r>
    </w:p>
    <w:p w:rsidR="00500724" w:rsidRDefault="00F30FB8">
      <w:pPr>
        <w:pStyle w:val="Zkladntext40"/>
        <w:shd w:val="clear" w:color="auto" w:fill="auto"/>
        <w:spacing w:after="0" w:line="194" w:lineRule="auto"/>
        <w:ind w:left="280" w:hanging="280"/>
        <w:rPr>
          <w:sz w:val="16"/>
          <w:szCs w:val="16"/>
        </w:rPr>
      </w:pPr>
      <w:r>
        <w:rPr>
          <w:b/>
          <w:bCs/>
          <w:sz w:val="16"/>
          <w:szCs w:val="16"/>
          <w:lang w:val="en-US" w:eastAsia="en-US" w:bidi="en-US"/>
        </w:rPr>
        <w:t>DISTELBARTH Paul, Neues Werden In Prank- relch. Zeugnisse fiihrender Franzosen.</w:t>
      </w:r>
    </w:p>
    <w:p w:rsidR="00500724" w:rsidRDefault="00F30FB8">
      <w:pPr>
        <w:pStyle w:val="Zkladntext40"/>
        <w:shd w:val="clear" w:color="auto" w:fill="auto"/>
        <w:spacing w:after="40" w:line="194" w:lineRule="auto"/>
        <w:ind w:left="280" w:firstLine="20"/>
        <w:jc w:val="left"/>
        <w:rPr>
          <w:sz w:val="16"/>
          <w:szCs w:val="16"/>
        </w:rPr>
      </w:pPr>
      <w:r>
        <w:rPr>
          <w:b/>
          <w:bCs/>
          <w:sz w:val="16"/>
          <w:szCs w:val="16"/>
          <w:lang w:val="en-US" w:eastAsia="en-US" w:bidi="en-US"/>
        </w:rPr>
        <w:t xml:space="preserve">22x14 em, 394 </w:t>
      </w:r>
      <w:r>
        <w:rPr>
          <w:b/>
          <w:bCs/>
          <w:sz w:val="16"/>
          <w:szCs w:val="16"/>
        </w:rPr>
        <w:t>stran,</w:t>
      </w:r>
    </w:p>
    <w:p w:rsidR="00500724" w:rsidRDefault="00F30FB8">
      <w:pPr>
        <w:pStyle w:val="Zkladntext40"/>
        <w:shd w:val="clear" w:color="auto" w:fill="auto"/>
        <w:spacing w:after="480" w:line="197" w:lineRule="auto"/>
        <w:ind w:left="280" w:hanging="280"/>
        <w:rPr>
          <w:sz w:val="16"/>
          <w:szCs w:val="16"/>
        </w:rPr>
      </w:pPr>
      <w:r>
        <w:rPr>
          <w:b/>
          <w:bCs/>
          <w:sz w:val="16"/>
          <w:szCs w:val="16"/>
          <w:lang w:val="en-US" w:eastAsia="en-US" w:bidi="en-US"/>
        </w:rPr>
        <w:t xml:space="preserve">INGENLEUF Peter Dr., </w:t>
      </w:r>
      <w:r>
        <w:rPr>
          <w:b/>
          <w:bCs/>
          <w:sz w:val="16"/>
          <w:szCs w:val="16"/>
        </w:rPr>
        <w:t xml:space="preserve">Probléme </w:t>
      </w:r>
      <w:r>
        <w:rPr>
          <w:b/>
          <w:bCs/>
          <w:sz w:val="16"/>
          <w:szCs w:val="16"/>
          <w:lang w:val="en-US" w:eastAsia="en-US" w:bidi="en-US"/>
        </w:rPr>
        <w:t xml:space="preserve">der Ratlo- nalisierung im Rahmen nationalsozialisti- stischer Wlrtschaftsauffassnng. 23X15.5 cm, 73 </w:t>
      </w:r>
      <w:r>
        <w:rPr>
          <w:b/>
          <w:bCs/>
          <w:sz w:val="16"/>
          <w:szCs w:val="16"/>
        </w:rPr>
        <w:t>stran,</w:t>
      </w:r>
    </w:p>
    <w:p w:rsidR="00500724" w:rsidRDefault="00F30FB8">
      <w:pPr>
        <w:pStyle w:val="Zkladntext50"/>
        <w:shd w:val="clear" w:color="auto" w:fill="auto"/>
        <w:spacing w:after="480" w:line="204" w:lineRule="auto"/>
        <w:ind w:left="280" w:hanging="280"/>
        <w:jc w:val="left"/>
        <w:rPr>
          <w:sz w:val="18"/>
          <w:szCs w:val="18"/>
        </w:rPr>
      </w:pPr>
      <w:r>
        <w:rPr>
          <w:b/>
          <w:bCs/>
          <w:sz w:val="32"/>
          <w:szCs w:val="32"/>
          <w:lang w:val="en-US" w:eastAsia="en-US" w:bidi="en-US"/>
        </w:rPr>
        <w:t xml:space="preserve">Fr. </w:t>
      </w:r>
      <w:r>
        <w:rPr>
          <w:b/>
          <w:bCs/>
          <w:sz w:val="32"/>
          <w:szCs w:val="32"/>
        </w:rPr>
        <w:t xml:space="preserve">Borový, </w:t>
      </w:r>
      <w:r>
        <w:rPr>
          <w:sz w:val="18"/>
          <w:szCs w:val="18"/>
        </w:rPr>
        <w:t xml:space="preserve">akademické kníhkupecfvo, </w:t>
      </w:r>
      <w:r>
        <w:rPr>
          <w:sz w:val="18"/>
          <w:szCs w:val="18"/>
          <w:lang w:val="en-US" w:eastAsia="en-US" w:bidi="en-US"/>
        </w:rPr>
        <w:t xml:space="preserve">Bratislava, </w:t>
      </w:r>
      <w:r>
        <w:rPr>
          <w:sz w:val="18"/>
          <w:szCs w:val="18"/>
        </w:rPr>
        <w:t xml:space="preserve">Dunajská </w:t>
      </w:r>
      <w:r>
        <w:rPr>
          <w:sz w:val="18"/>
          <w:szCs w:val="18"/>
          <w:lang w:val="en-US" w:eastAsia="en-US" w:bidi="en-US"/>
        </w:rPr>
        <w:t>21</w:t>
      </w:r>
    </w:p>
    <w:p w:rsidR="00500724" w:rsidRDefault="00F30FB8">
      <w:pPr>
        <w:pStyle w:val="Jin0"/>
        <w:shd w:val="clear" w:color="auto" w:fill="auto"/>
        <w:ind w:left="620" w:firstLine="0"/>
        <w:jc w:val="left"/>
        <w:rPr>
          <w:sz w:val="32"/>
          <w:szCs w:val="32"/>
        </w:rPr>
      </w:pPr>
      <w:r>
        <w:rPr>
          <w:sz w:val="30"/>
          <w:szCs w:val="30"/>
        </w:rPr>
        <w:t xml:space="preserve">Čtěte </w:t>
      </w:r>
      <w:r>
        <w:rPr>
          <w:rFonts w:ascii="Cambria" w:eastAsia="Cambria" w:hAnsi="Cambria" w:cs="Cambria"/>
          <w:b/>
          <w:bCs/>
          <w:i/>
          <w:iCs/>
          <w:sz w:val="32"/>
          <w:szCs w:val="32"/>
        </w:rPr>
        <w:t>UDOVt NOVINY</w:t>
      </w:r>
    </w:p>
    <w:p w:rsidR="00500724" w:rsidRDefault="00F30FB8">
      <w:pPr>
        <w:spacing w:line="1" w:lineRule="exact"/>
        <w:rPr>
          <w:sz w:val="2"/>
          <w:szCs w:val="2"/>
        </w:rPr>
      </w:pPr>
      <w:r>
        <w:br w:type="column"/>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120"/>
        <w:jc w:val="center"/>
      </w:pPr>
      <w:bookmarkStart w:id="208" w:name="bookmark207"/>
      <w:r>
        <w:rPr>
          <w:color w:val="FFFFFF"/>
        </w:rPr>
        <w:t>ODBORNÍ LEKARl</w:t>
      </w:r>
      <w:bookmarkEnd w:id="208"/>
    </w:p>
    <w:p w:rsidR="00500724" w:rsidRDefault="00F30FB8">
      <w:pPr>
        <w:pStyle w:val="Zkladntext1"/>
        <w:shd w:val="clear" w:color="auto" w:fill="auto"/>
        <w:tabs>
          <w:tab w:val="left" w:pos="1747"/>
        </w:tabs>
        <w:ind w:firstLine="0"/>
      </w:pPr>
      <w:r>
        <w:rPr>
          <w:rFonts w:ascii="Arial" w:eastAsia="Arial" w:hAnsi="Arial" w:cs="Arial"/>
          <w:b/>
          <w:bCs/>
          <w:sz w:val="26"/>
          <w:szCs w:val="26"/>
          <w:lang w:val="en-US" w:eastAsia="en-US" w:bidi="en-US"/>
        </w:rPr>
        <w:t>Ulin.</w:t>
      </w:r>
      <w:r>
        <w:rPr>
          <w:rFonts w:ascii="Arial" w:eastAsia="Arial" w:hAnsi="Arial" w:cs="Arial"/>
          <w:b/>
          <w:bCs/>
          <w:sz w:val="26"/>
          <w:szCs w:val="26"/>
          <w:lang w:val="en-US" w:eastAsia="en-US" w:bidi="en-US"/>
        </w:rPr>
        <w:tab/>
      </w:r>
      <w:r>
        <w:rPr>
          <w:b/>
          <w:bCs/>
        </w:rPr>
        <w:t>odborný lékař pro žaludeční a</w:t>
      </w:r>
    </w:p>
    <w:p w:rsidR="00500724" w:rsidRDefault="00F30FB8">
      <w:pPr>
        <w:pStyle w:val="Zkladntext1"/>
        <w:shd w:val="clear" w:color="auto" w:fill="auto"/>
        <w:spacing w:line="180" w:lineRule="auto"/>
        <w:ind w:firstLine="0"/>
        <w:rPr>
          <w:sz w:val="18"/>
          <w:szCs w:val="18"/>
        </w:rPr>
      </w:pPr>
      <w:r>
        <w:rPr>
          <w:b/>
          <w:bCs/>
          <w:sz w:val="18"/>
          <w:szCs w:val="18"/>
        </w:rPr>
        <w:t xml:space="preserve">mUUP. rranKl </w:t>
      </w:r>
      <w:r>
        <w:rPr>
          <w:b/>
          <w:bCs/>
          <w:sz w:val="18"/>
          <w:szCs w:val="18"/>
        </w:rPr>
        <w:t>střevní nemoei a roentgenologU.</w:t>
      </w:r>
    </w:p>
    <w:p w:rsidR="00500724" w:rsidRDefault="00F30FB8">
      <w:pPr>
        <w:pStyle w:val="Zkladntext1"/>
        <w:shd w:val="clear" w:color="auto" w:fill="auto"/>
        <w:spacing w:line="182" w:lineRule="auto"/>
        <w:ind w:firstLine="0"/>
        <w:jc w:val="right"/>
      </w:pPr>
      <w:r>
        <w:rPr>
          <w:b/>
          <w:bCs/>
        </w:rPr>
        <w:t>PRAHA IL, NEKAZANKA 4, H. patro. Ord. 9—10, 3—4.</w:t>
      </w:r>
    </w:p>
    <w:p w:rsidR="00500724" w:rsidRDefault="00F30FB8">
      <w:pPr>
        <w:pStyle w:val="Zkladntext1"/>
        <w:pBdr>
          <w:bottom w:val="single" w:sz="4" w:space="0" w:color="auto"/>
        </w:pBdr>
        <w:shd w:val="clear" w:color="auto" w:fill="auto"/>
        <w:spacing w:after="180" w:line="180" w:lineRule="auto"/>
        <w:ind w:left="2580" w:firstLine="0"/>
        <w:jc w:val="left"/>
      </w:pPr>
      <w:r>
        <w:rPr>
          <w:b/>
          <w:bCs/>
        </w:rPr>
        <w:t>Telefon 234-13.</w:t>
      </w:r>
    </w:p>
    <w:p w:rsidR="00500724" w:rsidRDefault="00F30FB8">
      <w:pPr>
        <w:pStyle w:val="Zkladntext1"/>
        <w:shd w:val="clear" w:color="auto" w:fill="auto"/>
        <w:spacing w:after="120" w:line="180" w:lineRule="auto"/>
        <w:ind w:firstLine="0"/>
        <w:rPr>
          <w:sz w:val="18"/>
          <w:szCs w:val="18"/>
        </w:rPr>
      </w:pPr>
      <w:r>
        <w:rPr>
          <w:sz w:val="18"/>
          <w:szCs w:val="18"/>
        </w:rPr>
        <w:t xml:space="preserve">odborný lékař pro choroby vnitřní, žaludeční, střevní </w:t>
      </w:r>
      <w:r>
        <w:rPr>
          <w:rFonts w:ascii="Arial" w:eastAsia="Arial" w:hAnsi="Arial" w:cs="Arial"/>
          <w:b/>
          <w:bCs/>
          <w:sz w:val="22"/>
          <w:szCs w:val="22"/>
        </w:rPr>
        <w:t xml:space="preserve">a </w:t>
      </w:r>
      <w:r>
        <w:rPr>
          <w:sz w:val="18"/>
          <w:szCs w:val="18"/>
        </w:rPr>
        <w:t xml:space="preserve">výměny látek, em. </w:t>
      </w:r>
      <w:r>
        <w:rPr>
          <w:sz w:val="18"/>
          <w:szCs w:val="18"/>
          <w:lang w:val="en-US" w:eastAsia="en-US" w:bidi="en-US"/>
        </w:rPr>
        <w:t xml:space="preserve">esistent </w:t>
      </w:r>
      <w:r>
        <w:rPr>
          <w:sz w:val="18"/>
          <w:szCs w:val="18"/>
        </w:rPr>
        <w:t xml:space="preserve">I. med. kliniky </w:t>
      </w:r>
      <w:r>
        <w:rPr>
          <w:sz w:val="18"/>
          <w:szCs w:val="18"/>
          <w:lang w:val="en-US" w:eastAsia="en-US" w:bidi="en-US"/>
        </w:rPr>
        <w:t xml:space="preserve">prof. </w:t>
      </w:r>
      <w:r>
        <w:rPr>
          <w:sz w:val="18"/>
          <w:szCs w:val="18"/>
        </w:rPr>
        <w:t xml:space="preserve">Schmidta. </w:t>
      </w:r>
      <w:r>
        <w:rPr>
          <w:b/>
          <w:bCs/>
          <w:sz w:val="16"/>
          <w:szCs w:val="16"/>
        </w:rPr>
        <w:t xml:space="preserve">PRAHA L, Na Příkopech </w:t>
      </w:r>
      <w:r>
        <w:rPr>
          <w:sz w:val="18"/>
          <w:szCs w:val="18"/>
        </w:rPr>
        <w:t>35. Ord. 9-10, %3-’A5.</w:t>
      </w:r>
      <w:r>
        <w:rPr>
          <w:sz w:val="18"/>
          <w:szCs w:val="18"/>
        </w:rPr>
        <w:t xml:space="preserve"> Telef. 228-91.</w:t>
      </w:r>
    </w:p>
    <w:p w:rsidR="00500724" w:rsidRDefault="00F30FB8">
      <w:pPr>
        <w:pStyle w:val="Nadpis110"/>
        <w:pBdr>
          <w:top w:val="single" w:sz="4" w:space="0" w:color="auto"/>
        </w:pBdr>
        <w:shd w:val="clear" w:color="auto" w:fill="auto"/>
        <w:jc w:val="both"/>
      </w:pPr>
      <w:bookmarkStart w:id="209" w:name="bookmark208"/>
      <w:r>
        <w:t>MUDr. ZDENKA NEDVĚDOVÁ-NEJEDLÁ</w:t>
      </w:r>
      <w:bookmarkEnd w:id="209"/>
    </w:p>
    <w:p w:rsidR="00500724" w:rsidRDefault="00F30FB8">
      <w:pPr>
        <w:pStyle w:val="Zkladntext1"/>
        <w:shd w:val="clear" w:color="auto" w:fill="auto"/>
        <w:spacing w:after="120" w:line="178" w:lineRule="auto"/>
        <w:ind w:firstLine="0"/>
        <w:rPr>
          <w:sz w:val="18"/>
          <w:szCs w:val="18"/>
        </w:rPr>
      </w:pPr>
      <w:r>
        <w:rPr>
          <w:sz w:val="18"/>
          <w:szCs w:val="18"/>
        </w:rPr>
        <w:t xml:space="preserve">odb. dětská lékařka, PODOLÍ, PANKRÁCKÁ 14 (stanice elektr. </w:t>
      </w:r>
      <w:r>
        <w:rPr>
          <w:sz w:val="18"/>
          <w:szCs w:val="18"/>
          <w:u w:val="single"/>
        </w:rPr>
        <w:t>dráhy za Podol, sanatoriem). Ord. 9—10 a 2—4. Tel. 441-77.</w:t>
      </w:r>
    </w:p>
    <w:p w:rsidR="00500724" w:rsidRDefault="00F30FB8">
      <w:pPr>
        <w:pStyle w:val="Zkladntext1"/>
        <w:shd w:val="clear" w:color="auto" w:fill="auto"/>
        <w:spacing w:after="180" w:line="192" w:lineRule="auto"/>
        <w:ind w:firstLine="0"/>
        <w:rPr>
          <w:sz w:val="18"/>
          <w:szCs w:val="18"/>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ord. 3—4 (a podle úmluvy). Telefon 393-79. PRA</w:t>
      </w:r>
      <w:r>
        <w:rPr>
          <w:sz w:val="18"/>
          <w:szCs w:val="18"/>
        </w:rPr>
        <w:t>HA H., VO</w:t>
      </w:r>
      <w:r>
        <w:rPr>
          <w:sz w:val="18"/>
          <w:szCs w:val="18"/>
        </w:rPr>
        <w:softHyphen/>
        <w:t>DIČKOVA 16. (Hlávkův palác.)</w:t>
      </w:r>
    </w:p>
    <w:p w:rsidR="00500724" w:rsidRDefault="00F30FB8">
      <w:pPr>
        <w:pStyle w:val="Zkladntext1"/>
        <w:shd w:val="clear" w:color="auto" w:fill="auto"/>
        <w:spacing w:line="139" w:lineRule="auto"/>
        <w:ind w:firstLine="0"/>
        <w:rPr>
          <w:sz w:val="18"/>
          <w:szCs w:val="18"/>
        </w:rPr>
      </w:pPr>
      <w:r>
        <w:rPr>
          <w:sz w:val="18"/>
          <w:szCs w:val="18"/>
        </w:rPr>
        <w:t xml:space="preserve">Odborný lékař pro porod- </w:t>
      </w:r>
      <w:r>
        <w:rPr>
          <w:rFonts w:ascii="Arial" w:eastAsia="Arial" w:hAnsi="Arial" w:cs="Arial"/>
          <w:b/>
          <w:bCs/>
          <w:sz w:val="22"/>
          <w:szCs w:val="22"/>
        </w:rPr>
        <w:t xml:space="preserve">MUDr. K. STEINBACH </w:t>
      </w:r>
      <w:r>
        <w:rPr>
          <w:sz w:val="18"/>
          <w:szCs w:val="18"/>
        </w:rPr>
        <w:t>nictví a pro nemoci zen</w:t>
      </w:r>
    </w:p>
    <w:p w:rsidR="00500724" w:rsidRDefault="00F30FB8">
      <w:pPr>
        <w:pStyle w:val="Zkladntext1"/>
        <w:shd w:val="clear" w:color="auto" w:fill="auto"/>
        <w:spacing w:after="180" w:line="168" w:lineRule="auto"/>
        <w:ind w:firstLine="0"/>
        <w:rPr>
          <w:sz w:val="18"/>
          <w:szCs w:val="18"/>
        </w:rPr>
      </w:pPr>
      <w:r>
        <w:rPr>
          <w:sz w:val="18"/>
          <w:szCs w:val="18"/>
          <w:u w:val="single"/>
        </w:rPr>
        <w:t>PRAHA H., Havlíčkovo nám 22. Ord. 9—11. 2—4. Tel. 270-13.</w:t>
      </w:r>
    </w:p>
    <w:p w:rsidR="00500724" w:rsidRDefault="00F30FB8">
      <w:pPr>
        <w:pStyle w:val="Nadpis110"/>
        <w:shd w:val="clear" w:color="auto" w:fill="auto"/>
        <w:jc w:val="both"/>
      </w:pPr>
      <w:bookmarkStart w:id="210" w:name="bookmark209"/>
      <w:r>
        <w:t>MUDr. EMIL VOGL</w:t>
      </w:r>
      <w:bookmarkEnd w:id="210"/>
    </w:p>
    <w:p w:rsidR="00500724" w:rsidRDefault="00F30FB8">
      <w:pPr>
        <w:pStyle w:val="Zkladntext1"/>
        <w:shd w:val="clear" w:color="auto" w:fill="auto"/>
        <w:spacing w:after="360" w:line="178" w:lineRule="auto"/>
        <w:ind w:firstLine="0"/>
        <w:rPr>
          <w:sz w:val="18"/>
          <w:szCs w:val="18"/>
        </w:rPr>
      </w:pPr>
      <w:r>
        <w:rPr>
          <w:sz w:val="18"/>
          <w:szCs w:val="18"/>
        </w:rPr>
        <w:t xml:space="preserve">odborný lékař pro nemoci vnitřní, Praha </w:t>
      </w:r>
      <w:r>
        <w:rPr>
          <w:rFonts w:ascii="Arial" w:eastAsia="Arial" w:hAnsi="Arial" w:cs="Arial"/>
          <w:b/>
          <w:bCs/>
          <w:sz w:val="22"/>
          <w:szCs w:val="22"/>
        </w:rPr>
        <w:t xml:space="preserve">U., </w:t>
      </w:r>
      <w:r>
        <w:rPr>
          <w:sz w:val="18"/>
          <w:szCs w:val="18"/>
        </w:rPr>
        <w:t xml:space="preserve">LÚTZOWOVA </w:t>
      </w:r>
      <w:r>
        <w:rPr>
          <w:sz w:val="18"/>
          <w:szCs w:val="18"/>
          <w:u w:val="single"/>
        </w:rPr>
        <w:t xml:space="preserve">82, roh </w:t>
      </w:r>
      <w:r>
        <w:rPr>
          <w:sz w:val="18"/>
          <w:szCs w:val="18"/>
          <w:u w:val="single"/>
        </w:rPr>
        <w:t>Washingtonovy. Ord. 9—11, 2—4. Telefon 226-65.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400"/>
        <w:jc w:val="center"/>
      </w:pPr>
      <w:bookmarkStart w:id="211" w:name="bookmark210"/>
      <w:r>
        <w:rPr>
          <w:color w:val="FFFFFF"/>
        </w:rPr>
        <w:t>VAS VKUS I NÁROKY USPOKOJÍ</w:t>
      </w:r>
      <w:bookmarkEnd w:id="211"/>
    </w:p>
    <w:p w:rsidR="00500724" w:rsidRDefault="00F30FB8">
      <w:pPr>
        <w:pStyle w:val="Jin0"/>
        <w:shd w:val="clear" w:color="auto" w:fill="auto"/>
        <w:ind w:firstLine="0"/>
        <w:jc w:val="center"/>
        <w:rPr>
          <w:sz w:val="26"/>
          <w:szCs w:val="26"/>
        </w:rPr>
      </w:pPr>
      <w:r>
        <w:rPr>
          <w:rFonts w:ascii="Arial" w:eastAsia="Arial" w:hAnsi="Arial" w:cs="Arial"/>
          <w:b/>
          <w:bCs/>
          <w:sz w:val="26"/>
          <w:szCs w:val="26"/>
        </w:rPr>
        <w:t>KRAUS &amp;SPOL.</w:t>
      </w:r>
    </w:p>
    <w:p w:rsidR="00500724" w:rsidRDefault="00F30FB8">
      <w:pPr>
        <w:pStyle w:val="Nadpis110"/>
        <w:shd w:val="clear" w:color="auto" w:fill="auto"/>
        <w:jc w:val="center"/>
      </w:pPr>
      <w:bookmarkStart w:id="212" w:name="bookmark211"/>
      <w:r>
        <w:rPr>
          <w:rFonts w:ascii="Times New Roman" w:eastAsia="Times New Roman" w:hAnsi="Times New Roman" w:cs="Times New Roman"/>
        </w:rPr>
        <w:t>krejčí pro pány a dámy</w:t>
      </w:r>
      <w:bookmarkEnd w:id="212"/>
    </w:p>
    <w:p w:rsidR="00500724" w:rsidRDefault="00F30FB8">
      <w:pPr>
        <w:pStyle w:val="Zkladntext1"/>
        <w:shd w:val="clear" w:color="auto" w:fill="auto"/>
        <w:ind w:right="240" w:firstLine="0"/>
        <w:jc w:val="right"/>
        <w:rPr>
          <w:sz w:val="20"/>
          <w:szCs w:val="20"/>
        </w:rPr>
      </w:pPr>
      <w:r>
        <w:rPr>
          <w:b/>
          <w:bCs/>
          <w:sz w:val="20"/>
          <w:szCs w:val="20"/>
        </w:rPr>
        <w:t>PRAHA H.,</w:t>
      </w:r>
    </w:p>
    <w:p w:rsidR="00500724" w:rsidRDefault="00F30FB8">
      <w:pPr>
        <w:pStyle w:val="Zkladntext50"/>
        <w:pBdr>
          <w:bottom w:val="single" w:sz="4" w:space="0" w:color="auto"/>
        </w:pBdr>
        <w:shd w:val="clear" w:color="auto" w:fill="auto"/>
        <w:tabs>
          <w:tab w:val="left" w:pos="3619"/>
        </w:tabs>
        <w:spacing w:after="180" w:line="240" w:lineRule="auto"/>
        <w:ind w:left="0"/>
        <w:rPr>
          <w:sz w:val="16"/>
          <w:szCs w:val="16"/>
        </w:rPr>
        <w:sectPr w:rsidR="00500724">
          <w:footnotePr>
            <w:numFmt w:val="chicago"/>
            <w:numRestart w:val="eachPage"/>
          </w:footnotePr>
          <w:type w:val="continuous"/>
          <w:pgSz w:w="11909" w:h="16834"/>
          <w:pgMar w:top="41" w:right="1029" w:bottom="912" w:left="650" w:header="0" w:footer="3" w:gutter="0"/>
          <w:cols w:num="2" w:sep="1" w:space="100"/>
          <w:noEndnote/>
          <w:docGrid w:linePitch="360"/>
        </w:sectPr>
      </w:pPr>
      <w:r>
        <w:rPr>
          <w:b/>
          <w:bCs/>
          <w:sz w:val="16"/>
          <w:szCs w:val="16"/>
        </w:rPr>
        <w:t>Telefon 309-69</w:t>
      </w:r>
      <w:r>
        <w:rPr>
          <w:b/>
          <w:bCs/>
          <w:sz w:val="16"/>
          <w:szCs w:val="16"/>
        </w:rPr>
        <w:tab/>
        <w:t>Panská ul. 10</w: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101" w:after="101"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412" w:right="0" w:bottom="955" w:left="0" w:header="0" w:footer="3" w:gutter="0"/>
          <w:cols w:space="720"/>
          <w:noEndnote/>
          <w:docGrid w:linePitch="360"/>
        </w:sectPr>
      </w:pPr>
    </w:p>
    <w:p w:rsidR="00500724" w:rsidRDefault="00F30FB8">
      <w:pPr>
        <w:spacing w:line="14" w:lineRule="exact"/>
      </w:pPr>
      <w:r>
        <w:rPr>
          <w:noProof/>
        </w:rPr>
        <mc:AlternateContent>
          <mc:Choice Requires="wps">
            <w:drawing>
              <wp:anchor distT="0" distB="499745" distL="114300" distR="123190" simplePos="0" relativeHeight="125829580" behindDoc="0" locked="0" layoutInCell="1" allowOverlap="1">
                <wp:simplePos x="0" y="0"/>
                <wp:positionH relativeFrom="page">
                  <wp:posOffset>312420</wp:posOffset>
                </wp:positionH>
                <wp:positionV relativeFrom="paragraph">
                  <wp:posOffset>1774190</wp:posOffset>
                </wp:positionV>
                <wp:extent cx="2712720" cy="713105"/>
                <wp:effectExtent l="0" t="0" r="0" b="0"/>
                <wp:wrapSquare wrapText="bothSides"/>
                <wp:docPr id="203" name="Shape 203"/>
                <wp:cNvGraphicFramePr/>
                <a:graphic xmlns:a="http://schemas.openxmlformats.org/drawingml/2006/main">
                  <a:graphicData uri="http://schemas.microsoft.com/office/word/2010/wordprocessingShape">
                    <wps:wsp>
                      <wps:cNvSpPr txBox="1"/>
                      <wps:spPr>
                        <a:xfrm>
                          <a:off x="0" y="0"/>
                          <a:ext cx="2712720" cy="713105"/>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rPr>
                              <w:t>PfíToiímost,</w:t>
                            </w:r>
                          </w:p>
                        </w:txbxContent>
                      </wps:txbx>
                      <wps:bodyPr lIns="0" tIns="0" rIns="0" bIns="0">
                        <a:spAutoFit/>
                      </wps:bodyPr>
                    </wps:wsp>
                  </a:graphicData>
                </a:graphic>
              </wp:anchor>
            </w:drawing>
          </mc:Choice>
          <mc:Fallback>
            <w:pict>
              <v:shape id="_x0000_s1229" type="#_x0000_t202" style="position:absolute;margin-left:24.600000000000001pt;margin-top:139.69999999999999pt;width:213.59999999999999pt;height:56.149999999999999pt;z-index:-125829173;mso-wrap-distance-left:9.pt;mso-wrap-distance-right:9.6999999999999993pt;mso-wrap-distance-bottom:39.350000000000001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PfíToiímost,</w:t>
                      </w:r>
                    </w:p>
                  </w:txbxContent>
                </v:textbox>
                <w10:wrap type="square" anchorx="page"/>
              </v:shape>
            </w:pict>
          </mc:Fallback>
        </mc:AlternateContent>
      </w:r>
      <w:r>
        <w:rPr>
          <w:noProof/>
        </w:rPr>
        <mc:AlternateContent>
          <mc:Choice Requires="wps">
            <w:drawing>
              <wp:anchor distT="865505" distB="0" distL="141605" distR="114300" simplePos="0" relativeHeight="125829582" behindDoc="0" locked="0" layoutInCell="1" allowOverlap="1">
                <wp:simplePos x="0" y="0"/>
                <wp:positionH relativeFrom="page">
                  <wp:posOffset>339725</wp:posOffset>
                </wp:positionH>
                <wp:positionV relativeFrom="paragraph">
                  <wp:posOffset>2639695</wp:posOffset>
                </wp:positionV>
                <wp:extent cx="2694305" cy="347345"/>
                <wp:effectExtent l="0" t="0" r="0" b="0"/>
                <wp:wrapSquare wrapText="bothSides"/>
                <wp:docPr id="205" name="Shape 205"/>
                <wp:cNvGraphicFramePr/>
                <a:graphic xmlns:a="http://schemas.openxmlformats.org/drawingml/2006/main">
                  <a:graphicData uri="http://schemas.microsoft.com/office/word/2010/wordprocessingShape">
                    <wps:wsp>
                      <wps:cNvSpPr txBox="1"/>
                      <wps:spPr>
                        <a:xfrm>
                          <a:off x="0" y="0"/>
                          <a:ext cx="2694305" cy="347345"/>
                        </a:xfrm>
                        <a:prstGeom prst="rect">
                          <a:avLst/>
                        </a:prstGeom>
                        <a:noFill/>
                      </wps:spPr>
                      <wps:txbx>
                        <w:txbxContent>
                          <w:p w:rsidR="00500724" w:rsidRDefault="00F30FB8">
                            <w:pPr>
                              <w:pStyle w:val="Jin0"/>
                              <w:shd w:val="clear" w:color="auto" w:fill="auto"/>
                              <w:ind w:firstLine="0"/>
                              <w:jc w:val="left"/>
                              <w:rPr>
                                <w:sz w:val="40"/>
                                <w:szCs w:val="40"/>
                              </w:rPr>
                            </w:pPr>
                            <w:r>
                              <w:rPr>
                                <w:sz w:val="40"/>
                                <w:szCs w:val="40"/>
                              </w:rPr>
                              <w:t>řídí Ferd. Peroutka</w:t>
                            </w:r>
                          </w:p>
                        </w:txbxContent>
                      </wps:txbx>
                      <wps:bodyPr lIns="0" tIns="0" rIns="0" bIns="0">
                        <a:spAutoFit/>
                      </wps:bodyPr>
                    </wps:wsp>
                  </a:graphicData>
                </a:graphic>
              </wp:anchor>
            </w:drawing>
          </mc:Choice>
          <mc:Fallback>
            <w:pict>
              <v:shape id="_x0000_s1231" type="#_x0000_t202" style="position:absolute;margin-left:26.75pt;margin-top:207.84999999999999pt;width:212.15000000000001pt;height:27.350000000000001pt;z-index:-125829171;mso-wrap-distance-left:11.15pt;mso-wrap-distance-top:68.150000000000006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40"/>
                          <w:szCs w:val="40"/>
                          <w:shd w:val="clear" w:color="auto" w:fill="auto"/>
                          <w:lang w:val="cs-CZ" w:eastAsia="cs-CZ" w:bidi="cs-CZ"/>
                        </w:rPr>
                        <w:t>řídí Ferd. Peroutka</w:t>
                      </w:r>
                    </w:p>
                  </w:txbxContent>
                </v:textbox>
                <w10:wrap type="square" anchorx="page"/>
              </v:shape>
            </w:pict>
          </mc:Fallback>
        </mc:AlternateContent>
      </w:r>
    </w:p>
    <w:p w:rsidR="00500724" w:rsidRDefault="00F30FB8">
      <w:pPr>
        <w:pStyle w:val="Nadpis120"/>
        <w:shd w:val="clear" w:color="auto" w:fill="auto"/>
        <w:tabs>
          <w:tab w:val="left" w:pos="3991"/>
          <w:tab w:val="left" w:pos="6578"/>
          <w:tab w:val="left" w:pos="7817"/>
        </w:tabs>
        <w:spacing w:after="660"/>
        <w:ind w:left="2460"/>
        <w:jc w:val="both"/>
      </w:pPr>
      <w:bookmarkStart w:id="213" w:name="bookmark212"/>
      <w:r>
        <w:rPr>
          <w:vertAlign w:val="superscript"/>
        </w:rPr>
        <w:t>u</w:t>
      </w:r>
      <w:r>
        <w:tab/>
      </w:r>
      <w:r>
        <w:t xml:space="preserve">t? rte i* </w:t>
      </w:r>
      <w:r>
        <w:rPr>
          <w:rFonts w:ascii="Arial" w:eastAsia="Arial" w:hAnsi="Arial" w:cs="Arial"/>
          <w:smallCaps/>
          <w:sz w:val="12"/>
          <w:szCs w:val="12"/>
        </w:rPr>
        <w:t>a-</w:t>
      </w:r>
      <w:r>
        <w:t xml:space="preserve"> ii </w:t>
      </w:r>
      <w:r>
        <w:rPr>
          <w:rFonts w:ascii="Arial" w:eastAsia="Arial" w:hAnsi="Arial" w:cs="Arial"/>
          <w:i/>
          <w:iCs/>
          <w:sz w:val="10"/>
          <w:szCs w:val="10"/>
        </w:rPr>
        <w:t>n/s?</w:t>
      </w:r>
      <w:r>
        <w:tab/>
        <w:t>f é-k</w:t>
      </w:r>
      <w:r>
        <w:tab/>
        <w:t>® s !■% t I-*</w:t>
      </w:r>
      <w:bookmarkEnd w:id="213"/>
    </w:p>
    <w:p w:rsidR="00500724" w:rsidRDefault="00F30FB8">
      <w:pPr>
        <w:pStyle w:val="Zkladntext1"/>
        <w:shd w:val="clear" w:color="auto" w:fill="auto"/>
        <w:spacing w:after="120" w:line="230" w:lineRule="auto"/>
        <w:ind w:left="140" w:right="160" w:hanging="140"/>
      </w:pPr>
      <w:r>
        <w:rPr>
          <w:b/>
          <w:bCs/>
          <w:sz w:val="20"/>
          <w:szCs w:val="20"/>
        </w:rPr>
        <w:t xml:space="preserve">OBSAH PŘÍTOMNOSTI C. </w:t>
      </w:r>
      <w:r>
        <w:rPr>
          <w:b/>
          <w:bCs/>
        </w:rPr>
        <w:t xml:space="preserve">8: F. PEROUTKA: Češi, Němci a židé — FRANTIŠEK LANGER: Čapek mezi lidmi — ZDENĚK SMETÁČEK: Jak se o nás píše v Německu — L. NOVOTNÝ: Co se skrývá za palestinskou konferencí? KORNEL SYNEK: V bludišti ěerné bursy — WALT DISNEY: </w:t>
      </w:r>
      <w:r>
        <w:rPr>
          <w:b/>
          <w:bCs/>
          <w:lang w:val="en-US" w:eastAsia="en-US" w:bidi="en-US"/>
        </w:rPr>
        <w:t xml:space="preserve">Mickey Mouse </w:t>
      </w:r>
      <w:r>
        <w:rPr>
          <w:b/>
          <w:bCs/>
        </w:rPr>
        <w:t>předvádí... — JOS</w:t>
      </w:r>
      <w:r>
        <w:rPr>
          <w:b/>
          <w:bCs/>
        </w:rPr>
        <w:t xml:space="preserve">EF TEICHMAN: Proě odešel Vojtěch Imrédy — JOSEF PACHTA: Londýňan a válka — V. </w:t>
      </w:r>
      <w:r>
        <w:rPr>
          <w:b/>
          <w:bCs/>
          <w:lang w:val="en-US" w:eastAsia="en-US" w:bidi="en-US"/>
        </w:rPr>
        <w:t xml:space="preserve">GUTTWIRTH: Ulrich </w:t>
      </w:r>
      <w:r>
        <w:rPr>
          <w:b/>
          <w:bCs/>
        </w:rPr>
        <w:t>— Hospodářská po</w:t>
      </w:r>
      <w:r>
        <w:rPr>
          <w:b/>
          <w:bCs/>
        </w:rPr>
        <w:softHyphen/>
        <w:t>dezdívka osy a díra mezi Francií a námi — Křesťanství— heslo a skuteěnost — Odpovědi německým nacionálním socialistům — Mladí vpřed! — Jak vzni</w:t>
      </w:r>
      <w:r>
        <w:rPr>
          <w:b/>
          <w:bCs/>
        </w:rPr>
        <w:t>klo slovo peáž.</w:t>
      </w:r>
    </w:p>
    <w:p w:rsidR="00500724" w:rsidRDefault="00F30FB8">
      <w:pPr>
        <w:pStyle w:val="Nadpis80"/>
        <w:keepNext/>
        <w:keepLines/>
        <w:shd w:val="clear" w:color="auto" w:fill="auto"/>
        <w:spacing w:after="160"/>
        <w:ind w:left="140" w:firstLine="100"/>
      </w:pPr>
      <w:bookmarkStart w:id="214" w:name="bookmark213"/>
      <w:r>
        <w:t>nezávislý týdeník</w:t>
      </w:r>
      <w:bookmarkEnd w:id="214"/>
    </w:p>
    <w:p w:rsidR="00500724" w:rsidRDefault="00F30FB8">
      <w:pPr>
        <w:pStyle w:val="Zkladntext50"/>
        <w:shd w:val="clear" w:color="auto" w:fill="auto"/>
        <w:spacing w:after="80" w:line="170" w:lineRule="auto"/>
        <w:ind w:left="120"/>
        <w:jc w:val="center"/>
        <w:rPr>
          <w:sz w:val="16"/>
          <w:szCs w:val="16"/>
        </w:rPr>
      </w:pPr>
      <w:r>
        <w:rPr>
          <w:b/>
          <w:bCs/>
          <w:sz w:val="16"/>
          <w:szCs w:val="16"/>
        </w:rPr>
        <w:t>vychází ve středu v nakladatelství</w:t>
      </w:r>
    </w:p>
    <w:p w:rsidR="00500724" w:rsidRDefault="00F30FB8">
      <w:pPr>
        <w:pStyle w:val="Jin0"/>
        <w:shd w:val="clear" w:color="auto" w:fill="auto"/>
        <w:spacing w:after="80" w:line="180" w:lineRule="auto"/>
        <w:ind w:left="80" w:firstLine="0"/>
        <w:jc w:val="center"/>
        <w:rPr>
          <w:sz w:val="15"/>
          <w:szCs w:val="15"/>
        </w:rPr>
      </w:pPr>
      <w:r>
        <w:rPr>
          <w:rFonts w:ascii="Arial" w:eastAsia="Arial" w:hAnsi="Arial" w:cs="Arial"/>
          <w:b/>
          <w:bCs/>
          <w:sz w:val="15"/>
          <w:szCs w:val="15"/>
        </w:rPr>
        <w:t xml:space="preserve">FR. BOROVÝ V P R A Z E </w:t>
      </w:r>
      <w:r>
        <w:rPr>
          <w:rFonts w:ascii="Arial" w:eastAsia="Arial" w:hAnsi="Arial" w:cs="Arial"/>
          <w:b/>
          <w:bCs/>
          <w:sz w:val="15"/>
          <w:szCs w:val="15"/>
          <w:lang w:val="en-US" w:eastAsia="en-US" w:bidi="en-US"/>
        </w:rPr>
        <w:t xml:space="preserve">I., </w:t>
      </w:r>
      <w:r>
        <w:rPr>
          <w:rFonts w:ascii="Arial" w:eastAsia="Arial" w:hAnsi="Arial" w:cs="Arial"/>
          <w:b/>
          <w:bCs/>
          <w:sz w:val="15"/>
          <w:szCs w:val="15"/>
        </w:rPr>
        <w:t xml:space="preserve">N A R O D N </w:t>
      </w:r>
      <w:r>
        <w:rPr>
          <w:rFonts w:ascii="Arial" w:eastAsia="Arial" w:hAnsi="Arial" w:cs="Arial"/>
          <w:b/>
          <w:bCs/>
          <w:sz w:val="15"/>
          <w:szCs w:val="15"/>
          <w:lang w:val="en-US" w:eastAsia="en-US" w:bidi="en-US"/>
        </w:rPr>
        <w:t xml:space="preserve">I </w:t>
      </w:r>
      <w:r>
        <w:rPr>
          <w:rFonts w:ascii="Arial" w:eastAsia="Arial" w:hAnsi="Arial" w:cs="Arial"/>
          <w:b/>
          <w:bCs/>
          <w:sz w:val="15"/>
          <w:szCs w:val="15"/>
        </w:rPr>
        <w:t>T Ř</w:t>
      </w:r>
      <w:r>
        <w:rPr>
          <w:rFonts w:ascii="Arial" w:eastAsia="Arial" w:hAnsi="Arial" w:cs="Arial"/>
          <w:b/>
          <w:bCs/>
          <w:sz w:val="15"/>
          <w:szCs w:val="15"/>
          <w:lang w:val="en-US" w:eastAsia="en-US" w:bidi="en-US"/>
        </w:rPr>
        <w:t>I</w:t>
      </w:r>
      <w:r>
        <w:rPr>
          <w:rFonts w:ascii="Arial" w:eastAsia="Arial" w:hAnsi="Arial" w:cs="Arial"/>
          <w:b/>
          <w:bCs/>
          <w:sz w:val="15"/>
          <w:szCs w:val="15"/>
        </w:rPr>
        <w:t>D A 11.</w:t>
      </w:r>
    </w:p>
    <w:p w:rsidR="00500724" w:rsidRDefault="00F30FB8">
      <w:pPr>
        <w:pStyle w:val="Zkladntext40"/>
        <w:shd w:val="clear" w:color="auto" w:fill="auto"/>
        <w:spacing w:after="80" w:line="170" w:lineRule="auto"/>
        <w:ind w:left="140" w:right="160" w:firstLine="100"/>
        <w:rPr>
          <w:sz w:val="16"/>
          <w:szCs w:val="16"/>
        </w:rPr>
      </w:pPr>
      <w:r>
        <w:rPr>
          <w:b/>
          <w:bCs/>
          <w:sz w:val="16"/>
          <w:szCs w:val="16"/>
        </w:rPr>
        <w:t>Telefon číslo 390-51 až 54 • účet poštovní spořitelny číslo 85.622 • Nevy</w:t>
      </w:r>
      <w:r>
        <w:rPr>
          <w:b/>
          <w:bCs/>
          <w:sz w:val="16"/>
          <w:szCs w:val="16"/>
        </w:rPr>
        <w:softHyphen/>
      </w:r>
      <w:r>
        <w:rPr>
          <w:b/>
          <w:bCs/>
          <w:sz w:val="16"/>
          <w:szCs w:val="16"/>
        </w:rPr>
        <w:t xml:space="preserve">žádané rukopisy se nevracejí • Předplatné na rok K 100.—, na půl roku K 5G—, na čtvrt roku K 25.—, jednotlivá čísla K 2.—. </w:t>
      </w:r>
      <w:r>
        <w:rPr>
          <w:b/>
          <w:bCs/>
          <w:sz w:val="16"/>
          <w:szCs w:val="16"/>
          <w:lang w:val="en-US" w:eastAsia="en-US" w:bidi="en-US"/>
        </w:rPr>
        <w:t xml:space="preserve">Pour la </w:t>
      </w:r>
      <w:r>
        <w:rPr>
          <w:b/>
          <w:bCs/>
          <w:sz w:val="16"/>
          <w:szCs w:val="16"/>
        </w:rPr>
        <w:t>Fran</w:t>
      </w:r>
      <w:r>
        <w:rPr>
          <w:b/>
          <w:bCs/>
          <w:sz w:val="16"/>
          <w:szCs w:val="16"/>
        </w:rPr>
        <w:softHyphen/>
        <w:t xml:space="preserve">ce et ses </w:t>
      </w:r>
      <w:r>
        <w:rPr>
          <w:b/>
          <w:bCs/>
          <w:sz w:val="16"/>
          <w:szCs w:val="16"/>
          <w:lang w:val="en-US" w:eastAsia="en-US" w:bidi="en-US"/>
        </w:rPr>
        <w:t xml:space="preserve">Colonies </w:t>
      </w:r>
      <w:r>
        <w:rPr>
          <w:b/>
          <w:bCs/>
          <w:sz w:val="16"/>
          <w:szCs w:val="16"/>
        </w:rPr>
        <w:t xml:space="preserve">Frs 2.50. • DohlédacI pošt úřad Brno H e Novin, sazba povolena v Brně </w:t>
      </w:r>
      <w:r>
        <w:rPr>
          <w:b/>
          <w:bCs/>
          <w:sz w:val="16"/>
          <w:szCs w:val="16"/>
          <w:lang w:val="en-US" w:eastAsia="en-US" w:bidi="en-US"/>
        </w:rPr>
        <w:t xml:space="preserve">Fed. </w:t>
      </w:r>
      <w:r>
        <w:rPr>
          <w:b/>
          <w:bCs/>
          <w:sz w:val="16"/>
          <w:szCs w:val="16"/>
        </w:rPr>
        <w:t xml:space="preserve">pošt a telegrafů pod čís. </w:t>
      </w:r>
      <w:r>
        <w:rPr>
          <w:b/>
          <w:bCs/>
          <w:sz w:val="16"/>
          <w:szCs w:val="16"/>
        </w:rPr>
        <w:t>119.268/nia. e Odpovědný redaktor J. Dlabač.</w:t>
      </w:r>
    </w:p>
    <w:p w:rsidR="00500724" w:rsidRDefault="00F30FB8">
      <w:pPr>
        <w:pStyle w:val="Jin0"/>
        <w:shd w:val="clear" w:color="auto" w:fill="auto"/>
        <w:spacing w:after="100" w:line="180" w:lineRule="auto"/>
        <w:ind w:left="5480" w:firstLine="0"/>
        <w:jc w:val="left"/>
      </w:pPr>
      <w:r>
        <w:rPr>
          <w:rFonts w:ascii="Arial" w:eastAsia="Arial" w:hAnsi="Arial" w:cs="Arial"/>
          <w:b/>
          <w:bCs/>
          <w:sz w:val="15"/>
          <w:szCs w:val="15"/>
        </w:rPr>
        <w:t xml:space="preserve">TISKEM LIDOVČ TISKÁRNY, BRNO, ČESKA </w:t>
      </w:r>
      <w:r>
        <w:rPr>
          <w:rFonts w:ascii="Arial" w:eastAsia="Arial" w:hAnsi="Arial" w:cs="Arial"/>
        </w:rPr>
        <w:t>A</w:t>
      </w:r>
      <w:r>
        <w:br w:type="page"/>
      </w:r>
    </w:p>
    <w:p w:rsidR="00500724" w:rsidRDefault="00F30FB8">
      <w:pPr>
        <w:pStyle w:val="Jin0"/>
        <w:pBdr>
          <w:bottom w:val="single" w:sz="4" w:space="0" w:color="auto"/>
        </w:pBdr>
        <w:shd w:val="clear" w:color="auto" w:fill="auto"/>
        <w:ind w:left="100" w:firstLine="0"/>
        <w:jc w:val="center"/>
        <w:rPr>
          <w:sz w:val="112"/>
          <w:szCs w:val="112"/>
        </w:rPr>
        <w:sectPr w:rsidR="00500724">
          <w:footnotePr>
            <w:numFmt w:val="chicago"/>
            <w:numRestart w:val="eachPage"/>
          </w:footnotePr>
          <w:type w:val="continuous"/>
          <w:pgSz w:w="11909" w:h="16834"/>
          <w:pgMar w:top="412" w:right="829" w:bottom="955" w:left="621" w:header="0" w:footer="3" w:gutter="0"/>
          <w:cols w:space="720"/>
          <w:noEndnote/>
          <w:docGrid w:linePitch="360"/>
        </w:sectPr>
      </w:pPr>
      <w:r>
        <w:rPr>
          <w:sz w:val="112"/>
          <w:szCs w:val="112"/>
        </w:rPr>
        <w:t>Přítomnosti</w:t>
      </w:r>
    </w:p>
    <w:p w:rsidR="00500724" w:rsidRDefault="00500724">
      <w:pPr>
        <w:spacing w:after="682" w:line="14" w:lineRule="exact"/>
      </w:pPr>
    </w:p>
    <w:p w:rsidR="00500724" w:rsidRDefault="00500724">
      <w:pPr>
        <w:spacing w:line="14" w:lineRule="exact"/>
        <w:sectPr w:rsidR="00500724">
          <w:footnotePr>
            <w:numFmt w:val="chicago"/>
            <w:numRestart w:val="eachPage"/>
          </w:footnotePr>
          <w:type w:val="continuous"/>
          <w:pgSz w:w="11909" w:h="16834"/>
          <w:pgMar w:top="1021" w:right="741" w:bottom="835" w:left="794" w:header="0" w:footer="3" w:gutter="0"/>
          <w:cols w:space="720"/>
          <w:noEndnote/>
          <w:docGrid w:linePitch="360"/>
        </w:sectPr>
      </w:pPr>
    </w:p>
    <w:p w:rsidR="00500724" w:rsidRDefault="00F30FB8">
      <w:pPr>
        <w:pStyle w:val="Nadpis100"/>
        <w:shd w:val="clear" w:color="auto" w:fill="auto"/>
        <w:spacing w:after="0" w:line="240" w:lineRule="auto"/>
      </w:pPr>
      <w:bookmarkStart w:id="215" w:name="bookmark214"/>
      <w:r>
        <w:t>Nová dělba kolonií?</w:t>
      </w:r>
      <w:bookmarkEnd w:id="215"/>
    </w:p>
    <w:p w:rsidR="00500724" w:rsidRDefault="00F30FB8">
      <w:pPr>
        <w:pStyle w:val="Zkladntext30"/>
        <w:shd w:val="clear" w:color="auto" w:fill="auto"/>
        <w:spacing w:after="0" w:line="216" w:lineRule="auto"/>
        <w:ind w:firstLine="240"/>
      </w:pPr>
      <w:r>
        <w:t xml:space="preserve">Nevzpomněli jsme na toto téma proto, že bychom se snad chtěli připojit k </w:t>
      </w:r>
      <w:r>
        <w:t>pošetilému přání večerníkového tisku, který občas doporučuje, aby se také Česko- Slovensko ucházelo o nějakou zámořskou osadu. Ne</w:t>
      </w:r>
      <w:r>
        <w:softHyphen/>
        <w:t>jsme tak prostoduší, abychom si tím lámali hlavu a abychom tím odváděli pozornost od skutečného pro</w:t>
      </w:r>
      <w:r>
        <w:softHyphen/>
        <w:t xml:space="preserve">blému kolonií, který opět </w:t>
      </w:r>
      <w:r>
        <w:t>zaměstnává světovou poli</w:t>
      </w:r>
      <w:r>
        <w:softHyphen/>
        <w:t>tiku.</w:t>
      </w:r>
    </w:p>
    <w:p w:rsidR="00500724" w:rsidRDefault="00F30FB8">
      <w:pPr>
        <w:pStyle w:val="Zkladntext30"/>
        <w:shd w:val="clear" w:color="auto" w:fill="auto"/>
        <w:spacing w:after="0" w:line="202" w:lineRule="auto"/>
        <w:ind w:firstLine="240"/>
      </w:pPr>
      <w:r>
        <w:t>Přímo se nás to netýká. Ale jistě nepřímo. Ať už nastane v tomto ohledu jakákoli změna, nezůstane bez vlivu na evropskou politiku. Nechceme proroko</w:t>
      </w:r>
      <w:r>
        <w:softHyphen/>
        <w:t>vat, jaká ta změna bude; víme jen, že se blíži a že bude míti také hospodářsk</w:t>
      </w:r>
      <w:r>
        <w:t>é následky. Kdo se dívá na vývoj událostí pozorně, tomu neujde, že tento problém dozrává. Zraje už ostatně hodně dlouho, třebas se c něm tolik nemluvilo. Zmínka o koloniích byla pro Německo vždycky bolestná, poněvadž ztrátu kolonií považovalo za jeden z do</w:t>
      </w:r>
      <w:r>
        <w:t>kladů, jak mu byla velmo</w:t>
      </w:r>
      <w:r>
        <w:softHyphen/>
        <w:t>cemi, které si svět po válce rozdělily, vnucena ne- rovnoprávnost.</w:t>
      </w:r>
    </w:p>
    <w:p w:rsidR="00500724" w:rsidRDefault="00F30FB8">
      <w:pPr>
        <w:pStyle w:val="Zkladntext30"/>
        <w:shd w:val="clear" w:color="auto" w:fill="auto"/>
        <w:spacing w:after="0" w:line="202" w:lineRule="auto"/>
        <w:ind w:firstLine="240"/>
      </w:pPr>
      <w:r>
        <w:t xml:space="preserve">Není náhodou, že se tento časopis otázkou kolonií zabýval již před dvěma lety. ^Středoevropská úvaha o koloniích« — takový byl titul úvodníku koncem listopadu 1937 </w:t>
      </w:r>
      <w:r>
        <w:t>— neváhala vyslovit, že Německo po</w:t>
      </w:r>
      <w:r>
        <w:softHyphen/>
        <w:t>čítá s vážným zkoumáním koloniálních požadavků. Po ujištění, že i demokratické Německo bylo by jednou dospělo k témuž požadavku, pravil autor úvodníku:</w:t>
      </w:r>
    </w:p>
    <w:p w:rsidR="00500724" w:rsidRDefault="00F30FB8">
      <w:pPr>
        <w:pStyle w:val="Zkladntext30"/>
        <w:shd w:val="clear" w:color="auto" w:fill="auto"/>
        <w:spacing w:after="0" w:line="178" w:lineRule="auto"/>
        <w:ind w:firstLine="300"/>
        <w:rPr>
          <w:sz w:val="20"/>
          <w:szCs w:val="20"/>
        </w:rPr>
      </w:pPr>
      <w:r>
        <w:rPr>
          <w:sz w:val="20"/>
          <w:szCs w:val="20"/>
        </w:rPr>
        <w:t>»ftíká se někde, že Němci kolonií nepotřebují, ale to jest chudý argu</w:t>
      </w:r>
      <w:r>
        <w:rPr>
          <w:sz w:val="20"/>
          <w:szCs w:val="20"/>
        </w:rPr>
        <w:t>ment, s jakým lépe do debaty nejít. To připo- míná domácího pána, který velebí stav chudoby za to, že nemá starostí s domem. Jestliže jedni kolonií nepotřebují, proč druzí na nich tolik lpí? Proč vedli staleté války, aby je získali a udrželi?«</w:t>
      </w:r>
    </w:p>
    <w:p w:rsidR="00500724" w:rsidRDefault="00F30FB8">
      <w:pPr>
        <w:pStyle w:val="Zkladntext30"/>
        <w:shd w:val="clear" w:color="auto" w:fill="auto"/>
        <w:spacing w:line="202" w:lineRule="auto"/>
        <w:ind w:firstLine="240"/>
      </w:pPr>
      <w:r>
        <w:t>Nechceme teď</w:t>
      </w:r>
      <w:r>
        <w:t xml:space="preserve"> zkoumati, zda jest spravedlivé, aby poměrně malé »mateřské« země ovládaly obrovská koloniální území, přivlastňujíce si jejich bohatství a obyvatelstvo; neptáme se teď ani, zda jest lidské, aby jim koloniální národy sloužily. To je jiná kapitola, kterou vý</w:t>
      </w:r>
      <w:r>
        <w:t>voj lidské společnosti napsal, aniž by se trá</w:t>
      </w:r>
      <w:r>
        <w:softHyphen/>
        <w:t>pil takovými pochybnostmi. Nemá ani smyslu pátrat, kdo lépe plní v koloniích civilisační poslání. Podle zá</w:t>
      </w:r>
      <w:r>
        <w:softHyphen/>
        <w:t>konů imperialistického světa je v neprávu ten, kdo je sláb. »Nejdříve zabíjejí a pak civilisují. Zabíje</w:t>
      </w:r>
      <w:r>
        <w:t>jí jistě! Ale chtějí vůbec civilisovat?« — ptal se již před lety francouzský novinář, který se v koloniálních otázkách vyznal. Spolehlivým vodítkem není ani okol</w:t>
      </w:r>
      <w:r>
        <w:softHyphen/>
        <w:t>nost, zda o kolonie usiluje demokratická země nebo stát s jinou ústavou. Francie je na příklad</w:t>
      </w:r>
      <w:r>
        <w:t xml:space="preserve"> de</w:t>
      </w:r>
      <w:r>
        <w:softHyphen/>
        <w:t xml:space="preserve">mokratická země, ale poslanec </w:t>
      </w:r>
      <w:r>
        <w:rPr>
          <w:lang w:val="en-US" w:eastAsia="en-US" w:bidi="en-US"/>
        </w:rPr>
        <w:t xml:space="preserve">Roger </w:t>
      </w:r>
      <w:r>
        <w:t>prohlá</w:t>
      </w:r>
      <w:r>
        <w:softHyphen/>
        <w:t>sil již v lednu 1834 ve francouzské sněmovně, že ve čtyřech letech prolili Francouzi v Alžíru více krve, než Turci za dvě staletí. Přisahala-li nedávno fran</w:t>
      </w:r>
      <w:r>
        <w:softHyphen/>
        <w:t>couzská sněmovna slavnostně — včetně socialistů a ko</w:t>
      </w:r>
      <w:r>
        <w:t>munistů — že nevydá ani píď francouzské říše, dala jenom najevo, že lpí na velmocenské, koloniální po</w:t>
      </w:r>
      <w:r>
        <w:softHyphen/>
        <w:t>sici Francie. Totéž lze říci o prohlášení anglických konservativců před dvěma lety, takže zbývá pouze otázka: je to pro ostatní svět a především pro ostat</w:t>
      </w:r>
      <w:r>
        <w:t>ní velmoci únosné? Přispívá to k posílení míru? A hlav</w:t>
      </w:r>
      <w:r>
        <w:softHyphen/>
        <w:t>ně: je to stav, který lze na dlouhou dobu udržet?</w:t>
      </w:r>
    </w:p>
    <w:p w:rsidR="00500724" w:rsidRDefault="00F30FB8">
      <w:pPr>
        <w:pStyle w:val="Zkladntext30"/>
        <w:shd w:val="clear" w:color="auto" w:fill="auto"/>
        <w:spacing w:line="192" w:lineRule="auto"/>
        <w:ind w:firstLine="240"/>
      </w:pPr>
      <w:r>
        <w:t>Již před dvěma lety vyslovil zde o tom F. Peroutka pochybnost, když pravil:</w:t>
      </w:r>
    </w:p>
    <w:p w:rsidR="00500724" w:rsidRDefault="00F30FB8">
      <w:pPr>
        <w:pStyle w:val="Zkladntext30"/>
        <w:shd w:val="clear" w:color="auto" w:fill="auto"/>
        <w:spacing w:line="180" w:lineRule="auto"/>
        <w:ind w:firstLine="240"/>
        <w:rPr>
          <w:sz w:val="20"/>
          <w:szCs w:val="20"/>
        </w:rPr>
      </w:pPr>
      <w:r>
        <w:rPr>
          <w:sz w:val="20"/>
          <w:szCs w:val="20"/>
        </w:rPr>
        <w:t xml:space="preserve">»Všechny velké mocnosti a některé malé mohou shlížeti na bohatý koloniální </w:t>
      </w:r>
      <w:r>
        <w:rPr>
          <w:sz w:val="20"/>
          <w:szCs w:val="20"/>
        </w:rPr>
        <w:t>majetek. Podívejme se na to střízlivě a nedělejme, jako bychom psychologii vůbec nerozuměli: je vůbec nějaká naděje, že se tento stav dá udržeti proti Ně</w:t>
      </w:r>
      <w:r>
        <w:rPr>
          <w:sz w:val="20"/>
          <w:szCs w:val="20"/>
        </w:rPr>
        <w:softHyphen/>
        <w:t>mecku, které se vyzbrojilo, aby zase získalo rovnoprávnost? Pravda jest asi, že jenom mocí je udržitel</w:t>
      </w:r>
      <w:r>
        <w:rPr>
          <w:sz w:val="20"/>
          <w:szCs w:val="20"/>
        </w:rPr>
        <w:t>ný tento stav, kdy někteří, pokud se osad týká, mají mnoho a jiní nic.«</w:t>
      </w:r>
    </w:p>
    <w:p w:rsidR="00500724" w:rsidRDefault="00F30FB8">
      <w:pPr>
        <w:pStyle w:val="Zkladntext30"/>
        <w:shd w:val="clear" w:color="auto" w:fill="auto"/>
        <w:spacing w:line="202" w:lineRule="auto"/>
        <w:ind w:firstLine="240"/>
      </w:pPr>
      <w:r>
        <w:t>Udržet dosavadní stav jenom moci, znamenalo by konec konců válku.</w:t>
      </w:r>
    </w:p>
    <w:p w:rsidR="00500724" w:rsidRDefault="00F30FB8">
      <w:pPr>
        <w:pStyle w:val="Zkladntext30"/>
        <w:shd w:val="clear" w:color="auto" w:fill="auto"/>
        <w:spacing w:after="160" w:line="202" w:lineRule="auto"/>
        <w:ind w:firstLine="240"/>
      </w:pPr>
      <w:r>
        <w:t>Po versailleském míru se »nasycené« velmoci domní</w:t>
      </w:r>
      <w:r>
        <w:softHyphen/>
        <w:t>valy, že jejich bohatá tabule bude ještě dlouho stejně dobře a neruš</w:t>
      </w:r>
      <w:r>
        <w:t>eně zásobována. Kdo by se staral po dobrém obědě o lžíci? Vývoj šel ve skutečnosti jinými cestami. Právě proto, že dosavadní rozdělení oplývá příliš velkými rozdíly, ocitá se svět před novou děl</w:t>
      </w:r>
      <w:r>
        <w:softHyphen/>
        <w:t>bou. Pochopíme to nejlépe, podíváme-li se, co jednotli</w:t>
      </w:r>
      <w:r>
        <w:softHyphen/>
        <w:t>vé vel</w:t>
      </w:r>
      <w:r>
        <w:t>moci dosud mají.</w:t>
      </w:r>
    </w:p>
    <w:p w:rsidR="00500724" w:rsidRDefault="00F30FB8">
      <w:pPr>
        <w:pStyle w:val="Zkladntext30"/>
        <w:shd w:val="clear" w:color="auto" w:fill="auto"/>
        <w:spacing w:line="202" w:lineRule="auto"/>
        <w:ind w:firstLine="0"/>
        <w:jc w:val="center"/>
      </w:pPr>
      <w:r>
        <w:t>Svět v zajetí velmoci</w:t>
      </w:r>
    </w:p>
    <w:p w:rsidR="00500724" w:rsidRDefault="00F30FB8">
      <w:pPr>
        <w:pStyle w:val="Zkladntext30"/>
        <w:shd w:val="clear" w:color="auto" w:fill="auto"/>
        <w:spacing w:line="202" w:lineRule="auto"/>
        <w:ind w:firstLine="240"/>
      </w:pPr>
      <w:r>
        <w:t>Anglie, která byla v době velkých zámořských objevů zemí poměrně malou a chudou, zahrnuje dnes do rámce britské světové říše jednak veliká vyspělá dominia (Kanadu, Australský svaz, Nový Zélandj Jihoafrickou Unii), jed</w:t>
      </w:r>
      <w:r>
        <w:t xml:space="preserve">nak vyslovené plantážni kolonie, jako je Anglo-egyptský </w:t>
      </w:r>
      <w:r>
        <w:rPr>
          <w:lang w:val="en-US" w:eastAsia="en-US" w:bidi="en-US"/>
        </w:rPr>
        <w:t xml:space="preserve">Sudan, Uganda, </w:t>
      </w:r>
      <w:r>
        <w:t xml:space="preserve">Kenia, </w:t>
      </w:r>
      <w:r>
        <w:rPr>
          <w:lang w:val="en-US" w:eastAsia="en-US" w:bidi="en-US"/>
        </w:rPr>
        <w:t xml:space="preserve">Tanganjika, Nigeria, </w:t>
      </w:r>
      <w:r>
        <w:t xml:space="preserve">Zlaté pobřeží, Sierra </w:t>
      </w:r>
      <w:r>
        <w:rPr>
          <w:lang w:val="en-US" w:eastAsia="en-US" w:bidi="en-US"/>
        </w:rPr>
        <w:t xml:space="preserve">Leone </w:t>
      </w:r>
      <w:r>
        <w:t>atd. — a mezi oběma typy několik států, které jsou jako Egypt vlastně samostatné. Anglie dobyla také císařství Velkého Mogula a s</w:t>
      </w:r>
      <w:r>
        <w:t>tala se nabobem Indie. Několik generací britských imperialistů vybu</w:t>
      </w:r>
      <w:r>
        <w:softHyphen/>
        <w:t>dovalo říši, která zabírá celou čtvrtinu obydlených krajů a čtvrtinu populace celého našeho světa. Je to »jenom« 35 milionů čtverečných kilometrů a 450 mi</w:t>
      </w:r>
      <w:r>
        <w:softHyphen/>
        <w:t>lionů duší. Ačkoli má Anglie jeno</w:t>
      </w:r>
      <w:r>
        <w:t>m 45 milionů oby</w:t>
      </w:r>
      <w:r>
        <w:softHyphen/>
        <w:t>vatel, patří k britské říši 330 milionů duší v Asii, 10 milionů v Americe, 50 milionů v Africe a 7 milionů v Oceánii. Do britské hospodářské sítě zapadá tím ovšem i bohatství těchto zemí, která dávají nejen su</w:t>
      </w:r>
      <w:r>
        <w:softHyphen/>
        <w:t>roviny, ale i možnosti odbytu</w:t>
      </w:r>
      <w:r>
        <w:t xml:space="preserve"> a kapitálových investic spolu s nevyčerpatelným zdrojem lidské pracovní a vojenské síly. Nedivme se tedy, střeží-li Anglie všechny námořní cesty a považuje-li celé oceány — jako na příklad Indický — vlastně za »mare nostrum«. Ačkoli si Anglie v 20. stolet</w:t>
      </w:r>
      <w:r>
        <w:t>í nemohla stěžovat, že by měla nedostatek místa na slunci, neváhala po světové válce rozhodnout také o velké části bývalých němec</w:t>
      </w:r>
      <w:r>
        <w:softHyphen/>
        <w:t xml:space="preserve">kých kolonií. Nikoli proto, aby je osvobodila, nýbrž aby si je přivlastnila. Následek je jasný: kdo mnoho má, musí také mnoho </w:t>
      </w:r>
      <w:r>
        <w:t>chránit. Tak se Anglie setkává ve všech sférách s různými konkurenty, mezi kte</w:t>
      </w:r>
      <w:r>
        <w:softHyphen/>
        <w:t>rými nechybí ani Spojené Státy a Francie — o Ja</w:t>
      </w:r>
      <w:r>
        <w:softHyphen/>
        <w:t>ponsku, Německu a Itálii vůbec nemluvíc.</w:t>
      </w:r>
    </w:p>
    <w:p w:rsidR="00500724" w:rsidRDefault="00F30FB8">
      <w:pPr>
        <w:pStyle w:val="Zkladntext30"/>
        <w:shd w:val="clear" w:color="auto" w:fill="auto"/>
        <w:spacing w:line="204" w:lineRule="auto"/>
        <w:ind w:firstLine="240"/>
      </w:pPr>
      <w:r>
        <w:t>Francie sice ztratila v průběhu staletí velké osa</w:t>
      </w:r>
      <w:r>
        <w:softHyphen/>
        <w:t xml:space="preserve">dy na půdě Severní Ameriky a Přední </w:t>
      </w:r>
      <w:r>
        <w:t>Indie, ale od</w:t>
      </w:r>
      <w:r>
        <w:softHyphen/>
        <w:t>škodnila se aspoň zčásti koloniálními výboji v Africe. Opravdu v dýmu a krvi dobyla Alžíru, který je páteří velké koloniální africké říše, pak uchvátila Tunis a francouzské Maroko, nezapomínajíc ani na plan- tážní kolonie v západní a rovníkov</w:t>
      </w:r>
      <w:r>
        <w:t>é Africe. Francii patří Madagaskar v Indickém oceánu, ona je také vládkyní v Indočíně. Jak vidět, přišla i Francie dosti včas, aby si zajistila místo pod sluncem.</w:t>
      </w:r>
    </w:p>
    <w:p w:rsidR="00500724" w:rsidRDefault="00F30FB8">
      <w:pPr>
        <w:pStyle w:val="Zkladntext30"/>
        <w:shd w:val="clear" w:color="auto" w:fill="auto"/>
        <w:spacing w:line="202" w:lineRule="auto"/>
        <w:ind w:firstLine="240"/>
      </w:pPr>
      <w:r>
        <w:t>Naproti tomu přišlo Německo pozdě. Před svě</w:t>
      </w:r>
      <w:r>
        <w:softHyphen/>
        <w:t>tovou válkou získalo sice v zámoří tři miliony ět</w:t>
      </w:r>
      <w:r>
        <w:t xml:space="preserve">ver. km s dvanácti miliony obyvatel, ale pak ztratilo všechny zámořské osady. Pod záštitou Společnosti národů přivlastnila si Francie jako mandátové území </w:t>
      </w:r>
      <w:r>
        <w:rPr>
          <w:lang w:val="en-US" w:eastAsia="en-US" w:bidi="en-US"/>
        </w:rPr>
        <w:t xml:space="preserve">Togo </w:t>
      </w:r>
      <w:r>
        <w:t>a Kamerun a ze stejného titulu připadla ně</w:t>
      </w:r>
      <w:r>
        <w:softHyphen/>
        <w:t>mecká jihozápadní Afrika — jihoafrické Unii. Anglie s</w:t>
      </w:r>
      <w:r>
        <w:t>i přiřkla východní německou Afriku. Japonsko si vzalo Tsingtao. O zbytek se rozdělily Japonsko, Austrálie a Nový Zéland, takže hlavní ěást připadla opět nepřímo Anglii.</w:t>
      </w:r>
    </w:p>
    <w:p w:rsidR="00500724" w:rsidRDefault="00F30FB8">
      <w:pPr>
        <w:pStyle w:val="Zkladntext30"/>
        <w:shd w:val="clear" w:color="auto" w:fill="auto"/>
        <w:spacing w:after="0" w:line="202" w:lineRule="auto"/>
        <w:ind w:firstLine="240"/>
      </w:pPr>
      <w:r>
        <w:t>Itálie vyšla při tomto dělení naprázdno, ačkoli bojovala na straně Dohody. Zdá se, že t</w:t>
      </w:r>
      <w:r>
        <w:t>oho nikdy nezapomněla. Byla dotčena tím více, že hned na za</w:t>
      </w:r>
      <w:r>
        <w:softHyphen/>
        <w:t>čátku koloniální politiky zažila velké zklamání, když Francie dobyla Tunisu, který byl odjakživa cílem italských snah. Co se týče Habeše, prokázala pak více houževnatosti, než se obecně předpoklád</w:t>
      </w:r>
      <w:r>
        <w:t>alo. První pokus stál Itálii půl miliardy lir, a ziskem byla jenom Erytrea a později Somálsko — druhý se již podařil. V roce 1911 získala Itálie také Tripolis, ale další výboj přerušila světová válka. Nyní se Itálie vydává na další cestu do světa, narážejí</w:t>
      </w:r>
      <w:r>
        <w:t>c opět na »nasycené«.</w:t>
      </w:r>
    </w:p>
    <w:p w:rsidR="00500724" w:rsidRDefault="00F30FB8">
      <w:pPr>
        <w:pStyle w:val="Zkladntext30"/>
        <w:shd w:val="clear" w:color="auto" w:fill="auto"/>
        <w:spacing w:after="100" w:line="202" w:lineRule="auto"/>
        <w:ind w:firstLine="240"/>
      </w:pPr>
      <w:r>
        <w:t>Ať tak nebo onak, nová dělba je na obzoru. Roosevelt sice tvrdí, že nejdůležitější skutečností začínajících dějin 20. století je přesun jeviště z Atlan</w:t>
      </w:r>
      <w:r>
        <w:softHyphen/>
        <w:t>tického oceánu do Pacifiku, ale nelze předem určit, kde přesun začne a jak se proj</w:t>
      </w:r>
      <w:r>
        <w:t>eví.</w:t>
      </w:r>
    </w:p>
    <w:p w:rsidR="00500724" w:rsidRDefault="00F30FB8">
      <w:pPr>
        <w:pStyle w:val="Zkladntext30"/>
        <w:shd w:val="clear" w:color="auto" w:fill="auto"/>
        <w:spacing w:line="202" w:lineRule="auto"/>
        <w:ind w:firstLine="0"/>
        <w:jc w:val="center"/>
      </w:pPr>
      <w:r>
        <w:t>Starýcitátjakozávěr</w:t>
      </w:r>
    </w:p>
    <w:p w:rsidR="00500724" w:rsidRDefault="00F30FB8">
      <w:pPr>
        <w:pStyle w:val="Zkladntext30"/>
        <w:shd w:val="clear" w:color="auto" w:fill="auto"/>
        <w:spacing w:after="80" w:line="202" w:lineRule="auto"/>
        <w:ind w:firstLine="240"/>
      </w:pPr>
      <w:r>
        <w:t>Můžeme skončiti několika slovy z článku, na který jsme se na začátku odvolávali:</w:t>
      </w:r>
    </w:p>
    <w:p w:rsidR="00500724" w:rsidRDefault="00F30FB8">
      <w:pPr>
        <w:pStyle w:val="Zkladntext30"/>
        <w:shd w:val="clear" w:color="auto" w:fill="auto"/>
        <w:spacing w:line="178" w:lineRule="auto"/>
        <w:ind w:firstLine="300"/>
        <w:rPr>
          <w:sz w:val="20"/>
          <w:szCs w:val="20"/>
        </w:rPr>
      </w:pPr>
      <w:r>
        <w:rPr>
          <w:sz w:val="20"/>
          <w:szCs w:val="20"/>
        </w:rPr>
        <w:t>&gt;Versailleský mír nebyl na všechny časy vyhrán, a to, že se to objevilo, jest hlavní současná událost. Zatím se udržuje mír zbrojením... Aie víme také</w:t>
      </w:r>
      <w:r>
        <w:rPr>
          <w:sz w:val="20"/>
          <w:szCs w:val="20"/>
        </w:rPr>
        <w:t xml:space="preserve"> již dostatečně, jak vrátka jest ustavičně základna míru, založeného jediné na zbrojení a na ničem jiném. Politická filosofie Mussoliniho jest ovšem demokratům nesympatická: ale tento muž má pravdu, pra</w:t>
      </w:r>
      <w:r>
        <w:rPr>
          <w:sz w:val="20"/>
          <w:szCs w:val="20"/>
        </w:rPr>
        <w:softHyphen/>
        <w:t>vili, že důležitější než ujednati odzbrojení na papíř</w:t>
      </w:r>
      <w:r>
        <w:rPr>
          <w:sz w:val="20"/>
          <w:szCs w:val="20"/>
        </w:rPr>
        <w:t>e, jest nalézti a uskutečniti pravé podmínky míru,«</w:t>
      </w:r>
    </w:p>
    <w:p w:rsidR="00500724" w:rsidRDefault="00F30FB8">
      <w:pPr>
        <w:pStyle w:val="Zkladntext40"/>
        <w:shd w:val="clear" w:color="auto" w:fill="auto"/>
        <w:spacing w:after="220" w:line="194" w:lineRule="auto"/>
        <w:jc w:val="right"/>
      </w:pPr>
      <w:r>
        <w:rPr>
          <w:i/>
          <w:iCs/>
          <w:sz w:val="20"/>
          <w:szCs w:val="20"/>
        </w:rPr>
        <w:t xml:space="preserve">J. </w:t>
      </w:r>
      <w:r>
        <w:rPr>
          <w:b/>
          <w:bCs/>
          <w:i/>
          <w:iCs/>
        </w:rPr>
        <w:t>Sedlák</w:t>
      </w:r>
    </w:p>
    <w:p w:rsidR="00500724" w:rsidRDefault="00F30FB8">
      <w:pPr>
        <w:pStyle w:val="Nadpis90"/>
        <w:keepNext/>
        <w:keepLines/>
        <w:shd w:val="clear" w:color="auto" w:fill="auto"/>
        <w:spacing w:after="280"/>
      </w:pPr>
      <w:bookmarkStart w:id="216" w:name="bookmark215"/>
      <w:r>
        <w:t>poznámky</w:t>
      </w:r>
      <w:bookmarkEnd w:id="216"/>
    </w:p>
    <w:p w:rsidR="00500724" w:rsidRDefault="00F30FB8">
      <w:pPr>
        <w:pStyle w:val="Zkladntext30"/>
        <w:pBdr>
          <w:top w:val="single" w:sz="4" w:space="0" w:color="auto"/>
        </w:pBdr>
        <w:shd w:val="clear" w:color="auto" w:fill="auto"/>
        <w:spacing w:after="80" w:line="178" w:lineRule="auto"/>
        <w:ind w:firstLine="0"/>
        <w:jc w:val="center"/>
        <w:rPr>
          <w:sz w:val="20"/>
          <w:szCs w:val="20"/>
        </w:rPr>
      </w:pPr>
      <w:r>
        <w:rPr>
          <w:b/>
          <w:bCs/>
          <w:sz w:val="20"/>
          <w:szCs w:val="20"/>
        </w:rPr>
        <w:t>První rozpočet nového Cesko-Slovenska</w:t>
      </w:r>
    </w:p>
    <w:p w:rsidR="00500724" w:rsidRDefault="00F30FB8">
      <w:pPr>
        <w:pStyle w:val="Zkladntext1"/>
        <w:shd w:val="clear" w:color="auto" w:fill="auto"/>
        <w:spacing w:after="40" w:line="187" w:lineRule="auto"/>
        <w:ind w:firstLine="300"/>
      </w:pPr>
      <w:r>
        <w:rPr>
          <w:b/>
          <w:bCs/>
        </w:rPr>
        <w:t xml:space="preserve">Až na rozpočet Podkarpatské Ukrajiny známe dnes, v některých věcech ovšem jen zatím ještě v hlavních rysech, rozpočet, lépe řečeno rozpočty, podle </w:t>
      </w:r>
      <w:r>
        <w:rPr>
          <w:b/>
          <w:bCs/>
        </w:rPr>
        <w:t>nichž bude v běžném roce Česko-Slovensko hospodařit. Není to malá věc.</w:t>
      </w:r>
    </w:p>
    <w:p w:rsidR="00500724" w:rsidRDefault="00F30FB8">
      <w:pPr>
        <w:pStyle w:val="Zkladntext1"/>
        <w:shd w:val="clear" w:color="auto" w:fill="auto"/>
        <w:spacing w:after="40" w:line="187" w:lineRule="auto"/>
        <w:ind w:firstLine="300"/>
        <w:rPr>
          <w:sz w:val="15"/>
          <w:szCs w:val="15"/>
        </w:rPr>
      </w:pPr>
      <w:r>
        <w:rPr>
          <w:b/>
          <w:bCs/>
        </w:rPr>
        <w:t>Nutno přece uvážit, že ve sdělávání federálních roz</w:t>
      </w:r>
      <w:r>
        <w:rPr>
          <w:b/>
          <w:bCs/>
        </w:rPr>
        <w:softHyphen/>
        <w:t>počtů nemáme zatím tradice, že teprve se letos za</w:t>
      </w:r>
      <w:r>
        <w:rPr>
          <w:b/>
          <w:bCs/>
        </w:rPr>
        <w:softHyphen/>
        <w:t>číná tvořit. Ostatně i celá naše rozpočtová tradice byla pouze dvacetiletá a je tém</w:t>
      </w:r>
      <w:r>
        <w:rPr>
          <w:b/>
          <w:bCs/>
        </w:rPr>
        <w:t>ěř s podivem, k jaké solidnosti naše rozpočtová technika dospěla v tak málo letech. Záslu</w:t>
      </w:r>
      <w:r>
        <w:rPr>
          <w:b/>
          <w:bCs/>
        </w:rPr>
        <w:softHyphen/>
        <w:t xml:space="preserve">hu na tom má jednak naše spořádanost vůbec a pak rychle vyspěvší administrativa, kterou dovedl přes všechny </w:t>
      </w:r>
      <w:r>
        <w:rPr>
          <w:b/>
          <w:bCs/>
          <w:sz w:val="15"/>
          <w:szCs w:val="15"/>
        </w:rPr>
        <w:t>své</w:t>
      </w:r>
    </w:p>
    <w:p w:rsidR="00500724" w:rsidRDefault="00F30FB8">
      <w:pPr>
        <w:pStyle w:val="Zkladntext1"/>
        <w:shd w:val="clear" w:color="auto" w:fill="auto"/>
        <w:spacing w:line="187" w:lineRule="auto"/>
        <w:ind w:firstLine="0"/>
      </w:pPr>
      <w:r>
        <w:rPr>
          <w:b/>
          <w:bCs/>
        </w:rPr>
        <w:t xml:space="preserve">nedostatky parlament v celku dobře řídit, protože měl </w:t>
      </w:r>
      <w:r>
        <w:rPr>
          <w:b/>
          <w:bCs/>
        </w:rPr>
        <w:t>ve svém středu dosti pracovitých a schopných odborníků, i když někteří z nich doslovně vyrostli od píky. Tyto dobré vlastností se projevily nyní zase a netřeba je nikterak pod</w:t>
      </w:r>
      <w:r>
        <w:rPr>
          <w:b/>
          <w:bCs/>
        </w:rPr>
        <w:softHyphen/>
        <w:t>ceňovat, protože budou míti dobré následky jak doma, tak i v zahraničním ohlase.</w:t>
      </w:r>
      <w:r>
        <w:rPr>
          <w:b/>
          <w:bCs/>
        </w:rPr>
        <w:t xml:space="preserve"> Nesnadný to byl věru úkol, pokusit se vyloupnout centrální výdaje a stanovit hlav</w:t>
      </w:r>
      <w:r>
        <w:rPr>
          <w:b/>
          <w:bCs/>
        </w:rPr>
        <w:softHyphen/>
        <w:t>ni data federálních rozpočtů, když s tohoto hlediska se dosud u nás nikdy nepracovalo. Výsledek lze již nyní ozna</w:t>
      </w:r>
      <w:r>
        <w:rPr>
          <w:b/>
          <w:bCs/>
        </w:rPr>
        <w:softHyphen/>
        <w:t>čit jako slušný úspěch. Je to doklad schopnosti se přizpůso</w:t>
      </w:r>
      <w:r>
        <w:rPr>
          <w:b/>
          <w:bCs/>
        </w:rPr>
        <w:t>bit. Zároveň je to dokument důvěry</w:t>
      </w:r>
      <w:r>
        <w:rPr>
          <w:b/>
          <w:bCs/>
        </w:rPr>
        <w:softHyphen/>
        <w:t>hodnosti, kterou si nové Česko-Slovensko musí znovu ve světě dobývat.</w:t>
      </w:r>
    </w:p>
    <w:p w:rsidR="00500724" w:rsidRDefault="00F30FB8">
      <w:pPr>
        <w:pStyle w:val="Zkladntext1"/>
        <w:shd w:val="clear" w:color="auto" w:fill="auto"/>
        <w:spacing w:line="187" w:lineRule="auto"/>
        <w:ind w:firstLine="300"/>
      </w:pPr>
      <w:r>
        <w:rPr>
          <w:b/>
          <w:bCs/>
        </w:rPr>
        <w:t>Ze ^Společného státního rozpočtu« na rok 1939, který bude aktivní čtvrtmilionem K a má výdaje a příjmy v rovnováze na 3191 miL K (s rozmezím zhruba 409</w:t>
      </w:r>
      <w:r>
        <w:rPr>
          <w:b/>
          <w:bCs/>
        </w:rPr>
        <w:t xml:space="preserve"> až 600 tisíc mezi příjmy a výdaji), stojí především za povšimnutí, že 44 procent výdajů připadá na obranu stá</w:t>
      </w:r>
      <w:r>
        <w:rPr>
          <w:b/>
          <w:bCs/>
        </w:rPr>
        <w:softHyphen/>
        <w:t>tu a 33 procent na státní dluh. Na ostatní společné úkoly, centrální vlády, parlament a tak zvané společné věci zbý</w:t>
      </w:r>
      <w:r>
        <w:rPr>
          <w:b/>
          <w:bCs/>
        </w:rPr>
        <w:softHyphen/>
        <w:t>vá tedy necelá čtvrtina. Úspo</w:t>
      </w:r>
      <w:r>
        <w:rPr>
          <w:b/>
          <w:bCs/>
        </w:rPr>
        <w:t>ry v srovnání s dosavadními rozpočty jsou značné. U národní obrany činí téměř 700 milionů K, parlament ušetří 10 a půl milionu K, minister</w:t>
      </w:r>
      <w:r>
        <w:rPr>
          <w:b/>
          <w:bCs/>
        </w:rPr>
        <w:softHyphen/>
        <w:t>stvo zahraničních věcí téměř 50 milionů K. Národní obrana preliminuje celkem 1.4 miliardy K, z čehož na osobní vý</w:t>
      </w:r>
      <w:r>
        <w:rPr>
          <w:b/>
          <w:bCs/>
        </w:rPr>
        <w:softHyphen/>
        <w:t>daj</w:t>
      </w:r>
      <w:r>
        <w:rPr>
          <w:b/>
          <w:bCs/>
        </w:rPr>
        <w:t>e připadá 262.5 milionu K a na věcné výdaje jen 434.4 milionu K. Tendence k další redukci těchto výdajů a k po</w:t>
      </w:r>
      <w:r>
        <w:rPr>
          <w:b/>
          <w:bCs/>
        </w:rPr>
        <w:softHyphen/>
        <w:t>stupnému zmenšování naši armády je z toho patrna.</w:t>
      </w:r>
    </w:p>
    <w:p w:rsidR="00500724" w:rsidRDefault="00F30FB8">
      <w:pPr>
        <w:pStyle w:val="Zkladntext1"/>
        <w:shd w:val="clear" w:color="auto" w:fill="auto"/>
        <w:spacing w:line="187" w:lineRule="auto"/>
        <w:ind w:firstLine="300"/>
      </w:pPr>
      <w:r>
        <w:rPr>
          <w:b/>
          <w:bCs/>
        </w:rPr>
        <w:t>Rozpočet českých zemí je ovšem schodkový, jak za da</w:t>
      </w:r>
      <w:r>
        <w:rPr>
          <w:b/>
          <w:bCs/>
        </w:rPr>
        <w:softHyphen/>
        <w:t>ných poměrů jinak býti nemůže. Maximální sc</w:t>
      </w:r>
      <w:r>
        <w:rPr>
          <w:b/>
          <w:bCs/>
        </w:rPr>
        <w:t>hodek ,je ohraničen částkou málo převyšující jednu a čtvrt miliardy K (přesněji 1256.5 milionu K) a má ho krýti ministr finan</w:t>
      </w:r>
      <w:r>
        <w:rPr>
          <w:b/>
          <w:bCs/>
        </w:rPr>
        <w:softHyphen/>
        <w:t>cí úvěrovými operacemi. Hodné pozoru je, že k rozpočtu je připojen zvláštnírozpočetinvestičnína stav</w:t>
      </w:r>
      <w:r>
        <w:rPr>
          <w:b/>
          <w:bCs/>
        </w:rPr>
        <w:softHyphen/>
        <w:t xml:space="preserve">bu dálnice s 450 miliony K a </w:t>
      </w:r>
      <w:r>
        <w:rPr>
          <w:b/>
          <w:bCs/>
        </w:rPr>
        <w:t>na stavby v oboru železnic a pošt s 580 miliony K. Vedle něho ovšem je obvyklý rozpo</w:t>
      </w:r>
      <w:r>
        <w:rPr>
          <w:b/>
          <w:bCs/>
        </w:rPr>
        <w:softHyphen/>
        <w:t>čet státních podniků, který počítá s investicemi 108 mi</w:t>
      </w:r>
      <w:r>
        <w:rPr>
          <w:b/>
          <w:bCs/>
        </w:rPr>
        <w:softHyphen/>
        <w:t>lionů Kas výdaji na obnovu 281 milionů K, z čehož na dráhy a pošty připadá 256 milionů K (k tomu je snad tře</w:t>
      </w:r>
      <w:r>
        <w:rPr>
          <w:b/>
          <w:bCs/>
        </w:rPr>
        <w:softHyphen/>
        <w:t>ba poz</w:t>
      </w:r>
      <w:r>
        <w:rPr>
          <w:b/>
          <w:bCs/>
        </w:rPr>
        <w:t>namenat, že nejaktivnější státní podnik, tabáková režie, náleží ovšem do společného státního rozpočtu, kde preliminuje zisk 814 milionů K, čili 96 procent všeho zisku všech společných státnieh podniků).</w:t>
      </w:r>
    </w:p>
    <w:p w:rsidR="00500724" w:rsidRDefault="00F30FB8">
      <w:pPr>
        <w:pStyle w:val="Zkladntext1"/>
        <w:shd w:val="clear" w:color="auto" w:fill="auto"/>
        <w:spacing w:line="187" w:lineRule="auto"/>
        <w:ind w:firstLine="300"/>
      </w:pPr>
      <w:r>
        <w:rPr>
          <w:b/>
          <w:bCs/>
        </w:rPr>
        <w:t xml:space="preserve">České země tvoří sice zeměpisně polovinu republiky, </w:t>
      </w:r>
      <w:r>
        <w:rPr>
          <w:b/>
          <w:bCs/>
          <w:u w:val="single"/>
        </w:rPr>
        <w:t>a</w:t>
      </w:r>
      <w:r>
        <w:rPr>
          <w:b/>
          <w:bCs/>
          <w:u w:val="single"/>
        </w:rPr>
        <w:t>le populačně tfi' čtVťi</w:t>
      </w:r>
      <w:r>
        <w:rPr>
          <w:b/>
          <w:bCs/>
        </w:rPr>
        <w:t xml:space="preserve">lný, </w:t>
      </w:r>
      <w:r>
        <w:rPr>
          <w:b/>
          <w:bCs/>
          <w:u w:val="single"/>
        </w:rPr>
        <w:t>co "do~</w:t>
      </w:r>
      <w:r>
        <w:rPr>
          <w:b/>
          <w:bCs/>
        </w:rPr>
        <w:t>Eospod</w:t>
      </w:r>
      <w:r>
        <w:rPr>
          <w:b/>
          <w:bCs/>
          <w:u w:val="single"/>
        </w:rPr>
        <w:t>ářského~~bohatství</w:t>
      </w:r>
    </w:p>
    <w:p w:rsidR="00500724" w:rsidRDefault="00F30FB8">
      <w:pPr>
        <w:pStyle w:val="Zkladntext1"/>
        <w:shd w:val="clear" w:color="auto" w:fill="auto"/>
        <w:spacing w:line="187" w:lineRule="auto"/>
        <w:ind w:firstLine="0"/>
      </w:pPr>
      <w:r>
        <w:rPr>
          <w:b/>
          <w:bCs/>
          <w:u w:val="single"/>
        </w:rPr>
        <w:t>Sedm osmin a platily bezmá</w:t>
      </w:r>
      <w:r>
        <w:rPr>
          <w:b/>
          <w:bCs/>
        </w:rPr>
        <w:t>l</w:t>
      </w:r>
      <w:r>
        <w:rPr>
          <w:b/>
          <w:bCs/>
          <w:u w:val="single"/>
        </w:rPr>
        <w:t>a dev</w:t>
      </w:r>
      <w:r>
        <w:rPr>
          <w:b/>
          <w:bCs/>
        </w:rPr>
        <w:t xml:space="preserve">ět des&amp;iia_dani </w:t>
      </w:r>
      <w:r>
        <w:rPr>
          <w:b/>
          <w:bCs/>
          <w:u w:val="single"/>
        </w:rPr>
        <w:t>v býva</w:t>
      </w:r>
      <w:r>
        <w:rPr>
          <w:b/>
          <w:bCs/>
        </w:rPr>
        <w:softHyphen/>
      </w:r>
    </w:p>
    <w:p w:rsidR="00500724" w:rsidRDefault="00F30FB8">
      <w:pPr>
        <w:pStyle w:val="Zkladntext1"/>
        <w:shd w:val="clear" w:color="auto" w:fill="auto"/>
        <w:spacing w:line="187" w:lineRule="auto"/>
        <w:ind w:firstLine="0"/>
      </w:pPr>
      <w:r>
        <w:rPr>
          <w:b/>
          <w:bCs/>
          <w:u w:val="single"/>
        </w:rPr>
        <w:t>lém slá</w:t>
      </w:r>
      <w:r>
        <w:rPr>
          <w:b/>
          <w:bCs/>
        </w:rPr>
        <w:t>tej l-rototaké jejich rozpočet je pochopitelně nej</w:t>
      </w:r>
      <w:r>
        <w:rPr>
          <w:b/>
          <w:bCs/>
        </w:rPr>
        <w:softHyphen/>
        <w:t>větší. Počítá s téměř šestí miliardami výdajů (5902 mi</w:t>
      </w:r>
      <w:r>
        <w:rPr>
          <w:b/>
          <w:bCs/>
        </w:rPr>
        <w:softHyphen/>
        <w:t xml:space="preserve">liony K) a něco přes ětyři </w:t>
      </w:r>
      <w:r>
        <w:rPr>
          <w:b/>
          <w:bCs/>
        </w:rPr>
        <w:t>a půl miliardy příjmů (4638 mil. K). Z toho připadá na školství poměrně velmi mnoho, přes jednu a tři čtvrtí miliardy K, neboť letos po prvé jsou učitelské platy, dříve účtované jako »zálohy«, což ovšem byla čím dále tím více jen pouhá formálnost, do tohot</w:t>
      </w:r>
      <w:r>
        <w:rPr>
          <w:b/>
          <w:bCs/>
        </w:rPr>
        <w:t>o rozpočtu řádně zahrnuty. Činí totiž 600 milionů K z celkového školského rozpočtu českých zemí, který dostu</w:t>
      </w:r>
      <w:r>
        <w:rPr>
          <w:b/>
          <w:bCs/>
        </w:rPr>
        <w:softHyphen/>
        <w:t>puje 1172 mil. K, kdežto loni pro celý stát Snil jen 1067 mil. K, ovšem však 1070 milionů K učitelských platů bylo účtováno jako »záloha«. Z toho j</w:t>
      </w:r>
      <w:r>
        <w:rPr>
          <w:b/>
          <w:bCs/>
        </w:rPr>
        <w:t>sou největší výdaje na platy osobní, které činí 1.055 milionů K ze zmíněných</w:t>
      </w:r>
    </w:p>
    <w:p w:rsidR="00500724" w:rsidRDefault="00F30FB8">
      <w:pPr>
        <w:pStyle w:val="Zkladntext1"/>
        <w:numPr>
          <w:ilvl w:val="0"/>
          <w:numId w:val="22"/>
        </w:numPr>
        <w:shd w:val="clear" w:color="auto" w:fill="auto"/>
        <w:spacing w:line="187" w:lineRule="auto"/>
        <w:ind w:firstLine="0"/>
      </w:pPr>
      <w:r>
        <w:rPr>
          <w:b/>
          <w:bCs/>
        </w:rPr>
        <w:t>172 mil. K. Pense budou pro celou republiku pře</w:t>
      </w:r>
      <w:r>
        <w:rPr>
          <w:b/>
          <w:bCs/>
        </w:rPr>
        <w:softHyphen/>
        <w:t>vyšovat miliardu K, pro české země činí 444 milionů K, náhradou příspěvků jen 327 milionů K. Za to u mini</w:t>
      </w:r>
      <w:r>
        <w:rPr>
          <w:b/>
          <w:bCs/>
        </w:rPr>
        <w:softHyphen/>
        <w:t xml:space="preserve">sterstva veřejnýeh prací </w:t>
      </w:r>
      <w:r>
        <w:rPr>
          <w:b/>
          <w:bCs/>
        </w:rPr>
        <w:t>z celkových výdajů v českých zemích 863 milionů K připadá 808 milionů K na věcné výdaje, z toho jen na stavbu silnic a mostů přes půl miliardy, totiž 543 mil. K.</w:t>
      </w:r>
    </w:p>
    <w:p w:rsidR="00500724" w:rsidRDefault="00F30FB8">
      <w:pPr>
        <w:pStyle w:val="Zkladntext1"/>
        <w:shd w:val="clear" w:color="auto" w:fill="auto"/>
        <w:spacing w:line="187" w:lineRule="auto"/>
        <w:ind w:firstLine="300"/>
      </w:pPr>
      <w:r>
        <w:rPr>
          <w:b/>
          <w:bCs/>
        </w:rPr>
        <w:t>V příjmech se zračí jako pozoruhodnost především zvýšení důchodové daně, která má vynésti přes</w:t>
      </w:r>
      <w:r>
        <w:rPr>
          <w:b/>
          <w:bCs/>
        </w:rPr>
        <w:t xml:space="preserve"> jednu a čtvrt miliardy K (přesněji 1274 miL K), kdežto loni byla preliminována na 1663 mil. K (ovšem pro ne</w:t>
      </w:r>
      <w:r>
        <w:rPr>
          <w:b/>
          <w:bCs/>
        </w:rPr>
        <w:softHyphen/>
        <w:t>zmenšené státní území) a pak značný výnos dani přímých, odhadnutý na 1.870 mil. K, kdežto loni pro celé a úplné státní území byl preliminován na dv</w:t>
      </w:r>
      <w:r>
        <w:rPr>
          <w:b/>
          <w:bCs/>
        </w:rPr>
        <w:t>ě a půl miliardy K. Poměr mezi spotřebními a přímými daněmi se poněkud změnil, protože přímé daně budou nyní vy</w:t>
      </w:r>
      <w:r>
        <w:rPr>
          <w:b/>
          <w:bCs/>
        </w:rPr>
        <w:softHyphen/>
        <w:t>kazovat vyšší podíl na státních příjmech než dosud, kdy byl poměr mezi daněmi přímými a spotřebními 20:80.</w:t>
      </w:r>
    </w:p>
    <w:p w:rsidR="00500724" w:rsidRDefault="00F30FB8">
      <w:pPr>
        <w:pStyle w:val="Zkladntext1"/>
        <w:shd w:val="clear" w:color="auto" w:fill="auto"/>
        <w:spacing w:line="187" w:lineRule="auto"/>
        <w:ind w:firstLine="300"/>
      </w:pPr>
      <w:r>
        <w:rPr>
          <w:b/>
          <w:bCs/>
        </w:rPr>
        <w:t>Zbývá ještě rozpočet slovenský, z něh</w:t>
      </w:r>
      <w:r>
        <w:rPr>
          <w:b/>
          <w:bCs/>
        </w:rPr>
        <w:t>ož zatím známe jen hlavní data. Vlastní státní správa slovenská po</w:t>
      </w:r>
      <w:r>
        <w:rPr>
          <w:b/>
          <w:bCs/>
        </w:rPr>
        <w:softHyphen/>
        <w:t xml:space="preserve">čítá s výdaji 1.192.7 milionu Kas příjmy 886.4 milionu K, čili očekává schodek 306 milionů K. Rozpočet slovenských státních podniků očekává rovněž schodek 204 milionů K, při příjmech 973.9 </w:t>
      </w:r>
      <w:r>
        <w:rPr>
          <w:b/>
          <w:bCs/>
        </w:rPr>
        <w:t xml:space="preserve">milionu K a výdajích 1.178.1 milionu K. Kromě toho počítá slovenský rozpočet rovněž se zvláštním rozpočtem investičním, kde na investice je věnováno 615 milionů K. Není pochyby o tom, že státní správa se setká na Slovensku ještě s dalšími nesnázemi, kromě </w:t>
      </w:r>
      <w:r>
        <w:rPr>
          <w:b/>
          <w:bCs/>
        </w:rPr>
        <w:t>těžkosti obdobných těm, s nimiž budou zápasit české země, protože má mimo jiné za úkol budovat rozpočtování a hospodaření na základě dat, jež není pochopitelně možno zatím přesně zjistit.</w:t>
      </w:r>
    </w:p>
    <w:p w:rsidR="00500724" w:rsidRDefault="00F30FB8">
      <w:pPr>
        <w:pStyle w:val="Zkladntext1"/>
        <w:shd w:val="clear" w:color="auto" w:fill="auto"/>
        <w:tabs>
          <w:tab w:val="left" w:pos="4762"/>
        </w:tabs>
        <w:spacing w:after="120" w:line="187" w:lineRule="auto"/>
        <w:rPr>
          <w:sz w:val="20"/>
          <w:szCs w:val="20"/>
        </w:rPr>
      </w:pPr>
      <w:r>
        <w:rPr>
          <w:b/>
          <w:bCs/>
        </w:rPr>
        <w:t>Je velmi pozoruhodné, že daňová morálka po tragických podzimních udá</w:t>
      </w:r>
      <w:r>
        <w:rPr>
          <w:b/>
          <w:bCs/>
        </w:rPr>
        <w:t>lostech u nás nepoklesla a že zejména v českých zemích může berní správa se dívat na vývoj věcí s poměrným uspokojením, uváží-li se celá situace. Čeho je třeba nadále, jest zjednodušení berního systému, naprostá právní bezpečnost, rozšiřování pracovní příl</w:t>
      </w:r>
      <w:r>
        <w:rPr>
          <w:b/>
          <w:bCs/>
        </w:rPr>
        <w:t>eži</w:t>
      </w:r>
      <w:r>
        <w:rPr>
          <w:b/>
          <w:bCs/>
        </w:rPr>
        <w:softHyphen/>
        <w:t>tosti domácí politikou 1 jednotnou zahraniční politikou obchodní, usilovnou prací na konsolidaci politické i hospo dářské, stabilisací cen a kalkulačních základů podnikatel</w:t>
      </w:r>
      <w:r>
        <w:rPr>
          <w:b/>
          <w:bCs/>
        </w:rPr>
        <w:softHyphen/>
        <w:t>ských a, rozumí se, soustavnou podporou vývozu dosící vyrovnání ztrát, které js</w:t>
      </w:r>
      <w:r>
        <w:rPr>
          <w:b/>
          <w:bCs/>
        </w:rPr>
        <w:t>me utrpěli. Dnes již vidíme, že to není nemožné. Bude to ovšem těžká práce, která však jediná je s to to dokázat. Jako ve všem, co konáme, musí to býti úsilí, založené na jen a jen střízlivém posuzování věcí a na rozumnosti ve všem všudy.</w:t>
      </w:r>
      <w:r>
        <w:rPr>
          <w:b/>
          <w:bCs/>
        </w:rPr>
        <w:tab/>
      </w:r>
      <w:r>
        <w:rPr>
          <w:i/>
          <w:iCs/>
          <w:sz w:val="20"/>
          <w:szCs w:val="20"/>
        </w:rPr>
        <w:t>Kř.</w:t>
      </w:r>
    </w:p>
    <w:p w:rsidR="00500724" w:rsidRDefault="00F30FB8">
      <w:pPr>
        <w:pStyle w:val="Zkladntext1"/>
        <w:shd w:val="clear" w:color="auto" w:fill="auto"/>
        <w:spacing w:after="40" w:line="178" w:lineRule="auto"/>
        <w:ind w:firstLine="0"/>
        <w:jc w:val="center"/>
        <w:rPr>
          <w:sz w:val="20"/>
          <w:szCs w:val="20"/>
        </w:rPr>
      </w:pPr>
      <w:r>
        <w:rPr>
          <w:b/>
          <w:bCs/>
          <w:sz w:val="20"/>
          <w:szCs w:val="20"/>
        </w:rPr>
        <w:t xml:space="preserve">Nač si </w:t>
      </w:r>
      <w:r>
        <w:rPr>
          <w:b/>
          <w:bCs/>
          <w:sz w:val="20"/>
          <w:szCs w:val="20"/>
        </w:rPr>
        <w:t>stěžují zdejší Němci?</w:t>
      </w:r>
    </w:p>
    <w:p w:rsidR="00500724" w:rsidRDefault="00F30FB8">
      <w:pPr>
        <w:pStyle w:val="Zkladntext1"/>
        <w:shd w:val="clear" w:color="auto" w:fill="auto"/>
        <w:spacing w:line="187" w:lineRule="auto"/>
        <w:ind w:firstLine="340"/>
      </w:pPr>
      <w:r>
        <w:rPr>
          <w:b/>
          <w:bCs/>
        </w:rPr>
        <w:t>Aspoň z některých stručných zpráv začíná již veřejnost tušit, že německá národní skupina u nás není dosud se svým postavením spokojena. Říkáme výslovně »německá národní skupina«, poněvadž název i pojem menšiny Němci odmítají. Neuvažuj</w:t>
      </w:r>
      <w:r>
        <w:rPr>
          <w:b/>
          <w:bCs/>
        </w:rPr>
        <w:t>me, který výraz se nám lépe líbí. Hlavní je, abychom věděli, co si Němci myslí, jaké mají požadav</w:t>
      </w:r>
      <w:r>
        <w:rPr>
          <w:b/>
          <w:bCs/>
        </w:rPr>
        <w:softHyphen/>
        <w:t>ky, oč jim jde a jak si svou posici v novém Česko-Slovensku představují. Po druhé se již nechceme dát překvapit.</w:t>
      </w:r>
    </w:p>
    <w:p w:rsidR="00500724" w:rsidRDefault="00F30FB8">
      <w:pPr>
        <w:pStyle w:val="Zkladntext1"/>
        <w:shd w:val="clear" w:color="auto" w:fill="auto"/>
        <w:spacing w:line="187" w:lineRule="auto"/>
        <w:ind w:firstLine="340"/>
      </w:pPr>
      <w:r>
        <w:rPr>
          <w:b/>
          <w:bCs/>
        </w:rPr>
        <w:t>Německá národní skupina nestěžuje si už — a t</w:t>
      </w:r>
      <w:r>
        <w:rPr>
          <w:b/>
          <w:bCs/>
        </w:rPr>
        <w:t>o je po</w:t>
      </w:r>
      <w:r>
        <w:rPr>
          <w:b/>
          <w:bCs/>
        </w:rPr>
        <w:softHyphen/>
        <w:t>chopitelné — na politické nebo ústavně-právní nevýhody. Naši Němci nekladou ani příliš velikou váhu na právní formulace. Stěžují si na konkrétní věci, zdůrazňujíce hlavně požadavky hospodářské. Z řeči posl. K u n d t a, kterou měl nedávno v Klubu n</w:t>
      </w:r>
      <w:r>
        <w:rPr>
          <w:b/>
          <w:bCs/>
        </w:rPr>
        <w:t>ac. socialistických poslanců a senátorů, dovídáme se pomocí »Frankfurter Zeitungu«, že německá národní skupina u nás má ještě hodně požadavků. Po</w:t>
      </w:r>
    </w:p>
    <w:p w:rsidR="00500724" w:rsidRDefault="00F30FB8">
      <w:pPr>
        <w:pStyle w:val="Zkladntext1"/>
        <w:numPr>
          <w:ilvl w:val="0"/>
          <w:numId w:val="23"/>
        </w:numPr>
        <w:shd w:val="clear" w:color="auto" w:fill="auto"/>
        <w:tabs>
          <w:tab w:val="left" w:pos="274"/>
        </w:tabs>
        <w:spacing w:after="40" w:line="187" w:lineRule="auto"/>
        <w:ind w:firstLine="0"/>
      </w:pPr>
      <w:r>
        <w:rPr>
          <w:b/>
          <w:bCs/>
        </w:rPr>
        <w:t>říjnu 1938 odpadly prý sice některé dřívější metody v po</w:t>
      </w:r>
      <w:r>
        <w:rPr>
          <w:b/>
          <w:bCs/>
        </w:rPr>
        <w:softHyphen/>
        <w:t xml:space="preserve">licejní a trestní praksi, je vidět také více ochoty, </w:t>
      </w:r>
      <w:r>
        <w:rPr>
          <w:b/>
          <w:bCs/>
        </w:rPr>
        <w:t>co se týče dovolení vnějších projevů nacionálně-socialistického smýš</w:t>
      </w:r>
      <w:r>
        <w:rPr>
          <w:b/>
          <w:bCs/>
        </w:rPr>
        <w:softHyphen/>
        <w:t>lení (na příklad nošení odznaků s hákovým křížem), ale zato se prý hospodářské a sociální postavení zdejších Němců ještě zhoršilo. Přispěly prý k tomu nejen nové, celkové hos</w:t>
      </w:r>
      <w:r>
        <w:rPr>
          <w:b/>
          <w:bCs/>
        </w:rPr>
        <w:softHyphen/>
        <w:t>podářské pot</w:t>
      </w:r>
      <w:r>
        <w:rPr>
          <w:b/>
          <w:bCs/>
        </w:rPr>
        <w:t>íže státu, ale i postup vůči německým zaměst</w:t>
      </w:r>
      <w:r>
        <w:rPr>
          <w:b/>
          <w:bCs/>
        </w:rPr>
        <w:softHyphen/>
        <w:t>nancům a dělníkům v státních a soukromých podnicích. Zdá se prý, že se určitá část Čechů z událostí r. 1938 ještě ne</w:t>
      </w:r>
      <w:r>
        <w:rPr>
          <w:b/>
          <w:bCs/>
        </w:rPr>
        <w:softHyphen/>
        <w:t>poučila. Němci se prý setkávají na české straně s názorem, jako by nový stát byl útvarem čistě</w:t>
      </w:r>
      <w:r>
        <w:rPr>
          <w:b/>
          <w:bCs/>
        </w:rPr>
        <w:t xml:space="preserve"> národním, z kterého je třeba Němce vypudit. Nikoli násilím, ale zato prý »studenou cestou«. Z toho odvozuje posl. Kundt závěr, že určitá část Čechů chce německou národní skupinu znemožniti exi</w:t>
      </w:r>
      <w:r>
        <w:rPr>
          <w:b/>
          <w:bCs/>
        </w:rPr>
        <w:softHyphen/>
        <w:t>stenčně a donutit ji studenou cestou, aby optovala pro Ně</w:t>
      </w:r>
      <w:r>
        <w:rPr>
          <w:b/>
          <w:bCs/>
        </w:rPr>
        <w:softHyphen/>
        <w:t>meck</w:t>
      </w:r>
      <w:r>
        <w:rPr>
          <w:b/>
          <w:bCs/>
        </w:rPr>
        <w:t>o.</w:t>
      </w:r>
    </w:p>
    <w:p w:rsidR="00500724" w:rsidRDefault="00F30FB8">
      <w:pPr>
        <w:pStyle w:val="Zkladntext1"/>
        <w:shd w:val="clear" w:color="auto" w:fill="auto"/>
        <w:spacing w:after="40" w:line="190" w:lineRule="auto"/>
        <w:ind w:firstLine="340"/>
      </w:pPr>
      <w:r>
        <w:rPr>
          <w:b/>
          <w:bCs/>
        </w:rPr>
        <w:t>Podobné stížnosti přednesl také posl. Karmasin při roz</w:t>
      </w:r>
      <w:r>
        <w:rPr>
          <w:b/>
          <w:bCs/>
        </w:rPr>
        <w:softHyphen/>
        <w:t>počtové rozpravě v slovenském sněmu, odmítaje velmi dů</w:t>
      </w:r>
      <w:r>
        <w:rPr>
          <w:b/>
          <w:bCs/>
        </w:rPr>
        <w:softHyphen/>
        <w:t>razně české prostředkování mezi Němci a Slováky. Vytkl zejména, že na Slovensku, především však v Bratislavě, byli mnozí němečtí zaměstnanci pr</w:t>
      </w:r>
      <w:r>
        <w:rPr>
          <w:b/>
          <w:bCs/>
        </w:rPr>
        <w:t>opuštěni. Není spokojen ani s dosavadní úpravou školské samosprávy pro Němce. A žádá ovšem, aby se všechny požadavky německé národní skupiny rychle splnily, nemá-li vzniknout nové napětí.</w:t>
      </w:r>
    </w:p>
    <w:p w:rsidR="00500724" w:rsidRDefault="00F30FB8">
      <w:pPr>
        <w:pStyle w:val="Zkladntext1"/>
        <w:shd w:val="clear" w:color="auto" w:fill="auto"/>
        <w:tabs>
          <w:tab w:val="left" w:pos="4195"/>
        </w:tabs>
        <w:spacing w:after="100" w:line="190" w:lineRule="auto"/>
        <w:ind w:firstLine="340"/>
        <w:jc w:val="left"/>
        <w:rPr>
          <w:sz w:val="20"/>
          <w:szCs w:val="20"/>
        </w:rPr>
      </w:pPr>
      <w:r>
        <w:rPr>
          <w:b/>
          <w:bCs/>
        </w:rPr>
        <w:t>Ke zprávě o řeči posl. Kundta připojila »Frankfurter Zeitung« vlastn</w:t>
      </w:r>
      <w:r>
        <w:rPr>
          <w:b/>
          <w:bCs/>
        </w:rPr>
        <w:t>í komentář. Varovná slova posl. Kundta nelze prý přeslechnout. Třeba je prý vžiti na vědomost tím spíše, že se německá národní skupina neobrátila dosud se svými stížnostmi na veřejnost. Vystoupila-li nyní z reservy, tedy jenom proto, že se prý projevují te</w:t>
      </w:r>
      <w:r>
        <w:rPr>
          <w:b/>
          <w:bCs/>
        </w:rPr>
        <w:t>ndence, které ně</w:t>
      </w:r>
      <w:r>
        <w:rPr>
          <w:b/>
          <w:bCs/>
        </w:rPr>
        <w:softHyphen/>
        <w:t>meckou národní skupinu ohrožují.</w:t>
      </w:r>
      <w:r>
        <w:rPr>
          <w:b/>
          <w:bCs/>
        </w:rPr>
        <w:tab/>
      </w:r>
      <w:r>
        <w:rPr>
          <w:i/>
          <w:iCs/>
          <w:sz w:val="20"/>
          <w:szCs w:val="20"/>
        </w:rPr>
        <w:t>K. Synek</w:t>
      </w:r>
    </w:p>
    <w:p w:rsidR="00500724" w:rsidRDefault="00F30FB8">
      <w:pPr>
        <w:pStyle w:val="Zkladntext1"/>
        <w:shd w:val="clear" w:color="auto" w:fill="auto"/>
        <w:ind w:left="220" w:firstLine="920"/>
        <w:jc w:val="left"/>
      </w:pPr>
      <w:r>
        <w:rPr>
          <w:b/>
          <w:bCs/>
          <w:sz w:val="20"/>
          <w:szCs w:val="20"/>
        </w:rPr>
        <w:t xml:space="preserve">Slovensko před vážnými úkoly </w:t>
      </w:r>
      <w:r>
        <w:rPr>
          <w:b/>
          <w:bCs/>
        </w:rPr>
        <w:t>'• Rozpočtový výbor slovenského sněmu projednal první</w:t>
      </w:r>
    </w:p>
    <w:p w:rsidR="00500724" w:rsidRDefault="00F30FB8">
      <w:pPr>
        <w:pStyle w:val="Zkladntext1"/>
        <w:shd w:val="clear" w:color="auto" w:fill="auto"/>
        <w:spacing w:after="60" w:line="190" w:lineRule="auto"/>
        <w:ind w:firstLine="0"/>
      </w:pPr>
      <w:r>
        <w:rPr>
          <w:b/>
          <w:bCs/>
        </w:rPr>
        <w:t>návrh na řádné hospodaření; nutno konstatovati, že, oproš</w:t>
      </w:r>
      <w:r>
        <w:rPr>
          <w:b/>
          <w:bCs/>
        </w:rPr>
        <w:softHyphen/>
        <w:t>těn od líbivých hesel, se ujímá práce vážně. Odpovědní s</w:t>
      </w:r>
      <w:r>
        <w:rPr>
          <w:b/>
          <w:bCs/>
        </w:rPr>
        <w:t>lo</w:t>
      </w:r>
      <w:r>
        <w:rPr>
          <w:b/>
          <w:bCs/>
        </w:rPr>
        <w:softHyphen/>
        <w:t>venští činitelé nedívají se na budoucnost růžovými brýlemi mámení, nebof jsou si vědomi, že organisují hospodářský život pro zemi chudší, než jaká se rýsovala před 6. říjnem.</w:t>
      </w:r>
    </w:p>
    <w:p w:rsidR="00500724" w:rsidRDefault="00F30FB8">
      <w:pPr>
        <w:pStyle w:val="Zkladntext1"/>
        <w:shd w:val="clear" w:color="auto" w:fill="auto"/>
        <w:spacing w:after="40" w:line="190" w:lineRule="auto"/>
        <w:ind w:firstLine="0"/>
      </w:pPr>
      <w:r>
        <w:rPr>
          <w:b/>
          <w:bCs/>
        </w:rPr>
        <w:t>Je zmenšena o část obilní komory, ztratila většinu okresů s tabákovými a papri</w:t>
      </w:r>
      <w:r>
        <w:rPr>
          <w:b/>
          <w:bCs/>
        </w:rPr>
        <w:t>kovými kulturami, byly jí urvány kraje vinorodé a stejně utrpělo ovocnářství. A tak se obrací pozornost k dosud skrytým zdrojům národního blahobytu, k využitkování léčivých a minerálních zřídel, rozšíření těžby; uhlí a rud, povznesení cestovního a turistic</w:t>
      </w:r>
      <w:r>
        <w:rPr>
          <w:b/>
          <w:bCs/>
        </w:rPr>
        <w:t>kého ruchu. K tomu je ovšem třeba peněz. Avšak ministr Teplanský pro</w:t>
      </w:r>
      <w:r>
        <w:rPr>
          <w:b/>
          <w:bCs/>
        </w:rPr>
        <w:softHyphen/>
        <w:t>hlásil, že nikterak neuspokojuje stav likvidních prostředků a vkladů ve slovenských peněžních ústavech a že základnou všeho podnikání musí býti součinnost s českým kapitálem. Za předpokla</w:t>
      </w:r>
      <w:r>
        <w:rPr>
          <w:b/>
          <w:bCs/>
        </w:rPr>
        <w:t>d toho prohlásil nutnost úplné právní jistoty, pořádek a rozumné spravování národního jmění. Z číslic dosud známých není možno zatím sdělati přesnější přehled a také nejsou ještě konečné. Ví se již, že náklad osobní pohltí polovinu všech vydání. Předpoklád</w:t>
      </w:r>
      <w:r>
        <w:rPr>
          <w:b/>
          <w:bCs/>
        </w:rPr>
        <w:t>aný schodek vy</w:t>
      </w:r>
      <w:r>
        <w:rPr>
          <w:b/>
          <w:bCs/>
        </w:rPr>
        <w:softHyphen/>
        <w:t>rovnati zvýšením veřejných dávek o potřebných 48 procent se považuje za nemyslitelné, takže se musí uvažovati o sní</w:t>
      </w:r>
      <w:r>
        <w:rPr>
          <w:b/>
          <w:bCs/>
        </w:rPr>
        <w:softHyphen/>
        <w:t>žení položek výdajových, zvýšit! poplatní sílu obyvatelstva zahájením prací v celé zemi a opatřením půjček. Zatím byl ministr</w:t>
      </w:r>
      <w:r>
        <w:rPr>
          <w:b/>
          <w:bCs/>
        </w:rPr>
        <w:t xml:space="preserve"> pověřen opatřiti půjčkou 60 milionů na nejnutnější vydání. Prvním úsporným pokusem je návrh na honorování jen hotových výloh poslanců, které nesmějí přesahovat! 3000 K měsíčně, přesunutí některých povinností státu na obce, na příklad sociální péče (podle </w:t>
      </w:r>
      <w:r>
        <w:rPr>
          <w:b/>
          <w:bCs/>
        </w:rPr>
        <w:t>německého vzoru) a také se uvažuje, má-li Slovensko dokončiti na svůj náklad práce započaté za dřívějších poměrů.</w:t>
      </w:r>
    </w:p>
    <w:p w:rsidR="00500724" w:rsidRDefault="00F30FB8">
      <w:pPr>
        <w:pStyle w:val="Zkladntext1"/>
        <w:shd w:val="clear" w:color="auto" w:fill="auto"/>
        <w:tabs>
          <w:tab w:val="left" w:pos="4829"/>
        </w:tabs>
        <w:spacing w:after="180" w:line="190" w:lineRule="auto"/>
        <w:ind w:firstLine="320"/>
        <w:rPr>
          <w:sz w:val="20"/>
          <w:szCs w:val="20"/>
        </w:rPr>
      </w:pPr>
      <w:r>
        <w:rPr>
          <w:b/>
          <w:bCs/>
        </w:rPr>
        <w:t xml:space="preserve">Nejmladší sněm Evropy bude jistě postaven před těžký úkol. Jde se za ním s elánem. Možnost hospodářské výstavby Slovenska zajisté nelze </w:t>
      </w:r>
      <w:r>
        <w:rPr>
          <w:b/>
          <w:bCs/>
        </w:rPr>
        <w:t>popírati, ovšem v nejtěs</w:t>
      </w:r>
      <w:r>
        <w:rPr>
          <w:b/>
          <w:bCs/>
        </w:rPr>
        <w:softHyphen/>
        <w:t>nější součinnosti s ostatními zeměmi. Zajistiti tuto nevy</w:t>
      </w:r>
      <w:r>
        <w:rPr>
          <w:b/>
          <w:bCs/>
        </w:rPr>
        <w:softHyphen/>
        <w:t>hnutelnou součinnost bude úkolem slovenských zákono</w:t>
      </w:r>
      <w:r>
        <w:rPr>
          <w:b/>
          <w:bCs/>
        </w:rPr>
        <w:softHyphen/>
        <w:t>dárců. Správně bylo vystihnuto, že je třeba právní jistoty v plném rozsahu, aby začal pracovati kapitál, který je k dispo</w:t>
      </w:r>
      <w:r>
        <w:rPr>
          <w:b/>
          <w:bCs/>
        </w:rPr>
        <w:t>sici a který ještě přijde. Jen tak je možno očekávati zvýšení poplatní síly a postupující blahobyt.</w:t>
      </w:r>
      <w:r>
        <w:rPr>
          <w:b/>
          <w:bCs/>
        </w:rPr>
        <w:tab/>
      </w:r>
      <w:r>
        <w:rPr>
          <w:i/>
          <w:iCs/>
          <w:sz w:val="20"/>
          <w:szCs w:val="20"/>
        </w:rPr>
        <w:t>kl</w:t>
      </w:r>
    </w:p>
    <w:p w:rsidR="00500724" w:rsidRDefault="00F30FB8">
      <w:pPr>
        <w:pStyle w:val="Zkladntext1"/>
        <w:shd w:val="clear" w:color="auto" w:fill="auto"/>
        <w:spacing w:after="40" w:line="180" w:lineRule="auto"/>
        <w:ind w:left="60" w:firstLine="0"/>
        <w:jc w:val="center"/>
        <w:rPr>
          <w:sz w:val="20"/>
          <w:szCs w:val="20"/>
        </w:rPr>
      </w:pPr>
      <w:r>
        <w:rPr>
          <w:b/>
          <w:bCs/>
          <w:sz w:val="20"/>
          <w:szCs w:val="20"/>
        </w:rPr>
        <w:t>Vojenské události v Anglii</w:t>
      </w:r>
    </w:p>
    <w:p w:rsidR="00500724" w:rsidRDefault="00F30FB8">
      <w:pPr>
        <w:pStyle w:val="Zkladntext1"/>
        <w:shd w:val="clear" w:color="auto" w:fill="auto"/>
        <w:spacing w:after="40" w:line="190" w:lineRule="auto"/>
        <w:ind w:firstLine="320"/>
      </w:pPr>
      <w:r>
        <w:rPr>
          <w:b/>
          <w:bCs/>
        </w:rPr>
        <w:t>Není čísla anglických novin, abychom se tam nedočtu nových podrobností o tom, jak se buduje protiletecká obrana ve Velké Brita</w:t>
      </w:r>
      <w:r>
        <w:rPr>
          <w:b/>
          <w:bCs/>
        </w:rPr>
        <w:t>nii, zkráceně zvaná ABP (Anti-Kaid-Protec- tion), jak se rozmnožují zásoby zbraní a nábojů, co se dělá pro civilní obyvatelstvo, jak se shromažďují potraviny a při</w:t>
      </w:r>
      <w:r>
        <w:rPr>
          <w:b/>
          <w:bCs/>
        </w:rPr>
        <w:softHyphen/>
        <w:t>pravují se všechna opatření pro rychlé vyklizení měst a po</w:t>
      </w:r>
      <w:r>
        <w:rPr>
          <w:b/>
          <w:bCs/>
        </w:rPr>
        <w:softHyphen/>
        <w:t>byt statisícových mas žen, dětí a</w:t>
      </w:r>
      <w:r>
        <w:rPr>
          <w:b/>
          <w:bCs/>
        </w:rPr>
        <w:t xml:space="preserve"> války neschopných mužů na venkově, ve skotských horách a skrytých údolích. Tako</w:t>
      </w:r>
      <w:r>
        <w:rPr>
          <w:b/>
          <w:bCs/>
        </w:rPr>
        <w:softHyphen/>
        <w:t>vých táborů má býti půl druhého tisíce. Ovšem, nikde se nedočteme, že by se anglická vláda tím připravovala na válku.</w:t>
      </w:r>
    </w:p>
    <w:p w:rsidR="00500724" w:rsidRDefault="00F30FB8">
      <w:pPr>
        <w:pStyle w:val="Zkladntext1"/>
        <w:shd w:val="clear" w:color="auto" w:fill="auto"/>
        <w:spacing w:after="40" w:line="190" w:lineRule="auto"/>
        <w:ind w:firstLine="320"/>
      </w:pPr>
      <w:r>
        <w:rPr>
          <w:b/>
          <w:bCs/>
        </w:rPr>
        <w:t xml:space="preserve">Na letošní rozpočtový rok, který se ovšem ještě nezačal, </w:t>
      </w:r>
      <w:r>
        <w:rPr>
          <w:b/>
          <w:bCs/>
        </w:rPr>
        <w:t>budou podle anglických novin rozpočtové výdaje Anglie na zbrojení zvýšeny o 134 milionů liber proti loňsku na 480 milionů liber, tedy asi na plnou polovinu rozpočtu. Z toho připadne asi 200 milionů liber na letectvo, 140 milionů na válečné loďstvo a 140 mi</w:t>
      </w:r>
      <w:r>
        <w:rPr>
          <w:b/>
          <w:bCs/>
        </w:rPr>
        <w:t>lionů liber na pozemní armádu. Mě</w:t>
      </w:r>
      <w:r>
        <w:rPr>
          <w:b/>
          <w:bCs/>
        </w:rPr>
        <w:softHyphen/>
        <w:t>síčně dnes vyrábí Anglie asi 400 letadel, což je dvakráte tolik, co loni, a do konce prvního pololetí letošního roku bude výroba proti loňsku ztrojnásobena, to znamená asi na 600 letadel měsíčně. Jde o vysoce kvalitní stro</w:t>
      </w:r>
      <w:r>
        <w:rPr>
          <w:b/>
          <w:bCs/>
        </w:rPr>
        <w:t>je z nejlepšího materiálu, s velikou nosností a rekordní rychlostí, jež s vý</w:t>
      </w:r>
      <w:r>
        <w:rPr>
          <w:b/>
          <w:bCs/>
        </w:rPr>
        <w:softHyphen/>
        <w:t>jimkou amerických letadel, dosud žádný stát na světě nebyl s to sériově postavit.</w:t>
      </w:r>
    </w:p>
    <w:p w:rsidR="00500724" w:rsidRDefault="00F30FB8">
      <w:pPr>
        <w:pStyle w:val="Zkladntext1"/>
        <w:shd w:val="clear" w:color="auto" w:fill="auto"/>
        <w:spacing w:after="40" w:line="190" w:lineRule="auto"/>
        <w:ind w:firstLine="360"/>
        <w:sectPr w:rsidR="00500724">
          <w:footnotePr>
            <w:numFmt w:val="chicago"/>
            <w:numRestart w:val="eachPage"/>
          </w:footnotePr>
          <w:type w:val="continuous"/>
          <w:pgSz w:w="11909" w:h="16834"/>
          <w:pgMar w:top="1220" w:right="861" w:bottom="947" w:left="665" w:header="0" w:footer="3" w:gutter="0"/>
          <w:cols w:num="2" w:space="100"/>
          <w:noEndnote/>
          <w:docGrid w:linePitch="360"/>
        </w:sectPr>
      </w:pPr>
      <w:r>
        <w:rPr>
          <w:b/>
          <w:bCs/>
        </w:rPr>
        <w:t>Zároveň se pracuje na protiletecké obraně. Sir John Anderson se sta</w:t>
      </w:r>
      <w:r>
        <w:rPr>
          <w:b/>
          <w:bCs/>
        </w:rPr>
        <w:t xml:space="preserve">l členem britské vlády a dostal titul ministr civilní obrany (Civil </w:t>
      </w:r>
      <w:r>
        <w:rPr>
          <w:b/>
          <w:bCs/>
          <w:lang w:val="en-US" w:eastAsia="en-US" w:bidi="en-US"/>
        </w:rPr>
        <w:t xml:space="preserve">Defence Minister). </w:t>
      </w:r>
      <w:r>
        <w:rPr>
          <w:b/>
          <w:bCs/>
        </w:rPr>
        <w:t>Má k ruce štáb od</w:t>
      </w:r>
      <w:r>
        <w:rPr>
          <w:b/>
          <w:bCs/>
        </w:rPr>
        <w:softHyphen/>
        <w:t>borníků a jeho úřad roste takovou měrou, že již zabírá ně</w:t>
      </w:r>
      <w:r>
        <w:rPr>
          <w:b/>
          <w:bCs/>
        </w:rPr>
        <w:softHyphen/>
        <w:t>kolik budov. Je jistě zajímavé, že sir John spěchá, aby. věci byly hotovy co nejdříve, ačkoli</w:t>
      </w:r>
      <w:r>
        <w:rPr>
          <w:b/>
          <w:bCs/>
        </w:rPr>
        <w:t>v podle projevů šéfa britské vlády soudě, to snad je zbytečnost, neboť válka nehrozí. Zdá se, že sir John si těchto prohlášení mnoho nevšímá, neboť právě dal uveřejnit ve všech anglických novinách výzvu ke všemu obyvatelstvu, aby si pořídilo zásoby potravi</w:t>
      </w:r>
      <w:r>
        <w:rPr>
          <w:b/>
          <w:bCs/>
        </w:rPr>
        <w:t>n alespoň na dva týdny a nedávno zase stejným způsobem oznámil, že »nebude ztracen ani okamžik při budování stálých, počasí vzdorujících dobrých krytů«. Při tom se pokračuje v rekru</w:t>
      </w:r>
      <w:r>
        <w:rPr>
          <w:b/>
          <w:bCs/>
        </w:rPr>
        <w:softHyphen/>
        <w:t xml:space="preserve">tování Icivilian </w:t>
      </w:r>
      <w:r>
        <w:rPr>
          <w:b/>
          <w:bCs/>
          <w:lang w:val="en-US" w:eastAsia="en-US" w:bidi="en-US"/>
        </w:rPr>
        <w:t xml:space="preserve">Defence </w:t>
      </w:r>
      <w:r>
        <w:rPr>
          <w:b/>
          <w:bCs/>
        </w:rPr>
        <w:t>Army«, civilní obranné armády, do níž již bylo po</w:t>
      </w:r>
      <w:r>
        <w:rPr>
          <w:b/>
          <w:bCs/>
        </w:rPr>
        <w:t>jato asi jeden a čtvrt milionu mužů. Vláda dala natisknout dvacet milionů brožur, poučujících obyvatel</w:t>
      </w:r>
      <w:r>
        <w:rPr>
          <w:b/>
          <w:bCs/>
        </w:rPr>
        <w:softHyphen/>
        <w:t>stvo o tom, co má dělat za války, při leteckém útoku, jak se připravit k obraně, pro vstup do armády, jaké soukromé zbraně a kryty si pořídit, a tak dále</w:t>
      </w:r>
      <w:r>
        <w:rPr>
          <w:b/>
          <w:bCs/>
        </w:rPr>
        <w:t xml:space="preserve">. Tento »National </w:t>
      </w:r>
      <w:r>
        <w:rPr>
          <w:b/>
          <w:bCs/>
          <w:lang w:val="en-US" w:eastAsia="en-US" w:bidi="en-US"/>
        </w:rPr>
        <w:t>Defence</w:t>
      </w:r>
    </w:p>
    <w:p w:rsidR="00500724" w:rsidRDefault="00500724">
      <w:pPr>
        <w:spacing w:before="31" w:after="31" w:line="240" w:lineRule="exact"/>
        <w:rPr>
          <w:sz w:val="19"/>
          <w:szCs w:val="19"/>
        </w:rPr>
      </w:pPr>
    </w:p>
    <w:p w:rsidR="00500724" w:rsidRDefault="00500724">
      <w:pPr>
        <w:spacing w:line="14" w:lineRule="exact"/>
        <w:sectPr w:rsidR="00500724">
          <w:footnotePr>
            <w:numFmt w:val="chicago"/>
            <w:numRestart w:val="eachPage"/>
          </w:footnotePr>
          <w:pgSz w:w="11909" w:h="16834"/>
          <w:pgMar w:top="1487" w:right="0" w:bottom="818" w:left="0" w:header="0" w:footer="3" w:gutter="0"/>
          <w:cols w:space="720"/>
          <w:noEndnote/>
          <w:docGrid w:linePitch="360"/>
        </w:sectPr>
      </w:pPr>
    </w:p>
    <w:p w:rsidR="00500724" w:rsidRDefault="00F30FB8">
      <w:pPr>
        <w:pStyle w:val="Zkladntext1"/>
        <w:shd w:val="clear" w:color="auto" w:fill="auto"/>
        <w:spacing w:line="190" w:lineRule="auto"/>
        <w:ind w:firstLine="0"/>
      </w:pPr>
      <w:r>
        <w:rPr>
          <w:b/>
          <w:bCs/>
          <w:lang w:val="en-US" w:eastAsia="en-US" w:bidi="en-US"/>
        </w:rPr>
        <w:t xml:space="preserve">Guides </w:t>
      </w:r>
      <w:r>
        <w:rPr>
          <w:b/>
          <w:bCs/>
        </w:rPr>
        <w:t>se již rozesílá. Anglická vláda dala vyrábět něco, co ještě se v žádném státě ve velkém nepořizovalo, totiž ocelové kryty pro rodiny. Do poloviny února musily všech</w:t>
      </w:r>
      <w:r>
        <w:rPr>
          <w:b/>
          <w:bCs/>
        </w:rPr>
        <w:softHyphen/>
        <w:t>ny větší obce oznámit zvláštní</w:t>
      </w:r>
      <w:r>
        <w:rPr>
          <w:b/>
          <w:bCs/>
        </w:rPr>
        <w:t>mi přípisy přímo siru Johnovi, kolik takových krytů budou potřebovat. Rodiny, jejichž ži- vitel nevydělá více než 250 liber ročně (podle oficiálního kursu asi 35 tisíc K), dostanou tyto kryty zdarma. Podle obrázku vypadají jako jakási malá garáž z rolované</w:t>
      </w:r>
      <w:r>
        <w:rPr>
          <w:b/>
          <w:bCs/>
        </w:rPr>
        <w:t>ho oce</w:t>
      </w:r>
      <w:r>
        <w:rPr>
          <w:b/>
          <w:bCs/>
        </w:rPr>
        <w:softHyphen/>
        <w:t>lového plechu se shrnovací zástěnou, jaká bývá na našich obchodech.</w:t>
      </w:r>
    </w:p>
    <w:p w:rsidR="00500724" w:rsidRDefault="00F30FB8">
      <w:pPr>
        <w:pStyle w:val="Zkladntext1"/>
        <w:shd w:val="clear" w:color="auto" w:fill="auto"/>
        <w:spacing w:after="260" w:line="190" w:lineRule="auto"/>
        <w:ind w:firstLine="300"/>
      </w:pPr>
      <w:r>
        <w:rPr>
          <w:b/>
          <w:bCs/>
        </w:rPr>
        <w:t xml:space="preserve">Úsilí, které vyvinuje takto vláda Velké Britanie, je zcela mimořádné a souvisí jistě s celkovou nejistotou doby. </w:t>
      </w:r>
      <w:r>
        <w:rPr>
          <w:b/>
          <w:bCs/>
          <w:i/>
          <w:iCs/>
        </w:rPr>
        <w:t>Cis</w:t>
      </w:r>
    </w:p>
    <w:p w:rsidR="00500724" w:rsidRDefault="00F30FB8">
      <w:pPr>
        <w:pStyle w:val="Jin0"/>
        <w:pBdr>
          <w:bottom w:val="single" w:sz="4" w:space="0" w:color="auto"/>
        </w:pBdr>
        <w:shd w:val="clear" w:color="auto" w:fill="auto"/>
        <w:spacing w:after="220"/>
        <w:ind w:firstLine="0"/>
        <w:jc w:val="left"/>
        <w:rPr>
          <w:sz w:val="44"/>
          <w:szCs w:val="44"/>
        </w:rPr>
      </w:pPr>
      <w:r>
        <w:rPr>
          <w:b/>
          <w:bCs/>
          <w:sz w:val="44"/>
          <w:szCs w:val="44"/>
        </w:rPr>
        <w:t>politika</w:t>
      </w:r>
    </w:p>
    <w:p w:rsidR="00500724" w:rsidRDefault="00F30FB8">
      <w:pPr>
        <w:pStyle w:val="Zkladntext1"/>
        <w:shd w:val="clear" w:color="auto" w:fill="auto"/>
        <w:spacing w:after="60"/>
        <w:ind w:firstLine="0"/>
        <w:rPr>
          <w:sz w:val="20"/>
          <w:szCs w:val="20"/>
        </w:rPr>
      </w:pPr>
      <w:r>
        <w:rPr>
          <w:i/>
          <w:iCs/>
          <w:sz w:val="20"/>
          <w:szCs w:val="20"/>
        </w:rPr>
        <w:t>Karel Nedvěd:</w:t>
      </w:r>
    </w:p>
    <w:p w:rsidR="00500724" w:rsidRDefault="00F30FB8">
      <w:pPr>
        <w:pStyle w:val="Nadpis100"/>
        <w:shd w:val="clear" w:color="auto" w:fill="auto"/>
        <w:spacing w:after="60" w:line="240" w:lineRule="auto"/>
        <w:jc w:val="left"/>
      </w:pPr>
      <w:bookmarkStart w:id="217" w:name="bookmark216"/>
      <w:r>
        <w:rPr>
          <w:lang w:val="en-US" w:eastAsia="en-US" w:bidi="en-US"/>
        </w:rPr>
        <w:t xml:space="preserve">Bonnet </w:t>
      </w:r>
      <w:r>
        <w:t>a francouzská veřejnost</w:t>
      </w:r>
      <w:bookmarkEnd w:id="217"/>
    </w:p>
    <w:p w:rsidR="00500724" w:rsidRDefault="00F30FB8">
      <w:pPr>
        <w:pStyle w:val="Zkladntext1"/>
        <w:shd w:val="clear" w:color="auto" w:fill="auto"/>
        <w:spacing w:line="218" w:lineRule="auto"/>
        <w:ind w:firstLine="300"/>
        <w:rPr>
          <w:sz w:val="18"/>
          <w:szCs w:val="18"/>
        </w:rPr>
      </w:pPr>
      <w:r>
        <w:rPr>
          <w:sz w:val="18"/>
          <w:szCs w:val="18"/>
        </w:rPr>
        <w:t xml:space="preserve">Před </w:t>
      </w:r>
      <w:r>
        <w:rPr>
          <w:sz w:val="18"/>
          <w:szCs w:val="18"/>
        </w:rPr>
        <w:t>několika týdny mluvil francouzský ministr zahra</w:t>
      </w:r>
      <w:r>
        <w:rPr>
          <w:sz w:val="18"/>
          <w:szCs w:val="18"/>
        </w:rPr>
        <w:softHyphen/>
        <w:t xml:space="preserve">ničních věcí </w:t>
      </w:r>
      <w:r>
        <w:rPr>
          <w:sz w:val="18"/>
          <w:szCs w:val="18"/>
          <w:lang w:val="en-US" w:eastAsia="en-US" w:bidi="en-US"/>
        </w:rPr>
        <w:t xml:space="preserve">Georges Bonnet </w:t>
      </w:r>
      <w:r>
        <w:rPr>
          <w:sz w:val="18"/>
          <w:szCs w:val="18"/>
        </w:rPr>
        <w:t>ve francouzské sněmovně o italských nárocích. Ministr neměl šťastný den. Jeho ré</w:t>
      </w:r>
      <w:r>
        <w:rPr>
          <w:sz w:val="18"/>
          <w:szCs w:val="18"/>
        </w:rPr>
        <w:softHyphen/>
        <w:t>torika a |5aíos, s nimiž přisahal, že nikdy Francie ne</w:t>
      </w:r>
      <w:r>
        <w:rPr>
          <w:sz w:val="18"/>
          <w:szCs w:val="18"/>
        </w:rPr>
        <w:softHyphen/>
        <w:t xml:space="preserve">ustoupí ani píď svého území, narážely na </w:t>
      </w:r>
      <w:r>
        <w:rPr>
          <w:sz w:val="18"/>
          <w:szCs w:val="18"/>
        </w:rPr>
        <w:t>výkřiky a po</w:t>
      </w:r>
      <w:r>
        <w:rPr>
          <w:sz w:val="18"/>
          <w:szCs w:val="18"/>
        </w:rPr>
        <w:softHyphen/>
        <w:t xml:space="preserve">směch poslanců. Tu </w:t>
      </w:r>
      <w:r>
        <w:rPr>
          <w:sz w:val="18"/>
          <w:szCs w:val="18"/>
          <w:lang w:val="en-US" w:eastAsia="en-US" w:bidi="en-US"/>
        </w:rPr>
        <w:t xml:space="preserve">Bonnet </w:t>
      </w:r>
      <w:r>
        <w:rPr>
          <w:sz w:val="18"/>
          <w:szCs w:val="18"/>
        </w:rPr>
        <w:t>zvolal:</w:t>
      </w:r>
    </w:p>
    <w:p w:rsidR="00500724" w:rsidRDefault="00F30FB8">
      <w:pPr>
        <w:pStyle w:val="Zkladntext1"/>
        <w:shd w:val="clear" w:color="auto" w:fill="auto"/>
        <w:spacing w:line="216" w:lineRule="auto"/>
        <w:ind w:firstLine="300"/>
        <w:rPr>
          <w:sz w:val="18"/>
          <w:szCs w:val="18"/>
        </w:rPr>
      </w:pPr>
      <w:r>
        <w:rPr>
          <w:sz w:val="18"/>
          <w:szCs w:val="18"/>
        </w:rPr>
        <w:t>»Pánové, co se stalo? Nepoznávám tuto sněmovnu! Vždyť táž sněmovna před pouhými třemi měsíci téměř jedno</w:t>
      </w:r>
      <w:r>
        <w:rPr>
          <w:sz w:val="18"/>
          <w:szCs w:val="18"/>
        </w:rPr>
        <w:softHyphen/>
        <w:t>myslně nadšeně schválila naši politiku v Mnichově!... Co se změnilo od té doby? Nic!«</w:t>
      </w:r>
    </w:p>
    <w:p w:rsidR="00500724" w:rsidRDefault="00F30FB8">
      <w:pPr>
        <w:pStyle w:val="Zkladntext1"/>
        <w:shd w:val="clear" w:color="auto" w:fill="auto"/>
        <w:spacing w:line="216" w:lineRule="auto"/>
        <w:ind w:firstLine="300"/>
        <w:rPr>
          <w:sz w:val="18"/>
          <w:szCs w:val="18"/>
        </w:rPr>
      </w:pPr>
      <w:r>
        <w:rPr>
          <w:sz w:val="18"/>
          <w:szCs w:val="18"/>
        </w:rPr>
        <w:t>V tomto místě zazn</w:t>
      </w:r>
      <w:r>
        <w:rPr>
          <w:sz w:val="18"/>
          <w:szCs w:val="18"/>
        </w:rPr>
        <w:t>amenal sněmovní zpravodaj: &gt;Po</w:t>
      </w:r>
      <w:r>
        <w:rPr>
          <w:sz w:val="18"/>
          <w:szCs w:val="18"/>
        </w:rPr>
        <w:softHyphen/>
        <w:t xml:space="preserve">směch na pravici, ve středu a na levici.* Zřídka se stává, aby se francouzská sněmovna sjednotila na pravici, ve středu a na levici v posměchu. </w:t>
      </w:r>
      <w:r>
        <w:rPr>
          <w:sz w:val="18"/>
          <w:szCs w:val="18"/>
          <w:lang w:val="en-US" w:eastAsia="en-US" w:bidi="en-US"/>
        </w:rPr>
        <w:t xml:space="preserve">Bonnet </w:t>
      </w:r>
      <w:r>
        <w:rPr>
          <w:sz w:val="18"/>
          <w:szCs w:val="18"/>
        </w:rPr>
        <w:t xml:space="preserve">zřejmě neměl pravdu. Něco se ve Francii od říjnových dnů změnilo. Zmizela </w:t>
      </w:r>
      <w:r>
        <w:rPr>
          <w:sz w:val="18"/>
          <w:szCs w:val="18"/>
        </w:rPr>
        <w:t>jednomyslnost, s níž byl uvítán »zachránce mí</w:t>
      </w:r>
      <w:r>
        <w:rPr>
          <w:sz w:val="18"/>
          <w:szCs w:val="18"/>
        </w:rPr>
        <w:softHyphen/>
        <w:t>ru* Daladier, když se vracel z Mnichova. Názor, že tento mír byl vykoupen v Mnichově příliš velkou obětí, zou</w:t>
      </w:r>
      <w:r>
        <w:rPr>
          <w:sz w:val="18"/>
          <w:szCs w:val="18"/>
        </w:rPr>
        <w:softHyphen/>
        <w:t>falství nad oslabením mocenského postavení Francie, obava, že příští Mnichov se bude konat na její ú</w:t>
      </w:r>
      <w:r>
        <w:rPr>
          <w:sz w:val="18"/>
          <w:szCs w:val="18"/>
        </w:rPr>
        <w:t xml:space="preserve">čet — to vše proniká do širokých vrstev francouzské veřejnosti </w:t>
      </w:r>
      <w:r>
        <w:rPr>
          <w:sz w:val="18"/>
          <w:szCs w:val="18"/>
          <w:lang w:val="en-US" w:eastAsia="en-US" w:bidi="en-US"/>
        </w:rPr>
        <w:t xml:space="preserve">vice </w:t>
      </w:r>
      <w:r>
        <w:rPr>
          <w:sz w:val="18"/>
          <w:szCs w:val="18"/>
        </w:rPr>
        <w:t>a více a spojuje v odporu proti Bonnetově politice tradiční nepřátele, socialistickou levici s nacionalistickou pravicí. Nejsou to už jen komunisté na levici, kteří od</w:t>
      </w:r>
      <w:r>
        <w:rPr>
          <w:sz w:val="18"/>
          <w:szCs w:val="18"/>
        </w:rPr>
        <w:softHyphen/>
        <w:t>soudili Mnichov, a n</w:t>
      </w:r>
      <w:r>
        <w:rPr>
          <w:sz w:val="18"/>
          <w:szCs w:val="18"/>
        </w:rPr>
        <w:t>ení to už na pravici osamělý De Ke</w:t>
      </w:r>
      <w:r>
        <w:rPr>
          <w:sz w:val="18"/>
          <w:szCs w:val="18"/>
        </w:rPr>
        <w:softHyphen/>
        <w:t>rillis, který s .vytrvalostí hodnou podivu den co den prudce útočí na ministra zahraničních věcí. I v samotné radikální straně se vzmáhá odpor proti Bonnetovi, a na pravici Kerillisovi denně sekundují v &gt;Ordru* Emile Buré</w:t>
      </w:r>
      <w:r>
        <w:rPr>
          <w:sz w:val="18"/>
          <w:szCs w:val="18"/>
        </w:rPr>
        <w:t>, a v časopise hlavního štábu »Europe Nouvelle* Pertinax, a co je nej důležitější, i největší strana francouzské pra</w:t>
      </w:r>
      <w:r>
        <w:rPr>
          <w:sz w:val="18"/>
          <w:szCs w:val="18"/>
        </w:rPr>
        <w:softHyphen/>
        <w:t>vice, Republikánská federace, vyhlásila ústy svého před</w:t>
      </w:r>
      <w:r>
        <w:rPr>
          <w:sz w:val="18"/>
          <w:szCs w:val="18"/>
        </w:rPr>
        <w:softHyphen/>
        <w:t>sedy Louise Marina nepřátelství ministru zahraničních věcí, bude-li pokračovat ve s</w:t>
      </w:r>
      <w:r>
        <w:rPr>
          <w:sz w:val="18"/>
          <w:szCs w:val="18"/>
        </w:rPr>
        <w:t>vé dosavadní politice.</w:t>
      </w:r>
    </w:p>
    <w:p w:rsidR="00500724" w:rsidRDefault="00F30FB8">
      <w:pPr>
        <w:pStyle w:val="Zkladntext1"/>
        <w:shd w:val="clear" w:color="auto" w:fill="auto"/>
        <w:spacing w:line="218" w:lineRule="auto"/>
        <w:ind w:firstLine="300"/>
        <w:rPr>
          <w:sz w:val="18"/>
          <w:szCs w:val="18"/>
        </w:rPr>
      </w:pPr>
      <w:r>
        <w:rPr>
          <w:sz w:val="18"/>
          <w:szCs w:val="18"/>
        </w:rPr>
        <w:t>Italské nároky vůči Francii - ovšem dosud oficiálně nikým neformulované - jsou obecně známy. Právě tak je známá patetická odmítavá odpověď Francie, vyslove</w:t>
      </w:r>
      <w:r>
        <w:rPr>
          <w:sz w:val="18"/>
          <w:szCs w:val="18"/>
        </w:rPr>
        <w:softHyphen/>
        <w:t xml:space="preserve">ná Daladierem a Bonnetem. Ale v době, kdy </w:t>
      </w:r>
      <w:r>
        <w:rPr>
          <w:sz w:val="18"/>
          <w:szCs w:val="18"/>
          <w:lang w:val="en-US" w:eastAsia="en-US" w:bidi="en-US"/>
        </w:rPr>
        <w:t xml:space="preserve">Bonnet </w:t>
      </w:r>
      <w:r>
        <w:rPr>
          <w:sz w:val="18"/>
          <w:szCs w:val="18"/>
        </w:rPr>
        <w:t>pro</w:t>
      </w:r>
      <w:r>
        <w:rPr>
          <w:sz w:val="18"/>
          <w:szCs w:val="18"/>
        </w:rPr>
        <w:softHyphen/>
        <w:t>hlašoval za potlesku sen</w:t>
      </w:r>
      <w:r>
        <w:rPr>
          <w:sz w:val="18"/>
          <w:szCs w:val="18"/>
        </w:rPr>
        <w:t>átu: »Ani píď...* odjížděli z Pa</w:t>
      </w:r>
      <w:r>
        <w:rPr>
          <w:sz w:val="18"/>
          <w:szCs w:val="18"/>
        </w:rPr>
        <w:softHyphen/>
        <w:t>říže dva soukromníci, o nichž nyní Pertinax a Kerillis prohlašují, že jsou intimními přáteli ministra zahraničních věcí. Do Říma jel pan Baudoin, ředitel Indočínské banky a člen správní rady italsko-francouzské společnosti,</w:t>
      </w:r>
      <w:r>
        <w:rPr>
          <w:sz w:val="18"/>
          <w:szCs w:val="18"/>
        </w:rPr>
        <w:t xml:space="preserve"> která má monopol na těžbu soli v italské východní Africe. Na této cestě by nebylo nic zajímavého, neboť pan Baudoin velmi často zajíždí do Říma. kdyby oba francouzští žurna</w:t>
      </w:r>
      <w:r>
        <w:rPr>
          <w:sz w:val="18"/>
          <w:szCs w:val="18"/>
        </w:rPr>
        <w:softHyphen/>
        <w:t>listé nebyli vypátrali, že byl Bonnetem pověřen oficiál</w:t>
      </w:r>
      <w:r>
        <w:rPr>
          <w:sz w:val="18"/>
          <w:szCs w:val="18"/>
        </w:rPr>
        <w:softHyphen/>
        <w:t>ním jednáním s římskou vlá</w:t>
      </w:r>
      <w:r>
        <w:rPr>
          <w:sz w:val="18"/>
          <w:szCs w:val="18"/>
        </w:rPr>
        <w:t>dou. Proě zrovna pan Bau</w:t>
      </w:r>
      <w:r>
        <w:rPr>
          <w:sz w:val="18"/>
          <w:szCs w:val="18"/>
        </w:rPr>
        <w:softHyphen/>
        <w:t xml:space="preserve">doin, když v Římě úřaduje francouzský velvyslanec? Protože Indočínská banka je majitelkou akcií železnice </w:t>
      </w:r>
      <w:r>
        <w:rPr>
          <w:sz w:val="18"/>
          <w:szCs w:val="18"/>
          <w:lang w:val="en-US" w:eastAsia="en-US" w:bidi="en-US"/>
        </w:rPr>
        <w:t xml:space="preserve">Addis </w:t>
      </w:r>
      <w:r>
        <w:rPr>
          <w:sz w:val="18"/>
          <w:szCs w:val="18"/>
        </w:rPr>
        <w:t>Abeba-Džibuti a přístavu v Džibuti, od té doby, co začalo napětí mezi Francií a Itálií, Itálie bojkotuje jak tuto dráhu</w:t>
      </w:r>
      <w:r>
        <w:rPr>
          <w:sz w:val="18"/>
          <w:szCs w:val="18"/>
        </w:rPr>
        <w:t>, tak i přístav, banka má velké ztráty, a má tu</w:t>
      </w:r>
      <w:r>
        <w:rPr>
          <w:sz w:val="18"/>
          <w:szCs w:val="18"/>
        </w:rPr>
        <w:softHyphen/>
        <w:t>díž velký zájem na tom, aby se dosáhlo nějaké dohody.</w:t>
      </w:r>
    </w:p>
    <w:p w:rsidR="00500724" w:rsidRDefault="00F30FB8">
      <w:pPr>
        <w:pStyle w:val="Zkladntext1"/>
        <w:shd w:val="clear" w:color="auto" w:fill="auto"/>
        <w:spacing w:line="218" w:lineRule="auto"/>
        <w:ind w:firstLine="0"/>
        <w:rPr>
          <w:sz w:val="18"/>
          <w:szCs w:val="18"/>
        </w:rPr>
      </w:pPr>
      <w:r>
        <w:rPr>
          <w:sz w:val="18"/>
          <w:szCs w:val="18"/>
        </w:rPr>
        <w:t xml:space="preserve">Na </w:t>
      </w:r>
      <w:r>
        <w:rPr>
          <w:sz w:val="18"/>
          <w:szCs w:val="18"/>
          <w:lang w:val="en-US" w:eastAsia="en-US" w:bidi="en-US"/>
        </w:rPr>
        <w:t xml:space="preserve">Quai d'Orsay </w:t>
      </w:r>
      <w:r>
        <w:rPr>
          <w:sz w:val="18"/>
          <w:szCs w:val="18"/>
        </w:rPr>
        <w:t>tuto zprávu dementovali a prohlásili, že se pan Baudoin zdržuje v Římě zcela soukromě. Oba žur</w:t>
      </w:r>
      <w:r>
        <w:rPr>
          <w:sz w:val="18"/>
          <w:szCs w:val="18"/>
        </w:rPr>
        <w:softHyphen/>
        <w:t>nalisté však tvrdí, že to není pravda, že B</w:t>
      </w:r>
      <w:r>
        <w:rPr>
          <w:sz w:val="18"/>
          <w:szCs w:val="18"/>
        </w:rPr>
        <w:t xml:space="preserve">audoin přivezl hraběti Cianovi nabídku pana Bonneia. </w:t>
      </w:r>
      <w:r>
        <w:rPr>
          <w:sz w:val="18"/>
          <w:szCs w:val="18"/>
          <w:lang w:val="en-US" w:eastAsia="en-US" w:bidi="en-US"/>
        </w:rPr>
        <w:t xml:space="preserve">Bonnet </w:t>
      </w:r>
      <w:r>
        <w:rPr>
          <w:sz w:val="18"/>
          <w:szCs w:val="18"/>
        </w:rPr>
        <w:t>prý na</w:t>
      </w:r>
      <w:r>
        <w:rPr>
          <w:sz w:val="18"/>
          <w:szCs w:val="18"/>
        </w:rPr>
        <w:softHyphen/>
        <w:t xml:space="preserve">bízí: postoupení akcií Suezského přístavu, postoupení části akcií železnice </w:t>
      </w:r>
      <w:r>
        <w:rPr>
          <w:sz w:val="18"/>
          <w:szCs w:val="18"/>
          <w:lang w:val="en-US" w:eastAsia="en-US" w:bidi="en-US"/>
        </w:rPr>
        <w:t xml:space="preserve">Addis </w:t>
      </w:r>
      <w:r>
        <w:rPr>
          <w:sz w:val="18"/>
          <w:szCs w:val="18"/>
        </w:rPr>
        <w:t>Abeba —Džibuti, vytvoření italského volného přístavu v Džibuti, zvěčnění italského statutu v Tunisu, posunu</w:t>
      </w:r>
      <w:r>
        <w:rPr>
          <w:sz w:val="18"/>
          <w:szCs w:val="18"/>
        </w:rPr>
        <w:t>tí jižní hranice Lybie a postou</w:t>
      </w:r>
      <w:r>
        <w:rPr>
          <w:sz w:val="18"/>
          <w:szCs w:val="18"/>
        </w:rPr>
        <w:softHyphen/>
        <w:t>pení průsmyku Tibesti ve východní Sahaře.</w:t>
      </w:r>
    </w:p>
    <w:p w:rsidR="00500724" w:rsidRDefault="00F30FB8">
      <w:pPr>
        <w:pStyle w:val="Zkladntext1"/>
        <w:shd w:val="clear" w:color="auto" w:fill="auto"/>
        <w:spacing w:line="218" w:lineRule="auto"/>
        <w:ind w:firstLine="280"/>
        <w:rPr>
          <w:sz w:val="18"/>
          <w:szCs w:val="18"/>
        </w:rPr>
      </w:pPr>
      <w:r>
        <w:rPr>
          <w:sz w:val="18"/>
          <w:szCs w:val="18"/>
        </w:rPr>
        <w:t>Uveřejnění této nabídky vzbudilo rozhořčení ve fran</w:t>
      </w:r>
      <w:r>
        <w:rPr>
          <w:sz w:val="18"/>
          <w:szCs w:val="18"/>
        </w:rPr>
        <w:softHyphen/>
        <w:t>couzské veřejnosti. Toto rozhořčení se stupňovalo, když byla odhalena druhá cesta jiného Bonnetova přítele do Berlína. Tentokrát t</w:t>
      </w:r>
      <w:r>
        <w:rPr>
          <w:sz w:val="18"/>
          <w:szCs w:val="18"/>
        </w:rPr>
        <w:t xml:space="preserve">o byl hrabě Ferdinand de Brinon, místopředseda francouzsko-německé společnosti a velmi významný muž v Comité des </w:t>
      </w:r>
      <w:r>
        <w:rPr>
          <w:sz w:val="18"/>
          <w:szCs w:val="18"/>
          <w:lang w:val="en-US" w:eastAsia="en-US" w:bidi="en-US"/>
        </w:rPr>
        <w:t xml:space="preserve">Forges </w:t>
      </w:r>
      <w:r>
        <w:rPr>
          <w:sz w:val="18"/>
          <w:szCs w:val="18"/>
        </w:rPr>
        <w:t>(svazu průmyslníků). Je to týž pán, jehož Kerillis veřejně a bez jakýchkoliv následků obvinil, že rozdal za loňské mezinárodní krise něk</w:t>
      </w:r>
      <w:r>
        <w:rPr>
          <w:sz w:val="18"/>
          <w:szCs w:val="18"/>
        </w:rPr>
        <w:t>terým francouzským listům 350 milionů franků - ovšem nikoliv vlastních - aby pacifisticky působily na veřejné mínění. Pan de Brinon byl v Berlíně přijat mi</w:t>
      </w:r>
      <w:r>
        <w:rPr>
          <w:sz w:val="18"/>
          <w:szCs w:val="18"/>
        </w:rPr>
        <w:softHyphen/>
        <w:t>nistrem Ribbentropem a doktorem Goebbelsem. Hned poté uveřejnily německé listy zprávu, že Francie po</w:t>
      </w:r>
      <w:r>
        <w:rPr>
          <w:sz w:val="18"/>
          <w:szCs w:val="18"/>
        </w:rPr>
        <w:t>žádá Německo o prostředkování mezi Paříží a Římem. V Paříži tato zpráva vyvolala sensaci. &gt;Francouzský Mnichov!* — začaly křičet noviny. Francouzský velvyslanec v Berlíně Coulondre proto uveřejnil dementi, že Francie nikdy ta</w:t>
      </w:r>
      <w:r>
        <w:rPr>
          <w:sz w:val="18"/>
          <w:szCs w:val="18"/>
        </w:rPr>
        <w:softHyphen/>
        <w:t>kový návrh neučinila a že zprá</w:t>
      </w:r>
      <w:r>
        <w:rPr>
          <w:sz w:val="18"/>
          <w:szCs w:val="18"/>
        </w:rPr>
        <w:t>va je vymyšlena. Ted ná</w:t>
      </w:r>
      <w:r>
        <w:rPr>
          <w:sz w:val="18"/>
          <w:szCs w:val="18"/>
        </w:rPr>
        <w:softHyphen/>
        <w:t>sleduje zase odhalení Kerillisovo. Druhého dne po uve</w:t>
      </w:r>
      <w:r>
        <w:rPr>
          <w:sz w:val="18"/>
          <w:szCs w:val="18"/>
        </w:rPr>
        <w:softHyphen/>
        <w:t>řejnění tohoto dementi pozval prý francouzského velvy</w:t>
      </w:r>
      <w:r>
        <w:rPr>
          <w:sz w:val="18"/>
          <w:szCs w:val="18"/>
        </w:rPr>
        <w:softHyphen/>
        <w:t xml:space="preserve">slance </w:t>
      </w:r>
      <w:r>
        <w:rPr>
          <w:sz w:val="18"/>
          <w:szCs w:val="18"/>
          <w:lang w:val="en-US" w:eastAsia="en-US" w:bidi="en-US"/>
        </w:rPr>
        <w:t xml:space="preserve">Ribbentrop </w:t>
      </w:r>
      <w:r>
        <w:rPr>
          <w:sz w:val="18"/>
          <w:szCs w:val="18"/>
        </w:rPr>
        <w:t xml:space="preserve">a sdělil mu, že je dementim překvapen, nebof hrabě </w:t>
      </w:r>
      <w:r>
        <w:rPr>
          <w:sz w:val="18"/>
          <w:szCs w:val="18"/>
          <w:lang w:val="en-US" w:eastAsia="en-US" w:bidi="en-US"/>
        </w:rPr>
        <w:t xml:space="preserve">Fernand </w:t>
      </w:r>
      <w:r>
        <w:rPr>
          <w:sz w:val="18"/>
          <w:szCs w:val="18"/>
        </w:rPr>
        <w:t>de Brinon mu přivezl od Bonneia právě tuto žádo</w:t>
      </w:r>
      <w:r>
        <w:rPr>
          <w:sz w:val="18"/>
          <w:szCs w:val="18"/>
        </w:rPr>
        <w:t>st o prostředkování. Pobouřený Coulondre odjel do Paříže, ztropil prý v pracovně ministra zahranič</w:t>
      </w:r>
      <w:r>
        <w:rPr>
          <w:sz w:val="18"/>
          <w:szCs w:val="18"/>
        </w:rPr>
        <w:softHyphen/>
        <w:t>ních věcí povyk. Zpráva Kerillisova byla ovšem oficiálně popřena. Ale nicméně byla už ve sněmovně ohlášena so</w:t>
      </w:r>
      <w:r>
        <w:rPr>
          <w:sz w:val="18"/>
          <w:szCs w:val="18"/>
        </w:rPr>
        <w:softHyphen/>
        <w:t>cialistická interpelace o metodách pana ministr</w:t>
      </w:r>
      <w:r>
        <w:rPr>
          <w:sz w:val="18"/>
          <w:szCs w:val="18"/>
        </w:rPr>
        <w:t>a zahra</w:t>
      </w:r>
      <w:r>
        <w:rPr>
          <w:sz w:val="18"/>
          <w:szCs w:val="18"/>
        </w:rPr>
        <w:softHyphen/>
        <w:t>ničních věcí.</w:t>
      </w:r>
    </w:p>
    <w:p w:rsidR="00500724" w:rsidRDefault="00F30FB8">
      <w:pPr>
        <w:pStyle w:val="Zkladntext1"/>
        <w:shd w:val="clear" w:color="auto" w:fill="auto"/>
        <w:spacing w:line="216" w:lineRule="auto"/>
        <w:ind w:firstLine="280"/>
        <w:rPr>
          <w:sz w:val="18"/>
          <w:szCs w:val="18"/>
        </w:rPr>
      </w:pPr>
      <w:r>
        <w:rPr>
          <w:sz w:val="18"/>
          <w:szCs w:val="18"/>
        </w:rPr>
        <w:t>A teď vystoupil ostře proti Bonnetovi i Louis Marin v časopise &gt;Nation*. Píše, že nedávno navštívila minister</w:t>
      </w:r>
      <w:r>
        <w:rPr>
          <w:sz w:val="18"/>
          <w:szCs w:val="18"/>
        </w:rPr>
        <w:softHyphen/>
        <w:t>ského předsedu delegace průmyslníků, a požádala Dala</w:t>
      </w:r>
      <w:r>
        <w:rPr>
          <w:sz w:val="18"/>
          <w:szCs w:val="18"/>
        </w:rPr>
        <w:softHyphen/>
        <w:t>diera, aby zahájil vyjednávání s Německem, uneboť jinak váznou obchody*</w:t>
      </w:r>
      <w:r>
        <w:rPr>
          <w:sz w:val="18"/>
          <w:szCs w:val="18"/>
        </w:rPr>
        <w:t>. Páni průmyslníci ovšem mínili vyjed</w:t>
      </w:r>
      <w:r>
        <w:rPr>
          <w:sz w:val="18"/>
          <w:szCs w:val="18"/>
        </w:rPr>
        <w:softHyphen/>
        <w:t xml:space="preserve">návání o navrácení Německu jeho bývalých kolonií. Marin tvrdí, že tuto delegaci poslal na ministerského předsedu nikdo jiný, než sám </w:t>
      </w:r>
      <w:r>
        <w:rPr>
          <w:sz w:val="18"/>
          <w:szCs w:val="18"/>
          <w:lang w:val="en-US" w:eastAsia="en-US" w:bidi="en-US"/>
        </w:rPr>
        <w:t xml:space="preserve">Bonnet. </w:t>
      </w:r>
      <w:r>
        <w:rPr>
          <w:sz w:val="18"/>
          <w:szCs w:val="18"/>
        </w:rPr>
        <w:t>Podobné delegace průmyslníků navštívily i Marina - rovněž prý z návodu minist</w:t>
      </w:r>
      <w:r>
        <w:rPr>
          <w:sz w:val="18"/>
          <w:szCs w:val="18"/>
        </w:rPr>
        <w:t>ra zahraničních věcí - a vytýkaly mu, že jím ve</w:t>
      </w:r>
      <w:r>
        <w:rPr>
          <w:sz w:val="18"/>
          <w:szCs w:val="18"/>
        </w:rPr>
        <w:softHyphen/>
        <w:t>dená Republikánská federace se ostře staví proti kolo</w:t>
      </w:r>
      <w:r>
        <w:rPr>
          <w:sz w:val="18"/>
          <w:szCs w:val="18"/>
        </w:rPr>
        <w:softHyphen/>
        <w:t>niálním požadavkům Německa. A nejen to. Tisk, podporo</w:t>
      </w:r>
      <w:r>
        <w:rPr>
          <w:sz w:val="18"/>
          <w:szCs w:val="18"/>
        </w:rPr>
        <w:softHyphen/>
        <w:t xml:space="preserve">vaný finančními místy a inspirovaný z Quai </w:t>
      </w:r>
      <w:r>
        <w:rPr>
          <w:sz w:val="18"/>
          <w:szCs w:val="18"/>
          <w:lang w:val="en-US" w:eastAsia="en-US" w:bidi="en-US"/>
        </w:rPr>
        <w:t xml:space="preserve">d'Orsay, </w:t>
      </w:r>
      <w:r>
        <w:rPr>
          <w:sz w:val="18"/>
          <w:szCs w:val="18"/>
        </w:rPr>
        <w:t>po</w:t>
      </w:r>
      <w:r>
        <w:rPr>
          <w:sz w:val="18"/>
          <w:szCs w:val="18"/>
        </w:rPr>
        <w:softHyphen/>
        <w:t>tlačil zprávu, že se Republikánská federace u</w:t>
      </w:r>
      <w:r>
        <w:rPr>
          <w:sz w:val="18"/>
          <w:szCs w:val="18"/>
        </w:rPr>
        <w:t>snesla ode</w:t>
      </w:r>
      <w:r>
        <w:rPr>
          <w:sz w:val="18"/>
          <w:szCs w:val="18"/>
        </w:rPr>
        <w:softHyphen/>
        <w:t>přít podporu vládě, která by zahájila jednání s Němec</w:t>
      </w:r>
      <w:r>
        <w:rPr>
          <w:sz w:val="18"/>
          <w:szCs w:val="18"/>
        </w:rPr>
        <w:softHyphen/>
        <w:t>kem a Itálií o uskutečnění paktu čtyř v jakékoli formě. Právě tak umlčel tento tisk Marinovu řeč v Grenoblů, kde se vyslovil proti politice paktu čtyř. A když se Louis Marin informoval u žurn</w:t>
      </w:r>
      <w:r>
        <w:rPr>
          <w:sz w:val="18"/>
          <w:szCs w:val="18"/>
        </w:rPr>
        <w:t>alistů, proč tak činí, dostal odpo</w:t>
      </w:r>
      <w:r>
        <w:rPr>
          <w:sz w:val="18"/>
          <w:szCs w:val="18"/>
        </w:rPr>
        <w:softHyphen/>
        <w:t xml:space="preserve">věď, že si to přeje Quai </w:t>
      </w:r>
      <w:r>
        <w:rPr>
          <w:sz w:val="18"/>
          <w:szCs w:val="18"/>
          <w:lang w:val="en-US" w:eastAsia="en-US" w:bidi="en-US"/>
        </w:rPr>
        <w:t xml:space="preserve">d'Orsay. </w:t>
      </w:r>
      <w:r>
        <w:rPr>
          <w:sz w:val="18"/>
          <w:szCs w:val="18"/>
        </w:rPr>
        <w:t>A Marin končí svůj článek:</w:t>
      </w:r>
    </w:p>
    <w:p w:rsidR="00500724" w:rsidRDefault="00F30FB8">
      <w:pPr>
        <w:pStyle w:val="Zkladntext1"/>
        <w:shd w:val="clear" w:color="auto" w:fill="auto"/>
        <w:spacing w:line="180" w:lineRule="auto"/>
        <w:ind w:firstLine="280"/>
        <w:rPr>
          <w:sz w:val="20"/>
          <w:szCs w:val="20"/>
        </w:rPr>
      </w:pPr>
      <w:r>
        <w:rPr>
          <w:sz w:val="20"/>
          <w:szCs w:val="20"/>
        </w:rPr>
        <w:t xml:space="preserve">»Tak nebo jinak, chtěl bych sdělit zájemcům na Quai </w:t>
      </w:r>
      <w:r>
        <w:rPr>
          <w:sz w:val="20"/>
          <w:szCs w:val="20"/>
          <w:lang w:val="en-US" w:eastAsia="en-US" w:bidi="en-US"/>
        </w:rPr>
        <w:t xml:space="preserve">d’Orsay, </w:t>
      </w:r>
      <w:r>
        <w:rPr>
          <w:sz w:val="20"/>
          <w:szCs w:val="20"/>
        </w:rPr>
        <w:t xml:space="preserve">ať už mají jakékoli místo, že partie mezi nimi </w:t>
      </w:r>
      <w:r>
        <w:rPr>
          <w:sz w:val="18"/>
          <w:szCs w:val="18"/>
        </w:rPr>
        <w:t xml:space="preserve">a </w:t>
      </w:r>
      <w:r>
        <w:rPr>
          <w:sz w:val="20"/>
          <w:szCs w:val="20"/>
        </w:rPr>
        <w:t>námi není rovná. Hrají předem prohranou hru. A bud</w:t>
      </w:r>
      <w:r>
        <w:rPr>
          <w:sz w:val="20"/>
          <w:szCs w:val="20"/>
        </w:rPr>
        <w:t xml:space="preserve">ou poraženi nikoliv bez spravedlivého trestu. I toto jediné </w:t>
      </w:r>
      <w:r>
        <w:rPr>
          <w:sz w:val="22"/>
          <w:szCs w:val="22"/>
        </w:rPr>
        <w:t xml:space="preserve">a </w:t>
      </w:r>
      <w:r>
        <w:rPr>
          <w:sz w:val="20"/>
          <w:szCs w:val="20"/>
        </w:rPr>
        <w:t>poslední varování s naší strany je příliš velkorysé. Což ne</w:t>
      </w:r>
      <w:r>
        <w:rPr>
          <w:sz w:val="20"/>
          <w:szCs w:val="20"/>
        </w:rPr>
        <w:softHyphen/>
        <w:t>vědí tito lidé, že mají proti sobě celé veřejné mínění a kom- paktní většinu obou sněmoven? Ti, kteří se chtějí zříci fran</w:t>
      </w:r>
      <w:r>
        <w:rPr>
          <w:sz w:val="20"/>
          <w:szCs w:val="20"/>
        </w:rPr>
        <w:softHyphen/>
        <w:t xml:space="preserve">couzských </w:t>
      </w:r>
      <w:r>
        <w:rPr>
          <w:sz w:val="20"/>
          <w:szCs w:val="20"/>
        </w:rPr>
        <w:t>práv, nechť se vzdají svých intrik, které v bu</w:t>
      </w:r>
      <w:r>
        <w:rPr>
          <w:sz w:val="20"/>
          <w:szCs w:val="20"/>
        </w:rPr>
        <w:softHyphen/>
        <w:t>doucnu už nebudou utajeny, a nechť se řídí slavnostními sliby ministerského předsedy.«</w:t>
      </w:r>
    </w:p>
    <w:p w:rsidR="00500724" w:rsidRDefault="00F30FB8">
      <w:pPr>
        <w:pStyle w:val="Zkladntext1"/>
        <w:shd w:val="clear" w:color="auto" w:fill="auto"/>
        <w:spacing w:after="100" w:line="218" w:lineRule="auto"/>
        <w:ind w:firstLine="280"/>
        <w:rPr>
          <w:sz w:val="18"/>
          <w:szCs w:val="18"/>
        </w:rPr>
      </w:pPr>
      <w:r>
        <w:rPr>
          <w:noProof/>
        </w:rPr>
        <mc:AlternateContent>
          <mc:Choice Requires="wps">
            <w:drawing>
              <wp:anchor distT="25400" distB="254000" distL="114300" distR="114300" simplePos="0" relativeHeight="125829584" behindDoc="0" locked="0" layoutInCell="1" allowOverlap="1">
                <wp:simplePos x="0" y="0"/>
                <wp:positionH relativeFrom="page">
                  <wp:posOffset>425450</wp:posOffset>
                </wp:positionH>
                <wp:positionV relativeFrom="margin">
                  <wp:posOffset>9173210</wp:posOffset>
                </wp:positionV>
                <wp:extent cx="201295" cy="164465"/>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201295" cy="164465"/>
                        </a:xfrm>
                        <a:prstGeom prst="rect">
                          <a:avLst/>
                        </a:prstGeom>
                        <a:noFill/>
                      </wps:spPr>
                      <wps:txbx>
                        <w:txbxContent>
                          <w:p w:rsidR="00500724" w:rsidRDefault="00F30FB8">
                            <w:pPr>
                              <w:pStyle w:val="Zkladntext1"/>
                              <w:shd w:val="clear" w:color="auto" w:fill="auto"/>
                              <w:ind w:firstLine="0"/>
                              <w:jc w:val="left"/>
                            </w:pPr>
                            <w:r>
                              <w:rPr>
                                <w:b/>
                                <w:bCs/>
                                <w:i/>
                                <w:iCs/>
                              </w:rPr>
                              <w:t>i32</w:t>
                            </w:r>
                          </w:p>
                        </w:txbxContent>
                      </wps:txbx>
                      <wps:bodyPr lIns="0" tIns="0" rIns="0" bIns="0">
                        <a:spAutoFit/>
                      </wps:bodyPr>
                    </wps:wsp>
                  </a:graphicData>
                </a:graphic>
              </wp:anchor>
            </w:drawing>
          </mc:Choice>
          <mc:Fallback>
            <w:pict>
              <v:shape id="_x0000_s1233" type="#_x0000_t202" style="position:absolute;margin-left:33.5pt;margin-top:722.29999999999995pt;width:15.85pt;height:12.949999999999999pt;z-index:-125829169;mso-wrap-distance-left:9.pt;mso-wrap-distance-top:2.pt;mso-wrap-distance-right:9.pt;mso-wrap-distance-bottom:20.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i32</w:t>
                      </w:r>
                    </w:p>
                  </w:txbxContent>
                </v:textbox>
                <w10:wrap type="topAndBottom" anchorx="page" anchory="margin"/>
              </v:shape>
            </w:pict>
          </mc:Fallback>
        </mc:AlternateContent>
      </w:r>
      <w:r>
        <w:rPr>
          <w:sz w:val="18"/>
          <w:szCs w:val="18"/>
        </w:rPr>
        <w:t>To neznamená, že jsou tyto francouzské vrstvy proti sblížení s Německem a s Itálií. Odmítají pouze, aby účet za toto sblížení platila Francie. Ale protože tentokrát už nelze najít někoho třetího, kdo by tento účet zaplatil, vzpírají se politice ministra za</w:t>
      </w:r>
      <w:r>
        <w:rPr>
          <w:sz w:val="18"/>
          <w:szCs w:val="18"/>
        </w:rPr>
        <w:t xml:space="preserve">hraničních věcí. Ale jestliže i takový sloup francouzského konservatismu a pravice, jako stařičký bývalý president republiky Alexandre Mil- lerand, považoval za nutno ve své poslední senátní řeči odmítnout mnichovskou politiku </w:t>
      </w:r>
      <w:r>
        <w:rPr>
          <w:b/>
          <w:bCs/>
          <w:sz w:val="14"/>
          <w:szCs w:val="14"/>
        </w:rPr>
        <w:t xml:space="preserve">a </w:t>
      </w:r>
      <w:r>
        <w:rPr>
          <w:sz w:val="18"/>
          <w:szCs w:val="18"/>
        </w:rPr>
        <w:t>žádat posílení spoje</w:t>
      </w:r>
      <w:r>
        <w:rPr>
          <w:sz w:val="18"/>
          <w:szCs w:val="18"/>
        </w:rPr>
        <w:softHyphen/>
        <w:t>nectví</w:t>
      </w:r>
      <w:r>
        <w:rPr>
          <w:sz w:val="18"/>
          <w:szCs w:val="18"/>
        </w:rPr>
        <w:t xml:space="preserve"> se sovětským Ruskem — pak to ukazuje, že třídění duchů ve francouzské politice zasáhlo hluboko.</w:t>
      </w:r>
    </w:p>
    <w:p w:rsidR="00500724" w:rsidRDefault="00F30FB8">
      <w:pPr>
        <w:pStyle w:val="Zkladntext1"/>
        <w:shd w:val="clear" w:color="auto" w:fill="auto"/>
        <w:spacing w:after="40" w:line="178" w:lineRule="auto"/>
        <w:ind w:firstLine="0"/>
        <w:jc w:val="center"/>
        <w:rPr>
          <w:sz w:val="20"/>
          <w:szCs w:val="20"/>
        </w:rPr>
      </w:pPr>
      <w:r>
        <w:rPr>
          <w:sz w:val="20"/>
          <w:szCs w:val="20"/>
        </w:rPr>
        <w:t>•</w:t>
      </w:r>
    </w:p>
    <w:p w:rsidR="00500724" w:rsidRDefault="00F30FB8">
      <w:pPr>
        <w:pStyle w:val="Zkladntext1"/>
        <w:shd w:val="clear" w:color="auto" w:fill="auto"/>
        <w:spacing w:after="40" w:line="228" w:lineRule="auto"/>
        <w:ind w:firstLine="260"/>
        <w:rPr>
          <w:sz w:val="18"/>
          <w:szCs w:val="18"/>
        </w:rPr>
      </w:pPr>
      <w:r>
        <w:rPr>
          <w:sz w:val="18"/>
          <w:szCs w:val="18"/>
        </w:rPr>
        <w:t>Právě tak je to i se španělským problémem. Dlouhou dobu se dívala francouzská veřejnost na španělský pro</w:t>
      </w:r>
      <w:r>
        <w:rPr>
          <w:sz w:val="18"/>
          <w:szCs w:val="18"/>
        </w:rPr>
        <w:softHyphen/>
        <w:t>blém brýlemi ideologických táborů. Lidová fronta sym</w:t>
      </w:r>
      <w:r>
        <w:rPr>
          <w:sz w:val="18"/>
          <w:szCs w:val="18"/>
        </w:rPr>
        <w:t>pa- tisovala s republikány, pravice s Francem. Ještě si pa</w:t>
      </w:r>
      <w:r>
        <w:rPr>
          <w:sz w:val="18"/>
          <w:szCs w:val="18"/>
        </w:rPr>
        <w:softHyphen/>
        <w:t xml:space="preserve">matujeme, že byl to právě De Kerillis, který po pádu ÍToleda zahájil ve Francii sbírky na čestný meč obráncům Alcazaru. Dnes už není De Kerillis nadšeným stoupencem generála </w:t>
      </w:r>
      <w:r>
        <w:rPr>
          <w:sz w:val="18"/>
          <w:szCs w:val="18"/>
          <w:lang w:val="en-US" w:eastAsia="en-US" w:bidi="en-US"/>
        </w:rPr>
        <w:t xml:space="preserve">Franca. </w:t>
      </w:r>
      <w:r>
        <w:rPr>
          <w:sz w:val="18"/>
          <w:szCs w:val="18"/>
        </w:rPr>
        <w:t>Bylo hodně příč</w:t>
      </w:r>
      <w:r>
        <w:rPr>
          <w:sz w:val="18"/>
          <w:szCs w:val="18"/>
        </w:rPr>
        <w:t xml:space="preserve">in, proč tyto pravicové skupiny změnily svůj názor. Vidí ve Španělsku italská legionáře, které </w:t>
      </w:r>
      <w:r>
        <w:rPr>
          <w:sz w:val="18"/>
          <w:szCs w:val="18"/>
          <w:lang w:val="en-US" w:eastAsia="en-US" w:bidi="en-US"/>
        </w:rPr>
        <w:t xml:space="preserve">Franco </w:t>
      </w:r>
      <w:r>
        <w:rPr>
          <w:sz w:val="18"/>
          <w:szCs w:val="18"/>
        </w:rPr>
        <w:t>neposlal a nepošle tak brzy domů, vědí že Itálie prohlásila, že tyto legionáře odvolá teprve po zajištění politického, tedy nejen vojenského, Francova vít</w:t>
      </w:r>
      <w:r>
        <w:rPr>
          <w:sz w:val="18"/>
          <w:szCs w:val="18"/>
        </w:rPr>
        <w:t xml:space="preserve">ězství — a bojí se, že bude Francii jednou bojovat na třech hranicích. Emile Buré si dal práci a shromáždil </w:t>
      </w:r>
      <w:r>
        <w:rPr>
          <w:b/>
          <w:bCs/>
          <w:sz w:val="14"/>
          <w:szCs w:val="14"/>
        </w:rPr>
        <w:t xml:space="preserve">Z </w:t>
      </w:r>
      <w:r>
        <w:rPr>
          <w:sz w:val="18"/>
          <w:szCs w:val="18"/>
        </w:rPr>
        <w:t xml:space="preserve">novin Francova Španělska citáty o tom, jak </w:t>
      </w:r>
      <w:r>
        <w:rPr>
          <w:sz w:val="18"/>
          <w:szCs w:val="18"/>
          <w:lang w:val="en-US" w:eastAsia="en-US" w:bidi="en-US"/>
        </w:rPr>
        <w:t xml:space="preserve">si Franco </w:t>
      </w:r>
      <w:r>
        <w:rPr>
          <w:sz w:val="18"/>
          <w:szCs w:val="18"/>
        </w:rPr>
        <w:t xml:space="preserve">představuje budoucí úpravu věcí na Středozemním moři </w:t>
      </w:r>
      <w:r>
        <w:rPr>
          <w:b/>
          <w:bCs/>
          <w:sz w:val="14"/>
          <w:szCs w:val="14"/>
        </w:rPr>
        <w:t xml:space="preserve">a </w:t>
      </w:r>
      <w:r>
        <w:rPr>
          <w:sz w:val="18"/>
          <w:szCs w:val="18"/>
        </w:rPr>
        <w:t xml:space="preserve">v severní Africe. Výsledek této práce </w:t>
      </w:r>
      <w:r>
        <w:rPr>
          <w:sz w:val="18"/>
          <w:szCs w:val="18"/>
        </w:rPr>
        <w:t>předložil čtená</w:t>
      </w:r>
      <w:r>
        <w:rPr>
          <w:sz w:val="18"/>
          <w:szCs w:val="18"/>
        </w:rPr>
        <w:softHyphen/>
        <w:t>řům lOrdrei a způsobil tak velké zneklidnění celé veřej</w:t>
      </w:r>
      <w:r>
        <w:rPr>
          <w:sz w:val="18"/>
          <w:szCs w:val="18"/>
        </w:rPr>
        <w:softHyphen/>
        <w:t>nosti. Neboř, hle, co píší španělské noviny:</w:t>
      </w:r>
    </w:p>
    <w:p w:rsidR="00500724" w:rsidRDefault="00F30FB8">
      <w:pPr>
        <w:pStyle w:val="Zkladntext1"/>
        <w:shd w:val="clear" w:color="auto" w:fill="auto"/>
        <w:spacing w:after="40" w:line="185" w:lineRule="auto"/>
        <w:ind w:firstLine="260"/>
        <w:rPr>
          <w:sz w:val="20"/>
          <w:szCs w:val="20"/>
        </w:rPr>
      </w:pPr>
      <w:r>
        <w:rPr>
          <w:sz w:val="20"/>
          <w:szCs w:val="20"/>
        </w:rPr>
        <w:t xml:space="preserve">»Italle mluví, Německo naslouchá, Francie se bojí... </w:t>
      </w:r>
      <w:r>
        <w:rPr>
          <w:sz w:val="18"/>
          <w:szCs w:val="18"/>
        </w:rPr>
        <w:t xml:space="preserve">A </w:t>
      </w:r>
      <w:r>
        <w:rPr>
          <w:sz w:val="20"/>
          <w:szCs w:val="20"/>
        </w:rPr>
        <w:t>vedle nich se raduje španělské srdce... Neboť není lep</w:t>
      </w:r>
      <w:r>
        <w:rPr>
          <w:sz w:val="20"/>
          <w:szCs w:val="20"/>
        </w:rPr>
        <w:softHyphen/>
        <w:t>šího léku na utišení naší bol</w:t>
      </w:r>
      <w:r>
        <w:rPr>
          <w:sz w:val="20"/>
          <w:szCs w:val="20"/>
        </w:rPr>
        <w:t>esti, než vidět, jak se nad naším nepřítelem vznáší vyhrůžka... Francie vždy prováděla na Středozemním moři imperiální politiku, neúměrnou jejím silám, jako by nikdo jiný už neměl v tomto moři zájmů... Osud chtěl, aby právě Španělsko bylo povoláno znovuzří</w:t>
      </w:r>
      <w:r>
        <w:rPr>
          <w:sz w:val="20"/>
          <w:szCs w:val="20"/>
        </w:rPr>
        <w:t>dit středomořskou rovnováhu, porušenou francouzskou politi</w:t>
      </w:r>
      <w:r>
        <w:rPr>
          <w:sz w:val="20"/>
          <w:szCs w:val="20"/>
        </w:rPr>
        <w:softHyphen/>
        <w:t>kou ... Poraženým příštího Mnichova bude na jaře Francie, protože úbytě a záducha, jimiž trpí, budou se v příštích mě</w:t>
      </w:r>
      <w:r>
        <w:rPr>
          <w:sz w:val="20"/>
          <w:szCs w:val="20"/>
        </w:rPr>
        <w:softHyphen/>
        <w:t>sících zvětšovat... Naše mezinárodní budoucnost je dnes, právě tak jako v dobác</w:t>
      </w:r>
      <w:r>
        <w:rPr>
          <w:sz w:val="20"/>
          <w:szCs w:val="20"/>
        </w:rPr>
        <w:t xml:space="preserve">h velké královny Isabelly, v Africe, konkrétněji v Maroku. Až do Velkého Atlasu se má stát Maroko španělským, chceme-li se uživit v dnešním světě </w:t>
      </w:r>
      <w:r>
        <w:rPr>
          <w:b/>
          <w:bCs/>
          <w:sz w:val="14"/>
          <w:szCs w:val="14"/>
        </w:rPr>
        <w:t xml:space="preserve">a </w:t>
      </w:r>
      <w:r>
        <w:rPr>
          <w:sz w:val="20"/>
          <w:szCs w:val="20"/>
        </w:rPr>
        <w:t>mít alespoň nějaký hlas v mezinárodním koncertě... Ale není to jen celé území Maroka, které bude cílem budou</w:t>
      </w:r>
      <w:r>
        <w:rPr>
          <w:sz w:val="20"/>
          <w:szCs w:val="20"/>
        </w:rPr>
        <w:t xml:space="preserve">cího Španělska, také </w:t>
      </w:r>
      <w:r>
        <w:rPr>
          <w:sz w:val="20"/>
          <w:szCs w:val="20"/>
          <w:lang w:val="en-US" w:eastAsia="en-US" w:bidi="en-US"/>
        </w:rPr>
        <w:t xml:space="preserve">Oran </w:t>
      </w:r>
      <w:r>
        <w:rPr>
          <w:sz w:val="20"/>
          <w:szCs w:val="20"/>
        </w:rPr>
        <w:t xml:space="preserve">a Alžír s jejich zázemím... Zde je naše koloniální říše. Byla kdysi naše. Pak nám ji bídácky </w:t>
      </w:r>
      <w:r>
        <w:rPr>
          <w:b/>
          <w:bCs/>
          <w:sz w:val="14"/>
          <w:szCs w:val="14"/>
        </w:rPr>
        <w:t xml:space="preserve">a </w:t>
      </w:r>
      <w:r>
        <w:rPr>
          <w:sz w:val="20"/>
          <w:szCs w:val="20"/>
        </w:rPr>
        <w:t>pokrytecky vzali. Musíme jí zase dobýti. Kdy? V příznivé chvíli!«</w:t>
      </w:r>
    </w:p>
    <w:p w:rsidR="00500724" w:rsidRDefault="00F30FB8">
      <w:pPr>
        <w:pStyle w:val="Zkladntext1"/>
        <w:shd w:val="clear" w:color="auto" w:fill="auto"/>
        <w:spacing w:after="100" w:line="226" w:lineRule="auto"/>
        <w:ind w:firstLine="200"/>
        <w:rPr>
          <w:sz w:val="18"/>
          <w:szCs w:val="18"/>
        </w:rPr>
      </w:pPr>
      <w:r>
        <w:rPr>
          <w:sz w:val="18"/>
          <w:szCs w:val="18"/>
        </w:rPr>
        <w:t>Nyní tedy uznala Francie Francovu vládu de iure. Neučinila fak už dří</w:t>
      </w:r>
      <w:r>
        <w:rPr>
          <w:sz w:val="18"/>
          <w:szCs w:val="18"/>
        </w:rPr>
        <w:t>ve, protože chtěla vymoci na Francovi různé ústupky. Zdá se, že soucit s osudem poražených republikánů neměl místa v srdci pana Bonneta, a do</w:t>
      </w:r>
      <w:r>
        <w:rPr>
          <w:sz w:val="18"/>
          <w:szCs w:val="18"/>
        </w:rPr>
        <w:softHyphen/>
        <w:t>mněnky, že uznání se zdržovalo pouze proto, že Francie Žádá na Francovi záruku bezpečnosti pro Madrid, nejsou sprá</w:t>
      </w:r>
      <w:r>
        <w:rPr>
          <w:sz w:val="18"/>
          <w:szCs w:val="18"/>
        </w:rPr>
        <w:t>vné. Kdyby chtěla projevovat soucit, mohla by fran</w:t>
      </w:r>
      <w:r>
        <w:rPr>
          <w:sz w:val="18"/>
          <w:szCs w:val="18"/>
        </w:rPr>
        <w:softHyphen/>
        <w:t xml:space="preserve">couzská vláda alespoň snesitelně zařídit koncentrační tábory pro </w:t>
      </w:r>
      <w:r>
        <w:rPr>
          <w:sz w:val="20"/>
          <w:szCs w:val="20"/>
        </w:rPr>
        <w:t xml:space="preserve">400.000 </w:t>
      </w:r>
      <w:r>
        <w:rPr>
          <w:sz w:val="18"/>
          <w:szCs w:val="18"/>
        </w:rPr>
        <w:t xml:space="preserve">uprchlíků, a nedovolit, aby se tito ubožáci váleli v blátě pod otevřeným nebem v hladu </w:t>
      </w:r>
      <w:r>
        <w:rPr>
          <w:b/>
          <w:bCs/>
          <w:sz w:val="14"/>
          <w:szCs w:val="14"/>
        </w:rPr>
        <w:t xml:space="preserve">a </w:t>
      </w:r>
      <w:r>
        <w:rPr>
          <w:sz w:val="18"/>
          <w:szCs w:val="18"/>
        </w:rPr>
        <w:t xml:space="preserve">špíně. Pravé příčiny mise senátora Bérarda </w:t>
      </w:r>
      <w:r>
        <w:rPr>
          <w:sz w:val="18"/>
          <w:szCs w:val="18"/>
        </w:rPr>
        <w:t>záležely v po</w:t>
      </w:r>
      <w:r>
        <w:rPr>
          <w:sz w:val="18"/>
          <w:szCs w:val="18"/>
        </w:rPr>
        <w:softHyphen/>
        <w:t xml:space="preserve">kusu získat u </w:t>
      </w:r>
      <w:r>
        <w:rPr>
          <w:sz w:val="18"/>
          <w:szCs w:val="18"/>
          <w:lang w:val="en-US" w:eastAsia="en-US" w:bidi="en-US"/>
        </w:rPr>
        <w:t xml:space="preserve">Franca </w:t>
      </w:r>
      <w:r>
        <w:rPr>
          <w:sz w:val="18"/>
          <w:szCs w:val="18"/>
        </w:rPr>
        <w:t>určité záruky, pokud jde o příští španělskou zahraniční politiku. Francie a Anglie se do</w:t>
      </w:r>
      <w:r>
        <w:rPr>
          <w:sz w:val="18"/>
          <w:szCs w:val="18"/>
        </w:rPr>
        <w:softHyphen/>
        <w:t xml:space="preserve">mnívají, že </w:t>
      </w:r>
      <w:r>
        <w:rPr>
          <w:sz w:val="18"/>
          <w:szCs w:val="18"/>
          <w:lang w:val="en-US" w:eastAsia="en-US" w:bidi="en-US"/>
        </w:rPr>
        <w:t xml:space="preserve">Franco </w:t>
      </w:r>
      <w:r>
        <w:rPr>
          <w:sz w:val="18"/>
          <w:szCs w:val="18"/>
        </w:rPr>
        <w:t>se teď věnuje budování, že bude potře</w:t>
      </w:r>
      <w:r>
        <w:rPr>
          <w:sz w:val="18"/>
          <w:szCs w:val="18"/>
        </w:rPr>
        <w:softHyphen/>
        <w:t>bovat peníze, a ty může obdržet pouze v Paříži a v Lon</w:t>
      </w:r>
      <w:r>
        <w:rPr>
          <w:sz w:val="18"/>
          <w:szCs w:val="18"/>
        </w:rPr>
        <w:softHyphen/>
        <w:t xml:space="preserve">dýně. Pertinax psal </w:t>
      </w:r>
      <w:r>
        <w:rPr>
          <w:sz w:val="18"/>
          <w:szCs w:val="18"/>
        </w:rPr>
        <w:t xml:space="preserve">o tom v » </w:t>
      </w:r>
      <w:r>
        <w:rPr>
          <w:sz w:val="18"/>
          <w:szCs w:val="18"/>
          <w:lang w:val="en-US" w:eastAsia="en-US" w:bidi="en-US"/>
        </w:rPr>
        <w:t xml:space="preserve">Europe </w:t>
      </w:r>
      <w:r>
        <w:rPr>
          <w:sz w:val="18"/>
          <w:szCs w:val="18"/>
        </w:rPr>
        <w:t>Nouvelle«:</w:t>
      </w:r>
    </w:p>
    <w:p w:rsidR="00500724" w:rsidRDefault="00F30FB8">
      <w:pPr>
        <w:pStyle w:val="Zkladntext1"/>
        <w:shd w:val="clear" w:color="auto" w:fill="auto"/>
        <w:spacing w:after="40" w:line="185" w:lineRule="auto"/>
        <w:ind w:firstLine="260"/>
        <w:rPr>
          <w:sz w:val="20"/>
          <w:szCs w:val="20"/>
        </w:rPr>
      </w:pPr>
      <w:r>
        <w:rPr>
          <w:sz w:val="20"/>
          <w:szCs w:val="20"/>
        </w:rPr>
        <w:t xml:space="preserve">»Dá-li se </w:t>
      </w:r>
      <w:r>
        <w:rPr>
          <w:sz w:val="20"/>
          <w:szCs w:val="20"/>
          <w:lang w:val="en-US" w:eastAsia="en-US" w:bidi="en-US"/>
        </w:rPr>
        <w:t xml:space="preserve">Franco </w:t>
      </w:r>
      <w:r>
        <w:rPr>
          <w:sz w:val="20"/>
          <w:szCs w:val="20"/>
        </w:rPr>
        <w:t>na cestu usmíření a uzdravení národa, bezpochyby skončí tím, že se odcizí svým spojencům v Ber</w:t>
      </w:r>
      <w:r>
        <w:rPr>
          <w:sz w:val="20"/>
          <w:szCs w:val="20"/>
        </w:rPr>
        <w:softHyphen/>
        <w:t xml:space="preserve">líně a </w:t>
      </w:r>
      <w:r>
        <w:rPr>
          <w:sz w:val="18"/>
          <w:szCs w:val="18"/>
        </w:rPr>
        <w:t xml:space="preserve">v </w:t>
      </w:r>
      <w:r>
        <w:rPr>
          <w:sz w:val="20"/>
          <w:szCs w:val="20"/>
        </w:rPr>
        <w:t>Římě, a sblíží se s námi. Bude-li však trvat na poli</w:t>
      </w:r>
      <w:r>
        <w:rPr>
          <w:sz w:val="20"/>
          <w:szCs w:val="20"/>
        </w:rPr>
        <w:softHyphen/>
        <w:t>tice vyhubení odpůrců, bude-li chtít odsoudit k absolu</w:t>
      </w:r>
      <w:r>
        <w:rPr>
          <w:sz w:val="20"/>
          <w:szCs w:val="20"/>
        </w:rPr>
        <w:t>tní pasivitě ty, kteří třicet měsíců bojovali za španělskou repu</w:t>
      </w:r>
      <w:r>
        <w:rPr>
          <w:sz w:val="20"/>
          <w:szCs w:val="20"/>
        </w:rPr>
        <w:softHyphen/>
        <w:t>bliku, a zřídit totalitní diktaturu, nemůže se než stát odpůr</w:t>
      </w:r>
      <w:r>
        <w:rPr>
          <w:sz w:val="20"/>
          <w:szCs w:val="20"/>
        </w:rPr>
        <w:softHyphen/>
        <w:t xml:space="preserve">cem Francie a Anglie, ať už podnikají jakékoliv pokusy </w:t>
      </w:r>
      <w:r>
        <w:rPr>
          <w:b/>
          <w:bCs/>
          <w:sz w:val="14"/>
          <w:szCs w:val="14"/>
        </w:rPr>
        <w:t xml:space="preserve">o </w:t>
      </w:r>
      <w:r>
        <w:rPr>
          <w:sz w:val="20"/>
          <w:szCs w:val="20"/>
        </w:rPr>
        <w:t>sblížení s nim. Žel, je nejpravděpodobnější, že se usku</w:t>
      </w:r>
      <w:r>
        <w:rPr>
          <w:sz w:val="20"/>
          <w:szCs w:val="20"/>
        </w:rPr>
        <w:softHyphen/>
        <w:t>teční právě druh</w:t>
      </w:r>
      <w:r>
        <w:rPr>
          <w:sz w:val="20"/>
          <w:szCs w:val="20"/>
        </w:rPr>
        <w:t>á alternativa.«</w:t>
      </w:r>
    </w:p>
    <w:p w:rsidR="00500724" w:rsidRDefault="00F30FB8">
      <w:pPr>
        <w:pStyle w:val="Zkladntext1"/>
        <w:shd w:val="clear" w:color="auto" w:fill="auto"/>
        <w:spacing w:after="40" w:line="202" w:lineRule="auto"/>
        <w:ind w:firstLine="260"/>
        <w:rPr>
          <w:sz w:val="18"/>
          <w:szCs w:val="18"/>
        </w:rPr>
      </w:pPr>
      <w:r>
        <w:rPr>
          <w:sz w:val="18"/>
          <w:szCs w:val="18"/>
        </w:rPr>
        <w:t>Podlá nejnovějších zpráv se skončila mise senátora Bá- rarda úspěšně.</w:t>
      </w:r>
    </w:p>
    <w:p w:rsidR="00500724" w:rsidRDefault="00F30FB8">
      <w:pPr>
        <w:pStyle w:val="Zkladntext1"/>
        <w:shd w:val="clear" w:color="auto" w:fill="auto"/>
        <w:spacing w:after="40" w:line="223" w:lineRule="auto"/>
        <w:ind w:firstLine="260"/>
        <w:rPr>
          <w:sz w:val="18"/>
          <w:szCs w:val="18"/>
        </w:rPr>
      </w:pPr>
      <w:r>
        <w:rPr>
          <w:sz w:val="18"/>
          <w:szCs w:val="18"/>
        </w:rPr>
        <w:t xml:space="preserve">Pertinax, konservativní Pertinax, který píše, že by se jinak velmi radoval </w:t>
      </w:r>
      <w:r>
        <w:rPr>
          <w:b/>
          <w:bCs/>
          <w:sz w:val="14"/>
          <w:szCs w:val="14"/>
        </w:rPr>
        <w:t xml:space="preserve">z </w:t>
      </w:r>
      <w:r>
        <w:rPr>
          <w:sz w:val="18"/>
          <w:szCs w:val="18"/>
        </w:rPr>
        <w:t>triumfu nacionalistů, doprovázel Bérardovu misi těmito pohřebními slovy:</w:t>
      </w:r>
    </w:p>
    <w:p w:rsidR="00500724" w:rsidRDefault="00F30FB8">
      <w:pPr>
        <w:pStyle w:val="Zkladntext1"/>
        <w:shd w:val="clear" w:color="auto" w:fill="auto"/>
        <w:spacing w:line="178" w:lineRule="auto"/>
        <w:ind w:firstLine="260"/>
        <w:rPr>
          <w:sz w:val="20"/>
          <w:szCs w:val="20"/>
        </w:rPr>
      </w:pPr>
      <w:r>
        <w:rPr>
          <w:sz w:val="20"/>
          <w:szCs w:val="20"/>
        </w:rPr>
        <w:t xml:space="preserve">»Proč vypadáme na </w:t>
      </w:r>
      <w:r>
        <w:rPr>
          <w:sz w:val="20"/>
          <w:szCs w:val="20"/>
        </w:rPr>
        <w:t>iberském poloostrově jako poražení? Vždyť jsme se omezili na politiku neintervence. Nezacho</w:t>
      </w:r>
      <w:r>
        <w:rPr>
          <w:sz w:val="20"/>
          <w:szCs w:val="20"/>
        </w:rPr>
        <w:softHyphen/>
        <w:t>vali jsme ani tradiční pravidla neutrality, která nám dovo</w:t>
      </w:r>
      <w:r>
        <w:rPr>
          <w:sz w:val="20"/>
          <w:szCs w:val="20"/>
        </w:rPr>
        <w:softHyphen/>
        <w:t>lovala posílat zbraně. Nepoužili jsme ani práv, která nám poskytovala pravidla neintervence: na příklad p</w:t>
      </w:r>
      <w:r>
        <w:rPr>
          <w:sz w:val="20"/>
          <w:szCs w:val="20"/>
        </w:rPr>
        <w:t>ráva záso</w:t>
      </w:r>
      <w:r>
        <w:rPr>
          <w:sz w:val="20"/>
          <w:szCs w:val="20"/>
        </w:rPr>
        <w:softHyphen/>
        <w:t>bovat republikánské obyvatelstvo potravinami. Odpověď je ta, že jsme trpěli aktivní intervenci Němců a Italů, že jsme dovolili, aby se zařídili na Baleárech a ve španělském Ma</w:t>
      </w:r>
      <w:r>
        <w:rPr>
          <w:sz w:val="20"/>
          <w:szCs w:val="20"/>
        </w:rPr>
        <w:softHyphen/>
        <w:t>roku. Neměli jsme odvahy zabezpečit strategickou rovno</w:t>
      </w:r>
      <w:r>
        <w:rPr>
          <w:sz w:val="20"/>
          <w:szCs w:val="20"/>
        </w:rPr>
        <w:softHyphen/>
        <w:t>váhu, která exi</w:t>
      </w:r>
      <w:r>
        <w:rPr>
          <w:sz w:val="20"/>
          <w:szCs w:val="20"/>
        </w:rPr>
        <w:t>stovala na začátku boje v červenci roku 1936. Na neštěstí jsme připustili, aby byla porušena na naši újmm V důsledku toho nejsou už volny francouzské a britské komunikační spoje přes Středozemní moře. Námořní cesty, spojující severní Afriku s naší languedo</w:t>
      </w:r>
      <w:r>
        <w:rPr>
          <w:sz w:val="20"/>
          <w:szCs w:val="20"/>
        </w:rPr>
        <w:t>ckou a provencal- skou provincií, jsou blokovány. Budeme-li posílat naše voj</w:t>
      </w:r>
      <w:r>
        <w:rPr>
          <w:sz w:val="20"/>
          <w:szCs w:val="20"/>
        </w:rPr>
        <w:softHyphen/>
        <w:t xml:space="preserve">sko jedním nebo druhým směrem, zbývají nám teď pouze atlantické cesty — a to ještě ohrožené — ze španělského Maroka. Ztráta na efektivní vojenské sile, kterou nám tato záležitost </w:t>
      </w:r>
      <w:r>
        <w:rPr>
          <w:sz w:val="20"/>
          <w:szCs w:val="20"/>
        </w:rPr>
        <w:t>způsobila, rovná se ztrátě, kterou jsme utrpěli, když byl odzbrojen náš československý spojenec.*</w:t>
      </w:r>
    </w:p>
    <w:p w:rsidR="00500724" w:rsidRDefault="00F30FB8">
      <w:pPr>
        <w:pStyle w:val="Zkladntext1"/>
        <w:shd w:val="clear" w:color="auto" w:fill="auto"/>
        <w:spacing w:after="80" w:line="199" w:lineRule="auto"/>
        <w:rPr>
          <w:sz w:val="18"/>
          <w:szCs w:val="18"/>
        </w:rPr>
      </w:pPr>
      <w:r>
        <w:rPr>
          <w:sz w:val="18"/>
          <w:szCs w:val="18"/>
        </w:rPr>
        <w:t>Dalo by se na to říci: pozdě bycha honili.</w:t>
      </w:r>
    </w:p>
    <w:p w:rsidR="00500724" w:rsidRDefault="00F30FB8">
      <w:pPr>
        <w:pStyle w:val="Zkladntext1"/>
        <w:shd w:val="clear" w:color="auto" w:fill="auto"/>
        <w:spacing w:after="40" w:line="221" w:lineRule="auto"/>
        <w:ind w:firstLine="0"/>
        <w:jc w:val="left"/>
        <w:rPr>
          <w:sz w:val="20"/>
          <w:szCs w:val="20"/>
        </w:rPr>
      </w:pPr>
      <w:r>
        <w:rPr>
          <w:i/>
          <w:iCs/>
          <w:sz w:val="20"/>
          <w:szCs w:val="20"/>
        </w:rPr>
        <w:t>Josef Pachta (Londýn):</w:t>
      </w:r>
    </w:p>
    <w:p w:rsidR="00500724" w:rsidRDefault="00F30FB8">
      <w:pPr>
        <w:pStyle w:val="Nadpis100"/>
        <w:shd w:val="clear" w:color="auto" w:fill="auto"/>
        <w:spacing w:line="223" w:lineRule="auto"/>
        <w:ind w:firstLine="220"/>
        <w:jc w:val="both"/>
      </w:pPr>
      <w:bookmarkStart w:id="218" w:name="bookmark217"/>
      <w:r>
        <w:t>Londýnská City dělá politiku</w:t>
      </w:r>
      <w:bookmarkEnd w:id="218"/>
    </w:p>
    <w:p w:rsidR="00500724" w:rsidRDefault="00F30FB8">
      <w:pPr>
        <w:pStyle w:val="Zkladntext30"/>
        <w:shd w:val="clear" w:color="auto" w:fill="auto"/>
        <w:spacing w:after="160" w:line="202" w:lineRule="auto"/>
        <w:ind w:firstLine="220"/>
      </w:pPr>
      <w:r>
        <w:t xml:space="preserve">Za posledními záchvěvy španělské tragedie a za gesty britské </w:t>
      </w:r>
      <w:r>
        <w:t>zahraniční politiky vynořuje se ze stínu diplomatických not, tajných jednání, přímých hrozeb a radiotelegrafických rozkazů britským válečným lo- dim symbol britské finanční moci — londýnská City. Odhodlávajíc se konečně učiniti v nebezpečné mezi</w:t>
      </w:r>
      <w:r>
        <w:softHyphen/>
        <w:t>národní hř</w:t>
      </w:r>
      <w:r>
        <w:t>e poslední tah, vměšuje se už přímo do osudů španělského národa. Nyní chce pro Anglii — a ovšem i pro sebe — vyhráti tuto tragickou partii. Zas přišla chvíle, kdy o londýnské City, totiž o její všemohoucnosti, vznikají neodůvodněné nebo aspoň přehnané lege</w:t>
      </w:r>
      <w:r>
        <w:t>ndy.</w:t>
      </w:r>
    </w:p>
    <w:p w:rsidR="00500724" w:rsidRDefault="00F30FB8">
      <w:pPr>
        <w:pStyle w:val="Zkladntext30"/>
        <w:shd w:val="clear" w:color="auto" w:fill="auto"/>
        <w:spacing w:after="100" w:line="202" w:lineRule="auto"/>
        <w:ind w:firstLine="0"/>
        <w:jc w:val="center"/>
      </w:pPr>
      <w:r>
        <w:t>Město, vybudované na zlatě</w:t>
      </w:r>
    </w:p>
    <w:p w:rsidR="00500724" w:rsidRDefault="00F30FB8">
      <w:pPr>
        <w:pStyle w:val="Zkladntext30"/>
        <w:shd w:val="clear" w:color="auto" w:fill="auto"/>
        <w:spacing w:after="160" w:line="202" w:lineRule="auto"/>
        <w:ind w:firstLine="220"/>
      </w:pPr>
      <w:r>
        <w:t>Poloha londýnské City je právě tak zvláštní, jako její význam ve finanční politice britské říše a evrop</w:t>
      </w:r>
      <w:r>
        <w:softHyphen/>
        <w:t>ského kontinentu. Na ploše 677 akrů tvoří uprostřed Velkého Londýna samostatné město s vlastní policií. Slavný londýnský</w:t>
      </w:r>
      <w:r>
        <w:t xml:space="preserve"> </w:t>
      </w:r>
      <w:r>
        <w:rPr>
          <w:lang w:val="en-US" w:eastAsia="en-US" w:bidi="en-US"/>
        </w:rPr>
        <w:t xml:space="preserve">Lord Mayor </w:t>
      </w:r>
      <w:r>
        <w:t>je vlastně jenom sta</w:t>
      </w:r>
      <w:r>
        <w:softHyphen/>
        <w:t>rostou tohoto malého města, které zabírá území ně</w:t>
      </w:r>
      <w:r>
        <w:softHyphen/>
        <w:t>kdejší římské osady. Z osmi milionů obyvatel Lon</w:t>
      </w:r>
      <w:r>
        <w:softHyphen/>
        <w:t>dýna nocuje v City jenom 11.000 lidí, totiž domov</w:t>
      </w:r>
      <w:r>
        <w:softHyphen/>
        <w:t xml:space="preserve">níci, vrátní a strážníci jednotlivých bank, obchodních domů, novinářských </w:t>
      </w:r>
      <w:r>
        <w:t>podniků a burs, které se tady soustředily. Zato však ve dne pracuje v starých do</w:t>
      </w:r>
      <w:r>
        <w:softHyphen/>
        <w:t>mech a chodí úzkými ulicemi přes milion lidí: srdce a mozek finanční velmoci Velké Britanie.</w:t>
      </w:r>
    </w:p>
    <w:p w:rsidR="00500724" w:rsidRDefault="00F30FB8">
      <w:pPr>
        <w:pStyle w:val="Zkladntext30"/>
        <w:shd w:val="clear" w:color="auto" w:fill="auto"/>
        <w:spacing w:line="202" w:lineRule="auto"/>
        <w:ind w:firstLine="0"/>
        <w:jc w:val="center"/>
      </w:pPr>
      <w:r>
        <w:t>Dvě stě bank</w:t>
      </w:r>
    </w:p>
    <w:p w:rsidR="00500724" w:rsidRDefault="00F30FB8">
      <w:pPr>
        <w:pStyle w:val="Zkladntext30"/>
        <w:shd w:val="clear" w:color="auto" w:fill="auto"/>
        <w:spacing w:after="80" w:line="202" w:lineRule="auto"/>
      </w:pPr>
      <w:r>
        <w:t>Krevní oběh londýnské City zásobuje asi dvě stě bank, které se usadil</w:t>
      </w:r>
      <w:r>
        <w:t>y v několika málo úzkých ulicích. Nelze odhadnout, jak velký je jejich kapitál, kolik mají reserv, vkladů a jiných hodnot, protože veřejné zprávy musejí podávati jenom akciové společnosti, ni</w:t>
      </w:r>
      <w:r>
        <w:softHyphen/>
        <w:t xml:space="preserve">koli však soukromé banky. Velké soukromé banky, jako jsou </w:t>
      </w:r>
      <w:r>
        <w:rPr>
          <w:lang w:val="en-US" w:eastAsia="en-US" w:bidi="en-US"/>
        </w:rPr>
        <w:t>Erlang</w:t>
      </w:r>
      <w:r>
        <w:rPr>
          <w:lang w:val="en-US" w:eastAsia="en-US" w:bidi="en-US"/>
        </w:rPr>
        <w:t xml:space="preserve">er, Baring, Schroder, </w:t>
      </w:r>
      <w:r>
        <w:t>Lazard, Rot- schild nezůstávají však za veřejnými finančními ústa</w:t>
      </w:r>
      <w:r>
        <w:softHyphen/>
        <w:t>vy pozadu. Kromě toho náleží sem také londýnské filiálky velkých bank z kolonií a dominií spolu s lon</w:t>
      </w:r>
      <w:r>
        <w:softHyphen/>
        <w:t>dýnskými domy velké části evropských a amerických bank, jejichž ka</w:t>
      </w:r>
      <w:r>
        <w:t>pitál pochází sice většinou z Anglie, ale udává se v měnových jednotkách mateřských zemí. (Jediná česko-slovenská banka, která je tady zastoupena, je Anglo-česko-slovenská a Pražská úvěrní banka se základním kapitálem asi jednoho mi-</w:t>
      </w:r>
    </w:p>
    <w:p w:rsidR="00500724" w:rsidRDefault="00F30FB8">
      <w:pPr>
        <w:pStyle w:val="Zkladntext20"/>
        <w:shd w:val="clear" w:color="auto" w:fill="auto"/>
        <w:spacing w:line="202" w:lineRule="auto"/>
        <w:ind w:firstLine="0"/>
      </w:pPr>
      <w:r>
        <w:t>lionu liber, který v t</w:t>
      </w:r>
      <w:r>
        <w:t xml:space="preserve">omto prostředí náleží ovšem k nejmenším.) Pět velkých bank, kterým se říká »Big Five« — jsou to: Barclay, </w:t>
      </w:r>
      <w:r>
        <w:rPr>
          <w:lang w:val="en-US" w:eastAsia="en-US" w:bidi="en-US"/>
        </w:rPr>
        <w:t xml:space="preserve">Lloyds, </w:t>
      </w:r>
      <w:r>
        <w:t xml:space="preserve">Midland, National </w:t>
      </w:r>
      <w:r>
        <w:rPr>
          <w:lang w:val="en-US" w:eastAsia="en-US" w:bidi="en-US"/>
        </w:rPr>
        <w:t xml:space="preserve">Provincial a Westminster </w:t>
      </w:r>
      <w:r>
        <w:t>— má asi 220 milionů liber základního kapitálu a přes dvě miliardy liber vkladů. Představují tedy opravdu zlatou pevnost. Co se týče vkladů, jsou Midland a Barclay na prvním a druhém místě, a teprve za nimi následuje třetí největší banka světa, totiž Chase</w:t>
      </w:r>
      <w:r>
        <w:t xml:space="preserve"> National Bank v Novém Yorku. </w:t>
      </w:r>
      <w:r>
        <w:rPr>
          <w:lang w:val="en-US" w:eastAsia="en-US" w:bidi="en-US"/>
        </w:rPr>
        <w:t xml:space="preserve">Lloyds a Westminster </w:t>
      </w:r>
      <w:r>
        <w:t>spravují více vkladů, než druhá největší banka Spojených Států. Dokonce i ta nej</w:t>
      </w:r>
      <w:r>
        <w:softHyphen/>
        <w:t xml:space="preserve">menší z velké pětky — National </w:t>
      </w:r>
      <w:r>
        <w:rPr>
          <w:lang w:val="en-US" w:eastAsia="en-US" w:bidi="en-US"/>
        </w:rPr>
        <w:t xml:space="preserve">Provincial </w:t>
      </w:r>
      <w:r>
        <w:t>— má víc vkladů, než třetí největší banka Ameriky.</w:t>
      </w:r>
    </w:p>
    <w:p w:rsidR="00500724" w:rsidRDefault="00F30FB8">
      <w:pPr>
        <w:pStyle w:val="Zkladntext20"/>
        <w:shd w:val="clear" w:color="auto" w:fill="auto"/>
        <w:spacing w:after="160" w:line="202" w:lineRule="auto"/>
        <w:ind w:firstLine="260"/>
      </w:pPr>
      <w:r>
        <w:t xml:space="preserve">Když se v první polovici ledna </w:t>
      </w:r>
      <w:r>
        <w:t>konaly valné schůze pěti velkých bank, zněly zprávy předsedů správních rad velmi optimisticky, předpovídajíce dobrý vývoj v. budoucnosti. Dalo se snadno vycítit, že za kulisami působí mocný režisér.</w:t>
      </w:r>
    </w:p>
    <w:p w:rsidR="00500724" w:rsidRDefault="00F30FB8">
      <w:pPr>
        <w:pStyle w:val="Zkladntext20"/>
        <w:shd w:val="clear" w:color="auto" w:fill="auto"/>
        <w:spacing w:line="202" w:lineRule="auto"/>
        <w:ind w:firstLine="0"/>
        <w:jc w:val="center"/>
      </w:pPr>
      <w:r>
        <w:t>Bursa cenných papírů a soukromé</w:t>
      </w:r>
      <w:r>
        <w:br/>
        <w:t>banky</w:t>
      </w:r>
    </w:p>
    <w:p w:rsidR="00500724" w:rsidRDefault="00F30FB8">
      <w:pPr>
        <w:pStyle w:val="Zkladntext20"/>
        <w:shd w:val="clear" w:color="auto" w:fill="auto"/>
        <w:spacing w:after="120" w:line="202" w:lineRule="auto"/>
        <w:ind w:firstLine="260"/>
      </w:pPr>
      <w:r>
        <w:t>Ruka stejného režis</w:t>
      </w:r>
      <w:r>
        <w:t>éra drží také na uzdě londýn</w:t>
      </w:r>
      <w:r>
        <w:softHyphen/>
        <w:t>skou bursu cenných papírů. Kdyby vstal z mrtvých člen této ctihodné instituce z doby královny Viktorie, zděsil by se asi, jak jsou potomci zchátralí a nefor</w:t>
      </w:r>
      <w:r>
        <w:softHyphen/>
        <w:t xml:space="preserve">mální. 4300 členů dnešní </w:t>
      </w:r>
      <w:r>
        <w:rPr>
          <w:lang w:val="en-US" w:eastAsia="en-US" w:bidi="en-US"/>
        </w:rPr>
        <w:t xml:space="preserve">Royal Exchange </w:t>
      </w:r>
      <w:r>
        <w:t>nenosí už vždycky cylindr, zej</w:t>
      </w:r>
      <w:r>
        <w:t>ména ne v létě, a nechodí také vždy v proužkovaných kalhotách a šedé vestě. Jejich kočáry nečekají už na Cornhillu, až si panstvo pod mramorovými sloupy vyřídí obchody, protože ani auta bursiánů nesmí státi na jednom místě déle než hodinu. Největší změna s</w:t>
      </w:r>
      <w:r>
        <w:t>počívá však v tom, že tito tlustí a štíhlí, dobře nebo nedbale oblečení pánové v nové budově »Stock Exchange«, kteří vystupují na burse jako »dealers« — to jsou členové obchodující jenom mezi sebou — nebo jako »brokers«, to jest pro- středkovatelé mezi bur</w:t>
      </w:r>
      <w:r>
        <w:t>sou a vnějším světem, pošilhá</w:t>
      </w:r>
      <w:r>
        <w:softHyphen/>
        <w:t xml:space="preserve">vají stále víc po šedé budově </w:t>
      </w:r>
      <w:r>
        <w:rPr>
          <w:lang w:val="en-US" w:eastAsia="en-US" w:bidi="en-US"/>
        </w:rPr>
        <w:t xml:space="preserve">Bank of England, </w:t>
      </w:r>
      <w:r>
        <w:t xml:space="preserve">než se rozhodnou pro nějaký obchod. Bývalo to jinak: velké soukromé banky nebyly až do skončení světové války v područí </w:t>
      </w:r>
      <w:r>
        <w:rPr>
          <w:lang w:val="en-US" w:eastAsia="en-US" w:bidi="en-US"/>
        </w:rPr>
        <w:t xml:space="preserve">Bank of England. </w:t>
      </w:r>
      <w:r>
        <w:t>Dělaly svou vlastní poli</w:t>
      </w:r>
      <w:r>
        <w:softHyphen/>
        <w:t>tiku, dokonce i s</w:t>
      </w:r>
      <w:r>
        <w:t>větovou. Z té doby pochází právě pověst o nadstátní a světové moci londýnských bankéřů.</w:t>
      </w:r>
    </w:p>
    <w:p w:rsidR="00500724" w:rsidRDefault="00F30FB8">
      <w:pPr>
        <w:pStyle w:val="Zkladntext20"/>
        <w:shd w:val="clear" w:color="auto" w:fill="auto"/>
        <w:spacing w:line="202" w:lineRule="auto"/>
        <w:ind w:firstLine="0"/>
        <w:jc w:val="center"/>
      </w:pPr>
      <w:r>
        <w:t>Lombard Street</w:t>
      </w:r>
    </w:p>
    <w:p w:rsidR="00500724" w:rsidRDefault="00F30FB8">
      <w:pPr>
        <w:pStyle w:val="Zkladntext20"/>
        <w:shd w:val="clear" w:color="auto" w:fill="auto"/>
        <w:ind w:firstLine="260"/>
      </w:pPr>
      <w:r>
        <w:t>Ze všech soukromých bankéřů, jejichž domy stojí na Lombard Street — žádná vulgární autobusová linka neruší ticho této široké ulice v srdci nejživější Cit</w:t>
      </w:r>
      <w:r>
        <w:t>y — dosáhlo vlastně jenom pět světového významu. Zvláštní dost: čtyři z těchto prastarých londýnských soukromých bank založili Němci. Pátá banka, Ham- brosova, která právě slavila sté výročí, byla založena Dánem.</w:t>
      </w:r>
    </w:p>
    <w:p w:rsidR="00500724" w:rsidRDefault="00F30FB8">
      <w:pPr>
        <w:pStyle w:val="Zkladntext20"/>
        <w:shd w:val="clear" w:color="auto" w:fill="auto"/>
        <w:ind w:firstLine="260"/>
      </w:pPr>
      <w:r>
        <w:t>Baroni Erlangerové, kteří přišli do Londýna</w:t>
      </w:r>
      <w:r>
        <w:t xml:space="preserve"> oklikou přes Paříž v letech velké francouzské revoluce, po</w:t>
      </w:r>
      <w:r>
        <w:softHyphen/>
        <w:t>cházejí z Frankfurtu. Přímo z Frankfurtu do Londýna přesídlila dynastie Rotschildů — i dnes ještě nej</w:t>
      </w:r>
      <w:r>
        <w:softHyphen/>
        <w:t>směrodatnější bankovní dům pro veřejné půjčky kon</w:t>
      </w:r>
      <w:r>
        <w:softHyphen/>
        <w:t>tinentálním státům. Z Německa pocházejí před</w:t>
      </w:r>
      <w:r>
        <w:t xml:space="preserve">kové barona Schródra a sir Edward </w:t>
      </w:r>
      <w:r>
        <w:rPr>
          <w:lang w:val="en-US" w:eastAsia="en-US" w:bidi="en-US"/>
        </w:rPr>
        <w:t xml:space="preserve">Baring, </w:t>
      </w:r>
      <w:r>
        <w:t xml:space="preserve">majitel domu </w:t>
      </w:r>
      <w:r>
        <w:rPr>
          <w:lang w:val="en-US" w:eastAsia="en-US" w:bidi="en-US"/>
        </w:rPr>
        <w:t xml:space="preserve">Baring </w:t>
      </w:r>
      <w:r>
        <w:t>Brothers, je pravnukem luteránského pastora v Brémách.</w:t>
      </w:r>
    </w:p>
    <w:p w:rsidR="00500724" w:rsidRDefault="00F30FB8">
      <w:pPr>
        <w:pStyle w:val="Zkladntext20"/>
        <w:shd w:val="clear" w:color="auto" w:fill="auto"/>
        <w:spacing w:after="120"/>
        <w:ind w:firstLine="260"/>
      </w:pPr>
      <w:r>
        <w:t>Toto zkmotření mocných soukromých finančníků anglických s Německem, zkmotření presidentů velké pětky a ostatních finančních magnátů s němec</w:t>
      </w:r>
      <w:r>
        <w:t>kou aristokracií, okolnost, že několik tuctů menších bank se angažovalo v Německu, dalo vzniknout jiné legenděí City podporuje Německo vždycky a za každé vládní formy. Tato legenda by nebyla nabyla takové obecné víry, kdyby právě v poslední době nebyla pro</w:t>
      </w:r>
      <w:r>
        <w:t xml:space="preserve">jevovala </w:t>
      </w:r>
      <w:r>
        <w:rPr>
          <w:lang w:val="en-US" w:eastAsia="en-US" w:bidi="en-US"/>
        </w:rPr>
        <w:t xml:space="preserve">Bank of England, </w:t>
      </w:r>
      <w:r>
        <w:t>totiž její guvernér, tak nápadný zájem o události na pevnině.</w:t>
      </w:r>
    </w:p>
    <w:p w:rsidR="00500724" w:rsidRDefault="00F30FB8">
      <w:pPr>
        <w:pStyle w:val="Zkladntext20"/>
        <w:shd w:val="clear" w:color="auto" w:fill="auto"/>
        <w:spacing w:line="202" w:lineRule="auto"/>
        <w:ind w:firstLine="0"/>
        <w:jc w:val="center"/>
      </w:pPr>
      <w:r>
        <w:rPr>
          <w:lang w:val="en-US" w:eastAsia="en-US" w:bidi="en-US"/>
        </w:rPr>
        <w:t xml:space="preserve">Bank of England </w:t>
      </w:r>
      <w:r>
        <w:t>a její guvernér</w:t>
      </w:r>
    </w:p>
    <w:p w:rsidR="00500724" w:rsidRDefault="00F30FB8">
      <w:pPr>
        <w:pStyle w:val="Zkladntext20"/>
        <w:shd w:val="clear" w:color="auto" w:fill="auto"/>
        <w:spacing w:line="202" w:lineRule="auto"/>
        <w:ind w:firstLine="260"/>
      </w:pPr>
      <w:r>
        <w:rPr>
          <w:lang w:val="en-US" w:eastAsia="en-US" w:bidi="en-US"/>
        </w:rPr>
        <w:t xml:space="preserve">Bank of England </w:t>
      </w:r>
      <w:r>
        <w:t>byla založena v roce 1694 jako obyčejná akciová banka a formálně jí zůstala dodnes, ačkoli byla od svého vzniku úzce spo</w:t>
      </w:r>
      <w:r>
        <w:t xml:space="preserve">jena s vládou. Co se týče stanov a organisace, je to příklad všem cedulovým bankám na světě. Vývoj událostí však tuto formu cedulových bank v různých státech předhonil, klasické finanční hospodářství je vysazeno útokům s mnoha stran, </w:t>
      </w:r>
      <w:r>
        <w:rPr>
          <w:lang w:val="en-US" w:eastAsia="en-US" w:bidi="en-US"/>
        </w:rPr>
        <w:t xml:space="preserve">a Bank of England </w:t>
      </w:r>
      <w:r>
        <w:t>se m</w:t>
      </w:r>
      <w:r>
        <w:t>usela při</w:t>
      </w:r>
      <w:r>
        <w:softHyphen/>
        <w:t>způsobit novému světu. Je výhodou velkých národů, že mezi několika tucty milionů svých synů naleznou v každé situaci toho vhodného.</w:t>
      </w:r>
    </w:p>
    <w:p w:rsidR="00500724" w:rsidRDefault="00F30FB8">
      <w:pPr>
        <w:pStyle w:val="Zkladntext20"/>
        <w:shd w:val="clear" w:color="auto" w:fill="auto"/>
        <w:spacing w:line="202" w:lineRule="auto"/>
        <w:ind w:firstLine="260"/>
      </w:pPr>
      <w:r>
        <w:rPr>
          <w:lang w:val="en-US" w:eastAsia="en-US" w:bidi="en-US"/>
        </w:rPr>
        <w:t xml:space="preserve">Sir Montagu Collet </w:t>
      </w:r>
      <w:r>
        <w:t>Norman, majitel řádu pro zvláštní zásluhy (D. S. O.) a nositel titulu »right honorable«, útlý s</w:t>
      </w:r>
      <w:r>
        <w:t>tařík s prořídlým, zažloutlým vousiskem, je právě muž, kterého Velká Britanie před devatenácti lety nalezla, aby dal její peněžní záleži</w:t>
      </w:r>
      <w:r>
        <w:softHyphen/>
        <w:t>tosti do pořádku a připravil ji na všechny možnosti, které se mohly největší finanční velmoci po válečném otřesu naskyt</w:t>
      </w:r>
      <w:r>
        <w:t xml:space="preserve">nouti. </w:t>
      </w:r>
      <w:r>
        <w:rPr>
          <w:lang w:val="en-US" w:eastAsia="en-US" w:bidi="en-US"/>
        </w:rPr>
        <w:t xml:space="preserve">Montagu </w:t>
      </w:r>
      <w:r>
        <w:t>Norman je dnes diktá</w:t>
      </w:r>
      <w:r>
        <w:softHyphen/>
        <w:t xml:space="preserve">torem londýnské City právě tak, jako je </w:t>
      </w:r>
      <w:r>
        <w:rPr>
          <w:lang w:val="en-US" w:eastAsia="en-US" w:bidi="en-US"/>
        </w:rPr>
        <w:t>Neville Cham</w:t>
      </w:r>
      <w:r>
        <w:rPr>
          <w:lang w:val="en-US" w:eastAsia="en-US" w:bidi="en-US"/>
        </w:rPr>
        <w:softHyphen/>
        <w:t xml:space="preserve">berlain </w:t>
      </w:r>
      <w:r>
        <w:t>diktátorem ve Whitehallu, v sídle vládních úřadoven. Dík dohodě amerických, francouzských a britských cedulových bank v zájmu udržení měnové</w:t>
      </w:r>
      <w:r>
        <w:softHyphen/>
        <w:t>ho kursu stal se v</w:t>
      </w:r>
      <w:r>
        <w:t xml:space="preserve">šak </w:t>
      </w:r>
      <w:r>
        <w:rPr>
          <w:lang w:val="en-US" w:eastAsia="en-US" w:bidi="en-US"/>
        </w:rPr>
        <w:t xml:space="preserve">Montagu </w:t>
      </w:r>
      <w:r>
        <w:t xml:space="preserve">Norman diktátorem mezinárodním a to účinněji a působivěji, než </w:t>
      </w:r>
      <w:r>
        <w:rPr>
          <w:lang w:val="en-US" w:eastAsia="en-US" w:bidi="en-US"/>
        </w:rPr>
        <w:t xml:space="preserve">Neville Chamberlain. </w:t>
      </w:r>
      <w:r>
        <w:t>Politika lze porazit a za určitých okol</w:t>
      </w:r>
      <w:r>
        <w:softHyphen/>
        <w:t xml:space="preserve">ností musí odstoupit, ale guvernér </w:t>
      </w:r>
      <w:r>
        <w:rPr>
          <w:lang w:val="en-US" w:eastAsia="en-US" w:bidi="en-US"/>
        </w:rPr>
        <w:t xml:space="preserve">Bank of England </w:t>
      </w:r>
      <w:r>
        <w:t>a zakladatel americko-francouzsko-britského měnové</w:t>
      </w:r>
      <w:r>
        <w:softHyphen/>
        <w:t>ho vyrovnávacího f</w:t>
      </w:r>
      <w:r>
        <w:t>ondu stojí neochvějně na svém místě, dokud je živ.</w:t>
      </w:r>
    </w:p>
    <w:p w:rsidR="00500724" w:rsidRDefault="00F30FB8">
      <w:pPr>
        <w:pStyle w:val="Zkladntext20"/>
        <w:shd w:val="clear" w:color="auto" w:fill="auto"/>
        <w:spacing w:line="202" w:lineRule="auto"/>
        <w:ind w:firstLine="260"/>
      </w:pPr>
      <w:r>
        <w:t>Obrovská a bezpříkladná je Normanova moc nad peněžnictvím Velké Britanie a nad velkým dilem svě</w:t>
      </w:r>
      <w:r>
        <w:softHyphen/>
        <w:t xml:space="preserve">ta, obrovská je síla, kterou ovládá jakoukoli bursovní nebo bankovní činnost londýnské </w:t>
      </w:r>
      <w:r>
        <w:rPr>
          <w:lang w:val="en-US" w:eastAsia="en-US" w:bidi="en-US"/>
        </w:rPr>
        <w:t xml:space="preserve">City. </w:t>
      </w:r>
      <w:r>
        <w:t>V rozhodují</w:t>
      </w:r>
      <w:r>
        <w:softHyphen/>
        <w:t>cích</w:t>
      </w:r>
      <w:r>
        <w:t xml:space="preserve"> chvílích vydává rozkazy, kterých uposlechne ihned bursa i kterákoli banka. Zrazuje-li před spe</w:t>
      </w:r>
      <w:r>
        <w:softHyphen/>
        <w:t xml:space="preserve">kulací, je bursa celé týdny nehybná. Norman je první guvernér </w:t>
      </w:r>
      <w:r>
        <w:rPr>
          <w:lang w:val="en-US" w:eastAsia="en-US" w:bidi="en-US"/>
        </w:rPr>
        <w:t xml:space="preserve">Bank of England, </w:t>
      </w:r>
      <w:r>
        <w:t>kterému se podařilo vy- konávati kontrolu nad emisní činností akciových a soukrom</w:t>
      </w:r>
      <w:r>
        <w:t>ých bank. Od doby, kdy provedl největší cperaci v dějinách libry, v září 1931, potřebují jeho souhlasu nejen mezinárodní půjčky, ale i transakce ve službách soukromého britského hospodářství. Někdy se i dnes ozývá ještě v ředitelských pokojích v City tiché</w:t>
      </w:r>
      <w:r>
        <w:t xml:space="preserve"> bručení nad tolikerým vměšováním a takovou kontrolou, uznává se však obecně, že vzhle</w:t>
      </w:r>
      <w:r>
        <w:softHyphen/>
        <w:t xml:space="preserve">dem k znepokojivým a povážlivým zjevům ve světě jsou řízení a kontrola příkazem doby. </w:t>
      </w:r>
      <w:r>
        <w:rPr>
          <w:lang w:val="en-US" w:eastAsia="en-US" w:bidi="en-US"/>
        </w:rPr>
        <w:t xml:space="preserve">Montagu </w:t>
      </w:r>
      <w:r>
        <w:t>Nor</w:t>
      </w:r>
      <w:r>
        <w:softHyphen/>
        <w:t>man nepozorovaně ukončil tradiční liberalismus City tím, že lidem na Th</w:t>
      </w:r>
      <w:r>
        <w:t>readneedle Street vysvětlil příkla</w:t>
      </w:r>
      <w:r>
        <w:softHyphen/>
        <w:t>dy i činy, že je nutně třeba určité sebekázně, zvláště v souvislosti se zahraničím. Je v tomto ohledu jakýmsi dvojčetem ministerského předsedy Chamberlaina, který nepozorovaně suspendoval anglický parlamen- tarismus — ane</w:t>
      </w:r>
      <w:r>
        <w:t>bo jej alespoň zbavil účinnosti.</w:t>
      </w:r>
    </w:p>
    <w:p w:rsidR="00500724" w:rsidRDefault="00F30FB8">
      <w:pPr>
        <w:pStyle w:val="Zkladntext20"/>
        <w:shd w:val="clear" w:color="auto" w:fill="auto"/>
        <w:spacing w:after="100" w:line="202" w:lineRule="auto"/>
        <w:ind w:firstLine="260"/>
      </w:pPr>
      <w:r>
        <w:t xml:space="preserve">Oba, </w:t>
      </w:r>
      <w:r>
        <w:rPr>
          <w:lang w:val="en-US" w:eastAsia="en-US" w:bidi="en-US"/>
        </w:rPr>
        <w:t xml:space="preserve">Chamberlain </w:t>
      </w:r>
      <w:r>
        <w:t>i Norman, pracují v pevném pře</w:t>
      </w:r>
      <w:r>
        <w:softHyphen/>
        <w:t>svědčení, že je Velká Britanie v nebezpečí a že toto nebezpečí musí být odvráceno dřív, než zase budou vzkříšeny staré formy v politice a peněžnictví, anebo nové formy přizpůs</w:t>
      </w:r>
      <w:r>
        <w:t>obeny anglickým potřebám.</w:t>
      </w:r>
    </w:p>
    <w:p w:rsidR="00500724" w:rsidRDefault="00F30FB8">
      <w:pPr>
        <w:pStyle w:val="Zkladntext20"/>
        <w:shd w:val="clear" w:color="auto" w:fill="auto"/>
        <w:spacing w:after="100" w:line="202" w:lineRule="auto"/>
        <w:ind w:firstLine="0"/>
        <w:jc w:val="center"/>
      </w:pPr>
      <w:r>
        <w:t xml:space="preserve">Vládci </w:t>
      </w:r>
      <w:r>
        <w:rPr>
          <w:lang w:val="en-US" w:eastAsia="en-US" w:bidi="en-US"/>
        </w:rPr>
        <w:t>Bank of England</w:t>
      </w:r>
    </w:p>
    <w:p w:rsidR="00500724" w:rsidRDefault="00F30FB8">
      <w:pPr>
        <w:pStyle w:val="Zkladntext20"/>
        <w:shd w:val="clear" w:color="auto" w:fill="auto"/>
        <w:spacing w:after="40"/>
      </w:pPr>
      <w:r>
        <w:rPr>
          <w:lang w:val="en-US" w:eastAsia="en-US" w:bidi="en-US"/>
        </w:rPr>
        <w:t xml:space="preserve">Montagu </w:t>
      </w:r>
      <w:r>
        <w:t>Norman není Chamberlainovým podříze</w:t>
      </w:r>
      <w:r>
        <w:softHyphen/>
        <w:t xml:space="preserve">ným, třebaže podporuje jeho bezpodmínečnou politiku ze všech sil. Poměr je opačný: spíše provádí </w:t>
      </w:r>
      <w:r>
        <w:rPr>
          <w:lang w:val="en-US" w:eastAsia="en-US" w:bidi="en-US"/>
        </w:rPr>
        <w:t xml:space="preserve">Chamber- lain, </w:t>
      </w:r>
      <w:r>
        <w:t xml:space="preserve">velkoprůmyslník a kupec z povolání, Normanovy zásady a myšlenky. Ale </w:t>
      </w:r>
      <w:r>
        <w:rPr>
          <w:lang w:val="en-US" w:eastAsia="en-US" w:bidi="en-US"/>
        </w:rPr>
        <w:t xml:space="preserve">Bank of England </w:t>
      </w:r>
      <w:r>
        <w:t>není tajná kamarila, nýbrž zástupce britského velkokapitálu, a tento velkokapitál není uložen jenom ve Velké Bri</w:t>
      </w:r>
      <w:r>
        <w:softHyphen/>
        <w:t>tanii, nýbrž skoro ve všech zemích na světě. V ředitel</w:t>
      </w:r>
      <w:r>
        <w:softHyphen/>
        <w:t>stv</w:t>
      </w:r>
      <w:r>
        <w:t xml:space="preserve">í </w:t>
      </w:r>
      <w:r>
        <w:rPr>
          <w:lang w:val="en-US" w:eastAsia="en-US" w:bidi="en-US"/>
        </w:rPr>
        <w:t xml:space="preserve">Bank of England </w:t>
      </w:r>
      <w:r>
        <w:t xml:space="preserve">sedí lidé, jako </w:t>
      </w:r>
      <w:r>
        <w:rPr>
          <w:lang w:val="en-US" w:eastAsia="en-US" w:bidi="en-US"/>
        </w:rPr>
        <w:t xml:space="preserve">sir </w:t>
      </w:r>
      <w:r>
        <w:t xml:space="preserve">Alan </w:t>
      </w:r>
      <w:r>
        <w:rPr>
          <w:lang w:val="en-US" w:eastAsia="en-US" w:bidi="en-US"/>
        </w:rPr>
        <w:t xml:space="preserve">Garrett </w:t>
      </w:r>
      <w:r>
        <w:t xml:space="preserve">A n d e r s o n od firmy Anderson, </w:t>
      </w:r>
      <w:r>
        <w:rPr>
          <w:lang w:val="en-US" w:eastAsia="en-US" w:bidi="en-US"/>
        </w:rPr>
        <w:t xml:space="preserve">Green </w:t>
      </w:r>
      <w:r>
        <w:t xml:space="preserve">a Co., majitel největších doků v Anglii, </w:t>
      </w:r>
      <w:r>
        <w:rPr>
          <w:lang w:val="en-US" w:eastAsia="en-US" w:bidi="en-US"/>
        </w:rPr>
        <w:t xml:space="preserve">lord Josiah Stamp, </w:t>
      </w:r>
      <w:r>
        <w:t>před</w:t>
      </w:r>
      <w:r>
        <w:softHyphen/>
        <w:t xml:space="preserve">seda anglo-midland-skotské železnice, která má zájmy </w:t>
      </w:r>
      <w:r>
        <w:rPr>
          <w:b/>
          <w:bCs/>
          <w:sz w:val="26"/>
          <w:szCs w:val="26"/>
        </w:rPr>
        <w:t xml:space="preserve">v </w:t>
      </w:r>
      <w:r>
        <w:t xml:space="preserve">nejrůznějších podnicích těžkého průmyslu na </w:t>
      </w:r>
      <w:r>
        <w:t>pevni</w:t>
      </w:r>
      <w:r>
        <w:softHyphen/>
        <w:t xml:space="preserve">ně, sir Robert Molesworth </w:t>
      </w:r>
      <w:r>
        <w:rPr>
          <w:lang w:val="en-US" w:eastAsia="en-US" w:bidi="en-US"/>
        </w:rPr>
        <w:t xml:space="preserve">Kinde </w:t>
      </w:r>
      <w:r>
        <w:t xml:space="preserve">s </w:t>
      </w:r>
      <w:r>
        <w:rPr>
          <w:lang w:val="en-US" w:eastAsia="en-US" w:bidi="en-US"/>
        </w:rPr>
        <w:t xml:space="preserve">ley, </w:t>
      </w:r>
      <w:r>
        <w:t xml:space="preserve">společník londýnsko-pařížského bankovního závodu Lazard Brothers, jeden z majitelů L G. Farben a jiných říšsko- německých koncernů, pan Frank Cyril T i a r k s, šéf banky </w:t>
      </w:r>
      <w:r>
        <w:rPr>
          <w:lang w:val="en-US" w:eastAsia="en-US" w:bidi="en-US"/>
        </w:rPr>
        <w:t xml:space="preserve">J. Schroder </w:t>
      </w:r>
      <w:r>
        <w:t xml:space="preserve">a Co. a ještě několik mužů, </w:t>
      </w:r>
      <w:r>
        <w:t>kteří obepínají svými obchodními a osobními zájmy celý civilisovaný svět.</w:t>
      </w:r>
    </w:p>
    <w:p w:rsidR="00500724" w:rsidRDefault="00F30FB8">
      <w:pPr>
        <w:pStyle w:val="Zkladntext20"/>
        <w:shd w:val="clear" w:color="auto" w:fill="auto"/>
        <w:spacing w:line="202" w:lineRule="auto"/>
      </w:pPr>
      <w:r>
        <w:t xml:space="preserve">Velká Britanie je kapitalistická říše </w:t>
      </w:r>
      <w:r>
        <w:rPr>
          <w:lang w:val="en-US" w:eastAsia="en-US" w:bidi="en-US"/>
        </w:rPr>
        <w:t xml:space="preserve">a Bank of England </w:t>
      </w:r>
      <w:r>
        <w:t xml:space="preserve">zastupuje její cíle a zájmy. </w:t>
      </w:r>
      <w:r>
        <w:rPr>
          <w:lang w:val="en-US" w:eastAsia="en-US" w:bidi="en-US"/>
        </w:rPr>
        <w:t xml:space="preserve">Montagu </w:t>
      </w:r>
      <w:r>
        <w:t>Nor</w:t>
      </w:r>
      <w:r>
        <w:softHyphen/>
        <w:t>man je guvernérem této banky, která ovládá City. Není třeba příliš mnoho fantastie, c</w:t>
      </w:r>
      <w:r>
        <w:t>hceme-li si před</w:t>
      </w:r>
      <w:r>
        <w:softHyphen/>
        <w:t xml:space="preserve">stavit, kde jsou zájmy tohoto světa, jehož pánem je </w:t>
      </w:r>
      <w:r>
        <w:rPr>
          <w:lang w:val="en-US" w:eastAsia="en-US" w:bidi="en-US"/>
        </w:rPr>
        <w:t xml:space="preserve">Montagu </w:t>
      </w:r>
      <w:r>
        <w:t xml:space="preserve">Norman. Je však omyl domnívati se, že ředitelé </w:t>
      </w:r>
      <w:r>
        <w:rPr>
          <w:lang w:val="en-US" w:eastAsia="en-US" w:bidi="en-US"/>
        </w:rPr>
        <w:t xml:space="preserve">Bank of England </w:t>
      </w:r>
      <w:r>
        <w:t>konají zvláštní schůze, na nichž určují osudy světa o celá léta dopředu. Není třeba takových schůzí, protože tito mu</w:t>
      </w:r>
      <w:r>
        <w:t xml:space="preserve">ži vědí, co doba žádá, </w:t>
      </w:r>
      <w:r>
        <w:rPr>
          <w:lang w:val="en-US" w:eastAsia="en-US" w:bidi="en-US"/>
        </w:rPr>
        <w:t xml:space="preserve">a Montagu </w:t>
      </w:r>
      <w:r>
        <w:t>Norman nepotřebuje žádné zvláštní porady. Zná svůj svět.</w:t>
      </w:r>
    </w:p>
    <w:p w:rsidR="00500724" w:rsidRDefault="00F30FB8">
      <w:pPr>
        <w:pStyle w:val="Zkladntext20"/>
        <w:shd w:val="clear" w:color="auto" w:fill="auto"/>
        <w:spacing w:line="202" w:lineRule="auto"/>
      </w:pPr>
      <w:r>
        <w:t>První velkou ránu utrpěl Normanův svět ve chvíli, kdy Leninova vláda v Rusku prohlásila zahraniční státní půjčky za neplatné a zrušila soukromé vlast</w:t>
      </w:r>
      <w:r>
        <w:softHyphen/>
        <w:t xml:space="preserve">nictví. Odpověď </w:t>
      </w:r>
      <w:r>
        <w:t>na tuto ránu byla právě tak bez</w:t>
      </w:r>
      <w:r>
        <w:softHyphen/>
        <w:t>prostřední: vojenská intervence pro obnovu starého řádu. Pokus se nezdařil, poněvadž lidé, tvořící armá</w:t>
      </w:r>
      <w:r>
        <w:softHyphen/>
        <w:t>dy, byli válkou unaveni a příliš oddáni demokratic</w:t>
      </w:r>
      <w:r>
        <w:softHyphen/>
        <w:t>kým ideálům.</w:t>
      </w:r>
    </w:p>
    <w:p w:rsidR="00500724" w:rsidRDefault="00F30FB8">
      <w:pPr>
        <w:pStyle w:val="Zkladntext20"/>
        <w:shd w:val="clear" w:color="auto" w:fill="auto"/>
        <w:spacing w:after="100" w:line="202" w:lineRule="auto"/>
      </w:pPr>
      <w:r>
        <w:t>Britský kapitál nemohl oželet ztráty, které v Rus</w:t>
      </w:r>
      <w:r>
        <w:softHyphen/>
        <w:t>ku utr</w:t>
      </w:r>
      <w:r>
        <w:t>pěl, a po léta se pokoušel o změnu vnitřního režimu v Rusku. Sir Henry Deterding, petrolejový král, který nedávno zemřel, byl jenom jeden z těch, kterého ruská revoluce postihla. Jeho prostřednictvím přicházeli mužové City do styku s těmi politickými proud</w:t>
      </w:r>
      <w:r>
        <w:t>y v Evropě, jejichž nacionální cíle razily si v Evropě cestu pod vlajkou protibolševismu. City s nimi nebyla jenom v duchovním styku. Časem ener</w:t>
      </w:r>
      <w:r>
        <w:softHyphen/>
        <w:t>gie City vyprchala. Ruské státní půjčky musela oželet a průmyslové ztráty vynahradila si alespoň částečně velik</w:t>
      </w:r>
      <w:r>
        <w:t>ými dodávkami, které umožnily výstavbu ruské</w:t>
      </w:r>
      <w:r>
        <w:softHyphen/>
        <w:t xml:space="preserve">ho těžkého průmyslu. Mnohem větší starosti objevily se na pevnině. </w:t>
      </w:r>
      <w:r>
        <w:rPr>
          <w:u w:val="single"/>
        </w:rPr>
        <w:t>V boji o politi</w:t>
      </w:r>
      <w:r>
        <w:t>ckou-moc-v-jednotli</w:t>
      </w:r>
      <w:r>
        <w:rPr>
          <w:u w:val="single"/>
        </w:rPr>
        <w:t>vých evropských zemíchstojí sy</w:t>
      </w:r>
      <w:r>
        <w:t>m</w:t>
      </w:r>
      <w:r>
        <w:rPr>
          <w:u w:val="single"/>
        </w:rPr>
        <w:t>patie a p</w:t>
      </w:r>
      <w:r>
        <w:t>o</w:t>
      </w:r>
      <w:r>
        <w:rPr>
          <w:u w:val="single"/>
        </w:rPr>
        <w:t>moc City v</w:t>
      </w:r>
      <w:r>
        <w:t xml:space="preserve">ždv </w:t>
      </w:r>
      <w:r>
        <w:rPr>
          <w:u w:val="single"/>
        </w:rPr>
        <w:t>na straňetěch, kt</w:t>
      </w:r>
      <w:r>
        <w:t xml:space="preserve">érLjsQusteáěeLsíarého hospodářské- </w:t>
      </w:r>
      <w:r>
        <w:rPr>
          <w:u w:val="single"/>
        </w:rPr>
        <w:t xml:space="preserve">ho </w:t>
      </w:r>
      <w:r>
        <w:rPr>
          <w:u w:val="single"/>
        </w:rPr>
        <w:t>zřízeni a protibolševickéh</w:t>
      </w:r>
      <w:r>
        <w:t xml:space="preserve">Q-.kui'su. Cb ié~ bóIšě- ylgtyím, </w:t>
      </w:r>
      <w:r>
        <w:rPr>
          <w:u w:val="single"/>
        </w:rPr>
        <w:t>to</w:t>
      </w:r>
      <w:r>
        <w:t xml:space="preserve"> Čity </w:t>
      </w:r>
      <w:r>
        <w:rPr>
          <w:u w:val="single"/>
        </w:rPr>
        <w:t>r</w:t>
      </w:r>
      <w:r>
        <w:t>ozhoduje často_dost libovolně.</w:t>
      </w:r>
    </w:p>
    <w:p w:rsidR="00500724" w:rsidRDefault="00F30FB8">
      <w:pPr>
        <w:pStyle w:val="Zkladntext20"/>
        <w:shd w:val="clear" w:color="auto" w:fill="auto"/>
        <w:spacing w:after="40" w:line="202" w:lineRule="auto"/>
      </w:pPr>
      <w:r>
        <w:rPr>
          <w:lang w:val="en-US" w:eastAsia="en-US" w:bidi="en-US"/>
        </w:rPr>
        <w:t xml:space="preserve">Foreign </w:t>
      </w:r>
      <w:r>
        <w:t xml:space="preserve">Office </w:t>
      </w:r>
      <w:r>
        <w:rPr>
          <w:lang w:val="en-US" w:eastAsia="en-US" w:bidi="en-US"/>
        </w:rPr>
        <w:t>a Bank of England</w:t>
      </w:r>
    </w:p>
    <w:p w:rsidR="00500724" w:rsidRDefault="00F30FB8">
      <w:pPr>
        <w:pStyle w:val="Zkladntext20"/>
        <w:shd w:val="clear" w:color="auto" w:fill="auto"/>
        <w:spacing w:line="202" w:lineRule="auto"/>
      </w:pPr>
      <w:r>
        <w:t>Po nejistých a přepolitisovaných letech pováleč</w:t>
      </w:r>
      <w:r>
        <w:softHyphen/>
        <w:t>ných vrátila se pozvolna moc do rukou velikánů z Lombard Street. To bylo zř</w:t>
      </w:r>
      <w:r>
        <w:t xml:space="preserve">ejmé již v roce 1926, když byla zdolána velká anglická dopravní stávka. Anglie, kapitalistická Anglie, se zotavila, </w:t>
      </w:r>
      <w:r>
        <w:rPr>
          <w:lang w:val="en-US" w:eastAsia="en-US" w:bidi="en-US"/>
        </w:rPr>
        <w:t xml:space="preserve">a Bank of England </w:t>
      </w:r>
      <w:r>
        <w:t xml:space="preserve">stala se znovu pánem osudů na pevnině. Trvalo mnoho let, než to národy zpozorovaly, a mnoho jich to vůbec nepostřehlo. Od </w:t>
      </w:r>
      <w:r>
        <w:t xml:space="preserve">roku 1932 bylo záhodno pro vlády států na pevnině, aby si dávaly své diplomatické zástupce schvalovati nejen v St. James a na </w:t>
      </w:r>
      <w:r>
        <w:rPr>
          <w:lang w:val="en-US" w:eastAsia="en-US" w:bidi="en-US"/>
        </w:rPr>
        <w:t xml:space="preserve">Foreign </w:t>
      </w:r>
      <w:r>
        <w:t xml:space="preserve">Office, nýbrž i v </w:t>
      </w:r>
      <w:r>
        <w:rPr>
          <w:lang w:val="en-US" w:eastAsia="en-US" w:bidi="en-US"/>
        </w:rPr>
        <w:t xml:space="preserve">City. </w:t>
      </w:r>
      <w:r>
        <w:t xml:space="preserve">V okolí </w:t>
      </w:r>
      <w:r>
        <w:rPr>
          <w:lang w:val="en-US" w:eastAsia="en-US" w:bidi="en-US"/>
        </w:rPr>
        <w:t xml:space="preserve">Bank of England </w:t>
      </w:r>
      <w:r>
        <w:t xml:space="preserve">vědělo se od těch dob vždycky lépe, než v ministerstvu zahraničí, co </w:t>
      </w:r>
      <w:r>
        <w:t>zamýšlí britská za</w:t>
      </w:r>
      <w:r>
        <w:softHyphen/>
        <w:t>hraniční politika. Abychom uvedli jen jeden příklad: bývalý londýnský bankovní ředitel Stojadinovič ne</w:t>
      </w:r>
      <w:r>
        <w:softHyphen/>
        <w:t>čerpal sílu ke svým rozhodnutím z vnuknutí, která ho navštěvovala v tichu osamělé pracovny, nýbrž z bez</w:t>
      </w:r>
      <w:r>
        <w:softHyphen/>
        <w:t>prostředních osobních informac</w:t>
      </w:r>
      <w:r>
        <w:t>í z City, informací, které byly přístupny bankovnímu odborníku evrop</w:t>
      </w:r>
      <w:r>
        <w:softHyphen/>
        <w:t>ského formátu, i když žil na tisíc mil od City daleko, a které mnohému diplomatu, žijícímu těsně u City, přístupny nebyly.</w:t>
      </w:r>
    </w:p>
    <w:p w:rsidR="00500724" w:rsidRDefault="00F30FB8">
      <w:pPr>
        <w:pStyle w:val="Zkladntext20"/>
        <w:shd w:val="clear" w:color="auto" w:fill="auto"/>
        <w:spacing w:line="202" w:lineRule="auto"/>
        <w:ind w:firstLine="0"/>
        <w:jc w:val="center"/>
      </w:pPr>
      <w:r>
        <w:t>Podřízení Francie</w:t>
      </w:r>
    </w:p>
    <w:p w:rsidR="00500724" w:rsidRDefault="00F30FB8">
      <w:pPr>
        <w:pStyle w:val="Zkladntext20"/>
        <w:shd w:val="clear" w:color="auto" w:fill="auto"/>
        <w:spacing w:line="202" w:lineRule="auto"/>
        <w:ind w:firstLine="260"/>
      </w:pPr>
      <w:r>
        <w:t>Osud francouzských vlád lidové fronty rozhodov</w:t>
      </w:r>
      <w:r>
        <w:t>al se jenom zčásti v chodbách Bourbonského paláce, totiž ve sněmovně. City neviděla ráda, že do evrop</w:t>
      </w:r>
      <w:r>
        <w:softHyphen/>
        <w:t>ského vývoje vpadla čistá politika, která se projevila</w:t>
      </w:r>
    </w:p>
    <w:p w:rsidR="00500724" w:rsidRDefault="00F30FB8">
      <w:pPr>
        <w:pStyle w:val="Zkladntext20"/>
        <w:numPr>
          <w:ilvl w:val="0"/>
          <w:numId w:val="24"/>
        </w:numPr>
        <w:shd w:val="clear" w:color="auto" w:fill="auto"/>
        <w:tabs>
          <w:tab w:val="left" w:pos="274"/>
        </w:tabs>
        <w:spacing w:line="202" w:lineRule="auto"/>
        <w:ind w:firstLine="0"/>
      </w:pPr>
      <w:r>
        <w:t>Barthouově úsilí o francouzsko-ruské spojenectví. City je nedůvěřivá, i když se už neobává, že se b</w:t>
      </w:r>
      <w:r>
        <w:t xml:space="preserve">olše- vismus z Ruska rozšíří. Trvalo léta, než se jí podařilo povalili Blumovu vládu pomocí půjčky, kterou </w:t>
      </w:r>
      <w:r>
        <w:rPr>
          <w:lang w:val="en-US" w:eastAsia="en-US" w:bidi="en-US"/>
        </w:rPr>
        <w:t>Mon</w:t>
      </w:r>
      <w:r>
        <w:rPr>
          <w:lang w:val="en-US" w:eastAsia="en-US" w:bidi="en-US"/>
        </w:rPr>
        <w:softHyphen/>
        <w:t xml:space="preserve">tagu </w:t>
      </w:r>
      <w:r>
        <w:t>Norman v roce 1936 finančnímu ministru Auriolo-</w:t>
      </w:r>
    </w:p>
    <w:p w:rsidR="00500724" w:rsidRDefault="00F30FB8">
      <w:pPr>
        <w:pStyle w:val="Zkladntext20"/>
        <w:numPr>
          <w:ilvl w:val="0"/>
          <w:numId w:val="24"/>
        </w:numPr>
        <w:shd w:val="clear" w:color="auto" w:fill="auto"/>
        <w:tabs>
          <w:tab w:val="left" w:pos="337"/>
        </w:tabs>
        <w:spacing w:after="60" w:line="202" w:lineRule="auto"/>
        <w:ind w:firstLine="0"/>
      </w:pPr>
      <w:r>
        <w:t xml:space="preserve">nepovolil, ale Bonnetovi ve vládě Chautempsově ochotně poskytl. Podobá se pravdě, že první ministr zahraničních věcí v Daladierově vládě, Paul Boncour, musel na jaře 1938 odstoupili jenom proto, že se City obávala pokračování v politice Rusku přátelské. </w:t>
      </w:r>
      <w:r>
        <w:rPr>
          <w:lang w:val="en-US" w:eastAsia="en-US" w:bidi="en-US"/>
        </w:rPr>
        <w:t>Mo</w:t>
      </w:r>
      <w:r>
        <w:rPr>
          <w:lang w:val="en-US" w:eastAsia="en-US" w:bidi="en-US"/>
        </w:rPr>
        <w:t>n</w:t>
      </w:r>
      <w:r>
        <w:rPr>
          <w:lang w:val="en-US" w:eastAsia="en-US" w:bidi="en-US"/>
        </w:rPr>
        <w:softHyphen/>
        <w:t xml:space="preserve">tagu </w:t>
      </w:r>
      <w:r>
        <w:t xml:space="preserve">Norman odmítl proto povolili Daladierově vládě další půjčku ve výši dvou milionů dolarů. Teprve potom, když se v ministerstvu zahraničních věcí usadil </w:t>
      </w:r>
      <w:r>
        <w:rPr>
          <w:lang w:val="en-US" w:eastAsia="en-US" w:bidi="en-US"/>
        </w:rPr>
        <w:t xml:space="preserve">Bonnet, </w:t>
      </w:r>
      <w:r>
        <w:t xml:space="preserve">obnovila se shoda mezi Quai </w:t>
      </w:r>
      <w:r>
        <w:rPr>
          <w:lang w:val="en-US" w:eastAsia="en-US" w:bidi="en-US"/>
        </w:rPr>
        <w:t xml:space="preserve">d’Orsay </w:t>
      </w:r>
      <w:r>
        <w:t xml:space="preserve">a </w:t>
      </w:r>
      <w:r>
        <w:rPr>
          <w:lang w:val="en-US" w:eastAsia="en-US" w:bidi="en-US"/>
        </w:rPr>
        <w:t xml:space="preserve">Downing </w:t>
      </w:r>
      <w:r>
        <w:t xml:space="preserve">Street. </w:t>
      </w:r>
      <w:r>
        <w:rPr>
          <w:lang w:val="en-US" w:eastAsia="en-US" w:bidi="en-US"/>
        </w:rPr>
        <w:t xml:space="preserve">Bonnet, </w:t>
      </w:r>
      <w:r>
        <w:t>který je s francouzským těžk</w:t>
      </w:r>
      <w:r>
        <w:t>ým průmyslem v úzkých stycích, má v City do</w:t>
      </w:r>
      <w:r>
        <w:softHyphen/>
        <w:t>brou posici, neboť její vládcové věří, že nebude dělati ideologickou, nýbrž rozumnou, to jest hospodářskou zahraniční politiku. Podrobila-li se Francie britské zahraniční politice, není to náhoda. Souvisí to s vy</w:t>
      </w:r>
      <w:r>
        <w:t>slo</w:t>
      </w:r>
      <w:r>
        <w:softHyphen/>
        <w:t xml:space="preserve">veně finančními zjevy: zlaté zásoby Francie, které </w:t>
      </w:r>
      <w:r>
        <w:rPr>
          <w:i/>
          <w:iCs/>
        </w:rPr>
        <w:t>v</w:t>
      </w:r>
      <w:r>
        <w:t xml:space="preserve"> roce 1929 tvořily ještě 23 procent všech světových zásob zlata (kromě Ruska), poklesly v polovici roku 1938 na 10 procent. V téže době stouply britské zlaté zásoby z 10 procent na 18 procent a americ</w:t>
      </w:r>
      <w:r>
        <w:t>ké ze 40 procent na 55 procent.</w:t>
      </w:r>
    </w:p>
    <w:p w:rsidR="00500724" w:rsidRDefault="00F30FB8">
      <w:pPr>
        <w:pStyle w:val="Zkladntext20"/>
        <w:shd w:val="clear" w:color="auto" w:fill="auto"/>
        <w:spacing w:after="60" w:line="202" w:lineRule="auto"/>
        <w:ind w:firstLine="0"/>
        <w:jc w:val="center"/>
      </w:pPr>
      <w:r>
        <w:t>Finanční politika City</w:t>
      </w:r>
    </w:p>
    <w:p w:rsidR="00500724" w:rsidRDefault="00F30FB8">
      <w:pPr>
        <w:pStyle w:val="Zkladntext20"/>
        <w:shd w:val="clear" w:color="auto" w:fill="auto"/>
        <w:spacing w:line="202" w:lineRule="auto"/>
        <w:ind w:firstLine="260"/>
      </w:pPr>
      <w:r>
        <w:t xml:space="preserve">City a její vládce, </w:t>
      </w:r>
      <w:r>
        <w:rPr>
          <w:lang w:val="en-US" w:eastAsia="en-US" w:bidi="en-US"/>
        </w:rPr>
        <w:t xml:space="preserve">Montagu </w:t>
      </w:r>
      <w:r>
        <w:t>Norman, nemilují poli</w:t>
      </w:r>
      <w:r>
        <w:softHyphen/>
        <w:t xml:space="preserve">tiku, Chtějí dělat obchody a zůročiti dobře kapitály. Tak, jako v politice </w:t>
      </w:r>
      <w:r>
        <w:rPr>
          <w:lang w:val="en-US" w:eastAsia="en-US" w:bidi="en-US"/>
        </w:rPr>
        <w:t xml:space="preserve">Bank of England </w:t>
      </w:r>
      <w:r>
        <w:t>a tím i Velké Britanie rozhodují jenom zájmy největšího kapi</w:t>
      </w:r>
      <w:r>
        <w:t>tálu, počítají ovšem i vládcové City jenom s velkými jednotkami.</w:t>
      </w:r>
    </w:p>
    <w:p w:rsidR="00500724" w:rsidRDefault="00F30FB8">
      <w:pPr>
        <w:pStyle w:val="Zkladntext20"/>
        <w:shd w:val="clear" w:color="auto" w:fill="auto"/>
        <w:spacing w:line="202" w:lineRule="auto"/>
        <w:ind w:firstLine="260"/>
      </w:pPr>
      <w:r>
        <w:t>V City vládne pevné přesvědčení, že poválečná rovnováha světa prožívá otřesy jenom proto, poně</w:t>
      </w:r>
      <w:r>
        <w:softHyphen/>
        <w:t>vadž ze světového obchodu byla naprosto vytržena taková obrovská část, jako je Rusko, a menší, z</w:t>
      </w:r>
      <w:r>
        <w:t>ato však uspořádaná část, totiž rakousko-uherská mon</w:t>
      </w:r>
      <w:r>
        <w:softHyphen/>
        <w:t>archie, byla rozbita. Stalo se to prý jenom z politic</w:t>
      </w:r>
      <w:r>
        <w:softHyphen/>
        <w:t>kých, vlastně z ideologických důvodů. Toto druhé nedopatření světové války nebo mírových smluv — abychom použili výrazu City — je už napraveno, poněv</w:t>
      </w:r>
      <w:r>
        <w:t>adž zbytky Rakousko a Sudety jsou již připoje</w:t>
      </w:r>
      <w:r>
        <w:softHyphen/>
        <w:t>ny k velkému německému hospodářskému území, a Česko-Slovensko a_ Maďars</w:t>
      </w:r>
      <w:r>
        <w:rPr>
          <w:u w:val="single"/>
        </w:rPr>
        <w:t>ko se vřaďnií v německý</w:t>
      </w:r>
    </w:p>
    <w:p w:rsidR="00500724" w:rsidRDefault="00F30FB8">
      <w:pPr>
        <w:pStyle w:val="Zkladntext20"/>
        <w:shd w:val="clear" w:color="auto" w:fill="auto"/>
        <w:spacing w:line="202" w:lineRule="auto"/>
        <w:ind w:firstLine="0"/>
      </w:pPr>
      <w:r>
        <w:rPr>
          <w:u w:val="single"/>
        </w:rPr>
        <w:t>prostor. C</w:t>
      </w:r>
      <w:r>
        <w:t>ity je přesvědčena, že jen velká hospodář</w:t>
      </w:r>
      <w:r>
        <w:softHyphen/>
      </w:r>
    </w:p>
    <w:p w:rsidR="00500724" w:rsidRDefault="00F30FB8">
      <w:pPr>
        <w:pStyle w:val="Zkladntext20"/>
        <w:shd w:val="clear" w:color="auto" w:fill="auto"/>
        <w:spacing w:line="206" w:lineRule="auto"/>
        <w:ind w:firstLine="0"/>
        <w:jc w:val="left"/>
      </w:pPr>
      <w:r>
        <w:t>ská území tvoří základ zdravého světového obchodu. Ale světové</w:t>
      </w:r>
      <w:r>
        <w:t>mu obchodu může se dařiti jenom v míru. .</w:t>
      </w:r>
      <w:r>
        <w:rPr>
          <w:u w:val="single"/>
        </w:rPr>
        <w:t xml:space="preserve">Vnitřní režimy jednotlivých oblastí nechávají City </w:t>
      </w:r>
      <w:r>
        <w:rPr>
          <w:sz w:val="20"/>
          <w:szCs w:val="20"/>
        </w:rPr>
        <w:t xml:space="preserve">celkem lhostejnou^ jen když jsou stabilní </w:t>
      </w:r>
      <w:r>
        <w:t xml:space="preserve">a zaručují_ </w:t>
      </w:r>
      <w:r>
        <w:rPr>
          <w:u w:val="single"/>
        </w:rPr>
        <w:t xml:space="preserve">Hladký obchodní provoz, hlavně pevnou </w:t>
      </w:r>
      <w:r>
        <w:rPr>
          <w:u w:val="single"/>
          <w:lang w:val="en-US" w:eastAsia="en-US" w:bidi="en-US"/>
        </w:rPr>
        <w:t>kafEHacj</w:t>
      </w:r>
      <w:r>
        <w:rPr>
          <w:lang w:val="en-US" w:eastAsia="en-US" w:bidi="en-US"/>
        </w:rPr>
        <w:t>.</w:t>
      </w:r>
    </w:p>
    <w:p w:rsidR="00500724" w:rsidRDefault="00F30FB8">
      <w:pPr>
        <w:pStyle w:val="Zkladntext20"/>
        <w:shd w:val="clear" w:color="auto" w:fill="auto"/>
        <w:spacing w:line="202" w:lineRule="auto"/>
        <w:ind w:firstLine="160"/>
      </w:pPr>
      <w:r>
        <w:t xml:space="preserve">' Táto úvaha vede zhruba politiku City a tím i sou- ěasnou </w:t>
      </w:r>
      <w:r>
        <w:t>politiku Velké Britanie. S tohoto jejich hle</w:t>
      </w:r>
      <w:r>
        <w:softHyphen/>
        <w:t>diska musíme posuzovat také politiku vůči Rusku. Jakmile nastanou v Rusku vnitřní otřesy nebo jak</w:t>
      </w:r>
      <w:r>
        <w:softHyphen/>
        <w:t>mile se komunistická politika míchá do cizích zemí, je City nervosní a proti Rusku zaujatá. Dávno se už vzdala př</w:t>
      </w:r>
      <w:r>
        <w:t>ímé intervence a žije v přesvědčení, že každý teroristický režim zanikne časem sám pod materiál</w:t>
      </w:r>
      <w:r>
        <w:softHyphen/>
        <w:t>ním zatížením, které musí na svá bedra naložit, protože by se jinak proti vůli potlačovaných nemohl udržeti.</w:t>
      </w:r>
    </w:p>
    <w:p w:rsidR="00500724" w:rsidRDefault="00F30FB8">
      <w:pPr>
        <w:pStyle w:val="Zkladntext20"/>
        <w:shd w:val="clear" w:color="auto" w:fill="auto"/>
        <w:spacing w:after="140" w:line="202" w:lineRule="auto"/>
        <w:ind w:firstLine="280"/>
      </w:pPr>
      <w:r>
        <w:rPr>
          <w:u w:val="single"/>
        </w:rPr>
        <w:t>Velká Britanie má podle mínění City dost času i pen</w:t>
      </w:r>
      <w:r>
        <w:rPr>
          <w:u w:val="single"/>
        </w:rPr>
        <w:t>ez, aby mohla vyčkává ti.a</w:t>
      </w:r>
      <w:r>
        <w:t>ž-se-iejí-doč</w:t>
      </w:r>
      <w:r>
        <w:rPr>
          <w:u w:val="single"/>
        </w:rPr>
        <w:t xml:space="preserve">asní odpůrci </w:t>
      </w:r>
      <w:r>
        <w:t>a nepřátelé zhroutí. Má také dost peněz, aby mohla“ prosaditi své politické cíle pomocí jiných. Španělsko je toho příkladem. Vnitřní nepokoj této země, otřása</w:t>
      </w:r>
      <w:r>
        <w:softHyphen/>
        <w:t>né socialistickou horečkou a anarchistickou b</w:t>
      </w:r>
      <w:r>
        <w:t>ezhla- vostí, nepokoj země, kde je investováno tolik britské</w:t>
      </w:r>
      <w:r>
        <w:softHyphen/>
        <w:t xml:space="preserve">ho kapitálu, vedl k povstání generála </w:t>
      </w:r>
      <w:r>
        <w:rPr>
          <w:lang w:val="en-US" w:eastAsia="en-US" w:bidi="en-US"/>
        </w:rPr>
        <w:t xml:space="preserve">Franca. </w:t>
      </w:r>
      <w:r>
        <w:t>City měla na událostech podíl, ale Anglii nemohl nikdo nic dokázat. Podezřelé bylo nanejvýš chování Portugal</w:t>
      </w:r>
      <w:r>
        <w:softHyphen/>
        <w:t>ska, které je vystaveno velkému britském</w:t>
      </w:r>
      <w:r>
        <w:t>u vlivu. Vel</w:t>
      </w:r>
      <w:r>
        <w:softHyphen/>
        <w:t>ká Britanie přihlížela dva a půl roku klidně, jak se ve Španělsku prosazují cizí zájmy; připustila klidně, aby se vyzuřily ideologické boje, aby pro ideologické účastníky nastaly politické a finanční potíže, oddalujíc pečlivě všechno, co by mo</w:t>
      </w:r>
      <w:r>
        <w:t>hlo posíliti stranu, odsouze</w:t>
      </w:r>
      <w:r>
        <w:softHyphen/>
        <w:t>nou k porážce a prodloužiti tím válku. Činila tak proto, aby ve chvíli, psychologicky a strategicky nej</w:t>
      </w:r>
      <w:r>
        <w:softHyphen/>
        <w:t>vhodnější, mohla se objeviti jako anděl míru, pro- středkovatel mezi oběma stranami a štědrý dárce peněz pro vítěze. V doho</w:t>
      </w:r>
      <w:r>
        <w:t xml:space="preserve">dě s </w:t>
      </w:r>
      <w:r>
        <w:rPr>
          <w:lang w:val="en-US" w:eastAsia="en-US" w:bidi="en-US"/>
        </w:rPr>
        <w:t xml:space="preserve">Downing </w:t>
      </w:r>
      <w:r>
        <w:t>Streetem do</w:t>
      </w:r>
      <w:r>
        <w:softHyphen/>
        <w:t>končuje teď City válku ve Španělsku.</w:t>
      </w:r>
    </w:p>
    <w:p w:rsidR="00500724" w:rsidRDefault="00F30FB8">
      <w:pPr>
        <w:pStyle w:val="Zkladntext20"/>
        <w:shd w:val="clear" w:color="auto" w:fill="auto"/>
        <w:spacing w:after="40" w:line="202" w:lineRule="auto"/>
        <w:ind w:firstLine="0"/>
        <w:jc w:val="center"/>
      </w:pPr>
      <w:r>
        <w:t>City a Německo</w:t>
      </w:r>
    </w:p>
    <w:p w:rsidR="00500724" w:rsidRDefault="00F30FB8">
      <w:pPr>
        <w:pStyle w:val="Zkladntext20"/>
        <w:shd w:val="clear" w:color="auto" w:fill="auto"/>
        <w:spacing w:after="200" w:line="202" w:lineRule="auto"/>
        <w:ind w:firstLine="280"/>
      </w:pPr>
      <w:r>
        <w:t xml:space="preserve">Můžeme se důvodně domnívati, že City, která měla hned od začátku Hitlerova hnutí kladné stanovisko k nacionálnímu socialismu, nezměnila svůj názor v podstatě ani dosud. Ať už </w:t>
      </w:r>
      <w:r>
        <w:t>vládne v Německu jakákoli soustava, je Německo pro City sympatickým stát</w:t>
      </w:r>
      <w:r>
        <w:softHyphen/>
        <w:t xml:space="preserve">ním útvarem. </w:t>
      </w:r>
      <w:r>
        <w:rPr>
          <w:u w:val="single"/>
        </w:rPr>
        <w:t>Lidé, kteří myslí jenom v dílech svět</w:t>
      </w:r>
      <w:r>
        <w:t xml:space="preserve">a — a lidé z City myslí </w:t>
      </w:r>
      <w:r>
        <w:rPr>
          <w:u w:val="single"/>
        </w:rPr>
        <w:t>opravdu jenom tak —</w:t>
      </w:r>
      <w:r>
        <w:t xml:space="preserve"> vidí rádi, </w:t>
      </w:r>
      <w:r>
        <w:rPr>
          <w:u w:val="single"/>
        </w:rPr>
        <w:t>je-li Evropa sjednocena v jeden hospo</w:t>
      </w:r>
      <w:r>
        <w:t>dářsky čél</w:t>
      </w:r>
      <w:r>
        <w:rPr>
          <w:u w:val="single"/>
        </w:rPr>
        <w:t xml:space="preserve">éE? </w:t>
      </w:r>
      <w:r>
        <w:t>Čistá politika “a~ideologie</w:t>
      </w:r>
      <w:r>
        <w:t>,“které s hospodářstvím ne</w:t>
      </w:r>
      <w:r>
        <w:softHyphen/>
        <w:t>mají nic společného, je ruší. Určité hospodářské meto</w:t>
      </w:r>
      <w:r>
        <w:softHyphen/>
        <w:t>dy City neruší a proto se jim brání bez rozčilení. Dů</w:t>
      </w:r>
      <w:r>
        <w:softHyphen/>
        <w:t>kazem je podpora 75 milionů liber, kterou teď dostá</w:t>
      </w:r>
      <w:r>
        <w:softHyphen/>
        <w:t>vá britský zahraniční obchod. City je přesvědčena, že se všechno urov</w:t>
      </w:r>
      <w:r>
        <w:t>ná a vyjasní samo, že zbytečné ideo</w:t>
      </w:r>
      <w:r>
        <w:softHyphen/>
        <w:t xml:space="preserve">logie samy zakrní, poněvadž jenom překážejí a nikomu nepřinášejí úžitek, který by se dal spočítat. City si sice dala líbit okovy, dala zkrotit tradiční liberalismus </w:t>
      </w:r>
      <w:r>
        <w:rPr>
          <w:lang w:val="en-US" w:eastAsia="en-US" w:bidi="en-US"/>
        </w:rPr>
        <w:t xml:space="preserve">Montagu </w:t>
      </w:r>
      <w:r>
        <w:t>Normanem, v duši je však přesvědčena, že se svě</w:t>
      </w:r>
      <w:r>
        <w:t>t nezmění: největší hybná síla lidstva je touha po bohatství a moci.</w:t>
      </w:r>
    </w:p>
    <w:p w:rsidR="00500724" w:rsidRDefault="00F30FB8">
      <w:pPr>
        <w:pStyle w:val="Zkladntext100"/>
        <w:shd w:val="clear" w:color="auto" w:fill="auto"/>
        <w:spacing w:after="100" w:line="240" w:lineRule="auto"/>
        <w:ind w:firstLine="0"/>
        <w:rPr>
          <w:sz w:val="19"/>
          <w:szCs w:val="19"/>
        </w:rPr>
      </w:pPr>
      <w:r>
        <w:rPr>
          <w:i/>
          <w:iCs/>
          <w:smallCaps/>
          <w:sz w:val="19"/>
          <w:szCs w:val="19"/>
        </w:rPr>
        <w:t>í36</w:t>
      </w:r>
    </w:p>
    <w:p w:rsidR="00500724" w:rsidRDefault="00F30FB8">
      <w:pPr>
        <w:pStyle w:val="Jin0"/>
        <w:shd w:val="clear" w:color="auto" w:fill="auto"/>
        <w:spacing w:after="120"/>
        <w:ind w:left="140" w:firstLine="0"/>
        <w:jc w:val="left"/>
        <w:rPr>
          <w:sz w:val="44"/>
          <w:szCs w:val="44"/>
        </w:rPr>
      </w:pPr>
      <w:r>
        <w:rPr>
          <w:b/>
          <w:bCs/>
          <w:sz w:val="44"/>
          <w:szCs w:val="44"/>
          <w:u w:val="single"/>
        </w:rPr>
        <w:t>literatura a umění</w:t>
      </w:r>
    </w:p>
    <w:p w:rsidR="00500724" w:rsidRDefault="00F30FB8">
      <w:pPr>
        <w:pStyle w:val="Zkladntext20"/>
        <w:shd w:val="clear" w:color="auto" w:fill="auto"/>
        <w:spacing w:line="223" w:lineRule="auto"/>
        <w:ind w:firstLine="0"/>
        <w:jc w:val="left"/>
        <w:rPr>
          <w:sz w:val="20"/>
          <w:szCs w:val="20"/>
        </w:rPr>
      </w:pPr>
      <w:r>
        <w:rPr>
          <w:i/>
          <w:iCs/>
          <w:sz w:val="20"/>
          <w:szCs w:val="20"/>
        </w:rPr>
        <w:t xml:space="preserve">Gustav </w:t>
      </w:r>
      <w:r>
        <w:rPr>
          <w:i/>
          <w:iCs/>
          <w:sz w:val="20"/>
          <w:szCs w:val="20"/>
          <w:lang w:val="en-US" w:eastAsia="en-US" w:bidi="en-US"/>
        </w:rPr>
        <w:t xml:space="preserve">Winter </w:t>
      </w:r>
      <w:r>
        <w:rPr>
          <w:i/>
          <w:iCs/>
          <w:sz w:val="20"/>
          <w:szCs w:val="20"/>
        </w:rPr>
        <w:t>(Paříž):</w:t>
      </w:r>
    </w:p>
    <w:p w:rsidR="00500724" w:rsidRDefault="00F30FB8">
      <w:pPr>
        <w:pStyle w:val="Nadpis100"/>
        <w:shd w:val="clear" w:color="auto" w:fill="auto"/>
        <w:spacing w:after="0" w:line="226" w:lineRule="auto"/>
      </w:pPr>
      <w:bookmarkStart w:id="219" w:name="bookmark218"/>
      <w:r>
        <w:t>Jean Giono ví,</w:t>
      </w:r>
      <w:r>
        <w:br/>
        <w:t>že je Česko-Slovensko</w:t>
      </w:r>
      <w:bookmarkEnd w:id="219"/>
    </w:p>
    <w:p w:rsidR="00500724" w:rsidRDefault="00F30FB8">
      <w:pPr>
        <w:pStyle w:val="Zkladntext20"/>
        <w:shd w:val="clear" w:color="auto" w:fill="auto"/>
        <w:spacing w:line="202" w:lineRule="auto"/>
        <w:ind w:firstLine="0"/>
        <w:jc w:val="center"/>
      </w:pPr>
      <w:r>
        <w:t>Další příspěvek</w:t>
      </w:r>
      <w:r>
        <w:br/>
        <w:t>k francouzské psychologii</w:t>
      </w:r>
    </w:p>
    <w:p w:rsidR="00500724" w:rsidRDefault="00F30FB8">
      <w:pPr>
        <w:pStyle w:val="Zkladntext20"/>
        <w:shd w:val="clear" w:color="auto" w:fill="auto"/>
        <w:spacing w:line="223" w:lineRule="auto"/>
        <w:ind w:firstLine="280"/>
      </w:pPr>
      <w:r>
        <w:t>V předešlém článku o chování francouzských spiso</w:t>
      </w:r>
      <w:r>
        <w:softHyphen/>
        <w:t xml:space="preserve">vatelů vůči </w:t>
      </w:r>
      <w:r>
        <w:t>nám za loňské krise jsem řekl, že veliká většina těch, kteří ve francouzském literárním světě něco znamenají, byla s námi. Nechali nás na holičkách někteří spisovatelé-diplomati, kteří nechtěli kompro</w:t>
      </w:r>
      <w:r>
        <w:softHyphen/>
        <w:t>mitovat své společenské postavení, a postavili se proti</w:t>
      </w:r>
      <w:r>
        <w:t xml:space="preserve"> nám někteří ze zásadních důvodů. Pokud jde o ty diplomaty, </w:t>
      </w:r>
      <w:r>
        <w:rPr>
          <w:lang w:val="en-US" w:eastAsia="en-US" w:bidi="en-US"/>
        </w:rPr>
        <w:t xml:space="preserve">Jules </w:t>
      </w:r>
      <w:r>
        <w:t>Romains byl ovšem na místě prvním. »Přítomnost« se už zabývala jeho případem podrobněji. Romains sám se pokusil ospravedlnit svou řeč, v níž blahopřál mnichovským mírotvorcům, a není zajisté</w:t>
      </w:r>
      <w:r>
        <w:t xml:space="preserve"> překvapení, že nikoho u nás nepřesvědčil. Jinak nelze popřít, že se upřímně pokusil získat Nobe</w:t>
      </w:r>
      <w:r>
        <w:softHyphen/>
        <w:t>lovu cenu pro Karla Čapka a že nyní jako mezinárod</w:t>
      </w:r>
      <w:r>
        <w:softHyphen/>
        <w:t xml:space="preserve">ní předseda </w:t>
      </w:r>
      <w:r>
        <w:rPr>
          <w:lang w:val="en-US" w:eastAsia="en-US" w:bidi="en-US"/>
        </w:rPr>
        <w:t xml:space="preserve">PEN </w:t>
      </w:r>
      <w:r>
        <w:t>klubů vyvíjí horlivou činnost ve pro</w:t>
      </w:r>
      <w:r>
        <w:softHyphen/>
        <w:t xml:space="preserve">spěch španělských a katalánských spisovatelů, kteří se </w:t>
      </w:r>
      <w:r>
        <w:t>uchýlili do Francie. V tom je právě podstata diplo</w:t>
      </w:r>
      <w:r>
        <w:softHyphen/>
        <w:t>macie, hledět se zachovat všem a nepohněvat nikoho« Jen je otázka, není-li funkce spisovatelova ve společ</w:t>
      </w:r>
      <w:r>
        <w:softHyphen/>
        <w:t>nosti jiná a nemá-li — hlavně ve chvílích tak kritic</w:t>
      </w:r>
      <w:r>
        <w:softHyphen/>
        <w:t>kých — ponechat diplomacii diplomatům a být sv</w:t>
      </w:r>
      <w:r>
        <w:t>ědo</w:t>
      </w:r>
      <w:r>
        <w:softHyphen/>
        <w:t>mím doby.</w:t>
      </w:r>
    </w:p>
    <w:p w:rsidR="00500724" w:rsidRDefault="00F30FB8">
      <w:pPr>
        <w:pStyle w:val="Zkladntext20"/>
        <w:shd w:val="clear" w:color="auto" w:fill="auto"/>
        <w:spacing w:after="120" w:line="202" w:lineRule="auto"/>
        <w:ind w:firstLine="280"/>
      </w:pPr>
      <w:r>
        <w:t xml:space="preserve">Pan André Maurois je také spisovatel-diplo- mat. Ne že by nás neměl rád. Loni v březnu, když pařížský </w:t>
      </w:r>
      <w:r>
        <w:rPr>
          <w:lang w:val="en-US" w:eastAsia="en-US" w:bidi="en-US"/>
        </w:rPr>
        <w:t xml:space="preserve">PEN </w:t>
      </w:r>
      <w:r>
        <w:t>klub pořádal československý večer prá</w:t>
      </w:r>
      <w:r>
        <w:softHyphen/>
        <w:t>vě na začátku kritického údobí Evropy, omluvil Maurois svou nepřítomnost velmi vřelým dopisem. Ano</w:t>
      </w:r>
      <w:r>
        <w:t>, ale od té doby zjistil, že v t</w:t>
      </w:r>
      <w:r>
        <w:rPr>
          <w:u w:val="single"/>
        </w:rPr>
        <w:t>ěch anglických kru</w:t>
      </w:r>
      <w:r>
        <w:rPr>
          <w:u w:val="single"/>
        </w:rPr>
        <w:softHyphen/>
        <w:t>zích, s nimiž on se stýká, —</w:t>
      </w:r>
      <w:r>
        <w:t xml:space="preserve"> a tďjso</w:t>
      </w:r>
      <w:r>
        <w:rPr>
          <w:u w:val="single"/>
        </w:rPr>
        <w:t>u kru</w:t>
      </w:r>
      <w:r>
        <w:t>hymejoficiál* ně</w:t>
      </w:r>
      <w:r>
        <w:rPr>
          <w:u w:val="single"/>
        </w:rPr>
        <w:t>jší — není rádo viděno, projevují-li se sympatie Praze.</w:t>
      </w:r>
      <w:r>
        <w:t xml:space="preserve"> Tím'méně ovšemjevnich možno projevovat nějaké pochybnosti o správnosti politiky pana Cham</w:t>
      </w:r>
      <w:r>
        <w:softHyphen/>
        <w:t>be</w:t>
      </w:r>
      <w:r>
        <w:t xml:space="preserve">rlaina. »Mám rád Platona, ale ještě raději mám pravdu,« říkal antický filosof. Nechtějme, aby pan Maurois překonával muže antiky tvrdostí zásad. On má také rád pravdu, ale ještě raději má Anglii a, speciálně ony »happy few«, již jsou jeho Anglií. Začne-li </w:t>
      </w:r>
      <w:r>
        <w:t xml:space="preserve">se jednou v londýnských salonech, v </w:t>
      </w:r>
      <w:r>
        <w:rPr>
          <w:lang w:val="en-US" w:eastAsia="en-US" w:bidi="en-US"/>
        </w:rPr>
        <w:t xml:space="preserve">Carlton </w:t>
      </w:r>
      <w:r>
        <w:t>Clubu a na starých zámcích, kde společensky žijí poslední veliké šlechtické rody anglické, začne-li se tedy v tomto světě »nosit Ceskoslovensko« jako móda — ale nic nesvědčí o tom, že by k tomu v dohledné době mě</w:t>
      </w:r>
      <w:r>
        <w:t>lo dojít — pak můžeme být jisti, že nebudeme mít v Anglii zastánce horlivějšího nad něho. Chtějte od pana Maurois cokoli, jen ne aby si k vůli nám rozlil ocet u pana Chamberlaina.</w:t>
      </w:r>
    </w:p>
    <w:p w:rsidR="00500724" w:rsidRDefault="00F30FB8">
      <w:pPr>
        <w:pStyle w:val="Zkladntext20"/>
        <w:shd w:val="clear" w:color="auto" w:fill="auto"/>
        <w:spacing w:line="202" w:lineRule="auto"/>
        <w:ind w:firstLine="0"/>
        <w:jc w:val="center"/>
      </w:pPr>
      <w:r>
        <w:t>»Lyrik kosmu«</w:t>
      </w:r>
    </w:p>
    <w:p w:rsidR="00500724" w:rsidRDefault="00F30FB8">
      <w:pPr>
        <w:pStyle w:val="Zkladntext20"/>
        <w:shd w:val="clear" w:color="auto" w:fill="auto"/>
        <w:spacing w:after="60" w:line="202" w:lineRule="auto"/>
        <w:ind w:firstLine="280"/>
      </w:pPr>
      <w:r>
        <w:t>Daleko, daleko od toho světa snobů, jenž se ne</w:t>
      </w:r>
      <w:r>
        <w:softHyphen/>
      </w:r>
      <w:r>
        <w:t xml:space="preserve">zlepšil od té doby, co si na něm brousil vtip </w:t>
      </w:r>
      <w:r>
        <w:rPr>
          <w:lang w:val="en-US" w:eastAsia="en-US" w:bidi="en-US"/>
        </w:rPr>
        <w:t xml:space="preserve">Thackeray^ </w:t>
      </w:r>
      <w:r>
        <w:t>žije muž, jemuž bylo lze vytýkat všechno spíše než snobismus. Takový milenec života, jakého snad doposud nepoznala francouzská literatura. Jean Giono, neboť o něho běží, chápal lásku k životu panthei</w:t>
      </w:r>
      <w:r>
        <w:t>sticky, jako dokonalý soulad lidského dění se zákony přírody, jež se domníval ve své samotě a v souzvuku s prostý</w:t>
      </w:r>
      <w:r>
        <w:softHyphen/>
        <w:t>mi toho světa odhalovat.</w:t>
      </w:r>
    </w:p>
    <w:p w:rsidR="00500724" w:rsidRDefault="00F30FB8">
      <w:pPr>
        <w:pStyle w:val="Zkladntext20"/>
        <w:shd w:val="clear" w:color="auto" w:fill="auto"/>
        <w:spacing w:after="60" w:line="180" w:lineRule="auto"/>
        <w:ind w:firstLine="320"/>
        <w:rPr>
          <w:sz w:val="20"/>
          <w:szCs w:val="20"/>
        </w:rPr>
      </w:pPr>
      <w:r>
        <w:rPr>
          <w:sz w:val="20"/>
          <w:szCs w:val="20"/>
        </w:rPr>
        <w:t xml:space="preserve">»Začal jsem psát a ihned jsem psal pro život, popisoval jsem život, chtěl jsem opít kde co životem,« vyznává se roku </w:t>
      </w:r>
      <w:r>
        <w:rPr>
          <w:sz w:val="20"/>
          <w:szCs w:val="20"/>
        </w:rPr>
        <w:t xml:space="preserve">1935. »Byl bych chtěl mít moc učinit, aby se život pěnil a kypěl jako bystřina, aby se řítil na všechny ty lidi vyschlé a zoufající, aby je bil vlnami studenými a zelenými, aby vehnal krev pod jejich kůži, aby je utloukal svěžestí, zdravím </w:t>
      </w:r>
      <w:r>
        <w:t xml:space="preserve">a </w:t>
      </w:r>
      <w:r>
        <w:rPr>
          <w:sz w:val="20"/>
          <w:szCs w:val="20"/>
        </w:rPr>
        <w:t>radostí.«</w:t>
      </w:r>
    </w:p>
    <w:p w:rsidR="00500724" w:rsidRDefault="00F30FB8">
      <w:pPr>
        <w:pStyle w:val="Zkladntext20"/>
        <w:shd w:val="clear" w:color="auto" w:fill="auto"/>
        <w:spacing w:after="60" w:line="202" w:lineRule="auto"/>
      </w:pPr>
      <w:r>
        <w:t>Lids</w:t>
      </w:r>
      <w:r>
        <w:t>ké bytosti vystupující v jeho románech byly monumentálně prosté, velmi často splývaly se záhad</w:t>
      </w:r>
      <w:r>
        <w:softHyphen/>
        <w:t>nými silami přírody a mluvily jazykem, jakého jakživ neužívá francouzský sedlák a pastýř, dva hlavní Gionovy typy. Vidět v Gionovi dokumentárního auto</w:t>
      </w:r>
      <w:r>
        <w:softHyphen/>
        <w:t>ra pro živ</w:t>
      </w:r>
      <w:r>
        <w:t>ot francouzského venkova bylo by tak ošid</w:t>
      </w:r>
      <w:r>
        <w:softHyphen/>
        <w:t xml:space="preserve">né, jako brát za skutečné postavy ony homérsky silné </w:t>
      </w:r>
      <w:r>
        <w:rPr>
          <w:i/>
          <w:iCs/>
        </w:rPr>
        <w:t>a po</w:t>
      </w:r>
      <w:r>
        <w:t xml:space="preserve"> homérsku mluvící hrdiny, v které se měnili jiho</w:t>
      </w:r>
      <w:r>
        <w:softHyphen/>
        <w:t>čeští sedláci Josefu Holečkovi v jeho »Našich«.</w:t>
      </w:r>
    </w:p>
    <w:p w:rsidR="00500724" w:rsidRDefault="00F30FB8">
      <w:pPr>
        <w:pStyle w:val="Zkladntext20"/>
        <w:shd w:val="clear" w:color="auto" w:fill="auto"/>
        <w:spacing w:after="120" w:line="202" w:lineRule="auto"/>
      </w:pPr>
      <w:r>
        <w:t>Jako Mojžíš na Sinaji v samotě mluvil se svým Jahve, velký s</w:t>
      </w:r>
      <w:r>
        <w:t xml:space="preserve"> velkým, tak se Giono ve svém zátiší v Manosque domnívá, že objevuje nové prazákladní pravdy o koloběhu života v dialogu, jejž vede on, vyvolený, s kosmem a věčností. Podivnou cestou do</w:t>
      </w:r>
      <w:r>
        <w:softHyphen/>
        <w:t>spěl tak nejen ke kosmickému lyrismu, ale ke kosmic</w:t>
      </w:r>
      <w:r>
        <w:softHyphen/>
        <w:t>ké pýše, jež se ně</w:t>
      </w:r>
      <w:r>
        <w:t>kdy projevuje pozemskou nadutostí, plachý samotář, anarchistická duše, o níž by nikdo nebyl řekl, že si bude jednoho dne s kosmem tykat a vystupovat jako jeho jakýsi prokurista na tomto světě.</w:t>
      </w:r>
    </w:p>
    <w:p w:rsidR="00500724" w:rsidRDefault="00F30FB8">
      <w:pPr>
        <w:pStyle w:val="Zkladntext20"/>
        <w:shd w:val="clear" w:color="auto" w:fill="auto"/>
        <w:spacing w:after="60" w:line="202" w:lineRule="auto"/>
        <w:ind w:firstLine="0"/>
        <w:jc w:val="center"/>
      </w:pPr>
      <w:r>
        <w:t>Napočátkubylšvec</w:t>
      </w:r>
    </w:p>
    <w:p w:rsidR="00500724" w:rsidRDefault="00F30FB8">
      <w:pPr>
        <w:pStyle w:val="Zkladntext20"/>
        <w:shd w:val="clear" w:color="auto" w:fill="auto"/>
        <w:spacing w:after="60"/>
      </w:pPr>
      <w:r>
        <w:t>Podivnou cestou, ale přece ne zcela nepřirozen</w:t>
      </w:r>
      <w:r>
        <w:t>ou. Na počátku byla pověstná, tradiční pýcha tvrdošíjné</w:t>
      </w:r>
      <w:r>
        <w:softHyphen/>
        <w:t>ho ševče, otce Gionova. Neboť tento ctitel přírody nespatřil světlo světa na selském gruntě. Jeho otec byl švec, a jaký! Výborný odborník ve svém řemesle a umíněný, jak právě jen ševci dovedou. To byl</w:t>
      </w:r>
      <w:r>
        <w:t xml:space="preserve">o ještě </w:t>
      </w:r>
      <w:r>
        <w:rPr>
          <w:b/>
          <w:bCs/>
          <w:sz w:val="26"/>
          <w:szCs w:val="26"/>
        </w:rPr>
        <w:t xml:space="preserve">v </w:t>
      </w:r>
      <w:r>
        <w:t xml:space="preserve">době, než byla výroba bot technicky standardiso- vána a podrobena procesu dělby práce. Starý Giono dělal boty od prvního do posledního odborného píchnutí a klepnutí a byl »úplným pánem svého života, jako muž hodný toho jména má být,« praví o něm </w:t>
      </w:r>
      <w:r>
        <w:t>Giono ve svém »Listě sedlákům o chudobě a míru«:</w:t>
      </w:r>
    </w:p>
    <w:p w:rsidR="00500724" w:rsidRDefault="00F30FB8">
      <w:pPr>
        <w:pStyle w:val="Zkladntext20"/>
        <w:shd w:val="clear" w:color="auto" w:fill="auto"/>
        <w:spacing w:after="60" w:line="180" w:lineRule="auto"/>
        <w:ind w:firstLine="320"/>
        <w:rPr>
          <w:sz w:val="20"/>
          <w:szCs w:val="20"/>
        </w:rPr>
      </w:pPr>
      <w:r>
        <w:rPr>
          <w:sz w:val="20"/>
          <w:szCs w:val="20"/>
        </w:rPr>
        <w:t>»Když se mu přestalo líbit v městě, kde pracoval, šel jinam. Když se mu líbilo v kraji, kam přišel, zůstal tam. Byl-li ten kraj tak krásný, že tělesná radost hnala ihned mého otce k procházkám a k užívání sv</w:t>
      </w:r>
      <w:r>
        <w:rPr>
          <w:sz w:val="20"/>
          <w:szCs w:val="20"/>
        </w:rPr>
        <w:t>ěta, procházel se &amp; užíval světa. Když chtěl čist koupil si knihy. Když chtěl poslouchat hudbu, poslouchal hudbu (tehdy nebylo ještě gramofonů). Chtěl-li říci h...o svému zaměstnavateli, což je také někdy radost, řekl mu h ... o. Nepotřeboval k tomu ani od</w:t>
      </w:r>
      <w:r>
        <w:rPr>
          <w:sz w:val="20"/>
          <w:szCs w:val="20"/>
        </w:rPr>
        <w:t>borové organisace ani shromáždění deseti tisíců jiných dělníků. Řekl mu to tváří v tvář, mezi muži. Z čeho by byl měl strach? Měl své řemeslo, vynikal v něm obratností, byl jist, že najde co jíst a z čeho žít kdekoli. Co se týče všeobecného vzdělání, byl t</w:t>
      </w:r>
      <w:r>
        <w:rPr>
          <w:sz w:val="20"/>
          <w:szCs w:val="20"/>
        </w:rPr>
        <w:t>isíckrát vzdělanější než všechny ústavy pro šíření kultury. Oženil se, když chtěl, měl dítě, jak chtěl, vychoval je, jak chtěl. Poslal mne na střední školu, jak chtěl. Neviděl jsem ho nikdy ponížit se před někým. Zpíval po celý život, až do války.«</w:t>
      </w:r>
    </w:p>
    <w:p w:rsidR="00500724" w:rsidRDefault="00F30FB8">
      <w:pPr>
        <w:pStyle w:val="Zkladntext20"/>
        <w:shd w:val="clear" w:color="auto" w:fill="auto"/>
        <w:spacing w:after="60" w:line="202" w:lineRule="auto"/>
      </w:pPr>
      <w:r>
        <w:t>Ano, ta</w:t>
      </w:r>
      <w:r>
        <w:t>koví paličáci bývali ve francouzském děl</w:t>
      </w:r>
      <w:r>
        <w:softHyphen/>
        <w:t>nickém světě před válkou. Nebyli jen mezi ševci, byli ve všech oborech, kde tehdejší způsob výroby dovo</w:t>
      </w:r>
      <w:r>
        <w:softHyphen/>
        <w:t>loval samostatnou práci. Byli stejně nesmiřitelně ne</w:t>
      </w:r>
      <w:r>
        <w:softHyphen/>
        <w:t xml:space="preserve">důvěřiví k měšťáckému světu, jenž je vykořisťoval, jako k </w:t>
      </w:r>
      <w:r>
        <w:t>politickým stranám, jež slibovaly dělníkům pomoc, jako k odborovým vůdcům, kteří je zvali do masových organisaci. Neměli vědomí solidarity</w:t>
      </w:r>
    </w:p>
    <w:p w:rsidR="00500724" w:rsidRDefault="00F30FB8">
      <w:pPr>
        <w:pStyle w:val="Zkladntext20"/>
        <w:shd w:val="clear" w:color="auto" w:fill="auto"/>
        <w:spacing w:after="180" w:line="204" w:lineRule="auto"/>
        <w:ind w:firstLine="0"/>
      </w:pPr>
      <w:r>
        <w:rPr>
          <w:b/>
          <w:bCs/>
          <w:sz w:val="26"/>
          <w:szCs w:val="26"/>
        </w:rPr>
        <w:t xml:space="preserve">s </w:t>
      </w:r>
      <w:r>
        <w:t xml:space="preserve">ostatním dělnictvem, ostatně obyčejně se nakonec zmohli na malý vlastní podnik. Obrovský převrat v technice udělal </w:t>
      </w:r>
      <w:r>
        <w:t>konec této kategorii nenapravitel</w:t>
      </w:r>
      <w:r>
        <w:softHyphen/>
        <w:t>ných individualistů. Jako mnoho jiných obětí velikých hospodářsko-technických převratů poválečných, ani oni nepochopili, co se vlastně stalo a na předválečné časy se dívají jako na ztracený ráj. Štěstí lidstva — jež se jim</w:t>
      </w:r>
      <w:r>
        <w:t xml:space="preserve"> zjednodušuje v jejich štěstí vlastní — vidí v návratu k oněm starým časům, ne v něčem novém, co by překonalo dnešní nedokonalost. Jejich synové, pokud podědili jejich ideály, jsou tedy také anar</w:t>
      </w:r>
      <w:r>
        <w:softHyphen/>
        <w:t>chisté, ale svého druhu konservativní, ba reakcio- nářští, n</w:t>
      </w:r>
      <w:r>
        <w:t>eboť chtějí obrátit kolo vývoje nazpátek. To se tedy přihodilo Gionovi.</w:t>
      </w:r>
    </w:p>
    <w:p w:rsidR="00500724" w:rsidRDefault="00F30FB8">
      <w:pPr>
        <w:pStyle w:val="Zkladntext20"/>
        <w:shd w:val="clear" w:color="auto" w:fill="auto"/>
        <w:spacing w:after="80" w:line="202" w:lineRule="auto"/>
        <w:ind w:firstLine="0"/>
        <w:jc w:val="center"/>
      </w:pPr>
      <w:r>
        <w:t>Nemůže zapomenout na válku</w:t>
      </w:r>
    </w:p>
    <w:p w:rsidR="00500724" w:rsidRDefault="00F30FB8">
      <w:pPr>
        <w:pStyle w:val="Zkladntext20"/>
        <w:shd w:val="clear" w:color="auto" w:fill="auto"/>
        <w:spacing w:after="80" w:line="202" w:lineRule="auto"/>
        <w:ind w:firstLine="260"/>
      </w:pPr>
      <w:r>
        <w:t>A pak ovšem naň hluboce působila válka. Jean Giono byl antimilitaristou už před válkou. Myšlenka války se přímo příčila jeho pantheistickému chápání života a</w:t>
      </w:r>
      <w:r>
        <w:t xml:space="preserve"> nadto vojenský mechanismus se nemohl líbit zarytému individualistovi, jenž po svém ševcovském otci zdědil nechuť ke každé masové organisaci. Ne</w:t>
      </w:r>
      <w:r>
        <w:softHyphen/>
        <w:t>účastnil se tedy předvojenské výchovy, jež byla tehdy nepovinná, ale neodepřel narukovat, když přišla válka. By</w:t>
      </w:r>
      <w:r>
        <w:t>l po čtyři léta horským pěšákem, prodělal válku v první linii — Romains nebyl vojákem a Maurois byl anglo-francouzským spojným důstojníkem za frontou — a to ovšem mnoho vysvětluje. Měl při tom z pekla štěstí, nebyl raněn, utrpěl jen popálení obočí, začež m</w:t>
      </w:r>
      <w:r>
        <w:t>u byla vyměřena po válce čtvrtletní pense patnácti franků za »lehkou estetickou ůhonu«. Pak mu byla zase odňata, takže Jean Giono zaručeně na válce nevydělal. Ale jaká to čtyři léta!</w:t>
      </w:r>
    </w:p>
    <w:p w:rsidR="00500724" w:rsidRDefault="00F30FB8">
      <w:pPr>
        <w:pStyle w:val="Zkladntext20"/>
        <w:shd w:val="clear" w:color="auto" w:fill="auto"/>
        <w:spacing w:line="180" w:lineRule="auto"/>
        <w:ind w:firstLine="260"/>
        <w:rPr>
          <w:sz w:val="20"/>
          <w:szCs w:val="20"/>
        </w:rPr>
      </w:pPr>
      <w:r>
        <w:rPr>
          <w:sz w:val="20"/>
          <w:szCs w:val="20"/>
        </w:rPr>
        <w:t>»Nemohu zapomenout na válku. Chtěl bych. Dva nebo tři dni na ni nemyslím,</w:t>
      </w:r>
      <w:r>
        <w:rPr>
          <w:sz w:val="20"/>
          <w:szCs w:val="20"/>
        </w:rPr>
        <w:t xml:space="preserve"> ale najednou ji zase vidím, čitím, slyšim, prožívám. A mám strach... Dvacet let uply</w:t>
      </w:r>
      <w:r>
        <w:rPr>
          <w:sz w:val="20"/>
          <w:szCs w:val="20"/>
        </w:rPr>
        <w:softHyphen/>
        <w:t>nulo. A přes bolesti a radosti života za těch dvacet let nesmyl jsem válku se sebe. Hrůza těch čtyř let je stále ve mně, jsem jí poznamenána</w:t>
      </w:r>
    </w:p>
    <w:p w:rsidR="00500724" w:rsidRDefault="00F30FB8">
      <w:pPr>
        <w:pStyle w:val="Zkladntext20"/>
        <w:shd w:val="clear" w:color="auto" w:fill="auto"/>
        <w:spacing w:after="120" w:line="202" w:lineRule="auto"/>
        <w:ind w:firstLine="260"/>
      </w:pPr>
      <w:r>
        <w:t>Aby už nikdy války nebylo, je</w:t>
      </w:r>
      <w:r>
        <w:t xml:space="preserve"> od té doby fixní myšlenkou Gionovou. Od osobního odhodlání, že jeho už nikdy na vojnu nedostanou, dospívá k přesvědčení, že odpor jedincův nestačí. Tedy odpor kolektivní? Ne</w:t>
      </w:r>
      <w:r>
        <w:softHyphen/>
        <w:t>přítel jakékoli kolektivní organisace se opravdu do</w:t>
      </w:r>
      <w:r>
        <w:softHyphen/>
        <w:t xml:space="preserve">stává na chvíli do blízkosti </w:t>
      </w:r>
      <w:r>
        <w:t>komunismu v letech, kdy komunisté vedou ve Francii kampaň proti armádě. Není komunistou — dnešní francouzští komunisté mu tedy nevyčítají právem, že zběhl od jejich praporu — ale píše do listů, žijících ve sféře komunistického vlivu politického nebo ideové</w:t>
      </w:r>
      <w:r>
        <w:t xml:space="preserve">ho, </w:t>
      </w:r>
      <w:r>
        <w:rPr>
          <w:i/>
          <w:iCs/>
        </w:rPr>
        <w:t>a</w:t>
      </w:r>
      <w:r>
        <w:t xml:space="preserve"> přijímá nejednou </w:t>
      </w:r>
      <w:r>
        <w:rPr>
          <w:b/>
          <w:bCs/>
          <w:sz w:val="26"/>
          <w:szCs w:val="26"/>
        </w:rPr>
        <w:t xml:space="preserve">i </w:t>
      </w:r>
      <w:r>
        <w:t>jejich frazeologii: »Kapitalistický stát potřebuje války, ona je přímo jeho nástrojem. Nelze zabít válku jinak, než zabijeme-li dříve kapitalistický stát.«</w:t>
      </w:r>
    </w:p>
    <w:p w:rsidR="00500724" w:rsidRDefault="00F30FB8">
      <w:pPr>
        <w:pStyle w:val="Zkladntext20"/>
        <w:shd w:val="clear" w:color="auto" w:fill="auto"/>
        <w:spacing w:after="80" w:line="202" w:lineRule="auto"/>
        <w:ind w:firstLine="0"/>
        <w:jc w:val="center"/>
      </w:pPr>
      <w:r>
        <w:t>Jean Giono prorok</w:t>
      </w:r>
    </w:p>
    <w:p w:rsidR="00500724" w:rsidRDefault="00F30FB8">
      <w:pPr>
        <w:pStyle w:val="Zkladntext20"/>
        <w:shd w:val="clear" w:color="auto" w:fill="auto"/>
        <w:spacing w:line="202" w:lineRule="auto"/>
        <w:ind w:firstLine="260"/>
      </w:pPr>
      <w:r>
        <w:t>Ale jednak náhlý zvrat komunistické taktiky vůči válce ve</w:t>
      </w:r>
      <w:r>
        <w:t xml:space="preserve"> všech západních zemích, ale nejnápadnější ve Francii, jednak ševcovsko-individualistický ata- vismus, jednak ona živelná láska k zemi </w:t>
      </w:r>
      <w:r>
        <w:rPr>
          <w:b/>
          <w:bCs/>
          <w:sz w:val="26"/>
          <w:szCs w:val="26"/>
        </w:rPr>
        <w:t xml:space="preserve">a </w:t>
      </w:r>
      <w:r>
        <w:t>ke všemu, co na ní roste a žije, odvedla tohoto milence půdy docela jiným směrem. Ne dělník a jeho organisace, ale sedl</w:t>
      </w:r>
      <w:r>
        <w:t xml:space="preserve">ák, nositel nepsaných věčných základů života, musí být nositelem tohoto boje proti válce </w:t>
      </w:r>
      <w:r>
        <w:rPr>
          <w:b/>
          <w:bCs/>
          <w:sz w:val="26"/>
          <w:szCs w:val="26"/>
        </w:rPr>
        <w:t xml:space="preserve">a </w:t>
      </w:r>
      <w:r>
        <w:t>proti spo</w:t>
      </w:r>
      <w:r>
        <w:softHyphen/>
        <w:t xml:space="preserve">lečenskému systému, s nímž válka souvisí. </w:t>
      </w:r>
      <w:r>
        <w:rPr>
          <w:i/>
          <w:iCs/>
        </w:rPr>
        <w:t>A</w:t>
      </w:r>
      <w:r>
        <w:t xml:space="preserve"> ten boj musí být veden návratem k chudobě, k onomu idylic</w:t>
      </w:r>
      <w:r>
        <w:softHyphen/>
        <w:t>kému pořádku, kdy každý produkoval jen- co potřebo</w:t>
      </w:r>
      <w:r>
        <w:softHyphen/>
        <w:t>va</w:t>
      </w:r>
      <w:r>
        <w:t>l, a kdy sedlák kromě několika nejnutnějších náčiní 1: obdělávání země nic nekupoval a ničím hospodář</w:t>
      </w:r>
      <w:r>
        <w:softHyphen/>
        <w:t>sky nesouvisel se světem. Když takto sedlák podetne kapitalismu přímo kořen života, když se nadto zaváže, že nebude obdělávat víc půdy, než kolik stačí pr</w:t>
      </w:r>
      <w:r>
        <w:t>o vý</w:t>
      </w:r>
      <w:r>
        <w:softHyphen/>
        <w:t>živu jeho rodiny, když se jeho žena zaváže, že ne</w:t>
      </w:r>
      <w:r>
        <w:softHyphen/>
        <w:t xml:space="preserve">bude v případě války pracovat za muže povolaného pod prapory, jak se bude moci udržet kapitalismus a jak se bude moci myslit na válku? Království míru na zemi se opět snese mezi lidi a sedlák a dělník </w:t>
      </w:r>
      <w:r>
        <w:t>— ale jen dělník, jenž se zase stane svobodným jako byl jeho otec — budou skromnými a šťastnými dědici tohoto světa.</w:t>
      </w:r>
    </w:p>
    <w:p w:rsidR="00500724" w:rsidRDefault="00F30FB8">
      <w:pPr>
        <w:pStyle w:val="Zkladntext20"/>
        <w:shd w:val="clear" w:color="auto" w:fill="auto"/>
        <w:spacing w:after="60" w:line="206" w:lineRule="auto"/>
        <w:ind w:firstLine="260"/>
      </w:pPr>
      <w:r>
        <w:t>To je obsah poselství, který po hloubání ve hvězd</w:t>
      </w:r>
      <w:r>
        <w:softHyphen/>
        <w:t>ných výškách a po úvahách o zákonech kosmu obrátil k sedlákům v prvním čísle sborníku »Vo</w:t>
      </w:r>
      <w:r>
        <w:t>lné listy«, který začal vydávat. To poselství vyšlo sice už po Mnichově, ale psáno bylo v létě, před Mnichovem a před kritickými dny v září. Zde tedy nejsou vysloveny Gionovy názory na onu akutní krisi, nýbrž jeho celé filosofieko-soeiálně-politicko-kosmic</w:t>
      </w:r>
      <w:r>
        <w:t>ké krédo. Je vy</w:t>
      </w:r>
      <w:r>
        <w:softHyphen/>
        <w:t>sloveno s jistou neostyšností — Jean Giono, tento ne</w:t>
      </w:r>
      <w:r>
        <w:softHyphen/>
        <w:t>smělý samotář, získal ve svém sledování hvězdných drah nemalé sebevědomí, ba jakousi nepříjemnou pro</w:t>
      </w:r>
      <w:r>
        <w:softHyphen/>
        <w:t>rockou pózu. Jeho samota v Manosque už dávno není tak absolutní jako kdysi. Giono má ž</w:t>
      </w:r>
      <w:r>
        <w:t>áky, obdivovatele, následovatele, vykladače a ovšem vykladačky. On, od</w:t>
      </w:r>
      <w:r>
        <w:softHyphen/>
        <w:t>půrce vší organisace, je vůdcem sekty. Řekli jsme, že žije daleko od snobismu. A to je pravda, míníme-li snobismem to, čemu dělá tak povážlivé ústupky Ro</w:t>
      </w:r>
      <w:r>
        <w:softHyphen/>
        <w:t>mains nebo Maurois. Ale je také</w:t>
      </w:r>
      <w:r>
        <w:t xml:space="preserve"> snobismus na ruby, snobismus odvratu od světa, a bojíme se, že se syn anarchistického ševče neubránil dost dobře pokušení zahrát si na objevitele nových pravd pro obec zbož</w:t>
      </w:r>
      <w:r>
        <w:softHyphen/>
        <w:t>ných vyznavačů. Ti vyznavači nejsou ovšem mezi oněmi sedláky, k nimž se ve svém po</w:t>
      </w:r>
      <w:r>
        <w:t>selství obrací. Nevěříme také, že jich mnoho pro svou novou víru získá.</w:t>
      </w:r>
    </w:p>
    <w:p w:rsidR="00500724" w:rsidRDefault="00F30FB8">
      <w:pPr>
        <w:pStyle w:val="Zkladntext20"/>
        <w:shd w:val="clear" w:color="auto" w:fill="auto"/>
        <w:spacing w:after="60" w:line="206" w:lineRule="auto"/>
        <w:ind w:firstLine="0"/>
        <w:jc w:val="center"/>
      </w:pPr>
      <w:r>
        <w:t>Čirá pohádka</w:t>
      </w:r>
    </w:p>
    <w:p w:rsidR="00500724" w:rsidRDefault="00F30FB8">
      <w:pPr>
        <w:pStyle w:val="Zkladntext20"/>
        <w:shd w:val="clear" w:color="auto" w:fill="auto"/>
        <w:spacing w:line="202" w:lineRule="auto"/>
        <w:ind w:firstLine="260"/>
      </w:pPr>
      <w:r>
        <w:t>»Na počátku byl zlatý věk,« tak začíná, jak známo, starý Ovidius své »Proměny«. Náš milý Giono je s ním v tomto zajedno. Na počátku — a ten počátek spadá Gionovi v jedno s</w:t>
      </w:r>
      <w:r>
        <w:t xml:space="preserve"> jeho vlastním dětstvím a mládím — bylo všechno lepší než dnes. Švec, jak jsme viděli, dělal své boty, neuznávaje jiného zákona než své dobré vůle, sedlák pracoval jen na tak velikém kuse půdy, kolik potřeboval pro svou obživu. Zato bylo jeho obilí dobré j</w:t>
      </w:r>
      <w:r>
        <w:t>akosti, jeho chléb sytý a chutný, ba i ovoce bylo tehdy lepši než dnes. Vy dnes nevíte, jak chutnají opravdové broskve. Ano, sedlák tehdy byl, čím má být. »Sedlák je čiré individuum. Je to člověk, jenž nepotřebuje společnosti, jenž nespoléhá na společnost,</w:t>
      </w:r>
      <w:r>
        <w:t xml:space="preserve"> jenž stačí sám sobě. Podobá se přesně stromu. Je hluboce zakořeněn v půdě, na níž bydlí, má její dobré vlastnosti i chyby, je jejím čirým doplňkem a výrazem.«</w:t>
      </w:r>
    </w:p>
    <w:p w:rsidR="00500724" w:rsidRDefault="00F30FB8">
      <w:pPr>
        <w:pStyle w:val="Zkladntext20"/>
        <w:shd w:val="clear" w:color="auto" w:fill="auto"/>
        <w:spacing w:after="60" w:line="240" w:lineRule="auto"/>
        <w:ind w:firstLine="260"/>
        <w:rPr>
          <w:sz w:val="15"/>
          <w:szCs w:val="15"/>
        </w:rPr>
      </w:pPr>
      <w:r>
        <w:t>Tento »čirý sedlák« se však dal zlákat svodem zisku. A tak se zemědělská výroba dostala do kapit</w:t>
      </w:r>
      <w:r>
        <w:t>a</w:t>
      </w:r>
      <w:r>
        <w:softHyphen/>
        <w:t>listické zájmové aféry, cena obilí závisí jednak na cenách světových, jednak na parlamentech a vládách, obilí je příliš mnoho, sedlák neví, co s ním a poněvadž kapitalismus vede k válce, ztratil sedlák, když sedl na vějičku snadného zisku, nejen svou exi</w:t>
      </w:r>
      <w:r>
        <w:t xml:space="preserve">stenční jistotu, ale 1 svou životní jistotu — přijde-li válka, budou do </w:t>
      </w:r>
      <w:r>
        <w:rPr>
          <w:b/>
          <w:bCs/>
          <w:i/>
          <w:iCs/>
          <w:sz w:val="15"/>
          <w:szCs w:val="15"/>
        </w:rPr>
        <w:t>188</w:t>
      </w:r>
    </w:p>
    <w:p w:rsidR="00500724" w:rsidRDefault="00F30FB8">
      <w:pPr>
        <w:pStyle w:val="Zkladntext20"/>
        <w:shd w:val="clear" w:color="auto" w:fill="auto"/>
        <w:spacing w:after="180" w:line="204" w:lineRule="auto"/>
        <w:ind w:firstLine="0"/>
      </w:pPr>
      <w:r>
        <w:t>ní posíláni hlavně sedláci. Jediná cesta k nápravě, jak jsme už řekli, je tedy podle Giona návrat k někdejší prostotě. Sedlák ať vyrobí jen tolik obilí, kolik potře</w:t>
      </w:r>
      <w:r>
        <w:softHyphen/>
        <w:t xml:space="preserve">buje. A co s </w:t>
      </w:r>
      <w:r>
        <w:t>neobdělanou půdou? Ale ať na ní s pánem bohem roste, co chce. »Ať se vrátí k přírodě, ať tam vypučí stromy a křoví. Nepracujte již, abyste pro</w:t>
      </w:r>
      <w:r>
        <w:softHyphen/>
        <w:t xml:space="preserve">dávali, pracujte, abyste žili, a vyrábějte jen, co je vám k životu nezbytné.« A tak se provede ona »i n d i v i- </w:t>
      </w:r>
      <w:r>
        <w:t>duální revoluce vznešenosti a cti,« jež zachrání svět od kapitalismu a sedláka od války.</w:t>
      </w:r>
    </w:p>
    <w:p w:rsidR="00500724" w:rsidRDefault="00F30FB8">
      <w:pPr>
        <w:pStyle w:val="Zkladntext20"/>
        <w:shd w:val="clear" w:color="auto" w:fill="auto"/>
        <w:spacing w:after="60" w:line="202" w:lineRule="auto"/>
        <w:ind w:firstLine="0"/>
        <w:jc w:val="center"/>
      </w:pPr>
      <w:r>
        <w:t>A skutečnost</w:t>
      </w:r>
    </w:p>
    <w:p w:rsidR="00500724" w:rsidRDefault="00F30FB8">
      <w:pPr>
        <w:pStyle w:val="Zkladntext20"/>
        <w:shd w:val="clear" w:color="auto" w:fill="auto"/>
        <w:spacing w:after="60" w:line="202" w:lineRule="auto"/>
      </w:pPr>
      <w:r>
        <w:t>K tomu si musíme připamatovat, že uznává-li fran</w:t>
      </w:r>
      <w:r>
        <w:softHyphen/>
        <w:t xml:space="preserve">couzský sedlák nějaký zákon půdy, je to jen instinkt mít té půdy co nejvíce. Že ani za Gionova dětství a </w:t>
      </w:r>
      <w:r>
        <w:t>už po několik set let nežil sedlák mimo ostatní hospodářský svět samostatně »jako strom«. Byl jeho součástkou nejdříve jako nevolník prostřednictvím svého pána a od revoluce jako vlastní pán. Je jím čím dál, tím více. Poslouchá v rozhlase ceny pšenice</w:t>
      </w:r>
      <w:r>
        <w:rPr>
          <w:vertAlign w:val="superscript"/>
        </w:rPr>
        <w:t xml:space="preserve">1 </w:t>
      </w:r>
      <w:r>
        <w:t xml:space="preserve">na </w:t>
      </w:r>
      <w:r>
        <w:t>světových trzích daleko za mořem, diskutuje ve správě obilního monopolu o cenách obilí doma, má všecko spíš na mysli než vrátit se k chudobě a obdělá</w:t>
      </w:r>
      <w:r>
        <w:softHyphen/>
        <w:t>vat jen tolik půdy, aby hlady neumřel. Ba dostal se do tak úzkého styku se světem, že se přes telefon, roz</w:t>
      </w:r>
      <w:r>
        <w:t>hlas, elektrifikaci venkova a jiné pokroky cítí na své půdě tak osamělý jako nikdy před tím, nikdy neměl tolik chuti nechat tu půdu, přestože vynáší více než kdy dříve, a jít do měst, kde lze tak příjemně trávit volný čas. Nikdy nebyl útěk od půdy ve Franc</w:t>
      </w:r>
      <w:r>
        <w:t>ii tak epidemický jako dnes. Před dvěma lety vynutila Blumová vláda, že byl zákon o čtyřicetihodinném týdnu rozšířen i na železnice. Udělala tak hlavně proto, aby mohla rázem opatřit zaměstnání 60.000 osobám z tehdejšího počtu 350.000 nezaměstnaných. Co se</w:t>
      </w:r>
      <w:r>
        <w:t xml:space="preserve"> stalo? Nových míst na železnicích bylo sice 70.000, ale nezaměstnaní dělníci v městech z nich dostali ubohý zlomek, skoro všechna dostali na dopručení svých poslanců, zájmových institucí atd., venkovští hoši. Železnice byly zatíženy přespočetným personále</w:t>
      </w:r>
      <w:r>
        <w:t>m, počet nezaměstnaných neklesl, na venko</w:t>
      </w:r>
      <w:r>
        <w:softHyphen/>
        <w:t>vě ubylo pracovních sil a rozšířila se plocha půdy ležící ladem. Tak vypadá skutečná situace, zatím co Jean Giono hledá ve hvězdách odpověď na politické otázky dne.</w:t>
      </w:r>
    </w:p>
    <w:p w:rsidR="00500724" w:rsidRDefault="00F30FB8">
      <w:pPr>
        <w:pStyle w:val="Zkladntext20"/>
        <w:shd w:val="clear" w:color="auto" w:fill="auto"/>
        <w:spacing w:after="60" w:line="202" w:lineRule="auto"/>
        <w:ind w:firstLine="0"/>
        <w:jc w:val="center"/>
      </w:pPr>
      <w:r>
        <w:t>Ví, že je Česko-Slovensko</w:t>
      </w:r>
    </w:p>
    <w:p w:rsidR="00500724" w:rsidRDefault="00F30FB8">
      <w:pPr>
        <w:pStyle w:val="Zkladntext20"/>
        <w:shd w:val="clear" w:color="auto" w:fill="auto"/>
        <w:spacing w:line="204" w:lineRule="auto"/>
        <w:sectPr w:rsidR="00500724">
          <w:footnotePr>
            <w:numFmt w:val="chicago"/>
            <w:numRestart w:val="eachPage"/>
          </w:footnotePr>
          <w:type w:val="continuous"/>
          <w:pgSz w:w="11909" w:h="16834"/>
          <w:pgMar w:top="1487" w:right="949" w:bottom="818" w:left="622" w:header="0" w:footer="3" w:gutter="0"/>
          <w:cols w:num="2" w:space="100"/>
          <w:noEndnote/>
          <w:docGrid w:linePitch="360"/>
        </w:sectPr>
      </w:pPr>
      <w:r>
        <w:t>S hvězdného stanoviska se díval Giono také na krisi v září. V brožurce »Préeisions« snesl doklady o své »činnosti« v té době. Nebyla malá. V předešlé stati jsem se zmínil, že byl mezi prvními, kteří podepsali hned na jaře man</w:t>
      </w:r>
      <w:r>
        <w:t>ifest, kde protestují proti spisovate</w:t>
      </w:r>
      <w:r>
        <w:softHyphen/>
        <w:t xml:space="preserve">lům, kteří »se usnesli odložit všechny sváry a podat národu příklad bratrstvu. Podobných manifestů, výzev, projevů atd. podepsal sám nebo </w:t>
      </w:r>
      <w:r>
        <w:rPr>
          <w:lang w:val="en-US" w:eastAsia="en-US" w:bidi="en-US"/>
        </w:rPr>
        <w:t xml:space="preserve">s' </w:t>
      </w:r>
      <w:r>
        <w:t>jinými v kri</w:t>
      </w:r>
      <w:r>
        <w:softHyphen/>
        <w:t>tickém údobí celou sbírku. Jsou v té brožuře otištěny. Použil ta</w:t>
      </w:r>
      <w:r>
        <w:t>ké vlivu, který má v organisaci mládeže, po</w:t>
      </w:r>
      <w:r>
        <w:softHyphen/>
        <w:t>užívající turistických útulen. Turistika jako masový zjev je ve Francii něco zcela mladého — přišla teprve jako následek Blumových reforem — a mládež, jež se na ni vrhla, vidí v ní více než zábavu nebo výchovu —■</w:t>
      </w:r>
      <w:r>
        <w:t xml:space="preserve"> div ne celý životní program. Světové události posuzuje tedy jen podle toho, mohou-li ohrozit její výlety či za</w:t>
      </w:r>
      <w:r>
        <w:softHyphen/>
        <w:t>jistit naopak příjemné výletní údobí. To sice není pří</w:t>
      </w:r>
      <w:r>
        <w:softHyphen/>
        <w:t xml:space="preserve">liš vysoké hledisko a pochybujeme, že toto byl ideál Léo </w:t>
      </w:r>
      <w:r>
        <w:rPr>
          <w:lang w:val="en-US" w:eastAsia="en-US" w:bidi="en-US"/>
        </w:rPr>
        <w:t xml:space="preserve">Lagrange, </w:t>
      </w:r>
      <w:r>
        <w:t>vlastního otce dělnick</w:t>
      </w:r>
      <w:r>
        <w:t>é turisticky, když</w:t>
      </w:r>
    </w:p>
    <w:p w:rsidR="00500724" w:rsidRDefault="00500724">
      <w:pPr>
        <w:spacing w:line="155" w:lineRule="exact"/>
        <w:rPr>
          <w:sz w:val="12"/>
          <w:szCs w:val="12"/>
        </w:rPr>
      </w:pPr>
    </w:p>
    <w:p w:rsidR="00500724" w:rsidRDefault="00500724">
      <w:pPr>
        <w:spacing w:line="14" w:lineRule="exact"/>
        <w:sectPr w:rsidR="00500724">
          <w:footnotePr>
            <w:numFmt w:val="chicago"/>
            <w:numRestart w:val="eachPage"/>
          </w:footnotePr>
          <w:pgSz w:w="11909" w:h="16834"/>
          <w:pgMar w:top="1655" w:right="0" w:bottom="674" w:left="0" w:header="0" w:footer="3" w:gutter="0"/>
          <w:cols w:space="720"/>
          <w:noEndnote/>
          <w:docGrid w:linePitch="360"/>
        </w:sectPr>
      </w:pPr>
    </w:p>
    <w:p w:rsidR="00500724" w:rsidRDefault="00F30FB8">
      <w:pPr>
        <w:spacing w:line="14" w:lineRule="exact"/>
      </w:pPr>
      <w:r>
        <w:rPr>
          <w:noProof/>
        </w:rPr>
        <mc:AlternateContent>
          <mc:Choice Requires="wps">
            <w:drawing>
              <wp:anchor distT="50800" distB="254000" distL="114300" distR="114300" simplePos="0" relativeHeight="125829586" behindDoc="0" locked="0" layoutInCell="1" allowOverlap="1">
                <wp:simplePos x="0" y="0"/>
                <wp:positionH relativeFrom="page">
                  <wp:posOffset>6780530</wp:posOffset>
                </wp:positionH>
                <wp:positionV relativeFrom="paragraph">
                  <wp:posOffset>9055735</wp:posOffset>
                </wp:positionV>
                <wp:extent cx="204470" cy="143510"/>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204470" cy="143510"/>
                        </a:xfrm>
                        <a:prstGeom prst="rect">
                          <a:avLst/>
                        </a:prstGeom>
                        <a:noFill/>
                      </wps:spPr>
                      <wps:txbx>
                        <w:txbxContent>
                          <w:p w:rsidR="00500724" w:rsidRDefault="00F30FB8">
                            <w:pPr>
                              <w:pStyle w:val="Zkladntext40"/>
                              <w:shd w:val="clear" w:color="auto" w:fill="auto"/>
                              <w:spacing w:after="0" w:line="240" w:lineRule="auto"/>
                              <w:jc w:val="left"/>
                            </w:pPr>
                            <w:r>
                              <w:rPr>
                                <w:b/>
                                <w:bCs/>
                                <w:i/>
                                <w:iCs/>
                              </w:rPr>
                              <w:t>í39</w:t>
                            </w:r>
                          </w:p>
                        </w:txbxContent>
                      </wps:txbx>
                      <wps:bodyPr lIns="0" tIns="0" rIns="0" bIns="0">
                        <a:spAutoFit/>
                      </wps:bodyPr>
                    </wps:wsp>
                  </a:graphicData>
                </a:graphic>
              </wp:anchor>
            </w:drawing>
          </mc:Choice>
          <mc:Fallback>
            <w:pict>
              <v:shape id="_x0000_s1235" type="#_x0000_t202" style="position:absolute;margin-left:533.89999999999998pt;margin-top:713.04999999999995pt;width:16.100000000000001pt;height:11.300000000000001pt;z-index:-125829167;mso-wrap-distance-left:9.pt;mso-wrap-distance-top:4.pt;mso-wrap-distance-right:9.pt;mso-wrap-distance-bottom:20.pt;mso-position-horizontal-relative:page"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í39</w:t>
                      </w:r>
                    </w:p>
                  </w:txbxContent>
                </v:textbox>
                <w10:wrap type="topAndBottom" anchorx="page"/>
              </v:shape>
            </w:pict>
          </mc:Fallback>
        </mc:AlternateContent>
      </w:r>
    </w:p>
    <w:p w:rsidR="00500724" w:rsidRDefault="00F30FB8">
      <w:pPr>
        <w:pStyle w:val="Zkladntext20"/>
        <w:shd w:val="clear" w:color="auto" w:fill="auto"/>
        <w:spacing w:line="202" w:lineRule="auto"/>
        <w:ind w:firstLine="0"/>
      </w:pPr>
      <w:r>
        <w:t>jí za Blumový vlády razil cestu. Ale tak mnoho z toho, co Blum dobře myslil, nakonec špatně dopadlo, poně</w:t>
      </w:r>
      <w:r>
        <w:softHyphen/>
        <w:t>vadž přecenil lidskou náturu. Nuže, organisovaní »Ajisté«, jak se této mládeži říká, byli za Gi</w:t>
      </w:r>
      <w:r>
        <w:t>onova ve</w:t>
      </w:r>
      <w:r>
        <w:softHyphen/>
        <w:t xml:space="preserve">dení v září pro mir stůj co stůj. Je pravděpodobné, že si Giono smočil také v organisaci odporu uvnitř syndikátů a že pracoval s vůdci učitelů a pošťáků, kteří v dohodě s vládou zakročili v kritických dnech proti »politice pevnosti«. A dělal, jak </w:t>
      </w:r>
      <w:r>
        <w:t>sám píše, ještě jiné věci, při čemž se naivně domnívá — neboť je jistě upřímný — že ho měly úřady na mušce a sledovaly jeho pacifistickou agitaci. Úřady mu nechaly moudře tu ilusi nezákonnosti a mnuly si ruce. Giono pracoval pro ně, aspoň v tom okamžiku.</w:t>
      </w:r>
    </w:p>
    <w:p w:rsidR="00500724" w:rsidRDefault="00F30FB8">
      <w:pPr>
        <w:pStyle w:val="Zkladntext20"/>
        <w:shd w:val="clear" w:color="auto" w:fill="auto"/>
        <w:spacing w:line="202" w:lineRule="auto"/>
        <w:ind w:firstLine="260"/>
      </w:pPr>
      <w:r>
        <w:t>»</w:t>
      </w:r>
      <w:r>
        <w:t>A teď všichni chápou, že logickým následkem Mni</w:t>
      </w:r>
      <w:r>
        <w:softHyphen/>
        <w:t>chova je obecné odzbrojení. Neodzbrojit, znamená říci národům, že byli ošizeni.« Události přesvědčily Jeana Giono velmi brzy po Mnichově, že ti, pro něž před Mnichovem pracoval, vidi ty logické následky Mni</w:t>
      </w:r>
      <w:r>
        <w:softHyphen/>
        <w:t>c</w:t>
      </w:r>
      <w:r>
        <w:t>hova trochu jinak.</w:t>
      </w:r>
    </w:p>
    <w:p w:rsidR="00500724" w:rsidRDefault="00F30FB8">
      <w:pPr>
        <w:pStyle w:val="Zkladntext20"/>
        <w:shd w:val="clear" w:color="auto" w:fill="auto"/>
        <w:spacing w:line="202" w:lineRule="auto"/>
        <w:ind w:firstLine="260"/>
      </w:pPr>
      <w:r>
        <w:t>Ve všech těch projevech a poselstvích v předmni</w:t>
      </w:r>
      <w:r>
        <w:softHyphen/>
        <w:t xml:space="preserve">chovských dnech Jean Giono o Československu vůbec nemluví. Ve svých »Précisions« laskavě přiznává: »V i m, ž e j e Č e s k o-S 1 o v e n s k o.« Načež odbude jeho existenci a jeho zájem na </w:t>
      </w:r>
      <w:r>
        <w:t>událostech v září přesně osmi řádky, jež raději nepřeložím. Nebyly by asi zabaveny; ale existuje také censura národního stu</w:t>
      </w:r>
      <w:r>
        <w:softHyphen/>
        <w:t>du, jež mi brání tisknout jisté věci, pokud jsou některé vzpomínky příliš živé a bolestné. Osm řádků, to je má</w:t>
      </w:r>
      <w:r>
        <w:softHyphen/>
      </w:r>
    </w:p>
    <w:p w:rsidR="00500724" w:rsidRDefault="00F30FB8">
      <w:pPr>
        <w:pStyle w:val="Zkladntext20"/>
        <w:shd w:val="clear" w:color="auto" w:fill="auto"/>
        <w:tabs>
          <w:tab w:val="left" w:pos="351"/>
        </w:tabs>
        <w:spacing w:after="180" w:line="202" w:lineRule="auto"/>
        <w:ind w:firstLine="0"/>
      </w:pPr>
      <w:r>
        <w:t>lo.</w:t>
      </w:r>
      <w:r>
        <w:tab/>
        <w:t xml:space="preserve">Ale prosím vás, </w:t>
      </w:r>
      <w:r>
        <w:t>dívá-li se člověk na svět s výše hvězdy Alfa nebo se zadního konce mléčné dráhy, není divu, že se mu ta naše republika zdá tak maličká. O Jeanu Gionovi jistě ještě uslyšíme. Ale zřídka už budou mít asi rozumní lidé radost z toho, co od něho a o něm zaslech</w:t>
      </w:r>
      <w:r>
        <w:t>nou.</w:t>
      </w:r>
    </w:p>
    <w:p w:rsidR="00500724" w:rsidRDefault="00F30FB8">
      <w:pPr>
        <w:pStyle w:val="Zkladntext20"/>
        <w:shd w:val="clear" w:color="auto" w:fill="auto"/>
        <w:spacing w:line="223" w:lineRule="auto"/>
        <w:ind w:firstLine="0"/>
        <w:rPr>
          <w:sz w:val="20"/>
          <w:szCs w:val="20"/>
        </w:rPr>
      </w:pPr>
      <w:r>
        <w:rPr>
          <w:i/>
          <w:iCs/>
          <w:sz w:val="20"/>
          <w:szCs w:val="20"/>
        </w:rPr>
        <w:t>M ir osl a o M í čko:</w:t>
      </w:r>
    </w:p>
    <w:p w:rsidR="00500724" w:rsidRDefault="00F30FB8">
      <w:pPr>
        <w:pStyle w:val="Nadpis100"/>
        <w:shd w:val="clear" w:color="auto" w:fill="auto"/>
        <w:spacing w:after="0" w:line="240" w:lineRule="auto"/>
      </w:pPr>
      <w:bookmarkStart w:id="220" w:name="bookmark219"/>
      <w:r>
        <w:t>Přiznání k Alšovi</w:t>
      </w:r>
      <w:bookmarkEnd w:id="220"/>
    </w:p>
    <w:p w:rsidR="00500724" w:rsidRDefault="00F30FB8">
      <w:pPr>
        <w:pStyle w:val="Zkladntext20"/>
        <w:shd w:val="clear" w:color="auto" w:fill="auto"/>
        <w:spacing w:line="202" w:lineRule="auto"/>
        <w:ind w:firstLine="260"/>
      </w:pPr>
      <w:r>
        <w:t>Ano, zpovídáme se mu dnes ze své vděčnosti, při</w:t>
      </w:r>
      <w:r>
        <w:softHyphen/>
        <w:t>znáváme se k němu jak děti ke svým starým rodi</w:t>
      </w:r>
      <w:r>
        <w:softHyphen/>
        <w:t>čům, na něž zapomínaly v pýše popanštělců. Je nám dnes blízký; vracíme se dnes k němu jak v bezpečnost domova s křiž</w:t>
      </w:r>
      <w:r>
        <w:t>ovatek cizího světa, raněni a poníženi, hledáme u něho útěchu a lék.</w:t>
      </w:r>
    </w:p>
    <w:p w:rsidR="00500724" w:rsidRDefault="00F30FB8">
      <w:pPr>
        <w:pStyle w:val="Zkladntext20"/>
        <w:shd w:val="clear" w:color="auto" w:fill="auto"/>
        <w:spacing w:line="202" w:lineRule="auto"/>
        <w:ind w:firstLine="260"/>
      </w:pPr>
      <w:r>
        <w:t>Ne že bychom byli kdy přestali oceňovat jadrnost a výraznost jeho kresby, ne že bychom ho byli ne</w:t>
      </w:r>
      <w:r>
        <w:softHyphen/>
        <w:t>měli rádi. Ale jeho dílo bylo nám čímsi tak samo</w:t>
      </w:r>
      <w:r>
        <w:softHyphen/>
        <w:t>zřejmým a všedním, že jsme si je ani neu</w:t>
      </w:r>
      <w:r>
        <w:t>vědomovali, tak jako si neuvědomujeme kouzlo rodné řeči, dokud jsme mezi svými, tak jako si neuvědomujeme lásku k drahé bytosti, dokud se o ni nezačneme chvít. Tak, krvácejíce ze svého češství, chápeme zplna smysl a do</w:t>
      </w:r>
      <w:r>
        <w:softHyphen/>
        <w:t>sah Alšova díla, tohoto evangelia češ</w:t>
      </w:r>
      <w:r>
        <w:t>ství.</w:t>
      </w:r>
    </w:p>
    <w:p w:rsidR="00500724" w:rsidRDefault="00F30FB8">
      <w:pPr>
        <w:pStyle w:val="Zkladntext20"/>
        <w:shd w:val="clear" w:color="auto" w:fill="auto"/>
        <w:spacing w:line="202" w:lineRule="auto"/>
        <w:ind w:firstLine="260"/>
      </w:pPr>
      <w:r>
        <w:t>Evangelium — není opravdu vhodnějšího slova, které by v sobě shrnulo vroucnost a hloubku tohoto díla, které je skutečnou obrázkovou biblí, královstvím, do něhož mají přístup jen lidé čistého srdce, děti a ti, kdo si zachovali své dětství, zarmoucení,</w:t>
      </w:r>
      <w:r>
        <w:t xml:space="preserve"> prostí a chudí.</w:t>
      </w:r>
    </w:p>
    <w:p w:rsidR="00500724" w:rsidRDefault="00F30FB8">
      <w:pPr>
        <w:pStyle w:val="Zkladntext20"/>
        <w:shd w:val="clear" w:color="auto" w:fill="auto"/>
        <w:spacing w:line="202" w:lineRule="auto"/>
        <w:ind w:firstLine="260"/>
      </w:pPr>
      <w:r>
        <w:t>Všichni cítíme Alšovu českost, třebaže bývá chá</w:t>
      </w:r>
      <w:r>
        <w:softHyphen/>
        <w:t>pána zhusta velmi povrchně, jako by ležela jen v jeho tématech a v národopisném svérázu. Zatím to je při své zřejmosti cosi velmi tajemného. Je to milost bohů, dar sudiček, předznamenaný už j</w:t>
      </w:r>
      <w:r>
        <w:t xml:space="preserve">eho jménem, které je spojením dvou staročeských křestních jmen; už z něho zaznívá ten nenapodobitelně domácí zvuk, už </w:t>
      </w:r>
      <w:r>
        <w:rPr>
          <w:b/>
          <w:bCs/>
          <w:sz w:val="26"/>
          <w:szCs w:val="26"/>
        </w:rPr>
        <w:t xml:space="preserve">z </w:t>
      </w:r>
      <w:r>
        <w:t>něho čiší ta srdečnost a bodrý úsměv, už ono na</w:t>
      </w:r>
      <w:r>
        <w:softHyphen/>
        <w:t>povídá sousedskou nelíčenost jeho umění.</w:t>
      </w:r>
    </w:p>
    <w:p w:rsidR="00500724" w:rsidRDefault="00F30FB8">
      <w:pPr>
        <w:pStyle w:val="Zkladntext20"/>
        <w:shd w:val="clear" w:color="auto" w:fill="auto"/>
        <w:spacing w:line="204" w:lineRule="auto"/>
      </w:pPr>
      <w:r>
        <w:t>Pohleďte na jeho dětské jesličky, které čmárá j</w:t>
      </w:r>
      <w:r>
        <w:t>ako usmrkané klouče na útržky papíru (dříve než umí psát) — již zde je hotový, již zde je v zárodku celá rázovitost jeho kresby. V tom právě je zázrak a tajemství jeho tvorby, jak zachovává okouzlení dět</w:t>
      </w:r>
      <w:r>
        <w:softHyphen/>
        <w:t>ského zraku, jak je bezprostřední, nevinná a ne</w:t>
      </w:r>
      <w:r>
        <w:softHyphen/>
        <w:t>dotč</w:t>
      </w:r>
      <w:r>
        <w:t>ená. Sledujte jej na jeho italské cestě. Neúplatný ve své věrnosti sobě, dívá se na všechno očima pros</w:t>
      </w:r>
      <w:r>
        <w:softHyphen/>
        <w:t>ťáčka, nesveden nádherou a leskem cizí kultury. Místo aby seděl na bobku před velkými mistry a pilně kopíroval v proslulých obrazárnách, pozoruje život i</w:t>
      </w:r>
      <w:r>
        <w:t xml:space="preserve">talského lidu, a spokojeně si kreslí své bersagliery </w:t>
      </w:r>
      <w:r>
        <w:rPr>
          <w:b/>
          <w:bCs/>
          <w:sz w:val="26"/>
          <w:szCs w:val="26"/>
        </w:rPr>
        <w:t xml:space="preserve">a </w:t>
      </w:r>
      <w:r>
        <w:t>sklenice divného tvaru, z nichž pije výborné víno. Ne</w:t>
      </w:r>
      <w:r>
        <w:softHyphen/>
        <w:t>ozve se v něm nejistá závist před mistrovskými díly, pochybovačné měření vlastního talentu, nepocítí po</w:t>
      </w:r>
      <w:r>
        <w:softHyphen/>
        <w:t>třebu napodobit a učit se na cizích formách</w:t>
      </w:r>
      <w:r>
        <w:t xml:space="preserve"> — tak je svůj, sám sebou jist a pln bohatství tvarů.</w:t>
      </w:r>
    </w:p>
    <w:p w:rsidR="00500724" w:rsidRDefault="00F30FB8">
      <w:pPr>
        <w:pStyle w:val="Zkladntext20"/>
        <w:shd w:val="clear" w:color="auto" w:fill="auto"/>
      </w:pPr>
      <w:r>
        <w:t>Nepřestane se naklánět nad studií svého dětství, z ní váží celé své dílo. Odcizuje se nám v té míře, jak se sami odcizujeme dětství. V něm je znovu nalézáme, vůni domova, své ztracené dětství, s jeho om</w:t>
      </w:r>
      <w:r>
        <w:t>ámením věcmi dosud novými a podivnými, s něhou a širostí rodného kraje, který je chlapci dosti prostraný pro všechna myslitelná dobrodružství, s jeho pohádkami, popěvky a hrami, s jeho nadějemi, s důvěrou, jež ne</w:t>
      </w:r>
      <w:r>
        <w:softHyphen/>
        <w:t xml:space="preserve">dbá zklamání, a s jeho čistotou. Usiluje o </w:t>
      </w:r>
      <w:r>
        <w:t xml:space="preserve">dětství </w:t>
      </w:r>
      <w:r>
        <w:rPr>
          <w:b/>
          <w:bCs/>
          <w:sz w:val="26"/>
          <w:szCs w:val="26"/>
        </w:rPr>
        <w:t xml:space="preserve">a </w:t>
      </w:r>
      <w:r>
        <w:t>dobývá si je každou kresbou. Tento pohled zpátky není jen steskem po čemsi zašlém a ztraceném, ale i pohledem doufání a víry, potěchou a posilou. Vrací se do svého dětství, aby znovu získal to bezelstné bratrství srdcí, jež ztrácí v městském pros</w:t>
      </w:r>
      <w:r>
        <w:t>tředí, vrací se do dětství národa, aby se dobral jeho mythické jednoty a aby příklady jeho minulé slávy učinil pří</w:t>
      </w:r>
      <w:r>
        <w:softHyphen/>
        <w:t>kazem velkosti budoucí. Je na hony vzdálen bez</w:t>
      </w:r>
      <w:r>
        <w:softHyphen/>
        <w:t>duchého historisování soudobých malířů. Nešťárá se v minulosti za pouhou zajímavostí a kostýmo</w:t>
      </w:r>
      <w:r>
        <w:t>vou pitoreskností, před jeho obrazy z historie nemáte ani na okamžik dojem čehosi pracně vypreparovaného, lhostejných panáků v ztrnulých pózách, ošacených do dějinné maškarády; postavy, jež vyvolává k životu, nejsou vyčichlé podsvětní stíny, ale krevnaté z</w:t>
      </w:r>
      <w:r>
        <w:t xml:space="preserve">jevy </w:t>
      </w:r>
      <w:r>
        <w:rPr>
          <w:b/>
          <w:bCs/>
          <w:sz w:val="26"/>
          <w:szCs w:val="26"/>
        </w:rPr>
        <w:t xml:space="preserve">v </w:t>
      </w:r>
      <w:r>
        <w:t>plnosti svého bytí, žijící silou jeho touhy.</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197" w:lineRule="auto"/>
      </w:pPr>
      <w:r>
        <w:t>Alšova českost zní společně s jeho lidovostí. Roz</w:t>
      </w:r>
      <w:r>
        <w:softHyphen/>
        <w:t xml:space="preserve">poznáváme ji v jeho postavách — jsou to vesměs prosté, výrazné a nenalomené charaktery, celé jakoby z jednoho kusu. Hle děti, živé, přirozené, hrající </w:t>
      </w:r>
      <w:r>
        <w:rPr>
          <w:b/>
          <w:bCs/>
          <w:sz w:val="26"/>
          <w:szCs w:val="26"/>
        </w:rPr>
        <w:t>s</w:t>
      </w:r>
      <w:r>
        <w:rPr>
          <w:b/>
          <w:bCs/>
          <w:sz w:val="26"/>
          <w:szCs w:val="26"/>
        </w:rPr>
        <w:t xml:space="preserve">i </w:t>
      </w:r>
      <w:r>
        <w:t>děti — kdo je takto vidí a takto je dovede udělat, do</w:t>
      </w:r>
      <w:r>
        <w:softHyphen/>
        <w:t>vede všechno. Hle, cikáni, vojáci, sedláci, židé, zboj</w:t>
      </w:r>
      <w:r>
        <w:softHyphen/>
        <w:t>níci, husité, Praslovani, všichni z jadrného dřeva.</w:t>
      </w:r>
    </w:p>
    <w:p w:rsidR="00500724" w:rsidRDefault="00F30FB8">
      <w:pPr>
        <w:pStyle w:val="Zkladntext20"/>
        <w:shd w:val="clear" w:color="auto" w:fill="auto"/>
        <w:spacing w:line="202" w:lineRule="auto"/>
      </w:pPr>
      <w:r>
        <w:t>Rozpoznáváme ji ve formě, která hřeší proti aka</w:t>
      </w:r>
      <w:r>
        <w:softHyphen/>
        <w:t>demickému pravidlu, jako lidový popěvek hřeší</w:t>
      </w:r>
      <w:r>
        <w:t>vá proti gramatice, v té formě, která, kreslíc postavy ffi věci, snadno přechází v prostonárodní ornament, v čáře uzlovité a sukovité a zdánlivě zašmodrchané a přece jasné a nejvýš čitelné.</w:t>
      </w:r>
    </w:p>
    <w:p w:rsidR="00500724" w:rsidRDefault="00F30FB8">
      <w:pPr>
        <w:pStyle w:val="Zkladntext20"/>
        <w:shd w:val="clear" w:color="auto" w:fill="auto"/>
        <w:spacing w:line="202" w:lineRule="auto"/>
      </w:pPr>
      <w:r>
        <w:t>Alšova lidovost koření zajisté v jeho dětství, je dána původní vlo</w:t>
      </w:r>
      <w:r>
        <w:t xml:space="preserve">hou jeho talentu a okolím, </w:t>
      </w:r>
      <w:r>
        <w:rPr>
          <w:b/>
          <w:bCs/>
          <w:sz w:val="26"/>
          <w:szCs w:val="26"/>
        </w:rPr>
        <w:t xml:space="preserve">ve </w:t>
      </w:r>
      <w:r>
        <w:t>kterém vyrůstal, ale nebyla jen tak zadarmo. Změřme jen dráhu junáka Alše od cyklu Vlastík obrázkům do snáře — dráhu titána, který vtrhá na Olymp a končí jako šumař na jarmarku, jenž sbírá měďáky do své čepice (ale hude si při</w:t>
      </w:r>
      <w:r>
        <w:t xml:space="preserve"> tom spokojeně svoji písničku). Tím jsme změřili jeho cestu k lidu a lidovosti. Ať si to sám pociťoval jako prohru a zklamání, lituje, že mu nebylo dáno vybít se v úkolech monumentálních, třebaže i nám se někdy jevilo jeho dílo z perspektivy mladého rozběh</w:t>
      </w:r>
      <w:r>
        <w:t>u jen zlomkem, dnes se nám zdá, že takto naopak zákonitě a logicky vyvrcholilo.</w:t>
      </w:r>
    </w:p>
    <w:p w:rsidR="00500724" w:rsidRDefault="00F30FB8">
      <w:pPr>
        <w:pStyle w:val="Zkladntext20"/>
        <w:shd w:val="clear" w:color="auto" w:fill="auto"/>
        <w:spacing w:line="202" w:lineRule="auto"/>
        <w:ind w:firstLine="300"/>
      </w:pPr>
      <w:r>
        <w:t>Je sice jakási tesknota v myšlence na velkorysé dílo, gigantické rozměry a titánské duchem, k němuž se Aleš zdál povolán. Ale tento národ, zdá se, potře</w:t>
      </w:r>
      <w:r>
        <w:softHyphen/>
        <w:t xml:space="preserve">buje více umění pro </w:t>
      </w:r>
      <w:r>
        <w:t>chudé, jakým je v nejlepším slova smyslu umění Alšovo: prosté, skromné, neokázalé, ale živné jako chléb a s čarovnou silou léčivých bylin.</w:t>
      </w:r>
    </w:p>
    <w:p w:rsidR="00500724" w:rsidRDefault="00F30FB8">
      <w:pPr>
        <w:pStyle w:val="Zkladntext20"/>
        <w:shd w:val="clear" w:color="auto" w:fill="auto"/>
        <w:spacing w:line="202" w:lineRule="auto"/>
        <w:ind w:firstLine="300"/>
      </w:pPr>
      <w:r>
        <w:t>Tak lidovost, jež byla dána Alšovi do vínku, se mu stává kletbou i posvěcením. Naplňuje jeho dílo i le</w:t>
      </w:r>
      <w:r>
        <w:softHyphen/>
        <w:t>gendu jeho živ</w:t>
      </w:r>
      <w:r>
        <w:t>ota: vyšlý z lidu, jeho výtvarný písnič</w:t>
      </w:r>
      <w:r>
        <w:softHyphen/>
        <w:t>kář, jeho zpodobitel a oslavitel, neodcizí se mu a ne- popanští se, zůstává sprostným řemeslníkem.</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ind w:firstLine="300"/>
      </w:pPr>
      <w:r>
        <w:t>Sám na svém vlastním těle zakusil strasti i slasti dělného lidu. Kreslí-li jeho trudnou cestu za chlebem, to proto,</w:t>
      </w:r>
      <w:r>
        <w:t xml:space="preserve"> že sám tak putoval s žebráckým rancem na zádech, se zlostí proti pánům v srdci. Sám pláče se svým sirotkem, zatíná pěsti se svými zbojníky, hu</w:t>
      </w:r>
      <w:r>
        <w:softHyphen/>
        <w:t>morně si ulevuje s tuláky v čas nouze: Blaze tomu, kdo nic nemá, nestará se, kam co schová.</w:t>
      </w:r>
    </w:p>
    <w:p w:rsidR="00500724" w:rsidRDefault="00F30FB8">
      <w:pPr>
        <w:pStyle w:val="Zkladntext20"/>
        <w:shd w:val="clear" w:color="auto" w:fill="auto"/>
        <w:spacing w:line="202" w:lineRule="auto"/>
        <w:ind w:firstLine="300"/>
      </w:pPr>
      <w:r>
        <w:t>Tak v žádné ze svých</w:t>
      </w:r>
      <w:r>
        <w:t xml:space="preserve"> kreseb není vzdálen a srdcem neúčastný. Tulák se svými tuláky, bohatýr mezi boha- týry, husita v Žižkově vojsku, zbojník v družině Jáno</w:t>
      </w:r>
      <w:r>
        <w:softHyphen/>
        <w:t>šíkově, chlapec ve skupině skotačících dětí, pasáček pod kapucí z pytloviny. Všude se setkáváme s ním samým. A to právě</w:t>
      </w:r>
      <w:r>
        <w:t xml:space="preserve"> činí jeho kresby tím, čím jsou především — setkáním s člověkem. Není v nich pouhá virtuosita vše dovedoucího kreslíře, ale tep života, tep bezelstného junáckého srdce.</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ind w:firstLine="300"/>
      </w:pPr>
      <w:r>
        <w:t xml:space="preserve">V dnešní naší situaci nabývá zas zvýšené časovosti otázka tendence uměleckého díla a </w:t>
      </w:r>
      <w:r>
        <w:t>služebnosti umění. V Alšově díle ji vidíme rozřešenu. Jemu byla věc v zásadě jasná. Nesloužil umění, ale uměním národu. Ale právě, že je to služba poctivá, nesená nejčistší láskou a podporovaná při tom nadáním tak původním a jadrným, umění na to nikde nedo</w:t>
      </w:r>
      <w:r>
        <w:t>plácí, spíš získává. Jeho čára, sdělujíc a nabádajíc, se nikde nezpronevě- řuje svému prvnímu poslání, aby utvářela.</w:t>
      </w:r>
    </w:p>
    <w:p w:rsidR="00500724" w:rsidRDefault="00F30FB8">
      <w:pPr>
        <w:pStyle w:val="Zkladntext20"/>
        <w:shd w:val="clear" w:color="auto" w:fill="auto"/>
        <w:spacing w:line="202" w:lineRule="auto"/>
        <w:ind w:firstLine="300"/>
      </w:pPr>
      <w:r>
        <w:t>Jeho současní posuzovatelé, i takoví, kterým ne</w:t>
      </w:r>
      <w:r>
        <w:softHyphen/>
        <w:t xml:space="preserve">chyběla dobrá vůle, mu přiznávali poetičnost nápadů, ale upírali mu technickou pohotovost. </w:t>
      </w:r>
      <w:r>
        <w:t>Nemůže být hrubšího neporozumění. Výtvarně pevná podstata jeho umění přetrvala revoluce všech uměleckých směrů a nejradikálnější obrazoborci a přehodnotitelé hodnot se poklonili před její ryzostí. Jen si zakryjte část jeho kresby a studujte odděleně i nepa</w:t>
      </w:r>
      <w:r>
        <w:t>trný zlo</w:t>
      </w:r>
      <w:r>
        <w:softHyphen/>
        <w:t>mek její, prohlížejte si ji kousek po kousku a poznáte, co tvarového bohatství je tu na každém čtverečném centimetru, jak tu žije a raduje se ze svého bytí i za</w:t>
      </w:r>
      <w:r>
        <w:softHyphen/>
        <w:t>kutálené jablko, lupení prosté byliny, strom, bodlák podle cesty, chochol, kožišina, j</w:t>
      </w:r>
      <w:r>
        <w:t>ílec meče, kterákoliv věc. Jeho linie se rodí po zákonu organického růstu; je sama tragická v obrazech tragických dějů, hrdin</w:t>
      </w:r>
      <w:r>
        <w:softHyphen/>
        <w:t>ská, kreslí-li bohatýry, něžná v lyrických písních.</w:t>
      </w:r>
    </w:p>
    <w:p w:rsidR="00500724" w:rsidRDefault="00F30FB8">
      <w:pPr>
        <w:pStyle w:val="Zkladntext20"/>
        <w:shd w:val="clear" w:color="auto" w:fill="auto"/>
        <w:spacing w:line="240" w:lineRule="auto"/>
        <w:ind w:firstLine="300"/>
        <w:jc w:val="left"/>
      </w:pPr>
      <w:r>
        <w:t>Lze říci, že Alše spasila ne jeho básnická fantasie, ale navzdory jí jeho malí</w:t>
      </w:r>
      <w:r>
        <w:t>řský realismus. Není to ovšem realismus těch, kdo kopírují přírodu, ale realismus nápodoby tvůrčího činu božího. Tkví v Alšo</w:t>
      </w:r>
      <w:r>
        <w:softHyphen/>
        <w:t>vo</w:t>
      </w:r>
    </w:p>
    <w:p w:rsidR="00500724" w:rsidRDefault="00F30FB8">
      <w:pPr>
        <w:pStyle w:val="Zkladntext20"/>
        <w:shd w:val="clear" w:color="auto" w:fill="auto"/>
        <w:spacing w:line="221" w:lineRule="auto"/>
        <w:ind w:firstLine="0"/>
      </w:pPr>
      <w:r>
        <w:t>vě lásce k tvorstvu, z níž má jeho čára přízvuk chvály a díkůvzdání, v jeho zálibě v rozmanitosti jevů. Není mu věci dost obyčej</w:t>
      </w:r>
      <w:r>
        <w:t>né, aby se k ní dojat nesklonil a pečlivě ji nestudoval ve všech jejích zvláštnostech. Ale jeho tvůrčí metoda není určena jen tímto studiem pří</w:t>
      </w:r>
      <w:r>
        <w:softHyphen/>
        <w:t>rody. Neokresluje věci, ale je s nimi jedno a znovu je ze sebe tvoří.</w:t>
      </w:r>
    </w:p>
    <w:p w:rsidR="00500724" w:rsidRDefault="00F30FB8">
      <w:pPr>
        <w:pStyle w:val="Zkladntext20"/>
        <w:shd w:val="clear" w:color="auto" w:fill="auto"/>
        <w:spacing w:line="221" w:lineRule="auto"/>
      </w:pPr>
      <w:r>
        <w:t>Umění Alšovo je umění vnitřní pravdivosti.</w:t>
      </w:r>
      <w:r>
        <w:t xml:space="preserve"> Pou</w:t>
      </w:r>
      <w:r>
        <w:softHyphen/>
        <w:t>hým náznakem, několika čarami vyjádří to, oč se jiní marně snaží zoufalým hromaděním detailů. Jen si srovnejte zkratkovitou a hutnou krajinu Alšovu s foto</w:t>
      </w:r>
      <w:r>
        <w:softHyphen/>
        <w:t>graficky minuciésními krajinkami jeho věhlasného současníka Liebschera. Zatím co Alšovi zázračně</w:t>
      </w:r>
      <w:r>
        <w:t xml:space="preserve"> vznikají pod rukou živé a dýchající organismy, vede si Liebscher při své věrnosti k modelu jako starožit- ník, slepující střípky; a výsledek je cosi ponurého, ne</w:t>
      </w:r>
      <w:r>
        <w:softHyphen/>
        <w:t>hybného a stínového.</w:t>
      </w:r>
    </w:p>
    <w:p w:rsidR="00500724" w:rsidRDefault="00F30FB8">
      <w:pPr>
        <w:pStyle w:val="Zkladntext20"/>
        <w:shd w:val="clear" w:color="auto" w:fill="auto"/>
        <w:spacing w:line="204" w:lineRule="auto"/>
      </w:pPr>
      <w:r>
        <w:t>U Alše máme hluboký dojem skutečnosti přes to, že jeho čára nikde neotro</w:t>
      </w:r>
      <w:r>
        <w:t>čí modelu, naopak, těší se ze své volnosti, skresluje, zdůrazňuje, zamlčuje, přehání, idealisuje a bájí. Vizte třeba toho zarmouceného čer</w:t>
      </w:r>
      <w:r>
        <w:softHyphen/>
        <w:t>tíka s iniciálou Z, žalostné stvoření s křivými rohy, jež ukradl dvěma různým zvířatům, s protáhlým pře</w:t>
      </w:r>
      <w:r>
        <w:softHyphen/>
        <w:t>vislým nosem;</w:t>
      </w:r>
      <w:r>
        <w:t xml:space="preserve"> linie svévolně překrucuje a překračuje anatomicky možné tvary, skresluje tělíčko a tvář v groteskní znak, a přece nese pečeť naprosté pravdi</w:t>
      </w:r>
      <w:r>
        <w:softHyphen/>
        <w:t>vosti. Je to tím, že Aleš tvoří v duchu skutečnosti. •</w:t>
      </w:r>
    </w:p>
    <w:p w:rsidR="00500724" w:rsidRDefault="00F30FB8">
      <w:pPr>
        <w:pStyle w:val="Zkladntext20"/>
        <w:shd w:val="clear" w:color="auto" w:fill="auto"/>
        <w:spacing w:line="204" w:lineRule="auto"/>
      </w:pPr>
      <w:r>
        <w:t>Ne že by v jeho úžasném díle nebylo kazů a slabších míst. N</w:t>
      </w:r>
      <w:r>
        <w:t>ení to ani jinak možné při improvisační snad</w:t>
      </w:r>
      <w:r>
        <w:softHyphen/>
        <w:t>nosti jeho práce a při počtu jeho kreseb, vynucených často nutností obživy — ale jsou to právě jen kazy a slabosti ojedinělé chvíle.</w:t>
      </w:r>
    </w:p>
    <w:p w:rsidR="00500724" w:rsidRDefault="00F30FB8">
      <w:pPr>
        <w:pStyle w:val="Zkladntext20"/>
        <w:shd w:val="clear" w:color="auto" w:fill="auto"/>
        <w:spacing w:line="202" w:lineRule="auto"/>
      </w:pPr>
      <w:r>
        <w:t>I zdánlivá prohra mění se mu v záminku k vítězství. Co se na příklad stalo s b</w:t>
      </w:r>
      <w:r>
        <w:t>arevnou vlohou Alšovou, která tak elementárně zážehu je jeho mladé obrazy? Dal se vskutku odradit hlasy, které na něho volaly, že neumí malovat? Vystačíme s vysvětlením, že neměl na barvy? Vrací-li se později tu a tam k barvičkám, nemá již jeho barva onu d</w:t>
      </w:r>
      <w:r>
        <w:t>ynamiku vášně, onen romantický svit a živelnou plnost, je to podružný prvek, podřaděný kresbě: věcně a vypravěčsky kolo</w:t>
      </w:r>
      <w:r>
        <w:softHyphen/>
        <w:t>ruje. Znamená to ústup?</w:t>
      </w:r>
    </w:p>
    <w:p w:rsidR="00500724" w:rsidRDefault="00F30FB8">
      <w:pPr>
        <w:pStyle w:val="Zkladntext20"/>
        <w:shd w:val="clear" w:color="auto" w:fill="auto"/>
        <w:spacing w:line="202" w:lineRule="auto"/>
      </w:pPr>
      <w:r>
        <w:t>Snad opravdu Aleš přestal malovat, že neměl na barvy. Ale pak to byl jen vnější prostředek jeho daimonia, nástro</w:t>
      </w:r>
      <w:r>
        <w:t>j jeho vnitřního osudu. Jeho barevná vloha byla obětována jeho nadání kreslířskému a jako nezaniká žádná síla, tak i ona se projevuje sublimo- vána v jeho tušových kresbách, dává zjihnouti čer</w:t>
      </w:r>
      <w:r>
        <w:softHyphen/>
        <w:t>ným čarám, splétá je v třpytivé mihotání, rozchvívá je živým ne</w:t>
      </w:r>
      <w:r>
        <w:t>klidem.</w:t>
      </w:r>
    </w:p>
    <w:p w:rsidR="00500724" w:rsidRDefault="00F30FB8">
      <w:pPr>
        <w:pStyle w:val="Zkladntext20"/>
        <w:shd w:val="clear" w:color="auto" w:fill="auto"/>
        <w:spacing w:line="202" w:lineRule="auto"/>
      </w:pPr>
      <w:r>
        <w:t>V povaze kresby vůbec je jistý analytický a rozumářsky střízlivý rys, kresebná linie je již svou podstatou puzena k tomu, aby suše zaznamenávala. Ale černá Alšova čára má šťávu, nespokojuje se zjedno</w:t>
      </w:r>
      <w:r>
        <w:softHyphen/>
        <w:t>dušujícím obrysem, ale laská se s objemem, hmoto</w:t>
      </w:r>
      <w:r>
        <w:t>u a povrchem věcí, obemyká plnost všech jevů a zachy</w:t>
      </w:r>
      <w:r>
        <w:softHyphen/>
        <w:t>cuje i barevný opar. Toto je krajina v dešti a ta se sluní v žáru poledne; podzimní vítr vane řídkou ko</w:t>
      </w:r>
      <w:r>
        <w:softHyphen/>
        <w:t>runou a tady rozkvétá mez všemi polními kvítky.</w:t>
      </w:r>
    </w:p>
    <w:p w:rsidR="00500724" w:rsidRDefault="00F30FB8">
      <w:pPr>
        <w:pStyle w:val="Zkladntext20"/>
        <w:shd w:val="clear" w:color="auto" w:fill="auto"/>
        <w:spacing w:line="204" w:lineRule="auto"/>
      </w:pPr>
      <w:r>
        <w:t>Tak bohem nadaný malíř nezpronevěřil svoji hřivnu a</w:t>
      </w:r>
      <w:r>
        <w:t xml:space="preserve"> zůstal malířem i v černých obrázcích. Povolán k velkosti nedal se ubít a byl-li donucen ilustrovat</w:t>
      </w:r>
      <w:r>
        <w:br w:type="page"/>
        <w:t>lidové kalendáře, zatím co snil o freskových cyklech, učinil z těchto ilustrací arcidíla.</w:t>
      </w:r>
    </w:p>
    <w:p w:rsidR="00500724" w:rsidRDefault="00F30FB8">
      <w:pPr>
        <w:pStyle w:val="Zkladntext20"/>
        <w:shd w:val="clear" w:color="auto" w:fill="auto"/>
        <w:spacing w:line="202" w:lineRule="auto"/>
        <w:ind w:firstLine="280"/>
      </w:pPr>
      <w:r>
        <w:t>Prohlížíme-li dnes obrázkové časopisy z konce sto</w:t>
      </w:r>
      <w:r>
        <w:softHyphen/>
        <w:t>letí, takovou Zl</w:t>
      </w:r>
      <w:r>
        <w:t>atou Prahu, jež udává tón a směr umě</w:t>
      </w:r>
      <w:r>
        <w:softHyphen/>
        <w:t xml:space="preserve">leckých zálib měšťácké společnosti, je nám trochu divně z toho slazeného bláta a přijdeme-li v té poušti na Alšovu kresbu, s úlevou vydychneme. Zatím své době, oslněné snadnou okázalostí slavnostních kýčů, horující pro </w:t>
      </w:r>
      <w:r>
        <w:t>lidovost, ale napomádovanou a učesanou pro salon, byl tuze kostrbatý, ba sprostý tento kreslíř zdánlivě nenáročný a prý nepříliš umělý. A ejhle — Strčil do kapsy všechny slavené současníky.</w:t>
      </w:r>
    </w:p>
    <w:p w:rsidR="00500724" w:rsidRDefault="00F30FB8">
      <w:pPr>
        <w:pStyle w:val="Zkladntext20"/>
        <w:shd w:val="clear" w:color="auto" w:fill="auto"/>
        <w:spacing w:line="204" w:lineRule="auto"/>
        <w:ind w:firstLine="280"/>
      </w:pPr>
      <w:r>
        <w:t>Dívám se na fotografii Brožíkovu. Hle, modla svého věku, osoba ofi</w:t>
      </w:r>
      <w:r>
        <w:t>ciální a veskrze zralá pro Akademii, ověšená řády a navoněná čerstvým šlechtictvím; tvář ztrnulá v povýšeneckou masku a čelo, příbytek docil- ního ducha.</w:t>
      </w:r>
    </w:p>
    <w:p w:rsidR="00500724" w:rsidRDefault="00F30FB8">
      <w:pPr>
        <w:pStyle w:val="Zkladntext40"/>
        <w:shd w:val="clear" w:color="auto" w:fill="auto"/>
        <w:spacing w:after="100" w:line="240" w:lineRule="auto"/>
        <w:jc w:val="center"/>
        <w:rPr>
          <w:sz w:val="14"/>
          <w:szCs w:val="14"/>
        </w:rPr>
      </w:pPr>
      <w:r>
        <w:rPr>
          <w:b/>
          <w:bCs/>
          <w:sz w:val="14"/>
          <w:szCs w:val="14"/>
        </w:rPr>
        <w:t>•</w:t>
      </w:r>
    </w:p>
    <w:p w:rsidR="00500724" w:rsidRDefault="00F30FB8">
      <w:pPr>
        <w:pStyle w:val="Zkladntext20"/>
        <w:shd w:val="clear" w:color="auto" w:fill="auto"/>
        <w:spacing w:line="197" w:lineRule="auto"/>
        <w:ind w:firstLine="280"/>
      </w:pPr>
      <w:r>
        <w:t>A tady je Aleš, dobromyslný tlouštík se zarudlým nosem, veselý kumpán, druh sprostných lidí, přítel dětí a bratr všeho stvoření, ošuntělý strejda s kapsou věčně prázdnou, poctěný k šedesátinám pensí »z mi- losti«, vysmívaný, odstrkovaný a ostouzený, ale ži</w:t>
      </w:r>
      <w:r>
        <w:t xml:space="preserve">vý </w:t>
      </w:r>
      <w:r>
        <w:rPr>
          <w:b/>
          <w:bCs/>
          <w:sz w:val="26"/>
          <w:szCs w:val="26"/>
        </w:rPr>
        <w:t xml:space="preserve">a </w:t>
      </w:r>
      <w:r>
        <w:t>nezdolný, a přece nakonec vítězící nejslavnějším vítězstvím — srovnejte si ty dva.</w:t>
      </w:r>
    </w:p>
    <w:p w:rsidR="00500724" w:rsidRDefault="00F30FB8">
      <w:pPr>
        <w:pStyle w:val="Zkladntext20"/>
        <w:shd w:val="clear" w:color="auto" w:fill="auto"/>
        <w:spacing w:line="194" w:lineRule="auto"/>
        <w:ind w:firstLine="280"/>
      </w:pPr>
      <w:r>
        <w:t>Dnes se nám Brožík jeví jako pouhý ilustrátor historických výjevů, dost málo vtipný při své honos- nosti, a v jediné kresbě opovrženého ilustrátora, v ta</w:t>
      </w:r>
      <w:r>
        <w:softHyphen/>
        <w:t>kovém sv. Jiří</w:t>
      </w:r>
      <w:r>
        <w:t xml:space="preserve">, či v temné figuře hejtmana Čapka, prchajícího od Lipan, shledáváme více monumentality </w:t>
      </w:r>
      <w:r>
        <w:rPr>
          <w:b/>
          <w:bCs/>
          <w:sz w:val="26"/>
          <w:szCs w:val="26"/>
        </w:rPr>
        <w:t xml:space="preserve">a </w:t>
      </w:r>
      <w:r>
        <w:t>hlavně malířské ryzosti, než v nevím kolika čtvereč</w:t>
      </w:r>
      <w:r>
        <w:softHyphen/>
        <w:t>ných metrech Husa před koncilem.</w:t>
      </w:r>
    </w:p>
    <w:p w:rsidR="00500724" w:rsidRDefault="00F30FB8">
      <w:pPr>
        <w:pStyle w:val="Zkladntext20"/>
        <w:shd w:val="clear" w:color="auto" w:fill="auto"/>
        <w:spacing w:after="260"/>
        <w:ind w:firstLine="280"/>
      </w:pPr>
      <w:r>
        <w:t>Hlasateli heroismu a tvůrce hrdinských postav, sám vlastním životem jsi básnil hr</w:t>
      </w:r>
      <w:r>
        <w:t xml:space="preserve">dinskou báji. Skutečný tvůrce mezi příživníky umění, kteří tě předstihovali </w:t>
      </w:r>
      <w:r>
        <w:rPr>
          <w:b/>
          <w:bCs/>
          <w:sz w:val="26"/>
          <w:szCs w:val="26"/>
        </w:rPr>
        <w:t xml:space="preserve">v </w:t>
      </w:r>
      <w:r>
        <w:t>úspěších a slávě, věřil sis, když ti nevěřili jiní. »Ať někdo zkusí udělat takové panáky,« odpovídal jsi jim, vědom si své ceny, a když na tě volali, že jsi nedouk, který se nikd</w:t>
      </w:r>
      <w:r>
        <w:t>y nedostane nad pouhý náčrt, spokojil ses skromným úsměvem, jenž ironicky zastíral tvou pýchu: »Já si zůstanu při svých skicách.« Kašlal jsi na slávu, ale těšilo tě, že mladí a nejmladší, kteří za</w:t>
      </w:r>
      <w:r>
        <w:softHyphen/>
        <w:t>vrhují všechno staré umění (jež mělo vrásky již při svém na</w:t>
      </w:r>
      <w:r>
        <w:t>rození), se pořád hlásí k tobě. A této radosti bys nebyl zbaven ani dnes, kdy již bylo tolik pohřbeno, zatím co tvé dílo je svěžejší než jindy.</w:t>
      </w:r>
    </w:p>
    <w:p w:rsidR="00500724" w:rsidRDefault="00F30FB8">
      <w:pPr>
        <w:pStyle w:val="Jin0"/>
        <w:shd w:val="clear" w:color="auto" w:fill="auto"/>
        <w:spacing w:after="140"/>
        <w:ind w:firstLine="0"/>
        <w:jc w:val="left"/>
        <w:rPr>
          <w:sz w:val="46"/>
          <w:szCs w:val="46"/>
        </w:rPr>
      </w:pPr>
      <w:r>
        <w:rPr>
          <w:b/>
          <w:bCs/>
          <w:sz w:val="46"/>
          <w:szCs w:val="46"/>
          <w:u w:val="single"/>
        </w:rPr>
        <w:t>otázky a odpovědi</w:t>
      </w:r>
    </w:p>
    <w:p w:rsidR="00500724" w:rsidRDefault="00F30FB8">
      <w:pPr>
        <w:pStyle w:val="Nadpis100"/>
        <w:shd w:val="clear" w:color="auto" w:fill="auto"/>
        <w:spacing w:after="100" w:line="240" w:lineRule="auto"/>
      </w:pPr>
      <w:bookmarkStart w:id="221" w:name="bookmark220"/>
      <w:r>
        <w:t>Dopis generála Fauchera</w:t>
      </w:r>
      <w:r>
        <w:br/>
        <w:t>a odpověď</w:t>
      </w:r>
      <w:bookmarkEnd w:id="221"/>
    </w:p>
    <w:p w:rsidR="00500724" w:rsidRDefault="00F30FB8">
      <w:pPr>
        <w:pStyle w:val="Zkladntext40"/>
        <w:shd w:val="clear" w:color="auto" w:fill="auto"/>
        <w:spacing w:after="0" w:line="415" w:lineRule="auto"/>
        <w:jc w:val="center"/>
        <w:rPr>
          <w:sz w:val="14"/>
          <w:szCs w:val="14"/>
        </w:rPr>
      </w:pPr>
      <w:r>
        <w:rPr>
          <w:b/>
          <w:bCs/>
          <w:sz w:val="14"/>
          <w:szCs w:val="14"/>
        </w:rPr>
        <w:t>i.</w:t>
      </w:r>
    </w:p>
    <w:p w:rsidR="00500724" w:rsidRDefault="00F30FB8">
      <w:pPr>
        <w:pStyle w:val="Zkladntext40"/>
        <w:shd w:val="clear" w:color="auto" w:fill="auto"/>
        <w:spacing w:after="0" w:line="415" w:lineRule="auto"/>
        <w:ind w:left="280"/>
        <w:jc w:val="center"/>
        <w:rPr>
          <w:sz w:val="14"/>
          <w:szCs w:val="14"/>
        </w:rPr>
      </w:pPr>
      <w:r>
        <w:rPr>
          <w:b/>
          <w:bCs/>
          <w:sz w:val="14"/>
          <w:szCs w:val="14"/>
          <w:lang w:val="en-US" w:eastAsia="en-US" w:bidi="en-US"/>
        </w:rPr>
        <w:t xml:space="preserve">Saint </w:t>
      </w:r>
      <w:r>
        <w:rPr>
          <w:b/>
          <w:bCs/>
          <w:sz w:val="14"/>
          <w:szCs w:val="14"/>
        </w:rPr>
        <w:t>Maixent l’École, 8. února 1939</w:t>
      </w:r>
      <w:r>
        <w:rPr>
          <w:b/>
          <w:bCs/>
          <w:sz w:val="14"/>
          <w:szCs w:val="14"/>
        </w:rPr>
        <w:br/>
        <w:t>Pane redaktore,</w:t>
      </w:r>
    </w:p>
    <w:p w:rsidR="00500724" w:rsidRDefault="00F30FB8">
      <w:pPr>
        <w:pStyle w:val="Zkladntext40"/>
        <w:shd w:val="clear" w:color="auto" w:fill="auto"/>
        <w:spacing w:after="0" w:line="286" w:lineRule="auto"/>
        <w:rPr>
          <w:sz w:val="14"/>
          <w:szCs w:val="14"/>
        </w:rPr>
      </w:pPr>
      <w:r>
        <w:rPr>
          <w:b/>
          <w:bCs/>
          <w:sz w:val="14"/>
          <w:szCs w:val="14"/>
        </w:rPr>
        <w:t>'dovolte mi, abych Vás upozornil, že informace a úsudky o francouzské vojenské misi, obsažené ve Vašem článku }Kdyby byla vypukla válka*, otištěném v Přítomnosti dne 18. ledna, jsou naprosto nesprávné.</w:t>
      </w:r>
    </w:p>
    <w:p w:rsidR="00500724" w:rsidRDefault="00F30FB8">
      <w:pPr>
        <w:pStyle w:val="Zkladntext40"/>
        <w:shd w:val="clear" w:color="auto" w:fill="auto"/>
        <w:spacing w:after="0" w:line="286" w:lineRule="auto"/>
        <w:ind w:firstLine="280"/>
        <w:rPr>
          <w:sz w:val="14"/>
          <w:szCs w:val="14"/>
        </w:rPr>
      </w:pPr>
      <w:r>
        <w:rPr>
          <w:b/>
          <w:bCs/>
          <w:sz w:val="14"/>
          <w:szCs w:val="14"/>
        </w:rPr>
        <w:t>Následující stati tohoto článku zasluhují, aby byly ob</w:t>
      </w:r>
      <w:r>
        <w:rPr>
          <w:b/>
          <w:bCs/>
          <w:sz w:val="14"/>
          <w:szCs w:val="14"/>
        </w:rPr>
        <w:t>zvláště vyzvednuty: »Proč jsme se stavěli do odporu na této absurdní dlouhé hranici? Na to je jediná poctivá odpověď: Poněvadž to bylo ve francouzském plánu a poněvadž francouzská vojenská mise, jejímuž slovu jsme musili naslouchat... věci u nás tímto směr</w:t>
      </w:r>
      <w:r>
        <w:rPr>
          <w:b/>
          <w:bCs/>
          <w:sz w:val="14"/>
          <w:szCs w:val="14"/>
        </w:rPr>
        <w:t>em vedla. Zastupovala zájem Francie... ale francouzská mise v době, kdy existovala už jen Francie Bonnetova, si počínala bujaře, jako by ještě žila slavná Francie Clémenceauova a Fochova. Vypracovala ofensivní plány pro pomocné národy, vybudovala naše opev</w:t>
      </w:r>
      <w:r>
        <w:rPr>
          <w:b/>
          <w:bCs/>
          <w:sz w:val="14"/>
          <w:szCs w:val="14"/>
        </w:rPr>
        <w:t>nění tak .. .&lt;</w:t>
      </w:r>
    </w:p>
    <w:p w:rsidR="00500724" w:rsidRDefault="00F30FB8">
      <w:pPr>
        <w:pStyle w:val="Zkladntext40"/>
        <w:shd w:val="clear" w:color="auto" w:fill="auto"/>
        <w:spacing w:after="0" w:line="276" w:lineRule="auto"/>
        <w:ind w:firstLine="220"/>
        <w:rPr>
          <w:sz w:val="14"/>
          <w:szCs w:val="14"/>
        </w:rPr>
      </w:pPr>
      <w:r>
        <w:rPr>
          <w:b/>
          <w:bCs/>
          <w:sz w:val="14"/>
          <w:szCs w:val="14"/>
        </w:rPr>
        <w:t>Konstatuji, že francouzská vojenská mise věci nevedla vůbec, nevypracovala ofensivní plány, nevybudovala čs. opevnění.</w:t>
      </w:r>
    </w:p>
    <w:p w:rsidR="00500724" w:rsidRDefault="00F30FB8">
      <w:pPr>
        <w:pStyle w:val="Zkladntext40"/>
        <w:shd w:val="clear" w:color="auto" w:fill="auto"/>
        <w:spacing w:after="0" w:line="276" w:lineRule="auto"/>
        <w:ind w:firstLine="220"/>
        <w:rPr>
          <w:sz w:val="14"/>
          <w:szCs w:val="14"/>
        </w:rPr>
      </w:pPr>
      <w:r>
        <w:rPr>
          <w:b/>
          <w:bCs/>
          <w:sz w:val="14"/>
          <w:szCs w:val="14"/>
        </w:rPr>
        <w:t>Myslím, že Vám bude snadné, abyste si to, co uvádím výše, dal potvrdit od kompetentních úředních osobností česko-slovenský</w:t>
      </w:r>
      <w:r>
        <w:rPr>
          <w:b/>
          <w:bCs/>
          <w:sz w:val="14"/>
          <w:szCs w:val="14"/>
        </w:rPr>
        <w:t>ch.</w:t>
      </w:r>
    </w:p>
    <w:p w:rsidR="00500724" w:rsidRDefault="00F30FB8">
      <w:pPr>
        <w:pStyle w:val="Zkladntext40"/>
        <w:shd w:val="clear" w:color="auto" w:fill="auto"/>
        <w:spacing w:after="0" w:line="276" w:lineRule="auto"/>
        <w:ind w:firstLine="220"/>
        <w:rPr>
          <w:sz w:val="14"/>
          <w:szCs w:val="14"/>
        </w:rPr>
      </w:pPr>
      <w:r>
        <w:rPr>
          <w:b/>
          <w:bCs/>
          <w:sz w:val="14"/>
          <w:szCs w:val="14"/>
        </w:rPr>
        <w:t>Dodávám, že bych nikdy nezůstal v čele mise, kdyby francouzská vláda bývala měla úmysl pověřit misi tako</w:t>
      </w:r>
      <w:r>
        <w:rPr>
          <w:b/>
          <w:bCs/>
          <w:sz w:val="14"/>
          <w:szCs w:val="14"/>
        </w:rPr>
        <w:softHyphen/>
        <w:t>vou úlohou, kterou podle Vás hrála.</w:t>
      </w:r>
    </w:p>
    <w:p w:rsidR="00500724" w:rsidRDefault="00F30FB8">
      <w:pPr>
        <w:pStyle w:val="Zkladntext40"/>
        <w:shd w:val="clear" w:color="auto" w:fill="auto"/>
        <w:spacing w:after="0" w:line="276" w:lineRule="auto"/>
        <w:ind w:firstLine="220"/>
        <w:rPr>
          <w:sz w:val="14"/>
          <w:szCs w:val="14"/>
        </w:rPr>
      </w:pPr>
      <w:r>
        <w:rPr>
          <w:b/>
          <w:bCs/>
          <w:sz w:val="14"/>
          <w:szCs w:val="14"/>
        </w:rPr>
        <w:t>Doufám, že uvedete pravdu na správnou míru tak, aby čtenáři Přítomnosti nebyli na omylu, kterého jste se sám do</w:t>
      </w:r>
      <w:r>
        <w:rPr>
          <w:b/>
          <w:bCs/>
          <w:sz w:val="14"/>
          <w:szCs w:val="14"/>
        </w:rPr>
        <w:t>pustil, jistě ne úmyslně, o čemž jseri přesvědčen.</w:t>
      </w:r>
    </w:p>
    <w:p w:rsidR="00500724" w:rsidRDefault="00F30FB8">
      <w:pPr>
        <w:pStyle w:val="Zkladntext40"/>
        <w:shd w:val="clear" w:color="auto" w:fill="auto"/>
        <w:tabs>
          <w:tab w:val="left" w:pos="3706"/>
        </w:tabs>
        <w:spacing w:after="80" w:line="300" w:lineRule="auto"/>
        <w:ind w:firstLine="220"/>
        <w:rPr>
          <w:sz w:val="14"/>
          <w:szCs w:val="14"/>
        </w:rPr>
      </w:pPr>
      <w:r>
        <w:rPr>
          <w:b/>
          <w:bCs/>
          <w:sz w:val="14"/>
          <w:szCs w:val="14"/>
        </w:rPr>
        <w:t>Přijměte prosím, pane redaktore, projev opravdové úcty.</w:t>
      </w:r>
      <w:r>
        <w:rPr>
          <w:b/>
          <w:bCs/>
          <w:sz w:val="14"/>
          <w:szCs w:val="14"/>
        </w:rPr>
        <w:tab/>
        <w:t>L. Fauchei</w:t>
      </w:r>
    </w:p>
    <w:p w:rsidR="00500724" w:rsidRDefault="00F30FB8">
      <w:pPr>
        <w:pStyle w:val="Zkladntext40"/>
        <w:shd w:val="clear" w:color="auto" w:fill="auto"/>
        <w:spacing w:after="0" w:line="286" w:lineRule="auto"/>
        <w:jc w:val="center"/>
        <w:rPr>
          <w:sz w:val="14"/>
          <w:szCs w:val="14"/>
        </w:rPr>
      </w:pPr>
      <w:r>
        <w:rPr>
          <w:b/>
          <w:bCs/>
          <w:sz w:val="14"/>
          <w:szCs w:val="14"/>
        </w:rPr>
        <w:t>II.</w:t>
      </w:r>
    </w:p>
    <w:p w:rsidR="00500724" w:rsidRDefault="00F30FB8">
      <w:pPr>
        <w:pStyle w:val="Zkladntext40"/>
        <w:shd w:val="clear" w:color="auto" w:fill="auto"/>
        <w:spacing w:after="0" w:line="286" w:lineRule="auto"/>
        <w:ind w:left="1100"/>
        <w:jc w:val="left"/>
        <w:rPr>
          <w:sz w:val="14"/>
          <w:szCs w:val="14"/>
        </w:rPr>
      </w:pPr>
      <w:r>
        <w:rPr>
          <w:b/>
          <w:bCs/>
          <w:sz w:val="14"/>
          <w:szCs w:val="14"/>
        </w:rPr>
        <w:t>Pane generále,</w:t>
      </w:r>
    </w:p>
    <w:p w:rsidR="00500724" w:rsidRDefault="00F30FB8">
      <w:pPr>
        <w:pStyle w:val="Zkladntext40"/>
        <w:shd w:val="clear" w:color="auto" w:fill="auto"/>
        <w:spacing w:after="0" w:line="283" w:lineRule="auto"/>
        <w:rPr>
          <w:sz w:val="14"/>
          <w:szCs w:val="14"/>
        </w:rPr>
      </w:pPr>
      <w:r>
        <w:rPr>
          <w:b/>
          <w:bCs/>
          <w:sz w:val="14"/>
          <w:szCs w:val="14"/>
        </w:rPr>
        <w:t xml:space="preserve">vyhověl jsem snad aspoň částečně Vašemu přání, óbrátil-li jsem se ne sice přímo na ^kompetentní úřední osobnosti*, </w:t>
      </w:r>
      <w:r>
        <w:rPr>
          <w:b/>
          <w:bCs/>
          <w:sz w:val="14"/>
          <w:szCs w:val="14"/>
        </w:rPr>
        <w:t>jejichž volnost vyjadřovací na veřejnost jest, jak známo, omezena, nýbrž na osobnost, kterou jest ne* sporně pokládati za znalce. Přijímaje osobně uctiv© všechna Vaše ujištění, prosím Vás, abyste si laskavé přečetl odpověď oné osobnosti.</w:t>
      </w:r>
    </w:p>
    <w:p w:rsidR="00500724" w:rsidRDefault="00F30FB8">
      <w:pPr>
        <w:pStyle w:val="Zkladntext40"/>
        <w:shd w:val="clear" w:color="auto" w:fill="auto"/>
        <w:spacing w:after="0" w:line="286" w:lineRule="auto"/>
        <w:ind w:firstLine="220"/>
        <w:rPr>
          <w:sz w:val="14"/>
          <w:szCs w:val="14"/>
        </w:rPr>
      </w:pPr>
      <w:r>
        <w:rPr>
          <w:b/>
          <w:bCs/>
          <w:sz w:val="14"/>
          <w:szCs w:val="14"/>
        </w:rPr>
        <w:t xml:space="preserve">Přijměte, prosím, </w:t>
      </w:r>
      <w:r>
        <w:rPr>
          <w:b/>
          <w:bCs/>
          <w:sz w:val="14"/>
          <w:szCs w:val="14"/>
        </w:rPr>
        <w:t>projev mé skutečné úcty.</w:t>
      </w:r>
    </w:p>
    <w:p w:rsidR="00500724" w:rsidRDefault="00F30FB8">
      <w:pPr>
        <w:pStyle w:val="Zkladntext40"/>
        <w:shd w:val="clear" w:color="auto" w:fill="auto"/>
        <w:spacing w:after="120" w:line="286" w:lineRule="auto"/>
        <w:jc w:val="right"/>
        <w:rPr>
          <w:sz w:val="14"/>
          <w:szCs w:val="14"/>
        </w:rPr>
      </w:pPr>
      <w:r>
        <w:rPr>
          <w:b/>
          <w:bCs/>
          <w:sz w:val="14"/>
          <w:szCs w:val="14"/>
        </w:rPr>
        <w:t>F. Peroutka</w:t>
      </w:r>
    </w:p>
    <w:p w:rsidR="00500724" w:rsidRDefault="00F30FB8">
      <w:pPr>
        <w:pStyle w:val="Zkladntext40"/>
        <w:shd w:val="clear" w:color="auto" w:fill="auto"/>
        <w:spacing w:after="0" w:line="286" w:lineRule="auto"/>
        <w:jc w:val="center"/>
        <w:rPr>
          <w:sz w:val="14"/>
          <w:szCs w:val="14"/>
        </w:rPr>
      </w:pPr>
      <w:r>
        <w:rPr>
          <w:b/>
          <w:bCs/>
          <w:sz w:val="14"/>
          <w:szCs w:val="14"/>
        </w:rPr>
        <w:t>III.</w:t>
      </w:r>
    </w:p>
    <w:p w:rsidR="00500724" w:rsidRDefault="00F30FB8">
      <w:pPr>
        <w:pStyle w:val="Zkladntext40"/>
        <w:shd w:val="clear" w:color="auto" w:fill="auto"/>
        <w:spacing w:after="0" w:line="286" w:lineRule="auto"/>
        <w:ind w:firstLine="220"/>
        <w:rPr>
          <w:sz w:val="14"/>
          <w:szCs w:val="14"/>
        </w:rPr>
      </w:pPr>
      <w:r>
        <w:rPr>
          <w:b/>
          <w:bCs/>
          <w:sz w:val="14"/>
          <w:szCs w:val="14"/>
        </w:rPr>
        <w:t>Praha 25. února 1939</w:t>
      </w:r>
    </w:p>
    <w:p w:rsidR="00500724" w:rsidRDefault="00F30FB8">
      <w:pPr>
        <w:pStyle w:val="Zkladntext40"/>
        <w:shd w:val="clear" w:color="auto" w:fill="auto"/>
        <w:spacing w:after="0" w:line="286" w:lineRule="auto"/>
        <w:ind w:left="1100"/>
        <w:jc w:val="left"/>
        <w:rPr>
          <w:sz w:val="14"/>
          <w:szCs w:val="14"/>
        </w:rPr>
      </w:pPr>
      <w:r>
        <w:rPr>
          <w:b/>
          <w:bCs/>
          <w:sz w:val="14"/>
          <w:szCs w:val="14"/>
        </w:rPr>
        <w:t>Pane redaktore,</w:t>
      </w:r>
    </w:p>
    <w:p w:rsidR="00500724" w:rsidRDefault="00F30FB8">
      <w:pPr>
        <w:pStyle w:val="Zkladntext40"/>
        <w:shd w:val="clear" w:color="auto" w:fill="auto"/>
        <w:spacing w:after="0" w:line="286" w:lineRule="auto"/>
        <w:rPr>
          <w:sz w:val="14"/>
          <w:szCs w:val="14"/>
        </w:rPr>
      </w:pPr>
      <w:r>
        <w:rPr>
          <w:b/>
          <w:bCs/>
          <w:sz w:val="14"/>
          <w:szCs w:val="14"/>
        </w:rPr>
        <w:t xml:space="preserve">generál Faucher má asi formální pravdu pro svou osobu, Jeho předchůdci v letech 1920 až 1925, generál Pellé </w:t>
      </w:r>
      <w:r>
        <w:rPr>
          <w:b/>
          <w:bCs/>
          <w:i/>
          <w:iCs/>
          <w:sz w:val="20"/>
          <w:szCs w:val="20"/>
        </w:rPr>
        <w:t xml:space="preserve">a </w:t>
      </w:r>
      <w:r>
        <w:rPr>
          <w:b/>
          <w:bCs/>
          <w:sz w:val="14"/>
          <w:szCs w:val="14"/>
        </w:rPr>
        <w:t>Mitelhauser, šéfové francouzské mise, byli zároveň ná</w:t>
      </w:r>
      <w:r>
        <w:rPr>
          <w:b/>
          <w:bCs/>
          <w:sz w:val="14"/>
          <w:szCs w:val="14"/>
        </w:rPr>
        <w:softHyphen/>
        <w:t>čelníky česko</w:t>
      </w:r>
      <w:r>
        <w:rPr>
          <w:b/>
          <w:bCs/>
          <w:sz w:val="14"/>
          <w:szCs w:val="14"/>
        </w:rPr>
        <w:t>slovenského hlavního štábu. V této druhé funkci náčelníka štábu, ovšem ze služební povinnosti &gt;věci vedli, vypracovávali plány a nebudovali opevnění*. Tehdy francouzská válečná doktrína bylá ofensivní. Že nebudovali opevnění, dokazuje, ž© jejich plány odpo</w:t>
      </w:r>
      <w:r>
        <w:rPr>
          <w:b/>
          <w:bCs/>
          <w:sz w:val="14"/>
          <w:szCs w:val="14"/>
        </w:rPr>
        <w:t>vídaly doktríně a byly ofensivní.</w:t>
      </w:r>
    </w:p>
    <w:p w:rsidR="00500724" w:rsidRDefault="00F30FB8">
      <w:pPr>
        <w:pStyle w:val="Zkladntext40"/>
        <w:shd w:val="clear" w:color="auto" w:fill="auto"/>
        <w:spacing w:after="0" w:line="286" w:lineRule="auto"/>
        <w:ind w:firstLine="220"/>
        <w:rPr>
          <w:sz w:val="14"/>
          <w:szCs w:val="14"/>
        </w:rPr>
      </w:pPr>
      <w:r>
        <w:rPr>
          <w:b/>
          <w:bCs/>
          <w:sz w:val="14"/>
          <w:szCs w:val="14"/>
        </w:rPr>
        <w:t xml:space="preserve">Generál Faucher od roku 1925 byl pouze šéfem </w:t>
      </w:r>
      <w:r>
        <w:rPr>
          <w:b/>
          <w:bCs/>
          <w:sz w:val="14"/>
          <w:szCs w:val="14"/>
          <w:lang w:val="en-US" w:eastAsia="en-US" w:bidi="en-US"/>
        </w:rPr>
        <w:t xml:space="preserve">franr* </w:t>
      </w:r>
      <w:r>
        <w:rPr>
          <w:b/>
          <w:bCs/>
          <w:sz w:val="14"/>
          <w:szCs w:val="14"/>
        </w:rPr>
        <w:t>couzské vojenské mise a poradcem československých činitelů. Rozsah jeho funkcí není veřejnosti znánL Smlouva o misi je jistě důvěrná. Kompetentní úřední osobnosti českosl</w:t>
      </w:r>
      <w:r>
        <w:rPr>
          <w:b/>
          <w:bCs/>
          <w:sz w:val="14"/>
          <w:szCs w:val="14"/>
        </w:rPr>
        <w:t>ovenské, jsou vázány úředním tajem</w:t>
      </w:r>
      <w:r>
        <w:rPr>
          <w:b/>
          <w:bCs/>
          <w:sz w:val="14"/>
          <w:szCs w:val="14"/>
        </w:rPr>
        <w:softHyphen/>
        <w:t>stvím. Mohly by Vám jen formálně odpovědět, že » podlé znění smlouvy francouzská vojenská mise věci nevedl© vůbec, nevypracovala ofensivní plány a nevybudoval© čs. opevnění«.</w:t>
      </w:r>
    </w:p>
    <w:p w:rsidR="00500724" w:rsidRDefault="00F30FB8">
      <w:pPr>
        <w:pStyle w:val="Zkladntext40"/>
        <w:shd w:val="clear" w:color="auto" w:fill="auto"/>
        <w:spacing w:after="0" w:line="286" w:lineRule="auto"/>
        <w:ind w:firstLine="220"/>
        <w:rPr>
          <w:sz w:val="14"/>
          <w:szCs w:val="14"/>
        </w:rPr>
      </w:pPr>
      <w:r>
        <w:rPr>
          <w:b/>
          <w:bCs/>
          <w:sz w:val="14"/>
          <w:szCs w:val="14"/>
        </w:rPr>
        <w:t>Jinak tomu je s pravdou věcnou. Dotažte se čes</w:t>
      </w:r>
      <w:r>
        <w:rPr>
          <w:b/>
          <w:bCs/>
          <w:sz w:val="14"/>
          <w:szCs w:val="14"/>
        </w:rPr>
        <w:t>ko</w:t>
      </w:r>
      <w:r>
        <w:rPr>
          <w:b/>
          <w:bCs/>
          <w:sz w:val="14"/>
          <w:szCs w:val="14"/>
        </w:rPr>
        <w:softHyphen/>
        <w:t>slovenského občana, čtenáře úředního tisku za poslecw nich dvacet let, jak se jevil úkol a význam francouzské vojenské mise podle zpráv, proti kterým francouzská mise neprotestovala. Její mlčení a trvalý pobyt v Praze dokazovaly souhlas s tím, co bylo p</w:t>
      </w:r>
      <w:r>
        <w:rPr>
          <w:b/>
          <w:bCs/>
          <w:sz w:val="14"/>
          <w:szCs w:val="14"/>
        </w:rPr>
        <w:t>sáno o jejích úkolech a významu.</w:t>
      </w:r>
    </w:p>
    <w:p w:rsidR="00500724" w:rsidRDefault="00F30FB8">
      <w:pPr>
        <w:pStyle w:val="Zkladntext40"/>
        <w:shd w:val="clear" w:color="auto" w:fill="auto"/>
        <w:spacing w:after="0" w:line="300" w:lineRule="auto"/>
        <w:ind w:firstLine="220"/>
        <w:rPr>
          <w:sz w:val="14"/>
          <w:szCs w:val="14"/>
        </w:rPr>
      </w:pPr>
      <w:r>
        <w:rPr>
          <w:b/>
          <w:bCs/>
          <w:sz w:val="14"/>
          <w:szCs w:val="14"/>
        </w:rPr>
        <w:t>Spoluodpovědnost francouzské vojenské mise za vá</w:t>
      </w:r>
      <w:r>
        <w:rPr>
          <w:b/>
          <w:bCs/>
          <w:sz w:val="14"/>
          <w:szCs w:val="14"/>
        </w:rPr>
        <w:softHyphen/>
        <w:t>lečné plány vysvítá z těchto faktů:</w:t>
      </w:r>
    </w:p>
    <w:p w:rsidR="00500724" w:rsidRDefault="00F30FB8">
      <w:pPr>
        <w:pStyle w:val="Zkladntext40"/>
        <w:shd w:val="clear" w:color="auto" w:fill="auto"/>
        <w:spacing w:after="0" w:line="286" w:lineRule="auto"/>
        <w:ind w:firstLine="220"/>
        <w:rPr>
          <w:sz w:val="14"/>
          <w:szCs w:val="14"/>
        </w:rPr>
        <w:sectPr w:rsidR="00500724">
          <w:footnotePr>
            <w:numFmt w:val="chicago"/>
            <w:numRestart w:val="eachPage"/>
          </w:footnotePr>
          <w:type w:val="continuous"/>
          <w:pgSz w:w="11909" w:h="16834"/>
          <w:pgMar w:top="1655" w:right="986" w:bottom="674" w:left="519" w:header="0" w:footer="3" w:gutter="0"/>
          <w:cols w:num="2" w:space="122"/>
          <w:noEndnote/>
          <w:docGrid w:linePitch="360"/>
        </w:sectPr>
      </w:pPr>
      <w:r>
        <w:rPr>
          <w:noProof/>
        </w:rPr>
        <mc:AlternateContent>
          <mc:Choice Requires="wps">
            <w:drawing>
              <wp:anchor distT="12700" distB="254000" distL="114300" distR="114300" simplePos="0" relativeHeight="125829588" behindDoc="0" locked="0" layoutInCell="1" allowOverlap="1">
                <wp:simplePos x="0" y="0"/>
                <wp:positionH relativeFrom="page">
                  <wp:posOffset>6826250</wp:posOffset>
                </wp:positionH>
                <wp:positionV relativeFrom="margin">
                  <wp:posOffset>8957945</wp:posOffset>
                </wp:positionV>
                <wp:extent cx="170815" cy="170815"/>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170815"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b/>
                                <w:bCs/>
                                <w:i/>
                                <w:iCs/>
                                <w:sz w:val="20"/>
                                <w:szCs w:val="20"/>
                              </w:rPr>
                              <w:t>Ul</w:t>
                            </w:r>
                          </w:p>
                        </w:txbxContent>
                      </wps:txbx>
                      <wps:bodyPr lIns="0" tIns="0" rIns="0" bIns="0">
                        <a:spAutoFit/>
                      </wps:bodyPr>
                    </wps:wsp>
                  </a:graphicData>
                </a:graphic>
              </wp:anchor>
            </w:drawing>
          </mc:Choice>
          <mc:Fallback>
            <w:pict>
              <v:shape id="_x0000_s1237" type="#_x0000_t202" style="position:absolute;margin-left:537.5pt;margin-top:705.35000000000002pt;width:13.449999999999999pt;height:13.449999999999999pt;z-index:-125829165;mso-wrap-distance-left:9.pt;mso-wrap-distance-top:1.pt;mso-wrap-distance-right:9.pt;mso-wrap-distance-bottom:20.pt;mso-position-horizontal-relative:page;mso-position-vertical-relative:margin"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b/>
                          <w:bCs/>
                          <w:i/>
                          <w:iCs/>
                          <w:color w:val="000000"/>
                          <w:spacing w:val="0"/>
                          <w:w w:val="100"/>
                          <w:position w:val="0"/>
                          <w:sz w:val="20"/>
                          <w:szCs w:val="20"/>
                          <w:shd w:val="clear" w:color="auto" w:fill="auto"/>
                          <w:lang w:val="cs-CZ" w:eastAsia="cs-CZ" w:bidi="cs-CZ"/>
                        </w:rPr>
                        <w:t>Ul</w:t>
                      </w:r>
                    </w:p>
                  </w:txbxContent>
                </v:textbox>
                <w10:wrap type="topAndBottom" anchorx="page" anchory="margin"/>
              </v:shape>
            </w:pict>
          </mc:Fallback>
        </mc:AlternateContent>
      </w:r>
      <w:r>
        <w:rPr>
          <w:b/>
          <w:bCs/>
          <w:sz w:val="14"/>
          <w:szCs w:val="14"/>
        </w:rPr>
        <w:t xml:space="preserve">Mise úřadovala v budově ministerstva národní obrany. Vždy o Novém roce a 28. říjnu blahopřály generál </w:t>
      </w:r>
      <w:r>
        <w:rPr>
          <w:b/>
          <w:bCs/>
          <w:sz w:val="14"/>
          <w:szCs w:val="14"/>
        </w:rPr>
        <w:t>Faucher spolu s generálním inspektorem a náčelníkem hlavního štábu za čs. armádu vrchnímu veliteli branné</w:t>
      </w:r>
    </w:p>
    <w:p w:rsidR="00500724" w:rsidRDefault="00500724">
      <w:pPr>
        <w:spacing w:line="233" w:lineRule="exact"/>
        <w:rPr>
          <w:sz w:val="19"/>
          <w:szCs w:val="19"/>
        </w:rPr>
      </w:pPr>
    </w:p>
    <w:p w:rsidR="00500724" w:rsidRDefault="00500724">
      <w:pPr>
        <w:spacing w:line="14" w:lineRule="exact"/>
        <w:sectPr w:rsidR="00500724">
          <w:footnotePr>
            <w:numFmt w:val="chicago"/>
            <w:numRestart w:val="eachPage"/>
          </w:footnotePr>
          <w:pgSz w:w="11909" w:h="16834"/>
          <w:pgMar w:top="1637" w:right="0" w:bottom="1124" w:left="0" w:header="0" w:footer="3" w:gutter="0"/>
          <w:cols w:space="720"/>
          <w:noEndnote/>
          <w:docGrid w:linePitch="360"/>
        </w:sectPr>
      </w:pPr>
    </w:p>
    <w:p w:rsidR="00500724" w:rsidRDefault="00F30FB8">
      <w:pPr>
        <w:pStyle w:val="Zkladntext100"/>
        <w:shd w:val="clear" w:color="auto" w:fill="auto"/>
        <w:spacing w:line="240" w:lineRule="auto"/>
        <w:ind w:firstLine="0"/>
        <w:rPr>
          <w:sz w:val="19"/>
          <w:szCs w:val="19"/>
        </w:rPr>
      </w:pPr>
      <w:r>
        <w:rPr>
          <w:sz w:val="19"/>
          <w:szCs w:val="19"/>
        </w:rPr>
        <w:t xml:space="preserve">moci, presidentu republiky. To je symbol. Vždy ve čtvrtek, podle zpráv tisku, byli přijímáni v audienci vrchním velitelem </w:t>
      </w:r>
      <w:r>
        <w:rPr>
          <w:sz w:val="19"/>
          <w:szCs w:val="19"/>
        </w:rPr>
        <w:t>vojenští hodnostáři: generální inspek</w:t>
      </w:r>
      <w:r>
        <w:rPr>
          <w:sz w:val="19"/>
          <w:szCs w:val="19"/>
        </w:rPr>
        <w:softHyphen/>
        <w:t>tor, náčelník hlavního štábu a generál Fauchcr. Z tohoto trvalého pravidelného styku generála Fauchera s vrch</w:t>
      </w:r>
      <w:r>
        <w:rPr>
          <w:sz w:val="19"/>
          <w:szCs w:val="19"/>
        </w:rPr>
        <w:softHyphen/>
        <w:t>ním velitelem lze soudit, že úloha šéfa francouzské vojenské mise přesahovala rámec porad úzce technický a z</w:t>
      </w:r>
      <w:r>
        <w:rPr>
          <w:sz w:val="19"/>
          <w:szCs w:val="19"/>
        </w:rPr>
        <w:t>asahovala do oblasti strategické, to jest vojensko- politické, to jest dc plánů.</w:t>
      </w:r>
    </w:p>
    <w:p w:rsidR="00500724" w:rsidRDefault="00F30FB8">
      <w:pPr>
        <w:pStyle w:val="Zkladntext100"/>
        <w:shd w:val="clear" w:color="auto" w:fill="auto"/>
        <w:spacing w:line="209" w:lineRule="auto"/>
        <w:ind w:firstLine="220"/>
        <w:rPr>
          <w:sz w:val="19"/>
          <w:szCs w:val="19"/>
        </w:rPr>
      </w:pPr>
      <w:r>
        <w:rPr>
          <w:sz w:val="19"/>
          <w:szCs w:val="19"/>
        </w:rPr>
        <w:t xml:space="preserve">Českoslovenští vojáci přinesli si ze čtyř- a šestiletých bojů na všech světových bojištích množství vojenských zkušeností. Mnozí z nich a celá třetina československého </w:t>
      </w:r>
      <w:r>
        <w:rPr>
          <w:sz w:val="19"/>
          <w:szCs w:val="19"/>
        </w:rPr>
        <w:t>důstojnického sboru, převzatá z bývalé rakouské armá</w:t>
      </w:r>
      <w:r>
        <w:rPr>
          <w:sz w:val="19"/>
          <w:szCs w:val="19"/>
        </w:rPr>
        <w:softHyphen/>
        <w:t xml:space="preserve">dy, měla předválečné zkušenosti mírového výcviku. Oblast, ve které snad bylo zkušeností nejméně, je právě oblast vojensko-vědecká, to jest vypracování operačních plánů a stavba opevnění. Prostému rozumu </w:t>
      </w:r>
      <w:r>
        <w:rPr>
          <w:sz w:val="19"/>
          <w:szCs w:val="19"/>
        </w:rPr>
        <w:t>zdá se samo</w:t>
      </w:r>
      <w:r>
        <w:rPr>
          <w:sz w:val="19"/>
          <w:szCs w:val="19"/>
        </w:rPr>
        <w:softHyphen/>
        <w:t>zřejmé, že francouzská vojenská mise byla pozvána vládou, aby radila tam, kde bylo nejméně zkušeností, to jest v oblasti operací a plánů. Bylo by dobře otázat se generála Fauchera co dělal v MNO dvacet let, když »nevedl věci a nevypracovával pl</w:t>
      </w:r>
      <w:r>
        <w:rPr>
          <w:sz w:val="19"/>
          <w:szCs w:val="19"/>
        </w:rPr>
        <w:t>ány*.</w:t>
      </w:r>
    </w:p>
    <w:p w:rsidR="00500724" w:rsidRDefault="00F30FB8">
      <w:pPr>
        <w:pStyle w:val="Zkladntext100"/>
        <w:shd w:val="clear" w:color="auto" w:fill="auto"/>
        <w:spacing w:line="209" w:lineRule="auto"/>
        <w:ind w:firstLine="220"/>
        <w:rPr>
          <w:sz w:val="19"/>
          <w:szCs w:val="19"/>
        </w:rPr>
      </w:pPr>
      <w:r>
        <w:rPr>
          <w:sz w:val="19"/>
          <w:szCs w:val="19"/>
        </w:rPr>
        <w:t>Připouštím rád, že je sám nevypracovával. Ale není pochyby o tom, že o nich věděl. Účastnil se vojenských cvičení a válečných her, které jsou s větší nebo menší obměnou, zkouškami části plánu. Byl-li poradcem, jeho rady musely se týkat vojska v prost</w:t>
      </w:r>
      <w:r>
        <w:rPr>
          <w:sz w:val="19"/>
          <w:szCs w:val="19"/>
        </w:rPr>
        <w:t>oru a čase, tudíž válečných plánů.</w:t>
      </w:r>
    </w:p>
    <w:p w:rsidR="00500724" w:rsidRDefault="00F30FB8">
      <w:pPr>
        <w:pStyle w:val="Zkladntext100"/>
        <w:shd w:val="clear" w:color="auto" w:fill="auto"/>
        <w:spacing w:line="209" w:lineRule="auto"/>
        <w:ind w:firstLine="220"/>
        <w:rPr>
          <w:sz w:val="19"/>
          <w:szCs w:val="19"/>
        </w:rPr>
      </w:pPr>
      <w:r>
        <w:rPr>
          <w:sz w:val="19"/>
          <w:szCs w:val="19"/>
        </w:rPr>
        <w:t>Viděl na cvičeních součásti plánů, žil u nás bezmála dvacet let. Byl s armádou v denním styku. Měl všude přístup, o vše se zajímal. Uměl slušně česky, viděl do poměrů, měl řadu spolupracovníků. Nemohla mu tudíž ujít neúmě</w:t>
      </w:r>
      <w:r>
        <w:rPr>
          <w:sz w:val="19"/>
          <w:szCs w:val="19"/>
        </w:rPr>
        <w:t>rnost československých sil a branných pří</w:t>
      </w:r>
      <w:r>
        <w:rPr>
          <w:sz w:val="19"/>
          <w:szCs w:val="19"/>
        </w:rPr>
        <w:softHyphen/>
        <w:t>prav k úkolu, který kladla armádě politika. Nevypraco</w:t>
      </w:r>
      <w:r>
        <w:rPr>
          <w:sz w:val="19"/>
          <w:szCs w:val="19"/>
        </w:rPr>
        <w:softHyphen/>
        <w:t>vával snad sám plány, ale poměr čs. vůdčích činitelů a jejich důvěra k němu, jako generálu spřátelené moc</w:t>
      </w:r>
      <w:r>
        <w:rPr>
          <w:sz w:val="19"/>
          <w:szCs w:val="19"/>
        </w:rPr>
        <w:softHyphen/>
        <w:t>nosti, měly mu být pohnutkou, aby se zamyslil.</w:t>
      </w:r>
    </w:p>
    <w:p w:rsidR="00500724" w:rsidRDefault="00F30FB8">
      <w:pPr>
        <w:pStyle w:val="Zkladntext100"/>
        <w:shd w:val="clear" w:color="auto" w:fill="auto"/>
        <w:spacing w:line="209" w:lineRule="auto"/>
        <w:ind w:firstLine="220"/>
        <w:rPr>
          <w:sz w:val="19"/>
          <w:szCs w:val="19"/>
        </w:rPr>
      </w:pPr>
      <w:r>
        <w:rPr>
          <w:sz w:val="19"/>
          <w:szCs w:val="19"/>
        </w:rPr>
        <w:t>Měl mož</w:t>
      </w:r>
      <w:r>
        <w:rPr>
          <w:sz w:val="19"/>
          <w:szCs w:val="19"/>
        </w:rPr>
        <w:t>nost každý čtvrtek mluvit s vrchním velite</w:t>
      </w:r>
      <w:r>
        <w:rPr>
          <w:sz w:val="19"/>
          <w:szCs w:val="19"/>
        </w:rPr>
        <w:softHyphen/>
        <w:t>lem, musil přece cítit, že jako příslušník vítězné armády požívá u vrchního velitele co nejvíce důvěry, co do odbornosti.</w:t>
      </w:r>
    </w:p>
    <w:p w:rsidR="00500724" w:rsidRDefault="00F30FB8">
      <w:pPr>
        <w:pStyle w:val="Zkladntext100"/>
        <w:shd w:val="clear" w:color="auto" w:fill="auto"/>
        <w:spacing w:line="211" w:lineRule="auto"/>
        <w:ind w:firstLine="220"/>
        <w:rPr>
          <w:sz w:val="19"/>
          <w:szCs w:val="19"/>
        </w:rPr>
      </w:pPr>
      <w:r>
        <w:rPr>
          <w:sz w:val="19"/>
          <w:szCs w:val="19"/>
        </w:rPr>
        <w:t>Tato důvěra, věnovaná chefovi francouzské vojenské mise, jej zavazovala. Buď se měl zajímat</w:t>
      </w:r>
      <w:r>
        <w:rPr>
          <w:sz w:val="19"/>
          <w:szCs w:val="19"/>
        </w:rPr>
        <w:t xml:space="preserve"> o plány, je posoudit a schválit, nebo na nedostatky upozornit a eventuálně i odejít. Jelikož setrval na místě a účastnil se hlášení u nejvyšího velitele, vzbuzoval dojem, že nese odpovědnost jako příslušník zkušené francouzské armády. Mělo být zřejmo mysl</w:t>
      </w:r>
      <w:r>
        <w:rPr>
          <w:sz w:val="19"/>
          <w:szCs w:val="19"/>
        </w:rPr>
        <w:t>ícímu vojáku již dávno, že československé vojenské prostředky jsou neúměrné k úkolům, politikou kladeným.</w:t>
      </w:r>
    </w:p>
    <w:p w:rsidR="00500724" w:rsidRDefault="00F30FB8">
      <w:pPr>
        <w:pStyle w:val="Zkladntext100"/>
        <w:shd w:val="clear" w:color="auto" w:fill="auto"/>
        <w:spacing w:line="211" w:lineRule="auto"/>
        <w:ind w:firstLine="220"/>
        <w:rPr>
          <w:sz w:val="19"/>
          <w:szCs w:val="19"/>
        </w:rPr>
      </w:pPr>
      <w:r>
        <w:rPr>
          <w:sz w:val="19"/>
          <w:szCs w:val="19"/>
        </w:rPr>
        <w:t>Jak mohlo ujít činitelům francouzské vojenské mise, že francouzské letectví upadá, že Francie je zazděna na Rýně, že nebude chtít poslat svoje syny um</w:t>
      </w:r>
      <w:r>
        <w:rPr>
          <w:sz w:val="19"/>
          <w:szCs w:val="19"/>
        </w:rPr>
        <w:t>írat za neznámé zájmy málo známého Československa, že i při nejlepší vůli pro přílišnou vzdálenost vůbec Česko</w:t>
      </w:r>
      <w:r>
        <w:rPr>
          <w:sz w:val="19"/>
          <w:szCs w:val="19"/>
        </w:rPr>
        <w:softHyphen/>
        <w:t>slovensku pomoci nemůže, zejména od chvíle, kdy si zne</w:t>
      </w:r>
      <w:r>
        <w:rPr>
          <w:sz w:val="19"/>
          <w:szCs w:val="19"/>
        </w:rPr>
        <w:softHyphen/>
        <w:t>přátelila Itálii? Jak mohli přehlédnout, že sovětské Rusko je silné jen svou propagandou a</w:t>
      </w:r>
      <w:r>
        <w:rPr>
          <w:sz w:val="19"/>
          <w:szCs w:val="19"/>
        </w:rPr>
        <w:t xml:space="preserve"> boje neschopno pro nedostatek komunikací, chaosu ve velení i hospodář</w:t>
      </w:r>
      <w:r>
        <w:rPr>
          <w:sz w:val="19"/>
          <w:szCs w:val="19"/>
        </w:rPr>
        <w:softHyphen/>
        <w:t>ství? A nakonec, jak mohli doufat v úspěšnou obranu Čech a Moravy i v případě zásahu všech spojenců, při neopevněném Slovensku, nejasném poměru Maďarska a Polska k nám, při naprosté let</w:t>
      </w:r>
      <w:r>
        <w:rPr>
          <w:sz w:val="19"/>
          <w:szCs w:val="19"/>
        </w:rPr>
        <w:t>ecké převaze Německa, špatných našich komunikacích z východu na západ a okolo Prahy? Francouzská vojenská mise setrvala, zdá se, v pojmech a představách roku 1918.</w:t>
      </w:r>
    </w:p>
    <w:p w:rsidR="00500724" w:rsidRDefault="00F30FB8">
      <w:pPr>
        <w:pStyle w:val="Zkladntext100"/>
        <w:shd w:val="clear" w:color="auto" w:fill="auto"/>
        <w:spacing w:line="211" w:lineRule="auto"/>
        <w:ind w:firstLine="220"/>
        <w:rPr>
          <w:sz w:val="19"/>
          <w:szCs w:val="19"/>
        </w:rPr>
      </w:pPr>
      <w:r>
        <w:rPr>
          <w:sz w:val="19"/>
          <w:szCs w:val="19"/>
        </w:rPr>
        <w:t xml:space="preserve">Omezil a-li se mise na skromný úkol učitelky teorie, pak úloha, kterou hrál generál Faucher </w:t>
      </w:r>
      <w:r>
        <w:rPr>
          <w:sz w:val="19"/>
          <w:szCs w:val="19"/>
        </w:rPr>
        <w:t>v našem armád</w:t>
      </w:r>
      <w:r>
        <w:rPr>
          <w:sz w:val="19"/>
          <w:szCs w:val="19"/>
        </w:rPr>
        <w:softHyphen/>
        <w:t>ním životě, byla nadměrná. Spoléhal-li na francouzský systém »D«, to jest na improvisaci v poslední chvíli, čili, že se poměry samy nějakým zázrakem příznivěji upraví, nebylo to spravedlivé vůči důvěřujícímu Česko</w:t>
      </w:r>
      <w:r>
        <w:rPr>
          <w:sz w:val="19"/>
          <w:szCs w:val="19"/>
        </w:rPr>
        <w:softHyphen/>
        <w:t>slovensku, které věřilo ve v</w:t>
      </w:r>
      <w:r>
        <w:rPr>
          <w:sz w:val="19"/>
          <w:szCs w:val="19"/>
        </w:rPr>
        <w:t>ážnou, odbornou spolupráci v zájmu životů svých synů. Nelze předpokládat, že by Francie byla ponechala na službě u nás a povyšovala generála, který by nedovedl správně posoudit situaci v tak příznivých zpravodajsky podmínkách. Zbývá tudíž jen hypotesa o úk</w:t>
      </w:r>
      <w:r>
        <w:rPr>
          <w:sz w:val="19"/>
          <w:szCs w:val="19"/>
        </w:rPr>
        <w:t>olu mise, kterou jste, pane redaktore napsal v Přítomnosti: »Češi a jiní pomocní národové nechť za jakýchkoli obětí zdrží Němce, dokud Francie nebude hotova se svou mobilisaci.*</w:t>
      </w:r>
    </w:p>
    <w:p w:rsidR="00500724" w:rsidRDefault="00F30FB8">
      <w:pPr>
        <w:pStyle w:val="Zkladntext100"/>
        <w:shd w:val="clear" w:color="auto" w:fill="auto"/>
        <w:spacing w:line="209" w:lineRule="auto"/>
        <w:ind w:firstLine="220"/>
        <w:rPr>
          <w:sz w:val="19"/>
          <w:szCs w:val="19"/>
        </w:rPr>
      </w:pPr>
      <w:r>
        <w:rPr>
          <w:sz w:val="19"/>
          <w:szCs w:val="19"/>
        </w:rPr>
        <w:t>Francouzská vojenská mise dvacet let přijímala ve</w:t>
      </w:r>
      <w:r>
        <w:rPr>
          <w:sz w:val="19"/>
          <w:szCs w:val="19"/>
        </w:rPr>
        <w:softHyphen/>
        <w:t xml:space="preserve">řejné díky a vyznamenání za </w:t>
      </w:r>
      <w:r>
        <w:rPr>
          <w:sz w:val="19"/>
          <w:szCs w:val="19"/>
        </w:rPr>
        <w:t>spolupráci, ještě letos</w:t>
      </w:r>
    </w:p>
    <w:p w:rsidR="00500724" w:rsidRDefault="00F30FB8">
      <w:pPr>
        <w:pStyle w:val="Zkladntext100"/>
        <w:numPr>
          <w:ilvl w:val="0"/>
          <w:numId w:val="25"/>
        </w:numPr>
        <w:shd w:val="clear" w:color="auto" w:fill="auto"/>
        <w:tabs>
          <w:tab w:val="left" w:pos="366"/>
        </w:tabs>
        <w:spacing w:after="60" w:line="209" w:lineRule="auto"/>
        <w:ind w:firstLine="0"/>
        <w:rPr>
          <w:sz w:val="19"/>
          <w:szCs w:val="19"/>
        </w:rPr>
      </w:pPr>
      <w:r>
        <w:rPr>
          <w:sz w:val="19"/>
          <w:szCs w:val="19"/>
        </w:rPr>
        <w:t>ledna, když odjížděl náčelník štábu plukovník Flipo. Generál Faucher dopisem pozdě se snaží vyvolat formální důkaz, že »nic nevedl, nevypracoval a nebudo</w:t>
      </w:r>
      <w:r>
        <w:rPr>
          <w:sz w:val="19"/>
          <w:szCs w:val="19"/>
        </w:rPr>
        <w:softHyphen/>
        <w:t>val*. Zatím stačí snad archiv čs. novin k tomu, aby byla ozřejměna tragická vi</w:t>
      </w:r>
      <w:r>
        <w:rPr>
          <w:sz w:val="19"/>
          <w:szCs w:val="19"/>
        </w:rPr>
        <w:t>na. Časem jistě bude zřízena historická komise, která zjistí fakta, i důvěrná, o půso</w:t>
      </w:r>
      <w:r>
        <w:rPr>
          <w:sz w:val="19"/>
          <w:szCs w:val="19"/>
        </w:rPr>
        <w:softHyphen/>
        <w:t>bení i metodách francouzské vojenské mise a o jejím rozhodujícím vlivu na optimistickou politiku nešťast</w:t>
      </w:r>
      <w:r>
        <w:rPr>
          <w:sz w:val="19"/>
          <w:szCs w:val="19"/>
        </w:rPr>
        <w:softHyphen/>
        <w:t>ného Československa. Je to svrchovaně nutné proto, aby příští pok</w:t>
      </w:r>
      <w:r>
        <w:rPr>
          <w:sz w:val="19"/>
          <w:szCs w:val="19"/>
        </w:rPr>
        <w:t>olení spoléhalo více na vlastní síly a bylo méně lehkověrné.</w:t>
      </w:r>
    </w:p>
    <w:p w:rsidR="00500724" w:rsidRDefault="00F30FB8">
      <w:pPr>
        <w:pStyle w:val="Zkladntext100"/>
        <w:shd w:val="clear" w:color="auto" w:fill="auto"/>
        <w:tabs>
          <w:tab w:val="left" w:leader="dot" w:pos="1439"/>
        </w:tabs>
        <w:spacing w:after="240" w:line="209" w:lineRule="auto"/>
        <w:ind w:firstLine="220"/>
        <w:rPr>
          <w:sz w:val="19"/>
          <w:szCs w:val="19"/>
        </w:rPr>
      </w:pPr>
      <w:r>
        <w:rPr>
          <w:sz w:val="19"/>
          <w:szCs w:val="19"/>
        </w:rPr>
        <w:t>Přijměte</w:t>
      </w:r>
      <w:r>
        <w:rPr>
          <w:sz w:val="19"/>
          <w:szCs w:val="19"/>
        </w:rPr>
        <w:tab/>
        <w:t>atd.</w:t>
      </w:r>
    </w:p>
    <w:p w:rsidR="00500724" w:rsidRDefault="00F30FB8">
      <w:pPr>
        <w:pStyle w:val="Nadpis80"/>
        <w:keepNext/>
        <w:keepLines/>
        <w:pBdr>
          <w:bottom w:val="single" w:sz="4" w:space="0" w:color="auto"/>
        </w:pBdr>
        <w:shd w:val="clear" w:color="auto" w:fill="auto"/>
        <w:spacing w:after="280"/>
        <w:rPr>
          <w:sz w:val="44"/>
          <w:szCs w:val="44"/>
        </w:rPr>
      </w:pPr>
      <w:bookmarkStart w:id="222" w:name="bookmark221"/>
      <w:r>
        <w:rPr>
          <w:sz w:val="44"/>
          <w:szCs w:val="44"/>
          <w:u w:val="none"/>
        </w:rPr>
        <w:t>dopisy</w:t>
      </w:r>
      <w:bookmarkEnd w:id="222"/>
    </w:p>
    <w:p w:rsidR="00500724" w:rsidRDefault="00F30FB8">
      <w:pPr>
        <w:pStyle w:val="Zkladntext100"/>
        <w:shd w:val="clear" w:color="auto" w:fill="auto"/>
        <w:spacing w:after="80" w:line="168" w:lineRule="auto"/>
        <w:ind w:firstLine="0"/>
        <w:jc w:val="center"/>
        <w:rPr>
          <w:sz w:val="19"/>
          <w:szCs w:val="19"/>
        </w:rPr>
      </w:pPr>
      <w:r>
        <w:rPr>
          <w:b/>
          <w:bCs/>
          <w:sz w:val="19"/>
          <w:szCs w:val="19"/>
        </w:rPr>
        <w:t>Dopis z lidu generálu Medkovi</w:t>
      </w:r>
    </w:p>
    <w:p w:rsidR="00500724" w:rsidRDefault="00F30FB8">
      <w:pPr>
        <w:pStyle w:val="Zkladntext100"/>
        <w:shd w:val="clear" w:color="auto" w:fill="auto"/>
        <w:spacing w:after="60" w:line="178" w:lineRule="auto"/>
        <w:ind w:left="2540" w:firstLine="0"/>
        <w:jc w:val="left"/>
      </w:pPr>
      <w:r>
        <w:t>V Praze dne 17. února 1939</w:t>
      </w:r>
    </w:p>
    <w:p w:rsidR="00500724" w:rsidRDefault="00F30FB8">
      <w:pPr>
        <w:pStyle w:val="Zkladntext100"/>
        <w:shd w:val="clear" w:color="auto" w:fill="auto"/>
        <w:spacing w:after="60" w:line="178" w:lineRule="auto"/>
        <w:ind w:left="860" w:firstLine="0"/>
        <w:jc w:val="left"/>
      </w:pPr>
      <w:r>
        <w:t>Vážený pane redaktore!</w:t>
      </w:r>
    </w:p>
    <w:p w:rsidR="00500724" w:rsidRDefault="00F30FB8">
      <w:pPr>
        <w:pStyle w:val="Zkladntext100"/>
        <w:shd w:val="clear" w:color="auto" w:fill="auto"/>
        <w:spacing w:line="202" w:lineRule="auto"/>
        <w:ind w:firstLine="300"/>
      </w:pPr>
      <w:r>
        <w:t>Každá středa v týdnu stala se mi polovičním svátkem, pro</w:t>
      </w:r>
      <w:r>
        <w:softHyphen/>
        <w:t xml:space="preserve">tože každé vydání Vašeho týdeníku je </w:t>
      </w:r>
      <w:r>
        <w:t>pravou rekreací. Záslu</w:t>
      </w:r>
      <w:r>
        <w:softHyphen/>
        <w:t>hu o to má uvědomělá snaha Vaše a Vašich spolupracovníků a přispěvatelů o naprostou objektivitu Vašich článků a do</w:t>
      </w:r>
      <w:r>
        <w:softHyphen/>
        <w:t xml:space="preserve">pisů. V nynější době, po všem tom křiku, zrádcování, hlásání nových pravd </w:t>
      </w:r>
      <w:r>
        <w:rPr>
          <w:b/>
          <w:bCs/>
        </w:rPr>
        <w:t xml:space="preserve">i </w:t>
      </w:r>
      <w:r>
        <w:t>polopravd, volání po předělání duše národa</w:t>
      </w:r>
      <w:r>
        <w:t>, atd., potřebujeme my všichni průměrní lidé, kteři si troufáme také tvořit část národa — kus pravdy, snahu po pravdě, objektivní vysvětlení, poučení. Toho se nám dostává značnou měrou obsahem Vašeho listu, až na malé výjimky.</w:t>
      </w:r>
    </w:p>
    <w:p w:rsidR="00500724" w:rsidRDefault="00F30FB8">
      <w:pPr>
        <w:pStyle w:val="Zkladntext100"/>
        <w:shd w:val="clear" w:color="auto" w:fill="auto"/>
        <w:spacing w:line="202" w:lineRule="auto"/>
        <w:ind w:firstLine="220"/>
      </w:pPr>
      <w:r>
        <w:t xml:space="preserve">Tuto výjimku nejnověji tvoří </w:t>
      </w:r>
      <w:r>
        <w:t>myslim dopis pana generála R. Medka o pitomých řečech a o slovanském štěkání. Ne proto, že by p. Medek neměl právo zlobit se na lidi, kteří se ještě nevybrali z toho chaosu, který jsme prodělali v srdcích i hla</w:t>
      </w:r>
      <w:r>
        <w:softHyphen/>
        <w:t>vách, ale proto, že zveličuje a div ne genera</w:t>
      </w:r>
      <w:r>
        <w:t>lisuje. A to je myslím právě tak nebezpečné jako »pitomé« řeči mluvků, a právě tak nepraktické, jako hlasy o státu ultranárodním, bolševickém, převážně zemědělském, totalitním, důsledně anti</w:t>
      </w:r>
      <w:r>
        <w:softHyphen/>
        <w:t>semitském.</w:t>
      </w:r>
    </w:p>
    <w:p w:rsidR="00500724" w:rsidRDefault="00F30FB8">
      <w:pPr>
        <w:pStyle w:val="Zkladntext100"/>
        <w:shd w:val="clear" w:color="auto" w:fill="auto"/>
        <w:spacing w:line="202" w:lineRule="auto"/>
        <w:ind w:firstLine="300"/>
      </w:pPr>
      <w:r>
        <w:t>Nutí mne to k odpovědi p. Medkovi, s dovolením, přes V</w:t>
      </w:r>
      <w:r>
        <w:t>aši kontrolu, pane redaktore.</w:t>
      </w:r>
    </w:p>
    <w:p w:rsidR="00500724" w:rsidRDefault="00F30FB8">
      <w:pPr>
        <w:pStyle w:val="Zkladntext100"/>
        <w:shd w:val="clear" w:color="auto" w:fill="auto"/>
        <w:spacing w:line="178" w:lineRule="auto"/>
        <w:ind w:firstLine="300"/>
        <w:jc w:val="left"/>
      </w:pPr>
      <w:r>
        <w:t>Ostatně pan Medek sám mluví jen o hrstce jakýchsi mluv</w:t>
      </w:r>
      <w:r>
        <w:softHyphen/>
        <w:t>ků. Tomu ovšem odporuje, že již o několik řádek níže píše o našem lidu, který po dvacetiletém masarykovském »realis- mu . . .« atd. a hned dále: »Tyto a podobné řeči vynes</w:t>
      </w:r>
      <w:r>
        <w:t>ly nám páté a šesté pásmo«! Tomuhle přece jistě ani pan Medek doslo</w:t>
      </w:r>
      <w:r>
        <w:softHyphen/>
        <w:t>va nevěří. Zdá se to trochu primitivní, tvrdit, že kruhy v říši s panem říšským kancléřem v čele, posuzují náš stát a národ podle toho, co si někde ve Zlámané Lhotě, dva tři mluvkové při »</w:t>
      </w:r>
      <w:r>
        <w:t>plesání« a u hraběcího piva vykládají!</w:t>
      </w:r>
    </w:p>
    <w:p w:rsidR="00500724" w:rsidRDefault="00F30FB8">
      <w:pPr>
        <w:pStyle w:val="Zkladntext100"/>
        <w:shd w:val="clear" w:color="auto" w:fill="auto"/>
        <w:spacing w:line="178" w:lineRule="auto"/>
        <w:ind w:firstLine="300"/>
      </w:pPr>
      <w:r>
        <w:t xml:space="preserve">Lid je takovým, jakým ho (krátce řečeno) souhrn okolností udělá. Masarykovský </w:t>
      </w:r>
      <w:r>
        <w:rPr>
          <w:lang w:val="en-US" w:eastAsia="en-US" w:bidi="en-US"/>
        </w:rPr>
        <w:t xml:space="preserve">realism, </w:t>
      </w:r>
      <w:r>
        <w:t xml:space="preserve">třeba v uvozovkách (a nevím, zdali o něm všichni již víme dosti), náš lid rozhodně nezkazil, spíše naopak. Víme, že již jeho vůle </w:t>
      </w:r>
      <w:r>
        <w:t>dát lidu vzdělání a zase vzdělání, nám ho přiblížila. Ne vzdělání, pro získání teplého místa u státu, ale třeba jen tak pro povznesení srdce i ducha.</w:t>
      </w:r>
    </w:p>
    <w:p w:rsidR="00500724" w:rsidRDefault="00F30FB8">
      <w:pPr>
        <w:pStyle w:val="Zkladntext100"/>
        <w:shd w:val="clear" w:color="auto" w:fill="auto"/>
        <w:spacing w:line="178" w:lineRule="auto"/>
        <w:ind w:firstLine="300"/>
        <w:jc w:val="left"/>
        <w:sectPr w:rsidR="00500724">
          <w:footnotePr>
            <w:numFmt w:val="chicago"/>
            <w:numRestart w:val="eachPage"/>
          </w:footnotePr>
          <w:type w:val="continuous"/>
          <w:pgSz w:w="11909" w:h="16834"/>
          <w:pgMar w:top="1637" w:right="859" w:bottom="1124" w:left="662" w:header="0" w:footer="3" w:gutter="0"/>
          <w:cols w:num="2" w:space="125"/>
          <w:noEndnote/>
          <w:docGrid w:linePitch="360"/>
        </w:sectPr>
      </w:pPr>
      <w:r>
        <w:t xml:space="preserve">A vidíte, my, obyčejní lidé, příliš ani nezazlíváme. Chápeme ten všeobecný </w:t>
      </w:r>
      <w:r>
        <w:t>vztek na nás na všechny (včetně p. M.), na celý »přátelský« svět od západu, kolem severu až na jih, na osud i na pánaboha (ti hříšnější) — že to s námi tak mizerně do</w:t>
      </w:r>
      <w:r>
        <w:softHyphen/>
        <w:t>padlo. Ale každý to projevuje jinak: Někdo slintá na papír (abych užil rčení p. Medka), n</w:t>
      </w:r>
      <w:r>
        <w:t>ěkomu kypí žluč, kazíc tak trá</w:t>
      </w:r>
      <w:r>
        <w:softHyphen/>
        <w:t>vení, hrstka mluvků zpívá pitomé písničky a žvaní, obrov</w:t>
      </w:r>
      <w:r>
        <w:softHyphen/>
        <w:t>ská většina mlčí a chápe neobvykle těžkou situaci státu, přeje vládě s předsedou v čele, aby nás z povšechné šlamastiky, bez větších škod, dostala. Jsme jistě také všic</w:t>
      </w:r>
      <w:r>
        <w:t>hni k této snaze ochotni dáti svoji skrovnou podporu.</w:t>
      </w:r>
    </w:p>
    <w:p w:rsidR="00500724" w:rsidRDefault="00500724">
      <w:pPr>
        <w:spacing w:line="108" w:lineRule="exact"/>
        <w:rPr>
          <w:sz w:val="9"/>
          <w:szCs w:val="9"/>
        </w:rPr>
      </w:pPr>
    </w:p>
    <w:p w:rsidR="00500724" w:rsidRDefault="00500724">
      <w:pPr>
        <w:spacing w:line="14" w:lineRule="exact"/>
        <w:sectPr w:rsidR="00500724">
          <w:footnotePr>
            <w:numFmt w:val="chicago"/>
            <w:numRestart w:val="eachPage"/>
          </w:footnotePr>
          <w:pgSz w:w="11909" w:h="16834"/>
          <w:pgMar w:top="1639" w:right="0" w:bottom="754"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590" behindDoc="0" locked="0" layoutInCell="1" allowOverlap="1">
                <wp:simplePos x="0" y="0"/>
                <wp:positionH relativeFrom="page">
                  <wp:posOffset>3896995</wp:posOffset>
                </wp:positionH>
                <wp:positionV relativeFrom="paragraph">
                  <wp:posOffset>5492750</wp:posOffset>
                </wp:positionV>
                <wp:extent cx="615950" cy="155575"/>
                <wp:effectExtent l="0" t="0" r="0" b="0"/>
                <wp:wrapSquare wrapText="right"/>
                <wp:docPr id="213" name="Shape 213"/>
                <wp:cNvGraphicFramePr/>
                <a:graphic xmlns:a="http://schemas.openxmlformats.org/drawingml/2006/main">
                  <a:graphicData uri="http://schemas.microsoft.com/office/word/2010/wordprocessingShape">
                    <wps:wsp>
                      <wps:cNvSpPr txBox="1"/>
                      <wps:spPr>
                        <a:xfrm>
                          <a:off x="0" y="0"/>
                          <a:ext cx="615950" cy="155575"/>
                        </a:xfrm>
                        <a:prstGeom prst="rect">
                          <a:avLst/>
                        </a:prstGeom>
                        <a:noFill/>
                      </wps:spPr>
                      <wps:txbx>
                        <w:txbxContent>
                          <w:p w:rsidR="00500724" w:rsidRDefault="00F30FB8">
                            <w:pPr>
                              <w:pStyle w:val="Zkladntext100"/>
                              <w:shd w:val="clear" w:color="auto" w:fill="auto"/>
                              <w:spacing w:line="240" w:lineRule="auto"/>
                              <w:ind w:firstLine="0"/>
                              <w:jc w:val="left"/>
                            </w:pPr>
                            <w:r>
                              <w:t>Váš oddaný</w:t>
                            </w:r>
                          </w:p>
                        </w:txbxContent>
                      </wps:txbx>
                      <wps:bodyPr lIns="0" tIns="0" rIns="0" bIns="0">
                        <a:spAutoFit/>
                      </wps:bodyPr>
                    </wps:wsp>
                  </a:graphicData>
                </a:graphic>
              </wp:anchor>
            </w:drawing>
          </mc:Choice>
          <mc:Fallback>
            <w:pict>
              <v:shape id="_x0000_s1239" type="#_x0000_t202" style="position:absolute;margin-left:306.85000000000002pt;margin-top:432.5pt;width:48.5pt;height:12.25pt;z-index:-125829163;mso-wrap-distance-left:9.pt;mso-wrap-distance-right:9.pt;mso-position-horizontal-relative:page"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Váš oddaný</w:t>
                      </w:r>
                    </w:p>
                  </w:txbxContent>
                </v:textbox>
                <w10:wrap type="square" side="right" anchorx="page"/>
              </v:shape>
            </w:pict>
          </mc:Fallback>
        </mc:AlternateContent>
      </w:r>
      <w:r>
        <w:rPr>
          <w:noProof/>
        </w:rPr>
        <mc:AlternateContent>
          <mc:Choice Requires="wps">
            <w:drawing>
              <wp:anchor distT="12700" distB="254000" distL="114300" distR="114300" simplePos="0" relativeHeight="125829592" behindDoc="0" locked="0" layoutInCell="1" allowOverlap="1">
                <wp:simplePos x="0" y="0"/>
                <wp:positionH relativeFrom="page">
                  <wp:posOffset>6792595</wp:posOffset>
                </wp:positionH>
                <wp:positionV relativeFrom="paragraph">
                  <wp:posOffset>9000490</wp:posOffset>
                </wp:positionV>
                <wp:extent cx="204470" cy="170815"/>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204470"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i/>
                                <w:iCs/>
                                <w:sz w:val="20"/>
                                <w:szCs w:val="20"/>
                              </w:rPr>
                              <w:t>U3</w:t>
                            </w:r>
                          </w:p>
                        </w:txbxContent>
                      </wps:txbx>
                      <wps:bodyPr lIns="0" tIns="0" rIns="0" bIns="0">
                        <a:spAutoFit/>
                      </wps:bodyPr>
                    </wps:wsp>
                  </a:graphicData>
                </a:graphic>
              </wp:anchor>
            </w:drawing>
          </mc:Choice>
          <mc:Fallback>
            <w:pict>
              <v:shape id="_x0000_s1241" type="#_x0000_t202" style="position:absolute;margin-left:534.85000000000002pt;margin-top:708.70000000000005pt;width:16.100000000000001pt;height:13.449999999999999pt;z-index:-125829161;mso-wrap-distance-left:9.pt;mso-wrap-distance-top:1.pt;mso-wrap-distance-right:9.pt;mso-wrap-distance-bottom:20.pt;mso-position-horizontal-relative:page"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U3</w:t>
                      </w:r>
                    </w:p>
                  </w:txbxContent>
                </v:textbox>
                <w10:wrap type="topAndBottom" anchorx="page"/>
              </v:shape>
            </w:pict>
          </mc:Fallback>
        </mc:AlternateContent>
      </w:r>
    </w:p>
    <w:p w:rsidR="00500724" w:rsidRDefault="00F30FB8">
      <w:pPr>
        <w:pStyle w:val="Zkladntext100"/>
        <w:shd w:val="clear" w:color="auto" w:fill="auto"/>
      </w:pPr>
      <w:r>
        <w:t>Nemyslím však, že k ternu je třeba zavádět nově metody a vzory. Držet se osvědčené tradice ve výchově, nelámat cha</w:t>
      </w:r>
      <w:r>
        <w:softHyphen/>
        <w:t>raktery, nekřivit se, ale zůstat v tom</w:t>
      </w:r>
      <w:r>
        <w:t xml:space="preserve"> dobrém rozumně sví, nám může získat a udržet úctu jiných i samých </w:t>
      </w:r>
      <w:r>
        <w:rPr>
          <w:b/>
          <w:bCs/>
        </w:rPr>
        <w:t xml:space="preserve">k </w:t>
      </w:r>
      <w:r>
        <w:t>sobě. Lásku přec od nás nikdo nežádá, může stačit aspoň přesvědčení, že daného slova nerušíme.</w:t>
      </w:r>
    </w:p>
    <w:p w:rsidR="00500724" w:rsidRDefault="00F30FB8">
      <w:pPr>
        <w:pStyle w:val="Zkladntext100"/>
        <w:shd w:val="clear" w:color="auto" w:fill="auto"/>
      </w:pPr>
      <w:r>
        <w:t xml:space="preserve">Vidíte, my drobni lidé jsme stále optimisty, neboť nás </w:t>
      </w:r>
      <w:r>
        <w:rPr>
          <w:lang w:val="en-US" w:eastAsia="en-US" w:bidi="en-US"/>
        </w:rPr>
        <w:t xml:space="preserve">sill </w:t>
      </w:r>
      <w:r>
        <w:t>víra. že s námi žije duch národa</w:t>
      </w:r>
      <w:r>
        <w:t xml:space="preserve">, tvořený postavami, počínaje pohanskou kněžnou Libuší, sv. Václavem, Husem i Zižkou, Komenským, Chelčickým, Dobrovským, Havlíčkem, Palackým </w:t>
      </w:r>
      <w:r>
        <w:rPr>
          <w:b/>
          <w:bCs/>
        </w:rPr>
        <w:t xml:space="preserve">i </w:t>
      </w:r>
      <w:r>
        <w:t xml:space="preserve">Nerudou, ale ovšem samozřejmě také Masarykem. </w:t>
      </w:r>
      <w:r>
        <w:rPr>
          <w:i/>
          <w:iCs/>
        </w:rPr>
        <w:t>Ze</w:t>
      </w:r>
      <w:r>
        <w:t xml:space="preserve"> ještě nepočítáme s kdesjakým vládcem večerníku nebo i deníku nen</w:t>
      </w:r>
      <w:r>
        <w:t>i zatim národu na škodu. Vidíte, pane Medku, my všední lidé nezůstaneme trvale škarohlidy.</w:t>
      </w:r>
    </w:p>
    <w:p w:rsidR="00500724" w:rsidRDefault="00F30FB8">
      <w:pPr>
        <w:pStyle w:val="Zkladntext100"/>
        <w:shd w:val="clear" w:color="auto" w:fill="auto"/>
      </w:pPr>
      <w:r>
        <w:t>Ponechme lidem tolik času, kolik je třeba aspoň, řekněme na skorozlomeninu vazu a zhroucení duše s komplikacemi a oni se vyléčí. Není třeba pro poťouchlý skutek něja</w:t>
      </w:r>
      <w:r>
        <w:t xml:space="preserve">kého anonyma, odvozovat poruchu mysli našeho lidu. Vždyť slyšíme </w:t>
      </w:r>
      <w:r>
        <w:rPr>
          <w:b/>
          <w:bCs/>
        </w:rPr>
        <w:t xml:space="preserve">i </w:t>
      </w:r>
      <w:r>
        <w:t>v dnešních časech z odpovědných úst, že náš lid je střízlivý, rozvážný, pln životního optimismu, schopný, pracovitý, s tako</w:t>
      </w:r>
      <w:r>
        <w:softHyphen/>
        <w:t>vým můžeme atd. Básníkovou povinností by bylo, když ho pro</w:t>
      </w:r>
      <w:r>
        <w:softHyphen/>
        <w:t>zřetel</w:t>
      </w:r>
      <w:r>
        <w:t>nost k tomu vyzbrojila, jít mezi ten náš lid, kde ještě ně</w:t>
      </w:r>
      <w:r>
        <w:softHyphen/>
        <w:t>kdo tápe, a slovem mluveným i psaným poučit, vysvětlit, otcovsky poradit, se srdcem teplým a hlavou chladnou, snáše</w:t>
      </w:r>
      <w:r>
        <w:softHyphen/>
        <w:t>livě. Tomu náš lid porozumí a na to má konečně jako kulturní národ právo. Vždyť t</w:t>
      </w:r>
      <w:r>
        <w:t xml:space="preserve">ěch rozporů v nazírání na situaci, vlastně při dobré vůli ani není, </w:t>
      </w:r>
      <w:r>
        <w:rPr>
          <w:i/>
          <w:iCs/>
        </w:rPr>
        <w:t>a</w:t>
      </w:r>
      <w:r>
        <w:t xml:space="preserve"> není také třeba žádnou složku ha</w:t>
      </w:r>
      <w:r>
        <w:softHyphen/>
        <w:t>zardně z národa vylučovat! Při naší početnosti! Vždyť i v armádě se výchova provádí apelem nejen na kázeň, ale i na rozum a cit, lásku k idei, kterou nám</w:t>
      </w:r>
      <w:r>
        <w:t xml:space="preserve"> je svoboda vlasti. A za</w:t>
      </w:r>
      <w:r>
        <w:softHyphen/>
        <w:t>plať Bůh, s armádou, s panem ministrem armádním generá</w:t>
      </w:r>
      <w:r>
        <w:softHyphen/>
        <w:t>lem Syrovým v čele, je národ jistě spokojen. Opak je jen fan</w:t>
      </w:r>
      <w:r>
        <w:softHyphen/>
        <w:t>tasie nebo zlomyslnost. Vidíme tedy, že náš lid chápe těžkou práci vlády a jejího předsedy.</w:t>
      </w:r>
    </w:p>
    <w:p w:rsidR="00500724" w:rsidRDefault="00F30FB8">
      <w:pPr>
        <w:pStyle w:val="Zkladntext100"/>
        <w:shd w:val="clear" w:color="auto" w:fill="auto"/>
      </w:pPr>
      <w:r>
        <w:t>Tuto naši mentalitu zna</w:t>
      </w:r>
      <w:r>
        <w:t xml:space="preserve">jí i Němci nacionální socialisté, jak vidno z dopisu jednoho z nich z Brna v stejném čísle »Přitom- nosti*. Nás nyní zajímají předně věci hospodářské, sociální a kulturní. Sledujeme jejich řešení kruhy vládními i mimovlád- ními, a těšili bychom se z toho, </w:t>
      </w:r>
      <w:r>
        <w:t>aby se u nás ujala tradice spolupráce bez násilného usměrňování. Buďme tedy všichni trochu realisty a nepíchejme dále špendlíčkem.</w:t>
      </w:r>
    </w:p>
    <w:p w:rsidR="00500724" w:rsidRDefault="00F30FB8">
      <w:pPr>
        <w:pStyle w:val="Zkladntext100"/>
        <w:shd w:val="clear" w:color="auto" w:fill="auto"/>
        <w:ind w:firstLine="200"/>
      </w:pPr>
      <w:r>
        <w:t>Nedělám si naději, že těchto trochu mnoho a neumělých ale zato procítěných řádků bude dostatečnou odpovědí na ža</w:t>
      </w:r>
      <w:r>
        <w:softHyphen/>
        <w:t xml:space="preserve">loby pana </w:t>
      </w:r>
      <w:r>
        <w:t>generála Medka. Domnívám se však právem, že tak</w:t>
      </w:r>
      <w:r>
        <w:softHyphen/>
        <w:t>to cítíme svou věc my drobní lidé.</w:t>
      </w:r>
    </w:p>
    <w:p w:rsidR="00500724" w:rsidRDefault="00F30FB8">
      <w:pPr>
        <w:pStyle w:val="Zkladntext100"/>
        <w:shd w:val="clear" w:color="auto" w:fill="auto"/>
        <w:tabs>
          <w:tab w:val="left" w:pos="4600"/>
        </w:tabs>
        <w:spacing w:after="120"/>
      </w:pPr>
      <w:r>
        <w:t>V dokonalé úctě</w:t>
      </w:r>
      <w:r>
        <w:tab/>
      </w:r>
      <w:r>
        <w:rPr>
          <w:b/>
          <w:bCs/>
        </w:rPr>
        <w:t>j y,</w:t>
      </w:r>
    </w:p>
    <w:p w:rsidR="00500724" w:rsidRDefault="00F30FB8">
      <w:pPr>
        <w:pStyle w:val="Zkladntext100"/>
        <w:shd w:val="clear" w:color="auto" w:fill="auto"/>
        <w:spacing w:line="262" w:lineRule="auto"/>
        <w:ind w:left="860" w:right="1640" w:firstLine="840"/>
        <w:jc w:val="left"/>
      </w:pPr>
      <w:r>
        <w:rPr>
          <w:b/>
          <w:bCs/>
        </w:rPr>
        <w:t xml:space="preserve">Páté a šesté pásmo </w:t>
      </w:r>
      <w:r>
        <w:t>Vážený pane redaktore,</w:t>
      </w:r>
    </w:p>
    <w:p w:rsidR="00500724" w:rsidRDefault="00F30FB8">
      <w:pPr>
        <w:pStyle w:val="Zkladntext100"/>
        <w:shd w:val="clear" w:color="auto" w:fill="auto"/>
        <w:spacing w:line="173" w:lineRule="auto"/>
        <w:ind w:firstLine="0"/>
      </w:pPr>
      <w:r>
        <w:t xml:space="preserve">p. generál Medek napsal ve svém dopise také tyto dvě věty: »Tyto j. podobné řeči vynesly nám páté a šesté </w:t>
      </w:r>
      <w:r>
        <w:t>pásmo, jichž by snad před tím nebylo.« Vy sám k tomu jste poznamenal: sNevím přesně, zda, jak píšete, takové a podobné řeči nám vynesly páté a šesté pásmo, ale vím dosti přesně, že by nám mohly vynésti nyní mnoho zlého a tragického.*</w:t>
      </w:r>
    </w:p>
    <w:p w:rsidR="00500724" w:rsidRDefault="00F30FB8">
      <w:pPr>
        <w:pStyle w:val="Zkladntext100"/>
        <w:shd w:val="clear" w:color="auto" w:fill="auto"/>
        <w:spacing w:line="170" w:lineRule="auto"/>
      </w:pPr>
      <w:r>
        <w:t>Nejsme ještě tak dalek</w:t>
      </w:r>
      <w:r>
        <w:t>o od událostí podzimních, abychom mohli klidně přijímati vznik takovýchto legend a abychom dovolovali sváděti vinu za stanovení hranic na lid, který nutně musel ztratiti orientaci v dobách tak pohnutých.</w:t>
      </w:r>
    </w:p>
    <w:p w:rsidR="00500724" w:rsidRDefault="00F30FB8">
      <w:pPr>
        <w:pStyle w:val="Zkladntext100"/>
        <w:shd w:val="clear" w:color="auto" w:fill="auto"/>
        <w:spacing w:line="170" w:lineRule="auto"/>
      </w:pPr>
      <w:r>
        <w:t>Mnichovská dohoda ustanovila v článku čtvrtém: ^Post</w:t>
      </w:r>
      <w:r>
        <w:t xml:space="preserve">upná okupace německým vojskem převážně německého území začne 1. října. Čtyři pásma, označená na přiložené mapě, budou obsazována německým vojskem v následujícím pořadí: pásmo </w:t>
      </w:r>
      <w:r>
        <w:rPr>
          <w:b/>
          <w:bCs/>
        </w:rPr>
        <w:t xml:space="preserve">I. </w:t>
      </w:r>
      <w:r>
        <w:t xml:space="preserve">—1. a 2. října, č. II. — 2. a 3. října, č. III. — 3., 4. a 5. října, ě- IV. — </w:t>
      </w:r>
      <w:r>
        <w:t xml:space="preserve">,6. a </w:t>
      </w:r>
      <w:r>
        <w:rPr>
          <w:i/>
          <w:iCs/>
        </w:rPr>
        <w:t>7. října.</w:t>
      </w:r>
      <w:r>
        <w:t xml:space="preserve"> Zbývající převážně německé území bude ihned zjištěno mezinárodní komisí a bude obsazeno německým vojskem do 10. října.*</w:t>
      </w:r>
    </w:p>
    <w:p w:rsidR="00500724" w:rsidRDefault="00F30FB8">
      <w:pPr>
        <w:pStyle w:val="Zkladntext100"/>
        <w:shd w:val="clear" w:color="auto" w:fill="auto"/>
        <w:spacing w:line="170" w:lineRule="auto"/>
      </w:pPr>
      <w:r>
        <w:t>Mezinárodní komise začala se raditi o tomto ^zbývajícím převážně německém území*, to jest o t. zv. pátém pásmu dne 3. ří</w:t>
      </w:r>
      <w:r>
        <w:t>jna, ale německá vojenská správa vypracovala si svůj vlastní návrh hranic pátého pásma a předložila jej česko</w:t>
      </w:r>
      <w:r>
        <w:softHyphen/>
        <w:t>slovenské vládě k přijetí nebo zamítnutí. Český národ byl v prvních dnech říjnových tak zdrcen katastrofou, že sotva mohl bájit o změnách, které p</w:t>
      </w:r>
      <w:r>
        <w:t>řijdou, a německé vojenské vedení sotva asi bylo začátkem října takového založení, aby se ve svých rozhodováních dalo vésti tím, co si český lid tehdy mezi sebou povídal.</w:t>
      </w:r>
    </w:p>
    <w:p w:rsidR="00500724" w:rsidRDefault="00F30FB8">
      <w:pPr>
        <w:pStyle w:val="Zkladntext100"/>
        <w:shd w:val="clear" w:color="auto" w:fill="auto"/>
        <w:spacing w:line="175" w:lineRule="auto"/>
      </w:pPr>
      <w:r>
        <w:t xml:space="preserve">Po stanovení linie okupační (tak zvané hranice pátého pásma) měla mezinárodní komise </w:t>
      </w:r>
      <w:r>
        <w:t xml:space="preserve">ve smyslu </w:t>
      </w:r>
      <w:r>
        <w:rPr>
          <w:b/>
          <w:bCs/>
        </w:rPr>
        <w:t xml:space="preserve">6. </w:t>
      </w:r>
      <w:r>
        <w:t>článku mni</w:t>
      </w:r>
      <w:r>
        <w:softHyphen/>
        <w:t xml:space="preserve">chovské dohody, provésti konečně určení hranic. Ponechala je velmi ráda přímému jednání mezi delimitaění komisí českou </w:t>
      </w:r>
      <w:r>
        <w:rPr>
          <w:b/>
          <w:bCs/>
        </w:rPr>
        <w:t xml:space="preserve">a </w:t>
      </w:r>
      <w:r>
        <w:t>německou. Velmi dlouho trvalo, než komise německá byla hotova se svým návrhem konečné hranice. Ohlašoval se za</w:t>
      </w:r>
      <w:r>
        <w:softHyphen/>
      </w:r>
      <w:r>
        <w:t>čátek jednání, hned se zase odkládal, ohlašovalo se hned jednání toliko mezi předsedy komisí, hned zase jednání v komisi. Nebylo těžko uhodnout příčinu těchto průtahů. Mezi sudet</w:t>
      </w:r>
      <w:r>
        <w:softHyphen/>
        <w:t>skými Němci byly proudy, které chtěly uskutečnit nejradikál</w:t>
      </w:r>
      <w:r>
        <w:softHyphen/>
        <w:t>nější program vše</w:t>
      </w:r>
      <w:r>
        <w:t>německý z doby předválečné. Z jejich středu přicházela memoranda, žádající na příklad pro Německo Olomouc s celým pozadím a dokazující, že tím bude annekto- váno »jenom« 180.000 Čechů. Zadalo se Brno, Moravská Ostrava atd. S tímto němeeko-su’.etským radika</w:t>
      </w:r>
      <w:r>
        <w:t>lismem, do</w:t>
      </w:r>
      <w:r>
        <w:softHyphen/>
        <w:t xml:space="preserve">máhajícím se připojení kdejaké německé menšiny, kdejaké obce, která kdysi bývala německá, kdejakého ostrovu </w:t>
      </w:r>
      <w:r>
        <w:rPr>
          <w:b/>
          <w:bCs/>
        </w:rPr>
        <w:t xml:space="preserve">a </w:t>
      </w:r>
      <w:r>
        <w:t xml:space="preserve">ostrůvku a snažícím se zúžiti české území (zejména na Moravě) co nejvíce, musela zápasiti berlínská místa, jestliže chtěla aspoň nějak </w:t>
      </w:r>
      <w:r>
        <w:t>zachovat ducha mnichovské dohody. Výsledek tohoto vnitřního zápasu umírněnějších berlínských míst s ra</w:t>
      </w:r>
      <w:r>
        <w:softHyphen/>
        <w:t>dikalismem byla linie, která byla v polovině listopadu opět předložena česko-slovenské vládě nikoli k jednání, nýbrž k při? jetí. Teprve, když česko-slov</w:t>
      </w:r>
      <w:r>
        <w:t>enská vláda — nemajíc jiné cesty před sebou, neboť co jí byla platna mezinárodní komise? — ji přijala, ale zároveň požádala německou vládu, aby znovu uvážila svůj návrh a zmírnila jej, vyšlo Německo této žádosti vstříc a vyslechlo po prvé přání české komis</w:t>
      </w:r>
      <w:r>
        <w:t>e, na to samó zrevidovalo svůj vlastní návrh hraniční čáry a vrátilo něcd přes padesát českých obci asi s 23.000 obyvatel. Tak vzniklo šesté pásmo. Jeho hranice jsou výsledkem vnitřního jednání v německé komisi a výsledkem jistého vstříc vyjití žádosti čes</w:t>
      </w:r>
      <w:r>
        <w:t>koslovenské vlády. Jakou roli tu mohly míti »pitomé řeči*; českého lidu?</w:t>
      </w:r>
    </w:p>
    <w:p w:rsidR="00500724" w:rsidRDefault="00F30FB8">
      <w:pPr>
        <w:pStyle w:val="Zkladntext100"/>
        <w:shd w:val="clear" w:color="auto" w:fill="auto"/>
        <w:spacing w:line="175" w:lineRule="auto"/>
        <w:ind w:firstLine="300"/>
      </w:pPr>
      <w:r>
        <w:t>Ozývám-li se zde proti p. generálu Medkovi (do určité míry také proti Vám, pane redaktore), činím tak v zájmii historické pravdy. Tím nechci zlehčovati nikterak Váš boji proti politic</w:t>
      </w:r>
      <w:r>
        <w:t xml:space="preserve">kému primitivismu a naivitě. Jen prosím, abyste Vy sami neupadali zase do druhého extrému. Němci nejsou tak sentimentální, aby je dojímaly naše lidové nálady. Jsoij tolik realističtí, aby věděli, že smýšlení lidu se nemění přes noc, ba nemají ani důvěru k </w:t>
      </w:r>
      <w:r>
        <w:t>takovým přeměnám. Znají vša« moc tisku, a proto velký oozor si dávají na náš tisk a ovšein na činy i slova vlády a lidí odpovědných. I to si uvědomují* že zaryté protiněmecké nálady v našem lidu vlastně nikdy nebylo. A nežádají také, abychom najednou jim p</w:t>
      </w:r>
      <w:r>
        <w:t xml:space="preserve">rokazovali kdovíjaké city oddanosti. Nepřejí si jich, neboť jim nevěří*, Jim imponují víc lidé přímí a sebevědomí, než ti, kdo se hrbí a bojí špetnout. A Němci ani nechtějí, abychom měli </w:t>
      </w:r>
      <w:r>
        <w:rPr>
          <w:b/>
          <w:bCs/>
        </w:rPr>
        <w:t xml:space="preserve">pocit* </w:t>
      </w:r>
      <w:r>
        <w:t>že se s námi mazlili. Jim stačí, když si uvědomíme svoje polo*</w:t>
      </w:r>
      <w:r>
        <w:t xml:space="preserve"> žení v ^německém životním prostoru*, když nic nebudeme </w:t>
      </w:r>
      <w:r>
        <w:rPr>
          <w:b/>
          <w:bCs/>
        </w:rPr>
        <w:t xml:space="preserve">pod? </w:t>
      </w:r>
      <w:r>
        <w:t>nikat proti jejich zájmům a budeme konat to, co konat mu* símě, poznavše toho nezbytnost, Jsou nesentimentální, a stojí, na stanovisku, že slabý musí se podřidit silnému. Až přijdou k poznání, že</w:t>
      </w:r>
      <w:r>
        <w:t xml:space="preserve"> silný má mravní povinnost vyjiti vstříc </w:t>
      </w:r>
      <w:r>
        <w:rPr>
          <w:b/>
          <w:bCs/>
        </w:rPr>
        <w:t xml:space="preserve">sla- </w:t>
      </w:r>
      <w:r>
        <w:t>bému, pozdvihnout ho a podepřít, být k němu ohledný a sprá« vedlivý, nastane doba vnitřního vyrovnání češství s němectvím*</w:t>
      </w:r>
    </w:p>
    <w:p w:rsidR="00500724" w:rsidRDefault="00F30FB8">
      <w:pPr>
        <w:pStyle w:val="Zkladntext100"/>
        <w:shd w:val="clear" w:color="auto" w:fill="auto"/>
        <w:spacing w:after="160" w:line="175" w:lineRule="auto"/>
        <w:ind w:firstLine="300"/>
      </w:pPr>
      <w:r>
        <w:t>Jest nutno ovšem vésti český lid k reálnému a realistic</w:t>
      </w:r>
      <w:r>
        <w:softHyphen/>
        <w:t>kému chápání situace, ale nesmí</w:t>
      </w:r>
      <w:r>
        <w:t xml:space="preserve">me dopouštět!, aby se, jeho šíje při tom hrbila. Neboť shrbené šíje a pokřivené páteře, </w:t>
      </w:r>
      <w:r>
        <w:rPr>
          <w:b/>
          <w:bCs/>
        </w:rPr>
        <w:t xml:space="preserve">to </w:t>
      </w:r>
      <w:r>
        <w:t>je dnes největší nebezpečí, které nám hrozí, větší nebezpečí než jsou tlachy, které pan generál Medek poslouchal na ven* kovském plese, a větší než jsou hrubosti, kt</w:t>
      </w:r>
      <w:r>
        <w:t>eré Vám píší lidé* chodící v oblacích a beroucí své iluse za skutečnost.</w:t>
      </w:r>
    </w:p>
    <w:p w:rsidR="00500724" w:rsidRDefault="00F30FB8">
      <w:pPr>
        <w:pStyle w:val="Zkladntext20"/>
        <w:shd w:val="clear" w:color="auto" w:fill="auto"/>
        <w:spacing w:line="240" w:lineRule="auto"/>
        <w:ind w:left="2620" w:firstLine="40"/>
        <w:jc w:val="left"/>
        <w:rPr>
          <w:sz w:val="20"/>
          <w:szCs w:val="20"/>
        </w:rPr>
      </w:pPr>
      <w:r>
        <w:rPr>
          <w:b/>
          <w:bCs/>
          <w:i/>
          <w:iCs/>
          <w:sz w:val="20"/>
          <w:szCs w:val="20"/>
        </w:rPr>
        <w:t>Ant. BohdQ</w:t>
      </w:r>
    </w:p>
    <w:p w:rsidR="00500724" w:rsidRDefault="00F30FB8">
      <w:pPr>
        <w:pStyle w:val="Zkladntext100"/>
        <w:shd w:val="clear" w:color="auto" w:fill="auto"/>
        <w:spacing w:line="240" w:lineRule="auto"/>
        <w:ind w:firstLine="0"/>
        <w:jc w:val="center"/>
        <w:rPr>
          <w:sz w:val="19"/>
          <w:szCs w:val="19"/>
        </w:rPr>
      </w:pPr>
      <w:r>
        <w:rPr>
          <w:b/>
          <w:bCs/>
          <w:sz w:val="19"/>
          <w:szCs w:val="19"/>
        </w:rPr>
        <w:t>Otcové a děti</w:t>
      </w:r>
    </w:p>
    <w:p w:rsidR="00500724" w:rsidRDefault="00F30FB8">
      <w:pPr>
        <w:pStyle w:val="Zkladntext100"/>
        <w:shd w:val="clear" w:color="auto" w:fill="auto"/>
        <w:spacing w:after="80" w:line="240" w:lineRule="auto"/>
        <w:ind w:left="2620" w:firstLine="40"/>
        <w:jc w:val="left"/>
      </w:pPr>
      <w:r>
        <w:rPr>
          <w:b/>
          <w:bCs/>
        </w:rPr>
        <w:t>Mor. Ostrava 6. února 1939</w:t>
      </w:r>
    </w:p>
    <w:p w:rsidR="00500724" w:rsidRDefault="00F30FB8">
      <w:pPr>
        <w:pStyle w:val="Zkladntext100"/>
        <w:shd w:val="clear" w:color="auto" w:fill="auto"/>
        <w:spacing w:after="60" w:line="178" w:lineRule="auto"/>
        <w:ind w:left="1060" w:firstLine="0"/>
        <w:jc w:val="left"/>
      </w:pPr>
      <w:r>
        <w:t>Vážený pane redaktore,</w:t>
      </w:r>
    </w:p>
    <w:p w:rsidR="00500724" w:rsidRDefault="00F30FB8">
      <w:pPr>
        <w:pStyle w:val="Zkladntext100"/>
        <w:shd w:val="clear" w:color="auto" w:fill="auto"/>
        <w:spacing w:line="178" w:lineRule="auto"/>
        <w:ind w:firstLine="0"/>
      </w:pPr>
      <w:r>
        <w:t xml:space="preserve">dovoluji si Vám zaslat skromný projev do Vaši »PřItomnosti«* ačkoliv jsem o něj nebyl žádán. Leč znaje </w:t>
      </w:r>
      <w:r>
        <w:t>tendenci Vaší poli</w:t>
      </w:r>
      <w:r>
        <w:softHyphen/>
        <w:t>tické revue, vím, že lze otevřenými slovy promluvit o tomto palčivém problému, jenž se ať zdánlivě, ěi skutečně, ocitá opět na mrtvém bodě. Byla-li v mnohých časopisech dána příleži</w:t>
      </w:r>
      <w:r>
        <w:softHyphen/>
        <w:t>tost mladé a zejména starší generaci, aby promluvila, o</w:t>
      </w:r>
      <w:r>
        <w:t xml:space="preserve"> svých generačních strastech, zajisté dovolíte, aby, se i u Vás ozvalo ono konstruktivní mládí, jež nedočkavě čeká na své uplatnění při rekonstrukci republiky. Doba je sice nabita mnohými </w:t>
      </w:r>
      <w:r>
        <w:rPr>
          <w:b/>
          <w:bCs/>
        </w:rPr>
        <w:t>ra</w:t>
      </w:r>
      <w:r>
        <w:rPr>
          <w:b/>
          <w:bCs/>
        </w:rPr>
        <w:softHyphen/>
      </w:r>
      <w:r>
        <w:t>dami našich otců, jak bohabojně a skromně máme kráčet je* jich šl</w:t>
      </w:r>
      <w:r>
        <w:t>épějemi, jak jejich životní zkušenosti mají být našimi vodítky a jak prý horečně tato doba čeká na naši mužnou ge</w:t>
      </w:r>
      <w:r>
        <w:softHyphen/>
        <w:t xml:space="preserve">neraci, která nemá prý podílu na státni kapitulaci. Ale, chyhá lávky! Třebas jest naší synovskou povinností mluvit o otcích uctivě, přece jen </w:t>
      </w:r>
      <w:r>
        <w:t>prominou tito ctihodní mužové, že my, jejich synové, se odvažujeme říci jim ve zdvořilé formě několik vět* jež bouří našimi rozháranými, mladistvými a nezkušenými nitry.</w:t>
      </w:r>
    </w:p>
    <w:p w:rsidR="00500724" w:rsidRDefault="00F30FB8">
      <w:pPr>
        <w:pStyle w:val="Zkladntext100"/>
        <w:shd w:val="clear" w:color="auto" w:fill="auto"/>
        <w:spacing w:line="178" w:lineRule="auto"/>
        <w:ind w:firstLine="300"/>
      </w:pPr>
      <w:r>
        <w:t xml:space="preserve">Budování druhé republiky bude totiž záležitostí především* ba výhradně naši, a to nás </w:t>
      </w:r>
      <w:r>
        <w:t>činí dnes tak trochu důležitými, ne</w:t>
      </w:r>
      <w:r>
        <w:softHyphen/>
        <w:t xml:space="preserve">boť budování bude buď naší záchranou nebo naší smrtí. </w:t>
      </w:r>
      <w:r>
        <w:rPr>
          <w:b/>
          <w:bCs/>
        </w:rPr>
        <w:t xml:space="preserve">A </w:t>
      </w:r>
      <w:r>
        <w:t>proto chceme mluvit a rozhodovat o plánech tohoto budovaní společně s vámi, tátové.</w:t>
      </w:r>
    </w:p>
    <w:p w:rsidR="00500724" w:rsidRDefault="00F30FB8">
      <w:pPr>
        <w:pStyle w:val="Zkladntext100"/>
        <w:shd w:val="clear" w:color="auto" w:fill="auto"/>
        <w:spacing w:line="178" w:lineRule="auto"/>
        <w:ind w:firstLine="300"/>
      </w:pPr>
      <w:r>
        <w:t>Nejsme jako upřímní demokraté ve všem obdivovateli autoritativních režimů, ač je</w:t>
      </w:r>
      <w:r>
        <w:t>jich některé úspěchy jsou příliš pronikavé, abychom o nich neuvažovali. Jejich, hybnost, pruž</w:t>
      </w:r>
      <w:r>
        <w:softHyphen/>
        <w:t>nost, rozhodnost, průbojnost a výbojnost nazýváme dynami</w:t>
      </w:r>
      <w:r>
        <w:softHyphen/>
        <w:t>kou. Leč dynamika autoritativních režimů jest vlastně fakto-</w:t>
      </w:r>
      <w:r>
        <w:br w:type="page"/>
      </w:r>
      <w:r>
        <w:rPr>
          <w:lang w:val="en-US" w:eastAsia="en-US" w:bidi="en-US"/>
        </w:rPr>
        <w:t xml:space="preserve">rem </w:t>
      </w:r>
      <w:r>
        <w:t>mládí, které jest ponejvíce hybnou pákou</w:t>
      </w:r>
      <w:r>
        <w:t xml:space="preserve"> jejich úspěchů, dosažených ovšem často s notnou dávkou riskantnosti. Vzpo</w:t>
      </w:r>
      <w:r>
        <w:softHyphen/>
        <w:t>meňte si jen, že vůdcové a podvůdcové v autoritativních řeži- mech téměř nikdy nedosahují v začátcích své kariéry čtyři</w:t>
      </w:r>
      <w:r>
        <w:softHyphen/>
        <w:t xml:space="preserve">ceti </w:t>
      </w:r>
      <w:r>
        <w:rPr>
          <w:lang w:val="en-US" w:eastAsia="en-US" w:bidi="en-US"/>
        </w:rPr>
        <w:t xml:space="preserve">let. </w:t>
      </w:r>
      <w:r>
        <w:t xml:space="preserve">V německém říšském sněmu, který zasedal 30. ledna, </w:t>
      </w:r>
      <w:r>
        <w:t xml:space="preserve">bylo 28 poslanců, kteří nedosáhli ještě ani třiceti let, nejmladší </w:t>
      </w:r>
      <w:r>
        <w:rPr>
          <w:b/>
          <w:bCs/>
        </w:rPr>
        <w:t xml:space="preserve">z </w:t>
      </w:r>
      <w:r>
        <w:t>nich měl teprve 26 let. Ba i to naše autonomní Slovensko vyslalo do ústřední vlády za náměstka předsedy vlády te</w:t>
      </w:r>
      <w:r>
        <w:softHyphen/>
        <w:t>prve 371etého Sidora, jehož vliv a význam na Slovensku denně roste. Je zaj</w:t>
      </w:r>
      <w:r>
        <w:t xml:space="preserve">ímavo, co 27. ledna řekl pražským novinářům: »Česko-slovenský poměr je poměr mladých Čechů k mladým Slovákům a to je otázka budoucnosti. Mladí Slováci uplatňuji </w:t>
      </w:r>
      <w:r>
        <w:rPr>
          <w:i/>
          <w:iCs/>
        </w:rPr>
        <w:t>89</w:t>
      </w:r>
      <w:r>
        <w:t xml:space="preserve"> již v politice, ve vědě i v umění. Profil mladých Čechů </w:t>
      </w:r>
      <w:r>
        <w:rPr>
          <w:b/>
          <w:bCs/>
        </w:rPr>
        <w:t xml:space="preserve">y </w:t>
      </w:r>
      <w:r>
        <w:t>politice ještě nevidět.« Jak ovšem</w:t>
      </w:r>
      <w:r>
        <w:t xml:space="preserve"> má se prakticky, tento poměr mezi oběma národy zlepšovat, když mladí Slováci na České straně nemají ještě partnerů, kdyžtě veřejný život Český je namnoze ještě v rukou našich otců!</w:t>
      </w:r>
    </w:p>
    <w:p w:rsidR="00500724" w:rsidRDefault="00F30FB8">
      <w:pPr>
        <w:pStyle w:val="Zkladntext100"/>
        <w:shd w:val="clear" w:color="auto" w:fill="auto"/>
        <w:spacing w:line="175" w:lineRule="auto"/>
        <w:ind w:firstLine="380"/>
      </w:pPr>
      <w:r>
        <w:t xml:space="preserve">Nedávno napsal Ant. Srba v »Narodni praci« v souvislosti </w:t>
      </w:r>
      <w:r>
        <w:rPr>
          <w:b/>
          <w:bCs/>
          <w:sz w:val="19"/>
          <w:szCs w:val="19"/>
        </w:rPr>
        <w:t xml:space="preserve">á </w:t>
      </w:r>
      <w:r>
        <w:t>tímto problémem</w:t>
      </w:r>
      <w:r>
        <w:t>: »Mladí lidé pracují rádi, ale přeji si. aby jim byl dán určitý pracovní úkol a aby byli vedeni osob</w:t>
      </w:r>
      <w:r>
        <w:softHyphen/>
        <w:t>nostmi, jichž by si vážili.* A dále ve spojitosti s naší národní katastrofou říká o své generaci: »Právě tito staří a zkušení žabránili výbuchům zoufalstv</w:t>
      </w:r>
      <w:r>
        <w:t>í a rozvratu v zázemí a umožnili morálně 1 ukázněný ústup vojenský.« Drazí tátové! O té vaší Žásluze v době naši velké tragedie řekněme si, že onen ukázně</w:t>
      </w:r>
      <w:r>
        <w:softHyphen/>
      </w:r>
      <w:r>
        <w:rPr>
          <w:b/>
          <w:bCs/>
          <w:sz w:val="19"/>
          <w:szCs w:val="19"/>
        </w:rPr>
        <w:t xml:space="preserve">ný </w:t>
      </w:r>
      <w:r>
        <w:t>ústup je zrovna největší pýchou nás nejvýše 401etých vo</w:t>
      </w:r>
      <w:r>
        <w:softHyphen/>
        <w:t>jáků, kteří ve svém poctivém odhodlání a s</w:t>
      </w:r>
      <w:r>
        <w:t xml:space="preserve">vé disciplinovanosti Strhli celý národ v zázemí k vypětí všech jeho národních sil. Statečnost této generace 23. září to byla, která přemohla ony yýbuchy zoufalství v zázemí. Neberte naší neporažené armádě zásluhu, která vám nepatří. Nechytejte se stébla a </w:t>
      </w:r>
      <w:r>
        <w:t>přiznejte nám naše skutečné přednosti. My totiž ve svých letech máme také již své životní zkušenosti.</w:t>
      </w:r>
    </w:p>
    <w:p w:rsidR="00500724" w:rsidRDefault="00F30FB8">
      <w:pPr>
        <w:pStyle w:val="Zkladntext100"/>
        <w:shd w:val="clear" w:color="auto" w:fill="auto"/>
        <w:spacing w:line="178" w:lineRule="auto"/>
        <w:ind w:firstLine="380"/>
      </w:pPr>
      <w:r>
        <w:t>Generace od čtyřiceti do padesáti let byla prý většinou za Yálky pobita a následky válečnými je zbytek této generace</w:t>
      </w:r>
    </w:p>
    <w:p w:rsidR="00500724" w:rsidRDefault="00F30FB8">
      <w:pPr>
        <w:pStyle w:val="Zkladntext100"/>
        <w:framePr w:dropCap="drop" w:lines="3" w:wrap="auto" w:vAnchor="text" w:hAnchor="text"/>
        <w:shd w:val="clear" w:color="auto" w:fill="auto"/>
        <w:spacing w:line="287" w:lineRule="exact"/>
        <w:ind w:firstLine="0"/>
      </w:pPr>
      <w:r>
        <w:rPr>
          <w:rFonts w:ascii="Arial" w:eastAsia="Arial" w:hAnsi="Arial" w:cs="Arial"/>
          <w:position w:val="-6"/>
          <w:sz w:val="34"/>
          <w:szCs w:val="34"/>
        </w:rPr>
        <w:t>Í</w:t>
      </w:r>
    </w:p>
    <w:p w:rsidR="00500724" w:rsidRDefault="00F30FB8">
      <w:pPr>
        <w:pStyle w:val="Zkladntext100"/>
        <w:shd w:val="clear" w:color="auto" w:fill="auto"/>
        <w:spacing w:line="178" w:lineRule="auto"/>
        <w:ind w:firstLine="0"/>
      </w:pPr>
      <w:r>
        <w:t xml:space="preserve">ychle decimován a pomalu mizí. Zde </w:t>
      </w:r>
      <w:r>
        <w:t>je právě příležitost k omu, aby nastoupila generace poválečná, třebas bez velkých Zkušeností a vědomostí o starém Rakousku. Dnes je však třeba fníti více kontinuitu s budoucností, než s minulostí. Budouc</w:t>
      </w:r>
      <w:r>
        <w:softHyphen/>
        <w:t>nost budeme prožívat bezprostředněji a podrobněji, t</w:t>
      </w:r>
      <w:r>
        <w:t>akřka mikroskopicky, detaily minulosti nás nepoutají, leda její vý</w:t>
      </w:r>
      <w:r>
        <w:softHyphen/>
        <w:t>strahy a poučení.</w:t>
      </w:r>
    </w:p>
    <w:p w:rsidR="00500724" w:rsidRDefault="00F30FB8">
      <w:pPr>
        <w:pStyle w:val="Zkladntext100"/>
        <w:shd w:val="clear" w:color="auto" w:fill="auto"/>
        <w:spacing w:line="178" w:lineRule="auto"/>
        <w:ind w:firstLine="160"/>
      </w:pPr>
      <w:r>
        <w:t xml:space="preserve">■ Opustit svá stará místa je lidsky těžké a pochopitelné. Známe přece pensionované strojvůdce, kteři denně se plíží kol tratí a s hodinkami v ruce kontrolují »své« vlaky, </w:t>
      </w:r>
      <w:r>
        <w:t>zda bez nich jezdí ještě ve svůj čas. Vědí dobře, že jejich nástupcové Již nikdy »jejich« strojům tak rozumět nebudou, jak jim rozuměli oni.</w:t>
      </w:r>
    </w:p>
    <w:p w:rsidR="00500724" w:rsidRDefault="00F30FB8">
      <w:pPr>
        <w:pStyle w:val="Zkladntext100"/>
        <w:shd w:val="clear" w:color="auto" w:fill="auto"/>
        <w:spacing w:line="178" w:lineRule="auto"/>
        <w:ind w:firstLine="380"/>
      </w:pPr>
      <w:r>
        <w:t>Má-li ovšem druhá republika svoji rekonvalenscenci již co možná nejdříve ukončit, potom je k tomu zajisté nezbytno,</w:t>
      </w:r>
      <w:r>
        <w:t xml:space="preserve"> aby hašla svoji duchovní rovnováhu. Pak můžeme započít teprve </w:t>
      </w:r>
      <w:r>
        <w:rPr>
          <w:b/>
          <w:bCs/>
        </w:rPr>
        <w:t xml:space="preserve">3 </w:t>
      </w:r>
      <w:r>
        <w:t>její plánovitou výstavbou. Konstruktivního ducha jí ovšem ínohou dodat patrně jen mladí, odhodlaní lidé, kteří touží po práci a jejichž vnitřním přáním je naplnit tímto konstruk</w:t>
      </w:r>
      <w:r>
        <w:softHyphen/>
        <w:t>tivním optimi</w:t>
      </w:r>
      <w:r>
        <w:t>smem celý náš život.</w:t>
      </w:r>
    </w:p>
    <w:p w:rsidR="00500724" w:rsidRDefault="00F30FB8">
      <w:pPr>
        <w:pStyle w:val="Zkladntext100"/>
        <w:shd w:val="clear" w:color="auto" w:fill="auto"/>
        <w:spacing w:line="178" w:lineRule="auto"/>
        <w:ind w:firstLine="380"/>
      </w:pPr>
      <w:r>
        <w:t>Ale oč ve skutečnosti jde u tohoto problému? Že totiž nebu- fleme míti nikdy iniciativu ve svých rukou, budou-li naši od</w:t>
      </w:r>
      <w:r>
        <w:softHyphen/>
        <w:t>půrcové nabiti dynamikou mládí. Jak těžce a téměř bezna</w:t>
      </w:r>
      <w:r>
        <w:softHyphen/>
        <w:t xml:space="preserve">dějně brání se ctihodný starý </w:t>
      </w:r>
      <w:r>
        <w:rPr>
          <w:lang w:val="en-US" w:eastAsia="en-US" w:bidi="en-US"/>
        </w:rPr>
        <w:t xml:space="preserve">Chamberlain </w:t>
      </w:r>
      <w:r>
        <w:t xml:space="preserve">svým dvěma </w:t>
      </w:r>
      <w:r>
        <w:t>mladším »dynamickým« kolegům z mnichovské konference. Není divu, že tak horoucně touži po míru, vždyť večer lid</w:t>
      </w:r>
      <w:r>
        <w:softHyphen/>
        <w:t>ského života každý chce ztrávit v klidu a v pohodě. Útokům mladé energie lze patrně čelit jedině mladou energií, ať v ži</w:t>
      </w:r>
      <w:r>
        <w:softHyphen/>
        <w:t>votě politickém, kultur</w:t>
      </w:r>
      <w:r>
        <w:t>ním či hospodářském. Třebas příčinou fašistických revolucí byly motivy sociální a nacionální, přece jen nelze zapomenout, že iniciátorem jejich byla mladá a muž- liá generace, která jsouc zproletarisována, vrhla se ve svém neštěstí na generaci, jež domněle</w:t>
      </w:r>
      <w:r>
        <w:t xml:space="preserve"> zavinila její utrpení.</w:t>
      </w:r>
    </w:p>
    <w:p w:rsidR="00500724" w:rsidRDefault="00F30FB8">
      <w:pPr>
        <w:pStyle w:val="Zkladntext100"/>
        <w:shd w:val="clear" w:color="auto" w:fill="auto"/>
        <w:spacing w:line="175" w:lineRule="auto"/>
        <w:ind w:firstLine="380"/>
      </w:pPr>
      <w:r>
        <w:t>Věříme totiž v moudrost otců a hlavně v jejich lásku k nám. Synům, kteří stojíce na své osekané hroudě, začínají hospo</w:t>
      </w:r>
      <w:r>
        <w:softHyphen/>
        <w:t>dařit, při čemž jsou skromného názoru, že u nás lze vzájemný poměr otců a synů vyřešit bez kohoutích postojů, har</w:t>
      </w:r>
      <w:r>
        <w:t xml:space="preserve">monicky </w:t>
      </w:r>
      <w:r>
        <w:rPr>
          <w:b/>
          <w:bCs/>
          <w:sz w:val="19"/>
          <w:szCs w:val="19"/>
        </w:rPr>
        <w:t xml:space="preserve">a </w:t>
      </w:r>
      <w:r>
        <w:t>lidsky krásně, jak ani v této pokořené zemi není jinak</w:t>
      </w:r>
    </w:p>
    <w:p w:rsidR="00500724" w:rsidRDefault="00F30FB8">
      <w:pPr>
        <w:pStyle w:val="Zkladntext20"/>
        <w:shd w:val="clear" w:color="auto" w:fill="auto"/>
        <w:spacing w:after="180" w:line="240" w:lineRule="auto"/>
        <w:ind w:firstLine="0"/>
        <w:jc w:val="right"/>
        <w:rPr>
          <w:sz w:val="20"/>
          <w:szCs w:val="20"/>
        </w:rPr>
      </w:pPr>
      <w:r>
        <w:rPr>
          <w:noProof/>
        </w:rPr>
        <mc:AlternateContent>
          <mc:Choice Requires="wps">
            <w:drawing>
              <wp:anchor distT="0" distB="0" distL="0" distR="0" simplePos="0" relativeHeight="125829594" behindDoc="0" locked="0" layoutInCell="1" allowOverlap="1">
                <wp:simplePos x="0" y="0"/>
                <wp:positionH relativeFrom="page">
                  <wp:posOffset>431800</wp:posOffset>
                </wp:positionH>
                <wp:positionV relativeFrom="margin">
                  <wp:posOffset>6978015</wp:posOffset>
                </wp:positionV>
                <wp:extent cx="445135" cy="155575"/>
                <wp:effectExtent l="0" t="0" r="0" b="0"/>
                <wp:wrapSquare wrapText="right"/>
                <wp:docPr id="217" name="Shape 217"/>
                <wp:cNvGraphicFramePr/>
                <a:graphic xmlns:a="http://schemas.openxmlformats.org/drawingml/2006/main">
                  <a:graphicData uri="http://schemas.microsoft.com/office/word/2010/wordprocessingShape">
                    <wps:wsp>
                      <wps:cNvSpPr txBox="1"/>
                      <wps:spPr>
                        <a:xfrm>
                          <a:off x="0" y="0"/>
                          <a:ext cx="445135" cy="155575"/>
                        </a:xfrm>
                        <a:prstGeom prst="rect">
                          <a:avLst/>
                        </a:prstGeom>
                        <a:noFill/>
                      </wps:spPr>
                      <wps:txbx>
                        <w:txbxContent>
                          <w:p w:rsidR="00500724" w:rsidRDefault="00F30FB8">
                            <w:pPr>
                              <w:pStyle w:val="Zkladntext100"/>
                              <w:shd w:val="clear" w:color="auto" w:fill="auto"/>
                              <w:spacing w:line="240" w:lineRule="auto"/>
                              <w:ind w:firstLine="0"/>
                              <w:jc w:val="left"/>
                            </w:pPr>
                            <w:r>
                              <w:t>možno.</w:t>
                            </w:r>
                          </w:p>
                        </w:txbxContent>
                      </wps:txbx>
                      <wps:bodyPr lIns="0" tIns="0" rIns="0" bIns="0">
                        <a:spAutoFit/>
                      </wps:bodyPr>
                    </wps:wsp>
                  </a:graphicData>
                </a:graphic>
              </wp:anchor>
            </w:drawing>
          </mc:Choice>
          <mc:Fallback>
            <w:pict>
              <v:shape id="_x0000_s1243" type="#_x0000_t202" style="position:absolute;margin-left:34.pt;margin-top:549.45000000000005pt;width:35.049999999999997pt;height:12.25pt;z-index:-125829159;mso-wrap-distance-left:0;mso-wrap-distance-right:0;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možno.</w:t>
                      </w:r>
                    </w:p>
                  </w:txbxContent>
                </v:textbox>
                <w10:wrap type="square" side="right" anchorx="page" anchory="margin"/>
              </v:shape>
            </w:pict>
          </mc:Fallback>
        </mc:AlternateContent>
      </w:r>
      <w:r>
        <w:rPr>
          <w:i/>
          <w:iCs/>
          <w:sz w:val="20"/>
          <w:szCs w:val="20"/>
        </w:rPr>
        <w:t>Jaroslav Mokroš</w:t>
      </w:r>
    </w:p>
    <w:p w:rsidR="00500724" w:rsidRDefault="00F30FB8">
      <w:pPr>
        <w:pStyle w:val="Nadpis90"/>
        <w:keepNext/>
        <w:keepLines/>
        <w:shd w:val="clear" w:color="auto" w:fill="auto"/>
        <w:spacing w:after="180"/>
        <w:ind w:left="160"/>
      </w:pPr>
      <w:bookmarkStart w:id="223" w:name="bookmark222"/>
      <w:r>
        <w:rPr>
          <w:rFonts w:ascii="Times New Roman" w:eastAsia="Times New Roman" w:hAnsi="Times New Roman" w:cs="Times New Roman"/>
          <w:u w:val="single"/>
        </w:rPr>
        <w:t>listárna redakce</w:t>
      </w:r>
      <w:bookmarkEnd w:id="223"/>
    </w:p>
    <w:p w:rsidR="00500724" w:rsidRDefault="00F30FB8">
      <w:pPr>
        <w:pStyle w:val="Zkladntext100"/>
        <w:shd w:val="clear" w:color="auto" w:fill="auto"/>
        <w:spacing w:after="180" w:line="178" w:lineRule="auto"/>
      </w:pPr>
      <w:r>
        <w:t>Češi, Němci a židé. K dopisům, které jsem od českých i ně</w:t>
      </w:r>
      <w:r>
        <w:softHyphen/>
        <w:t>meckých židů dostal k článku pod tímto titulem v minulém čísle, odpovídám: 1. Nemohu ovšem</w:t>
      </w:r>
      <w:r>
        <w:t xml:space="preserve"> nikoho naučit, aby správně pochopil tendenci článku; zdá se, že nejen autoři, nýbrž také čtenáři musí míti talent; nechci nic vytýkat; chápu rozbolest- něnou dnešní židovskou psychologii a chápu, že vidí obcházet přízraky; řekne-li mi člověk, nešťastný ce</w:t>
      </w:r>
      <w:r>
        <w:t>lou svou situací, že se blížím bulvárnímu tisku, přijmu to od něho pokorně, neboť mám pocit úcty před neštěstím, ať se jakkoliv proje</w:t>
      </w:r>
      <w:r>
        <w:softHyphen/>
        <w:t>vuje; přes to by se snad mohl pochopit docela jasný účel člán</w:t>
      </w:r>
      <w:r>
        <w:softHyphen/>
        <w:t>ku, kterým zajisté nebylo přiložit českým židům polínko, nýb</w:t>
      </w:r>
      <w:r>
        <w:t xml:space="preserve">rž naopak jim odlehčit; </w:t>
      </w:r>
      <w:r>
        <w:rPr>
          <w:b/>
          <w:bCs/>
        </w:rPr>
        <w:t xml:space="preserve">2. </w:t>
      </w:r>
      <w:r>
        <w:t>pokud se německých židů týká.</w:t>
      </w:r>
    </w:p>
    <w:p w:rsidR="00500724" w:rsidRDefault="00F30FB8">
      <w:pPr>
        <w:pStyle w:val="Zkladntext100"/>
        <w:shd w:val="clear" w:color="auto" w:fill="auto"/>
        <w:spacing w:line="175" w:lineRule="auto"/>
        <w:ind w:firstLine="0"/>
      </w:pPr>
      <w:r>
        <w:t>je to věc podle našeho citu tragická, ale nad naše síly; při</w:t>
      </w:r>
      <w:r>
        <w:softHyphen/>
        <w:t>hlásili se dobrovolně k německému národu, což znamená v posledních důsledcích, že se zavázali přijmouti osud, který jim tento národ uloží;</w:t>
      </w:r>
      <w:r>
        <w:t xml:space="preserve"> my jsme příliš slabí, abychom se mísili do onoho vyrovnávání, které nastalo mezi německým, národem a jeho židy; i tam, kde litujeme, nemůžeme pomoci: 3. citáty, co si některý Angličan nebo Francouz myslí o našem počínání v židovské otázce, jsou sice zajím</w:t>
      </w:r>
      <w:r>
        <w:t xml:space="preserve">avé, ale jsou </w:t>
      </w:r>
      <w:r>
        <w:rPr>
          <w:b/>
          <w:bCs/>
        </w:rPr>
        <w:t xml:space="preserve">to </w:t>
      </w:r>
      <w:r>
        <w:t xml:space="preserve">řeči farisejské; každému z Vás je známo, jakým způsobem český národ řešil židovskou otázku, dokud ho Anglie </w:t>
      </w:r>
      <w:r>
        <w:rPr>
          <w:b/>
          <w:bCs/>
        </w:rPr>
        <w:t xml:space="preserve">a </w:t>
      </w:r>
      <w:r>
        <w:t xml:space="preserve">Francie nepřivedly do Mnichova; také židovskou otázku — vedle mnoha jiných věcí — začal ve skutečnosti u nás řešit p, </w:t>
      </w:r>
      <w:r>
        <w:rPr>
          <w:lang w:val="en-US" w:eastAsia="en-US" w:bidi="en-US"/>
        </w:rPr>
        <w:t>Cham</w:t>
      </w:r>
      <w:r>
        <w:rPr>
          <w:lang w:val="en-US" w:eastAsia="en-US" w:bidi="en-US"/>
        </w:rPr>
        <w:softHyphen/>
        <w:t>berlai</w:t>
      </w:r>
      <w:r>
        <w:rPr>
          <w:lang w:val="en-US" w:eastAsia="en-US" w:bidi="en-US"/>
        </w:rPr>
        <w:t xml:space="preserve">n </w:t>
      </w:r>
      <w:r>
        <w:t>a p. Daladier; kritiky s této strany tedy jen velmi nelibě snášíme; shodím-li někoho s vozu, nesmím mu pak vy</w:t>
      </w:r>
      <w:r>
        <w:softHyphen/>
        <w:t>týkat, že leží na zemi; Francie ostatně neudělala pro židovské emigranty ani setinu toho, co my, a Anglie velmi si dává záležet na tom, aby bylo</w:t>
      </w:r>
      <w:r>
        <w:t xml:space="preserve"> jasno, že jim dovolují pobyt jen přechodný; a to jsou země, které nežijí v nynější naší choulo</w:t>
      </w:r>
      <w:r>
        <w:softHyphen/>
        <w:t>stivé situaci v středoevropském prostoru; kdyby chtěly, mohly by nám jít příkladem napřed; sotva sneseme kritiku od Francie, která se zdráhá udělit jedinému žid</w:t>
      </w:r>
      <w:r>
        <w:t>ovskému emigran</w:t>
      </w:r>
      <w:r>
        <w:softHyphen/>
        <w:t>tu pracovní povolení; 4. že náš krajíc chleba je nyní o mnoho menší, každý ví; při jisté spravedlnosti mohl by každý dále</w:t>
      </w:r>
    </w:p>
    <w:p w:rsidR="00500724" w:rsidRDefault="00F30FB8">
      <w:pPr>
        <w:pStyle w:val="Zkladntext100"/>
        <w:framePr w:dropCap="drop" w:lines="2" w:wrap="auto" w:vAnchor="text" w:hAnchor="text"/>
        <w:shd w:val="clear" w:color="auto" w:fill="auto"/>
        <w:tabs>
          <w:tab w:val="left" w:pos="4430"/>
        </w:tabs>
        <w:spacing w:line="223" w:lineRule="exact"/>
        <w:ind w:firstLine="0"/>
      </w:pPr>
      <w:r>
        <w:rPr>
          <w:rFonts w:ascii="Arial" w:eastAsia="Arial" w:hAnsi="Arial" w:cs="Arial"/>
          <w:position w:val="-5"/>
          <w:sz w:val="32"/>
          <w:szCs w:val="32"/>
        </w:rPr>
        <w:t>g</w:t>
      </w:r>
    </w:p>
    <w:p w:rsidR="00500724" w:rsidRDefault="00F30FB8">
      <w:pPr>
        <w:pStyle w:val="Zkladntext100"/>
        <w:shd w:val="clear" w:color="auto" w:fill="auto"/>
        <w:tabs>
          <w:tab w:val="left" w:pos="4430"/>
        </w:tabs>
        <w:spacing w:after="80" w:line="175" w:lineRule="auto"/>
        <w:ind w:firstLine="0"/>
      </w:pPr>
      <w:r>
        <w:t xml:space="preserve">ochopit, že vláda, má-li volbu poskytnout životní možnost ‘echu nebo emigrantu, rozhoduje se pro Čecha; každý národ </w:t>
      </w:r>
      <w:r>
        <w:t>na světě by tak učinil a ostatně tak činí, jak vidíme z horlivé</w:t>
      </w:r>
      <w:r>
        <w:softHyphen/>
        <w:t>ho uzavírání hranic na všech stranách: proč my, kteří Mnichov prodělali, máme býti tak přísně kritisováni těmi, kteří jej způsobili, je nad naše pochopení, jestliže ovšem néplatí, že na' slabé</w:t>
      </w:r>
      <w:r>
        <w:t>ho se vždycky všichni sesypou; 5. netvrdil jsem, že židé způsobili v Německu inflaci; zákrok censury ovšem způsobil, že to tak vypadá; 6. proti tomu, že židé měli nadměrný podíl na německém životě, nepolemisuje z dopisovatelů nikdo, ačkoliv to právě bylo j</w:t>
      </w:r>
      <w:r>
        <w:t>ádro článku, který chtěl ukázati na rozdílnost židovské otázky v Německu a u nás a z toho vyplý</w:t>
      </w:r>
      <w:r>
        <w:softHyphen/>
        <w:t>vající rozdílnou možnost řešení; 7. jsme-li immunní vůči ně</w:t>
      </w:r>
      <w:r>
        <w:softHyphen/>
        <w:t>meckému vlivu nebo nejsme, to je věc, kterou si musíte vy</w:t>
      </w:r>
      <w:r>
        <w:softHyphen/>
        <w:t>jednat spíše s p. Chamberlainem než s námi</w:t>
      </w:r>
      <w:r>
        <w:t>; není nám nyní dovoleno býti tak dokonale immunní, abychom tím svůj stát ohrožovali; Anglie a Francie uštědřily nám Mnichov i se všemi důsledky; poměry ve střední Evropě jsou dnes docela jiné, než byly před rokem; 8. nezáleží na tom, kolik židů se v Ce</w:t>
      </w:r>
      <w:r>
        <w:softHyphen/>
        <w:t>ch</w:t>
      </w:r>
      <w:r>
        <w:t>ách hlásilo k národnosti německé, nýbrž na tom, nakolik se svým hospodářským vlivem stali ochotnými nástroji germanisace; to jest historický fakt, který nelze popřít:</w:t>
      </w:r>
      <w:r>
        <w:rPr>
          <w:vertAlign w:val="superscript"/>
        </w:rPr>
        <w:t xml:space="preserve">1 </w:t>
      </w:r>
      <w:r>
        <w:t>9. rozejdete-li se odtud do cizích zemí, mluvte o nás spravedlivě vzpomeňte na celou min</w:t>
      </w:r>
      <w:r>
        <w:t>ulost, a v přítomnosti rozlišujte přesně, co skutečně patří na naše konto; nezapomínejte, že jsme nyní národem, který těžce, nejtíže se všech národů na světě bojuje o své bytí; kdybyste, až se dostanete ven, náš národ pomlou</w:t>
      </w:r>
      <w:r>
        <w:softHyphen/>
        <w:t>vali a kdyby to mělo mít vliv n</w:t>
      </w:r>
      <w:r>
        <w:t>a hospodářské styky mezi námi a některými zeměmi, jistě byste udělali nejhorší, co můžete, pro řešení židovské otázky u nás; 10. snad mluvím více roz</w:t>
      </w:r>
      <w:r>
        <w:softHyphen/>
        <w:t>umově než citově; ale bože, vždyť my se nyní daleko spíše můžeme spasit, budeme-li poslouchat chladného ro</w:t>
      </w:r>
      <w:r>
        <w:t>zumu, než se poddávat citům; snad si tedy vskutku až příliš zvykám na rozumový způsob; ale to je trening, jakého ještě dlouho bude</w:t>
      </w:r>
      <w:r>
        <w:softHyphen/>
        <w:t>me potřebovat.</w:t>
      </w:r>
      <w:r>
        <w:tab/>
        <w:t>—fp—.</w:t>
      </w:r>
    </w:p>
    <w:p w:rsidR="00500724" w:rsidRDefault="00F30FB8">
      <w:pPr>
        <w:pStyle w:val="Zkladntext100"/>
        <w:shd w:val="clear" w:color="auto" w:fill="auto"/>
        <w:spacing w:after="80" w:line="175" w:lineRule="auto"/>
        <w:ind w:firstLine="300"/>
      </w:pPr>
      <w:r>
        <w:t xml:space="preserve">City </w:t>
      </w:r>
      <w:r>
        <w:rPr>
          <w:b/>
          <w:bCs/>
        </w:rPr>
        <w:t xml:space="preserve">a </w:t>
      </w:r>
      <w:r>
        <w:t>politika. Jsme opravdu už unaveni opakováním, že mezi pouhým cítěním a provozováním politiky jest</w:t>
      </w:r>
      <w:r>
        <w:t xml:space="preserve"> rozdíl, který není dovoleno zanedbat. Pokud jde o city, tu bychom se s Vámi shodli. Rozdíl je mezi námi v tom, do jaké míry chceme připustit, aby city ovládaly praktickou politiku. Národ se ne</w:t>
      </w:r>
      <w:r>
        <w:softHyphen/>
        <w:t>smí uvést do nebezpečí ani tím, že se dá unést bouřlivostí cit</w:t>
      </w:r>
      <w:r>
        <w:t>ů, V určitých kritických chvílích musí vládnout rozum, chladný cit. Neboť cesta do pekla nebývá vždy dlážděná jen dobrými úmysly: někdy také nedosti ovládanými city. Mělo-li by vy- bouření našich citů vésti k stavu, ve kterém by pak naše city byly ještě ví</w:t>
      </w:r>
      <w:r>
        <w:t>ce zraňovány, to nemůžeme uznati za něco pro</w:t>
      </w:r>
      <w:r>
        <w:softHyphen/>
        <w:t>spěšného. — Pokud se pak týká toho, máte-li nám či nemáte důvěřovati, v tom Vám ovšem nemůžeme nakazovati: to jest věc Vaší volby. Dojdete-li k přesvědčení, že se ve svém psaní řídíme něčím jiným než obecným pro</w:t>
      </w:r>
      <w:r>
        <w:t>spěchem, pak ovšem dů</w:t>
      </w:r>
      <w:r>
        <w:softHyphen/>
        <w:t>věru ztratíte — a zároveň nám ukřivdíte. Jako Vy si děláte diagnosu našeho případu, děláme my si diagnosu o Vás: do</w:t>
      </w:r>
      <w:r>
        <w:softHyphen/>
        <w:t>cela primitivně věříte, že už pouhé projevování citů se rovná provozování politiky. Proti tomu jsme mnohokrát polemiso</w:t>
      </w:r>
      <w:r>
        <w:t>- vali, ne teprve teď, ale po celých patnáct let, co tento časopis vychází.</w:t>
      </w:r>
    </w:p>
    <w:p w:rsidR="00500724" w:rsidRDefault="00F30FB8">
      <w:pPr>
        <w:pStyle w:val="Zkladntext100"/>
        <w:shd w:val="clear" w:color="auto" w:fill="auto"/>
        <w:spacing w:after="80" w:line="178" w:lineRule="auto"/>
        <w:ind w:firstLine="240"/>
        <w:sectPr w:rsidR="00500724">
          <w:footnotePr>
            <w:numFmt w:val="chicago"/>
            <w:numRestart w:val="eachPage"/>
          </w:footnotePr>
          <w:type w:val="continuous"/>
          <w:pgSz w:w="11909" w:h="16834"/>
          <w:pgMar w:top="1639" w:right="951" w:bottom="754" w:left="610" w:header="0" w:footer="3" w:gutter="0"/>
          <w:cols w:num="2" w:space="100"/>
          <w:noEndnote/>
          <w:docGrid w:linePitch="360"/>
        </w:sectPr>
      </w:pPr>
      <w:r>
        <w:t xml:space="preserve">»Padlé bašty«. Ptáte se, proč neuveřejníme také nějakou kapitolu z knihy »Fallen Bastions« od G. E. R. Gedye, která je ještě dramatičtějším vylíčením </w:t>
      </w:r>
      <w:r>
        <w:t xml:space="preserve">středoevropských událostí, než Morellova kniha »Viděl jsem ukřižovánk. S tou dramatičností máte pravdu, ale ta kniha je psána s větší vášní, než by sneslo naše nynější ovzduší a naše tiskové poměry. Musíme si zvykat na stravu méně kořeněnou. »The Times </w:t>
      </w:r>
      <w:r>
        <w:rPr>
          <w:lang w:val="en-US" w:eastAsia="en-US" w:bidi="en-US"/>
        </w:rPr>
        <w:t>Lit</w:t>
      </w:r>
      <w:r>
        <w:rPr>
          <w:lang w:val="en-US" w:eastAsia="en-US" w:bidi="en-US"/>
        </w:rPr>
        <w:t xml:space="preserve">erary Supplement*! </w:t>
      </w:r>
      <w:r>
        <w:t xml:space="preserve">napsaly o knize Gedyeově: »Jeho city zasluhují sympatií </w:t>
      </w:r>
      <w:r>
        <w:rPr>
          <w:b/>
          <w:bCs/>
        </w:rPr>
        <w:t xml:space="preserve">a </w:t>
      </w:r>
      <w:r>
        <w:t xml:space="preserve">respektu. Ale kritik musí poznamenat, že by bylo lépe, aby některé stránky nebyly napsány nebo uveřejněny.*! Jestliže se takto reaguje na knihu Gedyeovu </w:t>
      </w:r>
      <w:r>
        <w:rPr>
          <w:b/>
          <w:bCs/>
          <w:sz w:val="19"/>
          <w:szCs w:val="19"/>
        </w:rPr>
        <w:t xml:space="preserve">i v </w:t>
      </w:r>
      <w:r>
        <w:t>Anglii, tím spíše po</w:t>
      </w:r>
      <w:r>
        <w:softHyphen/>
      </w:r>
      <w:r>
        <w:t>chopíte, proč z ní nemůžeme překládat.</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68" w:line="14" w:lineRule="exact"/>
      </w:pPr>
    </w:p>
    <w:p w:rsidR="00500724" w:rsidRDefault="00500724">
      <w:pPr>
        <w:spacing w:line="14" w:lineRule="exact"/>
        <w:sectPr w:rsidR="00500724">
          <w:footnotePr>
            <w:numFmt w:val="chicago"/>
            <w:numRestart w:val="eachPage"/>
          </w:footnotePr>
          <w:pgSz w:w="11909" w:h="16834"/>
          <w:pgMar w:top="401" w:right="315" w:bottom="1123" w:left="948" w:header="0" w:footer="3" w:gutter="0"/>
          <w:cols w:space="720"/>
          <w:noEndnote/>
          <w:docGrid w:linePitch="360"/>
        </w:sectPr>
      </w:pPr>
    </w:p>
    <w:p w:rsidR="00500724" w:rsidRDefault="00F30FB8">
      <w:pPr>
        <w:spacing w:line="14" w:lineRule="exact"/>
      </w:pPr>
      <w:r>
        <w:rPr>
          <w:noProof/>
        </w:rPr>
        <mc:AlternateContent>
          <mc:Choice Requires="wps">
            <w:drawing>
              <wp:anchor distT="0" distB="266700" distL="0" distR="0" simplePos="0" relativeHeight="125829596" behindDoc="0" locked="0" layoutInCell="1" allowOverlap="1">
                <wp:simplePos x="0" y="0"/>
                <wp:positionH relativeFrom="page">
                  <wp:posOffset>608330</wp:posOffset>
                </wp:positionH>
                <wp:positionV relativeFrom="paragraph">
                  <wp:posOffset>3337560</wp:posOffset>
                </wp:positionV>
                <wp:extent cx="1676400" cy="4398010"/>
                <wp:effectExtent l="0" t="0" r="0" b="0"/>
                <wp:wrapSquare wrapText="bothSides"/>
                <wp:docPr id="219" name="Shape 219"/>
                <wp:cNvGraphicFramePr/>
                <a:graphic xmlns:a="http://schemas.openxmlformats.org/drawingml/2006/main">
                  <a:graphicData uri="http://schemas.microsoft.com/office/word/2010/wordprocessingShape">
                    <wps:wsp>
                      <wps:cNvSpPr txBox="1"/>
                      <wps:spPr>
                        <a:xfrm>
                          <a:off x="0" y="0"/>
                          <a:ext cx="1676400" cy="4398010"/>
                        </a:xfrm>
                        <a:prstGeom prst="rect">
                          <a:avLst/>
                        </a:prstGeom>
                        <a:noFill/>
                      </wps:spPr>
                      <wps:txbx>
                        <w:txbxContent>
                          <w:p w:rsidR="00500724" w:rsidRDefault="00F30FB8">
                            <w:pPr>
                              <w:pStyle w:val="Zkladntext40"/>
                              <w:shd w:val="clear" w:color="auto" w:fill="auto"/>
                              <w:spacing w:before="80" w:after="120" w:line="173" w:lineRule="auto"/>
                              <w:jc w:val="right"/>
                            </w:pPr>
                            <w:r>
                              <w:t>*) (Z Ukázek podkarpatské poesie z Kritického měsíčníku.)</w:t>
                            </w:r>
                          </w:p>
                          <w:p w:rsidR="00500724" w:rsidRDefault="00F30FB8">
                            <w:pPr>
                              <w:pStyle w:val="Zkladntext80"/>
                              <w:shd w:val="clear" w:color="auto" w:fill="auto"/>
                              <w:spacing w:after="40" w:line="240" w:lineRule="auto"/>
                              <w:rPr>
                                <w:sz w:val="24"/>
                                <w:szCs w:val="24"/>
                              </w:rPr>
                            </w:pPr>
                            <w:r>
                              <w:rPr>
                                <w:b w:val="0"/>
                                <w:bCs w:val="0"/>
                                <w:sz w:val="24"/>
                                <w:szCs w:val="24"/>
                              </w:rPr>
                              <w:t>NOVÉ KNIHY</w:t>
                            </w:r>
                          </w:p>
                          <w:p w:rsidR="00500724" w:rsidRDefault="00F30FB8">
                            <w:pPr>
                              <w:pStyle w:val="Zkladntext40"/>
                              <w:shd w:val="clear" w:color="auto" w:fill="auto"/>
                              <w:spacing w:after="80" w:line="180" w:lineRule="auto"/>
                            </w:pPr>
                            <w:r>
                              <w:rPr>
                                <w:b/>
                                <w:bCs/>
                                <w:sz w:val="16"/>
                                <w:szCs w:val="16"/>
                              </w:rPr>
                              <w:t xml:space="preserve">Karel Čapek: ŽIVOT A DÍLO SKLADATELE EOLTÍNA </w:t>
                            </w:r>
                            <w:r>
                              <w:t xml:space="preserve">»Zivot a dilo skladatele Foltýna«. poslední románová práce Karla </w:t>
                            </w:r>
                            <w:r>
                              <w:t>Čapka, nad jejímiž závěrečnými stránkami se vznáší stín smrti, tak neočekávaně a nemilosrdně zhasínající vysoko planouc! oheň básnické obraznosti a zdaleka ne</w:t>
                            </w:r>
                            <w:r>
                              <w:softHyphen/>
                              <w:t>vyčerpané Ještě tvůrčí síly, je dílo neobyčejně pozoruhodné. Vy</w:t>
                            </w:r>
                            <w:r>
                              <w:softHyphen/>
                              <w:t xml:space="preserve">práví se v něm o skladateli Fol- </w:t>
                            </w:r>
                            <w:r>
                              <w:t>týnovi, který chce napsati velké operní dílo, jež by mu vyneslo slávu 1 pocty, ale který ztrosko</w:t>
                            </w:r>
                            <w:r>
                              <w:softHyphen/>
                              <w:t>tává na nedostatku vzdělání, pile, mravní čistoty a řemeslné pocti</w:t>
                            </w:r>
                            <w:r>
                              <w:softHyphen/>
                              <w:t>vosti, o něž by se opřel jeho ta</w:t>
                            </w:r>
                            <w:r>
                              <w:softHyphen/>
                              <w:t>lent. Karlu Čapkovi nebylo, bohu</w:t>
                            </w:r>
                            <w:r>
                              <w:softHyphen/>
                              <w:t>žel, osudem dopřáno histor</w:t>
                            </w:r>
                            <w:r>
                              <w:t>ii své</w:t>
                            </w:r>
                            <w:r>
                              <w:softHyphen/>
                              <w:t>ho hrdiny, žijícího jen chiméře I umělecké slávy, která jej očeká</w:t>
                            </w:r>
                            <w:r>
                              <w:softHyphen/>
                              <w:t>vá, hrdiny, netušícího, že cesta, po niž kráčí, nevede k slávě a k tvůrčímu vítězství, nýbrž do propasti bídy a ztroskotání, na</w:t>
                            </w:r>
                            <w:r>
                              <w:softHyphen/>
                              <w:t>psati až do poslední věty. Ale 1 tak představuje »Život</w:t>
                            </w:r>
                            <w:r>
                              <w:t xml:space="preserve"> a dílo skla</w:t>
                            </w:r>
                            <w:r>
                              <w:softHyphen/>
                              <w:t>datele Foltýna« mistrovský kus po stránce komposiční i obsaho</w:t>
                            </w:r>
                            <w:r>
                              <w:softHyphen/>
                              <w:t>vé. Je to román typicky českého osudu, příběh intelektuálního don- quichotstvi, ukazující na osudech Bědy Foltýna, jehož zde Čapek charakterisuje i přibližuje čtená</w:t>
                            </w:r>
                            <w:r>
                              <w:softHyphen/>
                              <w:t>ři řadou osobitý</w:t>
                            </w:r>
                            <w:r>
                              <w:t>ch svědeckých vý</w:t>
                            </w:r>
                            <w:r>
                              <w:softHyphen/>
                              <w:t>povědí, že talent není ničím, ne- opirá-li se o vědomí tvůrčí a mravní odpovědnosti a není-li podepřen plil, ryzostí srdce a charakteru. Karel Čapek, netuší</w:t>
                            </w:r>
                            <w:r>
                              <w:softHyphen/>
                            </w:r>
                            <w:r>
                              <w:rPr>
                                <w:b/>
                                <w:bCs/>
                                <w:sz w:val="16"/>
                                <w:szCs w:val="16"/>
                              </w:rPr>
                              <w:t xml:space="preserve">cí, že </w:t>
                            </w:r>
                            <w:r>
                              <w:t>toto dílo o tragickém ztro</w:t>
                            </w:r>
                            <w:r>
                              <w:softHyphen/>
                            </w:r>
                            <w:r>
                              <w:rPr>
                                <w:b/>
                                <w:bCs/>
                                <w:sz w:val="14"/>
                                <w:szCs w:val="14"/>
                              </w:rPr>
                              <w:t xml:space="preserve">skotáni </w:t>
                            </w:r>
                            <w:r>
                              <w:t xml:space="preserve">diletujícího skladatele a </w:t>
                            </w:r>
                            <w:r>
                              <w:rPr>
                                <w:b/>
                                <w:bCs/>
                                <w:sz w:val="16"/>
                                <w:szCs w:val="16"/>
                              </w:rPr>
                              <w:t xml:space="preserve">umělce, </w:t>
                            </w:r>
                            <w:r>
                              <w:t xml:space="preserve">který </w:t>
                            </w:r>
                            <w:r>
                              <w:t>nám připomíná směšného Ikara bez křidel, bude poslední větou jeho literárního odkazu, tak bohatého a rozma</w:t>
                            </w:r>
                            <w:r>
                              <w:softHyphen/>
                            </w:r>
                          </w:p>
                        </w:txbxContent>
                      </wps:txbx>
                      <wps:bodyPr lIns="0" tIns="0" rIns="0" bIns="0">
                        <a:spAutoFit/>
                      </wps:bodyPr>
                    </wps:wsp>
                  </a:graphicData>
                </a:graphic>
              </wp:anchor>
            </w:drawing>
          </mc:Choice>
          <mc:Fallback>
            <w:pict>
              <v:shape id="_x0000_s1245" type="#_x0000_t202" style="position:absolute;margin-left:47.899999999999999pt;margin-top:262.80000000000001pt;width:132.pt;height:346.30000000000001pt;z-index:-125829157;mso-wrap-distance-left:0;mso-wrap-distance-right:0;mso-wrap-distance-bottom:21.pt;mso-position-horizontal-relative:page" filled="f" stroked="f">
                <v:textbox style="mso-fit-shape-to-text:t" inset="0,0,0,0">
                  <w:txbxContent>
                    <w:p>
                      <w:pPr>
                        <w:pStyle w:val="Style42"/>
                        <w:keepNext w:val="0"/>
                        <w:keepLines w:val="0"/>
                        <w:widowControl w:val="0"/>
                        <w:shd w:val="clear" w:color="auto" w:fill="auto"/>
                        <w:bidi w:val="0"/>
                        <w:spacing w:before="80" w:after="120" w:line="173" w:lineRule="auto"/>
                        <w:ind w:left="0" w:right="0" w:firstLine="0"/>
                        <w:jc w:val="right"/>
                      </w:pPr>
                      <w:r>
                        <w:rPr>
                          <w:color w:val="000000"/>
                          <w:spacing w:val="0"/>
                          <w:w w:val="100"/>
                          <w:position w:val="0"/>
                          <w:shd w:val="clear" w:color="auto" w:fill="auto"/>
                          <w:lang w:val="cs-CZ" w:eastAsia="cs-CZ" w:bidi="cs-CZ"/>
                        </w:rPr>
                        <w:t>*) (Z Ukázek podkarpatské poesie z Kritického měsíčníku.)</w:t>
                      </w:r>
                    </w:p>
                    <w:p>
                      <w:pPr>
                        <w:pStyle w:val="Style150"/>
                        <w:keepNext w:val="0"/>
                        <w:keepLines w:val="0"/>
                        <w:widowControl w:val="0"/>
                        <w:shd w:val="clear" w:color="auto" w:fill="auto"/>
                        <w:bidi w:val="0"/>
                        <w:spacing w:before="0" w:after="40" w:line="240" w:lineRule="auto"/>
                        <w:ind w:left="0" w:right="0" w:firstLine="0"/>
                        <w:jc w:val="left"/>
                        <w:rPr>
                          <w:sz w:val="24"/>
                          <w:szCs w:val="24"/>
                        </w:rPr>
                      </w:pPr>
                      <w:r>
                        <w:rPr>
                          <w:b w:val="0"/>
                          <w:bCs w:val="0"/>
                          <w:color w:val="000000"/>
                          <w:spacing w:val="0"/>
                          <w:w w:val="100"/>
                          <w:position w:val="0"/>
                          <w:sz w:val="24"/>
                          <w:szCs w:val="24"/>
                          <w:shd w:val="clear" w:color="auto" w:fill="auto"/>
                          <w:lang w:val="cs-CZ" w:eastAsia="cs-CZ" w:bidi="cs-CZ"/>
                        </w:rPr>
                        <w:t>NOVÉ KNIHY</w:t>
                      </w:r>
                    </w:p>
                    <w:p>
                      <w:pPr>
                        <w:pStyle w:val="Style42"/>
                        <w:keepNext w:val="0"/>
                        <w:keepLines w:val="0"/>
                        <w:widowControl w:val="0"/>
                        <w:shd w:val="clear" w:color="auto" w:fill="auto"/>
                        <w:bidi w:val="0"/>
                        <w:spacing w:before="0" w:after="80" w:line="180" w:lineRule="auto"/>
                        <w:ind w:left="0" w:right="0" w:firstLine="0"/>
                      </w:pPr>
                      <w:r>
                        <w:rPr>
                          <w:b/>
                          <w:bCs/>
                          <w:color w:val="000000"/>
                          <w:spacing w:val="0"/>
                          <w:w w:val="100"/>
                          <w:position w:val="0"/>
                          <w:sz w:val="16"/>
                          <w:szCs w:val="16"/>
                          <w:shd w:val="clear" w:color="auto" w:fill="auto"/>
                          <w:lang w:val="cs-CZ" w:eastAsia="cs-CZ" w:bidi="cs-CZ"/>
                        </w:rPr>
                        <w:t xml:space="preserve">Karel Čapek: ŽIVOT A DÍLO SKLADATELE EOLTÍNA </w:t>
                      </w:r>
                      <w:r>
                        <w:rPr>
                          <w:color w:val="000000"/>
                          <w:spacing w:val="0"/>
                          <w:w w:val="100"/>
                          <w:position w:val="0"/>
                          <w:shd w:val="clear" w:color="auto" w:fill="auto"/>
                          <w:lang w:val="cs-CZ" w:eastAsia="cs-CZ" w:bidi="cs-CZ"/>
                        </w:rPr>
                        <w:t>»Zivot a dilo skladatele Foltýna«. poslední románová práce Karla Čapka, nad jejímiž závěrečnými stránkami se vznáší stín smrti, tak neočekávaně a nemilosrdně zhasínající vysoko planouc! oheň básnické obraznosti a zdaleka ne</w:t>
                        <w:softHyphen/>
                        <w:t>vyčerpané Ještě tvůrčí síly, je dílo neobyčejně pozoruhodné. Vy</w:t>
                        <w:softHyphen/>
                        <w:t>práví se v něm o skladateli Fol- týnovi, který chce napsati velké operní dílo, jež by mu vyneslo slávu 1 pocty, ale který ztrosko</w:t>
                        <w:softHyphen/>
                        <w:t>tává na nedostatku vzdělání, pile, mravní čistoty a řemeslné pocti</w:t>
                        <w:softHyphen/>
                        <w:t>vosti, o něž by se opřel jeho ta</w:t>
                        <w:softHyphen/>
                        <w:t>lent. Karlu Čapkovi nebylo, bohu</w:t>
                        <w:softHyphen/>
                        <w:t>žel, osudem dopřáno historii své</w:t>
                        <w:softHyphen/>
                        <w:t>ho hrdiny, žijícího jen chiméře I umělecké slávy, která jej očeká</w:t>
                        <w:softHyphen/>
                        <w:t>vá, hrdiny, netušícího, že cesta, po niž kráčí, nevede k slávě a k tvůrčímu vítězství, nýbrž do propasti bídy a ztroskotání, na</w:t>
                        <w:softHyphen/>
                        <w:t>psati až do poslední věty. Ale 1 tak představuje »Život a dílo skla</w:t>
                        <w:softHyphen/>
                        <w:t>datele Foltýna« mistrovský kus po stránce komposiční i obsaho</w:t>
                        <w:softHyphen/>
                        <w:t>vé. Je to román typicky českého osudu, příběh intelektuálního don- quichotstvi, ukazující na osudech Bědy Foltýna, jehož zde Čapek charakterisuje i přibližuje čtená</w:t>
                        <w:softHyphen/>
                        <w:t>ři řadou osobitých svědeckých vý</w:t>
                        <w:softHyphen/>
                        <w:t>povědí, že talent není ničím, ne- opirá-li se o vědomí tvůrčí a mravní odpovědnosti a není-li podepřen plil, ryzostí srdce a charakteru. Karel Čapek, netuší</w:t>
                        <w:softHyphen/>
                      </w:r>
                      <w:r>
                        <w:rPr>
                          <w:b/>
                          <w:bCs/>
                          <w:color w:val="000000"/>
                          <w:spacing w:val="0"/>
                          <w:w w:val="100"/>
                          <w:position w:val="0"/>
                          <w:sz w:val="16"/>
                          <w:szCs w:val="16"/>
                          <w:shd w:val="clear" w:color="auto" w:fill="auto"/>
                          <w:lang w:val="cs-CZ" w:eastAsia="cs-CZ" w:bidi="cs-CZ"/>
                        </w:rPr>
                        <w:t xml:space="preserve">cí, že </w:t>
                      </w:r>
                      <w:r>
                        <w:rPr>
                          <w:color w:val="000000"/>
                          <w:spacing w:val="0"/>
                          <w:w w:val="100"/>
                          <w:position w:val="0"/>
                          <w:shd w:val="clear" w:color="auto" w:fill="auto"/>
                          <w:lang w:val="cs-CZ" w:eastAsia="cs-CZ" w:bidi="cs-CZ"/>
                        </w:rPr>
                        <w:t>toto dílo o tragickém ztro</w:t>
                        <w:softHyphen/>
                      </w:r>
                      <w:r>
                        <w:rPr>
                          <w:b/>
                          <w:bCs/>
                          <w:color w:val="000000"/>
                          <w:spacing w:val="0"/>
                          <w:w w:val="100"/>
                          <w:position w:val="0"/>
                          <w:sz w:val="14"/>
                          <w:szCs w:val="14"/>
                          <w:shd w:val="clear" w:color="auto" w:fill="auto"/>
                          <w:lang w:val="cs-CZ" w:eastAsia="cs-CZ" w:bidi="cs-CZ"/>
                        </w:rPr>
                        <w:t xml:space="preserve">skotáni </w:t>
                      </w:r>
                      <w:r>
                        <w:rPr>
                          <w:color w:val="000000"/>
                          <w:spacing w:val="0"/>
                          <w:w w:val="100"/>
                          <w:position w:val="0"/>
                          <w:shd w:val="clear" w:color="auto" w:fill="auto"/>
                          <w:lang w:val="cs-CZ" w:eastAsia="cs-CZ" w:bidi="cs-CZ"/>
                        </w:rPr>
                        <w:t xml:space="preserve">diletujícího skladatele a </w:t>
                      </w:r>
                      <w:r>
                        <w:rPr>
                          <w:b/>
                          <w:bCs/>
                          <w:color w:val="000000"/>
                          <w:spacing w:val="0"/>
                          <w:w w:val="100"/>
                          <w:position w:val="0"/>
                          <w:sz w:val="16"/>
                          <w:szCs w:val="16"/>
                          <w:shd w:val="clear" w:color="auto" w:fill="auto"/>
                          <w:lang w:val="cs-CZ" w:eastAsia="cs-CZ" w:bidi="cs-CZ"/>
                        </w:rPr>
                        <w:t xml:space="preserve">umělce, </w:t>
                      </w:r>
                      <w:r>
                        <w:rPr>
                          <w:color w:val="000000"/>
                          <w:spacing w:val="0"/>
                          <w:w w:val="100"/>
                          <w:position w:val="0"/>
                          <w:shd w:val="clear" w:color="auto" w:fill="auto"/>
                          <w:lang w:val="cs-CZ" w:eastAsia="cs-CZ" w:bidi="cs-CZ"/>
                        </w:rPr>
                        <w:t>který nám připomíná směšného Ikara bez křidel, bude poslední větou jeho literárního odkazu, tak bohatého a rozma</w:t>
                        <w:softHyphen/>
                      </w:r>
                    </w:p>
                  </w:txbxContent>
                </v:textbox>
                <w10:wrap type="square" anchorx="page"/>
              </v:shape>
            </w:pict>
          </mc:Fallback>
        </mc:AlternateContent>
      </w:r>
      <w:r>
        <w:rPr>
          <w:noProof/>
        </w:rPr>
        <mc:AlternateContent>
          <mc:Choice Requires="wps">
            <w:drawing>
              <wp:anchor distT="0" distB="0" distL="0" distR="0" simplePos="0" relativeHeight="125829598" behindDoc="0" locked="0" layoutInCell="1" allowOverlap="1">
                <wp:simplePos x="0" y="0"/>
                <wp:positionH relativeFrom="page">
                  <wp:posOffset>2357755</wp:posOffset>
                </wp:positionH>
                <wp:positionV relativeFrom="paragraph">
                  <wp:posOffset>12700</wp:posOffset>
                </wp:positionV>
                <wp:extent cx="3237230" cy="795655"/>
                <wp:effectExtent l="0" t="0" r="0" b="0"/>
                <wp:wrapSquare wrapText="right"/>
                <wp:docPr id="221" name="Shape 221"/>
                <wp:cNvGraphicFramePr/>
                <a:graphic xmlns:a="http://schemas.openxmlformats.org/drawingml/2006/main">
                  <a:graphicData uri="http://schemas.microsoft.com/office/word/2010/wordprocessingShape">
                    <wps:wsp>
                      <wps:cNvSpPr txBox="1"/>
                      <wps:spPr>
                        <a:xfrm>
                          <a:off x="0" y="0"/>
                          <a:ext cx="3237230" cy="795655"/>
                        </a:xfrm>
                        <a:prstGeom prst="rect">
                          <a:avLst/>
                        </a:prstGeom>
                        <a:noFill/>
                      </wps:spPr>
                      <wps:txbx>
                        <w:txbxContent>
                          <w:p w:rsidR="00500724" w:rsidRDefault="00F30FB8">
                            <w:pPr>
                              <w:pStyle w:val="Jin0"/>
                              <w:shd w:val="clear" w:color="auto" w:fill="auto"/>
                              <w:ind w:firstLine="0"/>
                              <w:jc w:val="center"/>
                              <w:rPr>
                                <w:sz w:val="26"/>
                                <w:szCs w:val="26"/>
                              </w:rPr>
                            </w:pPr>
                            <w:r>
                              <w:rPr>
                                <w:b/>
                                <w:bCs/>
                                <w:sz w:val="26"/>
                                <w:szCs w:val="26"/>
                                <w:lang w:val="en-US" w:eastAsia="en-US" w:bidi="en-US"/>
                              </w:rPr>
                              <w:t xml:space="preserve">Cicero </w:t>
                            </w:r>
                            <w:r>
                              <w:rPr>
                                <w:b/>
                                <w:bCs/>
                                <w:sz w:val="26"/>
                                <w:szCs w:val="26"/>
                              </w:rPr>
                              <w:t>o státu</w:t>
                            </w:r>
                          </w:p>
                          <w:p w:rsidR="00500724" w:rsidRDefault="00F30FB8">
                            <w:pPr>
                              <w:pStyle w:val="Zkladntext100"/>
                              <w:shd w:val="clear" w:color="auto" w:fill="auto"/>
                              <w:tabs>
                                <w:tab w:val="left" w:pos="3754"/>
                              </w:tabs>
                              <w:spacing w:line="192" w:lineRule="auto"/>
                              <w:ind w:firstLine="200"/>
                              <w:rPr>
                                <w:sz w:val="19"/>
                                <w:szCs w:val="19"/>
                              </w:rPr>
                            </w:pPr>
                            <w:r>
                              <w:rPr>
                                <w:b/>
                                <w:bCs/>
                                <w:sz w:val="19"/>
                                <w:szCs w:val="19"/>
                              </w:rPr>
                              <w:t>Každý národ, který je pospolitostí, každá obec, která je po</w:t>
                            </w:r>
                            <w:r>
                              <w:rPr>
                                <w:b/>
                                <w:bCs/>
                                <w:sz w:val="19"/>
                                <w:szCs w:val="19"/>
                              </w:rPr>
                              <w:softHyphen/>
                              <w:t xml:space="preserve">spolitým útvarem, každý stát, který je vytvořen národem, musí býti </w:t>
                            </w:r>
                            <w:r>
                              <w:rPr>
                                <w:b/>
                                <w:bCs/>
                                <w:sz w:val="19"/>
                                <w:szCs w:val="19"/>
                              </w:rPr>
                              <w:t>řízeny nějakými myšlenkami, aby potrvaly. Tyto myšlenky musí býti v těsném vztahu k idei, která dala obci vznik.</w:t>
                            </w:r>
                            <w:r>
                              <w:rPr>
                                <w:b/>
                                <w:bCs/>
                                <w:sz w:val="19"/>
                                <w:szCs w:val="19"/>
                              </w:rPr>
                              <w:tab/>
                            </w:r>
                            <w:r>
                              <w:rPr>
                                <w:b/>
                                <w:bCs/>
                                <w:i/>
                                <w:iCs/>
                                <w:sz w:val="19"/>
                                <w:szCs w:val="19"/>
                              </w:rPr>
                              <w:t>(Věda a život.)</w:t>
                            </w:r>
                          </w:p>
                        </w:txbxContent>
                      </wps:txbx>
                      <wps:bodyPr lIns="0" tIns="0" rIns="0" bIns="0">
                        <a:spAutoFit/>
                      </wps:bodyPr>
                    </wps:wsp>
                  </a:graphicData>
                </a:graphic>
              </wp:anchor>
            </w:drawing>
          </mc:Choice>
          <mc:Fallback>
            <w:pict>
              <v:shape id="_x0000_s1247" type="#_x0000_t202" style="position:absolute;margin-left:185.65000000000001pt;margin-top:1.pt;width:254.90000000000001pt;height:62.649999999999999pt;z-index:-125829155;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center"/>
                        <w:rPr>
                          <w:sz w:val="26"/>
                          <w:szCs w:val="26"/>
                        </w:rPr>
                      </w:pPr>
                      <w:r>
                        <w:rPr>
                          <w:b/>
                          <w:bCs/>
                          <w:color w:val="000000"/>
                          <w:spacing w:val="0"/>
                          <w:w w:val="100"/>
                          <w:position w:val="0"/>
                          <w:sz w:val="26"/>
                          <w:szCs w:val="26"/>
                          <w:shd w:val="clear" w:color="auto" w:fill="auto"/>
                          <w:lang w:val="en-US" w:eastAsia="en-US" w:bidi="en-US"/>
                        </w:rPr>
                        <w:t xml:space="preserve">Cicero </w:t>
                      </w:r>
                      <w:r>
                        <w:rPr>
                          <w:b/>
                          <w:bCs/>
                          <w:color w:val="000000"/>
                          <w:spacing w:val="0"/>
                          <w:w w:val="100"/>
                          <w:position w:val="0"/>
                          <w:sz w:val="26"/>
                          <w:szCs w:val="26"/>
                          <w:shd w:val="clear" w:color="auto" w:fill="auto"/>
                          <w:lang w:val="cs-CZ" w:eastAsia="cs-CZ" w:bidi="cs-CZ"/>
                        </w:rPr>
                        <w:t>o státu</w:t>
                      </w:r>
                    </w:p>
                    <w:p>
                      <w:pPr>
                        <w:pStyle w:val="Style344"/>
                        <w:keepNext w:val="0"/>
                        <w:keepLines w:val="0"/>
                        <w:widowControl w:val="0"/>
                        <w:shd w:val="clear" w:color="auto" w:fill="auto"/>
                        <w:tabs>
                          <w:tab w:pos="3754" w:val="left"/>
                        </w:tabs>
                        <w:bidi w:val="0"/>
                        <w:spacing w:before="0" w:after="0" w:line="192" w:lineRule="auto"/>
                        <w:ind w:left="0" w:right="0" w:firstLine="200"/>
                        <w:rPr>
                          <w:sz w:val="19"/>
                          <w:szCs w:val="19"/>
                        </w:rPr>
                      </w:pPr>
                      <w:r>
                        <w:rPr>
                          <w:b/>
                          <w:bCs/>
                          <w:color w:val="000000"/>
                          <w:spacing w:val="0"/>
                          <w:w w:val="100"/>
                          <w:position w:val="0"/>
                          <w:sz w:val="19"/>
                          <w:szCs w:val="19"/>
                          <w:shd w:val="clear" w:color="auto" w:fill="auto"/>
                          <w:lang w:val="cs-CZ" w:eastAsia="cs-CZ" w:bidi="cs-CZ"/>
                        </w:rPr>
                        <w:t>Každý národ, který je pospolitostí, každá obec, která je po</w:t>
                        <w:softHyphen/>
                        <w:t>spolitým útvarem, každý stát, který je vytvořen národem, musí býti řízeny nějakými myšlenkami, aby potrvaly. Tyto myšlenky musí býti v těsném vztahu k idei, která dala obci vznik.</w:t>
                        <w:tab/>
                      </w:r>
                      <w:r>
                        <w:rPr>
                          <w:b/>
                          <w:bCs/>
                          <w:i/>
                          <w:iCs/>
                          <w:color w:val="000000"/>
                          <w:spacing w:val="0"/>
                          <w:w w:val="100"/>
                          <w:position w:val="0"/>
                          <w:sz w:val="19"/>
                          <w:szCs w:val="19"/>
                          <w:shd w:val="clear" w:color="auto" w:fill="auto"/>
                          <w:lang w:val="cs-CZ" w:eastAsia="cs-CZ" w:bidi="cs-CZ"/>
                        </w:rPr>
                        <w:t>(Věda a život.)</w:t>
                      </w:r>
                    </w:p>
                  </w:txbxContent>
                </v:textbox>
                <w10:wrap type="square" side="right" anchorx="page"/>
              </v:shape>
            </w:pict>
          </mc:Fallback>
        </mc:AlternateContent>
      </w:r>
    </w:p>
    <w:p w:rsidR="00500724" w:rsidRDefault="00F30FB8">
      <w:pPr>
        <w:pStyle w:val="Zkladntext20"/>
        <w:shd w:val="clear" w:color="auto" w:fill="auto"/>
        <w:spacing w:after="60" w:line="240" w:lineRule="auto"/>
        <w:ind w:firstLine="0"/>
        <w:jc w:val="right"/>
        <w:rPr>
          <w:sz w:val="20"/>
          <w:szCs w:val="20"/>
        </w:rPr>
      </w:pPr>
      <w:r>
        <w:rPr>
          <w:i/>
          <w:iCs/>
          <w:sz w:val="20"/>
          <w:szCs w:val="20"/>
        </w:rPr>
        <w:t>Mykola Riško:</w:t>
      </w:r>
    </w:p>
    <w:p w:rsidR="00500724" w:rsidRDefault="00F30FB8">
      <w:pPr>
        <w:pStyle w:val="Zkladntext50"/>
        <w:shd w:val="clear" w:color="auto" w:fill="auto"/>
        <w:spacing w:after="40" w:line="240" w:lineRule="auto"/>
        <w:ind w:left="0"/>
        <w:jc w:val="right"/>
      </w:pPr>
      <w:r>
        <w:rPr>
          <w:rFonts w:ascii="Times New Roman" w:eastAsia="Times New Roman" w:hAnsi="Times New Roman" w:cs="Times New Roman"/>
          <w:b/>
          <w:bCs/>
          <w:sz w:val="19"/>
          <w:szCs w:val="19"/>
        </w:rPr>
        <w:t xml:space="preserve">Se </w:t>
      </w:r>
      <w:r>
        <w:t>srdcem zpívajícím . . .*</w:t>
      </w:r>
    </w:p>
    <w:p w:rsidR="00500724" w:rsidRDefault="00F30FB8">
      <w:pPr>
        <w:pStyle w:val="Zkladntext20"/>
        <w:shd w:val="clear" w:color="auto" w:fill="auto"/>
        <w:spacing w:line="240" w:lineRule="auto"/>
        <w:ind w:firstLine="0"/>
        <w:jc w:val="right"/>
        <w:rPr>
          <w:sz w:val="20"/>
          <w:szCs w:val="20"/>
        </w:rPr>
      </w:pPr>
      <w:r>
        <w:rPr>
          <w:i/>
          <w:iCs/>
          <w:sz w:val="20"/>
          <w:szCs w:val="20"/>
        </w:rPr>
        <w:t>Se srdcem zpívajícím,</w:t>
      </w:r>
    </w:p>
    <w:p w:rsidR="00500724" w:rsidRDefault="00F30FB8">
      <w:pPr>
        <w:pStyle w:val="Zkladntext20"/>
        <w:shd w:val="clear" w:color="auto" w:fill="auto"/>
        <w:spacing w:line="180" w:lineRule="auto"/>
        <w:ind w:firstLine="0"/>
        <w:jc w:val="right"/>
        <w:rPr>
          <w:sz w:val="20"/>
          <w:szCs w:val="20"/>
        </w:rPr>
      </w:pPr>
      <w:r>
        <w:rPr>
          <w:i/>
          <w:iCs/>
          <w:sz w:val="20"/>
          <w:szCs w:val="20"/>
        </w:rPr>
        <w:t>zrodila nás máti</w:t>
      </w:r>
    </w:p>
    <w:p w:rsidR="00500724" w:rsidRDefault="00F30FB8">
      <w:pPr>
        <w:pStyle w:val="Zkladntext20"/>
        <w:shd w:val="clear" w:color="auto" w:fill="auto"/>
        <w:spacing w:line="185" w:lineRule="auto"/>
        <w:ind w:firstLine="0"/>
        <w:jc w:val="right"/>
        <w:rPr>
          <w:sz w:val="20"/>
          <w:szCs w:val="20"/>
        </w:rPr>
      </w:pPr>
      <w:r>
        <w:rPr>
          <w:i/>
          <w:iCs/>
          <w:sz w:val="20"/>
          <w:szCs w:val="20"/>
        </w:rPr>
        <w:t>a skřipky chvějivé nám</w:t>
      </w:r>
    </w:p>
    <w:p w:rsidR="00500724" w:rsidRDefault="00F30FB8">
      <w:pPr>
        <w:pStyle w:val="Zkladntext20"/>
        <w:shd w:val="clear" w:color="auto" w:fill="auto"/>
        <w:spacing w:line="180" w:lineRule="auto"/>
        <w:ind w:firstLine="0"/>
        <w:jc w:val="right"/>
        <w:rPr>
          <w:sz w:val="20"/>
          <w:szCs w:val="20"/>
        </w:rPr>
      </w:pPr>
      <w:r>
        <w:rPr>
          <w:i/>
          <w:iCs/>
          <w:sz w:val="20"/>
          <w:szCs w:val="20"/>
        </w:rPr>
        <w:t>dala do rukou,</w:t>
      </w:r>
    </w:p>
    <w:p w:rsidR="00500724" w:rsidRDefault="00F30FB8">
      <w:pPr>
        <w:pStyle w:val="Zkladntext20"/>
        <w:shd w:val="clear" w:color="auto" w:fill="auto"/>
        <w:spacing w:line="185" w:lineRule="auto"/>
        <w:ind w:firstLine="0"/>
        <w:jc w:val="right"/>
        <w:rPr>
          <w:sz w:val="20"/>
          <w:szCs w:val="20"/>
        </w:rPr>
      </w:pPr>
      <w:r>
        <w:rPr>
          <w:i/>
          <w:iCs/>
          <w:sz w:val="20"/>
          <w:szCs w:val="20"/>
        </w:rPr>
        <w:t xml:space="preserve">nám </w:t>
      </w:r>
      <w:r>
        <w:rPr>
          <w:i/>
          <w:iCs/>
          <w:sz w:val="20"/>
          <w:szCs w:val="20"/>
        </w:rPr>
        <w:t>souzeno je na nich</w:t>
      </w:r>
    </w:p>
    <w:p w:rsidR="00500724" w:rsidRDefault="00F30FB8">
      <w:pPr>
        <w:pStyle w:val="Zkladntext20"/>
        <w:shd w:val="clear" w:color="auto" w:fill="auto"/>
        <w:spacing w:line="180" w:lineRule="auto"/>
        <w:ind w:firstLine="0"/>
        <w:jc w:val="right"/>
        <w:rPr>
          <w:sz w:val="20"/>
          <w:szCs w:val="20"/>
        </w:rPr>
      </w:pPr>
      <w:r>
        <w:rPr>
          <w:i/>
          <w:iCs/>
          <w:sz w:val="20"/>
          <w:szCs w:val="20"/>
        </w:rPr>
        <w:t>věčně hráti</w:t>
      </w:r>
    </w:p>
    <w:p w:rsidR="00500724" w:rsidRDefault="00F30FB8">
      <w:pPr>
        <w:pStyle w:val="Zkladntext20"/>
        <w:shd w:val="clear" w:color="auto" w:fill="auto"/>
        <w:spacing w:after="160" w:line="180" w:lineRule="auto"/>
        <w:ind w:firstLine="0"/>
        <w:jc w:val="right"/>
        <w:rPr>
          <w:sz w:val="20"/>
          <w:szCs w:val="20"/>
        </w:rPr>
      </w:pPr>
      <w:r>
        <w:rPr>
          <w:i/>
          <w:iCs/>
          <w:sz w:val="20"/>
          <w:szCs w:val="20"/>
        </w:rPr>
        <w:t>a určení své říci písní svou.</w:t>
      </w:r>
    </w:p>
    <w:p w:rsidR="00500724" w:rsidRDefault="00F30FB8">
      <w:pPr>
        <w:pStyle w:val="Zkladntext20"/>
        <w:shd w:val="clear" w:color="auto" w:fill="auto"/>
        <w:spacing w:line="180" w:lineRule="auto"/>
        <w:ind w:firstLine="0"/>
        <w:jc w:val="right"/>
        <w:rPr>
          <w:sz w:val="20"/>
          <w:szCs w:val="20"/>
        </w:rPr>
      </w:pPr>
      <w:r>
        <w:rPr>
          <w:i/>
          <w:iCs/>
          <w:sz w:val="20"/>
          <w:szCs w:val="20"/>
        </w:rPr>
        <w:t>My chceme Bohu v zpěvu</w:t>
      </w:r>
    </w:p>
    <w:p w:rsidR="00500724" w:rsidRDefault="00F30FB8">
      <w:pPr>
        <w:pStyle w:val="Zkladntext20"/>
        <w:shd w:val="clear" w:color="auto" w:fill="auto"/>
        <w:spacing w:line="180" w:lineRule="auto"/>
        <w:ind w:firstLine="0"/>
        <w:jc w:val="right"/>
        <w:rPr>
          <w:sz w:val="20"/>
          <w:szCs w:val="20"/>
        </w:rPr>
      </w:pPr>
      <w:r>
        <w:rPr>
          <w:i/>
          <w:iCs/>
          <w:sz w:val="20"/>
          <w:szCs w:val="20"/>
        </w:rPr>
        <w:t>vylévati</w:t>
      </w:r>
    </w:p>
    <w:p w:rsidR="00500724" w:rsidRDefault="00F30FB8">
      <w:pPr>
        <w:pStyle w:val="Zkladntext20"/>
        <w:shd w:val="clear" w:color="auto" w:fill="auto"/>
        <w:spacing w:line="180" w:lineRule="auto"/>
        <w:ind w:firstLine="0"/>
        <w:jc w:val="right"/>
        <w:rPr>
          <w:sz w:val="20"/>
          <w:szCs w:val="20"/>
        </w:rPr>
      </w:pPr>
      <w:r>
        <w:rPr>
          <w:i/>
          <w:iCs/>
          <w:sz w:val="20"/>
          <w:szCs w:val="20"/>
        </w:rPr>
        <w:t>svůj hněv i touhu svoji</w:t>
      </w:r>
    </w:p>
    <w:p w:rsidR="00500724" w:rsidRDefault="00F30FB8">
      <w:pPr>
        <w:pStyle w:val="Zkladntext20"/>
        <w:shd w:val="clear" w:color="auto" w:fill="auto"/>
        <w:spacing w:line="180" w:lineRule="auto"/>
        <w:ind w:firstLine="0"/>
        <w:jc w:val="right"/>
        <w:rPr>
          <w:sz w:val="20"/>
          <w:szCs w:val="20"/>
        </w:rPr>
      </w:pPr>
      <w:r>
        <w:rPr>
          <w:i/>
          <w:iCs/>
          <w:sz w:val="20"/>
          <w:szCs w:val="20"/>
        </w:rPr>
        <w:t>raněnou,</w:t>
      </w:r>
    </w:p>
    <w:p w:rsidR="00500724" w:rsidRDefault="00F30FB8">
      <w:pPr>
        <w:pStyle w:val="Zkladntext20"/>
        <w:shd w:val="clear" w:color="auto" w:fill="auto"/>
        <w:spacing w:line="180" w:lineRule="auto"/>
        <w:ind w:firstLine="0"/>
        <w:rPr>
          <w:sz w:val="20"/>
          <w:szCs w:val="20"/>
        </w:rPr>
      </w:pPr>
      <w:r>
        <w:rPr>
          <w:i/>
          <w:iCs/>
          <w:sz w:val="20"/>
          <w:szCs w:val="20"/>
        </w:rPr>
        <w:t>by naději a sílu ráčil dáti, že zdoláme svým mečem</w:t>
      </w:r>
    </w:p>
    <w:p w:rsidR="00500724" w:rsidRDefault="00F30FB8">
      <w:pPr>
        <w:pStyle w:val="Zkladntext20"/>
        <w:shd w:val="clear" w:color="auto" w:fill="auto"/>
        <w:spacing w:after="160" w:line="180" w:lineRule="auto"/>
        <w:ind w:firstLine="0"/>
        <w:jc w:val="right"/>
        <w:rPr>
          <w:sz w:val="20"/>
          <w:szCs w:val="20"/>
        </w:rPr>
      </w:pPr>
      <w:r>
        <w:rPr>
          <w:i/>
          <w:iCs/>
          <w:sz w:val="20"/>
          <w:szCs w:val="20"/>
        </w:rPr>
        <w:t>faleš zlou.</w:t>
      </w:r>
    </w:p>
    <w:p w:rsidR="00500724" w:rsidRDefault="00F30FB8">
      <w:pPr>
        <w:pStyle w:val="Zkladntext20"/>
        <w:shd w:val="clear" w:color="auto" w:fill="auto"/>
        <w:spacing w:line="175" w:lineRule="auto"/>
        <w:ind w:firstLine="0"/>
        <w:rPr>
          <w:sz w:val="20"/>
          <w:szCs w:val="20"/>
        </w:rPr>
      </w:pPr>
      <w:r>
        <w:rPr>
          <w:i/>
          <w:iCs/>
          <w:sz w:val="20"/>
          <w:szCs w:val="20"/>
        </w:rPr>
        <w:t>Zazněte, písně! Zněte zápolící, prosvěťte dálky hromu</w:t>
      </w:r>
    </w:p>
    <w:p w:rsidR="00500724" w:rsidRDefault="00F30FB8">
      <w:pPr>
        <w:pStyle w:val="Zkladntext20"/>
        <w:shd w:val="clear" w:color="auto" w:fill="auto"/>
        <w:spacing w:line="175" w:lineRule="auto"/>
        <w:ind w:firstLine="0"/>
        <w:jc w:val="right"/>
        <w:rPr>
          <w:sz w:val="20"/>
          <w:szCs w:val="20"/>
        </w:rPr>
      </w:pPr>
      <w:r>
        <w:rPr>
          <w:i/>
          <w:iCs/>
          <w:sz w:val="20"/>
          <w:szCs w:val="20"/>
        </w:rPr>
        <w:t>blýskavicí, p</w:t>
      </w:r>
      <w:r>
        <w:rPr>
          <w:i/>
          <w:iCs/>
          <w:sz w:val="20"/>
          <w:szCs w:val="20"/>
        </w:rPr>
        <w:t>rostory vlasti nepožehnané, vzbouzejte k činu, aby</w:t>
      </w:r>
    </w:p>
    <w:p w:rsidR="00500724" w:rsidRDefault="00F30FB8">
      <w:pPr>
        <w:pStyle w:val="Zkladntext20"/>
        <w:shd w:val="clear" w:color="auto" w:fill="auto"/>
        <w:spacing w:line="175" w:lineRule="auto"/>
        <w:ind w:firstLine="0"/>
        <w:jc w:val="right"/>
        <w:rPr>
          <w:sz w:val="20"/>
          <w:szCs w:val="20"/>
        </w:rPr>
      </w:pPr>
      <w:r>
        <w:rPr>
          <w:i/>
          <w:iCs/>
          <w:sz w:val="20"/>
          <w:szCs w:val="20"/>
        </w:rPr>
        <w:t>vstali všiti</w:t>
      </w:r>
    </w:p>
    <w:p w:rsidR="00500724" w:rsidRDefault="00F30FB8">
      <w:pPr>
        <w:pStyle w:val="Zkladntext20"/>
        <w:shd w:val="clear" w:color="auto" w:fill="auto"/>
        <w:spacing w:line="175" w:lineRule="auto"/>
        <w:ind w:firstLine="0"/>
        <w:rPr>
          <w:sz w:val="20"/>
          <w:szCs w:val="20"/>
        </w:rPr>
      </w:pPr>
      <w:r>
        <w:rPr>
          <w:i/>
          <w:iCs/>
          <w:sz w:val="20"/>
          <w:szCs w:val="20"/>
        </w:rPr>
        <w:t>a v pluky řadili se při polnici, až rudý východ v ohni</w:t>
      </w:r>
    </w:p>
    <w:p w:rsidR="00500724" w:rsidRDefault="00F30FB8">
      <w:pPr>
        <w:pStyle w:val="Zkladntext20"/>
        <w:shd w:val="clear" w:color="auto" w:fill="auto"/>
        <w:spacing w:line="175" w:lineRule="auto"/>
        <w:ind w:firstLine="0"/>
        <w:jc w:val="right"/>
        <w:rPr>
          <w:sz w:val="20"/>
          <w:szCs w:val="20"/>
        </w:rPr>
      </w:pPr>
      <w:r>
        <w:rPr>
          <w:i/>
          <w:iCs/>
          <w:sz w:val="20"/>
          <w:szCs w:val="20"/>
        </w:rPr>
        <w:t>zaplane.</w:t>
      </w:r>
    </w:p>
    <w:p w:rsidR="00500724" w:rsidRDefault="00F30FB8">
      <w:pPr>
        <w:spacing w:line="1" w:lineRule="exact"/>
        <w:rPr>
          <w:sz w:val="2"/>
          <w:szCs w:val="2"/>
        </w:rPr>
      </w:pPr>
      <w:r>
        <w:br w:type="column"/>
      </w:r>
    </w:p>
    <w:p w:rsidR="00500724" w:rsidRDefault="00F30FB8">
      <w:pPr>
        <w:pStyle w:val="Zkladntext40"/>
        <w:shd w:val="clear" w:color="auto" w:fill="auto"/>
        <w:spacing w:after="120"/>
      </w:pPr>
      <w:r>
        <w:t>nitého, který tak vyznívá neza</w:t>
      </w:r>
      <w:r>
        <w:softHyphen/>
        <w:t>pomenutelně touto knihou v osla</w:t>
      </w:r>
      <w:r>
        <w:softHyphen/>
        <w:t>vu tvůrčí práce, plné odříkání a sebeobětování, té práce, která</w:t>
      </w:r>
      <w:r>
        <w:t xml:space="preserve"> si vyžaduje celého člověka i umělce a jež jediná vede k výšinám bo</w:t>
      </w:r>
      <w:r>
        <w:softHyphen/>
        <w:t>žím. Cena brož. svazku je 15 K.</w:t>
      </w:r>
    </w:p>
    <w:p w:rsidR="00500724" w:rsidRDefault="00F30FB8">
      <w:pPr>
        <w:pStyle w:val="Zkladntext90"/>
        <w:shd w:val="clear" w:color="auto" w:fill="auto"/>
        <w:spacing w:after="40" w:line="240" w:lineRule="auto"/>
        <w:ind w:right="600" w:firstLine="0"/>
        <w:jc w:val="left"/>
      </w:pPr>
      <w:r>
        <w:t>Hans Carossa: SETKÁNÍ S BÍLKEM</w:t>
      </w:r>
    </w:p>
    <w:p w:rsidR="00500724" w:rsidRDefault="00F30FB8">
      <w:pPr>
        <w:pStyle w:val="Zkladntext40"/>
        <w:shd w:val="clear" w:color="auto" w:fill="auto"/>
        <w:spacing w:after="40" w:line="173" w:lineRule="auto"/>
        <w:jc w:val="center"/>
      </w:pPr>
      <w:r>
        <w:t>(Na okraj vydáni Rilkovy lyrické</w:t>
      </w:r>
      <w:r>
        <w:br/>
        <w:t>sbírky »Sad«.)</w:t>
      </w:r>
    </w:p>
    <w:p w:rsidR="00500724" w:rsidRDefault="00F30FB8">
      <w:pPr>
        <w:pStyle w:val="Zkladntext40"/>
        <w:shd w:val="clear" w:color="auto" w:fill="auto"/>
        <w:spacing w:after="0"/>
      </w:pPr>
      <w:r>
        <w:t xml:space="preserve">Dřív než jsem nastoupil cestu k evropským bojištím, dostalo se mi požehnání: </w:t>
      </w:r>
      <w:r>
        <w:t xml:space="preserve">potkal mne </w:t>
      </w:r>
      <w:r>
        <w:rPr>
          <w:lang w:val="en-US" w:eastAsia="en-US" w:bidi="en-US"/>
        </w:rPr>
        <w:t xml:space="preserve">Rainer </w:t>
      </w:r>
      <w:r>
        <w:t>Maria Rilke. Mladá Regina Ull- mannová, jejíž samorostle silné verše a povídky budily již tehdy mnoho pozornosti, mne povzbu</w:t>
      </w:r>
      <w:r>
        <w:softHyphen/>
        <w:t>dila, abych vyhledal básníka v atelieru, kde většinou trávíval od</w:t>
      </w:r>
      <w:r>
        <w:softHyphen/>
        <w:t>poledne; že je připraven, že neni třeba žádného</w:t>
      </w:r>
      <w:r>
        <w:t xml:space="preserve"> zvláštního ohláše</w:t>
      </w:r>
      <w:r>
        <w:softHyphen/>
        <w:t>ní. Přišel jsem před dům, rrávě když k němu přicházel sám Rilke. Podíval se na mne pohledem, kte</w:t>
      </w:r>
      <w:r>
        <w:softHyphen/>
        <w:t>rý byl ostrý, ale úplně nepřítom</w:t>
      </w:r>
      <w:r>
        <w:softHyphen/>
        <w:t>ný. Nepřipadalo mi už vhodným, odložit návštěvu; neboť to bych byl udělal nejraději. Ten zcela nenápadný, ú</w:t>
      </w:r>
      <w:r>
        <w:t>tlý muž, který zde přecházel ulici, v těmně modrých šatech, s měkkým Černým klobou</w:t>
      </w:r>
      <w:r>
        <w:softHyphen/>
        <w:t>kem a šedivými kamašemi, s ru</w:t>
      </w:r>
      <w:r>
        <w:softHyphen/>
        <w:t>kama na zádech, zdál se mi totiž ve stavu, v němž oslovit člověka nemělo by být dovoleno. Cizí, kte</w:t>
      </w:r>
      <w:r>
        <w:softHyphen/>
        <w:t>ří by ho byli spatřili, mohli by myslit, že</w:t>
      </w:r>
      <w:r>
        <w:t xml:space="preserve"> nějaký skromný hlou</w:t>
      </w:r>
      <w:r>
        <w:softHyphen/>
        <w:t>bal se loudá unaven životem ke svému smutnému obydlí. Cím ví</w:t>
      </w:r>
      <w:r>
        <w:softHyphen/>
        <w:t>ce jsem přicházel, tím nápadnější mi byla vyhaslost jeho obličeje: podobný dojem zanechal ve mně velký lesní pták, jehož jsem kdy</w:t>
      </w:r>
      <w:r>
        <w:softHyphen/>
        <w:t>si viděl umírat. Nemohlo mne ni</w:t>
      </w:r>
      <w:r>
        <w:softHyphen/>
        <w:t>kterak udivi</w:t>
      </w:r>
      <w:r>
        <w:t>t, že člověk, který se oddal neobyčejným výkonům, vy</w:t>
      </w:r>
      <w:r>
        <w:softHyphen/>
        <w:t>hlížel také jednou neobyčejně unaven, a kdybych byl dokonce věděl, že právě tehdy počaly v něm zaznívat ony vítězné nářky, které byly později prosloveny Ja</w:t>
      </w:r>
      <w:r>
        <w:softHyphen/>
        <w:t>ko »Elegie z Duir.a«, byl by mi býval jeho vzhl</w:t>
      </w:r>
      <w:r>
        <w:t>ed ještě pochopi</w:t>
      </w:r>
      <w:r>
        <w:softHyphen/>
        <w:t>telnější. Kdo předl na takových básních, musil se vždy opět spu</w:t>
      </w:r>
      <w:r>
        <w:softHyphen/>
        <w:t>stit na dno své vlastni duše jako lovec perel, kde mu hrozilo nebe</w:t>
      </w:r>
      <w:r>
        <w:softHyphen/>
        <w:t>zpečí, že podlehne tlaku hořeních vrstev a zbloudí při zpáteční cestě.</w:t>
      </w:r>
    </w:p>
    <w:p w:rsidR="00500724" w:rsidRDefault="00F30FB8">
      <w:pPr>
        <w:pStyle w:val="Zkladntext40"/>
        <w:shd w:val="clear" w:color="auto" w:fill="auto"/>
        <w:spacing w:after="0"/>
      </w:pPr>
      <w:r>
        <w:t>Stáli jsme teď právě tváří v tvář; ne</w:t>
      </w:r>
      <w:r>
        <w:t>bylo už vyhnutí a představil jsem se mu, cítě zpola, že se do</w:t>
      </w:r>
      <w:r>
        <w:softHyphen/>
        <w:t>pouštím bezpráví: Opravdu, když jsem smekl klobouk, udělal Rilke úzkostlivě bezděčný pohyb; leč vyslovení mého jména jej udob</w:t>
      </w:r>
      <w:r>
        <w:softHyphen/>
        <w:t xml:space="preserve">řilo </w:t>
      </w:r>
      <w:r>
        <w:rPr>
          <w:sz w:val="14"/>
          <w:szCs w:val="14"/>
        </w:rPr>
        <w:t xml:space="preserve">a poznal jsem rád, že mu </w:t>
      </w:r>
      <w:r>
        <w:t>už nebylo těžké, vrátit se z per</w:t>
      </w:r>
      <w:r>
        <w:softHyphen/>
        <w:t xml:space="preserve">lové </w:t>
      </w:r>
      <w:r>
        <w:t>hlubiny. Jeho oči byly v této minutě velmi modré; vycházel z nich pohled plný jasného světla, pohled, který byl pojednou chla</w:t>
      </w:r>
      <w:r>
        <w:softHyphen/>
        <w:t>pecky radostný a nepopsatelně něžný. Podal mi ruku a řekl, že mu je, jako by mne znal po celý život. Zatím co jsem s ním nyní vyst</w:t>
      </w:r>
      <w:r>
        <w:t>upoval do čtvrtého poschodí k atelieru, musil jsem si přiznati, že ještě nejsem tak dokonale obe</w:t>
      </w:r>
      <w:r>
        <w:softHyphen/>
        <w:t xml:space="preserve">známen v jeho básnění. Jak </w:t>
      </w:r>
      <w:r>
        <w:rPr>
          <w:b/>
          <w:bCs/>
          <w:sz w:val="16"/>
          <w:szCs w:val="16"/>
        </w:rPr>
        <w:t xml:space="preserve">sl </w:t>
      </w:r>
      <w:r>
        <w:t>to</w:t>
      </w:r>
      <w:r>
        <w:br w:type="column"/>
        <w:t xml:space="preserve">zasluhovalo, ba, že jsem </w:t>
      </w:r>
      <w:r>
        <w:rPr>
          <w:b/>
          <w:bCs/>
          <w:sz w:val="16"/>
          <w:szCs w:val="16"/>
        </w:rPr>
        <w:t xml:space="preserve">Je </w:t>
      </w:r>
      <w:r>
        <w:t>do</w:t>
      </w:r>
      <w:r>
        <w:softHyphen/>
        <w:t>konce po určitou dobu opomíjel, zaveden způsobem, jak je někteří napodobovali a odmítali vše mi</w:t>
      </w:r>
      <w:r>
        <w:t>mo ně. Od svých žákovských let jsem četl mimo mnoha nového vždy opět Homéra, Shakespeara a Goe- tha, čas od času také překlad Danta od Karla Wlttese. Mé mlá</w:t>
      </w:r>
      <w:r>
        <w:softHyphen/>
        <w:t xml:space="preserve">dí živila jadrná a hvězdná slova Goethova, postava, jako </w:t>
      </w:r>
      <w:r>
        <w:rPr>
          <w:lang w:val="en-US" w:eastAsia="en-US" w:bidi="en-US"/>
        </w:rPr>
        <w:t xml:space="preserve">Mignon, </w:t>
      </w:r>
      <w:r>
        <w:t>mne vytrhla z mnohého zoufal</w:t>
      </w:r>
      <w:r>
        <w:softHyphen/>
        <w:t>ství;</w:t>
      </w:r>
      <w:r>
        <w:t xml:space="preserve"> přidržoval jsem se tohoto ducha a srovnával jsem poža</w:t>
      </w:r>
      <w:r>
        <w:softHyphen/>
        <w:t>davky přítomnosti s jeho. Stalo se však vícekrát, že přátelé, kteří podléhali kouzlu Rilkovy básně, nejen že Goetha do budoucna rá</w:t>
      </w:r>
      <w:r>
        <w:softHyphen/>
        <w:t>di postrádali, oni jej také snižo</w:t>
      </w:r>
      <w:r>
        <w:softHyphen/>
        <w:t>vali a zamítali. Připadalo mi to, ja</w:t>
      </w:r>
      <w:r>
        <w:t>ko by někdo v zahradě, kde vzešel květ nového druhu nádher</w:t>
      </w:r>
      <w:r>
        <w:softHyphen/>
        <w:t>ných růžl, chtěl od nynějška pěs</w:t>
      </w:r>
      <w:r>
        <w:softHyphen/>
        <w:t>tit a obdivovat jen ještě tyto, ale nedopřát už žádného opatrováni a péče ušlechtilé révě, plné hroz</w:t>
      </w:r>
      <w:r>
        <w:softHyphen/>
        <w:t>nů, která se rozprostírá na slun</w:t>
      </w:r>
      <w:r>
        <w:softHyphen/>
        <w:t xml:space="preserve">né špalírové stěně. Můj tichý </w:t>
      </w:r>
      <w:r>
        <w:t>od</w:t>
      </w:r>
      <w:r>
        <w:softHyphen/>
        <w:t>por nepřemohly zcela ani »Modli- ci knížky«, leč »Kniha obrazů«, nejkrásnější ze všech, nejodváž</w:t>
      </w:r>
      <w:r>
        <w:softHyphen/>
        <w:t>nější z jeho děl mladistvých, zů</w:t>
      </w:r>
      <w:r>
        <w:softHyphen/>
        <w:t>stala mi neznámou. Byly to dvě nádherné básně z Rekviem, které mi daly nejdřív pocítit, kdo vlast</w:t>
      </w:r>
      <w:r>
        <w:softHyphen/>
        <w:t xml:space="preserve">ně Rilke byl. Tyto velké </w:t>
      </w:r>
      <w:r>
        <w:t>nářky | nad mrtvými doznívaly na mne v prvním okamžiku brzy jako Hamlet, brzy jako Hoffmanns- thaiova Alkestis; ale od verše k verši znělo mi jímavěji vstříc to Druhé, to Vlastní, překonání smut</w:t>
      </w:r>
      <w:r>
        <w:softHyphen/>
        <w:t>ku smrti velkým blaženým odří</w:t>
      </w:r>
      <w:r>
        <w:softHyphen/>
        <w:t xml:space="preserve">káním, tragickou mluvou nového </w:t>
      </w:r>
      <w:r>
        <w:t>lidství. Byl jsem nyní připraven pochopit také Malta Laurids Brigga, a jeho nejdůležitějšl stránky mne stihly ve dnech, kdy mne mohly přenésti přes mnohou těžkost. Nenadálý tón, ten brzy okouzlující, brzy trápící , cizí lesk přirovnání, neúprosné domýšleni</w:t>
      </w:r>
      <w:r>
        <w:t xml:space="preserve"> do konce a hledění do konce, je</w:t>
      </w:r>
      <w:r>
        <w:softHyphen/>
        <w:t>hož se odvažuje jen Osamělý, oproštěný všech občanských zá</w:t>
      </w:r>
      <w:r>
        <w:softHyphen/>
        <w:t>vazků, to všechno musilo mnou pohnouti tím silněji, protože prá</w:t>
      </w:r>
      <w:r>
        <w:softHyphen/>
        <w:t>vě tyto závazky byly pro mne ne</w:t>
      </w:r>
      <w:r>
        <w:softHyphen/>
        <w:t>zbytností. Později mne nabádal Hoffmannsthal, abych ěetl »Nové básně</w:t>
      </w:r>
      <w:r>
        <w:t>« a rozumí se ovšem, že mi živě tanuly na mysli právě tyto, v každém směru nové básnické obrazy, když jsem nyní seděl na</w:t>
      </w:r>
      <w:r>
        <w:softHyphen/>
        <w:t>proti básníkovi, v malířské dílně, bohaté na světlo a provoněné ter</w:t>
      </w:r>
      <w:r>
        <w:softHyphen/>
        <w:t>pentýnem. Zde svědčilo vše o vel</w:t>
      </w:r>
      <w:r>
        <w:softHyphen/>
        <w:t>ké pili Loulou Albert-Lazardové, j</w:t>
      </w:r>
      <w:r>
        <w:t>íž patřila tato místnost; stěny byly plny hotových a nehotových obrazů; některé byly tajuplně obráceny ke zdi. Bylo to však, jako by přítomnost básníkova ne</w:t>
      </w:r>
      <w:r>
        <w:softHyphen/>
        <w:t>dovolila uplatnit se žádné malbě; zdály se pro tentokrát určeny jen k tomu, aby v hostu vzbudily hl</w:t>
      </w:r>
      <w:r>
        <w:t>ubší smysl k onomu barev plnému umění sloh. Kdykoli jsem si chtěl lépe prohlédnout výborné portréty a krajiny, vystoupily mezi plátno a oko nezapomenu</w:t>
      </w:r>
      <w:r>
        <w:softHyphen/>
        <w:t>telné obrazy z Hrobů hetér, z Panthera, z Kolotoče nebo z vel</w:t>
      </w:r>
      <w:r>
        <w:softHyphen/>
        <w:t>kého Magnifikat.</w:t>
      </w:r>
    </w:p>
    <w:p w:rsidR="00500724" w:rsidRDefault="00F30FB8">
      <w:pPr>
        <w:spacing w:line="1" w:lineRule="exact"/>
        <w:rPr>
          <w:sz w:val="2"/>
          <w:szCs w:val="2"/>
        </w:rPr>
      </w:pPr>
      <w:r>
        <w:br w:type="column"/>
      </w:r>
    </w:p>
    <w:p w:rsidR="00500724" w:rsidRDefault="00F30FB8">
      <w:pPr>
        <w:pStyle w:val="Zkladntext40"/>
        <w:shd w:val="clear" w:color="auto" w:fill="auto"/>
        <w:spacing w:after="0"/>
        <w:ind w:firstLine="240"/>
      </w:pPr>
      <w:r>
        <w:t>Mnozí, kteři rozmlouvali</w:t>
      </w:r>
      <w:r>
        <w:t xml:space="preserve"> s Ril- kem, velebí jeho nenapodobitelný způsob, stavět sebe samého do ■ stínu a odvracet všechno světlo na vzdálené věci, nebo též na ně- . kterou z přítomných osob, kterou to rušilo méně než jej. Vyprávěl- 11 třeba o svých cestách, opomi</w:t>
      </w:r>
      <w:r>
        <w:softHyphen/>
        <w:t>nul při tom sebe</w:t>
      </w:r>
      <w:r>
        <w:t xml:space="preserve"> úplně; těšil ses z tiché sily vyzařování, se kterou popisoval španělské, ruské nebo egyptské krajiny, a ptal ses te- ; prve dodatečně, zda tato draho</w:t>
      </w:r>
      <w:r>
        <w:softHyphen/>
        <w:t>cenná líčení nesloužila nakonec jen k tomu. aby skryla hluboké údolí duše, kde rostly jeho básně.</w:t>
      </w:r>
    </w:p>
    <w:p w:rsidR="00500724" w:rsidRDefault="00F30FB8">
      <w:pPr>
        <w:pStyle w:val="Zkladntext40"/>
        <w:shd w:val="clear" w:color="auto" w:fill="auto"/>
        <w:spacing w:after="0"/>
        <w:ind w:firstLine="240"/>
      </w:pPr>
      <w:r>
        <w:t>Přišla-</w:t>
      </w:r>
      <w:r>
        <w:t>li přece řeč skutečně jed</w:t>
      </w:r>
      <w:r>
        <w:softHyphen/>
        <w:t>nou na jeho knihy, mohl být ne</w:t>
      </w:r>
      <w:r>
        <w:softHyphen/>
        <w:t>zasvěcený, zajatec starých před</w:t>
      </w:r>
      <w:r>
        <w:softHyphen/>
        <w:t xml:space="preserve">stav, teprve hodně udiven; neboť ■ Rilke mluvil o básnění vždy jen jako o řemeslu, jako by námaha byla vše, nadání nic. Zčásti to </w:t>
      </w:r>
      <w:r>
        <w:rPr>
          <w:b/>
          <w:bCs/>
          <w:sz w:val="16"/>
          <w:szCs w:val="16"/>
        </w:rPr>
        <w:t xml:space="preserve">i </w:t>
      </w:r>
      <w:r>
        <w:t>byl zajisté výraz jeho dobroty, jeh</w:t>
      </w:r>
      <w:r>
        <w:t>o šlechtické zdvořilosti, když tak činil, jako by u posluchače předpokládal hudbu nitra, rovnou své; ale brzy se přece vycítilo, jak velmi vážně to bral, když své tvoření vydával vždy jen za prá</w:t>
      </w:r>
      <w:r>
        <w:softHyphen/>
        <w:t>ci a o plodech řeči mluvil tak pokorně, jako asi mluvíval Cé-</w:t>
      </w:r>
      <w:r>
        <w:t xml:space="preserve"> , zanne o průběhu malování. Na štěstí jsem, dosti pozdě, dospěl toho stupně názoru, kde jsem mu mohl rozumět. Minulo velké bož</w:t>
      </w:r>
      <w:r>
        <w:softHyphen/>
        <w:t>sky žhoucí jitro, kdy takový Pindaros vyzpíval z řecké duše sta hymen; a když Hólderlin za- . čal mezi Němci r.ěco podobného, by</w:t>
      </w:r>
      <w:r>
        <w:t>l ubit šílenstvím. Provázen má</w:t>
      </w:r>
      <w:r>
        <w:softHyphen/>
        <w:t>lo přáteli, jde dnes básník pře- bdělými dny a nocemi, už neni žádného šera, jež ochraňuje jeho sen, všude o něho ukládají du</w:t>
      </w:r>
      <w:r>
        <w:softHyphen/>
        <w:t xml:space="preserve">chové, kteři by ho rádi předstihli a uěinlli ho z jasnovidce křikav- cem. Nepotřebuje jen heroické </w:t>
      </w:r>
      <w:r>
        <w:t>trpělivosti, nýbrž 1 posvátné lsti, aby vyplnil příkaz své duše, a mohlo by dojít k tomu, že by mu</w:t>
      </w:r>
      <w:r>
        <w:softHyphen/>
        <w:t>sil započiti s tajemnou řečí, aby nebyl příliš brzy poznán. Kouzel</w:t>
      </w:r>
      <w:r>
        <w:softHyphen/>
        <w:t>ný proutek chvěje se ovšem také v jeho ruce, ale široké ztrnulé vrstvy lezl mezi životem o</w:t>
      </w:r>
      <w:r>
        <w:t>bvyk</w:t>
      </w:r>
      <w:r>
        <w:softHyphen/>
        <w:t>lým a onou hlubinou, kde vzniká zpěv. A jako musíme na někte</w:t>
      </w:r>
      <w:r>
        <w:softHyphen/>
        <w:t>rých místech dlouho kopati, aby</w:t>
      </w:r>
      <w:r>
        <w:softHyphen/>
        <w:t>chom narazili na vodu, je také možné, že dnes již jen sled mno- ■ hých pokusů může otevřiti zasy</w:t>
      </w:r>
      <w:r>
        <w:softHyphen/>
        <w:t>paný pramen. Mladému Rilkovi . se dařily verše neobyčejně leh</w:t>
      </w:r>
      <w:r>
        <w:t>ce. : Ve způsobu sModlicích knížek«, mínil kdys, byl by býval mohl Ještě dlouho pokračovat. S lety však rostly jeho požadavky na umění: chtěl kutat hlouběji a hle</w:t>
      </w:r>
      <w:r>
        <w:softHyphen/>
        <w:t>dět. Od Rodina se naučil nazírat na strom, na zvíře, na sochu, na člověka nebo na figuru ději</w:t>
      </w:r>
      <w:r>
        <w:t>n, pře</w:t>
      </w:r>
      <w:r>
        <w:softHyphen/>
        <w:t>dávanou tak často a tak důklad</w:t>
      </w:r>
      <w:r>
        <w:softHyphen/>
        <w:t>ně, že se v něm pojednou vyno</w:t>
      </w:r>
      <w:r>
        <w:softHyphen/>
        <w:t>řilo bytostné zjevení pozorované- . ho. Tento postup mi nebyl zcela neznám; malý anthroposoíickí' článek, který mi přišel na oči, vy- . povídal totéž; považoval jsem však tato duchovní cvi</w:t>
      </w:r>
      <w:r>
        <w:t xml:space="preserve"> Cení za pří</w:t>
      </w:r>
      <w:r>
        <w:softHyphen/>
        <w:t>liš těžká a zdlouhavá, abych se do nich sám pustil.</w:t>
      </w:r>
    </w:p>
    <w:p w:rsidR="00500724" w:rsidRDefault="00F30FB8">
      <w:pPr>
        <w:pStyle w:val="Zkladntext40"/>
        <w:shd w:val="clear" w:color="auto" w:fill="auto"/>
        <w:spacing w:after="0"/>
        <w:jc w:val="left"/>
        <w:sectPr w:rsidR="00500724">
          <w:footnotePr>
            <w:numFmt w:val="chicago"/>
            <w:numRestart w:val="eachPage"/>
          </w:footnotePr>
          <w:type w:val="continuous"/>
          <w:pgSz w:w="11909" w:h="16834"/>
          <w:pgMar w:top="401" w:right="537" w:bottom="401" w:left="996" w:header="0" w:footer="3" w:gutter="0"/>
          <w:cols w:num="4" w:space="100"/>
          <w:noEndnote/>
          <w:docGrid w:linePitch="360"/>
        </w:sectPr>
      </w:pPr>
      <w:r>
        <w:t>Namlouval jsem si, že by mohla platit Jen pro věci odpočívající, méně pro silně pohnuté a nejmé</w:t>
      </w:r>
      <w:r>
        <w:softHyphen/>
        <w:t>ně pro člověka. Přes něj musily přejiti osudy, které Jej přivedly</w:t>
      </w:r>
      <w:r>
        <w:t xml:space="preserve"> do zmateně velkých postavení; tato pak na něm vynutila neza</w:t>
      </w:r>
      <w:r>
        <w:softHyphen/>
        <w:t>pomenutelné tváře, stručná slova, hluboké něžné vzdechy, které da</w:t>
      </w:r>
      <w:r>
        <w:softHyphen/>
        <w:t>ly výraz jeho nejtajemnějšímu. Snad jsem to shledal vůbec trap</w:t>
      </w:r>
      <w:r>
        <w:softHyphen/>
        <w:t xml:space="preserve">ným, zastavit zároveň proud </w:t>
      </w:r>
      <w:r>
        <w:rPr>
          <w:b/>
          <w:bCs/>
          <w:sz w:val="16"/>
          <w:szCs w:val="16"/>
        </w:rPr>
        <w:t>své</w:t>
      </w:r>
      <w:r>
        <w:rPr>
          <w:b/>
          <w:bCs/>
          <w:sz w:val="16"/>
          <w:szCs w:val="16"/>
        </w:rPr>
        <w:softHyphen/>
      </w:r>
      <w:r>
        <w:t>ho života, aby vzniklo dílo. My»-</w:t>
      </w:r>
    </w:p>
    <w:p w:rsidR="00500724" w:rsidRDefault="00F30FB8">
      <w:pPr>
        <w:spacing w:line="14" w:lineRule="exact"/>
      </w:pPr>
      <w:r>
        <w:rPr>
          <w:noProof/>
        </w:rPr>
        <mc:AlternateContent>
          <mc:Choice Requires="wps">
            <w:drawing>
              <wp:anchor distT="38100" distB="38100" distL="38100" distR="38100" simplePos="0" relativeHeight="125829600" behindDoc="0" locked="0" layoutInCell="1" allowOverlap="1">
                <wp:simplePos x="0" y="0"/>
                <wp:positionH relativeFrom="page">
                  <wp:posOffset>48895</wp:posOffset>
                </wp:positionH>
                <wp:positionV relativeFrom="paragraph">
                  <wp:posOffset>12700</wp:posOffset>
                </wp:positionV>
                <wp:extent cx="1615440" cy="762000"/>
                <wp:effectExtent l="0" t="0" r="0" b="0"/>
                <wp:wrapSquare wrapText="bothSides"/>
                <wp:docPr id="223" name="Shape 223"/>
                <wp:cNvGraphicFramePr/>
                <a:graphic xmlns:a="http://schemas.openxmlformats.org/drawingml/2006/main">
                  <a:graphicData uri="http://schemas.microsoft.com/office/word/2010/wordprocessingShape">
                    <wps:wsp>
                      <wps:cNvSpPr txBox="1"/>
                      <wps:spPr>
                        <a:xfrm>
                          <a:off x="0" y="0"/>
                          <a:ext cx="1615440" cy="762000"/>
                        </a:xfrm>
                        <a:prstGeom prst="rect">
                          <a:avLst/>
                        </a:prstGeom>
                        <a:noFill/>
                      </wps:spPr>
                      <wps:txbx>
                        <w:txbxContent>
                          <w:p w:rsidR="00500724" w:rsidRDefault="00F30FB8">
                            <w:pPr>
                              <w:pStyle w:val="Zkladntext100"/>
                              <w:shd w:val="clear" w:color="auto" w:fill="auto"/>
                              <w:spacing w:line="146" w:lineRule="auto"/>
                              <w:ind w:firstLine="0"/>
                            </w:pPr>
                            <w:r>
                              <w:t>Ul Jsem, že tim veSlo něco vý</w:t>
                            </w:r>
                            <w:r>
                              <w:softHyphen/>
                              <w:t>chodně cizího do našeho němec</w:t>
                            </w:r>
                            <w:r>
                              <w:softHyphen/>
                              <w:t xml:space="preserve">kého světa snů. Duch Yogy. který </w:t>
                            </w:r>
                            <w:r>
                              <w:rPr>
                                <w:b/>
                                <w:bCs/>
                                <w:sz w:val="19"/>
                                <w:szCs w:val="19"/>
                              </w:rPr>
                              <w:t xml:space="preserve">v </w:t>
                            </w:r>
                            <w:r>
                              <w:t>sobě nenese bezelstně zpívající přírodu, spojuje daleko splSe si</w:t>
                            </w:r>
                            <w:r>
                              <w:softHyphen/>
                              <w:t>lou vůle své paprsky čočkou du</w:t>
                            </w:r>
                            <w:r>
                              <w:softHyphen/>
                              <w:t>še v bod, až se tento vznítí, zně — »Nádherné je na věc hledět</w:t>
                            </w:r>
                            <w:r>
                              <w:t>, hroz</w:t>
                            </w:r>
                            <w:r>
                              <w:softHyphen/>
                              <w:t>né JI být&lt; — také toto nesmírné</w:t>
                            </w:r>
                          </w:p>
                        </w:txbxContent>
                      </wps:txbx>
                      <wps:bodyPr lIns="0" tIns="0" rIns="0" bIns="0">
                        <a:spAutoFit/>
                      </wps:bodyPr>
                    </wps:wsp>
                  </a:graphicData>
                </a:graphic>
              </wp:anchor>
            </w:drawing>
          </mc:Choice>
          <mc:Fallback>
            <w:pict>
              <v:shape id="_x0000_s1249" type="#_x0000_t202" style="position:absolute;margin-left:3.8500000000000001pt;margin-top:1.pt;width:127.2pt;height:60.pt;z-index:-125829153;mso-wrap-distance-left:3.pt;mso-wrap-distance-top:3.pt;mso-wrap-distance-right:3.pt;mso-wrap-distance-bottom:3.pt;mso-position-horizontal-relative:page" filled="f" stroked="f">
                <v:textbox style="mso-fit-shape-to-text:t" inset="0,0,0,0">
                  <w:txbxContent>
                    <w:p>
                      <w:pPr>
                        <w:pStyle w:val="Style344"/>
                        <w:keepNext w:val="0"/>
                        <w:keepLines w:val="0"/>
                        <w:widowControl w:val="0"/>
                        <w:shd w:val="clear" w:color="auto" w:fill="auto"/>
                        <w:bidi w:val="0"/>
                        <w:spacing w:before="0" w:after="0" w:line="146" w:lineRule="auto"/>
                        <w:ind w:left="0" w:right="0" w:firstLine="0"/>
                      </w:pPr>
                      <w:r>
                        <w:rPr>
                          <w:color w:val="000000"/>
                          <w:spacing w:val="0"/>
                          <w:w w:val="100"/>
                          <w:position w:val="0"/>
                          <w:sz w:val="18"/>
                          <w:szCs w:val="18"/>
                          <w:shd w:val="clear" w:color="auto" w:fill="auto"/>
                          <w:lang w:val="cs-CZ" w:eastAsia="cs-CZ" w:bidi="cs-CZ"/>
                        </w:rPr>
                        <w:t>Ul Jsem, že tim veSlo něco vý</w:t>
                        <w:softHyphen/>
                        <w:t>chodně cizího do našeho němec</w:t>
                        <w:softHyphen/>
                        <w:t xml:space="preserve">kého světa snů. Duch Yogy. který </w:t>
                      </w:r>
                      <w:r>
                        <w:rPr>
                          <w:b/>
                          <w:bCs/>
                          <w:color w:val="000000"/>
                          <w:spacing w:val="0"/>
                          <w:w w:val="100"/>
                          <w:position w:val="0"/>
                          <w:sz w:val="19"/>
                          <w:szCs w:val="19"/>
                          <w:shd w:val="clear" w:color="auto" w:fill="auto"/>
                          <w:lang w:val="cs-CZ" w:eastAsia="cs-CZ" w:bidi="cs-CZ"/>
                        </w:rPr>
                        <w:t xml:space="preserve">v </w:t>
                      </w:r>
                      <w:r>
                        <w:rPr>
                          <w:color w:val="000000"/>
                          <w:spacing w:val="0"/>
                          <w:w w:val="100"/>
                          <w:position w:val="0"/>
                          <w:sz w:val="18"/>
                          <w:szCs w:val="18"/>
                          <w:shd w:val="clear" w:color="auto" w:fill="auto"/>
                          <w:lang w:val="cs-CZ" w:eastAsia="cs-CZ" w:bidi="cs-CZ"/>
                        </w:rPr>
                        <w:t>sobě nenese bezelstně zpívající přírodu, spojuje daleko splSe si</w:t>
                        <w:softHyphen/>
                        <w:t>lou vůle své paprsky čočkou du</w:t>
                        <w:softHyphen/>
                        <w:t>še v bod, až se tento vznítí, zně — »Nádherné je na věc hledět, hroz</w:t>
                        <w:softHyphen/>
                        <w:t>né JI být&lt; — také toto nesmírné</w:t>
                      </w:r>
                    </w:p>
                  </w:txbxContent>
                </v:textbox>
                <w10:wrap type="square" anchorx="page"/>
              </v:shape>
            </w:pict>
          </mc:Fallback>
        </mc:AlternateContent>
      </w:r>
      <w:r>
        <w:rPr>
          <w:noProof/>
        </w:rPr>
        <mc:AlternateContent>
          <mc:Choice Requires="wps">
            <w:drawing>
              <wp:anchor distT="755650" distB="1089025" distL="106680" distR="140335" simplePos="0" relativeHeight="125829602" behindDoc="0" locked="0" layoutInCell="1" allowOverlap="1">
                <wp:simplePos x="0" y="0"/>
                <wp:positionH relativeFrom="page">
                  <wp:posOffset>161290</wp:posOffset>
                </wp:positionH>
                <wp:positionV relativeFrom="paragraph">
                  <wp:posOffset>1569720</wp:posOffset>
                </wp:positionV>
                <wp:extent cx="3020695" cy="33210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3020695" cy="33210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PRACOVNÍM STOLKEM</w:t>
                            </w:r>
                          </w:p>
                        </w:txbxContent>
                      </wps:txbx>
                      <wps:bodyPr lIns="0" tIns="0" rIns="0" bIns="0">
                        <a:spAutoFit/>
                      </wps:bodyPr>
                    </wps:wsp>
                  </a:graphicData>
                </a:graphic>
              </wp:anchor>
            </w:drawing>
          </mc:Choice>
          <mc:Fallback>
            <w:pict>
              <v:shape id="_x0000_s1251" type="#_x0000_t202" style="position:absolute;margin-left:12.699999999999999pt;margin-top:123.59999999999999pt;width:237.84999999999999pt;height:26.149999999999999pt;z-index:-125829151;mso-wrap-distance-left:8.4000000000000004pt;mso-wrap-distance-top:59.5pt;mso-wrap-distance-right:11.050000000000001pt;mso-wrap-distance-bottom:85.7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PRACOVNÍM STOLKEM</w:t>
                      </w:r>
                    </w:p>
                  </w:txbxContent>
                </v:textbox>
                <w10:wrap type="topAndBottom" anchorx="page"/>
              </v:shape>
            </w:pict>
          </mc:Fallback>
        </mc:AlternateContent>
      </w:r>
    </w:p>
    <w:p w:rsidR="00500724" w:rsidRDefault="00F30FB8">
      <w:pPr>
        <w:pStyle w:val="Zkladntext100"/>
        <w:shd w:val="clear" w:color="auto" w:fill="auto"/>
        <w:spacing w:line="149" w:lineRule="auto"/>
        <w:ind w:firstLine="0"/>
      </w:pPr>
      <w:r>
        <w:t xml:space="preserve">slovo Budhovo zaznívalo vpravdě právě na západě; nepochopil jsem Je v celém Jeho významu; když Jsem ověem četl starého Goetha, bylo ml, Jako by Je už dávno znal. Jenomže sl zachoval svůj božsky </w:t>
      </w:r>
      <w:r>
        <w:t>plynoucí zrcadlový klid, nespustlv se do námahy.</w:t>
      </w:r>
    </w:p>
    <w:p w:rsidR="00500724" w:rsidRDefault="00F30FB8">
      <w:pPr>
        <w:pStyle w:val="Zkladntext100"/>
        <w:shd w:val="clear" w:color="auto" w:fill="auto"/>
        <w:spacing w:after="80" w:line="149" w:lineRule="auto"/>
        <w:ind w:firstLine="0"/>
        <w:jc w:val="right"/>
      </w:pPr>
      <w:r>
        <w:t>Přel. Vladimír Holan</w:t>
      </w:r>
    </w:p>
    <w:p w:rsidR="00500724" w:rsidRDefault="00F30FB8">
      <w:pPr>
        <w:pStyle w:val="Jin0"/>
        <w:shd w:val="clear" w:color="auto" w:fill="auto"/>
        <w:spacing w:before="120" w:after="40"/>
        <w:ind w:left="160" w:firstLine="40"/>
        <w:rPr>
          <w:sz w:val="26"/>
          <w:szCs w:val="26"/>
        </w:rPr>
      </w:pPr>
      <w:r>
        <w:rPr>
          <w:rFonts w:ascii="Arial" w:eastAsia="Arial" w:hAnsi="Arial" w:cs="Arial"/>
          <w:b/>
          <w:bCs/>
          <w:sz w:val="26"/>
          <w:szCs w:val="26"/>
        </w:rPr>
        <w:t>Lidové vydání díla</w:t>
      </w:r>
    </w:p>
    <w:p w:rsidR="00500724" w:rsidRDefault="00F30FB8">
      <w:pPr>
        <w:pStyle w:val="Jin0"/>
        <w:shd w:val="clear" w:color="auto" w:fill="auto"/>
        <w:spacing w:after="40"/>
        <w:ind w:left="160" w:firstLine="40"/>
        <w:rPr>
          <w:sz w:val="34"/>
          <w:szCs w:val="34"/>
        </w:rPr>
      </w:pPr>
      <w:r>
        <w:rPr>
          <w:rFonts w:ascii="Arial" w:eastAsia="Arial" w:hAnsi="Arial" w:cs="Arial"/>
          <w:b/>
          <w:bCs/>
          <w:sz w:val="34"/>
          <w:szCs w:val="34"/>
        </w:rPr>
        <w:t>KAR LA ČAPKA</w:t>
      </w:r>
    </w:p>
    <w:p w:rsidR="00500724" w:rsidRDefault="00F30FB8">
      <w:pPr>
        <w:pStyle w:val="Zkladntext40"/>
        <w:shd w:val="clear" w:color="auto" w:fill="auto"/>
        <w:spacing w:after="0" w:line="170" w:lineRule="auto"/>
        <w:ind w:left="160" w:right="280" w:firstLine="180"/>
        <w:rPr>
          <w:sz w:val="14"/>
          <w:szCs w:val="14"/>
        </w:rPr>
      </w:pPr>
      <w:r>
        <w:rPr>
          <w:b/>
          <w:bCs/>
          <w:sz w:val="16"/>
          <w:szCs w:val="16"/>
        </w:rPr>
        <w:t xml:space="preserve">Nečekaný- úspěch a ohlas, který vzbudilo sešitové vydáni úplného dila zemřelého Karla čapka, svědčí nejvýmluvněj- </w:t>
      </w:r>
      <w:r>
        <w:rPr>
          <w:b/>
          <w:bCs/>
          <w:sz w:val="14"/>
          <w:szCs w:val="14"/>
        </w:rPr>
        <w:t xml:space="preserve">ftlm </w:t>
      </w:r>
      <w:r>
        <w:rPr>
          <w:b/>
          <w:bCs/>
          <w:sz w:val="16"/>
          <w:szCs w:val="16"/>
        </w:rPr>
        <w:t>způsobem o tom, jak i široké vrstvy</w:t>
      </w:r>
      <w:r>
        <w:rPr>
          <w:b/>
          <w:bCs/>
          <w:sz w:val="16"/>
          <w:szCs w:val="16"/>
        </w:rPr>
        <w:t xml:space="preserve"> čtenářů jsou si vě- úomy trvalých a nepomíjejících hodnot přebohatého sloves</w:t>
      </w:r>
      <w:r>
        <w:rPr>
          <w:b/>
          <w:bCs/>
          <w:sz w:val="16"/>
          <w:szCs w:val="16"/>
        </w:rPr>
        <w:softHyphen/>
        <w:t>ného odkazu jednoho z největších našich současných spiso</w:t>
      </w:r>
      <w:r>
        <w:rPr>
          <w:b/>
          <w:bCs/>
          <w:sz w:val="16"/>
          <w:szCs w:val="16"/>
        </w:rPr>
        <w:softHyphen/>
      </w:r>
      <w:r>
        <w:rPr>
          <w:b/>
          <w:bCs/>
          <w:sz w:val="14"/>
          <w:szCs w:val="14"/>
        </w:rPr>
        <w:t>vatelů.</w:t>
      </w:r>
    </w:p>
    <w:p w:rsidR="00500724" w:rsidRDefault="00F30FB8">
      <w:pPr>
        <w:pStyle w:val="Zkladntext40"/>
        <w:shd w:val="clear" w:color="auto" w:fill="auto"/>
        <w:spacing w:after="0" w:line="168" w:lineRule="auto"/>
        <w:ind w:left="160" w:right="280" w:firstLine="180"/>
        <w:rPr>
          <w:sz w:val="16"/>
          <w:szCs w:val="16"/>
        </w:rPr>
      </w:pPr>
      <w:r>
        <w:rPr>
          <w:b/>
          <w:bCs/>
          <w:sz w:val="16"/>
          <w:szCs w:val="16"/>
        </w:rPr>
        <w:t>Lidové vydání díla Karla Čapka v sešitech, tištěné na dobrém dílovém papíře, jsme zahájili slavnou románovou tril</w:t>
      </w:r>
      <w:r>
        <w:rPr>
          <w:b/>
          <w:bCs/>
          <w:sz w:val="16"/>
          <w:szCs w:val="16"/>
        </w:rPr>
        <w:t>ogií Hordubal, Po větroň a Obyčejný život. Vedle knih Karla Čapka, vydaných již ve Spisech Bratři Čapků, vyjdou zde také všechny Čapkovy, v organické celky zladěné práce, nalezené v rukopisné pozůstalosti, věci rozptýlené po novi</w:t>
      </w:r>
      <w:r>
        <w:rPr>
          <w:b/>
          <w:bCs/>
          <w:sz w:val="16"/>
          <w:szCs w:val="16"/>
        </w:rPr>
        <w:softHyphen/>
        <w:t>nách, bibliofiliích, různý</w:t>
      </w:r>
      <w:r>
        <w:rPr>
          <w:b/>
          <w:bCs/>
          <w:sz w:val="16"/>
          <w:szCs w:val="16"/>
        </w:rPr>
        <w:t>ch publikacích, časopisech a revuích (Apokryfy, rozšířená Kritika slov, Podpovídky, Bajky, román Život a dílo skladatele Foltýna) a konečně práce, uveřejňo</w:t>
      </w:r>
      <w:r>
        <w:rPr>
          <w:b/>
          <w:bCs/>
          <w:sz w:val="16"/>
          <w:szCs w:val="16"/>
        </w:rPr>
        <w:softHyphen/>
        <w:t>vané pod značkami atd. Odběratelé získají celé Čapkovo dilo neobyčejně levně, jak svědčí fakt, že</w:t>
      </w:r>
    </w:p>
    <w:p w:rsidR="00500724" w:rsidRDefault="00F30FB8">
      <w:pPr>
        <w:pStyle w:val="Zkladntext100"/>
        <w:shd w:val="clear" w:color="auto" w:fill="auto"/>
        <w:spacing w:line="187" w:lineRule="auto"/>
        <w:ind w:left="160" w:right="280" w:firstLine="40"/>
        <w:rPr>
          <w:sz w:val="19"/>
          <w:szCs w:val="19"/>
        </w:rPr>
      </w:pPr>
      <w:r>
        <w:rPr>
          <w:b/>
          <w:bCs/>
          <w:sz w:val="19"/>
          <w:szCs w:val="19"/>
        </w:rPr>
        <w:t>román Hordubal, který obsáhne necelých 6 sešitů, bude státi pouhých 12.60 K. První sešit, výjimečně o 16 stranách, již vyšel, další sešity o 32 stranách po 2.20 K vycházej! pravidelně v týdenních Lhůtách od</w:t>
      </w:r>
    </w:p>
    <w:p w:rsidR="00500724" w:rsidRDefault="00F30FB8">
      <w:pPr>
        <w:pStyle w:val="Zkladntext100"/>
        <w:numPr>
          <w:ilvl w:val="0"/>
          <w:numId w:val="26"/>
        </w:numPr>
        <w:shd w:val="clear" w:color="auto" w:fill="auto"/>
        <w:tabs>
          <w:tab w:val="left" w:pos="470"/>
        </w:tabs>
        <w:spacing w:line="187" w:lineRule="auto"/>
        <w:ind w:left="160" w:firstLine="40"/>
        <w:rPr>
          <w:sz w:val="19"/>
          <w:szCs w:val="19"/>
        </w:rPr>
      </w:pPr>
      <w:r>
        <w:rPr>
          <w:b/>
          <w:bCs/>
          <w:sz w:val="19"/>
          <w:szCs w:val="19"/>
        </w:rPr>
        <w:t>února t. r.</w:t>
      </w:r>
    </w:p>
    <w:p w:rsidR="00500724" w:rsidRDefault="00F30FB8">
      <w:pPr>
        <w:pStyle w:val="Zkladntext40"/>
        <w:shd w:val="clear" w:color="auto" w:fill="auto"/>
        <w:spacing w:after="0" w:line="170" w:lineRule="auto"/>
        <w:ind w:left="160" w:right="280" w:firstLine="40"/>
        <w:rPr>
          <w:sz w:val="16"/>
          <w:szCs w:val="16"/>
        </w:rPr>
      </w:pPr>
      <w:r>
        <w:rPr>
          <w:b/>
          <w:bCs/>
          <w:sz w:val="16"/>
          <w:szCs w:val="16"/>
        </w:rPr>
        <w:t>Odběratelům, kteří si nepřejí zasílán</w:t>
      </w:r>
      <w:r>
        <w:rPr>
          <w:b/>
          <w:bCs/>
          <w:sz w:val="16"/>
          <w:szCs w:val="16"/>
        </w:rPr>
        <w:t>í sešitů, dodáme jed</w:t>
      </w:r>
      <w:r>
        <w:rPr>
          <w:b/>
          <w:bCs/>
          <w:sz w:val="16"/>
          <w:szCs w:val="16"/>
        </w:rPr>
        <w:softHyphen/>
        <w:t>notlivé knihy tohoto vydání vždy po ukončení každého svaz</w:t>
      </w:r>
      <w:r>
        <w:rPr>
          <w:b/>
          <w:bCs/>
          <w:sz w:val="16"/>
          <w:szCs w:val="16"/>
        </w:rPr>
        <w:softHyphen/>
        <w:t>ku, a to jednoduše sbrožované za cenu, odpovídajíc! ceně vydáni v sešitech. Na každý svazek budou vydány zároveň levné původní desky.</w:t>
      </w:r>
    </w:p>
    <w:p w:rsidR="00500724" w:rsidRDefault="00F30FB8">
      <w:pPr>
        <w:pStyle w:val="Zkladntext40"/>
        <w:shd w:val="clear" w:color="auto" w:fill="auto"/>
        <w:spacing w:after="0" w:line="170" w:lineRule="auto"/>
        <w:ind w:left="160" w:right="280" w:firstLine="180"/>
        <w:rPr>
          <w:sz w:val="16"/>
          <w:szCs w:val="16"/>
        </w:rPr>
      </w:pPr>
      <w:r>
        <w:rPr>
          <w:b/>
          <w:bCs/>
          <w:sz w:val="16"/>
          <w:szCs w:val="16"/>
        </w:rPr>
        <w:t>Těm. kteří by se chtěli přihlásiti k odběru</w:t>
      </w:r>
      <w:r>
        <w:rPr>
          <w:b/>
          <w:bCs/>
          <w:sz w:val="16"/>
          <w:szCs w:val="16"/>
        </w:rPr>
        <w:t xml:space="preserve"> tohoto vydání Čapkova díla, ale mají již některé z Čapkových knih ve své knihovně, sdělujeme, že tato díla mohou ze své objednávky vyloučitl.</w:t>
      </w:r>
    </w:p>
    <w:p w:rsidR="00500724" w:rsidRDefault="00F30FB8">
      <w:pPr>
        <w:pStyle w:val="Zkladntext40"/>
        <w:shd w:val="clear" w:color="auto" w:fill="auto"/>
        <w:spacing w:after="0" w:line="182" w:lineRule="auto"/>
        <w:ind w:left="160" w:right="280" w:firstLine="180"/>
        <w:rPr>
          <w:sz w:val="16"/>
          <w:szCs w:val="16"/>
        </w:rPr>
      </w:pPr>
      <w:r>
        <w:rPr>
          <w:b/>
          <w:bCs/>
          <w:sz w:val="16"/>
          <w:szCs w:val="16"/>
        </w:rPr>
        <w:t>Dodáváme, že po ukončeni každé knihy v sešitech nebudou jednotlivé svazky lidového vydání v prodeji. Na knižním t</w:t>
      </w:r>
      <w:r>
        <w:rPr>
          <w:b/>
          <w:bCs/>
          <w:sz w:val="16"/>
          <w:szCs w:val="16"/>
        </w:rPr>
        <w:t>rhu zůstane původní vydání Spisů Bratří Čapků za dosa</w:t>
      </w:r>
      <w:r>
        <w:rPr>
          <w:b/>
          <w:bCs/>
          <w:sz w:val="16"/>
          <w:szCs w:val="16"/>
        </w:rPr>
        <w:softHyphen/>
        <w:t>vadní cenu, která je značně vyšší. Zajistěte si proto včas výhody, které získávají odběratelé lidového vydání.</w:t>
      </w:r>
    </w:p>
    <w:p w:rsidR="00500724" w:rsidRDefault="00F30FB8">
      <w:pPr>
        <w:pStyle w:val="Zkladntext100"/>
        <w:shd w:val="clear" w:color="auto" w:fill="auto"/>
        <w:spacing w:line="166" w:lineRule="auto"/>
        <w:ind w:left="160" w:firstLine="40"/>
        <w:jc w:val="left"/>
        <w:rPr>
          <w:sz w:val="16"/>
          <w:szCs w:val="16"/>
        </w:rPr>
      </w:pPr>
      <w:r>
        <w:rPr>
          <w:b/>
          <w:bCs/>
          <w:sz w:val="19"/>
          <w:szCs w:val="19"/>
        </w:rPr>
        <w:t xml:space="preserve">Pádové vydání díla Karla Čapka předplácí se takto: na sešit 1. až 5. K 8.80, s poštovným K </w:t>
      </w:r>
      <w:r>
        <w:rPr>
          <w:b/>
          <w:bCs/>
          <w:sz w:val="19"/>
          <w:szCs w:val="19"/>
        </w:rPr>
        <w:t xml:space="preserve">9.20, na každých dalších pět sešitů K 11.—, s poštovným K 11.50. </w:t>
      </w:r>
      <w:r>
        <w:rPr>
          <w:b/>
          <w:bCs/>
          <w:sz w:val="16"/>
          <w:szCs w:val="16"/>
        </w:rPr>
        <w:t>Věříme, že toto vydáni, vyžadující nepatrný výdaj K 2.20 týdně, umožní zlidovění literárního odkazu tohoto spiso</w:t>
      </w:r>
      <w:r>
        <w:rPr>
          <w:b/>
          <w:bCs/>
          <w:sz w:val="16"/>
          <w:szCs w:val="16"/>
        </w:rPr>
        <w:softHyphen/>
        <w:t>vatele ve všech vrstvách národa.</w:t>
      </w:r>
    </w:p>
    <w:p w:rsidR="00500724" w:rsidRDefault="00F30FB8">
      <w:pPr>
        <w:pStyle w:val="Zkladntext40"/>
        <w:shd w:val="clear" w:color="auto" w:fill="auto"/>
        <w:spacing w:after="40" w:line="182" w:lineRule="auto"/>
        <w:ind w:left="160" w:right="280" w:firstLine="180"/>
        <w:rPr>
          <w:sz w:val="16"/>
          <w:szCs w:val="16"/>
        </w:rPr>
      </w:pPr>
      <w:r>
        <w:rPr>
          <w:b/>
          <w:bCs/>
          <w:sz w:val="16"/>
          <w:szCs w:val="16"/>
        </w:rPr>
        <w:t>Přihlášky přijímá a první sešit Vám zdarma do</w:t>
      </w:r>
      <w:r>
        <w:rPr>
          <w:b/>
          <w:bCs/>
          <w:sz w:val="16"/>
          <w:szCs w:val="16"/>
        </w:rPr>
        <w:t>dá každý knihkupec nebo přímo nakladatelství</w:t>
      </w:r>
    </w:p>
    <w:p w:rsidR="00500724" w:rsidRDefault="00F30FB8">
      <w:pPr>
        <w:pStyle w:val="Zkladntext80"/>
        <w:shd w:val="clear" w:color="auto" w:fill="auto"/>
        <w:spacing w:after="120" w:line="151" w:lineRule="auto"/>
        <w:ind w:left="160" w:firstLine="40"/>
        <w:jc w:val="both"/>
        <w:rPr>
          <w:sz w:val="20"/>
          <w:szCs w:val="20"/>
        </w:rPr>
      </w:pPr>
      <w:r>
        <w:rPr>
          <w:sz w:val="20"/>
          <w:szCs w:val="20"/>
        </w:rPr>
        <w:t>Fr. Borový - Praha - Bratislava</w:t>
      </w:r>
    </w:p>
    <w:p w:rsidR="00500724" w:rsidRDefault="00F30FB8">
      <w:pPr>
        <w:pStyle w:val="Zkladntext100"/>
        <w:shd w:val="clear" w:color="auto" w:fill="auto"/>
        <w:spacing w:after="40" w:line="175" w:lineRule="auto"/>
        <w:ind w:left="160" w:right="280" w:firstLine="40"/>
      </w:pPr>
      <w:r>
        <w:t>Zde odstřihněte, vložte do obálky a zašlete svému knihkupci nebo přímo nakladatelství Fr. Borový, Praha I., Národní tř. 11 Přihlašuji se za odběratele</w:t>
      </w:r>
    </w:p>
    <w:p w:rsidR="00500724" w:rsidRDefault="00F30FB8">
      <w:pPr>
        <w:pStyle w:val="Jin0"/>
        <w:shd w:val="clear" w:color="auto" w:fill="auto"/>
        <w:spacing w:after="40"/>
        <w:ind w:left="160" w:firstLine="40"/>
        <w:rPr>
          <w:sz w:val="26"/>
          <w:szCs w:val="26"/>
        </w:rPr>
      </w:pPr>
      <w:r>
        <w:rPr>
          <w:rFonts w:ascii="Arial" w:eastAsia="Arial" w:hAnsi="Arial" w:cs="Arial"/>
          <w:b/>
          <w:bCs/>
          <w:sz w:val="26"/>
          <w:szCs w:val="26"/>
        </w:rPr>
        <w:t xml:space="preserve">lidového vydání díla Karla </w:t>
      </w:r>
      <w:r>
        <w:rPr>
          <w:rFonts w:ascii="Arial" w:eastAsia="Arial" w:hAnsi="Arial" w:cs="Arial"/>
          <w:b/>
          <w:bCs/>
          <w:sz w:val="26"/>
          <w:szCs w:val="26"/>
        </w:rPr>
        <w:t>Čapka</w:t>
      </w:r>
    </w:p>
    <w:p w:rsidR="00500724" w:rsidRDefault="00F30FB8">
      <w:pPr>
        <w:pStyle w:val="Zkladntext100"/>
        <w:shd w:val="clear" w:color="auto" w:fill="auto"/>
        <w:spacing w:after="580" w:line="146" w:lineRule="auto"/>
        <w:ind w:left="160" w:right="280" w:firstLine="40"/>
      </w:pPr>
      <w:r>
        <w:rPr>
          <w:b/>
          <w:bCs/>
          <w:sz w:val="19"/>
          <w:szCs w:val="19"/>
        </w:rPr>
        <w:t xml:space="preserve">v </w:t>
      </w:r>
      <w:r>
        <w:t>sešitech. • Žádám za pravidelné zasíláni celého díla — kromě těchto knih, které Již mám:</w:t>
      </w:r>
    </w:p>
    <w:p w:rsidR="00500724" w:rsidRDefault="00F30FB8">
      <w:pPr>
        <w:pStyle w:val="Zkladntext40"/>
        <w:shd w:val="clear" w:color="auto" w:fill="auto"/>
        <w:spacing w:after="0" w:line="180" w:lineRule="auto"/>
        <w:ind w:left="160" w:right="240" w:firstLine="40"/>
        <w:jc w:val="left"/>
      </w:pPr>
      <w:r>
        <w:t>Pošlete mi sešity vždy až po ukončeni každého svazku. Objednávám též levné původní desky.</w:t>
      </w:r>
    </w:p>
    <w:p w:rsidR="00500724" w:rsidRDefault="00F30FB8">
      <w:pPr>
        <w:pStyle w:val="Zkladntext40"/>
        <w:shd w:val="clear" w:color="auto" w:fill="auto"/>
        <w:tabs>
          <w:tab w:val="left" w:leader="dot" w:pos="971"/>
        </w:tabs>
        <w:spacing w:line="180" w:lineRule="auto"/>
        <w:ind w:left="160" w:right="280" w:firstLine="40"/>
      </w:pPr>
      <w:r>
        <w:t>Předplatné zaplatím složenkou — v měsíčních splátkách á</w:t>
      </w:r>
      <w:r>
        <w:tab/>
        <w:t>Kč — za každý</w:t>
      </w:r>
      <w:r>
        <w:t xml:space="preserve"> jednotlivý sešit hotově.*)</w:t>
      </w:r>
    </w:p>
    <w:p w:rsidR="00500724" w:rsidRDefault="00F30FB8">
      <w:pPr>
        <w:spacing w:line="1" w:lineRule="exact"/>
        <w:rPr>
          <w:sz w:val="2"/>
          <w:szCs w:val="2"/>
        </w:rPr>
      </w:pPr>
      <w:r>
        <w:br w:type="column"/>
      </w:r>
    </w:p>
    <w:p w:rsidR="00500724" w:rsidRDefault="00F30FB8">
      <w:pPr>
        <w:pStyle w:val="Nadpis120"/>
        <w:shd w:val="clear" w:color="auto" w:fill="auto"/>
        <w:spacing w:after="80" w:line="204" w:lineRule="auto"/>
        <w:ind w:left="1360" w:firstLine="40"/>
      </w:pPr>
      <w:bookmarkStart w:id="224" w:name="bookmark223"/>
      <w:r>
        <w:t>Když hrozí chřipka, chrání Vás ANGINOLKY. Tažte se svého lékaře.</w:t>
      </w:r>
      <w:bookmarkEnd w:id="224"/>
    </w:p>
    <w:p w:rsidR="00500724" w:rsidRDefault="00F30FB8">
      <w:pPr>
        <w:pStyle w:val="Jin0"/>
        <w:shd w:val="clear" w:color="auto" w:fill="auto"/>
        <w:spacing w:before="480" w:after="340" w:line="310" w:lineRule="auto"/>
        <w:ind w:left="400" w:firstLine="20"/>
        <w:jc w:val="left"/>
        <w:rPr>
          <w:sz w:val="32"/>
          <w:szCs w:val="32"/>
        </w:rPr>
      </w:pPr>
      <w:r>
        <w:rPr>
          <w:sz w:val="42"/>
          <w:szCs w:val="42"/>
        </w:rPr>
        <w:t xml:space="preserve">jřeomé </w:t>
      </w:r>
      <w:r>
        <w:rPr>
          <w:rFonts w:ascii="Arial" w:eastAsia="Arial" w:hAnsi="Arial" w:cs="Arial"/>
          <w:i/>
          <w:iCs/>
          <w:sz w:val="32"/>
          <w:szCs w:val="32"/>
        </w:rPr>
        <w:t>dapi&amp;wí papvty</w:t>
      </w:r>
      <w:r>
        <w:rPr>
          <w:rFonts w:ascii="Arial" w:eastAsia="Arial" w:hAnsi="Arial" w:cs="Arial"/>
          <w:i/>
          <w:iCs/>
          <w:sz w:val="32"/>
          <w:szCs w:val="32"/>
          <w:vertAlign w:val="subscript"/>
        </w:rPr>
        <w:t xml:space="preserve">f </w:t>
      </w:r>
      <w:r>
        <w:rPr>
          <w:rFonts w:ascii="Arial" w:eastAsia="Arial" w:hAnsi="Arial" w:cs="Arial"/>
          <w:i/>
          <w:iCs/>
          <w:sz w:val="32"/>
          <w:szCs w:val="32"/>
        </w:rPr>
        <w:t>spMilivá zlatá pltád peca</w:t>
      </w:r>
    </w:p>
    <w:p w:rsidR="00500724" w:rsidRDefault="00F30FB8">
      <w:pPr>
        <w:pStyle w:val="Jin0"/>
        <w:shd w:val="clear" w:color="auto" w:fill="auto"/>
        <w:spacing w:after="400"/>
        <w:ind w:left="400" w:firstLine="20"/>
        <w:jc w:val="left"/>
        <w:rPr>
          <w:sz w:val="68"/>
          <w:szCs w:val="68"/>
        </w:rPr>
      </w:pPr>
      <w:r>
        <w:rPr>
          <w:rFonts w:ascii="Arial" w:eastAsia="Arial" w:hAnsi="Arial" w:cs="Arial"/>
          <w:b/>
          <w:bCs/>
          <w:sz w:val="68"/>
          <w:szCs w:val="68"/>
        </w:rPr>
        <w:t>PRAHA,</w:t>
      </w:r>
    </w:p>
    <w:p w:rsidR="00500724" w:rsidRDefault="00F30FB8">
      <w:pPr>
        <w:pStyle w:val="Jin0"/>
        <w:shd w:val="clear" w:color="auto" w:fill="auto"/>
        <w:spacing w:after="80"/>
        <w:ind w:left="1360" w:firstLine="40"/>
        <w:jc w:val="left"/>
        <w:rPr>
          <w:sz w:val="38"/>
          <w:szCs w:val="38"/>
        </w:rPr>
      </w:pPr>
      <w:r>
        <w:rPr>
          <w:rFonts w:ascii="Arial" w:eastAsia="Arial" w:hAnsi="Arial" w:cs="Arial"/>
          <w:b/>
          <w:bCs/>
          <w:sz w:val="38"/>
          <w:szCs w:val="38"/>
        </w:rPr>
        <w:t>Václavské nám 25.</w:t>
      </w:r>
    </w:p>
    <w:p w:rsidR="00500724" w:rsidRDefault="00F30FB8">
      <w:pPr>
        <w:pStyle w:val="Nadpis100"/>
        <w:shd w:val="clear" w:color="auto" w:fill="auto"/>
        <w:spacing w:after="80" w:line="240" w:lineRule="auto"/>
        <w:ind w:left="1360" w:firstLine="40"/>
        <w:jc w:val="left"/>
      </w:pPr>
      <w:bookmarkStart w:id="225" w:name="bookmark224"/>
      <w:r>
        <w:rPr>
          <w:rFonts w:ascii="Arial" w:eastAsia="Arial" w:hAnsi="Arial" w:cs="Arial"/>
        </w:rPr>
        <w:t>Nároží krásných dárků</w:t>
      </w:r>
      <w:bookmarkEnd w:id="225"/>
    </w:p>
    <w:p w:rsidR="00500724" w:rsidRDefault="00F30FB8">
      <w:pPr>
        <w:pStyle w:val="Jin0"/>
        <w:shd w:val="clear" w:color="auto" w:fill="auto"/>
        <w:spacing w:after="80"/>
        <w:ind w:left="1360" w:firstLine="40"/>
        <w:jc w:val="left"/>
        <w:rPr>
          <w:sz w:val="38"/>
          <w:szCs w:val="38"/>
        </w:rPr>
      </w:pPr>
      <w:r>
        <w:rPr>
          <w:rFonts w:ascii="Arial" w:eastAsia="Arial" w:hAnsi="Arial" w:cs="Arial"/>
          <w:b/>
          <w:bCs/>
          <w:sz w:val="38"/>
          <w:szCs w:val="38"/>
        </w:rPr>
        <w:t>Dlouhá tř. 17.</w:t>
      </w:r>
    </w:p>
    <w:p w:rsidR="00500724" w:rsidRDefault="00F30FB8">
      <w:pPr>
        <w:pStyle w:val="Jin0"/>
        <w:shd w:val="clear" w:color="auto" w:fill="auto"/>
        <w:spacing w:after="140"/>
        <w:ind w:left="1360" w:firstLine="40"/>
        <w:jc w:val="left"/>
        <w:rPr>
          <w:sz w:val="26"/>
          <w:szCs w:val="26"/>
        </w:rPr>
        <w:sectPr w:rsidR="00500724">
          <w:footnotePr>
            <w:numFmt w:val="chicago"/>
            <w:numRestart w:val="eachPage"/>
          </w:footnotePr>
          <w:pgSz w:w="11909" w:h="16834"/>
          <w:pgMar w:top="759" w:right="1751" w:bottom="1254" w:left="254" w:header="0" w:footer="3" w:gutter="0"/>
          <w:cols w:num="2" w:sep="1" w:space="100"/>
          <w:noEndnote/>
          <w:docGrid w:linePitch="360"/>
        </w:sectPr>
      </w:pPr>
      <w:r>
        <w:rPr>
          <w:b/>
          <w:bCs/>
          <w:sz w:val="26"/>
          <w:szCs w:val="26"/>
          <w:u w:val="single"/>
        </w:rPr>
        <w:t xml:space="preserve">poblíž </w:t>
      </w:r>
      <w:r>
        <w:rPr>
          <w:b/>
          <w:bCs/>
          <w:sz w:val="26"/>
          <w:szCs w:val="26"/>
          <w:u w:val="single"/>
        </w:rPr>
        <w:t>Staroměstského nám.</w:t>
      </w:r>
    </w:p>
    <w:p w:rsidR="00500724" w:rsidRDefault="00F30FB8">
      <w:pPr>
        <w:pStyle w:val="Nadpis70"/>
        <w:keepNext/>
        <w:keepLines/>
        <w:shd w:val="clear" w:color="auto" w:fill="auto"/>
        <w:tabs>
          <w:tab w:val="left" w:pos="8968"/>
        </w:tabs>
        <w:spacing w:after="500"/>
        <w:ind w:left="260" w:firstLine="20"/>
        <w:jc w:val="both"/>
        <w:rPr>
          <w:sz w:val="26"/>
          <w:szCs w:val="26"/>
        </w:rPr>
      </w:pPr>
      <w:bookmarkStart w:id="226" w:name="bookmark225"/>
      <w:r>
        <w:rPr>
          <w:rFonts w:ascii="Times New Roman" w:eastAsia="Times New Roman" w:hAnsi="Times New Roman" w:cs="Times New Roman"/>
          <w:w w:val="100"/>
        </w:rPr>
        <w:t>Co by dělal dnes Masaryk</w:t>
      </w:r>
      <w:r>
        <w:rPr>
          <w:rFonts w:ascii="Times New Roman" w:eastAsia="Times New Roman" w:hAnsi="Times New Roman" w:cs="Times New Roman"/>
          <w:w w:val="100"/>
        </w:rPr>
        <w:tab/>
      </w:r>
      <w:r>
        <w:rPr>
          <w:rFonts w:ascii="Times New Roman" w:eastAsia="Times New Roman" w:hAnsi="Times New Roman" w:cs="Times New Roman"/>
          <w:w w:val="100"/>
          <w:sz w:val="26"/>
          <w:szCs w:val="26"/>
        </w:rPr>
        <w:t>F. PEROUTKA</w:t>
      </w:r>
      <w:bookmarkEnd w:id="226"/>
    </w:p>
    <w:p w:rsidR="00500724" w:rsidRDefault="00F30FB8">
      <w:pPr>
        <w:pStyle w:val="Nadpis70"/>
        <w:keepNext/>
        <w:keepLines/>
        <w:shd w:val="clear" w:color="auto" w:fill="auto"/>
        <w:tabs>
          <w:tab w:val="left" w:pos="8241"/>
        </w:tabs>
        <w:spacing w:after="560"/>
        <w:ind w:left="260" w:firstLine="20"/>
        <w:jc w:val="both"/>
        <w:rPr>
          <w:sz w:val="34"/>
          <w:szCs w:val="34"/>
        </w:rPr>
      </w:pPr>
      <w:bookmarkStart w:id="227" w:name="bookmark226"/>
      <w:r>
        <w:rPr>
          <w:rFonts w:ascii="Times New Roman" w:eastAsia="Times New Roman" w:hAnsi="Times New Roman" w:cs="Times New Roman"/>
          <w:w w:val="100"/>
        </w:rPr>
        <w:t>Dobrá rada nad zlato</w:t>
      </w:r>
      <w:r>
        <w:rPr>
          <w:rFonts w:ascii="Times New Roman" w:eastAsia="Times New Roman" w:hAnsi="Times New Roman" w:cs="Times New Roman"/>
          <w:w w:val="100"/>
        </w:rPr>
        <w:tab/>
      </w:r>
      <w:r>
        <w:rPr>
          <w:rFonts w:ascii="Times New Roman" w:eastAsia="Times New Roman" w:hAnsi="Times New Roman" w:cs="Times New Roman"/>
          <w:smallCaps/>
          <w:w w:val="100"/>
          <w:sz w:val="34"/>
          <w:szCs w:val="34"/>
        </w:rPr>
        <w:t>milená jesenska</w:t>
      </w:r>
      <w:bookmarkEnd w:id="227"/>
    </w:p>
    <w:p w:rsidR="00500724" w:rsidRDefault="00F30FB8">
      <w:pPr>
        <w:pStyle w:val="Nadpis70"/>
        <w:keepNext/>
        <w:keepLines/>
        <w:shd w:val="clear" w:color="auto" w:fill="auto"/>
        <w:tabs>
          <w:tab w:val="left" w:pos="8241"/>
        </w:tabs>
        <w:spacing w:after="560"/>
        <w:ind w:left="260" w:firstLine="20"/>
        <w:jc w:val="both"/>
        <w:rPr>
          <w:sz w:val="26"/>
          <w:szCs w:val="26"/>
        </w:rPr>
      </w:pPr>
      <w:bookmarkStart w:id="228" w:name="bookmark227"/>
      <w:r>
        <w:rPr>
          <w:rFonts w:ascii="Times New Roman" w:eastAsia="Times New Roman" w:hAnsi="Times New Roman" w:cs="Times New Roman"/>
          <w:w w:val="100"/>
          <w:u w:val="single"/>
        </w:rPr>
        <w:t>Karel Čapek - spisovatel</w:t>
      </w:r>
      <w:r>
        <w:rPr>
          <w:rFonts w:ascii="Times New Roman" w:eastAsia="Times New Roman" w:hAnsi="Times New Roman" w:cs="Times New Roman"/>
          <w:w w:val="100"/>
          <w:u w:val="single"/>
        </w:rPr>
        <w:tab/>
      </w:r>
      <w:r>
        <w:rPr>
          <w:rFonts w:ascii="Times New Roman" w:eastAsia="Times New Roman" w:hAnsi="Times New Roman" w:cs="Times New Roman"/>
          <w:w w:val="100"/>
          <w:sz w:val="26"/>
          <w:szCs w:val="26"/>
          <w:u w:val="single"/>
        </w:rPr>
        <w:t>JAN MUKAROVSKÝ</w:t>
      </w:r>
      <w:bookmarkEnd w:id="228"/>
    </w:p>
    <w:p w:rsidR="00500724" w:rsidRDefault="00F30FB8">
      <w:pPr>
        <w:pStyle w:val="Nadpis70"/>
        <w:keepNext/>
        <w:keepLines/>
        <w:shd w:val="clear" w:color="auto" w:fill="auto"/>
        <w:tabs>
          <w:tab w:val="left" w:pos="8723"/>
        </w:tabs>
        <w:spacing w:after="560"/>
        <w:ind w:left="260" w:firstLine="20"/>
        <w:jc w:val="both"/>
        <w:rPr>
          <w:sz w:val="26"/>
          <w:szCs w:val="26"/>
        </w:rPr>
      </w:pPr>
      <w:bookmarkStart w:id="229" w:name="bookmark228"/>
      <w:r>
        <w:rPr>
          <w:rFonts w:ascii="Times New Roman" w:eastAsia="Times New Roman" w:hAnsi="Times New Roman" w:cs="Times New Roman"/>
          <w:w w:val="100"/>
          <w:u w:val="single"/>
        </w:rPr>
        <w:t>Připravuje se Anglie na válku?</w:t>
      </w:r>
      <w:r>
        <w:rPr>
          <w:rFonts w:ascii="Times New Roman" w:eastAsia="Times New Roman" w:hAnsi="Times New Roman" w:cs="Times New Roman"/>
          <w:w w:val="100"/>
          <w:u w:val="single"/>
        </w:rPr>
        <w:tab/>
      </w:r>
      <w:r>
        <w:rPr>
          <w:rFonts w:ascii="Times New Roman" w:eastAsia="Times New Roman" w:hAnsi="Times New Roman" w:cs="Times New Roman"/>
          <w:w w:val="100"/>
          <w:sz w:val="26"/>
          <w:szCs w:val="26"/>
          <w:u w:val="single"/>
        </w:rPr>
        <w:t>JOSEF PACHTA</w:t>
      </w:r>
      <w:bookmarkEnd w:id="229"/>
    </w:p>
    <w:p w:rsidR="00500724" w:rsidRDefault="00F30FB8">
      <w:pPr>
        <w:pStyle w:val="Nadpis70"/>
        <w:keepNext/>
        <w:keepLines/>
        <w:shd w:val="clear" w:color="auto" w:fill="auto"/>
        <w:spacing w:after="560"/>
        <w:ind w:left="260" w:firstLine="20"/>
        <w:jc w:val="both"/>
      </w:pPr>
      <w:bookmarkStart w:id="230" w:name="bookmark229"/>
      <w:r>
        <w:rPr>
          <w:rFonts w:ascii="Times New Roman" w:eastAsia="Times New Roman" w:hAnsi="Times New Roman" w:cs="Times New Roman"/>
          <w:w w:val="100"/>
        </w:rPr>
        <w:t>Češi a první slovenská státní půjčka</w:t>
      </w:r>
      <w:bookmarkEnd w:id="230"/>
    </w:p>
    <w:p w:rsidR="00500724" w:rsidRDefault="00F30FB8">
      <w:pPr>
        <w:pStyle w:val="Nadpis70"/>
        <w:keepNext/>
        <w:keepLines/>
        <w:shd w:val="clear" w:color="auto" w:fill="auto"/>
        <w:spacing w:after="800"/>
        <w:ind w:left="260" w:firstLine="20"/>
        <w:jc w:val="both"/>
        <w:rPr>
          <w:sz w:val="34"/>
          <w:szCs w:val="34"/>
        </w:rPr>
      </w:pPr>
      <w:bookmarkStart w:id="231" w:name="bookmark230"/>
      <w:r>
        <w:rPr>
          <w:rFonts w:ascii="Times New Roman" w:eastAsia="Times New Roman" w:hAnsi="Times New Roman" w:cs="Times New Roman"/>
          <w:w w:val="100"/>
        </w:rPr>
        <w:t xml:space="preserve">Maďarské řešení židovské otázky </w:t>
      </w:r>
      <w:r>
        <w:rPr>
          <w:rFonts w:ascii="Times New Roman" w:eastAsia="Times New Roman" w:hAnsi="Times New Roman" w:cs="Times New Roman"/>
          <w:smallCaps/>
          <w:w w:val="100"/>
          <w:sz w:val="34"/>
          <w:szCs w:val="34"/>
        </w:rPr>
        <w:t>j. sedlák</w:t>
      </w:r>
      <w:bookmarkEnd w:id="231"/>
    </w:p>
    <w:p w:rsidR="00500724" w:rsidRDefault="00F30FB8">
      <w:pPr>
        <w:pStyle w:val="Jin0"/>
        <w:shd w:val="clear" w:color="auto" w:fill="auto"/>
        <w:spacing w:after="560" w:line="209" w:lineRule="auto"/>
        <w:ind w:left="400" w:right="380" w:firstLine="20"/>
        <w:rPr>
          <w:sz w:val="26"/>
          <w:szCs w:val="26"/>
        </w:rPr>
        <w:sectPr w:rsidR="00500724">
          <w:footnotePr>
            <w:numFmt w:val="chicago"/>
            <w:numRestart w:val="eachPage"/>
          </w:footnotePr>
          <w:pgSz w:w="11909" w:h="16834"/>
          <w:pgMar w:top="896" w:right="267" w:bottom="896" w:left="540" w:header="0" w:footer="3" w:gutter="0"/>
          <w:cols w:space="720"/>
          <w:noEndnote/>
          <w:docGrid w:linePitch="360"/>
        </w:sectPr>
      </w:pPr>
      <w:r>
        <w:rPr>
          <w:b/>
          <w:bCs/>
          <w:sz w:val="26"/>
          <w:szCs w:val="26"/>
        </w:rPr>
        <w:t xml:space="preserve">Když byli Němci poraženi ... — Příklad upřímné dohody mezi Německem a naší republikou — Evropské osy se připravují k velké rozpravě — Program Národní strany práce — Jak se na nás dívají Němci po vojensku — Německé vysoké školy v </w:t>
      </w:r>
      <w:r>
        <w:rPr>
          <w:b/>
          <w:bCs/>
          <w:sz w:val="26"/>
          <w:szCs w:val="26"/>
        </w:rPr>
        <w:t>Praze — Dopis generála Medka — City malého národa — Odpověď německým nacionálním socialistům — Jak se o nás píše v Německu</w:t>
      </w:r>
    </w:p>
    <w:p w:rsidR="00500724" w:rsidRDefault="00F30FB8">
      <w:pPr>
        <w:spacing w:line="14" w:lineRule="exact"/>
      </w:pPr>
      <w:r>
        <w:rPr>
          <w:noProof/>
        </w:rPr>
        <mc:AlternateContent>
          <mc:Choice Requires="wps">
            <w:drawing>
              <wp:anchor distT="0" distB="0" distL="114300" distR="114300" simplePos="0" relativeHeight="125829604" behindDoc="0" locked="0" layoutInCell="1" allowOverlap="1">
                <wp:simplePos x="0" y="0"/>
                <wp:positionH relativeFrom="page">
                  <wp:posOffset>3680460</wp:posOffset>
                </wp:positionH>
                <wp:positionV relativeFrom="paragraph">
                  <wp:posOffset>12700</wp:posOffset>
                </wp:positionV>
                <wp:extent cx="3078480" cy="34163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3078480" cy="341630"/>
                        </a:xfrm>
                        <a:prstGeom prst="rect">
                          <a:avLst/>
                        </a:prstGeom>
                        <a:solidFill>
                          <a:srgbClr val="4E554A"/>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before="100" w:line="240" w:lineRule="auto"/>
                              <w:ind w:left="60"/>
                              <w:jc w:val="center"/>
                            </w:pPr>
                            <w:r>
                              <w:rPr>
                                <w:color w:val="FFFFFF"/>
                              </w:rPr>
                              <w:t>ODBORNÍ LtKAftl</w:t>
                            </w:r>
                          </w:p>
                        </w:txbxContent>
                      </wps:txbx>
                      <wps:bodyPr lIns="0" tIns="0" rIns="0" bIns="0">
                        <a:spAutoFit/>
                      </wps:bodyPr>
                    </wps:wsp>
                  </a:graphicData>
                </a:graphic>
              </wp:anchor>
            </w:drawing>
          </mc:Choice>
          <mc:Fallback>
            <w:pict>
              <v:shape id="_x0000_s1253" type="#_x0000_t202" style="position:absolute;margin-left:289.80000000000001pt;margin-top:1.pt;width:242.40000000000001pt;height:26.899999999999999pt;z-index:-125829149;mso-wrap-distance-left:9.pt;mso-wrap-distance-right:9.pt;mso-position-horizontal-relative:page" fillcolor="#4E554A"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100" w:after="0" w:line="240" w:lineRule="auto"/>
                        <w:ind w:left="60" w:right="0" w:firstLine="0"/>
                        <w:jc w:val="center"/>
                      </w:pPr>
                      <w:r>
                        <w:rPr>
                          <w:color w:val="FFFFFF"/>
                          <w:spacing w:val="0"/>
                          <w:w w:val="100"/>
                          <w:position w:val="0"/>
                          <w:sz w:val="22"/>
                          <w:szCs w:val="22"/>
                          <w:shd w:val="clear" w:color="auto" w:fill="auto"/>
                          <w:lang w:val="cs-CZ" w:eastAsia="cs-CZ" w:bidi="cs-CZ"/>
                        </w:rPr>
                        <w:t>ODBORNÍ LtKAftl</w:t>
                      </w:r>
                    </w:p>
                  </w:txbxContent>
                </v:textbox>
                <w10:wrap type="topAndBottom" anchorx="page"/>
              </v:shape>
            </w:pict>
          </mc:Fallback>
        </mc:AlternateContent>
      </w:r>
    </w:p>
    <w:p w:rsidR="00500724" w:rsidRDefault="00F30FB8">
      <w:pPr>
        <w:pStyle w:val="Jin0"/>
        <w:shd w:val="clear" w:color="auto" w:fill="auto"/>
        <w:spacing w:after="80"/>
        <w:ind w:firstLine="0"/>
        <w:jc w:val="left"/>
        <w:rPr>
          <w:sz w:val="42"/>
          <w:szCs w:val="42"/>
        </w:rPr>
      </w:pPr>
      <w:r>
        <w:rPr>
          <w:rFonts w:ascii="Arial" w:eastAsia="Arial" w:hAnsi="Arial" w:cs="Arial"/>
          <w:b/>
          <w:bCs/>
          <w:sz w:val="42"/>
          <w:szCs w:val="42"/>
        </w:rPr>
        <w:t>PLYN!</w:t>
      </w:r>
    </w:p>
    <w:p w:rsidR="00500724" w:rsidRDefault="00F30FB8">
      <w:pPr>
        <w:pStyle w:val="Zkladntext80"/>
        <w:shd w:val="clear" w:color="auto" w:fill="auto"/>
        <w:spacing w:line="240" w:lineRule="auto"/>
      </w:pPr>
      <w:r>
        <w:t xml:space="preserve">Dejte si seříditi vůz na ze- S3£Bfl7fl| lenou benzolovou směs, a pak to opět zkuste! Po- znáte změnu ve </w:t>
      </w:r>
      <w:r>
        <w:t>svůj pro</w:t>
      </w:r>
      <w:r>
        <w:softHyphen/>
        <w:t>spěch na tachometru, na spotřebě pohonné látky, při startu i změně rychlosti.</w:t>
      </w:r>
    </w:p>
    <w:p w:rsidR="00500724" w:rsidRDefault="00F30FB8">
      <w:pPr>
        <w:pStyle w:val="Nadpis80"/>
        <w:keepNext/>
        <w:keepLines/>
        <w:shd w:val="clear" w:color="auto" w:fill="auto"/>
        <w:spacing w:after="0"/>
      </w:pPr>
      <w:bookmarkStart w:id="232" w:name="bookmark231"/>
      <w:r>
        <w:rPr>
          <w:u w:val="none"/>
        </w:rPr>
        <w:t>Sanatorium Dr. Borůvka</w:t>
      </w:r>
      <w:bookmarkEnd w:id="232"/>
    </w:p>
    <w:p w:rsidR="00500724" w:rsidRDefault="00F30FB8">
      <w:pPr>
        <w:pStyle w:val="Zkladntext100"/>
        <w:shd w:val="clear" w:color="auto" w:fill="auto"/>
        <w:spacing w:after="240" w:line="204" w:lineRule="auto"/>
        <w:ind w:firstLine="0"/>
      </w:pPr>
      <w:r>
        <w:t xml:space="preserve">ústav pro choroby chirurgické.ženské a porody. </w:t>
      </w:r>
      <w:r>
        <w:rPr>
          <w:rFonts w:ascii="Arial" w:eastAsia="Arial" w:hAnsi="Arial" w:cs="Arial"/>
          <w:b/>
          <w:bCs/>
          <w:sz w:val="22"/>
          <w:szCs w:val="22"/>
        </w:rPr>
        <w:t xml:space="preserve">PRAHA n„ </w:t>
      </w:r>
      <w:r>
        <w:t>LEGEROVA 61/68. Telefony 212-37. 379-06, 332-38. ftídici lé</w:t>
      </w:r>
      <w:r>
        <w:softHyphen/>
        <w:t xml:space="preserve">kař dr. </w:t>
      </w:r>
      <w:r>
        <w:rPr>
          <w:lang w:val="en-US" w:eastAsia="en-US" w:bidi="en-US"/>
        </w:rPr>
        <w:t>Klinger.</w:t>
      </w:r>
    </w:p>
    <w:p w:rsidR="00500724" w:rsidRDefault="00F30FB8">
      <w:pPr>
        <w:pStyle w:val="Zkladntext40"/>
        <w:shd w:val="clear" w:color="auto" w:fill="auto"/>
        <w:spacing w:after="0" w:line="127" w:lineRule="auto"/>
        <w:jc w:val="right"/>
        <w:rPr>
          <w:sz w:val="16"/>
          <w:szCs w:val="16"/>
        </w:rPr>
      </w:pPr>
      <w:r>
        <w:rPr>
          <w:rFonts w:ascii="Arial" w:eastAsia="Arial" w:hAnsi="Arial" w:cs="Arial"/>
          <w:b/>
          <w:bCs/>
          <w:sz w:val="19"/>
          <w:szCs w:val="19"/>
        </w:rPr>
        <w:t xml:space="preserve">MílRp Prnnltl </w:t>
      </w:r>
      <w:r>
        <w:rPr>
          <w:sz w:val="18"/>
          <w:szCs w:val="18"/>
        </w:rPr>
        <w:t xml:space="preserve">odborný lékař pro </w:t>
      </w:r>
      <w:r>
        <w:rPr>
          <w:b/>
          <w:bCs/>
          <w:sz w:val="16"/>
          <w:szCs w:val="16"/>
        </w:rPr>
        <w:t xml:space="preserve">žaludeční a </w:t>
      </w:r>
      <w:r>
        <w:rPr>
          <w:rFonts w:ascii="Arial" w:eastAsia="Arial" w:hAnsi="Arial" w:cs="Arial"/>
          <w:b/>
          <w:bCs/>
          <w:sz w:val="19"/>
          <w:szCs w:val="19"/>
        </w:rPr>
        <w:t xml:space="preserve">Pnuur. </w:t>
      </w:r>
      <w:r>
        <w:rPr>
          <w:b/>
          <w:bCs/>
          <w:sz w:val="16"/>
          <w:szCs w:val="16"/>
        </w:rPr>
        <w:t xml:space="preserve">lr </w:t>
      </w:r>
      <w:r>
        <w:rPr>
          <w:rFonts w:ascii="Arial" w:eastAsia="Arial" w:hAnsi="Arial" w:cs="Arial"/>
          <w:b/>
          <w:bCs/>
          <w:sz w:val="19"/>
          <w:szCs w:val="19"/>
        </w:rPr>
        <w:t xml:space="preserve">r a n </w:t>
      </w:r>
      <w:r>
        <w:rPr>
          <w:rFonts w:ascii="Arial" w:eastAsia="Arial" w:hAnsi="Arial" w:cs="Arial"/>
          <w:b/>
          <w:bCs/>
          <w:smallCaps/>
        </w:rPr>
        <w:t>k i</w:t>
      </w:r>
      <w:r>
        <w:rPr>
          <w:b/>
          <w:bCs/>
          <w:sz w:val="16"/>
          <w:szCs w:val="16"/>
        </w:rPr>
        <w:t xml:space="preserve"> střevní nemocia roentgenologií.</w:t>
      </w:r>
    </w:p>
    <w:p w:rsidR="00500724" w:rsidRDefault="00F30FB8">
      <w:pPr>
        <w:pStyle w:val="Zkladntext100"/>
        <w:shd w:val="clear" w:color="auto" w:fill="auto"/>
        <w:spacing w:line="187" w:lineRule="auto"/>
        <w:ind w:firstLine="0"/>
        <w:jc w:val="right"/>
      </w:pPr>
      <w:r>
        <w:t xml:space="preserve">PRAHA H., NEKÁZANKA </w:t>
      </w:r>
      <w:r>
        <w:rPr>
          <w:i/>
          <w:iCs/>
        </w:rPr>
        <w:t>i,</w:t>
      </w:r>
      <w:r>
        <w:t xml:space="preserve"> II. patro. Ord. 9—10, 3—4.</w:t>
      </w:r>
    </w:p>
    <w:p w:rsidR="00500724" w:rsidRDefault="00F30FB8">
      <w:pPr>
        <w:pStyle w:val="Zkladntext100"/>
        <w:shd w:val="clear" w:color="auto" w:fill="auto"/>
        <w:spacing w:after="240" w:line="142" w:lineRule="auto"/>
        <w:ind w:left="2560" w:firstLine="20"/>
        <w:jc w:val="left"/>
        <w:rPr>
          <w:sz w:val="17"/>
          <w:szCs w:val="17"/>
        </w:rPr>
      </w:pPr>
      <w:r>
        <w:rPr>
          <w:sz w:val="17"/>
          <w:szCs w:val="17"/>
        </w:rPr>
        <w:t>Telefon 234-13.</w:t>
      </w:r>
    </w:p>
    <w:p w:rsidR="00500724" w:rsidRDefault="00F30FB8">
      <w:pPr>
        <w:pStyle w:val="Zkladntext100"/>
        <w:shd w:val="clear" w:color="auto" w:fill="auto"/>
        <w:spacing w:line="149" w:lineRule="auto"/>
        <w:ind w:firstLine="0"/>
        <w:jc w:val="right"/>
      </w:pPr>
      <w:r>
        <w:rPr>
          <w:rFonts w:ascii="Arial" w:eastAsia="Arial" w:hAnsi="Arial" w:cs="Arial"/>
          <w:b/>
          <w:bCs/>
          <w:sz w:val="22"/>
          <w:szCs w:val="22"/>
        </w:rPr>
        <w:t xml:space="preserve">MUDr. Ervín Fróhlich, </w:t>
      </w:r>
      <w:r>
        <w:t xml:space="preserve">odborný lékař pro choroby vnitrní, žaludeční, střevní a výměny látek, em. </w:t>
      </w:r>
      <w:r>
        <w:rPr>
          <w:lang w:val="en-US" w:eastAsia="en-US" w:bidi="en-US"/>
        </w:rPr>
        <w:t xml:space="preserve">esistent </w:t>
      </w:r>
      <w:r>
        <w:t xml:space="preserve">I. med. kliniky </w:t>
      </w:r>
      <w:r>
        <w:rPr>
          <w:lang w:val="en-US" w:eastAsia="en-US" w:bidi="en-US"/>
        </w:rPr>
        <w:t xml:space="preserve">prof. </w:t>
      </w:r>
      <w:r>
        <w:t>Schmidta,</w:t>
      </w:r>
    </w:p>
    <w:p w:rsidR="00500724" w:rsidRDefault="00F30FB8">
      <w:pPr>
        <w:pStyle w:val="Zkladntext100"/>
        <w:shd w:val="clear" w:color="auto" w:fill="auto"/>
        <w:spacing w:after="200" w:line="158" w:lineRule="auto"/>
        <w:ind w:firstLine="0"/>
        <w:jc w:val="right"/>
      </w:pPr>
      <w:r>
        <w:t xml:space="preserve">PRAHA </w:t>
      </w:r>
      <w:r>
        <w:rPr>
          <w:rFonts w:ascii="Arial" w:eastAsia="Arial" w:hAnsi="Arial" w:cs="Arial"/>
          <w:b/>
          <w:bCs/>
          <w:sz w:val="22"/>
          <w:szCs w:val="22"/>
        </w:rPr>
        <w:t xml:space="preserve">I„ </w:t>
      </w:r>
      <w:r>
        <w:t>Na Příkopech 35. Ord. 9-10, %3-’/,5. Telef. 228-91.</w:t>
      </w:r>
    </w:p>
    <w:p w:rsidR="00500724" w:rsidRDefault="00F30FB8">
      <w:pPr>
        <w:pStyle w:val="Zkladntext80"/>
        <w:shd w:val="clear" w:color="auto" w:fill="auto"/>
        <w:spacing w:line="240" w:lineRule="auto"/>
        <w:jc w:val="both"/>
      </w:pPr>
      <w:r>
        <w:t>MUDr. ZDENKA NEDVĚDOVÁ-NEJEDLÁ</w:t>
      </w:r>
    </w:p>
    <w:p w:rsidR="00500724" w:rsidRDefault="00F30FB8">
      <w:pPr>
        <w:pStyle w:val="Zkladntext100"/>
        <w:shd w:val="clear" w:color="auto" w:fill="auto"/>
        <w:spacing w:after="180" w:line="178" w:lineRule="auto"/>
        <w:ind w:firstLine="0"/>
        <w:jc w:val="right"/>
      </w:pPr>
      <w:r>
        <w:t>odb. dětská lékařka, PODOLf, PANKRÁCKÁ 14 (stanic</w:t>
      </w:r>
      <w:r>
        <w:t>e elektr. dráhy za Podol, sanatoriem). Ord. 9—10 a 2—4. Tel. 441-77.</w:t>
      </w:r>
    </w:p>
    <w:p w:rsidR="00500724" w:rsidRDefault="00F30FB8">
      <w:pPr>
        <w:pStyle w:val="Zkladntext100"/>
        <w:shd w:val="clear" w:color="auto" w:fill="auto"/>
        <w:spacing w:after="160" w:line="187" w:lineRule="auto"/>
        <w:ind w:firstLine="0"/>
      </w:pPr>
      <w:r>
        <w:t xml:space="preserve">Pro plastickou chirurgii </w:t>
      </w:r>
      <w:r>
        <w:rPr>
          <w:rFonts w:ascii="Arial" w:eastAsia="Arial" w:hAnsi="Arial" w:cs="Arial"/>
          <w:b/>
          <w:bCs/>
          <w:sz w:val="22"/>
          <w:szCs w:val="22"/>
        </w:rPr>
        <w:t xml:space="preserve">Dr. RUDOLF SLUNEČKO </w:t>
      </w:r>
      <w:r>
        <w:t>ord. 3—4 (a podle úmluvy). Telefon 393-79. PRAHA H., VO</w:t>
      </w:r>
      <w:r>
        <w:softHyphen/>
        <w:t>DIČKOVA 15. (Hlávkův palác.)</w:t>
      </w:r>
    </w:p>
    <w:p w:rsidR="00500724" w:rsidRDefault="00F30FB8">
      <w:pPr>
        <w:pStyle w:val="Zkladntext80"/>
        <w:shd w:val="clear" w:color="auto" w:fill="auto"/>
        <w:spacing w:line="240" w:lineRule="auto"/>
        <w:jc w:val="both"/>
      </w:pPr>
      <w:r>
        <w:t>MUDr. EMIL VOGL</w:t>
      </w:r>
    </w:p>
    <w:p w:rsidR="00500724" w:rsidRDefault="00F30FB8">
      <w:pPr>
        <w:pStyle w:val="Zkladntext100"/>
        <w:shd w:val="clear" w:color="auto" w:fill="auto"/>
        <w:spacing w:line="173" w:lineRule="auto"/>
        <w:ind w:firstLine="0"/>
        <w:sectPr w:rsidR="00500724">
          <w:footnotePr>
            <w:numFmt w:val="chicago"/>
            <w:numRestart w:val="eachPage"/>
          </w:footnotePr>
          <w:pgSz w:w="11909" w:h="16834"/>
          <w:pgMar w:top="1376" w:right="1188" w:bottom="517" w:left="406" w:header="0" w:footer="3" w:gutter="0"/>
          <w:cols w:num="2" w:space="100"/>
          <w:noEndnote/>
          <w:docGrid w:linePitch="360"/>
        </w:sectPr>
      </w:pPr>
      <w:r>
        <w:t>odborný lékař</w:t>
      </w:r>
      <w:r>
        <w:t xml:space="preserve"> pro nemoci vnitřní, Praha H., LÚTZOWOVA 32, roh Washingtonovy. Ord. 9—11, 2—4. Telefon 226-65.</w:t>
      </w:r>
    </w:p>
    <w:p w:rsidR="00500724" w:rsidRDefault="00F30FB8">
      <w:pPr>
        <w:pStyle w:val="Zkladntext80"/>
        <w:shd w:val="clear" w:color="auto" w:fill="auto"/>
        <w:spacing w:after="60" w:line="170" w:lineRule="auto"/>
        <w:jc w:val="both"/>
        <w:rPr>
          <w:sz w:val="20"/>
          <w:szCs w:val="20"/>
        </w:rPr>
      </w:pPr>
      <w:r>
        <w:rPr>
          <w:sz w:val="20"/>
          <w:szCs w:val="20"/>
        </w:rPr>
        <w:t>Bezplatná benzolová služba:</w:t>
      </w:r>
    </w:p>
    <w:p w:rsidR="00500724" w:rsidRDefault="00F30FB8">
      <w:pPr>
        <w:pStyle w:val="Zkladntext100"/>
        <w:pBdr>
          <w:bottom w:val="single" w:sz="4" w:space="0" w:color="auto"/>
        </w:pBdr>
        <w:shd w:val="clear" w:color="auto" w:fill="auto"/>
        <w:spacing w:after="440" w:line="180" w:lineRule="auto"/>
        <w:ind w:firstLine="0"/>
        <w:rPr>
          <w:sz w:val="19"/>
          <w:szCs w:val="19"/>
        </w:rPr>
      </w:pPr>
      <w:r>
        <w:rPr>
          <w:b/>
          <w:bCs/>
          <w:sz w:val="19"/>
          <w:szCs w:val="19"/>
        </w:rPr>
        <w:t xml:space="preserve">V Praze: Stálá zkušebna na silnici Praha-Poděbrady u km 8*8. Stálé zkušebny v Brně, Na Výstavišti a v Mor. Ostravě-Vítkovice budou </w:t>
      </w:r>
      <w:r>
        <w:rPr>
          <w:b/>
          <w:bCs/>
          <w:sz w:val="19"/>
          <w:szCs w:val="19"/>
        </w:rPr>
        <w:t>koncem března v provozu. Stanoviště pojízdných zkušeben sdělí Vám u každého čerpadla.</w:t>
      </w:r>
    </w:p>
    <w:p w:rsidR="00500724" w:rsidRDefault="00F30FB8">
      <w:pPr>
        <w:pStyle w:val="Jin0"/>
        <w:pBdr>
          <w:top w:val="single" w:sz="4" w:space="0" w:color="auto"/>
        </w:pBdr>
        <w:shd w:val="clear" w:color="auto" w:fill="auto"/>
        <w:ind w:firstLine="0"/>
        <w:jc w:val="center"/>
        <w:rPr>
          <w:sz w:val="30"/>
          <w:szCs w:val="30"/>
        </w:rPr>
      </w:pPr>
      <w:r>
        <w:rPr>
          <w:rFonts w:ascii="Arial" w:eastAsia="Arial" w:hAnsi="Arial" w:cs="Arial"/>
          <w:sz w:val="26"/>
          <w:szCs w:val="26"/>
        </w:rPr>
        <w:t xml:space="preserve">Čtěte </w:t>
      </w:r>
      <w:r>
        <w:rPr>
          <w:rFonts w:ascii="Arial" w:eastAsia="Arial" w:hAnsi="Arial" w:cs="Arial"/>
          <w:b/>
          <w:bCs/>
          <w:i/>
          <w:iCs/>
          <w:sz w:val="30"/>
          <w:szCs w:val="30"/>
        </w:rPr>
        <w:t>LIDOVĚ NOVINY</w:t>
      </w:r>
    </w:p>
    <w:p w:rsidR="00500724" w:rsidRDefault="00F30FB8">
      <w:pPr>
        <w:spacing w:line="1" w:lineRule="exact"/>
        <w:rPr>
          <w:sz w:val="2"/>
          <w:szCs w:val="2"/>
        </w:rPr>
      </w:pPr>
      <w:r>
        <w:br w:type="column"/>
      </w:r>
    </w:p>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after="360" w:line="240" w:lineRule="auto"/>
        <w:jc w:val="center"/>
      </w:pPr>
      <w:r>
        <w:rPr>
          <w:color w:val="FFFFFF"/>
        </w:rPr>
        <w:t>VAS VKUS I NÁROKY USPOKOJÍ</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ind w:firstLine="0"/>
        <w:jc w:val="center"/>
        <w:rPr>
          <w:sz w:val="30"/>
          <w:szCs w:val="30"/>
        </w:rPr>
      </w:pPr>
      <w:r>
        <w:rPr>
          <w:rFonts w:ascii="Calibri" w:eastAsia="Calibri" w:hAnsi="Calibri" w:cs="Calibri"/>
          <w:b/>
          <w:bCs/>
          <w:sz w:val="30"/>
          <w:szCs w:val="30"/>
        </w:rPr>
        <w:t>KRAUS&amp;SPOL.</w:t>
      </w:r>
    </w:p>
    <w:p w:rsidR="00500724" w:rsidRDefault="00F30FB8">
      <w:pPr>
        <w:pStyle w:val="Nadpis120"/>
        <w:pBdr>
          <w:top w:val="single" w:sz="4" w:space="0" w:color="auto"/>
          <w:left w:val="single" w:sz="4" w:space="0" w:color="auto"/>
          <w:bottom w:val="single" w:sz="4" w:space="0" w:color="auto"/>
          <w:right w:val="single" w:sz="4" w:space="0" w:color="auto"/>
        </w:pBdr>
        <w:shd w:val="clear" w:color="auto" w:fill="auto"/>
        <w:spacing w:line="228" w:lineRule="auto"/>
        <w:ind w:left="0"/>
        <w:jc w:val="center"/>
      </w:pPr>
      <w:bookmarkStart w:id="233" w:name="bookmark232"/>
      <w:r>
        <w:t>krejčí pro pány a dámy</w:t>
      </w:r>
      <w:bookmarkEnd w:id="233"/>
    </w:p>
    <w:p w:rsidR="00500724" w:rsidRDefault="00F30FB8">
      <w:pPr>
        <w:pStyle w:val="Zkladntext20"/>
        <w:pBdr>
          <w:top w:val="single" w:sz="4" w:space="0" w:color="auto"/>
          <w:left w:val="single" w:sz="4" w:space="0" w:color="auto"/>
          <w:bottom w:val="single" w:sz="4" w:space="0" w:color="auto"/>
          <w:right w:val="single" w:sz="4" w:space="0" w:color="auto"/>
        </w:pBdr>
        <w:shd w:val="clear" w:color="auto" w:fill="auto"/>
        <w:spacing w:line="240" w:lineRule="auto"/>
        <w:ind w:firstLine="0"/>
        <w:jc w:val="right"/>
        <w:rPr>
          <w:sz w:val="20"/>
          <w:szCs w:val="20"/>
        </w:rPr>
      </w:pPr>
      <w:r>
        <w:rPr>
          <w:b/>
          <w:bCs/>
          <w:sz w:val="20"/>
          <w:szCs w:val="20"/>
        </w:rPr>
        <w:t>PRAHA II.,</w:t>
      </w:r>
    </w:p>
    <w:p w:rsidR="00500724" w:rsidRDefault="00F30FB8">
      <w:pPr>
        <w:pStyle w:val="Zkladntext20"/>
        <w:pBdr>
          <w:top w:val="single" w:sz="4" w:space="0" w:color="auto"/>
          <w:left w:val="single" w:sz="4" w:space="0" w:color="auto"/>
          <w:bottom w:val="single" w:sz="4" w:space="0" w:color="auto"/>
          <w:right w:val="single" w:sz="4" w:space="0" w:color="auto"/>
        </w:pBdr>
        <w:shd w:val="clear" w:color="auto" w:fill="auto"/>
        <w:tabs>
          <w:tab w:val="left" w:pos="3710"/>
        </w:tabs>
        <w:spacing w:line="204" w:lineRule="auto"/>
        <w:ind w:firstLine="0"/>
        <w:rPr>
          <w:sz w:val="20"/>
          <w:szCs w:val="20"/>
        </w:rPr>
        <w:sectPr w:rsidR="00500724">
          <w:footnotePr>
            <w:numFmt w:val="chicago"/>
            <w:numRestart w:val="eachPage"/>
          </w:footnotePr>
          <w:type w:val="continuous"/>
          <w:pgSz w:w="11909" w:h="16834"/>
          <w:pgMar w:top="1376" w:right="1323" w:bottom="517" w:left="406" w:header="0" w:footer="3" w:gutter="0"/>
          <w:cols w:num="2" w:space="504"/>
          <w:noEndnote/>
          <w:docGrid w:linePitch="360"/>
        </w:sectPr>
      </w:pPr>
      <w:r>
        <w:rPr>
          <w:sz w:val="20"/>
          <w:szCs w:val="20"/>
        </w:rPr>
        <w:t>Telefon 309-69</w:t>
      </w:r>
      <w:r>
        <w:rPr>
          <w:sz w:val="20"/>
          <w:szCs w:val="20"/>
        </w:rPr>
        <w:tab/>
        <w:t>Panská ul. 10</w:t>
      </w:r>
    </w:p>
    <w:p w:rsidR="00500724" w:rsidRDefault="00500724">
      <w:pPr>
        <w:spacing w:line="156" w:lineRule="exact"/>
        <w:rPr>
          <w:sz w:val="13"/>
          <w:szCs w:val="13"/>
        </w:rPr>
      </w:pPr>
    </w:p>
    <w:p w:rsidR="00500724" w:rsidRDefault="00500724">
      <w:pPr>
        <w:spacing w:line="14" w:lineRule="exact"/>
        <w:sectPr w:rsidR="00500724">
          <w:footnotePr>
            <w:numFmt w:val="chicago"/>
            <w:numRestart w:val="eachPage"/>
          </w:footnotePr>
          <w:type w:val="continuous"/>
          <w:pgSz w:w="11909" w:h="16834"/>
          <w:pgMar w:top="1376" w:right="0" w:bottom="517" w:left="0" w:header="0" w:footer="3" w:gutter="0"/>
          <w:cols w:space="720"/>
          <w:noEndnote/>
          <w:docGrid w:linePitch="360"/>
        </w:sectPr>
      </w:pPr>
    </w:p>
    <w:p w:rsidR="00500724" w:rsidRDefault="00F30FB8">
      <w:pPr>
        <w:pStyle w:val="Jin0"/>
        <w:shd w:val="clear" w:color="auto" w:fill="auto"/>
        <w:ind w:firstLine="0"/>
        <w:jc w:val="center"/>
        <w:rPr>
          <w:sz w:val="13"/>
          <w:szCs w:val="13"/>
        </w:rPr>
      </w:pPr>
      <w:r>
        <w:rPr>
          <w:b/>
          <w:bCs/>
          <w:sz w:val="13"/>
          <w:szCs w:val="13"/>
        </w:rPr>
        <w:t>OBUV PRO VYSS* NÁROKY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20"/>
        <w:shd w:val="clear" w:color="auto" w:fill="auto"/>
        <w:spacing w:line="230" w:lineRule="auto"/>
        <w:ind w:firstLine="0"/>
        <w:jc w:val="left"/>
        <w:rPr>
          <w:sz w:val="20"/>
          <w:szCs w:val="20"/>
        </w:rPr>
        <w:sectPr w:rsidR="00500724">
          <w:footnotePr>
            <w:numFmt w:val="chicago"/>
            <w:numRestart w:val="eachPage"/>
          </w:footnotePr>
          <w:type w:val="continuous"/>
          <w:pgSz w:w="11909" w:h="16834"/>
          <w:pgMar w:top="1376" w:right="1333" w:bottom="517" w:left="190" w:header="0" w:footer="3" w:gutter="0"/>
          <w:cols w:num="2" w:sep="1" w:space="357"/>
          <w:noEndnote/>
          <w:docGrid w:linePitch="360"/>
        </w:sectPr>
      </w:pPr>
      <w:r>
        <w:rPr>
          <w:sz w:val="20"/>
          <w:szCs w:val="20"/>
        </w:rPr>
        <w:t>PRAHA I., PŘÍKOPY 35, schodiště A. Tel. 315-28.</w: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118" w:after="118"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203" w:right="0" w:bottom="689" w:left="0" w:header="0" w:footer="3" w:gutter="0"/>
          <w:cols w:space="720"/>
          <w:noEndnote/>
          <w:docGrid w:linePitch="360"/>
        </w:sectPr>
      </w:pPr>
    </w:p>
    <w:p w:rsidR="00500724" w:rsidRDefault="00F30FB8">
      <w:pPr>
        <w:pStyle w:val="Zkladntext80"/>
        <w:pBdr>
          <w:bottom w:val="single" w:sz="4" w:space="0" w:color="auto"/>
        </w:pBdr>
        <w:shd w:val="clear" w:color="auto" w:fill="auto"/>
        <w:spacing w:after="480" w:line="240" w:lineRule="auto"/>
        <w:ind w:left="4260"/>
        <w:rPr>
          <w:sz w:val="24"/>
          <w:szCs w:val="24"/>
        </w:rPr>
      </w:pPr>
      <w:r>
        <w:rPr>
          <w:b w:val="0"/>
          <w:bCs w:val="0"/>
          <w:sz w:val="24"/>
          <w:szCs w:val="24"/>
        </w:rPr>
        <w:t>Roste u nás, vyrábí se v Pardubicích</w:t>
      </w:r>
    </w:p>
    <w:p w:rsidR="00500724" w:rsidRDefault="00F30FB8">
      <w:pPr>
        <w:pStyle w:val="Zkladntext100"/>
        <w:shd w:val="clear" w:color="auto" w:fill="auto"/>
        <w:spacing w:after="80" w:line="240" w:lineRule="auto"/>
        <w:ind w:left="540" w:hanging="540"/>
        <w:rPr>
          <w:sz w:val="19"/>
          <w:szCs w:val="19"/>
        </w:rPr>
      </w:pPr>
      <w:r>
        <w:rPr>
          <w:b/>
          <w:bCs/>
          <w:sz w:val="20"/>
          <w:szCs w:val="20"/>
        </w:rPr>
        <w:t xml:space="preserve">OBSAH PŘÍTOMNOSTI C. </w:t>
      </w:r>
      <w:r>
        <w:rPr>
          <w:b/>
          <w:bCs/>
          <w:sz w:val="19"/>
          <w:szCs w:val="19"/>
        </w:rPr>
        <w:t xml:space="preserve">9: F. PEROUTKA: Dopis generála Fauchera a odpověď. — J. SEDLÁK: Nová dělba kolonií? — G. </w:t>
      </w:r>
      <w:r>
        <w:rPr>
          <w:b/>
          <w:bCs/>
          <w:sz w:val="19"/>
          <w:szCs w:val="19"/>
          <w:lang w:val="en-US" w:eastAsia="en-US" w:bidi="en-US"/>
        </w:rPr>
        <w:t xml:space="preserve">WINTER: </w:t>
      </w:r>
      <w:r>
        <w:rPr>
          <w:b/>
          <w:bCs/>
          <w:sz w:val="19"/>
          <w:szCs w:val="19"/>
        </w:rPr>
        <w:t xml:space="preserve">Jean Giono ví, že je Česko-Slovensko. — K. NEDVĚD: </w:t>
      </w:r>
      <w:r>
        <w:rPr>
          <w:b/>
          <w:bCs/>
          <w:sz w:val="19"/>
          <w:szCs w:val="19"/>
          <w:lang w:val="en-US" w:eastAsia="en-US" w:bidi="en-US"/>
        </w:rPr>
        <w:t xml:space="preserve">Bonnet </w:t>
      </w:r>
      <w:r>
        <w:rPr>
          <w:b/>
          <w:bCs/>
          <w:sz w:val="19"/>
          <w:szCs w:val="19"/>
        </w:rPr>
        <w:t>a francouzská veřejnost. — MIROSLAV MÍČKO: Přiznání k Alšovi. — JOSEF PACHTA: Londýnská City děla pol</w:t>
      </w:r>
      <w:r>
        <w:rPr>
          <w:b/>
          <w:bCs/>
          <w:sz w:val="19"/>
          <w:szCs w:val="19"/>
        </w:rPr>
        <w:t>itiku. — KAREL KŘÍŽ: První rozpočet nového Cesko-Slovenska. — KORNEL SYNEK: Naě si stěžují zdejší Němci? — ANT. BOHÁČ: Páté a šesté pásmo. — JAROSLAV MOKROŠ: Otcové a děti. — Slovensko před vážnými úkoly. — Vojenské události v Anglii. — Dopis z lidu generá</w:t>
      </w:r>
      <w:r>
        <w:rPr>
          <w:b/>
          <w:bCs/>
          <w:sz w:val="19"/>
          <w:szCs w:val="19"/>
        </w:rPr>
        <w:t>lu Medkovi. — Češi, Němci a židé. — City a politika. — Padlé bašty.</w:t>
      </w:r>
    </w:p>
    <w:p w:rsidR="00500724" w:rsidRDefault="00F30FB8">
      <w:pPr>
        <w:pStyle w:val="Zkladntext100"/>
        <w:pBdr>
          <w:bottom w:val="single" w:sz="4" w:space="0" w:color="auto"/>
        </w:pBdr>
        <w:shd w:val="clear" w:color="auto" w:fill="auto"/>
        <w:spacing w:after="80" w:line="240" w:lineRule="auto"/>
        <w:ind w:left="540" w:hanging="540"/>
      </w:pPr>
      <w:r>
        <w:t>as</w:t>
      </w:r>
    </w:p>
    <w:p w:rsidR="00500724" w:rsidRDefault="00F30FB8">
      <w:pPr>
        <w:pStyle w:val="Nadpis80"/>
        <w:keepNext/>
        <w:keepLines/>
        <w:shd w:val="clear" w:color="auto" w:fill="auto"/>
        <w:spacing w:after="160"/>
        <w:ind w:left="180" w:firstLine="20"/>
      </w:pPr>
      <w:r>
        <w:rPr>
          <w:noProof/>
        </w:rPr>
        <mc:AlternateContent>
          <mc:Choice Requires="wps">
            <w:drawing>
              <wp:anchor distT="0" distB="575945" distL="114300" distR="132715" simplePos="0" relativeHeight="125829606" behindDoc="0" locked="0" layoutInCell="1" allowOverlap="1">
                <wp:simplePos x="0" y="0"/>
                <wp:positionH relativeFrom="page">
                  <wp:posOffset>190500</wp:posOffset>
                </wp:positionH>
                <wp:positionV relativeFrom="margin">
                  <wp:posOffset>8256905</wp:posOffset>
                </wp:positionV>
                <wp:extent cx="2706370" cy="682625"/>
                <wp:effectExtent l="0" t="0" r="0" b="0"/>
                <wp:wrapSquare wrapText="right"/>
                <wp:docPr id="229" name="Shape 229"/>
                <wp:cNvGraphicFramePr/>
                <a:graphic xmlns:a="http://schemas.openxmlformats.org/drawingml/2006/main">
                  <a:graphicData uri="http://schemas.microsoft.com/office/word/2010/wordprocessingShape">
                    <wps:wsp>
                      <wps:cNvSpPr txBox="1"/>
                      <wps:spPr>
                        <a:xfrm>
                          <a:off x="0" y="0"/>
                          <a:ext cx="2706370" cy="682625"/>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rPr>
                              <w:t>PfíťoninGst-z</w:t>
                            </w:r>
                          </w:p>
                        </w:txbxContent>
                      </wps:txbx>
                      <wps:bodyPr lIns="0" tIns="0" rIns="0" bIns="0">
                        <a:spAutoFit/>
                      </wps:bodyPr>
                    </wps:wsp>
                  </a:graphicData>
                </a:graphic>
              </wp:anchor>
            </w:drawing>
          </mc:Choice>
          <mc:Fallback>
            <w:pict>
              <v:shape id="_x0000_s1255" type="#_x0000_t202" style="position:absolute;margin-left:15.pt;margin-top:650.14999999999998pt;width:213.09999999999999pt;height:53.75pt;z-index:-125829147;mso-wrap-distance-left:9.pt;mso-wrap-distance-right:10.449999999999999pt;mso-wrap-distance-bottom:45.350000000000001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PfíťoninGst-z</w:t>
                      </w:r>
                    </w:p>
                  </w:txbxContent>
                </v:textbox>
                <w10:wrap type="square" side="right" anchorx="page" anchory="margin"/>
              </v:shape>
            </w:pict>
          </mc:Fallback>
        </mc:AlternateContent>
      </w:r>
      <w:r>
        <w:rPr>
          <w:noProof/>
        </w:rPr>
        <mc:AlternateContent>
          <mc:Choice Requires="wps">
            <w:drawing>
              <wp:anchor distT="883920" distB="0" distL="144780" distR="114300" simplePos="0" relativeHeight="125829608" behindDoc="0" locked="0" layoutInCell="1" allowOverlap="1">
                <wp:simplePos x="0" y="0"/>
                <wp:positionH relativeFrom="page">
                  <wp:posOffset>220980</wp:posOffset>
                </wp:positionH>
                <wp:positionV relativeFrom="margin">
                  <wp:posOffset>9140825</wp:posOffset>
                </wp:positionV>
                <wp:extent cx="2694305" cy="374650"/>
                <wp:effectExtent l="0" t="0" r="0" b="0"/>
                <wp:wrapSquare wrapText="right"/>
                <wp:docPr id="231" name="Shape 231"/>
                <wp:cNvGraphicFramePr/>
                <a:graphic xmlns:a="http://schemas.openxmlformats.org/drawingml/2006/main">
                  <a:graphicData uri="http://schemas.microsoft.com/office/word/2010/wordprocessingShape">
                    <wps:wsp>
                      <wps:cNvSpPr txBox="1"/>
                      <wps:spPr>
                        <a:xfrm>
                          <a:off x="0" y="0"/>
                          <a:ext cx="2694305" cy="37465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Hjnj=erď_Peroutka</w:t>
                            </w:r>
                          </w:p>
                        </w:txbxContent>
                      </wps:txbx>
                      <wps:bodyPr lIns="0" tIns="0" rIns="0" bIns="0">
                        <a:spAutoFit/>
                      </wps:bodyPr>
                    </wps:wsp>
                  </a:graphicData>
                </a:graphic>
              </wp:anchor>
            </w:drawing>
          </mc:Choice>
          <mc:Fallback>
            <w:pict>
              <v:shape id="_x0000_s1257" type="#_x0000_t202" style="position:absolute;margin-left:17.399999999999999pt;margin-top:719.75pt;width:212.15000000000001pt;height:29.5pt;z-index:-125829145;mso-wrap-distance-left:11.4pt;mso-wrap-distance-top:69.599999999999994pt;mso-wrap-distance-right:9.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Hjnj=erď_Peroutka</w:t>
                      </w:r>
                    </w:p>
                  </w:txbxContent>
                </v:textbox>
                <w10:wrap type="square" side="right" anchorx="page" anchory="margin"/>
              </v:shape>
            </w:pict>
          </mc:Fallback>
        </mc:AlternateContent>
      </w:r>
      <w:bookmarkStart w:id="234" w:name="bookmark233"/>
      <w:r>
        <w:t>nezávislý týdeník</w:t>
      </w:r>
      <w:bookmarkEnd w:id="234"/>
    </w:p>
    <w:p w:rsidR="00500724" w:rsidRDefault="00F30FB8">
      <w:pPr>
        <w:pStyle w:val="Zkladntext50"/>
        <w:shd w:val="clear" w:color="auto" w:fill="auto"/>
        <w:spacing w:after="80" w:line="156" w:lineRule="auto"/>
        <w:ind w:left="0"/>
        <w:jc w:val="center"/>
      </w:pPr>
      <w:r>
        <w:t>vychází ve středu v nakladatelství</w:t>
      </w:r>
    </w:p>
    <w:p w:rsidR="00500724" w:rsidRDefault="00F30FB8">
      <w:pPr>
        <w:pStyle w:val="Zkladntext50"/>
        <w:shd w:val="clear" w:color="auto" w:fill="auto"/>
        <w:spacing w:after="80" w:line="166" w:lineRule="auto"/>
        <w:ind w:left="0"/>
        <w:jc w:val="center"/>
        <w:rPr>
          <w:sz w:val="16"/>
          <w:szCs w:val="16"/>
        </w:rPr>
      </w:pPr>
      <w:r>
        <w:rPr>
          <w:b/>
          <w:bCs/>
          <w:sz w:val="16"/>
          <w:szCs w:val="16"/>
        </w:rPr>
        <w:t xml:space="preserve">FR. </w:t>
      </w:r>
      <w:r>
        <w:rPr>
          <w:b/>
          <w:bCs/>
          <w:sz w:val="16"/>
          <w:szCs w:val="16"/>
          <w:lang w:val="en-US" w:eastAsia="en-US" w:bidi="en-US"/>
        </w:rPr>
        <w:t xml:space="preserve">BOROV? </w:t>
      </w:r>
      <w:r>
        <w:rPr>
          <w:b/>
          <w:bCs/>
          <w:sz w:val="16"/>
          <w:szCs w:val="16"/>
        </w:rPr>
        <w:t xml:space="preserve">V </w:t>
      </w:r>
      <w:r>
        <w:rPr>
          <w:b/>
          <w:bCs/>
          <w:sz w:val="16"/>
          <w:szCs w:val="16"/>
          <w:lang w:val="en-US" w:eastAsia="en-US" w:bidi="en-US"/>
        </w:rPr>
        <w:t xml:space="preserve">PR </w:t>
      </w:r>
      <w:r>
        <w:rPr>
          <w:b/>
          <w:bCs/>
          <w:sz w:val="16"/>
          <w:szCs w:val="16"/>
        </w:rPr>
        <w:t>AZEI., NÁRODNÍ TŘÍDA 11.</w:t>
      </w:r>
    </w:p>
    <w:p w:rsidR="00500724" w:rsidRDefault="00F30FB8">
      <w:pPr>
        <w:pStyle w:val="Zkladntext100"/>
        <w:shd w:val="clear" w:color="auto" w:fill="auto"/>
        <w:spacing w:after="80" w:line="146" w:lineRule="auto"/>
        <w:ind w:left="180" w:firstLine="20"/>
      </w:pPr>
      <w:r>
        <w:t>Telefon číslo 390-51 až 54 » Očet poštovní spořitelny</w:t>
      </w:r>
      <w:r>
        <w:t xml:space="preserve"> číslo S5.622 • Nevy</w:t>
      </w:r>
      <w:r>
        <w:softHyphen/>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 xml:space="preserve">Frs 2.50. • Dohlédaci pošt. úřad Brno IL • Novin sazba povolena v Brně </w:t>
      </w:r>
      <w:r>
        <w:rPr>
          <w:lang w:val="en-US" w:eastAsia="en-US" w:bidi="en-US"/>
        </w:rPr>
        <w:t xml:space="preserve">fed. </w:t>
      </w:r>
      <w:r>
        <w:t>poš</w:t>
      </w:r>
      <w:r>
        <w:t>t a telegrafů pod čls. 119.268/IHa. • Odpovědný redaktor J. Dlabač.</w:t>
      </w:r>
    </w:p>
    <w:p w:rsidR="00500724" w:rsidRDefault="00F30FB8">
      <w:pPr>
        <w:pStyle w:val="Zkladntext50"/>
        <w:shd w:val="clear" w:color="auto" w:fill="auto"/>
        <w:spacing w:after="80" w:line="156" w:lineRule="auto"/>
        <w:ind w:left="0"/>
        <w:jc w:val="center"/>
      </w:pPr>
      <w:r>
        <w:t>TISKEM LIDOVÉ TISKÁRNY, BRNO, ČESKA 4.</w:t>
      </w:r>
      <w:r>
        <w:br w:type="page"/>
      </w:r>
    </w:p>
    <w:p w:rsidR="00500724" w:rsidRDefault="00F30FB8">
      <w:pPr>
        <w:pStyle w:val="Nadpis60"/>
        <w:keepNext/>
        <w:keepLines/>
        <w:shd w:val="clear" w:color="auto" w:fill="auto"/>
        <w:ind w:left="60"/>
        <w:sectPr w:rsidR="00500724">
          <w:footnotePr>
            <w:numFmt w:val="chicago"/>
            <w:numRestart w:val="eachPage"/>
          </w:footnotePr>
          <w:type w:val="continuous"/>
          <w:pgSz w:w="11909" w:h="16834"/>
          <w:pgMar w:top="1203" w:right="999" w:bottom="689" w:left="326" w:header="0" w:footer="3" w:gutter="0"/>
          <w:cols w:space="720"/>
          <w:noEndnote/>
          <w:docGrid w:linePitch="360"/>
        </w:sectPr>
      </w:pPr>
      <w:bookmarkStart w:id="235" w:name="bookmark234"/>
      <w:r>
        <w:t>PřítomnosO</w:t>
      </w:r>
      <w:bookmarkEnd w:id="235"/>
    </w:p>
    <w:p w:rsidR="00500724" w:rsidRDefault="00500724">
      <w:pPr>
        <w:spacing w:after="663" w:line="14" w:lineRule="exact"/>
      </w:pPr>
    </w:p>
    <w:p w:rsidR="00500724" w:rsidRDefault="00500724">
      <w:pPr>
        <w:spacing w:line="14" w:lineRule="exact"/>
        <w:sectPr w:rsidR="00500724">
          <w:footnotePr>
            <w:numFmt w:val="chicago"/>
            <w:numRestart w:val="eachPage"/>
          </w:footnotePr>
          <w:type w:val="continuous"/>
          <w:pgSz w:w="11909" w:h="16834"/>
          <w:pgMar w:top="975" w:right="869" w:bottom="875" w:left="662" w:header="0" w:footer="3" w:gutter="0"/>
          <w:cols w:space="720"/>
          <w:noEndnote/>
          <w:docGrid w:linePitch="360"/>
        </w:sectPr>
      </w:pPr>
    </w:p>
    <w:p w:rsidR="00500724" w:rsidRDefault="00F30FB8">
      <w:pPr>
        <w:pStyle w:val="Nadpis100"/>
        <w:shd w:val="clear" w:color="auto" w:fill="auto"/>
        <w:spacing w:line="240" w:lineRule="auto"/>
        <w:ind w:left="500"/>
        <w:jc w:val="left"/>
      </w:pPr>
      <w:bookmarkStart w:id="236" w:name="bookmark235"/>
      <w:r>
        <w:t>Co by dělal dnes Masaryk</w:t>
      </w:r>
      <w:bookmarkEnd w:id="236"/>
    </w:p>
    <w:p w:rsidR="00500724" w:rsidRDefault="00F30FB8">
      <w:pPr>
        <w:pStyle w:val="Zkladntext20"/>
        <w:shd w:val="clear" w:color="auto" w:fill="auto"/>
        <w:spacing w:after="80" w:line="202" w:lineRule="auto"/>
        <w:ind w:firstLine="0"/>
        <w:jc w:val="center"/>
      </w:pPr>
      <w:r>
        <w:rPr>
          <w:b/>
          <w:bCs/>
        </w:rPr>
        <w:t xml:space="preserve">(7. </w:t>
      </w:r>
      <w:r>
        <w:rPr>
          <w:b/>
          <w:bCs/>
          <w:lang w:val="en-US" w:eastAsia="en-US" w:bidi="en-US"/>
        </w:rPr>
        <w:t xml:space="preserve">in. </w:t>
      </w:r>
      <w:r>
        <w:rPr>
          <w:b/>
          <w:bCs/>
        </w:rPr>
        <w:t>1939)</w:t>
      </w:r>
    </w:p>
    <w:p w:rsidR="00500724" w:rsidRDefault="00F30FB8">
      <w:pPr>
        <w:pStyle w:val="Zkladntext20"/>
        <w:shd w:val="clear" w:color="auto" w:fill="auto"/>
        <w:spacing w:after="40" w:line="190" w:lineRule="auto"/>
      </w:pPr>
      <w:r>
        <w:t xml:space="preserve">Ačkoliv je to otázka skoro mystická, lidé ji teď hodně kladou sobě i jiným. Snad proto, že žádná doba, </w:t>
      </w:r>
      <w:r>
        <w:rPr>
          <w:b/>
          <w:bCs/>
          <w:sz w:val="26"/>
          <w:szCs w:val="26"/>
        </w:rPr>
        <w:t xml:space="preserve">ve </w:t>
      </w:r>
      <w:r>
        <w:t xml:space="preserve">které národ navštívil pocit neštěstí, není bez sklonu </w:t>
      </w:r>
      <w:r>
        <w:rPr>
          <w:b/>
          <w:bCs/>
          <w:sz w:val="26"/>
          <w:szCs w:val="26"/>
        </w:rPr>
        <w:t xml:space="preserve">k </w:t>
      </w:r>
      <w:r>
        <w:t>mystice, jenž se ovšem méně projevuje klečením na dlažbě chrámové a více očekáváním nějakých p</w:t>
      </w:r>
      <w:r>
        <w:t>oli</w:t>
      </w:r>
      <w:r>
        <w:softHyphen/>
        <w:t>tických zázraků. Ty nepřijdou.</w:t>
      </w:r>
    </w:p>
    <w:p w:rsidR="00500724" w:rsidRDefault="00F30FB8">
      <w:pPr>
        <w:pStyle w:val="Zkladntext20"/>
        <w:shd w:val="clear" w:color="auto" w:fill="auto"/>
        <w:spacing w:after="40" w:line="202" w:lineRule="auto"/>
      </w:pPr>
      <w:r>
        <w:t>Jediná poctivá odpověď na otázku, co by dnes Masaryk dělal, musí znít: Nevím. Poznali jsme Ma</w:t>
      </w:r>
      <w:r>
        <w:softHyphen/>
        <w:t>saryka ve dvou situacích: za Rakouska a v první re</w:t>
      </w:r>
      <w:r>
        <w:softHyphen/>
        <w:t>publice. Kdo je takový umělec psychologie, aby dovedl si vymyslit duševní re</w:t>
      </w:r>
      <w:r>
        <w:t xml:space="preserve">akce této osobnosti v situaci podstatně jiné? Je možno, že někdo má dosti smělosti, aby se domníval to vědět. Já se přiznávám, </w:t>
      </w:r>
      <w:r>
        <w:rPr>
          <w:i/>
          <w:iCs/>
        </w:rPr>
        <w:t>že</w:t>
      </w:r>
      <w:r>
        <w:t xml:space="preserve"> mne opouští odvaha před úkolem tak obtížným. Není po</w:t>
      </w:r>
      <w:r>
        <w:softHyphen/>
        <w:t xml:space="preserve">chyby, že s Masarykem zemřela i jeho epocha. To jsme jaksi cítili už nad </w:t>
      </w:r>
      <w:r>
        <w:t>jeho rakví. Všechny síly jeho ducha kořenily v dobré a slavné evropské minulosti. Vím, že ve filosofii jeho skutečně živé porozumění se zastavovalo už před Nietzschem a Bergsonem. Zkon</w:t>
      </w:r>
      <w:r>
        <w:softHyphen/>
        <w:t>struovat, jak by osobnost, zaniklá i se svou epochou, se chovala v epoš</w:t>
      </w:r>
      <w:r>
        <w:t>e jiné, určovat to dokonce v de</w:t>
      </w:r>
      <w:r>
        <w:softHyphen/>
        <w:t>tailech, to by bylo počínání blízké směšnosti. Jistě by Masaryk s truchlivostí viděl, jako to vidíme my, mno</w:t>
      </w:r>
      <w:r>
        <w:softHyphen/>
        <w:t>ho svých idejí roztříštěno, plno svých nadějí zklamá</w:t>
      </w:r>
      <w:r>
        <w:softHyphen/>
        <w:t>no. Čímž se nic neříká o kvalitě oněch idejí; i dobré a čestné</w:t>
      </w:r>
      <w:r>
        <w:t xml:space="preserve"> naděje bývají někdy zklamány. Jistě by se snažil obrnit onou pevností srdce, která dělá mužný charakter. Jistě by však cítil, že ona sbírka idejí, kterou uložil do Světové revoluce, ztratila svůj aktuál</w:t>
      </w:r>
      <w:r>
        <w:softHyphen/>
        <w:t>ní ráz.</w:t>
      </w:r>
    </w:p>
    <w:p w:rsidR="00500724" w:rsidRDefault="00F30FB8">
      <w:pPr>
        <w:pStyle w:val="Zkladntext20"/>
        <w:shd w:val="clear" w:color="auto" w:fill="auto"/>
        <w:spacing w:after="40" w:line="202" w:lineRule="auto"/>
      </w:pPr>
      <w:r>
        <w:t>Není-li možno citovati jeho ducha tím způsob</w:t>
      </w:r>
      <w:r>
        <w:t>em, jakým by to po nás mnozí žádali, je snad možno vzpo</w:t>
      </w:r>
      <w:r>
        <w:softHyphen/>
        <w:t>menouti celkového rázu jeho charakteru a jeho myšlení a z toho vyvodit některé, dosti bledé, jak při</w:t>
      </w:r>
      <w:r>
        <w:softHyphen/>
        <w:t>znávám, dohady o tom, jak by si asi dnes počínal. Ve velmi širokých obrysech ovšem. Při tom, jako t</w:t>
      </w:r>
      <w:r>
        <w:t>ak často u velkých osobností, málo se budeme moci spo- lehnouti na vždy rychle nabízený a hotový úsudek jeho profesionálních vykladačů. Jejich obvyklou vadou bývá, že se zastavili se svým chápáním u Ma</w:t>
      </w:r>
      <w:r>
        <w:softHyphen/>
        <w:t>saryka předválečného a revolučního a že v něm nikdy ne</w:t>
      </w:r>
      <w:r>
        <w:t>mohli vidět něco jiného než oposičníka, který právě z oposice si dělá největší čest. Jen nedostatečně vnímali jeho dobu presidentskou, která byla plna sta</w:t>
      </w:r>
      <w:r>
        <w:softHyphen/>
        <w:t>rostí o to, najde-li český národ v sobě dosti konstruk</w:t>
      </w:r>
      <w:r>
        <w:softHyphen/>
        <w:t>tivního a státního ducha, a která byla protkán</w:t>
      </w:r>
      <w:r>
        <w:t>a úseč</w:t>
      </w:r>
      <w:r>
        <w:softHyphen/>
        <w:t>nými poznámkami: Sám jsem často býval anarchistou. Marx jednou řekl: Nejsem marxista. Vím přesně, že Masaryk smýšlel podobně: Jsem Masaryk, ale ne masarykovec. Byl pln nechuti k lidem, kteří s jeho jménem na rtech ^přispívali k zvýšení zmatku v naše</w:t>
      </w:r>
      <w:r>
        <w:t>m poválečném světě. Neměl ani touhy, aby celá jeho literární minulost byla vzkříšena. Říkal: Co chci nyní říci, řekl jsem ve Světové revoluci; to by mohlo stačit.</w:t>
      </w:r>
    </w:p>
    <w:p w:rsidR="00500724" w:rsidRDefault="00F30FB8">
      <w:pPr>
        <w:pStyle w:val="Zkladntext20"/>
        <w:shd w:val="clear" w:color="auto" w:fill="auto"/>
        <w:spacing w:after="40" w:line="202" w:lineRule="auto"/>
        <w:ind w:firstLine="0"/>
      </w:pPr>
      <w:r>
        <w:t>A tato jeho poslední kniha zcela je ovládána starostmi výstavby. Přicházejí na něho pochybnos</w:t>
      </w:r>
      <w:r>
        <w:t>ti i o tom, zda ona česká epocha, které patřila jeho největší láska, reformace, byla dosti konstruktivní, zda nebyla politicky neblahá, končíc porážkou; uvažuje, nebyla-li německá reformace politicky konstruktivnější.</w:t>
      </w:r>
    </w:p>
    <w:p w:rsidR="00500724" w:rsidRDefault="00F30FB8">
      <w:pPr>
        <w:pStyle w:val="Zkladntext20"/>
        <w:shd w:val="clear" w:color="auto" w:fill="auto"/>
        <w:spacing w:after="100" w:line="202" w:lineRule="auto"/>
        <w:ind w:firstLine="0"/>
        <w:jc w:val="center"/>
      </w:pPr>
      <w:r>
        <w:t>•</w:t>
      </w:r>
    </w:p>
    <w:p w:rsidR="00500724" w:rsidRDefault="00F30FB8">
      <w:pPr>
        <w:pStyle w:val="Zkladntext20"/>
        <w:shd w:val="clear" w:color="auto" w:fill="auto"/>
        <w:spacing w:after="40" w:line="202" w:lineRule="auto"/>
      </w:pPr>
      <w:r>
        <w:t xml:space="preserve">Uvedl jsem obtíže, které se staví v </w:t>
      </w:r>
      <w:r>
        <w:t xml:space="preserve">cestu pátrání, jak by se Masaryk zachoval v dnešní době. Největší z obtíží je psychologická nemožnost úkolu. Když jsem byl uvedl všechny výhrady, zkusme, není-li možno z toho, jak jej známe, vyvodit nějaký program pro dobu přítomnou. Musíte dovolit, abych </w:t>
      </w:r>
      <w:r>
        <w:t>si při tom počínal střízlivě a nedal se unášet fantasií. Jinak bych raději mlčel.</w:t>
      </w:r>
    </w:p>
    <w:p w:rsidR="00500724" w:rsidRDefault="00F30FB8">
      <w:pPr>
        <w:pStyle w:val="Zkladntext20"/>
        <w:numPr>
          <w:ilvl w:val="0"/>
          <w:numId w:val="27"/>
        </w:numPr>
        <w:shd w:val="clear" w:color="auto" w:fill="auto"/>
        <w:tabs>
          <w:tab w:val="left" w:pos="486"/>
        </w:tabs>
        <w:spacing w:after="40" w:line="202" w:lineRule="auto"/>
      </w:pPr>
      <w:r>
        <w:t>Masaryk přijal pro své hnutí název realismus. To je dosti srozumitelný a trvalý znak: takové jméno nemohou přijmouti hnutí a muž, jejichž hlavním cílem by nebylo poznávat sku</w:t>
      </w:r>
      <w:r>
        <w:t>tečnost a jednat podle ní. »Stručně,« napsal Masaryk, »lze hlavní pravidlo for</w:t>
      </w:r>
      <w:r>
        <w:softHyphen/>
        <w:t>mulovat: poznávej vždy věci a jejich jádro!« Nešli bychom v Masarykových stopách, kdyby péče o pozná</w:t>
      </w:r>
      <w:r>
        <w:softHyphen/>
        <w:t>ní skutečnosti v nás nepřevládala. Realismus se ovšem nemůže zastaviti ani p</w:t>
      </w:r>
      <w:r>
        <w:t>řed uznáním skutečností ne</w:t>
      </w:r>
      <w:r>
        <w:softHyphen/>
        <w:t>příjemných, ba právě tam začíná jeho úkol, neboť sku</w:t>
      </w:r>
      <w:r>
        <w:softHyphen/>
        <w:t>tečnosti příjemné je každý sám od sebe ochoten uznat a přijmout. Je zcela nepochybně Masarykovým od</w:t>
      </w:r>
      <w:r>
        <w:softHyphen/>
        <w:t>kazem: nikoliv sníti, nýbrž jasně viděti; ne vyhýbat se nezbytným úkolům tím</w:t>
      </w:r>
      <w:r>
        <w:t>, že bychom se šli potěšit do kouta se svou fantasií; politika ani noviny nesmějí se podobati kuřárně opia, kde se každý může oddat pří</w:t>
      </w:r>
      <w:r>
        <w:softHyphen/>
        <w:t>jemným snům. Jsem přesvědčen, že Masaryk by se k pěstitelům ilusí nepřihlásil. Neříkám, co by vyvodil z poznané skutečno</w:t>
      </w:r>
      <w:r>
        <w:t>sti, poněvadž to ovšem nevím; také by jistě žádná realita nepodlomila jeho statečnost. Pravím pouze, že by se snažil přesně a ostře vidět, co jest, a že by si neulehčoval fantasií. 2e by, právě jako za války, podnikl nejdříve velkou analysu duchovního a sp</w:t>
      </w:r>
      <w:r>
        <w:t>olečenského života německého, francouzského, anglického, ruského, a že by se varoval vsadit na špatnou kartu. Jistě by mu neušla hluboká krise fran</w:t>
      </w:r>
      <w:r>
        <w:softHyphen/>
        <w:t>couzské energie a rozpačitost Velké Britanie; naproti tomu by nemohl nepozorovat rozmach všech sil ně</w:t>
      </w:r>
      <w:r>
        <w:softHyphen/>
        <w:t>meckýc</w:t>
      </w:r>
      <w:r>
        <w:t>h. Tuto věc lze tedy každému tazateli bezpeč</w:t>
      </w:r>
      <w:r>
        <w:softHyphen/>
        <w:t>ně říci, že by Masaryk začal pečlivou analysou všech' evropských sil; stačí si přečíst ona místa ze Světové revoluce, kde podrobně popisuje podobnou analysu v době, než se ještě rozhodl pro revoluční činnost za</w:t>
      </w:r>
      <w:r>
        <w:softHyphen/>
      </w:r>
      <w:r>
        <w:t>hraniční. Jistě by nešel, jak někteří snad mají chuť jiti, do něčeho se zavřenýma očima, veden jen neurči</w:t>
      </w:r>
      <w:r>
        <w:softHyphen/>
        <w:t>tým citem. Jeho rozhodnutí by záleželo na výsledku rozboru evropských poměrů. Sotva by mohl nyní do- spěti k názorii, že Francie a Anglie stojí na pra</w:t>
      </w:r>
      <w:r>
        <w:t>hu velkých vítězství a úspěchů, a podle toho se zařizovat. Masaryk dovedl rozbírat tyto věci bez předsudků; nedal si za světové války bránit rusořilskými našimi domácími předsudky, předpověděl, že Rusko bude po</w:t>
      </w:r>
      <w:r>
        <w:softHyphen/>
        <w:t>raženo nebo že se zhroutí a odtáhl se od něho</w:t>
      </w:r>
      <w:r>
        <w:t xml:space="preserve">. Zajisté by se vynasnažil stejně jasně viděti i nyní. Každý, komu záleží na tom, aby se bral v Masarykových šlépějích, nechť právě tak začne, jak by zcela jistě začal on: nechť si sám pro sebe provede analysu evropských sil a nedá se při tom másti city a </w:t>
      </w:r>
      <w:r>
        <w:t>přáními.</w:t>
      </w:r>
    </w:p>
    <w:p w:rsidR="00500724" w:rsidRDefault="00F30FB8">
      <w:pPr>
        <w:pStyle w:val="Zkladntext20"/>
        <w:numPr>
          <w:ilvl w:val="0"/>
          <w:numId w:val="27"/>
        </w:numPr>
        <w:shd w:val="clear" w:color="auto" w:fill="auto"/>
        <w:tabs>
          <w:tab w:val="left" w:pos="562"/>
        </w:tabs>
        <w:spacing w:after="40" w:line="204" w:lineRule="auto"/>
        <w:ind w:firstLine="260"/>
      </w:pPr>
      <w:r>
        <w:t>Masaryk dlouho počítal s rakouskými mocenský</w:t>
      </w:r>
      <w:r>
        <w:softHyphen/>
        <w:t>mi poměry a provozoval v monarchii positivní politi</w:t>
      </w:r>
      <w:r>
        <w:softHyphen/>
        <w:t>ku. Byl odpůrcem hlavně protirakouských radikálů. Nelze si představit, že by nepočítal s mocenskými po</w:t>
      </w:r>
      <w:r>
        <w:softHyphen/>
        <w:t>měry dneška: to by nezasluhoval titulu realisty</w:t>
      </w:r>
      <w:r>
        <w:t xml:space="preserve"> který mu byl tak drahý.</w:t>
      </w:r>
    </w:p>
    <w:p w:rsidR="00500724" w:rsidRDefault="00F30FB8">
      <w:pPr>
        <w:pStyle w:val="Zkladntext20"/>
        <w:numPr>
          <w:ilvl w:val="0"/>
          <w:numId w:val="27"/>
        </w:numPr>
        <w:shd w:val="clear" w:color="auto" w:fill="auto"/>
        <w:tabs>
          <w:tab w:val="left" w:pos="649"/>
        </w:tabs>
        <w:spacing w:after="40" w:line="202" w:lineRule="auto"/>
        <w:ind w:firstLine="260"/>
      </w:pPr>
      <w:r>
        <w:t>Na kterém místě, ve které frontě by pracoval, opět nemohu říci, neboť by to nebylo více než nicotný dohad. Tolik však mohu odhadnout, že by pracoval podle všech svých možnosti. Nerozuměl by, jaká vzne</w:t>
      </w:r>
      <w:r>
        <w:softHyphen/>
        <w:t>šenost je v tom stát stranou a</w:t>
      </w:r>
      <w:r>
        <w:t xml:space="preserve"> jen se dívat. Něco jiného než aktivismus by pro něho neexistovalo. Na</w:t>
      </w:r>
      <w:r>
        <w:softHyphen/>
        <w:t>psal přece: »Sám o sobě mohu říci, že jsem nikdy rukou do klína nesložil.« Nazval svůj světový názor sinergismem, z kteréhož cizího slova nade vše vyniká řecké slovo pro čin. Jistě by s</w:t>
      </w:r>
      <w:r>
        <w:t xml:space="preserve">e nedal odstrašit, jako tak mnozí, estetickými rozpaky, tím, že by se mu nelíbil ten nebo onen, jenž se šine do popředí veřejného života. O tom máme jeho autoritativní výrok: »Kdyby lidé tak zvaní dobří a hodní nebyli vlastně lenoši, zlých by již nebylo.« </w:t>
      </w:r>
      <w:r>
        <w:t>Nepokládal by za ideální vzor toho, kdo se urazil a zhasl. Uraziti se jest snadnější než něčím špatným pohnouti.</w:t>
      </w:r>
    </w:p>
    <w:p w:rsidR="00500724" w:rsidRDefault="00F30FB8">
      <w:pPr>
        <w:pStyle w:val="Zkladntext20"/>
        <w:numPr>
          <w:ilvl w:val="0"/>
          <w:numId w:val="27"/>
        </w:numPr>
        <w:shd w:val="clear" w:color="auto" w:fill="auto"/>
        <w:tabs>
          <w:tab w:val="left" w:pos="654"/>
        </w:tabs>
        <w:spacing w:after="40" w:line="202" w:lineRule="auto"/>
        <w:ind w:firstLine="260"/>
      </w:pPr>
      <w:r>
        <w:t xml:space="preserve">Zcela jistě by, jako za Rakouska, kladl velký důraz na drobnou, nepolitickou práci, což pokládal za nejúspěšnější methodu pro národ, nemohoucí </w:t>
      </w:r>
      <w:r>
        <w:t>očekávat velká vítězství politická. Za program malého národa prohlašoval »sbírat všechny národní síly a silečky«, organisovat hospodárně práci národa a »vy- užít všech možností osvětových^. Rusové se mu ne</w:t>
      </w:r>
      <w:r>
        <w:softHyphen/>
        <w:t xml:space="preserve">líbili právě proto, že této drobné práci naprosto </w:t>
      </w:r>
      <w:r>
        <w:t>ne</w:t>
      </w:r>
      <w:r>
        <w:softHyphen/>
        <w:t>rozuměli. Bakúcina, který místo takové práce po</w:t>
      </w:r>
      <w:r>
        <w:softHyphen/>
        <w:t>mýšlel stále jen na revoluci a na povstání, nazval po</w:t>
      </w:r>
      <w:r>
        <w:softHyphen/>
        <w:t>litickým okultistou. »Pracovat může jen ten, kdo si osvojil deterministickou stálost vypočítavé prozíra</w:t>
      </w:r>
      <w:r>
        <w:softHyphen/>
        <w:t>vosti a poznal důležitost promyšleného hospodař</w:t>
      </w:r>
      <w:r>
        <w:t>ení.* Profesionální revolucionáři a spiklenci vždy se mu protivili. Smysl jeho dlouholeté činnosti a všech po</w:t>
      </w:r>
      <w:r>
        <w:softHyphen/>
        <w:t>lemik s radikály bylo varovat národ, aby nestavěl svůj osud na spiknutí, nýbrž na všech druzích civilní práce a úsilí.</w:t>
      </w:r>
    </w:p>
    <w:p w:rsidR="00500724" w:rsidRDefault="00F30FB8">
      <w:pPr>
        <w:pStyle w:val="Zkladntext20"/>
        <w:numPr>
          <w:ilvl w:val="0"/>
          <w:numId w:val="27"/>
        </w:numPr>
        <w:shd w:val="clear" w:color="auto" w:fill="auto"/>
        <w:tabs>
          <w:tab w:val="left" w:pos="663"/>
        </w:tabs>
        <w:spacing w:after="40" w:line="202" w:lineRule="auto"/>
        <w:ind w:firstLine="260"/>
      </w:pPr>
      <w:r>
        <w:t>Za hlavní otázky budoucnost</w:t>
      </w:r>
      <w:r>
        <w:t>i českého národa by, nyní jako dříve, pokládal zachování charakteru. To byla novinka, kterou kdysi přinesl do českého života, že v prostředí, které se vyčerpávalo politikou, začal na první místo stavět otázku mravní. Mluvě o Bílé hoře, mluví jen málo o ciz</w:t>
      </w:r>
      <w:r>
        <w:t>ích žoldnéřích: »Úpa- dek náš byl v prvé řadě úpadek mravní, obrodit se musíme především mravném Sotva by věnoval vše</w:t>
      </w:r>
      <w:r>
        <w:softHyphen/>
        <w:t>chen svůj zájem tomu, co nazýváme politikou jen poli</w:t>
      </w:r>
      <w:r>
        <w:softHyphen/>
        <w:t>tickou: »V celém našem národním usilování jest velký nedostatek vnitřního života, živ</w:t>
      </w:r>
      <w:r>
        <w:t>ota duchovního. Na</w:t>
      </w:r>
      <w:r>
        <w:softHyphen/>
        <w:t>pravili se musí vnitřní náš život, a to značí, že se napraviti musíme všichni, ty, já, my všichni.« »Stát sám nás nespasí. Už jednou jsme ho pro vnitřní úpadek ztratilim »Nemám ničeho proti státoprávnímu úsilí, tvrdím jen, že první je vz</w:t>
      </w:r>
      <w:r>
        <w:t>dělání a mravnost. Běží o to, vymaniti se z křečovitého radikalismu, dělajícího revoluci ve fantasiím</w:t>
      </w:r>
    </w:p>
    <w:p w:rsidR="00500724" w:rsidRDefault="00F30FB8">
      <w:pPr>
        <w:pStyle w:val="Zkladntext20"/>
        <w:numPr>
          <w:ilvl w:val="0"/>
          <w:numId w:val="27"/>
        </w:numPr>
        <w:shd w:val="clear" w:color="auto" w:fill="auto"/>
        <w:tabs>
          <w:tab w:val="left" w:pos="639"/>
        </w:tabs>
        <w:spacing w:line="202" w:lineRule="auto"/>
        <w:ind w:firstLine="220"/>
      </w:pPr>
      <w:r>
        <w:t>Vlastenectví by se do cesty nestavěl, předpoklá</w:t>
      </w:r>
      <w:r>
        <w:softHyphen/>
        <w:t xml:space="preserve">dáme-li, že by se setkal s vlastenectvím skutečným, ne výdělkovým, kariérnickým, nebo takovým, které svou </w:t>
      </w:r>
      <w:r>
        <w:t>nesnášelivostí nakonec národ rozbije a některé jeho síly potlačí. Sám byl po celý život nejrozhodněj</w:t>
      </w:r>
      <w:r>
        <w:softHyphen/>
        <w:t>ším kulturním nacionalistou. Neustával žalovat na to, jak málo jsme dosud sví. Vlastenectví by se ovšem snažil prohloubit, jako to činil s vlastenectvím le</w:t>
      </w:r>
      <w:r>
        <w:t xml:space="preserve">t osmdesátých a devadesátých: »Idea národnostní je pro uvědomělého člověka celý program kulturní. Reknu-li: Já jsem Čech, musím míti národní </w:t>
      </w:r>
      <w:r>
        <w:rPr>
          <w:lang w:val="en-US" w:eastAsia="en-US" w:bidi="en-US"/>
        </w:rPr>
        <w:t>program.*</w:t>
      </w:r>
    </w:p>
    <w:p w:rsidR="00500724" w:rsidRDefault="00F30FB8">
      <w:pPr>
        <w:pStyle w:val="Zkladntext20"/>
        <w:numPr>
          <w:ilvl w:val="0"/>
          <w:numId w:val="27"/>
        </w:numPr>
        <w:shd w:val="clear" w:color="auto" w:fill="auto"/>
        <w:tabs>
          <w:tab w:val="left" w:pos="716"/>
        </w:tabs>
        <w:spacing w:line="202" w:lineRule="auto"/>
        <w:ind w:firstLine="220"/>
      </w:pPr>
      <w:r>
        <w:t>Programu humanitního by se za žádných okol</w:t>
      </w:r>
      <w:r>
        <w:softHyphen/>
        <w:t>ností, ani hrozivých, nevzdal. Bez něho by přestal být Masaryk</w:t>
      </w:r>
      <w:r>
        <w:t>em. »Milování bližního jest základ vší mrav</w:t>
      </w:r>
      <w:r>
        <w:softHyphen/>
        <w:t>nosti.* Sotva by ho za to mohla kaceřovat doba, která o sobě prohlašuje, že se staví na základ křesťanský, to jest rovněž na základ lásky k bližnímu. Při tom by Masaryk nedovoloval, aby idea humanitní se roz</w:t>
      </w:r>
      <w:r>
        <w:softHyphen/>
        <w:t>plýv</w:t>
      </w:r>
      <w:r>
        <w:t xml:space="preserve">ala v neurčitostech a extremnostech, které by mohly podrýt zdravé občanství: »Humanitní ideál jest praktický — není-li, nestojí za nic.* Jistě by věřil v konečné vítězství sil mravních nad pouhou </w:t>
      </w:r>
      <w:r>
        <w:rPr>
          <w:lang w:val="en-US" w:eastAsia="en-US" w:bidi="en-US"/>
        </w:rPr>
        <w:t>orga</w:t>
      </w:r>
      <w:r>
        <w:rPr>
          <w:lang w:val="en-US" w:eastAsia="en-US" w:bidi="en-US"/>
        </w:rPr>
        <w:softHyphen/>
        <w:t xml:space="preserve">nisaci </w:t>
      </w:r>
      <w:r>
        <w:t>technickou, buď si ona sebe dokonalejší a skvěle</w:t>
      </w:r>
      <w:r>
        <w:t>jší.</w:t>
      </w:r>
    </w:p>
    <w:p w:rsidR="00500724" w:rsidRDefault="00F30FB8">
      <w:pPr>
        <w:pStyle w:val="Zkladntext20"/>
        <w:numPr>
          <w:ilvl w:val="0"/>
          <w:numId w:val="27"/>
        </w:numPr>
        <w:shd w:val="clear" w:color="auto" w:fill="auto"/>
        <w:tabs>
          <w:tab w:val="left" w:pos="788"/>
        </w:tabs>
        <w:spacing w:line="202" w:lineRule="auto"/>
        <w:ind w:firstLine="220"/>
      </w:pPr>
      <w:r>
        <w:t>Pečoval by, aby přes všechny okolnosti, ve kterých jsme se octli, neustal živý duchovní styk s celým světem: velká to nezbytnost pro malý národ, který k svému prospěchu musí užívat pokroku světo</w:t>
      </w:r>
      <w:r>
        <w:softHyphen/>
        <w:t>vého a tedy nejdříve o něm vědět. Stavěl by se na odpor,</w:t>
      </w:r>
      <w:r>
        <w:t xml:space="preserve"> kdyby kolem nás měla býti postavena čínská jakási zeď, přes kterou bychom ani nemohli vyhléd</w:t>
      </w:r>
      <w:r>
        <w:softHyphen/>
        <w:t>nout do světa.</w:t>
      </w:r>
    </w:p>
    <w:p w:rsidR="00500724" w:rsidRDefault="00F30FB8">
      <w:pPr>
        <w:pStyle w:val="Zkladntext20"/>
        <w:numPr>
          <w:ilvl w:val="0"/>
          <w:numId w:val="27"/>
        </w:numPr>
        <w:shd w:val="clear" w:color="auto" w:fill="auto"/>
        <w:tabs>
          <w:tab w:val="left" w:pos="806"/>
        </w:tabs>
        <w:spacing w:line="202" w:lineRule="auto"/>
        <w:ind w:firstLine="220"/>
      </w:pPr>
      <w:r>
        <w:t>Nepodal by ruku muži nepočestnému.</w:t>
      </w:r>
    </w:p>
    <w:p w:rsidR="00500724" w:rsidRDefault="00F30FB8">
      <w:pPr>
        <w:pStyle w:val="Zkladntext20"/>
        <w:numPr>
          <w:ilvl w:val="0"/>
          <w:numId w:val="27"/>
        </w:numPr>
        <w:shd w:val="clear" w:color="auto" w:fill="auto"/>
        <w:tabs>
          <w:tab w:val="left" w:pos="634"/>
        </w:tabs>
        <w:spacing w:line="202" w:lineRule="auto"/>
        <w:ind w:firstLine="220"/>
      </w:pPr>
      <w:r>
        <w:t>Myslím, že by si vytvořil přesvědčení opatrně a s velkou rozvahou. Vím, že by za ním statečně stál.</w:t>
      </w:r>
    </w:p>
    <w:p w:rsidR="00500724" w:rsidRDefault="00F30FB8">
      <w:pPr>
        <w:pStyle w:val="Zkladntext20"/>
        <w:shd w:val="clear" w:color="auto" w:fill="auto"/>
        <w:spacing w:after="220" w:line="223" w:lineRule="auto"/>
        <w:ind w:firstLine="0"/>
        <w:jc w:val="right"/>
        <w:rPr>
          <w:sz w:val="20"/>
          <w:szCs w:val="20"/>
        </w:rPr>
      </w:pPr>
      <w:r>
        <w:rPr>
          <w:b/>
          <w:bCs/>
          <w:i/>
          <w:iCs/>
          <w:sz w:val="20"/>
          <w:szCs w:val="20"/>
        </w:rPr>
        <w:t>F. Peroutka</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poznámky</w:t>
      </w:r>
    </w:p>
    <w:p w:rsidR="00500724" w:rsidRDefault="00F30FB8">
      <w:pPr>
        <w:pStyle w:val="Zkladntext20"/>
        <w:shd w:val="clear" w:color="auto" w:fill="auto"/>
        <w:spacing w:line="180" w:lineRule="auto"/>
        <w:ind w:firstLine="0"/>
        <w:jc w:val="center"/>
        <w:rPr>
          <w:sz w:val="20"/>
          <w:szCs w:val="20"/>
        </w:rPr>
      </w:pPr>
      <w:r>
        <w:rPr>
          <w:b/>
          <w:bCs/>
          <w:sz w:val="20"/>
          <w:szCs w:val="20"/>
        </w:rPr>
        <w:t>Když byli Němci poraženi...</w:t>
      </w:r>
    </w:p>
    <w:p w:rsidR="00500724" w:rsidRDefault="00F30FB8">
      <w:pPr>
        <w:pStyle w:val="Zkladntext20"/>
        <w:shd w:val="clear" w:color="auto" w:fill="auto"/>
        <w:spacing w:line="180" w:lineRule="auto"/>
        <w:ind w:left="760" w:firstLine="280"/>
        <w:rPr>
          <w:sz w:val="20"/>
          <w:szCs w:val="20"/>
        </w:rPr>
      </w:pPr>
      <w:r>
        <w:rPr>
          <w:sz w:val="20"/>
          <w:szCs w:val="20"/>
        </w:rPr>
        <w:t>&gt;Naše doba« uveřejnila překlad jedné ze slav</w:t>
      </w:r>
      <w:r>
        <w:rPr>
          <w:sz w:val="20"/>
          <w:szCs w:val="20"/>
        </w:rPr>
        <w:softHyphen/>
        <w:t xml:space="preserve">ných »Řečí k německému národu«, které německý filosof </w:t>
      </w:r>
      <w:r>
        <w:rPr>
          <w:sz w:val="20"/>
          <w:szCs w:val="20"/>
          <w:lang w:val="en-US" w:eastAsia="en-US" w:bidi="en-US"/>
        </w:rPr>
        <w:t xml:space="preserve">J. </w:t>
      </w:r>
      <w:r>
        <w:rPr>
          <w:sz w:val="20"/>
          <w:szCs w:val="20"/>
        </w:rPr>
        <w:t xml:space="preserve">G. </w:t>
      </w:r>
      <w:r>
        <w:rPr>
          <w:sz w:val="20"/>
          <w:szCs w:val="20"/>
          <w:lang w:val="en-US" w:eastAsia="en-US" w:bidi="en-US"/>
        </w:rPr>
        <w:t xml:space="preserve">Fichte </w:t>
      </w:r>
      <w:r>
        <w:rPr>
          <w:sz w:val="20"/>
          <w:szCs w:val="20"/>
        </w:rPr>
        <w:t>skládal ve smutné době němec</w:t>
      </w:r>
      <w:r>
        <w:rPr>
          <w:sz w:val="20"/>
          <w:szCs w:val="20"/>
        </w:rPr>
        <w:softHyphen/>
        <w:t>kých dějin, v roce 1807 a 1808, kdy Německo bylo na dně pokoření, rozkouskován</w:t>
      </w:r>
      <w:r>
        <w:rPr>
          <w:sz w:val="20"/>
          <w:szCs w:val="20"/>
        </w:rPr>
        <w:t>o a zčásti obsazeno Napoleonovým vojskem. I Berlín byl okupován. Překladatel právem zde připomíná nad řečí Fich- teovou: »Učme se od Němců!« A oni nechť nám nebrání, abychom se od nich učili.</w:t>
      </w:r>
    </w:p>
    <w:p w:rsidR="00500724" w:rsidRDefault="00F30FB8">
      <w:pPr>
        <w:pStyle w:val="Zkladntext100"/>
        <w:shd w:val="clear" w:color="auto" w:fill="auto"/>
        <w:spacing w:line="190" w:lineRule="auto"/>
        <w:rPr>
          <w:sz w:val="19"/>
          <w:szCs w:val="19"/>
        </w:rPr>
      </w:pPr>
      <w:r>
        <w:rPr>
          <w:b/>
          <w:bCs/>
          <w:sz w:val="19"/>
          <w:szCs w:val="19"/>
        </w:rPr>
        <w:t>»Jsme přemoženi; zdali však chceme nyní býti zároveň i v pohrdán</w:t>
      </w:r>
      <w:r>
        <w:rPr>
          <w:b/>
          <w:bCs/>
          <w:sz w:val="19"/>
          <w:szCs w:val="19"/>
        </w:rPr>
        <w:t>í, a to právem, zdali ke všem ostatním ztrátám chceme pozbyti ještě cti, to bude stále ještě záviseti na nás. Boj zbraněmi je skončen; chceme-li, začíná se nový boj, boj zásad, mravů, charakteru.</w:t>
      </w:r>
    </w:p>
    <w:p w:rsidR="00500724" w:rsidRDefault="00F30FB8">
      <w:pPr>
        <w:pStyle w:val="Zkladntext100"/>
        <w:shd w:val="clear" w:color="auto" w:fill="auto"/>
        <w:spacing w:line="190" w:lineRule="auto"/>
        <w:rPr>
          <w:sz w:val="19"/>
          <w:szCs w:val="19"/>
        </w:rPr>
      </w:pPr>
      <w:r>
        <w:rPr>
          <w:b/>
          <w:bCs/>
          <w:sz w:val="19"/>
          <w:szCs w:val="19"/>
        </w:rPr>
        <w:t xml:space="preserve">Dejme cizincům, kteří mezi námi prodlévají, obraz věrné </w:t>
      </w:r>
      <w:r>
        <w:rPr>
          <w:b/>
          <w:bCs/>
          <w:sz w:val="19"/>
          <w:szCs w:val="19"/>
        </w:rPr>
        <w:t>příchylnosti k vlasti a přátelům, neúplatné počestnosti, lásky k povinnostem a všech občanských i domáckých ctností. Chraňme se vybízeli je k tomu, aby námi pohrdali; toho bychom ničím tak jistě nedosáhli, jako tím, že bychom se buď nesmírně báli, nebo odh</w:t>
      </w:r>
      <w:r>
        <w:rPr>
          <w:b/>
          <w:bCs/>
          <w:sz w:val="19"/>
          <w:szCs w:val="19"/>
        </w:rPr>
        <w:t>odili podstatu svého bytí, abychom se jim podobali. Nesmí nám ani na mysl přijití nesmyslné vyzývání a dráždění jednotlivců; ve všem ostat</w:t>
      </w:r>
      <w:r>
        <w:rPr>
          <w:b/>
          <w:bCs/>
          <w:sz w:val="19"/>
          <w:szCs w:val="19"/>
        </w:rPr>
        <w:softHyphen/>
        <w:t>ním bude nám nejjistějším pravidlem kráčeti všude vlastni cestou, jako bychom byli sami mezi sebou, a nenavázali žád</w:t>
      </w:r>
      <w:r>
        <w:rPr>
          <w:b/>
          <w:bCs/>
          <w:sz w:val="19"/>
          <w:szCs w:val="19"/>
        </w:rPr>
        <w:softHyphen/>
      </w:r>
      <w:r>
        <w:rPr>
          <w:b/>
          <w:bCs/>
          <w:sz w:val="19"/>
          <w:szCs w:val="19"/>
        </w:rPr>
        <w:t>ný poměr, který nám nutnost bez podmínky neuloží. Nej</w:t>
      </w:r>
      <w:r>
        <w:rPr>
          <w:b/>
          <w:bCs/>
          <w:sz w:val="19"/>
          <w:szCs w:val="19"/>
        </w:rPr>
        <w:softHyphen/>
        <w:t>jistějším prostředkem k tomu bude, když se každý spokojí s tím, co mu mohou dáti poměry jeho vlasti; když ze všech sil pomůže nésti společné břímě a když každou přízeň z ci- zlny bude pokládati za ztrát</w:t>
      </w:r>
      <w:r>
        <w:rPr>
          <w:b/>
          <w:bCs/>
          <w:sz w:val="19"/>
          <w:szCs w:val="19"/>
        </w:rPr>
        <w:t>u cti a hanbu. Kéž zůstaneme, i když to snad tolik uráží, takoví, jací jsme — ba kéž se staneme, umíme-li, ještě silnějšími a rozhodnějšími, tedy ta</w:t>
      </w:r>
      <w:r>
        <w:rPr>
          <w:b/>
          <w:bCs/>
          <w:sz w:val="19"/>
          <w:szCs w:val="19"/>
        </w:rPr>
        <w:softHyphen/>
        <w:t>kovými, jací máme býti! Nestyďme se při výtkách, které nám dělávají, že nejsme dost rychlí a lehce obratní,</w:t>
      </w:r>
      <w:r>
        <w:rPr>
          <w:b/>
          <w:bCs/>
          <w:sz w:val="19"/>
          <w:szCs w:val="19"/>
        </w:rPr>
        <w:t xml:space="preserve"> že jsme ve všem příliš vážní, těžcí a důležití; spíše se snažme, aby</w:t>
      </w:r>
      <w:r>
        <w:rPr>
          <w:b/>
          <w:bCs/>
          <w:sz w:val="19"/>
          <w:szCs w:val="19"/>
        </w:rPr>
        <w:softHyphen/>
        <w:t>chom těch výtek byli stále a ve větším rozsahu hodni...</w:t>
      </w:r>
    </w:p>
    <w:p w:rsidR="00500724" w:rsidRDefault="00F30FB8">
      <w:pPr>
        <w:pStyle w:val="Zkladntext100"/>
        <w:shd w:val="clear" w:color="auto" w:fill="auto"/>
        <w:spacing w:line="190" w:lineRule="auto"/>
        <w:ind w:firstLine="300"/>
        <w:rPr>
          <w:sz w:val="19"/>
          <w:szCs w:val="19"/>
        </w:rPr>
      </w:pPr>
      <w:r>
        <w:rPr>
          <w:b/>
          <w:bCs/>
          <w:sz w:val="19"/>
          <w:szCs w:val="19"/>
        </w:rPr>
        <w:t>Vedli jsme spolu válku; my jsme přemoženi, oni vítězi; to je pravda, a uznává se. S tím by se mohli spokojit. Kdyby nyní někdo z n</w:t>
      </w:r>
      <w:r>
        <w:rPr>
          <w:b/>
          <w:bCs/>
          <w:sz w:val="19"/>
          <w:szCs w:val="19"/>
        </w:rPr>
        <w:t>ás dále věřil, že jsme stáli za spravedlivou věcí a zasluhovali vítězství a že je žalostné, že se nám ho nedostalo, bylo by to tak zlé, mohli by nám to oni, kteří si také mohou mysliti, co chtějí, tak strašně zazlívati? ...</w:t>
      </w:r>
    </w:p>
    <w:p w:rsidR="00500724" w:rsidRDefault="00F30FB8">
      <w:pPr>
        <w:pStyle w:val="Zkladntext100"/>
        <w:shd w:val="clear" w:color="auto" w:fill="auto"/>
        <w:spacing w:line="187" w:lineRule="auto"/>
        <w:ind w:firstLine="300"/>
        <w:rPr>
          <w:sz w:val="19"/>
          <w:szCs w:val="19"/>
        </w:rPr>
      </w:pPr>
      <w:r>
        <w:rPr>
          <w:b/>
          <w:bCs/>
          <w:sz w:val="19"/>
          <w:szCs w:val="19"/>
        </w:rPr>
        <w:t xml:space="preserve">Do hlubokého pohrdání se v </w:t>
      </w:r>
      <w:r>
        <w:rPr>
          <w:b/>
          <w:bCs/>
          <w:sz w:val="19"/>
          <w:szCs w:val="19"/>
        </w:rPr>
        <w:t>cizině uvádíme, když se před jejíma oěima všichni navzájem, němečtí kmenové, stavy, osoby pro svůj společný osud obviňujeme a když si činíme vášnivé výčitky. Především jsou všechny žaloby toho druhu většinou liché, nespravedlivé, bez důvodu. Jaké to byly p</w:t>
      </w:r>
      <w:r>
        <w:rPr>
          <w:b/>
          <w:bCs/>
          <w:sz w:val="19"/>
          <w:szCs w:val="19"/>
        </w:rPr>
        <w:t>ří</w:t>
      </w:r>
      <w:r>
        <w:rPr>
          <w:b/>
          <w:bCs/>
          <w:sz w:val="19"/>
          <w:szCs w:val="19"/>
        </w:rPr>
        <w:softHyphen/>
        <w:t>činy, jež na Německo uvrhly jeho poslední osud, uvedli jsme svrchu; jsou to příčiny, které byly po staletí u všech ně</w:t>
      </w:r>
      <w:r>
        <w:rPr>
          <w:b/>
          <w:bCs/>
          <w:sz w:val="19"/>
          <w:szCs w:val="19"/>
        </w:rPr>
        <w:softHyphen/>
        <w:t>meckých kmenů bez výjimky domovem; poslední události nejsou následkem nějakého zvláštního chybného kroku ně</w:t>
      </w:r>
      <w:r>
        <w:rPr>
          <w:b/>
          <w:bCs/>
          <w:sz w:val="19"/>
          <w:szCs w:val="19"/>
        </w:rPr>
        <w:softHyphen/>
        <w:t>kterého kmene nebo jeho vlá</w:t>
      </w:r>
      <w:r>
        <w:rPr>
          <w:b/>
          <w:bCs/>
          <w:sz w:val="19"/>
          <w:szCs w:val="19"/>
        </w:rPr>
        <w:t>dy, nýbrž připravovaly se dost dlouho, a kdyby bylo záleželo jen na příčinách, které v nás samých spočívaly, mohlo nás to zrovna tak dobře stihnouti již dávno. V tom je vina a nevina všech asi stejně veliká a nikdo to již nespočítá. Když nás konečný výsled</w:t>
      </w:r>
      <w:r>
        <w:rPr>
          <w:b/>
          <w:bCs/>
          <w:sz w:val="19"/>
          <w:szCs w:val="19"/>
        </w:rPr>
        <w:t>ek za</w:t>
      </w:r>
      <w:r>
        <w:rPr>
          <w:b/>
          <w:bCs/>
          <w:sz w:val="19"/>
          <w:szCs w:val="19"/>
        </w:rPr>
        <w:softHyphen/>
        <w:t>stihl, ukázalo se, že jednotlivé německé státy neznaly ani sebe samy, své sily a svou pravou situaci; jak si může někdo troufat! překročiti meze sebekritiky a souditi cizí vinu tak, aby všechno důkladně znal a vyhlásil konečný rozsudek?</w:t>
      </w:r>
    </w:p>
    <w:p w:rsidR="00500724" w:rsidRDefault="00F30FB8">
      <w:pPr>
        <w:pStyle w:val="Zkladntext100"/>
        <w:shd w:val="clear" w:color="auto" w:fill="auto"/>
        <w:spacing w:line="190" w:lineRule="auto"/>
        <w:ind w:firstLine="300"/>
        <w:rPr>
          <w:sz w:val="19"/>
          <w:szCs w:val="19"/>
        </w:rPr>
      </w:pPr>
      <w:r>
        <w:rPr>
          <w:b/>
          <w:bCs/>
          <w:sz w:val="19"/>
          <w:szCs w:val="19"/>
        </w:rPr>
        <w:t>Slyšíme také,</w:t>
      </w:r>
      <w:r>
        <w:rPr>
          <w:b/>
          <w:bCs/>
          <w:sz w:val="19"/>
          <w:szCs w:val="19"/>
        </w:rPr>
        <w:t xml:space="preserve"> že jednotlivé uvedené osoby, které tehdy Stály v čele veřejné správy, vodí před soud lidu; dokazují jejich neschopnost, jejich pomalost, jejich zlou vůli; z ta</w:t>
      </w:r>
      <w:r>
        <w:rPr>
          <w:b/>
          <w:bCs/>
          <w:sz w:val="19"/>
          <w:szCs w:val="19"/>
        </w:rPr>
        <w:softHyphen/>
        <w:t>kových příčin nutně prý musily vzejiti takové následky. Pakliže již tehdy, dokud jsme měli ješt</w:t>
      </w:r>
      <w:r>
        <w:rPr>
          <w:b/>
          <w:bCs/>
          <w:sz w:val="19"/>
          <w:szCs w:val="19"/>
        </w:rPr>
        <w:t>ě moc a dokud zla z jejího užívání nutně vyplývající se dala ještě odvrátitl, měli tentýž náhled jako dnes, vyslovili jej stejně hlasitě, jestliže již tehdy žalovali na vinníky se stejnou vehemencí a zkusili všechny prostředky, aby vlast vyrvali z jejich r</w:t>
      </w:r>
      <w:r>
        <w:rPr>
          <w:b/>
          <w:bCs/>
          <w:sz w:val="19"/>
          <w:szCs w:val="19"/>
        </w:rPr>
        <w:t xml:space="preserve">ukou, jestliže pouze nedošli sluchu, pak činí velmi dobře, že svoje varování, tehdy zavržené, připomínají. Jestliže však svoji okamžitou moudrost čerpají toliko z výsledku, z něhož se celý národ s nimi stejně poučil, proě říkají nyní právě oni, co všichni </w:t>
      </w:r>
      <w:r>
        <w:rPr>
          <w:b/>
          <w:bCs/>
          <w:sz w:val="19"/>
          <w:szCs w:val="19"/>
        </w:rPr>
        <w:t>ostatní právě tak dobře vědí? Jestliže tehdy ze zištnosti lichotili a ze strachu mlčeli před tím stavem a těmi osobami, na které se nyní, když pozbyly moci, bez- pzdně rozkřikují — ó, pak nezapomeňte příště mezi zdroji našich běd vedle šlechty a neschopnýc</w:t>
      </w:r>
      <w:r>
        <w:rPr>
          <w:b/>
          <w:bCs/>
          <w:sz w:val="19"/>
          <w:szCs w:val="19"/>
        </w:rPr>
        <w:t>h ministrů a voje</w:t>
      </w:r>
      <w:r>
        <w:rPr>
          <w:b/>
          <w:bCs/>
          <w:sz w:val="19"/>
          <w:szCs w:val="19"/>
        </w:rPr>
        <w:softHyphen/>
        <w:t>vůdců uvésti také politické spisovatele, kteří teprve po vý</w:t>
      </w:r>
      <w:r>
        <w:rPr>
          <w:b/>
          <w:bCs/>
          <w:sz w:val="19"/>
          <w:szCs w:val="19"/>
        </w:rPr>
        <w:softHyphen/>
        <w:t>sledku vědí, co se mělo státi (zrovna tak jako to ví luza), kteří lichotí držitelům moci, ale padlým se škodolibě vy</w:t>
      </w:r>
      <w:r>
        <w:rPr>
          <w:b/>
          <w:bCs/>
          <w:sz w:val="19"/>
          <w:szCs w:val="19"/>
        </w:rPr>
        <w:softHyphen/>
        <w:t>smívají!</w:t>
      </w:r>
    </w:p>
    <w:p w:rsidR="00500724" w:rsidRDefault="00F30FB8">
      <w:pPr>
        <w:pStyle w:val="Zkladntext100"/>
        <w:shd w:val="clear" w:color="auto" w:fill="auto"/>
        <w:spacing w:line="190" w:lineRule="auto"/>
        <w:ind w:firstLine="300"/>
        <w:rPr>
          <w:sz w:val="19"/>
          <w:szCs w:val="19"/>
        </w:rPr>
      </w:pPr>
      <w:r>
        <w:rPr>
          <w:b/>
          <w:bCs/>
          <w:sz w:val="19"/>
          <w:szCs w:val="19"/>
        </w:rPr>
        <w:t>Ne tak jednotlivé osoby, které se nalézaly přibližně</w:t>
      </w:r>
      <w:r>
        <w:rPr>
          <w:b/>
          <w:bCs/>
          <w:sz w:val="19"/>
          <w:szCs w:val="19"/>
        </w:rPr>
        <w:t xml:space="preserve"> na nejvyšších místech, nýbrž spojení a zauzlení celku, celý duch (loby, její omyly, nevědomost, mělkost, zbabělost, její od toho všeho neoddělitelný nejistý krok, všechny zvyky doby jsou tím, co přivedlo naše bědy; a tak nejde tolik o osoby, jež jednaly, </w:t>
      </w:r>
      <w:r>
        <w:rPr>
          <w:b/>
          <w:bCs/>
          <w:sz w:val="19"/>
          <w:szCs w:val="19"/>
        </w:rPr>
        <w:t>nýbrž spíše o posice; každý, vášnivé karatele v to počítaje, může s velikou pravděpodobností předpoklá</w:t>
      </w:r>
      <w:r>
        <w:rPr>
          <w:b/>
          <w:bCs/>
          <w:sz w:val="19"/>
          <w:szCs w:val="19"/>
        </w:rPr>
        <w:softHyphen/>
        <w:t>dali, že by byl, kdyby se byl nalézal na stejném místě, okol</w:t>
      </w:r>
      <w:r>
        <w:rPr>
          <w:b/>
          <w:bCs/>
          <w:sz w:val="19"/>
          <w:szCs w:val="19"/>
        </w:rPr>
        <w:softHyphen/>
        <w:t>nostmi dohnán přibližně ke stejným koncům. Neoddávejte Se tolik snům o uvážené zlobě a zradě</w:t>
      </w:r>
      <w:r>
        <w:rPr>
          <w:b/>
          <w:bCs/>
          <w:sz w:val="19"/>
          <w:szCs w:val="19"/>
        </w:rPr>
        <w:t>! Nerozum a pomalost skoro všude stačí vysvětliti, co se stalo. Je to vina, z níž by se nikdo neměl vytahovati bez hlubokého sebezpytování.</w:t>
      </w:r>
    </w:p>
    <w:p w:rsidR="00500724" w:rsidRDefault="00F30FB8">
      <w:pPr>
        <w:pStyle w:val="Zkladntext100"/>
        <w:shd w:val="clear" w:color="auto" w:fill="auto"/>
        <w:spacing w:line="190" w:lineRule="auto"/>
        <w:ind w:firstLine="300"/>
        <w:rPr>
          <w:sz w:val="19"/>
          <w:szCs w:val="19"/>
        </w:rPr>
      </w:pPr>
      <w:r>
        <w:rPr>
          <w:b/>
          <w:bCs/>
          <w:sz w:val="19"/>
          <w:szCs w:val="19"/>
        </w:rPr>
        <w:t>Tyto vzájemné výtky jsou netoliko nespravedlivé a mar</w:t>
      </w:r>
      <w:r>
        <w:rPr>
          <w:b/>
          <w:bCs/>
          <w:sz w:val="19"/>
          <w:szCs w:val="19"/>
        </w:rPr>
        <w:softHyphen/>
        <w:t>né, nýbrž také svrchovaně nemoudré a musí nás hluboce sni</w:t>
      </w:r>
      <w:r>
        <w:rPr>
          <w:b/>
          <w:bCs/>
          <w:sz w:val="19"/>
          <w:szCs w:val="19"/>
        </w:rPr>
        <w:softHyphen/>
        <w:t>žova</w:t>
      </w:r>
      <w:r>
        <w:rPr>
          <w:b/>
          <w:bCs/>
          <w:sz w:val="19"/>
          <w:szCs w:val="19"/>
        </w:rPr>
        <w:t>t! v očích ciziny, které k tomu všemu ještě vědomosti o nich vším způsobem usnadňujeme a vnucujeme. Budeme-li jim neúnavně vypravovati, jak zmatené a nechutné u nás všecko dohromady bylo a jak mizerně se nám vládlo, zdaliž je tím nenutíme do víry, že, ať s</w:t>
      </w:r>
      <w:r>
        <w:rPr>
          <w:b/>
          <w:bCs/>
          <w:sz w:val="19"/>
          <w:szCs w:val="19"/>
        </w:rPr>
        <w:t>e k nám chovají jakkoliv, Stále je to ještě pro nás příliš dobré a nikdy příliš zlé? Nebudou-Iiž potom nutně věřiti, že my při své velké neobrat</w:t>
      </w:r>
      <w:r>
        <w:rPr>
          <w:b/>
          <w:bCs/>
          <w:sz w:val="19"/>
          <w:szCs w:val="19"/>
        </w:rPr>
        <w:softHyphen/>
        <w:t>nosti a topornosti musíme s nejpokornějším díkem při</w:t>
      </w:r>
      <w:r>
        <w:rPr>
          <w:b/>
          <w:bCs/>
          <w:sz w:val="19"/>
          <w:szCs w:val="19"/>
        </w:rPr>
        <w:softHyphen/>
        <w:t>jmouti každou věc, kterou nám z bohatého pokladu svého vlá</w:t>
      </w:r>
      <w:r>
        <w:rPr>
          <w:b/>
          <w:bCs/>
          <w:sz w:val="19"/>
          <w:szCs w:val="19"/>
        </w:rPr>
        <w:t>dního, správního a zákonodárného umění poskytli nebo ještě v budoucnosti darují? Je to nutné, abychom se své strany ještě podporovali jejich beztoho ne nepříznivé mí</w:t>
      </w:r>
      <w:r>
        <w:rPr>
          <w:b/>
          <w:bCs/>
          <w:sz w:val="19"/>
          <w:szCs w:val="19"/>
        </w:rPr>
        <w:softHyphen/>
        <w:t>nění o sobě samých a jejich přezíravé mínění o nás? ...</w:t>
      </w:r>
    </w:p>
    <w:p w:rsidR="00500724" w:rsidRDefault="00F30FB8">
      <w:pPr>
        <w:pStyle w:val="Zkladntext100"/>
        <w:shd w:val="clear" w:color="auto" w:fill="auto"/>
        <w:spacing w:after="120" w:line="190" w:lineRule="auto"/>
        <w:ind w:firstLine="300"/>
        <w:rPr>
          <w:sz w:val="19"/>
          <w:szCs w:val="19"/>
        </w:rPr>
      </w:pPr>
      <w:r>
        <w:rPr>
          <w:b/>
          <w:bCs/>
          <w:sz w:val="19"/>
          <w:szCs w:val="19"/>
        </w:rPr>
        <w:t>Nejhlouběji však nás ponižuje v oč</w:t>
      </w:r>
      <w:r>
        <w:rPr>
          <w:b/>
          <w:bCs/>
          <w:sz w:val="19"/>
          <w:szCs w:val="19"/>
        </w:rPr>
        <w:t>ích ciziny, když ji začneme podlézati. Někteří mezi námi se již dříve dostatečně zahodili; stali se dostatečně směšnými a odpornými, když domácím panovníkům při každé příležitosti hrubě podku- řovali, nedbajíce rozumu ani slušnosti, dobrého mravu ani vkusu</w:t>
      </w:r>
      <w:r>
        <w:rPr>
          <w:b/>
          <w:bCs/>
          <w:sz w:val="19"/>
          <w:szCs w:val="19"/>
        </w:rPr>
        <w:t xml:space="preserve"> — jen když se domnívali, že jejich lichocení dojde sluchu. Tento způsob byl opuštěn a vynášení do nebe se zčásti změnilo v kárání. Zatím se oblaka kadidla, abychom nevyšli ze cviku, obracejí jiným směrem: tam, kde je moc.«</w:t>
      </w:r>
    </w:p>
    <w:p w:rsidR="00500724" w:rsidRDefault="00F30FB8">
      <w:pPr>
        <w:pStyle w:val="Zkladntext20"/>
        <w:shd w:val="clear" w:color="auto" w:fill="auto"/>
        <w:spacing w:after="80" w:line="221" w:lineRule="auto"/>
        <w:ind w:firstLine="0"/>
        <w:jc w:val="center"/>
        <w:rPr>
          <w:sz w:val="20"/>
          <w:szCs w:val="20"/>
        </w:rPr>
      </w:pPr>
      <w:r>
        <w:rPr>
          <w:b/>
          <w:bCs/>
          <w:sz w:val="20"/>
          <w:szCs w:val="20"/>
        </w:rPr>
        <w:t>Příklad upřímné dohody mezi Něme</w:t>
      </w:r>
      <w:r>
        <w:rPr>
          <w:b/>
          <w:bCs/>
          <w:sz w:val="20"/>
          <w:szCs w:val="20"/>
        </w:rPr>
        <w:t>ckem</w:t>
      </w:r>
      <w:r>
        <w:rPr>
          <w:b/>
          <w:bCs/>
          <w:sz w:val="20"/>
          <w:szCs w:val="20"/>
        </w:rPr>
        <w:br/>
        <w:t>a naší republikou</w:t>
      </w:r>
    </w:p>
    <w:p w:rsidR="00500724" w:rsidRDefault="00F30FB8">
      <w:pPr>
        <w:pStyle w:val="Zkladntext100"/>
        <w:shd w:val="clear" w:color="auto" w:fill="auto"/>
        <w:spacing w:line="187" w:lineRule="auto"/>
        <w:rPr>
          <w:sz w:val="19"/>
          <w:szCs w:val="19"/>
        </w:rPr>
      </w:pPr>
      <w:r>
        <w:rPr>
          <w:b/>
          <w:bCs/>
          <w:sz w:val="19"/>
          <w:szCs w:val="19"/>
        </w:rPr>
        <w:t xml:space="preserve">V uplynulém týdnu bylo úředně vyhlášeno rozhodnutí Česko-slovenské ústřední vlády, aby naši občané německé národnosti, kteří jsou povinni vojenskou službou, nemusili již napříšiě nastoupit k odvodům a pokud již byli dříve odvedeni a </w:t>
      </w:r>
      <w:r>
        <w:rPr>
          <w:b/>
          <w:bCs/>
          <w:sz w:val="19"/>
          <w:szCs w:val="19"/>
        </w:rPr>
        <w:t>zatím nebyli povinni nastoupit, vůbec již vojen</w:t>
      </w:r>
      <w:r>
        <w:rPr>
          <w:b/>
          <w:bCs/>
          <w:sz w:val="19"/>
          <w:szCs w:val="19"/>
        </w:rPr>
        <w:softHyphen/>
        <w:t>skou presenční službu nenastupovali. Stejné usneseni publi</w:t>
      </w:r>
      <w:r>
        <w:rPr>
          <w:b/>
          <w:bCs/>
          <w:sz w:val="19"/>
          <w:szCs w:val="19"/>
        </w:rPr>
        <w:softHyphen/>
        <w:t>kovala říšskoněmecká vláda, pokud jde o říšskoněmecké občany česko-slovenské národnosti.</w:t>
      </w:r>
    </w:p>
    <w:p w:rsidR="00500724" w:rsidRDefault="00F30FB8">
      <w:pPr>
        <w:pStyle w:val="Zkladntext100"/>
        <w:shd w:val="clear" w:color="auto" w:fill="auto"/>
        <w:spacing w:line="187" w:lineRule="auto"/>
        <w:rPr>
          <w:sz w:val="19"/>
          <w:szCs w:val="19"/>
        </w:rPr>
      </w:pPr>
      <w:r>
        <w:rPr>
          <w:b/>
          <w:bCs/>
          <w:sz w:val="19"/>
          <w:szCs w:val="19"/>
        </w:rPr>
        <w:t>Věc sama je docela jasná a nepotřebuje výkladu. Co však pova</w:t>
      </w:r>
      <w:r>
        <w:rPr>
          <w:b/>
          <w:bCs/>
          <w:sz w:val="19"/>
          <w:szCs w:val="19"/>
        </w:rPr>
        <w:t>žujeme za významné, je upřímnost, která se při této příležitosti projevila na obou stranách. Naše republika ovšem je dnes státem neutrálním a nikoliv vojenským. Vláda i občanstvo se snaží, aby duch neutrality pronikl do všeho našeho chování a myšlení; to o</w:t>
      </w:r>
      <w:r>
        <w:rPr>
          <w:b/>
          <w:bCs/>
          <w:sz w:val="19"/>
          <w:szCs w:val="19"/>
        </w:rPr>
        <w:t>všem vyžaduje urči</w:t>
      </w:r>
      <w:r>
        <w:rPr>
          <w:b/>
          <w:bCs/>
          <w:sz w:val="19"/>
          <w:szCs w:val="19"/>
        </w:rPr>
        <w:softHyphen/>
        <w:t>tého času a tomu také, jak doufáme, odpovědní mužové Německa rozumějí. Pro Německo je ovšem situace jiná, ale přes to tato dohoda byla možná v duchu vzájemnosti. Německá říše tedy nechce zařazovat Čechy do své armády, ne ovšem snad proto</w:t>
      </w:r>
      <w:r>
        <w:rPr>
          <w:b/>
          <w:bCs/>
          <w:sz w:val="19"/>
          <w:szCs w:val="19"/>
        </w:rPr>
        <w:t>, že by je považovala za horší vojáky. Německý odborný tisk se vyjadřoval vždy o vojenských schopnostech našeho národa pochvalně, což u národa s tak vyvinutým vojenským smyslem, jako je národ německý, náleží mezi významná hodnocení. Ale Němci prostě chtějí</w:t>
      </w:r>
      <w:r>
        <w:rPr>
          <w:b/>
          <w:bCs/>
          <w:sz w:val="19"/>
          <w:szCs w:val="19"/>
        </w:rPr>
        <w:t xml:space="preserve"> pravděpodobně své věci si vybojovat sami. To však není to hlavní na této dohodě. Za podstatné považujeme, že bylo možné tak upřímně si toto vše říci a tak fair dohodu uzavřít.</w:t>
      </w:r>
    </w:p>
    <w:p w:rsidR="00500724" w:rsidRDefault="00F30FB8">
      <w:pPr>
        <w:pStyle w:val="Zkladntext100"/>
        <w:shd w:val="clear" w:color="auto" w:fill="auto"/>
        <w:spacing w:line="187" w:lineRule="auto"/>
        <w:rPr>
          <w:sz w:val="19"/>
          <w:szCs w:val="19"/>
        </w:rPr>
      </w:pPr>
      <w:r>
        <w:rPr>
          <w:b/>
          <w:bCs/>
          <w:sz w:val="19"/>
          <w:szCs w:val="19"/>
        </w:rPr>
        <w:t>Ještě bychom dodali, že bychom byli rádi, kdyby se stejnou upřímnosti se postup</w:t>
      </w:r>
      <w:r>
        <w:rPr>
          <w:b/>
          <w:bCs/>
          <w:sz w:val="19"/>
          <w:szCs w:val="19"/>
        </w:rPr>
        <w:t>ovalo ve všech ostatních vě</w:t>
      </w:r>
      <w:r>
        <w:rPr>
          <w:b/>
          <w:bCs/>
          <w:sz w:val="19"/>
          <w:szCs w:val="19"/>
        </w:rPr>
        <w:softHyphen/>
        <w:t>cech, politických, sociáině-hospodářskýeh, kulturních i ji</w:t>
      </w:r>
      <w:r>
        <w:rPr>
          <w:b/>
          <w:bCs/>
          <w:sz w:val="19"/>
          <w:szCs w:val="19"/>
        </w:rPr>
        <w:softHyphen/>
        <w:t>ných. ftíkává se, že musíme žiti s naším největším souse</w:t>
      </w:r>
      <w:r>
        <w:rPr>
          <w:b/>
          <w:bCs/>
          <w:sz w:val="19"/>
          <w:szCs w:val="19"/>
        </w:rPr>
        <w:softHyphen/>
        <w:t>dem v loyálních, korektních a přátelských stycích a v po</w:t>
      </w:r>
      <w:r>
        <w:rPr>
          <w:b/>
          <w:bCs/>
          <w:sz w:val="19"/>
          <w:szCs w:val="19"/>
        </w:rPr>
        <w:softHyphen/>
        <w:t>ctivé spolupráci. To je ovšem správné, ale je nutné, ab</w:t>
      </w:r>
      <w:r>
        <w:rPr>
          <w:b/>
          <w:bCs/>
          <w:sz w:val="19"/>
          <w:szCs w:val="19"/>
        </w:rPr>
        <w:t>y</w:t>
      </w:r>
      <w:r>
        <w:rPr>
          <w:b/>
          <w:bCs/>
          <w:sz w:val="19"/>
          <w:szCs w:val="19"/>
        </w:rPr>
        <w:softHyphen/>
        <w:t>chom se do této situace tak vžili, aby, aniž bychom na tento příkaz myslili, všechno v tomto duchu dělali. To však je vzájemné. Tento případ, který označujeme za příkladný, je výborný právě v tom, že přímo názorně ukazuje tuto rovnoprávnost a vzájemnost.</w:t>
      </w:r>
    </w:p>
    <w:p w:rsidR="00500724" w:rsidRDefault="00F30FB8">
      <w:pPr>
        <w:pStyle w:val="Zkladntext100"/>
        <w:shd w:val="clear" w:color="auto" w:fill="auto"/>
        <w:spacing w:line="187" w:lineRule="auto"/>
        <w:ind w:firstLine="200"/>
        <w:rPr>
          <w:sz w:val="19"/>
          <w:szCs w:val="19"/>
        </w:rPr>
      </w:pPr>
      <w:r>
        <w:rPr>
          <w:b/>
          <w:bCs/>
          <w:sz w:val="19"/>
          <w:szCs w:val="19"/>
        </w:rPr>
        <w:t>Náš velký soused si snad ještě ani plně neuvědomil, že již skutečně roste v našem národě opravdu upřímná vůle k této vzájemnosti, ale že po</w:t>
      </w:r>
      <w:r>
        <w:rPr>
          <w:b/>
          <w:bCs/>
          <w:sz w:val="19"/>
          <w:szCs w:val="19"/>
        </w:rPr>
        <w:softHyphen/>
        <w:t>chopitelně vítáme každý důkaz, že Německo neužívá toho, že německý národ počtem desetkrát převyšuje náš, a že s nám</w:t>
      </w:r>
      <w:r>
        <w:rPr>
          <w:b/>
          <w:bCs/>
          <w:sz w:val="19"/>
          <w:szCs w:val="19"/>
        </w:rPr>
        <w:t>i zachází podle zásady »já pán, ty pán«. Bude-li pří</w:t>
      </w:r>
      <w:r>
        <w:rPr>
          <w:b/>
          <w:bCs/>
          <w:sz w:val="19"/>
          <w:szCs w:val="19"/>
        </w:rPr>
        <w:softHyphen/>
        <w:t>padů tohoto druhu více, vzroste ještě více tato vůle v na</w:t>
      </w:r>
      <w:r>
        <w:rPr>
          <w:b/>
          <w:bCs/>
          <w:sz w:val="19"/>
          <w:szCs w:val="19"/>
        </w:rPr>
        <w:softHyphen/>
        <w:t>šem národě. Z povinnosti se stane samozřej</w:t>
      </w:r>
      <w:r>
        <w:rPr>
          <w:b/>
          <w:bCs/>
          <w:sz w:val="19"/>
          <w:szCs w:val="19"/>
        </w:rPr>
        <w:softHyphen/>
        <w:t>most. Je přirozené, že po takové pohromě, jaká nás loni na podzim potkala, zbyla v nás bolestná a živá</w:t>
      </w:r>
      <w:r>
        <w:rPr>
          <w:b/>
          <w:bCs/>
          <w:sz w:val="19"/>
          <w:szCs w:val="19"/>
        </w:rPr>
        <w:t xml:space="preserve"> rána, která se nemůže přes noc zacelit. Ale upřímně projevovaná vzá</w:t>
      </w:r>
      <w:r>
        <w:rPr>
          <w:b/>
          <w:bCs/>
          <w:sz w:val="19"/>
          <w:szCs w:val="19"/>
        </w:rPr>
        <w:softHyphen/>
        <w:t>jemnost, respekt a dobrá vůle by mohly u našeho národa, který má tak vyvinutý smysl pro realitu, způsobit v době nepříliš dlouhé divý. Nechť němečtí státníci uváží, že i přes to, ženáš ná</w:t>
      </w:r>
      <w:r>
        <w:rPr>
          <w:b/>
          <w:bCs/>
          <w:sz w:val="19"/>
          <w:szCs w:val="19"/>
        </w:rPr>
        <w:t>rod je tak daleko menší, by bylo s velkým prospěchem pro Německo, když budevědět, že ěeskýětverec v jeho těle je tak klidný, uspokojený a bezpečný, že se nemusí pro žádný kritický případ v Evropě jeho existencí znepokojovat. Byli bychom rádi, kdyby odpověd</w:t>
      </w:r>
      <w:r>
        <w:rPr>
          <w:b/>
          <w:bCs/>
          <w:sz w:val="19"/>
          <w:szCs w:val="19"/>
        </w:rPr>
        <w:t>ní mužové Německa poznávali tyto věci z vlastní zkušenosti a nikoliv jen prostřednictvím našich bývalých sudetských spoluobčanů.</w:t>
      </w:r>
    </w:p>
    <w:p w:rsidR="00500724" w:rsidRDefault="00F30FB8">
      <w:pPr>
        <w:pStyle w:val="Zkladntext100"/>
        <w:shd w:val="clear" w:color="auto" w:fill="auto"/>
        <w:spacing w:line="190" w:lineRule="auto"/>
        <w:rPr>
          <w:sz w:val="19"/>
          <w:szCs w:val="19"/>
        </w:rPr>
      </w:pPr>
      <w:r>
        <w:rPr>
          <w:b/>
          <w:bCs/>
          <w:sz w:val="19"/>
          <w:szCs w:val="19"/>
        </w:rPr>
        <w:t>Toť se rozumí, že jako po každé velké bolesti, tu a tam se fantazíruje. Ale český národ je tak politicky nadaný, že toto stadiu</w:t>
      </w:r>
      <w:r>
        <w:rPr>
          <w:b/>
          <w:bCs/>
          <w:sz w:val="19"/>
          <w:szCs w:val="19"/>
        </w:rPr>
        <w:t>m překoná, jako je již překonali všichni, kdo rychleji začali myslit. Německo ve vlastním zá</w:t>
      </w:r>
      <w:r>
        <w:rPr>
          <w:b/>
          <w:bCs/>
          <w:sz w:val="19"/>
          <w:szCs w:val="19"/>
        </w:rPr>
        <w:softHyphen/>
        <w:t>jmu může tomuto vývoji, který je zdravý nejenom pro náš národ, ale dokonce i pro vlastní potřeby velké německé říše, býti velmi nápomocno. Dohoda, o které mluvíme,</w:t>
      </w:r>
      <w:r>
        <w:rPr>
          <w:b/>
          <w:bCs/>
          <w:sz w:val="19"/>
          <w:szCs w:val="19"/>
        </w:rPr>
        <w:t xml:space="preserve"> je toho pěkným příkladeun.</w:t>
      </w:r>
    </w:p>
    <w:p w:rsidR="00500724" w:rsidRDefault="00F30FB8">
      <w:pPr>
        <w:pStyle w:val="Zkladntext100"/>
        <w:shd w:val="clear" w:color="auto" w:fill="auto"/>
        <w:tabs>
          <w:tab w:val="left" w:pos="4762"/>
        </w:tabs>
        <w:spacing w:after="80" w:line="190" w:lineRule="auto"/>
        <w:ind w:firstLine="340"/>
        <w:rPr>
          <w:sz w:val="19"/>
          <w:szCs w:val="19"/>
        </w:rPr>
      </w:pPr>
      <w:r>
        <w:rPr>
          <w:b/>
          <w:bCs/>
          <w:sz w:val="19"/>
          <w:szCs w:val="19"/>
        </w:rPr>
        <w:t>Nic nepůsobí tak dobře na toho, kdo je naplněn pocitem porážky a utrpení, jako rytířskost silnějšího, který měl úspěch. Ale na to se můžeme dívat i se širšího hlediska. Jak blahodárný vliv by to mělo na chování ostat</w:t>
      </w:r>
      <w:r>
        <w:rPr>
          <w:b/>
          <w:bCs/>
          <w:sz w:val="19"/>
          <w:szCs w:val="19"/>
        </w:rPr>
        <w:softHyphen/>
        <w:t>ních malých</w:t>
      </w:r>
      <w:r>
        <w:rPr>
          <w:b/>
          <w:bCs/>
          <w:sz w:val="19"/>
          <w:szCs w:val="19"/>
        </w:rPr>
        <w:t xml:space="preserve"> národů ve střední a východní Evropě, na nichž má Německo zájem, není ani třeba vykládat. Je v zájmu Německa, aby malé národy se ho nebály, aby naopak ochotně a řády ve vlastním prospě</w:t>
      </w:r>
      <w:r>
        <w:rPr>
          <w:b/>
          <w:bCs/>
          <w:sz w:val="19"/>
          <w:szCs w:val="19"/>
        </w:rPr>
        <w:softHyphen/>
        <w:t>chu a k prospěchu velké německé říše s ním spolu</w:t>
      </w:r>
      <w:r>
        <w:rPr>
          <w:b/>
          <w:bCs/>
          <w:sz w:val="19"/>
          <w:szCs w:val="19"/>
        </w:rPr>
        <w:softHyphen/>
        <w:t>pracovaly.</w:t>
      </w:r>
      <w:r>
        <w:rPr>
          <w:b/>
          <w:bCs/>
          <w:sz w:val="19"/>
          <w:szCs w:val="19"/>
        </w:rPr>
        <w:tab/>
      </w:r>
      <w:r>
        <w:rPr>
          <w:b/>
          <w:bCs/>
          <w:i/>
          <w:iCs/>
          <w:sz w:val="19"/>
          <w:szCs w:val="19"/>
        </w:rPr>
        <w:t>Cis</w:t>
      </w:r>
    </w:p>
    <w:p w:rsidR="00500724" w:rsidRDefault="00F30FB8">
      <w:pPr>
        <w:pStyle w:val="Zkladntext20"/>
        <w:shd w:val="clear" w:color="auto" w:fill="auto"/>
        <w:spacing w:line="178" w:lineRule="auto"/>
        <w:ind w:firstLine="0"/>
        <w:jc w:val="center"/>
        <w:rPr>
          <w:sz w:val="20"/>
          <w:szCs w:val="20"/>
        </w:rPr>
      </w:pPr>
      <w:r>
        <w:rPr>
          <w:b/>
          <w:bCs/>
          <w:sz w:val="20"/>
          <w:szCs w:val="20"/>
        </w:rPr>
        <w:t>Evropské osy se připravují k velké rozpravě</w:t>
      </w:r>
    </w:p>
    <w:p w:rsidR="00500724" w:rsidRDefault="00F30FB8">
      <w:pPr>
        <w:pStyle w:val="Zkladntext100"/>
        <w:shd w:val="clear" w:color="auto" w:fill="auto"/>
        <w:spacing w:line="187" w:lineRule="auto"/>
        <w:rPr>
          <w:sz w:val="19"/>
          <w:szCs w:val="19"/>
        </w:rPr>
      </w:pPr>
      <w:r>
        <w:rPr>
          <w:b/>
          <w:bCs/>
          <w:sz w:val="19"/>
          <w:szCs w:val="19"/>
        </w:rPr>
        <w:t>Jestliže v posledních týdnech sílí mezinárodní napětí, do</w:t>
      </w:r>
      <w:r>
        <w:rPr>
          <w:b/>
          <w:bCs/>
          <w:sz w:val="19"/>
          <w:szCs w:val="19"/>
        </w:rPr>
        <w:softHyphen/>
        <w:t xml:space="preserve">chází k tomu, s ěím bylo počítáno pro údobí, kdy se bude blížiti konec občanské války ve Španělsku. Nyní záleží na </w:t>
      </w:r>
      <w:r>
        <w:rPr>
          <w:b/>
          <w:bCs/>
          <w:sz w:val="19"/>
          <w:szCs w:val="19"/>
          <w:lang w:val="en-US" w:eastAsia="en-US" w:bidi="en-US"/>
        </w:rPr>
        <w:t xml:space="preserve">torn, </w:t>
      </w:r>
      <w:r>
        <w:rPr>
          <w:b/>
          <w:bCs/>
          <w:sz w:val="19"/>
          <w:szCs w:val="19"/>
        </w:rPr>
        <w:t>jakou roli v evropské a nejen evr</w:t>
      </w:r>
      <w:r>
        <w:rPr>
          <w:b/>
          <w:bCs/>
          <w:sz w:val="19"/>
          <w:szCs w:val="19"/>
        </w:rPr>
        <w:t>opské politice má hráti nacionalistické Španělsko, do jaké míry podepře anebo poruší srovnováhu sil« mezi velmocemi, především v oblasti Středozemního moře. Půjde právě o ten stupeň a roz</w:t>
      </w:r>
      <w:r>
        <w:rPr>
          <w:b/>
          <w:bCs/>
          <w:sz w:val="19"/>
          <w:szCs w:val="19"/>
        </w:rPr>
        <w:softHyphen/>
        <w:t>sah solidarity vítězného Francova Španělska s mocnostmi osy Kím—Berl</w:t>
      </w:r>
      <w:r>
        <w:rPr>
          <w:b/>
          <w:bCs/>
          <w:sz w:val="19"/>
          <w:szCs w:val="19"/>
        </w:rPr>
        <w:t>ín a do jaké míry se s druhé strany podaří úsilí především Anglie, doprovázené Francií. Vlády obou těchto zemí se snaží přesvěděiti vládu burgoskou o výhodě nezávislé politiky. Španělsko, jakkoli oslabené, je prý s to zkusiti taktiku jazýčku na váze, která</w:t>
      </w:r>
      <w:r>
        <w:rPr>
          <w:b/>
          <w:bCs/>
          <w:sz w:val="19"/>
          <w:szCs w:val="19"/>
        </w:rPr>
        <w:t xml:space="preserve"> mu může přinést zisky v oblasti hospodářské a finanční, kde jeho nesnáze budou největší.</w:t>
      </w:r>
    </w:p>
    <w:p w:rsidR="00500724" w:rsidRDefault="00F30FB8">
      <w:pPr>
        <w:pStyle w:val="Zkladntext100"/>
        <w:shd w:val="clear" w:color="auto" w:fill="auto"/>
        <w:spacing w:line="187" w:lineRule="auto"/>
        <w:rPr>
          <w:sz w:val="19"/>
          <w:szCs w:val="19"/>
        </w:rPr>
      </w:pPr>
      <w:r>
        <w:rPr>
          <w:b/>
          <w:bCs/>
          <w:sz w:val="19"/>
          <w:szCs w:val="19"/>
          <w:lang w:val="en-US" w:eastAsia="en-US" w:bidi="en-US"/>
        </w:rPr>
        <w:t xml:space="preserve">Franco </w:t>
      </w:r>
      <w:r>
        <w:rPr>
          <w:b/>
          <w:bCs/>
          <w:sz w:val="19"/>
          <w:szCs w:val="19"/>
        </w:rPr>
        <w:t>odmítl cokoliv nabídnouti za uznání své vlády se strany Anglie a Francie. Italské listy sdělují, že ztroskotaly xkramářské spekulace«, směřující k uvolnění bra</w:t>
      </w:r>
      <w:r>
        <w:rPr>
          <w:b/>
          <w:bCs/>
          <w:sz w:val="19"/>
          <w:szCs w:val="19"/>
        </w:rPr>
        <w:t xml:space="preserve">trského svazku mezi Francovým Španělskem a Italik Voják </w:t>
      </w:r>
      <w:r>
        <w:rPr>
          <w:b/>
          <w:bCs/>
          <w:sz w:val="19"/>
          <w:szCs w:val="19"/>
          <w:lang w:val="en-US" w:eastAsia="en-US" w:bidi="en-US"/>
        </w:rPr>
        <w:t xml:space="preserve">Franco </w:t>
      </w:r>
      <w:r>
        <w:rPr>
          <w:b/>
          <w:bCs/>
          <w:sz w:val="19"/>
          <w:szCs w:val="19"/>
        </w:rPr>
        <w:t>prý neprodá čest za zlato nabízené demokraty. O »vytlačení« jak Itálie tak Německa ze Španělska nemůže býti ovšem ani řeči. Jde právě o to, nakolik se dovede v dalším údobí ta která velmoc poli</w:t>
      </w:r>
      <w:r>
        <w:rPr>
          <w:b/>
          <w:bCs/>
          <w:sz w:val="19"/>
          <w:szCs w:val="19"/>
        </w:rPr>
        <w:t>ticky a hospodářsky protlačit na pyre</w:t>
      </w:r>
      <w:r>
        <w:rPr>
          <w:b/>
          <w:bCs/>
          <w:sz w:val="19"/>
          <w:szCs w:val="19"/>
        </w:rPr>
        <w:softHyphen/>
        <w:t>nejský ostrov, při čemž Itálie a Německo mají svůj náskok.</w:t>
      </w:r>
    </w:p>
    <w:p w:rsidR="00500724" w:rsidRDefault="00F30FB8">
      <w:pPr>
        <w:pStyle w:val="Zkladntext100"/>
        <w:shd w:val="clear" w:color="auto" w:fill="auto"/>
        <w:spacing w:line="187" w:lineRule="auto"/>
        <w:rPr>
          <w:sz w:val="19"/>
          <w:szCs w:val="19"/>
        </w:rPr>
      </w:pPr>
      <w:r>
        <w:rPr>
          <w:b/>
          <w:bCs/>
          <w:sz w:val="19"/>
          <w:szCs w:val="19"/>
        </w:rPr>
        <w:t>Čím bližší bude likvidace občanské války pod Pyrenejemi, tím dříve budou předloženy se strany dynamických moc</w:t>
      </w:r>
      <w:r>
        <w:rPr>
          <w:b/>
          <w:bCs/>
          <w:sz w:val="19"/>
          <w:szCs w:val="19"/>
        </w:rPr>
        <w:softHyphen/>
        <w:t>ností jejich požadavky.</w:t>
      </w:r>
    </w:p>
    <w:p w:rsidR="00500724" w:rsidRDefault="00F30FB8">
      <w:pPr>
        <w:pStyle w:val="Zkladntext100"/>
        <w:shd w:val="clear" w:color="auto" w:fill="auto"/>
        <w:spacing w:line="187" w:lineRule="auto"/>
        <w:ind w:firstLine="340"/>
        <w:rPr>
          <w:sz w:val="19"/>
          <w:szCs w:val="19"/>
        </w:rPr>
      </w:pPr>
      <w:r>
        <w:rPr>
          <w:b/>
          <w:bCs/>
          <w:sz w:val="19"/>
          <w:szCs w:val="19"/>
        </w:rPr>
        <w:t>V novinářské úvaze minist</w:t>
      </w:r>
      <w:r>
        <w:rPr>
          <w:b/>
          <w:bCs/>
          <w:sz w:val="19"/>
          <w:szCs w:val="19"/>
        </w:rPr>
        <w:t>r Goebbels ironisuje západní velmoci, že zase kulhají za vývojem a že nemají nutný instinkt pro mezinárodní situaci. Takové rozpoznání bylo by po zkušenostech posledních let a posledního roku těžko vyvrátiti. Pouze obavy o to jejich vlastní a nejvlastnější</w:t>
      </w:r>
      <w:r>
        <w:rPr>
          <w:b/>
          <w:bCs/>
          <w:sz w:val="19"/>
          <w:szCs w:val="19"/>
        </w:rPr>
        <w:t xml:space="preserve"> po</w:t>
      </w:r>
      <w:r>
        <w:rPr>
          <w:b/>
          <w:bCs/>
          <w:sz w:val="19"/>
          <w:szCs w:val="19"/>
        </w:rPr>
        <w:softHyphen/>
        <w:t>bízejí západní velmoci, aby se nyní snažily dohonit, v čem se opozdily. Itálie dovedla alarmovali velmi důkladně Francii, a tyto dny jeden římský list podotkl, že Francie už opustila politiku ustupování.</w:t>
      </w:r>
    </w:p>
    <w:p w:rsidR="00500724" w:rsidRDefault="00F30FB8">
      <w:pPr>
        <w:pStyle w:val="Zkladntext100"/>
        <w:shd w:val="clear" w:color="auto" w:fill="auto"/>
        <w:spacing w:line="187" w:lineRule="auto"/>
        <w:ind w:firstLine="340"/>
        <w:rPr>
          <w:sz w:val="19"/>
          <w:szCs w:val="19"/>
        </w:rPr>
      </w:pPr>
      <w:r>
        <w:rPr>
          <w:b/>
          <w:bCs/>
          <w:sz w:val="19"/>
          <w:szCs w:val="19"/>
        </w:rPr>
        <w:t xml:space="preserve">Právě proto, že se přibližuje chvíle, kdy bude </w:t>
      </w:r>
      <w:r>
        <w:rPr>
          <w:b/>
          <w:bCs/>
          <w:sz w:val="19"/>
          <w:szCs w:val="19"/>
        </w:rPr>
        <w:t>zesílen zá</w:t>
      </w:r>
      <w:r>
        <w:rPr>
          <w:b/>
          <w:bCs/>
          <w:sz w:val="19"/>
          <w:szCs w:val="19"/>
        </w:rPr>
        <w:softHyphen/>
        <w:t>pas diplomatický mezi velmocemi jedné a druhé osy, právě proti si chtějí upevnili své místo ti, kdož nechtějí být zata</w:t>
      </w:r>
      <w:r>
        <w:rPr>
          <w:b/>
          <w:bCs/>
          <w:sz w:val="19"/>
          <w:szCs w:val="19"/>
        </w:rPr>
        <w:softHyphen/>
        <w:t>ženi do sporů mezi velmocemi. Takové sklony určují politiku států Balkánské dohody, i když taktika každého z nich je poněkud j</w:t>
      </w:r>
      <w:r>
        <w:rPr>
          <w:b/>
          <w:bCs/>
          <w:sz w:val="19"/>
          <w:szCs w:val="19"/>
        </w:rPr>
        <w:t>inak odstíněna. Tak chápe svůj zájem rovněž Pol</w:t>
      </w:r>
      <w:r>
        <w:rPr>
          <w:b/>
          <w:bCs/>
          <w:sz w:val="19"/>
          <w:szCs w:val="19"/>
        </w:rPr>
        <w:softHyphen/>
        <w:t xml:space="preserve">sko, bez něhož, jak vyslovil při příležitosti návštěvy Cianovy ve Varšavě min. předseda </w:t>
      </w:r>
      <w:r>
        <w:rPr>
          <w:b/>
          <w:bCs/>
          <w:sz w:val="19"/>
          <w:szCs w:val="19"/>
          <w:lang w:val="en-US" w:eastAsia="en-US" w:bidi="en-US"/>
        </w:rPr>
        <w:t xml:space="preserve">Mussolini, </w:t>
      </w:r>
      <w:r>
        <w:rPr>
          <w:b/>
          <w:bCs/>
          <w:sz w:val="19"/>
          <w:szCs w:val="19"/>
        </w:rPr>
        <w:t>není možno uskutečniti rovnováhu v Evropě. V souvislosti s touto návštěvou prohlá</w:t>
      </w:r>
      <w:r>
        <w:rPr>
          <w:b/>
          <w:bCs/>
          <w:sz w:val="19"/>
          <w:szCs w:val="19"/>
        </w:rPr>
        <w:softHyphen/>
        <w:t>sil mluvčí vlády varšavské,</w:t>
      </w:r>
      <w:r>
        <w:rPr>
          <w:b/>
          <w:bCs/>
          <w:sz w:val="19"/>
          <w:szCs w:val="19"/>
        </w:rPr>
        <w:t xml:space="preserve"> že Polsko nechce vstupovat do žádné osy; vůči všem státům v nich zúčastněným zachová dobrý poměr: »Jestliže se připoutáme těsněji k jedné ose, ztratíme tím cennou klíčovou posici. Proto se straníme os.« Nevylučuje se ani ta možnost, že k takové politice n</w:t>
      </w:r>
      <w:r>
        <w:rPr>
          <w:b/>
          <w:bCs/>
          <w:sz w:val="19"/>
          <w:szCs w:val="19"/>
        </w:rPr>
        <w:t>eutra</w:t>
      </w:r>
      <w:r>
        <w:rPr>
          <w:b/>
          <w:bCs/>
          <w:sz w:val="19"/>
          <w:szCs w:val="19"/>
        </w:rPr>
        <w:softHyphen/>
        <w:t>lity bude přece jen opatrně hledati cestu i Francovo Špa</w:t>
      </w:r>
      <w:r>
        <w:rPr>
          <w:b/>
          <w:bCs/>
          <w:sz w:val="19"/>
          <w:szCs w:val="19"/>
        </w:rPr>
        <w:softHyphen/>
        <w:t>nělsko.</w:t>
      </w:r>
    </w:p>
    <w:p w:rsidR="00500724" w:rsidRDefault="00F30FB8">
      <w:pPr>
        <w:pStyle w:val="Zkladntext100"/>
        <w:shd w:val="clear" w:color="auto" w:fill="auto"/>
        <w:tabs>
          <w:tab w:val="left" w:pos="4498"/>
        </w:tabs>
        <w:spacing w:line="187" w:lineRule="auto"/>
        <w:ind w:firstLine="340"/>
        <w:rPr>
          <w:sz w:val="19"/>
          <w:szCs w:val="19"/>
        </w:rPr>
      </w:pPr>
      <w:r>
        <w:rPr>
          <w:b/>
          <w:bCs/>
          <w:sz w:val="19"/>
          <w:szCs w:val="19"/>
        </w:rPr>
        <w:t>Všechny tyto záměry a sklony nejsou ovšem zatím dosti zřetelně vyjádřeny. Zápas se dosud vede jaksi v předpolí. Německý kancléř položil kategorický požadavek kolonií jen Zásadně, a Itál</w:t>
      </w:r>
      <w:r>
        <w:rPr>
          <w:b/>
          <w:bCs/>
          <w:sz w:val="19"/>
          <w:szCs w:val="19"/>
        </w:rPr>
        <w:t xml:space="preserve">ie neprecisovala dosud oficiálně své nároky vůči Francii. Jednání o rozšíření obchodně-politických styků, které si vynucuje podle posledního projevu kancléře Hitlera přímo životní zájem Německa, se rovněž teprve zahajuje na několika kolejích. Projevuje se </w:t>
      </w:r>
      <w:r>
        <w:rPr>
          <w:b/>
          <w:bCs/>
          <w:sz w:val="19"/>
          <w:szCs w:val="19"/>
        </w:rPr>
        <w:t>tu vůle překlenovali vzdá</w:t>
      </w:r>
      <w:r>
        <w:rPr>
          <w:b/>
          <w:bCs/>
          <w:sz w:val="19"/>
          <w:szCs w:val="19"/>
        </w:rPr>
        <w:softHyphen/>
        <w:t>lenost mezi velmocemi bohatšími a méně bohatými. Na hospodářském a politickém úseku se bude tedy hledat mož</w:t>
      </w:r>
      <w:r>
        <w:rPr>
          <w:b/>
          <w:bCs/>
          <w:sz w:val="19"/>
          <w:szCs w:val="19"/>
        </w:rPr>
        <w:softHyphen/>
        <w:t>nost kompromisu. Každý však velmi spěšně se snaží posíliti co nejvíce svoji vlastní posici mocenskou a svoji posici me</w:t>
      </w:r>
      <w:r>
        <w:rPr>
          <w:b/>
          <w:bCs/>
          <w:sz w:val="19"/>
          <w:szCs w:val="19"/>
        </w:rPr>
        <w:softHyphen/>
        <w:t>zin</w:t>
      </w:r>
      <w:r>
        <w:rPr>
          <w:b/>
          <w:bCs/>
          <w:sz w:val="19"/>
          <w:szCs w:val="19"/>
        </w:rPr>
        <w:t>árodní, aby při tom »účtování« se mohl odvážili co nej</w:t>
      </w:r>
      <w:r>
        <w:rPr>
          <w:b/>
          <w:bCs/>
          <w:sz w:val="19"/>
          <w:szCs w:val="19"/>
        </w:rPr>
        <w:softHyphen/>
        <w:t>dále.</w:t>
      </w:r>
      <w:r>
        <w:rPr>
          <w:b/>
          <w:bCs/>
          <w:sz w:val="19"/>
          <w:szCs w:val="19"/>
        </w:rPr>
        <w:tab/>
      </w:r>
      <w:r>
        <w:rPr>
          <w:b/>
          <w:bCs/>
          <w:i/>
          <w:iCs/>
          <w:sz w:val="19"/>
          <w:szCs w:val="19"/>
        </w:rPr>
        <w:t>A. P.</w:t>
      </w:r>
    </w:p>
    <w:p w:rsidR="00500724" w:rsidRDefault="00F30FB8">
      <w:pPr>
        <w:pStyle w:val="Zkladntext20"/>
        <w:shd w:val="clear" w:color="auto" w:fill="auto"/>
        <w:spacing w:line="178" w:lineRule="auto"/>
        <w:ind w:firstLine="0"/>
        <w:jc w:val="center"/>
        <w:rPr>
          <w:sz w:val="20"/>
          <w:szCs w:val="20"/>
        </w:rPr>
      </w:pPr>
      <w:r>
        <w:rPr>
          <w:b/>
          <w:bCs/>
          <w:sz w:val="20"/>
          <w:szCs w:val="20"/>
        </w:rPr>
        <w:t>Češi a první slovenská státní půjčka</w:t>
      </w:r>
    </w:p>
    <w:p w:rsidR="00500724" w:rsidRDefault="00F30FB8">
      <w:pPr>
        <w:pStyle w:val="Zkladntext100"/>
        <w:shd w:val="clear" w:color="auto" w:fill="auto"/>
        <w:spacing w:line="185" w:lineRule="auto"/>
        <w:ind w:firstLine="0"/>
        <w:rPr>
          <w:sz w:val="19"/>
          <w:szCs w:val="19"/>
        </w:rPr>
      </w:pPr>
      <w:r>
        <w:rPr>
          <w:b/>
          <w:bCs/>
          <w:sz w:val="19"/>
          <w:szCs w:val="19"/>
        </w:rPr>
        <w:t>Slovenská vláda úředně vyhlásila, že vypisuje první slovenskou státní půjčku. Jak je patrno z prvních propa</w:t>
      </w:r>
      <w:r>
        <w:rPr>
          <w:b/>
          <w:bCs/>
          <w:sz w:val="19"/>
          <w:szCs w:val="19"/>
        </w:rPr>
        <w:softHyphen/>
        <w:t>gačních letáků, má půjčka míti dvě tranše; p</w:t>
      </w:r>
      <w:r>
        <w:rPr>
          <w:b/>
          <w:bCs/>
          <w:sz w:val="19"/>
          <w:szCs w:val="19"/>
        </w:rPr>
        <w:t>rvní by obsa</w:t>
      </w:r>
      <w:r>
        <w:rPr>
          <w:b/>
          <w:bCs/>
          <w:sz w:val="19"/>
          <w:szCs w:val="19"/>
        </w:rPr>
        <w:softHyphen/>
        <w:t>hovala 4 a půlprocentní dluhopisy, vydané při kursu 95 při nominale 100, druhá tranše by byla 3 a půlprocentní, vydaná al pari za 100, ale spojená s daňovými výhodami a daňovou amnestií. Odborníci již upozornili slovenskou vládu na některé nej</w:t>
      </w:r>
      <w:r>
        <w:rPr>
          <w:b/>
          <w:bCs/>
          <w:sz w:val="19"/>
          <w:szCs w:val="19"/>
        </w:rPr>
        <w:t>asnosti v tomto propočtu půjček, a podle pro</w:t>
      </w:r>
      <w:r>
        <w:rPr>
          <w:b/>
          <w:bCs/>
          <w:sz w:val="19"/>
          <w:szCs w:val="19"/>
        </w:rPr>
        <w:softHyphen/>
        <w:t>hlášení, které bylo ve slovenském tisku učiněno se strany úředních činitelů, je pravděpodobné, že projekt půjčky bude propracován, detaily dále oznámeny a nedůslednosti odstra</w:t>
      </w:r>
      <w:r>
        <w:rPr>
          <w:b/>
          <w:bCs/>
          <w:sz w:val="19"/>
          <w:szCs w:val="19"/>
        </w:rPr>
        <w:softHyphen/>
        <w:t>něny, aby pro upisovatele byl zjedn</w:t>
      </w:r>
      <w:r>
        <w:rPr>
          <w:b/>
          <w:bCs/>
          <w:sz w:val="19"/>
          <w:szCs w:val="19"/>
        </w:rPr>
        <w:t>án jasný a bezpečný podklad. Ve slovenských vládních kruzích se soudí, že půjčka by mohla vynésti asi 300 milionů K.</w:t>
      </w:r>
    </w:p>
    <w:p w:rsidR="00500724" w:rsidRDefault="00F30FB8">
      <w:pPr>
        <w:pStyle w:val="Zkladntext100"/>
        <w:shd w:val="clear" w:color="auto" w:fill="auto"/>
        <w:spacing w:line="187" w:lineRule="auto"/>
        <w:ind w:firstLine="300"/>
        <w:rPr>
          <w:sz w:val="19"/>
          <w:szCs w:val="19"/>
        </w:rPr>
      </w:pPr>
      <w:r>
        <w:rPr>
          <w:b/>
          <w:bCs/>
          <w:sz w:val="19"/>
          <w:szCs w:val="19"/>
        </w:rPr>
        <w:t>Úsilí slovenské vlády o zabezpečení rozpočtu a zjednáni řádné administrativně-finanční základny pro hospodářství slovenského státu musí sle</w:t>
      </w:r>
      <w:r>
        <w:rPr>
          <w:b/>
          <w:bCs/>
          <w:sz w:val="19"/>
          <w:szCs w:val="19"/>
        </w:rPr>
        <w:t xml:space="preserve">dovat každý Čech, který si </w:t>
      </w:r>
      <w:r>
        <w:rPr>
          <w:b/>
          <w:bCs/>
          <w:sz w:val="20"/>
          <w:szCs w:val="20"/>
        </w:rPr>
        <w:t xml:space="preserve">je </w:t>
      </w:r>
      <w:r>
        <w:rPr>
          <w:b/>
          <w:bCs/>
          <w:sz w:val="19"/>
          <w:szCs w:val="19"/>
        </w:rPr>
        <w:t>vědom významu, jež náš společný stát pro oba naše národy má. Těžkostí, s nimiž slovenská vláda zápasí, jsou nemalé a plynou ze struktury země. Jak zde již bylo konstatován^ na základě úředních dat, je slovenský rozpočet vlastn</w:t>
      </w:r>
      <w:r>
        <w:rPr>
          <w:b/>
          <w:bCs/>
          <w:sz w:val="19"/>
          <w:szCs w:val="19"/>
        </w:rPr>
        <w:t>í státní správy při výdajích bezmála 1.2 miliardy K pasivní více než 300 miliony K, rozpočet slovenských státních pod</w:t>
      </w:r>
      <w:r>
        <w:rPr>
          <w:b/>
          <w:bCs/>
          <w:sz w:val="19"/>
          <w:szCs w:val="19"/>
        </w:rPr>
        <w:softHyphen/>
        <w:t>niků při skoro stejně vysokých výdajích pasivní více než 200 miliony K, a krom toho musí slovenská vláda opatřit 650 milionů K na investič</w:t>
      </w:r>
      <w:r>
        <w:rPr>
          <w:b/>
          <w:bCs/>
          <w:sz w:val="19"/>
          <w:szCs w:val="19"/>
        </w:rPr>
        <w:t>ní rozpočet. Je to tedy skutečně úkol, který vyžaduje mnoho práce od slovenského národa, krajní sebezapření a plnou odpovědnost od jeho vedoucícli mužů.</w:t>
      </w:r>
    </w:p>
    <w:p w:rsidR="00500724" w:rsidRDefault="00F30FB8">
      <w:pPr>
        <w:pStyle w:val="Zkladntext100"/>
        <w:shd w:val="clear" w:color="auto" w:fill="auto"/>
        <w:spacing w:line="190" w:lineRule="auto"/>
        <w:ind w:firstLine="300"/>
        <w:rPr>
          <w:sz w:val="19"/>
          <w:szCs w:val="19"/>
        </w:rPr>
      </w:pPr>
      <w:r>
        <w:rPr>
          <w:b/>
          <w:bCs/>
          <w:sz w:val="19"/>
          <w:szCs w:val="19"/>
        </w:rPr>
        <w:t>Pasivnost rozpočtu, který slovenská vláda na rok 193(1 předložila, ovšem plyne z celé situace Slovenska</w:t>
      </w:r>
      <w:r>
        <w:rPr>
          <w:b/>
          <w:bCs/>
          <w:sz w:val="19"/>
          <w:szCs w:val="19"/>
        </w:rPr>
        <w:t xml:space="preserve">. V obsáhlé studii sObzoru národohospodářského«, jež vyšla v letošním dvojčísle, bylo konstatováno na podkladě dat Státního úřadu statistického, že z vkladů, které zbyly nové republice po ztrátě 20 miliard vkladů v odstoupeném území, připadá 35.5 miliardy </w:t>
      </w:r>
      <w:r>
        <w:rPr>
          <w:b/>
          <w:bCs/>
          <w:sz w:val="19"/>
          <w:szCs w:val="19"/>
        </w:rPr>
        <w:t>K na Čechy a Moravu a 3.5 miliardy K na Slovensko a Karpatskou Ukrajinu. Asi přes miliardu vkladů zatím odplynulo v prvních dnech nejistoty do historických zemí, ale lze předkpokládat, že při dalším klidném vývoji se vrátí. Z průmyslu, kterého republice zů</w:t>
      </w:r>
      <w:r>
        <w:rPr>
          <w:b/>
          <w:bCs/>
          <w:sz w:val="19"/>
          <w:szCs w:val="19"/>
        </w:rPr>
        <w:t>stalo asi 65 pro</w:t>
      </w:r>
      <w:r>
        <w:rPr>
          <w:b/>
          <w:bCs/>
          <w:sz w:val="19"/>
          <w:szCs w:val="19"/>
        </w:rPr>
        <w:softHyphen/>
        <w:t>cent, zůstalo — položíme-li tuto hodnotu rovnou 100 — asi 85 procent v českých zemích, 12 procent na Slovensku a 3 procenta na Karpatské Ukrajině. Do celkové státní po</w:t>
      </w:r>
      <w:r>
        <w:rPr>
          <w:b/>
          <w:bCs/>
          <w:sz w:val="19"/>
          <w:szCs w:val="19"/>
        </w:rPr>
        <w:softHyphen/>
        <w:t>kladny plynulo ze Slovenska asi 12 procent státních příjmů, výdaje na S</w:t>
      </w:r>
      <w:r>
        <w:rPr>
          <w:b/>
          <w:bCs/>
          <w:sz w:val="19"/>
          <w:szCs w:val="19"/>
        </w:rPr>
        <w:t>lovensko činily asi 20 procent státních výdajů; Daňová poplatnost je v českých zemích na hlavu 2.9kráfc tedy téměř třikrát vyšší než na Slovensku a Karpatské Ukra</w:t>
      </w:r>
      <w:r>
        <w:rPr>
          <w:b/>
          <w:bCs/>
          <w:sz w:val="19"/>
          <w:szCs w:val="19"/>
        </w:rPr>
        <w:softHyphen/>
        <w:t>jině. Celkový průměr výnosu veřejných dávek na hiavů pro celou republiku v roce 1937 činil 55</w:t>
      </w:r>
      <w:r>
        <w:rPr>
          <w:b/>
          <w:bCs/>
          <w:sz w:val="19"/>
          <w:szCs w:val="19"/>
        </w:rPr>
        <w:t>0 K, v českých ze</w:t>
      </w:r>
      <w:r>
        <w:rPr>
          <w:b/>
          <w:bCs/>
          <w:sz w:val="19"/>
          <w:szCs w:val="19"/>
        </w:rPr>
        <w:softHyphen/>
        <w:t>mích 564 K, na Slovensku a Karpatské Ukrajině 198 K, To tedy znamená, že české země, ačkoliv zeměpisnou roz</w:t>
      </w:r>
      <w:r>
        <w:rPr>
          <w:b/>
          <w:bCs/>
          <w:sz w:val="19"/>
          <w:szCs w:val="19"/>
        </w:rPr>
        <w:softHyphen/>
        <w:t>lohou tvoří polovinu republiky, mají 70 procent obyvatel</w:t>
      </w:r>
      <w:r>
        <w:rPr>
          <w:b/>
          <w:bCs/>
          <w:sz w:val="19"/>
          <w:szCs w:val="19"/>
        </w:rPr>
        <w:softHyphen/>
        <w:t>stva nové republiky a představují asi 85 procent (spíše více) celkové hos</w:t>
      </w:r>
      <w:r>
        <w:rPr>
          <w:b/>
          <w:bCs/>
          <w:sz w:val="19"/>
          <w:szCs w:val="19"/>
        </w:rPr>
        <w:t>podářské síly naší nové republiky. Tak popisují situaci úřední data.</w:t>
      </w:r>
    </w:p>
    <w:p w:rsidR="00500724" w:rsidRDefault="00F30FB8">
      <w:pPr>
        <w:pStyle w:val="Zkladntext100"/>
        <w:shd w:val="clear" w:color="auto" w:fill="auto"/>
        <w:spacing w:line="197" w:lineRule="auto"/>
        <w:ind w:firstLine="200"/>
        <w:rPr>
          <w:sz w:val="19"/>
          <w:szCs w:val="19"/>
        </w:rPr>
      </w:pPr>
      <w:r>
        <w:rPr>
          <w:b/>
          <w:bCs/>
          <w:sz w:val="19"/>
          <w:szCs w:val="19"/>
        </w:rPr>
        <w:t>Je tedy přirozené, že slovenská vláda musila předložit pasivní rozpočet a že je po této stránce v nesnadné situaci. Plně rozumíme, že Je nejenom v zájmu sloven</w:t>
      </w:r>
      <w:r>
        <w:rPr>
          <w:b/>
          <w:bCs/>
          <w:sz w:val="19"/>
          <w:szCs w:val="19"/>
        </w:rPr>
        <w:softHyphen/>
        <w:t>ského národa, ale také v zá</w:t>
      </w:r>
      <w:r>
        <w:rPr>
          <w:b/>
          <w:bCs/>
          <w:sz w:val="19"/>
          <w:szCs w:val="19"/>
        </w:rPr>
        <w:t>jmu národa ěes» kého, aby se slovenské vládě dostalo pod</w:t>
      </w:r>
      <w:r>
        <w:rPr>
          <w:b/>
          <w:bCs/>
          <w:sz w:val="19"/>
          <w:szCs w:val="19"/>
        </w:rPr>
        <w:softHyphen/>
        <w:t>por y. Politika se nedělá pod vlivem okamžitého roztrpčeni nebo nepříjemností, či nějakého zklamání. Politika se musí dívat na desetiletí dopředu, a proto musí český národ roz</w:t>
      </w:r>
      <w:r>
        <w:rPr>
          <w:b/>
          <w:bCs/>
          <w:sz w:val="19"/>
          <w:szCs w:val="19"/>
        </w:rPr>
        <w:softHyphen/>
        <w:t>umět této slovenské nes</w:t>
      </w:r>
      <w:r>
        <w:rPr>
          <w:b/>
          <w:bCs/>
          <w:sz w:val="19"/>
          <w:szCs w:val="19"/>
        </w:rPr>
        <w:t>názi a odhodlat se k pomoci Slo</w:t>
      </w:r>
      <w:r>
        <w:rPr>
          <w:b/>
          <w:bCs/>
          <w:sz w:val="19"/>
          <w:szCs w:val="19"/>
        </w:rPr>
        <w:softHyphen/>
        <w:t>vensku. Pravíme: přese vše. Český národ vynikal vždy politickým realismem a tím, že se dovedl po prvním roze</w:t>
      </w:r>
      <w:r>
        <w:rPr>
          <w:b/>
          <w:bCs/>
          <w:sz w:val="19"/>
          <w:szCs w:val="19"/>
        </w:rPr>
        <w:softHyphen/>
        <w:t>chvění podívat pravdě do očí a dovedl posoudit situací střízlivě. Osobní utrpení, nebo ůstrky, či nějaká nelibost n</w:t>
      </w:r>
      <w:r>
        <w:rPr>
          <w:b/>
          <w:bCs/>
          <w:sz w:val="19"/>
          <w:szCs w:val="19"/>
        </w:rPr>
        <w:t>ad tím, jak nové Slovensko si zařizuje svůj domov, musí se podřídit politickému hledisku vzájemné potřeby českého a slovenského národa a dlouholetému cíli. Musíme umět dělat rozdíl mezí osobními city toho kterého občana a politikou a zájmem národa. Slovem,</w:t>
      </w:r>
      <w:r>
        <w:rPr>
          <w:b/>
          <w:bCs/>
          <w:sz w:val="19"/>
          <w:szCs w:val="19"/>
        </w:rPr>
        <w:t xml:space="preserve"> je to naše povinnost k nám, k budoucnosti spo</w:t>
      </w:r>
      <w:r>
        <w:rPr>
          <w:b/>
          <w:bCs/>
          <w:sz w:val="19"/>
          <w:szCs w:val="19"/>
        </w:rPr>
        <w:softHyphen/>
        <w:t>lečné republiky a k našim potomkům. Dobrý poměr Sloven</w:t>
      </w:r>
      <w:r>
        <w:rPr>
          <w:b/>
          <w:bCs/>
          <w:sz w:val="19"/>
          <w:szCs w:val="19"/>
        </w:rPr>
        <w:softHyphen/>
        <w:t>ska k nám závisí mnoho na těchto citových věcech, ale neméně mnoho také na rozumu, na zdravém chápání si</w:t>
      </w:r>
      <w:r>
        <w:rPr>
          <w:b/>
          <w:bCs/>
          <w:sz w:val="19"/>
          <w:szCs w:val="19"/>
        </w:rPr>
        <w:softHyphen/>
        <w:t>tuace a konečně i na hospodářském prospěchu.</w:t>
      </w:r>
    </w:p>
    <w:p w:rsidR="00500724" w:rsidRDefault="00F30FB8">
      <w:pPr>
        <w:pStyle w:val="Zkladntext100"/>
        <w:shd w:val="clear" w:color="auto" w:fill="auto"/>
        <w:spacing w:line="197" w:lineRule="auto"/>
        <w:ind w:firstLine="300"/>
        <w:rPr>
          <w:sz w:val="20"/>
          <w:szCs w:val="20"/>
        </w:rPr>
      </w:pPr>
      <w:r>
        <w:rPr>
          <w:b/>
          <w:bCs/>
          <w:sz w:val="19"/>
          <w:szCs w:val="19"/>
        </w:rPr>
        <w:t xml:space="preserve">Považujeme proto za velmi důležitou věc, aby </w:t>
      </w:r>
      <w:r>
        <w:rPr>
          <w:b/>
          <w:bCs/>
          <w:sz w:val="20"/>
          <w:szCs w:val="20"/>
        </w:rPr>
        <w:t xml:space="preserve">se </w:t>
      </w:r>
      <w:r>
        <w:rPr>
          <w:b/>
          <w:bCs/>
          <w:sz w:val="19"/>
          <w:szCs w:val="19"/>
        </w:rPr>
        <w:t>Češi postavili k této první slovenské státní půjčce kladně. Opakujeme: přese vše. Aby ji upiso</w:t>
      </w:r>
      <w:r>
        <w:rPr>
          <w:b/>
          <w:bCs/>
          <w:sz w:val="19"/>
          <w:szCs w:val="19"/>
        </w:rPr>
        <w:softHyphen/>
        <w:t xml:space="preserve">vali, aby slovenské vládě pomáhali. Jen tak se může </w:t>
      </w:r>
      <w:r>
        <w:rPr>
          <w:b/>
          <w:bCs/>
          <w:sz w:val="20"/>
          <w:szCs w:val="20"/>
        </w:rPr>
        <w:t>vy-</w:t>
      </w:r>
    </w:p>
    <w:p w:rsidR="00500724" w:rsidRDefault="00F30FB8">
      <w:pPr>
        <w:pStyle w:val="Zkladntext100"/>
        <w:shd w:val="clear" w:color="auto" w:fill="auto"/>
        <w:spacing w:line="187" w:lineRule="auto"/>
        <w:ind w:firstLine="0"/>
        <w:rPr>
          <w:sz w:val="19"/>
          <w:szCs w:val="19"/>
        </w:rPr>
      </w:pPr>
      <w:r>
        <w:rPr>
          <w:b/>
          <w:bCs/>
          <w:sz w:val="19"/>
          <w:szCs w:val="19"/>
        </w:rPr>
        <w:t>tvořit docela nová základna pro příští lepší spolužití na</w:t>
      </w:r>
      <w:r>
        <w:rPr>
          <w:b/>
          <w:bCs/>
          <w:sz w:val="19"/>
          <w:szCs w:val="19"/>
        </w:rPr>
        <w:t>šich národů. Uvážíme-li tato fakta střízlivě, nemůžeme se roz</w:t>
      </w:r>
      <w:r>
        <w:rPr>
          <w:b/>
          <w:bCs/>
          <w:sz w:val="19"/>
          <w:szCs w:val="19"/>
        </w:rPr>
        <w:softHyphen/>
        <w:t>hodnout jinak. Cit sám nedělá politiku, ani spravedlivý cit.</w:t>
      </w:r>
    </w:p>
    <w:p w:rsidR="00500724" w:rsidRDefault="00F30FB8">
      <w:pPr>
        <w:pStyle w:val="Zkladntext100"/>
        <w:shd w:val="clear" w:color="auto" w:fill="auto"/>
        <w:spacing w:line="185" w:lineRule="auto"/>
        <w:ind w:firstLine="320"/>
        <w:rPr>
          <w:sz w:val="19"/>
          <w:szCs w:val="19"/>
        </w:rPr>
      </w:pPr>
      <w:r>
        <w:rPr>
          <w:b/>
          <w:bCs/>
          <w:sz w:val="19"/>
          <w:szCs w:val="19"/>
        </w:rPr>
        <w:t>Je nám známo, že mezi Čechy na Slovensku vzbudil roztrpčení propagační leták, vydaný pro tuto slovenskou půjčku. Chceme také o této v</w:t>
      </w:r>
      <w:r>
        <w:rPr>
          <w:b/>
          <w:bCs/>
          <w:sz w:val="19"/>
          <w:szCs w:val="19"/>
        </w:rPr>
        <w:t xml:space="preserve">ěci docela upřímně na obě Strany říci několik slov. Není pochybnosti o tom, že leták </w:t>
      </w:r>
      <w:r>
        <w:rPr>
          <w:b/>
          <w:bCs/>
          <w:sz w:val="20"/>
          <w:szCs w:val="20"/>
        </w:rPr>
        <w:t xml:space="preserve">je </w:t>
      </w:r>
      <w:r>
        <w:rPr>
          <w:b/>
          <w:bCs/>
          <w:sz w:val="19"/>
          <w:szCs w:val="19"/>
        </w:rPr>
        <w:t>koncipován temperamentně a že obsahuje několik omylů. Ale zda i my jsme v roce 1918 se nedopouštěli omylů a zda také všechno, co bylo poloúředně či z úřadů tehdy vydáno</w:t>
      </w:r>
      <w:r>
        <w:rPr>
          <w:b/>
          <w:bCs/>
          <w:sz w:val="19"/>
          <w:szCs w:val="19"/>
        </w:rPr>
        <w:t>, bylo bez chyb a bez temperamentu? V letáku se uvádí na příklad, že veřejné budovy státni v Praze, především budo-</w:t>
      </w:r>
    </w:p>
    <w:p w:rsidR="00500724" w:rsidRDefault="00F30FB8">
      <w:pPr>
        <w:pStyle w:val="Zkladntext100"/>
        <w:framePr w:dropCap="drop" w:lines="2" w:wrap="auto" w:vAnchor="text" w:hAnchor="text"/>
        <w:shd w:val="clear" w:color="auto" w:fill="auto"/>
        <w:spacing w:line="274" w:lineRule="exact"/>
        <w:ind w:firstLine="0"/>
        <w:rPr>
          <w:sz w:val="19"/>
          <w:szCs w:val="19"/>
        </w:rPr>
      </w:pPr>
      <w:r>
        <w:rPr>
          <w:rFonts w:ascii="Arial" w:eastAsia="Arial" w:hAnsi="Arial" w:cs="Arial"/>
          <w:b/>
          <w:bCs/>
          <w:position w:val="-6"/>
          <w:sz w:val="38"/>
          <w:szCs w:val="38"/>
        </w:rPr>
        <w:t>S</w:t>
      </w:r>
    </w:p>
    <w:p w:rsidR="00500724" w:rsidRDefault="00F30FB8">
      <w:pPr>
        <w:pStyle w:val="Zkladntext100"/>
        <w:shd w:val="clear" w:color="auto" w:fill="auto"/>
        <w:spacing w:line="187" w:lineRule="auto"/>
        <w:ind w:firstLine="0"/>
        <w:rPr>
          <w:sz w:val="19"/>
          <w:szCs w:val="19"/>
        </w:rPr>
      </w:pPr>
      <w:r>
        <w:rPr>
          <w:b/>
          <w:bCs/>
          <w:sz w:val="19"/>
          <w:szCs w:val="19"/>
        </w:rPr>
        <w:t>y ministerstev, byly postaveny »ex Iacrimis slovaccorum«.</w:t>
      </w:r>
    </w:p>
    <w:p w:rsidR="00500724" w:rsidRDefault="00F30FB8">
      <w:pPr>
        <w:pStyle w:val="Zkladntext100"/>
        <w:shd w:val="clear" w:color="auto" w:fill="auto"/>
        <w:spacing w:line="187" w:lineRule="auto"/>
        <w:ind w:firstLine="160"/>
        <w:rPr>
          <w:sz w:val="19"/>
          <w:szCs w:val="19"/>
        </w:rPr>
      </w:pPr>
      <w:r>
        <w:rPr>
          <w:b/>
          <w:bCs/>
          <w:sz w:val="19"/>
          <w:szCs w:val="19"/>
        </w:rPr>
        <w:t xml:space="preserve">ento pohotový latiník, mluvě o slzách slovenského náro- ida, se přirozeně mýlí, </w:t>
      </w:r>
      <w:r>
        <w:rPr>
          <w:b/>
          <w:bCs/>
          <w:sz w:val="19"/>
          <w:szCs w:val="19"/>
        </w:rPr>
        <w:t>jak je patrno z výše uvedeného pře</w:t>
      </w:r>
      <w:r>
        <w:rPr>
          <w:b/>
          <w:bCs/>
          <w:sz w:val="19"/>
          <w:szCs w:val="19"/>
        </w:rPr>
        <w:softHyphen/>
        <w:t>hledu daňového výnosu. Pocházeio-li ’/’ všech daní z čes</w:t>
      </w:r>
      <w:r>
        <w:rPr>
          <w:b/>
          <w:bCs/>
          <w:sz w:val="19"/>
          <w:szCs w:val="19"/>
        </w:rPr>
        <w:softHyphen/>
        <w:t>kých zemí, pak ovšem '/« veškerého nákladu na ministerské budovy v Praze pocházelo z čes</w:t>
      </w:r>
      <w:r>
        <w:rPr>
          <w:b/>
          <w:bCs/>
          <w:sz w:val="19"/>
          <w:szCs w:val="19"/>
        </w:rPr>
        <w:softHyphen/>
        <w:t>kých rukou a bylo zaplaceno českými po</w:t>
      </w:r>
      <w:r>
        <w:rPr>
          <w:b/>
          <w:bCs/>
          <w:sz w:val="19"/>
          <w:szCs w:val="19"/>
        </w:rPr>
        <w:softHyphen/>
        <w:t>platníky. Ale, jak známo, investoval</w:t>
      </w:r>
      <w:r>
        <w:rPr>
          <w:b/>
          <w:bCs/>
          <w:sz w:val="19"/>
          <w:szCs w:val="19"/>
        </w:rPr>
        <w:t xml:space="preserve">y státní dráhy na Slovensku jen do stavby nových tratí přes jednu miliardu </w:t>
      </w:r>
      <w:r>
        <w:rPr>
          <w:b/>
          <w:bCs/>
          <w:sz w:val="20"/>
          <w:szCs w:val="20"/>
        </w:rPr>
        <w:t xml:space="preserve">K </w:t>
      </w:r>
      <w:r>
        <w:rPr>
          <w:b/>
          <w:bCs/>
          <w:sz w:val="19"/>
          <w:szCs w:val="19"/>
        </w:rPr>
        <w:t>a celkové investice na Slovensko přesahovaly za dvacet let deset miliard K. Také z těchto peněz bylo % zaplaceno (českými poplatníky, takže ona osmina, kterou slovenští poplatníci</w:t>
      </w:r>
      <w:r>
        <w:rPr>
          <w:b/>
          <w:bCs/>
          <w:sz w:val="19"/>
          <w:szCs w:val="19"/>
        </w:rPr>
        <w:t xml:space="preserve"> přispěli na zmíněné ministerské budovy v </w:t>
      </w:r>
      <w:r>
        <w:rPr>
          <w:b/>
          <w:bCs/>
          <w:sz w:val="19"/>
          <w:szCs w:val="19"/>
          <w:lang w:val="en-US" w:eastAsia="en-US" w:bidi="en-US"/>
        </w:rPr>
        <w:t>Pra</w:t>
      </w:r>
      <w:r>
        <w:rPr>
          <w:b/>
          <w:bCs/>
          <w:sz w:val="19"/>
          <w:szCs w:val="19"/>
          <w:lang w:val="en-US" w:eastAsia="en-US" w:bidi="en-US"/>
        </w:rPr>
        <w:softHyphen/>
        <w:t xml:space="preserve">ise, </w:t>
      </w:r>
      <w:r>
        <w:rPr>
          <w:b/>
          <w:bCs/>
          <w:sz w:val="19"/>
          <w:szCs w:val="19"/>
        </w:rPr>
        <w:t>je více než bohatě vyvážena. Roztrpčení, které se ně</w:t>
      </w:r>
      <w:r>
        <w:rPr>
          <w:b/>
          <w:bCs/>
          <w:sz w:val="19"/>
          <w:szCs w:val="19"/>
        </w:rPr>
        <w:softHyphen/>
        <w:t>kterých Čechů nad touto jistě zbytečnou větou v citovaném propagačním letáku zmocnilo, považujeme sice za pocho</w:t>
      </w:r>
      <w:r>
        <w:rPr>
          <w:b/>
          <w:bCs/>
          <w:sz w:val="19"/>
          <w:szCs w:val="19"/>
        </w:rPr>
        <w:softHyphen/>
        <w:t>pitelné, ale je nutno je uvážit také s c</w:t>
      </w:r>
      <w:r>
        <w:rPr>
          <w:b/>
          <w:bCs/>
          <w:sz w:val="19"/>
          <w:szCs w:val="19"/>
        </w:rPr>
        <w:t>elkového širšího hle</w:t>
      </w:r>
      <w:r>
        <w:rPr>
          <w:b/>
          <w:bCs/>
          <w:sz w:val="19"/>
          <w:szCs w:val="19"/>
        </w:rPr>
        <w:softHyphen/>
        <w:t>diska vyšší státni politiky. Opravit je a pak přejít.</w:t>
      </w:r>
    </w:p>
    <w:p w:rsidR="00500724" w:rsidRDefault="00F30FB8">
      <w:pPr>
        <w:pStyle w:val="Zkladntext100"/>
        <w:shd w:val="clear" w:color="auto" w:fill="auto"/>
        <w:spacing w:line="187" w:lineRule="auto"/>
        <w:ind w:firstLine="320"/>
        <w:rPr>
          <w:sz w:val="19"/>
          <w:szCs w:val="19"/>
        </w:rPr>
      </w:pPr>
      <w:r>
        <w:rPr>
          <w:b/>
          <w:bCs/>
          <w:sz w:val="19"/>
          <w:szCs w:val="19"/>
        </w:rPr>
        <w:t>Rozumí se, že i »S5ovák« se mýlil, když napsal, že čeští úřednici »odssáli« ze Slovenska za dvacet let 14 miliard K. Především částka mezd, vyplacená českým zaměstnancům na Slovensk</w:t>
      </w:r>
      <w:r>
        <w:rPr>
          <w:b/>
          <w:bCs/>
          <w:sz w:val="19"/>
          <w:szCs w:val="19"/>
        </w:rPr>
        <w:t>u za zmíněnou dobu činila asi 12 miliard, ale to není to podstatné. Autor oné věty měl opětně uvážit, že sedm osmin této částky bylo zaplaceno českými poplatní</w:t>
      </w:r>
      <w:r>
        <w:rPr>
          <w:b/>
          <w:bCs/>
          <w:sz w:val="19"/>
          <w:szCs w:val="19"/>
        </w:rPr>
        <w:softHyphen/>
        <w:t>ky, za druhé pak, že tyto peníze nebyly ze Slovenska »odssáty«, nýbrž právě naopak, na Slovensko</w:t>
      </w:r>
      <w:r>
        <w:rPr>
          <w:b/>
          <w:bCs/>
          <w:sz w:val="19"/>
          <w:szCs w:val="19"/>
        </w:rPr>
        <w:t xml:space="preserve"> poslány a tam utraceny. Nehledě k tomu, že to byly peníze za práci. Je ostatně znám podiv maďarských okupačních armád nad množstvím nových krásných velkých budov úřadů, škol, nemocnic, podniků, nad počtem dobrých nových silnic a Jdrah, které na Slovensku </w:t>
      </w:r>
      <w:r>
        <w:rPr>
          <w:b/>
          <w:bCs/>
          <w:sz w:val="19"/>
          <w:szCs w:val="19"/>
        </w:rPr>
        <w:t>nalezli, když část po dvaceti le</w:t>
      </w:r>
      <w:r>
        <w:rPr>
          <w:b/>
          <w:bCs/>
          <w:sz w:val="19"/>
          <w:szCs w:val="19"/>
        </w:rPr>
        <w:softHyphen/>
        <w:t>tech dostali zase zpět. Ale vždyť Slováci sami to vědí a tato pravda pronikne, protože se dívají kolem sebe. Věru, nepromyšlené věty tohoto druhu musíme se naučit posu</w:t>
      </w:r>
      <w:r>
        <w:rPr>
          <w:b/>
          <w:bCs/>
          <w:sz w:val="19"/>
          <w:szCs w:val="19"/>
        </w:rPr>
        <w:softHyphen/>
        <w:t>kovat mírněji a věřit, že fakta a pravda si proraz! ces</w:t>
      </w:r>
      <w:r>
        <w:rPr>
          <w:b/>
          <w:bCs/>
          <w:sz w:val="19"/>
          <w:szCs w:val="19"/>
        </w:rPr>
        <w:t>tu zmatkem a rmutem naší pohnuté doby.</w:t>
      </w:r>
    </w:p>
    <w:p w:rsidR="00500724" w:rsidRDefault="00F30FB8">
      <w:pPr>
        <w:pStyle w:val="Zkladntext100"/>
        <w:shd w:val="clear" w:color="auto" w:fill="auto"/>
        <w:spacing w:line="187" w:lineRule="auto"/>
        <w:ind w:firstLine="320"/>
        <w:rPr>
          <w:sz w:val="19"/>
          <w:szCs w:val="19"/>
        </w:rPr>
      </w:pPr>
      <w:r>
        <w:rPr>
          <w:b/>
          <w:bCs/>
          <w:sz w:val="19"/>
          <w:szCs w:val="19"/>
        </w:rPr>
        <w:t xml:space="preserve">Na tom, jak rozumně a sířízíivě se budeme nyní chovat </w:t>
      </w:r>
      <w:r>
        <w:rPr>
          <w:b/>
          <w:bCs/>
          <w:sz w:val="20"/>
          <w:szCs w:val="20"/>
        </w:rPr>
        <w:t xml:space="preserve">k </w:t>
      </w:r>
      <w:r>
        <w:rPr>
          <w:b/>
          <w:bCs/>
          <w:sz w:val="19"/>
          <w:szCs w:val="19"/>
        </w:rPr>
        <w:t>slovenskému národu, který zápasí s tak velkými hospo</w:t>
      </w:r>
      <w:r>
        <w:rPr>
          <w:b/>
          <w:bCs/>
          <w:sz w:val="19"/>
          <w:szCs w:val="19"/>
        </w:rPr>
        <w:softHyphen/>
        <w:t>dářskými problémy, jak jsme je právě naznačili, záleží ne</w:t>
      </w:r>
      <w:r>
        <w:rPr>
          <w:b/>
          <w:bCs/>
          <w:sz w:val="19"/>
          <w:szCs w:val="19"/>
        </w:rPr>
        <w:softHyphen/>
        <w:t>smírné mnoho. Ale k tomu nutno připomenout, že Slo</w:t>
      </w:r>
      <w:r>
        <w:rPr>
          <w:b/>
          <w:bCs/>
          <w:sz w:val="19"/>
          <w:szCs w:val="19"/>
        </w:rPr>
        <w:softHyphen/>
        <w:t>vensko je také velký problém citový. Opravme proto takové temperamentní a nedomyšlené výroky, ale nevyvozujme z nich nic pro naši ochotu slovenskému ná- rodu pomáhat. Půjčka, kterou slovenská vláda vypsala a jež, aby dosáhla úspěchu, by musila zahrnout 10</w:t>
      </w:r>
      <w:r>
        <w:rPr>
          <w:b/>
          <w:bCs/>
          <w:sz w:val="19"/>
          <w:szCs w:val="19"/>
        </w:rPr>
        <w:t xml:space="preserve"> procent všech vkladů na Slovensku, je příležitost, aby Češi ukázali, </w:t>
      </w:r>
      <w:r>
        <w:rPr>
          <w:b/>
          <w:bCs/>
          <w:sz w:val="19"/>
          <w:szCs w:val="19"/>
          <w:lang w:val="en-US" w:eastAsia="en-US" w:bidi="en-US"/>
        </w:rPr>
        <w:t xml:space="preserve">fee </w:t>
      </w:r>
      <w:r>
        <w:rPr>
          <w:b/>
          <w:bCs/>
          <w:sz w:val="19"/>
          <w:szCs w:val="19"/>
        </w:rPr>
        <w:t>dovedou dělat politiku na generace napřed.</w:t>
      </w:r>
    </w:p>
    <w:p w:rsidR="00500724" w:rsidRDefault="00F30FB8">
      <w:pPr>
        <w:pStyle w:val="Zkladntext20"/>
        <w:shd w:val="clear" w:color="auto" w:fill="auto"/>
        <w:spacing w:line="178" w:lineRule="auto"/>
        <w:ind w:firstLine="0"/>
        <w:jc w:val="right"/>
        <w:rPr>
          <w:sz w:val="20"/>
          <w:szCs w:val="20"/>
        </w:rPr>
      </w:pPr>
      <w:r>
        <w:rPr>
          <w:b/>
          <w:bCs/>
          <w:i/>
          <w:iCs/>
          <w:sz w:val="20"/>
          <w:szCs w:val="20"/>
        </w:rPr>
        <w:t>Cis</w:t>
      </w:r>
    </w:p>
    <w:p w:rsidR="00500724" w:rsidRDefault="00F30FB8">
      <w:pPr>
        <w:pStyle w:val="Zkladntext20"/>
        <w:shd w:val="clear" w:color="auto" w:fill="auto"/>
        <w:spacing w:line="178" w:lineRule="auto"/>
        <w:ind w:firstLine="0"/>
        <w:jc w:val="center"/>
        <w:rPr>
          <w:sz w:val="20"/>
          <w:szCs w:val="20"/>
        </w:rPr>
      </w:pPr>
      <w:r>
        <w:rPr>
          <w:b/>
          <w:bCs/>
          <w:sz w:val="20"/>
          <w:szCs w:val="20"/>
        </w:rPr>
        <w:t>Program Národní strany práce</w:t>
      </w:r>
    </w:p>
    <w:p w:rsidR="00500724" w:rsidRDefault="00F30FB8">
      <w:pPr>
        <w:pStyle w:val="Zkladntext100"/>
        <w:shd w:val="clear" w:color="auto" w:fill="auto"/>
        <w:spacing w:line="185" w:lineRule="auto"/>
        <w:ind w:firstLine="320"/>
        <w:rPr>
          <w:sz w:val="19"/>
          <w:szCs w:val="19"/>
        </w:rPr>
      </w:pPr>
      <w:r>
        <w:rPr>
          <w:b/>
          <w:bCs/>
          <w:sz w:val="19"/>
          <w:szCs w:val="19"/>
        </w:rPr>
        <w:t>Útlý svazeěek, tištěný na šestnácti stránkách drobným, avšak přehledným písmem spíše ve formě letáku, obsa</w:t>
      </w:r>
      <w:r>
        <w:rPr>
          <w:b/>
          <w:bCs/>
          <w:sz w:val="19"/>
          <w:szCs w:val="19"/>
        </w:rPr>
        <w:t>huje první program Národní strany práce. Po stránce formální je zajímavé, že ústřední sekretariát Národní strany práce není v místnostech bývalého generálního sekretariátu čs. sociálně demokratické strany v Hybernské 7, nýbrž v Ce- letné ulici.</w:t>
      </w:r>
    </w:p>
    <w:p w:rsidR="00500724" w:rsidRDefault="00F30FB8">
      <w:pPr>
        <w:pStyle w:val="Zkladntext100"/>
        <w:shd w:val="clear" w:color="auto" w:fill="auto"/>
        <w:spacing w:line="187" w:lineRule="auto"/>
        <w:ind w:firstLine="320"/>
        <w:rPr>
          <w:sz w:val="19"/>
          <w:szCs w:val="19"/>
        </w:rPr>
      </w:pPr>
      <w:r>
        <w:rPr>
          <w:b/>
          <w:bCs/>
          <w:sz w:val="19"/>
          <w:szCs w:val="19"/>
        </w:rPr>
        <w:t>Ale nejenom</w:t>
      </w:r>
      <w:r>
        <w:rPr>
          <w:b/>
          <w:bCs/>
          <w:sz w:val="19"/>
          <w:szCs w:val="19"/>
        </w:rPr>
        <w:t xml:space="preserve"> z tohoto vnějšího znaku, ale z celého obsahu programu je jasně patrno, ŽeNárodnístrana práce nechce být pokračovatelkou sociální demo</w:t>
      </w:r>
      <w:r>
        <w:rPr>
          <w:b/>
          <w:bCs/>
          <w:sz w:val="19"/>
          <w:szCs w:val="19"/>
        </w:rPr>
        <w:softHyphen/>
        <w:t>kracie. Ten, kdo znal sociálně-demokratické doktríny, ne</w:t>
      </w:r>
      <w:r>
        <w:rPr>
          <w:b/>
          <w:bCs/>
          <w:sz w:val="19"/>
          <w:szCs w:val="19"/>
        </w:rPr>
        <w:softHyphen/>
        <w:t>nalézá v zásadách nové strany již teoretické principy so</w:t>
      </w:r>
      <w:r>
        <w:rPr>
          <w:b/>
          <w:bCs/>
          <w:sz w:val="19"/>
          <w:szCs w:val="19"/>
        </w:rPr>
        <w:softHyphen/>
        <w:t xml:space="preserve">ciální </w:t>
      </w:r>
      <w:r>
        <w:rPr>
          <w:b/>
          <w:bCs/>
          <w:sz w:val="19"/>
          <w:szCs w:val="19"/>
        </w:rPr>
        <w:t xml:space="preserve">demokracie. Zbývá z nich jen důsledně sledovaný cíl, dosíci státu organisovaného na principu práce a spravedlivě postupně uplatňované hospodářské demokracie. Ani slovo o socialismu, o třídním boji, o marxismu </w:t>
      </w:r>
      <w:r>
        <w:rPr>
          <w:b/>
          <w:bCs/>
          <w:sz w:val="20"/>
          <w:szCs w:val="20"/>
        </w:rPr>
        <w:t xml:space="preserve">a </w:t>
      </w:r>
      <w:r>
        <w:rPr>
          <w:b/>
          <w:bCs/>
          <w:sz w:val="19"/>
          <w:szCs w:val="19"/>
        </w:rPr>
        <w:t>revoluci! Bývalého českého sociálního demokra</w:t>
      </w:r>
      <w:r>
        <w:rPr>
          <w:b/>
          <w:bCs/>
          <w:sz w:val="19"/>
          <w:szCs w:val="19"/>
        </w:rPr>
        <w:t>ta to Snad může zarazit právě jen po stránce formální, protože to byla hesla, s nimiž se sžil. Ale v těch vrstvách, které tvořily českou sociální demokracii, to nebyla opravdu už po uplynuti prvých let po válce více než hesla a formalitu! fráze. Socialisme</w:t>
      </w:r>
      <w:r>
        <w:rPr>
          <w:b/>
          <w:bCs/>
          <w:sz w:val="19"/>
          <w:szCs w:val="19"/>
        </w:rPr>
        <w:t>m rozuměl náš sociální demokrat postupný, rozumný a umírněný vývoj k hospodářské demokracii a k demokratickému zřízení ve všem všudy vůbec. Marxismu prostě neznal. Lidí, kteří byli teoreticky vzděláni v marxis</w:t>
      </w:r>
      <w:r>
        <w:rPr>
          <w:b/>
          <w:bCs/>
          <w:sz w:val="19"/>
          <w:szCs w:val="19"/>
        </w:rPr>
        <w:softHyphen/>
        <w:t>mu, nebylo v jednom a čtvrt milionu čs. sociál</w:t>
      </w:r>
      <w:r>
        <w:rPr>
          <w:b/>
          <w:bCs/>
          <w:sz w:val="19"/>
          <w:szCs w:val="19"/>
        </w:rPr>
        <w:t>ně-demokra- tických voličů ani tucet a ani jeden z nich neměl význam</w:t>
      </w:r>
      <w:r>
        <w:rPr>
          <w:b/>
          <w:bCs/>
          <w:sz w:val="19"/>
          <w:szCs w:val="19"/>
        </w:rPr>
        <w:softHyphen/>
        <w:t>nější posici ve straně. Je ostatně známo, že ani vůdce strany Hampl nikdy, ani v ohnivých dobách, poválečných o sobě ne</w:t>
      </w:r>
      <w:r>
        <w:rPr>
          <w:b/>
          <w:bCs/>
          <w:sz w:val="19"/>
          <w:szCs w:val="19"/>
        </w:rPr>
        <w:softHyphen/>
        <w:t>řekl, že je marxista; politický vůdce bývalé sociální demokra</w:t>
      </w:r>
      <w:r>
        <w:rPr>
          <w:b/>
          <w:bCs/>
          <w:sz w:val="19"/>
          <w:szCs w:val="19"/>
        </w:rPr>
        <w:softHyphen/>
        <w:t>cie B</w:t>
      </w:r>
      <w:r>
        <w:rPr>
          <w:b/>
          <w:bCs/>
          <w:sz w:val="19"/>
          <w:szCs w:val="19"/>
        </w:rPr>
        <w:t>echyně dokonce mnohokrát a po léta prohlašoval, že je antimarxista, a národohospodářský teoretik sociální demo</w:t>
      </w:r>
      <w:r>
        <w:rPr>
          <w:b/>
          <w:bCs/>
          <w:sz w:val="19"/>
          <w:szCs w:val="19"/>
        </w:rPr>
        <w:softHyphen/>
        <w:t xml:space="preserve">kracie, </w:t>
      </w:r>
      <w:r>
        <w:rPr>
          <w:b/>
          <w:bCs/>
          <w:sz w:val="19"/>
          <w:szCs w:val="19"/>
          <w:lang w:val="en-US" w:eastAsia="en-US" w:bidi="en-US"/>
        </w:rPr>
        <w:t xml:space="preserve">prof. </w:t>
      </w:r>
      <w:r>
        <w:rPr>
          <w:b/>
          <w:bCs/>
          <w:sz w:val="19"/>
          <w:szCs w:val="19"/>
        </w:rPr>
        <w:t>dr. Josef Macek, který ovšem marxismus stu</w:t>
      </w:r>
      <w:r>
        <w:rPr>
          <w:b/>
          <w:bCs/>
          <w:sz w:val="19"/>
          <w:szCs w:val="19"/>
        </w:rPr>
        <w:softHyphen/>
        <w:t>doval důkladně, vynikal již od prvních svých literárních prací v r. 1917 v jeho kritické</w:t>
      </w:r>
      <w:r>
        <w:rPr>
          <w:b/>
          <w:bCs/>
          <w:sz w:val="19"/>
          <w:szCs w:val="19"/>
        </w:rPr>
        <w:t>m odmítání teoretickém vůbec i praktickém v našem státě zvláště.</w:t>
      </w:r>
    </w:p>
    <w:p w:rsidR="00500724" w:rsidRDefault="00F30FB8">
      <w:pPr>
        <w:pStyle w:val="Zkladntext100"/>
        <w:shd w:val="clear" w:color="auto" w:fill="auto"/>
        <w:spacing w:line="190" w:lineRule="auto"/>
        <w:ind w:firstLine="300"/>
        <w:rPr>
          <w:sz w:val="19"/>
          <w:szCs w:val="19"/>
        </w:rPr>
      </w:pPr>
      <w:r>
        <w:rPr>
          <w:b/>
          <w:bCs/>
          <w:sz w:val="19"/>
          <w:szCs w:val="19"/>
        </w:rPr>
        <w:t>V programu Národní strany práce není tedy ani mar</w:t>
      </w:r>
      <w:r>
        <w:rPr>
          <w:b/>
          <w:bCs/>
          <w:sz w:val="19"/>
          <w:szCs w:val="19"/>
        </w:rPr>
        <w:softHyphen/>
        <w:t>xismus, ani třídní boj, ani revoluěnost. Odstraňuje-li pro</w:t>
      </w:r>
      <w:r>
        <w:rPr>
          <w:b/>
          <w:bCs/>
          <w:sz w:val="19"/>
          <w:szCs w:val="19"/>
        </w:rPr>
        <w:softHyphen/>
        <w:t xml:space="preserve">gram Národní strany práce tyto pojmy, přibližuje se tím skutečnému životu a </w:t>
      </w:r>
      <w:r>
        <w:rPr>
          <w:b/>
          <w:bCs/>
          <w:sz w:val="19"/>
          <w:szCs w:val="19"/>
        </w:rPr>
        <w:t>smýšlení našeho pracujícího člověka, který je rozumně pokrokový, střízlivý a upřímně vlaste</w:t>
      </w:r>
      <w:r>
        <w:rPr>
          <w:b/>
          <w:bCs/>
          <w:sz w:val="19"/>
          <w:szCs w:val="19"/>
        </w:rPr>
        <w:softHyphen/>
        <w:t>necký, ačkoliv těžce snáší, když se někdo vlastenectvím chvástá. To ostatně už jednou výborně vystihl v jedné své premierské řeči dr. Hodža, když mluvil o ryzím a o</w:t>
      </w:r>
      <w:r>
        <w:rPr>
          <w:b/>
          <w:bCs/>
          <w:sz w:val="19"/>
          <w:szCs w:val="19"/>
        </w:rPr>
        <w:t>bětavém vlastenectví českých dělníků k novinářům, nemýlíme-li se, právě před dvěma roky.</w:t>
      </w:r>
    </w:p>
    <w:p w:rsidR="00500724" w:rsidRDefault="00F30FB8">
      <w:pPr>
        <w:pStyle w:val="Zkladntext100"/>
        <w:shd w:val="clear" w:color="auto" w:fill="auto"/>
        <w:spacing w:line="190" w:lineRule="auto"/>
        <w:ind w:firstLine="300"/>
        <w:rPr>
          <w:sz w:val="19"/>
          <w:szCs w:val="19"/>
        </w:rPr>
      </w:pPr>
      <w:r>
        <w:rPr>
          <w:b/>
          <w:bCs/>
          <w:sz w:val="19"/>
          <w:szCs w:val="19"/>
        </w:rPr>
        <w:t>Podívejme se alespoň stručně na stěžejní rysy tohoto programu. Jsou shrnuty asi v těchto hlavních větách, z nichž pak vyvěrá všechen další program a návrhy, jak jej us</w:t>
      </w:r>
      <w:r>
        <w:rPr>
          <w:b/>
          <w:bCs/>
          <w:sz w:val="19"/>
          <w:szCs w:val="19"/>
        </w:rPr>
        <w:t>ku</w:t>
      </w:r>
      <w:r>
        <w:rPr>
          <w:b/>
          <w:bCs/>
          <w:sz w:val="19"/>
          <w:szCs w:val="19"/>
        </w:rPr>
        <w:softHyphen/>
        <w:t>tečňovat do detailů:</w:t>
      </w:r>
    </w:p>
    <w:p w:rsidR="00500724" w:rsidRDefault="00F30FB8">
      <w:pPr>
        <w:pStyle w:val="Zkladntext100"/>
        <w:shd w:val="clear" w:color="auto" w:fill="auto"/>
        <w:spacing w:line="190" w:lineRule="auto"/>
        <w:ind w:firstLine="300"/>
        <w:rPr>
          <w:sz w:val="19"/>
          <w:szCs w:val="19"/>
        </w:rPr>
      </w:pPr>
      <w:r>
        <w:rPr>
          <w:b/>
          <w:bCs/>
          <w:sz w:val="19"/>
          <w:szCs w:val="19"/>
        </w:rPr>
        <w:t>»Národní strana práce,« píše se v tomto programu, xsdružuje k politické činnosti muže a ženy, kteří usilují o postupné sice, ale hluboké změny v dnešním řádu spole</w:t>
      </w:r>
      <w:r>
        <w:rPr>
          <w:b/>
          <w:bCs/>
          <w:sz w:val="19"/>
          <w:szCs w:val="19"/>
        </w:rPr>
        <w:softHyphen/>
        <w:t xml:space="preserve">čenském, a to směrem k sociální spravedlnosti, k hmotnému blahobytu </w:t>
      </w:r>
      <w:r>
        <w:rPr>
          <w:b/>
          <w:bCs/>
          <w:sz w:val="19"/>
          <w:szCs w:val="19"/>
        </w:rPr>
        <w:t>a k mravnímu povznesení všeho pracujícího lidu v rámci obecného dobra národního. Těchto cílů je mož</w:t>
      </w:r>
      <w:r>
        <w:rPr>
          <w:b/>
          <w:bCs/>
          <w:sz w:val="19"/>
          <w:szCs w:val="19"/>
        </w:rPr>
        <w:softHyphen/>
        <w:t>no dosahovat! jen ve státě právním, v němž zákon zavazuje stejně toho, kdo jej vydává, jako toho, komu je určen. Strana práce chce hájit zásadu takového prá</w:t>
      </w:r>
      <w:r>
        <w:rPr>
          <w:b/>
          <w:bCs/>
          <w:sz w:val="19"/>
          <w:szCs w:val="19"/>
        </w:rPr>
        <w:t>vního řádu, jehož předpisy se mohou měnit jen za souhlasu občanstva, čili způsobem demokratickým. Vlastenectví — praví se dále — je účinná láska k národu. Kdo to uznává, nemůže lho</w:t>
      </w:r>
      <w:r>
        <w:rPr>
          <w:b/>
          <w:bCs/>
          <w:sz w:val="19"/>
          <w:szCs w:val="19"/>
        </w:rPr>
        <w:softHyphen/>
        <w:t>stejně chodit kolem hromadných případů nezaviněné chu</w:t>
      </w:r>
      <w:r>
        <w:rPr>
          <w:b/>
          <w:bCs/>
          <w:sz w:val="19"/>
          <w:szCs w:val="19"/>
        </w:rPr>
        <w:softHyphen/>
        <w:t>doby a ponížení, a ne</w:t>
      </w:r>
      <w:r>
        <w:rPr>
          <w:b/>
          <w:bCs/>
          <w:sz w:val="19"/>
          <w:szCs w:val="19"/>
        </w:rPr>
        <w:t>zasloužených zisků a výsad. Národní solidarita zavazuje k sociální spravedlnosti. Hlavní příčinou nezaviněné chudoby je dnes nezaměstnanost, nepravidelnost práce a nízké pracovní příjmy u velké většiny pracujících lidí.«</w:t>
      </w:r>
    </w:p>
    <w:p w:rsidR="00500724" w:rsidRDefault="00F30FB8">
      <w:pPr>
        <w:pStyle w:val="Zkladntext100"/>
        <w:shd w:val="clear" w:color="auto" w:fill="auto"/>
        <w:spacing w:line="190" w:lineRule="auto"/>
        <w:ind w:firstLine="300"/>
        <w:rPr>
          <w:sz w:val="19"/>
          <w:szCs w:val="19"/>
        </w:rPr>
      </w:pPr>
      <w:r>
        <w:rPr>
          <w:b/>
          <w:bCs/>
          <w:sz w:val="19"/>
          <w:szCs w:val="19"/>
        </w:rPr>
        <w:t>Program dále mluví o vytvoření příz</w:t>
      </w:r>
      <w:r>
        <w:rPr>
          <w:b/>
          <w:bCs/>
          <w:sz w:val="19"/>
          <w:szCs w:val="19"/>
        </w:rPr>
        <w:t>nivých podmínek pro podnikání solidní, af soukromé nebo veřejné, a o tom, jak to zařídit, aby námezdní pracovnici nebyli bezbrannými obětml chyb, jichž se dopustí podnikatelé, jejich bankovní věřitelé a státní byrokracie. Upozorňuje na politiku levných pen</w:t>
      </w:r>
      <w:r>
        <w:rPr>
          <w:b/>
          <w:bCs/>
          <w:sz w:val="19"/>
          <w:szCs w:val="19"/>
        </w:rPr>
        <w:t>ěz a na potřebu reforem pracovního poměru směrem k hospodářské demokracii, staví se proti inflaci i deflací a žádá, aby banky byly omezeny zákonem na to, aby byly jen věřitelkami, nikoliv spolumajitelkami jiných podniků. Žádá se dále zdanění kapitálového v</w:t>
      </w:r>
      <w:r>
        <w:rPr>
          <w:b/>
          <w:bCs/>
          <w:sz w:val="19"/>
          <w:szCs w:val="19"/>
        </w:rPr>
        <w:t>ýnosu u zdroje, pro</w:t>
      </w:r>
      <w:r>
        <w:rPr>
          <w:b/>
          <w:bCs/>
          <w:sz w:val="19"/>
          <w:szCs w:val="19"/>
        </w:rPr>
        <w:softHyphen/>
        <w:t>vedení zásady vzestupného zdanění důchodů, odstranění ne</w:t>
      </w:r>
      <w:r>
        <w:rPr>
          <w:b/>
          <w:bCs/>
          <w:sz w:val="19"/>
          <w:szCs w:val="19"/>
        </w:rPr>
        <w:softHyphen/>
        <w:t>zdravého zjevu, že v našem daňovém systému převládají spotřební daně, zdanění pozemkové a bursovní spekulace. Důležitý je návrh na reformu pracovního poměru (veřej</w:t>
      </w:r>
      <w:r>
        <w:rPr>
          <w:b/>
          <w:bCs/>
          <w:sz w:val="19"/>
          <w:szCs w:val="19"/>
        </w:rPr>
        <w:softHyphen/>
        <w:t xml:space="preserve">ného povinného </w:t>
      </w:r>
      <w:r>
        <w:rPr>
          <w:b/>
          <w:bCs/>
          <w:sz w:val="19"/>
          <w:szCs w:val="19"/>
        </w:rPr>
        <w:t>zprostředkování práce) zavedením sociál</w:t>
      </w:r>
      <w:r>
        <w:rPr>
          <w:b/>
          <w:bCs/>
          <w:sz w:val="19"/>
          <w:szCs w:val="19"/>
        </w:rPr>
        <w:softHyphen/>
        <w:t>ních mezd (t. j. odstupňovaných podle velikosti rodin). což ovšem předpokládá zřízení vyrovnávacího fondu, aby za</w:t>
      </w:r>
      <w:r>
        <w:rPr>
          <w:b/>
          <w:bCs/>
          <w:sz w:val="19"/>
          <w:szCs w:val="19"/>
        </w:rPr>
        <w:softHyphen/>
        <w:t>městnavatelé nedávali přednost svobodným a bezdětným zaměstnancům.</w:t>
      </w:r>
    </w:p>
    <w:p w:rsidR="00500724" w:rsidRDefault="00F30FB8">
      <w:pPr>
        <w:pStyle w:val="Zkladntext100"/>
        <w:shd w:val="clear" w:color="auto" w:fill="auto"/>
        <w:spacing w:line="190" w:lineRule="auto"/>
        <w:ind w:firstLine="300"/>
        <w:rPr>
          <w:sz w:val="19"/>
          <w:szCs w:val="19"/>
        </w:rPr>
      </w:pPr>
      <w:r>
        <w:rPr>
          <w:b/>
          <w:bCs/>
          <w:sz w:val="19"/>
          <w:szCs w:val="19"/>
        </w:rPr>
        <w:t>Ve státní správě se žádá větší osob</w:t>
      </w:r>
      <w:r>
        <w:rPr>
          <w:b/>
          <w:bCs/>
          <w:sz w:val="19"/>
          <w:szCs w:val="19"/>
        </w:rPr>
        <w:t>ní odpovědnost, ručení státu za škodu, kterou zaviní jeho úředníci, účast veřejno</w:t>
      </w:r>
      <w:r>
        <w:rPr>
          <w:b/>
          <w:bCs/>
          <w:sz w:val="19"/>
          <w:szCs w:val="19"/>
        </w:rPr>
        <w:softHyphen/>
        <w:t>právních korporací, decentralisace a reforma vůbec. Zdů</w:t>
      </w:r>
      <w:r>
        <w:rPr>
          <w:b/>
          <w:bCs/>
          <w:sz w:val="19"/>
          <w:szCs w:val="19"/>
        </w:rPr>
        <w:softHyphen/>
        <w:t>razňuje se potřeba pokroku, reforma vzdělání, rovnopráv</w:t>
      </w:r>
      <w:r>
        <w:rPr>
          <w:b/>
          <w:bCs/>
          <w:sz w:val="19"/>
          <w:szCs w:val="19"/>
        </w:rPr>
        <w:softHyphen/>
        <w:t>nost muže a ženy, v zemědělství protispekulaění zákony na ochr</w:t>
      </w:r>
      <w:r>
        <w:rPr>
          <w:b/>
          <w:bCs/>
          <w:sz w:val="19"/>
          <w:szCs w:val="19"/>
        </w:rPr>
        <w:t xml:space="preserve">anu majitelů pozemků skutečně na nich pracujících, kommasace, meliorace, rekultivace a rozšíření kulturních a technických vymožeností na venkov, spojení sezónní práce s domáckou. Pro živnosti a řemesla zlepšení přípravy </w:t>
      </w:r>
      <w:r>
        <w:rPr>
          <w:i/>
          <w:iCs/>
          <w:sz w:val="20"/>
          <w:szCs w:val="20"/>
        </w:rPr>
        <w:t>a,</w:t>
      </w:r>
      <w:r>
        <w:rPr>
          <w:b/>
          <w:bCs/>
          <w:sz w:val="19"/>
          <w:szCs w:val="19"/>
        </w:rPr>
        <w:t xml:space="preserve"> re</w:t>
      </w:r>
      <w:r>
        <w:rPr>
          <w:b/>
          <w:bCs/>
          <w:sz w:val="19"/>
          <w:szCs w:val="19"/>
        </w:rPr>
        <w:softHyphen/>
        <w:t>forma vzdělání, družstevnictví</w:t>
      </w:r>
      <w:r>
        <w:rPr>
          <w:b/>
          <w:bCs/>
          <w:sz w:val="19"/>
          <w:szCs w:val="19"/>
        </w:rPr>
        <w:t xml:space="preserve"> vůbec, kontrola veřejných dodávek, levný úvěr a pomoc malopodnikům, aby mohly čelit novým soutěžním formám velkopodniků. V sociálním pojištění žádá se celková reforma, zavedení vdovského dů</w:t>
      </w:r>
      <w:r>
        <w:rPr>
          <w:b/>
          <w:bCs/>
          <w:sz w:val="19"/>
          <w:szCs w:val="19"/>
        </w:rPr>
        <w:softHyphen/>
        <w:t>chodu, pojištění proti nezaměstnanosti, snížení starobní vě</w:t>
      </w:r>
      <w:r>
        <w:rPr>
          <w:b/>
          <w:bCs/>
          <w:sz w:val="19"/>
          <w:szCs w:val="19"/>
        </w:rPr>
        <w:softHyphen/>
        <w:t xml:space="preserve">kové </w:t>
      </w:r>
      <w:r>
        <w:rPr>
          <w:b/>
          <w:bCs/>
          <w:sz w:val="19"/>
          <w:szCs w:val="19"/>
        </w:rPr>
        <w:t>hranice, péče bytová, zdravotní, školní (zvýšení věkové hranice pro docházku do školy) a rozšířeni pravomoci živ</w:t>
      </w:r>
      <w:r>
        <w:rPr>
          <w:b/>
          <w:bCs/>
          <w:sz w:val="19"/>
          <w:szCs w:val="19"/>
        </w:rPr>
        <w:softHyphen/>
        <w:t>nostenských inspektorů. K tomu se pojí zajímavé a po</w:t>
      </w:r>
      <w:r>
        <w:rPr>
          <w:b/>
          <w:bCs/>
          <w:sz w:val="19"/>
          <w:szCs w:val="19"/>
        </w:rPr>
        <w:softHyphen/>
        <w:t>drobné návrhy na reformu školství vůbec.</w:t>
      </w:r>
    </w:p>
    <w:p w:rsidR="00500724" w:rsidRDefault="00F30FB8">
      <w:pPr>
        <w:pStyle w:val="Zkladntext100"/>
        <w:shd w:val="clear" w:color="auto" w:fill="auto"/>
        <w:spacing w:line="190" w:lineRule="auto"/>
        <w:ind w:firstLine="380"/>
        <w:rPr>
          <w:sz w:val="19"/>
          <w:szCs w:val="19"/>
        </w:rPr>
      </w:pPr>
      <w:r>
        <w:rPr>
          <w:b/>
          <w:bCs/>
          <w:sz w:val="19"/>
          <w:szCs w:val="19"/>
        </w:rPr>
        <w:t>Ve státní politice se doporučuje sjednocení práva</w:t>
      </w:r>
      <w:r>
        <w:rPr>
          <w:b/>
          <w:bCs/>
          <w:sz w:val="19"/>
          <w:szCs w:val="19"/>
        </w:rPr>
        <w:t>, jasné rozlišování moci zákonodárné, vládni a soudní, poměrné za</w:t>
      </w:r>
      <w:r>
        <w:rPr>
          <w:b/>
          <w:bCs/>
          <w:sz w:val="19"/>
          <w:szCs w:val="19"/>
        </w:rPr>
        <w:softHyphen/>
        <w:t>stoupení, odstranění vázaných kandidátních listin a reversů, veřejná kontrola příjmů stran, zejména výdajů při volbách. V zahraniční politice neutralisace státu, dobré styky se sou</w:t>
      </w:r>
      <w:r>
        <w:rPr>
          <w:b/>
          <w:bCs/>
          <w:sz w:val="19"/>
          <w:szCs w:val="19"/>
        </w:rPr>
        <w:softHyphen/>
        <w:t>sedy a tě</w:t>
      </w:r>
      <w:r>
        <w:rPr>
          <w:b/>
          <w:bCs/>
          <w:sz w:val="19"/>
          <w:szCs w:val="19"/>
        </w:rPr>
        <w:t>mi státy, s nimiž nás pojí tradice, kultura a hospo</w:t>
      </w:r>
      <w:r>
        <w:rPr>
          <w:b/>
          <w:bCs/>
          <w:sz w:val="19"/>
          <w:szCs w:val="19"/>
        </w:rPr>
        <w:softHyphen/>
        <w:t>dářské zájmy, dobrý styk s Čechy za hranicemi a mír doma.</w:t>
      </w:r>
    </w:p>
    <w:p w:rsidR="00500724" w:rsidRDefault="00F30FB8">
      <w:pPr>
        <w:pStyle w:val="Zkladntext100"/>
        <w:shd w:val="clear" w:color="auto" w:fill="auto"/>
        <w:tabs>
          <w:tab w:val="left" w:pos="4723"/>
        </w:tabs>
        <w:spacing w:after="140" w:line="190" w:lineRule="auto"/>
        <w:ind w:firstLine="380"/>
        <w:rPr>
          <w:sz w:val="19"/>
          <w:szCs w:val="19"/>
        </w:rPr>
      </w:pPr>
      <w:r>
        <w:rPr>
          <w:b/>
          <w:bCs/>
          <w:sz w:val="19"/>
          <w:szCs w:val="19"/>
        </w:rPr>
        <w:t>Celkem tedy lze shrnouti tento program do dvou bodů: v domácí politice opravdová demokratičnost i v rámci dvou stran, sociální spravedlnost a cest</w:t>
      </w:r>
      <w:r>
        <w:rPr>
          <w:b/>
          <w:bCs/>
          <w:sz w:val="19"/>
          <w:szCs w:val="19"/>
        </w:rPr>
        <w:t>a k hospodářské demo</w:t>
      </w:r>
      <w:r>
        <w:rPr>
          <w:b/>
          <w:bCs/>
          <w:sz w:val="19"/>
          <w:szCs w:val="19"/>
        </w:rPr>
        <w:softHyphen/>
        <w:t>kracii, v zahraniční politice neutralisace republiky s ideálem světové spolupráce a míru. Je to program jasný, prokazující vzdělanost a umírněnost autorů.</w:t>
      </w:r>
      <w:r>
        <w:rPr>
          <w:b/>
          <w:bCs/>
          <w:sz w:val="19"/>
          <w:szCs w:val="19"/>
        </w:rPr>
        <w:tab/>
      </w:r>
      <w:r>
        <w:rPr>
          <w:b/>
          <w:bCs/>
          <w:i/>
          <w:iCs/>
          <w:sz w:val="19"/>
          <w:szCs w:val="19"/>
        </w:rPr>
        <w:t>Gis</w:t>
      </w:r>
    </w:p>
    <w:p w:rsidR="00500724" w:rsidRDefault="00F30FB8">
      <w:pPr>
        <w:pStyle w:val="Zkladntext20"/>
        <w:shd w:val="clear" w:color="auto" w:fill="auto"/>
        <w:spacing w:after="80" w:line="178" w:lineRule="auto"/>
        <w:ind w:firstLine="0"/>
        <w:jc w:val="center"/>
        <w:rPr>
          <w:sz w:val="20"/>
          <w:szCs w:val="20"/>
        </w:rPr>
      </w:pPr>
      <w:r>
        <w:rPr>
          <w:b/>
          <w:bCs/>
          <w:sz w:val="20"/>
          <w:szCs w:val="20"/>
        </w:rPr>
        <w:t>Maďarské řešení židovské otázky</w:t>
      </w:r>
    </w:p>
    <w:p w:rsidR="00500724" w:rsidRDefault="00F30FB8">
      <w:pPr>
        <w:pStyle w:val="Zkladntext100"/>
        <w:shd w:val="clear" w:color="auto" w:fill="auto"/>
        <w:spacing w:line="187" w:lineRule="auto"/>
        <w:ind w:firstLine="380"/>
        <w:rPr>
          <w:sz w:val="19"/>
          <w:szCs w:val="19"/>
        </w:rPr>
      </w:pPr>
      <w:r>
        <w:rPr>
          <w:b/>
          <w:bCs/>
          <w:sz w:val="19"/>
          <w:szCs w:val="19"/>
        </w:rPr>
        <w:t>Ačkoliv se ani nová maďarská vláda nemůže vz</w:t>
      </w:r>
      <w:r>
        <w:rPr>
          <w:b/>
          <w:bCs/>
          <w:sz w:val="19"/>
          <w:szCs w:val="19"/>
        </w:rPr>
        <w:t>dát předloh, upravujících postavení židovského obyvatelstva, je dnes už jisté, že nové řešení nebude mít za základ ra</w:t>
      </w:r>
      <w:r>
        <w:rPr>
          <w:b/>
          <w:bCs/>
          <w:sz w:val="19"/>
          <w:szCs w:val="19"/>
        </w:rPr>
        <w:softHyphen/>
        <w:t>sové směrnice. Změny v předloze nejsou jenom výsled</w:t>
      </w:r>
      <w:r>
        <w:rPr>
          <w:b/>
          <w:bCs/>
          <w:sz w:val="19"/>
          <w:szCs w:val="19"/>
        </w:rPr>
        <w:softHyphen/>
        <w:t>kem toho, že oposice podala na 150 pozměňovacích návrhů a že se horní sněmovna chová k</w:t>
      </w:r>
      <w:r>
        <w:rPr>
          <w:b/>
          <w:bCs/>
          <w:sz w:val="19"/>
          <w:szCs w:val="19"/>
        </w:rPr>
        <w:t xml:space="preserve"> vládnímu návrhu odmí</w:t>
      </w:r>
      <w:r>
        <w:rPr>
          <w:b/>
          <w:bCs/>
          <w:sz w:val="19"/>
          <w:szCs w:val="19"/>
        </w:rPr>
        <w:softHyphen/>
        <w:t>tavě, důležitější je, že vládní návrh přihlíží k jednotlivým kategoriím židovského obyvatelstva. Podporuje-li na pří</w:t>
      </w:r>
      <w:r>
        <w:rPr>
          <w:b/>
          <w:bCs/>
          <w:sz w:val="19"/>
          <w:szCs w:val="19"/>
        </w:rPr>
        <w:softHyphen/>
        <w:t>klad Teiekiho vládu v této věci dokonce i strana nezávis</w:t>
      </w:r>
      <w:r>
        <w:rPr>
          <w:b/>
          <w:bCs/>
          <w:sz w:val="19"/>
          <w:szCs w:val="19"/>
        </w:rPr>
        <w:softHyphen/>
        <w:t>lých zemědělců — byť jen do určité míry — činí tak hlavně pr</w:t>
      </w:r>
      <w:r>
        <w:rPr>
          <w:b/>
          <w:bCs/>
          <w:sz w:val="19"/>
          <w:szCs w:val="19"/>
        </w:rPr>
        <w:t>oto, že od vlády očekává »syníhesi mezi evropským a slušným maďarským řešením židovské otázky«, jak to ve sněmovně prohlásil poslanec Eckhardt. I vláda podává k původní předloze pozměňovací a zmírňovací návrhy, spočívající hlavně v tom, že se rozeznává mez</w:t>
      </w:r>
      <w:r>
        <w:rPr>
          <w:b/>
          <w:bCs/>
          <w:sz w:val="19"/>
          <w:szCs w:val="19"/>
        </w:rPr>
        <w:t>i židy, kteří byli maďarskými občany již před r. 1914 a hlásili se sa- mozřejmě za Maďary — a židy, kteří se do země přistě</w:t>
      </w:r>
      <w:r>
        <w:rPr>
          <w:b/>
          <w:bCs/>
          <w:sz w:val="19"/>
          <w:szCs w:val="19"/>
        </w:rPr>
        <w:softHyphen/>
        <w:t>hovali teprve za války a po válce z východních krajů Evropy, především z Haliče. Tito židé se za Maďary ne</w:t>
      </w:r>
      <w:r>
        <w:rPr>
          <w:b/>
          <w:bCs/>
          <w:sz w:val="19"/>
          <w:szCs w:val="19"/>
        </w:rPr>
        <w:softHyphen/>
        <w:t>hlásili a s maďarským oby</w:t>
      </w:r>
      <w:r>
        <w:rPr>
          <w:b/>
          <w:bCs/>
          <w:sz w:val="19"/>
          <w:szCs w:val="19"/>
        </w:rPr>
        <w:t>vatelstvem také nesplynnii. Další kategorii, kterou nová úprava nepostihne, budou židé, pokřtění před 1. lednem 1938, neboť církev stojí i na</w:t>
      </w:r>
      <w:r>
        <w:rPr>
          <w:b/>
          <w:bCs/>
          <w:sz w:val="19"/>
          <w:szCs w:val="19"/>
        </w:rPr>
        <w:softHyphen/>
        <w:t>dále na stanovisku, že pokřtění židé jsou rovnoprávnými členy křesťanského bratrstva. V diskusi, která se nyní v m</w:t>
      </w:r>
      <w:r>
        <w:rPr>
          <w:b/>
          <w:bCs/>
          <w:sz w:val="19"/>
          <w:szCs w:val="19"/>
        </w:rPr>
        <w:t>aďarské sněmovně o židovských předlohách vede, zdů</w:t>
      </w:r>
      <w:r>
        <w:rPr>
          <w:b/>
          <w:bCs/>
          <w:sz w:val="19"/>
          <w:szCs w:val="19"/>
        </w:rPr>
        <w:softHyphen/>
        <w:t>razňují vládní i oposiční poslanci, že část židů musí býti uznána za plnoprávné maďarské občany. Právě z diskuse je vidět, jak daleko mají projednávané předlohy k raso</w:t>
      </w:r>
      <w:r>
        <w:rPr>
          <w:b/>
          <w:bCs/>
          <w:sz w:val="19"/>
          <w:szCs w:val="19"/>
        </w:rPr>
        <w:softHyphen/>
        <w:t>vému hiedisku.</w:t>
      </w:r>
    </w:p>
    <w:p w:rsidR="00500724" w:rsidRDefault="00F30FB8">
      <w:pPr>
        <w:pStyle w:val="Zkladntext100"/>
        <w:shd w:val="clear" w:color="auto" w:fill="auto"/>
        <w:spacing w:line="185" w:lineRule="auto"/>
        <w:ind w:firstLine="380"/>
        <w:rPr>
          <w:sz w:val="19"/>
          <w:szCs w:val="19"/>
        </w:rPr>
      </w:pPr>
      <w:r>
        <w:rPr>
          <w:b/>
          <w:bCs/>
          <w:sz w:val="19"/>
          <w:szCs w:val="19"/>
        </w:rPr>
        <w:t>Posíanee dr. M a k r a</w:t>
      </w:r>
      <w:r>
        <w:rPr>
          <w:b/>
          <w:bCs/>
          <w:sz w:val="19"/>
          <w:szCs w:val="19"/>
        </w:rPr>
        <w:t xml:space="preserve"> y (křesť. sjednocení): »Za celou dobu své parlamentní činnosti nestál jsem ještě nikdy před situací tak těžkou, jako dnes, poněvadž musím mluviti o židovské předloze, která pro židy znamená boj na život a na smrt. Tragedie maďarského historického židov</w:t>
      </w:r>
      <w:r>
        <w:rPr>
          <w:b/>
          <w:bCs/>
          <w:sz w:val="19"/>
          <w:szCs w:val="19"/>
        </w:rPr>
        <w:softHyphen/>
        <w:t>st</w:t>
      </w:r>
      <w:r>
        <w:rPr>
          <w:b/>
          <w:bCs/>
          <w:sz w:val="19"/>
          <w:szCs w:val="19"/>
        </w:rPr>
        <w:t>va spočívá v tom, že se nepostavilo proti snahám přistě</w:t>
      </w:r>
      <w:r>
        <w:rPr>
          <w:b/>
          <w:bCs/>
          <w:sz w:val="19"/>
          <w:szCs w:val="19"/>
        </w:rPr>
        <w:softHyphen/>
        <w:t>hovalých východních židů. Církev se bude i nadále zasazo</w:t>
      </w:r>
      <w:r>
        <w:rPr>
          <w:b/>
          <w:bCs/>
          <w:sz w:val="19"/>
          <w:szCs w:val="19"/>
        </w:rPr>
        <w:softHyphen/>
        <w:t>vat! za pokřtěné židy ...«</w:t>
      </w:r>
    </w:p>
    <w:p w:rsidR="00500724" w:rsidRDefault="00F30FB8">
      <w:pPr>
        <w:pStyle w:val="Zkladntext100"/>
        <w:shd w:val="clear" w:color="auto" w:fill="auto"/>
        <w:spacing w:line="185" w:lineRule="auto"/>
        <w:ind w:firstLine="380"/>
        <w:rPr>
          <w:sz w:val="19"/>
          <w:szCs w:val="19"/>
        </w:rPr>
      </w:pPr>
      <w:r>
        <w:rPr>
          <w:b/>
          <w:bCs/>
          <w:sz w:val="19"/>
          <w:szCs w:val="19"/>
        </w:rPr>
        <w:t>Poslanec Eckhardt (strana nezávislých malozemě- dělců): »Židovská otázka existuje, ale musí býti řešena slušně a def</w:t>
      </w:r>
      <w:r>
        <w:rPr>
          <w:b/>
          <w:bCs/>
          <w:sz w:val="19"/>
          <w:szCs w:val="19"/>
        </w:rPr>
        <w:t xml:space="preserve">initivně ... Zastávám názor, že jistá kategorie židů </w:t>
      </w:r>
      <w:r>
        <w:rPr>
          <w:b/>
          <w:bCs/>
          <w:sz w:val="19"/>
          <w:szCs w:val="19"/>
          <w:lang w:val="en-US" w:eastAsia="en-US" w:bidi="en-US"/>
        </w:rPr>
        <w:t xml:space="preserve">must </w:t>
      </w:r>
      <w:r>
        <w:rPr>
          <w:b/>
          <w:bCs/>
          <w:sz w:val="19"/>
          <w:szCs w:val="19"/>
        </w:rPr>
        <w:t>býti uznána za rovnocenné Maďary... Židé, kteři se přistěhovali po r. 1914, musí býti bezpodmínečně odstraněni, ale jest nám dbáti, aby se neodstěhovali právě nejhodnotnější a nejcitlivější lidé. Vy</w:t>
      </w:r>
      <w:r>
        <w:rPr>
          <w:b/>
          <w:bCs/>
          <w:sz w:val="19"/>
          <w:szCs w:val="19"/>
        </w:rPr>
        <w:t>stěhovalectví musí býti upraveno státem.« Odmítaje pak jakákoliv přehánění v židovské otázce, poslanec Eckhardt připomněl: »Taková přehánění připomínají Montesquieuova černocha, který sťai celý strom, aby dosáhl na datle... Židovská otázka má také svou mez</w:t>
      </w:r>
      <w:r>
        <w:rPr>
          <w:b/>
          <w:bCs/>
          <w:sz w:val="19"/>
          <w:szCs w:val="19"/>
        </w:rPr>
        <w:t>inárodni stránku. Po návratu z Itálie mi</w:t>
      </w:r>
      <w:r>
        <w:rPr>
          <w:b/>
          <w:bCs/>
          <w:sz w:val="19"/>
          <w:szCs w:val="19"/>
        </w:rPr>
        <w:softHyphen/>
        <w:t xml:space="preserve">nisterský předseda </w:t>
      </w:r>
      <w:r>
        <w:rPr>
          <w:b/>
          <w:bCs/>
          <w:sz w:val="19"/>
          <w:szCs w:val="19"/>
          <w:lang w:val="en-US" w:eastAsia="en-US" w:bidi="en-US"/>
        </w:rPr>
        <w:t xml:space="preserve">Chamberlain </w:t>
      </w:r>
      <w:r>
        <w:rPr>
          <w:b/>
          <w:bCs/>
          <w:sz w:val="19"/>
          <w:szCs w:val="19"/>
        </w:rPr>
        <w:t xml:space="preserve">prohlásil, že 1 </w:t>
      </w:r>
      <w:r>
        <w:rPr>
          <w:b/>
          <w:bCs/>
          <w:sz w:val="19"/>
          <w:szCs w:val="19"/>
          <w:lang w:val="en-US" w:eastAsia="en-US" w:bidi="en-US"/>
        </w:rPr>
        <w:t xml:space="preserve">Mussolini </w:t>
      </w:r>
      <w:r>
        <w:rPr>
          <w:b/>
          <w:bCs/>
          <w:sz w:val="19"/>
          <w:szCs w:val="19"/>
        </w:rPr>
        <w:t>považuje židovskou otázku za mezinárodní problém. Cítil bych se lépe, kdybych věděl, že těmto předlohám předchá</w:t>
      </w:r>
      <w:r>
        <w:rPr>
          <w:b/>
          <w:bCs/>
          <w:sz w:val="19"/>
          <w:szCs w:val="19"/>
        </w:rPr>
        <w:softHyphen/>
        <w:t>zela důkladná mezistátní jednání.«</w:t>
      </w:r>
    </w:p>
    <w:p w:rsidR="00500724" w:rsidRDefault="00F30FB8">
      <w:pPr>
        <w:pStyle w:val="Zkladntext100"/>
        <w:shd w:val="clear" w:color="auto" w:fill="auto"/>
        <w:spacing w:line="187" w:lineRule="auto"/>
        <w:ind w:firstLine="320"/>
        <w:rPr>
          <w:sz w:val="19"/>
          <w:szCs w:val="19"/>
        </w:rPr>
      </w:pPr>
      <w:r>
        <w:rPr>
          <w:b/>
          <w:bCs/>
          <w:sz w:val="19"/>
          <w:szCs w:val="19"/>
        </w:rPr>
        <w:t xml:space="preserve">Ani </w:t>
      </w:r>
      <w:r>
        <w:rPr>
          <w:b/>
          <w:bCs/>
          <w:sz w:val="19"/>
          <w:szCs w:val="19"/>
        </w:rPr>
        <w:t>Maďarsko, pro něž je židovská otázka mnohem ožehavější, než pro některé jiné státy v podunajské oblasti, neřeší tedy tento problém s rasového hlediska. Máme-li tomu správně rozumět, musíme uvážit, že počet židů stoupl v Maďarsku velmi rychle ze 120.000 tém</w:t>
      </w:r>
      <w:r>
        <w:rPr>
          <w:b/>
          <w:bCs/>
          <w:sz w:val="19"/>
          <w:szCs w:val="19"/>
        </w:rPr>
        <w:t>ěř na mi</w:t>
      </w:r>
      <w:r>
        <w:rPr>
          <w:b/>
          <w:bCs/>
          <w:sz w:val="19"/>
          <w:szCs w:val="19"/>
        </w:rPr>
        <w:softHyphen/>
        <w:t>lion a že maďarští židé hráli nejen v politickém a hospo</w:t>
      </w:r>
      <w:r>
        <w:rPr>
          <w:b/>
          <w:bCs/>
          <w:sz w:val="19"/>
          <w:szCs w:val="19"/>
        </w:rPr>
        <w:softHyphen/>
        <w:t>dářském životě, ale právě tak i ve všech ostatních obo</w:t>
      </w:r>
      <w:r>
        <w:rPr>
          <w:b/>
          <w:bCs/>
          <w:sz w:val="19"/>
          <w:szCs w:val="19"/>
        </w:rPr>
        <w:softHyphen/>
        <w:t>rech veřejného života úlohu nepoměrně větší, než na příklad u nás. Velká část židovského obyvatelstva přišla</w:t>
      </w:r>
    </w:p>
    <w:p w:rsidR="00500724" w:rsidRDefault="00F30FB8">
      <w:pPr>
        <w:pStyle w:val="Zkladntext100"/>
        <w:shd w:val="clear" w:color="auto" w:fill="auto"/>
        <w:tabs>
          <w:tab w:val="left" w:pos="4193"/>
        </w:tabs>
        <w:spacing w:after="140" w:line="187" w:lineRule="auto"/>
        <w:ind w:firstLine="0"/>
        <w:rPr>
          <w:sz w:val="20"/>
          <w:szCs w:val="20"/>
        </w:rPr>
      </w:pPr>
      <w:r>
        <w:rPr>
          <w:b/>
          <w:bCs/>
          <w:sz w:val="19"/>
          <w:szCs w:val="19"/>
        </w:rPr>
        <w:t xml:space="preserve">do Maďarska z východní </w:t>
      </w:r>
      <w:r>
        <w:rPr>
          <w:b/>
          <w:bCs/>
          <w:sz w:val="19"/>
          <w:szCs w:val="19"/>
        </w:rPr>
        <w:t>Evropy — a byl to hromadný vpád židů, který se novým životním podmínkám jenom těžce přizpůsoboval. Často jej velmi špatně snášeli dokon</w:t>
      </w:r>
      <w:r>
        <w:rPr>
          <w:b/>
          <w:bCs/>
          <w:sz w:val="19"/>
          <w:szCs w:val="19"/>
        </w:rPr>
        <w:softHyphen/>
        <w:t>ce i židé, které poslanec Eckhardt zahrnuje do kategorie ^historického židovského obyvatelstva*. Tento vpád nastal hlavn</w:t>
      </w:r>
      <w:r>
        <w:rPr>
          <w:b/>
          <w:bCs/>
          <w:sz w:val="19"/>
          <w:szCs w:val="19"/>
        </w:rPr>
        <w:t>ě za světové války, kdy se do .Maďarska hrnuly zástupy židovských uprchlíků, které válka z do</w:t>
      </w:r>
      <w:r>
        <w:rPr>
          <w:b/>
          <w:bCs/>
          <w:sz w:val="19"/>
          <w:szCs w:val="19"/>
        </w:rPr>
        <w:softHyphen/>
        <w:t>movů vyhnala. Tím si můžeme také vysvětlit, že právě po válce vzrostl v Maďarsku antisemitismus. Západnější země bývalé monarchie byly tohoto hromadného vpádu uše</w:t>
      </w:r>
      <w:r>
        <w:rPr>
          <w:b/>
          <w:bCs/>
          <w:sz w:val="19"/>
          <w:szCs w:val="19"/>
        </w:rPr>
        <w:t>třeny. Neřídí-Ii se Maďarsko rasovými hledisky, je to opravdu důkaz, že i za nynějších evropských poměrů hle</w:t>
      </w:r>
      <w:r>
        <w:rPr>
          <w:b/>
          <w:bCs/>
          <w:sz w:val="19"/>
          <w:szCs w:val="19"/>
        </w:rPr>
        <w:softHyphen/>
        <w:t>dá v této otázce své vlastní stanovisko.</w:t>
      </w:r>
      <w:r>
        <w:rPr>
          <w:b/>
          <w:bCs/>
          <w:sz w:val="19"/>
          <w:szCs w:val="19"/>
        </w:rPr>
        <w:tab/>
      </w:r>
      <w:r>
        <w:rPr>
          <w:i/>
          <w:iCs/>
          <w:sz w:val="20"/>
          <w:szCs w:val="20"/>
        </w:rPr>
        <w:t>J. Sedlák</w:t>
      </w:r>
    </w:p>
    <w:p w:rsidR="00500724" w:rsidRDefault="00F30FB8">
      <w:pPr>
        <w:pStyle w:val="Zkladntext20"/>
        <w:shd w:val="clear" w:color="auto" w:fill="auto"/>
        <w:spacing w:line="180" w:lineRule="auto"/>
        <w:ind w:firstLine="0"/>
        <w:jc w:val="center"/>
        <w:rPr>
          <w:sz w:val="20"/>
          <w:szCs w:val="20"/>
        </w:rPr>
      </w:pPr>
      <w:r>
        <w:rPr>
          <w:b/>
          <w:bCs/>
          <w:sz w:val="20"/>
          <w:szCs w:val="20"/>
        </w:rPr>
        <w:t>Jak se na nás dívají Němci po vojensku</w:t>
      </w:r>
    </w:p>
    <w:p w:rsidR="00500724" w:rsidRDefault="00F30FB8">
      <w:pPr>
        <w:pStyle w:val="Zkladntext100"/>
        <w:shd w:val="clear" w:color="auto" w:fill="auto"/>
        <w:spacing w:line="211" w:lineRule="auto"/>
        <w:ind w:firstLine="320"/>
        <w:rPr>
          <w:sz w:val="19"/>
          <w:szCs w:val="19"/>
        </w:rPr>
      </w:pPr>
      <w:r>
        <w:rPr>
          <w:b/>
          <w:bCs/>
          <w:sz w:val="19"/>
          <w:szCs w:val="19"/>
        </w:rPr>
        <w:t>Musíme-li dnes vědět, co si o nás myslí němečtí státní</w:t>
      </w:r>
      <w:r>
        <w:rPr>
          <w:b/>
          <w:bCs/>
          <w:sz w:val="19"/>
          <w:szCs w:val="19"/>
        </w:rPr>
        <w:softHyphen/>
        <w:t>ci</w:t>
      </w:r>
      <w:r>
        <w:rPr>
          <w:b/>
          <w:bCs/>
          <w:sz w:val="19"/>
          <w:szCs w:val="19"/>
        </w:rPr>
        <w:t xml:space="preserve"> a správcové hospodářského života, jest si nám také vší</w:t>
      </w:r>
      <w:r>
        <w:rPr>
          <w:b/>
          <w:bCs/>
          <w:sz w:val="19"/>
          <w:szCs w:val="19"/>
        </w:rPr>
        <w:softHyphen/>
        <w:t>mat!, co o nás soudí němečtí vojáci. Právě proto, že vo</w:t>
      </w:r>
      <w:r>
        <w:rPr>
          <w:b/>
          <w:bCs/>
          <w:sz w:val="19"/>
          <w:szCs w:val="19"/>
        </w:rPr>
        <w:softHyphen/>
        <w:t xml:space="preserve">jáci mluví veřejně jenom málokdy, stojí každý jejich projev za pozornost Článek generála H. Scháfera, který vyšel v »Neues Wiener Tagbiatt« 28. </w:t>
      </w:r>
      <w:r>
        <w:rPr>
          <w:b/>
          <w:bCs/>
          <w:sz w:val="19"/>
          <w:szCs w:val="19"/>
        </w:rPr>
        <w:t>února, si za</w:t>
      </w:r>
      <w:r>
        <w:rPr>
          <w:b/>
          <w:bCs/>
          <w:sz w:val="19"/>
          <w:szCs w:val="19"/>
        </w:rPr>
        <w:softHyphen/>
        <w:t>slouží, abychom s ním veřejnost seznámili, citujíce aspoň nejdůležitější místa:</w:t>
      </w:r>
    </w:p>
    <w:p w:rsidR="00500724" w:rsidRDefault="00F30FB8">
      <w:pPr>
        <w:pStyle w:val="Zkladntext100"/>
        <w:shd w:val="clear" w:color="auto" w:fill="auto"/>
        <w:spacing w:line="211" w:lineRule="auto"/>
        <w:ind w:firstLine="320"/>
        <w:rPr>
          <w:sz w:val="19"/>
          <w:szCs w:val="19"/>
        </w:rPr>
      </w:pPr>
      <w:r>
        <w:rPr>
          <w:b/>
          <w:bCs/>
          <w:sz w:val="19"/>
          <w:szCs w:val="19"/>
        </w:rPr>
        <w:t>»Po politických proměnách uvnitř státu a po změně za</w:t>
      </w:r>
      <w:r>
        <w:rPr>
          <w:b/>
          <w:bCs/>
          <w:sz w:val="19"/>
          <w:szCs w:val="19"/>
        </w:rPr>
        <w:softHyphen/>
        <w:t>hraniční politiky jeví se Česko-Slovensko jako úplně nový stát Počet obyvatelstva a plocha změnily se asi o tř</w:t>
      </w:r>
      <w:r>
        <w:rPr>
          <w:b/>
          <w:bCs/>
          <w:sz w:val="19"/>
          <w:szCs w:val="19"/>
        </w:rPr>
        <w:t>etinu, ale příznačná zeměpisná podoba, totiž prodloužený směr se západu na východ, zůstala. Zúžením šířky — zejména u Brna — na necelých 50 km, a stejně tak zúžením pruhu Karpatské Ukrajiny na padesát km, vynikly dřívější záse</w:t>
      </w:r>
      <w:r>
        <w:rPr>
          <w:b/>
          <w:bCs/>
          <w:sz w:val="19"/>
          <w:szCs w:val="19"/>
        </w:rPr>
        <w:softHyphen/>
        <w:t>ky do těla státu ještě jasněj</w:t>
      </w:r>
      <w:r>
        <w:rPr>
          <w:b/>
          <w:bCs/>
          <w:sz w:val="19"/>
          <w:szCs w:val="19"/>
        </w:rPr>
        <w:t>i.</w:t>
      </w:r>
    </w:p>
    <w:p w:rsidR="00500724" w:rsidRDefault="00F30FB8">
      <w:pPr>
        <w:pStyle w:val="Zkladntext100"/>
        <w:shd w:val="clear" w:color="auto" w:fill="auto"/>
        <w:spacing w:line="211" w:lineRule="auto"/>
        <w:ind w:firstLine="320"/>
        <w:rPr>
          <w:sz w:val="19"/>
          <w:szCs w:val="19"/>
        </w:rPr>
      </w:pPr>
      <w:r>
        <w:rPr>
          <w:b/>
          <w:bCs/>
          <w:sz w:val="19"/>
          <w:szCs w:val="19"/>
        </w:rPr>
        <w:t>Od toku Dunaje je Česko-Slovensko téměř úplně od</w:t>
      </w:r>
      <w:r>
        <w:rPr>
          <w:b/>
          <w:bCs/>
          <w:sz w:val="19"/>
          <w:szCs w:val="19"/>
        </w:rPr>
        <w:softHyphen/>
        <w:t>říznuto. Patřilo-li mu dříve téměř 200 km na severním břehu a několik km na jižním břehu u Bratislavy, zbyto z nich jenom asi deset km na obou stranách Bratislavy...</w:t>
      </w:r>
    </w:p>
    <w:p w:rsidR="00500724" w:rsidRDefault="00F30FB8">
      <w:pPr>
        <w:pStyle w:val="Zkladntext100"/>
        <w:shd w:val="clear" w:color="auto" w:fill="auto"/>
        <w:spacing w:line="190" w:lineRule="auto"/>
        <w:ind w:firstLine="320"/>
        <w:rPr>
          <w:sz w:val="19"/>
          <w:szCs w:val="19"/>
        </w:rPr>
      </w:pPr>
      <w:r>
        <w:rPr>
          <w:b/>
          <w:bCs/>
          <w:sz w:val="19"/>
          <w:szCs w:val="19"/>
        </w:rPr>
        <w:t>Něvě vedení státu vyvodilo rychle důsl</w:t>
      </w:r>
      <w:r>
        <w:rPr>
          <w:b/>
          <w:bCs/>
          <w:sz w:val="19"/>
          <w:szCs w:val="19"/>
        </w:rPr>
        <w:t>edky, které ze zeměpisné polohy státu k německé říši vyplývají. Západ</w:t>
      </w:r>
      <w:r>
        <w:rPr>
          <w:b/>
          <w:bCs/>
          <w:sz w:val="19"/>
          <w:szCs w:val="19"/>
        </w:rPr>
        <w:softHyphen/>
        <w:t>ní část Česko-Siovenska, totiž Čechy a Moravu, obklopuje úplně Velké Německo. Takové obklopení německým sídelním prostorem trvá již sice celá staletí, ale utvoře</w:t>
      </w:r>
      <w:r>
        <w:rPr>
          <w:b/>
          <w:bCs/>
          <w:sz w:val="19"/>
          <w:szCs w:val="19"/>
        </w:rPr>
        <w:softHyphen/>
        <w:t>ním velkeněmecké říše vy</w:t>
      </w:r>
      <w:r>
        <w:rPr>
          <w:b/>
          <w:bCs/>
          <w:sz w:val="19"/>
          <w:szCs w:val="19"/>
        </w:rPr>
        <w:t>niklo ještě jasněji, že 6 a půl milionu Čechů tvoří s 80 miliony Němců, kteří je obklo</w:t>
      </w:r>
      <w:r>
        <w:rPr>
          <w:b/>
          <w:bCs/>
          <w:sz w:val="19"/>
          <w:szCs w:val="19"/>
        </w:rPr>
        <w:softHyphen/>
        <w:t>pují, přirozené osudové společenství. Z toho vyplývají sa</w:t>
      </w:r>
      <w:r>
        <w:rPr>
          <w:b/>
          <w:bCs/>
          <w:sz w:val="19"/>
          <w:szCs w:val="19"/>
        </w:rPr>
        <w:softHyphen/>
        <w:t>mo sebou mezistátní dohody v dopravě a hospodářství. Česko-slovenská vláda dala souhlas, aby přes české území b</w:t>
      </w:r>
      <w:r>
        <w:rPr>
          <w:b/>
          <w:bCs/>
          <w:sz w:val="19"/>
          <w:szCs w:val="19"/>
        </w:rPr>
        <w:t>yla vybudována říšskoněmecká automobilová dráha Vra</w:t>
      </w:r>
      <w:r>
        <w:rPr>
          <w:b/>
          <w:bCs/>
          <w:sz w:val="19"/>
          <w:szCs w:val="19"/>
        </w:rPr>
        <w:softHyphen/>
        <w:t>tislav—Vídeň a průplav Dunaj—Odra. Nejkratší cestou přes Moravu byla zařízena také výhodná železniční do</w:t>
      </w:r>
      <w:r>
        <w:rPr>
          <w:b/>
          <w:bCs/>
          <w:sz w:val="19"/>
          <w:szCs w:val="19"/>
        </w:rPr>
        <w:softHyphen/>
        <w:t>prava ze Slezska, do východní marky říše. Podobné mezi</w:t>
      </w:r>
      <w:r>
        <w:rPr>
          <w:b/>
          <w:bCs/>
          <w:sz w:val="19"/>
          <w:szCs w:val="19"/>
        </w:rPr>
        <w:softHyphen/>
        <w:t>státní úlevy a hospodářské dohody budou patr</w:t>
      </w:r>
      <w:r>
        <w:rPr>
          <w:b/>
          <w:bCs/>
          <w:sz w:val="19"/>
          <w:szCs w:val="19"/>
        </w:rPr>
        <w:t>ně ještě následovat.</w:t>
      </w:r>
    </w:p>
    <w:p w:rsidR="00500724" w:rsidRDefault="00F30FB8">
      <w:pPr>
        <w:pStyle w:val="Zkladntext100"/>
        <w:shd w:val="clear" w:color="auto" w:fill="auto"/>
        <w:spacing w:line="190" w:lineRule="auto"/>
        <w:ind w:firstLine="320"/>
        <w:rPr>
          <w:sz w:val="19"/>
          <w:szCs w:val="19"/>
        </w:rPr>
      </w:pPr>
      <w:r>
        <w:rPr>
          <w:b/>
          <w:bCs/>
          <w:sz w:val="19"/>
          <w:szCs w:val="19"/>
        </w:rPr>
        <w:t>Co se týče hospodářství, odstoupilo sice Česko-Slovensko Německu, Maďarsku a Polsku důležitá území, ale nové</w:t>
      </w:r>
      <w:r>
        <w:rPr>
          <w:b/>
          <w:bCs/>
          <w:sz w:val="19"/>
          <w:szCs w:val="19"/>
        </w:rPr>
        <w:softHyphen/>
        <w:t>mu státu zůstaly značné hodnoty, zejména ve velkých zbrojních podnicích v Plzni, Praze, Brně a Moravské Ostravě.</w:t>
      </w:r>
    </w:p>
    <w:p w:rsidR="00500724" w:rsidRDefault="00F30FB8">
      <w:pPr>
        <w:pStyle w:val="Zkladntext100"/>
        <w:shd w:val="clear" w:color="auto" w:fill="auto"/>
        <w:spacing w:line="190" w:lineRule="auto"/>
        <w:ind w:firstLine="320"/>
        <w:rPr>
          <w:sz w:val="19"/>
          <w:szCs w:val="19"/>
        </w:rPr>
      </w:pPr>
      <w:r>
        <w:rPr>
          <w:b/>
          <w:bCs/>
          <w:sz w:val="19"/>
          <w:szCs w:val="19"/>
        </w:rPr>
        <w:t>Státní, a pře</w:t>
      </w:r>
      <w:r>
        <w:rPr>
          <w:b/>
          <w:bCs/>
          <w:sz w:val="19"/>
          <w:szCs w:val="19"/>
        </w:rPr>
        <w:t>devším vojenská přestavba Česko-Sioven</w:t>
      </w:r>
      <w:r>
        <w:rPr>
          <w:b/>
          <w:bCs/>
          <w:sz w:val="19"/>
          <w:szCs w:val="19"/>
        </w:rPr>
        <w:softHyphen/>
        <w:t>ska, je v plném proudu. O velikosti a rozčlenění nové branné moci není ještě nic známo. Z toho však, že se po</w:t>
      </w:r>
      <w:r>
        <w:rPr>
          <w:b/>
          <w:bCs/>
          <w:sz w:val="19"/>
          <w:szCs w:val="19"/>
        </w:rPr>
        <w:softHyphen/>
        <w:t>čet obyvatelstva zmenšil asi o třetinu, lze usuzovali, že Česko-Slovensko podrží nanejvýš dvě třetiny dosav</w:t>
      </w:r>
      <w:r>
        <w:rPr>
          <w:b/>
          <w:bCs/>
          <w:sz w:val="19"/>
          <w:szCs w:val="19"/>
        </w:rPr>
        <w:t xml:space="preserve">adní branné moci. Meto by tedy asi dvě zemská velitelství nebo 2 až 3 sborová velitelství. 7 až 8 pěších divisi, mezi nimi určitý počet ryehlých nebo pancéřových divisi, jednu nebo dvě horské brigády, 2 až 3 jezdecké nebo lehké brigády, mírový stav byl by </w:t>
      </w:r>
      <w:r>
        <w:rPr>
          <w:b/>
          <w:bCs/>
          <w:sz w:val="19"/>
          <w:szCs w:val="19"/>
        </w:rPr>
        <w:t>asi 100.009 mužů, za války asi milion. Letectvo si asi udrží dosavadních 800 letadel první linie. Nelze ještě předvídat, zda zůstane také dunajská flotila. Souhrnně třeba zdůraznit, že nová česko-slovenská bran</w:t>
      </w:r>
      <w:r>
        <w:rPr>
          <w:b/>
          <w:bCs/>
          <w:sz w:val="19"/>
          <w:szCs w:val="19"/>
        </w:rPr>
        <w:softHyphen/>
        <w:t>ná moc má v pozemní armádě a v letectvu velký</w:t>
      </w:r>
      <w:r>
        <w:rPr>
          <w:b/>
          <w:bCs/>
          <w:sz w:val="19"/>
          <w:szCs w:val="19"/>
        </w:rPr>
        <w:t xml:space="preserve"> počet hodnotných zbraní, zejména kulometů a děl nejrňznější ráže. Mimo to má velmi výkonné letectvo a zbrojní prů</w:t>
      </w:r>
      <w:r>
        <w:rPr>
          <w:b/>
          <w:bCs/>
          <w:sz w:val="19"/>
          <w:szCs w:val="19"/>
        </w:rPr>
        <w:softHyphen/>
        <w:t>mysl zvláštní hodnoty.«</w:t>
      </w:r>
    </w:p>
    <w:p w:rsidR="00500724" w:rsidRDefault="00F30FB8">
      <w:pPr>
        <w:pStyle w:val="Zkladntext100"/>
        <w:shd w:val="clear" w:color="auto" w:fill="auto"/>
        <w:tabs>
          <w:tab w:val="left" w:pos="4193"/>
        </w:tabs>
        <w:spacing w:line="187" w:lineRule="auto"/>
        <w:ind w:firstLine="320"/>
        <w:rPr>
          <w:sz w:val="20"/>
          <w:szCs w:val="20"/>
        </w:rPr>
      </w:pPr>
      <w:r>
        <w:rPr>
          <w:b/>
          <w:bCs/>
          <w:sz w:val="19"/>
          <w:szCs w:val="19"/>
        </w:rPr>
        <w:t>Tímto závěrem ěfánek generála Scháfera končí, aniž by se dala zjistit pohnutka, proě byl napsán. Hlavní je, aby</w:t>
      </w:r>
      <w:r>
        <w:rPr>
          <w:b/>
          <w:bCs/>
          <w:sz w:val="19"/>
          <w:szCs w:val="19"/>
        </w:rPr>
        <w:softHyphen/>
        <w:t xml:space="preserve">chom </w:t>
      </w:r>
      <w:r>
        <w:rPr>
          <w:b/>
          <w:bCs/>
          <w:sz w:val="19"/>
          <w:szCs w:val="19"/>
        </w:rPr>
        <w:t>věděli, co si o nás odpovědní lidé německé říše mvsii, poněvadž to je nezbytná podmínka každ - reální politiky.</w:t>
      </w:r>
      <w:r>
        <w:rPr>
          <w:b/>
          <w:bCs/>
          <w:sz w:val="19"/>
          <w:szCs w:val="19"/>
        </w:rPr>
        <w:tab/>
      </w:r>
      <w:r>
        <w:rPr>
          <w:i/>
          <w:iCs/>
          <w:sz w:val="20"/>
          <w:szCs w:val="20"/>
        </w:rPr>
        <w:t>K. Synek</w:t>
      </w:r>
    </w:p>
    <w:p w:rsidR="00500724" w:rsidRDefault="00F30FB8">
      <w:pPr>
        <w:pStyle w:val="Nadpis90"/>
        <w:keepNext/>
        <w:keepLines/>
        <w:shd w:val="clear" w:color="auto" w:fill="auto"/>
        <w:tabs>
          <w:tab w:val="left" w:leader="underscore" w:pos="4992"/>
        </w:tabs>
        <w:jc w:val="both"/>
      </w:pPr>
      <w:bookmarkStart w:id="237" w:name="bookmark236"/>
      <w:r>
        <w:rPr>
          <w:rFonts w:ascii="Times New Roman" w:eastAsia="Times New Roman" w:hAnsi="Times New Roman" w:cs="Times New Roman"/>
          <w:u w:val="single"/>
        </w:rPr>
        <w:t>politika</w:t>
      </w:r>
      <w:r>
        <w:rPr>
          <w:rFonts w:ascii="Times New Roman" w:eastAsia="Times New Roman" w:hAnsi="Times New Roman" w:cs="Times New Roman"/>
          <w:u w:val="single"/>
        </w:rPr>
        <w:tab/>
      </w:r>
      <w:bookmarkEnd w:id="237"/>
    </w:p>
    <w:p w:rsidR="00500724" w:rsidRDefault="00F30FB8">
      <w:pPr>
        <w:pStyle w:val="Zkladntext100"/>
        <w:shd w:val="clear" w:color="auto" w:fill="auto"/>
        <w:spacing w:line="223" w:lineRule="auto"/>
        <w:ind w:firstLine="0"/>
        <w:jc w:val="left"/>
        <w:rPr>
          <w:sz w:val="20"/>
          <w:szCs w:val="20"/>
        </w:rPr>
      </w:pPr>
      <w:r>
        <w:rPr>
          <w:i/>
          <w:iCs/>
          <w:sz w:val="20"/>
          <w:szCs w:val="20"/>
        </w:rPr>
        <w:t>Milena Jesenská:</w:t>
      </w:r>
    </w:p>
    <w:p w:rsidR="00500724" w:rsidRDefault="00F30FB8">
      <w:pPr>
        <w:pStyle w:val="Nadpis100"/>
        <w:shd w:val="clear" w:color="auto" w:fill="auto"/>
        <w:spacing w:after="60" w:line="230" w:lineRule="auto"/>
      </w:pPr>
      <w:bookmarkStart w:id="238" w:name="bookmark237"/>
      <w:r>
        <w:t>Dobrá rada nad zlato</w:t>
      </w:r>
      <w:bookmarkEnd w:id="238"/>
    </w:p>
    <w:p w:rsidR="00500724" w:rsidRDefault="00F30FB8">
      <w:pPr>
        <w:pStyle w:val="Zkladntext20"/>
        <w:shd w:val="clear" w:color="auto" w:fill="auto"/>
        <w:spacing w:line="202" w:lineRule="auto"/>
        <w:ind w:firstLine="260"/>
      </w:pPr>
      <w:r>
        <w:t>Po mnichovských událostech se u nás mnoho změ</w:t>
      </w:r>
      <w:r>
        <w:softHyphen/>
        <w:t xml:space="preserve">nilo. Tohle je pravda zřejmá a pomalu už </w:t>
      </w:r>
      <w:r>
        <w:t>začíná být nudná. Skoro se těším na dobu, kdy bude možno ne</w:t>
      </w:r>
      <w:r>
        <w:softHyphen/>
        <w:t>začínat každý článek tímto samozřejmým předpokla</w:t>
      </w:r>
      <w:r>
        <w:softHyphen/>
        <w:t>dem a kdy nám bude všem jasna skutečnost: nepřáli jsme si to, přes to se to stalo, a máme to. Snad se opravdu jednou dočkáme, že nejen my, kteří to</w:t>
      </w:r>
      <w:r>
        <w:t xml:space="preserve"> pro</w:t>
      </w:r>
      <w:r>
        <w:softHyphen/>
        <w:t>žíváme na vlastní kůži, ale i všichni za hranicemi, kteří se na nás dívají, pochopí, že se tu něco od zá</w:t>
      </w:r>
      <w:r>
        <w:softHyphen/>
        <w:t>kladu změnilo. Nejen odpadla asi třetina půdy bý</w:t>
      </w:r>
      <w:r>
        <w:softHyphen/>
        <w:t>valého Československa, nejen zůstaly statisíce našich lidí za hranicemi, nejen budeme jezdit napr</w:t>
      </w:r>
      <w:r>
        <w:t>avo. Z nut</w:t>
      </w:r>
      <w:r>
        <w:softHyphen/>
        <w:t>nosti dobrého styku s německou říší plynou důsledky, které je nám všem vžiti na sebe. Možnosti jsou asi ta</w:t>
      </w:r>
      <w:r>
        <w:softHyphen/>
        <w:t xml:space="preserve">kové: buď nás stihnou další rány, anebo vezmeme důsledky na sebe. Taková je situace a podle ní je nám žiti, psáti, pohybovati se. V ní je </w:t>
      </w:r>
      <w:r>
        <w:t>nám starati se o národní vědomí, národní samostatnost a o výraz toho, čemu my Češi říkáme národní. Zdá-li se ně</w:t>
      </w:r>
      <w:r>
        <w:softHyphen/>
        <w:t>komu, že to je úkol malý, nepochopil dosud, co se stalo.</w:t>
      </w:r>
    </w:p>
    <w:p w:rsidR="00500724" w:rsidRDefault="00F30FB8">
      <w:pPr>
        <w:pStyle w:val="Zkladntext20"/>
        <w:shd w:val="clear" w:color="auto" w:fill="auto"/>
        <w:spacing w:after="60" w:line="202" w:lineRule="auto"/>
        <w:ind w:firstLine="260"/>
      </w:pPr>
      <w:r>
        <w:t>Zdá se však, že tato malá země, která prožila v po</w:t>
      </w:r>
      <w:r>
        <w:softHyphen/>
        <w:t>sledních měsících tolik zlého, nepře</w:t>
      </w:r>
      <w:r>
        <w:t>stala zajímat svět. Můžeme klidně povzdechnout: bohužel — poněvadž zájem světa je nám dnes sotva co platný. Když běželo o to, že máme být děleni, nebylo široko daleko pří</w:t>
      </w:r>
      <w:r>
        <w:softHyphen/>
        <w:t>tele. Když jde dnes o jakoukoli pomoc ze zahraničí, je vázána na desítky protichůdnýc</w:t>
      </w:r>
      <w:r>
        <w:t>h a vzájemně si od</w:t>
      </w:r>
      <w:r>
        <w:softHyphen/>
        <w:t xml:space="preserve">porujících podmínek. Jakmile jde však o to, postavit se k amplionu </w:t>
      </w:r>
      <w:r>
        <w:rPr>
          <w:i/>
          <w:iCs/>
        </w:rPr>
        <w:t>a</w:t>
      </w:r>
      <w:r>
        <w:t xml:space="preserve"> udílet nám rady (ve formě důtek a výčitek), pak se z mnohých naráz stávají hrdinové...</w:t>
      </w:r>
    </w:p>
    <w:p w:rsidR="00500724" w:rsidRDefault="00F30FB8">
      <w:pPr>
        <w:pStyle w:val="Zkladntext20"/>
        <w:shd w:val="clear" w:color="auto" w:fill="auto"/>
        <w:spacing w:after="60" w:line="202" w:lineRule="auto"/>
        <w:ind w:firstLine="0"/>
        <w:jc w:val="center"/>
      </w:pPr>
      <w:r>
        <w:t>•</w:t>
      </w:r>
    </w:p>
    <w:p w:rsidR="00500724" w:rsidRDefault="00F30FB8">
      <w:pPr>
        <w:pStyle w:val="Zkladntext20"/>
        <w:shd w:val="clear" w:color="auto" w:fill="auto"/>
        <w:spacing w:line="202" w:lineRule="auto"/>
        <w:ind w:firstLine="260"/>
      </w:pPr>
      <w:r>
        <w:t>Není statečnějších lidí — u mikrofonů a 3000 km da</w:t>
      </w:r>
      <w:r>
        <w:softHyphen/>
        <w:t xml:space="preserve">leko — než jsou úředníci </w:t>
      </w:r>
      <w:r>
        <w:t>Kominterny. Několikrát tý</w:t>
      </w:r>
      <w:r>
        <w:softHyphen/>
        <w:t xml:space="preserve">dně v různých evropských řečech vlévají optimismus </w:t>
      </w:r>
      <w:r>
        <w:rPr>
          <w:b/>
          <w:bCs/>
          <w:sz w:val="26"/>
          <w:szCs w:val="26"/>
        </w:rPr>
        <w:t xml:space="preserve">a </w:t>
      </w:r>
      <w:r>
        <w:t>odvahu do žil lidu v evropských státech, který v po</w:t>
      </w:r>
      <w:r>
        <w:softHyphen/>
        <w:t>sledních letech v různých koutech všelicos prodělal. Nic není vznešenějšího, než pronést několik hesel nad živě prolitou krví</w:t>
      </w:r>
      <w:r>
        <w:t>. Dokud jsme měli »Rudé Právo«, mohl být náš lid celkem klidný: po každé porážce, kterou utrpěl, mohl si přečíst palcové titulky: dělníci nedovolí! Dělníci nevydají ani píď! Pracující lid pro</w:t>
      </w:r>
      <w:r>
        <w:softHyphen/>
        <w:t>hlašuje! Po Mnichovu, po prvním, druhém, třetím, čtvrtém a koneč</w:t>
      </w:r>
      <w:r>
        <w:t>ně pátém pásmu, po přílivu vystěho</w:t>
      </w:r>
      <w:r>
        <w:softHyphen/>
        <w:t>valců, po obrazu tak známém, který tvrdošíjně ne- ustupuje z života naší generace: vždycky je někde na světě silnice plná vozíčků s plachtami, starou ženou, dětmi, slepicemi, kozou, peřinami — bylo vždycky nesmírně uklidň</w:t>
      </w:r>
      <w:r>
        <w:t>ující slyšet výkřiky kamelotů na Václavském náměstí, že dělnická třída nedopustí a že Sovětský Svaz nedovolí... atd. Vždycky jsem pře</w:t>
      </w:r>
      <w:r>
        <w:softHyphen/>
        <w:t>mýšlela se srdcem sklíčeným, jak je to možné? Jak vysvětlit, že se komunistický tisk v posledních šesti letech lišil od sk</w:t>
      </w:r>
      <w:r>
        <w:t>utečnosti, jako líčení krajiny, kterou by popisoval barvoslepý? Jedna z příčin tohoto velmi složitého procesu je zajisté okolnost, že Kominterna zřídila po celém světě a ve všech státech parevoluční úřady, obsadila je úředníky a stvořila tak nový typ člově</w:t>
      </w:r>
      <w:r>
        <w:t xml:space="preserve">ka: kominternské úředníky s měsíčním platem 1200 K. Úkolem těchto úředníků bylo pak dostáti své povinnosti, to je dělati tak zvané revoluční akce v té které zemi, kde právě seděli. Poněvadž kominternští zaměstnavatelé jsou velmi přísní na své zaměstnance, </w:t>
      </w:r>
      <w:r>
        <w:t>budili tito lidé tutéž nelibost, jakmile se nevyvíjela po</w:t>
      </w:r>
      <w:r>
        <w:softHyphen/>
        <w:t>litika podle jejich přání, jako budí nelibost sovětský dělník, který nedodrží předepsaný akord ve vý</w:t>
      </w:r>
      <w:r>
        <w:softHyphen/>
        <w:t>robě bot.</w:t>
      </w:r>
    </w:p>
    <w:p w:rsidR="00500724" w:rsidRDefault="00F30FB8">
      <w:pPr>
        <w:pStyle w:val="Zkladntext20"/>
        <w:shd w:val="clear" w:color="auto" w:fill="auto"/>
        <w:spacing w:line="202" w:lineRule="auto"/>
      </w:pPr>
      <w:r>
        <w:t>Z tohoto důvodu vyvíjeli komunističtí sekretáři činnost. »Rozvinout program, postavit o</w:t>
      </w:r>
      <w:r>
        <w:t>tázku a vy</w:t>
      </w:r>
      <w:r>
        <w:softHyphen/>
        <w:t>víjet činnost« bylo nejoblíbenější rčení všech schůzí, porad, přednášek, školení a referátů v buňkách. Čím mohutnější a tragičtější byla neshoda mezi jednotli</w:t>
      </w:r>
      <w:r>
        <w:softHyphen/>
        <w:t xml:space="preserve">vými skupinami pracujících, čím drtivější byly rány, dopadající na jejich ideály, tím </w:t>
      </w:r>
      <w:r>
        <w:t xml:space="preserve">optimističtěji </w:t>
      </w:r>
      <w:r>
        <w:rPr>
          <w:i/>
          <w:iCs/>
        </w:rPr>
        <w:t>a</w:t>
      </w:r>
      <w:r>
        <w:t xml:space="preserve"> po</w:t>
      </w:r>
      <w:r>
        <w:softHyphen/>
        <w:t>vzbudivěji zněly titulky komunistického tisku, tim hromadněji se vyráběla odvaha, tím proklatější byl každý, kdo nedovedl podlehnout hypnose propagandy a namáhal se viděti věci, jak jsou.</w:t>
      </w:r>
    </w:p>
    <w:p w:rsidR="00500724" w:rsidRDefault="00F30FB8">
      <w:pPr>
        <w:pStyle w:val="Zkladntext20"/>
        <w:shd w:val="clear" w:color="auto" w:fill="auto"/>
        <w:spacing w:line="202" w:lineRule="auto"/>
      </w:pPr>
      <w:r>
        <w:t>»Rudé Právo« zaniklo — vyvíjí se tedy hlasitá pr</w:t>
      </w:r>
      <w:r>
        <w:t>o</w:t>
      </w:r>
      <w:r>
        <w:softHyphen/>
        <w:t>pagační činnost ze zahraničí. Přiznávám se, že jsem naplněna lítostí, když slyším ve svém pokoji hovořit Moskvu česky — lítostí nad tím, že muž, který je 3000 km daleko, hovoří k nám větami tak papírovými, slovy tak neskutečnými, frázemi tak bombastickým</w:t>
      </w:r>
      <w:r>
        <w:t xml:space="preserve">i, nemaje zřejmě o skutečné pravdě v Česko-Slovensku tušení, jsa informován někým, kdo »vyvíjí činnost«, a dusaje po složitých útvarech společenského dění jako slon v porculánu. Nemluví k nám živý český č 1 o v ě k, ale kominternský úředník. Nedotýkají se </w:t>
      </w:r>
      <w:r>
        <w:t>ho naše starosti, ale m o s k e v s ké starosti Kominterny.</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K »vyvíjeni činnosti« kominternské vysílačky patří »rozbor sociálních poměrů, jejich kritika a hledání východiska«. Rozbor sociálních poměrů, které podá</w:t>
      </w:r>
      <w:r>
        <w:softHyphen/>
        <w:t xml:space="preserve">vala Kominterna, vrávoral vždy od škarpy </w:t>
      </w:r>
      <w:r>
        <w:t>ke škarpě. Její kritika je černo-bílá, pomíjejíc mlčením všechny zvratné, sobě si odporující, zdánlivě nevysvětlitelné a složité společenské zjevy. Hledání východiska je pak spílání a vyrábění optimismu. Pokud jde o to spílání, je zvlášť zajímavé: podobá s</w:t>
      </w:r>
      <w:r>
        <w:t>e člověku, sedícímu upro</w:t>
      </w:r>
      <w:r>
        <w:softHyphen/>
        <w:t xml:space="preserve">střed louže, </w:t>
      </w:r>
      <w:r>
        <w:rPr>
          <w:lang w:val="en-US" w:eastAsia="en-US" w:bidi="en-US"/>
        </w:rPr>
        <w:t xml:space="preserve">an </w:t>
      </w:r>
      <w:r>
        <w:t>spílá ze všech sil někomu, koho jedoucí vůz postříkal blátem.</w:t>
      </w:r>
    </w:p>
    <w:p w:rsidR="00500724" w:rsidRDefault="00F30FB8">
      <w:pPr>
        <w:pStyle w:val="Zkladntext20"/>
        <w:shd w:val="clear" w:color="auto" w:fill="auto"/>
        <w:spacing w:line="202" w:lineRule="auto"/>
      </w:pPr>
      <w:r>
        <w:t xml:space="preserve">Sovětská vysílačka promlouvá k nám pravidelně dvakrát týdně a její zvuky jsou velmi nevlídné. Už asi tři týdny hovoří moskevská vysílačka o fašistické a </w:t>
      </w:r>
      <w:r>
        <w:t>zlovolné krutosti, se kterou se chováme k uprchlíkům, k emigrantům politickým i hospodářským a k vlast</w:t>
      </w:r>
      <w:r>
        <w:softHyphen/>
        <w:t>ním příslušníkům židovského vyznání. Pro tuto zá- viděníhodně umístěnou vysílačku se vůbec nic nestalo. Nebyl Mnichov. Není skutečnost, že nyní musíme po</w:t>
      </w:r>
      <w:r>
        <w:softHyphen/>
        <w:t>čítat především s německým politickým a hospodář</w:t>
      </w:r>
      <w:r>
        <w:softHyphen/>
        <w:t>ským vlivem. Neexistuje fakt, že první republika po</w:t>
      </w:r>
      <w:r>
        <w:softHyphen/>
        <w:t>skytovala velkoryse asyl každému, kdo o něj požádal</w:t>
      </w:r>
    </w:p>
    <w:p w:rsidR="00500724" w:rsidRDefault="00F30FB8">
      <w:pPr>
        <w:pStyle w:val="Zkladntext20"/>
        <w:numPr>
          <w:ilvl w:val="0"/>
          <w:numId w:val="28"/>
        </w:numPr>
        <w:shd w:val="clear" w:color="auto" w:fill="auto"/>
        <w:tabs>
          <w:tab w:val="left" w:pos="356"/>
        </w:tabs>
        <w:spacing w:line="202" w:lineRule="auto"/>
        <w:ind w:firstLine="0"/>
      </w:pPr>
      <w:r>
        <w:t>emigrantům maďarským, německým, rakouským, polským. Nic neznamená skutečnost, že je malá plo</w:t>
      </w:r>
      <w:r>
        <w:softHyphen/>
        <w:t xml:space="preserve">cha naší </w:t>
      </w:r>
      <w:r>
        <w:t>země přetížena uprchlíky vlastními, jimž především musí platit naše péče. A konečně nic ne</w:t>
      </w:r>
      <w:r>
        <w:softHyphen/>
        <w:t xml:space="preserve">znamená okolnost, že »autorita, </w:t>
      </w:r>
      <w:r>
        <w:rPr>
          <w:lang w:val="en-US" w:eastAsia="en-US" w:bidi="en-US"/>
        </w:rPr>
        <w:t xml:space="preserve">non </w:t>
      </w:r>
      <w:r>
        <w:t>veritas, facit le- gem«, okolnost, která je zřejmě základnou jakéhokoli politického dění. Výrony kominternského opovržení</w:t>
      </w:r>
    </w:p>
    <w:p w:rsidR="00500724" w:rsidRDefault="00F30FB8">
      <w:pPr>
        <w:pStyle w:val="Zkladntext20"/>
        <w:numPr>
          <w:ilvl w:val="0"/>
          <w:numId w:val="28"/>
        </w:numPr>
        <w:shd w:val="clear" w:color="auto" w:fill="auto"/>
        <w:tabs>
          <w:tab w:val="left" w:pos="356"/>
        </w:tabs>
        <w:spacing w:line="202" w:lineRule="auto"/>
        <w:ind w:firstLine="0"/>
        <w:sectPr w:rsidR="00500724">
          <w:footnotePr>
            <w:numFmt w:val="chicago"/>
            <w:numRestart w:val="eachPage"/>
          </w:footnotePr>
          <w:type w:val="continuous"/>
          <w:pgSz w:w="11909" w:h="16834"/>
          <w:pgMar w:top="1264" w:right="865" w:bottom="863" w:left="606" w:header="0" w:footer="3" w:gutter="0"/>
          <w:cols w:num="2" w:space="100"/>
          <w:noEndnote/>
          <w:docGrid w:linePitch="360"/>
        </w:sectPr>
      </w:pPr>
      <w:r>
        <w:t>a Kominterna sídlí v Moskvě! — rozlévají se~nad naším konáním v spílání. Člověk, jemuž se denně ně</w:t>
      </w:r>
      <w:r>
        <w:softHyphen/>
        <w:t>kolikrát srdce zastaví žalem nad osudem lidí, pro něž není na tomto osekaném prámu místo, stojí chvíli snad nerozhodně a naslo</w:t>
      </w:r>
      <w:r>
        <w:t>uchá v zajetí soucitu a lítosti</w:t>
      </w:r>
    </w:p>
    <w:p w:rsidR="00500724" w:rsidRDefault="00F30FB8">
      <w:pPr>
        <w:pStyle w:val="Zkladntext20"/>
        <w:shd w:val="clear" w:color="auto" w:fill="auto"/>
        <w:ind w:firstLine="0"/>
      </w:pPr>
      <w:r>
        <w:t xml:space="preserve">nad postiženými. Po dvacetiminutovém hromování vypluje však na povrch myšlenka podivná: podivná proto, že mozek, uštvaný hřměním propagand se všech stran, pomalu a plaše nalézá prostou pravdu </w:t>
      </w:r>
      <w:r>
        <w:rPr>
          <w:b/>
          <w:bCs/>
          <w:sz w:val="26"/>
          <w:szCs w:val="26"/>
        </w:rPr>
        <w:t xml:space="preserve">v </w:t>
      </w:r>
      <w:r>
        <w:t xml:space="preserve">ohromujícím přívalu polopravd </w:t>
      </w:r>
      <w:r>
        <w:t>a potřebuje dlouhou chvíli, než si uvědomí skutečnosti pravdivé.</w:t>
      </w:r>
    </w:p>
    <w:p w:rsidR="00500724" w:rsidRDefault="00F30FB8">
      <w:pPr>
        <w:pStyle w:val="Zkladntext20"/>
        <w:shd w:val="clear" w:color="auto" w:fill="auto"/>
        <w:spacing w:line="204" w:lineRule="auto"/>
        <w:ind w:firstLine="0"/>
        <w:jc w:val="center"/>
      </w:pPr>
      <w:r>
        <w:t>•</w:t>
      </w:r>
    </w:p>
    <w:p w:rsidR="00500724" w:rsidRDefault="00F30FB8">
      <w:pPr>
        <w:pStyle w:val="Zkladntext20"/>
        <w:shd w:val="clear" w:color="auto" w:fill="auto"/>
        <w:spacing w:line="202" w:lineRule="auto"/>
        <w:ind w:firstLine="260"/>
      </w:pPr>
      <w:r>
        <w:t>Na příklad článek 129 v nové sovětské ústavě, které se říká stalinská: »SSSR poskytuje příslušníkům cizích států, kteří jsou pronásledováni buď proto, že se zastávali zájmů pracujících, neb</w:t>
      </w:r>
      <w:r>
        <w:t>o pro činnost vě</w:t>
      </w:r>
      <w:r>
        <w:softHyphen/>
        <w:t>deckou, nebo proto, že bojovali za národní svobodu, právo asylu.«!</w:t>
      </w:r>
    </w:p>
    <w:p w:rsidR="00500724" w:rsidRDefault="00F30FB8">
      <w:pPr>
        <w:pStyle w:val="Zkladntext20"/>
        <w:shd w:val="clear" w:color="auto" w:fill="auto"/>
        <w:spacing w:line="202" w:lineRule="auto"/>
        <w:ind w:firstLine="260"/>
      </w:pPr>
      <w:r>
        <w:t>Tolik praví Sovětský Svaz na důležitém papíře — a sice v ústavní listině. Jak je tomu však ve skuteč</w:t>
      </w:r>
      <w:r>
        <w:softHyphen/>
        <w:t>nosti? Ve skutečnosti nepřijímá SSSR emigranty už po dobu pěti let. Pos</w:t>
      </w:r>
      <w:r>
        <w:t>lední byli vídeňští schutzbúndleři z vídeňských únorových barikád. Vypravuje se, že Sovětský Svaz neudělal s nimi dobré zkušenosti. Schutzbundleři odmítli odjet z hlavních průmyslových měst pod dozor a samovládu odlehlých venkovských straníků (samy sovětsk</w:t>
      </w:r>
      <w:r>
        <w:t>é noviny píší dnes o tom, jak taková samovláda vypadá), vstoupili v Leningradě, Moskvě a Charkově do továren a začali s hlubokým nadšením pracovat. Už po několika dnech se ukázalo, že práce muže ze západu se naprosto liší od práce so</w:t>
      </w:r>
      <w:r>
        <w:softHyphen/>
        <w:t>větského občana i co d</w:t>
      </w:r>
      <w:r>
        <w:t>o jakosti i co do tempa. Ukázalo se také, že rakouský sociálně-demokratický dělník z Vídně a Lince z roku 1934, porobený fašismem, měl docela jiné představy o svobodě, o spolkové činnosti a o životní úrovni, než měl dělník v Sovětském Svazu. Rada konfliktů</w:t>
      </w:r>
      <w:r>
        <w:t>, která z toho vznikla, přiměla schutz- búndlery k rozhodnutí vrátit se do vlasti — ale uká</w:t>
      </w:r>
      <w:r>
        <w:softHyphen/>
        <w:t>zalo se, že jim to nemůže být dovoleno, poněvadž SSSR měl pochyby, že by tito lidé byli doma dobrými propagandisty.</w:t>
      </w:r>
    </w:p>
    <w:p w:rsidR="00500724" w:rsidRDefault="00F30FB8">
      <w:pPr>
        <w:pStyle w:val="Zkladntext20"/>
        <w:shd w:val="clear" w:color="auto" w:fill="auto"/>
        <w:spacing w:line="202" w:lineRule="auto"/>
        <w:ind w:firstLine="260"/>
      </w:pPr>
      <w:r>
        <w:t>Mnoho, velmi mnoho jich bylo pozavíráno, mnoho p</w:t>
      </w:r>
      <w:r>
        <w:t>osláno za polární kruh nebo na velké stavby. Tady byla zajímavá úvaha, kdo vlastně stavěl sovětské gi</w:t>
      </w:r>
      <w:r>
        <w:softHyphen/>
        <w:t>gantické stavby, průplavy, hráze a regulace — a kdo vůbec v celých dějinách stavěl na všech místech gigantické stavby, »svědky velké kultury« — od py</w:t>
      </w:r>
      <w:r>
        <w:softHyphen/>
        <w:t>rami</w:t>
      </w:r>
      <w:r>
        <w:t>d po silnice ve francouzské Guinei a po Volga- stroje —.</w:t>
      </w:r>
    </w:p>
    <w:p w:rsidR="00500724" w:rsidRDefault="00F30FB8">
      <w:pPr>
        <w:pStyle w:val="Zkladntext20"/>
        <w:shd w:val="clear" w:color="auto" w:fill="auto"/>
        <w:spacing w:line="202" w:lineRule="auto"/>
        <w:ind w:firstLine="260"/>
      </w:pPr>
      <w:r>
        <w:t>Od roku 1934 uzavřely sověty hranice emigrantům přes to, že článek 129 sovětské ústavy byl formulován v roce 1938. Emigranti z Německa zůstali u nás; byli sice živi bídně, ale žili. Mluvila jsem s ni</w:t>
      </w:r>
      <w:r>
        <w:t>mi v roce 1937. Ptala jsem se jich: Proč nejedete do Sovětského Svazu? Jste přece komunista? Bojoval jste v Němec</w:t>
      </w:r>
      <w:r>
        <w:softHyphen/>
        <w:t>ku pro vítězství komunismu, proč nejedete tedy tam? -— Řekl mi: »Nepustí mne tam. Ani myš se tam ne</w:t>
      </w:r>
      <w:r>
        <w:softHyphen/>
        <w:t xml:space="preserve">dostane. A pak — já bych nejel. Mám-li se </w:t>
      </w:r>
      <w:r>
        <w:t>dát zavřít nebo snad i odstřelit, to se rovnou vrátím domů. Tam budu aspoň vědět, proč mne zavřeli.. «</w:t>
      </w:r>
    </w:p>
    <w:p w:rsidR="00500724" w:rsidRDefault="00F30FB8">
      <w:pPr>
        <w:pStyle w:val="Zkladntext20"/>
        <w:shd w:val="clear" w:color="auto" w:fill="auto"/>
        <w:spacing w:line="202" w:lineRule="auto"/>
        <w:ind w:firstLine="260"/>
      </w:pPr>
      <w:r>
        <w:t>To jsou, víte, trpké věty člověka, který byl dvacet let komunistickým dělníkem, prodělal všechno, co bylo v Evropě komunistovi prodělat — od měsíců ne</w:t>
      </w:r>
      <w:r>
        <w:softHyphen/>
        <w:t>za</w:t>
      </w:r>
      <w:r>
        <w:t>městnanosti až po žalář a emigraci. Ale mimo to, že jsou trpké, ukazují, že komunisté — nikoli komu</w:t>
      </w:r>
      <w:r>
        <w:softHyphen/>
        <w:t>nističtí činovníci, nýbrž komunističtí dělníci — si sli</w:t>
      </w:r>
      <w:r>
        <w:softHyphen/>
        <w:t>bovali od eventuálního přijetí sovětské vlády málo laskavosti.</w:t>
      </w:r>
    </w:p>
    <w:p w:rsidR="00500724" w:rsidRDefault="00F30FB8">
      <w:pPr>
        <w:pStyle w:val="Zkladntext20"/>
        <w:shd w:val="clear" w:color="auto" w:fill="auto"/>
        <w:spacing w:after="260" w:line="202" w:lineRule="auto"/>
        <w:ind w:firstLine="260"/>
      </w:pPr>
      <w:r>
        <w:t>Když se ve Společnosti národů jednalo</w:t>
      </w:r>
      <w:r>
        <w:t xml:space="preserve"> o další za</w:t>
      </w:r>
      <w:r>
        <w:softHyphen/>
        <w:t>jištění a prodloužení Nansenova úřadu — té mezi</w:t>
      </w:r>
      <w:r>
        <w:softHyphen/>
        <w:t>národní společnosti, která se ve světovém měřítku sta-</w:t>
      </w:r>
    </w:p>
    <w:p w:rsidR="00500724" w:rsidRDefault="00F30FB8">
      <w:pPr>
        <w:pStyle w:val="Zkladntext40"/>
        <w:shd w:val="clear" w:color="auto" w:fill="auto"/>
        <w:spacing w:after="0" w:line="240" w:lineRule="auto"/>
      </w:pPr>
      <w:r>
        <w:rPr>
          <w:b/>
          <w:bCs/>
          <w:i/>
          <w:iCs/>
        </w:rPr>
        <w:t>iS»</w:t>
      </w:r>
    </w:p>
    <w:p w:rsidR="00500724" w:rsidRDefault="00F30FB8">
      <w:pPr>
        <w:pStyle w:val="Zkladntext20"/>
        <w:shd w:val="clear" w:color="auto" w:fill="auto"/>
        <w:spacing w:line="202" w:lineRule="auto"/>
        <w:ind w:firstLine="0"/>
      </w:pPr>
      <w:r>
        <w:t>rá o osud uprchlíků, vystoupil jediný proti další čin</w:t>
      </w:r>
      <w:r>
        <w:softHyphen/>
        <w:t xml:space="preserve">nosti této organisace — </w:t>
      </w:r>
      <w:r>
        <w:rPr>
          <w:lang w:val="en-US" w:eastAsia="en-US" w:bidi="en-US"/>
        </w:rPr>
        <w:t xml:space="preserve">Litvinov. </w:t>
      </w:r>
      <w:r>
        <w:t>Mluvil za Sovět* ský Svaz.</w:t>
      </w:r>
    </w:p>
    <w:p w:rsidR="00500724" w:rsidRDefault="00F30FB8">
      <w:pPr>
        <w:pStyle w:val="Zkladntext20"/>
        <w:shd w:val="clear" w:color="auto" w:fill="auto"/>
        <w:spacing w:line="202" w:lineRule="auto"/>
      </w:pPr>
      <w:r>
        <w:t xml:space="preserve">Když se roku 1936 </w:t>
      </w:r>
      <w:r>
        <w:t>blížily čtyři Francovy kolony k Madridu, zachránila Madrid mezinárodní brigáda dobrovolníků. Mezinárodní brigáda dobrovolníků vnesla také první vojenské zkušenosti a vojenský vý</w:t>
      </w:r>
      <w:r>
        <w:softHyphen/>
        <w:t>cvik do domácí španělské armády. Ta mezinárodní brigáda čítala mnoho deset tis</w:t>
      </w:r>
      <w:r>
        <w:t>íc mužů a byli to věru muži stateční. Když padla Barcelona, zbylo jich ve Španělsku — 8000! Tehdy rozeslala španělská vláda po všech konsulátech v Barceloně dotazníky s ně</w:t>
      </w:r>
      <w:r>
        <w:softHyphen/>
        <w:t>kolika otázkami: Přijmete svého občana zpět? Posta</w:t>
      </w:r>
      <w:r>
        <w:softHyphen/>
        <w:t>ráte se o jeho cestovné od španěl</w:t>
      </w:r>
      <w:r>
        <w:t>ských hranic? Zaru</w:t>
      </w:r>
      <w:r>
        <w:softHyphen/>
        <w:t>čujete mu beztrestnost? Nuže: Česko-Slovensko při</w:t>
      </w:r>
      <w:r>
        <w:softHyphen/>
        <w:t xml:space="preserve">jalo své občany zpátky i do té mizerie, kterou jim mohlo nabídnout. A občané česko-slovenští vydali se do Španělska bojovat bez vědomí své vlády, tajně </w:t>
      </w:r>
      <w:r>
        <w:rPr>
          <w:b/>
          <w:bCs/>
          <w:sz w:val="26"/>
          <w:szCs w:val="26"/>
        </w:rPr>
        <w:t xml:space="preserve">á </w:t>
      </w:r>
      <w:r>
        <w:t>na vlastní pěst. Sovětský Svaz ne</w:t>
      </w:r>
      <w:r>
        <w:t>přijal zpět lidi, které tam poslal — a muži ze Sovětského Svazu odešli do Španělska z příkazu sovětské vlády. Ovšem, byli to Němci, Rakušané, Maďaři, Jihoslované, Poláci, Formálně nebyli většinou sovětskými občany. Byli jenom — komunisty. Po dlouhých úradá</w:t>
      </w:r>
      <w:r>
        <w:t>ch jich polovinu vzalo Mexiko. Druhá polovina — tam zůstala.</w:t>
      </w:r>
    </w:p>
    <w:p w:rsidR="00500724" w:rsidRDefault="00F30FB8">
      <w:pPr>
        <w:pStyle w:val="Zkladntext20"/>
        <w:shd w:val="clear" w:color="auto" w:fill="auto"/>
        <w:spacing w:line="202" w:lineRule="auto"/>
      </w:pPr>
      <w:r>
        <w:t>Vysláním dobrovolníků do mezinárodních brigád zabil Sovětský Svaz dvě mouchy jednou ranou. Zbavil se jednak téměř všech emigrantů, které v dřívějších letech přijal — v Moskvě zůstali jenom vybran</w:t>
      </w:r>
      <w:r>
        <w:t>í činov</w:t>
      </w:r>
      <w:r>
        <w:softHyphen/>
        <w:t>níci — a jednak měl ve Španělsku spolehlivé lidi. Zkuste se zeptat, co zůstalo z německé emigrace, kte</w:t>
      </w:r>
      <w:r>
        <w:softHyphen/>
        <w:t xml:space="preserve">rá se uchýlila do Sovětského Svazu, a shledáte, </w:t>
      </w:r>
      <w:r>
        <w:rPr>
          <w:b/>
          <w:bCs/>
          <w:sz w:val="26"/>
          <w:szCs w:val="26"/>
        </w:rPr>
        <w:t xml:space="preserve">že </w:t>
      </w:r>
      <w:r>
        <w:t>kosti německých komunistů leží hlavně pod Madri</w:t>
      </w:r>
      <w:r>
        <w:softHyphen/>
        <w:t>dem. Stejný osud stihl maďarskou, jugoslávskou</w:t>
      </w:r>
      <w:r>
        <w:t xml:space="preserve"> </w:t>
      </w:r>
      <w:r>
        <w:rPr>
          <w:b/>
          <w:bCs/>
          <w:sz w:val="26"/>
          <w:szCs w:val="26"/>
        </w:rPr>
        <w:t xml:space="preserve">a </w:t>
      </w:r>
      <w:r>
        <w:t>polskou emigraci komunistickou. Z 80.000 dobrovol</w:t>
      </w:r>
      <w:r>
        <w:softHyphen/>
        <w:t>níků ve Španělsku zbývá jenom desetina — ale teď se’ ani ona nesměla vrátit do Sovětského Svazu. A nesmí se tam uchýlit ani lidé, které osud nutí opustit dosa</w:t>
      </w:r>
      <w:r>
        <w:softHyphen/>
        <w:t>vadní domovy.</w:t>
      </w:r>
    </w:p>
    <w:p w:rsidR="00500724" w:rsidRDefault="00F30FB8">
      <w:pPr>
        <w:pStyle w:val="Zkladntext20"/>
        <w:shd w:val="clear" w:color="auto" w:fill="auto"/>
        <w:spacing w:line="202" w:lineRule="auto"/>
      </w:pPr>
      <w:r>
        <w:t>Nelze závidět nikomu, kdo se u</w:t>
      </w:r>
      <w:r>
        <w:t>chýlí do Sovětského Ruska — a přece! V Evropě představuje Sovětský Svaz zemi, která by nejsnadněji mohla přijmout a strávit socialistickou i jinou emigraci. Kolik je tam půdy, která čeká na obdělání! Co by mohla emigrace vykonat na Sibiři, na Dálném východ</w:t>
      </w:r>
      <w:r>
        <w:t>ě a ve východ</w:t>
      </w:r>
      <w:r>
        <w:softHyphen/>
        <w:t>ních svazových republikách! Jak často slyšíme o ne</w:t>
      </w:r>
      <w:r>
        <w:softHyphen/>
        <w:t xml:space="preserve">dostatku kvalifikovaných sil v průmyslu, zemědělství i ve vědě — a emigranti ze západu jsou jistě výborní pracovníci. I kdyby Sovětský Svaz přijal milion nebo dva miliony emigrantů, co by to </w:t>
      </w:r>
      <w:r>
        <w:t xml:space="preserve">znamenalo pro zemí s tak ohromnou plochou, s tolika možnostmi a se 170 miliony obyvatel? Co by to bylo pro zemi, kde by většina emigrantů mohla hráti opravdu pionýrskou úlohu? Proč tedy nedodržuje Sovětský Svaz vlastní ústavu, má-li tolik rad a výtek vůči </w:t>
      </w:r>
      <w:r>
        <w:t xml:space="preserve">maličkému Cesko-Slovensku? Nechtěl by nám moskevský rozhlas tuto záhadu vysvětlit? A nechtěl by nám říci, co </w:t>
      </w:r>
      <w:r>
        <w:rPr>
          <w:b/>
          <w:bCs/>
          <w:sz w:val="26"/>
          <w:szCs w:val="26"/>
        </w:rPr>
        <w:t xml:space="preserve">se </w:t>
      </w:r>
      <w:r>
        <w:t xml:space="preserve">stalo s mnohými česko-slovenskými komunisty </w:t>
      </w:r>
      <w:r>
        <w:rPr>
          <w:b/>
          <w:bCs/>
          <w:sz w:val="26"/>
          <w:szCs w:val="26"/>
        </w:rPr>
        <w:t xml:space="preserve">a </w:t>
      </w:r>
      <w:r>
        <w:t>prostými českými dělníky, kteří se do Sovětského Svazu uchýlili před lety jednak před tresty a jed</w:t>
      </w:r>
      <w:r>
        <w:t>nak za prací? Nedověděli bychom se na příklad, že většina jich sedí ve vězeních GPU?</w:t>
      </w:r>
    </w:p>
    <w:p w:rsidR="00500724" w:rsidRDefault="00F30FB8">
      <w:pPr>
        <w:pStyle w:val="Zkladntext20"/>
        <w:shd w:val="clear" w:color="auto" w:fill="auto"/>
        <w:spacing w:line="202" w:lineRule="auto"/>
        <w:rPr>
          <w:sz w:val="20"/>
          <w:szCs w:val="20"/>
        </w:rPr>
      </w:pPr>
      <w:r>
        <w:t>Tak se chová SSSR k lidem, kteří se bláhové domní</w:t>
      </w:r>
      <w:r>
        <w:softHyphen/>
        <w:t>vali, že být komunistou je totéž, jako stát pod ochra</w:t>
      </w:r>
      <w:r>
        <w:softHyphen/>
        <w:t>nou sovětské vlády. Tak se chová SSSR k lidem, které školil a posla</w:t>
      </w:r>
      <w:r>
        <w:t xml:space="preserve">l do světa, aby hlásali komunistické učení. Jakmile se stanou emigranty, nemají do »ma- teřského« státu přístupu. Nepřijímají je zřejmě proto, že znají západ. Protože mají jakýsi pojem o svobodě, O pečlivé práci a lidském právu. Snad i proto, že mají málo </w:t>
      </w:r>
      <w:r>
        <w:t>smyslu pro kult jedné osoby. To dodávám proto, abych nevzbudila klamný dojem, že lituji komunisty západních zemí, poněvadž nemohou do SSSR. Jsou mezi nimi lidé, jichž si hluboce vážím, a lidé, jichž si hluboce nevážím. Ale moje osobní nevážnost k ja</w:t>
      </w:r>
      <w:r>
        <w:softHyphen/>
        <w:t>kémuko</w:t>
      </w:r>
      <w:r>
        <w:t xml:space="preserve">li člověku nemůže jít tak daleko, abych mu přála, aby byl dnes přijat »vlastí všech pracujících...« </w:t>
      </w:r>
      <w:r>
        <w:rPr>
          <w:i/>
          <w:iCs/>
          <w:sz w:val="20"/>
          <w:szCs w:val="20"/>
        </w:rPr>
        <w:t>J o s ef Pachta (Londýn):</w:t>
      </w:r>
    </w:p>
    <w:p w:rsidR="00500724" w:rsidRDefault="00F30FB8">
      <w:pPr>
        <w:pStyle w:val="Nadpis100"/>
        <w:shd w:val="clear" w:color="auto" w:fill="auto"/>
        <w:spacing w:line="233" w:lineRule="auto"/>
        <w:ind w:left="180"/>
        <w:jc w:val="left"/>
      </w:pPr>
      <w:bookmarkStart w:id="239" w:name="bookmark238"/>
      <w:r>
        <w:t>Připravuje se Anglie na válku?</w:t>
      </w:r>
      <w:bookmarkEnd w:id="239"/>
    </w:p>
    <w:p w:rsidR="00500724" w:rsidRDefault="00F30FB8">
      <w:pPr>
        <w:pStyle w:val="Zkladntext40"/>
        <w:shd w:val="clear" w:color="auto" w:fill="auto"/>
        <w:spacing w:after="0" w:line="286" w:lineRule="auto"/>
        <w:jc w:val="center"/>
        <w:rPr>
          <w:sz w:val="14"/>
          <w:szCs w:val="14"/>
        </w:rPr>
      </w:pPr>
      <w:r>
        <w:rPr>
          <w:b/>
          <w:bCs/>
          <w:sz w:val="14"/>
          <w:szCs w:val="14"/>
        </w:rPr>
        <w:t>Co se stalo od Mnichova?</w:t>
      </w:r>
    </w:p>
    <w:p w:rsidR="00500724" w:rsidRDefault="00F30FB8">
      <w:pPr>
        <w:pStyle w:val="Zkladntext40"/>
        <w:shd w:val="clear" w:color="auto" w:fill="auto"/>
        <w:spacing w:after="0" w:line="286" w:lineRule="auto"/>
        <w:ind w:firstLine="240"/>
        <w:rPr>
          <w:sz w:val="14"/>
          <w:szCs w:val="14"/>
        </w:rPr>
      </w:pPr>
      <w:r>
        <w:rPr>
          <w:b/>
          <w:bCs/>
          <w:sz w:val="14"/>
          <w:szCs w:val="14"/>
        </w:rPr>
        <w:t xml:space="preserve">Připravuje se Anglie vskutku na válku? — táží se Jni liony lidí nejen na </w:t>
      </w:r>
      <w:r>
        <w:rPr>
          <w:b/>
          <w:bCs/>
          <w:sz w:val="14"/>
          <w:szCs w:val="14"/>
        </w:rPr>
        <w:t>pevnině, ale i v Anglii. Ačkoli ynější okolnosti, především trojnásobná vydání na vo</w:t>
      </w:r>
      <w:r>
        <w:rPr>
          <w:b/>
          <w:bCs/>
          <w:sz w:val="14"/>
          <w:szCs w:val="14"/>
        </w:rPr>
        <w:softHyphen/>
        <w:t>jenské účely v posledních třech letech, desetkrát větší Výkonnost zbrojovek a zvýšený stav vojenských formací naznačují, že Anglie počítá s možností války, je v Anglii i m</w:t>
      </w:r>
      <w:r>
        <w:rPr>
          <w:b/>
          <w:bCs/>
          <w:sz w:val="14"/>
          <w:szCs w:val="14"/>
        </w:rPr>
        <w:t>imo Anglie dost optimistů, kteří jsou přesvědčeni o opaku. K těmto optimistům patří především britská .vláda s Chamberlainem v čele.</w:t>
      </w:r>
    </w:p>
    <w:p w:rsidR="00500724" w:rsidRDefault="00F30FB8">
      <w:pPr>
        <w:pStyle w:val="Zkladntext40"/>
        <w:shd w:val="clear" w:color="auto" w:fill="auto"/>
        <w:spacing w:after="0" w:line="257" w:lineRule="auto"/>
        <w:ind w:firstLine="240"/>
        <w:rPr>
          <w:sz w:val="14"/>
          <w:szCs w:val="14"/>
        </w:rPr>
      </w:pPr>
      <w:r>
        <w:rPr>
          <w:b/>
          <w:bCs/>
          <w:sz w:val="14"/>
          <w:szCs w:val="14"/>
        </w:rPr>
        <w:t xml:space="preserve">Jak máme potom rozumět úžasnému úsilí, jež Anglie Spolu s dominiemi, koloniemi a protektoráty vyvíjí, aby </w:t>
      </w:r>
      <w:r>
        <w:rPr>
          <w:b/>
          <w:bCs/>
          <w:sz w:val="20"/>
          <w:szCs w:val="20"/>
        </w:rPr>
        <w:t xml:space="preserve">V </w:t>
      </w:r>
      <w:r>
        <w:rPr>
          <w:b/>
          <w:bCs/>
          <w:sz w:val="14"/>
          <w:szCs w:val="14"/>
        </w:rPr>
        <w:t>ozbrojovací sou</w:t>
      </w:r>
      <w:r>
        <w:rPr>
          <w:b/>
          <w:bCs/>
          <w:sz w:val="14"/>
          <w:szCs w:val="14"/>
        </w:rPr>
        <w:t>těži nejen obstála, ale dostala se v mno</w:t>
      </w:r>
      <w:r>
        <w:rPr>
          <w:b/>
          <w:bCs/>
          <w:sz w:val="14"/>
          <w:szCs w:val="14"/>
        </w:rPr>
        <w:softHyphen/>
        <w:t>hém dokonce i na první místo?</w:t>
      </w:r>
    </w:p>
    <w:p w:rsidR="00500724" w:rsidRDefault="00F30FB8">
      <w:pPr>
        <w:pStyle w:val="Zkladntext40"/>
        <w:shd w:val="clear" w:color="auto" w:fill="auto"/>
        <w:spacing w:after="0" w:line="276" w:lineRule="auto"/>
        <w:ind w:firstLine="240"/>
        <w:rPr>
          <w:sz w:val="14"/>
          <w:szCs w:val="14"/>
        </w:rPr>
      </w:pPr>
      <w:r>
        <w:rPr>
          <w:b/>
          <w:bCs/>
          <w:sz w:val="14"/>
          <w:szCs w:val="14"/>
        </w:rPr>
        <w:t>Odpověď je velmi jednoduchá: Velká Britanie musí Vyvinouti toto úsilí, aby si ve světě udržela svou posici a všechno, co s tím souvisí. Nemilé vystřízlivění nastalo, když na podzim r. 1</w:t>
      </w:r>
      <w:r>
        <w:rPr>
          <w:b/>
          <w:bCs/>
          <w:sz w:val="14"/>
          <w:szCs w:val="14"/>
        </w:rPr>
        <w:t>936 britské válečné lodi ve Středo</w:t>
      </w:r>
      <w:r>
        <w:rPr>
          <w:b/>
          <w:bCs/>
          <w:sz w:val="14"/>
          <w:szCs w:val="14"/>
        </w:rPr>
        <w:softHyphen/>
        <w:t>zemním moři hlásily, že jejich muniční komory jsou prázdné, ačkoli lodi byly do Středozemního moře vy</w:t>
      </w:r>
      <w:r>
        <w:rPr>
          <w:b/>
          <w:bCs/>
          <w:sz w:val="14"/>
          <w:szCs w:val="14"/>
        </w:rPr>
        <w:softHyphen/>
        <w:t>slány, aby po případě zabránily italským lodím pokra- Čovati ve válce habešské. Nepříjemná zkušenost po</w:t>
      </w:r>
      <w:r>
        <w:rPr>
          <w:b/>
          <w:bCs/>
          <w:sz w:val="14"/>
          <w:szCs w:val="14"/>
        </w:rPr>
        <w:softHyphen/>
        <w:t>stihla Anglii u</w:t>
      </w:r>
      <w:r>
        <w:rPr>
          <w:b/>
          <w:bCs/>
          <w:sz w:val="14"/>
          <w:szCs w:val="14"/>
        </w:rPr>
        <w:t>ž v roce 1935, když tehdejší ministr le</w:t>
      </w:r>
      <w:r>
        <w:rPr>
          <w:b/>
          <w:bCs/>
          <w:sz w:val="14"/>
          <w:szCs w:val="14"/>
        </w:rPr>
        <w:softHyphen/>
        <w:t xml:space="preserve">tectví, </w:t>
      </w:r>
      <w:r>
        <w:rPr>
          <w:b/>
          <w:bCs/>
          <w:sz w:val="14"/>
          <w:szCs w:val="14"/>
          <w:lang w:val="en-US" w:eastAsia="en-US" w:bidi="en-US"/>
        </w:rPr>
        <w:t xml:space="preserve">lord Londonderry, </w:t>
      </w:r>
      <w:r>
        <w:rPr>
          <w:b/>
          <w:bCs/>
          <w:sz w:val="14"/>
          <w:szCs w:val="14"/>
        </w:rPr>
        <w:t>prohlásil, že Německo má pou</w:t>
      </w:r>
      <w:r>
        <w:rPr>
          <w:b/>
          <w:bCs/>
          <w:sz w:val="14"/>
          <w:szCs w:val="14"/>
        </w:rPr>
        <w:softHyphen/>
        <w:t xml:space="preserve">ze 250 vojenských letadel, ale maršál </w:t>
      </w:r>
      <w:r>
        <w:rPr>
          <w:b/>
          <w:bCs/>
          <w:sz w:val="14"/>
          <w:szCs w:val="14"/>
          <w:lang w:val="en-US" w:eastAsia="en-US" w:bidi="en-US"/>
        </w:rPr>
        <w:t xml:space="preserve">Goring </w:t>
      </w:r>
      <w:r>
        <w:rPr>
          <w:b/>
          <w:bCs/>
          <w:sz w:val="14"/>
          <w:szCs w:val="14"/>
        </w:rPr>
        <w:t>za několik neděl hrdě oznámil, že Třetí říše má asi desetkrát tolik válečných strojů. Nejhorším překvapením bylo vša</w:t>
      </w:r>
      <w:r>
        <w:rPr>
          <w:b/>
          <w:bCs/>
          <w:sz w:val="14"/>
          <w:szCs w:val="14"/>
        </w:rPr>
        <w:t xml:space="preserve">k pro veřejnost poznání, že by Anglie v září 1938 nebyla mohla </w:t>
      </w:r>
      <w:r>
        <w:rPr>
          <w:b/>
          <w:bCs/>
          <w:sz w:val="20"/>
          <w:szCs w:val="20"/>
        </w:rPr>
        <w:t xml:space="preserve">v </w:t>
      </w:r>
      <w:r>
        <w:rPr>
          <w:b/>
          <w:bCs/>
          <w:sz w:val="14"/>
          <w:szCs w:val="14"/>
        </w:rPr>
        <w:t>prvních týdnech účinně přispěti na pomoc Francii, zatím co v srpnu 1914 mohla vyslati do Francie a Belgie okamžitě čtyři divise.</w:t>
      </w:r>
    </w:p>
    <w:p w:rsidR="00500724" w:rsidRDefault="00F30FB8">
      <w:pPr>
        <w:pStyle w:val="Zkladntext40"/>
        <w:shd w:val="clear" w:color="auto" w:fill="auto"/>
        <w:spacing w:after="40" w:line="286" w:lineRule="auto"/>
        <w:ind w:firstLine="240"/>
        <w:rPr>
          <w:sz w:val="14"/>
          <w:szCs w:val="14"/>
        </w:rPr>
      </w:pPr>
      <w:r>
        <w:rPr>
          <w:b/>
          <w:bCs/>
          <w:sz w:val="14"/>
          <w:szCs w:val="14"/>
        </w:rPr>
        <w:t>Byl to úmyslný nebo jenom logický následek politiky, kterou br</w:t>
      </w:r>
      <w:r>
        <w:rPr>
          <w:b/>
          <w:bCs/>
          <w:sz w:val="14"/>
          <w:szCs w:val="14"/>
        </w:rPr>
        <w:t xml:space="preserve">itská vláda do r. 1938 sledovala? Možná, že obojí. S technického hlediska budil v letech 1925—35 největší nejistotu vývoj letectva. Hlavní zbraní Velké Britanie je loďstvo a teprve potom pozemní armáda a letectvo. Britští odborníci byli na pochybách, jaký </w:t>
      </w:r>
      <w:r>
        <w:rPr>
          <w:b/>
          <w:bCs/>
          <w:sz w:val="14"/>
          <w:szCs w:val="14"/>
        </w:rPr>
        <w:t>bude další vývoj: ztratí loďstvo následkem leteckého rozvoje pa významu a stane se hlavní zbraní letectvo? Tyto po</w:t>
      </w:r>
      <w:r>
        <w:rPr>
          <w:b/>
          <w:bCs/>
          <w:sz w:val="14"/>
          <w:szCs w:val="14"/>
        </w:rPr>
        <w:softHyphen/>
        <w:t>chybnosti brzdily ovšem všechnu činnost. Problém není ještě zcela rozřešen, zdá se však, že se Anglie už roz</w:t>
      </w:r>
      <w:r>
        <w:rPr>
          <w:b/>
          <w:bCs/>
          <w:sz w:val="14"/>
          <w:szCs w:val="14"/>
        </w:rPr>
        <w:softHyphen/>
        <w:t>hodla: v zájmu bezpečnosti je ra</w:t>
      </w:r>
      <w:r>
        <w:rPr>
          <w:b/>
          <w:bCs/>
          <w:sz w:val="14"/>
          <w:szCs w:val="14"/>
        </w:rPr>
        <w:t>dno, aby letectvo bylo na druhém místě. Vojenský rozpočet pro rok 1939 mluví jasně. Poměr vydání na letectvo, loďstvo a armádu je vyjádřen číslicemi: 20 : 14 : 13. Letectvo je tedy na prv</w:t>
      </w:r>
      <w:r>
        <w:rPr>
          <w:b/>
          <w:bCs/>
          <w:sz w:val="14"/>
          <w:szCs w:val="14"/>
        </w:rPr>
        <w:softHyphen/>
        <w:t>ním místě, ale prozatím pouze v rozpočtu.</w:t>
      </w:r>
    </w:p>
    <w:p w:rsidR="00500724" w:rsidRDefault="00F30FB8">
      <w:pPr>
        <w:pStyle w:val="Zkladntext40"/>
        <w:shd w:val="clear" w:color="auto" w:fill="auto"/>
        <w:spacing w:after="0" w:line="286" w:lineRule="auto"/>
        <w:jc w:val="center"/>
        <w:rPr>
          <w:sz w:val="14"/>
          <w:szCs w:val="14"/>
        </w:rPr>
      </w:pPr>
      <w:r>
        <w:rPr>
          <w:b/>
          <w:bCs/>
          <w:sz w:val="14"/>
          <w:szCs w:val="14"/>
        </w:rPr>
        <w:t>Britská válečná moc</w:t>
      </w:r>
    </w:p>
    <w:p w:rsidR="00500724" w:rsidRDefault="00F30FB8">
      <w:pPr>
        <w:pStyle w:val="Zkladntext40"/>
        <w:shd w:val="clear" w:color="auto" w:fill="auto"/>
        <w:spacing w:after="0" w:line="271" w:lineRule="auto"/>
        <w:ind w:firstLine="240"/>
        <w:rPr>
          <w:sz w:val="14"/>
          <w:szCs w:val="14"/>
        </w:rPr>
      </w:pPr>
      <w:r>
        <w:rPr>
          <w:b/>
          <w:bCs/>
          <w:sz w:val="14"/>
          <w:szCs w:val="14"/>
        </w:rPr>
        <w:t>Slyším</w:t>
      </w:r>
      <w:r>
        <w:rPr>
          <w:b/>
          <w:bCs/>
          <w:sz w:val="14"/>
          <w:szCs w:val="14"/>
        </w:rPr>
        <w:t>e-li o obrovských číslicích britského zbrojení, musíme si uvědomit, že tato čísla nejsou dosti výstižná, poněvadž dominia, kolonie a protektoráty mají vlastní .vojenské rozpočty. Bezpečnosti celé světové říše týká se vlastně jenom rozpočet na loďstvo a nám</w:t>
      </w:r>
      <w:r>
        <w:rPr>
          <w:b/>
          <w:bCs/>
          <w:sz w:val="14"/>
          <w:szCs w:val="14"/>
        </w:rPr>
        <w:t xml:space="preserve">ořní letectvo, které od minulého roku tvoří samostatnou položku. 218.000 žoldnéřů, z nichž regulérní armáda pozůstává </w:t>
      </w:r>
      <w:r>
        <w:rPr>
          <w:b/>
          <w:bCs/>
          <w:sz w:val="20"/>
          <w:szCs w:val="20"/>
        </w:rPr>
        <w:t xml:space="preserve">a </w:t>
      </w:r>
      <w:r>
        <w:rPr>
          <w:b/>
          <w:bCs/>
          <w:sz w:val="14"/>
          <w:szCs w:val="14"/>
        </w:rPr>
        <w:t xml:space="preserve">z nichž 114.000 koná službu </w:t>
      </w:r>
      <w:r>
        <w:rPr>
          <w:b/>
          <w:bCs/>
          <w:sz w:val="20"/>
          <w:szCs w:val="20"/>
        </w:rPr>
        <w:t xml:space="preserve">v </w:t>
      </w:r>
      <w:r>
        <w:rPr>
          <w:b/>
          <w:bCs/>
          <w:sz w:val="14"/>
          <w:szCs w:val="14"/>
        </w:rPr>
        <w:t>mateřské zemi, chrání pouze Indii a Burmu, Bermudské ostrovy a Jamaiku, opevnění na Maltě a Gibraltaru, Eg</w:t>
      </w:r>
      <w:r>
        <w:rPr>
          <w:b/>
          <w:bCs/>
          <w:sz w:val="14"/>
          <w:szCs w:val="14"/>
        </w:rPr>
        <w:t xml:space="preserve">ypt, </w:t>
      </w:r>
      <w:r>
        <w:rPr>
          <w:b/>
          <w:bCs/>
          <w:sz w:val="14"/>
          <w:szCs w:val="14"/>
          <w:lang w:val="en-US" w:eastAsia="en-US" w:bidi="en-US"/>
        </w:rPr>
        <w:t xml:space="preserve">Sudan, </w:t>
      </w:r>
      <w:r>
        <w:rPr>
          <w:b/>
          <w:bCs/>
          <w:sz w:val="14"/>
          <w:szCs w:val="14"/>
        </w:rPr>
        <w:t xml:space="preserve">malajské kraje, Palestinu, Čínu a několik menších kolonií. Záloha a náhradní záloha této armády čítá 140.000 mužů. Do toho nejsou ovšem zahrnuty vojáci dominií v </w:t>
      </w:r>
      <w:r>
        <w:rPr>
          <w:b/>
          <w:bCs/>
          <w:sz w:val="14"/>
          <w:szCs w:val="14"/>
          <w:u w:val="single"/>
        </w:rPr>
        <w:t>Am</w:t>
      </w:r>
      <w:r>
        <w:rPr>
          <w:b/>
          <w:bCs/>
          <w:sz w:val="14"/>
          <w:szCs w:val="14"/>
        </w:rPr>
        <w:t>erice, Asii, Africe, Austrálii a Novém Zélandu. Nejsou v tom ani barevné pluky v</w:t>
      </w:r>
      <w:r>
        <w:rPr>
          <w:b/>
          <w:bCs/>
          <w:sz w:val="14"/>
          <w:szCs w:val="14"/>
        </w:rPr>
        <w:t xml:space="preserve">e všech koloniích a Indii, dokonce ani tak zvaná teritoriální armáda, která měla v lednu 10.850 důstojníků a 193.204 mužů, </w:t>
      </w:r>
      <w:r>
        <w:rPr>
          <w:sz w:val="18"/>
          <w:szCs w:val="18"/>
        </w:rPr>
        <w:t xml:space="preserve">t. }. </w:t>
      </w:r>
      <w:r>
        <w:rPr>
          <w:b/>
          <w:bCs/>
          <w:sz w:val="14"/>
          <w:szCs w:val="14"/>
        </w:rPr>
        <w:t>o 1759 důstojníků a 43.407 mužů víc, než loni. Těchto 18 divisi, které jsou vlastně domobranou, koná službu jenom v Anglii. Ne</w:t>
      </w:r>
      <w:r>
        <w:rPr>
          <w:b/>
          <w:bCs/>
          <w:sz w:val="14"/>
          <w:szCs w:val="14"/>
        </w:rPr>
        <w:softHyphen/>
      </w:r>
      <w:r>
        <w:rPr>
          <w:b/>
          <w:bCs/>
          <w:sz w:val="14"/>
          <w:szCs w:val="14"/>
        </w:rPr>
        <w:t>jsou v to zahrnuti ani námořníci válečného loďstva, jichž je dnes 130.000, ani letci výlučně anglického le</w:t>
      </w:r>
      <w:r>
        <w:rPr>
          <w:b/>
          <w:bCs/>
          <w:sz w:val="14"/>
          <w:szCs w:val="14"/>
        </w:rPr>
        <w:softHyphen/>
        <w:t>tectva.</w:t>
      </w:r>
    </w:p>
    <w:p w:rsidR="00500724" w:rsidRDefault="00F30FB8">
      <w:pPr>
        <w:pStyle w:val="Zkladntext40"/>
        <w:shd w:val="clear" w:color="auto" w:fill="auto"/>
        <w:spacing w:after="0" w:line="276" w:lineRule="auto"/>
        <w:jc w:val="center"/>
        <w:rPr>
          <w:sz w:val="14"/>
          <w:szCs w:val="14"/>
        </w:rPr>
      </w:pPr>
      <w:r>
        <w:rPr>
          <w:b/>
          <w:bCs/>
          <w:sz w:val="14"/>
          <w:szCs w:val="14"/>
        </w:rPr>
        <w:t>Dobrovolná služba nebo branná</w:t>
      </w:r>
      <w:r>
        <w:rPr>
          <w:b/>
          <w:bCs/>
          <w:sz w:val="14"/>
          <w:szCs w:val="14"/>
        </w:rPr>
        <w:br/>
        <w:t>povinnost?</w:t>
      </w:r>
    </w:p>
    <w:p w:rsidR="00500724" w:rsidRDefault="00F30FB8">
      <w:pPr>
        <w:pStyle w:val="Zkladntext40"/>
        <w:shd w:val="clear" w:color="auto" w:fill="auto"/>
        <w:spacing w:after="0" w:line="286" w:lineRule="auto"/>
        <w:ind w:firstLine="220"/>
        <w:rPr>
          <w:sz w:val="14"/>
          <w:szCs w:val="14"/>
        </w:rPr>
      </w:pPr>
      <w:r>
        <w:rPr>
          <w:b/>
          <w:bCs/>
          <w:sz w:val="14"/>
          <w:szCs w:val="14"/>
        </w:rPr>
        <w:t xml:space="preserve">Lidé na pevnině nedovedou pochopit, proč nezavede Anglie všeobecnou brannou povinnost, obětuje-li </w:t>
      </w:r>
      <w:r>
        <w:rPr>
          <w:b/>
          <w:bCs/>
          <w:sz w:val="14"/>
          <w:szCs w:val="14"/>
        </w:rPr>
        <w:t>pro obranu země takové ohromné finanční a technické pro</w:t>
      </w:r>
      <w:r>
        <w:rPr>
          <w:b/>
          <w:bCs/>
          <w:sz w:val="14"/>
          <w:szCs w:val="14"/>
        </w:rPr>
        <w:softHyphen/>
        <w:t>středky. Je pravda, že si na příklad válečné loďstvo na</w:t>
      </w:r>
      <w:r>
        <w:rPr>
          <w:b/>
          <w:bCs/>
          <w:sz w:val="14"/>
          <w:szCs w:val="14"/>
        </w:rPr>
        <w:softHyphen/>
        <w:t>říká na nedostatek profesionálů pro nové, velké bitevní lodi a ponorky. Důstojníci z doplňovacích velitelství evropských armád se usmívají, čtou</w:t>
      </w:r>
      <w:r>
        <w:rPr>
          <w:b/>
          <w:bCs/>
          <w:sz w:val="14"/>
          <w:szCs w:val="14"/>
        </w:rPr>
        <w:t>-li, že britský mi</w:t>
      </w:r>
      <w:r>
        <w:rPr>
          <w:b/>
          <w:bCs/>
          <w:sz w:val="14"/>
          <w:szCs w:val="14"/>
        </w:rPr>
        <w:softHyphen/>
        <w:t>nistr války je hrdý, poněvadž se mu loni podařilo získat</w:t>
      </w:r>
    </w:p>
    <w:p w:rsidR="00500724" w:rsidRDefault="00F30FB8">
      <w:pPr>
        <w:pStyle w:val="Zkladntext40"/>
        <w:framePr w:dropCap="drop" w:lines="2" w:wrap="auto" w:vAnchor="text" w:hAnchor="text"/>
        <w:shd w:val="clear" w:color="auto" w:fill="auto"/>
        <w:spacing w:line="278" w:lineRule="exact"/>
        <w:rPr>
          <w:sz w:val="14"/>
          <w:szCs w:val="14"/>
        </w:rPr>
      </w:pPr>
      <w:r>
        <w:rPr>
          <w:rFonts w:ascii="Arial" w:eastAsia="Arial" w:hAnsi="Arial" w:cs="Arial"/>
          <w:b/>
          <w:bCs/>
          <w:position w:val="-6"/>
          <w:sz w:val="32"/>
          <w:szCs w:val="32"/>
        </w:rPr>
        <w:t>f</w:t>
      </w:r>
    </w:p>
    <w:p w:rsidR="00500724" w:rsidRDefault="00F30FB8">
      <w:pPr>
        <w:pStyle w:val="Zkladntext40"/>
        <w:shd w:val="clear" w:color="auto" w:fill="auto"/>
        <w:spacing w:after="0" w:line="286" w:lineRule="auto"/>
        <w:rPr>
          <w:sz w:val="14"/>
          <w:szCs w:val="14"/>
        </w:rPr>
      </w:pPr>
      <w:r>
        <w:rPr>
          <w:b/>
          <w:bCs/>
          <w:sz w:val="14"/>
          <w:szCs w:val="14"/>
        </w:rPr>
        <w:t>&gt;ro regulérní armádu 29.000 nováčků. Očekává se, že etos se přihlásí 40.000 nováčků a že se stav armády zvýší na 185.000 mužů. Ale i tato čísla jsou klamná. Jak</w:t>
      </w:r>
      <w:r>
        <w:rPr>
          <w:b/>
          <w:bCs/>
          <w:sz w:val="14"/>
          <w:szCs w:val="14"/>
        </w:rPr>
        <w:softHyphen/>
        <w:t xml:space="preserve">mile se v </w:t>
      </w:r>
      <w:r>
        <w:rPr>
          <w:b/>
          <w:bCs/>
          <w:sz w:val="14"/>
          <w:szCs w:val="14"/>
        </w:rPr>
        <w:t>některém odvětví válečné moci projeví nedo</w:t>
      </w:r>
      <w:r>
        <w:rPr>
          <w:b/>
          <w:bCs/>
          <w:sz w:val="14"/>
          <w:szCs w:val="14"/>
        </w:rPr>
        <w:softHyphen/>
        <w:t>statek lidských sil, zlepšují se podmínky služby. Vojáci dostávají vyšší žold, zlepšuje se postup a celková sta</w:t>
      </w:r>
      <w:r>
        <w:rPr>
          <w:b/>
          <w:bCs/>
          <w:sz w:val="14"/>
          <w:szCs w:val="14"/>
        </w:rPr>
        <w:softHyphen/>
        <w:t>vovská úroveň. Vyšší nabídka stupňuje poptávku. Mezi 2 miliony nezaměstnaných je stále 200.000—300.00</w:t>
      </w:r>
      <w:r>
        <w:rPr>
          <w:b/>
          <w:bCs/>
          <w:sz w:val="14"/>
          <w:szCs w:val="14"/>
        </w:rPr>
        <w:t>0 mla</w:t>
      </w:r>
      <w:r>
        <w:rPr>
          <w:b/>
          <w:bCs/>
          <w:sz w:val="14"/>
          <w:szCs w:val="14"/>
        </w:rPr>
        <w:softHyphen/>
        <w:t>dých mužů v nejlepším věku, kteří se pro vojenskou službu hodí.</w:t>
      </w:r>
    </w:p>
    <w:p w:rsidR="00500724" w:rsidRDefault="00F30FB8">
      <w:pPr>
        <w:pStyle w:val="Zkladntext40"/>
        <w:shd w:val="clear" w:color="auto" w:fill="auto"/>
        <w:spacing w:after="0" w:line="286" w:lineRule="auto"/>
        <w:ind w:firstLine="220"/>
        <w:rPr>
          <w:sz w:val="14"/>
          <w:szCs w:val="14"/>
        </w:rPr>
      </w:pPr>
      <w:r>
        <w:rPr>
          <w:b/>
          <w:bCs/>
          <w:sz w:val="14"/>
          <w:szCs w:val="14"/>
        </w:rPr>
        <w:t>Proč však nezavádí Anglie všeobecnou brannou povin</w:t>
      </w:r>
      <w:r>
        <w:rPr>
          <w:b/>
          <w:bCs/>
          <w:sz w:val="14"/>
          <w:szCs w:val="14"/>
        </w:rPr>
        <w:softHyphen/>
        <w:t>nost ani v nejkritičtějších poměrech? Je-li něco tako</w:t>
      </w:r>
      <w:r>
        <w:rPr>
          <w:b/>
          <w:bCs/>
          <w:sz w:val="14"/>
          <w:szCs w:val="14"/>
        </w:rPr>
        <w:softHyphen/>
        <w:t>vého jako národní charakter, pak patří k anglickému charakteru, že opovrhuje donu</w:t>
      </w:r>
      <w:r>
        <w:rPr>
          <w:b/>
          <w:bCs/>
          <w:sz w:val="14"/>
          <w:szCs w:val="14"/>
        </w:rPr>
        <w:t>covacími prostředky. Z britského člověka lze vždycky vytěžit víc dobrovol</w:t>
      </w:r>
      <w:r>
        <w:rPr>
          <w:b/>
          <w:bCs/>
          <w:sz w:val="14"/>
          <w:szCs w:val="14"/>
        </w:rPr>
        <w:softHyphen/>
        <w:t>ností, byf i průhlednou, než nátlakem: to je pevné pře</w:t>
      </w:r>
      <w:r>
        <w:rPr>
          <w:b/>
          <w:bCs/>
          <w:sz w:val="14"/>
          <w:szCs w:val="14"/>
        </w:rPr>
        <w:softHyphen/>
        <w:t xml:space="preserve">svědčení Angličanů. Když v únoru mluvil </w:t>
      </w:r>
      <w:r>
        <w:rPr>
          <w:b/>
          <w:bCs/>
          <w:sz w:val="14"/>
          <w:szCs w:val="14"/>
          <w:lang w:val="en-US" w:eastAsia="en-US" w:bidi="en-US"/>
        </w:rPr>
        <w:t xml:space="preserve">Chamberlain </w:t>
      </w:r>
      <w:r>
        <w:rPr>
          <w:b/>
          <w:bCs/>
          <w:sz w:val="14"/>
          <w:szCs w:val="14"/>
        </w:rPr>
        <w:t>o branné povinnosti a dobrovolné službě, řekl že vláda zachová zásadu dobro</w:t>
      </w:r>
      <w:r>
        <w:rPr>
          <w:b/>
          <w:bCs/>
          <w:sz w:val="14"/>
          <w:szCs w:val="14"/>
        </w:rPr>
        <w:t>volnosti z následujících důvodů: 1. Světu je třeba ukázat, že se Anglie může spolehnout na dobrovolnou obětavost svého lidu a nepotřebuje použiti nátlaku. 2. Tato soustava udržuje důvěru oby</w:t>
      </w:r>
      <w:r>
        <w:rPr>
          <w:b/>
          <w:bCs/>
          <w:sz w:val="14"/>
          <w:szCs w:val="14"/>
        </w:rPr>
        <w:softHyphen/>
        <w:t xml:space="preserve">vatelstva, věřícího v ochranu vlády. 3. Sama okolnost, že Anglie </w:t>
      </w:r>
      <w:r>
        <w:rPr>
          <w:b/>
          <w:bCs/>
          <w:sz w:val="14"/>
          <w:szCs w:val="14"/>
        </w:rPr>
        <w:t>může udržovati svůj válečný stroj dobro</w:t>
      </w:r>
      <w:r>
        <w:rPr>
          <w:b/>
          <w:bCs/>
          <w:sz w:val="14"/>
          <w:szCs w:val="14"/>
        </w:rPr>
        <w:softHyphen/>
        <w:t>volnou spoluprací, působí takovým odstrašujícím způ</w:t>
      </w:r>
      <w:r>
        <w:rPr>
          <w:b/>
          <w:bCs/>
          <w:sz w:val="14"/>
          <w:szCs w:val="14"/>
        </w:rPr>
        <w:softHyphen/>
        <w:t>sobem, že se lze válce vyhnouti.</w:t>
      </w:r>
    </w:p>
    <w:p w:rsidR="00500724" w:rsidRDefault="00F30FB8">
      <w:pPr>
        <w:pStyle w:val="Zkladntext40"/>
        <w:shd w:val="clear" w:color="auto" w:fill="auto"/>
        <w:spacing w:after="0" w:line="286" w:lineRule="auto"/>
        <w:ind w:firstLine="220"/>
        <w:rPr>
          <w:sz w:val="14"/>
          <w:szCs w:val="14"/>
        </w:rPr>
      </w:pPr>
      <w:r>
        <w:rPr>
          <w:b/>
          <w:bCs/>
          <w:sz w:val="14"/>
          <w:szCs w:val="14"/>
        </w:rPr>
        <w:t xml:space="preserve">S imponující tvrdošíjností trvá </w:t>
      </w:r>
      <w:r>
        <w:rPr>
          <w:b/>
          <w:bCs/>
          <w:sz w:val="14"/>
          <w:szCs w:val="14"/>
          <w:lang w:val="en-US" w:eastAsia="en-US" w:bidi="en-US"/>
        </w:rPr>
        <w:t xml:space="preserve">Chamberlain </w:t>
      </w:r>
      <w:r>
        <w:rPr>
          <w:b/>
          <w:bCs/>
          <w:sz w:val="14"/>
          <w:szCs w:val="14"/>
        </w:rPr>
        <w:t>na soustavě dobrovolnosti, podporován nadšeným sou</w:t>
      </w:r>
      <w:r>
        <w:rPr>
          <w:b/>
          <w:bCs/>
          <w:sz w:val="14"/>
          <w:szCs w:val="14"/>
        </w:rPr>
        <w:softHyphen/>
        <w:t>hlasem mladších ročníků mužského a o</w:t>
      </w:r>
      <w:r>
        <w:rPr>
          <w:b/>
          <w:bCs/>
          <w:sz w:val="14"/>
          <w:szCs w:val="14"/>
        </w:rPr>
        <w:t>becným souhla</w:t>
      </w:r>
      <w:r>
        <w:rPr>
          <w:b/>
          <w:bCs/>
          <w:sz w:val="14"/>
          <w:szCs w:val="14"/>
        </w:rPr>
        <w:softHyphen/>
        <w:t>sem ženského obyvatelstva. Protože v Anglii platí svo</w:t>
      </w:r>
      <w:r>
        <w:rPr>
          <w:b/>
          <w:bCs/>
          <w:sz w:val="14"/>
          <w:szCs w:val="14"/>
        </w:rPr>
        <w:softHyphen/>
        <w:t xml:space="preserve">boda přesvědčení také v otázkách obrany země, není těžko zjistit, že proletariát a střední stav nechtějí o válce ani slyšet, odmítajíce ovšem i válečné přípravy. </w:t>
      </w:r>
      <w:r>
        <w:rPr>
          <w:b/>
          <w:bCs/>
          <w:sz w:val="14"/>
          <w:szCs w:val="14"/>
          <w:lang w:val="en-US" w:eastAsia="en-US" w:bidi="en-US"/>
        </w:rPr>
        <w:t xml:space="preserve">Labour </w:t>
      </w:r>
      <w:r>
        <w:rPr>
          <w:b/>
          <w:bCs/>
          <w:sz w:val="14"/>
          <w:szCs w:val="14"/>
        </w:rPr>
        <w:t xml:space="preserve">party a liberálové </w:t>
      </w:r>
      <w:r>
        <w:rPr>
          <w:b/>
          <w:bCs/>
          <w:sz w:val="14"/>
          <w:szCs w:val="14"/>
        </w:rPr>
        <w:t xml:space="preserve">musejí býti pacifističtí, chtějí-li si udržet voliče. Proto je pochopitelné, že </w:t>
      </w:r>
      <w:r>
        <w:rPr>
          <w:b/>
          <w:bCs/>
          <w:sz w:val="14"/>
          <w:szCs w:val="14"/>
          <w:lang w:val="en-US" w:eastAsia="en-US" w:bidi="en-US"/>
        </w:rPr>
        <w:t>La</w:t>
      </w:r>
      <w:r>
        <w:rPr>
          <w:b/>
          <w:bCs/>
          <w:sz w:val="14"/>
          <w:szCs w:val="14"/>
          <w:lang w:val="en-US" w:eastAsia="en-US" w:bidi="en-US"/>
        </w:rPr>
        <w:softHyphen/>
        <w:t xml:space="preserve">bour </w:t>
      </w:r>
      <w:r>
        <w:rPr>
          <w:b/>
          <w:bCs/>
          <w:sz w:val="14"/>
          <w:szCs w:val="14"/>
        </w:rPr>
        <w:t xml:space="preserve">party byla v popředí, když byl </w:t>
      </w:r>
      <w:r>
        <w:rPr>
          <w:b/>
          <w:bCs/>
          <w:sz w:val="14"/>
          <w:szCs w:val="14"/>
          <w:lang w:val="en-US" w:eastAsia="en-US" w:bidi="en-US"/>
        </w:rPr>
        <w:t xml:space="preserve">Chamberlain </w:t>
      </w:r>
      <w:r>
        <w:rPr>
          <w:b/>
          <w:bCs/>
          <w:sz w:val="14"/>
          <w:szCs w:val="14"/>
        </w:rPr>
        <w:t>oslavován za mnichovské výkony. Dokor.ce i nezávislá dělnická strana, která stojí na krajní levici, blahopřála Chamberlainovi</w:t>
      </w:r>
      <w:r>
        <w:rPr>
          <w:b/>
          <w:bCs/>
          <w:sz w:val="14"/>
          <w:szCs w:val="14"/>
        </w:rPr>
        <w:t>, jako mírotvorci. Všem těmto stranám ovšem nevadí, označují-li současně zahraniční a vojen</w:t>
      </w:r>
      <w:r>
        <w:rPr>
          <w:b/>
          <w:bCs/>
          <w:sz w:val="14"/>
          <w:szCs w:val="14"/>
        </w:rPr>
        <w:softHyphen/>
        <w:t>skou politiku vlády při každé příležitosti za nedosta</w:t>
      </w:r>
      <w:r>
        <w:rPr>
          <w:b/>
          <w:bCs/>
          <w:sz w:val="14"/>
          <w:szCs w:val="14"/>
        </w:rPr>
        <w:softHyphen/>
        <w:t>tečnou a nebezpečnou. Nelze pochybovat, že v daném okamžiku by vykonaly svou povinnost i vrstvy, které dnes tv</w:t>
      </w:r>
      <w:r>
        <w:rPr>
          <w:b/>
          <w:bCs/>
          <w:sz w:val="14"/>
          <w:szCs w:val="14"/>
        </w:rPr>
        <w:t>rdí, že současná anglická demokracie nestojí za to, aby ji hájily.</w:t>
      </w:r>
    </w:p>
    <w:p w:rsidR="00500724" w:rsidRDefault="00F30FB8">
      <w:pPr>
        <w:pStyle w:val="Zkladntext20"/>
        <w:shd w:val="clear" w:color="auto" w:fill="auto"/>
        <w:spacing w:line="240" w:lineRule="auto"/>
        <w:ind w:firstLine="0"/>
        <w:jc w:val="center"/>
        <w:rPr>
          <w:sz w:val="20"/>
          <w:szCs w:val="20"/>
        </w:rPr>
      </w:pPr>
      <w:r>
        <w:rPr>
          <w:b/>
          <w:bCs/>
          <w:sz w:val="20"/>
          <w:szCs w:val="20"/>
        </w:rPr>
        <w:t>Chamberlainova mírumilovnost</w:t>
      </w:r>
    </w:p>
    <w:p w:rsidR="00500724" w:rsidRDefault="00F30FB8">
      <w:pPr>
        <w:pStyle w:val="Zkladntext40"/>
        <w:shd w:val="clear" w:color="auto" w:fill="auto"/>
        <w:spacing w:after="0" w:line="408" w:lineRule="auto"/>
        <w:ind w:firstLine="220"/>
        <w:jc w:val="left"/>
        <w:rPr>
          <w:sz w:val="20"/>
          <w:szCs w:val="20"/>
        </w:rPr>
      </w:pPr>
      <w:r>
        <w:rPr>
          <w:b/>
          <w:bCs/>
          <w:sz w:val="14"/>
          <w:szCs w:val="14"/>
        </w:rPr>
        <w:t xml:space="preserve">Cím více času uplynulo od neblahých událostí v září minulého roku, tun větší je počet lidí, schvalujících </w:t>
      </w:r>
      <w:r>
        <w:rPr>
          <w:b/>
          <w:bCs/>
          <w:i/>
          <w:iCs/>
          <w:sz w:val="20"/>
          <w:szCs w:val="20"/>
        </w:rPr>
        <w:t>iS8</w:t>
      </w:r>
      <w:r>
        <w:br w:type="page"/>
      </w:r>
    </w:p>
    <w:p w:rsidR="00500724" w:rsidRDefault="00F30FB8">
      <w:pPr>
        <w:pStyle w:val="Zkladntext40"/>
        <w:shd w:val="clear" w:color="auto" w:fill="auto"/>
        <w:spacing w:after="0" w:line="288" w:lineRule="auto"/>
        <w:rPr>
          <w:sz w:val="14"/>
          <w:szCs w:val="14"/>
        </w:rPr>
      </w:pPr>
      <w:r>
        <w:rPr>
          <w:b/>
          <w:bCs/>
          <w:sz w:val="14"/>
          <w:szCs w:val="14"/>
        </w:rPr>
        <w:t>Chamberlainovo stanovisko. V Anglii jsou dnes lid</w:t>
      </w:r>
      <w:r>
        <w:rPr>
          <w:b/>
          <w:bCs/>
          <w:sz w:val="14"/>
          <w:szCs w:val="14"/>
        </w:rPr>
        <w:t>é obecně přesvědčeni — a konstatoval to i německý tisk hned po diskusi o zvýšení britského vojenského roz</w:t>
      </w:r>
      <w:r>
        <w:rPr>
          <w:b/>
          <w:bCs/>
          <w:sz w:val="14"/>
          <w:szCs w:val="14"/>
        </w:rPr>
        <w:softHyphen/>
        <w:t>počtu — že Velká Britanie chce získati diplomaticky jenom čas, aby se vojensky vzpružila. Anglie byla vojen</w:t>
      </w:r>
      <w:r>
        <w:rPr>
          <w:b/>
          <w:bCs/>
          <w:sz w:val="14"/>
          <w:szCs w:val="14"/>
        </w:rPr>
        <w:softHyphen/>
        <w:t>sky slabá- promarnila mnoho času, připusti</w:t>
      </w:r>
      <w:r>
        <w:rPr>
          <w:b/>
          <w:bCs/>
          <w:sz w:val="14"/>
          <w:szCs w:val="14"/>
        </w:rPr>
        <w:t>la, aby jiné státy získaly náskok — zejména v letectvu — a toto zpoždění muselo zaplatit v Mnichově Československo a v Římě Španělsko. Snad bude muset ještě Anglie do</w:t>
      </w:r>
      <w:r>
        <w:rPr>
          <w:b/>
          <w:bCs/>
          <w:sz w:val="14"/>
          <w:szCs w:val="14"/>
        </w:rPr>
        <w:softHyphen/>
        <w:t>plácet v otázce Středozemního moře.</w:t>
      </w:r>
    </w:p>
    <w:p w:rsidR="00500724" w:rsidRDefault="00F30FB8">
      <w:pPr>
        <w:pStyle w:val="Zkladntext40"/>
        <w:shd w:val="clear" w:color="auto" w:fill="auto"/>
        <w:spacing w:after="0" w:line="286" w:lineRule="auto"/>
        <w:ind w:firstLine="320"/>
        <w:rPr>
          <w:sz w:val="14"/>
          <w:szCs w:val="14"/>
        </w:rPr>
      </w:pPr>
      <w:r>
        <w:rPr>
          <w:b/>
          <w:bCs/>
          <w:sz w:val="14"/>
          <w:szCs w:val="14"/>
        </w:rPr>
        <w:t>Je samozřejmé, že Anglii je milejší jakékoli jiné řeš</w:t>
      </w:r>
      <w:r>
        <w:rPr>
          <w:b/>
          <w:bCs/>
          <w:sz w:val="14"/>
          <w:szCs w:val="14"/>
        </w:rPr>
        <w:t>ení než válka. Proto se snaží získat čas v každém ohledu, usilujíc o to, aby i čas pracoval pro ni. Obchodní do</w:t>
      </w:r>
      <w:r>
        <w:rPr>
          <w:b/>
          <w:bCs/>
          <w:sz w:val="14"/>
          <w:szCs w:val="14"/>
        </w:rPr>
        <w:softHyphen/>
        <w:t>hody a všelijaká opatření na poli mezinárodního obchodu jsou pro Anglii vždycky vítanou příležitostí.</w:t>
      </w:r>
    </w:p>
    <w:p w:rsidR="00500724" w:rsidRDefault="00F30FB8">
      <w:pPr>
        <w:pStyle w:val="Zkladntext40"/>
        <w:shd w:val="clear" w:color="auto" w:fill="auto"/>
        <w:spacing w:after="0" w:line="286" w:lineRule="auto"/>
        <w:ind w:firstLine="320"/>
        <w:rPr>
          <w:sz w:val="14"/>
          <w:szCs w:val="14"/>
        </w:rPr>
      </w:pPr>
      <w:r>
        <w:rPr>
          <w:b/>
          <w:bCs/>
          <w:sz w:val="14"/>
          <w:szCs w:val="14"/>
        </w:rPr>
        <w:t>Anglie teď žije v ovzduší velikých příprav</w:t>
      </w:r>
      <w:r>
        <w:rPr>
          <w:b/>
          <w:bCs/>
          <w:sz w:val="14"/>
          <w:szCs w:val="14"/>
        </w:rPr>
        <w:t>, jako by se chystala k treningu regaty Cambridge—Oxford. Na</w:t>
      </w:r>
      <w:r>
        <w:rPr>
          <w:b/>
          <w:bCs/>
          <w:sz w:val="14"/>
          <w:szCs w:val="14"/>
        </w:rPr>
        <w:softHyphen/>
        <w:t>pětí visí ve vzduchu a udržuje se v novinách zprávami vojenského rázu. Zjišfujeme-li však, k čemu tyto pří</w:t>
      </w:r>
      <w:r>
        <w:rPr>
          <w:b/>
          <w:bCs/>
          <w:sz w:val="14"/>
          <w:szCs w:val="14"/>
        </w:rPr>
        <w:softHyphen/>
        <w:t>pravy slouží, nelze dostati jednoznačnou odpověď. Ofi</w:t>
      </w:r>
      <w:r>
        <w:rPr>
          <w:b/>
          <w:bCs/>
          <w:sz w:val="14"/>
          <w:szCs w:val="14"/>
        </w:rPr>
        <w:softHyphen/>
        <w:t>ciální místa dávají odpověď vyhýba</w:t>
      </w:r>
      <w:r>
        <w:rPr>
          <w:b/>
          <w:bCs/>
          <w:sz w:val="14"/>
          <w:szCs w:val="14"/>
        </w:rPr>
        <w:t>vou a tážeme-li se vysokých důstojníků, kdy budou přípravy skončeny, ^odpovídají upřímně: nikdy. To je také správné. Vojen</w:t>
      </w:r>
      <w:r>
        <w:rPr>
          <w:b/>
          <w:bCs/>
          <w:sz w:val="14"/>
          <w:szCs w:val="14"/>
        </w:rPr>
        <w:softHyphen/>
        <w:t>ské přípravy mají už v povaze, že nemohou být nikdy skončeny. Šéf kteréhokoli generálního štábu neřekne ni</w:t>
      </w:r>
      <w:r>
        <w:rPr>
          <w:b/>
          <w:bCs/>
          <w:sz w:val="14"/>
          <w:szCs w:val="14"/>
        </w:rPr>
        <w:softHyphen/>
        <w:t>kdy hlavě státu: »Jsme hot</w:t>
      </w:r>
      <w:r>
        <w:rPr>
          <w:b/>
          <w:bCs/>
          <w:sz w:val="14"/>
          <w:szCs w:val="14"/>
        </w:rPr>
        <w:t>ovi a to tak dokonale, že se můžeme dáti do boje s jakoukoli koalicí nepřátelských armád a s jakoukoli technickou výzbrojí cizích moc- ností.« Šéfové britského generálního štábu tvrdí stále, že přípravy nejsou ještě ani zdaleka skončeny, a ministři, jejich</w:t>
      </w:r>
      <w:r>
        <w:rPr>
          <w:b/>
          <w:bCs/>
          <w:sz w:val="14"/>
          <w:szCs w:val="14"/>
        </w:rPr>
        <w:t>ž úkolem je udržovati průmysl a dopravu na vyso</w:t>
      </w:r>
      <w:r>
        <w:rPr>
          <w:b/>
          <w:bCs/>
          <w:sz w:val="14"/>
          <w:szCs w:val="14"/>
        </w:rPr>
        <w:softHyphen/>
        <w:t>kém stupni výkonnosti a chrániti obyvatelstvo, jsou také ještě daleko od ideálního cíle.</w:t>
      </w:r>
    </w:p>
    <w:p w:rsidR="00500724" w:rsidRDefault="00F30FB8">
      <w:pPr>
        <w:pStyle w:val="Zkladntext40"/>
        <w:shd w:val="clear" w:color="auto" w:fill="auto"/>
        <w:spacing w:after="0" w:line="290" w:lineRule="auto"/>
        <w:ind w:right="160"/>
        <w:jc w:val="center"/>
        <w:rPr>
          <w:sz w:val="14"/>
          <w:szCs w:val="14"/>
        </w:rPr>
      </w:pPr>
      <w:r>
        <w:rPr>
          <w:b/>
          <w:bCs/>
          <w:sz w:val="14"/>
          <w:szCs w:val="14"/>
        </w:rPr>
        <w:t>Dvojí úloha britské branné moci</w:t>
      </w:r>
    </w:p>
    <w:p w:rsidR="00500724" w:rsidRDefault="00F30FB8">
      <w:pPr>
        <w:pStyle w:val="Zkladntext40"/>
        <w:shd w:val="clear" w:color="auto" w:fill="auto"/>
        <w:spacing w:after="0" w:line="317" w:lineRule="auto"/>
        <w:ind w:firstLine="320"/>
        <w:rPr>
          <w:sz w:val="14"/>
          <w:szCs w:val="14"/>
        </w:rPr>
      </w:pPr>
      <w:r>
        <w:rPr>
          <w:b/>
          <w:bCs/>
          <w:sz w:val="14"/>
          <w:szCs w:val="14"/>
        </w:rPr>
        <w:t>Jenom proto, že v Anglii existuje parlamentní demo</w:t>
      </w:r>
      <w:r>
        <w:rPr>
          <w:b/>
          <w:bCs/>
          <w:sz w:val="14"/>
          <w:szCs w:val="14"/>
        </w:rPr>
        <w:softHyphen/>
        <w:t xml:space="preserve">kracie na nejširším základě, kterou </w:t>
      </w:r>
      <w:r>
        <w:rPr>
          <w:b/>
          <w:bCs/>
          <w:sz w:val="14"/>
          <w:szCs w:val="14"/>
        </w:rPr>
        <w:t>ani skutečná Cham</w:t>
      </w:r>
      <w:r>
        <w:rPr>
          <w:b/>
          <w:bCs/>
          <w:sz w:val="14"/>
          <w:szCs w:val="14"/>
        </w:rPr>
        <w:softHyphen/>
        <w:t>berlainova diktatura nemohla nikdy zcela umlčet, může se svět zabývati tak důkladně problémy britského zbro</w:t>
      </w:r>
      <w:r>
        <w:rPr>
          <w:b/>
          <w:bCs/>
          <w:sz w:val="14"/>
          <w:szCs w:val="14"/>
        </w:rPr>
        <w:softHyphen/>
        <w:t>jení. Tyto problémy mají také ostatní země — ale tam je nelze tak podrobně rozebírat.</w:t>
      </w:r>
    </w:p>
    <w:p w:rsidR="00500724" w:rsidRDefault="00F30FB8">
      <w:pPr>
        <w:pStyle w:val="Zkladntext40"/>
        <w:shd w:val="clear" w:color="auto" w:fill="auto"/>
        <w:spacing w:after="0" w:line="290" w:lineRule="auto"/>
        <w:ind w:firstLine="320"/>
        <w:rPr>
          <w:sz w:val="14"/>
          <w:szCs w:val="14"/>
        </w:rPr>
      </w:pPr>
      <w:r>
        <w:rPr>
          <w:b/>
          <w:bCs/>
          <w:sz w:val="14"/>
          <w:szCs w:val="14"/>
        </w:rPr>
        <w:t>Britská vojenská politika má nesporně obrann</w:t>
      </w:r>
      <w:r>
        <w:rPr>
          <w:b/>
          <w:bCs/>
          <w:sz w:val="14"/>
          <w:szCs w:val="14"/>
        </w:rPr>
        <w:t>ý ráz. Velká Britanie nepomýšlí jistě na územní výboje. Snaží se jen zachovat, co má, pokud se ovšem vyplácí, aby dosavadní državu zachovala. Mimo to chce ovšem chrá</w:t>
      </w:r>
      <w:r>
        <w:rPr>
          <w:b/>
          <w:bCs/>
          <w:sz w:val="14"/>
          <w:szCs w:val="14"/>
        </w:rPr>
        <w:softHyphen/>
        <w:t>niti území anglického souostroví před útoky, vždyť tam se soustřeďuje zlato, duch a organi</w:t>
      </w:r>
      <w:r>
        <w:rPr>
          <w:b/>
          <w:bCs/>
          <w:sz w:val="14"/>
          <w:szCs w:val="14"/>
        </w:rPr>
        <w:t xml:space="preserve">sace světové říše. Velká Britanie splní smluvní závazky vždycky jen potud, pokud slouží těmto cílům. Ale závazky existují a proto musí britská branná moc rozřeší ti dva úkoly: ochrániti mateřskou zemi před jakýmkoli nepřítelem a uplatniti vlastní armádu v </w:t>
      </w:r>
      <w:r>
        <w:rPr>
          <w:b/>
          <w:bCs/>
          <w:sz w:val="14"/>
          <w:szCs w:val="14"/>
        </w:rPr>
        <w:t>kterékoli části světa. Vo</w:t>
      </w:r>
      <w:r>
        <w:rPr>
          <w:b/>
          <w:bCs/>
          <w:sz w:val="14"/>
          <w:szCs w:val="14"/>
        </w:rPr>
        <w:softHyphen/>
        <w:t>jenští znalci, které nelze vlastně nikdy uspokojit, tvrdí, že v září minulého roku nebyla Velká Britanie vůbec připravena: nemohla se ani sama chrániti, natož účinně pomoci svému jedinému spojenci, Francii.</w:t>
      </w:r>
    </w:p>
    <w:p w:rsidR="00500724" w:rsidRDefault="00F30FB8">
      <w:pPr>
        <w:pStyle w:val="Zkladntext40"/>
        <w:shd w:val="clear" w:color="auto" w:fill="auto"/>
        <w:spacing w:after="0" w:line="290" w:lineRule="auto"/>
        <w:ind w:firstLine="320"/>
        <w:rPr>
          <w:sz w:val="14"/>
          <w:szCs w:val="14"/>
        </w:rPr>
      </w:pPr>
      <w:r>
        <w:rPr>
          <w:b/>
          <w:bCs/>
          <w:sz w:val="14"/>
          <w:szCs w:val="14"/>
        </w:rPr>
        <w:t xml:space="preserve">Je-li tomu tak, musíme </w:t>
      </w:r>
      <w:r>
        <w:rPr>
          <w:b/>
          <w:bCs/>
          <w:sz w:val="14"/>
          <w:szCs w:val="14"/>
        </w:rPr>
        <w:t>se tázati, zač byla vydána miliarda liber v letech 1931 až 1937. Bílá kniha britské vlády o financování vojenské pětiletky, která byla ne</w:t>
      </w:r>
      <w:r>
        <w:rPr>
          <w:b/>
          <w:bCs/>
          <w:sz w:val="14"/>
          <w:szCs w:val="14"/>
        </w:rPr>
        <w:softHyphen/>
        <w:t>dávno uveřejněna, dává jenom neúplnou odpověď. Anglie zbrojila stále, ale její výzbroj zastarala. Expe</w:t>
      </w:r>
      <w:r>
        <w:rPr>
          <w:b/>
          <w:bCs/>
          <w:sz w:val="14"/>
          <w:szCs w:val="14"/>
        </w:rPr>
        <w:softHyphen/>
        <w:t>rimentovala, al</w:t>
      </w:r>
      <w:r>
        <w:rPr>
          <w:b/>
          <w:bCs/>
          <w:sz w:val="14"/>
          <w:szCs w:val="14"/>
        </w:rPr>
        <w:t>e při tom měly pokusy a výzbroj jenom úzký rámec. Anglie dovolila, aby jiné státy dělaly větší pokusy, zasahujíc teprve potom, když viděla, že už byly objeveny správné zbraně. Umění Anglie nespočívá v dobrém mozku, nýbrž v použití dobrých mozků, které mají</w:t>
      </w:r>
      <w:r>
        <w:rPr>
          <w:b/>
          <w:bCs/>
          <w:sz w:val="14"/>
          <w:szCs w:val="14"/>
        </w:rPr>
        <w:t xml:space="preserve"> jiní.</w:t>
      </w:r>
    </w:p>
    <w:p w:rsidR="00500724" w:rsidRDefault="00F30FB8">
      <w:pPr>
        <w:pStyle w:val="Zkladntext40"/>
        <w:shd w:val="clear" w:color="auto" w:fill="auto"/>
        <w:spacing w:after="0" w:line="372" w:lineRule="auto"/>
        <w:ind w:left="300" w:firstLine="200"/>
        <w:jc w:val="left"/>
        <w:rPr>
          <w:sz w:val="14"/>
          <w:szCs w:val="14"/>
        </w:rPr>
      </w:pPr>
      <w:r>
        <w:rPr>
          <w:b/>
          <w:bCs/>
          <w:sz w:val="14"/>
          <w:szCs w:val="14"/>
        </w:rPr>
        <w:t>Pěchota je úplně mechanisována Pozemní armáda stojí sice v pořadí na třetím místě,</w:t>
      </w:r>
    </w:p>
    <w:p w:rsidR="00500724" w:rsidRDefault="00F30FB8">
      <w:pPr>
        <w:pStyle w:val="Zkladntext40"/>
        <w:shd w:val="clear" w:color="auto" w:fill="auto"/>
        <w:spacing w:after="0" w:line="286" w:lineRule="auto"/>
        <w:rPr>
          <w:sz w:val="14"/>
          <w:szCs w:val="14"/>
        </w:rPr>
      </w:pPr>
      <w:r>
        <w:rPr>
          <w:b/>
          <w:bCs/>
          <w:sz w:val="14"/>
          <w:szCs w:val="14"/>
        </w:rPr>
        <w:t>ale to platí jenom o pěchotě, jízdě a dělostřelectvu sta</w:t>
      </w:r>
      <w:r>
        <w:rPr>
          <w:b/>
          <w:bCs/>
          <w:sz w:val="14"/>
          <w:szCs w:val="14"/>
        </w:rPr>
        <w:softHyphen/>
        <w:t>rého typu. Pozemní armáda — lépe řečeno regulérní armáda — tvoří spíše soustavu pohyblivých pancéřo</w:t>
      </w:r>
      <w:r>
        <w:rPr>
          <w:b/>
          <w:bCs/>
          <w:sz w:val="14"/>
          <w:szCs w:val="14"/>
        </w:rPr>
        <w:softHyphen/>
        <w:t>vaných op</w:t>
      </w:r>
      <w:r>
        <w:rPr>
          <w:b/>
          <w:bCs/>
          <w:sz w:val="14"/>
          <w:szCs w:val="14"/>
        </w:rPr>
        <w:t>evnění.</w:t>
      </w:r>
    </w:p>
    <w:p w:rsidR="00500724" w:rsidRDefault="00F30FB8">
      <w:pPr>
        <w:pStyle w:val="Zkladntext40"/>
        <w:shd w:val="clear" w:color="auto" w:fill="auto"/>
        <w:spacing w:after="0" w:line="286" w:lineRule="auto"/>
        <w:ind w:firstLine="200"/>
        <w:rPr>
          <w:sz w:val="14"/>
          <w:szCs w:val="14"/>
        </w:rPr>
      </w:pPr>
      <w:r>
        <w:rPr>
          <w:b/>
          <w:bCs/>
          <w:sz w:val="14"/>
          <w:szCs w:val="14"/>
        </w:rPr>
        <w:t>V posledním týdnu února pozvala anglická vláda na velké cvičíš.ě v Aldershotu asi 150 členů dolní sně</w:t>
      </w:r>
      <w:r>
        <w:rPr>
          <w:b/>
          <w:bCs/>
          <w:sz w:val="14"/>
          <w:szCs w:val="14"/>
        </w:rPr>
        <w:softHyphen/>
        <w:t>movny a právě tolik anglických novinářů, aby jim uká</w:t>
      </w:r>
      <w:r>
        <w:rPr>
          <w:b/>
          <w:bCs/>
          <w:sz w:val="14"/>
          <w:szCs w:val="14"/>
        </w:rPr>
        <w:softHyphen/>
        <w:t>zala dnešní stav regulérní armády. Hosté naslouchali tísnivé symfonii ocele a motorů, uvědomu</w:t>
      </w:r>
      <w:r>
        <w:rPr>
          <w:b/>
          <w:bCs/>
          <w:sz w:val="14"/>
          <w:szCs w:val="14"/>
        </w:rPr>
        <w:t>jíce si, že tato Velká Britanie, která je průmyslově tak vyvinuta a má nevyčerpatelnou zásobu surovin, hodlá poslati do bi</w:t>
      </w:r>
      <w:r>
        <w:rPr>
          <w:b/>
          <w:bCs/>
          <w:sz w:val="14"/>
          <w:szCs w:val="14"/>
        </w:rPr>
        <w:softHyphen/>
        <w:t>tevní linie mrtvý materiál a nikoli lidská těla. Zatím co při dosavadních přehlídkách vojenských vymožeností byly předváděny jenom vý</w:t>
      </w:r>
      <w:r>
        <w:rPr>
          <w:b/>
          <w:bCs/>
          <w:sz w:val="14"/>
          <w:szCs w:val="14"/>
        </w:rPr>
        <w:t>stavní kusy, pochodovaly teď všechny možné mašiny v obrovském množství, v do</w:t>
      </w:r>
      <w:r>
        <w:rPr>
          <w:b/>
          <w:bCs/>
          <w:sz w:val="14"/>
          <w:szCs w:val="14"/>
        </w:rPr>
        <w:softHyphen/>
        <w:t>konalých formacích a s příslušnými posádkami. Po prvé se objevily tanky a pancéřové vozy obrovských rozměrů a s rozmanitou výzbrojí. Vedení britské armá</w:t>
      </w:r>
      <w:r>
        <w:rPr>
          <w:b/>
          <w:bCs/>
          <w:sz w:val="14"/>
          <w:szCs w:val="14"/>
        </w:rPr>
        <w:softHyphen/>
        <w:t>dy přivlastnilo si zkušeno</w:t>
      </w:r>
      <w:r>
        <w:rPr>
          <w:b/>
          <w:bCs/>
          <w:sz w:val="14"/>
          <w:szCs w:val="14"/>
        </w:rPr>
        <w:t>sti jiných států a odhodlalo se vystavěti pohyblivé ocelové tvrze. Vedle nich však byly předvedeny zcela nové typy malých a nízkých tanků, proti nimž jsou protitanková děla téměř bez</w:t>
      </w:r>
      <w:r>
        <w:rPr>
          <w:b/>
          <w:bCs/>
          <w:sz w:val="14"/>
          <w:szCs w:val="14"/>
        </w:rPr>
        <w:softHyphen/>
        <w:t>mocná. Major Temperley, světoznámý vojenský spiso</w:t>
      </w:r>
      <w:r>
        <w:rPr>
          <w:b/>
          <w:bCs/>
          <w:sz w:val="14"/>
          <w:szCs w:val="14"/>
        </w:rPr>
        <w:softHyphen/>
        <w:t>vatel, došel ve své zpr</w:t>
      </w:r>
      <w:r>
        <w:rPr>
          <w:b/>
          <w:bCs/>
          <w:sz w:val="14"/>
          <w:szCs w:val="14"/>
        </w:rPr>
        <w:t>ávě v »Daily Telegraphuc k pře</w:t>
      </w:r>
      <w:r>
        <w:rPr>
          <w:b/>
          <w:bCs/>
          <w:sz w:val="14"/>
          <w:szCs w:val="14"/>
        </w:rPr>
        <w:softHyphen/>
        <w:t>svědčení, že bude početně malé britská regulérní armá</w:t>
      </w:r>
      <w:r>
        <w:rPr>
          <w:b/>
          <w:bCs/>
          <w:sz w:val="14"/>
          <w:szCs w:val="14"/>
        </w:rPr>
        <w:softHyphen/>
        <w:t>da už do konce tohoto roku, anebo snad už do léta 1959, nejdokonalejší na celém světě — ovšem, pokud se týká výzbroje. Došel k tomuto přesvědčení, když viděl mimo tanky, p</w:t>
      </w:r>
      <w:r>
        <w:rPr>
          <w:b/>
          <w:bCs/>
          <w:sz w:val="14"/>
          <w:szCs w:val="14"/>
        </w:rPr>
        <w:t>ancéřové vozy a malé pancéřové automobily i nejnovější vzory polních a protitankových děl, které jsou většinou umístěny v lehkých tancích. Nejdůleži- tější lehká zbraň pěchoty je nyní kulomet s vyměnitel</w:t>
      </w:r>
      <w:r>
        <w:rPr>
          <w:b/>
          <w:bCs/>
          <w:sz w:val="14"/>
          <w:szCs w:val="14"/>
        </w:rPr>
        <w:softHyphen/>
        <w:t>nou hlavní, patent brněnské zbrojovky, který platí v</w:t>
      </w:r>
      <w:r>
        <w:rPr>
          <w:b/>
          <w:bCs/>
          <w:sz w:val="14"/>
          <w:szCs w:val="14"/>
        </w:rPr>
        <w:t xml:space="preserve"> celém světě za </w:t>
      </w:r>
      <w:r>
        <w:rPr>
          <w:b/>
          <w:bCs/>
          <w:sz w:val="14"/>
          <w:szCs w:val="14"/>
          <w:lang w:val="en-US" w:eastAsia="en-US" w:bidi="en-US"/>
        </w:rPr>
        <w:t xml:space="preserve">dernier </w:t>
      </w:r>
      <w:r>
        <w:rPr>
          <w:b/>
          <w:bCs/>
          <w:sz w:val="14"/>
          <w:szCs w:val="14"/>
        </w:rPr>
        <w:t>cri puškařské techniky.</w:t>
      </w:r>
    </w:p>
    <w:p w:rsidR="00500724" w:rsidRDefault="00F30FB8">
      <w:pPr>
        <w:pStyle w:val="Zkladntext40"/>
        <w:shd w:val="clear" w:color="auto" w:fill="auto"/>
        <w:spacing w:after="0" w:line="286" w:lineRule="auto"/>
        <w:ind w:firstLine="200"/>
        <w:rPr>
          <w:sz w:val="14"/>
          <w:szCs w:val="14"/>
        </w:rPr>
      </w:pPr>
      <w:r>
        <w:rPr>
          <w:b/>
          <w:bCs/>
          <w:sz w:val="14"/>
          <w:szCs w:val="14"/>
        </w:rPr>
        <w:t>Od září minulého roku doznalo zbrojení regulérní armády značného zlepšení. Tehdy byly z pěti divisí domácí armády vyzbrojeny kulomety, pancéřovými vozy a protitankovými děly jenom dvě — a i ty jenom proto, že</w:t>
      </w:r>
      <w:r>
        <w:rPr>
          <w:b/>
          <w:bCs/>
          <w:sz w:val="14"/>
          <w:szCs w:val="14"/>
        </w:rPr>
        <w:t xml:space="preserve"> jim ostatní tři divise přenechaly svoje zbraně. Každá divise měla v září pouze po jednom protitanko- vém pluku a po jedné setnině lehkých tanků. Dnes má každá divise pluk protitankového dělostřelectva a pra</w:t>
      </w:r>
      <w:r>
        <w:rPr>
          <w:b/>
          <w:bCs/>
          <w:sz w:val="14"/>
          <w:szCs w:val="14"/>
        </w:rPr>
        <w:softHyphen/>
        <w:t>por lehkých tanků, což je třikrát tolik. Počet d</w:t>
      </w:r>
      <w:r>
        <w:rPr>
          <w:b/>
          <w:bCs/>
          <w:sz w:val="14"/>
          <w:szCs w:val="14"/>
        </w:rPr>
        <w:t>ěl je nyní u lehkého a středního polního dělostřelectva trojnásob</w:t>
      </w:r>
      <w:r>
        <w:rPr>
          <w:b/>
          <w:bCs/>
          <w:sz w:val="14"/>
          <w:szCs w:val="14"/>
        </w:rPr>
        <w:softHyphen/>
        <w:t>ný; to znamená, že za šest měsíců od září dosáhl brit</w:t>
      </w:r>
      <w:r>
        <w:rPr>
          <w:b/>
          <w:bCs/>
          <w:sz w:val="14"/>
          <w:szCs w:val="14"/>
        </w:rPr>
        <w:softHyphen/>
        <w:t>ský válečný průmysl plné výrobní výkonnosti.</w:t>
      </w:r>
    </w:p>
    <w:p w:rsidR="00500724" w:rsidRDefault="00F30FB8">
      <w:pPr>
        <w:pStyle w:val="Zkladntext40"/>
        <w:shd w:val="clear" w:color="auto" w:fill="auto"/>
        <w:spacing w:after="0" w:line="286" w:lineRule="auto"/>
        <w:ind w:firstLine="200"/>
        <w:rPr>
          <w:sz w:val="14"/>
          <w:szCs w:val="14"/>
        </w:rPr>
      </w:pPr>
      <w:r>
        <w:rPr>
          <w:b/>
          <w:bCs/>
          <w:sz w:val="14"/>
          <w:szCs w:val="14"/>
        </w:rPr>
        <w:t>Ovšem: otázka lidí může se stát za krátkou dobu velmi palčivou. I když se v roce 1938 hlási</w:t>
      </w:r>
      <w:r>
        <w:rPr>
          <w:b/>
          <w:bCs/>
          <w:sz w:val="14"/>
          <w:szCs w:val="14"/>
        </w:rPr>
        <w:t>lo do regu</w:t>
      </w:r>
      <w:r>
        <w:rPr>
          <w:b/>
          <w:bCs/>
          <w:sz w:val="14"/>
          <w:szCs w:val="14"/>
        </w:rPr>
        <w:softHyphen/>
        <w:t>lérní armády 37.323 nováčků — tedy o 12.753 víc než v roce 1937, což byl v dějinách anglických odvodů re</w:t>
      </w:r>
      <w:r>
        <w:rPr>
          <w:b/>
          <w:bCs/>
          <w:sz w:val="14"/>
          <w:szCs w:val="14"/>
        </w:rPr>
        <w:softHyphen/>
        <w:t>kord — může se tento počet velmi brzy ukázati nedo</w:t>
      </w:r>
      <w:r>
        <w:rPr>
          <w:b/>
          <w:bCs/>
          <w:sz w:val="14"/>
          <w:szCs w:val="14"/>
        </w:rPr>
        <w:softHyphen/>
        <w:t>statečným, třebaže se muži hlásí letos právě tak čile, ba ještě čileji. Konservativní pos</w:t>
      </w:r>
      <w:r>
        <w:rPr>
          <w:b/>
          <w:bCs/>
          <w:sz w:val="14"/>
          <w:szCs w:val="14"/>
        </w:rPr>
        <w:t xml:space="preserve">lanec </w:t>
      </w:r>
      <w:r>
        <w:rPr>
          <w:b/>
          <w:bCs/>
          <w:sz w:val="14"/>
          <w:szCs w:val="14"/>
          <w:lang w:val="en-US" w:eastAsia="en-US" w:bidi="en-US"/>
        </w:rPr>
        <w:t xml:space="preserve">Amery, </w:t>
      </w:r>
      <w:r>
        <w:rPr>
          <w:b/>
          <w:bCs/>
          <w:sz w:val="14"/>
          <w:szCs w:val="14"/>
        </w:rPr>
        <w:t>přívrže</w:t>
      </w:r>
      <w:r>
        <w:rPr>
          <w:b/>
          <w:bCs/>
          <w:sz w:val="14"/>
          <w:szCs w:val="14"/>
        </w:rPr>
        <w:softHyphen/>
        <w:t>nec branné povinnosti, prohlásil v dolní sněmovně, že britská armáda čítá dnes 430.000 mužů proti 700.000 při vypuknutí světové války. V roce 1914 mohla Anglie okamžitě poslati do pole šest divisí, dnes prý je sporné, zda by mohla do č</w:t>
      </w:r>
      <w:r>
        <w:rPr>
          <w:b/>
          <w:bCs/>
          <w:sz w:val="14"/>
          <w:szCs w:val="14"/>
        </w:rPr>
        <w:t>tyř neděl vyslati do boje dvě divise a později do dvou až tří měsíců devět záložních divisí. V roce 1914 měla Anglie zvláštní zálohy v síle 200.000 mužů, které mohla po šestiměsíčním výcviku poslati do pole, ale dnes prý takové zálohy nemá.</w:t>
      </w:r>
    </w:p>
    <w:p w:rsidR="00500724" w:rsidRDefault="00F30FB8">
      <w:pPr>
        <w:pStyle w:val="Zkladntext40"/>
        <w:shd w:val="clear" w:color="auto" w:fill="auto"/>
        <w:spacing w:after="0" w:line="286" w:lineRule="auto"/>
        <w:ind w:firstLine="200"/>
        <w:rPr>
          <w:sz w:val="14"/>
          <w:szCs w:val="14"/>
        </w:rPr>
      </w:pPr>
      <w:r>
        <w:rPr>
          <w:b/>
          <w:bCs/>
          <w:sz w:val="14"/>
          <w:szCs w:val="14"/>
        </w:rPr>
        <w:t>Vláda na Ameryh</w:t>
      </w:r>
      <w:r>
        <w:rPr>
          <w:b/>
          <w:bCs/>
          <w:sz w:val="14"/>
          <w:szCs w:val="14"/>
        </w:rPr>
        <w:t>o vývody neodpověděla, poněvadž nechce prozradit, že od r. 1914 se stavba armády velmi změnila a že má dnes v letectvu velmi účinnou a po</w:t>
      </w:r>
      <w:r>
        <w:rPr>
          <w:b/>
          <w:bCs/>
          <w:sz w:val="14"/>
          <w:szCs w:val="14"/>
        </w:rPr>
        <w:softHyphen/>
        <w:t>četnou dělostřeleckou zbraň, která byla na začátku svě</w:t>
      </w:r>
      <w:r>
        <w:rPr>
          <w:b/>
          <w:bCs/>
          <w:sz w:val="14"/>
          <w:szCs w:val="14"/>
        </w:rPr>
        <w:softHyphen/>
        <w:t>tové války naprosto nemyslitelná.</w:t>
      </w:r>
    </w:p>
    <w:p w:rsidR="00500724" w:rsidRDefault="00F30FB8">
      <w:pPr>
        <w:pStyle w:val="Zkladntext40"/>
        <w:shd w:val="clear" w:color="auto" w:fill="auto"/>
        <w:spacing w:after="0" w:line="286" w:lineRule="auto"/>
        <w:jc w:val="center"/>
        <w:rPr>
          <w:sz w:val="14"/>
          <w:szCs w:val="14"/>
        </w:rPr>
      </w:pPr>
      <w:r>
        <w:rPr>
          <w:b/>
          <w:bCs/>
          <w:sz w:val="14"/>
          <w:szCs w:val="14"/>
        </w:rPr>
        <w:t>Loďstvo</w:t>
      </w:r>
    </w:p>
    <w:p w:rsidR="00500724" w:rsidRDefault="00F30FB8">
      <w:pPr>
        <w:pStyle w:val="Zkladntext40"/>
        <w:shd w:val="clear" w:color="auto" w:fill="auto"/>
        <w:spacing w:after="0" w:line="286" w:lineRule="auto"/>
        <w:ind w:firstLine="200"/>
        <w:rPr>
          <w:sz w:val="14"/>
          <w:szCs w:val="14"/>
        </w:rPr>
        <w:sectPr w:rsidR="00500724">
          <w:footnotePr>
            <w:numFmt w:val="chicago"/>
            <w:numRestart w:val="eachPage"/>
          </w:footnotePr>
          <w:pgSz w:w="11909" w:h="16834"/>
          <w:pgMar w:top="1618" w:right="919" w:bottom="548" w:left="587" w:header="0" w:footer="3" w:gutter="0"/>
          <w:cols w:num="2" w:space="100"/>
          <w:noEndnote/>
          <w:docGrid w:linePitch="360"/>
        </w:sectPr>
      </w:pPr>
      <w:r>
        <w:rPr>
          <w:b/>
          <w:bCs/>
          <w:sz w:val="14"/>
          <w:szCs w:val="14"/>
        </w:rPr>
        <w:t>To je ta část armády, která je vysazena nejinten- sivnější kontrole zahraničí Možná, že existují v po</w:t>
      </w:r>
      <w:r>
        <w:rPr>
          <w:b/>
          <w:bCs/>
          <w:sz w:val="14"/>
          <w:szCs w:val="14"/>
        </w:rPr>
        <w:softHyphen/>
        <w:t>zemní armádě a v letectvu hluboká tajemství, ale v loď</w:t>
      </w:r>
      <w:r>
        <w:rPr>
          <w:b/>
          <w:bCs/>
          <w:sz w:val="14"/>
          <w:szCs w:val="14"/>
        </w:rPr>
        <w:softHyphen/>
        <w:t>stvu je neznámou veličinou jenom počet děl a strojní zařízení jednotli</w:t>
      </w:r>
      <w:r>
        <w:rPr>
          <w:b/>
          <w:bCs/>
          <w:sz w:val="14"/>
          <w:szCs w:val="14"/>
        </w:rPr>
        <w:t>vých lodí. Stavba křižníku trvá roky. Nelze před cizími pozorovateli zatajiti, jak daleko po</w:t>
      </w:r>
      <w:r>
        <w:rPr>
          <w:b/>
          <w:bCs/>
          <w:sz w:val="14"/>
          <w:szCs w:val="14"/>
        </w:rPr>
        <w:softHyphen/>
        <w:t>kročila oráče ve válečných docích — a je proto lépe</w:t>
      </w:r>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394" w:right="0" w:bottom="680" w:left="0" w:header="0" w:footer="3" w:gutter="0"/>
          <w:cols w:space="720"/>
          <w:noEndnote/>
          <w:docGrid w:linePitch="360"/>
        </w:sectPr>
      </w:pPr>
    </w:p>
    <w:p w:rsidR="00500724" w:rsidRDefault="00F30FB8">
      <w:pPr>
        <w:pStyle w:val="Zkladntext20"/>
        <w:framePr w:w="312" w:h="269" w:wrap="none" w:vAnchor="text" w:hAnchor="page" w:x="660" w:y="21"/>
        <w:shd w:val="clear" w:color="auto" w:fill="auto"/>
        <w:spacing w:line="240" w:lineRule="auto"/>
        <w:ind w:firstLine="0"/>
        <w:jc w:val="left"/>
        <w:rPr>
          <w:sz w:val="20"/>
          <w:szCs w:val="20"/>
        </w:rPr>
      </w:pPr>
      <w:r>
        <w:rPr>
          <w:b/>
          <w:bCs/>
          <w:i/>
          <w:iCs/>
          <w:sz w:val="20"/>
          <w:szCs w:val="20"/>
        </w:rPr>
        <w:t>t54</w:t>
      </w:r>
    </w:p>
    <w:p w:rsidR="00500724" w:rsidRDefault="00500724">
      <w:pPr>
        <w:spacing w:after="255" w:line="14" w:lineRule="exact"/>
      </w:pPr>
    </w:p>
    <w:p w:rsidR="00500724" w:rsidRDefault="00500724">
      <w:pPr>
        <w:spacing w:line="14" w:lineRule="exact"/>
        <w:sectPr w:rsidR="00500724">
          <w:footnotePr>
            <w:numFmt w:val="chicago"/>
            <w:numRestart w:val="eachPage"/>
          </w:footnotePr>
          <w:type w:val="continuous"/>
          <w:pgSz w:w="11909" w:h="16834"/>
          <w:pgMar w:top="1394" w:right="1160" w:bottom="680" w:left="329" w:header="0" w:footer="3" w:gutter="0"/>
          <w:cols w:space="720"/>
          <w:noEndnote/>
          <w:docGrid w:linePitch="360"/>
        </w:sectPr>
      </w:pPr>
    </w:p>
    <w:p w:rsidR="00500724" w:rsidRDefault="00F30FB8">
      <w:pPr>
        <w:pStyle w:val="Nadpis90"/>
        <w:keepNext/>
        <w:keepLines/>
        <w:pBdr>
          <w:bottom w:val="single" w:sz="4" w:space="0" w:color="auto"/>
        </w:pBdr>
        <w:shd w:val="clear" w:color="auto" w:fill="auto"/>
        <w:spacing w:before="80" w:after="0"/>
        <w:ind w:right="100"/>
        <w:jc w:val="center"/>
        <w:sectPr w:rsidR="00500724">
          <w:footnotePr>
            <w:numFmt w:val="chicago"/>
            <w:numRestart w:val="eachPage"/>
          </w:footnotePr>
          <w:pgSz w:w="11909" w:h="16834"/>
          <w:pgMar w:top="812" w:right="689" w:bottom="828" w:left="780" w:header="0" w:footer="3" w:gutter="0"/>
          <w:cols w:space="720"/>
          <w:noEndnote/>
          <w:docGrid w:linePitch="360"/>
        </w:sectPr>
      </w:pPr>
      <w:bookmarkStart w:id="240" w:name="bookmark239"/>
      <w:r>
        <w:rPr>
          <w:rFonts w:ascii="Times New Roman" w:eastAsia="Times New Roman" w:hAnsi="Times New Roman" w:cs="Times New Roman"/>
          <w:lang w:val="en-US" w:eastAsia="en-US" w:bidi="en-US"/>
        </w:rPr>
        <w:t>PfflomnosO</w:t>
      </w:r>
      <w:bookmarkEnd w:id="240"/>
    </w:p>
    <w:p w:rsidR="00500724" w:rsidRDefault="00500724">
      <w:pPr>
        <w:spacing w:line="65" w:lineRule="exact"/>
        <w:rPr>
          <w:sz w:val="5"/>
          <w:szCs w:val="5"/>
        </w:rPr>
      </w:pPr>
    </w:p>
    <w:p w:rsidR="00500724" w:rsidRDefault="00500724">
      <w:pPr>
        <w:spacing w:line="14" w:lineRule="exact"/>
        <w:sectPr w:rsidR="00500724">
          <w:footnotePr>
            <w:numFmt w:val="chicago"/>
            <w:numRestart w:val="eachPage"/>
          </w:footnotePr>
          <w:type w:val="continuous"/>
          <w:pgSz w:w="11909" w:h="16834"/>
          <w:pgMar w:top="1047" w:right="0" w:bottom="593" w:left="0" w:header="0" w:footer="3" w:gutter="0"/>
          <w:cols w:space="720"/>
          <w:noEndnote/>
          <w:docGrid w:linePitch="360"/>
        </w:sectPr>
      </w:pPr>
    </w:p>
    <w:p w:rsidR="00500724" w:rsidRDefault="00F30FB8">
      <w:pPr>
        <w:pStyle w:val="Zkladntext100"/>
        <w:shd w:val="clear" w:color="auto" w:fill="auto"/>
        <w:spacing w:line="209" w:lineRule="auto"/>
        <w:ind w:firstLine="0"/>
        <w:rPr>
          <w:sz w:val="19"/>
          <w:szCs w:val="19"/>
        </w:rPr>
      </w:pPr>
      <w:r>
        <w:rPr>
          <w:sz w:val="19"/>
          <w:szCs w:val="19"/>
        </w:rPr>
        <w:t>otevřeně sděliti, co se staví. Kromě toho zavazují k jisté upřímnosti o síle a vývoji válečného loďstva námořní dohody a parlamentní kontrola. Bylo by tedy mylné, domnívati se, že v tomto ohledu může se svět dožiti pře</w:t>
      </w:r>
      <w:r>
        <w:rPr>
          <w:sz w:val="19"/>
          <w:szCs w:val="19"/>
        </w:rPr>
        <w:softHyphen/>
      </w:r>
      <w:r>
        <w:rPr>
          <w:sz w:val="19"/>
          <w:szCs w:val="19"/>
        </w:rPr>
        <w:t>kvapení. Tajně se dají stavět nanejvýš ponorky nebo přestavovat malé nákladní lodi v pomocné křižníky. Bitevní lodi, křižníky, torpédoborce a mateřské letecké lodi nemůže stavětí žádný stát, aniž by se o tom v za</w:t>
      </w:r>
      <w:r>
        <w:rPr>
          <w:sz w:val="19"/>
          <w:szCs w:val="19"/>
        </w:rPr>
        <w:softHyphen/>
        <w:t xml:space="preserve">hraničí za několik měsíců přesně nevědělo. </w:t>
      </w:r>
      <w:r>
        <w:rPr>
          <w:sz w:val="19"/>
          <w:szCs w:val="19"/>
        </w:rPr>
        <w:t>Velká Bri</w:t>
      </w:r>
      <w:r>
        <w:rPr>
          <w:sz w:val="19"/>
          <w:szCs w:val="19"/>
        </w:rPr>
        <w:softHyphen/>
        <w:t>tanie se svými 343 jednotkami válečného loďstva stála v lednu 1959 v čele světa. Zatím co od r. 1925 nespustila na vodu ani jedinou novou bitevní loď, staví letos 170 jednotek, z nichž má devět tonáž 35.0C0 a 40.000 tun. Kromě nich je ve stavbě 2</w:t>
      </w:r>
      <w:r>
        <w:rPr>
          <w:sz w:val="19"/>
          <w:szCs w:val="19"/>
        </w:rPr>
        <w:t xml:space="preserve">5 křižníků, 39 torpédoborců, 9 mateřských lodí pro letadla </w:t>
      </w:r>
      <w:r>
        <w:rPr>
          <w:i/>
          <w:iCs/>
          <w:sz w:val="20"/>
          <w:szCs w:val="20"/>
        </w:rPr>
        <w:t>a 19</w:t>
      </w:r>
      <w:r>
        <w:rPr>
          <w:sz w:val="19"/>
          <w:szCs w:val="19"/>
        </w:rPr>
        <w:t xml:space="preserve"> ponorek. Dvě nové bitevní lodi, které budou hotovy teprve v r. 1942 a z nichž každá bude stát 8 a půl milionu liber šterlinků, budou vybaveny 40cm děly, zatím co starší lodi z r. 1925 mají jen</w:t>
      </w:r>
      <w:r>
        <w:rPr>
          <w:sz w:val="19"/>
          <w:szCs w:val="19"/>
        </w:rPr>
        <w:t>om děla 30 cm. Rozšíření námořního pro</w:t>
      </w:r>
      <w:r>
        <w:rPr>
          <w:sz w:val="19"/>
          <w:szCs w:val="19"/>
        </w:rPr>
        <w:softHyphen/>
        <w:t>gramu — pro tento rok počítalo se původně pouze s 80 jednotkami — je překvapení, ale je to jen logický ná</w:t>
      </w:r>
      <w:r>
        <w:rPr>
          <w:sz w:val="19"/>
          <w:szCs w:val="19"/>
        </w:rPr>
        <w:softHyphen/>
        <w:t>sledek anglo-německé námořní dohody z r. 1936. Za rok přibude britskému válečnému loďstvu 68 nových jed</w:t>
      </w:r>
      <w:r>
        <w:rPr>
          <w:sz w:val="19"/>
          <w:szCs w:val="19"/>
        </w:rPr>
        <w:softHyphen/>
        <w:t xml:space="preserve">notek, </w:t>
      </w:r>
      <w:r>
        <w:rPr>
          <w:sz w:val="19"/>
          <w:szCs w:val="19"/>
        </w:rPr>
        <w:t>mezi nimi dvě úplné flotily torpédoborců, dvacet ochranných lodí nového typu a čtyři mateřské lodi pro letadla. V r. 1931 mělo válečné loďstvo 89.214 mužů, nyní jich má 137.000, což znamená zvýšení stavu o 50 proč. Veřejnost se dovídá velmi málo, jak se ná</w:t>
      </w:r>
      <w:r>
        <w:rPr>
          <w:sz w:val="19"/>
          <w:szCs w:val="19"/>
        </w:rPr>
        <w:t>mořnictvo vy</w:t>
      </w:r>
      <w:r>
        <w:rPr>
          <w:sz w:val="19"/>
          <w:szCs w:val="19"/>
        </w:rPr>
        <w:softHyphen/>
        <w:t xml:space="preserve">víjí, zdá se však, že ve stavbě ponorek dosáhla Velká Britanie značných technických pokroků. Mimo to sej admiralitě podařilo zařadili </w:t>
      </w:r>
      <w:r>
        <w:rPr>
          <w:sz w:val="20"/>
          <w:szCs w:val="20"/>
        </w:rPr>
        <w:t xml:space="preserve">k </w:t>
      </w:r>
      <w:r>
        <w:rPr>
          <w:sz w:val="19"/>
          <w:szCs w:val="19"/>
        </w:rPr>
        <w:t>námořnictvu část letectva a proslýchá se, že právě tato část vojenské aviatiky uči</w:t>
      </w:r>
      <w:r>
        <w:rPr>
          <w:sz w:val="19"/>
          <w:szCs w:val="19"/>
        </w:rPr>
        <w:softHyphen/>
        <w:t xml:space="preserve">nila do podzimu ohromné </w:t>
      </w:r>
      <w:r>
        <w:rPr>
          <w:sz w:val="19"/>
          <w:szCs w:val="19"/>
        </w:rPr>
        <w:t>pokroky: Všechny křižníky mají dnes vlastní letadla, tvoříce pro ně na širém moři letecký přístav.</w:t>
      </w:r>
    </w:p>
    <w:p w:rsidR="00500724" w:rsidRDefault="00F30FB8">
      <w:pPr>
        <w:pStyle w:val="Zkladntext40"/>
        <w:shd w:val="clear" w:color="auto" w:fill="auto"/>
        <w:spacing w:after="0" w:line="240" w:lineRule="auto"/>
        <w:jc w:val="center"/>
        <w:rPr>
          <w:sz w:val="14"/>
          <w:szCs w:val="14"/>
        </w:rPr>
      </w:pPr>
      <w:r>
        <w:rPr>
          <w:b/>
          <w:bCs/>
          <w:sz w:val="14"/>
          <w:szCs w:val="14"/>
        </w:rPr>
        <w:t>Letectvo</w:t>
      </w:r>
    </w:p>
    <w:p w:rsidR="00500724" w:rsidRDefault="00F30FB8">
      <w:pPr>
        <w:pStyle w:val="Zkladntext100"/>
        <w:shd w:val="clear" w:color="auto" w:fill="auto"/>
        <w:spacing w:line="209" w:lineRule="auto"/>
        <w:ind w:firstLine="240"/>
        <w:rPr>
          <w:sz w:val="19"/>
          <w:szCs w:val="19"/>
        </w:rPr>
      </w:pPr>
      <w:r>
        <w:rPr>
          <w:sz w:val="19"/>
          <w:szCs w:val="19"/>
        </w:rPr>
        <w:t>Počtem i jakostí strojů kleslo britské letectvo v r. 1955 na páté místo. Před několika týdny uveřejnil odborný vojenský časopis v Berlíně »Die Deuts</w:t>
      </w:r>
      <w:r>
        <w:rPr>
          <w:sz w:val="19"/>
          <w:szCs w:val="19"/>
        </w:rPr>
        <w:t>che Wehr« odhad leteckých sil jednotlivých velmocí (vyjímaje ovšem Ně</w:t>
      </w:r>
      <w:r>
        <w:rPr>
          <w:sz w:val="19"/>
          <w:szCs w:val="19"/>
        </w:rPr>
        <w:softHyphen/>
        <w:t>mecko). V této tabulce stojí Velká Britanie se 6000 stroji na druhém místě, následujíc hned za Ruskem, které prý má 9000 strojů. Podle stejného odhadu má Francie 5000, Itálie 4000, Spoje</w:t>
      </w:r>
      <w:r>
        <w:rPr>
          <w:sz w:val="19"/>
          <w:szCs w:val="19"/>
        </w:rPr>
        <w:t>né Státy 3700 a Japonsko 2700 vojen</w:t>
      </w:r>
      <w:r>
        <w:rPr>
          <w:sz w:val="19"/>
          <w:szCs w:val="19"/>
        </w:rPr>
        <w:softHyphen/>
        <w:t>ských letadel. Americký výpočet odhaduje počet váleč</w:t>
      </w:r>
      <w:r>
        <w:rPr>
          <w:sz w:val="19"/>
          <w:szCs w:val="19"/>
        </w:rPr>
        <w:softHyphen/>
        <w:t>ných^ letadel ve Velké Britanii ke konci r. 1939 na 10.000 strojů.</w:t>
      </w:r>
    </w:p>
    <w:p w:rsidR="00500724" w:rsidRDefault="00F30FB8">
      <w:pPr>
        <w:pStyle w:val="Zkladntext100"/>
        <w:shd w:val="clear" w:color="auto" w:fill="auto"/>
        <w:spacing w:line="209" w:lineRule="auto"/>
        <w:ind w:firstLine="240"/>
        <w:rPr>
          <w:sz w:val="19"/>
          <w:szCs w:val="19"/>
        </w:rPr>
      </w:pPr>
      <w:r>
        <w:rPr>
          <w:sz w:val="19"/>
          <w:szCs w:val="19"/>
        </w:rPr>
        <w:t>Takovým statistikám nelze však úplně věřit. Z odpo</w:t>
      </w:r>
      <w:r>
        <w:rPr>
          <w:sz w:val="19"/>
          <w:szCs w:val="19"/>
        </w:rPr>
        <w:softHyphen/>
        <w:t>vědných britských státníků mluvil o síle britskén</w:t>
      </w:r>
      <w:r>
        <w:rPr>
          <w:sz w:val="19"/>
          <w:szCs w:val="19"/>
        </w:rPr>
        <w:t>o letec</w:t>
      </w:r>
      <w:r>
        <w:rPr>
          <w:sz w:val="19"/>
          <w:szCs w:val="19"/>
        </w:rPr>
        <w:softHyphen/>
        <w:t xml:space="preserve">tva jenom </w:t>
      </w:r>
      <w:r>
        <w:rPr>
          <w:sz w:val="19"/>
          <w:szCs w:val="19"/>
          <w:lang w:val="en-US" w:eastAsia="en-US" w:bidi="en-US"/>
        </w:rPr>
        <w:t xml:space="preserve">Chamberlain. </w:t>
      </w:r>
      <w:r>
        <w:rPr>
          <w:sz w:val="19"/>
          <w:szCs w:val="19"/>
        </w:rPr>
        <w:t>Neudal sice přesná čísla, ale oznámil, že od září minulého roku stoupla výroba vo</w:t>
      </w:r>
      <w:r>
        <w:rPr>
          <w:sz w:val="19"/>
          <w:szCs w:val="19"/>
        </w:rPr>
        <w:softHyphen/>
        <w:t>jenských letadel dvojnásobně, do května se prý ztroj</w:t>
      </w:r>
      <w:r>
        <w:rPr>
          <w:sz w:val="19"/>
          <w:szCs w:val="19"/>
        </w:rPr>
        <w:softHyphen/>
        <w:t>násobí a do května 1940 bude čtyřnásobná. Někteří odborníci mají za to, že se letos v únor</w:t>
      </w:r>
      <w:r>
        <w:rPr>
          <w:sz w:val="19"/>
          <w:szCs w:val="19"/>
        </w:rPr>
        <w:t>u vyrábělo ,v Anglii 400 vojenských letadel za měsíc a že do května dosáhne výroba měsíční průměr německý, to jest 600 strojů. Některé londýnské noviny vyslovily domněnku, že do konce tohoto roku bude moci Anglie vyráběti mě</w:t>
      </w:r>
      <w:r>
        <w:rPr>
          <w:sz w:val="19"/>
          <w:szCs w:val="19"/>
        </w:rPr>
        <w:softHyphen/>
        <w:t>síčně 3000 letadel. To zní nepr</w:t>
      </w:r>
      <w:r>
        <w:rPr>
          <w:sz w:val="19"/>
          <w:szCs w:val="19"/>
        </w:rPr>
        <w:t>avděpodobně. Výrobou vojenských letadel zabývá se ve skutečnosti 2000 tová</w:t>
      </w:r>
      <w:r>
        <w:rPr>
          <w:sz w:val="19"/>
          <w:szCs w:val="19"/>
        </w:rPr>
        <w:softHyphen/>
        <w:t>ren. Je také pravda, že dvě pětiny vojenského rozpočtu připadají na letectvo. V roce 1955 mělo letectvo celkem 50.000 mužů, ale v roce 1958 přihlásilo se dobrovolně k letecké zbrani</w:t>
      </w:r>
      <w:r>
        <w:rPr>
          <w:sz w:val="19"/>
          <w:szCs w:val="19"/>
        </w:rPr>
        <w:t xml:space="preserve"> 35.000 nováčků, z nichž bylo 20.000 při</w:t>
      </w:r>
      <w:r>
        <w:rPr>
          <w:sz w:val="19"/>
          <w:szCs w:val="19"/>
        </w:rPr>
        <w:softHyphen/>
        <w:t>děleno k pravidelné armádě a zbytek tvoří leteckou zá</w:t>
      </w:r>
      <w:r>
        <w:rPr>
          <w:sz w:val="19"/>
          <w:szCs w:val="19"/>
        </w:rPr>
        <w:softHyphen/>
        <w:t>lohu. Letecká zbraň pravidelné armády čítá dnes přes 100.000 mužů.</w:t>
      </w:r>
    </w:p>
    <w:p w:rsidR="00500724" w:rsidRDefault="00F30FB8">
      <w:pPr>
        <w:pStyle w:val="Zkladntext100"/>
        <w:shd w:val="clear" w:color="auto" w:fill="auto"/>
        <w:spacing w:after="100" w:line="209" w:lineRule="auto"/>
        <w:ind w:firstLine="0"/>
        <w:jc w:val="right"/>
        <w:rPr>
          <w:sz w:val="19"/>
          <w:szCs w:val="19"/>
        </w:rPr>
      </w:pPr>
      <w:r>
        <w:rPr>
          <w:sz w:val="19"/>
          <w:szCs w:val="19"/>
        </w:rPr>
        <w:t xml:space="preserve">Vedení armády usiluje hlavně o to, aby se vyráběla letadla, která za hodinu uletí nejméně 400 </w:t>
      </w:r>
      <w:r>
        <w:rPr>
          <w:sz w:val="19"/>
          <w:szCs w:val="19"/>
        </w:rPr>
        <w:t>mil. Stíhačky musí býti aspoň o 100 mil za hodinu rychlejší než bom- bardovací letadla, dosahující průměrné rychlosti 300 mil za hodinu. Britské stíhací letadlo dosáhlo koncem února — ovšem za příznivého větru — 504 mil za ho</w:t>
      </w:r>
      <w:r>
        <w:rPr>
          <w:sz w:val="19"/>
          <w:szCs w:val="19"/>
        </w:rPr>
        <w:softHyphen/>
        <w:t>dinu. Britské stíhačky mají dn</w:t>
      </w:r>
      <w:r>
        <w:rPr>
          <w:sz w:val="19"/>
          <w:szCs w:val="19"/>
        </w:rPr>
        <w:t>es motory o 2000 HP, to jest dvakrát silnější, než měly před 2 až 3 lety.</w:t>
      </w:r>
    </w:p>
    <w:p w:rsidR="00500724" w:rsidRDefault="00F30FB8">
      <w:pPr>
        <w:pStyle w:val="Zkladntext40"/>
        <w:shd w:val="clear" w:color="auto" w:fill="auto"/>
        <w:spacing w:after="80" w:line="240" w:lineRule="auto"/>
        <w:jc w:val="center"/>
        <w:rPr>
          <w:sz w:val="14"/>
          <w:szCs w:val="14"/>
        </w:rPr>
      </w:pPr>
      <w:r>
        <w:rPr>
          <w:b/>
          <w:bCs/>
          <w:sz w:val="14"/>
          <w:szCs w:val="14"/>
        </w:rPr>
        <w:t>Ochrana civilního obyvatelstva</w:t>
      </w:r>
    </w:p>
    <w:p w:rsidR="00500724" w:rsidRDefault="00F30FB8">
      <w:pPr>
        <w:pStyle w:val="Zkladntext100"/>
        <w:shd w:val="clear" w:color="auto" w:fill="auto"/>
        <w:spacing w:line="211" w:lineRule="auto"/>
        <w:ind w:firstLine="240"/>
        <w:rPr>
          <w:sz w:val="19"/>
          <w:szCs w:val="19"/>
        </w:rPr>
      </w:pPr>
      <w:r>
        <w:rPr>
          <w:sz w:val="19"/>
          <w:szCs w:val="19"/>
        </w:rPr>
        <w:t xml:space="preserve">Když byla loni v září domácí britská flotila (tak zv. sTIome-Fleet«) doplněna na válečnou sílu, rozdalo se v Anglii civilnímu obyvatelstvu asi 40 </w:t>
      </w:r>
      <w:r>
        <w:rPr>
          <w:sz w:val="19"/>
          <w:szCs w:val="19"/>
        </w:rPr>
        <w:t>milionů plyno</w:t>
      </w:r>
      <w:r>
        <w:rPr>
          <w:sz w:val="19"/>
          <w:szCs w:val="19"/>
        </w:rPr>
        <w:softHyphen/>
        <w:t>vých masek a ve veřejných parcích vykopávaly se hlu</w:t>
      </w:r>
      <w:r>
        <w:rPr>
          <w:sz w:val="19"/>
          <w:szCs w:val="19"/>
        </w:rPr>
        <w:softHyphen/>
        <w:t>boké zákopy. Tyto zákopy měly být ochranou proti střepinám leteckých pum. Ve Francii neměla vláda v té době masky ani pro celé mužstvo na Maginotově linii a celá ochrana pařížského obyvatels</w:t>
      </w:r>
      <w:r>
        <w:rPr>
          <w:sz w:val="19"/>
          <w:szCs w:val="19"/>
        </w:rPr>
        <w:t>tva pozůstávala ze žlutého písku, který městská správa uložila v jednotli</w:t>
      </w:r>
      <w:r>
        <w:rPr>
          <w:sz w:val="19"/>
          <w:szCs w:val="19"/>
        </w:rPr>
        <w:softHyphen/>
        <w:t>vých domech.</w:t>
      </w:r>
    </w:p>
    <w:p w:rsidR="00500724" w:rsidRDefault="00F30FB8">
      <w:pPr>
        <w:pStyle w:val="Zkladntext100"/>
        <w:shd w:val="clear" w:color="auto" w:fill="auto"/>
        <w:spacing w:line="211" w:lineRule="auto"/>
        <w:ind w:firstLine="240"/>
        <w:rPr>
          <w:sz w:val="19"/>
          <w:szCs w:val="19"/>
        </w:rPr>
      </w:pPr>
      <w:r>
        <w:rPr>
          <w:sz w:val="19"/>
          <w:szCs w:val="19"/>
        </w:rPr>
        <w:t xml:space="preserve">V Londýně se od té doby změnilo velmi mnoho. Masky byly civilním’’ obyvatelstvu ponechány a úřady je občas zkouší. Místo otevřených zákopů ve veřejných parcích staví se </w:t>
      </w:r>
      <w:r>
        <w:rPr>
          <w:sz w:val="19"/>
          <w:szCs w:val="19"/>
        </w:rPr>
        <w:t>dnes po celé zemi malé ocelové komory, jichž vláda objednala milion kusů, rozdělujíc je větši</w:t>
      </w:r>
      <w:r>
        <w:rPr>
          <w:sz w:val="19"/>
          <w:szCs w:val="19"/>
        </w:rPr>
        <w:softHyphen/>
        <w:t>nou zdarma chudšímu obyvatelstvu. Ve velkých obyt</w:t>
      </w:r>
      <w:r>
        <w:rPr>
          <w:sz w:val="19"/>
          <w:szCs w:val="19"/>
        </w:rPr>
        <w:softHyphen/>
        <w:t>ných domech staví se železobetonové kryty, ve státních budovách jsou už většinou hotovy.</w:t>
      </w:r>
    </w:p>
    <w:p w:rsidR="00500724" w:rsidRDefault="00F30FB8">
      <w:pPr>
        <w:pStyle w:val="Zkladntext100"/>
        <w:shd w:val="clear" w:color="auto" w:fill="auto"/>
        <w:spacing w:line="211" w:lineRule="auto"/>
        <w:ind w:firstLine="240"/>
        <w:rPr>
          <w:sz w:val="19"/>
          <w:szCs w:val="19"/>
        </w:rPr>
      </w:pPr>
      <w:r>
        <w:rPr>
          <w:sz w:val="19"/>
          <w:szCs w:val="19"/>
        </w:rPr>
        <w:t>Pro ochranu Londýna a j</w:t>
      </w:r>
      <w:r>
        <w:rPr>
          <w:sz w:val="19"/>
          <w:szCs w:val="19"/>
        </w:rPr>
        <w:t>iných důležitých průmyslo</w:t>
      </w:r>
      <w:r>
        <w:rPr>
          <w:sz w:val="19"/>
          <w:szCs w:val="19"/>
        </w:rPr>
        <w:softHyphen/>
        <w:t>vých středisk zřizují se tak zvané balonové sítě. To jsou závoje z tenkého ocelového drátu, které se pomocí balonů vytáhnou do výšky asi 9000 metrů, znemožňujíce nepřá</w:t>
      </w:r>
      <w:r>
        <w:rPr>
          <w:sz w:val="19"/>
          <w:szCs w:val="19"/>
        </w:rPr>
        <w:softHyphen/>
        <w:t>telskému letadlu přelet. V některých evropských státech se tom</w:t>
      </w:r>
      <w:r>
        <w:rPr>
          <w:sz w:val="19"/>
          <w:szCs w:val="19"/>
        </w:rPr>
        <w:t>uto anglickému vynálezu posmívali, ale v únoru byl i Berlín opatřen takovou sítí. V lednu dostal Londýn dva zvláštní pluky protiletecké obrany, jejichž děla rozestavují se od té doby postupně v různých částech města. Nesou až do výše 8000 metrů, vystřelují</w:t>
      </w:r>
      <w:r>
        <w:rPr>
          <w:sz w:val="19"/>
          <w:szCs w:val="19"/>
        </w:rPr>
        <w:t>ce náboje těžké 25 kg. Cvičení s nimi ukázalo, že z desíti ran za</w:t>
      </w:r>
      <w:r>
        <w:rPr>
          <w:sz w:val="19"/>
          <w:szCs w:val="19"/>
        </w:rPr>
        <w:softHyphen/>
        <w:t>sáhlo cíl devět.</w:t>
      </w:r>
    </w:p>
    <w:p w:rsidR="00500724" w:rsidRDefault="00F30FB8">
      <w:pPr>
        <w:pStyle w:val="Zkladntext100"/>
        <w:shd w:val="clear" w:color="auto" w:fill="auto"/>
        <w:spacing w:line="211" w:lineRule="auto"/>
        <w:ind w:firstLine="240"/>
        <w:rPr>
          <w:sz w:val="19"/>
          <w:szCs w:val="19"/>
        </w:rPr>
      </w:pPr>
      <w:r>
        <w:rPr>
          <w:sz w:val="19"/>
          <w:szCs w:val="19"/>
        </w:rPr>
        <w:t>Začátkem léta začala vláda organisovati ochranu oby</w:t>
      </w:r>
      <w:r>
        <w:rPr>
          <w:sz w:val="19"/>
          <w:szCs w:val="19"/>
        </w:rPr>
        <w:softHyphen/>
        <w:t>vatelstva ve velkém měřítku. Pro 23 odvětví nouzové služby je už všechno hotovo. Tato organisace potřebuje ro celou Angli</w:t>
      </w:r>
      <w:r>
        <w:rPr>
          <w:sz w:val="19"/>
          <w:szCs w:val="19"/>
        </w:rPr>
        <w:t xml:space="preserve">i 1,250.000 mužských a ženských sil. Do </w:t>
      </w:r>
      <w:r>
        <w:rPr>
          <w:sz w:val="19"/>
          <w:szCs w:val="19"/>
          <w:lang w:val="en-US" w:eastAsia="en-US" w:bidi="en-US"/>
        </w:rPr>
        <w:t xml:space="preserve">once </w:t>
      </w:r>
      <w:r>
        <w:rPr>
          <w:sz w:val="19"/>
          <w:szCs w:val="19"/>
        </w:rPr>
        <w:t>února přihlásilo se již 1,200.000 osob. Celá země byla rozdělena na 12 oblastí, z nichž každou spravuje zvláštní přednosta. V případě, že by spojení s londýn</w:t>
      </w:r>
      <w:r>
        <w:rPr>
          <w:sz w:val="19"/>
          <w:szCs w:val="19"/>
        </w:rPr>
        <w:softHyphen/>
        <w:t>skou vládou bylo přerušeno, bude míti přednosta každé</w:t>
      </w:r>
      <w:r>
        <w:rPr>
          <w:sz w:val="19"/>
          <w:szCs w:val="19"/>
        </w:rPr>
        <w:t xml:space="preserve"> oblasti diktátorskou plnou moc. Byly také určeny oblasti, z nichž budou matky a děti v případě války vy</w:t>
      </w:r>
      <w:r>
        <w:rPr>
          <w:sz w:val="19"/>
          <w:szCs w:val="19"/>
        </w:rPr>
        <w:softHyphen/>
        <w:t>stěhovány a jsou už určeny kraje, kam se evakuované obyvatelstvo uchýlí. V nemocnicích bylo již zajištěno 200.000 lůžek pro první oběti leteckých útoků</w:t>
      </w:r>
      <w:r>
        <w:rPr>
          <w:sz w:val="19"/>
          <w:szCs w:val="19"/>
        </w:rPr>
        <w:t>. Dalších 100.000 lůžek musí nemocnice uvolnit do tří dnů po za</w:t>
      </w:r>
      <w:r>
        <w:rPr>
          <w:sz w:val="19"/>
          <w:szCs w:val="19"/>
        </w:rPr>
        <w:softHyphen/>
        <w:t>čátku války. K boji proti ohni objednalo se už 18.000</w:t>
      </w:r>
    </w:p>
    <w:p w:rsidR="00500724" w:rsidRDefault="00F30FB8">
      <w:pPr>
        <w:pStyle w:val="Zkladntext100"/>
        <w:shd w:val="clear" w:color="auto" w:fill="auto"/>
        <w:spacing w:line="211" w:lineRule="auto"/>
        <w:ind w:firstLine="0"/>
        <w:rPr>
          <w:sz w:val="19"/>
          <w:szCs w:val="19"/>
        </w:rPr>
      </w:pPr>
      <w:r>
        <w:rPr>
          <w:sz w:val="19"/>
          <w:szCs w:val="19"/>
        </w:rPr>
        <w:t>stříkaček.</w:t>
      </w:r>
    </w:p>
    <w:p w:rsidR="00500724" w:rsidRDefault="00F30FB8">
      <w:pPr>
        <w:pStyle w:val="Zkladntext100"/>
        <w:shd w:val="clear" w:color="auto" w:fill="auto"/>
        <w:spacing w:line="214" w:lineRule="auto"/>
        <w:ind w:firstLine="240"/>
        <w:rPr>
          <w:sz w:val="19"/>
          <w:szCs w:val="19"/>
        </w:rPr>
      </w:pPr>
      <w:r>
        <w:rPr>
          <w:sz w:val="19"/>
          <w:szCs w:val="19"/>
        </w:rPr>
        <w:t>I nahromadění zásob potravin doznalo od začátku září značné pokroky. Vláda nakoupila v roce 1958 po</w:t>
      </w:r>
      <w:r>
        <w:rPr>
          <w:sz w:val="19"/>
          <w:szCs w:val="19"/>
        </w:rPr>
        <w:softHyphen/>
        <w:t>travin a benzinu za 8 a půl</w:t>
      </w:r>
      <w:r>
        <w:rPr>
          <w:sz w:val="19"/>
          <w:szCs w:val="19"/>
        </w:rPr>
        <w:t xml:space="preserve"> milionu liber šterlinků. Letos se pro tento účel vydá jenom 5 milionů. Průmysl se od podzimu postupně přizpůsobil potřebám obrany a dal se do služeb zbrojenj. Prozradil-li nedávno gibraltarský guvernér lord Harington, že v kritických zářijových dnech byly</w:t>
      </w:r>
      <w:r>
        <w:rPr>
          <w:sz w:val="19"/>
          <w:szCs w:val="19"/>
        </w:rPr>
        <w:t xml:space="preserve"> na Gibraltaru jenom dvě baterie proti- letadlových děl, zní to dnes jako přelud, ačkoli opevněni Gibraltaru není ještě ani zdaleka hotovo. (Tato okolnost ostatně přispěla velmi značně k tomu, že Velká Britanie urychlila uznání Francovy vlády.)</w:t>
      </w:r>
    </w:p>
    <w:p w:rsidR="00500724" w:rsidRDefault="00F30FB8">
      <w:pPr>
        <w:pStyle w:val="Zkladntext100"/>
        <w:shd w:val="clear" w:color="auto" w:fill="auto"/>
        <w:spacing w:after="60" w:line="214" w:lineRule="auto"/>
        <w:ind w:firstLine="240"/>
        <w:rPr>
          <w:sz w:val="19"/>
          <w:szCs w:val="19"/>
        </w:rPr>
      </w:pPr>
      <w:r>
        <w:rPr>
          <w:sz w:val="19"/>
          <w:szCs w:val="19"/>
        </w:rPr>
        <w:t>Do leteckéh</w:t>
      </w:r>
      <w:r>
        <w:rPr>
          <w:sz w:val="19"/>
          <w:szCs w:val="19"/>
        </w:rPr>
        <w:t>o průmyslu investovalo se v posledních letech 12 milionů liber a do ocelářského průmyslu 40 milionů. Vyráběl-li anglický ocelářský průmysl v roce 1914 celkem 8 milionů tun, vyrábí dnes 14.5 mil. tun. Jedna pětina výroby stačí, aby uspokojila vojenské objed</w:t>
      </w:r>
      <w:r>
        <w:rPr>
          <w:sz w:val="19"/>
          <w:szCs w:val="19"/>
        </w:rPr>
        <w:t>návky.</w:t>
      </w:r>
    </w:p>
    <w:p w:rsidR="00500724" w:rsidRDefault="00F30FB8">
      <w:pPr>
        <w:pStyle w:val="Zkladntext100"/>
        <w:shd w:val="clear" w:color="auto" w:fill="auto"/>
        <w:spacing w:after="60" w:line="211" w:lineRule="auto"/>
        <w:ind w:firstLine="0"/>
        <w:rPr>
          <w:sz w:val="19"/>
          <w:szCs w:val="19"/>
        </w:rPr>
      </w:pPr>
      <w:r>
        <w:rPr>
          <w:sz w:val="19"/>
          <w:szCs w:val="19"/>
        </w:rPr>
        <w:t>Peníze se chtějí zachránit a vydělávat</w:t>
      </w:r>
    </w:p>
    <w:p w:rsidR="00500724" w:rsidRDefault="00F30FB8">
      <w:pPr>
        <w:pStyle w:val="Zkladntext100"/>
        <w:shd w:val="clear" w:color="auto" w:fill="auto"/>
        <w:spacing w:after="40" w:line="211" w:lineRule="auto"/>
        <w:ind w:firstLine="240"/>
        <w:rPr>
          <w:sz w:val="19"/>
          <w:szCs w:val="19"/>
        </w:rPr>
      </w:pPr>
      <w:r>
        <w:rPr>
          <w:sz w:val="19"/>
          <w:szCs w:val="19"/>
        </w:rPr>
        <w:t>Když v únoru 1937 Bílá kniha oznámila, že v rámci pětiletého programu bude z veřejných prostředků vy</w:t>
      </w:r>
      <w:r>
        <w:rPr>
          <w:sz w:val="19"/>
          <w:szCs w:val="19"/>
        </w:rPr>
        <w:softHyphen/>
        <w:t>dáno na zbrojení 1500 milionů liber, byla britská veřej-</w:t>
      </w:r>
    </w:p>
    <w:p w:rsidR="00500724" w:rsidRDefault="00F30FB8">
      <w:pPr>
        <w:pStyle w:val="Zkladntext40"/>
        <w:shd w:val="clear" w:color="auto" w:fill="auto"/>
        <w:spacing w:after="0" w:line="288" w:lineRule="auto"/>
        <w:rPr>
          <w:sz w:val="14"/>
          <w:szCs w:val="14"/>
        </w:rPr>
      </w:pPr>
      <w:r>
        <w:rPr>
          <w:b/>
          <w:bCs/>
          <w:sz w:val="14"/>
          <w:szCs w:val="14"/>
        </w:rPr>
        <w:t xml:space="preserve">nosí úžasně vzrušena. Od té doby si už na taková </w:t>
      </w:r>
      <w:r>
        <w:rPr>
          <w:b/>
          <w:bCs/>
          <w:sz w:val="14"/>
          <w:szCs w:val="14"/>
        </w:rPr>
        <w:t>čísla zvykla a nebyla ani udivena a rozhořčena, když ministr financí koncem února sdělil, že vydání za první tři roky dosáhla 1250 milionů liber, naznačuje tím, že do konce roku 1941 bude zapotřebí o 500 milionů liber víc, než se původně předpokládalo. Jak</w:t>
      </w:r>
      <w:r>
        <w:rPr>
          <w:b/>
          <w:bCs/>
          <w:sz w:val="14"/>
          <w:szCs w:val="14"/>
        </w:rPr>
        <w:t xml:space="preserve"> jsou už lidé vůči takovým číslům otupělí, ukazuje okolnost, že na tisk a sněmovnu nepůsobily zvláštním dojmem ani údaje konservativního poslance kapitána Mac Millana, který oznámil, že Ně</w:t>
      </w:r>
      <w:r>
        <w:rPr>
          <w:b/>
          <w:bCs/>
          <w:sz w:val="14"/>
          <w:szCs w:val="14"/>
        </w:rPr>
        <w:softHyphen/>
        <w:t>mecko vydalo za pět let na zbrojení 2800 milionů liber a že jen pro</w:t>
      </w:r>
      <w:r>
        <w:rPr>
          <w:b/>
          <w:bCs/>
          <w:sz w:val="14"/>
          <w:szCs w:val="14"/>
        </w:rPr>
        <w:t xml:space="preserve"> rok 1959 vydá dalších 1200 milionů liber.</w:t>
      </w:r>
    </w:p>
    <w:p w:rsidR="00500724" w:rsidRDefault="00F30FB8">
      <w:pPr>
        <w:pStyle w:val="Zkladntext40"/>
        <w:shd w:val="clear" w:color="auto" w:fill="auto"/>
        <w:spacing w:after="220" w:line="288" w:lineRule="auto"/>
        <w:ind w:firstLine="240"/>
        <w:rPr>
          <w:sz w:val="14"/>
          <w:szCs w:val="14"/>
        </w:rPr>
      </w:pPr>
      <w:r>
        <w:rPr>
          <w:b/>
          <w:bCs/>
          <w:sz w:val="14"/>
          <w:szCs w:val="14"/>
        </w:rPr>
        <w:t xml:space="preserve">Tím, že vláda dostala nedávno plnou moc pro zvýšení zbrojní půjčky se 400 na 800 milionů liber, bude už sama zbrojní půjčka větší než celý britsky státní dluh v roce 1914. Tato syrová čísla mohou ovšem snadno </w:t>
      </w:r>
      <w:r>
        <w:rPr>
          <w:b/>
          <w:bCs/>
          <w:sz w:val="14"/>
          <w:szCs w:val="14"/>
        </w:rPr>
        <w:t>vzbuditi klamný dojem, že se Anglie zaplétá do válečných dluhu. Musíme však vědět, že se zlaté zásoby a oběh bankovek od roku 1914 zmnohonásobily. Uvážíme-li ovšem, že jsou vydání na brannou moc v posledních sedmi letech pětkrát větší, nelze snadno odmítno</w:t>
      </w:r>
      <w:r>
        <w:rPr>
          <w:b/>
          <w:bCs/>
          <w:sz w:val="14"/>
          <w:szCs w:val="14"/>
        </w:rPr>
        <w:t>uti domněnku, že může dojiti v Anglii k inflaci. Prozatím se nedá nic po</w:t>
      </w:r>
      <w:r>
        <w:rPr>
          <w:b/>
          <w:bCs/>
          <w:sz w:val="14"/>
          <w:szCs w:val="14"/>
        </w:rPr>
        <w:softHyphen/>
        <w:t>dobného zjistit a vycítit. Velký průmysl, na němž mají osobní zájem přední státníci, dělá výborné obchody, velké firmy a banky vyplácejí netušené dividendy a superdividendy.</w:t>
      </w:r>
    </w:p>
    <w:p w:rsidR="00500724" w:rsidRDefault="00F30FB8">
      <w:pPr>
        <w:pStyle w:val="Jin0"/>
        <w:shd w:val="clear" w:color="auto" w:fill="auto"/>
        <w:spacing w:after="180"/>
        <w:ind w:left="140" w:firstLine="0"/>
        <w:jc w:val="left"/>
        <w:rPr>
          <w:sz w:val="44"/>
          <w:szCs w:val="44"/>
        </w:rPr>
      </w:pPr>
      <w:r>
        <w:rPr>
          <w:b/>
          <w:bCs/>
          <w:sz w:val="44"/>
          <w:szCs w:val="44"/>
          <w:u w:val="single"/>
        </w:rPr>
        <w:t>literatur</w:t>
      </w:r>
      <w:r>
        <w:rPr>
          <w:b/>
          <w:bCs/>
          <w:sz w:val="44"/>
          <w:szCs w:val="44"/>
          <w:u w:val="single"/>
        </w:rPr>
        <w:t>a a uměni</w:t>
      </w:r>
    </w:p>
    <w:p w:rsidR="00500724" w:rsidRDefault="00F30FB8">
      <w:pPr>
        <w:pStyle w:val="Zkladntext40"/>
        <w:shd w:val="clear" w:color="auto" w:fill="auto"/>
        <w:spacing w:after="40" w:line="240" w:lineRule="auto"/>
      </w:pPr>
      <w:r>
        <w:rPr>
          <w:b/>
          <w:bCs/>
          <w:i/>
          <w:iCs/>
        </w:rPr>
        <w:t>Jan Mukařovský:</w:t>
      </w:r>
    </w:p>
    <w:p w:rsidR="00500724" w:rsidRDefault="00F30FB8">
      <w:pPr>
        <w:pStyle w:val="Nadpis100"/>
        <w:shd w:val="clear" w:color="auto" w:fill="auto"/>
        <w:spacing w:line="240" w:lineRule="auto"/>
      </w:pPr>
      <w:bookmarkStart w:id="241" w:name="bookmark240"/>
      <w:r>
        <w:t>Karel Capek-spisovatel</w:t>
      </w:r>
      <w:bookmarkEnd w:id="241"/>
    </w:p>
    <w:p w:rsidR="00500724" w:rsidRDefault="00F30FB8">
      <w:pPr>
        <w:pStyle w:val="Zkladntext20"/>
        <w:shd w:val="clear" w:color="auto" w:fill="auto"/>
        <w:spacing w:after="40" w:line="204" w:lineRule="auto"/>
        <w:ind w:firstLine="300"/>
      </w:pPr>
      <w:r>
        <w:t>Vzpomínat na Čapka spisovatele — jak nesnadné a divné zdá se vzpomínat na přítomného! Odešel včera, nedořeknuv poslední slovo své poslední knihy. On, jenž ve svých vypravováních a cestopisech hovořil tváří v</w:t>
      </w:r>
      <w:r>
        <w:t xml:space="preserve"> tvář s každým jednotlivým čtenářem, odmlčel se v půli věty, takže mimoděk čekáme na pokračo</w:t>
      </w:r>
      <w:r>
        <w:softHyphen/>
        <w:t>vání v hovoru. Proto, vzpomínám-li na Čapka-spiso- vatele, vidím živou scénu, starou sice již čtyři léta, ale tak přítomnou, jako by se byla udála před chvílí.</w:t>
      </w:r>
    </w:p>
    <w:p w:rsidR="00500724" w:rsidRDefault="00F30FB8">
      <w:pPr>
        <w:pStyle w:val="Zkladntext20"/>
        <w:shd w:val="clear" w:color="auto" w:fill="auto"/>
        <w:spacing w:after="40" w:line="202" w:lineRule="auto"/>
        <w:ind w:firstLine="300"/>
      </w:pPr>
      <w:r>
        <w:t>Kar</w:t>
      </w:r>
      <w:r>
        <w:t>lovy Vary, krásné léto; Čapek s paní Olgou Scheinpflugovou se tu léčí a píší. Potkáváme se denně. Čapek píše »Válku s mloky«. Prozatím mluví jen ne</w:t>
      </w:r>
      <w:r>
        <w:softHyphen/>
        <w:t>určitě o »románu«; co v románě bude, neříká. Jako pilný pracovník projevuje někdy spokojenost, jindy nespoko</w:t>
      </w:r>
      <w:r>
        <w:t>jenost s tím, »jak se mu dnes psalo«. Pak jednou setkání s brněnským profesorem W., právní</w:t>
      </w:r>
      <w:r>
        <w:softHyphen/>
        <w:t>kem, jehož se Čapek pečlivě vyptává: »Mám v svém románě takové divné tvory, zvířata, která se pozvolnu stávají lidmi. Vznikají složité otázky jejich právního postave</w:t>
      </w:r>
      <w:r>
        <w:t>ní, takové a takové. Je to jejich řešení, které podávám, právnicky možné ?« Na otázku, jací to tvorové jsou a oč v celém románě vlastně jde, odmítá Čapek odpověď; s dobromyslným humorem a narážeje na vědeckou příslušnost profesorovu k právně filo</w:t>
      </w:r>
      <w:r>
        <w:softHyphen/>
        <w:t>sofickému</w:t>
      </w:r>
      <w:r>
        <w:t xml:space="preserve"> směru normativnímu dodává: »Říkejme jim třeba normotvorové.« A to je všechno. Co chci touto vzpomínkou říci? Jen to, že vstup do duševní dílny básníkovy je zamčen na několik zámků.</w:t>
      </w:r>
    </w:p>
    <w:p w:rsidR="00500724" w:rsidRDefault="00F30FB8">
      <w:pPr>
        <w:pStyle w:val="Zkladntext20"/>
        <w:shd w:val="clear" w:color="auto" w:fill="auto"/>
        <w:spacing w:line="202" w:lineRule="auto"/>
        <w:ind w:firstLine="300"/>
      </w:pPr>
      <w:r>
        <w:t xml:space="preserve">Snad, ba jistě ti, kdo Čapkovi stáli blíže a nejblíže, mohli by říci více </w:t>
      </w:r>
      <w:r>
        <w:t>než ostatní; ani ti asi ne všechno. Musíme se tedy spokojit tím, co o básnickém tvoření prozradil básník sám v »Povětroni«. Praví se tam mimo jiné:</w:t>
      </w:r>
    </w:p>
    <w:p w:rsidR="00500724" w:rsidRDefault="00F30FB8">
      <w:pPr>
        <w:pStyle w:val="Zkladntext20"/>
        <w:shd w:val="clear" w:color="auto" w:fill="auto"/>
        <w:spacing w:after="40" w:line="276" w:lineRule="auto"/>
        <w:ind w:firstLine="300"/>
        <w:rPr>
          <w:sz w:val="15"/>
          <w:szCs w:val="15"/>
        </w:rPr>
      </w:pPr>
      <w:r>
        <w:rPr>
          <w:sz w:val="20"/>
          <w:szCs w:val="20"/>
        </w:rPr>
        <w:t>»Pokouším se vám znázornit, že, jsme-li vedeni fantasii, překračujeme práh jakési nekonečnosti; práh světa n</w:t>
      </w:r>
      <w:r>
        <w:rPr>
          <w:sz w:val="20"/>
          <w:szCs w:val="20"/>
        </w:rPr>
        <w:t>eome</w:t>
      </w:r>
      <w:r>
        <w:rPr>
          <w:sz w:val="20"/>
          <w:szCs w:val="20"/>
        </w:rPr>
        <w:softHyphen/>
        <w:t xml:space="preserve">zeného naší zkušeností, širšího než naše poznatky a obsa- </w:t>
      </w:r>
      <w:r>
        <w:rPr>
          <w:b/>
          <w:bCs/>
          <w:i/>
          <w:iCs/>
          <w:sz w:val="15"/>
          <w:szCs w:val="15"/>
        </w:rPr>
        <w:t>iSó</w:t>
      </w:r>
    </w:p>
    <w:p w:rsidR="00500724" w:rsidRDefault="00F30FB8">
      <w:pPr>
        <w:pStyle w:val="Zkladntext20"/>
        <w:shd w:val="clear" w:color="auto" w:fill="auto"/>
        <w:spacing w:line="180" w:lineRule="auto"/>
        <w:ind w:firstLine="0"/>
        <w:rPr>
          <w:sz w:val="20"/>
          <w:szCs w:val="20"/>
        </w:rPr>
      </w:pPr>
      <w:r>
        <w:rPr>
          <w:sz w:val="20"/>
          <w:szCs w:val="20"/>
        </w:rPr>
        <w:t xml:space="preserve">hujíciho neskonale víc, než je nám vědomo. Píkám vám, že bychom se neodvážili vkročit do těchto bezmezných končin, kdybychom tam nevpadli slepě a střemhlav, běžíce za něčím, co se nám </w:t>
      </w:r>
      <w:r>
        <w:rPr>
          <w:sz w:val="20"/>
          <w:szCs w:val="20"/>
        </w:rPr>
        <w:t>skrývá. Kdyby nám duch pokušitel šeptal: »Nyní si něco vymysli, ať je to cokoli* — byli bychom zmatení a snad bychom ucouvli hrůzou nad mar</w:t>
      </w:r>
      <w:r>
        <w:rPr>
          <w:sz w:val="20"/>
          <w:szCs w:val="20"/>
        </w:rPr>
        <w:softHyphen/>
        <w:t>ností a nesmyslností toho úkolu; měli bychom strach pustit se bez cíle a směru na toto Maře tenebrarum. Položme sl o</w:t>
      </w:r>
      <w:r>
        <w:rPr>
          <w:sz w:val="20"/>
          <w:szCs w:val="20"/>
        </w:rPr>
        <w:t>tázku: Jaké právo má muž, který nechce být považován za blázna nebo podvodníka, aby si vymýšlel něco, co není?, Je jen jedna odpověď, na štěstí určitá a nepochybná: Nechte ho, on musí; nejde ze svévole, je vlečen, řítí se za něčím, a jeho křivolaká cesta j</w:t>
      </w:r>
      <w:r>
        <w:rPr>
          <w:sz w:val="20"/>
          <w:szCs w:val="20"/>
        </w:rPr>
        <w:t>e nutností. Ne jeho, ale Boha se ptejte, co je to nutnost.*</w:t>
      </w:r>
    </w:p>
    <w:p w:rsidR="00500724" w:rsidRDefault="00F30FB8">
      <w:pPr>
        <w:pStyle w:val="Zkladntext20"/>
        <w:shd w:val="clear" w:color="auto" w:fill="auto"/>
        <w:spacing w:line="202" w:lineRule="auto"/>
        <w:ind w:firstLine="260"/>
      </w:pPr>
      <w:r>
        <w:t xml:space="preserve">Lze z tohoto úryvku vyčíst podvědomou nutnost </w:t>
      </w:r>
      <w:r>
        <w:rPr>
          <w:b/>
          <w:bCs/>
          <w:sz w:val="26"/>
          <w:szCs w:val="26"/>
        </w:rPr>
        <w:t xml:space="preserve">i </w:t>
      </w:r>
      <w:r>
        <w:t xml:space="preserve">tajemnou hrůznost básnického tvoření. Zde jsou hranice, za které nelze proniknout tomu, kdo přihlíží zvenčí; netvoři básník, ani tak vědomý a </w:t>
      </w:r>
      <w:r>
        <w:t>prohlédající jako Čapek, ze své vůle a svobodného rozhodnutí: »cosi« v něm tvoří — a toto cosi je tajemství tvorby.</w:t>
      </w:r>
    </w:p>
    <w:p w:rsidR="00500724" w:rsidRDefault="00F30FB8">
      <w:pPr>
        <w:pStyle w:val="Zkladntext20"/>
        <w:shd w:val="clear" w:color="auto" w:fill="auto"/>
        <w:spacing w:line="202" w:lineRule="auto"/>
        <w:ind w:firstLine="260"/>
      </w:pPr>
      <w:r>
        <w:t>Co však platí o procesu tvoření, neplatí o díle již vytvořeném. Vůči tomu stojí i básník sám jako vůči faktu již hotovému, napříště nezměnit</w:t>
      </w:r>
      <w:r>
        <w:t>elnému, k němuž má závazek stejně volný jako kdokoli z čtoucích. Čapek tím spíše, neboť není v něm toliko tvůrce, ale i pozorovatel umění, ba dokonce jeho teoretik. Již Čapkova disertace nese příznačný název »Objektivní metoda v estetice«. Umělecké dílo ho</w:t>
      </w:r>
      <w:r>
        <w:t>tové je tedy Čapkovi poznatelné, a jako předmět poznání chápal i své dílo vlastní. Tak na příklad o svých »Povídkách z jedné a z druhé kapsy* napsal v dopise:</w:t>
      </w:r>
    </w:p>
    <w:p w:rsidR="00500724" w:rsidRDefault="00F30FB8">
      <w:pPr>
        <w:pStyle w:val="Zkladntext20"/>
        <w:shd w:val="clear" w:color="auto" w:fill="auto"/>
        <w:spacing w:line="180" w:lineRule="auto"/>
        <w:ind w:firstLine="320"/>
        <w:rPr>
          <w:sz w:val="20"/>
          <w:szCs w:val="20"/>
        </w:rPr>
      </w:pPr>
      <w:r>
        <w:rPr>
          <w:sz w:val="20"/>
          <w:szCs w:val="20"/>
        </w:rPr>
        <w:t>»Jádrem »Povídek z jedné kapsy* byl úmysl napsat noetické povídky o cestách poznání; a protože šl</w:t>
      </w:r>
      <w:r>
        <w:rPr>
          <w:sz w:val="20"/>
          <w:szCs w:val="20"/>
        </w:rPr>
        <w:t xml:space="preserve">o o »cesty poznání«, vnutil se mi sám sebou </w:t>
      </w:r>
      <w:r>
        <w:rPr>
          <w:sz w:val="20"/>
          <w:szCs w:val="20"/>
          <w:lang w:val="en-US" w:eastAsia="en-US" w:bidi="en-US"/>
        </w:rPr>
        <w:t xml:space="preserve">genre </w:t>
      </w:r>
      <w:r>
        <w:rPr>
          <w:sz w:val="20"/>
          <w:szCs w:val="20"/>
        </w:rPr>
        <w:t>detektivní. Máte tu poznání tak zvané okultní, básnické, rutinérské, hrubou empirii a tak dále. Teprvě během práce a proti mé vůli dostavil se druhý motiv, etický, problém spravedlnosti, Najdete jej ve větš</w:t>
      </w:r>
      <w:r>
        <w:rPr>
          <w:sz w:val="20"/>
          <w:szCs w:val="20"/>
        </w:rPr>
        <w:t>ině povídek v druhé půlce Jedné kapsy. — A pak ovšem několik povídaček, vzniklých více na okraji těch druhých, nepatří do té ani do oné skupiny. V podstatě je to kritická knížka, proto je novinářská. Druhý svazek íPovídky z druhé kapsy) je tematicky volněj</w:t>
      </w:r>
      <w:r>
        <w:rPr>
          <w:sz w:val="20"/>
          <w:szCs w:val="20"/>
        </w:rPr>
        <w:t>ší; tam mně spíš šlo o hledáni lidských a něžných záblesků v rutině života, řemesla nebo zvykového hodnocení.*</w:t>
      </w:r>
    </w:p>
    <w:p w:rsidR="00500724" w:rsidRDefault="00F30FB8">
      <w:pPr>
        <w:pStyle w:val="Zkladntext20"/>
        <w:shd w:val="clear" w:color="auto" w:fill="auto"/>
        <w:spacing w:line="204" w:lineRule="auto"/>
        <w:ind w:firstLine="260"/>
      </w:pPr>
      <w:r>
        <w:t>Takové bylo pro Čapka-spisovatele umělecké dílo; lidský výtvor, lépe nebo hůře udělaný, vyžadující od svého původce téže pozorné péče a technické</w:t>
      </w:r>
      <w:r>
        <w:t xml:space="preserve"> umělosti jako kterýkoli jiný druh lidského vytváření. I kritiku přál si takovou, která rozumí spisovatelskému řemeslu a jde — jak kdysi řekl — »řádně věci na kloub bez essayistických kouzel«. Sám výchovou teoretik umění, přál si kritika, který ví, že věc </w:t>
      </w:r>
      <w:r>
        <w:t>musila být »udělána« a dovede ocenit, byla-li. Je v tomto pojetí málo patosu, ale velké vědomí odpovědnosti spisovatelovy vůči dílu a čtenáři.</w:t>
      </w:r>
    </w:p>
    <w:p w:rsidR="00500724" w:rsidRDefault="00F30FB8">
      <w:pPr>
        <w:pStyle w:val="Zkladntext20"/>
        <w:shd w:val="clear" w:color="auto" w:fill="auto"/>
        <w:spacing w:after="40" w:line="180" w:lineRule="auto"/>
        <w:ind w:firstLine="0"/>
        <w:jc w:val="center"/>
      </w:pPr>
      <w:r>
        <w:t>•</w:t>
      </w:r>
    </w:p>
    <w:p w:rsidR="00500724" w:rsidRDefault="00F30FB8">
      <w:pPr>
        <w:pStyle w:val="Zkladntext20"/>
        <w:shd w:val="clear" w:color="auto" w:fill="auto"/>
        <w:spacing w:line="202" w:lineRule="auto"/>
        <w:ind w:firstLine="260"/>
        <w:sectPr w:rsidR="00500724">
          <w:footnotePr>
            <w:numFmt w:val="chicago"/>
            <w:numRestart w:val="eachPage"/>
          </w:footnotePr>
          <w:type w:val="continuous"/>
          <w:pgSz w:w="11909" w:h="16834"/>
          <w:pgMar w:top="1047" w:right="920" w:bottom="593" w:left="550" w:header="0" w:footer="3" w:gutter="0"/>
          <w:cols w:num="2" w:space="113"/>
          <w:noEndnote/>
          <w:docGrid w:linePitch="360"/>
        </w:sectPr>
      </w:pPr>
      <w:r>
        <w:t>Odtud u Čapka i vášnivý zájem o teoretické problé</w:t>
      </w:r>
      <w:r>
        <w:softHyphen/>
        <w:t>my umění. Vzpomínám a se mnou j</w:t>
      </w:r>
      <w:r>
        <w:t>istě i jiní, jak občas, když o pátcích rozhovor o událostech týdne zaujal pozornost těch, kdo měli blízko k veřejnému životu, odsedí Čapek stranou, do druhé místnosti: »Nechte ty politiky a pojďte povídat o umění!« O čem se mluvilo? Nevzpomínám příliš zřet</w:t>
      </w:r>
      <w:r>
        <w:t>elně, neboť při diskusi tak živé není zpravidla pro účastníky mnoho času na pozorování. Témata proto neutkvěla, spíš zlomkovitý obraz situace a účastníků: oposiční skepsi zastupoval Fr. Langer, odkudsi z kouta zaléhaly pregnantní poznámky Josefa Čapka; pře</w:t>
      </w:r>
      <w:r>
        <w:t>kladatel J. Palivec namítal (ve vřavě, která snadno vznikala při vášnivějších rozporech) tiše a s rozvahou, hladě při tom rukou ve vzduchu verše svých oblíbených básní-</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771" w:right="631" w:bottom="480" w:left="852" w:header="0" w:footer="3" w:gutter="0"/>
          <w:cols w:space="720"/>
          <w:noEndnote/>
          <w:docGrid w:linePitch="360"/>
        </w:sectPr>
      </w:pPr>
      <w:bookmarkStart w:id="242" w:name="bookmark241"/>
      <w:r>
        <w:rPr>
          <w:rFonts w:ascii="Times New Roman" w:eastAsia="Times New Roman" w:hAnsi="Times New Roman" w:cs="Times New Roman"/>
        </w:rPr>
        <w:t>Přítomnosti</w:t>
      </w:r>
      <w:bookmarkEnd w:id="242"/>
    </w:p>
    <w:p w:rsidR="00500724" w:rsidRDefault="00500724">
      <w:pPr>
        <w:spacing w:line="96" w:lineRule="exact"/>
        <w:rPr>
          <w:sz w:val="8"/>
          <w:szCs w:val="8"/>
        </w:rPr>
      </w:pPr>
    </w:p>
    <w:p w:rsidR="00500724" w:rsidRDefault="00500724">
      <w:pPr>
        <w:spacing w:line="14" w:lineRule="exact"/>
        <w:sectPr w:rsidR="00500724">
          <w:footnotePr>
            <w:numFmt w:val="chicago"/>
            <w:numRestart w:val="eachPage"/>
          </w:footnotePr>
          <w:type w:val="continuous"/>
          <w:pgSz w:w="11909" w:h="16834"/>
          <w:pgMar w:top="771" w:right="0" w:bottom="480" w:left="0" w:header="0" w:footer="3" w:gutter="0"/>
          <w:cols w:space="720"/>
          <w:noEndnote/>
          <w:docGrid w:linePitch="360"/>
        </w:sectPr>
      </w:pPr>
    </w:p>
    <w:p w:rsidR="00500724" w:rsidRDefault="00F30FB8">
      <w:pPr>
        <w:pStyle w:val="Zkladntext20"/>
        <w:shd w:val="clear" w:color="auto" w:fill="auto"/>
        <w:spacing w:line="202" w:lineRule="auto"/>
        <w:ind w:firstLine="0"/>
      </w:pPr>
      <w:r>
        <w:t>ků. Byly také tiché</w:t>
      </w:r>
      <w:r>
        <w:t xml:space="preserve"> hovory ve dvou: po přečtení nové knihy Čapkovy, když vznikala antologie z Čapkovy prózy, když šlo o to, dostat od Čapka článek pro »Slovo a slovesnost«, když se dály přípravy k zaháje</w:t>
      </w:r>
      <w:r>
        <w:softHyphen/>
        <w:t>ní knihovny »Stezky«, jejíž titul sám vzešel z mlhavé směsi nejrůznější</w:t>
      </w:r>
      <w:r>
        <w:t>ch nápadů jako návrh Čapkův. V takových hovorech bývalo leckdy mnoho nejen ze spisovatele, ale i z básníka Karla Čapka. Na otázku, proč byl napsán ten nebo onen román, z jakého pod</w:t>
      </w:r>
      <w:r>
        <w:softHyphen/>
        <w:t>nětu vzešla ta neb ona povídka, odpovídal Čapek bez výhrad a váhání, dostal</w:t>
      </w:r>
      <w:r>
        <w:t xml:space="preserve"> se do vzpomínání sám a pokračoval.</w:t>
      </w:r>
    </w:p>
    <w:p w:rsidR="00500724" w:rsidRDefault="00F30FB8">
      <w:pPr>
        <w:pStyle w:val="Zkladntext20"/>
        <w:shd w:val="clear" w:color="auto" w:fill="auto"/>
        <w:spacing w:line="202" w:lineRule="auto"/>
        <w:ind w:firstLine="260"/>
      </w:pPr>
      <w:r>
        <w:t>Zdálo se tehdy příliš záhy poznamenávat aspoň nejdůležitější z těchto faktů; nikdo nemohl tušit, že se tak záhy setmí. Utkvěly proto jen jednotlivé detaily; zde jeden z nich, charakteristický: jednou předváděl Čapek přát</w:t>
      </w:r>
      <w:r>
        <w:t xml:space="preserve">elům ukázky ze svých gramofonových </w:t>
      </w:r>
      <w:r>
        <w:rPr>
          <w:lang w:val="en-US" w:eastAsia="en-US" w:bidi="en-US"/>
        </w:rPr>
        <w:t xml:space="preserve">desk. </w:t>
      </w:r>
      <w:r>
        <w:t>Při kterési melodii, tuším kubánské, prohodil: »Ta běžela od rána do večera, když jsem psal »Po- větroň«. Slyšíte z ní to šílené tropické vedro?« Touto chvatnou, jakoby ostýchavou poznámkou pootevřely se dveře básní</w:t>
      </w:r>
      <w:r>
        <w:t>kova tvůrčího soukromí.</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ind w:firstLine="260"/>
      </w:pPr>
      <w:r>
        <w:t xml:space="preserve">Chtěl jsem mluvit o spisovateli-technikovi, a zas je tu básník. Objevil se znenadání, jen zahlédnut, plachý a v sebe zachoulený. Vraťme se ke spisovateli. Jak nazíral básník sám na svůj spisovatelský úděl? Poslechněme o tom výrok </w:t>
      </w:r>
      <w:r>
        <w:t>z »Chvály řeči české«:</w:t>
      </w:r>
    </w:p>
    <w:p w:rsidR="00500724" w:rsidRDefault="00F30FB8">
      <w:pPr>
        <w:pStyle w:val="Zkladntext20"/>
        <w:shd w:val="clear" w:color="auto" w:fill="auto"/>
        <w:spacing w:line="180" w:lineRule="auto"/>
        <w:ind w:firstLine="320"/>
        <w:rPr>
          <w:sz w:val="20"/>
          <w:szCs w:val="20"/>
        </w:rPr>
      </w:pPr>
      <w:r>
        <w:rPr>
          <w:sz w:val="20"/>
          <w:szCs w:val="20"/>
        </w:rPr>
        <w:t>»Látka, s níž pracuje spisovatel, je samo vědomí národa; každé jeho slovo je mu předříkáváno ústy národa; běda, zneužije-li řeči, aby říkal nízké věci. Věřím, že býti spisova</w:t>
      </w:r>
      <w:r>
        <w:rPr>
          <w:sz w:val="20"/>
          <w:szCs w:val="20"/>
        </w:rPr>
        <w:softHyphen/>
        <w:t>telem je především veliké poslání jazykové; je to úkol Udr</w:t>
      </w:r>
      <w:r>
        <w:rPr>
          <w:sz w:val="20"/>
          <w:szCs w:val="20"/>
        </w:rPr>
        <w:t>žovat národní řeě a tvořit v ní hodnoty zpěvné a rytmic</w:t>
      </w:r>
      <w:r>
        <w:rPr>
          <w:sz w:val="20"/>
          <w:szCs w:val="20"/>
        </w:rPr>
        <w:softHyphen/>
        <w:t>ké, hodnoty věcné přesnosti, čistoty formy a souvislosti. Ať jsou kořeny básnictví v jakékoli hlubině osobního pod</w:t>
      </w:r>
      <w:r>
        <w:rPr>
          <w:sz w:val="20"/>
          <w:szCs w:val="20"/>
        </w:rPr>
        <w:softHyphen/>
        <w:t>vědomí, jeho koruna šumí pojmovým bohatstvím národního vědomí... Uěiníte-li řeč zpěvn</w:t>
      </w:r>
      <w:r>
        <w:rPr>
          <w:sz w:val="20"/>
          <w:szCs w:val="20"/>
        </w:rPr>
        <w:t>ou a líbeznou, nebo dáte-li ji zvuk zvonu či děloviny, nebo učiníte-li ji jasnou a moudrou, pružnou, věcnou, lehkou, logickou nebo vzletnou, vnukli jste tyto ctnosti samotné duši národa; ale je-li vaše mluva těžká, beztvará, obnošená a falešná, buďte zloře</w:t>
      </w:r>
      <w:r>
        <w:rPr>
          <w:sz w:val="20"/>
          <w:szCs w:val="20"/>
        </w:rPr>
        <w:t xml:space="preserve">čení, neboť jste se prohřešili na duchovním býti národa. Spisovatel pracuje </w:t>
      </w:r>
      <w:r>
        <w:rPr>
          <w:rFonts w:ascii="Arial" w:eastAsia="Arial" w:hAnsi="Arial" w:cs="Arial"/>
          <w:sz w:val="17"/>
          <w:szCs w:val="17"/>
        </w:rPr>
        <w:t xml:space="preserve">s </w:t>
      </w:r>
      <w:r>
        <w:rPr>
          <w:sz w:val="20"/>
          <w:szCs w:val="20"/>
        </w:rPr>
        <w:t>mluvící a zpívající duší národa; z praktické řeči činí hod</w:t>
      </w:r>
      <w:r>
        <w:rPr>
          <w:sz w:val="20"/>
          <w:szCs w:val="20"/>
        </w:rPr>
        <w:softHyphen/>
        <w:t>notu duchovní a kulturní; každý nový slovní obrat, každý vyšší stupeň jazykové obsažnosti a přesnosti zvyšuje obsah a j</w:t>
      </w:r>
      <w:r>
        <w:rPr>
          <w:sz w:val="20"/>
          <w:szCs w:val="20"/>
        </w:rPr>
        <w:t>asnost národního vědomí. Neznám dobrého spisovatele, který by nebyl jazykovým tvůrcem; není dobré literatury bez dokonalé řeči.«</w:t>
      </w:r>
    </w:p>
    <w:p w:rsidR="00500724" w:rsidRDefault="00F30FB8">
      <w:pPr>
        <w:pStyle w:val="Zkladntext20"/>
        <w:shd w:val="clear" w:color="auto" w:fill="auto"/>
        <w:spacing w:line="202" w:lineRule="auto"/>
        <w:ind w:firstLine="260"/>
      </w:pPr>
      <w:r>
        <w:t>Základem básnictví je tedy pro Čapka řeč, majetek kolektivní, spojující básníka s národem; i zde pozoru</w:t>
      </w:r>
      <w:r>
        <w:softHyphen/>
        <w:t>jeme důraz, kladený Čap</w:t>
      </w:r>
      <w:r>
        <w:t>kem na to, co v básnictví je nadosobního, přesahujícího jedince. Básník je ovšem činně účasten onoho nepřetržitého aktu tvoření, jímž je vývoj jazyka; ani to však neni jen privilegium, nýbrž také, a hlavně, odpovědnost vůči nadosobnímu zájmu a dědictví.</w:t>
      </w:r>
    </w:p>
    <w:p w:rsidR="00500724" w:rsidRDefault="00F30FB8">
      <w:pPr>
        <w:pStyle w:val="Zkladntext20"/>
        <w:shd w:val="clear" w:color="auto" w:fill="auto"/>
        <w:spacing w:line="202" w:lineRule="auto"/>
        <w:ind w:firstLine="260"/>
      </w:pPr>
      <w:r>
        <w:t>Dv</w:t>
      </w:r>
      <w:r>
        <w:t>ě hlavní instance zná Čapkovo spisovatelské svědomí: dílo samo a toho, jemuž je určeno, čtenáře či lépe čtenářstvo. Čapek obrací se sice stále ke čtoucí</w:t>
      </w:r>
      <w:r>
        <w:softHyphen/>
        <w:t>mu jedinci, s nímž jako by rozmlouval, ale tento individuální čtenář je mu čtenář kterýkoli. Netouží, j</w:t>
      </w:r>
      <w:r>
        <w:t>ako na příklad symbolisté, po čtenáři zvláště vyvole</w:t>
      </w:r>
      <w:r>
        <w:softHyphen/>
        <w:t>ném, jedinečném, nýbrž po takovém, který se stejně cítí členem společného celku jako básník sám:</w:t>
      </w:r>
    </w:p>
    <w:p w:rsidR="00500724" w:rsidRDefault="00F30FB8">
      <w:pPr>
        <w:pStyle w:val="Zkladntext20"/>
        <w:shd w:val="clear" w:color="auto" w:fill="auto"/>
        <w:spacing w:after="40" w:line="182" w:lineRule="auto"/>
        <w:ind w:firstLine="320"/>
        <w:rPr>
          <w:sz w:val="20"/>
          <w:szCs w:val="20"/>
        </w:rPr>
      </w:pPr>
      <w:r>
        <w:rPr>
          <w:sz w:val="20"/>
          <w:szCs w:val="20"/>
        </w:rPr>
        <w:t>»Úžas a sympatie, to jsou i dnes nevyčerpatelné a hluboké prameny lidové záliby; snad je jich víc, ale vše</w:t>
      </w:r>
      <w:r>
        <w:rPr>
          <w:sz w:val="20"/>
          <w:szCs w:val="20"/>
        </w:rPr>
        <w:t>chny jsou stejně primitivně a nepřekonatelně lidské. Kdyby se mělo zrodit nové lidové, to jest lidem prožívané uměni, muselo by se patrně velmi přímo a plně obracet k této lidské a lidové přirozenosti; ale nesmělo by k ni jaksi blahosklonně sestupovat, nýb</w:t>
      </w:r>
      <w:r>
        <w:rPr>
          <w:sz w:val="20"/>
          <w:szCs w:val="20"/>
        </w:rPr>
        <w:t xml:space="preserve">rž prodírat se k ní </w:t>
      </w:r>
      <w:r>
        <w:rPr>
          <w:rFonts w:ascii="Arial" w:eastAsia="Arial" w:hAnsi="Arial" w:cs="Arial"/>
          <w:sz w:val="17"/>
          <w:szCs w:val="17"/>
        </w:rPr>
        <w:t xml:space="preserve">s </w:t>
      </w:r>
      <w:r>
        <w:rPr>
          <w:sz w:val="20"/>
          <w:szCs w:val="20"/>
        </w:rPr>
        <w:t>námahou a povznese</w:t>
      </w:r>
      <w:r>
        <w:rPr>
          <w:sz w:val="20"/>
          <w:szCs w:val="20"/>
        </w:rPr>
        <w:softHyphen/>
        <w:t>ním ducha; neboť jinak není velkého umění. Bylo by nutno dobývat ho z kýče a nikoliv z oblasti exklusivních výtvorů; bylo by třeba ohlédnout se po všelijakých prastarých lido</w:t>
      </w:r>
      <w:r>
        <w:rPr>
          <w:sz w:val="20"/>
          <w:szCs w:val="20"/>
        </w:rPr>
        <w:softHyphen/>
        <w:t xml:space="preserve">vých tradicích (k nimž počítám i soudní </w:t>
      </w:r>
      <w:r>
        <w:rPr>
          <w:sz w:val="20"/>
          <w:szCs w:val="20"/>
        </w:rPr>
        <w:t>síň, film, hrdinné eposy, kolportážní romány a jiné nedosti oceněné zdroje) a pak udělat z toho umění. Ach, kdybych mohl prorokovat, jak se to udělá, nepsal bych tento článek, nýbrž napsal bych román; bylo by tam o lásce a hrdinství a jiných velikých ctnos</w:t>
      </w:r>
      <w:r>
        <w:rPr>
          <w:sz w:val="20"/>
          <w:szCs w:val="20"/>
        </w:rPr>
        <w:t>tech, a bylo by to tak krásné, tak sentimen</w:t>
      </w:r>
      <w:r>
        <w:rPr>
          <w:sz w:val="20"/>
          <w:szCs w:val="20"/>
        </w:rPr>
        <w:softHyphen/>
        <w:t>tální a povznášející, že by každý výtisk koloval z ruky do ruky, z ruky rozpíchané, rozleptané od prádla, rezavé cihel</w:t>
      </w:r>
      <w:r>
        <w:rPr>
          <w:sz w:val="20"/>
          <w:szCs w:val="20"/>
        </w:rPr>
        <w:softHyphen/>
        <w:t>ným práškem, potřísněné inkoustem do rukou označených zase jiným těžkým životem, až by se u v</w:t>
      </w:r>
      <w:r>
        <w:rPr>
          <w:sz w:val="20"/>
          <w:szCs w:val="20"/>
        </w:rPr>
        <w:t>šech výtisků ztratil titulní list a nikdo by nevěděl, kdo to napsal. Bylo by také zbytečné vědět to, neboť každý by tam našel sebe sama, tak jako nachází sebe sama, zpívá-li, že jeho mladá léta ne</w:t>
      </w:r>
      <w:r>
        <w:rPr>
          <w:sz w:val="20"/>
          <w:szCs w:val="20"/>
        </w:rPr>
        <w:softHyphen/>
        <w:t>poznala světa.&lt;</w:t>
      </w:r>
    </w:p>
    <w:p w:rsidR="00500724" w:rsidRDefault="00F30FB8">
      <w:pPr>
        <w:pStyle w:val="Zkladntext20"/>
        <w:shd w:val="clear" w:color="auto" w:fill="auto"/>
        <w:spacing w:after="240" w:line="204" w:lineRule="auto"/>
      </w:pPr>
      <w:r>
        <w:t>Nakonec mizí tedy před očima Čapkovýma každ</w:t>
      </w:r>
      <w:r>
        <w:t>ý jedinec, vnímající i tvořící, a zbývá dílo — a člověk, člověk vůbec v svém lidství. Odtud Čapkův zájem o všechny formy umění lidového a primitivního, tryskající ve všech zeměpásech a v nejrůznějších společnostech s překvapujícími obdobami a bez zjisti</w:t>
      </w:r>
      <w:r>
        <w:softHyphen/>
        <w:t>te</w:t>
      </w:r>
      <w:r>
        <w:t>lného individuálního autorství, odtud hledání básnic</w:t>
      </w:r>
      <w:r>
        <w:softHyphen/>
        <w:t>kého výrazu co nejšíře platného. Národní básnictví, jehož »koruna šumí pojmovým bohatstvím národního vědomí«, ale zároveň básnictví platné všelidsky, do</w:t>
      </w:r>
      <w:r>
        <w:softHyphen/>
        <w:t>volávající se toho, co v člověku je lidského, tako</w:t>
      </w:r>
      <w:r>
        <w:t xml:space="preserve">vé je </w:t>
      </w:r>
      <w:r>
        <w:rPr>
          <w:lang w:val="en-US" w:eastAsia="en-US" w:bidi="en-US"/>
        </w:rPr>
        <w:t xml:space="preserve">credo </w:t>
      </w:r>
      <w:r>
        <w:t>Čapka-spisovatele.</w:t>
      </w:r>
    </w:p>
    <w:p w:rsidR="00500724" w:rsidRDefault="00F30FB8">
      <w:pPr>
        <w:pStyle w:val="Jin0"/>
        <w:shd w:val="clear" w:color="auto" w:fill="auto"/>
        <w:spacing w:after="180"/>
        <w:ind w:firstLine="0"/>
        <w:jc w:val="left"/>
        <w:rPr>
          <w:sz w:val="46"/>
          <w:szCs w:val="46"/>
        </w:rPr>
      </w:pPr>
      <w:r>
        <w:rPr>
          <w:b/>
          <w:bCs/>
          <w:sz w:val="46"/>
          <w:szCs w:val="46"/>
          <w:u w:val="single"/>
        </w:rPr>
        <w:t>život a Instituce</w:t>
      </w:r>
    </w:p>
    <w:p w:rsidR="00500724" w:rsidRDefault="00F30FB8">
      <w:pPr>
        <w:pStyle w:val="Zkladntext20"/>
        <w:shd w:val="clear" w:color="auto" w:fill="auto"/>
        <w:spacing w:after="40" w:line="223" w:lineRule="auto"/>
        <w:ind w:firstLine="0"/>
        <w:rPr>
          <w:sz w:val="20"/>
          <w:szCs w:val="20"/>
        </w:rPr>
      </w:pPr>
      <w:r>
        <w:rPr>
          <w:i/>
          <w:iCs/>
          <w:sz w:val="20"/>
          <w:szCs w:val="20"/>
        </w:rPr>
        <w:t>František Novotný:</w:t>
      </w:r>
    </w:p>
    <w:p w:rsidR="00500724" w:rsidRDefault="00F30FB8">
      <w:pPr>
        <w:pStyle w:val="Nadpis100"/>
        <w:shd w:val="clear" w:color="auto" w:fill="auto"/>
        <w:spacing w:line="240" w:lineRule="auto"/>
        <w:ind w:left="140"/>
        <w:jc w:val="left"/>
      </w:pPr>
      <w:bookmarkStart w:id="243" w:name="bookmark242"/>
      <w:r>
        <w:t>Německé vysoké školy v Praze</w:t>
      </w:r>
      <w:bookmarkEnd w:id="243"/>
    </w:p>
    <w:p w:rsidR="00500724" w:rsidRDefault="00F30FB8">
      <w:pPr>
        <w:pStyle w:val="Zkladntext20"/>
        <w:shd w:val="clear" w:color="auto" w:fill="auto"/>
        <w:spacing w:after="40" w:line="202" w:lineRule="auto"/>
      </w:pPr>
      <w:r>
        <w:t>Když připadly po mnichovském rozsudku čtyř vel</w:t>
      </w:r>
      <w:r>
        <w:softHyphen/>
        <w:t xml:space="preserve">mocí celé Sudety německé říši a v Česko-Slovensku zůstaly jenom ojedinělé ostrovy Němců, domnívala se česká i </w:t>
      </w:r>
      <w:r>
        <w:t>německá veřejnost, že se i tyto zbytky brzy zlikvidují. Hovořilo se o velkorysých přesídlovacích plánech. Zdálo se, že ze statisíců Čechů, kteří teď při</w:t>
      </w:r>
      <w:r>
        <w:softHyphen/>
        <w:t>padli německé říši, bude alespoň čtvrt milionu vymě</w:t>
      </w:r>
      <w:r>
        <w:softHyphen/>
        <w:t>něno za německé skupiny v Praze, Českých Budějovi</w:t>
      </w:r>
      <w:r>
        <w:softHyphen/>
        <w:t>c</w:t>
      </w:r>
      <w:r>
        <w:t>ích, Jihlavě, Brně atd. Ba i osud pražského Němectva zdál se být po vzrušujících osmi stech letech naplněn — tím spíše, poněvadž do nedávná byli pražští Němci většinou němečtí židé. Z rodilých pražských Němců odešla v říjnu většina za hranice a ti, kteří o</w:t>
      </w:r>
      <w:r>
        <w:t>pustili město už v září, se nevrátili. Počet pražských Němců se zmenšil skoro o 50 procent.</w:t>
      </w:r>
    </w:p>
    <w:p w:rsidR="00500724" w:rsidRDefault="00F30FB8">
      <w:pPr>
        <w:pStyle w:val="Zkladntext20"/>
        <w:shd w:val="clear" w:color="auto" w:fill="auto"/>
        <w:spacing w:line="202" w:lineRule="auto"/>
        <w:sectPr w:rsidR="00500724">
          <w:footnotePr>
            <w:numFmt w:val="chicago"/>
            <w:numRestart w:val="eachPage"/>
          </w:footnotePr>
          <w:type w:val="continuous"/>
          <w:pgSz w:w="11909" w:h="16834"/>
          <w:pgMar w:top="771" w:right="665" w:bottom="480" w:left="852" w:header="0" w:footer="3" w:gutter="0"/>
          <w:cols w:num="2" w:space="149"/>
          <w:noEndnote/>
          <w:docGrid w:linePitch="360"/>
        </w:sectPr>
      </w:pPr>
      <w:r>
        <w:t>Většina obyvatelstva myslila, že s tímto stěhováním a v tomto rozsáhlém přesunu budou z Prahy přelože</w:t>
      </w:r>
      <w:r>
        <w:softHyphen/>
        <w:t>ny i německé vysoké školy. Skoro</w:t>
      </w:r>
      <w:r>
        <w:t xml:space="preserve"> všichni němečtí vysokoškolští učitelé Prahu opustili, mnozí si už na</w:t>
      </w:r>
      <w:r>
        <w:softHyphen/>
        <w:t>jali byty v říši, někteří úřadovali v libereckém kraj</w:t>
      </w:r>
      <w:r>
        <w:softHyphen/>
        <w:t>ském úřadě jako činovníci zemské vlády. Nebylo jas</w:t>
      </w:r>
      <w:r>
        <w:softHyphen/>
        <w:t>no, budou-li vysoké německé školy přeloženy do Li</w:t>
      </w:r>
      <w:r>
        <w:softHyphen/>
        <w:t>berce nebo do jiného města — že</w:t>
      </w:r>
      <w:r>
        <w:t xml:space="preserve"> však přeloženy bu</w:t>
      </w:r>
      <w:r>
        <w:softHyphen/>
        <w:t>dou, se věřilo. Liberecký starosta přednesl němec</w:t>
      </w:r>
      <w:r>
        <w:softHyphen/>
        <w:t>kému ministru kultury Rustovi přání, aby se stal Li</w:t>
      </w:r>
      <w:r>
        <w:softHyphen/>
        <w:t xml:space="preserve">berec sídlem bývalých pražských vysokých škol. </w:t>
      </w:r>
      <w:r>
        <w:rPr>
          <w:lang w:val="en-US" w:eastAsia="en-US" w:bidi="en-US"/>
        </w:rPr>
        <w:t xml:space="preserve">Rust </w:t>
      </w:r>
      <w:r>
        <w:t>odpověděl vyhýbavě — někteří dokonce tvrdí, že příkře zamítavě — a v polovici října</w:t>
      </w:r>
      <w:r>
        <w:t xml:space="preserve"> proskakovaly ojedinělé zprávy, že vysoké školy zůstanou přece je</w:t>
      </w:r>
      <w:r>
        <w:softHyphen/>
        <w:t>nom v Praze. Na počátku listopadu bylo však polo- oficiálně ohlášeno, že budou přeloženy. Profesoři brněnské techniky odjeli do Lince a měřili tam par-</w:t>
      </w:r>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771" w:right="0" w:bottom="480" w:left="0" w:header="0" w:footer="3" w:gutter="0"/>
          <w:cols w:space="720"/>
          <w:noEndnote/>
          <w:docGrid w:linePitch="360"/>
        </w:sectPr>
      </w:pPr>
    </w:p>
    <w:p w:rsidR="00500724" w:rsidRDefault="00F30FB8">
      <w:pPr>
        <w:pStyle w:val="Zkladntext100"/>
        <w:framePr w:w="317" w:h="259" w:wrap="none" w:vAnchor="text" w:hAnchor="page" w:x="10962" w:y="21"/>
        <w:shd w:val="clear" w:color="auto" w:fill="auto"/>
        <w:spacing w:line="240" w:lineRule="auto"/>
        <w:ind w:firstLine="0"/>
        <w:jc w:val="left"/>
        <w:rPr>
          <w:sz w:val="19"/>
          <w:szCs w:val="19"/>
        </w:rPr>
      </w:pPr>
      <w:r>
        <w:rPr>
          <w:b/>
          <w:bCs/>
          <w:i/>
          <w:iCs/>
          <w:sz w:val="19"/>
          <w:szCs w:val="19"/>
        </w:rPr>
        <w:t>i57</w:t>
      </w:r>
    </w:p>
    <w:p w:rsidR="00500724" w:rsidRDefault="00500724">
      <w:pPr>
        <w:spacing w:after="245" w:line="14" w:lineRule="exact"/>
      </w:pPr>
    </w:p>
    <w:p w:rsidR="00500724" w:rsidRDefault="00500724">
      <w:pPr>
        <w:spacing w:line="14" w:lineRule="exact"/>
        <w:sectPr w:rsidR="00500724">
          <w:footnotePr>
            <w:numFmt w:val="chicago"/>
            <w:numRestart w:val="eachPage"/>
          </w:footnotePr>
          <w:type w:val="continuous"/>
          <w:pgSz w:w="11909" w:h="16834"/>
          <w:pgMar w:top="771" w:right="631" w:bottom="480" w:left="852" w:header="0" w:footer="3" w:gutter="0"/>
          <w:cols w:space="720"/>
          <w:noEndnote/>
          <w:docGrid w:linePitch="360"/>
        </w:sectPr>
      </w:pPr>
    </w:p>
    <w:p w:rsidR="00500724" w:rsidRDefault="00F30FB8">
      <w:pPr>
        <w:pStyle w:val="Nadpis90"/>
        <w:keepNext/>
        <w:keepLines/>
        <w:pBdr>
          <w:bottom w:val="single" w:sz="4" w:space="0" w:color="auto"/>
        </w:pBdr>
        <w:shd w:val="clear" w:color="auto" w:fill="auto"/>
        <w:spacing w:after="0"/>
        <w:ind w:right="120"/>
        <w:jc w:val="center"/>
        <w:sectPr w:rsidR="00500724">
          <w:footnotePr>
            <w:numFmt w:val="chicago"/>
            <w:numRestart w:val="eachPage"/>
          </w:footnotePr>
          <w:pgSz w:w="11909" w:h="16834"/>
          <w:pgMar w:top="845" w:right="1215" w:bottom="832" w:left="269" w:header="0" w:footer="3" w:gutter="0"/>
          <w:cols w:space="720"/>
          <w:noEndnote/>
          <w:docGrid w:linePitch="360"/>
        </w:sectPr>
      </w:pPr>
      <w:bookmarkStart w:id="244" w:name="bookmark243"/>
      <w:r>
        <w:rPr>
          <w:rFonts w:ascii="Times New Roman" w:eastAsia="Times New Roman" w:hAnsi="Times New Roman" w:cs="Times New Roman"/>
          <w:lang w:val="en-US" w:eastAsia="en-US" w:bidi="en-US"/>
        </w:rPr>
        <w:t>Pfitomnoso</w:t>
      </w:r>
      <w:bookmarkEnd w:id="244"/>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28" w:right="0" w:bottom="851" w:left="0" w:header="0" w:footer="3" w:gutter="0"/>
          <w:cols w:space="720"/>
          <w:noEndnote/>
          <w:docGrid w:linePitch="360"/>
        </w:sectPr>
      </w:pPr>
    </w:p>
    <w:p w:rsidR="00500724" w:rsidRDefault="00F30FB8">
      <w:pPr>
        <w:pStyle w:val="Zkladntext30"/>
        <w:shd w:val="clear" w:color="auto" w:fill="auto"/>
        <w:spacing w:line="204" w:lineRule="auto"/>
        <w:ind w:firstLine="0"/>
      </w:pPr>
      <w:r>
        <w:t xml:space="preserve">cely </w:t>
      </w:r>
      <w:r>
        <w:rPr>
          <w:lang w:val="en-US" w:eastAsia="en-US" w:bidi="en-US"/>
        </w:rPr>
        <w:t xml:space="preserve">pro </w:t>
      </w:r>
      <w:r>
        <w:t>novou techniku, která měla vyrůst z bývalé brněnské. Pražské vysoké školy dostaly z Liberce na</w:t>
      </w:r>
      <w:r>
        <w:softHyphen/>
        <w:t>řízení, aby zabalily svoje knihovny a ohlásily, kolik b</w:t>
      </w:r>
      <w:r>
        <w:t>udou potřebovat místa. I mezi Libercem a Jabloncem se sháněly volné parcely, a proslýchalo se, že Hitler, rozhodl o novém universitním městě, které mělo vznik</w:t>
      </w:r>
      <w:r>
        <w:softHyphen/>
        <w:t>nout v Liberci.</w:t>
      </w:r>
    </w:p>
    <w:p w:rsidR="00500724" w:rsidRDefault="00F30FB8">
      <w:pPr>
        <w:pStyle w:val="Zkladntext30"/>
        <w:shd w:val="clear" w:color="auto" w:fill="auto"/>
        <w:spacing w:line="202" w:lineRule="auto"/>
        <w:ind w:firstLine="0"/>
        <w:jc w:val="center"/>
      </w:pPr>
      <w:r>
        <w:t>Proč zůstaly v Praze</w:t>
      </w:r>
    </w:p>
    <w:p w:rsidR="00500724" w:rsidRDefault="00F30FB8">
      <w:pPr>
        <w:pStyle w:val="Zkladntext30"/>
        <w:shd w:val="clear" w:color="auto" w:fill="auto"/>
        <w:spacing w:after="0" w:line="202" w:lineRule="auto"/>
        <w:ind w:firstLine="300"/>
      </w:pPr>
      <w:r>
        <w:t>Z nejrůznějších zpráv, pocházejících z nejrůzněj</w:t>
      </w:r>
      <w:r>
        <w:softHyphen/>
        <w:t>ších pramen</w:t>
      </w:r>
      <w:r>
        <w:t>ů, můžeme se dohadovat, že se tehdy ode</w:t>
      </w:r>
      <w:r>
        <w:softHyphen/>
        <w:t xml:space="preserve">hrál za kulisami zápas, který je zajímavý proto, že se </w:t>
      </w:r>
      <w:r>
        <w:rPr>
          <w:b/>
          <w:bCs/>
        </w:rPr>
        <w:t xml:space="preserve">v </w:t>
      </w:r>
      <w:r>
        <w:t>něm vytvořily nové fronty mezi učiteli pražských vysokých škol. »Sudetoněmečtí« profesoři se zasazo</w:t>
      </w:r>
      <w:r>
        <w:softHyphen/>
        <w:t xml:space="preserve">vali o přeložení. To je skupina zdejších německých učenců, </w:t>
      </w:r>
      <w:r>
        <w:t>která se po válce utvořila kolem Ericha Gie- racha, profesora staré germánštiny na německé uni</w:t>
      </w:r>
      <w:r>
        <w:softHyphen/>
        <w:t>versitě, a která tvořila oposici nejen vůči židovské frakci, nýbrž i proti starým liberálům. Ze známějších mužů patřili k ní právníci Ernst Swoboda a Weizsácker,</w:t>
      </w:r>
      <w:r>
        <w:t xml:space="preserve"> z filosofů především Pfitzner, směrodat</w:t>
      </w:r>
      <w:r>
        <w:softHyphen/>
        <w:t>ný historik strany SdP. Zdá se, že přívrženci pře</w:t>
      </w:r>
      <w:r>
        <w:softHyphen/>
        <w:t>sídlení byli podporováni z Mnichova. Říšský vůdce docentů (Reichsdozentenfůhrer) zasadil se prý o pře</w:t>
      </w:r>
      <w:r>
        <w:softHyphen/>
        <w:t>ložení škol pod vlivem Gierachovým, který teď bydlí v Mnichově.</w:t>
      </w:r>
    </w:p>
    <w:p w:rsidR="00500724" w:rsidRDefault="00F30FB8">
      <w:pPr>
        <w:pStyle w:val="Zkladntext30"/>
        <w:shd w:val="clear" w:color="auto" w:fill="auto"/>
        <w:spacing w:after="0" w:line="202" w:lineRule="auto"/>
        <w:ind w:firstLine="300"/>
      </w:pPr>
      <w:r>
        <w:t>Směrodatné kruhy berlínské však byly od první chvíle pro to, aby universita zůstala v Praze. Na praž</w:t>
      </w:r>
      <w:r>
        <w:softHyphen/>
        <w:t>ské universitě vystoupili pro setrvání v Praze právě ti profesoři, kteří byli svého času povoláni z říše. Ny</w:t>
      </w:r>
      <w:r>
        <w:softHyphen/>
        <w:t>nější rektor německé university profesor Otto</w:t>
      </w:r>
      <w:r>
        <w:t xml:space="preserve">, známý teolog a sociolog </w:t>
      </w:r>
      <w:r>
        <w:rPr>
          <w:lang w:val="en-US" w:eastAsia="en-US" w:bidi="en-US"/>
        </w:rPr>
        <w:t xml:space="preserve">Winter, </w:t>
      </w:r>
      <w:r>
        <w:t xml:space="preserve">profesor hudební vědy </w:t>
      </w:r>
      <w:r>
        <w:rPr>
          <w:lang w:val="en-US" w:eastAsia="en-US" w:bidi="en-US"/>
        </w:rPr>
        <w:t xml:space="preserve">Becking, </w:t>
      </w:r>
      <w:r>
        <w:t>slavista Gesemann a profesor přírodních věd a funkcionář Turnverbandu Bernhauer platí za mluvčí této skupiny. Byli zajisté podporováni témi, kteří byli pražskými usedlíky už od r. 1918 a kteř</w:t>
      </w:r>
      <w:r>
        <w:t xml:space="preserve">í </w:t>
      </w:r>
      <w:r>
        <w:rPr>
          <w:i/>
          <w:iCs/>
        </w:rPr>
        <w:t>t</w:t>
      </w:r>
      <w:r>
        <w:t xml:space="preserve"> jakéhosi pocitu domáckosti raději chtěli zůstati než řesídliti do sudetoněmecké provincie. Jakmile se vy- ranilo vedení německé skupiny v hrubých obrysech a jakmile si Ernst Kundt vyvolil spolupracovníky, získali většinu přívrženci názoru, že universit</w:t>
      </w:r>
      <w:r>
        <w:t>a má zůstat v Praze. Asi v polovici listopadu se Hitler roz</w:t>
      </w:r>
      <w:r>
        <w:softHyphen/>
        <w:t xml:space="preserve">hodl: německé vysoké školy zůstanou v Praze a </w:t>
      </w:r>
      <w:r>
        <w:rPr>
          <w:b/>
          <w:bCs/>
        </w:rPr>
        <w:t xml:space="preserve">v </w:t>
      </w:r>
      <w:r>
        <w:t>Brně. »Tisíciletá kulturní půda se neopouští, když toho není třeba«, formulovali Němci své rozhodnutí v rozhovorech o této věci. Je-li toto rozhodnu</w:t>
      </w:r>
      <w:r>
        <w:t>tí konečné a zůstanou-li německé vysoké školy v tom rozsahu jako byly doposud, anebo promění-li se časem v tra</w:t>
      </w:r>
      <w:r>
        <w:softHyphen/>
        <w:t>diční ústav — to zřejmě není ještě pevně rozhodnuto. Alespoň mínění těch, s nimiž jsme měli příležitost ho</w:t>
      </w:r>
      <w:r>
        <w:softHyphen/>
      </w:r>
    </w:p>
    <w:p w:rsidR="00500724" w:rsidRDefault="00F30FB8">
      <w:pPr>
        <w:pStyle w:val="Zkladntext30"/>
        <w:shd w:val="clear" w:color="auto" w:fill="auto"/>
        <w:spacing w:line="202" w:lineRule="auto"/>
        <w:ind w:firstLine="0"/>
      </w:pPr>
      <w:r>
        <w:t>vořiti, se velice rozcházejí.</w:t>
      </w:r>
    </w:p>
    <w:p w:rsidR="00500724" w:rsidRDefault="00F30FB8">
      <w:pPr>
        <w:pStyle w:val="Zkladntext30"/>
        <w:shd w:val="clear" w:color="auto" w:fill="auto"/>
        <w:spacing w:line="202" w:lineRule="auto"/>
        <w:ind w:firstLine="0"/>
        <w:jc w:val="center"/>
      </w:pPr>
      <w:r>
        <w:t xml:space="preserve">Počet </w:t>
      </w:r>
      <w:r>
        <w:t>posluchačů</w:t>
      </w:r>
    </w:p>
    <w:p w:rsidR="00500724" w:rsidRDefault="00F30FB8">
      <w:pPr>
        <w:pStyle w:val="Zkladntext30"/>
        <w:shd w:val="clear" w:color="auto" w:fill="auto"/>
        <w:spacing w:after="0" w:line="202" w:lineRule="auto"/>
        <w:ind w:firstLine="300"/>
      </w:pPr>
      <w:r>
        <w:t>Abychom mohli celou záležitost správně přehléd- nouti, je třeba, abychom si uvědomili nynější stav ně</w:t>
      </w:r>
      <w:r>
        <w:softHyphen/>
        <w:t>meckých universit vůbec. Na německých vysokých školách už léta ubývá posluchačů. Jednotlivé vysoké školy mají dnes pouze pětinu, osminu a někdy</w:t>
      </w:r>
      <w:r>
        <w:t xml:space="preserve"> i méně posluchačů než v předválečných letech. Mladí lidé na</w:t>
      </w:r>
      <w:r>
        <w:softHyphen/>
        <w:t>lézají dnes v Německu velmi záhy práci a výdělek. Otevírají se jim lákavé vyhlídky v technice, v obcho</w:t>
      </w:r>
      <w:r>
        <w:softHyphen/>
        <w:t>dě a především v armádě. Nevyplácí se prosedět čtyři nebo sedm let na universitě a pak začín</w:t>
      </w:r>
      <w:r>
        <w:t>ati od piky, může-li se mladík za tutéž dobu stát dobře situova</w:t>
      </w:r>
      <w:r>
        <w:softHyphen/>
        <w:t>ným technikem, kupcem nebo důstojníkem, vybave</w:t>
      </w:r>
      <w:r>
        <w:softHyphen/>
        <w:t xml:space="preserve">ným všemi přednostmi privilegovaného zaměstnání. Studují celkem už jenom ti mladí lidé, kteří pociťují pro odborné studium skutečnou náklonnost. </w:t>
      </w:r>
      <w:r>
        <w:t>To je ovšem pokrok v srovnání s hromadnou výrobou inte</w:t>
      </w:r>
      <w:r>
        <w:softHyphen/>
        <w:t>ligence (a inteligentního proletariátu), jak tomu bylo dříve a jak je tomu ještě dnes u nás. Na vysokých školách se už nehemží nezaměstnaná mládež, která studuje jenom proto, poněvadž se sebou nedovede</w:t>
      </w:r>
      <w:r>
        <w:t xml:space="preserve"> po</w:t>
      </w:r>
      <w:r>
        <w:softHyphen/>
        <w:t>čít nic lepšího. University přijímají jen takové mladé lidi, které povolání lékaře, inženýra, právníka, pro</w:t>
      </w:r>
      <w:r>
        <w:softHyphen/>
        <w:t>fesora tak mocně vábí, že dávají přednost namáha</w:t>
      </w:r>
      <w:r>
        <w:softHyphen/>
        <w:t>vému studiu před rychlejší a výnosnější existencí.</w:t>
      </w:r>
    </w:p>
    <w:p w:rsidR="00500724" w:rsidRDefault="00F30FB8">
      <w:pPr>
        <w:pStyle w:val="Zkladntext30"/>
        <w:shd w:val="clear" w:color="auto" w:fill="auto"/>
        <w:spacing w:after="0" w:line="202" w:lineRule="auto"/>
        <w:ind w:firstLine="280"/>
      </w:pPr>
      <w:r>
        <w:t>Naproti tomu však chybí výběr shora. Dříve p</w:t>
      </w:r>
      <w:r>
        <w:t>ři</w:t>
      </w:r>
      <w:r>
        <w:softHyphen/>
        <w:t>cházelo na vysoké školy mnoho mladíků a učitelé měli možnost nepovolané odstraňovat (což se nedělo vždycky věcně). Dnes přichází na university málo po</w:t>
      </w:r>
      <w:r>
        <w:softHyphen/>
        <w:t xml:space="preserve">sluchačů a profesor musí být rád, když se mu podaří udržeti je, aby posluchárny nezely prázdnotou. Na </w:t>
      </w:r>
      <w:r>
        <w:t>ně</w:t>
      </w:r>
      <w:r>
        <w:softHyphen/>
        <w:t>kterých vysokých školách je dnes zapsáno v mnoha oborech jenom deset studentů — a to nejen v odlehlej</w:t>
      </w:r>
      <w:r>
        <w:softHyphen/>
        <w:t>ších filosofických disciplinách, ale i na lékařství nebo na právech. V některých oborech, jako na příklad ve slavistice, projevuje se pokles již v prvn</w:t>
      </w:r>
      <w:r>
        <w:t>ím semestru nové éry.</w:t>
      </w:r>
    </w:p>
    <w:p w:rsidR="00500724" w:rsidRDefault="00F30FB8">
      <w:pPr>
        <w:pStyle w:val="Zkladntext30"/>
        <w:shd w:val="clear" w:color="auto" w:fill="auto"/>
        <w:spacing w:after="0" w:line="202" w:lineRule="auto"/>
        <w:ind w:firstLine="280"/>
      </w:pPr>
      <w:r>
        <w:t>Kdyby se pražské vysoké školy (a zvláště brněnská technika, která trpí konkurencí vídeňské, bratislav</w:t>
      </w:r>
      <w:r>
        <w:softHyphen/>
        <w:t>ské a pražské techniky) měly udržet jako veliké ústa</w:t>
      </w:r>
      <w:r>
        <w:softHyphen/>
        <w:t>vy, muselo by se sáhnout k jistým opatřením. Tvrdí se, že všichni němečtí poslu</w:t>
      </w:r>
      <w:r>
        <w:t>chači z říše budou muset ztráviti v Praze nebo v Brně 2 až 4 povinné semestry. Proslýchá se také, že o pražské vysoké školy má se vzbuditi zájem mezi německými národními skupinami v jihovýchodní Evropě. Ovšem, hospodářsky a kul</w:t>
      </w:r>
      <w:r>
        <w:softHyphen/>
        <w:t>turně nejsilnější skupina tě</w:t>
      </w:r>
      <w:r>
        <w:t>chto Němců, totiž sedmi</w:t>
      </w:r>
      <w:r>
        <w:softHyphen/>
        <w:t>hradští Sasové, potřebují především evangelické teolo</w:t>
      </w:r>
      <w:r>
        <w:softHyphen/>
        <w:t xml:space="preserve">gy, kteří studují odjakživa v </w:t>
      </w:r>
      <w:r>
        <w:rPr>
          <w:lang w:val="en-US" w:eastAsia="en-US" w:bidi="en-US"/>
        </w:rPr>
        <w:t>Halle.</w:t>
      </w:r>
    </w:p>
    <w:p w:rsidR="00500724" w:rsidRDefault="00F30FB8">
      <w:pPr>
        <w:pStyle w:val="Zkladntext30"/>
        <w:shd w:val="clear" w:color="auto" w:fill="auto"/>
        <w:spacing w:after="120" w:line="202" w:lineRule="auto"/>
        <w:ind w:firstLine="280"/>
      </w:pPr>
      <w:r>
        <w:t>Mluví se také o tpm, že na půdě pražských vysokých' škol mají vyrůsti ústavy se zvláštními úkoly, které by sloužily německé kulturní politice</w:t>
      </w:r>
      <w:r>
        <w:t xml:space="preserve"> ve východním pro</w:t>
      </w:r>
      <w:r>
        <w:softHyphen/>
        <w:t>storu — a snad se má celá pražská universita pro- měniti v takový ústav. Vzorem by byl patrně Herde- rův ústav baltických Němců v Rize. Ani posluchači ani profesoři nemají však dodnes jasno o tom, jaký bude skutečný vývoj pražských vysoký</w:t>
      </w:r>
      <w:r>
        <w:t>ch škol.</w:t>
      </w:r>
    </w:p>
    <w:p w:rsidR="00500724" w:rsidRDefault="00F30FB8">
      <w:pPr>
        <w:pStyle w:val="Zkladntext30"/>
        <w:shd w:val="clear" w:color="auto" w:fill="auto"/>
        <w:spacing w:after="0" w:line="202" w:lineRule="auto"/>
        <w:ind w:firstLine="0"/>
        <w:jc w:val="center"/>
      </w:pPr>
      <w:r>
        <w:t>Vnitřní poměry na vysokých</w:t>
      </w:r>
      <w:r>
        <w:br/>
        <w:t>německých školách</w:t>
      </w:r>
    </w:p>
    <w:p w:rsidR="00500724" w:rsidRDefault="00F30FB8">
      <w:pPr>
        <w:pStyle w:val="Zkladntext30"/>
        <w:shd w:val="clear" w:color="auto" w:fill="auto"/>
        <w:spacing w:after="0" w:line="204" w:lineRule="auto"/>
        <w:ind w:firstLine="280"/>
      </w:pPr>
      <w:r>
        <w:t>Provoz německých vysokých škol na česko-sloven- ském území naráží samozřejmě na různé potíže. Pro</w:t>
      </w:r>
      <w:r>
        <w:softHyphen/>
        <w:t>fesoři jsou ještě stále česko-slovenští občané, poslu</w:t>
      </w:r>
      <w:r>
        <w:softHyphen/>
        <w:t xml:space="preserve">chači naproti tomu většinou říšští Němci. Zákony, </w:t>
      </w:r>
      <w:r>
        <w:t>kte</w:t>
      </w:r>
      <w:r>
        <w:softHyphen/>
        <w:t>rým vysoké školy podléhají, jsou česko-slovenské, á úřady, které nad nimi vykonávají dozor, také. Na právnické fakultě přednáší se česko-slovenské právo. Na druhé straně vynasnažily se německé vysoké školy přizpůsobiti se německému statutu. Poarijštily</w:t>
      </w:r>
      <w:r>
        <w:t xml:space="preserve"> se, aniž by vyčkaly odpovídajících česko-slovenských nařízení. Židovští a položidovští profesoři byli vyzvá</w:t>
      </w:r>
      <w:r>
        <w:softHyphen/>
        <w:t>ni, aby požádali o dovolenou. U studentů se zvolila tato cesta: zápis je podmíněn předložením poukázky na byt. Kdo nemá bytovou poukázku, není k zá</w:t>
      </w:r>
      <w:r>
        <w:t>pisu připuštěn. Poukázku na byt vydává však studentská kancelář, a to jen po předložení dokladů o arijském původu.</w:t>
      </w:r>
    </w:p>
    <w:p w:rsidR="00500724" w:rsidRDefault="00F30FB8">
      <w:pPr>
        <w:pStyle w:val="Zkladntext30"/>
        <w:shd w:val="clear" w:color="auto" w:fill="auto"/>
        <w:spacing w:after="0" w:line="204" w:lineRule="auto"/>
        <w:ind w:firstLine="280"/>
      </w:pPr>
      <w:r>
        <w:t>Jinou otázkou je financování vysokých německých škol. Provede se zúčtováním za německé služby česko</w:t>
      </w:r>
      <w:r>
        <w:softHyphen/>
        <w:t xml:space="preserve">slovenské menšině v říši? Nebo bude říše </w:t>
      </w:r>
      <w:r>
        <w:t xml:space="preserve">platit na německé vysoké školy přímo? Nebo bude Cesko-Slo- </w:t>
      </w:r>
      <w:r>
        <w:rPr>
          <w:lang w:val="en-US" w:eastAsia="en-US" w:bidi="en-US"/>
        </w:rPr>
        <w:t xml:space="preserve">vensko </w:t>
      </w:r>
      <w:r>
        <w:t>z vlastních prostředků vydržovat tři německé vysoké školy? Dotazy na různých německých místech mohli jsme zjistit jenom tolik, že posluchači považují téměř za samozřejmé, že jejich vysoké šk</w:t>
      </w:r>
      <w:r>
        <w:t>oly budou nakonec zvláštními exteritoriálnimi říšskými ústavy, vydržovanými Německem. Situaci ztěžuje okolnost, že pro řiši to není jenom finanční, nýbrž především devi- sová otázka. Již pobyt 3 až 4 tisíc německých studentů v Česko-Slovensku nutí říši, ab</w:t>
      </w:r>
      <w:r>
        <w:t>y si opatřovala devisy, kterých dnes naléhavě potřebuje na nákup surovin.</w:t>
      </w:r>
    </w:p>
    <w:p w:rsidR="00500724" w:rsidRDefault="00F30FB8">
      <w:pPr>
        <w:pStyle w:val="Zkladntext30"/>
        <w:shd w:val="clear" w:color="auto" w:fill="auto"/>
        <w:spacing w:after="0" w:line="221" w:lineRule="auto"/>
      </w:pPr>
      <w:r>
        <w:t>Profesoři na německých vysokých školách — tře</w:t>
      </w:r>
      <w:r>
        <w:softHyphen/>
        <w:t>bas jsou dosud česko-slovenskými občany — podléhají dnes už říšskoněmeckým zásadám. Je zde krajský vůdce docentů (Gaudozentenfúhrer), kt</w:t>
      </w:r>
      <w:r>
        <w:t>erému jsou podřízeni příslušní podvůdcové a pověřenci pro jed</w:t>
      </w:r>
      <w:r>
        <w:softHyphen/>
        <w:t>notlivé vysoké školy, pro jednotlivá oddělení a resorty. Je velmi pochybné, zda profesoři, kteří dnes vyučují na německých vysokých školách, v Cesko-Slovensku zůstanou. Ačkoli o událostech v zák</w:t>
      </w:r>
      <w:r>
        <w:t>ulisí se dá zjistit je</w:t>
      </w:r>
      <w:r>
        <w:softHyphen/>
        <w:t>nom velmi málo, je už jasné, že se provádí velká čistka. Profesorům se zkoumá ledví, zjišťuje se jejich minu</w:t>
      </w:r>
      <w:r>
        <w:softHyphen/>
        <w:t>lost a každý je podroben otázce, zda je hoden, aby vy</w:t>
      </w:r>
      <w:r>
        <w:softHyphen/>
        <w:t>učoval na německé vysoké škole, která má býti v kaž</w:t>
      </w:r>
      <w:r>
        <w:softHyphen/>
        <w:t>dém ohledu elitním</w:t>
      </w:r>
      <w:r>
        <w:t xml:space="preserve"> ústavem. Nevyhovující profesoři budou patrně posláni do Německa nebo do pense. Kro</w:t>
      </w:r>
      <w:r>
        <w:softHyphen/>
        <w:t>mě boje proti nespolehlivým a oposičním živlům pro</w:t>
      </w:r>
      <w:r>
        <w:softHyphen/>
        <w:t>bíhá také mocenský zápas mezi jednotlivými směry. Působí na něj ledacos. Skupina, která v boji o pře</w:t>
      </w:r>
      <w:r>
        <w:softHyphen/>
        <w:t>ložení vysokých škol</w:t>
      </w:r>
      <w:r>
        <w:t xml:space="preserve"> podlehla, ztratila na vlivu, a vítě</w:t>
      </w:r>
      <w:r>
        <w:softHyphen/>
        <w:t xml:space="preserve">zové z listopadu 1938 jsou nyní nejviivnějšími muži na vysokých školách. Na universitě má vliv kromě vůdce docentů, Bernhauera, a rektora Otty ještě historik Zatschek a profesor hudební vědy </w:t>
      </w:r>
      <w:r>
        <w:rPr>
          <w:lang w:val="en-US" w:eastAsia="en-US" w:bidi="en-US"/>
        </w:rPr>
        <w:t xml:space="preserve">Becking. </w:t>
      </w:r>
      <w:r>
        <w:t>Na lékař</w:t>
      </w:r>
      <w:r>
        <w:softHyphen/>
        <w:t>ské fakult</w:t>
      </w:r>
      <w:r>
        <w:t>ě jsou rozpory pravděpodobně menší, pro</w:t>
      </w:r>
      <w:r>
        <w:softHyphen/>
        <w:t xml:space="preserve">tože hlavní zápas odehrál se tam mezi arijci a židy. Nejvlivnějšími muži jsou ještě stále Nonnenbruch, Amersbach a Bezecny. Anatom </w:t>
      </w:r>
      <w:r>
        <w:rPr>
          <w:lang w:val="en-US" w:eastAsia="en-US" w:bidi="en-US"/>
        </w:rPr>
        <w:t xml:space="preserve">Grosser </w:t>
      </w:r>
      <w:r>
        <w:t>hraje jako vždycky úlohu prostředkovatele.</w:t>
      </w:r>
    </w:p>
    <w:p w:rsidR="00500724" w:rsidRDefault="00F30FB8">
      <w:pPr>
        <w:pStyle w:val="Zkladntext30"/>
        <w:shd w:val="clear" w:color="auto" w:fill="auto"/>
        <w:spacing w:after="60" w:line="202" w:lineRule="auto"/>
      </w:pPr>
      <w:r>
        <w:t xml:space="preserve">Mají-li se německé vysoké školy </w:t>
      </w:r>
      <w:r>
        <w:t>státi opravdu eli</w:t>
      </w:r>
      <w:r>
        <w:softHyphen/>
        <w:t>tou německých akademií, dojde patrně k velkým změ</w:t>
      </w:r>
      <w:r>
        <w:softHyphen/>
        <w:t>nám. Cesko-německému sblížení by zajisté posloužilo, kdyby přišli do Prahy noví lidé, nezatížení vzpomín</w:t>
      </w:r>
      <w:r>
        <w:softHyphen/>
        <w:t>kami na léta bojů, kteří by naopak pociťovali cti</w:t>
      </w:r>
      <w:r>
        <w:softHyphen/>
        <w:t>žádost sloužiti svému národu tím,</w:t>
      </w:r>
      <w:r>
        <w:t xml:space="preserve"> že by mu přiblížili český národ a slovanskou kulturu. Kdyby německým vysokým školám v Praze byla přidělena zvláštní úlo</w:t>
      </w:r>
      <w:r>
        <w:softHyphen/>
        <w:t>ha — zejména slavistické studie — bylo by to s čes</w:t>
      </w:r>
      <w:r>
        <w:softHyphen/>
        <w:t>kého hlediska nejrozumnější řešení. Trvání němec</w:t>
      </w:r>
      <w:r>
        <w:softHyphen/>
        <w:t xml:space="preserve">kých vysokých škol nepociťovali by </w:t>
      </w:r>
      <w:r>
        <w:t>pak Češi jako osten a tato okolnost pomohla by také urovnati cestu k dorozumění.</w:t>
      </w:r>
    </w:p>
    <w:p w:rsidR="00500724" w:rsidRDefault="00F30FB8">
      <w:pPr>
        <w:pStyle w:val="Zkladntext30"/>
        <w:shd w:val="clear" w:color="auto" w:fill="auto"/>
        <w:spacing w:after="0" w:line="221" w:lineRule="auto"/>
        <w:ind w:firstLine="0"/>
        <w:jc w:val="center"/>
      </w:pPr>
      <w:r>
        <w:t>Jak žijí studenti</w:t>
      </w:r>
    </w:p>
    <w:p w:rsidR="00500724" w:rsidRDefault="00F30FB8">
      <w:pPr>
        <w:pStyle w:val="Zkladntext30"/>
        <w:shd w:val="clear" w:color="auto" w:fill="auto"/>
        <w:spacing w:after="0" w:line="202" w:lineRule="auto"/>
      </w:pPr>
      <w:r>
        <w:t>Studenti jsou organisováni ještě přísněji než pro</w:t>
      </w:r>
      <w:r>
        <w:softHyphen/>
        <w:t>fesoři Německé studenty vede krajský vůdce dr. Ru</w:t>
      </w:r>
      <w:r>
        <w:softHyphen/>
        <w:t>dolf Meckl. Bylo o něm svého času slyšet, když vedl stude</w:t>
      </w:r>
      <w:r>
        <w:t>ntskou oposici proti Henleinovi a podporoval boj radikální skupiny proti »Kamaradschaftsbundu«. Zdá se, že dnes je Meckl vedle Kundta nejvlivnějším mu</w:t>
      </w:r>
      <w:r>
        <w:softHyphen/>
        <w:t>žem německé politiky u nás. Jemu jsou podřízeni jed</w:t>
      </w:r>
      <w:r>
        <w:softHyphen/>
        <w:t>notliví podvůdcové a těmto zase vůdcové oddělení ÍFac</w:t>
      </w:r>
      <w:r>
        <w:t>hschaften) a vůdcové jednotlivých odborů (kul</w:t>
      </w:r>
      <w:r>
        <w:softHyphen/>
        <w:t>turního, výchovného, tiskového, propagačního, hospo</w:t>
      </w:r>
      <w:r>
        <w:softHyphen/>
        <w:t>dářského atd.). Vůdcům jsou přiděleni pobočnici a štáby.</w:t>
      </w:r>
    </w:p>
    <w:p w:rsidR="00500724" w:rsidRDefault="00F30FB8">
      <w:pPr>
        <w:pStyle w:val="Zkladntext30"/>
        <w:shd w:val="clear" w:color="auto" w:fill="auto"/>
        <w:spacing w:after="0" w:line="206" w:lineRule="auto"/>
      </w:pPr>
      <w:r>
        <w:t>Této vojenské organisaci odpovídá i to, že studenti jsou ubytováni mnohem častěji než dříve ve společ</w:t>
      </w:r>
      <w:r>
        <w:softHyphen/>
        <w:t>ných domovech, tvoříce skupiny, které je odvádějí od kouzla dřívějších romantických studentských časů. Uniformy studentů — černé pláště, kulatý lyžařský klobouk a holínky — působily sice zprvu na Pražany jistě provokativně, ale dnes už přivykli. Co se týč</w:t>
      </w:r>
      <w:r>
        <w:t>e chování, podléhají němečtí studenti—jak se dovídá</w:t>
      </w:r>
      <w:r>
        <w:softHyphen/>
        <w:t>me — přísným předpisům. Mají se vyvarovat jakých</w:t>
      </w:r>
      <w:r>
        <w:softHyphen/>
        <w:t>koli provokací. Na černých tabulích bylo nedávno pra</w:t>
      </w:r>
      <w:r>
        <w:softHyphen/>
        <w:t>nýřováno několik studentů, kteří dostali přísnou důt</w:t>
      </w:r>
      <w:r>
        <w:softHyphen/>
        <w:t>ku za nepřístojné a provokační chování. Zdá se, ž</w:t>
      </w:r>
      <w:r>
        <w:t>e vedení studentů je odhodláno postupovali v této věci co nejpřísněji; studenti mají v Praze působiti jako prů</w:t>
      </w:r>
      <w:r>
        <w:softHyphen/>
        <w:t>kopníci dorozumění a představitelé nového německého ducha, který chce vyniknouti předevšim kázní. Pro kázeň německých hostů budeme mít největší p</w:t>
      </w:r>
      <w:r>
        <w:t>oroz</w:t>
      </w:r>
      <w:r>
        <w:softHyphen/>
        <w:t>umění a dovedeme ji ocenit. Získají-li studenti naši mládež pro myšlenku dorozumění, to závisí na mnoha jiných okolnostech. Nepostačí, předvedou-li nám je</w:t>
      </w:r>
      <w:r>
        <w:softHyphen/>
        <w:t>nom vojenské chování, ale bude záležeti na tom, aby němečtí studenti — příslušníci a zástupci mo</w:t>
      </w:r>
      <w:r>
        <w:t>cného národa, který nám připravil těžkou politickou poráž</w:t>
      </w:r>
      <w:r>
        <w:softHyphen/>
        <w:t>ku — byli s to porozuměti citům, potřebám a nezbyt</w:t>
      </w:r>
      <w:r>
        <w:softHyphen/>
        <w:t>nostem malého národa, bojujícího o svou samostat</w:t>
      </w:r>
      <w:r>
        <w:softHyphen/>
        <w:t>nost.</w:t>
      </w:r>
    </w:p>
    <w:p w:rsidR="00500724" w:rsidRDefault="00F30FB8">
      <w:pPr>
        <w:pStyle w:val="Zkladntext30"/>
        <w:shd w:val="clear" w:color="auto" w:fill="auto"/>
        <w:spacing w:after="0" w:line="202" w:lineRule="auto"/>
      </w:pPr>
      <w:r>
        <w:t>Němečtí studenti vyvíjejí čilou kulturní a propa</w:t>
      </w:r>
      <w:r>
        <w:softHyphen/>
        <w:t>gační činnost. Pořádají téměř každý týden v</w:t>
      </w:r>
      <w:r>
        <w:t>ětší a menší přednášky, slavnosti, společenské večery, na</w:t>
      </w:r>
      <w:r>
        <w:softHyphen/>
        <w:t>stupují k rozkazům, pěstují čile sporty, málokdy se vyskytují ojediněle a setkáváme se s nimi téměř vždy</w:t>
      </w:r>
      <w:r>
        <w:softHyphen/>
        <w:t>cky ve větších skupinách. Vedení postupuje velmi přísně proti zbytkům starých buršáckých pijá</w:t>
      </w:r>
      <w:r>
        <w:t>ckých mravů. Snaží se vychovati studenty k střídmosti, k práci a stále znovu ke kázni. Studenti mají za po</w:t>
      </w:r>
      <w:r>
        <w:softHyphen/>
        <w:t>vinnost hledati cesty k českým vysokoškolákům a snaží se o kulturní výměnu mezi vysokoškolským stu</w:t>
      </w:r>
      <w:r>
        <w:softHyphen/>
        <w:t>dentstvem.</w:t>
      </w:r>
    </w:p>
    <w:p w:rsidR="00500724" w:rsidRDefault="00F30FB8">
      <w:pPr>
        <w:pStyle w:val="Zkladntext30"/>
        <w:shd w:val="clear" w:color="auto" w:fill="auto"/>
        <w:spacing w:after="0" w:line="202" w:lineRule="auto"/>
      </w:pPr>
      <w:r>
        <w:t>Výsledek tohoto kulturně politického sn</w:t>
      </w:r>
      <w:r>
        <w:t>ažení zá</w:t>
      </w:r>
      <w:r>
        <w:softHyphen/>
        <w:t>visí na mnoha okolnostech, především na celkovém politickém vývoji. Místo sudetských Němců, kteří si zvykli Prahu považovat za sídlo nepřátelské moci, při</w:t>
      </w:r>
      <w:r>
        <w:softHyphen/>
        <w:t>jdou snad studenti ze vzdálenějších německých krajů. Nebudou mít staré předsudky a vynasnaží</w:t>
      </w:r>
      <w:r>
        <w:t xml:space="preserve"> se snad na</w:t>
      </w:r>
      <w:r>
        <w:softHyphen/>
        <w:t>jiti opravdu cestu k Cechům. Totéž platí o učitelích. Není vyloučeno, že se německé vysoké školy v Praze mohou jednou stát opravdu činitelem sblížení a doroz</w:t>
      </w:r>
      <w:r>
        <w:softHyphen/>
        <w:t>umění. Čeští posluchači navštěvovali by snad potom tyto německé ústavy aspoň jako host</w:t>
      </w:r>
      <w:r>
        <w:t>é, ačkoli mají dosud k německým kolegům v Praze jistou nedůvěru, projevujíce spíše sklon poznati nového německého ducha přímo na universitách v říši.</w:t>
      </w:r>
    </w:p>
    <w:p w:rsidR="00500724" w:rsidRDefault="00F30FB8">
      <w:pPr>
        <w:pStyle w:val="Zkladntext30"/>
        <w:shd w:val="clear" w:color="auto" w:fill="auto"/>
        <w:spacing w:after="0" w:line="204" w:lineRule="auto"/>
      </w:pPr>
      <w:r>
        <w:t>Prozatím není další existencí německých vysokých škol přímo v srdci české země nic získáno, ani ztrace</w:t>
      </w:r>
      <w:r>
        <w:softHyphen/>
        <w:t>no.</w:t>
      </w:r>
      <w:r>
        <w:t xml:space="preserve"> My, Češi, pozorujeme se zájmem německé vysoké školy, německé studenty, německou vědu, jsme ochot</w:t>
      </w:r>
      <w:r>
        <w:softHyphen/>
        <w:t>ni oceniti jejich kázeň a uznati jejich práci na poli kul</w:t>
      </w:r>
      <w:r>
        <w:softHyphen/>
        <w:t>turního dorozumění. Všechno ostatní závisí na tom, zda jsou německé vysoké školy v Praze zřízeny jak</w:t>
      </w:r>
      <w:r>
        <w:t>o hrady expansivního ducha nebo jako vyslanectví sou</w:t>
      </w:r>
      <w:r>
        <w:softHyphen/>
        <w:t>sedního národa, který chce se všemi národy v jihový</w:t>
      </w:r>
      <w:r>
        <w:softHyphen/>
        <w:t>chodní Evropě žiti v dohodě a ponechati jim jejich právo na život.</w:t>
      </w:r>
      <w:r>
        <w:br w:type="page"/>
      </w:r>
    </w:p>
    <w:p w:rsidR="00500724" w:rsidRDefault="00F30FB8">
      <w:pPr>
        <w:pStyle w:val="Jin0"/>
        <w:pBdr>
          <w:bottom w:val="single" w:sz="4" w:space="0" w:color="auto"/>
        </w:pBdr>
        <w:shd w:val="clear" w:color="auto" w:fill="auto"/>
        <w:spacing w:after="220"/>
        <w:ind w:firstLine="0"/>
        <w:jc w:val="left"/>
        <w:rPr>
          <w:sz w:val="46"/>
          <w:szCs w:val="46"/>
        </w:rPr>
      </w:pPr>
      <w:r>
        <w:rPr>
          <w:b/>
          <w:bCs/>
          <w:sz w:val="46"/>
          <w:szCs w:val="46"/>
        </w:rPr>
        <w:t>dopisy</w:t>
      </w:r>
    </w:p>
    <w:p w:rsidR="00500724" w:rsidRDefault="00F30FB8">
      <w:pPr>
        <w:pStyle w:val="Zkladntext100"/>
        <w:shd w:val="clear" w:color="auto" w:fill="auto"/>
        <w:spacing w:after="60" w:line="192" w:lineRule="auto"/>
        <w:ind w:firstLine="0"/>
        <w:jc w:val="center"/>
        <w:rPr>
          <w:sz w:val="19"/>
          <w:szCs w:val="19"/>
        </w:rPr>
      </w:pPr>
      <w:r>
        <w:rPr>
          <w:b/>
          <w:bCs/>
          <w:sz w:val="19"/>
          <w:szCs w:val="19"/>
        </w:rPr>
        <w:t>Dopis generála Medka</w:t>
      </w:r>
    </w:p>
    <w:p w:rsidR="00500724" w:rsidRDefault="00F30FB8">
      <w:pPr>
        <w:pStyle w:val="Zkladntext100"/>
        <w:shd w:val="clear" w:color="auto" w:fill="auto"/>
        <w:spacing w:line="202" w:lineRule="auto"/>
        <w:ind w:right="220" w:firstLine="0"/>
        <w:jc w:val="right"/>
      </w:pPr>
      <w:r>
        <w:t>Praha 3. března 1939</w:t>
      </w:r>
    </w:p>
    <w:p w:rsidR="00500724" w:rsidRDefault="00F30FB8">
      <w:pPr>
        <w:pStyle w:val="Zkladntext30"/>
        <w:shd w:val="clear" w:color="auto" w:fill="auto"/>
        <w:spacing w:after="0" w:line="182" w:lineRule="auto"/>
        <w:ind w:left="1160" w:firstLine="0"/>
        <w:jc w:val="left"/>
        <w:rPr>
          <w:sz w:val="20"/>
          <w:szCs w:val="20"/>
        </w:rPr>
      </w:pPr>
      <w:r>
        <w:rPr>
          <w:sz w:val="20"/>
          <w:szCs w:val="20"/>
        </w:rPr>
        <w:t>Vážený pane redaktore,</w:t>
      </w:r>
    </w:p>
    <w:p w:rsidR="00500724" w:rsidRDefault="00F30FB8">
      <w:pPr>
        <w:pStyle w:val="Zkladntext100"/>
        <w:shd w:val="clear" w:color="auto" w:fill="auto"/>
        <w:spacing w:line="194" w:lineRule="auto"/>
        <w:ind w:firstLine="0"/>
      </w:pPr>
      <w:r>
        <w:t xml:space="preserve">dovolite-li připojil bych ke svému dopisu </w:t>
      </w:r>
      <w:r>
        <w:rPr>
          <w:b/>
          <w:bCs/>
          <w:sz w:val="19"/>
          <w:szCs w:val="19"/>
        </w:rPr>
        <w:t xml:space="preserve">v </w:t>
      </w:r>
      <w:r>
        <w:t>»Přítomnosti« k odezvě, již vyvolal v posledním čísle, několik řádek doslovu.</w:t>
      </w:r>
    </w:p>
    <w:p w:rsidR="00500724" w:rsidRDefault="00F30FB8">
      <w:pPr>
        <w:pStyle w:val="Zkladntext100"/>
        <w:shd w:val="clear" w:color="auto" w:fill="auto"/>
        <w:ind w:firstLine="300"/>
      </w:pPr>
      <w:r>
        <w:t>Vytýká se mi »generalisování« a snad i paušalisováni. Jinde se mluví o ^shrbené šíji a pokřivené páteři«. Dovoluji si upozor</w:t>
      </w:r>
      <w:r>
        <w:softHyphen/>
        <w:t>nit! P. T</w:t>
      </w:r>
      <w:r>
        <w:t xml:space="preserve">. publikum, že právě v těchto dnech »běží« v Praze </w:t>
      </w:r>
      <w:r>
        <w:rPr>
          <w:lang w:val="en-US" w:eastAsia="en-US" w:bidi="en-US"/>
        </w:rPr>
        <w:t xml:space="preserve">film </w:t>
      </w:r>
      <w:r>
        <w:t>»Zborov«. I když censura v poslední chvíli leccos z něho oslabila — byl koncipován v roce 1936 — přece jen dám od</w:t>
      </w:r>
      <w:r>
        <w:softHyphen/>
        <w:t>měnu tomu, kdo tam najde nějakou »shrbenou šíji a pokřive</w:t>
      </w:r>
      <w:r>
        <w:softHyphen/>
        <w:t xml:space="preserve">nou páteř«, aspoň pokud jde </w:t>
      </w:r>
      <w:r>
        <w:t>o zborovské dobrovolníky. Vždyť přece nesu především j á za tento film všecku odpovědnost!</w:t>
      </w:r>
    </w:p>
    <w:p w:rsidR="00500724" w:rsidRDefault="00F30FB8">
      <w:pPr>
        <w:pStyle w:val="Zkladntext100"/>
        <w:shd w:val="clear" w:color="auto" w:fill="auto"/>
        <w:ind w:firstLine="300"/>
      </w:pPr>
      <w:r>
        <w:t xml:space="preserve">Jaký byl smysl mé výstrahy? Ten, že je dosti ještě u nás lidi, kteři </w:t>
      </w:r>
      <w:r>
        <w:rPr>
          <w:b/>
          <w:bCs/>
          <w:sz w:val="19"/>
          <w:szCs w:val="19"/>
        </w:rPr>
        <w:t xml:space="preserve">s </w:t>
      </w:r>
      <w:r>
        <w:t>vrtohlavou tvrdošíjnosti neuznávají naši dnešní politickou, zeměpisnou i hospodářskou situaci.</w:t>
      </w:r>
      <w:r>
        <w:t xml:space="preserve"> Ta situace je fakt, realita — tvrdá, neúprosná — a nikde neříkám, že bychom se </w:t>
      </w:r>
      <w:r>
        <w:rPr>
          <w:b/>
          <w:bCs/>
          <w:sz w:val="19"/>
          <w:szCs w:val="19"/>
        </w:rPr>
        <w:t xml:space="preserve">z nl </w:t>
      </w:r>
      <w:r>
        <w:t>měli radovat. Je však povinnosti všech — a nejen básníků, jak se mi v jednom z těch projevů doporučuje — aby každý, kdo může mluvit srozumitelnou řečí k lidu, řekl mu podl</w:t>
      </w:r>
      <w:r>
        <w:t xml:space="preserve">e pravdy, jak věci s námi jsou. Ta episoda u toho slavného »hraběcího piva« neni ojedinělá — je to jen typ, </w:t>
      </w:r>
      <w:r>
        <w:rPr>
          <w:b/>
          <w:bCs/>
          <w:sz w:val="19"/>
          <w:szCs w:val="19"/>
        </w:rPr>
        <w:t xml:space="preserve">a </w:t>
      </w:r>
      <w:r>
        <w:t xml:space="preserve">několik dopisů, které pro jejich surový obsah sotva uveřejníte, Vám přikládám jako doklad, ačkoli je to skromný výběr z bohaté a bohapusté pošty. </w:t>
      </w:r>
      <w:r>
        <w:t>Ale chci Vás »šanovat«.</w:t>
      </w:r>
    </w:p>
    <w:p w:rsidR="00500724" w:rsidRDefault="00F30FB8">
      <w:pPr>
        <w:pStyle w:val="Zkladntext100"/>
        <w:shd w:val="clear" w:color="auto" w:fill="auto"/>
        <w:ind w:firstLine="300"/>
      </w:pPr>
      <w:r>
        <w:t xml:space="preserve">Řeči o pátém a šestém pásmu by byly asi marné, kdyby nešlo, jak sám píšete, o víc. Vím to sám také. Je na omylu pan dr. Boháč, myslí-li, že Němci pilně nesleduji vše, co se u nás mluví i koná, i když jde o venkovské »tlachy«. Je-li </w:t>
      </w:r>
      <w:r>
        <w:t xml:space="preserve">pak těmito a podobnými tlachy podminováván nový stát, který chce žit a který přes všecku nepřízeň sudby mohl by žit, pak </w:t>
      </w:r>
      <w:r>
        <w:rPr>
          <w:b/>
          <w:bCs/>
          <w:sz w:val="19"/>
          <w:szCs w:val="19"/>
        </w:rPr>
        <w:t xml:space="preserve">je </w:t>
      </w:r>
      <w:r>
        <w:t xml:space="preserve">povinnosti přátel zdravého rozumu, proti nim bojovat </w:t>
      </w:r>
      <w:r>
        <w:rPr>
          <w:b/>
          <w:bCs/>
          <w:sz w:val="19"/>
          <w:szCs w:val="19"/>
        </w:rPr>
        <w:t xml:space="preserve">ze </w:t>
      </w:r>
      <w:r>
        <w:t>všech sil. Posměváčkové a profesionální rebelanti ovšem se rozvaluji po měst</w:t>
      </w:r>
      <w:r>
        <w:t>ech a vesnicích a jejich jediným štěstím je otravovat vzduch. Dejte jim tedy do rukou lopaty a ostrého rotmistra! Uvidíte, jak brzo bude pořádek.</w:t>
      </w:r>
    </w:p>
    <w:p w:rsidR="00500724" w:rsidRDefault="00F30FB8">
      <w:pPr>
        <w:pStyle w:val="Zkladntext100"/>
        <w:shd w:val="clear" w:color="auto" w:fill="auto"/>
        <w:spacing w:line="202" w:lineRule="auto"/>
        <w:ind w:firstLine="0"/>
        <w:jc w:val="center"/>
      </w:pPr>
      <w:r>
        <w:t>Pozdravuje Vás</w:t>
      </w:r>
    </w:p>
    <w:p w:rsidR="00500724" w:rsidRDefault="00F30FB8">
      <w:pPr>
        <w:pStyle w:val="Zkladntext100"/>
        <w:shd w:val="clear" w:color="auto" w:fill="auto"/>
        <w:spacing w:after="80" w:line="202" w:lineRule="auto"/>
        <w:ind w:firstLine="0"/>
        <w:jc w:val="right"/>
      </w:pPr>
      <w:r>
        <w:t>Rudolf Medek</w:t>
      </w:r>
    </w:p>
    <w:p w:rsidR="00500724" w:rsidRDefault="00F30FB8">
      <w:pPr>
        <w:pStyle w:val="Zkladntext100"/>
        <w:shd w:val="clear" w:color="auto" w:fill="auto"/>
        <w:spacing w:after="60" w:line="192" w:lineRule="auto"/>
        <w:ind w:firstLine="0"/>
        <w:jc w:val="center"/>
        <w:rPr>
          <w:sz w:val="19"/>
          <w:szCs w:val="19"/>
        </w:rPr>
      </w:pPr>
      <w:r>
        <w:rPr>
          <w:b/>
          <w:bCs/>
          <w:sz w:val="19"/>
          <w:szCs w:val="19"/>
        </w:rPr>
        <w:t>City malého národa</w:t>
      </w:r>
    </w:p>
    <w:p w:rsidR="00500724" w:rsidRDefault="00F30FB8">
      <w:pPr>
        <w:pStyle w:val="Zkladntext100"/>
        <w:shd w:val="clear" w:color="auto" w:fill="auto"/>
        <w:spacing w:after="80" w:line="202" w:lineRule="auto"/>
        <w:ind w:left="1060" w:firstLine="0"/>
        <w:jc w:val="left"/>
      </w:pPr>
      <w:r>
        <w:t>Vážená redakce!</w:t>
      </w:r>
    </w:p>
    <w:p w:rsidR="00500724" w:rsidRDefault="00F30FB8">
      <w:pPr>
        <w:pStyle w:val="Zkladntext100"/>
        <w:shd w:val="clear" w:color="auto" w:fill="auto"/>
        <w:spacing w:line="202" w:lineRule="auto"/>
        <w:ind w:firstLine="300"/>
      </w:pPr>
      <w:r>
        <w:t>Na naší milované zemi nebude tak dlouho trvaléh</w:t>
      </w:r>
      <w:r>
        <w:t>o po</w:t>
      </w:r>
      <w:r>
        <w:softHyphen/>
        <w:t>kroku a blaha, dokud osudy lidstva budou záviset na pomíji</w:t>
      </w:r>
      <w:r>
        <w:softHyphen/>
        <w:t>vých osudech lidských vášni. Dnešní doba je skutečně dobou bohatou na vzkypělé city až na stupeň, kdy se mění ve vášně. Soustředí-li pak mocní národové tyto city na čile výbojné, expansivni, s</w:t>
      </w:r>
      <w:r>
        <w:t>naží se vnutit těm, u nichž lze něco získat, jakýsi pocit strachu, nejistoty či méněcennosti; vždyť k jejich cito</w:t>
      </w:r>
      <w:r>
        <w:softHyphen/>
        <w:t>vým tužbám se přidružuje jejich rozum a přisvědčuje; »Jsme skutečně mocni, dobře vyzbrojeni a proto silni; můžeme si to dovolit.«</w:t>
      </w:r>
    </w:p>
    <w:p w:rsidR="00500724" w:rsidRDefault="00F30FB8">
      <w:pPr>
        <w:pStyle w:val="Zkladntext100"/>
        <w:shd w:val="clear" w:color="auto" w:fill="auto"/>
        <w:spacing w:line="202" w:lineRule="auto"/>
        <w:ind w:firstLine="300"/>
      </w:pPr>
      <w:r>
        <w:t xml:space="preserve">Zcela jinak </w:t>
      </w:r>
      <w:r>
        <w:t>si mohou počínat malí národové: neboť by byli již při prvním vzkypění citů s výbojnými cíli záhy přivedeni oně</w:t>
      </w:r>
      <w:r>
        <w:softHyphen/>
        <w:t>mi mocnými národy zas k rozumu. Proto i city našeho národa musí být jen vyššího řádu a jednat vždy v souhlase s čistým rozumem; toť náš program s</w:t>
      </w:r>
      <w:r>
        <w:t>ebevědomého bratrství a lidství. A proto také malé národy mají více sklon k citům lidskosti, ušlechtilého náboženství a vůbec k citům vyšších duševních oblastí. Děje se tak spíše z potřeby a nutnosti, než ze samovol</w:t>
      </w:r>
      <w:r>
        <w:softHyphen/>
        <w:t xml:space="preserve">ného prouděni jejich citů a tužeb. Síla </w:t>
      </w:r>
      <w:r>
        <w:t>našeho národa je tedy v uvědomělém, ukázněném a vzdělaném lidu, který je prost všeho velikášství, dále v národní jednolitosti, snoubící se s po</w:t>
      </w:r>
      <w:r>
        <w:softHyphen/>
        <w:t xml:space="preserve">rozuměním pro národy našich sousedů i nesousedů. Proto i naše city, jež hraji jakoukoliv veřejnou úlohu, i když </w:t>
      </w:r>
      <w:r>
        <w:t>vzpla</w:t>
      </w:r>
      <w:r>
        <w:softHyphen/>
        <w:t>nou v celém národě, musí mít cíl opravdu ušlechtilý, lidský; musí býti prosty chyb pro národ zhoubných. Buďme proto spravedliví především k sobě navzájem.</w:t>
      </w:r>
    </w:p>
    <w:p w:rsidR="00500724" w:rsidRDefault="00F30FB8">
      <w:pPr>
        <w:pStyle w:val="Zkladntext100"/>
        <w:shd w:val="clear" w:color="auto" w:fill="auto"/>
        <w:spacing w:line="202" w:lineRule="auto"/>
        <w:ind w:firstLine="300"/>
      </w:pPr>
      <w:r>
        <w:t>U nás není vůbec místa pro výsady jedněch naproti druhým. Tedy ani ne pro ty, kteří ve své sobe</w:t>
      </w:r>
      <w:r>
        <w:t>cké zarytosti svými ná</w:t>
      </w:r>
      <w:r>
        <w:softHyphen/>
        <w:t>rodohospodářskými statky zneužívají svého postavení a tak opouštějí své povinnosti člověka k člověku. I zde je možno po</w:t>
      </w:r>
      <w:r>
        <w:softHyphen/>
        <w:t>zorovat. s jakou sobeckou vášní lpějí na těchto výsadách v po</w:t>
      </w:r>
      <w:r>
        <w:softHyphen/>
        <w:t>době přebytečných majetků, zatím co jsou otrlí vůči</w:t>
      </w:r>
      <w:r>
        <w:t xml:space="preserve"> těm, kdož jim k majetkům dopomohli, ale kteří nezaviněně jsou nyní v hmotné bídě a nouzi. A platný právní řád je o málo šetr</w:t>
      </w:r>
      <w:r>
        <w:softHyphen/>
        <w:t>nější. Nedovoluje změn, jež si čas jistě vynutí. Rovněž 1 spra</w:t>
      </w:r>
      <w:r>
        <w:softHyphen/>
        <w:t xml:space="preserve">vedlivé rozdělení důchodů vytváří neblahý tlak a tím i napětí </w:t>
      </w:r>
      <w:r>
        <w:rPr>
          <w:b/>
          <w:bCs/>
          <w:sz w:val="19"/>
          <w:szCs w:val="19"/>
        </w:rPr>
        <w:t xml:space="preserve">v </w:t>
      </w:r>
      <w:r>
        <w:t>duš</w:t>
      </w:r>
      <w:r>
        <w:t>ích prostého lidu. Burcuje se takto protitlak a nespoko</w:t>
      </w:r>
      <w:r>
        <w:softHyphen/>
        <w:t>jenost v nejširších vrstvách a znesnadňuje se tak toužebné tvořeni jednoty národa.</w:t>
      </w:r>
    </w:p>
    <w:p w:rsidR="00500724" w:rsidRDefault="00F30FB8">
      <w:pPr>
        <w:pStyle w:val="Zkladntext100"/>
        <w:shd w:val="clear" w:color="auto" w:fill="auto"/>
        <w:spacing w:line="202" w:lineRule="auto"/>
      </w:pPr>
      <w:r>
        <w:t>Nutno též upravit platové systémy pro nynější poměry, kdy mladí lidé nastupují do služeb až ve své třicítce, kdežto o</w:t>
      </w:r>
      <w:r>
        <w:t>ny platí pro poměry, kdy nastupovali již před svou dvacítkou. Je třeba podpořit a povzbudit mladé lidi, aby mohli založit zdravou a slušnou domácnost. Dále pak zamezit tvoření ne</w:t>
      </w:r>
      <w:r>
        <w:softHyphen/>
        <w:t>žádoucích citů a vášni a podlomené morálky. Vždyť v naši mladé generaci je bu</w:t>
      </w:r>
      <w:r>
        <w:t>doucnost neb úpadek našeho národa.</w:t>
      </w:r>
    </w:p>
    <w:p w:rsidR="00500724" w:rsidRDefault="00F30FB8">
      <w:pPr>
        <w:pStyle w:val="Zkladntext30"/>
        <w:shd w:val="clear" w:color="auto" w:fill="auto"/>
        <w:spacing w:after="100"/>
        <w:ind w:firstLine="0"/>
        <w:jc w:val="right"/>
        <w:rPr>
          <w:sz w:val="20"/>
          <w:szCs w:val="20"/>
        </w:rPr>
      </w:pPr>
      <w:r>
        <w:rPr>
          <w:sz w:val="20"/>
          <w:szCs w:val="20"/>
        </w:rPr>
        <w:t>Václav VÍK</w:t>
      </w:r>
    </w:p>
    <w:p w:rsidR="00500724" w:rsidRDefault="00F30FB8">
      <w:pPr>
        <w:pStyle w:val="Zkladntext100"/>
        <w:shd w:val="clear" w:color="auto" w:fill="auto"/>
        <w:spacing w:line="166" w:lineRule="auto"/>
        <w:ind w:firstLine="0"/>
        <w:jc w:val="center"/>
        <w:rPr>
          <w:sz w:val="19"/>
          <w:szCs w:val="19"/>
        </w:rPr>
      </w:pPr>
      <w:r>
        <w:rPr>
          <w:b/>
          <w:bCs/>
          <w:sz w:val="19"/>
          <w:szCs w:val="19"/>
        </w:rPr>
        <w:t>Odpověď německým nacionálním socialistům</w:t>
      </w:r>
    </w:p>
    <w:p w:rsidR="00500724" w:rsidRDefault="00F30FB8">
      <w:pPr>
        <w:pStyle w:val="Zkladntext100"/>
        <w:shd w:val="clear" w:color="auto" w:fill="auto"/>
        <w:spacing w:after="80" w:line="175" w:lineRule="auto"/>
        <w:ind w:left="940" w:firstLine="0"/>
        <w:jc w:val="left"/>
      </w:pPr>
      <w:r>
        <w:t>Vážený pane spoluobčane!</w:t>
      </w:r>
    </w:p>
    <w:p w:rsidR="00500724" w:rsidRDefault="00F30FB8">
      <w:pPr>
        <w:pStyle w:val="Zkladntext100"/>
        <w:shd w:val="clear" w:color="auto" w:fill="auto"/>
        <w:spacing w:line="173" w:lineRule="auto"/>
      </w:pPr>
      <w:r>
        <w:t xml:space="preserve">Je opravdu zapotřebí upřímné výměny názorů mezi Čechy </w:t>
      </w:r>
      <w:r>
        <w:rPr>
          <w:b/>
          <w:bCs/>
          <w:sz w:val="19"/>
          <w:szCs w:val="19"/>
        </w:rPr>
        <w:t xml:space="preserve">a </w:t>
      </w:r>
      <w:r>
        <w:t xml:space="preserve">Němci, aby se dosáhlo vyjasněni mezi oběma národy. Nyní je mimořádně vhodná příležitost </w:t>
      </w:r>
      <w:r>
        <w:t>pro německý národ, aby se chopil příznivých okolností a cele a upřímně získal národ český. Zvláště nyní, kdy demokratický západ nás tolik zklamal a zanechal v nás tolik hořkosti.</w:t>
      </w:r>
    </w:p>
    <w:p w:rsidR="00500724" w:rsidRDefault="00F30FB8">
      <w:pPr>
        <w:pStyle w:val="Zkladntext100"/>
        <w:shd w:val="clear" w:color="auto" w:fill="auto"/>
        <w:spacing w:line="168" w:lineRule="auto"/>
      </w:pPr>
      <w:r>
        <w:t xml:space="preserve">K pochopeni českého člověka jest však zapotřebí úplně se vžiti do historie a </w:t>
      </w:r>
      <w:r>
        <w:t>života jeho národa.</w:t>
      </w:r>
    </w:p>
    <w:p w:rsidR="00500724" w:rsidRDefault="00F30FB8">
      <w:pPr>
        <w:pStyle w:val="Zkladntext100"/>
        <w:shd w:val="clear" w:color="auto" w:fill="auto"/>
        <w:spacing w:line="175" w:lineRule="auto"/>
      </w:pPr>
      <w:r>
        <w:t>Český národ si nikdy nemohl troufat činit výboje proti mnohonásobně silnějšímu národu německému, a různé okol</w:t>
      </w:r>
      <w:r>
        <w:softHyphen/>
        <w:t xml:space="preserve">nosti a počiny našeho národa lze vysvětliti jen a jen starosti o sebezáchovu. </w:t>
      </w:r>
      <w:r>
        <w:rPr>
          <w:i/>
          <w:iCs/>
        </w:rPr>
        <w:t>Ze tato</w:t>
      </w:r>
      <w:r>
        <w:t xml:space="preserve"> starost byla na místě, dokazují nám ději</w:t>
      </w:r>
      <w:r>
        <w:t>ny. Vždyť přece víme všichni, že kolik slovanských kmenů zmizelo podél Labe a od něho na východ. Náš český živel byl také i v jeho historických zemích vlastně stále na ústupu. Ztratili jsme kdysi Slezsko, je poněmčeno, Kladsko, je po</w:t>
      </w:r>
      <w:r>
        <w:softHyphen/>
        <w:t>němčeno, víme, že ješt</w:t>
      </w:r>
      <w:r>
        <w:t>ě v dobách husitských hrála určitou roli česká města (jako Žatec), nyní také poněmčená. Víme, jak utlačovala náš národ vídeňská vláda. Kdyby toho útisku nebylo bývalo, nebylo by jistě ani došlo k rozchodu s ní v roce 1918.</w:t>
      </w:r>
    </w:p>
    <w:p w:rsidR="00500724" w:rsidRDefault="00F30FB8">
      <w:pPr>
        <w:pStyle w:val="Zkladntext100"/>
        <w:shd w:val="clear" w:color="auto" w:fill="auto"/>
        <w:spacing w:line="175" w:lineRule="auto"/>
      </w:pPr>
      <w:r>
        <w:t>Tedy všechny tyto okolnosti a oba</w:t>
      </w:r>
      <w:r>
        <w:t>vy o naši národní existenci to byly, že jsme hledali možnost se zabezpečit v obraně proti případnému novému náporu. Nic jiného jsme ve spolku s Francií nehledali. Jistě každý Čech by se vysmál tomu (po</w:t>
      </w:r>
      <w:r>
        <w:softHyphen/>
        <w:t>něvadž by to byl nesmysl), že tento spolek byl namířen</w:t>
      </w:r>
      <w:r>
        <w:t xml:space="preserve"> proti existenci německého národa.</w:t>
      </w:r>
    </w:p>
    <w:p w:rsidR="00500724" w:rsidRDefault="00F30FB8">
      <w:pPr>
        <w:pStyle w:val="Zkladntext100"/>
        <w:shd w:val="clear" w:color="auto" w:fill="auto"/>
        <w:spacing w:line="175" w:lineRule="auto"/>
      </w:pPr>
      <w:r>
        <w:t>Pravda je nyní to, že nás ze sobeckých důvodů spojenci opustili. — Z nynější situace se však vytvářejí další obavy, o náš národ. Je dnes úplně na velkém německém národě, aby tyto naše velké obavy rozptýlil. Zajisté se sho</w:t>
      </w:r>
      <w:r>
        <w:t>dneme lehce ve vzájemném přesvědčení, že ohrožovat německý ná</w:t>
      </w:r>
      <w:r>
        <w:softHyphen/>
        <w:t>rod my prostě ani nemůžeme (ani jsme o to nikdy dříve ne</w:t>
      </w:r>
      <w:r>
        <w:softHyphen/>
        <w:t>usilovali), poněvadž by to bylo nesmyslem a nad naše síly,</w:t>
      </w:r>
    </w:p>
    <w:p w:rsidR="00500724" w:rsidRDefault="00F30FB8">
      <w:pPr>
        <w:pStyle w:val="Zkladntext100"/>
        <w:shd w:val="clear" w:color="auto" w:fill="auto"/>
        <w:spacing w:line="175" w:lineRule="auto"/>
      </w:pPr>
      <w:r>
        <w:t>Přáli bychom si však, aby naše trojnásobně početnější men</w:t>
      </w:r>
      <w:r>
        <w:softHyphen/>
        <w:t>šina v Sudetech měla</w:t>
      </w:r>
      <w:r>
        <w:t xml:space="preserve"> o svoji národní existenci tak postaráno, jako měla sudetská větev národa německého </w:t>
      </w:r>
      <w:r>
        <w:rPr>
          <w:b/>
          <w:bCs/>
          <w:sz w:val="19"/>
          <w:szCs w:val="19"/>
        </w:rPr>
        <w:t xml:space="preserve">v </w:t>
      </w:r>
      <w:r>
        <w:t>rámci naší republiky. My jsme i dále totiž přesvědčeni, že s naší strany, nebylo nic podnikáno k jejímu počeštění. Zajisté všechny ně</w:t>
      </w:r>
      <w:r>
        <w:softHyphen/>
        <w:t>mecké menšiny v jiných státech (Itál</w:t>
      </w:r>
      <w:r>
        <w:t>ie, Maďarsko, Polsko) by si jen přály, aby tam alespoň takového postaveni dosáhly,</w:t>
      </w:r>
    </w:p>
    <w:p w:rsidR="00500724" w:rsidRDefault="00F30FB8">
      <w:pPr>
        <w:pStyle w:val="Zkladntext100"/>
        <w:shd w:val="clear" w:color="auto" w:fill="auto"/>
        <w:spacing w:line="175" w:lineRule="auto"/>
      </w:pPr>
      <w:r>
        <w:t>My čteme nyní různé projevy německých vůdců v Sudetech, že se tam s českou menšinou bude prý lépe zaeházeti, nežli se zacházelo s Němci u nás. Bylo by to nadějné do budoucno</w:t>
      </w:r>
      <w:r>
        <w:t>sti, ač budeme na výsost spokojeni, když tam budou míti vše to, co měli Němci u nás (a mají i dnes).</w:t>
      </w:r>
    </w:p>
    <w:p w:rsidR="00500724" w:rsidRDefault="00F30FB8">
      <w:pPr>
        <w:pStyle w:val="Zkladntext100"/>
        <w:shd w:val="clear" w:color="auto" w:fill="auto"/>
        <w:spacing w:line="175" w:lineRule="auto"/>
      </w:pPr>
      <w:r>
        <w:t>Jak jsem předeslal. Upřímná spolupráce, ničím nekalená', mezi našimi národy je nyní v rukou německého národa, který si nemůže činiti ani jen sebemenší domn</w:t>
      </w:r>
      <w:r>
        <w:t>ěnku, že by mohl býti ohrožován od malého národa našeho. Náš národ se obává o každého svého příslušníka tolikrát více, kolikrát je menši národa německého. To je kámen moudrosti všeho budoucího počínání na straně německé. Náš národ má nezlomnou vůli žiti sv</w:t>
      </w:r>
      <w:r>
        <w:t>ým životem dále a bude míti vždy velký zájem o existenci silné své větve v Německu.</w:t>
      </w:r>
    </w:p>
    <w:p w:rsidR="00500724" w:rsidRDefault="00F30FB8">
      <w:pPr>
        <w:pStyle w:val="Zkladntext100"/>
        <w:shd w:val="clear" w:color="auto" w:fill="auto"/>
        <w:spacing w:after="100" w:line="175" w:lineRule="auto"/>
      </w:pPr>
      <w:r>
        <w:t>Bude dobře o těchto věcech si často vyměňovat názory a! české obavy sdělovati směrodatným činitelům v Sudetech, Z toho vyplývá i velká příležitost a odpovědnost našich ně</w:t>
      </w:r>
      <w:r>
        <w:softHyphen/>
      </w:r>
      <w:r>
        <w:t>meckých spoluobčanů, aby se přičinili svým vlivem o takový život našich lidí v Sudetech, jaký mají oni zajištěn u nás, Smíme doufati, že nás čeká společná šťastná budoucnost?</w:t>
      </w:r>
    </w:p>
    <w:p w:rsidR="00500724" w:rsidRDefault="00F30FB8">
      <w:pPr>
        <w:pStyle w:val="Jin0"/>
        <w:shd w:val="clear" w:color="auto" w:fill="auto"/>
        <w:spacing w:before="100" w:after="140"/>
        <w:ind w:firstLine="0"/>
        <w:jc w:val="left"/>
        <w:rPr>
          <w:sz w:val="46"/>
          <w:szCs w:val="46"/>
        </w:rPr>
      </w:pPr>
      <w:r>
        <w:rPr>
          <w:noProof/>
        </w:rPr>
        <mc:AlternateContent>
          <mc:Choice Requires="wps">
            <w:drawing>
              <wp:anchor distT="0" distB="0" distL="0" distR="0" simplePos="0" relativeHeight="125829610" behindDoc="0" locked="0" layoutInCell="1" allowOverlap="1">
                <wp:simplePos x="0" y="0"/>
                <wp:positionH relativeFrom="page">
                  <wp:posOffset>4592320</wp:posOffset>
                </wp:positionH>
                <wp:positionV relativeFrom="margin">
                  <wp:posOffset>8187055</wp:posOffset>
                </wp:positionV>
                <wp:extent cx="676910" cy="155575"/>
                <wp:effectExtent l="0" t="0" r="0" b="0"/>
                <wp:wrapSquare wrapText="bothSides"/>
                <wp:docPr id="233" name="Shape 233"/>
                <wp:cNvGraphicFramePr/>
                <a:graphic xmlns:a="http://schemas.openxmlformats.org/drawingml/2006/main">
                  <a:graphicData uri="http://schemas.microsoft.com/office/word/2010/wordprocessingShape">
                    <wps:wsp>
                      <wps:cNvSpPr txBox="1"/>
                      <wps:spPr>
                        <a:xfrm>
                          <a:off x="0" y="0"/>
                          <a:ext cx="676910" cy="155575"/>
                        </a:xfrm>
                        <a:prstGeom prst="rect">
                          <a:avLst/>
                        </a:prstGeom>
                        <a:noFill/>
                      </wps:spPr>
                      <wps:txbx>
                        <w:txbxContent>
                          <w:p w:rsidR="00500724" w:rsidRDefault="00F30FB8">
                            <w:pPr>
                              <w:pStyle w:val="Zkladntext100"/>
                              <w:shd w:val="clear" w:color="auto" w:fill="auto"/>
                              <w:spacing w:line="240" w:lineRule="auto"/>
                              <w:ind w:firstLine="0"/>
                              <w:jc w:val="left"/>
                            </w:pPr>
                            <w:r>
                              <w:t>S pozdravem</w:t>
                            </w:r>
                          </w:p>
                        </w:txbxContent>
                      </wps:txbx>
                      <wps:bodyPr lIns="0" tIns="0" rIns="0" bIns="0">
                        <a:spAutoFit/>
                      </wps:bodyPr>
                    </wps:wsp>
                  </a:graphicData>
                </a:graphic>
              </wp:anchor>
            </w:drawing>
          </mc:Choice>
          <mc:Fallback>
            <w:pict>
              <v:shape id="_x0000_s1259" type="#_x0000_t202" style="position:absolute;margin-left:361.60000000000002pt;margin-top:644.64999999999998pt;width:53.299999999999997pt;height:12.25pt;z-index:-125829143;mso-wrap-distance-left:0;mso-wrap-distance-right:0;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 pozdravem</w:t>
                      </w:r>
                    </w:p>
                  </w:txbxContent>
                </v:textbox>
                <w10:wrap type="square" anchorx="page" anchory="margin"/>
              </v:shape>
            </w:pict>
          </mc:Fallback>
        </mc:AlternateContent>
      </w:r>
      <w:r>
        <w:rPr>
          <w:noProof/>
        </w:rPr>
        <mc:AlternateContent>
          <mc:Choice Requires="wps">
            <w:drawing>
              <wp:anchor distT="0" distB="88900" distL="114300" distR="114300" simplePos="0" relativeHeight="125829612" behindDoc="0" locked="0" layoutInCell="1" allowOverlap="1">
                <wp:simplePos x="0" y="0"/>
                <wp:positionH relativeFrom="page">
                  <wp:posOffset>6073775</wp:posOffset>
                </wp:positionH>
                <wp:positionV relativeFrom="margin">
                  <wp:posOffset>8272145</wp:posOffset>
                </wp:positionV>
                <wp:extent cx="810895" cy="155575"/>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810895" cy="155575"/>
                        </a:xfrm>
                        <a:prstGeom prst="rect">
                          <a:avLst/>
                        </a:prstGeom>
                        <a:noFill/>
                      </wps:spPr>
                      <wps:txbx>
                        <w:txbxContent>
                          <w:p w:rsidR="00500724" w:rsidRDefault="00F30FB8">
                            <w:pPr>
                              <w:pStyle w:val="Zkladntext100"/>
                              <w:shd w:val="clear" w:color="auto" w:fill="auto"/>
                              <w:spacing w:line="240" w:lineRule="auto"/>
                              <w:ind w:firstLine="0"/>
                              <w:jc w:val="left"/>
                            </w:pPr>
                            <w:r>
                              <w:t>Frant. JiroušeK</w:t>
                            </w:r>
                          </w:p>
                        </w:txbxContent>
                      </wps:txbx>
                      <wps:bodyPr lIns="0" tIns="0" rIns="0" bIns="0">
                        <a:spAutoFit/>
                      </wps:bodyPr>
                    </wps:wsp>
                  </a:graphicData>
                </a:graphic>
              </wp:anchor>
            </w:drawing>
          </mc:Choice>
          <mc:Fallback>
            <w:pict>
              <v:shape id="_x0000_s1261" type="#_x0000_t202" style="position:absolute;margin-left:478.25pt;margin-top:651.35000000000002pt;width:63.850000000000001pt;height:12.25pt;z-index:-125829141;mso-wrap-distance-left:9.pt;mso-wrap-distance-right:9.pt;mso-wrap-distance-bottom:7.pt;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Frant. JiroušeK</w:t>
                      </w:r>
                    </w:p>
                  </w:txbxContent>
                </v:textbox>
                <w10:wrap type="topAndBottom" anchorx="page" anchory="margin"/>
              </v:shape>
            </w:pict>
          </mc:Fallback>
        </mc:AlternateContent>
      </w:r>
      <w:r>
        <w:rPr>
          <w:b/>
          <w:bCs/>
          <w:sz w:val="46"/>
          <w:szCs w:val="46"/>
          <w:u w:val="single"/>
        </w:rPr>
        <w:t>listárna redakce</w:t>
      </w:r>
    </w:p>
    <w:p w:rsidR="00500724" w:rsidRDefault="00F30FB8">
      <w:pPr>
        <w:pStyle w:val="Zkladntext100"/>
        <w:shd w:val="clear" w:color="auto" w:fill="auto"/>
        <w:spacing w:line="180" w:lineRule="auto"/>
        <w:ind w:firstLine="200"/>
        <w:sectPr w:rsidR="00500724">
          <w:footnotePr>
            <w:numFmt w:val="chicago"/>
            <w:numRestart w:val="eachPage"/>
          </w:footnotePr>
          <w:type w:val="continuous"/>
          <w:pgSz w:w="11909" w:h="16834"/>
          <w:pgMar w:top="828" w:right="1027" w:bottom="851" w:left="466" w:header="0" w:footer="3" w:gutter="0"/>
          <w:cols w:num="2" w:space="100"/>
          <w:noEndnote/>
          <w:docGrid w:linePitch="360"/>
        </w:sectPr>
      </w:pPr>
      <w:r>
        <w:t xml:space="preserve">Jak se o nás píše v Německu. Na žádost p. dr. Zd. Smetáčka zjišťujeme, že jeho článek pod tímto názvem v 8. čísle »Přítom- iiosti« byl napsán začátkem ledna a vztahuje se na články německého tisku </w:t>
      </w:r>
      <w:r>
        <w:rPr>
          <w:b/>
          <w:bCs/>
          <w:sz w:val="19"/>
          <w:szCs w:val="19"/>
        </w:rPr>
        <w:t xml:space="preserve">z </w:t>
      </w:r>
      <w:r>
        <w:t>konce minulého roku,</w:t>
      </w:r>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621" w:right="0" w:bottom="514" w:left="0" w:header="0" w:footer="3" w:gutter="0"/>
          <w:cols w:space="720"/>
          <w:noEndnote/>
          <w:docGrid w:linePitch="360"/>
        </w:sectPr>
      </w:pPr>
    </w:p>
    <w:p w:rsidR="00500724" w:rsidRDefault="00F30FB8">
      <w:pPr>
        <w:pStyle w:val="Zkladntext100"/>
        <w:framePr w:w="341" w:h="245" w:wrap="none" w:vAnchor="text" w:hAnchor="page" w:x="532" w:y="21"/>
        <w:shd w:val="clear" w:color="auto" w:fill="auto"/>
        <w:spacing w:line="240" w:lineRule="auto"/>
        <w:ind w:firstLine="0"/>
        <w:jc w:val="left"/>
      </w:pPr>
      <w:r>
        <w:rPr>
          <w:i/>
          <w:iCs/>
        </w:rPr>
        <w:t>1ĎO</w:t>
      </w:r>
    </w:p>
    <w:p w:rsidR="00500724" w:rsidRDefault="00500724">
      <w:pPr>
        <w:spacing w:after="148" w:line="14" w:lineRule="exact"/>
      </w:pPr>
    </w:p>
    <w:p w:rsidR="00500724" w:rsidRDefault="00500724">
      <w:pPr>
        <w:spacing w:line="14" w:lineRule="exact"/>
        <w:sectPr w:rsidR="00500724">
          <w:footnotePr>
            <w:numFmt w:val="chicago"/>
            <w:numRestart w:val="eachPage"/>
          </w:footnotePr>
          <w:type w:val="continuous"/>
          <w:pgSz w:w="11909" w:h="16834"/>
          <w:pgMar w:top="1621" w:right="1114" w:bottom="514" w:left="442" w:header="0" w:footer="3" w:gutter="0"/>
          <w:cols w:space="720"/>
          <w:noEndnote/>
          <w:docGrid w:linePitch="360"/>
        </w:sectPr>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94" w:line="14" w:lineRule="exact"/>
      </w:pPr>
    </w:p>
    <w:p w:rsidR="00500724" w:rsidRDefault="00500724">
      <w:pPr>
        <w:spacing w:line="14" w:lineRule="exact"/>
        <w:sectPr w:rsidR="00500724">
          <w:footnotePr>
            <w:numFmt w:val="chicago"/>
            <w:numRestart w:val="eachPage"/>
          </w:footnotePr>
          <w:pgSz w:w="11909" w:h="16834"/>
          <w:pgMar w:top="1304" w:right="468" w:bottom="197" w:left="948"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614" behindDoc="0" locked="0" layoutInCell="1" allowOverlap="1">
                <wp:simplePos x="0" y="0"/>
                <wp:positionH relativeFrom="page">
                  <wp:posOffset>2360930</wp:posOffset>
                </wp:positionH>
                <wp:positionV relativeFrom="paragraph">
                  <wp:posOffset>12700</wp:posOffset>
                </wp:positionV>
                <wp:extent cx="3206750" cy="1905000"/>
                <wp:effectExtent l="0" t="0" r="0" b="0"/>
                <wp:wrapSquare wrapText="right"/>
                <wp:docPr id="237" name="Shape 237"/>
                <wp:cNvGraphicFramePr/>
                <a:graphic xmlns:a="http://schemas.openxmlformats.org/drawingml/2006/main">
                  <a:graphicData uri="http://schemas.microsoft.com/office/word/2010/wordprocessingShape">
                    <wps:wsp>
                      <wps:cNvSpPr txBox="1"/>
                      <wps:spPr>
                        <a:xfrm>
                          <a:off x="0" y="0"/>
                          <a:ext cx="3206750" cy="1905000"/>
                        </a:xfrm>
                        <a:prstGeom prst="rect">
                          <a:avLst/>
                        </a:prstGeom>
                        <a:noFill/>
                      </wps:spPr>
                      <wps:txbx>
                        <w:txbxContent>
                          <w:p w:rsidR="00500724" w:rsidRDefault="00F30FB8">
                            <w:pPr>
                              <w:pStyle w:val="Jin0"/>
                              <w:shd w:val="clear" w:color="auto" w:fill="auto"/>
                              <w:ind w:firstLine="0"/>
                              <w:jc w:val="center"/>
                              <w:rPr>
                                <w:sz w:val="26"/>
                                <w:szCs w:val="26"/>
                              </w:rPr>
                            </w:pPr>
                            <w:r>
                              <w:rPr>
                                <w:b/>
                                <w:bCs/>
                                <w:sz w:val="26"/>
                                <w:szCs w:val="26"/>
                              </w:rPr>
                              <w:t>Problém výchovy</w:t>
                            </w:r>
                          </w:p>
                          <w:p w:rsidR="00500724" w:rsidRDefault="00F30FB8">
                            <w:pPr>
                              <w:pStyle w:val="Zkladntext100"/>
                              <w:shd w:val="clear" w:color="auto" w:fill="auto"/>
                              <w:spacing w:line="190" w:lineRule="auto"/>
                              <w:rPr>
                                <w:sz w:val="19"/>
                                <w:szCs w:val="19"/>
                              </w:rPr>
                            </w:pPr>
                            <w:r>
                              <w:rPr>
                                <w:b/>
                                <w:bCs/>
                                <w:sz w:val="19"/>
                                <w:szCs w:val="19"/>
                              </w:rPr>
                              <w:t xml:space="preserve">Dynamismus přítomné chvíle pohání i tyto dohře míněné projevy, ale ve většině z nich je činitelem spíš vnějším než silou, tryskající z hlubokých vnitřních zdrojů. Zdá se mi </w:t>
                            </w:r>
                            <w:r>
                              <w:rPr>
                                <w:b/>
                                <w:bCs/>
                                <w:sz w:val="19"/>
                                <w:szCs w:val="19"/>
                              </w:rPr>
                              <w:t>proto, že nemohou rozhodněji zapůsobit na směr a podstatu nejvlastnějšího utváření národní bytosti, o něž jde v dnešní době víc než jindy. Národ, který se octl na osudné křižo</w:t>
                            </w:r>
                            <w:r>
                              <w:rPr>
                                <w:b/>
                                <w:bCs/>
                                <w:sz w:val="19"/>
                                <w:szCs w:val="19"/>
                              </w:rPr>
                              <w:softHyphen/>
                              <w:t>vatce, nemůže se rozhodovat pro ten nebo onen směr náhle a povrchně. Musí z duch</w:t>
                            </w:r>
                            <w:r>
                              <w:rPr>
                                <w:b/>
                                <w:bCs/>
                                <w:sz w:val="19"/>
                                <w:szCs w:val="19"/>
                              </w:rPr>
                              <w:t>ovních proudů vyhledat ty, které jsou mu blízké pro jeho minulost a jež mu i v budoucnosti zaručí nejbohatší rozkvět vnitřních sil a rozvoj všech možností. Je třeba znova promýšlet své problémy, svou dosavadní cestu, rozkládat kořeny ještě šíře a zapouštět</w:t>
                            </w:r>
                            <w:r>
                              <w:rPr>
                                <w:b/>
                                <w:bCs/>
                                <w:sz w:val="19"/>
                                <w:szCs w:val="19"/>
                              </w:rPr>
                              <w:t xml:space="preserve"> je do větší hloubky, aby věkovitý strom národa po osudovém úderu stál pevněji a rostl houževnatěji.</w:t>
                            </w:r>
                          </w:p>
                          <w:p w:rsidR="00500724" w:rsidRDefault="00F30FB8">
                            <w:pPr>
                              <w:pStyle w:val="Zkladntext30"/>
                              <w:shd w:val="clear" w:color="auto" w:fill="auto"/>
                              <w:spacing w:after="0" w:line="180" w:lineRule="auto"/>
                              <w:ind w:firstLine="0"/>
                              <w:jc w:val="right"/>
                              <w:rPr>
                                <w:sz w:val="20"/>
                                <w:szCs w:val="20"/>
                              </w:rPr>
                            </w:pPr>
                            <w:r>
                              <w:rPr>
                                <w:i/>
                                <w:iCs/>
                                <w:sz w:val="20"/>
                                <w:szCs w:val="20"/>
                              </w:rPr>
                              <w:t>Jan Uher (ve Vědě a životě)</w:t>
                            </w:r>
                          </w:p>
                        </w:txbxContent>
                      </wps:txbx>
                      <wps:bodyPr lIns="0" tIns="0" rIns="0" bIns="0">
                        <a:spAutoFit/>
                      </wps:bodyPr>
                    </wps:wsp>
                  </a:graphicData>
                </a:graphic>
              </wp:anchor>
            </w:drawing>
          </mc:Choice>
          <mc:Fallback>
            <w:pict>
              <v:shape id="_x0000_s1263" type="#_x0000_t202" style="position:absolute;margin-left:185.90000000000001pt;margin-top:1.pt;width:252.5pt;height:150.pt;z-index:-125829139;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Problém výchovy</w:t>
                      </w:r>
                    </w:p>
                    <w:p>
                      <w:pPr>
                        <w:pStyle w:val="Style344"/>
                        <w:keepNext w:val="0"/>
                        <w:keepLines w:val="0"/>
                        <w:widowControl w:val="0"/>
                        <w:shd w:val="clear" w:color="auto" w:fill="auto"/>
                        <w:bidi w:val="0"/>
                        <w:spacing w:before="0" w:after="0" w:line="190" w:lineRule="auto"/>
                        <w:ind w:left="0" w:right="0"/>
                        <w:rPr>
                          <w:sz w:val="19"/>
                          <w:szCs w:val="19"/>
                        </w:rPr>
                      </w:pPr>
                      <w:r>
                        <w:rPr>
                          <w:b/>
                          <w:bCs/>
                          <w:color w:val="000000"/>
                          <w:spacing w:val="0"/>
                          <w:w w:val="100"/>
                          <w:position w:val="0"/>
                          <w:sz w:val="19"/>
                          <w:szCs w:val="19"/>
                          <w:shd w:val="clear" w:color="auto" w:fill="auto"/>
                          <w:lang w:val="cs-CZ" w:eastAsia="cs-CZ" w:bidi="cs-CZ"/>
                        </w:rPr>
                        <w:t>Dynamismus přítomné chvíle pohání i tyto dohře míněné projevy, ale ve většině z nich je činitelem spíš vnějším než silou, tryskající z hlubokých vnitřních zdrojů. Zdá se mi proto, že nemohou rozhodněji zapůsobit na směr a podstatu nejvlastnějšího utváření národní bytosti, o něž jde v dnešní době víc než jindy. Národ, který se octl na osudné křižo</w:t>
                        <w:softHyphen/>
                        <w:t>vatce, nemůže se rozhodovat pro ten nebo onen směr náhle a povrchně. Musí z duchovních proudů vyhledat ty, které jsou mu blízké pro jeho minulost a jež mu i v budoucnosti zaručí nejbohatší rozkvět vnitřních sil a rozvoj všech možností. Je třeba znova promýšlet své problémy, svou dosavadní cestu, rozkládat kořeny ještě šíře a zapouštět je do větší hloubky, aby věkovitý strom národa po osudovém úderu stál pevněji a rostl houževnatěji.</w:t>
                      </w:r>
                    </w:p>
                    <w:p>
                      <w:pPr>
                        <w:pStyle w:val="Style22"/>
                        <w:keepNext w:val="0"/>
                        <w:keepLines w:val="0"/>
                        <w:widowControl w:val="0"/>
                        <w:shd w:val="clear" w:color="auto" w:fill="auto"/>
                        <w:bidi w:val="0"/>
                        <w:spacing w:before="0" w:after="0" w:line="18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Jan Uher (ve Vědě a životě)</w:t>
                      </w:r>
                    </w:p>
                  </w:txbxContent>
                </v:textbox>
                <w10:wrap type="square" side="right" anchorx="page"/>
              </v:shape>
            </w:pict>
          </mc:Fallback>
        </mc:AlternateContent>
      </w:r>
    </w:p>
    <w:p w:rsidR="00500724" w:rsidRDefault="00F30FB8">
      <w:pPr>
        <w:pStyle w:val="Zkladntext30"/>
        <w:shd w:val="clear" w:color="auto" w:fill="auto"/>
        <w:spacing w:after="60" w:line="182" w:lineRule="auto"/>
        <w:ind w:firstLine="0"/>
        <w:jc w:val="left"/>
        <w:rPr>
          <w:sz w:val="20"/>
          <w:szCs w:val="20"/>
        </w:rPr>
      </w:pPr>
      <w:r>
        <w:rPr>
          <w:i/>
          <w:iCs/>
          <w:sz w:val="20"/>
          <w:szCs w:val="20"/>
        </w:rPr>
        <w:t>Fráňa Šrámek:</w:t>
      </w:r>
    </w:p>
    <w:p w:rsidR="00500724" w:rsidRDefault="00F30FB8">
      <w:pPr>
        <w:pStyle w:val="Zkladntext30"/>
        <w:shd w:val="clear" w:color="auto" w:fill="auto"/>
        <w:spacing w:after="60" w:line="182" w:lineRule="auto"/>
        <w:ind w:firstLine="0"/>
        <w:jc w:val="left"/>
        <w:rPr>
          <w:sz w:val="20"/>
          <w:szCs w:val="20"/>
        </w:rPr>
      </w:pPr>
      <w:r>
        <w:rPr>
          <w:i/>
          <w:iCs/>
          <w:sz w:val="20"/>
          <w:szCs w:val="20"/>
        </w:rPr>
        <w:t>21. září 1937</w:t>
      </w:r>
    </w:p>
    <w:p w:rsidR="00500724" w:rsidRDefault="00F30FB8">
      <w:pPr>
        <w:pStyle w:val="Zkladntext30"/>
        <w:shd w:val="clear" w:color="auto" w:fill="auto"/>
        <w:spacing w:after="0" w:line="182" w:lineRule="auto"/>
        <w:ind w:firstLine="0"/>
        <w:jc w:val="left"/>
        <w:rPr>
          <w:sz w:val="20"/>
          <w:szCs w:val="20"/>
        </w:rPr>
      </w:pPr>
      <w:r>
        <w:rPr>
          <w:i/>
          <w:iCs/>
          <w:sz w:val="20"/>
          <w:szCs w:val="20"/>
        </w:rPr>
        <w:t>Slunce a stín, slunce a stín, jak bílé šátky, letící k očím a zoufale opět</w:t>
      </w:r>
    </w:p>
    <w:p w:rsidR="00500724" w:rsidRDefault="00F30FB8">
      <w:pPr>
        <w:pStyle w:val="Zkladntext30"/>
        <w:shd w:val="clear" w:color="auto" w:fill="auto"/>
        <w:spacing w:after="0" w:line="182" w:lineRule="auto"/>
        <w:ind w:firstLine="0"/>
        <w:jc w:val="left"/>
        <w:rPr>
          <w:sz w:val="20"/>
          <w:szCs w:val="20"/>
        </w:rPr>
      </w:pPr>
      <w:r>
        <w:rPr>
          <w:i/>
          <w:iCs/>
          <w:sz w:val="20"/>
          <w:szCs w:val="20"/>
        </w:rPr>
        <w:t>pokleslé v klín a</w:t>
      </w:r>
      <w:r>
        <w:rPr>
          <w:b/>
          <w:bCs/>
          <w:sz w:val="19"/>
          <w:szCs w:val="19"/>
        </w:rPr>
        <w:t xml:space="preserve"> v </w:t>
      </w:r>
      <w:r>
        <w:rPr>
          <w:i/>
          <w:iCs/>
          <w:sz w:val="20"/>
          <w:szCs w:val="20"/>
        </w:rPr>
        <w:t>bubnů, větrných víření jenom ty kroky, jenom ty</w:t>
      </w:r>
    </w:p>
    <w:p w:rsidR="00500724" w:rsidRDefault="00F30FB8">
      <w:pPr>
        <w:pStyle w:val="Zkladntext30"/>
        <w:shd w:val="clear" w:color="auto" w:fill="auto"/>
        <w:spacing w:after="160" w:line="182" w:lineRule="auto"/>
        <w:ind w:firstLine="0"/>
        <w:jc w:val="right"/>
        <w:rPr>
          <w:sz w:val="20"/>
          <w:szCs w:val="20"/>
        </w:rPr>
      </w:pPr>
      <w:r>
        <w:rPr>
          <w:i/>
          <w:iCs/>
          <w:sz w:val="20"/>
          <w:szCs w:val="20"/>
        </w:rPr>
        <w:t>kroky.</w:t>
      </w:r>
    </w:p>
    <w:p w:rsidR="00500724" w:rsidRDefault="00F30FB8">
      <w:pPr>
        <w:pStyle w:val="Zkladntext30"/>
        <w:shd w:val="clear" w:color="auto" w:fill="auto"/>
        <w:spacing w:after="0" w:line="185" w:lineRule="auto"/>
        <w:ind w:firstLine="0"/>
        <w:jc w:val="left"/>
        <w:rPr>
          <w:sz w:val="20"/>
          <w:szCs w:val="20"/>
        </w:rPr>
      </w:pPr>
      <w:r>
        <w:rPr>
          <w:i/>
          <w:iCs/>
          <w:sz w:val="20"/>
          <w:szCs w:val="20"/>
        </w:rPr>
        <w:t>Na jaký pochod, na jaký</w:t>
      </w:r>
    </w:p>
    <w:p w:rsidR="00500724" w:rsidRDefault="00F30FB8">
      <w:pPr>
        <w:pStyle w:val="Zkladntext30"/>
        <w:shd w:val="clear" w:color="auto" w:fill="auto"/>
        <w:spacing w:after="0" w:line="185" w:lineRule="auto"/>
        <w:ind w:firstLine="0"/>
        <w:jc w:val="right"/>
        <w:rPr>
          <w:sz w:val="20"/>
          <w:szCs w:val="20"/>
        </w:rPr>
      </w:pPr>
      <w:r>
        <w:rPr>
          <w:i/>
          <w:iCs/>
          <w:sz w:val="20"/>
          <w:szCs w:val="20"/>
        </w:rPr>
        <w:t>pochod</w:t>
      </w:r>
    </w:p>
    <w:p w:rsidR="00500724" w:rsidRDefault="00F30FB8">
      <w:pPr>
        <w:pStyle w:val="Zkladntext30"/>
        <w:shd w:val="clear" w:color="auto" w:fill="auto"/>
        <w:spacing w:after="0" w:line="185" w:lineRule="auto"/>
        <w:ind w:right="960" w:firstLine="0"/>
        <w:rPr>
          <w:sz w:val="20"/>
          <w:szCs w:val="20"/>
        </w:rPr>
      </w:pPr>
      <w:r>
        <w:rPr>
          <w:i/>
          <w:iCs/>
          <w:sz w:val="20"/>
          <w:szCs w:val="20"/>
        </w:rPr>
        <w:t>dnes jsme se dali, že jsme ty kroky ták ukovali,</w:t>
      </w:r>
    </w:p>
    <w:p w:rsidR="00500724" w:rsidRDefault="00F30FB8">
      <w:pPr>
        <w:pStyle w:val="Zkladntext30"/>
        <w:shd w:val="clear" w:color="auto" w:fill="auto"/>
        <w:spacing w:after="160" w:line="185" w:lineRule="auto"/>
        <w:ind w:firstLine="0"/>
        <w:jc w:val="left"/>
        <w:rPr>
          <w:sz w:val="20"/>
          <w:szCs w:val="20"/>
        </w:rPr>
      </w:pPr>
      <w:r>
        <w:rPr>
          <w:i/>
          <w:iCs/>
          <w:sz w:val="20"/>
          <w:szCs w:val="20"/>
        </w:rPr>
        <w:t>kdo to jde před námi v čele, kdo nás to vede?</w:t>
      </w:r>
    </w:p>
    <w:p w:rsidR="00500724" w:rsidRDefault="00F30FB8">
      <w:pPr>
        <w:pStyle w:val="Zkladntext30"/>
        <w:shd w:val="clear" w:color="auto" w:fill="auto"/>
        <w:spacing w:after="0" w:line="182" w:lineRule="auto"/>
        <w:ind w:firstLine="0"/>
        <w:jc w:val="left"/>
        <w:rPr>
          <w:sz w:val="20"/>
          <w:szCs w:val="20"/>
        </w:rPr>
      </w:pPr>
      <w:r>
        <w:rPr>
          <w:i/>
          <w:iCs/>
          <w:sz w:val="20"/>
          <w:szCs w:val="20"/>
        </w:rPr>
        <w:t>Jediný jen. jediný jen wkouti mohl ten železný šik. Lafeto bolestná, nemů&amp;e</w:t>
      </w:r>
      <w:r>
        <w:rPr>
          <w:i/>
          <w:iCs/>
          <w:sz w:val="20"/>
          <w:szCs w:val="20"/>
        </w:rPr>
        <w:t>m</w:t>
      </w:r>
    </w:p>
    <w:p w:rsidR="00500724" w:rsidRDefault="00F30FB8">
      <w:pPr>
        <w:pStyle w:val="Zkladntext30"/>
        <w:shd w:val="clear" w:color="auto" w:fill="auto"/>
        <w:spacing w:after="0" w:line="182" w:lineRule="auto"/>
        <w:ind w:firstLine="0"/>
        <w:jc w:val="right"/>
        <w:rPr>
          <w:sz w:val="20"/>
          <w:szCs w:val="20"/>
        </w:rPr>
      </w:pPr>
      <w:r>
        <w:rPr>
          <w:i/>
          <w:iCs/>
          <w:sz w:val="20"/>
          <w:szCs w:val="20"/>
        </w:rPr>
        <w:t>jinak,</w:t>
      </w:r>
    </w:p>
    <w:p w:rsidR="00500724" w:rsidRDefault="00F30FB8">
      <w:pPr>
        <w:pStyle w:val="Zkladntext30"/>
        <w:shd w:val="clear" w:color="auto" w:fill="auto"/>
        <w:spacing w:after="0" w:line="182" w:lineRule="auto"/>
        <w:ind w:firstLine="0"/>
        <w:jc w:val="left"/>
        <w:rPr>
          <w:sz w:val="20"/>
          <w:szCs w:val="20"/>
        </w:rPr>
      </w:pPr>
      <w:r>
        <w:rPr>
          <w:i/>
          <w:iCs/>
          <w:sz w:val="20"/>
          <w:szCs w:val="20"/>
        </w:rPr>
        <w:t>přijmi náš vzlyk,</w:t>
      </w:r>
    </w:p>
    <w:p w:rsidR="00500724" w:rsidRDefault="00F30FB8">
      <w:pPr>
        <w:pStyle w:val="Zkladntext30"/>
        <w:shd w:val="clear" w:color="auto" w:fill="auto"/>
        <w:spacing w:after="0" w:line="182" w:lineRule="auto"/>
        <w:ind w:firstLine="0"/>
        <w:jc w:val="left"/>
        <w:rPr>
          <w:sz w:val="20"/>
          <w:szCs w:val="20"/>
        </w:rPr>
      </w:pPr>
      <w:r>
        <w:rPr>
          <w:i/>
          <w:iCs/>
          <w:sz w:val="20"/>
          <w:szCs w:val="20"/>
        </w:rPr>
        <w:t>ale ty světelný zjeve tam</w:t>
      </w:r>
    </w:p>
    <w:p w:rsidR="00500724" w:rsidRDefault="00F30FB8">
      <w:pPr>
        <w:pStyle w:val="Zkladntext30"/>
        <w:shd w:val="clear" w:color="auto" w:fill="auto"/>
        <w:spacing w:after="0" w:line="182" w:lineRule="auto"/>
        <w:ind w:firstLine="0"/>
        <w:jc w:val="right"/>
        <w:rPr>
          <w:sz w:val="20"/>
          <w:szCs w:val="20"/>
        </w:rPr>
      </w:pPr>
      <w:r>
        <w:rPr>
          <w:i/>
          <w:iCs/>
          <w:sz w:val="20"/>
          <w:szCs w:val="20"/>
        </w:rPr>
        <w:t>vpředu</w:t>
      </w:r>
    </w:p>
    <w:p w:rsidR="00500724" w:rsidRDefault="00F30FB8">
      <w:pPr>
        <w:pStyle w:val="Zkladntext30"/>
        <w:shd w:val="clear" w:color="auto" w:fill="auto"/>
        <w:spacing w:after="60" w:line="182" w:lineRule="auto"/>
        <w:ind w:firstLine="0"/>
        <w:jc w:val="left"/>
        <w:rPr>
          <w:sz w:val="20"/>
          <w:szCs w:val="20"/>
        </w:rPr>
      </w:pPr>
      <w:r>
        <w:rPr>
          <w:i/>
          <w:iCs/>
          <w:sz w:val="20"/>
          <w:szCs w:val="20"/>
        </w:rPr>
        <w:t>velet nám nepřestávej!</w:t>
      </w:r>
    </w:p>
    <w:p w:rsidR="00500724" w:rsidRDefault="00F30FB8">
      <w:pPr>
        <w:pStyle w:val="Zkladntext40"/>
        <w:shd w:val="clear" w:color="auto" w:fill="auto"/>
        <w:spacing w:after="120" w:line="180" w:lineRule="auto"/>
        <w:ind w:firstLine="260"/>
      </w:pPr>
      <w:r>
        <w:t>Ze sbírky Monumenty a květiny T. G. M.</w:t>
      </w:r>
    </w:p>
    <w:p w:rsidR="00500724" w:rsidRDefault="00F30FB8">
      <w:pPr>
        <w:pStyle w:val="Nadpis120"/>
        <w:shd w:val="clear" w:color="auto" w:fill="auto"/>
        <w:spacing w:after="100" w:line="166" w:lineRule="auto"/>
        <w:ind w:left="0"/>
      </w:pPr>
      <w:bookmarkStart w:id="245" w:name="bookmark244"/>
      <w:r>
        <w:rPr>
          <w:rFonts w:ascii="Arial" w:eastAsia="Arial" w:hAnsi="Arial" w:cs="Arial"/>
        </w:rPr>
        <w:t>NOVÉ KNIHY</w:t>
      </w:r>
      <w:bookmarkEnd w:id="245"/>
    </w:p>
    <w:p w:rsidR="00500724" w:rsidRDefault="00F30FB8">
      <w:pPr>
        <w:pStyle w:val="Zkladntext100"/>
        <w:shd w:val="clear" w:color="auto" w:fill="auto"/>
        <w:spacing w:line="240" w:lineRule="auto"/>
        <w:ind w:firstLine="0"/>
        <w:jc w:val="left"/>
        <w:rPr>
          <w:sz w:val="19"/>
          <w:szCs w:val="19"/>
        </w:rPr>
      </w:pPr>
      <w:r>
        <w:rPr>
          <w:b/>
          <w:bCs/>
          <w:sz w:val="19"/>
          <w:szCs w:val="19"/>
        </w:rPr>
        <w:t>Viktor Dyk: KKYSAK — PÍtÍHODY</w:t>
      </w:r>
    </w:p>
    <w:p w:rsidR="00500724" w:rsidRDefault="00F30FB8">
      <w:pPr>
        <w:pStyle w:val="Zkladntext40"/>
        <w:shd w:val="clear" w:color="auto" w:fill="auto"/>
        <w:spacing w:after="160" w:line="190" w:lineRule="auto"/>
      </w:pPr>
      <w:r>
        <w:t xml:space="preserve">Jednou z nejkouzelnějších prací Viktora Dýka je klasická novela K r y s a ř. která vyšla r. </w:t>
      </w:r>
      <w:r>
        <w:t>1915 u Borového, jako zahajovací sva</w:t>
      </w:r>
      <w:r>
        <w:softHyphen/>
        <w:t>zek edice Zlatokvět v krásné úpravě Fr. Kysely a s jeho dřevo</w:t>
      </w:r>
      <w:r>
        <w:softHyphen/>
        <w:t>rytem. Toto knižní vydání Kry</w:t>
      </w:r>
      <w:r>
        <w:softHyphen/>
        <w:t>sa ř e v edicí, která později při</w:t>
      </w:r>
      <w:r>
        <w:softHyphen/>
        <w:t>nesla Dykovu epickou báseň Zá</w:t>
      </w:r>
      <w:r>
        <w:softHyphen/>
        <w:t>pas Jiřího Macků v úpravě V. H. Brunnera a řadu vzácných kniho-</w:t>
      </w:r>
      <w:r>
        <w:t xml:space="preserve"> milských tisků, vynikajících to děl moderní české poesie — tak Theerovy Úzkostí a naděje, To</w:t>
      </w:r>
      <w:r>
        <w:softHyphen/>
        <w:t>manovy Měsíce, Srámkův Splav,</w:t>
      </w:r>
    </w:p>
    <w:p w:rsidR="00500724" w:rsidRDefault="00F30FB8">
      <w:pPr>
        <w:pStyle w:val="Zkladntext30"/>
        <w:shd w:val="clear" w:color="auto" w:fill="auto"/>
        <w:spacing w:after="0" w:line="240" w:lineRule="auto"/>
        <w:ind w:firstLine="0"/>
        <w:jc w:val="left"/>
        <w:rPr>
          <w:sz w:val="20"/>
          <w:szCs w:val="20"/>
        </w:rPr>
      </w:pPr>
      <w:r>
        <w:rPr>
          <w:i/>
          <w:iCs/>
          <w:sz w:val="20"/>
          <w:szCs w:val="20"/>
        </w:rPr>
        <w:t>Viktor Dyk:</w:t>
      </w:r>
    </w:p>
    <w:p w:rsidR="00500724" w:rsidRDefault="00F30FB8">
      <w:pPr>
        <w:pStyle w:val="Zkladntext100"/>
        <w:shd w:val="clear" w:color="auto" w:fill="auto"/>
        <w:spacing w:line="190" w:lineRule="auto"/>
        <w:ind w:firstLine="0"/>
        <w:jc w:val="center"/>
        <w:rPr>
          <w:sz w:val="19"/>
          <w:szCs w:val="19"/>
        </w:rPr>
      </w:pPr>
      <w:r>
        <w:rPr>
          <w:b/>
          <w:bCs/>
          <w:sz w:val="19"/>
          <w:szCs w:val="19"/>
        </w:rPr>
        <w:t>HRANICE*</w:t>
      </w:r>
    </w:p>
    <w:p w:rsidR="00500724" w:rsidRDefault="00F30FB8">
      <w:pPr>
        <w:pStyle w:val="Zkladntext90"/>
        <w:shd w:val="clear" w:color="auto" w:fill="auto"/>
        <w:spacing w:line="214" w:lineRule="auto"/>
        <w:ind w:firstLine="200"/>
      </w:pPr>
      <w:r>
        <w:t>Jede-li kdo jiný přes hranice, čiti snad něco. Svět končí a za</w:t>
      </w:r>
      <w:r>
        <w:softHyphen/>
        <w:t xml:space="preserve">číná nový. Mluví k němu historie a přesvědčuje </w:t>
      </w:r>
      <w:r>
        <w:t>ho sluch.</w:t>
      </w:r>
    </w:p>
    <w:p w:rsidR="00500724" w:rsidRDefault="00F30FB8">
      <w:pPr>
        <w:pStyle w:val="Zkladntext90"/>
        <w:shd w:val="clear" w:color="auto" w:fill="auto"/>
        <w:spacing w:line="214" w:lineRule="auto"/>
        <w:ind w:firstLine="200"/>
      </w:pPr>
      <w:r>
        <w:t>Jedeme-Ii my přes hranice, jako bychom nejeli. Necítíme se příliš v cizině, ježto dříve jsme nebyli příliš doma. Nezbývá nám, než pozorovat!, co jiní cítí. A pozoru</w:t>
      </w:r>
      <w:r>
        <w:softHyphen/>
        <w:t>jeme:</w:t>
      </w:r>
    </w:p>
    <w:p w:rsidR="00500724" w:rsidRDefault="00F30FB8">
      <w:pPr>
        <w:pStyle w:val="Zkladntext90"/>
        <w:shd w:val="clear" w:color="auto" w:fill="auto"/>
        <w:spacing w:line="214" w:lineRule="auto"/>
        <w:ind w:firstLine="200"/>
      </w:pPr>
      <w:r>
        <w:t xml:space="preserve">Jsou staré a pokojné hranice, které se neměnily a nemění. Byly od věků a </w:t>
      </w:r>
      <w:r>
        <w:t>budou po věky. Není lstivých a násilných úmyslů na oné ani na této straně. Hraniční čára je klidná, skoro ospalá. Také vy máte klidný, skoro ospalý do</w:t>
      </w:r>
      <w:r>
        <w:softHyphen/>
        <w:t>jem: přes tyto hranice nepřejdou nikdy mobilisované pluky, neza- duní nikdy baterie, chrlící smrt. Nižádn</w:t>
      </w:r>
      <w:r>
        <w:t>á z tichých vísek nedá své jméno velkému historickému da</w:t>
      </w:r>
      <w:r>
        <w:softHyphen/>
        <w:t>tu; nižádné z těchto údolí nesta</w:t>
      </w:r>
      <w:r>
        <w:softHyphen/>
        <w:t xml:space="preserve">ne se velkým hřbitovem. Hranice </w:t>
      </w:r>
      <w:r>
        <w:rPr>
          <w:u w:val="single"/>
        </w:rPr>
        <w:t>se nsm</w:t>
      </w:r>
      <w:r>
        <w:t>fvá, nezívá-li právě.</w:t>
      </w:r>
    </w:p>
    <w:p w:rsidR="00500724" w:rsidRDefault="00F30FB8">
      <w:pPr>
        <w:pStyle w:val="Zkladntext40"/>
        <w:shd w:val="clear" w:color="auto" w:fill="auto"/>
        <w:spacing w:line="156" w:lineRule="auto"/>
        <w:jc w:val="right"/>
      </w:pPr>
      <w:r>
        <w:rPr>
          <w:sz w:val="18"/>
          <w:szCs w:val="18"/>
        </w:rPr>
        <w:t xml:space="preserve">* Z </w:t>
      </w:r>
      <w:r>
        <w:t xml:space="preserve">právě vyšlého svazku próz </w:t>
      </w:r>
      <w:r>
        <w:rPr>
          <w:sz w:val="18"/>
          <w:szCs w:val="18"/>
        </w:rPr>
        <w:t xml:space="preserve">Viktora </w:t>
      </w:r>
      <w:r>
        <w:t>Dýka: »Krysař-Příhody«.</w:t>
      </w:r>
    </w:p>
    <w:p w:rsidR="00500724" w:rsidRDefault="00F30FB8">
      <w:pPr>
        <w:pStyle w:val="Zkladntext40"/>
        <w:shd w:val="clear" w:color="auto" w:fill="auto"/>
        <w:spacing w:after="0" w:line="192" w:lineRule="auto"/>
      </w:pPr>
      <w:r>
        <w:t>Křičkův' Šípkový keř — patří k prvním českým</w:t>
      </w:r>
      <w:r>
        <w:t xml:space="preserve"> tiskům knihomil- ským a k velkým vzácnostem na knižním trhu. Protože je už dlou</w:t>
      </w:r>
      <w:r>
        <w:softHyphen/>
        <w:t>ho rozebráno i druhé vydání Krysaře v Kruhu četby, patří nové vydání tohoto Dykova díl</w:t>
      </w:r>
      <w:r>
        <w:softHyphen/>
        <w:t>ka k radostným a vítaným pře</w:t>
      </w:r>
      <w:r>
        <w:softHyphen/>
        <w:t>kvapením. K r y s a ř spolu s pró</w:t>
      </w:r>
      <w:r>
        <w:softHyphen/>
        <w:t>zami z let 1905—1911, shr</w:t>
      </w:r>
      <w:r>
        <w:t>nutými pod název Příhody, tvoří nyní 11. svazek Spisů Viktora Dýka. S jedinečným mistrovstvím, jímž se vyznačovali jen nejlepší kla</w:t>
      </w:r>
      <w:r>
        <w:softHyphen/>
        <w:t>sičtí noveíisté, formou sevřenou a úspornou, slovem a vědou po</w:t>
      </w:r>
      <w:r>
        <w:softHyphen/>
        <w:t>divuhodné sugesce a Intensity básnické, je tu v archaickém ro</w:t>
      </w:r>
      <w:r>
        <w:t>uše podán starosaský legendár</w:t>
      </w:r>
      <w:r>
        <w:softHyphen/>
        <w:t>ní příběh krysaře z Hammeln tak, jak se tento příběh obrazil v představivosti i vzrušené fan</w:t>
      </w:r>
      <w:r>
        <w:softHyphen/>
        <w:t>tasii moderního básníka z rodu romantických desilusionistů.</w:t>
      </w:r>
    </w:p>
    <w:p w:rsidR="00500724" w:rsidRDefault="00F30FB8">
      <w:pPr>
        <w:pStyle w:val="Zkladntext40"/>
        <w:shd w:val="clear" w:color="auto" w:fill="auto"/>
        <w:spacing w:after="180" w:line="192" w:lineRule="auto"/>
        <w:ind w:firstLine="220"/>
      </w:pPr>
      <w:r>
        <w:t>Avšak středověký příběh kry</w:t>
      </w:r>
      <w:r>
        <w:softHyphen/>
        <w:t>saře, jehož výrazný obličej nám tak nezapomen</w:t>
      </w:r>
      <w:r>
        <w:t xml:space="preserve">utelně přiblížil Hanuš Schwaiger na jednom ze svých obrazů, podložil Viktor Dyk docela nově, aniž osobitě dykovskou symbolikou a ryze básnickým způsobem podání, jež udivuje 1 vábí sugescí přednesu, odstíněností slova a výrazu, kouzlem melodie </w:t>
      </w:r>
      <w:r>
        <w:rPr>
          <w:i/>
          <w:iCs/>
        </w:rPr>
        <w:t>a</w:t>
      </w:r>
      <w:r>
        <w:t xml:space="preserve"> přízvuku, s</w:t>
      </w:r>
      <w:r>
        <w:t>e</w:t>
      </w:r>
      <w:r>
        <w:softHyphen/>
      </w:r>
    </w:p>
    <w:p w:rsidR="00500724" w:rsidRDefault="00F30FB8">
      <w:pPr>
        <w:pStyle w:val="Zkladntext90"/>
        <w:shd w:val="clear" w:color="auto" w:fill="auto"/>
        <w:spacing w:line="214" w:lineRule="auto"/>
        <w:ind w:firstLine="0"/>
        <w:jc w:val="left"/>
      </w:pPr>
      <w:r>
        <w:t>I Jsou také neklidné, nervosnl hranice.</w:t>
      </w:r>
    </w:p>
    <w:p w:rsidR="00500724" w:rsidRDefault="00F30FB8">
      <w:pPr>
        <w:pStyle w:val="Zkladntext90"/>
        <w:shd w:val="clear" w:color="auto" w:fill="auto"/>
        <w:spacing w:line="214" w:lineRule="auto"/>
        <w:ind w:firstLine="220"/>
      </w:pPr>
      <w:r>
        <w:t>Minulost jejich byla vzrušená. Skutečně šly už přes ně s obou stran mobilisované pluky. Hrani</w:t>
      </w:r>
      <w:r>
        <w:softHyphen/>
        <w:t>ce nebyla po věky a není jisto, bude-li po věky. A bude-li, cítí se aspoň dnes ještě po amputaci odňatý úd. Na hranicíc</w:t>
      </w:r>
      <w:r>
        <w:t>h, dejme tomu, slyšíte slovo »Deutsch- Avricourt«. Opakujete Deutsch- Avricourt. A zní to podivně.</w:t>
      </w:r>
    </w:p>
    <w:p w:rsidR="00500724" w:rsidRDefault="00F30FB8">
      <w:pPr>
        <w:pStyle w:val="Zkladntext90"/>
        <w:shd w:val="clear" w:color="auto" w:fill="auto"/>
        <w:spacing w:line="214" w:lineRule="auto"/>
        <w:ind w:firstLine="220"/>
      </w:pPr>
      <w:r>
        <w:t>Jede-li kdo přes hranici tako</w:t>
      </w:r>
      <w:r>
        <w:softHyphen/>
        <w:t>vou od východu, cítí obyčejně něco jako pýchu. Jede-li kdo od zápa</w:t>
      </w:r>
      <w:r>
        <w:softHyphen/>
        <w:t xml:space="preserve">du, cítí něco jako bolest. Je to smutek věcí, jež jsme měli </w:t>
      </w:r>
      <w:r>
        <w:t>a ztratili.</w:t>
      </w:r>
    </w:p>
    <w:p w:rsidR="00500724" w:rsidRDefault="00F30FB8">
      <w:pPr>
        <w:pStyle w:val="Zkladntext90"/>
        <w:shd w:val="clear" w:color="auto" w:fill="auto"/>
        <w:spacing w:line="214" w:lineRule="auto"/>
        <w:ind w:firstLine="220"/>
      </w:pPr>
      <w:r>
        <w:t>Jsou také tl, kterým hranice znamená pouze celní prohlídku. Přecházejí světy s pokrčením ra</w:t>
      </w:r>
      <w:r>
        <w:softHyphen/>
        <w:t>men. Fiat ubi vult. A čím dále, tím lépe. Jsou to velmi šťastné nebo velmi nešťastné duše.</w:t>
      </w:r>
    </w:p>
    <w:p w:rsidR="00500724" w:rsidRDefault="00F30FB8">
      <w:pPr>
        <w:pStyle w:val="Zkladntext90"/>
        <w:shd w:val="clear" w:color="auto" w:fill="auto"/>
        <w:spacing w:line="214" w:lineRule="auto"/>
        <w:ind w:firstLine="220"/>
      </w:pPr>
      <w:r>
        <w:t>Velmi šťastné nebo velmi ne</w:t>
      </w:r>
      <w:r>
        <w:softHyphen/>
        <w:t xml:space="preserve">šťastné duše! Chápeme vás příliš </w:t>
      </w:r>
      <w:r>
        <w:t>dobře. Náš život je neúplný: ně</w:t>
      </w:r>
      <w:r>
        <w:softHyphen/>
        <w:t>kterých pocitů se nám nedostává.</w:t>
      </w:r>
    </w:p>
    <w:p w:rsidR="00500724" w:rsidRDefault="00F30FB8">
      <w:pPr>
        <w:pStyle w:val="Zkladntext90"/>
        <w:shd w:val="clear" w:color="auto" w:fill="auto"/>
        <w:tabs>
          <w:tab w:val="left" w:pos="1205"/>
        </w:tabs>
        <w:spacing w:line="214" w:lineRule="auto"/>
        <w:ind w:firstLine="220"/>
      </w:pPr>
      <w:r>
        <w:t>Chápeme přes to nebo právě proto.</w:t>
      </w:r>
      <w:r>
        <w:tab/>
        <w:t>*</w:t>
      </w:r>
    </w:p>
    <w:p w:rsidR="00500724" w:rsidRDefault="00F30FB8">
      <w:pPr>
        <w:spacing w:line="1" w:lineRule="exact"/>
        <w:rPr>
          <w:sz w:val="2"/>
          <w:szCs w:val="2"/>
        </w:rPr>
      </w:pPr>
      <w:r>
        <w:br w:type="column"/>
      </w:r>
    </w:p>
    <w:p w:rsidR="00500724" w:rsidRDefault="00F30FB8">
      <w:pPr>
        <w:pStyle w:val="Zkladntext40"/>
        <w:shd w:val="clear" w:color="auto" w:fill="auto"/>
        <w:spacing w:after="0" w:line="187" w:lineRule="auto"/>
      </w:pPr>
      <w:r>
        <w:t>třel to nejnepatmější zrníčko pelu jeho dobového koloritu a le</w:t>
      </w:r>
      <w:r>
        <w:softHyphen/>
        <w:t xml:space="preserve">gendárního ladění. Píšťala krysa- řova rozezpívala se zde v píseň věčné a tragické touhy </w:t>
      </w:r>
      <w:r>
        <w:t>po kráse a lásce, v píseň tragického zkla</w:t>
      </w:r>
      <w:r>
        <w:softHyphen/>
        <w:t>mání i pohrdavé ironie vůči svě</w:t>
      </w:r>
      <w:r>
        <w:softHyphen/>
        <w:t>tu, který nepochopil velký sen. Tóny romantického smutku a hořké bolesti ozývají se z tohoto arcidíla s tóny okouzleni a Ironie, pohrdání a vykoupené mužné re- signace, která se klen</w:t>
      </w:r>
      <w:r>
        <w:t>e nad tímto symbolickým příběhem, okouzlu</w:t>
      </w:r>
      <w:r>
        <w:softHyphen/>
        <w:t>jícím nejen svou epickou před- mětností, nýbrž i samotným bás</w:t>
      </w:r>
      <w:r>
        <w:softHyphen/>
        <w:t>nickým výrazem v pravdě klasic</w:t>
      </w:r>
      <w:r>
        <w:softHyphen/>
        <w:t>kým. Prostě, středověká legenda prózou K r y s a ř, romantická bo</w:t>
      </w:r>
      <w:r>
        <w:softHyphen/>
        <w:t>lestným vzýváním Huse, čistě dykovská novodobým pesimis</w:t>
      </w:r>
      <w:r>
        <w:softHyphen/>
        <w:t>mem nad marností nejvznešeněj- ších vznětů, je v pravém slova smyslu arcidílo, v němž slohové úsilí Viktora Dýka dosáhlo vrcholu. Cena brož. svazku je 22 K.</w:t>
      </w:r>
    </w:p>
    <w:p w:rsidR="00500724" w:rsidRDefault="00F30FB8">
      <w:pPr>
        <w:pStyle w:val="Zkladntext100"/>
        <w:shd w:val="clear" w:color="auto" w:fill="auto"/>
        <w:spacing w:after="100" w:line="156" w:lineRule="auto"/>
        <w:ind w:firstLine="0"/>
        <w:jc w:val="center"/>
      </w:pPr>
      <w:r>
        <w:t>o</w:t>
      </w:r>
    </w:p>
    <w:p w:rsidR="00500724" w:rsidRDefault="00F30FB8">
      <w:pPr>
        <w:pStyle w:val="Zkladntext40"/>
        <w:shd w:val="clear" w:color="auto" w:fill="auto"/>
        <w:spacing w:after="200" w:line="185" w:lineRule="auto"/>
        <w:ind w:firstLine="180"/>
      </w:pPr>
      <w:r>
        <w:t>ULOUPENÝ ŽIVOT, román K. J. Beneše, na jehož námět byl vy</w:t>
      </w:r>
      <w:r>
        <w:softHyphen/>
        <w:t xml:space="preserve">tvořen světový film, vyšel jako první </w:t>
      </w:r>
      <w:r>
        <w:t>svazek knižní řady »Romá- ny, které ožily na plátně«, vydá</w:t>
      </w:r>
      <w:r>
        <w:softHyphen/>
        <w:t>vané Melantríchem a prodává se u knihkupců za 30 K. Nové vydá</w:t>
      </w:r>
      <w:r>
        <w:softHyphen/>
      </w:r>
    </w:p>
    <w:p w:rsidR="00500724" w:rsidRDefault="00F30FB8">
      <w:pPr>
        <w:pStyle w:val="Zkladntext90"/>
        <w:shd w:val="clear" w:color="auto" w:fill="auto"/>
        <w:spacing w:line="214" w:lineRule="auto"/>
        <w:ind w:firstLine="0"/>
        <w:jc w:val="center"/>
      </w:pPr>
      <w:r>
        <w:t>Bylo to před několika lety.</w:t>
      </w:r>
    </w:p>
    <w:p w:rsidR="00500724" w:rsidRDefault="00F30FB8">
      <w:pPr>
        <w:pStyle w:val="Zkladntext90"/>
        <w:shd w:val="clear" w:color="auto" w:fill="auto"/>
        <w:spacing w:line="214" w:lineRule="auto"/>
      </w:pPr>
      <w:r>
        <w:t>Odjížděl jsem tehdy nočním rychlíkem z nádraží Anhaltského.</w:t>
      </w:r>
    </w:p>
    <w:p w:rsidR="00500724" w:rsidRDefault="00F30FB8">
      <w:pPr>
        <w:pStyle w:val="Zkladntext90"/>
        <w:shd w:val="clear" w:color="auto" w:fill="auto"/>
        <w:spacing w:line="214" w:lineRule="auto"/>
      </w:pPr>
      <w:r>
        <w:t>Byla to noc před Štědrým ve</w:t>
      </w:r>
      <w:r>
        <w:softHyphen/>
        <w:t>čerem. Chladná, zi</w:t>
      </w:r>
      <w:r>
        <w:t>mní noc.</w:t>
      </w:r>
    </w:p>
    <w:p w:rsidR="00500724" w:rsidRDefault="00F30FB8">
      <w:pPr>
        <w:pStyle w:val="Zkladntext90"/>
        <w:shd w:val="clear" w:color="auto" w:fill="auto"/>
        <w:spacing w:line="214" w:lineRule="auto"/>
      </w:pPr>
      <w:r>
        <w:t>Všelijací lidé byli v kupé. Ne</w:t>
      </w:r>
      <w:r>
        <w:softHyphen/>
        <w:t>staral jsem se o ně. Bylo mi po</w:t>
      </w:r>
      <w:r>
        <w:softHyphen/>
        <w:t>divně: poznal jsem, že je vždy tak podivně, vracíme-li se. Snad je tak vojáku, který — z těch či oněch důvodů — opustil válečnou vřavu, hřímání děl a klesající druhy. Pozapomněl na vál</w:t>
      </w:r>
      <w:r>
        <w:t>ku: kraje se usmívaly na něho. Lesy šuměly mu nad hlavou. Plul po klidných, zelenavých vodách je</w:t>
      </w:r>
      <w:r>
        <w:softHyphen/>
        <w:t>zer a kráčel po svazích hor. kde vanul svěží vítr. Nyní se vrací do řad... Hřímejte, děla! Kdyby aspoň děla!</w:t>
      </w:r>
    </w:p>
    <w:p w:rsidR="00500724" w:rsidRDefault="00F30FB8">
      <w:pPr>
        <w:pStyle w:val="Zkladntext90"/>
        <w:shd w:val="clear" w:color="auto" w:fill="auto"/>
        <w:spacing w:line="214" w:lineRule="auto"/>
      </w:pPr>
      <w:r>
        <w:t>Přimhouřil jsem oči a pokou</w:t>
      </w:r>
      <w:r>
        <w:softHyphen/>
        <w:t>šel jsem se zdřímnouti</w:t>
      </w:r>
      <w:r>
        <w:t>. Nepoda</w:t>
      </w:r>
      <w:r>
        <w:softHyphen/>
        <w:t>řilo se mi to docela: jen v něja</w:t>
      </w:r>
      <w:r>
        <w:softHyphen/>
        <w:t>ké polosnčn! jsem upadl. Snil jsem o národě bez hraníc. Roz</w:t>
      </w:r>
      <w:r>
        <w:softHyphen/>
        <w:t>metu vás v světě jako símě bu</w:t>
      </w:r>
      <w:r>
        <w:softHyphen/>
        <w:t>doucnosti. pravil Hospodin.</w:t>
      </w:r>
    </w:p>
    <w:p w:rsidR="00500724" w:rsidRDefault="00F30FB8">
      <w:pPr>
        <w:pStyle w:val="Zkladntext90"/>
        <w:shd w:val="clear" w:color="auto" w:fill="auto"/>
        <w:spacing w:line="214" w:lineRule="auto"/>
      </w:pPr>
      <w:r>
        <w:t>Vystoupení mého souseda vy</w:t>
      </w:r>
      <w:r>
        <w:softHyphen/>
        <w:t>rušilo mne ze snění. Otevřel jsem oči. Přede mnou seděl hoch asi</w:t>
      </w:r>
    </w:p>
    <w:p w:rsidR="00500724" w:rsidRDefault="00F30FB8">
      <w:pPr>
        <w:spacing w:line="1" w:lineRule="exact"/>
        <w:rPr>
          <w:sz w:val="2"/>
          <w:szCs w:val="2"/>
        </w:rPr>
      </w:pPr>
      <w:r>
        <w:br w:type="column"/>
      </w:r>
    </w:p>
    <w:p w:rsidR="00500724" w:rsidRDefault="00F30FB8">
      <w:pPr>
        <w:pStyle w:val="Zkladntext40"/>
        <w:shd w:val="clear" w:color="auto" w:fill="auto"/>
        <w:spacing w:after="0" w:line="194" w:lineRule="auto"/>
      </w:pPr>
      <w:r>
        <w:t>ní</w:t>
      </w:r>
      <w:r>
        <w:t xml:space="preserve"> ^Uloupeného života« dokazuje víc než co jiného, jak dobře se dovedl K J. Beneš zmocnit ná</w:t>
      </w:r>
      <w:r>
        <w:softHyphen/>
        <w:t>mětu, který patří k neizajímavěj- ším v písemnictví vůbec. Dvoj- nictví sester Martiny a Sylvy, v stejnou hodinu narozených, ale osudů tak různých, dalo romano</w:t>
      </w:r>
      <w:r>
        <w:softHyphen/>
        <w:t>pisci</w:t>
      </w:r>
      <w:r>
        <w:t xml:space="preserve"> příležitost k rozvinutí boha</w:t>
      </w:r>
      <w:r>
        <w:softHyphen/>
        <w:t>tého pásma dějového. Šťastná Sylva stojí tu proti nešťastné a vnitřně rozpoltěné Martině, která stále touží po lidském štěstí. Když se však konečně sama do</w:t>
      </w:r>
      <w:r>
        <w:softHyphen/>
        <w:t>stává na místo sestřino, pozná</w:t>
      </w:r>
      <w:r>
        <w:softHyphen/>
        <w:t>vá, že toužila po nemožném. Ne</w:t>
      </w:r>
      <w:r>
        <w:softHyphen/>
        <w:t>lze se p</w:t>
      </w:r>
      <w:r>
        <w:t>řevtělit do ruhé bytosti, nelze uniknout osudu, nelze změ</w:t>
      </w:r>
      <w:r>
        <w:softHyphen/>
        <w:t>nit vlastní já, zakotvené v nitru člověka. Prostředí, které dovede Beneš tak živě líčit, tvoří po</w:t>
      </w:r>
      <w:r>
        <w:softHyphen/>
        <w:t>zadí dramatu osamělosti. Jsou dvě chvíle v životě, kdy se člověk octne zcela sám: zrození a smrt. Po</w:t>
      </w:r>
      <w:r>
        <w:t xml:space="preserve"> celý život zůstávají však v každém z nás osamělé skuliny duše. — Román Benešův ve fil</w:t>
      </w:r>
      <w:r>
        <w:softHyphen/>
        <w:t>movém přetlumočení byl velkým zahraničním úspěchem českého spisovatele</w:t>
      </w:r>
    </w:p>
    <w:p w:rsidR="00500724" w:rsidRDefault="00F30FB8">
      <w:pPr>
        <w:pStyle w:val="Zkladntext40"/>
        <w:shd w:val="clear" w:color="auto" w:fill="auto"/>
        <w:spacing w:after="200" w:line="194" w:lineRule="auto"/>
        <w:ind w:firstLine="220"/>
      </w:pPr>
      <w:r>
        <w:t xml:space="preserve">JUDr. Josef </w:t>
      </w:r>
      <w:r>
        <w:rPr>
          <w:lang w:val="en-US" w:eastAsia="en-US" w:bidi="en-US"/>
        </w:rPr>
        <w:t xml:space="preserve">Miler: </w:t>
      </w:r>
      <w:r>
        <w:t>NOVÉ SEL</w:t>
      </w:r>
      <w:r>
        <w:softHyphen/>
        <w:t xml:space="preserve">SKÉ PRÁVO NĚMECKÉ. Jsou to sociální problémy nám vesměs velmi blízké, </w:t>
      </w:r>
      <w:r>
        <w:t>učení našeho mys</w:t>
      </w:r>
      <w:r>
        <w:softHyphen/>
        <w:t>litele a politika selského Antoní</w:t>
      </w:r>
      <w:r>
        <w:softHyphen/>
        <w:t>na Švehly o vztahu člověka k půdě. Bylo by jistě velmi zajíma</w:t>
      </w:r>
      <w:r>
        <w:softHyphen/>
        <w:t>vé, srovnatl úpravy, k nimž do</w:t>
      </w:r>
      <w:r>
        <w:softHyphen/>
        <w:t>spěla ve svém »selském právu« německá národně socialistické strana dělnická, s řešením celkem stejných úkolů v n</w:t>
      </w:r>
      <w:r>
        <w:t>ašem státě Tím více jest vitati práci Milero- vu, v níž se autor po prvé zabý</w:t>
      </w:r>
      <w:r>
        <w:softHyphen/>
        <w:t>vá líčením zemědělských pomě</w:t>
      </w:r>
      <w:r>
        <w:softHyphen/>
        <w:t>rů německých soustavně a vedle stránky právní, všímá si i důvo</w:t>
      </w:r>
      <w:r>
        <w:softHyphen/>
        <w:t>dů hospodářských a politických. Je to dobrá, informativní studie, v níž s naprostou ob</w:t>
      </w:r>
      <w:r>
        <w:t>jektivností a způsobem čtenáři přístupným, jsou vylíčeny všechny otázky, týkající se »Ríšského stavu vý- živy« — od všeobecného popisu až do speciálních otázek země</w:t>
      </w:r>
      <w:r>
        <w:softHyphen/>
        <w:t>dělského oddlužení a úvěru. Na</w:t>
      </w:r>
      <w:r>
        <w:softHyphen/>
        <w:t>kladatelství L. Mazáč, cena brož výtisku K 20.—.</w:t>
      </w:r>
    </w:p>
    <w:p w:rsidR="00500724" w:rsidRDefault="00F30FB8">
      <w:pPr>
        <w:pStyle w:val="Zkladntext90"/>
        <w:shd w:val="clear" w:color="auto" w:fill="auto"/>
        <w:spacing w:line="214" w:lineRule="auto"/>
        <w:ind w:firstLine="0"/>
      </w:pPr>
      <w:r>
        <w:t xml:space="preserve">| </w:t>
      </w:r>
      <w:r>
        <w:t>osmnáctiletý. Byl štíhlý, skoro hubený, s černýma, jiskrnýma očima. Vzpomněl jsem si: ano. přišel sem v lehkém svrchníčku. na prosinec příliš lehkém svrch</w:t>
      </w:r>
      <w:r>
        <w:softHyphen/>
        <w:t>níčku. Změřil jsem rychlým po</w:t>
      </w:r>
      <w:r>
        <w:softHyphen/>
        <w:t>hledem jeho tvář. Byla pravidel</w:t>
      </w:r>
      <w:r>
        <w:softHyphen/>
        <w:t>ných. jemných rysů. Jeho tmavé oči hled</w:t>
      </w:r>
      <w:r>
        <w:t>ěly na mne čile a inteli</w:t>
      </w:r>
      <w:r>
        <w:softHyphen/>
        <w:t>gentně.</w:t>
      </w:r>
    </w:p>
    <w:p w:rsidR="00500724" w:rsidRDefault="00F30FB8">
      <w:pPr>
        <w:pStyle w:val="Zkladntext90"/>
        <w:shd w:val="clear" w:color="auto" w:fill="auto"/>
        <w:spacing w:line="214" w:lineRule="auto"/>
        <w:ind w:firstLine="220"/>
      </w:pPr>
      <w:r>
        <w:t>Probral jsem se ze své únavy. Zprotivilo se mi seděti. Vyšel jsem na chodbu ven. Hleděl jsem ven. jako bych mohl něco uvidětl: neuviděl jsem však nežli čirou tmu.</w:t>
      </w:r>
    </w:p>
    <w:p w:rsidR="00500724" w:rsidRDefault="00F30FB8">
      <w:pPr>
        <w:pStyle w:val="Zkladntext90"/>
        <w:shd w:val="clear" w:color="auto" w:fill="auto"/>
        <w:spacing w:line="214" w:lineRule="auto"/>
        <w:ind w:firstLine="220"/>
      </w:pPr>
      <w:r>
        <w:t>Přemýšlel jsem. Pracoval jsem tehdy na »Poslu«. Nikdy vás ne</w:t>
      </w:r>
      <w:r>
        <w:softHyphen/>
        <w:t>napadají tak podivné myšlenky jako v pozdních hodinách noční jízdy.</w:t>
      </w:r>
    </w:p>
    <w:p w:rsidR="00500724" w:rsidRDefault="00F30FB8">
      <w:pPr>
        <w:pStyle w:val="Zkladntext90"/>
        <w:shd w:val="clear" w:color="auto" w:fill="auto"/>
        <w:spacing w:line="211" w:lineRule="auto"/>
        <w:ind w:firstLine="220"/>
      </w:pPr>
      <w:r>
        <w:t>Trhnutí vozu málem že poruši</w:t>
      </w:r>
      <w:r>
        <w:softHyphen/>
        <w:t>lo mou rovnováhu. Zavadil jsem o kohosi. Byl to hoch. kterého jsem pozoroval v kupé. Omluvili jsme se současně. Omluví-li se dva lidé současně, jsou zpravidla</w:t>
      </w:r>
      <w:r>
        <w:t xml:space="preserve"> Češi.</w:t>
      </w:r>
    </w:p>
    <w:p w:rsidR="00500724" w:rsidRDefault="00F30FB8">
      <w:pPr>
        <w:pStyle w:val="Zkladntext90"/>
        <w:shd w:val="clear" w:color="auto" w:fill="auto"/>
        <w:spacing w:line="211" w:lineRule="auto"/>
        <w:ind w:firstLine="220"/>
        <w:sectPr w:rsidR="00500724">
          <w:footnotePr>
            <w:numFmt w:val="chicago"/>
            <w:numRestart w:val="eachPage"/>
          </w:footnotePr>
          <w:type w:val="continuous"/>
          <w:pgSz w:w="11909" w:h="16834"/>
          <w:pgMar w:top="1304" w:right="556" w:bottom="197" w:left="958" w:header="0" w:footer="3" w:gutter="0"/>
          <w:cols w:num="4" w:sep="1" w:space="100"/>
          <w:noEndnote/>
          <w:docGrid w:linePitch="360"/>
        </w:sectPr>
      </w:pPr>
      <w:r>
        <w:t>Hoch pohlédl na mne. Výraz jeho tváří, trochu napjatý v kupé.</w:t>
      </w:r>
    </w:p>
    <w:p w:rsidR="00500724" w:rsidRDefault="00F30FB8">
      <w:pPr>
        <w:pStyle w:val="Zkladntext30"/>
        <w:framePr w:w="2650" w:h="10565" w:wrap="around" w:vAnchor="text" w:hAnchor="page" w:x="207" w:y="937"/>
        <w:shd w:val="clear" w:color="auto" w:fill="auto"/>
        <w:spacing w:line="180" w:lineRule="auto"/>
        <w:ind w:firstLine="0"/>
        <w:jc w:val="left"/>
        <w:rPr>
          <w:sz w:val="20"/>
          <w:szCs w:val="20"/>
        </w:rPr>
      </w:pPr>
      <w:r>
        <w:rPr>
          <w:i/>
          <w:iCs/>
          <w:sz w:val="20"/>
          <w:szCs w:val="20"/>
          <w:lang w:val="en-US" w:eastAsia="en-US" w:bidi="en-US"/>
        </w:rPr>
        <w:t>Maurice Martin du Gar d:</w:t>
      </w:r>
    </w:p>
    <w:p w:rsidR="00500724" w:rsidRDefault="00F30FB8">
      <w:pPr>
        <w:pStyle w:val="Zkladntext100"/>
        <w:framePr w:w="2650" w:h="10565" w:wrap="around" w:vAnchor="text" w:hAnchor="page" w:x="207" w:y="937"/>
        <w:shd w:val="clear" w:color="auto" w:fill="auto"/>
        <w:spacing w:after="100" w:line="151" w:lineRule="auto"/>
        <w:ind w:firstLine="0"/>
        <w:jc w:val="left"/>
      </w:pPr>
      <w:r>
        <w:rPr>
          <w:b/>
          <w:bCs/>
          <w:i/>
          <w:iCs/>
          <w:lang w:val="en-US" w:eastAsia="en-US" w:bidi="en-US"/>
        </w:rPr>
        <w:t xml:space="preserve">Dola, </w:t>
      </w:r>
      <w:r>
        <w:rPr>
          <w:b/>
          <w:bCs/>
          <w:i/>
          <w:iCs/>
        </w:rPr>
        <w:t>v niž žijeme</w:t>
      </w:r>
    </w:p>
    <w:p w:rsidR="00500724" w:rsidRDefault="00F30FB8">
      <w:pPr>
        <w:pStyle w:val="Zkladntext100"/>
        <w:framePr w:w="2650" w:h="10565" w:wrap="around" w:vAnchor="text" w:hAnchor="page" w:x="207" w:y="937"/>
        <w:shd w:val="clear" w:color="auto" w:fill="auto"/>
        <w:spacing w:after="40" w:line="151" w:lineRule="auto"/>
        <w:ind w:left="580" w:firstLine="180"/>
      </w:pPr>
      <w:r>
        <w:t xml:space="preserve">V </w:t>
      </w:r>
      <w:r>
        <w:rPr>
          <w:lang w:val="en-US" w:eastAsia="en-US" w:bidi="en-US"/>
        </w:rPr>
        <w:t xml:space="preserve">Nouvelles Litteraires </w:t>
      </w:r>
      <w:r>
        <w:t xml:space="preserve">byl otisknut tento referát o Čapkově hře »Matka&lt;, (která pod názvem </w:t>
      </w:r>
      <w:r>
        <w:rPr>
          <w:lang w:val="en-US" w:eastAsia="en-US" w:bidi="en-US"/>
        </w:rPr>
        <w:t xml:space="preserve">L’epo- que on nous </w:t>
      </w:r>
      <w:r>
        <w:t>vivonst měla v listopadu premiéru v Paříži), který Je příznač</w:t>
      </w:r>
      <w:r>
        <w:softHyphen/>
        <w:t>ný pro rozpaky některých francouzských kulturních lidi</w:t>
      </w:r>
    </w:p>
    <w:p w:rsidR="00500724" w:rsidRDefault="00F30FB8">
      <w:pPr>
        <w:pStyle w:val="Zkladntext30"/>
        <w:framePr w:w="2650" w:h="10565" w:wrap="around" w:vAnchor="text" w:hAnchor="page" w:x="207" w:y="937"/>
        <w:shd w:val="clear" w:color="auto" w:fill="auto"/>
        <w:spacing w:after="0" w:line="180" w:lineRule="auto"/>
        <w:rPr>
          <w:sz w:val="20"/>
          <w:szCs w:val="20"/>
        </w:rPr>
      </w:pPr>
      <w:r>
        <w:rPr>
          <w:i/>
          <w:iCs/>
          <w:sz w:val="20"/>
          <w:szCs w:val="20"/>
        </w:rPr>
        <w:t>Jde věru o vzrušující kus, který hraje divadlo Rideau de Paris; dobová tíživost hry ji činí však tragickou a té</w:t>
      </w:r>
      <w:r>
        <w:rPr>
          <w:i/>
          <w:iCs/>
          <w:sz w:val="20"/>
          <w:szCs w:val="20"/>
        </w:rPr>
        <w:softHyphen/>
        <w:t>měř neunesitelnou. Autorova</w:t>
      </w:r>
      <w:r>
        <w:rPr>
          <w:i/>
          <w:iCs/>
          <w:sz w:val="20"/>
          <w:szCs w:val="20"/>
        </w:rPr>
        <w:t xml:space="preserve"> osobnost, nejskvělejšího to pražského essayisty, může dokonce u citlivých diváků vzbudit pocity blízké výčit</w:t>
      </w:r>
      <w:r>
        <w:rPr>
          <w:i/>
          <w:iCs/>
          <w:sz w:val="20"/>
          <w:szCs w:val="20"/>
        </w:rPr>
        <w:softHyphen/>
        <w:t>kám ... »Doba, v niž žijemec svědčí o zneklidnění, jež se zmocnilo nakonec i spisova</w:t>
      </w:r>
      <w:r>
        <w:rPr>
          <w:i/>
          <w:iCs/>
          <w:sz w:val="20"/>
          <w:szCs w:val="20"/>
        </w:rPr>
        <w:softHyphen/>
        <w:t>tele, který se zdál být jako stvořen k uměni živé kroni</w:t>
      </w:r>
      <w:r>
        <w:rPr>
          <w:i/>
          <w:iCs/>
          <w:sz w:val="20"/>
          <w:szCs w:val="20"/>
        </w:rPr>
        <w:softHyphen/>
        <w:t>ky, v</w:t>
      </w:r>
      <w:r>
        <w:rPr>
          <w:i/>
          <w:iCs/>
          <w:sz w:val="20"/>
          <w:szCs w:val="20"/>
        </w:rPr>
        <w:t>yhroceného aforismu, zábavného a jasnozřivého ces</w:t>
      </w:r>
      <w:r>
        <w:rPr>
          <w:i/>
          <w:iCs/>
          <w:sz w:val="20"/>
          <w:szCs w:val="20"/>
        </w:rPr>
        <w:softHyphen/>
        <w:t xml:space="preserve">topisu, spisovatele, který </w:t>
      </w:r>
      <w:r>
        <w:rPr>
          <w:b/>
          <w:bCs/>
          <w:i/>
          <w:iCs/>
          <w:sz w:val="20"/>
          <w:szCs w:val="20"/>
        </w:rPr>
        <w:t xml:space="preserve">v </w:t>
      </w:r>
      <w:r>
        <w:rPr>
          <w:i/>
          <w:iCs/>
          <w:sz w:val="20"/>
          <w:szCs w:val="20"/>
        </w:rPr>
        <w:t>těchto žánrech tak příkladně francouzských, dosáhl mis</w:t>
      </w:r>
      <w:r>
        <w:rPr>
          <w:i/>
          <w:iCs/>
          <w:sz w:val="20"/>
          <w:szCs w:val="20"/>
        </w:rPr>
        <w:softHyphen/>
        <w:t xml:space="preserve">trovství. Není pochyb, že ve svých ^Trapných povídkách* </w:t>
      </w:r>
      <w:r>
        <w:rPr>
          <w:b/>
          <w:bCs/>
          <w:i/>
          <w:iCs/>
          <w:sz w:val="20"/>
          <w:szCs w:val="20"/>
        </w:rPr>
        <w:t xml:space="preserve">z </w:t>
      </w:r>
      <w:r>
        <w:rPr>
          <w:i/>
          <w:iCs/>
          <w:sz w:val="20"/>
          <w:szCs w:val="20"/>
        </w:rPr>
        <w:t>r. 1921 se dotýkal problému podvědomí a věštil určitý druh nihil</w:t>
      </w:r>
      <w:r>
        <w:rPr>
          <w:i/>
          <w:iCs/>
          <w:sz w:val="20"/>
          <w:szCs w:val="20"/>
        </w:rPr>
        <w:t>ismu, což se zdá popírati jeho dílo předchozí; ale *Doba. v níž žijeme* oži</w:t>
      </w:r>
      <w:r>
        <w:rPr>
          <w:i/>
          <w:iCs/>
          <w:sz w:val="20"/>
          <w:szCs w:val="20"/>
        </w:rPr>
        <w:softHyphen/>
        <w:t>vuje na scéně toliko přeludy, prozrazuje hlavně úzkost Karla Čapka, Čecha, který cítí váliti se na svou zemi re</w:t>
      </w:r>
      <w:r>
        <w:rPr>
          <w:i/>
          <w:iCs/>
          <w:sz w:val="20"/>
          <w:szCs w:val="20"/>
        </w:rPr>
        <w:softHyphen/>
        <w:t>voluci, válku, rozděleni a roz</w:t>
      </w:r>
      <w:r>
        <w:rPr>
          <w:i/>
          <w:iCs/>
          <w:sz w:val="20"/>
          <w:szCs w:val="20"/>
        </w:rPr>
        <w:softHyphen/>
        <w:t>trháni.</w:t>
      </w:r>
    </w:p>
    <w:p w:rsidR="00500724" w:rsidRDefault="00F30FB8">
      <w:pPr>
        <w:pStyle w:val="Zkladntext30"/>
        <w:framePr w:w="2650" w:h="10565" w:wrap="around" w:vAnchor="text" w:hAnchor="page" w:x="207" w:y="937"/>
        <w:shd w:val="clear" w:color="auto" w:fill="auto"/>
        <w:spacing w:line="180" w:lineRule="auto"/>
        <w:rPr>
          <w:sz w:val="20"/>
          <w:szCs w:val="20"/>
        </w:rPr>
      </w:pPr>
      <w:r>
        <w:rPr>
          <w:i/>
          <w:iCs/>
          <w:sz w:val="20"/>
          <w:szCs w:val="20"/>
        </w:rPr>
        <w:t>Vraceje se kolem září z Ka</w:t>
      </w:r>
      <w:r>
        <w:rPr>
          <w:i/>
          <w:iCs/>
          <w:sz w:val="20"/>
          <w:szCs w:val="20"/>
        </w:rPr>
        <w:softHyphen/>
      </w:r>
      <w:r>
        <w:rPr>
          <w:i/>
          <w:iCs/>
          <w:sz w:val="20"/>
          <w:szCs w:val="20"/>
        </w:rPr>
        <w:t>merunu, uprostřed Oceánu, po celé délce nekonečného afrického pobřeží chytal jsem horečně všechny radiové sta</w:t>
      </w:r>
      <w:r>
        <w:rPr>
          <w:i/>
          <w:iCs/>
          <w:sz w:val="20"/>
          <w:szCs w:val="20"/>
        </w:rPr>
        <w:softHyphen/>
        <w:t xml:space="preserve">nice světa a přivolával jsem </w:t>
      </w:r>
      <w:r>
        <w:rPr>
          <w:b/>
          <w:bCs/>
          <w:sz w:val="19"/>
          <w:szCs w:val="19"/>
        </w:rPr>
        <w:t xml:space="preserve">si </w:t>
      </w:r>
      <w:r>
        <w:rPr>
          <w:i/>
          <w:iCs/>
          <w:sz w:val="20"/>
          <w:szCs w:val="20"/>
        </w:rPr>
        <w:t>Prahu a všechny naše přá</w:t>
      </w:r>
      <w:r>
        <w:rPr>
          <w:i/>
          <w:iCs/>
          <w:sz w:val="20"/>
          <w:szCs w:val="20"/>
        </w:rPr>
        <w:softHyphen/>
        <w:t>tele v opuštění; znovu jsem viděl Karla Čapka v jeho Li</w:t>
      </w:r>
      <w:r>
        <w:rPr>
          <w:i/>
          <w:iCs/>
          <w:sz w:val="20"/>
          <w:szCs w:val="20"/>
        </w:rPr>
        <w:softHyphen/>
        <w:t xml:space="preserve">dových Novinách. Tehdy před </w:t>
      </w:r>
      <w:r>
        <w:rPr>
          <w:i/>
          <w:iCs/>
          <w:sz w:val="20"/>
          <w:szCs w:val="20"/>
        </w:rPr>
        <w:t>desíti lety byl mír, svo</w:t>
      </w:r>
      <w:r>
        <w:rPr>
          <w:i/>
          <w:iCs/>
          <w:sz w:val="20"/>
          <w:szCs w:val="20"/>
        </w:rPr>
        <w:softHyphen/>
        <w:t>boda. Karel Čapek tehdy psal články pro noviny a uto</w:t>
      </w:r>
      <w:r>
        <w:rPr>
          <w:i/>
          <w:iCs/>
          <w:sz w:val="20"/>
          <w:szCs w:val="20"/>
        </w:rPr>
        <w:softHyphen/>
        <w:t>pie pro divadlo. Jeho bratr Josef</w:t>
      </w:r>
      <w:r>
        <w:rPr>
          <w:b/>
          <w:bCs/>
          <w:sz w:val="19"/>
          <w:szCs w:val="19"/>
        </w:rPr>
        <w:t xml:space="preserve"> v </w:t>
      </w:r>
      <w:r>
        <w:rPr>
          <w:i/>
          <w:iCs/>
          <w:sz w:val="20"/>
          <w:szCs w:val="20"/>
        </w:rPr>
        <w:t>témže listě obstará</w:t>
      </w:r>
      <w:r>
        <w:rPr>
          <w:i/>
          <w:iCs/>
          <w:sz w:val="20"/>
          <w:szCs w:val="20"/>
        </w:rPr>
        <w:softHyphen/>
        <w:t>val výtvarnou kritiku, kres</w:t>
      </w:r>
      <w:r>
        <w:rPr>
          <w:i/>
          <w:iCs/>
          <w:sz w:val="20"/>
          <w:szCs w:val="20"/>
        </w:rPr>
        <w:softHyphen/>
        <w:t>lil a maloval rozkošné obálky na knihy své vlastní i svých</w:t>
      </w:r>
    </w:p>
    <w:p w:rsidR="00500724" w:rsidRDefault="00F30FB8">
      <w:pPr>
        <w:spacing w:line="14" w:lineRule="exact"/>
      </w:pPr>
      <w:r>
        <w:rPr>
          <w:noProof/>
        </w:rPr>
        <mc:AlternateContent>
          <mc:Choice Requires="wps">
            <w:drawing>
              <wp:anchor distT="0" distB="88900" distL="114300" distR="114300" simplePos="0" relativeHeight="125829616" behindDoc="0" locked="0" layoutInCell="1" allowOverlap="1">
                <wp:simplePos x="0" y="0"/>
                <wp:positionH relativeFrom="page">
                  <wp:posOffset>1036320</wp:posOffset>
                </wp:positionH>
                <wp:positionV relativeFrom="paragraph">
                  <wp:posOffset>12700</wp:posOffset>
                </wp:positionV>
                <wp:extent cx="1576070" cy="43561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1576070" cy="435610"/>
                        </a:xfrm>
                        <a:prstGeom prst="rect">
                          <a:avLst/>
                        </a:prstGeom>
                        <a:noFill/>
                      </wps:spPr>
                      <wps:txbx>
                        <w:txbxContent>
                          <w:p w:rsidR="00500724" w:rsidRDefault="00F30FB8">
                            <w:pPr>
                              <w:pStyle w:val="Jin0"/>
                              <w:shd w:val="clear" w:color="auto" w:fill="auto"/>
                              <w:ind w:firstLine="0"/>
                              <w:jc w:val="left"/>
                            </w:pPr>
                            <w:r>
                              <w:rPr>
                                <w:rFonts w:ascii="Courier New" w:eastAsia="Courier New" w:hAnsi="Courier New" w:cs="Courier New"/>
                                <w:b/>
                                <w:bCs/>
                              </w:rPr>
                              <w:t>Když hrozí chřipka, chrání Vás A</w:t>
                            </w:r>
                            <w:r>
                              <w:rPr>
                                <w:rFonts w:ascii="Courier New" w:eastAsia="Courier New" w:hAnsi="Courier New" w:cs="Courier New"/>
                                <w:b/>
                                <w:bCs/>
                              </w:rPr>
                              <w:t>NGINOLKY Tažte se svého lékaře</w:t>
                            </w:r>
                          </w:p>
                        </w:txbxContent>
                      </wps:txbx>
                      <wps:bodyPr lIns="0" tIns="0" rIns="0" bIns="0">
                        <a:spAutoFit/>
                      </wps:bodyPr>
                    </wps:wsp>
                  </a:graphicData>
                </a:graphic>
              </wp:anchor>
            </w:drawing>
          </mc:Choice>
          <mc:Fallback>
            <w:pict>
              <v:shape id="_x0000_s1265" type="#_x0000_t202" style="position:absolute;margin-left:81.599999999999994pt;margin-top:1.pt;width:124.09999999999999pt;height:34.299999999999997pt;z-index:-125829137;mso-wrap-distance-left:9.pt;mso-wrap-distance-right:9.pt;mso-wrap-distance-bottom:7.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Courier New" w:eastAsia="Courier New" w:hAnsi="Courier New" w:cs="Courier New"/>
                          <w:b/>
                          <w:bCs/>
                          <w:color w:val="000000"/>
                          <w:spacing w:val="0"/>
                          <w:w w:val="100"/>
                          <w:position w:val="0"/>
                          <w:sz w:val="19"/>
                          <w:szCs w:val="19"/>
                          <w:shd w:val="clear" w:color="auto" w:fill="auto"/>
                          <w:lang w:val="cs-CZ" w:eastAsia="cs-CZ" w:bidi="cs-CZ"/>
                        </w:rPr>
                        <w:t>Když hrozí chřipka, chrání Vás ANGINOLKY Tažte se svého lékaře</w:t>
                      </w:r>
                    </w:p>
                  </w:txbxContent>
                </v:textbox>
                <w10:wrap type="topAndBottom" anchorx="page"/>
              </v:shape>
            </w:pict>
          </mc:Fallback>
        </mc:AlternateContent>
      </w:r>
      <w:r>
        <w:rPr>
          <w:noProof/>
        </w:rPr>
        <mc:AlternateContent>
          <mc:Choice Requires="wps">
            <w:drawing>
              <wp:anchor distT="1982470" distB="88900" distL="76200" distR="76200" simplePos="0" relativeHeight="125829618" behindDoc="0" locked="0" layoutInCell="1" allowOverlap="1">
                <wp:simplePos x="0" y="0"/>
                <wp:positionH relativeFrom="page">
                  <wp:posOffset>3681730</wp:posOffset>
                </wp:positionH>
                <wp:positionV relativeFrom="paragraph">
                  <wp:posOffset>2011680</wp:posOffset>
                </wp:positionV>
                <wp:extent cx="3084830" cy="81978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3084830" cy="819785"/>
                        </a:xfrm>
                        <a:prstGeom prst="rect">
                          <a:avLst/>
                        </a:prstGeom>
                        <a:noFill/>
                      </wps:spPr>
                      <wps:txbx>
                        <w:txbxContent>
                          <w:p w:rsidR="00500724" w:rsidRDefault="00F30FB8">
                            <w:pPr>
                              <w:pStyle w:val="Zkladntext100"/>
                              <w:shd w:val="clear" w:color="auto" w:fill="auto"/>
                              <w:spacing w:line="151" w:lineRule="auto"/>
                              <w:ind w:left="420" w:hanging="140"/>
                              <w:jc w:val="left"/>
                            </w:pPr>
                            <w:r>
                              <w:rPr>
                                <w:lang w:val="en-US" w:eastAsia="en-US" w:bidi="en-US"/>
                              </w:rPr>
                              <w:t>WISKEMANN Elizabeth: Czechs and Germans.</w:t>
                            </w:r>
                          </w:p>
                          <w:p w:rsidR="00500724" w:rsidRDefault="00F30FB8">
                            <w:pPr>
                              <w:pStyle w:val="Zkladntext100"/>
                              <w:shd w:val="clear" w:color="auto" w:fill="auto"/>
                              <w:tabs>
                                <w:tab w:val="left" w:leader="dot" w:pos="3665"/>
                              </w:tabs>
                              <w:spacing w:line="151" w:lineRule="auto"/>
                              <w:ind w:left="420" w:firstLine="0"/>
                            </w:pPr>
                            <w:r>
                              <w:rPr>
                                <w:lang w:val="en-US" w:eastAsia="en-US" w:bidi="en-US"/>
                              </w:rPr>
                              <w:t xml:space="preserve">22X14.5 cm, 299 str.. 3 </w:t>
                            </w:r>
                            <w:r>
                              <w:t xml:space="preserve">mapy </w:t>
                            </w:r>
                            <w:r>
                              <w:rPr>
                                <w:lang w:val="en-US" w:eastAsia="en-US" w:bidi="en-US"/>
                              </w:rPr>
                              <w:t>CSR</w:t>
                            </w:r>
                            <w:r>
                              <w:rPr>
                                <w:lang w:val="en-US" w:eastAsia="en-US" w:bidi="en-US"/>
                              </w:rPr>
                              <w:tab/>
                            </w:r>
                            <w:r>
                              <w:t xml:space="preserve">váz. </w:t>
                            </w:r>
                            <w:r>
                              <w:rPr>
                                <w:lang w:val="en-US" w:eastAsia="en-US" w:bidi="en-US"/>
                              </w:rPr>
                              <w:t>K 100.—</w:t>
                            </w:r>
                          </w:p>
                          <w:p w:rsidR="00500724" w:rsidRDefault="00F30FB8">
                            <w:pPr>
                              <w:pStyle w:val="Zkladntext100"/>
                              <w:shd w:val="clear" w:color="auto" w:fill="auto"/>
                              <w:spacing w:line="151" w:lineRule="auto"/>
                              <w:ind w:left="420" w:hanging="140"/>
                              <w:jc w:val="left"/>
                            </w:pPr>
                            <w:r>
                              <w:rPr>
                                <w:lang w:val="en-US" w:eastAsia="en-US" w:bidi="en-US"/>
                              </w:rPr>
                              <w:t xml:space="preserve">DEGON Madeleine: Le </w:t>
                            </w:r>
                            <w:r>
                              <w:t xml:space="preserve">crédlt </w:t>
                            </w:r>
                            <w:r>
                              <w:rPr>
                                <w:lang w:val="en-US" w:eastAsia="en-US" w:bidi="en-US"/>
                              </w:rPr>
                              <w:t xml:space="preserve">agricole. Sources, formes, </w:t>
                            </w:r>
                            <w:r>
                              <w:t xml:space="preserve">caractěres, </w:t>
                            </w:r>
                            <w:r>
                              <w:rPr>
                                <w:lang w:val="en-US" w:eastAsia="en-US" w:bidi="en-US"/>
                              </w:rPr>
                              <w:t>Fonctionnement en France et dans les principaux pays. 25 X 15.5 cm, 2</w:t>
                            </w:r>
                            <w:r>
                              <w:rPr>
                                <w:lang w:val="en-US" w:eastAsia="en-US" w:bidi="en-US"/>
                              </w:rPr>
                              <w:t>78 str.. K 50.—</w:t>
                            </w:r>
                          </w:p>
                          <w:p w:rsidR="00500724" w:rsidRDefault="00F30FB8">
                            <w:pPr>
                              <w:pStyle w:val="Zkladntext100"/>
                              <w:shd w:val="clear" w:color="auto" w:fill="auto"/>
                              <w:spacing w:line="202" w:lineRule="auto"/>
                              <w:ind w:firstLine="0"/>
                              <w:jc w:val="left"/>
                            </w:pPr>
                            <w:r>
                              <w:rPr>
                                <w:b/>
                                <w:bCs/>
                                <w:sz w:val="20"/>
                                <w:szCs w:val="20"/>
                                <w:lang w:val="en-US" w:eastAsia="en-US" w:bidi="en-US"/>
                              </w:rPr>
                              <w:t xml:space="preserve">F. </w:t>
                            </w:r>
                            <w:r>
                              <w:rPr>
                                <w:b/>
                                <w:bCs/>
                                <w:sz w:val="20"/>
                                <w:szCs w:val="20"/>
                              </w:rPr>
                              <w:t xml:space="preserve">Topič, </w:t>
                            </w:r>
                            <w:r>
                              <w:t xml:space="preserve">knihkupectví, </w:t>
                            </w:r>
                            <w:r>
                              <w:rPr>
                                <w:lang w:val="en-US" w:eastAsia="en-US" w:bidi="en-US"/>
                              </w:rPr>
                              <w:t xml:space="preserve">Praha I., </w:t>
                            </w:r>
                            <w:r>
                              <w:t xml:space="preserve">Národní </w:t>
                            </w:r>
                            <w:r>
                              <w:rPr>
                                <w:lang w:val="en-US" w:eastAsia="en-US" w:bidi="en-US"/>
                              </w:rPr>
                              <w:t xml:space="preserve">XI, </w:t>
                            </w:r>
                            <w:r>
                              <w:rPr>
                                <w:b/>
                                <w:bCs/>
                                <w:sz w:val="20"/>
                                <w:szCs w:val="20"/>
                                <w:lang w:val="en-US" w:eastAsia="en-US" w:bidi="en-US"/>
                              </w:rPr>
                              <w:t xml:space="preserve">a Fr. </w:t>
                            </w:r>
                            <w:r>
                              <w:rPr>
                                <w:b/>
                                <w:bCs/>
                                <w:sz w:val="20"/>
                                <w:szCs w:val="20"/>
                              </w:rPr>
                              <w:t xml:space="preserve">Borový, </w:t>
                            </w:r>
                            <w:r>
                              <w:t xml:space="preserve">akademické knihkupectvo, </w:t>
                            </w:r>
                            <w:r>
                              <w:rPr>
                                <w:lang w:val="en-US" w:eastAsia="en-US" w:bidi="en-US"/>
                              </w:rPr>
                              <w:t>Bratislava,</w:t>
                            </w:r>
                          </w:p>
                          <w:p w:rsidR="00500724" w:rsidRDefault="00F30FB8">
                            <w:pPr>
                              <w:pStyle w:val="Zkladntext100"/>
                              <w:shd w:val="clear" w:color="auto" w:fill="auto"/>
                              <w:spacing w:line="223" w:lineRule="auto"/>
                              <w:ind w:firstLine="0"/>
                              <w:jc w:val="right"/>
                            </w:pPr>
                            <w:r>
                              <w:t xml:space="preserve">Dunajská </w:t>
                            </w:r>
                            <w:r>
                              <w:rPr>
                                <w:lang w:val="en-US" w:eastAsia="en-US" w:bidi="en-US"/>
                              </w:rPr>
                              <w:t>21.</w:t>
                            </w:r>
                          </w:p>
                        </w:txbxContent>
                      </wps:txbx>
                      <wps:bodyPr lIns="0" tIns="0" rIns="0" bIns="0">
                        <a:spAutoFit/>
                      </wps:bodyPr>
                    </wps:wsp>
                  </a:graphicData>
                </a:graphic>
              </wp:anchor>
            </w:drawing>
          </mc:Choice>
          <mc:Fallback>
            <w:pict>
              <v:shape id="_x0000_s1267" type="#_x0000_t202" style="position:absolute;margin-left:289.89999999999998pt;margin-top:158.40000000000001pt;width:242.90000000000001pt;height:64.549999999999997pt;z-index:-125829135;mso-wrap-distance-left:6.pt;mso-wrap-distance-top:156.09999999999999pt;mso-wrap-distance-right:6.pt;mso-wrap-distance-bottom:7.pt;mso-position-horizontal-relative:page" filled="f" stroked="f">
                <v:textbox style="mso-fit-shape-to-text:t" inset="0,0,0,0">
                  <w:txbxContent>
                    <w:p>
                      <w:pPr>
                        <w:pStyle w:val="Style344"/>
                        <w:keepNext w:val="0"/>
                        <w:keepLines w:val="0"/>
                        <w:widowControl w:val="0"/>
                        <w:shd w:val="clear" w:color="auto" w:fill="auto"/>
                        <w:bidi w:val="0"/>
                        <w:spacing w:before="0" w:after="0" w:line="151" w:lineRule="auto"/>
                        <w:ind w:left="420" w:right="0" w:hanging="140"/>
                        <w:jc w:val="left"/>
                      </w:pPr>
                      <w:r>
                        <w:rPr>
                          <w:color w:val="000000"/>
                          <w:spacing w:val="0"/>
                          <w:w w:val="100"/>
                          <w:position w:val="0"/>
                          <w:sz w:val="18"/>
                          <w:szCs w:val="18"/>
                          <w:shd w:val="clear" w:color="auto" w:fill="auto"/>
                          <w:lang w:val="en-US" w:eastAsia="en-US" w:bidi="en-US"/>
                        </w:rPr>
                        <w:t>WISKEMANN Elizabeth: Czechs and Germans.</w:t>
                      </w:r>
                    </w:p>
                    <w:p>
                      <w:pPr>
                        <w:pStyle w:val="Style344"/>
                        <w:keepNext w:val="0"/>
                        <w:keepLines w:val="0"/>
                        <w:widowControl w:val="0"/>
                        <w:shd w:val="clear" w:color="auto" w:fill="auto"/>
                        <w:tabs>
                          <w:tab w:leader="dot" w:pos="3665" w:val="left"/>
                        </w:tabs>
                        <w:bidi w:val="0"/>
                        <w:spacing w:before="0" w:after="0" w:line="151" w:lineRule="auto"/>
                        <w:ind w:left="420" w:right="0" w:firstLine="0"/>
                      </w:pPr>
                      <w:r>
                        <w:rPr>
                          <w:color w:val="000000"/>
                          <w:spacing w:val="0"/>
                          <w:w w:val="100"/>
                          <w:position w:val="0"/>
                          <w:sz w:val="18"/>
                          <w:szCs w:val="18"/>
                          <w:shd w:val="clear" w:color="auto" w:fill="auto"/>
                          <w:lang w:val="en-US" w:eastAsia="en-US" w:bidi="en-US"/>
                        </w:rPr>
                        <w:t xml:space="preserve">22X14.5 cm, 299 str.. 3 </w:t>
                      </w:r>
                      <w:r>
                        <w:rPr>
                          <w:color w:val="000000"/>
                          <w:spacing w:val="0"/>
                          <w:w w:val="100"/>
                          <w:position w:val="0"/>
                          <w:sz w:val="18"/>
                          <w:szCs w:val="18"/>
                          <w:shd w:val="clear" w:color="auto" w:fill="auto"/>
                          <w:lang w:val="cs-CZ" w:eastAsia="cs-CZ" w:bidi="cs-CZ"/>
                        </w:rPr>
                        <w:t xml:space="preserve">mapy </w:t>
                      </w:r>
                      <w:r>
                        <w:rPr>
                          <w:color w:val="000000"/>
                          <w:spacing w:val="0"/>
                          <w:w w:val="100"/>
                          <w:position w:val="0"/>
                          <w:sz w:val="18"/>
                          <w:szCs w:val="18"/>
                          <w:shd w:val="clear" w:color="auto" w:fill="auto"/>
                          <w:lang w:val="en-US" w:eastAsia="en-US" w:bidi="en-US"/>
                        </w:rPr>
                        <w:t>CSR</w:t>
                        <w:tab/>
                      </w:r>
                      <w:r>
                        <w:rPr>
                          <w:color w:val="000000"/>
                          <w:spacing w:val="0"/>
                          <w:w w:val="100"/>
                          <w:position w:val="0"/>
                          <w:sz w:val="18"/>
                          <w:szCs w:val="18"/>
                          <w:shd w:val="clear" w:color="auto" w:fill="auto"/>
                          <w:lang w:val="cs-CZ" w:eastAsia="cs-CZ" w:bidi="cs-CZ"/>
                        </w:rPr>
                        <w:t xml:space="preserve">váz. </w:t>
                      </w:r>
                      <w:r>
                        <w:rPr>
                          <w:color w:val="000000"/>
                          <w:spacing w:val="0"/>
                          <w:w w:val="100"/>
                          <w:position w:val="0"/>
                          <w:sz w:val="18"/>
                          <w:szCs w:val="18"/>
                          <w:shd w:val="clear" w:color="auto" w:fill="auto"/>
                          <w:lang w:val="en-US" w:eastAsia="en-US" w:bidi="en-US"/>
                        </w:rPr>
                        <w:t>K 100.—</w:t>
                      </w:r>
                    </w:p>
                    <w:p>
                      <w:pPr>
                        <w:pStyle w:val="Style344"/>
                        <w:keepNext w:val="0"/>
                        <w:keepLines w:val="0"/>
                        <w:widowControl w:val="0"/>
                        <w:shd w:val="clear" w:color="auto" w:fill="auto"/>
                        <w:bidi w:val="0"/>
                        <w:spacing w:before="0" w:after="0" w:line="151" w:lineRule="auto"/>
                        <w:ind w:left="420" w:right="0" w:hanging="140"/>
                        <w:jc w:val="left"/>
                      </w:pPr>
                      <w:r>
                        <w:rPr>
                          <w:color w:val="000000"/>
                          <w:spacing w:val="0"/>
                          <w:w w:val="100"/>
                          <w:position w:val="0"/>
                          <w:sz w:val="18"/>
                          <w:szCs w:val="18"/>
                          <w:shd w:val="clear" w:color="auto" w:fill="auto"/>
                          <w:lang w:val="en-US" w:eastAsia="en-US" w:bidi="en-US"/>
                        </w:rPr>
                        <w:t xml:space="preserve">DEGON Madeleine: Le </w:t>
                      </w:r>
                      <w:r>
                        <w:rPr>
                          <w:color w:val="000000"/>
                          <w:spacing w:val="0"/>
                          <w:w w:val="100"/>
                          <w:position w:val="0"/>
                          <w:sz w:val="18"/>
                          <w:szCs w:val="18"/>
                          <w:shd w:val="clear" w:color="auto" w:fill="auto"/>
                          <w:lang w:val="cs-CZ" w:eastAsia="cs-CZ" w:bidi="cs-CZ"/>
                        </w:rPr>
                        <w:t xml:space="preserve">crédlt </w:t>
                      </w:r>
                      <w:r>
                        <w:rPr>
                          <w:color w:val="000000"/>
                          <w:spacing w:val="0"/>
                          <w:w w:val="100"/>
                          <w:position w:val="0"/>
                          <w:sz w:val="18"/>
                          <w:szCs w:val="18"/>
                          <w:shd w:val="clear" w:color="auto" w:fill="auto"/>
                          <w:lang w:val="en-US" w:eastAsia="en-US" w:bidi="en-US"/>
                        </w:rPr>
                        <w:t xml:space="preserve">agricole. Sources, formes, </w:t>
                      </w:r>
                      <w:r>
                        <w:rPr>
                          <w:color w:val="000000"/>
                          <w:spacing w:val="0"/>
                          <w:w w:val="100"/>
                          <w:position w:val="0"/>
                          <w:sz w:val="18"/>
                          <w:szCs w:val="18"/>
                          <w:shd w:val="clear" w:color="auto" w:fill="auto"/>
                          <w:lang w:val="cs-CZ" w:eastAsia="cs-CZ" w:bidi="cs-CZ"/>
                        </w:rPr>
                        <w:t xml:space="preserve">caractěres, </w:t>
                      </w:r>
                      <w:r>
                        <w:rPr>
                          <w:color w:val="000000"/>
                          <w:spacing w:val="0"/>
                          <w:w w:val="100"/>
                          <w:position w:val="0"/>
                          <w:sz w:val="18"/>
                          <w:szCs w:val="18"/>
                          <w:shd w:val="clear" w:color="auto" w:fill="auto"/>
                          <w:lang w:val="en-US" w:eastAsia="en-US" w:bidi="en-US"/>
                        </w:rPr>
                        <w:t>Fonctionnement en France et dans les principaux pays. 25 X 15.5 cm, 278 str.. K 50.—</w:t>
                      </w:r>
                    </w:p>
                    <w:p>
                      <w:pPr>
                        <w:pStyle w:val="Style344"/>
                        <w:keepNext w:val="0"/>
                        <w:keepLines w:val="0"/>
                        <w:widowControl w:val="0"/>
                        <w:shd w:val="clear" w:color="auto" w:fill="auto"/>
                        <w:bidi w:val="0"/>
                        <w:spacing w:before="0" w:after="0" w:line="202" w:lineRule="auto"/>
                        <w:ind w:left="0" w:right="0" w:firstLine="0"/>
                        <w:jc w:val="left"/>
                      </w:pPr>
                      <w:r>
                        <w:rPr>
                          <w:b/>
                          <w:bCs/>
                          <w:color w:val="000000"/>
                          <w:spacing w:val="0"/>
                          <w:w w:val="100"/>
                          <w:position w:val="0"/>
                          <w:sz w:val="20"/>
                          <w:szCs w:val="20"/>
                          <w:shd w:val="clear" w:color="auto" w:fill="auto"/>
                          <w:lang w:val="en-US" w:eastAsia="en-US" w:bidi="en-US"/>
                        </w:rPr>
                        <w:t xml:space="preserve">F. </w:t>
                      </w:r>
                      <w:r>
                        <w:rPr>
                          <w:b/>
                          <w:bCs/>
                          <w:color w:val="000000"/>
                          <w:spacing w:val="0"/>
                          <w:w w:val="100"/>
                          <w:position w:val="0"/>
                          <w:sz w:val="20"/>
                          <w:szCs w:val="20"/>
                          <w:shd w:val="clear" w:color="auto" w:fill="auto"/>
                          <w:lang w:val="cs-CZ" w:eastAsia="cs-CZ" w:bidi="cs-CZ"/>
                        </w:rPr>
                        <w:t xml:space="preserve">Topič, </w:t>
                      </w:r>
                      <w:r>
                        <w:rPr>
                          <w:color w:val="000000"/>
                          <w:spacing w:val="0"/>
                          <w:w w:val="100"/>
                          <w:position w:val="0"/>
                          <w:sz w:val="18"/>
                          <w:szCs w:val="18"/>
                          <w:shd w:val="clear" w:color="auto" w:fill="auto"/>
                          <w:lang w:val="cs-CZ" w:eastAsia="cs-CZ" w:bidi="cs-CZ"/>
                        </w:rPr>
                        <w:t xml:space="preserve">knihkupectví, </w:t>
                      </w:r>
                      <w:r>
                        <w:rPr>
                          <w:color w:val="000000"/>
                          <w:spacing w:val="0"/>
                          <w:w w:val="100"/>
                          <w:position w:val="0"/>
                          <w:sz w:val="18"/>
                          <w:szCs w:val="18"/>
                          <w:shd w:val="clear" w:color="auto" w:fill="auto"/>
                          <w:lang w:val="en-US" w:eastAsia="en-US" w:bidi="en-US"/>
                        </w:rPr>
                        <w:t xml:space="preserve">Praha I., </w:t>
                      </w:r>
                      <w:r>
                        <w:rPr>
                          <w:color w:val="000000"/>
                          <w:spacing w:val="0"/>
                          <w:w w:val="100"/>
                          <w:position w:val="0"/>
                          <w:sz w:val="18"/>
                          <w:szCs w:val="18"/>
                          <w:shd w:val="clear" w:color="auto" w:fill="auto"/>
                          <w:lang w:val="cs-CZ" w:eastAsia="cs-CZ" w:bidi="cs-CZ"/>
                        </w:rPr>
                        <w:t xml:space="preserve">Národní </w:t>
                      </w:r>
                      <w:r>
                        <w:rPr>
                          <w:color w:val="000000"/>
                          <w:spacing w:val="0"/>
                          <w:w w:val="100"/>
                          <w:position w:val="0"/>
                          <w:sz w:val="18"/>
                          <w:szCs w:val="18"/>
                          <w:shd w:val="clear" w:color="auto" w:fill="auto"/>
                          <w:lang w:val="en-US" w:eastAsia="en-US" w:bidi="en-US"/>
                        </w:rPr>
                        <w:t xml:space="preserve">XI, </w:t>
                      </w:r>
                      <w:r>
                        <w:rPr>
                          <w:b/>
                          <w:bCs/>
                          <w:color w:val="000000"/>
                          <w:spacing w:val="0"/>
                          <w:w w:val="100"/>
                          <w:position w:val="0"/>
                          <w:sz w:val="20"/>
                          <w:szCs w:val="20"/>
                          <w:shd w:val="clear" w:color="auto" w:fill="auto"/>
                          <w:lang w:val="en-US" w:eastAsia="en-US" w:bidi="en-US"/>
                        </w:rPr>
                        <w:t xml:space="preserve">a Fr. </w:t>
                      </w:r>
                      <w:r>
                        <w:rPr>
                          <w:b/>
                          <w:bCs/>
                          <w:color w:val="000000"/>
                          <w:spacing w:val="0"/>
                          <w:w w:val="100"/>
                          <w:position w:val="0"/>
                          <w:sz w:val="20"/>
                          <w:szCs w:val="20"/>
                          <w:shd w:val="clear" w:color="auto" w:fill="auto"/>
                          <w:lang w:val="cs-CZ" w:eastAsia="cs-CZ" w:bidi="cs-CZ"/>
                        </w:rPr>
                        <w:t xml:space="preserve">Borový, </w:t>
                      </w:r>
                      <w:r>
                        <w:rPr>
                          <w:color w:val="000000"/>
                          <w:spacing w:val="0"/>
                          <w:w w:val="100"/>
                          <w:position w:val="0"/>
                          <w:sz w:val="18"/>
                          <w:szCs w:val="18"/>
                          <w:shd w:val="clear" w:color="auto" w:fill="auto"/>
                          <w:lang w:val="cs-CZ" w:eastAsia="cs-CZ" w:bidi="cs-CZ"/>
                        </w:rPr>
                        <w:t xml:space="preserve">akademické knihkupectvo, </w:t>
                      </w:r>
                      <w:r>
                        <w:rPr>
                          <w:color w:val="000000"/>
                          <w:spacing w:val="0"/>
                          <w:w w:val="100"/>
                          <w:position w:val="0"/>
                          <w:sz w:val="18"/>
                          <w:szCs w:val="18"/>
                          <w:shd w:val="clear" w:color="auto" w:fill="auto"/>
                          <w:lang w:val="en-US" w:eastAsia="en-US" w:bidi="en-US"/>
                        </w:rPr>
                        <w:t>Bratislava,</w:t>
                      </w:r>
                    </w:p>
                    <w:p>
                      <w:pPr>
                        <w:pStyle w:val="Style344"/>
                        <w:keepNext w:val="0"/>
                        <w:keepLines w:val="0"/>
                        <w:widowControl w:val="0"/>
                        <w:shd w:val="clear" w:color="auto" w:fill="auto"/>
                        <w:bidi w:val="0"/>
                        <w:spacing w:before="0" w:after="0" w:line="223" w:lineRule="auto"/>
                        <w:ind w:left="0" w:right="0" w:firstLine="0"/>
                        <w:jc w:val="right"/>
                      </w:pPr>
                      <w:r>
                        <w:rPr>
                          <w:color w:val="000000"/>
                          <w:spacing w:val="0"/>
                          <w:w w:val="100"/>
                          <w:position w:val="0"/>
                          <w:sz w:val="18"/>
                          <w:szCs w:val="18"/>
                          <w:shd w:val="clear" w:color="auto" w:fill="auto"/>
                          <w:lang w:val="cs-CZ" w:eastAsia="cs-CZ" w:bidi="cs-CZ"/>
                        </w:rPr>
                        <w:t xml:space="preserve">Dunajská </w:t>
                      </w:r>
                      <w:r>
                        <w:rPr>
                          <w:color w:val="000000"/>
                          <w:spacing w:val="0"/>
                          <w:w w:val="100"/>
                          <w:position w:val="0"/>
                          <w:sz w:val="18"/>
                          <w:szCs w:val="18"/>
                          <w:shd w:val="clear" w:color="auto" w:fill="auto"/>
                          <w:lang w:val="en-US" w:eastAsia="en-US" w:bidi="en-US"/>
                        </w:rPr>
                        <w:t>21.</w:t>
                      </w:r>
                    </w:p>
                  </w:txbxContent>
                </v:textbox>
                <w10:wrap type="topAndBottom" anchorx="page"/>
              </v:shape>
            </w:pict>
          </mc:Fallback>
        </mc:AlternateContent>
      </w:r>
    </w:p>
    <w:p w:rsidR="00500724" w:rsidRDefault="00F30FB8">
      <w:pPr>
        <w:pStyle w:val="Zkladntext30"/>
        <w:shd w:val="clear" w:color="auto" w:fill="auto"/>
        <w:tabs>
          <w:tab w:val="left" w:pos="1795"/>
        </w:tabs>
        <w:spacing w:after="0" w:line="180" w:lineRule="auto"/>
        <w:ind w:firstLine="0"/>
        <w:rPr>
          <w:sz w:val="20"/>
          <w:szCs w:val="20"/>
        </w:rPr>
      </w:pPr>
      <w:r>
        <w:rPr>
          <w:i/>
          <w:iCs/>
          <w:sz w:val="20"/>
          <w:szCs w:val="20"/>
        </w:rPr>
        <w:t>kolegů, jak si vzpomínám. Jo</w:t>
      </w:r>
      <w:r>
        <w:rPr>
          <w:i/>
          <w:iCs/>
          <w:sz w:val="20"/>
          <w:szCs w:val="20"/>
        </w:rPr>
        <w:softHyphen/>
        <w:t>sef byl sentimentálni, Karel ironický, měl zálibu ve Vol- tairovi, Chamfortovi a přiro</w:t>
      </w:r>
      <w:r>
        <w:rPr>
          <w:i/>
          <w:iCs/>
          <w:sz w:val="20"/>
          <w:szCs w:val="20"/>
        </w:rPr>
        <w:softHyphen/>
        <w:t xml:space="preserve">zeně i </w:t>
      </w:r>
      <w:r>
        <w:rPr>
          <w:i/>
          <w:iCs/>
          <w:sz w:val="20"/>
          <w:szCs w:val="20"/>
        </w:rPr>
        <w:t>Masarykovi, jehož myš</w:t>
      </w:r>
      <w:r>
        <w:rPr>
          <w:i/>
          <w:iCs/>
          <w:sz w:val="20"/>
          <w:szCs w:val="20"/>
        </w:rPr>
        <w:softHyphen/>
        <w:t>lenky zachytil v proslavených Hovorech. Jak bylo dobře bloumati pražskými ulicemi, s Rilkovým dopisem v kapse, postávati na výstavách, před- nášeti o Valerym Larbaudo- vi, Berrésovi (Valérym) a za- jiti pak na sklenku vína do Kumanova</w:t>
      </w:r>
      <w:r>
        <w:rPr>
          <w:i/>
          <w:iCs/>
          <w:sz w:val="20"/>
          <w:szCs w:val="20"/>
        </w:rPr>
        <w:t>, kde si Češi hráli na spiklence, nebo naslou- chati písním tam, kde popí</w:t>
      </w:r>
      <w:r>
        <w:rPr>
          <w:i/>
          <w:iCs/>
          <w:sz w:val="20"/>
          <w:szCs w:val="20"/>
        </w:rPr>
        <w:softHyphen/>
        <w:t xml:space="preserve">jel </w:t>
      </w:r>
      <w:r>
        <w:rPr>
          <w:i/>
          <w:iCs/>
          <w:sz w:val="20"/>
          <w:szCs w:val="20"/>
          <w:lang w:val="en-US" w:eastAsia="en-US" w:bidi="en-US"/>
        </w:rPr>
        <w:t xml:space="preserve">Apollinaire; </w:t>
      </w:r>
      <w:r>
        <w:rPr>
          <w:i/>
          <w:iCs/>
          <w:sz w:val="20"/>
          <w:szCs w:val="20"/>
        </w:rPr>
        <w:t>v kursu byl Mozart, který kdysi ve Sta</w:t>
      </w:r>
      <w:r>
        <w:rPr>
          <w:i/>
          <w:iCs/>
          <w:sz w:val="20"/>
          <w:szCs w:val="20"/>
        </w:rPr>
        <w:softHyphen/>
        <w:t xml:space="preserve">vovském divadle řídil svého Dona Juana; </w:t>
      </w:r>
      <w:r>
        <w:rPr>
          <w:i/>
          <w:iCs/>
          <w:sz w:val="20"/>
          <w:szCs w:val="20"/>
          <w:lang w:val="en-US" w:eastAsia="en-US" w:bidi="en-US"/>
        </w:rPr>
        <w:t xml:space="preserve">Descartes </w:t>
      </w:r>
      <w:r>
        <w:rPr>
          <w:i/>
          <w:iCs/>
          <w:sz w:val="20"/>
          <w:szCs w:val="20"/>
        </w:rPr>
        <w:t>a Vauvenargues,</w:t>
      </w:r>
      <w:r>
        <w:rPr>
          <w:i/>
          <w:iCs/>
          <w:sz w:val="20"/>
          <w:szCs w:val="20"/>
        </w:rPr>
        <w:tab/>
      </w:r>
      <w:r>
        <w:rPr>
          <w:i/>
          <w:iCs/>
          <w:sz w:val="20"/>
          <w:szCs w:val="20"/>
          <w:lang w:val="en-US" w:eastAsia="en-US" w:bidi="en-US"/>
        </w:rPr>
        <w:t>Chateau</w:t>
      </w:r>
      <w:r>
        <w:rPr>
          <w:i/>
          <w:iCs/>
          <w:sz w:val="20"/>
          <w:szCs w:val="20"/>
          <w:lang w:val="en-US" w:eastAsia="en-US" w:bidi="en-US"/>
        </w:rPr>
        <w:softHyphen/>
      </w:r>
    </w:p>
    <w:p w:rsidR="00500724" w:rsidRDefault="00F30FB8">
      <w:pPr>
        <w:pStyle w:val="Zkladntext30"/>
        <w:shd w:val="clear" w:color="auto" w:fill="auto"/>
        <w:spacing w:after="0" w:line="180" w:lineRule="auto"/>
        <w:ind w:firstLine="0"/>
        <w:rPr>
          <w:sz w:val="20"/>
          <w:szCs w:val="20"/>
        </w:rPr>
      </w:pPr>
      <w:r>
        <w:rPr>
          <w:i/>
          <w:iCs/>
          <w:sz w:val="20"/>
          <w:szCs w:val="20"/>
          <w:lang w:val="en-US" w:eastAsia="en-US" w:bidi="en-US"/>
        </w:rPr>
        <w:t xml:space="preserve">briand, </w:t>
      </w:r>
      <w:r>
        <w:rPr>
          <w:i/>
          <w:iCs/>
          <w:sz w:val="20"/>
          <w:szCs w:val="20"/>
        </w:rPr>
        <w:t xml:space="preserve">který se sám poslal na vyslanectví do Prahy, Paul </w:t>
      </w:r>
      <w:r>
        <w:rPr>
          <w:i/>
          <w:iCs/>
          <w:sz w:val="20"/>
          <w:szCs w:val="20"/>
          <w:lang w:val="en-US" w:eastAsia="en-US" w:bidi="en-US"/>
        </w:rPr>
        <w:t xml:space="preserve">Claudel, </w:t>
      </w:r>
      <w:r>
        <w:rPr>
          <w:i/>
          <w:iCs/>
          <w:sz w:val="20"/>
          <w:szCs w:val="20"/>
        </w:rPr>
        <w:t>který tu býval kon- sulem. Kolik pošetilostí od těch dob v Evropě. Ano, po</w:t>
      </w:r>
      <w:r>
        <w:rPr>
          <w:i/>
          <w:iCs/>
          <w:sz w:val="20"/>
          <w:szCs w:val="20"/>
        </w:rPr>
        <w:softHyphen/>
        <w:t>šetilost, tak je to dobře. Když jsem se jedinkrát přiblížil k maršálu Fochovi, řekl mi:</w:t>
      </w:r>
    </w:p>
    <w:p w:rsidR="00500724" w:rsidRDefault="00F30FB8">
      <w:pPr>
        <w:pStyle w:val="Zkladntext30"/>
        <w:shd w:val="clear" w:color="auto" w:fill="auto"/>
        <w:spacing w:after="0" w:line="180" w:lineRule="auto"/>
        <w:ind w:firstLine="0"/>
        <w:rPr>
          <w:sz w:val="20"/>
          <w:szCs w:val="20"/>
        </w:rPr>
      </w:pPr>
      <w:r>
        <w:rPr>
          <w:i/>
          <w:iCs/>
          <w:sz w:val="20"/>
          <w:szCs w:val="20"/>
        </w:rPr>
        <w:t>»Nechtěl bych být, mladíku, ve vaš</w:t>
      </w:r>
      <w:r>
        <w:rPr>
          <w:i/>
          <w:iCs/>
          <w:sz w:val="20"/>
          <w:szCs w:val="20"/>
        </w:rPr>
        <w:t>em věku. budete žít v éře hlouposti.« To bylo v ro</w:t>
      </w:r>
      <w:r>
        <w:rPr>
          <w:i/>
          <w:iCs/>
          <w:sz w:val="20"/>
          <w:szCs w:val="20"/>
        </w:rPr>
        <w:softHyphen/>
      </w:r>
      <w:r>
        <w:rPr>
          <w:b/>
          <w:bCs/>
          <w:i/>
          <w:iCs/>
          <w:sz w:val="20"/>
          <w:szCs w:val="20"/>
        </w:rPr>
        <w:t xml:space="preserve">ce </w:t>
      </w:r>
      <w:r>
        <w:rPr>
          <w:i/>
          <w:iCs/>
          <w:sz w:val="20"/>
          <w:szCs w:val="20"/>
        </w:rPr>
        <w:t>1921. Tehdy jsem ho po</w:t>
      </w:r>
      <w:r>
        <w:rPr>
          <w:i/>
          <w:iCs/>
          <w:sz w:val="20"/>
          <w:szCs w:val="20"/>
        </w:rPr>
        <w:softHyphen/>
        <w:t>kládal za starého vojáka: bohužel! Byl prorokem. Ale dosti lítosti, a kdo vi, možná, že brzy vyjdeme z mlhy. V každém případě ztrácíme v Praze čtenáře a bude asi tře</w:t>
      </w:r>
      <w:r>
        <w:rPr>
          <w:i/>
          <w:iCs/>
          <w:sz w:val="20"/>
          <w:szCs w:val="20"/>
        </w:rPr>
        <w:softHyphen/>
        <w:t>ba jednoho st</w:t>
      </w:r>
      <w:r>
        <w:rPr>
          <w:i/>
          <w:iCs/>
          <w:sz w:val="20"/>
          <w:szCs w:val="20"/>
        </w:rPr>
        <w:t>oletí, než je na</w:t>
      </w:r>
      <w:r>
        <w:rPr>
          <w:i/>
          <w:iCs/>
          <w:sz w:val="20"/>
          <w:szCs w:val="20"/>
        </w:rPr>
        <w:softHyphen/>
        <w:t>jdeme znovu. Bylo možno je zachovat. Stačilo střežiti jen lépe politiku našich spojenců a tímto nejlepším způsobem je milovati místo slov a řeč</w:t>
      </w:r>
      <w:r>
        <w:rPr>
          <w:i/>
          <w:iCs/>
          <w:sz w:val="20"/>
          <w:szCs w:val="20"/>
        </w:rPr>
        <w:softHyphen/>
        <w:t>nických projevů. Tak mladý národ mohl ještě dnes mít; hlavu vzhůru... Na neštěstí: naši ministř</w:t>
      </w:r>
      <w:r>
        <w:rPr>
          <w:i/>
          <w:iCs/>
          <w:sz w:val="20"/>
          <w:szCs w:val="20"/>
        </w:rPr>
        <w:t xml:space="preserve">i cestují, jen když jsou ministry. Proč nepoznali Karla Čapka, dokud byl ještě čas! Ale jít </w:t>
      </w:r>
      <w:r>
        <w:rPr>
          <w:i/>
          <w:iCs/>
          <w:sz w:val="20"/>
          <w:szCs w:val="20"/>
          <w:lang w:val="en-US" w:eastAsia="en-US" w:bidi="en-US"/>
        </w:rPr>
        <w:t xml:space="preserve">do Theatre </w:t>
      </w:r>
      <w:r>
        <w:rPr>
          <w:i/>
          <w:iCs/>
          <w:sz w:val="20"/>
          <w:szCs w:val="20"/>
        </w:rPr>
        <w:t xml:space="preserve">des </w:t>
      </w:r>
      <w:r>
        <w:rPr>
          <w:i/>
          <w:iCs/>
          <w:sz w:val="20"/>
          <w:szCs w:val="20"/>
          <w:lang w:val="en-US" w:eastAsia="en-US" w:bidi="en-US"/>
        </w:rPr>
        <w:t xml:space="preserve">Arts </w:t>
      </w:r>
      <w:r>
        <w:rPr>
          <w:i/>
          <w:iCs/>
          <w:sz w:val="20"/>
          <w:szCs w:val="20"/>
        </w:rPr>
        <w:t>na »Dobu, v níž žijeme*? Nic by se již nenaučili.</w:t>
      </w:r>
    </w:p>
    <w:p w:rsidR="00500724" w:rsidRDefault="00F30FB8">
      <w:pPr>
        <w:pStyle w:val="Zkladntext30"/>
        <w:shd w:val="clear" w:color="auto" w:fill="auto"/>
        <w:spacing w:after="0" w:line="180" w:lineRule="auto"/>
        <w:rPr>
          <w:sz w:val="20"/>
          <w:szCs w:val="20"/>
        </w:rPr>
      </w:pPr>
      <w:r>
        <w:rPr>
          <w:i/>
          <w:iCs/>
          <w:sz w:val="20"/>
          <w:szCs w:val="20"/>
        </w:rPr>
        <w:t>Tam běží jen o naši smrt. Vdova, již slavné slzy Marie Kalffové činí neutěšitelnou, tráví celé</w:t>
      </w:r>
      <w:r>
        <w:rPr>
          <w:i/>
          <w:iCs/>
          <w:sz w:val="20"/>
          <w:szCs w:val="20"/>
        </w:rPr>
        <w:t xml:space="preserve"> dny v pokoji svého muže, který padl v Africe v jedné šarvátce. Afrika jí prá- </w:t>
      </w:r>
      <w:r>
        <w:rPr>
          <w:b/>
          <w:bCs/>
          <w:sz w:val="19"/>
          <w:szCs w:val="19"/>
        </w:rPr>
        <w:t xml:space="preserve">I </w:t>
      </w:r>
      <w:r>
        <w:rPr>
          <w:i/>
          <w:iCs/>
          <w:sz w:val="20"/>
          <w:szCs w:val="20"/>
        </w:rPr>
        <w:t>vě tak vzala jednoho syna,</w:t>
      </w:r>
    </w:p>
    <w:p w:rsidR="00500724" w:rsidRDefault="00F30FB8">
      <w:pPr>
        <w:pStyle w:val="Zkladntext30"/>
        <w:shd w:val="clear" w:color="auto" w:fill="auto"/>
        <w:spacing w:after="120" w:line="180" w:lineRule="auto"/>
        <w:ind w:firstLine="0"/>
        <w:rPr>
          <w:sz w:val="20"/>
          <w:szCs w:val="20"/>
        </w:rPr>
      </w:pPr>
      <w:r>
        <w:rPr>
          <w:i/>
          <w:iCs/>
          <w:sz w:val="20"/>
          <w:szCs w:val="20"/>
        </w:rPr>
        <w:t xml:space="preserve">lékaře, obět žluté zimnice. </w:t>
      </w:r>
      <w:r>
        <w:rPr>
          <w:b/>
          <w:bCs/>
          <w:i/>
          <w:iCs/>
          <w:sz w:val="20"/>
          <w:szCs w:val="20"/>
        </w:rPr>
        <w:t xml:space="preserve">A </w:t>
      </w:r>
      <w:r>
        <w:rPr>
          <w:i/>
          <w:iCs/>
          <w:sz w:val="20"/>
          <w:szCs w:val="20"/>
        </w:rPr>
        <w:t>ona nepřestává vyvolávati si jejich představy. Jiní dva sy</w:t>
      </w:r>
      <w:r>
        <w:rPr>
          <w:i/>
          <w:iCs/>
          <w:sz w:val="20"/>
          <w:szCs w:val="20"/>
        </w:rPr>
        <w:softHyphen/>
        <w:t>nové v téže hře mluví rádi o svém otci a hádají se pro poli</w:t>
      </w:r>
      <w:r>
        <w:rPr>
          <w:i/>
          <w:iCs/>
          <w:sz w:val="20"/>
          <w:szCs w:val="20"/>
        </w:rPr>
        <w:t>tiku. Jiný syn, letec, se zřítí při rekordním výkonu a setkáme se s ním až s mrtvým. Je třeba síly o tom mluvit. Ne proto, že by byl zbrocen krví, ani kostlivec ne, ale ve své bílé kombinéze je ještě bledší než obvykle ve světle reflektorů. Tak se nám osta</w:t>
      </w:r>
      <w:r>
        <w:rPr>
          <w:i/>
          <w:iCs/>
          <w:sz w:val="20"/>
          <w:szCs w:val="20"/>
        </w:rPr>
        <w:t>tně představují všichni mrtví této rodiny. První, otec, v bílém, i proň je to pochopitelné pod tropic</w:t>
      </w:r>
      <w:r>
        <w:rPr>
          <w:i/>
          <w:iCs/>
          <w:sz w:val="20"/>
          <w:szCs w:val="20"/>
        </w:rPr>
        <w:softHyphen/>
        <w:t>kým nebem, syn, lékař v bí</w:t>
      </w:r>
      <w:r>
        <w:rPr>
          <w:i/>
          <w:iCs/>
          <w:sz w:val="20"/>
          <w:szCs w:val="20"/>
        </w:rPr>
        <w:softHyphen/>
        <w:t>lém pracovním plášti; a po letci jiné dítě té nešťastnice, jež bylo zastřeleno v občan</w:t>
      </w:r>
      <w:r>
        <w:rPr>
          <w:i/>
          <w:iCs/>
          <w:sz w:val="20"/>
          <w:szCs w:val="20"/>
        </w:rPr>
        <w:softHyphen/>
        <w:t>ské válce, poněvadž patřil k dělnické st</w:t>
      </w:r>
      <w:r>
        <w:rPr>
          <w:i/>
          <w:iCs/>
          <w:sz w:val="20"/>
          <w:szCs w:val="20"/>
        </w:rPr>
        <w:t>raně, zatím co je</w:t>
      </w:r>
      <w:r>
        <w:rPr>
          <w:i/>
          <w:iCs/>
          <w:sz w:val="20"/>
          <w:szCs w:val="20"/>
        </w:rPr>
        <w:softHyphen/>
        <w:t>ho bratr stál na druhé straně barikád. Nejmladší chlapec vdovy je křehký rozkošný snílek, básník. Zůstal sám. Ale po hrdinné Africe, po občanské válce, krátce po válce je i tento poslední za</w:t>
      </w:r>
      <w:r>
        <w:rPr>
          <w:i/>
          <w:iCs/>
          <w:sz w:val="20"/>
          <w:szCs w:val="20"/>
        </w:rPr>
        <w:softHyphen/>
        <w:t>slíben krutému osudu! Lid</w:t>
      </w:r>
      <w:r>
        <w:rPr>
          <w:i/>
          <w:iCs/>
          <w:sz w:val="20"/>
          <w:szCs w:val="20"/>
        </w:rPr>
        <w:softHyphen/>
        <w:t>stvo se dosud nesebra</w:t>
      </w:r>
      <w:r>
        <w:rPr>
          <w:i/>
          <w:iCs/>
          <w:sz w:val="20"/>
          <w:szCs w:val="20"/>
        </w:rPr>
        <w:t>lo. Je to horečná hra, převlodnána hrůznou krásu. Vylíčit ji, by znamenalo zradit. To se tuší. Byl to Lugé - Poé. který ji objevil a uvedl na scénu Ri</w:t>
      </w:r>
      <w:r>
        <w:rPr>
          <w:i/>
          <w:iCs/>
          <w:sz w:val="20"/>
          <w:szCs w:val="20"/>
        </w:rPr>
        <w:softHyphen/>
        <w:t>deau de Paris, této pozoru</w:t>
      </w:r>
      <w:r>
        <w:rPr>
          <w:i/>
          <w:iCs/>
          <w:sz w:val="20"/>
          <w:szCs w:val="20"/>
        </w:rPr>
        <w:softHyphen/>
        <w:t xml:space="preserve">hodné společnosti, </w:t>
      </w:r>
      <w:r>
        <w:rPr>
          <w:b/>
          <w:bCs/>
          <w:i/>
          <w:iCs/>
          <w:sz w:val="20"/>
          <w:szCs w:val="20"/>
        </w:rPr>
        <w:t xml:space="preserve">řízené </w:t>
      </w:r>
      <w:r>
        <w:rPr>
          <w:i/>
          <w:iCs/>
          <w:sz w:val="20"/>
          <w:szCs w:val="20"/>
        </w:rPr>
        <w:t>Marcelem Herramiém a Jea</w:t>
      </w:r>
      <w:r>
        <w:rPr>
          <w:i/>
          <w:iCs/>
          <w:sz w:val="20"/>
          <w:szCs w:val="20"/>
        </w:rPr>
        <w:softHyphen/>
        <w:t>nem Marchatem. Opravu hry p</w:t>
      </w:r>
      <w:r>
        <w:rPr>
          <w:i/>
          <w:iCs/>
          <w:sz w:val="20"/>
          <w:szCs w:val="20"/>
        </w:rPr>
        <w:t xml:space="preserve">rovedl Luc Durtain, který </w:t>
      </w:r>
      <w:r>
        <w:rPr>
          <w:b/>
          <w:bCs/>
          <w:i/>
          <w:iCs/>
          <w:sz w:val="20"/>
          <w:szCs w:val="20"/>
        </w:rPr>
        <w:t xml:space="preserve">je </w:t>
      </w:r>
      <w:r>
        <w:rPr>
          <w:i/>
          <w:iCs/>
          <w:sz w:val="20"/>
          <w:szCs w:val="20"/>
        </w:rPr>
        <w:t xml:space="preserve">předurčen pro pochopení </w:t>
      </w:r>
      <w:r>
        <w:rPr>
          <w:b/>
          <w:bCs/>
          <w:i/>
          <w:iCs/>
          <w:sz w:val="20"/>
          <w:szCs w:val="20"/>
        </w:rPr>
        <w:t>dí</w:t>
      </w:r>
      <w:r>
        <w:rPr>
          <w:b/>
          <w:bCs/>
          <w:i/>
          <w:iCs/>
          <w:sz w:val="20"/>
          <w:szCs w:val="20"/>
        </w:rPr>
        <w:softHyphen/>
      </w:r>
      <w:r>
        <w:rPr>
          <w:i/>
          <w:iCs/>
          <w:sz w:val="20"/>
          <w:szCs w:val="20"/>
        </w:rPr>
        <w:t xml:space="preserve">la, v němž jde o lékaře a hrdiny, o pacifistu, jímž je autor sám. Mladá družina měla by však sehrát »Věc Makropulos*, jiné dílo Karla Čapka, které není o nic méně podivuhodné, než »Doba, v </w:t>
      </w:r>
      <w:r>
        <w:rPr>
          <w:b/>
          <w:bCs/>
          <w:i/>
          <w:iCs/>
          <w:sz w:val="20"/>
          <w:szCs w:val="20"/>
        </w:rPr>
        <w:t xml:space="preserve">níž </w:t>
      </w:r>
      <w:r>
        <w:rPr>
          <w:i/>
          <w:iCs/>
          <w:sz w:val="20"/>
          <w:szCs w:val="20"/>
        </w:rPr>
        <w:t>žijeme*</w:t>
      </w:r>
      <w:r>
        <w:rPr>
          <w:i/>
          <w:iCs/>
          <w:sz w:val="20"/>
          <w:szCs w:val="20"/>
        </w:rPr>
        <w:t xml:space="preserve">, ale které nás </w:t>
      </w:r>
      <w:r>
        <w:rPr>
          <w:b/>
          <w:bCs/>
          <w:i/>
          <w:iCs/>
          <w:sz w:val="20"/>
          <w:szCs w:val="20"/>
        </w:rPr>
        <w:t>na</w:t>
      </w:r>
      <w:r>
        <w:rPr>
          <w:b/>
          <w:bCs/>
          <w:i/>
          <w:iCs/>
          <w:sz w:val="20"/>
          <w:szCs w:val="20"/>
        </w:rPr>
        <w:softHyphen/>
      </w:r>
      <w:r>
        <w:rPr>
          <w:i/>
          <w:iCs/>
          <w:sz w:val="20"/>
          <w:szCs w:val="20"/>
        </w:rPr>
        <w:t xml:space="preserve">konec nezabíjí, naopak </w:t>
      </w:r>
      <w:r>
        <w:rPr>
          <w:b/>
          <w:bCs/>
          <w:i/>
          <w:iCs/>
          <w:sz w:val="20"/>
          <w:szCs w:val="20"/>
        </w:rPr>
        <w:t xml:space="preserve">tím </w:t>
      </w:r>
      <w:r>
        <w:rPr>
          <w:i/>
          <w:iCs/>
          <w:sz w:val="20"/>
          <w:szCs w:val="20"/>
        </w:rPr>
        <w:t>nejpitoresknějším způsobem se obírá problémem dlouho</w:t>
      </w:r>
      <w:r>
        <w:rPr>
          <w:i/>
          <w:iCs/>
          <w:sz w:val="20"/>
          <w:szCs w:val="20"/>
        </w:rPr>
        <w:softHyphen/>
        <w:t>věkosti u dcery řeckého al</w:t>
      </w:r>
      <w:r>
        <w:rPr>
          <w:i/>
          <w:iCs/>
          <w:sz w:val="20"/>
          <w:szCs w:val="20"/>
        </w:rPr>
        <w:softHyphen/>
        <w:t>chymisty. I tam se shledává</w:t>
      </w:r>
      <w:r>
        <w:rPr>
          <w:i/>
          <w:iCs/>
          <w:sz w:val="20"/>
          <w:szCs w:val="20"/>
        </w:rPr>
        <w:softHyphen/>
        <w:t>me s fantasií a hořce sladkou filosofií, jež tvoří kouzlo Kar</w:t>
      </w:r>
      <w:r>
        <w:rPr>
          <w:i/>
          <w:iCs/>
          <w:sz w:val="20"/>
          <w:szCs w:val="20"/>
        </w:rPr>
        <w:softHyphen/>
        <w:t>la Čapka, bývalého</w:t>
      </w:r>
      <w:r>
        <w:rPr>
          <w:b/>
          <w:bCs/>
          <w:sz w:val="19"/>
          <w:szCs w:val="19"/>
        </w:rPr>
        <w:t xml:space="preserve"> i </w:t>
      </w:r>
      <w:r>
        <w:rPr>
          <w:i/>
          <w:iCs/>
          <w:sz w:val="20"/>
          <w:szCs w:val="20"/>
        </w:rPr>
        <w:t>budoucí</w:t>
      </w:r>
      <w:r>
        <w:rPr>
          <w:i/>
          <w:iCs/>
          <w:sz w:val="20"/>
          <w:szCs w:val="20"/>
        </w:rPr>
        <w:softHyphen/>
        <w:t>ho a jak se</w:t>
      </w:r>
      <w:r>
        <w:rPr>
          <w:i/>
          <w:iCs/>
          <w:sz w:val="20"/>
          <w:szCs w:val="20"/>
        </w:rPr>
        <w:t xml:space="preserve"> věří, knížete čes</w:t>
      </w:r>
      <w:r>
        <w:rPr>
          <w:i/>
          <w:iCs/>
          <w:sz w:val="20"/>
          <w:szCs w:val="20"/>
        </w:rPr>
        <w:softHyphen/>
        <w:t xml:space="preserve">ké literatury, oné literatury, která přežije neštěstí </w:t>
      </w:r>
      <w:r>
        <w:rPr>
          <w:b/>
          <w:bCs/>
          <w:i/>
          <w:iCs/>
          <w:sz w:val="20"/>
          <w:szCs w:val="20"/>
        </w:rPr>
        <w:t xml:space="preserve">své </w:t>
      </w:r>
      <w:r>
        <w:rPr>
          <w:i/>
          <w:iCs/>
          <w:sz w:val="20"/>
          <w:szCs w:val="20"/>
        </w:rPr>
        <w:t>vlasti.</w:t>
      </w:r>
    </w:p>
    <w:p w:rsidR="00500724" w:rsidRDefault="00F30FB8">
      <w:pPr>
        <w:pStyle w:val="Zkladntext40"/>
        <w:shd w:val="clear" w:color="auto" w:fill="auto"/>
        <w:spacing w:after="0"/>
        <w:ind w:firstLine="180"/>
      </w:pPr>
      <w:r>
        <w:rPr>
          <w:b/>
          <w:bCs/>
          <w:i/>
          <w:iCs/>
        </w:rPr>
        <w:t>Proč jen a</w:t>
      </w:r>
      <w:r>
        <w:t xml:space="preserve"> jen OBÉ s bleskem? Jednak Je OBE výborným cididlem na kovy, jednak jest to jakostní český výrobek. Ani koruna nesmi dnes zbytečně za hranice, když tu máme výrobky domácí. Proto na drhnutí OBÉ prášek a pískové mýdlo OBELIT, na kovy cididlo OBÉ. na plotny D</w:t>
      </w:r>
      <w:r>
        <w:t>vojblesk.</w:t>
      </w:r>
    </w:p>
    <w:p w:rsidR="00500724" w:rsidRDefault="00F30FB8">
      <w:pPr>
        <w:pStyle w:val="Zkladntext40"/>
        <w:shd w:val="clear" w:color="auto" w:fill="auto"/>
        <w:spacing w:after="0"/>
        <w:ind w:firstLine="180"/>
        <w:sectPr w:rsidR="00500724">
          <w:footnotePr>
            <w:numFmt w:val="chicago"/>
            <w:numRestart w:val="eachPage"/>
          </w:footnotePr>
          <w:pgSz w:w="11909" w:h="16834"/>
          <w:pgMar w:top="1052" w:right="1216" w:bottom="627" w:left="2856" w:header="0" w:footer="3" w:gutter="0"/>
          <w:cols w:num="3" w:sep="1" w:space="100"/>
          <w:noEndnote/>
          <w:docGrid w:linePitch="360"/>
        </w:sectPr>
      </w:pPr>
      <w:r>
        <w:t>Káva, která svědčí dětem. Žito obsahuje řadu výživných látek, velmi prospěšných lidskému tělu. Proto dětem svědčí káva. uvaře</w:t>
      </w:r>
      <w:r>
        <w:softHyphen/>
        <w:t>ná z Karo-Franckovky a Peroly. Oslazená, s mlékem, dětem také chutná. Perola je naše káva.</w:t>
      </w:r>
      <w:r>
        <w:t xml:space="preserve"> u nás roste, vyrábí se v Pardubi</w:t>
      </w:r>
      <w:r>
        <w:softHyphen/>
        <w:t>cích.</w:t>
      </w:r>
    </w:p>
    <w:p w:rsidR="00500724" w:rsidRDefault="00500724">
      <w:pPr>
        <w:spacing w:line="49" w:lineRule="exact"/>
        <w:rPr>
          <w:sz w:val="4"/>
          <w:szCs w:val="4"/>
        </w:rPr>
      </w:pPr>
    </w:p>
    <w:p w:rsidR="00500724" w:rsidRDefault="00500724">
      <w:pPr>
        <w:spacing w:line="14" w:lineRule="exact"/>
        <w:sectPr w:rsidR="00500724">
          <w:footnotePr>
            <w:numFmt w:val="chicago"/>
            <w:numRestart w:val="eachPage"/>
          </w:footnotePr>
          <w:type w:val="continuous"/>
          <w:pgSz w:w="11909" w:h="16834"/>
          <w:pgMar w:top="1052" w:right="0" w:bottom="627" w:left="0" w:header="0" w:footer="3" w:gutter="0"/>
          <w:cols w:space="720"/>
          <w:noEndnote/>
          <w:docGrid w:linePitch="360"/>
        </w:sectPr>
      </w:pPr>
    </w:p>
    <w:p w:rsidR="00500724" w:rsidRDefault="00F30FB8">
      <w:pPr>
        <w:pStyle w:val="Zkladntext90"/>
        <w:shd w:val="clear" w:color="auto" w:fill="auto"/>
        <w:spacing w:line="216" w:lineRule="auto"/>
        <w:ind w:firstLine="0"/>
      </w:pPr>
      <w:r>
        <w:t>se změnil. Jeho oči se usmívaly.</w:t>
      </w:r>
    </w:p>
    <w:p w:rsidR="00500724" w:rsidRDefault="00F30FB8">
      <w:pPr>
        <w:pStyle w:val="Zkladntext90"/>
        <w:numPr>
          <w:ilvl w:val="0"/>
          <w:numId w:val="29"/>
        </w:numPr>
        <w:shd w:val="clear" w:color="auto" w:fill="auto"/>
        <w:tabs>
          <w:tab w:val="left" w:pos="250"/>
        </w:tabs>
        <w:spacing w:line="216" w:lineRule="auto"/>
        <w:ind w:firstLine="0"/>
      </w:pPr>
      <w:r>
        <w:t>jeho tváři byla radost. Řekl jediné slovo: »Hranice.« Znělo to radostně a svěáe, jako výkřik osvobození.</w:t>
      </w:r>
    </w:p>
    <w:p w:rsidR="00500724" w:rsidRDefault="00F30FB8">
      <w:pPr>
        <w:pStyle w:val="Zkladntext90"/>
        <w:shd w:val="clear" w:color="auto" w:fill="auto"/>
        <w:spacing w:line="216" w:lineRule="auto"/>
      </w:pPr>
      <w:r>
        <w:t xml:space="preserve">xPodmoklí.* pravil Jsem. »Hra- niční stanice. </w:t>
      </w:r>
      <w:r>
        <w:t>Máte pravdu!* Vý</w:t>
      </w:r>
      <w:r>
        <w:softHyphen/>
        <w:t>křik osvobození to nebyl.</w:t>
      </w:r>
    </w:p>
    <w:p w:rsidR="00500724" w:rsidRDefault="00F30FB8">
      <w:pPr>
        <w:pStyle w:val="Zkladntext90"/>
        <w:shd w:val="clear" w:color="auto" w:fill="auto"/>
        <w:spacing w:line="216" w:lineRule="auto"/>
      </w:pPr>
      <w:r>
        <w:t>Pohlédl na mne zklamaně. Bylo ml ho trochu líto.</w:t>
      </w:r>
    </w:p>
    <w:p w:rsidR="00500724" w:rsidRDefault="00F30FB8">
      <w:pPr>
        <w:pStyle w:val="Zkladntext90"/>
        <w:shd w:val="clear" w:color="auto" w:fill="auto"/>
        <w:spacing w:line="216" w:lineRule="auto"/>
      </w:pPr>
      <w:r>
        <w:t>»Byl jste asi dlouho v cizině.&lt; řekl jsem Jako na usmířenou.</w:t>
      </w:r>
    </w:p>
    <w:p w:rsidR="00500724" w:rsidRDefault="00F30FB8">
      <w:pPr>
        <w:pStyle w:val="Zkladntext90"/>
        <w:shd w:val="clear" w:color="auto" w:fill="auto"/>
        <w:spacing w:line="216" w:lineRule="auto"/>
      </w:pPr>
      <w:r>
        <w:t>»Čtyřl léta.*</w:t>
      </w:r>
    </w:p>
    <w:p w:rsidR="00500724" w:rsidRDefault="00F30FB8">
      <w:pPr>
        <w:pStyle w:val="Zkladntext90"/>
        <w:shd w:val="clear" w:color="auto" w:fill="auto"/>
        <w:spacing w:line="216" w:lineRule="auto"/>
      </w:pPr>
      <w:r>
        <w:t>»V Berlíně?*</w:t>
      </w:r>
    </w:p>
    <w:p w:rsidR="00500724" w:rsidRDefault="00F30FB8">
      <w:pPr>
        <w:pStyle w:val="Zkladntext90"/>
        <w:shd w:val="clear" w:color="auto" w:fill="auto"/>
        <w:spacing w:line="216" w:lineRule="auto"/>
        <w:rPr>
          <w:sz w:val="16"/>
          <w:szCs w:val="16"/>
        </w:rPr>
      </w:pPr>
      <w:r>
        <w:t xml:space="preserve">»V Berlíně. </w:t>
      </w:r>
      <w:r>
        <w:rPr>
          <w:rFonts w:ascii="Times New Roman" w:eastAsia="Times New Roman" w:hAnsi="Times New Roman" w:cs="Times New Roman"/>
          <w:sz w:val="16"/>
          <w:szCs w:val="16"/>
        </w:rPr>
        <w:t>V Hamburku.</w:t>
      </w:r>
    </w:p>
    <w:p w:rsidR="00500724" w:rsidRDefault="00F30FB8">
      <w:pPr>
        <w:pStyle w:val="Zkladntext90"/>
        <w:numPr>
          <w:ilvl w:val="0"/>
          <w:numId w:val="29"/>
        </w:numPr>
        <w:shd w:val="clear" w:color="auto" w:fill="auto"/>
        <w:tabs>
          <w:tab w:val="left" w:pos="255"/>
        </w:tabs>
        <w:spacing w:line="175" w:lineRule="auto"/>
        <w:ind w:firstLine="0"/>
      </w:pPr>
      <w:r>
        <w:t>Londýně .. .«</w:t>
      </w:r>
    </w:p>
    <w:p w:rsidR="00500724" w:rsidRDefault="00F30FB8">
      <w:pPr>
        <w:pStyle w:val="Zkladntext90"/>
        <w:shd w:val="clear" w:color="auto" w:fill="auto"/>
        <w:spacing w:line="216" w:lineRule="auto"/>
      </w:pPr>
      <w:r>
        <w:t>Odmčel se. Naslouchal.</w:t>
      </w:r>
    </w:p>
    <w:p w:rsidR="00500724" w:rsidRDefault="00F30FB8">
      <w:pPr>
        <w:pStyle w:val="Zkladntext90"/>
        <w:shd w:val="clear" w:color="auto" w:fill="auto"/>
        <w:spacing w:line="216" w:lineRule="auto"/>
      </w:pPr>
      <w:r>
        <w:t>Venku vykřikova</w:t>
      </w:r>
      <w:r>
        <w:t>li německy</w:t>
      </w:r>
    </w:p>
    <w:p w:rsidR="00500724" w:rsidRDefault="00F30FB8">
      <w:pPr>
        <w:pStyle w:val="Zkladntext90"/>
        <w:shd w:val="clear" w:color="auto" w:fill="auto"/>
        <w:spacing w:line="216" w:lineRule="auto"/>
        <w:ind w:firstLine="0"/>
      </w:pPr>
      <w:r>
        <w:t>jména stanice.</w:t>
      </w:r>
    </w:p>
    <w:p w:rsidR="00500724" w:rsidRDefault="00F30FB8">
      <w:pPr>
        <w:pStyle w:val="Zkladntext90"/>
        <w:shd w:val="clear" w:color="auto" w:fill="auto"/>
        <w:spacing w:line="216" w:lineRule="auto"/>
      </w:pPr>
      <w:r>
        <w:t>Opustili jsme vagon. Bylo před ětvrton hodinou ranní; pětadva</w:t>
      </w:r>
      <w:r>
        <w:softHyphen/>
        <w:t>cet minut zastávky.</w:t>
      </w:r>
    </w:p>
    <w:p w:rsidR="00500724" w:rsidRDefault="00F30FB8">
      <w:pPr>
        <w:pStyle w:val="Zkladntext90"/>
        <w:shd w:val="clear" w:color="auto" w:fill="auto"/>
        <w:spacing w:line="202" w:lineRule="auto"/>
      </w:pPr>
      <w:r>
        <w:t>Hoch se rozhlížel, znova na</w:t>
      </w:r>
      <w:r>
        <w:softHyphen/>
        <w:t>slouchaje. Z vlaku zatím vystu</w:t>
      </w:r>
      <w:r>
        <w:softHyphen/>
      </w:r>
      <w:r>
        <w:rPr>
          <w:rFonts w:ascii="Times New Roman" w:eastAsia="Times New Roman" w:hAnsi="Times New Roman" w:cs="Times New Roman"/>
          <w:sz w:val="16"/>
          <w:szCs w:val="16"/>
        </w:rPr>
        <w:t xml:space="preserve">povali lidé, jdoucí k </w:t>
      </w:r>
      <w:r>
        <w:t>revisi. Pře</w:t>
      </w:r>
      <w:r>
        <w:softHyphen/>
        <w:t>cházeli železniční zřízenci. Celní prohlídky procházely</w:t>
      </w:r>
      <w:r>
        <w:t xml:space="preserve"> vozy.</w:t>
      </w:r>
    </w:p>
    <w:p w:rsidR="00500724" w:rsidRDefault="00F30FB8">
      <w:pPr>
        <w:pStyle w:val="Zkladntext90"/>
        <w:shd w:val="clear" w:color="auto" w:fill="auto"/>
        <w:spacing w:line="211" w:lineRule="auto"/>
      </w:pPr>
      <w:r>
        <w:t>Stále napjatě naslouchal hoch. Cekal, cítil jsem, na nějaké české slovo. Náhodou se ho nedočkal.</w:t>
      </w:r>
    </w:p>
    <w:p w:rsidR="00500724" w:rsidRDefault="00F30FB8">
      <w:pPr>
        <w:pStyle w:val="Zkladntext90"/>
        <w:shd w:val="clear" w:color="auto" w:fill="auto"/>
        <w:spacing w:line="211" w:lineRule="auto"/>
      </w:pPr>
      <w:r>
        <w:t>Mrazilo. Vstoupili Jsme opět do vozu. V našem kupé se zatím usadila rozjařená německá spo</w:t>
      </w:r>
      <w:r>
        <w:softHyphen/>
        <w:t>lečnost. Čekala patrně dlouho na vlak a nečekala naprázdno. Hl</w:t>
      </w:r>
      <w:r>
        <w:t>učná její veselost dráždila ty. kteří tu seděli tiše. Zůstali jsme na chodbě.</w:t>
      </w:r>
    </w:p>
    <w:p w:rsidR="00500724" w:rsidRDefault="00F30FB8">
      <w:pPr>
        <w:pStyle w:val="Zkladntext90"/>
        <w:shd w:val="clear" w:color="auto" w:fill="auto"/>
        <w:spacing w:line="211" w:lineRule="auto"/>
      </w:pPr>
      <w:r>
        <w:t>Zdálo se ml, že můj společník je nějak sklíčen.</w:t>
      </w:r>
    </w:p>
    <w:p w:rsidR="00500724" w:rsidRDefault="00F30FB8">
      <w:pPr>
        <w:pStyle w:val="Zkladntext90"/>
        <w:shd w:val="clear" w:color="auto" w:fill="auto"/>
        <w:spacing w:line="211" w:lineRule="auto"/>
      </w:pPr>
      <w:r>
        <w:t>sjedete na dlouho domů?* ze</w:t>
      </w:r>
      <w:r>
        <w:softHyphen/>
        <w:t>ptal jsem se ho.</w:t>
      </w:r>
    </w:p>
    <w:p w:rsidR="00500724" w:rsidRDefault="00F30FB8">
      <w:pPr>
        <w:pStyle w:val="Zkladntext90"/>
        <w:shd w:val="clear" w:color="auto" w:fill="auto"/>
        <w:spacing w:line="211" w:lineRule="auto"/>
      </w:pPr>
      <w:r>
        <w:t>»Na týden,« pravil.</w:t>
      </w:r>
    </w:p>
    <w:p w:rsidR="00500724" w:rsidRDefault="00F30FB8">
      <w:pPr>
        <w:pStyle w:val="Zkladntext90"/>
        <w:shd w:val="clear" w:color="auto" w:fill="auto"/>
        <w:spacing w:line="211" w:lineRule="auto"/>
      </w:pPr>
      <w:r>
        <w:t>»A pak?*</w:t>
      </w:r>
    </w:p>
    <w:p w:rsidR="00500724" w:rsidRDefault="00F30FB8">
      <w:pPr>
        <w:pStyle w:val="Zkladntext90"/>
        <w:shd w:val="clear" w:color="auto" w:fill="auto"/>
        <w:spacing w:line="211" w:lineRule="auto"/>
      </w:pPr>
      <w:r>
        <w:t xml:space="preserve">xVrátim se zase do Londýna.« A sklíčenější ještě než </w:t>
      </w:r>
      <w:r>
        <w:t>dříve do</w:t>
      </w:r>
      <w:r>
        <w:softHyphen/>
        <w:t>dal: »Zůstanu tam. Zde doma zů- statí nemohu. Zůstanu tam. Na jak dlouho? Nevím; možná na</w:t>
      </w:r>
      <w:r>
        <w:softHyphen/>
        <w:t>vždy.®</w:t>
      </w:r>
    </w:p>
    <w:p w:rsidR="00500724" w:rsidRDefault="00F30FB8">
      <w:pPr>
        <w:pStyle w:val="Zkladntext90"/>
        <w:shd w:val="clear" w:color="auto" w:fill="auto"/>
        <w:spacing w:line="218" w:lineRule="auto"/>
      </w:pPr>
      <w:r>
        <w:t>Tato možnost nezdála se ho těšiti. Svěsil hlavu; byla to pouze únava??</w:t>
      </w:r>
    </w:p>
    <w:p w:rsidR="00500724" w:rsidRDefault="00F30FB8">
      <w:pPr>
        <w:pStyle w:val="Zkladntext90"/>
        <w:shd w:val="clear" w:color="auto" w:fill="auto"/>
        <w:spacing w:line="216" w:lineRule="auto"/>
      </w:pPr>
      <w:r>
        <w:t>sLondýn je veliký . .. příliš ve</w:t>
      </w:r>
      <w:r>
        <w:softHyphen/>
        <w:t xml:space="preserve">liký ....« řekl. xTaké Berlín je veliký; ne </w:t>
      </w:r>
      <w:r>
        <w:t>tak, ale přece je ve</w:t>
      </w:r>
      <w:r>
        <w:softHyphen/>
        <w:t>liký. «</w:t>
      </w:r>
    </w:p>
    <w:p w:rsidR="00500724" w:rsidRDefault="00F30FB8">
      <w:pPr>
        <w:pStyle w:val="Zkladntext90"/>
        <w:shd w:val="clear" w:color="auto" w:fill="auto"/>
        <w:spacing w:line="192" w:lineRule="auto"/>
        <w:rPr>
          <w:sz w:val="18"/>
          <w:szCs w:val="18"/>
        </w:rPr>
      </w:pPr>
      <w:r>
        <w:t>Chtěl říci ještě něco, nedokon</w:t>
      </w:r>
      <w:r>
        <w:softHyphen/>
        <w:t xml:space="preserve">čil. Zahalil se do svého svrch- </w:t>
      </w:r>
      <w:r>
        <w:rPr>
          <w:rFonts w:ascii="Times New Roman" w:eastAsia="Times New Roman" w:hAnsi="Times New Roman" w:cs="Times New Roman"/>
          <w:b w:val="0"/>
          <w:bCs w:val="0"/>
          <w:sz w:val="18"/>
          <w:szCs w:val="18"/>
        </w:rPr>
        <w:t>níčku.</w:t>
      </w:r>
    </w:p>
    <w:p w:rsidR="00500724" w:rsidRDefault="00F30FB8">
      <w:pPr>
        <w:pStyle w:val="Zkladntext90"/>
        <w:shd w:val="clear" w:color="auto" w:fill="auto"/>
        <w:spacing w:line="214" w:lineRule="auto"/>
      </w:pPr>
      <w:r>
        <w:t>Mlčel jsem. Co říci? Přichází, řekl jsem si. aby se o něco opřel. O něco se opříti! Berlín je veliký. Londýn je větší. Všichni takovou hudou. Bylo by třeba u</w:t>
      </w:r>
      <w:r>
        <w:t>kázati jim něco velikého.</w:t>
      </w:r>
    </w:p>
    <w:p w:rsidR="00500724" w:rsidRDefault="00F30FB8">
      <w:pPr>
        <w:pStyle w:val="Zkladntext90"/>
        <w:shd w:val="clear" w:color="auto" w:fill="auto"/>
        <w:spacing w:line="218" w:lineRule="auto"/>
      </w:pPr>
      <w:r>
        <w:t>Co?</w:t>
      </w:r>
    </w:p>
    <w:p w:rsidR="00500724" w:rsidRDefault="00F30FB8">
      <w:pPr>
        <w:pStyle w:val="Zkladntext90"/>
        <w:shd w:val="clear" w:color="auto" w:fill="auto"/>
        <w:spacing w:line="218" w:lineRule="auto"/>
      </w:pPr>
      <w:r>
        <w:t>Vešel jsem dovnitř. Hluk spo</w:t>
      </w:r>
      <w:r>
        <w:softHyphen/>
        <w:t>lečnosti utichl zatím; přemohla ji únava.</w:t>
      </w:r>
    </w:p>
    <w:p w:rsidR="00500724" w:rsidRDefault="00F30FB8">
      <w:pPr>
        <w:pStyle w:val="Zkladntext90"/>
        <w:shd w:val="clear" w:color="auto" w:fill="auto"/>
        <w:spacing w:line="240" w:lineRule="auto"/>
      </w:pPr>
      <w:r>
        <w:t>Po stanici roudnické přišel ne</w:t>
      </w:r>
      <w:r>
        <w:softHyphen/>
        <w:t>známý ke mně. Usmíval se po</w:t>
      </w:r>
      <w:r>
        <w:softHyphen/>
        <w:t>divně.</w:t>
      </w:r>
    </w:p>
    <w:p w:rsidR="00500724" w:rsidRDefault="00F30FB8">
      <w:pPr>
        <w:pStyle w:val="Zkladntext90"/>
        <w:shd w:val="clear" w:color="auto" w:fill="auto"/>
        <w:spacing w:line="211" w:lineRule="auto"/>
      </w:pPr>
      <w:r>
        <w:t>xPrvé české slovo za hranicemi. Raudnitz — Roudnice — Roudni</w:t>
      </w:r>
      <w:r>
        <w:softHyphen/>
        <w:t>ce — Raudnitz.®</w:t>
      </w:r>
    </w:p>
    <w:p w:rsidR="00500724" w:rsidRDefault="00F30FB8">
      <w:pPr>
        <w:pStyle w:val="Zkladntext90"/>
        <w:shd w:val="clear" w:color="auto" w:fill="auto"/>
        <w:spacing w:line="211" w:lineRule="auto"/>
      </w:pPr>
      <w:r>
        <w:t xml:space="preserve">A dívaje se </w:t>
      </w:r>
      <w:r>
        <w:t>na hodinky, zahu</w:t>
      </w:r>
      <w:r>
        <w:softHyphen/>
        <w:t>čel:</w:t>
      </w:r>
    </w:p>
    <w:p w:rsidR="00500724" w:rsidRDefault="00F30FB8">
      <w:pPr>
        <w:pStyle w:val="Zkladntext90"/>
        <w:shd w:val="clear" w:color="auto" w:fill="auto"/>
        <w:spacing w:line="211" w:lineRule="auto"/>
      </w:pPr>
      <w:r>
        <w:t>»Za hodinu budeme v Praze!*</w:t>
      </w:r>
    </w:p>
    <w:p w:rsidR="00500724" w:rsidRDefault="00F30FB8">
      <w:pPr>
        <w:pStyle w:val="Zkladntext90"/>
        <w:shd w:val="clear" w:color="auto" w:fill="auto"/>
        <w:spacing w:line="211" w:lineRule="auto"/>
      </w:pPr>
      <w:r>
        <w:t>Čas míjel. Venku bylo dosud šero. Snil jsem. Snil jsem o náro</w:t>
      </w:r>
      <w:r>
        <w:softHyphen/>
        <w:t>dě bez hraníc.</w:t>
      </w:r>
    </w:p>
    <w:p w:rsidR="00500724" w:rsidRDefault="00F30FB8">
      <w:pPr>
        <w:pStyle w:val="Zkladntext90"/>
        <w:shd w:val="clear" w:color="auto" w:fill="auto"/>
        <w:spacing w:line="211" w:lineRule="auto"/>
      </w:pPr>
      <w:r>
        <w:t>Rozmetu vás v světě jako símě budoucnosti —- — — Pro koho?</w:t>
      </w:r>
    </w:p>
    <w:p w:rsidR="00500724" w:rsidRDefault="00F30FB8">
      <w:pPr>
        <w:pStyle w:val="Zkladntext90"/>
        <w:shd w:val="clear" w:color="auto" w:fill="auto"/>
        <w:spacing w:line="211" w:lineRule="auto"/>
      </w:pPr>
      <w:r>
        <w:t>V půl sedmé vystoupili jsme v Praze.</w:t>
      </w:r>
    </w:p>
    <w:p w:rsidR="00500724" w:rsidRDefault="00F30FB8">
      <w:pPr>
        <w:pStyle w:val="Zkladntext90"/>
        <w:shd w:val="clear" w:color="auto" w:fill="auto"/>
        <w:spacing w:line="211" w:lineRule="auto"/>
      </w:pPr>
      <w:r>
        <w:t>Bylo šeré a mrazivé ráno: Pra</w:t>
      </w:r>
      <w:r>
        <w:softHyphen/>
        <w:t xml:space="preserve">ha </w:t>
      </w:r>
      <w:r>
        <w:t>se pomalu probouzela. Bylo to ráno a skoro ieště noc.</w:t>
      </w:r>
    </w:p>
    <w:p w:rsidR="00500724" w:rsidRDefault="00F30FB8">
      <w:pPr>
        <w:pStyle w:val="Zkladntext90"/>
        <w:shd w:val="clear" w:color="auto" w:fill="auto"/>
        <w:spacing w:line="218" w:lineRule="auto"/>
      </w:pPr>
      <w:r>
        <w:t>Hoch s černýma, jiskrnýma očima šel se mnou.</w:t>
      </w:r>
    </w:p>
    <w:p w:rsidR="00500724" w:rsidRDefault="00F30FB8">
      <w:pPr>
        <w:pStyle w:val="Zkladntext90"/>
        <w:shd w:val="clear" w:color="auto" w:fill="auto"/>
        <w:spacing w:line="218" w:lineRule="auto"/>
      </w:pPr>
      <w:r>
        <w:t>U tramvajové stanice dali Jsme si sbohem.</w:t>
      </w:r>
    </w:p>
    <w:p w:rsidR="00500724" w:rsidRDefault="00F30FB8">
      <w:pPr>
        <w:pStyle w:val="Zkladntext90"/>
        <w:shd w:val="clear" w:color="auto" w:fill="auto"/>
        <w:spacing w:line="218" w:lineRule="auto"/>
        <w:sectPr w:rsidR="00500724">
          <w:footnotePr>
            <w:numFmt w:val="chicago"/>
            <w:numRestart w:val="eachPage"/>
          </w:footnotePr>
          <w:type w:val="continuous"/>
          <w:pgSz w:w="11909" w:h="16834"/>
          <w:pgMar w:top="1052" w:right="1129" w:bottom="627" w:left="269" w:header="0" w:footer="3" w:gutter="0"/>
          <w:cols w:num="4" w:sep="1" w:space="100"/>
          <w:noEndnote/>
          <w:docGrid w:linePitch="360"/>
        </w:sectPr>
      </w:pPr>
      <w:r>
        <w:t>Zmizel mi za rohem Hybernské ulice; více jsem ho neuviděl.</w:t>
      </w:r>
    </w:p>
    <w:p w:rsidR="00500724" w:rsidRDefault="00500724">
      <w:pPr>
        <w:rPr>
          <w:sz w:val="2"/>
          <w:szCs w:val="2"/>
        </w:rPr>
        <w:sectPr w:rsidR="00500724">
          <w:footnotePr>
            <w:numFmt w:val="chicago"/>
            <w:numRestart w:val="eachPage"/>
          </w:footnotePr>
          <w:type w:val="continuous"/>
          <w:pgSz w:w="11909" w:h="16834"/>
          <w:pgMar w:top="1052" w:right="1129" w:bottom="627" w:left="269" w:header="0" w:footer="3" w:gutter="0"/>
          <w:cols w:num="4" w:sep="1" w:space="10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11722"/>
      </w:tblGrid>
      <w:tr w:rsidR="00500724">
        <w:tblPrEx>
          <w:tblCellMar>
            <w:top w:w="0" w:type="dxa"/>
            <w:bottom w:w="0" w:type="dxa"/>
          </w:tblCellMar>
        </w:tblPrEx>
        <w:trPr>
          <w:trHeight w:hRule="exact" w:val="725"/>
          <w:jc w:val="center"/>
        </w:trPr>
        <w:tc>
          <w:tcPr>
            <w:tcW w:w="0" w:type="auto"/>
            <w:tcBorders>
              <w:top w:val="single" w:sz="4" w:space="0" w:color="auto"/>
              <w:left w:val="single" w:sz="4" w:space="0" w:color="auto"/>
            </w:tcBorders>
            <w:shd w:val="clear" w:color="auto" w:fill="FFFFFF"/>
          </w:tcPr>
          <w:p w:rsidR="00500724" w:rsidRDefault="00500724">
            <w:pPr>
              <w:rPr>
                <w:sz w:val="10"/>
                <w:szCs w:val="10"/>
              </w:rPr>
            </w:pP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left="4000" w:firstLine="60"/>
              <w:jc w:val="left"/>
              <w:rPr>
                <w:sz w:val="30"/>
                <w:szCs w:val="30"/>
              </w:rPr>
            </w:pPr>
            <w:r>
              <w:rPr>
                <w:i/>
                <w:iCs/>
                <w:sz w:val="30"/>
                <w:szCs w:val="30"/>
              </w:rPr>
              <w:t>•</w:t>
            </w:r>
          </w:p>
        </w:tc>
      </w:tr>
      <w:tr w:rsidR="00500724">
        <w:tblPrEx>
          <w:tblCellMar>
            <w:top w:w="0" w:type="dxa"/>
            <w:bottom w:w="0" w:type="dxa"/>
          </w:tblCellMar>
        </w:tblPrEx>
        <w:trPr>
          <w:trHeight w:hRule="exact" w:val="4358"/>
          <w:jc w:val="center"/>
        </w:trPr>
        <w:tc>
          <w:tcPr>
            <w:tcW w:w="0" w:type="auto"/>
            <w:vMerge w:val="restart"/>
            <w:tcBorders>
              <w:left w:val="single" w:sz="4" w:space="0" w:color="auto"/>
            </w:tcBorders>
            <w:shd w:val="clear" w:color="auto" w:fill="FFFFFF"/>
          </w:tcPr>
          <w:p w:rsidR="00500724" w:rsidRDefault="00500724">
            <w:pPr>
              <w:rPr>
                <w:sz w:val="10"/>
                <w:szCs w:val="10"/>
              </w:rPr>
            </w:pPr>
          </w:p>
        </w:tc>
        <w:tc>
          <w:tcPr>
            <w:tcW w:w="0" w:type="auto"/>
            <w:tcBorders>
              <w:top w:val="single" w:sz="4" w:space="0" w:color="auto"/>
              <w:left w:val="single" w:sz="4" w:space="0" w:color="auto"/>
              <w:right w:val="single" w:sz="4" w:space="0" w:color="auto"/>
            </w:tcBorders>
            <w:shd w:val="clear" w:color="auto" w:fill="FFFFFF"/>
          </w:tcPr>
          <w:p w:rsidR="00500724" w:rsidRDefault="00F30FB8">
            <w:pPr>
              <w:pStyle w:val="Jin0"/>
              <w:shd w:val="clear" w:color="auto" w:fill="auto"/>
              <w:spacing w:before="360"/>
              <w:ind w:firstLine="0"/>
              <w:jc w:val="left"/>
              <w:rPr>
                <w:sz w:val="254"/>
                <w:szCs w:val="254"/>
              </w:rPr>
            </w:pPr>
            <w:r>
              <w:rPr>
                <w:sz w:val="254"/>
                <w:szCs w:val="254"/>
              </w:rPr>
              <w:t>Bítonmosó</w:t>
            </w:r>
          </w:p>
        </w:tc>
      </w:tr>
      <w:tr w:rsidR="00500724">
        <w:tblPrEx>
          <w:tblCellMar>
            <w:top w:w="0" w:type="dxa"/>
            <w:bottom w:w="0" w:type="dxa"/>
          </w:tblCellMar>
        </w:tblPrEx>
        <w:trPr>
          <w:trHeight w:hRule="exact" w:val="610"/>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tabs>
                <w:tab w:val="left" w:pos="3793"/>
                <w:tab w:val="left" w:pos="9870"/>
              </w:tabs>
              <w:ind w:left="300" w:firstLine="80"/>
              <w:rPr>
                <w:sz w:val="22"/>
                <w:szCs w:val="22"/>
              </w:rPr>
            </w:pPr>
            <w:r>
              <w:rPr>
                <w:b/>
                <w:bCs/>
                <w:sz w:val="22"/>
                <w:szCs w:val="22"/>
              </w:rPr>
              <w:t>ROCNlK XVI</w:t>
            </w:r>
            <w:r>
              <w:rPr>
                <w:b/>
                <w:bCs/>
                <w:sz w:val="22"/>
                <w:szCs w:val="22"/>
              </w:rPr>
              <w:tab/>
              <w:t>V PRAZE 15. BŘEZNA 1939</w:t>
            </w:r>
            <w:r>
              <w:rPr>
                <w:b/>
                <w:bCs/>
                <w:sz w:val="22"/>
                <w:szCs w:val="22"/>
              </w:rPr>
              <w:tab/>
              <w:t>ZA K 2.—</w:t>
            </w:r>
          </w:p>
        </w:tc>
      </w:tr>
      <w:tr w:rsidR="00500724">
        <w:tblPrEx>
          <w:tblCellMar>
            <w:top w:w="0" w:type="dxa"/>
            <w:bottom w:w="0" w:type="dxa"/>
          </w:tblCellMar>
        </w:tblPrEx>
        <w:trPr>
          <w:trHeight w:hRule="exact" w:val="2011"/>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tabs>
                <w:tab w:val="left" w:pos="8626"/>
              </w:tabs>
              <w:ind w:left="300" w:firstLine="80"/>
              <w:rPr>
                <w:sz w:val="32"/>
                <w:szCs w:val="32"/>
              </w:rPr>
            </w:pPr>
            <w:r>
              <w:rPr>
                <w:sz w:val="58"/>
                <w:szCs w:val="58"/>
              </w:rPr>
              <w:t>Jak vzniká národní umění</w:t>
            </w:r>
            <w:r>
              <w:rPr>
                <w:sz w:val="58"/>
                <w:szCs w:val="58"/>
              </w:rPr>
              <w:tab/>
            </w:r>
            <w:r>
              <w:rPr>
                <w:smallCaps/>
                <w:sz w:val="32"/>
                <w:szCs w:val="32"/>
              </w:rPr>
              <w:t>pavel hofman</w:t>
            </w:r>
          </w:p>
        </w:tc>
      </w:tr>
      <w:tr w:rsidR="00500724">
        <w:tblPrEx>
          <w:tblCellMar>
            <w:top w:w="0" w:type="dxa"/>
            <w:bottom w:w="0" w:type="dxa"/>
          </w:tblCellMar>
        </w:tblPrEx>
        <w:trPr>
          <w:trHeight w:hRule="exact" w:val="1157"/>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tabs>
                <w:tab w:val="left" w:pos="9543"/>
              </w:tabs>
              <w:ind w:left="300" w:firstLine="80"/>
              <w:rPr>
                <w:sz w:val="32"/>
                <w:szCs w:val="32"/>
              </w:rPr>
            </w:pPr>
            <w:r>
              <w:rPr>
                <w:sz w:val="58"/>
                <w:szCs w:val="58"/>
              </w:rPr>
              <w:t>Co je svatováclavská tradice</w:t>
            </w:r>
            <w:r>
              <w:rPr>
                <w:sz w:val="58"/>
                <w:szCs w:val="58"/>
              </w:rPr>
              <w:tab/>
            </w:r>
            <w:r>
              <w:rPr>
                <w:smallCaps/>
                <w:sz w:val="32"/>
                <w:szCs w:val="32"/>
              </w:rPr>
              <w:t>b. axman</w:t>
            </w:r>
          </w:p>
        </w:tc>
      </w:tr>
      <w:tr w:rsidR="00500724">
        <w:tblPrEx>
          <w:tblCellMar>
            <w:top w:w="0" w:type="dxa"/>
            <w:bottom w:w="0" w:type="dxa"/>
          </w:tblCellMar>
        </w:tblPrEx>
        <w:trPr>
          <w:trHeight w:hRule="exact" w:val="1219"/>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tabs>
                <w:tab w:val="left" w:pos="8238"/>
              </w:tabs>
              <w:ind w:left="300" w:firstLine="80"/>
              <w:rPr>
                <w:sz w:val="32"/>
                <w:szCs w:val="32"/>
              </w:rPr>
            </w:pPr>
            <w:r>
              <w:rPr>
                <w:sz w:val="58"/>
                <w:szCs w:val="58"/>
              </w:rPr>
              <w:t>Visum do Ameriky .</w:t>
            </w:r>
            <w:r>
              <w:rPr>
                <w:sz w:val="58"/>
                <w:szCs w:val="58"/>
              </w:rPr>
              <w:tab/>
            </w:r>
            <w:r>
              <w:rPr>
                <w:smallCaps/>
                <w:sz w:val="32"/>
                <w:szCs w:val="32"/>
              </w:rPr>
              <w:t>josef wechsberg</w:t>
            </w:r>
          </w:p>
        </w:tc>
      </w:tr>
      <w:tr w:rsidR="00500724">
        <w:tblPrEx>
          <w:tblCellMar>
            <w:top w:w="0" w:type="dxa"/>
            <w:bottom w:w="0" w:type="dxa"/>
          </w:tblCellMar>
        </w:tblPrEx>
        <w:trPr>
          <w:trHeight w:hRule="exact" w:val="1200"/>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tabs>
                <w:tab w:val="left" w:pos="8958"/>
              </w:tabs>
              <w:ind w:left="300" w:firstLine="80"/>
              <w:rPr>
                <w:sz w:val="32"/>
                <w:szCs w:val="32"/>
              </w:rPr>
            </w:pPr>
            <w:r>
              <w:rPr>
                <w:sz w:val="58"/>
                <w:szCs w:val="58"/>
              </w:rPr>
              <w:t>Výzkum nictví a jeho význam</w:t>
            </w:r>
            <w:r>
              <w:rPr>
                <w:sz w:val="58"/>
                <w:szCs w:val="58"/>
              </w:rPr>
              <w:tab/>
            </w:r>
            <w:r>
              <w:rPr>
                <w:b/>
                <w:bCs/>
                <w:sz w:val="22"/>
                <w:szCs w:val="22"/>
              </w:rPr>
              <w:t xml:space="preserve">v. </w:t>
            </w:r>
            <w:r>
              <w:rPr>
                <w:smallCaps/>
                <w:sz w:val="32"/>
                <w:szCs w:val="32"/>
              </w:rPr>
              <w:t>petržilka</w:t>
            </w:r>
          </w:p>
        </w:tc>
      </w:tr>
      <w:tr w:rsidR="00500724">
        <w:tblPrEx>
          <w:tblCellMar>
            <w:top w:w="0" w:type="dxa"/>
            <w:bottom w:w="0" w:type="dxa"/>
          </w:tblCellMar>
        </w:tblPrEx>
        <w:trPr>
          <w:trHeight w:hRule="exact" w:val="1214"/>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00" w:firstLine="80"/>
              <w:rPr>
                <w:sz w:val="58"/>
                <w:szCs w:val="58"/>
              </w:rPr>
            </w:pPr>
            <w:r>
              <w:rPr>
                <w:sz w:val="58"/>
                <w:szCs w:val="58"/>
              </w:rPr>
              <w:t>Neprodávejte lehkomyslně akcie</w:t>
            </w:r>
          </w:p>
        </w:tc>
      </w:tr>
      <w:tr w:rsidR="00500724">
        <w:tblPrEx>
          <w:tblCellMar>
            <w:top w:w="0" w:type="dxa"/>
            <w:bottom w:w="0" w:type="dxa"/>
          </w:tblCellMar>
        </w:tblPrEx>
        <w:trPr>
          <w:trHeight w:hRule="exact" w:val="1205"/>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tabs>
                <w:tab w:val="left" w:pos="7940"/>
              </w:tabs>
              <w:ind w:left="300" w:firstLine="80"/>
              <w:rPr>
                <w:sz w:val="32"/>
                <w:szCs w:val="32"/>
              </w:rPr>
            </w:pPr>
            <w:r>
              <w:rPr>
                <w:sz w:val="58"/>
                <w:szCs w:val="58"/>
              </w:rPr>
              <w:t>Zatarasený svět</w:t>
            </w:r>
            <w:r>
              <w:rPr>
                <w:sz w:val="58"/>
                <w:szCs w:val="58"/>
              </w:rPr>
              <w:tab/>
            </w:r>
            <w:r>
              <w:rPr>
                <w:smallCaps/>
                <w:sz w:val="32"/>
                <w:szCs w:val="32"/>
              </w:rPr>
              <w:t>frantisek novotný</w:t>
            </w:r>
          </w:p>
        </w:tc>
      </w:tr>
      <w:tr w:rsidR="00500724">
        <w:tblPrEx>
          <w:tblCellMar>
            <w:top w:w="0" w:type="dxa"/>
            <w:bottom w:w="0" w:type="dxa"/>
          </w:tblCellMar>
        </w:tblPrEx>
        <w:trPr>
          <w:trHeight w:hRule="exact" w:val="2438"/>
          <w:jc w:val="center"/>
        </w:trPr>
        <w:tc>
          <w:tcPr>
            <w:tcW w:w="0" w:type="auto"/>
            <w:vMerge/>
            <w:tcBorders>
              <w:left w:val="single" w:sz="4" w:space="0" w:color="auto"/>
            </w:tcBorders>
            <w:shd w:val="clear" w:color="auto" w:fill="FFFFFF"/>
          </w:tcPr>
          <w:p w:rsidR="00500724" w:rsidRDefault="00500724"/>
        </w:tc>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spacing w:line="259" w:lineRule="auto"/>
              <w:ind w:left="300" w:firstLine="80"/>
              <w:rPr>
                <w:sz w:val="26"/>
                <w:szCs w:val="26"/>
              </w:rPr>
            </w:pPr>
            <w:r>
              <w:rPr>
                <w:b/>
                <w:bCs/>
                <w:sz w:val="26"/>
                <w:szCs w:val="26"/>
              </w:rPr>
              <w:t>Čtvrt roku Beranovy vlády. — Neotřesená Živnobanka. — Omyl. — Dopis z Bolivie. —</w:t>
            </w:r>
          </w:p>
          <w:p w:rsidR="00500724" w:rsidRDefault="00F30FB8">
            <w:pPr>
              <w:pStyle w:val="Jin0"/>
              <w:shd w:val="clear" w:color="auto" w:fill="auto"/>
              <w:spacing w:line="259" w:lineRule="auto"/>
              <w:ind w:left="380" w:firstLine="0"/>
              <w:jc w:val="center"/>
              <w:rPr>
                <w:sz w:val="26"/>
                <w:szCs w:val="26"/>
              </w:rPr>
            </w:pPr>
            <w:r>
              <w:rPr>
                <w:b/>
                <w:bCs/>
                <w:sz w:val="26"/>
                <w:szCs w:val="26"/>
              </w:rPr>
              <w:t xml:space="preserve">Děti — spolupracovníci státu. — Proč o Gionovi. — Bývalý čtenář Přítomnosti — Aféry kolem habilitačních </w:t>
            </w:r>
            <w:r>
              <w:rPr>
                <w:b/>
                <w:bCs/>
                <w:sz w:val="26"/>
                <w:szCs w:val="26"/>
              </w:rPr>
              <w:t>prací.</w:t>
            </w:r>
          </w:p>
        </w:tc>
      </w:tr>
      <w:tr w:rsidR="00500724">
        <w:tblPrEx>
          <w:tblCellMar>
            <w:top w:w="0" w:type="dxa"/>
            <w:bottom w:w="0" w:type="dxa"/>
          </w:tblCellMar>
        </w:tblPrEx>
        <w:trPr>
          <w:trHeight w:hRule="exact" w:val="840"/>
          <w:jc w:val="center"/>
        </w:trPr>
        <w:tc>
          <w:tcPr>
            <w:tcW w:w="0" w:type="auto"/>
            <w:tcBorders>
              <w:left w:val="single" w:sz="4" w:space="0" w:color="auto"/>
            </w:tcBorders>
            <w:shd w:val="clear" w:color="auto" w:fill="FFFFFF"/>
          </w:tcPr>
          <w:p w:rsidR="00500724" w:rsidRDefault="00500724">
            <w:pPr>
              <w:rPr>
                <w:sz w:val="10"/>
                <w:szCs w:val="10"/>
              </w:rPr>
            </w:pPr>
          </w:p>
        </w:tc>
        <w:tc>
          <w:tcPr>
            <w:tcW w:w="0" w:type="auto"/>
            <w:tcBorders>
              <w:top w:val="single" w:sz="4" w:space="0" w:color="auto"/>
              <w:bottom w:val="single" w:sz="4" w:space="0" w:color="auto"/>
            </w:tcBorders>
            <w:shd w:val="clear" w:color="auto" w:fill="FFFFFF"/>
          </w:tcPr>
          <w:p w:rsidR="00500724" w:rsidRDefault="00500724">
            <w:pPr>
              <w:rPr>
                <w:sz w:val="10"/>
                <w:szCs w:val="10"/>
              </w:rPr>
            </w:pPr>
          </w:p>
        </w:tc>
      </w:tr>
    </w:tbl>
    <w:p w:rsidR="00500724" w:rsidRDefault="00500724">
      <w:pPr>
        <w:spacing w:line="14" w:lineRule="exact"/>
        <w:sectPr w:rsidR="00500724">
          <w:footnotePr>
            <w:numFmt w:val="chicago"/>
            <w:numRestart w:val="eachPage"/>
          </w:footnotePr>
          <w:pgSz w:w="11909" w:h="16834"/>
          <w:pgMar w:top="0" w:right="0" w:bottom="0"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620" behindDoc="0" locked="0" layoutInCell="1" allowOverlap="1">
                <wp:simplePos x="0" y="0"/>
                <wp:positionH relativeFrom="page">
                  <wp:posOffset>3755390</wp:posOffset>
                </wp:positionH>
                <wp:positionV relativeFrom="paragraph">
                  <wp:posOffset>12700</wp:posOffset>
                </wp:positionV>
                <wp:extent cx="3060065" cy="32893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3060065" cy="328930"/>
                        </a:xfrm>
                        <a:prstGeom prst="rect">
                          <a:avLst/>
                        </a:prstGeom>
                        <a:solidFill>
                          <a:srgbClr val="4E554B"/>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before="100" w:line="240" w:lineRule="auto"/>
                              <w:ind w:left="60"/>
                              <w:jc w:val="center"/>
                            </w:pPr>
                            <w:r>
                              <w:rPr>
                                <w:color w:val="FFFFFF"/>
                              </w:rPr>
                              <w:t>ODBORNÍ LÍKAftl</w:t>
                            </w:r>
                          </w:p>
                          <w:p w:rsidR="00500724" w:rsidRDefault="00F30FB8">
                            <w:pPr>
                              <w:pStyle w:val="Zkladntext100"/>
                              <w:pBdr>
                                <w:top w:val="single" w:sz="0" w:space="0" w:color="000000"/>
                                <w:left w:val="single" w:sz="0" w:space="0" w:color="000000"/>
                                <w:bottom w:val="single" w:sz="0" w:space="0" w:color="000000"/>
                                <w:right w:val="single" w:sz="0" w:space="0" w:color="000000"/>
                              </w:pBdr>
                              <w:shd w:val="clear" w:color="auto" w:fill="000000"/>
                              <w:spacing w:line="180" w:lineRule="auto"/>
                              <w:ind w:left="1160" w:firstLine="0"/>
                              <w:jc w:val="left"/>
                              <w:rPr>
                                <w:sz w:val="19"/>
                                <w:szCs w:val="19"/>
                              </w:rPr>
                            </w:pPr>
                            <w:r>
                              <w:rPr>
                                <w:b/>
                                <w:bCs/>
                                <w:color w:val="FFFFFF"/>
                                <w:sz w:val="19"/>
                                <w:szCs w:val="19"/>
                              </w:rPr>
                              <w:t>- &gt;•</w:t>
                            </w:r>
                          </w:p>
                        </w:txbxContent>
                      </wps:txbx>
                      <wps:bodyPr lIns="0" tIns="0" rIns="0" bIns="0">
                        <a:spAutoFit/>
                      </wps:bodyPr>
                    </wps:wsp>
                  </a:graphicData>
                </a:graphic>
              </wp:anchor>
            </w:drawing>
          </mc:Choice>
          <mc:Fallback>
            <w:pict>
              <v:shape id="_x0000_s1269" type="#_x0000_t202" style="position:absolute;margin-left:295.69999999999999pt;margin-top:1.pt;width:240.94999999999999pt;height:25.899999999999999pt;z-index:-125829133;mso-wrap-distance-left:9.pt;mso-wrap-distance-right:9.pt;mso-position-horizontal-relative:page" fillcolor="#4E554B"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100" w:after="0" w:line="240" w:lineRule="auto"/>
                        <w:ind w:left="60" w:right="0" w:firstLine="0"/>
                        <w:jc w:val="center"/>
                      </w:pPr>
                      <w:r>
                        <w:rPr>
                          <w:color w:val="FFFFFF"/>
                          <w:spacing w:val="0"/>
                          <w:w w:val="100"/>
                          <w:position w:val="0"/>
                          <w:sz w:val="22"/>
                          <w:szCs w:val="22"/>
                          <w:shd w:val="clear" w:color="auto" w:fill="auto"/>
                          <w:lang w:val="cs-CZ" w:eastAsia="cs-CZ" w:bidi="cs-CZ"/>
                        </w:rPr>
                        <w:t>ODBORNÍ LÍKAftl</w:t>
                      </w:r>
                    </w:p>
                    <w:p>
                      <w:pPr>
                        <w:pStyle w:val="Style344"/>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180" w:lineRule="auto"/>
                        <w:ind w:left="1160" w:right="0" w:firstLine="0"/>
                        <w:jc w:val="left"/>
                        <w:rPr>
                          <w:sz w:val="19"/>
                          <w:szCs w:val="19"/>
                        </w:rPr>
                      </w:pPr>
                      <w:r>
                        <w:rPr>
                          <w:b/>
                          <w:bCs/>
                          <w:color w:val="FFFFFF"/>
                          <w:spacing w:val="0"/>
                          <w:w w:val="100"/>
                          <w:position w:val="0"/>
                          <w:sz w:val="19"/>
                          <w:szCs w:val="19"/>
                          <w:shd w:val="clear" w:color="auto" w:fill="auto"/>
                          <w:lang w:val="cs-CZ" w:eastAsia="cs-CZ" w:bidi="cs-CZ"/>
                        </w:rPr>
                        <w:t>- &gt;•</w:t>
                      </w:r>
                    </w:p>
                  </w:txbxContent>
                </v:textbox>
                <w10:wrap type="topAndBottom" anchorx="page"/>
              </v:shape>
            </w:pict>
          </mc:Fallback>
        </mc:AlternateContent>
      </w:r>
    </w:p>
    <w:p w:rsidR="00500724" w:rsidRDefault="00F30FB8">
      <w:pPr>
        <w:pStyle w:val="Zkladntext100"/>
        <w:shd w:val="clear" w:color="auto" w:fill="auto"/>
        <w:spacing w:line="120" w:lineRule="exact"/>
        <w:ind w:firstLine="0"/>
      </w:pPr>
      <w:r>
        <w:rPr>
          <w:rFonts w:ascii="Arial" w:eastAsia="Arial" w:hAnsi="Arial" w:cs="Arial"/>
          <w:b/>
          <w:bCs/>
          <w:sz w:val="22"/>
          <w:szCs w:val="22"/>
        </w:rPr>
        <w:t xml:space="preserve">Sllin C,«nkl </w:t>
      </w:r>
      <w:r>
        <w:t xml:space="preserve">odborný lékař </w:t>
      </w:r>
      <w:r>
        <w:rPr>
          <w:b/>
          <w:bCs/>
        </w:rPr>
        <w:t xml:space="preserve">pro žaludeční a </w:t>
      </w:r>
      <w:r>
        <w:rPr>
          <w:rFonts w:ascii="Arial" w:eastAsia="Arial" w:hAnsi="Arial" w:cs="Arial"/>
          <w:b/>
          <w:bCs/>
          <w:sz w:val="22"/>
          <w:szCs w:val="22"/>
        </w:rPr>
        <w:t xml:space="preserve">mUUr. rronm </w:t>
      </w:r>
      <w:r>
        <w:rPr>
          <w:b/>
          <w:bCs/>
        </w:rPr>
        <w:t>gtřevnl n e ni o c i a roentgenolořil</w:t>
      </w:r>
    </w:p>
    <w:p w:rsidR="00500724" w:rsidRDefault="00F30FB8">
      <w:pPr>
        <w:pStyle w:val="Zkladntext100"/>
        <w:shd w:val="clear" w:color="auto" w:fill="auto"/>
        <w:spacing w:line="139" w:lineRule="auto"/>
        <w:ind w:firstLine="0"/>
        <w:jc w:val="right"/>
        <w:rPr>
          <w:sz w:val="19"/>
          <w:szCs w:val="19"/>
        </w:rPr>
      </w:pPr>
      <w:r>
        <w:t>PRAHA H., NEKAZANKA 4, II. patro. Ord. 9—10. 3—</w:t>
      </w:r>
      <w:r>
        <w:rPr>
          <w:b/>
          <w:bCs/>
          <w:sz w:val="19"/>
          <w:szCs w:val="19"/>
        </w:rPr>
        <w:t>4.</w:t>
      </w:r>
    </w:p>
    <w:p w:rsidR="00500724" w:rsidRDefault="00F30FB8">
      <w:pPr>
        <w:pStyle w:val="Zkladntext100"/>
        <w:shd w:val="clear" w:color="auto" w:fill="auto"/>
        <w:spacing w:after="200" w:line="146" w:lineRule="auto"/>
        <w:ind w:left="2540" w:firstLine="0"/>
        <w:jc w:val="left"/>
        <w:rPr>
          <w:sz w:val="17"/>
          <w:szCs w:val="17"/>
        </w:rPr>
      </w:pPr>
      <w:r>
        <w:rPr>
          <w:sz w:val="17"/>
          <w:szCs w:val="17"/>
        </w:rPr>
        <w:t>Teleton 234-13.</w:t>
      </w:r>
    </w:p>
    <w:p w:rsidR="00500724" w:rsidRDefault="00F30FB8">
      <w:pPr>
        <w:pStyle w:val="Zkladntext100"/>
        <w:shd w:val="clear" w:color="auto" w:fill="auto"/>
        <w:spacing w:after="120" w:line="151" w:lineRule="auto"/>
        <w:ind w:firstLine="0"/>
      </w:pPr>
      <w:r>
        <w:rPr>
          <w:b/>
          <w:bCs/>
          <w:sz w:val="19"/>
          <w:szCs w:val="19"/>
        </w:rPr>
        <w:t xml:space="preserve">MUDr </w:t>
      </w:r>
      <w:r>
        <w:rPr>
          <w:b/>
          <w:bCs/>
          <w:sz w:val="19"/>
          <w:szCs w:val="19"/>
          <w:lang w:val="en-US" w:eastAsia="en-US" w:bidi="en-US"/>
        </w:rPr>
        <w:t xml:space="preserve">Ervin Frohlich </w:t>
      </w:r>
      <w:r>
        <w:t xml:space="preserve">odborný lékař pro choroby </w:t>
      </w:r>
      <w:r>
        <w:rPr>
          <w:rFonts w:ascii="Arial" w:eastAsia="Arial" w:hAnsi="Arial" w:cs="Arial"/>
          <w:b/>
          <w:bCs/>
          <w:sz w:val="26"/>
          <w:szCs w:val="26"/>
        </w:rPr>
        <w:t xml:space="preserve">Muur. crvin rronucn, </w:t>
      </w:r>
      <w:r>
        <w:rPr>
          <w:rFonts w:ascii="Arial" w:eastAsia="Arial" w:hAnsi="Arial" w:cs="Arial"/>
          <w:b/>
          <w:bCs/>
          <w:sz w:val="26"/>
          <w:szCs w:val="26"/>
          <w:vertAlign w:val="subscript"/>
        </w:rPr>
        <w:t xml:space="preserve">vnitřnl </w:t>
      </w:r>
      <w:r>
        <w:rPr>
          <w:vertAlign w:val="subscript"/>
        </w:rPr>
        <w:t>ža</w:t>
      </w:r>
      <w:r>
        <w:t>i</w:t>
      </w:r>
      <w:r>
        <w:rPr>
          <w:vertAlign w:val="subscript"/>
        </w:rPr>
        <w:t>ude</w:t>
      </w:r>
      <w:r>
        <w:t xml:space="preserve">čni. střevní « výměny látek, em. </w:t>
      </w:r>
      <w:r>
        <w:rPr>
          <w:lang w:val="en-US" w:eastAsia="en-US" w:bidi="en-US"/>
        </w:rPr>
        <w:t xml:space="preserve">eslstent </w:t>
      </w:r>
      <w:r>
        <w:t xml:space="preserve">I. med. kliniky </w:t>
      </w:r>
      <w:r>
        <w:rPr>
          <w:lang w:val="en-US" w:eastAsia="en-US" w:bidi="en-US"/>
        </w:rPr>
        <w:t xml:space="preserve">prof. </w:t>
      </w:r>
      <w:r>
        <w:t>Schmidta. PRAHA I., Na Příkopech 85. Ord. 9-10. %3-‘/3. Telef. 228-91.</w:t>
      </w:r>
    </w:p>
    <w:p w:rsidR="00500724" w:rsidRDefault="00F30FB8">
      <w:pPr>
        <w:pStyle w:val="Jin0"/>
        <w:shd w:val="clear" w:color="auto" w:fill="auto"/>
        <w:ind w:firstLine="0"/>
        <w:rPr>
          <w:sz w:val="26"/>
          <w:szCs w:val="26"/>
        </w:rPr>
      </w:pPr>
      <w:r>
        <w:rPr>
          <w:rFonts w:ascii="Arial" w:eastAsia="Arial" w:hAnsi="Arial" w:cs="Arial"/>
          <w:b/>
          <w:bCs/>
          <w:sz w:val="26"/>
          <w:szCs w:val="26"/>
        </w:rPr>
        <w:t>MUDr. ZDENKA NEDVĚDOVÁ-NEJEDLÁ</w:t>
      </w:r>
    </w:p>
    <w:p w:rsidR="00500724" w:rsidRDefault="00F30FB8">
      <w:pPr>
        <w:pStyle w:val="Zkladntext100"/>
        <w:shd w:val="clear" w:color="auto" w:fill="auto"/>
        <w:spacing w:after="100" w:line="185" w:lineRule="auto"/>
        <w:ind w:firstLine="0"/>
      </w:pPr>
      <w:r>
        <w:t xml:space="preserve">odb. dětská lékařka, PODOLÍ, </w:t>
      </w:r>
      <w:r>
        <w:t xml:space="preserve">PANKRÁCKÁ 14 (stanice elektr. </w:t>
      </w:r>
      <w:r>
        <w:rPr>
          <w:u w:val="single"/>
        </w:rPr>
        <w:t>dráhy za Podol, sanatoriem). Ord. 9—10 a 2—4, Tel. 441-77.</w:t>
      </w:r>
    </w:p>
    <w:p w:rsidR="00500724" w:rsidRDefault="00F30FB8">
      <w:pPr>
        <w:pStyle w:val="Zkladntext100"/>
        <w:shd w:val="clear" w:color="auto" w:fill="auto"/>
        <w:spacing w:after="100" w:line="180" w:lineRule="auto"/>
        <w:ind w:firstLine="0"/>
      </w:pPr>
      <w:r>
        <w:t xml:space="preserve">Pro plastickou chirurgii </w:t>
      </w:r>
      <w:r>
        <w:rPr>
          <w:rFonts w:ascii="Arial" w:eastAsia="Arial" w:hAnsi="Arial" w:cs="Arial"/>
          <w:b/>
          <w:bCs/>
          <w:sz w:val="26"/>
          <w:szCs w:val="26"/>
        </w:rPr>
        <w:t xml:space="preserve">Dr. RUDOLF SLUNEČKO </w:t>
      </w:r>
      <w:r>
        <w:t>ord. 3—4 (a podle úmluvy). Telefon 393-79. PRAHA H., VO</w:t>
      </w:r>
      <w:r>
        <w:softHyphen/>
        <w:t>DIČKOVA 15. (Hlávkův palác.)</w:t>
      </w:r>
    </w:p>
    <w:p w:rsidR="00500724" w:rsidRDefault="00F30FB8">
      <w:pPr>
        <w:pStyle w:val="Jin0"/>
        <w:shd w:val="clear" w:color="auto" w:fill="auto"/>
        <w:ind w:firstLine="0"/>
        <w:rPr>
          <w:sz w:val="26"/>
          <w:szCs w:val="26"/>
        </w:rPr>
      </w:pPr>
      <w:r>
        <w:rPr>
          <w:rFonts w:ascii="Arial" w:eastAsia="Arial" w:hAnsi="Arial" w:cs="Arial"/>
          <w:b/>
          <w:bCs/>
          <w:sz w:val="26"/>
          <w:szCs w:val="26"/>
        </w:rPr>
        <w:t>MUDr. EMIL VOGL</w:t>
      </w:r>
    </w:p>
    <w:p w:rsidR="00500724" w:rsidRDefault="00F30FB8">
      <w:pPr>
        <w:pStyle w:val="Zkladntext100"/>
        <w:shd w:val="clear" w:color="auto" w:fill="auto"/>
        <w:spacing w:after="340" w:line="178" w:lineRule="auto"/>
        <w:ind w:firstLine="0"/>
      </w:pPr>
      <w:r>
        <w:t xml:space="preserve">odborný lékař pro </w:t>
      </w:r>
      <w:r>
        <w:t>nemoci vnitřní, Praha H., LÚTZOWOVA 32, roh Washingtonovy. Ord. 9—11, 2—4. Telefon 226-65.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jc w:val="center"/>
        <w:sectPr w:rsidR="00500724">
          <w:footnotePr>
            <w:numFmt w:val="chicago"/>
            <w:numRestart w:val="eachPage"/>
          </w:footnotePr>
          <w:pgSz w:w="11909" w:h="16834"/>
          <w:pgMar w:top="704" w:right="1099" w:bottom="667" w:left="456" w:header="0" w:footer="3" w:gutter="0"/>
          <w:cols w:num="2" w:space="225"/>
          <w:noEndnote/>
          <w:docGrid w:linePitch="360"/>
        </w:sectPr>
      </w:pPr>
      <w:bookmarkStart w:id="246" w:name="bookmark245"/>
      <w:r>
        <w:rPr>
          <w:color w:val="FFFFFF"/>
        </w:rPr>
        <w:t>VAS VKUS I NÁROKY USPOKOJÍ</w:t>
      </w:r>
      <w:bookmarkEnd w:id="246"/>
    </w:p>
    <w:p w:rsidR="00500724" w:rsidRDefault="00F30FB8">
      <w:pPr>
        <w:spacing w:line="14" w:lineRule="exact"/>
      </w:pPr>
      <w:r>
        <w:rPr>
          <w:noProof/>
        </w:rPr>
        <mc:AlternateContent>
          <mc:Choice Requires="wps">
            <w:drawing>
              <wp:anchor distT="101600" distB="3073400" distL="827405" distR="2854325" simplePos="0" relativeHeight="125829622" behindDoc="0" locked="0" layoutInCell="1" allowOverlap="1">
                <wp:simplePos x="0" y="0"/>
                <wp:positionH relativeFrom="page">
                  <wp:posOffset>981710</wp:posOffset>
                </wp:positionH>
                <wp:positionV relativeFrom="paragraph">
                  <wp:posOffset>2560320</wp:posOffset>
                </wp:positionV>
                <wp:extent cx="3136265" cy="96647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3136265" cy="966470"/>
                        </a:xfrm>
                        <a:prstGeom prst="rect">
                          <a:avLst/>
                        </a:prstGeom>
                        <a:noFill/>
                      </wps:spPr>
                      <wps:txbx>
                        <w:txbxContent>
                          <w:p w:rsidR="00500724" w:rsidRDefault="00F30FB8">
                            <w:pPr>
                              <w:pStyle w:val="Jin0"/>
                              <w:shd w:val="clear" w:color="auto" w:fill="auto"/>
                              <w:spacing w:after="120"/>
                              <w:ind w:left="620" w:firstLine="0"/>
                              <w:jc w:val="left"/>
                              <w:rPr>
                                <w:sz w:val="88"/>
                                <w:szCs w:val="88"/>
                              </w:rPr>
                            </w:pPr>
                            <w:r>
                              <w:rPr>
                                <w:rFonts w:ascii="Arial" w:eastAsia="Arial" w:hAnsi="Arial" w:cs="Arial"/>
                                <w:i/>
                                <w:iCs/>
                                <w:sz w:val="88"/>
                                <w:szCs w:val="88"/>
                              </w:rPr>
                              <w:t>ftaSé kafat</w:t>
                            </w:r>
                          </w:p>
                          <w:p w:rsidR="00500724" w:rsidRDefault="00F30FB8">
                            <w:pPr>
                              <w:pStyle w:val="Jin0"/>
                              <w:shd w:val="clear" w:color="auto" w:fill="auto"/>
                              <w:ind w:firstLine="0"/>
                              <w:jc w:val="left"/>
                              <w:rPr>
                                <w:sz w:val="28"/>
                                <w:szCs w:val="28"/>
                              </w:rPr>
                            </w:pPr>
                            <w:r>
                              <w:rPr>
                                <w:rFonts w:ascii="Arial" w:eastAsia="Arial" w:hAnsi="Arial" w:cs="Arial"/>
                                <w:sz w:val="28"/>
                                <w:szCs w:val="28"/>
                              </w:rPr>
                              <w:t>Roste u nás, vyrábí se v Pardubicích</w:t>
                            </w:r>
                          </w:p>
                        </w:txbxContent>
                      </wps:txbx>
                      <wps:bodyPr lIns="0" tIns="0" rIns="0" bIns="0">
                        <a:spAutoFit/>
                      </wps:bodyPr>
                    </wps:wsp>
                  </a:graphicData>
                </a:graphic>
              </wp:anchor>
            </w:drawing>
          </mc:Choice>
          <mc:Fallback>
            <w:pict>
              <v:shape id="_x0000_s1271" type="#_x0000_t202" style="position:absolute;margin-left:77.299999999999997pt;margin-top:201.59999999999999pt;width:246.94999999999999pt;height:76.099999999999994pt;z-index:-125829131;mso-wrap-distance-left:65.150000000000006pt;mso-wrap-distance-top:8.pt;mso-wrap-distance-right:224.75pt;mso-wrap-distance-bottom:242.pt;mso-position-horizontal-relative:page" filled="f" stroked="f">
                <v:textbox style="mso-fit-shape-to-text:t" inset="0,0,0,0">
                  <w:txbxContent>
                    <w:p>
                      <w:pPr>
                        <w:pStyle w:val="Style12"/>
                        <w:keepNext w:val="0"/>
                        <w:keepLines w:val="0"/>
                        <w:widowControl w:val="0"/>
                        <w:shd w:val="clear" w:color="auto" w:fill="auto"/>
                        <w:bidi w:val="0"/>
                        <w:spacing w:before="0" w:after="120" w:line="240" w:lineRule="auto"/>
                        <w:ind w:left="620" w:right="0" w:firstLine="0"/>
                        <w:jc w:val="left"/>
                        <w:rPr>
                          <w:sz w:val="88"/>
                          <w:szCs w:val="88"/>
                        </w:rPr>
                      </w:pPr>
                      <w:r>
                        <w:rPr>
                          <w:rFonts w:ascii="Arial" w:eastAsia="Arial" w:hAnsi="Arial" w:cs="Arial"/>
                          <w:i/>
                          <w:iCs/>
                          <w:color w:val="000000"/>
                          <w:spacing w:val="0"/>
                          <w:w w:val="100"/>
                          <w:position w:val="0"/>
                          <w:sz w:val="88"/>
                          <w:szCs w:val="88"/>
                          <w:shd w:val="clear" w:color="auto" w:fill="auto"/>
                          <w:lang w:val="cs-CZ" w:eastAsia="cs-CZ" w:bidi="cs-CZ"/>
                        </w:rPr>
                        <w:t>ftaSé kafat</w:t>
                      </w:r>
                    </w:p>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color w:val="000000"/>
                          <w:spacing w:val="0"/>
                          <w:w w:val="100"/>
                          <w:position w:val="0"/>
                          <w:sz w:val="28"/>
                          <w:szCs w:val="28"/>
                          <w:shd w:val="clear" w:color="auto" w:fill="auto"/>
                          <w:lang w:val="cs-CZ" w:eastAsia="cs-CZ" w:bidi="cs-CZ"/>
                        </w:rPr>
                        <w:t>Roste u nás, vyrábí se v Pardubicích</w:t>
                      </w:r>
                    </w:p>
                  </w:txbxContent>
                </v:textbox>
                <w10:wrap type="topAndBottom" anchorx="page"/>
              </v:shape>
            </w:pict>
          </mc:Fallback>
        </mc:AlternateContent>
      </w:r>
      <w:r>
        <w:rPr>
          <w:noProof/>
        </w:rPr>
        <mc:AlternateContent>
          <mc:Choice Requires="wps">
            <w:drawing>
              <wp:anchor distT="409575" distB="2978785" distL="4012565" distR="1013460" simplePos="0" relativeHeight="125829624" behindDoc="0" locked="0" layoutInCell="1" allowOverlap="1">
                <wp:simplePos x="0" y="0"/>
                <wp:positionH relativeFrom="page">
                  <wp:posOffset>4166870</wp:posOffset>
                </wp:positionH>
                <wp:positionV relativeFrom="paragraph">
                  <wp:posOffset>2868295</wp:posOffset>
                </wp:positionV>
                <wp:extent cx="1791970" cy="753110"/>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1791970" cy="753110"/>
                        </a:xfrm>
                        <a:prstGeom prst="rect">
                          <a:avLst/>
                        </a:prstGeom>
                        <a:noFill/>
                      </wps:spPr>
                      <wps:txbx>
                        <w:txbxContent>
                          <w:p w:rsidR="00500724" w:rsidRDefault="00F30FB8">
                            <w:pPr>
                              <w:pStyle w:val="Jin0"/>
                              <w:shd w:val="clear" w:color="auto" w:fill="auto"/>
                              <w:ind w:firstLine="0"/>
                              <w:jc w:val="left"/>
                              <w:rPr>
                                <w:sz w:val="100"/>
                                <w:szCs w:val="100"/>
                              </w:rPr>
                            </w:pPr>
                            <w:r>
                              <w:rPr>
                                <w:i/>
                                <w:iCs/>
                                <w:sz w:val="100"/>
                                <w:szCs w:val="100"/>
                              </w:rPr>
                              <w:t>Vew€a,</w:t>
                            </w:r>
                          </w:p>
                        </w:txbxContent>
                      </wps:txbx>
                      <wps:bodyPr lIns="0" tIns="0" rIns="0" bIns="0">
                        <a:spAutoFit/>
                      </wps:bodyPr>
                    </wps:wsp>
                  </a:graphicData>
                </a:graphic>
              </wp:anchor>
            </w:drawing>
          </mc:Choice>
          <mc:Fallback>
            <w:pict>
              <v:shape id="_x0000_s1273" type="#_x0000_t202" style="position:absolute;margin-left:328.10000000000002pt;margin-top:225.84999999999999pt;width:141.09999999999999pt;height:59.299999999999997pt;z-index:-125829129;mso-wrap-distance-left:315.94999999999999pt;mso-wrap-distance-top:32.25pt;mso-wrap-distance-right:79.799999999999997pt;mso-wrap-distance-bottom:234.55000000000001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00"/>
                          <w:szCs w:val="100"/>
                        </w:rPr>
                      </w:pPr>
                      <w:r>
                        <w:rPr>
                          <w:i/>
                          <w:iCs/>
                          <w:color w:val="000000"/>
                          <w:spacing w:val="0"/>
                          <w:w w:val="100"/>
                          <w:position w:val="0"/>
                          <w:sz w:val="100"/>
                          <w:szCs w:val="100"/>
                          <w:shd w:val="clear" w:color="auto" w:fill="auto"/>
                          <w:lang w:val="cs-CZ" w:eastAsia="cs-CZ" w:bidi="cs-CZ"/>
                        </w:rPr>
                        <w:t>Vew€a,</w:t>
                      </w:r>
                    </w:p>
                  </w:txbxContent>
                </v:textbox>
                <w10:wrap type="topAndBottom" anchorx="page"/>
              </v:shape>
            </w:pict>
          </mc:Fallback>
        </mc:AlternateContent>
      </w:r>
      <w:r>
        <w:rPr>
          <w:noProof/>
        </w:rPr>
        <mc:AlternateContent>
          <mc:Choice Requires="wps">
            <w:drawing>
              <wp:anchor distT="1268730" distB="1720215" distL="114300" distR="135890" simplePos="0" relativeHeight="125829626" behindDoc="0" locked="0" layoutInCell="1" allowOverlap="1">
                <wp:simplePos x="0" y="0"/>
                <wp:positionH relativeFrom="page">
                  <wp:posOffset>267970</wp:posOffset>
                </wp:positionH>
                <wp:positionV relativeFrom="paragraph">
                  <wp:posOffset>3727450</wp:posOffset>
                </wp:positionV>
                <wp:extent cx="6568440" cy="115189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6568440" cy="1151890"/>
                        </a:xfrm>
                        <a:prstGeom prst="rect">
                          <a:avLst/>
                        </a:prstGeom>
                        <a:noFill/>
                      </wps:spPr>
                      <wps:txbx>
                        <w:txbxContent>
                          <w:p w:rsidR="00500724" w:rsidRDefault="00F30FB8">
                            <w:pPr>
                              <w:pStyle w:val="Zkladntext100"/>
                              <w:shd w:val="clear" w:color="auto" w:fill="auto"/>
                              <w:spacing w:line="233" w:lineRule="auto"/>
                              <w:ind w:firstLine="0"/>
                              <w:jc w:val="right"/>
                              <w:rPr>
                                <w:sz w:val="19"/>
                                <w:szCs w:val="19"/>
                              </w:rPr>
                            </w:pPr>
                            <w:r>
                              <w:rPr>
                                <w:b/>
                                <w:bCs/>
                                <w:sz w:val="20"/>
                                <w:szCs w:val="20"/>
                              </w:rPr>
                              <w:t xml:space="preserve">OBSAH PŘÍTOMNOSTI Č. </w:t>
                            </w:r>
                            <w:r>
                              <w:rPr>
                                <w:b/>
                                <w:bCs/>
                                <w:sz w:val="19"/>
                                <w:szCs w:val="19"/>
                              </w:rPr>
                              <w:t xml:space="preserve">10: F. PEROUTKA: Co by </w:t>
                            </w:r>
                            <w:r>
                              <w:rPr>
                                <w:b/>
                                <w:bCs/>
                                <w:sz w:val="19"/>
                                <w:szCs w:val="19"/>
                              </w:rPr>
                              <w:t>dělal dnes Masaryk - MILENA JESENSKÁ: Dobrá rada nad zlato. — JAN MUKA&amp;OVSKÝ: Karel Čapekspisovatel — JOSEF PACIITA: Připravuje se Anglie na válku? —</w:t>
                            </w:r>
                          </w:p>
                          <w:p w:rsidR="00500724" w:rsidRDefault="00F30FB8">
                            <w:pPr>
                              <w:pStyle w:val="Zkladntext100"/>
                              <w:shd w:val="clear" w:color="auto" w:fill="auto"/>
                              <w:tabs>
                                <w:tab w:val="left" w:pos="644"/>
                              </w:tabs>
                              <w:spacing w:after="40" w:line="233" w:lineRule="auto"/>
                              <w:ind w:left="380" w:firstLine="20"/>
                              <w:rPr>
                                <w:sz w:val="19"/>
                                <w:szCs w:val="19"/>
                              </w:rPr>
                            </w:pPr>
                            <w:r>
                              <w:rPr>
                                <w:b/>
                                <w:bCs/>
                                <w:sz w:val="19"/>
                                <w:szCs w:val="19"/>
                              </w:rPr>
                              <w:t>J.</w:t>
                            </w:r>
                            <w:r>
                              <w:rPr>
                                <w:b/>
                                <w:bCs/>
                                <w:sz w:val="19"/>
                                <w:szCs w:val="19"/>
                              </w:rPr>
                              <w:tab/>
                              <w:t>SEDLÁK: Maďarské řešeni židovské otázky — ANTONÍN PEŠL: Evropské osy se připravuji k velké rozpravě — K</w:t>
                            </w:r>
                            <w:r>
                              <w:rPr>
                                <w:b/>
                                <w:bCs/>
                                <w:sz w:val="19"/>
                                <w:szCs w:val="19"/>
                              </w:rPr>
                              <w:t>ORNEL SYNEK: Jak se na nás dívají Němci po vojensku — VÁCLAV VLK: City malého národa — FRANTIŠEK NOVOTNÝ: Německé vysoké školy v Praze — FRANT. JIROUŠEK: Odpověď německým nacionálním socialistům — Češi a první slovenská státní půjčka — Když bylí Němci pora</w:t>
                            </w:r>
                            <w:r>
                              <w:rPr>
                                <w:b/>
                                <w:bCs/>
                                <w:sz w:val="19"/>
                                <w:szCs w:val="19"/>
                              </w:rPr>
                              <w:t>žení.. — Příklad upřímné dohody mezi Německem a naší republikou — Program Národní strany práce — Dopis generála Medka — Jak se o nás píše v Německa</w:t>
                            </w:r>
                          </w:p>
                          <w:p w:rsidR="00500724" w:rsidRDefault="00F30FB8">
                            <w:pPr>
                              <w:pStyle w:val="Jin0"/>
                              <w:shd w:val="clear" w:color="auto" w:fill="auto"/>
                              <w:ind w:firstLine="0"/>
                              <w:jc w:val="right"/>
                              <w:rPr>
                                <w:sz w:val="15"/>
                                <w:szCs w:val="15"/>
                              </w:rPr>
                            </w:pPr>
                            <w:r>
                              <w:rPr>
                                <w:b/>
                                <w:bCs/>
                                <w:sz w:val="16"/>
                                <w:szCs w:val="16"/>
                              </w:rPr>
                              <w:t xml:space="preserve">- </w:t>
                            </w:r>
                            <w:r>
                              <w:rPr>
                                <w:b/>
                                <w:bCs/>
                                <w:sz w:val="16"/>
                                <w:szCs w:val="16"/>
                                <w:vertAlign w:val="superscript"/>
                              </w:rPr>
                              <w:t>,</w:t>
                            </w:r>
                            <w:r>
                              <w:rPr>
                                <w:b/>
                                <w:bCs/>
                                <w:sz w:val="16"/>
                                <w:szCs w:val="16"/>
                              </w:rPr>
                              <w:t>'""</w:t>
                            </w:r>
                            <w:r>
                              <w:rPr>
                                <w:b/>
                                <w:bCs/>
                                <w:sz w:val="16"/>
                                <w:szCs w:val="16"/>
                                <w:vertAlign w:val="superscript"/>
                              </w:rPr>
                              <w:t>J</w:t>
                            </w:r>
                            <w:r>
                              <w:rPr>
                                <w:b/>
                                <w:bCs/>
                                <w:sz w:val="16"/>
                                <w:szCs w:val="16"/>
                              </w:rPr>
                              <w:t xml:space="preserve">"~rnttn—nn—n——~~n-ir^»niiiiiiiiiiininn </w:t>
                            </w:r>
                            <w:r>
                              <w:rPr>
                                <w:rFonts w:ascii="Arial" w:eastAsia="Arial" w:hAnsi="Arial" w:cs="Arial"/>
                                <w:b/>
                                <w:bCs/>
                                <w:sz w:val="15"/>
                                <w:szCs w:val="15"/>
                              </w:rPr>
                              <w:t>»imnin.._ii_Liii.j—mfniin«iM« Miifnimua i [■■imi—i</w:t>
                            </w:r>
                          </w:p>
                        </w:txbxContent>
                      </wps:txbx>
                      <wps:bodyPr lIns="0" tIns="0" rIns="0" bIns="0">
                        <a:spAutoFit/>
                      </wps:bodyPr>
                    </wps:wsp>
                  </a:graphicData>
                </a:graphic>
              </wp:anchor>
            </w:drawing>
          </mc:Choice>
          <mc:Fallback>
            <w:pict>
              <v:shape id="_x0000_s1275" type="#_x0000_t202" style="position:absolute;margin-left:21.100000000000001pt;margin-top:293.5pt;width:517.20000000000005pt;height:90.700000000000003pt;z-index:-125829127;mso-wrap-distance-left:9.pt;mso-wrap-distance-top:99.900000000000006pt;mso-wrap-distance-right:10.699999999999999pt;mso-wrap-distance-bottom:135.44999999999999pt;mso-position-horizontal-relative:page" filled="f" stroked="f">
                <v:textbox style="mso-fit-shape-to-text:t" inset="0,0,0,0">
                  <w:txbxContent>
                    <w:p>
                      <w:pPr>
                        <w:pStyle w:val="Style344"/>
                        <w:keepNext w:val="0"/>
                        <w:keepLines w:val="0"/>
                        <w:widowControl w:val="0"/>
                        <w:shd w:val="clear" w:color="auto" w:fill="auto"/>
                        <w:bidi w:val="0"/>
                        <w:spacing w:before="0" w:after="0" w:line="233" w:lineRule="auto"/>
                        <w:ind w:left="0" w:right="0" w:firstLine="0"/>
                        <w:jc w:val="right"/>
                        <w:rPr>
                          <w:sz w:val="19"/>
                          <w:szCs w:val="19"/>
                        </w:rPr>
                      </w:pPr>
                      <w:r>
                        <w:rPr>
                          <w:b/>
                          <w:bCs/>
                          <w:color w:val="000000"/>
                          <w:spacing w:val="0"/>
                          <w:w w:val="100"/>
                          <w:position w:val="0"/>
                          <w:sz w:val="20"/>
                          <w:szCs w:val="20"/>
                          <w:shd w:val="clear" w:color="auto" w:fill="auto"/>
                          <w:lang w:val="cs-CZ" w:eastAsia="cs-CZ" w:bidi="cs-CZ"/>
                        </w:rPr>
                        <w:t xml:space="preserve">OBSAH PŘÍTOMNOSTI Č. </w:t>
                      </w:r>
                      <w:r>
                        <w:rPr>
                          <w:b/>
                          <w:bCs/>
                          <w:color w:val="000000"/>
                          <w:spacing w:val="0"/>
                          <w:w w:val="100"/>
                          <w:position w:val="0"/>
                          <w:sz w:val="19"/>
                          <w:szCs w:val="19"/>
                          <w:shd w:val="clear" w:color="auto" w:fill="auto"/>
                          <w:lang w:val="cs-CZ" w:eastAsia="cs-CZ" w:bidi="cs-CZ"/>
                        </w:rPr>
                        <w:t>10: F. PEROUTKA: Co by dělal dnes Masaryk - MILENA JESENSKÁ: Dobrá rada nad zlato. — JAN MUKA&amp;OVSKÝ: Karel Čapekspisovatel — JOSEF PACIITA: Připravuje se Anglie na válku? —</w:t>
                      </w:r>
                    </w:p>
                    <w:p>
                      <w:pPr>
                        <w:pStyle w:val="Style344"/>
                        <w:keepNext w:val="0"/>
                        <w:keepLines w:val="0"/>
                        <w:widowControl w:val="0"/>
                        <w:shd w:val="clear" w:color="auto" w:fill="auto"/>
                        <w:tabs>
                          <w:tab w:pos="644" w:val="left"/>
                        </w:tabs>
                        <w:bidi w:val="0"/>
                        <w:spacing w:before="0" w:after="40" w:line="233" w:lineRule="auto"/>
                        <w:ind w:left="380" w:right="0" w:firstLine="20"/>
                        <w:rPr>
                          <w:sz w:val="19"/>
                          <w:szCs w:val="19"/>
                        </w:rPr>
                      </w:pPr>
                      <w:r>
                        <w:rPr>
                          <w:b/>
                          <w:bCs/>
                          <w:color w:val="000000"/>
                          <w:spacing w:val="0"/>
                          <w:w w:val="100"/>
                          <w:position w:val="0"/>
                          <w:sz w:val="19"/>
                          <w:szCs w:val="19"/>
                          <w:shd w:val="clear" w:color="auto" w:fill="auto"/>
                          <w:lang w:val="cs-CZ" w:eastAsia="cs-CZ" w:bidi="cs-CZ"/>
                        </w:rPr>
                        <w:t>J.</w:t>
                        <w:tab/>
                        <w:t>SEDLÁK: Maďarské řešeni židovské otázky — ANTONÍN PEŠL: Evropské osy se připravuji k velké rozpravě — KORNEL SYNEK: Jak se na nás dívají Němci po vojensku — VÁCLAV VLK: City malého národa — FRANTIŠEK NOVOTNÝ: Německé vysoké školy v Praze — FRANT. JIROUŠEK: Odpověď německým nacionálním socialistům — Češi a první slovenská státní půjčka — Když bylí Němci poražení.. — Příklad upřímné dohody mezi Německem a naší republikou — Program Národní strany práce — Dopis generála Medka — Jak se o nás píše v Německa</w:t>
                      </w:r>
                    </w:p>
                    <w:p>
                      <w:pPr>
                        <w:pStyle w:val="Style12"/>
                        <w:keepNext w:val="0"/>
                        <w:keepLines w:val="0"/>
                        <w:widowControl w:val="0"/>
                        <w:shd w:val="clear" w:color="auto" w:fill="auto"/>
                        <w:bidi w:val="0"/>
                        <w:spacing w:before="0" w:after="0" w:line="240" w:lineRule="auto"/>
                        <w:ind w:left="0" w:right="0" w:firstLine="0"/>
                        <w:jc w:val="right"/>
                        <w:rPr>
                          <w:sz w:val="15"/>
                          <w:szCs w:val="15"/>
                        </w:rPr>
                      </w:pPr>
                      <w:r>
                        <w:rPr>
                          <w:b/>
                          <w:bCs/>
                          <w:color w:val="000000"/>
                          <w:spacing w:val="0"/>
                          <w:w w:val="100"/>
                          <w:position w:val="0"/>
                          <w:sz w:val="16"/>
                          <w:szCs w:val="16"/>
                          <w:shd w:val="clear" w:color="auto" w:fill="auto"/>
                          <w:lang w:val="cs-CZ" w:eastAsia="cs-CZ" w:bidi="cs-CZ"/>
                        </w:rPr>
                        <w:t xml:space="preserve">- </w:t>
                      </w:r>
                      <w:r>
                        <w:rPr>
                          <w:b/>
                          <w:bCs/>
                          <w:color w:val="000000"/>
                          <w:spacing w:val="0"/>
                          <w:w w:val="100"/>
                          <w:position w:val="0"/>
                          <w:sz w:val="16"/>
                          <w:szCs w:val="16"/>
                          <w:shd w:val="clear" w:color="auto" w:fill="auto"/>
                          <w:vertAlign w:val="superscript"/>
                          <w:lang w:val="cs-CZ" w:eastAsia="cs-CZ" w:bidi="cs-CZ"/>
                        </w:rPr>
                        <w:t>,</w:t>
                      </w:r>
                      <w:r>
                        <w:rPr>
                          <w:b/>
                          <w:bCs/>
                          <w:color w:val="000000"/>
                          <w:spacing w:val="0"/>
                          <w:w w:val="100"/>
                          <w:position w:val="0"/>
                          <w:sz w:val="16"/>
                          <w:szCs w:val="16"/>
                          <w:shd w:val="clear" w:color="auto" w:fill="auto"/>
                          <w:lang w:val="cs-CZ" w:eastAsia="cs-CZ" w:bidi="cs-CZ"/>
                        </w:rPr>
                        <w:t>'""</w:t>
                      </w:r>
                      <w:r>
                        <w:rPr>
                          <w:b/>
                          <w:bCs/>
                          <w:color w:val="000000"/>
                          <w:spacing w:val="0"/>
                          <w:w w:val="100"/>
                          <w:position w:val="0"/>
                          <w:sz w:val="16"/>
                          <w:szCs w:val="16"/>
                          <w:shd w:val="clear" w:color="auto" w:fill="auto"/>
                          <w:vertAlign w:val="superscript"/>
                          <w:lang w:val="cs-CZ" w:eastAsia="cs-CZ" w:bidi="cs-CZ"/>
                        </w:rPr>
                        <w:t>J</w:t>
                      </w:r>
                      <w:r>
                        <w:rPr>
                          <w:b/>
                          <w:bCs/>
                          <w:color w:val="000000"/>
                          <w:spacing w:val="0"/>
                          <w:w w:val="100"/>
                          <w:position w:val="0"/>
                          <w:sz w:val="16"/>
                          <w:szCs w:val="16"/>
                          <w:shd w:val="clear" w:color="auto" w:fill="auto"/>
                          <w:lang w:val="cs-CZ" w:eastAsia="cs-CZ" w:bidi="cs-CZ"/>
                        </w:rPr>
                        <w:t xml:space="preserve">"~rnttn—nn—n——~~n-ir^»niiiiiiiiiiininn </w:t>
                      </w:r>
                      <w:r>
                        <w:rPr>
                          <w:rFonts w:ascii="Arial" w:eastAsia="Arial" w:hAnsi="Arial" w:cs="Arial"/>
                          <w:b/>
                          <w:bCs/>
                          <w:color w:val="000000"/>
                          <w:spacing w:val="0"/>
                          <w:w w:val="100"/>
                          <w:position w:val="0"/>
                          <w:sz w:val="15"/>
                          <w:szCs w:val="15"/>
                          <w:shd w:val="clear" w:color="auto" w:fill="auto"/>
                          <w:lang w:val="cs-CZ" w:eastAsia="cs-CZ" w:bidi="cs-CZ"/>
                        </w:rPr>
                        <w:t>»imnin.._ii_Liii.j—mfniin«iM« Miifnimua i [■■imi—i</w:t>
                      </w:r>
                    </w:p>
                  </w:txbxContent>
                </v:textbox>
                <w10:wrap type="topAndBottom" anchorx="page"/>
              </v:shape>
            </w:pict>
          </mc:Fallback>
        </mc:AlternateContent>
      </w:r>
      <w:r>
        <w:rPr>
          <w:noProof/>
        </w:rPr>
        <mc:AlternateContent>
          <mc:Choice Requires="wps">
            <w:drawing>
              <wp:anchor distT="2487930" distB="921385" distL="175260" distR="3957955" simplePos="0" relativeHeight="125829628" behindDoc="0" locked="0" layoutInCell="1" allowOverlap="1">
                <wp:simplePos x="0" y="0"/>
                <wp:positionH relativeFrom="page">
                  <wp:posOffset>328930</wp:posOffset>
                </wp:positionH>
                <wp:positionV relativeFrom="paragraph">
                  <wp:posOffset>4946650</wp:posOffset>
                </wp:positionV>
                <wp:extent cx="2685415" cy="73152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2685415" cy="731520"/>
                        </a:xfrm>
                        <a:prstGeom prst="rect">
                          <a:avLst/>
                        </a:prstGeom>
                        <a:noFill/>
                      </wps:spPr>
                      <wps:txbx>
                        <w:txbxContent>
                          <w:p w:rsidR="00500724" w:rsidRDefault="00F30FB8">
                            <w:pPr>
                              <w:pStyle w:val="Jin0"/>
                              <w:shd w:val="clear" w:color="auto" w:fill="auto"/>
                              <w:ind w:firstLine="0"/>
                              <w:jc w:val="left"/>
                              <w:rPr>
                                <w:sz w:val="82"/>
                                <w:szCs w:val="82"/>
                              </w:rPr>
                            </w:pPr>
                            <w:r>
                              <w:rPr>
                                <w:rFonts w:ascii="Arial" w:eastAsia="Arial" w:hAnsi="Arial" w:cs="Arial"/>
                                <w:sz w:val="82"/>
                                <w:szCs w:val="82"/>
                              </w:rPr>
                              <w:t>Přítomnosti</w:t>
                            </w:r>
                          </w:p>
                        </w:txbxContent>
                      </wps:txbx>
                      <wps:bodyPr lIns="0" tIns="0" rIns="0" bIns="0">
                        <a:spAutoFit/>
                      </wps:bodyPr>
                    </wps:wsp>
                  </a:graphicData>
                </a:graphic>
              </wp:anchor>
            </w:drawing>
          </mc:Choice>
          <mc:Fallback>
            <w:pict>
              <v:shape id="_x0000_s1277" type="#_x0000_t202" style="position:absolute;margin-left:25.899999999999999pt;margin-top:389.5pt;width:211.44999999999999pt;height:57.600000000000001pt;z-index:-125829125;mso-wrap-distance-left:13.800000000000001pt;mso-wrap-distance-top:195.90000000000001pt;mso-wrap-distance-right:311.64999999999998pt;mso-wrap-distance-bottom:72.549999999999997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2"/>
                          <w:szCs w:val="82"/>
                        </w:rPr>
                      </w:pPr>
                      <w:r>
                        <w:rPr>
                          <w:rFonts w:ascii="Arial" w:eastAsia="Arial" w:hAnsi="Arial" w:cs="Arial"/>
                          <w:color w:val="000000"/>
                          <w:spacing w:val="0"/>
                          <w:w w:val="100"/>
                          <w:position w:val="0"/>
                          <w:sz w:val="82"/>
                          <w:szCs w:val="82"/>
                          <w:shd w:val="clear" w:color="auto" w:fill="auto"/>
                          <w:lang w:val="cs-CZ" w:eastAsia="cs-CZ" w:bidi="cs-CZ"/>
                        </w:rPr>
                        <w:t>Přítomnosti</w:t>
                      </w:r>
                    </w:p>
                  </w:txbxContent>
                </v:textbox>
                <w10:wrap type="topAndBottom" anchorx="page"/>
              </v:shape>
            </w:pict>
          </mc:Fallback>
        </mc:AlternateContent>
      </w:r>
      <w:r>
        <w:rPr>
          <w:noProof/>
        </w:rPr>
        <mc:AlternateContent>
          <mc:Choice Requires="wps">
            <w:drawing>
              <wp:anchor distT="3366135" distB="412750" distL="205740" distR="3936365" simplePos="0" relativeHeight="125829630" behindDoc="0" locked="0" layoutInCell="1" allowOverlap="1">
                <wp:simplePos x="0" y="0"/>
                <wp:positionH relativeFrom="page">
                  <wp:posOffset>359410</wp:posOffset>
                </wp:positionH>
                <wp:positionV relativeFrom="paragraph">
                  <wp:posOffset>5824855</wp:posOffset>
                </wp:positionV>
                <wp:extent cx="2675890" cy="362585"/>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2675890" cy="362585"/>
                        </a:xfrm>
                        <a:prstGeom prst="rect">
                          <a:avLst/>
                        </a:prstGeom>
                        <a:noFill/>
                      </wps:spPr>
                      <wps:txbx>
                        <w:txbxContent>
                          <w:p w:rsidR="00500724" w:rsidRDefault="00F30FB8">
                            <w:pPr>
                              <w:pStyle w:val="Jin0"/>
                              <w:shd w:val="clear" w:color="auto" w:fill="auto"/>
                              <w:ind w:firstLine="0"/>
                              <w:jc w:val="left"/>
                              <w:rPr>
                                <w:sz w:val="46"/>
                                <w:szCs w:val="46"/>
                              </w:rPr>
                            </w:pPr>
                            <w:r>
                              <w:rPr>
                                <w:sz w:val="46"/>
                                <w:szCs w:val="46"/>
                              </w:rPr>
                              <w:t>řídí Ferd. Peroutka</w:t>
                            </w:r>
                          </w:p>
                        </w:txbxContent>
                      </wps:txbx>
                      <wps:bodyPr lIns="0" tIns="0" rIns="0" bIns="0">
                        <a:spAutoFit/>
                      </wps:bodyPr>
                    </wps:wsp>
                  </a:graphicData>
                </a:graphic>
              </wp:anchor>
            </w:drawing>
          </mc:Choice>
          <mc:Fallback>
            <w:pict>
              <v:shape id="_x0000_s1279" type="#_x0000_t202" style="position:absolute;margin-left:28.300000000000001pt;margin-top:458.64999999999998pt;width:210.69999999999999pt;height:28.550000000000001pt;z-index:-125829123;mso-wrap-distance-left:16.199999999999999pt;mso-wrap-distance-top:265.05000000000001pt;mso-wrap-distance-right:309.94999999999999pt;mso-wrap-distance-bottom:32.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shd w:val="clear" w:color="auto" w:fill="auto"/>
                          <w:lang w:val="cs-CZ" w:eastAsia="cs-CZ" w:bidi="cs-CZ"/>
                        </w:rPr>
                        <w:t>řídí Ferd. Peroutka</w:t>
                      </w:r>
                    </w:p>
                  </w:txbxContent>
                </v:textbox>
                <w10:wrap type="topAndBottom" anchorx="page"/>
              </v:shape>
            </w:pict>
          </mc:Fallback>
        </mc:AlternateContent>
      </w:r>
      <w:r>
        <w:rPr>
          <w:noProof/>
        </w:rPr>
        <mc:AlternateContent>
          <mc:Choice Requires="wps">
            <w:drawing>
              <wp:anchor distT="2424430" distB="254000" distL="3077210" distR="114300" simplePos="0" relativeHeight="125829632" behindDoc="0" locked="0" layoutInCell="1" allowOverlap="1">
                <wp:simplePos x="0" y="0"/>
                <wp:positionH relativeFrom="page">
                  <wp:posOffset>3230880</wp:posOffset>
                </wp:positionH>
                <wp:positionV relativeFrom="paragraph">
                  <wp:posOffset>4883150</wp:posOffset>
                </wp:positionV>
                <wp:extent cx="3627120" cy="1463040"/>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3627120" cy="1463040"/>
                        </a:xfrm>
                        <a:prstGeom prst="rect">
                          <a:avLst/>
                        </a:prstGeom>
                        <a:noFill/>
                      </wps:spPr>
                      <wps:txbx>
                        <w:txbxContent>
                          <w:p w:rsidR="00500724" w:rsidRDefault="00F30FB8">
                            <w:pPr>
                              <w:pStyle w:val="Nadpis80"/>
                              <w:keepNext/>
                              <w:keepLines/>
                              <w:shd w:val="clear" w:color="auto" w:fill="auto"/>
                              <w:spacing w:after="160"/>
                            </w:pPr>
                            <w:bookmarkStart w:id="247" w:name="bookmark246"/>
                            <w:r>
                              <w:t>nezávislý týdeník</w:t>
                            </w:r>
                            <w:bookmarkEnd w:id="247"/>
                          </w:p>
                          <w:p w:rsidR="00500724" w:rsidRDefault="00F30FB8">
                            <w:pPr>
                              <w:pStyle w:val="Zkladntext50"/>
                              <w:shd w:val="clear" w:color="auto" w:fill="auto"/>
                              <w:spacing w:after="80" w:line="158" w:lineRule="auto"/>
                              <w:ind w:left="0"/>
                              <w:jc w:val="center"/>
                            </w:pPr>
                            <w:r>
                              <w:t>vychází ve středu v nakladatelství</w:t>
                            </w:r>
                          </w:p>
                          <w:p w:rsidR="00500724" w:rsidRDefault="00F30FB8">
                            <w:pPr>
                              <w:pStyle w:val="Zkladntext50"/>
                              <w:shd w:val="clear" w:color="auto" w:fill="auto"/>
                              <w:spacing w:after="80" w:line="158" w:lineRule="auto"/>
                              <w:ind w:left="0"/>
                              <w:jc w:val="center"/>
                            </w:pPr>
                            <w:r>
                              <w:t>FR. BOROVÝ V PRAZE I., NÁRODNÍ TfelDA 11.</w:t>
                            </w:r>
                          </w:p>
                          <w:p w:rsidR="00500724" w:rsidRDefault="00F30FB8">
                            <w:pPr>
                              <w:pStyle w:val="Zkladntext100"/>
                              <w:shd w:val="clear" w:color="auto" w:fill="auto"/>
                              <w:spacing w:after="80" w:line="151" w:lineRule="auto"/>
                              <w:ind w:firstLine="0"/>
                            </w:pPr>
                            <w:r>
                              <w:t>Telefon Cisto 390-51 až 54 » Účet poštovní spořitelny Cislo 35.623 • Nevy</w:t>
                            </w:r>
                            <w:r>
                              <w:softHyphen/>
                            </w:r>
                            <w:r>
                              <w:t xml:space="preserve">žádané rukopisy se nevraceli • Předplatné na rok K 100.—, na púl roku K 50.—. na čtvrt roku K 25.—, Jednotlivá Cisla K 2.—. </w:t>
                            </w:r>
                            <w:r>
                              <w:rPr>
                                <w:lang w:val="en-US" w:eastAsia="en-US" w:bidi="en-US"/>
                              </w:rPr>
                              <w:t xml:space="preserve">Pour </w:t>
                            </w:r>
                            <w:r>
                              <w:t>la Fran</w:t>
                            </w:r>
                            <w:r>
                              <w:softHyphen/>
                              <w:t xml:space="preserve">ce et ses </w:t>
                            </w:r>
                            <w:r>
                              <w:rPr>
                                <w:lang w:val="en-US" w:eastAsia="en-US" w:bidi="en-US"/>
                              </w:rPr>
                              <w:t xml:space="preserve">Colonies </w:t>
                            </w:r>
                            <w:r>
                              <w:t xml:space="preserve">Frs 2.50. • Dohlédací pošt. úřad Brno </w:t>
                            </w:r>
                            <w:r>
                              <w:rPr>
                                <w:b/>
                                <w:bCs/>
                                <w:sz w:val="19"/>
                                <w:szCs w:val="19"/>
                              </w:rPr>
                              <w:t xml:space="preserve">IL • Novin, </w:t>
                            </w:r>
                            <w:r>
                              <w:t xml:space="preserve">sazba povolena </w:t>
                            </w:r>
                            <w:r>
                              <w:rPr>
                                <w:b/>
                                <w:bCs/>
                                <w:sz w:val="19"/>
                                <w:szCs w:val="19"/>
                              </w:rPr>
                              <w:t xml:space="preserve">v </w:t>
                            </w:r>
                            <w:r>
                              <w:t>Brně řed. pošt a telegrafů pod Ci</w:t>
                            </w:r>
                            <w:r>
                              <w:t>s. 119.268/IHa. • Odpovědný redaktor J. Dlabač.</w:t>
                            </w:r>
                          </w:p>
                          <w:p w:rsidR="00500724" w:rsidRDefault="00F30FB8">
                            <w:pPr>
                              <w:pStyle w:val="Zkladntext50"/>
                              <w:shd w:val="clear" w:color="auto" w:fill="auto"/>
                              <w:spacing w:after="80" w:line="158" w:lineRule="auto"/>
                              <w:ind w:left="0"/>
                              <w:jc w:val="center"/>
                            </w:pPr>
                            <w:r>
                              <w:t>TISKEM LIDOVĚ TISKÁRNY, BRNO, ČESKA 4.</w:t>
                            </w:r>
                          </w:p>
                        </w:txbxContent>
                      </wps:txbx>
                      <wps:bodyPr lIns="0" tIns="0" rIns="0" bIns="0">
                        <a:spAutoFit/>
                      </wps:bodyPr>
                    </wps:wsp>
                  </a:graphicData>
                </a:graphic>
              </wp:anchor>
            </w:drawing>
          </mc:Choice>
          <mc:Fallback>
            <w:pict>
              <v:shape id="_x0000_s1281" type="#_x0000_t202" style="position:absolute;margin-left:254.40000000000001pt;margin-top:384.5pt;width:285.60000000000002pt;height:115.2pt;z-index:-125829121;mso-wrap-distance-left:242.30000000000001pt;mso-wrap-distance-top:190.90000000000001pt;mso-wrap-distance-right:9.pt;mso-wrap-distance-bottom:20.pt;mso-position-horizontal-relative:page" filled="f" stroked="f">
                <v:textbox style="mso-fit-shape-to-text:t" inset="0,0,0,0">
                  <w:txbxContent>
                    <w:p>
                      <w:pPr>
                        <w:pStyle w:val="Style56"/>
                        <w:keepNext/>
                        <w:keepLines/>
                        <w:widowControl w:val="0"/>
                        <w:shd w:val="clear" w:color="auto" w:fill="auto"/>
                        <w:bidi w:val="0"/>
                        <w:spacing w:before="0" w:after="160" w:line="240" w:lineRule="auto"/>
                        <w:ind w:left="0" w:right="0" w:firstLine="0"/>
                        <w:jc w:val="left"/>
                      </w:pPr>
                      <w:bookmarkStart w:id="246" w:name="bookmark246"/>
                      <w:r>
                        <w:rPr>
                          <w:color w:val="000000"/>
                          <w:spacing w:val="0"/>
                          <w:w w:val="100"/>
                          <w:position w:val="0"/>
                          <w:shd w:val="clear" w:color="auto" w:fill="auto"/>
                          <w:lang w:val="cs-CZ" w:eastAsia="cs-CZ" w:bidi="cs-CZ"/>
                        </w:rPr>
                        <w:t>nezávislý týdeník</w:t>
                      </w:r>
                      <w:bookmarkEnd w:id="246"/>
                    </w:p>
                    <w:p>
                      <w:pPr>
                        <w:pStyle w:val="Style80"/>
                        <w:keepNext w:val="0"/>
                        <w:keepLines w:val="0"/>
                        <w:widowControl w:val="0"/>
                        <w:shd w:val="clear" w:color="auto" w:fill="auto"/>
                        <w:bidi w:val="0"/>
                        <w:spacing w:before="0" w:after="80" w:line="158" w:lineRule="auto"/>
                        <w:ind w:left="0" w:right="0" w:firstLine="0"/>
                        <w:jc w:val="center"/>
                      </w:pPr>
                      <w:r>
                        <w:rPr>
                          <w:color w:val="000000"/>
                          <w:spacing w:val="0"/>
                          <w:w w:val="100"/>
                          <w:position w:val="0"/>
                          <w:shd w:val="clear" w:color="auto" w:fill="auto"/>
                          <w:lang w:val="cs-CZ" w:eastAsia="cs-CZ" w:bidi="cs-CZ"/>
                        </w:rPr>
                        <w:t>vychází ve středu v nakladatelství</w:t>
                      </w:r>
                    </w:p>
                    <w:p>
                      <w:pPr>
                        <w:pStyle w:val="Style80"/>
                        <w:keepNext w:val="0"/>
                        <w:keepLines w:val="0"/>
                        <w:widowControl w:val="0"/>
                        <w:shd w:val="clear" w:color="auto" w:fill="auto"/>
                        <w:bidi w:val="0"/>
                        <w:spacing w:before="0" w:after="80" w:line="158" w:lineRule="auto"/>
                        <w:ind w:left="0" w:right="0" w:firstLine="0"/>
                        <w:jc w:val="center"/>
                      </w:pPr>
                      <w:r>
                        <w:rPr>
                          <w:color w:val="000000"/>
                          <w:spacing w:val="0"/>
                          <w:w w:val="100"/>
                          <w:position w:val="0"/>
                          <w:shd w:val="clear" w:color="auto" w:fill="auto"/>
                          <w:lang w:val="cs-CZ" w:eastAsia="cs-CZ" w:bidi="cs-CZ"/>
                        </w:rPr>
                        <w:t>FR. BOROVÝ V PRAZE I., NÁRODNÍ TfelDA 11.</w:t>
                      </w:r>
                    </w:p>
                    <w:p>
                      <w:pPr>
                        <w:pStyle w:val="Style344"/>
                        <w:keepNext w:val="0"/>
                        <w:keepLines w:val="0"/>
                        <w:widowControl w:val="0"/>
                        <w:shd w:val="clear" w:color="auto" w:fill="auto"/>
                        <w:bidi w:val="0"/>
                        <w:spacing w:before="0" w:after="80" w:line="151" w:lineRule="auto"/>
                        <w:ind w:left="0" w:right="0" w:firstLine="0"/>
                      </w:pPr>
                      <w:r>
                        <w:rPr>
                          <w:color w:val="000000"/>
                          <w:spacing w:val="0"/>
                          <w:w w:val="100"/>
                          <w:position w:val="0"/>
                          <w:sz w:val="18"/>
                          <w:szCs w:val="18"/>
                          <w:shd w:val="clear" w:color="auto" w:fill="auto"/>
                          <w:lang w:val="cs-CZ" w:eastAsia="cs-CZ" w:bidi="cs-CZ"/>
                        </w:rPr>
                        <w:t>Telefon Cisto 390-51 až 54 » Účet poštovní spořitelny Cislo 35.623 • Nevy</w:t>
                        <w:softHyphen/>
                        <w:t xml:space="preserve">žádané rukopisy se nevraceli • Předplatné na rok K 100.—, na púl roku K 50.—. na čtvrt roku K 25.—, Jednotlivá Cisla K 2.—. </w:t>
                      </w:r>
                      <w:r>
                        <w:rPr>
                          <w:color w:val="000000"/>
                          <w:spacing w:val="0"/>
                          <w:w w:val="100"/>
                          <w:position w:val="0"/>
                          <w:sz w:val="18"/>
                          <w:szCs w:val="18"/>
                          <w:shd w:val="clear" w:color="auto" w:fill="auto"/>
                          <w:lang w:val="en-US" w:eastAsia="en-US" w:bidi="en-US"/>
                        </w:rPr>
                        <w:t xml:space="preserve">Pour </w:t>
                      </w:r>
                      <w:r>
                        <w:rPr>
                          <w:color w:val="000000"/>
                          <w:spacing w:val="0"/>
                          <w:w w:val="100"/>
                          <w:position w:val="0"/>
                          <w:sz w:val="18"/>
                          <w:szCs w:val="18"/>
                          <w:shd w:val="clear" w:color="auto" w:fill="auto"/>
                          <w:lang w:val="cs-CZ" w:eastAsia="cs-CZ" w:bidi="cs-CZ"/>
                        </w:rPr>
                        <w:t>la Fran</w:t>
                        <w:softHyphen/>
                        <w:t xml:space="preserve">ce et ses </w:t>
                      </w:r>
                      <w:r>
                        <w:rPr>
                          <w:color w:val="000000"/>
                          <w:spacing w:val="0"/>
                          <w:w w:val="100"/>
                          <w:position w:val="0"/>
                          <w:sz w:val="18"/>
                          <w:szCs w:val="18"/>
                          <w:shd w:val="clear" w:color="auto" w:fill="auto"/>
                          <w:lang w:val="en-US" w:eastAsia="en-US" w:bidi="en-US"/>
                        </w:rPr>
                        <w:t xml:space="preserve">Colonies </w:t>
                      </w:r>
                      <w:r>
                        <w:rPr>
                          <w:color w:val="000000"/>
                          <w:spacing w:val="0"/>
                          <w:w w:val="100"/>
                          <w:position w:val="0"/>
                          <w:sz w:val="18"/>
                          <w:szCs w:val="18"/>
                          <w:shd w:val="clear" w:color="auto" w:fill="auto"/>
                          <w:lang w:val="cs-CZ" w:eastAsia="cs-CZ" w:bidi="cs-CZ"/>
                        </w:rPr>
                        <w:t xml:space="preserve">Frs 2.50. • Dohlédací pošt. úřad Brno </w:t>
                      </w:r>
                      <w:r>
                        <w:rPr>
                          <w:b/>
                          <w:bCs/>
                          <w:color w:val="000000"/>
                          <w:spacing w:val="0"/>
                          <w:w w:val="100"/>
                          <w:position w:val="0"/>
                          <w:sz w:val="19"/>
                          <w:szCs w:val="19"/>
                          <w:shd w:val="clear" w:color="auto" w:fill="auto"/>
                          <w:lang w:val="cs-CZ" w:eastAsia="cs-CZ" w:bidi="cs-CZ"/>
                        </w:rPr>
                        <w:t xml:space="preserve">IL • Novin, </w:t>
                      </w:r>
                      <w:r>
                        <w:rPr>
                          <w:color w:val="000000"/>
                          <w:spacing w:val="0"/>
                          <w:w w:val="100"/>
                          <w:position w:val="0"/>
                          <w:sz w:val="18"/>
                          <w:szCs w:val="18"/>
                          <w:shd w:val="clear" w:color="auto" w:fill="auto"/>
                          <w:lang w:val="cs-CZ" w:eastAsia="cs-CZ" w:bidi="cs-CZ"/>
                        </w:rPr>
                        <w:t xml:space="preserve">sazba povolena </w:t>
                      </w:r>
                      <w:r>
                        <w:rPr>
                          <w:b/>
                          <w:bCs/>
                          <w:color w:val="000000"/>
                          <w:spacing w:val="0"/>
                          <w:w w:val="100"/>
                          <w:position w:val="0"/>
                          <w:sz w:val="19"/>
                          <w:szCs w:val="19"/>
                          <w:shd w:val="clear" w:color="auto" w:fill="auto"/>
                          <w:lang w:val="cs-CZ" w:eastAsia="cs-CZ" w:bidi="cs-CZ"/>
                        </w:rPr>
                        <w:t xml:space="preserve">v </w:t>
                      </w:r>
                      <w:r>
                        <w:rPr>
                          <w:color w:val="000000"/>
                          <w:spacing w:val="0"/>
                          <w:w w:val="100"/>
                          <w:position w:val="0"/>
                          <w:sz w:val="18"/>
                          <w:szCs w:val="18"/>
                          <w:shd w:val="clear" w:color="auto" w:fill="auto"/>
                          <w:lang w:val="cs-CZ" w:eastAsia="cs-CZ" w:bidi="cs-CZ"/>
                        </w:rPr>
                        <w:t>Brně řed. pošt a telegrafů pod Cis. 119.268/IHa. • Odpovědný redaktor J. Dlabač.</w:t>
                      </w:r>
                    </w:p>
                    <w:p>
                      <w:pPr>
                        <w:pStyle w:val="Style80"/>
                        <w:keepNext w:val="0"/>
                        <w:keepLines w:val="0"/>
                        <w:widowControl w:val="0"/>
                        <w:shd w:val="clear" w:color="auto" w:fill="auto"/>
                        <w:bidi w:val="0"/>
                        <w:spacing w:before="0" w:after="80" w:line="158" w:lineRule="auto"/>
                        <w:ind w:left="0" w:right="0" w:firstLine="0"/>
                        <w:jc w:val="center"/>
                      </w:pPr>
                      <w:r>
                        <w:rPr>
                          <w:color w:val="000000"/>
                          <w:spacing w:val="0"/>
                          <w:w w:val="100"/>
                          <w:position w:val="0"/>
                          <w:shd w:val="clear" w:color="auto" w:fill="auto"/>
                          <w:lang w:val="cs-CZ" w:eastAsia="cs-CZ" w:bidi="cs-CZ"/>
                        </w:rPr>
                        <w:t>TISKEM LIDOVĚ TISKÁRNY, BRNO, ČESKA 4.</w:t>
                      </w:r>
                    </w:p>
                  </w:txbxContent>
                </v:textbox>
                <w10:wrap type="topAndBottom" anchorx="page"/>
              </v:shape>
            </w:pict>
          </mc:Fallback>
        </mc:AlternateContent>
      </w:r>
    </w:p>
    <w:p w:rsidR="00500724" w:rsidRDefault="00F30FB8">
      <w:pPr>
        <w:pStyle w:val="Jin0"/>
        <w:shd w:val="clear" w:color="auto" w:fill="auto"/>
        <w:spacing w:after="40"/>
        <w:ind w:firstLine="0"/>
        <w:rPr>
          <w:sz w:val="26"/>
          <w:szCs w:val="26"/>
        </w:rPr>
      </w:pPr>
      <w:r>
        <w:rPr>
          <w:b/>
          <w:bCs/>
          <w:i/>
          <w:iCs/>
          <w:sz w:val="26"/>
          <w:szCs w:val="26"/>
        </w:rPr>
        <w:t>Světovou sensací</w:t>
      </w:r>
    </w:p>
    <w:p w:rsidR="00500724" w:rsidRDefault="00F30FB8">
      <w:pPr>
        <w:pStyle w:val="Nadpis110"/>
        <w:shd w:val="clear" w:color="auto" w:fill="auto"/>
        <w:spacing w:after="120"/>
        <w:ind w:left="500"/>
      </w:pPr>
      <w:bookmarkStart w:id="248" w:name="bookmark247"/>
      <w:r>
        <w:t>prvního řáeíu jsou</w:t>
      </w:r>
      <w:bookmarkEnd w:id="248"/>
    </w:p>
    <w:p w:rsidR="00500724" w:rsidRDefault="00F30FB8">
      <w:pPr>
        <w:pStyle w:val="Jin0"/>
        <w:shd w:val="clear" w:color="auto" w:fill="auto"/>
        <w:spacing w:after="120"/>
        <w:ind w:firstLine="0"/>
        <w:jc w:val="right"/>
        <w:rPr>
          <w:sz w:val="32"/>
          <w:szCs w:val="32"/>
        </w:rPr>
      </w:pPr>
      <w:r>
        <w:rPr>
          <w:rFonts w:ascii="Arial" w:eastAsia="Arial" w:hAnsi="Arial" w:cs="Arial"/>
          <w:b/>
          <w:bCs/>
          <w:sz w:val="32"/>
          <w:szCs w:val="32"/>
        </w:rPr>
        <w:t>švýcarské psací střele</w:t>
      </w:r>
    </w:p>
    <w:p w:rsidR="00500724" w:rsidRDefault="00F30FB8">
      <w:pPr>
        <w:pStyle w:val="Zkladntext50"/>
        <w:shd w:val="clear" w:color="auto" w:fill="auto"/>
        <w:spacing w:after="40" w:line="233" w:lineRule="auto"/>
        <w:ind w:left="0"/>
      </w:pPr>
      <w:r>
        <w:t>* automatem pásky, oboustran</w:t>
      </w:r>
      <w:r>
        <w:softHyphen/>
        <w:t>ným vypínačem okraje a vel</w:t>
      </w:r>
      <w:r>
        <w:softHyphen/>
        <w:t>kou řádkovou páskou, * ele</w:t>
      </w:r>
      <w:r>
        <w:softHyphen/>
        <w:t>gantním kufříkem</w:t>
      </w:r>
    </w:p>
    <w:p w:rsidR="00500724" w:rsidRDefault="00F30FB8">
      <w:pPr>
        <w:pStyle w:val="Nadpis110"/>
        <w:shd w:val="clear" w:color="auto" w:fill="auto"/>
        <w:spacing w:after="120"/>
        <w:jc w:val="right"/>
      </w:pPr>
      <w:bookmarkStart w:id="249" w:name="bookmark248"/>
      <w:r>
        <w:rPr>
          <w:u w:val="single"/>
        </w:rPr>
        <w:t xml:space="preserve">JEN K </w:t>
      </w:r>
      <w:r>
        <w:rPr>
          <w:u w:val="single"/>
        </w:rPr>
        <w:t>1340-</w:t>
      </w:r>
      <w:bookmarkEnd w:id="249"/>
    </w:p>
    <w:p w:rsidR="00500724" w:rsidRDefault="00F30FB8">
      <w:pPr>
        <w:pStyle w:val="Zkladntext40"/>
        <w:shd w:val="clear" w:color="auto" w:fill="auto"/>
        <w:spacing w:after="120" w:line="240" w:lineRule="auto"/>
        <w:rPr>
          <w:sz w:val="16"/>
          <w:szCs w:val="16"/>
        </w:rPr>
      </w:pPr>
      <w:r>
        <w:rPr>
          <w:b/>
          <w:bCs/>
          <w:sz w:val="16"/>
          <w:szCs w:val="16"/>
        </w:rPr>
        <w:t>Žádejte předvedeni dalších modelů.</w:t>
      </w:r>
    </w:p>
    <w:p w:rsidR="00500724" w:rsidRDefault="00F30FB8">
      <w:pPr>
        <w:pStyle w:val="Jin0"/>
        <w:shd w:val="clear" w:color="auto" w:fill="auto"/>
        <w:ind w:firstLine="0"/>
        <w:jc w:val="left"/>
        <w:rPr>
          <w:sz w:val="44"/>
          <w:szCs w:val="44"/>
        </w:rPr>
      </w:pPr>
      <w:r>
        <w:rPr>
          <w:rFonts w:ascii="Calibri" w:eastAsia="Calibri" w:hAnsi="Calibri" w:cs="Calibri"/>
          <w:b/>
          <w:bCs/>
          <w:w w:val="70"/>
          <w:sz w:val="44"/>
          <w:szCs w:val="44"/>
        </w:rPr>
        <w:t>CHOCHOLA A SPOL,</w:t>
      </w:r>
    </w:p>
    <w:p w:rsidR="00500724" w:rsidRDefault="00F30FB8">
      <w:pPr>
        <w:pStyle w:val="Zkladntext50"/>
        <w:pBdr>
          <w:bottom w:val="single" w:sz="4" w:space="0" w:color="auto"/>
        </w:pBdr>
        <w:shd w:val="clear" w:color="auto" w:fill="auto"/>
        <w:spacing w:after="120" w:line="240" w:lineRule="auto"/>
        <w:ind w:left="0"/>
      </w:pPr>
      <w:r>
        <w:t>PRAHA, Václavské n. 23, v pasáži</w:t>
      </w:r>
    </w:p>
    <w:p w:rsidR="00500724" w:rsidRDefault="00F30FB8">
      <w:pPr>
        <w:spacing w:line="1" w:lineRule="exact"/>
        <w:rPr>
          <w:sz w:val="2"/>
          <w:szCs w:val="2"/>
        </w:rPr>
      </w:pPr>
      <w:r>
        <w:br w:type="column"/>
      </w:r>
    </w:p>
    <w:p w:rsidR="00500724" w:rsidRDefault="00F30FB8">
      <w:pPr>
        <w:pStyle w:val="Jin0"/>
        <w:shd w:val="clear" w:color="auto" w:fill="auto"/>
        <w:ind w:firstLine="0"/>
        <w:jc w:val="center"/>
        <w:rPr>
          <w:sz w:val="30"/>
          <w:szCs w:val="30"/>
        </w:rPr>
      </w:pPr>
      <w:r>
        <w:rPr>
          <w:rFonts w:ascii="Calibri" w:eastAsia="Calibri" w:hAnsi="Calibri" w:cs="Calibri"/>
          <w:b/>
          <w:bCs/>
          <w:sz w:val="30"/>
          <w:szCs w:val="30"/>
        </w:rPr>
        <w:t>KRAUS&amp;SPOL</w:t>
      </w:r>
    </w:p>
    <w:p w:rsidR="00500724" w:rsidRDefault="00F30FB8">
      <w:pPr>
        <w:pStyle w:val="Nadpis120"/>
        <w:shd w:val="clear" w:color="auto" w:fill="auto"/>
        <w:ind w:left="0"/>
        <w:jc w:val="center"/>
      </w:pPr>
      <w:bookmarkStart w:id="250" w:name="bookmark249"/>
      <w:r>
        <w:rPr>
          <w:rFonts w:ascii="Arial" w:eastAsia="Arial" w:hAnsi="Arial" w:cs="Arial"/>
        </w:rPr>
        <w:t>krejčí pro pány a dámy</w:t>
      </w:r>
      <w:bookmarkEnd w:id="250"/>
    </w:p>
    <w:p w:rsidR="00500724" w:rsidRDefault="00F30FB8">
      <w:pPr>
        <w:pStyle w:val="Nadpis120"/>
        <w:shd w:val="clear" w:color="auto" w:fill="auto"/>
        <w:spacing w:line="228" w:lineRule="auto"/>
        <w:ind w:left="0" w:right="140"/>
        <w:jc w:val="right"/>
      </w:pPr>
      <w:bookmarkStart w:id="251" w:name="bookmark250"/>
      <w:r>
        <w:t>PRAHA H..</w:t>
      </w:r>
      <w:bookmarkEnd w:id="251"/>
    </w:p>
    <w:p w:rsidR="00500724" w:rsidRDefault="00F30FB8">
      <w:pPr>
        <w:pStyle w:val="Zkladntext30"/>
        <w:shd w:val="clear" w:color="auto" w:fill="auto"/>
        <w:tabs>
          <w:tab w:val="left" w:pos="3667"/>
        </w:tabs>
        <w:spacing w:after="240" w:line="204" w:lineRule="auto"/>
        <w:ind w:firstLine="0"/>
        <w:rPr>
          <w:sz w:val="20"/>
          <w:szCs w:val="20"/>
        </w:rPr>
      </w:pPr>
      <w:r>
        <w:rPr>
          <w:sz w:val="20"/>
          <w:szCs w:val="20"/>
        </w:rPr>
        <w:t>Telefon 309-69</w:t>
      </w:r>
      <w:r>
        <w:rPr>
          <w:sz w:val="20"/>
          <w:szCs w:val="20"/>
        </w:rPr>
        <w:tab/>
        <w:t>Panská ul. 10</w:t>
      </w:r>
    </w:p>
    <w:p w:rsidR="00500724" w:rsidRDefault="00F30FB8">
      <w:pPr>
        <w:pStyle w:val="Jin0"/>
        <w:shd w:val="clear" w:color="auto" w:fill="auto"/>
        <w:ind w:firstLine="0"/>
        <w:jc w:val="center"/>
        <w:rPr>
          <w:sz w:val="13"/>
          <w:szCs w:val="13"/>
        </w:rPr>
      </w:pPr>
      <w:r>
        <w:rPr>
          <w:b/>
          <w:bCs/>
          <w:sz w:val="13"/>
          <w:szCs w:val="13"/>
        </w:rPr>
        <w:t>OBUV PRO VYSSl NÁROKY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30"/>
        <w:shd w:val="clear" w:color="auto" w:fill="auto"/>
        <w:spacing w:after="120" w:line="240" w:lineRule="auto"/>
        <w:ind w:right="140" w:firstLine="0"/>
        <w:jc w:val="right"/>
        <w:rPr>
          <w:sz w:val="20"/>
          <w:szCs w:val="20"/>
        </w:rPr>
      </w:pPr>
      <w:r>
        <w:rPr>
          <w:sz w:val="20"/>
          <w:szCs w:val="20"/>
        </w:rPr>
        <w:t>PRAHA I., PŘÍKOPY 33, schodiště A. TeL 315-28.</w:t>
      </w:r>
    </w:p>
    <w:p w:rsidR="00500724" w:rsidRDefault="00F30FB8">
      <w:pPr>
        <w:pStyle w:val="Jin0"/>
        <w:shd w:val="clear" w:color="auto" w:fill="auto"/>
        <w:spacing w:before="120" w:after="120"/>
        <w:ind w:firstLine="0"/>
        <w:jc w:val="center"/>
        <w:rPr>
          <w:sz w:val="32"/>
          <w:szCs w:val="32"/>
        </w:rPr>
      </w:pPr>
      <w:r>
        <w:rPr>
          <w:sz w:val="30"/>
          <w:szCs w:val="30"/>
        </w:rPr>
        <w:t xml:space="preserve">čtěte </w:t>
      </w:r>
      <w:r>
        <w:rPr>
          <w:rFonts w:ascii="Cambria" w:eastAsia="Cambria" w:hAnsi="Cambria" w:cs="Cambria"/>
          <w:b/>
          <w:bCs/>
          <w:i/>
          <w:iCs/>
          <w:sz w:val="32"/>
          <w:szCs w:val="32"/>
        </w:rPr>
        <w:t>UDOVt, NOVINY</w:t>
      </w:r>
      <w:r>
        <w:br w:type="page"/>
      </w:r>
    </w:p>
    <w:p w:rsidR="00500724" w:rsidRDefault="00F30FB8">
      <w:pPr>
        <w:pStyle w:val="Jin0"/>
        <w:shd w:val="clear" w:color="auto" w:fill="auto"/>
        <w:spacing w:after="60"/>
        <w:ind w:firstLine="0"/>
        <w:jc w:val="center"/>
        <w:rPr>
          <w:sz w:val="34"/>
          <w:szCs w:val="34"/>
        </w:rPr>
      </w:pPr>
      <w:r>
        <w:rPr>
          <w:sz w:val="34"/>
          <w:szCs w:val="34"/>
        </w:rPr>
        <w:t>Místo úvodníku</w:t>
      </w:r>
    </w:p>
    <w:p w:rsidR="00500724" w:rsidRDefault="00F30FB8">
      <w:pPr>
        <w:pStyle w:val="Jin0"/>
        <w:shd w:val="clear" w:color="auto" w:fill="auto"/>
        <w:spacing w:line="223" w:lineRule="auto"/>
        <w:ind w:firstLine="280"/>
        <w:rPr>
          <w:sz w:val="26"/>
          <w:szCs w:val="26"/>
        </w:rPr>
      </w:pPr>
      <w:r>
        <w:rPr>
          <w:b/>
          <w:bCs/>
          <w:sz w:val="26"/>
          <w:szCs w:val="26"/>
        </w:rPr>
        <w:t>Redakce týdeníku Přítomnost není s to technicky zvládnout události, které postupo</w:t>
      </w:r>
      <w:r>
        <w:rPr>
          <w:b/>
          <w:bCs/>
          <w:sz w:val="26"/>
          <w:szCs w:val="26"/>
        </w:rPr>
        <w:softHyphen/>
        <w:t>valy a postupují tak rychle. Úvodník, který byl pro toto číslo připraven, přímo zastaral V rotačním stroji. Všecko, co dnešní číslo při</w:t>
      </w:r>
      <w:r>
        <w:rPr>
          <w:b/>
          <w:bCs/>
          <w:sz w:val="26"/>
          <w:szCs w:val="26"/>
        </w:rPr>
        <w:softHyphen/>
        <w:t>náší čte</w:t>
      </w:r>
      <w:r>
        <w:rPr>
          <w:b/>
          <w:bCs/>
          <w:sz w:val="26"/>
          <w:szCs w:val="26"/>
        </w:rPr>
        <w:t>nářům, bylo přichystáno před několi</w:t>
      </w:r>
      <w:r>
        <w:rPr>
          <w:b/>
          <w:bCs/>
          <w:sz w:val="26"/>
          <w:szCs w:val="26"/>
        </w:rPr>
        <w:softHyphen/>
        <w:t>ka dny a prosíme je, aby je také tak přečtli.</w:t>
      </w:r>
    </w:p>
    <w:p w:rsidR="00500724" w:rsidRDefault="00F30FB8">
      <w:pPr>
        <w:pStyle w:val="Jin0"/>
        <w:shd w:val="clear" w:color="auto" w:fill="auto"/>
        <w:spacing w:line="223" w:lineRule="auto"/>
        <w:ind w:firstLine="280"/>
        <w:rPr>
          <w:sz w:val="26"/>
          <w:szCs w:val="26"/>
        </w:rPr>
        <w:sectPr w:rsidR="00500724">
          <w:footnotePr>
            <w:numFmt w:val="chicago"/>
            <w:numRestart w:val="eachPage"/>
          </w:footnotePr>
          <w:type w:val="continuous"/>
          <w:pgSz w:w="11909" w:h="16834"/>
          <w:pgMar w:top="1401" w:right="1069" w:bottom="170" w:left="624" w:header="0" w:footer="3" w:gutter="0"/>
          <w:cols w:num="2" w:space="100"/>
          <w:noEndnote/>
          <w:docGrid w:linePitch="360"/>
        </w:sectPr>
      </w:pPr>
      <w:r>
        <w:rPr>
          <w:b/>
          <w:bCs/>
          <w:sz w:val="26"/>
          <w:szCs w:val="26"/>
        </w:rPr>
        <w:t xml:space="preserve">Dnes můžeme říci jenom několik šloví český národ prožil </w:t>
      </w:r>
      <w:r>
        <w:rPr>
          <w:i/>
          <w:iCs/>
          <w:sz w:val="30"/>
          <w:szCs w:val="30"/>
        </w:rPr>
        <w:t>v.</w:t>
      </w:r>
      <w:r>
        <w:rPr>
          <w:b/>
          <w:bCs/>
          <w:sz w:val="26"/>
          <w:szCs w:val="26"/>
        </w:rPr>
        <w:t xml:space="preserve"> posledních několika málo dnech změny velmi dalekosáhlé. Zacho</w:t>
      </w:r>
      <w:r>
        <w:rPr>
          <w:b/>
          <w:bCs/>
          <w:sz w:val="26"/>
          <w:szCs w:val="26"/>
        </w:rPr>
        <w:softHyphen/>
        <w:t xml:space="preserve">val se i tentokrát </w:t>
      </w:r>
      <w:r>
        <w:rPr>
          <w:b/>
          <w:bCs/>
          <w:sz w:val="26"/>
          <w:szCs w:val="26"/>
        </w:rPr>
        <w:t>obdivuhodně klidně, dů</w:t>
      </w:r>
      <w:r>
        <w:rPr>
          <w:b/>
          <w:bCs/>
          <w:sz w:val="26"/>
          <w:szCs w:val="26"/>
        </w:rPr>
        <w:softHyphen/>
        <w:t>stojně a ukázněně. Říšský kancléř Adolf Hitler, který ve chvíli, kdy dáváme tyta řádky do stroje, přijel na pražský hrad, za</w:t>
      </w:r>
      <w:r>
        <w:rPr>
          <w:b/>
          <w:bCs/>
          <w:sz w:val="26"/>
          <w:szCs w:val="26"/>
        </w:rPr>
        <w:softHyphen/>
        <w:t>ručil svým slovem Čechům autonomní vývoj a národní svébytnost. Tato svébytnost se nám stane v příštích dobác</w:t>
      </w:r>
      <w:r>
        <w:rPr>
          <w:b/>
          <w:bCs/>
          <w:sz w:val="26"/>
          <w:szCs w:val="26"/>
        </w:rPr>
        <w:t>h drahým statkem, jehož ochranu a vývoj svěřuje nám všem doi rukou dnešní den. Važme si tohoto úkolu, který naší generaci svěřují dějiny, a staňme se ho hodni.</w:t>
      </w:r>
    </w:p>
    <w:p w:rsidR="00500724" w:rsidRDefault="00500724">
      <w:pPr>
        <w:spacing w:line="15" w:lineRule="exact"/>
        <w:rPr>
          <w:sz w:val="2"/>
          <w:szCs w:val="2"/>
        </w:rPr>
      </w:pPr>
    </w:p>
    <w:p w:rsidR="00500724" w:rsidRDefault="00500724">
      <w:pPr>
        <w:spacing w:line="14" w:lineRule="exact"/>
        <w:sectPr w:rsidR="00500724">
          <w:footnotePr>
            <w:numFmt w:val="chicago"/>
            <w:numRestart w:val="eachPage"/>
          </w:footnotePr>
          <w:type w:val="continuous"/>
          <w:pgSz w:w="11909" w:h="16834"/>
          <w:pgMar w:top="2075" w:right="0" w:bottom="523" w:left="0" w:header="0" w:footer="3" w:gutter="0"/>
          <w:cols w:space="720"/>
          <w:noEndnote/>
          <w:docGrid w:linePitch="360"/>
        </w:sectPr>
      </w:pPr>
    </w:p>
    <w:p w:rsidR="00500724" w:rsidRDefault="00F30FB8">
      <w:pPr>
        <w:spacing w:line="14" w:lineRule="exact"/>
      </w:pPr>
      <w:r>
        <w:rPr>
          <w:noProof/>
        </w:rPr>
        <mc:AlternateContent>
          <mc:Choice Requires="wps">
            <w:drawing>
              <wp:anchor distT="0" distB="254000" distL="114300" distR="114300" simplePos="0" relativeHeight="125829634" behindDoc="0" locked="0" layoutInCell="1" allowOverlap="1">
                <wp:simplePos x="0" y="0"/>
                <wp:positionH relativeFrom="page">
                  <wp:posOffset>6805930</wp:posOffset>
                </wp:positionH>
                <wp:positionV relativeFrom="paragraph">
                  <wp:posOffset>5641975</wp:posOffset>
                </wp:positionV>
                <wp:extent cx="191770" cy="213360"/>
                <wp:effectExtent l="0" t="0" r="0" b="0"/>
                <wp:wrapTopAndBottom/>
                <wp:docPr id="257" name="Shape 257"/>
                <wp:cNvGraphicFramePr/>
                <a:graphic xmlns:a="http://schemas.openxmlformats.org/drawingml/2006/main">
                  <a:graphicData uri="http://schemas.microsoft.com/office/word/2010/wordprocessingShape">
                    <wps:wsp>
                      <wps:cNvSpPr txBox="1"/>
                      <wps:spPr>
                        <a:xfrm>
                          <a:off x="0" y="0"/>
                          <a:ext cx="19177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lál</w:t>
                            </w:r>
                          </w:p>
                        </w:txbxContent>
                      </wps:txbx>
                      <wps:bodyPr lIns="0" tIns="0" rIns="0" bIns="0">
                        <a:spAutoFit/>
                      </wps:bodyPr>
                    </wps:wsp>
                  </a:graphicData>
                </a:graphic>
              </wp:anchor>
            </w:drawing>
          </mc:Choice>
          <mc:Fallback>
            <w:pict>
              <v:shape id="_x0000_s1283" type="#_x0000_t202" style="position:absolute;margin-left:535.89999999999998pt;margin-top:444.25pt;width:15.1pt;height:16.800000000000001pt;z-index:-125829119;mso-wrap-distance-left:9.pt;mso-wrap-distance-right:9.pt;mso-wrap-distance-bottom:20.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lál</w:t>
                      </w:r>
                    </w:p>
                  </w:txbxContent>
                </v:textbox>
                <w10:wrap type="topAndBottom" anchorx="page"/>
              </v:shape>
            </w:pict>
          </mc:Fallback>
        </mc:AlternateContent>
      </w:r>
    </w:p>
    <w:p w:rsidR="00500724" w:rsidRDefault="00F30FB8">
      <w:pPr>
        <w:pStyle w:val="Nadpis80"/>
        <w:keepNext/>
        <w:keepLines/>
        <w:pBdr>
          <w:bottom w:val="single" w:sz="4" w:space="0" w:color="auto"/>
        </w:pBdr>
        <w:shd w:val="clear" w:color="auto" w:fill="auto"/>
        <w:spacing w:after="240"/>
      </w:pPr>
      <w:bookmarkStart w:id="252" w:name="bookmark251"/>
      <w:r>
        <w:rPr>
          <w:u w:val="none"/>
        </w:rPr>
        <w:t>poznámky</w:t>
      </w:r>
      <w:bookmarkEnd w:id="252"/>
    </w:p>
    <w:p w:rsidR="00500724" w:rsidRDefault="00F30FB8">
      <w:pPr>
        <w:pStyle w:val="Zkladntext30"/>
        <w:shd w:val="clear" w:color="auto" w:fill="auto"/>
        <w:spacing w:after="0" w:line="180" w:lineRule="auto"/>
        <w:ind w:firstLine="0"/>
        <w:jc w:val="center"/>
        <w:rPr>
          <w:sz w:val="20"/>
          <w:szCs w:val="20"/>
        </w:rPr>
      </w:pPr>
      <w:r>
        <w:rPr>
          <w:b/>
          <w:bCs/>
          <w:sz w:val="20"/>
          <w:szCs w:val="20"/>
        </w:rPr>
        <w:t>Čtvrt roku Beranovy vlády</w:t>
      </w:r>
    </w:p>
    <w:p w:rsidR="00500724" w:rsidRDefault="00F30FB8">
      <w:pPr>
        <w:pStyle w:val="Zkladntext100"/>
        <w:shd w:val="clear" w:color="auto" w:fill="auto"/>
        <w:spacing w:line="194" w:lineRule="auto"/>
        <w:ind w:firstLine="320"/>
        <w:rPr>
          <w:sz w:val="19"/>
          <w:szCs w:val="19"/>
        </w:rPr>
      </w:pPr>
      <w:r>
        <w:rPr>
          <w:b/>
          <w:bCs/>
          <w:sz w:val="26"/>
          <w:szCs w:val="26"/>
        </w:rPr>
        <w:t xml:space="preserve">U </w:t>
      </w:r>
      <w:r>
        <w:rPr>
          <w:b/>
          <w:bCs/>
          <w:sz w:val="19"/>
          <w:szCs w:val="19"/>
        </w:rPr>
        <w:t xml:space="preserve">nás nebývalo zvykem </w:t>
      </w:r>
      <w:r>
        <w:rPr>
          <w:b/>
          <w:bCs/>
          <w:sz w:val="19"/>
          <w:szCs w:val="19"/>
        </w:rPr>
        <w:t>všímat sl jubilejí našich vlád, pokud se nečítaly alespoň na několik let. Styl našeho parla</w:t>
      </w:r>
      <w:r>
        <w:rPr>
          <w:b/>
          <w:bCs/>
          <w:sz w:val="19"/>
          <w:szCs w:val="19"/>
        </w:rPr>
        <w:softHyphen/>
        <w:t>mentního a politického života vedl k stabilitě, která měla ovšem světlé i stinné stránky, při tom však vychovala v nás jakýsi klid v posuzováni vlád. Nyní ovšem, co</w:t>
      </w:r>
      <w:r>
        <w:rPr>
          <w:b/>
          <w:bCs/>
          <w:sz w:val="19"/>
          <w:szCs w:val="19"/>
        </w:rPr>
        <w:t xml:space="preserve"> události ve střední Evropě dostaly tempo přímo dynamické — skoro bychom si raději o nich přečetli později knížku, než jo </w:t>
      </w:r>
      <w:r>
        <w:rPr>
          <w:b/>
          <w:bCs/>
          <w:sz w:val="26"/>
          <w:szCs w:val="26"/>
        </w:rPr>
        <w:t xml:space="preserve">s </w:t>
      </w:r>
      <w:r>
        <w:rPr>
          <w:b/>
          <w:bCs/>
          <w:sz w:val="19"/>
          <w:szCs w:val="19"/>
        </w:rPr>
        <w:t>sebou prožívali — nabývá i kratší perioda na významu.</w:t>
      </w:r>
    </w:p>
    <w:p w:rsidR="00500724" w:rsidRDefault="00F30FB8">
      <w:pPr>
        <w:pStyle w:val="Zkladntext100"/>
        <w:shd w:val="clear" w:color="auto" w:fill="auto"/>
        <w:spacing w:line="190" w:lineRule="auto"/>
        <w:ind w:firstLine="320"/>
        <w:rPr>
          <w:sz w:val="19"/>
          <w:szCs w:val="19"/>
        </w:rPr>
      </w:pPr>
      <w:r>
        <w:rPr>
          <w:b/>
          <w:bCs/>
          <w:sz w:val="19"/>
          <w:szCs w:val="19"/>
        </w:rPr>
        <w:t xml:space="preserve">Oceňovali jsme zde počátkem prosince význam prvních dvou vlád generála </w:t>
      </w:r>
      <w:r>
        <w:rPr>
          <w:b/>
          <w:bCs/>
          <w:sz w:val="19"/>
          <w:szCs w:val="19"/>
        </w:rPr>
        <w:t>Syrového a nástup vlády Beranovy. A již je nyní čas, abychom komentovali první tři měsíce jejího trvání. Toť se rozumí, že Beranova vláda od počátku zápasila s různými problémy, jež jsou pro stát exis</w:t>
      </w:r>
      <w:r>
        <w:rPr>
          <w:b/>
          <w:bCs/>
          <w:sz w:val="19"/>
          <w:szCs w:val="19"/>
        </w:rPr>
        <w:softHyphen/>
        <w:t xml:space="preserve">tenčního rázu. Je přirozené, že je nemohla zatím ještě </w:t>
      </w:r>
      <w:r>
        <w:rPr>
          <w:b/>
          <w:bCs/>
          <w:sz w:val="19"/>
          <w:szCs w:val="19"/>
        </w:rPr>
        <w:t>roz</w:t>
      </w:r>
      <w:r>
        <w:rPr>
          <w:b/>
          <w:bCs/>
          <w:sz w:val="19"/>
          <w:szCs w:val="19"/>
        </w:rPr>
        <w:softHyphen/>
        <w:t>řešit. Jednak většina předpokladů pro novou úpravu a ustá</w:t>
      </w:r>
      <w:r>
        <w:rPr>
          <w:b/>
          <w:bCs/>
          <w:sz w:val="19"/>
          <w:szCs w:val="19"/>
        </w:rPr>
        <w:softHyphen/>
        <w:t>lení věcí prostě na ní nezáleží, ta je určována událostmi a vlivy mimo ni a mimo nás všechny.</w:t>
      </w:r>
    </w:p>
    <w:p w:rsidR="00500724" w:rsidRDefault="00F30FB8">
      <w:pPr>
        <w:pStyle w:val="Zkladntext100"/>
        <w:shd w:val="clear" w:color="auto" w:fill="auto"/>
        <w:spacing w:line="187" w:lineRule="auto"/>
        <w:ind w:firstLine="320"/>
        <w:rPr>
          <w:sz w:val="19"/>
          <w:szCs w:val="19"/>
        </w:rPr>
      </w:pPr>
      <w:r>
        <w:rPr>
          <w:b/>
          <w:bCs/>
          <w:sz w:val="19"/>
          <w:szCs w:val="19"/>
        </w:rPr>
        <w:t>Jednak však 1 ty věci, které mohla sama udělat, byly nesmírně složité a čas na ně nepostačil. Konsol</w:t>
      </w:r>
      <w:r>
        <w:rPr>
          <w:b/>
          <w:bCs/>
          <w:sz w:val="19"/>
          <w:szCs w:val="19"/>
        </w:rPr>
        <w:t>idace republiky, záruka jejích hranic, forma administrativy a po</w:t>
      </w:r>
      <w:r>
        <w:rPr>
          <w:b/>
          <w:bCs/>
          <w:sz w:val="19"/>
          <w:szCs w:val="19"/>
        </w:rPr>
        <w:softHyphen/>
        <w:t>litického života, problémy Slovenska, Karpatské Ukrajiny, řád právní a nová organisace národního hospodářství doma 1 s hlediska obchodně-politického, spolu se vším, co z toho plyne pro státní</w:t>
      </w:r>
      <w:r>
        <w:rPr>
          <w:b/>
          <w:bCs/>
          <w:sz w:val="19"/>
          <w:szCs w:val="19"/>
        </w:rPr>
        <w:t xml:space="preserve"> život vůbec, to jsou zřejmě věci, které se nedají definitivně upravit bez spoluprá</w:t>
      </w:r>
      <w:r>
        <w:rPr>
          <w:b/>
          <w:bCs/>
          <w:sz w:val="19"/>
          <w:szCs w:val="19"/>
        </w:rPr>
        <w:softHyphen/>
        <w:t>ce s našimi sousedy. Ale i v tomto směru se stalo vel</w:t>
      </w:r>
      <w:r>
        <w:rPr>
          <w:b/>
          <w:bCs/>
          <w:sz w:val="19"/>
          <w:szCs w:val="19"/>
        </w:rPr>
        <w:softHyphen/>
        <w:t>mi mnoho, v některých oborech již valná část toho, co se mohlo alespoň v přípravném stadiu rozhodnout vnitrně. Vlád</w:t>
      </w:r>
      <w:r>
        <w:rPr>
          <w:b/>
          <w:bCs/>
          <w:sz w:val="19"/>
          <w:szCs w:val="19"/>
        </w:rPr>
        <w:softHyphen/>
        <w:t>ní</w:t>
      </w:r>
      <w:r>
        <w:rPr>
          <w:b/>
          <w:bCs/>
          <w:sz w:val="19"/>
          <w:szCs w:val="19"/>
        </w:rPr>
        <w:t xml:space="preserve"> systém byl reorganisován, nejnaléhavější reformy v ústřední správě se provádějí a všechna ministerstva pra</w:t>
      </w:r>
      <w:r>
        <w:rPr>
          <w:b/>
          <w:bCs/>
          <w:sz w:val="19"/>
          <w:szCs w:val="19"/>
        </w:rPr>
        <w:softHyphen/>
        <w:t>cují na státní přestavbě administrativní, politické, kultur</w:t>
      </w:r>
      <w:r>
        <w:rPr>
          <w:b/>
          <w:bCs/>
          <w:sz w:val="19"/>
          <w:szCs w:val="19"/>
        </w:rPr>
        <w:softHyphen/>
        <w:t>ní i sociálně-hospodářské. Byly zjednány předpoklady pro rozpočtové hospodaření.</w:t>
      </w:r>
    </w:p>
    <w:p w:rsidR="00500724" w:rsidRDefault="00F30FB8">
      <w:pPr>
        <w:pStyle w:val="Zkladntext100"/>
        <w:shd w:val="clear" w:color="auto" w:fill="auto"/>
        <w:spacing w:line="190" w:lineRule="auto"/>
        <w:ind w:firstLine="320"/>
        <w:rPr>
          <w:sz w:val="19"/>
          <w:szCs w:val="19"/>
        </w:rPr>
      </w:pPr>
      <w:r>
        <w:rPr>
          <w:b/>
          <w:bCs/>
          <w:sz w:val="19"/>
          <w:szCs w:val="19"/>
        </w:rPr>
        <w:t xml:space="preserve">A!e co </w:t>
      </w:r>
      <w:r>
        <w:rPr>
          <w:b/>
          <w:bCs/>
          <w:sz w:val="19"/>
          <w:szCs w:val="19"/>
        </w:rPr>
        <w:t>hlavního, Beranově vládě se podařilo udržet vnitř</w:t>
      </w:r>
      <w:r>
        <w:rPr>
          <w:b/>
          <w:bCs/>
          <w:sz w:val="19"/>
          <w:szCs w:val="19"/>
        </w:rPr>
        <w:softHyphen/>
        <w:t>ní pořádek. Nedošlo k žádným těžkým sporům mezi občany, risiko občanské války zmizelo, bylo zachováno tolik svobod lidu, kolik jen bylo možné. Všeobecně lze říci, že vláda po</w:t>
      </w:r>
      <w:r>
        <w:rPr>
          <w:b/>
          <w:bCs/>
          <w:sz w:val="19"/>
          <w:szCs w:val="19"/>
        </w:rPr>
        <w:softHyphen/>
        <w:t>stupovala s umírněností a slušn</w:t>
      </w:r>
      <w:r>
        <w:rPr>
          <w:b/>
          <w:bCs/>
          <w:sz w:val="19"/>
          <w:szCs w:val="19"/>
        </w:rPr>
        <w:t>ostí. Jen si dejme práci a za</w:t>
      </w:r>
      <w:r>
        <w:rPr>
          <w:b/>
          <w:bCs/>
          <w:sz w:val="19"/>
          <w:szCs w:val="19"/>
        </w:rPr>
        <w:softHyphen/>
        <w:t>mysleme se nad tím, jak to také vše mohlo býti jinakl Srovnejme, co se dělo v jiných státech po katastrofách ta</w:t>
      </w:r>
      <w:r>
        <w:rPr>
          <w:b/>
          <w:bCs/>
          <w:sz w:val="19"/>
          <w:szCs w:val="19"/>
        </w:rPr>
        <w:softHyphen/>
        <w:t>kového rázu, jaká potkala loni v záři náš stát!</w:t>
      </w:r>
    </w:p>
    <w:p w:rsidR="00500724" w:rsidRDefault="00F30FB8">
      <w:pPr>
        <w:pStyle w:val="Zkladntext100"/>
        <w:shd w:val="clear" w:color="auto" w:fill="auto"/>
        <w:spacing w:line="190" w:lineRule="auto"/>
        <w:ind w:firstLine="320"/>
        <w:rPr>
          <w:sz w:val="19"/>
          <w:szCs w:val="19"/>
        </w:rPr>
      </w:pPr>
      <w:r>
        <w:rPr>
          <w:b/>
          <w:bCs/>
          <w:sz w:val="19"/>
          <w:szCs w:val="19"/>
        </w:rPr>
        <w:t>Beranově vládě a její administrativě neselhaly nervy, jako neselha</w:t>
      </w:r>
      <w:r>
        <w:rPr>
          <w:b/>
          <w:bCs/>
          <w:sz w:val="19"/>
          <w:szCs w:val="19"/>
        </w:rPr>
        <w:t>ly našemu lidu. Držela se houževnatě oné poli</w:t>
      </w:r>
      <w:r>
        <w:rPr>
          <w:b/>
          <w:bCs/>
          <w:sz w:val="19"/>
          <w:szCs w:val="19"/>
        </w:rPr>
        <w:softHyphen/>
        <w:t>tické metody, která se dá už nazvat českou cestou. Dělala vše po česku, i to, co musila dělat pod tlakem změ</w:t>
      </w:r>
      <w:r>
        <w:rPr>
          <w:b/>
          <w:bCs/>
          <w:sz w:val="19"/>
          <w:szCs w:val="19"/>
        </w:rPr>
        <w:softHyphen/>
        <w:t>něných poměrů u nás, kolem nás a mezi evropskými státy. Dovedla přijmout situaci, dívat se reálně a v</w:t>
      </w:r>
      <w:r>
        <w:rPr>
          <w:b/>
          <w:bCs/>
          <w:sz w:val="19"/>
          <w:szCs w:val="19"/>
        </w:rPr>
        <w:t>yvodit důsledky. Nikoli překotně, nýbrž umírněně, zkrátka, po našem. Tento národ má tolik politického rozumu, tolik stříž, livosti, že právem možno tyto vlastnosti označit za největší zlatý poklad, který máme. V nich je naše naděje do bu</w:t>
      </w:r>
      <w:r>
        <w:rPr>
          <w:b/>
          <w:bCs/>
          <w:sz w:val="19"/>
          <w:szCs w:val="19"/>
        </w:rPr>
        <w:softHyphen/>
        <w:t>doucnosti. To oceň</w:t>
      </w:r>
      <w:r>
        <w:rPr>
          <w:b/>
          <w:bCs/>
          <w:sz w:val="19"/>
          <w:szCs w:val="19"/>
        </w:rPr>
        <w:t>uje i náš největší soused. Německý tisk, pokud analysuje situaci pro své čtenáře bez taktických tendencí, to uznává.</w:t>
      </w:r>
    </w:p>
    <w:p w:rsidR="00500724" w:rsidRDefault="00F30FB8">
      <w:pPr>
        <w:pStyle w:val="Zkladntext100"/>
        <w:shd w:val="clear" w:color="auto" w:fill="auto"/>
        <w:tabs>
          <w:tab w:val="left" w:pos="4694"/>
        </w:tabs>
        <w:spacing w:after="140" w:line="211" w:lineRule="auto"/>
        <w:ind w:firstLine="300"/>
        <w:rPr>
          <w:sz w:val="20"/>
          <w:szCs w:val="20"/>
        </w:rPr>
      </w:pPr>
      <w:r>
        <w:rPr>
          <w:b/>
          <w:bCs/>
          <w:sz w:val="19"/>
          <w:szCs w:val="19"/>
        </w:rPr>
        <w:t>Přáli bychom si, aby toto německé porozumění pro naši národní povahu a naši situaci rostlo, aby Německo chtělo v nás vidět národ, řídící se</w:t>
      </w:r>
      <w:r>
        <w:rPr>
          <w:b/>
          <w:bCs/>
          <w:sz w:val="19"/>
          <w:szCs w:val="19"/>
        </w:rPr>
        <w:t xml:space="preserve"> tímto dědičným střízlivým poli</w:t>
      </w:r>
      <w:r>
        <w:rPr>
          <w:b/>
          <w:bCs/>
          <w:sz w:val="19"/>
          <w:szCs w:val="19"/>
        </w:rPr>
        <w:softHyphen/>
        <w:t xml:space="preserve">tickým rozumem a aby nabylo proto k nám důvěry, Dojde-11 Německo </w:t>
      </w:r>
      <w:r>
        <w:rPr>
          <w:b/>
          <w:bCs/>
          <w:sz w:val="19"/>
          <w:szCs w:val="19"/>
          <w:lang w:val="en-US" w:eastAsia="en-US" w:bidi="en-US"/>
        </w:rPr>
        <w:t xml:space="preserve">ft </w:t>
      </w:r>
      <w:r>
        <w:rPr>
          <w:b/>
          <w:bCs/>
          <w:sz w:val="19"/>
          <w:szCs w:val="19"/>
        </w:rPr>
        <w:t>tomuto nazírání, bude to prospěšné nejenom nám, ale také i přes naši malost Německu, které přeco má před sebou světové úkoly, při nichž mu buda záležet také</w:t>
      </w:r>
      <w:r>
        <w:rPr>
          <w:b/>
          <w:bCs/>
          <w:sz w:val="19"/>
          <w:szCs w:val="19"/>
        </w:rPr>
        <w:t xml:space="preserve"> na tom, aby náš národ si byl vědom hodnoty tohoto porozumění se stranv svého největšího souseda.</w:t>
      </w:r>
      <w:r>
        <w:rPr>
          <w:b/>
          <w:bCs/>
          <w:sz w:val="19"/>
          <w:szCs w:val="19"/>
        </w:rPr>
        <w:tab/>
      </w:r>
      <w:r>
        <w:rPr>
          <w:b/>
          <w:bCs/>
          <w:i/>
          <w:iCs/>
          <w:sz w:val="20"/>
          <w:szCs w:val="20"/>
        </w:rPr>
        <w:t>Cis,</w:t>
      </w:r>
    </w:p>
    <w:p w:rsidR="00500724" w:rsidRDefault="00F30FB8">
      <w:pPr>
        <w:pStyle w:val="Zkladntext30"/>
        <w:shd w:val="clear" w:color="auto" w:fill="auto"/>
        <w:spacing w:after="60" w:line="202" w:lineRule="auto"/>
        <w:ind w:firstLine="0"/>
        <w:jc w:val="center"/>
        <w:rPr>
          <w:sz w:val="20"/>
          <w:szCs w:val="20"/>
        </w:rPr>
      </w:pPr>
      <w:r>
        <w:rPr>
          <w:b/>
          <w:bCs/>
          <w:sz w:val="20"/>
          <w:szCs w:val="20"/>
        </w:rPr>
        <w:t>Neprodávejte lehkomyslně akcie</w:t>
      </w:r>
    </w:p>
    <w:p w:rsidR="00500724" w:rsidRDefault="00F30FB8">
      <w:pPr>
        <w:pStyle w:val="Zkladntext100"/>
        <w:shd w:val="clear" w:color="auto" w:fill="auto"/>
        <w:spacing w:line="211" w:lineRule="auto"/>
        <w:ind w:firstLine="300"/>
        <w:rPr>
          <w:sz w:val="19"/>
          <w:szCs w:val="19"/>
        </w:rPr>
      </w:pPr>
      <w:r>
        <w:rPr>
          <w:b/>
          <w:bCs/>
          <w:sz w:val="19"/>
          <w:szCs w:val="19"/>
        </w:rPr>
        <w:t xml:space="preserve">Od třetího zářijového týdne je zavřena pražská peněžní bursa, a to má vedle světlých stránek, jež ovšem vynikly zejména v </w:t>
      </w:r>
      <w:r>
        <w:rPr>
          <w:b/>
          <w:bCs/>
          <w:sz w:val="19"/>
          <w:szCs w:val="19"/>
        </w:rPr>
        <w:t>kritických periodách loňského podzimu, také stíny. Jedním z nich je, že držitelé cenných papírů — rozumí se, že nemáme na mysli peněžní ústavy a jim nehodláme udílet rad — jsou poplašeni »zprávami« o tak zv. »vývoji kursů« na ěerné burse a pod jejich vlive</w:t>
      </w:r>
      <w:r>
        <w:rPr>
          <w:b/>
          <w:bCs/>
          <w:sz w:val="19"/>
          <w:szCs w:val="19"/>
        </w:rPr>
        <w:t>m se někdy odhod- lávají k prodejům, jichž budou zcela urěitě litovat. Tito soukromníci, úředníci a majitelé menších podniků, se zba</w:t>
      </w:r>
      <w:r>
        <w:rPr>
          <w:b/>
          <w:bCs/>
          <w:sz w:val="19"/>
          <w:szCs w:val="19"/>
        </w:rPr>
        <w:softHyphen/>
        <w:t xml:space="preserve">vují akcií našich velkých továren jen proto, že slyší, že na ěerné burse »jdou kursy dolů«. Oni se obávají, že tento vývoj </w:t>
      </w:r>
      <w:r>
        <w:rPr>
          <w:b/>
          <w:bCs/>
          <w:sz w:val="19"/>
          <w:szCs w:val="19"/>
        </w:rPr>
        <w:t>bude pokračovat a bude-li peněžní bursa zase otevřena v dohledné době, že se tyto kursy přenesou i tam. Podobná si počínají také lidé, kteří chtějí si opatřit hotové peníze, Je jen pochopitelné, že drobní majitelé cenných papírů, vy</w:t>
      </w:r>
      <w:r>
        <w:rPr>
          <w:b/>
          <w:bCs/>
          <w:sz w:val="19"/>
          <w:szCs w:val="19"/>
        </w:rPr>
        <w:softHyphen/>
        <w:t>daných státem, jsou ješ</w:t>
      </w:r>
      <w:r>
        <w:rPr>
          <w:b/>
          <w:bCs/>
          <w:sz w:val="19"/>
          <w:szCs w:val="19"/>
        </w:rPr>
        <w:t>tě zasmušilejší a dělají si starosti. Nejde zde o bezvýznamné nebo malé věci. Vždyť na pražská peněžní burse se obchoduje asi za 50 miliard státních půj</w:t>
      </w:r>
      <w:r>
        <w:rPr>
          <w:b/>
          <w:bCs/>
          <w:sz w:val="19"/>
          <w:szCs w:val="19"/>
        </w:rPr>
        <w:softHyphen/>
        <w:t>ček, za 10 miliard různých obligací a asi za 15 miliard akcií.</w:t>
      </w:r>
    </w:p>
    <w:p w:rsidR="00500724" w:rsidRDefault="00F30FB8">
      <w:pPr>
        <w:pStyle w:val="Zkladntext100"/>
        <w:shd w:val="clear" w:color="auto" w:fill="auto"/>
        <w:spacing w:after="40" w:line="214" w:lineRule="auto"/>
        <w:ind w:firstLine="300"/>
        <w:rPr>
          <w:sz w:val="20"/>
          <w:szCs w:val="20"/>
        </w:rPr>
      </w:pPr>
      <w:r>
        <w:rPr>
          <w:b/>
          <w:bCs/>
          <w:sz w:val="19"/>
          <w:szCs w:val="19"/>
        </w:rPr>
        <w:t xml:space="preserve">Domníváme se, že je žádoucí v této věci </w:t>
      </w:r>
      <w:r>
        <w:rPr>
          <w:b/>
          <w:bCs/>
          <w:sz w:val="19"/>
          <w:szCs w:val="19"/>
        </w:rPr>
        <w:t>říci docela upřímně v zájmu obecném několik slov. Nehledě k tomu, ža tak zv. ěerné bursy, ať kavárenské, ať provozované někte</w:t>
      </w:r>
      <w:r>
        <w:rPr>
          <w:b/>
          <w:bCs/>
          <w:sz w:val="19"/>
          <w:szCs w:val="19"/>
        </w:rPr>
        <w:softHyphen/>
        <w:t xml:space="preserve">rými bankéřskýml obchodníky, jsou divoce spekulační </w:t>
      </w:r>
      <w:r>
        <w:rPr>
          <w:b/>
          <w:bCs/>
          <w:sz w:val="20"/>
          <w:szCs w:val="20"/>
        </w:rPr>
        <w:t>a</w:t>
      </w:r>
      <w:r>
        <w:br w:type="page"/>
      </w:r>
    </w:p>
    <w:p w:rsidR="00500724" w:rsidRDefault="00F30FB8">
      <w:pPr>
        <w:pStyle w:val="Zkladntext100"/>
        <w:shd w:val="clear" w:color="auto" w:fill="auto"/>
        <w:spacing w:line="190" w:lineRule="auto"/>
        <w:ind w:firstLine="0"/>
        <w:rPr>
          <w:sz w:val="19"/>
          <w:szCs w:val="19"/>
        </w:rPr>
      </w:pPr>
      <w:r>
        <w:rPr>
          <w:b/>
          <w:bCs/>
          <w:sz w:val="19"/>
          <w:szCs w:val="19"/>
        </w:rPr>
        <w:t>mají za hlavní úkol obohatit tyto obchodníky, je tu ten podstatný moment, ž</w:t>
      </w:r>
      <w:r>
        <w:rPr>
          <w:b/>
          <w:bCs/>
          <w:sz w:val="19"/>
          <w:szCs w:val="19"/>
        </w:rPr>
        <w:t xml:space="preserve">e na tyto kursy </w:t>
      </w:r>
      <w:r>
        <w:rPr>
          <w:b/>
          <w:bCs/>
          <w:i/>
          <w:iCs/>
          <w:sz w:val="20"/>
          <w:szCs w:val="20"/>
        </w:rPr>
        <w:t>je</w:t>
      </w:r>
      <w:r>
        <w:rPr>
          <w:b/>
          <w:bCs/>
          <w:sz w:val="19"/>
          <w:szCs w:val="19"/>
        </w:rPr>
        <w:t xml:space="preserve"> vykonáván též vliv prodeji cenných papírů těmi lidmi, kteří prodávat jsou prostě nuceni. Jsou to především uprchlíci z připojeného území, kteří shánějí hotové peníze, aby zde ve vnitrozemí mohli žít, případně začít podnikat, za druhé jso</w:t>
      </w:r>
      <w:r>
        <w:rPr>
          <w:b/>
          <w:bCs/>
          <w:sz w:val="19"/>
          <w:szCs w:val="19"/>
        </w:rPr>
        <w:t>u mezí těmito prodávajícími ti, kteří chtějí emigrovat a pro něž ovšem akcie zdejších továren a bank nemají pak za hranicemi ceny. Pro tyto lidi je nezbytně naléhavé dostat hotové peníze a dají tedy přednost i větší ztrátě na majetku, jen mohou-li si je op</w:t>
      </w:r>
      <w:r>
        <w:rPr>
          <w:b/>
          <w:bCs/>
          <w:sz w:val="19"/>
          <w:szCs w:val="19"/>
        </w:rPr>
        <w:t>atřit. Je to asi tak, jako když lidé přeplácejí v černém obchodě zahraniční valuty, chtějí-li emigrovat a tyto valuty nějak ven propašovat.</w:t>
      </w:r>
    </w:p>
    <w:p w:rsidR="00500724" w:rsidRDefault="00F30FB8">
      <w:pPr>
        <w:pStyle w:val="Zkladntext100"/>
        <w:shd w:val="clear" w:color="auto" w:fill="auto"/>
        <w:spacing w:line="190" w:lineRule="auto"/>
        <w:ind w:firstLine="320"/>
        <w:rPr>
          <w:sz w:val="19"/>
          <w:szCs w:val="19"/>
        </w:rPr>
      </w:pPr>
      <w:r>
        <w:rPr>
          <w:b/>
          <w:bCs/>
          <w:sz w:val="19"/>
          <w:szCs w:val="19"/>
        </w:rPr>
        <w:t>Ale tyto»ěernékursy«sepřeeenepřenesou na řádnou peněžní bursu, až bude opět otevřena. Předně to nepřipustí banky, je</w:t>
      </w:r>
      <w:r>
        <w:rPr>
          <w:b/>
          <w:bCs/>
          <w:sz w:val="19"/>
          <w:szCs w:val="19"/>
        </w:rPr>
        <w:t xml:space="preserve">ž financují nebo patronisují podniky, o jejichž akcie jde, nepřipustí to Národní banka a, jde-li o státní papíry, nepřipustí to stát sám. Na peněžní burse se bude obchod vyvíjet jen umírněně a s počátku v malých obratech. Chce-li tedy někdo prodávat cenné </w:t>
      </w:r>
      <w:r>
        <w:rPr>
          <w:b/>
          <w:bCs/>
          <w:sz w:val="19"/>
          <w:szCs w:val="19"/>
        </w:rPr>
        <w:t>papíry, ale nemusí je prodávat ihned, nechť počká na otevření úřed</w:t>
      </w:r>
      <w:r>
        <w:rPr>
          <w:b/>
          <w:bCs/>
          <w:sz w:val="19"/>
          <w:szCs w:val="19"/>
        </w:rPr>
        <w:softHyphen/>
        <w:t>ní bursy. Vydělá docela určitě u srovnání s kursy, jež se platí na černé burse. Mezitím by se doporučovalo, aby se Beeskontní ústav postaral o nějakou formu slušného lom- bardu, veřejně ozn</w:t>
      </w:r>
      <w:r>
        <w:rPr>
          <w:b/>
          <w:bCs/>
          <w:sz w:val="19"/>
          <w:szCs w:val="19"/>
        </w:rPr>
        <w:t>ámenou, aby se jednak zarazily obcho</w:t>
      </w:r>
      <w:r>
        <w:rPr>
          <w:b/>
          <w:bCs/>
          <w:sz w:val="19"/>
          <w:szCs w:val="19"/>
        </w:rPr>
        <w:softHyphen/>
        <w:t>dy těchto čerň ých obchodníků, kteří vydělá</w:t>
      </w:r>
      <w:r>
        <w:rPr>
          <w:b/>
          <w:bCs/>
          <w:sz w:val="19"/>
          <w:szCs w:val="19"/>
        </w:rPr>
        <w:softHyphen/>
        <w:t>vají statisíce, ba miliony, ale neplatí z nich státu daně a ještě ho poškozují úmyslně šířenými po</w:t>
      </w:r>
      <w:r>
        <w:rPr>
          <w:b/>
          <w:bCs/>
          <w:sz w:val="19"/>
          <w:szCs w:val="19"/>
        </w:rPr>
        <w:softHyphen/>
        <w:t>věstmi. Současně by se doporučovalo uvažovat o postupném zahájení řádných bu</w:t>
      </w:r>
      <w:r>
        <w:rPr>
          <w:b/>
          <w:bCs/>
          <w:sz w:val="19"/>
          <w:szCs w:val="19"/>
        </w:rPr>
        <w:t>rsovních obchodů a opětném otevření pražské peněžní bursy. Zatím by šlo alespoň o to, aby zde byla možnost reelního obchodního lombardu, aby uprcíilíci, i ti ostatní, kteří rychle potřebují peníze, mohli si je zastavením svých cenných papírů za slušných po</w:t>
      </w:r>
      <w:r>
        <w:rPr>
          <w:b/>
          <w:bCs/>
          <w:sz w:val="19"/>
          <w:szCs w:val="19"/>
        </w:rPr>
        <w:t>dmínek vypůjčit. Jsou zde ovšem již takové možnosti, aíe široka veřejnost drobných majitelů cenných papírů je ne</w:t>
      </w:r>
      <w:r>
        <w:rPr>
          <w:b/>
          <w:bCs/>
          <w:sz w:val="19"/>
          <w:szCs w:val="19"/>
        </w:rPr>
        <w:softHyphen/>
        <w:t>zná. Bylo by dobře, kdyby o těchto věcech bylo učiněno pro</w:t>
      </w:r>
      <w:r>
        <w:rPr>
          <w:b/>
          <w:bCs/>
          <w:sz w:val="19"/>
          <w:szCs w:val="19"/>
        </w:rPr>
        <w:softHyphen/>
        <w:t>střednictvím tisku a rozhlasu jasně a srozumitelně koncipo</w:t>
      </w:r>
      <w:r>
        <w:rPr>
          <w:b/>
          <w:bCs/>
          <w:sz w:val="19"/>
          <w:szCs w:val="19"/>
        </w:rPr>
        <w:softHyphen/>
        <w:t>vané úřední sdělení.</w:t>
      </w:r>
    </w:p>
    <w:p w:rsidR="00500724" w:rsidRDefault="00F30FB8">
      <w:pPr>
        <w:pStyle w:val="Zkladntext100"/>
        <w:shd w:val="clear" w:color="auto" w:fill="auto"/>
        <w:tabs>
          <w:tab w:val="left" w:pos="4694"/>
        </w:tabs>
        <w:spacing w:after="120" w:line="190" w:lineRule="auto"/>
        <w:ind w:firstLine="320"/>
        <w:rPr>
          <w:sz w:val="19"/>
          <w:szCs w:val="19"/>
        </w:rPr>
      </w:pPr>
      <w:r>
        <w:rPr>
          <w:b/>
          <w:bCs/>
          <w:sz w:val="19"/>
          <w:szCs w:val="19"/>
        </w:rPr>
        <w:t>Píšeme tyto řádky především na adresu drobných maji</w:t>
      </w:r>
      <w:r>
        <w:rPr>
          <w:b/>
          <w:bCs/>
          <w:sz w:val="19"/>
          <w:szCs w:val="19"/>
        </w:rPr>
        <w:softHyphen/>
        <w:t>telů akcií a státních cenných papírů, abychom je ubezpe</w:t>
      </w:r>
      <w:r>
        <w:rPr>
          <w:b/>
          <w:bCs/>
          <w:sz w:val="19"/>
          <w:szCs w:val="19"/>
        </w:rPr>
        <w:softHyphen/>
        <w:t xml:space="preserve">čili, že nedojde k žádnému »z </w:t>
      </w:r>
      <w:r>
        <w:rPr>
          <w:b/>
          <w:bCs/>
          <w:sz w:val="19"/>
          <w:szCs w:val="19"/>
          <w:lang w:val="en-US" w:eastAsia="en-US" w:bidi="en-US"/>
        </w:rPr>
        <w:t xml:space="preserve">hr </w:t>
      </w:r>
      <w:r>
        <w:rPr>
          <w:b/>
          <w:bCs/>
          <w:sz w:val="19"/>
          <w:szCs w:val="19"/>
        </w:rPr>
        <w:t>on cen í« kursů státních papírů, a že se sami zle poškozují, když po</w:t>
      </w:r>
      <w:r>
        <w:rPr>
          <w:b/>
          <w:bCs/>
          <w:sz w:val="19"/>
          <w:szCs w:val="19"/>
        </w:rPr>
        <w:softHyphen/>
        <w:t xml:space="preserve">slouchajíce takové pověsti, lehkomyslně své </w:t>
      </w:r>
      <w:r>
        <w:rPr>
          <w:b/>
          <w:bCs/>
          <w:sz w:val="19"/>
          <w:szCs w:val="19"/>
        </w:rPr>
        <w:t>cenné papíry prodávají. To se týká také akcii, které dnes jsou tajně obchodovány za kursy, jež jsou nižší, než byly kursy z dob nejhlubší hospodářské krise. Bezpečně možno předpovědět, že kursy na znovuotevřené pražské peněžní burse budou ne</w:t>
      </w:r>
      <w:r>
        <w:rPr>
          <w:b/>
          <w:bCs/>
          <w:sz w:val="19"/>
          <w:szCs w:val="19"/>
        </w:rPr>
        <w:softHyphen/>
        <w:t>srovnatelně vy</w:t>
      </w:r>
      <w:r>
        <w:rPr>
          <w:b/>
          <w:bCs/>
          <w:sz w:val="19"/>
          <w:szCs w:val="19"/>
        </w:rPr>
        <w:t>šší, a bude-li konsolidace pokračovat, půjdou tyto kursy zvolna zase dále nahoru.</w:t>
      </w:r>
      <w:r>
        <w:rPr>
          <w:b/>
          <w:bCs/>
          <w:sz w:val="19"/>
          <w:szCs w:val="19"/>
        </w:rPr>
        <w:tab/>
        <w:t>Kř.</w:t>
      </w:r>
    </w:p>
    <w:p w:rsidR="00500724" w:rsidRDefault="00F30FB8">
      <w:pPr>
        <w:pStyle w:val="Nadpis120"/>
        <w:shd w:val="clear" w:color="auto" w:fill="auto"/>
        <w:spacing w:after="60"/>
        <w:ind w:left="0"/>
        <w:jc w:val="center"/>
      </w:pPr>
      <w:bookmarkStart w:id="253" w:name="bookmark252"/>
      <w:r>
        <w:t>Neotřesená Živnobanka</w:t>
      </w:r>
      <w:bookmarkEnd w:id="253"/>
    </w:p>
    <w:p w:rsidR="00500724" w:rsidRDefault="00F30FB8">
      <w:pPr>
        <w:pStyle w:val="Zkladntext100"/>
        <w:shd w:val="clear" w:color="auto" w:fill="auto"/>
        <w:spacing w:line="204" w:lineRule="auto"/>
        <w:ind w:firstLine="320"/>
        <w:rPr>
          <w:sz w:val="19"/>
          <w:szCs w:val="19"/>
        </w:rPr>
      </w:pPr>
      <w:r>
        <w:rPr>
          <w:b/>
          <w:bCs/>
          <w:sz w:val="19"/>
          <w:szCs w:val="19"/>
        </w:rPr>
        <w:t>Koncem měsíce koná největší náš soukromý finanční ústav a současně pán nejrozsáhíejšího průmyslového kon</w:t>
      </w:r>
      <w:r>
        <w:rPr>
          <w:b/>
          <w:bCs/>
          <w:sz w:val="19"/>
          <w:szCs w:val="19"/>
        </w:rPr>
        <w:softHyphen/>
        <w:t>cernu, Živnostenská banka, výroční valnou h</w:t>
      </w:r>
      <w:r>
        <w:rPr>
          <w:b/>
          <w:bCs/>
          <w:sz w:val="19"/>
          <w:szCs w:val="19"/>
        </w:rPr>
        <w:t>romadu. Vý</w:t>
      </w:r>
      <w:r>
        <w:rPr>
          <w:b/>
          <w:bCs/>
          <w:sz w:val="19"/>
          <w:szCs w:val="19"/>
        </w:rPr>
        <w:softHyphen/>
        <w:t xml:space="preserve">roční schůze této banky už po léta je hospodářskou událostí. Tím spíše bude jí letos, po pohnutých příhodách loňského roku. Z první přehledné zprávy o výsledcích hospodaření Živnostenské banky, jež byla uveřejněna v některých listech zatím jako </w:t>
      </w:r>
      <w:r>
        <w:rPr>
          <w:b/>
          <w:bCs/>
          <w:sz w:val="19"/>
          <w:szCs w:val="19"/>
        </w:rPr>
        <w:t>inserát, plyne především poznám, že Živnosten</w:t>
      </w:r>
      <w:r>
        <w:rPr>
          <w:b/>
          <w:bCs/>
          <w:sz w:val="19"/>
          <w:szCs w:val="19"/>
        </w:rPr>
        <w:softHyphen/>
        <w:t>ská banka zůstává téměř naprosto neotřesena. Uváži-li se, že tato banka v nových poměrech představuje v našem ná</w:t>
      </w:r>
      <w:r>
        <w:rPr>
          <w:b/>
          <w:bCs/>
          <w:sz w:val="19"/>
          <w:szCs w:val="19"/>
        </w:rPr>
        <w:softHyphen/>
        <w:t>rodním hospodářství ještě větší velmoc, než dříve, pak teprve vynikne význam tohoto podnikatelské</w:t>
      </w:r>
      <w:r>
        <w:rPr>
          <w:b/>
          <w:bCs/>
          <w:sz w:val="19"/>
          <w:szCs w:val="19"/>
        </w:rPr>
        <w:t>ho úspěchu. Nechť jsme tu a tam kritisovali politiku Živnobanky, při této příležitosti je třeba nejen uznat, že byla vedena dobře a šťastně s hlediska podnikatelského, ale že také dovedla se stát konsolidačním bodem důvěry. To je patrné na př. v tom, že vů</w:t>
      </w:r>
      <w:r>
        <w:rPr>
          <w:b/>
          <w:bCs/>
          <w:sz w:val="19"/>
          <w:szCs w:val="19"/>
        </w:rPr>
        <w:t>bec neztratila důvěru vkladatelů a tím také žádné vklady. Odečteme-Ii vklady, které zůstaly ve filiálkách v připojeném území a ve Vídni, dohromady přesahující 800 milionů K, pak vykazuje Živnostenská banka spíše o aěco větší úhrn vkladů za rok 1838 než v r</w:t>
      </w:r>
      <w:r>
        <w:rPr>
          <w:b/>
          <w:bCs/>
          <w:sz w:val="19"/>
          <w:szCs w:val="19"/>
        </w:rPr>
        <w:t>oce 1837. Pokles s 3 a půl miliardy K na 3.3 miliardy K je tím plně vysvětlen.</w:t>
      </w:r>
    </w:p>
    <w:p w:rsidR="00500724" w:rsidRDefault="00F30FB8">
      <w:pPr>
        <w:pStyle w:val="Zkladntext100"/>
        <w:shd w:val="clear" w:color="auto" w:fill="auto"/>
        <w:spacing w:line="187" w:lineRule="auto"/>
        <w:ind w:firstLine="0"/>
        <w:rPr>
          <w:sz w:val="19"/>
          <w:szCs w:val="19"/>
        </w:rPr>
      </w:pPr>
      <w:r>
        <w:rPr>
          <w:b/>
          <w:bCs/>
          <w:sz w:val="19"/>
          <w:szCs w:val="19"/>
        </w:rPr>
        <w:t>Pozoruhodné je nejen s našeho, ba přímo s evropského měřítka, že Živnobanka udržovala loni obrovskou, tedy vel- nákladnou peněžní hotovost kolem tří čtvrtin miliardy K, čili hot</w:t>
      </w:r>
      <w:r>
        <w:rPr>
          <w:b/>
          <w:bCs/>
          <w:sz w:val="19"/>
          <w:szCs w:val="19"/>
        </w:rPr>
        <w:t>ovost o čtvrt miliardy K větší, než měla v r. 1937. Při tom položka dlužníků, dosahující úctyhodné výše 3.3 mi</w:t>
      </w:r>
      <w:r>
        <w:rPr>
          <w:b/>
          <w:bCs/>
          <w:sz w:val="19"/>
          <w:szCs w:val="19"/>
        </w:rPr>
        <w:softHyphen/>
        <w:t xml:space="preserve">liardy K, se nezměnila. Zisk je sice menši než r. 1937 o 4 miliony K, neboť klesl na necelých 30 milionů K, ale k tomu nutno vlastně připočíst 5 </w:t>
      </w:r>
      <w:r>
        <w:rPr>
          <w:b/>
          <w:bCs/>
          <w:sz w:val="19"/>
          <w:szCs w:val="19"/>
        </w:rPr>
        <w:t>milionů K, které dala banka jako dar na obranu státu. Dividenda se snižuje se 7.5 procenta na 6 procent, tedy jen z tohoto důvodu, čili jinými slovy, každý majitel akcie přispívá 3 K z dividendy na dar na obranu státu, protože namísto loňských 15 K na akci</w:t>
      </w:r>
      <w:r>
        <w:rPr>
          <w:b/>
          <w:bCs/>
          <w:sz w:val="19"/>
          <w:szCs w:val="19"/>
        </w:rPr>
        <w:t>i dosta</w:t>
      </w:r>
      <w:r>
        <w:rPr>
          <w:b/>
          <w:bCs/>
          <w:sz w:val="19"/>
          <w:szCs w:val="19"/>
        </w:rPr>
        <w:softHyphen/>
        <w:t>ne letos za uplynulý bilanční rok pouze 13 K. Otevřeně je ovšem nutno dodati, že Živnobanka svým koncernem a svým vlastním podnikáním ovšem značně profito</w:t>
      </w:r>
      <w:r>
        <w:rPr>
          <w:b/>
          <w:bCs/>
          <w:sz w:val="19"/>
          <w:szCs w:val="19"/>
        </w:rPr>
        <w:softHyphen/>
        <w:t>vala na zbrojení, speciálně v minulém roce.</w:t>
      </w:r>
    </w:p>
    <w:p w:rsidR="00500724" w:rsidRDefault="00F30FB8">
      <w:pPr>
        <w:pStyle w:val="Zkladntext100"/>
        <w:shd w:val="clear" w:color="auto" w:fill="auto"/>
        <w:tabs>
          <w:tab w:val="left" w:pos="4630"/>
        </w:tabs>
        <w:spacing w:after="120" w:line="190" w:lineRule="auto"/>
        <w:ind w:firstLine="300"/>
        <w:rPr>
          <w:sz w:val="20"/>
          <w:szCs w:val="20"/>
        </w:rPr>
      </w:pPr>
      <w:r>
        <w:rPr>
          <w:b/>
          <w:bCs/>
          <w:sz w:val="19"/>
          <w:szCs w:val="19"/>
        </w:rPr>
        <w:t>Ale nechť máme k vedení tohoto ústavu občas různé</w:t>
      </w:r>
      <w:r>
        <w:rPr>
          <w:b/>
          <w:bCs/>
          <w:sz w:val="19"/>
          <w:szCs w:val="19"/>
        </w:rPr>
        <w:t xml:space="preserve"> kri</w:t>
      </w:r>
      <w:r>
        <w:rPr>
          <w:b/>
          <w:bCs/>
          <w:sz w:val="19"/>
          <w:szCs w:val="19"/>
        </w:rPr>
        <w:softHyphen/>
        <w:t>tické výhrady, pak přece jen musíme býti potěšeni nad tím, že v Živnostenské bance máme ústav, který je tak pevný, že ani krise loňského rozsahu jím neotřásla. Je to slušná visitka pro české hospodářské schopnosti.</w:t>
      </w:r>
      <w:r>
        <w:rPr>
          <w:b/>
          <w:bCs/>
          <w:sz w:val="19"/>
          <w:szCs w:val="19"/>
        </w:rPr>
        <w:tab/>
      </w:r>
      <w:r>
        <w:rPr>
          <w:b/>
          <w:bCs/>
          <w:i/>
          <w:iCs/>
          <w:sz w:val="20"/>
          <w:szCs w:val="20"/>
        </w:rPr>
        <w:t>Cis.</w:t>
      </w:r>
    </w:p>
    <w:p w:rsidR="00500724" w:rsidRDefault="00F30FB8">
      <w:pPr>
        <w:pStyle w:val="Zkladntext30"/>
        <w:shd w:val="clear" w:color="auto" w:fill="auto"/>
        <w:spacing w:after="80" w:line="180" w:lineRule="auto"/>
        <w:ind w:firstLine="0"/>
        <w:jc w:val="center"/>
        <w:rPr>
          <w:sz w:val="20"/>
          <w:szCs w:val="20"/>
        </w:rPr>
      </w:pPr>
      <w:r>
        <w:rPr>
          <w:b/>
          <w:bCs/>
          <w:sz w:val="20"/>
          <w:szCs w:val="20"/>
        </w:rPr>
        <w:t>Omyl</w:t>
      </w:r>
    </w:p>
    <w:p w:rsidR="00500724" w:rsidRDefault="00F30FB8">
      <w:pPr>
        <w:pStyle w:val="Zkladntext100"/>
        <w:shd w:val="clear" w:color="auto" w:fill="auto"/>
        <w:spacing w:line="190" w:lineRule="auto"/>
        <w:ind w:firstLine="300"/>
        <w:rPr>
          <w:sz w:val="19"/>
          <w:szCs w:val="19"/>
        </w:rPr>
      </w:pPr>
      <w:r>
        <w:rPr>
          <w:b/>
          <w:bCs/>
          <w:sz w:val="19"/>
          <w:szCs w:val="19"/>
        </w:rPr>
        <w:t>Ve svém rozhlasovém projev</w:t>
      </w:r>
      <w:r>
        <w:rPr>
          <w:b/>
          <w:bCs/>
          <w:sz w:val="19"/>
          <w:szCs w:val="19"/>
        </w:rPr>
        <w:t>u o poslání nové české kul</w:t>
      </w:r>
      <w:r>
        <w:rPr>
          <w:b/>
          <w:bCs/>
          <w:sz w:val="19"/>
          <w:szCs w:val="19"/>
        </w:rPr>
        <w:softHyphen/>
        <w:t xml:space="preserve">tury, mluvě o nutnosti ochrany českých autorů a původní české tvorby, prohlásil předseda kulturní rady Národní jednoty, Msgr. B. Stašek, že cizím autorům zaplatilo se za loňský rok 56,000.000 K, slovy padesát šest milionů korun. </w:t>
      </w:r>
      <w:r>
        <w:rPr>
          <w:b/>
          <w:bCs/>
          <w:sz w:val="19"/>
          <w:szCs w:val="19"/>
        </w:rPr>
        <w:t>Podle informací z kompetentních nakladatelských kruhů jde o omyl, který je třeba opravit.</w:t>
      </w:r>
    </w:p>
    <w:p w:rsidR="00500724" w:rsidRDefault="00F30FB8">
      <w:pPr>
        <w:pStyle w:val="Zkladntext100"/>
        <w:shd w:val="clear" w:color="auto" w:fill="auto"/>
        <w:tabs>
          <w:tab w:val="left" w:pos="4630"/>
        </w:tabs>
        <w:spacing w:after="120" w:line="190" w:lineRule="auto"/>
        <w:ind w:firstLine="300"/>
        <w:rPr>
          <w:sz w:val="20"/>
          <w:szCs w:val="20"/>
        </w:rPr>
      </w:pPr>
      <w:r>
        <w:rPr>
          <w:b/>
          <w:bCs/>
          <w:sz w:val="19"/>
          <w:szCs w:val="19"/>
        </w:rPr>
        <w:t>Částka 56 milionů je totiž se vší pravděpodobností pasiv</w:t>
      </w:r>
      <w:r>
        <w:rPr>
          <w:b/>
          <w:bCs/>
          <w:sz w:val="19"/>
          <w:szCs w:val="19"/>
        </w:rPr>
        <w:softHyphen/>
        <w:t>ním zůstatkem příjmů a vydání za patenty, licence a platy z podobných oprávnění z ciziny a do ciziny placenýc</w:t>
      </w:r>
      <w:r>
        <w:rPr>
          <w:b/>
          <w:bCs/>
          <w:sz w:val="19"/>
          <w:szCs w:val="19"/>
        </w:rPr>
        <w:t>h, podle čtvrté běžné položltv zahraničního obchodu československé platební bilance za rok 1938 (v roce 1936 činil tento zůstatek podle zpráv Stát. úřadu statistického 57 mil., v roce 1937 69 mil. K). Sedmdesát devět osmdesátin z této částky asi při</w:t>
      </w:r>
      <w:r>
        <w:rPr>
          <w:b/>
          <w:bCs/>
          <w:sz w:val="19"/>
          <w:szCs w:val="19"/>
        </w:rPr>
        <w:softHyphen/>
        <w:t>padá n</w:t>
      </w:r>
      <w:r>
        <w:rPr>
          <w:b/>
          <w:bCs/>
          <w:sz w:val="19"/>
          <w:szCs w:val="19"/>
        </w:rPr>
        <w:t>a průmyslové o obchodní patenty, placené cizím vy</w:t>
      </w:r>
      <w:r>
        <w:rPr>
          <w:b/>
          <w:bCs/>
          <w:sz w:val="19"/>
          <w:szCs w:val="19"/>
        </w:rPr>
        <w:softHyphen/>
        <w:t>nálezcům, (což jak zřejmo, nepadá na účet národní kultury) a toliko asi jediná osmdesátina této číslice ve výši cca 709.800 K připadá na hudební a literární autorská práva děl, zakoupených v cizině pro rozh</w:t>
      </w:r>
      <w:r>
        <w:rPr>
          <w:b/>
          <w:bCs/>
          <w:sz w:val="19"/>
          <w:szCs w:val="19"/>
        </w:rPr>
        <w:t>las., divadlo, noviny a knižní trh. Domníváme se, že by bylo úěelno, aby ve Zprá</w:t>
      </w:r>
      <w:r>
        <w:rPr>
          <w:b/>
          <w:bCs/>
          <w:sz w:val="19"/>
          <w:szCs w:val="19"/>
        </w:rPr>
        <w:softHyphen/>
        <w:t>vách Státního úřadu statistického byla výše zmíněná běžná položka zahraničního obchodu česko slovenské platební bi</w:t>
      </w:r>
      <w:r>
        <w:rPr>
          <w:b/>
          <w:bCs/>
          <w:sz w:val="19"/>
          <w:szCs w:val="19"/>
        </w:rPr>
        <w:softHyphen/>
        <w:t>lance rozvedena.</w:t>
      </w:r>
      <w:r>
        <w:rPr>
          <w:b/>
          <w:bCs/>
          <w:sz w:val="19"/>
          <w:szCs w:val="19"/>
        </w:rPr>
        <w:tab/>
      </w:r>
      <w:r>
        <w:rPr>
          <w:i/>
          <w:iCs/>
          <w:sz w:val="20"/>
          <w:szCs w:val="20"/>
        </w:rPr>
        <w:t>Dur.</w:t>
      </w:r>
    </w:p>
    <w:p w:rsidR="00500724" w:rsidRDefault="00F30FB8">
      <w:pPr>
        <w:pStyle w:val="Zkladntext30"/>
        <w:shd w:val="clear" w:color="auto" w:fill="auto"/>
        <w:spacing w:after="0" w:line="180" w:lineRule="auto"/>
        <w:ind w:firstLine="0"/>
        <w:jc w:val="center"/>
        <w:rPr>
          <w:sz w:val="20"/>
          <w:szCs w:val="20"/>
        </w:rPr>
      </w:pPr>
      <w:r>
        <w:rPr>
          <w:b/>
          <w:bCs/>
          <w:sz w:val="20"/>
          <w:szCs w:val="20"/>
        </w:rPr>
        <w:t>Výzkumnictví</w:t>
      </w:r>
    </w:p>
    <w:p w:rsidR="00500724" w:rsidRDefault="00F30FB8">
      <w:pPr>
        <w:pStyle w:val="Zkladntext30"/>
        <w:shd w:val="clear" w:color="auto" w:fill="auto"/>
        <w:spacing w:after="80" w:line="180" w:lineRule="auto"/>
        <w:ind w:firstLine="0"/>
        <w:jc w:val="center"/>
        <w:rPr>
          <w:sz w:val="20"/>
          <w:szCs w:val="20"/>
        </w:rPr>
      </w:pPr>
      <w:r>
        <w:rPr>
          <w:b/>
          <w:bCs/>
          <w:sz w:val="20"/>
          <w:szCs w:val="20"/>
        </w:rPr>
        <w:t xml:space="preserve">a jeho význam pro náš </w:t>
      </w:r>
      <w:r>
        <w:rPr>
          <w:b/>
          <w:bCs/>
          <w:sz w:val="20"/>
          <w:szCs w:val="20"/>
        </w:rPr>
        <w:t>hospodářský život</w:t>
      </w:r>
    </w:p>
    <w:p w:rsidR="00500724" w:rsidRDefault="00F30FB8">
      <w:pPr>
        <w:pStyle w:val="Zkladntext100"/>
        <w:shd w:val="clear" w:color="auto" w:fill="auto"/>
        <w:spacing w:line="214" w:lineRule="auto"/>
        <w:ind w:firstLine="300"/>
        <w:rPr>
          <w:sz w:val="19"/>
          <w:szCs w:val="19"/>
        </w:rPr>
      </w:pPr>
      <w:r>
        <w:rPr>
          <w:b/>
          <w:bCs/>
          <w:sz w:val="19"/>
          <w:szCs w:val="19"/>
        </w:rPr>
        <w:t>Při budování druhé republiky vyskytla se řada otázek, k jejichž řešení nutno využiti všech hodnot našeho národa. Podstatným předpokladem pro zdárný vývoj kteréhokoliv odvětvi našeho průmyslu je dnes výzkumnictví, které je stejného významu</w:t>
      </w:r>
      <w:r>
        <w:rPr>
          <w:b/>
          <w:bCs/>
          <w:sz w:val="19"/>
          <w:szCs w:val="19"/>
        </w:rPr>
        <w:t xml:space="preserve"> a důležitosti i pro naše zemědělství. Mi</w:t>
      </w:r>
      <w:r>
        <w:rPr>
          <w:b/>
          <w:bCs/>
          <w:sz w:val="19"/>
          <w:szCs w:val="19"/>
        </w:rPr>
        <w:softHyphen/>
        <w:t>nistr Čipera ve svém nedávném projevu upozornil na význam a důležitost výzkumnictví pro náš stát a řada novi</w:t>
      </w:r>
      <w:r>
        <w:rPr>
          <w:b/>
          <w:bCs/>
          <w:sz w:val="19"/>
          <w:szCs w:val="19"/>
        </w:rPr>
        <w:softHyphen/>
        <w:t>nářských článků, týkajících se otázky předčasného pensio</w:t>
      </w:r>
      <w:r>
        <w:rPr>
          <w:b/>
          <w:bCs/>
          <w:sz w:val="19"/>
          <w:szCs w:val="19"/>
        </w:rPr>
        <w:softHyphen/>
        <w:t>nování vysokoškolských profesorů, vyplynula vlas</w:t>
      </w:r>
      <w:r>
        <w:rPr>
          <w:b/>
          <w:bCs/>
          <w:sz w:val="19"/>
          <w:szCs w:val="19"/>
        </w:rPr>
        <w:t>tně z oba</w:t>
      </w:r>
      <w:r>
        <w:rPr>
          <w:b/>
          <w:bCs/>
          <w:sz w:val="19"/>
          <w:szCs w:val="19"/>
        </w:rPr>
        <w:softHyphen/>
        <w:t>vy o budoucnost našeho badatelství a výzkumnictví. Je tedy patrno, že otázka výzkumnictví, třebaže širší veřejnosti málo známá a celkem nezajímavá, je pro budoucnost našeho státu zásadní důležitosti.</w:t>
      </w:r>
    </w:p>
    <w:p w:rsidR="00500724" w:rsidRDefault="00F30FB8">
      <w:pPr>
        <w:pStyle w:val="Zkladntext100"/>
        <w:shd w:val="clear" w:color="auto" w:fill="auto"/>
        <w:spacing w:line="214" w:lineRule="auto"/>
        <w:ind w:firstLine="300"/>
        <w:rPr>
          <w:sz w:val="19"/>
          <w:szCs w:val="19"/>
        </w:rPr>
        <w:sectPr w:rsidR="00500724">
          <w:footnotePr>
            <w:numFmt w:val="chicago"/>
            <w:numRestart w:val="eachPage"/>
          </w:footnotePr>
          <w:type w:val="continuous"/>
          <w:pgSz w:w="11909" w:h="16834"/>
          <w:pgMar w:top="2075" w:right="809" w:bottom="523" w:left="742" w:header="0" w:footer="3" w:gutter="0"/>
          <w:cols w:num="2" w:space="158"/>
          <w:noEndnote/>
          <w:docGrid w:linePitch="360"/>
        </w:sectPr>
      </w:pPr>
      <w:r>
        <w:rPr>
          <w:b/>
          <w:bCs/>
          <w:sz w:val="19"/>
          <w:szCs w:val="19"/>
        </w:rPr>
        <w:t>Jistě mnohý z tě</w:t>
      </w:r>
      <w:r>
        <w:rPr>
          <w:b/>
          <w:bCs/>
          <w:sz w:val="19"/>
          <w:szCs w:val="19"/>
        </w:rPr>
        <w:t>ch, kdo se odhodlá čisti tento článek, mi dá za pravdu, že měl často příležitost setkati se s lidmi, kteří ještě dnes se dívají na osoby vědecky pracující jako na lidi lišící se od normálního typu, věc samu pak za zby</w:t>
      </w:r>
      <w:r>
        <w:rPr>
          <w:b/>
          <w:bCs/>
          <w:sz w:val="19"/>
          <w:szCs w:val="19"/>
        </w:rPr>
        <w:softHyphen/>
        <w:t>tečné hračkářství. Těm všem lidem je v</w:t>
      </w:r>
      <w:r>
        <w:rPr>
          <w:b/>
          <w:bCs/>
          <w:sz w:val="19"/>
          <w:szCs w:val="19"/>
        </w:rPr>
        <w:t>šak jistě večer pří</w:t>
      </w:r>
      <w:r>
        <w:rPr>
          <w:b/>
          <w:bCs/>
          <w:sz w:val="19"/>
          <w:szCs w:val="19"/>
        </w:rPr>
        <w:softHyphen/>
        <w:t>jemné, když si mohou sednouti k svému přijímači a pou</w:t>
      </w:r>
      <w:r>
        <w:rPr>
          <w:b/>
          <w:bCs/>
          <w:sz w:val="19"/>
          <w:szCs w:val="19"/>
        </w:rPr>
        <w:softHyphen/>
        <w:t>hým zmáčknutím knoflíku se postarati o své pobavení nebo se okamžitě dověděti o důležitých posledních událostech. Tyto dary moderní techniky jsou přijímány jako samo</w:t>
      </w:r>
      <w:r>
        <w:rPr>
          <w:b/>
          <w:bCs/>
          <w:sz w:val="19"/>
          <w:szCs w:val="19"/>
        </w:rPr>
        <w:softHyphen/>
        <w:t>zřejmost, aniž s</w:t>
      </w:r>
      <w:r>
        <w:rPr>
          <w:b/>
          <w:bCs/>
          <w:sz w:val="19"/>
          <w:szCs w:val="19"/>
        </w:rPr>
        <w:t>i při tom kdo ujasní, že jich bylo dosaženo technickým zužitkováním čistě fysikálních poznatků, k nimž se došlo po dlouho trvajících, úmorných pokusech, které r. 1888 zakončil úspěšně Hertz objevem elektromagnetic</w:t>
      </w:r>
      <w:r>
        <w:rPr>
          <w:b/>
          <w:bCs/>
          <w:sz w:val="19"/>
          <w:szCs w:val="19"/>
        </w:rPr>
        <w:softHyphen/>
        <w:t>kých vln. Stejně tak možnost používání vel</w:t>
      </w:r>
      <w:r>
        <w:rPr>
          <w:b/>
          <w:bCs/>
          <w:sz w:val="19"/>
          <w:szCs w:val="19"/>
        </w:rPr>
        <w:t>kého počtu vy</w:t>
      </w:r>
      <w:r>
        <w:rPr>
          <w:b/>
          <w:bCs/>
          <w:sz w:val="19"/>
          <w:szCs w:val="19"/>
        </w:rPr>
        <w:softHyphen/>
        <w:t>silačů v poměrně úzkém pásmu vlnovém bez vzájemného rušení je založena na využití čistě fysikálního, celkem ne</w:t>
      </w:r>
      <w:r>
        <w:rPr>
          <w:b/>
          <w:bCs/>
          <w:sz w:val="19"/>
          <w:szCs w:val="19"/>
        </w:rPr>
        <w:softHyphen/>
        <w:t>známého a přezíraného zjevu piezoelektrického. Tento zjev byl již v r. 1880 objeven bratřími Curieovými, kterým jejich láska k věde</w:t>
      </w:r>
      <w:r>
        <w:rPr>
          <w:b/>
          <w:bCs/>
          <w:sz w:val="19"/>
          <w:szCs w:val="19"/>
        </w:rPr>
        <w:t>cké práci v tehdejší době vynesla hanli-</w:t>
      </w:r>
    </w:p>
    <w:p w:rsidR="00500724" w:rsidRDefault="00F30FB8">
      <w:pPr>
        <w:pStyle w:val="Jin0"/>
        <w:framePr w:w="322" w:h="336" w:wrap="none" w:vAnchor="text" w:hAnchor="page" w:x="731" w:y="21"/>
        <w:shd w:val="clear" w:color="auto" w:fill="auto"/>
        <w:ind w:firstLine="0"/>
        <w:jc w:val="left"/>
        <w:rPr>
          <w:sz w:val="26"/>
          <w:szCs w:val="26"/>
        </w:rPr>
      </w:pPr>
      <w:r>
        <w:rPr>
          <w:rFonts w:ascii="Arial" w:eastAsia="Arial" w:hAnsi="Arial" w:cs="Arial"/>
          <w:b/>
          <w:bCs/>
          <w:i/>
          <w:iCs/>
          <w:sz w:val="26"/>
          <w:szCs w:val="26"/>
        </w:rPr>
        <w:t>ÍÓ2</w:t>
      </w:r>
    </w:p>
    <w:p w:rsidR="00500724" w:rsidRDefault="00500724">
      <w:pPr>
        <w:spacing w:after="82" w:line="14" w:lineRule="exact"/>
      </w:pPr>
    </w:p>
    <w:p w:rsidR="00500724" w:rsidRDefault="00500724">
      <w:pPr>
        <w:spacing w:line="14" w:lineRule="exact"/>
        <w:sectPr w:rsidR="00500724">
          <w:footnotePr>
            <w:numFmt w:val="chicago"/>
            <w:numRestart w:val="eachPage"/>
          </w:footnotePr>
          <w:type w:val="continuous"/>
          <w:pgSz w:w="11909" w:h="16834"/>
          <w:pgMar w:top="1659" w:right="713" w:bottom="499" w:left="828" w:header="0" w:footer="3" w:gutter="0"/>
          <w:cols w:space="720"/>
          <w:noEndnote/>
          <w:docGrid w:linePitch="360"/>
        </w:sectPr>
      </w:pPr>
    </w:p>
    <w:p w:rsidR="00500724" w:rsidRDefault="00F30FB8">
      <w:pPr>
        <w:pStyle w:val="Jin0"/>
        <w:pBdr>
          <w:bottom w:val="single" w:sz="4" w:space="0" w:color="auto"/>
        </w:pBdr>
        <w:shd w:val="clear" w:color="auto" w:fill="auto"/>
        <w:spacing w:before="80"/>
        <w:ind w:firstLine="0"/>
        <w:jc w:val="center"/>
        <w:rPr>
          <w:sz w:val="36"/>
          <w:szCs w:val="36"/>
        </w:rPr>
        <w:sectPr w:rsidR="00500724">
          <w:footnotePr>
            <w:numFmt w:val="chicago"/>
            <w:numRestart w:val="eachPage"/>
          </w:footnotePr>
          <w:pgSz w:w="11909" w:h="16834"/>
          <w:pgMar w:top="584" w:right="691" w:bottom="658" w:left="883" w:header="0" w:footer="3" w:gutter="0"/>
          <w:cols w:space="720"/>
          <w:noEndnote/>
          <w:docGrid w:linePitch="360"/>
        </w:sectPr>
      </w:pPr>
      <w:r>
        <w:rPr>
          <w:sz w:val="36"/>
          <w:szCs w:val="36"/>
        </w:rPr>
        <w:t>Přítomnost.-</w:t>
      </w:r>
    </w:p>
    <w:p w:rsidR="00500724" w:rsidRDefault="00500724">
      <w:pPr>
        <w:spacing w:line="78" w:lineRule="exact"/>
        <w:rPr>
          <w:sz w:val="6"/>
          <w:szCs w:val="6"/>
        </w:rPr>
      </w:pPr>
    </w:p>
    <w:p w:rsidR="00500724" w:rsidRDefault="00500724">
      <w:pPr>
        <w:spacing w:line="14" w:lineRule="exact"/>
        <w:sectPr w:rsidR="00500724">
          <w:footnotePr>
            <w:numFmt w:val="chicago"/>
            <w:numRestart w:val="eachPage"/>
          </w:footnotePr>
          <w:type w:val="continuous"/>
          <w:pgSz w:w="11909" w:h="16834"/>
          <w:pgMar w:top="975" w:right="0" w:bottom="452" w:left="0" w:header="0" w:footer="3" w:gutter="0"/>
          <w:cols w:space="720"/>
          <w:noEndnote/>
          <w:docGrid w:linePitch="360"/>
        </w:sectPr>
      </w:pPr>
    </w:p>
    <w:p w:rsidR="00500724" w:rsidRDefault="00F30FB8">
      <w:pPr>
        <w:pStyle w:val="Zkladntext100"/>
        <w:shd w:val="clear" w:color="auto" w:fill="auto"/>
        <w:spacing w:line="197" w:lineRule="auto"/>
        <w:ind w:firstLine="0"/>
        <w:rPr>
          <w:sz w:val="19"/>
          <w:szCs w:val="19"/>
        </w:rPr>
      </w:pPr>
      <w:r>
        <w:rPr>
          <w:b/>
          <w:bCs/>
          <w:sz w:val="19"/>
          <w:szCs w:val="19"/>
          <w:lang w:val="en-US" w:eastAsia="en-US" w:bidi="en-US"/>
        </w:rPr>
        <w:t xml:space="preserve">vou </w:t>
      </w:r>
      <w:r>
        <w:rPr>
          <w:b/>
          <w:bCs/>
          <w:sz w:val="19"/>
          <w:szCs w:val="19"/>
        </w:rPr>
        <w:t>přezdívku pomatenců, jak je pěkně vylíčeno v životo</w:t>
      </w:r>
      <w:r>
        <w:rPr>
          <w:b/>
          <w:bCs/>
          <w:sz w:val="19"/>
          <w:szCs w:val="19"/>
        </w:rPr>
        <w:softHyphen/>
        <w:t>pise objevitelky radia pani Curieové. Úspěšné využiti úč</w:t>
      </w:r>
      <w:r>
        <w:rPr>
          <w:b/>
          <w:bCs/>
          <w:sz w:val="19"/>
          <w:szCs w:val="19"/>
        </w:rPr>
        <w:t>inků radioaktivních látek, v lékařství při léčení zhoubných ná</w:t>
      </w:r>
      <w:r>
        <w:rPr>
          <w:b/>
          <w:bCs/>
          <w:sz w:val="19"/>
          <w:szCs w:val="19"/>
        </w:rPr>
        <w:softHyphen/>
        <w:t xml:space="preserve">dorů, je doufám, dostatečně známo, než aby bylo nuíno so </w:t>
      </w:r>
      <w:r>
        <w:rPr>
          <w:b/>
          <w:bCs/>
          <w:sz w:val="20"/>
          <w:szCs w:val="20"/>
        </w:rPr>
        <w:t xml:space="preserve">o </w:t>
      </w:r>
      <w:r>
        <w:rPr>
          <w:b/>
          <w:bCs/>
          <w:sz w:val="19"/>
          <w:szCs w:val="19"/>
        </w:rPr>
        <w:t>tom zvláště šířiti. Nechci unavovali dalšími příklady, avšak jsem přesvědčen, že každý z nás během celého dne —■ počínaje otočením vyp</w:t>
      </w:r>
      <w:r>
        <w:rPr>
          <w:b/>
          <w:bCs/>
          <w:sz w:val="19"/>
          <w:szCs w:val="19"/>
        </w:rPr>
        <w:t>ínače — setká se s celou řadou sku</w:t>
      </w:r>
      <w:r>
        <w:rPr>
          <w:b/>
          <w:bCs/>
          <w:sz w:val="19"/>
          <w:szCs w:val="19"/>
        </w:rPr>
        <w:softHyphen/>
        <w:t>tečností, jejichž existence byla podmíněna jediné zužitková</w:t>
      </w:r>
      <w:r>
        <w:rPr>
          <w:b/>
          <w:bCs/>
          <w:sz w:val="19"/>
          <w:szCs w:val="19"/>
        </w:rPr>
        <w:softHyphen/>
        <w:t>ním dlouholeté práce, kterou můžeme zahrnouti pod vše</w:t>
      </w:r>
      <w:r>
        <w:rPr>
          <w:b/>
          <w:bCs/>
          <w:sz w:val="19"/>
          <w:szCs w:val="19"/>
        </w:rPr>
        <w:softHyphen/>
        <w:t>obecným pojmem badatelství nebo výzkumnictvt</w:t>
      </w:r>
    </w:p>
    <w:p w:rsidR="00500724" w:rsidRDefault="00F30FB8">
      <w:pPr>
        <w:pStyle w:val="Zkladntext100"/>
        <w:shd w:val="clear" w:color="auto" w:fill="auto"/>
        <w:rPr>
          <w:sz w:val="19"/>
          <w:szCs w:val="19"/>
        </w:rPr>
      </w:pPr>
      <w:r>
        <w:rPr>
          <w:b/>
          <w:bCs/>
          <w:sz w:val="19"/>
          <w:szCs w:val="19"/>
        </w:rPr>
        <w:t xml:space="preserve">Je tedy patrno, že výzkumnictví je jedním z nezbytně nutných </w:t>
      </w:r>
      <w:r>
        <w:rPr>
          <w:b/>
          <w:bCs/>
          <w:sz w:val="19"/>
          <w:szCs w:val="19"/>
        </w:rPr>
        <w:t>koleček složitého stroje našeho denního života a ptáme se proto, kdo u nás o rozvoj našeho výzkumnictví a jeho organisaci pečuje. Jsou to především naše vysoké školy, vydržované státem, které však pro omezené možnosti finanční a organisační až na několik m</w:t>
      </w:r>
      <w:r>
        <w:rPr>
          <w:b/>
          <w:bCs/>
          <w:sz w:val="19"/>
          <w:szCs w:val="19"/>
        </w:rPr>
        <w:t>álo výjimek musí přizpůsobit svou vědeckou činnost a svou péčí o rozvoj vý</w:t>
      </w:r>
      <w:r>
        <w:rPr>
          <w:b/>
          <w:bCs/>
          <w:sz w:val="19"/>
          <w:szCs w:val="19"/>
        </w:rPr>
        <w:softHyphen/>
        <w:t>zkumnictví daným poměrům. Šťastnějšími institucemi byly až do nedávné doby naše vojenské vědecké ústavy, které, majíce k disposici značné částky peněžní, mohly plně roz</w:t>
      </w:r>
      <w:r>
        <w:rPr>
          <w:b/>
          <w:bCs/>
          <w:sz w:val="19"/>
          <w:szCs w:val="19"/>
        </w:rPr>
        <w:softHyphen/>
        <w:t>vinout! svou</w:t>
      </w:r>
      <w:r>
        <w:rPr>
          <w:b/>
          <w:bCs/>
          <w:sz w:val="19"/>
          <w:szCs w:val="19"/>
        </w:rPr>
        <w:t xml:space="preserve"> činnost. Druhým činitelem, který má a musí míti o výzkumnictví zájem, jsou naše průmyslové závody, z nichž mnohé mají již vlastně výzkumné ústavy nebo spo</w:t>
      </w:r>
      <w:r>
        <w:rPr>
          <w:b/>
          <w:bCs/>
          <w:sz w:val="19"/>
          <w:szCs w:val="19"/>
        </w:rPr>
        <w:softHyphen/>
        <w:t xml:space="preserve">lupracují, pokud je to ovšem možno nebo vůbec dovoleno, s vysokými školami. Srovnáme-li však dnešní </w:t>
      </w:r>
      <w:r>
        <w:rPr>
          <w:b/>
          <w:bCs/>
          <w:sz w:val="19"/>
          <w:szCs w:val="19"/>
        </w:rPr>
        <w:t>stav našich průmyslových výzkumných ústavů s ústavy zahraničních firem téhož oboru a téže velikosti, zjistíme ve většině pří</w:t>
      </w:r>
      <w:r>
        <w:rPr>
          <w:b/>
          <w:bCs/>
          <w:sz w:val="19"/>
          <w:szCs w:val="19"/>
        </w:rPr>
        <w:softHyphen/>
        <w:t>padů, že zahraniční firmy věnují na výzkumnictví ať již ve vlastních ústavech, či v ústavech externích nebo vysoko</w:t>
      </w:r>
      <w:r>
        <w:rPr>
          <w:b/>
          <w:bCs/>
          <w:sz w:val="19"/>
          <w:szCs w:val="19"/>
        </w:rPr>
        <w:softHyphen/>
        <w:t>školských, nepom</w:t>
      </w:r>
      <w:r>
        <w:rPr>
          <w:b/>
          <w:bCs/>
          <w:sz w:val="19"/>
          <w:szCs w:val="19"/>
        </w:rPr>
        <w:t>ěrně větší částky peněz. Sám jsem praco</w:t>
      </w:r>
      <w:r>
        <w:rPr>
          <w:b/>
          <w:bCs/>
          <w:sz w:val="19"/>
          <w:szCs w:val="19"/>
        </w:rPr>
        <w:softHyphen/>
        <w:t>val svého času v Heinrich-Heríz-Xnstitut fiir Sehwingungs- forschung v Berlíně, který byl sice přiřazen k charlotten- burské technice, avšak byl — podobně jako ústavy univer</w:t>
      </w:r>
      <w:r>
        <w:rPr>
          <w:b/>
          <w:bCs/>
          <w:sz w:val="19"/>
          <w:szCs w:val="19"/>
        </w:rPr>
        <w:softHyphen/>
        <w:t>sity v Jeně — z největší části vybudován a</w:t>
      </w:r>
      <w:r>
        <w:rPr>
          <w:b/>
          <w:bCs/>
          <w:sz w:val="19"/>
          <w:szCs w:val="19"/>
        </w:rPr>
        <w:t xml:space="preserve"> vydržován dary firem, od nichž dostával ročně asi 30.000 EM. Každý pracov</w:t>
      </w:r>
      <w:r>
        <w:rPr>
          <w:b/>
          <w:bCs/>
          <w:sz w:val="19"/>
          <w:szCs w:val="19"/>
        </w:rPr>
        <w:softHyphen/>
        <w:t>ník mohl proto dostávati na své konto jako základ pro svou práci 2000 KM; když tuto částku vyčerpal a požadoval k dokončení své práce další částku, byl povinen předložiti zprávu o d</w:t>
      </w:r>
      <w:r>
        <w:rPr>
          <w:b/>
          <w:bCs/>
          <w:sz w:val="19"/>
          <w:szCs w:val="19"/>
        </w:rPr>
        <w:t xml:space="preserve">osavadních výsledcích své práce, na základě níž mu byly povoleny další prostředky. Podobně je tomu 1 </w:t>
      </w:r>
      <w:r>
        <w:rPr>
          <w:b/>
          <w:bCs/>
        </w:rPr>
        <w:t xml:space="preserve">V </w:t>
      </w:r>
      <w:r>
        <w:rPr>
          <w:b/>
          <w:bCs/>
          <w:sz w:val="19"/>
          <w:szCs w:val="19"/>
        </w:rPr>
        <w:t>Anglii, kde university, resp. universitní laboratoře dispo</w:t>
      </w:r>
      <w:r>
        <w:rPr>
          <w:b/>
          <w:bCs/>
          <w:sz w:val="19"/>
          <w:szCs w:val="19"/>
        </w:rPr>
        <w:softHyphen/>
        <w:t>nují vedle státních dotací svými vlastními prostředky, kte</w:t>
      </w:r>
      <w:r>
        <w:rPr>
          <w:b/>
          <w:bCs/>
          <w:sz w:val="19"/>
          <w:szCs w:val="19"/>
        </w:rPr>
        <w:softHyphen/>
        <w:t>rých užívají tak, jak za nejlepší a</w:t>
      </w:r>
      <w:r>
        <w:rPr>
          <w:b/>
          <w:bCs/>
          <w:sz w:val="19"/>
          <w:szCs w:val="19"/>
        </w:rPr>
        <w:t xml:space="preserve"> nejvhodnější uznávají. Na př. </w:t>
      </w:r>
      <w:r>
        <w:rPr>
          <w:b/>
          <w:bCs/>
          <w:sz w:val="19"/>
          <w:szCs w:val="19"/>
          <w:lang w:val="en-US" w:eastAsia="en-US" w:bidi="en-US"/>
        </w:rPr>
        <w:t xml:space="preserve">Cavendish Laboratory </w:t>
      </w:r>
      <w:r>
        <w:rPr>
          <w:b/>
          <w:bCs/>
          <w:sz w:val="19"/>
          <w:szCs w:val="19"/>
        </w:rPr>
        <w:t>v Cambridge, v níž jsem v roce 1937-38 pracoval, dostala darem od lorda Au stín a, zná</w:t>
      </w:r>
      <w:r>
        <w:rPr>
          <w:b/>
          <w:bCs/>
          <w:sz w:val="19"/>
          <w:szCs w:val="19"/>
        </w:rPr>
        <w:softHyphen/>
        <w:t>mého výrobce automobilů, pro práce v atomové fysice část</w:t>
      </w:r>
      <w:r>
        <w:rPr>
          <w:b/>
          <w:bCs/>
          <w:sz w:val="19"/>
          <w:szCs w:val="19"/>
        </w:rPr>
        <w:softHyphen/>
        <w:t>ku 250.000 liber šterlinků, tedy závratnou sumu asi 30 mi</w:t>
      </w:r>
      <w:r>
        <w:rPr>
          <w:b/>
          <w:bCs/>
          <w:sz w:val="19"/>
          <w:szCs w:val="19"/>
        </w:rPr>
        <w:softHyphen/>
        <w:t>li</w:t>
      </w:r>
      <w:r>
        <w:rPr>
          <w:b/>
          <w:bCs/>
          <w:sz w:val="19"/>
          <w:szCs w:val="19"/>
        </w:rPr>
        <w:t>onů našich korun. Některé firmy, na př. Philips v Holand</w:t>
      </w:r>
      <w:r>
        <w:rPr>
          <w:b/>
          <w:bCs/>
          <w:sz w:val="19"/>
          <w:szCs w:val="19"/>
        </w:rPr>
        <w:softHyphen/>
        <w:t>sku, fy Siemens a AEG v Německu, mají již vybudované své vlastní výzkumné ústavy, které ne tak vnější úpravou bu</w:t>
      </w:r>
      <w:r>
        <w:rPr>
          <w:b/>
          <w:bCs/>
          <w:sz w:val="19"/>
          <w:szCs w:val="19"/>
        </w:rPr>
        <w:softHyphen/>
        <w:t>dovy, jako vnitřním vybavením předčí vědecké ústavy vy</w:t>
      </w:r>
      <w:r>
        <w:rPr>
          <w:b/>
          <w:bCs/>
          <w:sz w:val="19"/>
          <w:szCs w:val="19"/>
        </w:rPr>
        <w:softHyphen/>
        <w:t>sokých škol.</w:t>
      </w:r>
    </w:p>
    <w:p w:rsidR="00500724" w:rsidRDefault="00F30FB8">
      <w:pPr>
        <w:pStyle w:val="Zkladntext100"/>
        <w:shd w:val="clear" w:color="auto" w:fill="auto"/>
        <w:ind w:firstLine="200"/>
        <w:rPr>
          <w:sz w:val="19"/>
          <w:szCs w:val="19"/>
        </w:rPr>
      </w:pPr>
      <w:r>
        <w:rPr>
          <w:b/>
          <w:bCs/>
          <w:sz w:val="19"/>
          <w:szCs w:val="19"/>
        </w:rPr>
        <w:t>Zřízení výzkumného</w:t>
      </w:r>
      <w:r>
        <w:rPr>
          <w:b/>
          <w:bCs/>
          <w:sz w:val="19"/>
          <w:szCs w:val="19"/>
        </w:rPr>
        <w:t xml:space="preserve"> ústavu je dnes pro velký průmyslo</w:t>
      </w:r>
      <w:r>
        <w:rPr>
          <w:b/>
          <w:bCs/>
          <w:sz w:val="19"/>
          <w:szCs w:val="19"/>
        </w:rPr>
        <w:softHyphen/>
        <w:t>vý podnik přímo nutnosti. Na př. o dvou velkých zahranič</w:t>
      </w:r>
      <w:r>
        <w:rPr>
          <w:b/>
          <w:bCs/>
          <w:sz w:val="19"/>
          <w:szCs w:val="19"/>
        </w:rPr>
        <w:softHyphen/>
        <w:t>ních firmách, které jsou dnes na stejné výši, je známo toto: jedna z nich vbrzku pochopila význam výzkumnictví, kdežto druhá byla toho názoru, že je lépe hotový pat</w:t>
      </w:r>
      <w:r>
        <w:rPr>
          <w:b/>
          <w:bCs/>
          <w:sz w:val="19"/>
          <w:szCs w:val="19"/>
        </w:rPr>
        <w:t>ent koupiti, a zůstávala proto velmi pozadu, takže byla přímo nucena zříditi si svůj vlastní výzkumný ústav. Výzkumný ústav má pro průmyslový podnik ještě další význam, že totiž slouží pro výcvik vlastních pracovníků.</w:t>
      </w:r>
    </w:p>
    <w:p w:rsidR="00500724" w:rsidRDefault="00F30FB8">
      <w:pPr>
        <w:pStyle w:val="Zkladntext100"/>
        <w:shd w:val="clear" w:color="auto" w:fill="auto"/>
        <w:rPr>
          <w:sz w:val="19"/>
          <w:szCs w:val="19"/>
        </w:rPr>
      </w:pPr>
      <w:r>
        <w:rPr>
          <w:b/>
          <w:bCs/>
          <w:sz w:val="19"/>
          <w:szCs w:val="19"/>
        </w:rPr>
        <w:t>Dosavadní stav našeho výzkumnictví jev</w:t>
      </w:r>
      <w:r>
        <w:rPr>
          <w:b/>
          <w:bCs/>
          <w:sz w:val="19"/>
          <w:szCs w:val="19"/>
        </w:rPr>
        <w:t>í se ovšem mar</w:t>
      </w:r>
      <w:r>
        <w:rPr>
          <w:b/>
          <w:bCs/>
          <w:sz w:val="19"/>
          <w:szCs w:val="19"/>
        </w:rPr>
        <w:softHyphen/>
        <w:t>kantně i v našem patentnictví. Většina přihlašovatelů u na</w:t>
      </w:r>
      <w:r>
        <w:rPr>
          <w:b/>
          <w:bCs/>
          <w:sz w:val="19"/>
          <w:szCs w:val="19"/>
        </w:rPr>
        <w:softHyphen/>
        <w:t>šeho patentního úřadu je původu cizího, a ročně plynou velké sumy na licenčních poplatcích do ciziny. Celá řada odvětví našeho patentního úřadu je v technické závislosti na zahraničn</w:t>
      </w:r>
      <w:r>
        <w:rPr>
          <w:b/>
          <w:bCs/>
          <w:sz w:val="19"/>
          <w:szCs w:val="19"/>
        </w:rPr>
        <w:t xml:space="preserve">ích firmách, náš stát pak v hospodářské závislosti na cizích státech. Při konstatování tohoto faldu se obvykle namítne, že jsme malým národem, který si nemůže dovoliti to, čeho si mohou dopřáti národové velcí. Avšak dovedli jsme dosíci v některých oborech </w:t>
      </w:r>
      <w:r>
        <w:rPr>
          <w:b/>
          <w:bCs/>
          <w:sz w:val="19"/>
          <w:szCs w:val="19"/>
        </w:rPr>
        <w:t>pozoruhodných výsledků — máme Baťovy závody, motory některých našich firem se vyrábějí v licenci v zahraničí, rovněž tak je tomu s výrobky našeho zbrojařského průmyslu — proč bychom to tedy ne</w:t>
      </w:r>
      <w:r>
        <w:rPr>
          <w:b/>
          <w:bCs/>
          <w:sz w:val="19"/>
          <w:szCs w:val="19"/>
        </w:rPr>
        <w:softHyphen/>
        <w:t>mohli zkusiti i v oborech jiných. Konečně 1 jiné malé státy vyn</w:t>
      </w:r>
      <w:r>
        <w:rPr>
          <w:b/>
          <w:bCs/>
          <w:sz w:val="19"/>
          <w:szCs w:val="19"/>
        </w:rPr>
        <w:t>ikají v určitém směru svým průmyslem, na př. Holand</w:t>
      </w:r>
      <w:r>
        <w:rPr>
          <w:b/>
          <w:bCs/>
          <w:sz w:val="19"/>
          <w:szCs w:val="19"/>
        </w:rPr>
        <w:softHyphen/>
        <w:t>sko má Phiiipsovy závody, Švýcarsko má vyvinutý průmysl elektrotechnický (firma Brown-Boveri), atd.</w:t>
      </w:r>
    </w:p>
    <w:p w:rsidR="00500724" w:rsidRDefault="00F30FB8">
      <w:pPr>
        <w:pStyle w:val="Zkladntext100"/>
        <w:shd w:val="clear" w:color="auto" w:fill="auto"/>
        <w:spacing w:line="214" w:lineRule="auto"/>
        <w:ind w:firstLine="260"/>
        <w:rPr>
          <w:sz w:val="19"/>
          <w:szCs w:val="19"/>
        </w:rPr>
      </w:pPr>
      <w:r>
        <w:rPr>
          <w:b/>
          <w:bCs/>
          <w:sz w:val="19"/>
          <w:szCs w:val="19"/>
        </w:rPr>
        <w:t xml:space="preserve">K tomu je třeba si pouze uvědomiti několik základních fakt. Bylo by omylem očekávati, že i v otázce </w:t>
      </w:r>
      <w:r>
        <w:rPr>
          <w:b/>
          <w:bCs/>
          <w:sz w:val="19"/>
          <w:szCs w:val="19"/>
        </w:rPr>
        <w:t>našeho vý</w:t>
      </w:r>
      <w:r>
        <w:rPr>
          <w:b/>
          <w:bCs/>
          <w:sz w:val="19"/>
          <w:szCs w:val="19"/>
        </w:rPr>
        <w:softHyphen/>
        <w:t>zkumnictví musí zasáhnout! stát. Naopak i zde, jako v ji</w:t>
      </w:r>
      <w:r>
        <w:rPr>
          <w:b/>
          <w:bCs/>
          <w:sz w:val="19"/>
          <w:szCs w:val="19"/>
        </w:rPr>
        <w:softHyphen/>
        <w:t>ných, na př. sociálních podnicích, musíme se obrátiti na veřejnost s prosbou o pomoc a přispění. V případě výzkum</w:t>
      </w:r>
      <w:r>
        <w:rPr>
          <w:b/>
          <w:bCs/>
          <w:sz w:val="19"/>
          <w:szCs w:val="19"/>
        </w:rPr>
        <w:softHyphen/>
        <w:t>nictví jsou to příslušné kruhy průmyslové a finanční, po případě i jednotli</w:t>
      </w:r>
      <w:r>
        <w:rPr>
          <w:b/>
          <w:bCs/>
          <w:sz w:val="19"/>
          <w:szCs w:val="19"/>
        </w:rPr>
        <w:t>vci mecenášové, aby porozuměním pro dů</w:t>
      </w:r>
      <w:r>
        <w:rPr>
          <w:b/>
          <w:bCs/>
          <w:sz w:val="19"/>
          <w:szCs w:val="19"/>
        </w:rPr>
        <w:softHyphen/>
        <w:t>ležitost věci a hiavně pak účinnou podporu finanční zajistili úspěch celé akce. Vzmach a rozkvět našeho výzkumnictví přinesl by po čase mnohonásobné úroky. Ovšem, jako v ji</w:t>
      </w:r>
      <w:r>
        <w:rPr>
          <w:b/>
          <w:bCs/>
          <w:sz w:val="19"/>
          <w:szCs w:val="19"/>
        </w:rPr>
        <w:softHyphen/>
        <w:t>ných oborech, zvláště v© výzkumnictví, nesmí</w:t>
      </w:r>
      <w:r>
        <w:rPr>
          <w:b/>
          <w:bCs/>
          <w:sz w:val="19"/>
          <w:szCs w:val="19"/>
        </w:rPr>
        <w:t>me očekávati, že obnos, vložený za určitým účelem se vrátí ihned v ně</w:t>
      </w:r>
      <w:r>
        <w:rPr>
          <w:b/>
          <w:bCs/>
          <w:sz w:val="19"/>
          <w:szCs w:val="19"/>
        </w:rPr>
        <w:softHyphen/>
        <w:t>kolikanásobné výši. Výzkumnická práce je práce vědecká, která se podstatně liší od práce řemeslné. Výzkumnictví znamená hledání nových cest a velmi často, dokonce mno</w:t>
      </w:r>
      <w:r>
        <w:rPr>
          <w:b/>
          <w:bCs/>
          <w:sz w:val="19"/>
          <w:szCs w:val="19"/>
        </w:rPr>
        <w:softHyphen/>
        <w:t>hokráte, zajde nejd</w:t>
      </w:r>
      <w:r>
        <w:rPr>
          <w:b/>
          <w:bCs/>
          <w:sz w:val="19"/>
          <w:szCs w:val="19"/>
        </w:rPr>
        <w:t>řív do slepé uličky. Nelze proto očeká</w:t>
      </w:r>
      <w:r>
        <w:rPr>
          <w:b/>
          <w:bCs/>
          <w:sz w:val="19"/>
          <w:szCs w:val="19"/>
        </w:rPr>
        <w:softHyphen/>
        <w:t>vati okamžitě výnos výzkumnické práce. Stačí si k tomu připomenouti, jak dlouho celá řada vědeckých výsledků zů</w:t>
      </w:r>
      <w:r>
        <w:rPr>
          <w:b/>
          <w:bCs/>
          <w:sz w:val="19"/>
          <w:szCs w:val="19"/>
        </w:rPr>
        <w:softHyphen/>
        <w:t>stala technicky nezužitkována. Technika se jich však mohla chopiti ihned, jakmile životní potřeby si toho</w:t>
      </w:r>
      <w:r>
        <w:rPr>
          <w:b/>
          <w:bCs/>
          <w:sz w:val="19"/>
          <w:szCs w:val="19"/>
        </w:rPr>
        <w:t xml:space="preserve"> vyžádaly.</w:t>
      </w:r>
    </w:p>
    <w:p w:rsidR="00500724" w:rsidRDefault="00F30FB8">
      <w:pPr>
        <w:pStyle w:val="Zkladntext100"/>
        <w:shd w:val="clear" w:color="auto" w:fill="auto"/>
        <w:spacing w:line="211" w:lineRule="auto"/>
        <w:ind w:firstLine="260"/>
        <w:rPr>
          <w:sz w:val="19"/>
          <w:szCs w:val="19"/>
        </w:rPr>
      </w:pPr>
      <w:r>
        <w:rPr>
          <w:b/>
          <w:bCs/>
          <w:sz w:val="19"/>
          <w:szCs w:val="19"/>
        </w:rPr>
        <w:t>Eozvojem našeho výzkumnictví by se umožnila činnost celé řadě pracovníků, které by bylo nutno především řád- něvědeckypřipraviti. K tomu účelu by sloužily f on- dy a stipendia, k čemuž byl již položen důstojný základ zří</w:t>
      </w:r>
      <w:r>
        <w:rPr>
          <w:b/>
          <w:bCs/>
          <w:sz w:val="19"/>
          <w:szCs w:val="19"/>
        </w:rPr>
        <w:softHyphen/>
        <w:t xml:space="preserve">zením Masarykova </w:t>
      </w:r>
      <w:r>
        <w:rPr>
          <w:b/>
          <w:bCs/>
          <w:sz w:val="19"/>
          <w:szCs w:val="19"/>
          <w:lang w:val="en-US" w:eastAsia="en-US" w:bidi="en-US"/>
        </w:rPr>
        <w:t>a Denis</w:t>
      </w:r>
      <w:r>
        <w:rPr>
          <w:b/>
          <w:bCs/>
          <w:sz w:val="19"/>
          <w:szCs w:val="19"/>
          <w:lang w:val="en-US" w:eastAsia="en-US" w:bidi="en-US"/>
        </w:rPr>
        <w:t xml:space="preserve">ova </w:t>
      </w:r>
      <w:r>
        <w:rPr>
          <w:b/>
          <w:bCs/>
          <w:sz w:val="19"/>
          <w:szCs w:val="19"/>
        </w:rPr>
        <w:t>fondu pro podporu vědecké</w:t>
      </w:r>
      <w:r>
        <w:rPr>
          <w:b/>
          <w:bCs/>
          <w:sz w:val="19"/>
          <w:szCs w:val="19"/>
        </w:rPr>
        <w:softHyphen/>
        <w:t>ho badání, aby mladí, schopní a svědomití lidé, hodlající se věnovati výzkumnictví, mohli poznat! způsob práce i v cizích zemích, ať již v ústavech vysokoškolských, či ve výzkum</w:t>
      </w:r>
      <w:r>
        <w:rPr>
          <w:b/>
          <w:bCs/>
          <w:sz w:val="19"/>
          <w:szCs w:val="19"/>
        </w:rPr>
        <w:softHyphen/>
        <w:t>ných laboratořích průmyslových závodů. Získali b</w:t>
      </w:r>
      <w:r>
        <w:rPr>
          <w:b/>
          <w:bCs/>
          <w:sz w:val="19"/>
          <w:szCs w:val="19"/>
        </w:rPr>
        <w:t>y si tak ne</w:t>
      </w:r>
      <w:r>
        <w:rPr>
          <w:b/>
          <w:bCs/>
          <w:sz w:val="19"/>
          <w:szCs w:val="19"/>
        </w:rPr>
        <w:softHyphen/>
        <w:t>jenom vysokou vědeckou erudici, ale i potřebný světový roz- hled a mohli by pak své bohaté zkušenosti postaviti do slu</w:t>
      </w:r>
      <w:r>
        <w:rPr>
          <w:b/>
          <w:bCs/>
          <w:sz w:val="19"/>
          <w:szCs w:val="19"/>
        </w:rPr>
        <w:softHyphen/>
        <w:t>žeb našeho průmyslu a tak do služeb celého národa.</w:t>
      </w:r>
    </w:p>
    <w:p w:rsidR="00500724" w:rsidRDefault="00F30FB8">
      <w:pPr>
        <w:pStyle w:val="Zkladntext100"/>
        <w:shd w:val="clear" w:color="auto" w:fill="auto"/>
        <w:spacing w:line="187" w:lineRule="auto"/>
        <w:rPr>
          <w:sz w:val="19"/>
          <w:szCs w:val="19"/>
        </w:rPr>
      </w:pPr>
      <w:r>
        <w:rPr>
          <w:b/>
          <w:bCs/>
          <w:sz w:val="19"/>
          <w:szCs w:val="19"/>
        </w:rPr>
        <w:t>Při výběru vědeckých pracovníků bylo by nutno zvláště dbáti toho, aby to b</w:t>
      </w:r>
      <w:r>
        <w:rPr>
          <w:b/>
          <w:bCs/>
          <w:sz w:val="19"/>
          <w:szCs w:val="19"/>
        </w:rPr>
        <w:t>yli lidé, kteří se hodlají věnovati vý</w:t>
      </w:r>
      <w:r>
        <w:rPr>
          <w:b/>
          <w:bCs/>
          <w:sz w:val="19"/>
          <w:szCs w:val="19"/>
        </w:rPr>
        <w:softHyphen/>
        <w:t>zkumnictví opravdově. Jsem přesvědčen, že bychom pak brzy dosáhli toho, čemu se dnes obdivujeme u jiných ná</w:t>
      </w:r>
      <w:r>
        <w:rPr>
          <w:b/>
          <w:bCs/>
          <w:sz w:val="19"/>
          <w:szCs w:val="19"/>
        </w:rPr>
        <w:softHyphen/>
        <w:t>rodů, neboť jsme nadáni potřebnými schopnostmi a vlast</w:t>
      </w:r>
      <w:r>
        <w:rPr>
          <w:b/>
          <w:bCs/>
          <w:sz w:val="19"/>
          <w:szCs w:val="19"/>
        </w:rPr>
        <w:softHyphen/>
        <w:t>nostmi, které se pouze nesmí nechati ležeti ladem, nýb</w:t>
      </w:r>
      <w:r>
        <w:rPr>
          <w:b/>
          <w:bCs/>
          <w:sz w:val="19"/>
          <w:szCs w:val="19"/>
        </w:rPr>
        <w:t>rž je jich třeba — zvláště v dnešní době — účelně využiti.</w:t>
      </w:r>
    </w:p>
    <w:p w:rsidR="00500724" w:rsidRDefault="00F30FB8">
      <w:pPr>
        <w:pStyle w:val="Zkladntext30"/>
        <w:shd w:val="clear" w:color="auto" w:fill="auto"/>
        <w:spacing w:after="120" w:line="202" w:lineRule="auto"/>
        <w:rPr>
          <w:sz w:val="20"/>
          <w:szCs w:val="20"/>
        </w:rPr>
      </w:pPr>
      <w:r>
        <w:rPr>
          <w:i/>
          <w:iCs/>
          <w:sz w:val="20"/>
          <w:szCs w:val="20"/>
        </w:rPr>
        <w:t>RNDr. V. Petržilka, docent Karlovy university v Praze</w:t>
      </w:r>
    </w:p>
    <w:p w:rsidR="00500724" w:rsidRDefault="00F30FB8">
      <w:pPr>
        <w:pStyle w:val="Zkladntext30"/>
        <w:shd w:val="clear" w:color="auto" w:fill="auto"/>
        <w:spacing w:after="0" w:line="298" w:lineRule="auto"/>
        <w:ind w:firstLine="0"/>
        <w:jc w:val="center"/>
        <w:rPr>
          <w:sz w:val="20"/>
          <w:szCs w:val="20"/>
        </w:rPr>
      </w:pPr>
      <w:r>
        <w:rPr>
          <w:b/>
          <w:bCs/>
          <w:sz w:val="20"/>
          <w:szCs w:val="20"/>
        </w:rPr>
        <w:t>Z dopisů nejnovějších emigrantů</w:t>
      </w:r>
    </w:p>
    <w:p w:rsidR="00500724" w:rsidRDefault="00F30FB8">
      <w:pPr>
        <w:pStyle w:val="Zkladntext100"/>
        <w:numPr>
          <w:ilvl w:val="0"/>
          <w:numId w:val="30"/>
        </w:numPr>
        <w:shd w:val="clear" w:color="auto" w:fill="auto"/>
        <w:tabs>
          <w:tab w:val="left" w:pos="2344"/>
        </w:tabs>
        <w:spacing w:line="298" w:lineRule="auto"/>
        <w:ind w:left="1940" w:firstLine="0"/>
        <w:jc w:val="left"/>
        <w:rPr>
          <w:sz w:val="19"/>
          <w:szCs w:val="19"/>
        </w:rPr>
      </w:pPr>
      <w:r>
        <w:rPr>
          <w:b/>
          <w:bCs/>
          <w:sz w:val="19"/>
          <w:szCs w:val="19"/>
        </w:rPr>
        <w:t>Z Bolivie</w:t>
      </w:r>
    </w:p>
    <w:p w:rsidR="00500724" w:rsidRDefault="00F30FB8">
      <w:pPr>
        <w:pStyle w:val="Zkladntext100"/>
        <w:shd w:val="clear" w:color="auto" w:fill="auto"/>
        <w:spacing w:line="190" w:lineRule="auto"/>
        <w:rPr>
          <w:sz w:val="19"/>
          <w:szCs w:val="19"/>
        </w:rPr>
      </w:pPr>
      <w:r>
        <w:rPr>
          <w:b/>
          <w:bCs/>
          <w:sz w:val="19"/>
          <w:szCs w:val="19"/>
        </w:rPr>
        <w:t>Po dlouhé plavbě Atlantickým oceánem jsme přistali v přístavu Arica. Přesedli jsme do rychlíku, který</w:t>
      </w:r>
      <w:r>
        <w:rPr>
          <w:b/>
          <w:bCs/>
          <w:sz w:val="19"/>
          <w:szCs w:val="19"/>
        </w:rPr>
        <w:t xml:space="preserve"> nás po 21hodinné cestě dovezl do La Paz, hlavnílio města Bolivie. Cesta byla nemírně namáhavá, protože výškové rozdíly jsou příkré a značné. Od moře v Arice stoupá dráha až do výškyi 4500 metrů a to je změna, kterou tělo těžko vydrží. Někteří z nás myslil</w:t>
      </w:r>
      <w:r>
        <w:rPr>
          <w:b/>
          <w:bCs/>
          <w:sz w:val="19"/>
          <w:szCs w:val="19"/>
        </w:rPr>
        <w:t>i, že nastala jejich poslední hodinka. Já a můj přítel — oba jsme dělníci — odnesli jsme změnu jenom bolestmi hlavy. Když jsme viděli město La Paz, byli jsme strašně zklamáni. Když jsme pak vystoupili na nádraží a když se ukázalo, že nás nikdo z našich lid</w:t>
      </w:r>
      <w:r>
        <w:rPr>
          <w:b/>
          <w:bCs/>
          <w:sz w:val="19"/>
          <w:szCs w:val="19"/>
        </w:rPr>
        <w:t>í nevítá, bylo zkla</w:t>
      </w:r>
      <w:r>
        <w:rPr>
          <w:b/>
          <w:bCs/>
          <w:sz w:val="19"/>
          <w:szCs w:val="19"/>
        </w:rPr>
        <w:softHyphen/>
        <w:t>mání ještě horši. Co dělat, museli jsme si pomoci sami. Ne</w:t>
      </w:r>
      <w:r>
        <w:rPr>
          <w:b/>
          <w:bCs/>
          <w:sz w:val="19"/>
          <w:szCs w:val="19"/>
        </w:rPr>
        <w:softHyphen/>
        <w:t>bylo to tak snadné, nikdo nechtě! rozuměti naší španělštině. Pokoušeli jsme se tedy dohovořit se pohyby a posunky. Po dlouhé a křížové cestě celým městem zakotvili jsme v ital</w:t>
      </w:r>
      <w:r>
        <w:rPr>
          <w:b/>
          <w:bCs/>
          <w:sz w:val="19"/>
          <w:szCs w:val="19"/>
        </w:rPr>
        <w:softHyphen/>
        <w:t>s</w:t>
      </w:r>
      <w:r>
        <w:rPr>
          <w:b/>
          <w:bCs/>
          <w:sz w:val="19"/>
          <w:szCs w:val="19"/>
        </w:rPr>
        <w:t>kém hotelu. Nebylo tu právě čisto, ale my jsme měli jenom jednu touhu: vyspat se! A protože jsme měli maloučko peněz, vydali jsme se už druhý den na honbu za prací.</w:t>
      </w:r>
    </w:p>
    <w:p w:rsidR="00500724" w:rsidRDefault="00F30FB8">
      <w:pPr>
        <w:pStyle w:val="Zkladntext100"/>
        <w:shd w:val="clear" w:color="auto" w:fill="auto"/>
        <w:spacing w:line="190" w:lineRule="auto"/>
        <w:rPr>
          <w:sz w:val="19"/>
          <w:szCs w:val="19"/>
        </w:rPr>
      </w:pPr>
      <w:r>
        <w:rPr>
          <w:b/>
          <w:bCs/>
          <w:sz w:val="19"/>
          <w:szCs w:val="19"/>
        </w:rPr>
        <w:t>První dobu jsme bydlili v předměstí Obraehes. Tady venku jsme se po prvé cítili v Bolivii d</w:t>
      </w:r>
      <w:r>
        <w:rPr>
          <w:b/>
          <w:bCs/>
          <w:sz w:val="19"/>
          <w:szCs w:val="19"/>
        </w:rPr>
        <w:t>obře. Ztráviii jsme celé dlouhé dny přihlašováním na policii a na úřadě pro vy- síěhovalce, změřili nás, ofotografovali se všeeh stran, vzali si 35 otisků prstů. Pak jsme dostali papíry a povolení po</w:t>
      </w:r>
      <w:r>
        <w:rPr>
          <w:b/>
          <w:bCs/>
          <w:sz w:val="19"/>
          <w:szCs w:val="19"/>
        </w:rPr>
        <w:softHyphen/>
        <w:t xml:space="preserve">bytu na měsíc. A pak začalo utrpení znovu, protože jsme </w:t>
      </w:r>
      <w:r>
        <w:rPr>
          <w:b/>
          <w:bCs/>
          <w:sz w:val="19"/>
          <w:szCs w:val="19"/>
        </w:rPr>
        <w:t>museli žádat trvalé povolení pobytu. Konečně jsme do</w:t>
      </w:r>
      <w:r>
        <w:rPr>
          <w:b/>
          <w:bCs/>
          <w:sz w:val="19"/>
          <w:szCs w:val="19"/>
        </w:rPr>
        <w:softHyphen/>
        <w:t>stali i to.</w:t>
      </w:r>
    </w:p>
    <w:p w:rsidR="00500724" w:rsidRDefault="00F30FB8">
      <w:pPr>
        <w:pStyle w:val="Zkladntext100"/>
        <w:shd w:val="clear" w:color="auto" w:fill="auto"/>
        <w:spacing w:line="226" w:lineRule="auto"/>
        <w:rPr>
          <w:sz w:val="20"/>
          <w:szCs w:val="20"/>
        </w:rPr>
      </w:pPr>
      <w:r>
        <w:rPr>
          <w:b/>
          <w:bCs/>
          <w:sz w:val="19"/>
          <w:szCs w:val="19"/>
        </w:rPr>
        <w:t>La Pas, hlavní město Bolivie, dělá zblízka docela hezký dojem, zvlášť vnitřek města je pěkný. Město má pouliční dráhu a prastaré omnibusy, obojí se dvěma třídami: pro Indiány a pro bílé. Indi</w:t>
      </w:r>
      <w:r>
        <w:rPr>
          <w:b/>
          <w:bCs/>
          <w:sz w:val="19"/>
          <w:szCs w:val="19"/>
        </w:rPr>
        <w:t>áni bydlí na okraji města a jsou strašně špinaví. Myslím, že se celý život neumývají. Bili s nimi zacházejí jako s dobytkem. Barevní pracují na silni</w:t>
      </w:r>
      <w:r>
        <w:rPr>
          <w:b/>
          <w:bCs/>
          <w:sz w:val="19"/>
          <w:szCs w:val="19"/>
        </w:rPr>
        <w:softHyphen/>
        <w:t xml:space="preserve">cích, jako nosiči i jako tovární dělnici — ovšem, málokdy </w:t>
      </w:r>
      <w:r>
        <w:rPr>
          <w:b/>
          <w:bCs/>
          <w:sz w:val="20"/>
          <w:szCs w:val="20"/>
        </w:rPr>
        <w:t>1&lt;5J</w:t>
      </w:r>
    </w:p>
    <w:p w:rsidR="00500724" w:rsidRDefault="00F30FB8">
      <w:pPr>
        <w:pStyle w:val="Zkladntext100"/>
        <w:shd w:val="clear" w:color="auto" w:fill="auto"/>
        <w:spacing w:line="214" w:lineRule="auto"/>
        <w:ind w:firstLine="0"/>
        <w:rPr>
          <w:sz w:val="19"/>
          <w:szCs w:val="19"/>
        </w:rPr>
      </w:pPr>
      <w:r>
        <w:rPr>
          <w:b/>
          <w:bCs/>
          <w:sz w:val="19"/>
          <w:szCs w:val="19"/>
        </w:rPr>
        <w:t>Jsou to školení dělnici. Na stavbě vyděláva</w:t>
      </w:r>
      <w:r>
        <w:rPr>
          <w:b/>
          <w:bCs/>
          <w:sz w:val="19"/>
          <w:szCs w:val="19"/>
        </w:rPr>
        <w:t>jí asi 10 až 25 bolivias denně, nosiči vydělávají jenom po centech a ty jim lidé často házejí pod nohy. V továrnách jsou »indios«, právě jako Boliviáni všechno, jenom ne spolehliví pracovníci. Za každým dělníkem musí stát mistr a dohližitel. A dají-li se j</w:t>
      </w:r>
      <w:r>
        <w:rPr>
          <w:b/>
          <w:bCs/>
          <w:sz w:val="19"/>
          <w:szCs w:val="19"/>
        </w:rPr>
        <w:t>ednou do pití, je konec. »Manana« to je zítra, zítra — to je zde nejdůležitější slovo. Při stavbách silnic to vypadá, jako před 200 let. Když dláždi ulici, odnášejí ženy a děti v šátcích a starých plechovkách staré kameny. Dělníci spí obyčejně tam, kde pra</w:t>
      </w:r>
      <w:r>
        <w:rPr>
          <w:b/>
          <w:bCs/>
          <w:sz w:val="19"/>
          <w:szCs w:val="19"/>
        </w:rPr>
        <w:t>cují. Kousek vlnitého plechu a několik cihei — to je jejich byt.</w:t>
      </w:r>
    </w:p>
    <w:p w:rsidR="00500724" w:rsidRDefault="00F30FB8">
      <w:pPr>
        <w:pStyle w:val="Zkladntext100"/>
        <w:shd w:val="clear" w:color="auto" w:fill="auto"/>
        <w:spacing w:line="214" w:lineRule="auto"/>
        <w:ind w:firstLine="320"/>
        <w:rPr>
          <w:sz w:val="19"/>
          <w:szCs w:val="19"/>
        </w:rPr>
      </w:pPr>
      <w:r>
        <w:rPr>
          <w:b/>
          <w:bCs/>
          <w:sz w:val="19"/>
          <w:szCs w:val="19"/>
        </w:rPr>
        <w:t>Za takových podmínek se dá ovšem těžko pracovat. Roz</w:t>
      </w:r>
      <w:r>
        <w:rPr>
          <w:b/>
          <w:bCs/>
          <w:sz w:val="19"/>
          <w:szCs w:val="19"/>
        </w:rPr>
        <w:softHyphen/>
        <w:t>hodli jsme se, že se odstěhujeme na venek. Seznámili jsme se s německým velkoobchodníkem, který hledal osadníky na pozemky své haciendy.</w:t>
      </w:r>
    </w:p>
    <w:p w:rsidR="00500724" w:rsidRDefault="00F30FB8">
      <w:pPr>
        <w:pStyle w:val="Zkladntext100"/>
        <w:shd w:val="clear" w:color="auto" w:fill="auto"/>
        <w:spacing w:line="214" w:lineRule="auto"/>
        <w:ind w:firstLine="320"/>
        <w:rPr>
          <w:sz w:val="19"/>
          <w:szCs w:val="19"/>
        </w:rPr>
      </w:pPr>
      <w:r>
        <w:rPr>
          <w:b/>
          <w:bCs/>
          <w:sz w:val="19"/>
          <w:szCs w:val="19"/>
        </w:rPr>
        <w:t xml:space="preserve">Jeli jsme s ním o svátcích v jeho automobile. Po devíti- hodinné cestě jsme dorazili do Irupany a odtud jsme museli ještě dvě hodiny na koních, než jsme se dostali do haciendy Plazuely. Po prvé v životě jsme seděl na mezku! Hacienda leží 2200 metrů vysoko </w:t>
      </w:r>
      <w:r>
        <w:rPr>
          <w:b/>
          <w:bCs/>
          <w:sz w:val="19"/>
          <w:szCs w:val="19"/>
        </w:rPr>
        <w:t>a roste tu vůbec všechno: káva, pomeranče, rýže, kukuřice, cukrová třtina. Ale je tu také tropická horečka a v cukrové třtině jsou chřestýši.</w:t>
      </w:r>
    </w:p>
    <w:p w:rsidR="00500724" w:rsidRDefault="00F30FB8">
      <w:pPr>
        <w:pStyle w:val="Zkladntext100"/>
        <w:shd w:val="clear" w:color="auto" w:fill="auto"/>
        <w:spacing w:line="214" w:lineRule="auto"/>
        <w:ind w:firstLine="320"/>
        <w:rPr>
          <w:sz w:val="19"/>
          <w:szCs w:val="19"/>
        </w:rPr>
      </w:pPr>
      <w:r>
        <w:rPr>
          <w:b/>
          <w:bCs/>
          <w:sz w:val="19"/>
          <w:szCs w:val="19"/>
        </w:rPr>
        <w:t>Druhého dne jsme se vydali na cestu, abychom spatřili zemi, která se měla stát našim domovem. Kaktusy jsou tu 4 me</w:t>
      </w:r>
      <w:r>
        <w:rPr>
          <w:b/>
          <w:bCs/>
          <w:sz w:val="19"/>
          <w:szCs w:val="19"/>
        </w:rPr>
        <w:t>try vysoké — jak jsme se doma pachtili po květu kaktusu! — tady je jich, jako u nás kopretin. Večer jsme dorazili umoření a rozdrásaní.</w:t>
      </w:r>
    </w:p>
    <w:p w:rsidR="00500724" w:rsidRDefault="00F30FB8">
      <w:pPr>
        <w:pStyle w:val="Zkladntext100"/>
        <w:shd w:val="clear" w:color="auto" w:fill="auto"/>
        <w:spacing w:line="214" w:lineRule="auto"/>
        <w:ind w:firstLine="320"/>
        <w:rPr>
          <w:sz w:val="19"/>
          <w:szCs w:val="19"/>
        </w:rPr>
      </w:pPr>
      <w:r>
        <w:rPr>
          <w:b/>
          <w:bCs/>
          <w:sz w:val="19"/>
          <w:szCs w:val="19"/>
        </w:rPr>
        <w:t xml:space="preserve">Uzavřeli jsme s firmou smlouvu. Byla velmi příznivá. Každý z nás — je nás šest osadníků — dostaneme úvěr 20.000 </w:t>
      </w:r>
      <w:r>
        <w:rPr>
          <w:b/>
          <w:bCs/>
          <w:sz w:val="19"/>
          <w:szCs w:val="19"/>
          <w:lang w:val="en-US" w:eastAsia="en-US" w:bidi="en-US"/>
        </w:rPr>
        <w:t>bolivian</w:t>
      </w:r>
      <w:r>
        <w:rPr>
          <w:b/>
          <w:bCs/>
          <w:sz w:val="19"/>
          <w:szCs w:val="19"/>
          <w:lang w:val="en-US" w:eastAsia="en-US" w:bidi="en-US"/>
        </w:rPr>
        <w:t xml:space="preserve">os, </w:t>
      </w:r>
      <w:r>
        <w:rPr>
          <w:b/>
          <w:bCs/>
          <w:sz w:val="19"/>
          <w:szCs w:val="19"/>
        </w:rPr>
        <w:t>z nichž však jenom 10.000 je zúročeno 8 proč. a musíme je splatit do šesti let. Z čistého výtěžku dostane firma 50 proč. a béře na sebe 50 proč. nákladu na naše zařízení. Plodiny, které vypěstujeme, převezme firma za nejpříznivější tržní cenu. Kdyby mě</w:t>
      </w:r>
      <w:r>
        <w:rPr>
          <w:b/>
          <w:bCs/>
          <w:sz w:val="19"/>
          <w:szCs w:val="19"/>
        </w:rPr>
        <w:t>la být hacienda někdy prodána, máme přednostní kupní právo.</w:t>
      </w:r>
    </w:p>
    <w:p w:rsidR="00500724" w:rsidRDefault="00F30FB8">
      <w:pPr>
        <w:pStyle w:val="Zkladntext100"/>
        <w:shd w:val="clear" w:color="auto" w:fill="auto"/>
        <w:spacing w:line="209" w:lineRule="auto"/>
        <w:ind w:firstLine="320"/>
        <w:rPr>
          <w:sz w:val="19"/>
          <w:szCs w:val="19"/>
        </w:rPr>
      </w:pPr>
      <w:r>
        <w:rPr>
          <w:b/>
          <w:bCs/>
          <w:sz w:val="19"/>
          <w:szCs w:val="19"/>
        </w:rPr>
        <w:t>Za několik týdnů jsme se přestěhovali. Tentokrát jsme jeli 'nákladním automobilem. »Naše půda« — pracuji na ní se svým přítelem společně — leží v údolí mezi dvěma kopci. Z domu máme nádhernou vyhl</w:t>
      </w:r>
      <w:r>
        <w:rPr>
          <w:b/>
          <w:bCs/>
          <w:sz w:val="19"/>
          <w:szCs w:val="19"/>
        </w:rPr>
        <w:t xml:space="preserve">ídku na výběžky </w:t>
      </w:r>
      <w:r>
        <w:rPr>
          <w:b/>
          <w:bCs/>
          <w:sz w:val="19"/>
          <w:szCs w:val="19"/>
          <w:lang w:val="en-US" w:eastAsia="en-US" w:bidi="en-US"/>
        </w:rPr>
        <w:t>Illi</w:t>
      </w:r>
      <w:r>
        <w:rPr>
          <w:b/>
          <w:bCs/>
          <w:sz w:val="19"/>
          <w:szCs w:val="19"/>
          <w:lang w:val="en-US" w:eastAsia="en-US" w:bidi="en-US"/>
        </w:rPr>
        <w:softHyphen/>
        <w:t xml:space="preserve">mani, </w:t>
      </w:r>
      <w:r>
        <w:rPr>
          <w:b/>
          <w:bCs/>
          <w:sz w:val="19"/>
          <w:szCs w:val="19"/>
        </w:rPr>
        <w:t>7660 m vysoké. Naše země je tak veliká, že ji sami ještě neznáme. Prozatím bydlíme v indiánské chýši, která má dvě místnosti a moc hezky jsme si je zařídili. Vodu máme u domečku. Denně chodíme do džungle kácet stromy. Je to straš</w:t>
      </w:r>
      <w:r>
        <w:rPr>
          <w:b/>
          <w:bCs/>
          <w:sz w:val="19"/>
          <w:szCs w:val="19"/>
        </w:rPr>
        <w:t>ná práce, věřte mi. Někdy jsme už byli zoufalí! Několikrát jsme museli utéci před mravenci a vosami. Ale ta radost večer, když se nám podařilo vykácet kus lesa. Dříví zůstává 4 až 6 týdnů ležet a pak je spalujeme. Po spá</w:t>
      </w:r>
      <w:r>
        <w:rPr>
          <w:b/>
          <w:bCs/>
          <w:sz w:val="19"/>
          <w:szCs w:val="19"/>
        </w:rPr>
        <w:softHyphen/>
        <w:t>lení čistíme půdu a pak můžeme začí</w:t>
      </w:r>
      <w:r>
        <w:rPr>
          <w:b/>
          <w:bCs/>
          <w:sz w:val="19"/>
          <w:szCs w:val="19"/>
        </w:rPr>
        <w:t>t s oráním. Dostali jsme cd haciendy housenkový traktor, silný 60 HP. Traktor táhne pětibrázdový pluh, který obrací zemi do půl metru hloubky. Pak sejeme. Prozatím porážíme, co stačíme, abychom měli už příští rok nějaký výsledek. Chceme zasázet banány, bal</w:t>
      </w:r>
      <w:r>
        <w:rPr>
          <w:b/>
          <w:bCs/>
          <w:sz w:val="19"/>
          <w:szCs w:val="19"/>
        </w:rPr>
        <w:t>ias (olejnatý plod), ořechy a zeleninu. Pro spotřebu a pro dobytek zasejeme kukuřici, brambory a pro sebe za</w:t>
      </w:r>
      <w:r>
        <w:rPr>
          <w:b/>
          <w:bCs/>
          <w:sz w:val="19"/>
          <w:szCs w:val="19"/>
        </w:rPr>
        <w:softHyphen/>
        <w:t>sázíme pomerančovníky a citroníky.</w:t>
      </w:r>
    </w:p>
    <w:p w:rsidR="00500724" w:rsidRDefault="00F30FB8">
      <w:pPr>
        <w:pStyle w:val="Zkladntext100"/>
        <w:shd w:val="clear" w:color="auto" w:fill="auto"/>
        <w:spacing w:after="80" w:line="214" w:lineRule="auto"/>
        <w:ind w:firstLine="320"/>
        <w:rPr>
          <w:sz w:val="19"/>
          <w:szCs w:val="19"/>
        </w:rPr>
      </w:pPr>
      <w:r>
        <w:rPr>
          <w:b/>
          <w:bCs/>
          <w:sz w:val="19"/>
          <w:szCs w:val="19"/>
        </w:rPr>
        <w:t>Chystáme se, že svoje plodiny hned na místě průmyslově zpracujeme: tedy olej, rajská jablíčka a hořčici. To jsou</w:t>
      </w:r>
      <w:r>
        <w:rPr>
          <w:b/>
          <w:bCs/>
          <w:sz w:val="19"/>
          <w:szCs w:val="19"/>
        </w:rPr>
        <w:t xml:space="preserve"> tří věci, které se dnes musí stále ještě dovážet do Chile. Mimo to chceme postavit nový domek. Materiál k němu dostaneme Zdarma. Tedy práce nemáme nedostatek. Už jsme se pokou</w:t>
      </w:r>
      <w:r>
        <w:rPr>
          <w:b/>
          <w:bCs/>
          <w:sz w:val="19"/>
          <w:szCs w:val="19"/>
        </w:rPr>
        <w:softHyphen/>
        <w:t>šeli získat pro práci několik Indiánů. V neděli chodíme na procházku —- v tomto</w:t>
      </w:r>
      <w:r>
        <w:rPr>
          <w:b/>
          <w:bCs/>
          <w:sz w:val="19"/>
          <w:szCs w:val="19"/>
        </w:rPr>
        <w:t xml:space="preserve"> okoií to zní trochu divně — spíše si bereme pušky a jdeme na lov. Připadá mi, že jsem tu už celá léta. Někdy nevidíme celé týdny živou duši. Po městě netoužíme. Ale příchod pošty je tu svátek. To položíme na několik hodin práci a čteme noviny a dopisy z v</w:t>
      </w:r>
      <w:r>
        <w:rPr>
          <w:b/>
          <w:bCs/>
          <w:sz w:val="19"/>
          <w:szCs w:val="19"/>
        </w:rPr>
        <w:t>lasti,</w:t>
      </w:r>
    </w:p>
    <w:p w:rsidR="00500724" w:rsidRDefault="00F30FB8">
      <w:pPr>
        <w:pStyle w:val="Zkladntext30"/>
        <w:shd w:val="clear" w:color="auto" w:fill="auto"/>
        <w:spacing w:after="0" w:line="202" w:lineRule="auto"/>
        <w:ind w:firstLine="0"/>
        <w:jc w:val="center"/>
        <w:rPr>
          <w:sz w:val="20"/>
          <w:szCs w:val="20"/>
        </w:rPr>
      </w:pPr>
      <w:r>
        <w:rPr>
          <w:b/>
          <w:bCs/>
          <w:sz w:val="20"/>
          <w:szCs w:val="20"/>
        </w:rPr>
        <w:t>Děti — spolupracovníci státu</w:t>
      </w:r>
    </w:p>
    <w:p w:rsidR="00500724" w:rsidRDefault="00F30FB8">
      <w:pPr>
        <w:pStyle w:val="Zkladntext100"/>
        <w:shd w:val="clear" w:color="auto" w:fill="auto"/>
        <w:spacing w:line="233" w:lineRule="auto"/>
        <w:ind w:firstLine="320"/>
        <w:rPr>
          <w:sz w:val="26"/>
          <w:szCs w:val="26"/>
        </w:rPr>
      </w:pPr>
      <w:r>
        <w:rPr>
          <w:b/>
          <w:bCs/>
          <w:sz w:val="19"/>
          <w:szCs w:val="19"/>
        </w:rPr>
        <w:t>Mluví se nyní mnoho o reformě školy. Nemělo by se za</w:t>
      </w:r>
      <w:r>
        <w:rPr>
          <w:b/>
          <w:bCs/>
          <w:sz w:val="19"/>
          <w:szCs w:val="19"/>
        </w:rPr>
        <w:softHyphen/>
        <w:t xml:space="preserve">pomínat na jednu ideu: Naučit děti, aby se dívaly správným způsobem na stát. A naučit děti také politicky myslit. Poučit Je, čeho se vlastně politika týká. Že jsou to </w:t>
      </w:r>
      <w:r>
        <w:rPr>
          <w:b/>
          <w:bCs/>
          <w:sz w:val="19"/>
          <w:szCs w:val="19"/>
        </w:rPr>
        <w:t>problémy hospo</w:t>
      </w:r>
      <w:r>
        <w:rPr>
          <w:b/>
          <w:bCs/>
          <w:sz w:val="19"/>
          <w:szCs w:val="19"/>
        </w:rPr>
        <w:softHyphen/>
        <w:t xml:space="preserve">dářské, sociální, finanční fi j. Že každý brambor, který mají </w:t>
      </w:r>
      <w:r>
        <w:rPr>
          <w:rFonts w:ascii="Arial" w:eastAsia="Arial" w:hAnsi="Arial" w:cs="Arial"/>
          <w:b/>
          <w:bCs/>
          <w:i/>
          <w:iCs/>
          <w:sz w:val="26"/>
          <w:szCs w:val="26"/>
        </w:rPr>
        <w:t>ÍÓ4</w:t>
      </w:r>
    </w:p>
    <w:p w:rsidR="00500724" w:rsidRDefault="00F30FB8">
      <w:pPr>
        <w:pStyle w:val="Zkladntext100"/>
        <w:shd w:val="clear" w:color="auto" w:fill="auto"/>
        <w:spacing w:line="204" w:lineRule="auto"/>
        <w:ind w:firstLine="0"/>
        <w:rPr>
          <w:sz w:val="19"/>
          <w:szCs w:val="19"/>
        </w:rPr>
      </w:pPr>
      <w:r>
        <w:rPr>
          <w:b/>
          <w:bCs/>
          <w:sz w:val="19"/>
          <w:szCs w:val="19"/>
        </w:rPr>
        <w:t xml:space="preserve">na stole, Je politikum. Že politika nejsou velká slova, ale malé a často těžce vydobyté činy. Nebude u nás místa pro politické boje, </w:t>
      </w:r>
      <w:r>
        <w:rPr>
          <w:b/>
          <w:bCs/>
          <w:sz w:val="19"/>
          <w:szCs w:val="19"/>
          <w:lang w:val="en-US" w:eastAsia="en-US" w:bidi="en-US"/>
        </w:rPr>
        <w:t xml:space="preserve">talc </w:t>
      </w:r>
      <w:r>
        <w:rPr>
          <w:b/>
          <w:bCs/>
          <w:sz w:val="19"/>
          <w:szCs w:val="19"/>
        </w:rPr>
        <w:t>lehkomyslně vedené, Jako tomu bylo př</w:t>
      </w:r>
      <w:r>
        <w:rPr>
          <w:b/>
          <w:bCs/>
          <w:sz w:val="19"/>
          <w:szCs w:val="19"/>
        </w:rPr>
        <w:t>ed válkou a také po válce. Musíme všichni spolupra</w:t>
      </w:r>
      <w:r>
        <w:rPr>
          <w:b/>
          <w:bCs/>
          <w:sz w:val="19"/>
          <w:szCs w:val="19"/>
        </w:rPr>
        <w:softHyphen/>
        <w:t>covat.</w:t>
      </w:r>
    </w:p>
    <w:p w:rsidR="00500724" w:rsidRDefault="00F30FB8">
      <w:pPr>
        <w:pStyle w:val="Zkladntext100"/>
        <w:shd w:val="clear" w:color="auto" w:fill="auto"/>
        <w:spacing w:line="204" w:lineRule="auto"/>
        <w:ind w:firstLine="320"/>
        <w:rPr>
          <w:sz w:val="19"/>
          <w:szCs w:val="19"/>
        </w:rPr>
      </w:pPr>
      <w:r>
        <w:rPr>
          <w:b/>
          <w:bCs/>
          <w:sz w:val="19"/>
          <w:szCs w:val="19"/>
        </w:rPr>
        <w:t>Myšlenka spolupráce je dnes velmi propagována v ame</w:t>
      </w:r>
      <w:r>
        <w:rPr>
          <w:b/>
          <w:bCs/>
          <w:sz w:val="19"/>
          <w:szCs w:val="19"/>
        </w:rPr>
        <w:softHyphen/>
        <w:t>rických knížkách o moderním podnikatelství. Mnozí podni</w:t>
      </w:r>
      <w:r>
        <w:rPr>
          <w:b/>
          <w:bCs/>
          <w:sz w:val="19"/>
          <w:szCs w:val="19"/>
        </w:rPr>
        <w:softHyphen/>
        <w:t>katelé pořádají pro své zaměstnance kursy správné výroby, správného prodeje, správné rekla</w:t>
      </w:r>
      <w:r>
        <w:rPr>
          <w:b/>
          <w:bCs/>
          <w:sz w:val="19"/>
          <w:szCs w:val="19"/>
        </w:rPr>
        <w:t>my. Seznamují je s Cho</w:t>
      </w:r>
      <w:r>
        <w:rPr>
          <w:b/>
          <w:bCs/>
          <w:sz w:val="19"/>
          <w:szCs w:val="19"/>
        </w:rPr>
        <w:softHyphen/>
        <w:t>dem podniku a namnoze snad 1 nezáludně touží, aby se všichni cítili být skutečnými spolupracovníky podniku. Ne</w:t>
      </w:r>
      <w:r>
        <w:rPr>
          <w:b/>
          <w:bCs/>
          <w:sz w:val="19"/>
          <w:szCs w:val="19"/>
        </w:rPr>
        <w:softHyphen/>
        <w:t>boť jenom člověk, kterému na pcdníku záleží a ví také, že jeho práce je spravedlivě oceněna, může dobře pracovat.</w:t>
      </w:r>
    </w:p>
    <w:p w:rsidR="00500724" w:rsidRDefault="00F30FB8">
      <w:pPr>
        <w:pStyle w:val="Zkladntext100"/>
        <w:shd w:val="clear" w:color="auto" w:fill="auto"/>
        <w:spacing w:line="204" w:lineRule="auto"/>
        <w:ind w:firstLine="320"/>
        <w:rPr>
          <w:sz w:val="19"/>
          <w:szCs w:val="19"/>
        </w:rPr>
      </w:pPr>
      <w:r>
        <w:rPr>
          <w:b/>
          <w:bCs/>
          <w:sz w:val="19"/>
          <w:szCs w:val="19"/>
        </w:rPr>
        <w:t>A teď si</w:t>
      </w:r>
      <w:r>
        <w:rPr>
          <w:b/>
          <w:bCs/>
          <w:sz w:val="19"/>
          <w:szCs w:val="19"/>
        </w:rPr>
        <w:t xml:space="preserve"> představte, že stát je vlastně také velký podni</w:t>
      </w:r>
      <w:r>
        <w:rPr>
          <w:b/>
          <w:bCs/>
          <w:sz w:val="19"/>
          <w:szCs w:val="19"/>
        </w:rPr>
        <w:softHyphen/>
        <w:t>katel. Všichni jeho příslušníci buď přímo nebo nepřímo pra</w:t>
      </w:r>
      <w:r>
        <w:rPr>
          <w:b/>
          <w:bCs/>
          <w:sz w:val="19"/>
          <w:szCs w:val="19"/>
        </w:rPr>
        <w:softHyphen/>
        <w:t>cují pro zájem státu. A všichni jsou zároveň také spotřebi</w:t>
      </w:r>
      <w:r>
        <w:rPr>
          <w:b/>
          <w:bCs/>
          <w:sz w:val="19"/>
          <w:szCs w:val="19"/>
        </w:rPr>
        <w:softHyphen/>
        <w:t>teli. Budeme mít jen tehdy co spotřebovávat, když práce bude dobře řízena. Měli bychom ve</w:t>
      </w:r>
      <w:r>
        <w:rPr>
          <w:b/>
          <w:bCs/>
          <w:sz w:val="19"/>
          <w:szCs w:val="19"/>
        </w:rPr>
        <w:t xml:space="preserve"> školách propagovat dobrou myšlenku, že všichni občané jsou spolupracovníky státu a že je v jejich vlastním zájmu, aby spolupracovali dobře. Je to přesně podle té zaměstnavatelské metody: je</w:t>
      </w:r>
      <w:r>
        <w:rPr>
          <w:b/>
          <w:bCs/>
          <w:sz w:val="19"/>
          <w:szCs w:val="19"/>
        </w:rPr>
        <w:softHyphen/>
        <w:t>nom člověk, kterému na podniku záleží a ví, že jeho práce Je také</w:t>
      </w:r>
      <w:r>
        <w:rPr>
          <w:b/>
          <w:bCs/>
          <w:sz w:val="19"/>
          <w:szCs w:val="19"/>
        </w:rPr>
        <w:t xml:space="preserve"> dobře ceněna, dobře dělá a je spokojen. Stát má proti zaměstnavatelům tu výhodu, že všechny své příští spolupracovníky, totiž občany, má osm až dvacet let na školách ve své moci. S hlediska státní propagandy měla by být především ve školním vyučování upla</w:t>
      </w:r>
      <w:r>
        <w:rPr>
          <w:b/>
          <w:bCs/>
          <w:sz w:val="19"/>
          <w:szCs w:val="19"/>
        </w:rPr>
        <w:t>tněna zásada:, Všichni žáci jsou a budou spolupracovníky státu.</w:t>
      </w:r>
    </w:p>
    <w:p w:rsidR="00500724" w:rsidRDefault="00F30FB8">
      <w:pPr>
        <w:pStyle w:val="Zkladntext100"/>
        <w:shd w:val="clear" w:color="auto" w:fill="auto"/>
        <w:tabs>
          <w:tab w:val="left" w:pos="4814"/>
        </w:tabs>
        <w:spacing w:after="200" w:line="204" w:lineRule="auto"/>
        <w:ind w:firstLine="320"/>
        <w:rPr>
          <w:sz w:val="19"/>
          <w:szCs w:val="19"/>
        </w:rPr>
      </w:pPr>
      <w:r>
        <w:rPr>
          <w:b/>
          <w:bCs/>
          <w:sz w:val="19"/>
          <w:szCs w:val="19"/>
        </w:rPr>
        <w:t>U nás jako vzpomínka ze starého Rakouska straší stále umělá zeď mezi občanem a státem. Někdy ji zvyšují občané, někdy také neobratní státní úředníci. Muž, který přesvědčí občany, že jsou skute</w:t>
      </w:r>
      <w:r>
        <w:rPr>
          <w:b/>
          <w:bCs/>
          <w:sz w:val="19"/>
          <w:szCs w:val="19"/>
        </w:rPr>
        <w:t>čně spolupracovníky státu a to ve vlastním zájmu, má právo na nehynoucí památku. Neboť odstraní mnoho stranických sporů, mnoho podezřívání, mnoho zbytečného zlobení a dá lidem radost i štěstí, které plynou z vědomí užitečnosti.</w:t>
      </w:r>
      <w:r>
        <w:rPr>
          <w:b/>
          <w:bCs/>
          <w:sz w:val="19"/>
          <w:szCs w:val="19"/>
        </w:rPr>
        <w:tab/>
        <w:t>jt</w:t>
      </w:r>
    </w:p>
    <w:p w:rsidR="00500724" w:rsidRDefault="00F30FB8">
      <w:pPr>
        <w:pStyle w:val="Nadpis80"/>
        <w:keepNext/>
        <w:keepLines/>
        <w:shd w:val="clear" w:color="auto" w:fill="auto"/>
        <w:spacing w:after="140"/>
      </w:pPr>
      <w:bookmarkStart w:id="254" w:name="bookmark254"/>
      <w:r>
        <w:t>IHerabra a uměni</w:t>
      </w:r>
      <w:bookmarkEnd w:id="254"/>
    </w:p>
    <w:p w:rsidR="00500724" w:rsidRDefault="00F30FB8">
      <w:pPr>
        <w:pStyle w:val="Zkladntext30"/>
        <w:shd w:val="clear" w:color="auto" w:fill="auto"/>
        <w:spacing w:after="100" w:line="223" w:lineRule="auto"/>
        <w:ind w:firstLine="0"/>
        <w:rPr>
          <w:sz w:val="20"/>
          <w:szCs w:val="20"/>
        </w:rPr>
      </w:pPr>
      <w:r>
        <w:rPr>
          <w:i/>
          <w:iCs/>
          <w:sz w:val="20"/>
          <w:szCs w:val="20"/>
        </w:rPr>
        <w:t xml:space="preserve">Pavel </w:t>
      </w:r>
      <w:r>
        <w:rPr>
          <w:i/>
          <w:iCs/>
          <w:sz w:val="20"/>
          <w:szCs w:val="20"/>
        </w:rPr>
        <w:t>Hofman:</w:t>
      </w:r>
    </w:p>
    <w:p w:rsidR="00500724" w:rsidRDefault="00F30FB8">
      <w:pPr>
        <w:pStyle w:val="Nadpis100"/>
        <w:shd w:val="clear" w:color="auto" w:fill="auto"/>
        <w:spacing w:after="0" w:line="204" w:lineRule="auto"/>
      </w:pPr>
      <w:bookmarkStart w:id="255" w:name="bookmark255"/>
      <w:r>
        <w:t>Jak vzniká národní umění</w:t>
      </w:r>
      <w:r>
        <w:br/>
        <w:t>i.</w:t>
      </w:r>
      <w:bookmarkEnd w:id="255"/>
    </w:p>
    <w:p w:rsidR="00500724" w:rsidRDefault="00F30FB8">
      <w:pPr>
        <w:pStyle w:val="Zkladntext30"/>
        <w:shd w:val="clear" w:color="auto" w:fill="auto"/>
        <w:spacing w:after="0" w:line="202" w:lineRule="auto"/>
        <w:ind w:firstLine="240"/>
      </w:pPr>
      <w:r>
        <w:t>Filosofové velcí i malí, kritici a pisálkové všeho druhu pozdvihovali vždycky rádi svého hlasu k pří</w:t>
      </w:r>
      <w:r>
        <w:softHyphen/>
        <w:t>kazům: »umění budiž...« takové nebo onáké, podle dogmat jednoho každého z nich. Do sbírky těchto dogmat patří snad hned</w:t>
      </w:r>
      <w:r>
        <w:t xml:space="preserve"> na první místo požadavek, aby umění bylo národní. Každé velké umění jest ná</w:t>
      </w:r>
      <w:r>
        <w:softHyphen/>
        <w:t>rodní jakousi vnitřní zákonitostí věcí. Ale příliš zdů</w:t>
      </w:r>
      <w:r>
        <w:softHyphen/>
        <w:t>razňovaný požadavek, aby umění bylo národní, může za určitých okolností býti také útočným prostředkem malých duchů proti vel</w:t>
      </w:r>
      <w:r>
        <w:t>kým. Ti, kdo tento požadavek kladou, se téměř nikdy nenamáhají nám sdělit, co jím vlastně rozumějí. Ať nám tedy nezazlívají, ohlédne- me-li se jinde po odpovědi na otázku dnes zase aktuální.</w:t>
      </w:r>
    </w:p>
    <w:p w:rsidR="00500724" w:rsidRDefault="00F30FB8">
      <w:pPr>
        <w:pStyle w:val="Zkladntext30"/>
        <w:shd w:val="clear" w:color="auto" w:fill="auto"/>
        <w:spacing w:after="120" w:line="202" w:lineRule="auto"/>
        <w:ind w:firstLine="240"/>
      </w:pPr>
      <w:r>
        <w:t>Co je to vlastně národní umění nebo trochu jinak řečeno, jak se p</w:t>
      </w:r>
      <w:r>
        <w:t>rojevuje charakter národů v je</w:t>
      </w:r>
      <w:r>
        <w:softHyphen/>
        <w:t xml:space="preserve">jich umění, vystihl pořád ještě nejlépe starý Hippolite T a i n e. Činí to ovšem s dávkou povrchnosti a leckdy </w:t>
      </w:r>
      <w:r>
        <w:rPr>
          <w:b/>
          <w:bCs/>
        </w:rPr>
        <w:t xml:space="preserve">s </w:t>
      </w:r>
      <w:r>
        <w:t xml:space="preserve">manýrou příliš vnějškově popisnou; je však zrovna občerstvující zajít si z kadidlových mlhovin, do nichž se tak </w:t>
      </w:r>
      <w:r>
        <w:t>často halí vznešené povídání o našem předměte, do positivistické průzračnosti Taineovy, kde je tolik důvěry k přírodovědecké věcnosti. Těm, kdo se tu ne</w:t>
      </w:r>
      <w:r>
        <w:softHyphen/>
        <w:t xml:space="preserve">zbavili některých předsudků, </w:t>
      </w:r>
      <w:r>
        <w:rPr>
          <w:b/>
          <w:bCs/>
        </w:rPr>
        <w:t xml:space="preserve">se </w:t>
      </w:r>
      <w:r>
        <w:t>veliký kritik může zdát přímo beztaktním v tom, s Jakým chladem po</w:t>
      </w:r>
      <w:r>
        <w:softHyphen/>
        <w:t>pisu</w:t>
      </w:r>
      <w:r>
        <w:t xml:space="preserve">je </w:t>
      </w:r>
      <w:r>
        <w:rPr>
          <w:b/>
          <w:bCs/>
        </w:rPr>
        <w:t xml:space="preserve">a </w:t>
      </w:r>
      <w:r>
        <w:t>třídí národní odrůdy uměleckého tvoření.</w:t>
      </w:r>
    </w:p>
    <w:p w:rsidR="00500724" w:rsidRDefault="00F30FB8">
      <w:pPr>
        <w:pStyle w:val="Zkladntext30"/>
        <w:shd w:val="clear" w:color="auto" w:fill="auto"/>
        <w:spacing w:line="202" w:lineRule="auto"/>
        <w:ind w:firstLine="240"/>
      </w:pPr>
      <w:r>
        <w:rPr>
          <w:b/>
          <w:bCs/>
          <w:sz w:val="26"/>
          <w:szCs w:val="26"/>
        </w:rPr>
        <w:t xml:space="preserve">O </w:t>
      </w:r>
      <w:r>
        <w:t>nás Češích toho Taine mnoho nevěděl, takže jsme zůstali ušetřeni jeho nemilosrdné zvědavosti; snad právě to bylo příčinou, že se jeho estetika u nás kdysi dost četla. Nedivil bych se však, kdyby se na příklad</w:t>
      </w:r>
      <w:r>
        <w:t xml:space="preserve"> </w:t>
      </w:r>
      <w:r>
        <w:rPr>
          <w:b/>
          <w:bCs/>
        </w:rPr>
        <w:t xml:space="preserve">v </w:t>
      </w:r>
      <w:r>
        <w:t>Holandsku netěšil valné oblibě; vždyť co všechno vidí na nešťastných Holanďanech, jak považuje za účelno připlést do své Filosofie umění i jejich pleť, »zbarvenou jako sýr, ano i jako sýr zkažený«. Tam, kde je zcela vážný, píše o jejich zemi:</w:t>
      </w:r>
    </w:p>
    <w:p w:rsidR="00500724" w:rsidRDefault="00F30FB8">
      <w:pPr>
        <w:pStyle w:val="Zkladntext30"/>
        <w:shd w:val="clear" w:color="auto" w:fill="auto"/>
        <w:ind w:firstLine="300"/>
      </w:pPr>
      <w:r>
        <w:rPr>
          <w:sz w:val="20"/>
          <w:szCs w:val="20"/>
        </w:rPr>
        <w:t>»Lze říci,</w:t>
      </w:r>
      <w:r>
        <w:rPr>
          <w:sz w:val="20"/>
          <w:szCs w:val="20"/>
        </w:rPr>
        <w:t xml:space="preserve"> že v této zemi voda dělá trávu, která tvoři dobytek, který tvoři sýr, máslo a maso, což vše dohromady </w:t>
      </w:r>
      <w:r>
        <w:t xml:space="preserve">s </w:t>
      </w:r>
      <w:r>
        <w:rPr>
          <w:sz w:val="20"/>
          <w:szCs w:val="20"/>
        </w:rPr>
        <w:t>pivem tvoří obyvatele. Z tohoto tučného života a z organi</w:t>
      </w:r>
      <w:r>
        <w:rPr>
          <w:sz w:val="20"/>
          <w:szCs w:val="20"/>
        </w:rPr>
        <w:softHyphen/>
        <w:t>sace fysické, nasáklé vlhkým vzduchem, vidíte rodit! se flámský temperament, flegmatickou pov</w:t>
      </w:r>
      <w:r>
        <w:rPr>
          <w:sz w:val="20"/>
          <w:szCs w:val="20"/>
        </w:rPr>
        <w:t>ahu, pravidelné zvyky, poklid duše a nervů, schopnost pojímat! život roz</w:t>
      </w:r>
      <w:r>
        <w:rPr>
          <w:sz w:val="20"/>
          <w:szCs w:val="20"/>
        </w:rPr>
        <w:softHyphen/>
        <w:t xml:space="preserve">umně a moudře, trvalou spokojenost, zálibu v blahobytu, následkem toho převládající čistotu a dokonalost v pohodlí.* </w:t>
      </w:r>
      <w:r>
        <w:t>A je-li »taková v této zemi rostlina lidská*, bere pak Taine pod s</w:t>
      </w:r>
      <w:r>
        <w:t>voji lupu »umění, které je jejím květem«.</w:t>
      </w:r>
    </w:p>
    <w:p w:rsidR="00500724" w:rsidRDefault="00F30FB8">
      <w:pPr>
        <w:pStyle w:val="Zkladntext30"/>
        <w:shd w:val="clear" w:color="auto" w:fill="auto"/>
        <w:spacing w:line="211" w:lineRule="auto"/>
        <w:ind w:firstLine="240"/>
      </w:pPr>
      <w:r>
        <w:t xml:space="preserve">Budeme ještě mít příležitost opravit jednostrannost tohoto pojetí; jak mu však nedati za pravdu v tom, že osobitý ráz jednotlivých národů je faktem v podstatě přírodovědeckým? Není doby, jež by snad mohla uniknout </w:t>
      </w:r>
      <w:r>
        <w:t>této přírodní zákonitosti; a není ani genia a talentu, v jehož umění by analysa neobjevila zřetelné stopy jeho národního původu. Je-li tomu tak, pak žádat po umělci, aby jeho umění bylo národ</w:t>
      </w:r>
      <w:r>
        <w:softHyphen/>
        <w:t>ním, může být v nejlepším případě nedorozuměním. Neboť i když se</w:t>
      </w:r>
      <w:r>
        <w:t xml:space="preserve"> urhělec vědomě orientuje na cizích vzorech, ba i když chce přímo importovat cizokrajnou módu, nemůže — je-li v něm trochu vlastních sil — nikdy oklamat jen trochu pronikavějšího pozoro</w:t>
      </w:r>
      <w:r>
        <w:softHyphen/>
        <w:t>vatele, který vždycky postřehne v jeho tvorbě ducha jeho národa, ať už</w:t>
      </w:r>
      <w:r>
        <w:t xml:space="preserve"> si jej umělec sám uvědomuje s pý</w:t>
      </w:r>
      <w:r>
        <w:softHyphen/>
        <w:t>chou, s odporem, s lhostejností nebo vůbec nijak.</w:t>
      </w:r>
    </w:p>
    <w:p w:rsidR="00500724" w:rsidRDefault="00F30FB8">
      <w:pPr>
        <w:pStyle w:val="Zkladntext30"/>
        <w:shd w:val="clear" w:color="auto" w:fill="auto"/>
        <w:spacing w:line="199" w:lineRule="auto"/>
        <w:ind w:firstLine="240"/>
      </w:pPr>
      <w:r>
        <w:t>Školním příkladem je tu poměr Erbenovy Svatební košile k Búrgrově Lenoře. A co platí pro jednotlivé výtvory, platí i pro národní tvorbu jako celek: je určo</w:t>
      </w:r>
      <w:r>
        <w:softHyphen/>
        <w:t>vána národní pov</w:t>
      </w:r>
      <w:r>
        <w:t xml:space="preserve">ahou. To věděl </w:t>
      </w:r>
      <w:r>
        <w:rPr>
          <w:lang w:val="en-US" w:eastAsia="en-US" w:bidi="en-US"/>
        </w:rPr>
        <w:t xml:space="preserve">John Ruskin, </w:t>
      </w:r>
      <w:r>
        <w:t xml:space="preserve">když varoval své Angličany: »Pokusíme-li se kdy o cokoliv po způsobu </w:t>
      </w:r>
      <w:r>
        <w:rPr>
          <w:lang w:val="en-US" w:eastAsia="en-US" w:bidi="en-US"/>
        </w:rPr>
        <w:t xml:space="preserve">Michel </w:t>
      </w:r>
      <w:r>
        <w:t>Angela nebo Danta, utržíme si blamáž.«</w:t>
      </w:r>
    </w:p>
    <w:p w:rsidR="00500724" w:rsidRDefault="00F30FB8">
      <w:pPr>
        <w:pStyle w:val="Zkladntext30"/>
        <w:shd w:val="clear" w:color="auto" w:fill="auto"/>
        <w:spacing w:line="202" w:lineRule="auto"/>
        <w:ind w:firstLine="240"/>
      </w:pPr>
      <w:r>
        <w:t>Vskutku, národní povaha klade umění každého ná</w:t>
      </w:r>
      <w:r>
        <w:softHyphen/>
        <w:t xml:space="preserve">roda určité hranice. Může tedy býti v tomto smyslu </w:t>
      </w:r>
      <w:r>
        <w:rPr>
          <w:b/>
          <w:bCs/>
        </w:rPr>
        <w:t xml:space="preserve">i </w:t>
      </w:r>
      <w:r>
        <w:t xml:space="preserve">omezením. Na </w:t>
      </w:r>
      <w:r>
        <w:t>jedné straně se totiž povaha ná</w:t>
      </w:r>
      <w:r>
        <w:softHyphen/>
        <w:t>roda projevuje v jeho umění jako svérázné plus, jako zvýšená citlivost a pronikavost v některých oblastech ducha; na druhé straně však hned zase jako stejně charakteristické minus, jako nedostatek, kladoucí umělecké tvorbě n</w:t>
      </w:r>
      <w:r>
        <w:t>ároda jisté meze, přes něž pošilhá</w:t>
      </w:r>
      <w:r>
        <w:softHyphen/>
        <w:t>vat nelze bez blamáže.</w:t>
      </w:r>
    </w:p>
    <w:p w:rsidR="00500724" w:rsidRDefault="00F30FB8">
      <w:pPr>
        <w:pStyle w:val="Zkladntext30"/>
        <w:shd w:val="clear" w:color="auto" w:fill="auto"/>
        <w:spacing w:line="199" w:lineRule="auto"/>
        <w:ind w:firstLine="240"/>
      </w:pPr>
      <w:r>
        <w:t>Avšak hranice, určené temperamentem národů, ne</w:t>
      </w:r>
      <w:r>
        <w:softHyphen/>
        <w:t>jsou absolutně nepřekročitelné. Vlivy podnebí a kra</w:t>
      </w:r>
      <w:r>
        <w:softHyphen/>
        <w:t xml:space="preserve">jiny, rasy a historických osudů, to všechno a ještě mnoho jiného zajisté rozrůzňuje národní povahy </w:t>
      </w:r>
      <w:r>
        <w:t>a ná</w:t>
      </w:r>
      <w:r>
        <w:softHyphen/>
        <w:t xml:space="preserve">rodní umění; jako však všechny národy světa patří i při sebe pronikavějším rozlišení k jedinému druhu </w:t>
      </w:r>
      <w:r>
        <w:rPr>
          <w:lang w:val="en-US" w:eastAsia="en-US" w:bidi="en-US"/>
        </w:rPr>
        <w:t xml:space="preserve">Homo sapiens, </w:t>
      </w:r>
      <w:r>
        <w:t>tak roste i každé národní umění z koře</w:t>
      </w:r>
      <w:r>
        <w:softHyphen/>
        <w:t xml:space="preserve">nů, společných všem rasám </w:t>
      </w:r>
      <w:r>
        <w:rPr>
          <w:i/>
          <w:iCs/>
        </w:rPr>
        <w:t>a</w:t>
      </w:r>
      <w:r>
        <w:t xml:space="preserve"> kmenům. V tomto bodě správně opravil Tainovu jednostrannost Elie Fau</w:t>
      </w:r>
      <w:r>
        <w:t>re: »Zde jako tam všechny hlavní city jsou společný všem bytostem ve vnitřní oblasti.«</w:t>
      </w:r>
    </w:p>
    <w:p w:rsidR="00500724" w:rsidRDefault="00F30FB8">
      <w:pPr>
        <w:pStyle w:val="Zkladntext30"/>
        <w:shd w:val="clear" w:color="auto" w:fill="auto"/>
        <w:spacing w:line="206" w:lineRule="auto"/>
        <w:ind w:firstLine="240"/>
      </w:pPr>
      <w:r>
        <w:t>Tak tedy vypadá celá pravda takto: každé sku</w:t>
      </w:r>
      <w:r>
        <w:softHyphen/>
      </w:r>
      <w:r>
        <w:rPr>
          <w:b/>
          <w:bCs/>
        </w:rPr>
        <w:t>tečné umění je všelidské, protože by vůbec ne</w:t>
      </w:r>
      <w:r>
        <w:rPr>
          <w:b/>
          <w:bCs/>
        </w:rPr>
        <w:softHyphen/>
      </w:r>
      <w:r>
        <w:t xml:space="preserve">bylo uměním, kdyby nerostlo </w:t>
      </w:r>
      <w:r>
        <w:rPr>
          <w:b/>
          <w:bCs/>
          <w:sz w:val="26"/>
          <w:szCs w:val="26"/>
        </w:rPr>
        <w:t xml:space="preserve">z </w:t>
      </w:r>
      <w:r>
        <w:t xml:space="preserve">oněch společných úhlavních citů*; zároveň je </w:t>
      </w:r>
      <w:r>
        <w:t>však každé skutečné umění též n á r o d n í m, protože by zůstávalo daleko za hra</w:t>
      </w:r>
      <w:r>
        <w:softHyphen/>
        <w:t>nicemi umění, kdyby překročilo hranice, určované ná</w:t>
      </w:r>
      <w:r>
        <w:softHyphen/>
        <w:t>rodním temperamentem jeho tvůrců.</w:t>
      </w:r>
    </w:p>
    <w:p w:rsidR="00500724" w:rsidRDefault="00F30FB8">
      <w:pPr>
        <w:pStyle w:val="Zkladntext30"/>
        <w:shd w:val="clear" w:color="auto" w:fill="auto"/>
        <w:spacing w:after="0" w:line="216" w:lineRule="auto"/>
        <w:ind w:firstLine="240"/>
      </w:pPr>
      <w:r>
        <w:rPr>
          <w:b/>
          <w:bCs/>
        </w:rPr>
        <w:t xml:space="preserve">V </w:t>
      </w:r>
      <w:r>
        <w:t>tomto smyslu je právě každé veliké umění uměním národním. Tisíckrát pravdu tu měl Smet</w:t>
      </w:r>
      <w:r>
        <w:t>ana ve své replice Františku Pivodovi, když byl ochoten prohlásit jej za nejslavnějšího hudebního kritika, kdyby se mu podařilo nemožné: totiž prokázat, že ve všech operách Smetanových českých současníků a jeho uměleckých »soupeřů« dohromady je aspoň zlome</w:t>
      </w:r>
      <w:r>
        <w:t>k tak pravého národního rázu, jaký zní v hudbě jeho »Dalibora«.</w:t>
      </w:r>
    </w:p>
    <w:p w:rsidR="00500724" w:rsidRDefault="00F30FB8">
      <w:pPr>
        <w:pStyle w:val="Zkladntext30"/>
        <w:shd w:val="clear" w:color="auto" w:fill="auto"/>
        <w:spacing w:line="216" w:lineRule="auto"/>
        <w:ind w:firstLine="240"/>
      </w:pPr>
      <w:r>
        <w:t>Proč to však takový Pivoda nemohl pochopit? Proč mu byl Dalibor »života neschopným cizáctvím«? Ne</w:t>
      </w:r>
      <w:r>
        <w:softHyphen/>
        <w:t>bude na škodu se na to podívat trochu blíž, protože máme ještě pořád dost Pivodů.</w:t>
      </w:r>
    </w:p>
    <w:p w:rsidR="00500724" w:rsidRDefault="00F30FB8">
      <w:pPr>
        <w:pStyle w:val="Zkladntext30"/>
        <w:shd w:val="clear" w:color="auto" w:fill="auto"/>
        <w:spacing w:line="202" w:lineRule="auto"/>
        <w:ind w:firstLine="240"/>
      </w:pPr>
      <w:r>
        <w:t>František Pi</w:t>
      </w:r>
      <w:r>
        <w:t>voda, profesionální učitel Bel canta, amatérský hudební kritik a diletantský skladatel ná</w:t>
      </w:r>
      <w:r>
        <w:softHyphen/>
        <w:t>rodních písní, se v jedné věci zasloužil o estetiku. Dal jí totiž bezděčně aspoň částečnou odpověď na otázku, co považují za národní umění lidé, kteří nejurputněji tl</w:t>
      </w:r>
      <w:r>
        <w:t>ukou na jeho buben. Dal ji — přirozeně — tam, kde se ještě jednou uboze mýlil ve své kritice Bedřicha Smetany, tentokrát v kritice jeho »Prodané nevěsty«. Tam totiž bylo podle jeho mínění vidět, že prý umě</w:t>
      </w:r>
      <w:r>
        <w:softHyphen/>
        <w:t>lec nemyslel při práci na nic jiného než na domácí</w:t>
      </w:r>
      <w:r>
        <w:t xml:space="preserve"> publikum. Smetana sám si však později povzdechl, »jak málo vzdělané — hudebně vzdělané — naše obe</w:t>
      </w:r>
      <w:r>
        <w:softHyphen/>
        <w:t>censtvo jest«; a byl by mohl říci o všech svých ope</w:t>
      </w:r>
      <w:r>
        <w:softHyphen/>
        <w:t>rách včetně »Prodané nevěsty«, co řekl o svém »Tajemství«:</w:t>
      </w:r>
    </w:p>
    <w:p w:rsidR="00500724" w:rsidRDefault="00F30FB8">
      <w:pPr>
        <w:pStyle w:val="Zkladntext30"/>
        <w:shd w:val="clear" w:color="auto" w:fill="auto"/>
        <w:spacing w:line="202" w:lineRule="auto"/>
        <w:ind w:firstLine="300"/>
        <w:rPr>
          <w:sz w:val="20"/>
          <w:szCs w:val="20"/>
        </w:rPr>
      </w:pPr>
      <w:r>
        <w:rPr>
          <w:sz w:val="20"/>
          <w:szCs w:val="20"/>
        </w:rPr>
        <w:t>»V podobných pracích je to nadmíru těžká úloha</w:t>
      </w:r>
      <w:r>
        <w:rPr>
          <w:sz w:val="20"/>
          <w:szCs w:val="20"/>
        </w:rPr>
        <w:t xml:space="preserve"> pro českého komponistu vyhovět jak svému vlastnímu přesvěd</w:t>
      </w:r>
      <w:r>
        <w:rPr>
          <w:sz w:val="20"/>
          <w:szCs w:val="20"/>
        </w:rPr>
        <w:softHyphen/>
        <w:t>čení tak požadavkům obecenstva. Voláni po melodii zname</w:t>
      </w:r>
      <w:r>
        <w:rPr>
          <w:sz w:val="20"/>
          <w:szCs w:val="20"/>
        </w:rPr>
        <w:softHyphen/>
        <w:t xml:space="preserve">ná tolik u většího dílu obecenstva, aby ihned mohlo veškeré nápěvy bez namáhání a beze smyslu opakovat!, jakmile ponejprv je bylo v divadle </w:t>
      </w:r>
      <w:r>
        <w:rPr>
          <w:sz w:val="20"/>
          <w:szCs w:val="20"/>
        </w:rPr>
        <w:t>zaslechlo. Jak to nemůže, pak se opera již nelíbí, je už odsouzena a komponista také, neboť jiného divadla, jiného obecenstva nemá, ke kterému by mohl apelovat.*</w:t>
      </w:r>
    </w:p>
    <w:p w:rsidR="00500724" w:rsidRDefault="00F30FB8">
      <w:pPr>
        <w:pStyle w:val="Zkladntext30"/>
        <w:shd w:val="clear" w:color="auto" w:fill="auto"/>
        <w:spacing w:line="202" w:lineRule="auto"/>
        <w:ind w:firstLine="240"/>
      </w:pPr>
      <w:r>
        <w:t>Smetana měl vědomě vždycky dost ohledů na úroveň svého obecenstva, protože »kterýpak kompo</w:t>
      </w:r>
      <w:r>
        <w:softHyphen/>
        <w:t>nis</w:t>
      </w:r>
      <w:r>
        <w:t>ta bude lhostejný nad osudem svého díla, které práce stojí tak veliké ?« Při tom však měl ještě něco, co stálo v konfliktu s těmito ohledy — totiž svoje »vlastní přesvědčení*. Takový Pivoda jej ovšem vy</w:t>
      </w:r>
      <w:r>
        <w:softHyphen/>
        <w:t>trvale vyzýval, aby se vzdal právě tohoto přesvědčení</w:t>
      </w:r>
      <w:r>
        <w:t>, protože pro něho a ostatní diletanty pod tehdejším českým Parnassem to bylo přesvědčení »nenárodní«, »cizácké« — wagneriánské.</w:t>
      </w:r>
    </w:p>
    <w:p w:rsidR="00500724" w:rsidRDefault="00F30FB8">
      <w:pPr>
        <w:pStyle w:val="Zkladntext30"/>
        <w:shd w:val="clear" w:color="auto" w:fill="auto"/>
        <w:spacing w:line="202" w:lineRule="auto"/>
        <w:ind w:firstLine="240"/>
      </w:pPr>
      <w:r>
        <w:t>Co nám je po Wagnerovi? — volal tento sbor dávno zapomenutých postaviček v týchž tónech vlaste</w:t>
      </w:r>
      <w:r>
        <w:softHyphen/>
        <w:t>neckého rozhořčení, s nímž o půl</w:t>
      </w:r>
      <w:r>
        <w:t xml:space="preserve"> století dříve pokřiko</w:t>
      </w:r>
      <w:r>
        <w:softHyphen/>
        <w:t>vali Chmelenští a Tomíčkové na Máchu: co n á m po Byronovi? Vskutku, co jim bylo po Byronovi a Wagnerovi? Co mohlo být jim, kteří na svém chabém ohníčku dovedli zrovna jen ohřívat dávno hotová klišé, po novém velkém zápalu, vzněcujíc</w:t>
      </w:r>
      <w:r>
        <w:t>ím se z ducha nových, teprve se rodících dob?</w:t>
      </w:r>
    </w:p>
    <w:p w:rsidR="00500724" w:rsidRDefault="00F30FB8">
      <w:pPr>
        <w:pStyle w:val="Zkladntext30"/>
        <w:shd w:val="clear" w:color="auto" w:fill="auto"/>
        <w:spacing w:line="295" w:lineRule="auto"/>
        <w:ind w:firstLine="0"/>
        <w:jc w:val="right"/>
        <w:rPr>
          <w:sz w:val="15"/>
          <w:szCs w:val="15"/>
        </w:rPr>
      </w:pPr>
      <w:r>
        <w:t xml:space="preserve">Zajisté, obecenstvo bylo už samo dost pomalé </w:t>
      </w:r>
      <w:r>
        <w:rPr>
          <w:b/>
          <w:bCs/>
        </w:rPr>
        <w:t xml:space="preserve">v </w:t>
      </w:r>
      <w:r>
        <w:t xml:space="preserve">chápání nových kulturních proudů, a Sabina měl patrně velké oči, když viděl, jak s Byronem »cítí srdcí </w:t>
      </w:r>
      <w:r>
        <w:rPr>
          <w:b/>
          <w:bCs/>
          <w:i/>
          <w:iCs/>
          <w:sz w:val="15"/>
          <w:szCs w:val="15"/>
        </w:rPr>
        <w:t>tóg</w:t>
      </w:r>
      <w:r>
        <w:br w:type="page"/>
      </w:r>
    </w:p>
    <w:p w:rsidR="00500724" w:rsidRDefault="00F30FB8">
      <w:pPr>
        <w:pStyle w:val="Jin0"/>
        <w:framePr w:h="341" w:hSpace="842" w:vSpace="133" w:wrap="notBeside" w:hAnchor="page" w:x="5485" w:y="260"/>
        <w:pBdr>
          <w:top w:val="single" w:sz="0" w:space="0" w:color="000000"/>
          <w:left w:val="single" w:sz="0" w:space="0" w:color="000000"/>
          <w:bottom w:val="single" w:sz="0" w:space="0" w:color="000000"/>
          <w:right w:val="single" w:sz="0" w:space="0" w:color="000000"/>
        </w:pBdr>
        <w:shd w:val="clear" w:color="auto" w:fill="000000"/>
        <w:ind w:firstLine="0"/>
        <w:jc w:val="left"/>
        <w:rPr>
          <w:sz w:val="26"/>
          <w:szCs w:val="26"/>
        </w:rPr>
      </w:pPr>
      <w:r>
        <w:rPr>
          <w:b/>
          <w:bCs/>
          <w:color w:val="FFFFFF"/>
          <w:sz w:val="26"/>
          <w:szCs w:val="26"/>
        </w:rPr>
        <w:t>• lilií*</w:t>
      </w:r>
    </w:p>
    <w:p w:rsidR="00500724" w:rsidRDefault="00F30FB8">
      <w:pPr>
        <w:pStyle w:val="Zkladntext30"/>
        <w:shd w:val="clear" w:color="auto" w:fill="auto"/>
        <w:spacing w:after="0" w:line="209" w:lineRule="auto"/>
        <w:ind w:firstLine="0"/>
      </w:pPr>
      <w:r>
        <w:rPr>
          <w:noProof/>
        </w:rPr>
        <mc:AlternateContent>
          <mc:Choice Requires="wps">
            <w:drawing>
              <wp:anchor distT="0" distB="50800" distL="114300" distR="1059180" simplePos="0" relativeHeight="125829636" behindDoc="0" locked="0" layoutInCell="1" allowOverlap="1">
                <wp:simplePos x="0" y="0"/>
                <wp:positionH relativeFrom="page">
                  <wp:posOffset>3061335</wp:posOffset>
                </wp:positionH>
                <wp:positionV relativeFrom="margin">
                  <wp:posOffset>0</wp:posOffset>
                </wp:positionV>
                <wp:extent cx="414655" cy="414655"/>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414655" cy="414655"/>
                        </a:xfrm>
                        <a:prstGeom prst="rect">
                          <a:avLst/>
                        </a:prstGeom>
                        <a:noFill/>
                      </wps:spPr>
                      <wps:txbx>
                        <w:txbxContent>
                          <w:p w:rsidR="00500724" w:rsidRDefault="00F30FB8">
                            <w:pPr>
                              <w:pStyle w:val="Nadpis90"/>
                              <w:keepNext/>
                              <w:keepLines/>
                              <w:shd w:val="clear" w:color="auto" w:fill="auto"/>
                              <w:spacing w:before="80" w:after="0"/>
                            </w:pPr>
                            <w:bookmarkStart w:id="256" w:name="bookmark253"/>
                            <w:r>
                              <w:rPr>
                                <w:rFonts w:ascii="Times New Roman" w:eastAsia="Times New Roman" w:hAnsi="Times New Roman" w:cs="Times New Roman"/>
                              </w:rPr>
                              <w:t>Přít</w:t>
                            </w:r>
                            <w:bookmarkEnd w:id="256"/>
                          </w:p>
                        </w:txbxContent>
                      </wps:txbx>
                      <wps:bodyPr lIns="0" tIns="0" rIns="0" bIns="0">
                        <a:spAutoFit/>
                      </wps:bodyPr>
                    </wps:wsp>
                  </a:graphicData>
                </a:graphic>
              </wp:anchor>
            </w:drawing>
          </mc:Choice>
          <mc:Fallback>
            <w:pict>
              <v:shape id="_x0000_s1285" type="#_x0000_t202" style="position:absolute;margin-left:241.05000000000001pt;margin-top:0;width:32.649999999999999pt;height:32.649999999999999pt;z-index:-125829117;mso-wrap-distance-left:9.pt;mso-wrap-distance-right:83.400000000000006pt;mso-wrap-distance-bottom:4.pt;mso-position-horizontal-relative:page;mso-position-vertical-relative:margin" filled="f" stroked="f">
                <v:textbox style="mso-fit-shape-to-text:t" inset="0,0,0,0">
                  <w:txbxContent>
                    <w:p>
                      <w:pPr>
                        <w:pStyle w:val="Style26"/>
                        <w:keepNext/>
                        <w:keepLines/>
                        <w:widowControl w:val="0"/>
                        <w:shd w:val="clear" w:color="auto" w:fill="auto"/>
                        <w:bidi w:val="0"/>
                        <w:spacing w:before="80" w:after="0" w:line="240" w:lineRule="auto"/>
                        <w:ind w:left="0" w:right="0" w:firstLine="0"/>
                        <w:jc w:val="left"/>
                      </w:pPr>
                      <w:bookmarkStart w:id="253" w:name="bookmark253"/>
                      <w:r>
                        <w:rPr>
                          <w:rFonts w:ascii="Times New Roman" w:eastAsia="Times New Roman" w:hAnsi="Times New Roman" w:cs="Times New Roman"/>
                          <w:color w:val="000000"/>
                          <w:spacing w:val="0"/>
                          <w:w w:val="100"/>
                          <w:position w:val="0"/>
                          <w:shd w:val="clear" w:color="auto" w:fill="auto"/>
                          <w:lang w:val="cs-CZ" w:eastAsia="cs-CZ" w:bidi="cs-CZ"/>
                        </w:rPr>
                        <w:t>Přít</w:t>
                      </w:r>
                      <w:bookmarkEnd w:id="253"/>
                    </w:p>
                  </w:txbxContent>
                </v:textbox>
                <w10:wrap type="topAndBottom" anchorx="page" anchory="margin"/>
              </v:shape>
            </w:pict>
          </mc:Fallback>
        </mc:AlternateContent>
      </w:r>
      <w:r>
        <w:rPr>
          <w:noProof/>
        </w:rPr>
        <mc:AlternateContent>
          <mc:Choice Requires="wps">
            <w:drawing>
              <wp:anchor distT="109855" distB="69215" distL="1052830" distR="114300" simplePos="0" relativeHeight="125829638" behindDoc="0" locked="0" layoutInCell="1" allowOverlap="1">
                <wp:simplePos x="0" y="0"/>
                <wp:positionH relativeFrom="page">
                  <wp:posOffset>4000500</wp:posOffset>
                </wp:positionH>
                <wp:positionV relativeFrom="margin">
                  <wp:posOffset>109855</wp:posOffset>
                </wp:positionV>
                <wp:extent cx="420370" cy="286385"/>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420370" cy="286385"/>
                        </a:xfrm>
                        <a:prstGeom prst="rect">
                          <a:avLst/>
                        </a:prstGeom>
                        <a:noFill/>
                      </wps:spPr>
                      <wps:txbx>
                        <w:txbxContent>
                          <w:p w:rsidR="00500724" w:rsidRDefault="00F30FB8">
                            <w:pPr>
                              <w:pStyle w:val="Jin0"/>
                              <w:shd w:val="clear" w:color="auto" w:fill="auto"/>
                              <w:ind w:firstLine="0"/>
                              <w:jc w:val="left"/>
                              <w:rPr>
                                <w:sz w:val="36"/>
                                <w:szCs w:val="36"/>
                              </w:rPr>
                            </w:pPr>
                            <w:r>
                              <w:rPr>
                                <w:rFonts w:ascii="Arial" w:eastAsia="Arial" w:hAnsi="Arial" w:cs="Arial"/>
                                <w:sz w:val="36"/>
                                <w:szCs w:val="36"/>
                                <w:lang w:val="en-US" w:eastAsia="en-US" w:bidi="en-US"/>
                              </w:rPr>
                              <w:t>SO</w:t>
                            </w:r>
                          </w:p>
                        </w:txbxContent>
                      </wps:txbx>
                      <wps:bodyPr lIns="0" tIns="0" rIns="0" bIns="0">
                        <a:spAutoFit/>
                      </wps:bodyPr>
                    </wps:wsp>
                  </a:graphicData>
                </a:graphic>
              </wp:anchor>
            </w:drawing>
          </mc:Choice>
          <mc:Fallback>
            <w:pict>
              <v:shape id="_x0000_s1287" type="#_x0000_t202" style="position:absolute;margin-left:315.pt;margin-top:8.6500000000000004pt;width:33.100000000000001pt;height:22.550000000000001pt;z-index:-125829115;mso-wrap-distance-left:82.900000000000006pt;mso-wrap-distance-top:8.6500000000000004pt;mso-wrap-distance-right:9.pt;mso-wrap-distance-bottom:5.4500000000000002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en-US" w:eastAsia="en-US" w:bidi="en-US"/>
                        </w:rPr>
                        <w:t>SO</w:t>
                      </w:r>
                    </w:p>
                  </w:txbxContent>
                </v:textbox>
                <w10:wrap type="topAndBottom" anchorx="page" anchory="margin"/>
              </v:shape>
            </w:pict>
          </mc:Fallback>
        </mc:AlternateContent>
      </w:r>
      <w:r>
        <w:t>miliony «; ale eo nechápalo hned, mohlo pochopit velmi brzy, krása si dovede získat lidské duše. Smetana byl přesvědčen, že Wagnerova »hudba je nadmíru krásná a svým časem musí všude zvítězit«, Mácha nemusel pochybovat o tom, že jeho byronismus si najde ce</w:t>
      </w:r>
      <w:r>
        <w:t xml:space="preserve">stu </w:t>
      </w:r>
      <w:r>
        <w:rPr>
          <w:b/>
          <w:bCs/>
        </w:rPr>
        <w:t xml:space="preserve">i </w:t>
      </w:r>
      <w:r>
        <w:t>k českým srdcím... a mohli o tom vážně pochybo</w:t>
      </w:r>
      <w:r>
        <w:softHyphen/>
        <w:t>vat i Pivodové a Chmelenští? Sotva — ale pak teprve se dostává do pravého světla jejich obrana »národní- ho« umění před »cizáckými« vlivy Wagnera a Byro- na: byla to v nejhlubší skutečnosti jen jejich vl</w:t>
      </w:r>
      <w:r>
        <w:t xml:space="preserve">astní sebeobrana. Vždyť Bel </w:t>
      </w:r>
      <w:r>
        <w:rPr>
          <w:lang w:val="en-US" w:eastAsia="en-US" w:bidi="en-US"/>
        </w:rPr>
        <w:t xml:space="preserve">canto, </w:t>
      </w:r>
      <w:r>
        <w:t xml:space="preserve">na něž přisahal Pivoda, nebylo o nic národnější než wagneriánství, a anakreontika, kterou kopíroval Chmelenský, byla stejně cizí jako byronismus. V anakreontice a Bel cantu ani nemohli chránit národní hodnoty; chránili v </w:t>
      </w:r>
      <w:r>
        <w:t>nich však hodnoty dávno hotové a zatím už zvetšelé, proti hodnotám novým, teprve se rodícím v dílech současných gemu a jim ještě nedostupným. Bránili stará měřítka v úzkých poměrech, aby tak sami sebe zachránili před změřením velikými mírami nové Evropy.</w:t>
      </w:r>
    </w:p>
    <w:p w:rsidR="00500724" w:rsidRDefault="00F30FB8">
      <w:pPr>
        <w:pStyle w:val="Zkladntext30"/>
        <w:shd w:val="clear" w:color="auto" w:fill="auto"/>
        <w:spacing w:after="0" w:line="223" w:lineRule="auto"/>
        <w:ind w:firstLine="240"/>
      </w:pPr>
      <w:r>
        <w:t>A</w:t>
      </w:r>
      <w:r>
        <w:t xml:space="preserve"> zde se pak Pivodové všech dob ohlížejí po vhod</w:t>
      </w:r>
      <w:r>
        <w:softHyphen/>
        <w:t>ných strategických prostředcích. Z jejich tajných úzkostí se rodí veřejně hlásané příkazy: umělec nechť pracuje pro domácí publikum, to nechť je jediným soudcem jeho díla! To publikum, které dovede roz</w:t>
      </w:r>
      <w:r>
        <w:softHyphen/>
        <w:t xml:space="preserve">uměti </w:t>
      </w:r>
      <w:r>
        <w:t>vždy teprve něčemu už zavedenému a které je právě'proto ideálním obecenstvem Pivodů a Chmelen- ských, kteří zase dovedou »tvořit« jen podle úcty</w:t>
      </w:r>
      <w:r>
        <w:softHyphen/>
        <w:t>hodně starých vzorů. Volají jakoby jménem tohoto domácího obecenstva po »pěvci, jakého m y potřebu- jeme« — ale</w:t>
      </w:r>
      <w:r>
        <w:t xml:space="preserve"> národ není dříve národem, dokud nemá přepychu pravého umění, nestarajícího se o běžné potřeby a »potřeby« současné chvíle.</w:t>
      </w:r>
    </w:p>
    <w:p w:rsidR="00500724" w:rsidRDefault="00F30FB8">
      <w:pPr>
        <w:pStyle w:val="Zkladntext30"/>
        <w:shd w:val="clear" w:color="auto" w:fill="auto"/>
        <w:spacing w:after="0" w:line="221" w:lineRule="auto"/>
        <w:ind w:firstLine="240"/>
      </w:pPr>
      <w:r>
        <w:t>Takové národní potřeby vyzvedlo před více než sto lety na př. literární Mladé Německo proti Goetheovi. Byl tu třeba jeho »Faust«: hi</w:t>
      </w:r>
      <w:r>
        <w:t>storka o svedené dívce, dosti pošetilé, aby se nedala zachránit před následky jedné noci. A to bylo psáno v době, kdy se mezi Rýnem a Dněstrem, mezi Jenou a Waterloo rozhodo</w:t>
      </w:r>
      <w:r>
        <w:softHyphen/>
        <w:t>valo o osudu německých národů! Ty pak měly číst ne</w:t>
      </w:r>
      <w:r>
        <w:softHyphen/>
        <w:t xml:space="preserve">závazný Markétčin příběh, když </w:t>
      </w:r>
      <w:r>
        <w:t>bylo přece třeba, aby každý vytištěný řádek verboval pro Scharnhorstovy legie! Mladé Německo tedy nechtělo nechat národ otravovat nějakou wertherovštinou, národ ať naslou</w:t>
      </w:r>
      <w:r>
        <w:softHyphen/>
        <w:t>chá různým těm »Hurrah Germania!« von Strasch- witzů a spol. a nechť se nedává zbyteč</w:t>
      </w:r>
      <w:r>
        <w:t>ně dojímat pláčem Markétčiným.</w:t>
      </w:r>
    </w:p>
    <w:p w:rsidR="00500724" w:rsidRDefault="00F30FB8">
      <w:pPr>
        <w:pStyle w:val="Zkladntext30"/>
        <w:shd w:val="clear" w:color="auto" w:fill="auto"/>
        <w:spacing w:after="0" w:line="204" w:lineRule="auto"/>
        <w:ind w:firstLine="240"/>
      </w:pPr>
      <w:r>
        <w:t>Pravda, von Straschwitzové a jemu podobní si vždycky v literárních dějinách utržili jen ostudu za svoje verše i za svoje kritiky, za všechna svoje »tak ano« a »tak ne«. Ale proč k nim nebýt spravedlivým? Mysleli to dobře. Slo</w:t>
      </w:r>
      <w:r>
        <w:t xml:space="preserve"> jim nepochybně o veliké věci. Osud Germanie byl vskutku důležitější než osud Markétčin — a tu žili jiní Němci, o jejichž schopno</w:t>
      </w:r>
      <w:r>
        <w:softHyphen/>
        <w:t>stech po případě ani nebylo lze pochybovat, a ti za</w:t>
      </w:r>
      <w:r>
        <w:softHyphen/>
        <w:t>vírali se do svých soukromých věží ze slonoviny, utíkali od současných pot</w:t>
      </w:r>
      <w:r>
        <w:t>řeb k minulosti a ke snům. To jim nemohli odpustit.</w:t>
      </w:r>
    </w:p>
    <w:p w:rsidR="00500724" w:rsidRDefault="00F30FB8">
      <w:pPr>
        <w:pStyle w:val="Zkladntext30"/>
        <w:shd w:val="clear" w:color="auto" w:fill="auto"/>
        <w:spacing w:after="0" w:line="202" w:lineRule="auto"/>
        <w:ind w:firstLine="240"/>
      </w:pPr>
      <w:r>
        <w:t>Proč vlastně? Opravdu jen z nezištné lásky k své</w:t>
      </w:r>
      <w:r>
        <w:softHyphen/>
        <w:t>mu národu? Snad bychom jim to mohli uvěřit, kdyby oni sami byli s to tvořit z »látky, z níž jsou sny«</w:t>
      </w:r>
    </w:p>
    <w:p w:rsidR="00500724" w:rsidRDefault="00F30FB8">
      <w:pPr>
        <w:pStyle w:val="Zkladntext30"/>
        <w:shd w:val="clear" w:color="auto" w:fill="auto"/>
        <w:spacing w:after="0"/>
        <w:ind w:firstLine="0"/>
      </w:pPr>
      <w:r>
        <w:rPr>
          <w:b/>
          <w:bCs/>
          <w:sz w:val="26"/>
          <w:szCs w:val="26"/>
        </w:rPr>
        <w:t xml:space="preserve">a </w:t>
      </w:r>
      <w:r>
        <w:t>jen úmyslně zůstávali pod úrovní svých nejvyšších t</w:t>
      </w:r>
      <w:r>
        <w:t>vůrčích možností ve službě některému mimoumělec- kému účelu, jako to několik let se sebezapřením dělal Vladimír Majakovskij. Ve skutečnosti je však dílo každého z nich důkazem, že tomu bylo docela jinak, že jim chyběly zdroje hlubokých inspirací a že za ně</w:t>
      </w:r>
      <w:r>
        <w:t xml:space="preserve"> museli brát zavděk náhražkami vnějších podnětů. Pak ovšem museli cítit, že v boji o slávu mohou mít jakési šance teprve tehdy, kdyby tyto náhražky byly uznány za jediné pravý básnický materiál, v každém směru výbornější nežli ten snový, o němž mluvil Shak</w:t>
      </w:r>
      <w:r>
        <w:t>espeare,</w:t>
      </w:r>
    </w:p>
    <w:p w:rsidR="00500724" w:rsidRDefault="00F30FB8">
      <w:pPr>
        <w:pStyle w:val="Zkladntext30"/>
        <w:shd w:val="clear" w:color="auto" w:fill="auto"/>
        <w:spacing w:after="240" w:line="202" w:lineRule="auto"/>
        <w:ind w:firstLine="240"/>
      </w:pPr>
      <w:r>
        <w:t xml:space="preserve">Podle toho zařizují svoji strategii. Svoji sobeckou sebeobranu maskují vznešenou nezištností ve službách vlasti. </w:t>
      </w:r>
      <w:r>
        <w:rPr>
          <w:u w:val="single"/>
        </w:rPr>
        <w:t xml:space="preserve">Byli by směšní, kdyby velikým upírali velikost;. </w:t>
      </w:r>
      <w:r>
        <w:t>upíraj</w:t>
      </w:r>
      <w:r>
        <w:rPr>
          <w:u w:val="single"/>
        </w:rPr>
        <w:t>f^m~ tedy raďejí “</w:t>
      </w:r>
      <w:r>
        <w:t>prosp</w:t>
      </w:r>
      <w:r>
        <w:rPr>
          <w:u w:val="single"/>
        </w:rPr>
        <w:t>ěšnost pro</w:t>
      </w:r>
      <w:r>
        <w:t>~</w:t>
      </w:r>
      <w:r>
        <w:rPr>
          <w:u w:val="single"/>
        </w:rPr>
        <w:t>nár'od</w:t>
      </w:r>
      <w:r>
        <w:t xml:space="preserve">.^ak žňamo, vyznají se v tom výborně i </w:t>
      </w:r>
      <w:r>
        <w:t>dnešní Chmelenští a Pivodové. Nedovolit, aby se doma užívalo světo</w:t>
      </w:r>
      <w:r>
        <w:softHyphen/>
        <w:t>vých měřítek; nepřipustit, aby nový duch, který také vane, kam chce, mohl vnikat do zatuchlosti, jež je životní podmínkou paumělců a diletantů; diskredito</w:t>
      </w:r>
      <w:r>
        <w:softHyphen/>
        <w:t>vat umělecké hodnoty, aby se v obl</w:t>
      </w:r>
      <w:r>
        <w:t>asti umění zajistilo vyšší hodnocení náhražkám mimouměleckých tenden</w:t>
      </w:r>
      <w:r>
        <w:softHyphen/>
        <w:t>cí — to je v boji malých proti velkým o slávu strate</w:t>
      </w:r>
      <w:r>
        <w:softHyphen/>
        <w:t>gických linií těch malých.</w:t>
      </w:r>
    </w:p>
    <w:p w:rsidR="00500724" w:rsidRDefault="00F30FB8">
      <w:pPr>
        <w:pStyle w:val="Zkladntext30"/>
        <w:shd w:val="clear" w:color="auto" w:fill="auto"/>
        <w:spacing w:after="0" w:line="202" w:lineRule="auto"/>
        <w:ind w:firstLine="240"/>
      </w:pPr>
      <w:r>
        <w:t xml:space="preserve">Byly snad Cechy před sto lety tak zoufale pozadu za Anglií jako je ještě dne </w:t>
      </w:r>
      <w:r>
        <w:rPr>
          <w:lang w:val="en-US" w:eastAsia="en-US" w:bidi="en-US"/>
        </w:rPr>
        <w:t xml:space="preserve">Patagonia </w:t>
      </w:r>
      <w:r>
        <w:t>za Evropou, aby nebylo mělo být dovoleno »přenášet« Byrona za jejich hranice? Bylo přece možno, ba samozřejmo očekávati s jistotou, že krása novoromantické poesie najde velmi brzy i v Čechách svoje vyznavače. Anebo bylo snad našemu národu na škodu, když Sm</w:t>
      </w:r>
      <w:r>
        <w:t xml:space="preserve">etanova hudba učila i u nás znát a hodnotit, co nového dal světu Richard </w:t>
      </w:r>
      <w:r>
        <w:rPr>
          <w:lang w:val="en-US" w:eastAsia="en-US" w:bidi="en-US"/>
        </w:rPr>
        <w:t>Wagner?</w:t>
      </w:r>
    </w:p>
    <w:p w:rsidR="00500724" w:rsidRDefault="00F30FB8">
      <w:pPr>
        <w:pStyle w:val="Zkladntext30"/>
        <w:shd w:val="clear" w:color="auto" w:fill="auto"/>
        <w:spacing w:after="120" w:line="202" w:lineRule="auto"/>
        <w:ind w:firstLine="240"/>
      </w:pPr>
      <w:r>
        <w:t>Národu na škodu to zajisté nemohlo být; na škodu Pivodům to bylo zcela určitě. A ti se vždycky snažili přesvědčiti národní obecenstvo, že škodí ná</w:t>
      </w:r>
      <w:r>
        <w:softHyphen/>
        <w:t>rodu, co ve skutečnosti škod</w:t>
      </w:r>
      <w:r>
        <w:t>í jen pochybným »uměl- cům«. I tu se zase tvářili, jako by do své ochrany brali národ: ten národ, který nepochybně už zítra porozumí tomu, co dnes snad ještě zcela nechápe — který však potom právě proto zapomene na své Pivody a Chmelenské a bude vděčen Sme</w:t>
      </w:r>
      <w:r>
        <w:t>tanovi a Máchovi.</w:t>
      </w:r>
    </w:p>
    <w:p w:rsidR="00500724" w:rsidRDefault="00F30FB8">
      <w:pPr>
        <w:pStyle w:val="Zkladntext30"/>
        <w:shd w:val="clear" w:color="auto" w:fill="auto"/>
        <w:spacing w:after="0" w:line="202" w:lineRule="auto"/>
        <w:ind w:firstLine="0"/>
        <w:jc w:val="center"/>
      </w:pPr>
      <w:r>
        <w:t>II.</w:t>
      </w:r>
    </w:p>
    <w:p w:rsidR="00500724" w:rsidRDefault="00F30FB8">
      <w:pPr>
        <w:pStyle w:val="Zkladntext30"/>
        <w:shd w:val="clear" w:color="auto" w:fill="auto"/>
        <w:spacing w:after="0" w:line="202" w:lineRule="auto"/>
        <w:ind w:firstLine="240"/>
      </w:pPr>
      <w:r>
        <w:t>Už tehdy, když — ještě ani čtvrt roku po tom, co slavnostním představením jeho »Libuše« bylo otevře</w:t>
      </w:r>
      <w:r>
        <w:softHyphen/>
        <w:t>no nově postavené Národní divadlo — Praha prováze</w:t>
      </w:r>
      <w:r>
        <w:softHyphen/>
        <w:t xml:space="preserve">la k hrobu Bedřicha Smetanu, cítily všechny ty tisíce v pohřebním průvodu, </w:t>
      </w:r>
      <w:r>
        <w:rPr>
          <w:lang w:val="en-US" w:eastAsia="en-US" w:bidi="en-US"/>
        </w:rPr>
        <w:t xml:space="preserve">co </w:t>
      </w:r>
      <w:r>
        <w:t xml:space="preserve">V. V. </w:t>
      </w:r>
      <w:r>
        <w:t>Zelený napsal ve svém nekrologu:</w:t>
      </w:r>
    </w:p>
    <w:p w:rsidR="00500724" w:rsidRDefault="00F30FB8">
      <w:pPr>
        <w:pStyle w:val="Zkladntext30"/>
        <w:shd w:val="clear" w:color="auto" w:fill="auto"/>
        <w:spacing w:after="0" w:line="182" w:lineRule="auto"/>
        <w:ind w:firstLine="240"/>
        <w:rPr>
          <w:sz w:val="20"/>
          <w:szCs w:val="20"/>
        </w:rPr>
      </w:pPr>
      <w:r>
        <w:rPr>
          <w:sz w:val="20"/>
          <w:szCs w:val="20"/>
        </w:rPr>
        <w:t>^Největší umělec český, Bedřich Smetana, zemřel. Národ český lká nad rakví genia, jenž svému umění navždy zůsta</w:t>
      </w:r>
      <w:r>
        <w:rPr>
          <w:sz w:val="20"/>
          <w:szCs w:val="20"/>
        </w:rPr>
        <w:softHyphen/>
        <w:t>ne skvělou hvězdou, všemu Slovanstvu chloubou a národu svému miláčkem nezapomenutelným na věky... Sláva jména j</w:t>
      </w:r>
      <w:r>
        <w:rPr>
          <w:sz w:val="20"/>
          <w:szCs w:val="20"/>
        </w:rPr>
        <w:t>eho bude Čechům věčná.«</w:t>
      </w:r>
    </w:p>
    <w:p w:rsidR="00500724" w:rsidRDefault="00F30FB8">
      <w:pPr>
        <w:pStyle w:val="Zkladntext30"/>
        <w:shd w:val="clear" w:color="auto" w:fill="auto"/>
        <w:spacing w:after="60" w:line="204" w:lineRule="auto"/>
        <w:ind w:firstLine="240"/>
      </w:pPr>
      <w:r>
        <w:rPr>
          <w:noProof/>
        </w:rPr>
        <mc:AlternateContent>
          <mc:Choice Requires="wps">
            <w:drawing>
              <wp:anchor distT="50800" distB="254000" distL="114300" distR="114300" simplePos="0" relativeHeight="125829640" behindDoc="0" locked="0" layoutInCell="1" allowOverlap="1">
                <wp:simplePos x="0" y="0"/>
                <wp:positionH relativeFrom="page">
                  <wp:posOffset>422275</wp:posOffset>
                </wp:positionH>
                <wp:positionV relativeFrom="margin">
                  <wp:posOffset>9643745</wp:posOffset>
                </wp:positionV>
                <wp:extent cx="216535" cy="140335"/>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216535" cy="140335"/>
                        </a:xfrm>
                        <a:prstGeom prst="rect">
                          <a:avLst/>
                        </a:prstGeom>
                        <a:noFill/>
                      </wps:spPr>
                      <wps:txbx>
                        <w:txbxContent>
                          <w:p w:rsidR="00500724" w:rsidRDefault="00F30FB8">
                            <w:pPr>
                              <w:pStyle w:val="Zkladntext40"/>
                              <w:shd w:val="clear" w:color="auto" w:fill="auto"/>
                              <w:spacing w:after="0" w:line="240" w:lineRule="auto"/>
                              <w:jc w:val="left"/>
                            </w:pPr>
                            <w:r>
                              <w:rPr>
                                <w:b/>
                                <w:bCs/>
                                <w:i/>
                                <w:iCs/>
                              </w:rPr>
                              <w:t>ióó</w:t>
                            </w:r>
                          </w:p>
                        </w:txbxContent>
                      </wps:txbx>
                      <wps:bodyPr lIns="0" tIns="0" rIns="0" bIns="0">
                        <a:spAutoFit/>
                      </wps:bodyPr>
                    </wps:wsp>
                  </a:graphicData>
                </a:graphic>
              </wp:anchor>
            </w:drawing>
          </mc:Choice>
          <mc:Fallback>
            <w:pict>
              <v:shape id="_x0000_s1289" type="#_x0000_t202" style="position:absolute;margin-left:33.25pt;margin-top:759.35000000000002pt;width:17.050000000000001pt;height:11.050000000000001pt;z-index:-125829113;mso-wrap-distance-left:9.pt;mso-wrap-distance-top:4.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ióó</w:t>
                      </w:r>
                    </w:p>
                  </w:txbxContent>
                </v:textbox>
                <w10:wrap type="topAndBottom" anchorx="page" anchory="margin"/>
              </v:shape>
            </w:pict>
          </mc:Fallback>
        </mc:AlternateContent>
      </w:r>
      <w:r>
        <w:t>Dnes je to všechno povzneseno nad jakoukoli po</w:t>
      </w:r>
      <w:r>
        <w:softHyphen/>
        <w:t>chybnost. Není už třeba výmluvnosti Otakara Hostinského, aby bylo jasno, jak Smetana »celou svou bytostí zakotven byl v národním živlu českém tak, že českost byla mu věcí samozře</w:t>
      </w:r>
      <w:r>
        <w:t xml:space="preserve">jmou«. Nepotřebuje už důkazu výstižné konstatování Karla Hoffmeistera o tom, že Smetanou byl »pro- buzen duch českosti v hudbě« — these, kterou její autor rozvedl </w:t>
      </w:r>
      <w:r>
        <w:rPr>
          <w:b/>
          <w:bCs/>
        </w:rPr>
        <w:t xml:space="preserve">ve </w:t>
      </w:r>
      <w:r>
        <w:t>svém zhodnocení:</w:t>
      </w:r>
      <w:r>
        <w:br w:type="page"/>
      </w:r>
    </w:p>
    <w:p w:rsidR="00500724" w:rsidRDefault="00F30FB8">
      <w:pPr>
        <w:pStyle w:val="Zkladntext30"/>
        <w:shd w:val="clear" w:color="auto" w:fill="auto"/>
        <w:spacing w:after="0" w:line="190" w:lineRule="auto"/>
        <w:ind w:firstLine="280"/>
        <w:rPr>
          <w:sz w:val="20"/>
          <w:szCs w:val="20"/>
        </w:rPr>
      </w:pPr>
      <w:r>
        <w:rPr>
          <w:sz w:val="20"/>
          <w:szCs w:val="20"/>
        </w:rPr>
        <w:t>^Příbuznost základních obou živlů Smetanovy hudební invence, jeho rytmik</w:t>
      </w:r>
      <w:r>
        <w:rPr>
          <w:sz w:val="20"/>
          <w:szCs w:val="20"/>
        </w:rPr>
        <w:t>y a jeho metodiky, s českým uměním lidovým, jakož i způsob hudebního formování melodického podobný s uměním tím, je předním pramenem českosti Sme</w:t>
      </w:r>
      <w:r>
        <w:rPr>
          <w:sz w:val="20"/>
          <w:szCs w:val="20"/>
        </w:rPr>
        <w:softHyphen/>
        <w:t>tanova díla. Sám brání se výtce ^padělání národních písní«, Nepadělá jich; ale vede invenci svoji po stránce m</w:t>
      </w:r>
      <w:r>
        <w:rPr>
          <w:sz w:val="20"/>
          <w:szCs w:val="20"/>
        </w:rPr>
        <w:t>elodická v duchu české písně, po stránce rytmické v duchu českého tance.«</w:t>
      </w:r>
    </w:p>
    <w:p w:rsidR="00500724" w:rsidRDefault="00F30FB8">
      <w:pPr>
        <w:pStyle w:val="Zkladntext30"/>
        <w:shd w:val="clear" w:color="auto" w:fill="auto"/>
        <w:spacing w:after="0" w:line="223" w:lineRule="auto"/>
        <w:ind w:firstLine="280"/>
      </w:pPr>
      <w:r>
        <w:t>Něco zcela jiného potřebuje dnes vysvětlení: totiž nám už vskutku těžko pochopitelné kaceřování Bedři</w:t>
      </w:r>
      <w:r>
        <w:softHyphen/>
        <w:t xml:space="preserve">cha Smetany se strany tolika jeho současníků jako umělce, jehož tvorba je </w:t>
      </w:r>
      <w:r>
        <w:t>domněle nejen nečeská, nýbrž české hudbě, české kultuře, českému národu dokonce přímo škodlivá.</w:t>
      </w:r>
    </w:p>
    <w:p w:rsidR="00500724" w:rsidRDefault="00F30FB8">
      <w:pPr>
        <w:pStyle w:val="Zkladntext30"/>
        <w:shd w:val="clear" w:color="auto" w:fill="auto"/>
        <w:spacing w:after="0" w:line="223" w:lineRule="auto"/>
        <w:ind w:firstLine="280"/>
      </w:pPr>
      <w:r>
        <w:t>Byla by to dlouhá kapitola, kdyby mělo být shledá</w:t>
      </w:r>
      <w:r>
        <w:softHyphen/>
        <w:t>no v naší publicistice šedesátých a sedmdesátých let všechno, co bylo v tomto smyslu napsáno o největším umělc</w:t>
      </w:r>
      <w:r>
        <w:t>i české hudby; na štěstí stačí několik ukázek vy</w:t>
      </w:r>
      <w:r>
        <w:softHyphen/>
        <w:t>stihnout »ducha« těchto zapomenutých litanií.</w:t>
      </w:r>
    </w:p>
    <w:p w:rsidR="00500724" w:rsidRDefault="00F30FB8">
      <w:pPr>
        <w:pStyle w:val="Zkladntext30"/>
        <w:shd w:val="clear" w:color="auto" w:fill="auto"/>
        <w:spacing w:after="0" w:line="223" w:lineRule="auto"/>
        <w:ind w:firstLine="280"/>
      </w:pPr>
      <w:r>
        <w:t>V r. 1862 napsal »Národ« o Smetanově sboru »Odrodilec«, že je »cizím nesmyslem nakažen, nestra</w:t>
      </w:r>
      <w:r>
        <w:softHyphen/>
        <w:t>vitelné německé umělůstky hrozí svým jedem otrávit! jarý slovanský</w:t>
      </w:r>
      <w:r>
        <w:t xml:space="preserve"> živel«. Po prvních provedeních »Dali- bora« psal František P i v o d a, jímž se ještě budeme muset zabývat, o něm jako o »Daliboru, jemuž by už nejlépe slušelo jméno Dalibor W a g n </w:t>
      </w:r>
      <w:r>
        <w:rPr>
          <w:b/>
          <w:bCs/>
        </w:rPr>
        <w:t xml:space="preserve">e r« — </w:t>
      </w:r>
      <w:r>
        <w:t>a tehdy bylo u nás, hlavně pochybnou zásluhou téhož Pivody, Wagner</w:t>
      </w:r>
      <w:r>
        <w:t>ovo umění vykřičeno jako kvintesence nej</w:t>
      </w:r>
      <w:r>
        <w:softHyphen/>
        <w:t>nebezpečnějšího germánství. »Vaše vůdcovství — oznamoval tenkrát Pivoda na Smetanovu adresu — přestalo býti již dávno tím »něčím«, z čeho naší opeře vzkvete zdar a zvelebení.« Považoval za nutno vzít proti Smetanovi</w:t>
      </w:r>
      <w:r>
        <w:t xml:space="preserve"> do své ochrany českou operní hudbu tehdejší doby i celé budoucnosti, neboť v dalším kapel- nickém působení Smetanově na Národním divadle viděl nebezpečí, »že naše opera nevykročí ze stadia pohostitelky cizoty, která pojednou převezme </w:t>
      </w:r>
      <w:r>
        <w:rPr>
          <w:b/>
          <w:bCs/>
        </w:rPr>
        <w:t xml:space="preserve">i </w:t>
      </w:r>
      <w:r>
        <w:t xml:space="preserve">zde úlohu domácího </w:t>
      </w:r>
      <w:r>
        <w:t>pána, jestli se tak již nestalo*. Ko</w:t>
      </w:r>
      <w:r>
        <w:softHyphen/>
        <w:t>nečně jsou proti Smetanovi namířena jeho slova, téměř komicky působící svým falešným pathosem: »Není to estetický boj na Bílé hoře? Bohužel, že jest! Musiliť se naverbovali bojovníci české národnosti, aby ve spojení s š</w:t>
      </w:r>
      <w:r>
        <w:t>iky dobře vedených cizích novotářů zlomili a zhubili sílu českou!«</w:t>
      </w:r>
    </w:p>
    <w:p w:rsidR="00500724" w:rsidRDefault="00F30FB8">
      <w:pPr>
        <w:pStyle w:val="Zkladntext30"/>
        <w:shd w:val="clear" w:color="auto" w:fill="auto"/>
        <w:spacing w:after="0" w:line="223" w:lineRule="auto"/>
        <w:ind w:firstLine="280"/>
      </w:pPr>
      <w:r>
        <w:t>Tak stojí tedy Bedřich Smetana v ortelu svých sou</w:t>
      </w:r>
      <w:r>
        <w:softHyphen/>
        <w:t>časníků, cítících se být nejpovolanějšími kritiky, jako »bělohorský« zhoubce české síly v hudbě...</w:t>
      </w:r>
    </w:p>
    <w:p w:rsidR="00500724" w:rsidRDefault="00F30FB8">
      <w:pPr>
        <w:pStyle w:val="Zkladntext30"/>
        <w:shd w:val="clear" w:color="auto" w:fill="auto"/>
        <w:spacing w:after="0" w:line="223" w:lineRule="auto"/>
        <w:ind w:firstLine="0"/>
        <w:jc w:val="center"/>
      </w:pPr>
      <w:r>
        <w:rPr>
          <w:b/>
          <w:bCs/>
        </w:rPr>
        <w:t>«</w:t>
      </w:r>
    </w:p>
    <w:p w:rsidR="00500724" w:rsidRDefault="00F30FB8">
      <w:pPr>
        <w:pStyle w:val="Zkladntext30"/>
        <w:shd w:val="clear" w:color="auto" w:fill="auto"/>
        <w:spacing w:after="0" w:line="221" w:lineRule="auto"/>
        <w:ind w:firstLine="280"/>
      </w:pPr>
      <w:r>
        <w:t xml:space="preserve">Celé jeho dílo je důkazem o tom, jak opravdu </w:t>
      </w:r>
      <w:r>
        <w:rPr>
          <w:b/>
          <w:bCs/>
        </w:rPr>
        <w:t xml:space="preserve">a </w:t>
      </w:r>
      <w:r>
        <w:t>hluboce Smetana cítil, co kdysi napsal v programa- tickém článku »Slavoje« slovy, jež se jinak nevymy- kala z běžné frazeologie českého vlastenectví šedesá</w:t>
      </w:r>
      <w:r>
        <w:softHyphen/>
        <w:t>tých let: »I jest úkolem umělce pravou láskou k vlast</w:t>
      </w:r>
      <w:r>
        <w:t>i nadchnutého, aby jméno to více a více povznesl.« Sám si byl vždycky pyšně vědom toho, jak je jeho hudba česká: »Jsemť dle zásluh svých a dle snažení skladate</w:t>
      </w:r>
      <w:r>
        <w:softHyphen/>
        <w:t>lem českým a stvořitelem českého, slohu v dramatic</w:t>
      </w:r>
      <w:r>
        <w:softHyphen/>
        <w:t>kém a v symfonickém oddílu hudby — výhradně č</w:t>
      </w:r>
      <w:r>
        <w:t>eské.« A na sklonku svého života konstatoval totéž slovy až dojemně prostými: »Moje hudba je ryze česká, a nedá se myslet jinde než v Cechách.«</w:t>
      </w:r>
    </w:p>
    <w:p w:rsidR="00500724" w:rsidRDefault="00F30FB8">
      <w:pPr>
        <w:pStyle w:val="Zkladntext30"/>
        <w:shd w:val="clear" w:color="auto" w:fill="auto"/>
        <w:spacing w:after="0" w:line="221" w:lineRule="auto"/>
        <w:ind w:firstLine="280"/>
      </w:pPr>
      <w:r>
        <w:t>To nebylo snad jen vlastenecké osvědčování muže, napadeného pro vnášení »nezáživné cizoty« do české hudby. Zde s</w:t>
      </w:r>
      <w:r>
        <w:t>e ozývá vědomí toho, co svého, co česky národního vnesl do nových proudů hudebního umění v Evropě. Smetana si to mohl a musel uvědomovat, protože na rozdíl od svých kritiku ž i 1 v těchto nových proudech.</w:t>
      </w:r>
    </w:p>
    <w:p w:rsidR="00500724" w:rsidRDefault="00F30FB8">
      <w:pPr>
        <w:pStyle w:val="Zkladntext30"/>
        <w:shd w:val="clear" w:color="auto" w:fill="auto"/>
        <w:spacing w:after="0" w:line="221" w:lineRule="auto"/>
      </w:pPr>
      <w:r>
        <w:t>Už jako sextán si zapsal do deníku: »Však přijde ča</w:t>
      </w:r>
      <w:r>
        <w:t>s, kdy s pomocí a milostí boží budu jednou v techni</w:t>
      </w:r>
      <w:r>
        <w:softHyphen/>
        <w:t>ce Lisztem, v komposici Mozartem.« Z těchto dvou velikým jmen mu jedno, právě to novější, vskutku bylo majákem ne snad jenom v technice, nýbrž v celé sym</w:t>
      </w:r>
      <w:r>
        <w:softHyphen/>
        <w:t>fonické tvorbě. V dopise z mládí napsal svému mist</w:t>
      </w:r>
      <w:r>
        <w:t>ru vřelé a skromné »Vám děkuji vše — my dnes dovedeme toto »vše« změřit objektivněji.</w:t>
      </w:r>
    </w:p>
    <w:p w:rsidR="00500724" w:rsidRDefault="00F30FB8">
      <w:pPr>
        <w:pStyle w:val="Zkladntext30"/>
        <w:shd w:val="clear" w:color="auto" w:fill="auto"/>
        <w:spacing w:after="0" w:line="209" w:lineRule="auto"/>
      </w:pPr>
      <w:r>
        <w:t>Především je hluboká pravda ve Smetanově vlast</w:t>
      </w:r>
      <w:r>
        <w:softHyphen/>
        <w:t>ním konstatování: »Já sám jsem na to přišel, nikdo mi to neukázal, že s dosavadními formami je konec.* Sám přišel na to, že</w:t>
      </w:r>
      <w:r>
        <w:t xml:space="preserve"> je konec s ^absolutní hudbou* </w:t>
      </w:r>
      <w:r>
        <w:rPr>
          <w:b/>
          <w:bCs/>
        </w:rPr>
        <w:t xml:space="preserve">a </w:t>
      </w:r>
      <w:r>
        <w:t xml:space="preserve">sám také cítil v sobě potřebu »bližšího příklonu hudby k poesii a literatuře«, jak po prvé zazněla </w:t>
      </w:r>
      <w:r>
        <w:rPr>
          <w:b/>
          <w:bCs/>
        </w:rPr>
        <w:t xml:space="preserve">v </w:t>
      </w:r>
      <w:r>
        <w:t>Berliozově musique caractéristique a jak ji později za realistický novoromantismus programově formulo</w:t>
      </w:r>
      <w:r>
        <w:softHyphen/>
        <w:t xml:space="preserve">val </w:t>
      </w:r>
      <w:r>
        <w:rPr>
          <w:lang w:val="en-US" w:eastAsia="en-US" w:bidi="en-US"/>
        </w:rPr>
        <w:t xml:space="preserve">Liszt. </w:t>
      </w:r>
      <w:r>
        <w:t>Smetana b</w:t>
      </w:r>
      <w:r>
        <w:t>yl od počátku s Lisztem vnitřně spřízněn v touze po poetickém elementu, vnášejícím — podle slov výmarského mistra — do hudby »ideje, jež svojí novostí, smělostí a geniálností povzbuzují k pře</w:t>
      </w:r>
      <w:r>
        <w:softHyphen/>
        <w:t>mýšlení.*</w:t>
      </w:r>
    </w:p>
    <w:p w:rsidR="00500724" w:rsidRDefault="00F30FB8">
      <w:pPr>
        <w:pStyle w:val="Zkladntext30"/>
        <w:shd w:val="clear" w:color="auto" w:fill="auto"/>
        <w:spacing w:after="0" w:line="202" w:lineRule="auto"/>
      </w:pPr>
      <w:r>
        <w:t>Druhým vůdčím světlem jeho tvorby nebyl však Mozart, n</w:t>
      </w:r>
      <w:r>
        <w:t xml:space="preserve">ýbrž </w:t>
      </w:r>
      <w:r>
        <w:rPr>
          <w:lang w:val="en-US" w:eastAsia="en-US" w:bidi="en-US"/>
        </w:rPr>
        <w:t xml:space="preserve">Wagner, </w:t>
      </w:r>
      <w:r>
        <w:t>nejbližší přítel Lisztův. Sme</w:t>
      </w:r>
      <w:r>
        <w:softHyphen/>
        <w:t>tana se nadchl »nesmírnou krásou« jeho umění, o němž byl přesvědčen, že »musí svým časem všude zvítězit«. I zde, v hudebním dramatu, mu byl zase nade vše blízký realismus novoromantické značky; chválil na Richardu</w:t>
      </w:r>
      <w:r>
        <w:t xml:space="preserve"> Wagnerovi, že »s dramatickou pravdou bral to opravdověji* než všichni dřívější oper</w:t>
      </w:r>
      <w:r>
        <w:softHyphen/>
        <w:t>ní skladatelé, byl s ním přesvědčen o tom, že »opery musí se povznést na drama«. A z návštěvy v Bay- reuthu psal domů se zadostiučiněním: »Všichni zde žijící Češi jsou zuř</w:t>
      </w:r>
      <w:r>
        <w:t>ivými wagneriány.«</w:t>
      </w:r>
    </w:p>
    <w:p w:rsidR="00500724" w:rsidRDefault="00F30FB8">
      <w:pPr>
        <w:pStyle w:val="Zkladntext30"/>
        <w:shd w:val="clear" w:color="auto" w:fill="auto"/>
        <w:spacing w:after="0" w:line="202" w:lineRule="auto"/>
      </w:pPr>
      <w:r>
        <w:t>Doma ovšem tomu bylo docela jinak. Wagnerovy reformy byly tu prohlašovány za zhoubné nejen pro českého ducha, nýbrž pro ducha hudby vůbec. Pivoda mluvil o »nezáživné hudbě ztřeštěného Wagnera«, pro něj a pro jeho přátele byli Smetanovi m</w:t>
      </w:r>
      <w:r>
        <w:t xml:space="preserve">iláčci </w:t>
      </w:r>
      <w:r>
        <w:rPr>
          <w:lang w:val="en-US" w:eastAsia="en-US" w:bidi="en-US"/>
        </w:rPr>
        <w:t xml:space="preserve">Berlioz, Liszt a Wagner »representanty </w:t>
      </w:r>
      <w:r>
        <w:t>hudebních výstřed</w:t>
      </w:r>
      <w:r>
        <w:softHyphen/>
        <w:t>ností*. Tato skupina Pivodova zůstala trčet v po- mozartovském epigonství a jako všichni epigoni po</w:t>
      </w:r>
      <w:r>
        <w:softHyphen/>
        <w:t>slední výzvy byla nesmiřitelná v odmítání všeho nové</w:t>
      </w:r>
      <w:r>
        <w:softHyphen/>
        <w:t>ho. Dokonce i jinak celkem konservativn</w:t>
      </w:r>
      <w:r>
        <w:t>í Prokš, kdysi pražský učitel Smetanův, varoval před těmito »ce- chovníky, ulpěvšími před svými idoly dějinám pro</w:t>
      </w:r>
      <w:r>
        <w:softHyphen/>
        <w:t>padlými*, a bál se pro Prahu i celé Cechy »stagnace ve zdejším hudebním životě, která již stala se ne</w:t>
      </w:r>
      <w:r>
        <w:softHyphen/>
        <w:t>bezpečnou*.</w:t>
      </w:r>
    </w:p>
    <w:p w:rsidR="00500724" w:rsidRDefault="00F30FB8">
      <w:pPr>
        <w:pStyle w:val="Zkladntext30"/>
        <w:shd w:val="clear" w:color="auto" w:fill="auto"/>
        <w:spacing w:after="0" w:line="202" w:lineRule="auto"/>
      </w:pPr>
      <w:r>
        <w:t>Uprostřed této nebezpečné st</w:t>
      </w:r>
      <w:r>
        <w:t>agnace tvořil a zápasil Smetana pod devisou, kterou vyjádřil pamětihodnými slovy: »Nahlédl jsem nutnost pokroku v umění.«</w:t>
      </w:r>
    </w:p>
    <w:p w:rsidR="00500724" w:rsidRDefault="00F30FB8">
      <w:pPr>
        <w:pStyle w:val="Zkladntext30"/>
        <w:shd w:val="clear" w:color="auto" w:fill="auto"/>
        <w:spacing w:after="0" w:line="202" w:lineRule="auto"/>
      </w:pPr>
      <w:r>
        <w:rPr>
          <w:noProof/>
        </w:rPr>
        <mc:AlternateContent>
          <mc:Choice Requires="wps">
            <w:drawing>
              <wp:anchor distT="38100" distB="254000" distL="114300" distR="114300" simplePos="0" relativeHeight="125829642" behindDoc="0" locked="0" layoutInCell="1" allowOverlap="1">
                <wp:simplePos x="0" y="0"/>
                <wp:positionH relativeFrom="page">
                  <wp:posOffset>6825615</wp:posOffset>
                </wp:positionH>
                <wp:positionV relativeFrom="margin">
                  <wp:posOffset>9229725</wp:posOffset>
                </wp:positionV>
                <wp:extent cx="210185" cy="149225"/>
                <wp:effectExtent l="0" t="0" r="0" b="0"/>
                <wp:wrapTopAndBottom/>
                <wp:docPr id="265" name="Shape 265"/>
                <wp:cNvGraphicFramePr/>
                <a:graphic xmlns:a="http://schemas.openxmlformats.org/drawingml/2006/main">
                  <a:graphicData uri="http://schemas.microsoft.com/office/word/2010/wordprocessingShape">
                    <wps:wsp>
                      <wps:cNvSpPr txBox="1"/>
                      <wps:spPr>
                        <a:xfrm>
                          <a:off x="0" y="0"/>
                          <a:ext cx="210185" cy="149225"/>
                        </a:xfrm>
                        <a:prstGeom prst="rect">
                          <a:avLst/>
                        </a:prstGeom>
                        <a:noFill/>
                      </wps:spPr>
                      <wps:txbx>
                        <w:txbxContent>
                          <w:p w:rsidR="00500724" w:rsidRDefault="00F30FB8">
                            <w:pPr>
                              <w:pStyle w:val="Zkladntext40"/>
                              <w:shd w:val="clear" w:color="auto" w:fill="auto"/>
                              <w:spacing w:after="0" w:line="240" w:lineRule="auto"/>
                              <w:jc w:val="left"/>
                            </w:pPr>
                            <w:r>
                              <w:rPr>
                                <w:b/>
                                <w:bCs/>
                                <w:i/>
                                <w:iCs/>
                              </w:rPr>
                              <w:t>1Ď?</w:t>
                            </w:r>
                          </w:p>
                        </w:txbxContent>
                      </wps:txbx>
                      <wps:bodyPr lIns="0" tIns="0" rIns="0" bIns="0">
                        <a:spAutoFit/>
                      </wps:bodyPr>
                    </wps:wsp>
                  </a:graphicData>
                </a:graphic>
              </wp:anchor>
            </w:drawing>
          </mc:Choice>
          <mc:Fallback>
            <w:pict>
              <v:shape id="_x0000_s1291" type="#_x0000_t202" style="position:absolute;margin-left:537.45000000000005pt;margin-top:726.75pt;width:16.550000000000001pt;height:11.75pt;z-index:-125829111;mso-wrap-distance-left:9.pt;mso-wrap-distance-top:3.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1Ď?</w:t>
                      </w:r>
                    </w:p>
                  </w:txbxContent>
                </v:textbox>
                <w10:wrap type="topAndBottom" anchorx="page" anchory="margin"/>
              </v:shape>
            </w:pict>
          </mc:Fallback>
        </mc:AlternateContent>
      </w:r>
      <w:r>
        <w:t>Sotva kde jinde položil prst tak přesně na onen psychologický moment, jenž jej v nejhlubších zákla</w:t>
      </w:r>
      <w:r>
        <w:softHyphen/>
        <w:t>dech odlišoval od současného</w:t>
      </w:r>
      <w:r>
        <w:t xml:space="preserve"> hejna komponujících epigonů a kritisujících diletantů a jenž nutně před</w:t>
      </w:r>
      <w:r>
        <w:softHyphen/>
        <w:t xml:space="preserve">určil všechny jeho konflikty s nimi. Smetana se často neuctivě vyjadřoval o »starém kopytu« v hudbě </w:t>
      </w:r>
      <w:r>
        <w:rPr>
          <w:b/>
          <w:bCs/>
        </w:rPr>
        <w:t xml:space="preserve">a </w:t>
      </w:r>
      <w:r>
        <w:t>nedal se žádnými »vlasteneekými« hrozbami odvrátit od svého »cizáckého novotaření</w:t>
      </w:r>
      <w:r>
        <w:t>«. »Ano — prohlásil neohroženě — znamená-li novoněmecká škola pokrok, pak patřím k ní,« a dodal podle pravdy, že se aspoň snaží psáti vždycky tak, jak to cítí, aniž by bral ohled na co jiného. Jenže epigoni všech dob a národů jsou organicky neschopni pocít</w:t>
      </w:r>
      <w:r>
        <w:t>it a pochopit ten tajemný svazek skutečných umělců, který je přes všechny hra</w:t>
      </w:r>
      <w:r>
        <w:softHyphen/>
        <w:t xml:space="preserve">nice v duchu nové doby pojí k novému společnému ideálu prostou jejich vnitřní sourodností, aniž by bylo zapotřebí nějaké jejich světové organisace, jakou kdysi propagoval </w:t>
      </w:r>
      <w:r>
        <w:rPr>
          <w:lang w:val="en-US" w:eastAsia="en-US" w:bidi="en-US"/>
        </w:rPr>
        <w:t>Liszt.</w:t>
      </w:r>
    </w:p>
    <w:p w:rsidR="00500724" w:rsidRDefault="00F30FB8">
      <w:pPr>
        <w:pStyle w:val="Zkladntext50"/>
        <w:shd w:val="clear" w:color="auto" w:fill="auto"/>
        <w:spacing w:after="80" w:line="240" w:lineRule="auto"/>
        <w:ind w:left="0"/>
        <w:jc w:val="center"/>
      </w:pPr>
      <w:r>
        <w:t>©</w:t>
      </w:r>
    </w:p>
    <w:p w:rsidR="00500724" w:rsidRDefault="00F30FB8">
      <w:pPr>
        <w:pStyle w:val="Zkladntext30"/>
        <w:shd w:val="clear" w:color="auto" w:fill="auto"/>
        <w:spacing w:after="0" w:line="214" w:lineRule="auto"/>
      </w:pPr>
      <w:r>
        <w:t>Ovšem, dnes vidíme jistý rozpor mezi Smetanou programaticky zdůrazňovaným pokrokářstvím a sku</w:t>
      </w:r>
      <w:r>
        <w:softHyphen/>
        <w:t>tečným rázem jeho hudby, jež zdaleka není tak prů</w:t>
      </w:r>
      <w:r>
        <w:softHyphen/>
        <w:t>kopnicky radikální. Tento rozpor roste ze dvou koře</w:t>
      </w:r>
      <w:r>
        <w:softHyphen/>
        <w:t>nů. Jeden z nich tkví v okolnostech spíše vnějších, v urči</w:t>
      </w:r>
      <w:r>
        <w:t>tém pedagogickém taktu Smetanově vůči české</w:t>
      </w:r>
      <w:r>
        <w:softHyphen/>
        <w:t>mu publiku, o jehož hudebním vzdělání neměl příliš lichotivé mínění. Jeho zdrželivost v hudebním refor- mátorství byla tak do značné míry diktována snahou neztratit kontakt s poněkud zaostalým domácím obe</w:t>
      </w:r>
      <w:r>
        <w:softHyphen/>
        <w:t>censtve</w:t>
      </w:r>
      <w:r>
        <w:t xml:space="preserve">m; volil tu raději </w:t>
      </w:r>
      <w:r>
        <w:rPr>
          <w:lang w:val="en-US" w:eastAsia="en-US" w:bidi="en-US"/>
        </w:rPr>
        <w:t xml:space="preserve">andante, </w:t>
      </w:r>
      <w:r>
        <w:t>jež by po stup</w:t>
      </w:r>
      <w:r>
        <w:softHyphen/>
        <w:t>ních zvedalo vkus a pochopení, než nějaké překotné v i v a c i s s i m e, jež by odsoudilo komponistů k tomu, aby zůstal příliš dlouho nepochopen svým okolím.</w:t>
      </w:r>
    </w:p>
    <w:p w:rsidR="00500724" w:rsidRDefault="00F30FB8">
      <w:pPr>
        <w:pStyle w:val="Zkladntext30"/>
        <w:shd w:val="clear" w:color="auto" w:fill="auto"/>
        <w:spacing w:after="0" w:line="214" w:lineRule="auto"/>
      </w:pPr>
      <w:r>
        <w:t xml:space="preserve">Věc má však také ještě druhou, vnitřní stránku. Něco </w:t>
      </w:r>
      <w:r>
        <w:t>totiž zůstalo na novoromantickém hnutí i Sme</w:t>
      </w:r>
      <w:r>
        <w:softHyphen/>
        <w:t xml:space="preserve">tanovi cizí; jeho titanismus, tak charakteristický pro Liszta a zvláště pro Berlioze s jeho »vulkánem srdce«. Tento byronovský element novoromantismu prodělal už o několik desítiletí dříve zajímavou proměnu při </w:t>
      </w:r>
      <w:r>
        <w:t>svém vstupu do české poesie — Mácha idylicky zmír</w:t>
      </w:r>
      <w:r>
        <w:softHyphen/>
        <w:t>nil nejostřejší hrany uvnitř rozpolcené duše titánovy a ztlumil její nejvýbušnější apassionato; bylo už dávno konstatováno, že si tuto změnu vynutil český tem</w:t>
      </w:r>
      <w:r>
        <w:softHyphen/>
        <w:t>perament básníka »Máje«. V podstatě totéž způso</w:t>
      </w:r>
      <w:r>
        <w:t>bil Smetanův český temperament tehdy, když se byron- ská epocha ohlásila v evropské hudbě. V tomto bodě není tedy rozdíl mezi Smetanou a francouzskými nebo německými představiteli novoromantické školy snad nějakým čistě kvantitativním rozdílem v míře pokra</w:t>
      </w:r>
      <w:r>
        <w:t xml:space="preserve"> kovostl, nýbrž je rozdílem kvality; nejde tu o nějaké Smetanovo minus vůči jeho pařížským a výmar- ským mistrům, nýbrž o jeho nejvlastnější přínos z ducha české národní povahy.</w:t>
      </w:r>
    </w:p>
    <w:p w:rsidR="00500724" w:rsidRDefault="00F30FB8">
      <w:pPr>
        <w:pStyle w:val="Zkladntext30"/>
        <w:shd w:val="clear" w:color="auto" w:fill="auto"/>
        <w:spacing w:after="0" w:line="214" w:lineRule="auto"/>
      </w:pPr>
      <w:r>
        <w:t>Smetana zvěčnil ve čtvrté větě kvarteta »Z mého života« svoje »poznání národní</w:t>
      </w:r>
      <w:r>
        <w:t>ho uvědomění v našem krásném umění, radost nad cestou již nalezenou v ná</w:t>
      </w:r>
      <w:r>
        <w:softHyphen/>
        <w:t>rodním umění«. Programaticky pak ve svých kritic</w:t>
      </w:r>
      <w:r>
        <w:softHyphen/>
        <w:t>kých studiích o české opeře zdůraznil její d v o j í ne</w:t>
      </w:r>
      <w:r>
        <w:softHyphen/>
        <w:t>dílný úkol: »aby za prvé se stala domácí, národní, za druhé, aby stála na výši</w:t>
      </w:r>
      <w:r>
        <w:t>, která jest našeho národa důstojná«. V tomto druhém bodě byl vždy a všude neúprosný. Zkusil to na sobě kterýsi zapomenutý ne</w:t>
      </w:r>
      <w:r>
        <w:softHyphen/>
        <w:t>šťastník, jenž soutěžil v Hlaholu svým diletantským sborem pod vznosným heslem o tom, jak prý každý slouží vlasti cele, kdo má čes</w:t>
      </w:r>
      <w:r>
        <w:t>t a srdce v těle; porotce Smetana se nedal mýlit heslem a odmítl slátaninu s poznámkou o tom, že autor nejlépe poslouží vlasti, když se dříve něčemu naučí, nežli začne psát nesmysly.</w:t>
      </w:r>
    </w:p>
    <w:p w:rsidR="00500724" w:rsidRDefault="00F30FB8">
      <w:pPr>
        <w:pStyle w:val="Zkladntext30"/>
        <w:shd w:val="clear" w:color="auto" w:fill="auto"/>
        <w:spacing w:after="0" w:line="214" w:lineRule="auto"/>
      </w:pPr>
      <w:r>
        <w:t>Není ovšem těžko si představit, jak si taliovým postojem musel Smetana zn</w:t>
      </w:r>
      <w:r>
        <w:t>epřátelit vlastenčící »kom- ponisty« pivodovské úrovně.</w:t>
      </w:r>
    </w:p>
    <w:p w:rsidR="00500724" w:rsidRDefault="00F30FB8">
      <w:pPr>
        <w:pStyle w:val="Zkladntext30"/>
        <w:shd w:val="clear" w:color="auto" w:fill="auto"/>
        <w:spacing w:line="206" w:lineRule="auto"/>
        <w:ind w:firstLine="0"/>
        <w:jc w:val="center"/>
      </w:pPr>
      <w:r>
        <w:t>•</w:t>
      </w:r>
    </w:p>
    <w:p w:rsidR="00500724" w:rsidRDefault="00F30FB8">
      <w:pPr>
        <w:pStyle w:val="Zkladntext30"/>
        <w:shd w:val="clear" w:color="auto" w:fill="auto"/>
        <w:spacing w:after="0" w:line="206" w:lineRule="auto"/>
        <w:ind w:firstLine="240"/>
      </w:pPr>
      <w:r>
        <w:t xml:space="preserve">Co bylo Smetanovi uměleckou výší, důstojnou </w:t>
      </w:r>
      <w:r>
        <w:rPr>
          <w:b/>
          <w:bCs/>
        </w:rPr>
        <w:t xml:space="preserve">ná-! </w:t>
      </w:r>
      <w:r>
        <w:t>roda, bylo těmto cechařům ^příčením se duchu slo- vanskému« a ^nezáživnou cizotou«. Tato dvě stano</w:t>
      </w:r>
      <w:r>
        <w:softHyphen/>
        <w:t>viska musela na sebe nesmiřitelně narážet.</w:t>
      </w:r>
    </w:p>
    <w:p w:rsidR="00500724" w:rsidRDefault="00F30FB8">
      <w:pPr>
        <w:pStyle w:val="Zkladntext30"/>
        <w:shd w:val="clear" w:color="auto" w:fill="auto"/>
        <w:spacing w:after="0" w:line="206" w:lineRule="auto"/>
        <w:ind w:firstLine="240"/>
      </w:pPr>
      <w:r>
        <w:t xml:space="preserve">Byl to </w:t>
      </w:r>
      <w:r>
        <w:t>konflikt velkého českého umělce, přesvědče</w:t>
      </w:r>
      <w:r>
        <w:softHyphen/>
        <w:t>ného o tom, že právě též českému umění nejlépe pro</w:t>
      </w:r>
      <w:r>
        <w:softHyphen/>
        <w:t>spěje svobodná světová výměna kulturních hodnot, se&gt; stoupenci kulturní autarkie. Zřiďte kdekoliv na národ</w:t>
      </w:r>
      <w:r>
        <w:softHyphen/>
        <w:t>nostních hranicích prohibitivní kulturní cla, a brzy se</w:t>
      </w:r>
      <w:r>
        <w:t xml:space="preserve"> jako jediný skutečný důsledek projeví pokles vlast</w:t>
      </w:r>
      <w:r>
        <w:softHyphen/>
        <w:t>ní národní produkce, pokles v její hodnotě i množství. Ale ať jakkoli zřejmá je škodlivost kulturní »sobě- stačnostk, bude mít vždy a všude svoje horlivé za</w:t>
      </w:r>
      <w:r>
        <w:softHyphen/>
        <w:t>stánce v lidech, kteří jen pod její ochranou mo</w:t>
      </w:r>
      <w:r>
        <w:t>hou udat svoje vlastní produkty pochybné náhražkové jakosti a vyprodat svoje stářím zatuchlé sklady.</w:t>
      </w:r>
    </w:p>
    <w:p w:rsidR="00500724" w:rsidRDefault="00F30FB8">
      <w:pPr>
        <w:pStyle w:val="Zkladntext30"/>
        <w:shd w:val="clear" w:color="auto" w:fill="auto"/>
        <w:spacing w:after="0" w:line="206" w:lineRule="auto"/>
        <w:ind w:firstLine="240"/>
      </w:pPr>
      <w:r>
        <w:t>Dr. Karel Kramář velmi dobře vystihl tehdejší atmosféru »nekriticismu, který ve vědeckých i umě</w:t>
      </w:r>
      <w:r>
        <w:softHyphen/>
        <w:t>leckých záležitostech hleděl hlavně na dobrou vůli a na udr</w:t>
      </w:r>
      <w:r>
        <w:t>žení chuti k tvoření chválením všeho, co se v Cechách udělalo, ať to bylo dobré čili nic, jen aby</w:t>
      </w:r>
      <w:r>
        <w:softHyphen/>
        <w:t>chom sami si mohli namlouvati, jak bohatou máme literaturu a jak skvělé umění, třeba bychom byli je</w:t>
      </w:r>
      <w:r>
        <w:softHyphen/>
        <w:t>diní, kteří tomu věřili«. Pod hřejivými paprsky tohoto »vl</w:t>
      </w:r>
      <w:r>
        <w:t>asteneckého sebeklamu o výtečnosti všeho, co je naše« (K. Kramář) se ovšem mohlo dařit jen kultur</w:t>
      </w:r>
      <w:r>
        <w:softHyphen/>
        <w:t>nímu býlí — všechno opravdu cenné jím bylo ve svém vzrůstu ohrožováno.</w:t>
      </w:r>
    </w:p>
    <w:p w:rsidR="00500724" w:rsidRDefault="00F30FB8">
      <w:pPr>
        <w:pStyle w:val="Zkladntext30"/>
        <w:shd w:val="clear" w:color="auto" w:fill="auto"/>
        <w:spacing w:after="0" w:line="206" w:lineRule="auto"/>
        <w:ind w:firstLine="240"/>
      </w:pPr>
      <w:r>
        <w:t>Není divu, že se na půdě Národního divadla srazil Smetana s odpovědným vůdcem této ^aut</w:t>
      </w:r>
      <w:r>
        <w:t>oritářské politiky«, charakterisované podle svědectví K. Kra</w:t>
      </w:r>
      <w:r>
        <w:softHyphen/>
        <w:t>máře »převládnutím vlivů osobních koterií, nesnáše- livostí k mínění druhého, vměšováním se politických' vlivů v otázky čistě vědecké« a dodejme: také čistě umělecké — s drem Fr. L. R i e g r e m</w:t>
      </w:r>
      <w:r>
        <w:t>. Ten si pozval operního ředitele a kapelníka Smetanu, aby mu auto</w:t>
      </w:r>
      <w:r>
        <w:softHyphen/>
        <w:t>ritářský vyložil svůj názor na to, že jediným základem české operní hudby může, má a musí býti česká ná</w:t>
      </w:r>
      <w:r>
        <w:softHyphen/>
        <w:t>rodní píseň, nebo jak se vzletně vyjadřoval p. Pivoda,; »ten milý, stejně svěží a boh</w:t>
      </w:r>
      <w:r>
        <w:t>atý, jak líbezný a dojem</w:t>
      </w:r>
      <w:r>
        <w:softHyphen/>
        <w:t>ný národní náš zpěv«. Na tirády tohoto druhu dal Smetana vůdci Staročechů stručnou odpověď: »Tomu vy nerozumíte« ... čímž si ovšem v režimu osobních koterií nijak neposloužil.</w:t>
      </w:r>
    </w:p>
    <w:p w:rsidR="00500724" w:rsidRDefault="00F30FB8">
      <w:pPr>
        <w:pStyle w:val="Zkladntext30"/>
        <w:shd w:val="clear" w:color="auto" w:fill="auto"/>
        <w:spacing w:after="0" w:line="206" w:lineRule="auto"/>
        <w:ind w:firstLine="240"/>
      </w:pPr>
      <w:r>
        <w:rPr>
          <w:lang w:val="en-US" w:eastAsia="en-US" w:bidi="en-US"/>
        </w:rPr>
        <w:t xml:space="preserve">Rieger </w:t>
      </w:r>
      <w:r>
        <w:t>nepochybně nerozuměl skutečným potřebám české op</w:t>
      </w:r>
      <w:r>
        <w:t>ery, spíše už rozuměl »potřehám« staročeské kulturní politiky, jež ani nemohla opustit půdu vlas</w:t>
      </w:r>
      <w:r>
        <w:softHyphen/>
        <w:t>teneckého sebeklamu«. Na druhé straně Smetana sice rozuměl potřebám české hudby, nejevil však dostatek porozumění pro autoritářskou kulturní politiku Staro</w:t>
      </w:r>
      <w:r>
        <w:softHyphen/>
        <w:t>čec</w:t>
      </w:r>
      <w:r>
        <w:t>hů, toho jména opravdu hodných. Řekl kdysi téměř se smíchem svému mladému příteli Otakaru Hostin</w:t>
      </w:r>
      <w:r>
        <w:softHyphen/>
        <w:t xml:space="preserve">skému: »Mohu-liž za to, že na mladočeské straně mám náhodou více přátel a zastánců, než na staročeské?-*; Řekl »n á h o d o u«, nebyla to však náhoda. Nemohlo </w:t>
      </w:r>
      <w:r>
        <w:t>být přirozeně náhodou, že tvůrce moderní české hudby měl více přátel tam, kde — abychom se ještě jednou dovolali svědectví dr. Karla Kramáře — »inteligence nebála se kritiky, nebála se pravdy, třeba byla sebe nepříjemnější, ať ve vědě, umění nebo v politic</w:t>
      </w:r>
      <w:r>
        <w:t xml:space="preserve">e« a proto »musila se vzepříti proti autoritářské politice politické </w:t>
      </w:r>
      <w:r>
        <w:rPr>
          <w:rFonts w:ascii="Arial" w:eastAsia="Arial" w:hAnsi="Arial" w:cs="Arial"/>
          <w:b/>
          <w:bCs/>
        </w:rPr>
        <w:t xml:space="preserve">i </w:t>
      </w:r>
      <w:r>
        <w:t>kulturní«, jakou u nás tehdy praktikovali JStaročeši.</w:t>
      </w:r>
    </w:p>
    <w:p w:rsidR="00500724" w:rsidRDefault="00F30FB8">
      <w:pPr>
        <w:pStyle w:val="Zkladntext100"/>
        <w:shd w:val="clear" w:color="auto" w:fill="auto"/>
        <w:spacing w:after="40"/>
        <w:ind w:firstLine="0"/>
        <w:jc w:val="center"/>
        <w:rPr>
          <w:sz w:val="19"/>
          <w:szCs w:val="19"/>
        </w:rPr>
      </w:pPr>
      <w:r>
        <w:rPr>
          <w:sz w:val="19"/>
          <w:szCs w:val="19"/>
        </w:rPr>
        <w:t>•</w:t>
      </w:r>
    </w:p>
    <w:p w:rsidR="00500724" w:rsidRDefault="00F30FB8">
      <w:pPr>
        <w:pStyle w:val="Zkladntext30"/>
        <w:shd w:val="clear" w:color="auto" w:fill="auto"/>
        <w:spacing w:line="202" w:lineRule="auto"/>
        <w:ind w:firstLine="220"/>
      </w:pPr>
      <w:r>
        <w:t>Tak zapadá boj Smetanův a boj o Smetanu do rám</w:t>
      </w:r>
      <w:r>
        <w:softHyphen/>
        <w:t>ce mnohem širšího kulturního, politického a sociálního zápasu, vedeného u nás v le</w:t>
      </w:r>
      <w:r>
        <w:t>tech sedmdesátých minu</w:t>
      </w:r>
      <w:r>
        <w:softHyphen/>
        <w:t>lého století mezi tehdejšími dvěma velikými bloky, mladočeským a staročeským. Ten p r v n í z nich, jenž byl ve své době pokrokový, zvedl na svůj štít i Bedři</w:t>
      </w:r>
      <w:r>
        <w:softHyphen/>
        <w:t>cha Smetanu. V mladočeských »Národních listech« jej chránil Neruda a otevř</w:t>
      </w:r>
      <w:r>
        <w:t>el mu v nich k jeho sebe</w:t>
      </w:r>
      <w:r>
        <w:softHyphen/>
        <w:t>obraně svobodnou tribunu; Mladočechům blízký Aka</w:t>
      </w:r>
      <w:r>
        <w:softHyphen/>
        <w:t>demický čtenářský spolek, později svorně persekvo- vaný Staročechy a rakouskou policií, protestoval vel</w:t>
      </w:r>
      <w:r>
        <w:softHyphen/>
        <w:t>mi rozhodně proti machinacím, jimiž měl být Smetana zbaven vedoucího postavení</w:t>
      </w:r>
      <w:r>
        <w:t xml:space="preserve"> v opeře Národního di</w:t>
      </w:r>
      <w:r>
        <w:softHyphen/>
        <w:t>vadla a vyslovil svoje pochybnosti a obavy, »že možno státi české opeře na čestném uměleckém stanovišti bez Smetany«. Druhý z těchto bloků, zpátečnický a autoritářský, dal ve svém tisku po celá léta vést soustavné kampaně proti Smetan</w:t>
      </w:r>
      <w:r>
        <w:t>ovi jako proti umělci, ^nakaženému cizím nesmyslem« a hubícímu české kul</w:t>
      </w:r>
      <w:r>
        <w:softHyphen/>
        <w:t>turní síly; ve jménu »té naší písničky české« dal svými Pivody odmítat nejryzejší české umění jako »nezáživ- nou cizotu«. A to jen proto, že jeho tvůrce ukazoval — jak dobře napsal Ka</w:t>
      </w:r>
      <w:r>
        <w:t>rel Hoffmeister — české hudbě cestu »vpřed, od diletantismu, neuměleckosti a od pro</w:t>
      </w:r>
      <w:r>
        <w:softHyphen/>
        <w:t>vinciálního zpátečnictví na dráhy pravého světového umění«.</w:t>
      </w:r>
    </w:p>
    <w:p w:rsidR="00500724" w:rsidRDefault="00F30FB8">
      <w:pPr>
        <w:pStyle w:val="Zkladntext30"/>
        <w:shd w:val="clear" w:color="auto" w:fill="auto"/>
        <w:spacing w:after="300" w:line="206" w:lineRule="auto"/>
        <w:ind w:firstLine="220"/>
      </w:pPr>
      <w:r>
        <w:t>Pravda, sláva jména Smetanova je Čechům věč</w:t>
      </w:r>
      <w:r>
        <w:softHyphen/>
        <w:t>ná... ale Pivodové také ještě nevymřeli.</w:t>
      </w:r>
    </w:p>
    <w:p w:rsidR="00500724" w:rsidRDefault="00F30FB8">
      <w:pPr>
        <w:pStyle w:val="Nadpis90"/>
        <w:keepNext/>
        <w:keepLines/>
        <w:shd w:val="clear" w:color="auto" w:fill="auto"/>
        <w:spacing w:after="240"/>
      </w:pPr>
      <w:bookmarkStart w:id="257" w:name="bookmark256"/>
      <w:r>
        <w:rPr>
          <w:rFonts w:ascii="Times New Roman" w:eastAsia="Times New Roman" w:hAnsi="Times New Roman" w:cs="Times New Roman"/>
          <w:u w:val="single"/>
        </w:rPr>
        <w:t>život a instituce</w:t>
      </w:r>
      <w:bookmarkEnd w:id="257"/>
    </w:p>
    <w:p w:rsidR="00500724" w:rsidRDefault="00F30FB8">
      <w:pPr>
        <w:pStyle w:val="Zkladntext30"/>
        <w:shd w:val="clear" w:color="auto" w:fill="auto"/>
        <w:spacing w:line="199" w:lineRule="auto"/>
        <w:ind w:firstLine="0"/>
        <w:rPr>
          <w:sz w:val="20"/>
          <w:szCs w:val="20"/>
        </w:rPr>
      </w:pPr>
      <w:r>
        <w:rPr>
          <w:i/>
          <w:iCs/>
          <w:sz w:val="20"/>
          <w:szCs w:val="20"/>
        </w:rPr>
        <w:t>František</w:t>
      </w:r>
      <w:r>
        <w:rPr>
          <w:i/>
          <w:iCs/>
          <w:sz w:val="20"/>
          <w:szCs w:val="20"/>
        </w:rPr>
        <w:t xml:space="preserve"> Novotný:</w:t>
      </w:r>
    </w:p>
    <w:p w:rsidR="00500724" w:rsidRDefault="00F30FB8">
      <w:pPr>
        <w:pStyle w:val="Nadpis100"/>
        <w:shd w:val="clear" w:color="auto" w:fill="auto"/>
        <w:spacing w:line="240" w:lineRule="auto"/>
      </w:pPr>
      <w:bookmarkStart w:id="258" w:name="bookmark257"/>
      <w:r>
        <w:t>Zatarasený svět</w:t>
      </w:r>
      <w:bookmarkEnd w:id="258"/>
    </w:p>
    <w:p w:rsidR="00500724" w:rsidRDefault="00F30FB8">
      <w:pPr>
        <w:pStyle w:val="Zkladntext100"/>
        <w:shd w:val="clear" w:color="auto" w:fill="auto"/>
        <w:spacing w:after="120" w:line="211" w:lineRule="auto"/>
        <w:ind w:firstLine="220"/>
        <w:rPr>
          <w:sz w:val="19"/>
          <w:szCs w:val="19"/>
        </w:rPr>
      </w:pPr>
      <w:r>
        <w:rPr>
          <w:sz w:val="19"/>
          <w:szCs w:val="19"/>
        </w:rPr>
        <w:t>Není náhodou, že se mezinárodní zeměpisný sjezd, svolaný v červenci 1958 do Amsterodamu, zabýval velmi obšírně otázkami kolonisace v tropických krajích. Právě tomuto sjezdu vděčíme, že tropické kraje, přicházející v úvahu pro kolo</w:t>
      </w:r>
      <w:r>
        <w:rPr>
          <w:sz w:val="19"/>
          <w:szCs w:val="19"/>
        </w:rPr>
        <w:t>nisaci bílého obyvatelstva, nejsou končinou neznámou a že víme, kde jsou dnes kraje prázdné a poloprázdné.</w:t>
      </w:r>
    </w:p>
    <w:p w:rsidR="00500724" w:rsidRDefault="00F30FB8">
      <w:pPr>
        <w:pStyle w:val="Zkladntext100"/>
        <w:shd w:val="clear" w:color="auto" w:fill="auto"/>
        <w:spacing w:after="40" w:line="211" w:lineRule="auto"/>
        <w:ind w:firstLine="0"/>
        <w:rPr>
          <w:sz w:val="19"/>
          <w:szCs w:val="19"/>
        </w:rPr>
      </w:pPr>
      <w:r>
        <w:rPr>
          <w:sz w:val="19"/>
          <w:szCs w:val="19"/>
        </w:rPr>
        <w:t>ÍJe Madagaskar náhradou za Palestinu?</w:t>
      </w:r>
    </w:p>
    <w:p w:rsidR="00500724" w:rsidRDefault="00F30FB8">
      <w:pPr>
        <w:pStyle w:val="Zkladntext100"/>
        <w:shd w:val="clear" w:color="auto" w:fill="auto"/>
        <w:spacing w:after="40" w:line="211" w:lineRule="auto"/>
        <w:ind w:firstLine="220"/>
        <w:rPr>
          <w:sz w:val="19"/>
          <w:szCs w:val="19"/>
        </w:rPr>
      </w:pPr>
      <w:r>
        <w:rPr>
          <w:sz w:val="19"/>
          <w:szCs w:val="19"/>
        </w:rPr>
        <w:t>V létě 1954 došlo z jižních krajů do Tananariva, hlav</w:t>
      </w:r>
      <w:r>
        <w:rPr>
          <w:sz w:val="19"/>
          <w:szCs w:val="19"/>
        </w:rPr>
        <w:softHyphen/>
        <w:t xml:space="preserve">ního města Madagaskaru, několik jiskrových depeší, které </w:t>
      </w:r>
      <w:r>
        <w:rPr>
          <w:sz w:val="19"/>
          <w:szCs w:val="19"/>
        </w:rPr>
        <w:t>guvernérovi Caylovi způsobily velikou starost. Tvrz Fort Dauphin v území Antadroy hlásila, že je obyvatelstvo velmi znepokojeno, poněvadž zavládla sucha, ohrožující úrodu. Hrozící hlad mohl by vyvolat povstání, jež by posádka tvrze, pozůstávající jenom z n</w:t>
      </w:r>
      <w:r>
        <w:rPr>
          <w:sz w:val="19"/>
          <w:szCs w:val="19"/>
        </w:rPr>
        <w:t>ěkolika bílých a několika desítek koloniálních vo</w:t>
      </w:r>
      <w:r>
        <w:rPr>
          <w:sz w:val="19"/>
          <w:szCs w:val="19"/>
        </w:rPr>
        <w:softHyphen/>
        <w:t>jáků, nemohla zvládnout.</w:t>
      </w:r>
    </w:p>
    <w:p w:rsidR="00500724" w:rsidRDefault="00F30FB8">
      <w:pPr>
        <w:pStyle w:val="Zkladntext100"/>
        <w:shd w:val="clear" w:color="auto" w:fill="auto"/>
        <w:spacing w:after="40" w:line="204" w:lineRule="auto"/>
        <w:ind w:firstLine="220"/>
        <w:rPr>
          <w:sz w:val="19"/>
          <w:szCs w:val="19"/>
        </w:rPr>
      </w:pPr>
      <w:r>
        <w:rPr>
          <w:sz w:val="19"/>
          <w:szCs w:val="19"/>
        </w:rPr>
        <w:t>Pan Cayla, který se nedávno vrátil z dovolené z Evropy, mohl jet železnicí do přístavu Tamatave na východním pobřeží ostrova, tam nasednout na loď a přistat za týden ve Fort Dauphin</w:t>
      </w:r>
      <w:r>
        <w:rPr>
          <w:sz w:val="19"/>
          <w:szCs w:val="19"/>
        </w:rPr>
        <w:t xml:space="preserve">u. Odtud mohl pak odjet do ohroženého kraje, kdyby ovšem byly cesty </w:t>
      </w:r>
      <w:r>
        <w:rPr>
          <w:sz w:val="22"/>
          <w:szCs w:val="22"/>
        </w:rPr>
        <w:t xml:space="preserve">V </w:t>
      </w:r>
      <w:r>
        <w:rPr>
          <w:sz w:val="19"/>
          <w:szCs w:val="19"/>
        </w:rPr>
        <w:t>pořádku. To by byl udělal asi každý guvernér.</w:t>
      </w:r>
    </w:p>
    <w:p w:rsidR="00500724" w:rsidRDefault="00F30FB8">
      <w:pPr>
        <w:pStyle w:val="Zkladntext100"/>
        <w:shd w:val="clear" w:color="auto" w:fill="auto"/>
        <w:spacing w:after="40" w:line="211" w:lineRule="auto"/>
        <w:ind w:firstLine="220"/>
        <w:rPr>
          <w:sz w:val="19"/>
          <w:szCs w:val="19"/>
        </w:rPr>
      </w:pPr>
      <w:r>
        <w:rPr>
          <w:sz w:val="19"/>
          <w:szCs w:val="19"/>
        </w:rPr>
        <w:t>Ale pan Cayla udělal něco jiného. Dovolené využil k tomu, aby získal letecký diplom, a hned po návratu z dovolené nařídil, že u každé prefek</w:t>
      </w:r>
      <w:r>
        <w:rPr>
          <w:sz w:val="19"/>
          <w:szCs w:val="19"/>
        </w:rPr>
        <w:t>tury musí být zřízeno letiště. Příkaz byl vykonán, a proto mohl pan Cayla nasednout do svého letadla a odletěti rovnou do</w:t>
      </w:r>
    </w:p>
    <w:p w:rsidR="00500724" w:rsidRDefault="00F30FB8">
      <w:pPr>
        <w:pStyle w:val="Zkladntext100"/>
        <w:shd w:val="clear" w:color="auto" w:fill="auto"/>
        <w:spacing w:line="211" w:lineRule="auto"/>
        <w:ind w:firstLine="0"/>
        <w:rPr>
          <w:sz w:val="19"/>
          <w:szCs w:val="19"/>
        </w:rPr>
      </w:pPr>
      <w:r>
        <w:rPr>
          <w:sz w:val="19"/>
          <w:szCs w:val="19"/>
        </w:rPr>
        <w:t>Ambovombé, které bylo střediskem ohroženého kraje. Toto letiště je vzdáleno od tvrze Fort Dauphin pouhé čtyři kilometry, a guvernér př</w:t>
      </w:r>
      <w:r>
        <w:rPr>
          <w:sz w:val="19"/>
          <w:szCs w:val="19"/>
        </w:rPr>
        <w:t>ijel od letiště autem. Hned v zápětí promluvil k domorodým náčelníkům. V řeči, kterou tlumočil jeden z domorodců, slíbil guvernér vlád</w:t>
      </w:r>
      <w:r>
        <w:rPr>
          <w:sz w:val="19"/>
          <w:szCs w:val="19"/>
        </w:rPr>
        <w:softHyphen/>
        <w:t>ní pomoc a především potraviny. Nasedaje pak do auta, setřel si s čela pot a prohodil žertem:</w:t>
      </w:r>
    </w:p>
    <w:p w:rsidR="00500724" w:rsidRDefault="00F30FB8">
      <w:pPr>
        <w:pStyle w:val="Zkladntext100"/>
        <w:shd w:val="clear" w:color="auto" w:fill="auto"/>
        <w:spacing w:line="211" w:lineRule="auto"/>
        <w:ind w:firstLine="220"/>
        <w:rPr>
          <w:sz w:val="19"/>
          <w:szCs w:val="19"/>
        </w:rPr>
      </w:pPr>
      <w:r>
        <w:rPr>
          <w:sz w:val="19"/>
          <w:szCs w:val="19"/>
        </w:rPr>
        <w:t xml:space="preserve">»A teď se vydáme na cestu. </w:t>
      </w:r>
      <w:r>
        <w:rPr>
          <w:sz w:val="19"/>
          <w:szCs w:val="19"/>
        </w:rPr>
        <w:t>Potkáme-li cestou několik obláčků, pokusíme se je chytit a seslat je na zemi.&lt;</w:t>
      </w:r>
    </w:p>
    <w:p w:rsidR="00500724" w:rsidRDefault="00F30FB8">
      <w:pPr>
        <w:pStyle w:val="Zkladntext100"/>
        <w:shd w:val="clear" w:color="auto" w:fill="auto"/>
        <w:spacing w:after="80" w:line="211" w:lineRule="auto"/>
        <w:ind w:firstLine="220"/>
        <w:rPr>
          <w:sz w:val="19"/>
          <w:szCs w:val="19"/>
        </w:rPr>
      </w:pPr>
      <w:r>
        <w:rPr>
          <w:sz w:val="19"/>
          <w:szCs w:val="19"/>
        </w:rPr>
        <w:t>Pan Cayla už držel ruku na volantu, ale musel se přece na chvíli zdržet. Jeho tlumočník přeložil totiž domoro</w:t>
      </w:r>
      <w:r>
        <w:rPr>
          <w:sz w:val="19"/>
          <w:szCs w:val="19"/>
        </w:rPr>
        <w:softHyphen/>
        <w:t xml:space="preserve">dým náčelníkům i poslední guvernérův žert. To mělo za následek, že </w:t>
      </w:r>
      <w:r>
        <w:rPr>
          <w:sz w:val="19"/>
          <w:szCs w:val="19"/>
        </w:rPr>
        <w:t>domorodci začali skákat radostí a dopro</w:t>
      </w:r>
      <w:r>
        <w:rPr>
          <w:sz w:val="19"/>
          <w:szCs w:val="19"/>
        </w:rPr>
        <w:softHyphen/>
        <w:t>vázeli guvernéra až na letiště. V noci snesla se pak nad krajem hrozná bouře, která znemožnila odlet. Z Ambovombé došel telegram, z něhož se guvernér do</w:t>
      </w:r>
      <w:r>
        <w:rPr>
          <w:sz w:val="19"/>
          <w:szCs w:val="19"/>
        </w:rPr>
        <w:softHyphen/>
        <w:t xml:space="preserve">věděl, že se nad celým územím snesla průtrž mračen. Od té doby </w:t>
      </w:r>
      <w:r>
        <w:rPr>
          <w:sz w:val="19"/>
          <w:szCs w:val="19"/>
        </w:rPr>
        <w:t>požívá generální guvernér Cayla u všech kmenů veliké úcty, jako &gt;kouzelník, který dělá déšť4. Je pochopitelné, že vládní úřady dovedou z této úcty náležitě těžit.</w:t>
      </w:r>
    </w:p>
    <w:p w:rsidR="00500724" w:rsidRDefault="00F30FB8">
      <w:pPr>
        <w:pStyle w:val="Zkladntext40"/>
        <w:shd w:val="clear" w:color="auto" w:fill="auto"/>
        <w:tabs>
          <w:tab w:val="left" w:pos="4900"/>
        </w:tabs>
        <w:spacing w:line="240" w:lineRule="auto"/>
        <w:ind w:left="1180"/>
        <w:rPr>
          <w:sz w:val="14"/>
          <w:szCs w:val="14"/>
        </w:rPr>
      </w:pPr>
      <w:r>
        <w:rPr>
          <w:b/>
          <w:bCs/>
          <w:sz w:val="14"/>
          <w:szCs w:val="14"/>
        </w:rPr>
        <w:t>MěsíčníostrovArabů</w:t>
      </w:r>
      <w:r>
        <w:rPr>
          <w:b/>
          <w:bCs/>
          <w:sz w:val="14"/>
          <w:szCs w:val="14"/>
        </w:rPr>
        <w:tab/>
        <w:t>•</w:t>
      </w:r>
    </w:p>
    <w:p w:rsidR="00500724" w:rsidRDefault="00F30FB8">
      <w:pPr>
        <w:pStyle w:val="Zkladntext100"/>
        <w:shd w:val="clear" w:color="auto" w:fill="auto"/>
        <w:spacing w:line="211" w:lineRule="auto"/>
        <w:ind w:firstLine="220"/>
        <w:rPr>
          <w:sz w:val="19"/>
          <w:szCs w:val="19"/>
        </w:rPr>
      </w:pPr>
      <w:r>
        <w:rPr>
          <w:sz w:val="19"/>
          <w:szCs w:val="19"/>
        </w:rPr>
        <w:t>Proč vypravuji tuto příhodu? Protože se dnes o Ma</w:t>
      </w:r>
      <w:r>
        <w:rPr>
          <w:sz w:val="19"/>
          <w:szCs w:val="19"/>
        </w:rPr>
        <w:softHyphen/>
        <w:t xml:space="preserve">dagaskar zajímají dvě </w:t>
      </w:r>
      <w:r>
        <w:rPr>
          <w:sz w:val="19"/>
          <w:szCs w:val="19"/>
        </w:rPr>
        <w:t>evropské vlády, ačkoli je tento ostrov tak daleko od všech sporů v Evropě a ve vý</w:t>
      </w:r>
      <w:r>
        <w:rPr>
          <w:sz w:val="19"/>
          <w:szCs w:val="19"/>
        </w:rPr>
        <w:softHyphen/>
        <w:t xml:space="preserve">chodní Asii. Již před dvěma lety žádal polský ministr zahraničních věcí pro svou zemi kolonie. Nemluvil </w:t>
      </w:r>
      <w:r>
        <w:rPr>
          <w:sz w:val="22"/>
          <w:szCs w:val="22"/>
        </w:rPr>
        <w:t>pří</w:t>
      </w:r>
      <w:r>
        <w:rPr>
          <w:sz w:val="22"/>
          <w:szCs w:val="22"/>
        </w:rPr>
        <w:softHyphen/>
      </w:r>
      <w:r>
        <w:rPr>
          <w:sz w:val="19"/>
          <w:szCs w:val="19"/>
        </w:rPr>
        <w:t>mo o území, které by podléhalo polské svrchovanost, ale žádal, aby</w:t>
      </w:r>
      <w:r>
        <w:rPr>
          <w:sz w:val="19"/>
          <w:szCs w:val="19"/>
        </w:rPr>
        <w:t xml:space="preserve"> bylo Polsku umožněno umístiti přebytek obyvatelstva mimo hranice země. Měl ovšem na mysli především židy. Francouzská vláda byla tehdy </w:t>
      </w:r>
      <w:r>
        <w:rPr>
          <w:sz w:val="20"/>
          <w:szCs w:val="20"/>
        </w:rPr>
        <w:t xml:space="preserve">ochotna </w:t>
      </w:r>
      <w:r>
        <w:rPr>
          <w:sz w:val="19"/>
          <w:szCs w:val="19"/>
        </w:rPr>
        <w:t xml:space="preserve">povolit polským židům, kteří se nemohli vystěhovat do Palestiny, pobyt na Madagaskaru. Polská vláda </w:t>
      </w:r>
      <w:r>
        <w:rPr>
          <w:sz w:val="20"/>
          <w:szCs w:val="20"/>
        </w:rPr>
        <w:t xml:space="preserve">dala </w:t>
      </w:r>
      <w:r>
        <w:rPr>
          <w:sz w:val="19"/>
          <w:szCs w:val="19"/>
        </w:rPr>
        <w:t>tento n</w:t>
      </w:r>
      <w:r>
        <w:rPr>
          <w:sz w:val="19"/>
          <w:szCs w:val="19"/>
        </w:rPr>
        <w:t>ávrh přezkoumati komisí, která podala zprávu poměrně rychle, ale o výsledcích se přes to mlčí.</w:t>
      </w:r>
    </w:p>
    <w:p w:rsidR="00500724" w:rsidRDefault="00F30FB8">
      <w:pPr>
        <w:pStyle w:val="Zkladntext100"/>
        <w:shd w:val="clear" w:color="auto" w:fill="auto"/>
        <w:spacing w:line="211" w:lineRule="auto"/>
        <w:ind w:firstLine="220"/>
        <w:rPr>
          <w:sz w:val="19"/>
          <w:szCs w:val="19"/>
        </w:rPr>
      </w:pPr>
      <w:r>
        <w:rPr>
          <w:sz w:val="19"/>
          <w:szCs w:val="19"/>
        </w:rPr>
        <w:t xml:space="preserve">Dá se lidem, kteří jsou zvyklí na evropské poměry, doporučí ti, aby se vystěhovali na Madagaskar? Francie tam své nezaměstnané neposílá, ačkoli má zájem na tom, </w:t>
      </w:r>
      <w:r>
        <w:rPr>
          <w:sz w:val="19"/>
          <w:szCs w:val="19"/>
        </w:rPr>
        <w:t>aby ostrov byl hustěji osídlen. Madagaskar je íicé čtvrtým největším ostrovem na světě, ale polští židé, kteří by se sem chtěli vystěhovat, museli by si vybudo</w:t>
      </w:r>
      <w:r>
        <w:rPr>
          <w:sz w:val="19"/>
          <w:szCs w:val="19"/>
        </w:rPr>
        <w:softHyphen/>
        <w:t>vat domov z ničeho.</w:t>
      </w:r>
    </w:p>
    <w:p w:rsidR="00500724" w:rsidRDefault="00F30FB8">
      <w:pPr>
        <w:pStyle w:val="Zkladntext100"/>
        <w:shd w:val="clear" w:color="auto" w:fill="auto"/>
        <w:spacing w:line="211" w:lineRule="auto"/>
        <w:ind w:firstLine="220"/>
        <w:rPr>
          <w:sz w:val="19"/>
          <w:szCs w:val="19"/>
        </w:rPr>
      </w:pPr>
      <w:r>
        <w:rPr>
          <w:sz w:val="19"/>
          <w:szCs w:val="19"/>
        </w:rPr>
        <w:t>Jaké jsou poměry na Madagaskaru? Ostrov, vzdálený od východního pobřeží Afri</w:t>
      </w:r>
      <w:r>
        <w:rPr>
          <w:sz w:val="19"/>
          <w:szCs w:val="19"/>
        </w:rPr>
        <w:t>ky asi 400 km, má přibližně stejnou zvířenu a květenu, jako přední Indie. Kmen Hova, který přišel na Madagaskar asi v době Kristova narození, tvoří s jinými malajskými kmeny domorodé obyvatelstvo ostrova. Celkem tam žije 900.000 duší z kmene Hova a celkový</w:t>
      </w:r>
      <w:r>
        <w:rPr>
          <w:sz w:val="19"/>
          <w:szCs w:val="19"/>
        </w:rPr>
        <w:t xml:space="preserve"> počet obyvatelstva dosahuje 3.7 milionů osob.</w:t>
      </w:r>
    </w:p>
    <w:p w:rsidR="00500724" w:rsidRDefault="00F30FB8">
      <w:pPr>
        <w:pStyle w:val="Zkladntext100"/>
        <w:shd w:val="clear" w:color="auto" w:fill="auto"/>
        <w:spacing w:line="211" w:lineRule="auto"/>
        <w:ind w:firstLine="220"/>
        <w:rPr>
          <w:sz w:val="19"/>
          <w:szCs w:val="19"/>
        </w:rPr>
      </w:pPr>
      <w:r>
        <w:rPr>
          <w:sz w:val="19"/>
          <w:szCs w:val="19"/>
        </w:rPr>
        <w:t>Arabové nazývali tento kraj měsíčním ostrovem. Z Evropanů jej objevili Portugalci v roce 1506. Za 100 let pokoušeli se už také Holanďané a Francouzi o kolo</w:t>
      </w:r>
      <w:r>
        <w:rPr>
          <w:sz w:val="19"/>
          <w:szCs w:val="19"/>
        </w:rPr>
        <w:softHyphen/>
        <w:t>nisaci. Konečně se Francouzům koncem minulého století</w:t>
      </w:r>
      <w:r>
        <w:rPr>
          <w:sz w:val="19"/>
          <w:szCs w:val="19"/>
        </w:rPr>
        <w:t xml:space="preserve"> podařilo Madagaskar ovládnouti. Poslední královna ostrova — Ranavalona III. — byla v roce 1897 sesazena a poslána do vyhnanství. Za světové války pacifikoval ostrov generál Gallieni a stal se tam také prvním guver</w:t>
      </w:r>
      <w:r>
        <w:rPr>
          <w:sz w:val="19"/>
          <w:szCs w:val="19"/>
        </w:rPr>
        <w:softHyphen/>
        <w:t>nérem francouzským.</w:t>
      </w:r>
    </w:p>
    <w:p w:rsidR="00500724" w:rsidRDefault="00F30FB8">
      <w:pPr>
        <w:pStyle w:val="Zkladntext100"/>
        <w:shd w:val="clear" w:color="auto" w:fill="auto"/>
        <w:spacing w:after="200" w:line="211" w:lineRule="auto"/>
        <w:ind w:firstLine="220"/>
        <w:rPr>
          <w:sz w:val="19"/>
          <w:szCs w:val="19"/>
        </w:rPr>
      </w:pPr>
      <w:r>
        <w:rPr>
          <w:sz w:val="19"/>
          <w:szCs w:val="19"/>
        </w:rPr>
        <w:t>Od té doby stal se os</w:t>
      </w:r>
      <w:r>
        <w:rPr>
          <w:sz w:val="19"/>
          <w:szCs w:val="19"/>
        </w:rPr>
        <w:t>trov, který má 627.000 km</w:t>
      </w:r>
      <w:r>
        <w:rPr>
          <w:sz w:val="19"/>
          <w:szCs w:val="19"/>
          <w:vertAlign w:val="superscript"/>
        </w:rPr>
        <w:t>a</w:t>
      </w:r>
      <w:r>
        <w:rPr>
          <w:sz w:val="19"/>
          <w:szCs w:val="19"/>
        </w:rPr>
        <w:t>, důle</w:t>
      </w:r>
      <w:r>
        <w:rPr>
          <w:sz w:val="19"/>
          <w:szCs w:val="19"/>
        </w:rPr>
        <w:softHyphen/>
        <w:t>žitou dovozní a vývozní zemí. Teplý mořský proud, který Madagaskar oblévá, podmiňuje tropické klima, ovšem se všemi nevýhodami tropického podnebí. Malaríi a bažinovou horečku zná tady každý; z 20.000 Francou</w:t>
      </w:r>
      <w:r>
        <w:rPr>
          <w:sz w:val="19"/>
          <w:szCs w:val="19"/>
        </w:rPr>
        <w:softHyphen/>
        <w:t>zů, kteří v zem</w:t>
      </w:r>
      <w:r>
        <w:rPr>
          <w:sz w:val="19"/>
          <w:szCs w:val="19"/>
        </w:rPr>
        <w:t>i bydlí, není jednoho, který by netoužil po návratu do Evropy. Při tom bydlí tito Francouzi ve vnitrozemí, které má mnohem vyšší polohu a přízni</w:t>
      </w:r>
      <w:r>
        <w:rPr>
          <w:sz w:val="19"/>
          <w:szCs w:val="19"/>
        </w:rPr>
        <w:softHyphen/>
        <w:t>vější teplotu. Obchod na horkém a nečistém pobřeží přenechávají Francouzi milerádi 10.000 Indů, kteří se stěhuj</w:t>
      </w:r>
      <w:r>
        <w:rPr>
          <w:sz w:val="19"/>
          <w:szCs w:val="19"/>
        </w:rPr>
        <w:t>í do země stále houfněji. Mimo to ovšem míšen</w:t>
      </w:r>
      <w:r>
        <w:rPr>
          <w:sz w:val="19"/>
          <w:szCs w:val="19"/>
        </w:rPr>
        <w:softHyphen/>
        <w:t>cům. Je otázka, zda by polští židé vydrželi soutěž 8 Indy, ovládajícími drobný obchod východní Afriky.</w:t>
      </w:r>
    </w:p>
    <w:p w:rsidR="00500724" w:rsidRDefault="00F30FB8">
      <w:pPr>
        <w:pStyle w:val="Zkladntext80"/>
        <w:shd w:val="clear" w:color="auto" w:fill="auto"/>
        <w:spacing w:after="40" w:line="199" w:lineRule="auto"/>
        <w:jc w:val="right"/>
        <w:rPr>
          <w:sz w:val="20"/>
          <w:szCs w:val="20"/>
        </w:rPr>
      </w:pPr>
      <w:r>
        <w:rPr>
          <w:i/>
          <w:iCs/>
          <w:sz w:val="20"/>
          <w:szCs w:val="20"/>
        </w:rPr>
        <w:t>i6Q</w:t>
      </w:r>
    </w:p>
    <w:p w:rsidR="00500724" w:rsidRDefault="00F30FB8">
      <w:pPr>
        <w:pStyle w:val="Zkladntext100"/>
        <w:shd w:val="clear" w:color="auto" w:fill="auto"/>
        <w:spacing w:line="218" w:lineRule="auto"/>
        <w:ind w:firstLine="0"/>
        <w:jc w:val="center"/>
        <w:rPr>
          <w:sz w:val="19"/>
          <w:szCs w:val="19"/>
        </w:rPr>
      </w:pPr>
      <w:r>
        <w:rPr>
          <w:sz w:val="19"/>
          <w:szCs w:val="19"/>
        </w:rPr>
        <w:t>Země vanilky</w:t>
      </w:r>
    </w:p>
    <w:p w:rsidR="00500724" w:rsidRDefault="00F30FB8">
      <w:pPr>
        <w:pStyle w:val="Zkladntext100"/>
        <w:shd w:val="clear" w:color="auto" w:fill="auto"/>
        <w:spacing w:line="240" w:lineRule="auto"/>
        <w:ind w:firstLine="220"/>
        <w:rPr>
          <w:sz w:val="19"/>
          <w:szCs w:val="19"/>
        </w:rPr>
      </w:pPr>
      <w:r>
        <w:rPr>
          <w:sz w:val="19"/>
          <w:szCs w:val="19"/>
        </w:rPr>
        <w:t>Proti tomu lze ovšem namítnouti, že židé nejsou vý</w:t>
      </w:r>
      <w:r>
        <w:rPr>
          <w:sz w:val="19"/>
          <w:szCs w:val="19"/>
        </w:rPr>
        <w:softHyphen/>
        <w:t>lučně obchodníky, jak to o nich tvrdí j</w:t>
      </w:r>
      <w:r>
        <w:rPr>
          <w:sz w:val="19"/>
          <w:szCs w:val="19"/>
        </w:rPr>
        <w:t xml:space="preserve">ejich protivníci a že </w:t>
      </w:r>
      <w:r>
        <w:rPr>
          <w:sz w:val="20"/>
          <w:szCs w:val="20"/>
        </w:rPr>
        <w:t xml:space="preserve">v </w:t>
      </w:r>
      <w:r>
        <w:rPr>
          <w:sz w:val="19"/>
          <w:szCs w:val="19"/>
        </w:rPr>
        <w:t>Palestině prokázali naopak veliké zemědělské schopnosti. Zúrodnili tisíce hektarů půdy, uměle je za</w:t>
      </w:r>
      <w:r>
        <w:rPr>
          <w:sz w:val="19"/>
          <w:szCs w:val="19"/>
        </w:rPr>
        <w:softHyphen/>
        <w:t>vodnili a proměnili úhor v plodnou zemi. Nezaložili snad ve Svaté zemi pomerančové a grapefruitové plantáže, je jichž výnos přispívá</w:t>
      </w:r>
      <w:r>
        <w:rPr>
          <w:sz w:val="19"/>
          <w:szCs w:val="19"/>
        </w:rPr>
        <w:t xml:space="preserve"> k zásobování Evropy ovocem? Ne</w:t>
      </w:r>
      <w:r>
        <w:rPr>
          <w:sz w:val="19"/>
          <w:szCs w:val="19"/>
        </w:rPr>
        <w:softHyphen/>
        <w:t>mohli by totéž udělat na Madagaskaru?</w:t>
      </w:r>
    </w:p>
    <w:p w:rsidR="00500724" w:rsidRDefault="00F30FB8">
      <w:pPr>
        <w:pStyle w:val="Zkladntext100"/>
        <w:shd w:val="clear" w:color="auto" w:fill="auto"/>
        <w:spacing w:line="214" w:lineRule="auto"/>
        <w:ind w:firstLine="220"/>
        <w:rPr>
          <w:sz w:val="19"/>
          <w:szCs w:val="19"/>
        </w:rPr>
      </w:pPr>
      <w:r>
        <w:rPr>
          <w:sz w:val="19"/>
          <w:szCs w:val="19"/>
        </w:rPr>
        <w:t xml:space="preserve">Uvažme však dvě okolnosti. Palestinské zemědělství </w:t>
      </w:r>
      <w:r>
        <w:rPr>
          <w:sz w:val="22"/>
          <w:szCs w:val="22"/>
        </w:rPr>
        <w:t xml:space="preserve">a </w:t>
      </w:r>
      <w:r>
        <w:rPr>
          <w:sz w:val="19"/>
          <w:szCs w:val="19"/>
        </w:rPr>
        <w:t>ovocnářství nebylo vybudováno pouze z peněz přistě</w:t>
      </w:r>
      <w:r>
        <w:rPr>
          <w:sz w:val="19"/>
          <w:szCs w:val="19"/>
        </w:rPr>
        <w:softHyphen/>
        <w:t>hovalců. Sionisté na celém světě opatřili ohromné obno</w:t>
      </w:r>
      <w:r>
        <w:rPr>
          <w:sz w:val="19"/>
          <w:szCs w:val="19"/>
        </w:rPr>
        <w:softHyphen/>
        <w:t>sy, Jichž se použilo pro ho</w:t>
      </w:r>
      <w:r>
        <w:rPr>
          <w:sz w:val="19"/>
          <w:szCs w:val="19"/>
        </w:rPr>
        <w:t>spodářskou výstavbu Pales</w:t>
      </w:r>
      <w:r>
        <w:rPr>
          <w:sz w:val="19"/>
          <w:szCs w:val="19"/>
        </w:rPr>
        <w:softHyphen/>
        <w:t>tiny. Je pochybné, budou-li mít židé v Madagaskaru tu</w:t>
      </w:r>
      <w:r>
        <w:rPr>
          <w:sz w:val="19"/>
          <w:szCs w:val="19"/>
        </w:rPr>
        <w:softHyphen/>
        <w:t xml:space="preserve">též optimistickou víru, jakou měli ve svoji Svatou zemi — a budou-li ochotni k podobným finančním obětem? Židé, kteří odjedou na Madagaskar, mohou tak učiniti jenom na vlastní </w:t>
      </w:r>
      <w:r>
        <w:rPr>
          <w:sz w:val="19"/>
          <w:szCs w:val="19"/>
        </w:rPr>
        <w:t>pěst. Sotva mohou očekávati pomoc od sioni- stických organisaci. Ale židé sami peníze nemají. Ti, kdo mají, nesmějí je vyvézti. Svět se chce zbaviti židů, nikoli však jejich peněz.</w:t>
      </w:r>
    </w:p>
    <w:p w:rsidR="00500724" w:rsidRDefault="00F30FB8">
      <w:pPr>
        <w:pStyle w:val="Zkladntext100"/>
        <w:shd w:val="clear" w:color="auto" w:fill="auto"/>
        <w:spacing w:line="218" w:lineRule="auto"/>
        <w:ind w:firstLine="220"/>
        <w:rPr>
          <w:sz w:val="19"/>
          <w:szCs w:val="19"/>
        </w:rPr>
      </w:pPr>
      <w:r>
        <w:rPr>
          <w:sz w:val="19"/>
          <w:szCs w:val="19"/>
        </w:rPr>
        <w:t xml:space="preserve">Za druhé: Zemědělství ve francouzských koloniích je něco zcela jiného, než </w:t>
      </w:r>
      <w:r>
        <w:rPr>
          <w:sz w:val="19"/>
          <w:szCs w:val="19"/>
        </w:rPr>
        <w:t>zemědělství v Evropě nebo v Pa</w:t>
      </w:r>
      <w:r>
        <w:rPr>
          <w:sz w:val="19"/>
          <w:szCs w:val="19"/>
        </w:rPr>
        <w:softHyphen/>
        <w:t>lestině. Madagaskar není obilnářský kraj. Na vypráhlém východním pobřeží a ve vnitrozemí pěstuje se horský hrách, rýže, maniok a kukuřice. To pěstují domorodci na 1.3 milionu ha — Evropané obdělávají pouze 100.000 ha půdy, pě</w:t>
      </w:r>
      <w:r>
        <w:rPr>
          <w:sz w:val="19"/>
          <w:szCs w:val="19"/>
        </w:rPr>
        <w:t>stujíce vanilku, kávu, cukrovku, třtinu, ta</w:t>
      </w:r>
      <w:r>
        <w:rPr>
          <w:sz w:val="19"/>
          <w:szCs w:val="19"/>
        </w:rPr>
        <w:softHyphen/>
        <w:t>bák, koření a olejnaté plodiny. Madagaskar kryje sám 80 proč. světové spotřeby vanilky. Přeškolí se židé a při</w:t>
      </w:r>
      <w:r>
        <w:rPr>
          <w:sz w:val="19"/>
          <w:szCs w:val="19"/>
        </w:rPr>
        <w:softHyphen/>
        <w:t>způsobí se ostatním Evropanům na Madagaskaru? A kdo zaplatí výlohy tohoto přeškolení, jež se dá uskut</w:t>
      </w:r>
      <w:r>
        <w:rPr>
          <w:sz w:val="19"/>
          <w:szCs w:val="19"/>
        </w:rPr>
        <w:t>ečnit jenom přímo na místě?</w:t>
      </w:r>
    </w:p>
    <w:p w:rsidR="00500724" w:rsidRDefault="00F30FB8">
      <w:pPr>
        <w:pStyle w:val="Zkladntext100"/>
        <w:shd w:val="clear" w:color="auto" w:fill="auto"/>
        <w:spacing w:line="218" w:lineRule="auto"/>
        <w:ind w:firstLine="220"/>
        <w:rPr>
          <w:sz w:val="19"/>
          <w:szCs w:val="19"/>
        </w:rPr>
      </w:pPr>
      <w:r>
        <w:rPr>
          <w:sz w:val="19"/>
          <w:szCs w:val="19"/>
        </w:rPr>
        <w:t>Usadí se židé na západním pobřeží v sousedství polo- divokých kmenů a budou pěstovati bource morušové jako to dělají domorodci? Budou snad sbírá ti divoký med a vlákna raphiových palem nebo chovati cibetky, jejichž žlázy vyměšuj</w:t>
      </w:r>
      <w:r>
        <w:rPr>
          <w:sz w:val="19"/>
          <w:szCs w:val="19"/>
        </w:rPr>
        <w:t>í zvláštní látku, používanou při výrobě parfumů? A postaví se na Madagaskaru dost ne</w:t>
      </w:r>
      <w:r>
        <w:rPr>
          <w:sz w:val="19"/>
          <w:szCs w:val="19"/>
        </w:rPr>
        <w:softHyphen/>
        <w:t>mocnic pro přistěhovalce? Mohou se tam židé vůbec aklimatisovat? Kdo může zodpovědět tyto nerozřešené otázky?</w:t>
      </w:r>
    </w:p>
    <w:p w:rsidR="00500724" w:rsidRDefault="00F30FB8">
      <w:pPr>
        <w:pStyle w:val="Zkladntext100"/>
        <w:shd w:val="clear" w:color="auto" w:fill="auto"/>
        <w:spacing w:line="228" w:lineRule="auto"/>
        <w:ind w:firstLine="220"/>
        <w:rPr>
          <w:sz w:val="19"/>
          <w:szCs w:val="19"/>
        </w:rPr>
      </w:pPr>
      <w:r>
        <w:rPr>
          <w:sz w:val="19"/>
          <w:szCs w:val="19"/>
        </w:rPr>
        <w:t>Nezapomínejme také, že v zemědělských a dobytkář</w:t>
      </w:r>
      <w:r>
        <w:rPr>
          <w:sz w:val="19"/>
          <w:szCs w:val="19"/>
        </w:rPr>
        <w:softHyphen/>
        <w:t>ských krajíc</w:t>
      </w:r>
      <w:r>
        <w:rPr>
          <w:sz w:val="19"/>
          <w:szCs w:val="19"/>
        </w:rPr>
        <w:t>h má tento ostrov jenom 1200 km automo</w:t>
      </w:r>
      <w:r>
        <w:rPr>
          <w:sz w:val="19"/>
          <w:szCs w:val="19"/>
        </w:rPr>
        <w:softHyphen/>
        <w:t>bilových silnic a sotva 700 kin železnic. Na pobřeží je sice dost lidí, ale vnitrození není ještě prozkoumáno. Velkou úlohu hraje chov dobytka. Na ostrově jsou pouze 3000 koní, ale za to přes 7 milionů kusů dobytka. K</w:t>
      </w:r>
      <w:r>
        <w:rPr>
          <w:sz w:val="19"/>
          <w:szCs w:val="19"/>
        </w:rPr>
        <w:t>romě toho ještě přes 100.000 velbloudů, což je bezpečnou známkou, že mnohé kraje jsou naprosto vyprahlé. sUodi pouštěc obstarávají dopravu především v takových su</w:t>
      </w:r>
      <w:r>
        <w:rPr>
          <w:sz w:val="19"/>
          <w:szCs w:val="19"/>
        </w:rPr>
        <w:softHyphen/>
        <w:t>chých končinách.</w:t>
      </w:r>
    </w:p>
    <w:p w:rsidR="00500724" w:rsidRDefault="00F30FB8">
      <w:pPr>
        <w:pStyle w:val="Zkladntext100"/>
        <w:shd w:val="clear" w:color="auto" w:fill="auto"/>
        <w:spacing w:line="221" w:lineRule="auto"/>
        <w:ind w:firstLine="220"/>
        <w:rPr>
          <w:sz w:val="19"/>
          <w:szCs w:val="19"/>
        </w:rPr>
      </w:pPr>
      <w:r>
        <w:rPr>
          <w:sz w:val="19"/>
          <w:szCs w:val="19"/>
        </w:rPr>
        <w:t>Ale naskýtají se ještě jiné otázky: Kdo ručí přede</w:t>
      </w:r>
      <w:r>
        <w:rPr>
          <w:sz w:val="19"/>
          <w:szCs w:val="19"/>
        </w:rPr>
        <w:softHyphen/>
        <w:t>vším za to, že si domorod</w:t>
      </w:r>
      <w:r>
        <w:rPr>
          <w:sz w:val="19"/>
          <w:szCs w:val="19"/>
        </w:rPr>
        <w:t>ci dají hromadnější přistěhova</w:t>
      </w:r>
      <w:r>
        <w:rPr>
          <w:sz w:val="19"/>
          <w:szCs w:val="19"/>
        </w:rPr>
        <w:softHyphen/>
        <w:t>lectví líbit? Francie měla hodně starostí, než potlačila povstání, která se tak často opakovala. Trvalo dlouhá léta, než se z domorodců slab pokojní rolníci. Již v roce 1913 začínaly se na Madagaskaru tvořiti sekce pan- afric</w:t>
      </w:r>
      <w:r>
        <w:rPr>
          <w:sz w:val="19"/>
          <w:szCs w:val="19"/>
        </w:rPr>
        <w:t>kého hnutí. V r. 1915 vypuklo povstání, které bylo potlačeno teprve po světové válce. A ještě v r. 1929 vy</w:t>
      </w:r>
      <w:r>
        <w:rPr>
          <w:sz w:val="19"/>
          <w:szCs w:val="19"/>
        </w:rPr>
        <w:softHyphen/>
        <w:t>pukla vzpoura, při které došlo dokonce k útoku na guvernérský palác.</w:t>
      </w:r>
    </w:p>
    <w:p w:rsidR="00500724" w:rsidRDefault="00F30FB8">
      <w:pPr>
        <w:pStyle w:val="Zkladntext100"/>
        <w:shd w:val="clear" w:color="auto" w:fill="auto"/>
        <w:spacing w:line="211" w:lineRule="auto"/>
        <w:ind w:firstLine="220"/>
        <w:rPr>
          <w:sz w:val="19"/>
          <w:szCs w:val="19"/>
        </w:rPr>
      </w:pPr>
      <w:r>
        <w:rPr>
          <w:sz w:val="19"/>
          <w:szCs w:val="19"/>
        </w:rPr>
        <w:t>Nenaučí protifrancouzská propaganda domorodé oby</w:t>
      </w:r>
      <w:r>
        <w:rPr>
          <w:sz w:val="19"/>
          <w:szCs w:val="19"/>
        </w:rPr>
        <w:softHyphen/>
        <w:t>vatelstvo stejným způsobem, jak</w:t>
      </w:r>
      <w:r>
        <w:rPr>
          <w:sz w:val="19"/>
          <w:szCs w:val="19"/>
        </w:rPr>
        <w:t>o Araby, kteří se teď s puškou v ruce domáhají půdy, prodané v minulých letech židům? Hledá-li se teď země pro hromadné při</w:t>
      </w:r>
      <w:r>
        <w:rPr>
          <w:sz w:val="19"/>
          <w:szCs w:val="19"/>
        </w:rPr>
        <w:softHyphen/>
        <w:t>stěhovalectví židů nebo Španělů, nelze obcházeti ani tuto otázku.</w:t>
      </w:r>
    </w:p>
    <w:p w:rsidR="00500724" w:rsidRDefault="00F30FB8">
      <w:pPr>
        <w:pStyle w:val="Zkladntext40"/>
        <w:shd w:val="clear" w:color="auto" w:fill="auto"/>
        <w:spacing w:after="0" w:line="610" w:lineRule="auto"/>
        <w:ind w:firstLine="220"/>
        <w:rPr>
          <w:sz w:val="14"/>
          <w:szCs w:val="14"/>
        </w:rPr>
      </w:pPr>
      <w:r>
        <w:rPr>
          <w:b/>
          <w:bCs/>
          <w:sz w:val="14"/>
          <w:szCs w:val="14"/>
        </w:rPr>
        <w:t>Madagaskar uvádíme jenom jako příklad. Stejné nebo í?O</w:t>
      </w:r>
    </w:p>
    <w:p w:rsidR="00500724" w:rsidRDefault="00F30FB8">
      <w:pPr>
        <w:pStyle w:val="Zkladntext100"/>
        <w:shd w:val="clear" w:color="auto" w:fill="auto"/>
        <w:spacing w:after="40" w:line="240" w:lineRule="auto"/>
        <w:ind w:firstLine="0"/>
        <w:rPr>
          <w:sz w:val="19"/>
          <w:szCs w:val="19"/>
        </w:rPr>
      </w:pPr>
      <w:r>
        <w:rPr>
          <w:sz w:val="19"/>
          <w:szCs w:val="19"/>
        </w:rPr>
        <w:t>podobné pod</w:t>
      </w:r>
      <w:r>
        <w:rPr>
          <w:sz w:val="19"/>
          <w:szCs w:val="19"/>
        </w:rPr>
        <w:t xml:space="preserve">mínky platí také pro ostatní tropické země, af už jde o severní území Austrálie a Filipíny nebo o Nicaraguu, </w:t>
      </w:r>
      <w:r>
        <w:rPr>
          <w:sz w:val="19"/>
          <w:szCs w:val="19"/>
          <w:lang w:val="en-US" w:eastAsia="en-US" w:bidi="en-US"/>
        </w:rPr>
        <w:t xml:space="preserve">San Domingo, </w:t>
      </w:r>
      <w:r>
        <w:rPr>
          <w:sz w:val="19"/>
          <w:szCs w:val="19"/>
        </w:rPr>
        <w:t>Paraguay a některé kraje v Brasilii.</w:t>
      </w:r>
    </w:p>
    <w:p w:rsidR="00500724" w:rsidRDefault="00F30FB8">
      <w:pPr>
        <w:pStyle w:val="Zkladntext100"/>
        <w:shd w:val="clear" w:color="auto" w:fill="auto"/>
        <w:spacing w:after="40" w:line="211" w:lineRule="auto"/>
        <w:ind w:firstLine="0"/>
        <w:jc w:val="center"/>
        <w:rPr>
          <w:sz w:val="19"/>
          <w:szCs w:val="19"/>
        </w:rPr>
      </w:pPr>
      <w:r>
        <w:rPr>
          <w:sz w:val="19"/>
          <w:szCs w:val="19"/>
        </w:rPr>
        <w:t>Kraje, které prahnou po kolonisaci.</w:t>
      </w:r>
    </w:p>
    <w:p w:rsidR="00500724" w:rsidRDefault="00F30FB8">
      <w:pPr>
        <w:pStyle w:val="Zkladntext100"/>
        <w:shd w:val="clear" w:color="auto" w:fill="auto"/>
        <w:spacing w:after="40" w:line="223" w:lineRule="auto"/>
        <w:ind w:firstLine="220"/>
        <w:rPr>
          <w:sz w:val="19"/>
          <w:szCs w:val="19"/>
        </w:rPr>
      </w:pPr>
      <w:r>
        <w:rPr>
          <w:sz w:val="19"/>
          <w:szCs w:val="19"/>
        </w:rPr>
        <w:t>Při tom by si svět vůbec nemusel lámati hlavu, kde má několik</w:t>
      </w:r>
      <w:r>
        <w:rPr>
          <w:sz w:val="19"/>
          <w:szCs w:val="19"/>
        </w:rPr>
        <w:t xml:space="preserve"> milionů lidí umístit. Jsou ještě velké </w:t>
      </w:r>
      <w:r>
        <w:rPr>
          <w:b/>
          <w:bCs/>
          <w:sz w:val="20"/>
          <w:szCs w:val="20"/>
        </w:rPr>
        <w:t xml:space="preserve">a </w:t>
      </w:r>
      <w:r>
        <w:rPr>
          <w:sz w:val="19"/>
          <w:szCs w:val="19"/>
        </w:rPr>
        <w:t>zdravé kraje, které po kolonisaci přímo vojají.</w:t>
      </w:r>
    </w:p>
    <w:p w:rsidR="00500724" w:rsidRDefault="00F30FB8">
      <w:pPr>
        <w:pStyle w:val="Zkladntext100"/>
        <w:shd w:val="clear" w:color="auto" w:fill="auto"/>
        <w:spacing w:after="120" w:line="223" w:lineRule="auto"/>
        <w:ind w:firstLine="220"/>
        <w:rPr>
          <w:sz w:val="19"/>
          <w:szCs w:val="19"/>
        </w:rPr>
      </w:pPr>
      <w:r>
        <w:rPr>
          <w:sz w:val="19"/>
          <w:szCs w:val="19"/>
        </w:rPr>
        <w:t xml:space="preserve">Je to především Sibiř. Nemáme na mysli západní Sibiř která hraničí s Uralem, ani území při Tichém oceánu, jenž se řadí k Dálnému východu. Mluvíme o střední Sibiři, </w:t>
      </w:r>
      <w:r>
        <w:rPr>
          <w:sz w:val="19"/>
          <w:szCs w:val="19"/>
        </w:rPr>
        <w:t>které se říká Sibkraj, tedy o zemi, kde se již v letech první pětiletky investovalo víc, než za celou dobu carismu. Zde se budují průmyslové kombi</w:t>
      </w:r>
      <w:r>
        <w:rPr>
          <w:sz w:val="19"/>
          <w:szCs w:val="19"/>
        </w:rPr>
        <w:softHyphen/>
        <w:t>náty a velká zemědělská hospodářství mimo dosah války. Vývoj už dospěl tak daleko, že počet obyvatel</w:t>
      </w:r>
      <w:r>
        <w:rPr>
          <w:sz w:val="19"/>
          <w:szCs w:val="19"/>
        </w:rPr>
        <w:softHyphen/>
        <w:t>stva v t</w:t>
      </w:r>
      <w:r>
        <w:rPr>
          <w:sz w:val="19"/>
          <w:szCs w:val="19"/>
        </w:rPr>
        <w:t>ěchto krajích stoupá, ale přírůstek nestačí ještě vůbec vyplniti liduprázdné končiny. Je to země, která má úrodnou půdu, železo, uhlí, zlato, vzácné kovy — zkrátka všechno, aby byla soběstačná, jakmile si vybu</w:t>
      </w:r>
      <w:r>
        <w:rPr>
          <w:sz w:val="19"/>
          <w:szCs w:val="19"/>
        </w:rPr>
        <w:softHyphen/>
        <w:t>duje průmysl. Mohla by tam býti druhá Amerika.</w:t>
      </w:r>
      <w:r>
        <w:rPr>
          <w:sz w:val="19"/>
          <w:szCs w:val="19"/>
        </w:rPr>
        <w:t xml:space="preserve"> Proč nepřijímá tedy tato nádherná země lidi, kteří musejí nebo chtějí dosavadní domov opustit?</w:t>
      </w:r>
    </w:p>
    <w:p w:rsidR="00500724" w:rsidRDefault="00F30FB8">
      <w:pPr>
        <w:pStyle w:val="Zkladntext100"/>
        <w:shd w:val="clear" w:color="auto" w:fill="auto"/>
        <w:spacing w:after="40" w:line="211" w:lineRule="auto"/>
        <w:ind w:firstLine="0"/>
        <w:jc w:val="center"/>
        <w:rPr>
          <w:sz w:val="19"/>
          <w:szCs w:val="19"/>
        </w:rPr>
      </w:pPr>
      <w:r>
        <w:rPr>
          <w:sz w:val="19"/>
          <w:szCs w:val="19"/>
        </w:rPr>
        <w:t>Pokus s Birobidžanem.</w:t>
      </w:r>
    </w:p>
    <w:p w:rsidR="00500724" w:rsidRDefault="00F30FB8">
      <w:pPr>
        <w:pStyle w:val="Zkladntext100"/>
        <w:shd w:val="clear" w:color="auto" w:fill="auto"/>
        <w:spacing w:after="40" w:line="211" w:lineRule="auto"/>
        <w:ind w:firstLine="220"/>
        <w:rPr>
          <w:sz w:val="19"/>
          <w:szCs w:val="19"/>
        </w:rPr>
      </w:pPr>
      <w:r>
        <w:rPr>
          <w:sz w:val="19"/>
          <w:szCs w:val="19"/>
        </w:rPr>
        <w:t>Velkou úlohu hrají patrně politické důvody. Sovětské Rusko zajisté se brání přijímati lidi, kteří nejsou komu</w:t>
      </w:r>
      <w:r>
        <w:rPr>
          <w:sz w:val="19"/>
          <w:szCs w:val="19"/>
        </w:rPr>
        <w:softHyphen/>
        <w:t xml:space="preserve">nisty. Proč odmítá však </w:t>
      </w:r>
      <w:r>
        <w:rPr>
          <w:sz w:val="19"/>
          <w:szCs w:val="19"/>
        </w:rPr>
        <w:t>španělské republikány? I to si můžeme vysvětlit. Zkušenost s Takouskými emigranty, kteří se do Sovětského Ruska uchýlili po únorových bojích v r. 1934, ukázala, že ruská životní úroveň ne</w:t>
      </w:r>
      <w:r>
        <w:rPr>
          <w:sz w:val="19"/>
          <w:szCs w:val="19"/>
        </w:rPr>
        <w:softHyphen/>
        <w:t>mohla rakouské dělníky uspokojiti. Emigranti, kteří se ze Sovětského</w:t>
      </w:r>
      <w:r>
        <w:rPr>
          <w:sz w:val="19"/>
          <w:szCs w:val="19"/>
        </w:rPr>
        <w:t xml:space="preserve"> Ruska vrátili, ačkoli je doma čekalo vě</w:t>
      </w:r>
      <w:r>
        <w:rPr>
          <w:sz w:val="19"/>
          <w:szCs w:val="19"/>
        </w:rPr>
        <w:softHyphen/>
        <w:t>zení, ujišťovali, že ve Vídni žili lépe, i když byli ne</w:t>
      </w:r>
      <w:r>
        <w:rPr>
          <w:sz w:val="19"/>
          <w:szCs w:val="19"/>
        </w:rPr>
        <w:softHyphen/>
        <w:t>zaměstnaní. Nevím, platí-li tato námitka také v případě skromnějších Španělů, ale tolik je jisto, že Sovětské Rusko nechce přijmouti lidi, kteří by později byl</w:t>
      </w:r>
      <w:r>
        <w:rPr>
          <w:sz w:val="19"/>
          <w:szCs w:val="19"/>
        </w:rPr>
        <w:t>i ne</w:t>
      </w:r>
      <w:r>
        <w:rPr>
          <w:sz w:val="19"/>
          <w:szCs w:val="19"/>
        </w:rPr>
        <w:softHyphen/>
        <w:t>spokojeni. Proti kolonisaci Evropanů mluví také zkuše</w:t>
      </w:r>
      <w:r>
        <w:rPr>
          <w:sz w:val="19"/>
          <w:szCs w:val="19"/>
        </w:rPr>
        <w:softHyphen/>
        <w:t>nost, kterou SSSR udělal s usídlováním židů. Když po revoluci vzplanul na Krimu tatarský nacionalismus, začala sovětská vláda budovali tam židovské osady —* a pokus se podařil. Jistě proto, že Krim</w:t>
      </w:r>
      <w:r>
        <w:rPr>
          <w:sz w:val="19"/>
          <w:szCs w:val="19"/>
        </w:rPr>
        <w:t xml:space="preserve"> má zdravé pod</w:t>
      </w:r>
      <w:r>
        <w:rPr>
          <w:sz w:val="19"/>
          <w:szCs w:val="19"/>
        </w:rPr>
        <w:softHyphen/>
        <w:t>nebí. Pak se SSSR pokusil dáti židům autonomní území v Birobidžanu, severně od Amuru. Vzniklo tam sice ně</w:t>
      </w:r>
      <w:r>
        <w:rPr>
          <w:sz w:val="19"/>
          <w:szCs w:val="19"/>
        </w:rPr>
        <w:softHyphen/>
        <w:t>kolik židovských osad s několika tisíci obyvatel, ala pak se ukázalo, že na Dálném východě dovedly se za</w:t>
      </w:r>
      <w:r>
        <w:rPr>
          <w:sz w:val="19"/>
          <w:szCs w:val="19"/>
        </w:rPr>
        <w:softHyphen/>
        <w:t xml:space="preserve">řídit nejrůznější národnosti, </w:t>
      </w:r>
      <w:r>
        <w:rPr>
          <w:sz w:val="19"/>
          <w:szCs w:val="19"/>
        </w:rPr>
        <w:t>židé však nikoli. Nevydrželi teplotu, která vystoupí v létě až na 50 stupňů nad nulou a v zimě klesá na 40 st. pod nulou. K hustějšímu osídlení tohoto území nedošlo, ačkoliv si to vláda přála.</w:t>
      </w:r>
    </w:p>
    <w:p w:rsidR="00500724" w:rsidRDefault="00F30FB8">
      <w:pPr>
        <w:pStyle w:val="Zkladntext100"/>
        <w:shd w:val="clear" w:color="auto" w:fill="auto"/>
        <w:spacing w:after="100" w:line="211" w:lineRule="auto"/>
        <w:ind w:firstLine="220"/>
        <w:rPr>
          <w:sz w:val="19"/>
          <w:szCs w:val="19"/>
        </w:rPr>
      </w:pPr>
      <w:r>
        <w:rPr>
          <w:sz w:val="19"/>
          <w:szCs w:val="19"/>
        </w:rPr>
        <w:t>Potíže se vyskytnou také v Sibkraji. Nejmenší pře</w:t>
      </w:r>
      <w:r>
        <w:rPr>
          <w:sz w:val="19"/>
          <w:szCs w:val="19"/>
        </w:rPr>
        <w:softHyphen/>
        <w:t>kážkou usídle</w:t>
      </w:r>
      <w:r>
        <w:rPr>
          <w:sz w:val="19"/>
          <w:szCs w:val="19"/>
        </w:rPr>
        <w:t>ní bude asi zima, trvající 8 měsíců. Mrazy jsou totiž snesitelné, poněvadž je obyčejně bezvětrno. Nejméně se vyskytují choroby dýchacích orgánů. Nej</w:t>
      </w:r>
      <w:r>
        <w:rPr>
          <w:sz w:val="19"/>
          <w:szCs w:val="19"/>
        </w:rPr>
        <w:softHyphen/>
        <w:t>větší překážkou je dosud nedostatek potravin a potíže při jejich rozdělování, nebof doprava je velmi svízel</w:t>
      </w:r>
      <w:r>
        <w:rPr>
          <w:sz w:val="19"/>
          <w:szCs w:val="19"/>
        </w:rPr>
        <w:t>ná. Teprve potom, až budou tyto nedostatky odstraněny, bude moci Sibiř přijmouti větší počet přistěhovalců. K tomu již není daleko, ale problém bude za nějakou dobu docela jiný. Poněvadž je počet obyvatelstva v SSSR každý rok o 3 miliony větší, nebude země</w:t>
      </w:r>
      <w:r>
        <w:rPr>
          <w:sz w:val="19"/>
          <w:szCs w:val="19"/>
        </w:rPr>
        <w:t xml:space="preserve"> od</w:t>
      </w:r>
      <w:r>
        <w:rPr>
          <w:sz w:val="19"/>
          <w:szCs w:val="19"/>
        </w:rPr>
        <w:softHyphen/>
        <w:t>kázána na příliv cizinců, odstraňujíc také nedostatek kvalifikovaných dělnických sil.</w:t>
      </w:r>
    </w:p>
    <w:p w:rsidR="00500724" w:rsidRDefault="00F30FB8">
      <w:pPr>
        <w:pStyle w:val="Zkladntext100"/>
        <w:shd w:val="clear" w:color="auto" w:fill="auto"/>
        <w:spacing w:after="40" w:line="211" w:lineRule="auto"/>
        <w:ind w:firstLine="0"/>
        <w:jc w:val="center"/>
        <w:rPr>
          <w:sz w:val="19"/>
          <w:szCs w:val="19"/>
        </w:rPr>
      </w:pPr>
      <w:r>
        <w:rPr>
          <w:sz w:val="19"/>
          <w:szCs w:val="19"/>
        </w:rPr>
        <w:t>V oblasti Pacifiku.</w:t>
      </w:r>
    </w:p>
    <w:p w:rsidR="00500724" w:rsidRDefault="00F30FB8">
      <w:pPr>
        <w:pStyle w:val="Zkladntext100"/>
        <w:shd w:val="clear" w:color="auto" w:fill="auto"/>
        <w:spacing w:after="40" w:line="211" w:lineRule="auto"/>
        <w:ind w:firstLine="220"/>
        <w:rPr>
          <w:sz w:val="19"/>
          <w:szCs w:val="19"/>
        </w:rPr>
      </w:pPr>
      <w:r>
        <w:rPr>
          <w:sz w:val="19"/>
          <w:szCs w:val="19"/>
        </w:rPr>
        <w:t xml:space="preserve">Jinak je tomu v Austrálii a Novém Zélandu, tedy </w:t>
      </w:r>
      <w:r>
        <w:rPr>
          <w:sz w:val="20"/>
          <w:szCs w:val="20"/>
        </w:rPr>
        <w:t xml:space="preserve">v </w:t>
      </w:r>
      <w:r>
        <w:rPr>
          <w:sz w:val="19"/>
          <w:szCs w:val="19"/>
        </w:rPr>
        <w:t>zemích, které se pro kolonisaci hodí mnohem lépe. Když před několika lety navštívil britský mini</w:t>
      </w:r>
      <w:r>
        <w:rPr>
          <w:sz w:val="19"/>
          <w:szCs w:val="19"/>
        </w:rPr>
        <w:t>sterský předseda jižní ostrov Nového Zélandu, zjistil, že ze 3.2 milionů akrů lze pšenici pěstovati na 410.000 akrech, ale scházejí tam kolonisté. Podobné jsou poměry v Kanadě.</w:t>
      </w:r>
    </w:p>
    <w:p w:rsidR="00500724" w:rsidRDefault="00F30FB8">
      <w:pPr>
        <w:pStyle w:val="Zkladntext100"/>
        <w:shd w:val="clear" w:color="auto" w:fill="auto"/>
        <w:spacing w:line="233" w:lineRule="auto"/>
        <w:ind w:firstLine="0"/>
        <w:rPr>
          <w:sz w:val="19"/>
          <w:szCs w:val="19"/>
        </w:rPr>
      </w:pPr>
      <w:r>
        <w:rPr>
          <w:sz w:val="19"/>
          <w:szCs w:val="19"/>
        </w:rPr>
        <w:t>Tato země, která je větší než Evropa, mohla by uživiti 60 mil. lidí, ale je jic</w:t>
      </w:r>
      <w:r>
        <w:rPr>
          <w:sz w:val="19"/>
          <w:szCs w:val="19"/>
        </w:rPr>
        <w:t>h tam jenom 10 milionů. Austrálie, která je tak velká jako Evropa, má dokonce jenom 6.6 milionů obyvatel. Mohla by jistě uživiti na 100 milionů lidí. Otázkou je pouze, budou-li se moci přistěhovalci usaditi v severní části země,</w:t>
      </w:r>
    </w:p>
    <w:p w:rsidR="00500724" w:rsidRDefault="00F30FB8">
      <w:pPr>
        <w:pStyle w:val="Zkladntext100"/>
        <w:shd w:val="clear" w:color="auto" w:fill="auto"/>
        <w:spacing w:line="240" w:lineRule="auto"/>
        <w:ind w:firstLine="240"/>
        <w:rPr>
          <w:sz w:val="19"/>
          <w:szCs w:val="19"/>
        </w:rPr>
      </w:pPr>
      <w:r>
        <w:rPr>
          <w:sz w:val="19"/>
          <w:szCs w:val="19"/>
        </w:rPr>
        <w:t>Od doby, kdy se Japonsko do</w:t>
      </w:r>
      <w:r>
        <w:rPr>
          <w:sz w:val="19"/>
          <w:szCs w:val="19"/>
        </w:rPr>
        <w:t>máhalo za světové války severní Austrálie — a to za případnou, vojenskou pomoc v Dardanelách — nezbavila se již Austrálie strachu před Japonci. Na výstavbu přístavu Port Darwin, který leží na severním pobřeží, věnuje Austrálie neustále statisíce liber, pro</w:t>
      </w:r>
      <w:r>
        <w:rPr>
          <w:sz w:val="19"/>
          <w:szCs w:val="19"/>
        </w:rPr>
        <w:t>tože tento přístav má býti dokonalou základnou válečného námořnictva. Ze strachu před japonským při</w:t>
      </w:r>
      <w:r>
        <w:rPr>
          <w:sz w:val="19"/>
          <w:szCs w:val="19"/>
        </w:rPr>
        <w:softHyphen/>
        <w:t>stěhovalectvím byl v Austrálii přijat zákon, který při- stěhovaleekým úřadům umožňuje odmítnouti každého nežádoucího přistěhovalce, bez ohledu na to, zda je</w:t>
      </w:r>
      <w:r>
        <w:rPr>
          <w:sz w:val="19"/>
          <w:szCs w:val="19"/>
        </w:rPr>
        <w:t xml:space="preserve"> běloch nebo barevný, ačkoliv na čtverečný km připadá jenom 0.8 obyvatel. V celé severní části bydlí jenom 3000 bělochů, ač by se tam snadno uživily miliony přistěho</w:t>
      </w:r>
      <w:r>
        <w:rPr>
          <w:sz w:val="19"/>
          <w:szCs w:val="19"/>
        </w:rPr>
        <w:softHyphen/>
        <w:t>valců. Ze strachu před Japonci pronajala australská spolková vláda před několika lety angl</w:t>
      </w:r>
      <w:r>
        <w:rPr>
          <w:sz w:val="19"/>
          <w:szCs w:val="19"/>
        </w:rPr>
        <w:t>ickým společ</w:t>
      </w:r>
      <w:r>
        <w:rPr>
          <w:sz w:val="19"/>
          <w:szCs w:val="19"/>
        </w:rPr>
        <w:softHyphen/>
        <w:t>nostem 500.000 čtver. mil. Společnosti měly postupně investovati do země 200 milionů liber a v nejkratší době měly se také postarat o usídlení 10 milionů lidí. Emi</w:t>
      </w:r>
      <w:r>
        <w:rPr>
          <w:sz w:val="19"/>
          <w:szCs w:val="19"/>
        </w:rPr>
        <w:softHyphen/>
        <w:t>granti měli býti dokonce osvobozeni od přistěhovalec- kých poplatků a pozemkové</w:t>
      </w:r>
      <w:r>
        <w:rPr>
          <w:sz w:val="19"/>
          <w:szCs w:val="19"/>
        </w:rPr>
        <w:t xml:space="preserve"> daně.</w:t>
      </w:r>
    </w:p>
    <w:p w:rsidR="00500724" w:rsidRDefault="00F30FB8">
      <w:pPr>
        <w:pStyle w:val="Zkladntext100"/>
        <w:shd w:val="clear" w:color="auto" w:fill="auto"/>
        <w:spacing w:line="206" w:lineRule="auto"/>
        <w:ind w:firstLine="240"/>
        <w:rPr>
          <w:sz w:val="19"/>
          <w:szCs w:val="19"/>
        </w:rPr>
      </w:pPr>
      <w:r>
        <w:rPr>
          <w:sz w:val="19"/>
          <w:szCs w:val="19"/>
        </w:rPr>
        <w:t>Dříve byla Austrálie přesvědčena, že se tropické se</w:t>
      </w:r>
      <w:r>
        <w:rPr>
          <w:sz w:val="19"/>
          <w:szCs w:val="19"/>
        </w:rPr>
        <w:softHyphen/>
        <w:t xml:space="preserve">verní území pro usídlení bílého obyvatelstva nehodí. Po vybudování železnice z Port Darwinu </w:t>
      </w:r>
      <w:r>
        <w:rPr>
          <w:sz w:val="19"/>
          <w:szCs w:val="19"/>
          <w:lang w:val="en-US" w:eastAsia="en-US" w:bidi="en-US"/>
        </w:rPr>
        <w:t xml:space="preserve">do Pine </w:t>
      </w:r>
      <w:r>
        <w:rPr>
          <w:sz w:val="19"/>
          <w:szCs w:val="19"/>
        </w:rPr>
        <w:t>Creeku byli sice čínští kuliové ze země vyhnáni, ale pak se uká</w:t>
      </w:r>
      <w:r>
        <w:rPr>
          <w:sz w:val="19"/>
          <w:szCs w:val="19"/>
        </w:rPr>
        <w:softHyphen/>
        <w:t>zalo, že původní názor byl správn</w:t>
      </w:r>
      <w:r>
        <w:rPr>
          <w:sz w:val="19"/>
          <w:szCs w:val="19"/>
        </w:rPr>
        <w:t xml:space="preserve">ý a že se severní Austrálie opravdu nedá pomocí bělochů koíonisovat. V </w:t>
      </w:r>
      <w:r>
        <w:rPr>
          <w:sz w:val="22"/>
          <w:szCs w:val="22"/>
        </w:rPr>
        <w:t xml:space="preserve">r. </w:t>
      </w:r>
      <w:r>
        <w:rPr>
          <w:sz w:val="19"/>
          <w:szCs w:val="19"/>
        </w:rPr>
        <w:t>1951 vznikla sice osada »Tabacum«, kde přistěhovalci začali pěstovat tabák, ale po živelných pohromách, které je stíhaly, vzdali se v r. 1953 definitivně další námahy.</w:t>
      </w:r>
    </w:p>
    <w:p w:rsidR="00500724" w:rsidRDefault="00F30FB8">
      <w:pPr>
        <w:pStyle w:val="Zkladntext100"/>
        <w:shd w:val="clear" w:color="auto" w:fill="auto"/>
        <w:spacing w:line="211" w:lineRule="auto"/>
        <w:ind w:firstLine="240"/>
        <w:rPr>
          <w:sz w:val="19"/>
          <w:szCs w:val="19"/>
        </w:rPr>
      </w:pPr>
      <w:r>
        <w:rPr>
          <w:sz w:val="19"/>
          <w:szCs w:val="19"/>
        </w:rPr>
        <w:t xml:space="preserve">Ačkoli to zní </w:t>
      </w:r>
      <w:r>
        <w:rPr>
          <w:sz w:val="19"/>
          <w:szCs w:val="19"/>
        </w:rPr>
        <w:t>směšně, je přece pravda: nedaří-li se dosud kolonisace severní Austrálie pomocí lidí, má se to zkusit pomocí ovcí. Australské ministerstvo vnitra při</w:t>
      </w:r>
      <w:r>
        <w:rPr>
          <w:sz w:val="19"/>
          <w:szCs w:val="19"/>
        </w:rPr>
        <w:softHyphen/>
        <w:t>jalo již návrh, že do dvou let má se chov ovcí zvýšit v severním území na 2 miliony kusů (dosud je jich ta</w:t>
      </w:r>
      <w:r>
        <w:rPr>
          <w:sz w:val="19"/>
          <w:szCs w:val="19"/>
        </w:rPr>
        <w:t>m pouze 40.000). Pro dopravu vlny a ostatních produktů tohoto chovu mají být dokonce postaveny dvě želez</w:t>
      </w:r>
      <w:r>
        <w:rPr>
          <w:sz w:val="19"/>
          <w:szCs w:val="19"/>
        </w:rPr>
        <w:softHyphen/>
        <w:t xml:space="preserve">nice. Chov ovcí žádá jenom málo lidí — a ti se najdou. Když bude ovcí dost, vznikne také průmysl: továrny na sukno atd. A pak tam půjdou lidé za prací </w:t>
      </w:r>
      <w:r>
        <w:rPr>
          <w:sz w:val="19"/>
          <w:szCs w:val="19"/>
        </w:rPr>
        <w:t>v továrnách. Ačkoli je Austrálie největším výrobcem vlny, neměla v r. 1932 ještě ani jedinou továrnu na plstěné klobouky. Teď už má 20 továren tohoto druhu. Až se v severní části Austrálie vybuduje dost průmyslu, vzniknou také továrny na zpracování tropick</w:t>
      </w:r>
      <w:r>
        <w:rPr>
          <w:sz w:val="19"/>
          <w:szCs w:val="19"/>
        </w:rPr>
        <w:t>ých plodin. Pak bude strach před Japonci menší (a chuť Japonců větší).</w:t>
      </w:r>
    </w:p>
    <w:p w:rsidR="00500724" w:rsidRDefault="00F30FB8">
      <w:pPr>
        <w:pStyle w:val="Zkladntext100"/>
        <w:shd w:val="clear" w:color="auto" w:fill="auto"/>
        <w:spacing w:line="218" w:lineRule="auto"/>
        <w:ind w:firstLine="240"/>
        <w:rPr>
          <w:sz w:val="19"/>
          <w:szCs w:val="19"/>
        </w:rPr>
      </w:pPr>
      <w:r>
        <w:rPr>
          <w:sz w:val="19"/>
          <w:szCs w:val="19"/>
        </w:rPr>
        <w:t>Před sto lety měla Austrálie jenom 80.000 bílých oby</w:t>
      </w:r>
      <w:r>
        <w:rPr>
          <w:sz w:val="19"/>
          <w:szCs w:val="19"/>
        </w:rPr>
        <w:softHyphen/>
        <w:t>vatel. Do r. 1850 stoupl počet obyvatelstva na 400.000 a když nastala honba za zlatém, zvětšil se počet bílých do r. 1861 na 1.250.0</w:t>
      </w:r>
      <w:r>
        <w:rPr>
          <w:sz w:val="19"/>
          <w:szCs w:val="19"/>
        </w:rPr>
        <w:t>00 obyvatel. V r. 1931 měla Austrálie 6.6 milionu obyvatel. Kolik lidí může Austrálie při</w:t>
      </w:r>
      <w:r>
        <w:rPr>
          <w:sz w:val="19"/>
          <w:szCs w:val="19"/>
        </w:rPr>
        <w:softHyphen/>
        <w:t>jmout? V letech 1929 až 1955 činil roční přírůstek pouze 1 proč. z celkového počtu obyvatelstva. V r. 1954 klesl již přírůstek na pouhých 0.73 proč. Kdyby se počet ob</w:t>
      </w:r>
      <w:r>
        <w:rPr>
          <w:sz w:val="19"/>
          <w:szCs w:val="19"/>
        </w:rPr>
        <w:t>y</w:t>
      </w:r>
      <w:r>
        <w:rPr>
          <w:sz w:val="19"/>
          <w:szCs w:val="19"/>
        </w:rPr>
        <w:softHyphen/>
        <w:t>vatelstva zvětšoval jenom dosavadním způsobem, potře</w:t>
      </w:r>
      <w:r>
        <w:rPr>
          <w:sz w:val="19"/>
          <w:szCs w:val="19"/>
        </w:rPr>
        <w:softHyphen/>
        <w:t>bovala by Austrálie 96 let, aby měla dvakrát tolik oby</w:t>
      </w:r>
      <w:r>
        <w:rPr>
          <w:sz w:val="19"/>
          <w:szCs w:val="19"/>
        </w:rPr>
        <w:softHyphen/>
        <w:t>vatel než má dnes.</w:t>
      </w:r>
    </w:p>
    <w:p w:rsidR="00500724" w:rsidRDefault="00F30FB8">
      <w:pPr>
        <w:pStyle w:val="Zkladntext100"/>
        <w:shd w:val="clear" w:color="auto" w:fill="auto"/>
        <w:spacing w:line="211" w:lineRule="auto"/>
        <w:ind w:firstLine="240"/>
        <w:rPr>
          <w:sz w:val="19"/>
          <w:szCs w:val="19"/>
        </w:rPr>
      </w:pPr>
      <w:r>
        <w:rPr>
          <w:sz w:val="19"/>
          <w:szCs w:val="19"/>
        </w:rPr>
        <w:t>Austrálie je prázdný světadíl, Rozvojem průmyslu mohla by se tato prázdnota odstranit. Překáží však poli</w:t>
      </w:r>
      <w:r>
        <w:rPr>
          <w:sz w:val="19"/>
          <w:szCs w:val="19"/>
        </w:rPr>
        <w:softHyphen/>
        <w:t>tika s&gt;bílého muže«. B</w:t>
      </w:r>
      <w:r>
        <w:rPr>
          <w:sz w:val="19"/>
          <w:szCs w:val="19"/>
        </w:rPr>
        <w:t>arevný dělník je zvyklý pracovati tvrdě a lacino. Kdyby byl do země vpuštěn, připravil by bělochy o práci. Osídlili Austrálii jenom bělochy je nemožné. Anglie by mohla dodávati jenom průmyslový proletariát, který by se sotva mohl přizpůsobiti těžkým zemědě</w:t>
      </w:r>
      <w:r>
        <w:rPr>
          <w:sz w:val="19"/>
          <w:szCs w:val="19"/>
        </w:rPr>
        <w:t>lským podmínkám australským. Kromě toho je na světě i Lálo emigrantů, kteří by se hodili pro země</w:t>
      </w:r>
      <w:r>
        <w:rPr>
          <w:sz w:val="19"/>
          <w:szCs w:val="19"/>
        </w:rPr>
        <w:softHyphen/>
        <w:t>dělskou práci. A konečně: I kdyby jich bylo- dost, Austrálie by je do země nepustila.</w:t>
      </w:r>
    </w:p>
    <w:p w:rsidR="00500724" w:rsidRDefault="00F30FB8">
      <w:pPr>
        <w:pStyle w:val="Zkladntext100"/>
        <w:shd w:val="clear" w:color="auto" w:fill="auto"/>
        <w:spacing w:line="209" w:lineRule="auto"/>
        <w:rPr>
          <w:sz w:val="19"/>
          <w:szCs w:val="19"/>
        </w:rPr>
      </w:pPr>
      <w:r>
        <w:rPr>
          <w:sz w:val="19"/>
          <w:szCs w:val="19"/>
        </w:rPr>
        <w:t xml:space="preserve">Když se na evianské konferenci jednalo o </w:t>
      </w:r>
      <w:r>
        <w:rPr>
          <w:sz w:val="16"/>
          <w:szCs w:val="16"/>
        </w:rPr>
        <w:t>usídl</w:t>
      </w:r>
      <w:r>
        <w:rPr>
          <w:sz w:val="16"/>
          <w:szCs w:val="16"/>
          <w:u w:val="single"/>
        </w:rPr>
        <w:t xml:space="preserve">ení </w:t>
      </w:r>
      <w:r>
        <w:rPr>
          <w:sz w:val="19"/>
          <w:szCs w:val="19"/>
        </w:rPr>
        <w:t xml:space="preserve">400.000 německých </w:t>
      </w:r>
      <w:r>
        <w:rPr>
          <w:sz w:val="19"/>
          <w:szCs w:val="19"/>
        </w:rPr>
        <w:t>židů, projevila australská vláda tolik ochoty, že slíbila přijmouti v příštích třech letech — 15.000 židů! To je za rok o 3000 méně než činil v r. 1938 počet všech přistěhovalců do Austrálie. Takovou poli</w:t>
      </w:r>
      <w:r>
        <w:rPr>
          <w:sz w:val="19"/>
          <w:szCs w:val="19"/>
        </w:rPr>
        <w:softHyphen/>
        <w:t>tiku pěstuje světadíl, který má mnoho důvodů usilov</w:t>
      </w:r>
      <w:r>
        <w:rPr>
          <w:sz w:val="19"/>
          <w:szCs w:val="19"/>
        </w:rPr>
        <w:t xml:space="preserve">ati o přistěhovalectví a usídlení bílého obyvatelstva. Měl by se snažiti o imigraci bělochů už i </w:t>
      </w:r>
      <w:r>
        <w:rPr>
          <w:sz w:val="22"/>
          <w:szCs w:val="22"/>
        </w:rPr>
        <w:t xml:space="preserve">s </w:t>
      </w:r>
      <w:r>
        <w:rPr>
          <w:sz w:val="19"/>
          <w:szCs w:val="19"/>
        </w:rPr>
        <w:t>hlediska obrany a ochrany před japonskými nároky a záměry.</w:t>
      </w:r>
    </w:p>
    <w:p w:rsidR="00500724" w:rsidRDefault="00F30FB8">
      <w:pPr>
        <w:pStyle w:val="Zkladntext100"/>
        <w:shd w:val="clear" w:color="auto" w:fill="auto"/>
        <w:spacing w:line="209" w:lineRule="auto"/>
        <w:rPr>
          <w:sz w:val="19"/>
          <w:szCs w:val="19"/>
        </w:rPr>
      </w:pPr>
      <w:r>
        <w:rPr>
          <w:sz w:val="19"/>
          <w:szCs w:val="19"/>
        </w:rPr>
        <w:t>Podobně je tomu v ostatním světě. Není země, která by byla přistěhovalcům úplně otevřena. Výjimkou</w:t>
      </w:r>
      <w:r>
        <w:rPr>
          <w:sz w:val="19"/>
          <w:szCs w:val="19"/>
        </w:rPr>
        <w:t xml:space="preserve"> jsou jen Spojené Státy, které přijímají podle kvót každý rok víc lidí, než celý ostatní svět. Udělují přistěhovalcům také pracovní povolení, bez kterého je imigrace ne</w:t>
      </w:r>
      <w:r>
        <w:rPr>
          <w:sz w:val="19"/>
          <w:szCs w:val="19"/>
        </w:rPr>
        <w:softHyphen/>
        <w:t>smyslná. Vystěhovalci jsou v naprosté většině lidé, kteří nemohou žiti z renty — kapita</w:t>
      </w:r>
      <w:r>
        <w:rPr>
          <w:sz w:val="19"/>
          <w:szCs w:val="19"/>
        </w:rPr>
        <w:t>listů je mezi nimi velmi málo.</w:t>
      </w:r>
    </w:p>
    <w:p w:rsidR="00500724" w:rsidRDefault="00F30FB8">
      <w:pPr>
        <w:pStyle w:val="Zkladntext100"/>
        <w:shd w:val="clear" w:color="auto" w:fill="auto"/>
        <w:spacing w:after="220" w:line="209" w:lineRule="auto"/>
        <w:rPr>
          <w:sz w:val="19"/>
          <w:szCs w:val="19"/>
        </w:rPr>
      </w:pPr>
      <w:r>
        <w:rPr>
          <w:sz w:val="19"/>
          <w:szCs w:val="19"/>
        </w:rPr>
        <w:t>Svět je ještě dosti prázdný — jen dvéře by neměly býti zataraseny!</w:t>
      </w:r>
    </w:p>
    <w:p w:rsidR="00500724" w:rsidRDefault="00F30FB8">
      <w:pPr>
        <w:pStyle w:val="Nadpis90"/>
        <w:keepNext/>
        <w:keepLines/>
        <w:pBdr>
          <w:bottom w:val="single" w:sz="4" w:space="0" w:color="auto"/>
        </w:pBdr>
        <w:shd w:val="clear" w:color="auto" w:fill="auto"/>
        <w:spacing w:after="160"/>
      </w:pPr>
      <w:bookmarkStart w:id="259" w:name="bookmark258"/>
      <w:r>
        <w:rPr>
          <w:rFonts w:ascii="Times New Roman" w:eastAsia="Times New Roman" w:hAnsi="Times New Roman" w:cs="Times New Roman"/>
        </w:rPr>
        <w:t>doba a lidé</w:t>
      </w:r>
      <w:bookmarkEnd w:id="259"/>
    </w:p>
    <w:p w:rsidR="00500724" w:rsidRDefault="00F30FB8">
      <w:pPr>
        <w:pStyle w:val="Zkladntext30"/>
        <w:shd w:val="clear" w:color="auto" w:fill="auto"/>
        <w:spacing w:after="0" w:line="199" w:lineRule="auto"/>
        <w:ind w:firstLine="0"/>
        <w:rPr>
          <w:sz w:val="20"/>
          <w:szCs w:val="20"/>
        </w:rPr>
      </w:pPr>
      <w:r>
        <w:rPr>
          <w:i/>
          <w:iCs/>
          <w:sz w:val="20"/>
          <w:szCs w:val="20"/>
        </w:rPr>
        <w:t>Josef Wechsberg:</w:t>
      </w:r>
    </w:p>
    <w:p w:rsidR="00500724" w:rsidRDefault="00F30FB8">
      <w:pPr>
        <w:pStyle w:val="Nadpis100"/>
        <w:shd w:val="clear" w:color="auto" w:fill="auto"/>
        <w:spacing w:after="0" w:line="221" w:lineRule="auto"/>
      </w:pPr>
      <w:bookmarkStart w:id="260" w:name="bookmark259"/>
      <w:r>
        <w:t>Visum do Ameriky</w:t>
      </w:r>
      <w:bookmarkEnd w:id="260"/>
    </w:p>
    <w:p w:rsidR="00500724" w:rsidRDefault="00F30FB8">
      <w:pPr>
        <w:pStyle w:val="Zkladntext40"/>
        <w:shd w:val="clear" w:color="auto" w:fill="auto"/>
        <w:spacing w:after="0" w:line="302" w:lineRule="auto"/>
        <w:ind w:firstLine="280"/>
        <w:rPr>
          <w:sz w:val="14"/>
          <w:szCs w:val="14"/>
        </w:rPr>
      </w:pPr>
      <w:r>
        <w:rPr>
          <w:b/>
          <w:bCs/>
          <w:sz w:val="14"/>
          <w:szCs w:val="14"/>
        </w:rPr>
        <w:t>Úvodem. (Přečtěte a nepře hlédněte!)</w:t>
      </w:r>
    </w:p>
    <w:p w:rsidR="00500724" w:rsidRDefault="00F30FB8">
      <w:pPr>
        <w:pStyle w:val="Zkladntext30"/>
        <w:shd w:val="clear" w:color="auto" w:fill="auto"/>
        <w:spacing w:after="0" w:line="202" w:lineRule="auto"/>
        <w:ind w:firstLine="280"/>
        <w:rPr>
          <w:sz w:val="20"/>
          <w:szCs w:val="20"/>
        </w:rPr>
      </w:pPr>
      <w:r>
        <w:rPr>
          <w:sz w:val="20"/>
          <w:szCs w:val="20"/>
        </w:rPr>
        <w:t xml:space="preserve">Už několik měsíců přináší nám každá loď — nám, kteří »už jsme v Americe« — spoustu dopisů od dobrých přátel, méně dobrých přátel a naprosto cizích lidí. Víme, co v nich stojí dříve, než je otevřeme. Stále tytéž otázky: Kam </w:t>
      </w:r>
      <w:r>
        <w:t xml:space="preserve">mám </w:t>
      </w:r>
      <w:r>
        <w:rPr>
          <w:sz w:val="20"/>
          <w:szCs w:val="20"/>
        </w:rPr>
        <w:t>emigrovat? Mám v Americe něja</w:t>
      </w:r>
      <w:r>
        <w:rPr>
          <w:sz w:val="20"/>
          <w:szCs w:val="20"/>
        </w:rPr>
        <w:t xml:space="preserve">ké vyhlídky? Na jaké povolání se mám připravit? Můžete mi opatřit </w:t>
      </w:r>
      <w:r>
        <w:rPr>
          <w:sz w:val="20"/>
          <w:szCs w:val="20"/>
          <w:lang w:val="en-US" w:eastAsia="en-US" w:bidi="en-US"/>
        </w:rPr>
        <w:t xml:space="preserve">affidavit?, </w:t>
      </w:r>
      <w:r>
        <w:rPr>
          <w:sz w:val="20"/>
          <w:szCs w:val="20"/>
        </w:rPr>
        <w:t>Pomozte, poraďte! Všichni, kteří piši, mají jediný cíl: vy</w:t>
      </w:r>
      <w:r>
        <w:rPr>
          <w:sz w:val="20"/>
          <w:szCs w:val="20"/>
        </w:rPr>
        <w:softHyphen/>
        <w:t>stěhovat se! Mít co nejdříve Evropu za zády a začít na druhém břehu nový život.. Ale jak? A kde?</w:t>
      </w:r>
    </w:p>
    <w:p w:rsidR="00500724" w:rsidRDefault="00F30FB8">
      <w:pPr>
        <w:pStyle w:val="Zkladntext30"/>
        <w:shd w:val="clear" w:color="auto" w:fill="auto"/>
        <w:spacing w:after="0" w:line="199" w:lineRule="auto"/>
        <w:ind w:firstLine="280"/>
        <w:rPr>
          <w:sz w:val="20"/>
          <w:szCs w:val="20"/>
        </w:rPr>
      </w:pPr>
      <w:r>
        <w:rPr>
          <w:sz w:val="20"/>
          <w:szCs w:val="20"/>
        </w:rPr>
        <w:t>Dal jsem si práci zodp</w:t>
      </w:r>
      <w:r>
        <w:rPr>
          <w:sz w:val="20"/>
          <w:szCs w:val="20"/>
        </w:rPr>
        <w:t>ovědět všechny otázky (ve stejno</w:t>
      </w:r>
      <w:r>
        <w:rPr>
          <w:sz w:val="20"/>
          <w:szCs w:val="20"/>
        </w:rPr>
        <w:softHyphen/>
        <w:t>jmenné knize, která právě vyšla v nakladatelství Julius Kittl, pozn. překl.), jimiž se pravděpodobně zaměstnávají lidé, kteří ještě nejsou — nebo právě teď jsou — vystěho</w:t>
      </w:r>
      <w:r>
        <w:rPr>
          <w:sz w:val="20"/>
          <w:szCs w:val="20"/>
        </w:rPr>
        <w:softHyphen/>
        <w:t xml:space="preserve">valci do Ameriky. Většinou jsou to praktické pokyny </w:t>
      </w:r>
      <w:r>
        <w:t xml:space="preserve">a </w:t>
      </w:r>
      <w:r>
        <w:rPr>
          <w:sz w:val="20"/>
          <w:szCs w:val="20"/>
        </w:rPr>
        <w:t>nikdo dnes neupře, že praktické pokyny vyváži peníze. Ať mi nikdo neříká, že je to lehké, :► jenom* radit i Za většinu svých rad jsem zaplatil drahé peníze, dolary a zkla</w:t>
      </w:r>
      <w:r>
        <w:rPr>
          <w:sz w:val="20"/>
          <w:szCs w:val="20"/>
        </w:rPr>
        <w:softHyphen/>
        <w:t>mání.</w:t>
      </w:r>
    </w:p>
    <w:p w:rsidR="00500724" w:rsidRDefault="00F30FB8">
      <w:pPr>
        <w:pStyle w:val="Zkladntext30"/>
        <w:shd w:val="clear" w:color="auto" w:fill="auto"/>
        <w:spacing w:after="0" w:line="199" w:lineRule="auto"/>
        <w:ind w:firstLine="280"/>
        <w:rPr>
          <w:sz w:val="20"/>
          <w:szCs w:val="20"/>
        </w:rPr>
      </w:pPr>
      <w:r>
        <w:rPr>
          <w:sz w:val="20"/>
          <w:szCs w:val="20"/>
        </w:rPr>
        <w:t>Účel mé knížky: všem sklíčeným lidem v Evropě po</w:t>
      </w:r>
      <w:r>
        <w:rPr>
          <w:sz w:val="20"/>
          <w:szCs w:val="20"/>
        </w:rPr>
        <w:softHyphen/>
        <w:t>radit a povzbudit je. Když m</w:t>
      </w:r>
      <w:r>
        <w:rPr>
          <w:sz w:val="20"/>
          <w:szCs w:val="20"/>
        </w:rPr>
        <w:t xml:space="preserve">ají Američané starosti, říkají: »take </w:t>
      </w:r>
      <w:r>
        <w:rPr>
          <w:sz w:val="20"/>
          <w:szCs w:val="20"/>
          <w:lang w:val="en-US" w:eastAsia="en-US" w:bidi="en-US"/>
        </w:rPr>
        <w:t xml:space="preserve">it </w:t>
      </w:r>
      <w:r>
        <w:rPr>
          <w:sz w:val="20"/>
          <w:szCs w:val="20"/>
        </w:rPr>
        <w:t>easy«— neber si to k srdci! Však bude zase lépe!</w:t>
      </w:r>
    </w:p>
    <w:p w:rsidR="00500724" w:rsidRDefault="00F30FB8">
      <w:pPr>
        <w:pStyle w:val="Zkladntext100"/>
        <w:shd w:val="clear" w:color="auto" w:fill="auto"/>
        <w:spacing w:line="209" w:lineRule="auto"/>
        <w:ind w:firstLine="0"/>
        <w:jc w:val="center"/>
        <w:rPr>
          <w:sz w:val="19"/>
          <w:szCs w:val="19"/>
        </w:rPr>
      </w:pPr>
      <w:r>
        <w:rPr>
          <w:sz w:val="19"/>
          <w:szCs w:val="19"/>
        </w:rPr>
        <w:t>K a m?</w:t>
      </w:r>
    </w:p>
    <w:p w:rsidR="00500724" w:rsidRDefault="00F30FB8">
      <w:pPr>
        <w:pStyle w:val="Zkladntext40"/>
        <w:shd w:val="clear" w:color="auto" w:fill="auto"/>
        <w:spacing w:after="200" w:line="302" w:lineRule="auto"/>
        <w:ind w:firstLine="220"/>
        <w:rPr>
          <w:sz w:val="14"/>
          <w:szCs w:val="14"/>
        </w:rPr>
      </w:pPr>
      <w:r>
        <w:rPr>
          <w:b/>
          <w:bCs/>
          <w:sz w:val="14"/>
          <w:szCs w:val="14"/>
        </w:rPr>
        <w:t>Když se mne lidé ptají, kam se mají vystěhovat, od</w:t>
      </w:r>
      <w:r>
        <w:rPr>
          <w:b/>
          <w:bCs/>
          <w:sz w:val="14"/>
          <w:szCs w:val="14"/>
        </w:rPr>
        <w:softHyphen/>
        <w:t xml:space="preserve">povídám jim otázkou: Máte někde přátele? Přátele, kteří by vám pomohli v prvních těžkých týdnech, kteří by </w:t>
      </w:r>
      <w:r>
        <w:rPr>
          <w:b/>
          <w:bCs/>
          <w:sz w:val="14"/>
          <w:szCs w:val="14"/>
        </w:rPr>
        <w:t>vás upozornili na dané možnosti a pomohli vám radou i třeba penězi? Zkrátka: pomohli vám při startu? Kdo nebyl nikdy v cizině, kde jsou životní pod</w:t>
      </w:r>
      <w:r>
        <w:rPr>
          <w:b/>
          <w:bCs/>
          <w:sz w:val="14"/>
          <w:szCs w:val="14"/>
        </w:rPr>
        <w:softHyphen/>
        <w:t>mínky naprosto odlišné od evropských, nedovede si ani představit, jak důležitá je taková pomoc. Začínat v ci</w:t>
      </w:r>
      <w:r>
        <w:rPr>
          <w:b/>
          <w:bCs/>
          <w:sz w:val="14"/>
          <w:szCs w:val="14"/>
        </w:rPr>
        <w:t>zí zemi bez pomoci, bez známých a většinou bez peněz je opravdu velké odhodlání. Kdybych měl volit mezi zemí, která má podle statistik j&gt;možnosti«, ale kde nikoho neznám, a mezi zemí, která má možnosti menší, ale kde mám dva přátele, odejel bych asi do dru</w:t>
      </w:r>
      <w:r>
        <w:rPr>
          <w:b/>
          <w:bCs/>
          <w:sz w:val="14"/>
          <w:szCs w:val="14"/>
        </w:rPr>
        <w:t>hé. Bohužel většina vystěhovalců nemá takovou volbu, po</w:t>
      </w:r>
      <w:r>
        <w:rPr>
          <w:b/>
          <w:bCs/>
          <w:sz w:val="14"/>
          <w:szCs w:val="14"/>
        </w:rPr>
        <w:softHyphen/>
        <w:t>něvadž nemají na celém světě přítele. Nemají také veli</w:t>
      </w:r>
      <w:r>
        <w:rPr>
          <w:b/>
          <w:bCs/>
          <w:sz w:val="14"/>
          <w:szCs w:val="14"/>
        </w:rPr>
        <w:softHyphen/>
        <w:t>ký výběr zemí, které vystěhovalectví dovolují. Dnes musí se spokojit s visem, které dostanou.</w:t>
      </w:r>
    </w:p>
    <w:p w:rsidR="00500724" w:rsidRDefault="00F30FB8">
      <w:pPr>
        <w:pStyle w:val="Nadpis120"/>
        <w:shd w:val="clear" w:color="auto" w:fill="auto"/>
        <w:spacing w:line="180" w:lineRule="auto"/>
        <w:ind w:left="0"/>
        <w:jc w:val="right"/>
      </w:pPr>
      <w:bookmarkStart w:id="261" w:name="bookmark260"/>
      <w:r>
        <w:t>&lt;7&lt;</w:t>
      </w:r>
      <w:bookmarkEnd w:id="261"/>
    </w:p>
    <w:p w:rsidR="00500724" w:rsidRDefault="00F30FB8">
      <w:pPr>
        <w:pStyle w:val="Zkladntext100"/>
        <w:shd w:val="clear" w:color="auto" w:fill="auto"/>
        <w:spacing w:after="40" w:line="230" w:lineRule="auto"/>
        <w:ind w:firstLine="220"/>
        <w:rPr>
          <w:sz w:val="19"/>
          <w:szCs w:val="19"/>
        </w:rPr>
      </w:pPr>
      <w:r>
        <w:rPr>
          <w:sz w:val="20"/>
          <w:szCs w:val="20"/>
        </w:rPr>
        <w:t xml:space="preserve">Ať </w:t>
      </w:r>
      <w:r>
        <w:rPr>
          <w:sz w:val="19"/>
          <w:szCs w:val="19"/>
        </w:rPr>
        <w:t>vystěhovale! nezapomínají, že se tragedie ne</w:t>
      </w:r>
      <w:r>
        <w:rPr>
          <w:sz w:val="19"/>
          <w:szCs w:val="19"/>
        </w:rPr>
        <w:softHyphen/>
        <w:t>odehrávají jenom v Evropě. I venku, v rajských zemích, kde by už tak rádi byli, může člověka stihnout strašný osud. Proti tomu se nelze zabezpečit jinak, než opatrno</w:t>
      </w:r>
      <w:r>
        <w:rPr>
          <w:sz w:val="19"/>
          <w:szCs w:val="19"/>
        </w:rPr>
        <w:softHyphen/>
        <w:t xml:space="preserve">stí </w:t>
      </w:r>
      <w:r>
        <w:rPr>
          <w:sz w:val="20"/>
          <w:szCs w:val="20"/>
        </w:rPr>
        <w:t xml:space="preserve">a </w:t>
      </w:r>
      <w:r>
        <w:rPr>
          <w:sz w:val="19"/>
          <w:szCs w:val="19"/>
        </w:rPr>
        <w:t xml:space="preserve">svědomitým propátráním poměrů v té které zemi, </w:t>
      </w:r>
      <w:r>
        <w:rPr>
          <w:sz w:val="20"/>
          <w:szCs w:val="20"/>
        </w:rPr>
        <w:t xml:space="preserve">kaná </w:t>
      </w:r>
      <w:r>
        <w:rPr>
          <w:sz w:val="19"/>
          <w:szCs w:val="19"/>
        </w:rPr>
        <w:t>chcete odejeti. Nedávno jsem sl</w:t>
      </w:r>
      <w:r>
        <w:rPr>
          <w:sz w:val="19"/>
          <w:szCs w:val="19"/>
        </w:rPr>
        <w:t xml:space="preserve">yšel o manželích, kteří odešli do vnitrozemí Brasilie. Nechtěli zůstat ve </w:t>
      </w:r>
      <w:r>
        <w:rPr>
          <w:sz w:val="20"/>
          <w:szCs w:val="20"/>
        </w:rPr>
        <w:t xml:space="preserve">velkých </w:t>
      </w:r>
      <w:r>
        <w:rPr>
          <w:sz w:val="19"/>
          <w:szCs w:val="19"/>
        </w:rPr>
        <w:t xml:space="preserve">městech, obávajíce se velké konkurence a mimo </w:t>
      </w:r>
      <w:r>
        <w:rPr>
          <w:sz w:val="20"/>
          <w:szCs w:val="20"/>
        </w:rPr>
        <w:t xml:space="preserve">to </w:t>
      </w:r>
      <w:r>
        <w:rPr>
          <w:sz w:val="19"/>
          <w:szCs w:val="19"/>
        </w:rPr>
        <w:t xml:space="preserve">jim bylo řečeno, že je život na venkově sice těžší, </w:t>
      </w:r>
      <w:r>
        <w:rPr>
          <w:sz w:val="20"/>
          <w:szCs w:val="20"/>
        </w:rPr>
        <w:t xml:space="preserve">ale že </w:t>
      </w:r>
      <w:r>
        <w:rPr>
          <w:sz w:val="19"/>
          <w:szCs w:val="19"/>
        </w:rPr>
        <w:t xml:space="preserve">skytá větší možnosti — což je pravda. </w:t>
      </w:r>
      <w:r>
        <w:rPr>
          <w:sz w:val="20"/>
          <w:szCs w:val="20"/>
        </w:rPr>
        <w:t xml:space="preserve">Oba </w:t>
      </w:r>
      <w:r>
        <w:rPr>
          <w:sz w:val="19"/>
          <w:szCs w:val="19"/>
        </w:rPr>
        <w:t>odešli tedy do vnitrozem</w:t>
      </w:r>
      <w:r>
        <w:rPr>
          <w:sz w:val="19"/>
          <w:szCs w:val="19"/>
        </w:rPr>
        <w:t xml:space="preserve">í, do končin, kde žije jen málo </w:t>
      </w:r>
      <w:r>
        <w:rPr>
          <w:sz w:val="20"/>
          <w:szCs w:val="20"/>
        </w:rPr>
        <w:t xml:space="preserve">bělochů, </w:t>
      </w:r>
      <w:r>
        <w:rPr>
          <w:sz w:val="19"/>
          <w:szCs w:val="19"/>
        </w:rPr>
        <w:t xml:space="preserve">kde vyžadují nemoci a podnebí velmi zdatnou tělesnou konstrukci. Za rok byli na nejlepší cestě </w:t>
      </w:r>
      <w:r>
        <w:rPr>
          <w:sz w:val="20"/>
          <w:szCs w:val="20"/>
        </w:rPr>
        <w:t xml:space="preserve">k </w:t>
      </w:r>
      <w:r>
        <w:rPr>
          <w:sz w:val="19"/>
          <w:szCs w:val="19"/>
        </w:rPr>
        <w:t>úspěchu. Ale tělo nevydrželo. Zápas byl příliš těžký. Dnes nežije ani jeden z nich.</w:t>
      </w:r>
    </w:p>
    <w:p w:rsidR="00500724" w:rsidRDefault="00F30FB8">
      <w:pPr>
        <w:pStyle w:val="Zkladntext100"/>
        <w:shd w:val="clear" w:color="auto" w:fill="auto"/>
        <w:spacing w:after="80" w:line="230" w:lineRule="auto"/>
        <w:ind w:firstLine="220"/>
        <w:rPr>
          <w:sz w:val="19"/>
          <w:szCs w:val="19"/>
        </w:rPr>
      </w:pPr>
      <w:r>
        <w:rPr>
          <w:sz w:val="19"/>
          <w:szCs w:val="19"/>
        </w:rPr>
        <w:t>Vzpomínám si na doby, které jsem z</w:t>
      </w:r>
      <w:r>
        <w:rPr>
          <w:sz w:val="19"/>
          <w:szCs w:val="19"/>
        </w:rPr>
        <w:t>trávil ve fran</w:t>
      </w:r>
      <w:r>
        <w:rPr>
          <w:sz w:val="19"/>
          <w:szCs w:val="19"/>
        </w:rPr>
        <w:softHyphen/>
        <w:t>couzských koloniích: na Madagaskaru, Réunionu. Indo</w:t>
      </w:r>
      <w:r>
        <w:rPr>
          <w:sz w:val="19"/>
          <w:szCs w:val="19"/>
        </w:rPr>
        <w:softHyphen/>
        <w:t xml:space="preserve">číně, </w:t>
      </w:r>
      <w:r>
        <w:rPr>
          <w:sz w:val="19"/>
          <w:szCs w:val="19"/>
          <w:lang w:val="en-US" w:eastAsia="en-US" w:bidi="en-US"/>
        </w:rPr>
        <w:t xml:space="preserve">Martinique, </w:t>
      </w:r>
      <w:r>
        <w:rPr>
          <w:sz w:val="19"/>
          <w:szCs w:val="19"/>
        </w:rPr>
        <w:t xml:space="preserve">Quadeloupe. Všude, opravdu všude </w:t>
      </w:r>
      <w:r>
        <w:rPr>
          <w:sz w:val="20"/>
          <w:szCs w:val="20"/>
        </w:rPr>
        <w:t xml:space="preserve">měli </w:t>
      </w:r>
      <w:r>
        <w:rPr>
          <w:sz w:val="19"/>
          <w:szCs w:val="19"/>
        </w:rPr>
        <w:t xml:space="preserve">pilní a rázní lidé možnosti. Nejsou tak pohodlní a rozmazlení, jako koloniální páni země. Viděl jsem zřídka Angličana nebo Francouze </w:t>
      </w:r>
      <w:r>
        <w:rPr>
          <w:sz w:val="19"/>
          <w:szCs w:val="19"/>
        </w:rPr>
        <w:t xml:space="preserve">v koloniích, který </w:t>
      </w:r>
      <w:r>
        <w:rPr>
          <w:sz w:val="20"/>
          <w:szCs w:val="20"/>
        </w:rPr>
        <w:t xml:space="preserve">by </w:t>
      </w:r>
      <w:r>
        <w:rPr>
          <w:sz w:val="19"/>
          <w:szCs w:val="19"/>
        </w:rPr>
        <w:t xml:space="preserve">pracoval víc, než pět hodin denně —, kdo se dřeli </w:t>
      </w:r>
      <w:r>
        <w:rPr>
          <w:sz w:val="20"/>
          <w:szCs w:val="20"/>
        </w:rPr>
        <w:t xml:space="preserve">a </w:t>
      </w:r>
      <w:r>
        <w:rPr>
          <w:sz w:val="19"/>
          <w:szCs w:val="19"/>
        </w:rPr>
        <w:t>mořili, byli příslušníci »chudého národac, Čecho-Slo- váci, Jugoslávci nebo Rakušané — a právě tato houžev</w:t>
      </w:r>
      <w:r>
        <w:rPr>
          <w:sz w:val="19"/>
          <w:szCs w:val="19"/>
        </w:rPr>
        <w:softHyphen/>
        <w:t>natá píle dává dobrou příležitost.</w:t>
      </w:r>
    </w:p>
    <w:p w:rsidR="00500724" w:rsidRDefault="00F30FB8">
      <w:pPr>
        <w:pStyle w:val="Zkladntext100"/>
        <w:shd w:val="clear" w:color="auto" w:fill="auto"/>
        <w:spacing w:after="40" w:line="211" w:lineRule="auto"/>
        <w:ind w:firstLine="0"/>
        <w:jc w:val="center"/>
        <w:rPr>
          <w:sz w:val="19"/>
          <w:szCs w:val="19"/>
        </w:rPr>
      </w:pPr>
      <w:r>
        <w:rPr>
          <w:sz w:val="19"/>
          <w:szCs w:val="19"/>
        </w:rPr>
        <w:t>Proč právě do USA?</w:t>
      </w:r>
    </w:p>
    <w:p w:rsidR="00500724" w:rsidRDefault="00F30FB8">
      <w:pPr>
        <w:pStyle w:val="Zkladntext100"/>
        <w:shd w:val="clear" w:color="auto" w:fill="auto"/>
        <w:spacing w:after="40" w:line="211" w:lineRule="auto"/>
        <w:ind w:firstLine="220"/>
        <w:rPr>
          <w:sz w:val="19"/>
          <w:szCs w:val="19"/>
        </w:rPr>
      </w:pPr>
      <w:r>
        <w:rPr>
          <w:sz w:val="19"/>
          <w:szCs w:val="19"/>
        </w:rPr>
        <w:t>Zbytečná otázka. Nejv</w:t>
      </w:r>
      <w:r>
        <w:rPr>
          <w:sz w:val="19"/>
          <w:szCs w:val="19"/>
        </w:rPr>
        <w:t>ětší demokracie na světě, nej- bohatší stát na zeměkouli, země, kde žijí vedle sebe všechny rasy a národy a kde právě toto rozmanité sou</w:t>
      </w:r>
      <w:r>
        <w:rPr>
          <w:sz w:val="19"/>
          <w:szCs w:val="19"/>
        </w:rPr>
        <w:softHyphen/>
        <w:t>sedství všech se všemi vytvořilo světovou moc a národ. Každý běloch, který žije ve Spojených Státech, je sám emigrant n</w:t>
      </w:r>
      <w:r>
        <w:rPr>
          <w:sz w:val="19"/>
          <w:szCs w:val="19"/>
        </w:rPr>
        <w:t>ebo pochází od předků, kteří byli emigranti. Ovsem, mimo Indiány se přistěhovali všichni, někteří na Mayfloweru, většina později. Právě proto mají tito lidé většinou pochopení pro svízele vystěhovalců z ji</w:t>
      </w:r>
      <w:r>
        <w:rPr>
          <w:sz w:val="19"/>
          <w:szCs w:val="19"/>
        </w:rPr>
        <w:softHyphen/>
        <w:t>ných zemí. Mimo to je Amerika obrovská země s mož</w:t>
      </w:r>
      <w:r>
        <w:rPr>
          <w:sz w:val="19"/>
          <w:szCs w:val="19"/>
        </w:rPr>
        <w:softHyphen/>
      </w:r>
      <w:r>
        <w:rPr>
          <w:sz w:val="19"/>
          <w:szCs w:val="19"/>
        </w:rPr>
        <w:t xml:space="preserve">nostmi, které jsou stále ještě obrovské. Doby, kdy člověk kolportoval noviny, umýval talíře a za čtyři roky se stal milionářem v Park-avenue, už ovšem minuly. Ale stále znovu přicházejí lidé s malým jměním nebo s holýma rukama a daří se jim vybu dováti si </w:t>
      </w:r>
      <w:r>
        <w:rPr>
          <w:sz w:val="19"/>
          <w:szCs w:val="19"/>
        </w:rPr>
        <w:t>novou existenci. Není to snadné — ale co je dnes snadné?</w:t>
      </w:r>
    </w:p>
    <w:p w:rsidR="00500724" w:rsidRDefault="00F30FB8">
      <w:pPr>
        <w:pStyle w:val="Zkladntext100"/>
        <w:shd w:val="clear" w:color="auto" w:fill="auto"/>
        <w:spacing w:after="40" w:line="209" w:lineRule="auto"/>
        <w:ind w:firstLine="220"/>
        <w:rPr>
          <w:sz w:val="19"/>
          <w:szCs w:val="19"/>
        </w:rPr>
      </w:pPr>
      <w:r>
        <w:rPr>
          <w:sz w:val="19"/>
          <w:szCs w:val="19"/>
        </w:rPr>
        <w:t>Mimo to mluví praktická úvaha pro USA: Spojené Státy mají systém kvóty, ale má-li někdo papíry v po</w:t>
      </w:r>
      <w:r>
        <w:rPr>
          <w:sz w:val="19"/>
          <w:szCs w:val="19"/>
        </w:rPr>
        <w:softHyphen/>
        <w:t>řádku, je zařaděn do kvóty, i když nemá mnoho peněz. Většina ostatních států je však nemajetným nap</w:t>
      </w:r>
      <w:r>
        <w:rPr>
          <w:sz w:val="19"/>
          <w:szCs w:val="19"/>
        </w:rPr>
        <w:t>rosto uzavřena, i když tam žijí příbuzní nebo přátelé.</w:t>
      </w:r>
    </w:p>
    <w:p w:rsidR="00500724" w:rsidRDefault="00F30FB8">
      <w:pPr>
        <w:pStyle w:val="Zkladntext100"/>
        <w:shd w:val="clear" w:color="auto" w:fill="auto"/>
        <w:spacing w:after="40" w:line="209" w:lineRule="auto"/>
        <w:ind w:firstLine="220"/>
        <w:rPr>
          <w:sz w:val="19"/>
          <w:szCs w:val="19"/>
        </w:rPr>
      </w:pPr>
      <w:r>
        <w:rPr>
          <w:sz w:val="19"/>
          <w:szCs w:val="19"/>
        </w:rPr>
        <w:t>Kvóty nejsou veliké, měříme-li je počtem lidí, kteří chtějí odejet. A naděje, že by se americké vystěhova- lecké zákony uvolnily a kvóty zvýšily, jsou velmi nepatrné.</w:t>
      </w:r>
    </w:p>
    <w:p w:rsidR="00500724" w:rsidRDefault="00F30FB8">
      <w:pPr>
        <w:pStyle w:val="Zkladntext100"/>
        <w:shd w:val="clear" w:color="auto" w:fill="auto"/>
        <w:spacing w:after="40" w:line="209" w:lineRule="auto"/>
        <w:ind w:firstLine="220"/>
        <w:rPr>
          <w:sz w:val="19"/>
          <w:szCs w:val="19"/>
        </w:rPr>
      </w:pPr>
      <w:r>
        <w:rPr>
          <w:sz w:val="19"/>
          <w:szCs w:val="19"/>
        </w:rPr>
        <w:t>»Dokud máme 12 milionů nezaměstnan</w:t>
      </w:r>
      <w:r>
        <w:rPr>
          <w:sz w:val="19"/>
          <w:szCs w:val="19"/>
        </w:rPr>
        <w:t>ých, nemůže Evropa žádat, abychom zvýšili kvóty,c praví ve Washingtonu, &gt;nikdo nám nemůže zazlívat, že se na</w:t>
      </w:r>
      <w:r>
        <w:rPr>
          <w:sz w:val="19"/>
          <w:szCs w:val="19"/>
        </w:rPr>
        <w:softHyphen/>
        <w:t>před staráme o vlastní lidi.c</w:t>
      </w:r>
    </w:p>
    <w:p w:rsidR="00500724" w:rsidRDefault="00F30FB8">
      <w:pPr>
        <w:pStyle w:val="Zkladntext100"/>
        <w:shd w:val="clear" w:color="auto" w:fill="auto"/>
        <w:spacing w:after="40" w:line="209" w:lineRule="auto"/>
        <w:ind w:firstLine="220"/>
        <w:rPr>
          <w:sz w:val="19"/>
          <w:szCs w:val="19"/>
        </w:rPr>
      </w:pPr>
      <w:r>
        <w:rPr>
          <w:sz w:val="19"/>
          <w:szCs w:val="19"/>
        </w:rPr>
        <w:t>»Ale sám jste přece doznal, že to byli přistěhovalci, kteří dali Americe nový vzlet, novou sílu, nové myšlen</w:t>
      </w:r>
      <w:r>
        <w:rPr>
          <w:sz w:val="19"/>
          <w:szCs w:val="19"/>
        </w:rPr>
        <w:softHyphen/>
        <w:t>ky, novo</w:t>
      </w:r>
      <w:r>
        <w:rPr>
          <w:sz w:val="19"/>
          <w:szCs w:val="19"/>
        </w:rPr>
        <w:t>u iniciativu, nový život ?&lt;</w:t>
      </w:r>
    </w:p>
    <w:p w:rsidR="00500724" w:rsidRDefault="00F30FB8">
      <w:pPr>
        <w:pStyle w:val="Zkladntext100"/>
        <w:shd w:val="clear" w:color="auto" w:fill="auto"/>
        <w:spacing w:line="209" w:lineRule="auto"/>
        <w:ind w:firstLine="220"/>
        <w:rPr>
          <w:sz w:val="19"/>
          <w:szCs w:val="19"/>
        </w:rPr>
      </w:pPr>
      <w:r>
        <w:rPr>
          <w:sz w:val="19"/>
          <w:szCs w:val="19"/>
        </w:rPr>
        <w:t>»Ano. Ale nikdy ještě nebyly sociální poměry tak tíživé, jako dnes. Zažili jsme už dřív vystěhovalecké přívaly z Evropy, ale nikdy nám nedalo vystěhova</w:t>
      </w:r>
      <w:r>
        <w:rPr>
          <w:sz w:val="19"/>
          <w:szCs w:val="19"/>
        </w:rPr>
        <w:softHyphen/>
        <w:t xml:space="preserve">lectví tolik práce, jako nyní. Je vám známo, že se proti uvolnění </w:t>
      </w:r>
      <w:r>
        <w:rPr>
          <w:sz w:val="19"/>
          <w:szCs w:val="19"/>
        </w:rPr>
        <w:t>vystěhovaleckých zákonů staví nejen konserva</w:t>
      </w:r>
      <w:r>
        <w:rPr>
          <w:sz w:val="19"/>
          <w:szCs w:val="19"/>
        </w:rPr>
        <w:softHyphen/>
        <w:t>tivní Američan, ale i široké vrstvy lidu, které cítí libe</w:t>
      </w:r>
      <w:r>
        <w:rPr>
          <w:sz w:val="19"/>
          <w:szCs w:val="19"/>
        </w:rPr>
        <w:softHyphen/>
        <w:t>rálně a sociálně? Víte, že i dělnické organisace jsou roti rozšíření kvóty, protože se obávají evropské</w:t>
      </w:r>
    </w:p>
    <w:p w:rsidR="00500724" w:rsidRDefault="00F30FB8">
      <w:pPr>
        <w:pStyle w:val="Zkladntext100"/>
        <w:shd w:val="clear" w:color="auto" w:fill="auto"/>
        <w:spacing w:after="40" w:line="209" w:lineRule="auto"/>
        <w:ind w:left="140" w:firstLine="20"/>
        <w:jc w:val="left"/>
        <w:rPr>
          <w:sz w:val="19"/>
          <w:szCs w:val="19"/>
        </w:rPr>
      </w:pPr>
      <w:r>
        <w:rPr>
          <w:sz w:val="19"/>
          <w:szCs w:val="19"/>
        </w:rPr>
        <w:t>onkurence?&lt;</w:t>
      </w:r>
    </w:p>
    <w:p w:rsidR="00500724" w:rsidRDefault="00F30FB8">
      <w:pPr>
        <w:pStyle w:val="Zkladntext30"/>
        <w:shd w:val="clear" w:color="auto" w:fill="auto"/>
        <w:spacing w:line="437" w:lineRule="auto"/>
        <w:ind w:firstLine="220"/>
        <w:rPr>
          <w:sz w:val="20"/>
          <w:szCs w:val="20"/>
        </w:rPr>
      </w:pPr>
      <w:r>
        <w:rPr>
          <w:b/>
          <w:bCs/>
          <w:sz w:val="20"/>
          <w:szCs w:val="20"/>
        </w:rPr>
        <w:t>Ten muž mluvil pravdu. Každodenně lze</w:t>
      </w:r>
      <w:r>
        <w:rPr>
          <w:b/>
          <w:bCs/>
          <w:sz w:val="20"/>
          <w:szCs w:val="20"/>
        </w:rPr>
        <w:t xml:space="preserve"> pozorovati, 17a</w:t>
      </w:r>
    </w:p>
    <w:p w:rsidR="00500724" w:rsidRDefault="00F30FB8">
      <w:pPr>
        <w:pStyle w:val="Zkladntext100"/>
        <w:shd w:val="clear" w:color="auto" w:fill="auto"/>
        <w:spacing w:line="240" w:lineRule="auto"/>
        <w:ind w:firstLine="0"/>
        <w:rPr>
          <w:sz w:val="19"/>
          <w:szCs w:val="19"/>
        </w:rPr>
      </w:pPr>
      <w:r>
        <w:rPr>
          <w:sz w:val="19"/>
          <w:szCs w:val="19"/>
        </w:rPr>
        <w:t>jak pozorují Američané se smíšenými pocity přívaly přistěhovalců.</w:t>
      </w:r>
    </w:p>
    <w:p w:rsidR="00500724" w:rsidRDefault="00F30FB8">
      <w:pPr>
        <w:pStyle w:val="Zkladntext100"/>
        <w:shd w:val="clear" w:color="auto" w:fill="auto"/>
        <w:spacing w:line="240" w:lineRule="auto"/>
        <w:ind w:firstLine="220"/>
        <w:rPr>
          <w:sz w:val="19"/>
          <w:szCs w:val="19"/>
        </w:rPr>
      </w:pPr>
      <w:r>
        <w:rPr>
          <w:sz w:val="19"/>
          <w:szCs w:val="19"/>
        </w:rPr>
        <w:t xml:space="preserve">&gt;Už jste slyšel, co udělal ten nestoudný </w:t>
      </w:r>
      <w:r>
        <w:rPr>
          <w:sz w:val="20"/>
          <w:szCs w:val="20"/>
        </w:rPr>
        <w:t xml:space="preserve">X ...? </w:t>
      </w:r>
      <w:r>
        <w:rPr>
          <w:sz w:val="19"/>
          <w:szCs w:val="19"/>
        </w:rPr>
        <w:t>Vyhodil dvacet Američanů a přijal místo nich emigranty, kteří nedovedou ani pořádně anglicky!«</w:t>
      </w:r>
    </w:p>
    <w:p w:rsidR="00500724" w:rsidRDefault="00F30FB8">
      <w:pPr>
        <w:pStyle w:val="Zkladntext100"/>
        <w:shd w:val="clear" w:color="auto" w:fill="auto"/>
        <w:spacing w:line="240" w:lineRule="auto"/>
        <w:ind w:firstLine="220"/>
        <w:rPr>
          <w:sz w:val="19"/>
          <w:szCs w:val="19"/>
        </w:rPr>
      </w:pPr>
      <w:r>
        <w:rPr>
          <w:sz w:val="19"/>
          <w:szCs w:val="19"/>
        </w:rPr>
        <w:t xml:space="preserve">&gt;Moje švadlena zaměstnávala </w:t>
      </w:r>
      <w:r>
        <w:rPr>
          <w:sz w:val="19"/>
          <w:szCs w:val="19"/>
        </w:rPr>
        <w:t>doposud tři americké dívky. Minulý týden jsem byla u ní a zjistila jsem, že má dnes místo nich tři dívky z Evropy, běženky. To není hloupé. Tři Evropanky ji stojí právě tolik, jako dříve jedna Američanka ... 1 &lt;</w:t>
      </w:r>
    </w:p>
    <w:p w:rsidR="00500724" w:rsidRDefault="00F30FB8">
      <w:pPr>
        <w:pStyle w:val="Zkladntext100"/>
        <w:shd w:val="clear" w:color="auto" w:fill="auto"/>
        <w:spacing w:line="240" w:lineRule="auto"/>
        <w:ind w:firstLine="220"/>
        <w:rPr>
          <w:sz w:val="19"/>
          <w:szCs w:val="19"/>
        </w:rPr>
      </w:pPr>
      <w:r>
        <w:rPr>
          <w:sz w:val="19"/>
          <w:szCs w:val="19"/>
        </w:rPr>
        <w:t>Na štěstí nejsou všichni Američané takoví. M</w:t>
      </w:r>
      <w:r>
        <w:rPr>
          <w:sz w:val="19"/>
          <w:szCs w:val="19"/>
        </w:rPr>
        <w:t>noží mluví i jinak: Zkusme to ještě jednou. Dejme těmto ubohým lidem příležitost! Snad poznáme za čtyřicet let, že to bylo nej chytřejší, co jsme vůbec udělali!</w:t>
      </w:r>
    </w:p>
    <w:p w:rsidR="00500724" w:rsidRDefault="00F30FB8">
      <w:pPr>
        <w:pStyle w:val="Zkladntext100"/>
        <w:shd w:val="clear" w:color="auto" w:fill="auto"/>
        <w:spacing w:after="100" w:line="240" w:lineRule="auto"/>
        <w:ind w:firstLine="220"/>
        <w:rPr>
          <w:sz w:val="19"/>
          <w:szCs w:val="19"/>
        </w:rPr>
      </w:pPr>
      <w:r>
        <w:rPr>
          <w:sz w:val="19"/>
          <w:szCs w:val="19"/>
        </w:rPr>
        <w:t>Mezi těmito dvěma extrémy kolísá americké veřejné mínění. Mnoho &gt;unionsc neberou už cizince, bo</w:t>
      </w:r>
      <w:r>
        <w:rPr>
          <w:sz w:val="19"/>
          <w:szCs w:val="19"/>
        </w:rPr>
        <w:t>jí se kon</w:t>
      </w:r>
      <w:r>
        <w:rPr>
          <w:sz w:val="19"/>
          <w:szCs w:val="19"/>
        </w:rPr>
        <w:softHyphen/>
        <w:t xml:space="preserve">kurence. Generálmajor </w:t>
      </w:r>
      <w:r>
        <w:rPr>
          <w:sz w:val="19"/>
          <w:szCs w:val="19"/>
          <w:lang w:val="en-US" w:eastAsia="en-US" w:bidi="en-US"/>
        </w:rPr>
        <w:t xml:space="preserve">Moseley </w:t>
      </w:r>
      <w:r>
        <w:rPr>
          <w:sz w:val="19"/>
          <w:szCs w:val="19"/>
        </w:rPr>
        <w:t>navrhuje, aby byli všichni přistěhovalci sterilisováni: &gt;Je naší povinností pomoci těmto ubohým mužům a ženám. Ale nemůžeme trpěti, aby z této bídy vyrostla nová generace.&lt; Zato jsou zase jiní pro naprosté zrušení př</w:t>
      </w:r>
      <w:r>
        <w:rPr>
          <w:sz w:val="19"/>
          <w:szCs w:val="19"/>
        </w:rPr>
        <w:t>istěhovaleckých zákonů a přimlouvají se, aby všichni političtí vězňové byli vpuštěni. Diskuse o tom neustávají. Vidíte, že ne</w:t>
      </w:r>
      <w:r>
        <w:rPr>
          <w:sz w:val="19"/>
          <w:szCs w:val="19"/>
        </w:rPr>
        <w:softHyphen/>
        <w:t>jen pro Evropu, ale i pro Ameriku je vystěhovalectví jedním z nejdůležitějších problémů.</w:t>
      </w:r>
    </w:p>
    <w:p w:rsidR="00500724" w:rsidRDefault="00F30FB8">
      <w:pPr>
        <w:pStyle w:val="Zkladntext100"/>
        <w:shd w:val="clear" w:color="auto" w:fill="auto"/>
        <w:spacing w:line="211" w:lineRule="auto"/>
        <w:ind w:firstLine="0"/>
        <w:jc w:val="center"/>
        <w:rPr>
          <w:sz w:val="19"/>
          <w:szCs w:val="19"/>
        </w:rPr>
      </w:pPr>
      <w:r>
        <w:rPr>
          <w:sz w:val="19"/>
          <w:szCs w:val="19"/>
        </w:rPr>
        <w:t>Učte se americky!</w:t>
      </w:r>
    </w:p>
    <w:p w:rsidR="00500724" w:rsidRDefault="00F30FB8">
      <w:pPr>
        <w:pStyle w:val="Zkladntext100"/>
        <w:shd w:val="clear" w:color="auto" w:fill="auto"/>
        <w:spacing w:line="211" w:lineRule="auto"/>
        <w:ind w:firstLine="220"/>
        <w:rPr>
          <w:sz w:val="19"/>
          <w:szCs w:val="19"/>
        </w:rPr>
      </w:pPr>
      <w:r>
        <w:rPr>
          <w:sz w:val="19"/>
          <w:szCs w:val="19"/>
        </w:rPr>
        <w:t>Patrně urazím mnoho uči</w:t>
      </w:r>
      <w:r>
        <w:rPr>
          <w:sz w:val="19"/>
          <w:szCs w:val="19"/>
        </w:rPr>
        <w:t>telů, ale přes to musím říci, že nedovedou učit anglicky. Jinak by nebylo možné, aby většina imigrantů, přicházejících do Ameriky, kteří se v Evropě dlouho učili angličtině, byla tak do</w:t>
      </w:r>
      <w:r>
        <w:rPr>
          <w:sz w:val="19"/>
          <w:szCs w:val="19"/>
        </w:rPr>
        <w:softHyphen/>
        <w:t>konale bezmocná. Pokud mluví mezi sebou nebo s cizin</w:t>
      </w:r>
      <w:r>
        <w:rPr>
          <w:sz w:val="19"/>
          <w:szCs w:val="19"/>
        </w:rPr>
        <w:softHyphen/>
        <w:t xml:space="preserve">cem, jde to. Ale </w:t>
      </w:r>
      <w:r>
        <w:rPr>
          <w:sz w:val="19"/>
          <w:szCs w:val="19"/>
        </w:rPr>
        <w:t>jen se ocitnou před prvním Američanem, selhávají vědomosti, nasbírané v Evropě.</w:t>
      </w:r>
    </w:p>
    <w:p w:rsidR="00500724" w:rsidRDefault="00F30FB8">
      <w:pPr>
        <w:pStyle w:val="Zkladntext100"/>
        <w:shd w:val="clear" w:color="auto" w:fill="auto"/>
        <w:spacing w:line="211" w:lineRule="auto"/>
        <w:ind w:firstLine="220"/>
        <w:rPr>
          <w:sz w:val="19"/>
          <w:szCs w:val="19"/>
        </w:rPr>
      </w:pPr>
      <w:r>
        <w:rPr>
          <w:sz w:val="19"/>
          <w:szCs w:val="19"/>
        </w:rPr>
        <w:t>Imigrant, který přijede do Nového Yorku, musí co nej</w:t>
      </w:r>
      <w:r>
        <w:rPr>
          <w:sz w:val="19"/>
          <w:szCs w:val="19"/>
        </w:rPr>
        <w:softHyphen/>
        <w:t>dříve mluvit anglicky. Třeba ne dobře, ale honem. Lidé, kteří se stěhují do Ameriky, musí se učit jinak: nemusí mluvit krás</w:t>
      </w:r>
      <w:r>
        <w:rPr>
          <w:sz w:val="19"/>
          <w:szCs w:val="19"/>
        </w:rPr>
        <w:t>nou angličtinou, zato však praktic</w:t>
      </w:r>
      <w:r>
        <w:rPr>
          <w:sz w:val="19"/>
          <w:szCs w:val="19"/>
        </w:rPr>
        <w:softHyphen/>
        <w:t>kou američtinou, která jim dovolí, aby se představili, aby telefonovali. Máte ponětí, jak je těžké telefonovat v cizí řeči?</w:t>
      </w:r>
    </w:p>
    <w:p w:rsidR="00500724" w:rsidRDefault="00F30FB8">
      <w:pPr>
        <w:pStyle w:val="Zkladntext100"/>
        <w:shd w:val="clear" w:color="auto" w:fill="auto"/>
        <w:spacing w:line="211" w:lineRule="auto"/>
        <w:ind w:firstLine="220"/>
        <w:rPr>
          <w:sz w:val="19"/>
          <w:szCs w:val="19"/>
        </w:rPr>
      </w:pPr>
      <w:r>
        <w:rPr>
          <w:sz w:val="19"/>
          <w:szCs w:val="19"/>
        </w:rPr>
        <w:t>Abych vám prakticky poradil: nemůžete-li se učit u rodného Američana, učte se americkou konversac</w:t>
      </w:r>
      <w:r>
        <w:rPr>
          <w:sz w:val="19"/>
          <w:szCs w:val="19"/>
        </w:rPr>
        <w:t>i každodenního života z amerických novin. I když jsou psány strašlivou angličtinou, je to, příteli, angličtina, která se stane tvou příští mateřštinou! Ještě působivější jsou americké magazíny, ve kterých jsou krátké po</w:t>
      </w:r>
      <w:r>
        <w:rPr>
          <w:sz w:val="19"/>
          <w:szCs w:val="19"/>
        </w:rPr>
        <w:softHyphen/>
        <w:t>vídky a v nich zase typický americký</w:t>
      </w:r>
      <w:r>
        <w:rPr>
          <w:sz w:val="19"/>
          <w:szCs w:val="19"/>
        </w:rPr>
        <w:t xml:space="preserve"> dialog v mírném nářečí, takže neztratíte nervy, až po prvé uslyšíte mezi </w:t>
      </w:r>
      <w:r>
        <w:rPr>
          <w:sz w:val="19"/>
          <w:szCs w:val="19"/>
          <w:lang w:val="en-US" w:eastAsia="en-US" w:bidi="en-US"/>
        </w:rPr>
        <w:t xml:space="preserve">Battery a Columbus Circle </w:t>
      </w:r>
      <w:r>
        <w:rPr>
          <w:sz w:val="19"/>
          <w:szCs w:val="19"/>
        </w:rPr>
        <w:t>hovořit s&gt;po americkuc.</w:t>
      </w:r>
    </w:p>
    <w:p w:rsidR="00500724" w:rsidRDefault="00F30FB8">
      <w:pPr>
        <w:pStyle w:val="Zkladntext100"/>
        <w:shd w:val="clear" w:color="auto" w:fill="auto"/>
        <w:spacing w:line="214" w:lineRule="auto"/>
        <w:ind w:firstLine="220"/>
        <w:rPr>
          <w:sz w:val="19"/>
          <w:szCs w:val="19"/>
        </w:rPr>
      </w:pPr>
      <w:r>
        <w:rPr>
          <w:sz w:val="19"/>
          <w:szCs w:val="19"/>
        </w:rPr>
        <w:t>fteě je s počátku vůbec nejdůležitější. Kupec, který má zastoupení a dělá návštěvy, mladý intelektuál, kte</w:t>
      </w:r>
      <w:r>
        <w:rPr>
          <w:sz w:val="19"/>
          <w:szCs w:val="19"/>
        </w:rPr>
        <w:softHyphen/>
      </w:r>
      <w:r>
        <w:rPr>
          <w:sz w:val="19"/>
          <w:szCs w:val="19"/>
        </w:rPr>
        <w:t xml:space="preserve">rý běhá po schodech nahoru a dolů, aby utrhl nějaké místečko, dívka, která jde do americké rodiny za kuchařku, </w:t>
      </w:r>
      <w:r>
        <w:rPr>
          <w:sz w:val="19"/>
          <w:szCs w:val="19"/>
          <w:lang w:val="en-US" w:eastAsia="en-US" w:bidi="en-US"/>
        </w:rPr>
        <w:t xml:space="preserve">nurse, </w:t>
      </w:r>
      <w:r>
        <w:rPr>
          <w:sz w:val="19"/>
          <w:szCs w:val="19"/>
        </w:rPr>
        <w:t>panská a statisíce malých úředníčků — všichni musí mluvit, špatně, hůř, lépe, ale mluvit musí.</w:t>
      </w:r>
    </w:p>
    <w:p w:rsidR="00500724" w:rsidRDefault="00F30FB8">
      <w:pPr>
        <w:pStyle w:val="Zkladntext100"/>
        <w:shd w:val="clear" w:color="auto" w:fill="auto"/>
        <w:spacing w:line="211" w:lineRule="auto"/>
        <w:ind w:firstLine="0"/>
        <w:jc w:val="center"/>
        <w:rPr>
          <w:sz w:val="19"/>
          <w:szCs w:val="19"/>
        </w:rPr>
      </w:pPr>
      <w:r>
        <w:rPr>
          <w:sz w:val="19"/>
          <w:szCs w:val="19"/>
          <w:lang w:val="en-US" w:eastAsia="en-US" w:bidi="en-US"/>
        </w:rPr>
        <w:t xml:space="preserve">Ellis </w:t>
      </w:r>
      <w:r>
        <w:rPr>
          <w:sz w:val="19"/>
          <w:szCs w:val="19"/>
        </w:rPr>
        <w:t>Island</w:t>
      </w:r>
    </w:p>
    <w:p w:rsidR="00500724" w:rsidRDefault="00F30FB8">
      <w:pPr>
        <w:pStyle w:val="Zkladntext100"/>
        <w:shd w:val="clear" w:color="auto" w:fill="auto"/>
        <w:spacing w:line="211" w:lineRule="auto"/>
        <w:ind w:firstLine="220"/>
        <w:rPr>
          <w:sz w:val="19"/>
          <w:szCs w:val="19"/>
        </w:rPr>
      </w:pPr>
      <w:r>
        <w:rPr>
          <w:sz w:val="19"/>
          <w:szCs w:val="19"/>
          <w:lang w:val="en-US" w:eastAsia="en-US" w:bidi="en-US"/>
        </w:rPr>
        <w:t xml:space="preserve">Ellis </w:t>
      </w:r>
      <w:r>
        <w:rPr>
          <w:sz w:val="19"/>
          <w:szCs w:val="19"/>
        </w:rPr>
        <w:t>Island je můra všech vys</w:t>
      </w:r>
      <w:r>
        <w:rPr>
          <w:sz w:val="19"/>
          <w:szCs w:val="19"/>
        </w:rPr>
        <w:t>těhovalců. Pokud jsou v Evropě, mají tolik starostí se zaopatřením všech do</w:t>
      </w:r>
      <w:r>
        <w:rPr>
          <w:sz w:val="19"/>
          <w:szCs w:val="19"/>
        </w:rPr>
        <w:softHyphen/>
        <w:t>kumentů, s visem, s přesídlením, s devisami, že si na nic jiného ani nevzpomenou. Teprve na lodi začíná nová starost. Je to většinou starost přehnaná a ne</w:t>
      </w:r>
      <w:r>
        <w:rPr>
          <w:sz w:val="19"/>
          <w:szCs w:val="19"/>
        </w:rPr>
        <w:softHyphen/>
        <w:t>odůvodněná. Může se vůbec</w:t>
      </w:r>
      <w:r>
        <w:rPr>
          <w:sz w:val="19"/>
          <w:szCs w:val="19"/>
        </w:rPr>
        <w:t xml:space="preserve"> přihodit, aby měl přistěho</w:t>
      </w:r>
      <w:r>
        <w:rPr>
          <w:sz w:val="19"/>
          <w:szCs w:val="19"/>
        </w:rPr>
        <w:softHyphen/>
        <w:t xml:space="preserve">valec, který má všechny papíry v pořádku, přeseto vrácen? Přihází se to, ale velmi zřídka. Když něco nesouhlasí, je cestující dopraven na </w:t>
      </w:r>
      <w:r>
        <w:rPr>
          <w:sz w:val="19"/>
          <w:szCs w:val="19"/>
          <w:lang w:val="en-US" w:eastAsia="en-US" w:bidi="en-US"/>
        </w:rPr>
        <w:t xml:space="preserve">Ellis </w:t>
      </w:r>
      <w:r>
        <w:rPr>
          <w:sz w:val="19"/>
          <w:szCs w:val="19"/>
        </w:rPr>
        <w:t>Island, na malý ostrov proti Manhattanu.</w:t>
      </w:r>
    </w:p>
    <w:p w:rsidR="00500724" w:rsidRDefault="00F30FB8">
      <w:pPr>
        <w:pStyle w:val="Zkladntext100"/>
        <w:shd w:val="clear" w:color="auto" w:fill="auto"/>
        <w:spacing w:line="211" w:lineRule="auto"/>
        <w:ind w:firstLine="220"/>
        <w:rPr>
          <w:sz w:val="19"/>
          <w:szCs w:val="19"/>
        </w:rPr>
      </w:pPr>
      <w:r>
        <w:rPr>
          <w:sz w:val="19"/>
          <w:szCs w:val="19"/>
        </w:rPr>
        <w:t xml:space="preserve">Být dopraven na </w:t>
      </w:r>
      <w:r>
        <w:rPr>
          <w:sz w:val="19"/>
          <w:szCs w:val="19"/>
          <w:lang w:val="en-US" w:eastAsia="en-US" w:bidi="en-US"/>
        </w:rPr>
        <w:t xml:space="preserve">Ellis </w:t>
      </w:r>
      <w:r>
        <w:rPr>
          <w:sz w:val="19"/>
          <w:szCs w:val="19"/>
        </w:rPr>
        <w:t>Island znamená pro vě</w:t>
      </w:r>
      <w:r>
        <w:rPr>
          <w:sz w:val="19"/>
          <w:szCs w:val="19"/>
        </w:rPr>
        <w:t>tšinu</w:t>
      </w:r>
    </w:p>
    <w:p w:rsidR="00500724" w:rsidRDefault="00F30FB8">
      <w:pPr>
        <w:pStyle w:val="Zkladntext40"/>
        <w:shd w:val="clear" w:color="auto" w:fill="auto"/>
        <w:spacing w:after="0" w:line="286" w:lineRule="auto"/>
        <w:rPr>
          <w:sz w:val="14"/>
          <w:szCs w:val="14"/>
        </w:rPr>
      </w:pPr>
      <w:r>
        <w:rPr>
          <w:b/>
          <w:bCs/>
          <w:sz w:val="14"/>
          <w:szCs w:val="14"/>
        </w:rPr>
        <w:t xml:space="preserve">lidi asi totéž, jako jízda do pekel. </w:t>
      </w:r>
      <w:r>
        <w:rPr>
          <w:b/>
          <w:bCs/>
          <w:sz w:val="14"/>
          <w:szCs w:val="14"/>
          <w:lang w:val="en-US" w:eastAsia="en-US" w:bidi="en-US"/>
        </w:rPr>
        <w:t xml:space="preserve">Ellis </w:t>
      </w:r>
      <w:r>
        <w:rPr>
          <w:b/>
          <w:bCs/>
          <w:sz w:val="14"/>
          <w:szCs w:val="14"/>
        </w:rPr>
        <w:t>Island se oby</w:t>
      </w:r>
      <w:r>
        <w:rPr>
          <w:b/>
          <w:bCs/>
          <w:sz w:val="14"/>
          <w:szCs w:val="14"/>
        </w:rPr>
        <w:softHyphen/>
        <w:t>čejně líčí jako něco mezi Ďábelskými ostrovy a Sing- Singem. Kdybyste tam přijeli, shledali byste, že je to nepravda. Je to malý ostrov s několika budovami. Vy</w:t>
      </w:r>
      <w:r>
        <w:rPr>
          <w:b/>
          <w:bCs/>
          <w:sz w:val="14"/>
          <w:szCs w:val="14"/>
        </w:rPr>
        <w:softHyphen/>
        <w:t xml:space="preserve">soké a prostrané místnosti jsou </w:t>
      </w:r>
      <w:r>
        <w:rPr>
          <w:b/>
          <w:bCs/>
          <w:sz w:val="14"/>
          <w:szCs w:val="14"/>
        </w:rPr>
        <w:t>vzdušné a čisté. Jenom i— lidé tu nejsou na svobodě. Hledí na mrakodrapy, vidí &gt;Skyline«, patří do zaslíbené země Ameriky, ale jenom tenoučkými ocelovými mřížemi, které se staví mezi ně a nový život. Mají za sebou strašné týdny, mnozí obětovali poslední, a</w:t>
      </w:r>
      <w:r>
        <w:rPr>
          <w:b/>
          <w:bCs/>
          <w:sz w:val="14"/>
          <w:szCs w:val="14"/>
        </w:rPr>
        <w:t>by se sem dostali a teď — jaká ironie — hledí na Ameriku a nemohou do ní.</w:t>
      </w:r>
    </w:p>
    <w:p w:rsidR="00500724" w:rsidRDefault="00F30FB8">
      <w:pPr>
        <w:pStyle w:val="Zkladntext40"/>
        <w:shd w:val="clear" w:color="auto" w:fill="auto"/>
        <w:spacing w:after="0" w:line="293" w:lineRule="auto"/>
        <w:ind w:firstLine="220"/>
        <w:rPr>
          <w:sz w:val="14"/>
          <w:szCs w:val="14"/>
        </w:rPr>
      </w:pPr>
      <w:r>
        <w:rPr>
          <w:b/>
          <w:bCs/>
          <w:sz w:val="14"/>
          <w:szCs w:val="14"/>
        </w:rPr>
        <w:t xml:space="preserve">Jeden z klasických rozhovorů na </w:t>
      </w:r>
      <w:r>
        <w:rPr>
          <w:b/>
          <w:bCs/>
          <w:sz w:val="14"/>
          <w:szCs w:val="14"/>
          <w:lang w:val="en-US" w:eastAsia="en-US" w:bidi="en-US"/>
        </w:rPr>
        <w:t xml:space="preserve">Ellis </w:t>
      </w:r>
      <w:r>
        <w:rPr>
          <w:b/>
          <w:bCs/>
          <w:sz w:val="14"/>
          <w:szCs w:val="14"/>
        </w:rPr>
        <w:t>Islandu, které Se staly už mnohým imigrantům osudné:</w:t>
      </w:r>
    </w:p>
    <w:p w:rsidR="00500724" w:rsidRDefault="00F30FB8">
      <w:pPr>
        <w:pStyle w:val="Zkladntext40"/>
        <w:shd w:val="clear" w:color="auto" w:fill="auto"/>
        <w:spacing w:after="0" w:line="288" w:lineRule="auto"/>
        <w:ind w:firstLine="220"/>
        <w:rPr>
          <w:sz w:val="14"/>
          <w:szCs w:val="14"/>
        </w:rPr>
      </w:pPr>
      <w:r>
        <w:rPr>
          <w:b/>
          <w:bCs/>
          <w:sz w:val="14"/>
          <w:szCs w:val="14"/>
        </w:rPr>
        <w:t>^Inspektor: »Kolik máte s sebou peněz?*</w:t>
      </w:r>
    </w:p>
    <w:p w:rsidR="00500724" w:rsidRDefault="00F30FB8">
      <w:pPr>
        <w:pStyle w:val="Zkladntext100"/>
        <w:shd w:val="clear" w:color="auto" w:fill="auto"/>
        <w:spacing w:line="240" w:lineRule="auto"/>
        <w:ind w:firstLine="220"/>
        <w:rPr>
          <w:sz w:val="19"/>
          <w:szCs w:val="19"/>
        </w:rPr>
      </w:pPr>
      <w:r>
        <w:rPr>
          <w:sz w:val="19"/>
          <w:szCs w:val="19"/>
        </w:rPr>
        <w:t>Přistěhovalec: &gt;Dvacet jeden dolar.«</w:t>
      </w:r>
    </w:p>
    <w:p w:rsidR="00500724" w:rsidRDefault="00F30FB8">
      <w:pPr>
        <w:pStyle w:val="Zkladntext40"/>
        <w:shd w:val="clear" w:color="auto" w:fill="auto"/>
        <w:spacing w:after="0" w:line="293" w:lineRule="auto"/>
        <w:ind w:firstLine="220"/>
        <w:rPr>
          <w:sz w:val="14"/>
          <w:szCs w:val="14"/>
        </w:rPr>
      </w:pPr>
      <w:r>
        <w:rPr>
          <w:b/>
          <w:bCs/>
          <w:sz w:val="14"/>
          <w:szCs w:val="14"/>
        </w:rPr>
        <w:t>^Inspektor: Dv</w:t>
      </w:r>
      <w:r>
        <w:rPr>
          <w:b/>
          <w:bCs/>
          <w:sz w:val="14"/>
          <w:szCs w:val="14"/>
        </w:rPr>
        <w:t>acet jeden dolar? Jak dlouho s tím Chcete vystačit?*</w:t>
      </w:r>
    </w:p>
    <w:p w:rsidR="00500724" w:rsidRDefault="00F30FB8">
      <w:pPr>
        <w:pStyle w:val="Zkladntext40"/>
        <w:shd w:val="clear" w:color="auto" w:fill="auto"/>
        <w:spacing w:after="0" w:line="290" w:lineRule="auto"/>
        <w:ind w:firstLine="220"/>
        <w:rPr>
          <w:sz w:val="14"/>
          <w:szCs w:val="14"/>
        </w:rPr>
      </w:pPr>
      <w:r>
        <w:rPr>
          <w:b/>
          <w:bCs/>
          <w:sz w:val="14"/>
          <w:szCs w:val="14"/>
        </w:rPr>
        <w:t>Přistěhovalec: &gt; Já... já nevím. Já ... já budu spořit.*</w:t>
      </w:r>
    </w:p>
    <w:p w:rsidR="00500724" w:rsidRDefault="00F30FB8">
      <w:pPr>
        <w:pStyle w:val="Zkladntext40"/>
        <w:shd w:val="clear" w:color="auto" w:fill="auto"/>
        <w:spacing w:after="0" w:line="290" w:lineRule="auto"/>
        <w:ind w:firstLine="220"/>
        <w:rPr>
          <w:sz w:val="14"/>
          <w:szCs w:val="14"/>
        </w:rPr>
      </w:pPr>
      <w:r>
        <w:rPr>
          <w:b/>
          <w:bCs/>
          <w:sz w:val="14"/>
          <w:szCs w:val="14"/>
        </w:rPr>
        <w:t>Inspektor: &gt;Při největší šetrnosti vám brzy dojdou peníze. Co potom?* (Dívá se na přistěhovalce upřeně.)</w:t>
      </w:r>
    </w:p>
    <w:p w:rsidR="00500724" w:rsidRDefault="00F30FB8">
      <w:pPr>
        <w:pStyle w:val="Zkladntext40"/>
        <w:shd w:val="clear" w:color="auto" w:fill="auto"/>
        <w:spacing w:after="0" w:line="290" w:lineRule="auto"/>
        <w:ind w:firstLine="220"/>
        <w:rPr>
          <w:sz w:val="14"/>
          <w:szCs w:val="14"/>
        </w:rPr>
      </w:pPr>
      <w:r>
        <w:rPr>
          <w:b/>
          <w:bCs/>
          <w:sz w:val="14"/>
          <w:szCs w:val="14"/>
        </w:rPr>
        <w:t>Přistěhovalec (změněným hlasem, jako by h</w:t>
      </w:r>
      <w:r>
        <w:rPr>
          <w:b/>
          <w:bCs/>
          <w:sz w:val="14"/>
          <w:szCs w:val="14"/>
        </w:rPr>
        <w:t>o osvítil nápad): &gt;Já budu pracovat!*</w:t>
      </w:r>
    </w:p>
    <w:p w:rsidR="00500724" w:rsidRDefault="00F30FB8">
      <w:pPr>
        <w:pStyle w:val="Zkladntext40"/>
        <w:shd w:val="clear" w:color="auto" w:fill="auto"/>
        <w:spacing w:after="0" w:line="286" w:lineRule="auto"/>
        <w:ind w:firstLine="220"/>
        <w:rPr>
          <w:sz w:val="14"/>
          <w:szCs w:val="14"/>
        </w:rPr>
      </w:pPr>
      <w:r>
        <w:rPr>
          <w:b/>
          <w:bCs/>
          <w:sz w:val="14"/>
          <w:szCs w:val="14"/>
        </w:rPr>
        <w:t>Inspektor: &gt;Pracovat? Kde? Najít práci v Novém Yorku není tak snadné.*</w:t>
      </w:r>
    </w:p>
    <w:p w:rsidR="00500724" w:rsidRDefault="00F30FB8">
      <w:pPr>
        <w:pStyle w:val="Zkladntext40"/>
        <w:shd w:val="clear" w:color="auto" w:fill="auto"/>
        <w:spacing w:after="0" w:line="288" w:lineRule="auto"/>
        <w:ind w:firstLine="220"/>
        <w:rPr>
          <w:sz w:val="14"/>
          <w:szCs w:val="14"/>
        </w:rPr>
      </w:pPr>
      <w:r>
        <w:rPr>
          <w:b/>
          <w:bCs/>
          <w:sz w:val="14"/>
          <w:szCs w:val="14"/>
        </w:rPr>
        <w:t>Přistěhovalec: »Mám slíbenou práci.. .&lt;</w:t>
      </w:r>
    </w:p>
    <w:p w:rsidR="00500724" w:rsidRDefault="00F30FB8">
      <w:pPr>
        <w:pStyle w:val="Zkladntext40"/>
        <w:shd w:val="clear" w:color="auto" w:fill="auto"/>
        <w:spacing w:after="0" w:line="288" w:lineRule="auto"/>
        <w:ind w:firstLine="220"/>
        <w:rPr>
          <w:sz w:val="14"/>
          <w:szCs w:val="14"/>
        </w:rPr>
      </w:pPr>
      <w:r>
        <w:rPr>
          <w:b/>
          <w:bCs/>
          <w:sz w:val="14"/>
          <w:szCs w:val="14"/>
        </w:rPr>
        <w:t>Inspektor se probudí: »Slíbenou? Od koho?*</w:t>
      </w:r>
    </w:p>
    <w:p w:rsidR="00500724" w:rsidRDefault="00F30FB8">
      <w:pPr>
        <w:pStyle w:val="Zkladntext40"/>
        <w:shd w:val="clear" w:color="auto" w:fill="auto"/>
        <w:spacing w:after="0" w:line="288" w:lineRule="auto"/>
        <w:ind w:firstLine="220"/>
        <w:rPr>
          <w:sz w:val="14"/>
          <w:szCs w:val="14"/>
        </w:rPr>
      </w:pPr>
      <w:r>
        <w:rPr>
          <w:b/>
          <w:bCs/>
          <w:sz w:val="14"/>
          <w:szCs w:val="14"/>
        </w:rPr>
        <w:t xml:space="preserve">Přistěhovalec (znervosnělý, už plný tušení, že provedl </w:t>
      </w:r>
      <w:r>
        <w:rPr>
          <w:b/>
          <w:bCs/>
          <w:sz w:val="14"/>
          <w:szCs w:val="14"/>
        </w:rPr>
        <w:t>hloupost): &gt;Můj ... strýc.. .*</w:t>
      </w:r>
    </w:p>
    <w:p w:rsidR="00500724" w:rsidRDefault="00F30FB8">
      <w:pPr>
        <w:pStyle w:val="Zkladntext40"/>
        <w:shd w:val="clear" w:color="auto" w:fill="auto"/>
        <w:spacing w:after="0" w:line="288" w:lineRule="auto"/>
        <w:ind w:firstLine="220"/>
        <w:rPr>
          <w:sz w:val="14"/>
          <w:szCs w:val="14"/>
        </w:rPr>
      </w:pPr>
      <w:r>
        <w:rPr>
          <w:b/>
          <w:bCs/>
          <w:sz w:val="14"/>
          <w:szCs w:val="14"/>
        </w:rPr>
        <w:t>Přistěhovalec netuší, že mu tato výpověď může být osudnou. Americký zákon zapovídá slibovati přistěho</w:t>
      </w:r>
      <w:r>
        <w:rPr>
          <w:b/>
          <w:bCs/>
          <w:sz w:val="14"/>
          <w:szCs w:val="14"/>
        </w:rPr>
        <w:softHyphen/>
        <w:t>valci práci před příchodem do země.</w:t>
      </w:r>
    </w:p>
    <w:p w:rsidR="00500724" w:rsidRDefault="00F30FB8">
      <w:pPr>
        <w:pStyle w:val="Zkladntext40"/>
        <w:shd w:val="clear" w:color="auto" w:fill="auto"/>
        <w:spacing w:after="0" w:line="288" w:lineRule="auto"/>
        <w:ind w:firstLine="220"/>
        <w:rPr>
          <w:sz w:val="14"/>
          <w:szCs w:val="14"/>
        </w:rPr>
      </w:pPr>
      <w:r>
        <w:rPr>
          <w:b/>
          <w:bCs/>
          <w:sz w:val="14"/>
          <w:szCs w:val="14"/>
        </w:rPr>
        <w:t>O každém sporném případě rozhoduje tříčlenná komise. Inspektoři jsou přísní, drží se př</w:t>
      </w:r>
      <w:r>
        <w:rPr>
          <w:b/>
          <w:bCs/>
          <w:sz w:val="14"/>
          <w:szCs w:val="14"/>
        </w:rPr>
        <w:t>edpisů a záko</w:t>
      </w:r>
      <w:r>
        <w:rPr>
          <w:b/>
          <w:bCs/>
          <w:sz w:val="14"/>
          <w:szCs w:val="14"/>
        </w:rPr>
        <w:softHyphen/>
        <w:t xml:space="preserve">nů, ale jsou to muži </w:t>
      </w:r>
      <w:r>
        <w:rPr>
          <w:b/>
          <w:bCs/>
          <w:sz w:val="20"/>
          <w:szCs w:val="20"/>
        </w:rPr>
        <w:t xml:space="preserve">s </w:t>
      </w:r>
      <w:r>
        <w:rPr>
          <w:b/>
          <w:bCs/>
          <w:sz w:val="14"/>
          <w:szCs w:val="14"/>
        </w:rPr>
        <w:t>americkým srdcem, které má soucit se všemi slabými a bezmocnými. Nezatajují svůj obdiv:</w:t>
      </w:r>
    </w:p>
    <w:p w:rsidR="00500724" w:rsidRDefault="00F30FB8">
      <w:pPr>
        <w:pStyle w:val="Zkladntext40"/>
        <w:shd w:val="clear" w:color="auto" w:fill="auto"/>
        <w:spacing w:after="0" w:line="288" w:lineRule="auto"/>
        <w:ind w:firstLine="220"/>
        <w:rPr>
          <w:sz w:val="14"/>
          <w:szCs w:val="14"/>
        </w:rPr>
      </w:pPr>
      <w:r>
        <w:rPr>
          <w:b/>
          <w:bCs/>
          <w:sz w:val="14"/>
          <w:szCs w:val="14"/>
        </w:rPr>
        <w:t>sDenně přichází do Nového Yorku tři sta přistěhoval</w:t>
      </w:r>
      <w:r>
        <w:rPr>
          <w:b/>
          <w:bCs/>
          <w:sz w:val="14"/>
          <w:szCs w:val="14"/>
        </w:rPr>
        <w:softHyphen/>
        <w:t>ců. Většina jich má papíry v naprostém pořádku, ale peníze nemají žádné. Padesá</w:t>
      </w:r>
      <w:r>
        <w:rPr>
          <w:b/>
          <w:bCs/>
          <w:sz w:val="14"/>
          <w:szCs w:val="14"/>
        </w:rPr>
        <w:t>t dolarů je všechno, co jim nechali, a mnoho jich nemá ani tolik. A přece se stává zřídka, že by někdo padl na obtíž veřejné dobro</w:t>
      </w:r>
      <w:r>
        <w:rPr>
          <w:b/>
          <w:bCs/>
          <w:sz w:val="14"/>
          <w:szCs w:val="14"/>
        </w:rPr>
        <w:softHyphen/>
        <w:t>činnosti. Musíme však býti přísní, protože už zítra třeba se sem nastěhují lidé, kteří nemají nic, nevydělají nic a budou mus</w:t>
      </w:r>
      <w:r>
        <w:rPr>
          <w:b/>
          <w:bCs/>
          <w:sz w:val="14"/>
          <w:szCs w:val="14"/>
        </w:rPr>
        <w:t>et být podporováni.*</w:t>
      </w:r>
    </w:p>
    <w:p w:rsidR="00500724" w:rsidRDefault="00F30FB8">
      <w:pPr>
        <w:pStyle w:val="Zkladntext40"/>
        <w:shd w:val="clear" w:color="auto" w:fill="auto"/>
        <w:spacing w:after="0" w:line="288" w:lineRule="auto"/>
        <w:ind w:firstLine="220"/>
        <w:rPr>
          <w:sz w:val="14"/>
          <w:szCs w:val="14"/>
        </w:rPr>
      </w:pPr>
      <w:r>
        <w:rPr>
          <w:b/>
          <w:bCs/>
          <w:sz w:val="14"/>
          <w:szCs w:val="14"/>
        </w:rPr>
        <w:t>Imigrační úředníci jsou většinou starší lidé, kteří už prodělali několik přistěhovaleckých vln. Vědí, že se dřív nezačínalo v Americe tak těžko, jako dnes. &gt;Dřív se příchozí ptali: co můžeme čekat od Ameriky?*, povídá</w:t>
      </w:r>
    </w:p>
    <w:p w:rsidR="00500724" w:rsidRDefault="00F30FB8">
      <w:pPr>
        <w:pStyle w:val="Zkladntext40"/>
        <w:framePr w:dropCap="drop" w:lines="2" w:wrap="auto" w:vAnchor="text" w:hAnchor="text"/>
        <w:shd w:val="clear" w:color="auto" w:fill="auto"/>
        <w:spacing w:line="283" w:lineRule="exact"/>
        <w:rPr>
          <w:sz w:val="14"/>
          <w:szCs w:val="14"/>
        </w:rPr>
      </w:pPr>
      <w:r>
        <w:rPr>
          <w:rFonts w:ascii="Arial" w:eastAsia="Arial" w:hAnsi="Arial" w:cs="Arial"/>
          <w:b/>
          <w:bCs/>
          <w:position w:val="-6"/>
          <w:sz w:val="40"/>
          <w:szCs w:val="40"/>
        </w:rPr>
        <w:t>1</w:t>
      </w:r>
    </w:p>
    <w:p w:rsidR="00500724" w:rsidRDefault="00F30FB8">
      <w:pPr>
        <w:pStyle w:val="Zkladntext40"/>
        <w:shd w:val="clear" w:color="auto" w:fill="auto"/>
        <w:spacing w:line="288" w:lineRule="auto"/>
        <w:rPr>
          <w:sz w:val="14"/>
          <w:szCs w:val="14"/>
        </w:rPr>
      </w:pPr>
      <w:r>
        <w:rPr>
          <w:b/>
          <w:bCs/>
          <w:sz w:val="14"/>
          <w:szCs w:val="14"/>
        </w:rPr>
        <w:t xml:space="preserve">'eden úředník. </w:t>
      </w:r>
      <w:r>
        <w:rPr>
          <w:b/>
          <w:bCs/>
          <w:sz w:val="14"/>
          <w:szCs w:val="14"/>
        </w:rPr>
        <w:t>&gt;Dnes je tomu opačně, dnes se musíme :aždého příchozího vyptávat: Co můžete Americe na</w:t>
      </w:r>
      <w:r>
        <w:rPr>
          <w:b/>
          <w:bCs/>
          <w:sz w:val="14"/>
          <w:szCs w:val="14"/>
        </w:rPr>
        <w:softHyphen/>
        <w:t>bídnout? A není-li odpověď uspokojivá ...«</w:t>
      </w:r>
    </w:p>
    <w:p w:rsidR="00500724" w:rsidRDefault="00F30FB8">
      <w:pPr>
        <w:pStyle w:val="Zkladntext40"/>
        <w:shd w:val="clear" w:color="auto" w:fill="auto"/>
        <w:spacing w:after="0" w:line="379" w:lineRule="auto"/>
        <w:ind w:left="200" w:firstLine="880"/>
        <w:jc w:val="left"/>
        <w:rPr>
          <w:sz w:val="14"/>
          <w:szCs w:val="14"/>
        </w:rPr>
      </w:pPr>
      <w:r>
        <w:rPr>
          <w:b/>
          <w:bCs/>
          <w:sz w:val="14"/>
          <w:szCs w:val="14"/>
        </w:rPr>
        <w:t xml:space="preserve">Každý začátek je těžký V kafeterii blízko </w:t>
      </w:r>
      <w:r>
        <w:rPr>
          <w:b/>
          <w:bCs/>
          <w:sz w:val="14"/>
          <w:szCs w:val="14"/>
          <w:lang w:val="en-US" w:eastAsia="en-US" w:bidi="en-US"/>
        </w:rPr>
        <w:t xml:space="preserve">Broadway </w:t>
      </w:r>
      <w:r>
        <w:rPr>
          <w:b/>
          <w:bCs/>
          <w:sz w:val="14"/>
          <w:szCs w:val="14"/>
        </w:rPr>
        <w:t>sedí dva muži a baví se.</w:t>
      </w:r>
    </w:p>
    <w:p w:rsidR="00500724" w:rsidRDefault="00F30FB8">
      <w:pPr>
        <w:pStyle w:val="Zkladntext40"/>
        <w:shd w:val="clear" w:color="auto" w:fill="auto"/>
        <w:spacing w:after="0" w:line="283" w:lineRule="auto"/>
        <w:rPr>
          <w:sz w:val="14"/>
          <w:szCs w:val="14"/>
        </w:rPr>
      </w:pPr>
      <w:r>
        <w:rPr>
          <w:b/>
          <w:bCs/>
          <w:sz w:val="14"/>
          <w:szCs w:val="14"/>
        </w:rPr>
        <w:t>Stoly jsou těsně u sebe, protože se šetří místem —</w:t>
      </w:r>
      <w:r>
        <w:rPr>
          <w:b/>
          <w:bCs/>
          <w:sz w:val="14"/>
          <w:szCs w:val="14"/>
        </w:rPr>
        <w:t xml:space="preserve"> zde na nejdražší půdě světa — a tak se stanete mimovolně svědkem rozmluvy. Jeden z nich vystupuje sebejistě, faiá pomačkané kalhoty, ponechává klobouk na hlavě, sděluje číšníkovi svá přání a platí účet. Druhý smekl, má báječně vyžehlené puky, sotva koktá </w:t>
      </w:r>
      <w:r>
        <w:rPr>
          <w:b/>
          <w:bCs/>
          <w:sz w:val="14"/>
          <w:szCs w:val="14"/>
        </w:rPr>
        <w:t>anglicky a budí nejistý, bezmocný dojem. Není těžko uhodnout: přistěhovalec s americkým přítelem, který ho pozval na lunch.</w:t>
      </w:r>
    </w:p>
    <w:p w:rsidR="00500724" w:rsidRDefault="00F30FB8">
      <w:pPr>
        <w:pStyle w:val="Zkladntext40"/>
        <w:shd w:val="clear" w:color="auto" w:fill="auto"/>
        <w:spacing w:after="0" w:line="283" w:lineRule="auto"/>
        <w:ind w:firstLine="220"/>
        <w:jc w:val="left"/>
        <w:rPr>
          <w:sz w:val="14"/>
          <w:szCs w:val="14"/>
        </w:rPr>
      </w:pPr>
      <w:r>
        <w:rPr>
          <w:b/>
          <w:bCs/>
          <w:sz w:val="14"/>
          <w:szCs w:val="14"/>
        </w:rPr>
        <w:t>j&gt;Je to nepochopitelné,* praví muž z Evropy, &gt;je to neuvěřitelná odvaha: přijet se čtyřiceti dolary, se kte</w:t>
      </w:r>
      <w:r>
        <w:rPr>
          <w:b/>
          <w:bCs/>
          <w:sz w:val="14"/>
          <w:szCs w:val="14"/>
        </w:rPr>
        <w:softHyphen/>
        <w:t>rými jsem přijel v úterý</w:t>
      </w:r>
      <w:r>
        <w:rPr>
          <w:b/>
          <w:bCs/>
          <w:sz w:val="14"/>
          <w:szCs w:val="14"/>
        </w:rPr>
        <w:t xml:space="preserve">. S těmi mám začít nový život V tomto šíleném městě? Není lépe se rovnou oběsit?* Druhý mu temperamentně plácá na rameno: :&gt;Směšné, styďte se! Tste na tom lépe než statisíce jiných, můj milý. Ano, lépe. Nebof vy jste už zde, legálně v zemi i— ostatní jsou </w:t>
      </w:r>
      <w:r>
        <w:rPr>
          <w:b/>
          <w:bCs/>
          <w:sz w:val="14"/>
          <w:szCs w:val="14"/>
        </w:rPr>
        <w:t>ještě tam.*</w:t>
      </w:r>
    </w:p>
    <w:p w:rsidR="00500724" w:rsidRDefault="00F30FB8">
      <w:pPr>
        <w:pStyle w:val="Zkladntext40"/>
        <w:shd w:val="clear" w:color="auto" w:fill="auto"/>
        <w:spacing w:after="0" w:line="283" w:lineRule="auto"/>
        <w:rPr>
          <w:sz w:val="14"/>
          <w:szCs w:val="14"/>
        </w:rPr>
      </w:pPr>
      <w:r>
        <w:rPr>
          <w:b/>
          <w:bCs/>
          <w:sz w:val="14"/>
          <w:szCs w:val="14"/>
        </w:rPr>
        <w:t xml:space="preserve">, &gt;To je všechno pěkné,* praví Evropan, /dokud jsem byl tam, myslel jsem si: jen být v Americe, třeba žebrat, bez budoucnosti, bez práce, ale tam být! </w:t>
      </w:r>
      <w:r>
        <w:rPr>
          <w:b/>
          <w:bCs/>
          <w:sz w:val="20"/>
          <w:szCs w:val="20"/>
        </w:rPr>
        <w:t xml:space="preserve">A </w:t>
      </w:r>
      <w:r>
        <w:rPr>
          <w:b/>
          <w:bCs/>
          <w:sz w:val="14"/>
          <w:szCs w:val="14"/>
        </w:rPr>
        <w:t>teď, když jsem tady, vidím teprve, jak je to těžké.. .&lt;</w:t>
      </w:r>
    </w:p>
    <w:p w:rsidR="00500724" w:rsidRDefault="00F30FB8">
      <w:pPr>
        <w:pStyle w:val="Zkladntext40"/>
        <w:shd w:val="clear" w:color="auto" w:fill="auto"/>
        <w:spacing w:after="0" w:line="324" w:lineRule="auto"/>
        <w:ind w:firstLine="220"/>
        <w:rPr>
          <w:sz w:val="14"/>
          <w:szCs w:val="14"/>
        </w:rPr>
      </w:pPr>
      <w:r>
        <w:rPr>
          <w:b/>
          <w:bCs/>
          <w:sz w:val="14"/>
          <w:szCs w:val="14"/>
        </w:rPr>
        <w:t xml:space="preserve">»Amerika je nový svět. Udělejte </w:t>
      </w:r>
      <w:r>
        <w:rPr>
          <w:b/>
          <w:bCs/>
          <w:sz w:val="14"/>
          <w:szCs w:val="14"/>
        </w:rPr>
        <w:t>čáru za svým býva</w:t>
      </w:r>
      <w:r>
        <w:rPr>
          <w:b/>
          <w:bCs/>
          <w:sz w:val="14"/>
          <w:szCs w:val="14"/>
        </w:rPr>
        <w:softHyphen/>
        <w:t>lým životem. Zapomeňte na všechno, co bývalo, hleďte do budoucnosti, nikoli do minulosti. Můj dědeček, když sem přijel, měl čtyři dolary v kapse. Až k nám jednou v neděli přijdete, musí vám to vyprávět. Čtyři dolary čtyřicet centů. A přec</w:t>
      </w:r>
      <w:r>
        <w:rPr>
          <w:b/>
          <w:bCs/>
          <w:sz w:val="14"/>
          <w:szCs w:val="14"/>
        </w:rPr>
        <w:t>e z těchto čtyř dolarů udělal nej</w:t>
      </w:r>
      <w:r>
        <w:rPr>
          <w:b/>
          <w:bCs/>
          <w:sz w:val="14"/>
          <w:szCs w:val="14"/>
        </w:rPr>
        <w:softHyphen/>
        <w:t>dřív čtyřicet a potom čtyři sta a čtyři tisíce, aniž by žebral, aniž by podváděl. Podle starého, osvědčeného systému: vydržet a pilně pracovat...«</w:t>
      </w:r>
    </w:p>
    <w:p w:rsidR="00500724" w:rsidRDefault="00F30FB8">
      <w:pPr>
        <w:pStyle w:val="Zkladntext40"/>
        <w:shd w:val="clear" w:color="auto" w:fill="auto"/>
        <w:tabs>
          <w:tab w:val="left" w:pos="4915"/>
        </w:tabs>
        <w:spacing w:after="80" w:line="317" w:lineRule="auto"/>
        <w:ind w:firstLine="220"/>
        <w:rPr>
          <w:sz w:val="14"/>
          <w:szCs w:val="14"/>
        </w:rPr>
      </w:pPr>
      <w:r>
        <w:rPr>
          <w:b/>
          <w:bCs/>
          <w:sz w:val="14"/>
          <w:szCs w:val="14"/>
        </w:rPr>
        <w:t>Američan měl dokonale pravdu. Dnešní emigrace není první, kterou Amerika zn</w:t>
      </w:r>
      <w:r>
        <w:rPr>
          <w:b/>
          <w:bCs/>
          <w:sz w:val="14"/>
          <w:szCs w:val="14"/>
        </w:rPr>
        <w:t>á. Už několikrát řinuly se do Ameriky proudy zoufalých, unavených, umoře</w:t>
      </w:r>
      <w:r>
        <w:rPr>
          <w:b/>
          <w:bCs/>
          <w:sz w:val="14"/>
          <w:szCs w:val="14"/>
        </w:rPr>
        <w:softHyphen/>
        <w:t>ných a zchudlých lidí. Američané se nestydí hovořit o tom. Jeden ví, že dědeček přišel s dluhy a starostmi. Druhý přijel nemocen. To je stará pravda, že emi</w:t>
      </w:r>
      <w:r>
        <w:rPr>
          <w:b/>
          <w:bCs/>
          <w:sz w:val="14"/>
          <w:szCs w:val="14"/>
        </w:rPr>
        <w:softHyphen/>
        <w:t>granti jsou většinou chudí</w:t>
      </w:r>
      <w:r>
        <w:rPr>
          <w:b/>
          <w:bCs/>
          <w:sz w:val="14"/>
          <w:szCs w:val="14"/>
        </w:rPr>
        <w:t>, zoufalí a unavení. Kdyby se jim vedlo dobře, ani by nemyslili na vystěhovalectví. Ruku na srdce: vystěhoval byste se vy, kdybyste nemusel?</w:t>
      </w:r>
      <w:r>
        <w:rPr>
          <w:b/>
          <w:bCs/>
          <w:sz w:val="14"/>
          <w:szCs w:val="14"/>
        </w:rPr>
        <w:tab/>
        <w:t>4</w:t>
      </w:r>
    </w:p>
    <w:p w:rsidR="00500724" w:rsidRDefault="00F30FB8">
      <w:pPr>
        <w:pStyle w:val="Zkladntext40"/>
        <w:shd w:val="clear" w:color="auto" w:fill="auto"/>
        <w:spacing w:after="0" w:line="317" w:lineRule="auto"/>
        <w:ind w:firstLine="220"/>
        <w:rPr>
          <w:sz w:val="14"/>
          <w:szCs w:val="14"/>
        </w:rPr>
      </w:pPr>
      <w:r>
        <w:rPr>
          <w:b/>
          <w:bCs/>
          <w:sz w:val="14"/>
          <w:szCs w:val="14"/>
        </w:rPr>
        <w:t>Zůstat v Novém Yorku — nebo jít dál?</w:t>
      </w:r>
    </w:p>
    <w:p w:rsidR="00500724" w:rsidRDefault="00F30FB8">
      <w:pPr>
        <w:pStyle w:val="Zkladntext40"/>
        <w:shd w:val="clear" w:color="auto" w:fill="auto"/>
        <w:spacing w:after="0" w:line="314" w:lineRule="auto"/>
        <w:ind w:firstLine="220"/>
        <w:rPr>
          <w:sz w:val="14"/>
          <w:szCs w:val="14"/>
        </w:rPr>
      </w:pPr>
      <w:r>
        <w:rPr>
          <w:b/>
          <w:bCs/>
          <w:sz w:val="14"/>
          <w:szCs w:val="14"/>
        </w:rPr>
        <w:t xml:space="preserve">To je těžký a důležitý problém: máte zůstat </w:t>
      </w:r>
      <w:r>
        <w:rPr>
          <w:b/>
          <w:bCs/>
          <w:sz w:val="20"/>
          <w:szCs w:val="20"/>
        </w:rPr>
        <w:t xml:space="preserve">v </w:t>
      </w:r>
      <w:r>
        <w:rPr>
          <w:b/>
          <w:bCs/>
          <w:sz w:val="14"/>
          <w:szCs w:val="14"/>
        </w:rPr>
        <w:t>No</w:t>
      </w:r>
      <w:r>
        <w:rPr>
          <w:b/>
          <w:bCs/>
          <w:sz w:val="14"/>
          <w:szCs w:val="14"/>
        </w:rPr>
        <w:softHyphen/>
        <w:t>vém Yorku nebo jít na venko</w:t>
      </w:r>
      <w:r>
        <w:rPr>
          <w:b/>
          <w:bCs/>
          <w:sz w:val="14"/>
          <w:szCs w:val="14"/>
        </w:rPr>
        <w:t>v?</w:t>
      </w:r>
    </w:p>
    <w:p w:rsidR="00500724" w:rsidRDefault="00F30FB8">
      <w:pPr>
        <w:pStyle w:val="Zkladntext40"/>
        <w:shd w:val="clear" w:color="auto" w:fill="auto"/>
        <w:spacing w:after="0" w:line="317" w:lineRule="auto"/>
        <w:ind w:firstLine="220"/>
        <w:rPr>
          <w:sz w:val="14"/>
          <w:szCs w:val="14"/>
        </w:rPr>
      </w:pPr>
      <w:r>
        <w:rPr>
          <w:b/>
          <w:bCs/>
          <w:sz w:val="14"/>
          <w:szCs w:val="14"/>
        </w:rPr>
        <w:t>Většina lidí si to umiňuje. Hubují na největší město na světě, které je s počátku okouzlilo a omámilo, brzy však unavilo, hněvají se na drahou činži a na všechny životní potřeby, jež jsou tu tak drahé — a zůstávají přece. Říkají: &gt;Inu, zde je přece jeno</w:t>
      </w:r>
      <w:r>
        <w:rPr>
          <w:b/>
          <w:bCs/>
          <w:sz w:val="14"/>
          <w:szCs w:val="14"/>
        </w:rPr>
        <w:t>m nejvíc možností a příležitostí. Mám se snad usadit v nějakém hnízdě?*</w:t>
      </w:r>
    </w:p>
    <w:p w:rsidR="00500724" w:rsidRDefault="00F30FB8">
      <w:pPr>
        <w:pStyle w:val="Zkladntext40"/>
        <w:shd w:val="clear" w:color="auto" w:fill="auto"/>
        <w:spacing w:after="0" w:line="317" w:lineRule="auto"/>
        <w:ind w:firstLine="220"/>
        <w:rPr>
          <w:sz w:val="14"/>
          <w:szCs w:val="14"/>
        </w:rPr>
      </w:pPr>
      <w:r>
        <w:rPr>
          <w:b/>
          <w:bCs/>
          <w:sz w:val="14"/>
          <w:szCs w:val="14"/>
        </w:rPr>
        <w:t xml:space="preserve">Podle oficiální statistiky zůstává 65 procent všech přistěhovalců v New-York City. To je velké nebezpečí. Nálada proti přistěhovalcům roste. Ani největší město světa nemůže si dovolit </w:t>
      </w:r>
      <w:r>
        <w:rPr>
          <w:b/>
          <w:bCs/>
          <w:sz w:val="14"/>
          <w:szCs w:val="14"/>
        </w:rPr>
        <w:t>denní přírůstek 200—300 pil</w:t>
      </w:r>
      <w:r>
        <w:rPr>
          <w:b/>
          <w:bCs/>
          <w:sz w:val="14"/>
          <w:szCs w:val="14"/>
        </w:rPr>
        <w:softHyphen/>
        <w:t>ných lidí, hladových po práci a po penězích, když uŽ jsou statisíce vlastních lidí bez práce.</w:t>
      </w:r>
    </w:p>
    <w:p w:rsidR="00500724" w:rsidRDefault="00F30FB8">
      <w:pPr>
        <w:pStyle w:val="Zkladntext40"/>
        <w:shd w:val="clear" w:color="auto" w:fill="auto"/>
        <w:spacing w:after="0" w:line="317" w:lineRule="auto"/>
        <w:ind w:firstLine="220"/>
        <w:rPr>
          <w:sz w:val="14"/>
          <w:szCs w:val="14"/>
        </w:rPr>
      </w:pPr>
      <w:r>
        <w:rPr>
          <w:b/>
          <w:bCs/>
          <w:sz w:val="14"/>
          <w:szCs w:val="14"/>
        </w:rPr>
        <w:t>&gt;Půjde-li to tak dál, dostaneme brzy předpisy, které budou přistěhovalcům nařizovat, aby šli dál...« praví úředník.</w:t>
      </w:r>
    </w:p>
    <w:p w:rsidR="00500724" w:rsidRDefault="00F30FB8">
      <w:pPr>
        <w:pStyle w:val="Zkladntext40"/>
        <w:shd w:val="clear" w:color="auto" w:fill="auto"/>
        <w:spacing w:after="0" w:line="317" w:lineRule="auto"/>
        <w:ind w:firstLine="220"/>
        <w:rPr>
          <w:sz w:val="14"/>
          <w:szCs w:val="14"/>
        </w:rPr>
      </w:pPr>
      <w:r>
        <w:rPr>
          <w:b/>
          <w:bCs/>
          <w:sz w:val="14"/>
          <w:szCs w:val="14"/>
        </w:rPr>
        <w:t xml:space="preserve">Otázka: Nový York </w:t>
      </w:r>
      <w:r>
        <w:rPr>
          <w:b/>
          <w:bCs/>
          <w:sz w:val="14"/>
          <w:szCs w:val="14"/>
        </w:rPr>
        <w:t>nebo venkov — může se stát rozhodující otázkou pro celou budoucnost přistěhoval</w:t>
      </w:r>
      <w:r>
        <w:rPr>
          <w:b/>
          <w:bCs/>
          <w:sz w:val="14"/>
          <w:szCs w:val="14"/>
        </w:rPr>
        <w:softHyphen/>
        <w:t>ců. Každý jednotlivec učiní dobře, když ji pečlivě roz</w:t>
      </w:r>
      <w:r>
        <w:rPr>
          <w:b/>
          <w:bCs/>
          <w:sz w:val="14"/>
          <w:szCs w:val="14"/>
        </w:rPr>
        <w:softHyphen/>
        <w:t>váží. Jedno je jisto: život v Novém Yorku je draŽŠf, než v kterémkoli jiném americkém městě. A konec konců není ani zvláš</w:t>
      </w:r>
      <w:r>
        <w:rPr>
          <w:b/>
          <w:bCs/>
          <w:sz w:val="14"/>
          <w:szCs w:val="14"/>
        </w:rPr>
        <w:t>ť příjemné tady žít. Bydlí-li někdo venku, má trochu vzduchu, ale pak musí zase počítati s hodinovou jízdou do města. Kdo bydlí ve středu města, odpyká v letních parnech všechny hříchy.</w:t>
      </w:r>
    </w:p>
    <w:p w:rsidR="00500724" w:rsidRDefault="00F30FB8">
      <w:pPr>
        <w:pStyle w:val="Zkladntext40"/>
        <w:shd w:val="clear" w:color="auto" w:fill="auto"/>
        <w:spacing w:after="0" w:line="317" w:lineRule="auto"/>
        <w:ind w:firstLine="220"/>
        <w:rPr>
          <w:sz w:val="14"/>
          <w:szCs w:val="14"/>
        </w:rPr>
      </w:pPr>
      <w:r>
        <w:rPr>
          <w:b/>
          <w:bCs/>
          <w:sz w:val="14"/>
          <w:szCs w:val="14"/>
        </w:rPr>
        <w:t xml:space="preserve">Novyorské léto je dobrý </w:t>
      </w:r>
      <w:r>
        <w:rPr>
          <w:b/>
          <w:bCs/>
          <w:sz w:val="14"/>
          <w:szCs w:val="14"/>
          <w:lang w:val="en-US" w:eastAsia="en-US" w:bidi="en-US"/>
        </w:rPr>
        <w:t xml:space="preserve">training </w:t>
      </w:r>
      <w:r>
        <w:rPr>
          <w:b/>
          <w:bCs/>
          <w:sz w:val="14"/>
          <w:szCs w:val="14"/>
        </w:rPr>
        <w:t>pro peklo. Naopak je mnoho důvodů, kt</w:t>
      </w:r>
      <w:r>
        <w:rPr>
          <w:b/>
          <w:bCs/>
          <w:sz w:val="14"/>
          <w:szCs w:val="14"/>
        </w:rPr>
        <w:t>eré mluví proto, aby přistěhovalec zůstal v hlavním městě: všechen obchodní život se tu soustřeďuje, poskytuje také nejvíc možností, potká tu nejspíš krajany, kteří mu mohou pomoci, všechny komi</w:t>
      </w:r>
      <w:r>
        <w:rPr>
          <w:b/>
          <w:bCs/>
          <w:sz w:val="14"/>
          <w:szCs w:val="14"/>
        </w:rPr>
        <w:softHyphen/>
        <w:t>téty a spolky pro emigranty jsou v Novém Yorku, všechny cesty</w:t>
      </w:r>
      <w:r>
        <w:rPr>
          <w:b/>
          <w:bCs/>
          <w:sz w:val="14"/>
          <w:szCs w:val="14"/>
        </w:rPr>
        <w:t xml:space="preserve"> vedou odtud.</w:t>
      </w:r>
    </w:p>
    <w:p w:rsidR="00500724" w:rsidRDefault="00F30FB8">
      <w:pPr>
        <w:pStyle w:val="Zkladntext40"/>
        <w:shd w:val="clear" w:color="auto" w:fill="auto"/>
        <w:spacing w:after="0" w:line="317" w:lineRule="auto"/>
        <w:ind w:firstLine="220"/>
        <w:rPr>
          <w:sz w:val="14"/>
          <w:szCs w:val="14"/>
        </w:rPr>
        <w:sectPr w:rsidR="00500724">
          <w:footnotePr>
            <w:numFmt w:val="chicago"/>
            <w:numRestart w:val="eachPage"/>
          </w:footnotePr>
          <w:type w:val="continuous"/>
          <w:pgSz w:w="11909" w:h="16834"/>
          <w:pgMar w:top="975" w:right="868" w:bottom="452" w:left="626" w:header="0" w:footer="3" w:gutter="0"/>
          <w:cols w:num="2" w:space="100"/>
          <w:noEndnote/>
          <w:docGrid w:linePitch="360"/>
        </w:sectPr>
      </w:pPr>
      <w:r>
        <w:rPr>
          <w:b/>
          <w:bCs/>
          <w:sz w:val="14"/>
          <w:szCs w:val="14"/>
        </w:rPr>
        <w:t>Nejjednodušší východisko je: začněte tam, kde máte přátele nebo známé. Každý start je umožněn přáteli a bylo by nerozumné zůstat v Novém Yorku, máte-li v Oklahomě přátele, jenom proto, že nemilujete pro</w:t>
      </w:r>
      <w:r>
        <w:rPr>
          <w:b/>
          <w:bCs/>
          <w:sz w:val="14"/>
          <w:szCs w:val="14"/>
        </w:rPr>
        <w:softHyphen/>
        <w:t>vincii. D</w:t>
      </w:r>
      <w:r>
        <w:rPr>
          <w:b/>
          <w:bCs/>
          <w:sz w:val="14"/>
          <w:szCs w:val="14"/>
        </w:rPr>
        <w:t>ruhá odpověď zní: některá povolání jsou ovšem vázána na Nový York, alespoň po nějakou dobu. Spiso</w:t>
      </w:r>
      <w:r>
        <w:rPr>
          <w:b/>
          <w:bCs/>
          <w:sz w:val="14"/>
          <w:szCs w:val="14"/>
        </w:rPr>
        <w:softHyphen/>
        <w:t>vatel, který zkouší štěstí u nakladatelů, divadelních ře</w:t>
      </w:r>
      <w:r>
        <w:rPr>
          <w:b/>
          <w:bCs/>
          <w:sz w:val="14"/>
          <w:szCs w:val="14"/>
        </w:rPr>
        <w:softHyphen/>
        <w:t>ditelů nebo redakcí, nemůže ovšem odejiti do Colorada.</w:t>
      </w:r>
    </w:p>
    <w:p w:rsidR="00500724" w:rsidRDefault="00F30FB8">
      <w:pPr>
        <w:pStyle w:val="Zkladntext100"/>
        <w:shd w:val="clear" w:color="auto" w:fill="auto"/>
        <w:spacing w:line="252" w:lineRule="auto"/>
        <w:ind w:firstLine="0"/>
        <w:rPr>
          <w:sz w:val="19"/>
          <w:szCs w:val="19"/>
        </w:rPr>
      </w:pPr>
      <w:r>
        <w:rPr>
          <w:sz w:val="19"/>
          <w:szCs w:val="19"/>
        </w:rPr>
        <w:t>Právě tak docent, zpěvák nebo režisér zůstanou</w:t>
      </w:r>
      <w:r>
        <w:rPr>
          <w:sz w:val="19"/>
          <w:szCs w:val="19"/>
        </w:rPr>
        <w:t xml:space="preserve"> patrně </w:t>
      </w:r>
      <w:r>
        <w:rPr>
          <w:b/>
          <w:bCs/>
          <w:sz w:val="20"/>
          <w:szCs w:val="20"/>
        </w:rPr>
        <w:t xml:space="preserve">v </w:t>
      </w:r>
      <w:r>
        <w:rPr>
          <w:sz w:val="19"/>
          <w:szCs w:val="19"/>
        </w:rPr>
        <w:t>Novém Yorku. Ale proč by mělo zůstávati v hlavním městě děvče, které si chce otevřít malý módní salon?</w:t>
      </w:r>
    </w:p>
    <w:p w:rsidR="00500724" w:rsidRDefault="00F30FB8">
      <w:pPr>
        <w:pStyle w:val="Zkladntext100"/>
        <w:shd w:val="clear" w:color="auto" w:fill="auto"/>
        <w:spacing w:after="120" w:line="257" w:lineRule="auto"/>
        <w:ind w:firstLine="240"/>
        <w:rPr>
          <w:sz w:val="19"/>
          <w:szCs w:val="19"/>
        </w:rPr>
      </w:pPr>
      <w:r>
        <w:rPr>
          <w:sz w:val="19"/>
          <w:szCs w:val="19"/>
        </w:rPr>
        <w:t xml:space="preserve">Lidé, kteří odejdou na »venkov«, toho asi nebudou litovat. Žije se tam klidněji, levněji, snad méně hlučně, snad jsou menší šance, ale je i </w:t>
      </w:r>
      <w:r>
        <w:rPr>
          <w:sz w:val="19"/>
          <w:szCs w:val="19"/>
        </w:rPr>
        <w:t>soutěž menší.</w:t>
      </w:r>
    </w:p>
    <w:p w:rsidR="00500724" w:rsidRDefault="00F30FB8">
      <w:pPr>
        <w:pStyle w:val="Zkladntext30"/>
        <w:shd w:val="clear" w:color="auto" w:fill="auto"/>
        <w:spacing w:after="0" w:line="221" w:lineRule="auto"/>
        <w:ind w:firstLine="0"/>
        <w:jc w:val="center"/>
        <w:rPr>
          <w:sz w:val="20"/>
          <w:szCs w:val="20"/>
        </w:rPr>
      </w:pPr>
      <w:r>
        <w:rPr>
          <w:sz w:val="20"/>
          <w:szCs w:val="20"/>
          <w:lang w:val="en-US" w:eastAsia="en-US" w:bidi="en-US"/>
        </w:rPr>
        <w:t xml:space="preserve">Forget </w:t>
      </w:r>
      <w:r>
        <w:rPr>
          <w:sz w:val="20"/>
          <w:szCs w:val="20"/>
        </w:rPr>
        <w:t>itl</w:t>
      </w:r>
    </w:p>
    <w:p w:rsidR="00500724" w:rsidRDefault="00F30FB8">
      <w:pPr>
        <w:pStyle w:val="Zkladntext100"/>
        <w:shd w:val="clear" w:color="auto" w:fill="auto"/>
        <w:spacing w:line="240" w:lineRule="auto"/>
        <w:ind w:firstLine="240"/>
        <w:rPr>
          <w:sz w:val="19"/>
          <w:szCs w:val="19"/>
        </w:rPr>
      </w:pPr>
      <w:r>
        <w:rPr>
          <w:sz w:val="19"/>
          <w:szCs w:val="19"/>
          <w:lang w:val="en-US" w:eastAsia="en-US" w:bidi="en-US"/>
        </w:rPr>
        <w:t xml:space="preserve">Forget it! </w:t>
      </w:r>
      <w:r>
        <w:rPr>
          <w:sz w:val="19"/>
          <w:szCs w:val="19"/>
        </w:rPr>
        <w:t>je věc, kterou se musí přistěhovalec naučit co nejrychleji. Zapomeň — totiž všechno, co kdysi bylo. Zapomeň, že jsi měl jednou v Evropě byt o šesti poko</w:t>
      </w:r>
      <w:r>
        <w:rPr>
          <w:sz w:val="19"/>
          <w:szCs w:val="19"/>
        </w:rPr>
        <w:softHyphen/>
        <w:t xml:space="preserve">jích, pak zjistíš, že i jednopokojový byt v Americe může být </w:t>
      </w:r>
      <w:r>
        <w:rPr>
          <w:sz w:val="19"/>
          <w:szCs w:val="19"/>
        </w:rPr>
        <w:t>útulný. Zapomeň, že ti jednou patřil zvučný titul, pak zvykneš demokratickému americkému oslo</w:t>
      </w:r>
      <w:r>
        <w:rPr>
          <w:sz w:val="19"/>
          <w:szCs w:val="19"/>
        </w:rPr>
        <w:softHyphen/>
        <w:t>vení: mister. A především zapomeň, kdo jsi byl a jak jsi žil.</w:t>
      </w:r>
    </w:p>
    <w:p w:rsidR="00500724" w:rsidRDefault="00F30FB8">
      <w:pPr>
        <w:pStyle w:val="Zkladntext100"/>
        <w:shd w:val="clear" w:color="auto" w:fill="auto"/>
        <w:spacing w:line="233" w:lineRule="auto"/>
        <w:ind w:firstLine="240"/>
        <w:rPr>
          <w:sz w:val="19"/>
          <w:szCs w:val="19"/>
        </w:rPr>
      </w:pPr>
      <w:r>
        <w:rPr>
          <w:sz w:val="19"/>
          <w:szCs w:val="19"/>
          <w:lang w:val="en-US" w:eastAsia="en-US" w:bidi="en-US"/>
        </w:rPr>
        <w:t xml:space="preserve">Forget it! </w:t>
      </w:r>
      <w:r>
        <w:rPr>
          <w:sz w:val="19"/>
          <w:szCs w:val="19"/>
        </w:rPr>
        <w:t>Nevypravuj žádnému Američanu, že se cítíš v Americe cizí. Bude-li upřímný, odpoví ti: s V</w:t>
      </w:r>
      <w:r>
        <w:rPr>
          <w:sz w:val="19"/>
          <w:szCs w:val="19"/>
        </w:rPr>
        <w:t>rafte se tedy zpátky do své krásné Evropy, kde jste se cítil tak doma!&lt; A nemá pravdu? Ovšem, že se každý Evropan cítí v Americe cizím, většina jich se cítí cizinci po celý svůj život, ale pomůžete si, stanete-li se zarputil lým misantropem a budete-li drá</w:t>
      </w:r>
      <w:r>
        <w:rPr>
          <w:sz w:val="19"/>
          <w:szCs w:val="19"/>
        </w:rPr>
        <w:t xml:space="preserve">ždit své americké přátele? Živá duše mezi San Franciskem </w:t>
      </w:r>
      <w:r>
        <w:rPr>
          <w:b/>
          <w:bCs/>
          <w:sz w:val="20"/>
          <w:szCs w:val="20"/>
        </w:rPr>
        <w:t xml:space="preserve">a </w:t>
      </w:r>
      <w:r>
        <w:rPr>
          <w:sz w:val="19"/>
          <w:szCs w:val="19"/>
        </w:rPr>
        <w:t xml:space="preserve">Novým Yorkem není zvědava na váš ^vnitřní živote, duševní nesnáze, fňukání </w:t>
      </w:r>
      <w:r>
        <w:rPr>
          <w:b/>
          <w:bCs/>
          <w:sz w:val="20"/>
          <w:szCs w:val="20"/>
        </w:rPr>
        <w:t xml:space="preserve">a </w:t>
      </w:r>
      <w:r>
        <w:rPr>
          <w:sz w:val="19"/>
          <w:szCs w:val="19"/>
        </w:rPr>
        <w:t xml:space="preserve">plačtivé nářky. Jsou směšné — </w:t>
      </w:r>
      <w:r>
        <w:rPr>
          <w:b/>
          <w:bCs/>
          <w:sz w:val="20"/>
          <w:szCs w:val="20"/>
        </w:rPr>
        <w:t xml:space="preserve">a </w:t>
      </w:r>
      <w:r>
        <w:rPr>
          <w:sz w:val="19"/>
          <w:szCs w:val="19"/>
        </w:rPr>
        <w:t>nad to zbytečné.</w:t>
      </w:r>
    </w:p>
    <w:p w:rsidR="00500724" w:rsidRDefault="00F30FB8">
      <w:pPr>
        <w:pStyle w:val="Zkladntext100"/>
        <w:shd w:val="clear" w:color="auto" w:fill="auto"/>
        <w:spacing w:line="230" w:lineRule="auto"/>
        <w:ind w:firstLine="240"/>
        <w:rPr>
          <w:sz w:val="19"/>
          <w:szCs w:val="19"/>
        </w:rPr>
      </w:pPr>
      <w:r>
        <w:rPr>
          <w:sz w:val="19"/>
          <w:szCs w:val="19"/>
        </w:rPr>
        <w:t xml:space="preserve">V automatu na 57. třídě, kde se dostane všechno, co </w:t>
      </w:r>
      <w:r>
        <w:rPr>
          <w:b/>
          <w:bCs/>
          <w:sz w:val="20"/>
          <w:szCs w:val="20"/>
        </w:rPr>
        <w:t xml:space="preserve">je v </w:t>
      </w:r>
      <w:r>
        <w:rPr>
          <w:sz w:val="19"/>
          <w:szCs w:val="19"/>
        </w:rPr>
        <w:t>Americe k jídl</w:t>
      </w:r>
      <w:r>
        <w:rPr>
          <w:sz w:val="19"/>
          <w:szCs w:val="19"/>
        </w:rPr>
        <w:t>u, schází se každý večer několik mužů. Každý Evropan pozná alespoň některého z nich: buď bývalého dirigenta státní velké opery nebo slavné</w:t>
      </w:r>
      <w:r>
        <w:rPr>
          <w:sz w:val="19"/>
          <w:szCs w:val="19"/>
        </w:rPr>
        <w:softHyphen/>
        <w:t>ho spisovatele, nebo muže, kterého jste vídávali na plátně nebo jiného, který spravoval několik set milionů. Dnes vši</w:t>
      </w:r>
      <w:r>
        <w:rPr>
          <w:sz w:val="19"/>
          <w:szCs w:val="19"/>
        </w:rPr>
        <w:t>chni dlouho přemýšlejí, než se odhodlají vy</w:t>
      </w:r>
      <w:r>
        <w:rPr>
          <w:sz w:val="19"/>
          <w:szCs w:val="19"/>
        </w:rPr>
        <w:softHyphen/>
        <w:t>brat sí jídlo za 40 centů místo za 30. Poněvadž jsou však rozumní, nemluví o tom, jaké to kdysi bylo, nýbrž O tom, jak sehnati »job«.</w:t>
      </w:r>
    </w:p>
    <w:p w:rsidR="00500724" w:rsidRDefault="00F30FB8">
      <w:pPr>
        <w:pStyle w:val="Zkladntext100"/>
        <w:shd w:val="clear" w:color="auto" w:fill="auto"/>
        <w:spacing w:line="233" w:lineRule="auto"/>
        <w:ind w:firstLine="240"/>
        <w:rPr>
          <w:sz w:val="19"/>
          <w:szCs w:val="19"/>
        </w:rPr>
      </w:pPr>
      <w:r>
        <w:rPr>
          <w:sz w:val="19"/>
          <w:szCs w:val="19"/>
        </w:rPr>
        <w:t>Jednu velkou příležitost dává Amerika Evropa</w:t>
      </w:r>
      <w:r>
        <w:rPr>
          <w:sz w:val="19"/>
          <w:szCs w:val="19"/>
        </w:rPr>
        <w:softHyphen/>
        <w:t>nům: Amerika je lenivá, a Evropan</w:t>
      </w:r>
      <w:r>
        <w:rPr>
          <w:sz w:val="19"/>
          <w:szCs w:val="19"/>
        </w:rPr>
        <w:t>, který je pilný a přičinlivý, může vždycky ještě prorazit. A pak: jsou tak levní! Jsou šťastní pro každou práci, i když vědí, že dostávají jenom polovinu toho, co dostává Američan.</w:t>
      </w:r>
    </w:p>
    <w:p w:rsidR="00500724" w:rsidRDefault="00F30FB8">
      <w:pPr>
        <w:pStyle w:val="Zkladntext100"/>
        <w:shd w:val="clear" w:color="auto" w:fill="auto"/>
        <w:spacing w:line="230" w:lineRule="auto"/>
        <w:ind w:firstLine="240"/>
        <w:rPr>
          <w:sz w:val="19"/>
          <w:szCs w:val="19"/>
        </w:rPr>
      </w:pPr>
      <w:r>
        <w:rPr>
          <w:sz w:val="19"/>
          <w:szCs w:val="19"/>
        </w:rPr>
        <w:t>Ovšem, že začínají Američané protestovat. Nezaví</w:t>
      </w:r>
      <w:r>
        <w:rPr>
          <w:sz w:val="19"/>
          <w:szCs w:val="19"/>
        </w:rPr>
        <w:softHyphen/>
        <w:t>rejte oči před touto skut</w:t>
      </w:r>
      <w:r>
        <w:rPr>
          <w:sz w:val="19"/>
          <w:szCs w:val="19"/>
        </w:rPr>
        <w:t>ečností. Buďte opatrní! Dokud se vám nedaří tak bídně, abyste se museli dát vykořisťo</w:t>
      </w:r>
      <w:r>
        <w:rPr>
          <w:sz w:val="19"/>
          <w:szCs w:val="19"/>
        </w:rPr>
        <w:softHyphen/>
        <w:t>vat — ať chcete nebo ne — nepodbízejte! Škodíte tím mnoha ostatním, kteří přijdou po vás. Mimo to budete sami rozhněváni a budete se hněvat denně, když se po práci vrátít</w:t>
      </w:r>
      <w:r>
        <w:rPr>
          <w:sz w:val="19"/>
          <w:szCs w:val="19"/>
        </w:rPr>
        <w:t>e domů: za takovou dřinu bych doma platil za prvního a tady jsem předposlední ...</w:t>
      </w:r>
    </w:p>
    <w:p w:rsidR="00500724" w:rsidRDefault="00F30FB8">
      <w:pPr>
        <w:pStyle w:val="Zkladntext100"/>
        <w:shd w:val="clear" w:color="auto" w:fill="auto"/>
        <w:spacing w:after="100" w:line="230" w:lineRule="auto"/>
        <w:ind w:firstLine="240"/>
        <w:rPr>
          <w:sz w:val="19"/>
          <w:szCs w:val="19"/>
        </w:rPr>
      </w:pPr>
      <w:r>
        <w:rPr>
          <w:sz w:val="19"/>
          <w:szCs w:val="19"/>
        </w:rPr>
        <w:t xml:space="preserve">Tiše! Není žádné j&gt;doma«. </w:t>
      </w:r>
      <w:r>
        <w:rPr>
          <w:sz w:val="19"/>
          <w:szCs w:val="19"/>
          <w:lang w:val="en-US" w:eastAsia="en-US" w:bidi="en-US"/>
        </w:rPr>
        <w:t>Forget it!</w:t>
      </w:r>
    </w:p>
    <w:p w:rsidR="00500724" w:rsidRDefault="00F30FB8">
      <w:pPr>
        <w:pStyle w:val="Zkladntext100"/>
        <w:shd w:val="clear" w:color="auto" w:fill="auto"/>
        <w:spacing w:line="233" w:lineRule="auto"/>
        <w:ind w:firstLine="0"/>
        <w:jc w:val="center"/>
        <w:rPr>
          <w:sz w:val="19"/>
          <w:szCs w:val="19"/>
        </w:rPr>
      </w:pPr>
      <w:r>
        <w:rPr>
          <w:sz w:val="19"/>
          <w:szCs w:val="19"/>
        </w:rPr>
        <w:t>První vydělaný dolar</w:t>
      </w:r>
    </w:p>
    <w:p w:rsidR="00500724" w:rsidRDefault="00F30FB8">
      <w:pPr>
        <w:pStyle w:val="Zkladntext100"/>
        <w:shd w:val="clear" w:color="auto" w:fill="auto"/>
        <w:spacing w:line="216" w:lineRule="auto"/>
        <w:ind w:firstLine="240"/>
        <w:rPr>
          <w:sz w:val="19"/>
          <w:szCs w:val="19"/>
        </w:rPr>
      </w:pPr>
      <w:r>
        <w:rPr>
          <w:sz w:val="19"/>
          <w:szCs w:val="19"/>
        </w:rPr>
        <w:t>Cím mohu v Americe vydělat peníze? Jaké povolání má vyhlídky? Čemu se mám učit?</w:t>
      </w:r>
    </w:p>
    <w:p w:rsidR="00500724" w:rsidRDefault="00F30FB8">
      <w:pPr>
        <w:pStyle w:val="Zkladntext100"/>
        <w:shd w:val="clear" w:color="auto" w:fill="auto"/>
        <w:spacing w:line="233" w:lineRule="auto"/>
        <w:ind w:firstLine="240"/>
        <w:rPr>
          <w:sz w:val="19"/>
          <w:szCs w:val="19"/>
        </w:rPr>
      </w:pPr>
      <w:r>
        <w:rPr>
          <w:sz w:val="19"/>
          <w:szCs w:val="19"/>
        </w:rPr>
        <w:t>Zase několik otázek, které stojí v k</w:t>
      </w:r>
      <w:r>
        <w:rPr>
          <w:sz w:val="19"/>
          <w:szCs w:val="19"/>
        </w:rPr>
        <w:t>aždém dopise z Evropy. A když odpovídáme, že to nelze přesně zod</w:t>
      </w:r>
      <w:r>
        <w:rPr>
          <w:sz w:val="19"/>
          <w:szCs w:val="19"/>
        </w:rPr>
        <w:softHyphen/>
        <w:t xml:space="preserve">povědět, jsou lidé zklamáni. Každý má v Evropě »přesné </w:t>
      </w:r>
      <w:r>
        <w:rPr>
          <w:sz w:val="19"/>
          <w:szCs w:val="19"/>
          <w:lang w:val="en-US" w:eastAsia="en-US" w:bidi="en-US"/>
        </w:rPr>
        <w:t>inform</w:t>
      </w:r>
      <w:r>
        <w:rPr>
          <w:sz w:val="19"/>
          <w:szCs w:val="19"/>
        </w:rPr>
        <w:t>ace&lt;, že v Americe potřebují optiky, elektrotechniky, cukráře nebo rukavičkáře. Přeškolil se, naučil se novému povolání a často mu</w:t>
      </w:r>
      <w:r>
        <w:rPr>
          <w:sz w:val="19"/>
          <w:szCs w:val="19"/>
        </w:rPr>
        <w:t>sí zjistit, že byly všechny informace falešné. V Evropě mají zřejmé kon</w:t>
      </w:r>
      <w:r>
        <w:rPr>
          <w:sz w:val="19"/>
          <w:szCs w:val="19"/>
        </w:rPr>
        <w:softHyphen/>
        <w:t>junkturu lidé, kteří učí všemu možnému a namlouvají vystěhovalcům, že po absolvování nového učení nalez</w:t>
      </w:r>
      <w:r>
        <w:rPr>
          <w:sz w:val="19"/>
          <w:szCs w:val="19"/>
        </w:rPr>
        <w:softHyphen/>
        <w:t>nou v Americe zaručeně práci.</w:t>
      </w:r>
    </w:p>
    <w:p w:rsidR="00500724" w:rsidRDefault="00F30FB8">
      <w:pPr>
        <w:pStyle w:val="Zkladntext100"/>
        <w:shd w:val="clear" w:color="auto" w:fill="auto"/>
        <w:spacing w:line="240" w:lineRule="auto"/>
        <w:ind w:firstLine="220"/>
        <w:rPr>
          <w:sz w:val="19"/>
          <w:szCs w:val="19"/>
        </w:rPr>
      </w:pPr>
      <w:r>
        <w:rPr>
          <w:sz w:val="19"/>
          <w:szCs w:val="19"/>
        </w:rPr>
        <w:t>A jak je tomu ve skutečnosti? Někdo se vyučil opti</w:t>
      </w:r>
      <w:r>
        <w:rPr>
          <w:sz w:val="19"/>
          <w:szCs w:val="19"/>
        </w:rPr>
        <w:softHyphen/>
        <w:t>kem. Přijede sem a zjistí, že je to povolání, vázané na licenci. Všechny pokusy dostati místo u nějakého opti</w:t>
      </w:r>
      <w:r>
        <w:rPr>
          <w:sz w:val="19"/>
          <w:szCs w:val="19"/>
        </w:rPr>
        <w:softHyphen/>
        <w:t>ka, selžou. Na štěstí má nějakého známého, který mu doporučí svého přítele, který ma švagra, jehož strýc má obchod s pneumatikami. Muž dostane sk</w:t>
      </w:r>
      <w:r>
        <w:rPr>
          <w:sz w:val="19"/>
          <w:szCs w:val="19"/>
        </w:rPr>
        <w:t>romné místo za 15 dolarů měsíčně. Z toho může být živ. Za tři měsíce byl šéf tak spokojen, že ho poslal na první &gt;</w:t>
      </w:r>
      <w:r>
        <w:rPr>
          <w:sz w:val="19"/>
          <w:szCs w:val="19"/>
          <w:lang w:val="en-US" w:eastAsia="en-US" w:bidi="en-US"/>
        </w:rPr>
        <w:t>tour</w:t>
      </w:r>
      <w:r>
        <w:rPr>
          <w:sz w:val="19"/>
          <w:szCs w:val="19"/>
        </w:rPr>
        <w:t>« v jeho vlastním autu. Dnes je výtečně zapracován do obchodu.</w:t>
      </w:r>
    </w:p>
    <w:p w:rsidR="00500724" w:rsidRDefault="00F30FB8">
      <w:pPr>
        <w:pStyle w:val="Zkladntext100"/>
        <w:shd w:val="clear" w:color="auto" w:fill="auto"/>
        <w:spacing w:line="233" w:lineRule="auto"/>
        <w:ind w:firstLine="220"/>
        <w:rPr>
          <w:sz w:val="19"/>
          <w:szCs w:val="19"/>
        </w:rPr>
      </w:pPr>
      <w:r>
        <w:rPr>
          <w:sz w:val="19"/>
          <w:szCs w:val="19"/>
        </w:rPr>
        <w:t xml:space="preserve">Druhý se vyučil cukrářství. Každý Evropan, který zná jen přibližně Spojené </w:t>
      </w:r>
      <w:r>
        <w:rPr>
          <w:sz w:val="19"/>
          <w:szCs w:val="19"/>
        </w:rPr>
        <w:t>Státy, musí říci, že to je báječná myšlenka. Američtí cukráři jsou nezdatní, ne</w:t>
      </w:r>
      <w:r>
        <w:rPr>
          <w:sz w:val="19"/>
          <w:szCs w:val="19"/>
        </w:rPr>
        <w:softHyphen/>
        <w:t>mají fantasii a každý cukrář z Prahy nebo Vídně musí mít tedy obrovské naděje! Ale pak jich několik v Ame</w:t>
      </w:r>
      <w:r>
        <w:rPr>
          <w:sz w:val="19"/>
          <w:szCs w:val="19"/>
        </w:rPr>
        <w:softHyphen/>
        <w:t>rice začalo — a ztroskotali. Zeptáte-li se Američanů, proč chodí raděj</w:t>
      </w:r>
      <w:r>
        <w:rPr>
          <w:sz w:val="19"/>
          <w:szCs w:val="19"/>
        </w:rPr>
        <w:t>i k americkému cukráři, než evropské</w:t>
      </w:r>
      <w:r>
        <w:rPr>
          <w:sz w:val="19"/>
          <w:szCs w:val="19"/>
        </w:rPr>
        <w:softHyphen/>
        <w:t>mu, odpovědí s pokrčením ramen: í-Evropské cukroví je příliš těžké. Nesneseme je.« Evropský cukrář přijde za čas na to, že se svým uměním nemůže nic počít. Na štěstí se mezi tím seznámil s jednou paní, která má v Pittsb</w:t>
      </w:r>
      <w:r>
        <w:rPr>
          <w:sz w:val="19"/>
          <w:szCs w:val="19"/>
        </w:rPr>
        <w:t>urku bratra s dětskou konfekcí. Potřebuje účetního, a náš cukrář, který býval v Evropě bankovní úředník, dostává místo. Vede se mu výborně a je-li teď v Pittsburku pozván na spartys a je-li v dobré náladě, jde do kuchyně a vyrobí několik vanilkových rohlíč</w:t>
      </w:r>
      <w:r>
        <w:rPr>
          <w:sz w:val="19"/>
          <w:szCs w:val="19"/>
        </w:rPr>
        <w:t>ků nebo indiánek. Všichni jsou nadšeni a všichni říkají, že jsou Evropané přece jenom »charming« a &gt;very nice«.</w:t>
      </w:r>
    </w:p>
    <w:p w:rsidR="00500724" w:rsidRDefault="00F30FB8">
      <w:pPr>
        <w:pStyle w:val="Zkladntext100"/>
        <w:shd w:val="clear" w:color="auto" w:fill="auto"/>
        <w:spacing w:line="233" w:lineRule="auto"/>
        <w:ind w:firstLine="220"/>
        <w:rPr>
          <w:sz w:val="19"/>
          <w:szCs w:val="19"/>
        </w:rPr>
      </w:pPr>
      <w:r>
        <w:rPr>
          <w:sz w:val="19"/>
          <w:szCs w:val="19"/>
        </w:rPr>
        <w:t>Takových případů je na sta a nechci jimi dokládat! nic proti optice nebo cukrářství. Chci jenom potvrditi zkušenost: obyčejně přichází všechno j</w:t>
      </w:r>
      <w:r>
        <w:rPr>
          <w:sz w:val="19"/>
          <w:szCs w:val="19"/>
        </w:rPr>
        <w:t>inak, než člověk mysli, a nejdůležitější rada zní tedy: nevažte se na žádné povolání, buďte pohybliví a pružní, berte, co sa vám nabízí!</w:t>
      </w:r>
    </w:p>
    <w:p w:rsidR="00500724" w:rsidRDefault="00F30FB8">
      <w:pPr>
        <w:pStyle w:val="Zkladntext100"/>
        <w:shd w:val="clear" w:color="auto" w:fill="auto"/>
        <w:spacing w:line="233" w:lineRule="auto"/>
        <w:ind w:firstLine="220"/>
        <w:rPr>
          <w:sz w:val="19"/>
          <w:szCs w:val="19"/>
        </w:rPr>
      </w:pPr>
      <w:r>
        <w:rPr>
          <w:sz w:val="19"/>
          <w:szCs w:val="19"/>
        </w:rPr>
        <w:t>Jedno je jisté: dělníci a řemeslníci mají lepší vyhlídky než lidé s akademickým povoláním. Lékaři musí sklá- dati těžké</w:t>
      </w:r>
      <w:r>
        <w:rPr>
          <w:sz w:val="19"/>
          <w:szCs w:val="19"/>
        </w:rPr>
        <w:t xml:space="preserve"> zkoušky — což znamená dlouhé a namáhavé studium — a i pak mají nepatrné vyhlídky, poněvadž američtí lékaři brání se stále horlivěji proti přívalu cizích lékařů. Leč by to udělali jako mladý německý lékař, který po absolvování všech zkoušek nezůstal v Nové</w:t>
      </w:r>
      <w:r>
        <w:rPr>
          <w:sz w:val="19"/>
          <w:szCs w:val="19"/>
        </w:rPr>
        <w:t>m Yorku, jako většina jeho kolegů (kteří ztrosko</w:t>
      </w:r>
      <w:r>
        <w:rPr>
          <w:sz w:val="19"/>
          <w:szCs w:val="19"/>
        </w:rPr>
        <w:softHyphen/>
        <w:t>tali). Koupil si laciný, ojetý vozík a vydal se na venek — bez cíle. Musel několik týdnů hledat, všude byl od</w:t>
      </w:r>
      <w:r>
        <w:rPr>
          <w:sz w:val="19"/>
          <w:szCs w:val="19"/>
        </w:rPr>
        <w:softHyphen/>
        <w:t>mítnut, všude se báli konkurence. Ale pak přece nalezl venkovské městečko, kde lékaři nekladli př</w:t>
      </w:r>
      <w:r>
        <w:rPr>
          <w:sz w:val="19"/>
          <w:szCs w:val="19"/>
        </w:rPr>
        <w:t>ekážky a kde nalezl lékárníka, který mu slíbil spolupráci — i to je v Americe třeba. Žije dnes velmi skromně, ale spokojeně. Důkaz, že to jde, najde-li se to pravé.</w:t>
      </w:r>
    </w:p>
    <w:p w:rsidR="00500724" w:rsidRDefault="00F30FB8">
      <w:pPr>
        <w:pStyle w:val="Zkladntext100"/>
        <w:shd w:val="clear" w:color="auto" w:fill="auto"/>
        <w:spacing w:line="230" w:lineRule="auto"/>
        <w:ind w:firstLine="220"/>
        <w:rPr>
          <w:sz w:val="19"/>
          <w:szCs w:val="19"/>
        </w:rPr>
      </w:pPr>
      <w:r>
        <w:rPr>
          <w:sz w:val="19"/>
          <w:szCs w:val="19"/>
        </w:rPr>
        <w:t>Anebo mladá dívka, která chodila několik měsíců po Novém Yorku, prohlížela si město a lidi:</w:t>
      </w:r>
      <w:r>
        <w:rPr>
          <w:sz w:val="19"/>
          <w:szCs w:val="19"/>
        </w:rPr>
        <w:t xml:space="preserve"> za sedm měsíců si otevřela ve svém chudém bytě &gt;výstavu«: pletené jumpery, ručně tkané šály, obratně střižené bluzičky, vyšívané pásy. Vypadalo to celkem primitiv</w:t>
      </w:r>
      <w:r>
        <w:rPr>
          <w:sz w:val="19"/>
          <w:szCs w:val="19"/>
        </w:rPr>
        <w:softHyphen/>
        <w:t>ně, ale rozkřiklo se to, děvče našlo amerického mece</w:t>
      </w:r>
      <w:r>
        <w:rPr>
          <w:sz w:val="19"/>
          <w:szCs w:val="19"/>
        </w:rPr>
        <w:softHyphen/>
        <w:t>náše, který mu půjčil 200 dolarů — a dn</w:t>
      </w:r>
      <w:r>
        <w:rPr>
          <w:sz w:val="19"/>
          <w:szCs w:val="19"/>
        </w:rPr>
        <w:t>es má maličký atelier, který jde velmi dobře a zaměstnává tucet lidí —- vesměs přistěhovalce.</w:t>
      </w:r>
    </w:p>
    <w:p w:rsidR="00500724" w:rsidRDefault="00F30FB8">
      <w:pPr>
        <w:pStyle w:val="Zkladntext100"/>
        <w:shd w:val="clear" w:color="auto" w:fill="auto"/>
        <w:spacing w:line="233" w:lineRule="auto"/>
        <w:ind w:firstLine="220"/>
        <w:rPr>
          <w:sz w:val="19"/>
          <w:szCs w:val="19"/>
        </w:rPr>
      </w:pPr>
      <w:r>
        <w:rPr>
          <w:sz w:val="19"/>
          <w:szCs w:val="19"/>
        </w:rPr>
        <w:t>Nebo jiná dívka, která měla dobrý vkus a nápady: nakreslila několik lyžařských bundiček a »švýcarských&lt; specialit a pokusila se o štěstí. Za několik týdnů dostala</w:t>
      </w:r>
      <w:r>
        <w:rPr>
          <w:sz w:val="19"/>
          <w:szCs w:val="19"/>
        </w:rPr>
        <w:t xml:space="preserve"> místo. Ve volných chvílích hledala dál. Dnes, po čtrnácti měsících, je zaměstnána v obchodním domě na páté třídě, jako specialistka pro zimní sportovní obleky.</w:t>
      </w:r>
    </w:p>
    <w:p w:rsidR="00500724" w:rsidRDefault="00F30FB8">
      <w:pPr>
        <w:pStyle w:val="Zkladntext100"/>
        <w:shd w:val="clear" w:color="auto" w:fill="auto"/>
        <w:spacing w:line="233" w:lineRule="auto"/>
        <w:ind w:firstLine="220"/>
        <w:rPr>
          <w:sz w:val="19"/>
          <w:szCs w:val="19"/>
        </w:rPr>
        <w:sectPr w:rsidR="00500724">
          <w:footnotePr>
            <w:numFmt w:val="chicago"/>
            <w:numRestart w:val="eachPage"/>
          </w:footnotePr>
          <w:pgSz w:w="11909" w:h="16834"/>
          <w:pgMar w:top="1510" w:right="852" w:bottom="1008" w:left="703" w:header="0" w:footer="3" w:gutter="0"/>
          <w:cols w:num="2" w:space="173"/>
          <w:noEndnote/>
          <w:docGrid w:linePitch="360"/>
        </w:sectPr>
      </w:pPr>
      <w:r>
        <w:rPr>
          <w:sz w:val="19"/>
          <w:szCs w:val="19"/>
        </w:rPr>
        <w:t xml:space="preserve">To jsou všechno případy skutečné a dokazují, že- to není </w:t>
      </w:r>
      <w:r>
        <w:rPr>
          <w:b/>
          <w:bCs/>
          <w:sz w:val="20"/>
          <w:szCs w:val="20"/>
        </w:rPr>
        <w:t xml:space="preserve">v </w:t>
      </w:r>
      <w:r>
        <w:rPr>
          <w:sz w:val="19"/>
          <w:szCs w:val="19"/>
        </w:rPr>
        <w:t xml:space="preserve">Americe </w:t>
      </w:r>
      <w:r>
        <w:rPr>
          <w:sz w:val="19"/>
          <w:szCs w:val="19"/>
        </w:rPr>
        <w:t xml:space="preserve">tak bezvýhledné </w:t>
      </w:r>
      <w:r>
        <w:rPr>
          <w:b/>
          <w:bCs/>
          <w:sz w:val="20"/>
          <w:szCs w:val="20"/>
        </w:rPr>
        <w:t xml:space="preserve">i </w:t>
      </w:r>
      <w:r>
        <w:rPr>
          <w:sz w:val="19"/>
          <w:szCs w:val="19"/>
        </w:rPr>
        <w:t>přes obrovskou</w:t>
      </w:r>
    </w:p>
    <w:p w:rsidR="00500724" w:rsidRDefault="00F30FB8">
      <w:pPr>
        <w:pStyle w:val="Nadpis80"/>
        <w:keepNext/>
        <w:keepLines/>
        <w:pBdr>
          <w:bottom w:val="single" w:sz="4" w:space="0" w:color="auto"/>
        </w:pBdr>
        <w:shd w:val="clear" w:color="auto" w:fill="auto"/>
        <w:spacing w:before="80" w:after="0"/>
        <w:ind w:left="4180"/>
        <w:rPr>
          <w:sz w:val="42"/>
          <w:szCs w:val="42"/>
        </w:rPr>
        <w:sectPr w:rsidR="00500724">
          <w:footnotePr>
            <w:numFmt w:val="chicago"/>
            <w:numRestart w:val="eachPage"/>
          </w:footnotePr>
          <w:pgSz w:w="11909" w:h="16834"/>
          <w:pgMar w:top="754" w:right="893" w:bottom="885" w:left="624" w:header="0" w:footer="3" w:gutter="0"/>
          <w:cols w:space="720"/>
          <w:noEndnote/>
          <w:docGrid w:linePitch="360"/>
        </w:sectPr>
      </w:pPr>
      <w:bookmarkStart w:id="262" w:name="bookmark261"/>
      <w:r>
        <w:rPr>
          <w:w w:val="80"/>
          <w:sz w:val="42"/>
          <w:szCs w:val="42"/>
          <w:u w:val="none"/>
        </w:rPr>
        <w:t>Pfít</w:t>
      </w:r>
      <w:bookmarkEnd w:id="262"/>
    </w:p>
    <w:p w:rsidR="00500724" w:rsidRDefault="00500724">
      <w:pPr>
        <w:spacing w:line="55" w:lineRule="exact"/>
        <w:rPr>
          <w:sz w:val="4"/>
          <w:szCs w:val="4"/>
        </w:rPr>
      </w:pPr>
    </w:p>
    <w:p w:rsidR="00500724" w:rsidRDefault="00500724">
      <w:pPr>
        <w:spacing w:line="14" w:lineRule="exact"/>
        <w:sectPr w:rsidR="00500724">
          <w:footnotePr>
            <w:numFmt w:val="chicago"/>
            <w:numRestart w:val="eachPage"/>
          </w:footnotePr>
          <w:type w:val="continuous"/>
          <w:pgSz w:w="11909" w:h="16834"/>
          <w:pgMar w:top="754" w:right="0" w:bottom="884" w:left="0" w:header="0" w:footer="3" w:gutter="0"/>
          <w:cols w:space="720"/>
          <w:noEndnote/>
          <w:docGrid w:linePitch="360"/>
        </w:sectPr>
      </w:pPr>
    </w:p>
    <w:p w:rsidR="00500724" w:rsidRDefault="00F30FB8">
      <w:pPr>
        <w:pStyle w:val="Zkladntext100"/>
        <w:shd w:val="clear" w:color="auto" w:fill="auto"/>
        <w:spacing w:after="60" w:line="264" w:lineRule="auto"/>
        <w:ind w:firstLine="0"/>
        <w:rPr>
          <w:sz w:val="19"/>
          <w:szCs w:val="19"/>
        </w:rPr>
      </w:pPr>
      <w:r>
        <w:rPr>
          <w:sz w:val="19"/>
          <w:szCs w:val="19"/>
        </w:rPr>
        <w:t>konkurenci, má-li někdo dosti sil, aby vydržel prvních několik zlých týdnů.</w:t>
      </w:r>
    </w:p>
    <w:p w:rsidR="00500724" w:rsidRDefault="00F30FB8">
      <w:pPr>
        <w:pStyle w:val="Zkladntext100"/>
        <w:shd w:val="clear" w:color="auto" w:fill="auto"/>
        <w:spacing w:line="240" w:lineRule="auto"/>
        <w:ind w:firstLine="1200"/>
        <w:rPr>
          <w:sz w:val="19"/>
          <w:szCs w:val="19"/>
        </w:rPr>
      </w:pPr>
      <w:r>
        <w:rPr>
          <w:sz w:val="19"/>
          <w:szCs w:val="19"/>
        </w:rPr>
        <w:t>Večerní škola zdarma Když na Broadwayi začínají tančit šílené světelné reklamy a Novoy</w:t>
      </w:r>
      <w:r>
        <w:rPr>
          <w:sz w:val="19"/>
          <w:szCs w:val="19"/>
        </w:rPr>
        <w:t>orčan odchází do kina nebo do taneční síně, opouští mnoho mužů, žen a dívek domovy a jdou — se učit. Ve dne nemají čas. Ve dne musí pádit od mrakodrapu k mrakodrapu představovat se, sbírat zklamání, honit se za příležitostí. Na učení zbývá jenom večer, dob</w:t>
      </w:r>
      <w:r>
        <w:rPr>
          <w:sz w:val="19"/>
          <w:szCs w:val="19"/>
        </w:rPr>
        <w:t>a, kdy se druzí baví.</w:t>
      </w:r>
    </w:p>
    <w:p w:rsidR="00500724" w:rsidRDefault="00F30FB8">
      <w:pPr>
        <w:pStyle w:val="Zkladntext100"/>
        <w:shd w:val="clear" w:color="auto" w:fill="auto"/>
        <w:spacing w:line="240" w:lineRule="auto"/>
        <w:ind w:firstLine="220"/>
        <w:rPr>
          <w:sz w:val="19"/>
          <w:szCs w:val="19"/>
        </w:rPr>
      </w:pPr>
      <w:r>
        <w:rPr>
          <w:sz w:val="19"/>
          <w:szCs w:val="19"/>
        </w:rPr>
        <w:t>V osm hodin přicházejí do večerní školy. Tam sedí Jeden vedle druhého v lavicích, které jsou vždycky příliš úzké, neboť tyto večerní školy jsou ve dne škola</w:t>
      </w:r>
      <w:r>
        <w:rPr>
          <w:sz w:val="19"/>
          <w:szCs w:val="19"/>
        </w:rPr>
        <w:softHyphen/>
        <w:t>mi pro děti. Malí kluci a děvčátka asi netuší, že v jejich lavicích sedí veče</w:t>
      </w:r>
      <w:r>
        <w:rPr>
          <w:sz w:val="19"/>
          <w:szCs w:val="19"/>
        </w:rPr>
        <w:t>r lidé, kteří »kdysy&lt; byli slavnými právníky, bankovními řediteli, hospodyněmi se sčtyřmi služkami* nebo pány se ^zajištěnou existencí*.</w:t>
      </w:r>
    </w:p>
    <w:p w:rsidR="00500724" w:rsidRDefault="00F30FB8">
      <w:pPr>
        <w:pStyle w:val="Zkladntext100"/>
        <w:shd w:val="clear" w:color="auto" w:fill="auto"/>
        <w:spacing w:line="240" w:lineRule="auto"/>
        <w:ind w:firstLine="220"/>
        <w:rPr>
          <w:sz w:val="19"/>
          <w:szCs w:val="19"/>
        </w:rPr>
      </w:pPr>
      <w:r>
        <w:rPr>
          <w:sz w:val="19"/>
          <w:szCs w:val="19"/>
        </w:rPr>
        <w:t>Pro badatele řečí byl by takový večer asi zajímavý zážitek. Zde se uskutečnila babylonská věž. Desetileté děvčátko z ji</w:t>
      </w:r>
      <w:r>
        <w:rPr>
          <w:sz w:val="19"/>
          <w:szCs w:val="19"/>
        </w:rPr>
        <w:t xml:space="preserve">žní Francie sedí vedle starého žida z Ruska, advokát z Vídně a herec z </w:t>
      </w:r>
      <w:r>
        <w:rPr>
          <w:sz w:val="19"/>
          <w:szCs w:val="19"/>
          <w:lang w:val="en-US" w:eastAsia="en-US" w:bidi="en-US"/>
        </w:rPr>
        <w:t xml:space="preserve">Chemnitz </w:t>
      </w:r>
      <w:r>
        <w:rPr>
          <w:sz w:val="19"/>
          <w:szCs w:val="19"/>
        </w:rPr>
        <w:t>tlačí se s italskými sezónními dělníky a bulharským hudební</w:t>
      </w:r>
      <w:r>
        <w:rPr>
          <w:sz w:val="19"/>
          <w:szCs w:val="19"/>
        </w:rPr>
        <w:softHyphen/>
        <w:t>kem do jedné lavice. Reč, kterou všichni nedovedou, je jejich dorozumívacím prostředkem. Všichni museli rychle odeje</w:t>
      </w:r>
      <w:r>
        <w:rPr>
          <w:sz w:val="19"/>
          <w:szCs w:val="19"/>
        </w:rPr>
        <w:t>t, nikodo neměl času se připravit a učí se teprve tady.</w:t>
      </w:r>
    </w:p>
    <w:p w:rsidR="00500724" w:rsidRDefault="00F30FB8">
      <w:pPr>
        <w:pStyle w:val="Zkladntext100"/>
        <w:shd w:val="clear" w:color="auto" w:fill="auto"/>
        <w:spacing w:line="240" w:lineRule="auto"/>
        <w:ind w:firstLine="220"/>
        <w:rPr>
          <w:sz w:val="19"/>
          <w:szCs w:val="19"/>
        </w:rPr>
      </w:pPr>
      <w:r>
        <w:rPr>
          <w:sz w:val="19"/>
          <w:szCs w:val="19"/>
        </w:rPr>
        <w:t>Všichni to shledávají v pořádku. Kdo je tady, musí se začít znovu učit. Musí zapomenout, čím byl v Evropě. Často někdo udiveně vzhlédne, když učitelka vyvolává jméno a žáka k tabuli.</w:t>
      </w:r>
    </w:p>
    <w:p w:rsidR="00500724" w:rsidRDefault="00F30FB8">
      <w:pPr>
        <w:pStyle w:val="Zkladntext100"/>
        <w:shd w:val="clear" w:color="auto" w:fill="auto"/>
        <w:spacing w:after="320" w:line="240" w:lineRule="auto"/>
        <w:ind w:firstLine="220"/>
        <w:rPr>
          <w:sz w:val="19"/>
          <w:szCs w:val="19"/>
        </w:rPr>
      </w:pPr>
      <w:r>
        <w:rPr>
          <w:sz w:val="19"/>
          <w:szCs w:val="19"/>
        </w:rPr>
        <w:t xml:space="preserve">•Ale to je přece </w:t>
      </w:r>
      <w:r>
        <w:rPr>
          <w:sz w:val="19"/>
          <w:szCs w:val="19"/>
        </w:rPr>
        <w:t>B...?&lt; — ^Nikoli, to byl B.. .&lt; odpovídá druhý. A jmenuje jméno muže, který byl kdysi v Evropě velmi slavný a známý.</w:t>
      </w:r>
    </w:p>
    <w:p w:rsidR="00500724" w:rsidRDefault="00F30FB8">
      <w:pPr>
        <w:pStyle w:val="Nadpis80"/>
        <w:keepNext/>
        <w:keepLines/>
        <w:pBdr>
          <w:bottom w:val="single" w:sz="4" w:space="0" w:color="auto"/>
        </w:pBdr>
        <w:shd w:val="clear" w:color="auto" w:fill="auto"/>
        <w:spacing w:after="260"/>
        <w:rPr>
          <w:sz w:val="44"/>
          <w:szCs w:val="44"/>
        </w:rPr>
      </w:pPr>
      <w:bookmarkStart w:id="263" w:name="bookmark262"/>
      <w:r>
        <w:rPr>
          <w:sz w:val="44"/>
          <w:szCs w:val="44"/>
          <w:u w:val="none"/>
        </w:rPr>
        <w:t>dopisy</w:t>
      </w:r>
      <w:bookmarkEnd w:id="263"/>
    </w:p>
    <w:p w:rsidR="00500724" w:rsidRDefault="00F30FB8">
      <w:pPr>
        <w:pStyle w:val="Zkladntext100"/>
        <w:shd w:val="clear" w:color="auto" w:fill="auto"/>
        <w:spacing w:after="100" w:line="190" w:lineRule="auto"/>
        <w:ind w:firstLine="0"/>
        <w:jc w:val="center"/>
        <w:rPr>
          <w:sz w:val="19"/>
          <w:szCs w:val="19"/>
        </w:rPr>
      </w:pPr>
      <w:r>
        <w:rPr>
          <w:b/>
          <w:bCs/>
          <w:sz w:val="19"/>
          <w:szCs w:val="19"/>
        </w:rPr>
        <w:t xml:space="preserve">Co </w:t>
      </w:r>
      <w:r>
        <w:t xml:space="preserve">je </w:t>
      </w:r>
      <w:r>
        <w:rPr>
          <w:b/>
          <w:bCs/>
          <w:sz w:val="19"/>
          <w:szCs w:val="19"/>
        </w:rPr>
        <w:t>svatováclavská tradice?</w:t>
      </w:r>
    </w:p>
    <w:p w:rsidR="00500724" w:rsidRDefault="00F30FB8">
      <w:pPr>
        <w:pStyle w:val="Zkladntext100"/>
        <w:shd w:val="clear" w:color="auto" w:fill="auto"/>
        <w:spacing w:after="60" w:line="202" w:lineRule="auto"/>
        <w:ind w:left="1040" w:firstLine="0"/>
        <w:jc w:val="left"/>
      </w:pPr>
      <w:r>
        <w:t>Vážený pane redaktore!</w:t>
      </w:r>
    </w:p>
    <w:p w:rsidR="00500724" w:rsidRDefault="00F30FB8">
      <w:pPr>
        <w:pStyle w:val="Zkladntext100"/>
        <w:shd w:val="clear" w:color="auto" w:fill="auto"/>
        <w:spacing w:line="202" w:lineRule="auto"/>
      </w:pPr>
      <w:r>
        <w:t>Jsem duchovním české pravoslavné církve. V č. 8 konsta</w:t>
      </w:r>
      <w:r>
        <w:softHyphen/>
        <w:t xml:space="preserve">toval pan T. v článku </w:t>
      </w:r>
      <w:r>
        <w:t>^Křesťanství — heslo a skutečnost*, že u nás vlastně téměř nikdo nemá pojmu o t. zv. tradici svato</w:t>
      </w:r>
      <w:r>
        <w:softHyphen/>
        <w:t>václavské a proto si dovoluji zaslati Vám k laskavému vědomí a uveřejnění mínění všech pravoslavných včetně Čechů o té otázce. Nám pravoslavným je věc jasná,</w:t>
      </w:r>
      <w:r>
        <w:t xml:space="preserve"> neboť navazujeme na do</w:t>
      </w:r>
      <w:r>
        <w:softHyphen/>
        <w:t>mácí, slovanskou tradici cyrilometodějskou, tím svatováclav</w:t>
      </w:r>
      <w:r>
        <w:softHyphen/>
        <w:t>skou, což až dosud buď nevědomky či úmyslně bylo u nás pře</w:t>
      </w:r>
      <w:r>
        <w:softHyphen/>
        <w:t xml:space="preserve">vraceno nebo špatně chápáno, a konečně tradici husitskou, která vlastně mohutným </w:t>
      </w:r>
      <w:r>
        <w:rPr>
          <w:b/>
          <w:bCs/>
          <w:sz w:val="19"/>
          <w:szCs w:val="19"/>
        </w:rPr>
        <w:t xml:space="preserve">a </w:t>
      </w:r>
      <w:r>
        <w:t xml:space="preserve">úspěšným odporem proti západu </w:t>
      </w:r>
      <w:r>
        <w:t>— Tiímu a svým náboženským obsahem i náplní (opět mučedník pro Krista, Hus) znamená návrat k původnímu domácímu, slovanskému cyrilometodějství a tím k čisté formě křesťanství apoštolského. To je ta »reformace«!</w:t>
      </w:r>
    </w:p>
    <w:p w:rsidR="00500724" w:rsidRDefault="00F30FB8">
      <w:pPr>
        <w:pStyle w:val="Zkladntext100"/>
        <w:shd w:val="clear" w:color="auto" w:fill="auto"/>
        <w:spacing w:line="202" w:lineRule="auto"/>
        <w:ind w:firstLine="220"/>
      </w:pPr>
      <w:r>
        <w:t xml:space="preserve">Můj příspěvek je výňatkem z knihy Vladimíra </w:t>
      </w:r>
      <w:r>
        <w:rPr>
          <w:lang w:val="en-US" w:eastAsia="en-US" w:bidi="en-US"/>
        </w:rPr>
        <w:t>G</w:t>
      </w:r>
      <w:r>
        <w:rPr>
          <w:lang w:val="en-US" w:eastAsia="en-US" w:bidi="en-US"/>
        </w:rPr>
        <w:t xml:space="preserve">ruzina </w:t>
      </w:r>
      <w:r>
        <w:t>•Slovanský svátý Václav«, vydané roku 1929 v Praze.</w:t>
      </w:r>
    </w:p>
    <w:p w:rsidR="00500724" w:rsidRDefault="00F30FB8">
      <w:pPr>
        <w:pStyle w:val="Zkladntext100"/>
        <w:shd w:val="clear" w:color="auto" w:fill="auto"/>
        <w:spacing w:after="40" w:line="202" w:lineRule="auto"/>
      </w:pPr>
      <w:r>
        <w:t>Pisatel článku v č. 8 »Břítomnosti« pod názvem •Křesťan</w:t>
      </w:r>
      <w:r>
        <w:softHyphen/>
        <w:t>ství — heslo a skutečnost«, se táže: •Věděla-li veřejnost málo o náboženském obsahu husitské tradice, kolik toho ví o tra</w:t>
      </w:r>
      <w:r>
        <w:softHyphen/>
        <w:t>dici svatováclavské</w:t>
      </w:r>
      <w:r>
        <w:t>?* — »Ve' skutečnosti, Věděl-li dříve nor</w:t>
      </w:r>
      <w:r>
        <w:softHyphen/>
        <w:t>mální Čech o husitské tradici málo, neví dnes o svatováclav</w:t>
      </w:r>
      <w:r>
        <w:softHyphen/>
        <w:t>ské nic.«</w:t>
      </w:r>
    </w:p>
    <w:p w:rsidR="00500724" w:rsidRDefault="00F30FB8">
      <w:pPr>
        <w:pStyle w:val="Zkladntext100"/>
        <w:shd w:val="clear" w:color="auto" w:fill="auto"/>
        <w:spacing w:line="202" w:lineRule="auto"/>
      </w:pPr>
      <w:r>
        <w:t>Opravdu jest zajímavé, že nyní, ač často se u nás zdůraz</w:t>
      </w:r>
      <w:r>
        <w:softHyphen/>
        <w:t>ňuje svatováclavská tradice, přece nejen obyčejný, ale i prů</w:t>
      </w:r>
      <w:r>
        <w:softHyphen/>
        <w:t>měrně vzdělaný, ba možná i</w:t>
      </w:r>
      <w:r>
        <w:t xml:space="preserve"> s vysokoškolským vzděláním Inte</w:t>
      </w:r>
      <w:r>
        <w:softHyphen/>
        <w:t>ligent nedovedl by říci, co si představuje pod tím pojmem. Říkává se, že dějiny jsou učitelkou života, a proto i dávná dě</w:t>
      </w:r>
      <w:r>
        <w:softHyphen/>
        <w:t>jinná minulost našeho národa může pro současníky něco .zna</w:t>
      </w:r>
      <w:r>
        <w:softHyphen/>
        <w:t>menat, může nás poučovat a může nás varova</w:t>
      </w:r>
      <w:r>
        <w:t>t.</w:t>
      </w:r>
    </w:p>
    <w:p w:rsidR="00500724" w:rsidRDefault="00F30FB8">
      <w:pPr>
        <w:pStyle w:val="Zkladntext100"/>
        <w:shd w:val="clear" w:color="auto" w:fill="auto"/>
        <w:spacing w:after="40" w:line="226" w:lineRule="auto"/>
        <w:ind w:firstLine="320"/>
      </w:pPr>
      <w:r>
        <w:t>K vysvětlení pojmu •svatováclavská tradice* je potřebí připomenoutl si aspoň krátce životopis sv. Václava a dobu po jeho smrti. Jest známo, že hodnověrných zpráv z té doby je velmi málo, a jepoměrně těžko stanovit, jakou úlohu určily dějiny sv. Václavov</w:t>
      </w:r>
      <w:r>
        <w:t>i, jaký byl jeho význam pro Čechy v tě době, eo pro ně vykonal za svého života svou mučednickou smrtí a po ní svou památkou, svou svatostí a svou tradicí. — O životě sv. Václava nejvíce se dovídáme ze Zachovalých, v Čechách napsaných pramenů staroslovanský</w:t>
      </w:r>
      <w:r>
        <w:t>ch, jež zůstaly součástí bohoslužeb té křesťanské církve, která za života sv. Václava zapustila již u nás kořeny. Sv. Václav byl synem kní</w:t>
      </w:r>
      <w:r>
        <w:softHyphen/>
        <w:t>žete Vratislava, druhorozeného syna Bořivoje a sv. Ludmily. Narodil se asi roku 907, nejspíše v Praze. Měl dva bratry</w:t>
      </w:r>
      <w:r>
        <w:t>. Boleslava a Spytihněva, a čtyři sestry. Od svého narozeni byl vychováván v křesťanství slovanském svou babičkou, první křesťanskou kněžnou českou sv. Ludmilou, pokřtěnou samým sv. Metodějem. Slovanský kněz pokřtil sv. Václava a dáno bylo jemu jméno Vjašč</w:t>
      </w:r>
      <w:r>
        <w:t>esiav (Venšteslav) — hojnější, dvoj</w:t>
      </w:r>
      <w:r>
        <w:softHyphen/>
        <w:t>násobná sláva — jméno čistě slovanské. Když sv. Václav po- někud odrostl a měl býti dán do učení písmu své rodné řeči, byl postřižen podle obřadu církve slovanské, cyrilometodějské. Dobrý zákon, přinesený našim předkům z</w:t>
      </w:r>
      <w:r>
        <w:t xml:space="preserve"> východu, znamenal nejen pravou víru křesťanskou, nýbrž také vzdělání a osvětu. Něco podobného nevidíme u našich sousedů, kteří stáli pod vlivem západu a kde ještě dlouho po sv. Václavovi pokládala knížata učení za něco, co sluší hlavně kněžím a mnichům. S</w:t>
      </w:r>
      <w:r>
        <w:t>v. Václav se naučil písmu slovanskému od slovanského kněze, pod dohledem své babičky sv. Ludmily a pak byl poslán do Budče, aby se tam naučil písmu a jazyku latinskému, pro nutný styk se západem. Když mu bylo sotva 13 let, zemřel mu otec a za poručnictví m</w:t>
      </w:r>
      <w:r>
        <w:t>atky Drahomíry nastoupil na otcovský knížecí stolec. V chlapeckých letech nezanedbával dalšího učení a osvojil si tehdejši vzdělanost domácí — slovanskou, latinskou a snad i řeckou od kněží, kteří do Čech, jako do země, která teprve před několika desítkami</w:t>
      </w:r>
      <w:r>
        <w:t xml:space="preserve"> let byla obrácena na křesťanství, přicházeli ze všech zemí. Nedlouho po smrtí otce (roku 920) stihla mladého kněžice druhá těžká ránaí jeho milovaná babička a pěstounka sv. Ludmila byla zavraž</w:t>
      </w:r>
      <w:r>
        <w:softHyphen/>
        <w:t>děna (16./IX. 920), snad z návodu jeho vlastní matky. Svatá Lu</w:t>
      </w:r>
      <w:r>
        <w:t>dmila patrně chtěla uchránit sv. Václava od pletich dvoře- nínů, osobně nespokojených s vlivem tímto na mladého panov</w:t>
      </w:r>
      <w:r>
        <w:softHyphen/>
        <w:t>níka a možná i na vládu v zemi. Sv. Václav však prospíval v učení a ve víře, jak praví staroslovanský životopisec, »ne- jen knihám rozuměl</w:t>
      </w:r>
      <w:r>
        <w:t>, nýbrž víru plně, všem chudým dobře činil, bídné krmil a odíval po</w:t>
      </w:r>
      <w:r>
        <w:softHyphen/>
        <w:t>dle evangelského učení: nemocné sluhy na</w:t>
      </w:r>
      <w:r>
        <w:softHyphen/>
        <w:t>sycoval, vdovám nedával ubližovat!, lidi vše</w:t>
      </w:r>
      <w:r>
        <w:softHyphen/>
      </w:r>
      <w:r>
        <w:rPr>
          <w:b/>
          <w:bCs/>
          <w:sz w:val="19"/>
          <w:szCs w:val="19"/>
        </w:rPr>
        <w:t xml:space="preserve">chny </w:t>
      </w:r>
      <w:r>
        <w:t xml:space="preserve">chudé i bohaté miloval, chrámy všechny zlatém ozdobil. Věřil v Boha vším srdcem, vše dobré konal </w:t>
      </w:r>
      <w:r>
        <w:t>v životě svém«. V tom jistě lze viděti vedoucí ruku a milující srdce zbožné Ludmily, která sama žila svátým životem a svému milovanému vnuku vždy předcházela příkladem, aby nakonec dala mu též příklad mučednické smrti.</w:t>
      </w:r>
    </w:p>
    <w:p w:rsidR="00500724" w:rsidRDefault="00F30FB8">
      <w:pPr>
        <w:pStyle w:val="Zkladntext100"/>
        <w:shd w:val="clear" w:color="auto" w:fill="auto"/>
        <w:spacing w:line="240" w:lineRule="auto"/>
        <w:ind w:firstLine="320"/>
        <w:sectPr w:rsidR="00500724">
          <w:footnotePr>
            <w:numFmt w:val="chicago"/>
            <w:numRestart w:val="eachPage"/>
          </w:footnotePr>
          <w:type w:val="continuous"/>
          <w:pgSz w:w="11909" w:h="16834"/>
          <w:pgMar w:top="754" w:right="893" w:bottom="884" w:left="624" w:header="0" w:footer="3" w:gutter="0"/>
          <w:cols w:num="2" w:space="110"/>
          <w:noEndnote/>
          <w:docGrid w:linePitch="360"/>
        </w:sectPr>
      </w:pPr>
      <w:r>
        <w:t xml:space="preserve">Nebylo </w:t>
      </w:r>
      <w:r>
        <w:t xml:space="preserve">nikterak snadným úkolem býti v té době knížetem českým. &gt;Hrd ými se stali mužové češtía povstali proti sobě, neboť mlád byl jim knlže« — čteme v staroslovanském životopisu. Sv. Václav však přes svoje mládí dovedl ukázati pevnou ruku, dovedl povznésti svou </w:t>
      </w:r>
      <w:r>
        <w:t>knížecí moc a jiti ve šlépějích své babičky, jejíž ostatky s velikými poctami dal přenésti z Tetina na hrad pražský do chrámu sv. Jiří, hned jak nastoupil na trůn r. 925. Tím neohroženě před zraky všech, kteří snad spolupůsobili při zabití sv. Ludmily, dal</w:t>
      </w:r>
      <w:r>
        <w:t xml:space="preserve"> najevo, že se hlásí k ni a jejímu odkazu. Sv. Václav byl knížetem stateč</w:t>
      </w:r>
      <w:r>
        <w:softHyphen/>
        <w:t>ným a spravedlivým a dovedl i ozbrojenou rukou příměti tvrdo- šíjce a nešlechetníky k míru a pořádku. Ale byl též vzorným křesťanem a usiloval o to, aby ani u víře národ jeho nezůstá</w:t>
      </w:r>
      <w:r>
        <w:softHyphen/>
        <w:t>val pozadu. »Chrámy vystavěl na všech hradech velmi krásně, shromáždiv služebníky Boží ze Všech národů. Neustále se konala služba po všechny dny k Bohu, jako u velkých národů, zavedením dobrého a spravedlivého knížete</w:t>
      </w:r>
    </w:p>
    <w:p w:rsidR="00500724" w:rsidRDefault="00F30FB8">
      <w:pPr>
        <w:pStyle w:val="Nadpis90"/>
        <w:keepNext/>
        <w:keepLines/>
        <w:pBdr>
          <w:bottom w:val="single" w:sz="4" w:space="0" w:color="auto"/>
        </w:pBdr>
        <w:shd w:val="clear" w:color="auto" w:fill="auto"/>
        <w:spacing w:after="0"/>
        <w:ind w:right="60"/>
        <w:jc w:val="center"/>
        <w:sectPr w:rsidR="00500724">
          <w:footnotePr>
            <w:numFmt w:val="chicago"/>
            <w:numRestart w:val="eachPage"/>
          </w:footnotePr>
          <w:pgSz w:w="11909" w:h="16834"/>
          <w:pgMar w:top="622" w:right="843" w:bottom="819" w:left="742" w:header="0" w:footer="3" w:gutter="0"/>
          <w:cols w:space="720"/>
          <w:noEndnote/>
          <w:docGrid w:linePitch="360"/>
        </w:sectPr>
      </w:pPr>
      <w:bookmarkStart w:id="264" w:name="bookmark263"/>
      <w:r>
        <w:rPr>
          <w:rFonts w:ascii="Times New Roman" w:eastAsia="Times New Roman" w:hAnsi="Times New Roman" w:cs="Times New Roman"/>
        </w:rPr>
        <w:t>Přítomnosti</w:t>
      </w:r>
      <w:bookmarkEnd w:id="264"/>
    </w:p>
    <w:p w:rsidR="00500724" w:rsidRDefault="00500724">
      <w:pPr>
        <w:spacing w:line="70" w:lineRule="exact"/>
        <w:rPr>
          <w:sz w:val="6"/>
          <w:szCs w:val="6"/>
        </w:rPr>
      </w:pPr>
    </w:p>
    <w:p w:rsidR="00500724" w:rsidRDefault="00500724">
      <w:pPr>
        <w:spacing w:line="14" w:lineRule="exact"/>
        <w:sectPr w:rsidR="00500724">
          <w:footnotePr>
            <w:numFmt w:val="chicago"/>
            <w:numRestart w:val="eachPage"/>
          </w:footnotePr>
          <w:type w:val="continuous"/>
          <w:pgSz w:w="11909" w:h="16834"/>
          <w:pgMar w:top="622" w:right="0" w:bottom="622" w:left="0" w:header="0" w:footer="3" w:gutter="0"/>
          <w:cols w:space="720"/>
          <w:noEndnote/>
          <w:docGrid w:linePitch="360"/>
        </w:sectPr>
      </w:pPr>
    </w:p>
    <w:p w:rsidR="00500724" w:rsidRDefault="00F30FB8">
      <w:pPr>
        <w:pStyle w:val="Zkladntext100"/>
        <w:shd w:val="clear" w:color="auto" w:fill="auto"/>
        <w:spacing w:line="216" w:lineRule="auto"/>
        <w:ind w:firstLine="0"/>
        <w:rPr>
          <w:sz w:val="19"/>
          <w:szCs w:val="19"/>
        </w:rPr>
      </w:pPr>
      <w:r>
        <w:rPr>
          <w:b/>
          <w:bCs/>
          <w:sz w:val="19"/>
          <w:szCs w:val="19"/>
        </w:rPr>
        <w:t>VAclava. I vložil Bůh v srdce Jtho 1 vystavěl chrám «v. Vita nemysle z 1 e!«</w:t>
      </w:r>
    </w:p>
    <w:p w:rsidR="00500724" w:rsidRDefault="00F30FB8">
      <w:pPr>
        <w:pStyle w:val="Zkladntext100"/>
        <w:shd w:val="clear" w:color="auto" w:fill="auto"/>
        <w:spacing w:line="211" w:lineRule="auto"/>
        <w:rPr>
          <w:sz w:val="19"/>
          <w:szCs w:val="19"/>
        </w:rPr>
      </w:pPr>
      <w:r>
        <w:rPr>
          <w:b/>
          <w:bCs/>
          <w:sz w:val="19"/>
          <w:szCs w:val="19"/>
        </w:rPr>
        <w:t xml:space="preserve">Tak </w:t>
      </w:r>
      <w:r>
        <w:rPr>
          <w:b/>
          <w:bCs/>
          <w:sz w:val="26"/>
          <w:szCs w:val="26"/>
        </w:rPr>
        <w:t xml:space="preserve">i </w:t>
      </w:r>
      <w:r>
        <w:t xml:space="preserve">pocitem národní hrdosti </w:t>
      </w:r>
      <w:r>
        <w:rPr>
          <w:b/>
          <w:bCs/>
          <w:sz w:val="19"/>
          <w:szCs w:val="19"/>
        </w:rPr>
        <w:t xml:space="preserve">a </w:t>
      </w:r>
      <w:r>
        <w:t xml:space="preserve">zadostučiněnl vypravuje </w:t>
      </w:r>
      <w:r>
        <w:rPr>
          <w:b/>
          <w:bCs/>
          <w:sz w:val="19"/>
          <w:szCs w:val="19"/>
        </w:rPr>
        <w:t xml:space="preserve">nám </w:t>
      </w:r>
      <w:r>
        <w:t xml:space="preserve">slovanský životopisec. Snad </w:t>
      </w:r>
      <w:r>
        <w:rPr>
          <w:b/>
          <w:bCs/>
          <w:sz w:val="19"/>
          <w:szCs w:val="19"/>
        </w:rPr>
        <w:t xml:space="preserve">by byl </w:t>
      </w:r>
      <w:r>
        <w:t xml:space="preserve">vykonal ještě mnoho </w:t>
      </w:r>
      <w:r>
        <w:rPr>
          <w:b/>
          <w:bCs/>
          <w:sz w:val="19"/>
          <w:szCs w:val="19"/>
        </w:rPr>
        <w:t xml:space="preserve">velkého a </w:t>
      </w:r>
      <w:r>
        <w:t xml:space="preserve">prospěšného pro svůj národ, jak </w:t>
      </w:r>
      <w:r>
        <w:rPr>
          <w:b/>
          <w:bCs/>
          <w:sz w:val="19"/>
          <w:szCs w:val="19"/>
        </w:rPr>
        <w:t xml:space="preserve">jisté </w:t>
      </w:r>
      <w:r>
        <w:t xml:space="preserve">tyto slibné </w:t>
      </w:r>
      <w:r>
        <w:rPr>
          <w:b/>
          <w:bCs/>
          <w:sz w:val="19"/>
          <w:szCs w:val="19"/>
        </w:rPr>
        <w:t xml:space="preserve">začátky </w:t>
      </w:r>
      <w:r>
        <w:t xml:space="preserve">jeho práce ukazuji, kdyby se 1 on nebyl stal oběti </w:t>
      </w:r>
      <w:r>
        <w:rPr>
          <w:b/>
          <w:bCs/>
          <w:sz w:val="19"/>
          <w:szCs w:val="19"/>
        </w:rPr>
        <w:t xml:space="preserve">pletich </w:t>
      </w:r>
      <w:r>
        <w:t xml:space="preserve">svých dvořenlnů. Mladý </w:t>
      </w:r>
      <w:r>
        <w:rPr>
          <w:b/>
          <w:bCs/>
          <w:sz w:val="19"/>
          <w:szCs w:val="19"/>
        </w:rPr>
        <w:t xml:space="preserve">a </w:t>
      </w:r>
      <w:r>
        <w:t>vládychtivý bratr jeho Bole</w:t>
      </w:r>
      <w:r>
        <w:softHyphen/>
        <w:t xml:space="preserve">slav dal se svésti Intrikujícími bojary a tak 28. záři léta Páně </w:t>
      </w:r>
      <w:r>
        <w:rPr>
          <w:b/>
          <w:bCs/>
          <w:sz w:val="19"/>
          <w:szCs w:val="19"/>
        </w:rPr>
        <w:t xml:space="preserve">929 na </w:t>
      </w:r>
      <w:r>
        <w:t>novém hradě Bo</w:t>
      </w:r>
      <w:r>
        <w:t xml:space="preserve">leslavi v pondělí po svátku Kosmy </w:t>
      </w:r>
      <w:r>
        <w:rPr>
          <w:b/>
          <w:bCs/>
          <w:sz w:val="19"/>
          <w:szCs w:val="19"/>
        </w:rPr>
        <w:t xml:space="preserve">a Damiána </w:t>
      </w:r>
      <w:r>
        <w:t xml:space="preserve">plán </w:t>
      </w:r>
      <w:r>
        <w:rPr>
          <w:b/>
          <w:bCs/>
          <w:sz w:val="19"/>
          <w:szCs w:val="19"/>
        </w:rPr>
        <w:t xml:space="preserve">byl </w:t>
      </w:r>
      <w:r>
        <w:t xml:space="preserve">proveden </w:t>
      </w:r>
      <w:r>
        <w:rPr>
          <w:b/>
          <w:bCs/>
          <w:sz w:val="19"/>
          <w:szCs w:val="19"/>
        </w:rPr>
        <w:t xml:space="preserve">a </w:t>
      </w:r>
      <w:r>
        <w:t xml:space="preserve">opět zavládl smutek po celé České zemi. Cestou do chrámu na jitřní, jak bylo jeho zvykem, </w:t>
      </w:r>
      <w:r>
        <w:rPr>
          <w:b/>
          <w:bCs/>
          <w:sz w:val="19"/>
          <w:szCs w:val="19"/>
        </w:rPr>
        <w:t xml:space="preserve">byl Václav </w:t>
      </w:r>
      <w:r>
        <w:t>zavražděn. Tělo jeho bylo původně pohřbeno V chrámě na Boleslavi. Slovanský životopisec vyp</w:t>
      </w:r>
      <w:r>
        <w:t xml:space="preserve">ravuje nám O Jediném zázraku, který se tam udál: </w:t>
      </w:r>
      <w:r>
        <w:rPr>
          <w:b/>
          <w:bCs/>
          <w:sz w:val="19"/>
          <w:szCs w:val="19"/>
        </w:rPr>
        <w:t xml:space="preserve">»Krev </w:t>
      </w:r>
      <w:r>
        <w:t xml:space="preserve">jeho </w:t>
      </w:r>
      <w:r>
        <w:rPr>
          <w:b/>
          <w:bCs/>
          <w:sz w:val="19"/>
          <w:szCs w:val="19"/>
        </w:rPr>
        <w:t xml:space="preserve">ne- Chtělapotřidnivzemjitl, třetihopakvečera, aá všichni </w:t>
      </w:r>
      <w:r>
        <w:t xml:space="preserve">viděli, </w:t>
      </w:r>
      <w:r>
        <w:rPr>
          <w:b/>
          <w:bCs/>
          <w:sz w:val="19"/>
          <w:szCs w:val="19"/>
        </w:rPr>
        <w:t xml:space="preserve">vzešla v chrámě nad nim.« Pro </w:t>
      </w:r>
      <w:r>
        <w:t xml:space="preserve">ostatky své babičky vyslal sv. Václav slovanského kněze </w:t>
      </w:r>
      <w:r>
        <w:rPr>
          <w:b/>
          <w:bCs/>
          <w:sz w:val="19"/>
          <w:szCs w:val="19"/>
        </w:rPr>
        <w:t xml:space="preserve">Pavla, </w:t>
      </w:r>
      <w:r>
        <w:t>který pravděpodobně pohřbíval sv. Ludm</w:t>
      </w:r>
      <w:r>
        <w:t xml:space="preserve">ilu </w:t>
      </w:r>
      <w:r>
        <w:rPr>
          <w:b/>
          <w:bCs/>
          <w:sz w:val="19"/>
          <w:szCs w:val="19"/>
        </w:rPr>
        <w:t xml:space="preserve">a </w:t>
      </w:r>
      <w:r>
        <w:t xml:space="preserve">ten pak pohřbil </w:t>
      </w:r>
      <w:r>
        <w:rPr>
          <w:b/>
          <w:bCs/>
          <w:sz w:val="19"/>
          <w:szCs w:val="19"/>
        </w:rPr>
        <w:t xml:space="preserve">i sv. </w:t>
      </w:r>
      <w:r>
        <w:t xml:space="preserve">Václava spolu </w:t>
      </w:r>
      <w:r>
        <w:rPr>
          <w:b/>
          <w:bCs/>
          <w:sz w:val="19"/>
          <w:szCs w:val="19"/>
        </w:rPr>
        <w:t xml:space="preserve">s </w:t>
      </w:r>
      <w:r>
        <w:t xml:space="preserve">jiným knězem Krastějem, který </w:t>
      </w:r>
      <w:r>
        <w:rPr>
          <w:b/>
          <w:bCs/>
          <w:sz w:val="19"/>
          <w:szCs w:val="19"/>
        </w:rPr>
        <w:t xml:space="preserve">byl </w:t>
      </w:r>
      <w:r>
        <w:t xml:space="preserve">stále </w:t>
      </w:r>
      <w:r>
        <w:rPr>
          <w:b/>
          <w:bCs/>
          <w:sz w:val="19"/>
          <w:szCs w:val="19"/>
        </w:rPr>
        <w:t xml:space="preserve">na </w:t>
      </w:r>
      <w:r>
        <w:t xml:space="preserve">Boleslavi. Zakrátko Boleslav svého činu již litoval </w:t>
      </w:r>
      <w:r>
        <w:rPr>
          <w:b/>
          <w:bCs/>
          <w:sz w:val="19"/>
          <w:szCs w:val="19"/>
        </w:rPr>
        <w:t xml:space="preserve">a </w:t>
      </w:r>
      <w:r>
        <w:rPr>
          <w:b/>
          <w:bCs/>
          <w:sz w:val="20"/>
          <w:szCs w:val="20"/>
        </w:rPr>
        <w:t xml:space="preserve">z </w:t>
      </w:r>
      <w:r>
        <w:t>vlastního popudu a na přáni lidu I duchovenstva dal pře</w:t>
      </w:r>
      <w:r>
        <w:softHyphen/>
      </w:r>
      <w:r>
        <w:rPr>
          <w:b/>
          <w:bCs/>
          <w:sz w:val="19"/>
          <w:szCs w:val="19"/>
        </w:rPr>
        <w:t xml:space="preserve">nést </w:t>
      </w:r>
      <w:r>
        <w:t xml:space="preserve">ostatky svého bratra z Boleslavě do Prahy (r. 931) </w:t>
      </w:r>
      <w:r>
        <w:rPr>
          <w:b/>
          <w:bCs/>
          <w:sz w:val="19"/>
          <w:szCs w:val="19"/>
        </w:rPr>
        <w:t xml:space="preserve">a </w:t>
      </w:r>
      <w:r>
        <w:t>ulo</w:t>
      </w:r>
      <w:r>
        <w:softHyphen/>
      </w:r>
      <w:r>
        <w:rPr>
          <w:b/>
          <w:bCs/>
          <w:sz w:val="19"/>
          <w:szCs w:val="19"/>
        </w:rPr>
        <w:t xml:space="preserve">žiti </w:t>
      </w:r>
      <w:r>
        <w:t xml:space="preserve">Je </w:t>
      </w:r>
      <w:r>
        <w:rPr>
          <w:b/>
          <w:bCs/>
          <w:sz w:val="19"/>
          <w:szCs w:val="19"/>
        </w:rPr>
        <w:t xml:space="preserve">v </w:t>
      </w:r>
      <w:r>
        <w:t xml:space="preserve">chrámu sv. Víta, který byl zatím stavbou dokončen, PO pravé straně oltáře. První životopis sv. Václava byl sepsán </w:t>
      </w:r>
      <w:r>
        <w:rPr>
          <w:b/>
          <w:bCs/>
          <w:sz w:val="19"/>
          <w:szCs w:val="19"/>
        </w:rPr>
        <w:t xml:space="preserve">brzy </w:t>
      </w:r>
      <w:r>
        <w:t xml:space="preserve">po jeho smrti jazykem staroslovanským, patrně knězem </w:t>
      </w:r>
      <w:r>
        <w:rPr>
          <w:b/>
          <w:bCs/>
          <w:sz w:val="19"/>
          <w:szCs w:val="19"/>
        </w:rPr>
        <w:t>Pavlem.</w:t>
      </w:r>
    </w:p>
    <w:p w:rsidR="00500724" w:rsidRDefault="00F30FB8">
      <w:pPr>
        <w:pStyle w:val="Zkladntext100"/>
        <w:shd w:val="clear" w:color="auto" w:fill="auto"/>
        <w:spacing w:line="218" w:lineRule="auto"/>
      </w:pPr>
      <w:r>
        <w:rPr>
          <w:b/>
          <w:bCs/>
          <w:sz w:val="19"/>
          <w:szCs w:val="19"/>
        </w:rPr>
        <w:t xml:space="preserve">Z </w:t>
      </w:r>
      <w:r>
        <w:t xml:space="preserve">tohoto krátkého životopisu poznáváme, </w:t>
      </w:r>
      <w:r>
        <w:rPr>
          <w:b/>
          <w:bCs/>
          <w:sz w:val="19"/>
          <w:szCs w:val="19"/>
        </w:rPr>
        <w:t xml:space="preserve">v </w:t>
      </w:r>
      <w:r>
        <w:t xml:space="preserve">jakém prostředí </w:t>
      </w:r>
      <w:r>
        <w:rPr>
          <w:b/>
          <w:bCs/>
          <w:sz w:val="19"/>
          <w:szCs w:val="19"/>
        </w:rPr>
        <w:t>ro</w:t>
      </w:r>
      <w:r>
        <w:rPr>
          <w:b/>
          <w:bCs/>
          <w:sz w:val="19"/>
          <w:szCs w:val="19"/>
        </w:rPr>
        <w:t xml:space="preserve">stl a </w:t>
      </w:r>
      <w:r>
        <w:t xml:space="preserve">byl vychováván mladý kněžic. Jeho vzdělanost otvírala </w:t>
      </w:r>
      <w:r>
        <w:rPr>
          <w:b/>
          <w:bCs/>
          <w:sz w:val="19"/>
          <w:szCs w:val="19"/>
        </w:rPr>
        <w:t xml:space="preserve">mu </w:t>
      </w:r>
      <w:r>
        <w:t>široké možnosti čerpati ze studnice hojnosti křesťanské nauky, a mladá, horlivá duše žíznila jen po tom, aby vše, co zvěděla, uvedla ve skutek, jak také staroslovanský životopisec zaznamenal, j</w:t>
      </w:r>
      <w:r>
        <w:t>ak jsme si shora připomenuli. I problémy: jak upravit poměr k mocným sousedům v souvislosti s kulturní expansí západu, dokončit pozvolné překřesťanění národa a sjed</w:t>
      </w:r>
      <w:r>
        <w:softHyphen/>
        <w:t xml:space="preserve">notit </w:t>
      </w:r>
      <w:r>
        <w:rPr>
          <w:b/>
          <w:bCs/>
          <w:sz w:val="19"/>
          <w:szCs w:val="19"/>
        </w:rPr>
        <w:t xml:space="preserve">a </w:t>
      </w:r>
      <w:r>
        <w:t xml:space="preserve">upevnit vnitřní moc knížecí, před kterými tehdy český národ stál, mohla křesťanská </w:t>
      </w:r>
      <w:r>
        <w:t>duše Václavova zvládnouti. Ale nadto nade všecko horoval o naplnění vyšších křesťanských Ideálů a jako apoštol snažil se rozšířit, zvelebit víru Kristovu, dát svému lidu pokud možno nejvíce z božského jeho učení jen za tím účelem, aby více lidí spolu s ním</w:t>
      </w:r>
      <w:r>
        <w:t xml:space="preserve"> slavilo a velebilo Boha. Nežádal slávy a nehledal zisku pro sebe anebo konečně poli</w:t>
      </w:r>
      <w:r>
        <w:softHyphen/>
        <w:t xml:space="preserve">tický prospěch národa, nýbrž slávu Boži — království Boži na zemi — to byl hlavní ideál Václavův. Tím, že »chrámy vystavěl </w:t>
      </w:r>
      <w:r>
        <w:rPr>
          <w:b/>
          <w:bCs/>
          <w:sz w:val="19"/>
          <w:szCs w:val="19"/>
        </w:rPr>
        <w:t xml:space="preserve">ve </w:t>
      </w:r>
      <w:r>
        <w:t>všech hradech velmi krásně, shromáždiv služeb</w:t>
      </w:r>
      <w:r>
        <w:t xml:space="preserve">níky Boží ze Všech národů. Neustále se konala služba pro všechny dny </w:t>
      </w:r>
      <w:r>
        <w:rPr>
          <w:b/>
          <w:bCs/>
          <w:sz w:val="19"/>
          <w:szCs w:val="19"/>
        </w:rPr>
        <w:t xml:space="preserve">k </w:t>
      </w:r>
      <w:r>
        <w:t>Bohu, jako u velikých národů zavedením dobrého a spra</w:t>
      </w:r>
      <w:r>
        <w:softHyphen/>
        <w:t>vedlivého knížete Václava*, nemohl ani lépe posloužit! v té době svému národu a tím také zhostil se svého úkolu plně, byť mu pro to</w:t>
      </w:r>
      <w:r>
        <w:t xml:space="preserve"> nestačil jeho, žel, až příliš krátký život, byť pro to musil i umřití. Uvedení našeho národa z větší části již křesťan</w:t>
      </w:r>
      <w:r>
        <w:softHyphen/>
        <w:t xml:space="preserve">ského do velké rodiny křesťanských národů vůbec, nejen snad západních, znamená čestnou úlohu, jež byla dějinným během určena Václavovi. </w:t>
      </w:r>
      <w:r>
        <w:t>Znamenalo-li pro český národ včasné a bla- hodějné přijetí i upevnění křesťanství začátek nové lepší éry, dobrý základ pro rozvoj duchovních sil národa — znamená po</w:t>
      </w:r>
      <w:r>
        <w:softHyphen/>
        <w:t>stava sv. Václava hlavního českého apoštola toho mohutného myšlenkového rozmachu, který poz</w:t>
      </w:r>
      <w:r>
        <w:t>ději českému národu z české círxve vzklíčil. On, horlivý apoštol křesťanství, jest organickou Součástkou minulosti českého národa, což nelze pomíjet, aby nebyla okleštěná celá historie národa našeho i s dobou husit</w:t>
      </w:r>
      <w:r>
        <w:softHyphen/>
        <w:t>skou a dobou obrozeneckou až k znovudobyt</w:t>
      </w:r>
      <w:r>
        <w:t>í národní samostat</w:t>
      </w:r>
      <w:r>
        <w:softHyphen/>
        <w:t>nosti. Českému národu bylo potřebí opravdu křesťanského Václava, aby po něm mohl přijití Ukrutný Boleslav a upevnil vnější 1 vnitřní moc Čech. Toho sv. Václav nevykonal, ale ne</w:t>
      </w:r>
      <w:r>
        <w:softHyphen/>
        <w:t xml:space="preserve">byl by toho s takovým zdarem provedl ani Boleslav, kdyby mu </w:t>
      </w:r>
      <w:r>
        <w:t>nebyl předcházel opravdový křesťan Václav. A bylo potřebí českému národu i boleslavské tragedie, aby křesťanské skutky Václavovy byly pokropeny mučednickou krví ve prospěch bu</w:t>
      </w:r>
      <w:r>
        <w:softHyphen/>
        <w:t>doucnosti. Církev, založená Kristem, vzrostla krví mučedníků, a česká církev slo</w:t>
      </w:r>
      <w:r>
        <w:t>vanská netvořila v tom ohledu výjimky.</w:t>
      </w:r>
    </w:p>
    <w:p w:rsidR="00500724" w:rsidRDefault="00F30FB8">
      <w:pPr>
        <w:pStyle w:val="Zkladntext100"/>
        <w:shd w:val="clear" w:color="auto" w:fill="auto"/>
        <w:spacing w:line="276" w:lineRule="auto"/>
        <w:rPr>
          <w:sz w:val="20"/>
          <w:szCs w:val="20"/>
        </w:rPr>
      </w:pPr>
      <w:r>
        <w:t xml:space="preserve">Jediné toto stalo se základem tradice svatováclavské. Náš národ (prostý lid) a slovenský východ (nejstarší zmínka o úctě k sv. Václavovi na Rusi již za sv. Vladimíra) stavěl se vždy k sv. Václavovi kladně. Jediné </w:t>
      </w:r>
      <w:r>
        <w:rPr>
          <w:b/>
          <w:bCs/>
          <w:sz w:val="19"/>
          <w:szCs w:val="19"/>
        </w:rPr>
        <w:t xml:space="preserve">v </w:t>
      </w:r>
      <w:r>
        <w:t>cí</w:t>
      </w:r>
      <w:r>
        <w:t xml:space="preserve">rkvi slovanské zrodil se </w:t>
      </w:r>
      <w:r>
        <w:rPr>
          <w:b/>
          <w:bCs/>
          <w:sz w:val="19"/>
          <w:szCs w:val="19"/>
        </w:rPr>
        <w:t xml:space="preserve">sv, </w:t>
      </w:r>
      <w:r>
        <w:rPr>
          <w:b/>
          <w:bCs/>
          <w:i/>
          <w:iCs/>
          <w:sz w:val="20"/>
          <w:szCs w:val="20"/>
        </w:rPr>
        <w:t>t?&lt;S</w:t>
      </w:r>
    </w:p>
    <w:p w:rsidR="00500724" w:rsidRDefault="00F30FB8">
      <w:pPr>
        <w:pStyle w:val="Zkladntext100"/>
        <w:shd w:val="clear" w:color="auto" w:fill="auto"/>
        <w:spacing w:line="226" w:lineRule="auto"/>
        <w:ind w:firstLine="0"/>
      </w:pPr>
      <w:r>
        <w:t>Václav jako ochránce českého lidu a jako dědic české země, právě proti západu, jak Je zdůrazňováno staroslovanskými životopisy. Západ vždy projevoval nechuť k sv. Václavovi, U nás se později vlivem západní (latinské) římsk</w:t>
      </w:r>
      <w:r>
        <w:t>okatolické církve, jež nabyla vrchu, propagovala úcta k jiným svátým (Jan z Pomuku, hlavně po bitvě bělohorské) na úkor sv, Václava, jehož památku sl lid po tolik staletí houževnatě udržoval a udržel. (Jesuité ve smyslu zákazu papeže Urbanit VIII., 1623—16</w:t>
      </w:r>
      <w:r>
        <w:t>44, nechtěli uznávat sv. Václava jako svátého »samodílného««, poněvadž nebyl církví římskokatolickou pro</w:t>
      </w:r>
      <w:r>
        <w:softHyphen/>
        <w:t xml:space="preserve">hlášen za svátého, jak je možno se přesvěděiti z latinského brevíře. Nestalo se tak ostatně ani do dnešního dne, jen papeS </w:t>
      </w:r>
      <w:r>
        <w:rPr>
          <w:lang w:val="en-US" w:eastAsia="en-US" w:bidi="en-US"/>
        </w:rPr>
        <w:t xml:space="preserve">Kliment </w:t>
      </w:r>
      <w:r>
        <w:t xml:space="preserve">X. v r. 1670 </w:t>
      </w:r>
      <w:r>
        <w:t>nařídil, aby církevní hodinky na počest sv. Václava byly vloženy do římského brevíře, a teprve Bene</w:t>
      </w:r>
      <w:r>
        <w:softHyphen/>
        <w:t>dikt XIII. 14. 3. 1729 zavázal kněze říkatl tyto hodinky.) Hlas lidu — hlas Boží — prohlásil Václava za svátého a svého ochránce a proto právem mohl Palacký</w:t>
      </w:r>
      <w:r>
        <w:t xml:space="preserve"> napsati: ,.. v š e, c O národ náš jako své vlastní ve cti míti chtěl, to </w:t>
      </w:r>
      <w:r>
        <w:rPr>
          <w:b/>
          <w:bCs/>
          <w:sz w:val="19"/>
          <w:szCs w:val="19"/>
        </w:rPr>
        <w:t xml:space="preserve">až </w:t>
      </w:r>
      <w:r>
        <w:t>podnes svatováclavským nazývat! obvykl, — Cizím směrům v našem národě zůstal sv. Václav vždy ne</w:t>
      </w:r>
      <w:r>
        <w:softHyphen/>
        <w:t>přístupným.</w:t>
      </w:r>
    </w:p>
    <w:p w:rsidR="00500724" w:rsidRDefault="00F30FB8">
      <w:pPr>
        <w:pStyle w:val="Zkladntext100"/>
        <w:shd w:val="clear" w:color="auto" w:fill="auto"/>
        <w:spacing w:line="204" w:lineRule="auto"/>
      </w:pPr>
      <w:r>
        <w:t>Václav, první český svátý a mučedník, stal se pro Čechy vtělením národn</w:t>
      </w:r>
      <w:r>
        <w:t>í a státní myšlenky. K němu se utíkali věrni Češi v dobách těžkých, pod jeho praporem vítězně šli do boje v nejslavnějších dobách národních dějin. Vítězní husité, potla</w:t>
      </w:r>
      <w:r>
        <w:softHyphen/>
        <w:t>čení a zapadlí vlastenci v době pobělohorské poroby, buditelé národního sebevědomí v XI</w:t>
      </w:r>
      <w:r>
        <w:t>X. století a čeští legionáři za svě</w:t>
      </w:r>
      <w:r>
        <w:softHyphen/>
        <w:t>tové války (28. záři 1914 posvěcení v Kijevě svatováclavského praporu ruskou pravoslavnou církví) — všichni jedněmi ústy a jedním srdcem vzývali sv. Václava, ochránce a dědice česká země; »Nedaj zahynútl nám 1 budúelmk</w:t>
      </w:r>
    </w:p>
    <w:p w:rsidR="00500724" w:rsidRDefault="00F30FB8">
      <w:pPr>
        <w:pStyle w:val="Zkladntext100"/>
        <w:shd w:val="clear" w:color="auto" w:fill="auto"/>
        <w:tabs>
          <w:tab w:val="left" w:pos="4118"/>
        </w:tabs>
        <w:spacing w:after="280" w:line="197" w:lineRule="auto"/>
        <w:rPr>
          <w:sz w:val="20"/>
          <w:szCs w:val="20"/>
        </w:rPr>
      </w:pPr>
      <w:r>
        <w:t>T</w:t>
      </w:r>
      <w:r>
        <w:t xml:space="preserve">o je podstata svatováclavské tradice, která těsně souvisí </w:t>
      </w:r>
      <w:r>
        <w:rPr>
          <w:b/>
          <w:bCs/>
          <w:sz w:val="19"/>
          <w:szCs w:val="19"/>
        </w:rPr>
        <w:t xml:space="preserve">s </w:t>
      </w:r>
      <w:r>
        <w:t>tradicí husitskou, neboť tato z ní vyplývá.</w:t>
      </w:r>
      <w:r>
        <w:tab/>
      </w:r>
      <w:r>
        <w:rPr>
          <w:b/>
          <w:bCs/>
          <w:i/>
          <w:iCs/>
          <w:sz w:val="20"/>
          <w:szCs w:val="20"/>
        </w:rPr>
        <w:t>B. Axman</w:t>
      </w:r>
    </w:p>
    <w:p w:rsidR="00500724" w:rsidRDefault="00F30FB8">
      <w:pPr>
        <w:pStyle w:val="Jin0"/>
        <w:shd w:val="clear" w:color="auto" w:fill="auto"/>
        <w:spacing w:after="180"/>
        <w:ind w:firstLine="0"/>
        <w:jc w:val="left"/>
        <w:rPr>
          <w:sz w:val="46"/>
          <w:szCs w:val="46"/>
        </w:rPr>
      </w:pPr>
      <w:r>
        <w:rPr>
          <w:b/>
          <w:bCs/>
          <w:sz w:val="46"/>
          <w:szCs w:val="46"/>
          <w:u w:val="single"/>
        </w:rPr>
        <w:t>listárna redakce</w:t>
      </w:r>
    </w:p>
    <w:p w:rsidR="00500724" w:rsidRDefault="00F30FB8">
      <w:pPr>
        <w:pStyle w:val="Zkladntext100"/>
        <w:shd w:val="clear" w:color="auto" w:fill="auto"/>
        <w:spacing w:line="178" w:lineRule="auto"/>
      </w:pPr>
      <w:r>
        <w:t xml:space="preserve">Proč o Gionovi? Máte pochybnosti, stojí-li za to zabývat! </w:t>
      </w:r>
      <w:r>
        <w:rPr>
          <w:b/>
          <w:bCs/>
          <w:sz w:val="19"/>
          <w:szCs w:val="19"/>
        </w:rPr>
        <w:t xml:space="preserve">se </w:t>
      </w:r>
      <w:r>
        <w:t xml:space="preserve">Jeanem Gionem a jinými francouzskými osobnostmi. Které se od nás </w:t>
      </w:r>
      <w:r>
        <w:t>odvrátily, a nebylo-li by lépe zabývati se těmi, kdo nám zůstali věrni. Ale my se Gionem ani Romainsem ani Céli- nem ani jinými nezabýváme pro ně samotné: spíše na nich' studujeme morální krisi Francie. Jako, jak jsme už řekli, Ma</w:t>
      </w:r>
      <w:r>
        <w:softHyphen/>
        <w:t xml:space="preserve">saryk na začátku světové </w:t>
      </w:r>
      <w:r>
        <w:t>války udělal si dříve, než se rozhodl, důkladnou analysu poměrů v hlavních evropských zemích (uží</w:t>
      </w:r>
      <w:r>
        <w:softHyphen/>
        <w:t xml:space="preserve">vaje k tomu i obrazu, jejž o nich podává jejich literatura), musíme i my si tak nyní počínati. Pro naši zahraniční orientaci je neobyčejně důležité neklamati </w:t>
      </w:r>
      <w:r>
        <w:t>se o hluboké krisi, již Francia prožívá. Není možno, aby se nám Francie po druhé stala blu</w:t>
      </w:r>
      <w:r>
        <w:softHyphen/>
        <w:t>dičkou. Proto hlavně: jasně vidět! Kdybychom si pro pojednání vybírali jen ty francouzské osobnosti, které, jak pravíte, nám ^zůstaly věrny*, byli bychom v nebezpečí</w:t>
      </w:r>
      <w:r>
        <w:t>, že podáme zcela! falešný obraz o současné Francii. Ne, musíme ji dobře znáti i s jejím defaitismem, s jejím egoismem, s jejím falešným paci</w:t>
      </w:r>
      <w:r>
        <w:softHyphen/>
        <w:t>fismem a všemi vlastnostmi, které otřásly jejím postavením a které musí varovati každý malý národ, aby se na ni sp</w:t>
      </w:r>
      <w:r>
        <w:t>olé</w:t>
      </w:r>
      <w:r>
        <w:softHyphen/>
        <w:t>hal. Jean Giono je pak kamének v této francouzské mosaice,</w:t>
      </w:r>
    </w:p>
    <w:p w:rsidR="00500724" w:rsidRDefault="00F30FB8">
      <w:pPr>
        <w:pStyle w:val="Zkladntext100"/>
        <w:shd w:val="clear" w:color="auto" w:fill="auto"/>
        <w:tabs>
          <w:tab w:val="left" w:pos="4435"/>
        </w:tabs>
        <w:spacing w:line="180" w:lineRule="auto"/>
      </w:pPr>
      <w:r>
        <w:t xml:space="preserve">Bývalý čtenář Přítomnosti. Váš dopis z censurních důvodů ovšem uveřejniti nemohu. Jestliže si však tolik přejete, aby Vaše mínění o mně bylo ostatním čtenářům známo, budiž zde tedy uveřejněno. </w:t>
      </w:r>
      <w:r>
        <w:t>Pokládáte mne za »muže nepoctivého, iemui Masaryk by ruky nepodal*. Doufám, že jsem Vám vyhověl, pokud jsem mohl.</w:t>
      </w:r>
      <w:r>
        <w:tab/>
        <w:t>—fp—•</w:t>
      </w:r>
    </w:p>
    <w:p w:rsidR="00500724" w:rsidRDefault="00F30FB8">
      <w:pPr>
        <w:pStyle w:val="Zkladntext100"/>
        <w:shd w:val="clear" w:color="auto" w:fill="auto"/>
        <w:spacing w:after="100" w:line="178" w:lineRule="auto"/>
        <w:sectPr w:rsidR="00500724">
          <w:footnotePr>
            <w:numFmt w:val="chicago"/>
            <w:numRestart w:val="eachPage"/>
          </w:footnotePr>
          <w:type w:val="continuous"/>
          <w:pgSz w:w="11909" w:h="16834"/>
          <w:pgMar w:top="622" w:right="843" w:bottom="622" w:left="742" w:header="0" w:footer="3" w:gutter="0"/>
          <w:cols w:num="2" w:space="182"/>
          <w:noEndnote/>
          <w:docGrid w:linePitch="360"/>
        </w:sectPr>
      </w:pPr>
      <w:r>
        <w:t>Aféry kolem habilitačních práci. Upozornil jste nás na nový případ vadné habilitace. Ačkoli se týká Sloven</w:t>
      </w:r>
      <w:r>
        <w:t>ska, domníváme se, že s habilitacemi není vůbec něco v pořádku. V poslední době proniklo na veřejnost několik zpráv o pochybných habi</w:t>
      </w:r>
      <w:r>
        <w:softHyphen/>
        <w:t>litačních a vědeckých pracích. Dosáhne-11 hodnosti akade</w:t>
      </w:r>
      <w:r>
        <w:softHyphen/>
        <w:t>mického učitele graduovaný člověk, o němž se dodatečně pro</w:t>
      </w:r>
      <w:r>
        <w:softHyphen/>
        <w:t xml:space="preserve">káže, </w:t>
      </w:r>
      <w:r>
        <w:t>že jeho práce je vlastně jenom kompilace, není to jenom osobní věc, nýbrž varovný doklad příliš blahovolného postupu při posuzování habilitačních prací. Dnes má tato otázka, Jak se domníváme, význam zcela mimořádný. Z vysokých škol odešlo rázem do pense ve</w:t>
      </w:r>
      <w:r>
        <w:t xml:space="preserve">lmi mnoho vynikajících vědeckých sil — a náhrada za ně nemůže nám být lhostejná. Další rozvoj naší vědy závisí mimo jiné na tom, kdo přijde na jejich místa. Máme za to, že dvě podmínky jsou nezbytné a rozhodující: </w:t>
      </w:r>
      <w:r>
        <w:rPr>
          <w:b/>
          <w:bCs/>
          <w:sz w:val="19"/>
          <w:szCs w:val="19"/>
        </w:rPr>
        <w:t xml:space="preserve">je </w:t>
      </w:r>
      <w:r>
        <w:t>to jednak zlepšení celé výchovy vědecké</w:t>
      </w:r>
      <w:r>
        <w:t>ho dorostu a jednak objektivnější a přísnější postup při posuzováni všech habilitač</w:t>
      </w:r>
      <w:r>
        <w:softHyphen/>
        <w:t xml:space="preserve">ních a vědeckých prací. Hodnost </w:t>
      </w:r>
      <w:r>
        <w:rPr>
          <w:b/>
          <w:bCs/>
          <w:sz w:val="19"/>
          <w:szCs w:val="19"/>
        </w:rPr>
        <w:t xml:space="preserve">a </w:t>
      </w:r>
      <w:r>
        <w:t>význam vysokoškolského profesora zavazují.</w:t>
      </w:r>
    </w:p>
    <w:p w:rsidR="00500724" w:rsidRDefault="00F30FB8">
      <w:pPr>
        <w:spacing w:line="14" w:lineRule="exact"/>
      </w:pPr>
      <w:r>
        <w:rPr>
          <w:noProof/>
        </w:rPr>
        <mc:AlternateContent>
          <mc:Choice Requires="wps">
            <w:drawing>
              <wp:anchor distT="127000" distB="76200" distL="114300" distR="114300" simplePos="0" relativeHeight="125829644" behindDoc="0" locked="0" layoutInCell="1" allowOverlap="1">
                <wp:simplePos x="0" y="0"/>
                <wp:positionH relativeFrom="page">
                  <wp:posOffset>7121525</wp:posOffset>
                </wp:positionH>
                <wp:positionV relativeFrom="paragraph">
                  <wp:posOffset>1313815</wp:posOffset>
                </wp:positionV>
                <wp:extent cx="152400" cy="255905"/>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152400" cy="255905"/>
                        </a:xfrm>
                        <a:prstGeom prst="rect">
                          <a:avLst/>
                        </a:prstGeom>
                        <a:noFill/>
                      </wps:spPr>
                      <wps:txbx>
                        <w:txbxContent>
                          <w:p w:rsidR="00500724" w:rsidRDefault="00F30FB8">
                            <w:pPr>
                              <w:pStyle w:val="Jin0"/>
                              <w:shd w:val="clear" w:color="auto" w:fill="auto"/>
                              <w:ind w:firstLine="0"/>
                              <w:jc w:val="left"/>
                              <w:rPr>
                                <w:sz w:val="32"/>
                                <w:szCs w:val="32"/>
                              </w:rPr>
                            </w:pPr>
                            <w:r>
                              <w:rPr>
                                <w:sz w:val="32"/>
                                <w:szCs w:val="32"/>
                              </w:rPr>
                              <w:t>11</w:t>
                            </w:r>
                          </w:p>
                        </w:txbxContent>
                      </wps:txbx>
                      <wps:bodyPr lIns="0" tIns="0" rIns="0" bIns="0">
                        <a:spAutoFit/>
                      </wps:bodyPr>
                    </wps:wsp>
                  </a:graphicData>
                </a:graphic>
              </wp:anchor>
            </w:drawing>
          </mc:Choice>
          <mc:Fallback>
            <w:pict>
              <v:shape id="_x0000_s1293" type="#_x0000_t202" style="position:absolute;margin-left:560.75pt;margin-top:103.45pt;width:12.pt;height:20.149999999999999pt;z-index:-125829109;mso-wrap-distance-left:9.pt;mso-wrap-distance-top:10.pt;mso-wrap-distance-right:9.pt;mso-wrap-distance-bottom:6.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11</w:t>
                      </w:r>
                    </w:p>
                  </w:txbxContent>
                </v:textbox>
                <w10:wrap type="topAndBottom" anchorx="page"/>
              </v:shape>
            </w:pict>
          </mc:Fallback>
        </mc:AlternateContent>
      </w:r>
    </w:p>
    <w:p w:rsidR="00500724" w:rsidRDefault="00F30FB8">
      <w:pPr>
        <w:pStyle w:val="Zkladntext50"/>
        <w:shd w:val="clear" w:color="auto" w:fill="auto"/>
        <w:spacing w:after="0" w:line="240" w:lineRule="auto"/>
        <w:ind w:left="0"/>
        <w:jc w:val="right"/>
      </w:pPr>
      <w:r>
        <w:rPr>
          <w:i/>
          <w:iCs/>
        </w:rPr>
        <w:t>Xt</w:t>
      </w:r>
    </w:p>
    <w:p w:rsidR="00500724" w:rsidRDefault="00F30FB8">
      <w:pPr>
        <w:pStyle w:val="Nadpis110"/>
        <w:shd w:val="clear" w:color="auto" w:fill="auto"/>
        <w:spacing w:line="180" w:lineRule="auto"/>
        <w:ind w:right="140"/>
        <w:jc w:val="right"/>
      </w:pPr>
      <w:bookmarkStart w:id="265" w:name="bookmark264"/>
      <w:r>
        <w:t>o</w:t>
      </w:r>
      <w:bookmarkEnd w:id="265"/>
    </w:p>
    <w:p w:rsidR="00500724" w:rsidRDefault="00F30FB8">
      <w:pPr>
        <w:pStyle w:val="Nadpis110"/>
        <w:shd w:val="clear" w:color="auto" w:fill="auto"/>
        <w:spacing w:line="180" w:lineRule="auto"/>
        <w:jc w:val="right"/>
      </w:pPr>
      <w:bookmarkStart w:id="266" w:name="bookmark265"/>
      <w:r>
        <w:t>£k</w:t>
      </w:r>
      <w:bookmarkEnd w:id="266"/>
    </w:p>
    <w:p w:rsidR="00500724" w:rsidRDefault="00F30FB8">
      <w:pPr>
        <w:pStyle w:val="Nadpis110"/>
        <w:shd w:val="clear" w:color="auto" w:fill="auto"/>
        <w:spacing w:after="80"/>
        <w:jc w:val="right"/>
      </w:pPr>
      <w:bookmarkStart w:id="267" w:name="bookmark266"/>
      <w:r>
        <w:t>«o</w:t>
      </w:r>
      <w:bookmarkEnd w:id="267"/>
    </w:p>
    <w:p w:rsidR="00500724" w:rsidRDefault="00F30FB8">
      <w:pPr>
        <w:pStyle w:val="Nadpis110"/>
        <w:shd w:val="clear" w:color="auto" w:fill="auto"/>
        <w:jc w:val="right"/>
      </w:pPr>
      <w:bookmarkStart w:id="268" w:name="bookmark267"/>
      <w:r>
        <w:t>o«</w:t>
      </w:r>
      <w:bookmarkEnd w:id="268"/>
    </w:p>
    <w:p w:rsidR="00500724" w:rsidRDefault="00F30FB8">
      <w:pPr>
        <w:pStyle w:val="Nadpis110"/>
        <w:shd w:val="clear" w:color="auto" w:fill="auto"/>
        <w:ind w:right="140"/>
        <w:jc w:val="right"/>
      </w:pPr>
      <w:bookmarkStart w:id="269" w:name="bookmark268"/>
      <w:r>
        <w:t>M</w:t>
      </w:r>
      <w:bookmarkEnd w:id="269"/>
    </w:p>
    <w:p w:rsidR="00500724" w:rsidRDefault="00F30FB8">
      <w:pPr>
        <w:pStyle w:val="Nadpis110"/>
        <w:shd w:val="clear" w:color="auto" w:fill="auto"/>
        <w:ind w:right="140"/>
        <w:jc w:val="right"/>
        <w:sectPr w:rsidR="00500724">
          <w:footnotePr>
            <w:numFmt w:val="chicago"/>
            <w:numRestart w:val="eachPage"/>
          </w:footnotePr>
          <w:pgSz w:w="11909" w:h="16834"/>
          <w:pgMar w:top="790" w:right="358" w:bottom="504" w:left="10884" w:header="0" w:footer="3" w:gutter="0"/>
          <w:cols w:space="720"/>
          <w:noEndnote/>
          <w:docGrid w:linePitch="360"/>
        </w:sectPr>
      </w:pPr>
      <w:bookmarkStart w:id="270" w:name="bookmark269"/>
      <w:r>
        <w:t>o</w:t>
      </w:r>
      <w:bookmarkEnd w:id="270"/>
    </w:p>
    <w:p w:rsidR="00500724" w:rsidRDefault="00500724">
      <w:pPr>
        <w:spacing w:line="96" w:lineRule="exact"/>
        <w:rPr>
          <w:sz w:val="8"/>
          <w:szCs w:val="8"/>
        </w:rPr>
      </w:pPr>
    </w:p>
    <w:p w:rsidR="00500724" w:rsidRDefault="00500724">
      <w:pPr>
        <w:spacing w:line="14" w:lineRule="exact"/>
        <w:sectPr w:rsidR="00500724">
          <w:footnotePr>
            <w:numFmt w:val="chicago"/>
            <w:numRestart w:val="eachPage"/>
          </w:footnotePr>
          <w:type w:val="continuous"/>
          <w:pgSz w:w="11909" w:h="16834"/>
          <w:pgMar w:top="790" w:right="0" w:bottom="504" w:left="0" w:header="0" w:footer="3" w:gutter="0"/>
          <w:cols w:space="720"/>
          <w:noEndnote/>
          <w:docGrid w:linePitch="360"/>
        </w:sectPr>
      </w:pPr>
    </w:p>
    <w:p w:rsidR="00500724" w:rsidRDefault="00F30FB8">
      <w:pPr>
        <w:pStyle w:val="Zkladntext30"/>
        <w:framePr w:w="2549" w:h="1142" w:hSpace="5189" w:vSpace="20" w:wrap="notBeside" w:vAnchor="text" w:hAnchor="page" w:x="1122" w:y="45"/>
        <w:shd w:val="clear" w:color="auto" w:fill="auto"/>
        <w:spacing w:after="0" w:line="240" w:lineRule="auto"/>
        <w:ind w:firstLine="0"/>
        <w:jc w:val="left"/>
        <w:rPr>
          <w:sz w:val="20"/>
          <w:szCs w:val="20"/>
        </w:rPr>
      </w:pPr>
      <w:r>
        <w:rPr>
          <w:i/>
          <w:iCs/>
          <w:sz w:val="20"/>
          <w:szCs w:val="20"/>
        </w:rPr>
        <w:t xml:space="preserve">Julij Boršoš </w:t>
      </w:r>
      <w:r>
        <w:rPr>
          <w:i/>
          <w:iCs/>
          <w:sz w:val="20"/>
          <w:szCs w:val="20"/>
        </w:rPr>
        <w:t>Kumjatskyj:</w:t>
      </w:r>
    </w:p>
    <w:p w:rsidR="00500724" w:rsidRDefault="00F30FB8">
      <w:pPr>
        <w:pStyle w:val="Jin0"/>
        <w:framePr w:w="2549" w:h="1142" w:hSpace="5189" w:vSpace="20" w:wrap="notBeside" w:vAnchor="text" w:hAnchor="page" w:x="1122" w:y="45"/>
        <w:shd w:val="clear" w:color="auto" w:fill="auto"/>
        <w:spacing w:line="233" w:lineRule="auto"/>
        <w:ind w:firstLine="0"/>
        <w:jc w:val="left"/>
        <w:rPr>
          <w:sz w:val="26"/>
          <w:szCs w:val="26"/>
        </w:rPr>
      </w:pPr>
      <w:r>
        <w:rPr>
          <w:b/>
          <w:bCs/>
          <w:sz w:val="26"/>
          <w:szCs w:val="26"/>
        </w:rPr>
        <w:t>HUCULSKO*</w:t>
      </w:r>
    </w:p>
    <w:p w:rsidR="00500724" w:rsidRDefault="00F30FB8">
      <w:pPr>
        <w:pStyle w:val="Zkladntext30"/>
        <w:framePr w:w="2549" w:h="1142" w:hSpace="5189" w:vSpace="20" w:wrap="notBeside" w:vAnchor="text" w:hAnchor="page" w:x="1122" w:y="45"/>
        <w:shd w:val="clear" w:color="auto" w:fill="auto"/>
        <w:spacing w:after="0" w:line="240" w:lineRule="auto"/>
        <w:ind w:firstLine="0"/>
        <w:jc w:val="left"/>
        <w:rPr>
          <w:sz w:val="20"/>
          <w:szCs w:val="20"/>
        </w:rPr>
      </w:pPr>
      <w:r>
        <w:rPr>
          <w:b/>
          <w:bCs/>
          <w:sz w:val="19"/>
          <w:szCs w:val="19"/>
        </w:rPr>
        <w:t xml:space="preserve">ZeZené </w:t>
      </w:r>
      <w:r>
        <w:rPr>
          <w:i/>
          <w:iCs/>
          <w:sz w:val="20"/>
          <w:szCs w:val="20"/>
        </w:rPr>
        <w:t>hory se protahují</w:t>
      </w:r>
    </w:p>
    <w:p w:rsidR="00500724" w:rsidRDefault="00F30FB8">
      <w:pPr>
        <w:pStyle w:val="Zkladntext30"/>
        <w:framePr w:w="2549" w:h="1142" w:hSpace="5189" w:vSpace="20" w:wrap="notBeside" w:vAnchor="text" w:hAnchor="page" w:x="1122" w:y="45"/>
        <w:shd w:val="clear" w:color="auto" w:fill="auto"/>
        <w:spacing w:after="0" w:line="180" w:lineRule="auto"/>
        <w:ind w:firstLine="0"/>
        <w:jc w:val="right"/>
        <w:rPr>
          <w:sz w:val="20"/>
          <w:szCs w:val="20"/>
        </w:rPr>
      </w:pPr>
      <w:r>
        <w:rPr>
          <w:i/>
          <w:iCs/>
          <w:sz w:val="20"/>
          <w:szCs w:val="20"/>
        </w:rPr>
        <w:t>do dálek</w:t>
      </w:r>
    </w:p>
    <w:p w:rsidR="00500724" w:rsidRDefault="00F30FB8">
      <w:pPr>
        <w:pStyle w:val="Zkladntext30"/>
        <w:framePr w:w="2549" w:h="1142" w:hSpace="5189" w:vSpace="20" w:wrap="notBeside" w:vAnchor="text" w:hAnchor="page" w:x="1122" w:y="45"/>
        <w:shd w:val="clear" w:color="auto" w:fill="auto"/>
        <w:spacing w:after="0" w:line="180" w:lineRule="auto"/>
        <w:ind w:firstLine="0"/>
        <w:jc w:val="left"/>
        <w:rPr>
          <w:sz w:val="20"/>
          <w:szCs w:val="20"/>
        </w:rPr>
      </w:pPr>
      <w:r>
        <w:rPr>
          <w:i/>
          <w:iCs/>
          <w:sz w:val="20"/>
          <w:szCs w:val="20"/>
        </w:rPr>
        <w:t>bezstarostně jako selené</w:t>
      </w:r>
    </w:p>
    <w:p w:rsidR="00500724" w:rsidRDefault="00F30FB8">
      <w:pPr>
        <w:spacing w:line="14" w:lineRule="exact"/>
      </w:pPr>
      <w:r>
        <w:rPr>
          <w:noProof/>
        </w:rPr>
        <mc:AlternateContent>
          <mc:Choice Requires="wps">
            <w:drawing>
              <wp:anchor distT="0" distB="67310" distL="1700530" distR="0" simplePos="0" relativeHeight="125829646" behindDoc="0" locked="0" layoutInCell="1" allowOverlap="1">
                <wp:simplePos x="0" y="0"/>
                <wp:positionH relativeFrom="page">
                  <wp:posOffset>2412365</wp:posOffset>
                </wp:positionH>
                <wp:positionV relativeFrom="paragraph">
                  <wp:posOffset>12700</wp:posOffset>
                </wp:positionV>
                <wp:extent cx="3212465" cy="685800"/>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3212465" cy="685800"/>
                        </a:xfrm>
                        <a:prstGeom prst="rect">
                          <a:avLst/>
                        </a:prstGeom>
                        <a:noFill/>
                      </wps:spPr>
                      <wps:txbx>
                        <w:txbxContent>
                          <w:p w:rsidR="00500724" w:rsidRDefault="00F30FB8">
                            <w:pPr>
                              <w:pStyle w:val="Jin0"/>
                              <w:shd w:val="clear" w:color="auto" w:fill="auto"/>
                              <w:spacing w:after="40"/>
                              <w:ind w:firstLine="0"/>
                              <w:jc w:val="center"/>
                              <w:rPr>
                                <w:sz w:val="26"/>
                                <w:szCs w:val="26"/>
                              </w:rPr>
                            </w:pPr>
                            <w:r>
                              <w:rPr>
                                <w:b/>
                                <w:bCs/>
                                <w:sz w:val="26"/>
                                <w:szCs w:val="26"/>
                              </w:rPr>
                              <w:t>Poesie — tresť života</w:t>
                            </w:r>
                          </w:p>
                          <w:p w:rsidR="00500724" w:rsidRDefault="00F30FB8">
                            <w:pPr>
                              <w:pStyle w:val="Zkladntext100"/>
                              <w:shd w:val="clear" w:color="auto" w:fill="auto"/>
                              <w:tabs>
                                <w:tab w:val="left" w:pos="3725"/>
                              </w:tabs>
                              <w:spacing w:line="190" w:lineRule="auto"/>
                              <w:ind w:firstLine="200"/>
                              <w:rPr>
                                <w:sz w:val="20"/>
                                <w:szCs w:val="20"/>
                              </w:rPr>
                            </w:pPr>
                            <w:r>
                              <w:rPr>
                                <w:b/>
                                <w:bCs/>
                                <w:sz w:val="19"/>
                                <w:szCs w:val="19"/>
                              </w:rPr>
                              <w:t xml:space="preserve">Poesie je podle mého názoru přímo tresť lidského života a sám tvůrčí princip. Není ani možné představit si svět bez poesie. Všechny literární formy </w:t>
                            </w:r>
                            <w:r>
                              <w:rPr>
                                <w:b/>
                                <w:bCs/>
                                <w:sz w:val="19"/>
                                <w:szCs w:val="19"/>
                              </w:rPr>
                              <w:t>jsou určovány poesii. Není literárního uměni bez poesie.</w:t>
                            </w:r>
                            <w:r>
                              <w:rPr>
                                <w:b/>
                                <w:bCs/>
                                <w:sz w:val="19"/>
                                <w:szCs w:val="19"/>
                              </w:rPr>
                              <w:tab/>
                            </w:r>
                            <w:r>
                              <w:rPr>
                                <w:b/>
                                <w:bCs/>
                                <w:i/>
                                <w:iCs/>
                                <w:sz w:val="20"/>
                                <w:szCs w:val="20"/>
                              </w:rPr>
                              <w:t>G. D uhamel</w:t>
                            </w:r>
                          </w:p>
                        </w:txbxContent>
                      </wps:txbx>
                      <wps:bodyPr lIns="0" tIns="0" rIns="0" bIns="0">
                        <a:spAutoFit/>
                      </wps:bodyPr>
                    </wps:wsp>
                  </a:graphicData>
                </a:graphic>
              </wp:anchor>
            </w:drawing>
          </mc:Choice>
          <mc:Fallback>
            <w:pict>
              <v:shape id="_x0000_s1295" type="#_x0000_t202" style="position:absolute;margin-left:189.94999999999999pt;margin-top:1.pt;width:252.94999999999999pt;height:54.pt;z-index:-125829107;mso-wrap-distance-left:133.90000000000001pt;mso-wrap-distance-right:0;mso-wrap-distance-bottom:5.2999999999999998pt;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Poesie — tresť života</w:t>
                      </w:r>
                    </w:p>
                    <w:p>
                      <w:pPr>
                        <w:pStyle w:val="Style344"/>
                        <w:keepNext w:val="0"/>
                        <w:keepLines w:val="0"/>
                        <w:widowControl w:val="0"/>
                        <w:shd w:val="clear" w:color="auto" w:fill="auto"/>
                        <w:tabs>
                          <w:tab w:pos="3725" w:val="left"/>
                        </w:tabs>
                        <w:bidi w:val="0"/>
                        <w:spacing w:before="0" w:after="0" w:line="190" w:lineRule="auto"/>
                        <w:ind w:left="0" w:right="0" w:firstLine="200"/>
                        <w:rPr>
                          <w:sz w:val="20"/>
                          <w:szCs w:val="20"/>
                        </w:rPr>
                      </w:pPr>
                      <w:r>
                        <w:rPr>
                          <w:b/>
                          <w:bCs/>
                          <w:color w:val="000000"/>
                          <w:spacing w:val="0"/>
                          <w:w w:val="100"/>
                          <w:position w:val="0"/>
                          <w:sz w:val="19"/>
                          <w:szCs w:val="19"/>
                          <w:shd w:val="clear" w:color="auto" w:fill="auto"/>
                          <w:lang w:val="cs-CZ" w:eastAsia="cs-CZ" w:bidi="cs-CZ"/>
                        </w:rPr>
                        <w:t>Poesie je podle mého názoru přímo tresť lidského života a sám tvůrčí princip. Není ani možné představit si svět bez poesie. Všechny literární formy jsou určovány poesii. Není literárního uměni bez poesie.</w:t>
                        <w:tab/>
                      </w:r>
                      <w:r>
                        <w:rPr>
                          <w:b/>
                          <w:bCs/>
                          <w:i/>
                          <w:iCs/>
                          <w:color w:val="000000"/>
                          <w:spacing w:val="0"/>
                          <w:w w:val="100"/>
                          <w:position w:val="0"/>
                          <w:sz w:val="20"/>
                          <w:szCs w:val="20"/>
                          <w:shd w:val="clear" w:color="auto" w:fill="auto"/>
                          <w:lang w:val="cs-CZ" w:eastAsia="cs-CZ" w:bidi="cs-CZ"/>
                        </w:rPr>
                        <w:t>G. D uhamel</w:t>
                      </w:r>
                    </w:p>
                  </w:txbxContent>
                </v:textbox>
                <w10:wrap type="topAndBottom" anchorx="page"/>
              </v:shape>
            </w:pict>
          </mc:Fallback>
        </mc:AlternateContent>
      </w:r>
      <w:r>
        <w:rPr>
          <w:noProof/>
        </w:rPr>
        <mc:AlternateContent>
          <mc:Choice Requires="wps">
            <w:drawing>
              <wp:anchor distT="50800" distB="0" distL="0" distR="0" simplePos="0" relativeHeight="125829648" behindDoc="0" locked="0" layoutInCell="1" allowOverlap="1">
                <wp:simplePos x="0" y="0"/>
                <wp:positionH relativeFrom="page">
                  <wp:posOffset>708660</wp:posOffset>
                </wp:positionH>
                <wp:positionV relativeFrom="paragraph">
                  <wp:posOffset>746760</wp:posOffset>
                </wp:positionV>
                <wp:extent cx="1615440" cy="496570"/>
                <wp:effectExtent l="0" t="0" r="0" b="0"/>
                <wp:wrapSquare wrapText="right"/>
                <wp:docPr id="271" name="Shape 271"/>
                <wp:cNvGraphicFramePr/>
                <a:graphic xmlns:a="http://schemas.openxmlformats.org/drawingml/2006/main">
                  <a:graphicData uri="http://schemas.microsoft.com/office/word/2010/wordprocessingShape">
                    <wps:wsp>
                      <wps:cNvSpPr txBox="1"/>
                      <wps:spPr>
                        <a:xfrm>
                          <a:off x="0" y="0"/>
                          <a:ext cx="1615440" cy="496570"/>
                        </a:xfrm>
                        <a:prstGeom prst="rect">
                          <a:avLst/>
                        </a:prstGeom>
                        <a:noFill/>
                      </wps:spPr>
                      <wps:txbx>
                        <w:txbxContent>
                          <w:p w:rsidR="00500724" w:rsidRDefault="00F30FB8">
                            <w:pPr>
                              <w:pStyle w:val="Zkladntext30"/>
                              <w:shd w:val="clear" w:color="auto" w:fill="auto"/>
                              <w:spacing w:after="0" w:line="240" w:lineRule="auto"/>
                              <w:ind w:firstLine="0"/>
                              <w:jc w:val="right"/>
                              <w:rPr>
                                <w:sz w:val="20"/>
                                <w:szCs w:val="20"/>
                              </w:rPr>
                            </w:pPr>
                            <w:r>
                              <w:rPr>
                                <w:i/>
                                <w:iCs/>
                                <w:sz w:val="20"/>
                                <w:szCs w:val="20"/>
                              </w:rPr>
                              <w:t>sny...</w:t>
                            </w:r>
                          </w:p>
                          <w:p w:rsidR="00500724" w:rsidRDefault="00F30FB8">
                            <w:pPr>
                              <w:pStyle w:val="Zkladntext30"/>
                              <w:shd w:val="clear" w:color="auto" w:fill="auto"/>
                              <w:spacing w:after="0" w:line="185" w:lineRule="auto"/>
                              <w:ind w:firstLine="0"/>
                              <w:jc w:val="left"/>
                              <w:rPr>
                                <w:sz w:val="20"/>
                                <w:szCs w:val="20"/>
                              </w:rPr>
                            </w:pPr>
                            <w:r>
                              <w:rPr>
                                <w:sz w:val="18"/>
                                <w:szCs w:val="18"/>
                              </w:rPr>
                              <w:t xml:space="preserve">V </w:t>
                            </w:r>
                            <w:r>
                              <w:rPr>
                                <w:i/>
                                <w:iCs/>
                                <w:sz w:val="20"/>
                                <w:szCs w:val="20"/>
                              </w:rPr>
                              <w:t>nich zvučí píseň, smích</w:t>
                            </w:r>
                          </w:p>
                          <w:p w:rsidR="00500724" w:rsidRDefault="00F30FB8">
                            <w:pPr>
                              <w:pStyle w:val="Zkladntext30"/>
                              <w:shd w:val="clear" w:color="auto" w:fill="auto"/>
                              <w:spacing w:after="0" w:line="180" w:lineRule="auto"/>
                              <w:ind w:firstLine="0"/>
                              <w:jc w:val="right"/>
                              <w:rPr>
                                <w:sz w:val="20"/>
                                <w:szCs w:val="20"/>
                              </w:rPr>
                            </w:pPr>
                            <w:r>
                              <w:rPr>
                                <w:i/>
                                <w:iCs/>
                                <w:sz w:val="20"/>
                                <w:szCs w:val="20"/>
                              </w:rPr>
                              <w:t>a hudba řek,</w:t>
                            </w:r>
                          </w:p>
                          <w:p w:rsidR="00500724" w:rsidRDefault="00F30FB8">
                            <w:pPr>
                              <w:pStyle w:val="Zkladntext30"/>
                              <w:shd w:val="clear" w:color="auto" w:fill="auto"/>
                              <w:spacing w:after="0" w:line="180" w:lineRule="auto"/>
                              <w:ind w:firstLine="0"/>
                              <w:jc w:val="left"/>
                              <w:rPr>
                                <w:sz w:val="20"/>
                                <w:szCs w:val="20"/>
                              </w:rPr>
                            </w:pPr>
                            <w:r>
                              <w:rPr>
                                <w:i/>
                                <w:iCs/>
                                <w:sz w:val="20"/>
                                <w:szCs w:val="20"/>
                              </w:rPr>
                              <w:t>která tu nikdy neumlká.</w:t>
                            </w:r>
                          </w:p>
                        </w:txbxContent>
                      </wps:txbx>
                      <wps:bodyPr lIns="0" tIns="0" rIns="0" bIns="0">
                        <a:spAutoFit/>
                      </wps:bodyPr>
                    </wps:wsp>
                  </a:graphicData>
                </a:graphic>
              </wp:anchor>
            </w:drawing>
          </mc:Choice>
          <mc:Fallback>
            <w:pict>
              <v:shape id="_x0000_s1297" type="#_x0000_t202" style="position:absolute;margin-left:55.799999999999997pt;margin-top:58.799999999999997pt;width:127.2pt;height:39.100000000000001pt;z-index:-125829105;mso-wrap-distance-left:0;mso-wrap-distance-top:4.pt;mso-wrap-distance-right:0;mso-position-horizontal-relative:page"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sny...</w:t>
                      </w:r>
                    </w:p>
                    <w:p>
                      <w:pPr>
                        <w:pStyle w:val="Style22"/>
                        <w:keepNext w:val="0"/>
                        <w:keepLines w:val="0"/>
                        <w:widowControl w:val="0"/>
                        <w:shd w:val="clear" w:color="auto" w:fill="auto"/>
                        <w:bidi w:val="0"/>
                        <w:spacing w:before="0" w:after="0" w:line="185" w:lineRule="auto"/>
                        <w:ind w:left="0" w:right="0" w:firstLine="0"/>
                        <w:jc w:val="left"/>
                        <w:rPr>
                          <w:sz w:val="20"/>
                          <w:szCs w:val="20"/>
                        </w:rPr>
                      </w:pPr>
                      <w:r>
                        <w:rPr>
                          <w:color w:val="000000"/>
                          <w:spacing w:val="0"/>
                          <w:w w:val="100"/>
                          <w:position w:val="0"/>
                          <w:sz w:val="18"/>
                          <w:szCs w:val="18"/>
                          <w:shd w:val="clear" w:color="auto" w:fill="auto"/>
                          <w:lang w:val="cs-CZ" w:eastAsia="cs-CZ" w:bidi="cs-CZ"/>
                        </w:rPr>
                        <w:t xml:space="preserve">V </w:t>
                      </w:r>
                      <w:r>
                        <w:rPr>
                          <w:i/>
                          <w:iCs/>
                          <w:color w:val="000000"/>
                          <w:spacing w:val="0"/>
                          <w:w w:val="100"/>
                          <w:position w:val="0"/>
                          <w:sz w:val="20"/>
                          <w:szCs w:val="20"/>
                          <w:shd w:val="clear" w:color="auto" w:fill="auto"/>
                          <w:lang w:val="cs-CZ" w:eastAsia="cs-CZ" w:bidi="cs-CZ"/>
                        </w:rPr>
                        <w:t>nich zvučí píseň, smích</w:t>
                      </w:r>
                    </w:p>
                    <w:p>
                      <w:pPr>
                        <w:pStyle w:val="Style22"/>
                        <w:keepNext w:val="0"/>
                        <w:keepLines w:val="0"/>
                        <w:widowControl w:val="0"/>
                        <w:shd w:val="clear" w:color="auto" w:fill="auto"/>
                        <w:bidi w:val="0"/>
                        <w:spacing w:before="0" w:after="0" w:line="18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a hudba řek,</w:t>
                      </w:r>
                    </w:p>
                    <w:p>
                      <w:pPr>
                        <w:pStyle w:val="Style22"/>
                        <w:keepNext w:val="0"/>
                        <w:keepLines w:val="0"/>
                        <w:widowControl w:val="0"/>
                        <w:shd w:val="clear" w:color="auto" w:fill="auto"/>
                        <w:bidi w:val="0"/>
                        <w:spacing w:before="0" w:after="0" w:line="18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která tu nikdy neumlká.</w:t>
                      </w:r>
                    </w:p>
                  </w:txbxContent>
                </v:textbox>
                <w10:wrap type="square" side="right" anchorx="page"/>
              </v:shape>
            </w:pict>
          </mc:Fallback>
        </mc:AlternateContent>
      </w:r>
      <w:r>
        <w:rPr>
          <w:noProof/>
        </w:rPr>
        <mc:AlternateContent>
          <mc:Choice Requires="wps">
            <w:drawing>
              <wp:anchor distT="88900" distB="0" distL="0" distR="0" simplePos="0" relativeHeight="125829650" behindDoc="0" locked="0" layoutInCell="1" allowOverlap="1">
                <wp:simplePos x="0" y="0"/>
                <wp:positionH relativeFrom="page">
                  <wp:posOffset>659765</wp:posOffset>
                </wp:positionH>
                <wp:positionV relativeFrom="paragraph">
                  <wp:posOffset>1276985</wp:posOffset>
                </wp:positionV>
                <wp:extent cx="1673225" cy="3999230"/>
                <wp:effectExtent l="0" t="0" r="0" b="0"/>
                <wp:wrapSquare wrapText="right"/>
                <wp:docPr id="273" name="Shape 273"/>
                <wp:cNvGraphicFramePr/>
                <a:graphic xmlns:a="http://schemas.openxmlformats.org/drawingml/2006/main">
                  <a:graphicData uri="http://schemas.microsoft.com/office/word/2010/wordprocessingShape">
                    <wps:wsp>
                      <wps:cNvSpPr txBox="1"/>
                      <wps:spPr>
                        <a:xfrm>
                          <a:off x="0" y="0"/>
                          <a:ext cx="1673225" cy="3999230"/>
                        </a:xfrm>
                        <a:prstGeom prst="rect">
                          <a:avLst/>
                        </a:prstGeom>
                        <a:noFill/>
                      </wps:spPr>
                      <wps:txbx>
                        <w:txbxContent>
                          <w:p w:rsidR="00500724" w:rsidRDefault="00F30FB8">
                            <w:pPr>
                              <w:pStyle w:val="Zkladntext30"/>
                              <w:shd w:val="clear" w:color="auto" w:fill="auto"/>
                              <w:spacing w:after="0" w:line="180" w:lineRule="auto"/>
                              <w:ind w:firstLine="0"/>
                              <w:jc w:val="left"/>
                              <w:rPr>
                                <w:sz w:val="20"/>
                                <w:szCs w:val="20"/>
                              </w:rPr>
                            </w:pPr>
                            <w:r>
                              <w:rPr>
                                <w:i/>
                                <w:iCs/>
                                <w:sz w:val="20"/>
                                <w:szCs w:val="20"/>
                              </w:rPr>
                              <w:t>Vůně hor se nesou větrem jak svátá legenda až do</w:t>
                            </w:r>
                          </w:p>
                          <w:p w:rsidR="00500724" w:rsidRDefault="00F30FB8">
                            <w:pPr>
                              <w:pStyle w:val="Zkladntext30"/>
                              <w:shd w:val="clear" w:color="auto" w:fill="auto"/>
                              <w:spacing w:after="0" w:line="180" w:lineRule="auto"/>
                              <w:ind w:firstLine="1100"/>
                              <w:jc w:val="left"/>
                              <w:rPr>
                                <w:sz w:val="20"/>
                                <w:szCs w:val="20"/>
                              </w:rPr>
                            </w:pPr>
                            <w:r>
                              <w:rPr>
                                <w:i/>
                                <w:iCs/>
                                <w:sz w:val="20"/>
                                <w:szCs w:val="20"/>
                              </w:rPr>
                              <w:t>planoucích nebes. Po gruních a úbočích jsou</w:t>
                            </w:r>
                          </w:p>
                          <w:p w:rsidR="00500724" w:rsidRDefault="00F30FB8">
                            <w:pPr>
                              <w:pStyle w:val="Zkladntext30"/>
                              <w:shd w:val="clear" w:color="auto" w:fill="auto"/>
                              <w:spacing w:after="0" w:line="180" w:lineRule="auto"/>
                              <w:ind w:firstLine="820"/>
                              <w:jc w:val="left"/>
                              <w:rPr>
                                <w:sz w:val="20"/>
                                <w:szCs w:val="20"/>
                              </w:rPr>
                            </w:pPr>
                            <w:r>
                              <w:rPr>
                                <w:i/>
                                <w:iCs/>
                                <w:sz w:val="20"/>
                                <w:szCs w:val="20"/>
                              </w:rPr>
                              <w:t xml:space="preserve">rozházeny </w:t>
                            </w:r>
                            <w:r>
                              <w:rPr>
                                <w:i/>
                                <w:iCs/>
                                <w:sz w:val="20"/>
                                <w:szCs w:val="20"/>
                              </w:rPr>
                              <w:t>chatky... Kdes na stráni hraje pastýř na zdobné sopilce... Zdá se, že tato země</w:t>
                            </w:r>
                          </w:p>
                          <w:p w:rsidR="00500724" w:rsidRDefault="00F30FB8">
                            <w:pPr>
                              <w:pStyle w:val="Zkladntext30"/>
                              <w:shd w:val="clear" w:color="auto" w:fill="auto"/>
                              <w:spacing w:after="0" w:line="180" w:lineRule="auto"/>
                              <w:ind w:firstLine="0"/>
                              <w:jc w:val="right"/>
                              <w:rPr>
                                <w:sz w:val="20"/>
                                <w:szCs w:val="20"/>
                              </w:rPr>
                            </w:pPr>
                            <w:r>
                              <w:rPr>
                                <w:i/>
                                <w:iCs/>
                                <w:sz w:val="20"/>
                                <w:szCs w:val="20"/>
                              </w:rPr>
                              <w:t>je stvořena</w:t>
                            </w:r>
                          </w:p>
                          <w:p w:rsidR="00500724" w:rsidRDefault="00F30FB8">
                            <w:pPr>
                              <w:pStyle w:val="Zkladntext30"/>
                              <w:shd w:val="clear" w:color="auto" w:fill="auto"/>
                              <w:spacing w:after="0" w:line="180" w:lineRule="auto"/>
                              <w:ind w:firstLine="0"/>
                              <w:jc w:val="left"/>
                              <w:rPr>
                                <w:sz w:val="20"/>
                                <w:szCs w:val="20"/>
                              </w:rPr>
                            </w:pPr>
                            <w:r>
                              <w:rPr>
                                <w:i/>
                                <w:iCs/>
                                <w:sz w:val="20"/>
                                <w:szCs w:val="20"/>
                              </w:rPr>
                              <w:t>pro básníky, pro smích.</w:t>
                            </w:r>
                          </w:p>
                          <w:p w:rsidR="00500724" w:rsidRDefault="00F30FB8">
                            <w:pPr>
                              <w:pStyle w:val="Zkladntext30"/>
                              <w:shd w:val="clear" w:color="auto" w:fill="auto"/>
                              <w:spacing w:after="160" w:line="180" w:lineRule="auto"/>
                              <w:ind w:firstLine="0"/>
                              <w:jc w:val="right"/>
                              <w:rPr>
                                <w:sz w:val="20"/>
                                <w:szCs w:val="20"/>
                              </w:rPr>
                            </w:pPr>
                            <w:r>
                              <w:rPr>
                                <w:i/>
                                <w:iCs/>
                                <w:sz w:val="20"/>
                                <w:szCs w:val="20"/>
                              </w:rPr>
                              <w:t>krásu a polibky...</w:t>
                            </w:r>
                          </w:p>
                          <w:p w:rsidR="00500724" w:rsidRDefault="00F30FB8">
                            <w:pPr>
                              <w:pStyle w:val="Zkladntext30"/>
                              <w:shd w:val="clear" w:color="auto" w:fill="auto"/>
                              <w:spacing w:after="0" w:line="182" w:lineRule="auto"/>
                              <w:ind w:left="2200" w:hanging="2200"/>
                              <w:jc w:val="left"/>
                              <w:rPr>
                                <w:sz w:val="20"/>
                                <w:szCs w:val="20"/>
                              </w:rPr>
                            </w:pPr>
                            <w:r>
                              <w:rPr>
                                <w:i/>
                                <w:iCs/>
                                <w:sz w:val="20"/>
                                <w:szCs w:val="20"/>
                              </w:rPr>
                              <w:t>Tu žije Hucul — Sirokoplecí orel.</w:t>
                            </w:r>
                          </w:p>
                          <w:p w:rsidR="00500724" w:rsidRDefault="00F30FB8">
                            <w:pPr>
                              <w:pStyle w:val="Zkladntext30"/>
                              <w:shd w:val="clear" w:color="auto" w:fill="auto"/>
                              <w:spacing w:after="0" w:line="182" w:lineRule="auto"/>
                              <w:ind w:firstLine="0"/>
                              <w:jc w:val="left"/>
                              <w:rPr>
                                <w:sz w:val="20"/>
                                <w:szCs w:val="20"/>
                              </w:rPr>
                            </w:pPr>
                            <w:r>
                              <w:rPr>
                                <w:i/>
                                <w:iCs/>
                                <w:sz w:val="20"/>
                                <w:szCs w:val="20"/>
                              </w:rPr>
                              <w:t xml:space="preserve">Jeho osud byl často krutý, však v duSi jeho je plno míru. A třeba je v jeho hlubokém </w:t>
                            </w:r>
                            <w:r>
                              <w:rPr>
                                <w:i/>
                                <w:iCs/>
                                <w:sz w:val="20"/>
                                <w:szCs w:val="20"/>
                              </w:rPr>
                              <w:t>zraku plno bolu, jeho tvář je docela</w:t>
                            </w:r>
                          </w:p>
                          <w:p w:rsidR="00500724" w:rsidRDefault="00F30FB8">
                            <w:pPr>
                              <w:pStyle w:val="Zkladntext30"/>
                              <w:shd w:val="clear" w:color="auto" w:fill="auto"/>
                              <w:spacing w:after="0" w:line="182" w:lineRule="auto"/>
                              <w:ind w:firstLine="0"/>
                              <w:jc w:val="right"/>
                              <w:rPr>
                                <w:sz w:val="20"/>
                                <w:szCs w:val="20"/>
                              </w:rPr>
                            </w:pPr>
                            <w:r>
                              <w:rPr>
                                <w:i/>
                                <w:iCs/>
                                <w:sz w:val="20"/>
                                <w:szCs w:val="20"/>
                              </w:rPr>
                              <w:t>bezstarostná,</w:t>
                            </w:r>
                          </w:p>
                          <w:p w:rsidR="00500724" w:rsidRDefault="00F30FB8">
                            <w:pPr>
                              <w:pStyle w:val="Zkladntext30"/>
                              <w:shd w:val="clear" w:color="auto" w:fill="auto"/>
                              <w:spacing w:after="0" w:line="182" w:lineRule="auto"/>
                              <w:ind w:left="2060" w:hanging="2060"/>
                              <w:jc w:val="left"/>
                              <w:rPr>
                                <w:sz w:val="20"/>
                                <w:szCs w:val="20"/>
                              </w:rPr>
                            </w:pPr>
                            <w:r>
                              <w:rPr>
                                <w:i/>
                                <w:iCs/>
                                <w:sz w:val="20"/>
                                <w:szCs w:val="20"/>
                              </w:rPr>
                              <w:t>zpívá si písně se stříbrnou Tisou,</w:t>
                            </w:r>
                          </w:p>
                          <w:p w:rsidR="00500724" w:rsidRDefault="00F30FB8">
                            <w:pPr>
                              <w:pStyle w:val="Zkladntext30"/>
                              <w:shd w:val="clear" w:color="auto" w:fill="auto"/>
                              <w:spacing w:after="0" w:line="182" w:lineRule="auto"/>
                              <w:ind w:firstLine="0"/>
                              <w:jc w:val="left"/>
                              <w:rPr>
                                <w:sz w:val="20"/>
                                <w:szCs w:val="20"/>
                              </w:rPr>
                            </w:pPr>
                            <w:r>
                              <w:rPr>
                                <w:i/>
                                <w:iCs/>
                                <w:sz w:val="20"/>
                                <w:szCs w:val="20"/>
                              </w:rPr>
                              <w:t>odplouvaje na voru.</w:t>
                            </w:r>
                          </w:p>
                          <w:p w:rsidR="00500724" w:rsidRDefault="00F30FB8">
                            <w:pPr>
                              <w:pStyle w:val="Zkladntext30"/>
                              <w:shd w:val="clear" w:color="auto" w:fill="auto"/>
                              <w:spacing w:after="0" w:line="182" w:lineRule="auto"/>
                              <w:ind w:firstLine="0"/>
                              <w:jc w:val="left"/>
                              <w:rPr>
                                <w:sz w:val="20"/>
                                <w:szCs w:val="20"/>
                              </w:rPr>
                            </w:pPr>
                            <w:r>
                              <w:rPr>
                                <w:i/>
                                <w:iCs/>
                                <w:sz w:val="20"/>
                                <w:szCs w:val="20"/>
                              </w:rPr>
                              <w:t>A z hlubin hor a huculských</w:t>
                            </w:r>
                          </w:p>
                          <w:p w:rsidR="00500724" w:rsidRDefault="00F30FB8">
                            <w:pPr>
                              <w:pStyle w:val="Zkladntext30"/>
                              <w:shd w:val="clear" w:color="auto" w:fill="auto"/>
                              <w:spacing w:after="0" w:line="182" w:lineRule="auto"/>
                              <w:ind w:firstLine="0"/>
                              <w:jc w:val="right"/>
                              <w:rPr>
                                <w:sz w:val="20"/>
                                <w:szCs w:val="20"/>
                              </w:rPr>
                            </w:pPr>
                            <w:r>
                              <w:rPr>
                                <w:i/>
                                <w:iCs/>
                                <w:sz w:val="20"/>
                                <w:szCs w:val="20"/>
                              </w:rPr>
                              <w:t>lesů</w:t>
                            </w:r>
                          </w:p>
                          <w:p w:rsidR="00500724" w:rsidRDefault="00F30FB8">
                            <w:pPr>
                              <w:pStyle w:val="Zkladntext30"/>
                              <w:shd w:val="clear" w:color="auto" w:fill="auto"/>
                              <w:tabs>
                                <w:tab w:val="left" w:pos="2525"/>
                              </w:tabs>
                              <w:spacing w:after="0" w:line="182" w:lineRule="auto"/>
                              <w:ind w:firstLine="0"/>
                              <w:rPr>
                                <w:sz w:val="19"/>
                                <w:szCs w:val="19"/>
                              </w:rPr>
                            </w:pPr>
                            <w:r>
                              <w:rPr>
                                <w:i/>
                                <w:iCs/>
                                <w:sz w:val="20"/>
                                <w:szCs w:val="20"/>
                              </w:rPr>
                              <w:t>posílá Suhaj Pop Ivan</w:t>
                            </w:r>
                            <w:r>
                              <w:rPr>
                                <w:b/>
                                <w:bCs/>
                                <w:sz w:val="19"/>
                                <w:szCs w:val="19"/>
                              </w:rPr>
                              <w:tab/>
                              <w:t>j</w:t>
                            </w:r>
                          </w:p>
                          <w:p w:rsidR="00500724" w:rsidRDefault="00F30FB8">
                            <w:pPr>
                              <w:pStyle w:val="Zkladntext30"/>
                              <w:shd w:val="clear" w:color="auto" w:fill="auto"/>
                              <w:spacing w:after="160" w:line="182" w:lineRule="auto"/>
                              <w:ind w:firstLine="0"/>
                              <w:jc w:val="right"/>
                              <w:rPr>
                                <w:sz w:val="20"/>
                                <w:szCs w:val="20"/>
                              </w:rPr>
                            </w:pPr>
                            <w:r>
                              <w:rPr>
                                <w:i/>
                                <w:iCs/>
                                <w:sz w:val="20"/>
                                <w:szCs w:val="20"/>
                              </w:rPr>
                              <w:t>pozdravy krásce Hoverle</w:t>
                            </w:r>
                            <w:r>
                              <w:rPr>
                                <w:b/>
                                <w:bCs/>
                                <w:sz w:val="19"/>
                                <w:szCs w:val="19"/>
                              </w:rPr>
                              <w:t xml:space="preserve"> j </w:t>
                            </w:r>
                            <w:r>
                              <w:rPr>
                                <w:i/>
                                <w:iCs/>
                                <w:sz w:val="20"/>
                                <w:szCs w:val="20"/>
                              </w:rPr>
                              <w:t>tož on je pánem tohoto kraje. '■</w:t>
                            </w:r>
                          </w:p>
                          <w:p w:rsidR="00500724" w:rsidRDefault="00F30FB8">
                            <w:pPr>
                              <w:pStyle w:val="Zkladntext30"/>
                              <w:shd w:val="clear" w:color="auto" w:fill="auto"/>
                              <w:spacing w:after="0" w:line="187" w:lineRule="auto"/>
                              <w:ind w:firstLine="0"/>
                              <w:rPr>
                                <w:sz w:val="20"/>
                                <w:szCs w:val="20"/>
                              </w:rPr>
                            </w:pPr>
                            <w:r>
                              <w:rPr>
                                <w:i/>
                                <w:iCs/>
                                <w:sz w:val="20"/>
                                <w:szCs w:val="20"/>
                              </w:rPr>
                              <w:t>A starý Petr uč, odvážný,</w:t>
                            </w:r>
                          </w:p>
                          <w:p w:rsidR="00500724" w:rsidRDefault="00F30FB8">
                            <w:pPr>
                              <w:pStyle w:val="Zkladntext30"/>
                              <w:shd w:val="clear" w:color="auto" w:fill="auto"/>
                              <w:spacing w:after="0" w:line="187" w:lineRule="auto"/>
                              <w:ind w:firstLine="0"/>
                              <w:jc w:val="right"/>
                              <w:rPr>
                                <w:sz w:val="20"/>
                                <w:szCs w:val="20"/>
                              </w:rPr>
                            </w:pPr>
                            <w:r>
                              <w:rPr>
                                <w:i/>
                                <w:iCs/>
                                <w:sz w:val="20"/>
                                <w:szCs w:val="20"/>
                              </w:rPr>
                              <w:t>hledí ja</w:t>
                            </w:r>
                            <w:r>
                              <w:rPr>
                                <w:i/>
                                <w:iCs/>
                                <w:sz w:val="20"/>
                                <w:szCs w:val="20"/>
                              </w:rPr>
                              <w:t>ko námořník</w:t>
                            </w:r>
                          </w:p>
                          <w:p w:rsidR="00500724" w:rsidRDefault="00F30FB8">
                            <w:pPr>
                              <w:pStyle w:val="Zkladntext30"/>
                              <w:shd w:val="clear" w:color="auto" w:fill="auto"/>
                              <w:spacing w:after="0" w:line="187" w:lineRule="auto"/>
                              <w:ind w:firstLine="0"/>
                              <w:rPr>
                                <w:sz w:val="20"/>
                                <w:szCs w:val="20"/>
                              </w:rPr>
                            </w:pPr>
                            <w:r>
                              <w:rPr>
                                <w:i/>
                                <w:iCs/>
                                <w:sz w:val="20"/>
                                <w:szCs w:val="20"/>
                              </w:rPr>
                              <w:t>na moře huculských lesů</w:t>
                            </w:r>
                          </w:p>
                          <w:p w:rsidR="00500724" w:rsidRDefault="00F30FB8">
                            <w:pPr>
                              <w:pStyle w:val="Zkladntext30"/>
                              <w:shd w:val="clear" w:color="auto" w:fill="auto"/>
                              <w:spacing w:after="0" w:line="187" w:lineRule="auto"/>
                              <w:ind w:firstLine="0"/>
                              <w:jc w:val="right"/>
                              <w:rPr>
                                <w:sz w:val="20"/>
                                <w:szCs w:val="20"/>
                              </w:rPr>
                            </w:pPr>
                            <w:r>
                              <w:rPr>
                                <w:i/>
                                <w:iCs/>
                                <w:sz w:val="20"/>
                                <w:szCs w:val="20"/>
                              </w:rPr>
                              <w:t>do dálek...</w:t>
                            </w:r>
                          </w:p>
                          <w:p w:rsidR="00500724" w:rsidRDefault="00F30FB8">
                            <w:pPr>
                              <w:pStyle w:val="Zkladntext30"/>
                              <w:shd w:val="clear" w:color="auto" w:fill="auto"/>
                              <w:tabs>
                                <w:tab w:val="left" w:leader="underscore" w:pos="499"/>
                                <w:tab w:val="left" w:pos="1963"/>
                              </w:tabs>
                              <w:spacing w:after="0" w:line="187" w:lineRule="auto"/>
                              <w:ind w:firstLine="0"/>
                              <w:jc w:val="left"/>
                              <w:rPr>
                                <w:sz w:val="20"/>
                                <w:szCs w:val="20"/>
                              </w:rPr>
                            </w:pPr>
                            <w:r>
                              <w:rPr>
                                <w:i/>
                                <w:iCs/>
                                <w:sz w:val="20"/>
                                <w:szCs w:val="20"/>
                              </w:rPr>
                              <w:t xml:space="preserve">oba vrcholy Blížnice mu kývly srdečným uvítáním: Bud </w:t>
                            </w:r>
                            <w:r>
                              <w:rPr>
                                <w:i/>
                                <w:iCs/>
                                <w:sz w:val="20"/>
                                <w:szCs w:val="20"/>
                              </w:rPr>
                              <w:tab/>
                            </w:r>
                            <w:r>
                              <w:rPr>
                                <w:i/>
                                <w:iCs/>
                                <w:sz w:val="20"/>
                                <w:szCs w:val="20"/>
                              </w:rPr>
                              <w:tab/>
                              <w:t>zdráv!</w:t>
                            </w:r>
                          </w:p>
                        </w:txbxContent>
                      </wps:txbx>
                      <wps:bodyPr lIns="0" tIns="0" rIns="0" bIns="0">
                        <a:spAutoFit/>
                      </wps:bodyPr>
                    </wps:wsp>
                  </a:graphicData>
                </a:graphic>
              </wp:anchor>
            </w:drawing>
          </mc:Choice>
          <mc:Fallback>
            <w:pict>
              <v:shape id="_x0000_s1299" type="#_x0000_t202" style="position:absolute;margin-left:51.950000000000003pt;margin-top:100.55pt;width:131.75pt;height:314.89999999999998pt;z-index:-125829103;mso-wrap-distance-left:0;mso-wrap-distance-top:7.pt;mso-wrap-distance-right:0;mso-position-horizontal-relative:page" filled="f" stroked="f">
                <v:textbox style="mso-fit-shape-to-text:t" inset="0,0,0,0">
                  <w:txbxContent>
                    <w:p>
                      <w:pPr>
                        <w:pStyle w:val="Style22"/>
                        <w:keepNext w:val="0"/>
                        <w:keepLines w:val="0"/>
                        <w:widowControl w:val="0"/>
                        <w:shd w:val="clear" w:color="auto" w:fill="auto"/>
                        <w:bidi w:val="0"/>
                        <w:spacing w:before="0" w:after="0" w:line="18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Vůně hor se nesou větrem jak svátá legenda až do</w:t>
                      </w:r>
                    </w:p>
                    <w:p>
                      <w:pPr>
                        <w:pStyle w:val="Style22"/>
                        <w:keepNext w:val="0"/>
                        <w:keepLines w:val="0"/>
                        <w:widowControl w:val="0"/>
                        <w:shd w:val="clear" w:color="auto" w:fill="auto"/>
                        <w:bidi w:val="0"/>
                        <w:spacing w:before="0" w:after="0" w:line="180" w:lineRule="auto"/>
                        <w:ind w:left="0" w:right="0" w:firstLine="1100"/>
                        <w:jc w:val="left"/>
                        <w:rPr>
                          <w:sz w:val="20"/>
                          <w:szCs w:val="20"/>
                        </w:rPr>
                      </w:pPr>
                      <w:r>
                        <w:rPr>
                          <w:i/>
                          <w:iCs/>
                          <w:color w:val="000000"/>
                          <w:spacing w:val="0"/>
                          <w:w w:val="100"/>
                          <w:position w:val="0"/>
                          <w:sz w:val="20"/>
                          <w:szCs w:val="20"/>
                          <w:shd w:val="clear" w:color="auto" w:fill="auto"/>
                          <w:lang w:val="cs-CZ" w:eastAsia="cs-CZ" w:bidi="cs-CZ"/>
                        </w:rPr>
                        <w:t>planoucích nebes. Po gruních a úbočích jsou</w:t>
                      </w:r>
                    </w:p>
                    <w:p>
                      <w:pPr>
                        <w:pStyle w:val="Style22"/>
                        <w:keepNext w:val="0"/>
                        <w:keepLines w:val="0"/>
                        <w:widowControl w:val="0"/>
                        <w:shd w:val="clear" w:color="auto" w:fill="auto"/>
                        <w:bidi w:val="0"/>
                        <w:spacing w:before="0" w:after="0" w:line="180" w:lineRule="auto"/>
                        <w:ind w:left="0" w:right="0" w:firstLine="820"/>
                        <w:jc w:val="left"/>
                        <w:rPr>
                          <w:sz w:val="20"/>
                          <w:szCs w:val="20"/>
                        </w:rPr>
                      </w:pPr>
                      <w:r>
                        <w:rPr>
                          <w:i/>
                          <w:iCs/>
                          <w:color w:val="000000"/>
                          <w:spacing w:val="0"/>
                          <w:w w:val="100"/>
                          <w:position w:val="0"/>
                          <w:sz w:val="20"/>
                          <w:szCs w:val="20"/>
                          <w:shd w:val="clear" w:color="auto" w:fill="auto"/>
                          <w:lang w:val="cs-CZ" w:eastAsia="cs-CZ" w:bidi="cs-CZ"/>
                        </w:rPr>
                        <w:t>rozházeny chatky... Kdes na stráni hraje pastýř na zdobné sopilce... Zdá se, že tato země</w:t>
                      </w:r>
                    </w:p>
                    <w:p>
                      <w:pPr>
                        <w:pStyle w:val="Style22"/>
                        <w:keepNext w:val="0"/>
                        <w:keepLines w:val="0"/>
                        <w:widowControl w:val="0"/>
                        <w:shd w:val="clear" w:color="auto" w:fill="auto"/>
                        <w:bidi w:val="0"/>
                        <w:spacing w:before="0" w:after="0" w:line="18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je stvořena</w:t>
                      </w:r>
                    </w:p>
                    <w:p>
                      <w:pPr>
                        <w:pStyle w:val="Style22"/>
                        <w:keepNext w:val="0"/>
                        <w:keepLines w:val="0"/>
                        <w:widowControl w:val="0"/>
                        <w:shd w:val="clear" w:color="auto" w:fill="auto"/>
                        <w:bidi w:val="0"/>
                        <w:spacing w:before="0" w:after="0" w:line="18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pro básníky, pro smích.</w:t>
                      </w:r>
                    </w:p>
                    <w:p>
                      <w:pPr>
                        <w:pStyle w:val="Style22"/>
                        <w:keepNext w:val="0"/>
                        <w:keepLines w:val="0"/>
                        <w:widowControl w:val="0"/>
                        <w:shd w:val="clear" w:color="auto" w:fill="auto"/>
                        <w:bidi w:val="0"/>
                        <w:spacing w:before="0" w:after="160" w:line="18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krásu a polibky...</w:t>
                      </w:r>
                    </w:p>
                    <w:p>
                      <w:pPr>
                        <w:pStyle w:val="Style22"/>
                        <w:keepNext w:val="0"/>
                        <w:keepLines w:val="0"/>
                        <w:widowControl w:val="0"/>
                        <w:shd w:val="clear" w:color="auto" w:fill="auto"/>
                        <w:bidi w:val="0"/>
                        <w:spacing w:before="0" w:after="0" w:line="182" w:lineRule="auto"/>
                        <w:ind w:left="2200" w:right="0" w:hanging="2200"/>
                        <w:jc w:val="left"/>
                        <w:rPr>
                          <w:sz w:val="20"/>
                          <w:szCs w:val="20"/>
                        </w:rPr>
                      </w:pPr>
                      <w:r>
                        <w:rPr>
                          <w:i/>
                          <w:iCs/>
                          <w:color w:val="000000"/>
                          <w:spacing w:val="0"/>
                          <w:w w:val="100"/>
                          <w:position w:val="0"/>
                          <w:sz w:val="20"/>
                          <w:szCs w:val="20"/>
                          <w:shd w:val="clear" w:color="auto" w:fill="auto"/>
                          <w:lang w:val="cs-CZ" w:eastAsia="cs-CZ" w:bidi="cs-CZ"/>
                        </w:rPr>
                        <w:t>Tu žije Hucul — Sirokoplecí orel.</w:t>
                      </w:r>
                    </w:p>
                    <w:p>
                      <w:pPr>
                        <w:pStyle w:val="Style22"/>
                        <w:keepNext w:val="0"/>
                        <w:keepLines w:val="0"/>
                        <w:widowControl w:val="0"/>
                        <w:shd w:val="clear" w:color="auto" w:fill="auto"/>
                        <w:bidi w:val="0"/>
                        <w:spacing w:before="0" w:after="0" w:line="182"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Jeho osud byl často krutý, však v duSi jeho je plno míru. A třeba je v jeho hlubokém zraku plno bolu, jeho tvář je docela</w:t>
                      </w:r>
                    </w:p>
                    <w:p>
                      <w:pPr>
                        <w:pStyle w:val="Style22"/>
                        <w:keepNext w:val="0"/>
                        <w:keepLines w:val="0"/>
                        <w:widowControl w:val="0"/>
                        <w:shd w:val="clear" w:color="auto" w:fill="auto"/>
                        <w:bidi w:val="0"/>
                        <w:spacing w:before="0" w:after="0" w:line="182"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bezstarostná,</w:t>
                      </w:r>
                    </w:p>
                    <w:p>
                      <w:pPr>
                        <w:pStyle w:val="Style22"/>
                        <w:keepNext w:val="0"/>
                        <w:keepLines w:val="0"/>
                        <w:widowControl w:val="0"/>
                        <w:shd w:val="clear" w:color="auto" w:fill="auto"/>
                        <w:bidi w:val="0"/>
                        <w:spacing w:before="0" w:after="0" w:line="182" w:lineRule="auto"/>
                        <w:ind w:left="2060" w:right="0" w:hanging="2060"/>
                        <w:jc w:val="left"/>
                        <w:rPr>
                          <w:sz w:val="20"/>
                          <w:szCs w:val="20"/>
                        </w:rPr>
                      </w:pPr>
                      <w:r>
                        <w:rPr>
                          <w:i/>
                          <w:iCs/>
                          <w:color w:val="000000"/>
                          <w:spacing w:val="0"/>
                          <w:w w:val="100"/>
                          <w:position w:val="0"/>
                          <w:sz w:val="20"/>
                          <w:szCs w:val="20"/>
                          <w:shd w:val="clear" w:color="auto" w:fill="auto"/>
                          <w:lang w:val="cs-CZ" w:eastAsia="cs-CZ" w:bidi="cs-CZ"/>
                        </w:rPr>
                        <w:t>zpívá si písně se stříbrnou Tisou,</w:t>
                      </w:r>
                    </w:p>
                    <w:p>
                      <w:pPr>
                        <w:pStyle w:val="Style22"/>
                        <w:keepNext w:val="0"/>
                        <w:keepLines w:val="0"/>
                        <w:widowControl w:val="0"/>
                        <w:shd w:val="clear" w:color="auto" w:fill="auto"/>
                        <w:bidi w:val="0"/>
                        <w:spacing w:before="0" w:after="0" w:line="182"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odplouvaje na voru.</w:t>
                      </w:r>
                    </w:p>
                    <w:p>
                      <w:pPr>
                        <w:pStyle w:val="Style22"/>
                        <w:keepNext w:val="0"/>
                        <w:keepLines w:val="0"/>
                        <w:widowControl w:val="0"/>
                        <w:shd w:val="clear" w:color="auto" w:fill="auto"/>
                        <w:bidi w:val="0"/>
                        <w:spacing w:before="0" w:after="0" w:line="182"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A z hlubin hor a huculských</w:t>
                      </w:r>
                    </w:p>
                    <w:p>
                      <w:pPr>
                        <w:pStyle w:val="Style22"/>
                        <w:keepNext w:val="0"/>
                        <w:keepLines w:val="0"/>
                        <w:widowControl w:val="0"/>
                        <w:shd w:val="clear" w:color="auto" w:fill="auto"/>
                        <w:bidi w:val="0"/>
                        <w:spacing w:before="0" w:after="0" w:line="182"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lesů</w:t>
                      </w:r>
                    </w:p>
                    <w:p>
                      <w:pPr>
                        <w:pStyle w:val="Style22"/>
                        <w:keepNext w:val="0"/>
                        <w:keepLines w:val="0"/>
                        <w:widowControl w:val="0"/>
                        <w:shd w:val="clear" w:color="auto" w:fill="auto"/>
                        <w:tabs>
                          <w:tab w:pos="2525" w:val="left"/>
                        </w:tabs>
                        <w:bidi w:val="0"/>
                        <w:spacing w:before="0" w:after="0" w:line="182" w:lineRule="auto"/>
                        <w:ind w:left="0" w:right="0" w:firstLine="0"/>
                        <w:rPr>
                          <w:sz w:val="19"/>
                          <w:szCs w:val="19"/>
                        </w:rPr>
                      </w:pPr>
                      <w:r>
                        <w:rPr>
                          <w:i/>
                          <w:iCs/>
                          <w:color w:val="000000"/>
                          <w:spacing w:val="0"/>
                          <w:w w:val="100"/>
                          <w:position w:val="0"/>
                          <w:sz w:val="20"/>
                          <w:szCs w:val="20"/>
                          <w:shd w:val="clear" w:color="auto" w:fill="auto"/>
                          <w:lang w:val="cs-CZ" w:eastAsia="cs-CZ" w:bidi="cs-CZ"/>
                        </w:rPr>
                        <w:t>posílá Suhaj Pop Ivan</w:t>
                      </w:r>
                      <w:r>
                        <w:rPr>
                          <w:b/>
                          <w:bCs/>
                          <w:color w:val="000000"/>
                          <w:spacing w:val="0"/>
                          <w:w w:val="100"/>
                          <w:position w:val="0"/>
                          <w:sz w:val="19"/>
                          <w:szCs w:val="19"/>
                          <w:shd w:val="clear" w:color="auto" w:fill="auto"/>
                          <w:lang w:val="cs-CZ" w:eastAsia="cs-CZ" w:bidi="cs-CZ"/>
                        </w:rPr>
                        <w:tab/>
                        <w:t>j</w:t>
                      </w:r>
                    </w:p>
                    <w:p>
                      <w:pPr>
                        <w:pStyle w:val="Style22"/>
                        <w:keepNext w:val="0"/>
                        <w:keepLines w:val="0"/>
                        <w:widowControl w:val="0"/>
                        <w:shd w:val="clear" w:color="auto" w:fill="auto"/>
                        <w:bidi w:val="0"/>
                        <w:spacing w:before="0" w:after="160" w:line="182"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pozdravy krásce Hoverle</w:t>
                      </w:r>
                      <w:r>
                        <w:rPr>
                          <w:b/>
                          <w:bCs/>
                          <w:color w:val="000000"/>
                          <w:spacing w:val="0"/>
                          <w:w w:val="100"/>
                          <w:position w:val="0"/>
                          <w:sz w:val="19"/>
                          <w:szCs w:val="19"/>
                          <w:shd w:val="clear" w:color="auto" w:fill="auto"/>
                          <w:lang w:val="cs-CZ" w:eastAsia="cs-CZ" w:bidi="cs-CZ"/>
                        </w:rPr>
                        <w:t xml:space="preserve"> j </w:t>
                      </w:r>
                      <w:r>
                        <w:rPr>
                          <w:i/>
                          <w:iCs/>
                          <w:color w:val="000000"/>
                          <w:spacing w:val="0"/>
                          <w:w w:val="100"/>
                          <w:position w:val="0"/>
                          <w:sz w:val="20"/>
                          <w:szCs w:val="20"/>
                          <w:shd w:val="clear" w:color="auto" w:fill="auto"/>
                          <w:lang w:val="cs-CZ" w:eastAsia="cs-CZ" w:bidi="cs-CZ"/>
                        </w:rPr>
                        <w:t>tož on je pánem tohoto kraje. '■</w:t>
                      </w:r>
                    </w:p>
                    <w:p>
                      <w:pPr>
                        <w:pStyle w:val="Style22"/>
                        <w:keepNext w:val="0"/>
                        <w:keepLines w:val="0"/>
                        <w:widowControl w:val="0"/>
                        <w:shd w:val="clear" w:color="auto" w:fill="auto"/>
                        <w:bidi w:val="0"/>
                        <w:spacing w:before="0" w:after="0" w:line="187" w:lineRule="auto"/>
                        <w:ind w:left="0" w:right="0" w:firstLine="0"/>
                        <w:rPr>
                          <w:sz w:val="20"/>
                          <w:szCs w:val="20"/>
                        </w:rPr>
                      </w:pPr>
                      <w:r>
                        <w:rPr>
                          <w:i/>
                          <w:iCs/>
                          <w:color w:val="000000"/>
                          <w:spacing w:val="0"/>
                          <w:w w:val="100"/>
                          <w:position w:val="0"/>
                          <w:sz w:val="20"/>
                          <w:szCs w:val="20"/>
                          <w:shd w:val="clear" w:color="auto" w:fill="auto"/>
                          <w:lang w:val="cs-CZ" w:eastAsia="cs-CZ" w:bidi="cs-CZ"/>
                        </w:rPr>
                        <w:t>A starý Petr uč, odvážný,</w:t>
                      </w:r>
                    </w:p>
                    <w:p>
                      <w:pPr>
                        <w:pStyle w:val="Style22"/>
                        <w:keepNext w:val="0"/>
                        <w:keepLines w:val="0"/>
                        <w:widowControl w:val="0"/>
                        <w:shd w:val="clear" w:color="auto" w:fill="auto"/>
                        <w:bidi w:val="0"/>
                        <w:spacing w:before="0" w:after="0" w:line="187"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hledí jako námořník</w:t>
                      </w:r>
                    </w:p>
                    <w:p>
                      <w:pPr>
                        <w:pStyle w:val="Style22"/>
                        <w:keepNext w:val="0"/>
                        <w:keepLines w:val="0"/>
                        <w:widowControl w:val="0"/>
                        <w:shd w:val="clear" w:color="auto" w:fill="auto"/>
                        <w:bidi w:val="0"/>
                        <w:spacing w:before="0" w:after="0" w:line="187" w:lineRule="auto"/>
                        <w:ind w:left="0" w:right="0" w:firstLine="0"/>
                        <w:rPr>
                          <w:sz w:val="20"/>
                          <w:szCs w:val="20"/>
                        </w:rPr>
                      </w:pPr>
                      <w:r>
                        <w:rPr>
                          <w:i/>
                          <w:iCs/>
                          <w:color w:val="000000"/>
                          <w:spacing w:val="0"/>
                          <w:w w:val="100"/>
                          <w:position w:val="0"/>
                          <w:sz w:val="20"/>
                          <w:szCs w:val="20"/>
                          <w:shd w:val="clear" w:color="auto" w:fill="auto"/>
                          <w:lang w:val="cs-CZ" w:eastAsia="cs-CZ" w:bidi="cs-CZ"/>
                        </w:rPr>
                        <w:t>na moře huculských lesů</w:t>
                      </w:r>
                    </w:p>
                    <w:p>
                      <w:pPr>
                        <w:pStyle w:val="Style22"/>
                        <w:keepNext w:val="0"/>
                        <w:keepLines w:val="0"/>
                        <w:widowControl w:val="0"/>
                        <w:shd w:val="clear" w:color="auto" w:fill="auto"/>
                        <w:bidi w:val="0"/>
                        <w:spacing w:before="0" w:after="0" w:line="187"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do dálek...</w:t>
                      </w:r>
                    </w:p>
                    <w:p>
                      <w:pPr>
                        <w:pStyle w:val="Style22"/>
                        <w:keepNext w:val="0"/>
                        <w:keepLines w:val="0"/>
                        <w:widowControl w:val="0"/>
                        <w:shd w:val="clear" w:color="auto" w:fill="auto"/>
                        <w:tabs>
                          <w:tab w:leader="underscore" w:pos="499" w:val="left"/>
                          <w:tab w:pos="1963" w:val="left"/>
                        </w:tabs>
                        <w:bidi w:val="0"/>
                        <w:spacing w:before="0" w:after="0" w:line="187"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 xml:space="preserve">oba vrcholy Blížnice mu kývly srdečným uvítáním: Bud </w:t>
                        <w:tab/>
                        <w:tab/>
                        <w:t>zdráv!</w:t>
                      </w:r>
                    </w:p>
                  </w:txbxContent>
                </v:textbox>
                <w10:wrap type="square" side="right" anchorx="page"/>
              </v:shape>
            </w:pict>
          </mc:Fallback>
        </mc:AlternateContent>
      </w:r>
      <w:r>
        <w:rPr>
          <w:noProof/>
        </w:rPr>
        <mc:AlternateContent>
          <mc:Choice Requires="wps">
            <w:drawing>
              <wp:anchor distT="0" distB="0" distL="0" distR="0" simplePos="0" relativeHeight="125829652" behindDoc="0" locked="0" layoutInCell="1" allowOverlap="1">
                <wp:simplePos x="0" y="0"/>
                <wp:positionH relativeFrom="page">
                  <wp:posOffset>5698490</wp:posOffset>
                </wp:positionH>
                <wp:positionV relativeFrom="paragraph">
                  <wp:posOffset>12700</wp:posOffset>
                </wp:positionV>
                <wp:extent cx="1637030" cy="75311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1637030" cy="753110"/>
                        </a:xfrm>
                        <a:prstGeom prst="rect">
                          <a:avLst/>
                        </a:prstGeom>
                        <a:noFill/>
                      </wps:spPr>
                      <wps:txbx>
                        <w:txbxContent>
                          <w:p w:rsidR="00500724" w:rsidRDefault="00F30FB8">
                            <w:pPr>
                              <w:pStyle w:val="Zkladntext30"/>
                              <w:shd w:val="clear" w:color="auto" w:fill="auto"/>
                              <w:spacing w:after="0" w:line="290" w:lineRule="auto"/>
                              <w:ind w:right="520" w:firstLine="0"/>
                              <w:jc w:val="left"/>
                              <w:rPr>
                                <w:sz w:val="20"/>
                                <w:szCs w:val="20"/>
                              </w:rPr>
                            </w:pPr>
                            <w:r>
                              <w:rPr>
                                <w:i/>
                                <w:iCs/>
                                <w:sz w:val="20"/>
                                <w:szCs w:val="20"/>
                              </w:rPr>
                              <w:t xml:space="preserve">Henry de </w:t>
                            </w:r>
                            <w:r>
                              <w:rPr>
                                <w:i/>
                                <w:iCs/>
                                <w:sz w:val="20"/>
                                <w:szCs w:val="20"/>
                                <w:lang w:val="en-US" w:eastAsia="en-US" w:bidi="en-US"/>
                              </w:rPr>
                              <w:t xml:space="preserve">Montherlant: </w:t>
                            </w:r>
                            <w:r>
                              <w:rPr>
                                <w:b/>
                                <w:bCs/>
                                <w:i/>
                                <w:iCs/>
                                <w:sz w:val="20"/>
                                <w:szCs w:val="20"/>
                              </w:rPr>
                              <w:t>Romanopisec a život</w:t>
                            </w:r>
                          </w:p>
                          <w:p w:rsidR="00500724" w:rsidRDefault="00F30FB8">
                            <w:pPr>
                              <w:pStyle w:val="Zkladntext30"/>
                              <w:shd w:val="clear" w:color="auto" w:fill="auto"/>
                              <w:spacing w:after="0" w:line="204" w:lineRule="auto"/>
                              <w:ind w:firstLine="200"/>
                              <w:rPr>
                                <w:sz w:val="20"/>
                                <w:szCs w:val="20"/>
                              </w:rPr>
                            </w:pPr>
                            <w:r>
                              <w:rPr>
                                <w:i/>
                                <w:iCs/>
                                <w:sz w:val="20"/>
                                <w:szCs w:val="20"/>
                              </w:rPr>
                              <w:t>Když vidím, jak spisovatelé tráví celý svůj život psaním, fedrováním svého díla, shá-</w:t>
                            </w:r>
                          </w:p>
                        </w:txbxContent>
                      </wps:txbx>
                      <wps:bodyPr lIns="0" tIns="0" rIns="0" bIns="0">
                        <a:spAutoFit/>
                      </wps:bodyPr>
                    </wps:wsp>
                  </a:graphicData>
                </a:graphic>
              </wp:anchor>
            </w:drawing>
          </mc:Choice>
          <mc:Fallback>
            <w:pict>
              <v:shape id="_x0000_s1301" type="#_x0000_t202" style="position:absolute;margin-left:448.69999999999999pt;margin-top:1.pt;width:128.90000000000001pt;height:59.299999999999997pt;z-index:-125829101;mso-wrap-distance-left:0;mso-wrap-distance-right:0;mso-position-horizontal-relative:page" filled="f" stroked="f">
                <v:textbox style="mso-fit-shape-to-text:t" inset="0,0,0,0">
                  <w:txbxContent>
                    <w:p>
                      <w:pPr>
                        <w:pStyle w:val="Style22"/>
                        <w:keepNext w:val="0"/>
                        <w:keepLines w:val="0"/>
                        <w:widowControl w:val="0"/>
                        <w:shd w:val="clear" w:color="auto" w:fill="auto"/>
                        <w:bidi w:val="0"/>
                        <w:spacing w:before="0" w:after="0" w:line="290" w:lineRule="auto"/>
                        <w:ind w:left="0" w:right="520" w:firstLine="0"/>
                        <w:jc w:val="left"/>
                        <w:rPr>
                          <w:sz w:val="20"/>
                          <w:szCs w:val="20"/>
                        </w:rPr>
                      </w:pPr>
                      <w:r>
                        <w:rPr>
                          <w:i/>
                          <w:iCs/>
                          <w:color w:val="000000"/>
                          <w:spacing w:val="0"/>
                          <w:w w:val="100"/>
                          <w:position w:val="0"/>
                          <w:sz w:val="20"/>
                          <w:szCs w:val="20"/>
                          <w:shd w:val="clear" w:color="auto" w:fill="auto"/>
                          <w:lang w:val="cs-CZ" w:eastAsia="cs-CZ" w:bidi="cs-CZ"/>
                        </w:rPr>
                        <w:t xml:space="preserve">Henry de </w:t>
                      </w:r>
                      <w:r>
                        <w:rPr>
                          <w:i/>
                          <w:iCs/>
                          <w:color w:val="000000"/>
                          <w:spacing w:val="0"/>
                          <w:w w:val="100"/>
                          <w:position w:val="0"/>
                          <w:sz w:val="20"/>
                          <w:szCs w:val="20"/>
                          <w:shd w:val="clear" w:color="auto" w:fill="auto"/>
                          <w:lang w:val="en-US" w:eastAsia="en-US" w:bidi="en-US"/>
                        </w:rPr>
                        <w:t xml:space="preserve">Montherlant: </w:t>
                      </w:r>
                      <w:r>
                        <w:rPr>
                          <w:b/>
                          <w:bCs/>
                          <w:i/>
                          <w:iCs/>
                          <w:color w:val="000000"/>
                          <w:spacing w:val="0"/>
                          <w:w w:val="100"/>
                          <w:position w:val="0"/>
                          <w:sz w:val="20"/>
                          <w:szCs w:val="20"/>
                          <w:shd w:val="clear" w:color="auto" w:fill="auto"/>
                          <w:lang w:val="cs-CZ" w:eastAsia="cs-CZ" w:bidi="cs-CZ"/>
                        </w:rPr>
                        <w:t>Romanopisec a život</w:t>
                      </w:r>
                    </w:p>
                    <w:p>
                      <w:pPr>
                        <w:pStyle w:val="Style22"/>
                        <w:keepNext w:val="0"/>
                        <w:keepLines w:val="0"/>
                        <w:widowControl w:val="0"/>
                        <w:shd w:val="clear" w:color="auto" w:fill="auto"/>
                        <w:bidi w:val="0"/>
                        <w:spacing w:before="0" w:after="0" w:line="204" w:lineRule="auto"/>
                        <w:ind w:left="0" w:right="0" w:firstLine="200"/>
                        <w:rPr>
                          <w:sz w:val="20"/>
                          <w:szCs w:val="20"/>
                        </w:rPr>
                      </w:pPr>
                      <w:r>
                        <w:rPr>
                          <w:i/>
                          <w:iCs/>
                          <w:color w:val="000000"/>
                          <w:spacing w:val="0"/>
                          <w:w w:val="100"/>
                          <w:position w:val="0"/>
                          <w:sz w:val="20"/>
                          <w:szCs w:val="20"/>
                          <w:shd w:val="clear" w:color="auto" w:fill="auto"/>
                          <w:lang w:val="cs-CZ" w:eastAsia="cs-CZ" w:bidi="cs-CZ"/>
                        </w:rPr>
                        <w:t>Když vidím, jak spisovatelé tráví celý svůj život psaním, fedrováním svého díla, shá-</w:t>
                      </w:r>
                    </w:p>
                  </w:txbxContent>
                </v:textbox>
                <w10:wrap type="topAndBottom" anchorx="page"/>
              </v:shape>
            </w:pict>
          </mc:Fallback>
        </mc:AlternateContent>
      </w:r>
    </w:p>
    <w:p w:rsidR="00500724" w:rsidRDefault="00F30FB8">
      <w:pPr>
        <w:pStyle w:val="Zkladntext40"/>
        <w:shd w:val="clear" w:color="auto" w:fill="auto"/>
        <w:spacing w:after="100" w:line="173" w:lineRule="auto"/>
        <w:ind w:firstLine="260"/>
      </w:pPr>
      <w:r>
        <w:t xml:space="preserve">*) Z nové </w:t>
      </w:r>
      <w:r>
        <w:t>poesie Karpatské Ukrajiny, otištěné v Karpatském měsíčníku.</w:t>
      </w:r>
    </w:p>
    <w:p w:rsidR="00500724" w:rsidRDefault="00F30FB8">
      <w:pPr>
        <w:pStyle w:val="Nadpis120"/>
        <w:shd w:val="clear" w:color="auto" w:fill="auto"/>
        <w:spacing w:after="40"/>
        <w:ind w:left="0"/>
        <w:jc w:val="both"/>
      </w:pPr>
      <w:bookmarkStart w:id="271" w:name="bookmark270"/>
      <w:r>
        <w:rPr>
          <w:rFonts w:ascii="Arial" w:eastAsia="Arial" w:hAnsi="Arial" w:cs="Arial"/>
        </w:rPr>
        <w:t>NOVĚ KNIHY</w:t>
      </w:r>
      <w:bookmarkEnd w:id="271"/>
    </w:p>
    <w:p w:rsidR="00500724" w:rsidRDefault="00F30FB8">
      <w:pPr>
        <w:pStyle w:val="Zkladntext40"/>
        <w:shd w:val="clear" w:color="auto" w:fill="auto"/>
        <w:spacing w:after="0" w:line="190" w:lineRule="auto"/>
        <w:rPr>
          <w:sz w:val="14"/>
          <w:szCs w:val="14"/>
        </w:rPr>
      </w:pPr>
      <w:r>
        <w:rPr>
          <w:b/>
          <w:bCs/>
          <w:sz w:val="14"/>
          <w:szCs w:val="14"/>
        </w:rPr>
        <w:t>NOVA VYDANÍ DĚL</w:t>
      </w:r>
    </w:p>
    <w:p w:rsidR="00500724" w:rsidRDefault="00F30FB8">
      <w:pPr>
        <w:pStyle w:val="Zkladntext40"/>
        <w:shd w:val="clear" w:color="auto" w:fill="auto"/>
        <w:spacing w:after="40" w:line="190" w:lineRule="auto"/>
        <w:rPr>
          <w:sz w:val="14"/>
          <w:szCs w:val="14"/>
        </w:rPr>
      </w:pPr>
      <w:r>
        <w:rPr>
          <w:b/>
          <w:bCs/>
          <w:sz w:val="14"/>
          <w:szCs w:val="14"/>
        </w:rPr>
        <w:t>KARLA ČAPKA</w:t>
      </w:r>
    </w:p>
    <w:p w:rsidR="00500724" w:rsidRDefault="00F30FB8">
      <w:pPr>
        <w:pStyle w:val="Zkladntext40"/>
        <w:shd w:val="clear" w:color="auto" w:fill="auto"/>
      </w:pPr>
      <w:r>
        <w:t>Jako by nové a nové zástupy při</w:t>
      </w:r>
      <w:r>
        <w:softHyphen/>
        <w:t>cházely k literárnímu odkazu ze</w:t>
      </w:r>
      <w:r>
        <w:softHyphen/>
        <w:t>mřelého Karla Čapka a braly sl z něho svůj čtenářský podlí, ta</w:t>
      </w:r>
      <w:r>
        <w:softHyphen/>
        <w:t>kový asi se nás zmocňuje dojem</w:t>
      </w:r>
      <w:r>
        <w:t xml:space="preserve"> nad početnosti nových vydáni ně</w:t>
      </w:r>
      <w:r>
        <w:softHyphen/>
        <w:t>kterých Čapkových děl. Je to te</w:t>
      </w:r>
      <w:r>
        <w:softHyphen/>
        <w:t>prve několik dnů, co vyšel v no</w:t>
      </w:r>
      <w:r>
        <w:softHyphen/>
        <w:t>vém vydání Zahradníkův rok. Válka s Mloky a Italské listy, a dnes už Je to zase další trojlístek Čapkových knih, a to právě těch nejosobitějších a umělecky ne</w:t>
      </w:r>
      <w:r>
        <w:softHyphen/>
      </w:r>
      <w:r>
        <w:t>významnějších. Zájem širokého a stále rostoucího kruhu Čapko</w:t>
      </w:r>
      <w:r>
        <w:softHyphen/>
        <w:t>vých čtenářů se nejkrásnějl ob</w:t>
      </w:r>
      <w:r>
        <w:softHyphen/>
        <w:t xml:space="preserve">ráží právě v tomto zrcadle. JIŽ </w:t>
      </w:r>
      <w:r>
        <w:rPr>
          <w:b/>
          <w:bCs/>
          <w:sz w:val="14"/>
          <w:szCs w:val="14"/>
        </w:rPr>
        <w:t xml:space="preserve">14, </w:t>
      </w:r>
      <w:r>
        <w:t xml:space="preserve">vydání slavné První party, která právě v těchto dnech byla V rdramatisované úpravě hrána </w:t>
      </w:r>
      <w:r>
        <w:rPr>
          <w:b/>
          <w:bCs/>
          <w:sz w:val="14"/>
          <w:szCs w:val="14"/>
        </w:rPr>
        <w:t xml:space="preserve">na </w:t>
      </w:r>
      <w:r>
        <w:t>jevišti autorova rodiště, Ma</w:t>
      </w:r>
      <w:r>
        <w:softHyphen/>
      </w:r>
      <w:r>
        <w:rPr>
          <w:b/>
          <w:bCs/>
          <w:sz w:val="14"/>
          <w:szCs w:val="14"/>
        </w:rPr>
        <w:t xml:space="preserve">lých </w:t>
      </w:r>
      <w:r>
        <w:t>Sv</w:t>
      </w:r>
      <w:r>
        <w:t xml:space="preserve">&amp;toňovic, </w:t>
      </w:r>
      <w:r>
        <w:rPr>
          <w:b/>
          <w:bCs/>
          <w:sz w:val="14"/>
          <w:szCs w:val="14"/>
        </w:rPr>
        <w:t xml:space="preserve">již </w:t>
      </w:r>
      <w:r>
        <w:t>11, vydáni</w:t>
      </w:r>
    </w:p>
    <w:p w:rsidR="00500724" w:rsidRDefault="00F30FB8">
      <w:pPr>
        <w:spacing w:line="1" w:lineRule="exact"/>
        <w:rPr>
          <w:sz w:val="2"/>
          <w:szCs w:val="2"/>
        </w:rPr>
      </w:pPr>
      <w:r>
        <w:br w:type="column"/>
      </w:r>
    </w:p>
    <w:p w:rsidR="00500724" w:rsidRDefault="00F30FB8">
      <w:pPr>
        <w:pStyle w:val="Zkladntext40"/>
        <w:shd w:val="clear" w:color="auto" w:fill="auto"/>
        <w:spacing w:after="0" w:line="202" w:lineRule="auto"/>
      </w:pPr>
      <w:r>
        <w:t>Obyčejného života, považovaného za nejlepšl a nejosobitějšl z Čap</w:t>
      </w:r>
      <w:r>
        <w:softHyphen/>
        <w:t>kových děl, a konečně 5. vydání Božích muk. Cena První party je 22 K za brož. svazek, Obyčejného života 22 K za brož. svazek a Božích muk 16 K za brož. svazek. NOV</w:t>
      </w:r>
      <w:r>
        <w:t>É ČÍSLO</w:t>
      </w:r>
    </w:p>
    <w:p w:rsidR="00500724" w:rsidRDefault="00F30FB8">
      <w:pPr>
        <w:pStyle w:val="Zkladntext40"/>
        <w:shd w:val="clear" w:color="auto" w:fill="auto"/>
        <w:spacing w:line="202" w:lineRule="auto"/>
      </w:pPr>
      <w:r>
        <w:t>KRITICKÉHO MĚSÍČNÍKU</w:t>
      </w:r>
    </w:p>
    <w:p w:rsidR="00500724" w:rsidRDefault="00F30FB8">
      <w:pPr>
        <w:pStyle w:val="Zkladntext40"/>
        <w:shd w:val="clear" w:color="auto" w:fill="auto"/>
      </w:pPr>
      <w:r>
        <w:t>Druhé, právě vyšlé číslo Kritic</w:t>
      </w:r>
      <w:r>
        <w:softHyphen/>
        <w:t>kého Měsíčníku přináší na úvod</w:t>
      </w:r>
      <w:r>
        <w:softHyphen/>
        <w:t>ním místě studii V. Černého Po</w:t>
      </w:r>
      <w:r>
        <w:softHyphen/>
        <w:t xml:space="preserve">slední Čapkovo tvůrčí období a jeho demokratický humanismus, v níž autor malé monografie o Čapkovi, vyšlé v Edici Postavy a dílo r. </w:t>
      </w:r>
      <w:r>
        <w:t>1936, zhodnotil a prostu</w:t>
      </w:r>
      <w:r>
        <w:softHyphen/>
        <w:t>doval Čapkovu románovou, diva</w:t>
      </w:r>
      <w:r>
        <w:softHyphen/>
        <w:t>delní 1 causeristlckou tvorbu za poslední dvě léta. Zajímavá a ča</w:t>
      </w:r>
      <w:r>
        <w:softHyphen/>
        <w:t>sová je zde také studie Antonína Hartla o soudobém básnictví na Podkarpatské Ukrajině, doplněná řadou vhodně vybraných a dobře přeložen</w:t>
      </w:r>
      <w:r>
        <w:t>ých lyrických ukázek ze současné moderní poesie podkar- patoukrajinské. Vedle několika pronikavých poznámek, z nichž zejména zaujme statečný dopis, který anglickému literárnímu kri</w:t>
      </w:r>
      <w:r>
        <w:softHyphen/>
        <w:t>tiku Johnu Mldletonu Murrymu napsal Alois Skoumal, čteme v tomto čísle hlub</w:t>
      </w:r>
      <w:r>
        <w:t>oký článek V. Na</w:t>
      </w:r>
      <w:r>
        <w:softHyphen/>
        <w:t>vrátila Ukřižování člověka a řadu referátů, kterými sem o novin</w:t>
      </w:r>
      <w:r>
        <w:softHyphen/>
        <w:t>kách moderní české prózy, krásné 1 naučné, přispěli V. Černý, V. Ji- rát, Bohumil Novák a Karel Po</w:t>
      </w:r>
      <w:r>
        <w:softHyphen/>
        <w:t xml:space="preserve">lák. rozbírající široce a důkladně sborník pražského lingulstlckého kroužku </w:t>
      </w:r>
      <w:r>
        <w:t>Torso a tajemství Má</w:t>
      </w:r>
      <w:r>
        <w:softHyphen/>
        <w:t>chova díla. Cena čísla je 3 K.</w:t>
      </w:r>
    </w:p>
    <w:p w:rsidR="00500724" w:rsidRDefault="00F30FB8">
      <w:pPr>
        <w:pStyle w:val="Nadpis120"/>
        <w:shd w:val="clear" w:color="auto" w:fill="auto"/>
        <w:spacing w:after="60"/>
        <w:ind w:left="0"/>
      </w:pPr>
      <w:bookmarkStart w:id="272" w:name="bookmark271"/>
      <w:r>
        <w:rPr>
          <w:rFonts w:ascii="Arial" w:eastAsia="Arial" w:hAnsi="Arial" w:cs="Arial"/>
        </w:rPr>
        <w:t>DOŠLÉ KNIHY</w:t>
      </w:r>
      <w:bookmarkEnd w:id="272"/>
    </w:p>
    <w:p w:rsidR="00500724" w:rsidRDefault="00F30FB8">
      <w:pPr>
        <w:pStyle w:val="Zkladntext40"/>
        <w:shd w:val="clear" w:color="auto" w:fill="auto"/>
        <w:ind w:firstLine="180"/>
      </w:pPr>
      <w:r>
        <w:rPr>
          <w:b/>
          <w:bCs/>
          <w:sz w:val="14"/>
          <w:szCs w:val="14"/>
        </w:rPr>
        <w:t xml:space="preserve">R, I. Malý: MARX A </w:t>
      </w:r>
      <w:r>
        <w:t>ŮlM VE SVĚTLE ŽIVÉ SKUTEČNOSTI. Obsahem této osmé knihy R. I. Malého »Marx a Rlm«, která prá</w:t>
      </w:r>
      <w:r>
        <w:softHyphen/>
        <w:t xml:space="preserve">vě vyšla nákladem A, Neuberta v Praze (str. 140, cena 10 K), je rozbor marxismu </w:t>
      </w:r>
      <w:r>
        <w:t>s hlediska auto</w:t>
      </w:r>
      <w:r>
        <w:softHyphen/>
        <w:t>rova ^křesťanského realismu«. Proti Marxovu materialismu sta</w:t>
      </w:r>
      <w:r>
        <w:softHyphen/>
        <w:t>ví tedy R. I. Malý křesťanský spirltualismus a totální realis</w:t>
      </w:r>
      <w:r>
        <w:softHyphen/>
        <w:t>mus.</w:t>
      </w:r>
    </w:p>
    <w:p w:rsidR="00500724" w:rsidRDefault="00F30FB8">
      <w:pPr>
        <w:pStyle w:val="Zkladntext40"/>
        <w:shd w:val="clear" w:color="auto" w:fill="auto"/>
        <w:ind w:firstLine="180"/>
      </w:pPr>
      <w:r>
        <w:t>SOUDNÍ ŘÍZENÍ VE VĚCECH MANŽELSKÝCH podle českoslo</w:t>
      </w:r>
      <w:r>
        <w:softHyphen/>
        <w:t>venského civilního práva proces</w:t>
      </w:r>
      <w:r>
        <w:softHyphen/>
        <w:t>ního. Napsal doc. dr. Karel G</w:t>
      </w:r>
      <w:r>
        <w:t>er- lich. Ve spise jsou vyčerpávajícím způsobem zpracovány všechny otázky, týkající se soudního ří</w:t>
      </w:r>
      <w:r>
        <w:softHyphen/>
        <w:t>zeni v manželských věcech, a to jak podle platného práva v ze</w:t>
      </w:r>
      <w:r>
        <w:softHyphen/>
        <w:t>mích české a Moravskoslezské, krajině Slovenské a Karpatské Ukrajině, tak 1 podle připravené Je</w:t>
      </w:r>
      <w:r>
        <w:t>dnotné osnovy civilního řádu soudního a ostatních procesních zákonů ěesko-slovenských. Spis vyšel ve Sbírce spisů právnických a národohospodářských, kterou vydal K. Engliš a F. Weyr v na</w:t>
      </w:r>
      <w:r>
        <w:softHyphen/>
        <w:t>kladatelství Orbis, Praha XII. Ce</w:t>
      </w:r>
      <w:r>
        <w:softHyphen/>
        <w:t xml:space="preserve">na 30 K. Stran 122 </w:t>
      </w:r>
      <w:r>
        <w:rPr>
          <w:lang w:val="en-US" w:eastAsia="en-US" w:bidi="en-US"/>
        </w:rPr>
        <w:t xml:space="preserve">plus </w:t>
      </w:r>
      <w:r>
        <w:t>XI.</w:t>
      </w:r>
    </w:p>
    <w:p w:rsidR="00500724" w:rsidRDefault="00F30FB8">
      <w:pPr>
        <w:pStyle w:val="Zkladntext40"/>
        <w:shd w:val="clear" w:color="auto" w:fill="auto"/>
        <w:ind w:firstLine="180"/>
      </w:pPr>
      <w:r>
        <w:t>Poslane</w:t>
      </w:r>
      <w:r>
        <w:t>c Doc. Dr. AI. Neumann zpracoval tento NOVÝ POJIŠŤO</w:t>
      </w:r>
      <w:r>
        <w:softHyphen/>
        <w:t>VACÍ ZÁKON (nemocenské, inva</w:t>
      </w:r>
      <w:r>
        <w:softHyphen/>
        <w:t>lidní a starobní pojištěni dělnic</w:t>
      </w:r>
      <w:r>
        <w:softHyphen/>
        <w:t>ké, nemocenské pojištěn! úřednic</w:t>
      </w:r>
      <w:r>
        <w:softHyphen/>
        <w:t>ké a novou organisaci úrazového</w:t>
      </w:r>
      <w:r>
        <w:br w:type="column"/>
        <w:t>pojištění), opatřil výkladem, dů</w:t>
      </w:r>
      <w:r>
        <w:softHyphen/>
        <w:t>vodovou zprávou a judikaturou. Vydává Právn</w:t>
      </w:r>
      <w:r>
        <w:t>ické knihkupectví a nakladatelství V. Linharta v Praze. Stran asi 600, cena asi 50 K.</w:t>
      </w:r>
    </w:p>
    <w:p w:rsidR="00500724" w:rsidRDefault="00F30FB8">
      <w:pPr>
        <w:pStyle w:val="Zkladntext40"/>
        <w:shd w:val="clear" w:color="auto" w:fill="auto"/>
        <w:ind w:firstLine="220"/>
      </w:pPr>
      <w:r>
        <w:t>MILIONY Z NIČEHO, JAK VZNIKAJÍ A ROSTOU Je název reportáži E. A. Jamesona. Jsou to životopisy moderních kapitánů průmyslu a obchodu. Dočtete se tu o kariéře Eastmana Koda</w:t>
      </w:r>
      <w:r>
        <w:t>ka, Henry Forda, Karla Benze, Césa</w:t>
      </w:r>
      <w:r>
        <w:softHyphen/>
        <w:t xml:space="preserve">ra Rltze, G. Pullmana, P. J. Reu- tera, </w:t>
      </w:r>
      <w:r>
        <w:rPr>
          <w:lang w:val="en-US" w:eastAsia="en-US" w:bidi="en-US"/>
        </w:rPr>
        <w:t xml:space="preserve">J. </w:t>
      </w:r>
      <w:r>
        <w:t xml:space="preserve">B. Dunlopa, F. H. </w:t>
      </w:r>
      <w:r>
        <w:rPr>
          <w:lang w:val="en-US" w:eastAsia="en-US" w:bidi="en-US"/>
        </w:rPr>
        <w:t xml:space="preserve">Royce </w:t>
      </w:r>
      <w:r>
        <w:t>a Ch. St. Rollse, Nobelové, otec a syn atd. Přes humorný způsob portrétování Je to kniha nabáda</w:t>
      </w:r>
      <w:r>
        <w:softHyphen/>
        <w:t>vá a vážná, která zvláště v těch</w:t>
      </w:r>
      <w:r>
        <w:softHyphen/>
        <w:t>to dobách bude vzpruhou p</w:t>
      </w:r>
      <w:r>
        <w:t>ro pod</w:t>
      </w:r>
      <w:r>
        <w:softHyphen/>
        <w:t>nikavé a tvořivé lidi. Vyšla v ^Knihách osudu a práce« a Je za 28 K brož. Vydalo ji nakladatel</w:t>
      </w:r>
      <w:r>
        <w:softHyphen/>
        <w:t>ství Orbis (Praha XII.).</w:t>
      </w:r>
    </w:p>
    <w:p w:rsidR="00500724" w:rsidRDefault="00F30FB8">
      <w:pPr>
        <w:pStyle w:val="Zkladntext40"/>
        <w:shd w:val="clear" w:color="auto" w:fill="auto"/>
        <w:ind w:firstLine="220"/>
      </w:pPr>
      <w:r>
        <w:t>»FINANČNÍ PRAVNÍK«, odbor</w:t>
      </w:r>
      <w:r>
        <w:softHyphen/>
        <w:t>ná finančně-právnl revue, uveřej</w:t>
      </w:r>
      <w:r>
        <w:softHyphen/>
        <w:t xml:space="preserve">ňuje v lednovém čísle: O právní subjektivitě podnikových penslj- nlch </w:t>
      </w:r>
      <w:r>
        <w:t xml:space="preserve">fondů. </w:t>
      </w:r>
      <w:r>
        <w:rPr>
          <w:lang w:val="en-US" w:eastAsia="en-US" w:bidi="en-US"/>
        </w:rPr>
        <w:t xml:space="preserve">(Unlv. prof. </w:t>
      </w:r>
      <w:r>
        <w:t>dr. Adolf Procházka.) O jednotné zdaněni služebních požitků. (Univ. doc. dr. Josef Slblík.) Daň důchodová po</w:t>
      </w:r>
      <w:r>
        <w:softHyphen/>
        <w:t>dle novely ě. 393/1938. (Dr. Josef Lelpert.) Úlevy na dani z obratu při vývozu. Jednotné zdaněni da</w:t>
      </w:r>
      <w:r>
        <w:softHyphen/>
        <w:t>ni z obratu, důsledky územn</w:t>
      </w:r>
      <w:r>
        <w:t>ích a státoprávních změn. — Odpis daně z obratu po pravoplatném vyměřeni. Zákony, Výnosy, Judi</w:t>
      </w:r>
      <w:r>
        <w:softHyphen/>
        <w:t>katura, Přehled časopisů a publi</w:t>
      </w:r>
      <w:r>
        <w:softHyphen/>
        <w:t>kaci, Z praxe. Cena 7 K.</w:t>
      </w:r>
    </w:p>
    <w:p w:rsidR="00500724" w:rsidRDefault="00F30FB8">
      <w:pPr>
        <w:pStyle w:val="Zkladntext40"/>
        <w:shd w:val="clear" w:color="auto" w:fill="auto"/>
        <w:spacing w:line="180" w:lineRule="auto"/>
        <w:ind w:firstLine="180"/>
        <w:jc w:val="left"/>
      </w:pPr>
      <w:r>
        <w:rPr>
          <w:b/>
          <w:bCs/>
          <w:sz w:val="14"/>
          <w:szCs w:val="14"/>
        </w:rPr>
        <w:t xml:space="preserve">Oeorglj </w:t>
      </w:r>
      <w:r>
        <w:t>Šllln: MALOMOCNÍ. (Román. Nákladem Vydavatel</w:t>
      </w:r>
      <w:r>
        <w:softHyphen/>
        <w:t>ství Volné myšlenky, s. s r. o. v Praze, cena 25 K</w:t>
      </w:r>
      <w:r>
        <w:t>.) Tento druhý Sllinův román o táboře malomoc</w:t>
      </w:r>
      <w:r>
        <w:softHyphen/>
        <w:t>ných líěí osobní osudy skvělého a lidského šéfiékaře tábora malo</w:t>
      </w:r>
      <w:r>
        <w:softHyphen/>
        <w:t>mocných dr. Turkějeva i jednot</w:t>
      </w:r>
      <w:r>
        <w:softHyphen/>
        <w:t>livé eplsody ze života chovanců tábora, jejich drobné strasti i ra</w:t>
      </w:r>
      <w:r>
        <w:softHyphen/>
        <w:t>dosti, jejich poměr vůěl zdravým lidem a vůči s</w:t>
      </w:r>
      <w:r>
        <w:t>právcům tábora Román Je psán umělcem, který se tu vyznává ze své lásky k lidem a z víry v jejich dobrotu.</w:t>
      </w:r>
    </w:p>
    <w:p w:rsidR="00500724" w:rsidRDefault="00F30FB8">
      <w:pPr>
        <w:pStyle w:val="Zkladntext40"/>
        <w:shd w:val="clear" w:color="auto" w:fill="auto"/>
        <w:ind w:firstLine="180"/>
      </w:pPr>
      <w:r>
        <w:t>O TOM, JAK JE PRO PŮÍSLUŠ- NlKÝ MALÝCH NÁRODŮ DŮLE</w:t>
      </w:r>
      <w:r>
        <w:softHyphen/>
        <w:t>ŽITÉ nauělti se cizím Jazykům, nemůže zajisté býti 3poru. Cesta k tomu vede třemi etapami: stu</w:t>
      </w:r>
      <w:r>
        <w:softHyphen/>
        <w:t>diem</w:t>
      </w:r>
      <w:r>
        <w:t xml:space="preserve"> mluvnice, studiem skladby čili syntaxe a konečně osvojením si pokud možno největší zásoby rčení, vlastních příslušnému ja</w:t>
      </w:r>
      <w:r>
        <w:softHyphen/>
        <w:t>zyku. Pomůckou toho druhu, nej- rozsáhlejši toho druhu v naši</w:t>
      </w:r>
    </w:p>
    <w:p w:rsidR="00500724" w:rsidRDefault="00F30FB8">
      <w:pPr>
        <w:spacing w:line="1" w:lineRule="exact"/>
        <w:rPr>
          <w:sz w:val="2"/>
          <w:szCs w:val="2"/>
        </w:rPr>
      </w:pPr>
      <w:r>
        <w:br w:type="column"/>
      </w:r>
    </w:p>
    <w:p w:rsidR="00500724" w:rsidRDefault="00F30FB8">
      <w:pPr>
        <w:pStyle w:val="Zkladntext30"/>
        <w:shd w:val="clear" w:color="auto" w:fill="auto"/>
        <w:spacing w:after="0" w:line="204" w:lineRule="auto"/>
        <w:ind w:firstLine="0"/>
        <w:rPr>
          <w:sz w:val="20"/>
          <w:szCs w:val="20"/>
        </w:rPr>
      </w:pPr>
      <w:r>
        <w:rPr>
          <w:i/>
          <w:iCs/>
          <w:sz w:val="20"/>
          <w:szCs w:val="20"/>
        </w:rPr>
        <w:t xml:space="preserve">něnlrn prospěšných známostí, čtením knih svých kolegů (nikoli ze </w:t>
      </w:r>
      <w:r>
        <w:rPr>
          <w:i/>
          <w:iCs/>
          <w:sz w:val="20"/>
          <w:szCs w:val="20"/>
        </w:rPr>
        <w:t>záliby, nýbrž pro</w:t>
      </w:r>
      <w:r>
        <w:rPr>
          <w:i/>
          <w:iCs/>
          <w:sz w:val="20"/>
          <w:szCs w:val="20"/>
        </w:rPr>
        <w:softHyphen/>
        <w:t>to, aby je na oplátku mohli pochválit), přednáškami, de</w:t>
      </w:r>
      <w:r>
        <w:rPr>
          <w:i/>
          <w:iCs/>
          <w:sz w:val="20"/>
          <w:szCs w:val="20"/>
        </w:rPr>
        <w:softHyphen/>
        <w:t>batami s knihomoly a řečič</w:t>
      </w:r>
      <w:r>
        <w:rPr>
          <w:i/>
          <w:iCs/>
          <w:sz w:val="20"/>
          <w:szCs w:val="20"/>
        </w:rPr>
        <w:softHyphen/>
        <w:t xml:space="preserve">kami na kongresech, říkám si; »Ale kdy tedy ti lidé žiji?« Na štěstí mají matku, manželku, dítě nebo milenku, 8 nimiž jsou nuceni stýkat se lidsky. Ale to </w:t>
      </w:r>
      <w:r>
        <w:rPr>
          <w:i/>
          <w:iCs/>
          <w:sz w:val="20"/>
          <w:szCs w:val="20"/>
        </w:rPr>
        <w:t>tedy zname</w:t>
      </w:r>
      <w:r>
        <w:rPr>
          <w:i/>
          <w:iCs/>
          <w:sz w:val="20"/>
          <w:szCs w:val="20"/>
        </w:rPr>
        <w:softHyphen/>
        <w:t xml:space="preserve">ná, že jediná jejich znalost života a člověka je ta, kterou mít jsou nuceni. Všechen ostatní čas jim vyplňuje </w:t>
      </w:r>
      <w:r>
        <w:rPr>
          <w:b/>
          <w:bCs/>
          <w:i/>
          <w:iCs/>
          <w:sz w:val="20"/>
          <w:szCs w:val="20"/>
        </w:rPr>
        <w:t>je</w:t>
      </w:r>
      <w:r>
        <w:rPr>
          <w:b/>
          <w:bCs/>
          <w:i/>
          <w:iCs/>
          <w:sz w:val="20"/>
          <w:szCs w:val="20"/>
        </w:rPr>
        <w:softHyphen/>
      </w:r>
      <w:r>
        <w:rPr>
          <w:i/>
          <w:iCs/>
          <w:sz w:val="20"/>
          <w:szCs w:val="20"/>
        </w:rPr>
        <w:t>jich bláhová ješitnost.</w:t>
      </w:r>
    </w:p>
    <w:p w:rsidR="00500724" w:rsidRDefault="00F30FB8">
      <w:pPr>
        <w:pStyle w:val="Zkladntext30"/>
        <w:shd w:val="clear" w:color="auto" w:fill="auto"/>
        <w:spacing w:after="180" w:line="204" w:lineRule="auto"/>
        <w:ind w:firstLine="220"/>
        <w:rPr>
          <w:sz w:val="20"/>
          <w:szCs w:val="20"/>
        </w:rPr>
      </w:pPr>
      <w:r>
        <w:rPr>
          <w:i/>
          <w:iCs/>
          <w:sz w:val="20"/>
          <w:szCs w:val="20"/>
        </w:rPr>
        <w:t>Když je zřejmé, že nemů</w:t>
      </w:r>
      <w:r>
        <w:rPr>
          <w:i/>
          <w:iCs/>
          <w:sz w:val="20"/>
          <w:szCs w:val="20"/>
        </w:rPr>
        <w:softHyphen/>
        <w:t xml:space="preserve">žeme prožívat všechny osudy, mít všechny zkušenosti a znát všechna prostředí, necht </w:t>
      </w:r>
      <w:r>
        <w:rPr>
          <w:i/>
          <w:iCs/>
          <w:sz w:val="20"/>
          <w:szCs w:val="20"/>
        </w:rPr>
        <w:t>nám aspoň romány říkají ně</w:t>
      </w:r>
      <w:r>
        <w:rPr>
          <w:i/>
          <w:iCs/>
          <w:sz w:val="20"/>
          <w:szCs w:val="20"/>
        </w:rPr>
        <w:softHyphen/>
        <w:t>co z toho, co opravdu je. Něco z toho, co se stále děje kolem nás a čeho jsme, ani si to neuvědomujíce účastni. Život nám na každém kroku ukazuje objevy tak neprav</w:t>
      </w:r>
      <w:r>
        <w:rPr>
          <w:i/>
          <w:iCs/>
          <w:sz w:val="20"/>
          <w:szCs w:val="20"/>
        </w:rPr>
        <w:softHyphen/>
        <w:t xml:space="preserve">děpodobné, že říkáme: »To- hleto by člověk nemohl dát do románu! </w:t>
      </w:r>
      <w:r>
        <w:rPr>
          <w:i/>
          <w:iCs/>
          <w:sz w:val="20"/>
          <w:szCs w:val="20"/>
        </w:rPr>
        <w:t xml:space="preserve">&lt;. Omyl! Právě to se tam musí dát! Musíme </w:t>
      </w:r>
      <w:r>
        <w:rPr>
          <w:b/>
          <w:bCs/>
          <w:i/>
          <w:iCs/>
          <w:sz w:val="20"/>
          <w:szCs w:val="20"/>
        </w:rPr>
        <w:t>ži</w:t>
      </w:r>
      <w:r>
        <w:rPr>
          <w:b/>
          <w:bCs/>
          <w:i/>
          <w:iCs/>
          <w:sz w:val="20"/>
          <w:szCs w:val="20"/>
        </w:rPr>
        <w:softHyphen/>
      </w:r>
      <w:r>
        <w:rPr>
          <w:i/>
          <w:iCs/>
          <w:sz w:val="20"/>
          <w:szCs w:val="20"/>
        </w:rPr>
        <w:t>vot sledovat krok za krokem a přepisovat jej do nejmen</w:t>
      </w:r>
      <w:r>
        <w:rPr>
          <w:i/>
          <w:iCs/>
          <w:sz w:val="20"/>
          <w:szCs w:val="20"/>
        </w:rPr>
        <w:softHyphen/>
        <w:t>ších podrobnosti, bez nejmen</w:t>
      </w:r>
      <w:r>
        <w:rPr>
          <w:i/>
          <w:iCs/>
          <w:sz w:val="20"/>
          <w:szCs w:val="20"/>
        </w:rPr>
        <w:softHyphen/>
        <w:t>ší deformace, a to bez defor</w:t>
      </w:r>
      <w:r>
        <w:rPr>
          <w:i/>
          <w:iCs/>
          <w:sz w:val="20"/>
          <w:szCs w:val="20"/>
        </w:rPr>
        <w:softHyphen/>
        <w:t>mace jak idealistické, tak naturalistické nebo stranické.</w:t>
      </w:r>
    </w:p>
    <w:p w:rsidR="00500724" w:rsidRDefault="00F30FB8">
      <w:pPr>
        <w:pStyle w:val="Zkladntext40"/>
        <w:shd w:val="clear" w:color="auto" w:fill="auto"/>
        <w:spacing w:after="0" w:line="180" w:lineRule="auto"/>
        <w:jc w:val="left"/>
        <w:sectPr w:rsidR="00500724">
          <w:footnotePr>
            <w:numFmt w:val="chicago"/>
            <w:numRestart w:val="eachPage"/>
          </w:footnotePr>
          <w:type w:val="continuous"/>
          <w:pgSz w:w="11909" w:h="16834"/>
          <w:pgMar w:top="790" w:right="463" w:bottom="504" w:left="1010" w:header="0" w:footer="3" w:gutter="0"/>
          <w:cols w:num="4" w:sep="1" w:space="100"/>
          <w:noEndnote/>
          <w:docGrid w:linePitch="360"/>
        </w:sectPr>
      </w:pPr>
      <w:r>
        <w:t>língulstl</w:t>
      </w:r>
      <w:r>
        <w:t xml:space="preserve">cké literatuře. Jest </w:t>
      </w:r>
      <w:r>
        <w:rPr>
          <w:lang w:val="en-US" w:eastAsia="en-US" w:bidi="en-US"/>
        </w:rPr>
        <w:t xml:space="preserve">prof, </w:t>
      </w:r>
      <w:r>
        <w:t xml:space="preserve">dr. Emila Votočka »Česko-fran- couzská konversace a fraseolo- gie«, právě vyšlá v nakladatelství A, Neuberta. Podává ne méně </w:t>
      </w:r>
      <w:r>
        <w:rPr>
          <w:b/>
          <w:bCs/>
          <w:sz w:val="14"/>
          <w:szCs w:val="14"/>
          <w:lang w:val="en-US" w:eastAsia="en-US" w:bidi="en-US"/>
        </w:rPr>
        <w:t xml:space="preserve">net </w:t>
      </w:r>
      <w:r>
        <w:t xml:space="preserve">27.000 českých, hlavně konversač- nlch vět s příslušným textem francouzským v podobě, Jak </w:t>
      </w:r>
      <w:r>
        <w:rPr>
          <w:b/>
          <w:bCs/>
          <w:sz w:val="14"/>
          <w:szCs w:val="14"/>
        </w:rPr>
        <w:t xml:space="preserve">by </w:t>
      </w:r>
      <w:r>
        <w:t>Je řekl</w:t>
      </w:r>
      <w:r>
        <w:t xml:space="preserve"> rodilý Francouz, DUo mái 808 stran. Vázaný výtisk </w:t>
      </w:r>
      <w:r>
        <w:rPr>
          <w:sz w:val="18"/>
          <w:szCs w:val="18"/>
        </w:rPr>
        <w:t xml:space="preserve">Je za </w:t>
      </w:r>
      <w:r>
        <w:t>69 K.</w:t>
      </w:r>
    </w:p>
    <w:p w:rsidR="00500724" w:rsidRDefault="00F30FB8">
      <w:pPr>
        <w:pStyle w:val="Jin0"/>
        <w:framePr w:w="4690" w:h="2376" w:wrap="none" w:vAnchor="text" w:hAnchor="page" w:x="407" w:y="21"/>
        <w:shd w:val="clear" w:color="auto" w:fill="auto"/>
        <w:spacing w:after="40"/>
        <w:ind w:firstLine="0"/>
        <w:rPr>
          <w:sz w:val="26"/>
          <w:szCs w:val="26"/>
        </w:rPr>
      </w:pPr>
      <w:r>
        <w:rPr>
          <w:rFonts w:ascii="Arial" w:eastAsia="Arial" w:hAnsi="Arial" w:cs="Arial"/>
          <w:b/>
          <w:bCs/>
          <w:sz w:val="26"/>
          <w:szCs w:val="26"/>
        </w:rPr>
        <w:t>PŘÍTOMNOST</w:t>
      </w:r>
    </w:p>
    <w:p w:rsidR="00500724" w:rsidRDefault="00F30FB8">
      <w:pPr>
        <w:pStyle w:val="Zkladntext40"/>
        <w:framePr w:w="4690" w:h="2376" w:wrap="none" w:vAnchor="text" w:hAnchor="page" w:x="407" w:y="21"/>
        <w:shd w:val="clear" w:color="auto" w:fill="auto"/>
        <w:spacing w:after="40" w:line="240" w:lineRule="auto"/>
        <w:rPr>
          <w:sz w:val="14"/>
          <w:szCs w:val="14"/>
        </w:rPr>
      </w:pPr>
      <w:r>
        <w:rPr>
          <w:sz w:val="14"/>
          <w:szCs w:val="14"/>
        </w:rPr>
        <w:t>ukládá starati se pečlivému otci o</w:t>
      </w:r>
    </w:p>
    <w:p w:rsidR="00500724" w:rsidRDefault="00F30FB8">
      <w:pPr>
        <w:pStyle w:val="Jin0"/>
        <w:framePr w:w="4690" w:h="2376" w:wrap="none" w:vAnchor="text" w:hAnchor="page" w:x="407" w:y="21"/>
        <w:shd w:val="clear" w:color="auto" w:fill="auto"/>
        <w:spacing w:after="40"/>
        <w:ind w:firstLine="0"/>
        <w:rPr>
          <w:sz w:val="26"/>
          <w:szCs w:val="26"/>
        </w:rPr>
      </w:pPr>
      <w:r>
        <w:rPr>
          <w:rFonts w:ascii="Arial" w:eastAsia="Arial" w:hAnsi="Arial" w:cs="Arial"/>
          <w:b/>
          <w:bCs/>
          <w:sz w:val="26"/>
          <w:szCs w:val="26"/>
        </w:rPr>
        <w:t>BUDOUCNOST</w:t>
      </w:r>
    </w:p>
    <w:p w:rsidR="00500724" w:rsidRDefault="00F30FB8">
      <w:pPr>
        <w:pStyle w:val="Zkladntext40"/>
        <w:framePr w:w="4690" w:h="2376" w:wrap="none" w:vAnchor="text" w:hAnchor="page" w:x="407" w:y="21"/>
        <w:shd w:val="clear" w:color="auto" w:fill="auto"/>
        <w:tabs>
          <w:tab w:val="left" w:pos="2198"/>
        </w:tabs>
        <w:spacing w:after="40" w:line="240" w:lineRule="auto"/>
        <w:rPr>
          <w:sz w:val="14"/>
          <w:szCs w:val="14"/>
        </w:rPr>
      </w:pPr>
      <w:r>
        <w:rPr>
          <w:sz w:val="14"/>
          <w:szCs w:val="14"/>
        </w:rPr>
        <w:t>rodinv</w:t>
      </w:r>
      <w:r>
        <w:rPr>
          <w:sz w:val="14"/>
          <w:szCs w:val="14"/>
        </w:rPr>
        <w:tab/>
        <w:t>Vhodný způsob této péče</w:t>
      </w:r>
    </w:p>
    <w:p w:rsidR="00500724" w:rsidRDefault="00F30FB8">
      <w:pPr>
        <w:pStyle w:val="Jin0"/>
        <w:framePr w:w="4690" w:h="2376" w:wrap="none" w:vAnchor="text" w:hAnchor="page" w:x="407" w:y="21"/>
        <w:shd w:val="clear" w:color="auto" w:fill="auto"/>
        <w:spacing w:after="40"/>
        <w:ind w:firstLine="0"/>
        <w:jc w:val="right"/>
        <w:rPr>
          <w:sz w:val="26"/>
          <w:szCs w:val="26"/>
        </w:rPr>
      </w:pPr>
      <w:r>
        <w:rPr>
          <w:rFonts w:ascii="Arial" w:eastAsia="Arial" w:hAnsi="Arial" w:cs="Arial"/>
          <w:b/>
          <w:bCs/>
          <w:sz w:val="26"/>
          <w:szCs w:val="26"/>
        </w:rPr>
        <w:t>životní pojistkou</w:t>
      </w:r>
    </w:p>
    <w:p w:rsidR="00500724" w:rsidRDefault="00F30FB8">
      <w:pPr>
        <w:pStyle w:val="Zkladntext40"/>
        <w:framePr w:w="4690" w:h="2376" w:wrap="none" w:vAnchor="text" w:hAnchor="page" w:x="407" w:y="21"/>
        <w:shd w:val="clear" w:color="auto" w:fill="auto"/>
        <w:spacing w:after="40" w:line="240" w:lineRule="auto"/>
        <w:rPr>
          <w:sz w:val="14"/>
          <w:szCs w:val="14"/>
        </w:rPr>
      </w:pPr>
      <w:r>
        <w:rPr>
          <w:sz w:val="14"/>
          <w:szCs w:val="14"/>
        </w:rPr>
        <w:t>poradí V á ni</w:t>
      </w:r>
    </w:p>
    <w:p w:rsidR="00500724" w:rsidRDefault="00F30FB8">
      <w:pPr>
        <w:pStyle w:val="Jin0"/>
        <w:framePr w:w="4690" w:h="2376" w:wrap="none" w:vAnchor="text" w:hAnchor="page" w:x="407" w:y="21"/>
        <w:shd w:val="clear" w:color="auto" w:fill="auto"/>
        <w:spacing w:line="202" w:lineRule="auto"/>
        <w:ind w:firstLine="0"/>
        <w:jc w:val="left"/>
        <w:rPr>
          <w:sz w:val="42"/>
          <w:szCs w:val="42"/>
        </w:rPr>
      </w:pPr>
      <w:r>
        <w:rPr>
          <w:rFonts w:ascii="Calibri" w:eastAsia="Calibri" w:hAnsi="Calibri" w:cs="Calibri"/>
          <w:b/>
          <w:bCs/>
          <w:w w:val="70"/>
          <w:sz w:val="42"/>
          <w:szCs w:val="42"/>
        </w:rPr>
        <w:t>Česko-slovenská akciová pojišťovna</w:t>
      </w:r>
    </w:p>
    <w:p w:rsidR="00500724" w:rsidRDefault="00F30FB8">
      <w:pPr>
        <w:pStyle w:val="Zkladntext100"/>
        <w:framePr w:w="4690" w:h="2376" w:wrap="none" w:vAnchor="text" w:hAnchor="page" w:x="407" w:y="21"/>
        <w:shd w:val="clear" w:color="auto" w:fill="auto"/>
        <w:spacing w:after="40" w:line="240" w:lineRule="auto"/>
        <w:ind w:firstLine="0"/>
        <w:rPr>
          <w:sz w:val="17"/>
          <w:szCs w:val="17"/>
        </w:rPr>
      </w:pPr>
      <w:r>
        <w:rPr>
          <w:sz w:val="17"/>
          <w:szCs w:val="17"/>
        </w:rPr>
        <w:t xml:space="preserve">Praha II , Spálená 49 - Telefony </w:t>
      </w:r>
      <w:r>
        <w:rPr>
          <w:sz w:val="17"/>
          <w:szCs w:val="17"/>
        </w:rPr>
        <w:t>344&gt;41&gt;4</w:t>
      </w:r>
    </w:p>
    <w:p w:rsidR="00500724" w:rsidRDefault="00F30FB8">
      <w:pPr>
        <w:pStyle w:val="Jin0"/>
        <w:framePr w:w="3571" w:h="878" w:wrap="none" w:vAnchor="text" w:hAnchor="page" w:x="6719" w:y="8060"/>
        <w:shd w:val="clear" w:color="auto" w:fill="auto"/>
        <w:ind w:firstLine="0"/>
        <w:jc w:val="left"/>
        <w:rPr>
          <w:sz w:val="56"/>
          <w:szCs w:val="56"/>
        </w:rPr>
      </w:pPr>
      <w:r>
        <w:rPr>
          <w:rFonts w:ascii="Arial" w:eastAsia="Arial" w:hAnsi="Arial" w:cs="Arial"/>
          <w:sz w:val="56"/>
          <w:szCs w:val="56"/>
        </w:rPr>
        <w:t>Svěží *£-</w:t>
      </w:r>
      <w:r>
        <w:rPr>
          <w:rFonts w:ascii="Arial" w:eastAsia="Arial" w:hAnsi="Arial" w:cs="Arial"/>
          <w:sz w:val="56"/>
          <w:szCs w:val="56"/>
          <w:vertAlign w:val="subscript"/>
        </w:rPr>
        <w:t>áce</w:t>
      </w:r>
      <w:r>
        <w:rPr>
          <w:rFonts w:ascii="Arial" w:eastAsia="Arial" w:hAnsi="Arial" w:cs="Arial"/>
          <w:sz w:val="56"/>
          <w:szCs w:val="56"/>
        </w:rPr>
        <w:t>,</w:t>
      </w:r>
    </w:p>
    <w:p w:rsidR="00500724" w:rsidRDefault="00F30FB8">
      <w:pPr>
        <w:pStyle w:val="Zkladntext80"/>
        <w:framePr w:w="3274" w:h="2141" w:wrap="none" w:vAnchor="text" w:hAnchor="page" w:x="7218" w:y="9356"/>
        <w:shd w:val="clear" w:color="auto" w:fill="auto"/>
        <w:spacing w:line="254" w:lineRule="auto"/>
        <w:jc w:val="both"/>
      </w:pPr>
      <w:r>
        <w:rPr>
          <w:b w:val="0"/>
          <w:bCs w:val="0"/>
        </w:rPr>
        <w:t>Sochorovy zušlechtěné látky</w:t>
      </w:r>
    </w:p>
    <w:p w:rsidR="00500724" w:rsidRDefault="00F30FB8">
      <w:pPr>
        <w:pStyle w:val="Nadpis80"/>
        <w:keepNext/>
        <w:keepLines/>
        <w:framePr w:w="3274" w:h="2141" w:wrap="none" w:vAnchor="text" w:hAnchor="page" w:x="7218" w:y="9356"/>
        <w:shd w:val="clear" w:color="auto" w:fill="auto"/>
        <w:spacing w:after="0" w:line="202" w:lineRule="auto"/>
        <w:rPr>
          <w:sz w:val="44"/>
          <w:szCs w:val="44"/>
        </w:rPr>
      </w:pPr>
      <w:bookmarkStart w:id="273" w:name="bookmark272"/>
      <w:r>
        <w:rPr>
          <w:rFonts w:ascii="Corbel" w:eastAsia="Corbel" w:hAnsi="Corbel" w:cs="Corbel"/>
          <w:sz w:val="44"/>
          <w:szCs w:val="44"/>
          <w:u w:val="none"/>
        </w:rPr>
        <w:t>s červenou nití</w:t>
      </w:r>
      <w:bookmarkEnd w:id="273"/>
    </w:p>
    <w:p w:rsidR="00500724" w:rsidRDefault="00F30FB8">
      <w:pPr>
        <w:pStyle w:val="Zkladntext80"/>
        <w:framePr w:w="3274" w:h="2141" w:wrap="none" w:vAnchor="text" w:hAnchor="page" w:x="7218" w:y="9356"/>
        <w:shd w:val="clear" w:color="auto" w:fill="auto"/>
        <w:spacing w:line="254" w:lineRule="auto"/>
        <w:jc w:val="both"/>
      </w:pPr>
      <w:r>
        <w:rPr>
          <w:b w:val="0"/>
          <w:bCs w:val="0"/>
        </w:rPr>
        <w:t>se nemačkají o nic více, než dobrá látka vlněná. Jsou jako stvořeny pro pracující ženu, která nemá mnoho času na časté převlékání.</w:t>
      </w:r>
    </w:p>
    <w:p w:rsidR="00500724" w:rsidRDefault="00F30FB8">
      <w:pPr>
        <w:pStyle w:val="Nadpis100"/>
        <w:framePr w:w="4906" w:h="619" w:wrap="none" w:vAnchor="text" w:hAnchor="page" w:x="407" w:y="11497"/>
        <w:shd w:val="clear" w:color="auto" w:fill="auto"/>
        <w:spacing w:after="0" w:line="240" w:lineRule="auto"/>
        <w:jc w:val="left"/>
        <w:rPr>
          <w:sz w:val="54"/>
          <w:szCs w:val="54"/>
        </w:rPr>
      </w:pPr>
      <w:bookmarkStart w:id="274" w:name="bookmark273"/>
      <w:r>
        <w:rPr>
          <w:rFonts w:ascii="Arial" w:eastAsia="Arial" w:hAnsi="Arial" w:cs="Arial"/>
        </w:rPr>
        <w:t xml:space="preserve">PRACOVNÍM </w:t>
      </w:r>
      <w:r>
        <w:rPr>
          <w:rFonts w:ascii="Arial" w:eastAsia="Arial" w:hAnsi="Arial" w:cs="Arial"/>
          <w:smallCaps/>
          <w:sz w:val="54"/>
          <w:szCs w:val="54"/>
        </w:rPr>
        <w:t>stolkem</w:t>
      </w:r>
      <w:bookmarkEnd w:id="274"/>
    </w:p>
    <w:p w:rsidR="00500724" w:rsidRDefault="00F30FB8">
      <w:pPr>
        <w:pStyle w:val="Zkladntext100"/>
        <w:framePr w:w="2616" w:h="1200" w:wrap="none" w:vAnchor="text" w:hAnchor="page" w:x="675" w:y="12116"/>
        <w:shd w:val="clear" w:color="auto" w:fill="auto"/>
        <w:spacing w:line="240" w:lineRule="auto"/>
        <w:ind w:firstLine="0"/>
        <w:jc w:val="center"/>
      </w:pPr>
      <w:r>
        <w:rPr>
          <w:b/>
          <w:bCs/>
        </w:rPr>
        <w:t>č. 510</w:t>
      </w:r>
    </w:p>
    <w:p w:rsidR="00500724" w:rsidRDefault="00F30FB8">
      <w:pPr>
        <w:pStyle w:val="Zkladntext50"/>
        <w:framePr w:w="2616" w:h="1200" w:wrap="none" w:vAnchor="text" w:hAnchor="page" w:x="675" w:y="12116"/>
        <w:shd w:val="clear" w:color="auto" w:fill="auto"/>
        <w:spacing w:after="0" w:line="240" w:lineRule="auto"/>
        <w:ind w:left="0"/>
        <w:jc w:val="center"/>
      </w:pPr>
      <w:r>
        <w:t>100 cm dlouhým,</w:t>
      </w:r>
    </w:p>
    <w:p w:rsidR="00500724" w:rsidRDefault="00F30FB8">
      <w:pPr>
        <w:pStyle w:val="Zkladntext50"/>
        <w:framePr w:w="2616" w:h="1200" w:wrap="none" w:vAnchor="text" w:hAnchor="page" w:x="675" w:y="12116"/>
        <w:shd w:val="clear" w:color="auto" w:fill="auto"/>
        <w:spacing w:after="0" w:line="396" w:lineRule="auto"/>
        <w:ind w:left="0"/>
        <w:jc w:val="center"/>
      </w:pPr>
      <w:r>
        <w:t>65 cm hlubokým</w:t>
      </w:r>
      <w:r>
        <w:br/>
      </w:r>
      <w:r>
        <w:t>nástroj</w:t>
      </w:r>
    </w:p>
    <w:p w:rsidR="00500724" w:rsidRDefault="00F30FB8">
      <w:pPr>
        <w:pStyle w:val="Zkladntext100"/>
        <w:framePr w:w="2616" w:h="1200" w:wrap="none" w:vAnchor="text" w:hAnchor="page" w:x="675" w:y="12116"/>
        <w:shd w:val="clear" w:color="auto" w:fill="auto"/>
        <w:spacing w:line="240" w:lineRule="auto"/>
        <w:ind w:firstLine="0"/>
        <w:jc w:val="left"/>
      </w:pPr>
      <w:r>
        <w:rPr>
          <w:b/>
          <w:bCs/>
        </w:rPr>
        <w:t>POŘÁDKU A POHODLI</w:t>
      </w:r>
    </w:p>
    <w:p w:rsidR="00500724" w:rsidRDefault="00F30FB8">
      <w:pPr>
        <w:pStyle w:val="Jin0"/>
        <w:framePr w:w="989" w:h="187" w:wrap="none" w:vAnchor="text" w:hAnchor="page" w:x="7026" w:y="12587"/>
        <w:shd w:val="clear" w:color="auto" w:fill="auto"/>
        <w:ind w:firstLine="0"/>
        <w:jc w:val="left"/>
        <w:rPr>
          <w:sz w:val="12"/>
          <w:szCs w:val="12"/>
        </w:rPr>
      </w:pPr>
      <w:r>
        <w:rPr>
          <w:rFonts w:ascii="Arial" w:eastAsia="Arial" w:hAnsi="Arial" w:cs="Arial"/>
          <w:sz w:val="12"/>
          <w:szCs w:val="12"/>
        </w:rPr>
        <w:t>DOOCCOC*’</w:t>
      </w:r>
      <w:r>
        <w:rPr>
          <w:rFonts w:ascii="Arial" w:eastAsia="Arial" w:hAnsi="Arial" w:cs="Arial"/>
          <w:sz w:val="12"/>
          <w:szCs w:val="12"/>
          <w:vertAlign w:val="superscript"/>
        </w:rPr>
        <w:t>0</w:t>
      </w:r>
    </w:p>
    <w:p w:rsidR="00500724" w:rsidRDefault="00F30FB8">
      <w:pPr>
        <w:pStyle w:val="Zkladntext50"/>
        <w:framePr w:w="2011" w:h="235" w:wrap="none" w:vAnchor="text" w:hAnchor="page" w:x="3325" w:y="13259"/>
        <w:shd w:val="clear" w:color="auto" w:fill="auto"/>
        <w:spacing w:after="0" w:line="240" w:lineRule="auto"/>
        <w:ind w:left="0"/>
        <w:jc w:val="left"/>
      </w:pPr>
      <w:r>
        <w:t>PRAHA II., Vodičkovo 22</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19" w:line="14" w:lineRule="exact"/>
      </w:pPr>
    </w:p>
    <w:p w:rsidR="00500724" w:rsidRDefault="00500724">
      <w:pPr>
        <w:spacing w:line="14" w:lineRule="exact"/>
        <w:sectPr w:rsidR="00500724">
          <w:footnotePr>
            <w:numFmt w:val="chicago"/>
            <w:numRestart w:val="eachPage"/>
          </w:footnotePr>
          <w:pgSz w:w="11909" w:h="16834"/>
          <w:pgMar w:top="1023" w:right="1419" w:bottom="319" w:left="36" w:header="0" w:footer="3" w:gutter="0"/>
          <w:cols w:space="720"/>
          <w:noEndnote/>
          <w:docGrid w:linePitch="360"/>
        </w:sectPr>
      </w:pPr>
    </w:p>
    <w:p w:rsidR="00500724" w:rsidRDefault="00F30FB8">
      <w:pPr>
        <w:pStyle w:val="Zkladntext40"/>
        <w:shd w:val="clear" w:color="auto" w:fill="auto"/>
        <w:spacing w:after="0" w:line="223" w:lineRule="auto"/>
        <w:ind w:firstLine="180"/>
      </w:pPr>
      <w:r>
        <w:t>Pracující žena má především zájem o to, aby pěkně vypadala celý den. V šatech ze Sochorovy zušlechtěné látky s červenou niti můžete</w:t>
      </w:r>
      <w:r>
        <w:t xml:space="preserve"> Jiti z obchodu nebo z kan</w:t>
      </w:r>
      <w:r>
        <w:softHyphen/>
        <w:t>celáře rovnou na schůzku. Sáty vypadají tak pěkně, jako byste sl je byla právě oblékla. Zkuste to a uvidíte!</w:t>
      </w:r>
    </w:p>
    <w:p w:rsidR="00500724" w:rsidRDefault="00F30FB8">
      <w:pPr>
        <w:pStyle w:val="Zkladntext40"/>
        <w:shd w:val="clear" w:color="auto" w:fill="auto"/>
        <w:spacing w:after="0" w:line="180" w:lineRule="auto"/>
        <w:ind w:firstLine="220"/>
        <w:sectPr w:rsidR="00500724">
          <w:footnotePr>
            <w:numFmt w:val="chicago"/>
            <w:numRestart w:val="eachPage"/>
          </w:footnotePr>
          <w:type w:val="continuous"/>
          <w:pgSz w:w="11909" w:h="16834"/>
          <w:pgMar w:top="1023" w:right="6554" w:bottom="319" w:left="146" w:header="0" w:footer="3" w:gutter="0"/>
          <w:cols w:num="2" w:sep="1" w:space="100"/>
          <w:noEndnote/>
          <w:docGrid w:linePitch="360"/>
        </w:sectPr>
      </w:pPr>
      <w:r>
        <w:t>Co proslavilo Pardubice? Tří věci proslavily Pardubice: Karo- Franckovka, Perola a perník</w:t>
      </w:r>
      <w:r>
        <w:t>. Z vybraných surovin, podle vy</w:t>
      </w:r>
      <w:r>
        <w:softHyphen/>
        <w:t>zkoušených předpisů, pomoci mo</w:t>
      </w:r>
      <w:r>
        <w:softHyphen/>
        <w:t>derních strojů vyrábí se Karo- Franckovka a Perola. Není proto divu, že Jsou tak dobré, že káva z nich uvařená krásně voní a tak dobře chutná. Je to naše káva, která u nás roste.</w:t>
      </w:r>
    </w:p>
    <w:p w:rsidR="00500724" w:rsidRDefault="00500724">
      <w:pPr>
        <w:rPr>
          <w:sz w:val="2"/>
          <w:szCs w:val="2"/>
        </w:rPr>
        <w:sectPr w:rsidR="00500724">
          <w:footnotePr>
            <w:numFmt w:val="chicago"/>
            <w:numRestart w:val="eachPage"/>
          </w:footnotePr>
          <w:type w:val="continuous"/>
          <w:pgSz w:w="11909" w:h="16834"/>
          <w:pgMar w:top="1023" w:right="6554" w:bottom="319" w:left="146" w:header="0" w:footer="3" w:gutter="0"/>
          <w:cols w:num="2" w:sep="1" w:space="100"/>
          <w:noEndnote/>
          <w:docGrid w:linePitch="360"/>
        </w:sectPr>
      </w:pPr>
    </w:p>
    <w:p w:rsidR="00500724" w:rsidRDefault="00F30FB8">
      <w:pPr>
        <w:pStyle w:val="Nadpis20"/>
        <w:keepNext/>
        <w:keepLines/>
        <w:shd w:val="clear" w:color="auto" w:fill="auto"/>
      </w:pPr>
      <w:bookmarkStart w:id="275" w:name="bookmark274"/>
      <w:r>
        <w:t>Řtomnosó</w:t>
      </w:r>
      <w:bookmarkEnd w:id="275"/>
    </w:p>
    <w:tbl>
      <w:tblPr>
        <w:tblOverlap w:val="never"/>
        <w:tblW w:w="0" w:type="auto"/>
        <w:jc w:val="center"/>
        <w:tblLayout w:type="fixed"/>
        <w:tblCellMar>
          <w:left w:w="10" w:type="dxa"/>
          <w:right w:w="10" w:type="dxa"/>
        </w:tblCellMar>
        <w:tblLook w:val="04A0" w:firstRow="1" w:lastRow="0" w:firstColumn="1" w:lastColumn="0" w:noHBand="0" w:noVBand="1"/>
      </w:tblPr>
      <w:tblGrid>
        <w:gridCol w:w="7459"/>
        <w:gridCol w:w="3648"/>
      </w:tblGrid>
      <w:tr w:rsidR="00500724">
        <w:tblPrEx>
          <w:tblCellMar>
            <w:top w:w="0" w:type="dxa"/>
            <w:bottom w:w="0" w:type="dxa"/>
          </w:tblCellMar>
        </w:tblPrEx>
        <w:trPr>
          <w:trHeight w:hRule="exact" w:val="437"/>
          <w:jc w:val="center"/>
        </w:trPr>
        <w:tc>
          <w:tcPr>
            <w:tcW w:w="0" w:type="auto"/>
            <w:tcBorders>
              <w:left w:val="single" w:sz="4" w:space="0" w:color="auto"/>
            </w:tcBorders>
            <w:shd w:val="clear" w:color="auto" w:fill="FFFFFF"/>
          </w:tcPr>
          <w:p w:rsidR="00500724" w:rsidRDefault="00F30FB8">
            <w:pPr>
              <w:pStyle w:val="Jin0"/>
              <w:shd w:val="clear" w:color="auto" w:fill="auto"/>
              <w:tabs>
                <w:tab w:val="left" w:pos="3750"/>
              </w:tabs>
              <w:ind w:left="260" w:firstLine="20"/>
              <w:rPr>
                <w:sz w:val="22"/>
                <w:szCs w:val="22"/>
              </w:rPr>
            </w:pPr>
            <w:r>
              <w:rPr>
                <w:b/>
                <w:bCs/>
                <w:sz w:val="22"/>
                <w:szCs w:val="22"/>
              </w:rPr>
              <w:t>ROČNÍK XVI.</w:t>
            </w:r>
            <w:r>
              <w:rPr>
                <w:b/>
                <w:bCs/>
                <w:sz w:val="22"/>
                <w:szCs w:val="22"/>
              </w:rPr>
              <w:tab/>
              <w:t>V PRAZE 22. BÉEZNA 1939</w:t>
            </w:r>
          </w:p>
        </w:tc>
        <w:tc>
          <w:tcPr>
            <w:tcW w:w="0" w:type="auto"/>
            <w:tcBorders>
              <w:right w:val="single" w:sz="4" w:space="0" w:color="auto"/>
            </w:tcBorders>
            <w:shd w:val="clear" w:color="auto" w:fill="FFFFFF"/>
          </w:tcPr>
          <w:p w:rsidR="00500724" w:rsidRDefault="00F30FB8">
            <w:pPr>
              <w:pStyle w:val="Jin0"/>
              <w:shd w:val="clear" w:color="auto" w:fill="auto"/>
              <w:ind w:right="220" w:firstLine="0"/>
              <w:jc w:val="right"/>
              <w:rPr>
                <w:sz w:val="22"/>
                <w:szCs w:val="22"/>
              </w:rPr>
            </w:pPr>
            <w:r>
              <w:rPr>
                <w:b/>
                <w:bCs/>
                <w:sz w:val="22"/>
                <w:szCs w:val="22"/>
              </w:rPr>
              <w:t>ZA K 2.—</w:t>
            </w:r>
          </w:p>
        </w:tc>
      </w:tr>
      <w:tr w:rsidR="00500724">
        <w:tblPrEx>
          <w:tblCellMar>
            <w:top w:w="0" w:type="dxa"/>
            <w:bottom w:w="0" w:type="dxa"/>
          </w:tblCellMar>
        </w:tblPrEx>
        <w:trPr>
          <w:trHeight w:hRule="exact" w:val="1992"/>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20"/>
              <w:jc w:val="left"/>
              <w:rPr>
                <w:sz w:val="58"/>
                <w:szCs w:val="58"/>
              </w:rPr>
            </w:pPr>
            <w:r>
              <w:rPr>
                <w:sz w:val="58"/>
                <w:szCs w:val="58"/>
              </w:rPr>
              <w:t>Říšský protektor</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sz w:val="26"/>
                <w:szCs w:val="26"/>
              </w:rPr>
              <w:t>ARNOŠT STUDNIČKA</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20"/>
              <w:jc w:val="left"/>
              <w:rPr>
                <w:sz w:val="58"/>
                <w:szCs w:val="58"/>
              </w:rPr>
            </w:pPr>
            <w:r>
              <w:rPr>
                <w:sz w:val="58"/>
                <w:szCs w:val="58"/>
              </w:rPr>
              <w:t>Praha ráno 15- března 1Q39</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KULENA JESENSKÁ</w:t>
            </w:r>
          </w:p>
        </w:tc>
      </w:tr>
      <w:tr w:rsidR="00500724">
        <w:tblPrEx>
          <w:tblCellMar>
            <w:top w:w="0" w:type="dxa"/>
            <w:bottom w:w="0" w:type="dxa"/>
          </w:tblCellMar>
        </w:tblPrEx>
        <w:trPr>
          <w:trHeight w:hRule="exact" w:val="122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20"/>
              <w:jc w:val="left"/>
              <w:rPr>
                <w:sz w:val="58"/>
                <w:szCs w:val="58"/>
              </w:rPr>
            </w:pPr>
            <w:r>
              <w:rPr>
                <w:sz w:val="58"/>
                <w:szCs w:val="58"/>
              </w:rPr>
              <w:t>Děti čtou</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MARIE KUBEŠOVÁ</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20"/>
              <w:jc w:val="left"/>
              <w:rPr>
                <w:sz w:val="58"/>
                <w:szCs w:val="58"/>
              </w:rPr>
            </w:pPr>
            <w:r>
              <w:rPr>
                <w:sz w:val="58"/>
                <w:szCs w:val="58"/>
              </w:rPr>
              <w:t>Obchod s kulturou</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PŘEMYSL PRAŽÁK</w:t>
            </w:r>
          </w:p>
        </w:tc>
      </w:tr>
      <w:tr w:rsidR="00500724">
        <w:tblPrEx>
          <w:tblCellMar>
            <w:top w:w="0" w:type="dxa"/>
            <w:bottom w:w="0" w:type="dxa"/>
          </w:tblCellMar>
        </w:tblPrEx>
        <w:trPr>
          <w:trHeight w:hRule="exact" w:val="121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20"/>
              <w:jc w:val="left"/>
              <w:rPr>
                <w:sz w:val="58"/>
                <w:szCs w:val="58"/>
              </w:rPr>
            </w:pPr>
            <w:r>
              <w:rPr>
                <w:sz w:val="58"/>
                <w:szCs w:val="58"/>
              </w:rPr>
              <w:t>Jindřich VIII. a jeho žena</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sz w:val="26"/>
                <w:szCs w:val="26"/>
              </w:rPr>
              <w:t>ELSA LANCHESTEROVÁ</w:t>
            </w:r>
          </w:p>
        </w:tc>
      </w:tr>
      <w:tr w:rsidR="00500724">
        <w:tblPrEx>
          <w:tblCellMar>
            <w:top w:w="0" w:type="dxa"/>
            <w:bottom w:w="0" w:type="dxa"/>
          </w:tblCellMar>
        </w:tblPrEx>
        <w:trPr>
          <w:trHeight w:hRule="exact" w:val="1301"/>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ind w:left="260" w:firstLine="20"/>
              <w:jc w:val="left"/>
              <w:rPr>
                <w:sz w:val="58"/>
                <w:szCs w:val="58"/>
              </w:rPr>
            </w:pPr>
            <w:r>
              <w:rPr>
                <w:sz w:val="58"/>
                <w:szCs w:val="58"/>
              </w:rPr>
              <w:t>Dobrý německý film</w:t>
            </w:r>
          </w:p>
        </w:tc>
        <w:tc>
          <w:tcPr>
            <w:tcW w:w="0" w:type="auto"/>
            <w:tcBorders>
              <w:top w:val="single" w:sz="4" w:space="0" w:color="auto"/>
              <w:bottom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ARTUŠ ČERNÍK</w:t>
            </w:r>
          </w:p>
        </w:tc>
      </w:tr>
    </w:tbl>
    <w:p w:rsidR="00500724" w:rsidRDefault="00500724">
      <w:pPr>
        <w:spacing w:after="526" w:line="14" w:lineRule="exact"/>
      </w:pPr>
    </w:p>
    <w:p w:rsidR="00500724" w:rsidRDefault="00F30FB8">
      <w:pPr>
        <w:pStyle w:val="Jin0"/>
        <w:shd w:val="clear" w:color="auto" w:fill="auto"/>
        <w:spacing w:after="340" w:line="276" w:lineRule="auto"/>
        <w:ind w:firstLine="0"/>
        <w:jc w:val="center"/>
        <w:rPr>
          <w:sz w:val="26"/>
          <w:szCs w:val="26"/>
        </w:rPr>
        <w:sectPr w:rsidR="00500724">
          <w:footnotePr>
            <w:numFmt w:val="chicago"/>
            <w:numRestart w:val="eachPage"/>
          </w:footnotePr>
          <w:pgSz w:w="11909" w:h="16834"/>
          <w:pgMar w:top="879" w:right="154" w:bottom="879" w:left="427" w:header="0" w:footer="3" w:gutter="0"/>
          <w:cols w:space="720"/>
          <w:noEndnote/>
          <w:docGrid w:linePitch="360"/>
        </w:sectPr>
      </w:pPr>
      <w:r>
        <w:rPr>
          <w:b/>
          <w:bCs/>
          <w:sz w:val="26"/>
          <w:szCs w:val="26"/>
        </w:rPr>
        <w:t>Protektorát Cechy a Morava — Jediná česká politická strana — České hospodářství</w:t>
      </w:r>
      <w:r>
        <w:rPr>
          <w:b/>
          <w:bCs/>
          <w:sz w:val="26"/>
          <w:szCs w:val="26"/>
        </w:rPr>
        <w:br/>
        <w:t>v německé říši — Hospodářské prvky samostatného Slovenska — Časové poznámky</w:t>
      </w:r>
      <w:r>
        <w:rPr>
          <w:b/>
          <w:bCs/>
          <w:sz w:val="26"/>
          <w:szCs w:val="26"/>
        </w:rPr>
        <w:br/>
        <w:t xml:space="preserve">o denunciantství a </w:t>
      </w:r>
      <w:r>
        <w:rPr>
          <w:b/>
          <w:bCs/>
          <w:sz w:val="26"/>
          <w:szCs w:val="26"/>
        </w:rPr>
        <w:t>jiných věcech — Povídky už se čtou — Dramatisovat?</w:t>
      </w:r>
    </w:p>
    <w:p w:rsidR="00500724" w:rsidRDefault="00F30FB8">
      <w:pPr>
        <w:spacing w:line="14" w:lineRule="exact"/>
      </w:pPr>
      <w:r>
        <w:rPr>
          <w:noProof/>
        </w:rPr>
        <mc:AlternateContent>
          <mc:Choice Requires="wps">
            <w:drawing>
              <wp:anchor distT="0" distB="0" distL="114300" distR="114300" simplePos="0" relativeHeight="125829654" behindDoc="0" locked="0" layoutInCell="1" allowOverlap="1">
                <wp:simplePos x="0" y="0"/>
                <wp:positionH relativeFrom="page">
                  <wp:posOffset>3704590</wp:posOffset>
                </wp:positionH>
                <wp:positionV relativeFrom="paragraph">
                  <wp:posOffset>12700</wp:posOffset>
                </wp:positionV>
                <wp:extent cx="3069590" cy="328930"/>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3069590" cy="328930"/>
                        </a:xfrm>
                        <a:prstGeom prst="rect">
                          <a:avLst/>
                        </a:prstGeom>
                        <a:solidFill>
                          <a:srgbClr val="4B544B"/>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line="240" w:lineRule="auto"/>
                              <w:ind w:left="60"/>
                              <w:jc w:val="center"/>
                              <w:rPr>
                                <w:sz w:val="26"/>
                                <w:szCs w:val="26"/>
                              </w:rPr>
                            </w:pPr>
                            <w:r>
                              <w:rPr>
                                <w:color w:val="FFFFFF"/>
                              </w:rPr>
                              <w:t xml:space="preserve">ODBORNÍ </w:t>
                            </w:r>
                            <w:r>
                              <w:rPr>
                                <w:b w:val="0"/>
                                <w:bCs w:val="0"/>
                                <w:smallCaps/>
                                <w:color w:val="FFFFFF"/>
                                <w:sz w:val="26"/>
                                <w:szCs w:val="26"/>
                              </w:rPr>
                              <w:t>Lékaři</w:t>
                            </w:r>
                          </w:p>
                        </w:txbxContent>
                      </wps:txbx>
                      <wps:bodyPr lIns="0" tIns="0" rIns="0" bIns="0">
                        <a:spAutoFit/>
                      </wps:bodyPr>
                    </wps:wsp>
                  </a:graphicData>
                </a:graphic>
              </wp:anchor>
            </w:drawing>
          </mc:Choice>
          <mc:Fallback>
            <w:pict>
              <v:shape id="_x0000_s1303" type="#_x0000_t202" style="position:absolute;margin-left:291.69999999999999pt;margin-top:1.pt;width:241.69999999999999pt;height:25.899999999999999pt;z-index:-125829099;mso-wrap-distance-left:9.pt;mso-wrap-distance-right:9.pt;mso-position-horizontal-relative:page" fillcolor="#4B544B"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60" w:right="0" w:firstLine="0"/>
                        <w:jc w:val="center"/>
                        <w:rPr>
                          <w:sz w:val="26"/>
                          <w:szCs w:val="26"/>
                        </w:rPr>
                      </w:pPr>
                      <w:r>
                        <w:rPr>
                          <w:color w:val="FFFFFF"/>
                          <w:spacing w:val="0"/>
                          <w:w w:val="100"/>
                          <w:position w:val="0"/>
                          <w:sz w:val="22"/>
                          <w:szCs w:val="22"/>
                          <w:shd w:val="clear" w:color="auto" w:fill="auto"/>
                          <w:lang w:val="cs-CZ" w:eastAsia="cs-CZ" w:bidi="cs-CZ"/>
                        </w:rPr>
                        <w:t xml:space="preserve">ODBORNÍ </w:t>
                      </w:r>
                      <w:r>
                        <w:rPr>
                          <w:b w:val="0"/>
                          <w:bCs w:val="0"/>
                          <w:smallCaps/>
                          <w:color w:val="FFFFFF"/>
                          <w:spacing w:val="0"/>
                          <w:w w:val="100"/>
                          <w:position w:val="0"/>
                          <w:sz w:val="26"/>
                          <w:szCs w:val="26"/>
                          <w:shd w:val="clear" w:color="auto" w:fill="auto"/>
                          <w:lang w:val="cs-CZ" w:eastAsia="cs-CZ" w:bidi="cs-CZ"/>
                        </w:rPr>
                        <w:t>Lékaři</w:t>
                      </w:r>
                    </w:p>
                  </w:txbxContent>
                </v:textbox>
                <w10:wrap type="topAndBottom" anchorx="page"/>
              </v:shape>
            </w:pict>
          </mc:Fallback>
        </mc:AlternateContent>
      </w:r>
    </w:p>
    <w:p w:rsidR="00500724" w:rsidRDefault="00F30FB8">
      <w:pPr>
        <w:pStyle w:val="Zkladntext100"/>
        <w:shd w:val="clear" w:color="auto" w:fill="auto"/>
        <w:spacing w:line="144" w:lineRule="auto"/>
        <w:ind w:firstLine="0"/>
        <w:jc w:val="right"/>
      </w:pPr>
      <w:r>
        <w:rPr>
          <w:b/>
          <w:bCs/>
        </w:rPr>
        <w:t xml:space="preserve">Mlin» Cranlrl </w:t>
      </w:r>
      <w:r>
        <w:t xml:space="preserve">odborný lékař pro </w:t>
      </w:r>
      <w:r>
        <w:rPr>
          <w:b/>
          <w:bCs/>
        </w:rPr>
        <w:t>žaludeční a mui/r, rranKl střevní n e m o c i a roentgenologií.</w:t>
      </w:r>
    </w:p>
    <w:p w:rsidR="00500724" w:rsidRDefault="00F30FB8">
      <w:pPr>
        <w:pStyle w:val="Zkladntext100"/>
        <w:shd w:val="clear" w:color="auto" w:fill="auto"/>
        <w:spacing w:line="144" w:lineRule="auto"/>
        <w:ind w:firstLine="0"/>
        <w:jc w:val="right"/>
      </w:pPr>
      <w:r>
        <w:rPr>
          <w:b/>
          <w:bCs/>
        </w:rPr>
        <w:t xml:space="preserve">PRAHA n.. NEKÁZANKA 4, </w:t>
      </w:r>
      <w:r>
        <w:t>XI. patro. Ord. 9—10, 3—4.</w:t>
      </w:r>
    </w:p>
    <w:p w:rsidR="00500724" w:rsidRDefault="00F30FB8">
      <w:pPr>
        <w:pStyle w:val="Zkladntext100"/>
        <w:shd w:val="clear" w:color="auto" w:fill="auto"/>
        <w:spacing w:after="240" w:line="144" w:lineRule="auto"/>
        <w:ind w:left="2520" w:firstLine="0"/>
        <w:jc w:val="left"/>
      </w:pPr>
      <w:r>
        <w:t>Telefon 234-13.</w:t>
      </w:r>
    </w:p>
    <w:p w:rsidR="00500724" w:rsidRDefault="00F30FB8">
      <w:pPr>
        <w:pStyle w:val="Zkladntext100"/>
        <w:shd w:val="clear" w:color="auto" w:fill="auto"/>
        <w:spacing w:line="149" w:lineRule="auto"/>
        <w:ind w:firstLine="0"/>
        <w:jc w:val="right"/>
      </w:pPr>
      <w:r>
        <w:rPr>
          <w:rFonts w:ascii="Arial" w:eastAsia="Arial" w:hAnsi="Arial" w:cs="Arial"/>
          <w:b/>
          <w:bCs/>
          <w:sz w:val="22"/>
          <w:szCs w:val="22"/>
        </w:rPr>
        <w:t xml:space="preserve">MUDr. Ervín Fróhlich, </w:t>
      </w:r>
      <w:r>
        <w:t xml:space="preserve">odborný lékař pro choroby vnitřní, žaludeční, střevní a výměny látek, em. esistent I. med. kliniky </w:t>
      </w:r>
      <w:r>
        <w:rPr>
          <w:lang w:val="en-US" w:eastAsia="en-US" w:bidi="en-US"/>
        </w:rPr>
        <w:t xml:space="preserve">prof. </w:t>
      </w:r>
      <w:r>
        <w:t>Schmidta,</w:t>
      </w:r>
    </w:p>
    <w:p w:rsidR="00500724" w:rsidRDefault="00F30FB8">
      <w:pPr>
        <w:pStyle w:val="Zkladntext100"/>
        <w:shd w:val="clear" w:color="auto" w:fill="auto"/>
        <w:spacing w:line="158" w:lineRule="auto"/>
        <w:ind w:firstLine="0"/>
        <w:jc w:val="right"/>
        <w:sectPr w:rsidR="00500724">
          <w:footnotePr>
            <w:numFmt w:val="chicago"/>
            <w:numRestart w:val="eachPage"/>
          </w:footnotePr>
          <w:pgSz w:w="11909" w:h="16834"/>
          <w:pgMar w:top="1078" w:right="1140" w:bottom="633" w:left="444" w:header="0" w:footer="3" w:gutter="0"/>
          <w:cols w:num="2" w:space="168"/>
          <w:noEndnote/>
          <w:docGrid w:linePitch="360"/>
        </w:sectPr>
      </w:pPr>
      <w:r>
        <w:t>PRAHA I., Na Příkopech 85. Ord. 9-10. %3-7,5. Telef. 228-91.</w:t>
      </w:r>
    </w:p>
    <w:p w:rsidR="00500724" w:rsidRDefault="00F30FB8">
      <w:pPr>
        <w:spacing w:line="14" w:lineRule="exact"/>
      </w:pPr>
      <w:r>
        <w:rPr>
          <w:noProof/>
        </w:rPr>
        <mc:AlternateContent>
          <mc:Choice Requires="wps">
            <w:drawing>
              <wp:anchor distT="0" distB="0" distL="114300" distR="114300" simplePos="0" relativeHeight="125829656" behindDoc="0" locked="0" layoutInCell="1" allowOverlap="1">
                <wp:simplePos x="0" y="0"/>
                <wp:positionH relativeFrom="page">
                  <wp:posOffset>354965</wp:posOffset>
                </wp:positionH>
                <wp:positionV relativeFrom="paragraph">
                  <wp:posOffset>1014730</wp:posOffset>
                </wp:positionV>
                <wp:extent cx="2529840" cy="356870"/>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2529840" cy="356870"/>
                        </a:xfrm>
                        <a:prstGeom prst="rect">
                          <a:avLst/>
                        </a:prstGeom>
                        <a:noFill/>
                      </wps:spPr>
                      <wps:txbx>
                        <w:txbxContent>
                          <w:p w:rsidR="00500724" w:rsidRDefault="00F30FB8">
                            <w:pPr>
                              <w:pStyle w:val="Zkladntext40"/>
                              <w:shd w:val="clear" w:color="auto" w:fill="auto"/>
                              <w:spacing w:after="0"/>
                              <w:ind w:left="140" w:hanging="140"/>
                              <w:jc w:val="left"/>
                            </w:pPr>
                            <w:r>
                              <w:rPr>
                                <w:lang w:val="en-US" w:eastAsia="en-US" w:bidi="en-US"/>
                              </w:rPr>
                              <w:t>Science today. The scientific outlook on world pr</w:t>
                            </w:r>
                            <w:r>
                              <w:rPr>
                                <w:lang w:val="en-US" w:eastAsia="en-US" w:bidi="en-US"/>
                              </w:rPr>
                              <w:t xml:space="preserve">oblems explained by the leading exponents of modern thought. Planned a. arranged by the late Sir J. </w:t>
                            </w:r>
                            <w:r>
                              <w:rPr>
                                <w:sz w:val="18"/>
                                <w:szCs w:val="18"/>
                                <w:lang w:val="en-US" w:eastAsia="en-US" w:bidi="en-US"/>
                              </w:rPr>
                              <w:t xml:space="preserve">Ar </w:t>
                            </w:r>
                            <w:r>
                              <w:rPr>
                                <w:lang w:val="en-US" w:eastAsia="en-US" w:bidi="en-US"/>
                              </w:rPr>
                              <w:t>iur THOMSON.</w:t>
                            </w:r>
                          </w:p>
                        </w:txbxContent>
                      </wps:txbx>
                      <wps:bodyPr lIns="0" tIns="0" rIns="0" bIns="0">
                        <a:spAutoFit/>
                      </wps:bodyPr>
                    </wps:wsp>
                  </a:graphicData>
                </a:graphic>
              </wp:anchor>
            </w:drawing>
          </mc:Choice>
          <mc:Fallback>
            <w:pict>
              <v:shape id="_x0000_s1305" type="#_x0000_t202" style="position:absolute;margin-left:27.949999999999999pt;margin-top:79.900000000000006pt;width:199.19999999999999pt;height:28.100000000000001pt;z-index:-125829097;mso-wrap-distance-left:9.pt;mso-wrap-distance-right:9.pt;mso-position-horizontal-relative:page" filled="f" stroked="f">
                <v:textbox style="mso-fit-shape-to-text:t" inset="0,0,0,0">
                  <w:txbxContent>
                    <w:p>
                      <w:pPr>
                        <w:pStyle w:val="Style42"/>
                        <w:keepNext w:val="0"/>
                        <w:keepLines w:val="0"/>
                        <w:widowControl w:val="0"/>
                        <w:shd w:val="clear" w:color="auto" w:fill="auto"/>
                        <w:bidi w:val="0"/>
                        <w:spacing w:before="0" w:after="0"/>
                        <w:ind w:left="140" w:right="0" w:hanging="140"/>
                        <w:jc w:val="left"/>
                      </w:pPr>
                      <w:r>
                        <w:rPr>
                          <w:color w:val="000000"/>
                          <w:spacing w:val="0"/>
                          <w:w w:val="100"/>
                          <w:position w:val="0"/>
                          <w:shd w:val="clear" w:color="auto" w:fill="auto"/>
                          <w:lang w:val="en-US" w:eastAsia="en-US" w:bidi="en-US"/>
                        </w:rPr>
                        <w:t xml:space="preserve">Science today. The scientific outlook on world problems explained by the leading exponents of modern thought. Planned a. arranged by the late Sir J. </w:t>
                      </w:r>
                      <w:r>
                        <w:rPr>
                          <w:color w:val="000000"/>
                          <w:spacing w:val="0"/>
                          <w:w w:val="100"/>
                          <w:position w:val="0"/>
                          <w:sz w:val="18"/>
                          <w:szCs w:val="18"/>
                          <w:shd w:val="clear" w:color="auto" w:fill="auto"/>
                          <w:lang w:val="en-US" w:eastAsia="en-US" w:bidi="en-US"/>
                        </w:rPr>
                        <w:t xml:space="preserve">Ar </w:t>
                      </w:r>
                      <w:r>
                        <w:rPr>
                          <w:color w:val="000000"/>
                          <w:spacing w:val="0"/>
                          <w:w w:val="100"/>
                          <w:position w:val="0"/>
                          <w:shd w:val="clear" w:color="auto" w:fill="auto"/>
                          <w:lang w:val="en-US" w:eastAsia="en-US" w:bidi="en-US"/>
                        </w:rPr>
                        <w:t>iur THOMSON.</w:t>
                      </w:r>
                    </w:p>
                  </w:txbxContent>
                </v:textbox>
                <w10:wrap type="topAndBottom" anchorx="page"/>
              </v:shape>
            </w:pict>
          </mc:Fallback>
        </mc:AlternateContent>
      </w:r>
    </w:p>
    <w:p w:rsidR="00500724" w:rsidRDefault="00F30FB8">
      <w:pPr>
        <w:pStyle w:val="Zkladntext40"/>
        <w:shd w:val="clear" w:color="auto" w:fill="auto"/>
        <w:tabs>
          <w:tab w:val="left" w:pos="3551"/>
        </w:tabs>
        <w:spacing w:after="0" w:line="158" w:lineRule="auto"/>
        <w:jc w:val="left"/>
        <w:rPr>
          <w:sz w:val="16"/>
          <w:szCs w:val="16"/>
        </w:rPr>
      </w:pPr>
      <w:r>
        <w:rPr>
          <w:b/>
          <w:bCs/>
          <w:smallCaps/>
          <w:sz w:val="17"/>
          <w:szCs w:val="17"/>
        </w:rPr>
        <w:t>malý</w:t>
      </w:r>
      <w:r>
        <w:rPr>
          <w:b/>
          <w:bCs/>
          <w:sz w:val="16"/>
          <w:szCs w:val="16"/>
        </w:rPr>
        <w:t xml:space="preserve"> R. I„ Marx a ftfan. 19.5 X12 </w:t>
      </w:r>
      <w:r>
        <w:rPr>
          <w:sz w:val="18"/>
          <w:szCs w:val="18"/>
        </w:rPr>
        <w:t xml:space="preserve">cm, </w:t>
      </w:r>
      <w:r>
        <w:rPr>
          <w:b/>
          <w:bCs/>
          <w:sz w:val="16"/>
          <w:szCs w:val="16"/>
        </w:rPr>
        <w:t>133 str.. brož. K 10.— NOŽIČKA Josef JUDr., Obec v zrcadle judikatury nejvyššlho soudu. 21X15 cm, 237</w:t>
      </w:r>
      <w:r>
        <w:rPr>
          <w:b/>
          <w:bCs/>
          <w:sz w:val="16"/>
          <w:szCs w:val="16"/>
        </w:rPr>
        <w:t xml:space="preserve"> str.</w:t>
      </w:r>
      <w:r>
        <w:rPr>
          <w:b/>
          <w:bCs/>
          <w:sz w:val="16"/>
          <w:szCs w:val="16"/>
        </w:rPr>
        <w:tab/>
        <w:t>brož. K 26.—</w:t>
      </w:r>
    </w:p>
    <w:p w:rsidR="00500724" w:rsidRDefault="00F30FB8">
      <w:pPr>
        <w:pStyle w:val="Zkladntext40"/>
        <w:shd w:val="clear" w:color="auto" w:fill="auto"/>
        <w:spacing w:after="0" w:line="166" w:lineRule="auto"/>
        <w:jc w:val="right"/>
        <w:rPr>
          <w:sz w:val="16"/>
          <w:szCs w:val="16"/>
        </w:rPr>
      </w:pPr>
      <w:r>
        <w:rPr>
          <w:b/>
          <w:bCs/>
          <w:sz w:val="16"/>
          <w:szCs w:val="16"/>
        </w:rPr>
        <w:t>vázané K 34.—</w:t>
      </w:r>
    </w:p>
    <w:p w:rsidR="00500724" w:rsidRDefault="00F30FB8">
      <w:pPr>
        <w:pStyle w:val="Zkladntext40"/>
        <w:shd w:val="clear" w:color="auto" w:fill="auto"/>
        <w:spacing w:after="0" w:line="166" w:lineRule="auto"/>
        <w:jc w:val="left"/>
        <w:rPr>
          <w:sz w:val="16"/>
          <w:szCs w:val="16"/>
        </w:rPr>
      </w:pPr>
      <w:r>
        <w:rPr>
          <w:b/>
          <w:bCs/>
          <w:sz w:val="16"/>
          <w:szCs w:val="16"/>
        </w:rPr>
        <w:t>NOŽIČKA Josef JUDr., Nucený pronájem a předražo-</w:t>
      </w:r>
    </w:p>
    <w:p w:rsidR="00500724" w:rsidRDefault="00F30FB8">
      <w:pPr>
        <w:pStyle w:val="Zkladntext40"/>
        <w:shd w:val="clear" w:color="auto" w:fill="auto"/>
        <w:tabs>
          <w:tab w:val="left" w:pos="3551"/>
        </w:tabs>
        <w:spacing w:after="0" w:line="166" w:lineRule="auto"/>
        <w:ind w:left="200" w:firstLine="20"/>
        <w:rPr>
          <w:sz w:val="16"/>
          <w:szCs w:val="16"/>
        </w:rPr>
      </w:pPr>
      <w:r>
        <w:rPr>
          <w:b/>
          <w:bCs/>
          <w:sz w:val="16"/>
          <w:szCs w:val="16"/>
        </w:rPr>
        <w:t>vání místnosti. 18.5X12 cm, 87 stran</w:t>
      </w:r>
      <w:r>
        <w:rPr>
          <w:b/>
          <w:bCs/>
          <w:sz w:val="16"/>
          <w:szCs w:val="16"/>
        </w:rPr>
        <w:tab/>
        <w:t>brož. K 15.—</w:t>
      </w:r>
    </w:p>
    <w:p w:rsidR="00500724" w:rsidRDefault="00F30FB8">
      <w:pPr>
        <w:pStyle w:val="Zkladntext40"/>
        <w:shd w:val="clear" w:color="auto" w:fill="auto"/>
        <w:tabs>
          <w:tab w:val="left" w:pos="3551"/>
        </w:tabs>
        <w:spacing w:after="0" w:line="166" w:lineRule="auto"/>
        <w:ind w:left="200" w:hanging="200"/>
        <w:jc w:val="left"/>
        <w:rPr>
          <w:sz w:val="16"/>
          <w:szCs w:val="16"/>
        </w:rPr>
      </w:pPr>
      <w:r>
        <w:rPr>
          <w:b/>
          <w:bCs/>
          <w:sz w:val="16"/>
          <w:szCs w:val="16"/>
        </w:rPr>
        <w:t>ŠTAFL Ad. f JUDr., Vyvlastnénl nemovitosti. Od</w:t>
      </w:r>
      <w:r>
        <w:rPr>
          <w:b/>
          <w:bCs/>
          <w:sz w:val="16"/>
          <w:szCs w:val="16"/>
        </w:rPr>
        <w:softHyphen/>
        <w:t>straňováni stavebních a komunikačních závad v obcích. 18.5X12. cm 163 str.,</w:t>
      </w:r>
      <w:r>
        <w:rPr>
          <w:b/>
          <w:bCs/>
          <w:sz w:val="16"/>
          <w:szCs w:val="16"/>
        </w:rPr>
        <w:tab/>
      </w:r>
      <w:r>
        <w:rPr>
          <w:b/>
          <w:bCs/>
          <w:sz w:val="16"/>
          <w:szCs w:val="16"/>
        </w:rPr>
        <w:t>brož. K 30.—</w:t>
      </w:r>
    </w:p>
    <w:p w:rsidR="00500724" w:rsidRDefault="00F30FB8">
      <w:pPr>
        <w:pStyle w:val="Zkladntext40"/>
        <w:shd w:val="clear" w:color="auto" w:fill="auto"/>
        <w:spacing w:after="0" w:line="166" w:lineRule="auto"/>
        <w:jc w:val="left"/>
        <w:rPr>
          <w:sz w:val="16"/>
          <w:szCs w:val="16"/>
        </w:rPr>
      </w:pPr>
      <w:r>
        <w:rPr>
          <w:b/>
          <w:bCs/>
          <w:sz w:val="16"/>
          <w:szCs w:val="16"/>
          <w:lang w:val="en-US" w:eastAsia="en-US" w:bidi="en-US"/>
        </w:rPr>
        <w:t xml:space="preserve">TAYLOR </w:t>
      </w:r>
      <w:r>
        <w:rPr>
          <w:b/>
          <w:bCs/>
          <w:sz w:val="16"/>
          <w:szCs w:val="16"/>
        </w:rPr>
        <w:t xml:space="preserve">F. </w:t>
      </w:r>
      <w:r>
        <w:rPr>
          <w:b/>
          <w:bCs/>
          <w:sz w:val="16"/>
          <w:szCs w:val="16"/>
          <w:lang w:val="en-US" w:eastAsia="en-US" w:bidi="en-US"/>
        </w:rPr>
        <w:t xml:space="preserve">Sherwood, A short history of </w:t>
      </w:r>
      <w:r>
        <w:rPr>
          <w:b/>
          <w:bCs/>
          <w:sz w:val="16"/>
          <w:szCs w:val="16"/>
        </w:rPr>
        <w:t>science.</w:t>
      </w:r>
    </w:p>
    <w:p w:rsidR="00500724" w:rsidRDefault="00F30FB8">
      <w:pPr>
        <w:pStyle w:val="Zkladntext40"/>
        <w:shd w:val="clear" w:color="auto" w:fill="auto"/>
        <w:tabs>
          <w:tab w:val="left" w:pos="3551"/>
        </w:tabs>
        <w:spacing w:after="0" w:line="166" w:lineRule="auto"/>
        <w:ind w:left="200" w:firstLine="20"/>
        <w:rPr>
          <w:sz w:val="16"/>
          <w:szCs w:val="16"/>
        </w:rPr>
      </w:pPr>
      <w:r>
        <w:rPr>
          <w:b/>
          <w:bCs/>
          <w:sz w:val="16"/>
          <w:szCs w:val="16"/>
        </w:rPr>
        <w:t xml:space="preserve">22.5X14 </w:t>
      </w:r>
      <w:r>
        <w:rPr>
          <w:b/>
          <w:bCs/>
          <w:sz w:val="16"/>
          <w:szCs w:val="16"/>
          <w:lang w:val="en-US" w:eastAsia="en-US" w:bidi="en-US"/>
        </w:rPr>
        <w:t xml:space="preserve">cm, </w:t>
      </w:r>
      <w:r>
        <w:rPr>
          <w:b/>
          <w:bCs/>
          <w:sz w:val="16"/>
          <w:szCs w:val="16"/>
        </w:rPr>
        <w:t>320 str.</w:t>
      </w:r>
      <w:r>
        <w:rPr>
          <w:b/>
          <w:bCs/>
          <w:sz w:val="16"/>
          <w:szCs w:val="16"/>
        </w:rPr>
        <w:tab/>
        <w:t>vázané K 68.—</w:t>
      </w:r>
    </w:p>
    <w:p w:rsidR="00500724" w:rsidRDefault="00F30FB8">
      <w:pPr>
        <w:pStyle w:val="Zkladntext40"/>
        <w:shd w:val="clear" w:color="auto" w:fill="auto"/>
        <w:spacing w:after="0" w:line="197" w:lineRule="auto"/>
        <w:jc w:val="left"/>
        <w:rPr>
          <w:sz w:val="16"/>
          <w:szCs w:val="16"/>
        </w:rPr>
      </w:pPr>
      <w:r>
        <w:rPr>
          <w:b/>
          <w:bCs/>
          <w:sz w:val="16"/>
          <w:szCs w:val="16"/>
          <w:lang w:val="en-US" w:eastAsia="en-US" w:bidi="en-US"/>
        </w:rPr>
        <w:t xml:space="preserve">SIDOBRE </w:t>
      </w:r>
      <w:r>
        <w:rPr>
          <w:b/>
          <w:bCs/>
          <w:sz w:val="16"/>
          <w:szCs w:val="16"/>
        </w:rPr>
        <w:t xml:space="preserve">André: Les problěmes </w:t>
      </w:r>
      <w:r>
        <w:rPr>
          <w:b/>
          <w:bCs/>
          <w:sz w:val="16"/>
          <w:szCs w:val="16"/>
          <w:lang w:val="en-US" w:eastAsia="en-US" w:bidi="en-US"/>
        </w:rPr>
        <w:t>Ukrainlens et la</w:t>
      </w:r>
    </w:p>
    <w:p w:rsidR="00500724" w:rsidRDefault="00F30FB8">
      <w:pPr>
        <w:pStyle w:val="Zkladntext40"/>
        <w:shd w:val="clear" w:color="auto" w:fill="auto"/>
        <w:spacing w:after="0" w:line="197" w:lineRule="auto"/>
        <w:ind w:left="200" w:firstLine="20"/>
        <w:rPr>
          <w:sz w:val="16"/>
          <w:szCs w:val="16"/>
        </w:rPr>
      </w:pPr>
      <w:r>
        <w:rPr>
          <w:b/>
          <w:bCs/>
          <w:sz w:val="16"/>
          <w:szCs w:val="16"/>
          <w:lang w:val="en-US" w:eastAsia="en-US" w:bidi="en-US"/>
        </w:rPr>
        <w:t xml:space="preserve">paix </w:t>
      </w:r>
      <w:r>
        <w:rPr>
          <w:b/>
          <w:bCs/>
          <w:sz w:val="16"/>
          <w:szCs w:val="16"/>
        </w:rPr>
        <w:t xml:space="preserve">Européenne. </w:t>
      </w:r>
      <w:r>
        <w:rPr>
          <w:b/>
          <w:bCs/>
          <w:sz w:val="16"/>
          <w:szCs w:val="16"/>
          <w:lang w:val="en-US" w:eastAsia="en-US" w:bidi="en-US"/>
        </w:rPr>
        <w:t xml:space="preserve">25X16.5 cm, 74 str., </w:t>
      </w:r>
      <w:r>
        <w:rPr>
          <w:b/>
          <w:bCs/>
          <w:sz w:val="16"/>
          <w:szCs w:val="16"/>
        </w:rPr>
        <w:t xml:space="preserve">brož. </w:t>
      </w:r>
      <w:r>
        <w:rPr>
          <w:b/>
          <w:bCs/>
          <w:sz w:val="16"/>
          <w:szCs w:val="16"/>
          <w:lang w:val="en-US" w:eastAsia="en-US" w:bidi="en-US"/>
        </w:rPr>
        <w:t>K 10.—</w:t>
      </w:r>
    </w:p>
    <w:p w:rsidR="00500724" w:rsidRDefault="00F30FB8">
      <w:pPr>
        <w:pStyle w:val="Zkladntext40"/>
        <w:shd w:val="clear" w:color="auto" w:fill="auto"/>
        <w:spacing w:after="0" w:line="197" w:lineRule="auto"/>
        <w:jc w:val="left"/>
        <w:rPr>
          <w:sz w:val="16"/>
          <w:szCs w:val="16"/>
        </w:rPr>
      </w:pPr>
      <w:r>
        <w:rPr>
          <w:b/>
          <w:bCs/>
          <w:sz w:val="16"/>
          <w:szCs w:val="16"/>
          <w:lang w:val="en-US" w:eastAsia="en-US" w:bidi="en-US"/>
        </w:rPr>
        <w:t xml:space="preserve">LUDWIG Emil: Napoleon. 19X12 cm, 450 str., </w:t>
      </w:r>
      <w:r>
        <w:rPr>
          <w:b/>
          <w:bCs/>
          <w:sz w:val="16"/>
          <w:szCs w:val="16"/>
        </w:rPr>
        <w:t xml:space="preserve">brož. </w:t>
      </w:r>
      <w:r>
        <w:rPr>
          <w:b/>
          <w:bCs/>
          <w:sz w:val="16"/>
          <w:szCs w:val="16"/>
          <w:lang w:val="en-US" w:eastAsia="en-US" w:bidi="en-US"/>
        </w:rPr>
        <w:t xml:space="preserve">K 22.— KNAURS: </w:t>
      </w:r>
      <w:r>
        <w:rPr>
          <w:b/>
          <w:bCs/>
          <w:sz w:val="16"/>
          <w:szCs w:val="16"/>
        </w:rPr>
        <w:t xml:space="preserve">Lexikon. </w:t>
      </w:r>
      <w:r>
        <w:rPr>
          <w:b/>
          <w:bCs/>
          <w:sz w:val="16"/>
          <w:szCs w:val="16"/>
          <w:lang w:val="en-US" w:eastAsia="en-US" w:bidi="en-US"/>
        </w:rPr>
        <w:t xml:space="preserve">Auf alien Gebieten voilig um- gearbeitete Ausgabe 1939. Grossdeutschland und die Welt von heute. 18.5X13 cm, 1900 str., </w:t>
      </w:r>
      <w:r>
        <w:rPr>
          <w:b/>
          <w:bCs/>
          <w:sz w:val="16"/>
          <w:szCs w:val="16"/>
        </w:rPr>
        <w:t xml:space="preserve">váz. </w:t>
      </w:r>
      <w:r>
        <w:rPr>
          <w:b/>
          <w:bCs/>
          <w:sz w:val="16"/>
          <w:szCs w:val="16"/>
          <w:lang w:val="en-US" w:eastAsia="en-US" w:bidi="en-US"/>
        </w:rPr>
        <w:t>K 28.50 KNAURS Welt-Atlas. Neuausgabe 1939. 20.5 X13</w:t>
      </w:r>
    </w:p>
    <w:p w:rsidR="00500724" w:rsidRDefault="00F30FB8">
      <w:pPr>
        <w:pStyle w:val="Zkladntext40"/>
        <w:shd w:val="clear" w:color="auto" w:fill="auto"/>
        <w:tabs>
          <w:tab w:val="left" w:pos="3551"/>
        </w:tabs>
        <w:spacing w:after="0" w:line="197" w:lineRule="auto"/>
        <w:ind w:left="200" w:firstLine="20"/>
        <w:rPr>
          <w:sz w:val="16"/>
          <w:szCs w:val="16"/>
        </w:rPr>
      </w:pPr>
      <w:r>
        <w:rPr>
          <w:b/>
          <w:bCs/>
          <w:sz w:val="16"/>
          <w:szCs w:val="16"/>
          <w:lang w:val="en-US" w:eastAsia="en-US" w:bidi="en-US"/>
        </w:rPr>
        <w:t>cm, 175 str.,</w:t>
      </w:r>
      <w:r>
        <w:rPr>
          <w:b/>
          <w:bCs/>
          <w:sz w:val="16"/>
          <w:szCs w:val="16"/>
          <w:lang w:val="en-US" w:eastAsia="en-US" w:bidi="en-US"/>
        </w:rPr>
        <w:tab/>
      </w:r>
      <w:r>
        <w:rPr>
          <w:sz w:val="18"/>
          <w:szCs w:val="18"/>
        </w:rPr>
        <w:t xml:space="preserve">váz. </w:t>
      </w:r>
      <w:r>
        <w:rPr>
          <w:b/>
          <w:bCs/>
          <w:sz w:val="16"/>
          <w:szCs w:val="16"/>
          <w:lang w:val="en-US" w:eastAsia="en-US" w:bidi="en-US"/>
        </w:rPr>
        <w:t>K 28.50</w:t>
      </w:r>
    </w:p>
    <w:p w:rsidR="00500724" w:rsidRDefault="00F30FB8">
      <w:pPr>
        <w:pStyle w:val="Zkladntext40"/>
        <w:shd w:val="clear" w:color="auto" w:fill="auto"/>
        <w:spacing w:after="0" w:line="197" w:lineRule="auto"/>
        <w:jc w:val="left"/>
        <w:rPr>
          <w:sz w:val="16"/>
          <w:szCs w:val="16"/>
        </w:rPr>
      </w:pPr>
      <w:r>
        <w:rPr>
          <w:b/>
          <w:bCs/>
          <w:sz w:val="16"/>
          <w:szCs w:val="16"/>
          <w:lang w:val="en-US" w:eastAsia="en-US" w:bidi="en-US"/>
        </w:rPr>
        <w:t xml:space="preserve">IMANN Georges, Caroline de </w:t>
      </w:r>
      <w:r>
        <w:rPr>
          <w:b/>
          <w:bCs/>
          <w:sz w:val="16"/>
          <w:szCs w:val="16"/>
          <w:lang w:val="en-US" w:eastAsia="en-US" w:bidi="en-US"/>
        </w:rPr>
        <w:t>Brunswick. Reine</w:t>
      </w:r>
    </w:p>
    <w:p w:rsidR="00500724" w:rsidRDefault="00F30FB8">
      <w:pPr>
        <w:pStyle w:val="Zkladntext40"/>
        <w:shd w:val="clear" w:color="auto" w:fill="auto"/>
        <w:spacing w:after="0" w:line="218" w:lineRule="auto"/>
        <w:ind w:firstLine="220"/>
        <w:jc w:val="left"/>
        <w:rPr>
          <w:sz w:val="16"/>
          <w:szCs w:val="16"/>
        </w:rPr>
      </w:pPr>
      <w:r>
        <w:rPr>
          <w:b/>
          <w:bCs/>
          <w:sz w:val="16"/>
          <w:szCs w:val="16"/>
          <w:lang w:val="en-US" w:eastAsia="en-US" w:bidi="en-US"/>
        </w:rPr>
        <w:t xml:space="preserve">d'Angleterre. 1768-1821. 20 X 13.5 cm, 198 str., </w:t>
      </w:r>
      <w:r>
        <w:rPr>
          <w:b/>
          <w:bCs/>
          <w:sz w:val="16"/>
          <w:szCs w:val="16"/>
        </w:rPr>
        <w:t xml:space="preserve">brož. </w:t>
      </w:r>
      <w:r>
        <w:rPr>
          <w:b/>
          <w:bCs/>
          <w:sz w:val="16"/>
          <w:szCs w:val="16"/>
          <w:lang w:val="en-US" w:eastAsia="en-US" w:bidi="en-US"/>
        </w:rPr>
        <w:t xml:space="preserve">K 22.— </w:t>
      </w:r>
      <w:r>
        <w:rPr>
          <w:b/>
          <w:bCs/>
          <w:sz w:val="16"/>
          <w:szCs w:val="16"/>
        </w:rPr>
        <w:t xml:space="preserve">L’économle dirigée </w:t>
      </w:r>
      <w:r>
        <w:rPr>
          <w:b/>
          <w:bCs/>
          <w:sz w:val="16"/>
          <w:szCs w:val="16"/>
          <w:lang w:val="en-US" w:eastAsia="en-US" w:bidi="en-US"/>
        </w:rPr>
        <w:t>en regime collectiviste. Par N.</w:t>
      </w:r>
    </w:p>
    <w:p w:rsidR="00500724" w:rsidRDefault="00F30FB8">
      <w:pPr>
        <w:pStyle w:val="Zkladntext40"/>
        <w:shd w:val="clear" w:color="auto" w:fill="auto"/>
        <w:spacing w:after="0" w:line="170" w:lineRule="auto"/>
        <w:ind w:left="200" w:firstLine="20"/>
        <w:rPr>
          <w:sz w:val="16"/>
          <w:szCs w:val="16"/>
        </w:rPr>
      </w:pPr>
      <w:r>
        <w:rPr>
          <w:b/>
          <w:bCs/>
          <w:sz w:val="16"/>
          <w:szCs w:val="16"/>
          <w:lang w:val="en-US" w:eastAsia="en-US" w:bidi="en-US"/>
        </w:rPr>
        <w:t>G. PIERSON, Ludwig von MISES, Georg HALM,</w:t>
      </w:r>
    </w:p>
    <w:p w:rsidR="00500724" w:rsidRDefault="00F30FB8">
      <w:pPr>
        <w:pStyle w:val="Zkladntext40"/>
        <w:shd w:val="clear" w:color="auto" w:fill="auto"/>
        <w:tabs>
          <w:tab w:val="left" w:pos="3551"/>
        </w:tabs>
        <w:spacing w:after="0" w:line="170" w:lineRule="auto"/>
        <w:ind w:left="200" w:firstLine="20"/>
        <w:jc w:val="left"/>
        <w:rPr>
          <w:sz w:val="16"/>
          <w:szCs w:val="16"/>
        </w:rPr>
      </w:pPr>
      <w:r>
        <w:rPr>
          <w:b/>
          <w:bCs/>
          <w:sz w:val="16"/>
          <w:szCs w:val="16"/>
          <w:lang w:val="en-US" w:eastAsia="en-US" w:bidi="en-US"/>
        </w:rPr>
        <w:t xml:space="preserve">Enrico BARONE. Introduction de F. A. von HAYEK. 23X14.5 cm, 298 </w:t>
      </w:r>
      <w:r>
        <w:rPr>
          <w:b/>
          <w:bCs/>
          <w:sz w:val="16"/>
          <w:szCs w:val="16"/>
        </w:rPr>
        <w:t>stra.</w:t>
      </w:r>
      <w:r>
        <w:rPr>
          <w:b/>
          <w:bCs/>
          <w:sz w:val="16"/>
          <w:szCs w:val="16"/>
        </w:rPr>
        <w:tab/>
        <w:t xml:space="preserve">brož. </w:t>
      </w:r>
      <w:r>
        <w:rPr>
          <w:b/>
          <w:bCs/>
          <w:sz w:val="16"/>
          <w:szCs w:val="16"/>
          <w:lang w:val="en-US" w:eastAsia="en-US" w:bidi="en-US"/>
        </w:rPr>
        <w:t>K 36.—</w:t>
      </w:r>
    </w:p>
    <w:p w:rsidR="00500724" w:rsidRDefault="00F30FB8">
      <w:pPr>
        <w:pStyle w:val="Zkladntext40"/>
        <w:shd w:val="clear" w:color="auto" w:fill="auto"/>
        <w:spacing w:after="0" w:line="163" w:lineRule="auto"/>
        <w:ind w:right="720"/>
        <w:jc w:val="right"/>
        <w:rPr>
          <w:sz w:val="16"/>
          <w:szCs w:val="16"/>
        </w:rPr>
      </w:pPr>
      <w:r>
        <w:rPr>
          <w:b/>
          <w:bCs/>
          <w:sz w:val="16"/>
          <w:szCs w:val="16"/>
          <w:lang w:val="en-US" w:eastAsia="en-US" w:bidi="en-US"/>
        </w:rPr>
        <w:t>FRANK Dr. Hans, Rechtsgrundlegung des national- sozialistischen Fiihrerstaates. 22X15 cm, 56 str.,</w:t>
      </w:r>
    </w:p>
    <w:p w:rsidR="00500724" w:rsidRDefault="00F30FB8">
      <w:pPr>
        <w:pStyle w:val="Zkladntext40"/>
        <w:shd w:val="clear" w:color="auto" w:fill="auto"/>
        <w:spacing w:after="0" w:line="163" w:lineRule="auto"/>
        <w:jc w:val="right"/>
        <w:rPr>
          <w:sz w:val="16"/>
          <w:szCs w:val="16"/>
        </w:rPr>
      </w:pPr>
      <w:r>
        <w:rPr>
          <w:b/>
          <w:bCs/>
          <w:sz w:val="16"/>
          <w:szCs w:val="16"/>
        </w:rPr>
        <w:t xml:space="preserve">váz, </w:t>
      </w:r>
      <w:r>
        <w:rPr>
          <w:b/>
          <w:bCs/>
          <w:sz w:val="16"/>
          <w:szCs w:val="16"/>
          <w:lang w:val="en-US" w:eastAsia="en-US" w:bidi="en-US"/>
        </w:rPr>
        <w:t>K 24.—</w:t>
      </w:r>
    </w:p>
    <w:p w:rsidR="00500724" w:rsidRDefault="00F30FB8">
      <w:pPr>
        <w:pStyle w:val="Zkladntext40"/>
        <w:shd w:val="clear" w:color="auto" w:fill="auto"/>
        <w:spacing w:after="0" w:line="218" w:lineRule="auto"/>
        <w:jc w:val="left"/>
        <w:rPr>
          <w:sz w:val="16"/>
          <w:szCs w:val="16"/>
        </w:rPr>
      </w:pPr>
      <w:r>
        <w:rPr>
          <w:b/>
          <w:bCs/>
          <w:sz w:val="16"/>
          <w:szCs w:val="16"/>
          <w:lang w:val="en-US" w:eastAsia="en-US" w:bidi="en-US"/>
        </w:rPr>
        <w:t xml:space="preserve">ETTIGHOFFER P. C., So sah </w:t>
      </w:r>
      <w:r>
        <w:rPr>
          <w:b/>
          <w:bCs/>
          <w:sz w:val="16"/>
          <w:szCs w:val="16"/>
        </w:rPr>
        <w:t xml:space="preserve">leh Afrika. </w:t>
      </w:r>
      <w:r>
        <w:rPr>
          <w:b/>
          <w:bCs/>
          <w:sz w:val="16"/>
          <w:szCs w:val="16"/>
          <w:lang w:val="en-US" w:eastAsia="en-US" w:bidi="en-US"/>
        </w:rPr>
        <w:t>19 X12 cm,</w:t>
      </w:r>
    </w:p>
    <w:p w:rsidR="00500724" w:rsidRDefault="00F30FB8">
      <w:pPr>
        <w:pStyle w:val="Zkladntext40"/>
        <w:shd w:val="clear" w:color="auto" w:fill="auto"/>
        <w:spacing w:after="0" w:line="180" w:lineRule="auto"/>
        <w:ind w:left="200" w:firstLine="20"/>
        <w:rPr>
          <w:sz w:val="16"/>
          <w:szCs w:val="16"/>
        </w:rPr>
      </w:pPr>
      <w:r>
        <w:rPr>
          <w:b/>
          <w:bCs/>
          <w:sz w:val="16"/>
          <w:szCs w:val="16"/>
          <w:lang w:val="en-US" w:eastAsia="en-US" w:bidi="en-US"/>
        </w:rPr>
        <w:t xml:space="preserve">368 str., s </w:t>
      </w:r>
      <w:r>
        <w:rPr>
          <w:b/>
          <w:bCs/>
          <w:sz w:val="16"/>
          <w:szCs w:val="16"/>
        </w:rPr>
        <w:t>mnoha celostránkovými reprodukcemi,</w:t>
      </w:r>
    </w:p>
    <w:p w:rsidR="00500724" w:rsidRDefault="00F30FB8">
      <w:pPr>
        <w:pStyle w:val="Zkladntext40"/>
        <w:shd w:val="clear" w:color="auto" w:fill="auto"/>
        <w:spacing w:after="0" w:line="180" w:lineRule="auto"/>
        <w:jc w:val="right"/>
        <w:rPr>
          <w:sz w:val="16"/>
          <w:szCs w:val="16"/>
        </w:rPr>
      </w:pPr>
      <w:r>
        <w:rPr>
          <w:b/>
          <w:bCs/>
          <w:sz w:val="16"/>
          <w:szCs w:val="16"/>
        </w:rPr>
        <w:t>váz. K 48.—</w:t>
      </w:r>
    </w:p>
    <w:p w:rsidR="00500724" w:rsidRDefault="00F30FB8">
      <w:pPr>
        <w:spacing w:line="1" w:lineRule="exact"/>
        <w:rPr>
          <w:sz w:val="2"/>
          <w:szCs w:val="2"/>
        </w:rPr>
      </w:pPr>
      <w:r>
        <w:br w:type="column"/>
      </w:r>
    </w:p>
    <w:p w:rsidR="00500724" w:rsidRDefault="00F30FB8">
      <w:pPr>
        <w:pStyle w:val="Nadpis110"/>
        <w:pBdr>
          <w:top w:val="single" w:sz="4" w:space="0" w:color="auto"/>
        </w:pBdr>
        <w:shd w:val="clear" w:color="auto" w:fill="auto"/>
        <w:spacing w:after="40"/>
        <w:jc w:val="both"/>
      </w:pPr>
      <w:bookmarkStart w:id="276" w:name="bookmark275"/>
      <w:r>
        <w:t>MUDr. ZDENKA NEDVĚDOVÁ-NEJEDLÁ</w:t>
      </w:r>
      <w:bookmarkEnd w:id="276"/>
    </w:p>
    <w:p w:rsidR="00500724" w:rsidRDefault="00F30FB8">
      <w:pPr>
        <w:pStyle w:val="Zkladntext100"/>
        <w:shd w:val="clear" w:color="auto" w:fill="auto"/>
        <w:spacing w:after="220" w:line="178" w:lineRule="auto"/>
        <w:ind w:firstLine="0"/>
      </w:pPr>
      <w:r>
        <w:t xml:space="preserve">odb. dětská lékařka, PODOLÍ, PANKRÁCKÁ 14 (stanice elektr. </w:t>
      </w:r>
      <w:r>
        <w:rPr>
          <w:u w:val="single"/>
        </w:rPr>
        <w:t>dráhy za Podol, sanatoriem). Ord. 9—10 a 2—4. Tel. 441-77.</w:t>
      </w:r>
    </w:p>
    <w:p w:rsidR="00500724" w:rsidRDefault="00F30FB8">
      <w:pPr>
        <w:pStyle w:val="Zkladntext100"/>
        <w:shd w:val="clear" w:color="auto" w:fill="auto"/>
        <w:spacing w:after="40" w:line="137"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200" w:line="168" w:lineRule="auto"/>
        <w:ind w:firstLine="0"/>
      </w:pPr>
      <w:r>
        <w:t>ord. 3—4 (a podle úmluvy). Telefon 393-79. PRAHA H., VO</w:t>
      </w:r>
      <w:r>
        <w:softHyphen/>
      </w:r>
      <w:r>
        <w:rPr>
          <w:u w:val="single"/>
        </w:rPr>
        <w:t>DIČKOVA 15. (Hlávkův palác.)</w:t>
      </w:r>
    </w:p>
    <w:p w:rsidR="00500724" w:rsidRDefault="00F30FB8">
      <w:pPr>
        <w:pStyle w:val="Zkladntext100"/>
        <w:shd w:val="clear" w:color="auto" w:fill="auto"/>
        <w:spacing w:after="200" w:line="194" w:lineRule="auto"/>
        <w:ind w:firstLine="0"/>
      </w:pPr>
      <w:r>
        <w:rPr>
          <w:rFonts w:ascii="Arial" w:eastAsia="Arial" w:hAnsi="Arial" w:cs="Arial"/>
          <w:b/>
          <w:bCs/>
          <w:sz w:val="22"/>
          <w:szCs w:val="22"/>
        </w:rPr>
        <w:t>MUDr. ST</w:t>
      </w:r>
      <w:r>
        <w:rPr>
          <w:rFonts w:ascii="Arial" w:eastAsia="Arial" w:hAnsi="Arial" w:cs="Arial"/>
          <w:b/>
          <w:bCs/>
          <w:sz w:val="22"/>
          <w:szCs w:val="22"/>
        </w:rPr>
        <w:t xml:space="preserve">ANISLAV TUMPACH </w:t>
      </w:r>
      <w:r>
        <w:rPr>
          <w:b/>
          <w:bCs/>
        </w:rPr>
        <w:t>odborný lékař pro chirurgii a urologii. PRAHA XH., Fochova 84 (Nám. krále Jiřího). Ord. 15—17. Tel. 512-86, byt: 513-38.</w:t>
      </w:r>
    </w:p>
    <w:p w:rsidR="00500724" w:rsidRDefault="00F30FB8">
      <w:pPr>
        <w:pStyle w:val="Nadpis110"/>
        <w:pBdr>
          <w:top w:val="single" w:sz="4" w:space="0" w:color="auto"/>
        </w:pBdr>
        <w:shd w:val="clear" w:color="auto" w:fill="auto"/>
        <w:spacing w:after="40"/>
        <w:jc w:val="both"/>
      </w:pPr>
      <w:bookmarkStart w:id="277" w:name="bookmark276"/>
      <w:r>
        <w:t>MUDr. EMIL VOGL</w:t>
      </w:r>
      <w:bookmarkEnd w:id="277"/>
    </w:p>
    <w:p w:rsidR="00500724" w:rsidRDefault="00F30FB8">
      <w:pPr>
        <w:pStyle w:val="Zkladntext100"/>
        <w:shd w:val="clear" w:color="auto" w:fill="auto"/>
        <w:spacing w:after="340" w:line="173" w:lineRule="auto"/>
        <w:ind w:firstLine="0"/>
      </w:pPr>
      <w:r>
        <w:t xml:space="preserve">odborný lékař pro nemoci vnitřní, Praha H„ LÚTZOWOVA </w:t>
      </w:r>
      <w:r>
        <w:rPr>
          <w:u w:val="single"/>
        </w:rPr>
        <w:t>32, roh Washingtonovy. Ord. 9—11. 2—4. Telefon 226</w:t>
      </w:r>
      <w:r>
        <w:rPr>
          <w:u w:val="single"/>
        </w:rPr>
        <w:t>-65.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jc w:val="center"/>
      </w:pPr>
      <w:bookmarkStart w:id="278" w:name="bookmark277"/>
      <w:r>
        <w:rPr>
          <w:color w:val="FFFFFF"/>
        </w:rPr>
        <w:t>VAS VKUS I NÁROKY USPOKOJÍ</w:t>
      </w:r>
      <w:bookmarkEnd w:id="278"/>
    </w:p>
    <w:tbl>
      <w:tblPr>
        <w:tblOverlap w:val="never"/>
        <w:tblW w:w="0" w:type="auto"/>
        <w:jc w:val="center"/>
        <w:tblLayout w:type="fixed"/>
        <w:tblCellMar>
          <w:left w:w="10" w:type="dxa"/>
          <w:right w:w="10" w:type="dxa"/>
        </w:tblCellMar>
        <w:tblLook w:val="04A0" w:firstRow="1" w:lastRow="0" w:firstColumn="1" w:lastColumn="0" w:noHBand="0" w:noVBand="1"/>
      </w:tblPr>
      <w:tblGrid>
        <w:gridCol w:w="2462"/>
        <w:gridCol w:w="2568"/>
      </w:tblGrid>
      <w:tr w:rsidR="00500724">
        <w:tblPrEx>
          <w:tblCellMar>
            <w:top w:w="0" w:type="dxa"/>
            <w:bottom w:w="0" w:type="dxa"/>
          </w:tblCellMar>
        </w:tblPrEx>
        <w:trPr>
          <w:trHeight w:hRule="exact" w:val="446"/>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firstLine="0"/>
              <w:jc w:val="right"/>
              <w:rPr>
                <w:sz w:val="26"/>
                <w:szCs w:val="26"/>
              </w:rPr>
            </w:pPr>
            <w:r>
              <w:rPr>
                <w:rFonts w:ascii="Arial" w:eastAsia="Arial" w:hAnsi="Arial" w:cs="Arial"/>
                <w:b/>
                <w:bCs/>
                <w:sz w:val="26"/>
                <w:szCs w:val="26"/>
              </w:rPr>
              <w:t>KRAUS</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firstLine="0"/>
              <w:jc w:val="left"/>
              <w:rPr>
                <w:sz w:val="26"/>
                <w:szCs w:val="26"/>
              </w:rPr>
            </w:pPr>
            <w:r>
              <w:rPr>
                <w:rFonts w:ascii="Arial" w:eastAsia="Arial" w:hAnsi="Arial" w:cs="Arial"/>
                <w:b/>
                <w:bCs/>
                <w:sz w:val="26"/>
                <w:szCs w:val="26"/>
              </w:rPr>
              <w:t>&amp; S P O L.</w:t>
            </w:r>
          </w:p>
        </w:tc>
      </w:tr>
      <w:tr w:rsidR="00500724">
        <w:tblPrEx>
          <w:tblCellMar>
            <w:top w:w="0" w:type="dxa"/>
            <w:bottom w:w="0" w:type="dxa"/>
          </w:tblCellMar>
        </w:tblPrEx>
        <w:trPr>
          <w:trHeight w:hRule="exact" w:val="259"/>
          <w:jc w:val="center"/>
        </w:trPr>
        <w:tc>
          <w:tcPr>
            <w:tcW w:w="0" w:type="auto"/>
            <w:gridSpan w:val="2"/>
            <w:tcBorders>
              <w:left w:val="single" w:sz="4" w:space="0" w:color="auto"/>
              <w:right w:val="single" w:sz="4" w:space="0" w:color="auto"/>
            </w:tcBorders>
            <w:shd w:val="clear" w:color="auto" w:fill="FFFFFF"/>
            <w:vAlign w:val="bottom"/>
          </w:tcPr>
          <w:p w:rsidR="00500724" w:rsidRDefault="00F30FB8">
            <w:pPr>
              <w:pStyle w:val="Jin0"/>
              <w:shd w:val="clear" w:color="auto" w:fill="auto"/>
              <w:ind w:firstLine="0"/>
              <w:jc w:val="center"/>
              <w:rPr>
                <w:sz w:val="22"/>
                <w:szCs w:val="22"/>
              </w:rPr>
            </w:pPr>
            <w:r>
              <w:rPr>
                <w:b/>
                <w:bCs/>
                <w:sz w:val="22"/>
                <w:szCs w:val="22"/>
              </w:rPr>
              <w:t>krejčí pro pány a dámy</w:t>
            </w:r>
          </w:p>
        </w:tc>
      </w:tr>
      <w:tr w:rsidR="00500724">
        <w:tblPrEx>
          <w:tblCellMar>
            <w:top w:w="0" w:type="dxa"/>
            <w:bottom w:w="0" w:type="dxa"/>
          </w:tblCellMar>
        </w:tblPrEx>
        <w:trPr>
          <w:trHeight w:hRule="exact" w:val="216"/>
          <w:jc w:val="center"/>
        </w:trPr>
        <w:tc>
          <w:tcPr>
            <w:tcW w:w="0" w:type="auto"/>
            <w:tcBorders>
              <w:left w:val="single" w:sz="4" w:space="0" w:color="auto"/>
            </w:tcBorders>
            <w:shd w:val="clear" w:color="auto" w:fill="FFFFFF"/>
          </w:tcPr>
          <w:p w:rsidR="00500724" w:rsidRDefault="00500724">
            <w:pPr>
              <w:rPr>
                <w:sz w:val="10"/>
                <w:szCs w:val="10"/>
              </w:rPr>
            </w:pPr>
          </w:p>
        </w:tc>
        <w:tc>
          <w:tcPr>
            <w:tcW w:w="0" w:type="auto"/>
            <w:tcBorders>
              <w:right w:val="single" w:sz="4" w:space="0" w:color="auto"/>
            </w:tcBorders>
            <w:shd w:val="clear" w:color="auto" w:fill="FFFFFF"/>
            <w:vAlign w:val="bottom"/>
          </w:tcPr>
          <w:p w:rsidR="00500724" w:rsidRDefault="00F30FB8">
            <w:pPr>
              <w:pStyle w:val="Jin0"/>
              <w:shd w:val="clear" w:color="auto" w:fill="auto"/>
              <w:ind w:right="140" w:firstLine="0"/>
              <w:jc w:val="right"/>
              <w:rPr>
                <w:sz w:val="22"/>
                <w:szCs w:val="22"/>
              </w:rPr>
            </w:pPr>
            <w:r>
              <w:rPr>
                <w:b/>
                <w:bCs/>
                <w:sz w:val="22"/>
                <w:szCs w:val="22"/>
              </w:rPr>
              <w:t>PRAHA n.,</w:t>
            </w:r>
          </w:p>
        </w:tc>
      </w:tr>
      <w:tr w:rsidR="00500724">
        <w:tblPrEx>
          <w:tblCellMar>
            <w:top w:w="0" w:type="dxa"/>
            <w:bottom w:w="0" w:type="dxa"/>
          </w:tblCellMar>
        </w:tblPrEx>
        <w:trPr>
          <w:trHeight w:hRule="exact" w:val="269"/>
          <w:jc w:val="center"/>
        </w:trPr>
        <w:tc>
          <w:tcPr>
            <w:tcW w:w="0" w:type="auto"/>
            <w:tcBorders>
              <w:left w:val="single" w:sz="4" w:space="0" w:color="auto"/>
              <w:bottom w:val="single" w:sz="4" w:space="0" w:color="auto"/>
            </w:tcBorders>
            <w:shd w:val="clear" w:color="auto" w:fill="FFFFFF"/>
          </w:tcPr>
          <w:p w:rsidR="00500724" w:rsidRDefault="00F30FB8">
            <w:pPr>
              <w:pStyle w:val="Jin0"/>
              <w:shd w:val="clear" w:color="auto" w:fill="auto"/>
              <w:ind w:firstLine="0"/>
              <w:jc w:val="left"/>
              <w:rPr>
                <w:sz w:val="20"/>
                <w:szCs w:val="20"/>
              </w:rPr>
            </w:pPr>
            <w:r>
              <w:rPr>
                <w:sz w:val="20"/>
                <w:szCs w:val="20"/>
              </w:rPr>
              <w:t>Telefon 309-69</w:t>
            </w:r>
          </w:p>
        </w:tc>
        <w:tc>
          <w:tcPr>
            <w:tcW w:w="0" w:type="auto"/>
            <w:tcBorders>
              <w:bottom w:val="single" w:sz="4" w:space="0" w:color="auto"/>
              <w:right w:val="single" w:sz="4" w:space="0" w:color="auto"/>
            </w:tcBorders>
            <w:shd w:val="clear" w:color="auto" w:fill="FFFFFF"/>
          </w:tcPr>
          <w:p w:rsidR="00500724" w:rsidRDefault="00F30FB8">
            <w:pPr>
              <w:pStyle w:val="Jin0"/>
              <w:shd w:val="clear" w:color="auto" w:fill="auto"/>
              <w:ind w:right="140" w:firstLine="0"/>
              <w:jc w:val="right"/>
              <w:rPr>
                <w:sz w:val="20"/>
                <w:szCs w:val="20"/>
              </w:rPr>
            </w:pPr>
            <w:r>
              <w:rPr>
                <w:sz w:val="20"/>
                <w:szCs w:val="20"/>
              </w:rPr>
              <w:t>Panská ul. 10</w:t>
            </w:r>
          </w:p>
        </w:tc>
      </w:tr>
    </w:tbl>
    <w:p w:rsidR="00500724" w:rsidRDefault="00500724">
      <w:pPr>
        <w:spacing w:line="14" w:lineRule="exact"/>
        <w:sectPr w:rsidR="00500724">
          <w:footnotePr>
            <w:numFmt w:val="chicago"/>
            <w:numRestart w:val="eachPage"/>
          </w:footnotePr>
          <w:type w:val="continuous"/>
          <w:pgSz w:w="11909" w:h="16834"/>
          <w:pgMar w:top="1078" w:right="1207" w:bottom="633" w:left="502" w:header="0" w:footer="3" w:gutter="0"/>
          <w:cols w:num="2" w:sep="1" w:space="100"/>
          <w:noEndnote/>
          <w:docGrid w:linePitch="360"/>
        </w:sectPr>
      </w:pPr>
    </w:p>
    <w:p w:rsidR="00500724" w:rsidRDefault="00F30FB8">
      <w:pPr>
        <w:spacing w:line="14" w:lineRule="exact"/>
      </w:pPr>
      <w:r>
        <w:rPr>
          <w:noProof/>
        </w:rPr>
        <mc:AlternateContent>
          <mc:Choice Requires="wps">
            <w:drawing>
              <wp:anchor distT="800100" distB="3061335" distL="1433830" distR="1129030" simplePos="0" relativeHeight="125829658" behindDoc="0" locked="0" layoutInCell="1" allowOverlap="1">
                <wp:simplePos x="0" y="0"/>
                <wp:positionH relativeFrom="page">
                  <wp:posOffset>1428115</wp:posOffset>
                </wp:positionH>
                <wp:positionV relativeFrom="paragraph">
                  <wp:posOffset>1786255</wp:posOffset>
                </wp:positionV>
                <wp:extent cx="4401185" cy="21336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4401185" cy="213360"/>
                        </a:xfrm>
                        <a:prstGeom prst="rect">
                          <a:avLst/>
                        </a:prstGeom>
                        <a:noFill/>
                      </wps:spPr>
                      <wps:txbx>
                        <w:txbxContent>
                          <w:p w:rsidR="00500724" w:rsidRDefault="00F30FB8">
                            <w:pPr>
                              <w:pStyle w:val="Zkladntext100"/>
                              <w:shd w:val="clear" w:color="auto" w:fill="auto"/>
                              <w:tabs>
                                <w:tab w:val="left" w:pos="2822"/>
                              </w:tabs>
                              <w:spacing w:before="80" w:line="240" w:lineRule="auto"/>
                              <w:ind w:firstLine="0"/>
                            </w:pPr>
                            <w:r>
                              <w:rPr>
                                <w:rFonts w:ascii="Arial" w:eastAsia="Arial" w:hAnsi="Arial" w:cs="Arial"/>
                                <w:i/>
                                <w:iCs/>
                                <w:sz w:val="14"/>
                                <w:szCs w:val="14"/>
                              </w:rPr>
                              <w:t>m</w:t>
                            </w:r>
                            <w:r>
                              <w:rPr>
                                <w:rFonts w:ascii="Arial" w:eastAsia="Arial" w:hAnsi="Arial" w:cs="Arial"/>
                                <w:i/>
                                <w:iCs/>
                                <w:sz w:val="14"/>
                                <w:szCs w:val="14"/>
                              </w:rPr>
                              <w:tab/>
                            </w:r>
                            <w:r>
                              <w:rPr>
                                <w:rFonts w:ascii="Arial" w:eastAsia="Arial" w:hAnsi="Arial" w:cs="Arial"/>
                                <w:b/>
                                <w:bCs/>
                                <w:smallCaps/>
                                <w:sz w:val="13"/>
                                <w:szCs w:val="13"/>
                              </w:rPr>
                              <w:t>ii</w:t>
                            </w:r>
                            <w:r>
                              <w:rPr>
                                <w:b/>
                                <w:bCs/>
                              </w:rPr>
                              <w:t xml:space="preserve"> nnc wwrriKř V Pnrfl tlblčícb</w:t>
                            </w:r>
                          </w:p>
                        </w:txbxContent>
                      </wps:txbx>
                      <wps:bodyPr lIns="0" tIns="0" rIns="0" bIns="0">
                        <a:spAutoFit/>
                      </wps:bodyPr>
                    </wps:wsp>
                  </a:graphicData>
                </a:graphic>
              </wp:anchor>
            </w:drawing>
          </mc:Choice>
          <mc:Fallback>
            <w:pict>
              <v:shape id="_x0000_s1307" type="#_x0000_t202" style="position:absolute;margin-left:112.45pt;margin-top:140.65000000000001pt;width:346.55000000000001pt;height:16.800000000000001pt;z-index:-125829095;mso-wrap-distance-left:112.90000000000001pt;mso-wrap-distance-top:63.pt;mso-wrap-distance-right:88.900000000000006pt;mso-wrap-distance-bottom:241.05000000000001pt;mso-position-horizontal-relative:page" filled="f" stroked="f">
                <v:textbox style="mso-fit-shape-to-text:t" inset="0,0,0,0">
                  <w:txbxContent>
                    <w:p>
                      <w:pPr>
                        <w:pStyle w:val="Style344"/>
                        <w:keepNext w:val="0"/>
                        <w:keepLines w:val="0"/>
                        <w:widowControl w:val="0"/>
                        <w:shd w:val="clear" w:color="auto" w:fill="auto"/>
                        <w:tabs>
                          <w:tab w:pos="2822" w:val="left"/>
                        </w:tabs>
                        <w:bidi w:val="0"/>
                        <w:spacing w:before="80" w:after="0" w:line="240" w:lineRule="auto"/>
                        <w:ind w:left="0" w:right="0" w:firstLine="0"/>
                      </w:pPr>
                      <w:r>
                        <w:rPr>
                          <w:rFonts w:ascii="Arial" w:eastAsia="Arial" w:hAnsi="Arial" w:cs="Arial"/>
                          <w:i/>
                          <w:iCs/>
                          <w:color w:val="000000"/>
                          <w:spacing w:val="0"/>
                          <w:w w:val="100"/>
                          <w:position w:val="0"/>
                          <w:sz w:val="14"/>
                          <w:szCs w:val="14"/>
                          <w:shd w:val="clear" w:color="auto" w:fill="auto"/>
                          <w:lang w:val="cs-CZ" w:eastAsia="cs-CZ" w:bidi="cs-CZ"/>
                        </w:rPr>
                        <w:t>m</w:t>
                        <w:tab/>
                      </w:r>
                      <w:r>
                        <w:rPr>
                          <w:rFonts w:ascii="Arial" w:eastAsia="Arial" w:hAnsi="Arial" w:cs="Arial"/>
                          <w:b/>
                          <w:bCs/>
                          <w:smallCaps/>
                          <w:color w:val="000000"/>
                          <w:spacing w:val="0"/>
                          <w:w w:val="100"/>
                          <w:position w:val="0"/>
                          <w:sz w:val="13"/>
                          <w:szCs w:val="13"/>
                          <w:shd w:val="clear" w:color="auto" w:fill="auto"/>
                          <w:lang w:val="cs-CZ" w:eastAsia="cs-CZ" w:bidi="cs-CZ"/>
                        </w:rPr>
                        <w:t>ii</w:t>
                      </w:r>
                      <w:r>
                        <w:rPr>
                          <w:b/>
                          <w:bCs/>
                          <w:color w:val="000000"/>
                          <w:spacing w:val="0"/>
                          <w:w w:val="100"/>
                          <w:position w:val="0"/>
                          <w:sz w:val="18"/>
                          <w:szCs w:val="18"/>
                          <w:shd w:val="clear" w:color="auto" w:fill="auto"/>
                          <w:lang w:val="cs-CZ" w:eastAsia="cs-CZ" w:bidi="cs-CZ"/>
                        </w:rPr>
                        <w:t xml:space="preserve"> nnc wwrriKř V Pnrfl tlblčícb</w:t>
                      </w:r>
                    </w:p>
                  </w:txbxContent>
                </v:textbox>
                <w10:wrap type="topAndBottom" anchorx="page"/>
              </v:shape>
            </w:pict>
          </mc:Fallback>
        </mc:AlternateContent>
      </w:r>
      <w:r>
        <w:rPr>
          <w:noProof/>
        </w:rPr>
        <mc:AlternateContent>
          <mc:Choice Requires="wps">
            <w:drawing>
              <wp:anchor distT="1266190" distB="2634615" distL="114300" distR="114300" simplePos="0" relativeHeight="125829660" behindDoc="0" locked="0" layoutInCell="1" allowOverlap="1">
                <wp:simplePos x="0" y="0"/>
                <wp:positionH relativeFrom="page">
                  <wp:posOffset>107950</wp:posOffset>
                </wp:positionH>
                <wp:positionV relativeFrom="paragraph">
                  <wp:posOffset>2252345</wp:posOffset>
                </wp:positionV>
                <wp:extent cx="6736080" cy="17399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6736080" cy="173990"/>
                        </a:xfrm>
                        <a:prstGeom prst="rect">
                          <a:avLst/>
                        </a:prstGeom>
                        <a:noFill/>
                      </wps:spPr>
                      <wps:txbx>
                        <w:txbxContent>
                          <w:p w:rsidR="00500724" w:rsidRDefault="00F30FB8">
                            <w:pPr>
                              <w:pStyle w:val="Zkladntext100"/>
                              <w:shd w:val="clear" w:color="auto" w:fill="auto"/>
                              <w:spacing w:line="240" w:lineRule="auto"/>
                              <w:ind w:firstLine="0"/>
                              <w:jc w:val="left"/>
                              <w:rPr>
                                <w:sz w:val="19"/>
                                <w:szCs w:val="19"/>
                              </w:rPr>
                            </w:pPr>
                            <w:r>
                              <w:rPr>
                                <w:b/>
                                <w:bCs/>
                                <w:sz w:val="20"/>
                                <w:szCs w:val="20"/>
                              </w:rPr>
                              <w:t xml:space="preserve">OBSAH PŘÍTOMNOSTI C. </w:t>
                            </w:r>
                            <w:r>
                              <w:rPr>
                                <w:b/>
                                <w:bCs/>
                                <w:sz w:val="19"/>
                                <w:szCs w:val="19"/>
                              </w:rPr>
                              <w:t xml:space="preserve">11: Místo úvodníku. — PAVEL HOFMAN: Jak vzniká </w:t>
                            </w:r>
                            <w:r>
                              <w:rPr>
                                <w:b/>
                                <w:bCs/>
                                <w:sz w:val="19"/>
                                <w:szCs w:val="19"/>
                              </w:rPr>
                              <w:t>národní umění. — FRANTIŠEK</w:t>
                            </w:r>
                          </w:p>
                        </w:txbxContent>
                      </wps:txbx>
                      <wps:bodyPr lIns="0" tIns="0" rIns="0" bIns="0">
                        <a:spAutoFit/>
                      </wps:bodyPr>
                    </wps:wsp>
                  </a:graphicData>
                </a:graphic>
              </wp:anchor>
            </w:drawing>
          </mc:Choice>
          <mc:Fallback>
            <w:pict>
              <v:shape id="_x0000_s1309" type="#_x0000_t202" style="position:absolute;margin-left:8.5pt;margin-top:177.34999999999999pt;width:530.39999999999998pt;height:13.699999999999999pt;z-index:-125829093;mso-wrap-distance-left:9.pt;mso-wrap-distance-top:99.700000000000003pt;mso-wrap-distance-right:9.pt;mso-wrap-distance-bottom:207.44999999999999pt;mso-position-horizontal-relative:page"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rPr>
                          <w:sz w:val="19"/>
                          <w:szCs w:val="19"/>
                        </w:rPr>
                      </w:pPr>
                      <w:r>
                        <w:rPr>
                          <w:b/>
                          <w:bCs/>
                          <w:color w:val="000000"/>
                          <w:spacing w:val="0"/>
                          <w:w w:val="100"/>
                          <w:position w:val="0"/>
                          <w:sz w:val="20"/>
                          <w:szCs w:val="20"/>
                          <w:shd w:val="clear" w:color="auto" w:fill="auto"/>
                          <w:lang w:val="cs-CZ" w:eastAsia="cs-CZ" w:bidi="cs-CZ"/>
                        </w:rPr>
                        <w:t xml:space="preserve">OBSAH PŘÍTOMNOSTI C. </w:t>
                      </w:r>
                      <w:r>
                        <w:rPr>
                          <w:b/>
                          <w:bCs/>
                          <w:color w:val="000000"/>
                          <w:spacing w:val="0"/>
                          <w:w w:val="100"/>
                          <w:position w:val="0"/>
                          <w:sz w:val="19"/>
                          <w:szCs w:val="19"/>
                          <w:shd w:val="clear" w:color="auto" w:fill="auto"/>
                          <w:lang w:val="cs-CZ" w:eastAsia="cs-CZ" w:bidi="cs-CZ"/>
                        </w:rPr>
                        <w:t>11: Místo úvodníku. — PAVEL HOFMAN: Jak vzniká národní umění. — FRANTIŠEK</w:t>
                      </w:r>
                    </w:p>
                  </w:txbxContent>
                </v:textbox>
                <w10:wrap type="topAndBottom" anchorx="page"/>
              </v:shape>
            </w:pict>
          </mc:Fallback>
        </mc:AlternateContent>
      </w:r>
      <w:r>
        <w:rPr>
          <w:noProof/>
        </w:rPr>
        <mc:AlternateContent>
          <mc:Choice Requires="wps">
            <w:drawing>
              <wp:anchor distT="1470660" distB="1835785" distL="397510" distR="147955" simplePos="0" relativeHeight="125829662" behindDoc="0" locked="0" layoutInCell="1" allowOverlap="1">
                <wp:simplePos x="0" y="0"/>
                <wp:positionH relativeFrom="page">
                  <wp:posOffset>391795</wp:posOffset>
                </wp:positionH>
                <wp:positionV relativeFrom="paragraph">
                  <wp:posOffset>2456815</wp:posOffset>
                </wp:positionV>
                <wp:extent cx="6419215" cy="76835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6419215" cy="768350"/>
                        </a:xfrm>
                        <a:prstGeom prst="rect">
                          <a:avLst/>
                        </a:prstGeom>
                        <a:noFill/>
                      </wps:spPr>
                      <wps:txbx>
                        <w:txbxContent>
                          <w:p w:rsidR="00500724" w:rsidRDefault="00F30FB8">
                            <w:pPr>
                              <w:pStyle w:val="Zkladntext100"/>
                              <w:pBdr>
                                <w:bottom w:val="single" w:sz="4" w:space="0" w:color="auto"/>
                              </w:pBdr>
                              <w:shd w:val="clear" w:color="auto" w:fill="auto"/>
                              <w:spacing w:line="322" w:lineRule="auto"/>
                              <w:ind w:firstLine="0"/>
                              <w:rPr>
                                <w:sz w:val="19"/>
                                <w:szCs w:val="19"/>
                              </w:rPr>
                            </w:pPr>
                            <w:r>
                              <w:rPr>
                                <w:b/>
                                <w:bCs/>
                                <w:sz w:val="19"/>
                                <w:szCs w:val="19"/>
                              </w:rPr>
                              <w:t xml:space="preserve">NOVOTNÝ: Zatarasený svět. — JOSEF WECHSBERG: Visum do Ameriky. — B. AXMAN: Co je svatováclavská tradice. — V. PETRŽILKA: Výzkumnictví a jeho význam pro náš hospodářský život. — Čtvrt roku Beranovy vlády. Neprodávejte </w:t>
                            </w:r>
                            <w:r>
                              <w:rPr>
                                <w:b/>
                                <w:bCs/>
                                <w:sz w:val="19"/>
                                <w:szCs w:val="19"/>
                              </w:rPr>
                              <w:t>lehkomyslně akcie. — Neotřesená Živnobanka. — Omyl. — Z dopisů nejnovějších emigrantů. — Proč o Gionovi? — Bývalý čtenář Přítomnosti. — Aféry kolem habilitačních práci.</w:t>
                            </w:r>
                          </w:p>
                        </w:txbxContent>
                      </wps:txbx>
                      <wps:bodyPr lIns="0" tIns="0" rIns="0" bIns="0">
                        <a:spAutoFit/>
                      </wps:bodyPr>
                    </wps:wsp>
                  </a:graphicData>
                </a:graphic>
              </wp:anchor>
            </w:drawing>
          </mc:Choice>
          <mc:Fallback>
            <w:pict>
              <v:shape id="_x0000_s1311" type="#_x0000_t202" style="position:absolute;margin-left:30.850000000000001pt;margin-top:193.44999999999999pt;width:505.44999999999999pt;height:60.5pt;z-index:-125829091;mso-wrap-distance-left:31.300000000000001pt;mso-wrap-distance-top:115.8pt;mso-wrap-distance-right:11.65pt;mso-wrap-distance-bottom:144.55000000000001pt;mso-position-horizontal-relative:page" filled="f" stroked="f">
                <v:textbox style="mso-fit-shape-to-text:t" inset="0,0,0,0">
                  <w:txbxContent>
                    <w:p>
                      <w:pPr>
                        <w:pStyle w:val="Style344"/>
                        <w:keepNext w:val="0"/>
                        <w:keepLines w:val="0"/>
                        <w:widowControl w:val="0"/>
                        <w:pBdr>
                          <w:bottom w:val="single" w:sz="4" w:space="0" w:color="auto"/>
                        </w:pBdr>
                        <w:shd w:val="clear" w:color="auto" w:fill="auto"/>
                        <w:bidi w:val="0"/>
                        <w:spacing w:before="0" w:after="0" w:line="322" w:lineRule="auto"/>
                        <w:ind w:left="0" w:right="0" w:firstLine="0"/>
                        <w:rPr>
                          <w:sz w:val="19"/>
                          <w:szCs w:val="19"/>
                        </w:rPr>
                      </w:pPr>
                      <w:r>
                        <w:rPr>
                          <w:b/>
                          <w:bCs/>
                          <w:color w:val="000000"/>
                          <w:spacing w:val="0"/>
                          <w:w w:val="100"/>
                          <w:position w:val="0"/>
                          <w:sz w:val="19"/>
                          <w:szCs w:val="19"/>
                          <w:shd w:val="clear" w:color="auto" w:fill="auto"/>
                          <w:lang w:val="cs-CZ" w:eastAsia="cs-CZ" w:bidi="cs-CZ"/>
                        </w:rPr>
                        <w:t>NOVOTNÝ: Zatarasený svět. — JOSEF WECHSBERG: Visum do Ameriky. — B. AXMAN: Co je svatováclavská tradice. — V. PETRŽILKA: Výzkumnictví a jeho význam pro náš hospodářský život. — Čtvrt roku Beranovy vlády. Neprodávejte lehkomyslně akcie. — Neotřesená Živnobanka. — Omyl. — Z dopisů nejnovějších emigrantů. — Proč o Gionovi? — Bývalý čtenář Přítomnosti. — Aféry kolem habilitačních práci.</w:t>
                      </w:r>
                    </w:p>
                  </w:txbxContent>
                </v:textbox>
                <w10:wrap type="topAndBottom" anchorx="page"/>
              </v:shape>
            </w:pict>
          </mc:Fallback>
        </mc:AlternateContent>
      </w:r>
      <w:r>
        <w:rPr>
          <w:noProof/>
        </w:rPr>
        <mc:AlternateContent>
          <mc:Choice Requires="wps">
            <w:drawing>
              <wp:anchor distT="2485390" distB="887730" distL="220980" distR="4037330" simplePos="0" relativeHeight="125829664" behindDoc="0" locked="0" layoutInCell="1" allowOverlap="1">
                <wp:simplePos x="0" y="0"/>
                <wp:positionH relativeFrom="page">
                  <wp:posOffset>214630</wp:posOffset>
                </wp:positionH>
                <wp:positionV relativeFrom="paragraph">
                  <wp:posOffset>3471545</wp:posOffset>
                </wp:positionV>
                <wp:extent cx="2706370" cy="701040"/>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2706370" cy="701040"/>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u w:val="single"/>
                              </w:rPr>
                              <w:t>Přítomnosti</w:t>
                            </w:r>
                          </w:p>
                        </w:txbxContent>
                      </wps:txbx>
                      <wps:bodyPr lIns="0" tIns="0" rIns="0" bIns="0">
                        <a:spAutoFit/>
                      </wps:bodyPr>
                    </wps:wsp>
                  </a:graphicData>
                </a:graphic>
              </wp:anchor>
            </w:drawing>
          </mc:Choice>
          <mc:Fallback>
            <w:pict>
              <v:shape id="_x0000_s1313" type="#_x0000_t202" style="position:absolute;margin-left:16.899999999999999pt;margin-top:273.35000000000002pt;width:213.09999999999999pt;height:55.200000000000003pt;z-index:-125829089;mso-wrap-distance-left:17.399999999999999pt;mso-wrap-distance-top:195.69999999999999pt;mso-wrap-distance-right:317.89999999999998pt;mso-wrap-distance-bottom:69.900000000000006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u w:val="single"/>
                          <w:shd w:val="clear" w:color="auto" w:fill="auto"/>
                          <w:lang w:val="cs-CZ" w:eastAsia="cs-CZ" w:bidi="cs-CZ"/>
                        </w:rPr>
                        <w:t>Přítomnosti</w:t>
                      </w:r>
                    </w:p>
                  </w:txbxContent>
                </v:textbox>
                <w10:wrap type="topAndBottom" anchorx="page"/>
              </v:shape>
            </w:pict>
          </mc:Fallback>
        </mc:AlternateContent>
      </w:r>
      <w:r>
        <w:rPr>
          <w:noProof/>
        </w:rPr>
        <mc:AlternateContent>
          <mc:Choice Requires="wps">
            <w:drawing>
              <wp:anchor distT="3360420" distB="394335" distL="248285" distR="4015740" simplePos="0" relativeHeight="125829666" behindDoc="0" locked="0" layoutInCell="1" allowOverlap="1">
                <wp:simplePos x="0" y="0"/>
                <wp:positionH relativeFrom="page">
                  <wp:posOffset>242570</wp:posOffset>
                </wp:positionH>
                <wp:positionV relativeFrom="paragraph">
                  <wp:posOffset>4346575</wp:posOffset>
                </wp:positionV>
                <wp:extent cx="2700655" cy="32004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2700655" cy="32004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u w:val="single"/>
                              </w:rPr>
                              <w:t>řídí Ferd. Peroutka</w:t>
                            </w:r>
                          </w:p>
                        </w:txbxContent>
                      </wps:txbx>
                      <wps:bodyPr lIns="0" tIns="0" rIns="0" bIns="0">
                        <a:spAutoFit/>
                      </wps:bodyPr>
                    </wps:wsp>
                  </a:graphicData>
                </a:graphic>
              </wp:anchor>
            </w:drawing>
          </mc:Choice>
          <mc:Fallback>
            <w:pict>
              <v:shape id="_x0000_s1315" type="#_x0000_t202" style="position:absolute;margin-left:19.100000000000001pt;margin-top:342.25pt;width:212.65000000000001pt;height:25.199999999999999pt;z-index:-125829087;mso-wrap-distance-left:19.550000000000001pt;mso-wrap-distance-top:264.60000000000002pt;mso-wrap-distance-right:316.19999999999999pt;mso-wrap-distance-bottom:31.050000000000001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u w:val="single"/>
                          <w:shd w:val="clear" w:color="auto" w:fill="auto"/>
                          <w:lang w:val="cs-CZ" w:eastAsia="cs-CZ" w:bidi="cs-CZ"/>
                        </w:rPr>
                        <w:t>řídí Ferd. Peroutka</w:t>
                      </w:r>
                    </w:p>
                  </w:txbxContent>
                </v:textbox>
                <w10:wrap type="topAndBottom" anchorx="page"/>
              </v:shape>
            </w:pict>
          </mc:Fallback>
        </mc:AlternateContent>
      </w:r>
      <w:r>
        <w:rPr>
          <w:noProof/>
        </w:rPr>
        <mc:AlternateContent>
          <mc:Choice Requires="wps">
            <w:drawing>
              <wp:anchor distT="2418715" distB="254000" distL="3116580" distR="156845" simplePos="0" relativeHeight="125829668" behindDoc="0" locked="0" layoutInCell="1" allowOverlap="1">
                <wp:simplePos x="0" y="0"/>
                <wp:positionH relativeFrom="page">
                  <wp:posOffset>3110230</wp:posOffset>
                </wp:positionH>
                <wp:positionV relativeFrom="paragraph">
                  <wp:posOffset>3404870</wp:posOffset>
                </wp:positionV>
                <wp:extent cx="3691255" cy="1402080"/>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3691255" cy="1402080"/>
                        </a:xfrm>
                        <a:prstGeom prst="rect">
                          <a:avLst/>
                        </a:prstGeom>
                        <a:noFill/>
                      </wps:spPr>
                      <wps:txbx>
                        <w:txbxContent>
                          <w:p w:rsidR="00500724" w:rsidRDefault="00F30FB8">
                            <w:pPr>
                              <w:pStyle w:val="Nadpis90"/>
                              <w:keepNext/>
                              <w:keepLines/>
                              <w:shd w:val="clear" w:color="auto" w:fill="auto"/>
                              <w:spacing w:after="140"/>
                            </w:pPr>
                            <w:bookmarkStart w:id="279" w:name="bookmark278"/>
                            <w:r>
                              <w:rPr>
                                <w:u w:val="single"/>
                              </w:rPr>
                              <w:t>nezávislý týdeník</w:t>
                            </w:r>
                            <w:bookmarkEnd w:id="279"/>
                          </w:p>
                          <w:p w:rsidR="00500724" w:rsidRDefault="00F30FB8">
                            <w:pPr>
                              <w:pStyle w:val="Zkladntext30"/>
                              <w:shd w:val="clear" w:color="auto" w:fill="auto"/>
                              <w:spacing w:after="60" w:line="221" w:lineRule="auto"/>
                              <w:ind w:firstLine="0"/>
                              <w:jc w:val="center"/>
                              <w:rPr>
                                <w:sz w:val="20"/>
                                <w:szCs w:val="20"/>
                              </w:rPr>
                            </w:pPr>
                            <w:r>
                              <w:rPr>
                                <w:sz w:val="20"/>
                                <w:szCs w:val="20"/>
                              </w:rPr>
                              <w:t xml:space="preserve">vychází ve středu v </w:t>
                            </w:r>
                            <w:r>
                              <w:rPr>
                                <w:sz w:val="20"/>
                                <w:szCs w:val="20"/>
                              </w:rPr>
                              <w:t>nakladatelství</w:t>
                            </w:r>
                            <w:r>
                              <w:rPr>
                                <w:sz w:val="20"/>
                                <w:szCs w:val="20"/>
                              </w:rPr>
                              <w:br/>
                              <w:t>FR. BOROVÝ V PRAZE I., NÁRODNÍ TŘÍDA 11.</w:t>
                            </w:r>
                          </w:p>
                          <w:p w:rsidR="00500724" w:rsidRDefault="00F30FB8">
                            <w:pPr>
                              <w:pStyle w:val="Zkladntext40"/>
                              <w:shd w:val="clear" w:color="auto" w:fill="auto"/>
                              <w:spacing w:line="170" w:lineRule="auto"/>
                              <w:rPr>
                                <w:sz w:val="16"/>
                                <w:szCs w:val="16"/>
                              </w:rPr>
                            </w:pPr>
                            <w:r>
                              <w:rPr>
                                <w:b/>
                                <w:bCs/>
                                <w:sz w:val="16"/>
                                <w:szCs w:val="16"/>
                              </w:rPr>
                              <w:t>Telefon číslo 390-51 až 54 • Očet poStovní spořitelny číslo 35.622 • Nevy</w:t>
                            </w:r>
                            <w:r>
                              <w:rPr>
                                <w:b/>
                                <w:bCs/>
                                <w:sz w:val="16"/>
                                <w:szCs w:val="16"/>
                              </w:rPr>
                              <w:softHyphen/>
                              <w:t xml:space="preserve">žádané rukopisy se nevracej! • Předplatné na rok K 100.—, na půl roku K 50.—, na čtvrt roku K 25.—, jednotlivá čísla K 2.—. </w:t>
                            </w:r>
                            <w:r>
                              <w:rPr>
                                <w:b/>
                                <w:bCs/>
                                <w:sz w:val="16"/>
                                <w:szCs w:val="16"/>
                                <w:lang w:val="en-US" w:eastAsia="en-US" w:bidi="en-US"/>
                              </w:rPr>
                              <w:t>Po</w:t>
                            </w:r>
                            <w:r>
                              <w:rPr>
                                <w:b/>
                                <w:bCs/>
                                <w:sz w:val="16"/>
                                <w:szCs w:val="16"/>
                                <w:lang w:val="en-US" w:eastAsia="en-US" w:bidi="en-US"/>
                              </w:rPr>
                              <w:t xml:space="preserve">ur </w:t>
                            </w:r>
                            <w:r>
                              <w:rPr>
                                <w:b/>
                                <w:bCs/>
                                <w:sz w:val="16"/>
                                <w:szCs w:val="16"/>
                              </w:rPr>
                              <w:t>la Fran</w:t>
                            </w:r>
                            <w:r>
                              <w:rPr>
                                <w:b/>
                                <w:bCs/>
                                <w:sz w:val="16"/>
                                <w:szCs w:val="16"/>
                              </w:rPr>
                              <w:softHyphen/>
                              <w:t xml:space="preserve">ce et ses </w:t>
                            </w:r>
                            <w:r>
                              <w:rPr>
                                <w:b/>
                                <w:bCs/>
                                <w:sz w:val="16"/>
                                <w:szCs w:val="16"/>
                                <w:lang w:val="en-US" w:eastAsia="en-US" w:bidi="en-US"/>
                              </w:rPr>
                              <w:t xml:space="preserve">Colonies </w:t>
                            </w:r>
                            <w:r>
                              <w:rPr>
                                <w:b/>
                                <w:bCs/>
                                <w:sz w:val="16"/>
                                <w:szCs w:val="16"/>
                              </w:rPr>
                              <w:t>Frs 2.50. • Dohlédaci pošt. úřad Brno H. • Novinová sazba povolena v Brně ředitelstvím pošt a telegrafů pod čls. 119.268/IIIa. • Odpovědný redaktor J. Dlabač.</w:t>
                            </w:r>
                          </w:p>
                          <w:p w:rsidR="00500724" w:rsidRDefault="00F30FB8">
                            <w:pPr>
                              <w:pStyle w:val="Zkladntext30"/>
                              <w:shd w:val="clear" w:color="auto" w:fill="auto"/>
                              <w:spacing w:after="100" w:line="221" w:lineRule="auto"/>
                              <w:ind w:firstLine="0"/>
                              <w:jc w:val="center"/>
                              <w:rPr>
                                <w:sz w:val="20"/>
                                <w:szCs w:val="20"/>
                              </w:rPr>
                            </w:pPr>
                            <w:r>
                              <w:rPr>
                                <w:sz w:val="20"/>
                                <w:szCs w:val="20"/>
                              </w:rPr>
                              <w:t>TISKEM LIDOVÉ TISKÁRNY, BRNO, ČESKÁ 6.</w:t>
                            </w:r>
                          </w:p>
                        </w:txbxContent>
                      </wps:txbx>
                      <wps:bodyPr lIns="0" tIns="0" rIns="0" bIns="0">
                        <a:spAutoFit/>
                      </wps:bodyPr>
                    </wps:wsp>
                  </a:graphicData>
                </a:graphic>
              </wp:anchor>
            </w:drawing>
          </mc:Choice>
          <mc:Fallback>
            <w:pict>
              <v:shape id="_x0000_s1317" type="#_x0000_t202" style="position:absolute;margin-left:244.90000000000001pt;margin-top:268.10000000000002pt;width:290.64999999999998pt;height:110.40000000000001pt;z-index:-125829085;mso-wrap-distance-left:245.40000000000001pt;mso-wrap-distance-top:190.44999999999999pt;mso-wrap-distance-right:12.35pt;mso-wrap-distance-bottom:20.pt;mso-position-horizontal-relative:page" filled="f" stroked="f">
                <v:textbox style="mso-fit-shape-to-text:t" inset="0,0,0,0">
                  <w:txbxContent>
                    <w:p>
                      <w:pPr>
                        <w:pStyle w:val="Style26"/>
                        <w:keepNext/>
                        <w:keepLines/>
                        <w:widowControl w:val="0"/>
                        <w:shd w:val="clear" w:color="auto" w:fill="auto"/>
                        <w:bidi w:val="0"/>
                        <w:spacing w:before="0" w:after="140" w:line="240" w:lineRule="auto"/>
                        <w:ind w:left="0" w:right="0" w:firstLine="0"/>
                        <w:jc w:val="left"/>
                      </w:pPr>
                      <w:bookmarkStart w:id="278" w:name="bookmark278"/>
                      <w:r>
                        <w:rPr>
                          <w:color w:val="000000"/>
                          <w:spacing w:val="0"/>
                          <w:w w:val="100"/>
                          <w:position w:val="0"/>
                          <w:u w:val="single"/>
                          <w:shd w:val="clear" w:color="auto" w:fill="auto"/>
                          <w:lang w:val="cs-CZ" w:eastAsia="cs-CZ" w:bidi="cs-CZ"/>
                        </w:rPr>
                        <w:t>nezávislý týdeník</w:t>
                      </w:r>
                      <w:bookmarkEnd w:id="278"/>
                    </w:p>
                    <w:p>
                      <w:pPr>
                        <w:pStyle w:val="Style22"/>
                        <w:keepNext w:val="0"/>
                        <w:keepLines w:val="0"/>
                        <w:widowControl w:val="0"/>
                        <w:shd w:val="clear" w:color="auto" w:fill="auto"/>
                        <w:bidi w:val="0"/>
                        <w:spacing w:before="0" w:after="60" w:line="221" w:lineRule="auto"/>
                        <w:ind w:left="0" w:right="0" w:firstLine="0"/>
                        <w:jc w:val="center"/>
                        <w:rPr>
                          <w:sz w:val="20"/>
                          <w:szCs w:val="20"/>
                        </w:rPr>
                      </w:pPr>
                      <w:r>
                        <w:rPr>
                          <w:color w:val="000000"/>
                          <w:spacing w:val="0"/>
                          <w:w w:val="100"/>
                          <w:position w:val="0"/>
                          <w:sz w:val="20"/>
                          <w:szCs w:val="20"/>
                          <w:shd w:val="clear" w:color="auto" w:fill="auto"/>
                          <w:lang w:val="cs-CZ" w:eastAsia="cs-CZ" w:bidi="cs-CZ"/>
                        </w:rPr>
                        <w:t>vychází ve středu v nakladatelství</w:t>
                        <w:br/>
                        <w:t>FR. BOROVÝ V PRAZE I., NÁRODNÍ TŘÍDA 11.</w:t>
                      </w:r>
                    </w:p>
                    <w:p>
                      <w:pPr>
                        <w:pStyle w:val="Style42"/>
                        <w:keepNext w:val="0"/>
                        <w:keepLines w:val="0"/>
                        <w:widowControl w:val="0"/>
                        <w:shd w:val="clear" w:color="auto" w:fill="auto"/>
                        <w:bidi w:val="0"/>
                        <w:spacing w:before="0" w:line="170" w:lineRule="auto"/>
                        <w:ind w:left="0" w:right="0" w:firstLine="0"/>
                        <w:rPr>
                          <w:sz w:val="16"/>
                          <w:szCs w:val="16"/>
                        </w:rPr>
                      </w:pPr>
                      <w:r>
                        <w:rPr>
                          <w:b/>
                          <w:bCs/>
                          <w:color w:val="000000"/>
                          <w:spacing w:val="0"/>
                          <w:w w:val="100"/>
                          <w:position w:val="0"/>
                          <w:sz w:val="16"/>
                          <w:szCs w:val="16"/>
                          <w:shd w:val="clear" w:color="auto" w:fill="auto"/>
                          <w:lang w:val="cs-CZ" w:eastAsia="cs-CZ" w:bidi="cs-CZ"/>
                        </w:rPr>
                        <w:t>Telefon číslo 390-51 až 54 • Očet poStovní spořitelny číslo 35.622 • Nevy</w:t>
                        <w:softHyphen/>
                        <w:t xml:space="preserve">žádané rukopisy se nevracej! • Předplatné na rok K 100.—, na půl roku K 50.—, na čtvrt roku K 25.—, jednotlivá čísla K 2.—. </w:t>
                      </w:r>
                      <w:r>
                        <w:rPr>
                          <w:b/>
                          <w:bCs/>
                          <w:color w:val="000000"/>
                          <w:spacing w:val="0"/>
                          <w:w w:val="100"/>
                          <w:position w:val="0"/>
                          <w:sz w:val="16"/>
                          <w:szCs w:val="16"/>
                          <w:shd w:val="clear" w:color="auto" w:fill="auto"/>
                          <w:lang w:val="en-US" w:eastAsia="en-US" w:bidi="en-US"/>
                        </w:rPr>
                        <w:t xml:space="preserve">Pour </w:t>
                      </w:r>
                      <w:r>
                        <w:rPr>
                          <w:b/>
                          <w:bCs/>
                          <w:color w:val="000000"/>
                          <w:spacing w:val="0"/>
                          <w:w w:val="100"/>
                          <w:position w:val="0"/>
                          <w:sz w:val="16"/>
                          <w:szCs w:val="16"/>
                          <w:shd w:val="clear" w:color="auto" w:fill="auto"/>
                          <w:lang w:val="cs-CZ" w:eastAsia="cs-CZ" w:bidi="cs-CZ"/>
                        </w:rPr>
                        <w:t>la Fran</w:t>
                        <w:softHyphen/>
                        <w:t xml:space="preserve">ce et ses </w:t>
                      </w:r>
                      <w:r>
                        <w:rPr>
                          <w:b/>
                          <w:bCs/>
                          <w:color w:val="000000"/>
                          <w:spacing w:val="0"/>
                          <w:w w:val="100"/>
                          <w:position w:val="0"/>
                          <w:sz w:val="16"/>
                          <w:szCs w:val="16"/>
                          <w:shd w:val="clear" w:color="auto" w:fill="auto"/>
                          <w:lang w:val="en-US" w:eastAsia="en-US" w:bidi="en-US"/>
                        </w:rPr>
                        <w:t xml:space="preserve">Colonies </w:t>
                      </w:r>
                      <w:r>
                        <w:rPr>
                          <w:b/>
                          <w:bCs/>
                          <w:color w:val="000000"/>
                          <w:spacing w:val="0"/>
                          <w:w w:val="100"/>
                          <w:position w:val="0"/>
                          <w:sz w:val="16"/>
                          <w:szCs w:val="16"/>
                          <w:shd w:val="clear" w:color="auto" w:fill="auto"/>
                          <w:lang w:val="cs-CZ" w:eastAsia="cs-CZ" w:bidi="cs-CZ"/>
                        </w:rPr>
                        <w:t>Frs 2.50. • Dohlédaci pošt. úřad Brno H. • Novinová sazba povolena v Brně ředitelstvím pošt a telegrafů pod čls. 119.268/IIIa. • Odpovědný redaktor J. Dlabač.</w:t>
                      </w:r>
                    </w:p>
                    <w:p>
                      <w:pPr>
                        <w:pStyle w:val="Style22"/>
                        <w:keepNext w:val="0"/>
                        <w:keepLines w:val="0"/>
                        <w:widowControl w:val="0"/>
                        <w:shd w:val="clear" w:color="auto" w:fill="auto"/>
                        <w:bidi w:val="0"/>
                        <w:spacing w:before="0" w:after="100" w:line="221" w:lineRule="auto"/>
                        <w:ind w:left="0" w:right="0" w:firstLine="0"/>
                        <w:jc w:val="center"/>
                        <w:rPr>
                          <w:sz w:val="20"/>
                          <w:szCs w:val="20"/>
                        </w:rPr>
                      </w:pPr>
                      <w:r>
                        <w:rPr>
                          <w:color w:val="000000"/>
                          <w:spacing w:val="0"/>
                          <w:w w:val="100"/>
                          <w:position w:val="0"/>
                          <w:sz w:val="20"/>
                          <w:szCs w:val="20"/>
                          <w:shd w:val="clear" w:color="auto" w:fill="auto"/>
                          <w:lang w:val="cs-CZ" w:eastAsia="cs-CZ" w:bidi="cs-CZ"/>
                        </w:rPr>
                        <w:t>TISKEM LIDOVÉ TISKÁRNY, BRNO, ČESKÁ 6.</w:t>
                      </w:r>
                    </w:p>
                  </w:txbxContent>
                </v:textbox>
                <w10:wrap type="topAndBottom" anchorx="page"/>
              </v:shape>
            </w:pict>
          </mc:Fallback>
        </mc:AlternateContent>
      </w:r>
    </w:p>
    <w:p w:rsidR="00500724" w:rsidRDefault="00F30FB8">
      <w:pPr>
        <w:pStyle w:val="Jin0"/>
        <w:shd w:val="clear" w:color="auto" w:fill="auto"/>
        <w:ind w:firstLine="0"/>
        <w:jc w:val="left"/>
        <w:rPr>
          <w:sz w:val="26"/>
          <w:szCs w:val="26"/>
        </w:rPr>
      </w:pPr>
      <w:r>
        <w:rPr>
          <w:b/>
          <w:bCs/>
          <w:i/>
          <w:iCs/>
          <w:sz w:val="26"/>
          <w:szCs w:val="26"/>
        </w:rPr>
        <w:t>F. TOPIČ</w:t>
      </w:r>
    </w:p>
    <w:p w:rsidR="00500724" w:rsidRDefault="00F30FB8">
      <w:pPr>
        <w:pStyle w:val="Zkladntext30"/>
        <w:shd w:val="clear" w:color="auto" w:fill="auto"/>
        <w:spacing w:after="0" w:line="269" w:lineRule="auto"/>
        <w:ind w:right="460" w:firstLine="0"/>
        <w:jc w:val="left"/>
        <w:rPr>
          <w:sz w:val="24"/>
          <w:szCs w:val="24"/>
        </w:rPr>
      </w:pPr>
      <w:r>
        <w:rPr>
          <w:sz w:val="20"/>
          <w:szCs w:val="20"/>
        </w:rPr>
        <w:t xml:space="preserve">knihkupectví, Praha I., Národní 11, o </w:t>
      </w:r>
      <w:r>
        <w:rPr>
          <w:i/>
          <w:iCs/>
          <w:sz w:val="24"/>
          <w:szCs w:val="24"/>
        </w:rPr>
        <w:t>FR. BOROVÝ</w:t>
      </w:r>
    </w:p>
    <w:p w:rsidR="00500724" w:rsidRDefault="00F30FB8">
      <w:pPr>
        <w:pStyle w:val="Zkladntext30"/>
        <w:shd w:val="clear" w:color="auto" w:fill="auto"/>
        <w:spacing w:after="0" w:line="214" w:lineRule="auto"/>
        <w:ind w:firstLine="0"/>
        <w:jc w:val="left"/>
        <w:rPr>
          <w:sz w:val="20"/>
          <w:szCs w:val="20"/>
        </w:rPr>
      </w:pPr>
      <w:r>
        <w:rPr>
          <w:sz w:val="20"/>
          <w:szCs w:val="20"/>
        </w:rPr>
        <w:t>akademické knihkupectvo Bratislava, Dunajská 21</w:t>
      </w:r>
    </w:p>
    <w:p w:rsidR="00500724" w:rsidRDefault="00F30FB8">
      <w:pPr>
        <w:pStyle w:val="Jin0"/>
        <w:shd w:val="clear" w:color="auto" w:fill="auto"/>
        <w:ind w:left="340" w:firstLine="0"/>
        <w:jc w:val="center"/>
        <w:rPr>
          <w:sz w:val="32"/>
          <w:szCs w:val="32"/>
        </w:rPr>
      </w:pPr>
      <w:r>
        <w:rPr>
          <w:sz w:val="30"/>
          <w:szCs w:val="30"/>
        </w:rPr>
        <w:t xml:space="preserve">óěte </w:t>
      </w:r>
      <w:r>
        <w:rPr>
          <w:rFonts w:ascii="Cambria" w:eastAsia="Cambria" w:hAnsi="Cambria" w:cs="Cambria"/>
          <w:b/>
          <w:bCs/>
          <w:i/>
          <w:iCs/>
          <w:sz w:val="32"/>
          <w:szCs w:val="32"/>
        </w:rPr>
        <w:t>LIDOVÍ NOVINY</w:t>
      </w:r>
      <w:r>
        <w:br w:type="page"/>
      </w:r>
    </w:p>
    <w:p w:rsidR="00500724" w:rsidRDefault="00F30FB8">
      <w:pPr>
        <w:pStyle w:val="Nadpis100"/>
        <w:shd w:val="clear" w:color="auto" w:fill="auto"/>
        <w:spacing w:line="240" w:lineRule="auto"/>
      </w:pPr>
      <w:bookmarkStart w:id="280" w:name="bookmark279"/>
      <w:r>
        <w:t>Říšský protektor</w:t>
      </w:r>
      <w:bookmarkEnd w:id="280"/>
    </w:p>
    <w:p w:rsidR="00500724" w:rsidRDefault="00F30FB8">
      <w:pPr>
        <w:pStyle w:val="Zkladntext30"/>
        <w:shd w:val="clear" w:color="auto" w:fill="auto"/>
        <w:spacing w:after="0" w:line="202" w:lineRule="auto"/>
      </w:pPr>
      <w:r>
        <w:t>Událostmi, které se odehrály v noci ze 14. na 15. března, octl se český národ v novém světě a nikdo mu nemůže zazlívat, dí</w:t>
      </w:r>
      <w:r>
        <w:t>vá-li se do budoucnosti s napja</w:t>
      </w:r>
      <w:r>
        <w:softHyphen/>
        <w:t>tým očekáváním. Formy, v nichž žije německý národ od Hitlerova vítězství, dotýkaly se dosud Čechů jenom vnějškově. Teď jsme se sice svěřili lodi německé říše, ale proud, který strhl Němce, nás dříve neunášel. Uklidňuje-li ná</w:t>
      </w:r>
      <w:r>
        <w:t>s v těchto dobách něco, pak jsou to především závazná slova německého kancléře a hned potom osobnost prvního »říšského protektora«.</w:t>
      </w:r>
    </w:p>
    <w:p w:rsidR="00500724" w:rsidRDefault="00F30FB8">
      <w:pPr>
        <w:pStyle w:val="Zkladntext30"/>
        <w:shd w:val="clear" w:color="auto" w:fill="auto"/>
        <w:spacing w:after="0" w:line="202" w:lineRule="auto"/>
      </w:pPr>
      <w:r>
        <w:t>Adolf Hitler nebyl vázán při volbě říšského pro</w:t>
      </w:r>
      <w:r>
        <w:softHyphen/>
        <w:t>tektora ničím a nikým. Pro tento úkol mohl vybrat některého muže z mladé gar</w:t>
      </w:r>
      <w:r>
        <w:t xml:space="preserve">dy nebo z řady starých bojovníků, mohl svěřit poslání říšského protektora vojákovi, stranickému politikovi nebo jen represen- tační osobnosti. Svěřil-li tento veliký a odpovědný úkol právě Neurathovi, je to nový důkaz, že kancléř německé říše má ve výběru </w:t>
      </w:r>
      <w:r>
        <w:t>pomocníků šťastnou ruku, jsa opravdu znalcem lidí. Kromě toho je vidět, že při novém uspořádání střední Evropy posílá do pole nej</w:t>
      </w:r>
      <w:r>
        <w:softHyphen/>
        <w:t>dřív jednoho ze svých nejlepších diplomatů, a nikoli muže s tvrdou pěstí.</w:t>
      </w:r>
    </w:p>
    <w:p w:rsidR="00500724" w:rsidRDefault="00F30FB8">
      <w:pPr>
        <w:pStyle w:val="Zkladntext30"/>
        <w:shd w:val="clear" w:color="auto" w:fill="auto"/>
        <w:spacing w:after="0" w:line="202" w:lineRule="auto"/>
      </w:pPr>
      <w:r>
        <w:t xml:space="preserve">Konstantin von Neurath hrál při obnově německé říše </w:t>
      </w:r>
      <w:r>
        <w:t>vynikající úlohu. Patřil k oněm mužům ze starší š</w:t>
      </w:r>
      <w:r>
        <w:rPr>
          <w:vertAlign w:val="superscript"/>
        </w:rPr>
        <w:t>1-</w:t>
      </w:r>
      <w:r>
        <w:t>oly, kteří včas pochopili, že se výmarská republika nesmí vrátit prostě k starým formám, rozbitým v r. 1918 — nemá-li ovšem propadnout bolševismu. Neurath sloužil republice jako diplomat nikoli z lásky a s</w:t>
      </w:r>
      <w:r>
        <w:t>ympatie k stranám a mužům, kteří v Německu od r. 1919 vládli, nýbrž proto, aby v době, než dozrálo nové hnutí, zachránil přechodný stát před chaosem. Výmarská republika, chudá na talenty, a ještě chudší na muže velkého formátu a koncepce, musela v dů</w:t>
      </w:r>
      <w:r>
        <w:softHyphen/>
        <w:t>ležit</w:t>
      </w:r>
      <w:r>
        <w:t>ých oborech přibrati k spolupráci také muže dřívějšího systému. Nezrodila nové vojáky, dokazujíc už tím, že se nezrodila z revoluce, neboť ta si vždycky vytváří nové vojsko. Nevytvořila také novou diplo</w:t>
      </w:r>
      <w:r>
        <w:softHyphen/>
        <w:t>macii a v hospodářství musela často použiti služeb mu</w:t>
      </w:r>
      <w:r>
        <w:t>žů, kteří byli politickými protivníky výmarské re</w:t>
      </w:r>
      <w:r>
        <w:softHyphen/>
        <w:t>publiky, jako na příklad Hjalmar Schacht. K nej</w:t>
      </w:r>
      <w:r>
        <w:softHyphen/>
        <w:t>úspěšnějším diplomatům patřil právě svobodný pán von Neurath.</w:t>
      </w:r>
    </w:p>
    <w:p w:rsidR="00500724" w:rsidRDefault="00F30FB8">
      <w:pPr>
        <w:pStyle w:val="Zkladntext30"/>
        <w:shd w:val="clear" w:color="auto" w:fill="auto"/>
        <w:spacing w:after="0" w:line="202" w:lineRule="auto"/>
      </w:pPr>
      <w:r>
        <w:t>Neurath pochází z německého jihu, který se v Třetí říši octl opět v popředí. Pochází z Virtember</w:t>
      </w:r>
      <w:r>
        <w:t>ska, tedy ze země, která se v době druhé říše považovala za »liberální«. Neurath nebyl zajisté nikdy liberál, ale měl dosti svobodný úsudek, aby poznal, že třída, která budovala a vedla staré Německo, nemůže již sama spoutati síly rozkladu. Šlechta vilémov</w:t>
      </w:r>
      <w:r>
        <w:t>ského Německa nevydržela zkoušku roku 1918; nedala Vilémově říši diplomaty, politiky, ani vůdce davů, kteří by byli schopni ukončiti válku, zadržet sociální revoluci a vy- budovati říši na nových základech. Stará šlechta ztra</w:t>
      </w:r>
      <w:r>
        <w:softHyphen/>
        <w:t>tila ve světové válce také bio</w:t>
      </w:r>
      <w:r>
        <w:t>logickou sílu. Její synové odpočívali v hromadných hrobech spolu s padlými rolníky, dělníky a zaměstnanci, spolu s miliony mrtvých po všech bojištích světové války. Na živu zůstali jenom staří lidé, nedospělá mládež nebo ne</w:t>
      </w:r>
      <w:r>
        <w:softHyphen/>
        <w:t xml:space="preserve">mocní a slabí. Tato zdecimovaná </w:t>
      </w:r>
      <w:r>
        <w:t>šlechta nemohla již po r. 1918 Německu vládnout, nemohla ani nové Ně</w:t>
      </w:r>
      <w:r>
        <w:softHyphen/>
        <w:t>mecko vytvořit. Konstantin von Neurath patřil k mu</w:t>
      </w:r>
      <w:r>
        <w:softHyphen/>
        <w:t>žům, kteří to poznali a kteří se z kontrarevolucí prvních poválečných let něčemu naučili. Věděl, že nová doba patří novým sílám, byl při</w:t>
      </w:r>
      <w:r>
        <w:t>praven sloužit! nové moci, jakmile ho zavolá.</w:t>
      </w:r>
    </w:p>
    <w:p w:rsidR="00500724" w:rsidRDefault="00F30FB8">
      <w:pPr>
        <w:pStyle w:val="Zkladntext30"/>
        <w:shd w:val="clear" w:color="auto" w:fill="auto"/>
        <w:spacing w:after="0" w:line="202" w:lineRule="auto"/>
      </w:pPr>
      <w:r>
        <w:t>Když vypukla světová válka, byl Neurath legačním radou v Cařihradě. Opustil toto místo, ale vrátil se tam za války ještě několikrát. Služba na cařihrad</w:t>
      </w:r>
      <w:r>
        <w:softHyphen/>
        <w:t>ském vyslanectví přispěla asi, že mladý diplomat měl pro v</w:t>
      </w:r>
      <w:r>
        <w:t>elké změny ve světě výborné oči. Od r. 1908 odehrávaly se podstatné události na Blízkém východě. Zatím co ostatní Evropa považovala za jeden z nej</w:t>
      </w:r>
      <w:r>
        <w:softHyphen/>
        <w:t>důležitějších problémů Alsasko-Lotrinsko, bylo z Ca- řihradu snadno vidět, co se skutečně děje a co je pro ce</w:t>
      </w:r>
      <w:r>
        <w:t>lá desítiletí rozhodující: Var v arabském světě, otřes britské říše, vzestup italské moci v oblasti Středozem</w:t>
      </w:r>
      <w:r>
        <w:softHyphen/>
        <w:t>ního moře, vítězný nástup mladých balkánských národů.</w:t>
      </w:r>
    </w:p>
    <w:p w:rsidR="00500724" w:rsidRDefault="00F30FB8">
      <w:pPr>
        <w:pStyle w:val="Zkladntext30"/>
        <w:shd w:val="clear" w:color="auto" w:fill="auto"/>
        <w:spacing w:after="0" w:line="202" w:lineRule="auto"/>
      </w:pPr>
      <w:r>
        <w:t xml:space="preserve">Neurath se vrátil do vlasti ještě za války. Stal </w:t>
      </w:r>
      <w:r>
        <w:rPr>
          <w:b/>
          <w:bCs/>
        </w:rPr>
        <w:t xml:space="preserve">se </w:t>
      </w:r>
      <w:r>
        <w:t>šéfem kabinetu na virtemberském královsk</w:t>
      </w:r>
      <w:r>
        <w:t>ém dvoře. Zde poznal slabost německých knížetství, která v Bismarckově říši ztratila všechnu politickou funkci. První náraz větru r. 1918 rozmetal je jako domeček z karet. Republika poslala Neuratha nejdřív do Ko</w:t>
      </w:r>
      <w:r>
        <w:softHyphen/>
        <w:t>daně. Jeho vzestup nastal, když byl určen z</w:t>
      </w:r>
      <w:r>
        <w:t>a vyslan</w:t>
      </w:r>
      <w:r>
        <w:softHyphen/>
        <w:t>ce do Říma. Jedním z velkých cílů poválečné německé politiky bylo přece přátelství s Itálií, která by se od</w:t>
      </w:r>
      <w:r>
        <w:softHyphen/>
        <w:t>poutala od Dohody. Antipatie německé levice k fa</w:t>
      </w:r>
      <w:r>
        <w:softHyphen/>
        <w:t>šismu mohly tuto politiku ohrozit. — Tím důležitější bylo tedy, aby německá říše měla v It</w:t>
      </w:r>
      <w:r>
        <w:t>álii diplomata, který by příští spolupráci připravoval. Ale Londýn byl tehdy ještě důležitější, protože klíč k světové po</w:t>
      </w:r>
      <w:r>
        <w:softHyphen/>
        <w:t>litice byl v rukou Britů. I když někteří politikové, jako Rathenau, koketovali s Moskvou nebo hledali přímou cestu k Francii — na přík</w:t>
      </w:r>
      <w:r>
        <w:t>lad Stresemann — rozhodující bylo, zda Angličané dají Němcům nějakou příležitost a možnost k vzestupu nebo zardousí hned první pokus.</w:t>
      </w:r>
    </w:p>
    <w:p w:rsidR="00500724" w:rsidRDefault="00F30FB8">
      <w:pPr>
        <w:pStyle w:val="Zkladntext30"/>
        <w:numPr>
          <w:ilvl w:val="0"/>
          <w:numId w:val="29"/>
        </w:numPr>
        <w:shd w:val="clear" w:color="auto" w:fill="auto"/>
        <w:tabs>
          <w:tab w:val="left" w:pos="495"/>
        </w:tabs>
        <w:spacing w:after="0" w:line="202" w:lineRule="auto"/>
      </w:pPr>
      <w:r>
        <w:t>té osudové době, která měla na dlouho rozhod</w:t>
      </w:r>
      <w:r>
        <w:softHyphen/>
        <w:t>nouti, působil Neurath v Londýně, kde Říše potřebo</w:t>
      </w:r>
      <w:r>
        <w:softHyphen/>
        <w:t>vala moudrou politickou hl</w:t>
      </w:r>
      <w:r>
        <w:t xml:space="preserve">avu a muže s klidnou rukou. Tehdy prokázal Neurath německé politice nejlepší služby, zajišťuje nacionálně-socialistickému hnutí z této strany volnost pohybu. Když odstoupil </w:t>
      </w:r>
      <w:r>
        <w:rPr>
          <w:lang w:val="en-US" w:eastAsia="en-US" w:bidi="en-US"/>
        </w:rPr>
        <w:t xml:space="preserve">Bruning </w:t>
      </w:r>
      <w:r>
        <w:t>a Hindenburg povolal k vládě Papena, stal se londýnský vyslanec ministrem z</w:t>
      </w:r>
      <w:r>
        <w:t>ahraničí na Wil- helmstrasse. Adolf Hitler ho do své vlády 30. ledna 1933 převzal, neboť německý kancléř vybíraly lidi podle schopností a přibral k spolupráci také muže ze starší školy, považoval-li je za schopné, prokázat! nové říši užitečné služby.</w:t>
      </w:r>
    </w:p>
    <w:p w:rsidR="00500724" w:rsidRDefault="00F30FB8">
      <w:pPr>
        <w:pStyle w:val="Zkladntext30"/>
        <w:numPr>
          <w:ilvl w:val="0"/>
          <w:numId w:val="29"/>
        </w:numPr>
        <w:shd w:val="clear" w:color="auto" w:fill="auto"/>
        <w:tabs>
          <w:tab w:val="left" w:pos="505"/>
        </w:tabs>
        <w:spacing w:after="0" w:line="202" w:lineRule="auto"/>
        <w:sectPr w:rsidR="00500724">
          <w:footnotePr>
            <w:numFmt w:val="chicago"/>
            <w:numRestart w:val="eachPage"/>
          </w:footnotePr>
          <w:type w:val="continuous"/>
          <w:pgSz w:w="11909" w:h="16834"/>
          <w:pgMar w:top="1397" w:right="985" w:bottom="514" w:left="594" w:header="0" w:footer="3" w:gutter="0"/>
          <w:cols w:num="2" w:space="137"/>
          <w:noEndnote/>
          <w:docGrid w:linePitch="360"/>
        </w:sectPr>
      </w:pPr>
      <w:r>
        <w:t>té době nebyla ještě nová německá říše vůči zahraničí kryta a zajištěna. Adolf Hitler nechtěl vy-</w:t>
      </w:r>
    </w:p>
    <w:p w:rsidR="00500724" w:rsidRDefault="00F30FB8">
      <w:pPr>
        <w:pStyle w:val="Zkladntext30"/>
        <w:shd w:val="clear" w:color="auto" w:fill="auto"/>
        <w:spacing w:after="0" w:line="202" w:lineRule="auto"/>
        <w:ind w:firstLine="0"/>
      </w:pPr>
      <w:r>
        <w:t xml:space="preserve">volatí proti novému Německu koaliční válku, vždyť Německo bylo ještě slabé a protivníci měli velikou převahu. Říše potřebovala </w:t>
      </w:r>
      <w:r>
        <w:t>čas a diplomacii připadl těžký úkol čas získati. Rakouské události v r. 1934 dokázaly, že pro dalekosáhlé zahraniční akce není ještě vhodná doba. Bylo nebezpečí, že se Německo octne náhle tváří v tvář veliké koalici, jsouc při</w:t>
      </w:r>
      <w:r>
        <w:softHyphen/>
        <w:t>nuceno k boji s nerovnými zbr</w:t>
      </w:r>
      <w:r>
        <w:t>aněmi. Německé zbro</w:t>
      </w:r>
      <w:r>
        <w:softHyphen/>
        <w:t>jení bylo ještě pozadu, před vnějšími poruchami vnitřní výstavby chránil říši jenom strach velmocí ze sociální revoluce. Zahraniční politiku Adolfa Hitle</w:t>
      </w:r>
      <w:r>
        <w:softHyphen/>
        <w:t>ra musel v té době representovat muž, který byl schopen uzavírat! nezbytné komprom</w:t>
      </w:r>
      <w:r>
        <w:t>isy, aniž si zá</w:t>
      </w:r>
      <w:r>
        <w:softHyphen/>
        <w:t>sadně zadal. Svobodný pán von Neurath tehdy do</w:t>
      </w:r>
      <w:r>
        <w:softHyphen/>
        <w:t>kázal, že je moudrý diplomat. Když vypukla v r. 1935 habešská krise, nařídil Neurath německou zahraniční politiku v Hitlerově smyslu na římský kurs, aniž riskoval otevřenou roztržku s Londýnem.</w:t>
      </w:r>
    </w:p>
    <w:p w:rsidR="00500724" w:rsidRDefault="00F30FB8">
      <w:pPr>
        <w:pStyle w:val="Zkladntext30"/>
        <w:shd w:val="clear" w:color="auto" w:fill="auto"/>
        <w:spacing w:after="0" w:line="202" w:lineRule="auto"/>
        <w:ind w:firstLine="280"/>
      </w:pPr>
      <w:r>
        <w:t>Diplomat, který znal Rím a Londýn z vlastní zku</w:t>
      </w:r>
      <w:r>
        <w:softHyphen/>
        <w:t>šenosti, ziskal Německu vděčnost a důvěru Itálie, ale nepřetrhl při tom vlákna, spojující Berlín s Londý</w:t>
      </w:r>
      <w:r>
        <w:softHyphen/>
        <w:t>nem. Pak spolupracoval Neurath na přípravě prvního zásahu, kterým se změnily hranice Říše. Pomáhal ně</w:t>
      </w:r>
      <w:r>
        <w:softHyphen/>
      </w:r>
      <w:r>
        <w:t>meckému kancléři připravit připojení Rakouska. Čer</w:t>
      </w:r>
      <w:r>
        <w:softHyphen/>
        <w:t>vencová dohoda z roku 1936 a vídeňská cesta v roce</w:t>
      </w:r>
    </w:p>
    <w:p w:rsidR="00500724" w:rsidRDefault="00F30FB8">
      <w:pPr>
        <w:pStyle w:val="Zkladntext30"/>
        <w:numPr>
          <w:ilvl w:val="0"/>
          <w:numId w:val="31"/>
        </w:numPr>
        <w:shd w:val="clear" w:color="auto" w:fill="auto"/>
        <w:tabs>
          <w:tab w:val="left" w:pos="562"/>
        </w:tabs>
        <w:spacing w:after="0" w:line="202" w:lineRule="auto"/>
        <w:ind w:firstLine="0"/>
      </w:pPr>
      <w:r>
        <w:t>byly zastávkou na této cestě. Když už věci do</w:t>
      </w:r>
      <w:r>
        <w:softHyphen/>
        <w:t>spěly tak daleko, musil ovšem německý kancléř pro- vésti ve vedení německého zahraničního úřadu určité změny</w:t>
      </w:r>
      <w:r>
        <w:t>. Doba příprav a čekání minula, zajištění bylo dokončeno a Neurathův úkol byl prozatím skončen. Politika velikých akcí vyžadovala nového muže, který byl připraven v osobě šlechtice Ribbentropa. 4. února</w:t>
      </w:r>
    </w:p>
    <w:p w:rsidR="00500724" w:rsidRDefault="00F30FB8">
      <w:pPr>
        <w:pStyle w:val="Zkladntext30"/>
        <w:numPr>
          <w:ilvl w:val="0"/>
          <w:numId w:val="31"/>
        </w:numPr>
        <w:shd w:val="clear" w:color="auto" w:fill="auto"/>
        <w:tabs>
          <w:tab w:val="left" w:pos="562"/>
        </w:tabs>
        <w:spacing w:after="0" w:line="202" w:lineRule="auto"/>
        <w:ind w:firstLine="0"/>
      </w:pPr>
      <w:r>
        <w:t>byl von Neurath jmenován předsedou tajné ra</w:t>
      </w:r>
      <w:r>
        <w:softHyphen/>
        <w:t>dy. Cizin</w:t>
      </w:r>
      <w:r>
        <w:t>a mluvila o odstranění a pádu, protože ne</w:t>
      </w:r>
      <w:r>
        <w:softHyphen/>
        <w:t>rozuměla politice německého kancléře. Neurath nebyl odstraněn. Splnil svůj úkol — a další na něj čekal.</w:t>
      </w:r>
    </w:p>
    <w:p w:rsidR="00500724" w:rsidRDefault="00F30FB8">
      <w:pPr>
        <w:pStyle w:val="Zkladntext30"/>
        <w:shd w:val="clear" w:color="auto" w:fill="auto"/>
        <w:spacing w:after="0" w:line="202" w:lineRule="auto"/>
        <w:ind w:firstLine="280"/>
      </w:pPr>
      <w:r>
        <w:t>Povolání von Neuratha za říšského protektora pro Čechy a Moravu dokazuje, že Adolf Hitler na proká</w:t>
      </w:r>
      <w:r>
        <w:softHyphen/>
        <w:t>zané služby</w:t>
      </w:r>
      <w:r>
        <w:t xml:space="preserve"> nezapomíná. V tomto případě záleží ně</w:t>
      </w:r>
      <w:r>
        <w:softHyphen/>
        <w:t>meckému kancléři zřejmě na tom, aby tento úkol svěřil jednomu z nejschopnějších diplomatů, jed</w:t>
      </w:r>
      <w:r>
        <w:softHyphen/>
        <w:t>nomu z nejmoudřejších státníků — a muži moudře umírněnému. Neposílá do Prahy nacionál- ního socialistu z doby bojů, poněva</w:t>
      </w:r>
      <w:r>
        <w:t>dž ví, že muž ze starší školy, který přichází ještě ze světa před rokem 1914 a zná ideové potíže, stavící se nacionálnímu so</w:t>
      </w:r>
      <w:r>
        <w:softHyphen/>
        <w:t>cialismu v cestu u jiných národů, rozřeší pražský úkol lépe než bojovný muž, který by snad lidem s jinými názory nerozuměl.</w:t>
      </w:r>
    </w:p>
    <w:p w:rsidR="00500724" w:rsidRDefault="00F30FB8">
      <w:pPr>
        <w:pStyle w:val="Zkladntext30"/>
        <w:shd w:val="clear" w:color="auto" w:fill="auto"/>
        <w:spacing w:after="0" w:line="202" w:lineRule="auto"/>
        <w:ind w:firstLine="280"/>
      </w:pPr>
      <w:r>
        <w:t>Úkol ří</w:t>
      </w:r>
      <w:r>
        <w:t>šského protektora je vskutku těžký. No</w:t>
      </w:r>
      <w:r>
        <w:softHyphen/>
        <w:t>vější historie nezná snad ani jediný příklad takového poslání, jako je toto. Angličtí, francouzští a američtí presidenti nepřišli nikdy k národům, zvyklým na vlastní vládu. Svobodný pán von Neurath je určen za protekt</w:t>
      </w:r>
      <w:r>
        <w:t>ora národa, který měl dvacet let svůj vlastní stát; bude mu jednati s autonomní vládou tohoto ná</w:t>
      </w:r>
      <w:r>
        <w:softHyphen/>
        <w:t xml:space="preserve">roda a třebas mu statut dává právo rozkazovati, dá zajisté přednost metodě přesvědčování, která je často užitečnější. Říšský protektor bude s českým národem a </w:t>
      </w:r>
      <w:r>
        <w:t>s českou vládou vycházeti tím lépe, čím méně po</w:t>
      </w:r>
      <w:r>
        <w:softHyphen/>
        <w:t>užije moci, ale při tom bude přece musit říditi českou vládu tak, aby mezi jejím působením a politikou Říše nevznikly rozpory. Minulost, dílo a osobnost říšského protektora znamenají příslib, že von Neurath t</w:t>
      </w:r>
      <w:r>
        <w:t>ento úkol rozřeší*</w:t>
      </w:r>
    </w:p>
    <w:p w:rsidR="00500724" w:rsidRDefault="00F30FB8">
      <w:pPr>
        <w:pStyle w:val="Zkladntext100"/>
        <w:shd w:val="clear" w:color="auto" w:fill="auto"/>
        <w:spacing w:line="233" w:lineRule="auto"/>
        <w:ind w:firstLine="0"/>
        <w:jc w:val="right"/>
        <w:rPr>
          <w:sz w:val="19"/>
          <w:szCs w:val="19"/>
        </w:rPr>
      </w:pPr>
      <w:r>
        <w:rPr>
          <w:b/>
          <w:bCs/>
          <w:i/>
          <w:iCs/>
          <w:sz w:val="19"/>
          <w:szCs w:val="19"/>
        </w:rPr>
        <w:t>Arnošt Studnička</w:t>
      </w:r>
    </w:p>
    <w:p w:rsidR="00500724" w:rsidRDefault="00F30FB8">
      <w:pPr>
        <w:pStyle w:val="Jin0"/>
        <w:pBdr>
          <w:bottom w:val="single" w:sz="4" w:space="0" w:color="auto"/>
        </w:pBdr>
        <w:shd w:val="clear" w:color="auto" w:fill="auto"/>
        <w:spacing w:after="260"/>
        <w:ind w:firstLine="0"/>
        <w:jc w:val="left"/>
        <w:rPr>
          <w:sz w:val="44"/>
          <w:szCs w:val="44"/>
        </w:rPr>
      </w:pPr>
      <w:r>
        <w:rPr>
          <w:b/>
          <w:bCs/>
          <w:sz w:val="44"/>
          <w:szCs w:val="44"/>
        </w:rPr>
        <w:t>poznámky</w:t>
      </w:r>
    </w:p>
    <w:p w:rsidR="00500724" w:rsidRDefault="00F30FB8">
      <w:pPr>
        <w:pStyle w:val="Zkladntext30"/>
        <w:shd w:val="clear" w:color="auto" w:fill="auto"/>
        <w:spacing w:line="178" w:lineRule="auto"/>
        <w:ind w:firstLine="0"/>
        <w:jc w:val="center"/>
        <w:rPr>
          <w:sz w:val="20"/>
          <w:szCs w:val="20"/>
        </w:rPr>
      </w:pPr>
      <w:r>
        <w:rPr>
          <w:b/>
          <w:bCs/>
          <w:sz w:val="20"/>
          <w:szCs w:val="20"/>
        </w:rPr>
        <w:t>Protektorát Cechy a Morava</w:t>
      </w:r>
    </w:p>
    <w:p w:rsidR="00500724" w:rsidRDefault="00F30FB8">
      <w:pPr>
        <w:pStyle w:val="Zkladntext100"/>
        <w:shd w:val="clear" w:color="auto" w:fill="auto"/>
        <w:tabs>
          <w:tab w:val="left" w:pos="5166"/>
        </w:tabs>
        <w:spacing w:line="187" w:lineRule="auto"/>
        <w:ind w:left="280" w:firstLine="0"/>
        <w:rPr>
          <w:sz w:val="19"/>
          <w:szCs w:val="19"/>
        </w:rPr>
      </w:pPr>
      <w:r>
        <w:rPr>
          <w:b/>
          <w:bCs/>
          <w:sz w:val="19"/>
          <w:szCs w:val="19"/>
        </w:rPr>
        <w:t>Výnosem Vůdce a říšského kancléře Adolfa Hitlera ze</w:t>
      </w:r>
    </w:p>
    <w:p w:rsidR="00500724" w:rsidRDefault="00F30FB8">
      <w:pPr>
        <w:pStyle w:val="Zkladntext100"/>
        <w:numPr>
          <w:ilvl w:val="0"/>
          <w:numId w:val="32"/>
        </w:numPr>
        <w:shd w:val="clear" w:color="auto" w:fill="auto"/>
        <w:tabs>
          <w:tab w:val="left" w:pos="351"/>
          <w:tab w:val="left" w:pos="4886"/>
        </w:tabs>
        <w:spacing w:after="160" w:line="187" w:lineRule="auto"/>
        <w:ind w:firstLine="0"/>
        <w:rPr>
          <w:sz w:val="19"/>
          <w:szCs w:val="19"/>
        </w:rPr>
      </w:pPr>
      <w:r>
        <w:rPr>
          <w:b/>
          <w:bCs/>
          <w:sz w:val="19"/>
          <w:szCs w:val="19"/>
        </w:rPr>
        <w:t>t. m. byl vyhlášen protektorát německé říše nad Čechami a Moravou. Výraz protektorát má v běžné nauce mezinárod</w:t>
      </w:r>
      <w:r>
        <w:rPr>
          <w:b/>
          <w:bCs/>
          <w:sz w:val="19"/>
          <w:szCs w:val="19"/>
        </w:rPr>
        <w:softHyphen/>
        <w:t xml:space="preserve">ního práva ustálený </w:t>
      </w:r>
      <w:r>
        <w:rPr>
          <w:b/>
          <w:bCs/>
          <w:sz w:val="19"/>
          <w:szCs w:val="19"/>
        </w:rPr>
        <w:t>význam, ale říšskoněmecké listy ve svých komentářích správně zdůraznily, že tentokrát jde o protektorát zvláštního rázu, o němž znalci mezinárodního! práva budou teprve musit urěit, do které z kategorií svých pojmů jej budou chtít zařadit. I u našeho prote</w:t>
      </w:r>
      <w:r>
        <w:rPr>
          <w:b/>
          <w:bCs/>
          <w:sz w:val="19"/>
          <w:szCs w:val="19"/>
        </w:rPr>
        <w:t>ktorátu se nepochybně setkáváme s tím, co podle běžného mezinárod</w:t>
      </w:r>
      <w:r>
        <w:rPr>
          <w:b/>
          <w:bCs/>
          <w:sz w:val="19"/>
          <w:szCs w:val="19"/>
        </w:rPr>
        <w:softHyphen/>
        <w:t>ního práva vyznačuje protektorát, že totiž je to poměr státu ochraňujícího ke státu chráněnému. Mohla by vzniknout pochybnost, Ize-11 o protektorátu mluvit jako o státu, ovšemi státu chráněn</w:t>
      </w:r>
      <w:r>
        <w:rPr>
          <w:b/>
          <w:bCs/>
          <w:sz w:val="19"/>
          <w:szCs w:val="19"/>
        </w:rPr>
        <w:t>ém. Nikde se mu tak výslovně neříká, ale pro</w:t>
      </w:r>
      <w:r>
        <w:rPr>
          <w:b/>
          <w:bCs/>
          <w:sz w:val="19"/>
          <w:szCs w:val="19"/>
        </w:rPr>
        <w:softHyphen/>
        <w:t>tektorát, jak byl upraven uvedeným výnosem Adolfa Hit</w:t>
      </w:r>
      <w:r>
        <w:rPr>
          <w:b/>
          <w:bCs/>
          <w:sz w:val="19"/>
          <w:szCs w:val="19"/>
        </w:rPr>
        <w:softHyphen/>
        <w:t>lera, má nepochybně důležité znaky státu: hlavě jeho auto</w:t>
      </w:r>
      <w:r>
        <w:rPr>
          <w:b/>
          <w:bCs/>
          <w:sz w:val="19"/>
          <w:szCs w:val="19"/>
        </w:rPr>
        <w:softHyphen/>
        <w:t>nomní správy přísluší ochrana a ěestná práva hlavy státu, protektorát má výsostná práva, jež vykoná</w:t>
      </w:r>
      <w:r>
        <w:rPr>
          <w:b/>
          <w:bCs/>
          <w:sz w:val="19"/>
          <w:szCs w:val="19"/>
        </w:rPr>
        <w:t>vá ve shodě s po</w:t>
      </w:r>
      <w:r>
        <w:rPr>
          <w:b/>
          <w:bCs/>
          <w:sz w:val="19"/>
          <w:szCs w:val="19"/>
        </w:rPr>
        <w:softHyphen/>
        <w:t>litickými, vojenskými a hospodářskými potřebami ftíše, vykonává je svými orgány, má svou vládu, jeho obyvatel</w:t>
      </w:r>
      <w:r>
        <w:rPr>
          <w:b/>
          <w:bCs/>
          <w:sz w:val="19"/>
          <w:szCs w:val="19"/>
        </w:rPr>
        <w:softHyphen/>
        <w:t xml:space="preserve">stvo, pokud neni německé národnosti, má svou vlastní státní příslušnost, a konečně protektorát má své území. To všechno svědčí o </w:t>
      </w:r>
      <w:r>
        <w:rPr>
          <w:b/>
          <w:bCs/>
          <w:sz w:val="19"/>
          <w:szCs w:val="19"/>
        </w:rPr>
        <w:t>tom, že jde o útvar státni, útvar státu chráněného. Je pravidelným zjevem u protektorátů, že stát ochraňující přebírá zahraniční politiku státu chráněného a že mu po</w:t>
      </w:r>
      <w:r>
        <w:rPr>
          <w:b/>
          <w:bCs/>
          <w:sz w:val="19"/>
          <w:szCs w:val="19"/>
        </w:rPr>
        <w:softHyphen/>
        <w:t>skytuje i svou ochranu vojenskou. V tom je vždy hlavní smysl protektorátu. Méně obvyklé je</w:t>
      </w:r>
      <w:r>
        <w:rPr>
          <w:b/>
          <w:bCs/>
          <w:sz w:val="19"/>
          <w:szCs w:val="19"/>
        </w:rPr>
        <w:t>, aby protektorát měl také svého zástupce u vlády státu ochraňujícího. V případů protektorátu Čechy a Morava však tomu tak je a zástupce, protektorátu u říšské vlády německé bude mít titul vyslanec, Nejvýznaěnějším rysem tohoto protektorátu ovšem je dů</w:t>
      </w:r>
      <w:r>
        <w:rPr>
          <w:b/>
          <w:bCs/>
          <w:sz w:val="19"/>
          <w:szCs w:val="19"/>
        </w:rPr>
        <w:softHyphen/>
        <w:t>sle</w:t>
      </w:r>
      <w:r>
        <w:rPr>
          <w:b/>
          <w:bCs/>
          <w:sz w:val="19"/>
          <w:szCs w:val="19"/>
        </w:rPr>
        <w:t>dně národní zřetel při státní příslušnosti. O té nerozho</w:t>
      </w:r>
      <w:r>
        <w:rPr>
          <w:b/>
          <w:bCs/>
          <w:sz w:val="19"/>
          <w:szCs w:val="19"/>
        </w:rPr>
        <w:softHyphen/>
        <w:t>duje bydliště, nýbrž národnost v kombinaci s bydlištěm; to jest Němci, žijící na území protektorátu, jsou státními pří</w:t>
      </w:r>
      <w:r>
        <w:rPr>
          <w:b/>
          <w:bCs/>
          <w:sz w:val="19"/>
          <w:szCs w:val="19"/>
        </w:rPr>
        <w:softHyphen/>
        <w:t>slušníky německé říše, ostatní občané na tomto území jsou státními příslušníky p</w:t>
      </w:r>
      <w:r>
        <w:rPr>
          <w:b/>
          <w:bCs/>
          <w:sz w:val="19"/>
          <w:szCs w:val="19"/>
        </w:rPr>
        <w:t>rotektorátu. Bydliště, jak vidíme, má přece jen určitý význam, poněvadž se nemění zásada, že obyvatelé české národnosti v sudetském území se stali pří</w:t>
      </w:r>
      <w:r>
        <w:rPr>
          <w:b/>
          <w:bCs/>
          <w:sz w:val="19"/>
          <w:szCs w:val="19"/>
        </w:rPr>
        <w:softHyphen/>
        <w:t>slušníky německé říše, a Frankfurter Zeitung správně uka</w:t>
      </w:r>
      <w:r>
        <w:rPr>
          <w:b/>
          <w:bCs/>
          <w:sz w:val="19"/>
          <w:szCs w:val="19"/>
        </w:rPr>
        <w:softHyphen/>
        <w:t>zuje na význam, jaké v tomto směru budou mít pro</w:t>
      </w:r>
      <w:r>
        <w:rPr>
          <w:b/>
          <w:bCs/>
          <w:sz w:val="19"/>
          <w:szCs w:val="19"/>
        </w:rPr>
        <w:t>váděcí předpisy k výnosu, jež vydá říšský ministr vnitra. Pak teprve bude také možno posoudit význam a dosah pro</w:t>
      </w:r>
      <w:r>
        <w:rPr>
          <w:b/>
          <w:bCs/>
          <w:sz w:val="19"/>
          <w:szCs w:val="19"/>
        </w:rPr>
        <w:softHyphen/>
        <w:t>tektorátu do všech podrobností.</w:t>
      </w:r>
      <w:r>
        <w:rPr>
          <w:b/>
          <w:bCs/>
          <w:sz w:val="19"/>
          <w:szCs w:val="19"/>
        </w:rPr>
        <w:tab/>
        <w:t>i</w:t>
      </w:r>
    </w:p>
    <w:p w:rsidR="00500724" w:rsidRDefault="00F30FB8">
      <w:pPr>
        <w:pStyle w:val="Zkladntext30"/>
        <w:shd w:val="clear" w:color="auto" w:fill="auto"/>
        <w:spacing w:after="120" w:line="178" w:lineRule="auto"/>
        <w:ind w:firstLine="0"/>
        <w:jc w:val="center"/>
        <w:rPr>
          <w:sz w:val="20"/>
          <w:szCs w:val="20"/>
        </w:rPr>
      </w:pPr>
      <w:r>
        <w:rPr>
          <w:b/>
          <w:bCs/>
          <w:sz w:val="20"/>
          <w:szCs w:val="20"/>
        </w:rPr>
        <w:t>Jediná česká politická strana</w:t>
      </w:r>
    </w:p>
    <w:p w:rsidR="00500724" w:rsidRDefault="00F30FB8">
      <w:pPr>
        <w:pStyle w:val="Zkladntext100"/>
        <w:shd w:val="clear" w:color="auto" w:fill="auto"/>
        <w:spacing w:after="140" w:line="194" w:lineRule="auto"/>
        <w:ind w:firstLine="220"/>
        <w:rPr>
          <w:sz w:val="19"/>
          <w:szCs w:val="19"/>
        </w:rPr>
      </w:pPr>
      <w:r>
        <w:rPr>
          <w:noProof/>
        </w:rPr>
        <mc:AlternateContent>
          <mc:Choice Requires="wps">
            <w:drawing>
              <wp:anchor distT="0" distB="254000" distL="114300" distR="114300" simplePos="0" relativeHeight="125829670" behindDoc="0" locked="0" layoutInCell="1" allowOverlap="1">
                <wp:simplePos x="0" y="0"/>
                <wp:positionH relativeFrom="page">
                  <wp:posOffset>497840</wp:posOffset>
                </wp:positionH>
                <wp:positionV relativeFrom="margin">
                  <wp:posOffset>9020810</wp:posOffset>
                </wp:positionV>
                <wp:extent cx="207010" cy="213360"/>
                <wp:effectExtent l="0" t="0" r="0" b="0"/>
                <wp:wrapTopAndBottom/>
                <wp:docPr id="293" name="Shape 293"/>
                <wp:cNvGraphicFramePr/>
                <a:graphic xmlns:a="http://schemas.openxmlformats.org/drawingml/2006/main">
                  <a:graphicData uri="http://schemas.microsoft.com/office/word/2010/wordprocessingShape">
                    <wps:wsp>
                      <wps:cNvSpPr txBox="1"/>
                      <wps:spPr>
                        <a:xfrm>
                          <a:off x="0" y="0"/>
                          <a:ext cx="20701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l?8</w:t>
                            </w:r>
                          </w:p>
                        </w:txbxContent>
                      </wps:txbx>
                      <wps:bodyPr lIns="0" tIns="0" rIns="0" bIns="0">
                        <a:spAutoFit/>
                      </wps:bodyPr>
                    </wps:wsp>
                  </a:graphicData>
                </a:graphic>
              </wp:anchor>
            </w:drawing>
          </mc:Choice>
          <mc:Fallback>
            <w:pict>
              <v:shape id="_x0000_s1319" type="#_x0000_t202" style="position:absolute;margin-left:39.200000000000003pt;margin-top:710.29999999999995pt;width:16.300000000000001pt;height:16.800000000000001pt;z-index:-125829083;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l?8</w:t>
                      </w:r>
                    </w:p>
                  </w:txbxContent>
                </v:textbox>
                <w10:wrap type="topAndBottom" anchorx="page" anchory="margin"/>
              </v:shape>
            </w:pict>
          </mc:Fallback>
        </mc:AlternateContent>
      </w:r>
      <w:r>
        <w:rPr>
          <w:b/>
          <w:bCs/>
          <w:sz w:val="19"/>
          <w:szCs w:val="19"/>
        </w:rPr>
        <w:t>Až tyto řádky budou vytištěny, bude pravděpodobné splynutí strany Národn</w:t>
      </w:r>
      <w:r>
        <w:rPr>
          <w:b/>
          <w:bCs/>
          <w:sz w:val="19"/>
          <w:szCs w:val="19"/>
        </w:rPr>
        <w:t>í jednoty a Národní práce uskuteč</w:t>
      </w:r>
      <w:r>
        <w:rPr>
          <w:b/>
          <w:bCs/>
          <w:sz w:val="19"/>
          <w:szCs w:val="19"/>
        </w:rPr>
        <w:softHyphen/>
        <w:t>něno. Díváme-li se na toto rozhodnuti ať z obecného hle</w:t>
      </w:r>
      <w:r>
        <w:rPr>
          <w:b/>
          <w:bCs/>
          <w:sz w:val="19"/>
          <w:szCs w:val="19"/>
        </w:rPr>
        <w:softHyphen/>
        <w:t xml:space="preserve">diska české politiky, ať s hlediska kterékoli z obou stran, musíme tento čin označit jako projev politické reality </w:t>
      </w:r>
      <w:r>
        <w:rPr>
          <w:b/>
          <w:bCs/>
          <w:sz w:val="20"/>
          <w:szCs w:val="20"/>
        </w:rPr>
        <w:t xml:space="preserve">a </w:t>
      </w:r>
      <w:r>
        <w:rPr>
          <w:b/>
          <w:bCs/>
          <w:sz w:val="19"/>
          <w:szCs w:val="19"/>
        </w:rPr>
        <w:t>zdravého uvažování. Obecná situace českého národa</w:t>
      </w:r>
      <w:r>
        <w:rPr>
          <w:b/>
          <w:bCs/>
          <w:sz w:val="19"/>
          <w:szCs w:val="19"/>
        </w:rPr>
        <w:t xml:space="preserve"> se změ</w:t>
      </w:r>
      <w:r>
        <w:rPr>
          <w:b/>
          <w:bCs/>
          <w:sz w:val="19"/>
          <w:szCs w:val="19"/>
        </w:rPr>
        <w:softHyphen/>
        <w:t>nila dne 15. března 1939 podstatněji, než se změnila 39. říj</w:t>
      </w:r>
      <w:r>
        <w:rPr>
          <w:b/>
          <w:bCs/>
          <w:sz w:val="19"/>
          <w:szCs w:val="19"/>
        </w:rPr>
        <w:softHyphen/>
        <w:t>na 1918. Také s hlediska politických stran, jako organisaci, ustavených za účelem prosazováni a provádění programo</w:t>
      </w:r>
      <w:r>
        <w:rPr>
          <w:b/>
          <w:bCs/>
          <w:sz w:val="19"/>
          <w:szCs w:val="19"/>
        </w:rPr>
        <w:softHyphen/>
        <w:t>vých požadavků, je od základu jiná. Všeobecné měřítko nyní přikazuje, ab</w:t>
      </w:r>
      <w:r>
        <w:rPr>
          <w:b/>
          <w:bCs/>
          <w:sz w:val="19"/>
          <w:szCs w:val="19"/>
        </w:rPr>
        <w:t>y zájmy českého národa byly zastupová</w:t>
      </w:r>
      <w:r>
        <w:rPr>
          <w:b/>
          <w:bCs/>
          <w:sz w:val="19"/>
          <w:szCs w:val="19"/>
        </w:rPr>
        <w:softHyphen/>
        <w:t>ny, hájeny — a pokud to bude možné i rozhodovány — je</w:t>
      </w:r>
      <w:r>
        <w:rPr>
          <w:b/>
          <w:bCs/>
          <w:sz w:val="19"/>
          <w:szCs w:val="19"/>
        </w:rPr>
        <w:softHyphen/>
        <w:t>diným představitelem, jedinou stranou, jedinou organisaci. Čím rychleji se toho domyslí příslušníci kterékoliv z býva</w:t>
      </w:r>
      <w:r>
        <w:rPr>
          <w:b/>
          <w:bCs/>
          <w:sz w:val="19"/>
          <w:szCs w:val="19"/>
        </w:rPr>
        <w:softHyphen/>
        <w:t xml:space="preserve">lých stran i ti, kteří stáli mimo strany, tlm </w:t>
      </w:r>
      <w:r>
        <w:rPr>
          <w:b/>
          <w:bCs/>
          <w:sz w:val="19"/>
          <w:szCs w:val="19"/>
        </w:rPr>
        <w:t>bude lépe pro národ. Čím rychleji pochopí, že dnes se nesmí žádné sku</w:t>
      </w:r>
      <w:r>
        <w:rPr>
          <w:b/>
          <w:bCs/>
          <w:sz w:val="19"/>
          <w:szCs w:val="19"/>
        </w:rPr>
        <w:softHyphen/>
        <w:t>piny českého národa mezi sebou potírat nijakým způsobem, protože bychom národ ještě více oslabili a zbavovali ho na</w:t>
      </w:r>
      <w:r>
        <w:rPr>
          <w:b/>
          <w:bCs/>
          <w:sz w:val="19"/>
          <w:szCs w:val="19"/>
        </w:rPr>
        <w:softHyphen/>
        <w:t>dějí do lepšího příští v novém našem státoprávním posta</w:t>
      </w:r>
      <w:r>
        <w:rPr>
          <w:b/>
          <w:bCs/>
          <w:sz w:val="19"/>
          <w:szCs w:val="19"/>
        </w:rPr>
        <w:softHyphen/>
        <w:t>vení, tím lehč</w:t>
      </w:r>
      <w:r>
        <w:rPr>
          <w:b/>
          <w:bCs/>
          <w:sz w:val="19"/>
          <w:szCs w:val="19"/>
        </w:rPr>
        <w:t xml:space="preserve">eji bude nám překonávat bolesti, spojené </w:t>
      </w:r>
      <w:r>
        <w:rPr>
          <w:b/>
          <w:bCs/>
          <w:sz w:val="19"/>
          <w:szCs w:val="19"/>
          <w:lang w:val="en-US" w:eastAsia="en-US" w:bidi="en-US"/>
        </w:rPr>
        <w:t xml:space="preserve">so </w:t>
      </w:r>
      <w:r>
        <w:rPr>
          <w:b/>
          <w:bCs/>
          <w:sz w:val="19"/>
          <w:szCs w:val="19"/>
        </w:rPr>
        <w:t>změnou, jež nastala v polovině měsíce března. Všichni pocti</w:t>
      </w:r>
      <w:r>
        <w:rPr>
          <w:b/>
          <w:bCs/>
          <w:sz w:val="19"/>
          <w:szCs w:val="19"/>
        </w:rPr>
        <w:softHyphen/>
        <w:t>ví Češi teď musí míti jediný zájem: udržet jednotu národa, upevnit ji politicky, hospodářsky, kulturně i mravně. Zří</w:t>
      </w:r>
      <w:r>
        <w:rPr>
          <w:b/>
          <w:bCs/>
          <w:sz w:val="19"/>
          <w:szCs w:val="19"/>
        </w:rPr>
        <w:softHyphen/>
        <w:t>zení jediné strany je tedy skutečný</w:t>
      </w:r>
      <w:r>
        <w:rPr>
          <w:b/>
          <w:bCs/>
          <w:sz w:val="19"/>
          <w:szCs w:val="19"/>
        </w:rPr>
        <w:t>m příkazem těchto těž</w:t>
      </w:r>
      <w:r>
        <w:rPr>
          <w:b/>
          <w:bCs/>
          <w:sz w:val="19"/>
          <w:szCs w:val="19"/>
        </w:rPr>
        <w:softHyphen/>
        <w:t>kých dnů. A je potřebí, aby se v ní sešli k práci všichni Češi, ať stáli napravo, nalevo, ve středu nebo mimo strany, aby si podali ruce a hlavně, aby sl slíbili vzájemnou pocti</w:t>
      </w:r>
      <w:r>
        <w:rPr>
          <w:b/>
          <w:bCs/>
          <w:sz w:val="19"/>
          <w:szCs w:val="19"/>
        </w:rPr>
        <w:softHyphen/>
        <w:t>vost, věrnost, vzájemnou lásku a snášenlivost. Musíme př</w:t>
      </w:r>
      <w:r>
        <w:rPr>
          <w:b/>
          <w:bCs/>
          <w:sz w:val="19"/>
          <w:szCs w:val="19"/>
        </w:rPr>
        <w:t>i</w:t>
      </w:r>
      <w:r>
        <w:rPr>
          <w:b/>
          <w:bCs/>
          <w:sz w:val="19"/>
          <w:szCs w:val="19"/>
        </w:rPr>
        <w:softHyphen/>
        <w:t>jmout situaci jak je a pracovat, snažit se o zachování ná</w:t>
      </w:r>
      <w:r>
        <w:rPr>
          <w:b/>
          <w:bCs/>
          <w:sz w:val="19"/>
          <w:szCs w:val="19"/>
        </w:rPr>
        <w:softHyphen/>
        <w:t>rodních hodnot. Všechno ostatní, zájmy stranické a osobni</w:t>
      </w:r>
    </w:p>
    <w:p w:rsidR="00500724" w:rsidRDefault="00F30FB8">
      <w:pPr>
        <w:pStyle w:val="Zkladntext100"/>
        <w:shd w:val="clear" w:color="auto" w:fill="auto"/>
        <w:spacing w:line="187" w:lineRule="auto"/>
        <w:ind w:firstLine="0"/>
        <w:rPr>
          <w:sz w:val="19"/>
          <w:szCs w:val="19"/>
        </w:rPr>
      </w:pPr>
      <w:r>
        <w:rPr>
          <w:b/>
          <w:bCs/>
          <w:sz w:val="19"/>
          <w:szCs w:val="19"/>
        </w:rPr>
        <w:t>přijdou až po nich. Úkolem české národní strany na prvním místě musí býti udržet naprostý pořádek v českém národě, zastavit všechny spory,</w:t>
      </w:r>
      <w:r>
        <w:rPr>
          <w:b/>
          <w:bCs/>
          <w:sz w:val="19"/>
          <w:szCs w:val="19"/>
        </w:rPr>
        <w:t xml:space="preserve"> zamezit nešváry a obnovit jistotu a důvěru mezi lidmi. Jinými slovy: udržet národ mravně, dodat mu naděje a učit ho, že musí přijímat všechno v světě reálně, neoddávat se fantasiím, ovládnout cit rozumem, ale při tom cit vkládat zejména do jednání jednoho</w:t>
      </w:r>
      <w:r>
        <w:rPr>
          <w:b/>
          <w:bCs/>
          <w:sz w:val="19"/>
          <w:szCs w:val="19"/>
        </w:rPr>
        <w:t xml:space="preserve"> s druhým, de to velký a čestný úkol, kde se uplatní drobná práce, do</w:t>
      </w:r>
      <w:r>
        <w:rPr>
          <w:b/>
          <w:bCs/>
          <w:sz w:val="19"/>
          <w:szCs w:val="19"/>
        </w:rPr>
        <w:softHyphen/>
        <w:t>brá vůle, smysl pro odpovědnost. Všichni tedy musí pomá</w:t>
      </w:r>
      <w:r>
        <w:rPr>
          <w:b/>
          <w:bCs/>
          <w:sz w:val="19"/>
          <w:szCs w:val="19"/>
        </w:rPr>
        <w:softHyphen/>
        <w:t>hat vznikající jediné české straně ke zdaru jejího poslání.</w:t>
      </w:r>
    </w:p>
    <w:p w:rsidR="00500724" w:rsidRDefault="00F30FB8">
      <w:pPr>
        <w:pStyle w:val="Zkladntext20"/>
        <w:shd w:val="clear" w:color="auto" w:fill="auto"/>
        <w:spacing w:after="140" w:line="178" w:lineRule="auto"/>
        <w:ind w:firstLine="0"/>
        <w:jc w:val="right"/>
        <w:rPr>
          <w:sz w:val="20"/>
          <w:szCs w:val="20"/>
        </w:rPr>
      </w:pPr>
      <w:r>
        <w:rPr>
          <w:b/>
          <w:bCs/>
          <w:i/>
          <w:iCs/>
          <w:sz w:val="20"/>
          <w:szCs w:val="20"/>
        </w:rPr>
        <w:t>Cis</w:t>
      </w:r>
    </w:p>
    <w:p w:rsidR="00500724" w:rsidRDefault="00F30FB8">
      <w:pPr>
        <w:pStyle w:val="Zkladntext20"/>
        <w:shd w:val="clear" w:color="auto" w:fill="auto"/>
        <w:spacing w:line="180" w:lineRule="auto"/>
        <w:ind w:firstLine="0"/>
        <w:jc w:val="center"/>
        <w:rPr>
          <w:sz w:val="20"/>
          <w:szCs w:val="20"/>
        </w:rPr>
      </w:pPr>
      <w:r>
        <w:rPr>
          <w:b/>
          <w:bCs/>
          <w:sz w:val="20"/>
          <w:szCs w:val="20"/>
        </w:rPr>
        <w:t>České hospodářství v německé říši</w:t>
      </w:r>
    </w:p>
    <w:p w:rsidR="00500724" w:rsidRDefault="00F30FB8">
      <w:pPr>
        <w:pStyle w:val="Zkladntext100"/>
        <w:shd w:val="clear" w:color="auto" w:fill="auto"/>
        <w:ind w:firstLine="220"/>
        <w:rPr>
          <w:sz w:val="19"/>
          <w:szCs w:val="19"/>
        </w:rPr>
      </w:pPr>
      <w:r>
        <w:rPr>
          <w:b/>
          <w:bCs/>
          <w:sz w:val="19"/>
          <w:szCs w:val="19"/>
        </w:rPr>
        <w:t xml:space="preserve">Neni pochopitelně zatím možné </w:t>
      </w:r>
      <w:r>
        <w:rPr>
          <w:b/>
          <w:bCs/>
          <w:sz w:val="19"/>
          <w:szCs w:val="19"/>
        </w:rPr>
        <w:t>přehlédnout, jak se vyvi</w:t>
      </w:r>
      <w:r>
        <w:rPr>
          <w:b/>
          <w:bCs/>
          <w:sz w:val="19"/>
          <w:szCs w:val="19"/>
        </w:rPr>
        <w:softHyphen/>
        <w:t>nou poměry v našem novém státoprávním postavení po stránce národohospodářské, protože podrobnosti úpravy do</w:t>
      </w:r>
      <w:r>
        <w:rPr>
          <w:b/>
          <w:bCs/>
          <w:sz w:val="19"/>
          <w:szCs w:val="19"/>
        </w:rPr>
        <w:softHyphen/>
        <w:t>posud nebyly uveřejněny. Víme zatím jenom, že celní území a měna budou společné a že administrativa českého prostoru bude p</w:t>
      </w:r>
      <w:r>
        <w:rPr>
          <w:b/>
          <w:bCs/>
          <w:sz w:val="19"/>
          <w:szCs w:val="19"/>
        </w:rPr>
        <w:t>ravděpodobně finančně do velké míry autonomní. Velkoněmecká říše se stane ovšem nyní největším prů</w:t>
      </w:r>
      <w:r>
        <w:rPr>
          <w:b/>
          <w:bCs/>
          <w:sz w:val="19"/>
          <w:szCs w:val="19"/>
        </w:rPr>
        <w:softHyphen/>
        <w:t>myslovým státem světa, který předčí počtem v průmyslu zaměstnaných lidí i Spojené Státy americké. S hlediska ze</w:t>
      </w:r>
      <w:r>
        <w:rPr>
          <w:b/>
          <w:bCs/>
          <w:sz w:val="19"/>
          <w:szCs w:val="19"/>
        </w:rPr>
        <w:softHyphen/>
        <w:t>mědělské výroby nedojde k podstatnějším změná</w:t>
      </w:r>
      <w:r>
        <w:rPr>
          <w:b/>
          <w:bCs/>
          <w:sz w:val="19"/>
          <w:szCs w:val="19"/>
        </w:rPr>
        <w:t xml:space="preserve">m, neboť po odpadu krajů slovenských nebudou zemědělské přebytky českých zemí veliké a naprosto nepostačí spotřebě celé říše, která bude musit i nadále věnovat velkou péči </w:t>
      </w:r>
      <w:r>
        <w:rPr>
          <w:b/>
          <w:bCs/>
          <w:sz w:val="19"/>
          <w:szCs w:val="19"/>
          <w:lang w:val="en-US" w:eastAsia="en-US" w:bidi="en-US"/>
        </w:rPr>
        <w:t>organi</w:t>
      </w:r>
      <w:r>
        <w:rPr>
          <w:b/>
          <w:bCs/>
          <w:sz w:val="19"/>
          <w:szCs w:val="19"/>
          <w:lang w:val="en-US" w:eastAsia="en-US" w:bidi="en-US"/>
        </w:rPr>
        <w:softHyphen/>
        <w:t xml:space="preserve">saci </w:t>
      </w:r>
      <w:r>
        <w:rPr>
          <w:b/>
          <w:bCs/>
          <w:sz w:val="19"/>
          <w:szCs w:val="19"/>
        </w:rPr>
        <w:t>dovozu zemědělských produktů. Tim se také rozumí, že domácí odbyt zemědě</w:t>
      </w:r>
      <w:r>
        <w:rPr>
          <w:b/>
          <w:bCs/>
          <w:sz w:val="19"/>
          <w:szCs w:val="19"/>
        </w:rPr>
        <w:t>lských výrobků bude v nových po</w:t>
      </w:r>
      <w:r>
        <w:rPr>
          <w:b/>
          <w:bCs/>
          <w:sz w:val="19"/>
          <w:szCs w:val="19"/>
        </w:rPr>
        <w:softHyphen/>
        <w:t>měrech zaručen.</w:t>
      </w:r>
    </w:p>
    <w:p w:rsidR="00500724" w:rsidRDefault="00F30FB8">
      <w:pPr>
        <w:pStyle w:val="Zkladntext100"/>
        <w:shd w:val="clear" w:color="auto" w:fill="auto"/>
        <w:spacing w:line="190" w:lineRule="auto"/>
        <w:ind w:firstLine="220"/>
        <w:rPr>
          <w:sz w:val="19"/>
          <w:szCs w:val="19"/>
        </w:rPr>
      </w:pPr>
      <w:r>
        <w:rPr>
          <w:b/>
          <w:bCs/>
          <w:sz w:val="19"/>
          <w:szCs w:val="19"/>
        </w:rPr>
        <w:t xml:space="preserve">Lze tedy předpokládat, že vzhledem k novému celnímu režimu bude především zlevněno uhlí pró náš průmysl a zmizí tak nesnáze, s nimiž náš průmysl zápasil od října loňského roku. Výrobnost u nás vzhledem k </w:t>
      </w:r>
      <w:r>
        <w:rPr>
          <w:b/>
          <w:bCs/>
          <w:sz w:val="19"/>
          <w:szCs w:val="19"/>
        </w:rPr>
        <w:t xml:space="preserve">programu čtyř- letky nepochybně stoupne a dá se předpokládat, že nebude nezaměstnaných, jakmile bude spolupráce upravena. To se bude zvláště týkat těžkého průmyslu, kde úprava bude patrně nejsnazší. Pro některé průmyslové obory, zejména malokovový průmysl </w:t>
      </w:r>
      <w:r>
        <w:rPr>
          <w:b/>
          <w:bCs/>
          <w:sz w:val="19"/>
          <w:szCs w:val="19"/>
        </w:rPr>
        <w:t>a textil, bude pravděpodobně nutno zavěsti přechodná opatření, aby si jednotlivé průmyslové obory, nyní ležící uvnitř téže celní čáry, zbytečnou konku</w:t>
      </w:r>
      <w:r>
        <w:rPr>
          <w:b/>
          <w:bCs/>
          <w:sz w:val="19"/>
          <w:szCs w:val="19"/>
        </w:rPr>
        <w:softHyphen/>
        <w:t>rencí neškodily. Taková soutěž by snad sice mohla někte</w:t>
      </w:r>
      <w:r>
        <w:rPr>
          <w:b/>
          <w:bCs/>
          <w:sz w:val="19"/>
          <w:szCs w:val="19"/>
        </w:rPr>
        <w:softHyphen/>
        <w:t>rým oborům zde či tam dočasně prospět, aie s jedn</w:t>
      </w:r>
      <w:r>
        <w:rPr>
          <w:b/>
          <w:bCs/>
          <w:sz w:val="19"/>
          <w:szCs w:val="19"/>
        </w:rPr>
        <w:t>otného hlediska hospodářského by byla ztrátová. Je to sice složitá otázka, ale není neřešitelná, zejména při organisační vyspě</w:t>
      </w:r>
      <w:r>
        <w:rPr>
          <w:b/>
          <w:bCs/>
          <w:sz w:val="19"/>
          <w:szCs w:val="19"/>
        </w:rPr>
        <w:softHyphen/>
        <w:t>losti průmyslových oborů u nás i v Německu.</w:t>
      </w:r>
    </w:p>
    <w:p w:rsidR="00500724" w:rsidRDefault="00F30FB8">
      <w:pPr>
        <w:pStyle w:val="Zkladntext100"/>
        <w:shd w:val="clear" w:color="auto" w:fill="auto"/>
        <w:spacing w:line="192" w:lineRule="auto"/>
        <w:ind w:firstLine="220"/>
        <w:rPr>
          <w:sz w:val="19"/>
          <w:szCs w:val="19"/>
        </w:rPr>
      </w:pPr>
      <w:r>
        <w:rPr>
          <w:b/>
          <w:bCs/>
          <w:sz w:val="19"/>
          <w:szCs w:val="19"/>
        </w:rPr>
        <w:t>Velmi významná je otázka dopravní. Především lze před</w:t>
      </w:r>
      <w:r>
        <w:rPr>
          <w:b/>
          <w:bCs/>
          <w:sz w:val="19"/>
          <w:szCs w:val="19"/>
        </w:rPr>
        <w:softHyphen/>
        <w:t>pokládat, že našemu zboží prosp</w:t>
      </w:r>
      <w:r>
        <w:rPr>
          <w:b/>
          <w:bCs/>
          <w:sz w:val="19"/>
          <w:szCs w:val="19"/>
        </w:rPr>
        <w:t>ěje jednotná úprava tarifů, která také pomůže k usnadnění vývozu i přes nové překážky, které nastanou. Výhoda bude zejména v tom, že až dosud ’/. našeho exportovaného zboží šlo přes říšskoněmecké dráhy, které nyní pravděpodobně ochotněji pomohou mu k levně</w:t>
      </w:r>
      <w:r>
        <w:rPr>
          <w:b/>
          <w:bCs/>
          <w:sz w:val="19"/>
          <w:szCs w:val="19"/>
        </w:rPr>
        <w:t>jší dopravě až do mořských přístavů, což znamená velmi mno</w:t>
      </w:r>
      <w:r>
        <w:rPr>
          <w:b/>
          <w:bCs/>
          <w:sz w:val="19"/>
          <w:szCs w:val="19"/>
        </w:rPr>
        <w:softHyphen/>
        <w:t>ho ve světové soutěži. Při tom Německo má velké vlastní obchodní loďstvo, dobře organisované a znamenitou vlastní rozsáhlou exportní sít, která nyní bude spolupracovat s naši Sítí, jež ovšem nebyla</w:t>
      </w:r>
      <w:r>
        <w:rPr>
          <w:b/>
          <w:bCs/>
          <w:sz w:val="19"/>
          <w:szCs w:val="19"/>
        </w:rPr>
        <w:t xml:space="preserve"> ani zdaleka tak vyvinuta. Odstranění této konkurence ve světě spolu s touto spoluprací je s hle</w:t>
      </w:r>
      <w:r>
        <w:rPr>
          <w:b/>
          <w:bCs/>
          <w:sz w:val="19"/>
          <w:szCs w:val="19"/>
        </w:rPr>
        <w:softHyphen/>
        <w:t>diska ryze hospodářského změna vysoce důležitá.</w:t>
      </w:r>
    </w:p>
    <w:p w:rsidR="00500724" w:rsidRDefault="00F30FB8">
      <w:pPr>
        <w:pStyle w:val="Zkladntext100"/>
        <w:shd w:val="clear" w:color="auto" w:fill="auto"/>
        <w:spacing w:line="190" w:lineRule="auto"/>
        <w:ind w:firstLine="220"/>
        <w:rPr>
          <w:sz w:val="19"/>
          <w:szCs w:val="19"/>
        </w:rPr>
      </w:pPr>
      <w:r>
        <w:rPr>
          <w:b/>
          <w:bCs/>
          <w:sz w:val="19"/>
          <w:szCs w:val="19"/>
        </w:rPr>
        <w:t>Není ovšem nemožné, že nastanou asi exportní nesnáze politického rázu a lze si představit, že také postupná úpr</w:t>
      </w:r>
      <w:r>
        <w:rPr>
          <w:b/>
          <w:bCs/>
          <w:sz w:val="19"/>
          <w:szCs w:val="19"/>
        </w:rPr>
        <w:t>a</w:t>
      </w:r>
      <w:r>
        <w:rPr>
          <w:b/>
          <w:bCs/>
          <w:sz w:val="19"/>
          <w:szCs w:val="19"/>
        </w:rPr>
        <w:softHyphen/>
        <w:t>va této hospodářské spolupráce nebude snadná a že si vy</w:t>
      </w:r>
      <w:r>
        <w:rPr>
          <w:b/>
          <w:bCs/>
          <w:sz w:val="19"/>
          <w:szCs w:val="19"/>
        </w:rPr>
        <w:softHyphen/>
        <w:t>žádá pečlivých objektivních úvah, aby žádné výrobní obory netrpěly. To jsou však věci tak složité, že je vůbec vylouče</w:t>
      </w:r>
      <w:r>
        <w:rPr>
          <w:b/>
          <w:bCs/>
          <w:sz w:val="19"/>
          <w:szCs w:val="19"/>
        </w:rPr>
        <w:softHyphen/>
        <w:t>no je posoudit, dokud neznáme předpisy, jimiž budou alespoň všeobecně upraveny.</w:t>
      </w:r>
      <w:r>
        <w:rPr>
          <w:b/>
          <w:bCs/>
          <w:sz w:val="19"/>
          <w:szCs w:val="19"/>
        </w:rPr>
        <w:t xml:space="preserve"> Takové normy ovšem není možné vydat s překotnou rychlostí a proto patrně bude ja</w:t>
      </w:r>
      <w:r>
        <w:rPr>
          <w:b/>
          <w:bCs/>
          <w:sz w:val="19"/>
          <w:szCs w:val="19"/>
        </w:rPr>
        <w:softHyphen/>
        <w:t>kési doby potřebí k tomu, aby se nově spojené hospodářské celky na sebe úspěšně navázaly, slovem, aby se kolečka zkloubila. I přes starosti, které to přinese, nesnáze, s nimi</w:t>
      </w:r>
      <w:r>
        <w:rPr>
          <w:b/>
          <w:bCs/>
          <w:sz w:val="19"/>
          <w:szCs w:val="19"/>
        </w:rPr>
        <w:t>ž bude nutno zápasit, bude tím, co se stalo, zde zase pro naše lidi vlastně otevřena nová škola, ve které se naučí rychlosti, přizpůsobivosti, a nabudou představ o světovosti.</w:t>
      </w:r>
    </w:p>
    <w:p w:rsidR="00500724" w:rsidRDefault="00F30FB8">
      <w:pPr>
        <w:pStyle w:val="Zkladntext100"/>
        <w:shd w:val="clear" w:color="auto" w:fill="auto"/>
        <w:spacing w:line="190" w:lineRule="auto"/>
        <w:ind w:firstLine="220"/>
        <w:rPr>
          <w:sz w:val="19"/>
          <w:szCs w:val="19"/>
        </w:rPr>
      </w:pPr>
      <w:r>
        <w:rPr>
          <w:b/>
          <w:bCs/>
          <w:sz w:val="19"/>
          <w:szCs w:val="19"/>
        </w:rPr>
        <w:t>Zbývá otázka cen doma na vnitřním trhu. Při systému pevné regulace cen u výrobce</w:t>
      </w:r>
      <w:r>
        <w:rPr>
          <w:b/>
          <w:bCs/>
          <w:sz w:val="19"/>
          <w:szCs w:val="19"/>
        </w:rPr>
        <w:t>, obchodníka a spotřebitele nemusí ani zde nastat ani po přechodnou dobu žádné zvláštní poruchy. Tu závisí mnoho na kázni, kterou dovedeme vyvi</w:t>
      </w:r>
      <w:r>
        <w:rPr>
          <w:b/>
          <w:bCs/>
          <w:sz w:val="19"/>
          <w:szCs w:val="19"/>
        </w:rPr>
        <w:softHyphen/>
        <w:t>nout a na pochopení nové situace — vzájemném, ovšem — na kterou se my musíme dívat střízlivě a hledět se ií při</w:t>
      </w:r>
      <w:r>
        <w:rPr>
          <w:b/>
          <w:bCs/>
          <w:sz w:val="19"/>
          <w:szCs w:val="19"/>
        </w:rPr>
        <w:softHyphen/>
      </w:r>
      <w:r>
        <w:rPr>
          <w:b/>
          <w:bCs/>
          <w:sz w:val="19"/>
          <w:szCs w:val="19"/>
        </w:rPr>
        <w:t>způsobit. Upozornili jsme zde konečně již před delším ča</w:t>
      </w:r>
      <w:r>
        <w:rPr>
          <w:b/>
          <w:bCs/>
          <w:sz w:val="19"/>
          <w:szCs w:val="19"/>
        </w:rPr>
        <w:softHyphen/>
      </w:r>
    </w:p>
    <w:p w:rsidR="00500724" w:rsidRDefault="00F30FB8">
      <w:pPr>
        <w:pStyle w:val="Zkladntext100"/>
        <w:shd w:val="clear" w:color="auto" w:fill="auto"/>
        <w:tabs>
          <w:tab w:val="left" w:pos="4769"/>
        </w:tabs>
        <w:spacing w:after="220" w:line="190" w:lineRule="auto"/>
        <w:ind w:firstLine="0"/>
        <w:rPr>
          <w:sz w:val="20"/>
          <w:szCs w:val="20"/>
        </w:rPr>
      </w:pPr>
      <w:r>
        <w:rPr>
          <w:b/>
          <w:bCs/>
          <w:sz w:val="19"/>
          <w:szCs w:val="19"/>
        </w:rPr>
        <w:t>sem, že Německo velmi dbá toho, aby sociálně-politické vy</w:t>
      </w:r>
      <w:r>
        <w:rPr>
          <w:b/>
          <w:bCs/>
          <w:sz w:val="19"/>
          <w:szCs w:val="19"/>
        </w:rPr>
        <w:softHyphen/>
        <w:t>moženosti pracujících lidí nebyly omezovány, a že je syste</w:t>
      </w:r>
      <w:r>
        <w:rPr>
          <w:b/>
          <w:bCs/>
          <w:sz w:val="19"/>
          <w:szCs w:val="19"/>
        </w:rPr>
        <w:softHyphen/>
        <w:t>maticky dále buduje. Z toho patrně tedy vzniknou našim zaměstnavatelům četné prob</w:t>
      </w:r>
      <w:r>
        <w:rPr>
          <w:b/>
          <w:bCs/>
          <w:sz w:val="19"/>
          <w:szCs w:val="19"/>
        </w:rPr>
        <w:t>lémy, ale vzhledem k auto</w:t>
      </w:r>
      <w:r>
        <w:rPr>
          <w:b/>
          <w:bCs/>
          <w:sz w:val="19"/>
          <w:szCs w:val="19"/>
        </w:rPr>
        <w:softHyphen/>
        <w:t>nomii českého území bude je také možno postupně překo</w:t>
      </w:r>
      <w:r>
        <w:rPr>
          <w:b/>
          <w:bCs/>
          <w:sz w:val="19"/>
          <w:szCs w:val="19"/>
        </w:rPr>
        <w:softHyphen/>
        <w:t>nat. Bude nutno ovšem pochopit, že sociálně-hospodářsky Německo nikterak nejde »doprava«, jak se někteří zaměst</w:t>
      </w:r>
      <w:r>
        <w:rPr>
          <w:b/>
          <w:bCs/>
          <w:sz w:val="19"/>
          <w:szCs w:val="19"/>
        </w:rPr>
        <w:softHyphen/>
        <w:t>navatelé snad časem u nás domnívali.</w:t>
      </w:r>
      <w:r>
        <w:rPr>
          <w:b/>
          <w:bCs/>
          <w:sz w:val="19"/>
          <w:szCs w:val="19"/>
        </w:rPr>
        <w:tab/>
      </w:r>
      <w:r>
        <w:rPr>
          <w:i/>
          <w:iCs/>
          <w:sz w:val="20"/>
          <w:szCs w:val="20"/>
        </w:rPr>
        <w:t>Ciš</w:t>
      </w:r>
    </w:p>
    <w:p w:rsidR="00500724" w:rsidRDefault="00F30FB8">
      <w:pPr>
        <w:pStyle w:val="Zkladntext20"/>
        <w:shd w:val="clear" w:color="auto" w:fill="auto"/>
        <w:spacing w:after="80" w:line="178" w:lineRule="auto"/>
        <w:ind w:firstLine="0"/>
        <w:rPr>
          <w:sz w:val="20"/>
          <w:szCs w:val="20"/>
        </w:rPr>
      </w:pPr>
      <w:r>
        <w:rPr>
          <w:b/>
          <w:bCs/>
          <w:sz w:val="20"/>
          <w:szCs w:val="20"/>
        </w:rPr>
        <w:t>Časové poznámky o denun</w:t>
      </w:r>
      <w:r>
        <w:rPr>
          <w:b/>
          <w:bCs/>
          <w:sz w:val="20"/>
          <w:szCs w:val="20"/>
        </w:rPr>
        <w:t>ciantství a jiných věcech</w:t>
      </w:r>
    </w:p>
    <w:p w:rsidR="00500724" w:rsidRDefault="00F30FB8">
      <w:pPr>
        <w:pStyle w:val="Zkladntext100"/>
        <w:shd w:val="clear" w:color="auto" w:fill="auto"/>
        <w:spacing w:line="187" w:lineRule="auto"/>
        <w:ind w:firstLine="220"/>
        <w:rPr>
          <w:sz w:val="19"/>
          <w:szCs w:val="19"/>
        </w:rPr>
      </w:pPr>
      <w:r>
        <w:rPr>
          <w:b/>
          <w:bCs/>
          <w:sz w:val="19"/>
          <w:szCs w:val="19"/>
        </w:rPr>
        <w:t>Příslovečná německá věta, vystihující tak lapidárně po</w:t>
      </w:r>
      <w:r>
        <w:rPr>
          <w:b/>
          <w:bCs/>
          <w:sz w:val="19"/>
          <w:szCs w:val="19"/>
        </w:rPr>
        <w:softHyphen/>
        <w:t>měr mezi lumpem a denunciantem, cituje se sice velmi často, ale teď neváháme ani my připomenout starý, básnic</w:t>
      </w:r>
      <w:r>
        <w:rPr>
          <w:b/>
          <w:bCs/>
          <w:sz w:val="19"/>
          <w:szCs w:val="19"/>
        </w:rPr>
        <w:softHyphen/>
        <w:t>ký výrok. Nikoli proto, že bychom měli k tomu nějaký zvláštní a o</w:t>
      </w:r>
      <w:r>
        <w:rPr>
          <w:b/>
          <w:bCs/>
          <w:sz w:val="19"/>
          <w:szCs w:val="19"/>
        </w:rPr>
        <w:t>sobitý důvod, nýbrž jenom z té příčiny, že nyní bude náš národ potřebovati ctností opravdu mužných a že by se kaz v charakteru jednotlivcově snadno mohl připsatt k tíži národnímu celku. Projevovati dobré vlastnosti v do</w:t>
      </w:r>
      <w:r>
        <w:rPr>
          <w:b/>
          <w:bCs/>
          <w:sz w:val="19"/>
          <w:szCs w:val="19"/>
        </w:rPr>
        <w:softHyphen/>
        <w:t>bách příznivých není žádné umění, al</w:t>
      </w:r>
      <w:r>
        <w:rPr>
          <w:b/>
          <w:bCs/>
          <w:sz w:val="19"/>
          <w:szCs w:val="19"/>
        </w:rPr>
        <w:t>e těžší to bývá v po</w:t>
      </w:r>
      <w:r>
        <w:rPr>
          <w:b/>
          <w:bCs/>
          <w:sz w:val="19"/>
          <w:szCs w:val="19"/>
        </w:rPr>
        <w:softHyphen/>
        <w:t>měrech mimořádně svízelných, v jakých se náš národní ži</w:t>
      </w:r>
      <w:r>
        <w:rPr>
          <w:b/>
          <w:bCs/>
          <w:sz w:val="19"/>
          <w:szCs w:val="19"/>
        </w:rPr>
        <w:softHyphen/>
        <w:t>vot octl. Máme za to, že Němci nevyžadují na nás podléza</w:t>
      </w:r>
      <w:r>
        <w:rPr>
          <w:b/>
          <w:bCs/>
          <w:sz w:val="19"/>
          <w:szCs w:val="19"/>
        </w:rPr>
        <w:softHyphen/>
        <w:t xml:space="preserve">vou ohebnost, ani odpornou měkkost páteře. Četli jsme již v úředním německém tisku výroky, že se jim takové věcí protiví. </w:t>
      </w:r>
      <w:r>
        <w:rPr>
          <w:b/>
          <w:bCs/>
          <w:sz w:val="19"/>
          <w:szCs w:val="19"/>
        </w:rPr>
        <w:t>Bude dobře, zapamatuje-li si to každý příslušník našeho národa — a bude-li podle toho jednat. Proto se také domníváme, že »P. L.« připomněl správně nejen okřídlenou básnickou větu, ale připojil k ní poznámky velmi časové, když napsal: »Němci jsou, jak znám</w:t>
      </w:r>
      <w:r>
        <w:rPr>
          <w:b/>
          <w:bCs/>
          <w:sz w:val="19"/>
          <w:szCs w:val="19"/>
        </w:rPr>
        <w:t>o, po právu velmi citliví na zásadu osobní cti a národní hrdosti. A opovrhují vším nečestným a podlézavým. Opovrhují proto také ža- lobníčky a denuncianty. Proto se nikdy a nikde k ničemu takovému neuchylujte.«</w:t>
      </w:r>
    </w:p>
    <w:p w:rsidR="00500724" w:rsidRDefault="00F30FB8">
      <w:pPr>
        <w:pStyle w:val="Zkladntext100"/>
        <w:shd w:val="clear" w:color="auto" w:fill="auto"/>
        <w:spacing w:line="187" w:lineRule="auto"/>
        <w:ind w:firstLine="220"/>
        <w:rPr>
          <w:sz w:val="19"/>
          <w:szCs w:val="19"/>
        </w:rPr>
      </w:pPr>
      <w:r>
        <w:rPr>
          <w:b/>
          <w:bCs/>
          <w:sz w:val="19"/>
          <w:szCs w:val="19"/>
        </w:rPr>
        <w:t>Toto varování mohlo a mělo by míti ovšem plat</w:t>
      </w:r>
      <w:r>
        <w:rPr>
          <w:b/>
          <w:bCs/>
          <w:sz w:val="19"/>
          <w:szCs w:val="19"/>
        </w:rPr>
        <w:t>nost vše</w:t>
      </w:r>
      <w:r>
        <w:rPr>
          <w:b/>
          <w:bCs/>
          <w:sz w:val="19"/>
          <w:szCs w:val="19"/>
        </w:rPr>
        <w:softHyphen/>
        <w:t>obecnější. Dalo by se adresovat všem lidem, kteří jsou snad ochotni využít nových poměrů a okolností ve svůj osobní prospěch — af už společensky, obchodně nebo i politicky. Někdy snad příležitost svádí, ale právě tehdy jest se muž</w:t>
      </w:r>
      <w:r>
        <w:rPr>
          <w:b/>
          <w:bCs/>
          <w:sz w:val="19"/>
          <w:szCs w:val="19"/>
        </w:rPr>
        <w:softHyphen/>
        <w:t xml:space="preserve">nému charakteru </w:t>
      </w:r>
      <w:r>
        <w:rPr>
          <w:b/>
          <w:bCs/>
          <w:sz w:val="19"/>
          <w:szCs w:val="19"/>
        </w:rPr>
        <w:t>projevit: »Tak je to správné a tak to má být mezi celými muži, kteří se k sobě chovají mužně, zdvo</w:t>
      </w:r>
      <w:r>
        <w:rPr>
          <w:b/>
          <w:bCs/>
          <w:sz w:val="19"/>
          <w:szCs w:val="19"/>
        </w:rPr>
        <w:softHyphen/>
        <w:t>řile, korektně, hrdě a sebevědomě. V těchto vlastnostech chceme, stejně jako Němci, vyniknouti i my.«</w:t>
      </w:r>
    </w:p>
    <w:p w:rsidR="00500724" w:rsidRDefault="00F30FB8">
      <w:pPr>
        <w:pStyle w:val="Zkladntext100"/>
        <w:shd w:val="clear" w:color="auto" w:fill="auto"/>
        <w:tabs>
          <w:tab w:val="left" w:pos="4769"/>
        </w:tabs>
        <w:spacing w:after="220" w:line="187" w:lineRule="auto"/>
        <w:ind w:firstLine="220"/>
        <w:rPr>
          <w:sz w:val="20"/>
          <w:szCs w:val="20"/>
        </w:rPr>
      </w:pPr>
      <w:r>
        <w:rPr>
          <w:b/>
          <w:bCs/>
          <w:sz w:val="19"/>
          <w:szCs w:val="19"/>
        </w:rPr>
        <w:t>Nepochybujeme, že se Němci dívají na nás velmi pozor</w:t>
      </w:r>
      <w:r>
        <w:rPr>
          <w:b/>
          <w:bCs/>
          <w:sz w:val="19"/>
          <w:szCs w:val="19"/>
        </w:rPr>
        <w:softHyphen/>
        <w:t>ně</w:t>
      </w:r>
      <w:r>
        <w:rPr>
          <w:b/>
          <w:bCs/>
          <w:sz w:val="19"/>
          <w:szCs w:val="19"/>
        </w:rPr>
        <w:t>, odvozujíce jistá pravidla chování k nám z toho, jak se chováme my sami. Ovšem: projevovati nejlepší vlastností národního charakteru měli bychom v každém případě, af nás někdo pozoruje nebo ne. Nemýlíme se zajisté, řadíme-Il také tento příkaz mezi vlastno</w:t>
      </w:r>
      <w:r>
        <w:rPr>
          <w:b/>
          <w:bCs/>
          <w:sz w:val="19"/>
          <w:szCs w:val="19"/>
        </w:rPr>
        <w:t>sti, na nichž zachování naší národní svébytnosti závisí.</w:t>
      </w:r>
      <w:r>
        <w:rPr>
          <w:b/>
          <w:bCs/>
          <w:sz w:val="19"/>
          <w:szCs w:val="19"/>
        </w:rPr>
        <w:tab/>
      </w:r>
      <w:r>
        <w:rPr>
          <w:b/>
          <w:bCs/>
          <w:i/>
          <w:iCs/>
          <w:sz w:val="20"/>
          <w:szCs w:val="20"/>
        </w:rPr>
        <w:t>fn</w:t>
      </w:r>
    </w:p>
    <w:p w:rsidR="00500724" w:rsidRDefault="00F30FB8">
      <w:pPr>
        <w:pStyle w:val="Zkladntext20"/>
        <w:shd w:val="clear" w:color="auto" w:fill="auto"/>
        <w:spacing w:after="80" w:line="178" w:lineRule="auto"/>
        <w:ind w:firstLine="0"/>
        <w:jc w:val="center"/>
        <w:rPr>
          <w:sz w:val="20"/>
          <w:szCs w:val="20"/>
        </w:rPr>
      </w:pPr>
      <w:r>
        <w:rPr>
          <w:b/>
          <w:bCs/>
          <w:sz w:val="20"/>
          <w:szCs w:val="20"/>
        </w:rPr>
        <w:t>Hospodářské prvky samostatného Slovenska</w:t>
      </w:r>
    </w:p>
    <w:p w:rsidR="00500724" w:rsidRDefault="00F30FB8">
      <w:pPr>
        <w:pStyle w:val="Zkladntext100"/>
        <w:shd w:val="clear" w:color="auto" w:fill="auto"/>
        <w:spacing w:line="190" w:lineRule="auto"/>
        <w:ind w:firstLine="300"/>
        <w:rPr>
          <w:sz w:val="19"/>
          <w:szCs w:val="19"/>
        </w:rPr>
      </w:pPr>
      <w:r>
        <w:rPr>
          <w:b/>
          <w:bCs/>
          <w:sz w:val="19"/>
          <w:szCs w:val="19"/>
        </w:rPr>
        <w:t>ftckněme ihned, že se slovenský hospodářský život ocitá již nyní v poměrech zcela nových. Souviselo-li dosud hospo</w:t>
      </w:r>
      <w:r>
        <w:rPr>
          <w:b/>
          <w:bCs/>
          <w:sz w:val="19"/>
          <w:szCs w:val="19"/>
        </w:rPr>
        <w:softHyphen/>
        <w:t>dářství slovenské země především a všemi</w:t>
      </w:r>
      <w:r>
        <w:rPr>
          <w:b/>
          <w:bCs/>
          <w:sz w:val="19"/>
          <w:szCs w:val="19"/>
        </w:rPr>
        <w:t xml:space="preserve"> nervy se zeměmi historickými, je se mu nyní vyrovnati s konstelací vskutku netušenou. Nelze sice dosti bezpečně odhadnouti, co všechno se v slovenském hospodářství změní, ale dají se určití alespoň dosavadní vztahy, které nový vývoj tak náhle poru</w:t>
      </w:r>
      <w:r>
        <w:rPr>
          <w:b/>
          <w:bCs/>
          <w:sz w:val="19"/>
          <w:szCs w:val="19"/>
        </w:rPr>
        <w:softHyphen/>
        <w:t>šil. No</w:t>
      </w:r>
      <w:r>
        <w:rPr>
          <w:b/>
          <w:bCs/>
          <w:sz w:val="19"/>
          <w:szCs w:val="19"/>
        </w:rPr>
        <w:t>vé základy vtisknou slovenskému hospodářství nepo</w:t>
      </w:r>
      <w:r>
        <w:rPr>
          <w:b/>
          <w:bCs/>
          <w:sz w:val="19"/>
          <w:szCs w:val="19"/>
        </w:rPr>
        <w:softHyphen/>
        <w:t>chybně novou tendenci, ale ať budou výkyvy a odchylky od hlavní tendence jakékoliv. Jisto je, že se i slovenské hospo</w:t>
      </w:r>
      <w:r>
        <w:rPr>
          <w:b/>
          <w:bCs/>
          <w:sz w:val="19"/>
          <w:szCs w:val="19"/>
        </w:rPr>
        <w:softHyphen/>
        <w:t>dářství bude muset přizpůsobit silám, vyzařujícím z němec</w:t>
      </w:r>
      <w:r>
        <w:rPr>
          <w:b/>
          <w:bCs/>
          <w:sz w:val="19"/>
          <w:szCs w:val="19"/>
        </w:rPr>
        <w:softHyphen/>
        <w:t>ké říše.</w:t>
      </w:r>
    </w:p>
    <w:p w:rsidR="00500724" w:rsidRDefault="00F30FB8">
      <w:pPr>
        <w:pStyle w:val="Zkladntext100"/>
        <w:shd w:val="clear" w:color="auto" w:fill="auto"/>
        <w:spacing w:line="190" w:lineRule="auto"/>
        <w:ind w:firstLine="300"/>
        <w:rPr>
          <w:sz w:val="19"/>
          <w:szCs w:val="19"/>
        </w:rPr>
      </w:pPr>
      <w:r>
        <w:rPr>
          <w:b/>
          <w:bCs/>
          <w:sz w:val="19"/>
          <w:szCs w:val="19"/>
        </w:rPr>
        <w:t>S finančního hlediska</w:t>
      </w:r>
      <w:r>
        <w:rPr>
          <w:b/>
          <w:bCs/>
          <w:sz w:val="19"/>
          <w:szCs w:val="19"/>
        </w:rPr>
        <w:t xml:space="preserve"> byl již prvý rozpočet autonomní slovenské krajiny pasivní. Půjčka, kterou první slovenská vláda vypsala, měla odstraniti jednak rozpočtový schodek a jednak uhraditi nezbytné, vnitřní investice. Ačkoli ještě není známo, kolik půjčka vynesla, nemůže býti an</w:t>
      </w:r>
      <w:r>
        <w:rPr>
          <w:b/>
          <w:bCs/>
          <w:sz w:val="19"/>
          <w:szCs w:val="19"/>
        </w:rPr>
        <w:t xml:space="preserve">i nejlepší výsledek ničím více, než jednorázovým opatřením a pomocí. Poněvadž jsou dřívější svazky státního hospodářství pře- rvány, je Slovensko odkázáno výlučně na vlastní výnos daní a dávek. Před jakými problémy se Slovensko v tomto ohledu ocitá, ukáže </w:t>
      </w:r>
      <w:r>
        <w:rPr>
          <w:b/>
          <w:bCs/>
          <w:sz w:val="19"/>
          <w:szCs w:val="19"/>
        </w:rPr>
        <w:t>snad nejlépe dřívější poměr mezi slo</w:t>
      </w:r>
      <w:r>
        <w:rPr>
          <w:b/>
          <w:bCs/>
          <w:sz w:val="19"/>
          <w:szCs w:val="19"/>
        </w:rPr>
        <w:softHyphen/>
        <w:t>venskou krajino’, a historickými zeměmi.</w:t>
      </w:r>
    </w:p>
    <w:p w:rsidR="00500724" w:rsidRDefault="00F30FB8">
      <w:pPr>
        <w:pStyle w:val="Zkladntext100"/>
        <w:shd w:val="clear" w:color="auto" w:fill="auto"/>
        <w:spacing w:line="187" w:lineRule="auto"/>
        <w:ind w:firstLine="300"/>
        <w:rPr>
          <w:sz w:val="19"/>
          <w:szCs w:val="19"/>
        </w:rPr>
      </w:pPr>
      <w:r>
        <w:rPr>
          <w:b/>
          <w:bCs/>
          <w:sz w:val="19"/>
          <w:szCs w:val="19"/>
        </w:rPr>
        <w:t>Vypadá zhruba takto: Na celostátních příjmech mělo Slo</w:t>
      </w:r>
      <w:r>
        <w:rPr>
          <w:b/>
          <w:bCs/>
          <w:sz w:val="19"/>
          <w:szCs w:val="19"/>
        </w:rPr>
        <w:softHyphen/>
        <w:t>vensko 12procentní účast, ale z celostátních vydání dostávalo 20 procent. Zatím co poplatník v historických zemích odvá</w:t>
      </w:r>
      <w:r>
        <w:rPr>
          <w:b/>
          <w:bCs/>
          <w:sz w:val="19"/>
          <w:szCs w:val="19"/>
        </w:rPr>
        <w:softHyphen/>
        <w:t>děl</w:t>
      </w:r>
      <w:r>
        <w:rPr>
          <w:b/>
          <w:bCs/>
          <w:sz w:val="19"/>
          <w:szCs w:val="19"/>
        </w:rPr>
        <w:t xml:space="preserve"> průměrně na veřejných dávkách 550 K ročně, připadalo na jednoho slovenského poplatníka jenom 198 K. Ačkoli jo pravda, že na veřejné investice přispívali také slovenští po</w:t>
      </w:r>
      <w:r>
        <w:rPr>
          <w:b/>
          <w:bCs/>
          <w:sz w:val="19"/>
          <w:szCs w:val="19"/>
        </w:rPr>
        <w:softHyphen/>
        <w:t>platníci, bylo přece investováno za dvacet let víc, než činil slovenský podíl, neboť</w:t>
      </w:r>
      <w:r>
        <w:rPr>
          <w:b/>
          <w:bCs/>
          <w:sz w:val="19"/>
          <w:szCs w:val="19"/>
        </w:rPr>
        <w:t xml:space="preserve"> celkové investice na Slovensku do</w:t>
      </w:r>
      <w:r>
        <w:rPr>
          <w:b/>
          <w:bCs/>
          <w:sz w:val="19"/>
          <w:szCs w:val="19"/>
        </w:rPr>
        <w:softHyphen/>
        <w:t>sáhly za dvacet let 10 miliard K. Nyní příspěvek historic</w:t>
      </w:r>
      <w:r>
        <w:rPr>
          <w:b/>
          <w:bCs/>
          <w:sz w:val="19"/>
          <w:szCs w:val="19"/>
        </w:rPr>
        <w:softHyphen/>
        <w:t>kých zemí odpadá a náhrada za néj nebude snadná, i když Si ji Slovensko bude opatřovati novými způsoby.</w:t>
      </w:r>
    </w:p>
    <w:p w:rsidR="00500724" w:rsidRDefault="00F30FB8">
      <w:pPr>
        <w:pStyle w:val="Zkladntext100"/>
        <w:shd w:val="clear" w:color="auto" w:fill="auto"/>
        <w:spacing w:line="187" w:lineRule="auto"/>
        <w:ind w:firstLine="300"/>
        <w:rPr>
          <w:sz w:val="19"/>
          <w:szCs w:val="19"/>
        </w:rPr>
      </w:pPr>
      <w:r>
        <w:rPr>
          <w:b/>
          <w:bCs/>
          <w:sz w:val="19"/>
          <w:szCs w:val="19"/>
        </w:rPr>
        <w:t>Dalším problémem bude patrně soukromé financování hospodářs</w:t>
      </w:r>
      <w:r>
        <w:rPr>
          <w:b/>
          <w:bCs/>
          <w:sz w:val="19"/>
          <w:szCs w:val="19"/>
        </w:rPr>
        <w:t>kého života. Na vkladech zbyly Slovensku asi 3 miliardy K, ale to bylo ještě před proklamací samostatnosti. iV posledních nejistých týdnech odplynula ze Slovenska celá miliarda vkladů, poněvadž se uložený kapitál začal aspoň zčásti vracet do historických z</w:t>
      </w:r>
      <w:r>
        <w:rPr>
          <w:b/>
          <w:bCs/>
          <w:sz w:val="19"/>
          <w:szCs w:val="19"/>
        </w:rPr>
        <w:t>emi. Je to zcela pocho</w:t>
      </w:r>
      <w:r>
        <w:rPr>
          <w:b/>
          <w:bCs/>
          <w:sz w:val="19"/>
          <w:szCs w:val="19"/>
        </w:rPr>
        <w:softHyphen/>
        <w:t>pitelné, uvážíme-li, že na Slovensku měly české banky veli</w:t>
      </w:r>
      <w:r>
        <w:rPr>
          <w:b/>
          <w:bCs/>
          <w:sz w:val="19"/>
          <w:szCs w:val="19"/>
        </w:rPr>
        <w:softHyphen/>
        <w:t>kou finanční účast, hlavně Živnobanka, Agrární banka, Čes</w:t>
      </w:r>
      <w:r>
        <w:rPr>
          <w:b/>
          <w:bCs/>
          <w:sz w:val="19"/>
          <w:szCs w:val="19"/>
        </w:rPr>
        <w:softHyphen/>
        <w:t>ká průmyslová a Moravská banka, Česká banka Union a Legiobanka, Anglo-Pragobanka, Hypoteční a Sporobanka. Prohlášení</w:t>
      </w:r>
      <w:r>
        <w:rPr>
          <w:b/>
          <w:bCs/>
          <w:sz w:val="19"/>
          <w:szCs w:val="19"/>
        </w:rPr>
        <w:t>m samostatnosti jsou nyní jejich filiálky od ústře</w:t>
      </w:r>
      <w:r>
        <w:rPr>
          <w:b/>
          <w:bCs/>
          <w:sz w:val="19"/>
          <w:szCs w:val="19"/>
        </w:rPr>
        <w:softHyphen/>
        <w:t>den odtrženy. Totéž platí o velké části slovenského průmys</w:t>
      </w:r>
      <w:r>
        <w:rPr>
          <w:b/>
          <w:bCs/>
          <w:sz w:val="19"/>
          <w:szCs w:val="19"/>
        </w:rPr>
        <w:softHyphen/>
        <w:t>lu, neboť i české průmyslové společnosti měly na sloven</w:t>
      </w:r>
      <w:r>
        <w:rPr>
          <w:b/>
          <w:bCs/>
          <w:sz w:val="19"/>
          <w:szCs w:val="19"/>
        </w:rPr>
        <w:softHyphen/>
        <w:t>ských podnicích značnou účast. Rudné doly v Celnici a Bindtu spolu s varínskou vápenkou pa</w:t>
      </w:r>
      <w:r>
        <w:rPr>
          <w:b/>
          <w:bCs/>
          <w:sz w:val="19"/>
          <w:szCs w:val="19"/>
        </w:rPr>
        <w:t>třily dosud do koncer</w:t>
      </w:r>
      <w:r>
        <w:rPr>
          <w:b/>
          <w:bCs/>
          <w:sz w:val="19"/>
          <w:szCs w:val="19"/>
        </w:rPr>
        <w:softHyphen/>
        <w:t>nu Báňské a hutní společnosti, továrna na káble Moravské bance, velká bratislavská rafinerie, trnavský cukrovar a ži- linská celuloska Živnobance. Bratislavské mlýny a velké papírny v Harmanci a Slavošovcích jsou také v rukou prů</w:t>
      </w:r>
      <w:r>
        <w:rPr>
          <w:b/>
          <w:bCs/>
          <w:sz w:val="19"/>
          <w:szCs w:val="19"/>
        </w:rPr>
        <w:softHyphen/>
        <w:t>mysl</w:t>
      </w:r>
      <w:r>
        <w:rPr>
          <w:b/>
          <w:bCs/>
          <w:sz w:val="19"/>
          <w:szCs w:val="19"/>
        </w:rPr>
        <w:t>ového koncernu Moravské banky. Kovoprůmyslové pod</w:t>
      </w:r>
      <w:r>
        <w:rPr>
          <w:b/>
          <w:bCs/>
          <w:sz w:val="19"/>
          <w:szCs w:val="19"/>
        </w:rPr>
        <w:softHyphen/>
        <w:t>niky v Podbrezové a v Povážské Bystrici vedla dosud brněn</w:t>
      </w:r>
      <w:r>
        <w:rPr>
          <w:b/>
          <w:bCs/>
          <w:sz w:val="19"/>
          <w:szCs w:val="19"/>
        </w:rPr>
        <w:softHyphen/>
        <w:t>ská zbrojovka a továrna v Batizovcích i s pobočnými závody byla vlastnictvím Baťovým. Největší textilní továrnu v Ry- bárpolích ovládal Mautnerův ko</w:t>
      </w:r>
      <w:r>
        <w:rPr>
          <w:b/>
          <w:bCs/>
          <w:sz w:val="19"/>
          <w:szCs w:val="19"/>
        </w:rPr>
        <w:t>ncern a stupavskou cemen</w:t>
      </w:r>
      <w:r>
        <w:rPr>
          <w:b/>
          <w:bCs/>
          <w:sz w:val="19"/>
          <w:szCs w:val="19"/>
        </w:rPr>
        <w:softHyphen/>
        <w:t>tárnu řídil dosud soustředěný podnik Králocementu. Nové a veliké závody v Dubnici patřily dosud Škodovce. Tak by</w:t>
      </w:r>
      <w:r>
        <w:rPr>
          <w:b/>
          <w:bCs/>
          <w:sz w:val="19"/>
          <w:szCs w:val="19"/>
        </w:rPr>
        <w:softHyphen/>
        <w:t>chom mohli uvésti ještě několik dalších závodů, poněvadž tento výpočet není ani zdaleka úplný. Jak se utváří další Výv</w:t>
      </w:r>
      <w:r>
        <w:rPr>
          <w:b/>
          <w:bCs/>
          <w:sz w:val="19"/>
          <w:szCs w:val="19"/>
        </w:rPr>
        <w:t>oj těchto podniků, které jsou podstatnou složkou slo</w:t>
      </w:r>
      <w:r>
        <w:rPr>
          <w:b/>
          <w:bCs/>
          <w:sz w:val="19"/>
          <w:szCs w:val="19"/>
        </w:rPr>
        <w:softHyphen/>
        <w:t>venského hospodářství? České banky a průmyslové koncer</w:t>
      </w:r>
      <w:r>
        <w:rPr>
          <w:b/>
          <w:bCs/>
          <w:sz w:val="19"/>
          <w:szCs w:val="19"/>
        </w:rPr>
        <w:softHyphen/>
        <w:t>ny budou jistě ochotny udržeti dosavadní spojení, nebude-li přerušováno s druhé strany — a budou-li ovšem míti dosta</w:t>
      </w:r>
      <w:r>
        <w:rPr>
          <w:b/>
          <w:bCs/>
          <w:sz w:val="19"/>
          <w:szCs w:val="19"/>
        </w:rPr>
        <w:softHyphen/>
        <w:t>tečnou právní jistotu.</w:t>
      </w:r>
    </w:p>
    <w:p w:rsidR="00500724" w:rsidRDefault="00F30FB8">
      <w:pPr>
        <w:pStyle w:val="Zkladntext100"/>
        <w:shd w:val="clear" w:color="auto" w:fill="auto"/>
        <w:tabs>
          <w:tab w:val="left" w:pos="4781"/>
        </w:tabs>
        <w:spacing w:after="240" w:line="187" w:lineRule="auto"/>
        <w:ind w:firstLine="300"/>
        <w:rPr>
          <w:sz w:val="20"/>
          <w:szCs w:val="20"/>
        </w:rPr>
      </w:pPr>
      <w:r>
        <w:rPr>
          <w:b/>
          <w:bCs/>
          <w:sz w:val="19"/>
          <w:szCs w:val="19"/>
        </w:rPr>
        <w:t>Ačkoli j</w:t>
      </w:r>
      <w:r>
        <w:rPr>
          <w:b/>
          <w:bCs/>
          <w:sz w:val="19"/>
          <w:szCs w:val="19"/>
        </w:rPr>
        <w:t>e na Slovensku rozpětí mezi zemědělstvím a prů</w:t>
      </w:r>
      <w:r>
        <w:rPr>
          <w:b/>
          <w:bCs/>
          <w:sz w:val="19"/>
          <w:szCs w:val="19"/>
        </w:rPr>
        <w:softHyphen/>
        <w:t>myslem mnohem větší, než v historických zemích a třebas zůstalo podle hodnoty odbytu asi 80 proč. celkové průmyslo</w:t>
      </w:r>
      <w:r>
        <w:rPr>
          <w:b/>
          <w:bCs/>
          <w:sz w:val="19"/>
          <w:szCs w:val="19"/>
        </w:rPr>
        <w:softHyphen/>
        <w:t>vé výroby v Cechách a na Moravě, není Slovensko význam</w:t>
      </w:r>
      <w:r>
        <w:rPr>
          <w:b/>
          <w:bCs/>
          <w:sz w:val="19"/>
          <w:szCs w:val="19"/>
        </w:rPr>
        <w:softHyphen/>
        <w:t xml:space="preserve">ným činitelem jenom s hlediska výroby, </w:t>
      </w:r>
      <w:r>
        <w:rPr>
          <w:b/>
          <w:bCs/>
          <w:sz w:val="19"/>
          <w:szCs w:val="19"/>
        </w:rPr>
        <w:t>nýbrž také — a snad ještě více — s hlediska průmyslových surovin. Další hospodářský vývoj slovenské země závisí po velkých poli</w:t>
      </w:r>
      <w:r>
        <w:rPr>
          <w:b/>
          <w:bCs/>
          <w:sz w:val="19"/>
          <w:szCs w:val="19"/>
        </w:rPr>
        <w:softHyphen/>
        <w:t xml:space="preserve">tických změnách hlavně na dvou okolnostech: především na tom, jak se přizpůsobí a sladí s hospodářským děním v německé říši — a </w:t>
      </w:r>
      <w:r>
        <w:rPr>
          <w:b/>
          <w:bCs/>
          <w:sz w:val="19"/>
          <w:szCs w:val="19"/>
        </w:rPr>
        <w:t>za druhé na tom, jaký bude míti poměr k Čechám a Moravě.</w:t>
      </w:r>
      <w:r>
        <w:rPr>
          <w:b/>
          <w:bCs/>
          <w:sz w:val="19"/>
          <w:szCs w:val="19"/>
        </w:rPr>
        <w:tab/>
      </w:r>
      <w:r>
        <w:rPr>
          <w:b/>
          <w:bCs/>
          <w:i/>
          <w:iCs/>
          <w:sz w:val="20"/>
          <w:szCs w:val="20"/>
        </w:rPr>
        <w:t>ín</w:t>
      </w:r>
    </w:p>
    <w:p w:rsidR="00500724" w:rsidRDefault="00F30FB8">
      <w:pPr>
        <w:pStyle w:val="Zkladntext20"/>
        <w:shd w:val="clear" w:color="auto" w:fill="auto"/>
        <w:spacing w:after="80" w:line="178" w:lineRule="auto"/>
        <w:ind w:firstLine="0"/>
        <w:jc w:val="center"/>
        <w:rPr>
          <w:sz w:val="20"/>
          <w:szCs w:val="20"/>
        </w:rPr>
      </w:pPr>
      <w:r>
        <w:rPr>
          <w:b/>
          <w:bCs/>
          <w:sz w:val="20"/>
          <w:szCs w:val="20"/>
        </w:rPr>
        <w:t>Dobrý německý film</w:t>
      </w:r>
    </w:p>
    <w:p w:rsidR="00500724" w:rsidRDefault="00F30FB8">
      <w:pPr>
        <w:pStyle w:val="Zkladntext100"/>
        <w:shd w:val="clear" w:color="auto" w:fill="auto"/>
        <w:spacing w:line="192" w:lineRule="auto"/>
        <w:ind w:firstLine="300"/>
        <w:jc w:val="left"/>
        <w:rPr>
          <w:sz w:val="19"/>
          <w:szCs w:val="19"/>
        </w:rPr>
      </w:pPr>
      <w:r>
        <w:rPr>
          <w:b/>
          <w:bCs/>
          <w:sz w:val="19"/>
          <w:szCs w:val="19"/>
        </w:rPr>
        <w:t>V minulých dnech měl v našich kinech premiéru němec</w:t>
      </w:r>
      <w:r>
        <w:rPr>
          <w:b/>
          <w:bCs/>
          <w:sz w:val="19"/>
          <w:szCs w:val="19"/>
        </w:rPr>
        <w:softHyphen/>
        <w:t>ký film Dovolená na čestné slovo, dílo zcela výji- mečných hodnot, slučující v bohaté míře nejen výsledky ši</w:t>
      </w:r>
      <w:r>
        <w:rPr>
          <w:b/>
          <w:bCs/>
          <w:sz w:val="19"/>
          <w:szCs w:val="19"/>
        </w:rPr>
        <w:softHyphen/>
        <w:t>roce založené, b</w:t>
      </w:r>
      <w:r>
        <w:rPr>
          <w:b/>
          <w:bCs/>
          <w:sz w:val="19"/>
          <w:szCs w:val="19"/>
        </w:rPr>
        <w:t>yť pomalé obnovené činnosti německého filmu, nýbrž uzavírající v sobě také mnohonásobek pohledů do duševního světa a nazírání německého člověka našich dnů.</w:t>
      </w:r>
    </w:p>
    <w:p w:rsidR="00500724" w:rsidRDefault="00F30FB8">
      <w:pPr>
        <w:pStyle w:val="Zkladntext100"/>
        <w:shd w:val="clear" w:color="auto" w:fill="auto"/>
        <w:spacing w:after="220" w:line="190" w:lineRule="auto"/>
        <w:ind w:firstLine="300"/>
        <w:rPr>
          <w:sz w:val="19"/>
          <w:szCs w:val="19"/>
        </w:rPr>
      </w:pPr>
      <w:r>
        <w:rPr>
          <w:b/>
          <w:bCs/>
          <w:sz w:val="19"/>
          <w:szCs w:val="19"/>
        </w:rPr>
        <w:t>Vojenský film Dovolená na čestné slovo je dramatický epilog k světové válce. Podle námětu tří autorů</w:t>
      </w:r>
      <w:r>
        <w:rPr>
          <w:b/>
          <w:bCs/>
          <w:sz w:val="19"/>
          <w:szCs w:val="19"/>
        </w:rPr>
        <w:t xml:space="preserve"> rozvíjí film obraz souboje mravní síly, schopné odolnosti a vytrvání v boji, s proudy rozkladu, beznaděje a bezmocné resignace, jaké pod úhlem libretistů filmu ovládly Berlín v osudném podzimu posledního roku války, někdy v září 1918. Před</w:t>
      </w:r>
      <w:r>
        <w:rPr>
          <w:b/>
          <w:bCs/>
          <w:sz w:val="19"/>
          <w:szCs w:val="19"/>
        </w:rPr>
        <w:softHyphen/>
        <w:t>staviteli mravn</w:t>
      </w:r>
      <w:r>
        <w:rPr>
          <w:b/>
          <w:bCs/>
          <w:sz w:val="19"/>
          <w:szCs w:val="19"/>
        </w:rPr>
        <w:t>í pevnosti je tu sedmdesát mužů, jejichž sku</w:t>
      </w:r>
      <w:r>
        <w:rPr>
          <w:b/>
          <w:bCs/>
          <w:sz w:val="19"/>
          <w:szCs w:val="19"/>
        </w:rPr>
        <w:softHyphen/>
        <w:t xml:space="preserve">pině velí mladý poručík. Jedou vlakem do Braniborska, staří, mnohokráte ranění, vyléčení a válkou ošlehaní vojáci, 1 nováčci. V Braniborsku z nich sestaví nový pluk pěchoty, který se odebere </w:t>
      </w:r>
      <w:r>
        <w:rPr>
          <w:b/>
          <w:bCs/>
          <w:sz w:val="19"/>
          <w:szCs w:val="19"/>
          <w:lang w:val="en-US" w:eastAsia="en-US" w:bidi="en-US"/>
        </w:rPr>
        <w:t xml:space="preserve">do pole. </w:t>
      </w:r>
      <w:r>
        <w:rPr>
          <w:b/>
          <w:bCs/>
          <w:sz w:val="19"/>
          <w:szCs w:val="19"/>
        </w:rPr>
        <w:t>V Berlíně j</w:t>
      </w:r>
      <w:r>
        <w:rPr>
          <w:b/>
          <w:bCs/>
          <w:sz w:val="19"/>
          <w:szCs w:val="19"/>
        </w:rPr>
        <w:t>im zbývá několik ho</w:t>
      </w:r>
      <w:r>
        <w:rPr>
          <w:b/>
          <w:bCs/>
          <w:sz w:val="19"/>
          <w:szCs w:val="19"/>
        </w:rPr>
        <w:softHyphen/>
        <w:t>din do odjezdu dalšího vlaku a protože jsou to většinou Berliňáci, spjatí mnohými svazky s domovy, s milenkami, se ženami a dětmi, prosí svého mladého velitele o těch ně</w:t>
      </w:r>
      <w:r>
        <w:rPr>
          <w:b/>
          <w:bCs/>
          <w:sz w:val="19"/>
          <w:szCs w:val="19"/>
        </w:rPr>
        <w:softHyphen/>
        <w:t>kolik hodin dovolené. Důstojník zprvu žádost odpírá, proto</w:t>
      </w:r>
      <w:r>
        <w:rPr>
          <w:b/>
          <w:bCs/>
          <w:sz w:val="19"/>
          <w:szCs w:val="19"/>
        </w:rPr>
        <w:softHyphen/>
        <w:t>že je p</w:t>
      </w:r>
      <w:r>
        <w:rPr>
          <w:b/>
          <w:bCs/>
          <w:sz w:val="19"/>
          <w:szCs w:val="19"/>
        </w:rPr>
        <w:t>řesvědčen, že by jich většinu pohltilo město v roz</w:t>
      </w:r>
      <w:r>
        <w:rPr>
          <w:b/>
          <w:bCs/>
          <w:sz w:val="19"/>
          <w:szCs w:val="19"/>
        </w:rPr>
        <w:softHyphen/>
        <w:t xml:space="preserve">kladu, Berlín zběhů a pacifistů značky 1918, později však neodolá naléhání, propoušti své muže za dobrodružstvími srdce 1 těla, a sám zve telefonem svou někdejší lásku, ošetřovatelku z vojenské nemocníce, </w:t>
      </w:r>
      <w:r>
        <w:rPr>
          <w:b/>
          <w:bCs/>
          <w:sz w:val="19"/>
          <w:szCs w:val="19"/>
        </w:rPr>
        <w:t>k dostaveníčku na ná</w:t>
      </w:r>
      <w:r>
        <w:rPr>
          <w:b/>
          <w:bCs/>
          <w:sz w:val="19"/>
          <w:szCs w:val="19"/>
        </w:rPr>
        <w:softHyphen/>
        <w:t>draží Přijal od všech čestné slovo, že se včas vrátí. Splní své slovo?</w:t>
      </w:r>
    </w:p>
    <w:p w:rsidR="00500724" w:rsidRDefault="00F30FB8">
      <w:pPr>
        <w:pStyle w:val="Zkladntext40"/>
        <w:shd w:val="clear" w:color="auto" w:fill="auto"/>
        <w:spacing w:after="40" w:line="240" w:lineRule="auto"/>
        <w:jc w:val="left"/>
      </w:pPr>
      <w:r>
        <w:rPr>
          <w:b/>
          <w:bCs/>
          <w:i/>
          <w:iCs/>
        </w:rPr>
        <w:t>t8o</w:t>
      </w:r>
    </w:p>
    <w:p w:rsidR="00500724" w:rsidRDefault="00F30FB8">
      <w:pPr>
        <w:pStyle w:val="Zkladntext100"/>
        <w:shd w:val="clear" w:color="auto" w:fill="auto"/>
        <w:spacing w:after="40" w:line="202" w:lineRule="auto"/>
        <w:ind w:firstLine="240"/>
        <w:rPr>
          <w:sz w:val="19"/>
          <w:szCs w:val="19"/>
        </w:rPr>
      </w:pPr>
      <w:r>
        <w:rPr>
          <w:b/>
          <w:bCs/>
          <w:sz w:val="19"/>
          <w:szCs w:val="19"/>
        </w:rPr>
        <w:t>Tam začíná poutavá, lidsky jímavá anabase lidí — troseč</w:t>
      </w:r>
      <w:r>
        <w:rPr>
          <w:b/>
          <w:bCs/>
          <w:sz w:val="19"/>
          <w:szCs w:val="19"/>
        </w:rPr>
        <w:softHyphen/>
        <w:t xml:space="preserve">níků války. Vyhladovělým Berlínem jdou cestičky těchto </w:t>
      </w:r>
      <w:r>
        <w:rPr>
          <w:b/>
          <w:bCs/>
          <w:sz w:val="20"/>
          <w:szCs w:val="20"/>
        </w:rPr>
        <w:t xml:space="preserve">po- </w:t>
      </w:r>
      <w:r>
        <w:rPr>
          <w:b/>
          <w:bCs/>
          <w:sz w:val="19"/>
          <w:szCs w:val="19"/>
        </w:rPr>
        <w:t>stav k pevným nebo zpustošeným přístavům živo</w:t>
      </w:r>
      <w:r>
        <w:rPr>
          <w:b/>
          <w:bCs/>
          <w:sz w:val="19"/>
          <w:szCs w:val="19"/>
        </w:rPr>
        <w:t>ta. Starým statný svobodnik spěchá ke své ženě, která je válečnou řidič</w:t>
      </w:r>
      <w:r>
        <w:rPr>
          <w:b/>
          <w:bCs/>
          <w:sz w:val="19"/>
          <w:szCs w:val="19"/>
        </w:rPr>
        <w:softHyphen/>
        <w:t>kou tramvaje, raduje se s dětmi a ztráví se ženou několik ho- din manželského splynutí. Vychrtlý vojáček ušetřil si komisá- rek a nese jej své milé, švadleně, a když mu otvírá její mal</w:t>
      </w:r>
      <w:r>
        <w:rPr>
          <w:b/>
          <w:bCs/>
          <w:sz w:val="19"/>
          <w:szCs w:val="19"/>
        </w:rPr>
        <w:t>á, souchotinářská, podvyživená sestřička, aby mu řekla, že sestra pracuje kdesi na druhém konci Berlína, žene se za ní, komisárkem zaplatí jízdenku na tramvaji, a když ji ani pak nenalezne, spěchá jako uštvaný pes celou cestu zpátky; bez naděje na shledání</w:t>
      </w:r>
      <w:r>
        <w:rPr>
          <w:b/>
          <w:bCs/>
          <w:sz w:val="19"/>
          <w:szCs w:val="19"/>
        </w:rPr>
        <w:t>. Naděje na pevný životní cíl, toť hybná síla těchto stínů. Jeden spěchá do hudební konserva</w:t>
      </w:r>
      <w:r>
        <w:rPr>
          <w:b/>
          <w:bCs/>
          <w:sz w:val="19"/>
          <w:szCs w:val="19"/>
        </w:rPr>
        <w:softHyphen/>
        <w:t>toře, aby uslyšel po prvé a snad naposledy svou válečnou skladbu, jinému se zhroutí naděje na hodina milostného! štěstí, když najde svou přítelkyni žijící s neznám</w:t>
      </w:r>
      <w:r>
        <w:rPr>
          <w:b/>
          <w:bCs/>
          <w:sz w:val="19"/>
          <w:szCs w:val="19"/>
        </w:rPr>
        <w:t>ým mu</w:t>
      </w:r>
      <w:r>
        <w:rPr>
          <w:b/>
          <w:bCs/>
          <w:sz w:val="19"/>
          <w:szCs w:val="19"/>
        </w:rPr>
        <w:softHyphen/>
        <w:t>žem, a další se tu radují z pomíjivé a hořknoucí radosti, kterou dávají sklenice piva, zběsilý tanec, vášnivá orgie nebo uklidňující objetí vlahého těla mladé ženy. Takový byl Berlín, jak jej liči film, jehož tvůrci nezapomněli osudného! dějství sklo</w:t>
      </w:r>
      <w:r>
        <w:rPr>
          <w:b/>
          <w:bCs/>
          <w:sz w:val="19"/>
          <w:szCs w:val="19"/>
        </w:rPr>
        <w:t>nku války, jejíž předzvěstí jsou tu fantastičtí, mnohomluvní, vlasatí pacifisté, posměváčkové válečné po</w:t>
      </w:r>
      <w:r>
        <w:rPr>
          <w:b/>
          <w:bCs/>
          <w:sz w:val="19"/>
          <w:szCs w:val="19"/>
        </w:rPr>
        <w:softHyphen/>
        <w:t>vinnosti a utrhači čestného slova. Muži však dodrží dané slovo, přicházejí včas k vlaku, a čtyři, pět zpozdilých, mezi nimiž je i svobodnik, muž vojens</w:t>
      </w:r>
      <w:r>
        <w:rPr>
          <w:b/>
          <w:bCs/>
          <w:sz w:val="19"/>
          <w:szCs w:val="19"/>
        </w:rPr>
        <w:t>ky přesný jako hodiny a' dbalý povinností, jemuž spánek v manželské posteli odňal vědomí času, napíná všechny síly i důvtip, aby dohonili svůj transport a zachránili svého poručíka před vojenským soudem.</w:t>
      </w:r>
    </w:p>
    <w:p w:rsidR="00500724" w:rsidRDefault="00F30FB8">
      <w:pPr>
        <w:pStyle w:val="Zkladntext100"/>
        <w:shd w:val="clear" w:color="auto" w:fill="auto"/>
        <w:tabs>
          <w:tab w:val="left" w:pos="4152"/>
        </w:tabs>
        <w:spacing w:after="240" w:line="190" w:lineRule="auto"/>
        <w:ind w:firstLine="240"/>
        <w:rPr>
          <w:sz w:val="20"/>
          <w:szCs w:val="20"/>
        </w:rPr>
      </w:pPr>
      <w:r>
        <w:rPr>
          <w:b/>
          <w:bCs/>
          <w:sz w:val="19"/>
          <w:szCs w:val="19"/>
        </w:rPr>
        <w:t xml:space="preserve">To vše by mohlo znít ve filmu papírově nebo ryčně. </w:t>
      </w:r>
      <w:r>
        <w:rPr>
          <w:b/>
          <w:bCs/>
          <w:sz w:val="19"/>
          <w:szCs w:val="19"/>
        </w:rPr>
        <w:t>Mohlo by to znít jako traktát. A věřte, že je to film opravdový a životný. Látka z časového odstupu dvaceti let je zralá, schopná tvůrčího hnětení. A ti, kteři po ní sáhli, představitelé nové německé kinematografie, jež léta zápa</w:t>
      </w:r>
      <w:r>
        <w:rPr>
          <w:b/>
          <w:bCs/>
          <w:sz w:val="19"/>
          <w:szCs w:val="19"/>
        </w:rPr>
        <w:softHyphen/>
        <w:t>sila s nedostatkem dobrých</w:t>
      </w:r>
      <w:r>
        <w:rPr>
          <w:b/>
          <w:bCs/>
          <w:sz w:val="19"/>
          <w:szCs w:val="19"/>
        </w:rPr>
        <w:t xml:space="preserve"> námětů a lidí a filmových zku</w:t>
      </w:r>
      <w:r>
        <w:rPr>
          <w:b/>
          <w:bCs/>
          <w:sz w:val="19"/>
          <w:szCs w:val="19"/>
        </w:rPr>
        <w:softHyphen/>
        <w:t xml:space="preserve">šeností, uměli svou látku hníst. Režisér filmu Karl </w:t>
      </w:r>
      <w:r>
        <w:rPr>
          <w:b/>
          <w:bCs/>
          <w:sz w:val="19"/>
          <w:szCs w:val="19"/>
          <w:lang w:val="en-US" w:eastAsia="en-US" w:bidi="en-US"/>
        </w:rPr>
        <w:t xml:space="preserve">Ritter! </w:t>
      </w:r>
      <w:r>
        <w:rPr>
          <w:b/>
          <w:bCs/>
          <w:sz w:val="19"/>
          <w:szCs w:val="19"/>
        </w:rPr>
        <w:t>rozumí technice živého filmu, který v tomto případě je dra</w:t>
      </w:r>
      <w:r>
        <w:rPr>
          <w:b/>
          <w:bCs/>
          <w:sz w:val="19"/>
          <w:szCs w:val="19"/>
        </w:rPr>
        <w:softHyphen/>
        <w:t>matem kolektiva, dramatem stejně mužné ctnosti a viry! jako zrcadlem lidských niter i sociálních proudů. N</w:t>
      </w:r>
      <w:r>
        <w:rPr>
          <w:b/>
          <w:bCs/>
          <w:sz w:val="19"/>
          <w:szCs w:val="19"/>
        </w:rPr>
        <w:t>e, to už nebyl snadný film zápletek, hříček, primitivního apoštolství, nýbrž složitým, konstruktivním úkolem. Ani ve skladbě scé</w:t>
      </w:r>
      <w:r>
        <w:rPr>
          <w:b/>
          <w:bCs/>
          <w:sz w:val="19"/>
          <w:szCs w:val="19"/>
        </w:rPr>
        <w:softHyphen/>
        <w:t>náře ani ve způsobu fotografické techniky, jejíž zásadu by</w:t>
      </w:r>
      <w:r>
        <w:rPr>
          <w:b/>
          <w:bCs/>
          <w:sz w:val="19"/>
          <w:szCs w:val="19"/>
        </w:rPr>
        <w:softHyphen/>
        <w:t>chom mohli vyjádřit heslem »živé živelně*. tím méně v he</w:t>
      </w:r>
      <w:r>
        <w:rPr>
          <w:b/>
          <w:bCs/>
          <w:sz w:val="19"/>
          <w:szCs w:val="19"/>
        </w:rPr>
        <w:softHyphen/>
        <w:t>reckých pro</w:t>
      </w:r>
      <w:r>
        <w:rPr>
          <w:b/>
          <w:bCs/>
          <w:sz w:val="19"/>
          <w:szCs w:val="19"/>
        </w:rPr>
        <w:t xml:space="preserve">jevech nenajdeme pohodlného řešeni daného’ problému. Okolnost, že herci jako </w:t>
      </w:r>
      <w:r>
        <w:rPr>
          <w:b/>
          <w:bCs/>
          <w:sz w:val="19"/>
          <w:szCs w:val="19"/>
          <w:lang w:val="en-US" w:eastAsia="en-US" w:bidi="en-US"/>
        </w:rPr>
        <w:t xml:space="preserve">Rolf </w:t>
      </w:r>
      <w:r>
        <w:rPr>
          <w:b/>
          <w:bCs/>
          <w:sz w:val="19"/>
          <w:szCs w:val="19"/>
        </w:rPr>
        <w:t xml:space="preserve">Moebius ve svém poručíku Pratoriusovi nebo </w:t>
      </w:r>
      <w:r>
        <w:rPr>
          <w:b/>
          <w:bCs/>
          <w:sz w:val="19"/>
          <w:szCs w:val="19"/>
          <w:lang w:val="en-US" w:eastAsia="en-US" w:bidi="en-US"/>
        </w:rPr>
        <w:t xml:space="preserve">Hamper </w:t>
      </w:r>
      <w:r>
        <w:rPr>
          <w:b/>
          <w:bCs/>
          <w:sz w:val="19"/>
          <w:szCs w:val="19"/>
        </w:rPr>
        <w:t xml:space="preserve">ve svém svobodniku Hartmannovi nebo B. Drewsová jako jeho prostičká žena a všichni ostatní jsou tak občanští a nezkrášlení, </w:t>
      </w:r>
      <w:r>
        <w:rPr>
          <w:b/>
          <w:bCs/>
          <w:sz w:val="19"/>
          <w:szCs w:val="19"/>
        </w:rPr>
        <w:t>ukazuje, že dnešní německá filmová tvorba začíná umět dělat film a že se tento film dostává od schémat do hlubin lidského nitra.</w:t>
      </w:r>
      <w:r>
        <w:rPr>
          <w:b/>
          <w:bCs/>
          <w:sz w:val="19"/>
          <w:szCs w:val="19"/>
        </w:rPr>
        <w:tab/>
        <w:t xml:space="preserve">A. </w:t>
      </w:r>
      <w:r>
        <w:rPr>
          <w:b/>
          <w:bCs/>
          <w:i/>
          <w:iCs/>
          <w:sz w:val="20"/>
          <w:szCs w:val="20"/>
        </w:rPr>
        <w:t>Černík</w:t>
      </w:r>
    </w:p>
    <w:p w:rsidR="00500724" w:rsidRDefault="00F30FB8">
      <w:pPr>
        <w:pStyle w:val="Zkladntext20"/>
        <w:shd w:val="clear" w:color="auto" w:fill="auto"/>
        <w:spacing w:after="40" w:line="180" w:lineRule="auto"/>
        <w:ind w:firstLine="0"/>
        <w:jc w:val="center"/>
        <w:rPr>
          <w:sz w:val="20"/>
          <w:szCs w:val="20"/>
        </w:rPr>
      </w:pPr>
      <w:r>
        <w:rPr>
          <w:b/>
          <w:bCs/>
          <w:sz w:val="20"/>
          <w:szCs w:val="20"/>
        </w:rPr>
        <w:t>Povídky už se čtou</w:t>
      </w:r>
    </w:p>
    <w:p w:rsidR="00500724" w:rsidRDefault="00F30FB8">
      <w:pPr>
        <w:pStyle w:val="Zkladntext100"/>
        <w:shd w:val="clear" w:color="auto" w:fill="auto"/>
        <w:spacing w:after="40" w:line="187" w:lineRule="auto"/>
        <w:ind w:firstLine="340"/>
        <w:rPr>
          <w:sz w:val="19"/>
          <w:szCs w:val="19"/>
        </w:rPr>
      </w:pPr>
      <w:r>
        <w:rPr>
          <w:b/>
          <w:bCs/>
          <w:sz w:val="19"/>
          <w:szCs w:val="19"/>
        </w:rPr>
        <w:t xml:space="preserve">V září 1936 otiskla »Přítomnost« v anketě »Proč se u nás nepíši povídky* minění několika českých </w:t>
      </w:r>
      <w:r>
        <w:rPr>
          <w:b/>
          <w:bCs/>
          <w:sz w:val="19"/>
          <w:szCs w:val="19"/>
        </w:rPr>
        <w:t>literátů o tom* proč u nás nejsou v oblibě povídky. Josef Čapek tehdy po</w:t>
      </w:r>
      <w:r>
        <w:rPr>
          <w:b/>
          <w:bCs/>
          <w:sz w:val="19"/>
          <w:szCs w:val="19"/>
        </w:rPr>
        <w:softHyphen/>
        <w:t xml:space="preserve">dotýkal, že není u nás literárních řevní, jaké tu byly před válkou, a do obrázkových týdeníků našeho běžného typu </w:t>
      </w:r>
      <w:r>
        <w:rPr>
          <w:b/>
          <w:bCs/>
          <w:sz w:val="20"/>
          <w:szCs w:val="20"/>
        </w:rPr>
        <w:t xml:space="preserve">to. </w:t>
      </w:r>
      <w:r>
        <w:rPr>
          <w:b/>
          <w:bCs/>
          <w:sz w:val="19"/>
          <w:szCs w:val="19"/>
        </w:rPr>
        <w:t>jmenovitějši, ba ani aspirující literáty valně neláká psát, Karel</w:t>
      </w:r>
      <w:r>
        <w:rPr>
          <w:b/>
          <w:bCs/>
          <w:sz w:val="19"/>
          <w:szCs w:val="19"/>
        </w:rPr>
        <w:t xml:space="preserve"> Čapek se přihlásil ke stovce svých povídek, ale usou</w:t>
      </w:r>
      <w:r>
        <w:rPr>
          <w:b/>
          <w:bCs/>
          <w:sz w:val="19"/>
          <w:szCs w:val="19"/>
        </w:rPr>
        <w:softHyphen/>
        <w:t>dil, že lidé si odvykli povídky čist hlavně proto, že si vůbec navykli číst příliš rychle. Pak také proto, že kritikové se na povídkáře dívají nevrle, a konečně proto, že psaní povídek předpokládá důkla</w:t>
      </w:r>
      <w:r>
        <w:rPr>
          <w:b/>
          <w:bCs/>
          <w:sz w:val="19"/>
          <w:szCs w:val="19"/>
        </w:rPr>
        <w:t xml:space="preserve">dnou dávku šťastné fantasie a důkladnou dávku realismu. Josef Kopta poukázal na oblibu </w:t>
      </w:r>
      <w:r>
        <w:rPr>
          <w:b/>
          <w:bCs/>
          <w:sz w:val="19"/>
          <w:szCs w:val="19"/>
          <w:lang w:val="en-US" w:eastAsia="en-US" w:bidi="en-US"/>
        </w:rPr>
        <w:t xml:space="preserve">short story* </w:t>
      </w:r>
      <w:r>
        <w:rPr>
          <w:b/>
          <w:bCs/>
          <w:sz w:val="19"/>
          <w:szCs w:val="19"/>
        </w:rPr>
        <w:t>krátkého překvapivě vypointovaného příběhu v Americe.</w:t>
      </w:r>
    </w:p>
    <w:p w:rsidR="00500724" w:rsidRDefault="00F30FB8">
      <w:pPr>
        <w:pStyle w:val="Zkladntext100"/>
        <w:shd w:val="clear" w:color="auto" w:fill="auto"/>
        <w:spacing w:after="40" w:line="190" w:lineRule="auto"/>
        <w:ind w:firstLine="340"/>
        <w:rPr>
          <w:sz w:val="20"/>
          <w:szCs w:val="20"/>
        </w:rPr>
        <w:sectPr w:rsidR="00500724">
          <w:footnotePr>
            <w:numFmt w:val="chicago"/>
            <w:numRestart w:val="eachPage"/>
          </w:footnotePr>
          <w:pgSz w:w="11909" w:h="16834"/>
          <w:pgMar w:top="1205" w:right="826" w:bottom="1149" w:left="705" w:header="0" w:footer="3" w:gutter="0"/>
          <w:cols w:num="2" w:space="117"/>
          <w:noEndnote/>
          <w:docGrid w:linePitch="360"/>
        </w:sectPr>
      </w:pPr>
      <w:r>
        <w:rPr>
          <w:b/>
          <w:bCs/>
          <w:sz w:val="19"/>
          <w:szCs w:val="19"/>
        </w:rPr>
        <w:t xml:space="preserve">Uplynula pouhá dvě léta a americká </w:t>
      </w:r>
      <w:r>
        <w:rPr>
          <w:b/>
          <w:bCs/>
          <w:sz w:val="19"/>
          <w:szCs w:val="19"/>
          <w:lang w:val="en-US" w:eastAsia="en-US" w:bidi="en-US"/>
        </w:rPr>
        <w:t xml:space="preserve">short story </w:t>
      </w:r>
      <w:r>
        <w:rPr>
          <w:b/>
          <w:bCs/>
          <w:sz w:val="19"/>
          <w:szCs w:val="19"/>
        </w:rPr>
        <w:t xml:space="preserve">k nám slavnostně připlula. </w:t>
      </w:r>
      <w:r>
        <w:rPr>
          <w:b/>
          <w:bCs/>
          <w:sz w:val="19"/>
          <w:szCs w:val="19"/>
        </w:rPr>
        <w:t>Jeden obrázkový týdeník počal otisko</w:t>
      </w:r>
      <w:r>
        <w:rPr>
          <w:b/>
          <w:bCs/>
          <w:sz w:val="19"/>
          <w:szCs w:val="19"/>
        </w:rPr>
        <w:softHyphen/>
        <w:t>vat sedm povídek, aby si čtenáři každý den v týdnu mohli jednu přečíst. Jsou to povídky, psané přesně podle receptu, otištěného v dubnu 1936 také v »Přítomnosti«. Byl to článek x.Jak se píše povídka* od Donalda Maconoch</w:t>
      </w:r>
      <w:r>
        <w:rPr>
          <w:b/>
          <w:bCs/>
          <w:sz w:val="19"/>
          <w:szCs w:val="19"/>
        </w:rPr>
        <w:t xml:space="preserve">ieho. A podle tohoto vzoru i ostatní obrázkové časopisy se počínají ohlížet po podobných povídkách a když domácí trh je _ nedodává v dostatečném množství, sahají po překladech. Záliba v </w:t>
      </w:r>
      <w:r>
        <w:rPr>
          <w:b/>
          <w:bCs/>
          <w:sz w:val="20"/>
          <w:szCs w:val="20"/>
        </w:rPr>
        <w:t>po</w:t>
      </w:r>
      <w:r>
        <w:rPr>
          <w:b/>
          <w:bCs/>
          <w:sz w:val="20"/>
          <w:szCs w:val="20"/>
        </w:rPr>
        <w:softHyphen/>
      </w:r>
      <w:r>
        <w:rPr>
          <w:b/>
          <w:bCs/>
          <w:sz w:val="19"/>
          <w:szCs w:val="19"/>
        </w:rPr>
        <w:t>vídkách stoupá. Snad je to tím, že lidé přestávají žít rychle. Přes</w:t>
      </w:r>
      <w:r>
        <w:rPr>
          <w:b/>
          <w:bCs/>
          <w:sz w:val="19"/>
          <w:szCs w:val="19"/>
        </w:rPr>
        <w:t xml:space="preserve">něji řečeno: přestávají být zvědavi na nejnovéjšl zpr.V vy </w:t>
      </w:r>
      <w:r>
        <w:rPr>
          <w:b/>
          <w:bCs/>
          <w:sz w:val="20"/>
          <w:szCs w:val="20"/>
        </w:rPr>
        <w:t xml:space="preserve">z </w:t>
      </w:r>
      <w:r>
        <w:rPr>
          <w:b/>
          <w:bCs/>
          <w:sz w:val="19"/>
          <w:szCs w:val="19"/>
        </w:rPr>
        <w:t xml:space="preserve">ciziny i </w:t>
      </w:r>
      <w:r>
        <w:rPr>
          <w:b/>
          <w:bCs/>
          <w:sz w:val="20"/>
          <w:szCs w:val="20"/>
        </w:rPr>
        <w:t xml:space="preserve">z </w:t>
      </w:r>
      <w:r>
        <w:rPr>
          <w:b/>
          <w:bCs/>
          <w:sz w:val="19"/>
          <w:szCs w:val="19"/>
        </w:rPr>
        <w:t xml:space="preserve">domova. Náklad mnohých deníků, i </w:t>
      </w:r>
      <w:r>
        <w:rPr>
          <w:b/>
          <w:bCs/>
          <w:sz w:val="20"/>
          <w:szCs w:val="20"/>
        </w:rPr>
        <w:t>těch až</w:t>
      </w:r>
    </w:p>
    <w:p w:rsidR="00500724" w:rsidRDefault="00F30FB8">
      <w:pPr>
        <w:pStyle w:val="Zkladntext100"/>
        <w:shd w:val="clear" w:color="auto" w:fill="auto"/>
        <w:spacing w:line="216" w:lineRule="auto"/>
        <w:ind w:firstLine="0"/>
        <w:jc w:val="left"/>
        <w:rPr>
          <w:sz w:val="19"/>
          <w:szCs w:val="19"/>
        </w:rPr>
      </w:pPr>
      <w:r>
        <w:rPr>
          <w:b/>
          <w:bCs/>
          <w:sz w:val="19"/>
          <w:szCs w:val="19"/>
        </w:rPr>
        <w:t>příliš populárních, poklesl. A lidé utíkají ze skutečnosti do světa smyšlených dějů.</w:t>
      </w:r>
    </w:p>
    <w:p w:rsidR="00500724" w:rsidRDefault="00F30FB8">
      <w:pPr>
        <w:pStyle w:val="Zkladntext100"/>
        <w:shd w:val="clear" w:color="auto" w:fill="auto"/>
        <w:spacing w:line="211" w:lineRule="auto"/>
        <w:ind w:firstLine="320"/>
        <w:rPr>
          <w:sz w:val="19"/>
          <w:szCs w:val="19"/>
        </w:rPr>
      </w:pPr>
      <w:r>
        <w:rPr>
          <w:b/>
          <w:bCs/>
          <w:sz w:val="19"/>
          <w:szCs w:val="19"/>
        </w:rPr>
        <w:t>Taková jsou fakta a těžko je změnit. Ale přece bychom měli</w:t>
      </w:r>
      <w:r>
        <w:rPr>
          <w:b/>
          <w:bCs/>
          <w:sz w:val="19"/>
          <w:szCs w:val="19"/>
        </w:rPr>
        <w:t xml:space="preserve"> k tomu krátké přání. V úvodu Maeonochieova článku bylo tehdy řečeno: »Ve stech různých magazínech vycházejí desetitisíce povídek, které vzhledem k rozšířenosti těchto časopisů musí vždycky mít měřítkem rozum a citovost prostého čtenáře. Všichni velcí auto</w:t>
      </w:r>
      <w:r>
        <w:rPr>
          <w:b/>
          <w:bCs/>
          <w:sz w:val="19"/>
          <w:szCs w:val="19"/>
        </w:rPr>
        <w:t>ři angličtí a američtí se učili na povídce. Povídkou začíná svou činnost literární talent, který není spisovatelským profesionálem. Anglie, jejíž literaturu ze tří čtvrtin tvoří neprofesionálové, si vy</w:t>
      </w:r>
      <w:r>
        <w:rPr>
          <w:b/>
          <w:bCs/>
          <w:sz w:val="19"/>
          <w:szCs w:val="19"/>
        </w:rPr>
        <w:softHyphen/>
        <w:t>chovává tento druh autorů zcela uvědoměle.« A návod Ma</w:t>
      </w:r>
      <w:r>
        <w:rPr>
          <w:b/>
          <w:bCs/>
          <w:sz w:val="19"/>
          <w:szCs w:val="19"/>
        </w:rPr>
        <w:t>- conochieovy knížky byl k tomu dokladem.</w:t>
      </w:r>
    </w:p>
    <w:p w:rsidR="00500724" w:rsidRDefault="00F30FB8">
      <w:pPr>
        <w:pStyle w:val="Zkladntext100"/>
        <w:shd w:val="clear" w:color="auto" w:fill="auto"/>
        <w:spacing w:line="211" w:lineRule="auto"/>
        <w:ind w:firstLine="320"/>
        <w:rPr>
          <w:sz w:val="19"/>
          <w:szCs w:val="19"/>
        </w:rPr>
      </w:pPr>
      <w:r>
        <w:rPr>
          <w:b/>
          <w:bCs/>
          <w:sz w:val="19"/>
          <w:szCs w:val="19"/>
        </w:rPr>
        <w:t xml:space="preserve">Myslíme, že bychom měli také uvědoměleji vychovávat své literáty. Aby se učili na povídkách pro prosté lidi dělat mnění, které by neutíkalo se světa. Jak Čapek řekl, povídka předpokládá důkladnou dávku realismu. A </w:t>
      </w:r>
      <w:r>
        <w:rPr>
          <w:b/>
          <w:bCs/>
          <w:sz w:val="19"/>
          <w:szCs w:val="19"/>
        </w:rPr>
        <w:t>té naše literatura namnoze postrádá. Je to zvláštní: Herci se učí hrát na své škole, muzikanti chodí na konservatoř, sochař, malíř má také své odborné vzdělání, byl učiněn pokus i o novinářské školení a mluví se o škole pro filmové pracovníky. Jenom spisov</w:t>
      </w:r>
      <w:r>
        <w:rPr>
          <w:b/>
          <w:bCs/>
          <w:sz w:val="19"/>
          <w:szCs w:val="19"/>
        </w:rPr>
        <w:t>atelé se musí učit každý sám. Nemyslíte, že proto jsme se v naší literatuře tak často ohlíželi po cizích vzorech, protože klasického písemnictví, které je nejlepší školou, máme málo a odborného poučení nikde?</w:t>
      </w:r>
    </w:p>
    <w:p w:rsidR="00500724" w:rsidRDefault="00F30FB8">
      <w:pPr>
        <w:pStyle w:val="Zkladntext100"/>
        <w:shd w:val="clear" w:color="auto" w:fill="auto"/>
        <w:spacing w:line="211" w:lineRule="auto"/>
        <w:ind w:firstLine="360"/>
        <w:rPr>
          <w:sz w:val="19"/>
          <w:szCs w:val="19"/>
        </w:rPr>
      </w:pPr>
      <w:r>
        <w:rPr>
          <w:b/>
          <w:bCs/>
          <w:sz w:val="19"/>
          <w:szCs w:val="19"/>
        </w:rPr>
        <w:t>Nevíme, jak do toho. Ale jistě by nějaký odborn</w:t>
      </w:r>
      <w:r>
        <w:rPr>
          <w:b/>
          <w:bCs/>
          <w:sz w:val="19"/>
          <w:szCs w:val="19"/>
        </w:rPr>
        <w:t>ík našel místečko, kde by se taková škola dala zřídit. Toť se ví, pravý a energický talent nakonec prorazí i bez školy. Ale nemys</w:t>
      </w:r>
      <w:r>
        <w:rPr>
          <w:b/>
          <w:bCs/>
          <w:sz w:val="19"/>
          <w:szCs w:val="19"/>
        </w:rPr>
        <w:softHyphen/>
        <w:t>lete si, že k spisovatelskému úspěchu je třeba geniality, praví pan Maconochie. Najdete-li jednoho geniálního autora, který se</w:t>
      </w:r>
      <w:r>
        <w:rPr>
          <w:b/>
          <w:bCs/>
          <w:sz w:val="19"/>
          <w:szCs w:val="19"/>
        </w:rPr>
        <w:t xml:space="preserve"> živí spisovatelstvím, můžete vedle něho postaviti devětadevadesát jiných, kteří činí totéž bez geniality. U nás máme několik velmi dobrých spisovatelů. Ale průměr, dobrý řemeslný průměr chybí, neboť hned potom přijdou »lidové« romány velmi slabé úrovně a </w:t>
      </w:r>
      <w:r>
        <w:rPr>
          <w:b/>
          <w:bCs/>
          <w:sz w:val="19"/>
          <w:szCs w:val="19"/>
        </w:rPr>
        <w:t>technických nedostatků. Mohli bychom je vychovat. Ušetřili bychom peněz za překlady prů</w:t>
      </w:r>
      <w:r>
        <w:rPr>
          <w:b/>
          <w:bCs/>
          <w:sz w:val="19"/>
          <w:szCs w:val="19"/>
        </w:rPr>
        <w:softHyphen/>
        <w:t>měrné zábavné literatury, která se k nám dováži a tvoří podstatnou část trhu, naučili bychom několik lidí dobrému výdělku — a snad by se mezi nimi našel i talent, který</w:t>
      </w:r>
      <w:r>
        <w:rPr>
          <w:b/>
          <w:bCs/>
          <w:sz w:val="19"/>
          <w:szCs w:val="19"/>
        </w:rPr>
        <w:t xml:space="preserve"> by se pak nemusit perně a sám prokousávat začátečnickými obtížemi.</w:t>
      </w:r>
    </w:p>
    <w:p w:rsidR="00500724" w:rsidRDefault="00F30FB8">
      <w:pPr>
        <w:pStyle w:val="Zkladntext100"/>
        <w:shd w:val="clear" w:color="auto" w:fill="auto"/>
        <w:tabs>
          <w:tab w:val="left" w:pos="4814"/>
        </w:tabs>
        <w:spacing w:after="260" w:line="187" w:lineRule="auto"/>
        <w:ind w:firstLine="260"/>
        <w:rPr>
          <w:sz w:val="20"/>
          <w:szCs w:val="20"/>
        </w:rPr>
      </w:pPr>
      <w:r>
        <w:rPr>
          <w:b/>
          <w:bCs/>
          <w:sz w:val="19"/>
          <w:szCs w:val="19"/>
        </w:rPr>
        <w:t>A ještě poznámku: Některé z těch povídek i románů, které udivují exotikou a mají cizí styl, píší do našich časo</w:t>
      </w:r>
      <w:r>
        <w:rPr>
          <w:b/>
          <w:bCs/>
          <w:sz w:val="19"/>
          <w:szCs w:val="19"/>
        </w:rPr>
        <w:softHyphen/>
        <w:t>pisů čeští autoři. Jako originál by se to nelíbilo. Jako pře</w:t>
      </w:r>
      <w:r>
        <w:rPr>
          <w:b/>
          <w:bCs/>
          <w:sz w:val="19"/>
          <w:szCs w:val="19"/>
        </w:rPr>
        <w:softHyphen/>
        <w:t>klad je to výte</w:t>
      </w:r>
      <w:r>
        <w:rPr>
          <w:b/>
          <w:bCs/>
          <w:sz w:val="19"/>
          <w:szCs w:val="19"/>
        </w:rPr>
        <w:t>čné.</w:t>
      </w:r>
      <w:r>
        <w:rPr>
          <w:b/>
          <w:bCs/>
          <w:sz w:val="19"/>
          <w:szCs w:val="19"/>
        </w:rPr>
        <w:tab/>
      </w:r>
      <w:r>
        <w:rPr>
          <w:i/>
          <w:iCs/>
          <w:sz w:val="20"/>
          <w:szCs w:val="20"/>
        </w:rPr>
        <w:t>jt</w:t>
      </w:r>
    </w:p>
    <w:p w:rsidR="00500724" w:rsidRDefault="00F30FB8">
      <w:pPr>
        <w:pStyle w:val="Zkladntext20"/>
        <w:shd w:val="clear" w:color="auto" w:fill="auto"/>
        <w:spacing w:after="80"/>
        <w:ind w:firstLine="0"/>
        <w:jc w:val="center"/>
        <w:rPr>
          <w:sz w:val="20"/>
          <w:szCs w:val="20"/>
        </w:rPr>
      </w:pPr>
      <w:r>
        <w:rPr>
          <w:b/>
          <w:bCs/>
          <w:sz w:val="20"/>
          <w:szCs w:val="20"/>
        </w:rPr>
        <w:t>Dramatisovat?</w:t>
      </w:r>
    </w:p>
    <w:p w:rsidR="00500724" w:rsidRDefault="00F30FB8">
      <w:pPr>
        <w:pStyle w:val="Zkladntext100"/>
        <w:shd w:val="clear" w:color="auto" w:fill="auto"/>
        <w:spacing w:line="187" w:lineRule="auto"/>
        <w:ind w:firstLine="360"/>
        <w:rPr>
          <w:sz w:val="19"/>
          <w:szCs w:val="19"/>
        </w:rPr>
      </w:pPr>
      <w:r>
        <w:rPr>
          <w:b/>
          <w:bCs/>
          <w:sz w:val="19"/>
          <w:szCs w:val="19"/>
        </w:rPr>
        <w:t>Otázka, zda se mají dramatisovat romány, je staršího data. Byla znovu rozvinuta mimořádným úspěchem »Věry</w:t>
      </w:r>
    </w:p>
    <w:p w:rsidR="00500724" w:rsidRDefault="00F30FB8">
      <w:pPr>
        <w:pStyle w:val="Zkladntext100"/>
        <w:numPr>
          <w:ilvl w:val="0"/>
          <w:numId w:val="33"/>
        </w:numPr>
        <w:shd w:val="clear" w:color="auto" w:fill="auto"/>
        <w:spacing w:line="187" w:lineRule="auto"/>
        <w:ind w:firstLine="0"/>
        <w:jc w:val="left"/>
        <w:rPr>
          <w:sz w:val="19"/>
          <w:szCs w:val="19"/>
        </w:rPr>
      </w:pPr>
      <w:r>
        <w:rPr>
          <w:b/>
          <w:bCs/>
          <w:sz w:val="19"/>
          <w:szCs w:val="19"/>
        </w:rPr>
        <w:t xml:space="preserve">ukášové« v D 39. Tu bylo vidět, že zdramatisovaný román měl úspěch silnější, než snad vydání knihy. Ale tím ještě nebyla s </w:t>
      </w:r>
      <w:r>
        <w:rPr>
          <w:b/>
          <w:bCs/>
          <w:sz w:val="19"/>
          <w:szCs w:val="19"/>
        </w:rPr>
        <w:t>konečnou platností dána odpověď na dramatisaci románu.</w:t>
      </w:r>
    </w:p>
    <w:p w:rsidR="00500724" w:rsidRDefault="00F30FB8">
      <w:pPr>
        <w:pStyle w:val="Zkladntext100"/>
        <w:shd w:val="clear" w:color="auto" w:fill="auto"/>
        <w:spacing w:line="187" w:lineRule="auto"/>
        <w:ind w:firstLine="360"/>
        <w:rPr>
          <w:sz w:val="19"/>
          <w:szCs w:val="19"/>
        </w:rPr>
      </w:pPr>
      <w:r>
        <w:rPr>
          <w:b/>
          <w:bCs/>
          <w:sz w:val="19"/>
          <w:szCs w:val="19"/>
        </w:rPr>
        <w:t>Ale stejně se hlásí problémy jiné: mají se filmovat ro</w:t>
      </w:r>
      <w:r>
        <w:rPr>
          <w:b/>
          <w:bCs/>
          <w:sz w:val="19"/>
          <w:szCs w:val="19"/>
        </w:rPr>
        <w:softHyphen/>
        <w:t>mány? Mají se upravovat, dramatisovat romány pro roz</w:t>
      </w:r>
      <w:r>
        <w:rPr>
          <w:b/>
          <w:bCs/>
          <w:sz w:val="19"/>
          <w:szCs w:val="19"/>
        </w:rPr>
        <w:softHyphen/>
        <w:t>hlas? I tu zasahuje technika. Jinak vypadal problém za ně: mého filmu, jinak za zvukového fil</w:t>
      </w:r>
      <w:r>
        <w:rPr>
          <w:b/>
          <w:bCs/>
          <w:sz w:val="19"/>
          <w:szCs w:val="19"/>
        </w:rPr>
        <w:t>mu. Byli herci, kteří se osvědčili na divadie, ale neosvědčili se ve filmu. A zase jiní, známí filmoví herci neměli úspěch před mikrofonem; a na</w:t>
      </w:r>
      <w:r>
        <w:rPr>
          <w:b/>
          <w:bCs/>
          <w:sz w:val="19"/>
          <w:szCs w:val="19"/>
        </w:rPr>
        <w:softHyphen/>
        <w:t>opak: rozhlas učinil známá jména lidí až dosud zcela ne</w:t>
      </w:r>
      <w:r>
        <w:rPr>
          <w:b/>
          <w:bCs/>
          <w:sz w:val="19"/>
          <w:szCs w:val="19"/>
        </w:rPr>
        <w:softHyphen/>
        <w:t>známých.</w:t>
      </w:r>
    </w:p>
    <w:p w:rsidR="00500724" w:rsidRDefault="00F30FB8">
      <w:pPr>
        <w:pStyle w:val="Zkladntext100"/>
        <w:shd w:val="clear" w:color="auto" w:fill="auto"/>
        <w:spacing w:line="192" w:lineRule="auto"/>
        <w:ind w:firstLine="360"/>
        <w:rPr>
          <w:sz w:val="19"/>
          <w:szCs w:val="19"/>
        </w:rPr>
      </w:pPr>
      <w:r>
        <w:rPr>
          <w:b/>
          <w:bCs/>
          <w:sz w:val="19"/>
          <w:szCs w:val="19"/>
        </w:rPr>
        <w:t>Otázka je naléhavá u filmu i u rozhlasu. Důvod</w:t>
      </w:r>
      <w:r>
        <w:rPr>
          <w:b/>
          <w:bCs/>
          <w:sz w:val="19"/>
          <w:szCs w:val="19"/>
        </w:rPr>
        <w:t>y se zcela nekryjí. Světy se liší. Společné je, že film a rozhlas mají mnoho posluchačů a diváků. Je tu masový konsum. Rozdíl je, že film je z největší části věcí soukromého kapitálu, t. j. výdělku, který často velmi násilně upravuje román.</w:t>
      </w:r>
    </w:p>
    <w:p w:rsidR="00500724" w:rsidRDefault="00F30FB8">
      <w:pPr>
        <w:pStyle w:val="Zkladntext100"/>
        <w:shd w:val="clear" w:color="auto" w:fill="auto"/>
        <w:tabs>
          <w:tab w:val="left" w:pos="4546"/>
        </w:tabs>
        <w:spacing w:line="192" w:lineRule="auto"/>
        <w:ind w:firstLine="360"/>
        <w:rPr>
          <w:sz w:val="20"/>
          <w:szCs w:val="20"/>
        </w:rPr>
      </w:pPr>
      <w:r>
        <w:rPr>
          <w:b/>
          <w:bCs/>
          <w:sz w:val="19"/>
          <w:szCs w:val="19"/>
        </w:rPr>
        <w:t>U rozhlasu je z</w:t>
      </w:r>
      <w:r>
        <w:rPr>
          <w:b/>
          <w:bCs/>
          <w:sz w:val="19"/>
          <w:szCs w:val="19"/>
        </w:rPr>
        <w:t>ase velký konsum. Jsou tu možné reprisy, ale v rozhlase není možné v krátkém údobí hráti věc pětkrát nebo i stokrát. A zkušenost učí, že rozhlasová hra je oblí</w:t>
      </w:r>
      <w:r>
        <w:rPr>
          <w:b/>
          <w:bCs/>
          <w:sz w:val="19"/>
          <w:szCs w:val="19"/>
        </w:rPr>
        <w:softHyphen/>
        <w:t>bená. Původní tvorba nestačí; proto upravují se i knihy pro rozhlasové hry. I tu, jako při drama</w:t>
      </w:r>
      <w:r>
        <w:rPr>
          <w:b/>
          <w:bCs/>
          <w:sz w:val="19"/>
          <w:szCs w:val="19"/>
        </w:rPr>
        <w:t>tisaci románu pro di</w:t>
      </w:r>
      <w:r>
        <w:rPr>
          <w:b/>
          <w:bCs/>
          <w:sz w:val="19"/>
          <w:szCs w:val="19"/>
        </w:rPr>
        <w:softHyphen/>
        <w:t>vadlo, nepůjde o rozhodnutí zásady, ale o to, j a k. Zejména je třeba uznat nový svět filmu a rozhlasu a jeho autonomní řád.</w:t>
      </w:r>
      <w:r>
        <w:rPr>
          <w:b/>
          <w:bCs/>
          <w:sz w:val="19"/>
          <w:szCs w:val="19"/>
        </w:rPr>
        <w:tab/>
      </w:r>
      <w:r>
        <w:rPr>
          <w:i/>
          <w:iCs/>
          <w:sz w:val="20"/>
          <w:szCs w:val="20"/>
        </w:rPr>
        <w:t>V. G.</w:t>
      </w:r>
    </w:p>
    <w:p w:rsidR="00500724" w:rsidRDefault="00F30FB8">
      <w:pPr>
        <w:spacing w:line="1" w:lineRule="exact"/>
        <w:rPr>
          <w:sz w:val="2"/>
          <w:szCs w:val="2"/>
        </w:rPr>
      </w:pPr>
      <w:r>
        <w:br w:type="column"/>
      </w:r>
    </w:p>
    <w:p w:rsidR="00500724" w:rsidRDefault="00F30FB8">
      <w:pPr>
        <w:pStyle w:val="Nadpis90"/>
        <w:keepNext/>
        <w:keepLines/>
        <w:shd w:val="clear" w:color="auto" w:fill="auto"/>
        <w:spacing w:after="200"/>
      </w:pPr>
      <w:bookmarkStart w:id="281" w:name="bookmark281"/>
      <w:r>
        <w:rPr>
          <w:rFonts w:ascii="Times New Roman" w:eastAsia="Times New Roman" w:hAnsi="Times New Roman" w:cs="Times New Roman"/>
        </w:rPr>
        <w:t>íiteratura a umění</w:t>
      </w:r>
      <w:bookmarkEnd w:id="281"/>
    </w:p>
    <w:p w:rsidR="00500724" w:rsidRDefault="00F30FB8">
      <w:pPr>
        <w:pStyle w:val="Zkladntext100"/>
        <w:shd w:val="clear" w:color="auto" w:fill="auto"/>
        <w:spacing w:after="60" w:line="254" w:lineRule="auto"/>
        <w:ind w:firstLine="0"/>
        <w:jc w:val="left"/>
        <w:rPr>
          <w:sz w:val="19"/>
          <w:szCs w:val="19"/>
        </w:rPr>
      </w:pPr>
      <w:r>
        <w:rPr>
          <w:b/>
          <w:bCs/>
          <w:i/>
          <w:iCs/>
          <w:sz w:val="19"/>
          <w:szCs w:val="19"/>
        </w:rPr>
        <w:t>Elsa Lanchesterová:</w:t>
      </w:r>
    </w:p>
    <w:p w:rsidR="00500724" w:rsidRDefault="00F30FB8">
      <w:pPr>
        <w:pStyle w:val="Nadpis100"/>
        <w:shd w:val="clear" w:color="auto" w:fill="auto"/>
        <w:spacing w:after="60" w:line="240" w:lineRule="auto"/>
      </w:pPr>
      <w:bookmarkStart w:id="282" w:name="bookmark282"/>
      <w:r>
        <w:t>Jindřich Vlil. a jeho žena</w:t>
      </w:r>
      <w:bookmarkEnd w:id="282"/>
    </w:p>
    <w:p w:rsidR="00500724" w:rsidRDefault="00F30FB8">
      <w:pPr>
        <w:pStyle w:val="Zkladntext20"/>
        <w:shd w:val="clear" w:color="auto" w:fill="auto"/>
        <w:spacing w:after="60" w:line="211" w:lineRule="auto"/>
        <w:ind w:left="560" w:firstLine="200"/>
        <w:rPr>
          <w:sz w:val="20"/>
          <w:szCs w:val="20"/>
        </w:rPr>
      </w:pPr>
      <w:r>
        <w:rPr>
          <w:sz w:val="20"/>
          <w:szCs w:val="20"/>
        </w:rPr>
        <w:t xml:space="preserve">Elsa Lanchesterová je význačná </w:t>
      </w:r>
      <w:r>
        <w:rPr>
          <w:sz w:val="20"/>
          <w:szCs w:val="20"/>
        </w:rPr>
        <w:t>anglická drama</w:t>
      </w:r>
      <w:r>
        <w:rPr>
          <w:sz w:val="20"/>
          <w:szCs w:val="20"/>
        </w:rPr>
        <w:softHyphen/>
        <w:t>tická umělkyně. Mimo to je zákonnou ženou slav</w:t>
      </w:r>
      <w:r>
        <w:rPr>
          <w:sz w:val="20"/>
          <w:szCs w:val="20"/>
        </w:rPr>
        <w:softHyphen/>
        <w:t xml:space="preserve">ného anglického a divadelního filmového herce Charlesa </w:t>
      </w:r>
      <w:r>
        <w:rPr>
          <w:sz w:val="20"/>
          <w:szCs w:val="20"/>
          <w:lang w:val="en-US" w:eastAsia="en-US" w:bidi="en-US"/>
        </w:rPr>
        <w:t xml:space="preserve">Laughton </w:t>
      </w:r>
      <w:r>
        <w:rPr>
          <w:sz w:val="20"/>
          <w:szCs w:val="20"/>
        </w:rPr>
        <w:t>a. Ačkoli je dlouhá řada fil</w:t>
      </w:r>
      <w:r>
        <w:rPr>
          <w:sz w:val="20"/>
          <w:szCs w:val="20"/>
        </w:rPr>
        <w:softHyphen/>
        <w:t xml:space="preserve">mů, ve kterých vytvořil jednu postavu zajímavější nežli druhou — tyto filmy se jmenují </w:t>
      </w:r>
      <w:r>
        <w:rPr>
          <w:sz w:val="20"/>
          <w:szCs w:val="20"/>
          <w:lang w:val="en-US" w:eastAsia="en-US" w:bidi="en-US"/>
        </w:rPr>
        <w:t xml:space="preserve">Piccadilly, </w:t>
      </w:r>
      <w:r>
        <w:rPr>
          <w:sz w:val="20"/>
          <w:szCs w:val="20"/>
        </w:rPr>
        <w:t>Vz</w:t>
      </w:r>
      <w:r>
        <w:rPr>
          <w:sz w:val="20"/>
          <w:szCs w:val="20"/>
        </w:rPr>
        <w:t xml:space="preserve">poura na </w:t>
      </w:r>
      <w:r>
        <w:rPr>
          <w:sz w:val="20"/>
          <w:szCs w:val="20"/>
          <w:lang w:val="en-US" w:eastAsia="en-US" w:bidi="en-US"/>
        </w:rPr>
        <w:t xml:space="preserve">Bounty, </w:t>
      </w:r>
      <w:r>
        <w:rPr>
          <w:sz w:val="20"/>
          <w:szCs w:val="20"/>
        </w:rPr>
        <w:t>Bídníci, Sluha-gentleman — přece jen asi vstoupí do filmových dějin hlavně za svého nesmrtelného Jindřicha VIII., který v Kordově filmu utrácel ženu za ženou, aniž tímto svým ukru- tenstvím vyvolal v hledištích světa cosi jiného mimo zdrav</w:t>
      </w:r>
      <w:r>
        <w:rPr>
          <w:sz w:val="20"/>
          <w:szCs w:val="20"/>
        </w:rPr>
        <w:t>ý smích. Tato Elsa Lanchesterová-Laughtonová, jeho věrná spolupracovnice v životě i v umění, při</w:t>
      </w:r>
      <w:r>
        <w:rPr>
          <w:sz w:val="20"/>
          <w:szCs w:val="20"/>
        </w:rPr>
        <w:softHyphen/>
        <w:t xml:space="preserve">pojila nyní ke svým zásluhám také pověst dobré vypravěčky, když vydala v minulých dnech knihu- deník Charles </w:t>
      </w:r>
      <w:r>
        <w:rPr>
          <w:sz w:val="20"/>
          <w:szCs w:val="20"/>
          <w:lang w:val="en-US" w:eastAsia="en-US" w:bidi="en-US"/>
        </w:rPr>
        <w:t xml:space="preserve">Laughton and </w:t>
      </w:r>
      <w:r>
        <w:rPr>
          <w:sz w:val="20"/>
          <w:szCs w:val="20"/>
        </w:rPr>
        <w:t>I.</w:t>
      </w:r>
    </w:p>
    <w:p w:rsidR="00500724" w:rsidRDefault="00F30FB8">
      <w:pPr>
        <w:pStyle w:val="Zkladntext100"/>
        <w:shd w:val="clear" w:color="auto" w:fill="auto"/>
        <w:spacing w:line="317" w:lineRule="auto"/>
        <w:ind w:left="340" w:firstLine="760"/>
        <w:jc w:val="left"/>
      </w:pPr>
      <w:r>
        <w:t>Strážníkem a maharadžou Můj manžel</w:t>
      </w:r>
      <w:r>
        <w:t xml:space="preserve"> Charles nepomýšlel na to, stát se filmovým</w:t>
      </w:r>
    </w:p>
    <w:p w:rsidR="00500724" w:rsidRDefault="00F30FB8">
      <w:pPr>
        <w:pStyle w:val="Zkladntext100"/>
        <w:shd w:val="clear" w:color="auto" w:fill="auto"/>
        <w:spacing w:after="60" w:line="269" w:lineRule="auto"/>
        <w:ind w:firstLine="0"/>
      </w:pPr>
      <w:r>
        <w:t>hercem. Zajímal se o filmy a hrál v jednom nebo ve dvou v Anglii, avšak v ničem významnějším. Když jsem na příklad hrála v drobnějších pracích podle Wellse, uby</w:t>
      </w:r>
      <w:r>
        <w:softHyphen/>
        <w:t xml:space="preserve">tovali jsme se v </w:t>
      </w:r>
      <w:r>
        <w:rPr>
          <w:lang w:val="en-US" w:eastAsia="en-US" w:bidi="en-US"/>
        </w:rPr>
        <w:t xml:space="preserve">Rye </w:t>
      </w:r>
      <w:r>
        <w:t xml:space="preserve">a tehdy šel se mnou a jen fak </w:t>
      </w:r>
      <w:r>
        <w:t>ze žertu přijal úlohu strážníka v jednom a maharadžu s tur</w:t>
      </w:r>
      <w:r>
        <w:softHyphen/>
        <w:t xml:space="preserve">banem hrál v druhém filmu. Lze-li říci o Charlesovi, že učinil oficiální debut ve filmu, pak to bylo v anglickém němém filmu </w:t>
      </w:r>
      <w:r>
        <w:rPr>
          <w:lang w:val="en-US" w:eastAsia="en-US" w:bidi="en-US"/>
        </w:rPr>
        <w:t xml:space="preserve">Piccadilly </w:t>
      </w:r>
      <w:r>
        <w:t>(díle režiséra Duponta, autora Variété, pozn. překl.). Hrál ú</w:t>
      </w:r>
      <w:r>
        <w:t>lohu staršího labužníka, který si stěžuje na špinavý talíř při veliké kabaretní scéně. To byla pro Charlese jednodenní práce.</w:t>
      </w:r>
    </w:p>
    <w:p w:rsidR="00500724" w:rsidRDefault="00F30FB8">
      <w:pPr>
        <w:pStyle w:val="Zkladntext100"/>
        <w:shd w:val="clear" w:color="auto" w:fill="auto"/>
        <w:spacing w:line="324" w:lineRule="auto"/>
        <w:ind w:left="340" w:firstLine="860"/>
        <w:jc w:val="left"/>
      </w:pPr>
      <w:r>
        <w:t>Přival filmových smluv Většina herců, uvyklých na jeviště, opovrhuje důklad</w:t>
      </w:r>
      <w:r>
        <w:softHyphen/>
      </w:r>
    </w:p>
    <w:p w:rsidR="00500724" w:rsidRDefault="00F30FB8">
      <w:pPr>
        <w:pStyle w:val="Zkladntext100"/>
        <w:shd w:val="clear" w:color="auto" w:fill="auto"/>
        <w:spacing w:line="269" w:lineRule="auto"/>
        <w:ind w:firstLine="0"/>
      </w:pPr>
      <w:r>
        <w:t>ně filmovým řemeslem, když se k němu dostanou, a touž</w:t>
      </w:r>
      <w:r>
        <w:t xml:space="preserve">í po tom vrátit se zpět k divadlu. Pikají: &gt;Divadlo stojí opravdu za to, film je skvělý k vydělávání peněž,a a jiné podobné věci. Toho Charles nikdy nedělal. Četli jsme ještě s velkou důkladností novinové stali po novoyorském předvedení filmu </w:t>
      </w:r>
      <w:r>
        <w:rPr>
          <w:lang w:val="en-US" w:eastAsia="en-US" w:bidi="en-US"/>
        </w:rPr>
        <w:t>Payment Defer</w:t>
      </w:r>
      <w:r>
        <w:rPr>
          <w:lang w:val="en-US" w:eastAsia="en-US" w:bidi="en-US"/>
        </w:rPr>
        <w:t xml:space="preserve">ret, </w:t>
      </w:r>
      <w:r>
        <w:t>když už začaly docházet návrhy filmových smluv, nabízejících muži ne</w:t>
      </w:r>
      <w:r>
        <w:softHyphen/>
        <w:t>smírně vysoké honoráře. Charlesovi byly nabízeny mno</w:t>
      </w:r>
      <w:r>
        <w:softHyphen/>
        <w:t>hé dlouhodobé smlouvy, avšak ani v jediné nebyla nej</w:t>
      </w:r>
      <w:r>
        <w:softHyphen/>
        <w:t>menší poznámka, z níž by vyplývalo, v jakém druhu pří</w:t>
      </w:r>
      <w:r>
        <w:softHyphen/>
        <w:t>běhu ho filmové společ</w:t>
      </w:r>
      <w:r>
        <w:t>nosti vlastně chtějí nechat hrát. Kdyby byl tyto smlouvy přijal, byl by mohl trčet v Holly</w:t>
      </w:r>
      <w:r>
        <w:softHyphen/>
        <w:t>woodu mnoho let a nikdy by nebyl mohl uplatnit svůj názor při volbě filmových úloh. Takové podmínky byly pro Charlesa nepřijatelné. Měl vždycky zájem o vlast</w:t>
      </w:r>
      <w:r>
        <w:softHyphen/>
        <w:t>nosti h</w:t>
      </w:r>
      <w:r>
        <w:t>ry právě tak jako o možnosti, které mu dává na</w:t>
      </w:r>
      <w:r>
        <w:softHyphen/>
        <w:t>bízená úloha. Taková byla jeho zásada, když opouštěl Královskou akademii dramatického umění, a tuto zásadu uznává dosud. Ví, že hrajete-li ve filmu s ubohoučkým námětem a kdybyste měl sebe vyšší gáži, vaše pov</w:t>
      </w:r>
      <w:r>
        <w:t>ěst utrpí a zájem obecenstva o vaši osobu klesá. Je lépe přijmout menší gáži a vykoupit si trochu svobody vlastního roz</w:t>
      </w:r>
      <w:r>
        <w:softHyphen/>
        <w:t>hodování.</w:t>
      </w:r>
    </w:p>
    <w:p w:rsidR="00500724" w:rsidRDefault="00F30FB8">
      <w:pPr>
        <w:pStyle w:val="Zkladntext100"/>
        <w:shd w:val="clear" w:color="auto" w:fill="auto"/>
        <w:spacing w:after="60" w:line="432" w:lineRule="auto"/>
        <w:ind w:left="340" w:firstLine="0"/>
        <w:jc w:val="right"/>
        <w:rPr>
          <w:sz w:val="20"/>
          <w:szCs w:val="20"/>
        </w:rPr>
      </w:pPr>
      <w:r>
        <w:t xml:space="preserve">Když hrál Charles na divadle ve West Endu, nestal </w:t>
      </w:r>
      <w:r>
        <w:rPr>
          <w:b/>
          <w:bCs/>
          <w:sz w:val="20"/>
          <w:szCs w:val="20"/>
        </w:rPr>
        <w:t>iSí</w:t>
      </w:r>
      <w:r>
        <w:br w:type="page"/>
      </w:r>
    </w:p>
    <w:p w:rsidR="00500724" w:rsidRDefault="00F30FB8">
      <w:pPr>
        <w:pStyle w:val="Zkladntext100"/>
        <w:shd w:val="clear" w:color="auto" w:fill="auto"/>
        <w:spacing w:after="40" w:line="269" w:lineRule="auto"/>
        <w:ind w:firstLine="0"/>
      </w:pPr>
      <w:r>
        <w:rPr>
          <w:b/>
          <w:bCs/>
          <w:sz w:val="20"/>
          <w:szCs w:val="20"/>
        </w:rPr>
        <w:t xml:space="preserve">te </w:t>
      </w:r>
      <w:r>
        <w:t xml:space="preserve">z toho důvodu doopravdy vysoce placeným hercem. Cekal vždycky na </w:t>
      </w:r>
      <w:r>
        <w:t>úlohy ve hrách, které se mu zdály za</w:t>
      </w:r>
      <w:r>
        <w:softHyphen/>
        <w:t>jímavými. Přes to bychom byli v tehdejší podivné době potřebovali peněz. Když jsme byli v Novém Yorku, mu</w:t>
      </w:r>
      <w:r>
        <w:softHyphen/>
        <w:t>sili jsme platit daně v Anglii i v Americe, naše venkov</w:t>
      </w:r>
      <w:r>
        <w:softHyphen/>
        <w:t>ské stavení v Anglii se dostavovalo a ve Spojených Stá</w:t>
      </w:r>
      <w:r>
        <w:softHyphen/>
        <w:t>te</w:t>
      </w:r>
      <w:r>
        <w:t>ch jsme musili žít na hodně veliké noze, abychom si získali známosti, jak to dělají všichni herci v Novém Yorku.</w:t>
      </w:r>
    </w:p>
    <w:p w:rsidR="00500724" w:rsidRDefault="00F30FB8">
      <w:pPr>
        <w:pStyle w:val="Zkladntext100"/>
        <w:shd w:val="clear" w:color="auto" w:fill="auto"/>
        <w:spacing w:after="40" w:line="262" w:lineRule="auto"/>
      </w:pPr>
      <w:r>
        <w:t>Charles se vracíval do hotelu doslovně vyčerpán roz</w:t>
      </w:r>
      <w:r>
        <w:softHyphen/>
        <w:t>mluvami s významnými osobnostmi, zastupujícími holly</w:t>
      </w:r>
      <w:r>
        <w:softHyphen/>
        <w:t>woodské společnosti. Potřebuj ete-li p</w:t>
      </w:r>
      <w:r>
        <w:t xml:space="preserve">eněz, je nesnadné říci «Ne« - a Charles přece říkal »Ne«. Je třeba velmi důkladného sebezapření, nabízí-li se vám náhle bohatství </w:t>
      </w:r>
      <w:r>
        <w:rPr>
          <w:b/>
          <w:bCs/>
          <w:sz w:val="20"/>
          <w:szCs w:val="20"/>
        </w:rPr>
        <w:t xml:space="preserve">a </w:t>
      </w:r>
      <w:r>
        <w:t>jestliže přes to strkáte hlavu do písku. A tak jsme sedá</w:t>
      </w:r>
      <w:r>
        <w:softHyphen/>
        <w:t xml:space="preserve">vali u stolu a říkali jsme si: </w:t>
      </w:r>
      <w:r>
        <w:rPr>
          <w:rFonts w:ascii="Arial" w:eastAsia="Arial" w:hAnsi="Arial" w:cs="Arial"/>
          <w:smallCaps/>
          <w:sz w:val="15"/>
          <w:szCs w:val="15"/>
        </w:rPr>
        <w:t>jNu,</w:t>
      </w:r>
      <w:r>
        <w:t xml:space="preserve"> jak situace vypadá, můžeme žít </w:t>
      </w:r>
      <w:r>
        <w:t>také v docela malém bytě. Nemáme naspěch.* Charles nebojoval proti filmové kariéře, byl by rád dělal filmy, nechtěl se však pustit do něčeho, co by mohlo snadno zabít jeho budoucnost.</w:t>
      </w:r>
    </w:p>
    <w:p w:rsidR="00500724" w:rsidRDefault="00F30FB8">
      <w:pPr>
        <w:pStyle w:val="Zkladntext100"/>
        <w:shd w:val="clear" w:color="auto" w:fill="auto"/>
        <w:spacing w:after="120" w:line="269" w:lineRule="auto"/>
      </w:pPr>
      <w:r>
        <w:t>Novoyorští zástupci hollywoodských společnosti ne</w:t>
      </w:r>
      <w:r>
        <w:softHyphen/>
        <w:t xml:space="preserve">chápali, jak se nám </w:t>
      </w:r>
      <w:r>
        <w:t>zdálo, mého manžela. Nebyla jsem přítomna ani jediné rozmluvě, myslím si však, že oni a on hovořili zcela odlišným jazykem. Věděli, že tenhle muž dosáhl úspěchu, a chtěli si ho tedy koupit. To byl jejich obvyklý postup. Nemyslím, že byli zneklidněni, spíše</w:t>
      </w:r>
      <w:r>
        <w:t xml:space="preserve"> tu Stáli nad úplným rebusem, který jim položil Charles — scházel jim styčný bod.</w:t>
      </w:r>
    </w:p>
    <w:p w:rsidR="00500724" w:rsidRDefault="00F30FB8">
      <w:pPr>
        <w:pStyle w:val="Zkladntext100"/>
        <w:shd w:val="clear" w:color="auto" w:fill="auto"/>
        <w:spacing w:after="40" w:line="262" w:lineRule="auto"/>
        <w:ind w:firstLine="0"/>
        <w:jc w:val="center"/>
      </w:pPr>
      <w:r>
        <w:t>Nabídka Paramountu na moři</w:t>
      </w:r>
    </w:p>
    <w:p w:rsidR="00500724" w:rsidRDefault="00F30FB8">
      <w:pPr>
        <w:pStyle w:val="Zkladntext100"/>
        <w:shd w:val="clear" w:color="auto" w:fill="auto"/>
        <w:spacing w:after="40" w:line="262" w:lineRule="auto"/>
      </w:pPr>
      <w:r>
        <w:t xml:space="preserve">Po skončení repris </w:t>
      </w:r>
      <w:r>
        <w:rPr>
          <w:lang w:val="en-US" w:eastAsia="en-US" w:bidi="en-US"/>
        </w:rPr>
        <w:t xml:space="preserve">Payment Deferred </w:t>
      </w:r>
      <w:r>
        <w:t>v Novém Yorku byl Charles zavolán do Anglie, aby hrál v obno</w:t>
      </w:r>
      <w:r>
        <w:softHyphen/>
        <w:t>vené úspěšné hře Alibi, ve které už před tím vystu</w:t>
      </w:r>
      <w:r>
        <w:t>po</w:t>
      </w:r>
      <w:r>
        <w:softHyphen/>
        <w:t xml:space="preserve">val. Já odjela do Anglie dříve a Charles spěchal za mnou. Když byla už loď za Hudsonem, obdržel Charles novou nabídku od </w:t>
      </w:r>
      <w:r>
        <w:rPr>
          <w:lang w:val="en-US" w:eastAsia="en-US" w:bidi="en-US"/>
        </w:rPr>
        <w:t xml:space="preserve">Jesse </w:t>
      </w:r>
      <w:r>
        <w:t>Laskiho z Paramountu. Nemohl přeplavat zpátky na americkou pevninu, aby věc podrobně projed</w:t>
      </w:r>
      <w:r>
        <w:softHyphen/>
        <w:t>nal, a tak přijel do Anglie, nevěd</w:t>
      </w:r>
      <w:r>
        <w:t>a, že jeho cesta bude vlastně jenom krátkým week-endem.</w:t>
      </w:r>
    </w:p>
    <w:p w:rsidR="00500724" w:rsidRDefault="00F30FB8">
      <w:pPr>
        <w:pStyle w:val="Zkladntext100"/>
        <w:shd w:val="clear" w:color="auto" w:fill="auto"/>
        <w:spacing w:after="40" w:line="252" w:lineRule="auto"/>
      </w:pPr>
      <w:r>
        <w:t>Charles přijel rovnou na venkov a našel venkovský domeček, dokončený v plné slávě. Byl by rád ztrávil ně</w:t>
      </w:r>
      <w:r>
        <w:softHyphen/>
        <w:t>kolik týdnů klidu na venkově po minulé těžké práci, avšak Hollywood a film mu dopřály pouze tří</w:t>
      </w:r>
      <w:r>
        <w:t>denního roz</w:t>
      </w:r>
      <w:r>
        <w:softHyphen/>
        <w:t>čileného odpočinku a ani mnoho ze svého nového domova neuviděl. Telefon - náš jediný ústupek civilisaci - zvo</w:t>
      </w:r>
      <w:r>
        <w:softHyphen/>
        <w:t xml:space="preserve">nil celé tři dny nepřetržitě a přinášel vzkazy z Ameriky. Nabídka Paramountu, který připravoval </w:t>
      </w:r>
      <w:r>
        <w:rPr>
          <w:lang w:val="en-US" w:eastAsia="en-US" w:bidi="en-US"/>
        </w:rPr>
        <w:t xml:space="preserve">film The Devil and the </w:t>
      </w:r>
      <w:r>
        <w:t xml:space="preserve">Deep, zněla na </w:t>
      </w:r>
      <w:r>
        <w:t>tři roky a dva filmy v roce, což nebyl příliš těžký závazek. Peněžní stránka byla ovšem méně příznivá nežli jiné nabídky.</w:t>
      </w:r>
    </w:p>
    <w:p w:rsidR="00500724" w:rsidRDefault="00F30FB8">
      <w:pPr>
        <w:pStyle w:val="Zkladntext100"/>
        <w:shd w:val="clear" w:color="auto" w:fill="auto"/>
        <w:spacing w:after="120" w:line="257" w:lineRule="auto"/>
      </w:pPr>
      <w:r>
        <w:t>Konečné rozhodnutí jít do Hollywoodu padlo o dva</w:t>
      </w:r>
      <w:r>
        <w:softHyphen/>
        <w:t>nácté v noci. Balili jsme v největším chvatu po šest hodin. Pak jsme spěchali, abycho</w:t>
      </w:r>
      <w:r>
        <w:t>m stihli osmihodinový přeprav</w:t>
      </w:r>
      <w:r>
        <w:softHyphen/>
        <w:t>ní člun ve Waterloo. Bylo nedělní ráno a neměli jsme ani peněz ani jízdenek, na člunu nám však dovolili jet na úvěr.</w:t>
      </w:r>
    </w:p>
    <w:p w:rsidR="00500724" w:rsidRDefault="00F30FB8">
      <w:pPr>
        <w:pStyle w:val="Zkladntext100"/>
        <w:shd w:val="clear" w:color="auto" w:fill="auto"/>
        <w:spacing w:after="40" w:line="262" w:lineRule="auto"/>
        <w:ind w:firstLine="0"/>
        <w:jc w:val="center"/>
      </w:pPr>
      <w:r>
        <w:t>Pan Nikdo a Hollywood</w:t>
      </w:r>
    </w:p>
    <w:p w:rsidR="00500724" w:rsidRDefault="00F30FB8">
      <w:pPr>
        <w:pStyle w:val="Zkladntext100"/>
        <w:shd w:val="clear" w:color="auto" w:fill="auto"/>
        <w:spacing w:line="254" w:lineRule="auto"/>
      </w:pPr>
      <w:r>
        <w:t>Jakmile jsme byli jednou v Hollywoodu, všechno se ze základu změnilo. Nikdo jakživ nesl</w:t>
      </w:r>
      <w:r>
        <w:t>yšel o Charlesů Laugh- lonovi ani o jeho novoyorském úspěchu, a když jsme při</w:t>
      </w:r>
      <w:r>
        <w:softHyphen/>
        <w:t xml:space="preserve">jeli, lidé po něm pokukovali a říkali si mezi sebou: »Kdo- pak je ten tlouštík?* Charles měl v kapse smlouvu o úloze ve svém prvním filmu. Byl však pouhý pan Nikdo </w:t>
      </w:r>
      <w:r>
        <w:rPr>
          <w:b/>
          <w:bCs/>
          <w:sz w:val="20"/>
          <w:szCs w:val="20"/>
        </w:rPr>
        <w:t xml:space="preserve">a já </w:t>
      </w:r>
      <w:r>
        <w:t>byla ženo</w:t>
      </w:r>
      <w:r>
        <w:t>u pana Nikoho.</w:t>
      </w:r>
    </w:p>
    <w:p w:rsidR="00500724" w:rsidRDefault="00F30FB8">
      <w:pPr>
        <w:pStyle w:val="Zkladntext100"/>
        <w:shd w:val="clear" w:color="auto" w:fill="auto"/>
        <w:spacing w:line="257" w:lineRule="auto"/>
      </w:pPr>
      <w:r>
        <w:t>Najali jsme si v Hollywoodu dům. Jako většina americ</w:t>
      </w:r>
      <w:r>
        <w:softHyphen/>
        <w:t xml:space="preserve">kých měst jsou i Los </w:t>
      </w:r>
      <w:r>
        <w:rPr>
          <w:lang w:val="en-US" w:eastAsia="en-US" w:bidi="en-US"/>
        </w:rPr>
        <w:t xml:space="preserve">Angeles </w:t>
      </w:r>
      <w:r>
        <w:t>a Hollywood postaveny na ploše, rovné jako šachovnice. Pokud mohu posoudit, je uspořádání města, které je značně veliké, dobré, avšak dům každého jednotlivce p</w:t>
      </w:r>
      <w:r>
        <w:t>lní, jak jsem pozorovala, ně</w:t>
      </w:r>
      <w:r>
        <w:softHyphen/>
        <w:t>jaké osobní tužby. Jsou tu stavby ve španělském slohu, v novoanglickém neboli anglickém farmářském stylu, v ludorovském koloniálním případně v onom slohu, který Charles a já nazýváme pozdním marcipánovým. Přirozeně tu najdete m</w:t>
      </w:r>
      <w:r>
        <w:t>iloučkó domy, avšak v celku jejich obrysy nejsou vzájemně v souladu. Pouze málo lidí, jak se zdá, si povšimlo modrého nebe a učinilo rozhodnutí, jak pod ním žít. Člověk má dojem, že to vše je mnohem spíše filmová kulisa nebo snad výrobek ze zmrzliny. Všech</w:t>
      </w:r>
      <w:r>
        <w:t>ny bytosti, jež tu žijí, si řekly: íTakovýhle dům se mi za</w:t>
      </w:r>
      <w:r>
        <w:softHyphen/>
        <w:t>mlouvá, a proto jej chci mít.*</w:t>
      </w:r>
    </w:p>
    <w:p w:rsidR="00500724" w:rsidRDefault="00F30FB8">
      <w:pPr>
        <w:pStyle w:val="Zkladntext100"/>
        <w:shd w:val="clear" w:color="auto" w:fill="auto"/>
        <w:spacing w:after="100" w:line="257" w:lineRule="auto"/>
      </w:pPr>
      <w:r>
        <w:t>Jedno filmové studio má překrásně provedené zahrady,, jejichž záhony jsou vroubeny mladými květinami. U kaž</w:t>
      </w:r>
      <w:r>
        <w:softHyphen/>
        <w:t>dého květu je malý lístek s nápisem: Nechej mě růstl</w:t>
      </w:r>
    </w:p>
    <w:p w:rsidR="00500724" w:rsidRDefault="00F30FB8">
      <w:pPr>
        <w:pStyle w:val="Zkladntext100"/>
        <w:shd w:val="clear" w:color="auto" w:fill="auto"/>
        <w:spacing w:line="257" w:lineRule="auto"/>
        <w:ind w:firstLine="0"/>
        <w:jc w:val="center"/>
      </w:pPr>
      <w:r>
        <w:t>Najal</w:t>
      </w:r>
      <w:r>
        <w:t>i jsme si přepychový dům</w:t>
      </w:r>
    </w:p>
    <w:p w:rsidR="00500724" w:rsidRDefault="00F30FB8">
      <w:pPr>
        <w:pStyle w:val="Zkladntext100"/>
        <w:shd w:val="clear" w:color="auto" w:fill="auto"/>
        <w:spacing w:after="120" w:line="254" w:lineRule="auto"/>
        <w:ind w:firstLine="200"/>
      </w:pPr>
      <w:r>
        <w:t>Dům, který jsme si vybrali, byl ohlašován na vývěsní tabuli takto: »Pronajme se: přepychový dům.* Byl na kopci na konci jedné z přímých silnic - poslední dům. Naše zahrada se táhla k divokým skaliskům. Byl to vlast</w:t>
      </w:r>
      <w:r>
        <w:softHyphen/>
      </w:r>
      <w:r>
        <w:t xml:space="preserve">ně veliký omyl ubytovat se tam, neboť noviny byly plny zpráv, že tu byli lidé omráčeni ranou do hlavy a nato oloupeni. Je pochopitelné, že člověk, který nepracuje </w:t>
      </w:r>
      <w:r>
        <w:rPr>
          <w:b/>
          <w:bCs/>
          <w:sz w:val="20"/>
          <w:szCs w:val="20"/>
        </w:rPr>
        <w:t xml:space="preserve">a </w:t>
      </w:r>
      <w:r>
        <w:t xml:space="preserve">hraje jenom </w:t>
      </w:r>
      <w:r>
        <w:rPr>
          <w:lang w:val="en-US" w:eastAsia="en-US" w:bidi="en-US"/>
        </w:rPr>
        <w:t xml:space="preserve">patience </w:t>
      </w:r>
      <w:r>
        <w:t>nebo píše přátelům domů, aby tak vyplnil den, může snadno propadnout s</w:t>
      </w:r>
      <w:r>
        <w:t>tihomamu: měla jsem stále pocit, že kdosi stojí za mnou s těžkým kladivem. Protože jsem nikdy před tím nebyla tak zcela bez práce, vybalila jsem si svou Leicu a začala jsem dělat snímky, abych se něčím zaměstnala.</w:t>
      </w:r>
    </w:p>
    <w:p w:rsidR="00500724" w:rsidRDefault="00F30FB8">
      <w:pPr>
        <w:pStyle w:val="Zkladntext100"/>
        <w:shd w:val="clear" w:color="auto" w:fill="auto"/>
        <w:spacing w:line="317" w:lineRule="auto"/>
        <w:ind w:left="260" w:firstLine="860"/>
        <w:jc w:val="left"/>
      </w:pPr>
      <w:r>
        <w:rPr>
          <w:lang w:val="en-US" w:eastAsia="en-US" w:bidi="en-US"/>
        </w:rPr>
        <w:t xml:space="preserve">Laughton </w:t>
      </w:r>
      <w:r>
        <w:t>se fotografuje Když přišli lidé z</w:t>
      </w:r>
      <w:r>
        <w:t xml:space="preserve"> reklamního oddělení Paramountu</w:t>
      </w:r>
    </w:p>
    <w:p w:rsidR="00500724" w:rsidRDefault="00F30FB8">
      <w:pPr>
        <w:pStyle w:val="Zkladntext100"/>
        <w:shd w:val="clear" w:color="auto" w:fill="auto"/>
        <w:spacing w:line="259" w:lineRule="auto"/>
        <w:ind w:firstLine="0"/>
      </w:pPr>
      <w:r>
        <w:t>k nám do bytu, zhotovili devadesátpět Charlesových snímků. Fotografovali ho proti patiu, u yuk, u palem, foto</w:t>
      </w:r>
      <w:r>
        <w:softHyphen/>
        <w:t>grafovali ho u každého rohu domu i proti kalifornskému nebi. Byla jsem jenom na málokterém obrázku a velmi mě přek</w:t>
      </w:r>
      <w:r>
        <w:t>vapilo, když mě vyzvali, abych nekouřila. Zena může kouřit, nikoli však na reklamní fotografii, neboť v malých městech a vesničkách je stále ještě mnoho obecenstva, které nemá valného smýšlení o ženách, jež provádějí ta</w:t>
      </w:r>
      <w:r>
        <w:softHyphen/>
        <w:t>kové věci. Při fotografování předevš</w:t>
      </w:r>
      <w:r>
        <w:t>ím neměli tušení, k ja</w:t>
      </w:r>
      <w:r>
        <w:softHyphen/>
        <w:t>kému typu lidí Charles patří, za druhé dbali, aby mě příliš často s Charlesem nefotografovali, a když už mě fotogra</w:t>
      </w:r>
      <w:r>
        <w:softHyphen/>
        <w:t>fovali, musila jsem vyhlížet vlídně a mile a sladce.</w:t>
      </w:r>
    </w:p>
    <w:p w:rsidR="00500724" w:rsidRDefault="00F30FB8">
      <w:pPr>
        <w:pStyle w:val="Zkladntext100"/>
        <w:shd w:val="clear" w:color="auto" w:fill="auto"/>
        <w:spacing w:after="100" w:line="259" w:lineRule="auto"/>
      </w:pPr>
      <w:r>
        <w:t>Pochopila jsem za svého hollywoodského pobytu mno</w:t>
      </w:r>
      <w:r>
        <w:softHyphen/>
        <w:t>ho o ireklamní</w:t>
      </w:r>
      <w:r>
        <w:t>m životě* filmových hvězd. Líbivý filmový herec má nepochybně velmi milou a zřejmě velmi hezkou ženu, považuje se však za správnější nechávat ji v pozadí,</w:t>
      </w:r>
    </w:p>
    <w:p w:rsidR="00500724" w:rsidRDefault="00F30FB8">
      <w:pPr>
        <w:pStyle w:val="Zkladntext100"/>
        <w:shd w:val="clear" w:color="auto" w:fill="auto"/>
        <w:spacing w:line="307" w:lineRule="auto"/>
        <w:ind w:firstLine="0"/>
        <w:jc w:val="center"/>
      </w:pPr>
      <w:r>
        <w:t>Není-li herec ještě filmovou pokladní</w:t>
      </w:r>
      <w:r>
        <w:br/>
        <w:t>hodnotou</w:t>
      </w:r>
    </w:p>
    <w:p w:rsidR="00500724" w:rsidRDefault="00F30FB8">
      <w:pPr>
        <w:pStyle w:val="Zkladntext100"/>
        <w:shd w:val="clear" w:color="auto" w:fill="auto"/>
        <w:spacing w:line="266" w:lineRule="auto"/>
      </w:pPr>
      <w:r>
        <w:rPr>
          <w:noProof/>
        </w:rPr>
        <mc:AlternateContent>
          <mc:Choice Requires="wps">
            <w:drawing>
              <wp:anchor distT="12700" distB="254000" distL="114300" distR="114300" simplePos="0" relativeHeight="125829672" behindDoc="0" locked="0" layoutInCell="1" allowOverlap="1">
                <wp:simplePos x="0" y="0"/>
                <wp:positionH relativeFrom="page">
                  <wp:posOffset>473710</wp:posOffset>
                </wp:positionH>
                <wp:positionV relativeFrom="margin">
                  <wp:posOffset>9137650</wp:posOffset>
                </wp:positionV>
                <wp:extent cx="201295" cy="170815"/>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201295"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i/>
                                <w:iCs/>
                                <w:sz w:val="20"/>
                                <w:szCs w:val="20"/>
                              </w:rPr>
                              <w:t>i&amp;a</w:t>
                            </w:r>
                          </w:p>
                        </w:txbxContent>
                      </wps:txbx>
                      <wps:bodyPr lIns="0" tIns="0" rIns="0" bIns="0">
                        <a:spAutoFit/>
                      </wps:bodyPr>
                    </wps:wsp>
                  </a:graphicData>
                </a:graphic>
              </wp:anchor>
            </w:drawing>
          </mc:Choice>
          <mc:Fallback>
            <w:pict>
              <v:shape id="_x0000_s1321" type="#_x0000_t202" style="position:absolute;margin-left:37.299999999999997pt;margin-top:719.5pt;width:15.85pt;height:13.449999999999999pt;z-index:-125829081;mso-wrap-distance-left:9.pt;mso-wrap-distance-top:1.pt;mso-wrap-distance-right:9.pt;mso-wrap-distance-bottom:20.pt;mso-position-horizontal-relative:page;mso-position-vertical-relative:margin"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i&amp;a</w:t>
                      </w:r>
                    </w:p>
                  </w:txbxContent>
                </v:textbox>
                <w10:wrap type="topAndBottom" anchorx="page" anchory="margin"/>
              </v:shape>
            </w:pict>
          </mc:Fallback>
        </mc:AlternateContent>
      </w:r>
      <w:r>
        <w:t xml:space="preserve">Za prvního pobytu v Hollywoodu pracoval Charles na filmu </w:t>
      </w:r>
      <w:r>
        <w:rPr>
          <w:lang w:val="en-US" w:eastAsia="en-US" w:bidi="en-US"/>
        </w:rPr>
        <w:t xml:space="preserve">Payment Deferred </w:t>
      </w:r>
      <w:r>
        <w:t>pro Thalberga a M. G. M. Když se hrála tato hra v Londýně a v Novém Yorku, hrála jsem jeho dceru, avšak tehdy nebyl Charles pro Holly</w:t>
      </w:r>
      <w:r>
        <w:softHyphen/>
        <w:t xml:space="preserve">wood přirozeně ještě ipokladním tahákem*, takže </w:t>
      </w:r>
      <w:r>
        <w:t xml:space="preserve">bylo třeba obklopil ho jmény, a mou úlohu přidělili </w:t>
      </w:r>
      <w:r>
        <w:rPr>
          <w:lang w:val="en-US" w:eastAsia="en-US" w:bidi="en-US"/>
        </w:rPr>
        <w:t xml:space="preserve">Maureen </w:t>
      </w:r>
      <w:r>
        <w:t>O’Sullivanové, což mi působilo bolest Kdyby se tehdy byl někdo pokusil vysvětloval mi, kdy je herec pokladní hodnotou, nebyla bych rozuměla, co mi vlastně vypra</w:t>
      </w:r>
      <w:r>
        <w:softHyphen/>
        <w:t>vují. Nyní už vím, že čím větší jmé</w:t>
      </w:r>
      <w:r>
        <w:t>no, tím je lépe pro film, a že jedinou věcí, kterou mohu udělat, je zvětšit své vlastní jméno a nepřít se o jména jiných lidí.</w:t>
      </w:r>
    </w:p>
    <w:p w:rsidR="00500724" w:rsidRDefault="00F30FB8">
      <w:pPr>
        <w:pStyle w:val="Zkladntext100"/>
        <w:shd w:val="clear" w:color="auto" w:fill="auto"/>
        <w:spacing w:after="60" w:line="264" w:lineRule="auto"/>
        <w:ind w:firstLine="300"/>
      </w:pPr>
      <w:r>
        <w:t xml:space="preserve">Když Charles začal pracovat v </w:t>
      </w:r>
      <w:r>
        <w:rPr>
          <w:lang w:val="en-US" w:eastAsia="en-US" w:bidi="en-US"/>
        </w:rPr>
        <w:t xml:space="preserve">Payment Deferred </w:t>
      </w:r>
      <w:r>
        <w:t>— nežli jsem odjela do Anglie -, měla jsem štěstí, že jsem si mohla po prvé v živo</w:t>
      </w:r>
      <w:r>
        <w:t>tě prohlédnout veliké ateliery M. G. M. Vzpomínám si, jak mocným dojmem na mě za</w:t>
      </w:r>
      <w:r>
        <w:softHyphen/>
        <w:t>působila realistická velkolepost zástupu a kostýmů, jichž bylo užito ve scéně z carského dvora ve filmu R a s p u- í i n. Byla jsem ještě důkladněji oslněna hollywoodskou důkl</w:t>
      </w:r>
      <w:r>
        <w:t>adností, když jsem shledala, že mnozí z tohoto zástupu jsou skutečně bývalá knížata a kněžny, kteří si od ruská revoluce musí vydělávat na živobytí. Bylo však po ilusí, když mi režisér řekl: «Do prvních řad musíme stavět sta- tisty a skutečné aristokraty d</w:t>
      </w:r>
      <w:r>
        <w:t>áváme dozadu. Zdá se nám, že výpomocní herci nosí kostymy s větší důstojností.!</w:t>
      </w:r>
    </w:p>
    <w:p w:rsidR="00500724" w:rsidRDefault="00F30FB8">
      <w:pPr>
        <w:pStyle w:val="Zkladntext100"/>
        <w:shd w:val="clear" w:color="auto" w:fill="auto"/>
        <w:spacing w:line="300" w:lineRule="auto"/>
        <w:ind w:firstLine="0"/>
        <w:jc w:val="center"/>
      </w:pPr>
      <w:r>
        <w:t>Ostrov ztracených duší - ífilm proti</w:t>
      </w:r>
      <w:r>
        <w:br/>
        <w:t>pří r o děi</w:t>
      </w:r>
    </w:p>
    <w:p w:rsidR="00500724" w:rsidRDefault="00F30FB8">
      <w:pPr>
        <w:pStyle w:val="Zkladntext100"/>
        <w:shd w:val="clear" w:color="auto" w:fill="auto"/>
        <w:spacing w:line="262" w:lineRule="auto"/>
        <w:ind w:firstLine="300"/>
      </w:pPr>
      <w:r>
        <w:t xml:space="preserve">Po filmu </w:t>
      </w:r>
      <w:r>
        <w:rPr>
          <w:lang w:val="en-US" w:eastAsia="en-US" w:bidi="en-US"/>
        </w:rPr>
        <w:t xml:space="preserve">Payment Deferred </w:t>
      </w:r>
      <w:r>
        <w:t>pracoval Charles ve filmu Ostrov ztracených duší. K jeho masce v úlo</w:t>
      </w:r>
      <w:r>
        <w:softHyphen/>
      </w:r>
      <w:r>
        <w:t>ze dr. Moreaua ho inspiroval jeden hollywoodský lékař: muž, jenž nosil brýle se čtvercovými skly a měl velmi podivínský malý vous na bradě a knír. Charles si namohl ve světle reflektorů zrak a navštívil tohoto lékaře, aby se s ním poradil. Hned, jakmile ho</w:t>
      </w:r>
      <w:r>
        <w:t xml:space="preserve"> uviděl, řekl: »Dr. </w:t>
      </w:r>
      <w:r>
        <w:rPr>
          <w:lang w:val="en-US" w:eastAsia="en-US" w:bidi="en-US"/>
        </w:rPr>
        <w:t>Mo</w:t>
      </w:r>
      <w:r>
        <w:rPr>
          <w:lang w:val="en-US" w:eastAsia="en-US" w:bidi="en-US"/>
        </w:rPr>
        <w:softHyphen/>
        <w:t>reau.</w:t>
      </w:r>
      <w:r>
        <w:t>« Film nebyl nikdy předváděn v Anglii a proto jsem ho nikdy nespatřila. Je to jediná Charlesova úloha, kterou jsem propásla, a jeho charakterisace dr. Moreaua je jediná, které si nemohu v duchu nějak vyvolat, protože Charlesův p</w:t>
      </w:r>
      <w:r>
        <w:t>opis filmu sestával skoro výhradně z nepříjemností a zá</w:t>
      </w:r>
      <w:r>
        <w:softHyphen/>
        <w:t xml:space="preserve">pachů, které musil snést v době, kdy se na něm pracovalo. Charles nemá od oněch dnů zvláštního potěšení z návštěv zoologické zahrady. Herecký soubor byl vyslán ke cata- linskému souostroví k natáčení </w:t>
      </w:r>
      <w:r>
        <w:t>exterierů. Jeli člunem dlouhým asi šedesát stop a mimo herce sestával tento sou</w:t>
      </w:r>
      <w:r>
        <w:softHyphen/>
        <w:t>bor z pumy, dvou lvic, tygra a čtyřiceti psů. Moře bylo neklidné a skoro všechna zvířata byla nemocná. Počínala si ve svých klecích velmi hlučně a divoce a jeden člen souboru b</w:t>
      </w:r>
      <w:r>
        <w:t>yl dokonce vážně zraněn tygrovými drápy u mříží. Byl to výlet zřejmě hodně nebezpečný a zápach nad lidskou odolnost. Herci házeli své zásoby jídla přes palubu, neboř i pouhý pohled na jídlo uváděl lidi do zlé nálady neméně nežli zvířata. Soubor pracoval na</w:t>
      </w:r>
      <w:r>
        <w:t xml:space="preserve"> Catalině po dva týdny a pak se vrátil do atelierů Paramountu, aby dokončil film.</w:t>
      </w:r>
    </w:p>
    <w:p w:rsidR="00500724" w:rsidRDefault="00F30FB8">
      <w:pPr>
        <w:pStyle w:val="Zkladntext100"/>
        <w:shd w:val="clear" w:color="auto" w:fill="auto"/>
        <w:spacing w:after="80" w:line="262" w:lineRule="auto"/>
        <w:ind w:firstLine="300"/>
      </w:pPr>
      <w:r>
        <w:t>Ostrov ztracených duší byl pak v Anglii za</w:t>
      </w:r>
      <w:r>
        <w:softHyphen/>
        <w:t xml:space="preserve">kázán pro domněnku, že je proti přírodě. Všichni lidé však mohou číst původní povídku - Wellsův Ostrov dr. Moreaua. Profesor dr. </w:t>
      </w:r>
      <w:r>
        <w:rPr>
          <w:lang w:val="en-US" w:eastAsia="en-US" w:bidi="en-US"/>
        </w:rPr>
        <w:t>Mo</w:t>
      </w:r>
      <w:r>
        <w:rPr>
          <w:lang w:val="en-US" w:eastAsia="en-US" w:bidi="en-US"/>
        </w:rPr>
        <w:t xml:space="preserve">reau </w:t>
      </w:r>
      <w:r>
        <w:t>se uchýlí na ostrov, aby tam konal pokusy na zvířatech s úmyslem, učinit z nich lidské bytosti a případně zase opak, je-li možné. Britský censor však, jsa veden humorem své bytosti, prohlásil, že to je proti přírodě. Ovšem, že to je proti přírodě. I m</w:t>
      </w:r>
      <w:r>
        <w:t xml:space="preserve">yšák </w:t>
      </w:r>
      <w:r>
        <w:rPr>
          <w:lang w:val="en-US" w:eastAsia="en-US" w:bidi="en-US"/>
        </w:rPr>
        <w:t xml:space="preserve">Mickey </w:t>
      </w:r>
      <w:r>
        <w:t>je proti přírodě.</w:t>
      </w:r>
    </w:p>
    <w:p w:rsidR="00500724" w:rsidRDefault="00F30FB8">
      <w:pPr>
        <w:pStyle w:val="Zkladntext100"/>
        <w:shd w:val="clear" w:color="auto" w:fill="auto"/>
        <w:spacing w:line="266" w:lineRule="auto"/>
        <w:ind w:firstLine="0"/>
        <w:jc w:val="center"/>
      </w:pPr>
      <w:r>
        <w:t>Práce v Lubitschově filmu</w:t>
      </w:r>
    </w:p>
    <w:p w:rsidR="00500724" w:rsidRDefault="00F30FB8">
      <w:pPr>
        <w:pStyle w:val="Zkladntext100"/>
        <w:shd w:val="clear" w:color="auto" w:fill="auto"/>
        <w:spacing w:after="40" w:line="266" w:lineRule="auto"/>
        <w:ind w:firstLine="0"/>
        <w:jc w:val="right"/>
      </w:pPr>
      <w:r>
        <w:t>Charlese pak také angažovali pro kratší úlohu ve filmu Kdybych měl milion. (Byl hrán i u nás. - Pozn.</w:t>
      </w:r>
    </w:p>
    <w:p w:rsidR="00500724" w:rsidRDefault="00F30FB8">
      <w:pPr>
        <w:pStyle w:val="Zkladntext100"/>
        <w:shd w:val="clear" w:color="auto" w:fill="auto"/>
        <w:spacing w:after="60" w:line="266" w:lineRule="auto"/>
        <w:ind w:firstLine="0"/>
      </w:pPr>
      <w:r>
        <w:t>překl.) Vždycky si této práce vážil, neboť dvoudenní práce za řízení režiséra Lubitsche i celý sou</w:t>
      </w:r>
      <w:r>
        <w:t>bor stály za námahu. Film sestával z osmi episod, které režírovalo každou část samostatně osm režisérů Paramountu. Každá episoda líčila, jak různě reagovali jednotlivci na neočekávanou zprávu o zděděném milionu dolarů. Postava, kterou hrál Charles, byla dr</w:t>
      </w:r>
      <w:r>
        <w:t>obným nápadem Lubiíschovým.</w:t>
      </w:r>
    </w:p>
    <w:p w:rsidR="00500724" w:rsidRDefault="00F30FB8">
      <w:pPr>
        <w:pStyle w:val="Zkladntext100"/>
        <w:shd w:val="clear" w:color="auto" w:fill="auto"/>
        <w:spacing w:line="269" w:lineRule="auto"/>
        <w:ind w:left="60" w:firstLine="0"/>
        <w:jc w:val="center"/>
      </w:pPr>
      <w:r>
        <w:t>Setkání s bratry Marxy</w:t>
      </w:r>
    </w:p>
    <w:p w:rsidR="00500724" w:rsidRDefault="00F30FB8">
      <w:pPr>
        <w:pStyle w:val="Zkladntext100"/>
        <w:shd w:val="clear" w:color="auto" w:fill="auto"/>
        <w:spacing w:after="60" w:line="264" w:lineRule="auto"/>
        <w:ind w:firstLine="300"/>
      </w:pPr>
      <w:r>
        <w:t xml:space="preserve">Charles se vrátil do Palm </w:t>
      </w:r>
      <w:r>
        <w:rPr>
          <w:lang w:val="en-US" w:eastAsia="en-US" w:bidi="en-US"/>
        </w:rPr>
        <w:t xml:space="preserve">Springs </w:t>
      </w:r>
      <w:r>
        <w:t xml:space="preserve">k několikadennímu odpočinku mezi filmem </w:t>
      </w:r>
      <w:r>
        <w:rPr>
          <w:lang w:val="en-US" w:eastAsia="en-US" w:bidi="en-US"/>
        </w:rPr>
        <w:t xml:space="preserve">Payment Deferred </w:t>
      </w:r>
      <w:r>
        <w:t>a Ostro</w:t>
      </w:r>
      <w:r>
        <w:softHyphen/>
        <w:t>vem ztracených duší. Vzpomíná si na tylo dny velmi živě, protože se tu seznámil a spřátelil se dvěma z bra</w:t>
      </w:r>
      <w:r>
        <w:t>trů Marxů. Změnili jako obvykle hotel - přepychový podnik - v rejdiště vlastního humoru. Čtveřice bratrů provozovala dnem i nocí své gagy, avšak dva z nich před</w:t>
      </w:r>
      <w:r>
        <w:softHyphen/>
        <w:t>stihovali ostatní. Provozovali takové komické hříčky, že to pohnulo Charlesa dokonce k tomu, ab</w:t>
      </w:r>
      <w:r>
        <w:t>y MI O TOM NA</w:t>
      </w:r>
      <w:r>
        <w:softHyphen/>
        <w:t>PSAL - což bylo něco krajně nezvyklého. Jeden z nich totiž telefonoval řediteli jiného přepychového hotelu a představiv se jako ředitel místní vodárny sdělil mu: »Ve vodním potrubí došlo k těžké poruše. Za chvíli budeme musit přerušit dodáván</w:t>
      </w:r>
      <w:r>
        <w:t>í vody, a nevíme, jak dlouho bu</w:t>
      </w:r>
      <w:r>
        <w:softHyphen/>
        <w:t>dete bez vody. Doporučuji vám, abyste si naplnili vodou všechny vany, umyvadla a všechny volné nádoby. Dě</w:t>
      </w:r>
      <w:r>
        <w:softHyphen/>
        <w:t>kuji vám.i</w:t>
      </w:r>
    </w:p>
    <w:p w:rsidR="00500724" w:rsidRDefault="00F30FB8">
      <w:pPr>
        <w:pStyle w:val="Zkladntext100"/>
        <w:shd w:val="clear" w:color="auto" w:fill="auto"/>
        <w:spacing w:line="269" w:lineRule="auto"/>
        <w:ind w:left="60" w:firstLine="0"/>
        <w:jc w:val="center"/>
      </w:pPr>
      <w:r>
        <w:t xml:space="preserve">Na scénu vstupuje Alexander </w:t>
      </w:r>
      <w:r>
        <w:rPr>
          <w:lang w:val="en-US" w:eastAsia="en-US" w:bidi="en-US"/>
        </w:rPr>
        <w:t>Korda</w:t>
      </w:r>
    </w:p>
    <w:p w:rsidR="00500724" w:rsidRDefault="00F30FB8">
      <w:pPr>
        <w:pStyle w:val="Zkladntext100"/>
        <w:shd w:val="clear" w:color="auto" w:fill="auto"/>
        <w:spacing w:line="269" w:lineRule="auto"/>
        <w:ind w:firstLine="300"/>
        <w:rPr>
          <w:sz w:val="20"/>
          <w:szCs w:val="20"/>
        </w:rPr>
      </w:pPr>
      <w:r>
        <w:t xml:space="preserve">Odjela jsem do Anglie v době natáčení filmu </w:t>
      </w:r>
      <w:r>
        <w:rPr>
          <w:lang w:val="en-US" w:eastAsia="en-US" w:bidi="en-US"/>
        </w:rPr>
        <w:t>Pay</w:t>
      </w:r>
      <w:r>
        <w:rPr>
          <w:lang w:val="en-US" w:eastAsia="en-US" w:bidi="en-US"/>
        </w:rPr>
        <w:softHyphen/>
        <w:t xml:space="preserve">ment Deferred. </w:t>
      </w:r>
      <w:r>
        <w:t xml:space="preserve">Charles přijel za několik týdnů po mně, právě včas k premiéře Ve znamení </w:t>
      </w:r>
      <w:r>
        <w:rPr>
          <w:b/>
          <w:bCs/>
          <w:sz w:val="20"/>
          <w:szCs w:val="20"/>
        </w:rPr>
        <w:t>kříže.</w:t>
      </w:r>
    </w:p>
    <w:p w:rsidR="00500724" w:rsidRDefault="00F30FB8">
      <w:pPr>
        <w:pStyle w:val="Zkladntext100"/>
        <w:shd w:val="clear" w:color="auto" w:fill="auto"/>
        <w:spacing w:line="269" w:lineRule="auto"/>
        <w:ind w:firstLine="300"/>
      </w:pPr>
      <w:r>
        <w:t xml:space="preserve">Po svém návratu byla jsem uvedena k Alexandru Kordoví. Setkala jsem se s ním po prvé v kanceláři na Grosvenor </w:t>
      </w:r>
      <w:r>
        <w:rPr>
          <w:lang w:val="en-US" w:eastAsia="en-US" w:bidi="en-US"/>
        </w:rPr>
        <w:t xml:space="preserve">Street. Korda </w:t>
      </w:r>
      <w:r>
        <w:t>věděl, že jsem provdána za Char</w:t>
      </w:r>
      <w:r>
        <w:softHyphen/>
        <w:t>lesa, a to snad také</w:t>
      </w:r>
      <w:r>
        <w:t xml:space="preserve"> zvýšilo o něco laskavost jeho cho</w:t>
      </w:r>
      <w:r>
        <w:softHyphen/>
        <w:t>vání. Ihned navrhoval natočení filmu pro nás oba, který nebyl nikdy natočen a na nějž se zcela zapomnělo. Pří</w:t>
      </w:r>
      <w:r>
        <w:softHyphen/>
        <w:t xml:space="preserve">běh se nazýval </w:t>
      </w:r>
      <w:r>
        <w:rPr>
          <w:lang w:val="en-US" w:eastAsia="en-US" w:bidi="en-US"/>
        </w:rPr>
        <w:t xml:space="preserve">A </w:t>
      </w:r>
      <w:r>
        <w:t xml:space="preserve">Gust </w:t>
      </w:r>
      <w:r>
        <w:rPr>
          <w:lang w:val="en-US" w:eastAsia="en-US" w:bidi="en-US"/>
        </w:rPr>
        <w:t xml:space="preserve">of Wind </w:t>
      </w:r>
      <w:r>
        <w:t xml:space="preserve">(Větrná bouře) </w:t>
      </w:r>
      <w:r>
        <w:rPr>
          <w:lang w:val="en-US" w:eastAsia="en-US" w:bidi="en-US"/>
        </w:rPr>
        <w:t>a Kor</w:t>
      </w:r>
      <w:r>
        <w:rPr>
          <w:lang w:val="en-US" w:eastAsia="en-US" w:bidi="en-US"/>
        </w:rPr>
        <w:softHyphen/>
        <w:t xml:space="preserve">da </w:t>
      </w:r>
      <w:r>
        <w:t>chtěl, aby Charles hrál hlavní úlohu, a lak si myslil, že</w:t>
      </w:r>
      <w:r>
        <w:t xml:space="preserve"> bych mohla hrát jeho partnerku. Tehdy dokončil </w:t>
      </w:r>
      <w:r>
        <w:rPr>
          <w:lang w:val="en-US" w:eastAsia="en-US" w:bidi="en-US"/>
        </w:rPr>
        <w:t xml:space="preserve">Korda </w:t>
      </w:r>
      <w:r>
        <w:t xml:space="preserve">film Service </w:t>
      </w:r>
      <w:r>
        <w:rPr>
          <w:lang w:val="en-US" w:eastAsia="en-US" w:bidi="en-US"/>
        </w:rPr>
        <w:t xml:space="preserve">for Ladies </w:t>
      </w:r>
      <w:r>
        <w:t xml:space="preserve">(Služba pro dámy) </w:t>
      </w:r>
      <w:r>
        <w:rPr>
          <w:b/>
          <w:bCs/>
          <w:sz w:val="20"/>
          <w:szCs w:val="20"/>
        </w:rPr>
        <w:t xml:space="preserve">z </w:t>
      </w:r>
      <w:r>
        <w:t xml:space="preserve">Lesliem </w:t>
      </w:r>
      <w:r>
        <w:rPr>
          <w:lang w:val="en-US" w:eastAsia="en-US" w:bidi="en-US"/>
        </w:rPr>
        <w:t xml:space="preserve">Howardem a film Wedding Rehearsal </w:t>
      </w:r>
      <w:r>
        <w:t>(Stavba na zkoušku) mimo slavný film Soukromý život Hele</w:t>
      </w:r>
      <w:r>
        <w:softHyphen/>
        <w:t xml:space="preserve">ny Trojské. Přes to byl </w:t>
      </w:r>
      <w:r>
        <w:rPr>
          <w:lang w:val="en-US" w:eastAsia="en-US" w:bidi="en-US"/>
        </w:rPr>
        <w:t xml:space="preserve">Korda </w:t>
      </w:r>
      <w:r>
        <w:t>ve srovnání se svou dnešní sl</w:t>
      </w:r>
      <w:r>
        <w:t>ávou tehdy skoro neznám.</w:t>
      </w:r>
    </w:p>
    <w:p w:rsidR="00500724" w:rsidRDefault="00F30FB8">
      <w:pPr>
        <w:pStyle w:val="Zkladntext100"/>
        <w:shd w:val="clear" w:color="auto" w:fill="auto"/>
        <w:spacing w:line="269" w:lineRule="auto"/>
        <w:ind w:firstLine="300"/>
      </w:pPr>
      <w:r>
        <w:t>Vím, že Charles nevěřil v anglické filmy. Chtěl se vrátit a pracovat tu na divadle, doopravdy se díval na Londýn jako na místo, kde lze pracovat na divadle, a na Hollywood jako na prostředí, kde lze dělat filmy. Protože podepsal sm</w:t>
      </w:r>
      <w:r>
        <w:t>louvu pouze na dva filmy za rok, myslil, že bude mít dosti času na obě věci.</w:t>
      </w:r>
    </w:p>
    <w:p w:rsidR="00500724" w:rsidRDefault="00F30FB8">
      <w:pPr>
        <w:pStyle w:val="Zkladntext100"/>
        <w:shd w:val="clear" w:color="auto" w:fill="auto"/>
        <w:spacing w:line="269" w:lineRule="auto"/>
        <w:ind w:firstLine="300"/>
      </w:pPr>
      <w:r>
        <w:t xml:space="preserve">Mým prvním dojmem, jímž na mě </w:t>
      </w:r>
      <w:r>
        <w:rPr>
          <w:lang w:val="en-US" w:eastAsia="en-US" w:bidi="en-US"/>
        </w:rPr>
        <w:t xml:space="preserve">Korda </w:t>
      </w:r>
      <w:r>
        <w:t>působil, bylo, že se poněkud podobá dvěma lidem, s nimiž Charles pra</w:t>
      </w:r>
      <w:r>
        <w:softHyphen/>
        <w:t>coval a jež měl rád: Komisarževskému a Dupontovi, re</w:t>
      </w:r>
      <w:r>
        <w:softHyphen/>
        <w:t>žiséru, pod nímž hrál</w:t>
      </w:r>
      <w:r>
        <w:t xml:space="preserve"> ve své filmové prvotině v </w:t>
      </w:r>
      <w:r>
        <w:rPr>
          <w:lang w:val="en-US" w:eastAsia="en-US" w:bidi="en-US"/>
        </w:rPr>
        <w:t>Picca</w:t>
      </w:r>
      <w:r>
        <w:rPr>
          <w:lang w:val="en-US" w:eastAsia="en-US" w:bidi="en-US"/>
        </w:rPr>
        <w:softHyphen/>
        <w:t xml:space="preserve">dilly. </w:t>
      </w:r>
      <w:r>
        <w:t>Všichni tito lidé měli též idivadelnickéi nápady a kouzlo způsobů. Bvl to můj první letmý dojem. Napsa</w:t>
      </w:r>
      <w:r>
        <w:softHyphen/>
        <w:t>la jsem o tom manželovi a oznámila jsem mu, že tady je někdo, o kom myslím, že mu bude sympatický a že s ním bude</w:t>
      </w:r>
      <w:r>
        <w:t xml:space="preserve"> rád pracovat. Neodpověděl. Ale Charles nepíše ni</w:t>
      </w:r>
      <w:r>
        <w:softHyphen/>
        <w:t>kdy dopisů, jsme-li vzdáleni, posílá noční kabelogramy asi dvakrát týdně a cítíme-li se zoufale osaměli, pak sl telefonujeme. Charles se vrátil do Anglie asi za šest týdnů, po mém dopise. Jeho manažéř ho od</w:t>
      </w:r>
      <w:r>
        <w:t>vedl na ná</w:t>
      </w:r>
      <w:r>
        <w:softHyphen/>
        <w:t xml:space="preserve">vštěvu k Alexandru Kordoví ihned, jakmile přijel. Pak se setkali častěji </w:t>
      </w:r>
      <w:r>
        <w:rPr>
          <w:b/>
          <w:bCs/>
          <w:sz w:val="20"/>
          <w:szCs w:val="20"/>
        </w:rPr>
        <w:t xml:space="preserve">a </w:t>
      </w:r>
      <w:r>
        <w:t>debatovali o filmových nápadech. Manžel doufal, že najde dobrou divadelní hru, avšak jeho schůzka s Alexandrem Kordou změnila podstatně jeho plán. Oba začali uvažovat o J</w:t>
      </w:r>
      <w:r>
        <w:t>indřichu VIII.</w:t>
      </w:r>
    </w:p>
    <w:p w:rsidR="00500724" w:rsidRDefault="00F30FB8">
      <w:pPr>
        <w:pStyle w:val="Zkladntext100"/>
        <w:shd w:val="clear" w:color="auto" w:fill="auto"/>
        <w:spacing w:line="266" w:lineRule="auto"/>
        <w:ind w:firstLine="300"/>
      </w:pPr>
      <w:r>
        <w:t>Mnoho lidí volalo po Jindřichu VIII., avšak tako</w:t>
      </w:r>
      <w:r>
        <w:softHyphen/>
        <w:t>vým způsobem, který vedl na scestí. Po řadu let hleděli lidé jedním okem na manžela a říkali: »Víte, že byste se hodil za Jindřicha VIII.?* Takové věty se mluví tak, jako říkáme-li při pohledu</w:t>
      </w:r>
      <w:r>
        <w:t xml:space="preserve"> na modré nebe: »Není dnes krásné modré nebe?« Prvním člověkem, který doporučoval na</w:t>
      </w:r>
      <w:r>
        <w:softHyphen/>
        <w:t>točit Jindřicha jako film, byl, pokud si vzpomínám, John Armstrong, čí návrh však nakonec rozhodl u Kordy, nevím. Byl to John, který později kreslil návrhy kostýmů pro ten</w:t>
      </w:r>
      <w:r>
        <w:t>to film.</w:t>
      </w:r>
    </w:p>
    <w:p w:rsidR="00500724" w:rsidRDefault="00F30FB8">
      <w:pPr>
        <w:pStyle w:val="Zkladntext100"/>
        <w:shd w:val="clear" w:color="auto" w:fill="auto"/>
        <w:spacing w:line="266" w:lineRule="auto"/>
        <w:ind w:firstLine="0"/>
        <w:jc w:val="center"/>
      </w:pPr>
      <w:r>
        <w:t>První plány na film o Jindřichu VIII.</w:t>
      </w:r>
    </w:p>
    <w:p w:rsidR="00500724" w:rsidRDefault="00F30FB8">
      <w:pPr>
        <w:pStyle w:val="Zkladntext100"/>
        <w:shd w:val="clear" w:color="auto" w:fill="auto"/>
        <w:spacing w:line="266" w:lineRule="auto"/>
        <w:ind w:firstLine="240"/>
      </w:pPr>
      <w:r>
        <w:t xml:space="preserve">Zprvu to měl být film pouze o Jindřichu VIII. a Anně </w:t>
      </w:r>
      <w:r>
        <w:rPr>
          <w:lang w:val="en-US" w:eastAsia="en-US" w:bidi="en-US"/>
        </w:rPr>
        <w:t xml:space="preserve">of Cleves. </w:t>
      </w:r>
      <w:r>
        <w:t xml:space="preserve">Všechny situace komedie ukazovaly k této královně, kterou jsem měla hrát. Skutečně jsem už byla určena za její představitelku, pak se však vedle </w:t>
      </w:r>
      <w:r>
        <w:t>Jindři</w:t>
      </w:r>
      <w:r>
        <w:softHyphen/>
        <w:t>cha objevila další jeho žena, pak třetí, až bylo zcela jas</w:t>
      </w:r>
      <w:r>
        <w:softHyphen/>
        <w:t xml:space="preserve">né, že jediné, co obecenstvo zví o Jindřichu VIII., bude, že měl hejno žen, a to také bylo, co chtělo vidět. </w:t>
      </w:r>
      <w:r>
        <w:rPr>
          <w:lang w:val="en-US" w:eastAsia="en-US" w:bidi="en-US"/>
        </w:rPr>
        <w:t xml:space="preserve">Korda </w:t>
      </w:r>
      <w:r>
        <w:t>v tom měl pravdu. Námět se opravami změnil v mnohem lepší film.</w:t>
      </w:r>
    </w:p>
    <w:p w:rsidR="00500724" w:rsidRDefault="00F30FB8">
      <w:pPr>
        <w:pStyle w:val="Zkladntext100"/>
        <w:shd w:val="clear" w:color="auto" w:fill="auto"/>
        <w:spacing w:line="266" w:lineRule="auto"/>
        <w:ind w:firstLine="300"/>
      </w:pPr>
      <w:r>
        <w:t>To byly ješ</w:t>
      </w:r>
      <w:r>
        <w:t xml:space="preserve">tě dni, kdy jste dokázali udělat nejlepší věc </w:t>
      </w:r>
      <w:r>
        <w:rPr>
          <w:b/>
          <w:bCs/>
          <w:sz w:val="20"/>
          <w:szCs w:val="20"/>
        </w:rPr>
        <w:t xml:space="preserve">s </w:t>
      </w:r>
      <w:r>
        <w:t>kusem provázku a napínáčkem. Jindřich VIII. byl vyroben, myslím, asi za 50 tisíc liber šterlinků, což je malá částka za poměrně veliký film. Kdyby byl týž film vyráběn dnes v jednom z velikých britských filmo</w:t>
      </w:r>
      <w:r>
        <w:t>vých studií, stál by nejméně dvakrát tolik.</w:t>
      </w:r>
    </w:p>
    <w:p w:rsidR="00500724" w:rsidRDefault="00F30FB8">
      <w:pPr>
        <w:pStyle w:val="Zkladntext100"/>
        <w:shd w:val="clear" w:color="auto" w:fill="auto"/>
        <w:spacing w:after="80" w:line="264" w:lineRule="auto"/>
        <w:ind w:firstLine="240"/>
      </w:pPr>
      <w:r>
        <w:t xml:space="preserve">Tři nebo čtyři měsíce uplynuly v přípravách a výrobě filmu. Charles vzal na sebe velkou část hledání a zmatků, aby osvětlil dobu a povahu Jindřicha VIII. nežli přikročí k práci, a konaje tento úkol, přemlouval a </w:t>
      </w:r>
      <w:r>
        <w:t xml:space="preserve">přesvědčoval každého, kdo měl s tímto filmem co dělat, aby činil totéž. Vzpomínám si, jak skoro násilím táhl Kordu od psacího stolu </w:t>
      </w:r>
      <w:r>
        <w:rPr>
          <w:lang w:val="en-US" w:eastAsia="en-US" w:bidi="en-US"/>
        </w:rPr>
        <w:t xml:space="preserve">do </w:t>
      </w:r>
      <w:r>
        <w:t xml:space="preserve">Mampton </w:t>
      </w:r>
      <w:r>
        <w:rPr>
          <w:lang w:val="en-US" w:eastAsia="en-US" w:bidi="en-US"/>
        </w:rPr>
        <w:t xml:space="preserve">Court, </w:t>
      </w:r>
      <w:r>
        <w:t>aby tam zhlédl architektury a obrazy, a Kordová reakce na věci, jež uviděl, byla bez</w:t>
      </w:r>
      <w:r>
        <w:softHyphen/>
        <w:t>prostřední a nadšená.</w:t>
      </w:r>
      <w:r>
        <w:t xml:space="preserve"> Několikrát se sešel také s Vincentem Kordou, který podivuhodným způsobem kreslil návrhy scén. Pokud vím, nebyl tam do onoho dne ani jeden z nich. Můj manžel přečetl tehdy každou dosažitelnou kni</w:t>
      </w:r>
      <w:r>
        <w:softHyphen/>
        <w:t>hu, kterou mohl k tomuto námětu opatřit, a uviděl bez</w:t>
      </w:r>
      <w:r>
        <w:softHyphen/>
        <w:t xml:space="preserve">počet </w:t>
      </w:r>
      <w:r>
        <w:t>obrazů Jindřicha VIII. Postupně do něho Jindřicho</w:t>
      </w:r>
      <w:r>
        <w:softHyphen/>
      </w:r>
      <w:r>
        <w:rPr>
          <w:b/>
          <w:bCs/>
          <w:sz w:val="20"/>
          <w:szCs w:val="20"/>
        </w:rPr>
        <w:t xml:space="preserve">va </w:t>
      </w:r>
      <w:r>
        <w:t>povaha vsákla. Jednoho dne měl pocit, že si osvojil jeho chůzi, příštího dne se jí však vzdal. Pak naučil oko určitému pohledu. Když asi týden hleděl na obraz, mohla jsem prohlásit, že vniká do úlohy. Za</w:t>
      </w:r>
      <w:r>
        <w:t xml:space="preserve">tím jsem se já měnila v Annu </w:t>
      </w:r>
      <w:r>
        <w:rPr>
          <w:lang w:val="en-US" w:eastAsia="en-US" w:bidi="en-US"/>
        </w:rPr>
        <w:t xml:space="preserve">of Cleves. </w:t>
      </w:r>
      <w:r>
        <w:t>Můj muž a já jsme ve dnech, kdy studujeme úlohy, jako dvě houby, které pohlcují každou trošku informace, která přináší z vnějška nějaký užitek.</w:t>
      </w:r>
    </w:p>
    <w:p w:rsidR="00500724" w:rsidRDefault="00F30FB8">
      <w:pPr>
        <w:pStyle w:val="Zkladntext100"/>
        <w:shd w:val="clear" w:color="auto" w:fill="auto"/>
        <w:spacing w:line="319" w:lineRule="auto"/>
        <w:ind w:firstLine="0"/>
        <w:jc w:val="center"/>
      </w:pPr>
      <w:r>
        <w:t>Film dělá slavné lidi</w:t>
      </w:r>
    </w:p>
    <w:p w:rsidR="00500724" w:rsidRDefault="00F30FB8">
      <w:pPr>
        <w:pStyle w:val="Zkladntext100"/>
        <w:shd w:val="clear" w:color="auto" w:fill="auto"/>
        <w:spacing w:line="312" w:lineRule="auto"/>
        <w:ind w:firstLine="240"/>
        <w:rPr>
          <w:sz w:val="20"/>
          <w:szCs w:val="20"/>
        </w:rPr>
      </w:pPr>
      <w:r>
        <w:t>Po skončení Jindřicha VIII. musil Charles odjet op</w:t>
      </w:r>
      <w:r>
        <w:t>ět do Hollywoodu, aby splnil druhou část smlouvy s Paramountem. Tehdy začala už působit sláva jeho fil</w:t>
      </w:r>
      <w:r>
        <w:softHyphen/>
        <w:t xml:space="preserve">mové kariéry. Filmy, ve kterých dosud hrál, byly rozší- </w:t>
      </w:r>
      <w:r>
        <w:rPr>
          <w:i/>
          <w:iCs/>
          <w:sz w:val="20"/>
          <w:szCs w:val="20"/>
        </w:rPr>
        <w:t>184</w:t>
      </w:r>
    </w:p>
    <w:p w:rsidR="00500724" w:rsidRDefault="00F30FB8">
      <w:pPr>
        <w:pStyle w:val="Zkladntext100"/>
        <w:shd w:val="clear" w:color="auto" w:fill="auto"/>
        <w:spacing w:after="100" w:line="269" w:lineRule="auto"/>
        <w:ind w:firstLine="0"/>
      </w:pPr>
      <w:r>
        <w:t xml:space="preserve">řeny po celém světě a nechtěl věřit skutečnosti, že získal více obecenstva nežli měl v </w:t>
      </w:r>
      <w:r>
        <w:t>divadelním Londýně. Film měl přivodit v jeho životě větší změnu nežli vůbec před</w:t>
      </w:r>
      <w:r>
        <w:softHyphen/>
        <w:t>vídal. Když přijel cestou do Hollywoodu do Nového Yorku, málem oněměl a byl docela přiveden z rovnováhy davem, který se shromáždil kolem jeho taxíku a volal na něj: sCharlie*.</w:t>
      </w:r>
      <w:r>
        <w:t xml:space="preserve"> Teprve v tomto okamžiku, a nikdy před</w:t>
      </w:r>
      <w:r>
        <w:softHyphen/>
        <w:t>tím, vycítil celou sílu mluvícího filmu. Věděl dobře, že film je &gt;svěiovým tlumočníkem*, byl to však úlek (nikoli ovšem nepříjemný), když poznal, že síla divadla slábne, zaiím co mezinárodní síla filmu vzrůstá. Bylo n</w:t>
      </w:r>
      <w:r>
        <w:t>a bíle dni, že film dává větší možnosti herci, jehož prvním záimem je vytvořit charakter, srozumitelný každému - nikoli po</w:t>
      </w:r>
      <w:r>
        <w:softHyphen/>
        <w:t>koušet se o to, líbit se právě jenom člověku městskému, člověku vesnickému, člověku intelektuálnímu, bankovní- kovi nebo kritikovi, n</w:t>
      </w:r>
      <w:r>
        <w:t>ýbrž všemu lidstvu.</w:t>
      </w:r>
    </w:p>
    <w:p w:rsidR="00500724" w:rsidRDefault="00F30FB8">
      <w:pPr>
        <w:pStyle w:val="Zkladntext100"/>
        <w:shd w:val="clear" w:color="auto" w:fill="auto"/>
        <w:spacing w:line="266" w:lineRule="auto"/>
        <w:ind w:firstLine="0"/>
        <w:jc w:val="center"/>
      </w:pPr>
      <w:r>
        <w:t>Tři premiéry Jindřicha VIII.:</w:t>
      </w:r>
      <w:r>
        <w:br/>
        <w:t>v Londýně a v Paříži</w:t>
      </w:r>
    </w:p>
    <w:p w:rsidR="00500724" w:rsidRDefault="00F30FB8">
      <w:pPr>
        <w:pStyle w:val="Zkladntext100"/>
        <w:shd w:val="clear" w:color="auto" w:fill="auto"/>
        <w:spacing w:line="271" w:lineRule="auto"/>
        <w:ind w:firstLine="300"/>
      </w:pPr>
      <w:r>
        <w:t>Byla jsem při obchodní premiéře Jindřicha VIII. v Londýně a poslala jsem manželovi kabelogram do Holly</w:t>
      </w:r>
      <w:r>
        <w:softHyphen/>
        <w:t xml:space="preserve">woodu se zprávou o tom, jak byl film přijat obecenstvem. Filmoví obchodníci tehdy </w:t>
      </w:r>
      <w:r>
        <w:t>často vyskočili ze sedadel a říkali: »To je skvělé! To je nádherné.* Charles a já však nejsme zvyklí mluvit k sobě tímto způsobem. Proto jsem kabelovala slova: &gt;Film bude mít asi úspěch,* nebo nějak tak podobně, mírně nadějně.</w:t>
      </w:r>
    </w:p>
    <w:p w:rsidR="00500724" w:rsidRDefault="00F30FB8">
      <w:pPr>
        <w:pStyle w:val="Zkladntext100"/>
        <w:shd w:val="clear" w:color="auto" w:fill="auto"/>
        <w:spacing w:line="264" w:lineRule="auto"/>
        <w:ind w:firstLine="220"/>
      </w:pPr>
      <w:r>
        <w:t>Obchodní premiéra v Londýně a</w:t>
      </w:r>
      <w:r>
        <w:t xml:space="preserve"> příznivé nebo oslnivé poznámky neznamenají ještě nezbytně úspěšný film - obecenstvo drží úspěch nebo pád filmu ve vlastních rukách.</w:t>
      </w:r>
    </w:p>
    <w:p w:rsidR="00500724" w:rsidRDefault="00F30FB8">
      <w:pPr>
        <w:pStyle w:val="Zkladntext100"/>
        <w:shd w:val="clear" w:color="auto" w:fill="auto"/>
        <w:spacing w:line="264" w:lineRule="auto"/>
        <w:ind w:firstLine="300"/>
      </w:pPr>
      <w:r>
        <w:t xml:space="preserve">Když byl Charles na zpáteční cestě z Hollywoodu, byli jsme pozváni na světovou premiéru Jindřicha VIII. v Paříži. </w:t>
      </w:r>
      <w:r>
        <w:rPr>
          <w:lang w:val="en-US" w:eastAsia="en-US" w:bidi="en-US"/>
        </w:rPr>
        <w:t>Radiogram</w:t>
      </w:r>
      <w:r>
        <w:rPr>
          <w:lang w:val="en-US" w:eastAsia="en-US" w:bidi="en-US"/>
        </w:rPr>
        <w:t xml:space="preserve"> </w:t>
      </w:r>
      <w:r>
        <w:t xml:space="preserve">na »Ile de France*, který došel na loď uprostřed oceánu, ho žádal, aby pokračoval v cestě </w:t>
      </w:r>
      <w:r>
        <w:rPr>
          <w:b/>
          <w:bCs/>
          <w:sz w:val="20"/>
          <w:szCs w:val="20"/>
        </w:rPr>
        <w:t xml:space="preserve">z </w:t>
      </w:r>
      <w:r>
        <w:t>Plymouthu do Cherbourgu. Cekala jsem manžela v Ply- mouíhu a jeli jsme pak do Paříže spolu.</w:t>
      </w:r>
    </w:p>
    <w:p w:rsidR="00500724" w:rsidRDefault="00F30FB8">
      <w:pPr>
        <w:pStyle w:val="Zkladntext100"/>
        <w:shd w:val="clear" w:color="auto" w:fill="auto"/>
        <w:spacing w:line="264" w:lineRule="auto"/>
        <w:ind w:firstLine="220"/>
      </w:pPr>
      <w:r>
        <w:t>Přijeli jsme do Paříže v sedm hodin, vykoupali jsme se, oblékli, snědli</w:t>
      </w:r>
      <w:r>
        <w:t xml:space="preserve"> sandvich a v osm jsme byli v kinu. Po prvé jsem se tehdy zúčastnila premiéry filmu, ve kterém jsem také hrála. Byl předváděn v malém, avšak elegant</w:t>
      </w:r>
      <w:r>
        <w:softHyphen/>
        <w:t>ním kinu a přítomné francouzské osobnosti hltaly jej se zálibou. Pamatuji se, že každý pohyb projel mnou te</w:t>
      </w:r>
      <w:r>
        <w:t>hdy večer jako jehla. Od toho večera vím, že, je-li herec sám částí obecenstva vlastního díla, i pouhý šelest taftová sukně zní jako výbuch pumy. Myslím, že tehdy večer při premiéře Jindřicha VIII., mé vlastní bušící srdce nadělalo více hluku než cokoli ji</w:t>
      </w:r>
      <w:r>
        <w:t>ného.</w:t>
      </w:r>
    </w:p>
    <w:p w:rsidR="00500724" w:rsidRDefault="00F30FB8">
      <w:pPr>
        <w:pStyle w:val="Zkladntext100"/>
        <w:shd w:val="clear" w:color="auto" w:fill="auto"/>
        <w:spacing w:line="264" w:lineRule="auto"/>
        <w:ind w:firstLine="300"/>
      </w:pPr>
      <w:r>
        <w:t>Charles seděl se mnou vedle anglické princezny. O přestávce s ním rozmlouvala nadšeně o hercích a herec</w:t>
      </w:r>
      <w:r>
        <w:softHyphen/>
        <w:t>tví. Zdálo se, že je mile překvapena, když k ní přivedl Chevaliera. Když zhasla světla, aby mohl Jindřich VIII. začít, zaslechla jsem, jak jí Char</w:t>
      </w:r>
      <w:r>
        <w:t>les praví: íMimo- chodem, obávám se, že nevím, jak vás mám titulovat.* Odpověděla pološeptem: íNeříkejte, že jsem vám to po</w:t>
      </w:r>
      <w:r>
        <w:softHyphen/>
        <w:t>věděla, avšak nazývejte mě Ma'am.«</w:t>
      </w:r>
    </w:p>
    <w:p w:rsidR="00500724" w:rsidRDefault="00F30FB8">
      <w:pPr>
        <w:pStyle w:val="Zkladntext100"/>
        <w:shd w:val="clear" w:color="auto" w:fill="auto"/>
        <w:spacing w:after="240" w:line="259" w:lineRule="auto"/>
        <w:ind w:firstLine="220"/>
      </w:pPr>
      <w:r>
        <w:t>Asi o tři týdny později byla londýnská premiéra Jin</w:t>
      </w:r>
      <w:r>
        <w:softHyphen/>
        <w:t xml:space="preserve">dřicha VIII. Pro paní Laughtonovou byl tento </w:t>
      </w:r>
      <w:r>
        <w:t>večer příčinou rozpaků, ačkoli to snad byl současně významný večer pro paní Lanchesterovou. Charles tam totiž musil usednout uprostřed svých íkráloven*. Já byla přirozeně jednou z nich. Nemyslím, že tento mormonský večer byl zvláště příjemný pro mého manže</w:t>
      </w:r>
      <w:r>
        <w:t>la a ani já se netěšila oné povinné noci v tomto harému více nežli ostatní Jindřichovy ženy. Všech nás šest žen uposlechlo volání, abychom přišly na jeviště, jakmile se film skon</w:t>
      </w:r>
      <w:r>
        <w:softHyphen/>
        <w:t>čil, a všechny jsme hleděly odtud s úsměvem a vesele. Od oné noci jsme se cel</w:t>
      </w:r>
      <w:r>
        <w:t>kem už nesešly ani jedna s dru</w:t>
      </w:r>
      <w:r>
        <w:softHyphen/>
        <w:t>hou. Někdy si proto myslím, že bychom se jednoho dne přece jen měly sejít u šálku čaje a probrat to, co minulé dny přinesly.</w:t>
      </w:r>
    </w:p>
    <w:p w:rsidR="00500724" w:rsidRDefault="00F30FB8">
      <w:pPr>
        <w:pStyle w:val="Jin0"/>
        <w:pBdr>
          <w:bottom w:val="single" w:sz="4" w:space="0" w:color="auto"/>
        </w:pBdr>
        <w:shd w:val="clear" w:color="auto" w:fill="auto"/>
        <w:spacing w:after="180"/>
        <w:ind w:firstLine="0"/>
        <w:jc w:val="left"/>
        <w:rPr>
          <w:sz w:val="44"/>
          <w:szCs w:val="44"/>
        </w:rPr>
      </w:pPr>
      <w:r>
        <w:rPr>
          <w:b/>
          <w:bCs/>
          <w:sz w:val="44"/>
          <w:szCs w:val="44"/>
        </w:rPr>
        <w:t>doba a lidé</w:t>
      </w:r>
    </w:p>
    <w:p w:rsidR="00500724" w:rsidRDefault="00F30FB8">
      <w:pPr>
        <w:pStyle w:val="Zkladntext20"/>
        <w:shd w:val="clear" w:color="auto" w:fill="auto"/>
        <w:spacing w:after="60" w:line="240" w:lineRule="auto"/>
        <w:ind w:firstLine="0"/>
        <w:rPr>
          <w:sz w:val="20"/>
          <w:szCs w:val="20"/>
        </w:rPr>
      </w:pPr>
      <w:r>
        <w:rPr>
          <w:i/>
          <w:iCs/>
          <w:sz w:val="20"/>
          <w:szCs w:val="20"/>
        </w:rPr>
        <w:t>Milena Jesenská:</w:t>
      </w:r>
    </w:p>
    <w:p w:rsidR="00500724" w:rsidRDefault="00F30FB8">
      <w:pPr>
        <w:pStyle w:val="Nadpis100"/>
        <w:shd w:val="clear" w:color="auto" w:fill="auto"/>
        <w:spacing w:after="60" w:line="240" w:lineRule="auto"/>
        <w:ind w:left="380"/>
        <w:jc w:val="left"/>
      </w:pPr>
      <w:bookmarkStart w:id="283" w:name="bookmark283"/>
      <w:r>
        <w:t xml:space="preserve">Praha, ráno </w:t>
      </w:r>
      <w:r>
        <w:rPr>
          <w:i/>
          <w:iCs/>
        </w:rPr>
        <w:t>15.</w:t>
      </w:r>
      <w:r>
        <w:t xml:space="preserve"> března 1939</w:t>
      </w:r>
      <w:bookmarkEnd w:id="283"/>
    </w:p>
    <w:p w:rsidR="00500724" w:rsidRDefault="00F30FB8">
      <w:pPr>
        <w:pStyle w:val="Zkladntext100"/>
        <w:shd w:val="clear" w:color="auto" w:fill="auto"/>
        <w:spacing w:line="240" w:lineRule="auto"/>
        <w:ind w:firstLine="300"/>
      </w:pPr>
      <w:r>
        <w:t xml:space="preserve">Jak se přiházejí největší události? </w:t>
      </w:r>
      <w:r>
        <w:t>Nečekaně a naráz. Ale když jsou zde, shledáváme vždycky, že nejsme pře</w:t>
      </w:r>
      <w:r>
        <w:softHyphen/>
        <w:t>kvapeni. V člověku je vždycky nějaké tušení a vědění věcí příštích, které je jenom přehlušeno rozumem, vůlí, přáním, strachem, shonem a prací. Jakmile zůstane vte</w:t>
      </w:r>
      <w:r>
        <w:softHyphen/>
        <w:t>řinu člověka duše nahá</w:t>
      </w:r>
      <w:r>
        <w:t xml:space="preserve"> a zbavena všeho mimo své tajem</w:t>
      </w:r>
      <w:r>
        <w:softHyphen/>
        <w:t>né cítění, ví naráz: věděl jsem to. Ne nadarmo chodí dnes tolik lidí a vykládá: já jsem to tušil, já jsem to říkal. Vě</w:t>
      </w:r>
      <w:r>
        <w:softHyphen/>
        <w:t>řím jim. Všichni jsme to tušili a kdybychom byli pozorně naslouchali hlasu svého srdce, když jsme třeba s</w:t>
      </w:r>
      <w:r>
        <w:t>edávali sami doma, nebo když jsme se unaveni probouzeli za sví</w:t>
      </w:r>
      <w:r>
        <w:softHyphen/>
        <w:t>tání, kdybychom dovedli odívat slovy pocity, které jsou pravé a nikoli jenom myšlenky, které jsou často pokřive</w:t>
      </w:r>
      <w:r>
        <w:softHyphen/>
        <w:t>né, byli bychom říkali: čekáme to. Ale v logice věcí je současně i nelogika věcí.</w:t>
      </w:r>
      <w:r>
        <w:t xml:space="preserve"> Každý člověk čeká v životě ně</w:t>
      </w:r>
      <w:r>
        <w:softHyphen/>
        <w:t>jakou podivuhodnou událost: štěstí, bídu, nemoc, hlad, smrt. Ale když přijde, nepoznává ji. Jediné, co o ní ví, je, že se ho zmocnila celého, neponechávajíc mu ani času, ani možnosti jednání.</w:t>
      </w:r>
    </w:p>
    <w:p w:rsidR="00500724" w:rsidRDefault="00F30FB8">
      <w:pPr>
        <w:pStyle w:val="Zkladntext100"/>
        <w:shd w:val="clear" w:color="auto" w:fill="auto"/>
        <w:spacing w:after="180" w:line="240" w:lineRule="auto"/>
        <w:ind w:firstLine="300"/>
      </w:pPr>
      <w:r>
        <w:t>Když v úterý ve čtyři hodiny ráno</w:t>
      </w:r>
      <w:r>
        <w:t xml:space="preserve"> zvonil telefon, když volali kamarádi a přátelé, když začal vysílat český roz</w:t>
      </w:r>
      <w:r>
        <w:softHyphen/>
        <w:t>hlas, vypadalo město pod našimi okny jako každou jinou noc. Sestava světel pod okny měla tentýž obrazec, křižo</w:t>
      </w:r>
      <w:r>
        <w:softHyphen/>
        <w:t xml:space="preserve">vatky tvořily tentýž kříž. Jen se postupně od tří hodin za- začala </w:t>
      </w:r>
      <w:r>
        <w:t>rozsvěcovat světla: u sousedů, naproti, dole, nahoře, pak v celé ulici. Stáli jsme u okna a říkali jsme si: už to vědí. Budili jsme lidi telefonem: víte to? Odpovídali: ano. To kalné svítání nad střechami, pobledlý měsíc pod mra</w:t>
      </w:r>
      <w:r>
        <w:softHyphen/>
        <w:t>ky, nevyspalé tváře lidí, h</w:t>
      </w:r>
      <w:r>
        <w:t>rneček horké kávy a pravidelné hlášeni rozhlasu. Takhle chodí k lidem velké události: tiše a znenadání.</w:t>
      </w:r>
    </w:p>
    <w:p w:rsidR="00500724" w:rsidRDefault="00F30FB8">
      <w:pPr>
        <w:pStyle w:val="Zkladntext100"/>
        <w:numPr>
          <w:ilvl w:val="0"/>
          <w:numId w:val="34"/>
        </w:numPr>
        <w:shd w:val="clear" w:color="auto" w:fill="auto"/>
        <w:tabs>
          <w:tab w:val="left" w:pos="529"/>
        </w:tabs>
        <w:spacing w:line="240" w:lineRule="auto"/>
        <w:ind w:firstLine="300"/>
      </w:pPr>
      <w:r>
        <w:t>německých novinách byla reportáž o německých vo</w:t>
      </w:r>
      <w:r>
        <w:softHyphen/>
        <w:t>jácích, kteří přijížděli ku Praze: tiché město v předjar</w:t>
      </w:r>
      <w:r>
        <w:softHyphen/>
        <w:t>ním svítání, řada německých vozů a na nich muži</w:t>
      </w:r>
      <w:r>
        <w:t xml:space="preserve"> s bu</w:t>
      </w:r>
      <w:r>
        <w:softHyphen/>
        <w:t>šícím srdcem: jaké to bude uvnitř? Jak se budou chovat lidé v těchto cizích ulicích? Zastavují na předměstí první</w:t>
      </w:r>
      <w:r>
        <w:softHyphen/>
        <w:t>ho chodce, dělníka, který jde do práce. Poznávají na první pohled, že všechno vi. Chová se klidné, tiše a pokojně ukazuje cestu.</w:t>
      </w:r>
    </w:p>
    <w:p w:rsidR="00500724" w:rsidRDefault="00F30FB8">
      <w:pPr>
        <w:pStyle w:val="Zkladntext100"/>
        <w:shd w:val="clear" w:color="auto" w:fill="auto"/>
        <w:spacing w:line="252" w:lineRule="auto"/>
        <w:ind w:firstLine="0"/>
        <w:jc w:val="center"/>
      </w:pPr>
      <w:r>
        <w:t>•</w:t>
      </w:r>
    </w:p>
    <w:p w:rsidR="00500724" w:rsidRDefault="00F30FB8">
      <w:pPr>
        <w:pStyle w:val="Zkladntext100"/>
        <w:shd w:val="clear" w:color="auto" w:fill="auto"/>
        <w:spacing w:line="252" w:lineRule="auto"/>
        <w:ind w:firstLine="300"/>
      </w:pPr>
      <w:r>
        <w:t xml:space="preserve">Jako </w:t>
      </w:r>
      <w:r>
        <w:t xml:space="preserve">vždycky, když se dějí velké věci, chovají se Češi výtečně. Českému rozhlasu budiž dík za stručnou věcnost, se kterou vytrvale a trpělivě hlásil každých pět minut: německé vojsko postupuje od hranic ku Praze. Chovejte se klidně. Jděte po práci Pošlete děti </w:t>
      </w:r>
      <w:r>
        <w:t>do školy.</w:t>
      </w:r>
    </w:p>
    <w:p w:rsidR="00500724" w:rsidRDefault="00F30FB8">
      <w:pPr>
        <w:pStyle w:val="Zkladntext100"/>
        <w:numPr>
          <w:ilvl w:val="0"/>
          <w:numId w:val="34"/>
        </w:numPr>
        <w:shd w:val="clear" w:color="auto" w:fill="auto"/>
        <w:tabs>
          <w:tab w:val="left" w:pos="529"/>
        </w:tabs>
        <w:spacing w:line="252" w:lineRule="auto"/>
        <w:ind w:firstLine="300"/>
      </w:pPr>
      <w:r>
        <w:t>půl osmé ráno nastoupil zástup dětí cestu do školy, jako jindy. Dělnictvo a úřednictvo se rozjelo do práce, jako jindy. Elektriky byly plné, jako jindy. Jenom lidé byli jini. Stáli a mlčeli. Nikdy jsem neslyšela tolik lidí mlčet. Na ulicích nebyl</w:t>
      </w:r>
      <w:r>
        <w:t>y vůbec hloučky. Lidé vůbec ná</w:t>
      </w:r>
      <w:r>
        <w:softHyphen/>
        <w:t>rokovali. V úřadech ani nezvedli hlavu od svých stoleč</w:t>
      </w:r>
      <w:r>
        <w:softHyphen/>
        <w:t xml:space="preserve">ků. Nevím, odkud přichází toto jednotné a shodné chování tisíců, odkud najednou vytryskne souhlasný rytmus tolika duší, sobě neznámých: v půl deváté </w:t>
      </w:r>
      <w:r>
        <w:rPr>
          <w:b/>
          <w:bCs/>
          <w:sz w:val="20"/>
          <w:szCs w:val="20"/>
        </w:rPr>
        <w:t xml:space="preserve">a </w:t>
      </w:r>
      <w:r>
        <w:t>pět minut dne 15. b</w:t>
      </w:r>
      <w:r>
        <w:t>řezna 1939 přijelo říšskoněmecké vojsko na Národní třídu. Po chodnících proudily zástupy lidí, jako jindy. Nikdo se nedíval, nikdo se neohlížel. Německé obyvatel</w:t>
      </w:r>
      <w:r>
        <w:softHyphen/>
        <w:t>stvo Prahy říšské vojáky vítalo.</w:t>
      </w:r>
    </w:p>
    <w:p w:rsidR="00500724" w:rsidRDefault="00F30FB8">
      <w:pPr>
        <w:pStyle w:val="Zkladntext100"/>
        <w:shd w:val="clear" w:color="auto" w:fill="auto"/>
        <w:spacing w:line="240" w:lineRule="auto"/>
        <w:ind w:left="60" w:firstLine="0"/>
        <w:jc w:val="center"/>
      </w:pPr>
      <w:r>
        <w:t>•</w:t>
      </w:r>
    </w:p>
    <w:p w:rsidR="00500724" w:rsidRDefault="00F30FB8">
      <w:pPr>
        <w:pStyle w:val="Zkladntext100"/>
        <w:shd w:val="clear" w:color="auto" w:fill="auto"/>
        <w:spacing w:line="240" w:lineRule="auto"/>
      </w:pPr>
      <w:r>
        <w:t>I oni se k nám chovali slušně. Je vůbec podivné, jak se změ</w:t>
      </w:r>
      <w:r>
        <w:t xml:space="preserve">ní věc, rozpadne-li se nějaká formace na jedince a síojí-li člověk před člověkem. Na Václavském náměstí potkala česká dívka skupinu německých vojáků — </w:t>
      </w:r>
      <w:r>
        <w:rPr>
          <w:b/>
          <w:bCs/>
          <w:sz w:val="20"/>
          <w:szCs w:val="20"/>
        </w:rPr>
        <w:t xml:space="preserve">a </w:t>
      </w:r>
      <w:r>
        <w:t>pro</w:t>
      </w:r>
      <w:r>
        <w:softHyphen/>
        <w:t xml:space="preserve">tože to bylo už druhý den, protože jsme měli všichni </w:t>
      </w:r>
      <w:r>
        <w:rPr>
          <w:b/>
          <w:bCs/>
          <w:sz w:val="20"/>
          <w:szCs w:val="20"/>
        </w:rPr>
        <w:t xml:space="preserve">už </w:t>
      </w:r>
      <w:r>
        <w:t>nervy trochu unavené a protože druhý den te</w:t>
      </w:r>
      <w:r>
        <w:t>prve člo</w:t>
      </w:r>
      <w:r>
        <w:softHyphen/>
        <w:t>věk chápe lépe a myslí víc - vyhrkly jí po tvářích slzy. A tu se stalo něco podivného: přistoupil k ní německý voják, prostý a obyčejný vojáček a povídal: Aber Fráu- lein, wir konnen doch nichís dafůr....l Řekl to, jako by chlácholil malé dítě. Mě</w:t>
      </w:r>
      <w:r>
        <w:t>l německou tvář, trochu pihova</w:t>
      </w:r>
      <w:r>
        <w:softHyphen/>
        <w:t xml:space="preserve">tou, vlasy trochu nazrzlé a německou uniformu, jinak se ničím nelišil od českého ucha, muže prostého, své vlasti oddaného. A tak tu stáli proti sobě dva lidé, »und konnten nichts dafúr...« A v té prosté, hrozně obyčejné větě </w:t>
      </w:r>
      <w:r>
        <w:t>je klíč ke všemu.</w:t>
      </w:r>
    </w:p>
    <w:p w:rsidR="00500724" w:rsidRDefault="00F30FB8">
      <w:pPr>
        <w:pStyle w:val="Zkladntext100"/>
        <w:shd w:val="clear" w:color="auto" w:fill="auto"/>
        <w:spacing w:line="240" w:lineRule="auto"/>
        <w:ind w:firstLine="200"/>
      </w:pPr>
      <w:r>
        <w:t>V jednom voze pouliční dráhy udála se jiná věc: čes</w:t>
      </w:r>
      <w:r>
        <w:softHyphen/>
        <w:t>ký mladík s nějakou páskou na rukávě měl mnoho řečí: co jako teď uděláme a komu teď napráskáme a jak to jako teď skoncujeme a jak teď se světem zatočíme. Mimo tu pásku na rukávě měl také</w:t>
      </w:r>
      <w:r>
        <w:t xml:space="preserve"> odznak hákového kříže na klo</w:t>
      </w:r>
      <w:r>
        <w:softHyphen/>
        <w:t>pě kabátu. A když už ty řeči zapadaly do velkého ticha celého vozu, vstal najednou německý důstojník, který se</w:t>
      </w:r>
      <w:r>
        <w:softHyphen/>
        <w:t>děl v koutě a přistoupil k chlapci, oslovuje ho česky: »Vy jste Cech?« Chlapec se nakohoutil a náramně sebe</w:t>
      </w:r>
      <w:r>
        <w:softHyphen/>
        <w:t xml:space="preserve">vědomě </w:t>
      </w:r>
      <w:r>
        <w:t>řekl: »Ano, já jsem Cech.« A tu mu ten důstojník vyndal odznak hákového kříže z kabátu a řekl velmi klidně a velmi důrazně: tPak nemáte právo nosit něco podobného.*</w:t>
      </w:r>
    </w:p>
    <w:p w:rsidR="00500724" w:rsidRDefault="00F30FB8">
      <w:pPr>
        <w:pStyle w:val="Zkladntext100"/>
        <w:shd w:val="clear" w:color="auto" w:fill="auto"/>
        <w:spacing w:line="240" w:lineRule="auto"/>
      </w:pPr>
      <w:r>
        <w:t>Vidíte, jsou chvíle, kdy by člověk chtěl přistoupit k německému důstojníku a říci mu: Děkuj</w:t>
      </w:r>
      <w:r>
        <w:t>i vám, pane.</w:t>
      </w:r>
    </w:p>
    <w:p w:rsidR="00500724" w:rsidRDefault="00F30FB8">
      <w:pPr>
        <w:pStyle w:val="Zkladntext100"/>
        <w:shd w:val="clear" w:color="auto" w:fill="auto"/>
        <w:spacing w:line="240" w:lineRule="auto"/>
        <w:ind w:firstLine="200"/>
        <w:rPr>
          <w:sz w:val="20"/>
          <w:szCs w:val="20"/>
        </w:rPr>
      </w:pPr>
      <w:r>
        <w:t>Mluvila jsem před několika dny s Němcem, samozřejmě s národním socialistou. Mluvil velmi dlouho a velmi uváž</w:t>
      </w:r>
      <w:r>
        <w:softHyphen/>
        <w:t>livě o postavení Cechů a o výhodách, kterých podle jeho mínění se nám dostalo, i o nevýhodách, které sám na</w:t>
      </w:r>
      <w:r>
        <w:softHyphen/>
        <w:t>hlížel. To celkem není zaj</w:t>
      </w:r>
      <w:r>
        <w:t xml:space="preserve">ímavé, protože jsou všechny věci dnes ve zrodu a i dobře informovaní lidé nemohou říci více než pouhé mínění. Zajímavé je však jeho mínění o Ceších/ ptal se mne skoro plaše: Jak mi vysvětlíte, že k nám chodí taková spousta Cechů a zdraví Heil </w:t>
      </w:r>
      <w:r>
        <w:rPr>
          <w:b/>
          <w:bCs/>
          <w:sz w:val="20"/>
          <w:szCs w:val="20"/>
        </w:rPr>
        <w:t>Hitler?</w:t>
      </w:r>
    </w:p>
    <w:p w:rsidR="00500724" w:rsidRDefault="00F30FB8">
      <w:pPr>
        <w:pStyle w:val="Zkladntext100"/>
        <w:shd w:val="clear" w:color="auto" w:fill="auto"/>
        <w:spacing w:line="240" w:lineRule="auto"/>
        <w:ind w:firstLine="200"/>
      </w:pPr>
      <w:r>
        <w:t>Cechů</w:t>
      </w:r>
      <w:r>
        <w:t>? To je určitě omyl.</w:t>
      </w:r>
    </w:p>
    <w:p w:rsidR="00500724" w:rsidRDefault="00F30FB8">
      <w:pPr>
        <w:pStyle w:val="Zkladntext100"/>
        <w:shd w:val="clear" w:color="auto" w:fill="auto"/>
        <w:spacing w:line="240" w:lineRule="auto"/>
        <w:ind w:firstLine="200"/>
      </w:pPr>
      <w:r>
        <w:t xml:space="preserve">Není to omyl. Chodí k nám do úřadu, zvedají </w:t>
      </w:r>
      <w:r>
        <w:rPr>
          <w:b/>
          <w:bCs/>
          <w:sz w:val="20"/>
          <w:szCs w:val="20"/>
        </w:rPr>
        <w:t xml:space="preserve">pravici </w:t>
      </w:r>
      <w:r>
        <w:t xml:space="preserve">a říkají Heil Hitler. Proč? Mohl bych vám vyprávět </w:t>
      </w:r>
      <w:r>
        <w:rPr>
          <w:b/>
          <w:bCs/>
          <w:sz w:val="20"/>
          <w:szCs w:val="20"/>
        </w:rPr>
        <w:t xml:space="preserve">o </w:t>
      </w:r>
      <w:r>
        <w:t>jed</w:t>
      </w:r>
      <w:r>
        <w:softHyphen/>
        <w:t xml:space="preserve">nom spisovateli, který se usilovně stará o to </w:t>
      </w:r>
      <w:r>
        <w:rPr>
          <w:b/>
          <w:bCs/>
          <w:sz w:val="20"/>
          <w:szCs w:val="20"/>
        </w:rPr>
        <w:t xml:space="preserve">- už teď a </w:t>
      </w:r>
      <w:r>
        <w:t>honem - aby jeho dramata byla provedena na berlín</w:t>
      </w:r>
      <w:r>
        <w:softHyphen/>
        <w:t xml:space="preserve">ském jevišti. Mohl </w:t>
      </w:r>
      <w:r>
        <w:t xml:space="preserve">bych vám vyprávět o mnoha lidech, kteří dělají víc než musí, přehorlivě, upashtěně. .Víte, každý Němec pochopí národní hrdost a národní páteř. Ponížené chování vzbuzuje </w:t>
      </w:r>
      <w:r>
        <w:rPr>
          <w:b/>
          <w:bCs/>
          <w:sz w:val="20"/>
          <w:szCs w:val="20"/>
        </w:rPr>
        <w:t xml:space="preserve">v </w:t>
      </w:r>
      <w:r>
        <w:t xml:space="preserve">dnešním </w:t>
      </w:r>
      <w:r>
        <w:rPr>
          <w:b/>
          <w:bCs/>
          <w:sz w:val="20"/>
          <w:szCs w:val="20"/>
        </w:rPr>
        <w:t xml:space="preserve">Němci jenom </w:t>
      </w:r>
      <w:r>
        <w:t>útrpný úsměv, věřte mi.</w:t>
      </w:r>
    </w:p>
    <w:p w:rsidR="00500724" w:rsidRDefault="00F30FB8">
      <w:pPr>
        <w:pStyle w:val="Zkladntext100"/>
        <w:shd w:val="clear" w:color="auto" w:fill="auto"/>
        <w:spacing w:line="240" w:lineRule="auto"/>
        <w:ind w:left="60" w:firstLine="0"/>
        <w:jc w:val="center"/>
      </w:pPr>
      <w:r>
        <w:t>•</w:t>
      </w:r>
    </w:p>
    <w:p w:rsidR="00500724" w:rsidRDefault="00F30FB8">
      <w:pPr>
        <w:pStyle w:val="Zkladntext100"/>
        <w:shd w:val="clear" w:color="auto" w:fill="auto"/>
        <w:spacing w:line="240" w:lineRule="auto"/>
        <w:rPr>
          <w:sz w:val="20"/>
          <w:szCs w:val="20"/>
        </w:rPr>
      </w:pPr>
      <w:r>
        <w:t>Za dva dny se změnil obraz města k nepo</w:t>
      </w:r>
      <w:r>
        <w:t xml:space="preserve">znání. </w:t>
      </w:r>
      <w:r>
        <w:rPr>
          <w:b/>
          <w:bCs/>
          <w:sz w:val="20"/>
          <w:szCs w:val="20"/>
        </w:rPr>
        <w:t xml:space="preserve">V </w:t>
      </w:r>
      <w:r>
        <w:t>lo</w:t>
      </w:r>
      <w:r>
        <w:softHyphen/>
        <w:t xml:space="preserve">kálech jsou muži v uniformách, které neznáma ani </w:t>
      </w:r>
      <w:r>
        <w:rPr>
          <w:b/>
          <w:bCs/>
          <w:sz w:val="20"/>
          <w:szCs w:val="20"/>
        </w:rPr>
        <w:t>z obráz</w:t>
      </w:r>
      <w:r>
        <w:rPr>
          <w:b/>
          <w:bCs/>
          <w:sz w:val="20"/>
          <w:szCs w:val="20"/>
        </w:rPr>
        <w:softHyphen/>
      </w:r>
      <w:r>
        <w:t xml:space="preserve">ků. Ulicemi projíždějí vozy, které jsme nikdy </w:t>
      </w:r>
      <w:r>
        <w:rPr>
          <w:b/>
          <w:bCs/>
          <w:sz w:val="20"/>
          <w:szCs w:val="20"/>
        </w:rPr>
        <w:t>neviděli.</w:t>
      </w:r>
      <w:r>
        <w:br w:type="page"/>
      </w:r>
    </w:p>
    <w:p w:rsidR="00500724" w:rsidRDefault="00F30FB8">
      <w:pPr>
        <w:pStyle w:val="Zkladntext100"/>
        <w:shd w:val="clear" w:color="auto" w:fill="auto"/>
        <w:spacing w:line="240" w:lineRule="auto"/>
        <w:ind w:firstLine="0"/>
      </w:pPr>
      <w:r>
        <w:t>Jezdí sem a jezdí tam, vždycky vědí, co mají dělat, cho</w:t>
      </w:r>
      <w:r>
        <w:softHyphen/>
        <w:t>vají se naprosto rozhodně a cílevědomě. V knihkupec</w:t>
      </w:r>
      <w:r>
        <w:softHyphen/>
        <w:t>tvích se nakupují mapy</w:t>
      </w:r>
      <w:r>
        <w:t xml:space="preserve"> Prahy a francouzské a anglické knihy. Hloučky vojáků chodí ulicemi, zastavují se.před výkladními skříněmi, prohlížejí, hovoří. Při tom se však nezastavilo ani jediné kolečko, ani jedno pero, ani jeden stroj.</w:t>
      </w:r>
    </w:p>
    <w:p w:rsidR="00500724" w:rsidRDefault="00F30FB8">
      <w:pPr>
        <w:pStyle w:val="Zkladntext100"/>
        <w:shd w:val="clear" w:color="auto" w:fill="auto"/>
        <w:spacing w:after="40" w:line="180" w:lineRule="auto"/>
        <w:ind w:right="60" w:firstLine="0"/>
        <w:jc w:val="center"/>
        <w:rPr>
          <w:sz w:val="19"/>
          <w:szCs w:val="19"/>
        </w:rPr>
      </w:pPr>
      <w:r>
        <w:rPr>
          <w:sz w:val="19"/>
          <w:szCs w:val="19"/>
        </w:rPr>
        <w:t>•</w:t>
      </w:r>
    </w:p>
    <w:p w:rsidR="00500724" w:rsidRDefault="00F30FB8">
      <w:pPr>
        <w:pStyle w:val="Zkladntext100"/>
        <w:shd w:val="clear" w:color="auto" w:fill="auto"/>
        <w:spacing w:line="240" w:lineRule="auto"/>
      </w:pPr>
      <w:r>
        <w:rPr>
          <w:b/>
          <w:bCs/>
          <w:sz w:val="19"/>
          <w:szCs w:val="19"/>
        </w:rPr>
        <w:t xml:space="preserve">Na </w:t>
      </w:r>
      <w:r>
        <w:t>Staroměstském náměstí je hrob Neznámého vo</w:t>
      </w:r>
      <w:r>
        <w:t>jína. Dnes z něho není nic vidět, jen obrovská hromada sně</w:t>
      </w:r>
      <w:r>
        <w:softHyphen/>
        <w:t>ženek. Podivuhodná síla, která tajemně řídí kroky lidí, přivádí sem zástupy Pražanů, každý položí kytičku sně</w:t>
      </w:r>
      <w:r>
        <w:softHyphen/>
        <w:t>ženek na tento malý hrob velké vzpomínky. Lidé stojí kolem a slzy jim kanou po tvářích.</w:t>
      </w:r>
      <w:r>
        <w:t xml:space="preserve"> Ne ženám a detemi ale i mužům, kteří nejsou slzám zvykli. A zase je to ně</w:t>
      </w:r>
      <w:r>
        <w:softHyphen/>
        <w:t>jak vysloveně české: není to vůbec naříkání, není to ani strach, není to zoufalství, není to křeč žádného pocitu. Je to jenom smutek. Někudy ten smutek musí ven, několik set očí mus</w:t>
      </w:r>
      <w:r>
        <w:t>í jím zvlhnout. Takhle asi vznikají národní zvyky, tohle jsou asi první kvádry dlouholetých tradic. 15. března budou chodit české matky s českými dětmi a budou klást kytičku sněženek na hrob neznámého vojína. Vryje se to do mysli lidí jako velký čin obětní</w:t>
      </w:r>
      <w:r>
        <w:t>.</w:t>
      </w:r>
    </w:p>
    <w:p w:rsidR="00500724" w:rsidRDefault="00F30FB8">
      <w:pPr>
        <w:pStyle w:val="Zkladntext100"/>
        <w:shd w:val="clear" w:color="auto" w:fill="auto"/>
        <w:spacing w:after="40" w:line="240" w:lineRule="auto"/>
        <w:ind w:firstLine="380"/>
      </w:pPr>
      <w:r>
        <w:t>Za zády tohoto zástupu viděla jsem projít německého vojáka, který se postavil a zasalutoval. Díval se do plá</w:t>
      </w:r>
      <w:r>
        <w:softHyphen/>
        <w:t>čem zrudlých očí, do kapek slz, na zasněžené hory sně</w:t>
      </w:r>
      <w:r>
        <w:softHyphen/>
        <w:t>ženek, viděl plakat lidi, kteří plakali proto, že on je tady. A zasalutoval. Zřejmě porozum</w:t>
      </w:r>
      <w:r>
        <w:t>ěl, proč jsme smutni. Dí</w:t>
      </w:r>
      <w:r>
        <w:softHyphen/>
        <w:t>vajíc se za ním, přemýšlela jsem o Velké Ilusi: budeme vskutku jednou žít vedle sebe - Němec, Cech, Francouz, Rus, Angličan — aniž bychom si ubližovali, aniž bychom se musili nenávidět, aniž bychom si činili navzájem bez</w:t>
      </w:r>
      <w:r>
        <w:softHyphen/>
        <w:t>práví? Bud</w:t>
      </w:r>
      <w:r>
        <w:t>ou si skutečně říše jednou rozumět tak, jako si rozumí jednotliví lidé? Padne jednou hranice mezi zeměmi, jako padá ve styku s lidmi?</w:t>
      </w:r>
    </w:p>
    <w:p w:rsidR="00500724" w:rsidRDefault="00F30FB8">
      <w:pPr>
        <w:pStyle w:val="Zkladntext100"/>
        <w:shd w:val="clear" w:color="auto" w:fill="auto"/>
        <w:spacing w:after="220" w:line="240" w:lineRule="auto"/>
        <w:ind w:firstLine="380"/>
      </w:pPr>
      <w:r>
        <w:t>Jak by bylo krásné dožít se tohol</w:t>
      </w:r>
    </w:p>
    <w:p w:rsidR="00500724" w:rsidRDefault="00F30FB8">
      <w:pPr>
        <w:pStyle w:val="Jin0"/>
        <w:shd w:val="clear" w:color="auto" w:fill="auto"/>
        <w:spacing w:after="200"/>
        <w:ind w:firstLine="0"/>
        <w:jc w:val="left"/>
        <w:rPr>
          <w:sz w:val="46"/>
          <w:szCs w:val="46"/>
        </w:rPr>
      </w:pPr>
      <w:r>
        <w:rPr>
          <w:b/>
          <w:bCs/>
          <w:sz w:val="46"/>
          <w:szCs w:val="46"/>
          <w:u w:val="single"/>
        </w:rPr>
        <w:t>život a Instituce</w:t>
      </w:r>
    </w:p>
    <w:p w:rsidR="00500724" w:rsidRDefault="00F30FB8">
      <w:pPr>
        <w:pStyle w:val="Zkladntext100"/>
        <w:shd w:val="clear" w:color="auto" w:fill="auto"/>
        <w:spacing w:after="40" w:line="233" w:lineRule="auto"/>
        <w:ind w:firstLine="0"/>
        <w:jc w:val="left"/>
        <w:rPr>
          <w:sz w:val="19"/>
          <w:szCs w:val="19"/>
        </w:rPr>
      </w:pPr>
      <w:r>
        <w:rPr>
          <w:b/>
          <w:bCs/>
          <w:i/>
          <w:iCs/>
          <w:sz w:val="19"/>
          <w:szCs w:val="19"/>
        </w:rPr>
        <w:t>Přemysl Pražák:</w:t>
      </w:r>
    </w:p>
    <w:p w:rsidR="00500724" w:rsidRDefault="00F30FB8">
      <w:pPr>
        <w:pStyle w:val="Nadpis100"/>
        <w:shd w:val="clear" w:color="auto" w:fill="auto"/>
        <w:spacing w:after="100" w:line="240" w:lineRule="auto"/>
        <w:ind w:right="60"/>
      </w:pPr>
      <w:bookmarkStart w:id="284" w:name="bookmark284"/>
      <w:r>
        <w:t>Obchod s kulturou</w:t>
      </w:r>
      <w:bookmarkEnd w:id="284"/>
    </w:p>
    <w:p w:rsidR="00500724" w:rsidRDefault="00F30FB8">
      <w:pPr>
        <w:pStyle w:val="Zkladntext100"/>
        <w:shd w:val="clear" w:color="auto" w:fill="auto"/>
        <w:spacing w:after="40" w:line="230" w:lineRule="auto"/>
        <w:rPr>
          <w:sz w:val="19"/>
          <w:szCs w:val="19"/>
        </w:rPr>
      </w:pPr>
      <w:r>
        <w:rPr>
          <w:b/>
          <w:bCs/>
          <w:sz w:val="20"/>
          <w:szCs w:val="20"/>
        </w:rPr>
        <w:t xml:space="preserve">Před </w:t>
      </w:r>
      <w:r>
        <w:rPr>
          <w:sz w:val="19"/>
          <w:szCs w:val="19"/>
        </w:rPr>
        <w:t xml:space="preserve">světovou válkou bylo kulturní </w:t>
      </w:r>
      <w:r>
        <w:rPr>
          <w:sz w:val="19"/>
          <w:szCs w:val="19"/>
        </w:rPr>
        <w:t>podnikání do jisté míry podnikáním více ideálním než čistě obchod</w:t>
      </w:r>
      <w:r>
        <w:rPr>
          <w:sz w:val="19"/>
          <w:szCs w:val="19"/>
        </w:rPr>
        <w:softHyphen/>
        <w:t>ním. Mělo ušlechtilejší ráz, a kulturní podnikatel nebyl nikdy jen obyčejným obchodníkem. Je samozřejmé, že i on vydělával, ale při tom všem mělo jeho podnikání vždy jistou příchuť idealismu</w:t>
      </w:r>
      <w:r>
        <w:rPr>
          <w:sz w:val="19"/>
          <w:szCs w:val="19"/>
        </w:rPr>
        <w:t>.</w:t>
      </w:r>
    </w:p>
    <w:p w:rsidR="00500724" w:rsidRDefault="00F30FB8">
      <w:pPr>
        <w:pStyle w:val="Zkladntext100"/>
        <w:shd w:val="clear" w:color="auto" w:fill="auto"/>
        <w:spacing w:after="40" w:line="233" w:lineRule="auto"/>
        <w:rPr>
          <w:sz w:val="19"/>
          <w:szCs w:val="19"/>
        </w:rPr>
      </w:pPr>
      <w:r>
        <w:rPr>
          <w:sz w:val="19"/>
          <w:szCs w:val="19"/>
        </w:rPr>
        <w:t>Během války se ukázalo, že téměř není na světě věci, na níž by se nedalo dobře vydělávati. Poznalo se, že záleží nejen na tom, co se prodává, ale i na tom, jak se to ke koupi nabízí. A nebylo třeba příliš důvtipu k poznání, že kulturou lze obchodovati st</w:t>
      </w:r>
      <w:r>
        <w:rPr>
          <w:sz w:val="19"/>
          <w:szCs w:val="19"/>
        </w:rPr>
        <w:t>ejně, jako s čímkoli jiným. Toto poznání mělo za následek, že kulturní trh byl postaven na zcela nové základy.</w:t>
      </w:r>
    </w:p>
    <w:p w:rsidR="00500724" w:rsidRDefault="00F30FB8">
      <w:pPr>
        <w:pStyle w:val="Zkladntext100"/>
        <w:shd w:val="clear" w:color="auto" w:fill="auto"/>
        <w:spacing w:after="220" w:line="233" w:lineRule="auto"/>
        <w:rPr>
          <w:sz w:val="19"/>
          <w:szCs w:val="19"/>
        </w:rPr>
      </w:pPr>
      <w:r>
        <w:rPr>
          <w:sz w:val="19"/>
          <w:szCs w:val="19"/>
        </w:rPr>
        <w:t>Jak veliký je na př. rozdíl v hudebním životě před a poválečném! Co koncertních agentur vyrostlo! Pro ně nž není starostí, jak obohatiti náš hude</w:t>
      </w:r>
      <w:r>
        <w:rPr>
          <w:sz w:val="19"/>
          <w:szCs w:val="19"/>
        </w:rPr>
        <w:t>bní život. Takový podnikatel, zvoucí k nám různé ty virtuosy, je především sám virtuosem v odhadování vkusu širšího obecenstva, umí neomylně vytěžiti z jeho okamžitých zálib vše, co se dá. Pro něho není proto problémem na</w:t>
      </w:r>
      <w:r>
        <w:rPr>
          <w:sz w:val="19"/>
          <w:szCs w:val="19"/>
        </w:rPr>
        <w:softHyphen/>
        <w:t>plnění i největší síně dychtivým o</w:t>
      </w:r>
      <w:r>
        <w:rPr>
          <w:sz w:val="19"/>
          <w:szCs w:val="19"/>
        </w:rPr>
        <w:t>becenstvem. Reklama, módnost, volání chvíle a podobné složky obchodu jsou proň běžným, dobře ovládaným nástrojem. Á tak vy- tváří řadu lesklých podniků, oslňuje jmény a dociluje celkem snadno, že hudební život se zdá bohatý a plný. A daří se mu to tím spíš</w:t>
      </w:r>
      <w:r>
        <w:rPr>
          <w:sz w:val="19"/>
          <w:szCs w:val="19"/>
        </w:rPr>
        <w:t>e, že je přece jen ještě několik’ menších agentur, které kromě čistě obchodních snah' mají i ctižádost do jisté míry idealistickou a dovedou do proudu lesklých, spíše společenských než umělec</w:t>
      </w:r>
      <w:r>
        <w:rPr>
          <w:sz w:val="19"/>
          <w:szCs w:val="19"/>
        </w:rPr>
        <w:softHyphen/>
        <w:t>kých událostí vsunouti i opravdové umělecké svátky. Většina agen</w:t>
      </w:r>
      <w:r>
        <w:rPr>
          <w:sz w:val="19"/>
          <w:szCs w:val="19"/>
        </w:rPr>
        <w:t>tů především hledá lesklý povrch. Odtud plyne značná chudoba našeho koncertního života přes všechnu jeho snad až nadměrnou vnější bohatost. Odtud plyne i odsunování naší vlastní hudební tvorby na podřadné místo.</w:t>
      </w:r>
    </w:p>
    <w:p w:rsidR="00500724" w:rsidRDefault="00F30FB8">
      <w:pPr>
        <w:pStyle w:val="Zkladntext100"/>
        <w:shd w:val="clear" w:color="auto" w:fill="auto"/>
        <w:spacing w:line="233" w:lineRule="auto"/>
        <w:ind w:firstLine="240"/>
        <w:rPr>
          <w:sz w:val="19"/>
          <w:szCs w:val="19"/>
        </w:rPr>
      </w:pPr>
      <w:r>
        <w:rPr>
          <w:sz w:val="19"/>
          <w:szCs w:val="19"/>
        </w:rPr>
        <w:t>Obchodní duch nezasáhl ovšem jen do života k</w:t>
      </w:r>
      <w:r>
        <w:rPr>
          <w:sz w:val="19"/>
          <w:szCs w:val="19"/>
        </w:rPr>
        <w:t>oncert</w:t>
      </w:r>
      <w:r>
        <w:rPr>
          <w:sz w:val="19"/>
          <w:szCs w:val="19"/>
        </w:rPr>
        <w:softHyphen/>
        <w:t>ního, nýbrž i do divadelního. Divadlo dnes láká návštěv</w:t>
      </w:r>
      <w:r>
        <w:rPr>
          <w:sz w:val="19"/>
          <w:szCs w:val="19"/>
        </w:rPr>
        <w:softHyphen/>
        <w:t>níka, vychvaluje své zboží po způsobu prodavače na trhu a setkávají se při tomto ryze obchodním upozor</w:t>
      </w:r>
      <w:r>
        <w:rPr>
          <w:sz w:val="19"/>
          <w:szCs w:val="19"/>
        </w:rPr>
        <w:softHyphen/>
        <w:t>ňování na nabízené zboží nejen reklamní odborníci, ale i jednotliví umělečtí činovníci, ať</w:t>
      </w:r>
      <w:r>
        <w:rPr>
          <w:sz w:val="19"/>
          <w:szCs w:val="19"/>
        </w:rPr>
        <w:t xml:space="preserve"> už je to šéf, některý dirigent, výtvarník, režisér, herec, zpěvák či kdokoli jiný. Jde-li o novinku, tu je přivolán na pomoc i autor, jenž ovšem ve vlastním zájmu obětavě propaguje dílo, poskytuje rozhovory novinám, ochotně přednáší o vzni</w:t>
      </w:r>
      <w:r>
        <w:rPr>
          <w:sz w:val="19"/>
          <w:szCs w:val="19"/>
        </w:rPr>
        <w:softHyphen/>
        <w:t xml:space="preserve">ku a intencích </w:t>
      </w:r>
      <w:r>
        <w:rPr>
          <w:sz w:val="19"/>
          <w:szCs w:val="19"/>
        </w:rPr>
        <w:t>díla. Návštěvník je prostě hýčkán vše</w:t>
      </w:r>
      <w:r>
        <w:rPr>
          <w:sz w:val="19"/>
          <w:szCs w:val="19"/>
        </w:rPr>
        <w:softHyphen/>
        <w:t>strannou pozorností, je všemi prostředky lákán k návště</w:t>
      </w:r>
      <w:r>
        <w:rPr>
          <w:sz w:val="19"/>
          <w:szCs w:val="19"/>
        </w:rPr>
        <w:softHyphen/>
        <w:t>vě a ta mu už není vnitřní potřebou, nýbrž přímo jakýmsi příkazem, jakousi společenskou povinností. A tady je jeden nemalý rozdíl mezi hodnotou prů</w:t>
      </w:r>
      <w:r>
        <w:rPr>
          <w:sz w:val="19"/>
          <w:szCs w:val="19"/>
        </w:rPr>
        <w:softHyphen/>
        <w:t>měrného návště</w:t>
      </w:r>
      <w:r>
        <w:rPr>
          <w:sz w:val="19"/>
          <w:szCs w:val="19"/>
        </w:rPr>
        <w:t>vníka divadla před válkou a po válce. U toho předválečného hrála velikou roli právě ta mravní stránka jeho návštěvy to jest potřeba ukojení vnitřní potřeby, u toho poválečného k ní přistupuje a mnohdy nad ní převažuje popud vnější to jest společenská povin</w:t>
      </w:r>
      <w:r>
        <w:rPr>
          <w:sz w:val="19"/>
          <w:szCs w:val="19"/>
        </w:rPr>
        <w:t>nost nebo tlučení reklamního bubnu. Oč cennější a, i po stránce čistě obchodní vzato, výnosnější byl onen z vnitřní potřeby plynoucí zájem předválečného návštěvníka ukáže prosté srovnání návštěvníků před a po válce. Je jisté, že přes nesmírnou, trvalou a s</w:t>
      </w:r>
      <w:r>
        <w:rPr>
          <w:sz w:val="19"/>
          <w:szCs w:val="19"/>
        </w:rPr>
        <w:t>tále vtíravější reklamu se počet pravidelných návštěvníků spíše zmenšil než zvětšil. A o neblahém vlivu na vkus obecenstva a odtud plynoucí pokles repertoiru dalo by se hodně hovořiti.</w:t>
      </w:r>
    </w:p>
    <w:p w:rsidR="00500724" w:rsidRDefault="00F30FB8">
      <w:pPr>
        <w:pStyle w:val="Zkladntext100"/>
        <w:shd w:val="clear" w:color="auto" w:fill="auto"/>
        <w:spacing w:line="233" w:lineRule="auto"/>
        <w:ind w:firstLine="240"/>
        <w:rPr>
          <w:sz w:val="19"/>
          <w:szCs w:val="19"/>
        </w:rPr>
      </w:pPr>
      <w:r>
        <w:rPr>
          <w:sz w:val="19"/>
          <w:szCs w:val="19"/>
        </w:rPr>
        <w:t>Přirozeným důsledkem zkomercialisování hudebního života to jest jeho té</w:t>
      </w:r>
      <w:r>
        <w:rPr>
          <w:sz w:val="19"/>
          <w:szCs w:val="19"/>
        </w:rPr>
        <w:t>měř úplného ovládání obchodníky hudbou je i značná změna sociálního postavení repro</w:t>
      </w:r>
      <w:r>
        <w:rPr>
          <w:sz w:val="19"/>
          <w:szCs w:val="19"/>
        </w:rPr>
        <w:softHyphen/>
        <w:t>dukčního umělce. Dříve měl umělec přece jen výsad</w:t>
      </w:r>
      <w:r>
        <w:rPr>
          <w:sz w:val="19"/>
          <w:szCs w:val="19"/>
        </w:rPr>
        <w:softHyphen/>
        <w:t>nější postavení, byl vždy především nositelem krásna a jeho činnost měla po výtce ráz ideální. Je přirozeno, že i on musel</w:t>
      </w:r>
      <w:r>
        <w:rPr>
          <w:sz w:val="19"/>
          <w:szCs w:val="19"/>
        </w:rPr>
        <w:t xml:space="preserve"> a chtěl svou činností vydělávati, maje v ní zdroj obživy, ale tato stránka jeho činnosti ne- převažovala a jeho úkoly byly přece jen jinde a vyšší. Obchod s hudbou změnil ovšem i to. Umělec může se dnes plně uplatniti zpravidla jen tehdy, když mu agent po</w:t>
      </w:r>
      <w:r>
        <w:rPr>
          <w:sz w:val="19"/>
          <w:szCs w:val="19"/>
        </w:rPr>
        <w:t xml:space="preserve">skytne možnost vystoupení, poskytne mu všechen svůj reklamní a pořadatelský aparát a konečně i značku své firmy. Umělec se tak proti své vůli stává jakýmsi "aměstnancem firmy a třebas tu jde o poměr v podstatě dosti volný, přece jen mu nelze upříti jistou </w:t>
      </w:r>
      <w:r>
        <w:rPr>
          <w:sz w:val="19"/>
          <w:szCs w:val="19"/>
        </w:rPr>
        <w:t>závaznost a ztrátu neodvislosti. I tady tedy nastaly pod</w:t>
      </w:r>
      <w:r>
        <w:rPr>
          <w:sz w:val="19"/>
          <w:szCs w:val="19"/>
        </w:rPr>
        <w:softHyphen/>
        <w:t>statné změny a v nich nutno hledati i příčinu toho, že umělec stal se namnoze exponentem politických stran a směrů, a že jeho oblíbenosti bylo často zneužíváno pro účely umění značně odlehlé.</w:t>
      </w:r>
    </w:p>
    <w:p w:rsidR="00500724" w:rsidRDefault="00F30FB8">
      <w:pPr>
        <w:pStyle w:val="Zkladntext100"/>
        <w:shd w:val="clear" w:color="auto" w:fill="auto"/>
        <w:spacing w:line="233" w:lineRule="auto"/>
        <w:ind w:firstLine="240"/>
        <w:rPr>
          <w:sz w:val="19"/>
          <w:szCs w:val="19"/>
        </w:rPr>
      </w:pPr>
      <w:r>
        <w:rPr>
          <w:noProof/>
        </w:rPr>
        <mc:AlternateContent>
          <mc:Choice Requires="wps">
            <w:drawing>
              <wp:anchor distT="0" distB="254000" distL="114300" distR="114300" simplePos="0" relativeHeight="125829674" behindDoc="0" locked="0" layoutInCell="1" allowOverlap="1">
                <wp:simplePos x="0" y="0"/>
                <wp:positionH relativeFrom="page">
                  <wp:posOffset>464820</wp:posOffset>
                </wp:positionH>
                <wp:positionV relativeFrom="margin">
                  <wp:posOffset>9006840</wp:posOffset>
                </wp:positionV>
                <wp:extent cx="213360" cy="186055"/>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213360" cy="186055"/>
                        </a:xfrm>
                        <a:prstGeom prst="rect">
                          <a:avLst/>
                        </a:prstGeom>
                        <a:noFill/>
                      </wps:spPr>
                      <wps:txbx>
                        <w:txbxContent>
                          <w:p w:rsidR="00500724" w:rsidRDefault="00F30FB8">
                            <w:pPr>
                              <w:pStyle w:val="Nadpis120"/>
                              <w:shd w:val="clear" w:color="auto" w:fill="auto"/>
                              <w:ind w:left="0"/>
                            </w:pPr>
                            <w:bookmarkStart w:id="285" w:name="bookmark280"/>
                            <w:r>
                              <w:t>íód</w:t>
                            </w:r>
                            <w:bookmarkEnd w:id="285"/>
                          </w:p>
                        </w:txbxContent>
                      </wps:txbx>
                      <wps:bodyPr lIns="0" tIns="0" rIns="0" bIns="0">
                        <a:spAutoFit/>
                      </wps:bodyPr>
                    </wps:wsp>
                  </a:graphicData>
                </a:graphic>
              </wp:anchor>
            </w:drawing>
          </mc:Choice>
          <mc:Fallback>
            <w:pict>
              <v:shape id="_x0000_s1323" type="#_x0000_t202" style="position:absolute;margin-left:36.600000000000001pt;margin-top:709.20000000000005pt;width:16.800000000000001pt;height:14.65pt;z-index:-125829079;mso-wrap-distance-left:9.pt;mso-wrap-distance-right:9.pt;mso-wrap-distance-bottom:20.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bookmarkStart w:id="280" w:name="bookmark280"/>
                      <w:r>
                        <w:rPr>
                          <w:color w:val="000000"/>
                          <w:spacing w:val="0"/>
                          <w:w w:val="100"/>
                          <w:position w:val="0"/>
                          <w:shd w:val="clear" w:color="auto" w:fill="auto"/>
                          <w:lang w:val="cs-CZ" w:eastAsia="cs-CZ" w:bidi="cs-CZ"/>
                        </w:rPr>
                        <w:t>íód</w:t>
                      </w:r>
                      <w:bookmarkEnd w:id="280"/>
                    </w:p>
                  </w:txbxContent>
                </v:textbox>
                <w10:wrap type="topAndBottom" anchorx="page" anchory="margin"/>
              </v:shape>
            </w:pict>
          </mc:Fallback>
        </mc:AlternateContent>
      </w:r>
      <w:r>
        <w:rPr>
          <w:sz w:val="19"/>
          <w:szCs w:val="19"/>
        </w:rPr>
        <w:t xml:space="preserve">A podívejme se nyní, jak zasáhla poválečná obchodní snaha do literatury. Srovnáme-li předválečný a poválec- ný rozsah obchodu tímto zbožím, poznáme na první pohled nesmírný rozmach. A můžeme hned říci, </w:t>
      </w:r>
      <w:r>
        <w:t xml:space="preserve">že </w:t>
      </w:r>
      <w:r>
        <w:rPr>
          <w:sz w:val="19"/>
          <w:szCs w:val="19"/>
        </w:rPr>
        <w:t>rozmach do šířky i hloubky. Organisace knihkupecké</w:t>
      </w:r>
      <w:r>
        <w:rPr>
          <w:sz w:val="19"/>
          <w:szCs w:val="19"/>
        </w:rPr>
        <w:softHyphen/>
      </w:r>
      <w:r>
        <w:rPr>
          <w:sz w:val="19"/>
          <w:szCs w:val="19"/>
        </w:rPr>
        <w:t>ho trhu se nesmírně zdokonalila a nastala přesná distri</w:t>
      </w:r>
      <w:r>
        <w:rPr>
          <w:sz w:val="19"/>
          <w:szCs w:val="19"/>
        </w:rPr>
        <w:softHyphen/>
        <w:t>buce v obchodování, vyvinula se dokonaleji specialisa- ce, vyrostl a zdokonalil se aparát reklamní i prodejní; naproti tomu volnost knihkupeckého trhu se zmenšila přísně dodržovanými úmluvami. Prosper</w:t>
      </w:r>
      <w:r>
        <w:rPr>
          <w:sz w:val="19"/>
          <w:szCs w:val="19"/>
        </w:rPr>
        <w:t>ující naklada</w:t>
      </w:r>
      <w:r>
        <w:rPr>
          <w:sz w:val="19"/>
          <w:szCs w:val="19"/>
        </w:rPr>
        <w:softHyphen/>
        <w:t>tel není už jen dobrým odhadcem zboží k vydání mu nabízeného, neměří už je s nemalým zřetelem k jeho ryzím vnitřním hodnotám, ale zkoumá především jeho způsobilost prodejní, bystře odhaduje zájem obecenstva a autorovu schopnost ho podchycovat</w:t>
      </w:r>
      <w:r>
        <w:rPr>
          <w:sz w:val="19"/>
          <w:szCs w:val="19"/>
        </w:rPr>
        <w:t>i.</w:t>
      </w:r>
    </w:p>
    <w:p w:rsidR="00500724" w:rsidRDefault="00F30FB8">
      <w:pPr>
        <w:pStyle w:val="Zkladntext100"/>
        <w:shd w:val="clear" w:color="auto" w:fill="auto"/>
        <w:spacing w:line="209" w:lineRule="auto"/>
        <w:ind w:firstLine="240"/>
        <w:rPr>
          <w:sz w:val="19"/>
          <w:szCs w:val="19"/>
        </w:rPr>
      </w:pPr>
      <w:r>
        <w:rPr>
          <w:sz w:val="19"/>
          <w:szCs w:val="19"/>
        </w:rPr>
        <w:t>Vnitřní hodnota tohoto zboží je pro řadu obchodníků čímsi vedlejším a tak mnohý nakladatel nikterak ne</w:t>
      </w:r>
      <w:r>
        <w:rPr>
          <w:sz w:val="19"/>
          <w:szCs w:val="19"/>
        </w:rPr>
        <w:softHyphen/>
        <w:t xml:space="preserve">váhá vedle autora prvořadého získati i autora druhého a třetího řádu. Reklama byla povýšena na hlavní složku podnikatelského úspěchu. Reklamní cesty </w:t>
      </w:r>
      <w:r>
        <w:rPr>
          <w:sz w:val="19"/>
          <w:szCs w:val="19"/>
        </w:rPr>
        <w:t>se už ovšem neubírají vyšlapanou cestou, nýbrž se nově vyvíjejí, zdokonalují a zmnohonásobňují. Tato na ryze obchod</w:t>
      </w:r>
      <w:r>
        <w:rPr>
          <w:sz w:val="19"/>
          <w:szCs w:val="19"/>
        </w:rPr>
        <w:softHyphen/>
        <w:t>ních zásadách založená reklama se samozřejmě zušlech</w:t>
      </w:r>
      <w:r>
        <w:rPr>
          <w:sz w:val="19"/>
          <w:szCs w:val="19"/>
        </w:rPr>
        <w:softHyphen/>
        <w:t>ťuje, přizpůsobuje prodávanému zboží. Vznikají různé nakladatelské časopisy, které mají</w:t>
      </w:r>
      <w:r>
        <w:rPr>
          <w:sz w:val="19"/>
          <w:szCs w:val="19"/>
        </w:rPr>
        <w:t xml:space="preserve"> zdánlivě úkoly především všeobecně kulturní. Je pravda, že i po této stránce nejsou zcela bezvýznamné a přinesou leccos cen</w:t>
      </w:r>
      <w:r>
        <w:rPr>
          <w:sz w:val="19"/>
          <w:szCs w:val="19"/>
        </w:rPr>
        <w:softHyphen/>
        <w:t>ného, ale jejich prvním úkolem je dělati vhodnou rekla</w:t>
      </w:r>
      <w:r>
        <w:rPr>
          <w:sz w:val="19"/>
          <w:szCs w:val="19"/>
        </w:rPr>
        <w:softHyphen/>
        <w:t>mu dílům u majitele nakladatelského časopisu už vyšlým i teprve jím chystaný</w:t>
      </w:r>
      <w:r>
        <w:rPr>
          <w:sz w:val="19"/>
          <w:szCs w:val="19"/>
        </w:rPr>
        <w:t>m. V těchto časopisech musí se autor vyzpovídati o všech okolnostech, které předcházely a provázely zrod díla, poví, co jím zamýšlí, co se mu na něm líbí, připojí své názory na sebe samot</w:t>
      </w:r>
      <w:r>
        <w:rPr>
          <w:sz w:val="19"/>
          <w:szCs w:val="19"/>
        </w:rPr>
        <w:softHyphen/>
        <w:t>ného, na svůj poměr ke světu i k lidem. A musí i strpěti, aby byly v</w:t>
      </w:r>
      <w:r>
        <w:rPr>
          <w:sz w:val="19"/>
          <w:szCs w:val="19"/>
        </w:rPr>
        <w:t>e formě více méně zábavné uveřejněny v časopise jeho nakladatele vtipné i méně vtipné klepy a klípky o něm i jeho díle. A když už spatří jeho dílo světlo světa, musí i jinak napomáhati jeho odbytu. Jednou formou toho je podpisování knih. Podpis autora v je</w:t>
      </w:r>
      <w:r>
        <w:rPr>
          <w:sz w:val="19"/>
          <w:szCs w:val="19"/>
        </w:rPr>
        <w:t>ho nové práci není už těžko dostupným ideálem, nezískává se nijak těžko. Autor přijde a po dvě tři hodiny je k disposici P. T. obecenstvu, které zakoupe</w:t>
      </w:r>
      <w:r>
        <w:rPr>
          <w:sz w:val="19"/>
          <w:szCs w:val="19"/>
        </w:rPr>
        <w:softHyphen/>
        <w:t>ním knihy nabylo práva nejen získati podpis autora, ale i právo dobře si ho prohlédnouti a vědomí, že a</w:t>
      </w:r>
      <w:r>
        <w:rPr>
          <w:sz w:val="19"/>
          <w:szCs w:val="19"/>
        </w:rPr>
        <w:t>utor v tu a tu dobu bude mu k disposici. Možnost setkati se s autorem má obecenstvo i jinak. Vznikají t. zv. mansar</w:t>
      </w:r>
      <w:r>
        <w:rPr>
          <w:sz w:val="19"/>
          <w:szCs w:val="19"/>
        </w:rPr>
        <w:softHyphen/>
        <w:t>dy, kde se konají čaje a jiné podniky. Mají svůj význam i kulturní, ale v jádru není to nic jiného než druh zušlechtěné reklamy. A stejně js</w:t>
      </w:r>
      <w:r>
        <w:rPr>
          <w:sz w:val="19"/>
          <w:szCs w:val="19"/>
        </w:rPr>
        <w:t>ou jen jistým druhem takové reklamy i různé ty ankety a dotazy po nej</w:t>
      </w:r>
      <w:r>
        <w:rPr>
          <w:sz w:val="19"/>
          <w:szCs w:val="19"/>
        </w:rPr>
        <w:softHyphen/>
        <w:t>lepší neb nejoblíbenější knize.</w:t>
      </w:r>
    </w:p>
    <w:p w:rsidR="00500724" w:rsidRDefault="00F30FB8">
      <w:pPr>
        <w:pStyle w:val="Zkladntext100"/>
        <w:shd w:val="clear" w:color="auto" w:fill="auto"/>
        <w:spacing w:line="209" w:lineRule="auto"/>
        <w:ind w:firstLine="300"/>
        <w:rPr>
          <w:sz w:val="19"/>
          <w:szCs w:val="19"/>
        </w:rPr>
      </w:pPr>
      <w:r>
        <w:rPr>
          <w:sz w:val="19"/>
          <w:szCs w:val="19"/>
        </w:rPr>
        <w:t>Je jisto, že všechny tyto druhy reklamy působí na odbyt knih a přispívají k uplatnění i těch hodnotných děl, které by bez víření reklamních bubnů buď vůbe</w:t>
      </w:r>
      <w:r>
        <w:rPr>
          <w:sz w:val="19"/>
          <w:szCs w:val="19"/>
        </w:rPr>
        <w:t>c nespatřily světlo světa aneb by se beznadějně povalo</w:t>
      </w:r>
      <w:r>
        <w:rPr>
          <w:sz w:val="19"/>
          <w:szCs w:val="19"/>
        </w:rPr>
        <w:softHyphen/>
        <w:t>valy v nakladatelských skladištích. To jsou světlé stránky tohoto zkomercialisování knihkupeckého živo</w:t>
      </w:r>
      <w:r>
        <w:rPr>
          <w:sz w:val="19"/>
          <w:szCs w:val="19"/>
        </w:rPr>
        <w:softHyphen/>
        <w:t>ta, toto vydávání knih i méně obchodně nosných a často s velkou vnitřní cenou. Stínem je, že zaved</w:t>
      </w:r>
      <w:r>
        <w:rPr>
          <w:sz w:val="19"/>
          <w:szCs w:val="19"/>
        </w:rPr>
        <w:t>ení obchod</w:t>
      </w:r>
      <w:r>
        <w:rPr>
          <w:sz w:val="19"/>
          <w:szCs w:val="19"/>
        </w:rPr>
        <w:softHyphen/>
        <w:t>ních praktik do kulturního života mělo za následek vytvoření mamutích nakladatelských podniků, které poznenáhlu ovládly kulturní trh a podle svých ne vždy</w:t>
      </w:r>
    </w:p>
    <w:p w:rsidR="00500724" w:rsidRDefault="00F30FB8">
      <w:pPr>
        <w:pStyle w:val="Zkladntext100"/>
        <w:framePr w:dropCap="drop" w:lines="2" w:wrap="auto" w:vAnchor="text" w:hAnchor="text"/>
        <w:shd w:val="clear" w:color="auto" w:fill="auto"/>
        <w:spacing w:line="274" w:lineRule="exact"/>
        <w:ind w:firstLine="0"/>
        <w:rPr>
          <w:sz w:val="19"/>
          <w:szCs w:val="19"/>
        </w:rPr>
      </w:pPr>
      <w:r>
        <w:rPr>
          <w:rFonts w:ascii="Arial" w:eastAsia="Arial" w:hAnsi="Arial" w:cs="Arial"/>
          <w:position w:val="-6"/>
          <w:sz w:val="32"/>
          <w:szCs w:val="32"/>
        </w:rPr>
        <w:t>Í</w:t>
      </w:r>
    </w:p>
    <w:p w:rsidR="00500724" w:rsidRDefault="00F30FB8">
      <w:pPr>
        <w:pStyle w:val="Zkladntext100"/>
        <w:shd w:val="clear" w:color="auto" w:fill="auto"/>
        <w:spacing w:after="40" w:line="209" w:lineRule="auto"/>
        <w:ind w:firstLine="0"/>
        <w:rPr>
          <w:sz w:val="19"/>
          <w:szCs w:val="19"/>
        </w:rPr>
      </w:pPr>
      <w:r>
        <w:rPr>
          <w:sz w:val="19"/>
          <w:szCs w:val="19"/>
        </w:rPr>
        <w:t xml:space="preserve">'en kulturních a národních zájmů diktují a ovládají zulturní dění. Na pramen živé vody, </w:t>
      </w:r>
      <w:r>
        <w:rPr>
          <w:sz w:val="19"/>
          <w:szCs w:val="19"/>
        </w:rPr>
        <w:t>jímž je svobodný kulturní život jednotlivce i národa, usedly často žáby, které tento pramen ucpaly aneb usměrnily směrem ne vždy národnímu celku prospěšným. Vytváření osobních i politických klik, zanedbávání mladých talentů, osob</w:t>
      </w:r>
      <w:r>
        <w:rPr>
          <w:sz w:val="19"/>
          <w:szCs w:val="19"/>
        </w:rPr>
        <w:softHyphen/>
        <w:t>ní podkuřování a jiné škod</w:t>
      </w:r>
      <w:r>
        <w:rPr>
          <w:sz w:val="19"/>
          <w:szCs w:val="19"/>
        </w:rPr>
        <w:t xml:space="preserve">livé prvky jsou důsledkem obchodních praktik v kultuře. Využívání jediného úspěchu — přirozeně obchodního — do krajnosti stalo se obvyklým zjevem, zejména pokud jde o autory cizí. Tak dochází i k překladům z valné části zbytečným a ocitáme se před trapným </w:t>
      </w:r>
      <w:r>
        <w:rPr>
          <w:sz w:val="19"/>
          <w:szCs w:val="19"/>
        </w:rPr>
        <w:t>zjevem, že máme k disposici v českém znění i velmi podřadná díla některé té cizí veličiny nafouklé často jen dík nezřízené reklamě.</w:t>
      </w:r>
    </w:p>
    <w:p w:rsidR="00500724" w:rsidRDefault="00F30FB8">
      <w:pPr>
        <w:pStyle w:val="Zkladntext100"/>
        <w:shd w:val="clear" w:color="auto" w:fill="auto"/>
        <w:spacing w:after="160" w:line="209" w:lineRule="auto"/>
        <w:ind w:firstLine="220"/>
        <w:rPr>
          <w:sz w:val="19"/>
          <w:szCs w:val="19"/>
        </w:rPr>
      </w:pPr>
      <w:r>
        <w:rPr>
          <w:sz w:val="19"/>
          <w:szCs w:val="19"/>
        </w:rPr>
        <w:t>Stojíme na prahu nového života, v němž bude nutno vykliditi vše, co v minulosti poškozovalo a podlamovalo náš vzrůst a vývoj</w:t>
      </w:r>
      <w:r>
        <w:rPr>
          <w:sz w:val="19"/>
          <w:szCs w:val="19"/>
        </w:rPr>
        <w:t>. Reformy, jež jsou na všech stra</w:t>
      </w:r>
      <w:r>
        <w:rPr>
          <w:sz w:val="19"/>
          <w:szCs w:val="19"/>
        </w:rPr>
        <w:softHyphen/>
        <w:t xml:space="preserve">nách podnikány, musí zasáhnouti i do sféry kulturní. Kultura musí býti opět silněji ovládána zájmy především národními, musí býti odstraněna převaha čistě obchodních prvků. Platí to bez rozdílu ať už jde o umění výtvarné, </w:t>
      </w:r>
      <w:r>
        <w:rPr>
          <w:sz w:val="19"/>
          <w:szCs w:val="19"/>
        </w:rPr>
        <w:t xml:space="preserve">hudbu, literaturu či cokoli jiného. Nutno hledati všechny cesty, aby se starým i mladým autorům, kteří to zaslouží, dostalo plného uplatnění. Musí tu však jozhodovati jedině hodnota díla: odpoví- dá-li duši národa, umí-li jí dáti povzbuzení a vyrovnání se </w:t>
      </w:r>
      <w:r>
        <w:rPr>
          <w:sz w:val="19"/>
          <w:szCs w:val="19"/>
        </w:rPr>
        <w:t>zápory života, vytryskío-li z půdy naší země a z krve našich lidí, zasluhuje života. Nezavíráme se přirozeně cizím kulturám, vítáme je na naší půdě, ale chceme, aby k nám přicházely a byly vítány jen ty hodnoty, jež mohou mít na náš duševní život zúrodňují</w:t>
      </w:r>
      <w:r>
        <w:rPr>
          <w:sz w:val="19"/>
          <w:szCs w:val="19"/>
        </w:rPr>
        <w:t xml:space="preserve">cí vliv. Ryzí hodnoty </w:t>
      </w:r>
      <w:r>
        <w:rPr>
          <w:i/>
          <w:iCs/>
          <w:sz w:val="20"/>
          <w:szCs w:val="20"/>
        </w:rPr>
        <w:t>ať</w:t>
      </w:r>
      <w:r>
        <w:rPr>
          <w:sz w:val="19"/>
          <w:szCs w:val="19"/>
        </w:rPr>
        <w:t xml:space="preserve"> jsou původu jakéhokoli najdou u nás jistě uplatnění a nebude jejich příchodu brániti nikdo, komu záleží na duchovním růstu národa. Ale musíme a budeme se bránit pakultuře, která v minulu nacházela u nás až příliš ochotné propagátory a obhájce.</w:t>
      </w:r>
    </w:p>
    <w:p w:rsidR="00500724" w:rsidRDefault="00F30FB8">
      <w:pPr>
        <w:pStyle w:val="Zkladntext20"/>
        <w:shd w:val="clear" w:color="auto" w:fill="auto"/>
        <w:spacing w:after="40" w:line="197" w:lineRule="auto"/>
        <w:ind w:firstLine="0"/>
        <w:rPr>
          <w:sz w:val="20"/>
          <w:szCs w:val="20"/>
        </w:rPr>
      </w:pPr>
      <w:r>
        <w:rPr>
          <w:i/>
          <w:iCs/>
          <w:sz w:val="20"/>
          <w:szCs w:val="20"/>
        </w:rPr>
        <w:t>Marie Kubeš</w:t>
      </w:r>
      <w:r>
        <w:rPr>
          <w:i/>
          <w:iCs/>
          <w:sz w:val="20"/>
          <w:szCs w:val="20"/>
        </w:rPr>
        <w:t>ová:</w:t>
      </w:r>
    </w:p>
    <w:p w:rsidR="00500724" w:rsidRDefault="00F30FB8">
      <w:pPr>
        <w:pStyle w:val="Nadpis100"/>
        <w:shd w:val="clear" w:color="auto" w:fill="auto"/>
        <w:spacing w:line="230" w:lineRule="auto"/>
      </w:pPr>
      <w:bookmarkStart w:id="286" w:name="bookmark285"/>
      <w:r>
        <w:t>Děti čtou</w:t>
      </w:r>
      <w:bookmarkEnd w:id="286"/>
    </w:p>
    <w:p w:rsidR="00500724" w:rsidRDefault="00F30FB8">
      <w:pPr>
        <w:pStyle w:val="Zkladntext100"/>
        <w:shd w:val="clear" w:color="auto" w:fill="auto"/>
        <w:spacing w:line="295" w:lineRule="auto"/>
        <w:ind w:left="300" w:firstLine="760"/>
        <w:jc w:val="left"/>
      </w:pPr>
      <w:r>
        <w:t>Nedostatky dětské četby Především: je jí málo. Nemyslím, že bychom měli málo</w:t>
      </w:r>
    </w:p>
    <w:p w:rsidR="00500724" w:rsidRDefault="00F30FB8">
      <w:pPr>
        <w:pStyle w:val="Zkladntext100"/>
        <w:shd w:val="clear" w:color="auto" w:fill="auto"/>
        <w:spacing w:after="40" w:line="218" w:lineRule="auto"/>
        <w:ind w:firstLine="0"/>
      </w:pPr>
      <w:r>
        <w:t>dětských knih. Naopak, máme málo věcí tak dokonalých, rozmanitých a na tak vysoké úrovni, jako dětskou litera</w:t>
      </w:r>
      <w:r>
        <w:softHyphen/>
        <w:t xml:space="preserve">turu. Ale dětská kniha je drahá, chudším vrstvám není </w:t>
      </w:r>
      <w:r>
        <w:t xml:space="preserve">vůbec přístupná, středním jen jako dárek. Děti však čtou docela jiným tempem, než dospělí. Posadí se ke knize </w:t>
      </w:r>
      <w:r>
        <w:rPr>
          <w:b/>
          <w:bCs/>
          <w:sz w:val="20"/>
          <w:szCs w:val="20"/>
        </w:rPr>
        <w:t xml:space="preserve">a </w:t>
      </w:r>
      <w:r>
        <w:t>jako by ji vypily: zhltnou ji. Na knize pracovalo mnoho lidí mnoho měsíců, ale dítěti stačí na jediný zimní večer. Ta kniha však stojí v nejlepš</w:t>
      </w:r>
      <w:r>
        <w:t xml:space="preserve">ím případě 15 K) a to je </w:t>
      </w:r>
      <w:r>
        <w:rPr>
          <w:b/>
          <w:bCs/>
          <w:sz w:val="20"/>
          <w:szCs w:val="20"/>
        </w:rPr>
        <w:t xml:space="preserve">vý* </w:t>
      </w:r>
      <w:r>
        <w:t xml:space="preserve">jimečná cena. Většinou stojí dětská knížka průměrně </w:t>
      </w:r>
      <w:r>
        <w:rPr>
          <w:b/>
          <w:bCs/>
          <w:sz w:val="20"/>
          <w:szCs w:val="20"/>
        </w:rPr>
        <w:t xml:space="preserve">20 </w:t>
      </w:r>
      <w:r>
        <w:t>až 40 K, i víc. Ukažte mi rodiče, kteří by mohli dávat dítěti dobrou četbu takovým tempem, jakým by potřebo</w:t>
      </w:r>
      <w:r>
        <w:softHyphen/>
        <w:t>valo. A tak se právě stalo, že je dětská knížka krásným dárkem p</w:t>
      </w:r>
      <w:r>
        <w:t xml:space="preserve">od vánoční stromeček nebo k narozeninám </w:t>
      </w:r>
      <w:r>
        <w:rPr>
          <w:b/>
          <w:bCs/>
          <w:sz w:val="20"/>
          <w:szCs w:val="20"/>
        </w:rPr>
        <w:t xml:space="preserve">nebo </w:t>
      </w:r>
      <w:r>
        <w:t>svátku. A na to ovšem zase stůně nakladatelské podnikání. Přijdete-li k nakladateli jako naivní maminka a vyptáváte se, proč je dětská kniha tak drahá, narazíte - jako vždy a ve všem - na spousty všelijakých obc</w:t>
      </w:r>
      <w:r>
        <w:t xml:space="preserve">hodních zájmů - jenom péče o to, aby děti dostaly hodně dobrých knih, je skoro v pozadí. Děti milují jenom tlusté knihy </w:t>
      </w:r>
      <w:r>
        <w:rPr>
          <w:b/>
          <w:bCs/>
          <w:sz w:val="20"/>
          <w:szCs w:val="20"/>
        </w:rPr>
        <w:t xml:space="preserve">a </w:t>
      </w:r>
      <w:r>
        <w:t>obrázkové, řekne vám, a ty jsou ovšem drahé. Potom je snahou nakladatele pěstit estetický smysl v dítěti a dávat mu knihu graficky dok</w:t>
      </w:r>
      <w:r>
        <w:t xml:space="preserve">onalou. To je ovšem také drahé. Pak se trochu odmlčí a řekne: víte, nemáme vlastně vůbec aparát, kterým bychom dostávali levné dětské knihy </w:t>
      </w:r>
      <w:r>
        <w:rPr>
          <w:b/>
          <w:bCs/>
          <w:sz w:val="20"/>
          <w:szCs w:val="20"/>
        </w:rPr>
        <w:t xml:space="preserve">do </w:t>
      </w:r>
      <w:r>
        <w:t xml:space="preserve">rodin. Ve školách knihy kolportovaí nesmíme, protože bychom poškodili knihkupce. V prodejnách </w:t>
      </w:r>
      <w:r>
        <w:rPr>
          <w:b/>
          <w:bCs/>
          <w:sz w:val="20"/>
          <w:szCs w:val="20"/>
        </w:rPr>
        <w:t xml:space="preserve">a </w:t>
      </w:r>
      <w:r>
        <w:t xml:space="preserve">trafikách - a na </w:t>
      </w:r>
      <w:r>
        <w:t xml:space="preserve">venkově jsou to většinou prodejny, které přinášejí lidem knihy - nesmíme je také prodávat, </w:t>
      </w:r>
      <w:r>
        <w:rPr>
          <w:b/>
          <w:bCs/>
          <w:sz w:val="20"/>
          <w:szCs w:val="20"/>
        </w:rPr>
        <w:t xml:space="preserve">a </w:t>
      </w:r>
      <w:r>
        <w:t>to z téhož důvodu. Knihkupec však o levnou dětskou knížku ani zájem nemá, protože na ní málo vydělá. To, co máte na mysli: levné sešity dobré dětské literatury, kt</w:t>
      </w:r>
      <w:r>
        <w:t>eré by pro</w:t>
      </w:r>
      <w:r>
        <w:softHyphen/>
        <w:t xml:space="preserve">nikly do venkovských chalup i do dělnických příbytků, nemůžeme nijak prodávat. Je to rozhodně větší obchod pro nakladatele i knihkupce, vydá-li před vánocemi dvě nebo tři důkladné a výtečně vybavené dětské knihy, </w:t>
      </w:r>
      <w:r>
        <w:rPr>
          <w:b/>
          <w:bCs/>
          <w:sz w:val="20"/>
          <w:szCs w:val="20"/>
        </w:rPr>
        <w:t xml:space="preserve">než </w:t>
      </w:r>
      <w:r>
        <w:t>kdyby se mořil problémem lac</w:t>
      </w:r>
      <w:r>
        <w:t xml:space="preserve">iného dětského čtivá. </w:t>
      </w:r>
      <w:r>
        <w:rPr>
          <w:b/>
          <w:bCs/>
          <w:sz w:val="20"/>
          <w:szCs w:val="20"/>
        </w:rPr>
        <w:t xml:space="preserve">A tak </w:t>
      </w:r>
      <w:r>
        <w:t xml:space="preserve">zůstává dětská kniha krásným, ale luxusním předmětem. Je-li vždy škoda, že je krásná věc obyčejně výsadní </w:t>
      </w:r>
      <w:r>
        <w:rPr>
          <w:b/>
          <w:bCs/>
          <w:sz w:val="20"/>
          <w:szCs w:val="20"/>
        </w:rPr>
        <w:t xml:space="preserve">a </w:t>
      </w:r>
      <w:r>
        <w:t>luxusní, je to u dětské knihy škoda stonásobná.</w:t>
      </w:r>
    </w:p>
    <w:p w:rsidR="00500724" w:rsidRDefault="00F30FB8">
      <w:pPr>
        <w:pStyle w:val="Zkladntext100"/>
        <w:shd w:val="clear" w:color="auto" w:fill="auto"/>
        <w:spacing w:after="40" w:line="218" w:lineRule="auto"/>
        <w:ind w:firstLine="0"/>
        <w:jc w:val="center"/>
      </w:pPr>
      <w:r>
        <w:t>Dětské čítárny</w:t>
      </w:r>
    </w:p>
    <w:p w:rsidR="00500724" w:rsidRDefault="00F30FB8">
      <w:pPr>
        <w:pStyle w:val="Zkladntext100"/>
        <w:shd w:val="clear" w:color="auto" w:fill="auto"/>
        <w:spacing w:after="40" w:line="338" w:lineRule="auto"/>
        <w:ind w:firstLine="0"/>
        <w:jc w:val="right"/>
        <w:rPr>
          <w:sz w:val="19"/>
          <w:szCs w:val="19"/>
        </w:rPr>
      </w:pPr>
      <w:r>
        <w:t xml:space="preserve">Když si takhle sestavíte všechny překážky, které dospělí kladou dětem, bráníce jim, aby se dostaly k dobré knize, </w:t>
      </w:r>
      <w:r>
        <w:rPr>
          <w:sz w:val="19"/>
          <w:szCs w:val="19"/>
        </w:rPr>
        <w:t>l8ý</w:t>
      </w:r>
      <w:r>
        <w:br w:type="page"/>
      </w:r>
    </w:p>
    <w:p w:rsidR="00500724" w:rsidRDefault="00F30FB8">
      <w:pPr>
        <w:pStyle w:val="Zkladntext100"/>
        <w:shd w:val="clear" w:color="auto" w:fill="auto"/>
        <w:spacing w:line="228" w:lineRule="auto"/>
        <w:ind w:firstLine="0"/>
      </w:pPr>
      <w:r>
        <w:t>kdykoli chtějí čísl, řeknete si docela logicky, že není třeba všechny knihy mít, které člověk čte. Ani dospělý nemá všechny knihy, které miluje, a soukromá knihovna má vůbec smysl jenom tehdy, je-li to buď odborná pomůcka k práci nebo je-li to vybraná, mal</w:t>
      </w:r>
      <w:r>
        <w:t xml:space="preserve">á knihovna jedinečně krásných věcí, ke kterým se v životě vždycky vracíme. Jsou knihy, která přečteme a nikdy se k nim nevrátíme. Jsou knihy, které chceme mít vedle sebe v pokoji, jako toužíme po přítomnosti drahého člověka, a nějak nás upokojuje, jsou-li </w:t>
      </w:r>
      <w:r>
        <w:t xml:space="preserve">v poličce. Dětem se vede právě tak: k některým knihám se vracejí ustavičně. Divím se své dceři, když čte po sedmnácté &gt;Bílý Tesák« právě tak hltavě a nadšeně, jako jej četla po prvé. Pak jsou knížky, které zůstanou </w:t>
      </w:r>
      <w:r>
        <w:rPr>
          <w:b/>
          <w:bCs/>
          <w:sz w:val="19"/>
          <w:szCs w:val="19"/>
        </w:rPr>
        <w:t xml:space="preserve">v </w:t>
      </w:r>
      <w:r>
        <w:t>knihovničce ležet, jednou přečteny mizí</w:t>
      </w:r>
      <w:r>
        <w:t xml:space="preserve"> z dětského jrdce. Mimo to je ovšem skutečnost, že dětskou knihovnu ftiá v naší zemi asi velmi málo dětí a přece jsou tyto děti právě tak nadějí národa, jak se o nich mluví. Hledáte-li Východisko, zajděte si do dětské čítárny v pražské měst- skó knihovně. </w:t>
      </w:r>
      <w:r>
        <w:t xml:space="preserve">Je to jedinečný a bohužel ojedinělý podnik, </w:t>
      </w:r>
      <w:r>
        <w:rPr>
          <w:b/>
          <w:bCs/>
          <w:sz w:val="19"/>
          <w:szCs w:val="19"/>
        </w:rPr>
        <w:t xml:space="preserve">iák </w:t>
      </w:r>
      <w:r>
        <w:t>krásný, že nemám slov, jak bych jej pochválila. Jeho Vedení je v rukou mladičké, neobyčejně bdělé ženy, která ířejmě nezapomněla na to, co děti milují. Provoz v knihov</w:t>
      </w:r>
      <w:r>
        <w:softHyphen/>
        <w:t>ně se řídí dvěma výtečnými zásadami: Dos</w:t>
      </w:r>
      <w:r>
        <w:t xml:space="preserve">pělí ven - je zásada první. A volný přístup dětí ku knize - je druhá. Nevím, které je lepší. Čítárna je veliká, teplá, má kulaté dolečky, u každého je několik židlí a v celé čítárně je dětí jako včel: a při tom je tam dokonalé ticho. Nikdo </w:t>
      </w:r>
      <w:r>
        <w:rPr>
          <w:b/>
          <w:bCs/>
          <w:sz w:val="19"/>
          <w:szCs w:val="19"/>
        </w:rPr>
        <w:t xml:space="preserve">io </w:t>
      </w:r>
      <w:r>
        <w:t>ticho nehlídá</w:t>
      </w:r>
      <w:r>
        <w:t xml:space="preserve"> a nikdo děti neokřikuje, a přece je. Na</w:t>
      </w:r>
      <w:r>
        <w:softHyphen/>
        <w:t>jednou se podařilo vyvinout v dítěti to nejtěžší a nej- (ložitější: ohled k druhému. Děti chodí po špičkách k při</w:t>
      </w:r>
      <w:r>
        <w:softHyphen/>
        <w:t>hrádkám, tichoučce se probírají v knížkách, mlčky si vy</w:t>
      </w:r>
      <w:r>
        <w:softHyphen/>
        <w:t>berou, co chtějí číst, a opatrně usedají ke s</w:t>
      </w:r>
      <w:r>
        <w:t xml:space="preserve">tolkům, aby </w:t>
      </w:r>
      <w:r>
        <w:rPr>
          <w:b/>
          <w:bCs/>
          <w:sz w:val="19"/>
          <w:szCs w:val="19"/>
        </w:rPr>
        <w:t xml:space="preserve">to </w:t>
      </w:r>
      <w:r>
        <w:t xml:space="preserve">nevrzlo. Pohled na ně je tak krásný, že bych vám jej přála&gt; ale vy jste dospělí a nesmíte tam, na štěstí. Protože děti chtějí být samy, nechtějí být poučovány, chtějí se bavit a zařídit si věci podle svého a zřejmě to alespoň do určité míry </w:t>
      </w:r>
      <w:r>
        <w:t xml:space="preserve">dovedou. I ten nápad, že si děti vybírají knížky samy, je krásný. Dítě se seznámí s knihou, naučí se ji oceňovat podle jednotlivých vět, obrázků, později autorů, naučí se samo na sobě vyzkoušet, co se mu vlastně líbí, </w:t>
      </w:r>
      <w:r>
        <w:rPr>
          <w:b/>
          <w:bCs/>
          <w:sz w:val="19"/>
          <w:szCs w:val="19"/>
        </w:rPr>
        <w:t xml:space="preserve">a </w:t>
      </w:r>
      <w:r>
        <w:t>protože široko daleko není žádný mra</w:t>
      </w:r>
      <w:r>
        <w:t>vokárník, oddá se své oblibě bez ostychu a necítí se povinno před</w:t>
      </w:r>
      <w:r>
        <w:softHyphen/>
        <w:t>stírat ušlechtilé zájmy.</w:t>
      </w:r>
    </w:p>
    <w:p w:rsidR="00500724" w:rsidRDefault="00F30FB8">
      <w:pPr>
        <w:pStyle w:val="Zkladntext100"/>
        <w:shd w:val="clear" w:color="auto" w:fill="auto"/>
        <w:spacing w:line="228" w:lineRule="auto"/>
        <w:ind w:firstLine="260"/>
      </w:pPr>
      <w:r>
        <w:t>Když jsem se ptala paní knihovnice, zdali jí děti knížky nekradou, povídala mi trochu zdráhavé o jednom chlapci, který odnášel jednou v kalhotech nějakou tlustou kni</w:t>
      </w:r>
      <w:r>
        <w:t>hu. Když ho vyslýchali, ukázalo se, že to je velmi chudý a romantický chlapec, že je až chtivě lačný četby, a že ji nechtěl ukrást, jenom vypůjčit, protože knihovna půjčuje jenom jednu knížku domů a jedna knížka mu prý na dva dny nestačí. iByl potrestán ?«</w:t>
      </w:r>
      <w:r>
        <w:t xml:space="preserve"> ptala jsem se. »Nebyl,it po</w:t>
      </w:r>
      <w:r>
        <w:softHyphen/>
        <w:t xml:space="preserve">vídala mi ta milá žena zřejmě se špatným svědomím. «Já .. </w:t>
      </w:r>
      <w:r>
        <w:rPr>
          <w:b/>
          <w:bCs/>
          <w:sz w:val="19"/>
          <w:szCs w:val="19"/>
        </w:rPr>
        <w:t xml:space="preserve">já </w:t>
      </w:r>
      <w:r>
        <w:t>jsem mu půjčila už několikrát dvě knihy domů, vždy-</w:t>
      </w:r>
    </w:p>
    <w:p w:rsidR="00500724" w:rsidRDefault="00F30FB8">
      <w:pPr>
        <w:pStyle w:val="Zkladntext100"/>
        <w:framePr w:dropCap="drop" w:lines="3" w:wrap="auto" w:vAnchor="text" w:hAnchor="text"/>
        <w:shd w:val="clear" w:color="auto" w:fill="auto"/>
        <w:spacing w:line="547" w:lineRule="exact"/>
        <w:ind w:firstLine="0"/>
      </w:pPr>
      <w:r>
        <w:rPr>
          <w:rFonts w:ascii="Arial" w:eastAsia="Arial" w:hAnsi="Arial" w:cs="Arial"/>
          <w:position w:val="-12"/>
          <w:sz w:val="78"/>
          <w:szCs w:val="78"/>
        </w:rPr>
        <w:t>g</w:t>
      </w:r>
    </w:p>
    <w:p w:rsidR="00500724" w:rsidRDefault="00F30FB8">
      <w:pPr>
        <w:pStyle w:val="Zkladntext100"/>
        <w:shd w:val="clear" w:color="auto" w:fill="auto"/>
        <w:spacing w:after="80" w:line="228" w:lineRule="auto"/>
        <w:ind w:firstLine="0"/>
      </w:pPr>
      <w:r>
        <w:t>mi je krásně vrátil a dobře to tedy dopadlo.« Ovšem, ycky to dobře dopadne, když dospělí zapomenou, že [ dospělí</w:t>
      </w:r>
      <w:r>
        <w:t>.</w:t>
      </w:r>
    </w:p>
    <w:p w:rsidR="00500724" w:rsidRDefault="00F30FB8">
      <w:pPr>
        <w:pStyle w:val="Zkladntext100"/>
        <w:shd w:val="clear" w:color="auto" w:fill="auto"/>
        <w:spacing w:line="262" w:lineRule="auto"/>
        <w:ind w:left="260" w:firstLine="580"/>
        <w:jc w:val="left"/>
      </w:pPr>
      <w:r>
        <w:t>Úroveň naší dětské literatury Říkávají lidé: úroveň dětské knihy odpovídá asi úrovni</w:t>
      </w:r>
    </w:p>
    <w:p w:rsidR="00500724" w:rsidRDefault="00F30FB8">
      <w:pPr>
        <w:pStyle w:val="Zkladntext100"/>
        <w:shd w:val="clear" w:color="auto" w:fill="auto"/>
        <w:spacing w:after="100" w:line="221" w:lineRule="auto"/>
        <w:ind w:firstLine="0"/>
      </w:pPr>
      <w:r>
        <w:t>literatury vůbec. Ale u nás je tomu jinak. Naše dětská kniha je krásnější, dokonalejší a vyspělejší, než naše lite</w:t>
      </w:r>
      <w:r>
        <w:softHyphen/>
        <w:t>ratura vůbec. Ty knížky, které se dětem skutečně do ru</w:t>
      </w:r>
      <w:r>
        <w:t>ky dostanou, jsou překrásné. Většina jich vychovává tím, že baví a poutá. Většina jich je psána skutečně krásně česky. Většina jich je kouzelně vybavena. A mimo to se dětskou literaturou už dávno nemyslí pohádky: děti mohou číst zábavné i poučné knížky. Ty</w:t>
      </w:r>
      <w:r>
        <w:t xml:space="preserve"> poučné jsou tak poutavé a dokonale vybavené, že je čte dospělý právě tak dychtivě jako dítě. Najdete knihy o filmu, o automobilu, o páře, o elektřině a dovíte se z nich víc, než jste dosud věděli. Dětem nejsou vůbec těžké, protože děti mnohem víc, než my,</w:t>
      </w:r>
      <w:r>
        <w:t xml:space="preserve"> touží vniknout do zákulisí věcí. My jsme se, ku po</w:t>
      </w:r>
      <w:r>
        <w:softHyphen/>
        <w:t xml:space="preserve">divu, smířili na příklad s radiem, aniž bychom si lámali hlavu, proč to vlastně hraje a jak to, že to hraje. Koupili jsme si to, jako zázrak, naučili jsme se točit knoflíkem </w:t>
      </w:r>
      <w:r>
        <w:rPr>
          <w:b/>
          <w:bCs/>
          <w:sz w:val="19"/>
          <w:szCs w:val="19"/>
        </w:rPr>
        <w:t xml:space="preserve">a </w:t>
      </w:r>
      <w:r>
        <w:t>hledat stanice a to je všech</w:t>
      </w:r>
      <w:r>
        <w:t>no. V mé hlavě na příklad se vynořuje představa vysoké špice kostela, celé řady tako</w:t>
      </w:r>
      <w:r>
        <w:softHyphen/>
        <w:t>vých kostelních věží, a je mi docela záhadné, jak píseň, kterou hrají v Londýně, obejde všechny tyto věže, ne- roztříští se a doběhne ke mně do pokoje. Děti však ne</w:t>
      </w:r>
      <w:r>
        <w:softHyphen/>
        <w:t>spatřu</w:t>
      </w:r>
      <w:r>
        <w:t>jí nějaké zázraky v technických divech světa, cítí potřebu rozumět jim a chápou je poměrně velmi snadno. Bez tohoto chápání je technické dary neobšřastňují. Musí se jim dostat na kloub, jako jsme my rozparovali panenky, protože jsme chtěli vidět a vědět, c</w:t>
      </w:r>
      <w:r>
        <w:t>o je v nich. Rozpáraná panenka byla dokonce větší štěstí, než panenka, která musela zůstat celá. Trnu vždycky hrůzou, když vidím malá dítě přistupovat k radiu, gramofonu, autu nebo něčemu mechanickému: ale pak se ukáže, že mají chápavé mozky a chápavé ruce</w:t>
      </w:r>
      <w:r>
        <w:t>, rozumí a neublíží tomu. Ta vyspělá a kouzelná literatura, která jim při tom pomáhá, je pro ně jistě požehnání. Shledávají ji také velmi poutavou a do</w:t>
      </w:r>
      <w:r>
        <w:softHyphen/>
        <w:t>vedou se do věcné knihy o věcných věcech zabořit s dychtivostí, jako by to byla detektivka.</w:t>
      </w:r>
    </w:p>
    <w:p w:rsidR="00500724" w:rsidRDefault="00F30FB8">
      <w:pPr>
        <w:pStyle w:val="Zkladntext100"/>
        <w:shd w:val="clear" w:color="auto" w:fill="auto"/>
        <w:spacing w:after="40" w:line="221" w:lineRule="auto"/>
        <w:ind w:firstLine="0"/>
        <w:jc w:val="center"/>
      </w:pPr>
      <w:r>
        <w:t xml:space="preserve">Kouzelník </w:t>
      </w:r>
      <w:r>
        <w:t>Sekora</w:t>
      </w:r>
    </w:p>
    <w:p w:rsidR="00500724" w:rsidRDefault="00F30FB8">
      <w:pPr>
        <w:pStyle w:val="Zkladntext100"/>
        <w:shd w:val="clear" w:color="auto" w:fill="auto"/>
        <w:spacing w:line="218" w:lineRule="auto"/>
        <w:ind w:firstLine="200"/>
      </w:pPr>
      <w:r>
        <w:t>Nemohu prostě hovořit o knihách pro děti, aniž bych řekla, že mezi námi žije kouzelník, který by - kdyby byl v Americe - patřil stejně nám, protože pak už by asi patřil celému světu. Kreslit pro děti je totiž asi talent pro sebe, jako je Disney tale</w:t>
      </w:r>
      <w:r>
        <w:t>nt pro sebe. Děti nebaví nereali</w:t>
      </w:r>
      <w:r>
        <w:softHyphen/>
        <w:t>stická kresba. Děti musí snadno chápat a rozumět tomu, co vidí. Proto se asi dětem předkládá mnoho strašlivých kýčů k strávení. Jsou to sice kýče a každý nakladatel to ví, ale neví si dobře rady, protože dítě pochopí jediné</w:t>
      </w:r>
      <w:r>
        <w:t>, co je naprosto jasné. Sekora je dokonale jasný a vůbec není realistický. Není ani trochu kýčařský, je kouzelný, jako je na příklad Lada nebo Aleš, každá postavička, kte</w:t>
      </w:r>
      <w:r>
        <w:softHyphen/>
        <w:t>rou nakreslí, dýchá kouzlem opravdové poesie, humorem, uměním a dovedností. Kdyby Sek</w:t>
      </w:r>
      <w:r>
        <w:t xml:space="preserve">ora nebyl lak tichý </w:t>
      </w:r>
      <w:r>
        <w:rPr>
          <w:b/>
          <w:bCs/>
          <w:sz w:val="19"/>
          <w:szCs w:val="19"/>
        </w:rPr>
        <w:t xml:space="preserve">a </w:t>
      </w:r>
      <w:r>
        <w:t>plachý člověk, jako je, a kdyby nepatřil tak malému ná</w:t>
      </w:r>
      <w:r>
        <w:softHyphen/>
        <w:t>rodu, jako patří, kreslil by už asi barevné grotesky pro potěšení dětem nebo by rozhodoval o volbě knih do dět</w:t>
      </w:r>
      <w:r>
        <w:softHyphen/>
        <w:t>ských knihoven nebo by řídil nějaké obrovské dětské noviny, které by</w:t>
      </w:r>
      <w:r>
        <w:t xml:space="preserve"> byly docela kouzelné nebo by se o něho každý dral, aby se věnoval našim dětem, když to tak vý</w:t>
      </w:r>
      <w:r>
        <w:softHyphen/>
        <w:t xml:space="preserve">tečně - i slovem — dovede. Protože máme však nějakou podivnou vlastnost, která nám brání vyzdvihnout hrstku těch opravdových talentů, které máme, opřít se o ně </w:t>
      </w:r>
      <w:r>
        <w:rPr>
          <w:b/>
          <w:bCs/>
          <w:sz w:val="19"/>
          <w:szCs w:val="19"/>
        </w:rPr>
        <w:t>a</w:t>
      </w:r>
      <w:r>
        <w:rPr>
          <w:b/>
          <w:bCs/>
          <w:sz w:val="19"/>
          <w:szCs w:val="19"/>
        </w:rPr>
        <w:t xml:space="preserve"> </w:t>
      </w:r>
      <w:r>
        <w:t>svěřit se jim, naopak se chováme velmi nevděčně ke každému, kdo něco dovede a chybí mu schopnost bruta</w:t>
      </w:r>
      <w:r>
        <w:softHyphen/>
        <w:t>lity prosadit se - a opravdovému umělci věru chybí —&gt; píše a ilustruje Sekora jenom pár dětských knížek do roka. ŠkodaI</w:t>
      </w:r>
    </w:p>
    <w:p w:rsidR="00500724" w:rsidRDefault="00F30FB8">
      <w:pPr>
        <w:pStyle w:val="Zkladntext100"/>
        <w:shd w:val="clear" w:color="auto" w:fill="auto"/>
        <w:spacing w:after="40" w:line="218" w:lineRule="auto"/>
        <w:ind w:firstLine="0"/>
        <w:jc w:val="center"/>
      </w:pPr>
      <w:r>
        <w:t>A závěr?</w:t>
      </w:r>
    </w:p>
    <w:p w:rsidR="00500724" w:rsidRDefault="00F30FB8">
      <w:pPr>
        <w:pStyle w:val="Zkladntext100"/>
        <w:shd w:val="clear" w:color="auto" w:fill="auto"/>
        <w:spacing w:line="221" w:lineRule="auto"/>
        <w:ind w:firstLine="200"/>
        <w:sectPr w:rsidR="00500724">
          <w:footnotePr>
            <w:numFmt w:val="chicago"/>
            <w:numRestart w:val="eachPage"/>
          </w:footnotePr>
          <w:pgSz w:w="11909" w:h="16834"/>
          <w:pgMar w:top="1523" w:right="815" w:bottom="653" w:left="698" w:header="0" w:footer="3" w:gutter="0"/>
          <w:cols w:num="2" w:space="100"/>
          <w:noEndnote/>
          <w:docGrid w:linePitch="360"/>
        </w:sectPr>
      </w:pPr>
      <w:r>
        <w:t>Díky všem lidem, kteří se o děti starají. Je tu snah mnoho a snah velmi kladných. Ale to všechno nestačí. Nestačí, že máme krásné věci, když si dvě třetiny českých dětí nemohou dopřát, koupit si je a dvě třetiny českých maminek</w:t>
      </w:r>
      <w:r>
        <w:t xml:space="preserve"> je darovat. Nestačí, že máme jednu vzornou čítárnu, když se do ní vejde několik desítek dětí, když statisíce knihu nikdy nespatří. Je toho všeho málo, stůně to na nedostatek organisace, na protichůdné zájmy ob</w:t>
      </w:r>
      <w:r>
        <w:softHyphen/>
        <w:t>chodní, na nedostatek soukromé iniciativy a v</w:t>
      </w:r>
      <w:r>
        <w:t>zdělání ven</w:t>
      </w:r>
      <w:r>
        <w:softHyphen/>
        <w:t>kovských a maloměstských knihkupců, na skutečnost, že na vsi je koruna vzácná věc a dát dvacet korun za knížku, pane bože, jak by to bylo možné? Ale dětská knížka nemá být obchodní artikl, ani předmět obchodního uvažování. Dětská kniha totiž ne</w:t>
      </w:r>
      <w:r>
        <w:t>ní dárek, hračka, zábava, poučení. Dětské knihy je dítěti třeba jako žitného chleba a mléka. A chceme-li docílit, aby naše děti dostaly žitný chléb, mléko i knihu, musíme se o to starat docela jinak. Jako první krok podstatné nápravy bylo by zřízení dětský</w:t>
      </w:r>
      <w:r>
        <w:t>ch čítáren po malých městech a po venkově. Nejen chlebem živ jest člověk.</w:t>
      </w:r>
    </w:p>
    <w:p w:rsidR="00500724" w:rsidRDefault="00F30FB8">
      <w:pPr>
        <w:pStyle w:val="Jin0"/>
        <w:framePr w:w="331" w:h="336" w:wrap="none" w:vAnchor="text" w:hAnchor="page" w:x="824" w:y="21"/>
        <w:shd w:val="clear" w:color="auto" w:fill="auto"/>
        <w:ind w:firstLine="0"/>
        <w:jc w:val="left"/>
        <w:rPr>
          <w:sz w:val="26"/>
          <w:szCs w:val="26"/>
        </w:rPr>
      </w:pPr>
      <w:r>
        <w:rPr>
          <w:rFonts w:ascii="Arial" w:eastAsia="Arial" w:hAnsi="Arial" w:cs="Arial"/>
          <w:b/>
          <w:bCs/>
          <w:i/>
          <w:iCs/>
          <w:sz w:val="26"/>
          <w:szCs w:val="26"/>
        </w:rPr>
        <w:t>i88</w:t>
      </w:r>
    </w:p>
    <w:p w:rsidR="00500724" w:rsidRDefault="00500724">
      <w:pPr>
        <w:spacing w:after="322" w:line="14" w:lineRule="exact"/>
      </w:pPr>
    </w:p>
    <w:p w:rsidR="00500724" w:rsidRDefault="00500724">
      <w:pPr>
        <w:spacing w:line="14" w:lineRule="exact"/>
        <w:sectPr w:rsidR="00500724">
          <w:footnotePr>
            <w:numFmt w:val="chicago"/>
            <w:numRestart w:val="eachPage"/>
          </w:footnotePr>
          <w:type w:val="continuous"/>
          <w:pgSz w:w="11909" w:h="16834"/>
          <w:pgMar w:top="1558" w:right="814" w:bottom="614" w:left="785" w:header="0" w:footer="3" w:gutter="0"/>
          <w:cols w:space="720"/>
          <w:noEndnote/>
          <w:docGrid w:linePitch="360"/>
        </w:sectPr>
      </w:pPr>
    </w:p>
    <w:p w:rsidR="00500724" w:rsidRDefault="00F30FB8">
      <w:pPr>
        <w:pStyle w:val="Nadpis50"/>
        <w:keepNext/>
        <w:keepLines/>
        <w:framePr w:w="7051" w:h="1704" w:wrap="none" w:vAnchor="text" w:hAnchor="page" w:x="3858" w:y="159"/>
        <w:shd w:val="clear" w:color="auto" w:fill="auto"/>
      </w:pPr>
      <w:bookmarkStart w:id="287" w:name="bookmark286"/>
      <w:r>
        <w:t>vět knih</w:t>
      </w:r>
      <w:bookmarkEnd w:id="287"/>
    </w:p>
    <w:p w:rsidR="00500724" w:rsidRDefault="00F30FB8">
      <w:pPr>
        <w:pStyle w:val="Nadpis90"/>
        <w:keepNext/>
        <w:keepLines/>
        <w:framePr w:w="7296" w:h="523" w:wrap="none" w:vAnchor="text" w:hAnchor="page" w:x="3647" w:y="1863"/>
        <w:shd w:val="clear" w:color="auto" w:fill="auto"/>
        <w:spacing w:after="0"/>
        <w:rPr>
          <w:sz w:val="42"/>
          <w:szCs w:val="42"/>
        </w:rPr>
      </w:pPr>
      <w:bookmarkStart w:id="288" w:name="bookmark287"/>
      <w:r>
        <w:rPr>
          <w:b/>
          <w:bCs/>
          <w:sz w:val="34"/>
          <w:szCs w:val="34"/>
        </w:rPr>
        <w:t xml:space="preserve">KULTURNÍ </w:t>
      </w:r>
      <w:r>
        <w:rPr>
          <w:smallCaps/>
          <w:sz w:val="42"/>
          <w:szCs w:val="42"/>
        </w:rPr>
        <w:t>zpravodaj</w:t>
      </w:r>
      <w:bookmarkEnd w:id="288"/>
    </w:p>
    <w:p w:rsidR="00500724" w:rsidRDefault="00F30FB8">
      <w:pPr>
        <w:pStyle w:val="Nadpis110"/>
        <w:framePr w:w="413" w:h="1070" w:wrap="none" w:vAnchor="text" w:hAnchor="page" w:x="11211" w:y="68"/>
        <w:shd w:val="clear" w:color="auto" w:fill="auto"/>
      </w:pPr>
      <w:bookmarkStart w:id="289" w:name="bookmark288"/>
      <w:r>
        <w:t>o</w:t>
      </w:r>
      <w:bookmarkEnd w:id="289"/>
    </w:p>
    <w:p w:rsidR="00500724" w:rsidRDefault="00F30FB8">
      <w:pPr>
        <w:pStyle w:val="Zkladntext80"/>
        <w:framePr w:w="413" w:h="1070" w:wrap="none" w:vAnchor="text" w:hAnchor="page" w:x="11211" w:y="68"/>
        <w:shd w:val="clear" w:color="auto" w:fill="auto"/>
        <w:spacing w:line="180" w:lineRule="auto"/>
        <w:rPr>
          <w:sz w:val="20"/>
          <w:szCs w:val="20"/>
        </w:rPr>
      </w:pPr>
      <w:r>
        <w:rPr>
          <w:sz w:val="20"/>
          <w:szCs w:val="20"/>
        </w:rPr>
        <w:t>n&lt;</w:t>
      </w:r>
    </w:p>
    <w:p w:rsidR="00500724" w:rsidRDefault="00F30FB8">
      <w:pPr>
        <w:pStyle w:val="Nadpis110"/>
        <w:framePr w:w="413" w:h="1070" w:wrap="none" w:vAnchor="text" w:hAnchor="page" w:x="11211" w:y="68"/>
        <w:shd w:val="clear" w:color="auto" w:fill="auto"/>
        <w:spacing w:after="80"/>
      </w:pPr>
      <w:bookmarkStart w:id="290" w:name="bookmark289"/>
      <w:r>
        <w:t>&lt;e</w:t>
      </w:r>
      <w:bookmarkEnd w:id="290"/>
    </w:p>
    <w:p w:rsidR="00500724" w:rsidRDefault="00F30FB8">
      <w:pPr>
        <w:pStyle w:val="Nadpis110"/>
        <w:framePr w:w="413" w:h="1070" w:wrap="none" w:vAnchor="text" w:hAnchor="page" w:x="11211" w:y="68"/>
        <w:shd w:val="clear" w:color="auto" w:fill="auto"/>
        <w:spacing w:after="40"/>
      </w:pPr>
      <w:bookmarkStart w:id="291" w:name="bookmark290"/>
      <w:r>
        <w:t>o«</w:t>
      </w:r>
      <w:bookmarkEnd w:id="291"/>
    </w:p>
    <w:p w:rsidR="00500724" w:rsidRDefault="00F30FB8">
      <w:pPr>
        <w:pStyle w:val="Nadpis100"/>
        <w:framePr w:w="394" w:h="403" w:wrap="none" w:vAnchor="text" w:hAnchor="page" w:x="11192" w:y="1940"/>
        <w:shd w:val="clear" w:color="auto" w:fill="auto"/>
        <w:spacing w:after="0" w:line="240" w:lineRule="auto"/>
        <w:jc w:val="left"/>
      </w:pPr>
      <w:bookmarkStart w:id="292" w:name="bookmark291"/>
      <w:r>
        <w:t>12</w:t>
      </w:r>
      <w:bookmarkEnd w:id="292"/>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72" w:line="14" w:lineRule="exact"/>
      </w:pPr>
    </w:p>
    <w:p w:rsidR="00500724" w:rsidRDefault="00500724">
      <w:pPr>
        <w:spacing w:line="14" w:lineRule="exact"/>
        <w:sectPr w:rsidR="00500724">
          <w:footnotePr>
            <w:numFmt w:val="chicago"/>
            <w:numRestart w:val="eachPage"/>
          </w:footnotePr>
          <w:pgSz w:w="11909" w:h="16834"/>
          <w:pgMar w:top="1045" w:right="286" w:bottom="500" w:left="958" w:header="0" w:footer="3" w:gutter="0"/>
          <w:cols w:space="720"/>
          <w:noEndnote/>
          <w:docGrid w:linePitch="360"/>
        </w:sectPr>
      </w:pPr>
    </w:p>
    <w:p w:rsidR="00500724" w:rsidRDefault="00500724">
      <w:pPr>
        <w:spacing w:line="69" w:lineRule="exact"/>
        <w:rPr>
          <w:sz w:val="6"/>
          <w:szCs w:val="6"/>
        </w:rPr>
      </w:pPr>
    </w:p>
    <w:p w:rsidR="00500724" w:rsidRDefault="00500724">
      <w:pPr>
        <w:spacing w:line="14" w:lineRule="exact"/>
        <w:sectPr w:rsidR="00500724">
          <w:footnotePr>
            <w:numFmt w:val="chicago"/>
            <w:numRestart w:val="eachPage"/>
          </w:footnotePr>
          <w:type w:val="continuous"/>
          <w:pgSz w:w="11909" w:h="16834"/>
          <w:pgMar w:top="1045" w:right="0" w:bottom="500" w:left="0" w:header="0" w:footer="3" w:gutter="0"/>
          <w:cols w:space="720"/>
          <w:noEndnote/>
          <w:docGrid w:linePitch="360"/>
        </w:sectPr>
      </w:pPr>
    </w:p>
    <w:p w:rsidR="00500724" w:rsidRDefault="00F30FB8">
      <w:pPr>
        <w:spacing w:line="14" w:lineRule="exact"/>
      </w:pPr>
      <w:r>
        <w:rPr>
          <w:noProof/>
        </w:rPr>
        <mc:AlternateContent>
          <mc:Choice Requires="wps">
            <w:drawing>
              <wp:anchor distT="0" distB="63500" distL="12700" distR="12700" simplePos="0" relativeHeight="125829676" behindDoc="0" locked="0" layoutInCell="1" allowOverlap="1">
                <wp:simplePos x="0" y="0"/>
                <wp:positionH relativeFrom="page">
                  <wp:posOffset>2369820</wp:posOffset>
                </wp:positionH>
                <wp:positionV relativeFrom="paragraph">
                  <wp:posOffset>15240</wp:posOffset>
                </wp:positionV>
                <wp:extent cx="3227705" cy="1246505"/>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3227705" cy="1246505"/>
                        </a:xfrm>
                        <a:prstGeom prst="rect">
                          <a:avLst/>
                        </a:prstGeom>
                        <a:noFill/>
                      </wps:spPr>
                      <wps:txbx>
                        <w:txbxContent>
                          <w:p w:rsidR="00500724" w:rsidRDefault="00F30FB8">
                            <w:pPr>
                              <w:pStyle w:val="Zkladntext100"/>
                              <w:shd w:val="clear" w:color="auto" w:fill="auto"/>
                              <w:spacing w:line="259" w:lineRule="auto"/>
                              <w:ind w:left="220" w:firstLine="840"/>
                              <w:jc w:val="left"/>
                              <w:rPr>
                                <w:sz w:val="19"/>
                                <w:szCs w:val="19"/>
                              </w:rPr>
                            </w:pPr>
                            <w:r>
                              <w:rPr>
                                <w:b/>
                                <w:bCs/>
                                <w:sz w:val="26"/>
                                <w:szCs w:val="26"/>
                              </w:rPr>
                              <w:t xml:space="preserve">Umění a lidská obraznost </w:t>
                            </w:r>
                            <w:r>
                              <w:rPr>
                                <w:b/>
                                <w:bCs/>
                                <w:sz w:val="19"/>
                                <w:szCs w:val="19"/>
                              </w:rPr>
                              <w:t xml:space="preserve">Umělec je </w:t>
                            </w:r>
                            <w:r>
                              <w:rPr>
                                <w:b/>
                                <w:bCs/>
                                <w:sz w:val="19"/>
                                <w:szCs w:val="19"/>
                              </w:rPr>
                              <w:t>člověk, který v sobě neobyčejně vypěstil</w:t>
                            </w:r>
                          </w:p>
                          <w:p w:rsidR="00500724" w:rsidRDefault="00F30FB8">
                            <w:pPr>
                              <w:pStyle w:val="Zkladntext100"/>
                              <w:shd w:val="clear" w:color="auto" w:fill="auto"/>
                              <w:spacing w:line="240" w:lineRule="auto"/>
                              <w:ind w:firstLine="0"/>
                              <w:rPr>
                                <w:sz w:val="19"/>
                                <w:szCs w:val="19"/>
                              </w:rPr>
                            </w:pPr>
                            <w:r>
                              <w:rPr>
                                <w:b/>
                                <w:bCs/>
                                <w:sz w:val="19"/>
                                <w:szCs w:val="19"/>
                              </w:rPr>
                              <w:t>obraznost, to jest schopnost, pronikat pod povrch věci a odhalovat jejich vitální jádro. Jednim z úkolů románu je, rozproudit v lidech obraznost. Toho dosahuje dobrý román a každé jiné dobré umělecké dílo tím, že pr</w:t>
                            </w:r>
                            <w:r>
                              <w:rPr>
                                <w:b/>
                                <w:bCs/>
                                <w:sz w:val="19"/>
                                <w:szCs w:val="19"/>
                              </w:rPr>
                              <w:t>obouzí esthetický zájem. Dobrý román je proud obraznosti — nic víc.</w:t>
                            </w:r>
                          </w:p>
                          <w:p w:rsidR="00500724" w:rsidRDefault="00F30FB8">
                            <w:pPr>
                              <w:pStyle w:val="Zkladntext20"/>
                              <w:shd w:val="clear" w:color="auto" w:fill="auto"/>
                              <w:spacing w:line="230" w:lineRule="auto"/>
                              <w:ind w:firstLine="0"/>
                              <w:jc w:val="right"/>
                              <w:rPr>
                                <w:sz w:val="20"/>
                                <w:szCs w:val="20"/>
                              </w:rPr>
                            </w:pPr>
                            <w:r>
                              <w:rPr>
                                <w:i/>
                                <w:iCs/>
                                <w:sz w:val="20"/>
                                <w:szCs w:val="20"/>
                              </w:rPr>
                              <w:t>Charles Morgan</w:t>
                            </w:r>
                          </w:p>
                        </w:txbxContent>
                      </wps:txbx>
                      <wps:bodyPr lIns="0" tIns="0" rIns="0" bIns="0">
                        <a:spAutoFit/>
                      </wps:bodyPr>
                    </wps:wsp>
                  </a:graphicData>
                </a:graphic>
              </wp:anchor>
            </w:drawing>
          </mc:Choice>
          <mc:Fallback>
            <w:pict>
              <v:shape id="_x0000_s1325" type="#_x0000_t202" style="position:absolute;margin-left:186.59999999999999pt;margin-top:1.2pt;width:254.15000000000001pt;height:98.150000000000006pt;z-index:-125829077;mso-wrap-distance-left:1.pt;mso-wrap-distance-right:1.pt;mso-wrap-distance-bottom:5.pt;mso-position-horizontal-relative:page" filled="f" stroked="f">
                <v:textbox style="mso-fit-shape-to-text:t" inset="0,0,0,0">
                  <w:txbxContent>
                    <w:p>
                      <w:pPr>
                        <w:pStyle w:val="Style344"/>
                        <w:keepNext w:val="0"/>
                        <w:keepLines w:val="0"/>
                        <w:widowControl w:val="0"/>
                        <w:shd w:val="clear" w:color="auto" w:fill="auto"/>
                        <w:bidi w:val="0"/>
                        <w:spacing w:before="0" w:after="0" w:line="259" w:lineRule="auto"/>
                        <w:ind w:left="220" w:right="0" w:firstLine="840"/>
                        <w:jc w:val="left"/>
                        <w:rPr>
                          <w:sz w:val="19"/>
                          <w:szCs w:val="19"/>
                        </w:rPr>
                      </w:pPr>
                      <w:r>
                        <w:rPr>
                          <w:b/>
                          <w:bCs/>
                          <w:color w:val="000000"/>
                          <w:spacing w:val="0"/>
                          <w:w w:val="100"/>
                          <w:position w:val="0"/>
                          <w:sz w:val="26"/>
                          <w:szCs w:val="26"/>
                          <w:shd w:val="clear" w:color="auto" w:fill="auto"/>
                          <w:lang w:val="cs-CZ" w:eastAsia="cs-CZ" w:bidi="cs-CZ"/>
                        </w:rPr>
                        <w:t xml:space="preserve">Umění a lidská obraznost </w:t>
                      </w:r>
                      <w:r>
                        <w:rPr>
                          <w:b/>
                          <w:bCs/>
                          <w:color w:val="000000"/>
                          <w:spacing w:val="0"/>
                          <w:w w:val="100"/>
                          <w:position w:val="0"/>
                          <w:sz w:val="19"/>
                          <w:szCs w:val="19"/>
                          <w:shd w:val="clear" w:color="auto" w:fill="auto"/>
                          <w:lang w:val="cs-CZ" w:eastAsia="cs-CZ" w:bidi="cs-CZ"/>
                        </w:rPr>
                        <w:t>Umělec je člověk, který v sobě neobyčejně vypěstil</w:t>
                      </w:r>
                    </w:p>
                    <w:p>
                      <w:pPr>
                        <w:pStyle w:val="Style344"/>
                        <w:keepNext w:val="0"/>
                        <w:keepLines w:val="0"/>
                        <w:widowControl w:val="0"/>
                        <w:shd w:val="clear" w:color="auto" w:fill="auto"/>
                        <w:bidi w:val="0"/>
                        <w:spacing w:before="0" w:after="0" w:line="240" w:lineRule="auto"/>
                        <w:ind w:left="0" w:right="0" w:firstLine="0"/>
                        <w:rPr>
                          <w:sz w:val="19"/>
                          <w:szCs w:val="19"/>
                        </w:rPr>
                      </w:pPr>
                      <w:r>
                        <w:rPr>
                          <w:b/>
                          <w:bCs/>
                          <w:color w:val="000000"/>
                          <w:spacing w:val="0"/>
                          <w:w w:val="100"/>
                          <w:position w:val="0"/>
                          <w:sz w:val="19"/>
                          <w:szCs w:val="19"/>
                          <w:shd w:val="clear" w:color="auto" w:fill="auto"/>
                          <w:lang w:val="cs-CZ" w:eastAsia="cs-CZ" w:bidi="cs-CZ"/>
                        </w:rPr>
                        <w:t>obraznost, to jest schopnost, pronikat pod povrch věci a odhalovat jejich vitální jádro. Jednim z úkolů románu je, rozproudit v lidech obraznost. Toho dosahuje dobrý román a každé jiné dobré umělecké dílo tím, že probouzí esthetický zájem. Dobrý román je proud obraznosti — nic víc.</w:t>
                      </w:r>
                    </w:p>
                    <w:p>
                      <w:pPr>
                        <w:pStyle w:val="Style67"/>
                        <w:keepNext w:val="0"/>
                        <w:keepLines w:val="0"/>
                        <w:widowControl w:val="0"/>
                        <w:shd w:val="clear" w:color="auto" w:fill="auto"/>
                        <w:bidi w:val="0"/>
                        <w:spacing w:before="0" w:after="0" w:line="23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Charles Morgan</w:t>
                      </w:r>
                    </w:p>
                  </w:txbxContent>
                </v:textbox>
                <w10:wrap type="topAndBottom" anchorx="page"/>
              </v:shape>
            </w:pict>
          </mc:Fallback>
        </mc:AlternateContent>
      </w:r>
    </w:p>
    <w:p w:rsidR="00500724" w:rsidRDefault="00F30FB8">
      <w:pPr>
        <w:pStyle w:val="Zkladntext20"/>
        <w:shd w:val="clear" w:color="auto" w:fill="auto"/>
        <w:spacing w:after="40" w:line="223" w:lineRule="auto"/>
        <w:ind w:firstLine="0"/>
        <w:jc w:val="left"/>
        <w:rPr>
          <w:sz w:val="20"/>
          <w:szCs w:val="20"/>
        </w:rPr>
      </w:pPr>
      <w:r>
        <w:rPr>
          <w:i/>
          <w:iCs/>
          <w:sz w:val="20"/>
          <w:szCs w:val="20"/>
        </w:rPr>
        <w:t>Zd. šeřík:</w:t>
      </w:r>
    </w:p>
    <w:p w:rsidR="00500724" w:rsidRDefault="00F30FB8">
      <w:pPr>
        <w:pStyle w:val="Jin0"/>
        <w:shd w:val="clear" w:color="auto" w:fill="auto"/>
        <w:spacing w:after="40" w:line="230" w:lineRule="auto"/>
        <w:ind w:firstLine="0"/>
        <w:jc w:val="left"/>
        <w:rPr>
          <w:sz w:val="26"/>
          <w:szCs w:val="26"/>
        </w:rPr>
      </w:pPr>
      <w:r>
        <w:rPr>
          <w:b/>
          <w:bCs/>
          <w:sz w:val="26"/>
          <w:szCs w:val="26"/>
        </w:rPr>
        <w:t>DÉŠŤ</w:t>
      </w:r>
    </w:p>
    <w:p w:rsidR="00500724" w:rsidRDefault="00F30FB8">
      <w:pPr>
        <w:pStyle w:val="Zkladntext20"/>
        <w:shd w:val="clear" w:color="auto" w:fill="auto"/>
        <w:spacing w:line="221" w:lineRule="auto"/>
        <w:ind w:firstLine="0"/>
        <w:jc w:val="left"/>
        <w:rPr>
          <w:sz w:val="20"/>
          <w:szCs w:val="20"/>
        </w:rPr>
      </w:pPr>
      <w:r>
        <w:rPr>
          <w:rFonts w:ascii="Arial" w:eastAsia="Arial" w:hAnsi="Arial" w:cs="Arial"/>
          <w:b/>
          <w:bCs/>
          <w:sz w:val="18"/>
          <w:szCs w:val="18"/>
        </w:rPr>
        <w:t xml:space="preserve">SZj/Síe </w:t>
      </w:r>
      <w:r>
        <w:rPr>
          <w:b/>
          <w:bCs/>
          <w:i/>
          <w:iCs/>
          <w:sz w:val="20"/>
          <w:szCs w:val="20"/>
        </w:rPr>
        <w:t>jak vítr v zlatém dešti Šelestí v rybízových křích a ohnivé krůpěje leští se sluncem v sladkých</w:t>
      </w:r>
    </w:p>
    <w:p w:rsidR="00500724" w:rsidRDefault="00F30FB8">
      <w:pPr>
        <w:pStyle w:val="Zkladntext20"/>
        <w:shd w:val="clear" w:color="auto" w:fill="auto"/>
        <w:spacing w:after="140" w:line="185" w:lineRule="auto"/>
        <w:ind w:firstLine="0"/>
        <w:jc w:val="right"/>
        <w:rPr>
          <w:sz w:val="20"/>
          <w:szCs w:val="20"/>
        </w:rPr>
      </w:pPr>
      <w:r>
        <w:rPr>
          <w:i/>
          <w:iCs/>
          <w:sz w:val="20"/>
          <w:szCs w:val="20"/>
        </w:rPr>
        <w:t>dostizích</w:t>
      </w:r>
    </w:p>
    <w:p w:rsidR="00500724" w:rsidRDefault="00F30FB8">
      <w:pPr>
        <w:pStyle w:val="Zkladntext20"/>
        <w:shd w:val="clear" w:color="auto" w:fill="auto"/>
        <w:spacing w:after="40" w:line="185" w:lineRule="auto"/>
        <w:ind w:left="2040" w:hanging="2040"/>
        <w:jc w:val="left"/>
        <w:rPr>
          <w:sz w:val="20"/>
          <w:szCs w:val="20"/>
        </w:rPr>
      </w:pPr>
      <w:r>
        <w:rPr>
          <w:i/>
          <w:iCs/>
          <w:sz w:val="20"/>
          <w:szCs w:val="20"/>
        </w:rPr>
        <w:t>PtáJc který v hloubi slastně hvízdá</w:t>
      </w:r>
    </w:p>
    <w:p w:rsidR="00500724" w:rsidRDefault="00F30FB8">
      <w:pPr>
        <w:pStyle w:val="Zkladntext20"/>
        <w:shd w:val="clear" w:color="auto" w:fill="auto"/>
        <w:spacing w:after="120" w:line="223" w:lineRule="auto"/>
        <w:ind w:firstLine="0"/>
        <w:jc w:val="left"/>
        <w:rPr>
          <w:sz w:val="20"/>
          <w:szCs w:val="20"/>
        </w:rPr>
      </w:pPr>
      <w:r>
        <w:rPr>
          <w:b/>
          <w:bCs/>
          <w:i/>
          <w:iCs/>
          <w:sz w:val="20"/>
          <w:szCs w:val="20"/>
        </w:rPr>
        <w:t xml:space="preserve">zatím </w:t>
      </w:r>
      <w:r>
        <w:rPr>
          <w:b/>
          <w:bCs/>
          <w:i/>
          <w:iCs/>
          <w:sz w:val="20"/>
          <w:szCs w:val="20"/>
        </w:rPr>
        <w:t>co ztichly žalmy včel lapá ty kapky z loďky hnízda jak by je zemi záviděl</w:t>
      </w:r>
    </w:p>
    <w:p w:rsidR="00500724" w:rsidRDefault="00F30FB8">
      <w:pPr>
        <w:pStyle w:val="Zkladntext20"/>
        <w:shd w:val="clear" w:color="auto" w:fill="auto"/>
        <w:spacing w:after="40" w:line="230" w:lineRule="auto"/>
        <w:ind w:firstLine="0"/>
        <w:jc w:val="left"/>
        <w:rPr>
          <w:sz w:val="20"/>
          <w:szCs w:val="20"/>
        </w:rPr>
      </w:pPr>
      <w:r>
        <w:rPr>
          <w:b/>
          <w:bCs/>
          <w:i/>
          <w:iCs/>
          <w:sz w:val="20"/>
          <w:szCs w:val="20"/>
        </w:rPr>
        <w:t xml:space="preserve">Domluvte vroucně malé sestře </w:t>
      </w:r>
      <w:r>
        <w:rPr>
          <w:i/>
          <w:iCs/>
          <w:sz w:val="20"/>
          <w:szCs w:val="20"/>
          <w:lang w:val="en-US" w:eastAsia="en-US" w:bidi="en-US"/>
        </w:rPr>
        <w:t xml:space="preserve">at </w:t>
      </w:r>
      <w:r>
        <w:rPr>
          <w:b/>
          <w:bCs/>
          <w:i/>
          <w:iCs/>
          <w:sz w:val="20"/>
          <w:szCs w:val="20"/>
        </w:rPr>
        <w:t>nevyplaší hudbu z křů Jak krásnou dlaní světlo setře ztratíte oslnivou hru</w:t>
      </w:r>
    </w:p>
    <w:p w:rsidR="00500724" w:rsidRDefault="00F30FB8">
      <w:pPr>
        <w:pStyle w:val="Zkladntext40"/>
        <w:shd w:val="clear" w:color="auto" w:fill="auto"/>
        <w:spacing w:after="140" w:line="206" w:lineRule="auto"/>
        <w:jc w:val="right"/>
      </w:pPr>
      <w:r>
        <w:t>Ze Studentského časopisu č. 7.</w:t>
      </w:r>
    </w:p>
    <w:p w:rsidR="00500724" w:rsidRDefault="00F30FB8">
      <w:pPr>
        <w:pStyle w:val="Nadpis120"/>
        <w:shd w:val="clear" w:color="auto" w:fill="auto"/>
        <w:spacing w:after="40" w:line="202" w:lineRule="auto"/>
        <w:ind w:left="0"/>
      </w:pPr>
      <w:bookmarkStart w:id="293" w:name="bookmark292"/>
      <w:r>
        <w:rPr>
          <w:rFonts w:ascii="Arial" w:eastAsia="Arial" w:hAnsi="Arial" w:cs="Arial"/>
        </w:rPr>
        <w:t>POZNÁMKY</w:t>
      </w:r>
      <w:bookmarkEnd w:id="293"/>
    </w:p>
    <w:p w:rsidR="00500724" w:rsidRDefault="00F30FB8">
      <w:pPr>
        <w:pStyle w:val="Zkladntext40"/>
        <w:shd w:val="clear" w:color="auto" w:fill="auto"/>
        <w:spacing w:after="40" w:line="221" w:lineRule="auto"/>
        <w:jc w:val="left"/>
        <w:rPr>
          <w:sz w:val="14"/>
          <w:szCs w:val="14"/>
        </w:rPr>
      </w:pPr>
      <w:r>
        <w:rPr>
          <w:b/>
          <w:bCs/>
          <w:sz w:val="14"/>
          <w:szCs w:val="14"/>
        </w:rPr>
        <w:t>STUDENTSKÝ ČASOPIS</w:t>
      </w:r>
    </w:p>
    <w:p w:rsidR="00500724" w:rsidRDefault="00F30FB8">
      <w:pPr>
        <w:pStyle w:val="Zkladntext40"/>
        <w:shd w:val="clear" w:color="auto" w:fill="auto"/>
        <w:spacing w:after="0" w:line="204" w:lineRule="auto"/>
      </w:pPr>
      <w:r>
        <w:t>Nové, sedmé čísl</w:t>
      </w:r>
      <w:r>
        <w:t>o Studentského časopisu přináší vedle pozoruhod</w:t>
      </w:r>
      <w:r>
        <w:softHyphen/>
        <w:t>ných a při nejmenším zajímavých příspěvků lyrických a prozaic</w:t>
      </w:r>
      <w:r>
        <w:softHyphen/>
        <w:t>kých, jež se vyznačují sympatic</w:t>
      </w:r>
      <w:r>
        <w:softHyphen/>
        <w:t>kým úsilím a hledáním umělecko tvárným řadu statí a článků, svědčících o všestrannosti kultur</w:t>
      </w:r>
      <w:r>
        <w:softHyphen/>
        <w:t>ních zájmů naších st</w:t>
      </w:r>
      <w:r>
        <w:t xml:space="preserve">ředoškoláků. </w:t>
      </w:r>
      <w:r>
        <w:rPr>
          <w:sz w:val="18"/>
          <w:szCs w:val="18"/>
        </w:rPr>
        <w:t xml:space="preserve">Tak </w:t>
      </w:r>
      <w:r>
        <w:t>je tu především článek Artu</w:t>
      </w:r>
      <w:r>
        <w:softHyphen/>
        <w:t>še Černíka Naším zvukovým fil</w:t>
      </w:r>
      <w:r>
        <w:softHyphen/>
        <w:t>mem, kritický přehled divadel</w:t>
      </w:r>
      <w:r>
        <w:softHyphen/>
        <w:t xml:space="preserve">ních premiér, výstav a knižních novinek, Kotalíkovo pojednání o tradici živé i mrtvé </w:t>
      </w:r>
      <w:r>
        <w:rPr>
          <w:lang w:val="en-US" w:eastAsia="en-US" w:bidi="en-US"/>
        </w:rPr>
        <w:t xml:space="preserve">a essay </w:t>
      </w:r>
      <w:r>
        <w:t xml:space="preserve">Věci a atmosféra od Fr. Vrby. K tomu všemu jako </w:t>
      </w:r>
      <w:r>
        <w:t>nejpestřejší a nejza</w:t>
      </w:r>
      <w:r>
        <w:softHyphen/>
        <w:t>jímavější doplněk se připíná ka</w:t>
      </w:r>
      <w:r>
        <w:softHyphen/>
        <w:t>leidoskop Z došlých dopisů a pře</w:t>
      </w:r>
      <w:r>
        <w:softHyphen/>
        <w:t>hledná stát Co nového ve světě. Cena čísla je 2 K.</w:t>
      </w:r>
    </w:p>
    <w:p w:rsidR="00500724" w:rsidRDefault="00F30FB8">
      <w:pPr>
        <w:pStyle w:val="Zkladntext40"/>
        <w:shd w:val="clear" w:color="auto" w:fill="auto"/>
        <w:spacing w:after="40" w:line="175" w:lineRule="auto"/>
        <w:ind w:firstLine="220"/>
      </w:pPr>
      <w:r>
        <w:rPr>
          <w:b/>
          <w:bCs/>
          <w:sz w:val="14"/>
          <w:szCs w:val="14"/>
        </w:rPr>
        <w:t xml:space="preserve">KNIHA, </w:t>
      </w:r>
      <w:r>
        <w:t xml:space="preserve">KTERÁ </w:t>
      </w:r>
      <w:r>
        <w:rPr>
          <w:b/>
          <w:bCs/>
          <w:sz w:val="14"/>
          <w:szCs w:val="14"/>
        </w:rPr>
        <w:t xml:space="preserve">I VONt </w:t>
      </w:r>
      <w:r>
        <w:t xml:space="preserve">Tato kniha vyšla v Česko-Slovensku. Je to detektivní román </w:t>
      </w:r>
      <w:r>
        <w:rPr>
          <w:lang w:val="en-US" w:eastAsia="en-US" w:bidi="en-US"/>
        </w:rPr>
        <w:t xml:space="preserve">J. </w:t>
      </w:r>
      <w:r>
        <w:rPr>
          <w:b/>
          <w:bCs/>
          <w:sz w:val="14"/>
          <w:szCs w:val="14"/>
        </w:rPr>
        <w:t xml:space="preserve">G. </w:t>
      </w:r>
      <w:r>
        <w:t>Llnk- se a D. Wheatleye, PŘÍPAD RO</w:t>
      </w:r>
      <w:r>
        <w:softHyphen/>
        <w:t xml:space="preserve">BERTA </w:t>
      </w:r>
      <w:r>
        <w:rPr>
          <w:lang w:val="en-US" w:eastAsia="en-US" w:bidi="en-US"/>
        </w:rPr>
        <w:t xml:space="preserve">PRENTICE, </w:t>
      </w:r>
      <w:r>
        <w:t>který mimo napínavý příběh obsahuje policej</w:t>
      </w:r>
      <w:r>
        <w:softHyphen/>
        <w:t>ní akta záhadného případu. V knize jsou fotografie, pořízené policií, pravé dopisy, jež jsou tak věrné, že jsou i napuštěny vůní, roztrhaná fotografie, jež byla na</w:t>
      </w:r>
      <w:r>
        <w:softHyphen/>
        <w:t>lezena v koši na papír a kterou</w:t>
      </w:r>
      <w:r>
        <w:t xml:space="preserve"> si může čtenář sám sestavit, pravá jízdenka anglických drah a mno</w:t>
      </w:r>
      <w:r>
        <w:softHyphen/>
        <w:t>ho jiných zajímavých příloh. Kni</w:t>
      </w:r>
      <w:r>
        <w:softHyphen/>
        <w:t xml:space="preserve">ha je třikrát zalepena a čtenář se ocitá před úkolem rozhodnout, koho by zatkl pro vraždu Roberta </w:t>
      </w:r>
      <w:r>
        <w:rPr>
          <w:lang w:val="en-US" w:eastAsia="en-US" w:bidi="en-US"/>
        </w:rPr>
        <w:t xml:space="preserve">Prentice. </w:t>
      </w:r>
      <w:r>
        <w:t>Je to kniha originální, jaká tu ještě nebyla a č</w:t>
      </w:r>
      <w:r>
        <w:t>tenáři je dána možnost změřit! svou byst</w:t>
      </w:r>
      <w:r>
        <w:softHyphen/>
        <w:t>rost a logický úsudek s detekti</w:t>
      </w:r>
      <w:r>
        <w:softHyphen/>
        <w:t>vem. Není to tedy jen detektivní román, nýbrž 1 skutečný příběh, který změní funkci čtenáře v de</w:t>
      </w:r>
      <w:r>
        <w:softHyphen/>
        <w:t>tektiva. Přeložila Helena Podhaj- ská. — Vydala literární skupina Přátelé Hodnotné det</w:t>
      </w:r>
      <w:r>
        <w:t>ektivky, Praha. Cena 26 K.</w:t>
      </w:r>
    </w:p>
    <w:p w:rsidR="00500724" w:rsidRDefault="00F30FB8">
      <w:pPr>
        <w:pStyle w:val="Zkladntext40"/>
        <w:shd w:val="clear" w:color="auto" w:fill="auto"/>
        <w:spacing w:after="0" w:line="182" w:lineRule="auto"/>
        <w:ind w:firstLine="180"/>
      </w:pPr>
      <w:r>
        <w:rPr>
          <w:b/>
          <w:bCs/>
          <w:sz w:val="14"/>
          <w:szCs w:val="14"/>
        </w:rPr>
        <w:t xml:space="preserve">JAK PO MNICHOVU, </w:t>
      </w:r>
      <w:r>
        <w:t>je název časově politické knihy Em. Vaj- tauera, která se zabývá rozborem politické situace, která vznikla po mnichovském rozhodnutí. Pod</w:t>
      </w:r>
      <w:r>
        <w:softHyphen/>
        <w:t>statné bylo, že jsme si uvědomili důsledky své polohy zeměpisné, totiž, že</w:t>
      </w:r>
      <w:r>
        <w:t xml:space="preserve"> se i politicky musíme včlenit do středoevropského pro</w:t>
      </w:r>
      <w:r>
        <w:softHyphen/>
        <w:t>storu. To však znamená přede</w:t>
      </w:r>
      <w:r>
        <w:softHyphen/>
        <w:t>vším nalézt správný vztah k na</w:t>
      </w:r>
      <w:r>
        <w:softHyphen/>
        <w:t>šemu největšímu sousedu. Mezi Čechy a Němci je možno .vytvořit podklad pro družnou spolupráci</w:t>
      </w:r>
    </w:p>
    <w:p w:rsidR="00500724" w:rsidRDefault="00F30FB8">
      <w:pPr>
        <w:spacing w:line="1" w:lineRule="exact"/>
        <w:rPr>
          <w:sz w:val="2"/>
          <w:szCs w:val="2"/>
        </w:rPr>
      </w:pPr>
      <w:r>
        <w:br w:type="column"/>
      </w:r>
    </w:p>
    <w:p w:rsidR="00500724" w:rsidRDefault="00F30FB8">
      <w:pPr>
        <w:pStyle w:val="Zkladntext100"/>
        <w:shd w:val="clear" w:color="auto" w:fill="auto"/>
        <w:spacing w:after="60" w:line="151" w:lineRule="auto"/>
        <w:ind w:firstLine="0"/>
      </w:pPr>
      <w:r>
        <w:t>a národní uvědomění české může působiti spolu</w:t>
      </w:r>
      <w:r>
        <w:t>tvořivě při vytváře</w:t>
      </w:r>
      <w:r>
        <w:softHyphen/>
        <w:t>ní nových podmínek životních ve střední Evropě. Vyšla nákladem Melantricha.</w:t>
      </w:r>
    </w:p>
    <w:p w:rsidR="00500724" w:rsidRDefault="00F30FB8">
      <w:pPr>
        <w:pStyle w:val="Zkladntext40"/>
        <w:shd w:val="clear" w:color="auto" w:fill="auto"/>
        <w:spacing w:after="0" w:line="175" w:lineRule="auto"/>
        <w:ind w:firstLine="200"/>
      </w:pPr>
      <w:r>
        <w:rPr>
          <w:b/>
          <w:bCs/>
          <w:sz w:val="14"/>
          <w:szCs w:val="14"/>
        </w:rPr>
        <w:t xml:space="preserve">Anatolij Kornclijevič </w:t>
      </w:r>
      <w:r>
        <w:rPr>
          <w:b/>
          <w:bCs/>
          <w:sz w:val="14"/>
          <w:szCs w:val="14"/>
          <w:lang w:val="en-US" w:eastAsia="en-US" w:bidi="en-US"/>
        </w:rPr>
        <w:t>Vinogra</w:t>
      </w:r>
      <w:r>
        <w:rPr>
          <w:b/>
          <w:bCs/>
          <w:sz w:val="14"/>
          <w:szCs w:val="14"/>
          <w:lang w:val="en-US" w:eastAsia="en-US" w:bidi="en-US"/>
        </w:rPr>
        <w:softHyphen/>
      </w:r>
      <w:r>
        <w:rPr>
          <w:lang w:val="en-US" w:eastAsia="en-US" w:bidi="en-US"/>
        </w:rPr>
        <w:t xml:space="preserve">dov: </w:t>
      </w:r>
      <w:r>
        <w:t>TRI BARVY DOBY. S po</w:t>
      </w:r>
      <w:r>
        <w:softHyphen/>
        <w:t>raženou Napoleonovou armádou prchá po zasněžených mrazivých ruských pláních vrchní ředitel je</w:t>
      </w:r>
      <w:r>
        <w:softHyphen/>
        <w:t>jího zásob</w:t>
      </w:r>
      <w:r>
        <w:t>ování, francouzský spi</w:t>
      </w:r>
      <w:r>
        <w:softHyphen/>
        <w:t xml:space="preserve">sovatel </w:t>
      </w:r>
      <w:r>
        <w:rPr>
          <w:lang w:val="en-US" w:eastAsia="en-US" w:bidi="en-US"/>
        </w:rPr>
        <w:t xml:space="preserve">Stendhal. </w:t>
      </w:r>
      <w:r>
        <w:t>Země. z níž uni</w:t>
      </w:r>
      <w:r>
        <w:softHyphen/>
        <w:t>ká, roste v jeho západnických představách jako přizrak: země neslýchané špíny, samozvanectvi, tupé pokornosti otroků, tupé zpup</w:t>
      </w:r>
      <w:r>
        <w:softHyphen/>
        <w:t>nosti pánů. Ale ani rodná Francie neuspokojí jeho neklidného du</w:t>
      </w:r>
      <w:r>
        <w:softHyphen/>
        <w:t>cha. Ep</w:t>
      </w:r>
      <w:r>
        <w:t xml:space="preserve">ocha, která zrodila plémě gigantů, minula. Francouzský měšťák, hokynář, rytíř zisku se objevili všude a postavili se na první místo. Zdá se mu, </w:t>
      </w:r>
      <w:r>
        <w:rPr>
          <w:b/>
          <w:bCs/>
          <w:sz w:val="14"/>
          <w:szCs w:val="14"/>
        </w:rPr>
        <w:t xml:space="preserve">že </w:t>
      </w:r>
      <w:r>
        <w:t>vy</w:t>
      </w:r>
      <w:r>
        <w:softHyphen/>
        <w:t>hasíná celá Evropa. Jen jediná země rozdmychuje oheň svátého ohniště svobody, a to je Itálie, druhá Stendh</w:t>
      </w:r>
      <w:r>
        <w:t>alova vlast. Tento neklidný, věčný cestovatel, v je</w:t>
      </w:r>
      <w:r>
        <w:softHyphen/>
        <w:t>hož záhadné povaze se slučuje drsná a cynická lehkomyslnost, studená a zvědavá kritičnost s žárem odvážného buřičství, po</w:t>
      </w:r>
      <w:r>
        <w:softHyphen/>
        <w:t>važuje za vlast každou zemi, kte</w:t>
      </w:r>
      <w:r>
        <w:softHyphen/>
        <w:t>rá žije s tak bouřli-ou energií, jako Itálie, kaž</w:t>
      </w:r>
      <w:r>
        <w:t xml:space="preserve">dou zemi, ve které kypí živé vášně a boj. Podobně jako v jiných svých biografických románech, učinil ruský autor A. K. </w:t>
      </w:r>
      <w:r>
        <w:rPr>
          <w:lang w:val="en-US" w:eastAsia="en-US" w:bidi="en-US"/>
        </w:rPr>
        <w:t xml:space="preserve">Vinogradov </w:t>
      </w:r>
      <w:r>
        <w:t xml:space="preserve">ve »Třech barvách doby« hlavní postavou svého díla postavu z rozhraní dějinných epoch. Vedle Stendhala ožívají tu ještě další </w:t>
      </w:r>
      <w:r>
        <w:t>profily velkých lidi z</w:t>
      </w:r>
    </w:p>
    <w:p w:rsidR="00500724" w:rsidRDefault="00F30FB8">
      <w:pPr>
        <w:spacing w:line="1" w:lineRule="exact"/>
        <w:rPr>
          <w:sz w:val="2"/>
          <w:szCs w:val="2"/>
        </w:rPr>
      </w:pPr>
      <w:r>
        <w:br w:type="column"/>
      </w:r>
    </w:p>
    <w:p w:rsidR="00500724" w:rsidRDefault="00F30FB8">
      <w:pPr>
        <w:pStyle w:val="Jin0"/>
        <w:shd w:val="clear" w:color="auto" w:fill="auto"/>
        <w:ind w:firstLine="0"/>
        <w:rPr>
          <w:sz w:val="26"/>
          <w:szCs w:val="26"/>
        </w:rPr>
      </w:pPr>
      <w:r>
        <w:rPr>
          <w:b/>
          <w:bCs/>
          <w:sz w:val="26"/>
          <w:szCs w:val="26"/>
        </w:rPr>
        <w:t>ÚDĚL BÁSNÍKŮ</w:t>
      </w:r>
    </w:p>
    <w:p w:rsidR="00500724" w:rsidRDefault="00F30FB8">
      <w:pPr>
        <w:pStyle w:val="Zkladntext20"/>
        <w:shd w:val="clear" w:color="auto" w:fill="auto"/>
        <w:spacing w:line="221" w:lineRule="auto"/>
        <w:ind w:firstLine="220"/>
        <w:rPr>
          <w:sz w:val="20"/>
          <w:szCs w:val="20"/>
        </w:rPr>
      </w:pPr>
      <w:r>
        <w:rPr>
          <w:i/>
          <w:iCs/>
          <w:sz w:val="20"/>
          <w:szCs w:val="20"/>
        </w:rPr>
        <w:t>Ve světě je dnes (a rozvíjí se s hrozivou rychlostí) na</w:t>
      </w:r>
      <w:r>
        <w:rPr>
          <w:i/>
          <w:iCs/>
          <w:sz w:val="20"/>
          <w:szCs w:val="20"/>
        </w:rPr>
        <w:softHyphen/>
        <w:t>prostá netečnost Širokých vrstev ke všemu, co se po</w:t>
      </w:r>
      <w:r>
        <w:rPr>
          <w:i/>
          <w:iCs/>
          <w:sz w:val="20"/>
          <w:szCs w:val="20"/>
        </w:rPr>
        <w:softHyphen/>
        <w:t xml:space="preserve">dobá činnosti neziStné, a k ušlechtilým lidem, kteři se takové činnosti věnují: k </w:t>
      </w:r>
      <w:r>
        <w:rPr>
          <w:b/>
          <w:bCs/>
          <w:i/>
          <w:iCs/>
          <w:sz w:val="20"/>
          <w:szCs w:val="20"/>
        </w:rPr>
        <w:t xml:space="preserve">u- </w:t>
      </w:r>
      <w:r>
        <w:rPr>
          <w:i/>
          <w:iCs/>
          <w:sz w:val="20"/>
          <w:szCs w:val="20"/>
        </w:rPr>
        <w:t>mělcůrn a k myslitelům, k</w:t>
      </w:r>
      <w:r>
        <w:rPr>
          <w:i/>
          <w:iCs/>
          <w:sz w:val="20"/>
          <w:szCs w:val="20"/>
        </w:rPr>
        <w:t xml:space="preserve"> učencům a k básníkům. A tato netečnost, přirozená v nejniž- ších vrstvách, zasahuje po</w:t>
      </w:r>
      <w:r>
        <w:rPr>
          <w:i/>
          <w:iCs/>
          <w:sz w:val="20"/>
          <w:szCs w:val="20"/>
        </w:rPr>
        <w:softHyphen/>
        <w:t>zvolna také vyšší vrstvy spo</w:t>
      </w:r>
      <w:r>
        <w:rPr>
          <w:i/>
          <w:iCs/>
          <w:sz w:val="20"/>
          <w:szCs w:val="20"/>
        </w:rPr>
        <w:softHyphen/>
        <w:t>lečenských tříd.</w:t>
      </w:r>
    </w:p>
    <w:p w:rsidR="00500724" w:rsidRDefault="00F30FB8">
      <w:pPr>
        <w:pStyle w:val="Zkladntext20"/>
        <w:shd w:val="clear" w:color="auto" w:fill="auto"/>
        <w:spacing w:line="221" w:lineRule="auto"/>
        <w:ind w:firstLine="160"/>
        <w:rPr>
          <w:sz w:val="20"/>
          <w:szCs w:val="20"/>
        </w:rPr>
      </w:pPr>
      <w:r>
        <w:rPr>
          <w:i/>
          <w:iCs/>
          <w:sz w:val="20"/>
          <w:szCs w:val="20"/>
        </w:rPr>
        <w:t>Dříve chránívál takové lidi, kteří byli ctí a slávou náro</w:t>
      </w:r>
      <w:r>
        <w:rPr>
          <w:i/>
          <w:iCs/>
          <w:sz w:val="20"/>
          <w:szCs w:val="20"/>
        </w:rPr>
        <w:softHyphen/>
        <w:t>da, více méně stát. Vyhledá</w:t>
      </w:r>
      <w:r>
        <w:rPr>
          <w:i/>
          <w:iCs/>
          <w:sz w:val="20"/>
          <w:szCs w:val="20"/>
        </w:rPr>
        <w:softHyphen/>
        <w:t>val pro ně drobné sinekury, které ji</w:t>
      </w:r>
      <w:r>
        <w:rPr>
          <w:i/>
          <w:iCs/>
          <w:sz w:val="20"/>
          <w:szCs w:val="20"/>
        </w:rPr>
        <w:t>m umožňovaly stár</w:t>
      </w:r>
      <w:r>
        <w:rPr>
          <w:i/>
          <w:iCs/>
          <w:sz w:val="20"/>
          <w:szCs w:val="20"/>
        </w:rPr>
        <w:softHyphen/>
        <w:t>nout důstojně. Dnes jsou pa</w:t>
      </w:r>
      <w:r>
        <w:rPr>
          <w:i/>
          <w:iCs/>
          <w:sz w:val="20"/>
          <w:szCs w:val="20"/>
        </w:rPr>
        <w:softHyphen/>
        <w:t>trně i taková místečka, i když sebe skrovnější, ještě velmi lákavá pro řemeslné kořist- níky. Fakt je, Se pro vynika</w:t>
      </w:r>
      <w:r>
        <w:rPr>
          <w:i/>
          <w:iCs/>
          <w:sz w:val="20"/>
          <w:szCs w:val="20"/>
        </w:rPr>
        <w:softHyphen/>
        <w:t>jící lidi takových míst již není. •»At si poradí, jak dovedou!'' zní dnešní heslo. Básník prý</w:t>
      </w:r>
      <w:r>
        <w:rPr>
          <w:i/>
          <w:iCs/>
          <w:sz w:val="20"/>
          <w:szCs w:val="20"/>
        </w:rPr>
        <w:t xml:space="preserve"> má prostě umřít hladem. Opravdu se obdivuji svědomi</w:t>
      </w:r>
      <w:r>
        <w:rPr>
          <w:i/>
          <w:iCs/>
          <w:sz w:val="20"/>
          <w:szCs w:val="20"/>
        </w:rPr>
        <w:softHyphen/>
        <w:t>tosti, s níž dnešní společenský řád plní tuto svou zásadu.</w:t>
      </w:r>
    </w:p>
    <w:p w:rsidR="00500724" w:rsidRDefault="00F30FB8">
      <w:pPr>
        <w:pStyle w:val="Zkladntext20"/>
        <w:pBdr>
          <w:bottom w:val="single" w:sz="4" w:space="0" w:color="auto"/>
        </w:pBdr>
        <w:shd w:val="clear" w:color="auto" w:fill="auto"/>
        <w:spacing w:after="100" w:line="221" w:lineRule="auto"/>
        <w:ind w:firstLine="0"/>
        <w:jc w:val="right"/>
        <w:rPr>
          <w:sz w:val="20"/>
          <w:szCs w:val="20"/>
        </w:rPr>
      </w:pPr>
      <w:r>
        <w:rPr>
          <w:i/>
          <w:iCs/>
          <w:sz w:val="20"/>
          <w:szCs w:val="20"/>
        </w:rPr>
        <w:t>Fr. de Miomandre</w:t>
      </w:r>
    </w:p>
    <w:p w:rsidR="00500724" w:rsidRDefault="00F30FB8">
      <w:pPr>
        <w:pStyle w:val="Zkladntext40"/>
        <w:shd w:val="clear" w:color="auto" w:fill="auto"/>
        <w:spacing w:after="0" w:line="175" w:lineRule="auto"/>
        <w:sectPr w:rsidR="00500724">
          <w:footnotePr>
            <w:numFmt w:val="chicago"/>
            <w:numRestart w:val="eachPage"/>
          </w:footnotePr>
          <w:type w:val="continuous"/>
          <w:pgSz w:w="11909" w:h="16834"/>
          <w:pgMar w:top="1045" w:right="411" w:bottom="500" w:left="986" w:header="0" w:footer="3" w:gutter="0"/>
          <w:cols w:num="4" w:sep="1" w:space="100"/>
          <w:noEndnote/>
          <w:docGrid w:linePitch="360"/>
        </w:sectPr>
      </w:pPr>
      <w:r>
        <w:t xml:space="preserve">duševního světa té doby, </w:t>
      </w:r>
      <w:r>
        <w:rPr>
          <w:lang w:val="en-US" w:eastAsia="en-US" w:bidi="en-US"/>
        </w:rPr>
        <w:t xml:space="preserve">Byron, Musset, </w:t>
      </w:r>
      <w:r>
        <w:t xml:space="preserve">Sandová, Merimée, Hugo </w:t>
      </w:r>
      <w:r>
        <w:rPr>
          <w:lang w:val="en-US" w:eastAsia="en-US" w:bidi="en-US"/>
        </w:rPr>
        <w:t xml:space="preserve">Balzac, Silvio </w:t>
      </w:r>
      <w:r>
        <w:t xml:space="preserve">Pellico. </w:t>
      </w:r>
      <w:r>
        <w:rPr>
          <w:lang w:val="en-US" w:eastAsia="en-US" w:bidi="en-US"/>
        </w:rPr>
        <w:t>Paganini,</w:t>
      </w:r>
      <w:r>
        <w:rPr>
          <w:lang w:val="en-US" w:eastAsia="en-US" w:bidi="en-US"/>
        </w:rPr>
        <w:t xml:space="preserve"> Berlioz a j. </w:t>
      </w:r>
      <w:r>
        <w:t xml:space="preserve">Stran </w:t>
      </w:r>
      <w:r>
        <w:rPr>
          <w:lang w:val="en-US" w:eastAsia="en-US" w:bidi="en-US"/>
        </w:rPr>
        <w:t xml:space="preserve">636, </w:t>
      </w:r>
      <w:r>
        <w:t xml:space="preserve">brož. </w:t>
      </w:r>
      <w:r>
        <w:rPr>
          <w:lang w:val="en-US" w:eastAsia="en-US" w:bidi="en-US"/>
        </w:rPr>
        <w:t xml:space="preserve">60 K. </w:t>
      </w:r>
      <w:r>
        <w:t>Vyšlo v Topičově edici, Praha.</w:t>
      </w:r>
    </w:p>
    <w:p w:rsidR="00500724" w:rsidRDefault="00500724">
      <w:pPr>
        <w:spacing w:line="37" w:lineRule="exact"/>
        <w:rPr>
          <w:sz w:val="3"/>
          <w:szCs w:val="3"/>
        </w:rPr>
      </w:pPr>
    </w:p>
    <w:p w:rsidR="00500724" w:rsidRDefault="00500724">
      <w:pPr>
        <w:spacing w:line="14" w:lineRule="exact"/>
        <w:sectPr w:rsidR="00500724">
          <w:footnotePr>
            <w:numFmt w:val="chicago"/>
            <w:numRestart w:val="eachPage"/>
          </w:footnotePr>
          <w:type w:val="continuous"/>
          <w:pgSz w:w="11909" w:h="16834"/>
          <w:pgMar w:top="871" w:right="0" w:bottom="674" w:left="0" w:header="0" w:footer="3" w:gutter="0"/>
          <w:cols w:space="720"/>
          <w:noEndnote/>
          <w:docGrid w:linePitch="360"/>
        </w:sectPr>
      </w:pPr>
    </w:p>
    <w:p w:rsidR="00500724" w:rsidRDefault="00F30FB8">
      <w:pPr>
        <w:pStyle w:val="Zkladntext100"/>
        <w:shd w:val="clear" w:color="auto" w:fill="auto"/>
        <w:spacing w:after="60" w:line="240" w:lineRule="auto"/>
        <w:ind w:right="220" w:firstLine="0"/>
        <w:rPr>
          <w:sz w:val="19"/>
          <w:szCs w:val="19"/>
        </w:rPr>
      </w:pPr>
      <w:r>
        <w:rPr>
          <w:b/>
          <w:bCs/>
          <w:sz w:val="19"/>
          <w:szCs w:val="19"/>
        </w:rPr>
        <w:t>NOVÁ ÍtADA KNIHOVNY NOVÝ SVĚT</w:t>
      </w:r>
    </w:p>
    <w:p w:rsidR="00500724" w:rsidRDefault="00F30FB8">
      <w:pPr>
        <w:pStyle w:val="Zkladntext40"/>
        <w:shd w:val="clear" w:color="auto" w:fill="auto"/>
        <w:spacing w:after="0" w:line="180" w:lineRule="auto"/>
        <w:ind w:firstLine="140"/>
      </w:pPr>
      <w:r>
        <w:t>Nová, připravovaná řada knihov</w:t>
      </w:r>
      <w:r>
        <w:softHyphen/>
      </w:r>
      <w:r>
        <w:rPr>
          <w:sz w:val="18"/>
          <w:szCs w:val="18"/>
        </w:rPr>
        <w:t xml:space="preserve">ny </w:t>
      </w:r>
      <w:r>
        <w:t>vynikajících románových děl světové literatury Nový Svět, bude po nejedné stránce radost</w:t>
      </w:r>
      <w:r>
        <w:softHyphen/>
      </w:r>
      <w:r>
        <w:t xml:space="preserve">ným a vítaným překvapením. </w:t>
      </w:r>
      <w:r>
        <w:rPr>
          <w:sz w:val="18"/>
          <w:szCs w:val="18"/>
        </w:rPr>
        <w:t xml:space="preserve">A </w:t>
      </w:r>
      <w:r>
        <w:t>to nejen pečlivým výběrem jed</w:t>
      </w:r>
      <w:r>
        <w:softHyphen/>
        <w:t>notlivých románů, udivujících ob</w:t>
      </w:r>
      <w:r>
        <w:softHyphen/>
        <w:t>sahovým bohatstvím a pouta</w:t>
      </w:r>
      <w:r>
        <w:softHyphen/>
        <w:t>vostí, dějovou zajímavostí a dob- rodružností, nýbrž i jejich, na dnešní poměry opravdu nebývalé nízkou cenou, která všem milov</w:t>
      </w:r>
      <w:r>
        <w:softHyphen/>
        <w:t>níkům pou</w:t>
      </w:r>
      <w:r>
        <w:t>tavé četby umožňuje, aby 1 v zhoršených poměrech, za nepatrných finančních oběti, zůstaly v trvalém styku se sou</w:t>
      </w:r>
      <w:r>
        <w:softHyphen/>
        <w:t>časným světovým písemnictvím.</w:t>
      </w:r>
    </w:p>
    <w:p w:rsidR="00500724" w:rsidRDefault="00F30FB8">
      <w:pPr>
        <w:pStyle w:val="Zkladntext40"/>
        <w:shd w:val="clear" w:color="auto" w:fill="auto"/>
        <w:spacing w:after="0" w:line="180" w:lineRule="auto"/>
        <w:ind w:firstLine="180"/>
      </w:pPr>
      <w:r>
        <w:t>Knihovna Nový Svět v sou</w:t>
      </w:r>
      <w:r>
        <w:softHyphen/>
        <w:t>hlase s četnými hlasy, jež nalé</w:t>
      </w:r>
      <w:r>
        <w:softHyphen/>
        <w:t>havě volají po levné knize přelo</w:t>
      </w:r>
      <w:r>
        <w:softHyphen/>
        <w:t>žené, chce svými románo</w:t>
      </w:r>
      <w:r>
        <w:t>vými svazky, z nichž každý sám o sobě bude událostí, přinésti čes</w:t>
      </w:r>
      <w:r>
        <w:softHyphen/>
        <w:t xml:space="preserve">kým čtenářům jedinečný a skvělý </w:t>
      </w:r>
      <w:r>
        <w:rPr>
          <w:sz w:val="18"/>
          <w:szCs w:val="18"/>
        </w:rPr>
        <w:t xml:space="preserve">doplněk </w:t>
      </w:r>
      <w:r>
        <w:t>jejich původní četby. Na</w:t>
      </w:r>
      <w:r>
        <w:softHyphen/>
        <w:t>vzdory době a poměrům, v kte</w:t>
      </w:r>
      <w:r>
        <w:softHyphen/>
        <w:t>rých žije ochuzený národ a zhor</w:t>
      </w:r>
      <w:r>
        <w:softHyphen/>
        <w:t>šeným životním podmínkám ná</w:t>
      </w:r>
      <w:r>
        <w:softHyphen/>
        <w:t>roda, chce knihovna Nový Svět</w:t>
      </w:r>
      <w:r>
        <w:br w:type="column"/>
        <w:t>seznam</w:t>
      </w:r>
      <w:r>
        <w:t>ovat! českého čtenáře za nepatrný peniz s tim nejlepším ve světové literatuře. Znamená proto za takových okolností vel</w:t>
      </w:r>
      <w:r>
        <w:softHyphen/>
        <w:t>ký zisk pro každého odběratele, tvořic svými svazky jedinečný a skvělý doplněk jejich původní románové četby. O vynikající umělecké úrovn</w:t>
      </w:r>
      <w:r>
        <w:t>i a hodnotě ro</w:t>
      </w:r>
      <w:r>
        <w:softHyphen/>
        <w:t>mánů Nového Světa, o jejich lát</w:t>
      </w:r>
      <w:r>
        <w:softHyphen/>
        <w:t>kové novosti a bohatství, dějové pestrosti a poutavosti svědčí nej</w:t>
      </w:r>
      <w:r>
        <w:softHyphen/>
        <w:t>lépe prvni svazek, který začíná vycházeti v sešitech. Je to román New York vládne od slavného amerického spisovatele a drama</w:t>
      </w:r>
      <w:r>
        <w:softHyphen/>
        <w:t xml:space="preserve">tika </w:t>
      </w:r>
      <w:r>
        <w:rPr>
          <w:lang w:val="en-US" w:eastAsia="en-US" w:bidi="en-US"/>
        </w:rPr>
        <w:t>Elmera Rice,</w:t>
      </w:r>
      <w:r>
        <w:rPr>
          <w:lang w:val="en-US" w:eastAsia="en-US" w:bidi="en-US"/>
        </w:rPr>
        <w:t xml:space="preserve"> </w:t>
      </w:r>
      <w:r>
        <w:t>známého dobře návštěvníkům Vinohradského di</w:t>
      </w:r>
      <w:r>
        <w:softHyphen/>
        <w:t>vadla, které s velikým úspěchem dávalo nedávno jeho pozoruhod</w:t>
      </w:r>
      <w:r>
        <w:softHyphen/>
        <w:t>nou hru Postranní uličku.</w:t>
      </w:r>
    </w:p>
    <w:p w:rsidR="00500724" w:rsidRDefault="00F30FB8">
      <w:pPr>
        <w:pStyle w:val="Zkladntext40"/>
        <w:shd w:val="clear" w:color="auto" w:fill="auto"/>
        <w:spacing w:after="0" w:line="182" w:lineRule="auto"/>
        <w:ind w:firstLine="180"/>
      </w:pPr>
      <w:r>
        <w:t>New York vládne, to je velko</w:t>
      </w:r>
      <w:r>
        <w:softHyphen/>
        <w:t>lepý strhující obraz života ame</w:t>
      </w:r>
      <w:r>
        <w:softHyphen/>
        <w:t>rické metropole, viděné neomyl</w:t>
      </w:r>
      <w:r>
        <w:softHyphen/>
        <w:t xml:space="preserve">ným zrakem dramatika, který má </w:t>
      </w:r>
      <w:r>
        <w:t>zvláštní smysl pro podtrženi a vyzdvižení toho, co je plnokrev</w:t>
      </w:r>
      <w:r>
        <w:softHyphen/>
        <w:t>né, životné a strhující. Z život</w:t>
      </w:r>
      <w:r>
        <w:softHyphen/>
        <w:t>ních osudů nejméně dvacíti novo- yorských rodin, z nichž některé stojí na výsluní života, jiné v jeho nejtemnějším stínu, z nichž jedněm se dostalo neomezené</w:t>
      </w:r>
      <w:r>
        <w:br w:type="column"/>
        <w:t>mo</w:t>
      </w:r>
      <w:r>
        <w:t xml:space="preserve">ci a bohatství, druhým pak nesmírné bídy a bolesti, utkal tu </w:t>
      </w:r>
      <w:r>
        <w:rPr>
          <w:lang w:val="en-US" w:eastAsia="en-US" w:bidi="en-US"/>
        </w:rPr>
        <w:t xml:space="preserve">Rice </w:t>
      </w:r>
      <w:r>
        <w:t>přepestrý obraz života měs</w:t>
      </w:r>
      <w:r>
        <w:softHyphen/>
        <w:t>ta mrakodrapů, obraz jeho všed</w:t>
      </w:r>
      <w:r>
        <w:softHyphen/>
        <w:t>ních i jedinečných tragedií, mi</w:t>
      </w:r>
      <w:r>
        <w:softHyphen/>
        <w:t>lostných dobrodružství a příběhů, lásek a zklamáni, nevěr a ne</w:t>
      </w:r>
      <w:r>
        <w:softHyphen/>
        <w:t>řestí, jeho lesku, přepychu i bídy. Ú</w:t>
      </w:r>
      <w:r>
        <w:t>středním tématem románu je vyprávěni o jedné z vedoucích rodin Nového Yorku, o rodině Co- lemanově, představované hereč</w:t>
      </w:r>
      <w:r>
        <w:softHyphen/>
        <w:t>kou Fany Colemanovou, kdysi oslňující hvězdou jeviště, dnes ubohou troskou, dále jejími třemi syny, jejich ženami, kurtisánami i milenka</w:t>
      </w:r>
      <w:r>
        <w:t xml:space="preserve">mi. </w:t>
      </w:r>
      <w:r>
        <w:rPr>
          <w:b/>
          <w:bCs/>
          <w:sz w:val="14"/>
          <w:szCs w:val="14"/>
        </w:rPr>
        <w:t xml:space="preserve">V </w:t>
      </w:r>
      <w:r>
        <w:t>celku je to ne</w:t>
      </w:r>
      <w:r>
        <w:softHyphen/>
        <w:t>smírně živelná, životem přímo překypující historie, která nespo</w:t>
      </w:r>
      <w:r>
        <w:softHyphen/>
        <w:t>četnými příběhy svědčí nezapo</w:t>
      </w:r>
      <w:r>
        <w:softHyphen/>
        <w:t>menutelně nejen o neřestich a vnitřní ubohosti i bídě, jež se tají za ryčným přepychem povrchu, nýbrž i o životech a osudech, které se zmíněn</w:t>
      </w:r>
      <w:r>
        <w:t>ými tvoří dohro</w:t>
      </w:r>
      <w:r>
        <w:softHyphen/>
        <w:t>mady symfonii velkoměsta, sym</w:t>
      </w:r>
      <w:r>
        <w:softHyphen/>
        <w:t>fonii bohatství i bídy, velkosti i malosti, a v níž vedle temných tónů minulosti slyšíme chvějivou melodii krásnější budoucnosti.</w:t>
      </w:r>
    </w:p>
    <w:p w:rsidR="00500724" w:rsidRDefault="00F30FB8">
      <w:pPr>
        <w:pStyle w:val="Zkladntext40"/>
        <w:shd w:val="clear" w:color="auto" w:fill="auto"/>
        <w:spacing w:after="0" w:line="182" w:lineRule="auto"/>
        <w:ind w:firstLine="180"/>
        <w:rPr>
          <w:sz w:val="14"/>
          <w:szCs w:val="14"/>
        </w:rPr>
      </w:pPr>
      <w:r>
        <w:t xml:space="preserve">Toto obsáhlé a podivuhodné dílo románové obsáhne celkem 12 sešitů o 48 stranách </w:t>
      </w:r>
      <w:r>
        <w:t xml:space="preserve">po 2.50 </w:t>
      </w:r>
      <w:r>
        <w:rPr>
          <w:b/>
          <w:bCs/>
          <w:sz w:val="14"/>
          <w:szCs w:val="14"/>
        </w:rPr>
        <w:t>K.</w:t>
      </w:r>
    </w:p>
    <w:p w:rsidR="00500724" w:rsidRDefault="00F30FB8">
      <w:pPr>
        <w:spacing w:line="1" w:lineRule="exact"/>
        <w:rPr>
          <w:sz w:val="2"/>
          <w:szCs w:val="2"/>
        </w:rPr>
      </w:pPr>
      <w:r>
        <w:br w:type="column"/>
      </w:r>
    </w:p>
    <w:p w:rsidR="00500724" w:rsidRDefault="00F30FB8">
      <w:pPr>
        <w:pStyle w:val="Zkladntext40"/>
        <w:shd w:val="clear" w:color="auto" w:fill="auto"/>
        <w:spacing w:after="0" w:line="180" w:lineRule="auto"/>
      </w:pPr>
      <w:r>
        <w:t>Přijde tedy New York vládne, mající bezmála 600 stran, odbě</w:t>
      </w:r>
      <w:r>
        <w:softHyphen/>
        <w:t>ratele na pouhých 30 K. To zna</w:t>
      </w:r>
      <w:r>
        <w:softHyphen/>
        <w:t>mená, že román, mající obvyklý rozsah 300 stran, bude státi v sešitovém vydání knihovny Nový Svět ne 30 K, jak by odpovídalo dosavadním zvyklostem, nýbr</w:t>
      </w:r>
      <w:r>
        <w:t>ž jen 15 K. Jeví se nám tudíž Nový Svět jako opravdu průkopnický čin ve prospěch čtenáře.</w:t>
      </w:r>
    </w:p>
    <w:p w:rsidR="00500724" w:rsidRDefault="00F30FB8">
      <w:pPr>
        <w:pStyle w:val="Zkladntext40"/>
        <w:shd w:val="clear" w:color="auto" w:fill="auto"/>
        <w:spacing w:after="0" w:line="180" w:lineRule="auto"/>
        <w:ind w:firstLine="180"/>
      </w:pPr>
      <w:r>
        <w:t>Nový Svět bude vycházeti v se</w:t>
      </w:r>
      <w:r>
        <w:softHyphen/>
        <w:t>šitech v pravidelných čtrnácti</w:t>
      </w:r>
      <w:r>
        <w:softHyphen/>
        <w:t>denních lhůtách. První sešit výji</w:t>
      </w:r>
      <w:r>
        <w:softHyphen/>
        <w:t>mečně o 16 stranách bude státi jen 50 h a bude poslán na ukáz</w:t>
      </w:r>
      <w:r>
        <w:softHyphen/>
        <w:t>ku každém</w:t>
      </w:r>
      <w:r>
        <w:t>u, kdo si jej vyžádá.</w:t>
      </w:r>
    </w:p>
    <w:p w:rsidR="00500724" w:rsidRDefault="00F30FB8">
      <w:pPr>
        <w:pStyle w:val="Zkladntext40"/>
        <w:shd w:val="clear" w:color="auto" w:fill="auto"/>
        <w:spacing w:after="0"/>
        <w:ind w:firstLine="180"/>
        <w:rPr>
          <w:sz w:val="18"/>
          <w:szCs w:val="18"/>
        </w:rPr>
      </w:pPr>
      <w:r>
        <w:t>Knihovna Nový Svět poskytuje jedinečnou příležitost získati nej- lepší romány moderní světové li</w:t>
      </w:r>
      <w:r>
        <w:softHyphen/>
        <w:t>teratury za peniz opravdu ne</w:t>
      </w:r>
      <w:r>
        <w:softHyphen/>
        <w:t xml:space="preserve">patrný. Uvážíme-li zároveň, že knihy jsou tištěny na dobrém dílovém papíře, že jsou vkusně a dokonale </w:t>
      </w:r>
      <w:r>
        <w:t>upraveny a pečlivě i básnicky přeloženy od neilep- ších našich překladatelů, pak jistě přiznáme, že jí vycházím* co nejvíce vstříc čtenáři, dychti</w:t>
      </w:r>
      <w:r>
        <w:softHyphen/>
        <w:t xml:space="preserve">vému i ve zhoršených poměrech četby, v které by se mu lako v kouzelném zacadle obrazil celý </w:t>
      </w:r>
      <w:r>
        <w:rPr>
          <w:sz w:val="18"/>
          <w:szCs w:val="18"/>
        </w:rPr>
        <w:t>svět.</w:t>
      </w:r>
      <w:r>
        <w:br w:type="page"/>
      </w:r>
    </w:p>
    <w:p w:rsidR="00500724" w:rsidRDefault="00F30FB8">
      <w:pPr>
        <w:pStyle w:val="Zkladntext90"/>
        <w:shd w:val="clear" w:color="auto" w:fill="auto"/>
        <w:spacing w:after="60" w:line="211" w:lineRule="auto"/>
        <w:ind w:firstLine="240"/>
      </w:pPr>
      <w:r>
        <w:rPr>
          <w:rFonts w:ascii="Times New Roman" w:eastAsia="Times New Roman" w:hAnsi="Times New Roman" w:cs="Times New Roman"/>
          <w:smallCaps/>
          <w:sz w:val="17"/>
          <w:szCs w:val="17"/>
        </w:rPr>
        <w:t>JPAMSti,</w:t>
      </w:r>
      <w:r>
        <w:t xml:space="preserve"> k</w:t>
      </w:r>
      <w:r>
        <w:t xml:space="preserve">nihovna literárních vzpomínek a korespondence, již pořádá vynikající nás literární historik </w:t>
      </w:r>
      <w:r>
        <w:rPr>
          <w:lang w:val="en-US" w:eastAsia="en-US" w:bidi="en-US"/>
        </w:rPr>
        <w:t xml:space="preserve">prof. </w:t>
      </w:r>
      <w:r>
        <w:t>Mil. Hýsek, tsou důležitým pramenem poznání naši literární i politické minu</w:t>
      </w:r>
      <w:r>
        <w:softHyphen/>
        <w:t>losti, jejíž obraz autenticky za</w:t>
      </w:r>
      <w:r>
        <w:softHyphen/>
        <w:t>chycují ve vzpomínkách, pamě</w:t>
      </w:r>
      <w:r>
        <w:softHyphen/>
        <w:t>tech a korespondenci</w:t>
      </w:r>
      <w:r>
        <w:t xml:space="preserve"> vynikají</w:t>
      </w:r>
      <w:r>
        <w:softHyphen/>
        <w:t>cích osobností a oéitých svědků. Zatím co svazky březinovské ko</w:t>
      </w:r>
      <w:r>
        <w:softHyphen/>
        <w:t>respondence (Dopisy Otoka- ra Březiny Fr. Bauerovi, D o- pisy Otokora Březiny Fr. Bílkovi a Dopisy a výroky Otokara Březiny) zjevují nám v nejjasnějším světle básnic</w:t>
      </w:r>
      <w:r>
        <w:softHyphen/>
        <w:t>kou a myslitelsk</w:t>
      </w:r>
      <w:r>
        <w:t>ou osobnost Otokara Březiny. Jsou ostatní svazky v svém souhrnu zrcadlem důležitých a velkých epoch mi</w:t>
      </w:r>
      <w:r>
        <w:softHyphen/>
        <w:t>nulosti našeho národa, jeho poli</w:t>
      </w:r>
      <w:r>
        <w:softHyphen/>
        <w:t>tických a uměleckých bojů. Vzpomínky Antala Staška, Vzpomínky a portréty Antonína Klášterského, Vlaste</w:t>
      </w:r>
      <w:r>
        <w:softHyphen/>
        <w:t>necké vzpomínky s</w:t>
      </w:r>
      <w:r>
        <w:t>oučas</w:t>
      </w:r>
      <w:r>
        <w:softHyphen/>
        <w:t>níka Máchova, Jos. Bojislava Píchla, Vzpomínky Karla Sabiny, Zeyerovy Listy třem přátelům oživují nejen všechny významné a velké posta</w:t>
      </w:r>
      <w:r>
        <w:softHyphen/>
        <w:t>vy českého Parnasu doby nedáv</w:t>
      </w:r>
      <w:r>
        <w:softHyphen/>
        <w:t>né i minulé, nýbrž připomínají naléhavě z naší kulturní a umě</w:t>
      </w:r>
      <w:r>
        <w:softHyphen/>
        <w:t>lecké tradice to nejpot</w:t>
      </w:r>
      <w:r>
        <w:t>řebnělšl a nejpodstatnější, čím národ žil 1 trval. Mediem pamětí, korespon</w:t>
      </w:r>
      <w:r>
        <w:softHyphen/>
        <w:t>dencí a vzpomínek vracíme se tu ke kořenům, z nichž Isme rostlí, posilujíce tak v sobě ono tajemné souručenství srdci a myslí, Jež se nazývá národ a Jež je našim statkem nejdražším.</w:t>
      </w:r>
      <w:r>
        <w:t xml:space="preserve"> Ví</w:t>
      </w:r>
      <w:r>
        <w:softHyphen/>
        <w:t>táme proto nový svazek Pamětí, který má vyjiti v dohledné době a jimž je vzpomínková »kniha dětství* Pavla Váši Pod Ripem. podávající obraz života evange</w:t>
      </w:r>
      <w:r>
        <w:softHyphen/>
        <w:t>líků z Podřipska.</w:t>
      </w:r>
    </w:p>
    <w:p w:rsidR="00500724" w:rsidRDefault="00F30FB8">
      <w:pPr>
        <w:pStyle w:val="Zkladntext90"/>
        <w:shd w:val="clear" w:color="auto" w:fill="auto"/>
        <w:spacing w:line="214" w:lineRule="auto"/>
      </w:pPr>
      <w:r>
        <w:t>POVÉTROŇ V TJDOVÉM VY</w:t>
      </w:r>
      <w:r>
        <w:softHyphen/>
        <w:t xml:space="preserve">DANÍ. Lidové vydání díla Karla Čapka přineslo v 7. sešitě </w:t>
      </w:r>
      <w:r>
        <w:t>závěr románu Hordubal. Nový, prá</w:t>
      </w:r>
      <w:r>
        <w:softHyphen/>
        <w:t>vě vyšlý sešit osmý přináší první kapitoly slavného románu P o- větroň, který r, 1934 byl poctěn Státní cenou.</w:t>
      </w:r>
    </w:p>
    <w:p w:rsidR="00500724" w:rsidRDefault="00F30FB8">
      <w:pPr>
        <w:pStyle w:val="Zkladntext90"/>
        <w:shd w:val="clear" w:color="auto" w:fill="auto"/>
        <w:spacing w:after="40" w:line="209" w:lineRule="auto"/>
        <w:ind w:firstLine="200"/>
      </w:pPr>
      <w:r>
        <w:rPr>
          <w:rFonts w:ascii="Times New Roman" w:eastAsia="Times New Roman" w:hAnsi="Times New Roman" w:cs="Times New Roman"/>
          <w:smallCaps/>
          <w:sz w:val="17"/>
          <w:szCs w:val="17"/>
        </w:rPr>
        <w:t xml:space="preserve">ciivAly Českého jazyka. </w:t>
      </w:r>
      <w:r>
        <w:t>Vynikající znalec českého íazy- ka Frant. Oberpfalcer, který před časem vydal pozoruhodn</w:t>
      </w:r>
      <w:r>
        <w:t>ou antho- logii ze starých knih smolných. Vyznáni na mučldlech. přichystal novou pozoruhodnou publikací o českém Jazyce. Jsou to Chvály jazyka české- h o, Jedinečný to a dnes nesmírně aktuální výbor ze všech obran a chval jazyka českého od nej- starších do</w:t>
      </w:r>
      <w:r>
        <w:t>b až po naše časy. Výbor. dokumentující nezapo</w:t>
      </w:r>
      <w:r>
        <w:softHyphen/>
        <w:t>menutelně lásku minulých i současných pokolení k mateřšti</w:t>
      </w:r>
      <w:r>
        <w:softHyphen/>
        <w:t>ně. Je doplněn Oberpfalcrovou studil o vývoji a kráse, bohatství a osobitosti českého iazyka.</w:t>
      </w:r>
    </w:p>
    <w:p w:rsidR="00500724" w:rsidRDefault="00F30FB8">
      <w:pPr>
        <w:pStyle w:val="Zkladntext90"/>
        <w:shd w:val="clear" w:color="auto" w:fill="auto"/>
        <w:spacing w:after="40" w:line="202" w:lineRule="auto"/>
        <w:ind w:firstLine="200"/>
      </w:pPr>
      <w:r>
        <w:t>Dr. Frant. Potužll: STAVOV</w:t>
      </w:r>
      <w:r>
        <w:softHyphen/>
        <w:t>SKÁ MYŠLENKA V HOSPODÁŘ</w:t>
      </w:r>
      <w:r>
        <w:softHyphen/>
        <w:t xml:space="preserve">STVÍ. </w:t>
      </w:r>
      <w:r>
        <w:t>Nákl. Ostavu pro vnitřní obchod, v gen. komisi A. Neuber- ta v Praze. Str. 26, cena 3 K. Spi</w:t>
      </w:r>
      <w:r>
        <w:softHyphen/>
        <w:t>sek seznamuje stručně se stavov</w:t>
      </w:r>
      <w:r>
        <w:softHyphen/>
        <w:t>skou myšlenkou, která Je podána kriticky, se stavovským řádei. i fašistické Itálie a s náběhy ke stavovství v Německu. Následuje př</w:t>
      </w:r>
      <w:r>
        <w:t>ehled dosavadní naši hospodář</w:t>
      </w:r>
      <w:r>
        <w:softHyphen/>
        <w:t>ské organisace a konkrétní návrh na organisaci našich poměrů. Návrh se Inspiruje stavovskými zásadami a přihlíží k organisaci německé a Italské, současně však — na rozdíl od řady podobných návrhů — vychází z naších do</w:t>
      </w:r>
      <w:r>
        <w:softHyphen/>
        <w:t>mácích p</w:t>
      </w:r>
      <w:r>
        <w:t>oměrů, na Jejíchž zákla</w:t>
      </w:r>
      <w:r>
        <w:softHyphen/>
        <w:t>dě Je třeba na prvém místě dále budova ti.</w:t>
      </w:r>
    </w:p>
    <w:p w:rsidR="00500724" w:rsidRDefault="00F30FB8">
      <w:pPr>
        <w:pStyle w:val="Zkladntext90"/>
        <w:shd w:val="clear" w:color="auto" w:fill="auto"/>
        <w:spacing w:after="200" w:line="204" w:lineRule="auto"/>
        <w:ind w:firstLine="200"/>
      </w:pPr>
      <w:r>
        <w:t>Kormendi Ferenc: VINNÍCI. Ro</w:t>
      </w:r>
      <w:r>
        <w:softHyphen/>
        <w:t>mán. Přeložil A. Kraus. Brož. 55 K. O nás nejoblíbenější maďarský spisovatel Ferenc Kormendi ob</w:t>
      </w:r>
      <w:r>
        <w:softHyphen/>
        <w:t>sáhl Již svým literárním dílem ty nejrozsáhlejši oblasti moderní</w:t>
      </w:r>
      <w:r>
        <w:t>ho světa. Ve »Vtnnlclch« postavil autor své hrdiny opět do zcela nového a odlišného prostředí. Tentokrát sl vzal za úkol roz</w:t>
      </w:r>
      <w:r>
        <w:softHyphen/>
        <w:t>pitvat duševní stav dvou osob zcela rozdílného společenského postavení a věku. které jsou však stejné trýzněny duševními muka</w:t>
      </w:r>
      <w:r>
        <w:softHyphen/>
        <w:t>mi pr</w:t>
      </w:r>
      <w:r>
        <w:t>o skutečnou i domnělou vl</w:t>
      </w:r>
      <w:r>
        <w:softHyphen/>
        <w:t>nu, tížíci Jejich svědomí. Román Jest historickým dokumentem úpadku dnešní lidské společnosti, při tom však je výrazem ryži víry v člověka a vyšší spravedl</w:t>
      </w:r>
      <w:r>
        <w:softHyphen/>
        <w:t xml:space="preserve">nost. Vvdal Václav Petr, Praha </w:t>
      </w:r>
      <w:r>
        <w:rPr>
          <w:u w:val="single"/>
        </w:rPr>
        <w:t>II.. Ječná 32.</w:t>
      </w:r>
    </w:p>
    <w:p w:rsidR="00500724" w:rsidRDefault="00F30FB8">
      <w:pPr>
        <w:pStyle w:val="Zkladntext90"/>
        <w:shd w:val="clear" w:color="auto" w:fill="auto"/>
        <w:spacing w:line="204" w:lineRule="auto"/>
      </w:pPr>
      <w:r>
        <w:rPr>
          <w:noProof/>
        </w:rPr>
        <mc:AlternateContent>
          <mc:Choice Requires="wps">
            <w:drawing>
              <wp:anchor distT="605790" distB="2200910" distL="114300" distR="1558925" simplePos="0" relativeHeight="125829678" behindDoc="0" locked="0" layoutInCell="1" allowOverlap="1">
                <wp:simplePos x="0" y="0"/>
                <wp:positionH relativeFrom="page">
                  <wp:posOffset>4203700</wp:posOffset>
                </wp:positionH>
                <wp:positionV relativeFrom="margin">
                  <wp:posOffset>1996440</wp:posOffset>
                </wp:positionV>
                <wp:extent cx="835025" cy="554990"/>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835025" cy="554990"/>
                        </a:xfrm>
                        <a:prstGeom prst="rect">
                          <a:avLst/>
                        </a:prstGeom>
                        <a:noFill/>
                      </wps:spPr>
                      <wps:txbx>
                        <w:txbxContent>
                          <w:p w:rsidR="00500724" w:rsidRDefault="00F30FB8">
                            <w:pPr>
                              <w:pStyle w:val="Jin0"/>
                              <w:shd w:val="clear" w:color="auto" w:fill="auto"/>
                              <w:spacing w:after="180"/>
                              <w:ind w:firstLine="0"/>
                              <w:jc w:val="left"/>
                              <w:rPr>
                                <w:sz w:val="26"/>
                                <w:szCs w:val="26"/>
                              </w:rPr>
                            </w:pPr>
                            <w:r>
                              <w:rPr>
                                <w:rFonts w:ascii="Arial" w:eastAsia="Arial" w:hAnsi="Arial" w:cs="Arial"/>
                                <w:b/>
                                <w:bCs/>
                                <w:sz w:val="26"/>
                                <w:szCs w:val="26"/>
                              </w:rPr>
                              <w:t>KAREL</w:t>
                            </w:r>
                          </w:p>
                          <w:p w:rsidR="00500724" w:rsidRDefault="00F30FB8">
                            <w:pPr>
                              <w:pStyle w:val="Jin0"/>
                              <w:shd w:val="clear" w:color="auto" w:fill="auto"/>
                              <w:ind w:firstLine="0"/>
                              <w:jc w:val="left"/>
                              <w:rPr>
                                <w:sz w:val="26"/>
                                <w:szCs w:val="26"/>
                              </w:rPr>
                            </w:pPr>
                            <w:r>
                              <w:rPr>
                                <w:rFonts w:ascii="Arial" w:eastAsia="Arial" w:hAnsi="Arial" w:cs="Arial"/>
                                <w:b/>
                                <w:bCs/>
                                <w:sz w:val="26"/>
                                <w:szCs w:val="26"/>
                              </w:rPr>
                              <w:t>ČAPEK</w:t>
                            </w:r>
                          </w:p>
                        </w:txbxContent>
                      </wps:txbx>
                      <wps:bodyPr lIns="0" tIns="0" rIns="0" bIns="0">
                        <a:spAutoFit/>
                      </wps:bodyPr>
                    </wps:wsp>
                  </a:graphicData>
                </a:graphic>
              </wp:anchor>
            </w:drawing>
          </mc:Choice>
          <mc:Fallback>
            <w:pict>
              <v:shape id="_x0000_s1327" type="#_x0000_t202" style="position:absolute;margin-left:331.pt;margin-top:157.19999999999999pt;width:65.75pt;height:43.700000000000003pt;z-index:-125829075;mso-wrap-distance-left:9.pt;mso-wrap-distance-top:47.700000000000003pt;mso-wrap-distance-right:122.75pt;mso-wrap-distance-bottom:173.30000000000001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180" w:line="240" w:lineRule="auto"/>
                        <w:ind w:left="0" w:right="0" w:firstLine="0"/>
                        <w:jc w:val="left"/>
                        <w:rPr>
                          <w:sz w:val="26"/>
                          <w:szCs w:val="26"/>
                        </w:rPr>
                      </w:pPr>
                      <w:r>
                        <w:rPr>
                          <w:rFonts w:ascii="Arial" w:eastAsia="Arial" w:hAnsi="Arial" w:cs="Arial"/>
                          <w:b/>
                          <w:bCs/>
                          <w:color w:val="000000"/>
                          <w:spacing w:val="0"/>
                          <w:w w:val="100"/>
                          <w:position w:val="0"/>
                          <w:sz w:val="26"/>
                          <w:szCs w:val="26"/>
                          <w:shd w:val="clear" w:color="auto" w:fill="auto"/>
                          <w:lang w:val="cs-CZ" w:eastAsia="cs-CZ" w:bidi="cs-CZ"/>
                        </w:rPr>
                        <w:t>KAREL</w:t>
                      </w:r>
                    </w:p>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000000"/>
                          <w:spacing w:val="0"/>
                          <w:w w:val="100"/>
                          <w:position w:val="0"/>
                          <w:sz w:val="26"/>
                          <w:szCs w:val="26"/>
                          <w:shd w:val="clear" w:color="auto" w:fill="auto"/>
                          <w:lang w:val="cs-CZ" w:eastAsia="cs-CZ" w:bidi="cs-CZ"/>
                        </w:rPr>
                        <w:t>ČAPEK</w:t>
                      </w:r>
                    </w:p>
                  </w:txbxContent>
                </v:textbox>
                <w10:wrap type="topAndBottom" anchorx="page" anchory="margin"/>
              </v:shape>
            </w:pict>
          </mc:Fallback>
        </mc:AlternateContent>
      </w:r>
      <w:r>
        <w:t xml:space="preserve">Po dobrém </w:t>
      </w:r>
      <w:r>
        <w:t>spánku ... Po dobrém spánku dobrá snídaně. Tak se má začít, to Je prvním předpokladem úspěchu. Proto dnes tolik Udí vaří kávu z Karo-</w:t>
      </w:r>
    </w:p>
    <w:p w:rsidR="00500724" w:rsidRDefault="00F30FB8">
      <w:pPr>
        <w:pStyle w:val="Zkladntext90"/>
        <w:shd w:val="clear" w:color="auto" w:fill="auto"/>
        <w:spacing w:after="80" w:line="199" w:lineRule="auto"/>
        <w:ind w:firstLine="0"/>
      </w:pPr>
      <w:r>
        <w:t xml:space="preserve">Franckovky a Peroly. Je </w:t>
      </w:r>
      <w:r>
        <w:rPr>
          <w:sz w:val="14"/>
          <w:szCs w:val="14"/>
        </w:rPr>
        <w:t>to výživ</w:t>
      </w:r>
      <w:r>
        <w:rPr>
          <w:sz w:val="14"/>
          <w:szCs w:val="14"/>
        </w:rPr>
        <w:softHyphen/>
      </w:r>
      <w:r>
        <w:t xml:space="preserve">ná a zdravá snídané. Je to naše káva, která roste </w:t>
      </w:r>
      <w:r>
        <w:rPr>
          <w:sz w:val="14"/>
          <w:szCs w:val="14"/>
        </w:rPr>
        <w:t xml:space="preserve">u nás a vyrábí </w:t>
      </w:r>
      <w:r>
        <w:t>se v Pardubicích</w:t>
      </w:r>
    </w:p>
    <w:p w:rsidR="00500724" w:rsidRDefault="00F30FB8">
      <w:pPr>
        <w:pStyle w:val="Zkladntext90"/>
        <w:shd w:val="clear" w:color="auto" w:fill="auto"/>
        <w:tabs>
          <w:tab w:val="left" w:leader="underscore" w:pos="1659"/>
          <w:tab w:val="left" w:leader="underscore" w:pos="1812"/>
          <w:tab w:val="left" w:leader="underscore" w:pos="2014"/>
        </w:tabs>
        <w:spacing w:line="209" w:lineRule="auto"/>
        <w:ind w:left="180" w:firstLine="0"/>
      </w:pPr>
      <w:r>
        <w:t xml:space="preserve">Kávové jezero. . </w:t>
      </w:r>
      <w:r>
        <w:tab/>
      </w:r>
      <w:r>
        <w:tab/>
      </w:r>
      <w:r>
        <w:tab/>
      </w:r>
    </w:p>
    <w:p w:rsidR="00500724" w:rsidRDefault="00F30FB8">
      <w:pPr>
        <w:pStyle w:val="Zkladntext90"/>
        <w:shd w:val="clear" w:color="auto" w:fill="auto"/>
        <w:ind w:firstLine="340"/>
        <w:sectPr w:rsidR="00500724">
          <w:footnotePr>
            <w:numFmt w:val="chicago"/>
            <w:numRestart w:val="eachPage"/>
          </w:footnotePr>
          <w:type w:val="continuous"/>
          <w:pgSz w:w="11909" w:h="16834"/>
          <w:pgMar w:top="871" w:right="886" w:bottom="674" w:left="496" w:header="0" w:footer="3" w:gutter="0"/>
          <w:cols w:num="4" w:sep="1" w:space="100"/>
          <w:noEndnote/>
          <w:docGrid w:linePitch="360"/>
        </w:sectPr>
      </w:pPr>
      <w:r>
        <w:t xml:space="preserve">vypije se denně přeš z.000.000 litrů kávy. Za rok by mohla </w:t>
      </w:r>
      <w:r>
        <w:rPr>
          <w:sz w:val="14"/>
          <w:szCs w:val="14"/>
        </w:rPr>
        <w:t xml:space="preserve">tato </w:t>
      </w:r>
      <w:r>
        <w:t xml:space="preserve">vypitá káva vytvořit celé Jezero. Není proto lhostejné, jak se </w:t>
      </w:r>
      <w:r>
        <w:rPr>
          <w:sz w:val="14"/>
          <w:szCs w:val="14"/>
        </w:rPr>
        <w:t xml:space="preserve">tato </w:t>
      </w:r>
      <w:r>
        <w:t>káva připravuje. Ze zdravotních 1 hospodářských důvodů má se vařit káva,</w:t>
      </w:r>
      <w:r>
        <w:t xml:space="preserve"> která srdci 1 žaludku svěd</w:t>
      </w:r>
      <w:r>
        <w:softHyphen/>
        <w:t xml:space="preserve">ěl, která roste na našich polích </w:t>
      </w:r>
      <w:r>
        <w:rPr>
          <w:rFonts w:ascii="Arial" w:eastAsia="Arial" w:hAnsi="Arial" w:cs="Arial"/>
          <w:b w:val="0"/>
          <w:bCs w:val="0"/>
          <w:sz w:val="14"/>
          <w:szCs w:val="14"/>
        </w:rPr>
        <w:t xml:space="preserve">a </w:t>
      </w:r>
      <w:r>
        <w:t xml:space="preserve">vyrábí se v Pardubicích: </w:t>
      </w:r>
      <w:r>
        <w:rPr>
          <w:sz w:val="14"/>
          <w:szCs w:val="14"/>
        </w:rPr>
        <w:t xml:space="preserve">Karo- </w:t>
      </w:r>
      <w:r>
        <w:t>Franckovka a Perola.</w:t>
      </w:r>
    </w:p>
    <w:p w:rsidR="00500724" w:rsidRDefault="00F30FB8">
      <w:pPr>
        <w:spacing w:line="14" w:lineRule="exact"/>
      </w:pPr>
      <w:r>
        <w:rPr>
          <w:noProof/>
        </w:rPr>
        <mc:AlternateContent>
          <mc:Choice Requires="wps">
            <w:drawing>
              <wp:anchor distT="0" distB="0" distL="0" distR="0" simplePos="0" relativeHeight="125829680" behindDoc="0" locked="0" layoutInCell="1" allowOverlap="1">
                <wp:simplePos x="0" y="0"/>
                <wp:positionH relativeFrom="page">
                  <wp:posOffset>6026785</wp:posOffset>
                </wp:positionH>
                <wp:positionV relativeFrom="paragraph">
                  <wp:posOffset>972185</wp:posOffset>
                </wp:positionV>
                <wp:extent cx="292735" cy="146050"/>
                <wp:effectExtent l="0" t="0" r="0" b="0"/>
                <wp:wrapSquare wrapText="left"/>
                <wp:docPr id="303" name="Shape 303"/>
                <wp:cNvGraphicFramePr/>
                <a:graphic xmlns:a="http://schemas.openxmlformats.org/drawingml/2006/main">
                  <a:graphicData uri="http://schemas.microsoft.com/office/word/2010/wordprocessingShape">
                    <wps:wsp>
                      <wps:cNvSpPr txBox="1"/>
                      <wps:spPr>
                        <a:xfrm>
                          <a:off x="0" y="0"/>
                          <a:ext cx="292735" cy="146050"/>
                        </a:xfrm>
                        <a:prstGeom prst="rect">
                          <a:avLst/>
                        </a:prstGeom>
                        <a:noFill/>
                      </wps:spPr>
                      <wps:txbx>
                        <w:txbxContent>
                          <w:p w:rsidR="00500724" w:rsidRDefault="00F30FB8">
                            <w:pPr>
                              <w:pStyle w:val="Zkladntext40"/>
                              <w:shd w:val="clear" w:color="auto" w:fill="auto"/>
                              <w:spacing w:after="0" w:line="240" w:lineRule="auto"/>
                              <w:jc w:val="left"/>
                              <w:rPr>
                                <w:sz w:val="16"/>
                                <w:szCs w:val="16"/>
                              </w:rPr>
                            </w:pPr>
                            <w:r>
                              <w:rPr>
                                <w:b/>
                                <w:bCs/>
                                <w:sz w:val="16"/>
                                <w:szCs w:val="16"/>
                              </w:rPr>
                              <w:t>slávy.</w:t>
                            </w:r>
                          </w:p>
                        </w:txbxContent>
                      </wps:txbx>
                      <wps:bodyPr lIns="0" tIns="0" rIns="0" bIns="0">
                        <a:spAutoFit/>
                      </wps:bodyPr>
                    </wps:wsp>
                  </a:graphicData>
                </a:graphic>
              </wp:anchor>
            </w:drawing>
          </mc:Choice>
          <mc:Fallback>
            <w:pict>
              <v:shape id="_x0000_s1329" type="#_x0000_t202" style="position:absolute;margin-left:474.55000000000001pt;margin-top:76.549999999999997pt;width:23.050000000000001pt;height:11.5pt;z-index:-125829073;mso-wrap-distance-left:0;mso-wrap-distance-right:0;mso-position-horizontal-relative:page"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slávy.</w:t>
                      </w:r>
                    </w:p>
                  </w:txbxContent>
                </v:textbox>
                <w10:wrap type="square" side="left" anchorx="page"/>
              </v:shape>
            </w:pict>
          </mc:Fallback>
        </mc:AlternateContent>
      </w:r>
      <w:r>
        <w:rPr>
          <w:noProof/>
        </w:rPr>
        <mc:AlternateContent>
          <mc:Choice Requires="wps">
            <w:drawing>
              <wp:anchor distT="0" distB="1334135" distL="0" distR="0" simplePos="0" relativeHeight="125829682" behindDoc="0" locked="0" layoutInCell="1" allowOverlap="1">
                <wp:simplePos x="0" y="0"/>
                <wp:positionH relativeFrom="page">
                  <wp:posOffset>3807460</wp:posOffset>
                </wp:positionH>
                <wp:positionV relativeFrom="paragraph">
                  <wp:posOffset>3227705</wp:posOffset>
                </wp:positionV>
                <wp:extent cx="1310640" cy="292735"/>
                <wp:effectExtent l="0" t="0" r="0" b="0"/>
                <wp:wrapSquare wrapText="bothSides"/>
                <wp:docPr id="305" name="Shape 305"/>
                <wp:cNvGraphicFramePr/>
                <a:graphic xmlns:a="http://schemas.openxmlformats.org/drawingml/2006/main">
                  <a:graphicData uri="http://schemas.microsoft.com/office/word/2010/wordprocessingShape">
                    <wps:wsp>
                      <wps:cNvSpPr txBox="1"/>
                      <wps:spPr>
                        <a:xfrm>
                          <a:off x="0" y="0"/>
                          <a:ext cx="1310640" cy="292735"/>
                        </a:xfrm>
                        <a:prstGeom prst="rect">
                          <a:avLst/>
                        </a:prstGeom>
                        <a:noFill/>
                      </wps:spPr>
                      <wps:txbx>
                        <w:txbxContent>
                          <w:p w:rsidR="00500724" w:rsidRDefault="00F30FB8">
                            <w:pPr>
                              <w:pStyle w:val="Jin0"/>
                              <w:shd w:val="clear" w:color="auto" w:fill="auto"/>
                              <w:ind w:firstLine="0"/>
                              <w:jc w:val="left"/>
                              <w:rPr>
                                <w:sz w:val="38"/>
                                <w:szCs w:val="38"/>
                              </w:rPr>
                            </w:pPr>
                            <w:r>
                              <w:rPr>
                                <w:rFonts w:ascii="Arial" w:eastAsia="Arial" w:hAnsi="Arial" w:cs="Arial"/>
                                <w:b/>
                                <w:bCs/>
                                <w:sz w:val="38"/>
                                <w:szCs w:val="38"/>
                              </w:rPr>
                              <w:t>HERMES</w:t>
                            </w:r>
                          </w:p>
                        </w:txbxContent>
                      </wps:txbx>
                      <wps:bodyPr lIns="0" tIns="0" rIns="0" bIns="0">
                        <a:spAutoFit/>
                      </wps:bodyPr>
                    </wps:wsp>
                  </a:graphicData>
                </a:graphic>
              </wp:anchor>
            </w:drawing>
          </mc:Choice>
          <mc:Fallback>
            <w:pict>
              <v:shape id="_x0000_s1331" type="#_x0000_t202" style="position:absolute;margin-left:299.80000000000001pt;margin-top:254.15000000000001pt;width:103.2pt;height:23.050000000000001pt;z-index:-125829071;mso-wrap-distance-left:0;mso-wrap-distance-right:0;mso-wrap-distance-bottom:105.0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HERMES</w:t>
                      </w:r>
                    </w:p>
                  </w:txbxContent>
                </v:textbox>
                <w10:wrap type="square" anchorx="page"/>
              </v:shape>
            </w:pict>
          </mc:Fallback>
        </mc:AlternateContent>
      </w:r>
    </w:p>
    <w:p w:rsidR="00500724" w:rsidRDefault="00F30FB8">
      <w:pPr>
        <w:pStyle w:val="Jin0"/>
        <w:shd w:val="clear" w:color="auto" w:fill="auto"/>
        <w:spacing w:after="120"/>
        <w:ind w:left="1480" w:firstLine="20"/>
        <w:rPr>
          <w:sz w:val="26"/>
          <w:szCs w:val="26"/>
        </w:rPr>
      </w:pPr>
      <w:r>
        <w:rPr>
          <w:b/>
          <w:bCs/>
          <w:sz w:val="26"/>
          <w:szCs w:val="26"/>
        </w:rPr>
        <w:t>Ferdinand</w:t>
      </w:r>
    </w:p>
    <w:p w:rsidR="00500724" w:rsidRDefault="00F30FB8">
      <w:pPr>
        <w:pStyle w:val="Nadpis110"/>
        <w:shd w:val="clear" w:color="auto" w:fill="auto"/>
        <w:spacing w:after="160"/>
        <w:ind w:left="1480" w:firstLine="20"/>
        <w:jc w:val="both"/>
      </w:pPr>
      <w:bookmarkStart w:id="294" w:name="bookmark293"/>
      <w:r>
        <w:t>Peroutka</w:t>
      </w:r>
      <w:bookmarkEnd w:id="294"/>
    </w:p>
    <w:p w:rsidR="00500724" w:rsidRDefault="00F30FB8">
      <w:pPr>
        <w:pStyle w:val="Jin0"/>
        <w:shd w:val="clear" w:color="auto" w:fill="auto"/>
        <w:spacing w:after="120" w:line="257" w:lineRule="auto"/>
        <w:ind w:left="1480" w:right="1180" w:firstLine="20"/>
        <w:rPr>
          <w:sz w:val="40"/>
          <w:szCs w:val="40"/>
        </w:rPr>
      </w:pPr>
      <w:r>
        <w:rPr>
          <w:rFonts w:ascii="Arial" w:eastAsia="Arial" w:hAnsi="Arial" w:cs="Arial"/>
          <w:b/>
          <w:bCs/>
          <w:w w:val="70"/>
          <w:sz w:val="40"/>
          <w:szCs w:val="40"/>
        </w:rPr>
        <w:t>OSOBNOST, CHAOS A ZLOZVYKY</w:t>
      </w:r>
    </w:p>
    <w:p w:rsidR="00500724" w:rsidRDefault="00F30FB8">
      <w:pPr>
        <w:pStyle w:val="Zkladntext50"/>
        <w:shd w:val="clear" w:color="auto" w:fill="auto"/>
        <w:spacing w:after="120" w:line="324" w:lineRule="auto"/>
        <w:ind w:left="1480" w:right="1180" w:firstLine="20"/>
        <w:rPr>
          <w:sz w:val="18"/>
          <w:szCs w:val="18"/>
        </w:rPr>
      </w:pPr>
      <w:r>
        <w:rPr>
          <w:sz w:val="18"/>
          <w:szCs w:val="18"/>
        </w:rPr>
        <w:t>Kniha literárních essayí a kri</w:t>
      </w:r>
      <w:r>
        <w:rPr>
          <w:sz w:val="18"/>
          <w:szCs w:val="18"/>
        </w:rPr>
        <w:softHyphen/>
        <w:t>tických studií. Brož. 15 K, váz. 25 K. Dodá</w:t>
      </w:r>
      <w:r>
        <w:rPr>
          <w:sz w:val="18"/>
          <w:szCs w:val="18"/>
        </w:rPr>
        <w:t xml:space="preserve"> každý knihkupec.</w:t>
      </w:r>
    </w:p>
    <w:p w:rsidR="00500724" w:rsidRDefault="00F30FB8">
      <w:pPr>
        <w:pStyle w:val="Jin0"/>
        <w:shd w:val="clear" w:color="auto" w:fill="auto"/>
        <w:spacing w:after="120"/>
        <w:ind w:left="1480" w:firstLine="20"/>
        <w:rPr>
          <w:sz w:val="26"/>
          <w:szCs w:val="26"/>
        </w:rPr>
      </w:pPr>
      <w:r>
        <w:rPr>
          <w:b/>
          <w:bCs/>
          <w:sz w:val="26"/>
          <w:szCs w:val="26"/>
        </w:rPr>
        <w:t>FR. BOROVÝ</w:t>
      </w:r>
    </w:p>
    <w:p w:rsidR="00500724" w:rsidRDefault="00F30FB8">
      <w:pPr>
        <w:pStyle w:val="Jin0"/>
        <w:shd w:val="clear" w:color="auto" w:fill="auto"/>
        <w:spacing w:after="80" w:line="310" w:lineRule="auto"/>
        <w:ind w:left="960" w:firstLine="0"/>
        <w:jc w:val="left"/>
        <w:rPr>
          <w:sz w:val="24"/>
          <w:szCs w:val="24"/>
        </w:rPr>
      </w:pPr>
      <w:r>
        <w:rPr>
          <w:rFonts w:ascii="Arial" w:eastAsia="Arial" w:hAnsi="Arial" w:cs="Arial"/>
          <w:b/>
          <w:bCs/>
          <w:w w:val="80"/>
          <w:sz w:val="24"/>
          <w:szCs w:val="24"/>
        </w:rPr>
        <w:t>ŽIVOT A DÍLO SKLADATELE FOLTÝNA</w:t>
      </w:r>
    </w:p>
    <w:p w:rsidR="00500724" w:rsidRDefault="00F30FB8">
      <w:pPr>
        <w:pStyle w:val="Zkladntext40"/>
        <w:shd w:val="clear" w:color="auto" w:fill="auto"/>
        <w:spacing w:after="360" w:line="314" w:lineRule="auto"/>
        <w:ind w:left="960"/>
        <w:jc w:val="left"/>
        <w:rPr>
          <w:sz w:val="16"/>
          <w:szCs w:val="16"/>
        </w:rPr>
      </w:pPr>
      <w:r>
        <w:rPr>
          <w:b/>
          <w:bCs/>
          <w:sz w:val="16"/>
          <w:szCs w:val="16"/>
        </w:rPr>
        <w:t>Podivuhodní komponovaný a osobitě vyprávěný příběh lidského i umělec</w:t>
      </w:r>
      <w:r>
        <w:rPr>
          <w:b/>
          <w:bCs/>
          <w:sz w:val="16"/>
          <w:szCs w:val="16"/>
        </w:rPr>
        <w:softHyphen/>
        <w:t>kého ztroskotání diletanta, posedlého aj k tragice vidinou umělecké slái</w:t>
      </w:r>
    </w:p>
    <w:p w:rsidR="00500724" w:rsidRDefault="00F30FB8">
      <w:pPr>
        <w:pStyle w:val="Zkladntext50"/>
        <w:shd w:val="clear" w:color="auto" w:fill="auto"/>
        <w:spacing w:after="80" w:line="240" w:lineRule="auto"/>
        <w:ind w:left="20"/>
        <w:jc w:val="center"/>
        <w:rPr>
          <w:sz w:val="18"/>
          <w:szCs w:val="18"/>
        </w:rPr>
      </w:pPr>
      <w:r>
        <w:rPr>
          <w:sz w:val="18"/>
          <w:szCs w:val="18"/>
        </w:rPr>
        <w:t>Brož. 15 K, váz. 25 K.</w:t>
      </w:r>
    </w:p>
    <w:p w:rsidR="00500724" w:rsidRDefault="00F30FB8">
      <w:pPr>
        <w:pStyle w:val="Zkladntext50"/>
        <w:shd w:val="clear" w:color="auto" w:fill="auto"/>
        <w:spacing w:after="1220" w:line="240" w:lineRule="auto"/>
        <w:ind w:left="240"/>
        <w:jc w:val="center"/>
        <w:rPr>
          <w:sz w:val="18"/>
          <w:szCs w:val="18"/>
        </w:rPr>
      </w:pPr>
      <w:r>
        <w:rPr>
          <w:sz w:val="18"/>
          <w:szCs w:val="18"/>
        </w:rPr>
        <w:t xml:space="preserve">Dodá každý knihkupec FR. </w:t>
      </w:r>
      <w:r>
        <w:rPr>
          <w:sz w:val="18"/>
          <w:szCs w:val="18"/>
        </w:rPr>
        <w:t>BOROVÝ.</w:t>
      </w:r>
    </w:p>
    <w:p w:rsidR="00500724" w:rsidRDefault="00F30FB8">
      <w:pPr>
        <w:pStyle w:val="Jin0"/>
        <w:shd w:val="clear" w:color="auto" w:fill="auto"/>
        <w:spacing w:after="80"/>
        <w:ind w:firstLine="180"/>
        <w:rPr>
          <w:sz w:val="26"/>
          <w:szCs w:val="26"/>
        </w:rPr>
      </w:pPr>
      <w:r>
        <w:rPr>
          <w:b/>
          <w:bCs/>
          <w:i/>
          <w:iCs/>
          <w:sz w:val="26"/>
          <w:szCs w:val="26"/>
        </w:rPr>
        <w:t>Světovou sensací</w:t>
      </w:r>
    </w:p>
    <w:p w:rsidR="00500724" w:rsidRDefault="00F30FB8">
      <w:pPr>
        <w:pStyle w:val="Nadpis110"/>
        <w:shd w:val="clear" w:color="auto" w:fill="auto"/>
        <w:spacing w:after="80"/>
        <w:ind w:left="720"/>
      </w:pPr>
      <w:bookmarkStart w:id="295" w:name="bookmark294"/>
      <w:r>
        <w:t>prvního řádu jsou</w:t>
      </w:r>
      <w:bookmarkEnd w:id="295"/>
    </w:p>
    <w:p w:rsidR="00500724" w:rsidRDefault="00F30FB8">
      <w:pPr>
        <w:pStyle w:val="Jin0"/>
        <w:shd w:val="clear" w:color="auto" w:fill="auto"/>
        <w:spacing w:after="80"/>
        <w:ind w:right="360" w:firstLine="0"/>
        <w:jc w:val="right"/>
        <w:rPr>
          <w:sz w:val="36"/>
          <w:szCs w:val="36"/>
        </w:rPr>
      </w:pPr>
      <w:r>
        <w:rPr>
          <w:rFonts w:ascii="Arial" w:eastAsia="Arial" w:hAnsi="Arial" w:cs="Arial"/>
          <w:b/>
          <w:bCs/>
          <w:sz w:val="36"/>
          <w:szCs w:val="36"/>
        </w:rPr>
        <w:t>švýcarské ptáci jtroie</w:t>
      </w:r>
    </w:p>
    <w:p w:rsidR="00500724" w:rsidRDefault="00F30FB8">
      <w:pPr>
        <w:pStyle w:val="Zkladntext50"/>
        <w:shd w:val="clear" w:color="auto" w:fill="auto"/>
        <w:spacing w:after="0" w:line="230" w:lineRule="auto"/>
        <w:ind w:left="0" w:right="360" w:firstLine="180"/>
      </w:pPr>
      <w:r>
        <w:t>s automatem pásky, oboustran</w:t>
      </w:r>
      <w:r>
        <w:softHyphen/>
        <w:t>ným vypínačem okraje a vel</w:t>
      </w:r>
      <w:r>
        <w:softHyphen/>
        <w:t>kou řádkovou páskou, s ele</w:t>
      </w:r>
      <w:r>
        <w:softHyphen/>
        <w:t>gantním kufříkem</w:t>
      </w:r>
    </w:p>
    <w:p w:rsidR="00500724" w:rsidRDefault="00F30FB8">
      <w:pPr>
        <w:pStyle w:val="Nadpis110"/>
        <w:shd w:val="clear" w:color="auto" w:fill="auto"/>
        <w:spacing w:after="160"/>
        <w:ind w:left="1180"/>
      </w:pPr>
      <w:bookmarkStart w:id="296" w:name="bookmark295"/>
      <w:r>
        <w:rPr>
          <w:u w:val="single"/>
          <w:lang w:val="en-US" w:eastAsia="en-US" w:bidi="en-US"/>
        </w:rPr>
        <w:t xml:space="preserve">JEW </w:t>
      </w:r>
      <w:r>
        <w:rPr>
          <w:u w:val="single"/>
        </w:rPr>
        <w:t>K 1340-</w:t>
      </w:r>
      <w:bookmarkEnd w:id="296"/>
    </w:p>
    <w:p w:rsidR="00500724" w:rsidRDefault="00F30FB8">
      <w:pPr>
        <w:pStyle w:val="Zkladntext90"/>
        <w:shd w:val="clear" w:color="auto" w:fill="auto"/>
        <w:spacing w:after="140" w:line="240" w:lineRule="auto"/>
        <w:ind w:left="180" w:firstLine="0"/>
        <w:jc w:val="center"/>
      </w:pPr>
      <w:r>
        <w:t>Žádejte předvedeni daliich modelů.</w:t>
      </w:r>
    </w:p>
    <w:p w:rsidR="00500724" w:rsidRDefault="00F30FB8">
      <w:pPr>
        <w:pStyle w:val="Jin0"/>
        <w:shd w:val="clear" w:color="auto" w:fill="auto"/>
        <w:ind w:right="360" w:firstLine="0"/>
        <w:jc w:val="right"/>
        <w:rPr>
          <w:sz w:val="40"/>
          <w:szCs w:val="40"/>
        </w:rPr>
      </w:pPr>
      <w:r>
        <w:rPr>
          <w:rFonts w:ascii="Arial" w:eastAsia="Arial" w:hAnsi="Arial" w:cs="Arial"/>
          <w:b/>
          <w:bCs/>
          <w:w w:val="70"/>
          <w:sz w:val="40"/>
          <w:szCs w:val="40"/>
        </w:rPr>
        <w:t>ÍHOCHOLA A SPOL.,</w:t>
      </w:r>
    </w:p>
    <w:p w:rsidR="00500724" w:rsidRDefault="00F30FB8">
      <w:pPr>
        <w:pStyle w:val="Zkladntext50"/>
        <w:shd w:val="clear" w:color="auto" w:fill="auto"/>
        <w:spacing w:after="80" w:line="230" w:lineRule="auto"/>
        <w:ind w:left="20"/>
        <w:jc w:val="center"/>
        <w:sectPr w:rsidR="00500724">
          <w:footnotePr>
            <w:numFmt w:val="chicago"/>
            <w:numRestart w:val="eachPage"/>
          </w:footnotePr>
          <w:type w:val="continuous"/>
          <w:pgSz w:w="11909" w:h="16834"/>
          <w:pgMar w:top="697" w:right="1213" w:bottom="697" w:left="262" w:header="0" w:footer="3" w:gutter="0"/>
          <w:cols w:num="2" w:space="144"/>
          <w:noEndnote/>
          <w:docGrid w:linePitch="360"/>
        </w:sectPr>
      </w:pPr>
      <w:r>
        <w:t>PRAHA, Václavská n. 25, v pasáži</w:t>
      </w:r>
    </w:p>
    <w:p w:rsidR="00500724" w:rsidRDefault="00F30FB8">
      <w:pPr>
        <w:pStyle w:val="Nadpis30"/>
        <w:keepNext/>
        <w:keepLines/>
        <w:shd w:val="clear" w:color="auto" w:fill="auto"/>
        <w:spacing w:after="0"/>
        <w:rPr>
          <w:sz w:val="250"/>
          <w:szCs w:val="250"/>
        </w:rPr>
      </w:pPr>
      <w:bookmarkStart w:id="297" w:name="bookmark296"/>
      <w:r>
        <w:rPr>
          <w:sz w:val="250"/>
          <w:szCs w:val="250"/>
        </w:rPr>
        <w:t>mtomnosó</w:t>
      </w:r>
      <w:bookmarkEnd w:id="297"/>
    </w:p>
    <w:p w:rsidR="00500724" w:rsidRDefault="00F30FB8">
      <w:pPr>
        <w:spacing w:line="14" w:lineRule="exact"/>
        <w:sectPr w:rsidR="00500724">
          <w:footnotePr>
            <w:numFmt w:val="chicago"/>
            <w:numRestart w:val="eachPage"/>
          </w:footnotePr>
          <w:pgSz w:w="11909" w:h="16834"/>
          <w:pgMar w:top="1534" w:right="325" w:bottom="1613" w:left="397" w:header="0" w:footer="3" w:gutter="0"/>
          <w:cols w:space="720"/>
          <w:noEndnote/>
          <w:docGrid w:linePitch="360"/>
        </w:sectPr>
      </w:pPr>
      <w:r>
        <w:rPr>
          <w:noProof/>
        </w:rPr>
        <mc:AlternateContent>
          <mc:Choice Requires="wps">
            <w:drawing>
              <wp:anchor distT="0" distB="0" distL="114300" distR="5795645" simplePos="0" relativeHeight="125829684" behindDoc="0" locked="0" layoutInCell="1" allowOverlap="1">
                <wp:simplePos x="0" y="0"/>
                <wp:positionH relativeFrom="page">
                  <wp:posOffset>407035</wp:posOffset>
                </wp:positionH>
                <wp:positionV relativeFrom="paragraph">
                  <wp:posOffset>8890</wp:posOffset>
                </wp:positionV>
                <wp:extent cx="1115695" cy="186055"/>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1115695" cy="186055"/>
                        </a:xfrm>
                        <a:prstGeom prst="rect">
                          <a:avLst/>
                        </a:prstGeom>
                        <a:noFill/>
                      </wps:spPr>
                      <wps:txbx>
                        <w:txbxContent>
                          <w:p w:rsidR="00500724" w:rsidRDefault="00F30FB8">
                            <w:pPr>
                              <w:pStyle w:val="Zkladntext20"/>
                              <w:shd w:val="clear" w:color="auto" w:fill="auto"/>
                              <w:spacing w:line="240" w:lineRule="auto"/>
                              <w:ind w:firstLine="0"/>
                              <w:jc w:val="left"/>
                            </w:pPr>
                            <w:r>
                              <w:rPr>
                                <w:b/>
                                <w:bCs/>
                              </w:rPr>
                              <w:t>ROČNÍK XVI</w:t>
                            </w:r>
                          </w:p>
                        </w:txbxContent>
                      </wps:txbx>
                      <wps:bodyPr lIns="0" tIns="0" rIns="0" bIns="0"/>
                    </wps:wsp>
                  </a:graphicData>
                </a:graphic>
              </wp:anchor>
            </w:drawing>
          </mc:Choice>
          <mc:Fallback>
            <w:pict>
              <v:shape id="_x0000_s1333" type="#_x0000_t202" style="position:absolute;margin-left:32.049999999999997pt;margin-top:0.69999999999999996pt;width:87.849999999999994pt;height:14.65pt;z-index:-125829069;mso-wrap-distance-left:9.pt;mso-wrap-distance-right:456.35000000000002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ROČNÍK XVI</w:t>
                      </w:r>
                    </w:p>
                  </w:txbxContent>
                </v:textbox>
                <w10:wrap type="topAndBottom" anchorx="page"/>
              </v:shape>
            </w:pict>
          </mc:Fallback>
        </mc:AlternateContent>
      </w:r>
      <w:r>
        <w:rPr>
          <w:noProof/>
        </w:rPr>
        <mc:AlternateContent>
          <mc:Choice Requires="wps">
            <w:drawing>
              <wp:anchor distT="0" distB="0" distL="2320925" distR="2388235" simplePos="0" relativeHeight="125829686" behindDoc="0" locked="0" layoutInCell="1" allowOverlap="1">
                <wp:simplePos x="0" y="0"/>
                <wp:positionH relativeFrom="page">
                  <wp:posOffset>2613660</wp:posOffset>
                </wp:positionH>
                <wp:positionV relativeFrom="paragraph">
                  <wp:posOffset>8890</wp:posOffset>
                </wp:positionV>
                <wp:extent cx="2316480" cy="186055"/>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2316480" cy="186055"/>
                        </a:xfrm>
                        <a:prstGeom prst="rect">
                          <a:avLst/>
                        </a:prstGeom>
                        <a:noFill/>
                      </wps:spPr>
                      <wps:txbx>
                        <w:txbxContent>
                          <w:p w:rsidR="00500724" w:rsidRDefault="00F30FB8">
                            <w:pPr>
                              <w:pStyle w:val="Zkladntext20"/>
                              <w:shd w:val="clear" w:color="auto" w:fill="auto"/>
                              <w:spacing w:line="240" w:lineRule="auto"/>
                              <w:ind w:firstLine="0"/>
                              <w:jc w:val="left"/>
                            </w:pPr>
                            <w:r>
                              <w:rPr>
                                <w:b/>
                                <w:bCs/>
                              </w:rPr>
                              <w:t>V PRAZE 29. BŘEZNA 1939</w:t>
                            </w:r>
                          </w:p>
                        </w:txbxContent>
                      </wps:txbx>
                      <wps:bodyPr lIns="0" tIns="0" rIns="0" bIns="0"/>
                    </wps:wsp>
                  </a:graphicData>
                </a:graphic>
              </wp:anchor>
            </w:drawing>
          </mc:Choice>
          <mc:Fallback>
            <w:pict>
              <v:shape id="_x0000_s1335" type="#_x0000_t202" style="position:absolute;margin-left:205.80000000000001pt;margin-top:0.69999999999999996pt;width:182.40000000000001pt;height:14.65pt;z-index:-125829067;mso-wrap-distance-left:182.75pt;mso-wrap-distance-right:188.05000000000001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V PRAZE 29. BŘEZNA 1939</w:t>
                      </w:r>
                    </w:p>
                  </w:txbxContent>
                </v:textbox>
                <w10:wrap type="topAndBottom" anchorx="page"/>
              </v:shape>
            </w:pict>
          </mc:Fallback>
        </mc:AlternateContent>
      </w:r>
      <w:r>
        <w:rPr>
          <w:noProof/>
        </w:rPr>
        <mc:AlternateContent>
          <mc:Choice Requires="wps">
            <w:drawing>
              <wp:anchor distT="0" distB="0" distL="6155690" distR="114300" simplePos="0" relativeHeight="125829688" behindDoc="0" locked="0" layoutInCell="1" allowOverlap="1">
                <wp:simplePos x="0" y="0"/>
                <wp:positionH relativeFrom="page">
                  <wp:posOffset>6447790</wp:posOffset>
                </wp:positionH>
                <wp:positionV relativeFrom="paragraph">
                  <wp:posOffset>8890</wp:posOffset>
                </wp:positionV>
                <wp:extent cx="755650" cy="186055"/>
                <wp:effectExtent l="0" t="0" r="0" b="0"/>
                <wp:wrapTopAndBottom/>
                <wp:docPr id="311" name="Shape 311"/>
                <wp:cNvGraphicFramePr/>
                <a:graphic xmlns:a="http://schemas.openxmlformats.org/drawingml/2006/main">
                  <a:graphicData uri="http://schemas.microsoft.com/office/word/2010/wordprocessingShape">
                    <wps:wsp>
                      <wps:cNvSpPr txBox="1"/>
                      <wps:spPr>
                        <a:xfrm>
                          <a:off x="0" y="0"/>
                          <a:ext cx="755650" cy="186055"/>
                        </a:xfrm>
                        <a:prstGeom prst="rect">
                          <a:avLst/>
                        </a:prstGeom>
                        <a:noFill/>
                      </wps:spPr>
                      <wps:txbx>
                        <w:txbxContent>
                          <w:p w:rsidR="00500724" w:rsidRDefault="00F30FB8">
                            <w:pPr>
                              <w:pStyle w:val="Zkladntext20"/>
                              <w:shd w:val="clear" w:color="auto" w:fill="auto"/>
                              <w:spacing w:line="240" w:lineRule="auto"/>
                              <w:ind w:firstLine="0"/>
                              <w:jc w:val="left"/>
                            </w:pPr>
                            <w:r>
                              <w:rPr>
                                <w:b/>
                                <w:bCs/>
                              </w:rPr>
                              <w:t>ZA K 2.—</w:t>
                            </w:r>
                          </w:p>
                        </w:txbxContent>
                      </wps:txbx>
                      <wps:bodyPr lIns="0" tIns="0" rIns="0" bIns="0"/>
                    </wps:wsp>
                  </a:graphicData>
                </a:graphic>
              </wp:anchor>
            </w:drawing>
          </mc:Choice>
          <mc:Fallback>
            <w:pict>
              <v:shape id="_x0000_s1337" type="#_x0000_t202" style="position:absolute;margin-left:507.69999999999999pt;margin-top:0.69999999999999996pt;width:59.5pt;height:14.65pt;z-index:-125829065;mso-wrap-distance-left:484.69999999999999pt;mso-wrap-distance-right:9.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ZA K 2.—</w:t>
                      </w:r>
                    </w:p>
                  </w:txbxContent>
                </v:textbox>
                <w10:wrap type="topAndBottom" anchorx="page"/>
              </v:shape>
            </w:pict>
          </mc:Fallback>
        </mc:AlternateContent>
      </w:r>
    </w:p>
    <w:p w:rsidR="00500724" w:rsidRDefault="00500724">
      <w:pPr>
        <w:spacing w:line="240" w:lineRule="exact"/>
        <w:rPr>
          <w:sz w:val="19"/>
          <w:szCs w:val="19"/>
        </w:rPr>
      </w:pPr>
    </w:p>
    <w:p w:rsidR="00500724" w:rsidRDefault="00500724">
      <w:pPr>
        <w:spacing w:before="83" w:after="8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534" w:right="0" w:bottom="1534" w:left="0" w:header="0" w:footer="3" w:gutter="0"/>
          <w:cols w:space="720"/>
          <w:noEndnote/>
          <w:docGrid w:linePitch="360"/>
        </w:sectPr>
      </w:pPr>
    </w:p>
    <w:p w:rsidR="00500724" w:rsidRDefault="00F30FB8">
      <w:pPr>
        <w:pStyle w:val="Titulektabulky0"/>
        <w:shd w:val="clear" w:color="auto" w:fill="auto"/>
        <w:jc w:val="left"/>
        <w:rPr>
          <w:sz w:val="34"/>
          <w:szCs w:val="34"/>
        </w:rPr>
      </w:pPr>
      <w:r>
        <w:rPr>
          <w:b w:val="0"/>
          <w:bCs w:val="0"/>
          <w:sz w:val="58"/>
          <w:szCs w:val="58"/>
        </w:rPr>
        <w:t xml:space="preserve">Když se tvořil poměr k Německu </w:t>
      </w:r>
      <w:r>
        <w:rPr>
          <w:b w:val="0"/>
          <w:bCs w:val="0"/>
          <w:smallCaps/>
          <w:sz w:val="34"/>
          <w:szCs w:val="34"/>
        </w:rPr>
        <w:t>f. peroutka</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87"/>
        <w:gridCol w:w="2678"/>
      </w:tblGrid>
      <w:tr w:rsidR="00500724">
        <w:tblPrEx>
          <w:tblCellMar>
            <w:top w:w="0" w:type="dxa"/>
            <w:bottom w:w="0" w:type="dxa"/>
          </w:tblCellMar>
        </w:tblPrEx>
        <w:trPr>
          <w:trHeight w:hRule="exact" w:val="1229"/>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rFonts w:ascii="Arial" w:eastAsia="Arial" w:hAnsi="Arial" w:cs="Arial"/>
                <w:b/>
                <w:bCs/>
                <w:w w:val="50"/>
                <w:sz w:val="72"/>
                <w:szCs w:val="72"/>
              </w:rPr>
              <w:t xml:space="preserve">O </w:t>
            </w:r>
            <w:r>
              <w:rPr>
                <w:sz w:val="58"/>
                <w:szCs w:val="58"/>
              </w:rPr>
              <w:t>střízlivosti a gestu</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MILENA</w:t>
            </w:r>
            <w:r>
              <w:rPr>
                <w:sz w:val="26"/>
                <w:szCs w:val="26"/>
              </w:rPr>
              <w:t xml:space="preserve"> JESENSKÁ</w:t>
            </w:r>
          </w:p>
        </w:tc>
      </w:tr>
      <w:tr w:rsidR="00500724">
        <w:tblPrEx>
          <w:tblCellMar>
            <w:top w:w="0" w:type="dxa"/>
            <w:bottom w:w="0" w:type="dxa"/>
          </w:tblCellMar>
        </w:tblPrEx>
        <w:trPr>
          <w:trHeight w:hRule="exact" w:val="1214"/>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Veliký proces ve vzrušené době</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JIŘÍ SOUMAR</w:t>
            </w:r>
          </w:p>
        </w:tc>
      </w:tr>
      <w:tr w:rsidR="00500724">
        <w:tblPrEx>
          <w:tblCellMar>
            <w:top w:w="0" w:type="dxa"/>
            <w:bottom w:w="0" w:type="dxa"/>
          </w:tblCellMar>
        </w:tblPrEx>
        <w:trPr>
          <w:trHeight w:hRule="exact" w:val="1200"/>
          <w:jc w:val="center"/>
        </w:trPr>
        <w:tc>
          <w:tcPr>
            <w:tcW w:w="0" w:type="auto"/>
            <w:tcBorders>
              <w:top w:val="single" w:sz="4" w:space="0" w:color="auto"/>
            </w:tcBorders>
            <w:shd w:val="clear" w:color="auto" w:fill="FFFFFF"/>
            <w:vAlign w:val="bottom"/>
          </w:tcPr>
          <w:p w:rsidR="00500724" w:rsidRDefault="00F30FB8">
            <w:pPr>
              <w:pStyle w:val="Jin0"/>
              <w:shd w:val="clear" w:color="auto" w:fill="auto"/>
              <w:ind w:firstLine="0"/>
              <w:jc w:val="left"/>
              <w:rPr>
                <w:sz w:val="72"/>
                <w:szCs w:val="72"/>
              </w:rPr>
            </w:pPr>
            <w:r>
              <w:rPr>
                <w:rFonts w:ascii="Arial" w:eastAsia="Arial" w:hAnsi="Arial" w:cs="Arial"/>
                <w:b/>
                <w:bCs/>
                <w:w w:val="50"/>
                <w:sz w:val="72"/>
                <w:szCs w:val="72"/>
              </w:rPr>
              <w:t>Němertio-nunniisbá hosnodúřská dohoda</w:t>
            </w:r>
          </w:p>
        </w:tc>
        <w:tc>
          <w:tcPr>
            <w:tcW w:w="0" w:type="auto"/>
            <w:tcBorders>
              <w:top w:val="single" w:sz="4" w:space="0" w:color="auto"/>
            </w:tcBorders>
            <w:shd w:val="clear" w:color="auto" w:fill="FFFFFF"/>
            <w:vAlign w:val="bottom"/>
          </w:tcPr>
          <w:p w:rsidR="00500724" w:rsidRDefault="00F30FB8">
            <w:pPr>
              <w:pStyle w:val="Jin0"/>
              <w:shd w:val="clear" w:color="auto" w:fill="auto"/>
              <w:ind w:firstLine="0"/>
              <w:jc w:val="right"/>
              <w:rPr>
                <w:sz w:val="26"/>
                <w:szCs w:val="26"/>
              </w:rPr>
            </w:pPr>
            <w:r>
              <w:rPr>
                <w:sz w:val="26"/>
                <w:szCs w:val="26"/>
              </w:rPr>
              <w:t>J. SEDLÁK</w:t>
            </w:r>
          </w:p>
        </w:tc>
      </w:tr>
      <w:tr w:rsidR="00500724">
        <w:tblPrEx>
          <w:tblCellMar>
            <w:top w:w="0" w:type="dxa"/>
            <w:bottom w:w="0" w:type="dxa"/>
          </w:tblCellMar>
        </w:tblPrEx>
        <w:trPr>
          <w:trHeight w:hRule="exact" w:val="1210"/>
          <w:jc w:val="center"/>
        </w:trPr>
        <w:tc>
          <w:tcPr>
            <w:tcW w:w="0" w:type="auto"/>
            <w:gridSpan w:val="2"/>
            <w:tcBorders>
              <w:top w:val="single" w:sz="4" w:space="0" w:color="auto"/>
            </w:tcBorders>
            <w:shd w:val="clear" w:color="auto" w:fill="FFFFFF"/>
            <w:vAlign w:val="bottom"/>
          </w:tcPr>
          <w:p w:rsidR="00500724" w:rsidRDefault="00F30FB8">
            <w:pPr>
              <w:pStyle w:val="Jin0"/>
              <w:shd w:val="clear" w:color="auto" w:fill="auto"/>
              <w:ind w:firstLine="0"/>
              <w:jc w:val="left"/>
              <w:rPr>
                <w:sz w:val="72"/>
                <w:szCs w:val="72"/>
              </w:rPr>
            </w:pPr>
            <w:r>
              <w:rPr>
                <w:rFonts w:ascii="Arial" w:eastAsia="Arial" w:hAnsi="Arial" w:cs="Arial"/>
                <w:b/>
                <w:bCs/>
                <w:w w:val="50"/>
                <w:sz w:val="72"/>
                <w:szCs w:val="72"/>
              </w:rPr>
              <w:t>Základní kamenv Ií hosnodárske velmoci</w:t>
            </w:r>
          </w:p>
        </w:tc>
      </w:tr>
      <w:tr w:rsidR="00500724">
        <w:tblPrEx>
          <w:tblCellMar>
            <w:top w:w="0" w:type="dxa"/>
            <w:bottom w:w="0" w:type="dxa"/>
          </w:tblCellMar>
        </w:tblPrEx>
        <w:trPr>
          <w:trHeight w:hRule="exact" w:val="1291"/>
          <w:jc w:val="center"/>
        </w:trPr>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Lidová architektura?</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LADISLAV ŽÁK</w:t>
            </w:r>
          </w:p>
        </w:tc>
      </w:tr>
    </w:tbl>
    <w:p w:rsidR="00500724" w:rsidRDefault="00F30FB8">
      <w:pPr>
        <w:pStyle w:val="Titulektabulky0"/>
        <w:shd w:val="clear" w:color="auto" w:fill="auto"/>
        <w:spacing w:line="266" w:lineRule="auto"/>
        <w:jc w:val="center"/>
        <w:rPr>
          <w:sz w:val="32"/>
          <w:szCs w:val="32"/>
        </w:rPr>
      </w:pPr>
      <w:r>
        <w:rPr>
          <w:b w:val="0"/>
          <w:bCs w:val="0"/>
          <w:sz w:val="32"/>
          <w:szCs w:val="32"/>
        </w:rPr>
        <w:t>Slovensko v jiném postavení - Ženská nová zaměstnání - Prosíme čtenáře</w:t>
      </w:r>
    </w:p>
    <w:p w:rsidR="00500724" w:rsidRDefault="00500724">
      <w:pPr>
        <w:spacing w:line="14" w:lineRule="exact"/>
        <w:sectPr w:rsidR="00500724">
          <w:footnotePr>
            <w:numFmt w:val="chicago"/>
            <w:numRestart w:val="eachPage"/>
          </w:footnotePr>
          <w:type w:val="continuous"/>
          <w:pgSz w:w="11909" w:h="16834"/>
          <w:pgMar w:top="1534" w:right="434" w:bottom="1534" w:left="506"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690" behindDoc="0" locked="0" layoutInCell="1" allowOverlap="1">
                <wp:simplePos x="0" y="0"/>
                <wp:positionH relativeFrom="page">
                  <wp:posOffset>2339340</wp:posOffset>
                </wp:positionH>
                <wp:positionV relativeFrom="paragraph">
                  <wp:posOffset>198120</wp:posOffset>
                </wp:positionV>
                <wp:extent cx="527050" cy="149225"/>
                <wp:effectExtent l="0" t="0" r="0" b="0"/>
                <wp:wrapTopAndBottom/>
                <wp:docPr id="313" name="Shape 313"/>
                <wp:cNvGraphicFramePr/>
                <a:graphic xmlns:a="http://schemas.openxmlformats.org/drawingml/2006/main">
                  <a:graphicData uri="http://schemas.microsoft.com/office/word/2010/wordprocessingShape">
                    <wps:wsp>
                      <wps:cNvSpPr txBox="1"/>
                      <wps:spPr>
                        <a:xfrm>
                          <a:off x="0" y="0"/>
                          <a:ext cx="527050" cy="149225"/>
                        </a:xfrm>
                        <a:prstGeom prst="rect">
                          <a:avLst/>
                        </a:prstGeom>
                        <a:noFill/>
                      </wps:spPr>
                      <wps:txbx>
                        <w:txbxContent>
                          <w:p w:rsidR="00500724" w:rsidRDefault="00F30FB8">
                            <w:pPr>
                              <w:pStyle w:val="Zkladntext100"/>
                              <w:shd w:val="clear" w:color="auto" w:fill="auto"/>
                              <w:spacing w:line="240" w:lineRule="auto"/>
                              <w:ind w:firstLine="0"/>
                              <w:jc w:val="left"/>
                              <w:rPr>
                                <w:sz w:val="19"/>
                                <w:szCs w:val="19"/>
                              </w:rPr>
                            </w:pPr>
                            <w:r>
                              <w:rPr>
                                <w:b/>
                                <w:bCs/>
                                <w:sz w:val="19"/>
                                <w:szCs w:val="19"/>
                              </w:rPr>
                              <w:t>JlM</w:t>
                            </w:r>
                            <w:r>
                              <w:rPr>
                                <w:b/>
                                <w:bCs/>
                                <w:sz w:val="19"/>
                                <w:szCs w:val="19"/>
                                <w:vertAlign w:val="superscript"/>
                              </w:rPr>
                              <w:t>7ř</w:t>
                            </w:r>
                            <w:r>
                              <w:rPr>
                                <w:b/>
                                <w:bCs/>
                                <w:sz w:val="19"/>
                                <w:szCs w:val="19"/>
                              </w:rPr>
                              <w:t>iF</w:t>
                            </w:r>
                            <w:r>
                              <w:rPr>
                                <w:b/>
                                <w:bCs/>
                                <w:sz w:val="19"/>
                                <w:szCs w:val="19"/>
                                <w:u w:val="single"/>
                              </w:rPr>
                              <w:t>Hl</w:t>
                            </w:r>
                            <w:r>
                              <w:rPr>
                                <w:b/>
                                <w:bCs/>
                                <w:sz w:val="19"/>
                                <w:szCs w:val="19"/>
                                <w:u w:val="single"/>
                                <w:vertAlign w:val="superscript"/>
                              </w:rPr>
                              <w:t>rrrrr</w:t>
                            </w:r>
                            <w:r>
                              <w:rPr>
                                <w:b/>
                                <w:bCs/>
                                <w:sz w:val="19"/>
                                <w:szCs w:val="19"/>
                                <w:u w:val="single"/>
                              </w:rPr>
                              <w:t>.</w:t>
                            </w:r>
                          </w:p>
                        </w:txbxContent>
                      </wps:txbx>
                      <wps:bodyPr lIns="0" tIns="0" rIns="0" bIns="0">
                        <a:spAutoFit/>
                      </wps:bodyPr>
                    </wps:wsp>
                  </a:graphicData>
                </a:graphic>
              </wp:anchor>
            </w:drawing>
          </mc:Choice>
          <mc:Fallback>
            <w:pict>
              <v:shape id="_x0000_s1339" type="#_x0000_t202" style="position:absolute;margin-left:184.19999999999999pt;margin-top:15.6pt;width:41.5pt;height:11.75pt;z-index:-125829063;mso-wrap-distance-left:9.pt;mso-wrap-distance-right:9.pt;mso-position-horizontal-relative:page"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rPr>
                          <w:sz w:val="19"/>
                          <w:szCs w:val="19"/>
                        </w:rPr>
                      </w:pPr>
                      <w:r>
                        <w:rPr>
                          <w:b/>
                          <w:bCs/>
                          <w:color w:val="000000"/>
                          <w:spacing w:val="0"/>
                          <w:w w:val="100"/>
                          <w:position w:val="0"/>
                          <w:sz w:val="19"/>
                          <w:szCs w:val="19"/>
                          <w:shd w:val="clear" w:color="auto" w:fill="auto"/>
                          <w:lang w:val="cs-CZ" w:eastAsia="cs-CZ" w:bidi="cs-CZ"/>
                        </w:rPr>
                        <w:t>JlM</w:t>
                      </w:r>
                      <w:r>
                        <w:rPr>
                          <w:b/>
                          <w:bCs/>
                          <w:color w:val="000000"/>
                          <w:spacing w:val="0"/>
                          <w:w w:val="100"/>
                          <w:position w:val="0"/>
                          <w:sz w:val="19"/>
                          <w:szCs w:val="19"/>
                          <w:shd w:val="clear" w:color="auto" w:fill="auto"/>
                          <w:vertAlign w:val="superscript"/>
                          <w:lang w:val="cs-CZ" w:eastAsia="cs-CZ" w:bidi="cs-CZ"/>
                        </w:rPr>
                        <w:t>7ř</w:t>
                      </w:r>
                      <w:r>
                        <w:rPr>
                          <w:b/>
                          <w:bCs/>
                          <w:color w:val="000000"/>
                          <w:spacing w:val="0"/>
                          <w:w w:val="100"/>
                          <w:position w:val="0"/>
                          <w:sz w:val="19"/>
                          <w:szCs w:val="19"/>
                          <w:shd w:val="clear" w:color="auto" w:fill="auto"/>
                          <w:lang w:val="cs-CZ" w:eastAsia="cs-CZ" w:bidi="cs-CZ"/>
                        </w:rPr>
                        <w:t>iF</w:t>
                      </w:r>
                      <w:r>
                        <w:rPr>
                          <w:b/>
                          <w:bCs/>
                          <w:color w:val="000000"/>
                          <w:spacing w:val="0"/>
                          <w:w w:val="100"/>
                          <w:position w:val="0"/>
                          <w:sz w:val="19"/>
                          <w:szCs w:val="19"/>
                          <w:u w:val="single"/>
                          <w:shd w:val="clear" w:color="auto" w:fill="auto"/>
                          <w:lang w:val="cs-CZ" w:eastAsia="cs-CZ" w:bidi="cs-CZ"/>
                        </w:rPr>
                        <w:t>Hl</w:t>
                      </w:r>
                      <w:r>
                        <w:rPr>
                          <w:b/>
                          <w:bCs/>
                          <w:color w:val="000000"/>
                          <w:spacing w:val="0"/>
                          <w:w w:val="100"/>
                          <w:position w:val="0"/>
                          <w:sz w:val="19"/>
                          <w:szCs w:val="19"/>
                          <w:u w:val="single"/>
                          <w:shd w:val="clear" w:color="auto" w:fill="auto"/>
                          <w:vertAlign w:val="superscript"/>
                          <w:lang w:val="cs-CZ" w:eastAsia="cs-CZ" w:bidi="cs-CZ"/>
                        </w:rPr>
                        <w:t>rrrrr</w:t>
                      </w:r>
                      <w:r>
                        <w:rPr>
                          <w:b/>
                          <w:bCs/>
                          <w:color w:val="000000"/>
                          <w:spacing w:val="0"/>
                          <w:w w:val="100"/>
                          <w:position w:val="0"/>
                          <w:sz w:val="19"/>
                          <w:szCs w:val="19"/>
                          <w:u w:val="single"/>
                          <w:shd w:val="clear" w:color="auto" w:fill="auto"/>
                          <w:lang w:val="cs-CZ" w:eastAsia="cs-CZ" w:bidi="cs-CZ"/>
                        </w:rPr>
                        <w:t>.</w:t>
                      </w:r>
                    </w:p>
                  </w:txbxContent>
                </v:textbox>
                <w10:wrap type="topAndBottom" anchorx="page"/>
              </v:shape>
            </w:pict>
          </mc:Fallback>
        </mc:AlternateContent>
      </w:r>
      <w:r>
        <w:rPr>
          <w:noProof/>
        </w:rPr>
        <mc:AlternateContent>
          <mc:Choice Requires="wps">
            <w:drawing>
              <wp:anchor distT="0" distB="0" distL="0" distR="0" simplePos="0" relativeHeight="125829692" behindDoc="0" locked="0" layoutInCell="1" allowOverlap="1">
                <wp:simplePos x="0" y="0"/>
                <wp:positionH relativeFrom="page">
                  <wp:posOffset>510540</wp:posOffset>
                </wp:positionH>
                <wp:positionV relativeFrom="paragraph">
                  <wp:posOffset>289560</wp:posOffset>
                </wp:positionV>
                <wp:extent cx="2340610" cy="277495"/>
                <wp:effectExtent l="0" t="0" r="0" b="0"/>
                <wp:wrapSquare wrapText="right"/>
                <wp:docPr id="315" name="Shape 315"/>
                <wp:cNvGraphicFramePr/>
                <a:graphic xmlns:a="http://schemas.openxmlformats.org/drawingml/2006/main">
                  <a:graphicData uri="http://schemas.microsoft.com/office/word/2010/wordprocessingShape">
                    <wps:wsp>
                      <wps:cNvSpPr txBox="1"/>
                      <wps:spPr>
                        <a:xfrm>
                          <a:off x="0" y="0"/>
                          <a:ext cx="2340610" cy="27749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color w:val="FFFFFF"/>
                                <w:sz w:val="30"/>
                                <w:szCs w:val="30"/>
                              </w:rPr>
                              <w:t xml:space="preserve">LÁ Z </w:t>
                            </w:r>
                            <w:r>
                              <w:rPr>
                                <w:b/>
                                <w:bCs/>
                                <w:color w:val="FFFFFF"/>
                                <w:sz w:val="34"/>
                                <w:szCs w:val="34"/>
                              </w:rPr>
                              <w:t>ŇÍV E L</w:t>
                            </w:r>
                            <w:r>
                              <w:rPr>
                                <w:b/>
                                <w:bCs/>
                                <w:color w:val="FFFFFF"/>
                                <w:sz w:val="34"/>
                                <w:szCs w:val="34"/>
                                <w:lang w:val="en-US" w:eastAsia="en-US" w:bidi="en-US"/>
                              </w:rPr>
                              <w:t>I</w:t>
                            </w:r>
                            <w:r>
                              <w:rPr>
                                <w:b/>
                                <w:bCs/>
                                <w:color w:val="FFFFFF"/>
                                <w:sz w:val="34"/>
                                <w:szCs w:val="34"/>
                              </w:rPr>
                              <w:t>C HOV K V</w:t>
                            </w:r>
                          </w:p>
                        </w:txbxContent>
                      </wps:txbx>
                      <wps:bodyPr lIns="0" tIns="0" rIns="0" bIns="0">
                        <a:spAutoFit/>
                      </wps:bodyPr>
                    </wps:wsp>
                  </a:graphicData>
                </a:graphic>
              </wp:anchor>
            </w:drawing>
          </mc:Choice>
          <mc:Fallback>
            <w:pict>
              <v:shape id="_x0000_s1341" type="#_x0000_t202" style="position:absolute;margin-left:40.200000000000003pt;margin-top:22.800000000000001pt;width:184.30000000000001pt;height:21.850000000000001pt;z-index:-125829061;mso-wrap-distance-left:0;mso-wrap-distance-right:0;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color w:val="FFFFFF"/>
                          <w:spacing w:val="0"/>
                          <w:w w:val="100"/>
                          <w:position w:val="0"/>
                          <w:sz w:val="30"/>
                          <w:szCs w:val="30"/>
                          <w:shd w:val="clear" w:color="auto" w:fill="auto"/>
                          <w:lang w:val="cs-CZ" w:eastAsia="cs-CZ" w:bidi="cs-CZ"/>
                        </w:rPr>
                        <w:t xml:space="preserve">LÁ Z </w:t>
                      </w:r>
                      <w:r>
                        <w:rPr>
                          <w:b/>
                          <w:bCs/>
                          <w:color w:val="FFFFFF"/>
                          <w:spacing w:val="0"/>
                          <w:w w:val="100"/>
                          <w:position w:val="0"/>
                          <w:sz w:val="34"/>
                          <w:szCs w:val="34"/>
                          <w:shd w:val="clear" w:color="auto" w:fill="auto"/>
                          <w:lang w:val="cs-CZ" w:eastAsia="cs-CZ" w:bidi="cs-CZ"/>
                        </w:rPr>
                        <w:t>ŇÍV E L</w:t>
                      </w:r>
                      <w:r>
                        <w:rPr>
                          <w:b/>
                          <w:bCs/>
                          <w:color w:val="FFFFFF"/>
                          <w:spacing w:val="0"/>
                          <w:w w:val="100"/>
                          <w:position w:val="0"/>
                          <w:sz w:val="34"/>
                          <w:szCs w:val="34"/>
                          <w:shd w:val="clear" w:color="auto" w:fill="auto"/>
                          <w:lang w:val="en-US" w:eastAsia="en-US" w:bidi="en-US"/>
                        </w:rPr>
                        <w:t>I</w:t>
                      </w:r>
                      <w:r>
                        <w:rPr>
                          <w:b/>
                          <w:bCs/>
                          <w:color w:val="FFFFFF"/>
                          <w:spacing w:val="0"/>
                          <w:w w:val="100"/>
                          <w:position w:val="0"/>
                          <w:sz w:val="34"/>
                          <w:szCs w:val="34"/>
                          <w:shd w:val="clear" w:color="auto" w:fill="auto"/>
                          <w:lang w:val="cs-CZ" w:eastAsia="cs-CZ" w:bidi="cs-CZ"/>
                        </w:rPr>
                        <w:t>C HOV K V</w:t>
                      </w:r>
                    </w:p>
                  </w:txbxContent>
                </v:textbox>
                <w10:wrap type="square" side="right" anchorx="page"/>
              </v:shape>
            </w:pict>
          </mc:Fallback>
        </mc:AlternateContent>
      </w:r>
    </w:p>
    <w:p w:rsidR="00500724" w:rsidRDefault="00F30FB8">
      <w:pPr>
        <w:pStyle w:val="Zkladntext50"/>
        <w:shd w:val="clear" w:color="auto" w:fill="auto"/>
        <w:spacing w:line="240" w:lineRule="auto"/>
        <w:ind w:left="2340"/>
        <w:jc w:val="left"/>
        <w:rPr>
          <w:sz w:val="18"/>
          <w:szCs w:val="18"/>
        </w:rPr>
      </w:pPr>
      <w:r>
        <w:rPr>
          <w:rFonts w:ascii="Times New Roman" w:eastAsia="Times New Roman" w:hAnsi="Times New Roman" w:cs="Times New Roman"/>
          <w:sz w:val="20"/>
          <w:szCs w:val="20"/>
        </w:rPr>
        <w:t xml:space="preserve">SEUNOVÍ </w:t>
      </w:r>
      <w:r>
        <w:rPr>
          <w:smallCaps/>
          <w:sz w:val="18"/>
          <w:szCs w:val="18"/>
        </w:rPr>
        <w:t>aVODOLÉCEGNO</w:t>
      </w:r>
    </w:p>
    <w:p w:rsidR="00500724" w:rsidRDefault="00F30FB8">
      <w:pPr>
        <w:pStyle w:val="Jin0"/>
        <w:shd w:val="clear" w:color="auto" w:fill="auto"/>
        <w:spacing w:before="160"/>
        <w:ind w:firstLine="0"/>
        <w:jc w:val="left"/>
        <w:rPr>
          <w:sz w:val="26"/>
          <w:szCs w:val="26"/>
        </w:rPr>
      </w:pPr>
      <w:r>
        <w:rPr>
          <w:rFonts w:ascii="Arial" w:eastAsia="Arial" w:hAnsi="Arial" w:cs="Arial"/>
          <w:b/>
          <w:bCs/>
          <w:sz w:val="26"/>
          <w:szCs w:val="26"/>
        </w:rPr>
        <w:t>u Jaroměře</w:t>
      </w:r>
    </w:p>
    <w:p w:rsidR="00500724" w:rsidRDefault="00F30FB8">
      <w:pPr>
        <w:pStyle w:val="Zkladntext100"/>
        <w:shd w:val="clear" w:color="auto" w:fill="auto"/>
        <w:spacing w:after="60" w:line="211" w:lineRule="auto"/>
        <w:ind w:firstLine="0"/>
        <w:jc w:val="left"/>
      </w:pPr>
      <w:r>
        <w:t>Sezóna od 1. března</w:t>
      </w:r>
    </w:p>
    <w:p w:rsidR="00500724" w:rsidRDefault="00F30FB8">
      <w:pPr>
        <w:pStyle w:val="Zkladntext20"/>
        <w:shd w:val="clear" w:color="auto" w:fill="auto"/>
        <w:spacing w:line="240" w:lineRule="auto"/>
        <w:ind w:left="380" w:firstLine="0"/>
        <w:jc w:val="left"/>
        <w:rPr>
          <w:sz w:val="20"/>
          <w:szCs w:val="20"/>
        </w:rPr>
      </w:pPr>
      <w:r>
        <w:rPr>
          <w:b/>
          <w:bCs/>
          <w:sz w:val="20"/>
          <w:szCs w:val="20"/>
        </w:rPr>
        <w:t>Revma, dna, iscbias, nervosy, ženské choroby</w:t>
      </w:r>
    </w:p>
    <w:p w:rsidR="00500724" w:rsidRDefault="00F30FB8">
      <w:pPr>
        <w:pStyle w:val="Nadpis110"/>
        <w:shd w:val="clear" w:color="auto" w:fill="auto"/>
        <w:spacing w:after="580"/>
        <w:ind w:left="380"/>
      </w:pPr>
      <w:bookmarkStart w:id="298" w:name="bookmark297"/>
      <w:r>
        <w:t>Levné jarní paušály od K 960*-za 3 týdny</w:t>
      </w:r>
      <w:bookmarkEnd w:id="298"/>
    </w:p>
    <w:p w:rsidR="00500724" w:rsidRDefault="00F30FB8">
      <w:pPr>
        <w:pStyle w:val="Jin0"/>
        <w:shd w:val="clear" w:color="auto" w:fill="auto"/>
        <w:spacing w:line="194" w:lineRule="auto"/>
        <w:ind w:left="140" w:firstLine="20"/>
        <w:jc w:val="left"/>
        <w:rPr>
          <w:sz w:val="32"/>
          <w:szCs w:val="32"/>
        </w:rPr>
      </w:pPr>
      <w:r>
        <w:rPr>
          <w:rFonts w:ascii="Arial" w:eastAsia="Arial" w:hAnsi="Arial" w:cs="Arial"/>
          <w:b/>
          <w:bCs/>
          <w:sz w:val="32"/>
          <w:szCs w:val="32"/>
        </w:rPr>
        <w:t>Dopřejte dětem volnosti! Sport je zocelil</w:t>
      </w:r>
    </w:p>
    <w:p w:rsidR="00500724" w:rsidRDefault="00F30FB8">
      <w:pPr>
        <w:pStyle w:val="Zkladntext100"/>
        <w:shd w:val="clear" w:color="auto" w:fill="auto"/>
        <w:spacing w:after="120" w:line="233" w:lineRule="auto"/>
        <w:ind w:left="140" w:firstLine="20"/>
        <w:jc w:val="left"/>
      </w:pPr>
      <w:r>
        <w:t>Slunce, voda a vzduch jsou jejich radosfí</w:t>
      </w:r>
    </w:p>
    <w:p w:rsidR="00500724" w:rsidRDefault="00F30FB8">
      <w:pPr>
        <w:pStyle w:val="Zkladntext100"/>
        <w:shd w:val="clear" w:color="auto" w:fill="auto"/>
        <w:spacing w:after="60" w:line="240" w:lineRule="auto"/>
        <w:ind w:firstLine="0"/>
        <w:jc w:val="right"/>
      </w:pPr>
      <w:r>
        <w:t>Postarejte se však o jejich</w:t>
      </w:r>
    </w:p>
    <w:p w:rsidR="00500724" w:rsidRDefault="00F30FB8">
      <w:pPr>
        <w:pStyle w:val="Jin0"/>
        <w:shd w:val="clear" w:color="auto" w:fill="auto"/>
        <w:spacing w:line="216" w:lineRule="auto"/>
        <w:ind w:firstLine="0"/>
        <w:jc w:val="right"/>
        <w:rPr>
          <w:sz w:val="36"/>
          <w:szCs w:val="36"/>
        </w:rPr>
      </w:pPr>
      <w:r>
        <w:rPr>
          <w:rFonts w:ascii="Arial" w:eastAsia="Arial" w:hAnsi="Arial" w:cs="Arial"/>
          <w:b/>
          <w:bCs/>
          <w:sz w:val="36"/>
          <w:szCs w:val="36"/>
        </w:rPr>
        <w:t>úrazové pojištění!</w:t>
      </w:r>
    </w:p>
    <w:p w:rsidR="00500724" w:rsidRDefault="00F30FB8">
      <w:pPr>
        <w:pStyle w:val="Zkladntext20"/>
        <w:shd w:val="clear" w:color="auto" w:fill="auto"/>
        <w:spacing w:after="60" w:line="223" w:lineRule="auto"/>
        <w:ind w:firstLine="0"/>
        <w:jc w:val="right"/>
        <w:rPr>
          <w:sz w:val="20"/>
          <w:szCs w:val="20"/>
        </w:rPr>
      </w:pPr>
      <w:r>
        <w:rPr>
          <w:sz w:val="20"/>
          <w:szCs w:val="20"/>
        </w:rPr>
        <w:t>Napište nám o vysvětlení:</w:t>
      </w:r>
    </w:p>
    <w:p w:rsidR="00500724" w:rsidRDefault="00F30FB8">
      <w:pPr>
        <w:pStyle w:val="Jin0"/>
        <w:shd w:val="clear" w:color="auto" w:fill="auto"/>
        <w:spacing w:line="197" w:lineRule="auto"/>
        <w:ind w:firstLine="0"/>
        <w:jc w:val="right"/>
        <w:rPr>
          <w:sz w:val="42"/>
          <w:szCs w:val="42"/>
        </w:rPr>
      </w:pPr>
      <w:r>
        <w:rPr>
          <w:rFonts w:ascii="Calibri" w:eastAsia="Calibri" w:hAnsi="Calibri" w:cs="Calibri"/>
          <w:b/>
          <w:bCs/>
          <w:w w:val="70"/>
          <w:sz w:val="42"/>
          <w:szCs w:val="42"/>
        </w:rPr>
        <w:t>Česko-Slovenská akciová pojišťovna</w:t>
      </w:r>
    </w:p>
    <w:p w:rsidR="00500724" w:rsidRDefault="00F30FB8">
      <w:pPr>
        <w:pStyle w:val="Zkladntext20"/>
        <w:shd w:val="clear" w:color="auto" w:fill="auto"/>
        <w:spacing w:after="640" w:line="240" w:lineRule="auto"/>
        <w:ind w:firstLine="0"/>
        <w:jc w:val="right"/>
        <w:rPr>
          <w:sz w:val="20"/>
          <w:szCs w:val="20"/>
        </w:rPr>
      </w:pPr>
      <w:r>
        <w:rPr>
          <w:b/>
          <w:bCs/>
          <w:sz w:val="20"/>
          <w:szCs w:val="20"/>
        </w:rPr>
        <w:t>Praha II., Spálená 49. Telefony 344-41-4</w:t>
      </w:r>
    </w:p>
    <w:p w:rsidR="00500724" w:rsidRDefault="00F30FB8">
      <w:pPr>
        <w:pStyle w:val="Jin0"/>
        <w:shd w:val="clear" w:color="auto" w:fill="auto"/>
        <w:spacing w:after="60"/>
        <w:ind w:left="140" w:firstLine="20"/>
        <w:jc w:val="left"/>
        <w:rPr>
          <w:sz w:val="26"/>
          <w:szCs w:val="26"/>
        </w:rPr>
      </w:pPr>
      <w:r>
        <w:rPr>
          <w:b/>
          <w:bCs/>
          <w:i/>
          <w:iCs/>
          <w:sz w:val="26"/>
          <w:szCs w:val="26"/>
        </w:rPr>
        <w:t>Svétovou sensací</w:t>
      </w:r>
    </w:p>
    <w:p w:rsidR="00500724" w:rsidRDefault="00F30FB8">
      <w:pPr>
        <w:pStyle w:val="Nadpis110"/>
        <w:shd w:val="clear" w:color="auto" w:fill="auto"/>
        <w:spacing w:after="60"/>
        <w:ind w:left="660"/>
      </w:pPr>
      <w:bookmarkStart w:id="299" w:name="bookmark298"/>
      <w:r>
        <w:t>prvního řádu jsou</w:t>
      </w:r>
      <w:bookmarkEnd w:id="299"/>
    </w:p>
    <w:p w:rsidR="00500724" w:rsidRDefault="00F30FB8">
      <w:pPr>
        <w:pStyle w:val="Jin0"/>
        <w:shd w:val="clear" w:color="auto" w:fill="auto"/>
        <w:spacing w:after="60"/>
        <w:ind w:firstLine="0"/>
        <w:jc w:val="right"/>
        <w:rPr>
          <w:sz w:val="36"/>
          <w:szCs w:val="36"/>
        </w:rPr>
      </w:pPr>
      <w:r>
        <w:rPr>
          <w:rFonts w:ascii="Arial" w:eastAsia="Arial" w:hAnsi="Arial" w:cs="Arial"/>
          <w:b/>
          <w:bCs/>
          <w:sz w:val="36"/>
          <w:szCs w:val="36"/>
        </w:rPr>
        <w:t>švýcarské psací stroje</w:t>
      </w:r>
    </w:p>
    <w:p w:rsidR="00500724" w:rsidRDefault="00F30FB8">
      <w:pPr>
        <w:spacing w:line="1" w:lineRule="exact"/>
        <w:rPr>
          <w:sz w:val="2"/>
          <w:szCs w:val="2"/>
        </w:rPr>
      </w:pPr>
      <w:r>
        <w:br w:type="column"/>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180"/>
        <w:jc w:val="center"/>
      </w:pPr>
      <w:bookmarkStart w:id="300" w:name="bookmark299"/>
      <w:r>
        <w:rPr>
          <w:color w:val="FFFFFF"/>
        </w:rPr>
        <w:t>ODBORNÍ LEKAftl</w:t>
      </w:r>
      <w:bookmarkEnd w:id="300"/>
    </w:p>
    <w:p w:rsidR="00500724" w:rsidRDefault="00F30FB8">
      <w:pPr>
        <w:pStyle w:val="Jin0"/>
        <w:shd w:val="clear" w:color="auto" w:fill="auto"/>
        <w:spacing w:after="40"/>
        <w:ind w:firstLine="0"/>
        <w:jc w:val="left"/>
        <w:rPr>
          <w:sz w:val="50"/>
          <w:szCs w:val="50"/>
        </w:rPr>
      </w:pPr>
      <w:r>
        <w:rPr>
          <w:sz w:val="50"/>
          <w:szCs w:val="50"/>
        </w:rPr>
        <w:t>Sanatorium Dr. Borůvka</w:t>
      </w:r>
    </w:p>
    <w:p w:rsidR="00500724" w:rsidRDefault="00F30FB8">
      <w:pPr>
        <w:pStyle w:val="Zkladntext100"/>
        <w:shd w:val="clear" w:color="auto" w:fill="auto"/>
        <w:spacing w:after="300" w:line="173" w:lineRule="auto"/>
        <w:ind w:firstLine="0"/>
      </w:pPr>
      <w:r>
        <w:t xml:space="preserve">ústav pro choroby chirurgické, ženské a porody, </w:t>
      </w:r>
      <w:r>
        <w:rPr>
          <w:b/>
          <w:bCs/>
          <w:sz w:val="19"/>
          <w:szCs w:val="19"/>
        </w:rPr>
        <w:t xml:space="preserve">PRAHA H., </w:t>
      </w:r>
      <w:r>
        <w:rPr>
          <w:b/>
          <w:bCs/>
          <w:sz w:val="19"/>
          <w:szCs w:val="19"/>
          <w:u w:val="single"/>
        </w:rPr>
        <w:t xml:space="preserve">LEGEROVA </w:t>
      </w:r>
      <w:r>
        <w:rPr>
          <w:u w:val="single"/>
        </w:rPr>
        <w:t>61/68. Telefony 212-37. 379-06. 332-38.</w:t>
      </w:r>
    </w:p>
    <w:p w:rsidR="00500724" w:rsidRDefault="00F30FB8">
      <w:pPr>
        <w:pStyle w:val="Zkladntext100"/>
        <w:shd w:val="clear" w:color="auto" w:fill="auto"/>
        <w:spacing w:line="175" w:lineRule="auto"/>
        <w:ind w:firstLine="0"/>
        <w:jc w:val="right"/>
      </w:pPr>
      <w:r>
        <w:rPr>
          <w:rFonts w:ascii="Arial" w:eastAsia="Arial" w:hAnsi="Arial" w:cs="Arial"/>
          <w:b/>
          <w:bCs/>
          <w:sz w:val="22"/>
          <w:szCs w:val="22"/>
        </w:rPr>
        <w:t xml:space="preserve">MUDr. Frankl </w:t>
      </w:r>
      <w:r>
        <w:t>stře v n í nemocia roentgenologii. PRAHA H., NEKAZANKA 4, II. patro. Ord. 9—10. 3—4.</w:t>
      </w:r>
    </w:p>
    <w:p w:rsidR="00500724" w:rsidRDefault="00F30FB8">
      <w:pPr>
        <w:pStyle w:val="Zkladntext100"/>
        <w:pBdr>
          <w:bottom w:val="single" w:sz="4" w:space="0" w:color="auto"/>
        </w:pBdr>
        <w:shd w:val="clear" w:color="auto" w:fill="auto"/>
        <w:spacing w:after="180" w:line="194" w:lineRule="auto"/>
        <w:ind w:left="2560" w:firstLine="0"/>
        <w:jc w:val="left"/>
      </w:pPr>
      <w:r>
        <w:t xml:space="preserve">Telefon </w:t>
      </w:r>
      <w:r>
        <w:t>234-13.</w:t>
      </w:r>
    </w:p>
    <w:p w:rsidR="00500724" w:rsidRDefault="00F30FB8">
      <w:pPr>
        <w:pStyle w:val="Zkladntext100"/>
        <w:shd w:val="clear" w:color="auto" w:fill="auto"/>
        <w:spacing w:after="120" w:line="156" w:lineRule="auto"/>
        <w:ind w:firstLine="0"/>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t xml:space="preserve">odborný lékař pro choroby </w:t>
      </w:r>
      <w:r>
        <w:rPr>
          <w:b/>
          <w:bCs/>
          <w:sz w:val="19"/>
          <w:szCs w:val="19"/>
        </w:rPr>
        <w:t xml:space="preserve">Muur. crvm rronucn, </w:t>
      </w:r>
      <w:r>
        <w:rPr>
          <w:b/>
          <w:bCs/>
          <w:sz w:val="19"/>
          <w:szCs w:val="19"/>
          <w:vertAlign w:val="subscript"/>
        </w:rPr>
        <w:t>vnitřní</w:t>
      </w:r>
      <w:r>
        <w:rPr>
          <w:b/>
          <w:bCs/>
          <w:sz w:val="19"/>
          <w:szCs w:val="19"/>
        </w:rPr>
        <w:t xml:space="preserve"> </w:t>
      </w:r>
      <w:r>
        <w:t xml:space="preserve">žaludeční, střevní a výměny látek, em. </w:t>
      </w:r>
      <w:r>
        <w:rPr>
          <w:lang w:val="en-US" w:eastAsia="en-US" w:bidi="en-US"/>
        </w:rPr>
        <w:t xml:space="preserve">esistent </w:t>
      </w:r>
      <w:r>
        <w:t xml:space="preserve">I. med. kliniky </w:t>
      </w:r>
      <w:r>
        <w:rPr>
          <w:lang w:val="en-US" w:eastAsia="en-US" w:bidi="en-US"/>
        </w:rPr>
        <w:t xml:space="preserve">prof. </w:t>
      </w:r>
      <w:r>
        <w:t xml:space="preserve">Schmidta. </w:t>
      </w:r>
      <w:r>
        <w:rPr>
          <w:u w:val="single"/>
        </w:rPr>
        <w:t xml:space="preserve">PRAHA </w:t>
      </w:r>
      <w:r>
        <w:rPr>
          <w:rFonts w:ascii="Arial" w:eastAsia="Arial" w:hAnsi="Arial" w:cs="Arial"/>
          <w:b/>
          <w:bCs/>
          <w:sz w:val="22"/>
          <w:szCs w:val="22"/>
          <w:u w:val="single"/>
        </w:rPr>
        <w:t xml:space="preserve">I., </w:t>
      </w:r>
      <w:r>
        <w:rPr>
          <w:u w:val="single"/>
        </w:rPr>
        <w:t>Na Příkopech 35. Ord. 9-10. %3-’A5. Telef. 228-91.</w:t>
      </w:r>
    </w:p>
    <w:p w:rsidR="00500724" w:rsidRDefault="00F30FB8">
      <w:pPr>
        <w:pStyle w:val="Nadpis110"/>
        <w:shd w:val="clear" w:color="auto" w:fill="auto"/>
        <w:spacing w:after="40"/>
        <w:jc w:val="both"/>
      </w:pPr>
      <w:bookmarkStart w:id="301" w:name="bookmark300"/>
      <w:r>
        <w:t>MUDr. ZDENKA NEDVĚDOVÁ-NEJEDLÁ</w:t>
      </w:r>
      <w:bookmarkEnd w:id="301"/>
    </w:p>
    <w:p w:rsidR="00500724" w:rsidRDefault="00F30FB8">
      <w:pPr>
        <w:pStyle w:val="Zkladntext100"/>
        <w:shd w:val="clear" w:color="auto" w:fill="auto"/>
        <w:spacing w:after="40" w:line="178" w:lineRule="auto"/>
        <w:ind w:firstLine="0"/>
        <w:jc w:val="right"/>
      </w:pPr>
      <w:r>
        <w:t xml:space="preserve">odb. dětská lékařka, PODOLÍ, PANKRÁCKÁ 14 (stanice elektr. </w:t>
      </w:r>
      <w:r>
        <w:rPr>
          <w:u w:val="single"/>
        </w:rPr>
        <w:t>dráhy za Podol, sanatoriem). Ord. 9—10 a 2—4, Tel. 441-77.</w:t>
      </w:r>
    </w:p>
    <w:p w:rsidR="00500724" w:rsidRDefault="00F30FB8">
      <w:pPr>
        <w:pStyle w:val="Zkladntext100"/>
        <w:shd w:val="clear" w:color="auto" w:fill="auto"/>
        <w:spacing w:line="168" w:lineRule="auto"/>
        <w:ind w:left="4520" w:firstLine="0"/>
        <w:jc w:val="left"/>
        <w:rPr>
          <w:sz w:val="19"/>
          <w:szCs w:val="19"/>
        </w:rPr>
      </w:pPr>
      <w:r>
        <w:rPr>
          <w:b/>
          <w:bCs/>
          <w:sz w:val="19"/>
          <w:szCs w:val="19"/>
        </w:rPr>
        <w:t>V</w:t>
      </w:r>
    </w:p>
    <w:p w:rsidR="00500724" w:rsidRDefault="00F30FB8">
      <w:pPr>
        <w:pStyle w:val="Zkladntext100"/>
        <w:shd w:val="clear" w:color="auto" w:fill="auto"/>
        <w:spacing w:after="40" w:line="146"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40" w:line="178" w:lineRule="auto"/>
        <w:ind w:firstLine="0"/>
        <w:jc w:val="right"/>
      </w:pPr>
      <w:r>
        <w:t>ord. 3—4 (a podle úmluvy). Telefon 393-79. PRAHA H.. VO</w:t>
      </w:r>
      <w:r>
        <w:softHyphen/>
      </w:r>
      <w:r>
        <w:rPr>
          <w:u w:val="single"/>
        </w:rPr>
        <w:t xml:space="preserve">DIČKOVA 15. (Hlávkův nalác.) </w:t>
      </w:r>
    </w:p>
    <w:p w:rsidR="00500724" w:rsidRDefault="00F30FB8">
      <w:pPr>
        <w:pStyle w:val="Nadpis110"/>
        <w:shd w:val="clear" w:color="auto" w:fill="auto"/>
        <w:spacing w:after="40"/>
        <w:jc w:val="both"/>
      </w:pPr>
      <w:bookmarkStart w:id="302" w:name="bookmark301"/>
      <w:r>
        <w:t>MUDr.</w:t>
      </w:r>
      <w:r>
        <w:t xml:space="preserve"> EMIL VOGL</w:t>
      </w:r>
      <w:bookmarkEnd w:id="302"/>
    </w:p>
    <w:p w:rsidR="00500724" w:rsidRDefault="00F30FB8">
      <w:pPr>
        <w:pStyle w:val="Zkladntext100"/>
        <w:shd w:val="clear" w:color="auto" w:fill="auto"/>
        <w:spacing w:line="178" w:lineRule="auto"/>
        <w:ind w:firstLine="0"/>
      </w:pPr>
      <w:r>
        <w:t>odborný lékař pro nemoci vnitřní, Praha H., LÚTZOWOVA</w:t>
      </w:r>
    </w:p>
    <w:p w:rsidR="00500724" w:rsidRDefault="00F30FB8">
      <w:pPr>
        <w:pStyle w:val="Zkladntext100"/>
        <w:numPr>
          <w:ilvl w:val="0"/>
          <w:numId w:val="35"/>
        </w:numPr>
        <w:pBdr>
          <w:bottom w:val="single" w:sz="4" w:space="0" w:color="auto"/>
        </w:pBdr>
        <w:shd w:val="clear" w:color="auto" w:fill="auto"/>
        <w:tabs>
          <w:tab w:val="left" w:pos="397"/>
        </w:tabs>
        <w:spacing w:after="300" w:line="178" w:lineRule="auto"/>
        <w:ind w:firstLine="0"/>
      </w:pPr>
      <w:r>
        <w:t>roh Washingtonovy. Ord. 9—11, 2—4. Telefon 226-65.</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400"/>
        <w:jc w:val="center"/>
      </w:pPr>
      <w:bookmarkStart w:id="303" w:name="bookmark302"/>
      <w:r>
        <w:rPr>
          <w:color w:val="FFFFFF"/>
        </w:rPr>
        <w:t>VAS VKUS I NÁROKY USPOKOJÍ</w:t>
      </w:r>
      <w:bookmarkEnd w:id="303"/>
    </w:p>
    <w:p w:rsidR="00500724" w:rsidRDefault="00F30FB8">
      <w:pPr>
        <w:pStyle w:val="Jin0"/>
        <w:shd w:val="clear" w:color="auto" w:fill="auto"/>
        <w:ind w:firstLine="0"/>
        <w:jc w:val="center"/>
        <w:rPr>
          <w:sz w:val="26"/>
          <w:szCs w:val="26"/>
        </w:rPr>
      </w:pPr>
      <w:r>
        <w:rPr>
          <w:rFonts w:ascii="Arial" w:eastAsia="Arial" w:hAnsi="Arial" w:cs="Arial"/>
          <w:b/>
          <w:bCs/>
          <w:sz w:val="26"/>
          <w:szCs w:val="26"/>
        </w:rPr>
        <w:t>KRAUS&amp;SPOL.</w:t>
      </w:r>
    </w:p>
    <w:p w:rsidR="00500724" w:rsidRDefault="00F30FB8">
      <w:pPr>
        <w:pStyle w:val="Nadpis110"/>
        <w:shd w:val="clear" w:color="auto" w:fill="auto"/>
        <w:jc w:val="center"/>
      </w:pPr>
      <w:bookmarkStart w:id="304" w:name="bookmark303"/>
      <w:r>
        <w:rPr>
          <w:rFonts w:ascii="Times New Roman" w:eastAsia="Times New Roman" w:hAnsi="Times New Roman" w:cs="Times New Roman"/>
        </w:rPr>
        <w:t>krejčí pro pány a dámy</w:t>
      </w:r>
      <w:bookmarkEnd w:id="304"/>
    </w:p>
    <w:p w:rsidR="00500724" w:rsidRDefault="00F30FB8">
      <w:pPr>
        <w:pStyle w:val="Nadpis120"/>
        <w:shd w:val="clear" w:color="auto" w:fill="auto"/>
        <w:spacing w:line="230" w:lineRule="auto"/>
        <w:ind w:left="0" w:right="200"/>
        <w:jc w:val="right"/>
      </w:pPr>
      <w:bookmarkStart w:id="305" w:name="bookmark304"/>
      <w:r>
        <w:t>PRAHA H,</w:t>
      </w:r>
      <w:bookmarkEnd w:id="305"/>
    </w:p>
    <w:p w:rsidR="00500724" w:rsidRDefault="00F30FB8">
      <w:pPr>
        <w:pStyle w:val="Zkladntext20"/>
        <w:shd w:val="clear" w:color="auto" w:fill="auto"/>
        <w:tabs>
          <w:tab w:val="left" w:pos="3832"/>
        </w:tabs>
        <w:spacing w:after="240" w:line="204" w:lineRule="auto"/>
        <w:ind w:left="160" w:firstLine="0"/>
      </w:pPr>
      <w:r>
        <w:rPr>
          <w:sz w:val="20"/>
          <w:szCs w:val="20"/>
        </w:rPr>
        <w:t>Telefon 309-69</w:t>
      </w:r>
      <w:r>
        <w:rPr>
          <w:sz w:val="20"/>
          <w:szCs w:val="20"/>
        </w:rPr>
        <w:tab/>
      </w:r>
      <w:r>
        <w:t>Panská ul. 10</w:t>
      </w:r>
    </w:p>
    <w:p w:rsidR="00500724" w:rsidRDefault="00F30FB8">
      <w:pPr>
        <w:pStyle w:val="Zkladntext40"/>
        <w:shd w:val="clear" w:color="auto" w:fill="auto"/>
        <w:spacing w:after="40" w:line="240" w:lineRule="auto"/>
        <w:jc w:val="center"/>
        <w:rPr>
          <w:sz w:val="14"/>
          <w:szCs w:val="14"/>
        </w:rPr>
      </w:pPr>
      <w:r>
        <w:rPr>
          <w:b/>
          <w:bCs/>
          <w:sz w:val="14"/>
          <w:szCs w:val="14"/>
        </w:rPr>
        <w:t>OBUV PRO VYŠŠÍ NÁROKY</w:t>
      </w:r>
    </w:p>
    <w:p w:rsidR="00500724" w:rsidRDefault="00F30FB8">
      <w:pPr>
        <w:pStyle w:val="Jin0"/>
        <w:shd w:val="clear" w:color="auto" w:fill="auto"/>
        <w:spacing w:line="190"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20"/>
        <w:pBdr>
          <w:bottom w:val="single" w:sz="4" w:space="0" w:color="auto"/>
        </w:pBdr>
        <w:shd w:val="clear" w:color="auto" w:fill="auto"/>
        <w:spacing w:after="240" w:line="230" w:lineRule="auto"/>
        <w:ind w:right="200" w:firstLine="0"/>
        <w:jc w:val="right"/>
        <w:rPr>
          <w:sz w:val="20"/>
          <w:szCs w:val="20"/>
        </w:rPr>
      </w:pPr>
      <w:r>
        <w:rPr>
          <w:sz w:val="20"/>
          <w:szCs w:val="20"/>
        </w:rPr>
        <w:t>PRAHA I., PŘÍKOPY 35, schodiště A. TeL 315-28.</w:t>
      </w:r>
    </w:p>
    <w:p w:rsidR="00500724" w:rsidRDefault="00F30FB8">
      <w:pPr>
        <w:pStyle w:val="Jin0"/>
        <w:shd w:val="clear" w:color="auto" w:fill="auto"/>
        <w:ind w:firstLine="0"/>
        <w:jc w:val="center"/>
        <w:rPr>
          <w:sz w:val="28"/>
          <w:szCs w:val="28"/>
        </w:rPr>
        <w:sectPr w:rsidR="00500724">
          <w:footnotePr>
            <w:numFmt w:val="chicago"/>
            <w:numRestart w:val="eachPage"/>
          </w:footnotePr>
          <w:pgSz w:w="11909" w:h="16834"/>
          <w:pgMar w:top="493" w:right="1052" w:bottom="960" w:left="655" w:header="0" w:footer="3" w:gutter="0"/>
          <w:cols w:num="2" w:sep="1" w:space="100"/>
          <w:noEndnote/>
          <w:docGrid w:linePitch="360"/>
        </w:sectPr>
      </w:pPr>
      <w:r>
        <w:rPr>
          <w:rFonts w:ascii="Arial" w:eastAsia="Arial" w:hAnsi="Arial" w:cs="Arial"/>
          <w:sz w:val="26"/>
          <w:szCs w:val="26"/>
        </w:rPr>
        <w:t xml:space="preserve">Čtěte </w:t>
      </w:r>
      <w:r>
        <w:rPr>
          <w:rFonts w:ascii="Arial" w:eastAsia="Arial" w:hAnsi="Arial" w:cs="Arial"/>
          <w:b/>
          <w:bCs/>
          <w:i/>
          <w:iCs/>
          <w:sz w:val="28"/>
          <w:szCs w:val="28"/>
        </w:rPr>
        <w:t>LIDOVÍ NOVINY</w: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41" w:after="41"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735" w:right="0" w:bottom="718" w:left="0" w:header="0" w:footer="3" w:gutter="0"/>
          <w:cols w:space="720"/>
          <w:noEndnote/>
          <w:docGrid w:linePitch="360"/>
        </w:sectPr>
      </w:pPr>
    </w:p>
    <w:p w:rsidR="00500724" w:rsidRDefault="00F30FB8">
      <w:pPr>
        <w:spacing w:line="14" w:lineRule="exact"/>
      </w:pPr>
      <w:r>
        <w:rPr>
          <w:noProof/>
        </w:rPr>
        <mc:AlternateContent>
          <mc:Choice Requires="wps">
            <w:drawing>
              <wp:anchor distT="0" distB="490855" distL="152400" distR="152400" simplePos="0" relativeHeight="125829694" behindDoc="0" locked="0" layoutInCell="1" allowOverlap="1">
                <wp:simplePos x="0" y="0"/>
                <wp:positionH relativeFrom="page">
                  <wp:posOffset>330835</wp:posOffset>
                </wp:positionH>
                <wp:positionV relativeFrom="paragraph">
                  <wp:posOffset>1682750</wp:posOffset>
                </wp:positionV>
                <wp:extent cx="2731135" cy="737870"/>
                <wp:effectExtent l="0" t="0" r="0" b="0"/>
                <wp:wrapSquare wrapText="right"/>
                <wp:docPr id="317" name="Shape 317"/>
                <wp:cNvGraphicFramePr/>
                <a:graphic xmlns:a="http://schemas.openxmlformats.org/drawingml/2006/main">
                  <a:graphicData uri="http://schemas.microsoft.com/office/word/2010/wordprocessingShape">
                    <wps:wsp>
                      <wps:cNvSpPr txBox="1"/>
                      <wps:spPr>
                        <a:xfrm>
                          <a:off x="0" y="0"/>
                          <a:ext cx="2731135" cy="737870"/>
                        </a:xfrm>
                        <a:prstGeom prst="rect">
                          <a:avLst/>
                        </a:prstGeom>
                        <a:noFill/>
                      </wps:spPr>
                      <wps:txbx>
                        <w:txbxContent>
                          <w:p w:rsidR="00500724" w:rsidRDefault="00F30FB8">
                            <w:pPr>
                              <w:pStyle w:val="Jin0"/>
                              <w:shd w:val="clear" w:color="auto" w:fill="auto"/>
                              <w:ind w:firstLine="0"/>
                              <w:jc w:val="left"/>
                              <w:rPr>
                                <w:sz w:val="94"/>
                                <w:szCs w:val="94"/>
                              </w:rPr>
                            </w:pPr>
                            <w:r>
                              <w:rPr>
                                <w:sz w:val="94"/>
                                <w:szCs w:val="94"/>
                              </w:rPr>
                              <w:t>Přítomnost,</w:t>
                            </w:r>
                          </w:p>
                        </w:txbxContent>
                      </wps:txbx>
                      <wps:bodyPr lIns="0" tIns="0" rIns="0" bIns="0">
                        <a:spAutoFit/>
                      </wps:bodyPr>
                    </wps:wsp>
                  </a:graphicData>
                </a:graphic>
              </wp:anchor>
            </w:drawing>
          </mc:Choice>
          <mc:Fallback>
            <w:pict>
              <v:shape id="_x0000_s1343" type="#_x0000_t202" style="position:absolute;margin-left:26.050000000000001pt;margin-top:132.5pt;width:215.05000000000001pt;height:58.100000000000001pt;z-index:-125829059;mso-wrap-distance-left:12.pt;mso-wrap-distance-right:12.pt;mso-wrap-distance-bottom:38.64999999999999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94"/>
                          <w:szCs w:val="94"/>
                        </w:rPr>
                      </w:pPr>
                      <w:r>
                        <w:rPr>
                          <w:color w:val="000000"/>
                          <w:spacing w:val="0"/>
                          <w:w w:val="100"/>
                          <w:position w:val="0"/>
                          <w:sz w:val="94"/>
                          <w:szCs w:val="94"/>
                          <w:shd w:val="clear" w:color="auto" w:fill="auto"/>
                          <w:lang w:val="cs-CZ" w:eastAsia="cs-CZ" w:bidi="cs-CZ"/>
                        </w:rPr>
                        <w:t>Přítomnost,</w:t>
                      </w:r>
                    </w:p>
                  </w:txbxContent>
                </v:textbox>
                <w10:wrap type="square" side="right" anchorx="page"/>
              </v:shape>
            </w:pict>
          </mc:Fallback>
        </mc:AlternateContent>
      </w:r>
      <w:r>
        <w:rPr>
          <w:noProof/>
        </w:rPr>
        <mc:AlternateContent>
          <mc:Choice Requires="wps">
            <w:drawing>
              <wp:anchor distT="877570" distB="0" distL="490855" distR="152400" simplePos="0" relativeHeight="125829696" behindDoc="0" locked="0" layoutInCell="1" allowOverlap="1">
                <wp:simplePos x="0" y="0"/>
                <wp:positionH relativeFrom="page">
                  <wp:posOffset>669290</wp:posOffset>
                </wp:positionH>
                <wp:positionV relativeFrom="paragraph">
                  <wp:posOffset>2560320</wp:posOffset>
                </wp:positionV>
                <wp:extent cx="2392680" cy="350520"/>
                <wp:effectExtent l="0" t="0" r="0" b="0"/>
                <wp:wrapSquare wrapText="right"/>
                <wp:docPr id="319" name="Shape 319"/>
                <wp:cNvGraphicFramePr/>
                <a:graphic xmlns:a="http://schemas.openxmlformats.org/drawingml/2006/main">
                  <a:graphicData uri="http://schemas.microsoft.com/office/word/2010/wordprocessingShape">
                    <wps:wsp>
                      <wps:cNvSpPr txBox="1"/>
                      <wps:spPr>
                        <a:xfrm>
                          <a:off x="0" y="0"/>
                          <a:ext cx="2392680" cy="35052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 xml:space="preserve">d </w:t>
                            </w:r>
                            <w:r>
                              <w:rPr>
                                <w:rFonts w:ascii="Arial" w:eastAsia="Arial" w:hAnsi="Arial" w:cs="Arial"/>
                                <w:i/>
                                <w:iCs/>
                                <w:sz w:val="40"/>
                                <w:szCs w:val="40"/>
                              </w:rPr>
                              <w:t>i</w:t>
                            </w:r>
                            <w:r>
                              <w:rPr>
                                <w:rFonts w:ascii="Arial" w:eastAsia="Arial" w:hAnsi="Arial" w:cs="Arial"/>
                                <w:sz w:val="40"/>
                                <w:szCs w:val="40"/>
                              </w:rPr>
                              <w:t xml:space="preserve"> Ferd. Peroutka</w:t>
                            </w:r>
                          </w:p>
                        </w:txbxContent>
                      </wps:txbx>
                      <wps:bodyPr lIns="0" tIns="0" rIns="0" bIns="0">
                        <a:spAutoFit/>
                      </wps:bodyPr>
                    </wps:wsp>
                  </a:graphicData>
                </a:graphic>
              </wp:anchor>
            </w:drawing>
          </mc:Choice>
          <mc:Fallback>
            <w:pict>
              <v:shape id="_x0000_s1345" type="#_x0000_t202" style="position:absolute;margin-left:52.700000000000003pt;margin-top:201.59999999999999pt;width:188.40000000000001pt;height:27.600000000000001pt;z-index:-125829057;mso-wrap-distance-left:38.649999999999999pt;mso-wrap-distance-top:69.099999999999994pt;mso-wrap-distance-right:12.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 xml:space="preserve">d </w:t>
                      </w:r>
                      <w:r>
                        <w:rPr>
                          <w:rFonts w:ascii="Arial" w:eastAsia="Arial" w:hAnsi="Arial" w:cs="Arial"/>
                          <w:i/>
                          <w:iCs/>
                          <w:color w:val="000000"/>
                          <w:spacing w:val="0"/>
                          <w:w w:val="100"/>
                          <w:position w:val="0"/>
                          <w:sz w:val="40"/>
                          <w:szCs w:val="40"/>
                          <w:shd w:val="clear" w:color="auto" w:fill="auto"/>
                          <w:lang w:val="cs-CZ" w:eastAsia="cs-CZ" w:bidi="cs-CZ"/>
                        </w:rPr>
                        <w:t>i</w:t>
                      </w:r>
                      <w:r>
                        <w:rPr>
                          <w:rFonts w:ascii="Arial" w:eastAsia="Arial" w:hAnsi="Arial" w:cs="Arial"/>
                          <w:color w:val="000000"/>
                          <w:spacing w:val="0"/>
                          <w:w w:val="100"/>
                          <w:position w:val="0"/>
                          <w:sz w:val="40"/>
                          <w:szCs w:val="40"/>
                          <w:shd w:val="clear" w:color="auto" w:fill="auto"/>
                          <w:lang w:val="cs-CZ" w:eastAsia="cs-CZ" w:bidi="cs-CZ"/>
                        </w:rPr>
                        <w:t xml:space="preserve"> Ferd. Peroutka</w:t>
                      </w:r>
                    </w:p>
                  </w:txbxContent>
                </v:textbox>
                <w10:wrap type="square" side="right" anchorx="page"/>
              </v:shape>
            </w:pict>
          </mc:Fallback>
        </mc:AlternateContent>
      </w:r>
    </w:p>
    <w:p w:rsidR="00500724" w:rsidRDefault="00F30FB8">
      <w:pPr>
        <w:pStyle w:val="Jin0"/>
        <w:shd w:val="clear" w:color="auto" w:fill="auto"/>
        <w:spacing w:after="400"/>
        <w:ind w:left="4140" w:firstLine="0"/>
        <w:jc w:val="left"/>
        <w:rPr>
          <w:sz w:val="28"/>
          <w:szCs w:val="28"/>
        </w:rPr>
      </w:pPr>
      <w:r>
        <w:rPr>
          <w:rFonts w:ascii="Arial" w:eastAsia="Arial" w:hAnsi="Arial" w:cs="Arial"/>
          <w:sz w:val="28"/>
          <w:szCs w:val="28"/>
        </w:rPr>
        <w:t>Roste u nás, vyrábí se v Pardubicích</w:t>
      </w:r>
    </w:p>
    <w:p w:rsidR="00500724" w:rsidRDefault="00F30FB8">
      <w:pPr>
        <w:pStyle w:val="Zkladntext100"/>
        <w:shd w:val="clear" w:color="auto" w:fill="auto"/>
        <w:spacing w:line="276" w:lineRule="auto"/>
        <w:ind w:firstLine="0"/>
        <w:rPr>
          <w:sz w:val="19"/>
          <w:szCs w:val="19"/>
        </w:rPr>
      </w:pPr>
      <w:r>
        <w:rPr>
          <w:b/>
          <w:bCs/>
          <w:sz w:val="20"/>
          <w:szCs w:val="20"/>
        </w:rPr>
        <w:t xml:space="preserve">OBSAH PŘÍTOMNOSTI C. 12: </w:t>
      </w:r>
      <w:r>
        <w:rPr>
          <w:b/>
          <w:bCs/>
          <w:sz w:val="19"/>
          <w:szCs w:val="19"/>
        </w:rPr>
        <w:t xml:space="preserve">ARNOŠT STUDNIČKA: Říšský </w:t>
      </w:r>
      <w:r>
        <w:rPr>
          <w:b/>
          <w:bCs/>
          <w:sz w:val="19"/>
          <w:szCs w:val="19"/>
        </w:rPr>
        <w:t>protektor. — MILENA JESENSKÁ: Praha ráno</w:t>
      </w:r>
    </w:p>
    <w:p w:rsidR="00500724" w:rsidRDefault="00F30FB8">
      <w:pPr>
        <w:pStyle w:val="Zkladntext100"/>
        <w:numPr>
          <w:ilvl w:val="0"/>
          <w:numId w:val="36"/>
        </w:numPr>
        <w:pBdr>
          <w:bottom w:val="single" w:sz="4" w:space="0" w:color="auto"/>
        </w:pBdr>
        <w:shd w:val="clear" w:color="auto" w:fill="auto"/>
        <w:tabs>
          <w:tab w:val="left" w:pos="935"/>
        </w:tabs>
        <w:spacing w:after="280" w:line="276" w:lineRule="auto"/>
        <w:ind w:left="560" w:firstLine="0"/>
        <w:rPr>
          <w:sz w:val="19"/>
          <w:szCs w:val="19"/>
        </w:rPr>
      </w:pPr>
      <w:r>
        <w:rPr>
          <w:b/>
          <w:bCs/>
          <w:sz w:val="19"/>
          <w:szCs w:val="19"/>
        </w:rPr>
        <w:t xml:space="preserve">března. — MARIE KUBEŠOVA: Dětí čtou. — PftEMYSL PRAŽÁK: Obchod s kulturou. — ELSA </w:t>
      </w:r>
      <w:r>
        <w:rPr>
          <w:b/>
          <w:bCs/>
          <w:sz w:val="20"/>
          <w:szCs w:val="20"/>
        </w:rPr>
        <w:t xml:space="preserve">LANC </w:t>
      </w:r>
      <w:r>
        <w:rPr>
          <w:b/>
          <w:bCs/>
          <w:sz w:val="19"/>
          <w:szCs w:val="19"/>
        </w:rPr>
        <w:t>H ESTE</w:t>
      </w:r>
      <w:r>
        <w:rPr>
          <w:b/>
          <w:bCs/>
          <w:sz w:val="19"/>
          <w:szCs w:val="19"/>
        </w:rPr>
        <w:softHyphen/>
        <w:t>ROVÁ: Jindřich VIH. a jeho žena. — ARTUŠ ČERNlK: Dobrý německý film. — J. TROJAN: Povídky už se čtou. — V. GUTWIRTH: Dram</w:t>
      </w:r>
      <w:r>
        <w:rPr>
          <w:b/>
          <w:bCs/>
          <w:sz w:val="19"/>
          <w:szCs w:val="19"/>
        </w:rPr>
        <w:t>atisovat? — Protektorát Cechy a Morava. — Jediná česká politická strana. — České hospo</w:t>
      </w:r>
      <w:r>
        <w:rPr>
          <w:b/>
          <w:bCs/>
          <w:sz w:val="19"/>
          <w:szCs w:val="19"/>
        </w:rPr>
        <w:softHyphen/>
        <w:t>dářství v německé říši. — Hospodářské prvky samostatného Slovenska. — časové poznámky o denunciantství a jiných věcech.</w:t>
      </w:r>
    </w:p>
    <w:p w:rsidR="00500724" w:rsidRDefault="00F30FB8">
      <w:pPr>
        <w:pStyle w:val="Nadpis90"/>
        <w:keepNext/>
        <w:keepLines/>
        <w:shd w:val="clear" w:color="auto" w:fill="auto"/>
        <w:spacing w:after="160"/>
      </w:pPr>
      <w:bookmarkStart w:id="306" w:name="bookmark305"/>
      <w:r>
        <w:rPr>
          <w:u w:val="single"/>
        </w:rPr>
        <w:t>nezávislý týdeník</w:t>
      </w:r>
      <w:bookmarkEnd w:id="306"/>
    </w:p>
    <w:p w:rsidR="00500724" w:rsidRDefault="00F30FB8">
      <w:pPr>
        <w:pStyle w:val="Zkladntext20"/>
        <w:shd w:val="clear" w:color="auto" w:fill="auto"/>
        <w:spacing w:after="60" w:line="221" w:lineRule="auto"/>
        <w:ind w:firstLine="0"/>
        <w:jc w:val="center"/>
        <w:rPr>
          <w:sz w:val="20"/>
          <w:szCs w:val="20"/>
        </w:rPr>
      </w:pPr>
      <w:r>
        <w:rPr>
          <w:sz w:val="20"/>
          <w:szCs w:val="20"/>
        </w:rPr>
        <w:t xml:space="preserve">vychází ve středu v </w:t>
      </w:r>
      <w:r>
        <w:rPr>
          <w:sz w:val="20"/>
          <w:szCs w:val="20"/>
        </w:rPr>
        <w:t>nakladatelství</w:t>
      </w:r>
      <w:r>
        <w:rPr>
          <w:sz w:val="20"/>
          <w:szCs w:val="20"/>
        </w:rPr>
        <w:br/>
        <w:t>FR. BOROVÝ V PRAZE I., NÁRODNÍ TftlDA 11.</w:t>
      </w:r>
    </w:p>
    <w:p w:rsidR="00500724" w:rsidRDefault="00F30FB8">
      <w:pPr>
        <w:pStyle w:val="Zkladntext100"/>
        <w:shd w:val="clear" w:color="auto" w:fill="auto"/>
        <w:spacing w:after="60" w:line="156" w:lineRule="auto"/>
        <w:ind w:firstLine="0"/>
      </w:pPr>
      <w:r>
        <w:t>Telefon Číslo 390-51 až 54 • Účet poštovní spořitelny číslo 35.622 • Nevy</w:t>
      </w:r>
      <w:r>
        <w:softHyphen/>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Dohlédací pošt. úřad Brno IL • Novinová sazba povolena v Brně ředitelstvím pošt a telegrafů pod čls. 119.268/nia. • Odpovědný redaktor J. Dlabač.</w:t>
      </w:r>
    </w:p>
    <w:p w:rsidR="00500724" w:rsidRDefault="00F30FB8">
      <w:pPr>
        <w:pStyle w:val="Zkladntext20"/>
        <w:shd w:val="clear" w:color="auto" w:fill="auto"/>
        <w:spacing w:after="100" w:line="221" w:lineRule="auto"/>
        <w:ind w:left="5300" w:firstLine="0"/>
        <w:jc w:val="left"/>
      </w:pPr>
      <w:r>
        <w:rPr>
          <w:sz w:val="20"/>
          <w:szCs w:val="20"/>
        </w:rPr>
        <w:t xml:space="preserve">TISKEM LIDOVÉ TISKÁRNY, BRNO, ČESKÁ </w:t>
      </w:r>
      <w:r>
        <w:t>6.</w:t>
      </w:r>
      <w:r>
        <w:br w:type="page"/>
      </w:r>
    </w:p>
    <w:p w:rsidR="00500724" w:rsidRDefault="00F30FB8">
      <w:pPr>
        <w:pStyle w:val="Nadpis60"/>
        <w:keepNext/>
        <w:keepLines/>
        <w:pBdr>
          <w:bottom w:val="single" w:sz="4" w:space="0" w:color="auto"/>
        </w:pBdr>
        <w:shd w:val="clear" w:color="auto" w:fill="auto"/>
        <w:ind w:left="80"/>
        <w:sectPr w:rsidR="00500724">
          <w:footnotePr>
            <w:numFmt w:val="chicago"/>
            <w:numRestart w:val="eachPage"/>
          </w:footnotePr>
          <w:type w:val="continuous"/>
          <w:pgSz w:w="11909" w:h="16834"/>
          <w:pgMar w:top="735" w:right="793" w:bottom="718" w:left="661" w:header="0" w:footer="3" w:gutter="0"/>
          <w:cols w:space="720"/>
          <w:noEndnote/>
          <w:docGrid w:linePitch="360"/>
        </w:sectPr>
      </w:pPr>
      <w:bookmarkStart w:id="307" w:name="bookmark306"/>
      <w:r>
        <w:t>Přítomnosti</w:t>
      </w:r>
      <w:bookmarkEnd w:id="307"/>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078" w:right="0" w:bottom="475" w:left="0" w:header="0" w:footer="3" w:gutter="0"/>
          <w:cols w:space="720"/>
          <w:noEndnote/>
          <w:docGrid w:linePitch="360"/>
        </w:sectPr>
      </w:pPr>
    </w:p>
    <w:p w:rsidR="00500724" w:rsidRDefault="00500724">
      <w:pPr>
        <w:spacing w:after="634" w:line="14" w:lineRule="exact"/>
      </w:pPr>
    </w:p>
    <w:p w:rsidR="00500724" w:rsidRDefault="00500724">
      <w:pPr>
        <w:spacing w:line="14" w:lineRule="exact"/>
        <w:sectPr w:rsidR="00500724">
          <w:footnotePr>
            <w:numFmt w:val="chicago"/>
            <w:numRestart w:val="eachPage"/>
          </w:footnotePr>
          <w:type w:val="continuous"/>
          <w:pgSz w:w="11909" w:h="16834"/>
          <w:pgMar w:top="1078" w:right="663" w:bottom="475" w:left="917" w:header="0" w:footer="3" w:gutter="0"/>
          <w:cols w:space="720"/>
          <w:noEndnote/>
          <w:docGrid w:linePitch="360"/>
        </w:sectPr>
      </w:pPr>
    </w:p>
    <w:p w:rsidR="00500724" w:rsidRDefault="00F30FB8">
      <w:pPr>
        <w:pStyle w:val="Nadpis100"/>
        <w:shd w:val="clear" w:color="auto" w:fill="auto"/>
        <w:spacing w:after="60" w:line="240" w:lineRule="auto"/>
      </w:pPr>
      <w:bookmarkStart w:id="308" w:name="bookmark307"/>
      <w:r>
        <w:t>O střízlivostí a gestu</w:t>
      </w:r>
      <w:bookmarkEnd w:id="308"/>
    </w:p>
    <w:p w:rsidR="00500724" w:rsidRDefault="00F30FB8">
      <w:pPr>
        <w:pStyle w:val="Zkladntext20"/>
        <w:framePr w:dropCap="drop" w:lines="2" w:hSpace="10" w:vSpace="10" w:wrap="auto" w:vAnchor="text" w:hAnchor="text"/>
        <w:shd w:val="clear" w:color="auto" w:fill="auto"/>
        <w:spacing w:line="311" w:lineRule="exact"/>
        <w:ind w:firstLine="0"/>
      </w:pPr>
      <w:r>
        <w:rPr>
          <w:position w:val="-7"/>
          <w:sz w:val="46"/>
          <w:szCs w:val="46"/>
        </w:rPr>
        <w:t>I</w:t>
      </w:r>
    </w:p>
    <w:p w:rsidR="00500724" w:rsidRDefault="00F30FB8">
      <w:pPr>
        <w:pStyle w:val="Zkladntext20"/>
        <w:shd w:val="clear" w:color="auto" w:fill="auto"/>
        <w:spacing w:after="60" w:line="240" w:lineRule="auto"/>
        <w:ind w:firstLine="0"/>
      </w:pPr>
      <w:r>
        <w:t xml:space="preserve">talský ministerský předseda </w:t>
      </w:r>
      <w:r>
        <w:rPr>
          <w:lang w:val="en-US" w:eastAsia="en-US" w:bidi="en-US"/>
        </w:rPr>
        <w:t xml:space="preserve">Mussolini </w:t>
      </w:r>
      <w:r>
        <w:t xml:space="preserve">řekl ve své řeči několik vět o nás: prošly českým i německým tiskem celkem bez odezvy! </w:t>
      </w:r>
      <w:r>
        <w:t>»Národ, který má tolik mužů a tolik zbrojního arsenálu a nedovede ani učinit gesto, je zralý pro osud, který jej stihl — ba je přezrálý!«</w:t>
      </w:r>
    </w:p>
    <w:p w:rsidR="00500724" w:rsidRDefault="00F30FB8">
      <w:pPr>
        <w:pStyle w:val="Zkladntext20"/>
        <w:shd w:val="clear" w:color="auto" w:fill="auto"/>
        <w:spacing w:line="240" w:lineRule="auto"/>
        <w:ind w:firstLine="260"/>
      </w:pPr>
      <w:r>
        <w:t xml:space="preserve">Neučinili jsme gesto. To je docela pravda. Zdá se mi, že jsme ve střední Evropě jakýsi podivný ostrov </w:t>
      </w:r>
      <w:r>
        <w:rPr>
          <w:b/>
          <w:bCs/>
          <w:sz w:val="26"/>
          <w:szCs w:val="26"/>
        </w:rPr>
        <w:t xml:space="preserve">s </w:t>
      </w:r>
      <w:r>
        <w:t>podivnými lidmi. S úžasem na příklad pročítám knihu říšskoněmeckého historika, líčícího příjezd Frušáků ku Králové Hradci r. 1866. Ani tehdy nebylo gesta. Lidé pracovali na poli a nezvedali hlavy od práce. Mlčeli a dělali své. Skoro jako bychom četli líčen</w:t>
      </w:r>
      <w:r>
        <w:t xml:space="preserve">i minulých dnů. Zdá se, že jsou chvíle v dějinách, které se opakují s naprostou přesností. Ne, Češi nejsou národ, který by měl smysl pro gesta. Pravím to </w:t>
      </w:r>
      <w:r>
        <w:rPr>
          <w:b/>
          <w:bCs/>
          <w:sz w:val="26"/>
          <w:szCs w:val="26"/>
        </w:rPr>
        <w:t xml:space="preserve">s </w:t>
      </w:r>
      <w:r>
        <w:t>hrdostí a pýchou: jsme národ pracujících lidí. Prací jsme se prodírali k vlastní kultuře, k vlast</w:t>
      </w:r>
      <w:r>
        <w:softHyphen/>
        <w:t>ní</w:t>
      </w:r>
      <w:r>
        <w:t xml:space="preserve"> vědě, k vlastní hudbě a k vlastní knize. Od představitelů naší kultury i našeho politického ži</w:t>
      </w:r>
      <w:r>
        <w:softHyphen/>
        <w:t>vota je k orné půdě, ke kladivu, ke stroji velmi blízko. Jsme lidé mozolných dlaní a mozolné dlaně přivádějí mozku střízlivou a jasnou lásku k pravdě. To je náš</w:t>
      </w:r>
      <w:r>
        <w:t xml:space="preserve"> statek, tahle láska k pravdě a její poznání.</w:t>
      </w:r>
    </w:p>
    <w:p w:rsidR="00500724" w:rsidRDefault="00F30FB8">
      <w:pPr>
        <w:pStyle w:val="Zkladntext20"/>
        <w:shd w:val="clear" w:color="auto" w:fill="auto"/>
        <w:spacing w:line="240" w:lineRule="auto"/>
        <w:ind w:firstLine="260"/>
      </w:pPr>
      <w:r>
        <w:t>Gesto, které by byli mohli udělat čeští muži dne</w:t>
      </w:r>
    </w:p>
    <w:p w:rsidR="00500724" w:rsidRDefault="00F30FB8">
      <w:pPr>
        <w:pStyle w:val="Zkladntext20"/>
        <w:numPr>
          <w:ilvl w:val="0"/>
          <w:numId w:val="37"/>
        </w:numPr>
        <w:shd w:val="clear" w:color="auto" w:fill="auto"/>
        <w:tabs>
          <w:tab w:val="left" w:pos="399"/>
        </w:tabs>
        <w:spacing w:line="240" w:lineRule="auto"/>
        <w:ind w:firstLine="0"/>
      </w:pPr>
      <w:r>
        <w:t>března 1939, by bylo gesto jenom sebevražedné. Snad je krásné umírat marně. Snad je krásné prolít krev v hrdinném gestu za svou vlast. Dokonce si myslím, že to a</w:t>
      </w:r>
      <w:r>
        <w:t>ni není těžké. My však musíme dělat něco docela jiného. My musíme žít. Mu</w:t>
      </w:r>
      <w:r>
        <w:softHyphen/>
        <w:t>síme šetřit každým mužem, kterého máme, kaž</w:t>
      </w:r>
      <w:r>
        <w:softHyphen/>
        <w:t>dou silou a silečkou. Musíme v každém živém člo</w:t>
      </w:r>
      <w:r>
        <w:softHyphen/>
        <w:t>věku chránit slova své živé řeči, své národní své</w:t>
      </w:r>
      <w:r>
        <w:softHyphen/>
        <w:t>bytnosti a jejího výrazu. Není nás dost,</w:t>
      </w:r>
      <w:r>
        <w:t xml:space="preserve"> abychom si mohli dovolit činit gesta. Musíme stát všichni po</w:t>
      </w:r>
      <w:r>
        <w:softHyphen/>
        <w:t>hromadě a chránit půdu, po které chodíme, řeč, kte</w:t>
      </w:r>
      <w:r>
        <w:softHyphen/>
        <w:t>rou mluvíme, kulturu, která z nás vyrostla a písně, které zpíváme.</w:t>
      </w:r>
    </w:p>
    <w:p w:rsidR="00500724" w:rsidRDefault="00F30FB8">
      <w:pPr>
        <w:pStyle w:val="Zkladntext20"/>
        <w:shd w:val="clear" w:color="auto" w:fill="auto"/>
        <w:spacing w:after="60" w:line="240" w:lineRule="auto"/>
        <w:ind w:firstLine="260"/>
      </w:pPr>
      <w:r>
        <w:t>Okamžitě jsme to všichni pochopili: je nás tu třeba. Protože: kdyby byl prot</w:t>
      </w:r>
      <w:r>
        <w:t>i nám celý svět a kdyby na nás čekaly dny jakékoli: jednu věc nám nikdo nemůže vzít. A to je vědomí, že jsme Češi. To, co bylo včera samozřejmé, stalo se dnes úkolem. Je nesnadné žít uprostřed obrovské říše, která je na vzestupu, upro</w:t>
      </w:r>
      <w:r>
        <w:softHyphen/>
        <w:t>střed obrovské vlny n</w:t>
      </w:r>
      <w:r>
        <w:t>ěmeckého národního sebe</w:t>
      </w:r>
      <w:r>
        <w:softHyphen/>
        <w:t>vědomí, uprostřed vítězného vědomí mnoha milionů</w:t>
      </w:r>
    </w:p>
    <w:p w:rsidR="00500724" w:rsidRDefault="00F30FB8">
      <w:pPr>
        <w:pStyle w:val="Zkladntext20"/>
        <w:shd w:val="clear" w:color="auto" w:fill="auto"/>
        <w:spacing w:line="240" w:lineRule="auto"/>
        <w:ind w:firstLine="0"/>
      </w:pPr>
      <w:r>
        <w:t>Němců a nedat se spláchnout logickým pohybem této skutečnosti, jako tříska do moře. I když nikdo nebud® žádat, abychom se odnárodnili, i když zůstaneme ná</w:t>
      </w:r>
      <w:r>
        <w:softHyphen/>
        <w:t>rodně svoji, je těžko podrže</w:t>
      </w:r>
      <w:r>
        <w:t>t svůj výraz v moři výrazu jiného. Každý z nás vzal na sebe 15. března velký úkol: být Čechem. Pochopili jsme to okamžitě a oka</w:t>
      </w:r>
      <w:r>
        <w:softHyphen/>
        <w:t xml:space="preserve">mžitě jsme se zařídili podle toho. Chránit výraz svého češství, opatrovat jeho náplň, střežit jeho existenci a prohlubovat jeho </w:t>
      </w:r>
      <w:r>
        <w:t>vědomi; vybírat úzkostlivě z dobré</w:t>
      </w:r>
      <w:r>
        <w:softHyphen/>
        <w:t>ho nejlepší. Zachraňovat nikoli hory, ale oblásky, kořeny a drobné kaménky. Upevňovat v lidech české vědomí od člověka k člověku, kde je toho třeba. Pře</w:t>
      </w:r>
      <w:r>
        <w:softHyphen/>
        <w:t>dávat dětem dědictví nezmenšené lásky k bytosti své</w:t>
      </w:r>
      <w:r>
        <w:softHyphen/>
        <w:t>ho národa a poch</w:t>
      </w:r>
      <w:r>
        <w:t>opení této zvláštní, tisíc let staré od</w:t>
      </w:r>
      <w:r>
        <w:softHyphen/>
        <w:t>lišnosti od ostatní Evropy. Je nás tady osm milionů — příliš málo, příliš málo pro sebevraždy. Ale dost pro život.</w:t>
      </w:r>
    </w:p>
    <w:p w:rsidR="00500724" w:rsidRDefault="00F30FB8">
      <w:pPr>
        <w:pStyle w:val="Zkladntext20"/>
        <w:shd w:val="clear" w:color="auto" w:fill="auto"/>
        <w:spacing w:after="120" w:line="240" w:lineRule="auto"/>
        <w:ind w:firstLine="0"/>
        <w:jc w:val="center"/>
      </w:pPr>
      <w:r>
        <w:t>•</w:t>
      </w:r>
    </w:p>
    <w:p w:rsidR="00500724" w:rsidRDefault="00F30FB8">
      <w:pPr>
        <w:pStyle w:val="Zkladntext20"/>
        <w:shd w:val="clear" w:color="auto" w:fill="auto"/>
        <w:spacing w:line="240" w:lineRule="auto"/>
        <w:ind w:firstLine="260"/>
      </w:pPr>
      <w:r>
        <w:t>Z té střízlivé lásky k pravdě, z prostého oceněn! skutečnosti, z jasného rozumu a poklidné úvahy, k</w:t>
      </w:r>
      <w:r>
        <w:t>teré jsou naší silou, když se nám vede zle, musí dnes vy</w:t>
      </w:r>
      <w:r>
        <w:softHyphen/>
        <w:t>růst věc nestřízlivá a bez hranic rozumu: láska k ná</w:t>
      </w:r>
      <w:r>
        <w:softHyphen/>
        <w:t>rodu, víra v národ, vůle k národu a jeho výraz. Za dvacet let, kdy nám bylo starati se o vytříbenou práci českého ducha na samozřejmé základně čes</w:t>
      </w:r>
      <w:r>
        <w:t>ké samo</w:t>
      </w:r>
      <w:r>
        <w:softHyphen/>
        <w:t>statnosti státní, pohasl plamen této lásky, jako po- hasíná láska mezi lidmi, kteří žijí spolu den co den a noc co noc. Stala se nám samozřejmou, klidnou a drahou věcí. Přestala bolet a pálit. Byla to šťastná a klidná láska, položená do úkrytu věnc</w:t>
      </w:r>
      <w:r>
        <w:t>e hor. Klidná láska a náš střízlivý rozum vytvořily typ dobrého Čecha, který však mnoho nepřemýšlel o tom, zda ja Čechem, poněvadž jeho maličká země rozpínala ruca do celého světa a dychtila vyrovnat s ním krok.</w:t>
      </w:r>
    </w:p>
    <w:p w:rsidR="00500724" w:rsidRDefault="00F30FB8">
      <w:pPr>
        <w:pStyle w:val="Zkladntext20"/>
        <w:shd w:val="clear" w:color="auto" w:fill="auto"/>
        <w:spacing w:line="240" w:lineRule="auto"/>
        <w:ind w:firstLine="260"/>
      </w:pPr>
      <w:r>
        <w:t>Dnes se tato soutěž změnila. Musíme soutěžit</w:t>
      </w:r>
      <w:r>
        <w:t xml:space="preserve"> s ně</w:t>
      </w:r>
      <w:r>
        <w:softHyphen/>
        <w:t>meckým národem, a není o tom pochyby, že to ja národ zdatný. Naše klidná a vyrovnaná střízlivost, naše věcné chápání situace nestačí. Je třeba lásky vášnivé a neohraničené rozumem. Je třeba lásky nezměrné a obětavé. Je třeba znovu nalézt obětavost ne</w:t>
      </w:r>
      <w:r>
        <w:t>jvyšší a statečnost bez míry.</w:t>
      </w:r>
    </w:p>
    <w:p w:rsidR="00500724" w:rsidRDefault="00F30FB8">
      <w:pPr>
        <w:pStyle w:val="Zkladntext20"/>
        <w:shd w:val="clear" w:color="auto" w:fill="auto"/>
        <w:spacing w:line="286" w:lineRule="auto"/>
        <w:ind w:firstLine="260"/>
        <w:rPr>
          <w:sz w:val="15"/>
          <w:szCs w:val="15"/>
        </w:rPr>
      </w:pPr>
      <w:r>
        <w:t xml:space="preserve">A lidé ji najednou a pomalu nalézají. Vracejí sa s pýchou a hrdostí ke všemu, co je české. Putuji pražskými ulicemi, Hradčany, starými zahradami, dívají se na město a kreslí si křivku střech do mysli s jinými pocity, než před </w:t>
      </w:r>
      <w:r>
        <w:t>měsícem. Zasypávají květi</w:t>
      </w:r>
      <w:r>
        <w:softHyphen/>
        <w:t xml:space="preserve">nami hroby svých velkých lidí, berou do ruky českou </w:t>
      </w:r>
      <w:r>
        <w:rPr>
          <w:b/>
          <w:bCs/>
          <w:i/>
          <w:iCs/>
          <w:sz w:val="15"/>
          <w:szCs w:val="15"/>
        </w:rPr>
        <w:t>t8g</w:t>
      </w:r>
    </w:p>
    <w:p w:rsidR="00500724" w:rsidRDefault="00F30FB8">
      <w:pPr>
        <w:pStyle w:val="Zkladntext20"/>
        <w:shd w:val="clear" w:color="auto" w:fill="auto"/>
        <w:spacing w:line="240" w:lineRule="auto"/>
        <w:ind w:firstLine="0"/>
      </w:pPr>
      <w:r>
        <w:t>knihu, probírají se v české historii. Včera byla tato láska klidný, větrem nepokřivený, stejnoměrný oheň. Dnes začíná však její plamen růst. Je naším úkolem starat se, aby ne</w:t>
      </w:r>
      <w:r>
        <w:t>zeslábl.</w:t>
      </w:r>
    </w:p>
    <w:p w:rsidR="00500724" w:rsidRDefault="00F30FB8">
      <w:pPr>
        <w:pStyle w:val="Zkladntext20"/>
        <w:shd w:val="clear" w:color="auto" w:fill="auto"/>
        <w:spacing w:after="320" w:line="214" w:lineRule="auto"/>
        <w:ind w:firstLine="0"/>
        <w:jc w:val="right"/>
        <w:rPr>
          <w:sz w:val="20"/>
          <w:szCs w:val="20"/>
        </w:rPr>
      </w:pPr>
      <w:r>
        <w:rPr>
          <w:i/>
          <w:iCs/>
          <w:sz w:val="20"/>
          <w:szCs w:val="20"/>
        </w:rPr>
        <w:t>Milena Jesenská</w:t>
      </w:r>
    </w:p>
    <w:p w:rsidR="00500724" w:rsidRDefault="00F30FB8">
      <w:pPr>
        <w:pStyle w:val="Nadpis80"/>
        <w:keepNext/>
        <w:keepLines/>
        <w:shd w:val="clear" w:color="auto" w:fill="auto"/>
        <w:spacing w:after="260"/>
      </w:pPr>
      <w:bookmarkStart w:id="309" w:name="bookmark308"/>
      <w:r>
        <w:rPr>
          <w:u w:val="none"/>
        </w:rPr>
        <w:t>poznámky</w:t>
      </w:r>
      <w:bookmarkEnd w:id="309"/>
    </w:p>
    <w:p w:rsidR="00500724" w:rsidRDefault="00F30FB8">
      <w:pPr>
        <w:pStyle w:val="Zkladntext20"/>
        <w:shd w:val="clear" w:color="auto" w:fill="auto"/>
        <w:spacing w:after="60" w:line="223" w:lineRule="auto"/>
        <w:ind w:firstLine="0"/>
        <w:jc w:val="center"/>
        <w:rPr>
          <w:sz w:val="20"/>
          <w:szCs w:val="20"/>
        </w:rPr>
      </w:pPr>
      <w:r>
        <w:rPr>
          <w:b/>
          <w:bCs/>
          <w:sz w:val="20"/>
          <w:szCs w:val="20"/>
        </w:rPr>
        <w:t>Základní kameny k hospodářské velmoci</w:t>
      </w:r>
    </w:p>
    <w:p w:rsidR="00500724" w:rsidRDefault="00F30FB8">
      <w:pPr>
        <w:pStyle w:val="Zkladntext100"/>
        <w:shd w:val="clear" w:color="auto" w:fill="auto"/>
        <w:spacing w:line="240" w:lineRule="auto"/>
        <w:ind w:firstLine="340"/>
        <w:rPr>
          <w:sz w:val="19"/>
          <w:szCs w:val="19"/>
        </w:rPr>
      </w:pPr>
      <w:r>
        <w:rPr>
          <w:b/>
          <w:bCs/>
          <w:sz w:val="19"/>
          <w:szCs w:val="19"/>
        </w:rPr>
        <w:t>Sloučením národního hospodářství Německa, Rakouska, sudetských území a nyní Protektorátu Čech a Moravy, kla</w:t>
      </w:r>
      <w:r>
        <w:rPr>
          <w:b/>
          <w:bCs/>
          <w:sz w:val="19"/>
          <w:szCs w:val="19"/>
        </w:rPr>
        <w:softHyphen/>
        <w:t xml:space="preserve">dou se základní kameny k nové hospodářské velmoci, která pravděpodobné bude </w:t>
      </w:r>
      <w:r>
        <w:rPr>
          <w:b/>
          <w:bCs/>
          <w:sz w:val="19"/>
          <w:szCs w:val="19"/>
        </w:rPr>
        <w:t>brzy největší v Evropě a bude se moci řaditi ve světovém měřítku hned za Spojenými Státy ame</w:t>
      </w:r>
      <w:r>
        <w:rPr>
          <w:b/>
          <w:bCs/>
          <w:sz w:val="19"/>
          <w:szCs w:val="19"/>
        </w:rPr>
        <w:softHyphen/>
        <w:t>rickými. Obchodně-politická dohoda Velkého Německa s Rumunskem, která byla právě uzavřena, znamená »pénétra- tion pacífique« dále v tomto směru, a lze očekávati, ž</w:t>
      </w:r>
      <w:r>
        <w:rPr>
          <w:b/>
          <w:bCs/>
          <w:sz w:val="19"/>
          <w:szCs w:val="19"/>
        </w:rPr>
        <w:t>e po</w:t>
      </w:r>
      <w:r>
        <w:rPr>
          <w:b/>
          <w:bCs/>
          <w:sz w:val="19"/>
          <w:szCs w:val="19"/>
        </w:rPr>
        <w:softHyphen/>
        <w:t>dobná spolupráce nastane s celou dunajskou oblastí, s Ma</w:t>
      </w:r>
      <w:r>
        <w:rPr>
          <w:b/>
          <w:bCs/>
          <w:sz w:val="19"/>
          <w:szCs w:val="19"/>
        </w:rPr>
        <w:softHyphen/>
        <w:t>ďarskem, Bulharskem, Jugoslávii a snad i s Polskem. Při postupném organisování tohoto velkého celku bude to musit míti za následek nejenom zvýšení výrobnosti, technické do</w:t>
      </w:r>
      <w:r>
        <w:rPr>
          <w:b/>
          <w:bCs/>
          <w:sz w:val="19"/>
          <w:szCs w:val="19"/>
        </w:rPr>
        <w:softHyphen/>
        <w:t>konalosti a životni mi</w:t>
      </w:r>
      <w:r>
        <w:rPr>
          <w:b/>
          <w:bCs/>
          <w:sz w:val="19"/>
          <w:szCs w:val="19"/>
        </w:rPr>
        <w:t>ry, rozmach spotřeby domácí i expor</w:t>
      </w:r>
      <w:r>
        <w:rPr>
          <w:b/>
          <w:bCs/>
          <w:sz w:val="19"/>
          <w:szCs w:val="19"/>
        </w:rPr>
        <w:softHyphen/>
        <w:t>tu přes všechny překážky, ale také hospodářské zabezpe</w:t>
      </w:r>
      <w:r>
        <w:rPr>
          <w:b/>
          <w:bCs/>
          <w:sz w:val="19"/>
          <w:szCs w:val="19"/>
        </w:rPr>
        <w:softHyphen/>
        <w:t>čeni a nastoupení vzestupné cesty ve standardu celého to</w:t>
      </w:r>
      <w:r>
        <w:rPr>
          <w:b/>
          <w:bCs/>
          <w:sz w:val="19"/>
          <w:szCs w:val="19"/>
        </w:rPr>
        <w:softHyphen/>
        <w:t>hoto území. Jde tu ovšem o úkoly přímo nesmírné, které pochopitelně nutno zdolávat jenom postupně a při vešk</w:t>
      </w:r>
      <w:r>
        <w:rPr>
          <w:b/>
          <w:bCs/>
          <w:sz w:val="19"/>
          <w:szCs w:val="19"/>
        </w:rPr>
        <w:t>eré energii i s jistou opatrností, aby cenné hospodářské statky byly využity co nejúěelněji.</w:t>
      </w:r>
    </w:p>
    <w:p w:rsidR="00500724" w:rsidRDefault="00F30FB8">
      <w:pPr>
        <w:pStyle w:val="Zkladntext100"/>
        <w:shd w:val="clear" w:color="auto" w:fill="auto"/>
        <w:spacing w:line="240" w:lineRule="auto"/>
        <w:ind w:firstLine="340"/>
        <w:rPr>
          <w:sz w:val="19"/>
          <w:szCs w:val="19"/>
        </w:rPr>
      </w:pPr>
      <w:r>
        <w:rPr>
          <w:b/>
          <w:bCs/>
          <w:sz w:val="19"/>
          <w:szCs w:val="19"/>
        </w:rPr>
        <w:t>Přínos českých zemí je nemalý, převážně ovšem po stránce průmyslové, kdežto zemědělská výroba postačí jén na životní potřeby dosavadního svého území. České země zd</w:t>
      </w:r>
      <w:r>
        <w:rPr>
          <w:b/>
          <w:bCs/>
          <w:sz w:val="19"/>
          <w:szCs w:val="19"/>
        </w:rPr>
        <w:t>ědily po Rakousku tři čtvrtiny textilu a skla, polovinu železa a oceli a téměř čtyři pětiny uhlí, spolu se skoro úplným cukrovamickým průmyslem. K tomu nutno při- počisti vysoké kvality našeho dělnictva a úřednictva, vy</w:t>
      </w:r>
      <w:r>
        <w:rPr>
          <w:b/>
          <w:bCs/>
          <w:sz w:val="19"/>
          <w:szCs w:val="19"/>
        </w:rPr>
        <w:softHyphen/>
        <w:t>spělou úroveň životni po stránce hos</w:t>
      </w:r>
      <w:r>
        <w:rPr>
          <w:b/>
          <w:bCs/>
          <w:sz w:val="19"/>
          <w:szCs w:val="19"/>
        </w:rPr>
        <w:t>podářské i kulturní, dobře organisované peněžnictví s pověstí evropské úrovně (Živnobanka) a průmyslové koncerny světového jména a významu (Škoda, ČKD, Zbrojovka, Vítkovice, Baťa, Poldi, Pražské železo a pod.) Na to navazuje slovenské zeměděl</w:t>
      </w:r>
      <w:r>
        <w:rPr>
          <w:b/>
          <w:bCs/>
          <w:sz w:val="19"/>
          <w:szCs w:val="19"/>
        </w:rPr>
        <w:softHyphen/>
        <w:t>ství, rudné b</w:t>
      </w:r>
      <w:r>
        <w:rPr>
          <w:b/>
          <w:bCs/>
          <w:sz w:val="19"/>
          <w:szCs w:val="19"/>
        </w:rPr>
        <w:t>ohatství a lesy, které k českým zemím má bez- ceiný vztah.</w:t>
      </w:r>
    </w:p>
    <w:p w:rsidR="00500724" w:rsidRDefault="00F30FB8">
      <w:pPr>
        <w:pStyle w:val="Zkladntext100"/>
        <w:shd w:val="clear" w:color="auto" w:fill="auto"/>
        <w:spacing w:line="240" w:lineRule="auto"/>
        <w:ind w:firstLine="340"/>
        <w:rPr>
          <w:sz w:val="19"/>
          <w:szCs w:val="19"/>
        </w:rPr>
      </w:pPr>
      <w:r>
        <w:rPr>
          <w:b/>
          <w:bCs/>
          <w:sz w:val="19"/>
          <w:szCs w:val="19"/>
        </w:rPr>
        <w:t>Velkoněmecká říše má tedy od poloviny března o 100.000 čtverečných kilometrů více, než měla, když vstupovala do světové války. Co do rozlohy, nehledě k Rusku, je největší říší evropskou. Před válko</w:t>
      </w:r>
      <w:r>
        <w:rPr>
          <w:b/>
          <w:bCs/>
          <w:sz w:val="19"/>
          <w:szCs w:val="19"/>
        </w:rPr>
        <w:t>u mělo Německo 540.000 km', spolu s Protektorátem českomoravským má 034.000 čtve</w:t>
      </w:r>
      <w:r>
        <w:rPr>
          <w:b/>
          <w:bCs/>
          <w:sz w:val="19"/>
          <w:szCs w:val="19"/>
        </w:rPr>
        <w:softHyphen/>
        <w:t>rečných kilometrů s 85 miliony obyvatel.</w:t>
      </w:r>
    </w:p>
    <w:p w:rsidR="00500724" w:rsidRDefault="00F30FB8">
      <w:pPr>
        <w:pStyle w:val="Zkladntext100"/>
        <w:shd w:val="clear" w:color="auto" w:fill="auto"/>
        <w:spacing w:after="100" w:line="240" w:lineRule="auto"/>
        <w:ind w:firstLine="340"/>
        <w:rPr>
          <w:sz w:val="19"/>
          <w:szCs w:val="19"/>
        </w:rPr>
      </w:pPr>
      <w:r>
        <w:rPr>
          <w:b/>
          <w:bCs/>
          <w:sz w:val="19"/>
          <w:szCs w:val="19"/>
        </w:rPr>
        <w:t>Říšskoněmecký tisk se přirozeně v posledních dnech tě</w:t>
      </w:r>
      <w:r>
        <w:rPr>
          <w:b/>
          <w:bCs/>
          <w:sz w:val="19"/>
          <w:szCs w:val="19"/>
        </w:rPr>
        <w:softHyphen/>
        <w:t>mito novými vztahy a skutečnostmi zabývá velmi intensiv</w:t>
      </w:r>
      <w:r>
        <w:rPr>
          <w:b/>
          <w:bCs/>
          <w:sz w:val="19"/>
          <w:szCs w:val="19"/>
        </w:rPr>
        <w:softHyphen/>
        <w:t>ně a vypočítává, jaký as</w:t>
      </w:r>
      <w:r>
        <w:rPr>
          <w:b/>
          <w:bCs/>
          <w:sz w:val="19"/>
          <w:szCs w:val="19"/>
        </w:rPr>
        <w:t>i rozsah po stránce národohospo</w:t>
      </w:r>
      <w:r>
        <w:rPr>
          <w:b/>
          <w:bCs/>
          <w:sz w:val="19"/>
          <w:szCs w:val="19"/>
        </w:rPr>
        <w:softHyphen/>
        <w:t>dářské jim lze přisuzovat. Nejmocněji vyniká zesílení po</w:t>
      </w:r>
      <w:r>
        <w:rPr>
          <w:b/>
          <w:bCs/>
          <w:sz w:val="19"/>
          <w:szCs w:val="19"/>
        </w:rPr>
        <w:softHyphen/>
        <w:t>stavení Riše v produkci uhelné, protože na př. ve výrobě kamenného ulili, kde vedou Spojené Státy 450 miliony tun ročně, v Evropě pak Anglie 250 miliony tun, dostává s</w:t>
      </w:r>
      <w:r>
        <w:rPr>
          <w:b/>
          <w:bCs/>
          <w:sz w:val="19"/>
          <w:szCs w:val="19"/>
        </w:rPr>
        <w:t>e Velké Německo se svými 200 miliony tun již na třetí místo ■ teprve vzdáleně následuje Rusko se 125 miliony tun. Ve hnědém uhlí je to ještě markantnější, protože celá světová produkce hnědého uhlí je soustředěna v Evropě, kde se ho těží 225 milionů tun, v</w:t>
      </w:r>
      <w:r>
        <w:rPr>
          <w:b/>
          <w:bCs/>
          <w:sz w:val="19"/>
          <w:szCs w:val="19"/>
        </w:rPr>
        <w:t xml:space="preserve"> ostatních světadílech jen 20 milio</w:t>
      </w:r>
      <w:r>
        <w:rPr>
          <w:b/>
          <w:bCs/>
          <w:sz w:val="19"/>
          <w:szCs w:val="19"/>
        </w:rPr>
        <w:softHyphen/>
      </w:r>
      <w:r>
        <w:rPr>
          <w:b/>
          <w:bCs/>
          <w:sz w:val="20"/>
          <w:szCs w:val="20"/>
        </w:rPr>
        <w:t xml:space="preserve">nů </w:t>
      </w:r>
      <w:r>
        <w:rPr>
          <w:b/>
          <w:bCs/>
          <w:sz w:val="19"/>
          <w:szCs w:val="19"/>
        </w:rPr>
        <w:t>tun, a z této produkce připadá dnes na Německo 205 mi- milionů tun po přínosu ze sudetských a českých zemi.</w:t>
      </w:r>
    </w:p>
    <w:p w:rsidR="00500724" w:rsidRDefault="00F30FB8">
      <w:pPr>
        <w:pStyle w:val="Jin0"/>
        <w:shd w:val="clear" w:color="auto" w:fill="auto"/>
        <w:spacing w:after="80"/>
        <w:ind w:firstLine="0"/>
        <w:rPr>
          <w:sz w:val="26"/>
          <w:szCs w:val="26"/>
        </w:rPr>
      </w:pPr>
      <w:r>
        <w:rPr>
          <w:rFonts w:ascii="Arial" w:eastAsia="Arial" w:hAnsi="Arial" w:cs="Arial"/>
          <w:b/>
          <w:bCs/>
          <w:i/>
          <w:iCs/>
          <w:sz w:val="26"/>
          <w:szCs w:val="26"/>
        </w:rPr>
        <w:t>iQO</w:t>
      </w:r>
    </w:p>
    <w:p w:rsidR="00500724" w:rsidRDefault="00F30FB8">
      <w:pPr>
        <w:pStyle w:val="Zkladntext100"/>
        <w:shd w:val="clear" w:color="auto" w:fill="auto"/>
        <w:spacing w:line="240" w:lineRule="auto"/>
        <w:ind w:firstLine="300"/>
        <w:rPr>
          <w:sz w:val="19"/>
          <w:szCs w:val="19"/>
        </w:rPr>
      </w:pPr>
      <w:r>
        <w:rPr>
          <w:b/>
          <w:bCs/>
          <w:sz w:val="19"/>
          <w:szCs w:val="19"/>
        </w:rPr>
        <w:t xml:space="preserve">Horší je ovšem posice v těžbě železných rud, kterých těží Spojené Státy americké se svými 37 miliony tun </w:t>
      </w:r>
      <w:r>
        <w:rPr>
          <w:b/>
          <w:bCs/>
          <w:sz w:val="19"/>
          <w:szCs w:val="19"/>
        </w:rPr>
        <w:t>více než celá Evropa, která dobývá 34 miliony tun, z čehož však na velkoněmeckou říši připadá jen 9 milionů tun. Dovozem rud je však umožněna produkce surového železa asi 16 &lt;4 milionu tun, k čemuž přistupuje nyní 1 milion tun z čes</w:t>
      </w:r>
      <w:r>
        <w:rPr>
          <w:b/>
          <w:bCs/>
          <w:sz w:val="19"/>
          <w:szCs w:val="19"/>
        </w:rPr>
        <w:softHyphen/>
        <w:t xml:space="preserve">kých zemí a u produkce </w:t>
      </w:r>
      <w:r>
        <w:rPr>
          <w:b/>
          <w:bCs/>
          <w:sz w:val="19"/>
          <w:szCs w:val="19"/>
        </w:rPr>
        <w:t xml:space="preserve">oceli k dosavadním 20 milionům tun nutno přiěísti z našich zemi přes 1 a půl milionu tun. </w:t>
      </w:r>
      <w:r>
        <w:rPr>
          <w:b/>
          <w:bCs/>
          <w:sz w:val="20"/>
          <w:szCs w:val="20"/>
        </w:rPr>
        <w:t xml:space="preserve">U </w:t>
      </w:r>
      <w:r>
        <w:rPr>
          <w:b/>
          <w:bCs/>
          <w:sz w:val="19"/>
          <w:szCs w:val="19"/>
        </w:rPr>
        <w:t>že</w:t>
      </w:r>
      <w:r>
        <w:rPr>
          <w:b/>
          <w:bCs/>
          <w:sz w:val="19"/>
          <w:szCs w:val="19"/>
        </w:rPr>
        <w:softHyphen/>
        <w:t>leza jde tedy skutečně o významný rozmach, protože jediné Spojené Státy americké těží více (38 milionů tun), kdežto Rusko těží 15 milionů tun a Anglie pouze 9 mi</w:t>
      </w:r>
      <w:r>
        <w:rPr>
          <w:b/>
          <w:bCs/>
          <w:sz w:val="19"/>
          <w:szCs w:val="19"/>
        </w:rPr>
        <w:t>lionů. K to</w:t>
      </w:r>
      <w:r>
        <w:rPr>
          <w:b/>
          <w:bCs/>
          <w:sz w:val="19"/>
          <w:szCs w:val="19"/>
        </w:rPr>
        <w:softHyphen/>
        <w:t>mu, co bylo řečeno, by bylo ovšem nutno připojiti přehled strojní výroby, produkce elektrotechnické, průmyslu malo- kovového, chemického, průmyslu potravin, textilu, konfek</w:t>
      </w:r>
      <w:r>
        <w:rPr>
          <w:b/>
          <w:bCs/>
          <w:sz w:val="19"/>
          <w:szCs w:val="19"/>
        </w:rPr>
        <w:softHyphen/>
        <w:t xml:space="preserve">ce a věci běžné spotřeby. To vše zatím je ovšem sestaveno jen neúplně. </w:t>
      </w:r>
      <w:r>
        <w:rPr>
          <w:b/>
          <w:bCs/>
          <w:sz w:val="19"/>
          <w:szCs w:val="19"/>
        </w:rPr>
        <w:t>Přesnější data budou jistě v dohledné době přepočtena a uvedena. Za zmínku stojí, že na př. výroba automobilů přesáhne nyní již značně půl milionu automo</w:t>
      </w:r>
      <w:r>
        <w:rPr>
          <w:b/>
          <w:bCs/>
          <w:sz w:val="19"/>
          <w:szCs w:val="19"/>
        </w:rPr>
        <w:softHyphen/>
        <w:t>bilů ročně, čili v tomto směru, bude-li nastoupen vývoj k zvyšování životni miry, bude asi možno mluvi</w:t>
      </w:r>
      <w:r>
        <w:rPr>
          <w:b/>
          <w:bCs/>
          <w:sz w:val="19"/>
          <w:szCs w:val="19"/>
        </w:rPr>
        <w:t>ti o jakési amerikanisaci střední Evropy,</w:t>
      </w:r>
    </w:p>
    <w:p w:rsidR="00500724" w:rsidRDefault="00F30FB8">
      <w:pPr>
        <w:pStyle w:val="Zkladntext100"/>
        <w:shd w:val="clear" w:color="auto" w:fill="auto"/>
        <w:spacing w:line="240" w:lineRule="auto"/>
        <w:ind w:firstLine="300"/>
        <w:rPr>
          <w:sz w:val="19"/>
          <w:szCs w:val="19"/>
        </w:rPr>
      </w:pPr>
      <w:r>
        <w:rPr>
          <w:b/>
          <w:bCs/>
          <w:sz w:val="19"/>
          <w:szCs w:val="19"/>
        </w:rPr>
        <w:t>Rozumí se, že se zlepšila také celková bilance zeměděl</w:t>
      </w:r>
      <w:r>
        <w:rPr>
          <w:b/>
          <w:bCs/>
          <w:sz w:val="19"/>
          <w:szCs w:val="19"/>
        </w:rPr>
        <w:softHyphen/>
        <w:t>ská speciálně v zemědělské průmyslové produkci. Velko</w:t>
      </w:r>
      <w:r>
        <w:rPr>
          <w:b/>
          <w:bCs/>
          <w:sz w:val="19"/>
          <w:szCs w:val="19"/>
        </w:rPr>
        <w:softHyphen/>
        <w:t>německá říše se stala rázem největším výrobcem řepnéhO cukru, neboť k jejím 21 milionům centů přistoupilo</w:t>
      </w:r>
      <w:r>
        <w:rPr>
          <w:b/>
          <w:bCs/>
          <w:sz w:val="19"/>
          <w:szCs w:val="19"/>
        </w:rPr>
        <w:t xml:space="preserve"> z čes</w:t>
      </w:r>
      <w:r>
        <w:rPr>
          <w:b/>
          <w:bCs/>
          <w:sz w:val="19"/>
          <w:szCs w:val="19"/>
        </w:rPr>
        <w:softHyphen/>
        <w:t>kých zemi 6 a jedna pětina milionu centů, čímž dosáhla ruské produkce a dvojnásobně přesáhla produkci americ</w:t>
      </w:r>
      <w:r>
        <w:rPr>
          <w:b/>
          <w:bCs/>
          <w:sz w:val="19"/>
          <w:szCs w:val="19"/>
        </w:rPr>
        <w:softHyphen/>
        <w:t>kou. Třetina veškeré sklizně chmele světa (220.000 centů), bude nyní získána v Říši, dále pak stoupne výroba lihu na 5 milionů hektolitrů, t</w:t>
      </w:r>
      <w:r>
        <w:rPr>
          <w:b/>
          <w:bCs/>
          <w:sz w:val="19"/>
          <w:szCs w:val="19"/>
        </w:rPr>
        <w:t>edy na tolik, co připadá na Francii a na více než polovinu americké produkce. To ovšem je význam</w:t>
      </w:r>
      <w:r>
        <w:rPr>
          <w:b/>
          <w:bCs/>
          <w:sz w:val="19"/>
          <w:szCs w:val="19"/>
        </w:rPr>
        <w:softHyphen/>
        <w:t>né také pro získáni pohonných látek pro výbušné motory. Ze světové produkce piva nyní bude míti velkoněmecká říše plnou čtvrtinu, čili padesát milionů hektolit</w:t>
      </w:r>
      <w:r>
        <w:rPr>
          <w:b/>
          <w:bCs/>
          <w:sz w:val="19"/>
          <w:szCs w:val="19"/>
        </w:rPr>
        <w:t xml:space="preserve">rů a stoji tedy již jen za Spojenými Státy americkými, které vyrábějí 70 milionů hl piva, ale před Anglii, jež produkuje 40 mil. </w:t>
      </w:r>
      <w:r>
        <w:rPr>
          <w:b/>
          <w:bCs/>
          <w:sz w:val="19"/>
          <w:szCs w:val="19"/>
          <w:lang w:val="en-US" w:eastAsia="en-US" w:bidi="en-US"/>
        </w:rPr>
        <w:t xml:space="preserve">hi </w:t>
      </w:r>
      <w:r>
        <w:rPr>
          <w:b/>
          <w:bCs/>
          <w:sz w:val="19"/>
          <w:szCs w:val="19"/>
        </w:rPr>
        <w:t>piva. Lesní bohatství se zvyšuje o 3 miliony hektarů na 20 milionů, tedy na rozlohu švédských lesů a má tedy o 5 milionů hek</w:t>
      </w:r>
      <w:r>
        <w:rPr>
          <w:b/>
          <w:bCs/>
          <w:sz w:val="19"/>
          <w:szCs w:val="19"/>
        </w:rPr>
        <w:t>tarů menší rozlohu, než mají finské lesy. Ovšem, primát podrží Rusko i nadále, protože má jen ve své evropské veieříši na čtvrt milionu hektarů lesů a na asijské pevnině tři čtvrti milionu hektarů. Ale s hlediska produkce papíru a různých jiných významných</w:t>
      </w:r>
      <w:r>
        <w:rPr>
          <w:b/>
          <w:bCs/>
          <w:sz w:val="19"/>
          <w:szCs w:val="19"/>
        </w:rPr>
        <w:t xml:space="preserve"> výrobků je to velmi cenný přinos.</w:t>
      </w:r>
    </w:p>
    <w:p w:rsidR="00500724" w:rsidRDefault="00F30FB8">
      <w:pPr>
        <w:pStyle w:val="Zkladntext100"/>
        <w:shd w:val="clear" w:color="auto" w:fill="auto"/>
        <w:tabs>
          <w:tab w:val="left" w:pos="4565"/>
        </w:tabs>
        <w:spacing w:after="80" w:line="240" w:lineRule="auto"/>
        <w:ind w:firstLine="300"/>
        <w:rPr>
          <w:sz w:val="20"/>
          <w:szCs w:val="20"/>
        </w:rPr>
      </w:pPr>
      <w:r>
        <w:rPr>
          <w:b/>
          <w:bCs/>
          <w:sz w:val="19"/>
          <w:szCs w:val="19"/>
        </w:rPr>
        <w:t xml:space="preserve">Tak se asi jeví na první pohled obrovská změna po stránce hospodářské, která se začala v polovině března. Směry a základní myšlenky národohospodářské, které ovládaly výrobu v Německu a n nás, se v podstatě měnit nebudou. </w:t>
      </w:r>
      <w:r>
        <w:rPr>
          <w:b/>
          <w:bCs/>
          <w:sz w:val="19"/>
          <w:szCs w:val="19"/>
        </w:rPr>
        <w:t>Kladou se však první velké kameny ke vzniku hospodářského celku, jehož význam a budoucnost zatím ne</w:t>
      </w:r>
      <w:r>
        <w:rPr>
          <w:b/>
          <w:bCs/>
          <w:sz w:val="19"/>
          <w:szCs w:val="19"/>
        </w:rPr>
        <w:softHyphen/>
        <w:t>lze ani přehlédnout.</w:t>
      </w:r>
      <w:r>
        <w:rPr>
          <w:b/>
          <w:bCs/>
          <w:sz w:val="19"/>
          <w:szCs w:val="19"/>
        </w:rPr>
        <w:tab/>
      </w:r>
      <w:r>
        <w:rPr>
          <w:i/>
          <w:iCs/>
          <w:sz w:val="20"/>
          <w:szCs w:val="20"/>
        </w:rPr>
        <w:t>C.—</w:t>
      </w:r>
    </w:p>
    <w:p w:rsidR="00500724" w:rsidRDefault="00F30FB8">
      <w:pPr>
        <w:pStyle w:val="Zkladntext20"/>
        <w:shd w:val="clear" w:color="auto" w:fill="auto"/>
        <w:spacing w:after="80" w:line="226" w:lineRule="auto"/>
        <w:ind w:firstLine="0"/>
        <w:jc w:val="center"/>
        <w:rPr>
          <w:sz w:val="20"/>
          <w:szCs w:val="20"/>
        </w:rPr>
      </w:pPr>
      <w:r>
        <w:rPr>
          <w:b/>
          <w:bCs/>
          <w:sz w:val="20"/>
          <w:szCs w:val="20"/>
        </w:rPr>
        <w:t>Německo-rumunská hospodářská dohoda</w:t>
      </w:r>
    </w:p>
    <w:p w:rsidR="00500724" w:rsidRDefault="00F30FB8">
      <w:pPr>
        <w:pStyle w:val="Zkladntext100"/>
        <w:shd w:val="clear" w:color="auto" w:fill="auto"/>
        <w:spacing w:line="226" w:lineRule="auto"/>
        <w:ind w:firstLine="300"/>
        <w:rPr>
          <w:sz w:val="19"/>
          <w:szCs w:val="19"/>
        </w:rPr>
      </w:pPr>
      <w:r>
        <w:rPr>
          <w:b/>
          <w:bCs/>
          <w:sz w:val="19"/>
          <w:szCs w:val="19"/>
        </w:rPr>
        <w:t xml:space="preserve">Ve víru událostí od 15. března neměl svět ještě ani dost času pochopit význam německo-rumunské </w:t>
      </w:r>
      <w:r>
        <w:rPr>
          <w:b/>
          <w:bCs/>
          <w:sz w:val="19"/>
          <w:szCs w:val="19"/>
        </w:rPr>
        <w:t>obchodní dohody. Kdyby šlo jen o obvyklou obchodní smlouvu, nebylo by překvapení tak veliké. Ve skutečnosti jde o věc mnohem dar lekosáhlejší, která se rovná hospodářskému průlomu v jiho</w:t>
      </w:r>
      <w:r>
        <w:rPr>
          <w:b/>
          <w:bCs/>
          <w:sz w:val="19"/>
          <w:szCs w:val="19"/>
        </w:rPr>
        <w:softHyphen/>
        <w:t xml:space="preserve">východní Evropě. Některé prvky německo-rumunské dohody představují s </w:t>
      </w:r>
      <w:r>
        <w:rPr>
          <w:b/>
          <w:bCs/>
          <w:sz w:val="19"/>
          <w:szCs w:val="19"/>
        </w:rPr>
        <w:t>hospodářského hlediska velikou novotu, po</w:t>
      </w:r>
      <w:r>
        <w:rPr>
          <w:b/>
          <w:bCs/>
          <w:sz w:val="19"/>
          <w:szCs w:val="19"/>
        </w:rPr>
        <w:softHyphen/>
        <w:t>něvadž sahají mnohem dál, než dosavadní obchodní styky mezi jednotlivými zeměmi. Teď si už i Anglie uvědomuje, že jde o podstatnou hospodářskou změnu v celé oblasti jiho</w:t>
      </w:r>
      <w:r>
        <w:rPr>
          <w:b/>
          <w:bCs/>
          <w:sz w:val="19"/>
          <w:szCs w:val="19"/>
        </w:rPr>
        <w:softHyphen/>
        <w:t>východní Evropy, ale závod s německou dynami</w:t>
      </w:r>
      <w:r>
        <w:rPr>
          <w:b/>
          <w:bCs/>
          <w:sz w:val="19"/>
          <w:szCs w:val="19"/>
        </w:rPr>
        <w:t>kou a s ča</w:t>
      </w:r>
      <w:r>
        <w:rPr>
          <w:b/>
          <w:bCs/>
          <w:sz w:val="19"/>
          <w:szCs w:val="19"/>
        </w:rPr>
        <w:softHyphen/>
        <w:t>sem v této končině prohrála. Německo získalo v celé po</w:t>
      </w:r>
      <w:r>
        <w:rPr>
          <w:b/>
          <w:bCs/>
          <w:sz w:val="19"/>
          <w:szCs w:val="19"/>
        </w:rPr>
        <w:softHyphen/>
        <w:t>dunajské oblasti vládnoucí hospodářské postavení, jež mu ovšem dává nesmírné možnosti. I když se účinky nové ně- mecko-rumunské dohody projeví teprve postupně — jde totiž vlastně o hospodářs</w:t>
      </w:r>
      <w:r>
        <w:rPr>
          <w:b/>
          <w:bCs/>
          <w:sz w:val="19"/>
          <w:szCs w:val="19"/>
        </w:rPr>
        <w:t>ký plán na několik let — musíme už nyní poěítati se všemi změnami a seznámiti se k tomu g novými metodami německé hospodářské politiky.</w:t>
      </w:r>
    </w:p>
    <w:p w:rsidR="00500724" w:rsidRDefault="00F30FB8">
      <w:pPr>
        <w:pStyle w:val="Zkladntext100"/>
        <w:shd w:val="clear" w:color="auto" w:fill="auto"/>
        <w:spacing w:line="240" w:lineRule="auto"/>
        <w:ind w:firstLine="220"/>
        <w:rPr>
          <w:sz w:val="19"/>
          <w:szCs w:val="19"/>
        </w:rPr>
      </w:pPr>
      <w:r>
        <w:rPr>
          <w:b/>
          <w:bCs/>
          <w:sz w:val="19"/>
          <w:szCs w:val="19"/>
        </w:rPr>
        <w:t>Články této nové dohody zabývají se obchodem velmi málo, zato však tím více celkovou úpravou výroby. Obě země se zavazuj</w:t>
      </w:r>
      <w:r>
        <w:rPr>
          <w:b/>
          <w:bCs/>
          <w:sz w:val="19"/>
          <w:szCs w:val="19"/>
        </w:rPr>
        <w:t>í upraviti svou výrobu tak, aby směna zboží byla co největší a nejtěsnější, považujíce za samo</w:t>
      </w:r>
      <w:r>
        <w:rPr>
          <w:b/>
          <w:bCs/>
          <w:sz w:val="19"/>
          <w:szCs w:val="19"/>
        </w:rPr>
        <w:softHyphen/>
        <w:t>zřejmé, že obchodní styky budou přirozeným důsledkem přizpůsobené výroby. Hlavní zásady řízeného hospodářství, které známe již několik let uvnitř zemi, přenášejí</w:t>
      </w:r>
      <w:r>
        <w:rPr>
          <w:b/>
          <w:bCs/>
          <w:sz w:val="19"/>
          <w:szCs w:val="19"/>
        </w:rPr>
        <w:t xml:space="preserve"> se teď V celém rozsahu na zahraniční pole. Jinými slovy: výroba, doprava a výměna zboží má se nyní řídit v obou smluvních zemích podle společného plánu. Německo převezme starost o rumunské letectvo, loďstvo a zbrojní průmysl, dodá do</w:t>
      </w:r>
      <w:r>
        <w:rPr>
          <w:b/>
          <w:bCs/>
          <w:sz w:val="19"/>
          <w:szCs w:val="19"/>
        </w:rPr>
        <w:softHyphen/>
        <w:t>pravní prostředky a m</w:t>
      </w:r>
      <w:r>
        <w:rPr>
          <w:b/>
          <w:bCs/>
          <w:sz w:val="19"/>
          <w:szCs w:val="19"/>
        </w:rPr>
        <w:t>ateriál pro stavbu silnic, vodních cest a přístavů, postaví veřejné podniky, hlavně ovšem elektrár</w:t>
      </w:r>
      <w:r>
        <w:rPr>
          <w:b/>
          <w:bCs/>
          <w:sz w:val="19"/>
          <w:szCs w:val="19"/>
        </w:rPr>
        <w:softHyphen/>
        <w:t>ny, vodárny a plynárny — a za to dostane od Rumunska důležité průmyslové a zemědělské suroviny, na které je tato oblast jihovýchodní Evropy tak bohatá. O pro</w:t>
      </w:r>
      <w:r>
        <w:rPr>
          <w:b/>
          <w:bCs/>
          <w:sz w:val="19"/>
          <w:szCs w:val="19"/>
        </w:rPr>
        <w:t>vádění celého plánu rozhodnou vždycky společné vládní výbory. Ložiska mědi v Dobrudži, chrómu v Banátu, manganu, bau- xitu a minerálních olejů po celém Rumunsku budou v ru</w:t>
      </w:r>
      <w:r>
        <w:rPr>
          <w:b/>
          <w:bCs/>
          <w:sz w:val="19"/>
          <w:szCs w:val="19"/>
        </w:rPr>
        <w:softHyphen/>
        <w:t>kou smíšených německo rumunských společností. Stejnými Ohledy bude se řídit také výv</w:t>
      </w:r>
      <w:r>
        <w:rPr>
          <w:b/>
          <w:bCs/>
          <w:sz w:val="19"/>
          <w:szCs w:val="19"/>
        </w:rPr>
        <w:t>oj zemědělské a lesní produkce v Rumunsku. Celý plán vychází z toho, že se německé a ru</w:t>
      </w:r>
      <w:r>
        <w:rPr>
          <w:b/>
          <w:bCs/>
          <w:sz w:val="19"/>
          <w:szCs w:val="19"/>
        </w:rPr>
        <w:softHyphen/>
        <w:t>munské hospodářství navzájem neobyčejně doplňují. Po utvoření protektorátu Čech a Moravy má už nyní němec</w:t>
      </w:r>
      <w:r>
        <w:rPr>
          <w:b/>
          <w:bCs/>
          <w:sz w:val="19"/>
          <w:szCs w:val="19"/>
        </w:rPr>
        <w:softHyphen/>
        <w:t>ká říše na rumunském zahraničním obchodě dOprocentní podíl. Od</w:t>
      </w:r>
      <w:r>
        <w:rPr>
          <w:b/>
          <w:bCs/>
          <w:sz w:val="19"/>
          <w:szCs w:val="19"/>
        </w:rPr>
        <w:t xml:space="preserve"> provádění nového výrobního a obchodního plánu Očekává se od německého a rumunského hospodářství jistý druh soužití, které bude mít vliv na celé Podunají.</w:t>
      </w:r>
    </w:p>
    <w:p w:rsidR="00500724" w:rsidRDefault="00F30FB8">
      <w:pPr>
        <w:pStyle w:val="Zkladntext100"/>
        <w:shd w:val="clear" w:color="auto" w:fill="auto"/>
        <w:spacing w:line="233" w:lineRule="auto"/>
        <w:ind w:firstLine="360"/>
        <w:rPr>
          <w:sz w:val="19"/>
          <w:szCs w:val="19"/>
        </w:rPr>
      </w:pPr>
      <w:r>
        <w:rPr>
          <w:b/>
          <w:bCs/>
          <w:sz w:val="19"/>
          <w:szCs w:val="19"/>
        </w:rPr>
        <w:t>Právě tak zajímavé a dalekosáhlé jsou nové způsoby účtování a financování. Co dělala obyčejně země, k</w:t>
      </w:r>
      <w:r>
        <w:rPr>
          <w:b/>
          <w:bCs/>
          <w:sz w:val="19"/>
          <w:szCs w:val="19"/>
        </w:rPr>
        <w:t>terá chtěla svých surovin využiti? Opatřovala si půjčky v zahra</w:t>
      </w:r>
      <w:r>
        <w:rPr>
          <w:b/>
          <w:bCs/>
          <w:sz w:val="19"/>
          <w:szCs w:val="19"/>
        </w:rPr>
        <w:softHyphen/>
        <w:t>ničí nebo přijímala účast zahraničního kapitálu na jednot</w:t>
      </w:r>
      <w:r>
        <w:rPr>
          <w:b/>
          <w:bCs/>
          <w:sz w:val="19"/>
          <w:szCs w:val="19"/>
        </w:rPr>
        <w:softHyphen/>
        <w:t>livých podnicích. A jak se provádělo vyúčtování v zahra</w:t>
      </w:r>
      <w:r>
        <w:rPr>
          <w:b/>
          <w:bCs/>
          <w:sz w:val="19"/>
          <w:szCs w:val="19"/>
        </w:rPr>
        <w:softHyphen/>
        <w:t>ničním obchodě? Nejčastěji tak, že proti sobě stály splatné pohledávky. Jestli</w:t>
      </w:r>
      <w:r>
        <w:rPr>
          <w:b/>
          <w:bCs/>
          <w:sz w:val="19"/>
          <w:szCs w:val="19"/>
        </w:rPr>
        <w:t>že pohledávky nebyly navzájem aspoň přibližně vyrovnány, nastávaly poruchy, na které příliv za</w:t>
      </w:r>
      <w:r>
        <w:rPr>
          <w:b/>
          <w:bCs/>
          <w:sz w:val="19"/>
          <w:szCs w:val="19"/>
        </w:rPr>
        <w:softHyphen/>
        <w:t>hraničního kapitálu téměř nepůsobil, protože cizí půjčky nebo účast měly se skutečným obchodem ve zboží velmi málo společného. Nyní se to všechno mění; podle nov</w:t>
      </w:r>
      <w:r>
        <w:rPr>
          <w:b/>
          <w:bCs/>
          <w:sz w:val="19"/>
          <w:szCs w:val="19"/>
        </w:rPr>
        <w:t>é do</w:t>
      </w:r>
      <w:r>
        <w:rPr>
          <w:b/>
          <w:bCs/>
          <w:sz w:val="19"/>
          <w:szCs w:val="19"/>
        </w:rPr>
        <w:softHyphen/>
        <w:t>hody bude možno část vývozního výtěžku použiti přímo pro kapitálovou účast a financování. Dosah této novoty pochopíme teprve potom, podíváme-Ii se na dosavadní způ</w:t>
      </w:r>
      <w:r>
        <w:rPr>
          <w:b/>
          <w:bCs/>
          <w:sz w:val="19"/>
          <w:szCs w:val="19"/>
        </w:rPr>
        <w:softHyphen/>
        <w:t>soby a cesty, kterými velký zahraniční kapitál do jednotli</w:t>
      </w:r>
      <w:r>
        <w:rPr>
          <w:b/>
          <w:bCs/>
          <w:sz w:val="19"/>
          <w:szCs w:val="19"/>
        </w:rPr>
        <w:softHyphen/>
        <w:t xml:space="preserve">vých zemí pronikal. Dělo se </w:t>
      </w:r>
      <w:r>
        <w:rPr>
          <w:b/>
          <w:bCs/>
          <w:sz w:val="19"/>
          <w:szCs w:val="19"/>
        </w:rPr>
        <w:t xml:space="preserve">to obyčejně tak — hlavně po válce a ještě více od r. 1028 — že bohaté finanční země poskytovaly sice půjčky a zúčastňovaly se na jednotlivých podnicích, ale nebyly ochotny kupovat od dlužníků velká množství surovin. Finančně chudé země neměly zase devisy, </w:t>
      </w:r>
      <w:r>
        <w:rPr>
          <w:b/>
          <w:bCs/>
          <w:sz w:val="19"/>
          <w:szCs w:val="19"/>
        </w:rPr>
        <w:t>za které by mohly na světovém trhu nakupovat průmyslo</w:t>
      </w:r>
      <w:r>
        <w:rPr>
          <w:b/>
          <w:bCs/>
          <w:sz w:val="19"/>
          <w:szCs w:val="19"/>
        </w:rPr>
        <w:softHyphen/>
        <w:t>vé výrobky. To je jeden ze začarovaných kruhů finančního kapitálu, který se má nyní rozetnout.</w:t>
      </w:r>
    </w:p>
    <w:p w:rsidR="00500724" w:rsidRDefault="00F30FB8">
      <w:pPr>
        <w:pStyle w:val="Zkladntext100"/>
        <w:shd w:val="clear" w:color="auto" w:fill="auto"/>
        <w:tabs>
          <w:tab w:val="left" w:pos="4214"/>
        </w:tabs>
        <w:spacing w:after="100" w:line="230" w:lineRule="auto"/>
        <w:ind w:firstLine="360"/>
        <w:rPr>
          <w:sz w:val="20"/>
          <w:szCs w:val="20"/>
        </w:rPr>
      </w:pPr>
      <w:r>
        <w:rPr>
          <w:i/>
          <w:iCs/>
          <w:sz w:val="20"/>
          <w:szCs w:val="20"/>
        </w:rPr>
        <w:t>Af</w:t>
      </w:r>
      <w:r>
        <w:rPr>
          <w:b/>
          <w:bCs/>
          <w:sz w:val="19"/>
          <w:szCs w:val="19"/>
        </w:rPr>
        <w:t xml:space="preserve"> už bude provádění nové německo-rumunské hospo</w:t>
      </w:r>
      <w:r>
        <w:rPr>
          <w:b/>
          <w:bCs/>
          <w:sz w:val="19"/>
          <w:szCs w:val="19"/>
        </w:rPr>
        <w:softHyphen/>
        <w:t>dářské dohody jakékoliv, jisto je, že v jihovýchodní Evrop</w:t>
      </w:r>
      <w:r>
        <w:rPr>
          <w:b/>
          <w:bCs/>
          <w:sz w:val="19"/>
          <w:szCs w:val="19"/>
        </w:rPr>
        <w:t>ě nastal ve prospěch německé říše velký přesun. Změny bu</w:t>
      </w:r>
      <w:r>
        <w:rPr>
          <w:b/>
          <w:bCs/>
          <w:sz w:val="19"/>
          <w:szCs w:val="19"/>
        </w:rPr>
        <w:softHyphen/>
        <w:t>dou jistě pronikavé, neboť zákon o nerovnoměrném hospo</w:t>
      </w:r>
      <w:r>
        <w:rPr>
          <w:b/>
          <w:bCs/>
          <w:sz w:val="19"/>
          <w:szCs w:val="19"/>
        </w:rPr>
        <w:softHyphen/>
        <w:t>dářském vývoji platí dosud právě tak, jako zákon skutečného poměru sil.</w:t>
      </w:r>
      <w:r>
        <w:rPr>
          <w:b/>
          <w:bCs/>
          <w:sz w:val="19"/>
          <w:szCs w:val="19"/>
        </w:rPr>
        <w:tab/>
        <w:t xml:space="preserve">J. </w:t>
      </w:r>
      <w:r>
        <w:rPr>
          <w:i/>
          <w:iCs/>
          <w:sz w:val="20"/>
          <w:szCs w:val="20"/>
        </w:rPr>
        <w:t>Sedlák</w:t>
      </w:r>
    </w:p>
    <w:p w:rsidR="00500724" w:rsidRDefault="00F30FB8">
      <w:pPr>
        <w:pStyle w:val="Zkladntext20"/>
        <w:shd w:val="clear" w:color="auto" w:fill="auto"/>
        <w:spacing w:line="223" w:lineRule="auto"/>
        <w:ind w:right="80" w:firstLine="0"/>
        <w:jc w:val="center"/>
        <w:rPr>
          <w:sz w:val="20"/>
          <w:szCs w:val="20"/>
        </w:rPr>
      </w:pPr>
      <w:r>
        <w:rPr>
          <w:b/>
          <w:bCs/>
          <w:sz w:val="20"/>
          <w:szCs w:val="20"/>
        </w:rPr>
        <w:t>Slovensko v jiném postaveni</w:t>
      </w:r>
    </w:p>
    <w:p w:rsidR="00500724" w:rsidRDefault="00F30FB8">
      <w:pPr>
        <w:pStyle w:val="Zkladntext100"/>
        <w:shd w:val="clear" w:color="auto" w:fill="auto"/>
        <w:spacing w:after="40" w:line="240" w:lineRule="auto"/>
        <w:ind w:firstLine="360"/>
        <w:rPr>
          <w:sz w:val="19"/>
          <w:szCs w:val="19"/>
        </w:rPr>
      </w:pPr>
      <w:r>
        <w:rPr>
          <w:b/>
          <w:bCs/>
          <w:sz w:val="19"/>
          <w:szCs w:val="19"/>
        </w:rPr>
        <w:t>Ačkoliv říšský kancléř přijal Slov</w:t>
      </w:r>
      <w:r>
        <w:rPr>
          <w:b/>
          <w:bCs/>
          <w:sz w:val="19"/>
          <w:szCs w:val="19"/>
        </w:rPr>
        <w:t>ensko také pod ochra</w:t>
      </w:r>
      <w:r>
        <w:rPr>
          <w:b/>
          <w:bCs/>
          <w:sz w:val="19"/>
          <w:szCs w:val="19"/>
        </w:rPr>
        <w:softHyphen/>
      </w:r>
      <w:r>
        <w:rPr>
          <w:b/>
          <w:bCs/>
          <w:sz w:val="20"/>
          <w:szCs w:val="20"/>
        </w:rPr>
        <w:t xml:space="preserve">nu </w:t>
      </w:r>
      <w:r>
        <w:rPr>
          <w:b/>
          <w:bCs/>
          <w:sz w:val="19"/>
          <w:szCs w:val="19"/>
        </w:rPr>
        <w:t>Velkého Německa, jako Čechy a Moravu, je státoprávní postavení Slovenské země přece jenom dosti odlišné. Ať už se zkalil poměr mezi Čechy a Slováky jakkoliv a čímkoliv, přejeme Slovákům ze srdce všechny výhody. Uvažujeme-Ii o různém</w:t>
      </w:r>
      <w:r>
        <w:rPr>
          <w:b/>
          <w:bCs/>
          <w:sz w:val="19"/>
          <w:szCs w:val="19"/>
        </w:rPr>
        <w:t xml:space="preserve"> státoprávním postavení Slovenska a historických zemí, shledáme, že nejde pouze o rozdíly formální, nýbrž o některé podstatné znaky a přívlastky státní existence. Po</w:t>
      </w:r>
      <w:r>
        <w:rPr>
          <w:b/>
          <w:bCs/>
          <w:sz w:val="19"/>
          <w:szCs w:val="19"/>
        </w:rPr>
        <w:softHyphen/>
        <w:t>něvadž tato odlišnost působí také na vzájemný politický, hospodářský a kulturní poměr Prot</w:t>
      </w:r>
      <w:r>
        <w:rPr>
          <w:b/>
          <w:bCs/>
          <w:sz w:val="19"/>
          <w:szCs w:val="19"/>
        </w:rPr>
        <w:t>ektorátu a slovenská země bude dobře, když si všecky hlavní rozdíly uvědomíme.</w:t>
      </w:r>
    </w:p>
    <w:p w:rsidR="00500724" w:rsidRDefault="00F30FB8">
      <w:pPr>
        <w:pStyle w:val="Zkladntext100"/>
        <w:shd w:val="clear" w:color="auto" w:fill="auto"/>
        <w:spacing w:after="40" w:line="233" w:lineRule="auto"/>
        <w:ind w:firstLine="300"/>
        <w:rPr>
          <w:sz w:val="19"/>
          <w:szCs w:val="19"/>
        </w:rPr>
      </w:pPr>
      <w:r>
        <w:rPr>
          <w:b/>
          <w:bCs/>
          <w:sz w:val="19"/>
          <w:szCs w:val="19"/>
        </w:rPr>
        <w:t>Za prvé: Podle smlouvy, která byla uzavřena 18. hř</w:t>
      </w:r>
      <w:r>
        <w:rPr>
          <w:b/>
          <w:bCs/>
          <w:sz w:val="19"/>
          <w:szCs w:val="19"/>
          <w:u w:val="single"/>
        </w:rPr>
        <w:t xml:space="preserve">ezna </w:t>
      </w:r>
      <w:r>
        <w:rPr>
          <w:b/>
          <w:bCs/>
          <w:sz w:val="19"/>
          <w:szCs w:val="19"/>
        </w:rPr>
        <w:t>1939, převzala německá říše ochranu politické nezávislosti a integrity slovenského státu. Tím je už řečeno, že Slo</w:t>
      </w:r>
      <w:r>
        <w:rPr>
          <w:b/>
          <w:bCs/>
          <w:sz w:val="19"/>
          <w:szCs w:val="19"/>
        </w:rPr>
        <w:softHyphen/>
        <w:t xml:space="preserve">vensko </w:t>
      </w:r>
      <w:r>
        <w:rPr>
          <w:b/>
          <w:bCs/>
          <w:sz w:val="19"/>
          <w:szCs w:val="19"/>
        </w:rPr>
        <w:t>není přímou součástí Říše, nýbrž zvláštním státním útvarem. Jeho zahraniční politika odpovídá samozřejmě celkovým směrnicím zahraniční politiky německé říše, ale v tomto rámci jedná a vystupuje vůči jiným státům jako svrchovaný činitel.</w:t>
      </w:r>
    </w:p>
    <w:p w:rsidR="00500724" w:rsidRDefault="00F30FB8">
      <w:pPr>
        <w:pStyle w:val="Zkladntext100"/>
        <w:shd w:val="clear" w:color="auto" w:fill="auto"/>
        <w:spacing w:after="40" w:line="240" w:lineRule="auto"/>
        <w:ind w:firstLine="300"/>
        <w:rPr>
          <w:sz w:val="19"/>
          <w:szCs w:val="19"/>
        </w:rPr>
      </w:pPr>
      <w:r>
        <w:rPr>
          <w:b/>
          <w:bCs/>
          <w:sz w:val="19"/>
          <w:szCs w:val="19"/>
        </w:rPr>
        <w:t xml:space="preserve">Za druhé: Smlouva </w:t>
      </w:r>
      <w:r>
        <w:rPr>
          <w:b/>
          <w:bCs/>
          <w:sz w:val="19"/>
          <w:szCs w:val="19"/>
        </w:rPr>
        <w:t>německo-slovenská vyhrazuje sice pro Říši právo, vydržovati na Slovensku vojenské posádky, ale jejich pobyt na Slovensku neznamená obsazeni země říšskými oddíly. Kromě německých posádek má Slovensko právo, organisovat a vydržovat vlastní vojsko a jiné ozbr</w:t>
      </w:r>
      <w:r>
        <w:rPr>
          <w:b/>
          <w:bCs/>
          <w:sz w:val="19"/>
          <w:szCs w:val="19"/>
        </w:rPr>
        <w:t>o</w:t>
      </w:r>
      <w:r>
        <w:rPr>
          <w:b/>
          <w:bCs/>
          <w:sz w:val="19"/>
          <w:szCs w:val="19"/>
        </w:rPr>
        <w:softHyphen/>
        <w:t>jené formace, byť se tak musí díti v »těsné dohodě s ně</w:t>
      </w:r>
      <w:r>
        <w:rPr>
          <w:b/>
          <w:bCs/>
          <w:sz w:val="19"/>
          <w:szCs w:val="19"/>
        </w:rPr>
        <w:softHyphen/>
        <w:t>meckou brannou mocí«.</w:t>
      </w:r>
    </w:p>
    <w:p w:rsidR="00500724" w:rsidRDefault="00F30FB8">
      <w:pPr>
        <w:pStyle w:val="Zkladntext100"/>
        <w:shd w:val="clear" w:color="auto" w:fill="auto"/>
        <w:spacing w:after="40" w:line="240" w:lineRule="auto"/>
        <w:ind w:firstLine="300"/>
        <w:rPr>
          <w:sz w:val="19"/>
          <w:szCs w:val="19"/>
        </w:rPr>
      </w:pPr>
      <w:r>
        <w:rPr>
          <w:b/>
          <w:bCs/>
          <w:sz w:val="19"/>
          <w:szCs w:val="19"/>
        </w:rPr>
        <w:t>Za třetí: I z hospodářského a vnitropolitického hle</w:t>
      </w:r>
      <w:r>
        <w:rPr>
          <w:b/>
          <w:bCs/>
          <w:sz w:val="19"/>
          <w:szCs w:val="19"/>
        </w:rPr>
        <w:softHyphen/>
        <w:t>diska je postavení slovenské země samostatnější a výhod</w:t>
      </w:r>
      <w:r>
        <w:rPr>
          <w:b/>
          <w:bCs/>
          <w:sz w:val="19"/>
          <w:szCs w:val="19"/>
        </w:rPr>
        <w:softHyphen/>
        <w:t>nější. Odráží se to mimo jiné v tom, že Slovensko tvoří vůči sousedů</w:t>
      </w:r>
      <w:r>
        <w:rPr>
          <w:b/>
          <w:bCs/>
          <w:sz w:val="19"/>
          <w:szCs w:val="19"/>
        </w:rPr>
        <w:t>m zvláštní celní území, zařizujíc současně vlastní měnové hospodářství, poštovní styk, obchodní spo</w:t>
      </w:r>
      <w:r>
        <w:rPr>
          <w:b/>
          <w:bCs/>
          <w:sz w:val="19"/>
          <w:szCs w:val="19"/>
        </w:rPr>
        <w:softHyphen/>
        <w:t>jení atd. Tato odlišnost působí již dnes na hospodářské styky Protektorátu a Slovenské země, které byly dosud vskutku těsné — a doufejme také zůstanou.</w:t>
      </w:r>
    </w:p>
    <w:p w:rsidR="00500724" w:rsidRDefault="00F30FB8">
      <w:pPr>
        <w:pStyle w:val="Zkladntext100"/>
        <w:shd w:val="clear" w:color="auto" w:fill="auto"/>
        <w:tabs>
          <w:tab w:val="left" w:pos="4795"/>
        </w:tabs>
        <w:spacing w:after="400" w:line="240" w:lineRule="auto"/>
        <w:ind w:firstLine="300"/>
        <w:rPr>
          <w:sz w:val="19"/>
          <w:szCs w:val="19"/>
        </w:rPr>
      </w:pPr>
      <w:r>
        <w:rPr>
          <w:b/>
          <w:bCs/>
          <w:sz w:val="19"/>
          <w:szCs w:val="19"/>
        </w:rPr>
        <w:t>S tě</w:t>
      </w:r>
      <w:r>
        <w:rPr>
          <w:b/>
          <w:bCs/>
          <w:sz w:val="19"/>
          <w:szCs w:val="19"/>
        </w:rPr>
        <w:t>mito novými činiteli musíme teď nezbytně počítat!, nezapomínajíce, že Slovensko je stále ještě v postaveni velmi svízelném. Jedná se nyní v Budapešti o novou úpravu hranic. Jednání se skončila prozatím bezvýsled</w:t>
      </w:r>
      <w:r>
        <w:rPr>
          <w:b/>
          <w:bCs/>
          <w:sz w:val="19"/>
          <w:szCs w:val="19"/>
        </w:rPr>
        <w:softHyphen/>
        <w:t>ně. Až se Slovensko bude moci věnovati koneč</w:t>
      </w:r>
      <w:r>
        <w:rPr>
          <w:b/>
          <w:bCs/>
          <w:sz w:val="19"/>
          <w:szCs w:val="19"/>
        </w:rPr>
        <w:t>ně klid</w:t>
      </w:r>
      <w:r>
        <w:rPr>
          <w:b/>
          <w:bCs/>
          <w:sz w:val="19"/>
          <w:szCs w:val="19"/>
        </w:rPr>
        <w:softHyphen/>
        <w:t>nější práci, odpadne snad také hořkost, která mezi Čechy a Slováky se nahromadila. Nevzdáváme se naděje a přesvědčení, že pak budeme hledati především to, co nás od věků do věků spojuje.</w:t>
      </w:r>
      <w:r>
        <w:rPr>
          <w:b/>
          <w:bCs/>
          <w:sz w:val="19"/>
          <w:szCs w:val="19"/>
        </w:rPr>
        <w:tab/>
        <w:t>fá</w:t>
      </w:r>
    </w:p>
    <w:p w:rsidR="00500724" w:rsidRDefault="00F30FB8">
      <w:pPr>
        <w:pStyle w:val="Jin0"/>
        <w:pBdr>
          <w:bottom w:val="single" w:sz="4" w:space="0" w:color="auto"/>
        </w:pBdr>
        <w:shd w:val="clear" w:color="auto" w:fill="auto"/>
        <w:spacing w:after="260"/>
        <w:ind w:firstLine="0"/>
        <w:jc w:val="left"/>
        <w:rPr>
          <w:sz w:val="44"/>
          <w:szCs w:val="44"/>
        </w:rPr>
      </w:pPr>
      <w:r>
        <w:rPr>
          <w:b/>
          <w:bCs/>
          <w:sz w:val="44"/>
          <w:szCs w:val="44"/>
        </w:rPr>
        <w:t>politika</w:t>
      </w:r>
    </w:p>
    <w:p w:rsidR="00500724" w:rsidRDefault="00F30FB8">
      <w:pPr>
        <w:pStyle w:val="Zkladntext100"/>
        <w:shd w:val="clear" w:color="auto" w:fill="auto"/>
        <w:spacing w:after="40" w:line="226" w:lineRule="auto"/>
        <w:ind w:firstLine="0"/>
        <w:rPr>
          <w:sz w:val="19"/>
          <w:szCs w:val="19"/>
        </w:rPr>
      </w:pPr>
      <w:r>
        <w:rPr>
          <w:b/>
          <w:bCs/>
          <w:i/>
          <w:iCs/>
          <w:sz w:val="19"/>
          <w:szCs w:val="19"/>
        </w:rPr>
        <w:t>Ferdinand Peroutka:</w:t>
      </w:r>
    </w:p>
    <w:p w:rsidR="00500724" w:rsidRDefault="00F30FB8">
      <w:pPr>
        <w:pStyle w:val="Nadpis100"/>
        <w:shd w:val="clear" w:color="auto" w:fill="auto"/>
        <w:spacing w:line="240" w:lineRule="auto"/>
        <w:jc w:val="left"/>
      </w:pPr>
      <w:bookmarkStart w:id="310" w:name="bookmark309"/>
      <w:r>
        <w:t xml:space="preserve">Když se tvořil poměr k </w:t>
      </w:r>
      <w:r>
        <w:t>Německu...</w:t>
      </w:r>
      <w:bookmarkEnd w:id="310"/>
    </w:p>
    <w:p w:rsidR="00500724" w:rsidRDefault="00F30FB8">
      <w:pPr>
        <w:pStyle w:val="Zkladntext20"/>
        <w:shd w:val="clear" w:color="auto" w:fill="auto"/>
        <w:spacing w:after="40" w:line="214" w:lineRule="auto"/>
        <w:ind w:left="580" w:firstLine="160"/>
        <w:rPr>
          <w:sz w:val="20"/>
          <w:szCs w:val="20"/>
        </w:rPr>
        <w:sectPr w:rsidR="00500724">
          <w:footnotePr>
            <w:numFmt w:val="chicago"/>
            <w:numRestart w:val="eachPage"/>
          </w:footnotePr>
          <w:type w:val="continuous"/>
          <w:pgSz w:w="11909" w:h="16834"/>
          <w:pgMar w:top="1120" w:right="716" w:bottom="634" w:left="796" w:header="0" w:footer="3" w:gutter="0"/>
          <w:cols w:num="2" w:space="115"/>
          <w:noEndnote/>
          <w:docGrid w:linePitch="360"/>
        </w:sectPr>
      </w:pPr>
      <w:r>
        <w:rPr>
          <w:i/>
          <w:iCs/>
          <w:sz w:val="20"/>
          <w:szCs w:val="20"/>
        </w:rPr>
        <w:t>V českých i cizích novinách čteme nyní mnoho při</w:t>
      </w:r>
      <w:r>
        <w:rPr>
          <w:i/>
          <w:iCs/>
          <w:sz w:val="20"/>
          <w:szCs w:val="20"/>
        </w:rPr>
        <w:softHyphen/>
        <w:t>pomínek o tom,</w:t>
      </w:r>
      <w:r>
        <w:rPr>
          <w:b/>
          <w:bCs/>
          <w:sz w:val="19"/>
          <w:szCs w:val="19"/>
        </w:rPr>
        <w:t xml:space="preserve"> že </w:t>
      </w:r>
      <w:r>
        <w:rPr>
          <w:i/>
          <w:iCs/>
          <w:sz w:val="20"/>
          <w:szCs w:val="20"/>
        </w:rPr>
        <w:t>nedovedli jsme v minulosti nalézti správného poměru k Německu a to</w:t>
      </w:r>
      <w:r>
        <w:rPr>
          <w:b/>
          <w:bCs/>
          <w:sz w:val="19"/>
          <w:szCs w:val="19"/>
        </w:rPr>
        <w:t xml:space="preserve"> že </w:t>
      </w:r>
      <w:r>
        <w:rPr>
          <w:i/>
          <w:iCs/>
          <w:sz w:val="20"/>
          <w:szCs w:val="20"/>
        </w:rPr>
        <w:t>zavinilo náí osud. Nedovedla to ovšem ani celá ostatní Evropa, zejména tehdy s</w:t>
      </w:r>
      <w:r>
        <w:rPr>
          <w:i/>
          <w:iCs/>
          <w:sz w:val="20"/>
          <w:szCs w:val="20"/>
        </w:rPr>
        <w:t>táty vítězné. Je jistě zajímavo nyní vrátiti se myslí do prvních let republiky a shledávati okolnosti, které tehdy bránily tomu, čemu se nyní jednomyslně říká ^správný poměr k Německu^ a čemu se tehdy zhusta říkávalo jinak. Bylo to mnoho okolností: vliv Fr</w:t>
      </w:r>
      <w:r>
        <w:rPr>
          <w:i/>
          <w:iCs/>
          <w:sz w:val="20"/>
          <w:szCs w:val="20"/>
        </w:rPr>
        <w:t>ancie, představa o státu národním, nepřirozená orientace hospodářská atd. Aby se ne</w:t>
      </w:r>
      <w:r>
        <w:rPr>
          <w:i/>
          <w:iCs/>
          <w:sz w:val="20"/>
          <w:szCs w:val="20"/>
        </w:rPr>
        <w:softHyphen/>
        <w:t>zdálo,</w:t>
      </w:r>
      <w:r>
        <w:rPr>
          <w:b/>
          <w:bCs/>
          <w:sz w:val="19"/>
          <w:szCs w:val="19"/>
        </w:rPr>
        <w:t xml:space="preserve"> že </w:t>
      </w:r>
      <w:r>
        <w:rPr>
          <w:i/>
          <w:iCs/>
          <w:sz w:val="20"/>
          <w:szCs w:val="20"/>
        </w:rPr>
        <w:t>je lehko se dělat moudrým, když se již vidí výsledek, budu citovati ze svých článků,, které jsem psal v letech 1919 až 1923 do deníku Tribuna a kde, jak věřím, ji</w:t>
      </w:r>
      <w:r>
        <w:rPr>
          <w:i/>
          <w:iCs/>
          <w:sz w:val="20"/>
          <w:szCs w:val="20"/>
        </w:rPr>
        <w:t>ž tehdy jsem ony okolnosti osvětloval.</w:t>
      </w:r>
    </w:p>
    <w:p w:rsidR="00500724" w:rsidRDefault="00F30FB8">
      <w:pPr>
        <w:pStyle w:val="Zkladntext20"/>
        <w:shd w:val="clear" w:color="auto" w:fill="auto"/>
        <w:tabs>
          <w:tab w:val="left" w:pos="4801"/>
        </w:tabs>
        <w:spacing w:after="80" w:line="228" w:lineRule="auto"/>
        <w:ind w:left="500" w:firstLine="0"/>
        <w:rPr>
          <w:sz w:val="20"/>
          <w:szCs w:val="20"/>
        </w:rPr>
      </w:pPr>
      <w:r>
        <w:rPr>
          <w:i/>
          <w:iCs/>
          <w:sz w:val="20"/>
          <w:szCs w:val="20"/>
        </w:rPr>
        <w:t>Jednou jistě bude musit být napsána historie bývalé republiky právě po této stránce. Snad mohou tyto citáty k tomu být příspěvkem.</w:t>
      </w:r>
      <w:r>
        <w:rPr>
          <w:i/>
          <w:iCs/>
          <w:sz w:val="20"/>
          <w:szCs w:val="20"/>
        </w:rPr>
        <w:tab/>
        <w:t>fp</w:t>
      </w:r>
    </w:p>
    <w:p w:rsidR="00500724" w:rsidRDefault="00F30FB8">
      <w:pPr>
        <w:pStyle w:val="Zkladntext50"/>
        <w:shd w:val="clear" w:color="auto" w:fill="auto"/>
        <w:spacing w:after="80" w:line="240" w:lineRule="auto"/>
        <w:ind w:left="0"/>
        <w:jc w:val="center"/>
      </w:pPr>
      <w:r>
        <w:t>L</w:t>
      </w:r>
    </w:p>
    <w:p w:rsidR="00500724" w:rsidRDefault="00F30FB8">
      <w:pPr>
        <w:pStyle w:val="Zkladntext20"/>
        <w:shd w:val="clear" w:color="auto" w:fill="auto"/>
        <w:spacing w:line="259" w:lineRule="auto"/>
        <w:ind w:firstLine="840"/>
        <w:rPr>
          <w:sz w:val="20"/>
          <w:szCs w:val="20"/>
        </w:rPr>
      </w:pPr>
      <w:r>
        <w:rPr>
          <w:sz w:val="20"/>
          <w:szCs w:val="20"/>
        </w:rPr>
        <w:t xml:space="preserve">Německo má platit reparace Důsledky francouzsko-německého trestně-finančního </w:t>
      </w:r>
      <w:r>
        <w:rPr>
          <w:sz w:val="20"/>
          <w:szCs w:val="20"/>
        </w:rPr>
        <w:t>sporu jsou ovšem věcí, která se dotýká celé Evropy. Zase stojíme před perspektivou, že Německo řekne k poslední</w:t>
      </w:r>
      <w:r>
        <w:rPr>
          <w:sz w:val="20"/>
          <w:szCs w:val="20"/>
        </w:rPr>
        <w:softHyphen/>
        <w:t>mu slovu Dohody: »Ne« — a pak se otevře budoucnost velmi nejistá.</w:t>
      </w:r>
    </w:p>
    <w:p w:rsidR="00500724" w:rsidRDefault="00F30FB8">
      <w:pPr>
        <w:pStyle w:val="Zkladntext20"/>
        <w:shd w:val="clear" w:color="auto" w:fill="auto"/>
        <w:spacing w:after="80" w:line="233" w:lineRule="auto"/>
        <w:ind w:firstLine="200"/>
        <w:rPr>
          <w:sz w:val="20"/>
          <w:szCs w:val="20"/>
        </w:rPr>
      </w:pPr>
      <w:r>
        <w:rPr>
          <w:sz w:val="20"/>
          <w:szCs w:val="20"/>
        </w:rPr>
        <w:t>Blaho Evropy závisí přímo na tom, bude-li sledovati zásady rozumu a rozvahy, b</w:t>
      </w:r>
      <w:r>
        <w:rPr>
          <w:sz w:val="20"/>
          <w:szCs w:val="20"/>
        </w:rPr>
        <w:t>ude-li ve všech věcech jed</w:t>
      </w:r>
      <w:r>
        <w:rPr>
          <w:sz w:val="20"/>
          <w:szCs w:val="20"/>
        </w:rPr>
        <w:softHyphen/>
        <w:t>nali umírněně a s plným uvážením. Svéhlavé sledováni fixních idejí vede do zhouby. Idea odškodnění se strany Německa nebyla posud podrobena vážné kritice. Víme, kterak vznikla: Francie posilovala jí za války umdlévají</w:t>
      </w:r>
      <w:r>
        <w:rPr>
          <w:sz w:val="20"/>
          <w:szCs w:val="20"/>
        </w:rPr>
        <w:softHyphen/>
        <w:t>cího malého</w:t>
      </w:r>
      <w:r>
        <w:rPr>
          <w:sz w:val="20"/>
          <w:szCs w:val="20"/>
        </w:rPr>
        <w:t xml:space="preserve"> francouzského člověka, a obratný </w:t>
      </w:r>
      <w:r>
        <w:rPr>
          <w:sz w:val="20"/>
          <w:szCs w:val="20"/>
          <w:lang w:val="en-US" w:eastAsia="en-US" w:bidi="en-US"/>
        </w:rPr>
        <w:t xml:space="preserve">Lloyd George </w:t>
      </w:r>
      <w:r>
        <w:rPr>
          <w:sz w:val="20"/>
          <w:szCs w:val="20"/>
        </w:rPr>
        <w:t xml:space="preserve">vybojoval v tomto znamení velké volební vítězství. </w:t>
      </w:r>
      <w:r>
        <w:rPr>
          <w:rFonts w:ascii="Arial" w:eastAsia="Arial" w:hAnsi="Arial" w:cs="Arial"/>
          <w:sz w:val="17"/>
          <w:szCs w:val="17"/>
        </w:rPr>
        <w:t xml:space="preserve">V </w:t>
      </w:r>
      <w:r>
        <w:rPr>
          <w:sz w:val="20"/>
          <w:szCs w:val="20"/>
        </w:rPr>
        <w:t xml:space="preserve">obou těchto případech měla idea odškodnění agitační ráz i smysl, a snad se ani dosud nezbavila plně stop svého původu. Francii jde zřejmě o to, jak se </w:t>
      </w:r>
      <w:r>
        <w:rPr>
          <w:sz w:val="20"/>
          <w:szCs w:val="20"/>
        </w:rPr>
        <w:t>sanovati pomocí německých peněz. Víme, s jakými potížemi hospodářský</w:t>
      </w:r>
      <w:r>
        <w:rPr>
          <w:sz w:val="20"/>
          <w:szCs w:val="20"/>
        </w:rPr>
        <w:softHyphen/>
        <w:t>mi a finančními musí zápasiti každý stát sám o sobě: je naděje, že za této doby, kdy každý sám jen tak tak se drží nad vodou, mohl by se nalézti ještě stát, který by mohl vydatně sanovati</w:t>
      </w:r>
      <w:r>
        <w:rPr>
          <w:sz w:val="20"/>
          <w:szCs w:val="20"/>
        </w:rPr>
        <w:t xml:space="preserve"> svého souseda, je-li to ke všemu ještě jeden ze států poražených a rozvrácených i ochuze</w:t>
      </w:r>
      <w:r>
        <w:rPr>
          <w:sz w:val="20"/>
          <w:szCs w:val="20"/>
        </w:rPr>
        <w:softHyphen/>
        <w:t>ných? Byla tato idea odškodnění jako prostředek sanace podrobena opravdu vážným a objektivním úvahám hospo</w:t>
      </w:r>
      <w:r>
        <w:rPr>
          <w:sz w:val="20"/>
          <w:szCs w:val="20"/>
        </w:rPr>
        <w:softHyphen/>
        <w:t>dářským, ěi o ni uvažovali dosud jen politikové? V Paříži n</w:t>
      </w:r>
      <w:r>
        <w:rPr>
          <w:sz w:val="20"/>
          <w:szCs w:val="20"/>
        </w:rPr>
        <w:t>yní, zdá se, nabyla vrchu opět politika. (2. února 1921)</w:t>
      </w:r>
    </w:p>
    <w:p w:rsidR="00500724" w:rsidRDefault="00F30FB8">
      <w:pPr>
        <w:pStyle w:val="Zkladntext20"/>
        <w:shd w:val="clear" w:color="auto" w:fill="auto"/>
        <w:spacing w:after="80" w:line="240" w:lineRule="auto"/>
        <w:ind w:firstLine="0"/>
        <w:jc w:val="center"/>
        <w:rPr>
          <w:sz w:val="20"/>
          <w:szCs w:val="20"/>
        </w:rPr>
      </w:pPr>
      <w:r>
        <w:rPr>
          <w:sz w:val="20"/>
          <w:szCs w:val="20"/>
        </w:rPr>
        <w:t>Byla otázka reparací vůbec zkoumána</w:t>
      </w:r>
      <w:r>
        <w:rPr>
          <w:sz w:val="20"/>
          <w:szCs w:val="20"/>
        </w:rPr>
        <w:br/>
        <w:t>vážně ?</w:t>
      </w:r>
    </w:p>
    <w:p w:rsidR="00500724" w:rsidRDefault="00F30FB8">
      <w:pPr>
        <w:pStyle w:val="Zkladntext20"/>
        <w:shd w:val="clear" w:color="auto" w:fill="auto"/>
        <w:spacing w:after="80" w:line="240" w:lineRule="auto"/>
        <w:ind w:firstLine="340"/>
        <w:rPr>
          <w:sz w:val="20"/>
          <w:szCs w:val="20"/>
        </w:rPr>
      </w:pPr>
      <w:r>
        <w:rPr>
          <w:sz w:val="20"/>
          <w:szCs w:val="20"/>
        </w:rPr>
        <w:t xml:space="preserve">Když Francie dokončila válku úplným vítězstvím a domohla se vlivu tak rozsáhlého, jakého neměla od dob Napoleonských, shledává pojednou, zahloubavší se do </w:t>
      </w:r>
      <w:r>
        <w:rPr>
          <w:sz w:val="20"/>
          <w:szCs w:val="20"/>
        </w:rPr>
        <w:t>číslic a výpočtů a naslouchajíc hospodářskému tepu své země, že to bylo vítězství Pyrrhovo. Úzkost sevřela fran</w:t>
      </w:r>
      <w:r>
        <w:rPr>
          <w:sz w:val="20"/>
          <w:szCs w:val="20"/>
        </w:rPr>
        <w:softHyphen/>
        <w:t>couzské srdce: aby Německo, poražené, odzbrojené, zlome</w:t>
      </w:r>
      <w:r>
        <w:rPr>
          <w:sz w:val="20"/>
          <w:szCs w:val="20"/>
        </w:rPr>
        <w:softHyphen/>
        <w:t>né, nevyšlo konec konců z války přece silnější než Fran</w:t>
      </w:r>
      <w:r>
        <w:rPr>
          <w:sz w:val="20"/>
          <w:szCs w:val="20"/>
        </w:rPr>
        <w:softHyphen/>
        <w:t>cie, která již chápe, že sebe sk</w:t>
      </w:r>
      <w:r>
        <w:rPr>
          <w:sz w:val="20"/>
          <w:szCs w:val="20"/>
        </w:rPr>
        <w:t>vělejší vítězství politické nevyváží hospodářskou slabost, a která se bojí, aby ne</w:t>
      </w:r>
      <w:r>
        <w:rPr>
          <w:sz w:val="20"/>
          <w:szCs w:val="20"/>
        </w:rPr>
        <w:softHyphen/>
        <w:t>prohrála nyní starý svůj hospodářský zápas s Němec</w:t>
      </w:r>
      <w:r>
        <w:rPr>
          <w:sz w:val="20"/>
          <w:szCs w:val="20"/>
        </w:rPr>
        <w:softHyphen/>
        <w:t>kem. Tato úzkost zabarvuje vše, co Francouzi v reparační otázce žádají, píší, mluví, cítí a mysli.</w:t>
      </w:r>
    </w:p>
    <w:p w:rsidR="00500724" w:rsidRDefault="00F30FB8">
      <w:pPr>
        <w:pStyle w:val="Zkladntext20"/>
        <w:shd w:val="clear" w:color="auto" w:fill="auto"/>
        <w:spacing w:after="80" w:line="240" w:lineRule="auto"/>
        <w:ind w:firstLine="340"/>
        <w:rPr>
          <w:sz w:val="20"/>
          <w:szCs w:val="20"/>
        </w:rPr>
      </w:pPr>
      <w:r>
        <w:rPr>
          <w:sz w:val="20"/>
          <w:szCs w:val="20"/>
        </w:rPr>
        <w:t>Francie žádala původně,</w:t>
      </w:r>
      <w:r>
        <w:rPr>
          <w:sz w:val="20"/>
          <w:szCs w:val="20"/>
        </w:rPr>
        <w:t xml:space="preserve"> rozhodnouti o Německu bez Německa. Německé stanovisko k cifrám, které byly ozná</w:t>
      </w:r>
      <w:r>
        <w:rPr>
          <w:sz w:val="20"/>
          <w:szCs w:val="20"/>
        </w:rPr>
        <w:softHyphen/>
        <w:t>meny z Paříže, jest dostatečně známo. Je to jednomyslné n e. Pařížské požadavky byly v Německu všemi činiteli označeny za holou nemožnost, a bylo řečeno, že dohoda může dělati</w:t>
      </w:r>
      <w:r>
        <w:rPr>
          <w:sz w:val="20"/>
          <w:szCs w:val="20"/>
        </w:rPr>
        <w:t xml:space="preserve"> co chce a vyhrožovati jakýmikoliv sankcemi, nikdy nezíská německého svolení k těmto závazkům. Francie v odpověď počala se okázale raditi s Fochem...</w:t>
      </w:r>
    </w:p>
    <w:p w:rsidR="00500724" w:rsidRDefault="00F30FB8">
      <w:pPr>
        <w:pStyle w:val="Zkladntext20"/>
        <w:shd w:val="clear" w:color="auto" w:fill="auto"/>
        <w:spacing w:after="80" w:line="240" w:lineRule="auto"/>
        <w:ind w:firstLine="340"/>
        <w:rPr>
          <w:sz w:val="20"/>
          <w:szCs w:val="20"/>
        </w:rPr>
      </w:pPr>
      <w:r>
        <w:rPr>
          <w:sz w:val="20"/>
          <w:szCs w:val="20"/>
        </w:rPr>
        <w:t>Zbývá otázka, zda byla kdy vážně a odborně zkoumána platební schopnost Německa. Většina odbornických hlasů</w:t>
      </w:r>
      <w:r>
        <w:rPr>
          <w:sz w:val="20"/>
          <w:szCs w:val="20"/>
        </w:rPr>
        <w:t xml:space="preserve"> vyzněla rozhodně proti pařížským cifrám, které, zdá se, byly stanoveny více politiky než finančníky, a z kterých Je, podle Briandových slov, ochota slevovati, prokáže-li kongres odborníků nemožnost, aby Německo platilo takové</w:t>
      </w:r>
    </w:p>
    <w:p w:rsidR="00500724" w:rsidRDefault="00F30FB8">
      <w:pPr>
        <w:pStyle w:val="Jin0"/>
        <w:shd w:val="clear" w:color="auto" w:fill="auto"/>
        <w:spacing w:after="80"/>
        <w:ind w:firstLine="0"/>
        <w:jc w:val="left"/>
        <w:rPr>
          <w:sz w:val="26"/>
          <w:szCs w:val="26"/>
        </w:rPr>
      </w:pPr>
      <w:r>
        <w:rPr>
          <w:rFonts w:ascii="Arial" w:eastAsia="Arial" w:hAnsi="Arial" w:cs="Arial"/>
          <w:b/>
          <w:bCs/>
          <w:i/>
          <w:iCs/>
          <w:sz w:val="26"/>
          <w:szCs w:val="26"/>
        </w:rPr>
        <w:t>iQ2</w:t>
      </w:r>
    </w:p>
    <w:p w:rsidR="00500724" w:rsidRDefault="00F30FB8">
      <w:pPr>
        <w:pStyle w:val="Zkladntext20"/>
        <w:shd w:val="clear" w:color="auto" w:fill="auto"/>
        <w:tabs>
          <w:tab w:val="left" w:pos="3566"/>
        </w:tabs>
        <w:spacing w:after="200" w:line="240" w:lineRule="auto"/>
        <w:ind w:firstLine="0"/>
        <w:rPr>
          <w:sz w:val="17"/>
          <w:szCs w:val="17"/>
        </w:rPr>
      </w:pPr>
      <w:r>
        <w:rPr>
          <w:sz w:val="20"/>
          <w:szCs w:val="20"/>
        </w:rPr>
        <w:t xml:space="preserve">sumy. Normálnímu způsobu </w:t>
      </w:r>
      <w:r>
        <w:rPr>
          <w:sz w:val="20"/>
          <w:szCs w:val="20"/>
        </w:rPr>
        <w:t xml:space="preserve">myšlení přichází </w:t>
      </w:r>
      <w:r>
        <w:rPr>
          <w:rFonts w:ascii="Arial" w:eastAsia="Arial" w:hAnsi="Arial" w:cs="Arial"/>
          <w:sz w:val="17"/>
          <w:szCs w:val="17"/>
          <w:lang w:val="en-US" w:eastAsia="en-US" w:bidi="en-US"/>
        </w:rPr>
        <w:t xml:space="preserve">ovgem, </w:t>
      </w:r>
      <w:r>
        <w:rPr>
          <w:sz w:val="20"/>
          <w:szCs w:val="20"/>
        </w:rPr>
        <w:t xml:space="preserve">divné, že taková konference odborníků nebyla </w:t>
      </w:r>
      <w:r>
        <w:rPr>
          <w:rFonts w:ascii="Arial" w:eastAsia="Arial" w:hAnsi="Arial" w:cs="Arial"/>
          <w:sz w:val="17"/>
          <w:szCs w:val="17"/>
        </w:rPr>
        <w:t xml:space="preserve">svolána; </w:t>
      </w:r>
      <w:r>
        <w:rPr>
          <w:sz w:val="20"/>
          <w:szCs w:val="20"/>
        </w:rPr>
        <w:t>před konferencí politiků.</w:t>
      </w:r>
      <w:r>
        <w:rPr>
          <w:sz w:val="20"/>
          <w:szCs w:val="20"/>
        </w:rPr>
        <w:tab/>
        <w:t xml:space="preserve">(2. </w:t>
      </w:r>
      <w:r>
        <w:rPr>
          <w:rFonts w:ascii="Arial" w:eastAsia="Arial" w:hAnsi="Arial" w:cs="Arial"/>
          <w:sz w:val="17"/>
          <w:szCs w:val="17"/>
        </w:rPr>
        <w:t>března 1921)1</w:t>
      </w:r>
    </w:p>
    <w:p w:rsidR="00500724" w:rsidRDefault="00F30FB8">
      <w:pPr>
        <w:pStyle w:val="Zkladntext20"/>
        <w:shd w:val="clear" w:color="auto" w:fill="auto"/>
        <w:spacing w:after="140" w:line="286" w:lineRule="auto"/>
        <w:ind w:firstLine="0"/>
        <w:jc w:val="center"/>
        <w:rPr>
          <w:sz w:val="20"/>
          <w:szCs w:val="20"/>
        </w:rPr>
      </w:pPr>
      <w:r>
        <w:rPr>
          <w:sz w:val="20"/>
          <w:szCs w:val="20"/>
        </w:rPr>
        <w:t>Mělo se Československo účastnit trestná</w:t>
      </w:r>
      <w:r>
        <w:rPr>
          <w:sz w:val="20"/>
          <w:szCs w:val="20"/>
        </w:rPr>
        <w:br/>
        <w:t>výpravy do Německa?</w:t>
      </w:r>
    </w:p>
    <w:p w:rsidR="00500724" w:rsidRDefault="00F30FB8">
      <w:pPr>
        <w:pStyle w:val="Zkladntext20"/>
        <w:shd w:val="clear" w:color="auto" w:fill="auto"/>
        <w:spacing w:after="40" w:line="240" w:lineRule="auto"/>
        <w:ind w:firstLine="320"/>
        <w:rPr>
          <w:sz w:val="20"/>
          <w:szCs w:val="20"/>
        </w:rPr>
      </w:pPr>
      <w:r>
        <w:rPr>
          <w:sz w:val="20"/>
          <w:szCs w:val="20"/>
        </w:rPr>
        <w:t xml:space="preserve">Na štěstí nikdo si nezatajuje v Praze, jak vážná </w:t>
      </w:r>
      <w:r>
        <w:rPr>
          <w:rFonts w:ascii="Arial" w:eastAsia="Arial" w:hAnsi="Arial" w:cs="Arial"/>
          <w:sz w:val="17"/>
          <w:szCs w:val="17"/>
        </w:rPr>
        <w:t>a ne</w:t>
      </w:r>
      <w:r>
        <w:rPr>
          <w:rFonts w:ascii="Arial" w:eastAsia="Arial" w:hAnsi="Arial" w:cs="Arial"/>
          <w:sz w:val="17"/>
          <w:szCs w:val="17"/>
        </w:rPr>
        <w:softHyphen/>
      </w:r>
      <w:r>
        <w:rPr>
          <w:sz w:val="20"/>
          <w:szCs w:val="20"/>
        </w:rPr>
        <w:t xml:space="preserve">jistá situace </w:t>
      </w:r>
      <w:r>
        <w:rPr>
          <w:sz w:val="20"/>
          <w:szCs w:val="20"/>
        </w:rPr>
        <w:t>nastává. Objevily se v našich listech jakési milionové číslice s dvěma nulami na konci, značící cifru,! jaké by vyžadovala naše mobilisace proti Německu. Tady by se prostý občan velmi zarazil, věda, co parlamentních krisí vyžádala si u nás otázka velmi r '</w:t>
      </w:r>
      <w:r>
        <w:rPr>
          <w:sz w:val="20"/>
          <w:szCs w:val="20"/>
        </w:rPr>
        <w:t>tného příplatku státním zaměstnancům, pohybující se v podobných mi</w:t>
      </w:r>
      <w:r>
        <w:rPr>
          <w:sz w:val="20"/>
          <w:szCs w:val="20"/>
        </w:rPr>
        <w:softHyphen/>
        <w:t>lionových číslicích, a věda, jak hrozně těžko sháníme pe- níže na nejnutnější věci, jako na př. na stavbu domů* Z těchto důvodů zejména bude si onen občan velmi přátl* abychom zůstali ušetř</w:t>
      </w:r>
      <w:r>
        <w:rPr>
          <w:sz w:val="20"/>
          <w:szCs w:val="20"/>
        </w:rPr>
        <w:t xml:space="preserve">eni jakéhokoliv zatáhnutí </w:t>
      </w:r>
      <w:r>
        <w:rPr>
          <w:rFonts w:ascii="Arial" w:eastAsia="Arial" w:hAnsi="Arial" w:cs="Arial"/>
          <w:sz w:val="17"/>
          <w:szCs w:val="17"/>
        </w:rPr>
        <w:t xml:space="preserve">do tohoto </w:t>
      </w:r>
      <w:r>
        <w:rPr>
          <w:sz w:val="20"/>
          <w:szCs w:val="20"/>
        </w:rPr>
        <w:t>konfliktu.</w:t>
      </w:r>
    </w:p>
    <w:p w:rsidR="00500724" w:rsidRDefault="00F30FB8">
      <w:pPr>
        <w:pStyle w:val="Zkladntext20"/>
        <w:shd w:val="clear" w:color="auto" w:fill="auto"/>
        <w:tabs>
          <w:tab w:val="left" w:pos="3566"/>
        </w:tabs>
        <w:spacing w:after="200" w:line="257" w:lineRule="auto"/>
        <w:ind w:firstLine="320"/>
        <w:rPr>
          <w:sz w:val="20"/>
          <w:szCs w:val="20"/>
        </w:rPr>
      </w:pPr>
      <w:r>
        <w:rPr>
          <w:sz w:val="20"/>
          <w:szCs w:val="20"/>
        </w:rPr>
        <w:t>Přerušení londýnských jednání nepočínalo pěkně: ultí- matem dohody. K mezinárodnímu jednání formou ultima</w:t>
      </w:r>
      <w:r>
        <w:rPr>
          <w:sz w:val="20"/>
          <w:szCs w:val="20"/>
        </w:rPr>
        <w:softHyphen/>
        <w:t>ta má opět onen normální občan z r. 1914 oprávněnou ffl značnou nedůvěru.</w:t>
      </w:r>
      <w:r>
        <w:rPr>
          <w:sz w:val="20"/>
          <w:szCs w:val="20"/>
        </w:rPr>
        <w:tab/>
        <w:t>(10. března 1921)?</w:t>
      </w:r>
    </w:p>
    <w:p w:rsidR="00500724" w:rsidRDefault="00F30FB8">
      <w:pPr>
        <w:pStyle w:val="Zkladntext20"/>
        <w:shd w:val="clear" w:color="auto" w:fill="auto"/>
        <w:spacing w:after="200" w:line="257" w:lineRule="auto"/>
        <w:ind w:firstLine="0"/>
        <w:jc w:val="center"/>
        <w:rPr>
          <w:sz w:val="20"/>
          <w:szCs w:val="20"/>
        </w:rPr>
      </w:pPr>
      <w:r>
        <w:rPr>
          <w:sz w:val="20"/>
          <w:szCs w:val="20"/>
        </w:rPr>
        <w:t>Mělo Česko</w:t>
      </w:r>
      <w:r>
        <w:rPr>
          <w:sz w:val="20"/>
          <w:szCs w:val="20"/>
        </w:rPr>
        <w:t xml:space="preserve">slovensko žádat od </w:t>
      </w:r>
      <w:r>
        <w:rPr>
          <w:rFonts w:ascii="Arial" w:eastAsia="Arial" w:hAnsi="Arial" w:cs="Arial"/>
          <w:sz w:val="17"/>
          <w:szCs w:val="17"/>
        </w:rPr>
        <w:t>Německa</w:t>
      </w:r>
      <w:r>
        <w:rPr>
          <w:rFonts w:ascii="Arial" w:eastAsia="Arial" w:hAnsi="Arial" w:cs="Arial"/>
          <w:sz w:val="17"/>
          <w:szCs w:val="17"/>
        </w:rPr>
        <w:br/>
      </w:r>
      <w:r>
        <w:rPr>
          <w:sz w:val="20"/>
          <w:szCs w:val="20"/>
        </w:rPr>
        <w:t>reparace?</w:t>
      </w:r>
    </w:p>
    <w:p w:rsidR="00500724" w:rsidRDefault="00F30FB8">
      <w:pPr>
        <w:pStyle w:val="Zkladntext20"/>
        <w:shd w:val="clear" w:color="auto" w:fill="auto"/>
        <w:spacing w:line="240" w:lineRule="auto"/>
        <w:ind w:firstLine="320"/>
        <w:rPr>
          <w:sz w:val="20"/>
          <w:szCs w:val="20"/>
        </w:rPr>
      </w:pPr>
      <w:r>
        <w:rPr>
          <w:sz w:val="20"/>
          <w:szCs w:val="20"/>
        </w:rPr>
        <w:t>My jsme si měli hned reálně uvědomiti, jaké jsou vy</w:t>
      </w:r>
      <w:r>
        <w:rPr>
          <w:sz w:val="20"/>
          <w:szCs w:val="20"/>
        </w:rPr>
        <w:softHyphen/>
        <w:t>hlídky na to, aby nám Německo platilo válečnou náhradu* a neměli jsme klásti dětinské požadavky, aby nám Němci platili za vpád maďarských bolševiků. Snad si někteří my</w:t>
      </w:r>
      <w:r>
        <w:rPr>
          <w:sz w:val="20"/>
          <w:szCs w:val="20"/>
        </w:rPr>
        <w:t>s</w:t>
      </w:r>
      <w:r>
        <w:rPr>
          <w:sz w:val="20"/>
          <w:szCs w:val="20"/>
        </w:rPr>
        <w:softHyphen/>
        <w:t xml:space="preserve">lili, že ten požadavek jest chytrý, ale my jsme tou chytrosti se jen kompromitovali. Již tehdy, kdy se po prvé začalo' mluvili o našich nárocích vůči Německu, napsali jsme, </w:t>
      </w:r>
      <w:r>
        <w:rPr>
          <w:rFonts w:ascii="Arial" w:eastAsia="Arial" w:hAnsi="Arial" w:cs="Arial"/>
          <w:sz w:val="17"/>
          <w:szCs w:val="17"/>
        </w:rPr>
        <w:t xml:space="preserve">že </w:t>
      </w:r>
      <w:r>
        <w:rPr>
          <w:sz w:val="20"/>
          <w:szCs w:val="20"/>
        </w:rPr>
        <w:t>by bylo patrně nejrozumnější, kdybychom takové nároky vů</w:t>
      </w:r>
      <w:r>
        <w:rPr>
          <w:sz w:val="20"/>
          <w:szCs w:val="20"/>
        </w:rPr>
        <w:softHyphen/>
        <w:t>bec nekladli, vzhlede</w:t>
      </w:r>
      <w:r>
        <w:rPr>
          <w:sz w:val="20"/>
          <w:szCs w:val="20"/>
        </w:rPr>
        <w:t>m k tomu, že podle vší pravděpodob</w:t>
      </w:r>
      <w:r>
        <w:rPr>
          <w:sz w:val="20"/>
          <w:szCs w:val="20"/>
        </w:rPr>
        <w:softHyphen/>
        <w:t>nosti nebudou vyplněny, a že by naopak jasně dokumente*</w:t>
      </w:r>
    </w:p>
    <w:p w:rsidR="00500724" w:rsidRDefault="00F30FB8">
      <w:pPr>
        <w:pStyle w:val="Zkladntext20"/>
        <w:shd w:val="clear" w:color="auto" w:fill="auto"/>
        <w:spacing w:line="180" w:lineRule="auto"/>
        <w:ind w:left="4940" w:firstLine="0"/>
        <w:jc w:val="left"/>
        <w:rPr>
          <w:sz w:val="20"/>
          <w:szCs w:val="20"/>
        </w:rPr>
      </w:pPr>
      <w:r>
        <w:rPr>
          <w:sz w:val="20"/>
          <w:szCs w:val="20"/>
        </w:rPr>
        <w:t>!</w:t>
      </w:r>
    </w:p>
    <w:p w:rsidR="00500724" w:rsidRDefault="00F30FB8">
      <w:pPr>
        <w:pStyle w:val="Zkladntext20"/>
        <w:shd w:val="clear" w:color="auto" w:fill="auto"/>
        <w:spacing w:after="40" w:line="240" w:lineRule="auto"/>
        <w:ind w:firstLine="0"/>
        <w:rPr>
          <w:sz w:val="20"/>
          <w:szCs w:val="20"/>
        </w:rPr>
      </w:pPr>
      <w:r>
        <w:rPr>
          <w:sz w:val="20"/>
          <w:szCs w:val="20"/>
        </w:rPr>
        <w:t xml:space="preserve">válo, že plně oceňujeme obtíže mezinárodní situace a </w:t>
      </w:r>
      <w:r>
        <w:rPr>
          <w:rFonts w:ascii="Arial" w:eastAsia="Arial" w:hAnsi="Arial" w:cs="Arial"/>
          <w:sz w:val="17"/>
          <w:szCs w:val="17"/>
        </w:rPr>
        <w:t xml:space="preserve">žé </w:t>
      </w:r>
      <w:r>
        <w:rPr>
          <w:sz w:val="20"/>
          <w:szCs w:val="20"/>
        </w:rPr>
        <w:t>vážně o ní myslíme, kdybychom prohlásili, že vůbec neči</w:t>
      </w:r>
      <w:r>
        <w:rPr>
          <w:sz w:val="20"/>
          <w:szCs w:val="20"/>
        </w:rPr>
        <w:softHyphen/>
        <w:t xml:space="preserve">níme nároků. Naše požadavky vůči Německu za vpád </w:t>
      </w:r>
      <w:r>
        <w:rPr>
          <w:sz w:val="24"/>
          <w:szCs w:val="24"/>
        </w:rPr>
        <w:t>Ma</w:t>
      </w:r>
      <w:r>
        <w:rPr>
          <w:sz w:val="24"/>
          <w:szCs w:val="24"/>
        </w:rPr>
        <w:softHyphen/>
      </w:r>
      <w:r>
        <w:rPr>
          <w:sz w:val="20"/>
          <w:szCs w:val="20"/>
        </w:rPr>
        <w:t>ďarů sotva byly více než slovní hříčkou, a my mohli sl uvědomiti, že není naděje na to, aby stát, jenž jistě bude musiti napnouti všechny síly, aby mohl zaplatit, ještě mimo to platil nám miliardový řádkový honorář za slovní hříčku. Naše požadavky neoceňo</w:t>
      </w:r>
      <w:r>
        <w:rPr>
          <w:sz w:val="20"/>
          <w:szCs w:val="20"/>
        </w:rPr>
        <w:t xml:space="preserve">valy dosti vážnosti </w:t>
      </w:r>
      <w:r>
        <w:rPr>
          <w:rFonts w:ascii="Arial" w:eastAsia="Arial" w:hAnsi="Arial" w:cs="Arial"/>
          <w:sz w:val="17"/>
          <w:szCs w:val="17"/>
        </w:rPr>
        <w:t xml:space="preserve">tehdejší </w:t>
      </w:r>
      <w:r>
        <w:rPr>
          <w:sz w:val="20"/>
          <w:szCs w:val="20"/>
        </w:rPr>
        <w:t>situace — a to se vymstilo.</w:t>
      </w:r>
    </w:p>
    <w:p w:rsidR="00500724" w:rsidRDefault="00F30FB8">
      <w:pPr>
        <w:pStyle w:val="Zkladntext20"/>
        <w:shd w:val="clear" w:color="auto" w:fill="auto"/>
        <w:spacing w:after="200" w:line="240" w:lineRule="auto"/>
        <w:ind w:firstLine="320"/>
        <w:jc w:val="left"/>
        <w:rPr>
          <w:sz w:val="20"/>
          <w:szCs w:val="20"/>
        </w:rPr>
      </w:pPr>
      <w:r>
        <w:rPr>
          <w:sz w:val="20"/>
          <w:szCs w:val="20"/>
        </w:rPr>
        <w:t>Měli jsme dobrou příležitost ukázati, jak vážně pohlí</w:t>
      </w:r>
      <w:r>
        <w:rPr>
          <w:sz w:val="20"/>
          <w:szCs w:val="20"/>
        </w:rPr>
        <w:softHyphen/>
        <w:t>žíme na současnou evropskou krisi a jak se dáme vésti jen rozvahou, měli jsme příležitost svou resignaci upozornití Evropu na to, jak je vážná ot</w:t>
      </w:r>
      <w:r>
        <w:rPr>
          <w:sz w:val="20"/>
          <w:szCs w:val="20"/>
        </w:rPr>
        <w:t>ázka reparací a že nutno kri</w:t>
      </w:r>
      <w:r>
        <w:rPr>
          <w:sz w:val="20"/>
          <w:szCs w:val="20"/>
        </w:rPr>
        <w:softHyphen/>
        <w:t>ticky pohlížeti i na platební schopnosti Německa — pro</w:t>
      </w:r>
      <w:r>
        <w:rPr>
          <w:sz w:val="20"/>
          <w:szCs w:val="20"/>
        </w:rPr>
        <w:softHyphen/>
        <w:t>pásli jsme, bohužel, tuto příležitost. (21. dubna 1921.)’</w:t>
      </w:r>
    </w:p>
    <w:p w:rsidR="00500724" w:rsidRDefault="00F30FB8">
      <w:pPr>
        <w:pStyle w:val="Zkladntext20"/>
        <w:shd w:val="clear" w:color="auto" w:fill="auto"/>
        <w:spacing w:after="140" w:line="240" w:lineRule="auto"/>
        <w:ind w:firstLine="0"/>
        <w:jc w:val="center"/>
        <w:rPr>
          <w:sz w:val="17"/>
          <w:szCs w:val="17"/>
        </w:rPr>
      </w:pPr>
      <w:r>
        <w:rPr>
          <w:sz w:val="20"/>
          <w:szCs w:val="20"/>
        </w:rPr>
        <w:t xml:space="preserve">Dojde k revisi mírových </w:t>
      </w:r>
      <w:r>
        <w:rPr>
          <w:rFonts w:ascii="Arial" w:eastAsia="Arial" w:hAnsi="Arial" w:cs="Arial"/>
          <w:sz w:val="17"/>
          <w:szCs w:val="17"/>
        </w:rPr>
        <w:t>smluv</w:t>
      </w:r>
    </w:p>
    <w:p w:rsidR="00500724" w:rsidRDefault="00F30FB8">
      <w:pPr>
        <w:pStyle w:val="Zkladntext20"/>
        <w:shd w:val="clear" w:color="auto" w:fill="auto"/>
        <w:spacing w:line="262" w:lineRule="auto"/>
        <w:ind w:firstLine="320"/>
        <w:jc w:val="left"/>
        <w:rPr>
          <w:sz w:val="17"/>
          <w:szCs w:val="17"/>
        </w:rPr>
      </w:pPr>
      <w:r>
        <w:rPr>
          <w:sz w:val="20"/>
          <w:szCs w:val="20"/>
        </w:rPr>
        <w:t xml:space="preserve">Dá se očekávati, že přijde jednou, snad za pět let, snad za deset let, doba těžké zkoušky na tento stát. </w:t>
      </w:r>
      <w:r>
        <w:rPr>
          <w:rFonts w:ascii="Arial" w:eastAsia="Arial" w:hAnsi="Arial" w:cs="Arial"/>
          <w:sz w:val="17"/>
          <w:szCs w:val="17"/>
        </w:rPr>
        <w:t>Bude jd</w:t>
      </w:r>
    </w:p>
    <w:p w:rsidR="00500724" w:rsidRDefault="00F30FB8">
      <w:pPr>
        <w:pStyle w:val="Jin0"/>
        <w:shd w:val="clear" w:color="auto" w:fill="auto"/>
        <w:spacing w:line="190" w:lineRule="auto"/>
        <w:ind w:firstLine="0"/>
        <w:jc w:val="right"/>
        <w:rPr>
          <w:sz w:val="10"/>
          <w:szCs w:val="10"/>
        </w:rPr>
      </w:pPr>
      <w:r>
        <w:rPr>
          <w:sz w:val="10"/>
          <w:szCs w:val="10"/>
        </w:rPr>
        <w:t>■ Ji’-</w:t>
      </w:r>
    </w:p>
    <w:p w:rsidR="00500724" w:rsidRDefault="00F30FB8">
      <w:pPr>
        <w:pStyle w:val="Zkladntext20"/>
        <w:shd w:val="clear" w:color="auto" w:fill="auto"/>
        <w:spacing w:after="160" w:line="276" w:lineRule="auto"/>
        <w:ind w:firstLine="0"/>
        <w:rPr>
          <w:sz w:val="17"/>
          <w:szCs w:val="17"/>
        </w:rPr>
      </w:pPr>
      <w:r>
        <w:rPr>
          <w:sz w:val="20"/>
          <w:szCs w:val="20"/>
        </w:rPr>
        <w:t xml:space="preserve">chvíle, kdy bude se snad jednati o revisi mírových </w:t>
      </w:r>
      <w:r>
        <w:rPr>
          <w:rFonts w:ascii="Arial" w:eastAsia="Arial" w:hAnsi="Arial" w:cs="Arial"/>
          <w:sz w:val="17"/>
          <w:szCs w:val="17"/>
        </w:rPr>
        <w:t xml:space="preserve">smluv* </w:t>
      </w:r>
      <w:r>
        <w:rPr>
          <w:sz w:val="20"/>
          <w:szCs w:val="20"/>
        </w:rPr>
        <w:t xml:space="preserve">Ovšem, nikdo nemůže s naprostou bezpečností </w:t>
      </w:r>
      <w:r>
        <w:rPr>
          <w:rFonts w:ascii="Arial" w:eastAsia="Arial" w:hAnsi="Arial" w:cs="Arial"/>
          <w:sz w:val="17"/>
          <w:szCs w:val="17"/>
        </w:rPr>
        <w:t>předpq- vídati, zda tato doba urči</w:t>
      </w:r>
      <w:r>
        <w:rPr>
          <w:rFonts w:ascii="Arial" w:eastAsia="Arial" w:hAnsi="Arial" w:cs="Arial"/>
          <w:sz w:val="17"/>
          <w:szCs w:val="17"/>
        </w:rPr>
        <w:t>tě přijde; mluví však velmi mnoho</w:t>
      </w:r>
    </w:p>
    <w:p w:rsidR="00500724" w:rsidRDefault="00F30FB8">
      <w:pPr>
        <w:pStyle w:val="Zkladntext20"/>
        <w:shd w:val="clear" w:color="auto" w:fill="auto"/>
        <w:spacing w:after="40" w:line="240" w:lineRule="auto"/>
        <w:ind w:firstLine="0"/>
        <w:rPr>
          <w:sz w:val="20"/>
          <w:szCs w:val="20"/>
        </w:rPr>
      </w:pPr>
      <w:r>
        <w:rPr>
          <w:sz w:val="20"/>
          <w:szCs w:val="20"/>
        </w:rPr>
        <w:t xml:space="preserve">okolností pro to, že skutečně přijde, </w:t>
      </w:r>
      <w:r>
        <w:t xml:space="preserve">a </w:t>
      </w:r>
      <w:r>
        <w:rPr>
          <w:sz w:val="20"/>
          <w:szCs w:val="20"/>
        </w:rPr>
        <w:t>musíme býti tedy připraveni i pro tento případ.</w:t>
      </w:r>
    </w:p>
    <w:p w:rsidR="00500724" w:rsidRDefault="00F30FB8">
      <w:pPr>
        <w:pStyle w:val="Zkladntext20"/>
        <w:shd w:val="clear" w:color="auto" w:fill="auto"/>
        <w:tabs>
          <w:tab w:val="left" w:pos="3494"/>
        </w:tabs>
        <w:spacing w:after="140" w:line="240" w:lineRule="auto"/>
        <w:ind w:firstLine="320"/>
        <w:rPr>
          <w:sz w:val="20"/>
          <w:szCs w:val="20"/>
        </w:rPr>
      </w:pPr>
      <w:r>
        <w:rPr>
          <w:sz w:val="20"/>
          <w:szCs w:val="20"/>
        </w:rPr>
        <w:t>Je pochopitelno, že pak by Dohoda už nebyla tím, čím jest dnes — konec konců my se dnes ještě o ni vždy mů</w:t>
      </w:r>
      <w:r>
        <w:rPr>
          <w:sz w:val="20"/>
          <w:szCs w:val="20"/>
        </w:rPr>
        <w:softHyphen/>
        <w:t xml:space="preserve">žeme' opríti — že by pak </w:t>
      </w:r>
      <w:r>
        <w:rPr>
          <w:sz w:val="20"/>
          <w:szCs w:val="20"/>
        </w:rPr>
        <w:t>revise mírových smluv jistě byla diskutována, že při každé revisi mírových smluv mluvilo by se i o našem státě, který z těchto smluv přímo vznikl, že bychom při nejmenším neušli aspoň diskusi o tom, pokud prosperuje stát náš ve své dnešní formě politicky a</w:t>
      </w:r>
      <w:r>
        <w:rPr>
          <w:sz w:val="20"/>
          <w:szCs w:val="20"/>
        </w:rPr>
        <w:t xml:space="preserve"> hospo</w:t>
      </w:r>
      <w:r>
        <w:rPr>
          <w:sz w:val="20"/>
          <w:szCs w:val="20"/>
        </w:rPr>
        <w:softHyphen/>
        <w:t xml:space="preserve">dářsky, a že to, na čem záleží, jest, abychom byli na tu dobu připraveni </w:t>
      </w:r>
      <w:r>
        <w:rPr>
          <w:i/>
          <w:iCs/>
          <w:sz w:val="20"/>
          <w:szCs w:val="20"/>
        </w:rPr>
        <w:t>a</w:t>
      </w:r>
      <w:r>
        <w:rPr>
          <w:sz w:val="20"/>
          <w:szCs w:val="20"/>
        </w:rPr>
        <w:t xml:space="preserve"> mohli předstoupiti s čistým štítem. Na tom záleží v prvé řadě a ne na nějakých úspěších praž</w:t>
      </w:r>
      <w:r>
        <w:rPr>
          <w:sz w:val="20"/>
          <w:szCs w:val="20"/>
        </w:rPr>
        <w:softHyphen/>
        <w:t>ského centralismu. Vystupovali jsme zde vždy pro dohodu Čechů s Němci a říkali, ž</w:t>
      </w:r>
      <w:r>
        <w:rPr>
          <w:sz w:val="20"/>
          <w:szCs w:val="20"/>
        </w:rPr>
        <w:t>e tato dohoda stojí za to, aby byla zaplacena ústupky (to nemohli pochopiti lidé, kteří slepě spoléhali na dnešní konstelaci evropskou); i to dělali jsme u vědomí, že může přijití chvíle, kdy budeme snad nuceni obhaj ováti před širokým forem — neb aspoň zá</w:t>
      </w:r>
      <w:r>
        <w:rPr>
          <w:sz w:val="20"/>
          <w:szCs w:val="20"/>
        </w:rPr>
        <w:t>pasiti o sympatie tohoto fóra — politickou možnost a životnost tohoto státu, a že nesmíme v té chvíli přijití a přiznati, že máme ve svých hranicích několikaletou, neutuchající opo</w:t>
      </w:r>
      <w:r>
        <w:rPr>
          <w:sz w:val="20"/>
          <w:szCs w:val="20"/>
        </w:rPr>
        <w:softHyphen/>
        <w:t>sici Němců.</w:t>
      </w:r>
      <w:r>
        <w:rPr>
          <w:sz w:val="20"/>
          <w:szCs w:val="20"/>
        </w:rPr>
        <w:tab/>
        <w:t>(10. května 1921.)</w:t>
      </w:r>
    </w:p>
    <w:p w:rsidR="00500724" w:rsidRDefault="00F30FB8">
      <w:pPr>
        <w:pStyle w:val="Zkladntext20"/>
        <w:shd w:val="clear" w:color="auto" w:fill="auto"/>
        <w:spacing w:after="100" w:line="240" w:lineRule="auto"/>
        <w:ind w:firstLine="0"/>
        <w:jc w:val="center"/>
        <w:rPr>
          <w:sz w:val="20"/>
          <w:szCs w:val="20"/>
        </w:rPr>
      </w:pPr>
      <w:r>
        <w:rPr>
          <w:sz w:val="20"/>
          <w:szCs w:val="20"/>
        </w:rPr>
        <w:t>Pravé základy míru</w:t>
      </w:r>
    </w:p>
    <w:p w:rsidR="00500724" w:rsidRDefault="00F30FB8">
      <w:pPr>
        <w:pStyle w:val="Zkladntext20"/>
        <w:shd w:val="clear" w:color="auto" w:fill="auto"/>
        <w:spacing w:after="40" w:line="240" w:lineRule="auto"/>
        <w:ind w:firstLine="320"/>
        <w:rPr>
          <w:sz w:val="20"/>
          <w:szCs w:val="20"/>
        </w:rPr>
      </w:pPr>
      <w:r>
        <w:rPr>
          <w:sz w:val="20"/>
          <w:szCs w:val="20"/>
        </w:rPr>
        <w:t xml:space="preserve">Budou ještě naši vnukové </w:t>
      </w:r>
      <w:r>
        <w:rPr>
          <w:sz w:val="20"/>
          <w:szCs w:val="20"/>
        </w:rPr>
        <w:t>mluviti o Francii a Německu jako o vítězi a poraženém?</w:t>
      </w:r>
    </w:p>
    <w:p w:rsidR="00500724" w:rsidRDefault="00F30FB8">
      <w:pPr>
        <w:pStyle w:val="Zkladntext20"/>
        <w:shd w:val="clear" w:color="auto" w:fill="auto"/>
        <w:spacing w:after="40" w:line="240" w:lineRule="auto"/>
        <w:ind w:firstLine="320"/>
        <w:rPr>
          <w:sz w:val="20"/>
          <w:szCs w:val="20"/>
        </w:rPr>
      </w:pPr>
      <w:r>
        <w:rPr>
          <w:sz w:val="20"/>
          <w:szCs w:val="20"/>
        </w:rPr>
        <w:t>Nebude-li vnějšího míru, bude dlužno pracovati alespoň o vnitřní mír. Nebo chce se snad petrifikovati dnešní ná</w:t>
      </w:r>
      <w:r>
        <w:rPr>
          <w:sz w:val="20"/>
          <w:szCs w:val="20"/>
        </w:rPr>
        <w:softHyphen/>
        <w:t>lada? Je úmysl, aby Francie zkameněla ve svém postavení vítěze a Německo v posici poražen</w:t>
      </w:r>
      <w:r>
        <w:rPr>
          <w:sz w:val="20"/>
          <w:szCs w:val="20"/>
        </w:rPr>
        <w:t>ého? Tento úmysl pra</w:t>
      </w:r>
      <w:r>
        <w:rPr>
          <w:sz w:val="20"/>
          <w:szCs w:val="20"/>
        </w:rPr>
        <w:softHyphen/>
        <w:t>mení z obavy. Pravá mírová politika, kterou musí podporo</w:t>
      </w:r>
      <w:r>
        <w:rPr>
          <w:sz w:val="20"/>
          <w:szCs w:val="20"/>
        </w:rPr>
        <w:softHyphen/>
        <w:t>vat Svaz národů, může směřovati jen k tomu, aby se od</w:t>
      </w:r>
      <w:r>
        <w:rPr>
          <w:sz w:val="20"/>
          <w:szCs w:val="20"/>
        </w:rPr>
        <w:softHyphen/>
        <w:t>straňovaly obavy odstraňováním příčin a předpokladů. Bylo již dosaženo vnější pacifikace Německa jeho odzbro</w:t>
      </w:r>
      <w:r>
        <w:rPr>
          <w:sz w:val="20"/>
          <w:szCs w:val="20"/>
        </w:rPr>
        <w:softHyphen/>
        <w:t>jením. Je třeba</w:t>
      </w:r>
      <w:r>
        <w:rPr>
          <w:sz w:val="20"/>
          <w:szCs w:val="20"/>
        </w:rPr>
        <w:t xml:space="preserve"> dosíci ještě trvalejší pacifikace, a to pa</w:t>
      </w:r>
      <w:r>
        <w:rPr>
          <w:sz w:val="20"/>
          <w:szCs w:val="20"/>
        </w:rPr>
        <w:softHyphen/>
        <w:t>cifikace německé duše. Anglické listy mluvily v poslední době o potřebě ^psychologického odzbrojení« Německa. Je</w:t>
      </w:r>
      <w:r>
        <w:rPr>
          <w:sz w:val="20"/>
          <w:szCs w:val="20"/>
        </w:rPr>
        <w:softHyphen/>
        <w:t>den list pravil výslovně: ^Patrně je méně nebezpečné Ně</w:t>
      </w:r>
      <w:r>
        <w:rPr>
          <w:sz w:val="20"/>
          <w:szCs w:val="20"/>
        </w:rPr>
        <w:softHyphen/>
        <w:t>mecko, třeba i ozbrojené, ale má-li duši po</w:t>
      </w:r>
      <w:r>
        <w:rPr>
          <w:sz w:val="20"/>
          <w:szCs w:val="20"/>
        </w:rPr>
        <w:t>kojnou, než od</w:t>
      </w:r>
      <w:r>
        <w:rPr>
          <w:sz w:val="20"/>
          <w:szCs w:val="20"/>
        </w:rPr>
        <w:softHyphen/>
        <w:t>zbrojené, avšak s duší válečnou.* Tato these byla výslovně adresována Francii k úvaze. A opravdu může Francie ve své roli exekutora dnes nejvíce působiti k tomu, kterým směrem se dá mysl Německa.</w:t>
      </w:r>
    </w:p>
    <w:p w:rsidR="00500724" w:rsidRDefault="00F30FB8">
      <w:pPr>
        <w:pStyle w:val="Zkladntext20"/>
        <w:shd w:val="clear" w:color="auto" w:fill="auto"/>
        <w:spacing w:after="40" w:line="240" w:lineRule="auto"/>
        <w:ind w:firstLine="320"/>
        <w:rPr>
          <w:sz w:val="20"/>
          <w:szCs w:val="20"/>
        </w:rPr>
      </w:pPr>
      <w:r>
        <w:rPr>
          <w:sz w:val="20"/>
          <w:szCs w:val="20"/>
        </w:rPr>
        <w:t>Je třeba odzbrojiti Německo spravedlností. Je</w:t>
      </w:r>
      <w:r>
        <w:rPr>
          <w:sz w:val="20"/>
          <w:szCs w:val="20"/>
        </w:rPr>
        <w:t xml:space="preserve"> třeba od- zbrojiti je tím, že se mu ponechá místo na slunci. Tím, že se nebude konspirovati proti základům německého státu a že se nebude rozvrat považovati za nejlepší lék pro Německo. Je třeba odzbrojovali německou duši tím, že, vynutila-li Dohoda fysic</w:t>
      </w:r>
      <w:r>
        <w:rPr>
          <w:sz w:val="20"/>
          <w:szCs w:val="20"/>
        </w:rPr>
        <w:t>ké odzbrojení Německa, nestrpí, aby si pan Korfanty hrál s jeho právy a nároky. Tím, že Němec i beze zbraně najde své právo.</w:t>
      </w:r>
    </w:p>
    <w:p w:rsidR="00500724" w:rsidRDefault="00F30FB8">
      <w:pPr>
        <w:pStyle w:val="Zkladntext20"/>
        <w:shd w:val="clear" w:color="auto" w:fill="auto"/>
        <w:spacing w:after="40" w:line="240" w:lineRule="auto"/>
        <w:ind w:firstLine="320"/>
        <w:rPr>
          <w:sz w:val="20"/>
          <w:szCs w:val="20"/>
        </w:rPr>
      </w:pPr>
      <w:r>
        <w:rPr>
          <w:sz w:val="20"/>
          <w:szCs w:val="20"/>
        </w:rPr>
        <w:t>Myslíme, že toto duševní odzbrojení, kterého nelze však dosíci fysickými prostředky a jemuž nemohou napomáhati černé pluky, jest da</w:t>
      </w:r>
      <w:r>
        <w:rPr>
          <w:sz w:val="20"/>
          <w:szCs w:val="20"/>
        </w:rPr>
        <w:t>leko důležitější. Francie, jako nejexpo</w:t>
      </w:r>
      <w:r>
        <w:rPr>
          <w:sz w:val="20"/>
          <w:szCs w:val="20"/>
        </w:rPr>
        <w:softHyphen/>
        <w:t>novanější činitel, bude hráti první úlohu v této hře, v níž půjde o to, bude-li Německo znovu získáno evropskému společenství.</w:t>
      </w:r>
    </w:p>
    <w:p w:rsidR="00500724" w:rsidRDefault="00F30FB8">
      <w:pPr>
        <w:pStyle w:val="Zkladntext20"/>
        <w:shd w:val="clear" w:color="auto" w:fill="auto"/>
        <w:spacing w:after="40" w:line="240" w:lineRule="auto"/>
        <w:ind w:firstLine="320"/>
        <w:rPr>
          <w:sz w:val="20"/>
          <w:szCs w:val="20"/>
        </w:rPr>
      </w:pPr>
      <w:r>
        <w:rPr>
          <w:sz w:val="20"/>
          <w:szCs w:val="20"/>
        </w:rPr>
        <w:t>Nelze zapírati, že z Francie leckdy se ozvou hlasy, které naznačují, že Francie nechápe d</w:t>
      </w:r>
      <w:r>
        <w:rPr>
          <w:sz w:val="20"/>
          <w:szCs w:val="20"/>
        </w:rPr>
        <w:t>osti dobře tuto svou úlohu.</w:t>
      </w:r>
    </w:p>
    <w:p w:rsidR="00500724" w:rsidRDefault="00F30FB8">
      <w:pPr>
        <w:pStyle w:val="Zkladntext20"/>
        <w:shd w:val="clear" w:color="auto" w:fill="auto"/>
        <w:tabs>
          <w:tab w:val="left" w:pos="3528"/>
        </w:tabs>
        <w:spacing w:after="180" w:line="240" w:lineRule="auto"/>
        <w:ind w:firstLine="0"/>
        <w:rPr>
          <w:sz w:val="20"/>
          <w:szCs w:val="20"/>
        </w:rPr>
      </w:pPr>
      <w:r>
        <w:rPr>
          <w:sz w:val="20"/>
          <w:szCs w:val="20"/>
        </w:rPr>
        <w:t xml:space="preserve">Tak bylo i za sporu </w:t>
      </w:r>
      <w:r>
        <w:t xml:space="preserve">o </w:t>
      </w:r>
      <w:r>
        <w:rPr>
          <w:sz w:val="20"/>
          <w:szCs w:val="20"/>
        </w:rPr>
        <w:t xml:space="preserve">reparace, kdy francouzský tisk </w:t>
      </w:r>
      <w:r>
        <w:rPr>
          <w:b/>
          <w:bCs/>
        </w:rPr>
        <w:t xml:space="preserve">v </w:t>
      </w:r>
      <w:r>
        <w:rPr>
          <w:sz w:val="20"/>
          <w:szCs w:val="20"/>
        </w:rPr>
        <w:t xml:space="preserve">jedné chvíli označoval za nepřijatelnou i tu podmínku </w:t>
      </w:r>
      <w:r>
        <w:t>Ně</w:t>
      </w:r>
      <w:r>
        <w:softHyphen/>
      </w:r>
      <w:r>
        <w:rPr>
          <w:sz w:val="20"/>
          <w:szCs w:val="20"/>
        </w:rPr>
        <w:t xml:space="preserve">mecka, aby po dohodě bylo upuštěno od všeeh sankcí, * odůvodňoval nutnost obsazení Porúří, nezávisle na přijetí čí </w:t>
      </w:r>
      <w:r>
        <w:rPr>
          <w:sz w:val="20"/>
          <w:szCs w:val="20"/>
        </w:rPr>
        <w:t>nepřijetí podmínek, tím, že prý je Německu třeba vžiti vše</w:t>
      </w:r>
      <w:r>
        <w:rPr>
          <w:sz w:val="20"/>
          <w:szCs w:val="20"/>
        </w:rPr>
        <w:softHyphen/>
        <w:t xml:space="preserve">chny možnosti </w:t>
      </w:r>
      <w:r>
        <w:rPr>
          <w:sz w:val="20"/>
          <w:szCs w:val="20"/>
          <w:lang w:val="en-US" w:eastAsia="en-US" w:bidi="en-US"/>
        </w:rPr>
        <w:t xml:space="preserve">revanche. </w:t>
      </w:r>
      <w:r>
        <w:rPr>
          <w:sz w:val="20"/>
          <w:szCs w:val="20"/>
        </w:rPr>
        <w:t>Tomu by už mimo Francie mnoho národů nerozumělo, jistě ani Anglie, ani Itálie, ani Ame</w:t>
      </w:r>
      <w:r>
        <w:rPr>
          <w:sz w:val="20"/>
          <w:szCs w:val="20"/>
        </w:rPr>
        <w:softHyphen/>
        <w:t>rika. A tato cesta by vedla jen ku petrifikaci nenávisti. V zájmu míru jest třeba uchr</w:t>
      </w:r>
      <w:r>
        <w:rPr>
          <w:sz w:val="20"/>
          <w:szCs w:val="20"/>
        </w:rPr>
        <w:t>ániti Německo všech zbyteč</w:t>
      </w:r>
      <w:r>
        <w:rPr>
          <w:sz w:val="20"/>
          <w:szCs w:val="20"/>
        </w:rPr>
        <w:softHyphen/>
        <w:t>ných šikan.</w:t>
      </w:r>
      <w:r>
        <w:rPr>
          <w:sz w:val="20"/>
          <w:szCs w:val="20"/>
        </w:rPr>
        <w:tab/>
        <w:t>(13. května 1921.)</w:t>
      </w:r>
    </w:p>
    <w:p w:rsidR="00500724" w:rsidRDefault="00F30FB8">
      <w:pPr>
        <w:pStyle w:val="Zkladntext20"/>
        <w:shd w:val="clear" w:color="auto" w:fill="auto"/>
        <w:spacing w:after="120" w:line="240" w:lineRule="auto"/>
        <w:ind w:firstLine="0"/>
        <w:jc w:val="center"/>
        <w:rPr>
          <w:sz w:val="20"/>
          <w:szCs w:val="20"/>
        </w:rPr>
      </w:pPr>
      <w:r>
        <w:rPr>
          <w:sz w:val="20"/>
          <w:szCs w:val="20"/>
        </w:rPr>
        <w:t>Může Rakousko zůstat samostatné?</w:t>
      </w:r>
    </w:p>
    <w:p w:rsidR="00500724" w:rsidRDefault="00F30FB8">
      <w:pPr>
        <w:pStyle w:val="Zkladntext20"/>
        <w:shd w:val="clear" w:color="auto" w:fill="auto"/>
        <w:spacing w:after="60" w:line="240" w:lineRule="auto"/>
        <w:ind w:firstLine="280"/>
        <w:rPr>
          <w:sz w:val="20"/>
          <w:szCs w:val="20"/>
        </w:rPr>
      </w:pPr>
      <w:r>
        <w:rPr>
          <w:sz w:val="20"/>
          <w:szCs w:val="20"/>
        </w:rPr>
        <w:t xml:space="preserve">Udržovat rakouský stát při životě — to bude za těchto poměrů patrně stejně těžkou a nepohodlnou úlohou, jako zavírat okna, uklízet nože, bditi </w:t>
      </w:r>
      <w:r>
        <w:rPr>
          <w:i/>
          <w:iCs/>
          <w:sz w:val="20"/>
          <w:szCs w:val="20"/>
        </w:rPr>
        <w:t>a</w:t>
      </w:r>
      <w:r>
        <w:rPr>
          <w:sz w:val="20"/>
          <w:szCs w:val="20"/>
        </w:rPr>
        <w:t xml:space="preserve"> schovávat provazy př</w:t>
      </w:r>
      <w:r>
        <w:rPr>
          <w:sz w:val="20"/>
          <w:szCs w:val="20"/>
        </w:rPr>
        <w:t>ed zatvrzelým kandidátem sebevraždy. Dva roky se debatuje v Evropě o tom, jak pomoci Rakousku. Vymýšlejí se banky, úvěry, kontrola. A přece je jisto, že nechce-li se Rakousku žít, najde vždy nějakou klíčovou dírku, kterou by pro</w:t>
      </w:r>
      <w:r>
        <w:rPr>
          <w:sz w:val="20"/>
          <w:szCs w:val="20"/>
        </w:rPr>
        <w:softHyphen/>
        <w:t>klouzlo k bankrotu. Pak bud</w:t>
      </w:r>
      <w:r>
        <w:rPr>
          <w:sz w:val="20"/>
          <w:szCs w:val="20"/>
        </w:rPr>
        <w:t>ou všechny vynaložené peníze vyhozeny z okna.</w:t>
      </w:r>
    </w:p>
    <w:p w:rsidR="00500724" w:rsidRDefault="00F30FB8">
      <w:pPr>
        <w:pStyle w:val="Zkladntext20"/>
        <w:shd w:val="clear" w:color="auto" w:fill="auto"/>
        <w:spacing w:line="240" w:lineRule="auto"/>
        <w:ind w:firstLine="280"/>
        <w:rPr>
          <w:sz w:val="20"/>
          <w:szCs w:val="20"/>
        </w:rPr>
      </w:pPr>
      <w:r>
        <w:rPr>
          <w:sz w:val="20"/>
          <w:szCs w:val="20"/>
        </w:rPr>
        <w:t>Měli jsme v Evropě již jednou podobný nepohodlný stát: Albánii. Z politických důvodů — jako při Rakousku</w:t>
      </w:r>
    </w:p>
    <w:p w:rsidR="00500724" w:rsidRDefault="00F30FB8">
      <w:pPr>
        <w:pStyle w:val="Zkladntext20"/>
        <w:numPr>
          <w:ilvl w:val="0"/>
          <w:numId w:val="38"/>
        </w:numPr>
        <w:shd w:val="clear" w:color="auto" w:fill="auto"/>
        <w:tabs>
          <w:tab w:val="left" w:pos="318"/>
        </w:tabs>
        <w:spacing w:after="60" w:line="240" w:lineRule="auto"/>
        <w:ind w:firstLine="0"/>
        <w:rPr>
          <w:sz w:val="20"/>
          <w:szCs w:val="20"/>
        </w:rPr>
      </w:pPr>
      <w:r>
        <w:rPr>
          <w:sz w:val="20"/>
          <w:szCs w:val="20"/>
        </w:rPr>
        <w:t>nebylo dovoleno tomuto území připojiti se k většímu celku a velmoci potom měly s Albánií plné ruce práce.</w:t>
      </w:r>
      <w:r>
        <w:rPr>
          <w:sz w:val="20"/>
          <w:szCs w:val="20"/>
        </w:rPr>
        <w:t xml:space="preserve"> Arci ještě daleko ne tolik, jako mají dnes s Rakouskem. Samo</w:t>
      </w:r>
      <w:r>
        <w:rPr>
          <w:sz w:val="20"/>
          <w:szCs w:val="20"/>
        </w:rPr>
        <w:softHyphen/>
        <w:t xml:space="preserve">statnost Rakouska je čistě politikum; Francie prohlašuje připojení podunajského státu k Německu za nebezpečí nové války. Na jedné straně se říká, že Rakousko hospodářsky, nemůže žít samostatně, </w:t>
      </w:r>
      <w:r>
        <w:rPr>
          <w:sz w:val="20"/>
          <w:szCs w:val="20"/>
        </w:rPr>
        <w:t>na druhé, že samostatně nechce žiti ze zlomyslností. Ať nemůže nebo nechce, vydatně roz</w:t>
      </w:r>
      <w:r>
        <w:rPr>
          <w:sz w:val="20"/>
          <w:szCs w:val="20"/>
        </w:rPr>
        <w:softHyphen/>
        <w:t>množuje tísnivé evropské starosti.</w:t>
      </w:r>
    </w:p>
    <w:p w:rsidR="00500724" w:rsidRDefault="00F30FB8">
      <w:pPr>
        <w:pStyle w:val="Zkladntext20"/>
        <w:shd w:val="clear" w:color="auto" w:fill="auto"/>
        <w:spacing w:line="257" w:lineRule="auto"/>
        <w:ind w:firstLine="280"/>
        <w:rPr>
          <w:sz w:val="20"/>
          <w:szCs w:val="20"/>
        </w:rPr>
      </w:pPr>
      <w:r>
        <w:rPr>
          <w:sz w:val="20"/>
          <w:szCs w:val="20"/>
        </w:rPr>
        <w:t>Je nebezpečí, že Rakousko bude trvalým pasivem evrop</w:t>
      </w:r>
      <w:r>
        <w:rPr>
          <w:sz w:val="20"/>
          <w:szCs w:val="20"/>
        </w:rPr>
        <w:softHyphen/>
        <w:t>ského života a mírových smluv. Že se na ně bude doplácet, sbírat, shánět. Jak dl</w:t>
      </w:r>
      <w:r>
        <w:rPr>
          <w:sz w:val="20"/>
          <w:szCs w:val="20"/>
        </w:rPr>
        <w:t>ouho však to neomrzí? Jediným cílem má býti, udělati v Rakousku pořádek. Tak aby se zemí sama uživila. Dlužno tedy hledati formu, v jaké by Ra</w:t>
      </w:r>
      <w:r>
        <w:rPr>
          <w:sz w:val="20"/>
          <w:szCs w:val="20"/>
        </w:rPr>
        <w:softHyphen/>
        <w:t xml:space="preserve">kousko nejlépe prosperovalo. Že by západní mocnosti mohly vžiti Rakousko úplně do svých rukou, proti tomu svědčí </w:t>
      </w:r>
      <w:r>
        <w:rPr>
          <w:sz w:val="20"/>
          <w:szCs w:val="20"/>
        </w:rPr>
        <w:t>zejména, že tak doposud neučinily; a podmínky pro takovou akci asi sotva se budou lepšit; předně ani na západě není dosti peněz, pak mají dohodové země dosti vlastních sta</w:t>
      </w:r>
      <w:r>
        <w:rPr>
          <w:sz w:val="20"/>
          <w:szCs w:val="20"/>
        </w:rPr>
        <w:softHyphen/>
        <w:t>rostí a moderní vyspělý stát sotva může býti spravován někým, kdo se tomu věnuje jen</w:t>
      </w:r>
      <w:r>
        <w:rPr>
          <w:sz w:val="20"/>
          <w:szCs w:val="20"/>
        </w:rPr>
        <w:t xml:space="preserve"> en </w:t>
      </w:r>
      <w:r>
        <w:rPr>
          <w:sz w:val="20"/>
          <w:szCs w:val="20"/>
          <w:lang w:val="en-US" w:eastAsia="en-US" w:bidi="en-US"/>
        </w:rPr>
        <w:t xml:space="preserve">passant, </w:t>
      </w:r>
      <w:r>
        <w:rPr>
          <w:sz w:val="20"/>
          <w:szCs w:val="20"/>
        </w:rPr>
        <w:t xml:space="preserve">a konečně </w:t>
      </w:r>
      <w:r>
        <w:t xml:space="preserve">je </w:t>
      </w:r>
      <w:r>
        <w:rPr>
          <w:sz w:val="20"/>
          <w:szCs w:val="20"/>
        </w:rPr>
        <w:t>vůbec pochybno, dá-li se stát ve středu Evropy trvale spra- vovati cizinci, jako se to děje v koloniích. Nebo se má snad</w:t>
      </w:r>
    </w:p>
    <w:p w:rsidR="00500724" w:rsidRDefault="00F30FB8">
      <w:pPr>
        <w:pStyle w:val="Zkladntext20"/>
        <w:numPr>
          <w:ilvl w:val="0"/>
          <w:numId w:val="38"/>
        </w:numPr>
        <w:shd w:val="clear" w:color="auto" w:fill="auto"/>
        <w:tabs>
          <w:tab w:val="left" w:pos="318"/>
        </w:tabs>
        <w:spacing w:line="257" w:lineRule="auto"/>
        <w:ind w:firstLine="0"/>
        <w:rPr>
          <w:sz w:val="20"/>
          <w:szCs w:val="20"/>
        </w:rPr>
      </w:pPr>
      <w:r>
        <w:rPr>
          <w:sz w:val="20"/>
          <w:szCs w:val="20"/>
        </w:rPr>
        <w:t xml:space="preserve">také se vynořuje takový plán — dáti Vídni charakter samostatného města a rakouské země rozdělit mezi státy </w:t>
      </w:r>
      <w:r>
        <w:rPr>
          <w:sz w:val="20"/>
          <w:szCs w:val="20"/>
        </w:rPr>
        <w:t>sukcessorní? To jest patrně jen výplod člověka, který musí za každou cenu dělati originální plány; sukcessorní státy samy bránily by se ze všech sil proti takovému ^obohacení*,</w:t>
      </w:r>
    </w:p>
    <w:p w:rsidR="00500724" w:rsidRDefault="00F30FB8">
      <w:pPr>
        <w:pStyle w:val="Zkladntext20"/>
        <w:numPr>
          <w:ilvl w:val="0"/>
          <w:numId w:val="38"/>
        </w:numPr>
        <w:shd w:val="clear" w:color="auto" w:fill="auto"/>
        <w:tabs>
          <w:tab w:val="left" w:pos="318"/>
        </w:tabs>
        <w:spacing w:line="257" w:lineRule="auto"/>
        <w:ind w:firstLine="0"/>
        <w:rPr>
          <w:sz w:val="20"/>
          <w:szCs w:val="20"/>
        </w:rPr>
      </w:pPr>
      <w:r>
        <w:rPr>
          <w:sz w:val="20"/>
          <w:szCs w:val="20"/>
        </w:rPr>
        <w:t>a ostatně: co potom, se samostatným městem Vídní?, Aby se pak Vídeň uživila, mu</w:t>
      </w:r>
      <w:r>
        <w:rPr>
          <w:sz w:val="20"/>
          <w:szCs w:val="20"/>
        </w:rPr>
        <w:t>sela by se celá změnit v ně</w:t>
      </w:r>
      <w:r>
        <w:rPr>
          <w:sz w:val="20"/>
          <w:szCs w:val="20"/>
        </w:rPr>
        <w:softHyphen/>
        <w:t xml:space="preserve">jaké interesantní a pikantní Varieté a musili by lidé z celého světa býti ochotni se na to jezdit dívat. Pak zbývá už jen třetí možnost: Ta, kterou chtějí plebiscity. Hospodářsky by patrně spojení s Německem bylo nejvýhodnější, </w:t>
      </w:r>
      <w:r>
        <w:rPr>
          <w:sz w:val="20"/>
          <w:szCs w:val="20"/>
        </w:rPr>
        <w:t xml:space="preserve">ne pouza pro Rakousko, ale i pro Evropu, která má zájem na tom« aby nemusela stále hradit pasiva. Lze očekávatl, Se systematičtí a solidní Němci vymáčkli by </w:t>
      </w:r>
      <w:r>
        <w:t xml:space="preserve">z </w:t>
      </w:r>
      <w:r>
        <w:rPr>
          <w:sz w:val="20"/>
          <w:szCs w:val="20"/>
        </w:rPr>
        <w:t>Rakouska poslední špetku produktivnosti — a to nelze podceňo</w:t>
      </w:r>
      <w:r>
        <w:rPr>
          <w:sz w:val="20"/>
          <w:szCs w:val="20"/>
        </w:rPr>
        <w:softHyphen/>
        <w:t>vat! v době, kdy každé brambory osáz</w:t>
      </w:r>
      <w:r>
        <w:rPr>
          <w:sz w:val="20"/>
          <w:szCs w:val="20"/>
        </w:rPr>
        <w:t>ené pole přijde světu velmi vhod. Němci, kteří po stotřicet let svého rychlého vzestupu navykli dobře pracovat, našli by jistě cestu, jak vytrhnouti Rakousko z jeho pasivnosti a probudit! je k novému životu.</w:t>
      </w:r>
    </w:p>
    <w:p w:rsidR="00500724" w:rsidRDefault="00F30FB8">
      <w:pPr>
        <w:pStyle w:val="Zkladntext20"/>
        <w:shd w:val="clear" w:color="auto" w:fill="auto"/>
        <w:spacing w:line="240" w:lineRule="auto"/>
        <w:ind w:firstLine="320"/>
        <w:rPr>
          <w:sz w:val="20"/>
          <w:szCs w:val="20"/>
        </w:rPr>
      </w:pPr>
      <w:r>
        <w:rPr>
          <w:sz w:val="20"/>
          <w:szCs w:val="20"/>
        </w:rPr>
        <w:t>Zdá se, že i Rakušani cítí v Německu zdroj energ</w:t>
      </w:r>
      <w:r>
        <w:rPr>
          <w:sz w:val="20"/>
          <w:szCs w:val="20"/>
        </w:rPr>
        <w:t>ie, která by je dovedla omladit!, a odtud ty pleblscity. Maji-li Rakušani už dosti svého stínového a rozháraného Kvóta, jest pochopitelno, že vidi v Německu slib nového •pořádaného života, kdy by se mohli pomocí energie ně</w:t>
      </w:r>
      <w:r>
        <w:rPr>
          <w:sz w:val="20"/>
          <w:szCs w:val="20"/>
        </w:rPr>
        <w:softHyphen/>
        <w:t>meckého národa vyšinout! ze své r</w:t>
      </w:r>
      <w:r>
        <w:rPr>
          <w:sz w:val="20"/>
          <w:szCs w:val="20"/>
        </w:rPr>
        <w:t xml:space="preserve">ole evropských žebráků. Proti této naději roztály jako svíčka všechny teorie, které sejména za války tak rádi psali vídenští estéti, o svérázu rakouské povahy a podobných věcech; nechtějí již býti Rakušany, chtějí se státi Němci. Jest přiznačno, že víra V </w:t>
      </w:r>
      <w:r>
        <w:rPr>
          <w:sz w:val="20"/>
          <w:szCs w:val="20"/>
        </w:rPr>
        <w:t>nový život v Německu je tak silná, že proráží i v době, kdy Německo právě přijímá na sebe těžké břímě reparaci; patrně věří, že se jim povede lépe, i když jako Němci bu</w:t>
      </w:r>
      <w:r>
        <w:rPr>
          <w:sz w:val="20"/>
          <w:szCs w:val="20"/>
        </w:rPr>
        <w:softHyphen/>
        <w:t>dou platit Dohodě, místo, aby jako Rakušané se od ni dávali podporovat!. —</w:t>
      </w:r>
    </w:p>
    <w:p w:rsidR="00500724" w:rsidRDefault="00F30FB8">
      <w:pPr>
        <w:pStyle w:val="Zkladntext20"/>
        <w:shd w:val="clear" w:color="auto" w:fill="auto"/>
        <w:spacing w:line="252" w:lineRule="auto"/>
        <w:ind w:firstLine="320"/>
        <w:rPr>
          <w:sz w:val="20"/>
          <w:szCs w:val="20"/>
        </w:rPr>
      </w:pPr>
      <w:r>
        <w:rPr>
          <w:sz w:val="20"/>
          <w:szCs w:val="20"/>
        </w:rPr>
        <w:t xml:space="preserve">Dovedlo-li </w:t>
      </w:r>
      <w:r>
        <w:rPr>
          <w:sz w:val="20"/>
          <w:szCs w:val="20"/>
        </w:rPr>
        <w:t>by tedy Německo učinit! rakouský hospodář</w:t>
      </w:r>
      <w:r>
        <w:rPr>
          <w:sz w:val="20"/>
          <w:szCs w:val="20"/>
        </w:rPr>
        <w:softHyphen/>
        <w:t xml:space="preserve">ský život aktivním, bylo by to velké plus pro evropský celek. </w:t>
      </w:r>
      <w:r>
        <w:rPr>
          <w:b/>
          <w:bCs/>
        </w:rPr>
        <w:t xml:space="preserve">X </w:t>
      </w:r>
      <w:r>
        <w:rPr>
          <w:sz w:val="20"/>
          <w:szCs w:val="20"/>
        </w:rPr>
        <w:t xml:space="preserve">my zbavili bychom se těch řeči, na západě, které poukazuji </w:t>
      </w:r>
      <w:r>
        <w:t xml:space="preserve">aa </w:t>
      </w:r>
      <w:r>
        <w:rPr>
          <w:sz w:val="20"/>
          <w:szCs w:val="20"/>
        </w:rPr>
        <w:t>neblahé dílo mírových smluv ve střední Evropě, kde místo prosperujícího rakousko-uherské</w:t>
      </w:r>
      <w:r>
        <w:rPr>
          <w:sz w:val="20"/>
          <w:szCs w:val="20"/>
        </w:rPr>
        <w:t>ho spolku vytvořily prý samostatná nedochůdčata.</w:t>
      </w:r>
    </w:p>
    <w:p w:rsidR="00500724" w:rsidRDefault="00F30FB8">
      <w:pPr>
        <w:pStyle w:val="Zkladntext20"/>
        <w:shd w:val="clear" w:color="auto" w:fill="auto"/>
        <w:spacing w:after="120" w:line="180" w:lineRule="auto"/>
        <w:ind w:firstLine="0"/>
        <w:jc w:val="right"/>
        <w:rPr>
          <w:sz w:val="20"/>
          <w:szCs w:val="20"/>
        </w:rPr>
      </w:pPr>
      <w:r>
        <w:rPr>
          <w:sz w:val="20"/>
          <w:szCs w:val="20"/>
        </w:rPr>
        <w:t>(3. června 1921.)</w:t>
      </w:r>
    </w:p>
    <w:p w:rsidR="00500724" w:rsidRDefault="00F30FB8">
      <w:pPr>
        <w:pStyle w:val="Zkladntext20"/>
        <w:shd w:val="clear" w:color="auto" w:fill="auto"/>
        <w:spacing w:after="100" w:line="240" w:lineRule="auto"/>
        <w:ind w:firstLine="0"/>
        <w:jc w:val="center"/>
        <w:rPr>
          <w:sz w:val="20"/>
          <w:szCs w:val="20"/>
        </w:rPr>
      </w:pPr>
      <w:r>
        <w:rPr>
          <w:sz w:val="20"/>
          <w:szCs w:val="20"/>
        </w:rPr>
        <w:t>Vojenské smlouvy nestačí</w:t>
      </w:r>
    </w:p>
    <w:p w:rsidR="00500724" w:rsidRDefault="00F30FB8">
      <w:pPr>
        <w:pStyle w:val="Zkladntext20"/>
        <w:shd w:val="clear" w:color="auto" w:fill="auto"/>
        <w:spacing w:line="240" w:lineRule="auto"/>
        <w:ind w:firstLine="320"/>
        <w:rPr>
          <w:sz w:val="20"/>
          <w:szCs w:val="20"/>
        </w:rPr>
      </w:pPr>
      <w:r>
        <w:rPr>
          <w:sz w:val="20"/>
          <w:szCs w:val="20"/>
        </w:rPr>
        <w:t>»N. P.« praví o &gt;Tribuně«, že je zorientována vždy «bchodnicky k Berlinu*. Obchodnická orientace k Berlinu, existuje-li, není ani tolik orientaci zTribuny*, jako or</w:t>
      </w:r>
      <w:r>
        <w:rPr>
          <w:sz w:val="20"/>
          <w:szCs w:val="20"/>
        </w:rPr>
        <w:t>ientaci obchodu a průmyslu. Tu by poučnou četbu tvořily výkazy odborných korporaci o importu a exportu. zN. P.«, jež sama Remus! ničeho kupovat ani prodávat, nečiní ovšem obzvlášt</w:t>
      </w:r>
      <w:r>
        <w:rPr>
          <w:sz w:val="20"/>
          <w:szCs w:val="20"/>
        </w:rPr>
        <w:softHyphen/>
        <w:t>ních obtiží, orientovat! se obchodně třebas k New Yorku, nebo k měsíci.</w:t>
      </w:r>
    </w:p>
    <w:p w:rsidR="00500724" w:rsidRDefault="00F30FB8">
      <w:pPr>
        <w:pStyle w:val="Zkladntext20"/>
        <w:shd w:val="clear" w:color="auto" w:fill="auto"/>
        <w:tabs>
          <w:tab w:val="left" w:pos="3389"/>
        </w:tabs>
        <w:spacing w:after="60" w:line="240" w:lineRule="auto"/>
        <w:ind w:firstLine="260"/>
        <w:rPr>
          <w:sz w:val="20"/>
          <w:szCs w:val="20"/>
        </w:rPr>
      </w:pPr>
      <w:r>
        <w:rPr>
          <w:sz w:val="20"/>
          <w:szCs w:val="20"/>
        </w:rPr>
        <w:t xml:space="preserve">zN. </w:t>
      </w:r>
      <w:r>
        <w:rPr>
          <w:sz w:val="20"/>
          <w:szCs w:val="20"/>
        </w:rPr>
        <w:t>P.« ráda by od nás zvěděla, zkde jest v celé republice takový slepec, který by nám doporučoval spojiti se s po</w:t>
      </w:r>
      <w:r>
        <w:rPr>
          <w:sz w:val="20"/>
          <w:szCs w:val="20"/>
        </w:rPr>
        <w:softHyphen/>
        <w:t xml:space="preserve">raženým, proti němuž stoji půl světa, když můžeme státi po boku vitězů«. Nemůžeme jí sděliti adresu tohoto slepce. Spiše bychom jí dovedli říci, </w:t>
      </w:r>
      <w:r>
        <w:rPr>
          <w:sz w:val="20"/>
          <w:szCs w:val="20"/>
        </w:rPr>
        <w:t xml:space="preserve">kde jest slepec, který nedovede vyvodit! důsledky z našeho sousedství a hospodářského vztahu s Německem. Neváhá-li zN. P.« ledacos prohlásiti, </w:t>
      </w:r>
      <w:r>
        <w:t xml:space="preserve">ani </w:t>
      </w:r>
      <w:r>
        <w:rPr>
          <w:sz w:val="20"/>
          <w:szCs w:val="20"/>
        </w:rPr>
        <w:t>my neváháme prohlásiti, že dobrý poměr k Německu je pro nás právě tak důležitý jako k Polsku a že vojenskou k</w:t>
      </w:r>
      <w:r>
        <w:rPr>
          <w:sz w:val="20"/>
          <w:szCs w:val="20"/>
        </w:rPr>
        <w:t>onvenci proti Německu, kde nás bude 82 milionů proti Šedesáti, daleko ještě nebudou vztahy mezi námi a Němec</w:t>
      </w:r>
      <w:r>
        <w:rPr>
          <w:sz w:val="20"/>
          <w:szCs w:val="20"/>
        </w:rPr>
        <w:softHyphen/>
        <w:t>kem vyrovnány. Ani vojensky: 82 miliony proti 60 — to není poduška, na které bychom mohli úplně klidně spáti, zvláště, když válečné štěstí je vrtka</w:t>
      </w:r>
      <w:r>
        <w:rPr>
          <w:sz w:val="20"/>
          <w:szCs w:val="20"/>
        </w:rPr>
        <w:t>vé jako ženy a když centrální poloha Německa je strategicky daleko výhodnější, nehledíc k tomu, že bychom se v takovém případě jistě nemohli spoléhati na naše Němce. Proto se nesnažme řešiti problém vztahů k Německu jen vojenskou konvenci proti němu, a věn</w:t>
      </w:r>
      <w:r>
        <w:rPr>
          <w:sz w:val="20"/>
          <w:szCs w:val="20"/>
        </w:rPr>
        <w:t xml:space="preserve">ujme námahu dobrým stykům ne pouze </w:t>
      </w:r>
      <w:r>
        <w:t xml:space="preserve">a </w:t>
      </w:r>
      <w:r>
        <w:rPr>
          <w:sz w:val="20"/>
          <w:szCs w:val="20"/>
        </w:rPr>
        <w:t xml:space="preserve">Poláky, ale </w:t>
      </w:r>
      <w:r>
        <w:t xml:space="preserve">1 s </w:t>
      </w:r>
      <w:r>
        <w:rPr>
          <w:sz w:val="20"/>
          <w:szCs w:val="20"/>
        </w:rPr>
        <w:t>Němci.</w:t>
      </w:r>
      <w:r>
        <w:rPr>
          <w:sz w:val="20"/>
          <w:szCs w:val="20"/>
        </w:rPr>
        <w:tab/>
        <w:t>(26. července 1921.)</w:t>
      </w:r>
    </w:p>
    <w:p w:rsidR="00500724" w:rsidRDefault="00F30FB8">
      <w:pPr>
        <w:pStyle w:val="Nadpis120"/>
        <w:shd w:val="clear" w:color="auto" w:fill="auto"/>
        <w:spacing w:after="120"/>
        <w:ind w:left="0"/>
        <w:jc w:val="center"/>
      </w:pPr>
      <w:bookmarkStart w:id="311" w:name="bookmark310"/>
      <w:r>
        <w:t>Cesko-německé vyrovnání</w:t>
      </w:r>
      <w:bookmarkEnd w:id="311"/>
    </w:p>
    <w:p w:rsidR="00500724" w:rsidRDefault="00F30FB8">
      <w:pPr>
        <w:pStyle w:val="Zkladntext20"/>
        <w:shd w:val="clear" w:color="auto" w:fill="auto"/>
        <w:spacing w:line="240" w:lineRule="auto"/>
        <w:ind w:firstLine="200"/>
        <w:rPr>
          <w:sz w:val="20"/>
          <w:szCs w:val="20"/>
        </w:rPr>
      </w:pPr>
      <w:r>
        <w:rPr>
          <w:sz w:val="20"/>
          <w:szCs w:val="20"/>
        </w:rPr>
        <w:t>Zdá se, že se na naši straně poněkud zahnízdila jakási bohorovnost a neomylnost v poměru k Němcům. Propa</w:t>
      </w:r>
      <w:r>
        <w:rPr>
          <w:sz w:val="20"/>
          <w:szCs w:val="20"/>
        </w:rPr>
        <w:softHyphen/>
        <w:t>dáme čas od času omylu, že snahy Němců Jsou ja</w:t>
      </w:r>
      <w:r>
        <w:rPr>
          <w:sz w:val="20"/>
          <w:szCs w:val="20"/>
        </w:rPr>
        <w:t>kési hry a batoleni dětí na koberci a že my vlastníme celou, ne</w:t>
      </w:r>
      <w:r>
        <w:rPr>
          <w:sz w:val="20"/>
          <w:szCs w:val="20"/>
        </w:rPr>
        <w:softHyphen/>
        <w:t>dílnou, absolutní pravdu. Ztrácíváme časem pochopeni pro to, že pravda jednoho národa vůči druhému je relativní a že v poměru národů mezi sebou neni situace nikdy ta</w:t>
      </w:r>
      <w:r>
        <w:rPr>
          <w:sz w:val="20"/>
          <w:szCs w:val="20"/>
        </w:rPr>
        <w:softHyphen/>
        <w:t>ková, že jeden národ má pr</w:t>
      </w:r>
      <w:r>
        <w:rPr>
          <w:sz w:val="20"/>
          <w:szCs w:val="20"/>
        </w:rPr>
        <w:t>avdu úplnou, kdežto druhý nemá ani stín pravdy.</w:t>
      </w:r>
    </w:p>
    <w:p w:rsidR="00500724" w:rsidRDefault="00F30FB8">
      <w:pPr>
        <w:pStyle w:val="Zkladntext20"/>
        <w:shd w:val="clear" w:color="auto" w:fill="auto"/>
        <w:spacing w:line="240" w:lineRule="auto"/>
        <w:ind w:firstLine="200"/>
        <w:rPr>
          <w:sz w:val="20"/>
          <w:szCs w:val="20"/>
        </w:rPr>
      </w:pPr>
      <w:r>
        <w:rPr>
          <w:sz w:val="20"/>
          <w:szCs w:val="20"/>
        </w:rPr>
        <w:t>Stačí, abychom se podívali několik let do minulosti, kdy ještě my byli v Rakousku a kladli požadavky velmi po</w:t>
      </w:r>
      <w:r>
        <w:rPr>
          <w:sz w:val="20"/>
          <w:szCs w:val="20"/>
        </w:rPr>
        <w:softHyphen/>
        <w:t xml:space="preserve">dobné těm, které dnes Němci kladou nám, </w:t>
      </w:r>
      <w:r>
        <w:t xml:space="preserve">a </w:t>
      </w:r>
      <w:r>
        <w:rPr>
          <w:sz w:val="20"/>
          <w:szCs w:val="20"/>
        </w:rPr>
        <w:t>máme-li v sobě dosti rozumové odvahy a srovnávací schopn</w:t>
      </w:r>
      <w:r>
        <w:rPr>
          <w:sz w:val="20"/>
          <w:szCs w:val="20"/>
        </w:rPr>
        <w:t xml:space="preserve">osti, budeme nakloněni považovat německé snahy </w:t>
      </w:r>
      <w:r>
        <w:t xml:space="preserve">za </w:t>
      </w:r>
      <w:r>
        <w:rPr>
          <w:sz w:val="20"/>
          <w:szCs w:val="20"/>
        </w:rPr>
        <w:t>něco ji</w:t>
      </w:r>
      <w:r>
        <w:rPr>
          <w:sz w:val="20"/>
          <w:szCs w:val="20"/>
        </w:rPr>
        <w:softHyphen/>
        <w:t>ného, než za dětské hry a batoleni po koberci.</w:t>
      </w:r>
    </w:p>
    <w:p w:rsidR="00500724" w:rsidRDefault="00F30FB8">
      <w:pPr>
        <w:pStyle w:val="Zkladntext20"/>
        <w:shd w:val="clear" w:color="auto" w:fill="auto"/>
        <w:spacing w:line="240" w:lineRule="auto"/>
        <w:ind w:firstLine="200"/>
        <w:rPr>
          <w:sz w:val="20"/>
          <w:szCs w:val="20"/>
        </w:rPr>
      </w:pPr>
      <w:r>
        <w:rPr>
          <w:sz w:val="20"/>
          <w:szCs w:val="20"/>
        </w:rPr>
        <w:t>2e vyřešeni německé otázky v tomto státě není ideální, lze prostě usouditi už z toho, že vyvolává tolik hluku a ob</w:t>
      </w:r>
      <w:r>
        <w:rPr>
          <w:sz w:val="20"/>
          <w:szCs w:val="20"/>
        </w:rPr>
        <w:softHyphen/>
        <w:t xml:space="preserve">tíži. Nelze vážně tvrditi, že by </w:t>
      </w:r>
      <w:r>
        <w:rPr>
          <w:sz w:val="20"/>
          <w:szCs w:val="20"/>
        </w:rPr>
        <w:t>bylo vzorným řešením otáz</w:t>
      </w:r>
      <w:r>
        <w:rPr>
          <w:sz w:val="20"/>
          <w:szCs w:val="20"/>
        </w:rPr>
        <w:softHyphen/>
        <w:t>ky, nemůže-11 Němec ve svém hlavním městě požádatl telefonní centrálu německy, aby ho spojila, a jsou-li ně</w:t>
      </w:r>
      <w:r>
        <w:rPr>
          <w:sz w:val="20"/>
          <w:szCs w:val="20"/>
        </w:rPr>
        <w:softHyphen/>
        <w:t xml:space="preserve">mečtí poslanci, kteří neumějí česky, v parlamentě fakticky vyloučeni ze spolupráce, poněvadž na základě jednacího řádu je </w:t>
      </w:r>
      <w:r>
        <w:rPr>
          <w:sz w:val="20"/>
          <w:szCs w:val="20"/>
        </w:rPr>
        <w:t>zakázáno tlumočit jim oficiální sděleni a návrhy. To ukazuje, že neuvažujeme o jazykové otázce ze stano</w:t>
      </w:r>
      <w:r>
        <w:rPr>
          <w:sz w:val="20"/>
          <w:szCs w:val="20"/>
        </w:rPr>
        <w:softHyphen/>
        <w:t>viska účelnosti, nýbrž z nějakého jiného hlediska.</w:t>
      </w:r>
    </w:p>
    <w:p w:rsidR="00500724" w:rsidRDefault="00F30FB8">
      <w:pPr>
        <w:pStyle w:val="Zkladntext20"/>
        <w:shd w:val="clear" w:color="auto" w:fill="auto"/>
        <w:spacing w:line="240" w:lineRule="auto"/>
        <w:ind w:firstLine="200"/>
        <w:rPr>
          <w:sz w:val="20"/>
          <w:szCs w:val="20"/>
        </w:rPr>
      </w:pPr>
      <w:r>
        <w:rPr>
          <w:sz w:val="20"/>
          <w:szCs w:val="20"/>
        </w:rPr>
        <w:t xml:space="preserve">Musíme si jednou uvědomiti, že v nynějším vyřešeni česko-německé otázky neni absolutnost sama, nýbrž </w:t>
      </w:r>
      <w:r>
        <w:rPr>
          <w:sz w:val="20"/>
          <w:szCs w:val="20"/>
        </w:rPr>
        <w:t>že se to dalo řešit ještě leckterým způsobem jiným. Hlasy Něm</w:t>
      </w:r>
      <w:r>
        <w:rPr>
          <w:sz w:val="20"/>
          <w:szCs w:val="20"/>
        </w:rPr>
        <w:softHyphen/>
        <w:t>ců nejsou proto, abychom si je zařadili do alba, ale proto, abychom o nich uvažovali. Chtě nechtě budeme se musit blížiti švýcarskému vzoru, v němž rozhoduje naprostá ná</w:t>
      </w:r>
      <w:r>
        <w:rPr>
          <w:sz w:val="20"/>
          <w:szCs w:val="20"/>
        </w:rPr>
        <w:softHyphen/>
        <w:t xml:space="preserve">rodnostní rovnoprávnost </w:t>
      </w:r>
      <w:r>
        <w:rPr>
          <w:sz w:val="20"/>
          <w:szCs w:val="20"/>
        </w:rPr>
        <w:t>a v otázkách jazykových princip, účelnosti. Rakouské možnosti jsou pohřbeny. Dnes nutno připustit!, podobá se ještě leccos v našem poměru k Něm</w:t>
      </w:r>
      <w:r>
        <w:rPr>
          <w:sz w:val="20"/>
          <w:szCs w:val="20"/>
        </w:rPr>
        <w:softHyphen/>
        <w:t>cům nadvládě. Je jisto, že ani demokracie nevylučuje jisté formy nadvlády.</w:t>
      </w:r>
    </w:p>
    <w:p w:rsidR="00500724" w:rsidRDefault="00F30FB8">
      <w:pPr>
        <w:pStyle w:val="Zkladntext20"/>
        <w:shd w:val="clear" w:color="auto" w:fill="auto"/>
        <w:spacing w:line="240" w:lineRule="auto"/>
        <w:ind w:firstLine="340"/>
        <w:rPr>
          <w:sz w:val="20"/>
          <w:szCs w:val="20"/>
        </w:rPr>
      </w:pPr>
      <w:r>
        <w:rPr>
          <w:sz w:val="20"/>
          <w:szCs w:val="20"/>
        </w:rPr>
        <w:t>Skutečná demokracie, poněvadž v demok</w:t>
      </w:r>
      <w:r>
        <w:rPr>
          <w:sz w:val="20"/>
          <w:szCs w:val="20"/>
        </w:rPr>
        <w:t>ratickém me</w:t>
      </w:r>
      <w:r>
        <w:rPr>
          <w:sz w:val="20"/>
          <w:szCs w:val="20"/>
        </w:rPr>
        <w:softHyphen/>
        <w:t>chanismu jsou skryty takové záludnosti, vyjímá proto určité záležitosti, které se dotýkají jen určité skupiny občanstva, z dosahu principu většiny. Požadavek Němců, aby jejich kulturní národní záležitosti, které se dotýkají jen jich, byly vyňat</w:t>
      </w:r>
      <w:r>
        <w:rPr>
          <w:sz w:val="20"/>
          <w:szCs w:val="20"/>
        </w:rPr>
        <w:t>y z kompetence všemohoucího ústřed</w:t>
      </w:r>
      <w:r>
        <w:rPr>
          <w:sz w:val="20"/>
          <w:szCs w:val="20"/>
        </w:rPr>
        <w:softHyphen/>
        <w:t>ního sboru zákonodárného, je proto na cestě pravé demo</w:t>
      </w:r>
      <w:r>
        <w:rPr>
          <w:sz w:val="20"/>
          <w:szCs w:val="20"/>
        </w:rPr>
        <w:softHyphen/>
        <w:t>kracie, která vždy předpokládá systém určitých decentra- lisací, dále než naše formální centralistická demokracie, My nechceme jednati s Němci jako s národem v celku,</w:t>
      </w:r>
      <w:r>
        <w:rPr>
          <w:sz w:val="20"/>
          <w:szCs w:val="20"/>
        </w:rPr>
        <w:t xml:space="preserve"> pra</w:t>
      </w:r>
      <w:r>
        <w:rPr>
          <w:sz w:val="20"/>
          <w:szCs w:val="20"/>
        </w:rPr>
        <w:softHyphen/>
        <w:t>víme jim, že mohou se domoci práva jako jednotliví státní občané. Přece je však jisto, že kulturní záležitosti může si nejlépe spravovati každý národ sám, ne stát, nadřazený několika národnostem, v jehož srdci se nikdy nenalezne dosti tepla pro národn</w:t>
      </w:r>
      <w:r>
        <w:rPr>
          <w:sz w:val="20"/>
          <w:szCs w:val="20"/>
        </w:rPr>
        <w:t>í život. Na jedné straně pravíme Němcům, že jsou státní občané, na druhé, že stát patři nám a že jsme ho vytvořili, a zamotáváme tím sebe i je do zlého rozporu.</w:t>
      </w:r>
    </w:p>
    <w:p w:rsidR="00500724" w:rsidRDefault="00F30FB8">
      <w:pPr>
        <w:pStyle w:val="Zkladntext20"/>
        <w:shd w:val="clear" w:color="auto" w:fill="auto"/>
        <w:spacing w:line="240" w:lineRule="auto"/>
        <w:ind w:firstLine="340"/>
      </w:pPr>
      <w:r>
        <w:rPr>
          <w:sz w:val="20"/>
          <w:szCs w:val="20"/>
        </w:rPr>
        <w:t>Na Zulegerův podnět jest třeba odpověděti. Ne fráze</w:t>
      </w:r>
      <w:r>
        <w:rPr>
          <w:sz w:val="20"/>
          <w:szCs w:val="20"/>
        </w:rPr>
        <w:softHyphen/>
      </w:r>
      <w:r>
        <w:rPr>
          <w:sz w:val="20"/>
          <w:szCs w:val="20"/>
        </w:rPr>
        <w:t xml:space="preserve">mi, ale přesně detailovaným programem. Musíme vědět, co jim chceme a můžeme dát. Máme takový program?] Zdá se, že jsme si příliš zvykli na myšlenku, že </w:t>
      </w:r>
      <w:r>
        <w:t xml:space="preserve">s </w:t>
      </w:r>
      <w:r>
        <w:rPr>
          <w:sz w:val="20"/>
          <w:szCs w:val="20"/>
        </w:rPr>
        <w:t>Němci není dohoda možná, a že Jsme proto přestali o programu uvažovat. Jsou nacionalistické strany, kt</w:t>
      </w:r>
      <w:r>
        <w:rPr>
          <w:sz w:val="20"/>
          <w:szCs w:val="20"/>
        </w:rPr>
        <w:t xml:space="preserve">eré </w:t>
      </w:r>
      <w:r>
        <w:t>na německé</w:t>
      </w:r>
    </w:p>
    <w:p w:rsidR="00500724" w:rsidRDefault="00F30FB8">
      <w:pPr>
        <w:pStyle w:val="Zkladntext20"/>
        <w:shd w:val="clear" w:color="auto" w:fill="auto"/>
        <w:spacing w:line="240" w:lineRule="auto"/>
        <w:ind w:firstLine="0"/>
        <w:rPr>
          <w:sz w:val="20"/>
          <w:szCs w:val="20"/>
        </w:rPr>
      </w:pPr>
      <w:r>
        <w:rPr>
          <w:sz w:val="20"/>
          <w:szCs w:val="20"/>
        </w:rPr>
        <w:t>požadavky odpovědí Jasně a velmi přehledně: &gt;Ne«. Jsou pokrokové strany, které konkrétní německé požadavky zodpovědí přívětivým: ^Masaryk je velký muž* nebo: »My Jsme pokrokoví a demokratičtí a s-My se chceme s vámi dohodnout*. Výsledek je v</w:t>
      </w:r>
      <w:r>
        <w:rPr>
          <w:sz w:val="20"/>
          <w:szCs w:val="20"/>
        </w:rPr>
        <w:t xml:space="preserve"> obou případech týž. Stalo se dokonce, že jsme Němce počastovali Kantem a výkladem státu kategorického imperativu. Dohoda s Němci nepřed</w:t>
      </w:r>
      <w:r>
        <w:rPr>
          <w:sz w:val="20"/>
          <w:szCs w:val="20"/>
        </w:rPr>
        <w:softHyphen/>
        <w:t>pokládá morální úvahy, nýbrž přesné myšlení o jednotli</w:t>
      </w:r>
      <w:r>
        <w:rPr>
          <w:sz w:val="20"/>
          <w:szCs w:val="20"/>
        </w:rPr>
        <w:softHyphen/>
        <w:t xml:space="preserve">vostech. Na Zulegerovu výzvu nelze odpověděti jinak než přesným </w:t>
      </w:r>
      <w:r>
        <w:rPr>
          <w:sz w:val="20"/>
          <w:szCs w:val="20"/>
        </w:rPr>
        <w:t xml:space="preserve">programem. Musíme si uvědomiti, co se nám může provésti. Jasno jest, že se nikdy nepovede, udělati </w:t>
      </w:r>
      <w:r>
        <w:t xml:space="preserve">z </w:t>
      </w:r>
      <w:r>
        <w:rPr>
          <w:sz w:val="20"/>
          <w:szCs w:val="20"/>
        </w:rPr>
        <w:t>tohoto národnostního státu stát národní, že se nepovede Němce počeštit nebo docílit, aby ve španělských botách nekřičeli. Uvědomíme-li si nezměnitelnou sku</w:t>
      </w:r>
      <w:r>
        <w:rPr>
          <w:sz w:val="20"/>
          <w:szCs w:val="20"/>
        </w:rPr>
        <w:t>tečnost Česko</w:t>
      </w:r>
      <w:r>
        <w:rPr>
          <w:sz w:val="20"/>
          <w:szCs w:val="20"/>
        </w:rPr>
        <w:softHyphen/>
        <w:t>slovenska jako státu národnostního, postupem doby při</w:t>
      </w:r>
      <w:r>
        <w:rPr>
          <w:sz w:val="20"/>
          <w:szCs w:val="20"/>
        </w:rPr>
        <w:softHyphen/>
        <w:t>padneme spíše na to, co máme dělat, než nyní, kdy ranění slepotou se domníváme, že žijeme ve státě národním.</w:t>
      </w:r>
    </w:p>
    <w:p w:rsidR="00500724" w:rsidRDefault="00F30FB8">
      <w:pPr>
        <w:pStyle w:val="Zkladntext20"/>
        <w:shd w:val="clear" w:color="auto" w:fill="auto"/>
        <w:spacing w:after="60" w:line="240" w:lineRule="auto"/>
        <w:ind w:firstLine="0"/>
        <w:jc w:val="right"/>
        <w:rPr>
          <w:sz w:val="20"/>
          <w:szCs w:val="20"/>
        </w:rPr>
      </w:pPr>
      <w:r>
        <w:rPr>
          <w:sz w:val="20"/>
          <w:szCs w:val="20"/>
        </w:rPr>
        <w:t>(21. záři 1921.)</w:t>
      </w:r>
    </w:p>
    <w:p w:rsidR="00500724" w:rsidRDefault="00F30FB8">
      <w:pPr>
        <w:pStyle w:val="Zkladntext20"/>
        <w:shd w:val="clear" w:color="auto" w:fill="auto"/>
        <w:spacing w:after="60" w:line="240" w:lineRule="auto"/>
        <w:ind w:firstLine="0"/>
        <w:jc w:val="center"/>
        <w:rPr>
          <w:sz w:val="20"/>
          <w:szCs w:val="20"/>
        </w:rPr>
      </w:pPr>
      <w:r>
        <w:rPr>
          <w:sz w:val="20"/>
          <w:szCs w:val="20"/>
        </w:rPr>
        <w:t>Stát národní nebo národnostní?</w:t>
      </w:r>
    </w:p>
    <w:p w:rsidR="00500724" w:rsidRDefault="00F30FB8">
      <w:pPr>
        <w:pStyle w:val="Zkladntext20"/>
        <w:shd w:val="clear" w:color="auto" w:fill="auto"/>
        <w:spacing w:line="240" w:lineRule="auto"/>
        <w:ind w:firstLine="360"/>
        <w:rPr>
          <w:sz w:val="20"/>
          <w:szCs w:val="20"/>
        </w:rPr>
      </w:pPr>
      <w:r>
        <w:rPr>
          <w:sz w:val="20"/>
          <w:szCs w:val="20"/>
        </w:rPr>
        <w:t>To, co čteme ve ^Večerníku Č. S</w:t>
      </w:r>
      <w:r>
        <w:rPr>
          <w:sz w:val="20"/>
          <w:szCs w:val="20"/>
        </w:rPr>
        <w:t>.«, jsou ovšem názory velmi známé a velmi zakořeněné; nejsou to nápady jednot</w:t>
      </w:r>
      <w:r>
        <w:rPr>
          <w:sz w:val="20"/>
          <w:szCs w:val="20"/>
        </w:rPr>
        <w:softHyphen/>
        <w:t>livého žurnalisty, nýbrž jsou to názory, které ovládaly celý československý národ v době, kdy byl budován tento stát. Není žádné pochyby, že jsme chtěli stát, ve kterém sl českos</w:t>
      </w:r>
      <w:r>
        <w:rPr>
          <w:sz w:val="20"/>
          <w:szCs w:val="20"/>
        </w:rPr>
        <w:t>lovenský národ může dělat co chce. Nebylo žádné jiné představy o tomto státě. Chtěli jsme stát, který bude citlivě poslušně reagovat! na všechny záchvěvy českoslo</w:t>
      </w:r>
      <w:r>
        <w:rPr>
          <w:sz w:val="20"/>
          <w:szCs w:val="20"/>
        </w:rPr>
        <w:softHyphen/>
        <w:t>venské národní duše, a myslili jsme, že tento stát bude jako ulitý přiléhat na tělo českoslov</w:t>
      </w:r>
      <w:r>
        <w:rPr>
          <w:sz w:val="20"/>
          <w:szCs w:val="20"/>
        </w:rPr>
        <w:t>enského národa. Teď, po třech letech, definitivně už pozorujeme, že kabát Je špatně ušit, že nehezky odstává a tvoří záhyby.</w:t>
      </w:r>
    </w:p>
    <w:p w:rsidR="00500724" w:rsidRDefault="00F30FB8">
      <w:pPr>
        <w:pStyle w:val="Zkladntext20"/>
        <w:shd w:val="clear" w:color="auto" w:fill="auto"/>
        <w:spacing w:line="240" w:lineRule="auto"/>
        <w:ind w:firstLine="360"/>
        <w:rPr>
          <w:sz w:val="20"/>
          <w:szCs w:val="20"/>
        </w:rPr>
      </w:pPr>
      <w:r>
        <w:rPr>
          <w:sz w:val="20"/>
          <w:szCs w:val="20"/>
        </w:rPr>
        <w:t xml:space="preserve">Kdybychom se s tímto problémem odebrali k svému krejčímu, řekl by nám patrně, že všechny ty nedostatky jsou pochopitelné, poněvadž </w:t>
      </w:r>
      <w:r>
        <w:rPr>
          <w:sz w:val="20"/>
          <w:szCs w:val="20"/>
        </w:rPr>
        <w:t>jsme mu poručili, aby zpra</w:t>
      </w:r>
      <w:r>
        <w:rPr>
          <w:sz w:val="20"/>
          <w:szCs w:val="20"/>
        </w:rPr>
        <w:softHyphen/>
        <w:t>coval na oblek všeehnu látku, kterou jsme mu přinesli, ne pouze tolik, kolik je jí třeba na naši postavu: odtud ty záhyby a ono odstávání; jinak by byl musil vzítl méně látky. Opustíme-li přirovnání s krejčím a kabátem, může</w:t>
      </w:r>
      <w:r>
        <w:rPr>
          <w:sz w:val="20"/>
          <w:szCs w:val="20"/>
        </w:rPr>
        <w:softHyphen/>
        <w:t>me t</w:t>
      </w:r>
      <w:r>
        <w:rPr>
          <w:sz w:val="20"/>
          <w:szCs w:val="20"/>
        </w:rPr>
        <w:t>o říci takto: trvajíce na tom, aby tento stát byl obno</w:t>
      </w:r>
      <w:r>
        <w:rPr>
          <w:sz w:val="20"/>
          <w:szCs w:val="20"/>
        </w:rPr>
        <w:softHyphen/>
        <w:t>ven v historickém rozsahu zemí koruny české, dostali jsme do hranic tolik cizích živlů, že vůle československého ná</w:t>
      </w:r>
      <w:r>
        <w:rPr>
          <w:sz w:val="20"/>
          <w:szCs w:val="20"/>
        </w:rPr>
        <w:softHyphen/>
        <w:t>roda, projevovati se způsobem ryze osobním a vlastním, potkává se s odporem velmi cit</w:t>
      </w:r>
      <w:r>
        <w:rPr>
          <w:sz w:val="20"/>
          <w:szCs w:val="20"/>
        </w:rPr>
        <w:t>elným; stát není udělán tak, aby jako ulitý přiléhal na tělo tvůrčího národa, příliš mno</w:t>
      </w:r>
      <w:r>
        <w:rPr>
          <w:sz w:val="20"/>
          <w:szCs w:val="20"/>
        </w:rPr>
        <w:softHyphen/>
        <w:t>ho materiálu vadí v pohybu; je-li nejvyšším cílem, zajistitl plnou a nekompromisní pohyblivost československé vůle, bylo by bývalo třeba vzítl méně materiálu. Čilí: st</w:t>
      </w:r>
      <w:r>
        <w:rPr>
          <w:sz w:val="20"/>
          <w:szCs w:val="20"/>
        </w:rPr>
        <w:t>át tento je větší než národ československý.</w:t>
      </w:r>
    </w:p>
    <w:p w:rsidR="00500724" w:rsidRDefault="00F30FB8">
      <w:pPr>
        <w:pStyle w:val="Zkladntext20"/>
        <w:shd w:val="clear" w:color="auto" w:fill="auto"/>
        <w:spacing w:line="240" w:lineRule="auto"/>
        <w:ind w:firstLine="360"/>
        <w:rPr>
          <w:sz w:val="20"/>
          <w:szCs w:val="20"/>
        </w:rPr>
      </w:pPr>
      <w:r>
        <w:rPr>
          <w:sz w:val="20"/>
          <w:szCs w:val="20"/>
        </w:rPr>
        <w:t>Problém, jsou-lí zde Němci přistěhovalci či starousedlí</w:t>
      </w:r>
      <w:r>
        <w:rPr>
          <w:sz w:val="20"/>
          <w:szCs w:val="20"/>
        </w:rPr>
        <w:softHyphen/>
        <w:t>ky, nemůže ničeho měniti na skutečnosti, že tu jsou a že ma-jí svou vůli, jako my máme svou.</w:t>
      </w:r>
    </w:p>
    <w:p w:rsidR="00500724" w:rsidRDefault="00F30FB8">
      <w:pPr>
        <w:pStyle w:val="Zkladntext20"/>
        <w:shd w:val="clear" w:color="auto" w:fill="auto"/>
        <w:spacing w:line="240" w:lineRule="auto"/>
        <w:ind w:firstLine="360"/>
        <w:rPr>
          <w:sz w:val="20"/>
          <w:szCs w:val="20"/>
        </w:rPr>
      </w:pPr>
      <w:r>
        <w:rPr>
          <w:sz w:val="20"/>
          <w:szCs w:val="20"/>
        </w:rPr>
        <w:t>Takto tedy dostali jsme se do rozporu: chtěli jsme českoslovens</w:t>
      </w:r>
      <w:r>
        <w:rPr>
          <w:sz w:val="20"/>
          <w:szCs w:val="20"/>
        </w:rPr>
        <w:t>ký národní stát, ale této ideji odporuje viditel</w:t>
      </w:r>
      <w:r>
        <w:rPr>
          <w:sz w:val="20"/>
          <w:szCs w:val="20"/>
        </w:rPr>
        <w:softHyphen/>
        <w:t>ná (v parlamentě i velmi slyšitelná) skutečnost, že v na</w:t>
      </w:r>
      <w:r>
        <w:rPr>
          <w:sz w:val="20"/>
          <w:szCs w:val="20"/>
        </w:rPr>
        <w:softHyphen/>
        <w:t>šich hranicích žiji tři miliony Němců, kteří, když jim mí</w:t>
      </w:r>
      <w:r>
        <w:rPr>
          <w:sz w:val="20"/>
          <w:szCs w:val="20"/>
        </w:rPr>
        <w:softHyphen/>
        <w:t>rovou konferencí nebylo přiznáno právo absolutního sebe- určenl, chtějí žití aspoň ve státě,</w:t>
      </w:r>
      <w:r>
        <w:rPr>
          <w:sz w:val="20"/>
          <w:szCs w:val="20"/>
        </w:rPr>
        <w:t xml:space="preserve"> v kterém by mohli dosíci aspoň sebeurčení, daného mezemi tohoto státu.</w:t>
      </w:r>
    </w:p>
    <w:p w:rsidR="00500724" w:rsidRDefault="00F30FB8">
      <w:pPr>
        <w:pStyle w:val="Zkladntext20"/>
        <w:shd w:val="clear" w:color="auto" w:fill="auto"/>
        <w:spacing w:after="40" w:line="240" w:lineRule="auto"/>
        <w:ind w:firstLine="360"/>
        <w:rPr>
          <w:sz w:val="20"/>
          <w:szCs w:val="20"/>
        </w:rPr>
      </w:pPr>
      <w:r>
        <w:rPr>
          <w:sz w:val="20"/>
          <w:szCs w:val="20"/>
        </w:rPr>
        <w:t xml:space="preserve">»Večemlk </w:t>
      </w:r>
      <w:r>
        <w:t xml:space="preserve">č. </w:t>
      </w:r>
      <w:r>
        <w:rPr>
          <w:sz w:val="20"/>
          <w:szCs w:val="20"/>
        </w:rPr>
        <w:t xml:space="preserve">S.« mluví o »skutečností, že tento stát je národní*. Dokladů pro tuto skutečnost neuvádí. Stát </w:t>
      </w:r>
      <w:r>
        <w:rPr>
          <w:sz w:val="20"/>
          <w:szCs w:val="20"/>
          <w:lang w:val="en-US" w:eastAsia="en-US" w:bidi="en-US"/>
        </w:rPr>
        <w:t xml:space="preserve">pro </w:t>
      </w:r>
      <w:r>
        <w:rPr>
          <w:sz w:val="20"/>
          <w:szCs w:val="20"/>
        </w:rPr>
        <w:t xml:space="preserve">rationa </w:t>
      </w:r>
      <w:r>
        <w:rPr>
          <w:sz w:val="20"/>
          <w:szCs w:val="20"/>
          <w:lang w:val="en-US" w:eastAsia="en-US" w:bidi="en-US"/>
        </w:rPr>
        <w:t>voluntas!</w:t>
      </w:r>
    </w:p>
    <w:p w:rsidR="00500724" w:rsidRDefault="00F30FB8">
      <w:pPr>
        <w:pStyle w:val="Zkladntext20"/>
        <w:shd w:val="clear" w:color="auto" w:fill="auto"/>
        <w:spacing w:after="40" w:line="218" w:lineRule="auto"/>
        <w:ind w:firstLine="320"/>
        <w:rPr>
          <w:sz w:val="20"/>
          <w:szCs w:val="20"/>
        </w:rPr>
      </w:pPr>
      <w:r>
        <w:rPr>
          <w:sz w:val="20"/>
          <w:szCs w:val="20"/>
        </w:rPr>
        <w:t xml:space="preserve">Argumentace »Večerníku Č. S.« pozůstává </w:t>
      </w:r>
      <w:r>
        <w:t xml:space="preserve">v </w:t>
      </w:r>
      <w:r>
        <w:rPr>
          <w:sz w:val="20"/>
          <w:szCs w:val="20"/>
        </w:rPr>
        <w:t xml:space="preserve">podstatě </w:t>
      </w:r>
      <w:r>
        <w:t xml:space="preserve">z </w:t>
      </w:r>
      <w:r>
        <w:rPr>
          <w:sz w:val="20"/>
          <w:szCs w:val="20"/>
        </w:rPr>
        <w:t>to</w:t>
      </w:r>
      <w:r>
        <w:rPr>
          <w:sz w:val="20"/>
          <w:szCs w:val="20"/>
        </w:rPr>
        <w:t>hoto myšlenkového pochodu: Československá republika není národnostním státem, protože to nechceme, a proto je všechno bližší zkoumání skutečností a všechny úvahy o podstatě státu nárooního a národnostního jen mlácením prázdné slámy. Jest tedy třeba rozlušt</w:t>
      </w:r>
      <w:r>
        <w:rPr>
          <w:sz w:val="20"/>
          <w:szCs w:val="20"/>
        </w:rPr>
        <w:t xml:space="preserve">it otázku, </w:t>
      </w:r>
      <w:r>
        <w:t xml:space="preserve">v </w:t>
      </w:r>
      <w:r>
        <w:rPr>
          <w:sz w:val="20"/>
          <w:szCs w:val="20"/>
        </w:rPr>
        <w:t>čem je podstata tohoto státu: zda ve vůli či ve skutečností objek</w:t>
      </w:r>
      <w:r>
        <w:rPr>
          <w:sz w:val="20"/>
          <w:szCs w:val="20"/>
        </w:rPr>
        <w:softHyphen/>
        <w:t>tivně zjistitelné. Nepochybujeme, že československý národ zi intensivně přeje, aby tento stát byl státem národním, a intensitu tohoto přání lze měřiti jen s intensitou němec</w:t>
      </w:r>
      <w:r>
        <w:rPr>
          <w:sz w:val="20"/>
          <w:szCs w:val="20"/>
        </w:rPr>
        <w:softHyphen/>
        <w:t>kéh</w:t>
      </w:r>
      <w:r>
        <w:rPr>
          <w:sz w:val="20"/>
          <w:szCs w:val="20"/>
        </w:rPr>
        <w:t>o přání, aby tento stát národním nebyl.</w:t>
      </w:r>
    </w:p>
    <w:p w:rsidR="00500724" w:rsidRDefault="00F30FB8">
      <w:pPr>
        <w:pStyle w:val="Zkladntext20"/>
        <w:shd w:val="clear" w:color="auto" w:fill="auto"/>
        <w:spacing w:after="40" w:line="216" w:lineRule="auto"/>
        <w:ind w:firstLine="320"/>
        <w:rPr>
          <w:sz w:val="20"/>
          <w:szCs w:val="20"/>
        </w:rPr>
      </w:pPr>
      <w:r>
        <w:rPr>
          <w:sz w:val="20"/>
          <w:szCs w:val="20"/>
        </w:rPr>
        <w:t xml:space="preserve">Zdá se, že při tvořeni tohoto státu neměli Jsme dosti času promyslit! jeho budoucí vnitřní poměry, zejména pokud se týká německé otázky. Jistě jsme sl nepomyslili, že velmi brzy budeme míti takové potíže se sehnáním </w:t>
      </w:r>
      <w:r>
        <w:rPr>
          <w:sz w:val="20"/>
          <w:szCs w:val="20"/>
        </w:rPr>
        <w:t>vládní většiny, která je prvním předpokladem každého státního života. Obtíže se sehnáním vládní většiny ukazuji Jasně, že jsme si nedovedli dosti plasticky představit po</w:t>
      </w:r>
      <w:r>
        <w:rPr>
          <w:sz w:val="20"/>
          <w:szCs w:val="20"/>
        </w:rPr>
        <w:softHyphen/>
        <w:t>měry a že představa tohoto státu jako čistě národního není správná.</w:t>
      </w:r>
    </w:p>
    <w:p w:rsidR="00500724" w:rsidRDefault="00F30FB8">
      <w:pPr>
        <w:pStyle w:val="Zkladntext20"/>
        <w:shd w:val="clear" w:color="auto" w:fill="auto"/>
        <w:spacing w:after="40" w:line="221" w:lineRule="auto"/>
        <w:ind w:firstLine="320"/>
        <w:rPr>
          <w:sz w:val="20"/>
          <w:szCs w:val="20"/>
        </w:rPr>
      </w:pPr>
      <w:r>
        <w:rPr>
          <w:sz w:val="20"/>
          <w:szCs w:val="20"/>
        </w:rPr>
        <w:t>s&gt; Večerník Č. S.«</w:t>
      </w:r>
      <w:r>
        <w:rPr>
          <w:sz w:val="20"/>
          <w:szCs w:val="20"/>
        </w:rPr>
        <w:t xml:space="preserve"> praví, že sůvahy o česko-německém poměru nemohou býti úvahami početními, nýbrž budou vždy vycházeti z mravního práva našeho národa na sebe</w:t>
      </w:r>
      <w:r>
        <w:rPr>
          <w:sz w:val="20"/>
          <w:szCs w:val="20"/>
        </w:rPr>
        <w:softHyphen/>
        <w:t>určení.* Podle toho tedy tento stát nebude nikdy národ</w:t>
      </w:r>
      <w:r>
        <w:rPr>
          <w:sz w:val="20"/>
          <w:szCs w:val="20"/>
        </w:rPr>
        <w:softHyphen/>
        <w:t>nostní, byť tu bylo Němců sebe více, poněvadž tento stát není</w:t>
      </w:r>
      <w:r>
        <w:rPr>
          <w:sz w:val="20"/>
          <w:szCs w:val="20"/>
        </w:rPr>
        <w:t xml:space="preserve"> početní příklad. Litujeme, že »Večemik </w:t>
      </w:r>
      <w:r>
        <w:t xml:space="preserve">Č. S.« </w:t>
      </w:r>
      <w:r>
        <w:rPr>
          <w:sz w:val="20"/>
          <w:szCs w:val="20"/>
        </w:rPr>
        <w:t>mluví tak pohrdlivě o matematice: neboť ať Je početní princip dobrý nebo špatný, je jisto, že je to princip demokratický. Skepsí k matematice, k sečítání hlasů otřásá &gt;Večerník Č. S.« samotnými základy demokra</w:t>
      </w:r>
      <w:r>
        <w:rPr>
          <w:sz w:val="20"/>
          <w:szCs w:val="20"/>
        </w:rPr>
        <w:t>cie, otřásá principy, na jichž podkladě poslanci jeho strany sedí v parlamentě.</w:t>
      </w:r>
    </w:p>
    <w:p w:rsidR="00500724" w:rsidRDefault="00F30FB8">
      <w:pPr>
        <w:pStyle w:val="Zkladntext20"/>
        <w:shd w:val="clear" w:color="auto" w:fill="auto"/>
        <w:spacing w:after="40" w:line="214" w:lineRule="auto"/>
        <w:ind w:firstLine="320"/>
        <w:rPr>
          <w:sz w:val="20"/>
          <w:szCs w:val="20"/>
        </w:rPr>
      </w:pPr>
      <w:r>
        <w:rPr>
          <w:sz w:val="20"/>
          <w:szCs w:val="20"/>
        </w:rPr>
        <w:t xml:space="preserve">^Večerník Č. S.« tedy vyložil, že tento stát, </w:t>
      </w:r>
      <w:r>
        <w:t xml:space="preserve">je náš stát. </w:t>
      </w:r>
      <w:r>
        <w:rPr>
          <w:sz w:val="20"/>
          <w:szCs w:val="20"/>
        </w:rPr>
        <w:t>Zapomněl vyložiti dále, jaký poměr k republice zbývá Něm</w:t>
      </w:r>
      <w:r>
        <w:rPr>
          <w:sz w:val="20"/>
          <w:szCs w:val="20"/>
        </w:rPr>
        <w:softHyphen/>
        <w:t xml:space="preserve">cům, je-li republika naše. Nebo je to už zahrnuto v </w:t>
      </w:r>
      <w:r>
        <w:t xml:space="preserve">tomto </w:t>
      </w:r>
      <w:r>
        <w:rPr>
          <w:sz w:val="20"/>
          <w:szCs w:val="20"/>
        </w:rPr>
        <w:t>voluntaristickém názoru, že si prostě s morálním posta</w:t>
      </w:r>
      <w:r>
        <w:rPr>
          <w:sz w:val="20"/>
          <w:szCs w:val="20"/>
        </w:rPr>
        <w:softHyphen/>
        <w:t>vením Němců v republice hlavu lámat nemusíme?</w:t>
      </w:r>
    </w:p>
    <w:p w:rsidR="00500724" w:rsidRDefault="00F30FB8">
      <w:pPr>
        <w:pStyle w:val="Zkladntext20"/>
        <w:shd w:val="clear" w:color="auto" w:fill="auto"/>
        <w:spacing w:after="40" w:line="223" w:lineRule="auto"/>
        <w:ind w:firstLine="320"/>
        <w:rPr>
          <w:sz w:val="20"/>
          <w:szCs w:val="20"/>
        </w:rPr>
      </w:pPr>
      <w:r>
        <w:rPr>
          <w:sz w:val="20"/>
          <w:szCs w:val="20"/>
        </w:rPr>
        <w:t>Zde by tedy byl — mimovolně — dosti Jasně vyložen poměr Němců k republice: mají býti hospodářským ma</w:t>
      </w:r>
      <w:r>
        <w:rPr>
          <w:sz w:val="20"/>
          <w:szCs w:val="20"/>
        </w:rPr>
        <w:softHyphen/>
        <w:t>teriálem pro československé sebeurčení. Němcům přisuzu</w:t>
      </w:r>
      <w:r>
        <w:rPr>
          <w:sz w:val="20"/>
          <w:szCs w:val="20"/>
        </w:rPr>
        <w:t>je se úloha hmoty, Čechoslovákům úloha ducha. Je Jasno, že to není prvotřídní úloha, která se tu Němcům přisuzuje: ale jakáž pomoc, když ji Češi potřebují pro svou hospo</w:t>
      </w:r>
      <w:r>
        <w:rPr>
          <w:sz w:val="20"/>
          <w:szCs w:val="20"/>
        </w:rPr>
        <w:softHyphen/>
        <w:t>dářskou samostatnost.</w:t>
      </w:r>
    </w:p>
    <w:p w:rsidR="00500724" w:rsidRDefault="00F30FB8">
      <w:pPr>
        <w:pStyle w:val="Zkladntext20"/>
        <w:shd w:val="clear" w:color="auto" w:fill="auto"/>
        <w:spacing w:after="40" w:line="218" w:lineRule="auto"/>
        <w:ind w:firstLine="320"/>
      </w:pPr>
      <w:r>
        <w:rPr>
          <w:sz w:val="20"/>
          <w:szCs w:val="20"/>
        </w:rPr>
        <w:t>Není nikoho, kdo by nepřiznal, že Čechoslováci by vždy raději př</w:t>
      </w:r>
      <w:r>
        <w:rPr>
          <w:sz w:val="20"/>
          <w:szCs w:val="20"/>
        </w:rPr>
        <w:t xml:space="preserve">ijali úlohu, kterou jim nabízí »V. </w:t>
      </w:r>
      <w:r>
        <w:t xml:space="preserve">C. S.«, </w:t>
      </w:r>
      <w:r>
        <w:rPr>
          <w:sz w:val="20"/>
          <w:szCs w:val="20"/>
        </w:rPr>
        <w:t>než tu druhou úlohu. Jistě by to bylo pro československý národ příjemnější i slavnější, a jest to osud poněkud neblahý, musíme-li i dnes, ve vlastním státě, pociťovati německou vůli jako překážku. Jde však o to, m</w:t>
      </w:r>
      <w:r>
        <w:rPr>
          <w:sz w:val="20"/>
          <w:szCs w:val="20"/>
        </w:rPr>
        <w:t>ožno-11 tento česko</w:t>
      </w:r>
      <w:r>
        <w:rPr>
          <w:sz w:val="20"/>
          <w:szCs w:val="20"/>
        </w:rPr>
        <w:softHyphen/>
        <w:t xml:space="preserve">slovenský volutarismus uskutečniti </w:t>
      </w:r>
      <w:r>
        <w:t xml:space="preserve">v </w:t>
      </w:r>
      <w:r>
        <w:rPr>
          <w:sz w:val="20"/>
          <w:szCs w:val="20"/>
        </w:rPr>
        <w:t xml:space="preserve">této době </w:t>
      </w:r>
      <w:r>
        <w:t xml:space="preserve">bez zlých </w:t>
      </w:r>
      <w:r>
        <w:rPr>
          <w:sz w:val="20"/>
          <w:szCs w:val="20"/>
        </w:rPr>
        <w:t xml:space="preserve">následků pro tento stát a pro náš národ, </w:t>
      </w:r>
      <w:r>
        <w:t xml:space="preserve">a </w:t>
      </w:r>
      <w:r>
        <w:rPr>
          <w:sz w:val="20"/>
          <w:szCs w:val="20"/>
        </w:rPr>
        <w:t>je-li ta hmota, kterou má pronikati naše vůle, vůbec zvládnutelná. Dostá</w:t>
      </w:r>
      <w:r>
        <w:rPr>
          <w:sz w:val="20"/>
          <w:szCs w:val="20"/>
        </w:rPr>
        <w:softHyphen/>
        <w:t>váme se do století, ve kterém otázky národnostní budou se těšit</w:t>
      </w:r>
      <w:r>
        <w:rPr>
          <w:sz w:val="20"/>
          <w:szCs w:val="20"/>
        </w:rPr>
        <w:t xml:space="preserve">i posuzování obzvláště pečlivému, </w:t>
      </w:r>
      <w:r>
        <w:t xml:space="preserve">a </w:t>
      </w:r>
      <w:r>
        <w:rPr>
          <w:sz w:val="20"/>
          <w:szCs w:val="20"/>
        </w:rPr>
        <w:t>bylo by to těžkou školou pro tento stát, kdyby se jednou světové míněni obrá</w:t>
      </w:r>
      <w:r>
        <w:rPr>
          <w:sz w:val="20"/>
          <w:szCs w:val="20"/>
        </w:rPr>
        <w:softHyphen/>
        <w:t xml:space="preserve">tilo proti způsobu, jímž se vyrovnáváme s Němci. Děláme nepochybně tu chybu, že stále příliš počítáme s dnešní </w:t>
      </w:r>
      <w:r>
        <w:t>mezi</w:t>
      </w:r>
      <w:r>
        <w:softHyphen/>
      </w:r>
      <w:r>
        <w:rPr>
          <w:sz w:val="20"/>
          <w:szCs w:val="20"/>
        </w:rPr>
        <w:t>národní konstelací, která n</w:t>
      </w:r>
      <w:r>
        <w:rPr>
          <w:sz w:val="20"/>
          <w:szCs w:val="20"/>
        </w:rPr>
        <w:t xml:space="preserve">ás dostatečně dosud zabezpečuje proti Němcům. Anglie je stát větší </w:t>
      </w:r>
      <w:r>
        <w:t xml:space="preserve">a </w:t>
      </w:r>
      <w:r>
        <w:rPr>
          <w:sz w:val="20"/>
          <w:szCs w:val="20"/>
        </w:rPr>
        <w:t xml:space="preserve">skvělejší než my, a můžeme si vžiti varovný příklad </w:t>
      </w:r>
      <w:r>
        <w:t xml:space="preserve">z </w:t>
      </w:r>
      <w:r>
        <w:rPr>
          <w:sz w:val="20"/>
          <w:szCs w:val="20"/>
        </w:rPr>
        <w:t>toho, jak tato bohatá a vládnutí zvyklá říše prostě nedovede rozřešltl Irského problému. Při tom je poměr početně pro Angličany dalek</w:t>
      </w:r>
      <w:r>
        <w:rPr>
          <w:sz w:val="20"/>
          <w:szCs w:val="20"/>
        </w:rPr>
        <w:t xml:space="preserve">o příznivější než pro nás, </w:t>
      </w:r>
      <w:r>
        <w:t xml:space="preserve">a </w:t>
      </w:r>
      <w:r>
        <w:rPr>
          <w:sz w:val="20"/>
          <w:szCs w:val="20"/>
        </w:rPr>
        <w:t xml:space="preserve">mimo to Irové nemají </w:t>
      </w:r>
      <w:r>
        <w:t xml:space="preserve">za </w:t>
      </w:r>
      <w:r>
        <w:rPr>
          <w:sz w:val="20"/>
          <w:szCs w:val="20"/>
        </w:rPr>
        <w:t xml:space="preserve">sebou šedesátimilionový národ mateřský, </w:t>
      </w:r>
      <w:r>
        <w:t xml:space="preserve">z </w:t>
      </w:r>
      <w:r>
        <w:rPr>
          <w:sz w:val="20"/>
          <w:szCs w:val="20"/>
        </w:rPr>
        <w:t xml:space="preserve">něhož mohou čerpat! stále silu kulturní </w:t>
      </w:r>
      <w:r>
        <w:t xml:space="preserve">a </w:t>
      </w:r>
      <w:r>
        <w:rPr>
          <w:sz w:val="20"/>
          <w:szCs w:val="20"/>
        </w:rPr>
        <w:t xml:space="preserve">silu </w:t>
      </w:r>
      <w:r>
        <w:t>odporu, Nedovedl-li anglio-</w:t>
      </w:r>
    </w:p>
    <w:p w:rsidR="00500724" w:rsidRDefault="00F30FB8">
      <w:pPr>
        <w:pStyle w:val="Zkladntext20"/>
        <w:shd w:val="clear" w:color="auto" w:fill="auto"/>
        <w:spacing w:line="194" w:lineRule="auto"/>
        <w:ind w:firstLine="0"/>
        <w:rPr>
          <w:sz w:val="20"/>
          <w:szCs w:val="20"/>
        </w:rPr>
      </w:pPr>
      <w:r>
        <w:rPr>
          <w:sz w:val="20"/>
          <w:szCs w:val="20"/>
        </w:rPr>
        <w:t>ký voluntarismus přemoci irskou vůli, tím méně dovede náš voluntarlsmus přemoci vůli n</w:t>
      </w:r>
      <w:r>
        <w:rPr>
          <w:sz w:val="20"/>
          <w:szCs w:val="20"/>
        </w:rPr>
        <w:t>aší německé menšiny.</w:t>
      </w:r>
    </w:p>
    <w:p w:rsidR="00500724" w:rsidRDefault="00F30FB8">
      <w:pPr>
        <w:pStyle w:val="Zkladntext20"/>
        <w:shd w:val="clear" w:color="auto" w:fill="auto"/>
        <w:spacing w:line="192" w:lineRule="auto"/>
        <w:ind w:firstLine="320"/>
        <w:rPr>
          <w:sz w:val="20"/>
          <w:szCs w:val="20"/>
        </w:rPr>
      </w:pPr>
      <w:r>
        <w:rPr>
          <w:sz w:val="20"/>
          <w:szCs w:val="20"/>
        </w:rPr>
        <w:t xml:space="preserve">Do budoucnosti lze těžko prorokovati. Tolik však lze s určitostí usoudit!: nikdy se již nesmíří žádný národ s rolí, dělati hospodářský materiál pro sebeurčení jiného národa, </w:t>
      </w:r>
      <w:r>
        <w:t xml:space="preserve">a </w:t>
      </w:r>
      <w:r>
        <w:rPr>
          <w:sz w:val="20"/>
          <w:szCs w:val="20"/>
        </w:rPr>
        <w:t>1 když to jest, jako v našem případě, pouze část národa, kt</w:t>
      </w:r>
      <w:r>
        <w:rPr>
          <w:sz w:val="20"/>
          <w:szCs w:val="20"/>
        </w:rPr>
        <w:t>erý má jinde vlastní stát a plnou možnost vyžití, po kterémžto íaktu se »V. Č. S.« už věru dosti najezdil. »V. Č. S.« nežádá nic jiného, než aby se 3 miliony Němců u nás vzdaly sebeurčení proto, poněvadž na severu existuje ně</w:t>
      </w:r>
      <w:r>
        <w:rPr>
          <w:sz w:val="20"/>
          <w:szCs w:val="20"/>
        </w:rPr>
        <w:softHyphen/>
        <w:t>mecká říše, kde Němci právo se</w:t>
      </w:r>
      <w:r>
        <w:rPr>
          <w:sz w:val="20"/>
          <w:szCs w:val="20"/>
        </w:rPr>
        <w:t>beurčení mají. Není třeba míti mnoho psychologické prozíravosti, abychom pochopili, že to pro naše Němce může býti jen špatná útěcha, a že jest to jen naše stanovisko. Že by Němci někdy toto naše stanovisko přijali za své, nelze věru ve dvacátém století oč</w:t>
      </w:r>
      <w:r>
        <w:rPr>
          <w:sz w:val="20"/>
          <w:szCs w:val="20"/>
        </w:rPr>
        <w:t>ekávat, a tak nezbývá, než jejich vůle prostě nedbati, což však znamená, že tento stát se nedostane nikdy ze zmatků a nejistoty. Zdá se vůbec, že posuzujeme státní problém příliš z Prahy, a nepochybně by se jevil v Liberci jinak. Celým rozsahem národního v</w:t>
      </w:r>
      <w:r>
        <w:rPr>
          <w:sz w:val="20"/>
          <w:szCs w:val="20"/>
        </w:rPr>
        <w:t>yžití má býti pro naše Němce útěcha, že o několik stupňů severněji mají Němci plné ná</w:t>
      </w:r>
      <w:r>
        <w:rPr>
          <w:sz w:val="20"/>
          <w:szCs w:val="20"/>
        </w:rPr>
        <w:softHyphen/>
        <w:t>rodní sebeurčení. Neznamená to pečlivě pěstovati v Němcích pudy iredentistické?</w:t>
      </w:r>
    </w:p>
    <w:p w:rsidR="00500724" w:rsidRDefault="00F30FB8">
      <w:pPr>
        <w:pStyle w:val="Zkladntext20"/>
        <w:shd w:val="clear" w:color="auto" w:fill="auto"/>
        <w:spacing w:line="194" w:lineRule="auto"/>
        <w:rPr>
          <w:sz w:val="20"/>
          <w:szCs w:val="20"/>
        </w:rPr>
      </w:pPr>
      <w:r>
        <w:rPr>
          <w:sz w:val="20"/>
          <w:szCs w:val="20"/>
        </w:rPr>
        <w:t xml:space="preserve">»V. Č. S.« mluví o </w:t>
      </w:r>
      <w:r>
        <w:rPr>
          <w:sz w:val="20"/>
          <w:szCs w:val="20"/>
          <w:lang w:val="en-US" w:eastAsia="en-US" w:bidi="en-US"/>
        </w:rPr>
        <w:t xml:space="preserve">raison </w:t>
      </w:r>
      <w:r>
        <w:rPr>
          <w:sz w:val="20"/>
          <w:szCs w:val="20"/>
        </w:rPr>
        <w:t xml:space="preserve">ďétre tohoto státu a o našem národním sebeurčení, které by byly </w:t>
      </w:r>
      <w:r>
        <w:rPr>
          <w:sz w:val="20"/>
          <w:szCs w:val="20"/>
        </w:rPr>
        <w:t xml:space="preserve">porušeny, kdyby tento stát přestal býti československým národním státem. Jaký je však </w:t>
      </w:r>
      <w:r>
        <w:rPr>
          <w:sz w:val="20"/>
          <w:szCs w:val="20"/>
          <w:lang w:val="en-US" w:eastAsia="en-US" w:bidi="en-US"/>
        </w:rPr>
        <w:t xml:space="preserve">raison </w:t>
      </w:r>
      <w:r>
        <w:rPr>
          <w:sz w:val="20"/>
          <w:szCs w:val="20"/>
        </w:rPr>
        <w:t xml:space="preserve">ďétre tohoto státu? Není v tom, že jsme se dostali z Rakouska do nového státu, kde nás nikdo nemůže utlačovat a kde jsme svými pány, kde můžeme pracovat pro sebe? </w:t>
      </w:r>
      <w:r>
        <w:rPr>
          <w:sz w:val="20"/>
          <w:szCs w:val="20"/>
        </w:rPr>
        <w:t>A je podstatou našeho sebeurčení nedopřáti naší ně</w:t>
      </w:r>
      <w:r>
        <w:rPr>
          <w:sz w:val="20"/>
          <w:szCs w:val="20"/>
        </w:rPr>
        <w:softHyphen/>
        <w:t xml:space="preserve">mecké minoritě kulturního a jazykového sebeurčení? Kam až jde naše sebeurčení? Snad má býti </w:t>
      </w:r>
      <w:r>
        <w:rPr>
          <w:sz w:val="20"/>
          <w:szCs w:val="20"/>
          <w:lang w:val="en-US" w:eastAsia="en-US" w:bidi="en-US"/>
        </w:rPr>
        <w:t xml:space="preserve">raison </w:t>
      </w:r>
      <w:r>
        <w:rPr>
          <w:sz w:val="20"/>
          <w:szCs w:val="20"/>
        </w:rPr>
        <w:t>ďétre tohoto státu v tom, že budeme bdělou a nepřátelskou stráží proti Německu. Pak jsme však jednali velm</w:t>
      </w:r>
      <w:r>
        <w:rPr>
          <w:sz w:val="20"/>
          <w:szCs w:val="20"/>
        </w:rPr>
        <w:t>i nerozumně, že jsme nabrali do svého státu tolik Němců, kteří pochopitelně jsou naprosto nesrozuměni s touto úlohou a kteří budou vždy podle svých sil mařiti. P. dr. Jan Heidler napsal nedávno, že spojenecká cena naše bude posuzována podle spolehli</w:t>
      </w:r>
      <w:r>
        <w:rPr>
          <w:sz w:val="20"/>
          <w:szCs w:val="20"/>
        </w:rPr>
        <w:softHyphen/>
        <w:t xml:space="preserve">vosti </w:t>
      </w:r>
      <w:r>
        <w:rPr>
          <w:sz w:val="20"/>
          <w:szCs w:val="20"/>
        </w:rPr>
        <w:t xml:space="preserve">a síly naší armády. Ale připravovat! armádu pro boj </w:t>
      </w:r>
      <w:r>
        <w:rPr>
          <w:b/>
          <w:bCs/>
          <w:sz w:val="19"/>
          <w:szCs w:val="19"/>
        </w:rPr>
        <w:t xml:space="preserve">s </w:t>
      </w:r>
      <w:r>
        <w:rPr>
          <w:sz w:val="20"/>
          <w:szCs w:val="20"/>
        </w:rPr>
        <w:t xml:space="preserve">Německem tím způsobem, že vždy prvního října uo ní narukuje spousta Němců, to znamená tvořit předpoklady pro porážku této armády. Myslí-li »V. Č. S.«, že </w:t>
      </w:r>
      <w:r>
        <w:rPr>
          <w:sz w:val="20"/>
          <w:szCs w:val="20"/>
          <w:lang w:val="en-US" w:eastAsia="en-US" w:bidi="en-US"/>
        </w:rPr>
        <w:t xml:space="preserve">raison </w:t>
      </w:r>
      <w:r>
        <w:rPr>
          <w:sz w:val="20"/>
          <w:szCs w:val="20"/>
        </w:rPr>
        <w:t xml:space="preserve">ďétre tohoto státu je v tom, býti přední </w:t>
      </w:r>
      <w:r>
        <w:rPr>
          <w:sz w:val="20"/>
          <w:szCs w:val="20"/>
        </w:rPr>
        <w:t>vartou proti Německu, myslí tím zároveň, že Němci budou klidně žiti ve státě, který je urážkou jejich národnímu cítění.</w:t>
      </w:r>
    </w:p>
    <w:p w:rsidR="00500724" w:rsidRDefault="00F30FB8">
      <w:pPr>
        <w:pStyle w:val="Zkladntext20"/>
        <w:shd w:val="clear" w:color="auto" w:fill="auto"/>
        <w:spacing w:after="260" w:line="194" w:lineRule="auto"/>
        <w:ind w:firstLine="0"/>
        <w:jc w:val="right"/>
        <w:rPr>
          <w:sz w:val="20"/>
          <w:szCs w:val="20"/>
        </w:rPr>
      </w:pPr>
      <w:r>
        <w:rPr>
          <w:sz w:val="20"/>
          <w:szCs w:val="20"/>
        </w:rPr>
        <w:t>(1. října 1921.)</w:t>
      </w:r>
    </w:p>
    <w:p w:rsidR="00500724" w:rsidRDefault="00F30FB8">
      <w:pPr>
        <w:pStyle w:val="Jin0"/>
        <w:pBdr>
          <w:bottom w:val="single" w:sz="4" w:space="0" w:color="auto"/>
        </w:pBdr>
        <w:shd w:val="clear" w:color="auto" w:fill="auto"/>
        <w:spacing w:after="160"/>
        <w:ind w:firstLine="0"/>
        <w:jc w:val="left"/>
        <w:rPr>
          <w:sz w:val="44"/>
          <w:szCs w:val="44"/>
        </w:rPr>
      </w:pPr>
      <w:r>
        <w:rPr>
          <w:b/>
          <w:bCs/>
          <w:sz w:val="44"/>
          <w:szCs w:val="44"/>
        </w:rPr>
        <w:t>doba a lidé</w:t>
      </w:r>
    </w:p>
    <w:p w:rsidR="00500724" w:rsidRDefault="00F30FB8">
      <w:pPr>
        <w:pStyle w:val="Zkladntext20"/>
        <w:shd w:val="clear" w:color="auto" w:fill="auto"/>
        <w:spacing w:after="60" w:line="240" w:lineRule="auto"/>
        <w:ind w:firstLine="0"/>
        <w:jc w:val="right"/>
        <w:rPr>
          <w:sz w:val="20"/>
          <w:szCs w:val="20"/>
        </w:rPr>
      </w:pPr>
      <w:r>
        <w:rPr>
          <w:i/>
          <w:iCs/>
          <w:sz w:val="20"/>
          <w:szCs w:val="20"/>
        </w:rPr>
        <w:t>Jiří Soumar:</w:t>
      </w:r>
    </w:p>
    <w:p w:rsidR="00500724" w:rsidRDefault="00F30FB8">
      <w:pPr>
        <w:pStyle w:val="Nadpis100"/>
        <w:shd w:val="clear" w:color="auto" w:fill="auto"/>
        <w:spacing w:after="60" w:line="240" w:lineRule="auto"/>
        <w:jc w:val="left"/>
      </w:pPr>
      <w:bookmarkStart w:id="312" w:name="bookmark311"/>
      <w:r>
        <w:t>Veliký proces ve vzrušené době</w:t>
      </w:r>
      <w:bookmarkEnd w:id="312"/>
    </w:p>
    <w:p w:rsidR="00500724" w:rsidRDefault="00F30FB8">
      <w:pPr>
        <w:pStyle w:val="Zkladntext100"/>
        <w:shd w:val="clear" w:color="auto" w:fill="auto"/>
        <w:spacing w:after="160" w:line="218" w:lineRule="auto"/>
        <w:ind w:firstLine="320"/>
      </w:pPr>
      <w:r>
        <w:t xml:space="preserve">Můžeme-li soudit podle posledního poroiního údobí v Praze, </w:t>
      </w:r>
      <w:r>
        <w:t>zájem publika o vzrušující kriminální případy ne- utuohl. Při procesu s vrahy krejčího Josefa Štěpána z Ha</w:t>
      </w:r>
      <w:r>
        <w:softHyphen/>
        <w:t>velské ulice sice se neshromáždil před soudní budovou dav, který by marně usiloval o vniknutí do porotní síně jako tomu bylo ještě před rokem, ale př</w:t>
      </w:r>
      <w:r>
        <w:t>ece jen se všechna místa naplnila a záznamy na proces týden předem pře</w:t>
      </w:r>
      <w:r>
        <w:softHyphen/>
        <w:t>sáhly dvojnásobek počtu míst v soudní síni. Průběh lí</w:t>
      </w:r>
      <w:r>
        <w:softHyphen/>
        <w:t>čení byl ovšem sledován jaksi ztišeně,- snad dík tomu, že se změnil způsob řečí, kterými se ještě do nedávná po</w:t>
      </w:r>
      <w:r>
        <w:softHyphen/>
        <w:t>roty vyznačovaly. S</w:t>
      </w:r>
      <w:r>
        <w:t>tátní zástupci nepokoušeli se v síla výrazů konkurovat advokátům a obhájci drželi se merita věci a nesnažili se řeči vyšperkovali příběhy ze živoia, ci</w:t>
      </w:r>
      <w:r>
        <w:softHyphen/>
        <w:t>táty slavných mužů, vtipy pro pobavení publika a vzru</w:t>
      </w:r>
      <w:r>
        <w:softHyphen/>
        <w:t>šenými okamžiky. Zatím co dříve bývaly poroty skut</w:t>
      </w:r>
      <w:r>
        <w:t>eč</w:t>
      </w:r>
      <w:r>
        <w:softHyphen/>
        <w:t>ným divadlem, v němž bohužel každý hrál svou skuteč</w:t>
      </w:r>
      <w:r>
        <w:softHyphen/>
        <w:t>nou. životní úlohu, tentokráte, aspoň v procesu o Štěpá</w:t>
      </w:r>
      <w:r>
        <w:softHyphen/>
        <w:t>novi, bylo to vystiženo slovy státního zástupce: &gt;Mluvím k vám, slavná poroto, jako kdybychom seděli kolem stolu a vyprávěli si mezi sebou o tomt</w:t>
      </w:r>
      <w:r>
        <w:t>o případu.*</w:t>
      </w:r>
    </w:p>
    <w:p w:rsidR="00500724" w:rsidRDefault="00F30FB8">
      <w:pPr>
        <w:pStyle w:val="Zkladntext20"/>
        <w:shd w:val="clear" w:color="auto" w:fill="auto"/>
        <w:spacing w:after="60" w:line="240" w:lineRule="auto"/>
        <w:ind w:firstLine="0"/>
        <w:jc w:val="right"/>
        <w:rPr>
          <w:sz w:val="20"/>
          <w:szCs w:val="20"/>
        </w:rPr>
      </w:pPr>
      <w:r>
        <w:rPr>
          <w:i/>
          <w:iCs/>
          <w:sz w:val="20"/>
          <w:szCs w:val="20"/>
        </w:rPr>
        <w:t>1QÓ</w:t>
      </w:r>
    </w:p>
    <w:p w:rsidR="00500724" w:rsidRDefault="00F30FB8">
      <w:pPr>
        <w:pStyle w:val="Zkladntext100"/>
        <w:shd w:val="clear" w:color="auto" w:fill="auto"/>
        <w:spacing w:line="240" w:lineRule="auto"/>
        <w:ind w:firstLine="260"/>
      </w:pPr>
      <w:r>
        <w:t>Vzrušení, které prožíváme ve veřejném životě, překo</w:t>
      </w:r>
      <w:r>
        <w:softHyphen/>
        <w:t>nalo všechny vzruchy, jimiž se lidé v dobách klidných bavili, tedy i porotu. Zájem publika ovšem neutuchá, neboť lidové soudy dostaly novou funkci: lidé, naslou</w:t>
      </w:r>
      <w:r>
        <w:softHyphen/>
        <w:t xml:space="preserve">chajíce pohnutému osudu </w:t>
      </w:r>
      <w:r>
        <w:t>jednotlivce, zapomínají na osud svůj. Porota je narkotikum jako biograf, divadlo, zábavná kniha. A narkotikum útěšné, neboř nakonec si každý po</w:t>
      </w:r>
      <w:r>
        <w:softHyphen/>
        <w:t>sluchač spokojeně řekl: Došli spravedlivé odplaty. A ode</w:t>
      </w:r>
      <w:r>
        <w:softHyphen/>
        <w:t>šel domů s příjemným pocitem, že sám je spravedlivý a b</w:t>
      </w:r>
      <w:r>
        <w:t>ezúhonný člověk.</w:t>
      </w:r>
    </w:p>
    <w:p w:rsidR="00500724" w:rsidRDefault="00F30FB8">
      <w:pPr>
        <w:pStyle w:val="Zkladntext100"/>
        <w:shd w:val="clear" w:color="auto" w:fill="auto"/>
        <w:spacing w:line="228" w:lineRule="auto"/>
        <w:ind w:firstLine="260"/>
      </w:pPr>
      <w:r>
        <w:t>A proti nadání tentokráte nepotkal kameloty, kteří by ve zvláštním vydání přinášeli rozsudek pět minut po tom, kdy byl vynesen. Jiné zajímavější zprávy plní dnes první strany novin.</w:t>
      </w:r>
    </w:p>
    <w:p w:rsidR="00500724" w:rsidRDefault="00F30FB8">
      <w:pPr>
        <w:pStyle w:val="Zkladntext100"/>
        <w:shd w:val="clear" w:color="auto" w:fill="auto"/>
        <w:spacing w:line="223" w:lineRule="auto"/>
        <w:ind w:firstLine="260"/>
      </w:pPr>
      <w:r>
        <w:t>Takto se projevují poslední události vnějším způsobem v s</w:t>
      </w:r>
      <w:r>
        <w:t>oudní síni. Ale domníváme se, že působí i vnitřně. Nejistota, v níž jsme poslední léta žili, přesvědčení někte</w:t>
      </w:r>
      <w:r>
        <w:softHyphen/>
        <w:t>rých, že starý svět i se svými mravními základy spěje k rozvratu, jakýsi chiliasmus, že nadchází konec, nepo</w:t>
      </w:r>
      <w:r>
        <w:softHyphen/>
        <w:t>chybně se projevují v životě celé sp</w:t>
      </w:r>
      <w:r>
        <w:t>olečnosti. A přede</w:t>
      </w:r>
      <w:r>
        <w:softHyphen/>
        <w:t xml:space="preserve">vším mají následky u lidí charakterově málo odolných a nějakým způsobem již podlomených. Mravní zásady, manželství, soukromý majetek, úcta k druhému člověku, to všechno ustupuje do pozadí. Nezdá se to důležitým. Jako kdysi ve válce lidé </w:t>
      </w:r>
      <w:r>
        <w:t>si namnoze říkají: sCo užiješ, to máš.« Proto po přechodném vyprázdnění nočních místno</w:t>
      </w:r>
      <w:r>
        <w:softHyphen/>
        <w:t>stí v říjnových událostech se teď zase všechny zábavní podniky naplnily. Lidé sice šetří, nevyhazují peníze ztře</w:t>
      </w:r>
      <w:r>
        <w:softHyphen/>
        <w:t>štěně, neboř nevědí, nebudou-li jich potřebovat, ale ne</w:t>
      </w:r>
      <w:r>
        <w:softHyphen/>
      </w:r>
      <w:r>
        <w:t>chtějí být doma sami. Nabyli neurčitého pocitu, že musí užívat život plnými doušky, jak se říkávalo v ctihodných románech. A protože dosti lidí nedovede stanovit, co se jim na životě nejvíce líbí, dělají si zábavu podle druhých. Popíjejí, vysedávají v nočn</w:t>
      </w:r>
      <w:r>
        <w:t>ích podnicích a přehánějí se</w:t>
      </w:r>
      <w:r>
        <w:softHyphen/>
        <w:t>xuální touhy do ztřeštěnosti. Mohou z toho být jen roz</w:t>
      </w:r>
      <w:r>
        <w:softHyphen/>
        <w:t>vody a rozluky. Ale u lidí, kteří mají nějaký defekt, způ</w:t>
      </w:r>
      <w:r>
        <w:softHyphen/>
        <w:t>sobený výchovou nebo jinými okolnostmi, může dojít i ke konfliktu se zákonem.</w:t>
      </w:r>
    </w:p>
    <w:p w:rsidR="00500724" w:rsidRDefault="00F30FB8">
      <w:pPr>
        <w:pStyle w:val="Zkladntext100"/>
        <w:shd w:val="clear" w:color="auto" w:fill="auto"/>
        <w:spacing w:line="223" w:lineRule="auto"/>
        <w:ind w:firstLine="0"/>
        <w:jc w:val="center"/>
      </w:pPr>
      <w:r>
        <w:t>•</w:t>
      </w:r>
    </w:p>
    <w:p w:rsidR="00500724" w:rsidRDefault="00F30FB8">
      <w:pPr>
        <w:pStyle w:val="Zkladntext100"/>
        <w:shd w:val="clear" w:color="auto" w:fill="auto"/>
        <w:spacing w:line="218" w:lineRule="auto"/>
        <w:ind w:firstLine="260"/>
      </w:pPr>
      <w:r>
        <w:t>O tom, jak působí výchova na chara</w:t>
      </w:r>
      <w:r>
        <w:t>kter člověka, bylo napsáno již mnoho moudrých knih, které celkem opako</w:t>
      </w:r>
      <w:r>
        <w:softHyphen/>
        <w:t>valy výrok kteréhosi jesuity, jenž žádal, aby mu byla svěřena výchova dítěte do šesti let a pak už je svěří kaž</w:t>
      </w:r>
      <w:r>
        <w:softHyphen/>
        <w:t>dému. Na výchově dítěte v útlém věku nejvíc záleží. Rozmazlené dítě, i dí</w:t>
      </w:r>
      <w:r>
        <w:t>tě držené příliš přísně, obě mohou v dospělosti špatně skončil. Ale poslední případy u po</w:t>
      </w:r>
      <w:r>
        <w:softHyphen/>
        <w:t>roty ukázaly, že značné procento obžalovaných hájí se fakty: že byli dětmi nemanželskými, že byli vychováni v ústavech nebo že byl u nich doma rozvrácený život.</w:t>
      </w:r>
    </w:p>
    <w:p w:rsidR="00500724" w:rsidRDefault="00F30FB8">
      <w:pPr>
        <w:pStyle w:val="Zkladntext100"/>
        <w:shd w:val="clear" w:color="auto" w:fill="auto"/>
        <w:spacing w:line="218" w:lineRule="auto"/>
        <w:ind w:firstLine="260"/>
        <w:sectPr w:rsidR="00500724">
          <w:footnotePr>
            <w:numFmt w:val="chicago"/>
            <w:numRestart w:val="eachPage"/>
          </w:footnotePr>
          <w:pgSz w:w="11909" w:h="16834"/>
          <w:pgMar w:top="1479" w:right="925" w:bottom="836" w:left="568" w:header="0" w:footer="3" w:gutter="0"/>
          <w:cols w:num="2" w:space="100"/>
          <w:noEndnote/>
          <w:docGrid w:linePitch="360"/>
        </w:sectPr>
      </w:pPr>
      <w:r>
        <w:t>Příznačný je příběh osmadvacetiletého Antonína Petr</w:t>
      </w:r>
      <w:r>
        <w:softHyphen/>
        <w:t>žilky, pekařského pomocníka z Dušníků. Tento muž v roce 1933 hodil svou milou do Vltavy a dostal za to dvě léta těžkého žaláře. V roce 1936 napadl na vojně četaře bod</w:t>
      </w:r>
      <w:r>
        <w:softHyphen/>
        <w:t>lem,- da</w:t>
      </w:r>
      <w:r>
        <w:t>lší dvě léta žaláře. V roce 1935 hodil svou ba</w:t>
      </w:r>
      <w:r>
        <w:softHyphen/>
        <w:t xml:space="preserve">bičku do studny, ale pak ji zase vytáhl. Babička tento pokus vraždy neudala. </w:t>
      </w:r>
      <w:r>
        <w:rPr>
          <w:i/>
          <w:iCs/>
        </w:rPr>
        <w:t>7.</w:t>
      </w:r>
      <w:r>
        <w:t xml:space="preserve"> září 1938 tuto babičku utloukl kladivem. Byl nyní odsouzen k trestu smrti. Tento muž byl za své činy plně odpovědný. Ale jeho živ</w:t>
      </w:r>
      <w:r>
        <w:t>otní průběh bylo skoro možno vypočítat na prstech: Otec mu záhy umřel, matka neměla čas se o něho starat. Vyrůstal mezi cizími lidmi a jeho nenávist ke společnosti začala už tehdy, kdy mezi ostatními kluky stále ještě musil nosit sukně nebo zástěru. K této</w:t>
      </w:r>
      <w:r>
        <w:t xml:space="preserve"> chabé výchově přistoupil ještě ty</w:t>
      </w:r>
      <w:r>
        <w:softHyphen/>
        <w:t xml:space="preserve">pický zločinecký rys: naprostý mravní defekt. Nepociťuje lítost nad svými obětmi, ale také o sebe nemá strach a snáší lehce každou bolest. Mluvil o svých zločinech s naprostou veselostí. Ale při tom dával najevo, že má o </w:t>
      </w:r>
      <w:r>
        <w:t>světě své mínění. Sám se udělal soudcem světa, který mu připadá výstřední. On je jeho mírou, jeho soudcem. Tento asociální typ je nebezpečný společnosti. Je to jistě výjiniJdh. Ale v menším měřítku jej potkáváte častěji: Při</w:t>
      </w:r>
      <w:r>
        <w:softHyphen/>
        <w:t>bývá lidí, kteří myslí jen na s</w:t>
      </w:r>
      <w:r>
        <w:t>ebe a posuzují celou spo-</w:t>
      </w:r>
    </w:p>
    <w:p w:rsidR="00500724" w:rsidRDefault="00F30FB8">
      <w:pPr>
        <w:spacing w:line="14" w:lineRule="exact"/>
      </w:pPr>
      <w:r>
        <w:rPr>
          <w:noProof/>
        </w:rPr>
        <mc:AlternateContent>
          <mc:Choice Requires="wps">
            <w:drawing>
              <wp:anchor distT="0" distB="82550" distL="114300" distR="1028700" simplePos="0" relativeHeight="125829698" behindDoc="0" locked="0" layoutInCell="1" allowOverlap="1">
                <wp:simplePos x="0" y="0"/>
                <wp:positionH relativeFrom="page">
                  <wp:posOffset>3070225</wp:posOffset>
                </wp:positionH>
                <wp:positionV relativeFrom="paragraph">
                  <wp:posOffset>12700</wp:posOffset>
                </wp:positionV>
                <wp:extent cx="381000" cy="384175"/>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381000" cy="384175"/>
                        </a:xfrm>
                        <a:prstGeom prst="rect">
                          <a:avLst/>
                        </a:prstGeom>
                        <a:noFill/>
                      </wps:spPr>
                      <wps:txbx>
                        <w:txbxContent>
                          <w:p w:rsidR="00500724" w:rsidRDefault="00F30FB8">
                            <w:pPr>
                              <w:pStyle w:val="Nadpis90"/>
                              <w:keepNext/>
                              <w:keepLines/>
                              <w:shd w:val="clear" w:color="auto" w:fill="auto"/>
                              <w:spacing w:after="0"/>
                              <w:rPr>
                                <w:sz w:val="42"/>
                                <w:szCs w:val="42"/>
                              </w:rPr>
                            </w:pPr>
                            <w:bookmarkStart w:id="313" w:name="bookmark312"/>
                            <w:r>
                              <w:rPr>
                                <w:rFonts w:ascii="Times New Roman" w:eastAsia="Times New Roman" w:hAnsi="Times New Roman" w:cs="Times New Roman"/>
                                <w:w w:val="80"/>
                                <w:sz w:val="42"/>
                                <w:szCs w:val="42"/>
                                <w:lang w:val="en-US" w:eastAsia="en-US" w:bidi="en-US"/>
                              </w:rPr>
                              <w:t>Pffl</w:t>
                            </w:r>
                            <w:bookmarkEnd w:id="313"/>
                          </w:p>
                        </w:txbxContent>
                      </wps:txbx>
                      <wps:bodyPr lIns="0" tIns="0" rIns="0" bIns="0">
                        <a:spAutoFit/>
                      </wps:bodyPr>
                    </wps:wsp>
                  </a:graphicData>
                </a:graphic>
              </wp:anchor>
            </w:drawing>
          </mc:Choice>
          <mc:Fallback>
            <w:pict>
              <v:shape id="_x0000_s1347" type="#_x0000_t202" style="position:absolute;margin-left:241.75pt;margin-top:1.pt;width:30.pt;height:30.25pt;z-index:-125829055;mso-wrap-distance-left:9.pt;mso-wrap-distance-right:81.pt;mso-wrap-distance-bottom:6.5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rPr>
                          <w:sz w:val="42"/>
                          <w:szCs w:val="42"/>
                        </w:rPr>
                      </w:pPr>
                      <w:bookmarkStart w:id="312" w:name="bookmark312"/>
                      <w:r>
                        <w:rPr>
                          <w:rFonts w:ascii="Times New Roman" w:eastAsia="Times New Roman" w:hAnsi="Times New Roman" w:cs="Times New Roman"/>
                          <w:color w:val="000000"/>
                          <w:spacing w:val="0"/>
                          <w:w w:val="80"/>
                          <w:position w:val="0"/>
                          <w:sz w:val="42"/>
                          <w:szCs w:val="42"/>
                          <w:shd w:val="clear" w:color="auto" w:fill="auto"/>
                          <w:lang w:val="en-US" w:eastAsia="en-US" w:bidi="en-US"/>
                        </w:rPr>
                        <w:t>Pffl</w:t>
                      </w:r>
                      <w:bookmarkEnd w:id="312"/>
                    </w:p>
                  </w:txbxContent>
                </v:textbox>
                <w10:wrap type="topAndBottom" anchorx="page"/>
              </v:shape>
            </w:pict>
          </mc:Fallback>
        </mc:AlternateContent>
      </w:r>
      <w:r>
        <w:rPr>
          <w:noProof/>
        </w:rPr>
        <mc:AlternateContent>
          <mc:Choice Requires="wps">
            <w:drawing>
              <wp:anchor distT="121920" distB="115570" distL="501650" distR="647700" simplePos="0" relativeHeight="125829700" behindDoc="0" locked="0" layoutInCell="1" allowOverlap="1">
                <wp:simplePos x="0" y="0"/>
                <wp:positionH relativeFrom="page">
                  <wp:posOffset>3456940</wp:posOffset>
                </wp:positionH>
                <wp:positionV relativeFrom="paragraph">
                  <wp:posOffset>134620</wp:posOffset>
                </wp:positionV>
                <wp:extent cx="374650" cy="228600"/>
                <wp:effectExtent l="0" t="0" r="0" b="0"/>
                <wp:wrapTopAndBottom/>
                <wp:docPr id="323" name="Shape 323"/>
                <wp:cNvGraphicFramePr/>
                <a:graphic xmlns:a="http://schemas.openxmlformats.org/drawingml/2006/main">
                  <a:graphicData uri="http://schemas.microsoft.com/office/word/2010/wordprocessingShape">
                    <wps:wsp>
                      <wps:cNvSpPr txBox="1"/>
                      <wps:spPr>
                        <a:xfrm>
                          <a:off x="0" y="0"/>
                          <a:ext cx="374650" cy="228600"/>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28"/>
                                <w:szCs w:val="28"/>
                              </w:rPr>
                            </w:pPr>
                            <w:r>
                              <w:rPr>
                                <w:rFonts w:ascii="Arial" w:eastAsia="Arial" w:hAnsi="Arial" w:cs="Arial"/>
                                <w:color w:val="FFFFFF"/>
                                <w:sz w:val="28"/>
                                <w:szCs w:val="28"/>
                              </w:rPr>
                              <w:t>•jim</w:t>
                            </w:r>
                          </w:p>
                        </w:txbxContent>
                      </wps:txbx>
                      <wps:bodyPr lIns="0" tIns="0" rIns="0" bIns="0">
                        <a:spAutoFit/>
                      </wps:bodyPr>
                    </wps:wsp>
                  </a:graphicData>
                </a:graphic>
              </wp:anchor>
            </w:drawing>
          </mc:Choice>
          <mc:Fallback>
            <w:pict>
              <v:shape id="_x0000_s1349" type="#_x0000_t202" style="position:absolute;margin-left:272.19999999999999pt;margin-top:10.6pt;width:29.5pt;height:18.pt;z-index:-125829053;mso-wrap-distance-left:39.5pt;mso-wrap-distance-top:9.5999999999999996pt;mso-wrap-distance-right:51.pt;mso-wrap-distance-bottom:9.0999999999999996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8"/>
                          <w:szCs w:val="28"/>
                        </w:rPr>
                      </w:pPr>
                      <w:r>
                        <w:rPr>
                          <w:rFonts w:ascii="Arial" w:eastAsia="Arial" w:hAnsi="Arial" w:cs="Arial"/>
                          <w:color w:val="FFFFFF"/>
                          <w:spacing w:val="0"/>
                          <w:w w:val="100"/>
                          <w:position w:val="0"/>
                          <w:sz w:val="28"/>
                          <w:szCs w:val="28"/>
                          <w:shd w:val="clear" w:color="auto" w:fill="auto"/>
                          <w:lang w:val="cs-CZ" w:eastAsia="cs-CZ" w:bidi="cs-CZ"/>
                        </w:rPr>
                        <w:t>•jim</w:t>
                      </w:r>
                    </w:p>
                  </w:txbxContent>
                </v:textbox>
                <w10:wrap type="topAndBottom" anchorx="page"/>
              </v:shape>
            </w:pict>
          </mc:Fallback>
        </mc:AlternateContent>
      </w:r>
      <w:r>
        <w:rPr>
          <w:noProof/>
        </w:rPr>
        <mc:AlternateContent>
          <mc:Choice Requires="wps">
            <w:drawing>
              <wp:anchor distT="57785" distB="76200" distL="903605" distR="114300" simplePos="0" relativeHeight="125829702" behindDoc="0" locked="0" layoutInCell="1" allowOverlap="1">
                <wp:simplePos x="0" y="0"/>
                <wp:positionH relativeFrom="page">
                  <wp:posOffset>3859530</wp:posOffset>
                </wp:positionH>
                <wp:positionV relativeFrom="paragraph">
                  <wp:posOffset>70485</wp:posOffset>
                </wp:positionV>
                <wp:extent cx="506095" cy="332105"/>
                <wp:effectExtent l="0" t="0" r="0" b="0"/>
                <wp:wrapTopAndBottom/>
                <wp:docPr id="325" name="Shape 325"/>
                <wp:cNvGraphicFramePr/>
                <a:graphic xmlns:a="http://schemas.openxmlformats.org/drawingml/2006/main">
                  <a:graphicData uri="http://schemas.microsoft.com/office/word/2010/wordprocessingShape">
                    <wps:wsp>
                      <wps:cNvSpPr txBox="1"/>
                      <wps:spPr>
                        <a:xfrm>
                          <a:off x="0" y="0"/>
                          <a:ext cx="506095" cy="332105"/>
                        </a:xfrm>
                        <a:prstGeom prst="rect">
                          <a:avLst/>
                        </a:prstGeom>
                        <a:noFill/>
                      </wps:spPr>
                      <wps:txbx>
                        <w:txbxContent>
                          <w:p w:rsidR="00500724" w:rsidRDefault="00F30FB8">
                            <w:pPr>
                              <w:pStyle w:val="Nadpis90"/>
                              <w:keepNext/>
                              <w:keepLines/>
                              <w:shd w:val="clear" w:color="auto" w:fill="auto"/>
                              <w:spacing w:after="0"/>
                              <w:rPr>
                                <w:sz w:val="42"/>
                                <w:szCs w:val="42"/>
                              </w:rPr>
                            </w:pPr>
                            <w:bookmarkStart w:id="314" w:name="bookmark313"/>
                            <w:r>
                              <w:rPr>
                                <w:rFonts w:ascii="Times New Roman" w:eastAsia="Times New Roman" w:hAnsi="Times New Roman" w:cs="Times New Roman"/>
                                <w:w w:val="80"/>
                                <w:sz w:val="42"/>
                                <w:szCs w:val="42"/>
                                <w:lang w:val="en-US" w:eastAsia="en-US" w:bidi="en-US"/>
                              </w:rPr>
                              <w:t>ost&gt;</w:t>
                            </w:r>
                            <w:bookmarkEnd w:id="314"/>
                          </w:p>
                        </w:txbxContent>
                      </wps:txbx>
                      <wps:bodyPr lIns="0" tIns="0" rIns="0" bIns="0">
                        <a:spAutoFit/>
                      </wps:bodyPr>
                    </wps:wsp>
                  </a:graphicData>
                </a:graphic>
              </wp:anchor>
            </w:drawing>
          </mc:Choice>
          <mc:Fallback>
            <w:pict>
              <v:shape id="_x0000_s1351" type="#_x0000_t202" style="position:absolute;margin-left:303.89999999999998pt;margin-top:5.5499999999999998pt;width:39.850000000000001pt;height:26.149999999999999pt;z-index:-125829051;mso-wrap-distance-left:71.150000000000006pt;mso-wrap-distance-top:4.5499999999999998pt;mso-wrap-distance-right:9.pt;mso-wrap-distance-bottom:6.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rPr>
                          <w:sz w:val="42"/>
                          <w:szCs w:val="42"/>
                        </w:rPr>
                      </w:pPr>
                      <w:bookmarkStart w:id="313" w:name="bookmark313"/>
                      <w:r>
                        <w:rPr>
                          <w:rFonts w:ascii="Times New Roman" w:eastAsia="Times New Roman" w:hAnsi="Times New Roman" w:cs="Times New Roman"/>
                          <w:color w:val="000000"/>
                          <w:spacing w:val="0"/>
                          <w:w w:val="80"/>
                          <w:position w:val="0"/>
                          <w:sz w:val="42"/>
                          <w:szCs w:val="42"/>
                          <w:shd w:val="clear" w:color="auto" w:fill="auto"/>
                          <w:lang w:val="en-US" w:eastAsia="en-US" w:bidi="en-US"/>
                        </w:rPr>
                        <w:t>ost&gt;</w:t>
                      </w:r>
                      <w:bookmarkEnd w:id="313"/>
                    </w:p>
                  </w:txbxContent>
                </v:textbox>
                <w10:wrap type="topAndBottom" anchorx="page"/>
              </v:shape>
            </w:pict>
          </mc:Fallback>
        </mc:AlternateContent>
      </w:r>
    </w:p>
    <w:p w:rsidR="00500724" w:rsidRDefault="00F30FB8">
      <w:pPr>
        <w:pStyle w:val="Zkladntext100"/>
        <w:shd w:val="clear" w:color="auto" w:fill="auto"/>
        <w:spacing w:after="160" w:line="228" w:lineRule="auto"/>
        <w:ind w:firstLine="0"/>
      </w:pPr>
      <w:r>
        <w:t xml:space="preserve">lečnosí jen </w:t>
      </w:r>
      <w:r>
        <w:rPr>
          <w:lang w:val="en-US" w:eastAsia="en-US" w:bidi="en-US"/>
        </w:rPr>
        <w:t xml:space="preserve">s </w:t>
      </w:r>
      <w:r>
        <w:t>hlediska vlastního prospěchu. Kdyby jich byla většina, budeme se požírat jako vlci.</w:t>
      </w:r>
    </w:p>
    <w:p w:rsidR="00500724" w:rsidRDefault="00F30FB8">
      <w:pPr>
        <w:pStyle w:val="Zkladntext100"/>
        <w:shd w:val="clear" w:color="auto" w:fill="auto"/>
        <w:spacing w:line="218" w:lineRule="auto"/>
        <w:ind w:firstLine="300"/>
      </w:pPr>
      <w:r>
        <w:t>Do jejich řady patří na příklad také nový typ loupež</w:t>
      </w:r>
      <w:r>
        <w:softHyphen/>
        <w:t xml:space="preserve">níků. Dosud před soud předstupovali lidé </w:t>
      </w:r>
      <w:r>
        <w:t>stigmatisovaní lupič^lvím jen v podobě tuláků, kteří okradli malou hol</w:t>
      </w:r>
      <w:r>
        <w:softHyphen/>
        <w:t>čičku^ nebo hladovců, kteří v pusté ulici vyrvali děvčeti kabelku. Ale už jsme spatřili před porotou také dva ele- oantní muže, kteří provedli svůj čin s veškerou rozmysl- ností a bez m</w:t>
      </w:r>
      <w:r>
        <w:t>ravních skrupulí. Byli to lidé, kteří měli z če</w:t>
      </w:r>
      <w:r>
        <w:softHyphen/>
        <w:t>ho být živi, netrpěli nouzí, mohli se poctivě živit, ale chladnokrevně se rozhodli, že si loupeží pomohou k pe</w:t>
      </w:r>
      <w:r>
        <w:softHyphen/>
        <w:t>nězům. Jeden z nich, třiadvacetiletý soukromý úředník Josei Šafařík z Břevnova, odsouzený na šest</w:t>
      </w:r>
      <w:r>
        <w:t xml:space="preserve"> let do těž</w:t>
      </w:r>
      <w:r>
        <w:softHyphen/>
        <w:t>kého žaláře, docela jistě - podle vlastního tvrzení -. sa divá na zločin jako na zaměstnání, která dobře vynáší, jen k němu člověk musí mít odvahu. Žalář pro něho není mo</w:t>
      </w:r>
      <w:r>
        <w:softHyphen/>
        <w:t>rálním poučením, ale risikem a školou k dalšímu vzdělání.</w:t>
      </w:r>
    </w:p>
    <w:p w:rsidR="00500724" w:rsidRDefault="00F30FB8">
      <w:pPr>
        <w:pStyle w:val="Zkladntext100"/>
        <w:shd w:val="clear" w:color="auto" w:fill="auto"/>
        <w:spacing w:line="216" w:lineRule="auto"/>
        <w:ind w:firstLine="300"/>
      </w:pPr>
      <w:r>
        <w:t>Také Šafařík pl</w:t>
      </w:r>
      <w:r>
        <w:t>akal efektně nad svým mládím: Od své</w:t>
      </w:r>
      <w:r>
        <w:softHyphen/>
        <w:t xml:space="preserve">ho čtvrtého roku byl v cizích rukou. Vychovávala ho nyní již zemřelá teta. Měl se učit pekařem, toužil po strojnictví. Nechoval se pořádně a proto ho poslali do vychovatelny </w:t>
      </w:r>
      <w:r>
        <w:rPr>
          <w:b/>
          <w:bCs/>
          <w:sz w:val="20"/>
          <w:szCs w:val="20"/>
        </w:rPr>
        <w:t xml:space="preserve">v </w:t>
      </w:r>
      <w:r>
        <w:t>Opatovicích. V roce 1936 byl odsouzen na ro</w:t>
      </w:r>
      <w:r>
        <w:t>k do těž</w:t>
      </w:r>
      <w:r>
        <w:softHyphen/>
        <w:t>kého žaláře, protože páchal podvody vydávaje se za de</w:t>
      </w:r>
      <w:r>
        <w:softHyphen/>
        <w:t>tektiva, kromě toho byl potrestán osmi měsíci pro krádeže. Saíařík je zase výsledkem rovnice: špatná výchova plus ztráta víry v účelnost mravních společenských zákonů.</w:t>
      </w:r>
    </w:p>
    <w:p w:rsidR="00500724" w:rsidRDefault="00F30FB8">
      <w:pPr>
        <w:pStyle w:val="Zkladntext100"/>
        <w:shd w:val="clear" w:color="auto" w:fill="auto"/>
        <w:spacing w:line="216" w:lineRule="auto"/>
        <w:ind w:firstLine="300"/>
      </w:pPr>
      <w:r>
        <w:t xml:space="preserve">Takových mladíků je víc: </w:t>
      </w:r>
      <w:r>
        <w:t>Touží po tom, aby se mohli povalovat po kavárnách, mít elegantní šaty, pěkné part</w:t>
      </w:r>
      <w:r>
        <w:softHyphen/>
        <w:t>nerky a vlastní auto. Většinou jsou souzeni ještě soudy pro mladistvé. Ale nedávno byli tři takoví mladíci, kteří chytře okradli obchodníka Kynzla, odsouzeni senátem pražskéh</w:t>
      </w:r>
      <w:r>
        <w:t>o krajského trestního soudu, každý na rok do těž</w:t>
      </w:r>
      <w:r>
        <w:softHyphen/>
        <w:t>kého žaláře, prozatím podmíněně s přísnou podmínkou: Během pěti let, v nichž běží podmíněná lhůta, jim není dovoleno vkročit do žádné noční místnosti. A také v ka</w:t>
      </w:r>
      <w:r>
        <w:softHyphen/>
        <w:t>várně a v hostinci nesmějí prodlévat kromě d</w:t>
      </w:r>
      <w:r>
        <w:t xml:space="preserve">oby obvyklé k jídlu. A kdyby přece byli zahlédnuti, jak se povalují </w:t>
      </w:r>
      <w:r>
        <w:rPr>
          <w:b/>
          <w:bCs/>
          <w:sz w:val="20"/>
          <w:szCs w:val="20"/>
        </w:rPr>
        <w:t xml:space="preserve">v </w:t>
      </w:r>
      <w:r>
        <w:t>jiné hodině u kavárenských oken, utrácejíce peníze, které nevydělali, půjdou do žaláře.</w:t>
      </w:r>
    </w:p>
    <w:p w:rsidR="00500724" w:rsidRDefault="00F30FB8">
      <w:pPr>
        <w:pStyle w:val="Zkladntext100"/>
        <w:shd w:val="clear" w:color="auto" w:fill="auto"/>
        <w:spacing w:line="218" w:lineRule="auto"/>
        <w:ind w:firstLine="300"/>
      </w:pPr>
      <w:r>
        <w:t>Několik zločinů, souzených nyní pražskou porotou, vzniklo z konfliktu mezi lidmi, kteří vyrostli a</w:t>
      </w:r>
      <w:r>
        <w:t xml:space="preserve"> uznávají mravní řád své společnosti, a mezi lidmi, kteří se řídí jen vlastním sobectvím.</w:t>
      </w:r>
    </w:p>
    <w:p w:rsidR="00500724" w:rsidRDefault="00F30FB8">
      <w:pPr>
        <w:pStyle w:val="Zkladntext100"/>
        <w:shd w:val="clear" w:color="auto" w:fill="auto"/>
        <w:spacing w:line="218" w:lineRule="auto"/>
        <w:ind w:firstLine="300"/>
      </w:pPr>
      <w:r>
        <w:t>Tak dvaapadesáti] eíý hutník František Sajdl z Unhoště byl odsouzen pro zabití svého syna na čtyři léta do těž</w:t>
      </w:r>
      <w:r>
        <w:softHyphen/>
        <w:t>kého žaláře. Zabil syna kapesním nožem proto, že mu syn</w:t>
      </w:r>
      <w:r>
        <w:t xml:space="preserve"> vytýkal nepořádný život. Sajdlova žena byla už přes rok upoutána nemocí na lože. Sajdl často vyslovoval před ní touhu, aby zemřela. A říkal to hodně neomaleně. Peníze si ponechával pro svou milou. O celou domácnost se musil starat jeho osmadvacetiletý syn</w:t>
      </w:r>
      <w:r>
        <w:t xml:space="preserve"> Eduard. Když byl povolán na vojnu a mohl vzdálen od rodiny uvažovat o všem, roz</w:t>
      </w:r>
      <w:r>
        <w:softHyphen/>
        <w:t>hodl se, že udělá pořádek. Vrátil se, napomenul otce, před</w:t>
      </w:r>
      <w:r>
        <w:softHyphen/>
        <w:t>stavuje svět zásad a pořádku - a zemřel v několika oka</w:t>
      </w:r>
      <w:r>
        <w:softHyphen/>
        <w:t>mžicích s probodeným srdcem.</w:t>
      </w:r>
    </w:p>
    <w:p w:rsidR="00500724" w:rsidRDefault="00F30FB8">
      <w:pPr>
        <w:pStyle w:val="Zkladntext100"/>
        <w:shd w:val="clear" w:color="auto" w:fill="auto"/>
        <w:spacing w:line="214" w:lineRule="auto"/>
        <w:ind w:firstLine="300"/>
      </w:pPr>
      <w:r>
        <w:t xml:space="preserve">Jedenapadesátiletý železničář </w:t>
      </w:r>
      <w:r>
        <w:t>František Cibulka ze Ze- měch u Loun měl výchovu slabou: Byl ze sedmi dětí, musil doma pomáhat, ničemu se nevyučil, ve škole ne</w:t>
      </w:r>
      <w:r>
        <w:softHyphen/>
        <w:t xml:space="preserve">prospíval, pak pomáhal na poli, stal se nádeníkem. Ve válce byl zraněn do nohy a rána ho zmrzačila. Ale měl </w:t>
      </w:r>
      <w:r>
        <w:rPr>
          <w:b/>
          <w:bCs/>
          <w:sz w:val="20"/>
          <w:szCs w:val="20"/>
        </w:rPr>
        <w:t xml:space="preserve">v </w:t>
      </w:r>
      <w:r>
        <w:t xml:space="preserve">sobě hodně mravní </w:t>
      </w:r>
      <w:r>
        <w:t>síly, neboť se vrátil, našel si místo na dráze, oženil se a zplodil čtyři děti. Mohl prožít svůj čas v chudobné spokojenosti. Ale jeho žena měla jiný ná</w:t>
      </w:r>
      <w:r>
        <w:softHyphen/>
        <w:t>zor na život: Toulala se po nocích a s cizími muži. Někdy se nevrátila i tři neděle. O děti se nestaral</w:t>
      </w:r>
      <w:r>
        <w:t xml:space="preserve">a. Cibulka ji utloukl měchačkou. Porota přisvědčila jen sedmi hlasy </w:t>
      </w:r>
      <w:r>
        <w:rPr>
          <w:b/>
          <w:bCs/>
          <w:sz w:val="20"/>
          <w:szCs w:val="20"/>
        </w:rPr>
        <w:t xml:space="preserve">k </w:t>
      </w:r>
      <w:r>
        <w:t>jeho vině a proto byl osvobozen.</w:t>
      </w:r>
    </w:p>
    <w:p w:rsidR="00500724" w:rsidRDefault="00F30FB8">
      <w:pPr>
        <w:pStyle w:val="Zkladntext100"/>
        <w:shd w:val="clear" w:color="auto" w:fill="auto"/>
        <w:spacing w:after="80" w:line="211" w:lineRule="auto"/>
        <w:ind w:firstLine="300"/>
        <w:rPr>
          <w:sz w:val="20"/>
          <w:szCs w:val="20"/>
        </w:rPr>
      </w:pPr>
      <w:r>
        <w:t xml:space="preserve">Podivný příběh o tom, jak lidé užívají, je loupež tři- cetileteho železničáře Františka Aubrechta. Je ženatý a má dítě. Ale v manželství se mu nelíbilo. Našel si jinou ženu, </w:t>
      </w:r>
      <w:r>
        <w:rPr>
          <w:b/>
          <w:bCs/>
          <w:sz w:val="20"/>
          <w:szCs w:val="20"/>
        </w:rPr>
        <w:t xml:space="preserve">o </w:t>
      </w:r>
      <w:r>
        <w:t>dvanáct let starší, také vdanou. Po několikaměsíční zná</w:t>
      </w:r>
      <w:r>
        <w:softHyphen/>
        <w:t>mosti se ji pokusil olou</w:t>
      </w:r>
      <w:r>
        <w:t xml:space="preserve">pit. A byl odsouzen na pět let do </w:t>
      </w:r>
      <w:r>
        <w:rPr>
          <w:b/>
          <w:bCs/>
          <w:sz w:val="20"/>
          <w:szCs w:val="20"/>
        </w:rPr>
        <w:t>těžkého žaláře.</w:t>
      </w:r>
    </w:p>
    <w:p w:rsidR="00500724" w:rsidRDefault="00F30FB8">
      <w:pPr>
        <w:pStyle w:val="Zkladntext100"/>
        <w:shd w:val="clear" w:color="auto" w:fill="auto"/>
        <w:spacing w:line="214" w:lineRule="auto"/>
      </w:pPr>
      <w:r>
        <w:t>Na pozadí těchto zločinů vynikne pak logické skloube</w:t>
      </w:r>
      <w:r>
        <w:softHyphen/>
        <w:t>ní mravních příčin, pro které došlo k násilné smrti krejčí</w:t>
      </w:r>
      <w:r>
        <w:softHyphen/>
        <w:t>ho Josefa Štěpána z Havelské ulice v Praze I.</w:t>
      </w:r>
    </w:p>
    <w:p w:rsidR="00500724" w:rsidRDefault="00F30FB8">
      <w:pPr>
        <w:pStyle w:val="Zkladntext100"/>
        <w:shd w:val="clear" w:color="auto" w:fill="auto"/>
        <w:spacing w:line="214" w:lineRule="auto"/>
      </w:pPr>
      <w:r>
        <w:t xml:space="preserve">Vnějškově tento případ připomíná jiné: způsobem </w:t>
      </w:r>
      <w:r>
        <w:t>pro</w:t>
      </w:r>
      <w:r>
        <w:softHyphen/>
        <w:t>vedení, ukrýváním stop, zapíráním obžalovaných. Ale je</w:t>
      </w:r>
      <w:r>
        <w:softHyphen/>
        <w:t>ho podstata skutečně tkví v této době zmatených morál</w:t>
      </w:r>
      <w:r>
        <w:softHyphen/>
        <w:t>ních hodnot a všeobecné nejistoty.</w:t>
      </w:r>
    </w:p>
    <w:p w:rsidR="00500724" w:rsidRDefault="00F30FB8">
      <w:pPr>
        <w:pStyle w:val="Zkladntext100"/>
        <w:shd w:val="clear" w:color="auto" w:fill="auto"/>
        <w:spacing w:line="216" w:lineRule="auto"/>
      </w:pPr>
      <w:r>
        <w:t>Každý z obžalovaných byl nějak špatně vybaven pro život: jedenaířicetiletý Alois Holub byl nemanželským dítě</w:t>
      </w:r>
      <w:r>
        <w:t>tem, které bylo do čtyř let vychováváno v zemském ústavě, pak půldruhého roku u obuvníka na venkově mezi desíti dětmi. Teprve pak si ho vzal otec do Prahy, ale to zase byla válka a nedostatek jídla.</w:t>
      </w:r>
    </w:p>
    <w:p w:rsidR="00500724" w:rsidRDefault="00F30FB8">
      <w:pPr>
        <w:pStyle w:val="Zkladntext100"/>
        <w:shd w:val="clear" w:color="auto" w:fill="auto"/>
        <w:spacing w:line="218" w:lineRule="auto"/>
      </w:pPr>
      <w:r>
        <w:t>Pětadvacetiletý Antonín Vlach se narodil na počátku války</w:t>
      </w:r>
      <w:r>
        <w:t xml:space="preserve">, po měšťanské škole se učil na dvou místech </w:t>
      </w:r>
      <w:r>
        <w:rPr>
          <w:b/>
          <w:bCs/>
          <w:sz w:val="20"/>
          <w:szCs w:val="20"/>
        </w:rPr>
        <w:t>truh</w:t>
      </w:r>
      <w:r>
        <w:rPr>
          <w:b/>
          <w:bCs/>
          <w:sz w:val="20"/>
          <w:szCs w:val="20"/>
        </w:rPr>
        <w:softHyphen/>
      </w:r>
      <w:r>
        <w:t>lářem, ale byl to chlapec slabé vůle, brzy se spojil sa špatnými kamarády. Záhy po svém čtrnáctém roku byl od</w:t>
      </w:r>
      <w:r>
        <w:softHyphen/>
        <w:t xml:space="preserve">souzen pro krádeže na sedm měsíců do těžkého </w:t>
      </w:r>
      <w:r>
        <w:rPr>
          <w:b/>
          <w:bCs/>
          <w:sz w:val="20"/>
          <w:szCs w:val="20"/>
        </w:rPr>
        <w:t xml:space="preserve">a </w:t>
      </w:r>
      <w:r>
        <w:t>nepod</w:t>
      </w:r>
      <w:r>
        <w:softHyphen/>
        <w:t>míněného žaláře. A pak byl ještě patnáctkrá</w:t>
      </w:r>
      <w:r>
        <w:t>t trestán.</w:t>
      </w:r>
    </w:p>
    <w:p w:rsidR="00500724" w:rsidRDefault="00F30FB8">
      <w:pPr>
        <w:pStyle w:val="Zkladntext100"/>
        <w:shd w:val="clear" w:color="auto" w:fill="auto"/>
        <w:spacing w:line="218" w:lineRule="auto"/>
      </w:pPr>
      <w:r>
        <w:t>Šestatřicetiletá Marie Štěpánové měla oba rodiče, byla dobře vychována, navštěvovala tři ročníky Ženského vý</w:t>
      </w:r>
      <w:r>
        <w:softHyphen/>
        <w:t xml:space="preserve">robního spolku, umí i cizí jazyky. Ale potkalo </w:t>
      </w:r>
      <w:r>
        <w:rPr>
          <w:b/>
          <w:bCs/>
          <w:sz w:val="20"/>
          <w:szCs w:val="20"/>
        </w:rPr>
        <w:t xml:space="preserve">ji jiné </w:t>
      </w:r>
      <w:r>
        <w:t>ne</w:t>
      </w:r>
      <w:r>
        <w:softHyphen/>
        <w:t xml:space="preserve">štěstí: Narodil se jí nemanželský chlapec, jehož </w:t>
      </w:r>
      <w:r>
        <w:rPr>
          <w:b/>
          <w:bCs/>
          <w:sz w:val="20"/>
          <w:szCs w:val="20"/>
        </w:rPr>
        <w:t xml:space="preserve">otec </w:t>
      </w:r>
      <w:r>
        <w:t>ujel do Ameriky a na dít</w:t>
      </w:r>
      <w:r>
        <w:t>ě skoro nic neplatil. Její názor o lid</w:t>
      </w:r>
      <w:r>
        <w:softHyphen/>
        <w:t>ské spravedlnosti dostal trhlinu.</w:t>
      </w:r>
    </w:p>
    <w:p w:rsidR="00500724" w:rsidRDefault="00F30FB8">
      <w:pPr>
        <w:pStyle w:val="Zkladntext100"/>
        <w:shd w:val="clear" w:color="auto" w:fill="auto"/>
        <w:spacing w:line="218" w:lineRule="auto"/>
      </w:pPr>
      <w:r>
        <w:t xml:space="preserve">Ze všech těchto lidí se snad mohli stát pořádní lidé, kdyby se narodili v době solidních mravních zásad </w:t>
      </w:r>
      <w:r>
        <w:rPr>
          <w:b/>
          <w:bCs/>
          <w:sz w:val="20"/>
          <w:szCs w:val="20"/>
        </w:rPr>
        <w:t xml:space="preserve">a </w:t>
      </w:r>
      <w:r>
        <w:t>ži</w:t>
      </w:r>
      <w:r>
        <w:softHyphen/>
        <w:t xml:space="preserve">votní jistoty. Ale začali chápat svět po válce, </w:t>
      </w:r>
      <w:r>
        <w:rPr>
          <w:b/>
          <w:bCs/>
          <w:sz w:val="20"/>
          <w:szCs w:val="20"/>
        </w:rPr>
        <w:t xml:space="preserve">v novém </w:t>
      </w:r>
      <w:r>
        <w:t xml:space="preserve">světě. Všechno se </w:t>
      </w:r>
      <w:r>
        <w:t xml:space="preserve">budovalo znova a lidé, kteří </w:t>
      </w:r>
      <w:r>
        <w:rPr>
          <w:b/>
          <w:bCs/>
          <w:sz w:val="20"/>
          <w:szCs w:val="20"/>
        </w:rPr>
        <w:t xml:space="preserve">ať už za </w:t>
      </w:r>
      <w:r>
        <w:t>války zvykli odříkání nebo hýření, si teď svorně dopřá</w:t>
      </w:r>
      <w:r>
        <w:softHyphen/>
        <w:t>vali všeho. Naučili se pochybovat o všech jistotách. Stá</w:t>
      </w:r>
      <w:r>
        <w:softHyphen/>
        <w:t>ty rostly a hroutily se. Lidé se kolem nich obohacovali jakýmikoliv prostředky. Pak přešlo několik klidnýc</w:t>
      </w:r>
      <w:r>
        <w:t>h let, kdy se věřilo na věčný mír a klidný rozvoj, jen občas po</w:t>
      </w:r>
      <w:r>
        <w:softHyphen/>
        <w:t xml:space="preserve">rušovaný ideologickými výbuchy zprava i zleva — </w:t>
      </w:r>
      <w:r>
        <w:rPr>
          <w:b/>
          <w:bCs/>
          <w:sz w:val="20"/>
          <w:szCs w:val="20"/>
        </w:rPr>
        <w:t xml:space="preserve">ale </w:t>
      </w:r>
      <w:r>
        <w:t xml:space="preserve">najednou byl zase konec. Svět se ocitl ve varu. </w:t>
      </w:r>
      <w:r>
        <w:rPr>
          <w:b/>
          <w:bCs/>
          <w:sz w:val="20"/>
          <w:szCs w:val="20"/>
        </w:rPr>
        <w:t xml:space="preserve">Všechno </w:t>
      </w:r>
      <w:r>
        <w:t>bylo v nejistotách. Jen dvě věci prozatím zůstávaly! Ma</w:t>
      </w:r>
      <w:r>
        <w:softHyphen/>
        <w:t>jetek a láska.</w:t>
      </w:r>
    </w:p>
    <w:p w:rsidR="00500724" w:rsidRDefault="00F30FB8">
      <w:pPr>
        <w:pStyle w:val="Zkladntext100"/>
        <w:shd w:val="clear" w:color="auto" w:fill="auto"/>
        <w:spacing w:line="218" w:lineRule="auto"/>
      </w:pPr>
      <w:r>
        <w:t>Štěpánovi pat</w:t>
      </w:r>
      <w:r>
        <w:t>řili k těm lidem, kteří chtějí užít, nasytit se života a znají jen ty nejprimitivnější prostředky k lo</w:t>
      </w:r>
      <w:r>
        <w:softHyphen/>
        <w:t>mu. Je pravda, jezdívali do přírody, měli chatu kdesi na Ztracené naději u Svatojánských proudů, ale povlovně se jejich zájem soustřeďoval jen na sexuáln</w:t>
      </w:r>
      <w:r>
        <w:t>í otázky. Bylo o tom v jejich bytě nalezeno dost fotografického i jiného materiálu. Při tom měli dost majetku - úřadům utajeného — aby mohli dělat, co chtěli. Také Alois Holub měl ně</w:t>
      </w:r>
      <w:r>
        <w:softHyphen/>
        <w:t>kolik afér milostného rázu. Antonín Vlach miloval přede</w:t>
      </w:r>
      <w:r>
        <w:softHyphen/>
        <w:t>vším alkohol. A k</w:t>
      </w:r>
      <w:r>
        <w:t>dyž byl opilý, počínal si jako blázen. Jen se podívejte na ty milostné romány ve zkratce:</w:t>
      </w:r>
    </w:p>
    <w:p w:rsidR="00500724" w:rsidRDefault="00F30FB8">
      <w:pPr>
        <w:pStyle w:val="Zkladntext100"/>
        <w:shd w:val="clear" w:color="auto" w:fill="auto"/>
        <w:spacing w:line="218" w:lineRule="auto"/>
      </w:pPr>
      <w:r>
        <w:t xml:space="preserve">Alois Holub měl s první ženou dítě, ale při tom sváděl její, rovněž vdanou sestru. Manželka se s ním dala rozvést, proto si našel jinou milenku. Byl odsouzen k 600 K </w:t>
      </w:r>
      <w:r>
        <w:t>mě</w:t>
      </w:r>
      <w:r>
        <w:softHyphen/>
        <w:t xml:space="preserve">síčních alimentů. Dával rozloučené ženě jen 100 K týdně a ona mu ještě několik let až do jeho zatčení prala </w:t>
      </w:r>
      <w:r>
        <w:rPr>
          <w:b/>
          <w:bCs/>
          <w:sz w:val="20"/>
          <w:szCs w:val="20"/>
        </w:rPr>
        <w:t xml:space="preserve">a </w:t>
      </w:r>
      <w:r>
        <w:t>uklí</w:t>
      </w:r>
      <w:r>
        <w:softHyphen/>
        <w:t>zela. Synkovi je už osm let. Milenka, pro kterou se rozvedl, mu půjčila 11.000 K. S bídou dostala zpět 4000 K - ale od paní Štěpánové. V t</w:t>
      </w:r>
      <w:r>
        <w:t xml:space="preserve">ajném přelíčení byly projednány </w:t>
      </w:r>
      <w:r>
        <w:rPr>
          <w:b/>
          <w:bCs/>
          <w:sz w:val="20"/>
          <w:szCs w:val="20"/>
        </w:rPr>
        <w:t>ně</w:t>
      </w:r>
      <w:r>
        <w:rPr>
          <w:b/>
          <w:bCs/>
          <w:sz w:val="20"/>
          <w:szCs w:val="20"/>
        </w:rPr>
        <w:softHyphen/>
      </w:r>
      <w:r>
        <w:t>které okolnosti těchto poměrů.</w:t>
      </w:r>
    </w:p>
    <w:p w:rsidR="00500724" w:rsidRDefault="00F30FB8">
      <w:pPr>
        <w:pStyle w:val="Zkladntext100"/>
        <w:shd w:val="clear" w:color="auto" w:fill="auto"/>
        <w:spacing w:line="218" w:lineRule="auto"/>
      </w:pPr>
      <w:r>
        <w:t>Marie Štěpánové s dr. Perlem měla hocha. Dr. Perl od</w:t>
      </w:r>
      <w:r>
        <w:softHyphen/>
        <w:t xml:space="preserve">jel do Ameriky, ale alimenty posílal jen zřídka. Hoch byl vychován babičkou a k matce se nesměl hlásit, neboť Štěpán si to nepřál. Musil </w:t>
      </w:r>
      <w:r>
        <w:t xml:space="preserve">babičce říkat imaminkoí a </w:t>
      </w:r>
      <w:r>
        <w:rPr>
          <w:b/>
          <w:bCs/>
          <w:sz w:val="20"/>
          <w:szCs w:val="20"/>
        </w:rPr>
        <w:t>dě</w:t>
      </w:r>
      <w:r>
        <w:rPr>
          <w:b/>
          <w:bCs/>
          <w:sz w:val="20"/>
          <w:szCs w:val="20"/>
        </w:rPr>
        <w:softHyphen/>
      </w:r>
      <w:r>
        <w:t>dečkovi statínkun. Po Perloví přišel Štěpán a jeho zase na</w:t>
      </w:r>
      <w:r>
        <w:softHyphen/>
        <w:t>hradil Holub.</w:t>
      </w:r>
    </w:p>
    <w:p w:rsidR="00500724" w:rsidRDefault="00F30FB8">
      <w:pPr>
        <w:pStyle w:val="Zkladntext100"/>
        <w:shd w:val="clear" w:color="auto" w:fill="auto"/>
        <w:spacing w:line="218" w:lineRule="auto"/>
      </w:pPr>
      <w:r>
        <w:t>Josef Štěpán sám měl dceru z prvního manželství. Man</w:t>
      </w:r>
      <w:r>
        <w:softHyphen/>
        <w:t xml:space="preserve">želství bylo rozvedeno pro nevěru s potomní druhou </w:t>
      </w:r>
      <w:r>
        <w:rPr>
          <w:b/>
          <w:bCs/>
          <w:sz w:val="20"/>
          <w:szCs w:val="20"/>
        </w:rPr>
        <w:t xml:space="preserve">jeho </w:t>
      </w:r>
      <w:r>
        <w:t>ženou. Na dceru alimenty nechtěl platit, musi</w:t>
      </w:r>
      <w:r>
        <w:t>ly být vy</w:t>
      </w:r>
      <w:r>
        <w:softHyphen/>
        <w:t>máhány exekučně, ale marně. Složil dvakrát manifesiační přísahu, ačkoliv v poslední době měl na knížkách 180.000 K a své druhé ženě dal briliantový náramek za 15.000 K. A v pozadí se rýsovala třetí žena — s kterou ho seznámil Holub, svůdce jeho d</w:t>
      </w:r>
      <w:r>
        <w:t>ruhé ženy.</w:t>
      </w:r>
    </w:p>
    <w:p w:rsidR="00500724" w:rsidRDefault="00F30FB8">
      <w:pPr>
        <w:pStyle w:val="Zkladntext100"/>
        <w:shd w:val="clear" w:color="auto" w:fill="auto"/>
        <w:spacing w:line="218" w:lineRule="auto"/>
        <w:ind w:firstLine="0"/>
        <w:jc w:val="right"/>
      </w:pPr>
      <w:r>
        <w:t xml:space="preserve">Čtyřicet svědků prošlo soudní síní. Někteří měli </w:t>
      </w:r>
      <w:r>
        <w:rPr>
          <w:b/>
          <w:bCs/>
          <w:sz w:val="20"/>
          <w:szCs w:val="20"/>
        </w:rPr>
        <w:t>na so</w:t>
      </w:r>
      <w:r>
        <w:rPr>
          <w:b/>
          <w:bCs/>
          <w:sz w:val="20"/>
          <w:szCs w:val="20"/>
        </w:rPr>
        <w:softHyphen/>
      </w:r>
      <w:r>
        <w:t>bě šaty, jež šila ruka zavražděného Štěpána. Maminky</w:t>
      </w:r>
    </w:p>
    <w:p w:rsidR="00500724" w:rsidRDefault="00F30FB8">
      <w:pPr>
        <w:pStyle w:val="Zkladntext100"/>
        <w:pBdr>
          <w:top w:val="single" w:sz="4" w:space="0" w:color="auto"/>
        </w:pBdr>
        <w:shd w:val="clear" w:color="auto" w:fill="auto"/>
        <w:spacing w:line="218" w:lineRule="auto"/>
        <w:ind w:firstLine="0"/>
      </w:pPr>
      <w:r>
        <w:t xml:space="preserve">souzených dětí plakaly a říkaly, že jejich děti byly hodná, jak </w:t>
      </w:r>
      <w:r>
        <w:rPr>
          <w:sz w:val="20"/>
          <w:szCs w:val="20"/>
        </w:rPr>
        <w:t xml:space="preserve">se </w:t>
      </w:r>
      <w:r>
        <w:t>to jenom mohlo stát?</w:t>
      </w:r>
    </w:p>
    <w:p w:rsidR="00500724" w:rsidRDefault="00F30FB8">
      <w:pPr>
        <w:pStyle w:val="Zkladntext100"/>
        <w:shd w:val="clear" w:color="auto" w:fill="auto"/>
        <w:spacing w:line="218" w:lineRule="auto"/>
        <w:ind w:firstLine="320"/>
      </w:pPr>
      <w:r>
        <w:t xml:space="preserve">Hle, jaký podivný čtyřúhelník: Bohatý manžel, </w:t>
      </w:r>
      <w:r>
        <w:t>který rád užíval světa, záletná žena, která chce spojit peníze svého manžela s láskou milence, zadlužený milenec, který chce odstranit Štěpána, věřitele, získat jeho ženu a ještě pe</w:t>
      </w:r>
      <w:r>
        <w:softHyphen/>
        <w:t xml:space="preserve">níze, </w:t>
      </w:r>
      <w:r>
        <w:rPr>
          <w:b/>
          <w:bCs/>
          <w:sz w:val="20"/>
          <w:szCs w:val="20"/>
        </w:rPr>
        <w:t xml:space="preserve">a </w:t>
      </w:r>
      <w:r>
        <w:t>konečně pomocník, který chce najít stálé zaměst</w:t>
      </w:r>
      <w:r>
        <w:softHyphen/>
        <w:t xml:space="preserve">náni u Holuba, </w:t>
      </w:r>
      <w:r>
        <w:t>finanční výpomoc a snad i příležitost k vydírání.</w:t>
      </w:r>
    </w:p>
    <w:p w:rsidR="00500724" w:rsidRDefault="00F30FB8">
      <w:pPr>
        <w:pStyle w:val="Zkladntext100"/>
        <w:shd w:val="clear" w:color="auto" w:fill="auto"/>
        <w:spacing w:line="211" w:lineRule="auto"/>
        <w:ind w:firstLine="0"/>
        <w:jc w:val="right"/>
      </w:pPr>
      <w:r>
        <w:rPr>
          <w:b/>
          <w:bCs/>
          <w:sz w:val="20"/>
          <w:szCs w:val="20"/>
        </w:rPr>
        <w:t xml:space="preserve">Ano, </w:t>
      </w:r>
      <w:r>
        <w:t>všechno bylo v té době v nejistotách. Štěpán šel na vojnu a Štěpánové se okamžitě nastěhovala k Holubovi, fotografováni, jak zavěšeni vesele kráčejí po ulici.</w:t>
      </w:r>
    </w:p>
    <w:p w:rsidR="00500724" w:rsidRDefault="00F30FB8">
      <w:pPr>
        <w:pStyle w:val="Zkladntext100"/>
        <w:shd w:val="clear" w:color="auto" w:fill="auto"/>
        <w:spacing w:line="209" w:lineRule="auto"/>
        <w:ind w:firstLine="0"/>
      </w:pPr>
      <w:r>
        <w:rPr>
          <w:b/>
          <w:bCs/>
          <w:sz w:val="20"/>
          <w:szCs w:val="20"/>
        </w:rPr>
        <w:t xml:space="preserve">Snad </w:t>
      </w:r>
      <w:r>
        <w:t>se těšili, že Štěpán někde na Slovens</w:t>
      </w:r>
      <w:r>
        <w:t>ku zahyne a jim potom padne do klína i jejich láska i Štěpánovy pe</w:t>
      </w:r>
      <w:r>
        <w:softHyphen/>
        <w:t>níze, Majetek a láska - na to se v těchto vzrušených do</w:t>
      </w:r>
      <w:r>
        <w:softHyphen/>
      </w:r>
      <w:r>
        <w:rPr>
          <w:b/>
          <w:bCs/>
          <w:sz w:val="20"/>
          <w:szCs w:val="20"/>
        </w:rPr>
        <w:t xml:space="preserve">bách </w:t>
      </w:r>
      <w:r>
        <w:t>soustředil jejich zájem. A když se Štěpán vrátil, vo</w:t>
      </w:r>
      <w:r>
        <w:softHyphen/>
        <w:t>lili jedinou cestu: vraždu.</w:t>
      </w:r>
    </w:p>
    <w:p w:rsidR="00500724" w:rsidRDefault="00F30FB8">
      <w:pPr>
        <w:pStyle w:val="Zkladntext100"/>
        <w:shd w:val="clear" w:color="auto" w:fill="auto"/>
        <w:spacing w:line="206" w:lineRule="auto"/>
        <w:ind w:firstLine="0"/>
        <w:jc w:val="center"/>
        <w:rPr>
          <w:sz w:val="19"/>
          <w:szCs w:val="19"/>
        </w:rPr>
      </w:pPr>
      <w:r>
        <w:rPr>
          <w:sz w:val="19"/>
          <w:szCs w:val="19"/>
        </w:rPr>
        <w:t>•</w:t>
      </w:r>
    </w:p>
    <w:p w:rsidR="00500724" w:rsidRDefault="00F30FB8">
      <w:pPr>
        <w:pStyle w:val="Zkladntext100"/>
        <w:shd w:val="clear" w:color="auto" w:fill="auto"/>
        <w:spacing w:line="218" w:lineRule="auto"/>
        <w:ind w:firstLine="320"/>
      </w:pPr>
      <w:r>
        <w:t>Zajisté, i v jiných dobách se vraždilo pro pe</w:t>
      </w:r>
      <w:r>
        <w:t>níze, v klid</w:t>
      </w:r>
      <w:r>
        <w:softHyphen/>
        <w:t>nějších časech rostly zločiny z lásky. Ale stěží se nahro</w:t>
      </w:r>
      <w:r>
        <w:softHyphen/>
        <w:t>madilo tolik faktorů, příznačných pro vzrušené doby, ja</w:t>
      </w:r>
      <w:r>
        <w:softHyphen/>
        <w:t xml:space="preserve">ko </w:t>
      </w:r>
      <w:r>
        <w:rPr>
          <w:b/>
          <w:bCs/>
          <w:sz w:val="20"/>
          <w:szCs w:val="20"/>
        </w:rPr>
        <w:t xml:space="preserve">v </w:t>
      </w:r>
      <w:r>
        <w:t>kriminálním případě, který se jmenuje zločin z Ha</w:t>
      </w:r>
      <w:r>
        <w:softHyphen/>
        <w:t>velské ulice.</w:t>
      </w:r>
    </w:p>
    <w:p w:rsidR="00500724" w:rsidRDefault="00F30FB8">
      <w:pPr>
        <w:pStyle w:val="Zkladntext100"/>
        <w:shd w:val="clear" w:color="auto" w:fill="auto"/>
        <w:spacing w:line="216" w:lineRule="auto"/>
        <w:ind w:firstLine="320"/>
      </w:pPr>
      <w:r>
        <w:t>Netvrďme, že špatná výchova nebo nemanželský pů</w:t>
      </w:r>
      <w:r>
        <w:softHyphen/>
        <w:t xml:space="preserve">vod vedou k </w:t>
      </w:r>
      <w:r>
        <w:t xml:space="preserve">zločinu, věříme, že z většiny nemanželských d§tí </w:t>
      </w:r>
      <w:r>
        <w:rPr>
          <w:b/>
          <w:bCs/>
          <w:sz w:val="20"/>
          <w:szCs w:val="20"/>
        </w:rPr>
        <w:t xml:space="preserve">i z </w:t>
      </w:r>
      <w:r>
        <w:t xml:space="preserve">chovanců různých ústavů vyrůstají řádní lidé. </w:t>
      </w:r>
      <w:r>
        <w:rPr>
          <w:b/>
          <w:bCs/>
          <w:sz w:val="20"/>
          <w:szCs w:val="20"/>
        </w:rPr>
        <w:t xml:space="preserve">Víme, </w:t>
      </w:r>
      <w:r>
        <w:t>že valná většina těch, kteří propadli šílenství touhy po užívání, jako by se blížil konec světa, nedopustí se zločinu podle litery zákona. Ale jisto je</w:t>
      </w:r>
      <w:r>
        <w:t>, že lidí s pokřive</w:t>
      </w:r>
      <w:r>
        <w:softHyphen/>
        <w:t>ným charakterem, lidí sobeckých, bez citu a bez mravních závazků přibývá.</w:t>
      </w:r>
    </w:p>
    <w:p w:rsidR="00500724" w:rsidRDefault="00F30FB8">
      <w:pPr>
        <w:pStyle w:val="Zkladntext100"/>
        <w:shd w:val="clear" w:color="auto" w:fill="auto"/>
        <w:spacing w:line="218" w:lineRule="auto"/>
        <w:ind w:firstLine="320"/>
      </w:pPr>
      <w:r>
        <w:t xml:space="preserve">Dnešní svět nutně potřebuje obnovu mravních řádů </w:t>
      </w:r>
      <w:r>
        <w:rPr>
          <w:b/>
          <w:bCs/>
          <w:sz w:val="20"/>
          <w:szCs w:val="20"/>
        </w:rPr>
        <w:t xml:space="preserve">A </w:t>
      </w:r>
      <w:r>
        <w:t>protože se o svět nechceme starat, neboť on se také ne</w:t>
      </w:r>
      <w:r>
        <w:softHyphen/>
        <w:t>stará o nás, je povinností každého člověka, který si zac</w:t>
      </w:r>
      <w:r>
        <w:t>ho</w:t>
      </w:r>
      <w:r>
        <w:softHyphen/>
        <w:t>val zdravý rozum, šířit ve svém národě jedinou politickou zásadu těchto časů: Obnovujme poctivost a víru. Hledej</w:t>
      </w:r>
      <w:r>
        <w:softHyphen/>
        <w:t xml:space="preserve">me lidi, jejichž stisku ruky je možno věřit. Zvyšujme víru v dané slovo. Každému je nutno dát chleba, ale to ještě není všechno, nebof také </w:t>
      </w:r>
      <w:r>
        <w:t xml:space="preserve">zvířata mají podobný zájem. Každému je nutno vnuknout víru v lidskou společnost a </w:t>
      </w:r>
      <w:r>
        <w:rPr>
          <w:b/>
          <w:bCs/>
          <w:sz w:val="20"/>
          <w:szCs w:val="20"/>
        </w:rPr>
        <w:t xml:space="preserve">v </w:t>
      </w:r>
      <w:r>
        <w:t>mravní poslání člověka. Jinak se zábavy lidí budou stále silněji zúžovat jen na pole sexuálního běsnění a ma</w:t>
      </w:r>
      <w:r>
        <w:softHyphen/>
        <w:t>jetkové síly. Konkrétně řečeno: Nepracujme jen proto, abychom s</w:t>
      </w:r>
      <w:r>
        <w:t>i za výdělek mohli koupit zábavu. Práce sama v sobe je účelem, práce je naším ethickým posláním. Bůh, či ohcefe-li příroda, každému z nás udělila nějaké nadání. A my jsme povinni tohoto nadání užívat nejenom pro své sobecké osobní potěšení, ale k dobru cel</w:t>
      </w:r>
      <w:r>
        <w:t>ku a především národa, jehož jsme členy.</w:t>
      </w:r>
    </w:p>
    <w:p w:rsidR="00500724" w:rsidRDefault="00F30FB8">
      <w:pPr>
        <w:pStyle w:val="Zkladntext100"/>
        <w:shd w:val="clear" w:color="auto" w:fill="auto"/>
        <w:spacing w:after="220" w:line="218" w:lineRule="auto"/>
        <w:ind w:firstLine="320"/>
      </w:pPr>
      <w:r>
        <w:t>Zločin v Havelské ulici byla jen zlá episoda v posled</w:t>
      </w:r>
      <w:r>
        <w:softHyphen/>
        <w:t>ních Sasech. Ale episoda příznačná i výstražná.</w:t>
      </w:r>
    </w:p>
    <w:p w:rsidR="00500724" w:rsidRDefault="00F30FB8">
      <w:pPr>
        <w:pStyle w:val="Jin0"/>
        <w:shd w:val="clear" w:color="auto" w:fill="auto"/>
        <w:spacing w:after="140"/>
        <w:ind w:firstLine="0"/>
        <w:jc w:val="left"/>
        <w:rPr>
          <w:sz w:val="44"/>
          <w:szCs w:val="44"/>
        </w:rPr>
      </w:pPr>
      <w:r>
        <w:rPr>
          <w:b/>
          <w:bCs/>
          <w:sz w:val="44"/>
          <w:szCs w:val="44"/>
          <w:u w:val="single"/>
        </w:rPr>
        <w:t>literatura a uměni</w:t>
      </w:r>
    </w:p>
    <w:p w:rsidR="00500724" w:rsidRDefault="00F30FB8">
      <w:pPr>
        <w:pStyle w:val="Zkladntext20"/>
        <w:shd w:val="clear" w:color="auto" w:fill="auto"/>
        <w:spacing w:after="60"/>
        <w:ind w:firstLine="0"/>
        <w:rPr>
          <w:sz w:val="20"/>
          <w:szCs w:val="20"/>
        </w:rPr>
      </w:pPr>
      <w:r>
        <w:rPr>
          <w:i/>
          <w:iCs/>
          <w:sz w:val="20"/>
          <w:szCs w:val="20"/>
        </w:rPr>
        <w:t>Ladislav Z ák:</w:t>
      </w:r>
    </w:p>
    <w:p w:rsidR="00500724" w:rsidRDefault="00F30FB8">
      <w:pPr>
        <w:pStyle w:val="Nadpis100"/>
        <w:shd w:val="clear" w:color="auto" w:fill="auto"/>
        <w:spacing w:after="0" w:line="240" w:lineRule="auto"/>
      </w:pPr>
      <w:bookmarkStart w:id="315" w:name="bookmark314"/>
      <w:r>
        <w:t>Lidová architektura?</w:t>
      </w:r>
      <w:bookmarkEnd w:id="315"/>
    </w:p>
    <w:p w:rsidR="00500724" w:rsidRDefault="00F30FB8">
      <w:pPr>
        <w:pStyle w:val="Zkladntext100"/>
        <w:shd w:val="clear" w:color="auto" w:fill="auto"/>
        <w:spacing w:line="211" w:lineRule="auto"/>
        <w:ind w:firstLine="220"/>
        <w:rPr>
          <w:sz w:val="19"/>
          <w:szCs w:val="19"/>
        </w:rPr>
      </w:pPr>
      <w:r>
        <w:rPr>
          <w:sz w:val="19"/>
          <w:szCs w:val="19"/>
        </w:rPr>
        <w:t xml:space="preserve">Uvažujíce o architektuře, o prostředí, v němž žijeme, o </w:t>
      </w:r>
      <w:r>
        <w:rPr>
          <w:sz w:val="19"/>
          <w:szCs w:val="19"/>
        </w:rPr>
        <w:t>domě a bytě, musíme sledovati především člověka, jenž toto životní prostředí tvoří a obývá. Proto budou v celé úvaze uváděny věci známé, u nichž nový může býti nanejvýš pohled na ně a vystopování jejich sou</w:t>
      </w:r>
      <w:r>
        <w:rPr>
          <w:sz w:val="19"/>
          <w:szCs w:val="19"/>
        </w:rPr>
        <w:softHyphen/>
        <w:t>vislosti. Poučeni vývojem poznáme, že budeme míti</w:t>
      </w:r>
      <w:r>
        <w:rPr>
          <w:sz w:val="19"/>
          <w:szCs w:val="19"/>
        </w:rPr>
        <w:t xml:space="preserve"> lido</w:t>
      </w:r>
      <w:r>
        <w:rPr>
          <w:sz w:val="19"/>
          <w:szCs w:val="19"/>
        </w:rPr>
        <w:softHyphen/>
        <w:t>vou architekturu v té chvíli, kdy se objeví občan, vědo</w:t>
      </w:r>
      <w:r>
        <w:rPr>
          <w:sz w:val="19"/>
          <w:szCs w:val="19"/>
        </w:rPr>
        <w:softHyphen/>
        <w:t>mý sebe a zbavený všech přežitků minulosti a neplod</w:t>
      </w:r>
      <w:r>
        <w:rPr>
          <w:sz w:val="19"/>
          <w:szCs w:val="19"/>
        </w:rPr>
        <w:softHyphen/>
        <w:t>ných předsudků. Je nutno pohlédnouti dosti hluboko dominulosti, abychom objevili vývojový zákon, ověřili si jeho správnost a stanovili směr bu</w:t>
      </w:r>
      <w:r>
        <w:rPr>
          <w:sz w:val="19"/>
          <w:szCs w:val="19"/>
        </w:rPr>
        <w:t>doucího vývoje.</w:t>
      </w:r>
    </w:p>
    <w:p w:rsidR="00500724" w:rsidRDefault="00F30FB8">
      <w:pPr>
        <w:pStyle w:val="Zkladntext40"/>
        <w:shd w:val="clear" w:color="auto" w:fill="auto"/>
        <w:spacing w:after="0" w:line="293" w:lineRule="auto"/>
        <w:jc w:val="center"/>
        <w:rPr>
          <w:sz w:val="14"/>
          <w:szCs w:val="14"/>
        </w:rPr>
      </w:pPr>
      <w:r>
        <w:rPr>
          <w:b/>
          <w:bCs/>
          <w:sz w:val="14"/>
          <w:szCs w:val="14"/>
        </w:rPr>
        <w:t>Šlechta se chce vyrovnat králi</w:t>
      </w:r>
    </w:p>
    <w:p w:rsidR="00500724" w:rsidRDefault="00F30FB8">
      <w:pPr>
        <w:pStyle w:val="Zkladntext40"/>
        <w:shd w:val="clear" w:color="auto" w:fill="auto"/>
        <w:spacing w:after="40" w:line="293" w:lineRule="auto"/>
        <w:ind w:firstLine="220"/>
        <w:rPr>
          <w:sz w:val="14"/>
          <w:szCs w:val="14"/>
        </w:rPr>
      </w:pPr>
      <w:r>
        <w:rPr>
          <w:b/>
          <w:bCs/>
          <w:sz w:val="14"/>
          <w:szCs w:val="14"/>
        </w:rPr>
        <w:t>Již ze středoškolského dějepisu je známo, jak v době Ludvíka XIV. a jeho nástupců evropská šlechta závo</w:t>
      </w:r>
      <w:r>
        <w:rPr>
          <w:b/>
          <w:bCs/>
          <w:sz w:val="14"/>
          <w:szCs w:val="14"/>
        </w:rPr>
        <w:softHyphen/>
      </w:r>
    </w:p>
    <w:p w:rsidR="00500724" w:rsidRDefault="00F30FB8">
      <w:pPr>
        <w:pStyle w:val="Zkladntext100"/>
        <w:shd w:val="clear" w:color="auto" w:fill="auto"/>
        <w:spacing w:after="120" w:line="209" w:lineRule="auto"/>
        <w:ind w:firstLine="0"/>
        <w:rPr>
          <w:sz w:val="19"/>
          <w:szCs w:val="19"/>
        </w:rPr>
      </w:pPr>
      <w:r>
        <w:rPr>
          <w:sz w:val="19"/>
          <w:szCs w:val="19"/>
        </w:rPr>
        <w:t>dila v přejímání kultury francouzských králů. Věda a umění, representace a bydlení, oděv i společenské c</w:t>
      </w:r>
      <w:r>
        <w:rPr>
          <w:sz w:val="19"/>
          <w:szCs w:val="19"/>
        </w:rPr>
        <w:t>ho</w:t>
      </w:r>
      <w:r>
        <w:rPr>
          <w:sz w:val="19"/>
          <w:szCs w:val="19"/>
        </w:rPr>
        <w:softHyphen/>
        <w:t>vání — celý životní sloh byl přijímán a napodoben drobnými panovníky a šlechtou všech stupňů. Víme, že zvláště v Německu každý větší i menší panující feudál budoval a zařizoval v té době své Versailles, svůj zámek a sad, chtěje předčiti ostatní a dostih</w:t>
      </w:r>
      <w:r>
        <w:rPr>
          <w:sz w:val="19"/>
          <w:szCs w:val="19"/>
        </w:rPr>
        <w:t>nouti vzoru fran</w:t>
      </w:r>
      <w:r>
        <w:rPr>
          <w:sz w:val="19"/>
          <w:szCs w:val="19"/>
        </w:rPr>
        <w:softHyphen/>
        <w:t>couzského dvora. — Toto období skončilo francouzskou revolucí, v níž zvítězil nad králem a šlechtou třetí stav. Veliká revoluce francouzská je konečným a trvalým ví</w:t>
      </w:r>
      <w:r>
        <w:rPr>
          <w:sz w:val="19"/>
          <w:szCs w:val="19"/>
        </w:rPr>
        <w:softHyphen/>
        <w:t>tězstvím měšfáctva, které budovalo svůj blahobyt již od středověku. Pod tl</w:t>
      </w:r>
      <w:r>
        <w:rPr>
          <w:sz w:val="19"/>
          <w:szCs w:val="19"/>
        </w:rPr>
        <w:t>akem francouzské revoluce nabývá měšfáctvo i v ostatních zemích Evropy a světa svých práv a stává se nejmocnější společenskou skupinou.</w:t>
      </w:r>
    </w:p>
    <w:p w:rsidR="00500724" w:rsidRDefault="00F30FB8">
      <w:pPr>
        <w:pStyle w:val="Zkladntext40"/>
        <w:shd w:val="clear" w:color="auto" w:fill="auto"/>
        <w:spacing w:line="240" w:lineRule="auto"/>
        <w:jc w:val="center"/>
        <w:rPr>
          <w:sz w:val="14"/>
          <w:szCs w:val="14"/>
        </w:rPr>
      </w:pPr>
      <w:r>
        <w:rPr>
          <w:b/>
          <w:bCs/>
          <w:sz w:val="14"/>
          <w:szCs w:val="14"/>
        </w:rPr>
        <w:t>Měšfáctvo se chce zdát šlechtou</w:t>
      </w:r>
    </w:p>
    <w:p w:rsidR="00500724" w:rsidRDefault="00F30FB8">
      <w:pPr>
        <w:pStyle w:val="Zkladntext100"/>
        <w:shd w:val="clear" w:color="auto" w:fill="auto"/>
        <w:spacing w:after="140" w:line="209" w:lineRule="auto"/>
        <w:ind w:firstLine="220"/>
        <w:rPr>
          <w:sz w:val="19"/>
          <w:szCs w:val="19"/>
        </w:rPr>
      </w:pPr>
      <w:r>
        <w:rPr>
          <w:sz w:val="19"/>
          <w:szCs w:val="19"/>
        </w:rPr>
        <w:t>Devatenácté století je obdobím mohutného rozvoje měšfáctva, jehož životní sloh však po c</w:t>
      </w:r>
      <w:r>
        <w:rPr>
          <w:sz w:val="19"/>
          <w:szCs w:val="19"/>
        </w:rPr>
        <w:t>elou tuto dobu je pod vlivem feudálním. Koncem minulého století vrcholí tato snaha vyrovnati se šlechtě representační nádherou domu a bytu. Je to ovšem representace a nádhera nepravá. Šlechta měla ve svých sídlech množ</w:t>
      </w:r>
      <w:r>
        <w:rPr>
          <w:sz w:val="19"/>
          <w:szCs w:val="19"/>
        </w:rPr>
        <w:softHyphen/>
        <w:t>ství rozlehlých komnat, v nichž v nep</w:t>
      </w:r>
      <w:r>
        <w:rPr>
          <w:sz w:val="19"/>
          <w:szCs w:val="19"/>
        </w:rPr>
        <w:t>řeplněném prosto</w:t>
      </w:r>
      <w:r>
        <w:rPr>
          <w:sz w:val="19"/>
          <w:szCs w:val="19"/>
        </w:rPr>
        <w:softHyphen/>
        <w:t>ru, vytvořeném a vyzdobeném skutečnými umělci, bylo volně a s vybraným vkusem umístěno málo nábytko</w:t>
      </w:r>
      <w:r>
        <w:rPr>
          <w:sz w:val="19"/>
          <w:szCs w:val="19"/>
        </w:rPr>
        <w:softHyphen/>
        <w:t>vých a zdobných předmětů, vskutku vzácných unikátů, umělecky vytvořených a rukodílně vyrobených. — Ubo</w:t>
      </w:r>
      <w:r>
        <w:rPr>
          <w:sz w:val="19"/>
          <w:szCs w:val="19"/>
        </w:rPr>
        <w:softHyphen/>
        <w:t xml:space="preserve">hé napodobeniny tohoto nádherného a </w:t>
      </w:r>
      <w:r>
        <w:rPr>
          <w:sz w:val="19"/>
          <w:szCs w:val="19"/>
        </w:rPr>
        <w:t>rozměrného ná</w:t>
      </w:r>
      <w:r>
        <w:rPr>
          <w:sz w:val="19"/>
          <w:szCs w:val="19"/>
        </w:rPr>
        <w:softHyphen/>
        <w:t>bytku, neumělecké, bezduché a strojně vyrobené, nahro</w:t>
      </w:r>
      <w:r>
        <w:rPr>
          <w:sz w:val="19"/>
          <w:szCs w:val="19"/>
        </w:rPr>
        <w:softHyphen/>
        <w:t>madil měšfan do daleko menších místností svých vil, letohradů a činžovních domů. Vznikla ubohá karikatura feudálních salonů. Vznešené materiály byly nahrazeny levnou imitací. Vzácné mramor</w:t>
      </w:r>
      <w:r>
        <w:rPr>
          <w:sz w:val="19"/>
          <w:szCs w:val="19"/>
        </w:rPr>
        <w:t xml:space="preserve">y, </w:t>
      </w:r>
      <w:r>
        <w:rPr>
          <w:sz w:val="19"/>
          <w:szCs w:val="19"/>
          <w:lang w:val="en-US" w:eastAsia="en-US" w:bidi="en-US"/>
        </w:rPr>
        <w:t>relief</w:t>
      </w:r>
      <w:r>
        <w:rPr>
          <w:sz w:val="19"/>
          <w:szCs w:val="19"/>
        </w:rPr>
        <w:t>y a drahá dřeva namalovali malíři pokojťi a natěrači na prostou zeď bytu a na levné dřevo nábytku. Podnes lze spatřit v by</w:t>
      </w:r>
      <w:r>
        <w:rPr>
          <w:sz w:val="19"/>
          <w:szCs w:val="19"/>
        </w:rPr>
        <w:softHyphen/>
        <w:t>tech starších žijících generací tuto nepravdivou nádhe</w:t>
      </w:r>
      <w:r>
        <w:rPr>
          <w:sz w:val="19"/>
          <w:szCs w:val="19"/>
        </w:rPr>
        <w:softHyphen/>
        <w:t>ru salonů, proti níž kolem roku 1900 bojoval Adolf Loos. Boj Loosův p</w:t>
      </w:r>
      <w:r>
        <w:rPr>
          <w:sz w:val="19"/>
          <w:szCs w:val="19"/>
        </w:rPr>
        <w:t>roti ornamentu, proti imitaci hmot, proti lži forem a života, pro hladký účelný tvar a pravdivý mater'ál, byl bojem proti feudálním přežitkům.</w:t>
      </w:r>
    </w:p>
    <w:p w:rsidR="00500724" w:rsidRDefault="00F30FB8">
      <w:pPr>
        <w:pStyle w:val="Zkladntext100"/>
        <w:shd w:val="clear" w:color="auto" w:fill="auto"/>
        <w:spacing w:after="60" w:line="209" w:lineRule="auto"/>
        <w:ind w:firstLine="0"/>
        <w:jc w:val="center"/>
        <w:rPr>
          <w:sz w:val="19"/>
          <w:szCs w:val="19"/>
        </w:rPr>
      </w:pPr>
      <w:r>
        <w:rPr>
          <w:sz w:val="19"/>
          <w:szCs w:val="19"/>
        </w:rPr>
        <w:t>Měšťanstvo nalézá svůj životní sloh</w:t>
      </w:r>
    </w:p>
    <w:p w:rsidR="00500724" w:rsidRDefault="00F30FB8">
      <w:pPr>
        <w:pStyle w:val="Zkladntext100"/>
        <w:shd w:val="clear" w:color="auto" w:fill="auto"/>
        <w:spacing w:after="60" w:line="216" w:lineRule="auto"/>
        <w:ind w:firstLine="220"/>
        <w:rPr>
          <w:sz w:val="19"/>
          <w:szCs w:val="19"/>
        </w:rPr>
      </w:pPr>
      <w:r>
        <w:rPr>
          <w:sz w:val="19"/>
          <w:szCs w:val="19"/>
        </w:rPr>
        <w:t>Po celé devatenácté století nevytvořilo měšťanstvo svůj vlastní a sobě přiměř</w:t>
      </w:r>
      <w:r>
        <w:rPr>
          <w:sz w:val="19"/>
          <w:szCs w:val="19"/>
        </w:rPr>
        <w:t>ený dům a byt, své vlastní životní způsoby, nedospělo k samostatné společenské a bytové kultuře a k vlastnímu svéráznému slohu. — Te</w:t>
      </w:r>
      <w:r>
        <w:rPr>
          <w:sz w:val="19"/>
          <w:szCs w:val="19"/>
        </w:rPr>
        <w:softHyphen/>
        <w:t>prve v našem století, po světové válce nastává značné osvobození od minulosti a feudálních historických vlivů, a měšťanstvo</w:t>
      </w:r>
      <w:r>
        <w:rPr>
          <w:sz w:val="19"/>
          <w:szCs w:val="19"/>
        </w:rPr>
        <w:t xml:space="preserve"> nabývá svého typického charakteru, do</w:t>
      </w:r>
      <w:r>
        <w:rPr>
          <w:sz w:val="19"/>
          <w:szCs w:val="19"/>
        </w:rPr>
        <w:softHyphen/>
        <w:t>spívajíc k novému a samostatnému způsobu života a bydlení. V letech 1920—24 se ustaluje moderní archi</w:t>
      </w:r>
      <w:r>
        <w:rPr>
          <w:sz w:val="19"/>
          <w:szCs w:val="19"/>
        </w:rPr>
        <w:softHyphen/>
        <w:t>tektura a bytová kultura. Hledáme-li odpověď na otáz</w:t>
      </w:r>
      <w:r>
        <w:rPr>
          <w:sz w:val="19"/>
          <w:szCs w:val="19"/>
        </w:rPr>
        <w:softHyphen/>
        <w:t>ku, co kladného vykonalo toto hnutí, pak můžeme struč</w:t>
      </w:r>
      <w:r>
        <w:rPr>
          <w:sz w:val="19"/>
          <w:szCs w:val="19"/>
        </w:rPr>
        <w:softHyphen/>
        <w:t>ně říci,</w:t>
      </w:r>
      <w:r>
        <w:rPr>
          <w:sz w:val="19"/>
          <w:szCs w:val="19"/>
        </w:rPr>
        <w:t xml:space="preserve"> že nová architektura vytvořila typický měšťan</w:t>
      </w:r>
      <w:r>
        <w:rPr>
          <w:sz w:val="19"/>
          <w:szCs w:val="19"/>
        </w:rPr>
        <w:softHyphen/>
        <w:t>ský dům a byt. V nejlepších dílech moderní architek</w:t>
      </w:r>
      <w:r>
        <w:rPr>
          <w:sz w:val="19"/>
          <w:szCs w:val="19"/>
        </w:rPr>
        <w:softHyphen/>
        <w:t>tury nalezneme dům a byt, přesně odpovídající reelním možnostem a potřebám měšťana, dům, který již není a nechce být palácem a byt, který již není a nechce b</w:t>
      </w:r>
      <w:r>
        <w:rPr>
          <w:sz w:val="19"/>
          <w:szCs w:val="19"/>
        </w:rPr>
        <w:t>ýt salonem. Rozumná a pravdivá hospodárnost a účelnost prostorů, tvarů a materiálů vstoupila ňa místo předstí</w:t>
      </w:r>
      <w:r>
        <w:rPr>
          <w:sz w:val="19"/>
          <w:szCs w:val="19"/>
        </w:rPr>
        <w:softHyphen/>
        <w:t>rané nádhery. Světlo, slunce, vzduch a volný prostor pronikly do obydlí, jež obklopila a prostoupila zeleň přírody. Místo přepychu nastoupilo poho</w:t>
      </w:r>
      <w:r>
        <w:rPr>
          <w:sz w:val="19"/>
          <w:szCs w:val="19"/>
        </w:rPr>
        <w:t>dlí, místo nádhery hygiena, místo representace komfort. Pravdivý, nový a samostatný výraz je konečně nalezen, ustupuje a zvolna mizí nápodoba šlechty, měšťanstvo konečně dozrává a vytváří vlastní bytovou a společenskou kul</w:t>
      </w:r>
      <w:r>
        <w:rPr>
          <w:sz w:val="19"/>
          <w:szCs w:val="19"/>
        </w:rPr>
        <w:softHyphen/>
        <w:t>turu.</w:t>
      </w:r>
    </w:p>
    <w:p w:rsidR="00500724" w:rsidRDefault="00F30FB8">
      <w:pPr>
        <w:pStyle w:val="Zkladntext100"/>
        <w:shd w:val="clear" w:color="auto" w:fill="auto"/>
        <w:spacing w:after="60" w:line="209" w:lineRule="auto"/>
        <w:ind w:firstLine="0"/>
        <w:jc w:val="center"/>
        <w:rPr>
          <w:sz w:val="19"/>
          <w:szCs w:val="19"/>
        </w:rPr>
      </w:pPr>
      <w:r>
        <w:rPr>
          <w:sz w:val="19"/>
          <w:szCs w:val="19"/>
        </w:rPr>
        <w:t>Anglie potvrzuje vývojový z</w:t>
      </w:r>
      <w:r>
        <w:rPr>
          <w:sz w:val="19"/>
          <w:szCs w:val="19"/>
        </w:rPr>
        <w:t>ákon</w:t>
      </w:r>
    </w:p>
    <w:p w:rsidR="00500724" w:rsidRDefault="00F30FB8">
      <w:pPr>
        <w:pStyle w:val="Zkladntext100"/>
        <w:shd w:val="clear" w:color="auto" w:fill="auto"/>
        <w:spacing w:after="60" w:line="240" w:lineRule="auto"/>
        <w:ind w:firstLine="220"/>
        <w:rPr>
          <w:sz w:val="19"/>
          <w:szCs w:val="19"/>
        </w:rPr>
        <w:sectPr w:rsidR="00500724">
          <w:footnotePr>
            <w:numFmt w:val="chicago"/>
            <w:numRestart w:val="eachPage"/>
          </w:footnotePr>
          <w:pgSz w:w="11909" w:h="16834"/>
          <w:pgMar w:top="862" w:right="817" w:bottom="1065" w:left="692" w:header="0" w:footer="3" w:gutter="0"/>
          <w:cols w:num="2" w:space="108"/>
          <w:noEndnote/>
          <w:docGrid w:linePitch="360"/>
        </w:sectPr>
      </w:pPr>
      <w:r>
        <w:rPr>
          <w:sz w:val="19"/>
          <w:szCs w:val="19"/>
        </w:rPr>
        <w:t>Sociologický rozbor, jejž jsme provedli, odhaluje jed</w:t>
      </w:r>
      <w:r>
        <w:rPr>
          <w:sz w:val="19"/>
          <w:szCs w:val="19"/>
        </w:rPr>
        <w:softHyphen/>
        <w:t>noduchý vývojový zákon: nižší společenská vrstva při-</w:t>
      </w:r>
    </w:p>
    <w:p w:rsidR="00500724" w:rsidRDefault="00F30FB8">
      <w:pPr>
        <w:pStyle w:val="Zkladntext100"/>
        <w:shd w:val="clear" w:color="auto" w:fill="auto"/>
        <w:spacing w:after="100" w:line="211" w:lineRule="auto"/>
        <w:ind w:firstLine="0"/>
        <w:rPr>
          <w:sz w:val="19"/>
          <w:szCs w:val="19"/>
        </w:rPr>
      </w:pPr>
      <w:r>
        <w:rPr>
          <w:sz w:val="19"/>
          <w:szCs w:val="19"/>
        </w:rPr>
        <w:t>jímá a podržuje ještě dlouho po svém politickém a ho</w:t>
      </w:r>
      <w:r>
        <w:rPr>
          <w:sz w:val="19"/>
          <w:szCs w:val="19"/>
        </w:rPr>
        <w:softHyphen/>
        <w:t>spodářském vítězství životní sloh, společenskou a byto</w:t>
      </w:r>
      <w:r>
        <w:rPr>
          <w:sz w:val="19"/>
          <w:szCs w:val="19"/>
        </w:rPr>
        <w:softHyphen/>
      </w:r>
      <w:r>
        <w:rPr>
          <w:sz w:val="19"/>
          <w:szCs w:val="19"/>
        </w:rPr>
        <w:t xml:space="preserve">vou kulturu vyšší vrstvy, než si vytvoří svůj vlastní samostatný sloh. — Potvrzení platnosti tohoto zákona nalézáme ve vývoji anglickém, který byl odlišný od evropského. V Anglii šlechta a zemané </w:t>
      </w:r>
      <w:r>
        <w:rPr>
          <w:sz w:val="19"/>
          <w:szCs w:val="19"/>
          <w:lang w:val="en-US" w:eastAsia="en-US" w:bidi="en-US"/>
        </w:rPr>
        <w:t xml:space="preserve">(Gentry) </w:t>
      </w:r>
      <w:r>
        <w:rPr>
          <w:sz w:val="19"/>
          <w:szCs w:val="19"/>
        </w:rPr>
        <w:t>si osvo</w:t>
      </w:r>
      <w:r>
        <w:rPr>
          <w:sz w:val="19"/>
          <w:szCs w:val="19"/>
        </w:rPr>
        <w:softHyphen/>
        <w:t>jili vlivem puritanismu a sekty Quakerů stř</w:t>
      </w:r>
      <w:r>
        <w:rPr>
          <w:sz w:val="19"/>
          <w:szCs w:val="19"/>
        </w:rPr>
        <w:t>ízlivou skromnost, prostou, jednoduchou a dokonalou kvalitu staveb, bytů, oděvu i chování. Kdežto n nás říkáme ještě teď novým občanským nájemním domům palác, pone</w:t>
      </w:r>
      <w:r>
        <w:rPr>
          <w:sz w:val="19"/>
          <w:szCs w:val="19"/>
        </w:rPr>
        <w:softHyphen/>
        <w:t>chali naopak Angličané označení dům, house, i skuteč</w:t>
      </w:r>
      <w:r>
        <w:rPr>
          <w:sz w:val="19"/>
          <w:szCs w:val="19"/>
        </w:rPr>
        <w:softHyphen/>
        <w:t>ným šlechtickým sídlům, označujíce slov</w:t>
      </w:r>
      <w:r>
        <w:rPr>
          <w:sz w:val="19"/>
          <w:szCs w:val="19"/>
        </w:rPr>
        <w:t xml:space="preserve">em hrad, </w:t>
      </w:r>
      <w:r>
        <w:rPr>
          <w:sz w:val="19"/>
          <w:szCs w:val="19"/>
          <w:lang w:val="en-US" w:eastAsia="en-US" w:bidi="en-US"/>
        </w:rPr>
        <w:t xml:space="preserve">castle, </w:t>
      </w:r>
      <w:r>
        <w:rPr>
          <w:sz w:val="19"/>
          <w:szCs w:val="19"/>
        </w:rPr>
        <w:t xml:space="preserve">pouze staré pevnosti. Slovo salon je v anglickém bytě neznámé, znají však obytnou místnost, </w:t>
      </w:r>
      <w:r>
        <w:rPr>
          <w:sz w:val="19"/>
          <w:szCs w:val="19"/>
          <w:lang w:val="en-US" w:eastAsia="en-US" w:bidi="en-US"/>
        </w:rPr>
        <w:t xml:space="preserve">living room. </w:t>
      </w:r>
      <w:r>
        <w:rPr>
          <w:sz w:val="19"/>
          <w:szCs w:val="19"/>
        </w:rPr>
        <w:t>Anglické měšfáctvo podléhalo vlivu své šlechty a přijí</w:t>
      </w:r>
      <w:r>
        <w:rPr>
          <w:sz w:val="19"/>
          <w:szCs w:val="19"/>
        </w:rPr>
        <w:softHyphen/>
        <w:t>malo její hodnoty prosté a nenápadné kvality. Adolf Loos kladl tyto anglické ci</w:t>
      </w:r>
      <w:r>
        <w:rPr>
          <w:sz w:val="19"/>
          <w:szCs w:val="19"/>
        </w:rPr>
        <w:t>vilní hodnoty za vzor ve svém boji proti nepravé evropské bytové a životní kul</w:t>
      </w:r>
      <w:r>
        <w:rPr>
          <w:sz w:val="19"/>
          <w:szCs w:val="19"/>
        </w:rPr>
        <w:softHyphen/>
        <w:t>tuře. A moderní architektura převzala mnoho tradič</w:t>
      </w:r>
      <w:r>
        <w:rPr>
          <w:sz w:val="19"/>
          <w:szCs w:val="19"/>
        </w:rPr>
        <w:softHyphen/>
        <w:t>ních prvků vyspělého anglického domu, bytu a nábyt</w:t>
      </w:r>
      <w:r>
        <w:rPr>
          <w:sz w:val="19"/>
          <w:szCs w:val="19"/>
        </w:rPr>
        <w:softHyphen/>
        <w:t>ku, aby je sjednotila, zdokonalila a zpětně jimi působila i na Anglii. Vzrů</w:t>
      </w:r>
      <w:r>
        <w:rPr>
          <w:sz w:val="19"/>
          <w:szCs w:val="19"/>
        </w:rPr>
        <w:t>stající vážný anglický zájem o evrop</w:t>
      </w:r>
      <w:r>
        <w:rPr>
          <w:sz w:val="19"/>
          <w:szCs w:val="19"/>
        </w:rPr>
        <w:softHyphen/>
        <w:t>skou i naši moderní architekturu je důkazem správnosti a kvality tohoto hnutí. Sotva by Anglie se svým tradič</w:t>
      </w:r>
      <w:r>
        <w:rPr>
          <w:sz w:val="19"/>
          <w:szCs w:val="19"/>
        </w:rPr>
        <w:softHyphen/>
        <w:t>ním konservatismem přijala něco efemérního, co by ne</w:t>
      </w:r>
      <w:r>
        <w:rPr>
          <w:sz w:val="19"/>
          <w:szCs w:val="19"/>
        </w:rPr>
        <w:softHyphen/>
        <w:t>bylo skutečným zlepšením a pokrokem.</w:t>
      </w:r>
    </w:p>
    <w:p w:rsidR="00500724" w:rsidRDefault="00F30FB8">
      <w:pPr>
        <w:pStyle w:val="Zkladntext40"/>
        <w:shd w:val="clear" w:color="auto" w:fill="auto"/>
        <w:spacing w:after="100" w:line="240" w:lineRule="auto"/>
        <w:jc w:val="center"/>
        <w:rPr>
          <w:sz w:val="14"/>
          <w:szCs w:val="14"/>
        </w:rPr>
      </w:pPr>
      <w:r>
        <w:rPr>
          <w:b/>
          <w:bCs/>
          <w:sz w:val="14"/>
          <w:szCs w:val="14"/>
        </w:rPr>
        <w:t>Nevlastní touhy mal</w:t>
      </w:r>
      <w:r>
        <w:rPr>
          <w:b/>
          <w:bCs/>
          <w:sz w:val="14"/>
          <w:szCs w:val="14"/>
        </w:rPr>
        <w:t>ého člověka</w:t>
      </w:r>
    </w:p>
    <w:p w:rsidR="00500724" w:rsidRDefault="00F30FB8">
      <w:pPr>
        <w:pStyle w:val="Zkladntext100"/>
        <w:shd w:val="clear" w:color="auto" w:fill="auto"/>
        <w:spacing w:line="209" w:lineRule="auto"/>
        <w:ind w:firstLine="240"/>
        <w:rPr>
          <w:sz w:val="19"/>
          <w:szCs w:val="19"/>
        </w:rPr>
      </w:pPr>
      <w:r>
        <w:rPr>
          <w:sz w:val="19"/>
          <w:szCs w:val="19"/>
        </w:rPr>
        <w:t>Kdybychom se zeptali našeho dělníka, zřízence nebo drobného živnostníka, zkrátka tak zv. malého českého člověka, jak si představují budoucí lepší život pracují</w:t>
      </w:r>
      <w:r>
        <w:rPr>
          <w:sz w:val="19"/>
          <w:szCs w:val="19"/>
        </w:rPr>
        <w:softHyphen/>
        <w:t>cích lidí, zjistili bychom nepochybně, že jejich předsta</w:t>
      </w:r>
      <w:r>
        <w:rPr>
          <w:sz w:val="19"/>
          <w:szCs w:val="19"/>
        </w:rPr>
        <w:softHyphen/>
        <w:t>va je značně měšťanská. Mal</w:t>
      </w:r>
      <w:r>
        <w:rPr>
          <w:sz w:val="19"/>
          <w:szCs w:val="19"/>
        </w:rPr>
        <w:t>ý člověk by chtěl svoji vilu, zahradu, ženu, která vede nebo dozírá na domácnost, vozí děti na procházku, chtěl by i služebnou čili pomoc</w:t>
      </w:r>
      <w:r>
        <w:rPr>
          <w:sz w:val="19"/>
          <w:szCs w:val="19"/>
        </w:rPr>
        <w:softHyphen/>
        <w:t>nici v domácnosti, psa nebo i automobil. Chtěl by být živ jako zámožný j&gt;lepší« člověk, jako pán.</w:t>
      </w:r>
    </w:p>
    <w:p w:rsidR="00500724" w:rsidRDefault="00F30FB8">
      <w:pPr>
        <w:pStyle w:val="Zkladntext100"/>
        <w:shd w:val="clear" w:color="auto" w:fill="auto"/>
        <w:spacing w:after="80" w:line="209" w:lineRule="auto"/>
        <w:ind w:firstLine="240"/>
        <w:rPr>
          <w:sz w:val="19"/>
          <w:szCs w:val="19"/>
        </w:rPr>
      </w:pPr>
      <w:r>
        <w:rPr>
          <w:sz w:val="19"/>
          <w:szCs w:val="19"/>
        </w:rPr>
        <w:t xml:space="preserve">Tento pracující </w:t>
      </w:r>
      <w:r>
        <w:rPr>
          <w:sz w:val="19"/>
          <w:szCs w:val="19"/>
        </w:rPr>
        <w:t>člověk se nezlobí na tak zvané spole</w:t>
      </w:r>
      <w:r>
        <w:rPr>
          <w:sz w:val="19"/>
          <w:szCs w:val="19"/>
        </w:rPr>
        <w:softHyphen/>
        <w:t>čenské filmy, v nichž vystupují lenoši velkého světa, kteří se vždy jen hloupě baví a nikdy nepracují. Jako kdysi lid měl rád pohádky o králích a rytířích, kteří se měli dobře z jeho práce, tak dnešní lid — nebo aspoň j</w:t>
      </w:r>
      <w:r>
        <w:rPr>
          <w:sz w:val="19"/>
          <w:szCs w:val="19"/>
        </w:rPr>
        <w:t>eho značná část — rád snáší všechny pobuřující filmy a romány, z nichž si spřádá vábnou představu o svém lepším zítřku. Chudé dívky domovníků a školníků čtou všelijaké hloupé povídkv a sní podle nich o provdání za bohaté továrníky, bankovní ředitele a univ</w:t>
      </w:r>
      <w:r>
        <w:rPr>
          <w:sz w:val="19"/>
          <w:szCs w:val="19"/>
        </w:rPr>
        <w:t>ersitní pro</w:t>
      </w:r>
      <w:r>
        <w:rPr>
          <w:sz w:val="19"/>
          <w:szCs w:val="19"/>
        </w:rPr>
        <w:softHyphen/>
        <w:t xml:space="preserve">fesory. Není však dostatečného množství továrníků, bankovních ředitelů a profesorů, kteří by pojali za manželky všechny chudé dívky, potřebné úspěšného sňatku. Proto se tyto dívky většinou vdají skromněji. Ale i pak si koupí, často na splátky, </w:t>
      </w:r>
      <w:r>
        <w:rPr>
          <w:sz w:val="19"/>
          <w:szCs w:val="19"/>
        </w:rPr>
        <w:t>špatný a ohavný nábytek ze vzácného dřeva pravého nebo napodobe</w:t>
      </w:r>
      <w:r>
        <w:rPr>
          <w:sz w:val="19"/>
          <w:szCs w:val="19"/>
        </w:rPr>
        <w:softHyphen/>
        <w:t>ného. Nepostradatelná je nechutná ložnice s dvojitou postelí, spojenou s nočními stolky v monumentální kata- falk, s trojdílnou skříní a psychou. Tento nábytek, zabí</w:t>
      </w:r>
      <w:r>
        <w:rPr>
          <w:sz w:val="19"/>
          <w:szCs w:val="19"/>
        </w:rPr>
        <w:softHyphen/>
        <w:t xml:space="preserve">rající celou místnost, se </w:t>
      </w:r>
      <w:r>
        <w:rPr>
          <w:sz w:val="19"/>
          <w:szCs w:val="19"/>
        </w:rPr>
        <w:t>umístí do jediného pokoje skromného jednopokojového bytu, který je ubohou kari</w:t>
      </w:r>
      <w:r>
        <w:rPr>
          <w:sz w:val="19"/>
          <w:szCs w:val="19"/>
        </w:rPr>
        <w:softHyphen/>
        <w:t>katurou pohodlného měšťanského bytu o více pokojích různých účelů. Chudé vdovy po menších úřednících, bydlící v ne vy topených a špinavých bytech pod ochra</w:t>
      </w:r>
      <w:r>
        <w:rPr>
          <w:sz w:val="19"/>
          <w:szCs w:val="19"/>
        </w:rPr>
        <w:softHyphen/>
        <w:t>nou nájemníků, utíkaj</w:t>
      </w:r>
      <w:r>
        <w:rPr>
          <w:sz w:val="19"/>
          <w:szCs w:val="19"/>
        </w:rPr>
        <w:t>í denně z domova do přepycho</w:t>
      </w:r>
      <w:r>
        <w:rPr>
          <w:sz w:val="19"/>
          <w:szCs w:val="19"/>
        </w:rPr>
        <w:softHyphen/>
        <w:t>vých kaváren, tam přehodí svůj ošumělý kabát přes po</w:t>
      </w:r>
      <w:r>
        <w:rPr>
          <w:sz w:val="19"/>
          <w:szCs w:val="19"/>
        </w:rPr>
        <w:softHyphen/>
        <w:t>zlacené čalouněné křeslo a celé odpoledne se cítí za dvoukorunovou kávu vzácnými dámami v nádheře vznešeného salonu kavárny. Po válce se v nové repu</w:t>
      </w:r>
      <w:r>
        <w:rPr>
          <w:sz w:val="19"/>
          <w:szCs w:val="19"/>
        </w:rPr>
        <w:softHyphen/>
        <w:t>blice uvažovalo o odstran</w:t>
      </w:r>
      <w:r>
        <w:rPr>
          <w:sz w:val="19"/>
          <w:szCs w:val="19"/>
        </w:rPr>
        <w:t>ění pozdravu rukulíbám a ti</w:t>
      </w:r>
      <w:r>
        <w:rPr>
          <w:sz w:val="19"/>
          <w:szCs w:val="19"/>
        </w:rPr>
        <w:softHyphen/>
        <w:t>tulu milostivá paní i všech společenských titulů. Vývoj však šel obráceně. Pozdrav rukulíbám a milostivá se rozšířil do širokých vrstev malého českého člověka, kte</w:t>
      </w:r>
      <w:r>
        <w:rPr>
          <w:sz w:val="19"/>
          <w:szCs w:val="19"/>
        </w:rPr>
        <w:softHyphen/>
      </w:r>
      <w:r>
        <w:rPr>
          <w:sz w:val="22"/>
          <w:szCs w:val="22"/>
        </w:rPr>
        <w:t xml:space="preserve">rý </w:t>
      </w:r>
      <w:r>
        <w:rPr>
          <w:sz w:val="19"/>
          <w:szCs w:val="19"/>
        </w:rPr>
        <w:t>si naopak osvojil a nalezl pro sebe řadu nových titu</w:t>
      </w:r>
      <w:r>
        <w:rPr>
          <w:sz w:val="19"/>
          <w:szCs w:val="19"/>
        </w:rPr>
        <w:softHyphen/>
        <w:t>lů. V ži</w:t>
      </w:r>
      <w:r>
        <w:rPr>
          <w:sz w:val="19"/>
          <w:szCs w:val="19"/>
        </w:rPr>
        <w:t>votním slohu čtvrtého stavu se děje ve dvacátém století podobný proces, jakým procházelo měšťanstvo ve století devatenáctém, to jest změšťáčtění širokých vrstev lidových.</w:t>
      </w:r>
    </w:p>
    <w:p w:rsidR="00500724" w:rsidRDefault="00F30FB8">
      <w:pPr>
        <w:pStyle w:val="Zkladntext100"/>
        <w:shd w:val="clear" w:color="auto" w:fill="auto"/>
        <w:spacing w:after="40" w:line="209" w:lineRule="auto"/>
        <w:ind w:firstLine="0"/>
        <w:jc w:val="center"/>
        <w:rPr>
          <w:sz w:val="19"/>
          <w:szCs w:val="19"/>
        </w:rPr>
      </w:pPr>
      <w:r>
        <w:rPr>
          <w:sz w:val="19"/>
          <w:szCs w:val="19"/>
        </w:rPr>
        <w:t>Co překáží lidové architektuře?</w:t>
      </w:r>
    </w:p>
    <w:p w:rsidR="00500724" w:rsidRDefault="00F30FB8">
      <w:pPr>
        <w:pStyle w:val="Zkladntext100"/>
        <w:shd w:val="clear" w:color="auto" w:fill="auto"/>
        <w:spacing w:line="209" w:lineRule="auto"/>
        <w:ind w:left="200" w:firstLine="0"/>
        <w:jc w:val="left"/>
        <w:rPr>
          <w:sz w:val="19"/>
          <w:szCs w:val="19"/>
        </w:rPr>
      </w:pPr>
      <w:r>
        <w:rPr>
          <w:sz w:val="19"/>
          <w:szCs w:val="19"/>
        </w:rPr>
        <w:t>Opět se objevuje zcela podobná lživost, která vyzna</w:t>
      </w:r>
      <w:r>
        <w:rPr>
          <w:sz w:val="19"/>
          <w:szCs w:val="19"/>
        </w:rPr>
        <w:softHyphen/>
      </w:r>
    </w:p>
    <w:p w:rsidR="00500724" w:rsidRDefault="00F30FB8">
      <w:pPr>
        <w:pStyle w:val="Zkladntext100"/>
        <w:shd w:val="clear" w:color="auto" w:fill="auto"/>
        <w:spacing w:after="40" w:line="209" w:lineRule="auto"/>
        <w:ind w:firstLine="0"/>
        <w:rPr>
          <w:sz w:val="19"/>
          <w:szCs w:val="19"/>
        </w:rPr>
      </w:pPr>
      <w:r>
        <w:rPr>
          <w:sz w:val="19"/>
          <w:szCs w:val="19"/>
        </w:rPr>
        <w:t>čovala životní sloh a bytovou kulturu měšťanstva v mi</w:t>
      </w:r>
      <w:r>
        <w:rPr>
          <w:sz w:val="19"/>
          <w:szCs w:val="19"/>
        </w:rPr>
        <w:softHyphen/>
        <w:t>nulém století. Malý člověk si postaví domek, který musí mít, je-li jen trochu možno, arkýř a balkon. Je to domek, a říká se mu vila. Stavěl to zedník, zednický mistr, ale říkal si architekt. Plány obkre</w:t>
      </w:r>
      <w:r>
        <w:rPr>
          <w:sz w:val="19"/>
          <w:szCs w:val="19"/>
        </w:rPr>
        <w:t>slil ze špatné předložky, ale na štít si napsal, že stavbu projektuje. Pan majitel je třeba zubní technik, živnostník s měšťankou, ale rád slyší, že mu říkají pan doktor. Aby mohl umořit dluhy, pronajme v létě část své vily letním hostům. Přijede k němu au</w:t>
      </w:r>
      <w:r>
        <w:rPr>
          <w:sz w:val="19"/>
          <w:szCs w:val="19"/>
        </w:rPr>
        <w:t xml:space="preserve">tem paní revisorová z Prahy. Pan učitel jí řekl: Milostivá paní, vaše dceruška potřebuje zotavení! Paní revisorová dostane pokoj s krásným nábytkem z kav- kazského ořechu z Jižní Ameriky. Tento pokoj je spojen dveřmi s ložnicí, která má nábytek z kanadské </w:t>
      </w:r>
      <w:r>
        <w:rPr>
          <w:sz w:val="19"/>
          <w:szCs w:val="19"/>
        </w:rPr>
        <w:t>břízy ze severní Austrálie. Krásnou ložnici obývá v létě paní vrchní tajemníková a ještě jedna dáma s chlapečkem, který má šatečky matrós jako soudcovic hošínkové. Vzácný nábytek obou pokojů je buď pravý, nebo je z našeho měkkého dřeva, na něž je drahé ciz</w:t>
      </w:r>
      <w:r>
        <w:rPr>
          <w:sz w:val="19"/>
          <w:szCs w:val="19"/>
        </w:rPr>
        <w:t>okrajné dře</w:t>
      </w:r>
      <w:r>
        <w:rPr>
          <w:sz w:val="19"/>
          <w:szCs w:val="19"/>
        </w:rPr>
        <w:softHyphen/>
        <w:t>vo namalováno lakýrníkem — k nerozeznání. Tento ohyzdný nábytek dodal pražský truhlář, který měl na</w:t>
      </w:r>
      <w:r>
        <w:rPr>
          <w:sz w:val="19"/>
          <w:szCs w:val="19"/>
        </w:rPr>
        <w:softHyphen/>
        <w:t>psáno na firmě: Atelier pro vnitřní architekturu. A ča- ouník, jenž měl na své podzemní dílně nápis: Umě- ecko-průmyslové závody čalounické. Nes</w:t>
      </w:r>
      <w:r>
        <w:rPr>
          <w:sz w:val="19"/>
          <w:szCs w:val="19"/>
        </w:rPr>
        <w:t>tačí domek, zednický mistr, truhlář, čalouník, zubní technik, žena zřízence, nestačí naše obyčejné dřevo, nestačí pouhé správné označení věcí a osob, řemesla a zaměstnání, ne</w:t>
      </w:r>
      <w:r>
        <w:rPr>
          <w:sz w:val="19"/>
          <w:szCs w:val="19"/>
        </w:rPr>
        <w:softHyphen/>
        <w:t xml:space="preserve">stačí prostá hodnost občana. Nestačí pravda, je třeba lži, klamného předstírání, </w:t>
      </w:r>
      <w:r>
        <w:rPr>
          <w:sz w:val="19"/>
          <w:szCs w:val="19"/>
        </w:rPr>
        <w:t>falešných hodností, házení písku do očí. Tímto pokrokem jsou postiženi všichni malí lidé, jimž se jen trochu dobře nebo lépe daří. A zů</w:t>
      </w:r>
      <w:r>
        <w:rPr>
          <w:sz w:val="19"/>
          <w:szCs w:val="19"/>
        </w:rPr>
        <w:softHyphen/>
        <w:t>stali této vymoženosti dosud uchráněni jen ti nejchudší. Čtvrtý stav nabývá svých životních práv, prožívá všu</w:t>
      </w:r>
      <w:r>
        <w:rPr>
          <w:sz w:val="19"/>
          <w:szCs w:val="19"/>
        </w:rPr>
        <w:softHyphen/>
        <w:t>de ve svět</w:t>
      </w:r>
      <w:r>
        <w:rPr>
          <w:sz w:val="19"/>
          <w:szCs w:val="19"/>
        </w:rPr>
        <w:t>ě, byť v různých formách a systémech, svůj vzestup — a ten se neděje jinak než cestou přes měšťan</w:t>
      </w:r>
      <w:r>
        <w:rPr>
          <w:sz w:val="19"/>
          <w:szCs w:val="19"/>
        </w:rPr>
        <w:softHyphen/>
        <w:t>ský životní názor. A nejde jen o zevní formy, o způsob života, jde o hlubší prožití. Staví každý, kdo jen trochu chce být ve svém, chce být majitelem, třeba j</w:t>
      </w:r>
      <w:r>
        <w:rPr>
          <w:sz w:val="19"/>
          <w:szCs w:val="19"/>
        </w:rPr>
        <w:t>en besídky nebo boudy, ale na vlastní oplocené parcele, kam může vlastník cizím přístup zakázat.</w:t>
      </w:r>
    </w:p>
    <w:p w:rsidR="00500724" w:rsidRDefault="00F30FB8">
      <w:pPr>
        <w:pStyle w:val="Zkladntext100"/>
        <w:shd w:val="clear" w:color="auto" w:fill="auto"/>
        <w:spacing w:line="276" w:lineRule="auto"/>
        <w:ind w:left="200" w:firstLine="400"/>
        <w:jc w:val="left"/>
        <w:rPr>
          <w:sz w:val="19"/>
          <w:szCs w:val="19"/>
        </w:rPr>
      </w:pPr>
      <w:r>
        <w:rPr>
          <w:sz w:val="19"/>
          <w:szCs w:val="19"/>
        </w:rPr>
        <w:t>Veliký a špatný stavební ruch K nesčetným měšťanům, stavícím své vily v městeeh</w:t>
      </w:r>
    </w:p>
    <w:p w:rsidR="00500724" w:rsidRDefault="00F30FB8">
      <w:pPr>
        <w:pStyle w:val="Zkladntext100"/>
        <w:shd w:val="clear" w:color="auto" w:fill="auto"/>
        <w:spacing w:after="200" w:line="211" w:lineRule="auto"/>
        <w:ind w:firstLine="0"/>
        <w:rPr>
          <w:sz w:val="19"/>
          <w:szCs w:val="19"/>
        </w:rPr>
      </w:pPr>
      <w:r>
        <w:rPr>
          <w:sz w:val="19"/>
          <w:szCs w:val="19"/>
        </w:rPr>
        <w:t xml:space="preserve">i na venkově, přistupuje další veliká skupina lidovýeh stavebníků. Vzniká </w:t>
      </w:r>
      <w:r>
        <w:rPr>
          <w:sz w:val="19"/>
          <w:szCs w:val="19"/>
        </w:rPr>
        <w:t>bezuzdný stavební ruch, výroba nesmírného množství rodinných vil, domů, domků a chat, které zaplavují zemi a ničí naše města, obce i širo</w:t>
      </w:r>
      <w:r>
        <w:rPr>
          <w:sz w:val="19"/>
          <w:szCs w:val="19"/>
        </w:rPr>
        <w:softHyphen/>
        <w:t>kou přírodu hůře než válka. A tento hrůzný stavební ruch a rozvoj má velmi špatnou architektonickou jakost. Není jinak</w:t>
      </w:r>
      <w:r>
        <w:rPr>
          <w:sz w:val="19"/>
          <w:szCs w:val="19"/>
        </w:rPr>
        <w:t xml:space="preserve"> možno, když pouze asi tři procenta všech novostaveb jsou projektována skutečnými školenými architekty, zatím co obrovská většina, zbývajících deva</w:t>
      </w:r>
      <w:r>
        <w:rPr>
          <w:sz w:val="19"/>
          <w:szCs w:val="19"/>
        </w:rPr>
        <w:softHyphen/>
        <w:t>desát sedm procent domů, je stavěno bez řádných kva</w:t>
      </w:r>
      <w:r>
        <w:rPr>
          <w:sz w:val="19"/>
          <w:szCs w:val="19"/>
        </w:rPr>
        <w:softHyphen/>
        <w:t>litních projektů, pouze podle špatných šablonovitých plá</w:t>
      </w:r>
      <w:r>
        <w:rPr>
          <w:sz w:val="19"/>
          <w:szCs w:val="19"/>
        </w:rPr>
        <w:t>nů, vyráběných jako vedlejší odpadkový produkt obchodní činnosti podnikatelů, stavitelů a zedníků. Při tom však všichni stavitelé a zedničtí mistři si říkají a píší, že jsou architekty, kteréžto označení není zákonem chráněno. Nastalo úplné znehodnocení ho</w:t>
      </w:r>
      <w:r>
        <w:rPr>
          <w:sz w:val="19"/>
          <w:szCs w:val="19"/>
        </w:rPr>
        <w:t>dnot. Nezřídka zříme na venkovské i městské stavbě nápis: Projektuje architekt Kočka Josef, m. z., podnikatelství staveb. Skromná zkratka m. z. znamená mistr zednický. Když pan Kočka Josef dosáhl živnostenského oprávnění, dal do Národní Politiky do společe</w:t>
      </w:r>
      <w:r>
        <w:rPr>
          <w:sz w:val="19"/>
          <w:szCs w:val="19"/>
        </w:rPr>
        <w:t>nské rubriky oznámení: Architekt Kočka Josef ze Zapadlé Lhoty se podrobil s úspěchem zkoušce a stal se mistrem zednickým. Svět je na ruby obrácen; co kdybychom jednou ve společen</w:t>
      </w:r>
      <w:r>
        <w:rPr>
          <w:sz w:val="19"/>
          <w:szCs w:val="19"/>
        </w:rPr>
        <w:softHyphen/>
        <w:t xml:space="preserve">ské rubrice četli, že profesor techniky vystudoval s úspěchem obecnou školu? </w:t>
      </w:r>
      <w:r>
        <w:rPr>
          <w:sz w:val="19"/>
          <w:szCs w:val="19"/>
        </w:rPr>
        <w:t>U nás zedník nebo stavitel</w:t>
      </w:r>
    </w:p>
    <w:p w:rsidR="00500724" w:rsidRDefault="00F30FB8">
      <w:pPr>
        <w:pStyle w:val="Nadpis120"/>
        <w:shd w:val="clear" w:color="auto" w:fill="auto"/>
        <w:spacing w:after="60"/>
        <w:ind w:left="0"/>
        <w:jc w:val="right"/>
      </w:pPr>
      <w:bookmarkStart w:id="316" w:name="bookmark315"/>
      <w:r>
        <w:t>W</w:t>
      </w:r>
      <w:bookmarkEnd w:id="316"/>
    </w:p>
    <w:p w:rsidR="00500724" w:rsidRDefault="00F30FB8">
      <w:pPr>
        <w:pStyle w:val="Zkladntext100"/>
        <w:shd w:val="clear" w:color="auto" w:fill="auto"/>
        <w:spacing w:after="80" w:line="218" w:lineRule="auto"/>
        <w:ind w:firstLine="0"/>
        <w:rPr>
          <w:sz w:val="19"/>
          <w:szCs w:val="19"/>
        </w:rPr>
      </w:pPr>
      <w:r>
        <w:rPr>
          <w:sz w:val="19"/>
          <w:szCs w:val="19"/>
        </w:rPr>
        <w:t>nemusí mít o architektuře ani zdání, ale na štít si na</w:t>
      </w:r>
      <w:r>
        <w:rPr>
          <w:sz w:val="19"/>
          <w:szCs w:val="19"/>
        </w:rPr>
        <w:softHyphen/>
        <w:t>píše architekt. Zubního technika nazveme dobrovolně panem doktorem, kdyžtě titul doktora je zákonem chráněn. Docházíme ovšem k podivuhodným nesmy</w:t>
      </w:r>
      <w:r>
        <w:rPr>
          <w:sz w:val="19"/>
          <w:szCs w:val="19"/>
        </w:rPr>
        <w:softHyphen/>
        <w:t>slům: Vytažení zubu techni</w:t>
      </w:r>
      <w:r>
        <w:rPr>
          <w:sz w:val="19"/>
          <w:szCs w:val="19"/>
        </w:rPr>
        <w:t>kem je trestným lékařským operativním výkonem. Fušovati zednickému mistru do jeho zedničiny je zakázáno a trestné. Fušovati do archi</w:t>
      </w:r>
      <w:r>
        <w:rPr>
          <w:sz w:val="19"/>
          <w:szCs w:val="19"/>
        </w:rPr>
        <w:softHyphen/>
        <w:t>tektury je všem zedníkům možno a dovoleno. Je ostatně krásná shoda mezi zedníkem a jeho lidovým stavební</w:t>
      </w:r>
      <w:r>
        <w:rPr>
          <w:sz w:val="19"/>
          <w:szCs w:val="19"/>
        </w:rPr>
        <w:softHyphen/>
        <w:t>kem. Oba chtějí, a</w:t>
      </w:r>
      <w:r>
        <w:rPr>
          <w:sz w:val="19"/>
          <w:szCs w:val="19"/>
        </w:rPr>
        <w:t>by domek vypadal jako vzácná vila, oba chtějí být něčím jiným a něčím více, než skutečně jsou. Malý člověk se chce zdát zámožným měšťanem, zcela tak, jako v minulém století měšťan se chtěl zdát vznešeným šlechticem. A toto klamné předstírání je hlavním nep</w:t>
      </w:r>
      <w:r>
        <w:rPr>
          <w:sz w:val="19"/>
          <w:szCs w:val="19"/>
        </w:rPr>
        <w:t xml:space="preserve">řítelem architektonické kvality lidového Stavebnictví. Pravda je nezbytnou podmínkou kvality. Potřebujeme nového Adolfa </w:t>
      </w:r>
      <w:r>
        <w:rPr>
          <w:sz w:val="19"/>
          <w:szCs w:val="19"/>
          <w:lang w:val="en-US" w:eastAsia="en-US" w:bidi="en-US"/>
        </w:rPr>
        <w:t>Loose</w:t>
      </w:r>
    </w:p>
    <w:p w:rsidR="00500724" w:rsidRDefault="00F30FB8">
      <w:pPr>
        <w:pStyle w:val="Zkladntext100"/>
        <w:shd w:val="clear" w:color="auto" w:fill="auto"/>
        <w:spacing w:line="226" w:lineRule="auto"/>
        <w:ind w:firstLine="240"/>
        <w:rPr>
          <w:sz w:val="19"/>
          <w:szCs w:val="19"/>
        </w:rPr>
      </w:pPr>
      <w:r>
        <w:rPr>
          <w:sz w:val="19"/>
          <w:szCs w:val="19"/>
        </w:rPr>
        <w:t>Lež a klamné předstírání znemožňuje čtvrtému stavu dojiti k vlastnímu výrazu, k vlastní lidové bytové kul</w:t>
      </w:r>
      <w:r>
        <w:rPr>
          <w:sz w:val="19"/>
          <w:szCs w:val="19"/>
        </w:rPr>
        <w:softHyphen/>
        <w:t>tuře a k samostatnému no</w:t>
      </w:r>
      <w:r>
        <w:rPr>
          <w:sz w:val="19"/>
          <w:szCs w:val="19"/>
        </w:rPr>
        <w:t>vému životnímu slohu. Aby</w:t>
      </w:r>
      <w:r>
        <w:rPr>
          <w:sz w:val="19"/>
          <w:szCs w:val="19"/>
        </w:rPr>
        <w:softHyphen/>
        <w:t>chom se k němu přiblížili, bude nutno vymýtit všechny staré předsudky z vědomí lidu, jako Loos vymítil feu</w:t>
      </w:r>
      <w:r>
        <w:rPr>
          <w:sz w:val="19"/>
          <w:szCs w:val="19"/>
        </w:rPr>
        <w:softHyphen/>
        <w:t>dální předsudky z vědomí měšťanstva a tím připravil příchod nové architektury. Bude nutno přísným rozbo</w:t>
      </w:r>
      <w:r>
        <w:rPr>
          <w:sz w:val="19"/>
          <w:szCs w:val="19"/>
        </w:rPr>
        <w:softHyphen/>
        <w:t>rem odhalit, co brá</w:t>
      </w:r>
      <w:r>
        <w:rPr>
          <w:sz w:val="19"/>
          <w:szCs w:val="19"/>
        </w:rPr>
        <w:t>ní zrození opravdové lidové bytové kultury. Učiníme-li tak, veliká a nová cesta se nám otevře.</w:t>
      </w:r>
    </w:p>
    <w:p w:rsidR="00500724" w:rsidRDefault="00F30FB8">
      <w:pPr>
        <w:pStyle w:val="Zkladntext100"/>
        <w:shd w:val="clear" w:color="auto" w:fill="auto"/>
        <w:spacing w:line="223" w:lineRule="auto"/>
        <w:ind w:firstLine="240"/>
        <w:rPr>
          <w:sz w:val="19"/>
          <w:szCs w:val="19"/>
        </w:rPr>
      </w:pPr>
      <w:r>
        <w:rPr>
          <w:sz w:val="19"/>
          <w:szCs w:val="19"/>
        </w:rPr>
        <w:t>Pohleďme na obyčejné proutěné křeslo. Je lehké, pev</w:t>
      </w:r>
      <w:r>
        <w:rPr>
          <w:sz w:val="19"/>
          <w:szCs w:val="19"/>
        </w:rPr>
        <w:softHyphen/>
        <w:t xml:space="preserve">né, pohodlné </w:t>
      </w:r>
      <w:r>
        <w:rPr>
          <w:b/>
          <w:bCs/>
          <w:sz w:val="20"/>
          <w:szCs w:val="20"/>
        </w:rPr>
        <w:t xml:space="preserve">a </w:t>
      </w:r>
      <w:r>
        <w:rPr>
          <w:sz w:val="19"/>
          <w:szCs w:val="19"/>
        </w:rPr>
        <w:t xml:space="preserve">stojí </w:t>
      </w:r>
      <w:r>
        <w:rPr>
          <w:sz w:val="22"/>
          <w:szCs w:val="22"/>
        </w:rPr>
        <w:t xml:space="preserve">50 </w:t>
      </w:r>
      <w:r>
        <w:rPr>
          <w:sz w:val="19"/>
          <w:szCs w:val="19"/>
        </w:rPr>
        <w:t xml:space="preserve">korun. Je tak pohodlné, že </w:t>
      </w:r>
      <w:r>
        <w:rPr>
          <w:b/>
          <w:bCs/>
          <w:sz w:val="20"/>
          <w:szCs w:val="20"/>
        </w:rPr>
        <w:t xml:space="preserve">v </w:t>
      </w:r>
      <w:r>
        <w:rPr>
          <w:sz w:val="19"/>
          <w:szCs w:val="19"/>
        </w:rPr>
        <w:t>mnohé čekárně lékaře nebo advokáta si v něm po</w:t>
      </w:r>
      <w:r>
        <w:rPr>
          <w:sz w:val="19"/>
          <w:szCs w:val="19"/>
        </w:rPr>
        <w:softHyphen/>
        <w:t>sedíme rá</w:t>
      </w:r>
      <w:r>
        <w:rPr>
          <w:sz w:val="19"/>
          <w:szCs w:val="19"/>
        </w:rPr>
        <w:t xml:space="preserve">di a daleko lépe než v mnohých drahých </w:t>
      </w:r>
      <w:r>
        <w:rPr>
          <w:b/>
          <w:bCs/>
          <w:sz w:val="20"/>
          <w:szCs w:val="20"/>
        </w:rPr>
        <w:t xml:space="preserve">a </w:t>
      </w:r>
      <w:r>
        <w:rPr>
          <w:sz w:val="19"/>
          <w:szCs w:val="19"/>
        </w:rPr>
        <w:t>špatně udělaných klubovkách za 1500 korun. Ale říká se, že se proutěné křeslo hodí pouze do předsíně, na ve</w:t>
      </w:r>
      <w:r>
        <w:rPr>
          <w:sz w:val="19"/>
          <w:szCs w:val="19"/>
        </w:rPr>
        <w:softHyphen/>
        <w:t xml:space="preserve">randu nebo do letních domků. Kokosový koberec je pevný, trvanlivý a vzhledný, ale také se říká, že se hodí </w:t>
      </w:r>
      <w:r>
        <w:rPr>
          <w:sz w:val="19"/>
          <w:szCs w:val="19"/>
        </w:rPr>
        <w:t>jen do chodeb, předsíní a jiných méně významných místností.</w:t>
      </w:r>
    </w:p>
    <w:p w:rsidR="00500724" w:rsidRDefault="00F30FB8">
      <w:pPr>
        <w:pStyle w:val="Zkladntext100"/>
        <w:shd w:val="clear" w:color="auto" w:fill="auto"/>
        <w:spacing w:line="226" w:lineRule="auto"/>
        <w:ind w:firstLine="240"/>
        <w:rPr>
          <w:sz w:val="19"/>
          <w:szCs w:val="19"/>
        </w:rPr>
      </w:pPr>
      <w:r>
        <w:rPr>
          <w:sz w:val="19"/>
          <w:szCs w:val="19"/>
        </w:rPr>
        <w:t>Jednoduchý nábytek ze smrkového dříví, přírodního nebo opatřeného bílým nátěrem, je prakticky bezvadný, čistý a levný, ale nesmíme ho mít ve svém bytě, poně</w:t>
      </w:r>
      <w:r>
        <w:rPr>
          <w:sz w:val="19"/>
          <w:szCs w:val="19"/>
        </w:rPr>
        <w:softHyphen/>
        <w:t>vadž se hodí, jak se říká, jen do weeke</w:t>
      </w:r>
      <w:r>
        <w:rPr>
          <w:sz w:val="19"/>
          <w:szCs w:val="19"/>
        </w:rPr>
        <w:t>ndů nebo do hotelového pokoje. Kdybychom dali měkký smrkový nebo borový nábytek, proutěné židle a kokosový koberec do čistě vybíleného pokoje v městském činžov</w:t>
      </w:r>
      <w:r>
        <w:rPr>
          <w:sz w:val="19"/>
          <w:szCs w:val="19"/>
        </w:rPr>
        <w:softHyphen/>
        <w:t>ním domě, řekne se, že je to sice snad prakticky dobré, pohodlné a samo o sobě i hezké zařízení,</w:t>
      </w:r>
      <w:r>
        <w:rPr>
          <w:sz w:val="19"/>
          <w:szCs w:val="19"/>
        </w:rPr>
        <w:t xml:space="preserve"> ale má prý jednu vadu: je to jako do weekendů, do bytu se to ne</w:t>
      </w:r>
      <w:r>
        <w:rPr>
          <w:sz w:val="19"/>
          <w:szCs w:val="19"/>
        </w:rPr>
        <w:softHyphen/>
        <w:t>hodí, a lidem by to bylo divné.</w:t>
      </w:r>
    </w:p>
    <w:p w:rsidR="00500724" w:rsidRDefault="00F30FB8">
      <w:pPr>
        <w:pStyle w:val="Zkladntext100"/>
        <w:shd w:val="clear" w:color="auto" w:fill="auto"/>
        <w:spacing w:line="226" w:lineRule="auto"/>
        <w:ind w:firstLine="240"/>
        <w:rPr>
          <w:sz w:val="19"/>
          <w:szCs w:val="19"/>
        </w:rPr>
      </w:pPr>
      <w:r>
        <w:rPr>
          <w:sz w:val="19"/>
          <w:szCs w:val="19"/>
        </w:rPr>
        <w:t>Tato slova přesně vystihují celý předsudek, ukazujíce, že psychická síla předsudku je silnější než tlak hospo</w:t>
      </w:r>
      <w:r>
        <w:rPr>
          <w:sz w:val="19"/>
          <w:szCs w:val="19"/>
        </w:rPr>
        <w:softHyphen/>
        <w:t>dářské skutečnosti. Jestliže je věc dobrá a užite</w:t>
      </w:r>
      <w:r>
        <w:rPr>
          <w:sz w:val="19"/>
          <w:szCs w:val="19"/>
        </w:rPr>
        <w:t xml:space="preserve">čná, musí se hodit všude, zvláště tomu, kdo má málo peněz. </w:t>
      </w:r>
      <w:r>
        <w:rPr>
          <w:sz w:val="20"/>
          <w:szCs w:val="20"/>
        </w:rPr>
        <w:t xml:space="preserve">Toto </w:t>
      </w:r>
      <w:r>
        <w:rPr>
          <w:sz w:val="19"/>
          <w:szCs w:val="19"/>
        </w:rPr>
        <w:t>tak zvané weekendové zařízení se vskutku zna</w:t>
      </w:r>
      <w:r>
        <w:rPr>
          <w:sz w:val="19"/>
          <w:szCs w:val="19"/>
        </w:rPr>
        <w:softHyphen/>
        <w:t>menitě hodí do kteréhokoliv našeho činžáku nebo rodin</w:t>
      </w:r>
      <w:r>
        <w:rPr>
          <w:sz w:val="19"/>
          <w:szCs w:val="19"/>
        </w:rPr>
        <w:softHyphen/>
        <w:t xml:space="preserve">ného domku staršího nebo nového, hodí se úplně stejně, jako se hodilo do našich činžovních </w:t>
      </w:r>
      <w:r>
        <w:rPr>
          <w:sz w:val="19"/>
          <w:szCs w:val="19"/>
        </w:rPr>
        <w:t>domů vznešené pseudosalonní zařízení měšťana minulého století. Jestli</w:t>
      </w:r>
      <w:r>
        <w:rPr>
          <w:sz w:val="19"/>
          <w:szCs w:val="19"/>
        </w:rPr>
        <w:softHyphen/>
        <w:t>že se na křesle dokonale sedí, na spací pohovce pohodlně leží, jsou-li ve skříních a policích bezvadně uloženy šaty a knihy, pak je toto zařízení dobré, ať je z jakého</w:t>
      </w:r>
      <w:r>
        <w:rPr>
          <w:sz w:val="19"/>
          <w:szCs w:val="19"/>
        </w:rPr>
        <w:softHyphen/>
        <w:t>koliv materiálu, j</w:t>
      </w:r>
      <w:r>
        <w:rPr>
          <w:sz w:val="19"/>
          <w:szCs w:val="19"/>
        </w:rPr>
        <w:t>akéhokoliv tvaru a jakkoliv levné. Jsou-li tyto předměty nad to také vzhledné, je-li jejich soulad dobry, pusobi-li celek dojmem vlídné a přívětivé obydlenosti, pak to není nic, než předsudek, který nám zabraňuje zaříditi se takto dobře a levně. Byt o dvou</w:t>
      </w:r>
      <w:r>
        <w:rPr>
          <w:sz w:val="19"/>
          <w:szCs w:val="19"/>
        </w:rPr>
        <w:t xml:space="preserve"> místnostech pro dva nebo čtyři lidi za půldruhého až tři tisíce, místo za patnáct nebo dvacet tisíc korun. Ceny lidové bytové kultury mohou být sníženy na polo</w:t>
      </w:r>
      <w:r>
        <w:rPr>
          <w:sz w:val="19"/>
          <w:szCs w:val="19"/>
        </w:rPr>
        <w:softHyphen/>
        <w:t xml:space="preserve">vinu </w:t>
      </w:r>
      <w:r>
        <w:rPr>
          <w:b/>
          <w:bCs/>
          <w:sz w:val="20"/>
          <w:szCs w:val="20"/>
        </w:rPr>
        <w:t xml:space="preserve">až </w:t>
      </w:r>
      <w:r>
        <w:rPr>
          <w:sz w:val="19"/>
          <w:szCs w:val="19"/>
        </w:rPr>
        <w:t xml:space="preserve">desetinu dnešních obvyklých cen pouze tím, </w:t>
      </w:r>
      <w:r>
        <w:rPr>
          <w:smallCaps/>
          <w:sz w:val="19"/>
          <w:szCs w:val="19"/>
        </w:rPr>
        <w:t>jí</w:t>
      </w:r>
      <w:r>
        <w:rPr>
          <w:sz w:val="19"/>
          <w:szCs w:val="19"/>
        </w:rPr>
        <w:t xml:space="preserve"> 00 že se vzdáme své zaostalosti, přestane</w:t>
      </w:r>
      <w:r>
        <w:rPr>
          <w:sz w:val="19"/>
          <w:szCs w:val="19"/>
        </w:rPr>
        <w:t xml:space="preserve">me rozumovat o tom, co se hodí a co je jako do weekendů. Podobnou očistu a překvapující zlevnění lze provést ve stavbě domů a měst. Je jen třeba, aby byt vskutku již přestal být salonem a aby dům vskutku přestal být palácem. Místo a kromě několika drahých </w:t>
      </w:r>
      <w:r>
        <w:rPr>
          <w:sz w:val="19"/>
          <w:szCs w:val="19"/>
        </w:rPr>
        <w:t>přepychových a pře- komfortních novostaveb potřebujeme daleko naléhavěji všeobecnou vnitřní přestavbu a úpravu všech obytných domů našich měst a obcí. Úpravu a přestavbu ekono</w:t>
      </w:r>
      <w:r>
        <w:rPr>
          <w:sz w:val="19"/>
          <w:szCs w:val="19"/>
        </w:rPr>
        <w:softHyphen/>
        <w:t>mickou, rozumnou, finančně dostupnou majitelům, s ná</w:t>
      </w:r>
      <w:r>
        <w:rPr>
          <w:sz w:val="19"/>
          <w:szCs w:val="19"/>
        </w:rPr>
        <w:softHyphen/>
        <w:t>jemným přiměřeným lidovým v</w:t>
      </w:r>
      <w:r>
        <w:rPr>
          <w:sz w:val="19"/>
          <w:szCs w:val="19"/>
        </w:rPr>
        <w:t>rstvám. To je reelní a dosažitelný cíl bytové kultury. Je závislý mimo jiné na novém dočasném procentuálním osvobození těchto přestaveb a úprav, vydatnějším, než dosavadní platné daňové výhody.</w:t>
      </w:r>
    </w:p>
    <w:p w:rsidR="00500724" w:rsidRDefault="00F30FB8">
      <w:pPr>
        <w:pStyle w:val="Zkladntext100"/>
        <w:shd w:val="clear" w:color="auto" w:fill="auto"/>
        <w:spacing w:after="200" w:line="209" w:lineRule="auto"/>
        <w:ind w:firstLine="220"/>
        <w:rPr>
          <w:sz w:val="19"/>
          <w:szCs w:val="19"/>
        </w:rPr>
      </w:pPr>
      <w:r>
        <w:rPr>
          <w:sz w:val="19"/>
          <w:szCs w:val="19"/>
        </w:rPr>
        <w:t>Ceny této bytové kultury musí odpovídati skutečné finanční sit</w:t>
      </w:r>
      <w:r>
        <w:rPr>
          <w:sz w:val="19"/>
          <w:szCs w:val="19"/>
        </w:rPr>
        <w:t xml:space="preserve">uaci lidu. Mezi nejvyšším komfortem elek- trisovaného obytného paláce s nedostupným nájemným a mezi úplným nekomfortem zanedbaného staršího činžovního domu je mnoho přechodných stupňů, jež jsou méně než nejvyšší komfort, ale mnohem víc než nic, a jež jsou </w:t>
      </w:r>
      <w:r>
        <w:rPr>
          <w:sz w:val="19"/>
          <w:szCs w:val="19"/>
        </w:rPr>
        <w:t>širokým lidovým vrstvám za dané situace zcela dostupné. Hledajíce tuto levnou, ale dobrou cestu mezi nejvyšším a žádným komfortem, objevíme pravdě</w:t>
      </w:r>
      <w:r>
        <w:rPr>
          <w:sz w:val="19"/>
          <w:szCs w:val="19"/>
        </w:rPr>
        <w:softHyphen/>
        <w:t>podobně zcela nové prvky lidové bytové kultury a zjistíme, že přemnohý předmět a součást domu a bytu může být</w:t>
      </w:r>
      <w:r>
        <w:rPr>
          <w:sz w:val="19"/>
          <w:szCs w:val="19"/>
        </w:rPr>
        <w:t xml:space="preserve"> daleko jednodušší, než jsme byli zvyklí, a také daleko levnější — a že bytové minimum je zároveň znamenitě dostačujícím maximem. Lidová architektura a bytová kultura přijme a zlidoví všechny obecně uži</w:t>
      </w:r>
      <w:r>
        <w:rPr>
          <w:sz w:val="19"/>
          <w:szCs w:val="19"/>
        </w:rPr>
        <w:softHyphen/>
        <w:t>tečné vymoženosti dnešní kultury, k nimž připojí nové</w:t>
      </w:r>
      <w:r>
        <w:rPr>
          <w:sz w:val="19"/>
          <w:szCs w:val="19"/>
        </w:rPr>
        <w:t>, dnes ještě neznámé možnosti. Zároveň se přiblíží staré stavební a bytové kultuře lidu, z níž přijme její čistotu, lásku k pořádku, pravdivost, lidské měřítko, občanskou jednoduchost a lidovou prostotu. Spojí pravděpodobně nově vyspělou materiální kulturu</w:t>
      </w:r>
      <w:r>
        <w:rPr>
          <w:sz w:val="19"/>
          <w:szCs w:val="19"/>
        </w:rPr>
        <w:t>, vy</w:t>
      </w:r>
      <w:r>
        <w:rPr>
          <w:sz w:val="19"/>
          <w:szCs w:val="19"/>
        </w:rPr>
        <w:softHyphen/>
        <w:t>sokou civilisační úroveň s hlubokým lidským oproště</w:t>
      </w:r>
      <w:r>
        <w:rPr>
          <w:sz w:val="19"/>
          <w:szCs w:val="19"/>
        </w:rPr>
        <w:softHyphen/>
        <w:t>ním, které postupuje stále intensivněji od architektury královské a feudální přes měšťanskou k lidové a lidské. Spojí vymoženosti stroje a Diogenova sudu. Počátek této cesty je však spíše v psycholog</w:t>
      </w:r>
      <w:r>
        <w:rPr>
          <w:sz w:val="19"/>
          <w:szCs w:val="19"/>
        </w:rPr>
        <w:t>ii než hospodářství a technice: učit se být tím, čím vskutku jsme a budeme, nechtít žít nad poměry, nechtít vzbuzovat závist, ne</w:t>
      </w:r>
      <w:r>
        <w:rPr>
          <w:sz w:val="19"/>
          <w:szCs w:val="19"/>
        </w:rPr>
        <w:softHyphen/>
        <w:t>chtít oslňovat a neházet lidem písek do očí, vážit si své nejvyšší hodnosti lidské a občanské.</w:t>
      </w:r>
    </w:p>
    <w:p w:rsidR="00500724" w:rsidRDefault="00F30FB8">
      <w:pPr>
        <w:pStyle w:val="Jin0"/>
        <w:shd w:val="clear" w:color="auto" w:fill="auto"/>
        <w:ind w:firstLine="0"/>
        <w:jc w:val="left"/>
        <w:rPr>
          <w:sz w:val="46"/>
          <w:szCs w:val="46"/>
        </w:rPr>
      </w:pPr>
      <w:r>
        <w:rPr>
          <w:b/>
          <w:bCs/>
          <w:sz w:val="46"/>
          <w:szCs w:val="46"/>
        </w:rPr>
        <w:t xml:space="preserve">listárna </w:t>
      </w:r>
      <w:r>
        <w:rPr>
          <w:b/>
          <w:bCs/>
          <w:sz w:val="46"/>
          <w:szCs w:val="46"/>
          <w:lang w:val="en-US" w:eastAsia="en-US" w:bidi="en-US"/>
        </w:rPr>
        <w:t xml:space="preserve">red </w:t>
      </w:r>
      <w:r>
        <w:rPr>
          <w:b/>
          <w:bCs/>
          <w:sz w:val="46"/>
          <w:szCs w:val="46"/>
        </w:rPr>
        <w:t>akce</w:t>
      </w:r>
    </w:p>
    <w:p w:rsidR="00500724" w:rsidRDefault="00F30FB8">
      <w:pPr>
        <w:pStyle w:val="Jin0"/>
        <w:shd w:val="clear" w:color="auto" w:fill="auto"/>
        <w:spacing w:after="140"/>
        <w:ind w:firstLine="0"/>
        <w:jc w:val="left"/>
        <w:rPr>
          <w:sz w:val="8"/>
          <w:szCs w:val="8"/>
        </w:rPr>
      </w:pPr>
      <w:r>
        <w:rPr>
          <w:rFonts w:ascii="Arial" w:eastAsia="Arial" w:hAnsi="Arial" w:cs="Arial"/>
          <w:b/>
          <w:bCs/>
          <w:sz w:val="8"/>
          <w:szCs w:val="8"/>
        </w:rPr>
        <w:t>0BsamKBKiBsiE29KBB3KiazaizsBSEBaBB3BaBKasBaiSEBiiSBflBKBSsaaEsaaa9eaaKaaiBmHSKciBaaEKaaetssBSBaB»</w:t>
      </w:r>
    </w:p>
    <w:p w:rsidR="00500724" w:rsidRDefault="00F30FB8">
      <w:pPr>
        <w:pStyle w:val="Zkladntext20"/>
        <w:shd w:val="clear" w:color="auto" w:fill="auto"/>
        <w:spacing w:line="180" w:lineRule="auto"/>
        <w:ind w:firstLine="220"/>
        <w:rPr>
          <w:sz w:val="20"/>
          <w:szCs w:val="20"/>
        </w:rPr>
      </w:pPr>
      <w:r>
        <w:rPr>
          <w:sz w:val="20"/>
          <w:szCs w:val="20"/>
        </w:rPr>
        <w:t>Ženská nová zaměstnání. Události, které se tak řítí, za</w:t>
      </w:r>
      <w:r>
        <w:rPr>
          <w:sz w:val="20"/>
          <w:szCs w:val="20"/>
        </w:rPr>
        <w:softHyphen/>
        <w:t xml:space="preserve">sáhly ženu v jejím pracovním vývoji jistě velmi kruté, máte pravdu. Mýlíte se však, domníváte-li se, </w:t>
      </w:r>
      <w:r>
        <w:rPr>
          <w:sz w:val="20"/>
          <w:szCs w:val="20"/>
        </w:rPr>
        <w:t>že to je věc naprosto beznadějná. Až budou vyřešeny nejdůležitější problémy, bude jistě vyřešen i tento. U nás byl v posledních letech tak úžasný vzestup žen, které studovaly a hledaly samostatné zaměstnání, že by i bez politických událostí byla značná čás</w:t>
      </w:r>
      <w:r>
        <w:rPr>
          <w:sz w:val="20"/>
          <w:szCs w:val="20"/>
        </w:rPr>
        <w:t>t akademicky vzdělaných žen hospodářsky postižena. V jednom z nejbližších čísel chystáme obsáhlou reportáž o výhledech, která se pro nová ženská povolání otevírají. Není sporu o tom, že se bude celá tato otázka patrně řešit podle prakse německé, ale věc že</w:t>
      </w:r>
      <w:r>
        <w:rPr>
          <w:sz w:val="20"/>
          <w:szCs w:val="20"/>
        </w:rPr>
        <w:t>nské práce je právě v Německu vyřešena pozoruhodně a ku prospěchu mnoha žen. Po dočasném vyřadění ženy z práce zařadilo Německo ženy znovu do samostatných povolání, ale vý</w:t>
      </w:r>
      <w:r>
        <w:rPr>
          <w:sz w:val="20"/>
          <w:szCs w:val="20"/>
        </w:rPr>
        <w:softHyphen/>
        <w:t>lučně pro ženy vhodných, vybírajíc hlavně taková, kde se může žena uplatnit prostě t</w:t>
      </w:r>
      <w:r>
        <w:rPr>
          <w:sz w:val="20"/>
          <w:szCs w:val="20"/>
        </w:rPr>
        <w:t>ak dobře či snad lépe, než muž. Příště vám o tom povíme více.</w:t>
      </w:r>
    </w:p>
    <w:p w:rsidR="00500724" w:rsidRDefault="00F30FB8">
      <w:pPr>
        <w:pStyle w:val="Zkladntext20"/>
        <w:shd w:val="clear" w:color="auto" w:fill="auto"/>
        <w:spacing w:after="140" w:line="180" w:lineRule="auto"/>
        <w:ind w:firstLine="220"/>
        <w:rPr>
          <w:sz w:val="20"/>
          <w:szCs w:val="20"/>
        </w:rPr>
        <w:sectPr w:rsidR="00500724">
          <w:footnotePr>
            <w:numFmt w:val="chicago"/>
            <w:numRestart w:val="eachPage"/>
          </w:footnotePr>
          <w:pgSz w:w="11909" w:h="16834"/>
          <w:pgMar w:top="1615" w:right="803" w:bottom="658" w:left="750" w:header="0" w:footer="3" w:gutter="0"/>
          <w:cols w:num="2" w:space="151"/>
          <w:noEndnote/>
          <w:docGrid w:linePitch="360"/>
        </w:sectPr>
      </w:pPr>
      <w:r>
        <w:rPr>
          <w:sz w:val="20"/>
          <w:szCs w:val="20"/>
        </w:rPr>
        <w:t xml:space="preserve">Prosíme čtenáře, aby omluvili nepravidelnost, která </w:t>
      </w:r>
      <w:r>
        <w:t>na</w:t>
      </w:r>
      <w:r>
        <w:softHyphen/>
      </w:r>
      <w:r>
        <w:rPr>
          <w:sz w:val="20"/>
          <w:szCs w:val="20"/>
        </w:rPr>
        <w:t>stala ve vycházení našeho listu. Mezi tolika okolnostmi vý</w:t>
      </w:r>
      <w:r>
        <w:rPr>
          <w:sz w:val="20"/>
          <w:szCs w:val="20"/>
        </w:rPr>
        <w:softHyphen/>
        <w:t xml:space="preserve">jimečnými zajisté i tuto lze pochopit. Hlavní potíž </w:t>
      </w:r>
      <w:r>
        <w:rPr>
          <w:sz w:val="20"/>
          <w:szCs w:val="20"/>
        </w:rPr>
        <w:t>pozůstá</w:t>
      </w:r>
      <w:r>
        <w:rPr>
          <w:sz w:val="20"/>
          <w:szCs w:val="20"/>
        </w:rPr>
        <w:softHyphen/>
        <w:t>vala v tom, že vlivem převratných událostí většina připrave</w:t>
      </w:r>
      <w:r>
        <w:rPr>
          <w:sz w:val="20"/>
          <w:szCs w:val="20"/>
        </w:rPr>
        <w:softHyphen/>
        <w:t xml:space="preserve">ných článků ztratila jakýkoliv smysl přítomný. Jestliže nenastanou nové potíže, doufáme, že se budeme moci jiz příští týden vrátit k pravidelnosti </w:t>
      </w:r>
      <w:r>
        <w:t xml:space="preserve">a </w:t>
      </w:r>
      <w:r>
        <w:rPr>
          <w:sz w:val="20"/>
          <w:szCs w:val="20"/>
        </w:rPr>
        <w:t>k obvyklému glosování událostí.</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80" w:line="14" w:lineRule="exact"/>
      </w:pPr>
    </w:p>
    <w:p w:rsidR="00500724" w:rsidRDefault="00500724">
      <w:pPr>
        <w:spacing w:line="14" w:lineRule="exact"/>
        <w:sectPr w:rsidR="00500724">
          <w:footnotePr>
            <w:numFmt w:val="chicago"/>
            <w:numRestart w:val="eachPage"/>
          </w:footnotePr>
          <w:pgSz w:w="11909" w:h="16834"/>
          <w:pgMar w:top="502" w:right="319" w:bottom="902" w:left="1063" w:header="0" w:footer="3" w:gutter="0"/>
          <w:cols w:space="720"/>
          <w:noEndnote/>
          <w:docGrid w:linePitch="360"/>
        </w:sectPr>
      </w:pPr>
    </w:p>
    <w:p w:rsidR="00500724" w:rsidRDefault="00F30FB8">
      <w:pPr>
        <w:pStyle w:val="Zkladntext40"/>
        <w:framePr w:w="2582" w:h="10704" w:wrap="around" w:vAnchor="text" w:hAnchor="page" w:x="6335" w:y="1806"/>
        <w:shd w:val="clear" w:color="auto" w:fill="auto"/>
        <w:spacing w:line="185" w:lineRule="auto"/>
      </w:pPr>
      <w:r>
        <w:t>svým výtvarným dílem vykonal totéž, co v oboru dramatu Shake</w:t>
      </w:r>
      <w:r>
        <w:softHyphen/>
        <w:t>speare,, je vhodně doplněna řa</w:t>
      </w:r>
      <w:r>
        <w:softHyphen/>
        <w:t>dou dokonale provedených repro</w:t>
      </w:r>
      <w:r>
        <w:softHyphen/>
        <w:t>dukcí Rembradtových nejvýznam</w:t>
      </w:r>
      <w:r>
        <w:softHyphen/>
        <w:t>nějších děl. Čtenář Fillovy studie seznamuje se zde tak co nejbez</w:t>
      </w:r>
      <w:r>
        <w:softHyphen/>
        <w:t>prostředn</w:t>
      </w:r>
      <w:r>
        <w:t>ěji s Rembrandtovým di</w:t>
      </w:r>
      <w:r>
        <w:softHyphen/>
        <w:t>lem a uměním. Cena tohoto, již 28. svazku Pramenů, Je 25 K.</w:t>
      </w:r>
    </w:p>
    <w:p w:rsidR="00500724" w:rsidRDefault="00F30FB8">
      <w:pPr>
        <w:pStyle w:val="Zkladntext40"/>
        <w:framePr w:w="2582" w:h="10704" w:wrap="around" w:vAnchor="text" w:hAnchor="page" w:x="6335" w:y="1806"/>
        <w:shd w:val="clear" w:color="auto" w:fill="auto"/>
        <w:spacing w:after="0" w:line="185" w:lineRule="auto"/>
        <w:ind w:firstLine="220"/>
      </w:pPr>
      <w:r>
        <w:t>ZPÉVY STARÉ CÍNY. V me- lantrišské sbírce Poesie vychází soubor překladů Bohumila Mathe</w:t>
      </w:r>
      <w:r>
        <w:softHyphen/>
        <w:t>sia ze staré čínské poesie, na</w:t>
      </w:r>
      <w:r>
        <w:softHyphen/>
        <w:t>zvaný »Zpěvy staré Číny*. Tato čínská poesie, prostá v</w:t>
      </w:r>
      <w:r>
        <w:t>e výraze a osobitá v své melodii 1 zvlášt</w:t>
      </w:r>
      <w:r>
        <w:softHyphen/>
        <w:t>ním příměru a metafoře, působí kouzelným dojmem. Čtouce jed</w:t>
      </w:r>
      <w:r>
        <w:softHyphen/>
        <w:t>notlivé básně nejrozmanitějšího ladění, svědčící o výtvarné obraz</w:t>
      </w:r>
      <w:r>
        <w:softHyphen/>
        <w:t>nosti starých čínských básníků a o příbuznosti starého čínského malířství i básnictví, k</w:t>
      </w:r>
      <w:r>
        <w:t>teré pra</w:t>
      </w:r>
      <w:r>
        <w:softHyphen/>
        <w:t>cují jedinečným náznakem, vzpo</w:t>
      </w:r>
      <w:r>
        <w:softHyphen/>
        <w:t>mínáme si mimoděk to, co o čín</w:t>
      </w:r>
      <w:r>
        <w:softHyphen/>
        <w:t>ském básnictví napsal v knize »Můj národ a má vlast* (vyšla nedávno v českém překladu) Čí</w:t>
      </w:r>
      <w:r>
        <w:softHyphen/>
        <w:t>ňan Lín Jutang: »Poesie vštípila Číňanům životni názor, který vlivem přísloví a hesel prosákl c</w:t>
      </w:r>
      <w:r>
        <w:t>elou společnost a obdařil ií sou</w:t>
      </w:r>
      <w:r>
        <w:softHyphen/>
        <w:t>citem, vřelou láskou k přírodě a uměleckou smířlivosti k životu. Citem pro přírodu hojí Číňanům rány v duši a svou naukou o uží</w:t>
      </w:r>
      <w:r>
        <w:softHyphen/>
        <w:t>vání prostého života uchovává čínské kultuře zdravý ideál. Ně</w:t>
      </w:r>
      <w:r>
        <w:softHyphen/>
        <w:t>kdy promlouvá k jejich roman- tlč</w:t>
      </w:r>
      <w:r>
        <w:t>nosti a poskytuje Jim náhrad</w:t>
      </w:r>
      <w:r>
        <w:softHyphen/>
        <w:t>ní citové povzneseni nad šedý všední svět, jindy zase promlou</w:t>
      </w:r>
      <w:r>
        <w:softHyphen/>
        <w:t>vá k jejich zasmušilosti, ode</w:t>
      </w:r>
      <w:r>
        <w:softHyphen/>
        <w:t>vzdanosti a uzavřenosti a umělec</w:t>
      </w:r>
      <w:r>
        <w:softHyphen/>
        <w:t>kým nazíráním na smutek očišťu</w:t>
      </w:r>
      <w:r>
        <w:softHyphen/>
        <w:t>je jim srdce. Učí je poslouchat s rozkoši, jak crčí dešťové kapky na na</w:t>
      </w:r>
      <w:r>
        <w:t>nánové listí, žasnout nad tim, jak z komínů chatrči vystu</w:t>
      </w:r>
      <w:r>
        <w:softHyphen/>
        <w:t>puje kouř a splývá s večerními oblaky, přitulenými na horské úbočí, šetřit na venkovských stezkách bílých lilii a vyposlou- chávat v kukáni žežulky poutní</w:t>
      </w:r>
      <w:r>
        <w:softHyphen/>
        <w:t>kův stesk po matce ... Především Je učí sje</w:t>
      </w:r>
      <w:r>
        <w:t>dnocovat se pantheistic- ky s přírodou, procitat a plesat s jarem, v létě pak klimat a po</w:t>
      </w:r>
      <w:r>
        <w:softHyphen/>
        <w:t>slouchat, jak v bzukotu cikády zřetelně uplývá čas, truchlit s opadávajícím listím na podzim a v zimě shledat verše ve sně</w:t>
      </w:r>
      <w:r>
        <w:softHyphen/>
        <w:t xml:space="preserve">hu*. V tom smyslu lze říci, že Číňanovi je </w:t>
      </w:r>
      <w:r>
        <w:t xml:space="preserve">poesie náboženstvím. sMyslim, že bez své poesie — a to poesie Jak životních zvyků, tak 1 slov — byl by čínský národ stěží obstál až do dneška.* Tento pozoruhodný </w:t>
      </w:r>
      <w:r>
        <w:rPr>
          <w:sz w:val="18"/>
          <w:szCs w:val="18"/>
        </w:rPr>
        <w:t xml:space="preserve">a </w:t>
      </w:r>
      <w:r>
        <w:t>hluboký výklad čínské poesie, spojený v knize »Můj národ a má vlast* s vý</w:t>
      </w:r>
      <w:r>
        <w:softHyphen/>
        <w:t>kladem mentality c</w:t>
      </w:r>
      <w:r>
        <w:t>elého náro</w:t>
      </w:r>
      <w:r>
        <w:softHyphen/>
        <w:t>da, dá se opakovatl i nad krásný</w:t>
      </w:r>
      <w:r>
        <w:softHyphen/>
        <w:t>mi Mathesiovými překlady, které jsou nezapomenutelným dokla</w:t>
      </w:r>
      <w:r>
        <w:softHyphen/>
        <w:t>dem vyspělosti čínské poesie a jeji mohutné životnosti básnic</w:t>
      </w:r>
      <w:r>
        <w:softHyphen/>
        <w:t>ké. Proto ten soubor vítáme zvlášť radostně.</w:t>
      </w:r>
    </w:p>
    <w:p w:rsidR="00500724" w:rsidRDefault="00F30FB8">
      <w:pPr>
        <w:spacing w:line="14" w:lineRule="exact"/>
      </w:pPr>
      <w:r>
        <w:rPr>
          <w:noProof/>
        </w:rPr>
        <mc:AlternateContent>
          <mc:Choice Requires="wps">
            <w:drawing>
              <wp:anchor distT="0" distB="12700" distL="0" distR="0" simplePos="0" relativeHeight="125829704" behindDoc="0" locked="0" layoutInCell="1" allowOverlap="1">
                <wp:simplePos x="0" y="0"/>
                <wp:positionH relativeFrom="page">
                  <wp:posOffset>2437130</wp:posOffset>
                </wp:positionH>
                <wp:positionV relativeFrom="paragraph">
                  <wp:posOffset>12700</wp:posOffset>
                </wp:positionV>
                <wp:extent cx="3200400" cy="1057910"/>
                <wp:effectExtent l="0" t="0" r="0" b="0"/>
                <wp:wrapTopAndBottom/>
                <wp:docPr id="327" name="Shape 327"/>
                <wp:cNvGraphicFramePr/>
                <a:graphic xmlns:a="http://schemas.openxmlformats.org/drawingml/2006/main">
                  <a:graphicData uri="http://schemas.microsoft.com/office/word/2010/wordprocessingShape">
                    <wps:wsp>
                      <wps:cNvSpPr txBox="1"/>
                      <wps:spPr>
                        <a:xfrm>
                          <a:off x="0" y="0"/>
                          <a:ext cx="3200400" cy="1057910"/>
                        </a:xfrm>
                        <a:prstGeom prst="rect">
                          <a:avLst/>
                        </a:prstGeom>
                        <a:noFill/>
                      </wps:spPr>
                      <wps:txbx>
                        <w:txbxContent>
                          <w:p w:rsidR="00500724" w:rsidRDefault="00F30FB8">
                            <w:pPr>
                              <w:pStyle w:val="Jin0"/>
                              <w:shd w:val="clear" w:color="auto" w:fill="auto"/>
                              <w:ind w:firstLine="0"/>
                              <w:jc w:val="center"/>
                              <w:rPr>
                                <w:sz w:val="26"/>
                                <w:szCs w:val="26"/>
                              </w:rPr>
                            </w:pPr>
                            <w:r>
                              <w:rPr>
                                <w:b/>
                                <w:bCs/>
                                <w:sz w:val="26"/>
                                <w:szCs w:val="26"/>
                                <w:lang w:val="en-US" w:eastAsia="en-US" w:bidi="en-US"/>
                              </w:rPr>
                              <w:t xml:space="preserve">Co </w:t>
                            </w:r>
                            <w:r>
                              <w:rPr>
                                <w:b/>
                                <w:bCs/>
                                <w:sz w:val="26"/>
                                <w:szCs w:val="26"/>
                              </w:rPr>
                              <w:t xml:space="preserve">je </w:t>
                            </w:r>
                            <w:r>
                              <w:rPr>
                                <w:b/>
                                <w:bCs/>
                                <w:sz w:val="26"/>
                                <w:szCs w:val="26"/>
                                <w:lang w:val="en-US" w:eastAsia="en-US" w:bidi="en-US"/>
                              </w:rPr>
                              <w:t xml:space="preserve">to </w:t>
                            </w:r>
                            <w:r>
                              <w:rPr>
                                <w:b/>
                                <w:bCs/>
                                <w:sz w:val="26"/>
                                <w:szCs w:val="26"/>
                              </w:rPr>
                              <w:t>poesie?</w:t>
                            </w:r>
                          </w:p>
                          <w:p w:rsidR="00500724" w:rsidRDefault="00F30FB8">
                            <w:pPr>
                              <w:pStyle w:val="Zkladntext100"/>
                              <w:shd w:val="clear" w:color="auto" w:fill="auto"/>
                              <w:tabs>
                                <w:tab w:val="left" w:pos="4186"/>
                              </w:tabs>
                              <w:spacing w:line="240" w:lineRule="auto"/>
                              <w:ind w:firstLine="200"/>
                              <w:rPr>
                                <w:sz w:val="20"/>
                                <w:szCs w:val="20"/>
                              </w:rPr>
                            </w:pPr>
                            <w:r>
                              <w:rPr>
                                <w:b/>
                                <w:bCs/>
                                <w:sz w:val="19"/>
                                <w:szCs w:val="19"/>
                              </w:rPr>
                              <w:t xml:space="preserve">Poesie je synthesa hudby </w:t>
                            </w:r>
                            <w:r>
                              <w:rPr>
                                <w:b/>
                                <w:bCs/>
                                <w:sz w:val="19"/>
                                <w:szCs w:val="19"/>
                              </w:rPr>
                              <w:t>a myšlenky, vyjádřené slovy, když to slovo myšlenka bereme v nejširším smyslu, to znamená, když tim myslíme nejen ideje, ale také city a smyslové dojmy. Z této nedílné trojice nesmí být v poesii vyloučena ani jedna složka, nemá-li být zabita sama poesie.</w:t>
                            </w:r>
                            <w:r>
                              <w:rPr>
                                <w:b/>
                                <w:bCs/>
                                <w:sz w:val="19"/>
                                <w:szCs w:val="19"/>
                              </w:rPr>
                              <w:tab/>
                            </w:r>
                            <w:r>
                              <w:rPr>
                                <w:i/>
                                <w:iCs/>
                                <w:sz w:val="20"/>
                                <w:szCs w:val="20"/>
                              </w:rPr>
                              <w:t>F</w:t>
                            </w:r>
                            <w:r>
                              <w:rPr>
                                <w:i/>
                                <w:iCs/>
                                <w:sz w:val="20"/>
                                <w:szCs w:val="20"/>
                              </w:rPr>
                              <w:t>. Gregh</w:t>
                            </w:r>
                          </w:p>
                        </w:txbxContent>
                      </wps:txbx>
                      <wps:bodyPr lIns="0" tIns="0" rIns="0" bIns="0">
                        <a:spAutoFit/>
                      </wps:bodyPr>
                    </wps:wsp>
                  </a:graphicData>
                </a:graphic>
              </wp:anchor>
            </w:drawing>
          </mc:Choice>
          <mc:Fallback>
            <w:pict>
              <v:shape id="_x0000_s1353" type="#_x0000_t202" style="position:absolute;margin-left:191.90000000000001pt;margin-top:1.pt;width:252.pt;height:83.299999999999997pt;z-index:-125829049;mso-wrap-distance-left:0;mso-wrap-distance-right:0;mso-wrap-distance-bottom:1.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center"/>
                        <w:rPr>
                          <w:sz w:val="26"/>
                          <w:szCs w:val="26"/>
                        </w:rPr>
                      </w:pPr>
                      <w:r>
                        <w:rPr>
                          <w:b/>
                          <w:bCs/>
                          <w:color w:val="000000"/>
                          <w:spacing w:val="0"/>
                          <w:w w:val="100"/>
                          <w:position w:val="0"/>
                          <w:sz w:val="26"/>
                          <w:szCs w:val="26"/>
                          <w:shd w:val="clear" w:color="auto" w:fill="auto"/>
                          <w:lang w:val="en-US" w:eastAsia="en-US" w:bidi="en-US"/>
                        </w:rPr>
                        <w:t xml:space="preserve">Co </w:t>
                      </w:r>
                      <w:r>
                        <w:rPr>
                          <w:b/>
                          <w:bCs/>
                          <w:color w:val="000000"/>
                          <w:spacing w:val="0"/>
                          <w:w w:val="100"/>
                          <w:position w:val="0"/>
                          <w:sz w:val="26"/>
                          <w:szCs w:val="26"/>
                          <w:shd w:val="clear" w:color="auto" w:fill="auto"/>
                          <w:lang w:val="cs-CZ" w:eastAsia="cs-CZ" w:bidi="cs-CZ"/>
                        </w:rPr>
                        <w:t xml:space="preserve">je </w:t>
                      </w:r>
                      <w:r>
                        <w:rPr>
                          <w:b/>
                          <w:bCs/>
                          <w:color w:val="000000"/>
                          <w:spacing w:val="0"/>
                          <w:w w:val="100"/>
                          <w:position w:val="0"/>
                          <w:sz w:val="26"/>
                          <w:szCs w:val="26"/>
                          <w:shd w:val="clear" w:color="auto" w:fill="auto"/>
                          <w:lang w:val="en-US" w:eastAsia="en-US" w:bidi="en-US"/>
                        </w:rPr>
                        <w:t xml:space="preserve">to </w:t>
                      </w:r>
                      <w:r>
                        <w:rPr>
                          <w:b/>
                          <w:bCs/>
                          <w:color w:val="000000"/>
                          <w:spacing w:val="0"/>
                          <w:w w:val="100"/>
                          <w:position w:val="0"/>
                          <w:sz w:val="26"/>
                          <w:szCs w:val="26"/>
                          <w:shd w:val="clear" w:color="auto" w:fill="auto"/>
                          <w:lang w:val="cs-CZ" w:eastAsia="cs-CZ" w:bidi="cs-CZ"/>
                        </w:rPr>
                        <w:t>poesie?</w:t>
                      </w:r>
                    </w:p>
                    <w:p>
                      <w:pPr>
                        <w:pStyle w:val="Style344"/>
                        <w:keepNext w:val="0"/>
                        <w:keepLines w:val="0"/>
                        <w:widowControl w:val="0"/>
                        <w:shd w:val="clear" w:color="auto" w:fill="auto"/>
                        <w:tabs>
                          <w:tab w:pos="4186" w:val="left"/>
                        </w:tabs>
                        <w:bidi w:val="0"/>
                        <w:spacing w:before="0" w:after="0" w:line="240" w:lineRule="auto"/>
                        <w:ind w:left="0" w:right="0" w:firstLine="200"/>
                        <w:rPr>
                          <w:sz w:val="20"/>
                          <w:szCs w:val="20"/>
                        </w:rPr>
                      </w:pPr>
                      <w:r>
                        <w:rPr>
                          <w:b/>
                          <w:bCs/>
                          <w:color w:val="000000"/>
                          <w:spacing w:val="0"/>
                          <w:w w:val="100"/>
                          <w:position w:val="0"/>
                          <w:sz w:val="19"/>
                          <w:szCs w:val="19"/>
                          <w:shd w:val="clear" w:color="auto" w:fill="auto"/>
                          <w:lang w:val="cs-CZ" w:eastAsia="cs-CZ" w:bidi="cs-CZ"/>
                        </w:rPr>
                        <w:t>Poesie je synthesa hudby a myšlenky, vyjádřené slovy, když to slovo myšlenka bereme v nejširším smyslu, to znamená, když tim myslíme nejen ideje, ale také city a smyslové dojmy. Z této nedílné trojice nesmí být v poesii vyloučena ani jedna složka, nemá-li být zabita sama poesie.</w:t>
                        <w:tab/>
                      </w:r>
                      <w:r>
                        <w:rPr>
                          <w:i/>
                          <w:iCs/>
                          <w:color w:val="000000"/>
                          <w:spacing w:val="0"/>
                          <w:w w:val="100"/>
                          <w:position w:val="0"/>
                          <w:sz w:val="20"/>
                          <w:szCs w:val="20"/>
                          <w:shd w:val="clear" w:color="auto" w:fill="auto"/>
                          <w:lang w:val="cs-CZ" w:eastAsia="cs-CZ" w:bidi="cs-CZ"/>
                        </w:rPr>
                        <w:t>F. Gregh</w:t>
                      </w:r>
                    </w:p>
                  </w:txbxContent>
                </v:textbox>
                <w10:wrap type="topAndBottom" anchorx="page"/>
              </v:shape>
            </w:pict>
          </mc:Fallback>
        </mc:AlternateContent>
      </w:r>
    </w:p>
    <w:p w:rsidR="00500724" w:rsidRDefault="00F30FB8">
      <w:pPr>
        <w:pStyle w:val="Zkladntext20"/>
        <w:shd w:val="clear" w:color="auto" w:fill="auto"/>
        <w:spacing w:line="180" w:lineRule="auto"/>
        <w:ind w:firstLine="0"/>
        <w:jc w:val="right"/>
        <w:rPr>
          <w:sz w:val="20"/>
          <w:szCs w:val="20"/>
        </w:rPr>
      </w:pPr>
      <w:r>
        <w:rPr>
          <w:i/>
          <w:iCs/>
          <w:sz w:val="20"/>
          <w:szCs w:val="20"/>
          <w:lang w:val="en-US" w:eastAsia="en-US" w:bidi="en-US"/>
        </w:rPr>
        <w:t xml:space="preserve">Rainer </w:t>
      </w:r>
      <w:r>
        <w:rPr>
          <w:i/>
          <w:iCs/>
          <w:sz w:val="20"/>
          <w:szCs w:val="20"/>
        </w:rPr>
        <w:t xml:space="preserve">Maria </w:t>
      </w:r>
      <w:r>
        <w:rPr>
          <w:i/>
          <w:iCs/>
          <w:sz w:val="20"/>
          <w:szCs w:val="20"/>
          <w:lang w:val="en-US" w:eastAsia="en-US" w:bidi="en-US"/>
        </w:rPr>
        <w:t>Rilke:</w:t>
      </w:r>
    </w:p>
    <w:p w:rsidR="00500724" w:rsidRDefault="00F30FB8">
      <w:pPr>
        <w:pStyle w:val="Jin0"/>
        <w:shd w:val="clear" w:color="auto" w:fill="auto"/>
        <w:spacing w:after="60"/>
        <w:ind w:firstLine="0"/>
        <w:jc w:val="right"/>
        <w:rPr>
          <w:sz w:val="26"/>
          <w:szCs w:val="26"/>
        </w:rPr>
      </w:pPr>
      <w:r>
        <w:rPr>
          <w:b/>
          <w:bCs/>
          <w:sz w:val="26"/>
          <w:szCs w:val="26"/>
        </w:rPr>
        <w:t>PRAPOR</w:t>
      </w:r>
    </w:p>
    <w:p w:rsidR="00500724" w:rsidRDefault="00F30FB8">
      <w:pPr>
        <w:pStyle w:val="Zkladntext20"/>
        <w:shd w:val="clear" w:color="auto" w:fill="auto"/>
        <w:spacing w:line="180" w:lineRule="auto"/>
        <w:ind w:firstLine="0"/>
        <w:jc w:val="left"/>
        <w:rPr>
          <w:sz w:val="20"/>
          <w:szCs w:val="20"/>
        </w:rPr>
      </w:pPr>
      <w:r>
        <w:rPr>
          <w:i/>
          <w:iCs/>
          <w:sz w:val="20"/>
          <w:szCs w:val="20"/>
        </w:rPr>
        <w:t>Ó pyšný větře, který v modré neutralitě nebes mučíš</w:t>
      </w:r>
    </w:p>
    <w:p w:rsidR="00500724" w:rsidRDefault="00F30FB8">
      <w:pPr>
        <w:pStyle w:val="Zkladntext20"/>
        <w:shd w:val="clear" w:color="auto" w:fill="auto"/>
        <w:spacing w:line="180" w:lineRule="auto"/>
        <w:ind w:firstLine="0"/>
        <w:jc w:val="right"/>
        <w:rPr>
          <w:sz w:val="20"/>
          <w:szCs w:val="20"/>
        </w:rPr>
      </w:pPr>
      <w:r>
        <w:rPr>
          <w:i/>
          <w:iCs/>
          <w:sz w:val="20"/>
          <w:szCs w:val="20"/>
        </w:rPr>
        <w:t>prapor,</w:t>
      </w:r>
    </w:p>
    <w:p w:rsidR="00500724" w:rsidRDefault="00F30FB8">
      <w:pPr>
        <w:pStyle w:val="Zkladntext20"/>
        <w:shd w:val="clear" w:color="auto" w:fill="auto"/>
        <w:spacing w:line="180" w:lineRule="auto"/>
        <w:ind w:firstLine="0"/>
        <w:jc w:val="left"/>
        <w:rPr>
          <w:sz w:val="20"/>
          <w:szCs w:val="20"/>
        </w:rPr>
      </w:pPr>
      <w:r>
        <w:rPr>
          <w:i/>
          <w:iCs/>
          <w:sz w:val="20"/>
          <w:szCs w:val="20"/>
        </w:rPr>
        <w:t>až mění barvy, jakobys chtěl ostatním</w:t>
      </w:r>
    </w:p>
    <w:p w:rsidR="00500724" w:rsidRDefault="00F30FB8">
      <w:pPr>
        <w:pStyle w:val="Zkladntext20"/>
        <w:shd w:val="clear" w:color="auto" w:fill="auto"/>
        <w:spacing w:line="180" w:lineRule="auto"/>
        <w:ind w:firstLine="0"/>
        <w:jc w:val="right"/>
        <w:rPr>
          <w:sz w:val="20"/>
          <w:szCs w:val="20"/>
        </w:rPr>
      </w:pPr>
      <w:r>
        <w:rPr>
          <w:i/>
          <w:iCs/>
          <w:sz w:val="20"/>
          <w:szCs w:val="20"/>
        </w:rPr>
        <w:t>národům</w:t>
      </w:r>
    </w:p>
    <w:p w:rsidR="00500724" w:rsidRDefault="00F30FB8">
      <w:pPr>
        <w:pStyle w:val="Zkladntext20"/>
        <w:shd w:val="clear" w:color="auto" w:fill="auto"/>
        <w:spacing w:line="180" w:lineRule="auto"/>
        <w:ind w:firstLine="0"/>
        <w:jc w:val="left"/>
        <w:rPr>
          <w:sz w:val="20"/>
          <w:szCs w:val="20"/>
        </w:rPr>
      </w:pPr>
      <w:r>
        <w:rPr>
          <w:i/>
          <w:iCs/>
          <w:sz w:val="20"/>
          <w:szCs w:val="20"/>
        </w:rPr>
        <w:t>jej podat přes střechy...</w:t>
      </w:r>
    </w:p>
    <w:p w:rsidR="00500724" w:rsidRDefault="00F30FB8">
      <w:pPr>
        <w:pStyle w:val="Zkladntext20"/>
        <w:shd w:val="clear" w:color="auto" w:fill="auto"/>
        <w:spacing w:line="180" w:lineRule="auto"/>
        <w:ind w:firstLine="0"/>
        <w:jc w:val="right"/>
        <w:rPr>
          <w:sz w:val="20"/>
          <w:szCs w:val="20"/>
        </w:rPr>
      </w:pPr>
      <w:r>
        <w:rPr>
          <w:i/>
          <w:iCs/>
          <w:sz w:val="20"/>
          <w:szCs w:val="20"/>
        </w:rPr>
        <w:t>Ó větře nestranný,</w:t>
      </w:r>
    </w:p>
    <w:p w:rsidR="00500724" w:rsidRDefault="00F30FB8">
      <w:pPr>
        <w:pStyle w:val="Zkladntext20"/>
        <w:shd w:val="clear" w:color="auto" w:fill="auto"/>
        <w:spacing w:line="180" w:lineRule="auto"/>
        <w:ind w:firstLine="0"/>
        <w:jc w:val="left"/>
        <w:rPr>
          <w:sz w:val="20"/>
          <w:szCs w:val="20"/>
        </w:rPr>
      </w:pPr>
      <w:r>
        <w:rPr>
          <w:i/>
          <w:iCs/>
          <w:sz w:val="20"/>
          <w:szCs w:val="20"/>
        </w:rPr>
        <w:t>celého světa větře, který</w:t>
      </w:r>
    </w:p>
    <w:p w:rsidR="00500724" w:rsidRDefault="00F30FB8">
      <w:pPr>
        <w:pStyle w:val="Zkladntext20"/>
        <w:shd w:val="clear" w:color="auto" w:fill="auto"/>
        <w:spacing w:line="180" w:lineRule="auto"/>
        <w:ind w:firstLine="0"/>
        <w:jc w:val="right"/>
        <w:rPr>
          <w:sz w:val="20"/>
          <w:szCs w:val="20"/>
        </w:rPr>
      </w:pPr>
      <w:r>
        <w:rPr>
          <w:i/>
          <w:iCs/>
          <w:sz w:val="20"/>
          <w:szCs w:val="20"/>
        </w:rPr>
        <w:t>spájíš</w:t>
      </w:r>
    </w:p>
    <w:p w:rsidR="00500724" w:rsidRDefault="00F30FB8">
      <w:pPr>
        <w:pStyle w:val="Zkladntext20"/>
        <w:shd w:val="clear" w:color="auto" w:fill="auto"/>
        <w:spacing w:line="180" w:lineRule="auto"/>
        <w:ind w:firstLine="0"/>
        <w:jc w:val="left"/>
        <w:rPr>
          <w:sz w:val="20"/>
          <w:szCs w:val="20"/>
        </w:rPr>
      </w:pPr>
      <w:r>
        <w:rPr>
          <w:i/>
          <w:iCs/>
          <w:sz w:val="20"/>
          <w:szCs w:val="20"/>
        </w:rPr>
        <w:t>a přivoláváš rovnomocná</w:t>
      </w:r>
    </w:p>
    <w:p w:rsidR="00500724" w:rsidRDefault="00F30FB8">
      <w:pPr>
        <w:pStyle w:val="Zkladntext20"/>
        <w:shd w:val="clear" w:color="auto" w:fill="auto"/>
        <w:spacing w:line="180" w:lineRule="auto"/>
        <w:ind w:firstLine="0"/>
        <w:jc w:val="right"/>
        <w:rPr>
          <w:sz w:val="20"/>
          <w:szCs w:val="20"/>
        </w:rPr>
      </w:pPr>
      <w:r>
        <w:rPr>
          <w:i/>
          <w:iCs/>
          <w:sz w:val="20"/>
          <w:szCs w:val="20"/>
        </w:rPr>
        <w:t>gesta,</w:t>
      </w:r>
    </w:p>
    <w:p w:rsidR="00500724" w:rsidRDefault="00F30FB8">
      <w:pPr>
        <w:pStyle w:val="Zkladntext20"/>
        <w:shd w:val="clear" w:color="auto" w:fill="auto"/>
        <w:spacing w:after="160" w:line="180" w:lineRule="auto"/>
        <w:ind w:firstLine="0"/>
        <w:jc w:val="left"/>
        <w:rPr>
          <w:sz w:val="20"/>
          <w:szCs w:val="20"/>
        </w:rPr>
      </w:pPr>
      <w:r>
        <w:rPr>
          <w:i/>
          <w:iCs/>
          <w:sz w:val="20"/>
          <w:szCs w:val="20"/>
        </w:rPr>
        <w:t>ó ty,</w:t>
      </w:r>
      <w:r>
        <w:rPr>
          <w:i/>
          <w:iCs/>
          <w:sz w:val="20"/>
          <w:szCs w:val="20"/>
        </w:rPr>
        <w:t xml:space="preserve"> jenž vzbouzíš hnutí zaměnitelná!</w:t>
      </w:r>
    </w:p>
    <w:p w:rsidR="00500724" w:rsidRDefault="00F30FB8">
      <w:pPr>
        <w:pStyle w:val="Zkladntext20"/>
        <w:shd w:val="clear" w:color="auto" w:fill="auto"/>
        <w:spacing w:line="180" w:lineRule="auto"/>
        <w:ind w:firstLine="0"/>
        <w:jc w:val="left"/>
        <w:rPr>
          <w:sz w:val="20"/>
          <w:szCs w:val="20"/>
        </w:rPr>
      </w:pPr>
      <w:r>
        <w:rPr>
          <w:i/>
          <w:iCs/>
          <w:sz w:val="20"/>
          <w:szCs w:val="20"/>
        </w:rPr>
        <w:t>Když rozestřen je, prapor</w:t>
      </w:r>
    </w:p>
    <w:p w:rsidR="00500724" w:rsidRDefault="00F30FB8">
      <w:pPr>
        <w:pStyle w:val="Zkladntext20"/>
        <w:shd w:val="clear" w:color="auto" w:fill="auto"/>
        <w:spacing w:line="180" w:lineRule="auto"/>
        <w:ind w:firstLine="0"/>
        <w:jc w:val="right"/>
        <w:rPr>
          <w:sz w:val="20"/>
          <w:szCs w:val="20"/>
        </w:rPr>
      </w:pPr>
      <w:r>
        <w:rPr>
          <w:i/>
          <w:iCs/>
          <w:sz w:val="20"/>
          <w:szCs w:val="20"/>
        </w:rPr>
        <w:t>ukazuje</w:t>
      </w:r>
    </w:p>
    <w:p w:rsidR="00500724" w:rsidRDefault="00F30FB8">
      <w:pPr>
        <w:pStyle w:val="Zkladntext20"/>
        <w:shd w:val="clear" w:color="auto" w:fill="auto"/>
        <w:spacing w:line="180" w:lineRule="auto"/>
        <w:ind w:firstLine="0"/>
        <w:jc w:val="left"/>
        <w:rPr>
          <w:sz w:val="20"/>
          <w:szCs w:val="20"/>
        </w:rPr>
      </w:pPr>
      <w:r>
        <w:rPr>
          <w:i/>
          <w:iCs/>
          <w:sz w:val="20"/>
          <w:szCs w:val="20"/>
        </w:rPr>
        <w:t>svůj plný erb —</w:t>
      </w:r>
    </w:p>
    <w:p w:rsidR="00500724" w:rsidRDefault="00F30FB8">
      <w:pPr>
        <w:pStyle w:val="Zkladntext20"/>
        <w:shd w:val="clear" w:color="auto" w:fill="auto"/>
        <w:spacing w:line="180" w:lineRule="auto"/>
        <w:ind w:firstLine="0"/>
        <w:jc w:val="left"/>
        <w:rPr>
          <w:sz w:val="20"/>
          <w:szCs w:val="20"/>
        </w:rPr>
      </w:pPr>
      <w:r>
        <w:rPr>
          <w:i/>
          <w:iCs/>
          <w:sz w:val="20"/>
          <w:szCs w:val="20"/>
        </w:rPr>
        <w:t>leč v jeho záhybech 6 jaká</w:t>
      </w:r>
    </w:p>
    <w:p w:rsidR="00500724" w:rsidRDefault="00F30FB8">
      <w:pPr>
        <w:pStyle w:val="Zkladntext20"/>
        <w:shd w:val="clear" w:color="auto" w:fill="auto"/>
        <w:spacing w:after="160" w:line="180" w:lineRule="auto"/>
        <w:ind w:firstLine="0"/>
        <w:jc w:val="left"/>
        <w:rPr>
          <w:sz w:val="20"/>
          <w:szCs w:val="20"/>
        </w:rPr>
      </w:pPr>
      <w:r>
        <w:rPr>
          <w:i/>
          <w:iCs/>
          <w:sz w:val="20"/>
          <w:szCs w:val="20"/>
        </w:rPr>
        <w:t>universálnost mlčelivá!</w:t>
      </w:r>
    </w:p>
    <w:p w:rsidR="00500724" w:rsidRDefault="00F30FB8">
      <w:pPr>
        <w:pStyle w:val="Zkladntext20"/>
        <w:shd w:val="clear" w:color="auto" w:fill="auto"/>
        <w:spacing w:line="180" w:lineRule="auto"/>
        <w:ind w:firstLine="0"/>
        <w:jc w:val="left"/>
        <w:rPr>
          <w:sz w:val="20"/>
          <w:szCs w:val="20"/>
        </w:rPr>
      </w:pPr>
      <w:r>
        <w:rPr>
          <w:i/>
          <w:iCs/>
          <w:sz w:val="20"/>
          <w:szCs w:val="20"/>
        </w:rPr>
        <w:t>A přece jaká hrdá chvíle, když pro tuto neb onu zemi se vítr prohlásí: je pro</w:t>
      </w:r>
    </w:p>
    <w:p w:rsidR="00500724" w:rsidRDefault="00F30FB8">
      <w:pPr>
        <w:pStyle w:val="Zkladntext20"/>
        <w:shd w:val="clear" w:color="auto" w:fill="auto"/>
        <w:spacing w:line="180" w:lineRule="auto"/>
        <w:ind w:firstLine="0"/>
        <w:jc w:val="right"/>
        <w:rPr>
          <w:sz w:val="20"/>
          <w:szCs w:val="20"/>
        </w:rPr>
      </w:pPr>
      <w:r>
        <w:rPr>
          <w:i/>
          <w:iCs/>
          <w:sz w:val="20"/>
          <w:szCs w:val="20"/>
        </w:rPr>
        <w:t>Francii,</w:t>
      </w:r>
    </w:p>
    <w:p w:rsidR="00500724" w:rsidRDefault="00F30FB8">
      <w:pPr>
        <w:pStyle w:val="Zkladntext20"/>
        <w:shd w:val="clear" w:color="auto" w:fill="auto"/>
        <w:spacing w:line="180" w:lineRule="auto"/>
        <w:ind w:firstLine="0"/>
        <w:jc w:val="left"/>
        <w:rPr>
          <w:sz w:val="20"/>
          <w:szCs w:val="20"/>
        </w:rPr>
      </w:pPr>
      <w:r>
        <w:rPr>
          <w:b/>
          <w:bCs/>
          <w:i/>
          <w:iCs/>
          <w:sz w:val="20"/>
          <w:szCs w:val="20"/>
        </w:rPr>
        <w:t xml:space="preserve">nebo se náhle </w:t>
      </w:r>
      <w:r>
        <w:rPr>
          <w:i/>
          <w:iCs/>
          <w:sz w:val="20"/>
          <w:szCs w:val="20"/>
        </w:rPr>
        <w:t>zamiluje do legendár</w:t>
      </w:r>
      <w:r>
        <w:rPr>
          <w:i/>
          <w:iCs/>
          <w:sz w:val="20"/>
          <w:szCs w:val="20"/>
        </w:rPr>
        <w:t>ních harf</w:t>
      </w:r>
    </w:p>
    <w:p w:rsidR="00500724" w:rsidRDefault="00F30FB8">
      <w:pPr>
        <w:pStyle w:val="Zkladntext20"/>
        <w:shd w:val="clear" w:color="auto" w:fill="auto"/>
        <w:spacing w:line="180" w:lineRule="auto"/>
        <w:ind w:firstLine="1200"/>
        <w:jc w:val="left"/>
        <w:rPr>
          <w:sz w:val="20"/>
          <w:szCs w:val="20"/>
        </w:rPr>
      </w:pPr>
      <w:r>
        <w:rPr>
          <w:i/>
          <w:iCs/>
          <w:sz w:val="20"/>
          <w:szCs w:val="20"/>
        </w:rPr>
        <w:t>Erinu zeleného! Svůj celý obraz jeví jak</w:t>
      </w:r>
    </w:p>
    <w:p w:rsidR="00500724" w:rsidRDefault="00F30FB8">
      <w:pPr>
        <w:pStyle w:val="Zkladntext20"/>
        <w:shd w:val="clear" w:color="auto" w:fill="auto"/>
        <w:spacing w:line="180" w:lineRule="auto"/>
        <w:ind w:firstLine="1360"/>
        <w:jc w:val="left"/>
        <w:rPr>
          <w:sz w:val="20"/>
          <w:szCs w:val="20"/>
        </w:rPr>
      </w:pPr>
      <w:r>
        <w:rPr>
          <w:i/>
          <w:iCs/>
          <w:sz w:val="20"/>
          <w:szCs w:val="20"/>
        </w:rPr>
        <w:t>hráč v karty, jenž hází trumf a který gestem svým a</w:t>
      </w:r>
    </w:p>
    <w:p w:rsidR="00500724" w:rsidRDefault="00F30FB8">
      <w:pPr>
        <w:pStyle w:val="Zkladntext20"/>
        <w:shd w:val="clear" w:color="auto" w:fill="auto"/>
        <w:spacing w:line="180" w:lineRule="auto"/>
        <w:ind w:firstLine="700"/>
        <w:jc w:val="left"/>
        <w:rPr>
          <w:sz w:val="20"/>
          <w:szCs w:val="20"/>
        </w:rPr>
      </w:pPr>
      <w:r>
        <w:rPr>
          <w:i/>
          <w:iCs/>
          <w:sz w:val="20"/>
          <w:szCs w:val="20"/>
        </w:rPr>
        <w:t>anonymním úsměvem mi připomíná nevím jaký</w:t>
      </w:r>
    </w:p>
    <w:p w:rsidR="00500724" w:rsidRDefault="00F30FB8">
      <w:pPr>
        <w:pStyle w:val="Zkladntext20"/>
        <w:shd w:val="clear" w:color="auto" w:fill="auto"/>
        <w:spacing w:line="180" w:lineRule="auto"/>
        <w:ind w:firstLine="0"/>
        <w:jc w:val="right"/>
        <w:rPr>
          <w:sz w:val="20"/>
          <w:szCs w:val="20"/>
        </w:rPr>
      </w:pPr>
      <w:r>
        <w:rPr>
          <w:i/>
          <w:iCs/>
          <w:sz w:val="20"/>
          <w:szCs w:val="20"/>
        </w:rPr>
        <w:t>obraz</w:t>
      </w:r>
    </w:p>
    <w:p w:rsidR="00500724" w:rsidRDefault="00F30FB8">
      <w:pPr>
        <w:pStyle w:val="Zkladntext20"/>
        <w:shd w:val="clear" w:color="auto" w:fill="auto"/>
        <w:spacing w:after="60" w:line="180" w:lineRule="auto"/>
        <w:ind w:firstLine="0"/>
        <w:jc w:val="left"/>
        <w:rPr>
          <w:sz w:val="20"/>
          <w:szCs w:val="20"/>
        </w:rPr>
      </w:pPr>
      <w:r>
        <w:rPr>
          <w:i/>
          <w:iCs/>
          <w:sz w:val="20"/>
          <w:szCs w:val="20"/>
        </w:rPr>
        <w:t>Bohyně, jež se mění.</w:t>
      </w:r>
    </w:p>
    <w:p w:rsidR="00500724" w:rsidRDefault="00F30FB8">
      <w:pPr>
        <w:pStyle w:val="Zkladntext40"/>
        <w:shd w:val="clear" w:color="auto" w:fill="auto"/>
        <w:spacing w:after="80" w:line="197" w:lineRule="auto"/>
        <w:ind w:firstLine="200"/>
      </w:pPr>
      <w:r>
        <w:rPr>
          <w:sz w:val="18"/>
          <w:szCs w:val="18"/>
        </w:rPr>
        <w:t xml:space="preserve">Ze </w:t>
      </w:r>
      <w:r>
        <w:t>sbirky Sad, kterou z fran</w:t>
      </w:r>
      <w:r>
        <w:softHyphen/>
        <w:t>couzského originálu přeložil Vla</w:t>
      </w:r>
      <w:r>
        <w:softHyphen/>
        <w:t>dimír Holan.</w:t>
      </w:r>
    </w:p>
    <w:p w:rsidR="00500724" w:rsidRDefault="00F30FB8">
      <w:pPr>
        <w:pStyle w:val="Nadpis120"/>
        <w:shd w:val="clear" w:color="auto" w:fill="auto"/>
        <w:spacing w:after="60" w:line="163" w:lineRule="auto"/>
        <w:ind w:left="0"/>
      </w:pPr>
      <w:bookmarkStart w:id="317" w:name="bookmark316"/>
      <w:r>
        <w:rPr>
          <w:rFonts w:ascii="Arial" w:eastAsia="Arial" w:hAnsi="Arial" w:cs="Arial"/>
        </w:rPr>
        <w:t xml:space="preserve">NOVÉ </w:t>
      </w:r>
      <w:r>
        <w:rPr>
          <w:rFonts w:ascii="Arial" w:eastAsia="Arial" w:hAnsi="Arial" w:cs="Arial"/>
        </w:rPr>
        <w:t>KNIHY</w:t>
      </w:r>
      <w:bookmarkEnd w:id="317"/>
    </w:p>
    <w:p w:rsidR="00500724" w:rsidRDefault="00F30FB8">
      <w:pPr>
        <w:pStyle w:val="Zkladntext100"/>
        <w:shd w:val="clear" w:color="auto" w:fill="auto"/>
        <w:spacing w:after="60" w:line="190" w:lineRule="auto"/>
        <w:ind w:firstLine="0"/>
        <w:jc w:val="right"/>
        <w:rPr>
          <w:sz w:val="19"/>
          <w:szCs w:val="19"/>
        </w:rPr>
      </w:pPr>
      <w:r>
        <w:rPr>
          <w:b/>
          <w:bCs/>
          <w:sz w:val="19"/>
          <w:szCs w:val="19"/>
        </w:rPr>
        <w:t>PAVEL VÁŠA: POD KÍPEM</w:t>
      </w:r>
    </w:p>
    <w:p w:rsidR="00500724" w:rsidRDefault="00F30FB8">
      <w:pPr>
        <w:pStyle w:val="Zkladntext40"/>
        <w:shd w:val="clear" w:color="auto" w:fill="auto"/>
        <w:spacing w:after="0" w:line="182" w:lineRule="auto"/>
        <w:ind w:firstLine="200"/>
      </w:pPr>
      <w:r>
        <w:t>V knihovně Paměti, vydávané Českou akademií, vychází iako další již 11. svazek kniha vzpo</w:t>
      </w:r>
      <w:r>
        <w:softHyphen/>
        <w:t>mínek z dětství známého filologa a spoluautora Slovníku iazyka íeského, Pavla Váši. Autor »kni- hy vzpomínek*, nazvané výmluv</w:t>
      </w:r>
      <w:r>
        <w:softHyphen/>
        <w:t xml:space="preserve">ně Pod </w:t>
      </w:r>
      <w:r>
        <w:t>Šípem, který se osvědčil tak vynikajícím způso</w:t>
      </w:r>
      <w:r>
        <w:softHyphen/>
        <w:t xml:space="preserve">bem jako výborný stylista a bedlivý strážce mateřštiny, </w:t>
      </w:r>
      <w:r>
        <w:rPr>
          <w:lang w:val="en-US" w:eastAsia="en-US" w:bidi="en-US"/>
        </w:rPr>
        <w:t xml:space="preserve">nodal </w:t>
      </w:r>
      <w:r>
        <w:t>tu dokumentární a pozoruhod</w:t>
      </w:r>
      <w:r>
        <w:softHyphen/>
        <w:t>ný obraz života v podřipském evangelickém středisku, Krábči- clch, kde ztrávil své dětství i studentské mládí. Jako syn</w:t>
      </w:r>
      <w:r>
        <w:t xml:space="preserve"> evangelického učitele na krábčic- ké škole měl příležitost poznati do podrobností i hloubky nábo</w:t>
      </w:r>
      <w:r>
        <w:softHyphen/>
        <w:t>ženský život, řízený osvícenými i vlasteneckými faráři, mezi ni</w:t>
      </w:r>
      <w:r>
        <w:softHyphen/>
        <w:t>miž patří přední misto krábčic- kému Václavu Šubrtovl, zakla</w:t>
      </w:r>
      <w:r>
        <w:softHyphen/>
        <w:t>dateli ústavu, který se stal důle</w:t>
      </w:r>
      <w:r>
        <w:softHyphen/>
        <w:t>žitým střediskem výchovy evan</w:t>
      </w:r>
      <w:r>
        <w:softHyphen/>
        <w:t>gelických divek a byl hojně na</w:t>
      </w:r>
      <w:r>
        <w:softHyphen/>
        <w:t>vštěvován hosty ze všech končin světa. V blízké Roudnici, kde Váša studoval na gymnasiu spolu s Maxem Dvořákem, později slav</w:t>
      </w:r>
      <w:r>
        <w:softHyphen/>
        <w:t>ným uměleckým historikem, vy</w:t>
      </w:r>
      <w:r>
        <w:softHyphen/>
      </w:r>
      <w:r>
        <w:rPr>
          <w:sz w:val="18"/>
          <w:szCs w:val="18"/>
        </w:rPr>
        <w:t xml:space="preserve">víjel </w:t>
      </w:r>
      <w:r>
        <w:t>Intensivni politickou činnost</w:t>
      </w:r>
    </w:p>
    <w:p w:rsidR="00500724" w:rsidRDefault="00F30FB8">
      <w:pPr>
        <w:pStyle w:val="Zkladntext40"/>
        <w:shd w:val="clear" w:color="auto" w:fill="auto"/>
        <w:spacing w:after="0" w:line="185" w:lineRule="auto"/>
      </w:pPr>
      <w:r>
        <w:t>mlad</w:t>
      </w:r>
      <w:r>
        <w:t xml:space="preserve">očeský předák </w:t>
      </w:r>
      <w:r>
        <w:rPr>
          <w:lang w:val="en-US" w:eastAsia="en-US" w:bidi="en-US"/>
        </w:rPr>
        <w:t xml:space="preserve">Ervin </w:t>
      </w:r>
      <w:r>
        <w:t>Špindler. A tak zde Pavel Váša liči nejen své dětství v Krábčicich, ve škole i v ústavě, nýbrž ukazuje také, jak politika zasahovala nakonec do přísného náboženského života krábčických evangelíků. Ožívá tu v teplém a důvěrném podáni aut</w:t>
      </w:r>
      <w:r>
        <w:t>orově řada známých osobností z našeho politického vývoje na pozadí drobných událostí, ilu</w:t>
      </w:r>
      <w:r>
        <w:softHyphen/>
        <w:t>strující výrazně život veřejný a podávající v celku krásný obraz života staré evangelické fary a školy, jejíž svéráz připomíná to</w:t>
      </w:r>
      <w:r>
        <w:softHyphen/>
        <w:t>lik školu, jak ji vylíčil K. V. Rais</w:t>
      </w:r>
      <w:r>
        <w:t xml:space="preserve"> v ^Zapadlých vlastencích*. V po</w:t>
      </w:r>
      <w:r>
        <w:softHyphen/>
        <w:t>předí Vášovy knihy stojí osudy jeho rodiny; jsou to někdy hoto</w:t>
      </w:r>
      <w:r>
        <w:softHyphen/>
        <w:t>vé novely, zhušťující do několika stran celý životni příběh žen a mužů, majících typické rysy své</w:t>
      </w:r>
      <w:r>
        <w:softHyphen/>
        <w:t>ho pokolení. Vášovy vzpomínky Pod R I p e m, cenné vědecky, př</w:t>
      </w:r>
      <w:r>
        <w:t>ekvapí vypravěčskými schop</w:t>
      </w:r>
      <w:r>
        <w:softHyphen/>
        <w:t>nostmi autora, který se jimi sta</w:t>
      </w:r>
      <w:r>
        <w:softHyphen/>
        <w:t>ví po bok nejlepších našich be- letristů. Cena svazku obohace</w:t>
      </w:r>
      <w:r>
        <w:softHyphen/>
        <w:t>ného o 4 obrazové přílohy je 15 K.</w:t>
      </w:r>
    </w:p>
    <w:p w:rsidR="00500724" w:rsidRDefault="00F30FB8">
      <w:pPr>
        <w:pStyle w:val="Nadpis120"/>
        <w:shd w:val="clear" w:color="auto" w:fill="auto"/>
        <w:ind w:left="0"/>
        <w:jc w:val="both"/>
      </w:pPr>
      <w:bookmarkStart w:id="318" w:name="bookmark317"/>
      <w:r>
        <w:rPr>
          <w:rFonts w:ascii="Arial" w:eastAsia="Arial" w:hAnsi="Arial" w:cs="Arial"/>
        </w:rPr>
        <w:t>POZNÁMKY</w:t>
      </w:r>
      <w:bookmarkEnd w:id="318"/>
    </w:p>
    <w:p w:rsidR="00500724" w:rsidRDefault="00F30FB8">
      <w:pPr>
        <w:pStyle w:val="Zkladntext40"/>
        <w:shd w:val="clear" w:color="auto" w:fill="auto"/>
        <w:spacing w:after="0" w:line="182" w:lineRule="auto"/>
        <w:ind w:firstLine="180"/>
      </w:pPr>
      <w:r>
        <w:rPr>
          <w:b/>
          <w:bCs/>
          <w:smallCaps/>
          <w:sz w:val="19"/>
          <w:szCs w:val="19"/>
        </w:rPr>
        <w:t xml:space="preserve">nové cislo Časopisu véda </w:t>
      </w:r>
      <w:r>
        <w:t>A ŽIVOT. Nové, sedmé číslo mě</w:t>
      </w:r>
      <w:r>
        <w:softHyphen/>
        <w:t>síčníku Věda a život přináší na úvo</w:t>
      </w:r>
      <w:r>
        <w:t xml:space="preserve">dním místě závažnou studii </w:t>
      </w:r>
      <w:r>
        <w:rPr>
          <w:lang w:val="en-US" w:eastAsia="en-US" w:bidi="en-US"/>
        </w:rPr>
        <w:t xml:space="preserve">prof. </w:t>
      </w:r>
      <w:r>
        <w:t>Josefa Tvrdého o úkolech filosofie »v dnešní době rychlých změn*. Vedle této stati, odpoví</w:t>
      </w:r>
      <w:r>
        <w:softHyphen/>
        <w:t>dající nám na otázku, co je filo</w:t>
      </w:r>
      <w:r>
        <w:softHyphen/>
        <w:t>sofie a jaký je její význam pro ty, kdo prošli její školou, čteme v tomto čísle několik článků a st</w:t>
      </w:r>
      <w:r>
        <w:t>udil, které přes svou rozmani</w:t>
      </w:r>
      <w:r>
        <w:softHyphen/>
        <w:t>tost obsahovou sledují jeden cil: obohatit co nejužitečněji naše poznání a věděni. Tak na prvním místě je to pojednáni Tomáše Vacka o užitečnosti bolesti, Klí</w:t>
      </w:r>
      <w:r>
        <w:softHyphen/>
        <w:t>movo o boji proti městskému hluku, dále studie Rudolfa Souč- ka Psy</w:t>
      </w:r>
      <w:r>
        <w:t>chologické výklady o vzni</w:t>
      </w:r>
      <w:r>
        <w:softHyphen/>
        <w:t>ku neuros, odborná studie Vladi</w:t>
      </w:r>
      <w:r>
        <w:softHyphen/>
        <w:t>míra Kyzlinka Antagonismus iontů a výživa rostlin a velmi zajímavý feuilleton Evž. Nešpo</w:t>
      </w:r>
      <w:r>
        <w:softHyphen/>
        <w:t>ra o dietních sektářích. Vedle těchto obsáhlých stati čteme tu řadu drobnějších i rozsáhlejších poznámek a zp</w:t>
      </w:r>
      <w:r>
        <w:t>ráv, které pod</w:t>
      </w:r>
      <w:r>
        <w:softHyphen/>
        <w:t>statně přispívají k zajímavosti a závažnosti čísla po stránce ob</w:t>
      </w:r>
      <w:r>
        <w:softHyphen/>
        <w:t>sahové. Cislo bohatě ilustrované a rozšířené o další část Základů fysiky od Fr. Nachtikala stoji 5 K.</w:t>
      </w:r>
    </w:p>
    <w:p w:rsidR="00500724" w:rsidRDefault="00F30FB8">
      <w:pPr>
        <w:pStyle w:val="Zkladntext40"/>
        <w:shd w:val="clear" w:color="auto" w:fill="auto"/>
        <w:spacing w:after="0" w:line="182" w:lineRule="auto"/>
        <w:ind w:firstLine="180"/>
      </w:pPr>
      <w:r>
        <w:rPr>
          <w:sz w:val="18"/>
          <w:szCs w:val="18"/>
        </w:rPr>
        <w:t xml:space="preserve">NOVÝ SVAZEK PRAMENU. </w:t>
      </w:r>
      <w:r>
        <w:t xml:space="preserve">Prameny, sbírka, která nás </w:t>
      </w:r>
      <w:r>
        <w:rPr>
          <w:sz w:val="18"/>
          <w:szCs w:val="18"/>
        </w:rPr>
        <w:t xml:space="preserve">v </w:t>
      </w:r>
      <w:r>
        <w:t>sličně vyr*avených svazc</w:t>
      </w:r>
      <w:r>
        <w:t>ích se</w:t>
      </w:r>
      <w:r>
        <w:softHyphen/>
        <w:t>znamuje l dílem vynikajících postav světového i českého vý- tvarnictvl, byla v těchto dnech obohacena o nový cenný svazek, věnovaný velikému malíři nizo</w:t>
      </w:r>
      <w:r>
        <w:softHyphen/>
        <w:t>zemskému Rembrandtovi, Publi</w:t>
      </w:r>
      <w:r>
        <w:softHyphen/>
        <w:t>kace, uvedená studií Emila Filly, hodnotící průkopnický význam velk</w:t>
      </w:r>
      <w:r>
        <w:t>olepého dila nesmrtelného nizozemského umělce, který</w:t>
      </w:r>
    </w:p>
    <w:p w:rsidR="00500724" w:rsidRDefault="00F30FB8">
      <w:pPr>
        <w:spacing w:line="1" w:lineRule="exact"/>
        <w:rPr>
          <w:sz w:val="2"/>
          <w:szCs w:val="2"/>
        </w:rPr>
      </w:pPr>
      <w:r>
        <w:br w:type="column"/>
      </w:r>
    </w:p>
    <w:p w:rsidR="00500724" w:rsidRDefault="00F30FB8">
      <w:pPr>
        <w:pStyle w:val="Zkladntext20"/>
        <w:shd w:val="clear" w:color="auto" w:fill="auto"/>
        <w:spacing w:after="40" w:line="204" w:lineRule="auto"/>
        <w:ind w:firstLine="0"/>
        <w:jc w:val="left"/>
        <w:rPr>
          <w:sz w:val="20"/>
          <w:szCs w:val="20"/>
        </w:rPr>
      </w:pPr>
      <w:r>
        <w:rPr>
          <w:i/>
          <w:iCs/>
          <w:sz w:val="20"/>
          <w:szCs w:val="20"/>
        </w:rPr>
        <w:t>Josef Tvrdý:</w:t>
      </w:r>
    </w:p>
    <w:p w:rsidR="00500724" w:rsidRDefault="00F30FB8">
      <w:pPr>
        <w:pStyle w:val="Jin0"/>
        <w:shd w:val="clear" w:color="auto" w:fill="auto"/>
        <w:spacing w:after="40"/>
        <w:ind w:firstLine="0"/>
        <w:jc w:val="left"/>
        <w:rPr>
          <w:sz w:val="26"/>
          <w:szCs w:val="26"/>
        </w:rPr>
      </w:pPr>
      <w:r>
        <w:rPr>
          <w:sz w:val="26"/>
          <w:szCs w:val="26"/>
        </w:rPr>
        <w:t>ÚKOL FILOSOFIE</w:t>
      </w:r>
    </w:p>
    <w:p w:rsidR="00500724" w:rsidRDefault="00F30FB8">
      <w:pPr>
        <w:pStyle w:val="Zkladntext20"/>
        <w:shd w:val="clear" w:color="auto" w:fill="auto"/>
        <w:spacing w:after="40" w:line="204" w:lineRule="auto"/>
        <w:ind w:firstLine="220"/>
        <w:rPr>
          <w:sz w:val="20"/>
          <w:szCs w:val="20"/>
        </w:rPr>
        <w:sectPr w:rsidR="00500724">
          <w:footnotePr>
            <w:numFmt w:val="chicago"/>
            <w:numRestart w:val="eachPage"/>
          </w:footnotePr>
          <w:type w:val="continuous"/>
          <w:pgSz w:w="11909" w:h="16834"/>
          <w:pgMar w:top="502" w:right="410" w:bottom="502" w:left="1063" w:header="0" w:footer="3" w:gutter="0"/>
          <w:cols w:num="3" w:space="720" w:equalWidth="0">
            <w:col w:w="2533" w:space="100"/>
            <w:col w:w="2533" w:space="2738"/>
            <w:col w:w="2533"/>
          </w:cols>
          <w:noEndnote/>
          <w:docGrid w:linePitch="360"/>
        </w:sectPr>
      </w:pPr>
      <w:r>
        <w:rPr>
          <w:i/>
          <w:iCs/>
          <w:sz w:val="20"/>
          <w:szCs w:val="20"/>
        </w:rPr>
        <w:t>Celá filosofie směřuje k svému centrálnímu úkolu, vytvořiti nejvyšší synthesu, celkový světový a životní ná</w:t>
      </w:r>
      <w:r>
        <w:rPr>
          <w:i/>
          <w:iCs/>
          <w:sz w:val="20"/>
          <w:szCs w:val="20"/>
        </w:rPr>
        <w:softHyphen/>
        <w:t xml:space="preserve">zor. Ovšem poněvadž </w:t>
      </w:r>
      <w:r>
        <w:rPr>
          <w:i/>
          <w:iCs/>
          <w:sz w:val="20"/>
          <w:szCs w:val="20"/>
        </w:rPr>
        <w:t>koře</w:t>
      </w:r>
      <w:r>
        <w:rPr>
          <w:i/>
          <w:iCs/>
          <w:sz w:val="20"/>
          <w:szCs w:val="20"/>
        </w:rPr>
        <w:softHyphen/>
        <w:t>nem, z něhož se prýští tvor</w:t>
      </w:r>
      <w:r>
        <w:rPr>
          <w:i/>
          <w:iCs/>
          <w:sz w:val="20"/>
          <w:szCs w:val="20"/>
        </w:rPr>
        <w:softHyphen/>
        <w:t>ba světového a životního názoru, je osobnost lidská, musí si filosofii vytvořiti každý sám, neboř musí býti pevně zasazena do jeho živo</w:t>
      </w:r>
      <w:r>
        <w:rPr>
          <w:i/>
          <w:iCs/>
          <w:sz w:val="20"/>
          <w:szCs w:val="20"/>
        </w:rPr>
        <w:softHyphen/>
        <w:t>ta. Historie filosofie a filo</w:t>
      </w:r>
      <w:r>
        <w:rPr>
          <w:i/>
          <w:iCs/>
          <w:sz w:val="20"/>
          <w:szCs w:val="20"/>
        </w:rPr>
        <w:softHyphen/>
        <w:t>sofické názory jsou mu jen osvětlením vlastních názorů. F</w:t>
      </w:r>
      <w:r>
        <w:rPr>
          <w:i/>
          <w:iCs/>
          <w:sz w:val="20"/>
          <w:szCs w:val="20"/>
        </w:rPr>
        <w:t>ilosofie nepochopí nikdy ten, jenž chce jen pasivně přijmouti tento pojem od druhé osoby, filosofie jest cosi aktivního, co musi prýštiti z celé bytosti lidské. Filosofii vyznamenává právě činorodá myslivost, kdo jí není schopen, není a nebude nikdy filoso</w:t>
      </w:r>
      <w:r>
        <w:rPr>
          <w:i/>
          <w:iCs/>
          <w:sz w:val="20"/>
          <w:szCs w:val="20"/>
        </w:rPr>
        <w:t>fem. Naprosto klamný je názor, jenž</w:t>
      </w:r>
      <w:r>
        <w:rPr>
          <w:b/>
          <w:bCs/>
          <w:sz w:val="19"/>
          <w:szCs w:val="19"/>
        </w:rPr>
        <w:t xml:space="preserve"> si </w:t>
      </w:r>
      <w:r>
        <w:rPr>
          <w:i/>
          <w:iCs/>
          <w:sz w:val="20"/>
          <w:szCs w:val="20"/>
        </w:rPr>
        <w:t>představuje filosofii jako ně</w:t>
      </w:r>
      <w:r>
        <w:rPr>
          <w:i/>
          <w:iCs/>
          <w:sz w:val="20"/>
          <w:szCs w:val="20"/>
        </w:rPr>
        <w:softHyphen/>
        <w:t>jaký kámen mudrců, o němž se předpokládá, že stačí jej získati a člověk tím ztratí veškeru nejistotu duševní. Od filosofie nesmí nikdo očekávati oné dogmatické jistoty, jakou nám dávají r</w:t>
      </w:r>
      <w:r>
        <w:rPr>
          <w:i/>
          <w:iCs/>
          <w:sz w:val="20"/>
          <w:szCs w:val="20"/>
        </w:rPr>
        <w:t>ozmanité autority. Kdo se nedovede postaviti na vlast</w:t>
      </w:r>
      <w:r>
        <w:rPr>
          <w:i/>
          <w:iCs/>
          <w:sz w:val="20"/>
          <w:szCs w:val="20"/>
        </w:rPr>
        <w:softHyphen/>
        <w:t>ní nohy, kdo pociťuje inte</w:t>
      </w:r>
      <w:r>
        <w:rPr>
          <w:i/>
          <w:iCs/>
          <w:sz w:val="20"/>
          <w:szCs w:val="20"/>
        </w:rPr>
        <w:softHyphen/>
        <w:t>lektuální závrat, když se dívá do propasti pochybnosti, kdo potřebuje zkrátka jisto</w:t>
      </w:r>
      <w:r>
        <w:rPr>
          <w:i/>
          <w:iCs/>
          <w:sz w:val="20"/>
          <w:szCs w:val="20"/>
        </w:rPr>
        <w:softHyphen/>
        <w:t>ty, kterou podává autorita, tomu nebude filosofie a po</w:t>
      </w:r>
      <w:r>
        <w:rPr>
          <w:i/>
          <w:iCs/>
          <w:sz w:val="20"/>
          <w:szCs w:val="20"/>
        </w:rPr>
        <w:softHyphen/>
        <w:t xml:space="preserve">učení filosofické nic plátno, nebot </w:t>
      </w:r>
      <w:r>
        <w:rPr>
          <w:i/>
          <w:iCs/>
          <w:sz w:val="20"/>
          <w:szCs w:val="20"/>
        </w:rPr>
        <w:t>tím jeho duševní zma</w:t>
      </w:r>
      <w:r>
        <w:rPr>
          <w:i/>
          <w:iCs/>
          <w:sz w:val="20"/>
          <w:szCs w:val="20"/>
        </w:rPr>
        <w:softHyphen/>
        <w:t>tek a vnitřní rozháranost ještě vzroste. Filosofie vy</w:t>
      </w:r>
      <w:r>
        <w:rPr>
          <w:i/>
          <w:iCs/>
          <w:sz w:val="20"/>
          <w:szCs w:val="20"/>
        </w:rPr>
        <w:softHyphen/>
        <w:t>žaduje silné, nebojácné osob</w:t>
      </w:r>
      <w:r>
        <w:rPr>
          <w:i/>
          <w:iCs/>
          <w:sz w:val="20"/>
          <w:szCs w:val="20"/>
        </w:rPr>
        <w:softHyphen/>
        <w:t>nosti, která se neleká po</w:t>
      </w:r>
      <w:r>
        <w:rPr>
          <w:i/>
          <w:iCs/>
          <w:sz w:val="20"/>
          <w:szCs w:val="20"/>
        </w:rPr>
        <w:softHyphen/>
        <w:t>chybnosti a která se dovede dívati myšlenkovým nebez</w:t>
      </w:r>
      <w:r>
        <w:rPr>
          <w:i/>
          <w:iCs/>
          <w:sz w:val="20"/>
          <w:szCs w:val="20"/>
        </w:rPr>
        <w:softHyphen/>
        <w:t xml:space="preserve">pečím tváří v tvář. Velmi případně praví </w:t>
      </w:r>
      <w:r>
        <w:rPr>
          <w:i/>
          <w:iCs/>
          <w:sz w:val="20"/>
          <w:szCs w:val="20"/>
          <w:lang w:val="en-US" w:eastAsia="en-US" w:bidi="en-US"/>
        </w:rPr>
        <w:t xml:space="preserve">Berkeley: </w:t>
      </w:r>
      <w:r>
        <w:rPr>
          <w:i/>
          <w:iCs/>
          <w:sz w:val="20"/>
          <w:szCs w:val="20"/>
        </w:rPr>
        <w:t>^Jakmile opustíme smys</w:t>
      </w:r>
      <w:r>
        <w:rPr>
          <w:i/>
          <w:iCs/>
          <w:sz w:val="20"/>
          <w:szCs w:val="20"/>
        </w:rPr>
        <w:t>ly a instinkt, abychom se pustili na cestu vyššího principu, rozumu, a počneme rozumo- vati a uvažovati o přirozené povaze světa, celá řada otá</w:t>
      </w:r>
      <w:r>
        <w:rPr>
          <w:i/>
          <w:iCs/>
          <w:sz w:val="20"/>
          <w:szCs w:val="20"/>
        </w:rPr>
        <w:softHyphen/>
        <w:t>zek a pochybností se nám objeví o věcech, o nichž jsme se domnívali, že je chápeme úplně.*. Kdo ovšem prošel</w:t>
      </w:r>
    </w:p>
    <w:p w:rsidR="00500724" w:rsidRDefault="00F30FB8">
      <w:pPr>
        <w:spacing w:line="14" w:lineRule="exact"/>
      </w:pPr>
      <w:r>
        <w:rPr>
          <w:noProof/>
        </w:rPr>
        <mc:AlternateContent>
          <mc:Choice Requires="wps">
            <w:drawing>
              <wp:anchor distT="265430" distB="64135" distL="3564890" distR="114300" simplePos="0" relativeHeight="125829706" behindDoc="0" locked="0" layoutInCell="1" allowOverlap="1">
                <wp:simplePos x="0" y="0"/>
                <wp:positionH relativeFrom="page">
                  <wp:posOffset>4116070</wp:posOffset>
                </wp:positionH>
                <wp:positionV relativeFrom="paragraph">
                  <wp:posOffset>1743710</wp:posOffset>
                </wp:positionV>
                <wp:extent cx="2069465" cy="133985"/>
                <wp:effectExtent l="0" t="0" r="0" b="0"/>
                <wp:wrapTopAndBottom/>
                <wp:docPr id="329" name="Shape 329"/>
                <wp:cNvGraphicFramePr/>
                <a:graphic xmlns:a="http://schemas.openxmlformats.org/drawingml/2006/main">
                  <a:graphicData uri="http://schemas.microsoft.com/office/word/2010/wordprocessingShape">
                    <wps:wsp>
                      <wps:cNvSpPr txBox="1"/>
                      <wps:spPr>
                        <a:xfrm>
                          <a:off x="0" y="0"/>
                          <a:ext cx="2069465" cy="133985"/>
                        </a:xfrm>
                        <a:prstGeom prst="rect">
                          <a:avLst/>
                        </a:prstGeom>
                        <a:noFill/>
                      </wps:spPr>
                      <wps:txbx>
                        <w:txbxContent>
                          <w:p w:rsidR="00500724" w:rsidRDefault="00F30FB8">
                            <w:pPr>
                              <w:pStyle w:val="Zkladntext40"/>
                              <w:shd w:val="clear" w:color="auto" w:fill="auto"/>
                              <w:spacing w:after="0" w:line="233" w:lineRule="auto"/>
                              <w:jc w:val="right"/>
                              <w:rPr>
                                <w:sz w:val="16"/>
                                <w:szCs w:val="16"/>
                              </w:rPr>
                            </w:pPr>
                            <w:r>
                              <w:rPr>
                                <w:b/>
                                <w:bCs/>
                                <w:i/>
                                <w:iCs/>
                                <w:sz w:val="16"/>
                                <w:szCs w:val="16"/>
                              </w:rPr>
                              <w:t>Myslitelský</w:t>
                            </w:r>
                          </w:p>
                        </w:txbxContent>
                      </wps:txbx>
                      <wps:bodyPr lIns="0" tIns="0" rIns="0" bIns="0">
                        <a:spAutoFit/>
                      </wps:bodyPr>
                    </wps:wsp>
                  </a:graphicData>
                </a:graphic>
              </wp:anchor>
            </w:drawing>
          </mc:Choice>
          <mc:Fallback>
            <w:pict>
              <v:shape id="_x0000_s1355" type="#_x0000_t202" style="position:absolute;margin-left:324.10000000000002pt;margin-top:137.30000000000001pt;width:162.94999999999999pt;height:10.550000000000001pt;z-index:-125829047;mso-wrap-distance-left:280.69999999999999pt;mso-wrap-distance-top:20.899999999999999pt;mso-wrap-distance-right:9.pt;mso-wrap-distance-bottom:5.0499999999999998pt;mso-position-horizontal-relative:page" filled="f" stroked="f">
                <v:textbox style="mso-fit-shape-to-text:t" inset="0,0,0,0">
                  <w:txbxContent>
                    <w:p>
                      <w:pPr>
                        <w:pStyle w:val="Style42"/>
                        <w:keepNext w:val="0"/>
                        <w:keepLines w:val="0"/>
                        <w:widowControl w:val="0"/>
                        <w:shd w:val="clear" w:color="auto" w:fill="auto"/>
                        <w:bidi w:val="0"/>
                        <w:spacing w:before="0" w:after="0" w:line="233" w:lineRule="auto"/>
                        <w:ind w:left="0" w:right="0" w:firstLine="0"/>
                        <w:jc w:val="right"/>
                        <w:rPr>
                          <w:sz w:val="16"/>
                          <w:szCs w:val="16"/>
                        </w:rPr>
                      </w:pPr>
                      <w:r>
                        <w:rPr>
                          <w:b/>
                          <w:bCs/>
                          <w:i/>
                          <w:iCs/>
                          <w:color w:val="000000"/>
                          <w:spacing w:val="0"/>
                          <w:w w:val="100"/>
                          <w:position w:val="0"/>
                          <w:sz w:val="16"/>
                          <w:szCs w:val="16"/>
                          <w:shd w:val="clear" w:color="auto" w:fill="auto"/>
                          <w:lang w:val="cs-CZ" w:eastAsia="cs-CZ" w:bidi="cs-CZ"/>
                        </w:rPr>
                        <w:t>Myslitelský</w:t>
                      </w:r>
                    </w:p>
                  </w:txbxContent>
                </v:textbox>
                <w10:wrap type="topAndBottom" anchorx="page"/>
              </v:shape>
            </w:pict>
          </mc:Fallback>
        </mc:AlternateContent>
      </w:r>
    </w:p>
    <w:p w:rsidR="00500724" w:rsidRDefault="00F30FB8">
      <w:pPr>
        <w:pStyle w:val="Zkladntext20"/>
        <w:shd w:val="clear" w:color="auto" w:fill="auto"/>
        <w:spacing w:after="60" w:line="185" w:lineRule="auto"/>
        <w:ind w:firstLine="0"/>
        <w:rPr>
          <w:sz w:val="20"/>
          <w:szCs w:val="20"/>
        </w:rPr>
      </w:pPr>
      <w:r>
        <w:rPr>
          <w:b/>
          <w:bCs/>
          <w:i/>
          <w:iCs/>
          <w:sz w:val="20"/>
          <w:szCs w:val="20"/>
        </w:rPr>
        <w:t>Školou filosofie, kdo dovedl překonati všecky pochyb</w:t>
      </w:r>
      <w:r>
        <w:rPr>
          <w:b/>
          <w:bCs/>
          <w:i/>
          <w:iCs/>
          <w:sz w:val="20"/>
          <w:szCs w:val="20"/>
        </w:rPr>
        <w:softHyphen/>
        <w:t>nosti a nejistoty a nalezl při</w:t>
      </w:r>
      <w:r>
        <w:rPr>
          <w:b/>
          <w:bCs/>
          <w:i/>
          <w:iCs/>
          <w:sz w:val="20"/>
          <w:szCs w:val="20"/>
        </w:rPr>
        <w:softHyphen/>
        <w:t xml:space="preserve">činěním vlastního ducha, byt </w:t>
      </w:r>
      <w:r>
        <w:rPr>
          <w:rFonts w:ascii="Arial" w:eastAsia="Arial" w:hAnsi="Arial" w:cs="Arial"/>
          <w:b/>
          <w:bCs/>
          <w:sz w:val="18"/>
          <w:szCs w:val="18"/>
        </w:rPr>
        <w:t xml:space="preserve">i </w:t>
      </w:r>
      <w:r>
        <w:rPr>
          <w:b/>
          <w:bCs/>
          <w:i/>
          <w:iCs/>
          <w:sz w:val="20"/>
          <w:szCs w:val="20"/>
        </w:rPr>
        <w:t>s cizím přispěním filosofic</w:t>
      </w:r>
      <w:r>
        <w:rPr>
          <w:b/>
          <w:bCs/>
          <w:i/>
          <w:iCs/>
          <w:sz w:val="20"/>
          <w:szCs w:val="20"/>
        </w:rPr>
        <w:softHyphen/>
        <w:t>ký jas a klid, ten vytvořil nejen novou myšlenku, nýbrž celého nového člověka.</w:t>
      </w:r>
    </w:p>
    <w:p w:rsidR="00500724" w:rsidRDefault="00F30FB8">
      <w:pPr>
        <w:pStyle w:val="Zkladntext100"/>
        <w:shd w:val="clear" w:color="auto" w:fill="auto"/>
        <w:spacing w:line="161" w:lineRule="auto"/>
        <w:ind w:firstLine="160"/>
      </w:pPr>
      <w:r>
        <w:t xml:space="preserve">Z nového čísla Vědy a </w:t>
      </w:r>
      <w:r>
        <w:rPr>
          <w:b/>
          <w:bCs/>
          <w:sz w:val="19"/>
          <w:szCs w:val="19"/>
        </w:rPr>
        <w:t xml:space="preserve">ž 1- </w:t>
      </w:r>
      <w:r>
        <w:t>v o t a.</w:t>
      </w:r>
    </w:p>
    <w:p w:rsidR="00500724" w:rsidRDefault="00F30FB8">
      <w:pPr>
        <w:pStyle w:val="Zkladntext100"/>
        <w:shd w:val="clear" w:color="auto" w:fill="auto"/>
        <w:spacing w:line="202" w:lineRule="auto"/>
        <w:ind w:firstLine="180"/>
        <w:sectPr w:rsidR="00500724">
          <w:footnotePr>
            <w:numFmt w:val="chicago"/>
            <w:numRestart w:val="eachPage"/>
          </w:footnotePr>
          <w:pgSz w:w="11909" w:h="16834"/>
          <w:pgMar w:top="740" w:right="6525" w:bottom="1203" w:left="242" w:header="0" w:footer="3" w:gutter="0"/>
          <w:cols w:num="2" w:sep="1" w:space="100"/>
          <w:noEndnote/>
          <w:docGrid w:linePitch="360"/>
        </w:sectPr>
      </w:pPr>
      <w:r>
        <w:t>Po dobrém spánku ... Po dobrém spánku dobrá snídaně. Tak se má začít, to Je prvním předpokladem úspěchu. Proto dnes tolik lidi vaří kávu z Karo- Franckovky a Peroly. Je to výživ</w:t>
      </w:r>
      <w:r>
        <w:softHyphen/>
        <w:t xml:space="preserve">ná a zdravá </w:t>
      </w:r>
      <w:r>
        <w:t xml:space="preserve">snídaně, Je to naSe káva, která roste u nás a vyrábí </w:t>
      </w:r>
      <w:r>
        <w:rPr>
          <w:u w:val="single"/>
        </w:rPr>
        <w:t>se v Pardubicích</w:t>
      </w:r>
    </w:p>
    <w:p w:rsidR="00500724" w:rsidRDefault="00F30FB8">
      <w:pPr>
        <w:pStyle w:val="Jin0"/>
        <w:shd w:val="clear" w:color="auto" w:fill="auto"/>
        <w:spacing w:after="220"/>
        <w:ind w:left="1420" w:firstLine="0"/>
        <w:jc w:val="left"/>
        <w:rPr>
          <w:sz w:val="28"/>
          <w:szCs w:val="28"/>
        </w:rPr>
      </w:pPr>
      <w:r>
        <w:rPr>
          <w:b/>
          <w:bCs/>
          <w:sz w:val="28"/>
          <w:szCs w:val="28"/>
        </w:rPr>
        <w:t>Dnes po prvé</w:t>
      </w:r>
    </w:p>
    <w:p w:rsidR="00500724" w:rsidRDefault="00F30FB8">
      <w:pPr>
        <w:pStyle w:val="Jin0"/>
        <w:shd w:val="clear" w:color="auto" w:fill="auto"/>
        <w:spacing w:after="340"/>
        <w:ind w:left="1100" w:firstLine="0"/>
        <w:jc w:val="left"/>
        <w:rPr>
          <w:sz w:val="28"/>
          <w:szCs w:val="28"/>
        </w:rPr>
      </w:pPr>
      <w:r>
        <w:rPr>
          <w:b/>
          <w:bCs/>
          <w:sz w:val="28"/>
          <w:szCs w:val="28"/>
        </w:rPr>
        <w:t>hudební veselohra</w:t>
      </w:r>
    </w:p>
    <w:p w:rsidR="00500724" w:rsidRDefault="00F30FB8">
      <w:pPr>
        <w:pStyle w:val="Jin0"/>
        <w:shd w:val="clear" w:color="auto" w:fill="auto"/>
        <w:spacing w:line="350" w:lineRule="auto"/>
        <w:ind w:firstLine="0"/>
        <w:jc w:val="left"/>
        <w:rPr>
          <w:sz w:val="28"/>
          <w:szCs w:val="28"/>
        </w:rPr>
      </w:pPr>
      <w:r>
        <w:rPr>
          <w:b/>
          <w:bCs/>
          <w:sz w:val="28"/>
          <w:szCs w:val="28"/>
        </w:rPr>
        <w:t>Rozveselí Vás OLDŘICH NOVÝ s celým souborem Nového divadla</w:t>
      </w:r>
    </w:p>
    <w:p w:rsidR="00500724" w:rsidRDefault="00F30FB8">
      <w:pPr>
        <w:spacing w:line="1" w:lineRule="exact"/>
        <w:rPr>
          <w:sz w:val="2"/>
          <w:szCs w:val="2"/>
        </w:rPr>
      </w:pPr>
      <w:r>
        <w:br w:type="column"/>
      </w:r>
    </w:p>
    <w:p w:rsidR="00500724" w:rsidRDefault="00F30FB8">
      <w:pPr>
        <w:pStyle w:val="Jin0"/>
        <w:shd w:val="clear" w:color="auto" w:fill="auto"/>
        <w:spacing w:after="100"/>
        <w:ind w:left="520" w:firstLine="0"/>
        <w:jc w:val="center"/>
        <w:rPr>
          <w:sz w:val="32"/>
          <w:szCs w:val="32"/>
        </w:rPr>
      </w:pPr>
      <w:r>
        <w:rPr>
          <w:rFonts w:ascii="Arial" w:eastAsia="Arial" w:hAnsi="Arial" w:cs="Arial"/>
          <w:b/>
          <w:bCs/>
          <w:sz w:val="32"/>
          <w:szCs w:val="32"/>
        </w:rPr>
        <w:t>OTOKARA BŘEZINY</w:t>
      </w:r>
    </w:p>
    <w:p w:rsidR="00500724" w:rsidRDefault="00F30FB8">
      <w:pPr>
        <w:pStyle w:val="Zkladntext40"/>
        <w:shd w:val="clear" w:color="auto" w:fill="auto"/>
        <w:spacing w:after="120" w:line="269" w:lineRule="auto"/>
        <w:ind w:left="660" w:right="1140"/>
        <w:jc w:val="left"/>
        <w:rPr>
          <w:sz w:val="16"/>
          <w:szCs w:val="16"/>
        </w:rPr>
      </w:pPr>
      <w:r>
        <w:rPr>
          <w:b/>
          <w:bCs/>
          <w:i/>
          <w:iCs/>
          <w:sz w:val="16"/>
          <w:szCs w:val="16"/>
        </w:rPr>
        <w:t>se nejpronikavěji zjevuje ve svitls jeho dopi</w:t>
      </w:r>
      <w:r>
        <w:rPr>
          <w:b/>
          <w:bCs/>
          <w:i/>
          <w:iCs/>
          <w:sz w:val="16"/>
          <w:szCs w:val="16"/>
        </w:rPr>
        <w:softHyphen/>
        <w:t>sů a výroků</w:t>
      </w:r>
    </w:p>
    <w:p w:rsidR="00500724" w:rsidRDefault="00F30FB8">
      <w:pPr>
        <w:pStyle w:val="Zkladntext50"/>
        <w:shd w:val="clear" w:color="auto" w:fill="auto"/>
        <w:spacing w:after="40" w:line="226" w:lineRule="auto"/>
        <w:ind w:left="660" w:right="1140"/>
        <w:jc w:val="left"/>
        <w:rPr>
          <w:sz w:val="16"/>
          <w:szCs w:val="16"/>
        </w:rPr>
      </w:pPr>
      <w:r>
        <w:rPr>
          <w:b/>
          <w:bCs/>
          <w:sz w:val="16"/>
          <w:szCs w:val="16"/>
        </w:rPr>
        <w:t xml:space="preserve">Dopisy Otokara </w:t>
      </w:r>
      <w:r>
        <w:rPr>
          <w:b/>
          <w:bCs/>
          <w:sz w:val="16"/>
          <w:szCs w:val="16"/>
        </w:rPr>
        <w:t>Březiny Františku Bauerovi. (Z let 1887—1901.)</w:t>
      </w:r>
    </w:p>
    <w:p w:rsidR="00500724" w:rsidRDefault="00F30FB8">
      <w:pPr>
        <w:pStyle w:val="Zkladntext100"/>
        <w:shd w:val="clear" w:color="auto" w:fill="auto"/>
        <w:spacing w:after="40" w:line="144" w:lineRule="auto"/>
        <w:ind w:left="660" w:right="1180" w:firstLine="0"/>
      </w:pPr>
      <w:r>
        <w:t xml:space="preserve">280 str. 10 příloh. Brož. K 75. Váz. K 90. Váz. v polokožené vazbě K 115. ZvIáStnl vydáni v úpravě a vazbě </w:t>
      </w:r>
      <w:r>
        <w:rPr>
          <w:b/>
          <w:bCs/>
        </w:rPr>
        <w:t xml:space="preserve">A. </w:t>
      </w:r>
      <w:r>
        <w:t>Chlebečka, váz. v bílé vepřovici K 240.</w:t>
      </w:r>
    </w:p>
    <w:p w:rsidR="00500724" w:rsidRDefault="00F30FB8">
      <w:pPr>
        <w:pStyle w:val="Zkladntext50"/>
        <w:shd w:val="clear" w:color="auto" w:fill="auto"/>
        <w:spacing w:after="40" w:line="233" w:lineRule="auto"/>
        <w:ind w:left="660" w:right="1140"/>
        <w:jc w:val="left"/>
        <w:rPr>
          <w:sz w:val="16"/>
          <w:szCs w:val="16"/>
        </w:rPr>
      </w:pPr>
      <w:r>
        <w:rPr>
          <w:b/>
          <w:bCs/>
          <w:sz w:val="16"/>
          <w:szCs w:val="16"/>
        </w:rPr>
        <w:t>E. Chalupný: Dopisy a výroky Otokara Březiny.</w:t>
      </w:r>
    </w:p>
    <w:p w:rsidR="00500724" w:rsidRDefault="00F30FB8">
      <w:pPr>
        <w:pStyle w:val="Zkladntext100"/>
        <w:shd w:val="clear" w:color="auto" w:fill="auto"/>
        <w:spacing w:after="40" w:line="139" w:lineRule="auto"/>
        <w:ind w:left="660" w:right="1140" w:firstLine="0"/>
        <w:jc w:val="left"/>
      </w:pPr>
      <w:r>
        <w:t xml:space="preserve">332 stran. S </w:t>
      </w:r>
      <w:r>
        <w:t>10 přílohami. Brož. 75 K. Váz. 90 K. Váz. v polokož. vazbě K 115.</w:t>
      </w:r>
    </w:p>
    <w:p w:rsidR="00500724" w:rsidRDefault="00F30FB8">
      <w:pPr>
        <w:pStyle w:val="Zkladntext50"/>
        <w:shd w:val="clear" w:color="auto" w:fill="auto"/>
        <w:spacing w:after="40" w:line="233" w:lineRule="auto"/>
        <w:ind w:left="660" w:right="1140"/>
        <w:jc w:val="left"/>
        <w:rPr>
          <w:sz w:val="16"/>
          <w:szCs w:val="16"/>
        </w:rPr>
      </w:pPr>
      <w:r>
        <w:rPr>
          <w:b/>
          <w:bCs/>
          <w:sz w:val="16"/>
          <w:szCs w:val="16"/>
        </w:rPr>
        <w:t>Dopisy Otokara Březiny Františku Bílkovi.</w:t>
      </w:r>
    </w:p>
    <w:p w:rsidR="00500724" w:rsidRDefault="00F30FB8">
      <w:pPr>
        <w:pStyle w:val="Zkladntext100"/>
        <w:shd w:val="clear" w:color="auto" w:fill="auto"/>
        <w:spacing w:after="40" w:line="151" w:lineRule="auto"/>
        <w:ind w:left="660" w:right="1180" w:firstLine="0"/>
      </w:pPr>
      <w:r>
        <w:t xml:space="preserve">Vydal V. Nečas. 192 stran. 14 příloh. Brož. K 50. Váz. K 65. Váz. </w:t>
      </w:r>
      <w:r>
        <w:rPr>
          <w:b/>
          <w:bCs/>
        </w:rPr>
        <w:t xml:space="preserve">v </w:t>
      </w:r>
      <w:r>
        <w:t>polokožené vazbě K 90.</w:t>
      </w:r>
    </w:p>
    <w:p w:rsidR="00500724" w:rsidRDefault="00F30FB8">
      <w:pPr>
        <w:pStyle w:val="Zkladntext50"/>
        <w:shd w:val="clear" w:color="auto" w:fill="auto"/>
        <w:spacing w:after="0" w:line="218" w:lineRule="auto"/>
        <w:ind w:left="660"/>
        <w:rPr>
          <w:sz w:val="16"/>
          <w:szCs w:val="16"/>
        </w:rPr>
        <w:sectPr w:rsidR="00500724">
          <w:footnotePr>
            <w:numFmt w:val="chicago"/>
            <w:numRestart w:val="eachPage"/>
          </w:footnotePr>
          <w:type w:val="continuous"/>
          <w:pgSz w:w="11909" w:h="16834"/>
          <w:pgMar w:top="740" w:right="997" w:bottom="1203" w:left="598" w:header="0" w:footer="3" w:gutter="0"/>
          <w:cols w:num="2" w:space="168"/>
          <w:noEndnote/>
          <w:docGrid w:linePitch="360"/>
        </w:sectPr>
      </w:pPr>
      <w:r>
        <w:t xml:space="preserve">Dodá každý knihkupec. </w:t>
      </w:r>
      <w:r>
        <w:rPr>
          <w:b/>
          <w:bCs/>
          <w:sz w:val="16"/>
          <w:szCs w:val="16"/>
        </w:rPr>
        <w:t xml:space="preserve">FR. </w:t>
      </w:r>
      <w:r>
        <w:rPr>
          <w:b/>
          <w:bCs/>
          <w:sz w:val="16"/>
          <w:szCs w:val="16"/>
        </w:rPr>
        <w:t>BOROVt.</w:t>
      </w:r>
    </w:p>
    <w:p w:rsidR="00500724" w:rsidRDefault="00500724">
      <w:pPr>
        <w:spacing w:before="107" w:after="107"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740" w:right="0" w:bottom="740" w:left="0" w:header="0" w:footer="3" w:gutter="0"/>
          <w:cols w:space="720"/>
          <w:noEndnote/>
          <w:docGrid w:linePitch="360"/>
        </w:sectPr>
      </w:pPr>
    </w:p>
    <w:p w:rsidR="00500724" w:rsidRDefault="00F30FB8">
      <w:pPr>
        <w:pStyle w:val="Zkladntext100"/>
        <w:shd w:val="clear" w:color="auto" w:fill="auto"/>
        <w:spacing w:line="154" w:lineRule="auto"/>
        <w:ind w:left="420" w:right="340" w:hanging="220"/>
      </w:pPr>
      <w:r>
        <w:rPr>
          <w:lang w:val="en-US" w:eastAsia="en-US" w:bidi="en-US"/>
        </w:rPr>
        <w:t xml:space="preserve">MUMFORD Lewis: The Culture of Cities. The new rdle of cities and regions in modern civilization. 24.5 </w:t>
      </w:r>
      <w:r>
        <w:rPr>
          <w:b/>
          <w:bCs/>
          <w:sz w:val="19"/>
          <w:szCs w:val="19"/>
          <w:lang w:val="en-US" w:eastAsia="en-US" w:bidi="en-US"/>
        </w:rPr>
        <w:t xml:space="preserve">x </w:t>
      </w:r>
      <w:r>
        <w:rPr>
          <w:lang w:val="en-US" w:eastAsia="en-US" w:bidi="en-US"/>
        </w:rPr>
        <w:t xml:space="preserve">16 cm, 586 str. </w:t>
      </w:r>
      <w:r>
        <w:t>a mnoho celostránkových reprodukci, váz. K 171.60</w:t>
      </w:r>
    </w:p>
    <w:p w:rsidR="00500724" w:rsidRDefault="00F30FB8">
      <w:pPr>
        <w:pStyle w:val="Zkladntext100"/>
        <w:shd w:val="clear" w:color="auto" w:fill="auto"/>
        <w:tabs>
          <w:tab w:val="left" w:pos="3722"/>
        </w:tabs>
        <w:spacing w:line="151" w:lineRule="auto"/>
        <w:ind w:left="420" w:right="340" w:hanging="220"/>
      </w:pPr>
      <w:r>
        <w:t xml:space="preserve">Science Today: </w:t>
      </w:r>
      <w:r>
        <w:rPr>
          <w:lang w:val="en-US" w:eastAsia="en-US" w:bidi="en-US"/>
        </w:rPr>
        <w:t>The scientific outlook on world p</w:t>
      </w:r>
      <w:r>
        <w:rPr>
          <w:lang w:val="en-US" w:eastAsia="en-US" w:bidi="en-US"/>
        </w:rPr>
        <w:t>roblems explained by the leading exponents of modern thought. Planned and arranged by the late Sir J. Arthur THOM</w:t>
      </w:r>
      <w:r>
        <w:rPr>
          <w:lang w:val="en-US" w:eastAsia="en-US" w:bidi="en-US"/>
        </w:rPr>
        <w:softHyphen/>
        <w:t>SON. 22.2X15 cm, 398 str.,</w:t>
      </w:r>
      <w:r>
        <w:rPr>
          <w:lang w:val="en-US" w:eastAsia="en-US" w:bidi="en-US"/>
        </w:rPr>
        <w:tab/>
      </w:r>
      <w:r>
        <w:t xml:space="preserve">váz. </w:t>
      </w:r>
      <w:r>
        <w:rPr>
          <w:lang w:val="en-US" w:eastAsia="en-US" w:bidi="en-US"/>
        </w:rPr>
        <w:t>K 40.—</w:t>
      </w:r>
    </w:p>
    <w:p w:rsidR="00500724" w:rsidRDefault="00F30FB8">
      <w:pPr>
        <w:pStyle w:val="Zkladntext100"/>
        <w:shd w:val="clear" w:color="auto" w:fill="auto"/>
        <w:tabs>
          <w:tab w:val="left" w:pos="3722"/>
        </w:tabs>
        <w:spacing w:line="156" w:lineRule="auto"/>
        <w:ind w:left="420" w:right="340" w:hanging="220"/>
      </w:pPr>
      <w:r>
        <w:rPr>
          <w:lang w:val="en-US" w:eastAsia="en-US" w:bidi="en-US"/>
        </w:rPr>
        <w:t xml:space="preserve">AUBRY Octave: Vie </w:t>
      </w:r>
      <w:r>
        <w:t xml:space="preserve">prlvée </w:t>
      </w:r>
      <w:r>
        <w:rPr>
          <w:lang w:val="en-US" w:eastAsia="en-US" w:bidi="en-US"/>
        </w:rPr>
        <w:t xml:space="preserve">de </w:t>
      </w:r>
      <w:r>
        <w:t xml:space="preserve">Napoléon. </w:t>
      </w:r>
      <w:r>
        <w:rPr>
          <w:lang w:val="en-US" w:eastAsia="en-US" w:bidi="en-US"/>
        </w:rPr>
        <w:t xml:space="preserve">19.5 X13 cm, 439 </w:t>
      </w:r>
      <w:r>
        <w:t>stran,</w:t>
      </w:r>
      <w:r>
        <w:tab/>
        <w:t xml:space="preserve">brož. </w:t>
      </w:r>
      <w:r>
        <w:rPr>
          <w:lang w:val="en-US" w:eastAsia="en-US" w:bidi="en-US"/>
        </w:rPr>
        <w:t>K 25.—</w:t>
      </w:r>
    </w:p>
    <w:p w:rsidR="00500724" w:rsidRDefault="00F30FB8">
      <w:pPr>
        <w:pStyle w:val="Zkladntext100"/>
        <w:shd w:val="clear" w:color="auto" w:fill="auto"/>
        <w:tabs>
          <w:tab w:val="left" w:pos="3722"/>
        </w:tabs>
        <w:spacing w:line="154" w:lineRule="auto"/>
        <w:ind w:left="420" w:right="340" w:hanging="220"/>
      </w:pPr>
      <w:r>
        <w:rPr>
          <w:lang w:val="en-US" w:eastAsia="en-US" w:bidi="en-US"/>
        </w:rPr>
        <w:t xml:space="preserve">Ue </w:t>
      </w:r>
      <w:r>
        <w:t xml:space="preserve">mystěre </w:t>
      </w:r>
      <w:r>
        <w:rPr>
          <w:lang w:val="en-US" w:eastAsia="en-US" w:bidi="en-US"/>
        </w:rPr>
        <w:t xml:space="preserve">animal par COLETTE, Edmond JALOUX, </w:t>
      </w:r>
      <w:r>
        <w:t xml:space="preserve">Paule RÉGNIER, </w:t>
      </w:r>
      <w:r>
        <w:rPr>
          <w:lang w:val="en-US" w:eastAsia="en-US" w:bidi="en-US"/>
        </w:rPr>
        <w:t xml:space="preserve">Marguerite COMBES, </w:t>
      </w:r>
      <w:r>
        <w:t xml:space="preserve">André </w:t>
      </w:r>
      <w:r>
        <w:rPr>
          <w:lang w:val="en-US" w:eastAsia="en-US" w:bidi="en-US"/>
        </w:rPr>
        <w:t xml:space="preserve">DEMAISON, Charles </w:t>
      </w:r>
      <w:r>
        <w:t xml:space="preserve">SILVESTŘE, </w:t>
      </w:r>
      <w:r>
        <w:rPr>
          <w:lang w:val="en-US" w:eastAsia="en-US" w:bidi="en-US"/>
        </w:rPr>
        <w:t xml:space="preserve">Jean CANU, Edouard </w:t>
      </w:r>
      <w:r>
        <w:t xml:space="preserve">CLAPADÉRE, </w:t>
      </w:r>
      <w:r>
        <w:rPr>
          <w:lang w:val="en-US" w:eastAsia="en-US" w:bidi="en-US"/>
        </w:rPr>
        <w:t xml:space="preserve">Walther RIESE, Charles BOUCAUD, Jean PLAQUEVENT. 19X12 cm, 301 </w:t>
      </w:r>
      <w:r>
        <w:t>stran,</w:t>
      </w:r>
      <w:r>
        <w:tab/>
        <w:t xml:space="preserve">brož. </w:t>
      </w:r>
      <w:r>
        <w:rPr>
          <w:lang w:val="en-US" w:eastAsia="en-US" w:bidi="en-US"/>
        </w:rPr>
        <w:t>K 20.—</w:t>
      </w:r>
    </w:p>
    <w:p w:rsidR="00500724" w:rsidRDefault="00F30FB8">
      <w:pPr>
        <w:pStyle w:val="Zkladntext100"/>
        <w:shd w:val="clear" w:color="auto" w:fill="auto"/>
        <w:tabs>
          <w:tab w:val="left" w:pos="3722"/>
        </w:tabs>
        <w:spacing w:line="161" w:lineRule="auto"/>
        <w:ind w:left="420" w:right="340" w:hanging="220"/>
      </w:pPr>
      <w:r>
        <w:t xml:space="preserve">v. </w:t>
      </w:r>
      <w:r>
        <w:rPr>
          <w:lang w:val="en-US" w:eastAsia="en-US" w:bidi="en-US"/>
        </w:rPr>
        <w:t>NOHARA W. K„ Brasllicn. Tag und Nach</w:t>
      </w:r>
      <w:r>
        <w:rPr>
          <w:lang w:val="en-US" w:eastAsia="en-US" w:bidi="en-US"/>
        </w:rPr>
        <w:t xml:space="preserve">t. 21X14 cm, 261 </w:t>
      </w:r>
      <w:r>
        <w:t>stran,</w:t>
      </w:r>
      <w:r>
        <w:tab/>
        <w:t xml:space="preserve">váz. </w:t>
      </w:r>
      <w:r>
        <w:rPr>
          <w:lang w:val="en-US" w:eastAsia="en-US" w:bidi="en-US"/>
        </w:rPr>
        <w:t>K 58.—</w:t>
      </w:r>
    </w:p>
    <w:p w:rsidR="00500724" w:rsidRDefault="00F30FB8">
      <w:pPr>
        <w:pStyle w:val="Zkladntext100"/>
        <w:shd w:val="clear" w:color="auto" w:fill="auto"/>
        <w:tabs>
          <w:tab w:val="left" w:pos="3722"/>
        </w:tabs>
        <w:spacing w:after="80" w:line="149" w:lineRule="auto"/>
        <w:ind w:left="420" w:right="340" w:hanging="220"/>
      </w:pPr>
      <w:r>
        <w:rPr>
          <w:lang w:val="en-US" w:eastAsia="en-US" w:bidi="en-US"/>
        </w:rPr>
        <w:t xml:space="preserve">SCHLESINGER Rudolf: Ein Volk kiinipft fiir seine Freiheit. Ursachen, Verlauf und Aussichten des Krieges in China. 21X15 cm, 204 </w:t>
      </w:r>
      <w:r>
        <w:t>stran,</w:t>
      </w:r>
      <w:r>
        <w:tab/>
        <w:t xml:space="preserve">brož. </w:t>
      </w:r>
      <w:r>
        <w:rPr>
          <w:lang w:val="en-US" w:eastAsia="en-US" w:bidi="en-US"/>
        </w:rPr>
        <w:t>K 24.—</w:t>
      </w:r>
    </w:p>
    <w:p w:rsidR="00500724" w:rsidRDefault="00F30FB8">
      <w:pPr>
        <w:pStyle w:val="Zkladntext100"/>
        <w:shd w:val="clear" w:color="auto" w:fill="auto"/>
        <w:spacing w:after="960" w:line="185" w:lineRule="auto"/>
        <w:ind w:left="420" w:hanging="220"/>
        <w:rPr>
          <w:sz w:val="17"/>
          <w:szCs w:val="17"/>
        </w:rPr>
      </w:pPr>
      <w:r>
        <w:rPr>
          <w:rFonts w:ascii="Arial" w:eastAsia="Arial" w:hAnsi="Arial" w:cs="Arial"/>
          <w:b/>
          <w:bCs/>
          <w:sz w:val="15"/>
          <w:szCs w:val="15"/>
          <w:lang w:val="en-US" w:eastAsia="en-US" w:bidi="en-US"/>
        </w:rPr>
        <w:t xml:space="preserve">F. </w:t>
      </w:r>
      <w:r>
        <w:rPr>
          <w:rFonts w:ascii="Arial" w:eastAsia="Arial" w:hAnsi="Arial" w:cs="Arial"/>
          <w:b/>
          <w:bCs/>
          <w:sz w:val="15"/>
          <w:szCs w:val="15"/>
        </w:rPr>
        <w:t xml:space="preserve">TOPIČ, </w:t>
      </w:r>
      <w:r>
        <w:rPr>
          <w:b/>
          <w:bCs/>
          <w:sz w:val="17"/>
          <w:szCs w:val="17"/>
        </w:rPr>
        <w:t xml:space="preserve">knihkupectví, </w:t>
      </w:r>
      <w:r>
        <w:rPr>
          <w:rFonts w:ascii="Arial" w:eastAsia="Arial" w:hAnsi="Arial" w:cs="Arial"/>
          <w:b/>
          <w:bCs/>
          <w:sz w:val="15"/>
          <w:szCs w:val="15"/>
          <w:lang w:val="en-US" w:eastAsia="en-US" w:bidi="en-US"/>
        </w:rPr>
        <w:t xml:space="preserve">PRAHA </w:t>
      </w:r>
      <w:r>
        <w:rPr>
          <w:b/>
          <w:bCs/>
          <w:sz w:val="17"/>
          <w:szCs w:val="17"/>
          <w:lang w:val="en-US" w:eastAsia="en-US" w:bidi="en-US"/>
        </w:rPr>
        <w:t xml:space="preserve">l&gt;, </w:t>
      </w:r>
      <w:r>
        <w:rPr>
          <w:b/>
          <w:bCs/>
          <w:sz w:val="17"/>
          <w:szCs w:val="17"/>
        </w:rPr>
        <w:t xml:space="preserve">Národní </w:t>
      </w:r>
      <w:r>
        <w:rPr>
          <w:b/>
          <w:bCs/>
          <w:sz w:val="17"/>
          <w:szCs w:val="17"/>
          <w:lang w:val="en-US" w:eastAsia="en-US" w:bidi="en-US"/>
        </w:rPr>
        <w:t>11</w:t>
      </w:r>
    </w:p>
    <w:p w:rsidR="00500724" w:rsidRDefault="00F30FB8">
      <w:pPr>
        <w:spacing w:line="1" w:lineRule="exact"/>
        <w:rPr>
          <w:sz w:val="2"/>
          <w:szCs w:val="2"/>
        </w:rPr>
      </w:pPr>
      <w:r>
        <w:br w:type="column"/>
      </w:r>
    </w:p>
    <w:p w:rsidR="00500724" w:rsidRDefault="00F30FB8">
      <w:pPr>
        <w:pStyle w:val="Zkladntext20"/>
        <w:shd w:val="clear" w:color="auto" w:fill="auto"/>
        <w:tabs>
          <w:tab w:val="left" w:pos="1584"/>
        </w:tabs>
        <w:spacing w:line="226" w:lineRule="auto"/>
        <w:ind w:left="580" w:firstLine="20"/>
        <w:rPr>
          <w:sz w:val="20"/>
          <w:szCs w:val="20"/>
        </w:rPr>
      </w:pPr>
      <w:r>
        <w:rPr>
          <w:i/>
          <w:iCs/>
          <w:sz w:val="20"/>
          <w:szCs w:val="20"/>
          <w:u w:val="single"/>
        </w:rPr>
        <w:t>■■  —:</w:t>
      </w:r>
      <w:r>
        <w:rPr>
          <w:i/>
          <w:iCs/>
          <w:sz w:val="20"/>
          <w:szCs w:val="20"/>
        </w:rPr>
        <w:tab/>
        <w:t>v závěru H o r dub</w:t>
      </w:r>
      <w:r>
        <w:rPr>
          <w:i/>
          <w:iCs/>
          <w:sz w:val="20"/>
          <w:szCs w:val="20"/>
        </w:rPr>
        <w:t xml:space="preserve"> al a oním</w:t>
      </w:r>
    </w:p>
    <w:p w:rsidR="00500724" w:rsidRDefault="00F30FB8">
      <w:pPr>
        <w:pStyle w:val="Zkladntext20"/>
        <w:shd w:val="clear" w:color="auto" w:fill="auto"/>
        <w:tabs>
          <w:tab w:val="left" w:leader="dot" w:pos="1046"/>
          <w:tab w:val="left" w:leader="dot" w:pos="1322"/>
          <w:tab w:val="left" w:pos="1584"/>
        </w:tabs>
        <w:spacing w:line="226" w:lineRule="auto"/>
        <w:ind w:left="580" w:firstLine="20"/>
        <w:rPr>
          <w:sz w:val="20"/>
          <w:szCs w:val="20"/>
        </w:rPr>
      </w:pPr>
      <w:r>
        <w:rPr>
          <w:b/>
          <w:bCs/>
          <w:i/>
          <w:iCs/>
          <w:sz w:val="20"/>
          <w:szCs w:val="20"/>
          <w:u w:val="single"/>
        </w:rPr>
        <w:tab/>
      </w:r>
      <w:r>
        <w:rPr>
          <w:b/>
          <w:bCs/>
          <w:i/>
          <w:iCs/>
          <w:sz w:val="20"/>
          <w:szCs w:val="20"/>
          <w:u w:val="single"/>
        </w:rPr>
        <w:tab/>
        <w:t>:</w:t>
      </w:r>
      <w:r>
        <w:rPr>
          <w:b/>
          <w:bCs/>
          <w:i/>
          <w:iCs/>
          <w:sz w:val="20"/>
          <w:szCs w:val="20"/>
        </w:rPr>
        <w:tab/>
        <w:t>výkladem vraždy, ono pirande-</w:t>
      </w:r>
    </w:p>
    <w:p w:rsidR="00500724" w:rsidRDefault="00F30FB8">
      <w:pPr>
        <w:pStyle w:val="Zkladntext20"/>
        <w:shd w:val="clear" w:color="auto" w:fill="auto"/>
        <w:tabs>
          <w:tab w:val="left" w:pos="1584"/>
        </w:tabs>
        <w:spacing w:line="226" w:lineRule="auto"/>
        <w:ind w:left="1240" w:firstLine="20"/>
        <w:rPr>
          <w:sz w:val="20"/>
          <w:szCs w:val="20"/>
        </w:rPr>
      </w:pPr>
      <w:r>
        <w:rPr>
          <w:b/>
          <w:bCs/>
          <w:i/>
          <w:iCs/>
          <w:sz w:val="20"/>
          <w:szCs w:val="20"/>
          <w:u w:val="single"/>
        </w:rPr>
        <w:t>■:</w:t>
      </w:r>
      <w:r>
        <w:rPr>
          <w:b/>
          <w:bCs/>
          <w:i/>
          <w:iCs/>
          <w:sz w:val="20"/>
          <w:szCs w:val="20"/>
        </w:rPr>
        <w:tab/>
        <w:t>lovské Vkaždý má svou pravdu*</w:t>
      </w:r>
    </w:p>
    <w:p w:rsidR="00500724" w:rsidRDefault="00F30FB8">
      <w:pPr>
        <w:pStyle w:val="Zkladntext20"/>
        <w:shd w:val="clear" w:color="auto" w:fill="auto"/>
        <w:tabs>
          <w:tab w:val="left" w:pos="1584"/>
        </w:tabs>
        <w:spacing w:line="226" w:lineRule="auto"/>
        <w:ind w:left="1300" w:firstLine="20"/>
        <w:rPr>
          <w:sz w:val="20"/>
          <w:szCs w:val="20"/>
        </w:rPr>
      </w:pPr>
      <w:r>
        <w:rPr>
          <w:b/>
          <w:bCs/>
          <w:i/>
          <w:iCs/>
          <w:sz w:val="20"/>
          <w:szCs w:val="20"/>
          <w:u w:val="single"/>
        </w:rPr>
        <w:t>:</w:t>
      </w:r>
      <w:r>
        <w:rPr>
          <w:b/>
          <w:bCs/>
          <w:i/>
          <w:iCs/>
          <w:sz w:val="20"/>
          <w:szCs w:val="20"/>
        </w:rPr>
        <w:tab/>
        <w:t>je v Povětroni realisováno s</w:t>
      </w:r>
    </w:p>
    <w:p w:rsidR="00500724" w:rsidRDefault="00F30FB8">
      <w:pPr>
        <w:pStyle w:val="Zkladntext20"/>
        <w:shd w:val="clear" w:color="auto" w:fill="auto"/>
        <w:tabs>
          <w:tab w:val="left" w:leader="dot" w:pos="1046"/>
          <w:tab w:val="left" w:pos="1322"/>
        </w:tabs>
        <w:spacing w:line="226" w:lineRule="auto"/>
        <w:ind w:left="580" w:firstLine="20"/>
        <w:rPr>
          <w:sz w:val="20"/>
          <w:szCs w:val="20"/>
        </w:rPr>
      </w:pPr>
      <w:r>
        <w:rPr>
          <w:b/>
          <w:bCs/>
          <w:i/>
          <w:iCs/>
          <w:sz w:val="20"/>
          <w:szCs w:val="20"/>
          <w:u w:val="single"/>
        </w:rPr>
        <w:tab/>
      </w:r>
      <w:r>
        <w:rPr>
          <w:b/>
          <w:bCs/>
          <w:i/>
          <w:iCs/>
          <w:sz w:val="20"/>
          <w:szCs w:val="20"/>
          <w:u w:val="single"/>
        </w:rPr>
        <w:tab/>
        <w:t>:</w:t>
      </w:r>
      <w:r>
        <w:rPr>
          <w:b/>
          <w:bCs/>
          <w:i/>
          <w:iCs/>
          <w:sz w:val="20"/>
          <w:szCs w:val="20"/>
        </w:rPr>
        <w:t xml:space="preserve"> tvůrčí plností a silou, jež klade</w:t>
      </w:r>
    </w:p>
    <w:p w:rsidR="00500724" w:rsidRDefault="00F30FB8">
      <w:pPr>
        <w:pStyle w:val="Zkladntext20"/>
        <w:shd w:val="clear" w:color="auto" w:fill="auto"/>
        <w:tabs>
          <w:tab w:val="left" w:pos="1584"/>
        </w:tabs>
        <w:spacing w:line="226" w:lineRule="auto"/>
        <w:ind w:left="1240" w:right="640" w:firstLine="80"/>
        <w:jc w:val="left"/>
        <w:rPr>
          <w:sz w:val="20"/>
          <w:szCs w:val="20"/>
        </w:rPr>
      </w:pPr>
      <w:r>
        <w:rPr>
          <w:strike/>
          <w:sz w:val="16"/>
          <w:szCs w:val="16"/>
          <w:u w:val="single"/>
        </w:rPr>
        <w:t>i</w:t>
      </w:r>
      <w:r>
        <w:rPr>
          <w:b/>
          <w:bCs/>
          <w:i/>
          <w:iCs/>
          <w:sz w:val="20"/>
          <w:szCs w:val="20"/>
        </w:rPr>
        <w:t xml:space="preserve"> román o muži bez tváře na </w:t>
      </w:r>
      <w:r>
        <w:rPr>
          <w:b/>
          <w:bCs/>
          <w:i/>
          <w:iCs/>
          <w:sz w:val="20"/>
          <w:szCs w:val="20"/>
          <w:u w:val="single"/>
        </w:rPr>
        <w:t>---</w:t>
      </w:r>
      <w:r>
        <w:rPr>
          <w:b/>
          <w:bCs/>
          <w:i/>
          <w:iCs/>
          <w:sz w:val="20"/>
          <w:szCs w:val="20"/>
        </w:rPr>
        <w:tab/>
        <w:t>vrchol autorova díla.</w:t>
      </w:r>
    </w:p>
    <w:p w:rsidR="00500724" w:rsidRDefault="00F30FB8">
      <w:pPr>
        <w:pStyle w:val="Zkladntext20"/>
        <w:shd w:val="clear" w:color="auto" w:fill="auto"/>
        <w:tabs>
          <w:tab w:val="left" w:leader="hyphen" w:pos="1322"/>
        </w:tabs>
        <w:spacing w:after="440" w:line="226" w:lineRule="auto"/>
        <w:ind w:left="1040" w:firstLine="0"/>
        <w:rPr>
          <w:sz w:val="20"/>
          <w:szCs w:val="20"/>
        </w:rPr>
      </w:pPr>
      <w:r>
        <w:rPr>
          <w:i/>
          <w:iCs/>
          <w:sz w:val="20"/>
          <w:szCs w:val="20"/>
          <w:u w:val="single"/>
        </w:rPr>
        <w:tab/>
        <w:t>-</w:t>
      </w:r>
      <w:r>
        <w:rPr>
          <w:i/>
          <w:iCs/>
          <w:sz w:val="20"/>
          <w:szCs w:val="20"/>
        </w:rPr>
        <w:t xml:space="preserve"> MIROSLAV RUTTE o románě</w:t>
      </w:r>
    </w:p>
    <w:p w:rsidR="00500724" w:rsidRDefault="00F30FB8">
      <w:pPr>
        <w:pStyle w:val="Jin0"/>
        <w:shd w:val="clear" w:color="auto" w:fill="auto"/>
        <w:spacing w:after="380"/>
        <w:ind w:left="580" w:firstLine="20"/>
        <w:jc w:val="left"/>
        <w:rPr>
          <w:sz w:val="66"/>
          <w:szCs w:val="66"/>
        </w:rPr>
      </w:pPr>
      <w:r>
        <w:rPr>
          <w:rFonts w:ascii="Arial" w:eastAsia="Arial" w:hAnsi="Arial" w:cs="Arial"/>
          <w:sz w:val="66"/>
          <w:szCs w:val="66"/>
          <w:u w:val="single"/>
        </w:rPr>
        <w:t>POVĚTROŇ</w:t>
      </w:r>
    </w:p>
    <w:p w:rsidR="00500724" w:rsidRDefault="00F30FB8">
      <w:pPr>
        <w:pStyle w:val="Zkladntext20"/>
        <w:shd w:val="clear" w:color="auto" w:fill="auto"/>
        <w:spacing w:line="240" w:lineRule="auto"/>
        <w:ind w:left="1300" w:firstLine="20"/>
        <w:rPr>
          <w:sz w:val="20"/>
          <w:szCs w:val="20"/>
        </w:rPr>
      </w:pPr>
      <w:r>
        <w:rPr>
          <w:sz w:val="20"/>
          <w:szCs w:val="20"/>
          <w:u w:val="single"/>
        </w:rPr>
        <w:t>•</w:t>
      </w:r>
      <w:r>
        <w:rPr>
          <w:sz w:val="20"/>
          <w:szCs w:val="20"/>
        </w:rPr>
        <w:t xml:space="preserve"> který začíná právě vycházet! v</w:t>
      </w:r>
    </w:p>
    <w:p w:rsidR="00500724" w:rsidRDefault="00F30FB8">
      <w:pPr>
        <w:pStyle w:val="Zkladntext20"/>
        <w:shd w:val="clear" w:color="auto" w:fill="auto"/>
        <w:tabs>
          <w:tab w:val="left" w:leader="dot" w:pos="1046"/>
          <w:tab w:val="left" w:leader="dot" w:pos="1322"/>
        </w:tabs>
        <w:spacing w:line="223" w:lineRule="auto"/>
        <w:ind w:left="580" w:firstLine="20"/>
        <w:rPr>
          <w:sz w:val="20"/>
          <w:szCs w:val="20"/>
        </w:rPr>
      </w:pPr>
      <w:r>
        <w:rPr>
          <w:sz w:val="20"/>
          <w:szCs w:val="20"/>
          <w:u w:val="single"/>
        </w:rPr>
        <w:tab/>
      </w:r>
      <w:r>
        <w:rPr>
          <w:sz w:val="20"/>
          <w:szCs w:val="20"/>
          <w:u w:val="single"/>
        </w:rPr>
        <w:tab/>
      </w:r>
      <w:r>
        <w:rPr>
          <w:sz w:val="20"/>
          <w:szCs w:val="20"/>
        </w:rPr>
        <w:t xml:space="preserve"> Lidovém vydání díla Karla</w:t>
      </w:r>
    </w:p>
    <w:p w:rsidR="00500724" w:rsidRDefault="00F30FB8">
      <w:pPr>
        <w:pStyle w:val="Zkladntext20"/>
        <w:shd w:val="clear" w:color="auto" w:fill="auto"/>
        <w:spacing w:line="214" w:lineRule="auto"/>
        <w:ind w:right="80" w:firstLine="0"/>
        <w:jc w:val="center"/>
        <w:rPr>
          <w:sz w:val="20"/>
          <w:szCs w:val="20"/>
        </w:rPr>
        <w:sectPr w:rsidR="00500724">
          <w:footnotePr>
            <w:numFmt w:val="chicago"/>
            <w:numRestart w:val="eachPage"/>
          </w:footnotePr>
          <w:type w:val="continuous"/>
          <w:pgSz w:w="11909" w:h="16834"/>
          <w:pgMar w:top="740" w:right="1159" w:bottom="740" w:left="434" w:header="0" w:footer="3" w:gutter="0"/>
          <w:cols w:num="2" w:sep="1" w:space="168"/>
          <w:noEndnote/>
          <w:docGrid w:linePitch="360"/>
        </w:sectPr>
      </w:pPr>
      <w:r>
        <w:rPr>
          <w:sz w:val="20"/>
          <w:szCs w:val="20"/>
          <w:vertAlign w:val="superscript"/>
        </w:rPr>
        <w:t>1</w:t>
      </w:r>
      <w:r>
        <w:rPr>
          <w:sz w:val="20"/>
          <w:szCs w:val="20"/>
        </w:rPr>
        <w:t xml:space="preserve"> ■■:—•== Čapka v sešitech o 32 stranách</w:t>
      </w:r>
    </w:p>
    <w:p w:rsidR="00500724" w:rsidRDefault="00F30FB8">
      <w:pPr>
        <w:pStyle w:val="Nadpis30"/>
        <w:keepNext/>
        <w:keepLines/>
        <w:framePr w:w="10445" w:h="2011" w:wrap="none" w:vAnchor="text" w:hAnchor="page" w:x="1122" w:y="1988"/>
        <w:shd w:val="clear" w:color="auto" w:fill="auto"/>
        <w:spacing w:after="0"/>
        <w:rPr>
          <w:sz w:val="250"/>
          <w:szCs w:val="250"/>
        </w:rPr>
      </w:pPr>
      <w:bookmarkStart w:id="319" w:name="bookmark318"/>
      <w:r>
        <w:rPr>
          <w:sz w:val="250"/>
          <w:szCs w:val="250"/>
          <w:u w:val="single"/>
        </w:rPr>
        <w:t>ntomnosO</w:t>
      </w:r>
      <w:bookmarkEnd w:id="319"/>
    </w:p>
    <w:p w:rsidR="00500724" w:rsidRDefault="00F30FB8">
      <w:pPr>
        <w:pStyle w:val="Zkladntext20"/>
        <w:framePr w:w="1747" w:h="293" w:wrap="none" w:vAnchor="text" w:hAnchor="page" w:x="680" w:y="4321"/>
        <w:shd w:val="clear" w:color="auto" w:fill="auto"/>
        <w:spacing w:line="240" w:lineRule="auto"/>
        <w:ind w:firstLine="0"/>
        <w:jc w:val="left"/>
      </w:pPr>
      <w:r>
        <w:rPr>
          <w:b/>
          <w:bCs/>
        </w:rPr>
        <w:t>KOCNlR XVI</w:t>
      </w:r>
    </w:p>
    <w:p w:rsidR="00500724" w:rsidRDefault="00F30FB8">
      <w:pPr>
        <w:pStyle w:val="Zkladntext20"/>
        <w:framePr w:w="3274" w:h="293" w:wrap="none" w:vAnchor="text" w:hAnchor="page" w:x="4333" w:y="4307"/>
        <w:shd w:val="clear" w:color="auto" w:fill="auto"/>
        <w:spacing w:line="240" w:lineRule="auto"/>
        <w:ind w:firstLine="0"/>
        <w:jc w:val="left"/>
      </w:pPr>
      <w:r>
        <w:rPr>
          <w:b/>
          <w:bCs/>
        </w:rPr>
        <w:t>V PRAZE 5. DUBNA 1939</w:t>
      </w:r>
    </w:p>
    <w:p w:rsidR="00500724" w:rsidRDefault="00F30FB8">
      <w:pPr>
        <w:pStyle w:val="Zkladntext20"/>
        <w:framePr w:w="1181" w:h="293" w:wrap="none" w:vAnchor="text" w:hAnchor="page" w:x="10184" w:y="4302"/>
        <w:shd w:val="clear" w:color="auto" w:fill="auto"/>
        <w:spacing w:line="240" w:lineRule="auto"/>
        <w:ind w:firstLine="0"/>
        <w:jc w:val="left"/>
      </w:pPr>
      <w:r>
        <w:rPr>
          <w:b/>
          <w:bCs/>
        </w:rPr>
        <w:t>ZA K 2,™</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39" w:line="14" w:lineRule="exact"/>
      </w:pPr>
    </w:p>
    <w:p w:rsidR="00500724" w:rsidRDefault="00500724">
      <w:pPr>
        <w:spacing w:line="14" w:lineRule="exact"/>
        <w:sectPr w:rsidR="00500724">
          <w:footnotePr>
            <w:numFmt w:val="chicago"/>
            <w:numRestart w:val="eachPage"/>
          </w:footnotePr>
          <w:pgSz w:w="11909" w:h="16834"/>
          <w:pgMar w:top="958" w:right="343" w:bottom="1051" w:left="679" w:header="0" w:footer="3" w:gutter="0"/>
          <w:cols w:space="720"/>
          <w:noEndnote/>
          <w:docGrid w:linePitch="360"/>
        </w:sect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33" w:after="3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58" w:right="0" w:bottom="958"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02"/>
        <w:gridCol w:w="3898"/>
      </w:tblGrid>
      <w:tr w:rsidR="00500724">
        <w:tblPrEx>
          <w:tblCellMar>
            <w:top w:w="0" w:type="dxa"/>
            <w:bottom w:w="0" w:type="dxa"/>
          </w:tblCellMar>
        </w:tblPrEx>
        <w:trPr>
          <w:trHeight w:hRule="exact" w:val="859"/>
          <w:jc w:val="center"/>
        </w:trPr>
        <w:tc>
          <w:tcPr>
            <w:tcW w:w="0" w:type="auto"/>
            <w:shd w:val="clear" w:color="auto" w:fill="FFFFFF"/>
          </w:tcPr>
          <w:p w:rsidR="00500724" w:rsidRDefault="00F30FB8">
            <w:pPr>
              <w:pStyle w:val="Jin0"/>
              <w:shd w:val="clear" w:color="auto" w:fill="auto"/>
              <w:ind w:firstLine="0"/>
              <w:jc w:val="left"/>
              <w:rPr>
                <w:sz w:val="58"/>
                <w:szCs w:val="58"/>
              </w:rPr>
            </w:pPr>
            <w:r>
              <w:rPr>
                <w:sz w:val="58"/>
                <w:szCs w:val="58"/>
              </w:rPr>
              <w:t>Naše ústava</w:t>
            </w:r>
          </w:p>
        </w:tc>
        <w:tc>
          <w:tcPr>
            <w:tcW w:w="0" w:type="auto"/>
            <w:shd w:val="clear" w:color="auto" w:fill="FFFFFF"/>
            <w:vAlign w:val="center"/>
          </w:tcPr>
          <w:p w:rsidR="00500724" w:rsidRDefault="00F30FB8">
            <w:pPr>
              <w:pStyle w:val="Jin0"/>
              <w:shd w:val="clear" w:color="auto" w:fill="auto"/>
              <w:ind w:firstLine="0"/>
              <w:jc w:val="right"/>
              <w:rPr>
                <w:sz w:val="26"/>
                <w:szCs w:val="26"/>
              </w:rPr>
            </w:pPr>
            <w:r>
              <w:rPr>
                <w:sz w:val="26"/>
                <w:szCs w:val="26"/>
              </w:rPr>
              <w:t>F. PEROUTKA</w:t>
            </w:r>
          </w:p>
        </w:tc>
      </w:tr>
      <w:tr w:rsidR="00500724">
        <w:tblPrEx>
          <w:tblCellMar>
            <w:top w:w="0" w:type="dxa"/>
            <w:bottom w:w="0" w:type="dxa"/>
          </w:tblCellMar>
        </w:tblPrEx>
        <w:trPr>
          <w:trHeight w:hRule="exact" w:val="1162"/>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O umění zůstat stát</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MILENA JESENSKÁ</w:t>
            </w:r>
          </w:p>
        </w:tc>
      </w:tr>
      <w:tr w:rsidR="00500724">
        <w:tblPrEx>
          <w:tblCellMar>
            <w:top w:w="0" w:type="dxa"/>
            <w:bottom w:w="0" w:type="dxa"/>
          </w:tblCellMar>
        </w:tblPrEx>
        <w:trPr>
          <w:trHeight w:hRule="exact" w:val="1219"/>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Děti nervosního století</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JAN FRANK</w:t>
            </w:r>
          </w:p>
        </w:tc>
      </w:tr>
      <w:tr w:rsidR="00500724">
        <w:tblPrEx>
          <w:tblCellMar>
            <w:top w:w="0" w:type="dxa"/>
            <w:bottom w:w="0" w:type="dxa"/>
          </w:tblCellMar>
        </w:tblPrEx>
        <w:trPr>
          <w:trHeight w:hRule="exact" w:val="1282"/>
          <w:jc w:val="center"/>
        </w:trPr>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Člověk musí jíst</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 xml:space="preserve">C. C. </w:t>
            </w:r>
            <w:r>
              <w:rPr>
                <w:sz w:val="26"/>
                <w:szCs w:val="26"/>
                <w:lang w:val="en-US" w:eastAsia="en-US" w:bidi="en-US"/>
              </w:rPr>
              <w:t>FURNAS</w:t>
            </w:r>
          </w:p>
        </w:tc>
      </w:tr>
    </w:tbl>
    <w:p w:rsidR="00500724" w:rsidRDefault="00500724">
      <w:pPr>
        <w:spacing w:after="306" w:line="14" w:lineRule="exact"/>
      </w:pPr>
    </w:p>
    <w:p w:rsidR="00500724" w:rsidRDefault="00F30FB8">
      <w:pPr>
        <w:pStyle w:val="Nadpis70"/>
        <w:keepNext/>
        <w:keepLines/>
        <w:shd w:val="clear" w:color="auto" w:fill="auto"/>
        <w:spacing w:after="500"/>
        <w:jc w:val="both"/>
      </w:pPr>
      <w:bookmarkStart w:id="320" w:name="bookmark319"/>
      <w:r>
        <w:rPr>
          <w:rFonts w:ascii="Times New Roman" w:eastAsia="Times New Roman" w:hAnsi="Times New Roman" w:cs="Times New Roman"/>
          <w:w w:val="100"/>
        </w:rPr>
        <w:t>Bišinarckova politika vůči Cechům</w:t>
      </w:r>
      <w:bookmarkEnd w:id="320"/>
    </w:p>
    <w:p w:rsidR="00500724" w:rsidRDefault="00F30FB8">
      <w:pPr>
        <w:pStyle w:val="Nadpis70"/>
        <w:keepNext/>
        <w:keepLines/>
        <w:shd w:val="clear" w:color="auto" w:fill="auto"/>
        <w:tabs>
          <w:tab w:val="left" w:pos="9130"/>
        </w:tabs>
        <w:spacing w:after="780"/>
        <w:jc w:val="both"/>
        <w:rPr>
          <w:sz w:val="26"/>
          <w:szCs w:val="26"/>
        </w:rPr>
      </w:pPr>
      <w:bookmarkStart w:id="321" w:name="bookmark320"/>
      <w:r>
        <w:rPr>
          <w:rFonts w:ascii="Times New Roman" w:eastAsia="Times New Roman" w:hAnsi="Times New Roman" w:cs="Times New Roman"/>
          <w:w w:val="100"/>
        </w:rPr>
        <w:t>Emil Jannings - nic než člověk</w:t>
      </w:r>
      <w:r>
        <w:rPr>
          <w:rFonts w:ascii="Times New Roman" w:eastAsia="Times New Roman" w:hAnsi="Times New Roman" w:cs="Times New Roman"/>
          <w:w w:val="100"/>
        </w:rPr>
        <w:tab/>
      </w:r>
      <w:r>
        <w:rPr>
          <w:rFonts w:ascii="Times New Roman" w:eastAsia="Times New Roman" w:hAnsi="Times New Roman" w:cs="Times New Roman"/>
          <w:w w:val="100"/>
          <w:sz w:val="26"/>
          <w:szCs w:val="26"/>
        </w:rPr>
        <w:t>A. ČERNÍK</w:t>
      </w:r>
      <w:bookmarkEnd w:id="321"/>
    </w:p>
    <w:p w:rsidR="00500724" w:rsidRDefault="00F30FB8">
      <w:pPr>
        <w:pStyle w:val="Jin0"/>
        <w:shd w:val="clear" w:color="auto" w:fill="auto"/>
        <w:spacing w:after="500"/>
        <w:ind w:left="140" w:firstLine="0"/>
        <w:jc w:val="center"/>
        <w:rPr>
          <w:sz w:val="26"/>
          <w:szCs w:val="26"/>
        </w:rPr>
        <w:sectPr w:rsidR="00500724">
          <w:footnotePr>
            <w:numFmt w:val="chicago"/>
            <w:numRestart w:val="eachPage"/>
          </w:footnotePr>
          <w:type w:val="continuous"/>
          <w:pgSz w:w="11909" w:h="16834"/>
          <w:pgMar w:top="958" w:right="343" w:bottom="958" w:left="727" w:header="0" w:footer="3" w:gutter="0"/>
          <w:cols w:space="720"/>
          <w:noEndnote/>
          <w:docGrid w:linePitch="360"/>
        </w:sectPr>
      </w:pPr>
      <w:r>
        <w:rPr>
          <w:b/>
          <w:bCs/>
          <w:sz w:val="26"/>
          <w:szCs w:val="26"/>
        </w:rPr>
        <w:t>Rozloučení se Slovenskem</w:t>
      </w:r>
      <w:r>
        <w:rPr>
          <w:b/>
          <w:bCs/>
          <w:sz w:val="26"/>
          <w:szCs w:val="26"/>
        </w:rPr>
        <w:t xml:space="preserve"> — Celní poměr mezi Protektorátem a Říší — Protektorát a</w:t>
      </w:r>
      <w:r>
        <w:rPr>
          <w:b/>
          <w:bCs/>
          <w:sz w:val="26"/>
          <w:szCs w:val="26"/>
        </w:rPr>
        <w:br/>
        <w:t>německo-rumunská smlouva — Pro světovou hospodářskou spolupráci —- Česká samo-</w:t>
      </w:r>
      <w:r>
        <w:rPr>
          <w:b/>
          <w:bCs/>
          <w:sz w:val="26"/>
          <w:szCs w:val="26"/>
        </w:rPr>
        <w:br/>
        <w:t>správa na nových kolejích — Božena Němcová — Když se tvořil poměr k Německu —-</w:t>
      </w:r>
      <w:r>
        <w:rPr>
          <w:b/>
          <w:bCs/>
          <w:sz w:val="26"/>
          <w:szCs w:val="26"/>
        </w:rPr>
        <w:br/>
        <w:t>Hlavní zásady norimberských zákonů — Varo</w:t>
      </w:r>
      <w:r>
        <w:rPr>
          <w:b/>
          <w:bCs/>
          <w:sz w:val="26"/>
          <w:szCs w:val="26"/>
        </w:rPr>
        <w:t>vání — Znovu prosíme čtenáře</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ind w:left="60"/>
        <w:jc w:val="center"/>
      </w:pPr>
      <w:bookmarkStart w:id="322" w:name="bookmark321"/>
      <w:r>
        <w:rPr>
          <w:color w:val="FFFFFF"/>
        </w:rPr>
        <w:t>ODBORNÍ LftKAfti</w:t>
      </w:r>
      <w:bookmarkEnd w:id="322"/>
    </w:p>
    <w:p w:rsidR="00500724" w:rsidRDefault="00F30FB8">
      <w:pPr>
        <w:pStyle w:val="Zkladntext100"/>
        <w:shd w:val="clear" w:color="auto" w:fill="auto"/>
        <w:spacing w:line="134" w:lineRule="auto"/>
        <w:ind w:firstLine="0"/>
        <w:jc w:val="right"/>
      </w:pPr>
      <w:r>
        <w:rPr>
          <w:b/>
          <w:bCs/>
        </w:rPr>
        <w:t xml:space="preserve">ÁjJílHr Prnnki </w:t>
      </w:r>
      <w:r>
        <w:t xml:space="preserve">odborný lékař pro </w:t>
      </w:r>
      <w:r>
        <w:rPr>
          <w:b/>
          <w:bCs/>
        </w:rPr>
        <w:t>žaludeční a ■VlUUr. rrailKl střevní n e m o c i a roentgenologii.</w:t>
      </w:r>
    </w:p>
    <w:p w:rsidR="00500724" w:rsidRDefault="00F30FB8">
      <w:pPr>
        <w:pStyle w:val="Zkladntext100"/>
        <w:shd w:val="clear" w:color="auto" w:fill="auto"/>
        <w:spacing w:line="134" w:lineRule="auto"/>
        <w:ind w:firstLine="0"/>
        <w:jc w:val="right"/>
      </w:pPr>
      <w:r>
        <w:rPr>
          <w:b/>
          <w:bCs/>
        </w:rPr>
        <w:t>PRAHA H., NEKAZANKA 4, II. patro. Ord. 9—10. 3—4.</w:t>
      </w:r>
    </w:p>
    <w:p w:rsidR="00500724" w:rsidRDefault="00F30FB8">
      <w:pPr>
        <w:pStyle w:val="Zkladntext100"/>
        <w:pBdr>
          <w:bottom w:val="single" w:sz="4" w:space="0" w:color="auto"/>
        </w:pBdr>
        <w:shd w:val="clear" w:color="auto" w:fill="auto"/>
        <w:spacing w:after="180" w:line="134" w:lineRule="auto"/>
        <w:ind w:left="2480" w:firstLine="0"/>
        <w:jc w:val="left"/>
      </w:pPr>
      <w:r>
        <w:t>Telefon 234-13.</w:t>
      </w:r>
    </w:p>
    <w:p w:rsidR="00500724" w:rsidRDefault="00F30FB8">
      <w:pPr>
        <w:pStyle w:val="Zkladntext100"/>
        <w:shd w:val="clear" w:color="auto" w:fill="auto"/>
        <w:spacing w:line="151" w:lineRule="auto"/>
        <w:ind w:firstLine="0"/>
        <w:jc w:val="right"/>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t xml:space="preserve">odborný lékař pro choroby vnitřní, žaludeční, střevní a výměny látek, em. esistent I. med. kliniky </w:t>
      </w:r>
      <w:r>
        <w:rPr>
          <w:lang w:val="en-US" w:eastAsia="en-US" w:bidi="en-US"/>
        </w:rPr>
        <w:t xml:space="preserve">prof. </w:t>
      </w:r>
      <w:r>
        <w:t>Schmidta.</w:t>
      </w:r>
    </w:p>
    <w:p w:rsidR="00500724" w:rsidRDefault="00F30FB8">
      <w:pPr>
        <w:pStyle w:val="Zkladntext100"/>
        <w:shd w:val="clear" w:color="auto" w:fill="auto"/>
        <w:spacing w:line="161" w:lineRule="auto"/>
        <w:ind w:firstLine="0"/>
        <w:jc w:val="left"/>
        <w:sectPr w:rsidR="00500724">
          <w:footnotePr>
            <w:numFmt w:val="chicago"/>
            <w:numRestart w:val="eachPage"/>
          </w:footnotePr>
          <w:pgSz w:w="11909" w:h="16834"/>
          <w:pgMar w:top="881" w:right="1135" w:bottom="614" w:left="458" w:header="0" w:footer="3" w:gutter="0"/>
          <w:cols w:num="2" w:space="215"/>
          <w:noEndnote/>
          <w:docGrid w:linePitch="360"/>
        </w:sectPr>
      </w:pPr>
      <w:r>
        <w:rPr>
          <w:u w:val="single"/>
        </w:rPr>
        <w:t xml:space="preserve">PRAHA </w:t>
      </w:r>
      <w:r>
        <w:rPr>
          <w:b/>
          <w:bCs/>
          <w:sz w:val="19"/>
          <w:szCs w:val="19"/>
          <w:u w:val="single"/>
        </w:rPr>
        <w:t xml:space="preserve">I., </w:t>
      </w:r>
      <w:r>
        <w:rPr>
          <w:u w:val="single"/>
        </w:rPr>
        <w:t>Na Příkopech 35. Ord. 9-10. %3-'A5. Telef. 228-91</w:t>
      </w:r>
    </w:p>
    <w:p w:rsidR="00500724" w:rsidRDefault="00F30FB8">
      <w:pPr>
        <w:spacing w:line="14" w:lineRule="exact"/>
      </w:pPr>
      <w:r>
        <w:rPr>
          <w:noProof/>
        </w:rPr>
        <mc:AlternateContent>
          <mc:Choice Requires="wps">
            <w:drawing>
              <wp:anchor distT="0" distB="54610" distL="114300" distR="3930650" simplePos="0" relativeHeight="125829708" behindDoc="0" locked="0" layoutInCell="1" allowOverlap="1">
                <wp:simplePos x="0" y="0"/>
                <wp:positionH relativeFrom="page">
                  <wp:posOffset>800100</wp:posOffset>
                </wp:positionH>
                <wp:positionV relativeFrom="paragraph">
                  <wp:posOffset>3770630</wp:posOffset>
                </wp:positionV>
                <wp:extent cx="2176145" cy="328930"/>
                <wp:effectExtent l="0" t="0" r="0" b="0"/>
                <wp:wrapTopAndBottom/>
                <wp:docPr id="331" name="Shape 331"/>
                <wp:cNvGraphicFramePr/>
                <a:graphic xmlns:a="http://schemas.openxmlformats.org/drawingml/2006/main">
                  <a:graphicData uri="http://schemas.microsoft.com/office/word/2010/wordprocessingShape">
                    <wps:wsp>
                      <wps:cNvSpPr txBox="1"/>
                      <wps:spPr>
                        <a:xfrm>
                          <a:off x="0" y="0"/>
                          <a:ext cx="2176145" cy="328930"/>
                        </a:xfrm>
                        <a:prstGeom prst="rect">
                          <a:avLst/>
                        </a:prstGeom>
                        <a:noFill/>
                      </wps:spPr>
                      <wps:txbx>
                        <w:txbxContent>
                          <w:p w:rsidR="00500724" w:rsidRDefault="00F30FB8">
                            <w:pPr>
                              <w:pStyle w:val="Jin0"/>
                              <w:shd w:val="clear" w:color="auto" w:fill="auto"/>
                              <w:ind w:firstLine="0"/>
                              <w:jc w:val="left"/>
                              <w:rPr>
                                <w:sz w:val="40"/>
                                <w:szCs w:val="40"/>
                              </w:rPr>
                            </w:pPr>
                            <w:r>
                              <w:rPr>
                                <w:sz w:val="40"/>
                                <w:szCs w:val="40"/>
                              </w:rPr>
                              <w:t>Prací a přičinlivostí</w:t>
                            </w:r>
                          </w:p>
                        </w:txbxContent>
                      </wps:txbx>
                      <wps:bodyPr lIns="0" tIns="0" rIns="0" bIns="0">
                        <a:spAutoFit/>
                      </wps:bodyPr>
                    </wps:wsp>
                  </a:graphicData>
                </a:graphic>
              </wp:anchor>
            </w:drawing>
          </mc:Choice>
          <mc:Fallback>
            <w:pict>
              <v:shape id="_x0000_s1357" type="#_x0000_t202" style="position:absolute;margin-left:63.pt;margin-top:296.89999999999998pt;width:171.34999999999999pt;height:25.899999999999999pt;z-index:-125829045;mso-wrap-distance-left:9.pt;mso-wrap-distance-right:309.5pt;mso-wrap-distance-bottom:4.2999999999999998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color w:val="000000"/>
                          <w:spacing w:val="0"/>
                          <w:w w:val="100"/>
                          <w:position w:val="0"/>
                          <w:sz w:val="40"/>
                          <w:szCs w:val="40"/>
                          <w:shd w:val="clear" w:color="auto" w:fill="auto"/>
                          <w:lang w:val="cs-CZ" w:eastAsia="cs-CZ" w:bidi="cs-CZ"/>
                        </w:rPr>
                        <w:t>Prací a přičinlivostí</w:t>
                      </w:r>
                    </w:p>
                  </w:txbxContent>
                </v:textbox>
                <w10:wrap type="topAndBottom" anchorx="page"/>
              </v:shape>
            </w:pict>
          </mc:Fallback>
        </mc:AlternateContent>
      </w:r>
      <w:r>
        <w:rPr>
          <w:noProof/>
        </w:rPr>
        <mc:AlternateContent>
          <mc:Choice Requires="wps">
            <w:drawing>
              <wp:anchor distT="0" distB="155575" distL="3043555" distR="848995" simplePos="0" relativeHeight="125829710" behindDoc="0" locked="0" layoutInCell="1" allowOverlap="1">
                <wp:simplePos x="0" y="0"/>
                <wp:positionH relativeFrom="page">
                  <wp:posOffset>3729355</wp:posOffset>
                </wp:positionH>
                <wp:positionV relativeFrom="paragraph">
                  <wp:posOffset>3770630</wp:posOffset>
                </wp:positionV>
                <wp:extent cx="2328545" cy="228600"/>
                <wp:effectExtent l="0" t="0" r="0" b="0"/>
                <wp:wrapTopAndBottom/>
                <wp:docPr id="333" name="Shape 333"/>
                <wp:cNvGraphicFramePr/>
                <a:graphic xmlns:a="http://schemas.openxmlformats.org/drawingml/2006/main">
                  <a:graphicData uri="http://schemas.microsoft.com/office/word/2010/wordprocessingShape">
                    <wps:wsp>
                      <wps:cNvSpPr txBox="1"/>
                      <wps:spPr>
                        <a:xfrm>
                          <a:off x="0" y="0"/>
                          <a:ext cx="2328545" cy="228600"/>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lÁZNEVELICHOVKY</w:t>
                            </w:r>
                          </w:p>
                        </w:txbxContent>
                      </wps:txbx>
                      <wps:bodyPr lIns="0" tIns="0" rIns="0" bIns="0">
                        <a:spAutoFit/>
                      </wps:bodyPr>
                    </wps:wsp>
                  </a:graphicData>
                </a:graphic>
              </wp:anchor>
            </w:drawing>
          </mc:Choice>
          <mc:Fallback>
            <w:pict>
              <v:shape id="_x0000_s1359" type="#_x0000_t202" style="position:absolute;margin-left:293.64999999999998pt;margin-top:296.89999999999998pt;width:183.34999999999999pt;height:18.pt;z-index:-125829043;mso-wrap-distance-left:239.65000000000001pt;mso-wrap-distance-right:66.849999999999994pt;mso-wrap-distance-bottom:12.25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lÁZNEVELICHOVKY</w:t>
                      </w:r>
                    </w:p>
                  </w:txbxContent>
                </v:textbox>
                <w10:wrap type="topAndBottom" anchorx="page"/>
              </v:shape>
            </w:pict>
          </mc:Fallback>
        </mc:AlternateContent>
      </w:r>
      <w:r>
        <w:rPr>
          <w:noProof/>
        </w:rPr>
        <mc:AlternateContent>
          <mc:Choice Requires="wps">
            <w:drawing>
              <wp:anchor distT="228600" distB="0" distL="3116580" distR="2073910" simplePos="0" relativeHeight="125829712" behindDoc="0" locked="0" layoutInCell="1" allowOverlap="1">
                <wp:simplePos x="0" y="0"/>
                <wp:positionH relativeFrom="page">
                  <wp:posOffset>3802380</wp:posOffset>
                </wp:positionH>
                <wp:positionV relativeFrom="paragraph">
                  <wp:posOffset>3999230</wp:posOffset>
                </wp:positionV>
                <wp:extent cx="1029970" cy="155575"/>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1029970" cy="155575"/>
                        </a:xfrm>
                        <a:prstGeom prst="rect">
                          <a:avLst/>
                        </a:prstGeom>
                        <a:noFill/>
                      </wps:spPr>
                      <wps:txbx>
                        <w:txbxContent>
                          <w:p w:rsidR="00500724" w:rsidRDefault="00F30FB8">
                            <w:pPr>
                              <w:pStyle w:val="Zkladntext100"/>
                              <w:shd w:val="clear" w:color="auto" w:fill="auto"/>
                              <w:spacing w:line="240" w:lineRule="auto"/>
                              <w:ind w:firstLine="0"/>
                              <w:jc w:val="left"/>
                            </w:pPr>
                            <w:r>
                              <w:t>Sezóna</w:t>
                            </w:r>
                            <w:r>
                              <w:t xml:space="preserve"> od 1. března</w:t>
                            </w:r>
                          </w:p>
                        </w:txbxContent>
                      </wps:txbx>
                      <wps:bodyPr lIns="0" tIns="0" rIns="0" bIns="0">
                        <a:spAutoFit/>
                      </wps:bodyPr>
                    </wps:wsp>
                  </a:graphicData>
                </a:graphic>
              </wp:anchor>
            </w:drawing>
          </mc:Choice>
          <mc:Fallback>
            <w:pict>
              <v:shape id="_x0000_s1361" type="#_x0000_t202" style="position:absolute;margin-left:299.39999999999998pt;margin-top:314.89999999999998pt;width:81.099999999999994pt;height:12.25pt;z-index:-125829041;mso-wrap-distance-left:245.40000000000001pt;mso-wrap-distance-top:18.pt;mso-wrap-distance-right:163.30000000000001pt;mso-position-horizontal-relative:page"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pPr>
                      <w:r>
                        <w:rPr>
                          <w:color w:val="000000"/>
                          <w:spacing w:val="0"/>
                          <w:w w:val="100"/>
                          <w:position w:val="0"/>
                          <w:sz w:val="18"/>
                          <w:szCs w:val="18"/>
                          <w:shd w:val="clear" w:color="auto" w:fill="auto"/>
                          <w:lang w:val="cs-CZ" w:eastAsia="cs-CZ" w:bidi="cs-CZ"/>
                        </w:rPr>
                        <w:t>Sezóna od 1. března</w:t>
                      </w:r>
                    </w:p>
                  </w:txbxContent>
                </v:textbox>
                <w10:wrap type="topAndBottom" anchorx="page"/>
              </v:shape>
            </w:pict>
          </mc:Fallback>
        </mc:AlternateContent>
      </w:r>
      <w:r>
        <w:rPr>
          <w:noProof/>
        </w:rPr>
        <mc:AlternateContent>
          <mc:Choice Requires="wps">
            <w:drawing>
              <wp:anchor distT="60960" distB="109855" distL="5490845" distR="114300" simplePos="0" relativeHeight="125829714" behindDoc="0" locked="0" layoutInCell="1" allowOverlap="1">
                <wp:simplePos x="0" y="0"/>
                <wp:positionH relativeFrom="page">
                  <wp:posOffset>6176645</wp:posOffset>
                </wp:positionH>
                <wp:positionV relativeFrom="paragraph">
                  <wp:posOffset>3831590</wp:posOffset>
                </wp:positionV>
                <wp:extent cx="615950" cy="21336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61595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sz w:val="26"/>
                                <w:szCs w:val="26"/>
                              </w:rPr>
                              <w:t>u Jaroměře</w:t>
                            </w:r>
                          </w:p>
                        </w:txbxContent>
                      </wps:txbx>
                      <wps:bodyPr lIns="0" tIns="0" rIns="0" bIns="0">
                        <a:spAutoFit/>
                      </wps:bodyPr>
                    </wps:wsp>
                  </a:graphicData>
                </a:graphic>
              </wp:anchor>
            </w:drawing>
          </mc:Choice>
          <mc:Fallback>
            <w:pict>
              <v:shape id="_x0000_s1363" type="#_x0000_t202" style="position:absolute;margin-left:486.35000000000002pt;margin-top:301.69999999999999pt;width:48.5pt;height:16.800000000000001pt;z-index:-125829039;mso-wrap-distance-left:432.35000000000002pt;mso-wrap-distance-top:4.7999999999999998pt;mso-wrap-distance-right:9.pt;mso-wrap-distance-bottom:8.6500000000000004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000000"/>
                          <w:spacing w:val="0"/>
                          <w:w w:val="100"/>
                          <w:position w:val="0"/>
                          <w:sz w:val="26"/>
                          <w:szCs w:val="26"/>
                          <w:shd w:val="clear" w:color="auto" w:fill="auto"/>
                          <w:lang w:val="cs-CZ" w:eastAsia="cs-CZ" w:bidi="cs-CZ"/>
                        </w:rPr>
                        <w:t>u Jaroměře</w:t>
                      </w:r>
                    </w:p>
                  </w:txbxContent>
                </v:textbox>
                <w10:wrap type="topAndBottom" anchorx="page"/>
              </v:shape>
            </w:pict>
          </mc:Fallback>
        </mc:AlternateContent>
      </w:r>
    </w:p>
    <w:p w:rsidR="00500724" w:rsidRDefault="00F30FB8">
      <w:pPr>
        <w:pStyle w:val="Nadpis120"/>
        <w:shd w:val="clear" w:color="auto" w:fill="auto"/>
        <w:ind w:left="180" w:hanging="180"/>
      </w:pPr>
      <w:bookmarkStart w:id="323" w:name="bookmark322"/>
      <w:r>
        <w:rPr>
          <w:rFonts w:ascii="Arial" w:eastAsia="Arial" w:hAnsi="Arial" w:cs="Arial"/>
        </w:rPr>
        <w:t>Nové knihy z oboru politiky</w:t>
      </w:r>
      <w:bookmarkEnd w:id="323"/>
    </w:p>
    <w:p w:rsidR="00500724" w:rsidRDefault="00F30FB8">
      <w:pPr>
        <w:pStyle w:val="Nadpis120"/>
        <w:shd w:val="clear" w:color="auto" w:fill="auto"/>
        <w:spacing w:after="120"/>
        <w:ind w:left="0"/>
        <w:jc w:val="right"/>
      </w:pPr>
      <w:bookmarkStart w:id="324" w:name="bookmark323"/>
      <w:r>
        <w:rPr>
          <w:rFonts w:ascii="Arial" w:eastAsia="Arial" w:hAnsi="Arial" w:cs="Arial"/>
        </w:rPr>
        <w:t>a národního hospodářství</w:t>
      </w:r>
      <w:bookmarkEnd w:id="324"/>
    </w:p>
    <w:p w:rsidR="00500724" w:rsidRDefault="00F30FB8">
      <w:pPr>
        <w:pStyle w:val="Zkladntext40"/>
        <w:shd w:val="clear" w:color="auto" w:fill="auto"/>
        <w:spacing w:after="0" w:line="230" w:lineRule="auto"/>
        <w:ind w:left="180" w:hanging="180"/>
        <w:jc w:val="left"/>
      </w:pPr>
      <w:r>
        <w:t>FUCHS Dr. Alfred: Kurs křesťanské státovědy.</w:t>
      </w:r>
    </w:p>
    <w:p w:rsidR="00500724" w:rsidRDefault="00F30FB8">
      <w:pPr>
        <w:pStyle w:val="Zkladntext40"/>
        <w:shd w:val="clear" w:color="auto" w:fill="auto"/>
        <w:tabs>
          <w:tab w:val="left" w:pos="3531"/>
        </w:tabs>
        <w:spacing w:after="40" w:line="230" w:lineRule="auto"/>
        <w:ind w:left="180" w:firstLine="20"/>
      </w:pPr>
      <w:r>
        <w:t>21X15 cm, 160 stran,</w:t>
      </w:r>
      <w:r>
        <w:tab/>
        <w:t>brož. K 25.—</w:t>
      </w:r>
    </w:p>
    <w:p w:rsidR="00500724" w:rsidRDefault="00F30FB8">
      <w:pPr>
        <w:pStyle w:val="Zkladntext40"/>
        <w:shd w:val="clear" w:color="auto" w:fill="auto"/>
        <w:spacing w:after="40" w:line="233" w:lineRule="auto"/>
        <w:ind w:left="180" w:hanging="180"/>
        <w:jc w:val="left"/>
      </w:pPr>
      <w:r>
        <w:t xml:space="preserve">GRAF Otto: Impérium Britannlcum. Od ostrovního státu k světové říši. 20X13 cm, 342 str. váz. K </w:t>
      </w:r>
      <w:r>
        <w:t>51.—</w:t>
      </w:r>
    </w:p>
    <w:p w:rsidR="00500724" w:rsidRDefault="00F30FB8">
      <w:pPr>
        <w:pStyle w:val="Zkladntext40"/>
        <w:shd w:val="clear" w:color="auto" w:fill="auto"/>
        <w:spacing w:after="40" w:line="228" w:lineRule="auto"/>
        <w:ind w:right="720"/>
        <w:jc w:val="right"/>
      </w:pPr>
      <w:r>
        <w:t>ŠIMEK František, Neznámá sbírka kázání Roky- canových. 26X18 cm. 73 str., brož. K 13.—</w:t>
      </w:r>
    </w:p>
    <w:p w:rsidR="00500724" w:rsidRDefault="00F30FB8">
      <w:pPr>
        <w:pStyle w:val="Zkladntext40"/>
        <w:shd w:val="clear" w:color="auto" w:fill="auto"/>
        <w:spacing w:after="40" w:line="230" w:lineRule="auto"/>
        <w:ind w:left="180" w:hanging="180"/>
        <w:jc w:val="left"/>
      </w:pPr>
      <w:r>
        <w:t>TURECEK M.: Klíě k úspěchu. Baťa, Švehla. Masa</w:t>
      </w:r>
      <w:r>
        <w:softHyphen/>
        <w:t xml:space="preserve">ryk, Ford, Marden. </w:t>
      </w:r>
      <w:r>
        <w:rPr>
          <w:lang w:val="en-US" w:eastAsia="en-US" w:bidi="en-US"/>
        </w:rPr>
        <w:t xml:space="preserve">Carnegie, </w:t>
      </w:r>
      <w:r>
        <w:t>Emerson, Tolstoj, Napoleon, Sokrates. 21.5X15.5 cm. 187 stran, brož. K 38.—</w:t>
      </w:r>
    </w:p>
    <w:p w:rsidR="00500724" w:rsidRDefault="00F30FB8">
      <w:pPr>
        <w:pStyle w:val="Zkladntext40"/>
        <w:shd w:val="clear" w:color="auto" w:fill="auto"/>
        <w:spacing w:after="0" w:line="230" w:lineRule="auto"/>
        <w:ind w:left="180" w:hanging="180"/>
        <w:jc w:val="left"/>
      </w:pPr>
      <w:r>
        <w:rPr>
          <w:lang w:val="en-US" w:eastAsia="en-US" w:bidi="en-US"/>
        </w:rPr>
        <w:t xml:space="preserve">d'AUXION </w:t>
      </w:r>
      <w:r>
        <w:t xml:space="preserve">de </w:t>
      </w:r>
      <w:r>
        <w:rPr>
          <w:lang w:val="en-US" w:eastAsia="en-US" w:bidi="en-US"/>
        </w:rPr>
        <w:t xml:space="preserve">RUFFE: Chine </w:t>
      </w:r>
      <w:r>
        <w:t>et Japon. 1938. Les</w:t>
      </w:r>
    </w:p>
    <w:p w:rsidR="00500724" w:rsidRDefault="00F30FB8">
      <w:pPr>
        <w:pStyle w:val="Zkladntext40"/>
        <w:shd w:val="clear" w:color="auto" w:fill="auto"/>
        <w:spacing w:after="40" w:line="230" w:lineRule="auto"/>
        <w:ind w:left="180" w:firstLine="20"/>
      </w:pPr>
      <w:r>
        <w:rPr>
          <w:lang w:val="en-US" w:eastAsia="en-US" w:bidi="en-US"/>
        </w:rPr>
        <w:t xml:space="preserve">coulisses </w:t>
      </w:r>
      <w:r>
        <w:t>du drame. 23X14 cm, 421 str, brož. K 36.—</w:t>
      </w:r>
    </w:p>
    <w:p w:rsidR="00500724" w:rsidRDefault="00F30FB8">
      <w:pPr>
        <w:pStyle w:val="Zkladntext40"/>
        <w:shd w:val="clear" w:color="auto" w:fill="auto"/>
        <w:spacing w:after="0" w:line="230" w:lineRule="auto"/>
        <w:ind w:left="180" w:hanging="180"/>
        <w:jc w:val="left"/>
      </w:pPr>
      <w:r>
        <w:t xml:space="preserve">CROBAUCH Mervyn: </w:t>
      </w:r>
      <w:r>
        <w:rPr>
          <w:lang w:val="en-US" w:eastAsia="en-US" w:bidi="en-US"/>
        </w:rPr>
        <w:t>Economics for Everybody.</w:t>
      </w:r>
    </w:p>
    <w:p w:rsidR="00500724" w:rsidRDefault="00F30FB8">
      <w:pPr>
        <w:pStyle w:val="Zkladntext40"/>
        <w:shd w:val="clear" w:color="auto" w:fill="auto"/>
        <w:spacing w:after="0" w:line="230" w:lineRule="auto"/>
        <w:ind w:left="180" w:firstLine="20"/>
      </w:pPr>
      <w:r>
        <w:rPr>
          <w:lang w:val="en-US" w:eastAsia="en-US" w:bidi="en-US"/>
        </w:rPr>
        <w:t>From the pyramid builders fo the problem of</w:t>
      </w:r>
    </w:p>
    <w:p w:rsidR="00500724" w:rsidRDefault="00F30FB8">
      <w:pPr>
        <w:pStyle w:val="Zkladntext40"/>
        <w:shd w:val="clear" w:color="auto" w:fill="auto"/>
        <w:tabs>
          <w:tab w:val="left" w:pos="3531"/>
        </w:tabs>
        <w:spacing w:after="40" w:line="230" w:lineRule="auto"/>
        <w:ind w:left="180" w:firstLine="20"/>
      </w:pPr>
      <w:r>
        <w:rPr>
          <w:lang w:val="en-US" w:eastAsia="en-US" w:bidi="en-US"/>
        </w:rPr>
        <w:t>today. 21X14 cm, 293 str.,</w:t>
      </w:r>
      <w:r>
        <w:rPr>
          <w:lang w:val="en-US" w:eastAsia="en-US" w:bidi="en-US"/>
        </w:rPr>
        <w:tab/>
      </w:r>
      <w:r>
        <w:t xml:space="preserve">váz. </w:t>
      </w:r>
      <w:r>
        <w:rPr>
          <w:lang w:val="en-US" w:eastAsia="en-US" w:bidi="en-US"/>
        </w:rPr>
        <w:t>K 82.50</w:t>
      </w:r>
    </w:p>
    <w:p w:rsidR="00500724" w:rsidRDefault="00F30FB8">
      <w:pPr>
        <w:pStyle w:val="Zkladntext40"/>
        <w:shd w:val="clear" w:color="auto" w:fill="auto"/>
        <w:spacing w:after="0" w:line="230" w:lineRule="auto"/>
        <w:ind w:left="180" w:hanging="180"/>
        <w:jc w:val="left"/>
      </w:pPr>
      <w:r>
        <w:rPr>
          <w:lang w:val="en-US" w:eastAsia="en-US" w:bidi="en-US"/>
        </w:rPr>
        <w:t>BEHAGHEL G. Kohle und Eisen in der Tchechoslo</w:t>
      </w:r>
      <w:r>
        <w:rPr>
          <w:lang w:val="en-US" w:eastAsia="en-US" w:bidi="en-US"/>
        </w:rPr>
        <w:t>-</w:t>
      </w:r>
    </w:p>
    <w:p w:rsidR="00500724" w:rsidRDefault="00F30FB8">
      <w:pPr>
        <w:pStyle w:val="Zkladntext40"/>
        <w:shd w:val="clear" w:color="auto" w:fill="auto"/>
        <w:tabs>
          <w:tab w:val="left" w:pos="3531"/>
        </w:tabs>
        <w:spacing w:after="40" w:line="230" w:lineRule="auto"/>
        <w:ind w:left="180" w:firstLine="20"/>
      </w:pPr>
      <w:r>
        <w:rPr>
          <w:lang w:val="en-US" w:eastAsia="en-US" w:bidi="en-US"/>
        </w:rPr>
        <w:t xml:space="preserve">wakei. 24X1" cm. 244 str. a 2 </w:t>
      </w:r>
      <w:r>
        <w:t>mapky</w:t>
      </w:r>
      <w:r>
        <w:tab/>
        <w:t xml:space="preserve">brož. </w:t>
      </w:r>
      <w:r>
        <w:rPr>
          <w:lang w:val="en-US" w:eastAsia="en-US" w:bidi="en-US"/>
        </w:rPr>
        <w:t>K 70.—</w:t>
      </w:r>
    </w:p>
    <w:p w:rsidR="00500724" w:rsidRDefault="00F30FB8">
      <w:pPr>
        <w:pStyle w:val="Nadpis90"/>
        <w:keepNext/>
        <w:keepLines/>
        <w:shd w:val="clear" w:color="auto" w:fill="auto"/>
        <w:spacing w:after="0"/>
        <w:rPr>
          <w:sz w:val="42"/>
          <w:szCs w:val="42"/>
        </w:rPr>
      </w:pPr>
      <w:bookmarkStart w:id="325" w:name="bookmark324"/>
      <w:r>
        <w:rPr>
          <w:rFonts w:ascii="Times New Roman" w:eastAsia="Times New Roman" w:hAnsi="Times New Roman" w:cs="Times New Roman"/>
          <w:sz w:val="42"/>
          <w:szCs w:val="42"/>
          <w:lang w:val="en-US" w:eastAsia="en-US" w:bidi="en-US"/>
        </w:rPr>
        <w:t>5. Japtc</w:t>
      </w:r>
      <w:bookmarkEnd w:id="325"/>
    </w:p>
    <w:p w:rsidR="00500724" w:rsidRDefault="00F30FB8">
      <w:pPr>
        <w:pStyle w:val="Nadpis120"/>
        <w:pBdr>
          <w:bottom w:val="single" w:sz="4" w:space="0" w:color="auto"/>
        </w:pBdr>
        <w:shd w:val="clear" w:color="auto" w:fill="auto"/>
        <w:spacing w:after="1400"/>
        <w:ind w:left="180" w:hanging="180"/>
      </w:pPr>
      <w:bookmarkStart w:id="326" w:name="bookmark325"/>
      <w:r>
        <w:rPr>
          <w:rFonts w:ascii="Arial" w:eastAsia="Arial" w:hAnsi="Arial" w:cs="Arial"/>
        </w:rPr>
        <w:t xml:space="preserve">knihkupectví, </w:t>
      </w:r>
      <w:r>
        <w:rPr>
          <w:rFonts w:ascii="Arial" w:eastAsia="Arial" w:hAnsi="Arial" w:cs="Arial"/>
          <w:lang w:val="en-US" w:eastAsia="en-US" w:bidi="en-US"/>
        </w:rPr>
        <w:t xml:space="preserve">Praha L, </w:t>
      </w:r>
      <w:r>
        <w:rPr>
          <w:rFonts w:ascii="Arial" w:eastAsia="Arial" w:hAnsi="Arial" w:cs="Arial"/>
        </w:rPr>
        <w:t xml:space="preserve">Národní </w:t>
      </w:r>
      <w:r>
        <w:rPr>
          <w:rFonts w:ascii="Arial" w:eastAsia="Arial" w:hAnsi="Arial" w:cs="Arial"/>
          <w:lang w:val="en-US" w:eastAsia="en-US" w:bidi="en-US"/>
        </w:rPr>
        <w:t>11</w:t>
      </w:r>
      <w:bookmarkEnd w:id="326"/>
    </w:p>
    <w:p w:rsidR="00500724" w:rsidRDefault="00F30FB8">
      <w:pPr>
        <w:pStyle w:val="Nadpis90"/>
        <w:keepNext/>
        <w:keepLines/>
        <w:shd w:val="clear" w:color="auto" w:fill="auto"/>
        <w:spacing w:before="120" w:after="0"/>
        <w:ind w:left="320"/>
      </w:pPr>
      <w:bookmarkStart w:id="327" w:name="bookmark326"/>
      <w:r>
        <w:rPr>
          <w:rFonts w:ascii="Times New Roman" w:eastAsia="Times New Roman" w:hAnsi="Times New Roman" w:cs="Times New Roman"/>
          <w:lang w:val="en-US" w:eastAsia="en-US" w:bidi="en-US"/>
        </w:rPr>
        <w:t xml:space="preserve">k </w:t>
      </w:r>
      <w:r>
        <w:rPr>
          <w:rFonts w:ascii="Times New Roman" w:eastAsia="Times New Roman" w:hAnsi="Times New Roman" w:cs="Times New Roman"/>
        </w:rPr>
        <w:t xml:space="preserve">blahobytu </w:t>
      </w:r>
      <w:r>
        <w:rPr>
          <w:rFonts w:ascii="Times New Roman" w:eastAsia="Times New Roman" w:hAnsi="Times New Roman" w:cs="Times New Roman"/>
          <w:lang w:val="en-US" w:eastAsia="en-US" w:bidi="en-US"/>
        </w:rPr>
        <w:t xml:space="preserve">a k </w:t>
      </w:r>
      <w:r>
        <w:rPr>
          <w:rFonts w:ascii="Times New Roman" w:eastAsia="Times New Roman" w:hAnsi="Times New Roman" w:cs="Times New Roman"/>
        </w:rPr>
        <w:t>vývoji</w:t>
      </w:r>
      <w:bookmarkEnd w:id="327"/>
    </w:p>
    <w:p w:rsidR="00500724" w:rsidRDefault="00F30FB8">
      <w:pPr>
        <w:spacing w:line="1" w:lineRule="exact"/>
        <w:rPr>
          <w:sz w:val="2"/>
          <w:szCs w:val="2"/>
        </w:rPr>
      </w:pPr>
      <w:r>
        <w:br w:type="column"/>
      </w:r>
    </w:p>
    <w:p w:rsidR="00500724" w:rsidRDefault="00F30FB8">
      <w:pPr>
        <w:pStyle w:val="Nadpis110"/>
        <w:shd w:val="clear" w:color="auto" w:fill="auto"/>
        <w:spacing w:after="40"/>
        <w:jc w:val="both"/>
      </w:pPr>
      <w:bookmarkStart w:id="328" w:name="bookmark327"/>
      <w:r>
        <w:t>MUDr. ZDENKA NEDVĚDOVÁ*NEJEDLA</w:t>
      </w:r>
      <w:bookmarkEnd w:id="328"/>
    </w:p>
    <w:p w:rsidR="00500724" w:rsidRDefault="00F30FB8">
      <w:pPr>
        <w:pStyle w:val="Zkladntext100"/>
        <w:shd w:val="clear" w:color="auto" w:fill="auto"/>
        <w:spacing w:after="120" w:line="178" w:lineRule="auto"/>
        <w:ind w:firstLine="0"/>
      </w:pPr>
      <w:r>
        <w:t xml:space="preserve">odb. dětská lékařka, PODOLÍ, PANKRÁCKÁ 14 (stanice elektr </w:t>
      </w:r>
      <w:r>
        <w:rPr>
          <w:u w:val="single"/>
        </w:rPr>
        <w:t xml:space="preserve">dráhy za Podol, sanatoriem). Ord. 9—10 a 2—4. </w:t>
      </w:r>
      <w:r>
        <w:rPr>
          <w:u w:val="single"/>
        </w:rPr>
        <w:t>Tel. 441-77.</w:t>
      </w:r>
    </w:p>
    <w:p w:rsidR="00500724" w:rsidRDefault="00F30FB8">
      <w:pPr>
        <w:pStyle w:val="Zkladntext100"/>
        <w:shd w:val="clear" w:color="auto" w:fill="auto"/>
        <w:spacing w:after="40" w:line="146"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160" w:line="178" w:lineRule="auto"/>
        <w:ind w:firstLine="0"/>
      </w:pPr>
      <w:r>
        <w:t>ord. 3—4 (a podle úmluvy). Telefon 393-79. PRAHA H.. VO</w:t>
      </w:r>
      <w:r>
        <w:softHyphen/>
      </w:r>
      <w:r>
        <w:rPr>
          <w:b/>
          <w:bCs/>
          <w:u w:val="single"/>
        </w:rPr>
        <w:t>DIČKOVA 15. (Hlávkův palác.)</w:t>
      </w:r>
    </w:p>
    <w:p w:rsidR="00500724" w:rsidRDefault="00F30FB8">
      <w:pPr>
        <w:pStyle w:val="Zkladntext100"/>
        <w:shd w:val="clear" w:color="auto" w:fill="auto"/>
        <w:spacing w:after="380" w:line="197" w:lineRule="auto"/>
        <w:ind w:firstLine="0"/>
      </w:pPr>
      <w:r>
        <w:rPr>
          <w:rFonts w:ascii="Arial" w:eastAsia="Arial" w:hAnsi="Arial" w:cs="Arial"/>
          <w:b/>
          <w:bCs/>
          <w:sz w:val="22"/>
          <w:szCs w:val="22"/>
        </w:rPr>
        <w:t xml:space="preserve">MUDr. STANISLAV TUMPACH </w:t>
      </w:r>
      <w:r>
        <w:rPr>
          <w:b/>
          <w:bCs/>
        </w:rPr>
        <w:t xml:space="preserve">odborný lékař pro chirurgii a urologii. PRAHA XH., Fochova 84 (Nám. krále </w:t>
      </w:r>
      <w:r>
        <w:rPr>
          <w:b/>
          <w:bCs/>
          <w:u w:val="single"/>
        </w:rPr>
        <w:t xml:space="preserve">Jiřího). Ord. </w:t>
      </w:r>
      <w:r>
        <w:rPr>
          <w:b/>
          <w:bCs/>
          <w:u w:val="single"/>
        </w:rPr>
        <w:t>15—17. Tel. 512-86, byt: 513-38.</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80"/>
        <w:jc w:val="center"/>
      </w:pPr>
      <w:bookmarkStart w:id="329" w:name="bookmark328"/>
      <w:r>
        <w:rPr>
          <w:color w:val="FFFFFF"/>
        </w:rPr>
        <w:t>VAS VKUS I NÁROKY USPOKOJÍ</w:t>
      </w:r>
      <w:bookmarkEnd w:id="329"/>
    </w:p>
    <w:p w:rsidR="00500724" w:rsidRDefault="00F30FB8">
      <w:pPr>
        <w:pStyle w:val="Jin0"/>
        <w:shd w:val="clear" w:color="auto" w:fill="auto"/>
        <w:ind w:firstLine="0"/>
        <w:jc w:val="center"/>
        <w:rPr>
          <w:sz w:val="26"/>
          <w:szCs w:val="26"/>
        </w:rPr>
      </w:pPr>
      <w:r>
        <w:rPr>
          <w:rFonts w:ascii="Arial" w:eastAsia="Arial" w:hAnsi="Arial" w:cs="Arial"/>
          <w:b/>
          <w:bCs/>
          <w:sz w:val="26"/>
          <w:szCs w:val="26"/>
        </w:rPr>
        <w:t>KRAUS&amp;SPOL.</w:t>
      </w:r>
    </w:p>
    <w:p w:rsidR="00500724" w:rsidRDefault="00F30FB8">
      <w:pPr>
        <w:pStyle w:val="Nadpis110"/>
        <w:shd w:val="clear" w:color="auto" w:fill="auto"/>
        <w:spacing w:line="230" w:lineRule="auto"/>
        <w:jc w:val="center"/>
      </w:pPr>
      <w:bookmarkStart w:id="330" w:name="bookmark329"/>
      <w:r>
        <w:rPr>
          <w:rFonts w:ascii="Times New Roman" w:eastAsia="Times New Roman" w:hAnsi="Times New Roman" w:cs="Times New Roman"/>
        </w:rPr>
        <w:t>krejčí pro pány a dámy</w:t>
      </w:r>
      <w:bookmarkEnd w:id="330"/>
    </w:p>
    <w:p w:rsidR="00500724" w:rsidRDefault="00F30FB8">
      <w:pPr>
        <w:pStyle w:val="Nadpis120"/>
        <w:shd w:val="clear" w:color="auto" w:fill="auto"/>
        <w:spacing w:line="230" w:lineRule="auto"/>
        <w:ind w:left="0"/>
        <w:jc w:val="right"/>
      </w:pPr>
      <w:bookmarkStart w:id="331" w:name="bookmark330"/>
      <w:r>
        <w:t>PRAHA H.,</w:t>
      </w:r>
      <w:bookmarkEnd w:id="331"/>
    </w:p>
    <w:p w:rsidR="00500724" w:rsidRDefault="00F30FB8">
      <w:pPr>
        <w:pStyle w:val="Zkladntext30"/>
        <w:pBdr>
          <w:bottom w:val="single" w:sz="4" w:space="0" w:color="auto"/>
        </w:pBdr>
        <w:shd w:val="clear" w:color="auto" w:fill="auto"/>
        <w:tabs>
          <w:tab w:val="left" w:pos="3774"/>
        </w:tabs>
        <w:spacing w:after="220" w:line="204" w:lineRule="auto"/>
        <w:ind w:left="160" w:firstLine="0"/>
        <w:rPr>
          <w:sz w:val="20"/>
          <w:szCs w:val="20"/>
        </w:rPr>
      </w:pPr>
      <w:r>
        <w:rPr>
          <w:sz w:val="20"/>
          <w:szCs w:val="20"/>
        </w:rPr>
        <w:t>Telefon 309-69</w:t>
      </w:r>
      <w:r>
        <w:rPr>
          <w:sz w:val="20"/>
          <w:szCs w:val="20"/>
        </w:rPr>
        <w:tab/>
        <w:t>Panská ul. 10</w:t>
      </w:r>
    </w:p>
    <w:p w:rsidR="00500724" w:rsidRDefault="00F30FB8">
      <w:pPr>
        <w:pStyle w:val="Zkladntext50"/>
        <w:shd w:val="clear" w:color="auto" w:fill="auto"/>
        <w:spacing w:before="40" w:after="0" w:line="240" w:lineRule="auto"/>
        <w:ind w:left="0"/>
        <w:jc w:val="right"/>
        <w:rPr>
          <w:sz w:val="18"/>
          <w:szCs w:val="18"/>
        </w:rPr>
      </w:pPr>
      <w:r>
        <w:rPr>
          <w:b/>
          <w:bCs/>
          <w:sz w:val="18"/>
          <w:szCs w:val="18"/>
        </w:rPr>
        <w:t>Revma, dna, ischias, nervosy, ženské choroby</w:t>
      </w:r>
    </w:p>
    <w:p w:rsidR="00500724" w:rsidRDefault="00F30FB8">
      <w:pPr>
        <w:pStyle w:val="Nadpis110"/>
        <w:pBdr>
          <w:bottom w:val="single" w:sz="4" w:space="0" w:color="auto"/>
        </w:pBdr>
        <w:shd w:val="clear" w:color="auto" w:fill="auto"/>
        <w:jc w:val="right"/>
        <w:sectPr w:rsidR="00500724">
          <w:footnotePr>
            <w:numFmt w:val="chicago"/>
            <w:numRestart w:val="eachPage"/>
          </w:footnotePr>
          <w:type w:val="continuous"/>
          <w:pgSz w:w="11909" w:h="16834"/>
          <w:pgMar w:top="881" w:right="1178" w:bottom="614" w:left="818" w:header="0" w:footer="3" w:gutter="0"/>
          <w:cols w:num="2" w:space="720" w:equalWidth="0">
            <w:col w:w="4522" w:space="394"/>
            <w:col w:w="4997"/>
          </w:cols>
          <w:noEndnote/>
          <w:docGrid w:linePitch="360"/>
        </w:sectPr>
      </w:pPr>
      <w:bookmarkStart w:id="332" w:name="bookmark331"/>
      <w:r>
        <w:t xml:space="preserve">Levné jarní paušály od K 960*-za 3 </w:t>
      </w:r>
      <w:r>
        <w:t>týdny</w:t>
      </w:r>
      <w:bookmarkEnd w:id="332"/>
    </w:p>
    <w:p w:rsidR="00500724" w:rsidRDefault="00500724">
      <w:pPr>
        <w:spacing w:line="123"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869" w:right="0" w:bottom="626" w:left="0" w:header="0" w:footer="3" w:gutter="0"/>
          <w:cols w:space="720"/>
          <w:noEndnote/>
          <w:docGrid w:linePitch="360"/>
        </w:sectPr>
      </w:pPr>
    </w:p>
    <w:p w:rsidR="00500724" w:rsidRDefault="00F30FB8">
      <w:pPr>
        <w:spacing w:line="14" w:lineRule="exact"/>
      </w:pPr>
      <w:r>
        <w:rPr>
          <w:noProof/>
        </w:rPr>
        <mc:AlternateContent>
          <mc:Choice Requires="wps">
            <w:drawing>
              <wp:anchor distT="0" distB="490855" distL="141605" distR="117475" simplePos="0" relativeHeight="125829716" behindDoc="0" locked="0" layoutInCell="1" allowOverlap="1">
                <wp:simplePos x="0" y="0"/>
                <wp:positionH relativeFrom="page">
                  <wp:posOffset>385445</wp:posOffset>
                </wp:positionH>
                <wp:positionV relativeFrom="paragraph">
                  <wp:posOffset>2246630</wp:posOffset>
                </wp:positionV>
                <wp:extent cx="2679065" cy="740410"/>
                <wp:effectExtent l="0" t="0" r="0" b="0"/>
                <wp:wrapSquare wrapText="right"/>
                <wp:docPr id="339" name="Shape 339"/>
                <wp:cNvGraphicFramePr/>
                <a:graphic xmlns:a="http://schemas.openxmlformats.org/drawingml/2006/main">
                  <a:graphicData uri="http://schemas.microsoft.com/office/word/2010/wordprocessingShape">
                    <wps:wsp>
                      <wps:cNvSpPr txBox="1"/>
                      <wps:spPr>
                        <a:xfrm>
                          <a:off x="0" y="0"/>
                          <a:ext cx="2679065" cy="740410"/>
                        </a:xfrm>
                        <a:prstGeom prst="rect">
                          <a:avLst/>
                        </a:prstGeom>
                        <a:noFill/>
                      </wps:spPr>
                      <wps:txbx>
                        <w:txbxContent>
                          <w:p w:rsidR="00500724" w:rsidRDefault="00F30FB8">
                            <w:pPr>
                              <w:pStyle w:val="Jin0"/>
                              <w:shd w:val="clear" w:color="auto" w:fill="auto"/>
                              <w:spacing w:before="80"/>
                              <w:ind w:firstLine="0"/>
                              <w:jc w:val="left"/>
                              <w:rPr>
                                <w:sz w:val="88"/>
                                <w:szCs w:val="88"/>
                              </w:rPr>
                            </w:pPr>
                            <w:r>
                              <w:rPr>
                                <w:sz w:val="88"/>
                                <w:szCs w:val="88"/>
                              </w:rPr>
                              <w:t>Pfíromnost.</w:t>
                            </w:r>
                          </w:p>
                        </w:txbxContent>
                      </wps:txbx>
                      <wps:bodyPr lIns="0" tIns="0" rIns="0" bIns="0">
                        <a:spAutoFit/>
                      </wps:bodyPr>
                    </wps:wsp>
                  </a:graphicData>
                </a:graphic>
              </wp:anchor>
            </w:drawing>
          </mc:Choice>
          <mc:Fallback>
            <w:pict>
              <v:shape id="_x0000_s1365" type="#_x0000_t202" style="position:absolute;margin-left:30.350000000000001pt;margin-top:176.90000000000001pt;width:210.94999999999999pt;height:58.299999999999997pt;z-index:-125829037;mso-wrap-distance-left:11.15pt;mso-wrap-distance-right:9.25pt;mso-wrap-distance-bottom:38.649999999999999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Pfíromnost.</w:t>
                      </w:r>
                    </w:p>
                  </w:txbxContent>
                </v:textbox>
                <w10:wrap type="square" side="right" anchorx="page"/>
              </v:shape>
            </w:pict>
          </mc:Fallback>
        </mc:AlternateContent>
      </w:r>
      <w:r>
        <w:rPr>
          <w:noProof/>
        </w:rPr>
        <mc:AlternateContent>
          <mc:Choice Requires="wps">
            <w:drawing>
              <wp:anchor distT="905510" distB="0" distL="114300" distR="114300" simplePos="0" relativeHeight="125829718" behindDoc="0" locked="0" layoutInCell="1" allowOverlap="1">
                <wp:simplePos x="0" y="0"/>
                <wp:positionH relativeFrom="page">
                  <wp:posOffset>358140</wp:posOffset>
                </wp:positionH>
                <wp:positionV relativeFrom="paragraph">
                  <wp:posOffset>3151505</wp:posOffset>
                </wp:positionV>
                <wp:extent cx="2709545" cy="326390"/>
                <wp:effectExtent l="0" t="0" r="0" b="0"/>
                <wp:wrapSquare wrapText="right"/>
                <wp:docPr id="341" name="Shape 341"/>
                <wp:cNvGraphicFramePr/>
                <a:graphic xmlns:a="http://schemas.openxmlformats.org/drawingml/2006/main">
                  <a:graphicData uri="http://schemas.microsoft.com/office/word/2010/wordprocessingShape">
                    <wps:wsp>
                      <wps:cNvSpPr txBox="1"/>
                      <wps:spPr>
                        <a:xfrm>
                          <a:off x="0" y="0"/>
                          <a:ext cx="2709545" cy="32639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367" type="#_x0000_t202" style="position:absolute;margin-left:28.199999999999999pt;margin-top:248.15000000000001pt;width:213.34999999999999pt;height:25.699999999999999pt;z-index:-125829035;mso-wrap-distance-left:9.pt;mso-wrap-distance-top:71.299999999999997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Nadpis90"/>
        <w:keepNext/>
        <w:keepLines/>
        <w:shd w:val="clear" w:color="auto" w:fill="auto"/>
        <w:spacing w:after="100"/>
        <w:ind w:left="920"/>
      </w:pPr>
      <w:bookmarkStart w:id="333" w:name="bookmark332"/>
      <w:r>
        <w:rPr>
          <w:rFonts w:ascii="Times New Roman" w:eastAsia="Times New Roman" w:hAnsi="Times New Roman" w:cs="Times New Roman"/>
        </w:rPr>
        <w:t>vzdělanosti národa</w:t>
      </w:r>
      <w:bookmarkEnd w:id="333"/>
    </w:p>
    <w:p w:rsidR="00500724" w:rsidRDefault="00F30FB8">
      <w:pPr>
        <w:pStyle w:val="Jin0"/>
        <w:shd w:val="clear" w:color="auto" w:fill="auto"/>
        <w:spacing w:after="900"/>
        <w:ind w:right="600" w:firstLine="0"/>
        <w:jc w:val="right"/>
        <w:rPr>
          <w:sz w:val="42"/>
          <w:szCs w:val="42"/>
        </w:rPr>
      </w:pPr>
      <w:r>
        <w:rPr>
          <w:rFonts w:ascii="Arial" w:eastAsia="Arial" w:hAnsi="Arial" w:cs="Arial"/>
          <w:sz w:val="26"/>
          <w:szCs w:val="26"/>
        </w:rPr>
        <w:t xml:space="preserve">Čtěte </w:t>
      </w:r>
      <w:r>
        <w:rPr>
          <w:rFonts w:ascii="Cambria" w:eastAsia="Cambria" w:hAnsi="Cambria" w:cs="Cambria"/>
          <w:i/>
          <w:iCs/>
          <w:sz w:val="42"/>
          <w:szCs w:val="42"/>
        </w:rPr>
        <w:t>LIDOVÉ NOVINY</w:t>
      </w:r>
    </w:p>
    <w:p w:rsidR="00500724" w:rsidRDefault="00F30FB8">
      <w:pPr>
        <w:pStyle w:val="Zkladntext100"/>
        <w:shd w:val="clear" w:color="auto" w:fill="auto"/>
        <w:spacing w:line="290" w:lineRule="auto"/>
        <w:ind w:firstLine="0"/>
        <w:rPr>
          <w:sz w:val="19"/>
          <w:szCs w:val="19"/>
        </w:rPr>
      </w:pPr>
      <w:r>
        <w:rPr>
          <w:b/>
          <w:bCs/>
          <w:sz w:val="20"/>
          <w:szCs w:val="20"/>
        </w:rPr>
        <w:t xml:space="preserve">OBSAH PŘÍTOMNOSTI C. </w:t>
      </w:r>
      <w:r>
        <w:rPr>
          <w:b/>
          <w:bCs/>
          <w:sz w:val="19"/>
          <w:szCs w:val="19"/>
        </w:rPr>
        <w:t>13: F. PEROUTKA: Když se tvořil poměr k Německu. — MILENA JESENSKÁ:</w:t>
      </w:r>
    </w:p>
    <w:p w:rsidR="00500724" w:rsidRDefault="00F30FB8">
      <w:pPr>
        <w:pStyle w:val="Zkladntext100"/>
        <w:pBdr>
          <w:bottom w:val="single" w:sz="4" w:space="0" w:color="auto"/>
        </w:pBdr>
        <w:shd w:val="clear" w:color="auto" w:fill="auto"/>
        <w:spacing w:after="380" w:line="307" w:lineRule="auto"/>
        <w:ind w:left="740" w:firstLine="0"/>
        <w:rPr>
          <w:sz w:val="19"/>
          <w:szCs w:val="19"/>
        </w:rPr>
      </w:pPr>
      <w:r>
        <w:rPr>
          <w:b/>
          <w:bCs/>
          <w:sz w:val="19"/>
          <w:szCs w:val="19"/>
        </w:rPr>
        <w:t xml:space="preserve">O střízlivosti a gestu. — JIŘÍ SOUMAR: Veliký proces </w:t>
      </w:r>
      <w:r>
        <w:rPr>
          <w:b/>
          <w:bCs/>
          <w:sz w:val="19"/>
          <w:szCs w:val="19"/>
        </w:rPr>
        <w:t>ve vzrušené době. — J. SEDLÁK: Německo-rumunská hospodářská dohoda. — LADISLAV ŽÁK: Lidová architektura? — Základní kameny hospodářské velmoci. — Slovensko v jiném postaveni. — Ženská nová zaměstnání. — Prosíme čtenáře.</w:t>
      </w:r>
    </w:p>
    <w:p w:rsidR="00500724" w:rsidRDefault="00F30FB8">
      <w:pPr>
        <w:pStyle w:val="Nadpis90"/>
        <w:keepNext/>
        <w:keepLines/>
        <w:shd w:val="clear" w:color="auto" w:fill="auto"/>
        <w:spacing w:after="160"/>
      </w:pPr>
      <w:bookmarkStart w:id="334" w:name="bookmark333"/>
      <w:r>
        <w:rPr>
          <w:u w:val="single"/>
        </w:rPr>
        <w:t>nezávislý týdeník</w:t>
      </w:r>
      <w:bookmarkEnd w:id="334"/>
    </w:p>
    <w:p w:rsidR="00500724" w:rsidRDefault="00F30FB8">
      <w:pPr>
        <w:pStyle w:val="Zkladntext30"/>
        <w:shd w:val="clear" w:color="auto" w:fill="auto"/>
        <w:spacing w:after="60" w:line="221" w:lineRule="auto"/>
        <w:ind w:firstLine="0"/>
        <w:jc w:val="center"/>
        <w:rPr>
          <w:sz w:val="20"/>
          <w:szCs w:val="20"/>
        </w:rPr>
      </w:pPr>
      <w:r>
        <w:rPr>
          <w:sz w:val="20"/>
          <w:szCs w:val="20"/>
        </w:rPr>
        <w:t xml:space="preserve">vychází ve středu </w:t>
      </w:r>
      <w:r>
        <w:rPr>
          <w:sz w:val="20"/>
          <w:szCs w:val="20"/>
        </w:rPr>
        <w:t>v nakladatelství</w:t>
      </w:r>
      <w:r>
        <w:rPr>
          <w:sz w:val="20"/>
          <w:szCs w:val="20"/>
        </w:rPr>
        <w:br/>
        <w:t>FR. BOROVÝ V PRAZE I., NÁRODNÍ TŘÍDA 11.</w:t>
      </w:r>
    </w:p>
    <w:p w:rsidR="00500724" w:rsidRDefault="00F30FB8">
      <w:pPr>
        <w:pStyle w:val="Zkladntext40"/>
        <w:shd w:val="clear" w:color="auto" w:fill="auto"/>
        <w:spacing w:line="185" w:lineRule="auto"/>
      </w:pPr>
      <w:r>
        <w:t>Telefon Cislo 390-51 až 54 • Očet poštovní spořitelny Cislo 35.622 • Nevy</w:t>
      </w:r>
      <w:r>
        <w:softHyphen/>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Dohlédací pošt. úřad Brno II. • Novinová sazba povolena v Brně ředitelstvím pošt a telegrafů pod Cis. 119.268/IIIa. • Odpovědný redaktor J. Dlabač.</w:t>
      </w:r>
    </w:p>
    <w:p w:rsidR="00500724" w:rsidRDefault="00F30FB8">
      <w:pPr>
        <w:pStyle w:val="Zkladntext30"/>
        <w:shd w:val="clear" w:color="auto" w:fill="auto"/>
        <w:spacing w:after="120" w:line="221" w:lineRule="auto"/>
        <w:ind w:left="5320" w:firstLine="0"/>
        <w:jc w:val="left"/>
        <w:rPr>
          <w:sz w:val="20"/>
          <w:szCs w:val="20"/>
        </w:rPr>
      </w:pPr>
      <w:r>
        <w:rPr>
          <w:sz w:val="20"/>
          <w:szCs w:val="20"/>
        </w:rPr>
        <w:t>TISKEM LIDOVÉ TISKÁRNY, BRNO, ČESKÁ 6.</w:t>
      </w:r>
      <w:r>
        <w:br w:type="page"/>
      </w:r>
    </w:p>
    <w:p w:rsidR="00500724" w:rsidRDefault="00F30FB8">
      <w:pPr>
        <w:pStyle w:val="Nadpis60"/>
        <w:keepNext/>
        <w:keepLines/>
        <w:pBdr>
          <w:bottom w:val="single" w:sz="4" w:space="0" w:color="auto"/>
        </w:pBdr>
        <w:shd w:val="clear" w:color="auto" w:fill="auto"/>
        <w:sectPr w:rsidR="00500724">
          <w:footnotePr>
            <w:numFmt w:val="chicago"/>
            <w:numRestart w:val="eachPage"/>
          </w:footnotePr>
          <w:type w:val="continuous"/>
          <w:pgSz w:w="11909" w:h="16834"/>
          <w:pgMar w:top="869" w:right="1009" w:bottom="626" w:left="538" w:header="0" w:footer="3" w:gutter="0"/>
          <w:cols w:space="720"/>
          <w:noEndnote/>
          <w:docGrid w:linePitch="360"/>
        </w:sectPr>
      </w:pPr>
      <w:bookmarkStart w:id="335" w:name="bookmark334"/>
      <w:r>
        <w:t>Přítomnosti</w:t>
      </w:r>
      <w:bookmarkEnd w:id="335"/>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872" w:right="0" w:bottom="706" w:left="0" w:header="0" w:footer="3" w:gutter="0"/>
          <w:cols w:space="720"/>
          <w:noEndnote/>
          <w:docGrid w:linePitch="360"/>
        </w:sectPr>
      </w:pPr>
    </w:p>
    <w:p w:rsidR="00500724" w:rsidRDefault="00500724">
      <w:pPr>
        <w:spacing w:after="634" w:line="14" w:lineRule="exact"/>
      </w:pPr>
    </w:p>
    <w:p w:rsidR="00500724" w:rsidRDefault="00500724">
      <w:pPr>
        <w:spacing w:line="14" w:lineRule="exact"/>
        <w:sectPr w:rsidR="00500724">
          <w:footnotePr>
            <w:numFmt w:val="chicago"/>
            <w:numRestart w:val="eachPage"/>
          </w:footnotePr>
          <w:type w:val="continuous"/>
          <w:pgSz w:w="11909" w:h="16834"/>
          <w:pgMar w:top="872" w:right="920" w:bottom="706" w:left="622" w:header="0" w:footer="3" w:gutter="0"/>
          <w:cols w:space="720"/>
          <w:noEndnote/>
          <w:docGrid w:linePitch="360"/>
        </w:sectPr>
      </w:pPr>
    </w:p>
    <w:p w:rsidR="00500724" w:rsidRDefault="00F30FB8">
      <w:pPr>
        <w:spacing w:line="14" w:lineRule="exact"/>
      </w:pPr>
      <w:r>
        <w:rPr>
          <w:noProof/>
        </w:rPr>
        <mc:AlternateContent>
          <mc:Choice Requires="wps">
            <w:drawing>
              <wp:anchor distT="25400" distB="254000" distL="114300" distR="114300" simplePos="0" relativeHeight="125829720" behindDoc="0" locked="0" layoutInCell="1" allowOverlap="1">
                <wp:simplePos x="0" y="0"/>
                <wp:positionH relativeFrom="page">
                  <wp:posOffset>6708775</wp:posOffset>
                </wp:positionH>
                <wp:positionV relativeFrom="paragraph">
                  <wp:posOffset>7924800</wp:posOffset>
                </wp:positionV>
                <wp:extent cx="213360" cy="149225"/>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213360" cy="149225"/>
                        </a:xfrm>
                        <a:prstGeom prst="rect">
                          <a:avLst/>
                        </a:prstGeom>
                        <a:noFill/>
                      </wps:spPr>
                      <wps:txbx>
                        <w:txbxContent>
                          <w:p w:rsidR="00500724" w:rsidRDefault="00F30FB8">
                            <w:pPr>
                              <w:pStyle w:val="Zkladntext100"/>
                              <w:shd w:val="clear" w:color="auto" w:fill="auto"/>
                              <w:spacing w:line="240" w:lineRule="auto"/>
                              <w:ind w:firstLine="0"/>
                              <w:jc w:val="left"/>
                              <w:rPr>
                                <w:sz w:val="17"/>
                                <w:szCs w:val="17"/>
                              </w:rPr>
                            </w:pPr>
                            <w:r>
                              <w:rPr>
                                <w:b/>
                                <w:bCs/>
                                <w:i/>
                                <w:iCs/>
                                <w:sz w:val="17"/>
                                <w:szCs w:val="17"/>
                              </w:rPr>
                              <w:t>2Oi</w:t>
                            </w:r>
                          </w:p>
                        </w:txbxContent>
                      </wps:txbx>
                      <wps:bodyPr lIns="0" tIns="0" rIns="0" bIns="0">
                        <a:spAutoFit/>
                      </wps:bodyPr>
                    </wps:wsp>
                  </a:graphicData>
                </a:graphic>
              </wp:anchor>
            </w:drawing>
          </mc:Choice>
          <mc:Fallback>
            <w:pict>
              <v:shape id="_x0000_s1369" type="#_x0000_t202" style="position:absolute;margin-left:528.25pt;margin-top:624.pt;width:16.800000000000001pt;height:11.75pt;z-index:-125829033;mso-wrap-distance-left:9.pt;mso-wrap-distance-top:2.pt;mso-wrap-distance-right:9.pt;mso-wrap-distance-bottom:20.pt;mso-position-horizontal-relative:page"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rPr>
                          <w:sz w:val="17"/>
                          <w:szCs w:val="17"/>
                        </w:rPr>
                      </w:pPr>
                      <w:r>
                        <w:rPr>
                          <w:b/>
                          <w:bCs/>
                          <w:i/>
                          <w:iCs/>
                          <w:color w:val="000000"/>
                          <w:spacing w:val="0"/>
                          <w:w w:val="100"/>
                          <w:position w:val="0"/>
                          <w:sz w:val="17"/>
                          <w:szCs w:val="17"/>
                          <w:shd w:val="clear" w:color="auto" w:fill="auto"/>
                          <w:lang w:val="cs-CZ" w:eastAsia="cs-CZ" w:bidi="cs-CZ"/>
                        </w:rPr>
                        <w:t>2Oi</w:t>
                      </w:r>
                    </w:p>
                  </w:txbxContent>
                </v:textbox>
                <w10:wrap type="topAndBottom" anchorx="page"/>
              </v:shape>
            </w:pict>
          </mc:Fallback>
        </mc:AlternateContent>
      </w:r>
    </w:p>
    <w:p w:rsidR="00500724" w:rsidRDefault="00F30FB8">
      <w:pPr>
        <w:pStyle w:val="Jin0"/>
        <w:shd w:val="clear" w:color="auto" w:fill="auto"/>
        <w:ind w:firstLine="0"/>
        <w:jc w:val="center"/>
        <w:rPr>
          <w:sz w:val="34"/>
          <w:szCs w:val="34"/>
        </w:rPr>
      </w:pPr>
      <w:r>
        <w:rPr>
          <w:b/>
          <w:bCs/>
          <w:sz w:val="34"/>
          <w:szCs w:val="34"/>
        </w:rPr>
        <w:t>Naše ústava</w:t>
      </w:r>
    </w:p>
    <w:p w:rsidR="00500724" w:rsidRDefault="00F30FB8">
      <w:pPr>
        <w:pStyle w:val="Zkladntext30"/>
        <w:shd w:val="clear" w:color="auto" w:fill="auto"/>
        <w:spacing w:after="0" w:line="221" w:lineRule="auto"/>
        <w:ind w:firstLine="160"/>
      </w:pPr>
      <w:r>
        <w:rPr>
          <w:rFonts w:ascii="Arial" w:eastAsia="Arial" w:hAnsi="Arial" w:cs="Arial"/>
          <w:b/>
          <w:bCs/>
        </w:rPr>
        <w:t xml:space="preserve">li </w:t>
      </w:r>
      <w:r>
        <w:t>yslili jsme, že jsme na konci svého úkolu, a pak »)1V1 -j</w:t>
      </w:r>
      <w:r>
        <w:rPr>
          <w:vertAlign w:val="subscript"/>
        </w:rPr>
        <w:t>sme</w:t>
      </w:r>
      <w:r>
        <w:t xml:space="preserve"> shledali, že jsme sotva na začátku...” Krátce potom, co jsem s podivným jaksi dojetím pře</w:t>
      </w:r>
      <w:r>
        <w:softHyphen/>
        <w:t>četl tuto větu v lhostejné jinak anglické knize, roze</w:t>
      </w:r>
      <w:r>
        <w:softHyphen/>
        <w:t xml:space="preserve">zvučel se uprostřed noci náš rozhlas a vytrvale </w:t>
      </w:r>
      <w:r>
        <w:rPr>
          <w:rFonts w:ascii="Arial" w:eastAsia="Arial" w:hAnsi="Arial" w:cs="Arial"/>
          <w:b/>
          <w:bCs/>
        </w:rPr>
        <w:t xml:space="preserve">v </w:t>
      </w:r>
      <w:r>
        <w:t>krátkých intervalech oznamoval, že na základě do</w:t>
      </w:r>
      <w:r>
        <w:softHyphen/>
        <w:t>hody říšskéh</w:t>
      </w:r>
      <w:r>
        <w:t>o kancléře s presidentem Háchou obsadí německé vojsko to, co 14. března večer, po odloučeni Slovenska, zbývalo ještě z Cesko-slovenské republiky. Vskutku, budujíce tento stát, několikrát během dva</w:t>
      </w:r>
      <w:r>
        <w:softHyphen/>
        <w:t>ceti let jsme měli dojem, že jsme již na konci svého úkolu.</w:t>
      </w:r>
      <w:r>
        <w:t xml:space="preserve"> A vskutku, onoho mrazivého a zasněženého rána 15. března jsme pak shledali, že stojíme sotva na počátku. Ze mnoho, hrozná spousta z toho, co jsme za oněch dvacet let s takovým zaujetím dělali, bylo nadarmo. Ze lidé se exponovali, dřeli, svářili i nespali </w:t>
      </w:r>
      <w:r>
        <w:t>pro věci, které přes noc ztratily smysl. Ze se musíme shýbnout a začít znovu.</w:t>
      </w:r>
    </w:p>
    <w:p w:rsidR="00500724" w:rsidRDefault="00F30FB8">
      <w:pPr>
        <w:pStyle w:val="Zkladntext30"/>
        <w:shd w:val="clear" w:color="auto" w:fill="auto"/>
        <w:spacing w:after="0" w:line="221" w:lineRule="auto"/>
        <w:ind w:firstLine="240"/>
      </w:pPr>
      <w:r>
        <w:t>Nemýlili jsme se jistě v tom, jestliže jsme tak často prohlašovali, že býti Československé republiky zá</w:t>
      </w:r>
      <w:r>
        <w:softHyphen/>
        <w:t>visí větší měrou, než u států jiných, na celkových po</w:t>
      </w:r>
      <w:r>
        <w:softHyphen/>
        <w:t xml:space="preserve">měrech evropských a </w:t>
      </w:r>
      <w:r>
        <w:t>světových. Stát tento vznikl za jedné evropské konstelace, a přestal existovat zároveň s ní. Osud jeho nerozhodoval se jen podle toho, co se dálo v Praze, nýbrž také podle toho, co se dálo nebo nedálo v Berlíně, Londýně, Paříži a Římě. Když na vítěze světo</w:t>
      </w:r>
      <w:r>
        <w:t>vé války a tvůrce versailleského míru přišla ona hluboká mdloba, bylo jasno, že nesmírně nabudou na významu zeměpisná fakta, která snad naše poli</w:t>
      </w:r>
      <w:r>
        <w:softHyphen/>
        <w:t>tika dvacet let podceňovala a že dříve nebo později rozhodne naše položení v prostoru, který po tolik sta</w:t>
      </w:r>
      <w:r>
        <w:softHyphen/>
        <w:t>letí</w:t>
      </w:r>
      <w:r>
        <w:t xml:space="preserve"> patřil do sféry německého vlivu. Změniti to bylo tak nesnadno jako změniti zákon tíže.</w:t>
      </w:r>
    </w:p>
    <w:p w:rsidR="00500724" w:rsidRDefault="00F30FB8">
      <w:pPr>
        <w:pStyle w:val="Zkladntext30"/>
        <w:shd w:val="clear" w:color="auto" w:fill="auto"/>
        <w:spacing w:line="221" w:lineRule="auto"/>
        <w:ind w:firstLine="240"/>
      </w:pPr>
      <w:r>
        <w:t>V evropské veřejnosti se nadhodilo, proč jsme prý 15. března neudělali nějaké gesto a někteří z našich bývalých spojenců, kteří mají vůči nám špatné svě</w:t>
      </w:r>
      <w:r>
        <w:softHyphen/>
        <w:t>domí, se této o</w:t>
      </w:r>
      <w:r>
        <w:t>tázky dychtivě chopili a dále ji rozvlé- kali. Rozumíme-11 těmto řečem dobře, měli jsme, zatím co by byl anglický a francouzský člověk v klidu trávil svůj pověstný oběd, posílat blíže neurčený počet našich mladých lidí na marnou smrt. To by bylo to gesto..</w:t>
      </w:r>
      <w:r>
        <w:t>. Je hodno pozoru, že i ti, kdo takto o nás mluví, sami by takový podnik nepokládali za více než za gesto, které by mimo zbytečného umírání žádných dalších následků nemělo a na konečném výsledku nic nezměnilo. Ostatně jsme říkali zřetelně již od Mnicho</w:t>
      </w:r>
      <w:r>
        <w:softHyphen/>
        <w:t>va,</w:t>
      </w:r>
      <w:r>
        <w:t xml:space="preserve"> že se pokládáme za odzbrojené vůči Německu a každý normální důstojník západních armád, který ne</w:t>
      </w:r>
      <w:r>
        <w:softHyphen/>
        <w:t>zavíral oči nad fakty, musil tomuto našemu stano</w:t>
      </w:r>
      <w:r>
        <w:softHyphen/>
        <w:t>visku dát za pravdu. Stát, který byl zbaven svých opevnění a všech podmínek, za kterých je možno úspěšně vésti</w:t>
      </w:r>
      <w:r>
        <w:t xml:space="preserve"> válku, udržuje svou armádu už jen jako poslední ilusi. Jeho válka by byla spíše stínovou hrou, boj jeho vojáků spíše sebevraždou. Zůstavše opuštěni </w:t>
      </w:r>
      <w:r>
        <w:rPr>
          <w:b/>
          <w:bCs/>
        </w:rPr>
        <w:t xml:space="preserve">a </w:t>
      </w:r>
      <w:r>
        <w:t>osamoceni ve svém středoevropském prostoru, zůstali jsme pány aspoň nad svými gesty a neposuzu</w:t>
      </w:r>
      <w:r>
        <w:softHyphen/>
        <w:t>jeme je po</w:t>
      </w:r>
      <w:r>
        <w:t>dle toho, jaké divadlo by mohla poskytnout otupělé Evropě, nýbrž podle prospěchu národního, Ano, odmítli jsme pustit si zbytečně žilou, počítajíce, že všechnu českou krev a všechny české životy bude</w:t>
      </w:r>
      <w:r>
        <w:softHyphen/>
        <w:t>me potřebovat v nových poměrech, do kterých bychom stejně</w:t>
      </w:r>
      <w:r>
        <w:t xml:space="preserve"> vešli, ať s gestem ať bez gesta.</w:t>
      </w:r>
    </w:p>
    <w:p w:rsidR="00500724" w:rsidRDefault="00F30FB8">
      <w:pPr>
        <w:pStyle w:val="Zkladntext30"/>
        <w:shd w:val="clear" w:color="auto" w:fill="auto"/>
        <w:spacing w:line="221" w:lineRule="auto"/>
        <w:ind w:firstLine="0"/>
        <w:jc w:val="center"/>
      </w:pPr>
      <w:r>
        <w:t>•</w:t>
      </w:r>
    </w:p>
    <w:p w:rsidR="00500724" w:rsidRDefault="00F30FB8">
      <w:pPr>
        <w:pStyle w:val="Zkladntext30"/>
        <w:shd w:val="clear" w:color="auto" w:fill="auto"/>
        <w:spacing w:line="221" w:lineRule="auto"/>
        <w:ind w:firstLine="240"/>
      </w:pPr>
      <w:r>
        <w:t>Co nyní budeme dělat? Obrazně lze říci: nebudeme utíkat ani dopředu ani dozadu. Dopředu, do dobro</w:t>
      </w:r>
      <w:r>
        <w:softHyphen/>
        <w:t>družství, tak často utíkají radikálové, dozadu vždy zbabělci. Realisticky, jako vždy bylo naší snahou, prozkoumáme poměry,</w:t>
      </w:r>
      <w:r>
        <w:t xml:space="preserve"> jak se vytvořily úmluvou o Protektorátu a vynasnažíme se v nich zaříditi se, jak nezastíráme, k co největšímu prospěchu svého národa. Po tak velké proměně, jaká se stala, opaku</w:t>
      </w:r>
      <w:r>
        <w:softHyphen/>
        <w:t>jeme, že jsme více než jen obyvatelé nějakého pro</w:t>
      </w:r>
      <w:r>
        <w:softHyphen/>
        <w:t>storu: jsme národ. Žádné z u</w:t>
      </w:r>
      <w:r>
        <w:t>jednání, které jsme nyni uzavřeli s německou říší, žádný z projevů odpověd</w:t>
      </w:r>
      <w:r>
        <w:softHyphen/>
        <w:t>ných říšských činitelů nečiní naše právo na národní existenci sporným. Úmluva říšského kancléře s presi</w:t>
      </w:r>
      <w:r>
        <w:softHyphen/>
        <w:t>dentem Háchou, nařízení o Protektorátu, projev pro</w:t>
      </w:r>
      <w:r>
        <w:softHyphen/>
        <w:t xml:space="preserve">tektora von Neuratha — to </w:t>
      </w:r>
      <w:r>
        <w:t>je nyní dohromady nová naše česká ústava, jejichž záruk se budeme držet s vášní, jako Chodové se drželi svých výsad. Naším hlavním cílem jest nyní se jako národ uchovati. Od- padne-li někdo od tohoto celkového našeho snažení, vetře-li se někomu do očí bezv</w:t>
      </w:r>
      <w:r>
        <w:t>ýrazný a studený po</w:t>
      </w:r>
      <w:r>
        <w:softHyphen/>
        <w:t>hled tam, kde půjde o první a poslední věci národa, nechť tomu ti, kdo nás pozorují, nepřikládají velký význam: on jest snad uschlá větev národního kmene, on jest snad šmejd. Srdce národa bije mimo tyto vý</w:t>
      </w:r>
      <w:r>
        <w:softHyphen/>
        <w:t>jimečné případy, a kdo přiloží</w:t>
      </w:r>
      <w:r>
        <w:t xml:space="preserve"> k němu ucho, uslyší, jak toto srdce stejným tempem, jako už po tisíc let, odbíjí věčnou přísahu všech národů: Chceme žít!</w:t>
      </w:r>
    </w:p>
    <w:p w:rsidR="00500724" w:rsidRDefault="00F30FB8">
      <w:pPr>
        <w:pStyle w:val="Zkladntext30"/>
        <w:shd w:val="clear" w:color="auto" w:fill="auto"/>
        <w:spacing w:line="221" w:lineRule="auto"/>
        <w:ind w:firstLine="240"/>
      </w:pPr>
      <w:r>
        <w:t>V tom se tedy před nikým ani nechceme, ani ne</w:t>
      </w:r>
      <w:r>
        <w:softHyphen/>
        <w:t>musíme přetvařovat. Býti národem, znamená ovšem zachovati si všechny přívlastky národní</w:t>
      </w:r>
      <w:r>
        <w:t xml:space="preserve"> existence. Býti Čechem není jen česky mluvit, nýbrž také česky myslit a jednat podle svého charakteru, jak se vy</w:t>
      </w:r>
      <w:r>
        <w:softHyphen/>
        <w:t>tvořil během věků. To vše, netoliko jazyk, patří do oné svébytnosti, která jest nám novou naší ústavou zaručena. Každý národ má jen ve vlastní</w:t>
      </w:r>
      <w:r>
        <w:t>m charakteru pramen své tvořivosti. Býti národem — to znamená dále moci býti hrdý. Byla nám slíbena šťastná bu</w:t>
      </w:r>
      <w:r>
        <w:softHyphen/>
        <w:t>doucnost, jestliže budeme se chovat loyálně k němec</w:t>
      </w:r>
      <w:r>
        <w:softHyphen/>
        <w:t>ké říši. Jistě ti, kdo takto k nám mluví, si uvědomují, že není pro národ štěstí, jestliže pr</w:t>
      </w:r>
      <w:r>
        <w:t>o něj není možnosti cti a hrdosti. Zejména o národech platí, že nejsou živy jen chlebem a nejen drobty, ale ani celé tučné kusy, které padají s cizího stolu, nemohou zasytit duši národa s historickou existencí. Otázka našeho národního štěstí je otázkou mor</w:t>
      </w:r>
      <w:r>
        <w:t>ální, nikoliv hmotnou. Každý z nás Cechů potřebuje, aby se mohl hrdě a zpříma dívat do očí komukoliv, s kým se setká.</w:t>
      </w:r>
    </w:p>
    <w:p w:rsidR="00500724" w:rsidRDefault="00F30FB8">
      <w:pPr>
        <w:pStyle w:val="Zkladntext30"/>
        <w:shd w:val="clear" w:color="auto" w:fill="auto"/>
        <w:spacing w:line="223" w:lineRule="auto"/>
      </w:pPr>
      <w:r>
        <w:t xml:space="preserve">Zde ovšem bude nejvíce záležeti na nás. Boj o svůj národní charakter si musíme vybojovat sami, Němci budou k tomu jen přihlížet. Jestliže </w:t>
      </w:r>
      <w:r>
        <w:t>bychom se sami vnitřně zhroutili, jestliže bychom se stali bezcharak</w:t>
      </w:r>
      <w:r>
        <w:softHyphen/>
        <w:t>terními, bylo by to naše vlastní zavinění. Není třeba se obávat budoucnosti, dokud Němci neztratí dojem, že jest třeba si nás vážiti. To bude záležet na tobě, na mně, na každém z nás. Kdy</w:t>
      </w:r>
      <w:r>
        <w:t>by ovšem pro ochabnutí naší povahy ustala objektivní potřeba chovat k nám úctu, pak teprve by následky mohly být nedozírné. Polomrtvý národ — to jest takový národ, jehož cha</w:t>
      </w:r>
      <w:r>
        <w:softHyphen/>
        <w:t>rakter by oslábl — nemohl by úspěšně žiti vedle ná</w:t>
      </w:r>
      <w:r>
        <w:softHyphen/>
        <w:t>roda tak prudce a silně žijícíh</w:t>
      </w:r>
      <w:r>
        <w:t>o, jakým jsou nyní Němci.</w:t>
      </w:r>
    </w:p>
    <w:p w:rsidR="00500724" w:rsidRDefault="00F30FB8">
      <w:pPr>
        <w:pStyle w:val="Zkladntext30"/>
        <w:shd w:val="clear" w:color="auto" w:fill="auto"/>
        <w:spacing w:line="221" w:lineRule="auto"/>
      </w:pPr>
      <w:r>
        <w:t xml:space="preserve">V této věci je třeba položití Němcům, s nimiž nyní náš styk bude i častější i významnější, zcela základní otázku: je možno, že se setkají také s Cechy, kteří národně vysýchají, nebo kteří pro osobní prospěch jsou ochotni hodit do </w:t>
      </w:r>
      <w:r>
        <w:t>větru nejsvětější otázky nejen národa jednoho, nýbrž národů všech; žádný národ ne</w:t>
      </w:r>
      <w:r>
        <w:softHyphen/>
        <w:t>může ručit za to, že na jeho periferii se nepohybují takové odpadky. Komu dají Němci ve styku s Ce</w:t>
      </w:r>
      <w:r>
        <w:softHyphen/>
        <w:t>chy ve svých srdcích přednost, v kom budou vidět skutečné představitele nár</w:t>
      </w:r>
      <w:r>
        <w:t>oda: v mužích s charakte</w:t>
      </w:r>
      <w:r>
        <w:softHyphen/>
        <w:t>rem nebo bez charakteru? Tuto otázku bude musit řešit každý Němec, který mezi námi dlouho žije nebo který se mezi nás nedávno dostal. Žádáme je, aby ne</w:t>
      </w:r>
      <w:r>
        <w:softHyphen/>
        <w:t>posuzovali obilí podle plev, které tak vysoko vzlétají vzhůru, když zrno zůstáv</w:t>
      </w:r>
      <w:r>
        <w:t>á ležet. Není pochyby o tom, který postoj lépe odpovídá závazku ochrany naší ná</w:t>
      </w:r>
      <w:r>
        <w:softHyphen/>
        <w:t>rodní svébytnosti, jejž Německo 15. března převzalo.</w:t>
      </w:r>
    </w:p>
    <w:p w:rsidR="00500724" w:rsidRDefault="00F30FB8">
      <w:pPr>
        <w:pStyle w:val="Zkladntext100"/>
        <w:shd w:val="clear" w:color="auto" w:fill="auto"/>
        <w:spacing w:after="80" w:line="240" w:lineRule="auto"/>
        <w:ind w:firstLine="0"/>
        <w:jc w:val="center"/>
        <w:rPr>
          <w:sz w:val="19"/>
          <w:szCs w:val="19"/>
        </w:rPr>
      </w:pPr>
      <w:r>
        <w:rPr>
          <w:b/>
          <w:bCs/>
          <w:sz w:val="19"/>
          <w:szCs w:val="19"/>
        </w:rPr>
        <w:t>©</w:t>
      </w:r>
    </w:p>
    <w:p w:rsidR="00500724" w:rsidRDefault="00F30FB8">
      <w:pPr>
        <w:pStyle w:val="Zkladntext30"/>
        <w:shd w:val="clear" w:color="auto" w:fill="auto"/>
        <w:spacing w:line="221" w:lineRule="auto"/>
      </w:pPr>
      <w:r>
        <w:t>Musili-li jsme zde nedávno ještě obšírně vykládat potřebu strany Národní jednoty, sotva je toho nyní třeba, jde-li o Náro</w:t>
      </w:r>
      <w:r>
        <w:t>dní souručenství. Všichni Češi bez dlouhých výkladů instinktivně pocítili už 15. března, že všechny bývalé stranické rozdíly pozbyly všeho smyslu a že naše politika byla rázem redukována na minimum, které neopravňuje existenci žádných sku</w:t>
      </w:r>
      <w:r>
        <w:softHyphen/>
        <w:t xml:space="preserve">pin. Jiný postoj </w:t>
      </w:r>
      <w:r>
        <w:t>než postoj jednotného národa, který se dívá do očí kvačící historii, by byl v těchto do</w:t>
      </w:r>
      <w:r>
        <w:softHyphen/>
        <w:t>bách absurdní — i neomluvitelný. Jaká pak musí být jednotná česká politika, o tom se všichni poctiví Češi nyní snadno dohodnou.</w:t>
      </w:r>
    </w:p>
    <w:p w:rsidR="00500724" w:rsidRDefault="00F30FB8">
      <w:pPr>
        <w:pStyle w:val="Zkladntext30"/>
        <w:shd w:val="clear" w:color="auto" w:fill="auto"/>
        <w:tabs>
          <w:tab w:val="left" w:pos="3965"/>
        </w:tabs>
        <w:spacing w:line="226" w:lineRule="auto"/>
        <w:rPr>
          <w:sz w:val="19"/>
          <w:szCs w:val="19"/>
        </w:rPr>
      </w:pPr>
      <w:r>
        <w:t xml:space="preserve">Ve věcech ostatních budeme si nyní více než dříve musit zvykat na onu činnost, které Masaryk říkával politika nepolitická, na ono sbírání sil </w:t>
      </w:r>
      <w:r>
        <w:rPr>
          <w:i/>
          <w:iCs/>
        </w:rPr>
        <w:t>a</w:t>
      </w:r>
      <w:r>
        <w:t xml:space="preserve"> sileček, na něž je odkázán každý malý národ v obtížném postavení. Pravé vlastenectví není dnes ani ve zpívání an</w:t>
      </w:r>
      <w:r>
        <w:t>i v po</w:t>
      </w:r>
      <w:r>
        <w:softHyphen/>
        <w:t>řádání schůzí, nýbrž v tom, aby každý na svém místě nejlépe pracoval. Kvalitou práce se nakonec roz</w:t>
      </w:r>
      <w:r>
        <w:softHyphen/>
        <w:t>hodne náš osud.</w:t>
      </w:r>
      <w:r>
        <w:tab/>
        <w:t>T*</w:t>
      </w:r>
      <w:r>
        <w:rPr>
          <w:vertAlign w:val="superscript"/>
        </w:rPr>
        <w:t>1</w:t>
      </w:r>
      <w:r>
        <w:t xml:space="preserve">. </w:t>
      </w:r>
      <w:r>
        <w:rPr>
          <w:i/>
          <w:iCs/>
          <w:sz w:val="19"/>
          <w:szCs w:val="19"/>
        </w:rPr>
        <w:t>Peroutka</w:t>
      </w:r>
    </w:p>
    <w:p w:rsidR="00500724" w:rsidRDefault="00F30FB8">
      <w:pPr>
        <w:pStyle w:val="Jin0"/>
        <w:shd w:val="clear" w:color="auto" w:fill="auto"/>
        <w:spacing w:after="320"/>
        <w:ind w:firstLine="0"/>
        <w:jc w:val="left"/>
        <w:rPr>
          <w:sz w:val="44"/>
          <w:szCs w:val="44"/>
        </w:rPr>
      </w:pPr>
      <w:r>
        <w:rPr>
          <w:b/>
          <w:bCs/>
          <w:sz w:val="44"/>
          <w:szCs w:val="44"/>
          <w:u w:val="single"/>
        </w:rPr>
        <w:t>poznámky</w:t>
      </w:r>
    </w:p>
    <w:p w:rsidR="00500724" w:rsidRDefault="00F30FB8">
      <w:pPr>
        <w:pStyle w:val="Zkladntext30"/>
        <w:shd w:val="clear" w:color="auto" w:fill="auto"/>
        <w:spacing w:after="100" w:line="178" w:lineRule="auto"/>
        <w:ind w:firstLine="0"/>
        <w:jc w:val="center"/>
        <w:rPr>
          <w:sz w:val="20"/>
          <w:szCs w:val="20"/>
        </w:rPr>
      </w:pPr>
      <w:r>
        <w:rPr>
          <w:b/>
          <w:bCs/>
          <w:sz w:val="20"/>
          <w:szCs w:val="20"/>
        </w:rPr>
        <w:t>Rozloučení se Slovenskem</w:t>
      </w:r>
    </w:p>
    <w:p w:rsidR="00500724" w:rsidRDefault="00F30FB8">
      <w:pPr>
        <w:pStyle w:val="Zkladntext100"/>
        <w:shd w:val="clear" w:color="auto" w:fill="auto"/>
        <w:spacing w:line="187" w:lineRule="auto"/>
        <w:ind w:firstLine="300"/>
        <w:rPr>
          <w:sz w:val="19"/>
          <w:szCs w:val="19"/>
        </w:rPr>
      </w:pPr>
      <w:r>
        <w:rPr>
          <w:b/>
          <w:bCs/>
          <w:sz w:val="19"/>
          <w:szCs w:val="19"/>
        </w:rPr>
        <w:t xml:space="preserve">Rozloučivše se nyní, jak se stalo hrou osudu, poměrů i lidí nezbytným, se Slováky, </w:t>
      </w:r>
      <w:r>
        <w:rPr>
          <w:b/>
          <w:bCs/>
          <w:sz w:val="19"/>
          <w:szCs w:val="19"/>
        </w:rPr>
        <w:t>přejeme jim přese vše, co se dělo, aby svého rozhodnutí odloučiti se od nás nikdy ne</w:t>
      </w:r>
      <w:r>
        <w:rPr>
          <w:b/>
          <w:bCs/>
          <w:sz w:val="19"/>
          <w:szCs w:val="19"/>
        </w:rPr>
        <w:softHyphen/>
        <w:t>musili litovat jako národ; aby jejich prudké vlastenectví skutečně vedlo k posílení jejich vlasti. Ptá-li se někdo, proč tolik pokory a jak je možno dosud chovati tak blah</w:t>
      </w:r>
      <w:r>
        <w:rPr>
          <w:b/>
          <w:bCs/>
          <w:sz w:val="19"/>
          <w:szCs w:val="19"/>
        </w:rPr>
        <w:t>ovolné city, nechť přijme tuto odpověď: Je těžko najednou přestat pokládat Slováky za část sebe sama; je nesnadno přát ne- štěstí mladšímu bratru, který se proti naší vůli vydal do světa, i když je pravda, že v poslední době jsme více vídali jeho zaťatou p</w:t>
      </w:r>
      <w:r>
        <w:rPr>
          <w:b/>
          <w:bCs/>
          <w:sz w:val="19"/>
          <w:szCs w:val="19"/>
        </w:rPr>
        <w:t>ěst než jeho úsměv. Snad jednou zase ožijí — očištěny zkušeností — tendence česko-slovenské vzájem</w:t>
      </w:r>
      <w:r>
        <w:rPr>
          <w:b/>
          <w:bCs/>
          <w:sz w:val="19"/>
          <w:szCs w:val="19"/>
        </w:rPr>
        <w:softHyphen/>
        <w:t>nosti. Ať jakkoliv vzdálená je tato budoucnost, ať jakkoliv nepravděpodobnou se zdá nyní, muž moudrý bude na ní myslit a nebude zahrazovat její příchod prudk</w:t>
      </w:r>
      <w:r>
        <w:rPr>
          <w:b/>
          <w:bCs/>
          <w:sz w:val="19"/>
          <w:szCs w:val="19"/>
        </w:rPr>
        <w:t>ými slovy, která ostatně nemohou míti více účinku, než že způsobí trochu lomozu.</w:t>
      </w:r>
    </w:p>
    <w:p w:rsidR="00500724" w:rsidRDefault="00F30FB8">
      <w:pPr>
        <w:pStyle w:val="Zkladntext100"/>
        <w:shd w:val="clear" w:color="auto" w:fill="auto"/>
        <w:spacing w:line="187" w:lineRule="auto"/>
        <w:ind w:firstLine="300"/>
        <w:rPr>
          <w:sz w:val="19"/>
          <w:szCs w:val="19"/>
        </w:rPr>
      </w:pPr>
      <w:r>
        <w:rPr>
          <w:b/>
          <w:bCs/>
          <w:sz w:val="19"/>
          <w:szCs w:val="19"/>
        </w:rPr>
        <w:t>Nyní se snad lépe pochopí, proč jsme se tak zatvrzele varovali v minulých šesti měsících druhé republiky při- lévat oheň do slovenského ohně, který stejně už dost vy</w:t>
      </w:r>
      <w:r>
        <w:rPr>
          <w:b/>
          <w:bCs/>
          <w:sz w:val="19"/>
          <w:szCs w:val="19"/>
        </w:rPr>
        <w:softHyphen/>
        <w:t>soko šleh</w:t>
      </w:r>
      <w:r>
        <w:rPr>
          <w:b/>
          <w:bCs/>
          <w:sz w:val="19"/>
          <w:szCs w:val="19"/>
        </w:rPr>
        <w:t>al; proč jsme se zdráhali na hrubé slovo ze Slo</w:t>
      </w:r>
      <w:r>
        <w:rPr>
          <w:b/>
          <w:bCs/>
          <w:sz w:val="19"/>
          <w:szCs w:val="19"/>
        </w:rPr>
        <w:softHyphen/>
        <w:t>venska odpovídat hrubým slovem; proč jsme se zdráhali uvěřit, že by slovenský problém se dal vyřešit sebe různěj</w:t>
      </w:r>
      <w:r>
        <w:rPr>
          <w:b/>
          <w:bCs/>
          <w:sz w:val="19"/>
          <w:szCs w:val="19"/>
        </w:rPr>
        <w:softHyphen/>
        <w:t>ším způsobem psaní českých novin; proč jsme nechtěli vy</w:t>
      </w:r>
      <w:r>
        <w:rPr>
          <w:b/>
          <w:bCs/>
          <w:sz w:val="19"/>
          <w:szCs w:val="19"/>
        </w:rPr>
        <w:softHyphen/>
        <w:t>dat heslo »rána za ránu«. Někteří lidé,</w:t>
      </w:r>
      <w:r>
        <w:rPr>
          <w:b/>
          <w:bCs/>
          <w:sz w:val="19"/>
          <w:szCs w:val="19"/>
        </w:rPr>
        <w:t xml:space="preserve"> kteří často dopiso</w:t>
      </w:r>
      <w:r>
        <w:rPr>
          <w:b/>
          <w:bCs/>
          <w:sz w:val="19"/>
          <w:szCs w:val="19"/>
        </w:rPr>
        <w:softHyphen/>
        <w:t>vali do českých redakcí, nepochopili, že 6. října Slováci se stali svrchovanými pány svého osudu a že není možno po</w:t>
      </w:r>
      <w:r>
        <w:rPr>
          <w:b/>
          <w:bCs/>
          <w:sz w:val="19"/>
          <w:szCs w:val="19"/>
        </w:rPr>
        <w:softHyphen/>
        <w:t>hnout je něčím jiným, než důkazy naší dobré vůle. Pravda, nepovedlo se to. Ale přes to nebylo jiného způsobu. Každý způs</w:t>
      </w:r>
      <w:r>
        <w:rPr>
          <w:b/>
          <w:bCs/>
          <w:sz w:val="19"/>
          <w:szCs w:val="19"/>
        </w:rPr>
        <w:t>ob jiný by byl vývoj jen urychlil — ostatně urychlil vskutku. Autonomní Slovensko ve středoevropském pro</w:t>
      </w:r>
      <w:r>
        <w:rPr>
          <w:b/>
          <w:bCs/>
          <w:sz w:val="19"/>
          <w:szCs w:val="19"/>
        </w:rPr>
        <w:softHyphen/>
        <w:t>storu, ve kterém německá vůle tolik nabyla na váze, nebylo dostupno žádným jiným našim metodám než metodě dobré vůle. Jestliže cesta od srdce k srdci m</w:t>
      </w:r>
      <w:r>
        <w:rPr>
          <w:b/>
          <w:bCs/>
          <w:sz w:val="19"/>
          <w:szCs w:val="19"/>
        </w:rPr>
        <w:t>ezi námi a Slováky zarostla, musilo nakonec dojiti k výsledku takovému. Nikdo nechť nevěří, že jakýkoliv mocenský způsob by byl schopen dospěti k výsledkům jiným. Byl by přivodil toliko jiné, ne</w:t>
      </w:r>
      <w:r>
        <w:rPr>
          <w:b/>
          <w:bCs/>
          <w:sz w:val="19"/>
          <w:szCs w:val="19"/>
        </w:rPr>
        <w:softHyphen/>
        <w:t>pochybně tragičtější episody na této cestě. Nikdo nechť ne</w:t>
      </w:r>
      <w:r>
        <w:rPr>
          <w:b/>
          <w:bCs/>
          <w:sz w:val="19"/>
          <w:szCs w:val="19"/>
        </w:rPr>
        <w:softHyphen/>
        <w:t>vy</w:t>
      </w:r>
      <w:r>
        <w:rPr>
          <w:b/>
          <w:bCs/>
          <w:sz w:val="19"/>
          <w:szCs w:val="19"/>
        </w:rPr>
        <w:t>čítá ani sobě, ani jiným, že jsme nezkusili více. Nebylo pro nás žádného »více«. O tom se věru každý mohl poučit právě z historie posledních dnů.</w:t>
      </w:r>
    </w:p>
    <w:p w:rsidR="00500724" w:rsidRDefault="00F30FB8">
      <w:pPr>
        <w:pStyle w:val="Zkladntext100"/>
        <w:shd w:val="clear" w:color="auto" w:fill="auto"/>
        <w:tabs>
          <w:tab w:val="left" w:pos="4411"/>
        </w:tabs>
        <w:spacing w:after="200" w:line="187" w:lineRule="auto"/>
        <w:ind w:firstLine="300"/>
        <w:rPr>
          <w:sz w:val="20"/>
          <w:szCs w:val="20"/>
        </w:rPr>
      </w:pPr>
      <w:r>
        <w:rPr>
          <w:b/>
          <w:bCs/>
          <w:sz w:val="19"/>
          <w:szCs w:val="19"/>
        </w:rPr>
        <w:t>Jedině nové zkušenosti mohou očistit slovenský nacio</w:t>
      </w:r>
      <w:r>
        <w:rPr>
          <w:b/>
          <w:bCs/>
          <w:sz w:val="19"/>
          <w:szCs w:val="19"/>
        </w:rPr>
        <w:softHyphen/>
        <w:t>nalismus od jeho nedůtklivosti, která už mezi Čechy a Slo</w:t>
      </w:r>
      <w:r>
        <w:rPr>
          <w:b/>
          <w:bCs/>
          <w:sz w:val="19"/>
          <w:szCs w:val="19"/>
        </w:rPr>
        <w:softHyphen/>
        <w:t>váky ani poměr »já pán, ty pán« nesnášela. Znovu musíme přáti Slovákům, aby jejich nacionalismus, který měl po</w:t>
      </w:r>
      <w:r>
        <w:rPr>
          <w:b/>
          <w:bCs/>
          <w:sz w:val="19"/>
          <w:szCs w:val="19"/>
        </w:rPr>
        <w:softHyphen/>
        <w:t>kožku tak jemnou a citlivou, že nesnášela ani českého do</w:t>
      </w:r>
      <w:r>
        <w:rPr>
          <w:b/>
          <w:bCs/>
          <w:sz w:val="19"/>
          <w:szCs w:val="19"/>
        </w:rPr>
        <w:softHyphen/>
        <w:t xml:space="preserve">teku, dostal to, čeho si přeje a pro co tolik riskoval. Snad slovenské čítanky nebudou </w:t>
      </w:r>
      <w:r>
        <w:rPr>
          <w:b/>
          <w:bCs/>
          <w:sz w:val="19"/>
          <w:szCs w:val="19"/>
        </w:rPr>
        <w:t>tak upraveny, aby z nich zmizel sebevědomý výrok maďarského ministerského předsedy; z roku 1914: »Slovenského národa není.« A snad nebudou slovenské čítanky dále tak upraveny, aby z nich bylo vy</w:t>
      </w:r>
      <w:r>
        <w:rPr>
          <w:b/>
          <w:bCs/>
          <w:sz w:val="19"/>
          <w:szCs w:val="19"/>
        </w:rPr>
        <w:softHyphen/>
        <w:t>loučeno zjištění, že probuzení Slovenska k plnému a buj</w:t>
      </w:r>
      <w:r>
        <w:rPr>
          <w:b/>
          <w:bCs/>
          <w:sz w:val="19"/>
          <w:szCs w:val="19"/>
        </w:rPr>
        <w:softHyphen/>
        <w:t xml:space="preserve">nému </w:t>
      </w:r>
      <w:r>
        <w:rPr>
          <w:b/>
          <w:bCs/>
          <w:sz w:val="19"/>
          <w:szCs w:val="19"/>
        </w:rPr>
        <w:t>národnímu životu stalo se za dvacet let života ve společném státě s Čechy. Loučíce se se Slováky, nemůžeme je žádat už skoro ani o nic jiného, než aby tuto vzpomínku v sobě nezahlazovali násilně.</w:t>
      </w:r>
      <w:r>
        <w:rPr>
          <w:b/>
          <w:bCs/>
          <w:sz w:val="19"/>
          <w:szCs w:val="19"/>
        </w:rPr>
        <w:tab/>
      </w:r>
      <w:r>
        <w:rPr>
          <w:i/>
          <w:iCs/>
          <w:sz w:val="20"/>
          <w:szCs w:val="20"/>
        </w:rPr>
        <w:t>—-fp—</w:t>
      </w:r>
    </w:p>
    <w:p w:rsidR="00500724" w:rsidRDefault="00F30FB8">
      <w:pPr>
        <w:pStyle w:val="Zkladntext30"/>
        <w:shd w:val="clear" w:color="auto" w:fill="auto"/>
        <w:spacing w:after="80" w:line="178" w:lineRule="auto"/>
        <w:ind w:firstLine="0"/>
        <w:jc w:val="center"/>
        <w:rPr>
          <w:sz w:val="20"/>
          <w:szCs w:val="20"/>
        </w:rPr>
      </w:pPr>
      <w:r>
        <w:rPr>
          <w:b/>
          <w:bCs/>
          <w:sz w:val="20"/>
          <w:szCs w:val="20"/>
        </w:rPr>
        <w:t>Celní poměr mezi Protektorátem a Říší</w:t>
      </w:r>
    </w:p>
    <w:p w:rsidR="00500724" w:rsidRDefault="00F30FB8">
      <w:pPr>
        <w:pStyle w:val="Zkladntext100"/>
        <w:shd w:val="clear" w:color="auto" w:fill="auto"/>
        <w:spacing w:line="187" w:lineRule="auto"/>
        <w:ind w:firstLine="300"/>
        <w:rPr>
          <w:sz w:val="19"/>
          <w:szCs w:val="19"/>
        </w:rPr>
      </w:pPr>
      <w:r>
        <w:rPr>
          <w:b/>
          <w:bCs/>
          <w:sz w:val="19"/>
          <w:szCs w:val="19"/>
        </w:rPr>
        <w:t>Dnem 1. dubna 19</w:t>
      </w:r>
      <w:r>
        <w:rPr>
          <w:b/>
          <w:bCs/>
          <w:sz w:val="19"/>
          <w:szCs w:val="19"/>
        </w:rPr>
        <w:t>39 splývá celní území sudetské a bý</w:t>
      </w:r>
      <w:r>
        <w:rPr>
          <w:b/>
          <w:bCs/>
          <w:sz w:val="19"/>
          <w:szCs w:val="19"/>
        </w:rPr>
        <w:softHyphen/>
        <w:t>valého státu rakouského s celním územím říšskoněmec</w:t>
      </w:r>
      <w:r>
        <w:rPr>
          <w:b/>
          <w:bCs/>
          <w:sz w:val="19"/>
          <w:szCs w:val="19"/>
        </w:rPr>
        <w:softHyphen/>
        <w:t xml:space="preserve">kým. To znamená, že nebude již mezi těmito oblastmi, jež byly připojeny k Německu během loňského roku, žádných celních hradeb, kromě snad evidenční statistické služby. </w:t>
      </w:r>
      <w:r>
        <w:rPr>
          <w:b/>
          <w:bCs/>
          <w:sz w:val="19"/>
          <w:szCs w:val="19"/>
        </w:rPr>
        <w:t xml:space="preserve">Vývoj šel tedy zde dosti rychle, ale přece jen postupně, aby se mohly nové země alespoň poněkud vzájemně přizpůsobit. Čechy a Morava, tvořící území Protektorátu, jsou sice již od 15. března 1939 zahrnuty do rámce celní svrchovanosti velkoněmecké říše, ale </w:t>
      </w:r>
      <w:r>
        <w:rPr>
          <w:b/>
          <w:bCs/>
          <w:sz w:val="19"/>
          <w:szCs w:val="19"/>
        </w:rPr>
        <w:t>zůstanou zatím i nadále oddělený celními hranicemi od vlastních zemí velkoněmecké říše.</w:t>
      </w:r>
    </w:p>
    <w:p w:rsidR="00500724" w:rsidRDefault="00F30FB8">
      <w:pPr>
        <w:pStyle w:val="Zkladntext100"/>
        <w:shd w:val="clear" w:color="auto" w:fill="auto"/>
        <w:spacing w:after="40" w:line="190" w:lineRule="auto"/>
        <w:ind w:firstLine="300"/>
        <w:rPr>
          <w:sz w:val="19"/>
          <w:szCs w:val="19"/>
        </w:rPr>
      </w:pPr>
      <w:r>
        <w:rPr>
          <w:b/>
          <w:bCs/>
          <w:sz w:val="19"/>
          <w:szCs w:val="19"/>
        </w:rPr>
        <w:t>To znamená, že ty hraniční čáry, kde byla stanovena celní hranice mnichovskými úmluvami, zůstávají pod cel</w:t>
      </w:r>
      <w:r>
        <w:rPr>
          <w:b/>
          <w:bCs/>
          <w:sz w:val="19"/>
          <w:szCs w:val="19"/>
        </w:rPr>
        <w:softHyphen/>
        <w:t>ním dozorem v obou směrech, jak pro export a import z oblastí</w:t>
      </w:r>
      <w:r>
        <w:rPr>
          <w:b/>
          <w:bCs/>
          <w:sz w:val="19"/>
          <w:szCs w:val="19"/>
        </w:rPr>
        <w:t xml:space="preserve"> Protektorátu, tak i pro import a export z oblasti německé říše. Budou se dále uplatňovat celní sazby a před</w:t>
      </w:r>
      <w:r>
        <w:rPr>
          <w:b/>
          <w:bCs/>
          <w:sz w:val="19"/>
          <w:szCs w:val="19"/>
        </w:rPr>
        <w:softHyphen/>
        <w:t>pisy na zboží, přecházející tyto hranice, s výjimkou sudet</w:t>
      </w:r>
      <w:r>
        <w:rPr>
          <w:b/>
          <w:bCs/>
          <w:sz w:val="19"/>
          <w:szCs w:val="19"/>
        </w:rPr>
        <w:softHyphen/>
        <w:t>ského území, odkud je dovoz k nám a od nás do sudetského území l nadále bezcelný, jako b</w:t>
      </w:r>
      <w:r>
        <w:rPr>
          <w:b/>
          <w:bCs/>
          <w:sz w:val="19"/>
          <w:szCs w:val="19"/>
        </w:rPr>
        <w:t xml:space="preserve">yl po Mnichově, ovšem </w:t>
      </w:r>
      <w:r>
        <w:rPr>
          <w:b/>
          <w:bCs/>
          <w:sz w:val="20"/>
          <w:szCs w:val="20"/>
        </w:rPr>
        <w:t xml:space="preserve">S </w:t>
      </w:r>
      <w:r>
        <w:rPr>
          <w:b/>
          <w:bCs/>
          <w:sz w:val="19"/>
          <w:szCs w:val="19"/>
        </w:rPr>
        <w:t>tím, že se to týká pouze exportovaného zboží od nás urče</w:t>
      </w:r>
      <w:r>
        <w:rPr>
          <w:b/>
          <w:bCs/>
          <w:sz w:val="19"/>
          <w:szCs w:val="19"/>
        </w:rPr>
        <w:softHyphen/>
        <w:t xml:space="preserve">ného do sudetského území a sudetského zboží, určeného </w:t>
      </w:r>
      <w:r>
        <w:rPr>
          <w:b/>
          <w:bCs/>
          <w:sz w:val="20"/>
          <w:szCs w:val="20"/>
        </w:rPr>
        <w:t xml:space="preserve">k </w:t>
      </w:r>
      <w:r>
        <w:rPr>
          <w:b/>
          <w:bCs/>
          <w:sz w:val="19"/>
          <w:szCs w:val="19"/>
        </w:rPr>
        <w:t>nám a jen v množstvích, jaká byla před změnou hranic dohodou v Mnichově.</w:t>
      </w:r>
    </w:p>
    <w:p w:rsidR="00500724" w:rsidRDefault="00F30FB8">
      <w:pPr>
        <w:pStyle w:val="Zkladntext100"/>
        <w:shd w:val="clear" w:color="auto" w:fill="auto"/>
        <w:tabs>
          <w:tab w:val="left" w:pos="4692"/>
        </w:tabs>
        <w:spacing w:after="160" w:line="190" w:lineRule="auto"/>
        <w:ind w:firstLine="300"/>
        <w:rPr>
          <w:sz w:val="20"/>
          <w:szCs w:val="20"/>
        </w:rPr>
      </w:pPr>
      <w:r>
        <w:rPr>
          <w:b/>
          <w:bCs/>
          <w:sz w:val="19"/>
          <w:szCs w:val="19"/>
        </w:rPr>
        <w:t>Jinými slovy, bezcelný je jen obchod česko-sud</w:t>
      </w:r>
      <w:r>
        <w:rPr>
          <w:b/>
          <w:bCs/>
          <w:sz w:val="19"/>
          <w:szCs w:val="19"/>
        </w:rPr>
        <w:t>etský na podkladě ancienity, kdežto všechno zboží nad toto množ</w:t>
      </w:r>
      <w:r>
        <w:rPr>
          <w:b/>
          <w:bCs/>
          <w:sz w:val="19"/>
          <w:szCs w:val="19"/>
        </w:rPr>
        <w:softHyphen/>
        <w:t>ství podléhá clu. Je to rozumné opatření, protože náhlé zru</w:t>
      </w:r>
      <w:r>
        <w:rPr>
          <w:b/>
          <w:bCs/>
          <w:sz w:val="19"/>
          <w:szCs w:val="19"/>
        </w:rPr>
        <w:softHyphen/>
        <w:t xml:space="preserve">šení celních hranic by vedlo zcela určitě ke škodám jak </w:t>
      </w:r>
      <w:r>
        <w:rPr>
          <w:b/>
          <w:bCs/>
          <w:sz w:val="20"/>
          <w:szCs w:val="20"/>
        </w:rPr>
        <w:t xml:space="preserve">v </w:t>
      </w:r>
      <w:r>
        <w:rPr>
          <w:b/>
          <w:bCs/>
          <w:sz w:val="19"/>
          <w:szCs w:val="19"/>
        </w:rPr>
        <w:t>našem, tak i v německém hospodářství, jimž je takto možno se uvarovat!. Uv</w:t>
      </w:r>
      <w:r>
        <w:rPr>
          <w:b/>
          <w:bCs/>
          <w:sz w:val="19"/>
          <w:szCs w:val="19"/>
        </w:rPr>
        <w:t>olňování patrně nastane i zde po</w:t>
      </w:r>
      <w:r>
        <w:rPr>
          <w:b/>
          <w:bCs/>
          <w:sz w:val="19"/>
          <w:szCs w:val="19"/>
        </w:rPr>
        <w:softHyphen/>
        <w:t>stupně. Jediná výjimka je u zemědělských výrobků, jejichž import bude upraven říšskou vládou. Vládní nařízení z 24. února 1939, vydané pražskou vládou, zůstává tedy 1 na</w:t>
      </w:r>
      <w:r>
        <w:rPr>
          <w:b/>
          <w:bCs/>
          <w:sz w:val="19"/>
          <w:szCs w:val="19"/>
        </w:rPr>
        <w:softHyphen/>
        <w:t>dále v platnosti.</w:t>
      </w:r>
      <w:r>
        <w:rPr>
          <w:b/>
          <w:bCs/>
          <w:sz w:val="19"/>
          <w:szCs w:val="19"/>
        </w:rPr>
        <w:tab/>
      </w:r>
      <w:r>
        <w:rPr>
          <w:b/>
          <w:bCs/>
          <w:i/>
          <w:iCs/>
          <w:sz w:val="20"/>
          <w:szCs w:val="20"/>
        </w:rPr>
        <w:t>Cis.</w:t>
      </w:r>
    </w:p>
    <w:p w:rsidR="00500724" w:rsidRDefault="00F30FB8">
      <w:pPr>
        <w:pStyle w:val="Zkladntext30"/>
        <w:shd w:val="clear" w:color="auto" w:fill="auto"/>
        <w:spacing w:after="80" w:line="178" w:lineRule="auto"/>
        <w:ind w:firstLine="0"/>
        <w:jc w:val="center"/>
        <w:rPr>
          <w:sz w:val="20"/>
          <w:szCs w:val="20"/>
        </w:rPr>
      </w:pPr>
      <w:r>
        <w:rPr>
          <w:b/>
          <w:bCs/>
          <w:sz w:val="20"/>
          <w:szCs w:val="20"/>
        </w:rPr>
        <w:t>Protektorát a německo-rumunská</w:t>
      </w:r>
      <w:r>
        <w:rPr>
          <w:b/>
          <w:bCs/>
          <w:sz w:val="20"/>
          <w:szCs w:val="20"/>
        </w:rPr>
        <w:t xml:space="preserve"> smlouva</w:t>
      </w:r>
    </w:p>
    <w:p w:rsidR="00500724" w:rsidRDefault="00F30FB8">
      <w:pPr>
        <w:pStyle w:val="Zkladntext100"/>
        <w:shd w:val="clear" w:color="auto" w:fill="auto"/>
        <w:spacing w:after="80" w:line="187" w:lineRule="auto"/>
        <w:ind w:firstLine="300"/>
        <w:rPr>
          <w:sz w:val="19"/>
          <w:szCs w:val="19"/>
        </w:rPr>
      </w:pPr>
      <w:r>
        <w:rPr>
          <w:b/>
          <w:bCs/>
          <w:sz w:val="19"/>
          <w:szCs w:val="19"/>
        </w:rPr>
        <w:t>Pětiletá obchodně-politická smlouva, která byla uza</w:t>
      </w:r>
      <w:r>
        <w:rPr>
          <w:b/>
          <w:bCs/>
          <w:sz w:val="19"/>
          <w:szCs w:val="19"/>
        </w:rPr>
        <w:softHyphen/>
        <w:t>vřena mezi německou říší a Rumunskem, vyvolala evrop</w:t>
      </w:r>
      <w:r>
        <w:rPr>
          <w:b/>
          <w:bCs/>
          <w:sz w:val="19"/>
          <w:szCs w:val="19"/>
        </w:rPr>
        <w:softHyphen/>
        <w:t>skou sensaci, především také proto, že Anglie, která od léta slibovala poslat do Rumunska obchodně-politickou de</w:t>
      </w:r>
      <w:r>
        <w:rPr>
          <w:b/>
          <w:bCs/>
          <w:sz w:val="19"/>
          <w:szCs w:val="19"/>
        </w:rPr>
        <w:softHyphen/>
        <w:t>legaci, ji poslala tak »včas«</w:t>
      </w:r>
      <w:r>
        <w:rPr>
          <w:b/>
          <w:bCs/>
          <w:sz w:val="19"/>
          <w:szCs w:val="19"/>
        </w:rPr>
        <w:t xml:space="preserve">, že Angličané dojeli den po podpisu smlouvy Rumunska s Německem. Ale těmito věcmi nemáme ani chuť, ani možnost se zabývat. Záleží nám jen na tom, jak se utváří postavení národního hospodářství </w:t>
      </w:r>
      <w:r>
        <w:rPr>
          <w:b/>
          <w:bCs/>
          <w:sz w:val="20"/>
          <w:szCs w:val="20"/>
        </w:rPr>
        <w:t xml:space="preserve">v </w:t>
      </w:r>
      <w:r>
        <w:rPr>
          <w:b/>
          <w:bCs/>
          <w:sz w:val="19"/>
          <w:szCs w:val="19"/>
        </w:rPr>
        <w:t>Čechách a na Moravě po této smlouvě.</w:t>
      </w:r>
    </w:p>
    <w:p w:rsidR="00500724" w:rsidRDefault="00F30FB8">
      <w:pPr>
        <w:pStyle w:val="Zkladntext100"/>
        <w:shd w:val="clear" w:color="auto" w:fill="auto"/>
        <w:spacing w:after="40" w:line="187" w:lineRule="auto"/>
        <w:ind w:firstLine="300"/>
        <w:rPr>
          <w:sz w:val="19"/>
          <w:szCs w:val="19"/>
        </w:rPr>
      </w:pPr>
      <w:r>
        <w:rPr>
          <w:b/>
          <w:bCs/>
          <w:sz w:val="19"/>
          <w:szCs w:val="19"/>
        </w:rPr>
        <w:t xml:space="preserve">Rumunsko, které je </w:t>
      </w:r>
      <w:r>
        <w:rPr>
          <w:b/>
          <w:bCs/>
          <w:sz w:val="19"/>
          <w:szCs w:val="19"/>
        </w:rPr>
        <w:t>zhruba o polovinu menší německé říše a má jen čtvrtinu jejího počtu obyvatel, mělo největší část svých obchodních styků právě s Německem a naší bý</w:t>
      </w:r>
      <w:r>
        <w:rPr>
          <w:b/>
          <w:bCs/>
          <w:sz w:val="19"/>
          <w:szCs w:val="19"/>
        </w:rPr>
        <w:softHyphen/>
        <w:t>valou republikou. Loni dovezlo z nynějšího Velkého Ně</w:t>
      </w:r>
      <w:r>
        <w:rPr>
          <w:b/>
          <w:bCs/>
          <w:sz w:val="19"/>
          <w:szCs w:val="19"/>
        </w:rPr>
        <w:softHyphen/>
        <w:t>mecka, to jest z německé říše a z bývalé čs. republiky,</w:t>
      </w:r>
      <w:r>
        <w:rPr>
          <w:b/>
          <w:bCs/>
          <w:sz w:val="19"/>
          <w:szCs w:val="19"/>
        </w:rPr>
        <w:t xml:space="preserve"> plnou polovinu svého importu a vyvezlo do tohoto území, tvořícího teď formálně celní celek, přes třetinu svého exportu. Do Německa vyvezlo za 5.7 miliardy lei a dovezlo z něj za 6.9 miliardy lei, do bývalého Československa vy</w:t>
      </w:r>
      <w:r>
        <w:rPr>
          <w:b/>
          <w:bCs/>
          <w:sz w:val="19"/>
          <w:szCs w:val="19"/>
        </w:rPr>
        <w:softHyphen/>
        <w:t>vezlo za 2.1 miliardy lei a d</w:t>
      </w:r>
      <w:r>
        <w:rPr>
          <w:b/>
          <w:bCs/>
          <w:sz w:val="19"/>
          <w:szCs w:val="19"/>
        </w:rPr>
        <w:t>ovezlo za skoro stejnou částku, čili souhrnem činil export do nynějšího velkoněmeckého celního území 7 a tři čtvrti miliardy lei ve zboží a import 9 miliard lei. Mluví-li se v této souvislosti o nabídkách Anglie, jež přišly tak pozdě, pak třeba poznamenat,</w:t>
      </w:r>
      <w:r>
        <w:rPr>
          <w:b/>
          <w:bCs/>
          <w:sz w:val="19"/>
          <w:szCs w:val="19"/>
        </w:rPr>
        <w:t xml:space="preserve"> že obrat obchodní bilance mezi Anglií a Rumunskem činil jen jednu desetinu rumunského zahraničního obchodu. Je tedy zřejmé, kde byl větší zájem i s hlediska ryze hospodář</w:t>
      </w:r>
      <w:r>
        <w:rPr>
          <w:b/>
          <w:bCs/>
          <w:sz w:val="19"/>
          <w:szCs w:val="19"/>
        </w:rPr>
        <w:softHyphen/>
        <w:t>ského.</w:t>
      </w:r>
    </w:p>
    <w:p w:rsidR="00500724" w:rsidRDefault="00F30FB8">
      <w:pPr>
        <w:pStyle w:val="Zkladntext100"/>
        <w:shd w:val="clear" w:color="auto" w:fill="auto"/>
        <w:spacing w:after="40" w:line="187" w:lineRule="auto"/>
        <w:ind w:firstLine="300"/>
        <w:rPr>
          <w:sz w:val="19"/>
          <w:szCs w:val="19"/>
        </w:rPr>
      </w:pPr>
      <w:r>
        <w:rPr>
          <w:b/>
          <w:bCs/>
          <w:sz w:val="19"/>
          <w:szCs w:val="19"/>
        </w:rPr>
        <w:t>K tomu nutno připojit, že potřeba nafty pro velko- německé území činí ročně a</w:t>
      </w:r>
      <w:r>
        <w:rPr>
          <w:b/>
          <w:bCs/>
          <w:sz w:val="19"/>
          <w:szCs w:val="19"/>
        </w:rPr>
        <w:t>si 5.5 milionu tun, kdežto ru</w:t>
      </w:r>
      <w:r>
        <w:rPr>
          <w:b/>
          <w:bCs/>
          <w:sz w:val="19"/>
          <w:szCs w:val="19"/>
        </w:rPr>
        <w:softHyphen/>
        <w:t>munská výroba nafty se pohybuje kolem 7 milionů tun a může býti dále zvýšena. To znamená, že Rumunsko po</w:t>
      </w:r>
      <w:r>
        <w:rPr>
          <w:b/>
          <w:bCs/>
          <w:sz w:val="19"/>
          <w:szCs w:val="19"/>
        </w:rPr>
        <w:softHyphen/>
        <w:t>stačí uhradit všechnu spotřebu nafty velkoněmecké říše a ještě bude míti další exportní možnosti, aby získalo kromě výměn</w:t>
      </w:r>
      <w:r>
        <w:rPr>
          <w:b/>
          <w:bCs/>
          <w:sz w:val="19"/>
          <w:szCs w:val="19"/>
        </w:rPr>
        <w:t>ného obchodu devisy. Dodejme snad ještě, že ve světové výrobě nafty zaujímá Rumunsko šesté místo (za Spojenými Státy americkými s jejich roční produkcí nafty kolem 160 milionů tun, za Ruskem s jeho 30 miliony tun, dále pak za Venezuelou, Persii a Holandsko</w:t>
      </w:r>
      <w:r>
        <w:rPr>
          <w:b/>
          <w:bCs/>
          <w:sz w:val="19"/>
          <w:szCs w:val="19"/>
        </w:rPr>
        <w:t>u Indií), čili je větším producentem nafty než Mexiko. Kapitál v ru</w:t>
      </w:r>
      <w:r>
        <w:rPr>
          <w:b/>
          <w:bCs/>
          <w:sz w:val="19"/>
          <w:szCs w:val="19"/>
        </w:rPr>
        <w:softHyphen/>
        <w:t>munském naftovém průmyslu náleží z jedné třetiny anglo</w:t>
      </w:r>
      <w:r>
        <w:rPr>
          <w:b/>
          <w:bCs/>
          <w:sz w:val="19"/>
          <w:szCs w:val="19"/>
        </w:rPr>
        <w:softHyphen/>
        <w:t>americkým skupinám, z jedné čtvrtiny Francouzům, zbytek je rumunsko-italský kapitál. Rumunsko ostatně, nehledě k značnému rudnímu a m</w:t>
      </w:r>
      <w:r>
        <w:rPr>
          <w:b/>
          <w:bCs/>
          <w:sz w:val="19"/>
          <w:szCs w:val="19"/>
        </w:rPr>
        <w:t>inerálnímu bohatství, celkem zatím ještě nepatrně rozvinutému, je jednou z mála evrop</w:t>
      </w:r>
      <w:r>
        <w:rPr>
          <w:b/>
          <w:bCs/>
          <w:sz w:val="19"/>
          <w:szCs w:val="19"/>
        </w:rPr>
        <w:softHyphen/>
        <w:t>ských zemí, která těží zlato ve větším množství (loni přes 8 tun ryzího kovu) a má nadto přímo neodhadnutelné vý</w:t>
      </w:r>
      <w:r>
        <w:rPr>
          <w:b/>
          <w:bCs/>
          <w:sz w:val="19"/>
          <w:szCs w:val="19"/>
        </w:rPr>
        <w:softHyphen/>
        <w:t>vojové možnosti ve zdokonalení dosud velmi primitivního z</w:t>
      </w:r>
      <w:r>
        <w:rPr>
          <w:b/>
          <w:bCs/>
          <w:sz w:val="19"/>
          <w:szCs w:val="19"/>
        </w:rPr>
        <w:t>emědělství. Při nové organisaci rumunského národního hospodářství jsou tu možná velká překvapení.</w:t>
      </w:r>
    </w:p>
    <w:p w:rsidR="00500724" w:rsidRDefault="00F30FB8">
      <w:pPr>
        <w:pStyle w:val="Zkladntext100"/>
        <w:shd w:val="clear" w:color="auto" w:fill="auto"/>
        <w:tabs>
          <w:tab w:val="left" w:pos="4692"/>
        </w:tabs>
        <w:spacing w:after="40" w:line="187" w:lineRule="auto"/>
        <w:ind w:firstLine="300"/>
        <w:rPr>
          <w:sz w:val="20"/>
          <w:szCs w:val="20"/>
        </w:rPr>
      </w:pPr>
      <w:r>
        <w:rPr>
          <w:b/>
          <w:bCs/>
          <w:sz w:val="19"/>
          <w:szCs w:val="19"/>
        </w:rPr>
        <w:t>V zemích Protektorátu zůstalo průmy</w:t>
      </w:r>
      <w:r>
        <w:rPr>
          <w:b/>
          <w:bCs/>
          <w:sz w:val="19"/>
          <w:szCs w:val="19"/>
        </w:rPr>
        <w:softHyphen/>
        <w:t>slu a spotřeby — pokud jde o obchodně-politický po</w:t>
      </w:r>
      <w:r>
        <w:rPr>
          <w:b/>
          <w:bCs/>
          <w:sz w:val="19"/>
          <w:szCs w:val="19"/>
        </w:rPr>
        <w:softHyphen/>
        <w:t>měr k Rumunsku to ovšem platí také — asi 85 procent, čilí přes čtyři pě</w:t>
      </w:r>
      <w:r>
        <w:rPr>
          <w:b/>
          <w:bCs/>
          <w:sz w:val="19"/>
          <w:szCs w:val="19"/>
        </w:rPr>
        <w:t>tiny kapacity bývalého Česko</w:t>
      </w:r>
      <w:r>
        <w:rPr>
          <w:b/>
          <w:bCs/>
          <w:sz w:val="19"/>
          <w:szCs w:val="19"/>
        </w:rPr>
        <w:softHyphen/>
        <w:t>slovenska. To znamená, že Protektorát bude také míli z nové říšsko-rumunské obchodně-politické dohody značné výhody, jež se projeví nejenom pokračováním v dosavad</w:t>
      </w:r>
      <w:r>
        <w:rPr>
          <w:b/>
          <w:bCs/>
          <w:sz w:val="19"/>
          <w:szCs w:val="19"/>
        </w:rPr>
        <w:softHyphen/>
        <w:t>ním obchodu, ale pravděpodobně také povedou ke zvýšení hospodářs</w:t>
      </w:r>
      <w:r>
        <w:rPr>
          <w:b/>
          <w:bCs/>
          <w:sz w:val="19"/>
          <w:szCs w:val="19"/>
        </w:rPr>
        <w:t>kých styků. Můžeme se dívat tedy na uzavření této smlouvy s uspokojením, protože lze za daného stavu věcí předpokládali, že také národní hospodářství v Cej</w:t>
      </w:r>
      <w:r>
        <w:rPr>
          <w:b/>
          <w:bCs/>
          <w:sz w:val="19"/>
          <w:szCs w:val="19"/>
        </w:rPr>
        <w:softHyphen/>
        <w:t>chách a na Moravě bude z ni míti prospěch.</w:t>
      </w:r>
      <w:r>
        <w:rPr>
          <w:b/>
          <w:bCs/>
          <w:sz w:val="19"/>
          <w:szCs w:val="19"/>
        </w:rPr>
        <w:tab/>
      </w:r>
      <w:r>
        <w:rPr>
          <w:b/>
          <w:bCs/>
          <w:i/>
          <w:iCs/>
          <w:sz w:val="20"/>
          <w:szCs w:val="20"/>
        </w:rPr>
        <w:t>Cia.</w:t>
      </w:r>
    </w:p>
    <w:p w:rsidR="00500724" w:rsidRDefault="00F30FB8">
      <w:pPr>
        <w:pStyle w:val="Zkladntext30"/>
        <w:shd w:val="clear" w:color="auto" w:fill="auto"/>
        <w:spacing w:after="0" w:line="199" w:lineRule="auto"/>
        <w:ind w:firstLine="0"/>
        <w:jc w:val="center"/>
        <w:rPr>
          <w:sz w:val="20"/>
          <w:szCs w:val="20"/>
        </w:rPr>
      </w:pPr>
      <w:r>
        <w:rPr>
          <w:b/>
          <w:bCs/>
          <w:sz w:val="20"/>
          <w:szCs w:val="20"/>
        </w:rPr>
        <w:t>Pro světovou hospodářskou spolupráci</w:t>
      </w:r>
    </w:p>
    <w:p w:rsidR="00500724" w:rsidRDefault="00F30FB8">
      <w:pPr>
        <w:pStyle w:val="Zkladntext100"/>
        <w:shd w:val="clear" w:color="auto" w:fill="auto"/>
        <w:spacing w:line="209" w:lineRule="auto"/>
        <w:rPr>
          <w:sz w:val="19"/>
          <w:szCs w:val="19"/>
        </w:rPr>
      </w:pPr>
      <w:r>
        <w:rPr>
          <w:b/>
          <w:bCs/>
          <w:sz w:val="19"/>
          <w:szCs w:val="19"/>
        </w:rPr>
        <w:t>Týž den, 30. bř</w:t>
      </w:r>
      <w:r>
        <w:rPr>
          <w:b/>
          <w:bCs/>
          <w:sz w:val="19"/>
          <w:szCs w:val="19"/>
        </w:rPr>
        <w:t xml:space="preserve">ezna 1939, kdy v Berlině promluvil říšský ministr dr. </w:t>
      </w:r>
      <w:r>
        <w:rPr>
          <w:b/>
          <w:bCs/>
          <w:sz w:val="19"/>
          <w:szCs w:val="19"/>
          <w:lang w:val="en-US" w:eastAsia="en-US" w:bidi="en-US"/>
        </w:rPr>
        <w:t xml:space="preserve">Frick </w:t>
      </w:r>
      <w:r>
        <w:rPr>
          <w:b/>
          <w:bCs/>
          <w:sz w:val="19"/>
          <w:szCs w:val="19"/>
        </w:rPr>
        <w:t>svou řeč o tom, že Německo nechce utla</w:t>
      </w:r>
      <w:r>
        <w:rPr>
          <w:b/>
          <w:bCs/>
          <w:sz w:val="19"/>
          <w:szCs w:val="19"/>
        </w:rPr>
        <w:softHyphen/>
        <w:t>čovat a germanisovat sneněmecké národní skupinyx a kdy na adresu zejména českého národa zdůrazňoval dobrou vůli, zachování svébytnosti a vybudování upřímné s</w:t>
      </w:r>
      <w:r>
        <w:rPr>
          <w:b/>
          <w:bCs/>
          <w:sz w:val="19"/>
          <w:szCs w:val="19"/>
        </w:rPr>
        <w:t>polu</w:t>
      </w:r>
      <w:r>
        <w:rPr>
          <w:b/>
          <w:bCs/>
          <w:sz w:val="19"/>
          <w:szCs w:val="19"/>
        </w:rPr>
        <w:softHyphen/>
        <w:t>práce, promluvil podobnou řeč k celému světu s hle</w:t>
      </w:r>
      <w:r>
        <w:rPr>
          <w:b/>
          <w:bCs/>
          <w:sz w:val="19"/>
          <w:szCs w:val="19"/>
          <w:u w:val="single"/>
        </w:rPr>
        <w:t>disk</w:t>
      </w:r>
      <w:r>
        <w:rPr>
          <w:b/>
          <w:bCs/>
          <w:sz w:val="19"/>
          <w:szCs w:val="19"/>
        </w:rPr>
        <w:t>a, hospodářského dr. F u n k, říšský ministr hospodářský a od února president Reichsbank. Reč byla pronesena na schůzí ústředního výboru říšské cedulové banky, tedy před povo</w:t>
      </w:r>
      <w:r>
        <w:rPr>
          <w:b/>
          <w:bCs/>
          <w:sz w:val="19"/>
          <w:szCs w:val="19"/>
        </w:rPr>
        <w:softHyphen/>
        <w:t>laným forem a velmi vá</w:t>
      </w:r>
      <w:r>
        <w:rPr>
          <w:b/>
          <w:bCs/>
          <w:sz w:val="19"/>
          <w:szCs w:val="19"/>
        </w:rPr>
        <w:t>žnou formou.</w:t>
      </w:r>
    </w:p>
    <w:p w:rsidR="00500724" w:rsidRDefault="00F30FB8">
      <w:pPr>
        <w:pStyle w:val="Zkladntext100"/>
        <w:shd w:val="clear" w:color="auto" w:fill="auto"/>
        <w:spacing w:line="211" w:lineRule="auto"/>
        <w:rPr>
          <w:sz w:val="19"/>
          <w:szCs w:val="19"/>
        </w:rPr>
      </w:pPr>
      <w:r>
        <w:rPr>
          <w:b/>
          <w:bCs/>
          <w:sz w:val="19"/>
          <w:szCs w:val="19"/>
        </w:rPr>
        <w:t xml:space="preserve">Dr. </w:t>
      </w:r>
      <w:r>
        <w:rPr>
          <w:b/>
          <w:bCs/>
          <w:sz w:val="19"/>
          <w:szCs w:val="19"/>
          <w:lang w:val="en-US" w:eastAsia="en-US" w:bidi="en-US"/>
        </w:rPr>
        <w:t xml:space="preserve">Funk, </w:t>
      </w:r>
      <w:r>
        <w:rPr>
          <w:b/>
          <w:bCs/>
          <w:sz w:val="19"/>
          <w:szCs w:val="19"/>
        </w:rPr>
        <w:t>o jehož schopnostech jsme zde psali před několika týdny po odstoupení dr. Schachta, jako bývalý národohospodářský žurnalista dovedl dobře vyložit svou věc, aby byla obecně srozumitelná. Nejprve zdůraznil, že bude usilováno o užší hos</w:t>
      </w:r>
      <w:r>
        <w:rPr>
          <w:b/>
          <w:bCs/>
          <w:sz w:val="19"/>
          <w:szCs w:val="19"/>
        </w:rPr>
        <w:t>podářskou spojitost německo- italskou a ocenil význam německo-rumunské obchodní smlouvy a pak přešel k obecným obchodně-politickým pro</w:t>
      </w:r>
      <w:r>
        <w:rPr>
          <w:b/>
          <w:bCs/>
          <w:sz w:val="19"/>
          <w:szCs w:val="19"/>
        </w:rPr>
        <w:softHyphen/>
        <w:t>blémům. Souhlasíme s ním v názoru, že nejde o to, zda z některé země je možno dovézti určitý výrobek o malý zlomek ceny l</w:t>
      </w:r>
      <w:r>
        <w:rPr>
          <w:b/>
          <w:bCs/>
          <w:sz w:val="19"/>
          <w:szCs w:val="19"/>
        </w:rPr>
        <w:t>evněji, když země, jež jej dovezla, nemůže do země, od které tento výrobek koupila, nic vyvážet. Tu sku</w:t>
      </w:r>
      <w:r>
        <w:rPr>
          <w:b/>
          <w:bCs/>
          <w:sz w:val="19"/>
          <w:szCs w:val="19"/>
        </w:rPr>
        <w:softHyphen/>
        <w:t>tečně jde o otázku zaměstnanosti pracujícího lidu a celko</w:t>
      </w:r>
      <w:r>
        <w:rPr>
          <w:b/>
          <w:bCs/>
          <w:sz w:val="19"/>
          <w:szCs w:val="19"/>
        </w:rPr>
        <w:softHyphen/>
        <w:t>vou otázku národohospodářskou, nikoliv o úzké otázky ce</w:t>
      </w:r>
      <w:r>
        <w:rPr>
          <w:b/>
          <w:bCs/>
          <w:sz w:val="19"/>
          <w:szCs w:val="19"/>
        </w:rPr>
        <w:softHyphen/>
        <w:t>nové.</w:t>
      </w:r>
    </w:p>
    <w:p w:rsidR="00500724" w:rsidRDefault="00F30FB8">
      <w:pPr>
        <w:pStyle w:val="Zkladntext100"/>
        <w:shd w:val="clear" w:color="auto" w:fill="auto"/>
        <w:spacing w:line="211" w:lineRule="auto"/>
        <w:rPr>
          <w:sz w:val="19"/>
          <w:szCs w:val="19"/>
        </w:rPr>
      </w:pPr>
      <w:r>
        <w:rPr>
          <w:b/>
          <w:bCs/>
          <w:sz w:val="19"/>
          <w:szCs w:val="19"/>
        </w:rPr>
        <w:t>Pozoruhodná je však v této souvi</w:t>
      </w:r>
      <w:r>
        <w:rPr>
          <w:b/>
          <w:bCs/>
          <w:sz w:val="19"/>
          <w:szCs w:val="19"/>
        </w:rPr>
        <w:t xml:space="preserve">slosti nabídka, kterou učinil dr. </w:t>
      </w:r>
      <w:r>
        <w:rPr>
          <w:b/>
          <w:bCs/>
          <w:sz w:val="19"/>
          <w:szCs w:val="19"/>
          <w:lang w:val="en-US" w:eastAsia="en-US" w:bidi="en-US"/>
        </w:rPr>
        <w:t xml:space="preserve">Funk </w:t>
      </w:r>
      <w:r>
        <w:rPr>
          <w:b/>
          <w:bCs/>
          <w:sz w:val="19"/>
          <w:szCs w:val="19"/>
        </w:rPr>
        <w:t>celému světu. Prohlá</w:t>
      </w:r>
      <w:r>
        <w:rPr>
          <w:b/>
          <w:bCs/>
          <w:sz w:val="19"/>
          <w:szCs w:val="19"/>
        </w:rPr>
        <w:softHyphen/>
        <w:t>sil, že svět nemůže postrádat ve světovém hospodářství nyní tak veliké složky, jakou tvoří téměř devadesátimilio- nová nejprůmyslovější říše světa, a že bude v obapolném zájmu, když nastane živějš</w:t>
      </w:r>
      <w:r>
        <w:rPr>
          <w:b/>
          <w:bCs/>
          <w:sz w:val="19"/>
          <w:szCs w:val="19"/>
        </w:rPr>
        <w:t>í a rozsáhlejší výměna zboží a práce. Navrhoval, aby se pokračovalo v pře</w:t>
      </w:r>
      <w:r>
        <w:rPr>
          <w:b/>
          <w:bCs/>
          <w:sz w:val="19"/>
          <w:szCs w:val="19"/>
        </w:rPr>
        <w:softHyphen/>
        <w:t>rušených rozhovorech anglo - německých a f ranko-německých o úpravě hospodář</w:t>
      </w:r>
      <w:r>
        <w:rPr>
          <w:b/>
          <w:bCs/>
          <w:sz w:val="19"/>
          <w:szCs w:val="19"/>
        </w:rPr>
        <w:softHyphen/>
        <w:t>ského styku, aby tak byly položeny základy ke svě</w:t>
      </w:r>
      <w:r>
        <w:rPr>
          <w:b/>
          <w:bCs/>
          <w:sz w:val="19"/>
          <w:szCs w:val="19"/>
        </w:rPr>
        <w:softHyphen/>
        <w:t>tové hospodářské spolupráci, k obecnému hospodářskému u</w:t>
      </w:r>
      <w:r>
        <w:rPr>
          <w:b/>
          <w:bCs/>
          <w:sz w:val="19"/>
          <w:szCs w:val="19"/>
        </w:rPr>
        <w:t>volnění, které by jistě mělo za následek pokles nezaměst</w:t>
      </w:r>
      <w:r>
        <w:rPr>
          <w:b/>
          <w:bCs/>
          <w:sz w:val="19"/>
          <w:szCs w:val="19"/>
        </w:rPr>
        <w:softHyphen/>
        <w:t>nanosti v celém světě, zvýšení spotřeby a vzestup cen, čili možnost nových investic a zvyšování životní úrovně pracu</w:t>
      </w:r>
      <w:r>
        <w:rPr>
          <w:b/>
          <w:bCs/>
          <w:sz w:val="19"/>
          <w:szCs w:val="19"/>
        </w:rPr>
        <w:softHyphen/>
        <w:t xml:space="preserve">jícího lidu všude. Jinými slovy, dr. </w:t>
      </w:r>
      <w:r>
        <w:rPr>
          <w:b/>
          <w:bCs/>
          <w:sz w:val="19"/>
          <w:szCs w:val="19"/>
          <w:lang w:val="en-US" w:eastAsia="en-US" w:bidi="en-US"/>
        </w:rPr>
        <w:t xml:space="preserve">Funk </w:t>
      </w:r>
      <w:r>
        <w:rPr>
          <w:b/>
          <w:bCs/>
          <w:sz w:val="19"/>
          <w:szCs w:val="19"/>
        </w:rPr>
        <w:t>nabízí na místo dosavadního bojkotu, záp</w:t>
      </w:r>
      <w:r>
        <w:rPr>
          <w:b/>
          <w:bCs/>
          <w:sz w:val="19"/>
          <w:szCs w:val="19"/>
        </w:rPr>
        <w:t>asu a isolování, vzájemné obcho</w:t>
      </w:r>
      <w:r>
        <w:rPr>
          <w:b/>
          <w:bCs/>
          <w:sz w:val="19"/>
          <w:szCs w:val="19"/>
        </w:rPr>
        <w:softHyphen/>
        <w:t>dování a hospodářské oživení, na němž má zájem přede</w:t>
      </w:r>
      <w:r>
        <w:rPr>
          <w:b/>
          <w:bCs/>
          <w:sz w:val="19"/>
          <w:szCs w:val="19"/>
        </w:rPr>
        <w:softHyphen/>
        <w:t>vším pracující lid. To ovšem předpokládá také vzájemné obnovení důvěry. Hlas dr. Funka pro takovou rozumnou spolupráci právě v dnešním okamžiku je zajisté velmi po</w:t>
      </w:r>
      <w:r>
        <w:rPr>
          <w:b/>
          <w:bCs/>
          <w:sz w:val="19"/>
          <w:szCs w:val="19"/>
        </w:rPr>
        <w:softHyphen/>
        <w:t>zoruhod</w:t>
      </w:r>
      <w:r>
        <w:rPr>
          <w:b/>
          <w:bCs/>
          <w:sz w:val="19"/>
          <w:szCs w:val="19"/>
        </w:rPr>
        <w:t>ný.</w:t>
      </w:r>
    </w:p>
    <w:p w:rsidR="00500724" w:rsidRDefault="00F30FB8">
      <w:pPr>
        <w:pStyle w:val="Zkladntext100"/>
        <w:shd w:val="clear" w:color="auto" w:fill="auto"/>
        <w:spacing w:line="194" w:lineRule="auto"/>
        <w:rPr>
          <w:sz w:val="19"/>
          <w:szCs w:val="19"/>
        </w:rPr>
      </w:pPr>
      <w:r>
        <w:rPr>
          <w:b/>
          <w:bCs/>
          <w:sz w:val="19"/>
          <w:szCs w:val="19"/>
        </w:rPr>
        <w:t xml:space="preserve">V jistém smyslu zde dr. </w:t>
      </w:r>
      <w:r>
        <w:rPr>
          <w:b/>
          <w:bCs/>
          <w:sz w:val="19"/>
          <w:szCs w:val="19"/>
          <w:lang w:val="en-US" w:eastAsia="en-US" w:bidi="en-US"/>
        </w:rPr>
        <w:t xml:space="preserve">Funk </w:t>
      </w:r>
      <w:r>
        <w:rPr>
          <w:b/>
          <w:bCs/>
          <w:sz w:val="19"/>
          <w:szCs w:val="19"/>
        </w:rPr>
        <w:t>pokračoval v lednovém prohlášení říšského kancléře, který tehdy řekl, že »Ně- mecko musí exportovat, anebo zemřít«, a protože zemřít nechce, bude hledat jiné cesty vlastní silou, nebude-li mu umožněn náležitý podíl na světo</w:t>
      </w:r>
      <w:r>
        <w:rPr>
          <w:b/>
          <w:bCs/>
          <w:sz w:val="19"/>
          <w:szCs w:val="19"/>
        </w:rPr>
        <w:t xml:space="preserve">vém obchodu. Dr. </w:t>
      </w:r>
      <w:r>
        <w:rPr>
          <w:b/>
          <w:bCs/>
          <w:sz w:val="19"/>
          <w:szCs w:val="19"/>
          <w:lang w:val="en-US" w:eastAsia="en-US" w:bidi="en-US"/>
        </w:rPr>
        <w:t xml:space="preserve">Funk </w:t>
      </w:r>
      <w:r>
        <w:rPr>
          <w:b/>
          <w:bCs/>
          <w:sz w:val="19"/>
          <w:szCs w:val="19"/>
        </w:rPr>
        <w:t>totiž řekl podobně: »Jsme na rozcestí. Buď se svět podrobí moci amerického zlata, anebo při- jme nové metody mladých, silných a rozví</w:t>
      </w:r>
      <w:r>
        <w:rPr>
          <w:b/>
          <w:bCs/>
          <w:sz w:val="19"/>
          <w:szCs w:val="19"/>
        </w:rPr>
        <w:softHyphen/>
        <w:t>jejících se národů, které poskytují dosti možností pro úspěšnou společnou práci na světových trzích,</w:t>
      </w:r>
      <w:r>
        <w:rPr>
          <w:b/>
          <w:bCs/>
          <w:sz w:val="19"/>
          <w:szCs w:val="19"/>
        </w:rPr>
        <w:t xml:space="preserve"> k ote</w:t>
      </w:r>
      <w:r>
        <w:rPr>
          <w:b/>
          <w:bCs/>
          <w:sz w:val="19"/>
          <w:szCs w:val="19"/>
        </w:rPr>
        <w:softHyphen/>
        <w:t>vření nových odbytišť, k zvýšení výroby a kupní síly a k povznesení blahobytu národů. Světová potřeba hospo</w:t>
      </w:r>
      <w:r>
        <w:rPr>
          <w:b/>
          <w:bCs/>
          <w:sz w:val="19"/>
          <w:szCs w:val="19"/>
        </w:rPr>
        <w:softHyphen/>
        <w:t>dářských styků je neomezená. Jde jen o to, nalézti správ</w:t>
      </w:r>
      <w:r>
        <w:rPr>
          <w:b/>
          <w:bCs/>
          <w:sz w:val="19"/>
          <w:szCs w:val="19"/>
        </w:rPr>
        <w:softHyphen/>
        <w:t>nou organisaci a rozumnou spolupráci.« Dodal, že kdybyj tato nabídka nebyla přijata,</w:t>
      </w:r>
      <w:r>
        <w:rPr>
          <w:b/>
          <w:bCs/>
          <w:sz w:val="19"/>
          <w:szCs w:val="19"/>
        </w:rPr>
        <w:t xml:space="preserve"> bude Německo hledat za ve</w:t>
      </w:r>
      <w:r>
        <w:rPr>
          <w:b/>
          <w:bCs/>
          <w:sz w:val="19"/>
          <w:szCs w:val="19"/>
        </w:rPr>
        <w:softHyphen/>
        <w:t>deni říšského kancléře v jeho iniciativě a své sily jiné cesty.</w:t>
      </w:r>
    </w:p>
    <w:p w:rsidR="00500724" w:rsidRDefault="00F30FB8">
      <w:pPr>
        <w:pStyle w:val="Zkladntext100"/>
        <w:shd w:val="clear" w:color="auto" w:fill="auto"/>
        <w:tabs>
          <w:tab w:val="left" w:pos="4728"/>
        </w:tabs>
        <w:spacing w:after="120" w:line="187" w:lineRule="auto"/>
        <w:rPr>
          <w:sz w:val="20"/>
          <w:szCs w:val="20"/>
        </w:rPr>
      </w:pPr>
      <w:r>
        <w:rPr>
          <w:b/>
          <w:bCs/>
          <w:sz w:val="19"/>
          <w:szCs w:val="19"/>
        </w:rPr>
        <w:t xml:space="preserve">Projev takového významu by se byl nás dotýkal i tehdy, když jsme měli vlastní stát, a s tím větším zájmem musíme dnes sledovat vývoj těchto problémů, když nyní jsme </w:t>
      </w:r>
      <w:r>
        <w:rPr>
          <w:b/>
          <w:bCs/>
          <w:sz w:val="19"/>
          <w:szCs w:val="19"/>
        </w:rPr>
        <w:t>za</w:t>
      </w:r>
      <w:r>
        <w:rPr>
          <w:b/>
          <w:bCs/>
          <w:sz w:val="19"/>
          <w:szCs w:val="19"/>
        </w:rPr>
        <w:softHyphen/>
        <w:t>řáděni nejen politicky, ale také hospodářsky do velko</w:t>
      </w:r>
      <w:r>
        <w:rPr>
          <w:b/>
          <w:bCs/>
          <w:sz w:val="19"/>
          <w:szCs w:val="19"/>
        </w:rPr>
        <w:softHyphen/>
        <w:t xml:space="preserve">německé říše. Kdyby se podařilo dojiti k této spolupráci a otevřití velkoněmecké říši exportní možnosti do celého světa, pak by to mělo přímý vliv také na životní úroveň našeho lidu. Sledujeme proto </w:t>
      </w:r>
      <w:r>
        <w:rPr>
          <w:b/>
          <w:bCs/>
          <w:sz w:val="19"/>
          <w:szCs w:val="19"/>
        </w:rPr>
        <w:t xml:space="preserve">toto úsilí, jež zahajuje dr. </w:t>
      </w:r>
      <w:r>
        <w:rPr>
          <w:b/>
          <w:bCs/>
          <w:sz w:val="19"/>
          <w:szCs w:val="19"/>
          <w:lang w:val="en-US" w:eastAsia="en-US" w:bidi="en-US"/>
        </w:rPr>
        <w:t xml:space="preserve">Funk </w:t>
      </w:r>
      <w:r>
        <w:rPr>
          <w:b/>
          <w:bCs/>
          <w:sz w:val="19"/>
          <w:szCs w:val="19"/>
        </w:rPr>
        <w:t>svou řečí, nejenom se zájmem, ale také jako přímí účastníci, kteří jsou si vědomi, že i v dnešním zmenšeném rozsahu má česká hospodářská oblast také zde svůj vý</w:t>
      </w:r>
      <w:r>
        <w:rPr>
          <w:b/>
          <w:bCs/>
          <w:sz w:val="19"/>
          <w:szCs w:val="19"/>
        </w:rPr>
        <w:softHyphen/>
        <w:t>znamný úkol.</w:t>
      </w:r>
      <w:r>
        <w:rPr>
          <w:b/>
          <w:bCs/>
          <w:sz w:val="19"/>
          <w:szCs w:val="19"/>
        </w:rPr>
        <w:tab/>
      </w:r>
      <w:r>
        <w:rPr>
          <w:b/>
          <w:bCs/>
          <w:i/>
          <w:iCs/>
          <w:sz w:val="20"/>
          <w:szCs w:val="20"/>
        </w:rPr>
        <w:t>Cis.</w:t>
      </w:r>
    </w:p>
    <w:p w:rsidR="00500724" w:rsidRDefault="00F30FB8">
      <w:pPr>
        <w:pStyle w:val="Jin0"/>
        <w:shd w:val="clear" w:color="auto" w:fill="auto"/>
        <w:ind w:firstLine="0"/>
        <w:jc w:val="right"/>
        <w:rPr>
          <w:sz w:val="26"/>
          <w:szCs w:val="26"/>
        </w:rPr>
      </w:pPr>
      <w:r>
        <w:rPr>
          <w:rFonts w:ascii="Arial" w:eastAsia="Arial" w:hAnsi="Arial" w:cs="Arial"/>
          <w:b/>
          <w:bCs/>
          <w:i/>
          <w:iCs/>
          <w:sz w:val="26"/>
          <w:szCs w:val="26"/>
        </w:rPr>
        <w:t>SOS</w:t>
      </w:r>
      <w:r>
        <w:br w:type="page"/>
      </w:r>
    </w:p>
    <w:p w:rsidR="00500724" w:rsidRDefault="00F30FB8">
      <w:pPr>
        <w:pStyle w:val="Zkladntext30"/>
        <w:shd w:val="clear" w:color="auto" w:fill="auto"/>
        <w:spacing w:after="60" w:line="180" w:lineRule="auto"/>
        <w:ind w:firstLine="0"/>
        <w:jc w:val="center"/>
        <w:rPr>
          <w:sz w:val="20"/>
          <w:szCs w:val="20"/>
        </w:rPr>
      </w:pPr>
      <w:r>
        <w:rPr>
          <w:b/>
          <w:bCs/>
          <w:sz w:val="20"/>
          <w:szCs w:val="20"/>
        </w:rPr>
        <w:t>Česká samospráva na nových kolejích</w:t>
      </w:r>
    </w:p>
    <w:p w:rsidR="00500724" w:rsidRDefault="00F30FB8">
      <w:pPr>
        <w:pStyle w:val="Zkladntext100"/>
        <w:shd w:val="clear" w:color="auto" w:fill="auto"/>
        <w:spacing w:line="192" w:lineRule="auto"/>
        <w:ind w:firstLine="220"/>
        <w:rPr>
          <w:sz w:val="19"/>
          <w:szCs w:val="19"/>
        </w:rPr>
      </w:pPr>
      <w:r>
        <w:rPr>
          <w:b/>
          <w:bCs/>
          <w:sz w:val="19"/>
          <w:szCs w:val="19"/>
        </w:rPr>
        <w:t>Ud</w:t>
      </w:r>
      <w:r>
        <w:rPr>
          <w:b/>
          <w:bCs/>
          <w:sz w:val="19"/>
          <w:szCs w:val="19"/>
        </w:rPr>
        <w:t>álosti posledního půl roku nemohly se ve svých dů</w:t>
      </w:r>
      <w:r>
        <w:rPr>
          <w:b/>
          <w:bCs/>
          <w:sz w:val="19"/>
          <w:szCs w:val="19"/>
        </w:rPr>
        <w:softHyphen/>
        <w:t>sledcích vyhnouti ani místní samosprávě. Dotýkají se jí nejen po stránce hlubokých osobních přesunů, jež byly zá</w:t>
      </w:r>
      <w:r>
        <w:rPr>
          <w:b/>
          <w:bCs/>
          <w:sz w:val="19"/>
          <w:szCs w:val="19"/>
        </w:rPr>
        <w:softHyphen/>
        <w:t>věrem pokračujícího přeformovávání politických sil v ná</w:t>
      </w:r>
      <w:r>
        <w:rPr>
          <w:b/>
          <w:bCs/>
          <w:sz w:val="19"/>
          <w:szCs w:val="19"/>
        </w:rPr>
        <w:softHyphen/>
        <w:t>rod^ nýbrž jdou i na kořeny organisač</w:t>
      </w:r>
      <w:r>
        <w:rPr>
          <w:b/>
          <w:bCs/>
          <w:sz w:val="19"/>
          <w:szCs w:val="19"/>
        </w:rPr>
        <w:t>ní struktury.</w:t>
      </w:r>
    </w:p>
    <w:p w:rsidR="00500724" w:rsidRDefault="00F30FB8">
      <w:pPr>
        <w:pStyle w:val="Zkladntext100"/>
        <w:shd w:val="clear" w:color="auto" w:fill="auto"/>
        <w:spacing w:line="190" w:lineRule="auto"/>
        <w:ind w:firstLine="220"/>
        <w:rPr>
          <w:sz w:val="19"/>
          <w:szCs w:val="19"/>
        </w:rPr>
      </w:pPr>
      <w:r>
        <w:rPr>
          <w:b/>
          <w:bCs/>
          <w:sz w:val="19"/>
          <w:szCs w:val="19"/>
        </w:rPr>
        <w:t>Po dobu příprav k vybudování základů organisační stav</w:t>
      </w:r>
      <w:r>
        <w:rPr>
          <w:b/>
          <w:bCs/>
          <w:sz w:val="19"/>
          <w:szCs w:val="19"/>
        </w:rPr>
        <w:softHyphen/>
        <w:t>by tak řečené Druhé republiky připadla vedoucí role v čes</w:t>
      </w:r>
      <w:r>
        <w:rPr>
          <w:b/>
          <w:bCs/>
          <w:sz w:val="19"/>
          <w:szCs w:val="19"/>
        </w:rPr>
        <w:softHyphen/>
        <w:t>ké samosprávě organisátorům strany Národní jednoty. Rad</w:t>
      </w:r>
      <w:r>
        <w:rPr>
          <w:b/>
          <w:bCs/>
          <w:sz w:val="19"/>
          <w:szCs w:val="19"/>
        </w:rPr>
        <w:softHyphen/>
        <w:t>nice byly zbaveny především živlů ze skupin politicky dis</w:t>
      </w:r>
      <w:r>
        <w:rPr>
          <w:b/>
          <w:bCs/>
          <w:sz w:val="19"/>
          <w:szCs w:val="19"/>
        </w:rPr>
        <w:softHyphen/>
        <w:t xml:space="preserve">kvalifikovaných </w:t>
      </w:r>
      <w:r>
        <w:rPr>
          <w:b/>
          <w:bCs/>
          <w:sz w:val="19"/>
          <w:szCs w:val="19"/>
        </w:rPr>
        <w:t>anulováním mandátů komunistických členů obecních zastupitelstev. Po odchodu komunistů, z nichž ně</w:t>
      </w:r>
      <w:r>
        <w:rPr>
          <w:b/>
          <w:bCs/>
          <w:sz w:val="19"/>
          <w:szCs w:val="19"/>
        </w:rPr>
        <w:softHyphen/>
        <w:t>kteří drželi i významné posice (v Praze byl to na příklad primátorův náměstek, bývalý ministr dr. Vrbenský, na ven</w:t>
      </w:r>
      <w:r>
        <w:rPr>
          <w:b/>
          <w:bCs/>
          <w:sz w:val="19"/>
          <w:szCs w:val="19"/>
        </w:rPr>
        <w:softHyphen/>
        <w:t xml:space="preserve">kově starosta města Berouna a j.), došlo k </w:t>
      </w:r>
      <w:r>
        <w:rPr>
          <w:b/>
          <w:bCs/>
          <w:sz w:val="19"/>
          <w:szCs w:val="19"/>
        </w:rPr>
        <w:t>revisi vedoucího postavení příslušníků bývalé strany sociálně-demokratické a konečně i k ojedinělým pokusům o výměnu starostů bý</w:t>
      </w:r>
      <w:r>
        <w:rPr>
          <w:b/>
          <w:bCs/>
          <w:sz w:val="19"/>
          <w:szCs w:val="19"/>
        </w:rPr>
        <w:softHyphen/>
        <w:t>valých národních socialistů. Nejsilnější nápor byl vyvíjen na Plzeň, kde změna na stolci síarostenském se stala zvláště naléhav</w:t>
      </w:r>
      <w:r>
        <w:rPr>
          <w:b/>
          <w:bCs/>
          <w:sz w:val="19"/>
          <w:szCs w:val="19"/>
        </w:rPr>
        <w:t>ou pro blízkost až k Samému městu posunuté státní hranice. Po jistém zaváhání skutečně také starý ko</w:t>
      </w:r>
      <w:r>
        <w:rPr>
          <w:b/>
          <w:bCs/>
          <w:sz w:val="19"/>
          <w:szCs w:val="19"/>
        </w:rPr>
        <w:softHyphen/>
        <w:t>munální pracovník poslanec Pik odstoupil a po krátkém intermezzu náměstka Šípá dosazen v ěelo města vládní ko</w:t>
      </w:r>
      <w:r>
        <w:rPr>
          <w:b/>
          <w:bCs/>
          <w:sz w:val="19"/>
          <w:szCs w:val="19"/>
        </w:rPr>
        <w:softHyphen/>
        <w:t>misař. Příslušníci strany Národní jednoty uja</w:t>
      </w:r>
      <w:r>
        <w:rPr>
          <w:b/>
          <w:bCs/>
          <w:sz w:val="19"/>
          <w:szCs w:val="19"/>
        </w:rPr>
        <w:t>li se dědictví po někdejších sociálních demokratech i v řadě jiných měst (Rokycany, Klatovy, Jindřichův Hradce, Roudnice, Chru</w:t>
      </w:r>
      <w:r>
        <w:rPr>
          <w:b/>
          <w:bCs/>
          <w:sz w:val="19"/>
          <w:szCs w:val="19"/>
        </w:rPr>
        <w:softHyphen/>
        <w:t>dim, kde se poděkoval starosta z doby popřevratové Kášek, a j.). Socialisté-nemarxisté pochodili už lépe, jak o tom svědčí dohoda</w:t>
      </w:r>
      <w:r>
        <w:rPr>
          <w:b/>
          <w:bCs/>
          <w:sz w:val="19"/>
          <w:szCs w:val="19"/>
        </w:rPr>
        <w:t xml:space="preserve"> všech (i Němců!) na dalším starostenství českobudějovického bývalého poslance Neumanna, jakož i případy další (Tábor, starosta </w:t>
      </w:r>
      <w:r>
        <w:rPr>
          <w:b/>
          <w:bCs/>
          <w:sz w:val="19"/>
          <w:szCs w:val="19"/>
          <w:lang w:val="en-US" w:eastAsia="en-US" w:bidi="en-US"/>
        </w:rPr>
        <w:t xml:space="preserve">Bergmann </w:t>
      </w:r>
      <w:r>
        <w:rPr>
          <w:b/>
          <w:bCs/>
          <w:sz w:val="19"/>
          <w:szCs w:val="19"/>
        </w:rPr>
        <w:t>v Brandýse nad Labem, Vysoké Mýto, kde starosta se zřekl sám své funkce). Tím vším byly jistě způsobeny určité otřesy v</w:t>
      </w:r>
      <w:r>
        <w:rPr>
          <w:b/>
          <w:bCs/>
          <w:sz w:val="19"/>
          <w:szCs w:val="19"/>
        </w:rPr>
        <w:t xml:space="preserve"> sa</w:t>
      </w:r>
      <w:r>
        <w:rPr>
          <w:b/>
          <w:bCs/>
          <w:sz w:val="19"/>
          <w:szCs w:val="19"/>
        </w:rPr>
        <w:softHyphen/>
        <w:t>mosprávných sborech. Ať už bude tedy příští struktura lido</w:t>
      </w:r>
      <w:r>
        <w:rPr>
          <w:b/>
          <w:bCs/>
          <w:sz w:val="19"/>
          <w:szCs w:val="19"/>
        </w:rPr>
        <w:softHyphen/>
        <w:t>vého zastoupení ve svazcích místní samosprávy upravena jakkoliv, jisto je, že se už nikdy nemůže vrátit k těm for</w:t>
      </w:r>
      <w:r>
        <w:rPr>
          <w:b/>
          <w:bCs/>
          <w:sz w:val="19"/>
          <w:szCs w:val="19"/>
        </w:rPr>
        <w:softHyphen/>
        <w:t>mám stranictví, z nichž jsme vyšli.</w:t>
      </w:r>
    </w:p>
    <w:p w:rsidR="00500724" w:rsidRDefault="00F30FB8">
      <w:pPr>
        <w:pStyle w:val="Zkladntext100"/>
        <w:shd w:val="clear" w:color="auto" w:fill="auto"/>
        <w:spacing w:after="80" w:line="190" w:lineRule="auto"/>
        <w:ind w:firstLine="220"/>
        <w:rPr>
          <w:sz w:val="19"/>
          <w:szCs w:val="19"/>
        </w:rPr>
      </w:pPr>
      <w:r>
        <w:rPr>
          <w:b/>
          <w:bCs/>
          <w:sz w:val="19"/>
          <w:szCs w:val="19"/>
        </w:rPr>
        <w:t>Obtížnější bylo řešení samosprávné reprense</w:t>
      </w:r>
      <w:r>
        <w:rPr>
          <w:b/>
          <w:bCs/>
          <w:sz w:val="19"/>
          <w:szCs w:val="19"/>
        </w:rPr>
        <w:t>ntace v hlav</w:t>
      </w:r>
      <w:r>
        <w:rPr>
          <w:b/>
          <w:bCs/>
          <w:sz w:val="19"/>
          <w:szCs w:val="19"/>
        </w:rPr>
        <w:softHyphen/>
        <w:t>ním městě republiky. Věci obecní zde obstarávala široká koalice od socálnlch demokratů přes dominující stranu ná</w:t>
      </w:r>
      <w:r>
        <w:rPr>
          <w:b/>
          <w:bCs/>
          <w:sz w:val="19"/>
          <w:szCs w:val="19"/>
        </w:rPr>
        <w:softHyphen/>
        <w:t>rodních socialistů až k občanským složkám nejpravějším. Roztříštěnost sice také zde zmizela redukcí klubů na dva vedoucí: strany N</w:t>
      </w:r>
      <w:r>
        <w:rPr>
          <w:b/>
          <w:bCs/>
          <w:sz w:val="19"/>
          <w:szCs w:val="19"/>
        </w:rPr>
        <w:t>árodní jednoty a strany Národní práce. Také zastupitelstvo samo trvalo ve svých funkcích teprve necelý rok a bylo ve volbách hodně omlazeno, takže se ani zde nevyskytla tato otázka generační jako argument pro výměnu osob. A přece nový běh věcí si vyžádal i</w:t>
      </w:r>
      <w:r>
        <w:rPr>
          <w:b/>
          <w:bCs/>
          <w:sz w:val="19"/>
          <w:szCs w:val="19"/>
        </w:rPr>
        <w:t xml:space="preserve"> zde radi</w:t>
      </w:r>
      <w:r>
        <w:rPr>
          <w:b/>
          <w:bCs/>
          <w:sz w:val="19"/>
          <w:szCs w:val="19"/>
        </w:rPr>
        <w:softHyphen/>
        <w:t>kální proměnu. Zemský úřad v Praze rozpustil 24. února ústřední zastupitelstvo hlavního města Prahy a všechny místní výbory. Zároveň jmenoval pro správu věcí, jež patří do působnosti ústředního zastupitelstva, šedesátiělennou správní komisi, její</w:t>
      </w:r>
      <w:r>
        <w:rPr>
          <w:b/>
          <w:bCs/>
          <w:sz w:val="19"/>
          <w:szCs w:val="19"/>
        </w:rPr>
        <w:t>mž předsedou byl ustanoven představitel samosprávného ústředí strany Národní jednoty poslanec JUDr. Otakar Klapka. V ěelo místních výborů byli dosazeni úředníci politické správy jako vládní komisaři.</w:t>
      </w:r>
    </w:p>
    <w:p w:rsidR="00500724" w:rsidRDefault="00F30FB8">
      <w:pPr>
        <w:pStyle w:val="Zkladntext100"/>
        <w:shd w:val="clear" w:color="auto" w:fill="auto"/>
        <w:spacing w:after="120" w:line="190" w:lineRule="auto"/>
        <w:ind w:firstLine="220"/>
        <w:rPr>
          <w:sz w:val="19"/>
          <w:szCs w:val="19"/>
        </w:rPr>
      </w:pPr>
      <w:r>
        <w:rPr>
          <w:b/>
          <w:bCs/>
          <w:sz w:val="19"/>
          <w:szCs w:val="19"/>
        </w:rPr>
        <w:t>Tímto aktem byla ukončena radniční činnost mnoha vý</w:t>
      </w:r>
      <w:r>
        <w:rPr>
          <w:b/>
          <w:bCs/>
          <w:sz w:val="19"/>
          <w:szCs w:val="19"/>
        </w:rPr>
        <w:softHyphen/>
        <w:t>znač</w:t>
      </w:r>
      <w:r>
        <w:rPr>
          <w:b/>
          <w:bCs/>
          <w:sz w:val="19"/>
          <w:szCs w:val="19"/>
        </w:rPr>
        <w:t>ných postav, jež po dvacet let určovaly ráz poválečné</w:t>
      </w:r>
      <w:r>
        <w:rPr>
          <w:b/>
          <w:bCs/>
          <w:sz w:val="19"/>
          <w:szCs w:val="19"/>
        </w:rPr>
        <w:softHyphen/>
        <w:t>mu vývoji hlavního města. Snad některé z nich si zaslouží krátké glosy na odchodnou. Sluší zde připomenouti na prvém místě velký podíl na technicEo-hospodář&amp;ké výstavbě města Prahy, jaký měl přednosta s</w:t>
      </w:r>
      <w:r>
        <w:rPr>
          <w:b/>
          <w:bCs/>
          <w:sz w:val="19"/>
          <w:szCs w:val="19"/>
        </w:rPr>
        <w:t>tátní regulační komise zplnomocněný ministr Ing. Eustach Molzer, který na rad</w:t>
      </w:r>
      <w:r>
        <w:rPr>
          <w:b/>
          <w:bCs/>
          <w:sz w:val="19"/>
          <w:szCs w:val="19"/>
        </w:rPr>
        <w:softHyphen/>
        <w:t>nici nebyl pouze jen viditelnou hlavou pražských elektric</w:t>
      </w:r>
      <w:r>
        <w:rPr>
          <w:b/>
          <w:bCs/>
          <w:sz w:val="19"/>
          <w:szCs w:val="19"/>
        </w:rPr>
        <w:softHyphen/>
        <w:t xml:space="preserve">kých podniků. Další ztrátou je odchod kulturního referenta </w:t>
      </w:r>
      <w:r>
        <w:rPr>
          <w:b/>
          <w:bCs/>
          <w:sz w:val="19"/>
          <w:szCs w:val="19"/>
          <w:lang w:val="en-US" w:eastAsia="en-US" w:bidi="en-US"/>
        </w:rPr>
        <w:t xml:space="preserve">prof. </w:t>
      </w:r>
      <w:r>
        <w:rPr>
          <w:b/>
          <w:bCs/>
          <w:sz w:val="19"/>
          <w:szCs w:val="19"/>
        </w:rPr>
        <w:t>AI. Žipka, který od utvoření Velké Prahy stál v čele je</w:t>
      </w:r>
      <w:r>
        <w:rPr>
          <w:b/>
          <w:bCs/>
          <w:sz w:val="19"/>
          <w:szCs w:val="19"/>
        </w:rPr>
        <w:t>jí školské a osvětové politiky. Konečně třetí silný muž, jenž doplňoval radniční triumvirát ze strany národně- socialistické, který nyní rovněž opustil radnici, byl sám pri</w:t>
      </w:r>
      <w:r>
        <w:rPr>
          <w:b/>
          <w:bCs/>
          <w:sz w:val="19"/>
          <w:szCs w:val="19"/>
        </w:rPr>
        <w:softHyphen/>
        <w:t>mátor dr. Petr Zenkl. Hlavní základna Zenbiovy veřejné činnosti spočívala v sociáln</w:t>
      </w:r>
      <w:r>
        <w:rPr>
          <w:b/>
          <w:bCs/>
          <w:sz w:val="19"/>
          <w:szCs w:val="19"/>
        </w:rPr>
        <w:t>í práci. Primátorská činnost dr. Zenkla byla příliš krátká, aby vytvořila nějakou vyhraně</w:t>
      </w:r>
      <w:r>
        <w:rPr>
          <w:b/>
          <w:bCs/>
          <w:sz w:val="19"/>
          <w:szCs w:val="19"/>
        </w:rPr>
        <w:softHyphen/>
        <w:t>nou éru. Přes všechnu věcnou střízlivost a metodickou dů</w:t>
      </w:r>
      <w:r>
        <w:rPr>
          <w:b/>
          <w:bCs/>
          <w:sz w:val="19"/>
          <w:szCs w:val="19"/>
        </w:rPr>
        <w:softHyphen/>
        <w:t>slednost v sledování cíle byl i samosprávný profil Zenklův rozhodný typus politický, jak se to prokázalo práv</w:t>
      </w:r>
      <w:r>
        <w:rPr>
          <w:b/>
          <w:bCs/>
          <w:sz w:val="19"/>
          <w:szCs w:val="19"/>
        </w:rPr>
        <w:t>ě v po</w:t>
      </w:r>
      <w:r>
        <w:rPr>
          <w:b/>
          <w:bCs/>
          <w:sz w:val="19"/>
          <w:szCs w:val="19"/>
        </w:rPr>
        <w:softHyphen/>
        <w:t>hnutých dnech zářijových. Zenkl jako hlava sídelního města státu svým vstupem do vlády národní sebezáchovy jakoby symbolicky naznačoval souvztažnost obyvatelstva nej</w:t>
      </w:r>
      <w:r>
        <w:rPr>
          <w:b/>
          <w:bCs/>
          <w:sz w:val="19"/>
          <w:szCs w:val="19"/>
        </w:rPr>
        <w:softHyphen/>
        <w:t>většího města s osudem celého státu. Představitel nej- významnější obce jde v nejtě</w:t>
      </w:r>
      <w:r>
        <w:rPr>
          <w:b/>
          <w:bCs/>
          <w:sz w:val="19"/>
          <w:szCs w:val="19"/>
        </w:rPr>
        <w:t>žších chvílích země do vlády republiky, aby deklaroval tímto gestem vysoký podíl samo</w:t>
      </w:r>
      <w:r>
        <w:rPr>
          <w:b/>
          <w:bCs/>
          <w:sz w:val="19"/>
          <w:szCs w:val="19"/>
        </w:rPr>
        <w:softHyphen/>
        <w:t>správy na vývoji věcí obecných, zastupovaných státem, Než účast na vládě v těchto kritických okamžicích se rov</w:t>
      </w:r>
      <w:r>
        <w:rPr>
          <w:b/>
          <w:bCs/>
          <w:sz w:val="19"/>
          <w:szCs w:val="19"/>
        </w:rPr>
        <w:softHyphen/>
        <w:t>nala, jak jsme viděli i jinde, sebeobětování. U Zenkla tent</w:t>
      </w:r>
      <w:r>
        <w:rPr>
          <w:b/>
          <w:bCs/>
          <w:sz w:val="19"/>
          <w:szCs w:val="19"/>
        </w:rPr>
        <w:t>o start do politického propadla byl vystupňován ještě jeho účastí na vnitřní přestavbě českých politických poměrů.</w:t>
      </w:r>
    </w:p>
    <w:p w:rsidR="00500724" w:rsidRDefault="00F30FB8">
      <w:pPr>
        <w:pStyle w:val="Zkladntext100"/>
        <w:shd w:val="clear" w:color="auto" w:fill="auto"/>
        <w:spacing w:after="120" w:line="187" w:lineRule="auto"/>
        <w:ind w:firstLine="0"/>
        <w:jc w:val="center"/>
        <w:rPr>
          <w:sz w:val="19"/>
          <w:szCs w:val="19"/>
        </w:rPr>
      </w:pPr>
      <w:r>
        <w:rPr>
          <w:b/>
          <w:bCs/>
          <w:sz w:val="19"/>
          <w:szCs w:val="19"/>
        </w:rPr>
        <w:t>©</w:t>
      </w:r>
    </w:p>
    <w:p w:rsidR="00500724" w:rsidRDefault="00F30FB8">
      <w:pPr>
        <w:pStyle w:val="Zkladntext100"/>
        <w:shd w:val="clear" w:color="auto" w:fill="auto"/>
        <w:spacing w:after="60" w:line="187" w:lineRule="auto"/>
        <w:ind w:firstLine="220"/>
        <w:rPr>
          <w:sz w:val="19"/>
          <w:szCs w:val="19"/>
        </w:rPr>
      </w:pPr>
      <w:r>
        <w:rPr>
          <w:b/>
          <w:bCs/>
          <w:sz w:val="19"/>
          <w:szCs w:val="19"/>
        </w:rPr>
        <w:t>Nový správní orgán města Prahy neměl však ani dosta</w:t>
      </w:r>
      <w:r>
        <w:rPr>
          <w:b/>
          <w:bCs/>
          <w:sz w:val="19"/>
          <w:szCs w:val="19"/>
        </w:rPr>
        <w:softHyphen/>
        <w:t xml:space="preserve">tek času, aby se ustavil a uvedl do svých funkcí, a už byl podroben zatěžkací zkoušce </w:t>
      </w:r>
      <w:r>
        <w:rPr>
          <w:b/>
          <w:bCs/>
          <w:sz w:val="19"/>
          <w:szCs w:val="19"/>
        </w:rPr>
        <w:t>nejvážnější. Březnové události učinily z Prahy rázem hlavní město Protektorátu Čech a Moravy jako součásti Velké říše německé. Prove</w:t>
      </w:r>
      <w:r>
        <w:rPr>
          <w:b/>
          <w:bCs/>
          <w:sz w:val="19"/>
          <w:szCs w:val="19"/>
        </w:rPr>
        <w:softHyphen/>
        <w:t>dení této dalekosáhlé přeměny bylo doprovázeno oficiál</w:t>
      </w:r>
      <w:r>
        <w:rPr>
          <w:b/>
          <w:bCs/>
          <w:sz w:val="19"/>
          <w:szCs w:val="19"/>
        </w:rPr>
        <w:softHyphen/>
        <w:t>ními garanciemi, osobně vyjádřenými k representantům města.</w:t>
      </w:r>
    </w:p>
    <w:p w:rsidR="00500724" w:rsidRDefault="00F30FB8">
      <w:pPr>
        <w:pStyle w:val="Zkladntext100"/>
        <w:shd w:val="clear" w:color="auto" w:fill="auto"/>
        <w:spacing w:line="185" w:lineRule="auto"/>
        <w:ind w:firstLine="220"/>
        <w:rPr>
          <w:sz w:val="19"/>
          <w:szCs w:val="19"/>
        </w:rPr>
      </w:pPr>
      <w:r>
        <w:rPr>
          <w:b/>
          <w:bCs/>
          <w:sz w:val="19"/>
          <w:szCs w:val="19"/>
        </w:rPr>
        <w:t xml:space="preserve">Dříve </w:t>
      </w:r>
      <w:r>
        <w:rPr>
          <w:b/>
          <w:bCs/>
          <w:sz w:val="19"/>
          <w:szCs w:val="19"/>
        </w:rPr>
        <w:t>ještě nový stav věcí si vyžádal pozoruhodnou změnu. Zemský president český dr. Josef Sobotka hned</w:t>
      </w:r>
    </w:p>
    <w:p w:rsidR="00500724" w:rsidRDefault="00F30FB8">
      <w:pPr>
        <w:pStyle w:val="Zkladntext100"/>
        <w:numPr>
          <w:ilvl w:val="0"/>
          <w:numId w:val="39"/>
        </w:numPr>
        <w:shd w:val="clear" w:color="auto" w:fill="auto"/>
        <w:tabs>
          <w:tab w:val="left" w:pos="351"/>
        </w:tabs>
        <w:spacing w:after="60" w:line="185" w:lineRule="auto"/>
        <w:ind w:firstLine="0"/>
        <w:rPr>
          <w:sz w:val="19"/>
          <w:szCs w:val="19"/>
        </w:rPr>
      </w:pPr>
      <w:r>
        <w:rPr>
          <w:b/>
          <w:bCs/>
          <w:sz w:val="19"/>
          <w:szCs w:val="19"/>
        </w:rPr>
        <w:t>března ustanovil, že na předsedu správní komise hlav</w:t>
      </w:r>
      <w:r>
        <w:rPr>
          <w:b/>
          <w:bCs/>
          <w:sz w:val="19"/>
          <w:szCs w:val="19"/>
        </w:rPr>
        <w:softHyphen/>
        <w:t>ního města Prahy přecházejí veškerá práva a povinností primátora. Tímto opatřením požívá předseda JUDr. O</w:t>
      </w:r>
      <w:r>
        <w:rPr>
          <w:b/>
          <w:bCs/>
          <w:sz w:val="19"/>
          <w:szCs w:val="19"/>
        </w:rPr>
        <w:t xml:space="preserve">takar Klapka titulu primátora hlavního města Prahy. Zároveň však zemský president jmenoval náměstkem primátora dosavadního německého člena správní komise, </w:t>
      </w:r>
      <w:r>
        <w:rPr>
          <w:b/>
          <w:bCs/>
          <w:sz w:val="19"/>
          <w:szCs w:val="19"/>
          <w:lang w:val="en-US" w:eastAsia="en-US" w:bidi="en-US"/>
        </w:rPr>
        <w:t xml:space="preserve">prof, </w:t>
      </w:r>
      <w:r>
        <w:rPr>
          <w:b/>
          <w:bCs/>
          <w:sz w:val="19"/>
          <w:szCs w:val="19"/>
        </w:rPr>
        <w:t>dr, Josefa Pfitznera, který se téhož dne ujal svého úřadu. Primátor Klapka přizpůsobil také oka</w:t>
      </w:r>
      <w:r>
        <w:rPr>
          <w:b/>
          <w:bCs/>
          <w:sz w:val="19"/>
          <w:szCs w:val="19"/>
        </w:rPr>
        <w:t>mžitě vnitřní admi</w:t>
      </w:r>
      <w:r>
        <w:rPr>
          <w:b/>
          <w:bCs/>
          <w:sz w:val="19"/>
          <w:szCs w:val="19"/>
        </w:rPr>
        <w:softHyphen/>
        <w:t>nistrativní zařízení nově vzniklé potřebě a ustanovil, že ve styku s příslušníky německého národa je úřadovati v jejich mateřské řeči. Dalším příspěvkem, vyhovujícím okamžitým potřebám komunikační orientace, bude obou- jazyěné označení h</w:t>
      </w:r>
      <w:r>
        <w:rPr>
          <w:b/>
          <w:bCs/>
          <w:sz w:val="19"/>
          <w:szCs w:val="19"/>
        </w:rPr>
        <w:t>lavních pražských uličních tepen a prů- běžek spojovací linie Berlín—Praha—Vídeň. Konečně pražské německé národní skupině se dostalo širšího zař stoupení ve správní komisi a přidělení referátů.</w:t>
      </w:r>
    </w:p>
    <w:p w:rsidR="00500724" w:rsidRDefault="00F30FB8">
      <w:pPr>
        <w:pStyle w:val="Zkladntext100"/>
        <w:shd w:val="clear" w:color="auto" w:fill="auto"/>
        <w:spacing w:after="60" w:line="187" w:lineRule="auto"/>
        <w:ind w:firstLine="220"/>
        <w:rPr>
          <w:sz w:val="19"/>
          <w:szCs w:val="19"/>
        </w:rPr>
      </w:pPr>
      <w:r>
        <w:rPr>
          <w:b/>
          <w:bCs/>
          <w:sz w:val="19"/>
          <w:szCs w:val="19"/>
        </w:rPr>
        <w:t>To všecko jsou hlavní objektivní znaky nového vývoje české sam</w:t>
      </w:r>
      <w:r>
        <w:rPr>
          <w:b/>
          <w:bCs/>
          <w:sz w:val="19"/>
          <w:szCs w:val="19"/>
        </w:rPr>
        <w:t>osprávy. Samospráva nemůže činit nic jiného, než oddaně sloužit všem principům, jež vyhlásí za směro</w:t>
      </w:r>
      <w:r>
        <w:rPr>
          <w:b/>
          <w:bCs/>
          <w:sz w:val="19"/>
          <w:szCs w:val="19"/>
        </w:rPr>
        <w:softHyphen/>
        <w:t>datné výkonná vládní moc, opřená o ochranu činitelů pro- tektorátních, nebof jen tak bude v souhlase s represen</w:t>
      </w:r>
      <w:r>
        <w:rPr>
          <w:b/>
          <w:bCs/>
          <w:sz w:val="19"/>
          <w:szCs w:val="19"/>
        </w:rPr>
        <w:softHyphen/>
        <w:t xml:space="preserve">tantem politické vůle národa, nahrazujícím </w:t>
      </w:r>
      <w:r>
        <w:rPr>
          <w:b/>
          <w:bCs/>
          <w:sz w:val="19"/>
          <w:szCs w:val="19"/>
        </w:rPr>
        <w:t xml:space="preserve">dosavadní </w:t>
      </w:r>
      <w:r>
        <w:rPr>
          <w:b/>
          <w:bCs/>
          <w:sz w:val="26"/>
          <w:szCs w:val="26"/>
        </w:rPr>
        <w:t xml:space="preserve">i </w:t>
      </w:r>
      <w:r>
        <w:rPr>
          <w:b/>
          <w:bCs/>
          <w:sz w:val="19"/>
          <w:szCs w:val="19"/>
        </w:rPr>
        <w:t>zbylé politické stranictví ve výboru Národního souruěen- ství. Služba samosprávy je tak rozsáhlá a její vý</w:t>
      </w:r>
      <w:r>
        <w:rPr>
          <w:b/>
          <w:bCs/>
          <w:sz w:val="19"/>
          <w:szCs w:val="19"/>
        </w:rPr>
        <w:softHyphen/>
        <w:t>znam i pro nejnověji určenou budoucnost českého národa tak veliký, že ani Souručenství se neobejde bez vlastního ústředního orgánu, usměr</w:t>
      </w:r>
      <w:r>
        <w:rPr>
          <w:b/>
          <w:bCs/>
          <w:sz w:val="19"/>
          <w:szCs w:val="19"/>
        </w:rPr>
        <w:t>ňujícího a ří</w:t>
      </w:r>
      <w:r>
        <w:rPr>
          <w:b/>
          <w:bCs/>
          <w:sz w:val="19"/>
          <w:szCs w:val="19"/>
        </w:rPr>
        <w:softHyphen/>
        <w:t>dícího všechnu pracovní možnost samosprávy. To už bude úkolem soustřeďovacího výboru Národního sou</w:t>
      </w:r>
      <w:r>
        <w:rPr>
          <w:b/>
          <w:bCs/>
          <w:sz w:val="19"/>
          <w:szCs w:val="19"/>
        </w:rPr>
        <w:softHyphen/>
        <w:t>ručenství a nového pojetí českých ústavních otázek, jež jsou na pořadu dneška.</w:t>
      </w:r>
    </w:p>
    <w:p w:rsidR="00500724" w:rsidRDefault="00F30FB8">
      <w:pPr>
        <w:pStyle w:val="Zkladntext100"/>
        <w:shd w:val="clear" w:color="auto" w:fill="auto"/>
        <w:tabs>
          <w:tab w:val="left" w:pos="4075"/>
        </w:tabs>
        <w:spacing w:after="180" w:line="187" w:lineRule="auto"/>
        <w:ind w:firstLine="220"/>
        <w:rPr>
          <w:sz w:val="20"/>
          <w:szCs w:val="20"/>
        </w:rPr>
      </w:pPr>
      <w:r>
        <w:rPr>
          <w:b/>
          <w:bCs/>
          <w:sz w:val="19"/>
          <w:szCs w:val="19"/>
        </w:rPr>
        <w:t>K závěru je třeba se zmíniti o zvláštnostech vytvořeného stavu v</w:t>
      </w:r>
      <w:r>
        <w:rPr>
          <w:b/>
          <w:bCs/>
          <w:sz w:val="19"/>
          <w:szCs w:val="19"/>
        </w:rPr>
        <w:t xml:space="preserve"> Brně a Olomouci. Věříme, že dnešní úprava je odůvodněna soudobými napjatými poměry a že mimo řádnost řešení ustoupí zase platné normě v době uklidnění, V této souvislosti bude třeba řešit i jiné otázky ústavně- právní povahy, vzniklé zejména svérázným urč</w:t>
      </w:r>
      <w:r>
        <w:rPr>
          <w:b/>
          <w:bCs/>
          <w:sz w:val="19"/>
          <w:szCs w:val="19"/>
        </w:rPr>
        <w:t>ením státní příslušnosti obyvatel Protektorátu. S novou ústavní po sici našeho státního území musí být uvedeno v souhlas 1 znění obecního zřízení.</w:t>
      </w:r>
      <w:r>
        <w:rPr>
          <w:b/>
          <w:bCs/>
          <w:sz w:val="19"/>
          <w:szCs w:val="19"/>
        </w:rPr>
        <w:tab/>
      </w:r>
      <w:r>
        <w:rPr>
          <w:b/>
          <w:bCs/>
          <w:i/>
          <w:iCs/>
          <w:sz w:val="20"/>
          <w:szCs w:val="20"/>
        </w:rPr>
        <w:t>Jan Karta</w:t>
      </w:r>
    </w:p>
    <w:p w:rsidR="00500724" w:rsidRDefault="00F30FB8">
      <w:pPr>
        <w:pStyle w:val="Zkladntext30"/>
        <w:shd w:val="clear" w:color="auto" w:fill="auto"/>
        <w:spacing w:after="60" w:line="178" w:lineRule="auto"/>
        <w:ind w:firstLine="0"/>
        <w:jc w:val="center"/>
        <w:rPr>
          <w:sz w:val="20"/>
          <w:szCs w:val="20"/>
        </w:rPr>
      </w:pPr>
      <w:r>
        <w:rPr>
          <w:b/>
          <w:bCs/>
          <w:sz w:val="20"/>
          <w:szCs w:val="20"/>
        </w:rPr>
        <w:t>Božena Němcová</w:t>
      </w:r>
    </w:p>
    <w:p w:rsidR="00500724" w:rsidRDefault="00F30FB8">
      <w:pPr>
        <w:pStyle w:val="Zkladntext100"/>
        <w:shd w:val="clear" w:color="auto" w:fill="auto"/>
        <w:spacing w:after="60" w:line="187" w:lineRule="auto"/>
        <w:ind w:firstLine="0"/>
        <w:rPr>
          <w:sz w:val="19"/>
          <w:szCs w:val="19"/>
        </w:rPr>
      </w:pPr>
      <w:r>
        <w:rPr>
          <w:b/>
          <w:bCs/>
          <w:sz w:val="19"/>
          <w:szCs w:val="19"/>
        </w:rPr>
        <w:t>ěi přesněji řečeno soukromí jejího života stalo se v po</w:t>
      </w:r>
      <w:r>
        <w:rPr>
          <w:b/>
          <w:bCs/>
          <w:sz w:val="19"/>
          <w:szCs w:val="19"/>
        </w:rPr>
        <w:softHyphen/>
        <w:t>slední době opět předmětem z</w:t>
      </w:r>
      <w:r>
        <w:rPr>
          <w:b/>
          <w:bCs/>
          <w:sz w:val="19"/>
          <w:szCs w:val="19"/>
        </w:rPr>
        <w:t>výšené pozornosti, a příběh jejího smutného života je zase předkládán obecenstvu, bohužel, spíše čistě zvědavému než opravdu s účastí ho sledujícímu. Stále ještě kvetoucí módě románových mono</w:t>
      </w:r>
      <w:r>
        <w:rPr>
          <w:b/>
          <w:bCs/>
          <w:sz w:val="19"/>
          <w:szCs w:val="19"/>
        </w:rPr>
        <w:softHyphen/>
        <w:t>grafií, více nebo méně podložených prostudováním a objek</w:t>
      </w:r>
      <w:r>
        <w:rPr>
          <w:b/>
          <w:bCs/>
          <w:sz w:val="19"/>
          <w:szCs w:val="19"/>
        </w:rPr>
        <w:softHyphen/>
        <w:t xml:space="preserve">tivním </w:t>
      </w:r>
      <w:r>
        <w:rPr>
          <w:b/>
          <w:bCs/>
          <w:sz w:val="19"/>
          <w:szCs w:val="19"/>
        </w:rPr>
        <w:t>zpracováním historického materiálu, vyhovují dva romány ze života jemné básnířky a krásné ženy: Drnákův »Muž slavné ženy« a Synkova »Touha«. Náhodou vyšlo v blízkosti knihy Drnákovy a Synkovy nové, již čtvrté vy</w:t>
      </w:r>
      <w:r>
        <w:rPr>
          <w:b/>
          <w:bCs/>
          <w:sz w:val="19"/>
          <w:szCs w:val="19"/>
        </w:rPr>
        <w:softHyphen/>
        <w:t>dání monografie »Božena Němeová« od profesor</w:t>
      </w:r>
      <w:r>
        <w:rPr>
          <w:b/>
          <w:bCs/>
          <w:sz w:val="19"/>
          <w:szCs w:val="19"/>
        </w:rPr>
        <w:t>a Václava Tille, tentokrát s doplňujícími poznámkami Miloslava No</w:t>
      </w:r>
      <w:r>
        <w:rPr>
          <w:b/>
          <w:bCs/>
          <w:sz w:val="19"/>
          <w:szCs w:val="19"/>
        </w:rPr>
        <w:softHyphen/>
        <w:t>votného.</w:t>
      </w:r>
    </w:p>
    <w:p w:rsidR="00500724" w:rsidRDefault="00F30FB8">
      <w:pPr>
        <w:pStyle w:val="Zkladntext100"/>
        <w:shd w:val="clear" w:color="auto" w:fill="auto"/>
        <w:spacing w:after="60" w:line="190" w:lineRule="auto"/>
        <w:ind w:firstLine="320"/>
        <w:rPr>
          <w:sz w:val="19"/>
          <w:szCs w:val="19"/>
        </w:rPr>
      </w:pPr>
      <w:r>
        <w:rPr>
          <w:noProof/>
        </w:rPr>
        <mc:AlternateContent>
          <mc:Choice Requires="wps">
            <w:drawing>
              <wp:anchor distT="0" distB="254000" distL="114300" distR="114300" simplePos="0" relativeHeight="125829722" behindDoc="0" locked="0" layoutInCell="1" allowOverlap="1">
                <wp:simplePos x="0" y="0"/>
                <wp:positionH relativeFrom="page">
                  <wp:posOffset>435610</wp:posOffset>
                </wp:positionH>
                <wp:positionV relativeFrom="margin">
                  <wp:posOffset>9107805</wp:posOffset>
                </wp:positionV>
                <wp:extent cx="243840" cy="213360"/>
                <wp:effectExtent l="0" t="0" r="0" b="0"/>
                <wp:wrapTopAndBottom/>
                <wp:docPr id="345" name="Shape 345"/>
                <wp:cNvGraphicFramePr/>
                <a:graphic xmlns:a="http://schemas.openxmlformats.org/drawingml/2006/main">
                  <a:graphicData uri="http://schemas.microsoft.com/office/word/2010/wordprocessingShape">
                    <wps:wsp>
                      <wps:cNvSpPr txBox="1"/>
                      <wps:spPr>
                        <a:xfrm>
                          <a:off x="0" y="0"/>
                          <a:ext cx="24384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SO4</w:t>
                            </w:r>
                          </w:p>
                        </w:txbxContent>
                      </wps:txbx>
                      <wps:bodyPr lIns="0" tIns="0" rIns="0" bIns="0">
                        <a:spAutoFit/>
                      </wps:bodyPr>
                    </wps:wsp>
                  </a:graphicData>
                </a:graphic>
              </wp:anchor>
            </w:drawing>
          </mc:Choice>
          <mc:Fallback>
            <w:pict>
              <v:shape id="_x0000_s1371" type="#_x0000_t202" style="position:absolute;margin-left:34.299999999999997pt;margin-top:717.14999999999998pt;width:19.199999999999999pt;height:16.800000000000001pt;z-index:-125829031;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SO4</w:t>
                      </w:r>
                    </w:p>
                  </w:txbxContent>
                </v:textbox>
                <w10:wrap type="topAndBottom" anchorx="page" anchory="margin"/>
              </v:shape>
            </w:pict>
          </mc:Fallback>
        </mc:AlternateContent>
      </w:r>
      <w:r>
        <w:rPr>
          <w:b/>
          <w:bCs/>
          <w:sz w:val="19"/>
          <w:szCs w:val="19"/>
        </w:rPr>
        <w:t>Nechci tu podrobněji ani rozbírati zmíněné dva romány Synkův a Drnákův a obírati se jejich vhodností, ani vzdá</w:t>
      </w:r>
      <w:r>
        <w:rPr>
          <w:b/>
          <w:bCs/>
          <w:sz w:val="19"/>
          <w:szCs w:val="19"/>
        </w:rPr>
        <w:softHyphen/>
        <w:t xml:space="preserve">vat! novou chválu monografii profesora V. Tille. Chci jen </w:t>
      </w:r>
      <w:r>
        <w:rPr>
          <w:b/>
          <w:bCs/>
          <w:sz w:val="19"/>
          <w:szCs w:val="19"/>
        </w:rPr>
        <w:t>obecenstvu, které má o Boženu Němcovou a její smutný životní úděl opravdu zájem, a to zájem prostý, všední zvě</w:t>
      </w:r>
      <w:r>
        <w:rPr>
          <w:b/>
          <w:bCs/>
          <w:sz w:val="19"/>
          <w:szCs w:val="19"/>
        </w:rPr>
        <w:softHyphen/>
        <w:t>davosti, doporučit!, aby si nalezlo a pročetlo svazek již dříve vydané korespondence této velké ženy. Ta pozornému a citlivému čtenáři poví mnohe</w:t>
      </w:r>
      <w:r>
        <w:rPr>
          <w:b/>
          <w:bCs/>
          <w:sz w:val="19"/>
          <w:szCs w:val="19"/>
        </w:rPr>
        <w:t>m více než všechny romány</w:t>
      </w:r>
      <w:r>
        <w:br w:type="page"/>
      </w:r>
    </w:p>
    <w:p w:rsidR="00500724" w:rsidRDefault="00F30FB8">
      <w:pPr>
        <w:pStyle w:val="Zkladntext100"/>
        <w:shd w:val="clear" w:color="auto" w:fill="auto"/>
        <w:spacing w:line="187" w:lineRule="auto"/>
        <w:ind w:firstLine="0"/>
        <w:rPr>
          <w:sz w:val="19"/>
          <w:szCs w:val="19"/>
        </w:rPr>
      </w:pPr>
      <w:r>
        <w:rPr>
          <w:b/>
          <w:bCs/>
          <w:sz w:val="20"/>
          <w:szCs w:val="20"/>
        </w:rPr>
        <w:t xml:space="preserve">0 </w:t>
      </w:r>
      <w:r>
        <w:rPr>
          <w:b/>
          <w:bCs/>
          <w:sz w:val="19"/>
          <w:szCs w:val="19"/>
        </w:rPr>
        <w:t xml:space="preserve">jejím životě, ukáže mu nejlépe všechny jeho trampoty, všechno hoře i zklamání, celou tu bídu života tvora, jenž so stále zoufaleji probíjel k možnosti rozletu, usiloval O vyšší úroveň, snil o velké lásce — ale byl stejně </w:t>
      </w:r>
      <w:r>
        <w:rPr>
          <w:b/>
          <w:bCs/>
          <w:sz w:val="19"/>
          <w:szCs w:val="19"/>
        </w:rPr>
        <w:t>nepocho</w:t>
      </w:r>
      <w:r>
        <w:rPr>
          <w:b/>
          <w:bCs/>
          <w:sz w:val="19"/>
          <w:szCs w:val="19"/>
        </w:rPr>
        <w:softHyphen/>
        <w:t xml:space="preserve">pením a špatností lidí, jako tlakem nejvšednějších starostí o nejběžnější podmínky holého živobytí a nakonec i o pouhé opatření nejnutnějšího kousku chleba nemilosrdně srážen, odsouzen k předčasnému zestárnutí a trudnému umírání. Ale korespondence </w:t>
      </w:r>
      <w:r>
        <w:rPr>
          <w:b/>
          <w:bCs/>
          <w:sz w:val="19"/>
          <w:szCs w:val="19"/>
        </w:rPr>
        <w:t>Boženy Němcové — což je dů</w:t>
      </w:r>
      <w:r>
        <w:rPr>
          <w:b/>
          <w:bCs/>
          <w:sz w:val="19"/>
          <w:szCs w:val="19"/>
        </w:rPr>
        <w:softHyphen/>
        <w:t>ležitější — také přesvědčivěji a lépe než zběhlý romano</w:t>
      </w:r>
      <w:r>
        <w:rPr>
          <w:b/>
          <w:bCs/>
          <w:sz w:val="19"/>
          <w:szCs w:val="19"/>
        </w:rPr>
        <w:softHyphen/>
        <w:t>pisec ukáže i světlou stránku jejího života a postaví před čtenáře v jasném světle všechno ryzí bohatství její duše: pochopení pro jiné, živou účast na zájmech a osudech dru</w:t>
      </w:r>
      <w:r>
        <w:rPr>
          <w:b/>
          <w:bCs/>
          <w:sz w:val="19"/>
          <w:szCs w:val="19"/>
        </w:rPr>
        <w:softHyphen/>
        <w:t xml:space="preserve">hých, vřelou lásku k národu i opravdovou činorodou snahu mu prospěti, životní statečnost a hrdý vzdor. Dlouhá řada dopisů Němcové předvede čtenáři přebohatý obraz tehdejší doby a překvapí až, jak mnoho starostí, radosti, nadějí </w:t>
      </w:r>
      <w:r>
        <w:rPr>
          <w:b/>
          <w:bCs/>
          <w:sz w:val="20"/>
          <w:szCs w:val="20"/>
        </w:rPr>
        <w:t xml:space="preserve">i </w:t>
      </w:r>
      <w:r>
        <w:rPr>
          <w:b/>
          <w:bCs/>
          <w:sz w:val="19"/>
          <w:szCs w:val="19"/>
        </w:rPr>
        <w:t xml:space="preserve">zklamání tehdejších časů </w:t>
      </w:r>
      <w:r>
        <w:rPr>
          <w:b/>
          <w:bCs/>
          <w:sz w:val="19"/>
          <w:szCs w:val="19"/>
        </w:rPr>
        <w:t>by se dalo přímo přenésti do dneška. Připadá chvílemi, že čtete řádky, psané v nedáv</w:t>
      </w:r>
      <w:r>
        <w:rPr>
          <w:b/>
          <w:bCs/>
          <w:sz w:val="19"/>
          <w:szCs w:val="19"/>
        </w:rPr>
        <w:softHyphen/>
        <w:t>ných dnech. Při čtení korespondence Boženy Němcové vy</w:t>
      </w:r>
      <w:r>
        <w:rPr>
          <w:b/>
          <w:bCs/>
          <w:sz w:val="19"/>
          <w:szCs w:val="19"/>
        </w:rPr>
        <w:softHyphen/>
        <w:t>vstane vám také nejjasněji skvělý obraz jejího vzácného životního heroismu: v době nejkrutějšího utrpení a za bídy hm</w:t>
      </w:r>
      <w:r>
        <w:rPr>
          <w:b/>
          <w:bCs/>
          <w:sz w:val="19"/>
          <w:szCs w:val="19"/>
        </w:rPr>
        <w:t>otné i duševní píše svou »Babičku«, obraz životní pohody a životního optimismu. Jaký to příklad právě pro dnešní dobu, jaké povzbuzení pro nás všechny! Ano, takto se od</w:t>
      </w:r>
      <w:r>
        <w:rPr>
          <w:b/>
          <w:bCs/>
          <w:sz w:val="19"/>
          <w:szCs w:val="19"/>
        </w:rPr>
        <w:softHyphen/>
        <w:t>povídá na životní zkoušku! Tohle poučení hledejme v obra</w:t>
      </w:r>
      <w:r>
        <w:rPr>
          <w:b/>
          <w:bCs/>
          <w:sz w:val="19"/>
          <w:szCs w:val="19"/>
        </w:rPr>
        <w:softHyphen/>
        <w:t>ze života Boženy Němcové přede</w:t>
      </w:r>
      <w:r>
        <w:rPr>
          <w:b/>
          <w:bCs/>
          <w:sz w:val="19"/>
          <w:szCs w:val="19"/>
        </w:rPr>
        <w:t>vším.</w:t>
      </w:r>
    </w:p>
    <w:p w:rsidR="00500724" w:rsidRDefault="00F30FB8">
      <w:pPr>
        <w:pStyle w:val="Zkladntext100"/>
        <w:shd w:val="clear" w:color="auto" w:fill="auto"/>
        <w:spacing w:after="260" w:line="187" w:lineRule="auto"/>
        <w:ind w:firstLine="0"/>
        <w:jc w:val="right"/>
        <w:rPr>
          <w:sz w:val="19"/>
          <w:szCs w:val="19"/>
        </w:rPr>
      </w:pPr>
      <w:r>
        <w:rPr>
          <w:b/>
          <w:bCs/>
          <w:i/>
          <w:iCs/>
          <w:sz w:val="19"/>
          <w:szCs w:val="19"/>
        </w:rPr>
        <w:t>Dr. Přemysl Pražák</w:t>
      </w:r>
    </w:p>
    <w:p w:rsidR="00500724" w:rsidRDefault="00F30FB8">
      <w:pPr>
        <w:pStyle w:val="Nadpis90"/>
        <w:keepNext/>
        <w:keepLines/>
        <w:pBdr>
          <w:bottom w:val="single" w:sz="4" w:space="0" w:color="auto"/>
        </w:pBdr>
        <w:shd w:val="clear" w:color="auto" w:fill="auto"/>
        <w:spacing w:after="220"/>
      </w:pPr>
      <w:bookmarkStart w:id="336" w:name="bookmark335"/>
      <w:r>
        <w:rPr>
          <w:rFonts w:ascii="Times New Roman" w:eastAsia="Times New Roman" w:hAnsi="Times New Roman" w:cs="Times New Roman"/>
        </w:rPr>
        <w:t>politika</w:t>
      </w:r>
      <w:bookmarkEnd w:id="336"/>
    </w:p>
    <w:p w:rsidR="00500724" w:rsidRDefault="00F30FB8">
      <w:pPr>
        <w:pStyle w:val="Zkladntext30"/>
        <w:shd w:val="clear" w:color="auto" w:fill="auto"/>
        <w:spacing w:after="0" w:line="240" w:lineRule="auto"/>
        <w:ind w:firstLine="0"/>
        <w:rPr>
          <w:sz w:val="20"/>
          <w:szCs w:val="20"/>
        </w:rPr>
      </w:pPr>
      <w:r>
        <w:rPr>
          <w:i/>
          <w:iCs/>
          <w:sz w:val="20"/>
          <w:szCs w:val="20"/>
        </w:rPr>
        <w:t>Milena Jesenská.</w:t>
      </w:r>
    </w:p>
    <w:p w:rsidR="00500724" w:rsidRDefault="00F30FB8">
      <w:pPr>
        <w:pStyle w:val="Nadpis100"/>
        <w:shd w:val="clear" w:color="auto" w:fill="auto"/>
        <w:spacing w:after="60" w:line="240" w:lineRule="auto"/>
      </w:pPr>
      <w:bookmarkStart w:id="337" w:name="bookmark336"/>
      <w:r>
        <w:t>O umění zůstat stát</w:t>
      </w:r>
      <w:bookmarkEnd w:id="337"/>
    </w:p>
    <w:p w:rsidR="00500724" w:rsidRDefault="00F30FB8">
      <w:pPr>
        <w:pStyle w:val="Zkladntext30"/>
        <w:shd w:val="clear" w:color="auto" w:fill="auto"/>
        <w:spacing w:after="0" w:line="221" w:lineRule="auto"/>
        <w:ind w:firstLine="280"/>
      </w:pPr>
      <w:r>
        <w:t xml:space="preserve">Když se přihodí něco velmi, velmi rozhodného, co změní běh života všech lidí a co vyvolává nejistotu a současně tedy i strach, dostávají se lidé nějak do pohybu. Začínají utíkat. </w:t>
      </w:r>
      <w:r>
        <w:t>Nemyslím fysicky utíkat: ale duševně. Takových útěků je vidět teď mnoho kolem B kolem. Lidé, kteří celá léta něčemu věřili a svojí vírou vedli i jiné, ztrácejí půdu pod nohama, ale ztrá</w:t>
      </w:r>
      <w:r>
        <w:softHyphen/>
        <w:t>cejí současně i zdravý přehled a úsudek. Vyslovujíce slovo »vlast« maj</w:t>
      </w:r>
      <w:r>
        <w:t>í na mysli: »pro pána, copak jenom bude se mnou?« A propadají nějaké neurčité před</w:t>
      </w:r>
      <w:r>
        <w:softHyphen/>
        <w:t>stavě, že by bylo dobře něco udělat, aby vypadali tak či onak. Dávají se do překotného pohybu a utíkají buď zbrkle vpřed, nebo zbrkle vzad. Lidé, posedlí strachem, lidé, pos</w:t>
      </w:r>
      <w:r>
        <w:t>edli hořem nebo panikou, nejistotou nebo samotou, začnou utíkat. A jedni pak utíkají do</w:t>
      </w:r>
      <w:r>
        <w:softHyphen/>
        <w:t>předu a druzí dozadu. Jedni provádějí silácké kousky a druzí provádějí zbabělé kousky. Jedni si hrají na mučedníky, když je nikdo nemučí, a druzí prchají, třebaže je ni</w:t>
      </w:r>
      <w:r>
        <w:t>kdo nehoní. To však je asi podstata stra</w:t>
      </w:r>
      <w:r>
        <w:softHyphen/>
        <w:t>chu, že nedovolí člověku zůstat stát.</w:t>
      </w:r>
    </w:p>
    <w:p w:rsidR="00500724" w:rsidRDefault="00F30FB8">
      <w:pPr>
        <w:pStyle w:val="Zkladntext30"/>
        <w:shd w:val="clear" w:color="auto" w:fill="auto"/>
        <w:spacing w:after="60" w:line="221" w:lineRule="auto"/>
        <w:ind w:firstLine="280"/>
      </w:pPr>
      <w:r>
        <w:t>Zůstat stát znamená totiž klid, hledět do očí tomu, co neznám a vypořádat se s tím. Lidé, kteří utíkají vpřed, tvrdí potom: to jsem výtečník. Lidé, kteří utíkají vzad, ujišťují:</w:t>
      </w:r>
      <w:r>
        <w:t xml:space="preserve"> byl jsem donucen. Oba soustře</w:t>
      </w:r>
      <w:r>
        <w:softHyphen/>
        <w:t>ďují všechno dění světa na sebe, vidí sebe ve středu všech událostí a jsou přesvědčeni, že jejich skutek a jejich jednání je nejdůležitější; oba zapomínají na jediný smysl, který pojem národ může mít: že totiž nejsou sami. Ja</w:t>
      </w:r>
      <w:r>
        <w:t>kmile člověk odloučí vlastní osud od osudu osmi milionů, ztrácí v duši hlubokou podstatu toho, co to je národ: Hluboké vědomí kolektivní pří</w:t>
      </w:r>
      <w:r>
        <w:softHyphen/>
        <w:t>slušnosti k osmi milionům. Jakmile ve svém vědomí zůstává sám — pak ovšem hledá v duši nějaké gesto, kterým by se d</w:t>
      </w:r>
      <w:r>
        <w:t>al do pohybu. Samota je ve světě asi největší prokletí.</w:t>
      </w:r>
    </w:p>
    <w:p w:rsidR="00500724" w:rsidRDefault="00F30FB8">
      <w:pPr>
        <w:pStyle w:val="Zkladntext30"/>
        <w:shd w:val="clear" w:color="auto" w:fill="auto"/>
        <w:spacing w:after="60" w:line="221" w:lineRule="auto"/>
        <w:ind w:firstLine="0"/>
        <w:jc w:val="center"/>
      </w:pPr>
      <w:r>
        <w:t>•</w:t>
      </w:r>
    </w:p>
    <w:p w:rsidR="00500724" w:rsidRDefault="00F30FB8">
      <w:pPr>
        <w:pStyle w:val="Zkladntext30"/>
        <w:shd w:val="clear" w:color="auto" w:fill="auto"/>
        <w:spacing w:after="60" w:line="233" w:lineRule="auto"/>
        <w:ind w:firstLine="240"/>
      </w:pPr>
      <w:r>
        <w:t xml:space="preserve">Když jsem byla docela malá holka — to bylo ještě za Rakouska, poměry byly tehdy naprosto jiné, než dnes a nerada bych, aby mi bylo vyčteno, že se utíkám k reminiscencím. Dnes stojí vedle nás občané </w:t>
      </w:r>
      <w:r>
        <w:t>velkoněmecké říše a my Češi očekáváme — a jistě nám nikdo nezazlí, když řeknu, že chvílemi s obava</w:t>
      </w:r>
      <w:r>
        <w:softHyphen/>
        <w:t>mi — jak se náš vzájemný poměr vyvine. Tehdy to byla dusná doba rakouského a českého napětí a vzá</w:t>
      </w:r>
      <w:r>
        <w:softHyphen/>
        <w:t xml:space="preserve">jemné velké nelásky, doba, která nesla v sobě kořeny mnoha </w:t>
      </w:r>
      <w:r>
        <w:t>pozdějších nedobrých událostí.</w:t>
      </w:r>
    </w:p>
    <w:p w:rsidR="00500724" w:rsidRDefault="00F30FB8">
      <w:pPr>
        <w:pStyle w:val="Zkladntext30"/>
        <w:shd w:val="clear" w:color="auto" w:fill="auto"/>
        <w:spacing w:line="221" w:lineRule="auto"/>
        <w:ind w:firstLine="240"/>
      </w:pPr>
      <w:r>
        <w:rPr>
          <w:noProof/>
        </w:rPr>
        <mc:AlternateContent>
          <mc:Choice Requires="wps">
            <w:drawing>
              <wp:anchor distT="50800" distB="254000" distL="114300" distR="114300" simplePos="0" relativeHeight="125829724" behindDoc="0" locked="0" layoutInCell="1" allowOverlap="1">
                <wp:simplePos x="0" y="0"/>
                <wp:positionH relativeFrom="page">
                  <wp:posOffset>6816725</wp:posOffset>
                </wp:positionH>
                <wp:positionV relativeFrom="margin">
                  <wp:posOffset>9159240</wp:posOffset>
                </wp:positionV>
                <wp:extent cx="234950" cy="137160"/>
                <wp:effectExtent l="0" t="0" r="0" b="0"/>
                <wp:wrapTopAndBottom/>
                <wp:docPr id="347" name="Shape 347"/>
                <wp:cNvGraphicFramePr/>
                <a:graphic xmlns:a="http://schemas.openxmlformats.org/drawingml/2006/main">
                  <a:graphicData uri="http://schemas.microsoft.com/office/word/2010/wordprocessingShape">
                    <wps:wsp>
                      <wps:cNvSpPr txBox="1"/>
                      <wps:spPr>
                        <a:xfrm>
                          <a:off x="0" y="0"/>
                          <a:ext cx="234950" cy="137160"/>
                        </a:xfrm>
                        <a:prstGeom prst="rect">
                          <a:avLst/>
                        </a:prstGeom>
                        <a:noFill/>
                      </wps:spPr>
                      <wps:txbx>
                        <w:txbxContent>
                          <w:p w:rsidR="00500724" w:rsidRDefault="00F30FB8">
                            <w:pPr>
                              <w:pStyle w:val="Zkladntext40"/>
                              <w:shd w:val="clear" w:color="auto" w:fill="auto"/>
                              <w:spacing w:after="0" w:line="240" w:lineRule="auto"/>
                              <w:jc w:val="left"/>
                            </w:pPr>
                            <w:r>
                              <w:rPr>
                                <w:b/>
                                <w:bCs/>
                                <w:i/>
                                <w:iCs/>
                              </w:rPr>
                              <w:t>3,05</w:t>
                            </w:r>
                          </w:p>
                        </w:txbxContent>
                      </wps:txbx>
                      <wps:bodyPr lIns="0" tIns="0" rIns="0" bIns="0">
                        <a:spAutoFit/>
                      </wps:bodyPr>
                    </wps:wsp>
                  </a:graphicData>
                </a:graphic>
              </wp:anchor>
            </w:drawing>
          </mc:Choice>
          <mc:Fallback>
            <w:pict>
              <v:shape id="_x0000_s1373" type="#_x0000_t202" style="position:absolute;margin-left:536.75pt;margin-top:721.20000000000005pt;width:18.5pt;height:10.800000000000001pt;z-index:-125829029;mso-wrap-distance-left:9.pt;mso-wrap-distance-top:4.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3,05</w:t>
                      </w:r>
                    </w:p>
                  </w:txbxContent>
                </v:textbox>
                <w10:wrap type="topAndBottom" anchorx="page" anchory="margin"/>
              </v:shape>
            </w:pict>
          </mc:Fallback>
        </mc:AlternateContent>
      </w:r>
      <w:r>
        <w:t xml:space="preserve">Když jsem tedy byla malá holka, bydliia jsem na rohu Ulice 28. října a Příkopy i Václavské náměstí ležely před našimi okny jako na dlani. Tehdy to ovšem nebyly Příkopy, jako jsou dnes, ani Václavské náměstí se </w:t>
      </w:r>
      <w:r>
        <w:t>nepodobalo dnešnímu. Byly tam malé, ostatně překrásné budovy v pozdním baroku, a celé to bylo vlastně malé, provinční městečko s čisťoučkým náměstím. Napětí mezi Cechy a rakouskými Němci jevilo se tehdy všelijak, ale v neděli dopoledne mívalo už takový dem</w:t>
      </w:r>
      <w:r>
        <w:t>onstrační ráz: na pravé straně Příkop procházeli se němečtí studenti v barevných čepicích, a po levé straně chodili Češi v civilních šatech. Tu a tam to vyvrcholilo v nějaký chuchvalec, nějaké zpívání a nějakou nespokojenost — vídala jsem to, ale celkem js</w:t>
      </w:r>
      <w:r>
        <w:t>em tomu nerozuměla. Až pak přišla jednou jedna neděle, na kterou asi nikdy nezapomenu, co budu živa: vidím to jenom jako vzpomínku a ne</w:t>
      </w:r>
      <w:r>
        <w:softHyphen/>
        <w:t>vím, proč to bylo. Od Prašné brány pochodovali rakouští studenti ve svých barevných čepicích, ale nikoli už po chodníku,</w:t>
      </w:r>
      <w:r>
        <w:t xml:space="preserve"> nýbrž prostředkem ulice. Zpí</w:t>
      </w:r>
      <w:r>
        <w:softHyphen/>
        <w:t>vali, šli uceleně a dunivým, ukázněným krokem. Na</w:t>
      </w:r>
      <w:r>
        <w:softHyphen/>
        <w:t>jednou vyšel z Václavského náměstí zástup Cechů —■ a taky nešli po chodnících, taky šli středem ulice. Šli mlčky. Maminka mne držela v okně za ruku, trochu silněji, než bylo tř</w:t>
      </w:r>
      <w:r>
        <w:t>eba. A v první řadě těch českých lidí šel můj táta. Poznala jsem ho z okna a měla jsem velkou radost, ale maminka byla bílá, jako stěna, a radost zřejmě neměla. A pak to šlo ráz naráz: z Ha</w:t>
      </w:r>
      <w:r>
        <w:softHyphen/>
        <w:t>vířské ulice vyběhl najednou zástup policie a postavil se mezi oba</w:t>
      </w:r>
      <w:r>
        <w:t xml:space="preserve"> tábory. Příkopy byly uzavřeny těm i oněm. Ale i ti i oni šli pořád dál. Pořád dál. Pak do</w:t>
      </w:r>
      <w:r>
        <w:softHyphen/>
        <w:t>razili Češi až ke kordonu policistů a byli vyzváni, aby se zastavili. Byli vyzváni ještě jednou. A pak po třetí. Nevím už vůbec, co se pak stalo. Vím, že třeskly ně</w:t>
      </w:r>
      <w:r>
        <w:softHyphen/>
      </w:r>
      <w:r>
        <w:t>jaké rány, že celý zástup českých lidí se proměnil z tichého v křičící, že Příkopy byly nějak naráz prázdné, ale že tam zůstal jeden člověk před puška</w:t>
      </w:r>
      <w:r>
        <w:softHyphen/>
        <w:t>mi stát — můj táta. Pamatuji se docela jasně, na</w:t>
      </w:r>
      <w:r>
        <w:softHyphen/>
        <w:t>prosto jasně, jak stál. Klidně, s rukama podle těla. Ved</w:t>
      </w:r>
      <w:r>
        <w:t>le něho leželo na zemi něco hrozně podivného — nevím, zdali jste viděli, jak vypadá postřelený člověk, když se zhroutí. Nemá nic lidského, vypadá, jako po</w:t>
      </w:r>
      <w:r>
        <w:softHyphen/>
        <w:t xml:space="preserve">hozený hadr. Asi to byla minuta, co táta takhle stál — nám s maminkou to připadalo jako roky. Pak se </w:t>
      </w:r>
      <w:r>
        <w:t>shýbl a začal obvazovat tu lidskou trosku, která ležela vedle něho na dlažbě. Maminka měla oči při</w:t>
      </w:r>
      <w:r>
        <w:softHyphen/>
        <w:t>vřené a po tvářích jí tekly dvě velké slzy. Pamatuji se, že mne vzala do náručí, jako by mne chtěla udusit. Tehdy jsem nevěděla, co to bylo. Cítila jsem jeno</w:t>
      </w:r>
      <w:r>
        <w:t>m velké napětí, nesnesitelné napětí a matčino rozčilení.</w:t>
      </w:r>
    </w:p>
    <w:p w:rsidR="00500724" w:rsidRDefault="00F30FB8">
      <w:pPr>
        <w:pStyle w:val="Zkladntext30"/>
        <w:shd w:val="clear" w:color="auto" w:fill="auto"/>
        <w:spacing w:line="230" w:lineRule="auto"/>
        <w:ind w:firstLine="280"/>
      </w:pPr>
      <w:r>
        <w:t>Později, když jsem viděla několikrát zástup českých dělníků, do kterých střílela česká policie, když jsem četla o Slovácích, raněných českými četníky, když jsem si uvědomila, jak je těžké neutíkat, k</w:t>
      </w:r>
      <w:r>
        <w:t>dyž utíká celý zástup, a jak je nesmírně těžké zůstat stát, když se něco děje — později jsem teprve pochopila, jak vzácné je: umět zůstat stát.</w:t>
      </w:r>
    </w:p>
    <w:p w:rsidR="00500724" w:rsidRDefault="00F30FB8">
      <w:pPr>
        <w:pStyle w:val="Zkladntext30"/>
        <w:shd w:val="clear" w:color="auto" w:fill="auto"/>
        <w:spacing w:line="240" w:lineRule="auto"/>
        <w:ind w:firstLine="0"/>
        <w:jc w:val="center"/>
        <w:rPr>
          <w:sz w:val="20"/>
          <w:szCs w:val="20"/>
        </w:rPr>
      </w:pPr>
      <w:r>
        <w:rPr>
          <w:sz w:val="20"/>
          <w:szCs w:val="20"/>
        </w:rPr>
        <w:t>•</w:t>
      </w:r>
    </w:p>
    <w:p w:rsidR="00500724" w:rsidRDefault="00F30FB8">
      <w:pPr>
        <w:pStyle w:val="Zkladntext30"/>
        <w:shd w:val="clear" w:color="auto" w:fill="auto"/>
        <w:spacing w:line="223" w:lineRule="auto"/>
        <w:ind w:firstLine="280"/>
      </w:pPr>
      <w:r>
        <w:t xml:space="preserve">Pak jsem viděla něco podobného ještě jednou. Ovšem, za docela jiných okolností. Bylo to ve válce a v divadle. </w:t>
      </w:r>
      <w:r>
        <w:t xml:space="preserve">Tehdy ještě Češi neměli na mysli vlastni samostatnost a nic takového se nedělo. Jenom to češství jim vězelo v srdcích, jako trn slezové růže </w:t>
      </w:r>
      <w:r>
        <w:rPr>
          <w:b/>
          <w:bCs/>
          <w:sz w:val="26"/>
          <w:szCs w:val="26"/>
        </w:rPr>
        <w:t xml:space="preserve">z </w:t>
      </w:r>
      <w:r>
        <w:t>české zahrádky. Na jevišti se hrála Tylova »Fidlo- vačka«, věc celkem naivní, stará a nezábavná. Ale pak najednou</w:t>
      </w:r>
      <w:r>
        <w:t xml:space="preserve"> začali zpívat Kde domov můj. Víte, žádná státní hymna, ba ne, národní, česká písnička to tehdy byla. Ale najednou přede mnou někdo vstal. Nějaký pán, tiše a klidně, ruce podle těla. Nevím, co chtěl říci, ale byla to taková pocta české písně. Za chvíli vst</w:t>
      </w:r>
      <w:r>
        <w:t>al druhý. Pak jich několik. A pak jsme stáli všichni. Pak jsme zpívali. Ta píseň se tehdy hrála několikrát a hrála se tak vroucně a vřele, jako modlit</w:t>
      </w:r>
      <w:r>
        <w:softHyphen/>
        <w:t>ba. Kde domov můj nebyla totiž píseň proti někomu, ale pro něco. Nepřála si něčí zkázy, ale našeho trvá</w:t>
      </w:r>
      <w:r>
        <w:softHyphen/>
        <w:t>n</w:t>
      </w:r>
      <w:r>
        <w:t xml:space="preserve">í. Není to píseň bojovná, ale píseň našeho českého domova, té země bez patetické krajiny, země kopců a pahorků, polí a lánů, bříz, vrb a košatých lip, země vonných mezí mezi polmi a tichých potůčků. Země, kde jsme doma. Bylo krásné stát při ní, protože je </w:t>
      </w:r>
      <w:r>
        <w:t>vždycky krásné milovat domov. Uvědomila jsem si tehdy, že umět stát je důstojné, čestné a přimé.</w:t>
      </w:r>
    </w:p>
    <w:p w:rsidR="00500724" w:rsidRDefault="00F30FB8">
      <w:pPr>
        <w:pStyle w:val="Zkladntext30"/>
        <w:shd w:val="clear" w:color="auto" w:fill="auto"/>
        <w:spacing w:line="240" w:lineRule="auto"/>
        <w:ind w:firstLine="0"/>
        <w:jc w:val="center"/>
        <w:rPr>
          <w:sz w:val="20"/>
          <w:szCs w:val="20"/>
        </w:rPr>
      </w:pPr>
      <w:r>
        <w:rPr>
          <w:sz w:val="20"/>
          <w:szCs w:val="20"/>
        </w:rPr>
        <w:t>•</w:t>
      </w:r>
    </w:p>
    <w:p w:rsidR="00500724" w:rsidRDefault="00F30FB8">
      <w:pPr>
        <w:pStyle w:val="Zkladntext30"/>
        <w:shd w:val="clear" w:color="auto" w:fill="auto"/>
        <w:spacing w:line="221" w:lineRule="auto"/>
        <w:ind w:firstLine="280"/>
      </w:pPr>
      <w:r>
        <w:t>Nejsme a nebyli jsme nikdy v situaci stavět se proti někomu. Pakliže jsme to z jakési mladé zpup</w:t>
      </w:r>
      <w:r>
        <w:softHyphen/>
        <w:t>nosti dělali, vidíme jasně, že to nepřineslo ovoce. Ne</w:t>
      </w:r>
      <w:r>
        <w:softHyphen/>
        <w:t xml:space="preserve">jsme </w:t>
      </w:r>
      <w:r>
        <w:t>také v situaci, kdy bychom mohli s dobrým svě</w:t>
      </w:r>
      <w:r>
        <w:softHyphen/>
        <w:t>domím a klidným srdcem někde ve světě někomu věřit: pakliže jsme to v mladé nezkušenosti dělali, vidíme jasně, jak maloučko stačilo, aby velké státy mávnutím ruky zrušily slovo, dané státu malému — tytéž státy,</w:t>
      </w:r>
      <w:r>
        <w:t xml:space="preserve"> které dnes tak plny rozhořčení hovoří o »bezpráví, které se děje státům malým«. Ani v na</w:t>
      </w:r>
      <w:r>
        <w:softHyphen/>
        <w:t>šich srdcích ani v naší povaze nevyrostlo záští proti někomu. Za to však veliká láska pro to, co je české.</w:t>
      </w:r>
    </w:p>
    <w:p w:rsidR="00500724" w:rsidRDefault="00F30FB8">
      <w:pPr>
        <w:pStyle w:val="Zkladntext30"/>
        <w:shd w:val="clear" w:color="auto" w:fill="auto"/>
        <w:spacing w:after="160"/>
        <w:ind w:firstLine="280"/>
      </w:pPr>
      <w:r>
        <w:t>Celý minulý rok naučil nás jedné věci: je třeba umět zůstat</w:t>
      </w:r>
      <w:r>
        <w:t xml:space="preserve"> stát. S hlavou obnaženou a vroucí láskou v srdci, v hluboké důstojnosti, otevřenosti a poctivosti zůstat stát vedle všeho, co je české. Nikdy žádný ná</w:t>
      </w:r>
      <w:r>
        <w:softHyphen/>
        <w:t>rod na světě nezůstal národem nezlomeným, neměl-li odvahu se ku své národní lásce znát: vzpřímeně a čest</w:t>
      </w:r>
      <w:r>
        <w:t>ně. Nikdy neměl žádný národ na světě budoucnost, nebyl-li ochoten při své myšlence stát</w:t>
      </w:r>
    </w:p>
    <w:p w:rsidR="00500724" w:rsidRDefault="00F30FB8">
      <w:pPr>
        <w:pStyle w:val="Zkladntext30"/>
        <w:shd w:val="clear" w:color="auto" w:fill="auto"/>
        <w:spacing w:line="223" w:lineRule="auto"/>
        <w:ind w:firstLine="0"/>
      </w:pPr>
      <w:r>
        <w:t>SOÓ</w:t>
      </w:r>
    </w:p>
    <w:p w:rsidR="00500724" w:rsidRDefault="00F30FB8">
      <w:pPr>
        <w:pStyle w:val="Zkladntext40"/>
        <w:shd w:val="clear" w:color="auto" w:fill="auto"/>
        <w:spacing w:after="0" w:line="240" w:lineRule="auto"/>
        <w:jc w:val="left"/>
      </w:pPr>
      <w:r>
        <w:rPr>
          <w:b/>
          <w:bCs/>
          <w:i/>
          <w:iCs/>
        </w:rPr>
        <w:t>F. Peroutka:</w:t>
      </w:r>
    </w:p>
    <w:p w:rsidR="00500724" w:rsidRDefault="00F30FB8">
      <w:pPr>
        <w:pStyle w:val="Jin0"/>
        <w:shd w:val="clear" w:color="auto" w:fill="auto"/>
        <w:spacing w:line="216" w:lineRule="auto"/>
        <w:ind w:firstLine="0"/>
        <w:jc w:val="left"/>
        <w:rPr>
          <w:sz w:val="34"/>
          <w:szCs w:val="34"/>
        </w:rPr>
      </w:pPr>
      <w:r>
        <w:rPr>
          <w:b/>
          <w:bCs/>
          <w:sz w:val="34"/>
          <w:szCs w:val="34"/>
        </w:rPr>
        <w:t>Když se tvořil poměr k Německu</w:t>
      </w:r>
    </w:p>
    <w:p w:rsidR="00500724" w:rsidRDefault="00F30FB8">
      <w:pPr>
        <w:pStyle w:val="Jin0"/>
        <w:shd w:val="clear" w:color="auto" w:fill="auto"/>
        <w:ind w:firstLine="0"/>
        <w:jc w:val="center"/>
        <w:rPr>
          <w:sz w:val="26"/>
          <w:szCs w:val="26"/>
        </w:rPr>
      </w:pPr>
      <w:r>
        <w:rPr>
          <w:b/>
          <w:bCs/>
          <w:sz w:val="26"/>
          <w:szCs w:val="26"/>
        </w:rPr>
        <w:t>n.</w:t>
      </w:r>
    </w:p>
    <w:p w:rsidR="00500724" w:rsidRDefault="00F30FB8">
      <w:pPr>
        <w:pStyle w:val="Zkladntext30"/>
        <w:shd w:val="clear" w:color="auto" w:fill="auto"/>
        <w:spacing w:after="0" w:line="206" w:lineRule="auto"/>
        <w:ind w:firstLine="0"/>
        <w:jc w:val="center"/>
        <w:rPr>
          <w:sz w:val="20"/>
          <w:szCs w:val="20"/>
        </w:rPr>
      </w:pPr>
      <w:r>
        <w:rPr>
          <w:sz w:val="20"/>
          <w:szCs w:val="20"/>
        </w:rPr>
        <w:t>Ústava a Němci</w:t>
      </w:r>
    </w:p>
    <w:p w:rsidR="00500724" w:rsidRDefault="00F30FB8">
      <w:pPr>
        <w:pStyle w:val="Zkladntext30"/>
        <w:shd w:val="clear" w:color="auto" w:fill="auto"/>
        <w:spacing w:after="0" w:line="206" w:lineRule="auto"/>
        <w:rPr>
          <w:sz w:val="20"/>
          <w:szCs w:val="20"/>
        </w:rPr>
      </w:pPr>
      <w:r>
        <w:rPr>
          <w:sz w:val="20"/>
          <w:szCs w:val="20"/>
        </w:rPr>
        <w:t xml:space="preserve">»t. Je </w:t>
      </w:r>
      <w:r>
        <w:rPr>
          <w:b/>
          <w:bCs/>
          <w:sz w:val="14"/>
          <w:szCs w:val="14"/>
        </w:rPr>
        <w:t xml:space="preserve">u </w:t>
      </w:r>
      <w:r>
        <w:rPr>
          <w:sz w:val="20"/>
          <w:szCs w:val="20"/>
        </w:rPr>
        <w:t>nás dosti lidí, kteří se domnívali, že v našem samostatném státě povede se nějaký nový »život</w:t>
      </w:r>
      <w:r>
        <w:rPr>
          <w:sz w:val="20"/>
          <w:szCs w:val="20"/>
        </w:rPr>
        <w:t xml:space="preserve"> starých Slovanů*... A jsou jiní lidé, kteří se domnívají, že v na</w:t>
      </w:r>
      <w:r>
        <w:rPr>
          <w:sz w:val="20"/>
          <w:szCs w:val="20"/>
        </w:rPr>
        <w:softHyphen/>
        <w:t>šem státě musí býti nějak obzvláště jasně vyznačeno, že v staletém boji Cechů s Němci my zůstali vítězi a Ger</w:t>
      </w:r>
      <w:r>
        <w:rPr>
          <w:sz w:val="20"/>
          <w:szCs w:val="20"/>
        </w:rPr>
        <w:softHyphen/>
        <w:t>máni poraženými.</w:t>
      </w:r>
    </w:p>
    <w:p w:rsidR="00500724" w:rsidRDefault="00F30FB8">
      <w:pPr>
        <w:pStyle w:val="Zkladntext30"/>
        <w:shd w:val="clear" w:color="auto" w:fill="auto"/>
        <w:spacing w:after="0" w:line="206" w:lineRule="auto"/>
        <w:rPr>
          <w:sz w:val="20"/>
          <w:szCs w:val="20"/>
        </w:rPr>
      </w:pPr>
      <w:r>
        <w:rPr>
          <w:sz w:val="20"/>
          <w:szCs w:val="20"/>
        </w:rPr>
        <w:t>Někdo zde musí býti, kdo udržuje stát a kdo ho ne</w:t>
      </w:r>
      <w:r>
        <w:rPr>
          <w:sz w:val="20"/>
          <w:szCs w:val="20"/>
        </w:rPr>
        <w:softHyphen/>
        <w:t>ohrožuje rad</w:t>
      </w:r>
      <w:r>
        <w:rPr>
          <w:sz w:val="20"/>
          <w:szCs w:val="20"/>
        </w:rPr>
        <w:t>ikalismem. A již dvě velké strany politické,, Čeští socialisté a agrárníci, poznaly, že nemůže nám jiti o to, abychom měli z republiky hračku, vyšňořenou v ná</w:t>
      </w:r>
      <w:r>
        <w:rPr>
          <w:sz w:val="20"/>
          <w:szCs w:val="20"/>
        </w:rPr>
        <w:softHyphen/>
        <w:t>rodních táborech a barvách, nýbrž musí nám jiti o to, aby</w:t>
      </w:r>
      <w:r>
        <w:rPr>
          <w:sz w:val="20"/>
          <w:szCs w:val="20"/>
        </w:rPr>
        <w:softHyphen/>
        <w:t xml:space="preserve">chom měli stát, neodporující modernímu </w:t>
      </w:r>
      <w:r>
        <w:rPr>
          <w:sz w:val="20"/>
          <w:szCs w:val="20"/>
        </w:rPr>
        <w:t>duchu, stát svo</w:t>
      </w:r>
      <w:r>
        <w:rPr>
          <w:sz w:val="20"/>
          <w:szCs w:val="20"/>
        </w:rPr>
        <w:softHyphen/>
        <w:t>bodný a lidový, spokojeností občanů co nejvíce zabezpe</w:t>
      </w:r>
      <w:r>
        <w:rPr>
          <w:sz w:val="20"/>
          <w:szCs w:val="20"/>
        </w:rPr>
        <w:softHyphen/>
        <w:t>čený pro dobu bouři, hospodářsky prospívající a umírněný proto, aby byl trvanlivý. Staré latinské pořekadlo zní: moderata durant. Jen umírněné trvá... Dovedly-li tyto dvě politické stra</w:t>
      </w:r>
      <w:r>
        <w:rPr>
          <w:sz w:val="20"/>
          <w:szCs w:val="20"/>
        </w:rPr>
        <w:t>ny raději se dáti handicapovati pro vol</w:t>
      </w:r>
      <w:r>
        <w:rPr>
          <w:sz w:val="20"/>
          <w:szCs w:val="20"/>
        </w:rPr>
        <w:softHyphen/>
        <w:t>by, svědčí to o značné míře jejich státního smyslu.</w:t>
      </w:r>
    </w:p>
    <w:p w:rsidR="00500724" w:rsidRDefault="00F30FB8">
      <w:pPr>
        <w:pStyle w:val="Zkladntext30"/>
        <w:shd w:val="clear" w:color="auto" w:fill="auto"/>
        <w:spacing w:after="0" w:line="206" w:lineRule="auto"/>
        <w:rPr>
          <w:sz w:val="20"/>
          <w:szCs w:val="20"/>
        </w:rPr>
      </w:pPr>
      <w:r>
        <w:rPr>
          <w:sz w:val="20"/>
          <w:szCs w:val="20"/>
        </w:rPr>
        <w:t>Nemůžeme a nesmíme vytvořiti nějakou ústavu, která by z Němců dělala občany druhého řádu nebo cizince. Mu</w:t>
      </w:r>
      <w:r>
        <w:rPr>
          <w:sz w:val="20"/>
          <w:szCs w:val="20"/>
        </w:rPr>
        <w:softHyphen/>
        <w:t xml:space="preserve">síme už jednou přestátí s tou bájkou </w:t>
      </w:r>
      <w:r>
        <w:rPr>
          <w:b/>
          <w:bCs/>
          <w:sz w:val="14"/>
          <w:szCs w:val="14"/>
        </w:rPr>
        <w:t xml:space="preserve">o </w:t>
      </w:r>
      <w:r>
        <w:rPr>
          <w:sz w:val="20"/>
          <w:szCs w:val="20"/>
        </w:rPr>
        <w:t xml:space="preserve">kolonistech. I my, </w:t>
      </w:r>
      <w:r>
        <w:rPr>
          <w:sz w:val="20"/>
          <w:szCs w:val="20"/>
        </w:rPr>
        <w:t>Jsme vlastně kolonisty v této zemi, a museli bychom se studem zarděti před starými Boji, na nichž jsme této zeměi dobyli, začneme-li již jednou posuzovat záležitost podle toho, kdo kolik století v té zemi bydlí a odkud se sem při</w:t>
      </w:r>
      <w:r>
        <w:rPr>
          <w:sz w:val="20"/>
          <w:szCs w:val="20"/>
        </w:rPr>
        <w:softHyphen/>
        <w:t>stěhoval. Němci přišli o d</w:t>
      </w:r>
      <w:r>
        <w:rPr>
          <w:sz w:val="20"/>
          <w:szCs w:val="20"/>
        </w:rPr>
        <w:t>vě, tři sta let později než my do této země — to už je k nároku na domácí práva také hez</w:t>
      </w:r>
      <w:r>
        <w:rPr>
          <w:sz w:val="20"/>
          <w:szCs w:val="20"/>
        </w:rPr>
        <w:softHyphen/>
        <w:t>ká řada let.</w:t>
      </w:r>
    </w:p>
    <w:p w:rsidR="00500724" w:rsidRDefault="00F30FB8">
      <w:pPr>
        <w:pStyle w:val="Zkladntext30"/>
        <w:shd w:val="clear" w:color="auto" w:fill="auto"/>
        <w:spacing w:after="0" w:line="206" w:lineRule="auto"/>
        <w:rPr>
          <w:sz w:val="20"/>
          <w:szCs w:val="20"/>
        </w:rPr>
      </w:pPr>
      <w:r>
        <w:rPr>
          <w:sz w:val="20"/>
          <w:szCs w:val="20"/>
        </w:rPr>
        <w:t xml:space="preserve">Máme Němcům demonstrovat makavě, že občan jiného, než českého nebo slovenského jazyka nemůže a nesmi vůbec dívati se na naši republiku jako na svůj stát, </w:t>
      </w:r>
      <w:r>
        <w:rPr>
          <w:sz w:val="20"/>
          <w:szCs w:val="20"/>
        </w:rPr>
        <w:t xml:space="preserve">že nemá téhož práva dovolávati se ho a tudíž ovšem ani téže povinnosti k němu? Vime, že takovou národnostní politiku dělalo Rakousko, Uhersko a víme také, kam to přivedli: Versailles, </w:t>
      </w:r>
      <w:r>
        <w:rPr>
          <w:sz w:val="20"/>
          <w:szCs w:val="20"/>
          <w:lang w:val="en-US" w:eastAsia="en-US" w:bidi="en-US"/>
        </w:rPr>
        <w:t xml:space="preserve">Saint Germain, Neuilly. </w:t>
      </w:r>
      <w:r>
        <w:rPr>
          <w:sz w:val="20"/>
          <w:szCs w:val="20"/>
        </w:rPr>
        <w:t>Snad by v celé Fran</w:t>
      </w:r>
      <w:r>
        <w:rPr>
          <w:sz w:val="20"/>
          <w:szCs w:val="20"/>
        </w:rPr>
        <w:softHyphen/>
        <w:t>cii také našlo se jistě něja</w:t>
      </w:r>
      <w:r>
        <w:rPr>
          <w:sz w:val="20"/>
          <w:szCs w:val="20"/>
        </w:rPr>
        <w:t>ké místo, kam bychom to při</w:t>
      </w:r>
      <w:r>
        <w:rPr>
          <w:sz w:val="20"/>
          <w:szCs w:val="20"/>
        </w:rPr>
        <w:softHyphen/>
        <w:t>vedli my, kdybychom chtěli oživovati staré metody.</w:t>
      </w:r>
    </w:p>
    <w:p w:rsidR="00500724" w:rsidRDefault="00F30FB8">
      <w:pPr>
        <w:pStyle w:val="Zkladntext30"/>
        <w:shd w:val="clear" w:color="auto" w:fill="auto"/>
        <w:spacing w:after="0" w:line="206" w:lineRule="auto"/>
        <w:rPr>
          <w:sz w:val="20"/>
          <w:szCs w:val="20"/>
        </w:rPr>
      </w:pPr>
      <w:r>
        <w:rPr>
          <w:sz w:val="20"/>
          <w:szCs w:val="20"/>
        </w:rPr>
        <w:t xml:space="preserve">Co jest to jiného, než pouhý paragraí, bude-li státi </w:t>
      </w:r>
      <w:r>
        <w:rPr>
          <w:b/>
          <w:bCs/>
          <w:sz w:val="14"/>
          <w:szCs w:val="14"/>
        </w:rPr>
        <w:t xml:space="preserve">v </w:t>
      </w:r>
      <w:r>
        <w:rPr>
          <w:sz w:val="20"/>
          <w:szCs w:val="20"/>
        </w:rPr>
        <w:t xml:space="preserve">ústavě, že řeč československá je řečí státní? Můžeme takovým diktátem postaviti na hlavu skutečnost, že stát náš není </w:t>
      </w:r>
      <w:r>
        <w:rPr>
          <w:sz w:val="20"/>
          <w:szCs w:val="20"/>
        </w:rPr>
        <w:t>státem národním, nýbrž národnostním, i kdyby</w:t>
      </w:r>
      <w:r>
        <w:rPr>
          <w:sz w:val="20"/>
          <w:szCs w:val="20"/>
        </w:rPr>
        <w:softHyphen/>
        <w:t>chom to měli stokrát v mírových smlouvách? Mírová smlouva je pro nás, ne my pro mírovou smlouvu. Mirová smlouva byla by mohla pro nás vypadnout! třeba ještě výhodněji, snad by tam mohlo býti pojato ustanovení, ž</w:t>
      </w:r>
      <w:r>
        <w:rPr>
          <w:sz w:val="20"/>
          <w:szCs w:val="20"/>
        </w:rPr>
        <w:t>e Němec má Čecha na ulici zdravit: brzo by se nám stala taková výhodná smlouva obtížnou.</w:t>
      </w:r>
    </w:p>
    <w:p w:rsidR="00500724" w:rsidRDefault="00F30FB8">
      <w:pPr>
        <w:pStyle w:val="Zkladntext30"/>
        <w:shd w:val="clear" w:color="auto" w:fill="auto"/>
        <w:spacing w:after="0" w:line="206" w:lineRule="auto"/>
        <w:rPr>
          <w:sz w:val="20"/>
          <w:szCs w:val="20"/>
        </w:rPr>
      </w:pPr>
      <w:r>
        <w:rPr>
          <w:sz w:val="20"/>
          <w:szCs w:val="20"/>
        </w:rPr>
        <w:t>Česká řeč budiž státní... Věří někdo, že tím, že si to napíšeme na papír a ten papír si pěkně uschováme, oprav</w:t>
      </w:r>
      <w:r>
        <w:rPr>
          <w:sz w:val="20"/>
          <w:szCs w:val="20"/>
        </w:rPr>
        <w:softHyphen/>
        <w:t>du všechny své úřady počeštíme, nebo i kdyby se nám na</w:t>
      </w:r>
      <w:r>
        <w:rPr>
          <w:sz w:val="20"/>
          <w:szCs w:val="20"/>
        </w:rPr>
        <w:softHyphen/>
        <w:t>k</w:t>
      </w:r>
      <w:r>
        <w:rPr>
          <w:sz w:val="20"/>
          <w:szCs w:val="20"/>
        </w:rPr>
        <w:t xml:space="preserve">rásně podařilo vnutit všem státním budovám, kasárnám a kancelářím z vnějšku český ráz, že celý státní život tim počeštíme? Jen lidé, kteří vězí dosud v okruhu představ staré doby vrchnostenské a policejní, mohou si myslit něco podobného. Pravá ústava není </w:t>
      </w:r>
      <w:r>
        <w:rPr>
          <w:sz w:val="20"/>
          <w:szCs w:val="20"/>
        </w:rPr>
        <w:t>na papíře, ale v životě, ve zvycích a konání lidí. Jen tehdy, stvořime-li takovou ústavu, v níž a podle niž budou lidé moci žiti, budeme míti pevnou ústavu. Žádného státníka není tajno, že ne</w:t>
      </w:r>
      <w:r>
        <w:rPr>
          <w:sz w:val="20"/>
          <w:szCs w:val="20"/>
        </w:rPr>
        <w:softHyphen/>
        <w:t>tvoří písmo pevnost ústavy, nýbrž zvyky a tradice.</w:t>
      </w:r>
    </w:p>
    <w:p w:rsidR="00500724" w:rsidRDefault="00F30FB8">
      <w:pPr>
        <w:pStyle w:val="Zkladntext30"/>
        <w:shd w:val="clear" w:color="auto" w:fill="auto"/>
        <w:spacing w:after="0" w:line="206" w:lineRule="auto"/>
        <w:rPr>
          <w:sz w:val="20"/>
          <w:szCs w:val="20"/>
        </w:rPr>
      </w:pPr>
      <w:r>
        <w:rPr>
          <w:sz w:val="20"/>
          <w:szCs w:val="20"/>
        </w:rPr>
        <w:t xml:space="preserve">Nesmíme stát </w:t>
      </w:r>
      <w:r>
        <w:rPr>
          <w:sz w:val="20"/>
          <w:szCs w:val="20"/>
        </w:rPr>
        <w:t>zneklidňovat! a tím rozvraceti a ochuzo- vati. Nejde o to, budou-li kdy Němci cítiti stejně republi</w:t>
      </w:r>
      <w:r>
        <w:rPr>
          <w:sz w:val="20"/>
          <w:szCs w:val="20"/>
        </w:rPr>
        <w:softHyphen/>
        <w:t>kánsky jako my, ale o to, abychom sami se své strany neučinili nic, čim bychom jim to znemožňovali, čím by</w:t>
      </w:r>
      <w:r>
        <w:rPr>
          <w:sz w:val="20"/>
          <w:szCs w:val="20"/>
        </w:rPr>
        <w:softHyphen/>
        <w:t>chom je popuzovali a opatřovali Jim záminku k pro</w:t>
      </w:r>
      <w:r>
        <w:rPr>
          <w:sz w:val="20"/>
          <w:szCs w:val="20"/>
        </w:rPr>
        <w:t>ti</w:t>
      </w:r>
      <w:r>
        <w:rPr>
          <w:sz w:val="20"/>
          <w:szCs w:val="20"/>
        </w:rPr>
        <w:softHyphen/>
        <w:t>státní oposici. Prohlášení státního Jazyka českosloven</w:t>
      </w:r>
      <w:r>
        <w:rPr>
          <w:sz w:val="20"/>
          <w:szCs w:val="20"/>
        </w:rPr>
        <w:softHyphen/>
        <w:t>ského bylo by jimi nezbytně chápáno, jako přímé odmít</w:t>
      </w:r>
      <w:r>
        <w:rPr>
          <w:sz w:val="20"/>
          <w:szCs w:val="20"/>
        </w:rPr>
        <w:softHyphen/>
        <w:t>nutí jejich positivní spoluúčasti na státu. Přes skuteč</w:t>
      </w:r>
      <w:r>
        <w:rPr>
          <w:sz w:val="20"/>
          <w:szCs w:val="20"/>
        </w:rPr>
        <w:softHyphen/>
        <w:t>nost, že Československá republika obývána jest z celé třetiny jinorodým obyvatelstvem, n</w:t>
      </w:r>
      <w:r>
        <w:rPr>
          <w:sz w:val="20"/>
          <w:szCs w:val="20"/>
        </w:rPr>
        <w:t xml:space="preserve">epomůže nám žádná smlouva a žádný zákon. Jakmile jednou přijali jsme ty hranice, které v </w:t>
      </w:r>
      <w:r>
        <w:rPr>
          <w:sz w:val="20"/>
          <w:szCs w:val="20"/>
          <w:lang w:val="en-US" w:eastAsia="en-US" w:bidi="en-US"/>
        </w:rPr>
        <w:t xml:space="preserve">Saint </w:t>
      </w:r>
      <w:r>
        <w:rPr>
          <w:sz w:val="20"/>
          <w:szCs w:val="20"/>
        </w:rPr>
        <w:t>Germainu byly stanoveny, a my jsme si je tak přáli, musíme se zaříditi podle toho.</w:t>
      </w:r>
    </w:p>
    <w:p w:rsidR="00500724" w:rsidRDefault="00F30FB8">
      <w:pPr>
        <w:pStyle w:val="Zkladntext30"/>
        <w:shd w:val="clear" w:color="auto" w:fill="auto"/>
        <w:spacing w:after="200" w:line="209" w:lineRule="auto"/>
        <w:ind w:firstLine="0"/>
        <w:jc w:val="right"/>
        <w:rPr>
          <w:sz w:val="20"/>
          <w:szCs w:val="20"/>
        </w:rPr>
      </w:pPr>
      <w:r>
        <w:rPr>
          <w:sz w:val="20"/>
          <w:szCs w:val="20"/>
        </w:rPr>
        <w:t>(20. ledna 1920.)</w:t>
      </w:r>
    </w:p>
    <w:p w:rsidR="00500724" w:rsidRDefault="00F30FB8">
      <w:pPr>
        <w:pStyle w:val="Zkladntext30"/>
        <w:shd w:val="clear" w:color="auto" w:fill="auto"/>
        <w:spacing w:after="0" w:line="209" w:lineRule="auto"/>
        <w:rPr>
          <w:sz w:val="20"/>
          <w:szCs w:val="20"/>
        </w:rPr>
      </w:pPr>
      <w:r>
        <w:rPr>
          <w:sz w:val="20"/>
          <w:szCs w:val="20"/>
        </w:rPr>
        <w:t xml:space="preserve">Jeden z členů anglické delegace mirové </w:t>
      </w:r>
      <w:r>
        <w:rPr>
          <w:sz w:val="20"/>
          <w:szCs w:val="20"/>
          <w:lang w:val="en-US" w:eastAsia="en-US" w:bidi="en-US"/>
        </w:rPr>
        <w:t xml:space="preserve">John Maynard Keynes, </w:t>
      </w:r>
      <w:r>
        <w:rPr>
          <w:sz w:val="20"/>
          <w:szCs w:val="20"/>
        </w:rPr>
        <w:t>vydal v Londýně knihu pod názvem »Hospodář- ské následky miru«, v niž kritisuje mírovou smlouvu Z hospodářského stanoviska. Úcta k mírové smlouvě, to</w:t>
      </w:r>
      <w:r>
        <w:rPr>
          <w:sz w:val="20"/>
          <w:szCs w:val="20"/>
        </w:rPr>
        <w:softHyphen/>
        <w:t xml:space="preserve">muto dílu, k němuž spělo celých těžkých pět válečných </w:t>
      </w:r>
      <w:r>
        <w:rPr>
          <w:rFonts w:ascii="Arial" w:eastAsia="Arial" w:hAnsi="Arial" w:cs="Arial"/>
          <w:sz w:val="17"/>
          <w:szCs w:val="17"/>
        </w:rPr>
        <w:t xml:space="preserve">let, </w:t>
      </w:r>
      <w:r>
        <w:rPr>
          <w:sz w:val="20"/>
          <w:szCs w:val="20"/>
        </w:rPr>
        <w:t>jaksi již vymizela, a na žertovnou anketu paříž</w:t>
      </w:r>
      <w:r>
        <w:rPr>
          <w:sz w:val="20"/>
          <w:szCs w:val="20"/>
        </w:rPr>
        <w:t>skou, která kniha, napsaná v posledním roce, je nejhorší, odpo</w:t>
      </w:r>
      <w:r>
        <w:rPr>
          <w:sz w:val="20"/>
          <w:szCs w:val="20"/>
        </w:rPr>
        <w:softHyphen/>
        <w:t xml:space="preserve">věděl neméně žertovně jeden spisovatel: Mírová smlouva. Je to vtip, ale přece jen je charakteristické, že se o mirové smlouvě mluví a může mluviti tímto způsobem. Počíná se docházeti k názoru, </w:t>
      </w:r>
      <w:r>
        <w:rPr>
          <w:sz w:val="20"/>
          <w:szCs w:val="20"/>
        </w:rPr>
        <w:t xml:space="preserve">že mírová smlouva likvidovala válku </w:t>
      </w:r>
      <w:r>
        <w:rPr>
          <w:rFonts w:ascii="Arial" w:eastAsia="Arial" w:hAnsi="Arial" w:cs="Arial"/>
        </w:rPr>
        <w:t xml:space="preserve">a </w:t>
      </w:r>
      <w:r>
        <w:rPr>
          <w:sz w:val="20"/>
          <w:szCs w:val="20"/>
        </w:rPr>
        <w:t xml:space="preserve">uzavřela dobu starou, že však neotvírá stejně vhodně </w:t>
      </w:r>
      <w:r>
        <w:rPr>
          <w:rFonts w:ascii="Arial" w:eastAsia="Arial" w:hAnsi="Arial" w:cs="Arial"/>
        </w:rPr>
        <w:t xml:space="preserve">a </w:t>
      </w:r>
      <w:r>
        <w:rPr>
          <w:sz w:val="20"/>
          <w:szCs w:val="20"/>
        </w:rPr>
        <w:t>dobře dobu novou, že nemůže být spolehlivým zákla</w:t>
      </w:r>
      <w:r>
        <w:rPr>
          <w:sz w:val="20"/>
          <w:szCs w:val="20"/>
        </w:rPr>
        <w:softHyphen/>
        <w:t>dem k novému životu.</w:t>
      </w:r>
    </w:p>
    <w:p w:rsidR="00500724" w:rsidRDefault="00F30FB8">
      <w:pPr>
        <w:pStyle w:val="Zkladntext30"/>
        <w:shd w:val="clear" w:color="auto" w:fill="auto"/>
        <w:tabs>
          <w:tab w:val="left" w:pos="495"/>
        </w:tabs>
        <w:spacing w:after="0" w:line="209" w:lineRule="auto"/>
        <w:rPr>
          <w:sz w:val="20"/>
          <w:szCs w:val="20"/>
        </w:rPr>
      </w:pPr>
      <w:r>
        <w:rPr>
          <w:sz w:val="20"/>
          <w:szCs w:val="20"/>
          <w:lang w:val="en-US" w:eastAsia="en-US" w:bidi="en-US"/>
        </w:rPr>
        <w:t>J.</w:t>
      </w:r>
      <w:r>
        <w:rPr>
          <w:sz w:val="20"/>
          <w:szCs w:val="20"/>
          <w:lang w:val="en-US" w:eastAsia="en-US" w:bidi="en-US"/>
        </w:rPr>
        <w:tab/>
      </w:r>
      <w:r>
        <w:rPr>
          <w:sz w:val="20"/>
          <w:szCs w:val="20"/>
        </w:rPr>
        <w:t xml:space="preserve">M. </w:t>
      </w:r>
      <w:r>
        <w:rPr>
          <w:sz w:val="20"/>
          <w:szCs w:val="20"/>
          <w:lang w:val="en-US" w:eastAsia="en-US" w:bidi="en-US"/>
        </w:rPr>
        <w:t xml:space="preserve">Keynes </w:t>
      </w:r>
      <w:r>
        <w:rPr>
          <w:sz w:val="20"/>
          <w:szCs w:val="20"/>
        </w:rPr>
        <w:t>praví o psychologických okolnostech, za nichž povstala mírová smlouva: »Pařiž l</w:t>
      </w:r>
      <w:r>
        <w:rPr>
          <w:sz w:val="20"/>
          <w:szCs w:val="20"/>
        </w:rPr>
        <w:t>ežela na nás jako můra a všichni lidé tam byli chorobní. Pod vlivem Pa</w:t>
      </w:r>
      <w:r>
        <w:rPr>
          <w:sz w:val="20"/>
          <w:szCs w:val="20"/>
        </w:rPr>
        <w:softHyphen/>
        <w:t xml:space="preserve">říže, ne pod vlivem Londýna byla kniha napsána.* </w:t>
      </w:r>
      <w:r>
        <w:rPr>
          <w:sz w:val="20"/>
          <w:szCs w:val="20"/>
          <w:lang w:val="en-US" w:eastAsia="en-US" w:bidi="en-US"/>
        </w:rPr>
        <w:t xml:space="preserve">Keynes </w:t>
      </w:r>
      <w:r>
        <w:rPr>
          <w:sz w:val="20"/>
          <w:szCs w:val="20"/>
        </w:rPr>
        <w:t>ukazuje, že tvrdý kartaginský mír prakticky není možno provésti, a praví: »Nejvážnějšl problémy, které zaujímaly pozornost mirové</w:t>
      </w:r>
      <w:r>
        <w:rPr>
          <w:sz w:val="20"/>
          <w:szCs w:val="20"/>
        </w:rPr>
        <w:t xml:space="preserve"> konference, nebyly rázu politického a teritoriálního, nýbrž finančního a hospodářského a nebez</w:t>
      </w:r>
      <w:r>
        <w:rPr>
          <w:sz w:val="20"/>
          <w:szCs w:val="20"/>
        </w:rPr>
        <w:softHyphen/>
        <w:t>pečí budoucnosti neleží v otázkách hranic a území svrcho</w:t>
      </w:r>
      <w:r>
        <w:rPr>
          <w:sz w:val="20"/>
          <w:szCs w:val="20"/>
        </w:rPr>
        <w:softHyphen/>
        <w:t>vaností, nýbrž v otázkách výživy, uhlí a dopravy.* Ti, kdož mluvili na konferenci za francouzský a angl</w:t>
      </w:r>
      <w:r>
        <w:rPr>
          <w:sz w:val="20"/>
          <w:szCs w:val="20"/>
        </w:rPr>
        <w:t>ický národ, narazili na nebezpečí, že katastrofu, která zde hrozila, dokonají mírem, jenž, bude-li proveden, ještě vlče musi zničiti delikátní a složitý organismus, pomocí něhož jediné evropští národové mohou nalézti jediné práci a žiti. Tento organismus b</w:t>
      </w:r>
      <w:r>
        <w:rPr>
          <w:sz w:val="20"/>
          <w:szCs w:val="20"/>
        </w:rPr>
        <w:t xml:space="preserve">y takovým mírem byl zničen, ne obnoven </w:t>
      </w:r>
      <w:r>
        <w:rPr>
          <w:rFonts w:ascii="Arial" w:eastAsia="Arial" w:hAnsi="Arial" w:cs="Arial"/>
        </w:rPr>
        <w:t xml:space="preserve">a </w:t>
      </w:r>
      <w:r>
        <w:rPr>
          <w:sz w:val="20"/>
          <w:szCs w:val="20"/>
        </w:rPr>
        <w:t>posílen.«</w:t>
      </w:r>
    </w:p>
    <w:p w:rsidR="00500724" w:rsidRDefault="00F30FB8">
      <w:pPr>
        <w:pStyle w:val="Zkladntext30"/>
        <w:shd w:val="clear" w:color="auto" w:fill="auto"/>
        <w:spacing w:after="0" w:line="204" w:lineRule="auto"/>
        <w:rPr>
          <w:sz w:val="20"/>
          <w:szCs w:val="20"/>
        </w:rPr>
      </w:pPr>
      <w:r>
        <w:rPr>
          <w:sz w:val="20"/>
          <w:szCs w:val="20"/>
        </w:rPr>
        <w:t xml:space="preserve">Politický důmysl a politické koncepce mnohých lidi, zdá se, končí versailleskou a saint-germainskou smlouvou. To by stačilo, kdyby mírová smlouva byla likvidací nejen světové války, nýbrž kdyby měla v sobě také možnosti, býti počátkem a podkladem k novému </w:t>
      </w:r>
      <w:r>
        <w:rPr>
          <w:sz w:val="20"/>
          <w:szCs w:val="20"/>
        </w:rPr>
        <w:t xml:space="preserve">životu. Ale vážni kritikové mírové smlouvy (mezi nimi jmenovaný </w:t>
      </w:r>
      <w:r>
        <w:rPr>
          <w:sz w:val="20"/>
          <w:szCs w:val="20"/>
          <w:lang w:val="en-US" w:eastAsia="en-US" w:bidi="en-US"/>
        </w:rPr>
        <w:t xml:space="preserve">Keynes) </w:t>
      </w:r>
      <w:r>
        <w:rPr>
          <w:sz w:val="20"/>
          <w:szCs w:val="20"/>
        </w:rPr>
        <w:t>praví, že mírová smlouva se o tento nový, poválečný život nestará. A přece není dnes úkolu většího. Je to vlastně úkol jediný.</w:t>
      </w:r>
    </w:p>
    <w:p w:rsidR="00500724" w:rsidRDefault="00F30FB8">
      <w:pPr>
        <w:pStyle w:val="Zkladntext30"/>
        <w:shd w:val="clear" w:color="auto" w:fill="auto"/>
        <w:spacing w:after="0" w:line="204" w:lineRule="auto"/>
        <w:rPr>
          <w:sz w:val="20"/>
          <w:szCs w:val="20"/>
        </w:rPr>
      </w:pPr>
      <w:r>
        <w:rPr>
          <w:sz w:val="20"/>
          <w:szCs w:val="20"/>
        </w:rPr>
        <w:t>Problémy, které předkládají k řešení nynější poměry, jsou</w:t>
      </w:r>
      <w:r>
        <w:rPr>
          <w:sz w:val="20"/>
          <w:szCs w:val="20"/>
        </w:rPr>
        <w:t xml:space="preserve"> naprosto jiné, než problémy mírových smluv. Svět se opravdu změnil. Dnes už nejde o otázku Češi — Němci. Jde o to, jak se celá Evropa má zachránit před katastro</w:t>
      </w:r>
      <w:r>
        <w:rPr>
          <w:sz w:val="20"/>
          <w:szCs w:val="20"/>
        </w:rPr>
        <w:softHyphen/>
        <w:t>fou, která jí hrozí a která není pouhým strašákem. Tu se stávají Češi a Němci, ať rádi, af ner</w:t>
      </w:r>
      <w:r>
        <w:rPr>
          <w:sz w:val="20"/>
          <w:szCs w:val="20"/>
        </w:rPr>
        <w:t>adi, společníky, neboť hrozí jim stejné nebezpečí. Problémy, které dnešní Evropa musí řešit, jsou v první, v druhé... až v deváté řadě hospodářské. Teprve až v desáté řadě jsou to problémy politické. Dnes neohrožuje Evropu německá výbojnost, nýbrž to, že l</w:t>
      </w:r>
      <w:r>
        <w:rPr>
          <w:sz w:val="20"/>
          <w:szCs w:val="20"/>
        </w:rPr>
        <w:t>idé nemají kde bydlet, co jíst, čím se oblékat. Hrozí nelogická revoluční nálada trpících a chudých, kte</w:t>
      </w:r>
      <w:r>
        <w:rPr>
          <w:sz w:val="20"/>
          <w:szCs w:val="20"/>
        </w:rPr>
        <w:softHyphen/>
        <w:t>rá, kdyby nabyla převahy, mohla by přes noc smésti se zemského povrchu to, co se dnes nazývá kulturní Evro</w:t>
      </w:r>
      <w:r>
        <w:rPr>
          <w:sz w:val="20"/>
          <w:szCs w:val="20"/>
        </w:rPr>
        <w:softHyphen/>
        <w:t>pou. Tyto problémy výživy, uhlí a dopravy mu</w:t>
      </w:r>
      <w:r>
        <w:rPr>
          <w:sz w:val="20"/>
          <w:szCs w:val="20"/>
        </w:rPr>
        <w:t xml:space="preserve">sí se zkou- mati nestranně a bez vášní, neboť dotýkají se, </w:t>
      </w:r>
      <w:r>
        <w:rPr>
          <w:sz w:val="20"/>
          <w:szCs w:val="20"/>
          <w:lang w:val="en-US" w:eastAsia="en-US" w:bidi="en-US"/>
        </w:rPr>
        <w:t xml:space="preserve">vice </w:t>
      </w:r>
      <w:r>
        <w:rPr>
          <w:sz w:val="20"/>
          <w:szCs w:val="20"/>
        </w:rPr>
        <w:t>než co jiného, života a štěstí milionů, a tyto problémy nesmějí se Směšovat! s řadou otázek, které k nim naprosto ne</w:t>
      </w:r>
      <w:r>
        <w:rPr>
          <w:sz w:val="20"/>
          <w:szCs w:val="20"/>
        </w:rPr>
        <w:softHyphen/>
        <w:t xml:space="preserve">patří, s otázkami rasy, politiky a morálky. To je mate a zatemňuje. </w:t>
      </w:r>
      <w:r>
        <w:rPr>
          <w:sz w:val="20"/>
          <w:szCs w:val="20"/>
          <w:lang w:val="en-US" w:eastAsia="en-US" w:bidi="en-US"/>
        </w:rPr>
        <w:t xml:space="preserve">Keynes </w:t>
      </w:r>
      <w:r>
        <w:rPr>
          <w:sz w:val="20"/>
          <w:szCs w:val="20"/>
        </w:rPr>
        <w:t>mluví ve své knize o »delikátním a slo</w:t>
      </w:r>
      <w:r>
        <w:rPr>
          <w:sz w:val="20"/>
          <w:szCs w:val="20"/>
        </w:rPr>
        <w:softHyphen/>
        <w:t>žitém organismu* Evropy. Tomuto organismu, dnes již beztak těžce, přetěžce churavému, hrozilo by, kdyby byl ošetřován ne jemnou rukou hrubé politiky válečné a před</w:t>
      </w:r>
      <w:r>
        <w:rPr>
          <w:sz w:val="20"/>
          <w:szCs w:val="20"/>
        </w:rPr>
        <w:softHyphen/>
        <w:t>válečné, další nebezpečí. Furiantství je hezká věc, a</w:t>
      </w:r>
      <w:r>
        <w:rPr>
          <w:sz w:val="20"/>
          <w:szCs w:val="20"/>
        </w:rPr>
        <w:t xml:space="preserve">le dupat můžeme jen v domě, o němž jsme jisti, že nám při prvním dupnutí nespadne na hlavu. Tyto věci někteří lidé vidí, někteří nevidí. </w:t>
      </w:r>
      <w:r>
        <w:rPr>
          <w:sz w:val="20"/>
          <w:szCs w:val="20"/>
          <w:lang w:val="en-US" w:eastAsia="en-US" w:bidi="en-US"/>
        </w:rPr>
        <w:t xml:space="preserve">Henderson, </w:t>
      </w:r>
      <w:r>
        <w:rPr>
          <w:sz w:val="20"/>
          <w:szCs w:val="20"/>
        </w:rPr>
        <w:t>vůdce anglické dělnické stra</w:t>
      </w:r>
      <w:r>
        <w:rPr>
          <w:sz w:val="20"/>
          <w:szCs w:val="20"/>
        </w:rPr>
        <w:softHyphen/>
        <w:t>ny, napsal nedávno v ^Manchester Guardian*, že nevede žádná jiná cesta z chaosu</w:t>
      </w:r>
      <w:r>
        <w:rPr>
          <w:sz w:val="20"/>
          <w:szCs w:val="20"/>
        </w:rPr>
        <w:t>, než všeobecné pozvednutí pro</w:t>
      </w:r>
      <w:r>
        <w:rPr>
          <w:sz w:val="20"/>
          <w:szCs w:val="20"/>
        </w:rPr>
        <w:softHyphen/>
        <w:t>dukce a že zničení německého průmyslu ochromuje zno</w:t>
      </w:r>
      <w:r>
        <w:rPr>
          <w:sz w:val="20"/>
          <w:szCs w:val="20"/>
        </w:rPr>
        <w:softHyphen/>
        <w:t>vuoživení výroby na celém kontinentě. To jsou velice správná slova, a mluví jasně o pospolitosti dnešní Evro</w:t>
      </w:r>
      <w:r>
        <w:rPr>
          <w:sz w:val="20"/>
          <w:szCs w:val="20"/>
        </w:rPr>
        <w:softHyphen/>
        <w:t>py bez rozdílu národů a ras.</w:t>
      </w:r>
    </w:p>
    <w:p w:rsidR="00500724" w:rsidRDefault="00F30FB8">
      <w:pPr>
        <w:pStyle w:val="Zkladntext30"/>
        <w:shd w:val="clear" w:color="auto" w:fill="auto"/>
        <w:spacing w:after="180" w:line="199" w:lineRule="auto"/>
        <w:ind w:firstLine="0"/>
        <w:jc w:val="right"/>
        <w:rPr>
          <w:sz w:val="20"/>
          <w:szCs w:val="20"/>
        </w:rPr>
      </w:pPr>
      <w:r>
        <w:rPr>
          <w:sz w:val="20"/>
          <w:szCs w:val="20"/>
        </w:rPr>
        <w:t>(6. února 1920.)</w:t>
      </w:r>
    </w:p>
    <w:p w:rsidR="00500724" w:rsidRDefault="00F30FB8">
      <w:pPr>
        <w:pStyle w:val="Zkladntext30"/>
        <w:shd w:val="clear" w:color="auto" w:fill="auto"/>
        <w:spacing w:after="80" w:line="202" w:lineRule="auto"/>
        <w:ind w:firstLine="0"/>
        <w:jc w:val="center"/>
        <w:rPr>
          <w:sz w:val="20"/>
          <w:szCs w:val="20"/>
        </w:rPr>
      </w:pPr>
      <w:r>
        <w:rPr>
          <w:sz w:val="20"/>
          <w:szCs w:val="20"/>
        </w:rPr>
        <w:t>Krise mírové smlou</w:t>
      </w:r>
      <w:r>
        <w:rPr>
          <w:sz w:val="20"/>
          <w:szCs w:val="20"/>
        </w:rPr>
        <w:t>vy</w:t>
      </w:r>
    </w:p>
    <w:p w:rsidR="00500724" w:rsidRDefault="00F30FB8">
      <w:pPr>
        <w:pStyle w:val="Zkladntext30"/>
        <w:shd w:val="clear" w:color="auto" w:fill="auto"/>
        <w:spacing w:after="0" w:line="204" w:lineRule="auto"/>
        <w:rPr>
          <w:sz w:val="20"/>
          <w:szCs w:val="20"/>
        </w:rPr>
      </w:pPr>
      <w:r>
        <w:rPr>
          <w:sz w:val="20"/>
          <w:szCs w:val="20"/>
        </w:rPr>
        <w:t>Když se loni mírová smlouva dělala, nechyběly hlasy, kte</w:t>
      </w:r>
      <w:r>
        <w:rPr>
          <w:sz w:val="20"/>
          <w:szCs w:val="20"/>
        </w:rPr>
        <w:softHyphen/>
        <w:t>ré žádaly, aby se dělala rozumně, t. j. tak, aby ji bylo možno vyplnit. Poněvadž tyto hlasy ozývaly se většinou ze zemí poražených, nebyla k nim důvěra a nebylo jich dbáno. Ale je jasno, že smlouv</w:t>
      </w:r>
      <w:r>
        <w:rPr>
          <w:sz w:val="20"/>
          <w:szCs w:val="20"/>
        </w:rPr>
        <w:t>a, o níž se ví, že jí nebude možno do</w:t>
      </w:r>
      <w:r>
        <w:rPr>
          <w:sz w:val="20"/>
          <w:szCs w:val="20"/>
        </w:rPr>
        <w:softHyphen/>
        <w:t>slovně vyplnit a jež se proto také nevyplňuje, není smlou</w:t>
      </w:r>
      <w:r>
        <w:rPr>
          <w:sz w:val="20"/>
          <w:szCs w:val="20"/>
        </w:rPr>
        <w:softHyphen/>
        <w:t>vou, nýbrž stále ještě otevřeným jednáním. Smlouva se ne</w:t>
      </w:r>
      <w:r>
        <w:rPr>
          <w:sz w:val="20"/>
          <w:szCs w:val="20"/>
        </w:rPr>
        <w:softHyphen/>
        <w:t>smí diskreditovati. Musí býti vyplněna. Proto musí býti utvořena tak, aby mohla býti vyplněna. Stalo se</w:t>
      </w:r>
      <w:r>
        <w:rPr>
          <w:sz w:val="20"/>
          <w:szCs w:val="20"/>
        </w:rPr>
        <w:t xml:space="preserve"> jinak: byla usnesena smlouva, o jejíž vyplněni se — jedná. Každý po</w:t>
      </w:r>
      <w:r>
        <w:rPr>
          <w:sz w:val="20"/>
          <w:szCs w:val="20"/>
        </w:rPr>
        <w:softHyphen/>
        <w:t>chopí, že je sotva rozumno, donutí-li se na příklad Bulhar</w:t>
      </w:r>
      <w:r>
        <w:rPr>
          <w:sz w:val="20"/>
          <w:szCs w:val="20"/>
        </w:rPr>
        <w:softHyphen/>
        <w:t>sko, aby přijalo mírovou smlouvu, dle níž na hlavu každého bulharského občana připadá 18.000 franků, jež mají býti zaplaceny. Tr</w:t>
      </w:r>
      <w:r>
        <w:rPr>
          <w:sz w:val="20"/>
          <w:szCs w:val="20"/>
        </w:rPr>
        <w:t>iumfující, vzletný duch vítězů diktoval mírové smlouvy. K bitvám na Marně bylo třeba mnoho a mnoho vzletu. Čeho jest však třeba k dělání mírové smlouvy? Čeho jest třeba k těžkému míru, jenž přišel po těžké válce?</w:t>
      </w:r>
    </w:p>
    <w:p w:rsidR="00500724" w:rsidRDefault="00F30FB8">
      <w:pPr>
        <w:pStyle w:val="Zkladntext30"/>
        <w:shd w:val="clear" w:color="auto" w:fill="auto"/>
        <w:spacing w:after="0" w:line="202" w:lineRule="auto"/>
        <w:rPr>
          <w:sz w:val="20"/>
          <w:szCs w:val="20"/>
        </w:rPr>
      </w:pPr>
      <w:r>
        <w:rPr>
          <w:sz w:val="20"/>
          <w:szCs w:val="20"/>
        </w:rPr>
        <w:t>V politických kruzích rozmáhá se stále více</w:t>
      </w:r>
      <w:r>
        <w:rPr>
          <w:sz w:val="20"/>
          <w:szCs w:val="20"/>
        </w:rPr>
        <w:t xml:space="preserve"> přesvědčení, že mír nemohou dělati titíž muži, kteří dělali válku. Lon</w:t>
      </w:r>
      <w:r>
        <w:rPr>
          <w:sz w:val="20"/>
          <w:szCs w:val="20"/>
        </w:rPr>
        <w:softHyphen/>
        <w:t>dýnský theoreticko-socialistický list píše počátkem tohoto roku výslovně: »Je málo příčin k domněnce, že rok 1920 přinese lepši časy než rok 1919, poněvadž vlády, jejichž heslem bylo »</w:t>
      </w:r>
      <w:r>
        <w:rPr>
          <w:sz w:val="20"/>
          <w:szCs w:val="20"/>
        </w:rPr>
        <w:t xml:space="preserve">vyhráti válku«, jsou stále ještě u vesla, a nikde na celém světě, leda snad s výjimkou Itálie, nejsou známky toho, že se poznává pravý význam míru, abychom naprosto mlčeli o sblížení a nové stavbě. Zdá se, že žádná z dohodových vlád nechce se vzdáti ducha </w:t>
      </w:r>
      <w:r>
        <w:rPr>
          <w:sz w:val="20"/>
          <w:szCs w:val="20"/>
        </w:rPr>
        <w:t>nesmyslné po- mstivosti, který pracím mírové konference vtiskl svého du</w:t>
      </w:r>
      <w:r>
        <w:rPr>
          <w:sz w:val="20"/>
          <w:szCs w:val="20"/>
        </w:rPr>
        <w:softHyphen/>
        <w:t>cha a učinil je tak neuspokojivými. Koncem tohoto roku bu</w:t>
      </w:r>
      <w:r>
        <w:rPr>
          <w:sz w:val="20"/>
          <w:szCs w:val="20"/>
        </w:rPr>
        <w:softHyphen/>
        <w:t>dou snad evropské poměry lepší než dnes: budou však, jak lze předvídati, horší, budou-li pak ještě stále tíž muži u vesla v Lo</w:t>
      </w:r>
      <w:r>
        <w:rPr>
          <w:sz w:val="20"/>
          <w:szCs w:val="20"/>
        </w:rPr>
        <w:t>ndýně, Paříži a Washingtoně Zdá se, že nikdo na vedoucích místech se nepokouši vyjasnit! si nejzáklad</w:t>
      </w:r>
      <w:r>
        <w:rPr>
          <w:sz w:val="20"/>
          <w:szCs w:val="20"/>
        </w:rPr>
        <w:softHyphen/>
        <w:t>nější ze všech problémů, totiž onen problém, jak je možno národy Evropy dovésti do onoho stavu, v němž by se sami mohli zaopatřovati životními potřebami.*</w:t>
      </w:r>
    </w:p>
    <w:p w:rsidR="00500724" w:rsidRDefault="00F30FB8">
      <w:pPr>
        <w:pStyle w:val="Zkladntext30"/>
        <w:shd w:val="clear" w:color="auto" w:fill="auto"/>
        <w:spacing w:after="0" w:line="206" w:lineRule="auto"/>
        <w:rPr>
          <w:sz w:val="20"/>
          <w:szCs w:val="20"/>
        </w:rPr>
      </w:pPr>
      <w:r>
        <w:rPr>
          <w:sz w:val="20"/>
          <w:szCs w:val="20"/>
        </w:rPr>
        <w:t>Zde jest to tedy řečeno s absolutní jasností: prodlužování válečné politiky do doby míru překáží obnově Evropy, pro</w:t>
      </w:r>
      <w:r>
        <w:rPr>
          <w:sz w:val="20"/>
          <w:szCs w:val="20"/>
        </w:rPr>
        <w:softHyphen/>
        <w:t>dlužuje bídu, hatí hospodářský průběh rekonvalescence. Je</w:t>
      </w:r>
      <w:r>
        <w:rPr>
          <w:sz w:val="20"/>
          <w:szCs w:val="20"/>
        </w:rPr>
        <w:softHyphen/>
        <w:t>den z oněch mužů, o nichž mluví londýnský list, Clemen</w:t>
      </w:r>
      <w:r>
        <w:rPr>
          <w:sz w:val="20"/>
          <w:szCs w:val="20"/>
        </w:rPr>
        <w:softHyphen/>
        <w:t>ceau, již odešel a právě z</w:t>
      </w:r>
      <w:r>
        <w:rPr>
          <w:sz w:val="20"/>
          <w:szCs w:val="20"/>
        </w:rPr>
        <w:t xml:space="preserve"> těchto důvodů. »New </w:t>
      </w:r>
      <w:r>
        <w:rPr>
          <w:sz w:val="20"/>
          <w:szCs w:val="20"/>
          <w:lang w:val="en-US" w:eastAsia="en-US" w:bidi="en-US"/>
        </w:rPr>
        <w:t xml:space="preserve">Statesman* </w:t>
      </w:r>
      <w:r>
        <w:rPr>
          <w:sz w:val="20"/>
          <w:szCs w:val="20"/>
        </w:rPr>
        <w:t>jest list socialistický. Ale jak uvidíme, nejsou to pouze so</w:t>
      </w:r>
      <w:r>
        <w:rPr>
          <w:sz w:val="20"/>
          <w:szCs w:val="20"/>
        </w:rPr>
        <w:softHyphen/>
        <w:t>cialisté v dohodových zemích, kteří přicházejí k těmto ná</w:t>
      </w:r>
      <w:r>
        <w:rPr>
          <w:sz w:val="20"/>
          <w:szCs w:val="20"/>
        </w:rPr>
        <w:softHyphen/>
        <w:t>hledům.</w:t>
      </w:r>
    </w:p>
    <w:p w:rsidR="00500724" w:rsidRDefault="00F30FB8">
      <w:pPr>
        <w:pStyle w:val="Zkladntext30"/>
        <w:shd w:val="clear" w:color="auto" w:fill="auto"/>
        <w:spacing w:line="202" w:lineRule="auto"/>
        <w:rPr>
          <w:sz w:val="20"/>
          <w:szCs w:val="20"/>
        </w:rPr>
      </w:pPr>
      <w:r>
        <w:rPr>
          <w:sz w:val="20"/>
          <w:szCs w:val="20"/>
        </w:rPr>
        <w:t>Clemenceau odešel, ale mírová smlouva, dílo jeho ducha, zůstalo. Dohoda i po odchodu Clemenceauov</w:t>
      </w:r>
      <w:r>
        <w:rPr>
          <w:sz w:val="20"/>
          <w:szCs w:val="20"/>
        </w:rPr>
        <w:t>ě je vázána jeho duchem, pokud se drží mírové smlouvy. Nový předseda francouzského ministerstva, Millerand, prohlásil dvakrát důrazně, že mírové podmínky musi býti přesně provedeny. Liberální »Daily News* píše o tom: ^Skutečné vyplněni to</w:t>
      </w:r>
      <w:r>
        <w:rPr>
          <w:sz w:val="20"/>
          <w:szCs w:val="20"/>
        </w:rPr>
        <w:softHyphen/>
        <w:t>hoto obzvláštního</w:t>
      </w:r>
      <w:r>
        <w:rPr>
          <w:sz w:val="20"/>
          <w:szCs w:val="20"/>
        </w:rPr>
        <w:t xml:space="preserve"> závazku (Německo má do konce dubna roku 1921 zaplatiti miliardu šterlinků) jevi se každému ná</w:t>
      </w:r>
      <w:r>
        <w:rPr>
          <w:sz w:val="20"/>
          <w:szCs w:val="20"/>
        </w:rPr>
        <w:softHyphen/>
        <w:t>rodohospodáři naprosto neproveditelným, a pokus vynutit! splnění mohl by býti nazván zločinem. Musíme doufati, že reparační komise bude pracovati rozumněji než t</w:t>
      </w:r>
      <w:r>
        <w:rPr>
          <w:sz w:val="20"/>
          <w:szCs w:val="20"/>
        </w:rPr>
        <w:t>i členově nejvyšší rady, kteří stále křičí po hlavě císařově jako ško</w:t>
      </w:r>
      <w:r>
        <w:rPr>
          <w:sz w:val="20"/>
          <w:szCs w:val="20"/>
        </w:rPr>
        <w:softHyphen/>
        <w:t xml:space="preserve">láci </w:t>
      </w:r>
      <w:r>
        <w:rPr>
          <w:sz w:val="20"/>
          <w:szCs w:val="20"/>
          <w:lang w:val="en-US" w:eastAsia="en-US" w:bidi="en-US"/>
        </w:rPr>
        <w:t xml:space="preserve">a s </w:t>
      </w:r>
      <w:r>
        <w:rPr>
          <w:sz w:val="20"/>
          <w:szCs w:val="20"/>
        </w:rPr>
        <w:t>rozhořčením odmítají návrhy Němců, kteří žádají odsouzeni válečných zločinců tribunálem, jenž by nebyl složen ze samých žalobců.*</w:t>
      </w:r>
    </w:p>
    <w:p w:rsidR="00500724" w:rsidRDefault="00F30FB8">
      <w:pPr>
        <w:pStyle w:val="Zkladntext30"/>
        <w:shd w:val="clear" w:color="auto" w:fill="auto"/>
        <w:spacing w:line="204" w:lineRule="auto"/>
        <w:rPr>
          <w:sz w:val="20"/>
          <w:szCs w:val="20"/>
        </w:rPr>
      </w:pPr>
      <w:r>
        <w:rPr>
          <w:sz w:val="20"/>
          <w:szCs w:val="20"/>
        </w:rPr>
        <w:t>I tento list, může se zdáti, stojí příliš nalev</w:t>
      </w:r>
      <w:r>
        <w:rPr>
          <w:sz w:val="20"/>
          <w:szCs w:val="20"/>
        </w:rPr>
        <w:t xml:space="preserve">o (liberálové pracují v koalici se socialisty). Tedy hlasy listů, stojících zcela napravo. »Saturday </w:t>
      </w:r>
      <w:r>
        <w:rPr>
          <w:sz w:val="20"/>
          <w:szCs w:val="20"/>
          <w:lang w:val="en-US" w:eastAsia="en-US" w:bidi="en-US"/>
        </w:rPr>
        <w:t xml:space="preserve">Review* </w:t>
      </w:r>
      <w:r>
        <w:rPr>
          <w:sz w:val="20"/>
          <w:szCs w:val="20"/>
        </w:rPr>
        <w:t>(list konservativní a im</w:t>
      </w:r>
      <w:r>
        <w:rPr>
          <w:sz w:val="20"/>
          <w:szCs w:val="20"/>
        </w:rPr>
        <w:softHyphen/>
        <w:t xml:space="preserve">perialistický) píše: »Ani </w:t>
      </w:r>
      <w:r>
        <w:rPr>
          <w:sz w:val="20"/>
          <w:szCs w:val="20"/>
          <w:lang w:val="en-US" w:eastAsia="en-US" w:bidi="en-US"/>
        </w:rPr>
        <w:t xml:space="preserve">Lloyd George, </w:t>
      </w:r>
      <w:r>
        <w:rPr>
          <w:sz w:val="20"/>
          <w:szCs w:val="20"/>
        </w:rPr>
        <w:t xml:space="preserve">ani Clemenceau, ani </w:t>
      </w:r>
      <w:r>
        <w:rPr>
          <w:sz w:val="20"/>
          <w:szCs w:val="20"/>
          <w:lang w:val="en-US" w:eastAsia="en-US" w:bidi="en-US"/>
        </w:rPr>
        <w:t xml:space="preserve">Orlando </w:t>
      </w:r>
      <w:r>
        <w:rPr>
          <w:sz w:val="20"/>
          <w:szCs w:val="20"/>
        </w:rPr>
        <w:t>neodvážili se říci svým voličům, že nemohou oče- kávat</w:t>
      </w:r>
      <w:r>
        <w:rPr>
          <w:sz w:val="20"/>
          <w:szCs w:val="20"/>
        </w:rPr>
        <w:t>i velkého odškodnění od Německa a Rakouska. Místo abychom dostávali ze střední Evropy náhrady, budeme nu</w:t>
      </w:r>
      <w:r>
        <w:rPr>
          <w:sz w:val="20"/>
          <w:szCs w:val="20"/>
        </w:rPr>
        <w:softHyphen/>
        <w:t>cenými svědky toho, jak rok od roku se paragrafy mírové smlouvy, vztahující se na odškodné, drobí, až ji, unaveni a nespokojeni, napíšeme na konto ztrá</w:t>
      </w:r>
      <w:r>
        <w:rPr>
          <w:sz w:val="20"/>
          <w:szCs w:val="20"/>
        </w:rPr>
        <w:t>ty.*</w:t>
      </w:r>
    </w:p>
    <w:p w:rsidR="00500724" w:rsidRDefault="00F30FB8">
      <w:pPr>
        <w:pStyle w:val="Zkladntext30"/>
        <w:shd w:val="clear" w:color="auto" w:fill="auto"/>
        <w:spacing w:line="204" w:lineRule="auto"/>
        <w:rPr>
          <w:sz w:val="20"/>
          <w:szCs w:val="20"/>
        </w:rPr>
      </w:pPr>
      <w:r>
        <w:rPr>
          <w:sz w:val="20"/>
          <w:szCs w:val="20"/>
        </w:rPr>
        <w:t>A pařížský list, docela pravý, antisemitský a klerikálnl, »La libře parole«, píše o mírové smlouvě takto: »Toho dne, kdy mírová smlouva bude měti býti splněna, budeme moci nahmatati groteskní a nebezpečné výsledky, k nimž nás přivedlo zneuznávání nejz</w:t>
      </w:r>
      <w:r>
        <w:rPr>
          <w:sz w:val="20"/>
          <w:szCs w:val="20"/>
        </w:rPr>
        <w:t>ákladnějších zásad rozumu. To jediné, co se mohlo státi, bylo změniti text protokolu a při</w:t>
      </w:r>
      <w:r>
        <w:rPr>
          <w:sz w:val="20"/>
          <w:szCs w:val="20"/>
        </w:rPr>
        <w:softHyphen/>
        <w:t>způsobiti učiněným ústupkům; pýcha spojenců nechtěla se však podrobiti této logice. Tato pýcha svolila raději žádati od Němců podepsáni smlouvy, která od samého počá</w:t>
      </w:r>
      <w:r>
        <w:rPr>
          <w:sz w:val="20"/>
          <w:szCs w:val="20"/>
        </w:rPr>
        <w:t>tku byla uznávána za nicotnou. Jakým katastrofám jdeme vstříc, budeme-li smlouvu prováděti v témž duchu, v němž byla inscenována!*</w:t>
      </w:r>
    </w:p>
    <w:p w:rsidR="00500724" w:rsidRDefault="00F30FB8">
      <w:pPr>
        <w:pStyle w:val="Zkladntext30"/>
        <w:shd w:val="clear" w:color="auto" w:fill="auto"/>
        <w:spacing w:line="206" w:lineRule="auto"/>
        <w:rPr>
          <w:sz w:val="20"/>
          <w:szCs w:val="20"/>
        </w:rPr>
      </w:pPr>
      <w:r>
        <w:rPr>
          <w:sz w:val="20"/>
          <w:szCs w:val="20"/>
        </w:rPr>
        <w:t>Musí se nalézti dohoda. Obtíže s vydáním německých pro</w:t>
      </w:r>
      <w:r>
        <w:rPr>
          <w:sz w:val="20"/>
          <w:szCs w:val="20"/>
        </w:rPr>
        <w:softHyphen/>
        <w:t>vinilců jsou jen částí celkové krise mírové smlouvy, o jejíž životasch</w:t>
      </w:r>
      <w:r>
        <w:rPr>
          <w:sz w:val="20"/>
          <w:szCs w:val="20"/>
        </w:rPr>
        <w:t>opnosti se počíná pochybovati na všech stranách. Muži, kteří mírovou smlouvu utvořili, odstoupili nebo od</w:t>
      </w:r>
      <w:r>
        <w:rPr>
          <w:sz w:val="20"/>
          <w:szCs w:val="20"/>
        </w:rPr>
        <w:softHyphen/>
        <w:t>stoupí. Jejich nástupci měli by nésti důsledky provádění. Amerika neratifikovala posud mírové smlouvy: ratifikace míru Amerikou skýtá možnost revise m</w:t>
      </w:r>
      <w:r>
        <w:rPr>
          <w:sz w:val="20"/>
          <w:szCs w:val="20"/>
        </w:rPr>
        <w:t>írové smlouvy a Je</w:t>
      </w:r>
      <w:r>
        <w:rPr>
          <w:sz w:val="20"/>
          <w:szCs w:val="20"/>
        </w:rPr>
        <w:softHyphen/>
        <w:t>jího upravení tak, aby se mohla provádět. O tom se bude musit mnoho uvažovat.</w:t>
      </w:r>
    </w:p>
    <w:p w:rsidR="00500724" w:rsidRDefault="00F30FB8">
      <w:pPr>
        <w:pStyle w:val="Zkladntext30"/>
        <w:shd w:val="clear" w:color="auto" w:fill="auto"/>
        <w:tabs>
          <w:tab w:val="left" w:pos="3614"/>
        </w:tabs>
        <w:spacing w:after="180" w:line="204" w:lineRule="auto"/>
        <w:rPr>
          <w:sz w:val="20"/>
          <w:szCs w:val="20"/>
        </w:rPr>
      </w:pPr>
      <w:r>
        <w:rPr>
          <w:sz w:val="20"/>
          <w:szCs w:val="20"/>
        </w:rPr>
        <w:t>Evropa potřebuje klidu a sebe krásnější mírová smlou</w:t>
      </w:r>
      <w:r>
        <w:rPr>
          <w:sz w:val="20"/>
          <w:szCs w:val="20"/>
        </w:rPr>
        <w:softHyphen/>
        <w:t>va jest jí nebezpečná, pokud tento klid ohrožuje. Nenajde-li Evropa brzo tento klid, konsolidaci a možnost</w:t>
      </w:r>
      <w:r>
        <w:rPr>
          <w:sz w:val="20"/>
          <w:szCs w:val="20"/>
        </w:rPr>
        <w:t xml:space="preserve"> spolupráce za znovuvybudování, přežije Amerika, ale Evropa ne</w:t>
      </w:r>
      <w:r>
        <w:rPr>
          <w:sz w:val="20"/>
          <w:szCs w:val="20"/>
        </w:rPr>
        <w:softHyphen/>
        <w:t>přežije.</w:t>
      </w:r>
      <w:r>
        <w:rPr>
          <w:sz w:val="20"/>
          <w:szCs w:val="20"/>
        </w:rPr>
        <w:tab/>
        <w:t>(12. února 1920.)</w:t>
      </w:r>
    </w:p>
    <w:p w:rsidR="00500724" w:rsidRDefault="00F30FB8">
      <w:pPr>
        <w:pStyle w:val="Zkladntext30"/>
        <w:shd w:val="clear" w:color="auto" w:fill="auto"/>
        <w:spacing w:after="120" w:line="204" w:lineRule="auto"/>
        <w:ind w:firstLine="0"/>
        <w:jc w:val="center"/>
        <w:rPr>
          <w:sz w:val="20"/>
          <w:szCs w:val="20"/>
        </w:rPr>
      </w:pPr>
      <w:r>
        <w:rPr>
          <w:sz w:val="20"/>
          <w:szCs w:val="20"/>
        </w:rPr>
        <w:t>Francie, Anglie a Německo</w:t>
      </w:r>
    </w:p>
    <w:p w:rsidR="00500724" w:rsidRDefault="00F30FB8">
      <w:pPr>
        <w:pStyle w:val="Zkladntext30"/>
        <w:shd w:val="clear" w:color="auto" w:fill="auto"/>
        <w:spacing w:line="209" w:lineRule="auto"/>
        <w:rPr>
          <w:sz w:val="20"/>
          <w:szCs w:val="20"/>
        </w:rPr>
      </w:pPr>
      <w:r>
        <w:rPr>
          <w:sz w:val="20"/>
          <w:szCs w:val="20"/>
        </w:rPr>
        <w:t xml:space="preserve">Vítězné Francii se nevede dobře... Země zřejmě čití svou hospodářskou slabost, bojí se německé konkurence, bojí se mnohých jiných věcí. </w:t>
      </w:r>
      <w:r>
        <w:rPr>
          <w:sz w:val="20"/>
          <w:szCs w:val="20"/>
        </w:rPr>
        <w:t>Posléze se jí počíná i zdát, že upadá 1 její duševní vliv, její intelektuální prestyž. A to jest nej- horši. V samotné Francii se ví, že její zahraniční politika se opírá o duchovou prestyž země.</w:t>
      </w:r>
    </w:p>
    <w:p w:rsidR="00500724" w:rsidRDefault="00F30FB8">
      <w:pPr>
        <w:pStyle w:val="Zkladntext30"/>
        <w:shd w:val="clear" w:color="auto" w:fill="auto"/>
        <w:spacing w:line="202" w:lineRule="auto"/>
        <w:rPr>
          <w:sz w:val="20"/>
          <w:szCs w:val="20"/>
        </w:rPr>
      </w:pPr>
      <w:r>
        <w:rPr>
          <w:sz w:val="20"/>
          <w:szCs w:val="20"/>
        </w:rPr>
        <w:t>Více než kterýkoliv jiný stát žije Francie z minulosti. Do</w:t>
      </w:r>
      <w:r>
        <w:rPr>
          <w:sz w:val="20"/>
          <w:szCs w:val="20"/>
        </w:rPr>
        <w:softHyphen/>
        <w:t>b</w:t>
      </w:r>
      <w:r>
        <w:rPr>
          <w:sz w:val="20"/>
          <w:szCs w:val="20"/>
        </w:rPr>
        <w:t>y Ludvíka XIV., doby velké revoluce, doby Napoleonovy vynesly Francii velmi vysoko. Tehdy se zdálo, že v Paříži se dělá Evropa. Francie se vžila do své historické posice ze</w:t>
      </w:r>
      <w:r>
        <w:rPr>
          <w:sz w:val="20"/>
          <w:szCs w:val="20"/>
        </w:rPr>
        <w:softHyphen/>
        <w:t>mě světla. Každý krok zpět dotýká se bolestně národního Vědomí.</w:t>
      </w:r>
    </w:p>
    <w:p w:rsidR="00500724" w:rsidRDefault="00F30FB8">
      <w:pPr>
        <w:pStyle w:val="Zkladntext30"/>
        <w:shd w:val="clear" w:color="auto" w:fill="auto"/>
        <w:spacing w:line="204" w:lineRule="auto"/>
        <w:rPr>
          <w:sz w:val="20"/>
          <w:szCs w:val="20"/>
        </w:rPr>
      </w:pPr>
      <w:r>
        <w:rPr>
          <w:sz w:val="20"/>
          <w:szCs w:val="20"/>
        </w:rPr>
        <w:t>Francie, pravili js</w:t>
      </w:r>
      <w:r>
        <w:rPr>
          <w:sz w:val="20"/>
          <w:szCs w:val="20"/>
        </w:rPr>
        <w:t>me, cítí svou hospodářskou slabost. Již před válkou bylo patrno, že nemůže závoditi s mohutnou, organisovanou německou prací. Němec prostě dovede lépe pracovat. Francouz byl slavný proto, že dovedl milovat že</w:t>
      </w:r>
      <w:r>
        <w:rPr>
          <w:sz w:val="20"/>
          <w:szCs w:val="20"/>
        </w:rPr>
        <w:softHyphen/>
        <w:t xml:space="preserve">ny, rozvinout nádheru rokokového císařství, že </w:t>
      </w:r>
      <w:r>
        <w:rPr>
          <w:sz w:val="20"/>
          <w:szCs w:val="20"/>
        </w:rPr>
        <w:t>vyvolal vel</w:t>
      </w:r>
      <w:r>
        <w:rPr>
          <w:sz w:val="20"/>
          <w:szCs w:val="20"/>
        </w:rPr>
        <w:softHyphen/>
        <w:t>kou revoluci s pathetickými slovy, která šla do všech zemí a ke všem národům, že dovedl krásně psát a malovat, dělat hezké kloboučky, jíst způsobně lanýže, elegantně se chovat atd. atd. V tom všem není nic z velké hospodářské práce a organisace</w:t>
      </w:r>
      <w:r>
        <w:rPr>
          <w:sz w:val="20"/>
          <w:szCs w:val="20"/>
        </w:rPr>
        <w:t>, kterou se stalo Německo mohutným. A dnes se bojí Francouz dvakráte více Němce pro jeho pracovní zdat</w:t>
      </w:r>
      <w:r>
        <w:rPr>
          <w:sz w:val="20"/>
          <w:szCs w:val="20"/>
        </w:rPr>
        <w:softHyphen/>
        <w:t>nost, neboť dnes je taková doba, že po pětiletém válečném ničení hospodářských statků jen ten národ udrží se na výši, jenž dovede mnoho a mnoho pracovat.</w:t>
      </w:r>
      <w:r>
        <w:rPr>
          <w:sz w:val="20"/>
          <w:szCs w:val="20"/>
        </w:rPr>
        <w:t xml:space="preserve"> Ostatní nemilosrdně klesne ke dnu.</w:t>
      </w:r>
    </w:p>
    <w:p w:rsidR="00500724" w:rsidRDefault="00F30FB8">
      <w:pPr>
        <w:pStyle w:val="Nadpis120"/>
        <w:shd w:val="clear" w:color="auto" w:fill="auto"/>
        <w:spacing w:after="40" w:line="396" w:lineRule="auto"/>
        <w:ind w:left="0" w:firstLine="260"/>
        <w:jc w:val="both"/>
        <w:rPr>
          <w:sz w:val="20"/>
          <w:szCs w:val="20"/>
        </w:rPr>
      </w:pPr>
      <w:bookmarkStart w:id="338" w:name="bookmark337"/>
      <w:r>
        <w:t xml:space="preserve">Francie, která již před válkou bála se německé práce, </w:t>
      </w:r>
      <w:r>
        <w:rPr>
          <w:rFonts w:ascii="Arial" w:eastAsia="Arial" w:hAnsi="Arial" w:cs="Arial"/>
          <w:i/>
          <w:iCs/>
          <w:sz w:val="20"/>
          <w:szCs w:val="20"/>
        </w:rPr>
        <w:t>»oó</w:t>
      </w:r>
      <w:bookmarkEnd w:id="338"/>
    </w:p>
    <w:p w:rsidR="00500724" w:rsidRDefault="00F30FB8">
      <w:pPr>
        <w:pStyle w:val="Zkladntext30"/>
        <w:shd w:val="clear" w:color="auto" w:fill="auto"/>
        <w:spacing w:after="0" w:line="204" w:lineRule="auto"/>
        <w:ind w:firstLine="0"/>
        <w:rPr>
          <w:sz w:val="20"/>
          <w:szCs w:val="20"/>
        </w:rPr>
      </w:pPr>
      <w:r>
        <w:rPr>
          <w:sz w:val="20"/>
          <w:szCs w:val="20"/>
        </w:rPr>
        <w:t xml:space="preserve">která je dnes mimo to velice handicapována zničením svých nejprůmyslovějších krajů, divá se do budoucnosti </w:t>
      </w:r>
      <w:r>
        <w:t xml:space="preserve">s </w:t>
      </w:r>
      <w:r>
        <w:rPr>
          <w:sz w:val="20"/>
          <w:szCs w:val="20"/>
        </w:rPr>
        <w:t>vel</w:t>
      </w:r>
      <w:r>
        <w:rPr>
          <w:sz w:val="20"/>
          <w:szCs w:val="20"/>
        </w:rPr>
        <w:softHyphen/>
        <w:t xml:space="preserve">kými obavami, které nejsou bezpodstatné. Všechno </w:t>
      </w:r>
      <w:r>
        <w:rPr>
          <w:sz w:val="20"/>
          <w:szCs w:val="20"/>
        </w:rPr>
        <w:t>její sna</w:t>
      </w:r>
      <w:r>
        <w:rPr>
          <w:sz w:val="20"/>
          <w:szCs w:val="20"/>
        </w:rPr>
        <w:softHyphen/>
        <w:t>žení jde dnes k tomu, aby nějak zamezila hospodářskou nad</w:t>
      </w:r>
      <w:r>
        <w:rPr>
          <w:sz w:val="20"/>
          <w:szCs w:val="20"/>
        </w:rPr>
        <w:softHyphen/>
        <w:t>vládu Německa, která se dá očekávat. Těchto hospodář</w:t>
      </w:r>
      <w:r>
        <w:rPr>
          <w:sz w:val="20"/>
          <w:szCs w:val="20"/>
        </w:rPr>
        <w:softHyphen/>
        <w:t>ských cílů hledí dosíci cestou politickou. Neustále zdůraz</w:t>
      </w:r>
      <w:r>
        <w:rPr>
          <w:sz w:val="20"/>
          <w:szCs w:val="20"/>
        </w:rPr>
        <w:softHyphen/>
        <w:t>ňuje politický protiklad dohody a Německa a německé ne</w:t>
      </w:r>
      <w:r>
        <w:rPr>
          <w:sz w:val="20"/>
          <w:szCs w:val="20"/>
        </w:rPr>
        <w:softHyphen/>
        <w:t>bezpečí. A z tohoto ně</w:t>
      </w:r>
      <w:r>
        <w:rPr>
          <w:sz w:val="20"/>
          <w:szCs w:val="20"/>
        </w:rPr>
        <w:t>meckého nebezpečí vzala si Francie mandát k obsazení německých měst, které vyvolalo jakési neshody mezi Anglií a Francií.</w:t>
      </w:r>
    </w:p>
    <w:p w:rsidR="00500724" w:rsidRDefault="00F30FB8">
      <w:pPr>
        <w:pStyle w:val="Zkladntext30"/>
        <w:shd w:val="clear" w:color="auto" w:fill="auto"/>
        <w:spacing w:after="0" w:line="204" w:lineRule="auto"/>
        <w:rPr>
          <w:sz w:val="20"/>
          <w:szCs w:val="20"/>
        </w:rPr>
      </w:pPr>
      <w:r>
        <w:rPr>
          <w:sz w:val="20"/>
          <w:szCs w:val="20"/>
        </w:rPr>
        <w:t>Francie stále žije ještě ve stavu válečném a je odhodlána dnes blokovat, zítra obsazovat německá města. Toho se An</w:t>
      </w:r>
      <w:r>
        <w:rPr>
          <w:sz w:val="20"/>
          <w:szCs w:val="20"/>
        </w:rPr>
        <w:softHyphen/>
        <w:t>gličan sám chce vys</w:t>
      </w:r>
      <w:r>
        <w:rPr>
          <w:sz w:val="20"/>
          <w:szCs w:val="20"/>
        </w:rPr>
        <w:t>tříhat. Nejen proto, že není Německu tak blízko jako jeho spojenec, nýbrž také proto, že jeho chladný duch nutí k počítáni.</w:t>
      </w:r>
    </w:p>
    <w:p w:rsidR="00500724" w:rsidRDefault="00F30FB8">
      <w:pPr>
        <w:pStyle w:val="Zkladntext30"/>
        <w:shd w:val="clear" w:color="auto" w:fill="auto"/>
        <w:tabs>
          <w:tab w:val="left" w:pos="3528"/>
        </w:tabs>
        <w:spacing w:after="180" w:line="202" w:lineRule="auto"/>
        <w:rPr>
          <w:sz w:val="20"/>
          <w:szCs w:val="20"/>
        </w:rPr>
      </w:pPr>
      <w:r>
        <w:rPr>
          <w:sz w:val="20"/>
          <w:szCs w:val="20"/>
        </w:rPr>
        <w:t>Rozdílnost anglického a francouzského nazírání ukázala se již v otázce Ruska, vydání německých válečných vinníků, Polska. Anglie doc</w:t>
      </w:r>
      <w:r>
        <w:rPr>
          <w:sz w:val="20"/>
          <w:szCs w:val="20"/>
        </w:rPr>
        <w:t>ela zřetelně odmítla dělat politiku, která prodlužuje nepřátelství a staví hradby mezi národy. Anglie musí řešit těžké hospodářské problémy a má před jinými tu výhodu, že jasně nahlédla, že těchto světových otázek nerozřeší žádná země sama o sobě, nýbrž je</w:t>
      </w:r>
      <w:r>
        <w:rPr>
          <w:sz w:val="20"/>
          <w:szCs w:val="20"/>
        </w:rPr>
        <w:t xml:space="preserve">dině všechny: společně, a že pro tuto pospolitost může vykonávati i svůj mocný vliv. Francie doufá Německo hospodářsky udržeti v šachu, poněvadž je vojensky silnější a může na základě mírové smlouvy osvědčovat svou politickou převahu. Ale Anglii je jasno, </w:t>
      </w:r>
      <w:r>
        <w:rPr>
          <w:sz w:val="20"/>
          <w:szCs w:val="20"/>
        </w:rPr>
        <w:t>že blokádami a obsazováním měst se nic ne</w:t>
      </w:r>
      <w:r>
        <w:rPr>
          <w:sz w:val="20"/>
          <w:szCs w:val="20"/>
        </w:rPr>
        <w:softHyphen/>
        <w:t xml:space="preserve">spraví v hospodářském životě, který je jeji hlavní starostí. </w:t>
      </w:r>
      <w:r>
        <w:rPr>
          <w:sz w:val="20"/>
          <w:szCs w:val="20"/>
          <w:lang w:val="en-US" w:eastAsia="en-US" w:bidi="en-US"/>
        </w:rPr>
        <w:t xml:space="preserve">IJoyd George </w:t>
      </w:r>
      <w:r>
        <w:rPr>
          <w:sz w:val="20"/>
          <w:szCs w:val="20"/>
        </w:rPr>
        <w:t>vyhrál sice volby heslem o válečné náhradě a o potrestání válečných provinilců, ale oposiční voličstvo jej brzy poučilo, že žije v zemi, kde</w:t>
      </w:r>
      <w:r>
        <w:rPr>
          <w:sz w:val="20"/>
          <w:szCs w:val="20"/>
        </w:rPr>
        <w:t xml:space="preserve"> se nedá vše spraviti lesklými slovy, jako tam na druhé straně kanálu, nýbrž v zemi, kde se lidé, ať už je to sympatická vlastnost nebo nesympatická, naučili především počítat, kde se rozumí lépe cenám semen než řečem o jakýchsi abstraktních pojmech, a kde</w:t>
      </w:r>
      <w:r>
        <w:rPr>
          <w:sz w:val="20"/>
          <w:szCs w:val="20"/>
        </w:rPr>
        <w:t xml:space="preserve"> se vždy chce viděti makavě výsledek. Poněvadž vý</w:t>
      </w:r>
      <w:r>
        <w:rPr>
          <w:sz w:val="20"/>
          <w:szCs w:val="20"/>
        </w:rPr>
        <w:softHyphen/>
        <w:t xml:space="preserve">sledek válečné politiky je smutný, hospodářská krise tísni- vá, žádá </w:t>
      </w:r>
      <w:r>
        <w:rPr>
          <w:sz w:val="20"/>
          <w:szCs w:val="20"/>
          <w:lang w:val="en-US" w:eastAsia="en-US" w:bidi="en-US"/>
        </w:rPr>
        <w:t xml:space="preserve">Lloyd </w:t>
      </w:r>
      <w:r>
        <w:rPr>
          <w:sz w:val="20"/>
          <w:szCs w:val="20"/>
        </w:rPr>
        <w:t>Georgovo voličstvo obnovu Evropy, mezi</w:t>
      </w:r>
      <w:r>
        <w:rPr>
          <w:sz w:val="20"/>
          <w:szCs w:val="20"/>
        </w:rPr>
        <w:softHyphen/>
        <w:t>národní styky, styky i s Německem a třeba 1 pomoc Němec</w:t>
      </w:r>
      <w:r>
        <w:rPr>
          <w:sz w:val="20"/>
          <w:szCs w:val="20"/>
        </w:rPr>
        <w:softHyphen/>
        <w:t>ku, aby se mohlo hospodářsky povznés</w:t>
      </w:r>
      <w:r>
        <w:rPr>
          <w:sz w:val="20"/>
          <w:szCs w:val="20"/>
        </w:rPr>
        <w:t xml:space="preserve">t a přispět svou prací </w:t>
      </w:r>
      <w:r>
        <w:t xml:space="preserve">k </w:t>
      </w:r>
      <w:r>
        <w:rPr>
          <w:sz w:val="20"/>
          <w:szCs w:val="20"/>
        </w:rPr>
        <w:t>obnově Evropy.</w:t>
      </w:r>
      <w:r>
        <w:rPr>
          <w:sz w:val="20"/>
          <w:szCs w:val="20"/>
        </w:rPr>
        <w:tab/>
        <w:t>(14. dubna 1920.)</w:t>
      </w:r>
    </w:p>
    <w:p w:rsidR="00500724" w:rsidRDefault="00F30FB8">
      <w:pPr>
        <w:pStyle w:val="Zkladntext30"/>
        <w:shd w:val="clear" w:color="auto" w:fill="auto"/>
        <w:spacing w:after="100" w:line="204" w:lineRule="auto"/>
        <w:ind w:firstLine="0"/>
        <w:jc w:val="center"/>
        <w:rPr>
          <w:sz w:val="20"/>
          <w:szCs w:val="20"/>
        </w:rPr>
      </w:pPr>
      <w:r>
        <w:rPr>
          <w:sz w:val="20"/>
          <w:szCs w:val="20"/>
        </w:rPr>
        <w:t>Společnost národů a Německo</w:t>
      </w:r>
    </w:p>
    <w:p w:rsidR="00500724" w:rsidRDefault="00F30FB8">
      <w:pPr>
        <w:pStyle w:val="Zkladntext30"/>
        <w:shd w:val="clear" w:color="auto" w:fill="auto"/>
        <w:spacing w:after="0" w:line="206" w:lineRule="auto"/>
        <w:rPr>
          <w:sz w:val="20"/>
          <w:szCs w:val="20"/>
        </w:rPr>
      </w:pPr>
      <w:r>
        <w:rPr>
          <w:sz w:val="20"/>
          <w:szCs w:val="20"/>
        </w:rPr>
        <w:t>Doba, v níž Svaz národů vešel v život, nebyla příznivá rozvinutí jeho moci. Nejvyšší rada nechtěla se děliti s kým</w:t>
      </w:r>
      <w:r>
        <w:rPr>
          <w:sz w:val="20"/>
          <w:szCs w:val="20"/>
        </w:rPr>
        <w:softHyphen/>
        <w:t xml:space="preserve">koliv o světovou moc. Šlo o to, dokončit! ještě nové </w:t>
      </w:r>
      <w:r>
        <w:rPr>
          <w:sz w:val="20"/>
          <w:szCs w:val="20"/>
        </w:rPr>
        <w:t>světové uspořádání, provést! mírové smlouvy. V těchto věcech ne</w:t>
      </w:r>
      <w:r>
        <w:rPr>
          <w:sz w:val="20"/>
          <w:szCs w:val="20"/>
        </w:rPr>
        <w:softHyphen/>
        <w:t>trpěla Nejvyšší rada žádného konkurenčního podniku. Svě</w:t>
      </w:r>
      <w:r>
        <w:rPr>
          <w:sz w:val="20"/>
          <w:szCs w:val="20"/>
        </w:rPr>
        <w:softHyphen/>
        <w:t>řovat! tyto věci do rukou nějakého Svazu, zdálo by se jí lehkomyslností. To, co vybojovala Dohoda, bylo pro ni mi</w:t>
      </w:r>
      <w:r>
        <w:rPr>
          <w:sz w:val="20"/>
          <w:szCs w:val="20"/>
        </w:rPr>
        <w:softHyphen/>
        <w:t xml:space="preserve">mo všechnu diskusi, i </w:t>
      </w:r>
      <w:r>
        <w:rPr>
          <w:sz w:val="20"/>
          <w:szCs w:val="20"/>
        </w:rPr>
        <w:t>mimo diskusi Svazu národů. Fakticky je Svaz národů odsouzen k bezmoci, dokud Nejvyšší rada nedokončí svého díla a neupevní je. Reálné zájmy velmoci nedovolují dnes Svazu národů vystupovatl do popředí.</w:t>
      </w:r>
    </w:p>
    <w:p w:rsidR="00500724" w:rsidRDefault="00F30FB8">
      <w:pPr>
        <w:pStyle w:val="Zkladntext30"/>
        <w:shd w:val="clear" w:color="auto" w:fill="auto"/>
        <w:spacing w:after="60" w:line="204" w:lineRule="auto"/>
      </w:pPr>
      <w:r>
        <w:rPr>
          <w:sz w:val="20"/>
          <w:szCs w:val="20"/>
        </w:rPr>
        <w:t>Francie na příklad jistě nedovolí Svazu, aby přezkoumal</w:t>
      </w:r>
      <w:r>
        <w:rPr>
          <w:sz w:val="20"/>
          <w:szCs w:val="20"/>
        </w:rPr>
        <w:t xml:space="preserve"> její mírovou smlouvu s Německem. Je ostatně jisto, že Svaz národů nikdy by se nebyl stal skutkem, kdyby nebyl </w:t>
      </w:r>
      <w:r>
        <w:rPr>
          <w:sz w:val="20"/>
          <w:szCs w:val="20"/>
          <w:lang w:val="en-US" w:eastAsia="en-US" w:bidi="en-US"/>
        </w:rPr>
        <w:t>Wil</w:t>
      </w:r>
      <w:r>
        <w:rPr>
          <w:sz w:val="20"/>
          <w:szCs w:val="20"/>
          <w:lang w:val="en-US" w:eastAsia="en-US" w:bidi="en-US"/>
        </w:rPr>
        <w:softHyphen/>
        <w:t xml:space="preserve">son </w:t>
      </w:r>
      <w:r>
        <w:rPr>
          <w:sz w:val="20"/>
          <w:szCs w:val="20"/>
        </w:rPr>
        <w:t xml:space="preserve">jej loni v Paříži prohlásil za </w:t>
      </w:r>
      <w:r>
        <w:rPr>
          <w:sz w:val="20"/>
          <w:szCs w:val="20"/>
          <w:lang w:val="en-US" w:eastAsia="en-US" w:bidi="en-US"/>
        </w:rPr>
        <w:t xml:space="preserve">conditio </w:t>
      </w:r>
      <w:r>
        <w:rPr>
          <w:sz w:val="20"/>
          <w:szCs w:val="20"/>
        </w:rPr>
        <w:t xml:space="preserve">sine </w:t>
      </w:r>
      <w:r>
        <w:rPr>
          <w:sz w:val="20"/>
          <w:szCs w:val="20"/>
          <w:lang w:val="en-US" w:eastAsia="en-US" w:bidi="en-US"/>
        </w:rPr>
        <w:t xml:space="preserve">qua non. </w:t>
      </w:r>
      <w:r>
        <w:rPr>
          <w:sz w:val="20"/>
          <w:szCs w:val="20"/>
        </w:rPr>
        <w:t>Evropští státníci povolili tedy zdvořile washingtonskému státníku, kterého v skrytu</w:t>
      </w:r>
      <w:r>
        <w:rPr>
          <w:sz w:val="20"/>
          <w:szCs w:val="20"/>
        </w:rPr>
        <w:t xml:space="preserve"> svého srdce považovali za ne- prakického filosofa, kterému však se bohužel musí vy- hověti, poněvadž náhodou za nim stojí velká světová a fi</w:t>
      </w:r>
      <w:r>
        <w:rPr>
          <w:sz w:val="20"/>
          <w:szCs w:val="20"/>
        </w:rPr>
        <w:softHyphen/>
        <w:t>nanční moc. Davše však Svaz národů podle jeho přání do mírové smlouvy, učinili vše, aby byl bez faktické moci aspo</w:t>
      </w:r>
      <w:r>
        <w:rPr>
          <w:sz w:val="20"/>
          <w:szCs w:val="20"/>
        </w:rPr>
        <w:t>ň po dobu, kdy potřebují, aby všechna moc byla kon</w:t>
      </w:r>
      <w:r>
        <w:rPr>
          <w:sz w:val="20"/>
          <w:szCs w:val="20"/>
        </w:rPr>
        <w:softHyphen/>
        <w:t>centrována v jejich rukách. Zejména Francie dívala se vel</w:t>
      </w:r>
      <w:r>
        <w:rPr>
          <w:sz w:val="20"/>
          <w:szCs w:val="20"/>
        </w:rPr>
        <w:softHyphen/>
        <w:t xml:space="preserve">mi skepticky a podezřívavě na Svaz. Dala zřejmě najevo, že pro ni daleko větší cenu má branná konvence s Anglii proti Německu. Francie ovšem vůbec </w:t>
      </w:r>
      <w:r>
        <w:rPr>
          <w:sz w:val="20"/>
          <w:szCs w:val="20"/>
        </w:rPr>
        <w:t xml:space="preserve">musí očekávati, </w:t>
      </w:r>
      <w:r>
        <w:t xml:space="preserve">že </w:t>
      </w:r>
      <w:r>
        <w:rPr>
          <w:sz w:val="20"/>
          <w:szCs w:val="20"/>
        </w:rPr>
        <w:t xml:space="preserve">by se brzy střetla se Svazem; celá její politika, kterou vede proti Německu, hospodářské represalie s jeji strany </w:t>
      </w:r>
      <w:r>
        <w:t>odpo-</w:t>
      </w:r>
    </w:p>
    <w:p w:rsidR="00500724" w:rsidRDefault="00F30FB8">
      <w:pPr>
        <w:pStyle w:val="Zkladntext30"/>
        <w:shd w:val="clear" w:color="auto" w:fill="auto"/>
        <w:tabs>
          <w:tab w:val="left" w:pos="3374"/>
        </w:tabs>
        <w:spacing w:after="420" w:line="202" w:lineRule="auto"/>
        <w:ind w:firstLine="0"/>
        <w:rPr>
          <w:sz w:val="20"/>
          <w:szCs w:val="20"/>
        </w:rPr>
      </w:pPr>
      <w:r>
        <w:rPr>
          <w:sz w:val="20"/>
          <w:szCs w:val="20"/>
        </w:rPr>
        <w:t>rojí duchu, kterým jediné může býti veden Svaz národů. Francie má dnes živou a význačnou ojedinělost zájmů, kte</w:t>
      </w:r>
      <w:r>
        <w:rPr>
          <w:sz w:val="20"/>
          <w:szCs w:val="20"/>
        </w:rPr>
        <w:softHyphen/>
        <w:t>rou v</w:t>
      </w:r>
      <w:r>
        <w:rPr>
          <w:sz w:val="20"/>
          <w:szCs w:val="20"/>
        </w:rPr>
        <w:t>šak nepodrobi rozhodováni žádného dosud akademic</w:t>
      </w:r>
      <w:r>
        <w:rPr>
          <w:sz w:val="20"/>
          <w:szCs w:val="20"/>
        </w:rPr>
        <w:softHyphen/>
        <w:t>kého kongresu.</w:t>
      </w:r>
      <w:r>
        <w:rPr>
          <w:sz w:val="20"/>
          <w:szCs w:val="20"/>
        </w:rPr>
        <w:tab/>
        <w:t>(16. listopadu 1920.)</w:t>
      </w:r>
    </w:p>
    <w:p w:rsidR="00500724" w:rsidRDefault="00F30FB8">
      <w:pPr>
        <w:pStyle w:val="Jin0"/>
        <w:shd w:val="clear" w:color="auto" w:fill="auto"/>
        <w:spacing w:after="200"/>
        <w:ind w:firstLine="0"/>
        <w:jc w:val="left"/>
        <w:rPr>
          <w:sz w:val="44"/>
          <w:szCs w:val="44"/>
        </w:rPr>
      </w:pPr>
      <w:r>
        <w:rPr>
          <w:b/>
          <w:bCs/>
          <w:sz w:val="44"/>
          <w:szCs w:val="44"/>
          <w:u w:val="single"/>
        </w:rPr>
        <w:t>literatura a uměni</w:t>
      </w:r>
    </w:p>
    <w:p w:rsidR="00500724" w:rsidRDefault="00F30FB8">
      <w:pPr>
        <w:pStyle w:val="Zkladntext40"/>
        <w:shd w:val="clear" w:color="auto" w:fill="auto"/>
        <w:spacing w:after="100" w:line="226" w:lineRule="auto"/>
      </w:pPr>
      <w:r>
        <w:rPr>
          <w:sz w:val="22"/>
          <w:szCs w:val="22"/>
        </w:rPr>
        <w:t xml:space="preserve">Ed. </w:t>
      </w:r>
      <w:r>
        <w:rPr>
          <w:b/>
          <w:bCs/>
          <w:i/>
          <w:iCs/>
        </w:rPr>
        <w:t>Č ernik:</w:t>
      </w:r>
    </w:p>
    <w:p w:rsidR="00500724" w:rsidRDefault="00F30FB8">
      <w:pPr>
        <w:pStyle w:val="Nadpis100"/>
        <w:shd w:val="clear" w:color="auto" w:fill="auto"/>
        <w:spacing w:after="100" w:line="240" w:lineRule="auto"/>
        <w:jc w:val="left"/>
      </w:pPr>
      <w:bookmarkStart w:id="339" w:name="bookmark338"/>
      <w:r>
        <w:t>Emil Jannings — nic než člověk</w:t>
      </w:r>
      <w:bookmarkEnd w:id="339"/>
    </w:p>
    <w:p w:rsidR="00500724" w:rsidRDefault="00F30FB8">
      <w:pPr>
        <w:pStyle w:val="Zkladntext30"/>
        <w:shd w:val="clear" w:color="auto" w:fill="auto"/>
        <w:spacing w:after="0" w:line="223" w:lineRule="auto"/>
        <w:ind w:left="600" w:firstLine="220"/>
        <w:rPr>
          <w:sz w:val="20"/>
          <w:szCs w:val="20"/>
        </w:rPr>
      </w:pPr>
      <w:r>
        <w:rPr>
          <w:sz w:val="20"/>
          <w:szCs w:val="20"/>
        </w:rPr>
        <w:t>Německý herec Emil Jannings byl při příležitosti svého 251etého působeni v německém filmu vyzna</w:t>
      </w:r>
      <w:r>
        <w:rPr>
          <w:sz w:val="20"/>
          <w:szCs w:val="20"/>
        </w:rPr>
        <w:softHyphen/>
        <w:t xml:space="preserve">menán </w:t>
      </w:r>
      <w:r>
        <w:rPr>
          <w:b/>
          <w:bCs/>
          <w:sz w:val="14"/>
          <w:szCs w:val="14"/>
        </w:rPr>
        <w:t xml:space="preserve">v </w:t>
      </w:r>
      <w:r>
        <w:rPr>
          <w:sz w:val="20"/>
          <w:szCs w:val="20"/>
        </w:rPr>
        <w:t>těchto dnech Goethovou medailí. Byla mu odevzdána ministrem dr. Goebbelsem.</w:t>
      </w:r>
    </w:p>
    <w:p w:rsidR="00500724" w:rsidRDefault="00F30FB8">
      <w:pPr>
        <w:pStyle w:val="Zkladntext100"/>
        <w:shd w:val="clear" w:color="auto" w:fill="auto"/>
        <w:spacing w:after="200" w:line="182" w:lineRule="auto"/>
        <w:ind w:firstLine="0"/>
        <w:jc w:val="right"/>
        <w:rPr>
          <w:sz w:val="17"/>
          <w:szCs w:val="17"/>
        </w:rPr>
      </w:pPr>
      <w:r>
        <w:rPr>
          <w:sz w:val="17"/>
          <w:szCs w:val="17"/>
        </w:rPr>
        <w:t>Denní zpráva.</w:t>
      </w:r>
    </w:p>
    <w:p w:rsidR="00500724" w:rsidRDefault="00F30FB8">
      <w:pPr>
        <w:pStyle w:val="Zkladntext40"/>
        <w:shd w:val="clear" w:color="auto" w:fill="auto"/>
        <w:spacing w:after="40" w:line="360" w:lineRule="auto"/>
        <w:ind w:firstLine="220"/>
        <w:rPr>
          <w:sz w:val="14"/>
          <w:szCs w:val="14"/>
        </w:rPr>
      </w:pPr>
      <w:r>
        <w:rPr>
          <w:b/>
          <w:bCs/>
          <w:sz w:val="14"/>
          <w:szCs w:val="14"/>
        </w:rPr>
        <w:t xml:space="preserve">Třebaže se Jannings rok od roku více ztrácí ze stříbro- šedých obdélníků kin, spotřebován více a více divadlem, zůstává filmu věren věrností nikoli jen formální a </w:t>
      </w:r>
      <w:r>
        <w:rPr>
          <w:b/>
          <w:bCs/>
          <w:sz w:val="14"/>
          <w:szCs w:val="14"/>
        </w:rPr>
        <w:t>jmen</w:t>
      </w:r>
      <w:r>
        <w:rPr>
          <w:b/>
          <w:bCs/>
          <w:sz w:val="14"/>
          <w:szCs w:val="14"/>
        </w:rPr>
        <w:softHyphen/>
        <w:t>nou. Mnozí jeho režiséři mu neporozuměli, mnohý sce</w:t>
      </w:r>
      <w:r>
        <w:rPr>
          <w:b/>
          <w:bCs/>
          <w:sz w:val="14"/>
          <w:szCs w:val="14"/>
        </w:rPr>
        <w:softHyphen/>
        <w:t>nárista mu tu a tam ušil nepřiléhavý kabát, výrobci se mýlí ve výběru jeho úloh, naštěstí se však Jannings sám v sobě nemýlí a rozumí, jak dělat živého člověka. ,V proměnlivých análech filmového dění</w:t>
      </w:r>
      <w:r>
        <w:rPr>
          <w:b/>
          <w:bCs/>
          <w:sz w:val="14"/>
          <w:szCs w:val="14"/>
        </w:rPr>
        <w:t>, v nestejnoro</w:t>
      </w:r>
      <w:r>
        <w:rPr>
          <w:b/>
          <w:bCs/>
          <w:sz w:val="14"/>
          <w:szCs w:val="14"/>
        </w:rPr>
        <w:softHyphen/>
        <w:t>dém usilování filmových pracovníků, z nichž tak mnozí nabírají var života mělkými lžičkami, sahá Jannings do nebezpečných hlubin lidského cítění a těžkého zá</w:t>
      </w:r>
      <w:r>
        <w:rPr>
          <w:b/>
          <w:bCs/>
          <w:sz w:val="14"/>
          <w:szCs w:val="14"/>
        </w:rPr>
        <w:softHyphen/>
        <w:t>pasu o skutečnost. Filmové hrdinství je hmota sporná, jeví se snadnou a lehkou v bě</w:t>
      </w:r>
      <w:r>
        <w:rPr>
          <w:b/>
          <w:bCs/>
          <w:sz w:val="14"/>
          <w:szCs w:val="14"/>
        </w:rPr>
        <w:t>žném filmovém díle, jež lechtá oko tam, odkud jdou slzy, mlha zraku, sebeklam divákův. Vyvolavači drobné, pomíjející sensace, po</w:t>
      </w:r>
      <w:r>
        <w:rPr>
          <w:b/>
          <w:bCs/>
          <w:sz w:val="14"/>
          <w:szCs w:val="14"/>
        </w:rPr>
        <w:softHyphen/>
        <w:t>chmurné nebo radostné, ovšem nejsou pravými typy hrdinů, nebof jen oni jsou s to sevřít vaše srdce a mozek do tvrdé, nemilosrdn</w:t>
      </w:r>
      <w:r>
        <w:rPr>
          <w:b/>
          <w:bCs/>
          <w:sz w:val="14"/>
          <w:szCs w:val="14"/>
        </w:rPr>
        <w:t>é dlaně a nepustit vás, aniž z vás nevynutí nějakého doživotního poznání a přesvědčení. .Vášeň je neklamný znak těchto hrdinů. Vášeň, která tvořila význačné lidské postavy dějin politických, dějin vědy, táž osudové a nevyhnutelná síla, která pozname</w:t>
      </w:r>
      <w:r>
        <w:rPr>
          <w:b/>
          <w:bCs/>
          <w:sz w:val="14"/>
          <w:szCs w:val="14"/>
        </w:rPr>
        <w:softHyphen/>
        <w:t>nává ž</w:t>
      </w:r>
      <w:r>
        <w:rPr>
          <w:b/>
          <w:bCs/>
          <w:sz w:val="14"/>
          <w:szCs w:val="14"/>
        </w:rPr>
        <w:t>ijícího člověka, jenž se dává do boje s převahou jiných, mocnějších sil. Janningsovo tvoření nešlo jedinou kolejí. Úspěchy nezacelily věčně otevřenou jizvu jeho neklidu. 25 let, naplněných proměnami společenskými, světovou válkou, počátky moderního německé</w:t>
      </w:r>
      <w:r>
        <w:rPr>
          <w:b/>
          <w:bCs/>
          <w:sz w:val="14"/>
          <w:szCs w:val="14"/>
        </w:rPr>
        <w:t>ho filmu, přímou účastí na tvorbě Hollywoodu, úpadkem výmar</w:t>
      </w:r>
      <w:r>
        <w:rPr>
          <w:b/>
          <w:bCs/>
          <w:sz w:val="14"/>
          <w:szCs w:val="14"/>
        </w:rPr>
        <w:softHyphen/>
        <w:t>ského Německa, výstavbou dnešní velkoněmecké říše, proměnami, jež odsunovaly až k zapomenutí i nejschop</w:t>
      </w:r>
      <w:r>
        <w:rPr>
          <w:b/>
          <w:bCs/>
          <w:sz w:val="14"/>
          <w:szCs w:val="14"/>
        </w:rPr>
        <w:softHyphen/>
        <w:t>nější pracovníky, neotřáslo jeho příslušenstvím k ně</w:t>
      </w:r>
      <w:r>
        <w:rPr>
          <w:b/>
          <w:bCs/>
          <w:sz w:val="14"/>
          <w:szCs w:val="14"/>
        </w:rPr>
        <w:softHyphen/>
        <w:t>mecké kulturní tvorbě. Je stále na svém</w:t>
      </w:r>
      <w:r>
        <w:rPr>
          <w:b/>
          <w:bCs/>
          <w:sz w:val="14"/>
          <w:szCs w:val="14"/>
        </w:rPr>
        <w:t xml:space="preserve"> místě a od jeho Ludvíka XIV. v Madame Dubarry a Jindřicha VIII. v 'Anně Boleynové k jeho průmyslovému králi ve Vládci a bakteriologovi Kochovi v připravovaném německém filmu jako by byl postaven most. Most tradice, která zůstává v národech živa, i když pr</w:t>
      </w:r>
      <w:r>
        <w:rPr>
          <w:b/>
          <w:bCs/>
          <w:sz w:val="14"/>
          <w:szCs w:val="14"/>
        </w:rPr>
        <w:t>oudy bijí nemilosrd</w:t>
      </w:r>
      <w:r>
        <w:rPr>
          <w:b/>
          <w:bCs/>
          <w:sz w:val="14"/>
          <w:szCs w:val="14"/>
        </w:rPr>
        <w:softHyphen/>
        <w:t>ně do břehů, v nichž je národům žít a z nichž není úniku.</w:t>
      </w:r>
    </w:p>
    <w:p w:rsidR="00500724" w:rsidRDefault="00F30FB8">
      <w:pPr>
        <w:pStyle w:val="Zkladntext40"/>
        <w:shd w:val="clear" w:color="auto" w:fill="auto"/>
        <w:spacing w:after="40" w:line="360" w:lineRule="auto"/>
        <w:jc w:val="center"/>
        <w:rPr>
          <w:sz w:val="14"/>
          <w:szCs w:val="14"/>
        </w:rPr>
      </w:pPr>
      <w:r>
        <w:rPr>
          <w:b/>
          <w:bCs/>
          <w:sz w:val="14"/>
          <w:szCs w:val="14"/>
        </w:rPr>
        <w:t>Počátek umění</w:t>
      </w:r>
    </w:p>
    <w:p w:rsidR="00500724" w:rsidRDefault="00F30FB8">
      <w:pPr>
        <w:pStyle w:val="Zkladntext40"/>
        <w:shd w:val="clear" w:color="auto" w:fill="auto"/>
        <w:spacing w:after="140" w:line="350" w:lineRule="auto"/>
        <w:jc w:val="right"/>
        <w:rPr>
          <w:sz w:val="14"/>
          <w:szCs w:val="14"/>
        </w:rPr>
      </w:pPr>
      <w:r>
        <w:rPr>
          <w:b/>
          <w:bCs/>
          <w:sz w:val="14"/>
          <w:szCs w:val="14"/>
        </w:rPr>
        <w:t xml:space="preserve">Narozen před 53 lety ve Švýcarsku z německých ro- ’dičů, ztráviv rané dětství </w:t>
      </w:r>
      <w:r>
        <w:rPr>
          <w:b/>
          <w:bCs/>
          <w:sz w:val="26"/>
          <w:szCs w:val="26"/>
        </w:rPr>
        <w:t xml:space="preserve">.v </w:t>
      </w:r>
      <w:r>
        <w:rPr>
          <w:b/>
          <w:bCs/>
          <w:sz w:val="14"/>
          <w:szCs w:val="14"/>
        </w:rPr>
        <w:t>Curychu, přesídliv jako</w:t>
      </w:r>
    </w:p>
    <w:p w:rsidR="00500724" w:rsidRDefault="00F30FB8">
      <w:pPr>
        <w:pStyle w:val="Zkladntext40"/>
        <w:shd w:val="clear" w:color="auto" w:fill="auto"/>
        <w:spacing w:line="348" w:lineRule="auto"/>
        <w:rPr>
          <w:sz w:val="14"/>
          <w:szCs w:val="14"/>
        </w:rPr>
      </w:pPr>
      <w:r>
        <w:rPr>
          <w:b/>
          <w:bCs/>
          <w:sz w:val="14"/>
          <w:szCs w:val="14"/>
        </w:rPr>
        <w:t xml:space="preserve">desetiletý s rodiči do Slezska, byl ve své dětské duši </w:t>
      </w:r>
      <w:r>
        <w:rPr>
          <w:b/>
          <w:bCs/>
          <w:sz w:val="14"/>
          <w:szCs w:val="14"/>
        </w:rPr>
        <w:t>naplněn tisíci obrazů míjejících krajin, jež by byl rád dále násobil. Chtěl na moře, zatím co otec snil o svém synu jako inženýru. Rok na plachetnici na moři vyléčil jeho sny, otec se vzdal svých plánů a mladý Jannings, zabořený do vidin milovaných knih, p</w:t>
      </w:r>
      <w:r>
        <w:rPr>
          <w:b/>
          <w:bCs/>
          <w:sz w:val="14"/>
          <w:szCs w:val="14"/>
        </w:rPr>
        <w:t>řehrává si ve ve</w:t>
      </w:r>
      <w:r>
        <w:rPr>
          <w:b/>
          <w:bCs/>
          <w:sz w:val="14"/>
          <w:szCs w:val="14"/>
        </w:rPr>
        <w:softHyphen/>
        <w:t>černím šeru domova úlohy z divadelních knížek. V šest</w:t>
      </w:r>
      <w:r>
        <w:rPr>
          <w:b/>
          <w:bCs/>
          <w:sz w:val="14"/>
          <w:szCs w:val="14"/>
        </w:rPr>
        <w:softHyphen/>
        <w:t>nácti letech — psal se rok 1901 — už je členem kočovné společnosti herců a hraje hlavní úlohy. Ve své autobio</w:t>
      </w:r>
      <w:r>
        <w:rPr>
          <w:b/>
          <w:bCs/>
          <w:sz w:val="14"/>
          <w:szCs w:val="14"/>
        </w:rPr>
        <w:softHyphen/>
        <w:t>grafii, kterou Jannings nyní píše, vypráví o dvanácti letech divadelních zá</w:t>
      </w:r>
      <w:r>
        <w:rPr>
          <w:b/>
          <w:bCs/>
          <w:sz w:val="14"/>
          <w:szCs w:val="14"/>
        </w:rPr>
        <w:t xml:space="preserve">pasů, o svém období </w:t>
      </w:r>
      <w:r>
        <w:rPr>
          <w:b/>
          <w:bCs/>
          <w:sz w:val="14"/>
          <w:szCs w:val="14"/>
          <w:lang w:val="en-US" w:eastAsia="en-US" w:bidi="en-US"/>
        </w:rPr>
        <w:t xml:space="preserve">Sturm </w:t>
      </w:r>
      <w:r>
        <w:rPr>
          <w:b/>
          <w:bCs/>
          <w:sz w:val="14"/>
          <w:szCs w:val="14"/>
        </w:rPr>
        <w:t xml:space="preserve">und </w:t>
      </w:r>
      <w:r>
        <w:rPr>
          <w:b/>
          <w:bCs/>
          <w:sz w:val="14"/>
          <w:szCs w:val="14"/>
          <w:lang w:val="en-US" w:eastAsia="en-US" w:bidi="en-US"/>
        </w:rPr>
        <w:t xml:space="preserve">Drang. </w:t>
      </w:r>
      <w:r>
        <w:rPr>
          <w:b/>
          <w:bCs/>
          <w:sz w:val="14"/>
          <w:szCs w:val="14"/>
        </w:rPr>
        <w:t>Hraje na německém, českém i moravském úze</w:t>
      </w:r>
      <w:r>
        <w:rPr>
          <w:b/>
          <w:bCs/>
          <w:sz w:val="14"/>
          <w:szCs w:val="14"/>
        </w:rPr>
        <w:softHyphen/>
        <w:t>mí, v hospůdkách a velikých samostatných divadlech v Brémách, v Lipsku, v Mohuči a v Darmstadtu. Každá hra, každé prostředí formuje cítění, vůli k pravdě a vy</w:t>
      </w:r>
      <w:r>
        <w:rPr>
          <w:b/>
          <w:bCs/>
          <w:sz w:val="14"/>
          <w:szCs w:val="14"/>
        </w:rPr>
        <w:softHyphen/>
        <w:t>jadřovací umění to</w:t>
      </w:r>
      <w:r>
        <w:rPr>
          <w:b/>
          <w:bCs/>
          <w:sz w:val="14"/>
          <w:szCs w:val="14"/>
        </w:rPr>
        <w:t>hoto chápavého umělce. Neboť te</w:t>
      </w:r>
      <w:r>
        <w:rPr>
          <w:b/>
          <w:bCs/>
          <w:sz w:val="14"/>
          <w:szCs w:val="14"/>
        </w:rPr>
        <w:softHyphen/>
        <w:t xml:space="preserve">prve roku 1913 je tak dalece připraven pro těžké úkoly, že si ho vyhledá </w:t>
      </w:r>
      <w:r>
        <w:rPr>
          <w:b/>
          <w:bCs/>
          <w:sz w:val="14"/>
          <w:szCs w:val="14"/>
          <w:lang w:val="en-US" w:eastAsia="en-US" w:bidi="en-US"/>
        </w:rPr>
        <w:t>Max Reinhardt.</w:t>
      </w:r>
    </w:p>
    <w:p w:rsidR="00500724" w:rsidRDefault="00F30FB8">
      <w:pPr>
        <w:pStyle w:val="Zkladntext40"/>
        <w:shd w:val="clear" w:color="auto" w:fill="auto"/>
        <w:spacing w:line="350" w:lineRule="auto"/>
        <w:rPr>
          <w:sz w:val="14"/>
          <w:szCs w:val="14"/>
        </w:rPr>
      </w:pPr>
      <w:r>
        <w:rPr>
          <w:b/>
          <w:bCs/>
          <w:sz w:val="14"/>
          <w:szCs w:val="14"/>
          <w:lang w:val="en-US" w:eastAsia="en-US" w:bidi="en-US"/>
        </w:rPr>
        <w:t xml:space="preserve">Max Reinhardt </w:t>
      </w:r>
      <w:r>
        <w:rPr>
          <w:b/>
          <w:bCs/>
          <w:sz w:val="14"/>
          <w:szCs w:val="14"/>
        </w:rPr>
        <w:t>a první setkání s filmem</w:t>
      </w:r>
    </w:p>
    <w:p w:rsidR="00500724" w:rsidRDefault="00F30FB8">
      <w:pPr>
        <w:pStyle w:val="Zkladntext40"/>
        <w:shd w:val="clear" w:color="auto" w:fill="auto"/>
        <w:spacing w:after="0" w:line="350" w:lineRule="auto"/>
        <w:ind w:firstLine="220"/>
        <w:rPr>
          <w:sz w:val="14"/>
          <w:szCs w:val="14"/>
        </w:rPr>
      </w:pPr>
      <w:r>
        <w:rPr>
          <w:b/>
          <w:bCs/>
          <w:sz w:val="14"/>
          <w:szCs w:val="14"/>
        </w:rPr>
        <w:t xml:space="preserve">Když Jannings začínal na scéně </w:t>
      </w:r>
      <w:r>
        <w:rPr>
          <w:b/>
          <w:bCs/>
          <w:sz w:val="14"/>
          <w:szCs w:val="14"/>
          <w:lang w:val="en-US" w:eastAsia="en-US" w:bidi="en-US"/>
        </w:rPr>
        <w:t xml:space="preserve">Deutsches Theater </w:t>
      </w:r>
      <w:r>
        <w:rPr>
          <w:b/>
          <w:bCs/>
          <w:sz w:val="14"/>
          <w:szCs w:val="14"/>
        </w:rPr>
        <w:t>v Berlíně, řízené Reinhardtem, byl už hercem svě</w:t>
      </w:r>
      <w:r>
        <w:rPr>
          <w:b/>
          <w:bCs/>
          <w:sz w:val="14"/>
          <w:szCs w:val="14"/>
        </w:rPr>
        <w:t xml:space="preserve">tové pověsti a pětiletá smlouva pro Reinhardtova divadla byla jen malým úrokem z jeho bohatých fondů. </w:t>
      </w:r>
      <w:r>
        <w:rPr>
          <w:b/>
          <w:bCs/>
          <w:sz w:val="14"/>
          <w:szCs w:val="14"/>
          <w:lang w:val="en-US" w:eastAsia="en-US" w:bidi="en-US"/>
        </w:rPr>
        <w:t>Haupt</w:t>
      </w:r>
      <w:r>
        <w:rPr>
          <w:b/>
          <w:bCs/>
          <w:sz w:val="14"/>
          <w:szCs w:val="14"/>
          <w:lang w:val="en-US" w:eastAsia="en-US" w:bidi="en-US"/>
        </w:rPr>
        <w:softHyphen/>
        <w:t xml:space="preserve">mann, </w:t>
      </w:r>
      <w:r>
        <w:rPr>
          <w:b/>
          <w:bCs/>
          <w:sz w:val="14"/>
          <w:szCs w:val="14"/>
        </w:rPr>
        <w:t>Shakespeare, Forman Henčl, Jindřich VIII. nebo faustovský repertoár nestačil spotřebovat energii a ztré- vit tvůrčí oheň, jímž byl nabit.</w:t>
      </w:r>
    </w:p>
    <w:p w:rsidR="00500724" w:rsidRDefault="00F30FB8">
      <w:pPr>
        <w:pStyle w:val="Zkladntext40"/>
        <w:shd w:val="clear" w:color="auto" w:fill="auto"/>
        <w:spacing w:after="0" w:line="350" w:lineRule="auto"/>
        <w:ind w:firstLine="220"/>
        <w:rPr>
          <w:sz w:val="14"/>
          <w:szCs w:val="14"/>
        </w:rPr>
      </w:pPr>
      <w:r>
        <w:rPr>
          <w:b/>
          <w:bCs/>
          <w:sz w:val="14"/>
          <w:szCs w:val="14"/>
        </w:rPr>
        <w:t>A ta</w:t>
      </w:r>
      <w:r>
        <w:rPr>
          <w:b/>
          <w:bCs/>
          <w:sz w:val="14"/>
          <w:szCs w:val="14"/>
        </w:rPr>
        <w:t>dy už někde číhal pošetilý nástroj zábavy, ko</w:t>
      </w:r>
      <w:r>
        <w:rPr>
          <w:b/>
          <w:bCs/>
          <w:sz w:val="14"/>
          <w:szCs w:val="14"/>
        </w:rPr>
        <w:softHyphen/>
        <w:t>mická, nejistá veličina veřejného rozptýlení, film, aby tohoto zralého herce zajal do své nepevné, nedobudo- vané sítě. První setkání Janningsovo 8 filmem dopadlo podle toho. Když si Jannings nyní ná to vzpomín</w:t>
      </w:r>
      <w:r>
        <w:rPr>
          <w:b/>
          <w:bCs/>
          <w:sz w:val="14"/>
          <w:szCs w:val="14"/>
        </w:rPr>
        <w:t>á, říká:</w:t>
      </w:r>
    </w:p>
    <w:p w:rsidR="00500724" w:rsidRDefault="00F30FB8">
      <w:pPr>
        <w:pStyle w:val="Zkladntext40"/>
        <w:numPr>
          <w:ilvl w:val="0"/>
          <w:numId w:val="40"/>
        </w:numPr>
        <w:shd w:val="clear" w:color="auto" w:fill="auto"/>
        <w:tabs>
          <w:tab w:val="left" w:pos="514"/>
        </w:tabs>
        <w:spacing w:after="0" w:line="350" w:lineRule="auto"/>
        <w:ind w:firstLine="220"/>
        <w:rPr>
          <w:sz w:val="14"/>
          <w:szCs w:val="14"/>
        </w:rPr>
      </w:pPr>
      <w:r>
        <w:rPr>
          <w:b/>
          <w:bCs/>
          <w:sz w:val="14"/>
          <w:szCs w:val="14"/>
        </w:rPr>
        <w:t>Je to historie docela neromantická. Bylo to za prv</w:t>
      </w:r>
      <w:r>
        <w:rPr>
          <w:b/>
          <w:bCs/>
          <w:sz w:val="14"/>
          <w:szCs w:val="14"/>
        </w:rPr>
        <w:softHyphen/>
        <w:t>ních dnů mého pobytu v Berlíně. Musil jsem počítat s každým fenikem a starat se, zda bych mohl vydělávat více. S úžasem jsem pozoroval, že moji kolegové z di</w:t>
      </w:r>
      <w:r>
        <w:rPr>
          <w:b/>
          <w:bCs/>
          <w:sz w:val="14"/>
          <w:szCs w:val="14"/>
        </w:rPr>
        <w:softHyphen/>
        <w:t xml:space="preserve">vadla dostávají peníze za tu podivnou </w:t>
      </w:r>
      <w:r>
        <w:rPr>
          <w:b/>
          <w:bCs/>
          <w:sz w:val="14"/>
          <w:szCs w:val="14"/>
        </w:rPr>
        <w:t>činnost, která sestávala ze hraní divadla mezi obloukovkami, kde se dávali fotografovat, aby si pak v kanceláři vyzvedli každodenní plat.</w:t>
      </w:r>
    </w:p>
    <w:p w:rsidR="00500724" w:rsidRDefault="00F30FB8">
      <w:pPr>
        <w:pStyle w:val="Zkladntext40"/>
        <w:shd w:val="clear" w:color="auto" w:fill="auto"/>
        <w:spacing w:after="0" w:line="350" w:lineRule="auto"/>
        <w:ind w:firstLine="220"/>
        <w:rPr>
          <w:sz w:val="14"/>
          <w:szCs w:val="14"/>
        </w:rPr>
      </w:pPr>
      <w:r>
        <w:rPr>
          <w:b/>
          <w:bCs/>
          <w:sz w:val="14"/>
          <w:szCs w:val="14"/>
        </w:rPr>
        <w:t xml:space="preserve">Když však navázal spojení s filmovým světem, zažil zklamání. Najali ho na tři dny, za plat sto korun za den, načež se </w:t>
      </w:r>
      <w:r>
        <w:rPr>
          <w:b/>
          <w:bCs/>
          <w:sz w:val="14"/>
          <w:szCs w:val="14"/>
        </w:rPr>
        <w:t>šel zeptat režiséra na úlohu, aby se jí naučil.</w:t>
      </w:r>
    </w:p>
    <w:p w:rsidR="00500724" w:rsidRDefault="00F30FB8">
      <w:pPr>
        <w:pStyle w:val="Zkladntext40"/>
        <w:numPr>
          <w:ilvl w:val="0"/>
          <w:numId w:val="40"/>
        </w:numPr>
        <w:shd w:val="clear" w:color="auto" w:fill="auto"/>
        <w:tabs>
          <w:tab w:val="left" w:pos="519"/>
        </w:tabs>
        <w:spacing w:after="0" w:line="353" w:lineRule="auto"/>
        <w:ind w:firstLine="220"/>
        <w:rPr>
          <w:sz w:val="14"/>
          <w:szCs w:val="14"/>
        </w:rPr>
      </w:pPr>
      <w:r>
        <w:rPr>
          <w:b/>
          <w:bCs/>
          <w:sz w:val="14"/>
          <w:szCs w:val="14"/>
        </w:rPr>
        <w:t>Úloha? dal se režisér do smíchu. To není vůbec žádná úloha. Přijďte zítra ráno v devět na weiden- dammský most. Je to velmi jednoduché. Seskočíte od</w:t>
      </w:r>
      <w:r>
        <w:rPr>
          <w:b/>
          <w:bCs/>
          <w:sz w:val="14"/>
          <w:szCs w:val="14"/>
        </w:rPr>
        <w:softHyphen/>
        <w:t>tamtud na parníček, který tamtudy právě pojede. A po</w:t>
      </w:r>
      <w:r>
        <w:rPr>
          <w:b/>
          <w:bCs/>
          <w:sz w:val="14"/>
          <w:szCs w:val="14"/>
        </w:rPr>
        <w:softHyphen/>
        <w:t>tom sk</w:t>
      </w:r>
      <w:r>
        <w:rPr>
          <w:b/>
          <w:bCs/>
          <w:sz w:val="14"/>
          <w:szCs w:val="14"/>
        </w:rPr>
        <w:t>očíte do řeky a já skočím za vámi. Bude to velmi snadné.</w:t>
      </w:r>
    </w:p>
    <w:p w:rsidR="00500724" w:rsidRDefault="00F30FB8">
      <w:pPr>
        <w:pStyle w:val="Zkladntext40"/>
        <w:shd w:val="clear" w:color="auto" w:fill="auto"/>
        <w:spacing w:line="350" w:lineRule="auto"/>
        <w:ind w:firstLine="220"/>
        <w:rPr>
          <w:sz w:val="14"/>
          <w:szCs w:val="14"/>
        </w:rPr>
      </w:pPr>
      <w:r>
        <w:rPr>
          <w:b/>
          <w:bCs/>
          <w:sz w:val="14"/>
          <w:szCs w:val="14"/>
        </w:rPr>
        <w:t>Jannings nepovažoval tento úkol za slučitelný s dů</w:t>
      </w:r>
      <w:r>
        <w:rPr>
          <w:b/>
          <w:bCs/>
          <w:sz w:val="14"/>
          <w:szCs w:val="14"/>
        </w:rPr>
        <w:softHyphen/>
        <w:t>stojným členstvím Německého divadla a odmítl.</w:t>
      </w:r>
    </w:p>
    <w:p w:rsidR="00500724" w:rsidRDefault="00F30FB8">
      <w:pPr>
        <w:pStyle w:val="Zkladntext40"/>
        <w:shd w:val="clear" w:color="auto" w:fill="auto"/>
        <w:spacing w:after="0" w:line="350" w:lineRule="auto"/>
        <w:jc w:val="center"/>
        <w:rPr>
          <w:sz w:val="14"/>
          <w:szCs w:val="14"/>
        </w:rPr>
      </w:pPr>
      <w:r>
        <w:rPr>
          <w:b/>
          <w:bCs/>
          <w:sz w:val="14"/>
          <w:szCs w:val="14"/>
        </w:rPr>
        <w:t>První filmové úloha</w:t>
      </w:r>
    </w:p>
    <w:p w:rsidR="00500724" w:rsidRDefault="00F30FB8">
      <w:pPr>
        <w:pStyle w:val="Zkladntext40"/>
        <w:shd w:val="clear" w:color="auto" w:fill="auto"/>
        <w:spacing w:after="0" w:line="350" w:lineRule="auto"/>
        <w:ind w:firstLine="220"/>
        <w:rPr>
          <w:sz w:val="14"/>
          <w:szCs w:val="14"/>
        </w:rPr>
      </w:pPr>
      <w:r>
        <w:rPr>
          <w:b/>
          <w:bCs/>
          <w:sz w:val="14"/>
          <w:szCs w:val="14"/>
        </w:rPr>
        <w:t xml:space="preserve">První pořádnou úlohu dohodil Janningsovi vrchní z kavárny &gt;des Westensc. Film se </w:t>
      </w:r>
      <w:r>
        <w:rPr>
          <w:b/>
          <w:bCs/>
          <w:sz w:val="14"/>
          <w:szCs w:val="14"/>
        </w:rPr>
        <w:t>jmenoval Ubohé Eva a byl natočen v Messterově atelieru v Bliicherstrasse. Byla to místnost, které dříve užíval nějaký fotograf.</w:t>
      </w:r>
    </w:p>
    <w:p w:rsidR="00500724" w:rsidRDefault="00F30FB8">
      <w:pPr>
        <w:pStyle w:val="Zkladntext40"/>
        <w:shd w:val="clear" w:color="auto" w:fill="auto"/>
        <w:spacing w:after="0" w:line="350" w:lineRule="auto"/>
        <w:rPr>
          <w:sz w:val="14"/>
          <w:szCs w:val="14"/>
        </w:rPr>
      </w:pPr>
      <w:r>
        <w:rPr>
          <w:b/>
          <w:bCs/>
          <w:sz w:val="14"/>
          <w:szCs w:val="14"/>
        </w:rPr>
        <w:t>!Jannings vzpomíná:</w:t>
      </w:r>
    </w:p>
    <w:p w:rsidR="00500724" w:rsidRDefault="00F30FB8">
      <w:pPr>
        <w:pStyle w:val="Zkladntext40"/>
        <w:shd w:val="clear" w:color="auto" w:fill="auto"/>
        <w:spacing w:line="350" w:lineRule="auto"/>
        <w:ind w:firstLine="220"/>
        <w:rPr>
          <w:sz w:val="14"/>
          <w:szCs w:val="14"/>
        </w:rPr>
      </w:pPr>
      <w:r>
        <w:rPr>
          <w:b/>
          <w:bCs/>
          <w:sz w:val="14"/>
          <w:szCs w:val="14"/>
        </w:rPr>
        <w:t>*— S počátku se mi zdálo všecko docela snadným.</w:t>
      </w:r>
    </w:p>
    <w:p w:rsidR="00500724" w:rsidRDefault="00F30FB8">
      <w:pPr>
        <w:pStyle w:val="Zkladntext40"/>
        <w:shd w:val="clear" w:color="auto" w:fill="auto"/>
        <w:spacing w:after="0" w:line="350" w:lineRule="auto"/>
        <w:rPr>
          <w:sz w:val="14"/>
          <w:szCs w:val="14"/>
        </w:rPr>
      </w:pPr>
      <w:r>
        <w:rPr>
          <w:b/>
          <w:bCs/>
          <w:sz w:val="14"/>
          <w:szCs w:val="14"/>
        </w:rPr>
        <w:t>Ijedinou rušivou věcí byly lampy, které mi chrlily světlo ne</w:t>
      </w:r>
      <w:r>
        <w:rPr>
          <w:b/>
          <w:bCs/>
          <w:sz w:val="14"/>
          <w:szCs w:val="14"/>
        </w:rPr>
        <w:t>milosrdně do oěí. Ale dal jsem se do hraní své úlohy, jak jsem tomu byl zvyklý na jevišti, s ohněm, vášní a s mnohými podrobnostmi citově propracovanými.</w:t>
      </w:r>
    </w:p>
    <w:p w:rsidR="00500724" w:rsidRDefault="00F30FB8">
      <w:pPr>
        <w:pStyle w:val="Zkladntext40"/>
        <w:shd w:val="clear" w:color="auto" w:fill="auto"/>
        <w:spacing w:after="100" w:line="348" w:lineRule="auto"/>
        <w:ind w:firstLine="280"/>
        <w:rPr>
          <w:sz w:val="14"/>
          <w:szCs w:val="14"/>
        </w:rPr>
      </w:pPr>
      <w:r>
        <w:rPr>
          <w:b/>
          <w:bCs/>
          <w:sz w:val="14"/>
          <w:szCs w:val="14"/>
        </w:rPr>
        <w:t>— Druhého dne jsem uviděl výjevy před sebou. S po</w:t>
      </w:r>
      <w:r>
        <w:rPr>
          <w:b/>
          <w:bCs/>
          <w:sz w:val="14"/>
          <w:szCs w:val="14"/>
        </w:rPr>
        <w:softHyphen/>
        <w:t>čátku jsem byl užaslý, potom nervosní a nakonec zou</w:t>
      </w:r>
      <w:r>
        <w:rPr>
          <w:b/>
          <w:bCs/>
          <w:sz w:val="14"/>
          <w:szCs w:val="14"/>
        </w:rPr>
        <w:softHyphen/>
      </w:r>
      <w:r>
        <w:rPr>
          <w:b/>
          <w:bCs/>
          <w:sz w:val="14"/>
          <w:szCs w:val="14"/>
        </w:rPr>
        <w:t>falý. Takhle tedy vlastně vypadám. Já jsem tím mužem, který se pohybuje buď příliš rychle nebo příliš pomalu, který se šklebí a který najednou ukazuje obecenstvu bezdůvodně záda. Všechno to bylo přemrštěné. Všechno přehnaně hrané. Byl jsem však dosti rozum</w:t>
      </w:r>
      <w:r>
        <w:rPr>
          <w:b/>
          <w:bCs/>
          <w:sz w:val="14"/>
          <w:szCs w:val="14"/>
        </w:rPr>
        <w:t>ný, abych za tyto chyby nevinil film. Zahrával jsem si s věcí, o níž jsem nic nevěděl. Začínalo se mi svítat, že film má vlast</w:t>
      </w:r>
      <w:r>
        <w:rPr>
          <w:b/>
          <w:bCs/>
          <w:sz w:val="14"/>
          <w:szCs w:val="14"/>
        </w:rPr>
        <w:softHyphen/>
        <w:t>ní zákony.</w:t>
      </w:r>
    </w:p>
    <w:p w:rsidR="00500724" w:rsidRDefault="00F30FB8">
      <w:pPr>
        <w:pStyle w:val="Zkladntext40"/>
        <w:shd w:val="clear" w:color="auto" w:fill="auto"/>
        <w:spacing w:after="0" w:line="348" w:lineRule="auto"/>
        <w:jc w:val="center"/>
        <w:rPr>
          <w:sz w:val="14"/>
          <w:szCs w:val="14"/>
        </w:rPr>
      </w:pPr>
      <w:r>
        <w:rPr>
          <w:b/>
          <w:bCs/>
          <w:sz w:val="14"/>
          <w:szCs w:val="14"/>
        </w:rPr>
        <w:t>První historické postavy</w:t>
      </w:r>
    </w:p>
    <w:p w:rsidR="00500724" w:rsidRDefault="00F30FB8">
      <w:pPr>
        <w:pStyle w:val="Zkladntext40"/>
        <w:shd w:val="clear" w:color="auto" w:fill="auto"/>
        <w:spacing w:after="0" w:line="346" w:lineRule="auto"/>
        <w:ind w:firstLine="280"/>
        <w:rPr>
          <w:sz w:val="14"/>
          <w:szCs w:val="14"/>
        </w:rPr>
      </w:pPr>
      <w:r>
        <w:rPr>
          <w:b/>
          <w:bCs/>
          <w:sz w:val="14"/>
          <w:szCs w:val="14"/>
        </w:rPr>
        <w:t>Jannings se nedal zastrašit prvními neúspěchy ve fil</w:t>
      </w:r>
      <w:r>
        <w:rPr>
          <w:b/>
          <w:bCs/>
          <w:sz w:val="14"/>
          <w:szCs w:val="14"/>
        </w:rPr>
        <w:softHyphen/>
        <w:t>mu. Začal soukromě pilně pracovat, aby v</w:t>
      </w:r>
      <w:r>
        <w:rPr>
          <w:b/>
          <w:bCs/>
          <w:sz w:val="14"/>
          <w:szCs w:val="14"/>
        </w:rPr>
        <w:t>e filmu lépe obstál. Světová válka však zmařila všechny přípravy a všechnu filmovou práci vůbec. Teprve roku 1919 natáčí se v Berlíně Madame Dubarry. Póla Negři hrála mada</w:t>
      </w:r>
      <w:r>
        <w:rPr>
          <w:b/>
          <w:bCs/>
          <w:sz w:val="14"/>
          <w:szCs w:val="14"/>
        </w:rPr>
        <w:softHyphen/>
        <w:t>me Dubarry, Jannings Ludvíka XIV. Byl to týž film, který koloval Evropou i světem po</w:t>
      </w:r>
      <w:r>
        <w:rPr>
          <w:b/>
          <w:bCs/>
          <w:sz w:val="14"/>
          <w:szCs w:val="14"/>
        </w:rPr>
        <w:t>d italskou výrobní značkou, neboť vlády tehdy odmítaly německé filmy. Brzy však svět poznal, že jde o německý film a doko</w:t>
      </w:r>
      <w:r>
        <w:rPr>
          <w:b/>
          <w:bCs/>
          <w:sz w:val="14"/>
          <w:szCs w:val="14"/>
        </w:rPr>
        <w:softHyphen/>
        <w:t>nalé dílo režiséra Lubitsche otevřelo německému filmu cestu do světa. Jannings byl rázem znám i za mořem.</w:t>
      </w:r>
    </w:p>
    <w:p w:rsidR="00500724" w:rsidRDefault="00F30FB8">
      <w:pPr>
        <w:pStyle w:val="Zkladntext40"/>
        <w:shd w:val="clear" w:color="auto" w:fill="auto"/>
        <w:spacing w:after="0" w:line="341" w:lineRule="auto"/>
        <w:ind w:firstLine="280"/>
        <w:rPr>
          <w:sz w:val="14"/>
          <w:szCs w:val="14"/>
        </w:rPr>
      </w:pPr>
      <w:r>
        <w:rPr>
          <w:b/>
          <w:bCs/>
          <w:sz w:val="14"/>
          <w:szCs w:val="14"/>
        </w:rPr>
        <w:t>Jindřich VIII. byla jeho dal</w:t>
      </w:r>
      <w:r>
        <w:rPr>
          <w:b/>
          <w:bCs/>
          <w:sz w:val="14"/>
          <w:szCs w:val="14"/>
        </w:rPr>
        <w:t xml:space="preserve">ší postava, kterou pro film o Anně Boleynové studoval věrně podle portrétu, jejž namaloval </w:t>
      </w:r>
      <w:r>
        <w:rPr>
          <w:b/>
          <w:bCs/>
          <w:sz w:val="14"/>
          <w:szCs w:val="14"/>
          <w:lang w:val="en-US" w:eastAsia="en-US" w:bidi="en-US"/>
        </w:rPr>
        <w:t>Holbein.</w:t>
      </w:r>
    </w:p>
    <w:p w:rsidR="00500724" w:rsidRDefault="00F30FB8">
      <w:pPr>
        <w:pStyle w:val="Zkladntext40"/>
        <w:shd w:val="clear" w:color="auto" w:fill="auto"/>
        <w:spacing w:after="0" w:line="348" w:lineRule="auto"/>
        <w:ind w:firstLine="280"/>
        <w:rPr>
          <w:sz w:val="14"/>
          <w:szCs w:val="14"/>
        </w:rPr>
      </w:pPr>
      <w:r>
        <w:rPr>
          <w:b/>
          <w:bCs/>
          <w:sz w:val="14"/>
          <w:szCs w:val="14"/>
        </w:rPr>
        <w:t>Láska k historii se opakovala film za filmem. Jan</w:t>
      </w:r>
      <w:r>
        <w:rPr>
          <w:b/>
          <w:bCs/>
          <w:sz w:val="14"/>
          <w:szCs w:val="14"/>
        </w:rPr>
        <w:softHyphen/>
        <w:t xml:space="preserve">nings měřil síly na Petru Velikém, na Dantonovi, na Neronovi, jejž vytvořil v Itálii ve filmu </w:t>
      </w:r>
      <w:r>
        <w:rPr>
          <w:b/>
          <w:bCs/>
          <w:sz w:val="14"/>
          <w:szCs w:val="14"/>
          <w:lang w:val="en-US" w:eastAsia="en-US" w:bidi="en-US"/>
        </w:rPr>
        <w:t xml:space="preserve">Quo </w:t>
      </w:r>
      <w:r>
        <w:rPr>
          <w:b/>
          <w:bCs/>
          <w:sz w:val="14"/>
          <w:szCs w:val="14"/>
        </w:rPr>
        <w:t>vadis. O</w:t>
      </w:r>
      <w:r>
        <w:rPr>
          <w:b/>
          <w:bCs/>
          <w:sz w:val="14"/>
          <w:szCs w:val="14"/>
        </w:rPr>
        <w:t>bnovoval pro filmové obecenstvo postavy klasických dramatických prací: Othella, Makbetha i Tartuffa.</w:t>
      </w:r>
    </w:p>
    <w:p w:rsidR="00500724" w:rsidRDefault="00F30FB8">
      <w:pPr>
        <w:pStyle w:val="Zkladntext40"/>
        <w:shd w:val="clear" w:color="auto" w:fill="auto"/>
        <w:spacing w:after="80" w:line="346" w:lineRule="auto"/>
        <w:ind w:firstLine="280"/>
        <w:rPr>
          <w:sz w:val="14"/>
          <w:szCs w:val="14"/>
        </w:rPr>
      </w:pPr>
      <w:r>
        <w:rPr>
          <w:b/>
          <w:bCs/>
          <w:sz w:val="14"/>
          <w:szCs w:val="14"/>
        </w:rPr>
        <w:t xml:space="preserve">Volil si tyto postavy pro jejich přesně vyhraněnou charakteristiku, pro jejich obecně známé vlastnosti? Přitahovala ho jejich určitost či jejich </w:t>
      </w:r>
      <w:r>
        <w:rPr>
          <w:b/>
          <w:bCs/>
          <w:sz w:val="14"/>
          <w:szCs w:val="14"/>
        </w:rPr>
        <w:t>neurčitost, jejich patetická síla nebo jejich obyčejné lidství pod korunou, hodností, význačností? Zdáli se mu velikými muži pro jeho vyjadřovací schopnosti a usiloval vznést své umě</w:t>
      </w:r>
      <w:r>
        <w:rPr>
          <w:b/>
          <w:bCs/>
          <w:sz w:val="14"/>
          <w:szCs w:val="14"/>
        </w:rPr>
        <w:softHyphen/>
        <w:t>ní k jejich nepostižitelnosti nebo měl v úmyslu zlidštit je milionovému o</w:t>
      </w:r>
      <w:r>
        <w:rPr>
          <w:b/>
          <w:bCs/>
          <w:sz w:val="14"/>
          <w:szCs w:val="14"/>
        </w:rPr>
        <w:t>becenstvu? Jak nepatetické byly jeho záměry, ukázal krátce nato, když mu byl svěřen první úkol, hrát moderního, civilního občana.</w:t>
      </w:r>
    </w:p>
    <w:p w:rsidR="00500724" w:rsidRDefault="00F30FB8">
      <w:pPr>
        <w:pStyle w:val="Zkladntext40"/>
        <w:shd w:val="clear" w:color="auto" w:fill="auto"/>
        <w:spacing w:after="0" w:line="348" w:lineRule="auto"/>
        <w:jc w:val="center"/>
        <w:rPr>
          <w:sz w:val="14"/>
          <w:szCs w:val="14"/>
        </w:rPr>
      </w:pPr>
      <w:r>
        <w:rPr>
          <w:b/>
          <w:bCs/>
          <w:sz w:val="14"/>
          <w:szCs w:val="14"/>
        </w:rPr>
        <w:t>Velké pokání</w:t>
      </w:r>
    </w:p>
    <w:p w:rsidR="00500724" w:rsidRDefault="00F30FB8">
      <w:pPr>
        <w:pStyle w:val="Zkladntext40"/>
        <w:shd w:val="clear" w:color="auto" w:fill="auto"/>
        <w:spacing w:after="0" w:line="360" w:lineRule="auto"/>
        <w:ind w:firstLine="280"/>
        <w:rPr>
          <w:sz w:val="16"/>
          <w:szCs w:val="16"/>
        </w:rPr>
      </w:pPr>
      <w:r>
        <w:rPr>
          <w:b/>
          <w:bCs/>
          <w:sz w:val="14"/>
          <w:szCs w:val="14"/>
        </w:rPr>
        <w:t>Roku 1925 byl Jannings, když už předtím hrál ve fil</w:t>
      </w:r>
      <w:r>
        <w:rPr>
          <w:b/>
          <w:bCs/>
          <w:sz w:val="14"/>
          <w:szCs w:val="14"/>
        </w:rPr>
        <w:softHyphen/>
        <w:t xml:space="preserve">mu americké společnosti </w:t>
      </w:r>
      <w:r>
        <w:rPr>
          <w:b/>
          <w:bCs/>
          <w:sz w:val="14"/>
          <w:szCs w:val="14"/>
          <w:lang w:val="en-US" w:eastAsia="en-US" w:bidi="en-US"/>
        </w:rPr>
        <w:t xml:space="preserve">Paramount </w:t>
      </w:r>
      <w:r>
        <w:rPr>
          <w:b/>
          <w:bCs/>
          <w:sz w:val="14"/>
          <w:szCs w:val="14"/>
        </w:rPr>
        <w:t>v Německu, anga</w:t>
      </w:r>
      <w:r>
        <w:rPr>
          <w:b/>
          <w:bCs/>
          <w:sz w:val="14"/>
          <w:szCs w:val="14"/>
        </w:rPr>
        <w:softHyphen/>
      </w:r>
      <w:r>
        <w:rPr>
          <w:b/>
          <w:bCs/>
          <w:sz w:val="14"/>
          <w:szCs w:val="14"/>
        </w:rPr>
        <w:t xml:space="preserve">žován americkým výrobcem k práci do Hollywoodu. První a pro pozdější jeho herecký sloh nejtypičtější film tohoto období byl </w:t>
      </w:r>
      <w:r>
        <w:rPr>
          <w:b/>
          <w:bCs/>
          <w:sz w:val="14"/>
          <w:szCs w:val="14"/>
          <w:lang w:val="en-US" w:eastAsia="en-US" w:bidi="en-US"/>
        </w:rPr>
        <w:t xml:space="preserve">The Way of All Flesh, u </w:t>
      </w:r>
      <w:r>
        <w:rPr>
          <w:b/>
          <w:bCs/>
          <w:sz w:val="14"/>
          <w:szCs w:val="14"/>
        </w:rPr>
        <w:t>nás hraný potom pod názvem Velké pokání, který setřel mnoho znaků, příznačných pro Janningse, jak se nám teh</w:t>
      </w:r>
      <w:r>
        <w:rPr>
          <w:b/>
          <w:bCs/>
          <w:sz w:val="14"/>
          <w:szCs w:val="14"/>
        </w:rPr>
        <w:t xml:space="preserve">dy objevil v plné zralosti a rozložitosti. Film, režisér- ské dílo Victora Fleminga, je příběh dobrého občana středních německých vrstev. Je to bankovní úředník vzorných zásad. Je přesný a pilný. Miluje svou rodinu. Chodí včas </w:t>
      </w:r>
      <w:r>
        <w:rPr>
          <w:b/>
          <w:bCs/>
          <w:sz w:val="14"/>
          <w:szCs w:val="14"/>
          <w:lang w:val="en-US" w:eastAsia="en-US" w:bidi="en-US"/>
        </w:rPr>
        <w:t xml:space="preserve">spat, </w:t>
      </w:r>
      <w:r>
        <w:rPr>
          <w:b/>
          <w:bCs/>
          <w:sz w:val="14"/>
          <w:szCs w:val="14"/>
        </w:rPr>
        <w:t>včas vstává a dbá na to</w:t>
      </w:r>
      <w:r>
        <w:rPr>
          <w:b/>
          <w:bCs/>
          <w:sz w:val="14"/>
          <w:szCs w:val="14"/>
        </w:rPr>
        <w:t xml:space="preserve">, aby duše i těle členů této rodiny dbaly zákonů gymnastických. </w:t>
      </w:r>
      <w:r>
        <w:rPr>
          <w:b/>
          <w:bCs/>
          <w:sz w:val="16"/>
          <w:szCs w:val="16"/>
        </w:rPr>
        <w:t>2i0</w:t>
      </w:r>
    </w:p>
    <w:p w:rsidR="00500724" w:rsidRDefault="00F30FB8">
      <w:pPr>
        <w:pStyle w:val="Zkladntext40"/>
        <w:shd w:val="clear" w:color="auto" w:fill="auto"/>
        <w:spacing w:after="0" w:line="348" w:lineRule="auto"/>
        <w:rPr>
          <w:sz w:val="14"/>
          <w:szCs w:val="14"/>
        </w:rPr>
      </w:pPr>
      <w:r>
        <w:rPr>
          <w:b/>
          <w:bCs/>
          <w:sz w:val="14"/>
          <w:szCs w:val="14"/>
        </w:rPr>
        <w:t>Jednou však jede služebně do města s bankovními pe</w:t>
      </w:r>
      <w:r>
        <w:rPr>
          <w:b/>
          <w:bCs/>
          <w:sz w:val="14"/>
          <w:szCs w:val="14"/>
        </w:rPr>
        <w:softHyphen/>
        <w:t>nězi. Propadne kouzlu hezké lehké ženy, která ho se svými společníky obere o peníze. Muž ví, že by byl po</w:t>
      </w:r>
      <w:r>
        <w:rPr>
          <w:b/>
          <w:bCs/>
          <w:sz w:val="14"/>
          <w:szCs w:val="14"/>
        </w:rPr>
        <w:softHyphen/>
        <w:t xml:space="preserve">važován za defraudanta a že by </w:t>
      </w:r>
      <w:r>
        <w:rPr>
          <w:b/>
          <w:bCs/>
          <w:sz w:val="14"/>
          <w:szCs w:val="14"/>
        </w:rPr>
        <w:t>zahubil rodinu i sebe, takže se rozhodne zůstat neznám. Zchátrá, platě na chvíli lehkomyslné radosti a svou rodinu spatří až po letech jen jako tulák oknem z ulice.</w:t>
      </w:r>
    </w:p>
    <w:p w:rsidR="00500724" w:rsidRDefault="00F30FB8">
      <w:pPr>
        <w:pStyle w:val="Zkladntext40"/>
        <w:shd w:val="clear" w:color="auto" w:fill="auto"/>
        <w:spacing w:after="0" w:line="348" w:lineRule="auto"/>
        <w:ind w:firstLine="240"/>
        <w:rPr>
          <w:sz w:val="14"/>
          <w:szCs w:val="14"/>
        </w:rPr>
      </w:pPr>
      <w:r>
        <w:rPr>
          <w:b/>
          <w:bCs/>
          <w:sz w:val="14"/>
          <w:szCs w:val="14"/>
        </w:rPr>
        <w:t>Tento film, typicky nazvaný v originále Cesta všeho masa, byl při svém vzniku doprovázen za</w:t>
      </w:r>
      <w:r>
        <w:rPr>
          <w:b/>
          <w:bCs/>
          <w:sz w:val="14"/>
          <w:szCs w:val="14"/>
        </w:rPr>
        <w:t>jímavým in- terviewem, v němž Jannings definoval svůj poměr ke svému hrdinovi a ke svým filmovým postavám vůbec. ,V době, kdy dobrý konec byl ještě více vyznáním fil</w:t>
      </w:r>
      <w:r>
        <w:rPr>
          <w:b/>
          <w:bCs/>
          <w:sz w:val="14"/>
          <w:szCs w:val="14"/>
        </w:rPr>
        <w:softHyphen/>
        <w:t>mové víry výrobců a obecenstva nežli dnes, odvážil se Jannings říci Hollywoodu i světu svů</w:t>
      </w:r>
      <w:r>
        <w:rPr>
          <w:b/>
          <w:bCs/>
          <w:sz w:val="14"/>
          <w:szCs w:val="14"/>
        </w:rPr>
        <w:t>j názor na filmo</w:t>
      </w:r>
      <w:r>
        <w:rPr>
          <w:b/>
          <w:bCs/>
          <w:sz w:val="14"/>
          <w:szCs w:val="14"/>
        </w:rPr>
        <w:softHyphen/>
        <w:t>vého hrdinu.</w:t>
      </w:r>
    </w:p>
    <w:p w:rsidR="00500724" w:rsidRDefault="00F30FB8">
      <w:pPr>
        <w:pStyle w:val="Zkladntext40"/>
        <w:shd w:val="clear" w:color="auto" w:fill="auto"/>
        <w:spacing w:after="0" w:line="348" w:lineRule="auto"/>
        <w:ind w:firstLine="240"/>
        <w:rPr>
          <w:sz w:val="14"/>
          <w:szCs w:val="14"/>
        </w:rPr>
      </w:pPr>
      <w:r>
        <w:rPr>
          <w:b/>
          <w:bCs/>
          <w:sz w:val="14"/>
          <w:szCs w:val="14"/>
        </w:rPr>
        <w:t>— Chci být člověkem z masa a kostí, řekl tehdy v podstatě nad svou úlohou. Muž, který je jenom silný, dokonalý a ctnostný, nebo takový, který stojí docela na opačném pólu důsledného zla, jsou výmysly. Ztělesňuji muže, který je</w:t>
      </w:r>
      <w:r>
        <w:rPr>
          <w:b/>
          <w:bCs/>
          <w:sz w:val="14"/>
          <w:szCs w:val="14"/>
        </w:rPr>
        <w:t xml:space="preserve"> dobrý a pevných zásad, jímž jednoho dne otřese nějaké pokušení a poboří v jeho nitru před</w:t>
      </w:r>
      <w:r>
        <w:rPr>
          <w:b/>
          <w:bCs/>
          <w:sz w:val="14"/>
          <w:szCs w:val="14"/>
        </w:rPr>
        <w:softHyphen/>
        <w:t>sevzetí a ideály. Chci ukázat průměrného muže, který se najednou zhroutí pod tlakem své vnitřní slabosti.</w:t>
      </w:r>
    </w:p>
    <w:p w:rsidR="00500724" w:rsidRDefault="00F30FB8">
      <w:pPr>
        <w:pStyle w:val="Zkladntext40"/>
        <w:shd w:val="clear" w:color="auto" w:fill="auto"/>
        <w:spacing w:after="0" w:line="348" w:lineRule="auto"/>
        <w:ind w:firstLine="240"/>
        <w:rPr>
          <w:sz w:val="14"/>
          <w:szCs w:val="14"/>
        </w:rPr>
      </w:pPr>
      <w:r>
        <w:rPr>
          <w:b/>
          <w:bCs/>
          <w:sz w:val="14"/>
          <w:szCs w:val="14"/>
        </w:rPr>
        <w:t>Profesor Neřád v Modrém andělu v jeho podání byl tímto slab</w:t>
      </w:r>
      <w:r>
        <w:rPr>
          <w:b/>
          <w:bCs/>
          <w:sz w:val="14"/>
          <w:szCs w:val="14"/>
        </w:rPr>
        <w:t>ým mužem v rysech ještě tragičtějších a osu</w:t>
      </w:r>
      <w:r>
        <w:rPr>
          <w:b/>
          <w:bCs/>
          <w:sz w:val="14"/>
          <w:szCs w:val="14"/>
        </w:rPr>
        <w:softHyphen/>
        <w:t>dovějších.</w:t>
      </w:r>
    </w:p>
    <w:p w:rsidR="00500724" w:rsidRDefault="00F30FB8">
      <w:pPr>
        <w:pStyle w:val="Zkladntext40"/>
        <w:shd w:val="clear" w:color="auto" w:fill="auto"/>
        <w:spacing w:after="420" w:line="343" w:lineRule="auto"/>
        <w:ind w:firstLine="240"/>
        <w:rPr>
          <w:sz w:val="14"/>
          <w:szCs w:val="14"/>
        </w:rPr>
      </w:pPr>
      <w:r>
        <w:rPr>
          <w:b/>
          <w:bCs/>
          <w:sz w:val="14"/>
          <w:szCs w:val="14"/>
        </w:rPr>
        <w:t>Kdo ví, jakým vlivem působil Janningsův příklad na světové filmové umění, ocení, co vedle jeho skvělých filmových postav znamenal jeho přínos p stavy muže neidealisovaného, muže, jehož odhodlání a mrav</w:t>
      </w:r>
      <w:r>
        <w:rPr>
          <w:b/>
          <w:bCs/>
          <w:sz w:val="14"/>
          <w:szCs w:val="14"/>
        </w:rPr>
        <w:t>ní sílu podrývá vášeň, pokušení, slabost, věci, tak vzdálené filmovým schématům.</w:t>
      </w:r>
    </w:p>
    <w:p w:rsidR="00500724" w:rsidRDefault="00F30FB8">
      <w:pPr>
        <w:pStyle w:val="Jin0"/>
        <w:pBdr>
          <w:bottom w:val="single" w:sz="4" w:space="0" w:color="auto"/>
        </w:pBdr>
        <w:shd w:val="clear" w:color="auto" w:fill="auto"/>
        <w:spacing w:after="260"/>
        <w:ind w:firstLine="0"/>
        <w:jc w:val="left"/>
        <w:rPr>
          <w:sz w:val="46"/>
          <w:szCs w:val="46"/>
        </w:rPr>
      </w:pPr>
      <w:r>
        <w:rPr>
          <w:b/>
          <w:bCs/>
          <w:sz w:val="46"/>
          <w:szCs w:val="46"/>
        </w:rPr>
        <w:t>doba a lidé</w:t>
      </w:r>
    </w:p>
    <w:p w:rsidR="00500724" w:rsidRDefault="00F30FB8">
      <w:pPr>
        <w:pStyle w:val="Zkladntext30"/>
        <w:shd w:val="clear" w:color="auto" w:fill="auto"/>
        <w:spacing w:after="80" w:line="240" w:lineRule="auto"/>
        <w:ind w:firstLine="0"/>
        <w:rPr>
          <w:sz w:val="20"/>
          <w:szCs w:val="20"/>
        </w:rPr>
      </w:pPr>
      <w:r>
        <w:rPr>
          <w:i/>
          <w:iCs/>
          <w:sz w:val="20"/>
          <w:szCs w:val="20"/>
        </w:rPr>
        <w:t>JanFrank:</w:t>
      </w:r>
    </w:p>
    <w:p w:rsidR="00500724" w:rsidRDefault="00F30FB8">
      <w:pPr>
        <w:pStyle w:val="Nadpis100"/>
        <w:shd w:val="clear" w:color="auto" w:fill="auto"/>
        <w:spacing w:after="60" w:line="240" w:lineRule="auto"/>
      </w:pPr>
      <w:bookmarkStart w:id="340" w:name="bookmark339"/>
      <w:r>
        <w:t>Děti nervosního století</w:t>
      </w:r>
      <w:bookmarkEnd w:id="340"/>
    </w:p>
    <w:p w:rsidR="00500724" w:rsidRDefault="00F30FB8">
      <w:pPr>
        <w:pStyle w:val="Zkladntext100"/>
        <w:shd w:val="clear" w:color="auto" w:fill="auto"/>
        <w:spacing w:line="271" w:lineRule="auto"/>
        <w:ind w:firstLine="240"/>
      </w:pPr>
      <w:r>
        <w:t xml:space="preserve">V jedné ze svých ještě dobrých humoresek napsal Averčenko, že každá údobí lidské hlouposti má svůj tanec. Mohl by býval také </w:t>
      </w:r>
      <w:r>
        <w:t>napsat, že mimo tanec má i svou speciální nemoc. Sociální hygienikové tohoto sto</w:t>
      </w:r>
      <w:r>
        <w:softHyphen/>
        <w:t>letí shoduji se totiž v tom, že doba, již prožíváme, je dobou rozvoje nemocí nervových a duševních. Patholo- govó naopak dokazují, že nemoc, jež provází toto století, nemá tol</w:t>
      </w:r>
      <w:r>
        <w:t>ik charakter nemoci nervové, jako spíše organic</w:t>
      </w:r>
      <w:r>
        <w:softHyphen/>
        <w:t>ké poruchy traktu zažívacího a všech ústrojí, jež jsou v nějakém vztahu k pracovním systémům nové doby. Platoničtí sociologové shrnují tyto poznatky a dovozují, že všecky nemoci sociální se dotýkají především</w:t>
      </w:r>
      <w:r>
        <w:t xml:space="preserve"> nervo</w:t>
      </w:r>
      <w:r>
        <w:softHyphen/>
        <w:t>vého systému každého člověka a že je tedy hlavní vinou zvýšené nemocnosti našich dní všecko to nehmaíatelné dění kolem nás, boj o život, špatné uspořádání sociálních poměrů a podobně. Krátce, hledají svůj nouzový východ někde mimo člověka a mimo jeh</w:t>
      </w:r>
      <w:r>
        <w:t>o vlastní habitus.</w:t>
      </w:r>
    </w:p>
    <w:p w:rsidR="00500724" w:rsidRDefault="00F30FB8">
      <w:pPr>
        <w:pStyle w:val="Zkladntext100"/>
        <w:shd w:val="clear" w:color="auto" w:fill="auto"/>
        <w:spacing w:after="60" w:line="271" w:lineRule="auto"/>
        <w:ind w:firstLine="240"/>
      </w:pPr>
      <w:r>
        <w:t>Ať má pravdu ten či onen, jisto je to, že ordinace lékařů jsou</w:t>
      </w:r>
      <w:r>
        <w:rPr>
          <w:vertAlign w:val="subscript"/>
        </w:rPr>
        <w:t>;</w:t>
      </w:r>
      <w:r>
        <w:t xml:space="preserve"> dnes přeplněny lidmi, kteří mají velmi málo subjektivních </w:t>
      </w:r>
      <w:r>
        <w:rPr>
          <w:b/>
          <w:bCs/>
          <w:sz w:val="20"/>
          <w:szCs w:val="20"/>
        </w:rPr>
        <w:t xml:space="preserve">a </w:t>
      </w:r>
      <w:r>
        <w:t>ještě méně objektivních příznaků které-</w:t>
      </w:r>
    </w:p>
    <w:p w:rsidR="00500724" w:rsidRDefault="00F30FB8">
      <w:pPr>
        <w:pStyle w:val="Zkladntext30"/>
        <w:shd w:val="clear" w:color="auto" w:fill="auto"/>
        <w:spacing w:after="0" w:line="240" w:lineRule="auto"/>
        <w:ind w:firstLine="0"/>
        <w:rPr>
          <w:sz w:val="20"/>
          <w:szCs w:val="20"/>
        </w:rPr>
      </w:pPr>
      <w:r>
        <w:rPr>
          <w:b/>
          <w:bCs/>
          <w:sz w:val="20"/>
          <w:szCs w:val="20"/>
        </w:rPr>
        <w:t>koliv známé nemoci a přece se necítí zdrávi. Většina lékařů se snaží posl</w:t>
      </w:r>
      <w:r>
        <w:rPr>
          <w:b/>
          <w:bCs/>
          <w:sz w:val="20"/>
          <w:szCs w:val="20"/>
        </w:rPr>
        <w:t>oužili pacientovi i sobě tim, že svalí většinu těchto domnělých nemocí na vlivy práce, na hluk velkoměsta a opakuje zakuklenou formuli, že &gt;to nic není, to je jen nervovéi. Pacient si nese domů kra</w:t>
      </w:r>
      <w:r>
        <w:rPr>
          <w:b/>
          <w:bCs/>
          <w:sz w:val="20"/>
          <w:szCs w:val="20"/>
        </w:rPr>
        <w:softHyphen/>
        <w:t>bičku s pilulkami a nemocenská pojišťovna připisuje lékaři</w:t>
      </w:r>
      <w:r>
        <w:rPr>
          <w:b/>
          <w:bCs/>
          <w:sz w:val="20"/>
          <w:szCs w:val="20"/>
        </w:rPr>
        <w:t xml:space="preserve"> k dobru 3 K 60 hal. za ošetření jednoho pacienta.</w:t>
      </w:r>
    </w:p>
    <w:p w:rsidR="00500724" w:rsidRDefault="00F30FB8">
      <w:pPr>
        <w:pStyle w:val="Zkladntext30"/>
        <w:shd w:val="clear" w:color="auto" w:fill="auto"/>
        <w:spacing w:after="0" w:line="240" w:lineRule="auto"/>
        <w:ind w:firstLine="180"/>
        <w:rPr>
          <w:sz w:val="20"/>
          <w:szCs w:val="20"/>
        </w:rPr>
      </w:pPr>
      <w:r>
        <w:rPr>
          <w:b/>
          <w:bCs/>
          <w:sz w:val="20"/>
          <w:szCs w:val="20"/>
        </w:rPr>
        <w:t>Je na bíle dni, že takovouto cestou nebyl ještě vyléčen ani jeden pacient a že se v čekárnách scházejí po čase zase tytéž tváře a případ se opakuje. Tak to trvá měsíc, rok a léta.</w:t>
      </w:r>
    </w:p>
    <w:p w:rsidR="00500724" w:rsidRDefault="00F30FB8">
      <w:pPr>
        <w:pStyle w:val="Zkladntext30"/>
        <w:shd w:val="clear" w:color="auto" w:fill="auto"/>
        <w:spacing w:after="120" w:line="240" w:lineRule="auto"/>
        <w:ind w:firstLine="180"/>
        <w:rPr>
          <w:sz w:val="20"/>
          <w:szCs w:val="20"/>
        </w:rPr>
      </w:pPr>
      <w:r>
        <w:rPr>
          <w:b/>
          <w:bCs/>
          <w:sz w:val="20"/>
          <w:szCs w:val="20"/>
        </w:rPr>
        <w:t xml:space="preserve">Protože však není přesně </w:t>
      </w:r>
      <w:r>
        <w:rPr>
          <w:b/>
          <w:bCs/>
          <w:sz w:val="20"/>
          <w:szCs w:val="20"/>
        </w:rPr>
        <w:t xml:space="preserve">limitována hranice věková k docházce k lékaři, objevují se v lékařských ordinacích </w:t>
      </w:r>
      <w:r>
        <w:rPr>
          <w:b/>
          <w:bCs/>
        </w:rPr>
        <w:t xml:space="preserve">v </w:t>
      </w:r>
      <w:r>
        <w:rPr>
          <w:b/>
          <w:bCs/>
          <w:sz w:val="20"/>
          <w:szCs w:val="20"/>
        </w:rPr>
        <w:t>doprovodu svých uvážlivých rodičů také děti. Už ne</w:t>
      </w:r>
      <w:r>
        <w:rPr>
          <w:b/>
          <w:bCs/>
          <w:sz w:val="20"/>
          <w:szCs w:val="20"/>
        </w:rPr>
        <w:softHyphen/>
        <w:t>pláčí, když se ve dveřích zjevuje pán v bílém kabátě, rutinérsky na něho vypláznou jazýček a poslušně doma polykají před</w:t>
      </w:r>
      <w:r>
        <w:rPr>
          <w:b/>
          <w:bCs/>
          <w:sz w:val="20"/>
          <w:szCs w:val="20"/>
        </w:rPr>
        <w:t>epsané pilulky. I tyto děti jsou memocnéi a při tom ne tak mnoho, »je to jenom nervové!.</w:t>
      </w:r>
    </w:p>
    <w:p w:rsidR="00500724" w:rsidRDefault="00F30FB8">
      <w:pPr>
        <w:pStyle w:val="Zkladntext30"/>
        <w:shd w:val="clear" w:color="auto" w:fill="auto"/>
        <w:spacing w:after="0" w:line="240" w:lineRule="auto"/>
        <w:ind w:firstLine="0"/>
        <w:jc w:val="center"/>
        <w:rPr>
          <w:sz w:val="20"/>
          <w:szCs w:val="20"/>
        </w:rPr>
      </w:pPr>
      <w:r>
        <w:rPr>
          <w:b/>
          <w:bCs/>
          <w:sz w:val="20"/>
          <w:szCs w:val="20"/>
        </w:rPr>
        <w:t>Brýlemi lékařů</w:t>
      </w:r>
    </w:p>
    <w:p w:rsidR="00500724" w:rsidRDefault="00F30FB8">
      <w:pPr>
        <w:pStyle w:val="Zkladntext30"/>
        <w:shd w:val="clear" w:color="auto" w:fill="auto"/>
        <w:spacing w:after="0" w:line="240" w:lineRule="auto"/>
        <w:ind w:firstLine="180"/>
        <w:rPr>
          <w:sz w:val="20"/>
          <w:szCs w:val="20"/>
        </w:rPr>
      </w:pPr>
      <w:r>
        <w:rPr>
          <w:b/>
          <w:bCs/>
          <w:sz w:val="20"/>
          <w:szCs w:val="20"/>
        </w:rPr>
        <w:t xml:space="preserve">V »The Journal </w:t>
      </w:r>
      <w:r>
        <w:rPr>
          <w:b/>
          <w:bCs/>
          <w:sz w:val="20"/>
          <w:szCs w:val="20"/>
          <w:lang w:val="en-US" w:eastAsia="en-US" w:bidi="en-US"/>
        </w:rPr>
        <w:t xml:space="preserve">of </w:t>
      </w:r>
      <w:r>
        <w:rPr>
          <w:b/>
          <w:bCs/>
          <w:sz w:val="20"/>
          <w:szCs w:val="20"/>
        </w:rPr>
        <w:t xml:space="preserve">psychology! vyšly před třiceti lety dvě studie. Autory byli </w:t>
      </w:r>
      <w:r>
        <w:rPr>
          <w:b/>
          <w:bCs/>
          <w:sz w:val="20"/>
          <w:szCs w:val="20"/>
          <w:lang w:val="en-US" w:eastAsia="en-US" w:bidi="en-US"/>
        </w:rPr>
        <w:t xml:space="preserve">J. </w:t>
      </w:r>
      <w:r>
        <w:rPr>
          <w:b/>
          <w:bCs/>
          <w:sz w:val="20"/>
          <w:szCs w:val="20"/>
        </w:rPr>
        <w:t xml:space="preserve">H. Wimms a W. H. Winche. Studie ne právě hluboké, ale přece jen jednou </w:t>
      </w:r>
      <w:r>
        <w:rPr>
          <w:b/>
          <w:bCs/>
          <w:sz w:val="20"/>
          <w:szCs w:val="20"/>
        </w:rPr>
        <w:t>věcí po</w:t>
      </w:r>
      <w:r>
        <w:rPr>
          <w:b/>
          <w:bCs/>
          <w:sz w:val="20"/>
          <w:szCs w:val="20"/>
        </w:rPr>
        <w:softHyphen/>
        <w:t>zoruhodné. Autoři snesli ve svých článcích část mate</w:t>
      </w:r>
      <w:r>
        <w:rPr>
          <w:b/>
          <w:bCs/>
          <w:sz w:val="20"/>
          <w:szCs w:val="20"/>
        </w:rPr>
        <w:softHyphen/>
        <w:t>riálu o růstu dětského intelektu. Třicet let, jež se přes tyto dnes zažloutlé svazky přehnalo, přineslo v lékařství mnoho revolučních výsledků i hypotés, přece však zů</w:t>
      </w:r>
      <w:r>
        <w:rPr>
          <w:b/>
          <w:bCs/>
          <w:sz w:val="20"/>
          <w:szCs w:val="20"/>
        </w:rPr>
        <w:softHyphen/>
        <w:t>stalo v něčem citelně pozad</w:t>
      </w:r>
      <w:r>
        <w:rPr>
          <w:b/>
          <w:bCs/>
          <w:sz w:val="20"/>
          <w:szCs w:val="20"/>
        </w:rPr>
        <w:t>u: ve zkoumání normálních duševních stavů dětí a ve studiu podmínek jejich inte</w:t>
      </w:r>
      <w:r>
        <w:rPr>
          <w:b/>
          <w:bCs/>
          <w:sz w:val="20"/>
          <w:szCs w:val="20"/>
        </w:rPr>
        <w:softHyphen/>
        <w:t>lektuálního růstu. Citovaní autoři nebyli prvými a přece se svými studiemi postavili na půdu málem ještě vřící, jistě však dosud vědecky neprobadanou. Po celých třicet let se s</w:t>
      </w:r>
      <w:r>
        <w:rPr>
          <w:b/>
          <w:bCs/>
          <w:sz w:val="20"/>
          <w:szCs w:val="20"/>
        </w:rPr>
        <w:t>tarali učenci celého světa vymýtili luberkulosu a najiti klíč k léčení rakoviny a jiných metel lidstva, při čemž málokoho napadlo, že by bylo nejlépe začíti u dětí. Dítě je v moderní společnosti tvor opomíjený a odstrkovaný. Pokud se medicína starala po ce</w:t>
      </w:r>
      <w:r>
        <w:rPr>
          <w:b/>
          <w:bCs/>
          <w:sz w:val="20"/>
          <w:szCs w:val="20"/>
        </w:rPr>
        <w:t>lá deseti</w:t>
      </w:r>
      <w:r>
        <w:rPr>
          <w:b/>
          <w:bCs/>
          <w:sz w:val="20"/>
          <w:szCs w:val="20"/>
        </w:rPr>
        <w:softHyphen/>
        <w:t>letí o dítě, šlo jí vždy jen o to, jak odvrátit jeho smrtel</w:t>
      </w:r>
      <w:r>
        <w:rPr>
          <w:b/>
          <w:bCs/>
          <w:sz w:val="20"/>
          <w:szCs w:val="20"/>
        </w:rPr>
        <w:softHyphen/>
        <w:t>nou chorobu, zničit v něm klubka bakterií, zatím co pře</w:t>
      </w:r>
      <w:r>
        <w:rPr>
          <w:b/>
          <w:bCs/>
          <w:sz w:val="20"/>
          <w:szCs w:val="20"/>
        </w:rPr>
        <w:softHyphen/>
        <w:t>cházela tak trochu cynicky přece všecko, co se týkalo dětského duševního života, přenechávajíc jej cele enthu- siasmu pedagogů. Vý</w:t>
      </w:r>
      <w:r>
        <w:rPr>
          <w:b/>
          <w:bCs/>
          <w:sz w:val="20"/>
          <w:szCs w:val="20"/>
        </w:rPr>
        <w:t>voj psychiatrie od dob Charcofo- vých a Janetových postoupil sotva o několik metrů vpřed, soudíme-li, podle kilometrů, jež pokročila chirur</w:t>
      </w:r>
      <w:r>
        <w:rPr>
          <w:b/>
          <w:bCs/>
          <w:sz w:val="20"/>
          <w:szCs w:val="20"/>
        </w:rPr>
        <w:softHyphen/>
        <w:t>gie, nebo interní medicína, nebo fysikální therapie.</w:t>
      </w:r>
    </w:p>
    <w:p w:rsidR="00500724" w:rsidRDefault="00F30FB8">
      <w:pPr>
        <w:pStyle w:val="Zkladntext30"/>
        <w:shd w:val="clear" w:color="auto" w:fill="auto"/>
        <w:spacing w:after="0" w:line="240" w:lineRule="auto"/>
        <w:ind w:firstLine="180"/>
        <w:rPr>
          <w:sz w:val="20"/>
          <w:szCs w:val="20"/>
        </w:rPr>
      </w:pPr>
      <w:r>
        <w:rPr>
          <w:b/>
          <w:bCs/>
          <w:sz w:val="20"/>
          <w:szCs w:val="20"/>
        </w:rPr>
        <w:t xml:space="preserve">Sigismund </w:t>
      </w:r>
      <w:r>
        <w:rPr>
          <w:b/>
          <w:bCs/>
          <w:sz w:val="20"/>
          <w:szCs w:val="20"/>
          <w:lang w:val="en-US" w:eastAsia="en-US" w:bidi="en-US"/>
        </w:rPr>
        <w:t xml:space="preserve">Freud </w:t>
      </w:r>
      <w:r>
        <w:rPr>
          <w:b/>
          <w:bCs/>
          <w:sz w:val="20"/>
          <w:szCs w:val="20"/>
        </w:rPr>
        <w:t>a jeho škola se starali analysovati du</w:t>
      </w:r>
      <w:r>
        <w:rPr>
          <w:b/>
          <w:bCs/>
          <w:sz w:val="20"/>
          <w:szCs w:val="20"/>
        </w:rPr>
        <w:softHyphen/>
        <w:t xml:space="preserve">ševní </w:t>
      </w:r>
      <w:r>
        <w:rPr>
          <w:b/>
          <w:bCs/>
          <w:sz w:val="20"/>
          <w:szCs w:val="20"/>
        </w:rPr>
        <w:t>život dítěte metodami aplikované psychoanalysy a víme sami k jakým absurdním závěrům leckdy došli. Snad ještě údobí pubertální a praepubertální je po</w:t>
      </w:r>
      <w:r>
        <w:rPr>
          <w:b/>
          <w:bCs/>
          <w:sz w:val="20"/>
          <w:szCs w:val="20"/>
        </w:rPr>
        <w:softHyphen/>
        <w:t>někud blíže osvětleno, ale vše, co jde vlevo i vpravo od tohoto údobí je vědecký surogát, do jehož ciselov</w:t>
      </w:r>
      <w:r>
        <w:rPr>
          <w:b/>
          <w:bCs/>
          <w:sz w:val="20"/>
          <w:szCs w:val="20"/>
        </w:rPr>
        <w:t>ání se chce jen málokomu.</w:t>
      </w:r>
    </w:p>
    <w:p w:rsidR="00500724" w:rsidRDefault="00F30FB8">
      <w:pPr>
        <w:pStyle w:val="Zkladntext30"/>
        <w:shd w:val="clear" w:color="auto" w:fill="auto"/>
        <w:spacing w:after="0" w:line="240" w:lineRule="auto"/>
        <w:ind w:firstLine="180"/>
        <w:rPr>
          <w:sz w:val="20"/>
          <w:szCs w:val="20"/>
        </w:rPr>
      </w:pPr>
      <w:r>
        <w:rPr>
          <w:b/>
          <w:bCs/>
          <w:sz w:val="20"/>
          <w:szCs w:val="20"/>
        </w:rPr>
        <w:t>A přece je zde dítě bez viny i když zde jde o celou jeho budoucnost. Sociální zákony pamatují na dítě a staví jeho dobro na prvé místo. Přece však nakonec celé zřízení neslouží ani tolik dítěti jako jeho rodičům, nebo pěstounům. Z</w:t>
      </w:r>
      <w:r>
        <w:rPr>
          <w:b/>
          <w:bCs/>
          <w:sz w:val="20"/>
          <w:szCs w:val="20"/>
        </w:rPr>
        <w:t>ase budou děti sedět dlouhé hodiny v če</w:t>
      </w:r>
      <w:r>
        <w:rPr>
          <w:b/>
          <w:bCs/>
          <w:sz w:val="20"/>
          <w:szCs w:val="20"/>
        </w:rPr>
        <w:softHyphen/>
        <w:t>kárnách praktických lékařů a budou si šeptem slabiko</w:t>
      </w:r>
      <w:r>
        <w:rPr>
          <w:b/>
          <w:bCs/>
          <w:sz w:val="20"/>
          <w:szCs w:val="20"/>
        </w:rPr>
        <w:softHyphen/>
        <w:t xml:space="preserve">vat texty pod obrázky časopisů a zase budou se zmítat na lůžku </w:t>
      </w:r>
      <w:r>
        <w:rPr>
          <w:b/>
          <w:bCs/>
        </w:rPr>
        <w:t xml:space="preserve">s </w:t>
      </w:r>
      <w:r>
        <w:rPr>
          <w:b/>
          <w:bCs/>
          <w:sz w:val="20"/>
          <w:szCs w:val="20"/>
        </w:rPr>
        <w:t>těžkým záškrtem, protože mateřský samiččí pud nedovede připustil; že skutečně nemocné dítě patří d</w:t>
      </w:r>
      <w:r>
        <w:rPr>
          <w:b/>
          <w:bCs/>
          <w:sz w:val="20"/>
          <w:szCs w:val="20"/>
        </w:rPr>
        <w:t>o nemocnice. Nemohouce rozhodovat samy o sobě, jsou odsouzeny prožívat na vlastním těle rozum a nerozum svých matek, jejichž sumární kvalita ve dnešní společ</w:t>
      </w:r>
      <w:r>
        <w:rPr>
          <w:b/>
          <w:bCs/>
          <w:sz w:val="20"/>
          <w:szCs w:val="20"/>
        </w:rPr>
        <w:softHyphen/>
        <w:t>nosti není právě vrcholná.</w:t>
      </w:r>
    </w:p>
    <w:p w:rsidR="00500724" w:rsidRDefault="00F30FB8">
      <w:pPr>
        <w:pStyle w:val="Zkladntext30"/>
        <w:shd w:val="clear" w:color="auto" w:fill="auto"/>
        <w:spacing w:after="0" w:line="240" w:lineRule="auto"/>
        <w:ind w:firstLine="200"/>
        <w:rPr>
          <w:sz w:val="20"/>
          <w:szCs w:val="20"/>
        </w:rPr>
      </w:pPr>
      <w:r>
        <w:rPr>
          <w:b/>
          <w:bCs/>
          <w:sz w:val="20"/>
          <w:szCs w:val="20"/>
        </w:rPr>
        <w:t>Optejte se starých lékařů, kolik dětí zemřelo na mateř</w:t>
      </w:r>
      <w:r>
        <w:rPr>
          <w:b/>
          <w:bCs/>
          <w:sz w:val="20"/>
          <w:szCs w:val="20"/>
        </w:rPr>
        <w:softHyphen/>
        <w:t>skou lásku, koli</w:t>
      </w:r>
      <w:r>
        <w:rPr>
          <w:b/>
          <w:bCs/>
          <w:sz w:val="20"/>
          <w:szCs w:val="20"/>
        </w:rPr>
        <w:t>k jich pro ni ztratilo sluch, řeč, nebo kolik jich je mdlého rozumu. O kolik talentů přišel ná</w:t>
      </w:r>
      <w:r>
        <w:rPr>
          <w:b/>
          <w:bCs/>
          <w:sz w:val="20"/>
          <w:szCs w:val="20"/>
        </w:rPr>
        <w:softHyphen/>
        <w:t>rod a historie, kolik absolutních hodnot bylo takto zne</w:t>
      </w:r>
      <w:r>
        <w:rPr>
          <w:b/>
          <w:bCs/>
          <w:sz w:val="20"/>
          <w:szCs w:val="20"/>
        </w:rPr>
        <w:softHyphen/>
        <w:t>hodnoceno. Ustrnete-li, nedávejte vinu lékařům.</w:t>
      </w:r>
    </w:p>
    <w:p w:rsidR="00500724" w:rsidRDefault="00F30FB8">
      <w:pPr>
        <w:pStyle w:val="Zkladntext30"/>
        <w:shd w:val="clear" w:color="auto" w:fill="auto"/>
        <w:spacing w:after="0" w:line="240" w:lineRule="auto"/>
        <w:ind w:firstLine="200"/>
        <w:rPr>
          <w:sz w:val="20"/>
          <w:szCs w:val="20"/>
        </w:rPr>
      </w:pPr>
      <w:r>
        <w:rPr>
          <w:b/>
          <w:bCs/>
          <w:sz w:val="20"/>
          <w:szCs w:val="20"/>
        </w:rPr>
        <w:t>I u nás byla zřízena funkce školních lékařů. Nerozbí- rej</w:t>
      </w:r>
      <w:r>
        <w:rPr>
          <w:b/>
          <w:bCs/>
          <w:sz w:val="20"/>
          <w:szCs w:val="20"/>
        </w:rPr>
        <w:t>me těch několik procent, která ze sta naplňují, všimně</w:t>
      </w:r>
      <w:r>
        <w:rPr>
          <w:b/>
          <w:bCs/>
          <w:sz w:val="20"/>
          <w:szCs w:val="20"/>
        </w:rPr>
        <w:softHyphen/>
        <w:t>me si zjevu odlehlejšího: kdo pečuje o děti, které ne</w:t>
      </w:r>
      <w:r>
        <w:rPr>
          <w:b/>
          <w:bCs/>
          <w:sz w:val="20"/>
          <w:szCs w:val="20"/>
        </w:rPr>
        <w:softHyphen/>
        <w:t xml:space="preserve">chodí do školy? Kdo jim prohlíží pravidelně zuby a kdo je očkuje? Kdo bdí nad jejich zábavami </w:t>
      </w:r>
      <w:r>
        <w:rPr>
          <w:b/>
          <w:bCs/>
        </w:rPr>
        <w:t xml:space="preserve">a </w:t>
      </w:r>
      <w:r>
        <w:rPr>
          <w:b/>
          <w:bCs/>
          <w:sz w:val="20"/>
          <w:szCs w:val="20"/>
        </w:rPr>
        <w:t xml:space="preserve">kdo opravuje jejich duševní růst? A přece právě ve </w:t>
      </w:r>
      <w:r>
        <w:rPr>
          <w:b/>
          <w:bCs/>
          <w:sz w:val="20"/>
          <w:szCs w:val="20"/>
        </w:rPr>
        <w:t>věku předškolním je dítěti třeba péče nadměrně veliké, protože prvá léta jeho života jsou základem jeho budoucího charakteru a jeho postavení v životě.</w:t>
      </w:r>
    </w:p>
    <w:p w:rsidR="00500724" w:rsidRDefault="00F30FB8">
      <w:pPr>
        <w:pStyle w:val="Zkladntext30"/>
        <w:shd w:val="clear" w:color="auto" w:fill="auto"/>
        <w:spacing w:after="80" w:line="240" w:lineRule="auto"/>
        <w:ind w:firstLine="200"/>
        <w:rPr>
          <w:sz w:val="20"/>
          <w:szCs w:val="20"/>
        </w:rPr>
      </w:pPr>
      <w:r>
        <w:rPr>
          <w:b/>
          <w:bCs/>
          <w:sz w:val="20"/>
          <w:szCs w:val="20"/>
        </w:rPr>
        <w:t xml:space="preserve">Do šesti let štípí tedy tento stonek budoucího člověka rodiče, nebo pěstouni. Ve dnešní době ínervosní! rodiče </w:t>
      </w:r>
      <w:r>
        <w:rPr>
          <w:b/>
          <w:bCs/>
        </w:rPr>
        <w:t xml:space="preserve">a </w:t>
      </w:r>
      <w:r>
        <w:rPr>
          <w:b/>
          <w:bCs/>
          <w:sz w:val="20"/>
          <w:szCs w:val="20"/>
        </w:rPr>
        <w:t>snervosníf pěstouni. Výsledky není lak těžké si do</w:t>
      </w:r>
      <w:r>
        <w:rPr>
          <w:b/>
          <w:bCs/>
          <w:sz w:val="20"/>
          <w:szCs w:val="20"/>
        </w:rPr>
        <w:softHyphen/>
        <w:t>myslet.</w:t>
      </w:r>
    </w:p>
    <w:p w:rsidR="00500724" w:rsidRDefault="00F30FB8">
      <w:pPr>
        <w:pStyle w:val="Zkladntext30"/>
        <w:shd w:val="clear" w:color="auto" w:fill="auto"/>
        <w:spacing w:after="60" w:line="240" w:lineRule="auto"/>
        <w:ind w:firstLine="0"/>
        <w:jc w:val="center"/>
        <w:rPr>
          <w:sz w:val="20"/>
          <w:szCs w:val="20"/>
        </w:rPr>
      </w:pPr>
      <w:r>
        <w:rPr>
          <w:b/>
          <w:bCs/>
          <w:sz w:val="20"/>
          <w:szCs w:val="20"/>
        </w:rPr>
        <w:t>Dítě čte noviny</w:t>
      </w:r>
    </w:p>
    <w:p w:rsidR="00500724" w:rsidRDefault="00F30FB8">
      <w:pPr>
        <w:pStyle w:val="Zkladntext30"/>
        <w:shd w:val="clear" w:color="auto" w:fill="auto"/>
        <w:spacing w:after="0" w:line="240" w:lineRule="auto"/>
        <w:ind w:firstLine="200"/>
        <w:rPr>
          <w:sz w:val="20"/>
          <w:szCs w:val="20"/>
        </w:rPr>
      </w:pPr>
      <w:r>
        <w:rPr>
          <w:b/>
          <w:bCs/>
          <w:sz w:val="20"/>
          <w:szCs w:val="20"/>
        </w:rPr>
        <w:t>Je samozřejmé, že dnešní způsob života nedovoluje vy</w:t>
      </w:r>
      <w:r>
        <w:rPr>
          <w:b/>
          <w:bCs/>
          <w:sz w:val="20"/>
          <w:szCs w:val="20"/>
        </w:rPr>
        <w:softHyphen/>
        <w:t>lučovali dítě z</w:t>
      </w:r>
      <w:r>
        <w:rPr>
          <w:b/>
          <w:bCs/>
          <w:sz w:val="20"/>
          <w:szCs w:val="20"/>
        </w:rPr>
        <w:t xml:space="preserve"> účasti na veřejném životě i když </w:t>
      </w:r>
      <w:r>
        <w:rPr>
          <w:b/>
          <w:bCs/>
        </w:rPr>
        <w:t xml:space="preserve">se </w:t>
      </w:r>
      <w:r>
        <w:rPr>
          <w:b/>
          <w:bCs/>
          <w:sz w:val="20"/>
          <w:szCs w:val="20"/>
        </w:rPr>
        <w:t>jeho účast zde zdá paradoxní. Toho by si měli být vědomi všichni, kdo veřejné mínění tvoří, všichni podněcovate- lé davových psychos a všichni ti, kdo přejímají v náro</w:t>
      </w:r>
      <w:r>
        <w:rPr>
          <w:b/>
          <w:bCs/>
          <w:sz w:val="20"/>
          <w:szCs w:val="20"/>
        </w:rPr>
        <w:softHyphen/>
        <w:t>dě jakoukoliv odpovědnost. Všecka hesla, hlásající,</w:t>
      </w:r>
      <w:r>
        <w:rPr>
          <w:b/>
          <w:bCs/>
          <w:sz w:val="20"/>
          <w:szCs w:val="20"/>
        </w:rPr>
        <w:t xml:space="preserve"> </w:t>
      </w:r>
      <w:r>
        <w:rPr>
          <w:b/>
          <w:bCs/>
        </w:rPr>
        <w:t xml:space="preserve">ie </w:t>
      </w:r>
      <w:r>
        <w:rPr>
          <w:b/>
          <w:bCs/>
          <w:sz w:val="20"/>
          <w:szCs w:val="20"/>
        </w:rPr>
        <w:t xml:space="preserve">ti a oni pracují pro budoucnost národa, ztratí </w:t>
      </w:r>
      <w:r>
        <w:rPr>
          <w:b/>
          <w:bCs/>
        </w:rPr>
        <w:t xml:space="preserve">svou </w:t>
      </w:r>
      <w:r>
        <w:rPr>
          <w:b/>
          <w:bCs/>
          <w:sz w:val="20"/>
          <w:szCs w:val="20"/>
        </w:rPr>
        <w:t>pře</w:t>
      </w:r>
      <w:r>
        <w:rPr>
          <w:b/>
          <w:bCs/>
          <w:sz w:val="20"/>
          <w:szCs w:val="20"/>
        </w:rPr>
        <w:softHyphen/>
        <w:t>svědčivost a znějí dutě vždy, když se objeví, ie jsou ražena jen pro dospělé občany.</w:t>
      </w:r>
    </w:p>
    <w:p w:rsidR="00500724" w:rsidRDefault="00F30FB8">
      <w:pPr>
        <w:pStyle w:val="Zkladntext30"/>
        <w:shd w:val="clear" w:color="auto" w:fill="auto"/>
        <w:spacing w:after="0" w:line="240" w:lineRule="auto"/>
        <w:ind w:firstLine="200"/>
        <w:rPr>
          <w:sz w:val="20"/>
          <w:szCs w:val="20"/>
        </w:rPr>
      </w:pPr>
      <w:r>
        <w:rPr>
          <w:b/>
          <w:bCs/>
          <w:sz w:val="20"/>
          <w:szCs w:val="20"/>
        </w:rPr>
        <w:t>Dětský charakter a tedy i charakter dětí tohoto století má v sobě skryto několik prvků, jejichž přehlíženi se n</w:t>
      </w:r>
      <w:r>
        <w:rPr>
          <w:b/>
          <w:bCs/>
          <w:sz w:val="20"/>
          <w:szCs w:val="20"/>
        </w:rPr>
        <w:t xml:space="preserve">árodům nevyplácí. Na prvém místě stojí dětská paměť. Dítě, ať je vychováváno dobře nebo špatně, má vždy větší a spolehlivější paměť, než nejučenější encyklopedik. To, co jednou přijalo za pravdu, zůstává pro </w:t>
      </w:r>
      <w:r>
        <w:rPr>
          <w:b/>
          <w:bCs/>
        </w:rPr>
        <w:t xml:space="preserve">ně </w:t>
      </w:r>
      <w:r>
        <w:rPr>
          <w:b/>
          <w:bCs/>
          <w:sz w:val="20"/>
          <w:szCs w:val="20"/>
        </w:rPr>
        <w:t>pravdou svátou po celá léta. Přes všecku touh</w:t>
      </w:r>
      <w:r>
        <w:rPr>
          <w:b/>
          <w:bCs/>
          <w:sz w:val="20"/>
          <w:szCs w:val="20"/>
        </w:rPr>
        <w:t>u po družnosti zů</w:t>
      </w:r>
      <w:r>
        <w:rPr>
          <w:b/>
          <w:bCs/>
          <w:sz w:val="20"/>
          <w:szCs w:val="20"/>
        </w:rPr>
        <w:softHyphen/>
        <w:t>stává dětský charakter ryze individualistickým. Pravda je pravdou a tuto pravdu nedovede převlékat a pokra</w:t>
      </w:r>
      <w:r>
        <w:rPr>
          <w:b/>
          <w:bCs/>
          <w:sz w:val="20"/>
          <w:szCs w:val="20"/>
        </w:rPr>
        <w:softHyphen/>
        <w:t>čoval podle její prospěšnosti a podle výhod, jež mu z toho plynou. Na druhém místě je dětská fantasie. Není vybičována nervositou s</w:t>
      </w:r>
      <w:r>
        <w:rPr>
          <w:b/>
          <w:bCs/>
          <w:sz w:val="20"/>
          <w:szCs w:val="20"/>
        </w:rPr>
        <w:t>toletí, ale je božím darem dítěti, jednomu větším a jednomu menším. Svět hmotný i ne</w:t>
      </w:r>
      <w:r>
        <w:rPr>
          <w:b/>
          <w:bCs/>
          <w:sz w:val="20"/>
          <w:szCs w:val="20"/>
        </w:rPr>
        <w:softHyphen/>
        <w:t>hmotný přetavuje dítě do pojmů, jež jsou mu obecně známé, svět abstrakt si přitahuje zcela konkrétně a tak se také s ním vyrovnává. Svět dobra třeba představuje ta hodná p</w:t>
      </w:r>
      <w:r>
        <w:rPr>
          <w:b/>
          <w:bCs/>
          <w:sz w:val="20"/>
          <w:szCs w:val="20"/>
        </w:rPr>
        <w:t>aní od naproti, svět zla s čertem v čele kominík, nebo strážník a podobně.</w:t>
      </w:r>
    </w:p>
    <w:p w:rsidR="00500724" w:rsidRDefault="00F30FB8">
      <w:pPr>
        <w:pStyle w:val="Zkladntext30"/>
        <w:shd w:val="clear" w:color="auto" w:fill="auto"/>
        <w:spacing w:after="0" w:line="240" w:lineRule="auto"/>
        <w:ind w:firstLine="200"/>
        <w:rPr>
          <w:sz w:val="20"/>
          <w:szCs w:val="20"/>
        </w:rPr>
      </w:pPr>
      <w:r>
        <w:rPr>
          <w:b/>
          <w:bCs/>
          <w:sz w:val="20"/>
          <w:szCs w:val="20"/>
        </w:rPr>
        <w:t>Novináři zpravidla nemyslí tolik na tato fakta a píší noviny pro běžnou potřebu dne. Protože oílem vydava</w:t>
      </w:r>
      <w:r>
        <w:rPr>
          <w:b/>
          <w:bCs/>
          <w:sz w:val="20"/>
          <w:szCs w:val="20"/>
        </w:rPr>
        <w:softHyphen/>
        <w:t>telstev většiny novin je a zůstane především utržený dvacetihaléř za číslo,</w:t>
      </w:r>
      <w:r>
        <w:rPr>
          <w:b/>
          <w:bCs/>
          <w:sz w:val="20"/>
          <w:szCs w:val="20"/>
        </w:rPr>
        <w:t xml:space="preserve"> jsou novináři nuceni poskytovali nervově zbičovanému hypochondru vše, co by jej roz</w:t>
      </w:r>
      <w:r>
        <w:rPr>
          <w:b/>
          <w:bCs/>
          <w:sz w:val="20"/>
          <w:szCs w:val="20"/>
        </w:rPr>
        <w:softHyphen/>
        <w:t>ptýlilo a podráždilo. A podívejte se nyní do očí dítěte, jež si přečte to, co by v novinách nemuselo být a co dítě jako nejsrozumitelnější pečlivě vyhledává a pro</w:t>
      </w:r>
      <w:r>
        <w:rPr>
          <w:b/>
          <w:bCs/>
          <w:sz w:val="20"/>
          <w:szCs w:val="20"/>
        </w:rPr>
        <w:softHyphen/>
        <w:t>čítá.</w:t>
      </w:r>
    </w:p>
    <w:p w:rsidR="00500724" w:rsidRDefault="00F30FB8">
      <w:pPr>
        <w:pStyle w:val="Zkladntext30"/>
        <w:shd w:val="clear" w:color="auto" w:fill="auto"/>
        <w:spacing w:after="200" w:line="240" w:lineRule="auto"/>
        <w:ind w:firstLine="0"/>
        <w:jc w:val="right"/>
        <w:rPr>
          <w:sz w:val="20"/>
          <w:szCs w:val="20"/>
        </w:rPr>
      </w:pPr>
      <w:r>
        <w:rPr>
          <w:b/>
          <w:bCs/>
          <w:sz w:val="20"/>
          <w:szCs w:val="20"/>
        </w:rPr>
        <w:t>Mn</w:t>
      </w:r>
      <w:r>
        <w:rPr>
          <w:b/>
          <w:bCs/>
          <w:sz w:val="20"/>
          <w:szCs w:val="20"/>
        </w:rPr>
        <w:t>ozí namítnou, že není možno noviny psát tak, aby</w:t>
      </w:r>
    </w:p>
    <w:p w:rsidR="00500724" w:rsidRDefault="00F30FB8">
      <w:pPr>
        <w:pStyle w:val="Zkladntext100"/>
        <w:shd w:val="clear" w:color="auto" w:fill="auto"/>
        <w:spacing w:after="40" w:line="240" w:lineRule="auto"/>
        <w:ind w:firstLine="0"/>
        <w:jc w:val="right"/>
        <w:rPr>
          <w:sz w:val="17"/>
          <w:szCs w:val="17"/>
        </w:rPr>
        <w:sectPr w:rsidR="00500724">
          <w:footnotePr>
            <w:numFmt w:val="chicago"/>
            <w:numRestart w:val="eachPage"/>
          </w:footnotePr>
          <w:type w:val="continuous"/>
          <w:pgSz w:w="11909" w:h="16834"/>
          <w:pgMar w:top="1287" w:right="861" w:bottom="490" w:left="646" w:header="0" w:footer="3" w:gutter="0"/>
          <w:cols w:num="2" w:space="100"/>
          <w:noEndnote/>
          <w:docGrid w:linePitch="360"/>
        </w:sectPr>
      </w:pPr>
      <w:r>
        <w:rPr>
          <w:i/>
          <w:iCs/>
          <w:sz w:val="17"/>
          <w:szCs w:val="17"/>
        </w:rPr>
        <w:t>iU</w: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15" w:after="15" w:line="240" w:lineRule="exact"/>
        <w:rPr>
          <w:sz w:val="19"/>
          <w:szCs w:val="19"/>
        </w:rPr>
      </w:pPr>
    </w:p>
    <w:p w:rsidR="00500724" w:rsidRDefault="00500724">
      <w:pPr>
        <w:spacing w:line="14" w:lineRule="exact"/>
        <w:sectPr w:rsidR="00500724">
          <w:footnotePr>
            <w:numFmt w:val="chicago"/>
            <w:numRestart w:val="eachPage"/>
          </w:footnotePr>
          <w:pgSz w:w="11909" w:h="16834"/>
          <w:pgMar w:top="751" w:right="0" w:bottom="976" w:left="0" w:header="0" w:footer="3" w:gutter="0"/>
          <w:cols w:space="720"/>
          <w:noEndnote/>
          <w:docGrid w:linePitch="360"/>
        </w:sectPr>
      </w:pPr>
    </w:p>
    <w:p w:rsidR="00500724" w:rsidRDefault="00F30FB8">
      <w:pPr>
        <w:pStyle w:val="Zkladntext100"/>
        <w:shd w:val="clear" w:color="auto" w:fill="auto"/>
        <w:spacing w:after="120" w:line="269" w:lineRule="auto"/>
        <w:ind w:firstLine="0"/>
      </w:pPr>
      <w:r>
        <w:t>vyhovovaly nejen dospělému čtenáři, ale i dítěti. Bylo by tomu tak, kdyby se noviny obíraly tématy, jež jsou svou speciálností dětskému rozumu n</w:t>
      </w:r>
      <w:r>
        <w:t>edostupná. Pokud tomu však není, je nutno mluviti o tom, co je. A noviny, které se po léta zahalují do znervosňujících tajemství kulatých slov, převážně abstraktních, působí i na dítě, které je střeženo i nestřeženo občas dostane do rukou. Z poznání, že ne</w:t>
      </w:r>
      <w:r>
        <w:t>může v životě přijímati za pravdu to, co bylo pravdou včera, stává se dítě nedůvěřivým k seriosnosíi všeho, co podnikají dospělí lidé, rozviklává svůj pevný poměr k autoritě a k pravdě, sestupuje po</w:t>
      </w:r>
      <w:r>
        <w:softHyphen/>
        <w:t>zvolna do těch duševních sfér, kde si nikdo nepřeje svá d</w:t>
      </w:r>
      <w:r>
        <w:t>ítě nalézt. Noviny, jako jeden z nej markantnějších vy- volavačů davových psychos, nenávisti jedněch proti druhým, mají tedy jistý podíl na tom, roste-li dítě našich dní přímo vzhůru, nebo začíná-li se předčasně choulit do sebe a přetavuje-li ve své fantas</w:t>
      </w:r>
      <w:r>
        <w:t>ii dráždivou lokálku ze soudní síně více, než by mu bylo prospěšno.</w:t>
      </w:r>
    </w:p>
    <w:p w:rsidR="00500724" w:rsidRDefault="00F30FB8">
      <w:pPr>
        <w:pStyle w:val="Zkladntext100"/>
        <w:shd w:val="clear" w:color="auto" w:fill="auto"/>
        <w:spacing w:after="40" w:line="269" w:lineRule="auto"/>
        <w:ind w:firstLine="0"/>
        <w:jc w:val="center"/>
      </w:pPr>
      <w:r>
        <w:t>Cestou kolem biografu</w:t>
      </w:r>
    </w:p>
    <w:p w:rsidR="00500724" w:rsidRDefault="00F30FB8">
      <w:pPr>
        <w:pStyle w:val="Zkladntext100"/>
        <w:shd w:val="clear" w:color="auto" w:fill="auto"/>
        <w:spacing w:after="40" w:line="269" w:lineRule="auto"/>
        <w:ind w:firstLine="260"/>
      </w:pPr>
      <w:r>
        <w:t>Před senátem, který soudí mladistvé provinilce zase</w:t>
      </w:r>
      <w:r>
        <w:softHyphen/>
        <w:t xml:space="preserve">dají čas od času mladí výrostci, nebo mladá děvčata, jejichž, nedokonaný trestný čin byl promyšlen podle novin a </w:t>
      </w:r>
      <w:r>
        <w:t>podle obrázků z biografu. Je jistě nesnadno za</w:t>
      </w:r>
      <w:r>
        <w:softHyphen/>
        <w:t xml:space="preserve">bránili dětem, aby nezhlédly napínavý americký krvák, ale k tomu je zapotřebí mimo chuť ještě nějaký peníz na vstup. To znamená, že účast dětí na zakázaných filmech není tak velká, aby stačila poškodit jejich </w:t>
      </w:r>
      <w:r>
        <w:t>normální duševní růst. Zato zde však působí jiné motivy, která k této duchovní abnormitě vedou přímou cestou - bio</w:t>
      </w:r>
      <w:r>
        <w:softHyphen/>
        <w:t>grafové plakáty.</w:t>
      </w:r>
    </w:p>
    <w:p w:rsidR="00500724" w:rsidRDefault="00F30FB8">
      <w:pPr>
        <w:pStyle w:val="Zkladntext100"/>
        <w:shd w:val="clear" w:color="auto" w:fill="auto"/>
        <w:spacing w:after="40" w:line="269" w:lineRule="auto"/>
        <w:ind w:firstLine="260"/>
      </w:pPr>
      <w:r>
        <w:t>Plakát jako moderní obchodní artikl plní svou povin</w:t>
      </w:r>
      <w:r>
        <w:softHyphen/>
        <w:t>nost dokonale jen tehdy, když je co nejobsažnější. Este</w:t>
      </w:r>
      <w:r>
        <w:softHyphen/>
        <w:t>tická prvky zůst</w:t>
      </w:r>
      <w:r>
        <w:t>ávají zatím ještě na dlouhou dobu ve</w:t>
      </w:r>
      <w:r>
        <w:softHyphen/>
        <w:t>dlejšími. Příkladem je účinnost amerického plakátu ne</w:t>
      </w:r>
      <w:r>
        <w:softHyphen/>
        <w:t>uměleckého, nebo našich plakátů Baťových. Zásadou je, říci na papíru libovolné velikosti co nejvíce. Biografický plakát mívá tedy mimo obrovská písmena vždy prokres-</w:t>
      </w:r>
      <w:r>
        <w:t xml:space="preserve"> lený celý dramatický záběr (který někdy ani ve filmu není), a tím má působili agitativně na diváka a čtenáře. A poučuje nás opět zkušenost soudů mladistvých provi</w:t>
      </w:r>
      <w:r>
        <w:softHyphen/>
        <w:t>nilců, že několik smutných hrdinů se ohánělo ukradenou bambitkou přesně tak, jak to viděli v</w:t>
      </w:r>
      <w:r>
        <w:t>yobrazeno na pla</w:t>
      </w:r>
      <w:r>
        <w:softHyphen/>
        <w:t>kátě biografu. Při rekonstrukci činu v jednací síni se stavěl hrdina přesně tak jak to nesprávně malíř na</w:t>
      </w:r>
      <w:r>
        <w:softHyphen/>
        <w:t>kreslil, protože na štěstí malíř dovedl ovládati štětec, ale ne zbraň.</w:t>
      </w:r>
    </w:p>
    <w:p w:rsidR="00500724" w:rsidRDefault="00F30FB8">
      <w:pPr>
        <w:pStyle w:val="Zkladntext100"/>
        <w:shd w:val="clear" w:color="auto" w:fill="auto"/>
        <w:spacing w:after="40" w:line="269" w:lineRule="auto"/>
        <w:ind w:firstLine="0"/>
        <w:jc w:val="center"/>
      </w:pPr>
      <w:r>
        <w:t>Ze slepé uličky</w:t>
      </w:r>
    </w:p>
    <w:p w:rsidR="00500724" w:rsidRDefault="00F30FB8">
      <w:pPr>
        <w:pStyle w:val="Zkladntext100"/>
        <w:shd w:val="clear" w:color="auto" w:fill="auto"/>
        <w:spacing w:line="271" w:lineRule="auto"/>
        <w:ind w:firstLine="260"/>
      </w:pPr>
      <w:r>
        <w:t>Vede tedy nějaká cesta ze slepé uličky, kam za</w:t>
      </w:r>
      <w:r>
        <w:t>vádíme, chtíce, nebo nechtíce, své nedorostló spoluobčany? Jistěže vede. Platonikové tvrdí, že by mělo býti dětství přivlečeno blíže k poutavé knize, k dokonalému umění pro děti, k dokonalé škole a pod. Nemáme zájmu na tom, rozmnožovat! tato platonické přá</w:t>
      </w:r>
      <w:r>
        <w:t>ní dobrých pedagogů a dobrých rodičů. Víme jen, že rodičům a pedagogům se v pravou chvíli nedostalo mužnosti a chrabrosti, mravní odpovědnosti, a že jim chybí dostatečné vědomi o nutná intensitě národní a osobní cti, že v jejich cha</w:t>
      </w:r>
      <w:r>
        <w:softHyphen/>
        <w:t>rakteru nebyly dosti vy</w:t>
      </w:r>
      <w:r>
        <w:t xml:space="preserve">pěstovány pojmy kázně a pravdy- milovnosti. </w:t>
      </w:r>
      <w:r>
        <w:rPr>
          <w:b/>
          <w:bCs/>
          <w:sz w:val="20"/>
          <w:szCs w:val="20"/>
        </w:rPr>
        <w:t xml:space="preserve">Z </w:t>
      </w:r>
      <w:r>
        <w:t>těchto nedostatků se rodil život tohoto sto</w:t>
      </w:r>
      <w:r>
        <w:softHyphen/>
        <w:t>letí, v těchto nedostatcích hynuly a zhynuly staré prav</w:t>
      </w:r>
      <w:r>
        <w:softHyphen/>
        <w:t>dy. Není nervosních dětí, na jejichž nervový systém by zhoubně působil hluk klaksonů a tramvajových zvonců, js</w:t>
      </w:r>
      <w:r>
        <w:t>ou naopak dospělí lidé, kteří rostli v zajetí módních psychos, narkotikové sensací, nestateční hypochondři, jejichž kolébky byly vyhřívány zapadajícím sluncem prošlého věku.</w:t>
      </w:r>
    </w:p>
    <w:p w:rsidR="00500724" w:rsidRDefault="00F30FB8">
      <w:pPr>
        <w:pStyle w:val="Zkladntext100"/>
        <w:shd w:val="clear" w:color="auto" w:fill="auto"/>
        <w:spacing w:line="269" w:lineRule="auto"/>
        <w:ind w:firstLine="240"/>
      </w:pPr>
      <w:r>
        <w:t xml:space="preserve">Připadá-li dnes jen </w:t>
      </w:r>
      <w:r>
        <w:rPr>
          <w:b/>
          <w:bCs/>
          <w:sz w:val="20"/>
          <w:szCs w:val="20"/>
        </w:rPr>
        <w:t xml:space="preserve">v </w:t>
      </w:r>
      <w:r>
        <w:t>Novém Yorku na 170 lidí jeden choromyslný, není to vlivem ra</w:t>
      </w:r>
      <w:r>
        <w:t>cionalisace, ale špatné racionalisace, je-li u nás na 27.000 dětí duševně zaosta</w:t>
      </w:r>
      <w:r>
        <w:softHyphen/>
        <w:t>lých, jejichž duševní vývoj se zastavil ještě před skon</w:t>
      </w:r>
      <w:r>
        <w:softHyphen/>
        <w:t>čením školní docházky, měli-li jsme za posledních pět let více jak 3000 mladistvých provinilců před soudem, není to vin</w:t>
      </w:r>
      <w:r>
        <w:t>ou rodičů, pedagogů a opatrovníků, ale jen a jen toho, že jsme nedovedli zařídili běh svých život</w:t>
      </w:r>
      <w:r>
        <w:softHyphen/>
        <w:t>ních potřeb s plným smyslem pro budoucnost, pokláda</w:t>
      </w:r>
      <w:r>
        <w:softHyphen/>
        <w:t>jíce za občana teprve toho, kdo se dovedl plně přizpů</w:t>
      </w:r>
      <w:r>
        <w:softHyphen/>
        <w:t>sobili zdeformovanému kadlubu společenského živoia.</w:t>
      </w:r>
    </w:p>
    <w:p w:rsidR="00500724" w:rsidRDefault="00F30FB8">
      <w:pPr>
        <w:pStyle w:val="Zkladntext100"/>
        <w:shd w:val="clear" w:color="auto" w:fill="auto"/>
        <w:spacing w:after="440" w:line="269" w:lineRule="auto"/>
        <w:ind w:firstLine="240"/>
      </w:pPr>
      <w:r>
        <w:t>Není pravdou, že dějiny tvoří dospělí a staří lidé, na</w:t>
      </w:r>
      <w:r>
        <w:softHyphen/>
        <w:t>bití kejklířstvím zkušeností. Dějiny nerostou z klubovek, rostou z kolébky.</w:t>
      </w:r>
    </w:p>
    <w:p w:rsidR="00500724" w:rsidRDefault="00F30FB8">
      <w:pPr>
        <w:pStyle w:val="Nadpis80"/>
        <w:keepNext/>
        <w:keepLines/>
        <w:shd w:val="clear" w:color="auto" w:fill="auto"/>
        <w:spacing w:after="0" w:line="324" w:lineRule="auto"/>
        <w:rPr>
          <w:sz w:val="48"/>
          <w:szCs w:val="48"/>
        </w:rPr>
      </w:pPr>
      <w:bookmarkStart w:id="341" w:name="bookmark341"/>
      <w:r>
        <w:rPr>
          <w:sz w:val="48"/>
          <w:szCs w:val="48"/>
          <w:u w:val="none"/>
        </w:rPr>
        <w:t>dokumenty a vzpomínky,</w:t>
      </w:r>
      <w:bookmarkEnd w:id="341"/>
    </w:p>
    <w:p w:rsidR="00500724" w:rsidRDefault="00F30FB8">
      <w:pPr>
        <w:pStyle w:val="Nadpis100"/>
        <w:pBdr>
          <w:top w:val="single" w:sz="4" w:space="0" w:color="auto"/>
        </w:pBdr>
        <w:shd w:val="clear" w:color="auto" w:fill="auto"/>
        <w:spacing w:after="0" w:line="324" w:lineRule="auto"/>
      </w:pPr>
      <w:bookmarkStart w:id="342" w:name="bookmark342"/>
      <w:r>
        <w:t>Bismarckova politika</w:t>
      </w:r>
      <w:bookmarkEnd w:id="342"/>
    </w:p>
    <w:p w:rsidR="00500724" w:rsidRDefault="00F30FB8">
      <w:pPr>
        <w:pStyle w:val="Jin0"/>
        <w:shd w:val="clear" w:color="auto" w:fill="auto"/>
        <w:tabs>
          <w:tab w:val="left" w:pos="2886"/>
        </w:tabs>
        <w:ind w:left="1820" w:firstLine="0"/>
        <w:rPr>
          <w:sz w:val="12"/>
          <w:szCs w:val="12"/>
        </w:rPr>
      </w:pPr>
      <w:r>
        <w:rPr>
          <w:rFonts w:ascii="Arial" w:eastAsia="Arial" w:hAnsi="Arial" w:cs="Arial"/>
          <w:sz w:val="12"/>
          <w:szCs w:val="12"/>
        </w:rPr>
        <w:t xml:space="preserve">O </w:t>
      </w:r>
      <w:r>
        <w:rPr>
          <w:sz w:val="20"/>
          <w:szCs w:val="20"/>
        </w:rPr>
        <w:t>v*</w:t>
      </w:r>
      <w:r>
        <w:rPr>
          <w:sz w:val="20"/>
          <w:szCs w:val="20"/>
        </w:rPr>
        <w:tab/>
      </w:r>
      <w:r>
        <w:rPr>
          <w:sz w:val="22"/>
          <w:szCs w:val="22"/>
        </w:rPr>
        <w:t xml:space="preserve">1 </w:t>
      </w:r>
      <w:r>
        <w:rPr>
          <w:rFonts w:ascii="Arial" w:eastAsia="Arial" w:hAnsi="Arial" w:cs="Arial"/>
          <w:sz w:val="12"/>
          <w:szCs w:val="12"/>
        </w:rPr>
        <w:t>o</w:t>
      </w:r>
    </w:p>
    <w:p w:rsidR="00500724" w:rsidRDefault="00F30FB8">
      <w:pPr>
        <w:pStyle w:val="Nadpis100"/>
        <w:shd w:val="clear" w:color="auto" w:fill="auto"/>
        <w:spacing w:after="60" w:line="180" w:lineRule="auto"/>
      </w:pPr>
      <w:bookmarkStart w:id="343" w:name="bookmark343"/>
      <w:r>
        <w:t>vuci Cechům</w:t>
      </w:r>
      <w:bookmarkEnd w:id="343"/>
    </w:p>
    <w:p w:rsidR="00500724" w:rsidRDefault="00F30FB8">
      <w:pPr>
        <w:pStyle w:val="Zkladntext30"/>
        <w:shd w:val="clear" w:color="auto" w:fill="auto"/>
        <w:spacing w:after="220" w:line="221" w:lineRule="auto"/>
        <w:ind w:left="620" w:firstLine="160"/>
        <w:rPr>
          <w:sz w:val="20"/>
          <w:szCs w:val="20"/>
        </w:rPr>
      </w:pPr>
      <w:r>
        <w:rPr>
          <w:sz w:val="20"/>
          <w:szCs w:val="20"/>
        </w:rPr>
        <w:t xml:space="preserve">Není jistě bez významu a zajímavosti, seznámiti se </w:t>
      </w:r>
      <w:r>
        <w:rPr>
          <w:sz w:val="20"/>
          <w:szCs w:val="20"/>
        </w:rPr>
        <w:t>důkladněji s německými názory na historii a vý</w:t>
      </w:r>
      <w:r>
        <w:rPr>
          <w:sz w:val="20"/>
          <w:szCs w:val="20"/>
        </w:rPr>
        <w:softHyphen/>
        <w:t>voj našich zemí. Z publikací, které vyšly v poslední době, zaslouží si zvláštní pozornosti kniha H. La</w:t>
      </w:r>
      <w:r>
        <w:rPr>
          <w:sz w:val="20"/>
          <w:szCs w:val="20"/>
        </w:rPr>
        <w:softHyphen/>
        <w:t xml:space="preserve">de se »Die </w:t>
      </w:r>
      <w:r>
        <w:rPr>
          <w:sz w:val="20"/>
          <w:szCs w:val="20"/>
          <w:lang w:val="en-US" w:eastAsia="en-US" w:bidi="en-US"/>
        </w:rPr>
        <w:t xml:space="preserve">Tschechen </w:t>
      </w:r>
      <w:r>
        <w:rPr>
          <w:sz w:val="20"/>
          <w:szCs w:val="20"/>
        </w:rPr>
        <w:t xml:space="preserve">und </w:t>
      </w:r>
      <w:r>
        <w:rPr>
          <w:sz w:val="20"/>
          <w:szCs w:val="20"/>
          <w:lang w:val="en-US" w:eastAsia="en-US" w:bidi="en-US"/>
        </w:rPr>
        <w:t xml:space="preserve">die </w:t>
      </w:r>
      <w:r>
        <w:rPr>
          <w:sz w:val="20"/>
          <w:szCs w:val="20"/>
        </w:rPr>
        <w:t>deutsche Frage« ze</w:t>
      </w:r>
      <w:r>
        <w:rPr>
          <w:sz w:val="20"/>
          <w:szCs w:val="20"/>
        </w:rPr>
        <w:softHyphen/>
        <w:t>jména proto, že se zabývá Bismarckovou politikou vůči Čech</w:t>
      </w:r>
      <w:r>
        <w:rPr>
          <w:sz w:val="20"/>
          <w:szCs w:val="20"/>
        </w:rPr>
        <w:t>ům. Ze závěrečných kapitol, které jsou věnovány téměř výlučně Bismarckově politice vůči Rakousku, uvádíme alespoň stručný výtah.</w:t>
      </w:r>
    </w:p>
    <w:p w:rsidR="00500724" w:rsidRDefault="00F30FB8">
      <w:pPr>
        <w:pStyle w:val="Zkladntext100"/>
        <w:shd w:val="clear" w:color="auto" w:fill="auto"/>
        <w:spacing w:after="60" w:line="269" w:lineRule="auto"/>
        <w:ind w:firstLine="0"/>
      </w:pPr>
      <w:r>
        <w:t>češi a sudetští Němci na straně Rakouska</w:t>
      </w:r>
    </w:p>
    <w:p w:rsidR="00500724" w:rsidRDefault="00F30FB8">
      <w:pPr>
        <w:pStyle w:val="Zkladntext100"/>
        <w:shd w:val="clear" w:color="auto" w:fill="auto"/>
        <w:spacing w:after="140" w:line="269" w:lineRule="auto"/>
        <w:ind w:firstLine="360"/>
      </w:pPr>
      <w:r>
        <w:t>Když napětí mezi Rakouskem a Pruskem dosáhlo v prvních měsících r. 1866 kritického bod</w:t>
      </w:r>
      <w:r>
        <w:t>u, byly prý Čechy téměř jednoznačně na straně Rakouska - dokazuje autor. Nejen Češi, ale zejména sudetští Němci prokazovali na</w:t>
      </w:r>
      <w:r>
        <w:softHyphen/>
        <w:t>prostou loyalitu, nechápajíce, v čem Bismarckova poli</w:t>
      </w:r>
      <w:r>
        <w:softHyphen/>
        <w:t>tika spočívá, češi sice věděli, jak je rakouská politika ideově slabá, přek</w:t>
      </w:r>
      <w:r>
        <w:t>ážela jim také okolnost, že se válka povede především za udržení německé posice rakouská říše, ale starali se samozřejmě hlavně o to, aby v nová situaci uplatnili nebo aspoň zachovali národní zájmy. Mladočeské hnutí přišlo s plánem, aby obrana země byla vš</w:t>
      </w:r>
      <w:r>
        <w:t>eobecná a mladočeský tisk rozváděl ze široka &gt;ideje vynikajícího polského státníka i, který za základ rakou</w:t>
      </w:r>
      <w:r>
        <w:softHyphen/>
        <w:t>ské zahraniční politiky doporučoval federalismus. Ačko</w:t>
      </w:r>
      <w:r>
        <w:softHyphen/>
        <w:t>liv se plány na ozbrojení českého lidu nezdařily a bez úspěchu skončila také akce, která měla</w:t>
      </w:r>
      <w:r>
        <w:t xml:space="preserve"> v ministerstvu zahraničních věcí přivoditi změnu v prospěch polského hraběte Goluchovského, přijali češi vypuknutí prusko- rakouská války loyálně jako nezbytnost, kvitujíce ovšem 8 uspokojením zánik německého svazu.</w:t>
      </w:r>
      <w:r>
        <w:br w:type="page"/>
      </w:r>
    </w:p>
    <w:p w:rsidR="00500724" w:rsidRDefault="00F30FB8">
      <w:pPr>
        <w:pStyle w:val="Zkladntext100"/>
        <w:shd w:val="clear" w:color="auto" w:fill="auto"/>
        <w:spacing w:line="269" w:lineRule="auto"/>
        <w:ind w:firstLine="0"/>
        <w:jc w:val="center"/>
      </w:pPr>
      <w:r>
        <w:rPr>
          <w:noProof/>
        </w:rPr>
        <mc:AlternateContent>
          <mc:Choice Requires="wps">
            <w:drawing>
              <wp:anchor distT="0" distB="63500" distL="114300" distR="1037590" simplePos="0" relativeHeight="125829726" behindDoc="0" locked="0" layoutInCell="1" allowOverlap="1">
                <wp:simplePos x="0" y="0"/>
                <wp:positionH relativeFrom="page">
                  <wp:posOffset>3092450</wp:posOffset>
                </wp:positionH>
                <wp:positionV relativeFrom="margin">
                  <wp:posOffset>294640</wp:posOffset>
                </wp:positionV>
                <wp:extent cx="372110" cy="389890"/>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372110" cy="389890"/>
                        </a:xfrm>
                        <a:prstGeom prst="rect">
                          <a:avLst/>
                        </a:prstGeom>
                        <a:noFill/>
                      </wps:spPr>
                      <wps:txbx>
                        <w:txbxContent>
                          <w:p w:rsidR="00500724" w:rsidRDefault="00F30FB8">
                            <w:pPr>
                              <w:pStyle w:val="Nadpis80"/>
                              <w:keepNext/>
                              <w:keepLines/>
                              <w:shd w:val="clear" w:color="auto" w:fill="auto"/>
                              <w:spacing w:after="0"/>
                              <w:rPr>
                                <w:sz w:val="48"/>
                                <w:szCs w:val="48"/>
                              </w:rPr>
                            </w:pPr>
                            <w:bookmarkStart w:id="344" w:name="bookmark340"/>
                            <w:r>
                              <w:rPr>
                                <w:sz w:val="48"/>
                                <w:szCs w:val="48"/>
                                <w:u w:val="none"/>
                              </w:rPr>
                              <w:t>Přít</w:t>
                            </w:r>
                            <w:bookmarkEnd w:id="344"/>
                          </w:p>
                        </w:txbxContent>
                      </wps:txbx>
                      <wps:bodyPr lIns="0" tIns="0" rIns="0" bIns="0">
                        <a:spAutoFit/>
                      </wps:bodyPr>
                    </wps:wsp>
                  </a:graphicData>
                </a:graphic>
              </wp:anchor>
            </w:drawing>
          </mc:Choice>
          <mc:Fallback>
            <w:pict>
              <v:shape id="_x0000_s1375" type="#_x0000_t202" style="position:absolute;margin-left:243.5pt;margin-top:23.199999999999999pt;width:29.300000000000001pt;height:30.699999999999999pt;z-index:-125829027;mso-wrap-distance-left:9.pt;mso-wrap-distance-right:81.700000000000003pt;mso-wrap-distance-bottom:5.pt;mso-position-horizontal-relative:page;mso-position-vertical-relative:margin" filled="f" stroked="f">
                <v:textbox style="mso-fit-shape-to-text:t" inset="0,0,0,0">
                  <w:txbxContent>
                    <w:p>
                      <w:pPr>
                        <w:pStyle w:val="Style56"/>
                        <w:keepNext/>
                        <w:keepLines/>
                        <w:widowControl w:val="0"/>
                        <w:shd w:val="clear" w:color="auto" w:fill="auto"/>
                        <w:bidi w:val="0"/>
                        <w:spacing w:before="0" w:after="0" w:line="240" w:lineRule="auto"/>
                        <w:ind w:left="0" w:right="0" w:firstLine="0"/>
                        <w:jc w:val="left"/>
                        <w:rPr>
                          <w:sz w:val="48"/>
                          <w:szCs w:val="48"/>
                        </w:rPr>
                      </w:pPr>
                      <w:bookmarkStart w:id="340" w:name="bookmark340"/>
                      <w:r>
                        <w:rPr>
                          <w:color w:val="000000"/>
                          <w:spacing w:val="0"/>
                          <w:w w:val="100"/>
                          <w:position w:val="0"/>
                          <w:sz w:val="48"/>
                          <w:szCs w:val="48"/>
                          <w:u w:val="none"/>
                          <w:shd w:val="clear" w:color="auto" w:fill="auto"/>
                          <w:lang w:val="cs-CZ" w:eastAsia="cs-CZ" w:bidi="cs-CZ"/>
                        </w:rPr>
                        <w:t>Přít</w:t>
                      </w:r>
                      <w:bookmarkEnd w:id="340"/>
                    </w:p>
                  </w:txbxContent>
                </v:textbox>
                <w10:wrap type="topAndBottom" anchorx="page" anchory="margin"/>
              </v:shape>
            </w:pict>
          </mc:Fallback>
        </mc:AlternateContent>
      </w:r>
      <w:r>
        <w:rPr>
          <w:noProof/>
        </w:rPr>
        <mc:AlternateContent>
          <mc:Choice Requires="wps">
            <w:drawing>
              <wp:anchor distT="97790" distB="85090" distL="900430" distR="114300" simplePos="0" relativeHeight="125829728" behindDoc="0" locked="0" layoutInCell="1" allowOverlap="1">
                <wp:simplePos x="0" y="0"/>
                <wp:positionH relativeFrom="page">
                  <wp:posOffset>3878580</wp:posOffset>
                </wp:positionH>
                <wp:positionV relativeFrom="margin">
                  <wp:posOffset>392430</wp:posOffset>
                </wp:positionV>
                <wp:extent cx="509270" cy="271145"/>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509270" cy="271145"/>
                        </a:xfrm>
                        <a:prstGeom prst="rect">
                          <a:avLst/>
                        </a:prstGeom>
                        <a:noFill/>
                      </wps:spPr>
                      <wps:txbx>
                        <w:txbxContent>
                          <w:p w:rsidR="00500724" w:rsidRDefault="00F30FB8">
                            <w:pPr>
                              <w:pStyle w:val="Jin0"/>
                              <w:shd w:val="clear" w:color="auto" w:fill="auto"/>
                              <w:ind w:firstLine="0"/>
                              <w:jc w:val="left"/>
                              <w:rPr>
                                <w:sz w:val="34"/>
                                <w:szCs w:val="34"/>
                              </w:rPr>
                            </w:pPr>
                            <w:r>
                              <w:rPr>
                                <w:rFonts w:ascii="Arial" w:eastAsia="Arial" w:hAnsi="Arial" w:cs="Arial"/>
                                <w:sz w:val="34"/>
                                <w:szCs w:val="34"/>
                              </w:rPr>
                              <w:t>OSO</w:t>
                            </w:r>
                          </w:p>
                        </w:txbxContent>
                      </wps:txbx>
                      <wps:bodyPr lIns="0" tIns="0" rIns="0" bIns="0">
                        <a:spAutoFit/>
                      </wps:bodyPr>
                    </wps:wsp>
                  </a:graphicData>
                </a:graphic>
              </wp:anchor>
            </w:drawing>
          </mc:Choice>
          <mc:Fallback>
            <w:pict>
              <v:shape id="_x0000_s1377" type="#_x0000_t202" style="position:absolute;margin-left:305.39999999999998pt;margin-top:30.899999999999999pt;width:40.100000000000001pt;height:21.350000000000001pt;z-index:-125829025;mso-wrap-distance-left:70.900000000000006pt;mso-wrap-distance-top:7.7000000000000002pt;mso-wrap-distance-right:9.pt;mso-wrap-distance-bottom:6.7000000000000002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OSO</w:t>
                      </w:r>
                    </w:p>
                  </w:txbxContent>
                </v:textbox>
                <w10:wrap type="topAndBottom" anchorx="page" anchory="margin"/>
              </v:shape>
            </w:pict>
          </mc:Fallback>
        </mc:AlternateContent>
      </w:r>
      <w:r>
        <w:t>Prusové v Cechách</w:t>
      </w:r>
    </w:p>
    <w:p w:rsidR="00500724" w:rsidRDefault="00F30FB8">
      <w:pPr>
        <w:pStyle w:val="Zkladntext100"/>
        <w:shd w:val="clear" w:color="auto" w:fill="auto"/>
        <w:spacing w:line="269" w:lineRule="auto"/>
      </w:pPr>
      <w:r>
        <w:t xml:space="preserve">Do </w:t>
      </w:r>
      <w:r>
        <w:t>velké hry, kterou tak velkoryse připravoval, vlo</w:t>
      </w:r>
      <w:r>
        <w:softHyphen/>
        <w:t xml:space="preserve">žil </w:t>
      </w:r>
      <w:r>
        <w:rPr>
          <w:lang w:val="en-US" w:eastAsia="en-US" w:bidi="en-US"/>
        </w:rPr>
        <w:t xml:space="preserve">Bismarck </w:t>
      </w:r>
      <w:r>
        <w:t xml:space="preserve">jako zástavu celou existenci pruského státu. Jakmile bylo řešení konfliktu svěřeno meči, byl </w:t>
      </w:r>
      <w:r>
        <w:rPr>
          <w:lang w:val="en-US" w:eastAsia="en-US" w:bidi="en-US"/>
        </w:rPr>
        <w:t xml:space="preserve">Bismarck </w:t>
      </w:r>
      <w:r>
        <w:t>pevně odhodlán zajistit Prusku hegemonii a znemožnit Rakousku jakoukoli odvetu. Iniciativa p</w:t>
      </w:r>
      <w:r>
        <w:t>ruského armád</w:t>
      </w:r>
      <w:r>
        <w:softHyphen/>
        <w:t>ního velitele zvolila za dějiště války Cechy a Moravu, poněvadž je považovala správně za hlavní bašty Ra</w:t>
      </w:r>
      <w:r>
        <w:softHyphen/>
        <w:t>kouska vůči Prusku. Češí se tím octli v situaci velmi sví</w:t>
      </w:r>
      <w:r>
        <w:softHyphen/>
        <w:t>zelné: na jedné straně loyalita k Rakousku a věrnost k české zemi, naděje v lep</w:t>
      </w:r>
      <w:r>
        <w:t>ší českou budoucnost a nevůle k Němcům - na druhé straně obavy, že vítězství Ra</w:t>
      </w:r>
      <w:r>
        <w:softHyphen/>
        <w:t>kouska bude míti za následek větší závislost českých zemí na německém svazu a promění Cechy v pouhou provincii velkoněmecké říše. Není divu, že Češi sledovali průběh války s úž</w:t>
      </w:r>
      <w:r>
        <w:t>asným napětím, rozhořčujíce se stále více nad neschopností rakouské politiky, která vedla nejdřív k porážce u Hradce Králové a 8. července k obsa</w:t>
      </w:r>
      <w:r>
        <w:softHyphen/>
        <w:t>zení Prahy pruskými vojsky.</w:t>
      </w:r>
    </w:p>
    <w:p w:rsidR="00500724" w:rsidRDefault="00F30FB8">
      <w:pPr>
        <w:pStyle w:val="Zkladntext100"/>
        <w:shd w:val="clear" w:color="auto" w:fill="auto"/>
        <w:spacing w:after="100" w:line="269" w:lineRule="auto"/>
      </w:pPr>
      <w:r>
        <w:t xml:space="preserve">K trpkým pocitům přistoupila ještě okolnost, že se oba národy — Prusové a Češi - </w:t>
      </w:r>
      <w:r>
        <w:t>téměř neznaly. Pohled na české země pruské vojáky překvapil: iNaše prapory... nesesíoupily do země nouze, bídy a nekullurnosli,* na</w:t>
      </w:r>
      <w:r>
        <w:softHyphen/>
        <w:t>psal tehdy válečný pozorovatel Fontáne. iRozhodnutí padlo v usmívající se zahradě, v zemi podobné parku.* Stejně tak byli as</w:t>
      </w:r>
      <w:r>
        <w:t>i překvapeni, seznamujíce se s obyva</w:t>
      </w:r>
      <w:r>
        <w:softHyphen/>
        <w:t>telstvem českých zemí: íNejzřejmějším rysem národního charakteru zdá se býti plachá, tiše mluvící a tiše vystu</w:t>
      </w:r>
      <w:r>
        <w:softHyphen/>
        <w:t>pující způsobnost. Všechno budilo dojem, jako by se lidé pohybovali v ponožkách, zatím co naše pruské vystup</w:t>
      </w:r>
      <w:r>
        <w:t>o</w:t>
      </w:r>
      <w:r>
        <w:softHyphen/>
        <w:t>vání připomíná příliš jezdecké boty a ostruhy. Máme-li soudili podle vzhledu, jsou Češi jemně stavěný a způ</w:t>
      </w:r>
      <w:r>
        <w:softHyphen/>
        <w:t>sobný národ. Mají iformy*, ale Němec ze severu, který forem více méně postrádá, bude vždy nakloněn považo</w:t>
      </w:r>
      <w:r>
        <w:softHyphen/>
        <w:t xml:space="preserve">vali to za neupřímnost a záludnost.* </w:t>
      </w:r>
      <w:r>
        <w:rPr>
          <w:lang w:val="en-US" w:eastAsia="en-US" w:bidi="en-US"/>
        </w:rPr>
        <w:t>I B</w:t>
      </w:r>
      <w:r>
        <w:rPr>
          <w:lang w:val="en-US" w:eastAsia="en-US" w:bidi="en-US"/>
        </w:rPr>
        <w:t xml:space="preserve">ismarck </w:t>
      </w:r>
      <w:r>
        <w:t>měl po</w:t>
      </w:r>
      <w:r>
        <w:softHyphen/>
        <w:t>dobné dojmy, když psal z Jičína svůj známý dopis, určený tisku. Není dobře myslitelné, aby se všechny nové okolnosti neprojevily také politicky. Ve chvíli, kdy císařský manifest z 10. července mluvil sice o smilova</w:t>
      </w:r>
      <w:r>
        <w:softHyphen/>
        <w:t>ném českém království*, al</w:t>
      </w:r>
      <w:r>
        <w:t>e nepřiznal Cechům žádné po</w:t>
      </w:r>
      <w:r>
        <w:softHyphen/>
        <w:t xml:space="preserve">litické ústupky, </w:t>
      </w:r>
      <w:r>
        <w:rPr>
          <w:lang w:val="en-US" w:eastAsia="en-US" w:bidi="en-US"/>
        </w:rPr>
        <w:t xml:space="preserve">Bismarck </w:t>
      </w:r>
      <w:r>
        <w:t>zasáhl.</w:t>
      </w:r>
    </w:p>
    <w:p w:rsidR="00500724" w:rsidRDefault="00F30FB8">
      <w:pPr>
        <w:pStyle w:val="Zkladntext100"/>
        <w:shd w:val="clear" w:color="auto" w:fill="auto"/>
        <w:spacing w:line="269" w:lineRule="auto"/>
        <w:ind w:firstLine="0"/>
        <w:jc w:val="center"/>
      </w:pPr>
      <w:r>
        <w:t>Proklamace z 11. července</w:t>
      </w:r>
    </w:p>
    <w:p w:rsidR="00500724" w:rsidRDefault="00F30FB8">
      <w:pPr>
        <w:pStyle w:val="Zkladntext100"/>
        <w:shd w:val="clear" w:color="auto" w:fill="auto"/>
        <w:spacing w:line="262" w:lineRule="auto"/>
      </w:pPr>
      <w:r>
        <w:t>V nejvhodnějším psychologickém okamžiku, den po císařském manifestu, objevila se v pražských novinách proklamace hlavního pruského velitelství, oslovující Ce</w:t>
      </w:r>
      <w:r>
        <w:softHyphen/>
        <w:t>chy jako o</w:t>
      </w:r>
      <w:r>
        <w:t>byvatele islavného českého království*. Pod</w:t>
      </w:r>
      <w:r>
        <w:softHyphen/>
        <w:t>statou provolání bylo ujištění, že pruská vojska nepřichá</w:t>
      </w:r>
      <w:r>
        <w:softHyphen/>
        <w:t>zejí do Cech jako dobyvatelé, nýbrž ss úctou k historic</w:t>
      </w:r>
      <w:r>
        <w:softHyphen/>
        <w:t>kým a nacionálním právům...« Obracejíc se proti pomlu</w:t>
      </w:r>
      <w:r>
        <w:softHyphen/>
        <w:t>vám, proklamace zdůrazňuje, že nic není Prus</w:t>
      </w:r>
      <w:r>
        <w:t>ku vzdále</w:t>
      </w:r>
      <w:r>
        <w:softHyphen/>
        <w:t>nější, než úmysl postaviti se proti ispravedlivé touze po samostatnosti a svobodném, národním vývoji*. Znalost české mentality je v tomto vojenském provolání tak pře</w:t>
      </w:r>
      <w:r>
        <w:softHyphen/>
        <w:t>kvapující, že se i autor uvedené knihy ptá, jak ji lze vy</w:t>
      </w:r>
      <w:r>
        <w:softHyphen/>
        <w:t>světlit? Pátraje po hi</w:t>
      </w:r>
      <w:r>
        <w:t>storii proklamace objevil vskutku za</w:t>
      </w:r>
      <w:r>
        <w:softHyphen/>
        <w:t>jímavé okolnosti.</w:t>
      </w:r>
    </w:p>
    <w:p w:rsidR="00500724" w:rsidRDefault="00F30FB8">
      <w:pPr>
        <w:pStyle w:val="Zkladntext100"/>
        <w:shd w:val="clear" w:color="auto" w:fill="auto"/>
        <w:spacing w:line="264" w:lineRule="auto"/>
      </w:pPr>
      <w:r>
        <w:t xml:space="preserve">Především: </w:t>
      </w:r>
      <w:r>
        <w:rPr>
          <w:lang w:val="en-US" w:eastAsia="en-US" w:bidi="en-US"/>
        </w:rPr>
        <w:t xml:space="preserve">Bismarck </w:t>
      </w:r>
      <w:r>
        <w:t>se rozhodl použiti této nacionální zbraně teprve polom, když se přiblížilo nebezpečí fran</w:t>
      </w:r>
      <w:r>
        <w:softHyphen/>
        <w:t>couzské intervence. Tím, že se dotkl rakouské národnostní otázky, chtěl se zajistit proti r</w:t>
      </w:r>
      <w:r>
        <w:t xml:space="preserve">akouské politice odvety. </w:t>
      </w:r>
      <w:r>
        <w:t>Na</w:t>
      </w:r>
    </w:p>
    <w:p w:rsidR="00500724" w:rsidRDefault="00F30FB8">
      <w:pPr>
        <w:pStyle w:val="Zkladntext100"/>
        <w:shd w:val="clear" w:color="auto" w:fill="auto"/>
        <w:spacing w:after="40" w:line="290" w:lineRule="auto"/>
        <w:ind w:firstLine="0"/>
      </w:pPr>
      <w:r>
        <w:t>Cechy upozornil Bismarcka v tomto ohledu generál Klapka, známá postava maďarské revoluce z r. 1848-49. Ten upo</w:t>
      </w:r>
      <w:r>
        <w:softHyphen/>
        <w:t xml:space="preserve">zornil kancléře na Josefa Friče, kterého považoval za schopného muže pro siylisaci a dopravu proklamací do Cech. </w:t>
      </w:r>
      <w:r>
        <w:rPr>
          <w:lang w:val="en-US" w:eastAsia="en-US" w:bidi="en-US"/>
        </w:rPr>
        <w:t>Bism</w:t>
      </w:r>
      <w:r>
        <w:rPr>
          <w:lang w:val="en-US" w:eastAsia="en-US" w:bidi="en-US"/>
        </w:rPr>
        <w:t xml:space="preserve">arck </w:t>
      </w:r>
      <w:r>
        <w:t>zařadil pak i tento nový bod do svých kombinací. Poněvadž se proti pražské proklamaci pruské</w:t>
      </w:r>
      <w:r>
        <w:softHyphen/>
        <w:t xml:space="preserve">ho velitelství ozvaly ruské námitky, odůvodnil </w:t>
      </w:r>
      <w:r>
        <w:rPr>
          <w:lang w:val="en-US" w:eastAsia="en-US" w:bidi="en-US"/>
        </w:rPr>
        <w:t xml:space="preserve">Bismarck </w:t>
      </w:r>
      <w:r>
        <w:t>smysl provolání v soukromém psaní ministru Eulenburgovi takto: i Kdybychom mohli mírem zajistit nezávi</w:t>
      </w:r>
      <w:r>
        <w:t>slou ústavu Uhersku i Čechám, znamenalo by to i pro budoucnost zá</w:t>
      </w:r>
      <w:r>
        <w:softHyphen/>
        <w:t xml:space="preserve">ruky vůči Rakousku. Tato cesta byla by však odůvodněna teprve potom, kdyby nám teď odmítli laciný mír.« Právě proto, že </w:t>
      </w:r>
      <w:r>
        <w:rPr>
          <w:lang w:val="en-US" w:eastAsia="en-US" w:bidi="en-US"/>
        </w:rPr>
        <w:t xml:space="preserve">Bismarck </w:t>
      </w:r>
      <w:r>
        <w:t>hledal záruky proti dlouhodobému od</w:t>
      </w:r>
      <w:r>
        <w:softHyphen/>
        <w:t xml:space="preserve">poru Rakouska a proti </w:t>
      </w:r>
      <w:r>
        <w:t>francouzskému vměšování, mohl dosáhnouti tohoto cíle diplomaticky jen v tom případě, když měl po ruce také projev českých zástupců. Frič, který se zabýval myšlenkou neutrálního státu mezi německým západem a slovanským východem, sondoval půdu v zmí</w:t>
      </w:r>
      <w:r>
        <w:softHyphen/>
        <w:t>něném sm</w:t>
      </w:r>
      <w:r>
        <w:t>yslu také v Praze, seznamuje Mladočechy s Bis- marckovým pojetím. Narazil však na naprosté odmítnutí. iTimeo Danaos et dona ferentes*, odpověděl za Mlado</w:t>
      </w:r>
      <w:r>
        <w:softHyphen/>
        <w:t>čechy Sladkovský.</w:t>
      </w:r>
    </w:p>
    <w:p w:rsidR="00500724" w:rsidRDefault="00F30FB8">
      <w:pPr>
        <w:pStyle w:val="Zkladntext100"/>
        <w:shd w:val="clear" w:color="auto" w:fill="auto"/>
        <w:spacing w:line="290" w:lineRule="auto"/>
        <w:ind w:firstLine="0"/>
        <w:jc w:val="center"/>
      </w:pPr>
      <w:r>
        <w:t>Bismarckův skutečný cíl</w:t>
      </w:r>
    </w:p>
    <w:p w:rsidR="00500724" w:rsidRDefault="00F30FB8">
      <w:pPr>
        <w:pStyle w:val="Zkladntext100"/>
        <w:shd w:val="clear" w:color="auto" w:fill="auto"/>
        <w:spacing w:line="290" w:lineRule="auto"/>
      </w:pPr>
      <w:r>
        <w:t>Ačkoliv pražská proklamace mluví rozhodně v pro</w:t>
      </w:r>
      <w:r>
        <w:softHyphen/>
        <w:t>spěch Bismar</w:t>
      </w:r>
      <w:r>
        <w:t>ckovy velkorysosti, nepomýšlel kancléř na odtržení českých zemí od Rakouska a tím méně na připo</w:t>
      </w:r>
      <w:r>
        <w:softHyphen/>
        <w:t>jení Cech a Moravy k pruskému státu. Nezasáhl přímo ani do vnitřních poměrů českých zemí. Věděl sice, že někteří vysocí důstojníci, a snad i císař, jsou nakloně</w:t>
      </w:r>
      <w:r>
        <w:t>ni provést strategické opravy hranic, ale bránil se proti tomu houžev</w:t>
      </w:r>
      <w:r>
        <w:softHyphen/>
        <w:t>natě. Získání Cech a Moravy nestanovil vůbec za podmín</w:t>
      </w:r>
      <w:r>
        <w:softHyphen/>
        <w:t>ky míru, i když 8. července prohlásil přímo na bojišti: »To, co máme, podržíme.* Podrobení českých zemí nepovažoval za vhodné ani s</w:t>
      </w:r>
      <w:r>
        <w:t xml:space="preserve"> hlediska nacionálních zájmů, vždyť mu šlo především o vybudování nového německého svazu, to jest o výstavbu německé říše. Prusko mělo hlavně ně</w:t>
      </w:r>
      <w:r>
        <w:softHyphen/>
        <w:t>mecké poslání. Nedivme se, přijal-li tehdejší český tisk oficiální pruská prohlášení s uspokojením.</w:t>
      </w:r>
    </w:p>
    <w:p w:rsidR="00500724" w:rsidRDefault="00F30FB8">
      <w:pPr>
        <w:pStyle w:val="Zkladntext100"/>
        <w:shd w:val="clear" w:color="auto" w:fill="auto"/>
        <w:spacing w:after="40" w:line="290" w:lineRule="auto"/>
      </w:pPr>
      <w:r>
        <w:t>Ačkoli prus</w:t>
      </w:r>
      <w:r>
        <w:t xml:space="preserve">ko-rakouská válka měla prý </w:t>
      </w:r>
      <w:r>
        <w:rPr>
          <w:b/>
          <w:bCs/>
          <w:sz w:val="20"/>
          <w:szCs w:val="20"/>
        </w:rPr>
        <w:t xml:space="preserve">v </w:t>
      </w:r>
      <w:r>
        <w:t>Cechách za následek protigermánskou náladu - Němci mluví o pan- germánském komplexu oficiální české politiky —, nelze ani v následujících letech zjistit u Bismarcka protičeské úmysly nebo zaujetí. Jeho výroky o Ceších jsou vzác</w:t>
      </w:r>
      <w:r>
        <w:t>né, tím důležitější je tedy záznam v deníku tiskového refe</w:t>
      </w:r>
      <w:r>
        <w:softHyphen/>
        <w:t>renta Busche, který si zapsal sšéfova* slova: sCechy je třeba podle možnosti šetřili...« I když ze styků fričovskó emigrace s pruskými politiky nelze odvodili žádnou re</w:t>
      </w:r>
      <w:r>
        <w:softHyphen/>
        <w:t>voluční propagandu s kancléř</w:t>
      </w:r>
      <w:r>
        <w:t>ovým souhlasem nebo vě</w:t>
      </w:r>
      <w:r>
        <w:softHyphen/>
        <w:t xml:space="preserve">domím, nelze také prokázali, že by byl </w:t>
      </w:r>
      <w:r>
        <w:rPr>
          <w:lang w:val="en-US" w:eastAsia="en-US" w:bidi="en-US"/>
        </w:rPr>
        <w:t xml:space="preserve">Bismarck </w:t>
      </w:r>
      <w:r>
        <w:t>pomýšlel na podrobení českých zemí pruskému státu a nové pruské moci.</w:t>
      </w:r>
    </w:p>
    <w:p w:rsidR="00500724" w:rsidRDefault="00F30FB8">
      <w:pPr>
        <w:pStyle w:val="Zkladntext100"/>
        <w:shd w:val="clear" w:color="auto" w:fill="auto"/>
        <w:spacing w:line="264" w:lineRule="auto"/>
        <w:ind w:firstLine="0"/>
        <w:jc w:val="center"/>
      </w:pPr>
      <w:r>
        <w:t>Dvě závěrečné poznámky</w:t>
      </w:r>
    </w:p>
    <w:p w:rsidR="00500724" w:rsidRDefault="00F30FB8">
      <w:pPr>
        <w:pStyle w:val="Zkladntext100"/>
        <w:shd w:val="clear" w:color="auto" w:fill="auto"/>
        <w:spacing w:line="264" w:lineRule="auto"/>
      </w:pPr>
      <w:r>
        <w:t xml:space="preserve">Autor knihy sDie </w:t>
      </w:r>
      <w:r>
        <w:rPr>
          <w:lang w:val="en-US" w:eastAsia="en-US" w:bidi="en-US"/>
        </w:rPr>
        <w:t xml:space="preserve">Tschechen und die </w:t>
      </w:r>
      <w:r>
        <w:t xml:space="preserve">deutsche Frage* ukončil svou studii zvláštním přehledem, </w:t>
      </w:r>
      <w:r>
        <w:t>z kterého citu</w:t>
      </w:r>
      <w:r>
        <w:softHyphen/>
        <w:t>jeme alespoň dvě místa, byť i přímo nesouvisí:</w:t>
      </w:r>
    </w:p>
    <w:p w:rsidR="00500724" w:rsidRDefault="00F30FB8">
      <w:pPr>
        <w:pStyle w:val="Zkladntext100"/>
        <w:shd w:val="clear" w:color="auto" w:fill="auto"/>
        <w:spacing w:after="40" w:line="264" w:lineRule="auto"/>
        <w:sectPr w:rsidR="00500724">
          <w:footnotePr>
            <w:numFmt w:val="chicago"/>
            <w:numRestart w:val="eachPage"/>
          </w:footnotePr>
          <w:type w:val="continuous"/>
          <w:pgSz w:w="11909" w:h="16834"/>
          <w:pgMar w:top="751" w:right="790" w:bottom="976" w:left="733" w:header="0" w:footer="3" w:gutter="0"/>
          <w:cols w:num="2" w:space="100"/>
          <w:noEndnote/>
          <w:docGrid w:linePitch="360"/>
        </w:sectPr>
      </w:pPr>
      <w:r>
        <w:t>Za prvé: iVzrůst národní myšlenky Cechů byl časově</w:t>
      </w:r>
    </w:p>
    <w:p w:rsidR="00500724" w:rsidRDefault="00F30FB8">
      <w:pPr>
        <w:pStyle w:val="Nadpis90"/>
        <w:keepNext/>
        <w:keepLines/>
        <w:shd w:val="clear" w:color="auto" w:fill="auto"/>
        <w:spacing w:after="0"/>
        <w:jc w:val="center"/>
      </w:pPr>
      <w:bookmarkStart w:id="345" w:name="bookmark344"/>
      <w:r>
        <w:rPr>
          <w:rFonts w:ascii="Times New Roman" w:eastAsia="Times New Roman" w:hAnsi="Times New Roman" w:cs="Times New Roman"/>
        </w:rPr>
        <w:t>Přítomnosti</w:t>
      </w:r>
      <w:bookmarkEnd w:id="345"/>
    </w:p>
    <w:p w:rsidR="00500724" w:rsidRDefault="00F30FB8">
      <w:pPr>
        <w:pStyle w:val="Zkladntext40"/>
        <w:pBdr>
          <w:bottom w:val="single" w:sz="4" w:space="0" w:color="auto"/>
        </w:pBdr>
        <w:shd w:val="clear" w:color="auto" w:fill="auto"/>
        <w:spacing w:after="0" w:line="240" w:lineRule="auto"/>
        <w:ind w:left="4580"/>
        <w:jc w:val="left"/>
        <w:rPr>
          <w:sz w:val="14"/>
          <w:szCs w:val="14"/>
        </w:rPr>
        <w:sectPr w:rsidR="00500724">
          <w:footnotePr>
            <w:numFmt w:val="chicago"/>
            <w:numRestart w:val="eachPage"/>
          </w:footnotePr>
          <w:pgSz w:w="11909" w:h="16834"/>
          <w:pgMar w:top="680" w:right="842" w:bottom="605" w:left="727" w:header="0" w:footer="3" w:gutter="0"/>
          <w:cols w:space="720"/>
          <w:noEndnote/>
          <w:docGrid w:linePitch="360"/>
        </w:sectPr>
      </w:pPr>
      <w:r>
        <w:rPr>
          <w:b/>
          <w:bCs/>
          <w:sz w:val="14"/>
          <w:szCs w:val="14"/>
          <w:vertAlign w:val="superscript"/>
        </w:rPr>
        <w:t>111</w:t>
      </w:r>
    </w:p>
    <w:p w:rsidR="00500724" w:rsidRDefault="00F30FB8">
      <w:pPr>
        <w:pStyle w:val="Zkladntext30"/>
        <w:shd w:val="clear" w:color="auto" w:fill="auto"/>
        <w:spacing w:after="0" w:line="226" w:lineRule="auto"/>
        <w:ind w:firstLine="0"/>
        <w:rPr>
          <w:sz w:val="20"/>
          <w:szCs w:val="20"/>
        </w:rPr>
      </w:pPr>
      <w:r>
        <w:rPr>
          <w:b/>
          <w:bCs/>
          <w:sz w:val="20"/>
          <w:szCs w:val="20"/>
        </w:rPr>
        <w:t xml:space="preserve">podmíněný a nezbytný - zvrat této myšlenky </w:t>
      </w:r>
      <w:r>
        <w:rPr>
          <w:b/>
          <w:bCs/>
        </w:rPr>
        <w:t xml:space="preserve">v </w:t>
      </w:r>
      <w:r>
        <w:rPr>
          <w:b/>
          <w:bCs/>
          <w:sz w:val="20"/>
          <w:szCs w:val="20"/>
        </w:rPr>
        <w:t>proti</w:t>
      </w:r>
      <w:r>
        <w:rPr>
          <w:b/>
          <w:bCs/>
          <w:sz w:val="20"/>
          <w:szCs w:val="20"/>
        </w:rPr>
        <w:softHyphen/>
        <w:t xml:space="preserve">německé nacionální </w:t>
      </w:r>
      <w:r>
        <w:rPr>
          <w:b/>
          <w:bCs/>
          <w:sz w:val="20"/>
          <w:szCs w:val="20"/>
        </w:rPr>
        <w:t>vědomí nebyl nutný.*</w:t>
      </w:r>
    </w:p>
    <w:p w:rsidR="00500724" w:rsidRDefault="00F30FB8">
      <w:pPr>
        <w:pStyle w:val="Zkladntext30"/>
        <w:shd w:val="clear" w:color="auto" w:fill="auto"/>
        <w:spacing w:after="340" w:line="240" w:lineRule="auto"/>
        <w:rPr>
          <w:sz w:val="20"/>
          <w:szCs w:val="20"/>
        </w:rPr>
      </w:pPr>
      <w:r>
        <w:rPr>
          <w:b/>
          <w:bCs/>
          <w:sz w:val="20"/>
          <w:szCs w:val="20"/>
        </w:rPr>
        <w:t>A za druhé: «... Německo-české oíázka nezasahuj* pouze do poměru mezi sudeiskými Němci a Cechy nebo mezi rakouskými Němci a Cechy, nýbrž tkví hluboce — &gt; také v letech 1815-1866 - v problému celkového utváření a uspořádání střední Evro</w:t>
      </w:r>
      <w:r>
        <w:rPr>
          <w:b/>
          <w:bCs/>
          <w:sz w:val="20"/>
          <w:szCs w:val="20"/>
        </w:rPr>
        <w:t>py. V této oblasti stojí Češi osudově.i</w:t>
      </w:r>
    </w:p>
    <w:p w:rsidR="00500724" w:rsidRDefault="00F30FB8">
      <w:pPr>
        <w:pStyle w:val="Nadpis90"/>
        <w:keepNext/>
        <w:keepLines/>
        <w:pBdr>
          <w:bottom w:val="single" w:sz="4" w:space="0" w:color="auto"/>
        </w:pBdr>
        <w:shd w:val="clear" w:color="auto" w:fill="auto"/>
        <w:spacing w:after="340"/>
      </w:pPr>
      <w:bookmarkStart w:id="346" w:name="bookmark345"/>
      <w:r>
        <w:rPr>
          <w:rFonts w:ascii="Times New Roman" w:eastAsia="Times New Roman" w:hAnsi="Times New Roman" w:cs="Times New Roman"/>
        </w:rPr>
        <w:t>věda a práce</w:t>
      </w:r>
      <w:bookmarkEnd w:id="346"/>
    </w:p>
    <w:p w:rsidR="00500724" w:rsidRDefault="00F30FB8">
      <w:pPr>
        <w:pStyle w:val="Zkladntext40"/>
        <w:shd w:val="clear" w:color="auto" w:fill="auto"/>
        <w:spacing w:after="0" w:line="350" w:lineRule="auto"/>
      </w:pPr>
      <w:r>
        <w:rPr>
          <w:b/>
          <w:bCs/>
          <w:i/>
          <w:iCs/>
        </w:rPr>
        <w:t xml:space="preserve">C. C. </w:t>
      </w:r>
      <w:r>
        <w:rPr>
          <w:b/>
          <w:bCs/>
          <w:i/>
          <w:iCs/>
          <w:lang w:val="en-US" w:eastAsia="en-US" w:bidi="en-US"/>
        </w:rPr>
        <w:t>Furnas:</w:t>
      </w:r>
    </w:p>
    <w:p w:rsidR="00500724" w:rsidRDefault="00F30FB8">
      <w:pPr>
        <w:pStyle w:val="Jin0"/>
        <w:shd w:val="clear" w:color="auto" w:fill="auto"/>
        <w:spacing w:line="223" w:lineRule="auto"/>
        <w:ind w:firstLine="0"/>
        <w:jc w:val="center"/>
        <w:rPr>
          <w:sz w:val="34"/>
          <w:szCs w:val="34"/>
        </w:rPr>
      </w:pPr>
      <w:r>
        <w:rPr>
          <w:b/>
          <w:bCs/>
          <w:sz w:val="34"/>
          <w:szCs w:val="34"/>
        </w:rPr>
        <w:t>Člověk musí jíst</w:t>
      </w:r>
    </w:p>
    <w:p w:rsidR="00500724" w:rsidRDefault="00F30FB8">
      <w:pPr>
        <w:pStyle w:val="Zkladntext30"/>
        <w:shd w:val="clear" w:color="auto" w:fill="auto"/>
        <w:spacing w:after="60" w:line="240" w:lineRule="auto"/>
        <w:ind w:left="580" w:firstLine="220"/>
        <w:jc w:val="left"/>
        <w:rPr>
          <w:sz w:val="20"/>
          <w:szCs w:val="20"/>
        </w:rPr>
      </w:pPr>
      <w:r>
        <w:rPr>
          <w:sz w:val="20"/>
          <w:szCs w:val="20"/>
        </w:rPr>
        <w:t xml:space="preserve">Úryvek </w:t>
      </w:r>
      <w:r>
        <w:t xml:space="preserve">z </w:t>
      </w:r>
      <w:r>
        <w:rPr>
          <w:sz w:val="20"/>
          <w:szCs w:val="20"/>
        </w:rPr>
        <w:t>knihy »BOJ O CHLÉB*, která Je historií lidského úsilí o zabezpečení výživy.</w:t>
      </w:r>
    </w:p>
    <w:p w:rsidR="00500724" w:rsidRDefault="00F30FB8">
      <w:pPr>
        <w:pStyle w:val="Zkladntext40"/>
        <w:shd w:val="clear" w:color="auto" w:fill="auto"/>
        <w:spacing w:after="0" w:line="379" w:lineRule="auto"/>
        <w:ind w:firstLine="260"/>
        <w:rPr>
          <w:sz w:val="14"/>
          <w:szCs w:val="14"/>
        </w:rPr>
      </w:pPr>
      <w:r>
        <w:rPr>
          <w:b/>
          <w:bCs/>
          <w:sz w:val="14"/>
          <w:szCs w:val="14"/>
        </w:rPr>
        <w:t xml:space="preserve">Na rozdíl od Freuda soudíme, že velkým podněcova- telem lidského rodu byl prázdný </w:t>
      </w:r>
      <w:r>
        <w:rPr>
          <w:b/>
          <w:bCs/>
          <w:sz w:val="14"/>
          <w:szCs w:val="14"/>
        </w:rPr>
        <w:t>žaludek. Počestní de- batéři, i když všecko upřou, jistě souhlasí s tím, že člo</w:t>
      </w:r>
      <w:r>
        <w:rPr>
          <w:b/>
          <w:bCs/>
          <w:sz w:val="14"/>
          <w:szCs w:val="14"/>
        </w:rPr>
        <w:softHyphen/>
        <w:t xml:space="preserve">věk musí jisti. Známý Esau prodal své prvorozenství Jakubovi za »chléb a mísu čočovice* a měl za to, že udělal dobrý obchod. </w:t>
      </w:r>
      <w:r>
        <w:rPr>
          <w:b/>
          <w:bCs/>
          <w:sz w:val="14"/>
          <w:szCs w:val="14"/>
          <w:lang w:val="en-US" w:eastAsia="en-US" w:bidi="en-US"/>
        </w:rPr>
        <w:t xml:space="preserve">Marcus </w:t>
      </w:r>
      <w:r>
        <w:rPr>
          <w:b/>
          <w:bCs/>
          <w:sz w:val="14"/>
          <w:szCs w:val="14"/>
        </w:rPr>
        <w:t>Antonius věnoval svému kuchaři město, poněva</w:t>
      </w:r>
      <w:r>
        <w:rPr>
          <w:b/>
          <w:bCs/>
          <w:sz w:val="14"/>
          <w:szCs w:val="14"/>
        </w:rPr>
        <w:t>dž připravil jídlo, které chutnalo Kleopatře. Také oni byli jistě spokojeni.</w:t>
      </w:r>
    </w:p>
    <w:p w:rsidR="00500724" w:rsidRDefault="00F30FB8">
      <w:pPr>
        <w:pStyle w:val="Zkladntext40"/>
        <w:shd w:val="clear" w:color="auto" w:fill="auto"/>
        <w:spacing w:after="140" w:line="377" w:lineRule="auto"/>
        <w:ind w:firstLine="260"/>
        <w:rPr>
          <w:sz w:val="14"/>
          <w:szCs w:val="14"/>
        </w:rPr>
      </w:pPr>
      <w:r>
        <w:rPr>
          <w:b/>
          <w:bCs/>
          <w:sz w:val="14"/>
          <w:szCs w:val="14"/>
        </w:rPr>
        <w:t xml:space="preserve">Je známo, že někteří lidé dovedli hladověti až šedesát dní, několikadenní hlad dovede však přivésti člověka do divoké a nebezpečné nálady. Má-li člověk skutečně hlad, málo se ptá </w:t>
      </w:r>
      <w:r>
        <w:rPr>
          <w:b/>
          <w:bCs/>
          <w:sz w:val="14"/>
          <w:szCs w:val="14"/>
        </w:rPr>
        <w:t xml:space="preserve">po zdroji, hygieně a čistotě potravy. Tradičním hodem arktického trosečníka bývá maso jeho psů, af byli věrní čili nic. Vypráví se v klubech polárníků historka o severákem ošlehaném osamělci, který vyrovnával svou sympatii ke psu a svůj hlad tím způsobem, </w:t>
      </w:r>
      <w:r>
        <w:rPr>
          <w:b/>
          <w:bCs/>
          <w:sz w:val="14"/>
          <w:szCs w:val="14"/>
        </w:rPr>
        <w:t>že uřezával psovi denně kousek ohonu, snědl ždibec masa, který na něm byl, a házel psovi zbylou kest. Když dojdou psi, dojde na kůži z bot. Její výživná hodnota je pochybná, je to však dobrý zdroj historek. Někteří afričtí domorodci z okolí jezera Tanganyi</w:t>
      </w:r>
      <w:r>
        <w:rPr>
          <w:b/>
          <w:bCs/>
          <w:sz w:val="14"/>
          <w:szCs w:val="14"/>
        </w:rPr>
        <w:t>ky byli z dobrého pramene obviněni, že jako samozřejmou věc pojídají všecky zdechliny, na které přijdou, a že do</w:t>
      </w:r>
      <w:r>
        <w:rPr>
          <w:b/>
          <w:bCs/>
          <w:sz w:val="14"/>
          <w:szCs w:val="14"/>
        </w:rPr>
        <w:softHyphen/>
        <w:t>konce vyhrabávají a požírají zbytky svých příbuzných, kteří zemřeli na různé nemoci. A když ubývalo potravy, začali záhadně mizeti lidé staršíh</w:t>
      </w:r>
      <w:r>
        <w:rPr>
          <w:b/>
          <w:bCs/>
          <w:sz w:val="14"/>
          <w:szCs w:val="14"/>
        </w:rPr>
        <w:t>o věku, sedmdesátníci. Nežli je snědli, nechávali shniti mrtvoly tím, že je potá</w:t>
      </w:r>
      <w:r>
        <w:rPr>
          <w:b/>
          <w:bCs/>
          <w:sz w:val="14"/>
          <w:szCs w:val="14"/>
        </w:rPr>
        <w:softHyphen/>
        <w:t>pěli na delší dobu do vodního proudu. Divoši z Tierry- del Fuego ještě před nějakými třiceti lety pojídali pra</w:t>
      </w:r>
      <w:r>
        <w:rPr>
          <w:b/>
          <w:bCs/>
          <w:sz w:val="14"/>
          <w:szCs w:val="14"/>
        </w:rPr>
        <w:softHyphen/>
        <w:t>videlně psy, dávali však přednost starým ženám, byly-li jaké. Be</w:t>
      </w:r>
      <w:r>
        <w:rPr>
          <w:b/>
          <w:bCs/>
          <w:sz w:val="14"/>
          <w:szCs w:val="14"/>
        </w:rPr>
        <w:t>zohledný a odvážný kapitán Ahab z »Bílé vel</w:t>
      </w:r>
      <w:r>
        <w:rPr>
          <w:b/>
          <w:bCs/>
          <w:sz w:val="14"/>
          <w:szCs w:val="14"/>
        </w:rPr>
        <w:softHyphen/>
        <w:t xml:space="preserve">ryby* připouštěl požívání lidského masa za doby dlouhotrvajícího hladu, a jeho teorie byla, že mrtvola má Více ceny pro živé lidi nežli pro ryby. V dobách veliká bídy za války nebo hladomoru často se vyskytovaly </w:t>
      </w:r>
      <w:r>
        <w:rPr>
          <w:b/>
          <w:bCs/>
          <w:sz w:val="14"/>
          <w:szCs w:val="14"/>
        </w:rPr>
        <w:t>pří</w:t>
      </w:r>
      <w:r>
        <w:rPr>
          <w:b/>
          <w:bCs/>
          <w:sz w:val="14"/>
          <w:szCs w:val="14"/>
        </w:rPr>
        <w:softHyphen/>
        <w:t xml:space="preserve">pady kanibalismu i mezi národy, které jsou pro svou civilisaci pokládány za prvořadé. Přijde-li hlad, musí se s ním něco udělati. I velební poutníci z lodi </w:t>
      </w:r>
      <w:r>
        <w:rPr>
          <w:b/>
          <w:bCs/>
          <w:sz w:val="14"/>
          <w:szCs w:val="14"/>
          <w:lang w:val="en-US" w:eastAsia="en-US" w:bidi="en-US"/>
        </w:rPr>
        <w:t xml:space="preserve">Mayflower </w:t>
      </w:r>
      <w:r>
        <w:rPr>
          <w:b/>
          <w:bCs/>
          <w:sz w:val="14"/>
          <w:szCs w:val="14"/>
        </w:rPr>
        <w:t>&gt;okrádali ve dne v noci Indiány*, když na ně dolehl hlad.</w:t>
      </w:r>
    </w:p>
    <w:p w:rsidR="00500724" w:rsidRDefault="00F30FB8">
      <w:pPr>
        <w:pStyle w:val="Zkladntext80"/>
        <w:shd w:val="clear" w:color="auto" w:fill="auto"/>
        <w:spacing w:after="240" w:line="240" w:lineRule="auto"/>
        <w:jc w:val="both"/>
        <w:rPr>
          <w:sz w:val="20"/>
          <w:szCs w:val="20"/>
        </w:rPr>
      </w:pPr>
      <w:r>
        <w:rPr>
          <w:b w:val="0"/>
          <w:bCs w:val="0"/>
          <w:i/>
          <w:iCs/>
          <w:sz w:val="20"/>
          <w:szCs w:val="20"/>
        </w:rPr>
        <w:t>2i4</w:t>
      </w:r>
    </w:p>
    <w:p w:rsidR="00500724" w:rsidRDefault="00F30FB8">
      <w:pPr>
        <w:spacing w:line="1" w:lineRule="exact"/>
        <w:rPr>
          <w:sz w:val="2"/>
          <w:szCs w:val="2"/>
        </w:rPr>
      </w:pPr>
      <w:r>
        <w:br w:type="column"/>
      </w:r>
    </w:p>
    <w:p w:rsidR="00500724" w:rsidRDefault="00F30FB8">
      <w:pPr>
        <w:pStyle w:val="Zkladntext40"/>
        <w:shd w:val="clear" w:color="auto" w:fill="auto"/>
        <w:spacing w:after="0" w:line="377" w:lineRule="auto"/>
        <w:ind w:firstLine="220"/>
        <w:rPr>
          <w:sz w:val="14"/>
          <w:szCs w:val="14"/>
        </w:rPr>
      </w:pPr>
      <w:r>
        <w:rPr>
          <w:b/>
          <w:bCs/>
          <w:sz w:val="14"/>
          <w:szCs w:val="14"/>
        </w:rPr>
        <w:t>Je to patrně známkou c</w:t>
      </w:r>
      <w:r>
        <w:rPr>
          <w:b/>
          <w:bCs/>
          <w:sz w:val="14"/>
          <w:szCs w:val="14"/>
        </w:rPr>
        <w:t>ivilisace, že hladový člověk stane se dříve zlodějem, nežli pojídačem mršin. Avšak i člověk vyšší kultury bude se raději prohrabovati v ná</w:t>
      </w:r>
      <w:r>
        <w:rPr>
          <w:b/>
          <w:bCs/>
          <w:sz w:val="14"/>
          <w:szCs w:val="14"/>
        </w:rPr>
        <w:softHyphen/>
        <w:t>dobách na odpadky, nežli by hladověl. Ti, kdo často říkají »raději budu mít hlad*, nikdy doopravdy nebyli hladoví. Čl</w:t>
      </w:r>
      <w:r>
        <w:rPr>
          <w:b/>
          <w:bCs/>
          <w:sz w:val="14"/>
          <w:szCs w:val="14"/>
        </w:rPr>
        <w:t>ověk, který je deset dní bez potravy, je všude stejný. Je to málo jemné a pravděpodobně nebezpečné individuum.</w:t>
      </w:r>
    </w:p>
    <w:p w:rsidR="00500724" w:rsidRDefault="00F30FB8">
      <w:pPr>
        <w:pStyle w:val="Zkladntext40"/>
        <w:shd w:val="clear" w:color="auto" w:fill="auto"/>
        <w:spacing w:after="0" w:line="377" w:lineRule="auto"/>
        <w:ind w:firstLine="220"/>
        <w:rPr>
          <w:sz w:val="14"/>
          <w:szCs w:val="14"/>
        </w:rPr>
      </w:pPr>
      <w:r>
        <w:rPr>
          <w:b/>
          <w:bCs/>
          <w:sz w:val="14"/>
          <w:szCs w:val="14"/>
        </w:rPr>
        <w:t xml:space="preserve">Kapitán </w:t>
      </w:r>
      <w:r>
        <w:rPr>
          <w:b/>
          <w:bCs/>
          <w:sz w:val="14"/>
          <w:szCs w:val="14"/>
          <w:lang w:val="en-US" w:eastAsia="en-US" w:bidi="en-US"/>
        </w:rPr>
        <w:t xml:space="preserve">Grey </w:t>
      </w:r>
      <w:r>
        <w:rPr>
          <w:b/>
          <w:bCs/>
          <w:sz w:val="14"/>
          <w:szCs w:val="14"/>
        </w:rPr>
        <w:t>pěkně popisuje australské domorodce jak tančí a řvou radostí, když moře vyvrhne na břeh shnilou velrybu. ^Natírali svá těla a těla s</w:t>
      </w:r>
      <w:r>
        <w:rPr>
          <w:b/>
          <w:bCs/>
          <w:sz w:val="14"/>
          <w:szCs w:val="14"/>
        </w:rPr>
        <w:t>vých oblíbe</w:t>
      </w:r>
      <w:r>
        <w:rPr>
          <w:b/>
          <w:bCs/>
          <w:sz w:val="14"/>
          <w:szCs w:val="14"/>
        </w:rPr>
        <w:softHyphen/>
        <w:t>ných žen velrybím tukem. Potom si prorazili cestu vrst</w:t>
      </w:r>
      <w:r>
        <w:rPr>
          <w:b/>
          <w:bCs/>
          <w:sz w:val="14"/>
          <w:szCs w:val="14"/>
        </w:rPr>
        <w:softHyphen/>
        <w:t>vou velrybího tuku do libového masa ... Bylo viděti, jak lezou po zapáchající zdechlině, hledajíce chutnější sou</w:t>
      </w:r>
      <w:r>
        <w:rPr>
          <w:b/>
          <w:bCs/>
          <w:sz w:val="14"/>
          <w:szCs w:val="14"/>
        </w:rPr>
        <w:softHyphen/>
        <w:t xml:space="preserve">sto ... Domorodci zůstali čtyři dny u zdechliny, pokryti od hlavy až k patě </w:t>
      </w:r>
      <w:r>
        <w:rPr>
          <w:b/>
          <w:bCs/>
          <w:sz w:val="14"/>
          <w:szCs w:val="14"/>
        </w:rPr>
        <w:t>smrdutým tukem, přecpáni shnilou stravou, hádajíce se a rvouce a postiženi odpuzující kož</w:t>
      </w:r>
      <w:r>
        <w:rPr>
          <w:b/>
          <w:bCs/>
          <w:sz w:val="14"/>
          <w:szCs w:val="14"/>
        </w:rPr>
        <w:softHyphen/>
        <w:t>ní chorobou, vzniklou po požití této strašlivé potravy.*</w:t>
      </w:r>
    </w:p>
    <w:p w:rsidR="00500724" w:rsidRDefault="00F30FB8">
      <w:pPr>
        <w:pStyle w:val="Zkladntext40"/>
        <w:shd w:val="clear" w:color="auto" w:fill="auto"/>
        <w:spacing w:after="80" w:line="377" w:lineRule="auto"/>
        <w:ind w:firstLine="220"/>
        <w:rPr>
          <w:sz w:val="14"/>
          <w:szCs w:val="14"/>
        </w:rPr>
      </w:pPr>
      <w:r>
        <w:rPr>
          <w:b/>
          <w:bCs/>
          <w:sz w:val="14"/>
          <w:szCs w:val="14"/>
        </w:rPr>
        <w:t>Naši dávní předkové chovali se asi podobně. Třebaže jejich život podle našeho názoru byl nechutný, přečkali v</w:t>
      </w:r>
      <w:r>
        <w:rPr>
          <w:b/>
          <w:bCs/>
          <w:sz w:val="14"/>
          <w:szCs w:val="14"/>
        </w:rPr>
        <w:t>še a proměnili svůj život v dobré dílo. Přes zápach a mikroorganismy některé z jejich odporných praktik byly po stránce výživné rozumné. Jisti všechny části velryby nebo jiného živočicha je pro lidskou bytost nesmírně důležité, jak odborníci výživy za naši</w:t>
      </w:r>
      <w:r>
        <w:rPr>
          <w:b/>
          <w:bCs/>
          <w:sz w:val="14"/>
          <w:szCs w:val="14"/>
        </w:rPr>
        <w:t>ch dnů rychle potvrdí. Moderní člověk ohrnuje nos nad někte</w:t>
      </w:r>
      <w:r>
        <w:rPr>
          <w:b/>
          <w:bCs/>
          <w:sz w:val="14"/>
          <w:szCs w:val="14"/>
        </w:rPr>
        <w:softHyphen/>
        <w:t>rými částkami zvířete, a to k své vlastní škodě. I vtírání velrybího tuku do kůže má svůj význam, poněvadž je dokázáno, že touto procedurou dostává se vitamin D kostem, zubům a nemluvňatům. Třebaž</w:t>
      </w:r>
      <w:r>
        <w:rPr>
          <w:b/>
          <w:bCs/>
          <w:sz w:val="14"/>
          <w:szCs w:val="14"/>
        </w:rPr>
        <w:t>e to má své so</w:t>
      </w:r>
      <w:r>
        <w:rPr>
          <w:b/>
          <w:bCs/>
          <w:sz w:val="14"/>
          <w:szCs w:val="14"/>
        </w:rPr>
        <w:softHyphen/>
        <w:t>ciální nevýhody, po stránce dietetické velmi mnoho mluví pro to, aby se jedli celí, nevaření živočichové — jak podrobněji uvidíme, až budeme uvažovati, které věci ztratil civilisovaný člověk svou kulturou.</w:t>
      </w:r>
    </w:p>
    <w:p w:rsidR="00500724" w:rsidRDefault="00F30FB8">
      <w:pPr>
        <w:pStyle w:val="Zkladntext40"/>
        <w:shd w:val="clear" w:color="auto" w:fill="auto"/>
        <w:spacing w:after="0" w:line="382" w:lineRule="auto"/>
        <w:jc w:val="center"/>
        <w:rPr>
          <w:sz w:val="14"/>
          <w:szCs w:val="14"/>
        </w:rPr>
      </w:pPr>
      <w:r>
        <w:rPr>
          <w:b/>
          <w:bCs/>
          <w:sz w:val="14"/>
          <w:szCs w:val="14"/>
        </w:rPr>
        <w:t>Co vše není lahůdkou</w:t>
      </w:r>
    </w:p>
    <w:p w:rsidR="00500724" w:rsidRDefault="00F30FB8">
      <w:pPr>
        <w:pStyle w:val="Zkladntext40"/>
        <w:shd w:val="clear" w:color="auto" w:fill="auto"/>
        <w:spacing w:after="0" w:line="382" w:lineRule="auto"/>
        <w:ind w:firstLine="220"/>
        <w:rPr>
          <w:sz w:val="14"/>
          <w:szCs w:val="14"/>
        </w:rPr>
      </w:pPr>
      <w:r>
        <w:rPr>
          <w:b/>
          <w:bCs/>
          <w:sz w:val="14"/>
          <w:szCs w:val="14"/>
        </w:rPr>
        <w:t>Lidské lahůdky</w:t>
      </w:r>
      <w:r>
        <w:rPr>
          <w:b/>
          <w:bCs/>
          <w:sz w:val="14"/>
          <w:szCs w:val="14"/>
        </w:rPr>
        <w:t xml:space="preserve"> pozůstávaly čas od času ze sviňských vemen, leopardích děloh, živých myších zárodků a mra</w:t>
      </w:r>
      <w:r>
        <w:rPr>
          <w:b/>
          <w:bCs/>
          <w:sz w:val="14"/>
          <w:szCs w:val="14"/>
        </w:rPr>
        <w:softHyphen/>
        <w:t xml:space="preserve">venců pražených jako kukuřice, abychom se jen zmínili o několika lepších ukázkách. Dnes říká nám náš cit, že pojídání takových věcí hraničí na mrchožroutství a mělo </w:t>
      </w:r>
      <w:r>
        <w:rPr>
          <w:b/>
          <w:bCs/>
          <w:sz w:val="14"/>
          <w:szCs w:val="14"/>
        </w:rPr>
        <w:t>by býti vyhrazeno potkanům a mouchám, lidem však to své doby šlo docela k duhu. Skoro vše, co se dá rozmělnit mezi zuby, bylo zkoušeno jako potrava a na</w:t>
      </w:r>
      <w:r>
        <w:rPr>
          <w:b/>
          <w:bCs/>
          <w:sz w:val="14"/>
          <w:szCs w:val="14"/>
        </w:rPr>
        <w:softHyphen/>
        <w:t>lezeno v mnohých případech vhodným. Indiáni z okolí Písečného jezera vařili králičí bobky s rýží, ktero</w:t>
      </w:r>
      <w:r>
        <w:rPr>
          <w:b/>
          <w:bCs/>
          <w:sz w:val="14"/>
          <w:szCs w:val="14"/>
        </w:rPr>
        <w:t>u tím</w:t>
      </w:r>
      <w:r>
        <w:rPr>
          <w:b/>
          <w:bCs/>
          <w:sz w:val="14"/>
          <w:szCs w:val="14"/>
        </w:rPr>
        <w:softHyphen/>
        <w:t>to způsobem okořenili. Největší lahůdkou jihoameric</w:t>
      </w:r>
      <w:r>
        <w:rPr>
          <w:b/>
          <w:bCs/>
          <w:sz w:val="14"/>
          <w:szCs w:val="14"/>
        </w:rPr>
        <w:softHyphen/>
        <w:t xml:space="preserve">kých Coroádů ještě dříve nežli byli poskvrněni </w:t>
      </w:r>
      <w:r>
        <w:rPr>
          <w:b/>
          <w:bCs/>
          <w:sz w:val="14"/>
          <w:szCs w:val="14"/>
          <w:lang w:val="en-US" w:eastAsia="en-US" w:bidi="en-US"/>
        </w:rPr>
        <w:t>civili</w:t>
      </w:r>
      <w:r>
        <w:rPr>
          <w:b/>
          <w:bCs/>
          <w:sz w:val="14"/>
          <w:szCs w:val="14"/>
          <w:lang w:val="en-US" w:eastAsia="en-US" w:bidi="en-US"/>
        </w:rPr>
        <w:softHyphen/>
        <w:t xml:space="preserve">saci, </w:t>
      </w:r>
      <w:r>
        <w:rPr>
          <w:b/>
          <w:bCs/>
          <w:sz w:val="14"/>
          <w:szCs w:val="14"/>
        </w:rPr>
        <w:t>byla smažená střeva s původním obsahem. Kali</w:t>
      </w:r>
      <w:r>
        <w:rPr>
          <w:b/>
          <w:bCs/>
          <w:sz w:val="14"/>
          <w:szCs w:val="14"/>
        </w:rPr>
        <w:softHyphen/>
        <w:t>fornští Indiáni z kmene Porno měli kdysi na svém jídel</w:t>
      </w:r>
      <w:r>
        <w:rPr>
          <w:b/>
          <w:bCs/>
          <w:sz w:val="14"/>
          <w:szCs w:val="14"/>
        </w:rPr>
        <w:softHyphen/>
        <w:t xml:space="preserve">ním lístku vilejše, snad zdravou, ale </w:t>
      </w:r>
      <w:r>
        <w:rPr>
          <w:b/>
          <w:bCs/>
          <w:sz w:val="14"/>
          <w:szCs w:val="14"/>
        </w:rPr>
        <w:t>trochu drsnou stra</w:t>
      </w:r>
      <w:r>
        <w:rPr>
          <w:b/>
          <w:bCs/>
          <w:sz w:val="14"/>
          <w:szCs w:val="14"/>
        </w:rPr>
        <w:softHyphen/>
        <w:t>vu do žaludku. Za dob, nežli přišel bílý muž, stačilo trochu hladu po rostlinné stravě, aby Eskymáci z Koru</w:t>
      </w:r>
      <w:r>
        <w:rPr>
          <w:b/>
          <w:bCs/>
          <w:sz w:val="14"/>
          <w:szCs w:val="14"/>
        </w:rPr>
        <w:softHyphen/>
        <w:t>novačního zálivu sbírali na sněhu jelení trus. Trus jele</w:t>
      </w:r>
      <w:r>
        <w:rPr>
          <w:b/>
          <w:bCs/>
          <w:sz w:val="14"/>
          <w:szCs w:val="14"/>
        </w:rPr>
        <w:softHyphen/>
        <w:t>na karibu byl dáván do černé polévky, aby ji zahustil, kteroužto úlohu z</w:t>
      </w:r>
      <w:r>
        <w:rPr>
          <w:b/>
          <w:bCs/>
          <w:sz w:val="14"/>
          <w:szCs w:val="14"/>
        </w:rPr>
        <w:t>dařile plnil.</w:t>
      </w:r>
      <w:r>
        <w:br w:type="page"/>
      </w:r>
    </w:p>
    <w:p w:rsidR="00500724" w:rsidRDefault="00F30FB8">
      <w:pPr>
        <w:pStyle w:val="Zkladntext40"/>
        <w:shd w:val="clear" w:color="auto" w:fill="auto"/>
        <w:spacing w:after="0" w:line="379" w:lineRule="auto"/>
        <w:ind w:firstLine="220"/>
        <w:rPr>
          <w:sz w:val="14"/>
          <w:szCs w:val="14"/>
        </w:rPr>
      </w:pPr>
      <w:r>
        <w:rPr>
          <w:b/>
          <w:bCs/>
          <w:sz w:val="14"/>
          <w:szCs w:val="14"/>
        </w:rPr>
        <w:t>Kdysi za doby hladu, když přišla krise ohlášená Malthusem, v Anglii bylo tak málo potravin, že pěkná krysa, živá či mrtvá, stála šilink, v dnešní měně nejmé</w:t>
      </w:r>
      <w:r>
        <w:rPr>
          <w:b/>
          <w:bCs/>
          <w:sz w:val="14"/>
          <w:szCs w:val="14"/>
        </w:rPr>
        <w:softHyphen/>
        <w:t xml:space="preserve">ně libru šterlinků. V některých krajích pojídání krys není známkou nízké úrovně, </w:t>
      </w:r>
      <w:r>
        <w:rPr>
          <w:b/>
          <w:bCs/>
          <w:sz w:val="14"/>
          <w:szCs w:val="14"/>
        </w:rPr>
        <w:t>neboť pokládají je tam za zcela slušnou stravu. Vešly i do akademické svatyně v polovině devatenáctého století, když určitá část cam- bridgské university zkoumala krysy jako potravu. Shod</w:t>
      </w:r>
      <w:r>
        <w:rPr>
          <w:b/>
          <w:bCs/>
          <w:sz w:val="14"/>
          <w:szCs w:val="14"/>
        </w:rPr>
        <w:softHyphen/>
        <w:t>li se na tom, že třebaže krysa není lahůdkou, je zdravou a lákavou p</w:t>
      </w:r>
      <w:r>
        <w:rPr>
          <w:b/>
          <w:bCs/>
          <w:sz w:val="14"/>
          <w:szCs w:val="14"/>
        </w:rPr>
        <w:t>otravou pro hladového člověka. Konečná zpráva zněla takto:</w:t>
      </w:r>
    </w:p>
    <w:p w:rsidR="00500724" w:rsidRDefault="00F30FB8">
      <w:pPr>
        <w:pStyle w:val="Zkladntext30"/>
        <w:shd w:val="clear" w:color="auto" w:fill="auto"/>
        <w:spacing w:after="0" w:line="240" w:lineRule="auto"/>
        <w:ind w:left="580" w:right="860" w:firstLine="0"/>
        <w:jc w:val="left"/>
        <w:rPr>
          <w:sz w:val="20"/>
          <w:szCs w:val="20"/>
        </w:rPr>
      </w:pPr>
      <w:r>
        <w:rPr>
          <w:sz w:val="20"/>
          <w:szCs w:val="20"/>
        </w:rPr>
        <w:t>Krysa není sice jídlo pro královský stůl, pro člověka hladového je však blaha důl.</w:t>
      </w:r>
    </w:p>
    <w:p w:rsidR="00500724" w:rsidRDefault="00F30FB8">
      <w:pPr>
        <w:pStyle w:val="Zkladntext30"/>
        <w:shd w:val="clear" w:color="auto" w:fill="auto"/>
        <w:spacing w:after="220" w:line="240" w:lineRule="auto"/>
        <w:ind w:left="580" w:right="500" w:firstLine="0"/>
        <w:jc w:val="left"/>
        <w:rPr>
          <w:sz w:val="20"/>
          <w:szCs w:val="20"/>
        </w:rPr>
      </w:pPr>
      <w:r>
        <w:rPr>
          <w:sz w:val="20"/>
          <w:szCs w:val="20"/>
        </w:rPr>
        <w:t>Na ohni peč zvolna krysu v tučném špeku, do zlatova, do kůrčičky, pak se dočkáš vděku.</w:t>
      </w:r>
    </w:p>
    <w:p w:rsidR="00500724" w:rsidRDefault="00F30FB8">
      <w:pPr>
        <w:pStyle w:val="Zkladntext40"/>
        <w:shd w:val="clear" w:color="auto" w:fill="auto"/>
        <w:spacing w:after="40" w:line="379" w:lineRule="auto"/>
        <w:ind w:right="100"/>
        <w:jc w:val="center"/>
        <w:rPr>
          <w:sz w:val="14"/>
          <w:szCs w:val="14"/>
        </w:rPr>
      </w:pPr>
      <w:r>
        <w:rPr>
          <w:b/>
          <w:bCs/>
          <w:sz w:val="14"/>
          <w:szCs w:val="14"/>
        </w:rPr>
        <w:t>Nouzové vegetariánství</w:t>
      </w:r>
    </w:p>
    <w:p w:rsidR="00500724" w:rsidRDefault="00F30FB8">
      <w:pPr>
        <w:pStyle w:val="Zkladntext40"/>
        <w:shd w:val="clear" w:color="auto" w:fill="auto"/>
        <w:spacing w:after="0" w:line="379" w:lineRule="auto"/>
        <w:ind w:firstLine="220"/>
        <w:rPr>
          <w:sz w:val="14"/>
          <w:szCs w:val="14"/>
        </w:rPr>
      </w:pPr>
      <w:r>
        <w:rPr>
          <w:b/>
          <w:bCs/>
          <w:sz w:val="14"/>
          <w:szCs w:val="14"/>
        </w:rPr>
        <w:t xml:space="preserve">Je </w:t>
      </w:r>
      <w:r>
        <w:rPr>
          <w:b/>
          <w:bCs/>
          <w:sz w:val="14"/>
          <w:szCs w:val="14"/>
        </w:rPr>
        <w:t>zajímavé, že většinu jídel, která po gastronomické stránce pokládáme za odporná, jsou živočišného půvo</w:t>
      </w:r>
      <w:r>
        <w:rPr>
          <w:b/>
          <w:bCs/>
          <w:sz w:val="14"/>
          <w:szCs w:val="14"/>
        </w:rPr>
        <w:softHyphen/>
        <w:t>du. Rostlinné látky mohou snad působit našemu žaludku více škody, avšak civilisované nosy a chuťové pohárky nepokládají je za tak škodlivé. V devatenácté</w:t>
      </w:r>
      <w:r>
        <w:rPr>
          <w:b/>
          <w:bCs/>
          <w:sz w:val="14"/>
          <w:szCs w:val="14"/>
        </w:rPr>
        <w:t xml:space="preserve">m století doháněla krajní bída švédské sedláky a pravděpodobně i jiné lidi k tomu, že se živili pečivem ze stromové kůry. Užívali k tomu obyčejně břízy, kůra z borovice byla přepychové a sváteční jídlo. Američtí Indiáni z lesních krajin odedávna soupeřili </w:t>
      </w:r>
      <w:r>
        <w:rPr>
          <w:b/>
          <w:bCs/>
          <w:sz w:val="14"/>
          <w:szCs w:val="14"/>
        </w:rPr>
        <w:t>s bobry v pojídání jemnějších druhů kůry. Irokézští Indiáni se specialisovali na jilm a lipové dřevo. Birmanský domorodec v lese nikdy ne- hladoví: takřka každý kořen nebo větev jsou pro něj jídlem. My, civilisovaní národové, nepokládáme tento způsob za sk</w:t>
      </w:r>
      <w:r>
        <w:rPr>
          <w:b/>
          <w:bCs/>
          <w:sz w:val="14"/>
          <w:szCs w:val="14"/>
        </w:rPr>
        <w:t>vělý, avšak kůra je jistě méně odporná nežli australská velryba, vyvržená na pobřeží, nebo mrtví příbuzní, třebaže daleko není tak výživná a cenná pro žaludek.</w:t>
      </w:r>
    </w:p>
    <w:p w:rsidR="00500724" w:rsidRDefault="00F30FB8">
      <w:pPr>
        <w:pStyle w:val="Zkladntext40"/>
        <w:shd w:val="clear" w:color="auto" w:fill="auto"/>
        <w:spacing w:after="0" w:line="379" w:lineRule="auto"/>
        <w:ind w:firstLine="220"/>
        <w:rPr>
          <w:sz w:val="14"/>
          <w:szCs w:val="14"/>
        </w:rPr>
      </w:pPr>
      <w:r>
        <w:rPr>
          <w:b/>
          <w:bCs/>
          <w:sz w:val="14"/>
          <w:szCs w:val="14"/>
        </w:rPr>
        <w:t>Spousta lidí pojídá hlínu. Někdy to bývá hlad po ne</w:t>
      </w:r>
      <w:r>
        <w:rPr>
          <w:b/>
          <w:bCs/>
          <w:sz w:val="14"/>
          <w:szCs w:val="14"/>
        </w:rPr>
        <w:softHyphen/>
        <w:t>rostných součástkách, který se ukojuje někte</w:t>
      </w:r>
      <w:r>
        <w:rPr>
          <w:b/>
          <w:bCs/>
          <w:sz w:val="14"/>
          <w:szCs w:val="14"/>
        </w:rPr>
        <w:t>rými lát</w:t>
      </w:r>
      <w:r>
        <w:rPr>
          <w:b/>
          <w:bCs/>
          <w:sz w:val="14"/>
          <w:szCs w:val="14"/>
        </w:rPr>
        <w:softHyphen/>
        <w:t>kami v půdě — když děti jedí písek, může to být z roz</w:t>
      </w:r>
      <w:r>
        <w:rPr>
          <w:b/>
          <w:bCs/>
          <w:sz w:val="14"/>
          <w:szCs w:val="14"/>
        </w:rPr>
        <w:softHyphen/>
        <w:t>pustilosti, ale také z podvýživy — většinou však pojí</w:t>
      </w:r>
      <w:r>
        <w:rPr>
          <w:b/>
          <w:bCs/>
          <w:sz w:val="14"/>
          <w:szCs w:val="14"/>
        </w:rPr>
        <w:softHyphen/>
        <w:t>dání hlíny má svou příčinu ve vyhladovění a bývá to zoufalý pokus utišiti bolest z hladu. Někteří afričtí do</w:t>
      </w:r>
      <w:r>
        <w:rPr>
          <w:b/>
          <w:bCs/>
          <w:sz w:val="14"/>
          <w:szCs w:val="14"/>
        </w:rPr>
        <w:softHyphen/>
        <w:t>morodci pudově a pravidelně po</w:t>
      </w:r>
      <w:r>
        <w:rPr>
          <w:b/>
          <w:bCs/>
          <w:sz w:val="14"/>
          <w:szCs w:val="14"/>
        </w:rPr>
        <w:t>jídají velké množství bílého jílu, plného ústrojné drti. Těhotné ženy někte</w:t>
      </w:r>
      <w:r>
        <w:rPr>
          <w:b/>
          <w:bCs/>
          <w:sz w:val="14"/>
          <w:szCs w:val="14"/>
        </w:rPr>
        <w:softHyphen/>
        <w:t>rých východoindických a afrických kmenů jsou tak moudré, že pálí hromady býlí a listí a popel z nich po</w:t>
      </w:r>
      <w:r>
        <w:rPr>
          <w:b/>
          <w:bCs/>
          <w:sz w:val="14"/>
          <w:szCs w:val="14"/>
        </w:rPr>
        <w:softHyphen/>
        <w:t>jídají. V popeli je snadno stravitelný vápník, vhodný pro stavbu kostí dítět</w:t>
      </w:r>
      <w:r>
        <w:rPr>
          <w:b/>
          <w:bCs/>
          <w:sz w:val="14"/>
          <w:szCs w:val="14"/>
        </w:rPr>
        <w:t xml:space="preserve">e a pro zachování zubů dospělého. Indiáni užívali popele obyčejně jako koření. Také na Tasmánii koření domorodci jídla popelem. </w:t>
      </w:r>
      <w:r>
        <w:rPr>
          <w:b/>
          <w:bCs/>
          <w:sz w:val="14"/>
          <w:szCs w:val="14"/>
          <w:lang w:val="en-US" w:eastAsia="en-US" w:bidi="en-US"/>
        </w:rPr>
        <w:t xml:space="preserve">George Catlin, </w:t>
      </w:r>
      <w:r>
        <w:rPr>
          <w:b/>
          <w:bCs/>
          <w:sz w:val="14"/>
          <w:szCs w:val="14"/>
        </w:rPr>
        <w:t>který namaloval sta indiánských portrétů, setkal se s některými Indiány, kteří nejedli po dlouhou dobu nic jiného</w:t>
      </w:r>
      <w:r>
        <w:rPr>
          <w:b/>
          <w:bCs/>
          <w:sz w:val="14"/>
          <w:szCs w:val="14"/>
        </w:rPr>
        <w:t>, nežli libru země denně.</w:t>
      </w:r>
    </w:p>
    <w:p w:rsidR="00500724" w:rsidRDefault="00F30FB8">
      <w:pPr>
        <w:pStyle w:val="Zkladntext40"/>
        <w:shd w:val="clear" w:color="auto" w:fill="auto"/>
        <w:spacing w:after="200" w:line="379" w:lineRule="auto"/>
        <w:ind w:firstLine="220"/>
        <w:rPr>
          <w:sz w:val="14"/>
          <w:szCs w:val="14"/>
        </w:rPr>
      </w:pPr>
      <w:r>
        <w:rPr>
          <w:b/>
          <w:bCs/>
          <w:sz w:val="14"/>
          <w:szCs w:val="14"/>
        </w:rPr>
        <w:t>O pojídání země byly napsány celé knihy. Třebaže hlína byla a jest dodnes součástí diety jen nejprimitiv</w:t>
      </w:r>
      <w:r>
        <w:rPr>
          <w:b/>
          <w:bCs/>
          <w:sz w:val="14"/>
          <w:szCs w:val="14"/>
        </w:rPr>
        <w:softHyphen/>
        <w:t>nějších národů, nejsou to jen primitivové, kteří si její pojídání libují. Hippokrates doporučoval pojídání hlí</w:t>
      </w:r>
      <w:r>
        <w:rPr>
          <w:b/>
          <w:bCs/>
          <w:sz w:val="14"/>
          <w:szCs w:val="14"/>
        </w:rPr>
        <w:softHyphen/>
        <w:t>ny jako lék př</w:t>
      </w:r>
      <w:r>
        <w:rPr>
          <w:b/>
          <w:bCs/>
          <w:sz w:val="14"/>
          <w:szCs w:val="14"/>
        </w:rPr>
        <w:t>i ženských nemocech, a Číňané pokládají jakýkoli druh hlíny za protijed při otravě opiem. Tak</w:t>
      </w:r>
      <w:r>
        <w:rPr>
          <w:b/>
          <w:bCs/>
          <w:sz w:val="14"/>
          <w:szCs w:val="14"/>
        </w:rPr>
        <w:softHyphen/>
        <w:t>řka každý civilisovaný národ měl dosti hlinojedů, ze</w:t>
      </w:r>
      <w:r>
        <w:rPr>
          <w:b/>
          <w:bCs/>
          <w:sz w:val="14"/>
          <w:szCs w:val="14"/>
        </w:rPr>
        <w:softHyphen/>
        <w:t>jména mezi hladovými a mezi těhotnými ženami. Ně</w:t>
      </w:r>
      <w:r>
        <w:rPr>
          <w:b/>
          <w:bCs/>
          <w:sz w:val="14"/>
          <w:szCs w:val="14"/>
        </w:rPr>
        <w:softHyphen/>
        <w:t>kteří černoši i chudí běloši na americkém jihu byli často po</w:t>
      </w:r>
      <w:r>
        <w:rPr>
          <w:b/>
          <w:bCs/>
          <w:sz w:val="14"/>
          <w:szCs w:val="14"/>
        </w:rPr>
        <w:t>zorováni, jak pojídají hlínu, poněvadž země jim nic lepšího neposkytla. Předehrou k údobí &gt;každý ať má svůj koláč« sedláci z Franche Comté za vlády Lud</w:t>
      </w:r>
      <w:r>
        <w:rPr>
          <w:b/>
          <w:bCs/>
          <w:sz w:val="14"/>
          <w:szCs w:val="14"/>
        </w:rPr>
        <w:softHyphen/>
        <w:t>víka XIV. a jeho jasných pánů a výběrčích daní pomá</w:t>
      </w:r>
      <w:r>
        <w:rPr>
          <w:b/>
          <w:bCs/>
          <w:sz w:val="14"/>
          <w:szCs w:val="14"/>
        </w:rPr>
        <w:softHyphen/>
        <w:t>hali plnit svá břicha tím, že před pečením chleba mí</w:t>
      </w:r>
      <w:r>
        <w:rPr>
          <w:b/>
          <w:bCs/>
          <w:sz w:val="14"/>
          <w:szCs w:val="14"/>
        </w:rPr>
        <w:softHyphen/>
        <w:t>chali do žitné mouky hlínu.</w:t>
      </w:r>
    </w:p>
    <w:p w:rsidR="00500724" w:rsidRDefault="00F30FB8">
      <w:pPr>
        <w:pStyle w:val="Zkladntext40"/>
        <w:shd w:val="clear" w:color="auto" w:fill="auto"/>
        <w:spacing w:after="40" w:line="382" w:lineRule="auto"/>
        <w:jc w:val="center"/>
        <w:rPr>
          <w:sz w:val="14"/>
          <w:szCs w:val="14"/>
        </w:rPr>
      </w:pPr>
      <w:r>
        <w:rPr>
          <w:b/>
          <w:bCs/>
          <w:sz w:val="14"/>
          <w:szCs w:val="14"/>
        </w:rPr>
        <w:t>Boj o život</w:t>
      </w:r>
    </w:p>
    <w:p w:rsidR="00500724" w:rsidRDefault="00F30FB8">
      <w:pPr>
        <w:pStyle w:val="Zkladntext40"/>
        <w:shd w:val="clear" w:color="auto" w:fill="auto"/>
        <w:spacing w:after="40" w:line="382" w:lineRule="auto"/>
        <w:ind w:firstLine="220"/>
        <w:rPr>
          <w:sz w:val="14"/>
          <w:szCs w:val="14"/>
        </w:rPr>
      </w:pPr>
      <w:r>
        <w:rPr>
          <w:b/>
          <w:bCs/>
          <w:sz w:val="14"/>
          <w:szCs w:val="14"/>
        </w:rPr>
        <w:t xml:space="preserve">Čím odpornější jsou záznamy o všem, co lidé jedli, tím více vystupuje do popředí naléhavost motivu hladu: Člověk musí jisti. Když volá hlad, bojujeme, zabíjíme a ničíme — »Vše pro panděro,« řekl </w:t>
      </w:r>
      <w:r>
        <w:rPr>
          <w:b/>
          <w:bCs/>
          <w:sz w:val="14"/>
          <w:szCs w:val="14"/>
          <w:lang w:val="en-US" w:eastAsia="en-US" w:bidi="en-US"/>
        </w:rPr>
        <w:t xml:space="preserve">by Rabelais. </w:t>
      </w:r>
      <w:r>
        <w:rPr>
          <w:b/>
          <w:bCs/>
          <w:sz w:val="14"/>
          <w:szCs w:val="14"/>
        </w:rPr>
        <w:t xml:space="preserve">Tak se </w:t>
      </w:r>
      <w:r>
        <w:rPr>
          <w:b/>
          <w:bCs/>
          <w:sz w:val="14"/>
          <w:szCs w:val="14"/>
        </w:rPr>
        <w:t>zdá, že předhistoričtí Evropané vyhubili veliké ssavce při honbě za jídlem, a kdyby si byl člověk neochočil a nepěstil domácí zvířata, jistě všechna ostatní zvířata by byl postihl osud mastodonta. Vyhubení bisona v Americe způsobeno bylo zčásti také jen po</w:t>
      </w:r>
      <w:r>
        <w:rPr>
          <w:b/>
          <w:bCs/>
          <w:sz w:val="14"/>
          <w:szCs w:val="14"/>
        </w:rPr>
        <w:t>třebou masité potravy.</w:t>
      </w:r>
    </w:p>
    <w:p w:rsidR="00500724" w:rsidRDefault="00F30FB8">
      <w:pPr>
        <w:pStyle w:val="Zkladntext40"/>
        <w:shd w:val="clear" w:color="auto" w:fill="auto"/>
        <w:spacing w:after="100" w:line="382" w:lineRule="auto"/>
        <w:ind w:firstLine="220"/>
        <w:rPr>
          <w:sz w:val="14"/>
          <w:szCs w:val="14"/>
        </w:rPr>
      </w:pPr>
      <w:r>
        <w:rPr>
          <w:b/>
          <w:bCs/>
          <w:sz w:val="14"/>
          <w:szCs w:val="14"/>
        </w:rPr>
        <w:t>Dohání-li nás k tomu žaludek, zabíjíme se navzájem jednotlivě nebo hromadně, jak se to hodí. Sotva byla kdy válka, za kterou by v pozadí nestály prázdné ža</w:t>
      </w:r>
      <w:r>
        <w:rPr>
          <w:b/>
          <w:bCs/>
          <w:sz w:val="14"/>
          <w:szCs w:val="14"/>
        </w:rPr>
        <w:softHyphen/>
        <w:t xml:space="preserve">ludky. &gt;Osud národů závisí na tom, co jedí,« řekl Bril- lat-Savarin a </w:t>
      </w:r>
      <w:r>
        <w:rPr>
          <w:b/>
          <w:bCs/>
          <w:sz w:val="14"/>
          <w:szCs w:val="14"/>
        </w:rPr>
        <w:t>nebudeme překvapeni shledáme-li, že vel</w:t>
      </w:r>
      <w:r>
        <w:rPr>
          <w:b/>
          <w:bCs/>
          <w:sz w:val="14"/>
          <w:szCs w:val="14"/>
        </w:rPr>
        <w:softHyphen/>
        <w:t>ká část historie točí se kolem zažívacího ústrojí. Kdyby k nám nebyly přišly brambory jako potrava pro zvířata i lidi a krmná řepa po dobytek, Velká Britanie v bez</w:t>
      </w:r>
      <w:r>
        <w:rPr>
          <w:b/>
          <w:bCs/>
          <w:sz w:val="14"/>
          <w:szCs w:val="14"/>
        </w:rPr>
        <w:softHyphen/>
        <w:t>prostředních letech svého vzrůstu nebyla by měla dos</w:t>
      </w:r>
      <w:r>
        <w:rPr>
          <w:b/>
          <w:bCs/>
          <w:sz w:val="14"/>
          <w:szCs w:val="14"/>
        </w:rPr>
        <w:t xml:space="preserve">ti prostředků pro svou expansi a pro svůj růst k světové moci. </w:t>
      </w:r>
      <w:r>
        <w:rPr>
          <w:b/>
          <w:bCs/>
          <w:sz w:val="14"/>
          <w:szCs w:val="14"/>
          <w:lang w:val="en-US" w:eastAsia="en-US" w:bidi="en-US"/>
        </w:rPr>
        <w:t xml:space="preserve">Voltaire </w:t>
      </w:r>
      <w:r>
        <w:rPr>
          <w:b/>
          <w:bCs/>
          <w:sz w:val="14"/>
          <w:szCs w:val="14"/>
        </w:rPr>
        <w:t>soudil, že &gt;osud národa často závisí na dobrém trávení ministrově*? a byly okamžiky, kdy je</w:t>
      </w:r>
      <w:r>
        <w:rPr>
          <w:b/>
          <w:bCs/>
          <w:sz w:val="14"/>
          <w:szCs w:val="14"/>
        </w:rPr>
        <w:softHyphen/>
        <w:t xml:space="preserve">den nemocný žaludek změnil běh historie. Napoleon právě před bitvou u Lipska shltl skopovou </w:t>
      </w:r>
      <w:r>
        <w:rPr>
          <w:b/>
          <w:bCs/>
          <w:sz w:val="14"/>
          <w:szCs w:val="14"/>
        </w:rPr>
        <w:t>plec plně</w:t>
      </w:r>
      <w:r>
        <w:rPr>
          <w:b/>
          <w:bCs/>
          <w:sz w:val="14"/>
          <w:szCs w:val="14"/>
        </w:rPr>
        <w:softHyphen/>
        <w:t>nou cibulí, zmalátněl a byl neschopný myšlení a ener gické akce. Udělal několik taktických chyb a prohrál bitvu.</w:t>
      </w:r>
    </w:p>
    <w:p w:rsidR="00500724" w:rsidRDefault="00F30FB8">
      <w:pPr>
        <w:pStyle w:val="Zkladntext40"/>
        <w:shd w:val="clear" w:color="auto" w:fill="auto"/>
        <w:spacing w:after="40" w:line="382" w:lineRule="auto"/>
        <w:jc w:val="center"/>
        <w:rPr>
          <w:sz w:val="14"/>
          <w:szCs w:val="14"/>
        </w:rPr>
      </w:pPr>
      <w:r>
        <w:rPr>
          <w:b/>
          <w:bCs/>
          <w:sz w:val="14"/>
          <w:szCs w:val="14"/>
        </w:rPr>
        <w:t>Cukr mění mapu</w:t>
      </w:r>
    </w:p>
    <w:p w:rsidR="00500724" w:rsidRDefault="00F30FB8">
      <w:pPr>
        <w:pStyle w:val="Zkladntext40"/>
        <w:shd w:val="clear" w:color="auto" w:fill="auto"/>
        <w:spacing w:line="377" w:lineRule="auto"/>
        <w:ind w:firstLine="220"/>
        <w:rPr>
          <w:sz w:val="14"/>
          <w:szCs w:val="14"/>
        </w:rPr>
      </w:pPr>
      <w:r>
        <w:rPr>
          <w:noProof/>
        </w:rPr>
        <mc:AlternateContent>
          <mc:Choice Requires="wps">
            <w:drawing>
              <wp:anchor distT="0" distB="254000" distL="114300" distR="114300" simplePos="0" relativeHeight="125829730" behindDoc="0" locked="0" layoutInCell="1" allowOverlap="1">
                <wp:simplePos x="0" y="0"/>
                <wp:positionH relativeFrom="page">
                  <wp:posOffset>6809740</wp:posOffset>
                </wp:positionH>
                <wp:positionV relativeFrom="margin">
                  <wp:posOffset>9609455</wp:posOffset>
                </wp:positionV>
                <wp:extent cx="198120" cy="170815"/>
                <wp:effectExtent l="0" t="0" r="0" b="0"/>
                <wp:wrapTopAndBottom/>
                <wp:docPr id="353" name="Shape 353"/>
                <wp:cNvGraphicFramePr/>
                <a:graphic xmlns:a="http://schemas.openxmlformats.org/drawingml/2006/main">
                  <a:graphicData uri="http://schemas.microsoft.com/office/word/2010/wordprocessingShape">
                    <wps:wsp>
                      <wps:cNvSpPr txBox="1"/>
                      <wps:spPr>
                        <a:xfrm>
                          <a:off x="0" y="0"/>
                          <a:ext cx="198120" cy="170815"/>
                        </a:xfrm>
                        <a:prstGeom prst="rect">
                          <a:avLst/>
                        </a:prstGeom>
                        <a:noFill/>
                      </wps:spPr>
                      <wps:txbx>
                        <w:txbxContent>
                          <w:p w:rsidR="00500724" w:rsidRDefault="00F30FB8">
                            <w:pPr>
                              <w:pStyle w:val="Zkladntext80"/>
                              <w:shd w:val="clear" w:color="auto" w:fill="auto"/>
                              <w:spacing w:line="240" w:lineRule="auto"/>
                              <w:rPr>
                                <w:sz w:val="20"/>
                                <w:szCs w:val="20"/>
                              </w:rPr>
                            </w:pPr>
                            <w:r>
                              <w:rPr>
                                <w:b w:val="0"/>
                                <w:bCs w:val="0"/>
                                <w:i/>
                                <w:iCs/>
                                <w:sz w:val="20"/>
                                <w:szCs w:val="20"/>
                              </w:rPr>
                              <w:t>US</w:t>
                            </w:r>
                          </w:p>
                        </w:txbxContent>
                      </wps:txbx>
                      <wps:bodyPr lIns="0" tIns="0" rIns="0" bIns="0">
                        <a:spAutoFit/>
                      </wps:bodyPr>
                    </wps:wsp>
                  </a:graphicData>
                </a:graphic>
              </wp:anchor>
            </w:drawing>
          </mc:Choice>
          <mc:Fallback>
            <w:pict>
              <v:shape id="_x0000_s1379" type="#_x0000_t202" style="position:absolute;margin-left:536.20000000000005pt;margin-top:756.64999999999998pt;width:15.6pt;height:13.449999999999999pt;z-index:-125829023;mso-wrap-distance-left:9.pt;mso-wrap-distance-right:9.pt;mso-wrap-distance-bottom:20.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0"/>
                          <w:szCs w:val="20"/>
                        </w:rPr>
                      </w:pPr>
                      <w:r>
                        <w:rPr>
                          <w:b w:val="0"/>
                          <w:bCs w:val="0"/>
                          <w:i/>
                          <w:iCs/>
                          <w:color w:val="000000"/>
                          <w:spacing w:val="0"/>
                          <w:w w:val="100"/>
                          <w:position w:val="0"/>
                          <w:sz w:val="20"/>
                          <w:szCs w:val="20"/>
                          <w:shd w:val="clear" w:color="auto" w:fill="auto"/>
                          <w:lang w:val="cs-CZ" w:eastAsia="cs-CZ" w:bidi="cs-CZ"/>
                        </w:rPr>
                        <w:t>US</w:t>
                      </w:r>
                    </w:p>
                  </w:txbxContent>
                </v:textbox>
                <w10:wrap type="topAndBottom" anchorx="page" anchory="margin"/>
              </v:shape>
            </w:pict>
          </mc:Fallback>
        </mc:AlternateContent>
      </w:r>
      <w:r>
        <w:rPr>
          <w:b/>
          <w:bCs/>
          <w:sz w:val="14"/>
          <w:szCs w:val="14"/>
        </w:rPr>
        <w:t>Klíčem k historii západoindických ostrovů je cukr. Když tam Spanělé nenašli zlato, ztratili zájem, pak tam přišl</w:t>
      </w:r>
      <w:r>
        <w:rPr>
          <w:b/>
          <w:bCs/>
          <w:sz w:val="14"/>
          <w:szCs w:val="14"/>
        </w:rPr>
        <w:t>i Angličané a Francouzi. Cukrová třtina přišla pů</w:t>
      </w:r>
      <w:r>
        <w:rPr>
          <w:b/>
          <w:bCs/>
          <w:sz w:val="14"/>
          <w:szCs w:val="14"/>
        </w:rPr>
        <w:softHyphen/>
        <w:t>vodně z Indie, nedosáhla však nikdy skutečného vý</w:t>
      </w:r>
      <w:r>
        <w:rPr>
          <w:b/>
          <w:bCs/>
          <w:sz w:val="14"/>
          <w:szCs w:val="14"/>
        </w:rPr>
        <w:softHyphen/>
        <w:t>znamu, dokud nebyla pěstována na západoindických ostrovech. Mlsný jazyk Evropy tak naléhal, že výroba byla popoháněna všemi možnými způsoby. Byli přive</w:t>
      </w:r>
      <w:r>
        <w:rPr>
          <w:b/>
          <w:bCs/>
          <w:sz w:val="14"/>
          <w:szCs w:val="14"/>
        </w:rPr>
        <w:softHyphen/>
        <w:t>zeni</w:t>
      </w:r>
      <w:r>
        <w:rPr>
          <w:b/>
          <w:bCs/>
          <w:sz w:val="14"/>
          <w:szCs w:val="14"/>
        </w:rPr>
        <w:t xml:space="preserve"> černí otroci, někteří z nich přišli až do kontinen</w:t>
      </w:r>
      <w:r>
        <w:rPr>
          <w:b/>
          <w:bCs/>
          <w:sz w:val="14"/>
          <w:szCs w:val="14"/>
        </w:rPr>
        <w:softHyphen/>
        <w:t>tální Ameriky, takže pěstění třtiny v západní Indii bylo jednou z příčin občanské války. Po válce s Fran</w:t>
      </w:r>
      <w:r>
        <w:rPr>
          <w:b/>
          <w:bCs/>
          <w:sz w:val="14"/>
          <w:szCs w:val="14"/>
        </w:rPr>
        <w:softHyphen/>
        <w:t>couzi Anglie měla v ruce většinu trumfů, když zasedla k mírovému jednání. Když došlo k jednání o úz</w:t>
      </w:r>
      <w:r>
        <w:rPr>
          <w:b/>
          <w:bCs/>
          <w:sz w:val="14"/>
          <w:szCs w:val="14"/>
        </w:rPr>
        <w:t>emí, Angličané měli na vybranou vžiti »i celou neplodnou</w:t>
      </w:r>
    </w:p>
    <w:p w:rsidR="00500724" w:rsidRDefault="00F30FB8">
      <w:pPr>
        <w:pStyle w:val="Zkladntext40"/>
        <w:shd w:val="clear" w:color="auto" w:fill="auto"/>
        <w:spacing w:after="0" w:line="379" w:lineRule="auto"/>
        <w:rPr>
          <w:sz w:val="14"/>
          <w:szCs w:val="14"/>
        </w:rPr>
      </w:pPr>
      <w:r>
        <w:rPr>
          <w:b/>
          <w:bCs/>
          <w:sz w:val="14"/>
          <w:szCs w:val="14"/>
        </w:rPr>
        <w:t>Kanadu nebo malý 668 čtverečných mil měřící ostrov Quadelup, kde rostla bujná cukrová třtina. Angličané byli by si vzali Qadelup a jeho cukr, kdyby nebylo Ben</w:t>
      </w:r>
      <w:r>
        <w:rPr>
          <w:b/>
          <w:bCs/>
          <w:sz w:val="14"/>
          <w:szCs w:val="14"/>
        </w:rPr>
        <w:softHyphen/>
        <w:t>jamina Franklina, který se nedal oslniti</w:t>
      </w:r>
      <w:r>
        <w:rPr>
          <w:b/>
          <w:bCs/>
          <w:sz w:val="14"/>
          <w:szCs w:val="14"/>
        </w:rPr>
        <w:t xml:space="preserve"> cenou cukru, třebaže si jí byl vědom. Přemluvil Angličany, aby si vzali Kanadu, poněvadž předvídal nesnáze pro její ko</w:t>
      </w:r>
      <w:r>
        <w:rPr>
          <w:b/>
          <w:bCs/>
          <w:sz w:val="14"/>
          <w:szCs w:val="14"/>
        </w:rPr>
        <w:softHyphen/>
        <w:t>lonie, kdyby se na severu usadila cizí vláda. Nebýti Franklinovy předvídavosti, mikroskopický ostrov Quadelup se svým bohatstvím cukru b</w:t>
      </w:r>
      <w:r>
        <w:rPr>
          <w:b/>
          <w:bCs/>
          <w:sz w:val="14"/>
          <w:szCs w:val="14"/>
        </w:rPr>
        <w:t>yl by se stal an</w:t>
      </w:r>
      <w:r>
        <w:rPr>
          <w:b/>
          <w:bCs/>
          <w:sz w:val="14"/>
          <w:szCs w:val="14"/>
        </w:rPr>
        <w:softHyphen/>
        <w:t>glickým majetkem místo Kanady, a byla by se změnila mapa celé severní Ameriky.</w:t>
      </w:r>
    </w:p>
    <w:p w:rsidR="00500724" w:rsidRDefault="00F30FB8">
      <w:pPr>
        <w:pStyle w:val="Zkladntext40"/>
        <w:shd w:val="clear" w:color="auto" w:fill="auto"/>
        <w:spacing w:after="0" w:line="377" w:lineRule="auto"/>
        <w:ind w:firstLine="300"/>
        <w:rPr>
          <w:sz w:val="14"/>
          <w:szCs w:val="14"/>
        </w:rPr>
      </w:pPr>
      <w:r>
        <w:rPr>
          <w:b/>
          <w:bCs/>
          <w:sz w:val="14"/>
          <w:szCs w:val="14"/>
        </w:rPr>
        <w:t xml:space="preserve">Za napoleonských válek britské loďstvo odřízlo dovoz cukru do Francie. Na příkaz Napoleonův francouzští botanici pěstili řepu cukrovou, až se stala dostatečným </w:t>
      </w:r>
      <w:r>
        <w:rPr>
          <w:b/>
          <w:bCs/>
          <w:sz w:val="14"/>
          <w:szCs w:val="14"/>
        </w:rPr>
        <w:t>zdrojem cukru. Kontinentální Evropa se takřka opro</w:t>
      </w:r>
      <w:r>
        <w:rPr>
          <w:b/>
          <w:bCs/>
          <w:sz w:val="14"/>
          <w:szCs w:val="14"/>
        </w:rPr>
        <w:softHyphen/>
        <w:t>stila od své závislosti na západní Indii. Západoindické ostrovy pozbyly jako zdroj cukru svého významu, a ohnisko historického zápasu se změnilo.</w:t>
      </w:r>
    </w:p>
    <w:p w:rsidR="00500724" w:rsidRDefault="00F30FB8">
      <w:pPr>
        <w:pStyle w:val="Zkladntext40"/>
        <w:shd w:val="clear" w:color="auto" w:fill="auto"/>
        <w:spacing w:after="0" w:line="377" w:lineRule="auto"/>
        <w:ind w:firstLine="300"/>
        <w:rPr>
          <w:sz w:val="14"/>
          <w:szCs w:val="14"/>
        </w:rPr>
      </w:pPr>
      <w:r>
        <w:rPr>
          <w:b/>
          <w:bCs/>
          <w:sz w:val="14"/>
          <w:szCs w:val="14"/>
        </w:rPr>
        <w:t>Měl-li cukr důležitou úlohu v dějinách světa, byla úloha, k</w:t>
      </w:r>
      <w:r>
        <w:rPr>
          <w:b/>
          <w:bCs/>
          <w:sz w:val="14"/>
          <w:szCs w:val="14"/>
        </w:rPr>
        <w:t>terou hrálo koření, ještě význačnější. Evropané z patnáctého století neznali refrigerátorů, proto potřebo</w:t>
      </w:r>
      <w:r>
        <w:rPr>
          <w:b/>
          <w:bCs/>
          <w:sz w:val="14"/>
          <w:szCs w:val="14"/>
        </w:rPr>
        <w:softHyphen/>
        <w:t>vali koření na konservování potravin. — Kolumbus jal se hledati cestu do Indie, která by byla prosta námoř</w:t>
      </w:r>
      <w:r>
        <w:rPr>
          <w:b/>
          <w:bCs/>
          <w:sz w:val="14"/>
          <w:szCs w:val="14"/>
        </w:rPr>
        <w:softHyphen/>
        <w:t>ních lupičů. Začátkem sedmnáctého století o</w:t>
      </w:r>
      <w:r>
        <w:rPr>
          <w:b/>
          <w:bCs/>
          <w:sz w:val="14"/>
          <w:szCs w:val="14"/>
        </w:rPr>
        <w:t>bchod s In</w:t>
      </w:r>
      <w:r>
        <w:rPr>
          <w:b/>
          <w:bCs/>
          <w:sz w:val="14"/>
          <w:szCs w:val="14"/>
        </w:rPr>
        <w:softHyphen/>
        <w:t>dií byl většinou v rukou Holanďanů, a mnoho tohoto obchodu týkalo se prodeje koření Angličanům, kteří je potřebovali pro své maso a jinou potravu. Holanďané se přepočítali, udržujíce nerozumné své monopolní vysoké ceny, a tak došlo k ustavení Br</w:t>
      </w:r>
      <w:r>
        <w:rPr>
          <w:b/>
          <w:bCs/>
          <w:sz w:val="14"/>
          <w:szCs w:val="14"/>
        </w:rPr>
        <w:t>itské východoindické společnosti se státním monopolem, s působností od Mysu Dobré naděje východně k úžině Magellanově. Angličané šli za svým kořením. Byl to začátek moderního Brit</w:t>
      </w:r>
      <w:r>
        <w:rPr>
          <w:b/>
          <w:bCs/>
          <w:sz w:val="14"/>
          <w:szCs w:val="14"/>
        </w:rPr>
        <w:softHyphen/>
        <w:t>ského impéria.</w:t>
      </w:r>
    </w:p>
    <w:p w:rsidR="00500724" w:rsidRDefault="00F30FB8">
      <w:pPr>
        <w:pStyle w:val="Zkladntext40"/>
        <w:shd w:val="clear" w:color="auto" w:fill="auto"/>
        <w:spacing w:after="0" w:line="379" w:lineRule="auto"/>
        <w:ind w:firstLine="300"/>
        <w:rPr>
          <w:sz w:val="14"/>
          <w:szCs w:val="14"/>
        </w:rPr>
      </w:pPr>
      <w:r>
        <w:rPr>
          <w:b/>
          <w:bCs/>
          <w:sz w:val="14"/>
          <w:szCs w:val="14"/>
        </w:rPr>
        <w:t>Je mnoho takových příkladů, kde potrava hrála roli utvářející</w:t>
      </w:r>
      <w:r>
        <w:rPr>
          <w:b/>
          <w:bCs/>
          <w:sz w:val="14"/>
          <w:szCs w:val="14"/>
        </w:rPr>
        <w:t xml:space="preserve"> osud lidstva — mluvit o světové historii zna</w:t>
      </w:r>
      <w:r>
        <w:rPr>
          <w:b/>
          <w:bCs/>
          <w:sz w:val="14"/>
          <w:szCs w:val="14"/>
        </w:rPr>
        <w:softHyphen/>
        <w:t>menalo by mluvit o potravě. Některé rasy jsou plné síly a útočné, jiné jsou slabé a bezvýznamné. Jakost a množ</w:t>
      </w:r>
      <w:r>
        <w:rPr>
          <w:b/>
          <w:bCs/>
          <w:sz w:val="14"/>
          <w:szCs w:val="14"/>
        </w:rPr>
        <w:softHyphen/>
        <w:t>ství potravy má velký vliv na charakter národa. Kde</w:t>
      </w:r>
      <w:r>
        <w:rPr>
          <w:b/>
          <w:bCs/>
          <w:sz w:val="14"/>
          <w:szCs w:val="14"/>
        </w:rPr>
        <w:softHyphen/>
        <w:t>koli národy se zmocnily bohatých držav a dosáhl</w:t>
      </w:r>
      <w:r>
        <w:rPr>
          <w:b/>
          <w:bCs/>
          <w:sz w:val="14"/>
          <w:szCs w:val="14"/>
        </w:rPr>
        <w:t>y vyso</w:t>
      </w:r>
      <w:r>
        <w:rPr>
          <w:b/>
          <w:bCs/>
          <w:sz w:val="14"/>
          <w:szCs w:val="14"/>
        </w:rPr>
        <w:softHyphen/>
        <w:t>kého stupně zemědělství, tam získání potravy bylo po</w:t>
      </w:r>
      <w:r>
        <w:rPr>
          <w:b/>
          <w:bCs/>
          <w:sz w:val="14"/>
          <w:szCs w:val="14"/>
        </w:rPr>
        <w:softHyphen/>
        <w:t>měrně snadnou věcí. Takové národy v minulosti upadly, snad proto, že prázdný žaludek přestal býti hlavním podněcujícím činitelem v existenci průměrného občana. Nebyla nalezena žádná jiná dostatečn</w:t>
      </w:r>
      <w:r>
        <w:rPr>
          <w:b/>
          <w:bCs/>
          <w:sz w:val="14"/>
          <w:szCs w:val="14"/>
        </w:rPr>
        <w:t>á náhrada za ten</w:t>
      </w:r>
      <w:r>
        <w:rPr>
          <w:b/>
          <w:bCs/>
          <w:sz w:val="14"/>
          <w:szCs w:val="14"/>
        </w:rPr>
        <w:softHyphen/>
        <w:t>to živelný a základní podnět.</w:t>
      </w:r>
    </w:p>
    <w:p w:rsidR="00500724" w:rsidRDefault="00F30FB8">
      <w:pPr>
        <w:pStyle w:val="Zkladntext40"/>
        <w:shd w:val="clear" w:color="auto" w:fill="auto"/>
        <w:spacing w:after="100" w:line="379" w:lineRule="auto"/>
        <w:ind w:firstLine="240"/>
        <w:rPr>
          <w:sz w:val="14"/>
          <w:szCs w:val="14"/>
        </w:rPr>
      </w:pPr>
      <w:r>
        <w:rPr>
          <w:b/>
          <w:bCs/>
          <w:sz w:val="14"/>
          <w:szCs w:val="14"/>
        </w:rPr>
        <w:t>Rasy a národy skládají se z jednotlivců a velmi záleží na tom, co člověk jí, nebof takový také jest. Žádný pře</w:t>
      </w:r>
      <w:r>
        <w:rPr>
          <w:b/>
          <w:bCs/>
          <w:sz w:val="14"/>
          <w:szCs w:val="14"/>
        </w:rPr>
        <w:softHyphen/>
        <w:t>hled výživy lidstva nemůže být podán bez pojednání o zásadách výživy. Jakmile však člověk stane na</w:t>
      </w:r>
      <w:r>
        <w:rPr>
          <w:b/>
          <w:bCs/>
          <w:sz w:val="14"/>
          <w:szCs w:val="14"/>
        </w:rPr>
        <w:t xml:space="preserve"> půdě vědy o výživě, je zahrnut kaloriemi, nerostnými součást</w:t>
      </w:r>
      <w:r>
        <w:rPr>
          <w:b/>
          <w:bCs/>
          <w:sz w:val="14"/>
          <w:szCs w:val="14"/>
        </w:rPr>
        <w:softHyphen/>
        <w:t xml:space="preserve">kami, vitaminy, vodou a ochrannými látkami. Život se komplikuje, a každé jídlo zdá se býti nabito smrtelnými hříchy zanedbání a přílišné lhostejnosti. Divíme se, jak to vydrželi naši předchůdci </w:t>
      </w:r>
      <w:r>
        <w:rPr>
          <w:b/>
          <w:bCs/>
          <w:sz w:val="14"/>
          <w:szCs w:val="14"/>
        </w:rPr>
        <w:t>a jestliže to vydrželi, proč tolik hluku o správné potravě?</w:t>
      </w:r>
    </w:p>
    <w:p w:rsidR="00500724" w:rsidRDefault="00F30FB8">
      <w:pPr>
        <w:pStyle w:val="Zkladntext100"/>
        <w:shd w:val="clear" w:color="auto" w:fill="auto"/>
        <w:spacing w:line="240" w:lineRule="auto"/>
        <w:ind w:firstLine="0"/>
        <w:jc w:val="left"/>
        <w:rPr>
          <w:sz w:val="19"/>
          <w:szCs w:val="19"/>
        </w:rPr>
      </w:pPr>
      <w:r>
        <w:rPr>
          <w:i/>
          <w:iCs/>
          <w:sz w:val="19"/>
          <w:szCs w:val="19"/>
        </w:rPr>
        <w:t>31Ó</w:t>
      </w:r>
    </w:p>
    <w:p w:rsidR="00500724" w:rsidRDefault="00F30FB8">
      <w:pPr>
        <w:pStyle w:val="Jin0"/>
        <w:shd w:val="clear" w:color="auto" w:fill="auto"/>
        <w:spacing w:after="200"/>
        <w:ind w:firstLine="0"/>
        <w:jc w:val="left"/>
        <w:rPr>
          <w:sz w:val="48"/>
          <w:szCs w:val="48"/>
        </w:rPr>
      </w:pPr>
      <w:r>
        <w:rPr>
          <w:b/>
          <w:bCs/>
          <w:sz w:val="48"/>
          <w:szCs w:val="48"/>
          <w:u w:val="single"/>
        </w:rPr>
        <w:t>listárna redakce</w:t>
      </w:r>
    </w:p>
    <w:p w:rsidR="00500724" w:rsidRDefault="00F30FB8">
      <w:pPr>
        <w:pStyle w:val="Zkladntext30"/>
        <w:shd w:val="clear" w:color="auto" w:fill="auto"/>
        <w:spacing w:after="60" w:line="223" w:lineRule="auto"/>
        <w:ind w:firstLine="240"/>
        <w:rPr>
          <w:sz w:val="20"/>
          <w:szCs w:val="20"/>
        </w:rPr>
      </w:pPr>
      <w:r>
        <w:rPr>
          <w:sz w:val="20"/>
          <w:szCs w:val="20"/>
        </w:rPr>
        <w:t>Znovu prosíme čtenáře o prominuti nedostatků, které nyni vznikají jakl ve vycházeni, tak v obsahu našeho listu. Jsme sl jich prává tak vědomi, jako naši čtenáři. Jestliže však</w:t>
      </w:r>
      <w:r>
        <w:rPr>
          <w:sz w:val="20"/>
          <w:szCs w:val="20"/>
        </w:rPr>
        <w:t xml:space="preserve"> kdy byla na místě shovívavost čtenářů vůči redakci, tedy dnes. Minulost našeho listu může býti čtenářům zárukou, že tyto nedostatky budou odstraněny, jakmile to jen bude lidsky možno.</w:t>
      </w:r>
    </w:p>
    <w:p w:rsidR="00500724" w:rsidRDefault="00F30FB8">
      <w:pPr>
        <w:pStyle w:val="Zkladntext30"/>
        <w:shd w:val="clear" w:color="auto" w:fill="auto"/>
        <w:spacing w:after="0" w:line="226" w:lineRule="auto"/>
        <w:ind w:firstLine="240"/>
        <w:rPr>
          <w:sz w:val="20"/>
          <w:szCs w:val="20"/>
        </w:rPr>
      </w:pPr>
      <w:r>
        <w:rPr>
          <w:sz w:val="20"/>
          <w:szCs w:val="20"/>
        </w:rPr>
        <w:t>Varováni. Může se Vám státi, že dostanete dopis, český nebo německý, ne</w:t>
      </w:r>
      <w:r>
        <w:rPr>
          <w:sz w:val="20"/>
          <w:szCs w:val="20"/>
        </w:rPr>
        <w:t>podepsaný nebo podepsaný nějakým neznámým jménem, jehož jediným srozumitelným účelem může býti kom</w:t>
      </w:r>
      <w:r>
        <w:rPr>
          <w:sz w:val="20"/>
          <w:szCs w:val="20"/>
        </w:rPr>
        <w:softHyphen/>
        <w:t>promitovat toho, v jehož korespondenci byl by takový dopis nalezen. Neznámí padouši, zabývají se, jak se zdá, nvni častěj</w:t>
      </w:r>
      <w:r>
        <w:rPr>
          <w:sz w:val="20"/>
          <w:szCs w:val="20"/>
        </w:rPr>
        <w:softHyphen/>
        <w:t xml:space="preserve">ším rozesíláním takových dopisů na </w:t>
      </w:r>
      <w:r>
        <w:rPr>
          <w:sz w:val="20"/>
          <w:szCs w:val="20"/>
        </w:rPr>
        <w:t xml:space="preserve">osoby jim nepohodlné. Vyzýváme čtenáře, aby takové provokativní výplody </w:t>
      </w:r>
      <w:r>
        <w:rPr>
          <w:b/>
          <w:bCs/>
          <w:sz w:val="14"/>
          <w:szCs w:val="14"/>
        </w:rPr>
        <w:t xml:space="preserve">ve </w:t>
      </w:r>
      <w:r>
        <w:rPr>
          <w:sz w:val="20"/>
          <w:szCs w:val="20"/>
        </w:rPr>
        <w:t xml:space="preserve">své korespondenci nepřechovávali, nýbrž je ihned zničili </w:t>
      </w:r>
      <w:r>
        <w:t xml:space="preserve">a </w:t>
      </w:r>
      <w:r>
        <w:rPr>
          <w:sz w:val="20"/>
          <w:szCs w:val="20"/>
        </w:rPr>
        <w:t>vyslo</w:t>
      </w:r>
      <w:r>
        <w:rPr>
          <w:sz w:val="20"/>
          <w:szCs w:val="20"/>
        </w:rPr>
        <w:softHyphen/>
        <w:t>vujeme naději, že se podaří odhalit ty, kdo v této době pro</w:t>
      </w:r>
      <w:r>
        <w:rPr>
          <w:sz w:val="20"/>
          <w:szCs w:val="20"/>
        </w:rPr>
        <w:softHyphen/>
        <w:t>jevuji chuť zahrávat si takovým způsobem s osudy jiných.</w:t>
      </w:r>
    </w:p>
    <w:p w:rsidR="00500724" w:rsidRDefault="00F30FB8">
      <w:pPr>
        <w:pStyle w:val="Zkladntext30"/>
        <w:shd w:val="clear" w:color="auto" w:fill="auto"/>
        <w:spacing w:after="60" w:line="228" w:lineRule="auto"/>
        <w:ind w:firstLine="320"/>
        <w:rPr>
          <w:sz w:val="20"/>
          <w:szCs w:val="20"/>
        </w:rPr>
        <w:sectPr w:rsidR="00500724">
          <w:footnotePr>
            <w:numFmt w:val="chicago"/>
            <w:numRestart w:val="eachPage"/>
          </w:footnotePr>
          <w:type w:val="continuous"/>
          <w:pgSz w:w="11909" w:h="16834"/>
          <w:pgMar w:top="711" w:right="852" w:bottom="574" w:left="632" w:header="0" w:footer="3" w:gutter="0"/>
          <w:cols w:num="2" w:space="106"/>
          <w:noEndnote/>
          <w:docGrid w:linePitch="360"/>
        </w:sectPr>
      </w:pPr>
      <w:r>
        <w:rPr>
          <w:sz w:val="20"/>
          <w:szCs w:val="20"/>
        </w:rPr>
        <w:t>Hlavni zásady norimberských zákonů. Domníváte-li se, že t, zv. norimberské zákony z 15. záři 1935 obsahují jenom obecné směrnice, jste na omylu, neboť ve skutečnosti jde o velmi přesná nařízeni, která mají na zřeteli nejrůzně</w:t>
      </w:r>
      <w:r>
        <w:rPr>
          <w:sz w:val="20"/>
          <w:szCs w:val="20"/>
        </w:rPr>
        <w:t>jšl eventuality. Není správné, zahmuji-li se do tohoto pojmu jenom zákony, upravující poměr k židům, protože k no</w:t>
      </w:r>
      <w:r>
        <w:rPr>
          <w:sz w:val="20"/>
          <w:szCs w:val="20"/>
        </w:rPr>
        <w:softHyphen/>
        <w:t>rimberským zákonům náleží také ustanoveni o státním občanství, o ochraně německé krve a německé cti, o státní vlajce, o podmínkách zdravého ma</w:t>
      </w:r>
      <w:r>
        <w:rPr>
          <w:sz w:val="20"/>
          <w:szCs w:val="20"/>
        </w:rPr>
        <w:t xml:space="preserve">nželství — a ovšem 1 celá řada velmi podrobných prováděcích předpisů. Nařízení, týkající se židů, ukládají v podstatě toto: Žid je ten, kda má aspoň tři prarodiče s rasového hlediska zcela židovské. Míšenec, který má dva zcela židovské prarodiče, platí </w:t>
      </w:r>
      <w:r>
        <w:rPr>
          <w:b/>
          <w:bCs/>
          <w:sz w:val="14"/>
          <w:szCs w:val="14"/>
        </w:rPr>
        <w:t xml:space="preserve">za </w:t>
      </w:r>
      <w:r>
        <w:rPr>
          <w:sz w:val="20"/>
          <w:szCs w:val="20"/>
        </w:rPr>
        <w:t>žida v tom případě, byl-li v době vydání zákona členem židovské náboženské obce nebo byl tam později přijat. Za žida se považuje také míšenec, který se židem uzavřel sňa</w:t>
      </w:r>
      <w:r>
        <w:rPr>
          <w:sz w:val="20"/>
          <w:szCs w:val="20"/>
        </w:rPr>
        <w:softHyphen/>
        <w:t>tek nebo pochází z manželství se židem. Nemanželský pů</w:t>
      </w:r>
      <w:r>
        <w:rPr>
          <w:sz w:val="20"/>
          <w:szCs w:val="20"/>
        </w:rPr>
        <w:softHyphen/>
        <w:t>vod nemění nic na těchto ustano</w:t>
      </w:r>
      <w:r>
        <w:rPr>
          <w:sz w:val="20"/>
          <w:szCs w:val="20"/>
        </w:rPr>
        <w:t xml:space="preserve">veních. Chce-li židovský míšenec, který má dva zcela židovské prarodiče, uzavřít sňatek s občanem německé nebo spřízněné krve, ba 1 </w:t>
      </w:r>
      <w:r>
        <w:rPr>
          <w:b/>
          <w:bCs/>
          <w:sz w:val="14"/>
          <w:szCs w:val="14"/>
        </w:rPr>
        <w:t xml:space="preserve">s </w:t>
      </w:r>
      <w:r>
        <w:rPr>
          <w:sz w:val="20"/>
          <w:szCs w:val="20"/>
        </w:rPr>
        <w:t>mí</w:t>
      </w:r>
      <w:r>
        <w:rPr>
          <w:sz w:val="20"/>
          <w:szCs w:val="20"/>
        </w:rPr>
        <w:softHyphen/>
        <w:t>šencem, který měl pouze jednoho židovského prarodiče, musí si k tomu opatřit svolení říšského ministra vnitra nebo Vůdc</w:t>
      </w:r>
      <w:r>
        <w:rPr>
          <w:sz w:val="20"/>
          <w:szCs w:val="20"/>
        </w:rPr>
        <w:t xml:space="preserve">ova zástupce. Zkoumají se při tom nejen tělesné a duševní vlastnosti žadatelovy, ale 1 doba pobytu </w:t>
      </w:r>
      <w:r>
        <w:rPr>
          <w:b/>
          <w:bCs/>
          <w:sz w:val="14"/>
          <w:szCs w:val="14"/>
        </w:rPr>
        <w:t xml:space="preserve">v </w:t>
      </w:r>
      <w:r>
        <w:rPr>
          <w:sz w:val="20"/>
          <w:szCs w:val="20"/>
        </w:rPr>
        <w:t>Ně</w:t>
      </w:r>
      <w:r>
        <w:rPr>
          <w:sz w:val="20"/>
          <w:szCs w:val="20"/>
        </w:rPr>
        <w:softHyphen/>
        <w:t>mecku, účast na světové válce, zkrátka a dobře celá rodin</w:t>
      </w:r>
      <w:r>
        <w:rPr>
          <w:sz w:val="20"/>
          <w:szCs w:val="20"/>
        </w:rPr>
        <w:softHyphen/>
        <w:t>ná historie. Určování původu řídi se zásadně rasou pra</w:t>
      </w:r>
      <w:r>
        <w:rPr>
          <w:sz w:val="20"/>
          <w:szCs w:val="20"/>
        </w:rPr>
        <w:softHyphen/>
        <w:t>rodičů. Hlavním měřítkem není tedy přís</w:t>
      </w:r>
      <w:r>
        <w:rPr>
          <w:sz w:val="20"/>
          <w:szCs w:val="20"/>
        </w:rPr>
        <w:t>lušnost k židov</w:t>
      </w:r>
      <w:r>
        <w:rPr>
          <w:sz w:val="20"/>
          <w:szCs w:val="20"/>
        </w:rPr>
        <w:softHyphen/>
        <w:t>ské náboženské obci, nýbrž příslušnost rasová. Aby se však předešlo různým potížím, zákon praví, že za žida třeba považovat! každého prarodiče, který patřil k židovské náboženské obci. Protidůkaz neni přípustný. Celkem lze tedy stanovití tu</w:t>
      </w:r>
      <w:r>
        <w:rPr>
          <w:sz w:val="20"/>
          <w:szCs w:val="20"/>
        </w:rPr>
        <w:t>to stupnici: 1. Kdo má čtyři nebo tří ži</w:t>
      </w:r>
      <w:r>
        <w:rPr>
          <w:sz w:val="20"/>
          <w:szCs w:val="20"/>
        </w:rPr>
        <w:softHyphen/>
        <w:t>dovské prarodiče, platí za žida; 2. kdo má dva židovské pra</w:t>
      </w:r>
      <w:r>
        <w:rPr>
          <w:sz w:val="20"/>
          <w:szCs w:val="20"/>
        </w:rPr>
        <w:softHyphen/>
        <w:t>rodiče, považuje se za míšence prvního stupně; 3. kdo má pouze jednoho židovského prarodiče, řadí se mezi míšence druhého stupně. Různá ustanovení přihlíže</w:t>
      </w:r>
      <w:r>
        <w:rPr>
          <w:sz w:val="20"/>
          <w:szCs w:val="20"/>
        </w:rPr>
        <w:t>jí k jednotlivým stupňům velmi přesně. Co se týče domácnosti, považuje se za židovskou v tom případě, je-li židovský muž jejím před</w:t>
      </w:r>
      <w:r>
        <w:rPr>
          <w:sz w:val="20"/>
          <w:szCs w:val="20"/>
        </w:rPr>
        <w:softHyphen/>
        <w:t>nostou nebo členem. Tato sudidla platí samozřejmě prd účast židů v hospodářském a veřejném životě právě talť jako pro jejich</w:t>
      </w:r>
      <w:r>
        <w:rPr>
          <w:sz w:val="20"/>
          <w:szCs w:val="20"/>
        </w:rPr>
        <w:t xml:space="preserve"> právní postavení. V každém ohledu jsou nařízení velmi podrobná a tresty za každý přestupek, pře- čin nebo zločin proti t. zv. norimberským zákonům velmi přísné,</w:t>
      </w:r>
    </w:p>
    <w:p w:rsidR="00500724" w:rsidRDefault="00F30FB8">
      <w:pPr>
        <w:pStyle w:val="Nadpis110"/>
        <w:framePr w:w="245" w:h="480" w:wrap="none" w:vAnchor="text" w:hAnchor="page" w:x="11058" w:y="21"/>
        <w:shd w:val="clear" w:color="auto" w:fill="auto"/>
      </w:pPr>
      <w:bookmarkStart w:id="347" w:name="bookmark346"/>
      <w:r>
        <w:t>o</w:t>
      </w:r>
      <w:bookmarkEnd w:id="347"/>
    </w:p>
    <w:p w:rsidR="00500724" w:rsidRDefault="00F30FB8">
      <w:pPr>
        <w:pStyle w:val="Nadpis110"/>
        <w:framePr w:w="245" w:h="480" w:wrap="none" w:vAnchor="text" w:hAnchor="page" w:x="11058" w:y="21"/>
        <w:shd w:val="clear" w:color="auto" w:fill="auto"/>
        <w:spacing w:line="180" w:lineRule="auto"/>
      </w:pPr>
      <w:bookmarkStart w:id="348" w:name="bookmark347"/>
      <w:r>
        <w:t>o&lt;</w:t>
      </w:r>
      <w:bookmarkEnd w:id="348"/>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38" w:line="14" w:lineRule="exact"/>
      </w:pPr>
    </w:p>
    <w:p w:rsidR="00500724" w:rsidRDefault="00500724">
      <w:pPr>
        <w:spacing w:line="14" w:lineRule="exact"/>
        <w:sectPr w:rsidR="00500724">
          <w:footnotePr>
            <w:numFmt w:val="chicago"/>
            <w:numRestart w:val="eachPage"/>
          </w:footnotePr>
          <w:pgSz w:w="11909" w:h="16834"/>
          <w:pgMar w:top="829" w:right="536" w:bottom="668" w:left="977" w:header="0" w:footer="3" w:gutter="0"/>
          <w:cols w:space="720"/>
          <w:noEndnote/>
          <w:docGrid w:linePitch="360"/>
        </w:sectPr>
      </w:pPr>
    </w:p>
    <w:p w:rsidR="00500724" w:rsidRDefault="00500724">
      <w:pPr>
        <w:spacing w:line="65" w:lineRule="exact"/>
        <w:rPr>
          <w:sz w:val="5"/>
          <w:szCs w:val="5"/>
        </w:rPr>
      </w:pPr>
    </w:p>
    <w:p w:rsidR="00500724" w:rsidRDefault="00500724">
      <w:pPr>
        <w:spacing w:line="14" w:lineRule="exact"/>
        <w:sectPr w:rsidR="00500724">
          <w:footnotePr>
            <w:numFmt w:val="chicago"/>
            <w:numRestart w:val="eachPage"/>
          </w:footnotePr>
          <w:type w:val="continuous"/>
          <w:pgSz w:w="11909" w:h="16834"/>
          <w:pgMar w:top="597" w:right="0" w:bottom="707"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732" behindDoc="0" locked="0" layoutInCell="1" allowOverlap="1">
                <wp:simplePos x="0" y="0"/>
                <wp:positionH relativeFrom="page">
                  <wp:posOffset>2320925</wp:posOffset>
                </wp:positionH>
                <wp:positionV relativeFrom="paragraph">
                  <wp:posOffset>12700</wp:posOffset>
                </wp:positionV>
                <wp:extent cx="3194050" cy="963295"/>
                <wp:effectExtent l="0" t="0" r="0" b="0"/>
                <wp:wrapSquare wrapText="left"/>
                <wp:docPr id="355" name="Shape 355"/>
                <wp:cNvGraphicFramePr/>
                <a:graphic xmlns:a="http://schemas.openxmlformats.org/drawingml/2006/main">
                  <a:graphicData uri="http://schemas.microsoft.com/office/word/2010/wordprocessingShape">
                    <wps:wsp>
                      <wps:cNvSpPr txBox="1"/>
                      <wps:spPr>
                        <a:xfrm>
                          <a:off x="0" y="0"/>
                          <a:ext cx="3194050" cy="963295"/>
                        </a:xfrm>
                        <a:prstGeom prst="rect">
                          <a:avLst/>
                        </a:prstGeom>
                        <a:noFill/>
                      </wps:spPr>
                      <wps:txbx>
                        <w:txbxContent>
                          <w:p w:rsidR="00500724" w:rsidRDefault="00F30FB8">
                            <w:pPr>
                              <w:pStyle w:val="Jin0"/>
                              <w:shd w:val="clear" w:color="auto" w:fill="auto"/>
                              <w:spacing w:after="40"/>
                              <w:ind w:firstLine="0"/>
                              <w:jc w:val="center"/>
                              <w:rPr>
                                <w:sz w:val="26"/>
                                <w:szCs w:val="26"/>
                              </w:rPr>
                            </w:pPr>
                            <w:r>
                              <w:rPr>
                                <w:b/>
                                <w:bCs/>
                                <w:sz w:val="26"/>
                                <w:szCs w:val="26"/>
                              </w:rPr>
                              <w:t>Poučnost slovníků</w:t>
                            </w:r>
                          </w:p>
                          <w:p w:rsidR="00500724" w:rsidRDefault="00F30FB8">
                            <w:pPr>
                              <w:pStyle w:val="Zkladntext100"/>
                              <w:shd w:val="clear" w:color="auto" w:fill="auto"/>
                              <w:spacing w:line="254" w:lineRule="auto"/>
                              <w:ind w:firstLine="200"/>
                              <w:rPr>
                                <w:sz w:val="19"/>
                                <w:szCs w:val="19"/>
                              </w:rPr>
                            </w:pPr>
                            <w:r>
                              <w:rPr>
                                <w:b/>
                                <w:bCs/>
                                <w:sz w:val="19"/>
                                <w:szCs w:val="19"/>
                              </w:rPr>
                              <w:t xml:space="preserve">V </w:t>
                            </w:r>
                            <w:r>
                              <w:rPr>
                                <w:b/>
                                <w:bCs/>
                                <w:sz w:val="19"/>
                                <w:szCs w:val="19"/>
                              </w:rPr>
                              <w:t>jazykovém slovníku zanechávají obyčeje, zvyky a práce všech národních generací stopy více méně zjevné, stejně jak jednotlivé vrstvy kůry zemské poučují o jednotli</w:t>
                            </w:r>
                            <w:r>
                              <w:rPr>
                                <w:b/>
                                <w:bCs/>
                                <w:sz w:val="19"/>
                                <w:szCs w:val="19"/>
                              </w:rPr>
                              <w:softHyphen/>
                              <w:t>vých údobích vývoje naší zeměkoule.</w:t>
                            </w:r>
                          </w:p>
                          <w:p w:rsidR="00500724" w:rsidRDefault="00F30FB8">
                            <w:pPr>
                              <w:pStyle w:val="Zkladntext30"/>
                              <w:pBdr>
                                <w:bottom w:val="single" w:sz="4" w:space="0" w:color="auto"/>
                              </w:pBdr>
                              <w:shd w:val="clear" w:color="auto" w:fill="auto"/>
                              <w:spacing w:after="0" w:line="240" w:lineRule="auto"/>
                              <w:ind w:firstLine="0"/>
                              <w:jc w:val="right"/>
                              <w:rPr>
                                <w:sz w:val="20"/>
                                <w:szCs w:val="20"/>
                              </w:rPr>
                            </w:pPr>
                            <w:r>
                              <w:rPr>
                                <w:i/>
                                <w:iCs/>
                                <w:sz w:val="20"/>
                                <w:szCs w:val="20"/>
                              </w:rPr>
                              <w:t>E. Marye</w:t>
                            </w:r>
                          </w:p>
                        </w:txbxContent>
                      </wps:txbx>
                      <wps:bodyPr lIns="0" tIns="0" rIns="0" bIns="0">
                        <a:spAutoFit/>
                      </wps:bodyPr>
                    </wps:wsp>
                  </a:graphicData>
                </a:graphic>
              </wp:anchor>
            </w:drawing>
          </mc:Choice>
          <mc:Fallback>
            <w:pict>
              <v:shape id="_x0000_s1381" type="#_x0000_t202" style="position:absolute;margin-left:182.75pt;margin-top:1.pt;width:251.5pt;height:75.849999999999994pt;z-index:-125829021;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Poučnost slovníků</w:t>
                      </w:r>
                    </w:p>
                    <w:p>
                      <w:pPr>
                        <w:pStyle w:val="Style344"/>
                        <w:keepNext w:val="0"/>
                        <w:keepLines w:val="0"/>
                        <w:widowControl w:val="0"/>
                        <w:shd w:val="clear" w:color="auto" w:fill="auto"/>
                        <w:bidi w:val="0"/>
                        <w:spacing w:before="0" w:after="0" w:line="254" w:lineRule="auto"/>
                        <w:ind w:left="0" w:right="0" w:firstLine="200"/>
                        <w:rPr>
                          <w:sz w:val="19"/>
                          <w:szCs w:val="19"/>
                        </w:rPr>
                      </w:pPr>
                      <w:r>
                        <w:rPr>
                          <w:b/>
                          <w:bCs/>
                          <w:color w:val="000000"/>
                          <w:spacing w:val="0"/>
                          <w:w w:val="100"/>
                          <w:position w:val="0"/>
                          <w:sz w:val="19"/>
                          <w:szCs w:val="19"/>
                          <w:shd w:val="clear" w:color="auto" w:fill="auto"/>
                          <w:lang w:val="cs-CZ" w:eastAsia="cs-CZ" w:bidi="cs-CZ"/>
                        </w:rPr>
                        <w:t>V jazykovém slovníku zanechávají obyčeje, zvyky a práce všech národních generací stopy více méně zjevné, stejně jak jednotlivé vrstvy kůry zemské poučují o jednotli</w:t>
                        <w:softHyphen/>
                        <w:t>vých údobích vývoje naší zeměkoule.</w:t>
                      </w:r>
                    </w:p>
                    <w:p>
                      <w:pPr>
                        <w:pStyle w:val="Style22"/>
                        <w:keepNext w:val="0"/>
                        <w:keepLines w:val="0"/>
                        <w:widowControl w:val="0"/>
                        <w:pBdr>
                          <w:bottom w:val="single" w:sz="4" w:space="0" w:color="auto"/>
                        </w:pBdr>
                        <w:shd w:val="clear" w:color="auto" w:fill="auto"/>
                        <w:bidi w:val="0"/>
                        <w:spacing w:before="0" w:after="0" w:line="24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E. Marye</w:t>
                      </w:r>
                    </w:p>
                  </w:txbxContent>
                </v:textbox>
                <w10:wrap type="square" side="left" anchorx="page"/>
              </v:shape>
            </w:pict>
          </mc:Fallback>
        </mc:AlternateContent>
      </w:r>
    </w:p>
    <w:p w:rsidR="00500724" w:rsidRDefault="00F30FB8">
      <w:pPr>
        <w:pStyle w:val="Zkladntext30"/>
        <w:shd w:val="clear" w:color="auto" w:fill="auto"/>
        <w:spacing w:after="60" w:line="211" w:lineRule="auto"/>
        <w:ind w:left="880" w:hanging="880"/>
        <w:jc w:val="left"/>
        <w:rPr>
          <w:sz w:val="20"/>
          <w:szCs w:val="20"/>
        </w:rPr>
      </w:pPr>
      <w:r>
        <w:rPr>
          <w:i/>
          <w:iCs/>
          <w:sz w:val="20"/>
          <w:szCs w:val="20"/>
        </w:rPr>
        <w:t>Jindřich Vichr a :</w:t>
      </w:r>
    </w:p>
    <w:p w:rsidR="00500724" w:rsidRDefault="00F30FB8">
      <w:pPr>
        <w:pStyle w:val="Zkladntext100"/>
        <w:shd w:val="clear" w:color="auto" w:fill="auto"/>
        <w:spacing w:after="120" w:line="221" w:lineRule="auto"/>
        <w:ind w:left="880" w:hanging="880"/>
        <w:jc w:val="left"/>
        <w:rPr>
          <w:sz w:val="19"/>
          <w:szCs w:val="19"/>
        </w:rPr>
      </w:pPr>
      <w:r>
        <w:rPr>
          <w:b/>
          <w:bCs/>
          <w:sz w:val="19"/>
          <w:szCs w:val="19"/>
        </w:rPr>
        <w:t>VEČER</w:t>
      </w:r>
    </w:p>
    <w:p w:rsidR="00500724" w:rsidRDefault="00F30FB8">
      <w:pPr>
        <w:pStyle w:val="Zkladntext30"/>
        <w:shd w:val="clear" w:color="auto" w:fill="auto"/>
        <w:spacing w:after="0" w:line="211" w:lineRule="auto"/>
        <w:ind w:left="880" w:hanging="880"/>
        <w:jc w:val="left"/>
        <w:rPr>
          <w:sz w:val="20"/>
          <w:szCs w:val="20"/>
        </w:rPr>
      </w:pPr>
      <w:r>
        <w:rPr>
          <w:i/>
          <w:iCs/>
          <w:sz w:val="20"/>
          <w:szCs w:val="20"/>
        </w:rPr>
        <w:t>Nedám si vyvrátit</w:t>
      </w:r>
    </w:p>
    <w:p w:rsidR="00500724" w:rsidRDefault="00F30FB8">
      <w:pPr>
        <w:pStyle w:val="Zkladntext30"/>
        <w:shd w:val="clear" w:color="auto" w:fill="auto"/>
        <w:spacing w:after="0" w:line="175" w:lineRule="auto"/>
        <w:ind w:left="880" w:hanging="880"/>
        <w:jc w:val="left"/>
        <w:rPr>
          <w:sz w:val="20"/>
          <w:szCs w:val="20"/>
        </w:rPr>
      </w:pPr>
      <w:r>
        <w:rPr>
          <w:sz w:val="24"/>
          <w:szCs w:val="24"/>
        </w:rPr>
        <w:t xml:space="preserve">že </w:t>
      </w:r>
      <w:r>
        <w:rPr>
          <w:i/>
          <w:iCs/>
          <w:sz w:val="20"/>
          <w:szCs w:val="20"/>
        </w:rPr>
        <w:t>večer vychází z černookých</w:t>
      </w:r>
    </w:p>
    <w:p w:rsidR="00500724" w:rsidRDefault="00F30FB8">
      <w:pPr>
        <w:pStyle w:val="Zkladntext30"/>
        <w:shd w:val="clear" w:color="auto" w:fill="auto"/>
        <w:spacing w:after="0" w:line="211" w:lineRule="auto"/>
        <w:ind w:left="880" w:firstLine="0"/>
        <w:jc w:val="left"/>
        <w:rPr>
          <w:sz w:val="20"/>
          <w:szCs w:val="20"/>
        </w:rPr>
      </w:pPr>
      <w:r>
        <w:rPr>
          <w:i/>
          <w:iCs/>
          <w:sz w:val="20"/>
          <w:szCs w:val="20"/>
        </w:rPr>
        <w:t>dívek</w:t>
      </w:r>
    </w:p>
    <w:p w:rsidR="00500724" w:rsidRDefault="00F30FB8">
      <w:pPr>
        <w:pStyle w:val="Zkladntext30"/>
        <w:shd w:val="clear" w:color="auto" w:fill="auto"/>
        <w:spacing w:after="0" w:line="211" w:lineRule="auto"/>
        <w:ind w:left="880" w:hanging="880"/>
        <w:jc w:val="left"/>
        <w:rPr>
          <w:sz w:val="20"/>
          <w:szCs w:val="20"/>
        </w:rPr>
      </w:pPr>
      <w:r>
        <w:rPr>
          <w:i/>
          <w:iCs/>
          <w:sz w:val="20"/>
          <w:szCs w:val="20"/>
        </w:rPr>
        <w:t>než trojcípou hvězdou na žízeň přilne</w:t>
      </w:r>
    </w:p>
    <w:p w:rsidR="00500724" w:rsidRDefault="00F30FB8">
      <w:pPr>
        <w:pStyle w:val="Zkladntext30"/>
        <w:shd w:val="clear" w:color="auto" w:fill="auto"/>
        <w:spacing w:after="160" w:line="211" w:lineRule="auto"/>
        <w:ind w:left="880" w:hanging="880"/>
        <w:jc w:val="left"/>
        <w:rPr>
          <w:sz w:val="20"/>
          <w:szCs w:val="20"/>
        </w:rPr>
      </w:pPr>
      <w:r>
        <w:rPr>
          <w:i/>
          <w:iCs/>
          <w:sz w:val="20"/>
          <w:szCs w:val="20"/>
        </w:rPr>
        <w:t>a rozplyne se v cit</w:t>
      </w:r>
    </w:p>
    <w:p w:rsidR="00500724" w:rsidRDefault="00F30FB8">
      <w:pPr>
        <w:pStyle w:val="Zkladntext30"/>
        <w:shd w:val="clear" w:color="auto" w:fill="auto"/>
        <w:spacing w:after="0" w:line="204" w:lineRule="auto"/>
        <w:ind w:left="880" w:hanging="880"/>
        <w:jc w:val="left"/>
        <w:rPr>
          <w:sz w:val="20"/>
          <w:szCs w:val="20"/>
        </w:rPr>
      </w:pPr>
      <w:r>
        <w:rPr>
          <w:i/>
          <w:iCs/>
          <w:sz w:val="20"/>
          <w:szCs w:val="20"/>
        </w:rPr>
        <w:t>Nedám si vzít</w:t>
      </w:r>
    </w:p>
    <w:p w:rsidR="00500724" w:rsidRDefault="00F30FB8">
      <w:pPr>
        <w:pStyle w:val="Zkladntext30"/>
        <w:shd w:val="clear" w:color="auto" w:fill="auto"/>
        <w:spacing w:after="0" w:line="204" w:lineRule="auto"/>
        <w:ind w:left="880" w:hanging="880"/>
        <w:jc w:val="left"/>
        <w:rPr>
          <w:sz w:val="20"/>
          <w:szCs w:val="20"/>
        </w:rPr>
      </w:pPr>
      <w:r>
        <w:rPr>
          <w:i/>
          <w:iCs/>
          <w:sz w:val="20"/>
          <w:szCs w:val="20"/>
        </w:rPr>
        <w:t>že před odchodem dlouho v sobě váhá</w:t>
      </w:r>
    </w:p>
    <w:p w:rsidR="00500724" w:rsidRDefault="00F30FB8">
      <w:pPr>
        <w:pStyle w:val="Zkladntext30"/>
        <w:shd w:val="clear" w:color="auto" w:fill="auto"/>
        <w:spacing w:after="0" w:line="204" w:lineRule="auto"/>
        <w:ind w:left="880" w:hanging="880"/>
        <w:jc w:val="left"/>
        <w:rPr>
          <w:sz w:val="20"/>
          <w:szCs w:val="20"/>
        </w:rPr>
      </w:pPr>
      <w:r>
        <w:rPr>
          <w:i/>
          <w:iCs/>
          <w:sz w:val="20"/>
          <w:szCs w:val="20"/>
        </w:rPr>
        <w:t>se dnem jenž stonav je a Čelo horké má</w:t>
      </w:r>
    </w:p>
    <w:p w:rsidR="00500724" w:rsidRDefault="00F30FB8">
      <w:pPr>
        <w:pStyle w:val="Zkladntext30"/>
        <w:shd w:val="clear" w:color="auto" w:fill="auto"/>
        <w:spacing w:after="120" w:line="204" w:lineRule="auto"/>
        <w:ind w:left="880" w:hanging="880"/>
        <w:jc w:val="left"/>
        <w:rPr>
          <w:sz w:val="20"/>
          <w:szCs w:val="20"/>
        </w:rPr>
      </w:pPr>
      <w:r>
        <w:rPr>
          <w:i/>
          <w:iCs/>
          <w:sz w:val="20"/>
          <w:szCs w:val="20"/>
        </w:rPr>
        <w:t>váhá se rozloučit</w:t>
      </w:r>
    </w:p>
    <w:p w:rsidR="00500724" w:rsidRDefault="00F30FB8">
      <w:pPr>
        <w:pStyle w:val="Zkladntext30"/>
        <w:shd w:val="clear" w:color="auto" w:fill="auto"/>
        <w:spacing w:after="0" w:line="240" w:lineRule="auto"/>
        <w:ind w:left="880" w:hanging="880"/>
        <w:jc w:val="left"/>
        <w:rPr>
          <w:sz w:val="20"/>
          <w:szCs w:val="20"/>
        </w:rPr>
      </w:pPr>
      <w:r>
        <w:rPr>
          <w:i/>
          <w:iCs/>
          <w:sz w:val="20"/>
          <w:szCs w:val="20"/>
        </w:rPr>
        <w:t>Nedám si vymluvit</w:t>
      </w:r>
    </w:p>
    <w:p w:rsidR="00500724" w:rsidRDefault="00F30FB8">
      <w:pPr>
        <w:pStyle w:val="Zkladntext30"/>
        <w:shd w:val="clear" w:color="auto" w:fill="auto"/>
        <w:spacing w:after="0"/>
        <w:ind w:left="880" w:hanging="880"/>
        <w:jc w:val="left"/>
        <w:rPr>
          <w:sz w:val="20"/>
          <w:szCs w:val="20"/>
        </w:rPr>
      </w:pPr>
      <w:r>
        <w:rPr>
          <w:i/>
          <w:iCs/>
          <w:sz w:val="20"/>
          <w:szCs w:val="20"/>
        </w:rPr>
        <w:t>Se i pak kdy lze se jen obracet</w:t>
      </w:r>
    </w:p>
    <w:p w:rsidR="00500724" w:rsidRDefault="00F30FB8">
      <w:pPr>
        <w:pStyle w:val="Zkladntext30"/>
        <w:shd w:val="clear" w:color="auto" w:fill="auto"/>
        <w:spacing w:after="0" w:line="190" w:lineRule="auto"/>
        <w:ind w:left="880" w:hanging="880"/>
        <w:jc w:val="left"/>
        <w:rPr>
          <w:sz w:val="20"/>
          <w:szCs w:val="20"/>
        </w:rPr>
      </w:pPr>
      <w:r>
        <w:rPr>
          <w:i/>
          <w:iCs/>
          <w:sz w:val="20"/>
          <w:szCs w:val="20"/>
        </w:rPr>
        <w:t xml:space="preserve">za </w:t>
      </w:r>
      <w:r>
        <w:rPr>
          <w:i/>
          <w:iCs/>
          <w:sz w:val="20"/>
          <w:szCs w:val="20"/>
        </w:rPr>
        <w:t>dívčími údy v bílém rytmu</w:t>
      </w:r>
    </w:p>
    <w:p w:rsidR="00500724" w:rsidRDefault="00F30FB8">
      <w:pPr>
        <w:pStyle w:val="Zkladntext30"/>
        <w:shd w:val="clear" w:color="auto" w:fill="auto"/>
        <w:spacing w:after="0" w:line="199" w:lineRule="auto"/>
        <w:ind w:left="880" w:firstLine="0"/>
        <w:jc w:val="left"/>
        <w:rPr>
          <w:sz w:val="20"/>
          <w:szCs w:val="20"/>
        </w:rPr>
      </w:pPr>
      <w:r>
        <w:rPr>
          <w:i/>
          <w:iCs/>
          <w:sz w:val="20"/>
          <w:szCs w:val="20"/>
        </w:rPr>
        <w:t>dne</w:t>
      </w:r>
    </w:p>
    <w:p w:rsidR="00500724" w:rsidRDefault="00F30FB8">
      <w:pPr>
        <w:pStyle w:val="Zkladntext30"/>
        <w:shd w:val="clear" w:color="auto" w:fill="auto"/>
        <w:spacing w:after="180" w:line="194" w:lineRule="auto"/>
        <w:ind w:left="880" w:hanging="880"/>
        <w:jc w:val="left"/>
        <w:rPr>
          <w:sz w:val="20"/>
          <w:szCs w:val="20"/>
        </w:rPr>
      </w:pPr>
      <w:r>
        <w:rPr>
          <w:i/>
          <w:iCs/>
          <w:sz w:val="20"/>
          <w:szCs w:val="20"/>
        </w:rPr>
        <w:t>chtěl se vrátit</w:t>
      </w:r>
    </w:p>
    <w:p w:rsidR="00500724" w:rsidRDefault="00F30FB8">
      <w:pPr>
        <w:pStyle w:val="Zkladntext30"/>
        <w:shd w:val="clear" w:color="auto" w:fill="auto"/>
        <w:spacing w:after="0" w:line="211" w:lineRule="auto"/>
        <w:ind w:left="880" w:hanging="880"/>
        <w:jc w:val="left"/>
        <w:rPr>
          <w:sz w:val="20"/>
          <w:szCs w:val="20"/>
        </w:rPr>
      </w:pPr>
      <w:r>
        <w:rPr>
          <w:i/>
          <w:iCs/>
          <w:sz w:val="20"/>
          <w:szCs w:val="20"/>
        </w:rPr>
        <w:t>A jako všady</w:t>
      </w:r>
    </w:p>
    <w:p w:rsidR="00500724" w:rsidRDefault="00F30FB8">
      <w:pPr>
        <w:pStyle w:val="Zkladntext30"/>
        <w:shd w:val="clear" w:color="auto" w:fill="auto"/>
        <w:spacing w:after="0" w:line="211" w:lineRule="auto"/>
        <w:ind w:left="880" w:hanging="880"/>
        <w:jc w:val="left"/>
        <w:rPr>
          <w:sz w:val="20"/>
          <w:szCs w:val="20"/>
        </w:rPr>
      </w:pPr>
      <w:r>
        <w:rPr>
          <w:i/>
          <w:iCs/>
          <w:sz w:val="20"/>
          <w:szCs w:val="20"/>
        </w:rPr>
        <w:t>jen protože se díval za dnem bude oslepen</w:t>
      </w:r>
    </w:p>
    <w:p w:rsidR="00500724" w:rsidRDefault="00F30FB8">
      <w:pPr>
        <w:pStyle w:val="Zkladntext30"/>
        <w:shd w:val="clear" w:color="auto" w:fill="auto"/>
        <w:spacing w:after="0" w:line="211" w:lineRule="auto"/>
        <w:ind w:left="880" w:hanging="880"/>
        <w:jc w:val="left"/>
        <w:rPr>
          <w:sz w:val="20"/>
          <w:szCs w:val="20"/>
        </w:rPr>
      </w:pPr>
      <w:r>
        <w:rPr>
          <w:i/>
          <w:iCs/>
          <w:sz w:val="20"/>
          <w:szCs w:val="20"/>
        </w:rPr>
        <w:t>odrazem milostného světla</w:t>
      </w:r>
    </w:p>
    <w:p w:rsidR="00500724" w:rsidRDefault="00F30FB8">
      <w:pPr>
        <w:pStyle w:val="Zkladntext30"/>
        <w:shd w:val="clear" w:color="auto" w:fill="auto"/>
        <w:spacing w:after="0" w:line="211" w:lineRule="auto"/>
        <w:ind w:left="880" w:firstLine="0"/>
        <w:jc w:val="left"/>
        <w:rPr>
          <w:sz w:val="20"/>
          <w:szCs w:val="20"/>
        </w:rPr>
      </w:pPr>
      <w:r>
        <w:rPr>
          <w:i/>
          <w:iCs/>
          <w:sz w:val="20"/>
          <w:szCs w:val="20"/>
        </w:rPr>
        <w:t>byt za nic nemohl</w:t>
      </w:r>
    </w:p>
    <w:p w:rsidR="00500724" w:rsidRDefault="00F30FB8">
      <w:pPr>
        <w:pStyle w:val="Zkladntext30"/>
        <w:shd w:val="clear" w:color="auto" w:fill="auto"/>
        <w:spacing w:after="120" w:line="211" w:lineRule="auto"/>
        <w:ind w:left="880" w:hanging="880"/>
        <w:jc w:val="left"/>
        <w:rPr>
          <w:sz w:val="20"/>
          <w:szCs w:val="20"/>
        </w:rPr>
      </w:pPr>
      <w:r>
        <w:rPr>
          <w:i/>
          <w:iCs/>
          <w:sz w:val="20"/>
          <w:szCs w:val="20"/>
        </w:rPr>
        <w:t>tak mladý</w:t>
      </w:r>
    </w:p>
    <w:p w:rsidR="00500724" w:rsidRDefault="00F30FB8">
      <w:pPr>
        <w:pStyle w:val="Zkladntext40"/>
        <w:shd w:val="clear" w:color="auto" w:fill="auto"/>
        <w:spacing w:after="120" w:line="194" w:lineRule="auto"/>
        <w:ind w:firstLine="180"/>
        <w:jc w:val="left"/>
      </w:pPr>
      <w:r>
        <w:t>Z nového, třetího ěísla Kritic</w:t>
      </w:r>
      <w:r>
        <w:softHyphen/>
        <w:t>kého měsíčníku.</w:t>
      </w:r>
    </w:p>
    <w:p w:rsidR="00500724" w:rsidRDefault="00F30FB8">
      <w:pPr>
        <w:pStyle w:val="Zkladntext30"/>
        <w:shd w:val="clear" w:color="auto" w:fill="auto"/>
        <w:spacing w:after="0" w:line="240" w:lineRule="auto"/>
        <w:ind w:left="880" w:hanging="880"/>
        <w:jc w:val="left"/>
        <w:rPr>
          <w:sz w:val="20"/>
          <w:szCs w:val="20"/>
        </w:rPr>
      </w:pPr>
      <w:r>
        <w:rPr>
          <w:i/>
          <w:iCs/>
          <w:sz w:val="20"/>
          <w:szCs w:val="20"/>
        </w:rPr>
        <w:t>Pavel Váša</w:t>
      </w:r>
    </w:p>
    <w:p w:rsidR="00500724" w:rsidRDefault="00F30FB8">
      <w:pPr>
        <w:pStyle w:val="Zkladntext100"/>
        <w:shd w:val="clear" w:color="auto" w:fill="auto"/>
        <w:spacing w:line="240" w:lineRule="auto"/>
        <w:ind w:left="880" w:hanging="880"/>
        <w:jc w:val="left"/>
        <w:rPr>
          <w:sz w:val="19"/>
          <w:szCs w:val="19"/>
        </w:rPr>
      </w:pPr>
      <w:r>
        <w:rPr>
          <w:b/>
          <w:bCs/>
          <w:sz w:val="19"/>
          <w:szCs w:val="19"/>
        </w:rPr>
        <w:t>VZPOMÍNANÍ</w:t>
      </w:r>
    </w:p>
    <w:p w:rsidR="00500724" w:rsidRDefault="00F30FB8">
      <w:pPr>
        <w:pStyle w:val="Zkladntext100"/>
        <w:shd w:val="clear" w:color="auto" w:fill="auto"/>
        <w:spacing w:after="60" w:line="240" w:lineRule="auto"/>
        <w:ind w:left="880" w:hanging="880"/>
        <w:jc w:val="left"/>
        <w:rPr>
          <w:sz w:val="19"/>
          <w:szCs w:val="19"/>
        </w:rPr>
      </w:pPr>
      <w:r>
        <w:rPr>
          <w:b/>
          <w:bCs/>
          <w:sz w:val="19"/>
          <w:szCs w:val="19"/>
        </w:rPr>
        <w:t>NA MAMINKU</w:t>
      </w:r>
    </w:p>
    <w:p w:rsidR="00500724" w:rsidRDefault="00F30FB8">
      <w:pPr>
        <w:pStyle w:val="Zkladntext40"/>
        <w:shd w:val="clear" w:color="auto" w:fill="auto"/>
        <w:spacing w:after="0"/>
        <w:ind w:left="320" w:firstLine="180"/>
      </w:pPr>
      <w:r>
        <w:t xml:space="preserve">Ukázka z knihy dětství Pod </w:t>
      </w:r>
      <w:r>
        <w:rPr>
          <w:lang w:val="en-US" w:eastAsia="en-US" w:bidi="en-US"/>
        </w:rPr>
        <w:t xml:space="preserve">Itipem. </w:t>
      </w:r>
      <w:r>
        <w:t>v které Pavel Váša vylíčil, Jakým životem žili podřipští evangelíci v le- letech Jeho dětství a student</w:t>
      </w:r>
      <w:r>
        <w:softHyphen/>
        <w:t>ského mládí. Kniha vychází jako 11. svazek knihovny Pa</w:t>
      </w:r>
      <w:r>
        <w:softHyphen/>
        <w:t>měti.</w:t>
      </w:r>
    </w:p>
    <w:p w:rsidR="00500724" w:rsidRDefault="00F30FB8">
      <w:pPr>
        <w:pStyle w:val="Zkladntext40"/>
        <w:shd w:val="clear" w:color="auto" w:fill="auto"/>
        <w:spacing w:after="80" w:line="175" w:lineRule="auto"/>
        <w:ind w:firstLine="180"/>
      </w:pPr>
      <w:r>
        <w:t>Mamince bylo skoro třicet de</w:t>
      </w:r>
      <w:r>
        <w:softHyphen/>
        <w:t xml:space="preserve">vět let, když jsem se </w:t>
      </w:r>
      <w:r>
        <w:t>narodil, ta</w:t>
      </w:r>
      <w:r>
        <w:softHyphen/>
        <w:t>tínkovi nebylo ještě zplna dvaa</w:t>
      </w:r>
      <w:r>
        <w:softHyphen/>
        <w:t>třicet. Byla tedy o celých sedm let starší. A přece to byl sňatek z lásky, při čem musil tatínek zápasit, aby mu dědeček mamin</w:t>
      </w:r>
      <w:r>
        <w:softHyphen/>
        <w:t>ku dal. Poznal JI v Nosislavi, když tam doprovodila svou mlad</w:t>
      </w:r>
      <w:r>
        <w:softHyphen/>
        <w:t>ší sestru Emilku, provd</w:t>
      </w:r>
      <w:r>
        <w:t>anou za faráře Nešpora. Když přijížděl nový farář s rodinou do městeč</w:t>
      </w:r>
      <w:r>
        <w:softHyphen/>
        <w:t>ka, vyšlí Jím lidé vstříc, mezi ni</w:t>
      </w:r>
      <w:r>
        <w:softHyphen/>
        <w:t>mi přirozeně také pan učitel. Tu jely na voze vedle sebe dvě mla</w:t>
      </w:r>
      <w:r>
        <w:softHyphen/>
        <w:t xml:space="preserve">dé dámy, oblečené po módě a la císařovna </w:t>
      </w:r>
      <w:r>
        <w:rPr>
          <w:lang w:val="en-US" w:eastAsia="en-US" w:bidi="en-US"/>
        </w:rPr>
        <w:t xml:space="preserve">Eugenie, </w:t>
      </w:r>
      <w:r>
        <w:t>z nichž ta bledší se tatínkovi na pr</w:t>
      </w:r>
      <w:r>
        <w:t>vní po</w:t>
      </w:r>
      <w:r>
        <w:softHyphen/>
        <w:t>hled velice zalíbila. Jen aby to nebyla nová paní farářová, přál sl. A nebyla. Tak se tatínek na</w:t>
      </w:r>
      <w:r>
        <w:softHyphen/>
        <w:t xml:space="preserve">ráz zamiloval, ale otec Julinky z </w:t>
      </w:r>
      <w:r>
        <w:rPr>
          <w:lang w:val="en-US" w:eastAsia="en-US" w:bidi="en-US"/>
        </w:rPr>
        <w:t xml:space="preserve">Tardy, </w:t>
      </w:r>
      <w:r>
        <w:t>bošínský pan senior, ne</w:t>
      </w:r>
      <w:r>
        <w:softHyphen/>
        <w:t xml:space="preserve">byl láskou mladého nosislavské- ho rektora nikterak nadšen, i když nehleděl na to, že </w:t>
      </w:r>
      <w:r>
        <w:t>jedna je</w:t>
      </w:r>
      <w:r>
        <w:softHyphen/>
        <w:t>ho dcera, a to starší než Emilka, měla jit za muže do chudé školy. ZkuSený stařec, který měl za se</w:t>
      </w:r>
      <w:r>
        <w:softHyphen/>
        <w:t>bou život bohatý prací 1 utrpe</w:t>
      </w:r>
      <w:r>
        <w:softHyphen/>
        <w:t>ním, nedůvěřoval mladému muži, potrvá-11 jeho láska i v letech ! pozdějších, až by rozdíl věku vy- ' nikl mezi manžel</w:t>
      </w:r>
      <w:r>
        <w:t>y patrněji. Ale I</w:t>
      </w:r>
    </w:p>
    <w:p w:rsidR="00500724" w:rsidRDefault="00F30FB8">
      <w:pPr>
        <w:pStyle w:val="Nadpis120"/>
        <w:shd w:val="clear" w:color="auto" w:fill="auto"/>
        <w:spacing w:after="120"/>
        <w:ind w:left="0"/>
        <w:jc w:val="both"/>
      </w:pPr>
      <w:bookmarkStart w:id="349" w:name="bookmark348"/>
      <w:r>
        <w:rPr>
          <w:rFonts w:ascii="Arial" w:eastAsia="Arial" w:hAnsi="Arial" w:cs="Arial"/>
        </w:rPr>
        <w:t>NOVÉ KNIHY</w:t>
      </w:r>
      <w:bookmarkEnd w:id="349"/>
    </w:p>
    <w:p w:rsidR="00500724" w:rsidRDefault="00F30FB8">
      <w:pPr>
        <w:pStyle w:val="Zkladntext40"/>
        <w:shd w:val="clear" w:color="auto" w:fill="auto"/>
        <w:spacing w:after="0" w:line="211" w:lineRule="auto"/>
        <w:ind w:firstLine="180"/>
      </w:pPr>
      <w:r>
        <w:rPr>
          <w:lang w:val="en-US" w:eastAsia="en-US" w:bidi="en-US"/>
        </w:rPr>
        <w:t xml:space="preserve">JULES </w:t>
      </w:r>
      <w:r>
        <w:t>ROMAINS: MRAKY NA OBZORU. Mraky na obzoru, de</w:t>
      </w:r>
      <w:r>
        <w:softHyphen/>
        <w:t>vátý svazek Lidí dobré vůle, kte</w:t>
      </w:r>
      <w:r>
        <w:softHyphen/>
        <w:t>ré v předchozím románě Venkov vyvolaly tak kouzelnou a živou představu venkova 1 venkovské</w:t>
      </w:r>
      <w:r>
        <w:softHyphen/>
        <w:t>ho života, navracejí děj této mo</w:t>
      </w:r>
      <w:r>
        <w:softHyphen/>
        <w:t>hutné epické sklad</w:t>
      </w:r>
      <w:r>
        <w:t>by Julesa Ro- mainse opět do Paříže. Avšak do této chvíle se obě dějiště: Paříž a venkov, prolínají. Na venkově po</w:t>
      </w:r>
      <w:r>
        <w:softHyphen/>
        <w:t xml:space="preserve">kračuje románek abbé Mionneta, Jehuž hrozí nebezpečí, </w:t>
      </w:r>
      <w:r>
        <w:rPr>
          <w:b/>
          <w:bCs/>
          <w:sz w:val="19"/>
          <w:szCs w:val="19"/>
        </w:rPr>
        <w:t xml:space="preserve">že </w:t>
      </w:r>
      <w:r>
        <w:t>jeho do</w:t>
      </w:r>
      <w:r>
        <w:softHyphen/>
        <w:t>brodružství s veselou Emilkou budou prozrazena, a souběžně s nimi nebezpečné</w:t>
      </w:r>
      <w:r>
        <w:t xml:space="preserve"> intriky tajných organisaci. Ale hlavním Jevištěm je přece jen zase Paříž, a to opět její nová tvář: Paříž Jako sídlo dvou mocí, které jsou hlavními karakteristickými znaky nového věku. Jedna z těchto mocí je sta</w:t>
      </w:r>
      <w:r>
        <w:softHyphen/>
        <w:t>rá, posvěcená tradici, opřená o staleté stá</w:t>
      </w:r>
      <w:r>
        <w:t>tní zřízení a jmenuje se stát, vláda. A vedle ní vyrost</w:t>
      </w:r>
      <w:r>
        <w:softHyphen/>
        <w:t>la úplně organicky moc nová, je- tatínkova láska k Julince byla ohnivá, jak svědčí některé do</w:t>
      </w:r>
      <w:r>
        <w:softHyphen/>
        <w:t>chované dopisy, a překonala svou naprostou poctivostí všecky oba</w:t>
      </w:r>
      <w:r>
        <w:softHyphen/>
        <w:t>vy. Také otcovi příbuzní měli své pochybn</w:t>
      </w:r>
      <w:r>
        <w:t>osti, ale o nevěstě ovšem. Byla tenkrát bledých tváří, a když ji tatínek přivezl ukázat do Starkoče. říkali potom starostlivě: Aby Ceněček nebyl brzy vdovcem! Než přes všecky obavy a nesnáze byla z toho svatba, slavná ovšem, jak se to slušelo na svatbu dce</w:t>
      </w:r>
      <w:r>
        <w:t>ry obecně váženého seniora obvodu Podě</w:t>
      </w:r>
      <w:r>
        <w:softHyphen/>
        <w:t>bradského. Mezi svědky byl pan Kubíček, zlatník z Nymburka, jak o tom trvale svědčily naše stříbrné kávové lžičky a nože i vidličky jako svatební dar, na kterých na všech bylo vyryto jméno výrobce, ovšem po tehdej</w:t>
      </w:r>
      <w:r>
        <w:softHyphen/>
        <w:t>ším</w:t>
      </w:r>
      <w:r>
        <w:t xml:space="preserve"> nechvalném zvyku němec</w:t>
      </w:r>
      <w:r>
        <w:softHyphen/>
        <w:t>kém pravopisem: KUBICZEK. Jednou z družiček byla tatínko</w:t>
      </w:r>
      <w:r>
        <w:softHyphen/>
        <w:t>va mladší sestra Márinka, která se neprozřetelně najedla mnoho cukroví a jiných svatebních dob</w:t>
      </w:r>
      <w:r>
        <w:softHyphen/>
        <w:t>rot, což mělo pro ni následky, jež hodně otřásly důstojností je</w:t>
      </w:r>
      <w:r>
        <w:softHyphen/>
        <w:t>jího jinak význa</w:t>
      </w:r>
      <w:r>
        <w:t>mného svatební</w:t>
      </w:r>
      <w:r>
        <w:softHyphen/>
        <w:t>ho úkolu.</w:t>
      </w:r>
    </w:p>
    <w:p w:rsidR="00500724" w:rsidRDefault="00F30FB8">
      <w:pPr>
        <w:pStyle w:val="Zkladntext40"/>
        <w:shd w:val="clear" w:color="auto" w:fill="auto"/>
        <w:spacing w:after="100"/>
        <w:ind w:firstLine="180"/>
      </w:pPr>
      <w:r>
        <w:t>Maminka na rozdíl od tatínka o své rodině vypravovala mno</w:t>
      </w:r>
      <w:r>
        <w:softHyphen/>
        <w:t>hem zdrželivěji než tatínek, což mělo příčinu v některých bolest</w:t>
      </w:r>
      <w:r>
        <w:softHyphen/>
        <w:t>ných příhodách rodinných, o kte</w:t>
      </w:r>
      <w:r>
        <w:softHyphen/>
        <w:t xml:space="preserve">rých soudila, že bude lépe, když je ani nezvíme. Když jsem po kvartě byl na </w:t>
      </w:r>
      <w:r>
        <w:t>fériové cestě hos</w:t>
      </w:r>
      <w:r>
        <w:softHyphen/>
        <w:t>tem na faře v Libštátě, hostem velmi srdečně uvítaným, narazil na některé příběhy bošínské ro</w:t>
      </w:r>
      <w:r>
        <w:softHyphen/>
        <w:t xml:space="preserve">diny z </w:t>
      </w:r>
      <w:r>
        <w:rPr>
          <w:lang w:val="en-US" w:eastAsia="en-US" w:bidi="en-US"/>
        </w:rPr>
        <w:t xml:space="preserve">Tardy nan </w:t>
      </w:r>
      <w:r>
        <w:t>konsenior Ha</w:t>
      </w:r>
      <w:r>
        <w:softHyphen/>
        <w:t>velka, ale odmlčel se, když po</w:t>
      </w:r>
      <w:r>
        <w:softHyphen/>
        <w:t>znal, že vůbec o ničem nevím. Když jsem se potom doma ma</w:t>
      </w:r>
      <w:r>
        <w:softHyphen/>
        <w:t>minky na to vyptával, řekl</w:t>
      </w:r>
      <w:r>
        <w:t>a pou</w:t>
      </w:r>
      <w:r>
        <w:softHyphen/>
      </w:r>
      <w:r>
        <w:br w:type="column"/>
        <w:t>ště nedostatečně organisovaná. a nezkušená, ale přesvědčená, že budoucnost je její: kolektivní vů</w:t>
      </w:r>
      <w:r>
        <w:softHyphen/>
        <w:t>le a energie dělnické masy. Se stejnou básnickou silou, s Jakou nás již dřivé uvedl do Paříže kaž</w:t>
      </w:r>
      <w:r>
        <w:softHyphen/>
        <w:t>dodenní práce, zločinů, mládi, ci</w:t>
      </w:r>
      <w:r>
        <w:softHyphen/>
        <w:t>tové i živočišné lá</w:t>
      </w:r>
      <w:r>
        <w:t>sky, dobyvač- nosti a evangelické pokory, evo</w:t>
      </w:r>
      <w:r>
        <w:softHyphen/>
        <w:t>kuje zde Romains růst nové slož</w:t>
      </w:r>
      <w:r>
        <w:softHyphen/>
        <w:t>ky v životech národů: socialis</w:t>
      </w:r>
      <w:r>
        <w:softHyphen/>
        <w:t>mus. Jak se pozvolna rodil v prů</w:t>
      </w:r>
      <w:r>
        <w:softHyphen/>
        <w:t>myslových velkoměstských před</w:t>
      </w:r>
      <w:r>
        <w:softHyphen/>
        <w:t xml:space="preserve">městích, jak se rozvíjel současně s rozmachem průmyslu, jak se podzemně organisoval </w:t>
      </w:r>
      <w:r>
        <w:t>a sílil a jak se cvičil k boji napřed drob</w:t>
      </w:r>
      <w:r>
        <w:softHyphen/>
        <w:t>nými stávkami a nakonec stáv</w:t>
      </w:r>
      <w:r>
        <w:softHyphen/>
        <w:t>kou generální. Zde jsme opravdu již v plném kvasu doby. Ze všech těch stávek dýchá již palčivý dnešek. Na obzoru se kupí mrač</w:t>
      </w:r>
      <w:r>
        <w:softHyphen/>
        <w:t>na nebezpečí vnitřních 1 zahra</w:t>
      </w:r>
      <w:r>
        <w:softHyphen/>
        <w:t>ničních. Proud románového d</w:t>
      </w:r>
      <w:r>
        <w:t>ěje se zde nejen prohlubuje, ale také rozlévá do šířky veletoku, pro</w:t>
      </w:r>
      <w:r>
        <w:softHyphen/>
        <w:t>tože je rozvodňován dalšími pří</w:t>
      </w:r>
      <w:r>
        <w:softHyphen/>
        <w:t>toky lidských vůlí, cílů a dobro</w:t>
      </w:r>
      <w:r>
        <w:softHyphen/>
        <w:t>družství. Cena brož. svazku Je 25 K.</w:t>
      </w:r>
    </w:p>
    <w:p w:rsidR="00500724" w:rsidRDefault="00F30FB8">
      <w:pPr>
        <w:pStyle w:val="Zkladntext40"/>
        <w:shd w:val="clear" w:color="auto" w:fill="auto"/>
        <w:spacing w:after="0"/>
      </w:pPr>
      <w:r>
        <w:t>ze: &gt;A to vám pan farář nevěděl nic moudřejšího vypravovat?«</w:t>
      </w:r>
    </w:p>
    <w:p w:rsidR="00500724" w:rsidRDefault="00F30FB8">
      <w:pPr>
        <w:pStyle w:val="Zkladntext40"/>
        <w:shd w:val="clear" w:color="auto" w:fill="auto"/>
        <w:spacing w:after="0"/>
        <w:ind w:firstLine="180"/>
      </w:pPr>
      <w:r>
        <w:t>Co tu dále vypravuji o m</w:t>
      </w:r>
      <w:r>
        <w:t>amin</w:t>
      </w:r>
      <w:r>
        <w:softHyphen/>
        <w:t xml:space="preserve">čině rodině, vím z řídkých jejich chvilek sdílnosti </w:t>
      </w:r>
      <w:r>
        <w:rPr>
          <w:vertAlign w:val="superscript"/>
        </w:rPr>
        <w:t>J</w:t>
      </w:r>
      <w:r>
        <w:t>), z toho, co jsem Jednou zahlédl v rodinné truhle, a z vypravování cizích li</w:t>
      </w:r>
      <w:r>
        <w:softHyphen/>
        <w:t>dí. O pohřbu dědečkova syna ve Vídni, kterého se zúčastnil také pěvec Slávy dcery Jan Kollár, jsem našel velmi podrobnou</w:t>
      </w:r>
      <w:r>
        <w:t xml:space="preserve"> zprá</w:t>
      </w:r>
      <w:r>
        <w:softHyphen/>
        <w:t>vu v Českobratrském věstníku z roku 1850.</w:t>
      </w:r>
    </w:p>
    <w:p w:rsidR="00500724" w:rsidRDefault="00F30FB8">
      <w:pPr>
        <w:pStyle w:val="Zkladntext40"/>
        <w:shd w:val="clear" w:color="auto" w:fill="auto"/>
        <w:spacing w:after="0"/>
        <w:ind w:firstLine="180"/>
      </w:pPr>
      <w:r>
        <w:t>Dědečka a babičku jsem znal aspoň z dobrých portrétů, které visely u nás v parádním pokoji na čelném misie. Byly to olejo</w:t>
      </w:r>
      <w:r>
        <w:softHyphen/>
        <w:t>malby, podávající hlavy skoro v životní velikosti. Babičina podo</w:t>
      </w:r>
      <w:r>
        <w:softHyphen/>
        <w:t>bizna ukazovala klidn</w:t>
      </w:r>
      <w:r>
        <w:t>ou tvář blahobytné paní, oděv měla zdo</w:t>
      </w:r>
      <w:r>
        <w:softHyphen/>
        <w:t>bený kolem šíje širokou krajkou. Dědeček, hladce vyholený, díval se vážně, skoro přísně, vlasy nad čelem byly samá kudrlinka. Ba</w:t>
      </w:r>
      <w:r>
        <w:softHyphen/>
        <w:t>bička měla oči modré, dědeček tmavé.</w:t>
      </w:r>
    </w:p>
    <w:p w:rsidR="00500724" w:rsidRDefault="00F30FB8">
      <w:pPr>
        <w:pStyle w:val="Zkladntext40"/>
        <w:shd w:val="clear" w:color="auto" w:fill="auto"/>
        <w:spacing w:after="0"/>
        <w:ind w:firstLine="180"/>
      </w:pPr>
      <w:r>
        <w:t xml:space="preserve">Samuel z </w:t>
      </w:r>
      <w:r>
        <w:rPr>
          <w:lang w:val="en-US" w:eastAsia="en-US" w:bidi="en-US"/>
        </w:rPr>
        <w:t xml:space="preserve">Tardy </w:t>
      </w:r>
      <w:r>
        <w:t>byl od toleran</w:t>
      </w:r>
      <w:r>
        <w:softHyphen/>
        <w:t>ce už sedmý farář boš</w:t>
      </w:r>
      <w:r>
        <w:t>ínský, ne</w:t>
      </w:r>
      <w:r>
        <w:softHyphen/>
        <w:t>boť z jeho předchůdců nikdo ne</w:t>
      </w:r>
      <w:r>
        <w:softHyphen/>
        <w:t>pobyl v Bošině dlouho. Všichni byli jako děd maďarského půvo</w:t>
      </w:r>
      <w:r>
        <w:softHyphen/>
        <w:t xml:space="preserve">du. Otec dědečkův Mojžíš z </w:t>
      </w:r>
      <w:r>
        <w:rPr>
          <w:lang w:val="en-US" w:eastAsia="en-US" w:bidi="en-US"/>
        </w:rPr>
        <w:t>Tar</w:t>
      </w:r>
      <w:r>
        <w:rPr>
          <w:lang w:val="en-US" w:eastAsia="en-US" w:bidi="en-US"/>
        </w:rPr>
        <w:softHyphen/>
        <w:t xml:space="preserve">dy </w:t>
      </w:r>
      <w:r>
        <w:t>byl mezi třinácti tolerančními apoštoly, kteří v červnu roku 1783 přibyli do Cech. Dědeček uměl Ještě dobře maďarský, al</w:t>
      </w:r>
      <w:r>
        <w:t>e cítěním byl už horlivý Cech, ma</w:t>
      </w:r>
      <w:r>
        <w:softHyphen/>
        <w:t>minka se v dětství naučila ještě několika maďarským slovíčkům, ale zapomněla, tuším, všecko až na slovo kišasoňka, slečinka, jak jí říkali příbuzní, kteří jednou při</w:t>
      </w:r>
      <w:r>
        <w:softHyphen/>
        <w:t>jeli na návštěvu z Maďarska. Babička byla Antošova z Boš</w:t>
      </w:r>
      <w:r>
        <w:t>ína, ze statku, a děd s ní, tuším, dos</w:t>
      </w:r>
      <w:r>
        <w:softHyphen/>
        <w:t>tal slušnou chalupu.</w:t>
      </w:r>
    </w:p>
    <w:p w:rsidR="00500724" w:rsidRDefault="00F30FB8">
      <w:pPr>
        <w:pStyle w:val="Zkladntext40"/>
        <w:shd w:val="clear" w:color="auto" w:fill="auto"/>
        <w:spacing w:after="0"/>
        <w:ind w:firstLine="180"/>
      </w:pPr>
      <w:r>
        <w:t>Od konce let dvacátých minu-</w:t>
      </w:r>
    </w:p>
    <w:p w:rsidR="00500724" w:rsidRDefault="00F30FB8">
      <w:pPr>
        <w:spacing w:line="1" w:lineRule="exact"/>
        <w:rPr>
          <w:sz w:val="2"/>
          <w:szCs w:val="2"/>
        </w:rPr>
      </w:pPr>
      <w:r>
        <w:br w:type="column"/>
      </w:r>
    </w:p>
    <w:p w:rsidR="00500724" w:rsidRDefault="00F30FB8">
      <w:pPr>
        <w:pStyle w:val="Zkladntext30"/>
        <w:shd w:val="clear" w:color="auto" w:fill="auto"/>
        <w:spacing w:after="100" w:line="226" w:lineRule="auto"/>
        <w:ind w:firstLine="0"/>
        <w:jc w:val="left"/>
        <w:rPr>
          <w:sz w:val="20"/>
          <w:szCs w:val="20"/>
        </w:rPr>
      </w:pPr>
      <w:r>
        <w:rPr>
          <w:i/>
          <w:iCs/>
          <w:sz w:val="20"/>
          <w:szCs w:val="20"/>
        </w:rPr>
        <w:t>František Kovárna:</w:t>
      </w:r>
    </w:p>
    <w:p w:rsidR="00500724" w:rsidRDefault="00F30FB8">
      <w:pPr>
        <w:pStyle w:val="Zkladntext30"/>
        <w:shd w:val="clear" w:color="auto" w:fill="auto"/>
        <w:spacing w:after="100" w:line="226" w:lineRule="auto"/>
        <w:ind w:firstLine="0"/>
        <w:jc w:val="left"/>
        <w:rPr>
          <w:sz w:val="20"/>
          <w:szCs w:val="20"/>
        </w:rPr>
      </w:pPr>
      <w:r>
        <w:rPr>
          <w:b/>
          <w:bCs/>
          <w:sz w:val="20"/>
          <w:szCs w:val="20"/>
        </w:rPr>
        <w:t>O JOSEFU HOLEČKOVI</w:t>
      </w:r>
    </w:p>
    <w:p w:rsidR="00500724" w:rsidRDefault="00F30FB8">
      <w:pPr>
        <w:pStyle w:val="Zkladntext30"/>
        <w:shd w:val="clear" w:color="auto" w:fill="auto"/>
        <w:spacing w:after="140" w:line="226" w:lineRule="auto"/>
        <w:ind w:firstLine="180"/>
        <w:rPr>
          <w:sz w:val="20"/>
          <w:szCs w:val="20"/>
        </w:rPr>
      </w:pPr>
      <w:r>
        <w:rPr>
          <w:i/>
          <w:iCs/>
          <w:sz w:val="20"/>
          <w:szCs w:val="20"/>
        </w:rPr>
        <w:t>Básníka »Našich« Josefa Holečka, který zemřel 6. břez</w:t>
      </w:r>
      <w:r>
        <w:rPr>
          <w:i/>
          <w:iCs/>
          <w:sz w:val="20"/>
          <w:szCs w:val="20"/>
        </w:rPr>
        <w:softHyphen/>
        <w:t xml:space="preserve">na před deseti let, provází i po smrti osud, jaký měl za živa, kdy stál </w:t>
      </w:r>
      <w:r>
        <w:rPr>
          <w:i/>
          <w:iCs/>
          <w:sz w:val="20"/>
          <w:szCs w:val="20"/>
        </w:rPr>
        <w:t>ve stínu Lu- mírovců a musil si hledat okruh čtenářů vydáváním knih vlastní nákladem. Ne</w:t>
      </w:r>
      <w:r>
        <w:rPr>
          <w:i/>
          <w:iCs/>
          <w:sz w:val="20"/>
          <w:szCs w:val="20"/>
        </w:rPr>
        <w:softHyphen/>
        <w:t>vím, kolik svazků Našich se prodalo od Holečkovy smrti, ale vím, že za celou tu dobu nevyšla jediná závažnější a širší studie ani z okruhu těch, jež by mohl lákat ales</w:t>
      </w:r>
      <w:r>
        <w:rPr>
          <w:i/>
          <w:iCs/>
          <w:sz w:val="20"/>
          <w:szCs w:val="20"/>
        </w:rPr>
        <w:t>poň námětově; jako dávný čtenář Našich vím pak také, koli</w:t>
      </w:r>
      <w:r>
        <w:rPr>
          <w:i/>
          <w:iCs/>
          <w:sz w:val="20"/>
          <w:szCs w:val="20"/>
        </w:rPr>
        <w:softHyphen/>
        <w:t>krát jsem se setkal při Ho</w:t>
      </w:r>
      <w:r>
        <w:rPr>
          <w:i/>
          <w:iCs/>
          <w:sz w:val="20"/>
          <w:szCs w:val="20"/>
        </w:rPr>
        <w:softHyphen/>
        <w:t>lečkově jméně s pokrčením ramen, jehož původ byl v ne</w:t>
      </w:r>
      <w:r>
        <w:rPr>
          <w:i/>
          <w:iCs/>
          <w:sz w:val="20"/>
          <w:szCs w:val="20"/>
        </w:rPr>
        <w:softHyphen/>
        <w:t>chuti sáhnout — i v době, kdy se překládaly a četly ro</w:t>
      </w:r>
      <w:r>
        <w:rPr>
          <w:i/>
          <w:iCs/>
          <w:sz w:val="20"/>
          <w:szCs w:val="20"/>
        </w:rPr>
        <w:softHyphen/>
        <w:t>mánové řeky — po jeho kni</w:t>
      </w:r>
      <w:r>
        <w:rPr>
          <w:i/>
          <w:iCs/>
          <w:sz w:val="20"/>
          <w:szCs w:val="20"/>
        </w:rPr>
        <w:softHyphen/>
        <w:t>hách a přezkoušet si, jsou-li pravdi</w:t>
      </w:r>
      <w:r>
        <w:rPr>
          <w:i/>
          <w:iCs/>
          <w:sz w:val="20"/>
          <w:szCs w:val="20"/>
        </w:rPr>
        <w:t>vé charakteristiky me</w:t>
      </w:r>
      <w:r>
        <w:rPr>
          <w:i/>
          <w:iCs/>
          <w:sz w:val="20"/>
          <w:szCs w:val="20"/>
        </w:rPr>
        <w:softHyphen/>
        <w:t>chanicky opakované a trado-</w:t>
      </w:r>
    </w:p>
    <w:p w:rsidR="00500724" w:rsidRDefault="00F30FB8">
      <w:pPr>
        <w:pStyle w:val="Zkladntext40"/>
        <w:shd w:val="clear" w:color="auto" w:fill="auto"/>
        <w:spacing w:after="100"/>
      </w:pPr>
      <w:r>
        <w:t>lého století bývalo jistě na bo</w:t>
      </w:r>
      <w:r>
        <w:softHyphen/>
        <w:t>šínské faře velmi živo. Rodina byla četná, při čemž byl asi stej</w:t>
      </w:r>
      <w:r>
        <w:softHyphen/>
        <w:t>ný počet hochů i děvčat. Selský původ babiččin nevadil tomu, aby rodina nepěstovala v sobě uvědo</w:t>
      </w:r>
      <w:r>
        <w:softHyphen/>
        <w:t>mělé šlechti</w:t>
      </w:r>
      <w:r>
        <w:t>cké vědomí. Děti se nezapomínaly ani na školní se</w:t>
      </w:r>
      <w:r>
        <w:softHyphen/>
        <w:t xml:space="preserve">šity podepisovat velmi zřetelně z </w:t>
      </w:r>
      <w:r>
        <w:rPr>
          <w:lang w:val="en-US" w:eastAsia="en-US" w:bidi="en-US"/>
        </w:rPr>
        <w:t xml:space="preserve">Tardy. </w:t>
      </w:r>
      <w:r>
        <w:t>Pěstovala se rodinná tra</w:t>
      </w:r>
      <w:r>
        <w:softHyphen/>
        <w:t>dice a děti se dovídaly, který předek získal už za krále Matyá</w:t>
      </w:r>
      <w:r>
        <w:softHyphen/>
        <w:t>še šlechtický znak, jejž dědeček opatroval za celou českou větev rodu. Děvčát</w:t>
      </w:r>
      <w:r>
        <w:t>ka se učila vyšívat! na prádlo nad svůj monogram šlechtickou korunku s pěti hvěz</w:t>
      </w:r>
      <w:r>
        <w:softHyphen/>
        <w:t>dami. Šlechtické vědomí bylo utvrzováno nejen stykem s jiný</w:t>
      </w:r>
      <w:r>
        <w:softHyphen/>
        <w:t>mi farářskými rodinami, pochá</w:t>
      </w:r>
      <w:r>
        <w:softHyphen/>
        <w:t>zejícími z Maďarska, které si též přisvojovaly šlechtictví, ačkoliv jejich erb byl, j</w:t>
      </w:r>
      <w:r>
        <w:t>ak se Tardové dů</w:t>
      </w:r>
      <w:r>
        <w:softHyphen/>
        <w:t>věrně mezi sebou trochu posmí</w:t>
      </w:r>
      <w:r>
        <w:softHyphen/>
        <w:t>vali. pochybný, ale zvláště ochra</w:t>
      </w:r>
      <w:r>
        <w:softHyphen/>
        <w:t>nou a dlouholetým přátelstvím s křineckou rodino", von Bethman- nů. Každý týden byl tam děd hostem a Bethmannovi pokládali jej sobě za úplně rovnocenného, ne-li důchovním úřad</w:t>
      </w:r>
      <w:r>
        <w:t>em nad sebe povýšeného. Tento styk s němec</w:t>
      </w:r>
      <w:r>
        <w:softHyphen/>
        <w:t>kou šlechtickou rodinou nic ne ubral z dědečkova vroucího vlas tenectví. Sledoval s opravdovou účastí celý národní ruch od let dvacátých a také přispíval do ča</w:t>
      </w:r>
      <w:r>
        <w:softHyphen/>
        <w:t>sopisů pode jménem Bošínský. Měl vzácný dar taktu, kt</w:t>
      </w:r>
      <w:r>
        <w:t>erý tak vyznačoval evangelickou inteli</w:t>
      </w:r>
      <w:r>
        <w:softHyphen/>
        <w:t>genci v letech konkordátu a kte</w:t>
      </w:r>
      <w:r>
        <w:softHyphen/>
        <w:t>rý jediné umožňoval jí míti na</w:t>
      </w:r>
      <w:r>
        <w:softHyphen/>
        <w:t>mnoze vůdčí úlohu v katolickém</w:t>
      </w:r>
    </w:p>
    <w:p w:rsidR="00500724" w:rsidRDefault="00F30FB8">
      <w:pPr>
        <w:pStyle w:val="Zkladntext40"/>
        <w:shd w:val="clear" w:color="auto" w:fill="auto"/>
        <w:spacing w:after="100" w:line="180" w:lineRule="auto"/>
        <w:ind w:firstLine="180"/>
      </w:pPr>
      <w:r>
        <w:t>■) Jako stařenka na výměnku u sester se prý často rozpovídala o svém mládí, ale to už jsem pří tom nebýval.</w:t>
      </w:r>
      <w:r>
        <w:br w:type="page"/>
      </w:r>
    </w:p>
    <w:p w:rsidR="00500724" w:rsidRDefault="00F30FB8">
      <w:pPr>
        <w:pStyle w:val="Zkladntext30"/>
        <w:shd w:val="clear" w:color="auto" w:fill="auto"/>
        <w:spacing w:after="0" w:line="226" w:lineRule="auto"/>
        <w:ind w:firstLine="0"/>
        <w:rPr>
          <w:sz w:val="20"/>
          <w:szCs w:val="20"/>
        </w:rPr>
      </w:pPr>
      <w:r>
        <w:rPr>
          <w:noProof/>
        </w:rPr>
        <mc:AlternateContent>
          <mc:Choice Requires="wps">
            <w:drawing>
              <wp:anchor distT="0" distB="0" distL="0" distR="0" simplePos="0" relativeHeight="125829734" behindDoc="0" locked="0" layoutInCell="1" allowOverlap="1">
                <wp:simplePos x="0" y="0"/>
                <wp:positionH relativeFrom="page">
                  <wp:posOffset>437515</wp:posOffset>
                </wp:positionH>
                <wp:positionV relativeFrom="margin">
                  <wp:posOffset>4166870</wp:posOffset>
                </wp:positionV>
                <wp:extent cx="2978150" cy="265430"/>
                <wp:effectExtent l="0" t="0" r="0" b="0"/>
                <wp:wrapTopAndBottom/>
                <wp:docPr id="357" name="Shape 357"/>
                <wp:cNvGraphicFramePr/>
                <a:graphic xmlns:a="http://schemas.openxmlformats.org/drawingml/2006/main">
                  <a:graphicData uri="http://schemas.microsoft.com/office/word/2010/wordprocessingShape">
                    <wps:wsp>
                      <wps:cNvSpPr txBox="1"/>
                      <wps:spPr>
                        <a:xfrm>
                          <a:off x="0" y="0"/>
                          <a:ext cx="2978150" cy="265430"/>
                        </a:xfrm>
                        <a:prstGeom prst="rect">
                          <a:avLst/>
                        </a:prstGeom>
                        <a:noFill/>
                      </wps:spPr>
                      <wps:txbx>
                        <w:txbxContent>
                          <w:p w:rsidR="00500724" w:rsidRDefault="00F30FB8">
                            <w:pPr>
                              <w:pStyle w:val="Zkladntext40"/>
                              <w:shd w:val="clear" w:color="auto" w:fill="auto"/>
                              <w:spacing w:after="0" w:line="223" w:lineRule="auto"/>
                              <w:ind w:firstLine="2540"/>
                              <w:jc w:val="left"/>
                            </w:pPr>
                            <w:r>
                              <w:rPr>
                                <w:vertAlign w:val="subscript"/>
                              </w:rPr>
                              <w:t>(</w:t>
                            </w:r>
                            <w:r>
                              <w:t xml:space="preserve"> Z právě v</w:t>
                            </w:r>
                            <w:r>
                              <w:t xml:space="preserve">yšlého, třetího </w:t>
                            </w:r>
                            <w:r>
                              <w:rPr>
                                <w:i/>
                                <w:iCs/>
                                <w:sz w:val="20"/>
                                <w:szCs w:val="20"/>
                              </w:rPr>
                              <w:t>špýcharu, rozkyv mezí posta-</w:t>
                            </w:r>
                            <w:r>
                              <w:t>1 Kritického měsíčníku.</w:t>
                            </w:r>
                          </w:p>
                        </w:txbxContent>
                      </wps:txbx>
                      <wps:bodyPr lIns="0" tIns="0" rIns="0" bIns="0">
                        <a:spAutoFit/>
                      </wps:bodyPr>
                    </wps:wsp>
                  </a:graphicData>
                </a:graphic>
              </wp:anchor>
            </w:drawing>
          </mc:Choice>
          <mc:Fallback>
            <w:pict>
              <v:shape id="_x0000_s1383" type="#_x0000_t202" style="position:absolute;margin-left:34.450000000000003pt;margin-top:328.10000000000002pt;width:234.5pt;height:20.899999999999999pt;z-index:-125829019;mso-wrap-distance-left:0;mso-wrap-distance-right:0;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23" w:lineRule="auto"/>
                        <w:ind w:left="0" w:right="0" w:firstLine="2540"/>
                        <w:jc w:val="left"/>
                      </w:pPr>
                      <w:r>
                        <w:rPr>
                          <w:color w:val="000000"/>
                          <w:spacing w:val="0"/>
                          <w:w w:val="100"/>
                          <w:position w:val="0"/>
                          <w:shd w:val="clear" w:color="auto" w:fill="auto"/>
                          <w:vertAlign w:val="subscript"/>
                          <w:lang w:val="cs-CZ" w:eastAsia="cs-CZ" w:bidi="cs-CZ"/>
                        </w:rPr>
                        <w:t>(</w:t>
                      </w:r>
                      <w:r>
                        <w:rPr>
                          <w:color w:val="000000"/>
                          <w:spacing w:val="0"/>
                          <w:w w:val="100"/>
                          <w:position w:val="0"/>
                          <w:shd w:val="clear" w:color="auto" w:fill="auto"/>
                          <w:lang w:val="cs-CZ" w:eastAsia="cs-CZ" w:bidi="cs-CZ"/>
                        </w:rPr>
                        <w:t xml:space="preserve"> Z právě vyšlého, třetího </w:t>
                      </w:r>
                      <w:r>
                        <w:rPr>
                          <w:i/>
                          <w:iCs/>
                          <w:color w:val="000000"/>
                          <w:spacing w:val="0"/>
                          <w:w w:val="100"/>
                          <w:position w:val="0"/>
                          <w:sz w:val="20"/>
                          <w:szCs w:val="20"/>
                          <w:shd w:val="clear" w:color="auto" w:fill="auto"/>
                          <w:lang w:val="cs-CZ" w:eastAsia="cs-CZ" w:bidi="cs-CZ"/>
                        </w:rPr>
                        <w:t>špýcharu, rozkyv mezí posta-</w:t>
                      </w:r>
                      <w:r>
                        <w:rPr>
                          <w:color w:val="000000"/>
                          <w:spacing w:val="0"/>
                          <w:w w:val="100"/>
                          <w:position w:val="0"/>
                          <w:shd w:val="clear" w:color="auto" w:fill="auto"/>
                          <w:lang w:val="cs-CZ" w:eastAsia="cs-CZ" w:bidi="cs-CZ"/>
                        </w:rPr>
                        <w:t>1 Kritického měsíčníku.</w:t>
                      </w:r>
                    </w:p>
                  </w:txbxContent>
                </v:textbox>
                <w10:wrap type="topAndBottom" anchorx="page" anchory="margin"/>
              </v:shape>
            </w:pict>
          </mc:Fallback>
        </mc:AlternateContent>
      </w:r>
      <w:r>
        <w:rPr>
          <w:i/>
          <w:iCs/>
          <w:sz w:val="20"/>
          <w:szCs w:val="20"/>
        </w:rPr>
        <w:t>váné. Josef Holeček nemá u nás natím štěstí. Je příliš slo</w:t>
      </w:r>
      <w:r>
        <w:rPr>
          <w:i/>
          <w:iCs/>
          <w:sz w:val="20"/>
          <w:szCs w:val="20"/>
        </w:rPr>
        <w:softHyphen/>
        <w:t>žitý a řeknu, je málo literá</w:t>
      </w:r>
      <w:r>
        <w:rPr>
          <w:i/>
          <w:iCs/>
          <w:sz w:val="20"/>
          <w:szCs w:val="20"/>
        </w:rPr>
        <w:softHyphen/>
        <w:t>tem; nenapsal toho málo, ale víc své dílo žil než psal. Není jen romanopisec jihočeského velikého ži</w:t>
      </w:r>
      <w:r>
        <w:rPr>
          <w:i/>
          <w:iCs/>
          <w:sz w:val="20"/>
          <w:szCs w:val="20"/>
        </w:rPr>
        <w:t>vota, není jen bá</w:t>
      </w:r>
      <w:r>
        <w:rPr>
          <w:i/>
          <w:iCs/>
          <w:sz w:val="20"/>
          <w:szCs w:val="20"/>
        </w:rPr>
        <w:softHyphen/>
        <w:t>sník hlubokého zážitku ven</w:t>
      </w:r>
      <w:r>
        <w:rPr>
          <w:i/>
          <w:iCs/>
          <w:sz w:val="20"/>
          <w:szCs w:val="20"/>
        </w:rPr>
        <w:softHyphen/>
        <w:t>kovského dětství, není jen psycholog veliké duše, tvůr</w:t>
      </w:r>
      <w:r>
        <w:rPr>
          <w:i/>
          <w:iCs/>
          <w:sz w:val="20"/>
          <w:szCs w:val="20"/>
        </w:rPr>
        <w:softHyphen/>
        <w:t>ce Jana Kojana, ale i Skoby a Králence, hraběte Egona i lokaje Smetáčka, není jen hlídač české národní filoso</w:t>
      </w:r>
      <w:r>
        <w:rPr>
          <w:i/>
          <w:iCs/>
          <w:sz w:val="20"/>
          <w:szCs w:val="20"/>
        </w:rPr>
        <w:softHyphen/>
        <w:t>fie. A v tomto znění jene mohlo by se ještě po</w:t>
      </w:r>
      <w:r>
        <w:rPr>
          <w:i/>
          <w:iCs/>
          <w:sz w:val="20"/>
          <w:szCs w:val="20"/>
        </w:rPr>
        <w:t>kračo</w:t>
      </w:r>
      <w:r>
        <w:rPr>
          <w:i/>
          <w:iCs/>
          <w:sz w:val="20"/>
          <w:szCs w:val="20"/>
        </w:rPr>
        <w:softHyphen/>
        <w:t>vat, ale končit by se musilo tím, že je to mohutná osob</w:t>
      </w:r>
      <w:r>
        <w:rPr>
          <w:i/>
          <w:iCs/>
          <w:sz w:val="20"/>
          <w:szCs w:val="20"/>
        </w:rPr>
        <w:softHyphen/>
        <w:t>nost, která nám má co říci a mnoho co osvětlit z oněch různých aspektů, jež si zatím nedovedeme scelit, málo zna</w:t>
      </w:r>
      <w:r>
        <w:rPr>
          <w:i/>
          <w:iCs/>
          <w:sz w:val="20"/>
          <w:szCs w:val="20"/>
        </w:rPr>
        <w:softHyphen/>
        <w:t>jíce a prožívajíce dílo tohoto osamělce své i naší doby. Mě- řím-li ve své paměti</w:t>
      </w:r>
      <w:r>
        <w:rPr>
          <w:i/>
          <w:iCs/>
          <w:sz w:val="20"/>
          <w:szCs w:val="20"/>
        </w:rPr>
        <w:t xml:space="preserve"> čtenáře, který se k Našim vrací a na</w:t>
      </w:r>
      <w:r>
        <w:rPr>
          <w:i/>
          <w:iCs/>
          <w:sz w:val="20"/>
          <w:szCs w:val="20"/>
        </w:rPr>
        <w:softHyphen/>
        <w:t>posled prožíval loňského pod</w:t>
      </w:r>
      <w:r>
        <w:rPr>
          <w:i/>
          <w:iCs/>
          <w:sz w:val="20"/>
          <w:szCs w:val="20"/>
        </w:rPr>
        <w:softHyphen/>
        <w:t>zimu hrůznou symboliku osu</w:t>
      </w:r>
      <w:r>
        <w:rPr>
          <w:i/>
          <w:iCs/>
          <w:sz w:val="20"/>
          <w:szCs w:val="20"/>
        </w:rPr>
        <w:softHyphen/>
        <w:t>du Václava Šindeláře, který si dal zcizit půdu a vykoupil se sebeupálením ve starém</w:t>
      </w:r>
    </w:p>
    <w:p w:rsidR="00500724" w:rsidRDefault="00F30FB8">
      <w:pPr>
        <w:spacing w:line="1" w:lineRule="exact"/>
        <w:rPr>
          <w:sz w:val="2"/>
          <w:szCs w:val="2"/>
        </w:rPr>
      </w:pPr>
      <w:r>
        <w:br w:type="column"/>
      </w:r>
    </w:p>
    <w:p w:rsidR="00500724" w:rsidRDefault="00F30FB8">
      <w:pPr>
        <w:pStyle w:val="Zkladntext30"/>
        <w:shd w:val="clear" w:color="auto" w:fill="auto"/>
        <w:spacing w:after="0" w:line="228" w:lineRule="auto"/>
        <w:ind w:firstLine="0"/>
        <w:rPr>
          <w:sz w:val="20"/>
          <w:szCs w:val="20"/>
        </w:rPr>
      </w:pPr>
      <w:r>
        <w:rPr>
          <w:noProof/>
        </w:rPr>
        <mc:AlternateContent>
          <mc:Choice Requires="wps">
            <w:drawing>
              <wp:anchor distT="0" distB="0" distL="0" distR="0" simplePos="0" relativeHeight="125829736" behindDoc="0" locked="0" layoutInCell="1" allowOverlap="1">
                <wp:simplePos x="0" y="0"/>
                <wp:positionH relativeFrom="page">
                  <wp:posOffset>3458210</wp:posOffset>
                </wp:positionH>
                <wp:positionV relativeFrom="margin">
                  <wp:posOffset>4151630</wp:posOffset>
                </wp:positionV>
                <wp:extent cx="234950" cy="164465"/>
                <wp:effectExtent l="0" t="0" r="0" b="0"/>
                <wp:wrapSquare wrapText="right"/>
                <wp:docPr id="359" name="Shape 359"/>
                <wp:cNvGraphicFramePr/>
                <a:graphic xmlns:a="http://schemas.openxmlformats.org/drawingml/2006/main">
                  <a:graphicData uri="http://schemas.microsoft.com/office/word/2010/wordprocessingShape">
                    <wps:wsp>
                      <wps:cNvSpPr txBox="1"/>
                      <wps:spPr>
                        <a:xfrm>
                          <a:off x="0" y="0"/>
                          <a:ext cx="234950" cy="164465"/>
                        </a:xfrm>
                        <a:prstGeom prst="rect">
                          <a:avLst/>
                        </a:prstGeom>
                        <a:noFill/>
                      </wps:spPr>
                      <wps:txbx>
                        <w:txbxContent>
                          <w:p w:rsidR="00500724" w:rsidRDefault="00F30FB8">
                            <w:pPr>
                              <w:pStyle w:val="Zkladntext100"/>
                              <w:shd w:val="clear" w:color="auto" w:fill="auto"/>
                              <w:spacing w:line="240" w:lineRule="auto"/>
                              <w:ind w:firstLine="0"/>
                              <w:jc w:val="left"/>
                              <w:rPr>
                                <w:sz w:val="19"/>
                                <w:szCs w:val="19"/>
                              </w:rPr>
                            </w:pPr>
                            <w:r>
                              <w:rPr>
                                <w:b/>
                                <w:bCs/>
                                <w:sz w:val="19"/>
                                <w:szCs w:val="19"/>
                              </w:rPr>
                              <w:t>čísla</w:t>
                            </w:r>
                          </w:p>
                        </w:txbxContent>
                      </wps:txbx>
                      <wps:bodyPr lIns="0" tIns="0" rIns="0" bIns="0">
                        <a:spAutoFit/>
                      </wps:bodyPr>
                    </wps:wsp>
                  </a:graphicData>
                </a:graphic>
              </wp:anchor>
            </w:drawing>
          </mc:Choice>
          <mc:Fallback>
            <w:pict>
              <v:shape id="_x0000_s1385" type="#_x0000_t202" style="position:absolute;margin-left:272.30000000000001pt;margin-top:326.89999999999998pt;width:18.5pt;height:12.949999999999999pt;z-index:-125829017;mso-wrap-distance-left:0;mso-wrap-distance-right:0;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rPr>
                          <w:sz w:val="19"/>
                          <w:szCs w:val="19"/>
                        </w:rPr>
                      </w:pPr>
                      <w:r>
                        <w:rPr>
                          <w:b/>
                          <w:bCs/>
                          <w:color w:val="000000"/>
                          <w:spacing w:val="0"/>
                          <w:w w:val="100"/>
                          <w:position w:val="0"/>
                          <w:sz w:val="19"/>
                          <w:szCs w:val="19"/>
                          <w:shd w:val="clear" w:color="auto" w:fill="auto"/>
                          <w:lang w:val="cs-CZ" w:eastAsia="cs-CZ" w:bidi="cs-CZ"/>
                        </w:rPr>
                        <w:t>čísla</w:t>
                      </w:r>
                    </w:p>
                  </w:txbxContent>
                </v:textbox>
                <w10:wrap type="square" side="right" anchorx="page" anchory="margin"/>
              </v:shape>
            </w:pict>
          </mc:Fallback>
        </mc:AlternateContent>
      </w:r>
      <w:r>
        <w:rPr>
          <w:i/>
          <w:iCs/>
          <w:sz w:val="20"/>
          <w:szCs w:val="20"/>
        </w:rPr>
        <w:t>vičkami mladého Skoby a Bartoně Kojanova a posta</w:t>
      </w:r>
      <w:r>
        <w:rPr>
          <w:i/>
          <w:iCs/>
          <w:sz w:val="20"/>
          <w:szCs w:val="20"/>
        </w:rPr>
        <w:softHyphen/>
        <w:t xml:space="preserve">vami Jana Kojana </w:t>
      </w:r>
      <w:r>
        <w:rPr>
          <w:i/>
          <w:iCs/>
          <w:sz w:val="20"/>
          <w:szCs w:val="20"/>
        </w:rPr>
        <w:t>nebo Krá</w:t>
      </w:r>
      <w:r>
        <w:rPr>
          <w:i/>
          <w:iCs/>
          <w:sz w:val="20"/>
          <w:szCs w:val="20"/>
        </w:rPr>
        <w:softHyphen/>
        <w:t>lence, rozkyv od poesie dět</w:t>
      </w:r>
      <w:r>
        <w:rPr>
          <w:i/>
          <w:iCs/>
          <w:sz w:val="20"/>
          <w:szCs w:val="20"/>
        </w:rPr>
        <w:softHyphen/>
        <w:t>ství k poloze, kde se stávají postavy symbolem a podo</w:t>
      </w:r>
      <w:r>
        <w:rPr>
          <w:i/>
          <w:iCs/>
          <w:sz w:val="20"/>
          <w:szCs w:val="20"/>
        </w:rPr>
        <w:softHyphen/>
        <w:t>benstvím, tuším obdobu mezi Mikulášem Alšem a básní- kem-prorokem Josefem Ho</w:t>
      </w:r>
      <w:r>
        <w:rPr>
          <w:i/>
          <w:iCs/>
          <w:sz w:val="20"/>
          <w:szCs w:val="20"/>
        </w:rPr>
        <w:softHyphen/>
        <w:t>lečkem. Rozdíl je pouze v tom, že u Alše vyrostl mýtus venkova a venkovského dět</w:t>
      </w:r>
      <w:r>
        <w:rPr>
          <w:i/>
          <w:iCs/>
          <w:sz w:val="20"/>
          <w:szCs w:val="20"/>
        </w:rPr>
        <w:softHyphen/>
        <w:t>ství te</w:t>
      </w:r>
      <w:r>
        <w:rPr>
          <w:i/>
          <w:iCs/>
          <w:sz w:val="20"/>
          <w:szCs w:val="20"/>
        </w:rPr>
        <w:t>prve po epopeji o Vla</w:t>
      </w:r>
      <w:r>
        <w:rPr>
          <w:i/>
          <w:iCs/>
          <w:sz w:val="20"/>
          <w:szCs w:val="20"/>
        </w:rPr>
        <w:softHyphen/>
        <w:t xml:space="preserve">sti a svou úsměvnou podobou připravil pochopení </w:t>
      </w:r>
      <w:r>
        <w:rPr>
          <w:rFonts w:ascii="Arial" w:eastAsia="Arial" w:hAnsi="Arial" w:cs="Arial"/>
          <w:i/>
          <w:iCs/>
          <w:sz w:val="24"/>
          <w:szCs w:val="24"/>
        </w:rPr>
        <w:t xml:space="preserve">i </w:t>
      </w:r>
      <w:r>
        <w:rPr>
          <w:i/>
          <w:iCs/>
          <w:sz w:val="20"/>
          <w:szCs w:val="20"/>
        </w:rPr>
        <w:t>pro Vlast, odvrženou vlastni do</w:t>
      </w:r>
      <w:r>
        <w:rPr>
          <w:i/>
          <w:iCs/>
          <w:sz w:val="20"/>
          <w:szCs w:val="20"/>
        </w:rPr>
        <w:softHyphen/>
        <w:t>bou. V Holečka se obě polo</w:t>
      </w:r>
      <w:r>
        <w:rPr>
          <w:i/>
          <w:iCs/>
          <w:sz w:val="20"/>
          <w:szCs w:val="20"/>
        </w:rPr>
        <w:softHyphen/>
        <w:t>hy, které u Alše představuje monumentální Vlast, a tře</w:t>
      </w:r>
      <w:r>
        <w:rPr>
          <w:i/>
          <w:iCs/>
          <w:sz w:val="20"/>
          <w:szCs w:val="20"/>
        </w:rPr>
        <w:softHyphen/>
        <w:t>bas cyklus Měsíců, prostupu</w:t>
      </w:r>
      <w:r>
        <w:rPr>
          <w:i/>
          <w:iCs/>
          <w:sz w:val="20"/>
          <w:szCs w:val="20"/>
        </w:rPr>
        <w:softHyphen/>
        <w:t>jí a prolínají, a ta zpřístup- nějšU a ^př</w:t>
      </w:r>
      <w:r>
        <w:rPr>
          <w:i/>
          <w:iCs/>
          <w:sz w:val="20"/>
          <w:szCs w:val="20"/>
        </w:rPr>
        <w:t>ijatelnější^ ne</w:t>
      </w:r>
      <w:r>
        <w:rPr>
          <w:i/>
          <w:iCs/>
          <w:sz w:val="20"/>
          <w:szCs w:val="20"/>
        </w:rPr>
        <w:softHyphen/>
        <w:t>mohla připravit porozumění pro básníka z rodu proroků. A bojím se, že ani dnes ne</w:t>
      </w:r>
      <w:r>
        <w:rPr>
          <w:i/>
          <w:iCs/>
          <w:sz w:val="20"/>
          <w:szCs w:val="20"/>
        </w:rPr>
        <w:softHyphen/>
        <w:t>dojde k valné změně, třebas bychom měli snad nejen zde, ale rozhodně také zde, na</w:t>
      </w:r>
      <w:r>
        <w:rPr>
          <w:i/>
          <w:iCs/>
          <w:sz w:val="20"/>
          <w:szCs w:val="20"/>
        </w:rPr>
        <w:softHyphen/>
        <w:t>slouchat kořenům.</w:t>
      </w:r>
    </w:p>
    <w:p w:rsidR="00500724" w:rsidRDefault="00F30FB8">
      <w:pPr>
        <w:spacing w:line="1" w:lineRule="exact"/>
        <w:rPr>
          <w:sz w:val="2"/>
          <w:szCs w:val="2"/>
        </w:rPr>
      </w:pPr>
      <w:r>
        <w:br w:type="column"/>
      </w:r>
    </w:p>
    <w:p w:rsidR="00500724" w:rsidRDefault="00F30FB8">
      <w:pPr>
        <w:pStyle w:val="Zkladntext40"/>
        <w:shd w:val="clear" w:color="auto" w:fill="auto"/>
        <w:spacing w:after="0" w:line="204" w:lineRule="auto"/>
        <w:ind w:firstLine="180"/>
      </w:pPr>
      <w:r>
        <w:rPr>
          <w:noProof/>
        </w:rPr>
        <mc:AlternateContent>
          <mc:Choice Requires="wps">
            <w:drawing>
              <wp:anchor distT="0" distB="0" distL="114300" distR="114300" simplePos="0" relativeHeight="125829738" behindDoc="0" locked="0" layoutInCell="1" allowOverlap="1">
                <wp:simplePos x="0" y="0"/>
                <wp:positionH relativeFrom="page">
                  <wp:posOffset>3921125</wp:posOffset>
                </wp:positionH>
                <wp:positionV relativeFrom="margin">
                  <wp:posOffset>0</wp:posOffset>
                </wp:positionV>
                <wp:extent cx="2898775" cy="201295"/>
                <wp:effectExtent l="0" t="0" r="0" b="0"/>
                <wp:wrapTopAndBottom/>
                <wp:docPr id="361" name="Shape 361"/>
                <wp:cNvGraphicFramePr/>
                <a:graphic xmlns:a="http://schemas.openxmlformats.org/drawingml/2006/main">
                  <a:graphicData uri="http://schemas.microsoft.com/office/word/2010/wordprocessingShape">
                    <wps:wsp>
                      <wps:cNvSpPr txBox="1"/>
                      <wps:spPr>
                        <a:xfrm>
                          <a:off x="0" y="0"/>
                          <a:ext cx="2898775" cy="201295"/>
                        </a:xfrm>
                        <a:prstGeom prst="rect">
                          <a:avLst/>
                        </a:prstGeom>
                        <a:noFill/>
                      </wps:spPr>
                      <wps:txbx>
                        <w:txbxContent>
                          <w:p w:rsidR="00500724" w:rsidRDefault="00F30FB8">
                            <w:pPr>
                              <w:pStyle w:val="Zkladntext80"/>
                              <w:shd w:val="clear" w:color="auto" w:fill="auto"/>
                              <w:spacing w:line="240" w:lineRule="auto"/>
                            </w:pPr>
                            <w:r>
                              <w:rPr>
                                <w:b w:val="0"/>
                                <w:bCs w:val="0"/>
                              </w:rPr>
                              <w:t>Světová těžba nerostného oieje v roce 1938</w:t>
                            </w:r>
                          </w:p>
                        </w:txbxContent>
                      </wps:txbx>
                      <wps:bodyPr lIns="0" tIns="0" rIns="0" bIns="0">
                        <a:spAutoFit/>
                      </wps:bodyPr>
                    </wps:wsp>
                  </a:graphicData>
                </a:graphic>
              </wp:anchor>
            </w:drawing>
          </mc:Choice>
          <mc:Fallback>
            <w:pict>
              <v:shape id="_x0000_s1387" type="#_x0000_t202" style="position:absolute;margin-left:308.75pt;margin-top:0;width:228.25pt;height:15.85pt;z-index:-125829015;mso-wrap-distance-left:9.pt;mso-wrap-distance-right:9.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22"/>
                          <w:szCs w:val="22"/>
                          <w:shd w:val="clear" w:color="auto" w:fill="auto"/>
                          <w:lang w:val="cs-CZ" w:eastAsia="cs-CZ" w:bidi="cs-CZ"/>
                        </w:rPr>
                        <w:t>Světová těžba nerostného oieje v roce 1938</w:t>
                      </w:r>
                    </w:p>
                  </w:txbxContent>
                </v:textbox>
                <w10:wrap type="topAndBottom" anchorx="page" anchory="margin"/>
              </v:shape>
            </w:pict>
          </mc:Fallback>
        </mc:AlternateContent>
      </w:r>
      <w:r>
        <w:t xml:space="preserve">Světová </w:t>
      </w:r>
      <w:r>
        <w:t>těžba surového oleje zaznamenala po pětiletém údobí neustálého vzestupu — po prvé mírný pokles. Tento pokles není překvapující a nedosáhl také rozsahu, který by snad ukazo</w:t>
      </w:r>
      <w:r>
        <w:softHyphen/>
        <w:t>val na nějaký pokles ve světové spotřebě minerálních olejů. Po</w:t>
      </w:r>
      <w:r>
        <w:softHyphen/>
        <w:t xml:space="preserve">dle výpočtů P. P. B. </w:t>
      </w:r>
      <w:r>
        <w:t>poklesla vý</w:t>
      </w:r>
      <w:r>
        <w:softHyphen/>
        <w:t>roba všech olejářských zemi s rekordních 281 milionů tun, dosa</w:t>
      </w:r>
      <w:r>
        <w:softHyphen/>
        <w:t>žených v r. 1937 na 271 milionů tun v r. 1938, to Je o 3.4 pro</w:t>
      </w:r>
      <w:r>
        <w:softHyphen/>
        <w:t>centa.</w:t>
      </w:r>
    </w:p>
    <w:p w:rsidR="00500724" w:rsidRDefault="00F30FB8">
      <w:pPr>
        <w:pStyle w:val="Zkladntext40"/>
        <w:shd w:val="clear" w:color="auto" w:fill="auto"/>
        <w:spacing w:after="0" w:line="204" w:lineRule="auto"/>
        <w:ind w:firstLine="180"/>
      </w:pPr>
      <w:r>
        <w:t>Vývoj světové těžby od roku nejhlubší krise (1932) zachycuji</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4"/>
        <w:gridCol w:w="1421"/>
        <w:gridCol w:w="739"/>
      </w:tblGrid>
      <w:tr w:rsidR="00500724">
        <w:tblPrEx>
          <w:tblCellMar>
            <w:top w:w="0" w:type="dxa"/>
            <w:bottom w:w="0" w:type="dxa"/>
          </w:tblCellMar>
        </w:tblPrEx>
        <w:trPr>
          <w:trHeight w:hRule="exact" w:val="202"/>
          <w:jc w:val="center"/>
        </w:trPr>
        <w:tc>
          <w:tcPr>
            <w:tcW w:w="0" w:type="auto"/>
            <w:gridSpan w:val="3"/>
            <w:tcBorders>
              <w:left w:val="single" w:sz="4" w:space="0" w:color="auto"/>
              <w:righ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tato data:</w:t>
            </w:r>
          </w:p>
        </w:tc>
      </w:tr>
      <w:tr w:rsidR="00500724">
        <w:tblPrEx>
          <w:tblCellMar>
            <w:top w:w="0" w:type="dxa"/>
            <w:bottom w:w="0" w:type="dxa"/>
          </w:tblCellMar>
        </w:tblPrEx>
        <w:trPr>
          <w:trHeight w:hRule="exact" w:val="389"/>
          <w:jc w:val="center"/>
        </w:trPr>
        <w:tc>
          <w:tcPr>
            <w:tcW w:w="0" w:type="auto"/>
            <w:tcBorders>
              <w:left w:val="single" w:sz="4" w:space="0" w:color="auto"/>
            </w:tcBorders>
            <w:shd w:val="clear" w:color="auto" w:fill="FFFFFF"/>
            <w:vAlign w:val="bottom"/>
          </w:tcPr>
          <w:p w:rsidR="00500724" w:rsidRDefault="00F30FB8">
            <w:pPr>
              <w:pStyle w:val="Jin0"/>
              <w:shd w:val="clear" w:color="auto" w:fill="auto"/>
              <w:ind w:firstLine="0"/>
              <w:jc w:val="left"/>
              <w:rPr>
                <w:sz w:val="15"/>
                <w:szCs w:val="15"/>
              </w:rPr>
            </w:pPr>
            <w:r>
              <w:rPr>
                <w:sz w:val="15"/>
                <w:szCs w:val="15"/>
              </w:rPr>
              <w:t>Rok</w:t>
            </w:r>
          </w:p>
        </w:tc>
        <w:tc>
          <w:tcPr>
            <w:tcW w:w="0" w:type="auto"/>
            <w:shd w:val="clear" w:color="auto" w:fill="FFFFFF"/>
            <w:vAlign w:val="bottom"/>
          </w:tcPr>
          <w:p w:rsidR="00500724" w:rsidRDefault="00F30FB8">
            <w:pPr>
              <w:pStyle w:val="Jin0"/>
              <w:shd w:val="clear" w:color="auto" w:fill="auto"/>
              <w:spacing w:line="228" w:lineRule="auto"/>
              <w:ind w:left="340" w:firstLine="0"/>
              <w:rPr>
                <w:sz w:val="15"/>
                <w:szCs w:val="15"/>
              </w:rPr>
            </w:pPr>
            <w:r>
              <w:rPr>
                <w:sz w:val="15"/>
                <w:szCs w:val="15"/>
              </w:rPr>
              <w:t>Světová těžba v 1000 tunách</w:t>
            </w:r>
          </w:p>
        </w:tc>
        <w:tc>
          <w:tcPr>
            <w:tcW w:w="0" w:type="auto"/>
            <w:tcBorders>
              <w:right w:val="single" w:sz="4" w:space="0" w:color="auto"/>
            </w:tcBorders>
            <w:shd w:val="clear" w:color="auto" w:fill="FFFFFF"/>
            <w:vAlign w:val="bottom"/>
          </w:tcPr>
          <w:p w:rsidR="00500724" w:rsidRDefault="00F30FB8">
            <w:pPr>
              <w:pStyle w:val="Jin0"/>
              <w:shd w:val="clear" w:color="auto" w:fill="auto"/>
              <w:ind w:firstLine="0"/>
              <w:jc w:val="right"/>
              <w:rPr>
                <w:sz w:val="15"/>
                <w:szCs w:val="15"/>
              </w:rPr>
            </w:pPr>
            <w:r>
              <w:rPr>
                <w:sz w:val="15"/>
                <w:szCs w:val="15"/>
              </w:rPr>
              <w:t xml:space="preserve">Index </w:t>
            </w:r>
            <w:r>
              <w:rPr>
                <w:sz w:val="15"/>
                <w:szCs w:val="15"/>
              </w:rPr>
              <w:t>1932 = 100</w:t>
            </w:r>
          </w:p>
        </w:tc>
      </w:tr>
      <w:tr w:rsidR="00500724">
        <w:tblPrEx>
          <w:tblCellMar>
            <w:top w:w="0" w:type="dxa"/>
            <w:bottom w:w="0" w:type="dxa"/>
          </w:tblCellMar>
        </w:tblPrEx>
        <w:trPr>
          <w:trHeight w:hRule="exact" w:val="173"/>
          <w:jc w:val="center"/>
        </w:trPr>
        <w:tc>
          <w:tcPr>
            <w:tcW w:w="0" w:type="auto"/>
            <w:tcBorders>
              <w:left w:val="single" w:sz="4" w:space="0" w:color="auto"/>
            </w:tcBorders>
            <w:shd w:val="clear" w:color="auto" w:fill="FFFFFF"/>
            <w:vAlign w:val="bottom"/>
          </w:tcPr>
          <w:p w:rsidR="00500724" w:rsidRDefault="00F30FB8">
            <w:pPr>
              <w:pStyle w:val="Jin0"/>
              <w:shd w:val="clear" w:color="auto" w:fill="auto"/>
              <w:ind w:firstLine="0"/>
              <w:jc w:val="left"/>
              <w:rPr>
                <w:sz w:val="15"/>
                <w:szCs w:val="15"/>
              </w:rPr>
            </w:pPr>
            <w:r>
              <w:rPr>
                <w:sz w:val="15"/>
                <w:szCs w:val="15"/>
              </w:rPr>
              <w:t>1932</w:t>
            </w:r>
          </w:p>
        </w:tc>
        <w:tc>
          <w:tcPr>
            <w:tcW w:w="0" w:type="auto"/>
            <w:shd w:val="clear" w:color="auto" w:fill="FFFFFF"/>
            <w:vAlign w:val="bottom"/>
          </w:tcPr>
          <w:p w:rsidR="00500724" w:rsidRDefault="00F30FB8">
            <w:pPr>
              <w:pStyle w:val="Jin0"/>
              <w:shd w:val="clear" w:color="auto" w:fill="auto"/>
              <w:ind w:firstLine="0"/>
              <w:jc w:val="right"/>
              <w:rPr>
                <w:sz w:val="15"/>
                <w:szCs w:val="15"/>
              </w:rPr>
            </w:pPr>
            <w:r>
              <w:rPr>
                <w:sz w:val="15"/>
                <w:szCs w:val="15"/>
              </w:rPr>
              <w:t>179.905</w:t>
            </w:r>
          </w:p>
        </w:tc>
        <w:tc>
          <w:tcPr>
            <w:tcW w:w="0" w:type="auto"/>
            <w:tcBorders>
              <w:right w:val="single" w:sz="4" w:space="0" w:color="auto"/>
            </w:tcBorders>
            <w:shd w:val="clear" w:color="auto" w:fill="FFFFFF"/>
            <w:vAlign w:val="bottom"/>
          </w:tcPr>
          <w:p w:rsidR="00500724" w:rsidRDefault="00F30FB8">
            <w:pPr>
              <w:pStyle w:val="Jin0"/>
              <w:shd w:val="clear" w:color="auto" w:fill="auto"/>
              <w:ind w:left="360" w:firstLine="0"/>
              <w:jc w:val="left"/>
              <w:rPr>
                <w:sz w:val="15"/>
                <w:szCs w:val="15"/>
              </w:rPr>
            </w:pPr>
            <w:r>
              <w:rPr>
                <w:sz w:val="15"/>
                <w:szCs w:val="15"/>
              </w:rPr>
              <w:t>100</w:t>
            </w:r>
          </w:p>
        </w:tc>
      </w:tr>
      <w:tr w:rsidR="00500724">
        <w:tblPrEx>
          <w:tblCellMar>
            <w:top w:w="0" w:type="dxa"/>
            <w:bottom w:w="0" w:type="dxa"/>
          </w:tblCellMar>
        </w:tblPrEx>
        <w:trPr>
          <w:trHeight w:hRule="exact" w:val="149"/>
          <w:jc w:val="center"/>
        </w:trPr>
        <w:tc>
          <w:tcPr>
            <w:tcW w:w="0" w:type="auto"/>
            <w:tcBorders>
              <w:lef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1933</w:t>
            </w:r>
          </w:p>
        </w:tc>
        <w:tc>
          <w:tcPr>
            <w:tcW w:w="0" w:type="auto"/>
            <w:shd w:val="clear" w:color="auto" w:fill="FFFFFF"/>
          </w:tcPr>
          <w:p w:rsidR="00500724" w:rsidRDefault="00F30FB8">
            <w:pPr>
              <w:pStyle w:val="Jin0"/>
              <w:shd w:val="clear" w:color="auto" w:fill="auto"/>
              <w:ind w:firstLine="0"/>
              <w:jc w:val="right"/>
              <w:rPr>
                <w:sz w:val="15"/>
                <w:szCs w:val="15"/>
              </w:rPr>
            </w:pPr>
            <w:r>
              <w:rPr>
                <w:sz w:val="15"/>
                <w:szCs w:val="15"/>
              </w:rPr>
              <w:t>196.694</w:t>
            </w:r>
          </w:p>
        </w:tc>
        <w:tc>
          <w:tcPr>
            <w:tcW w:w="0" w:type="auto"/>
            <w:tcBorders>
              <w:right w:val="single" w:sz="4" w:space="0" w:color="auto"/>
            </w:tcBorders>
            <w:shd w:val="clear" w:color="auto" w:fill="FFFFFF"/>
          </w:tcPr>
          <w:p w:rsidR="00500724" w:rsidRDefault="00F30FB8">
            <w:pPr>
              <w:pStyle w:val="Jin0"/>
              <w:shd w:val="clear" w:color="auto" w:fill="auto"/>
              <w:ind w:left="360" w:firstLine="0"/>
              <w:jc w:val="left"/>
              <w:rPr>
                <w:sz w:val="15"/>
                <w:szCs w:val="15"/>
              </w:rPr>
            </w:pPr>
            <w:r>
              <w:rPr>
                <w:sz w:val="15"/>
                <w:szCs w:val="15"/>
              </w:rPr>
              <w:t>109.3</w:t>
            </w:r>
          </w:p>
        </w:tc>
      </w:tr>
      <w:tr w:rsidR="00500724">
        <w:tblPrEx>
          <w:tblCellMar>
            <w:top w:w="0" w:type="dxa"/>
            <w:bottom w:w="0" w:type="dxa"/>
          </w:tblCellMar>
        </w:tblPrEx>
        <w:trPr>
          <w:trHeight w:hRule="exact" w:val="149"/>
          <w:jc w:val="center"/>
        </w:trPr>
        <w:tc>
          <w:tcPr>
            <w:tcW w:w="0" w:type="auto"/>
            <w:tcBorders>
              <w:lef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1934</w:t>
            </w:r>
          </w:p>
        </w:tc>
        <w:tc>
          <w:tcPr>
            <w:tcW w:w="0" w:type="auto"/>
            <w:shd w:val="clear" w:color="auto" w:fill="FFFFFF"/>
            <w:vAlign w:val="bottom"/>
          </w:tcPr>
          <w:p w:rsidR="00500724" w:rsidRDefault="00F30FB8">
            <w:pPr>
              <w:pStyle w:val="Jin0"/>
              <w:shd w:val="clear" w:color="auto" w:fill="auto"/>
              <w:ind w:firstLine="0"/>
              <w:jc w:val="right"/>
              <w:rPr>
                <w:sz w:val="15"/>
                <w:szCs w:val="15"/>
              </w:rPr>
            </w:pPr>
            <w:r>
              <w:rPr>
                <w:sz w:val="15"/>
                <w:szCs w:val="15"/>
              </w:rPr>
              <w:t>208.261</w:t>
            </w:r>
          </w:p>
        </w:tc>
        <w:tc>
          <w:tcPr>
            <w:tcW w:w="0" w:type="auto"/>
            <w:tcBorders>
              <w:right w:val="single" w:sz="4" w:space="0" w:color="auto"/>
            </w:tcBorders>
            <w:shd w:val="clear" w:color="auto" w:fill="FFFFFF"/>
          </w:tcPr>
          <w:p w:rsidR="00500724" w:rsidRDefault="00F30FB8">
            <w:pPr>
              <w:pStyle w:val="Jin0"/>
              <w:shd w:val="clear" w:color="auto" w:fill="auto"/>
              <w:ind w:left="360" w:firstLine="0"/>
              <w:jc w:val="left"/>
              <w:rPr>
                <w:sz w:val="15"/>
                <w:szCs w:val="15"/>
              </w:rPr>
            </w:pPr>
            <w:r>
              <w:rPr>
                <w:sz w:val="15"/>
                <w:szCs w:val="15"/>
              </w:rPr>
              <w:t>116.3</w:t>
            </w:r>
          </w:p>
        </w:tc>
      </w:tr>
      <w:tr w:rsidR="00500724">
        <w:tblPrEx>
          <w:tblCellMar>
            <w:top w:w="0" w:type="dxa"/>
            <w:bottom w:w="0" w:type="dxa"/>
          </w:tblCellMar>
        </w:tblPrEx>
        <w:trPr>
          <w:trHeight w:hRule="exact" w:val="154"/>
          <w:jc w:val="center"/>
        </w:trPr>
        <w:tc>
          <w:tcPr>
            <w:tcW w:w="0" w:type="auto"/>
            <w:tcBorders>
              <w:lef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1935</w:t>
            </w:r>
          </w:p>
        </w:tc>
        <w:tc>
          <w:tcPr>
            <w:tcW w:w="0" w:type="auto"/>
            <w:shd w:val="clear" w:color="auto" w:fill="FFFFFF"/>
          </w:tcPr>
          <w:p w:rsidR="00500724" w:rsidRDefault="00F30FB8">
            <w:pPr>
              <w:pStyle w:val="Jin0"/>
              <w:shd w:val="clear" w:color="auto" w:fill="auto"/>
              <w:ind w:firstLine="0"/>
              <w:jc w:val="right"/>
              <w:rPr>
                <w:sz w:val="15"/>
                <w:szCs w:val="15"/>
              </w:rPr>
            </w:pPr>
            <w:r>
              <w:rPr>
                <w:sz w:val="15"/>
                <w:szCs w:val="15"/>
              </w:rPr>
              <w:t>226.472</w:t>
            </w:r>
          </w:p>
        </w:tc>
        <w:tc>
          <w:tcPr>
            <w:tcW w:w="0" w:type="auto"/>
            <w:tcBorders>
              <w:right w:val="single" w:sz="4" w:space="0" w:color="auto"/>
            </w:tcBorders>
            <w:shd w:val="clear" w:color="auto" w:fill="FFFFFF"/>
          </w:tcPr>
          <w:p w:rsidR="00500724" w:rsidRDefault="00F30FB8">
            <w:pPr>
              <w:pStyle w:val="Jin0"/>
              <w:shd w:val="clear" w:color="auto" w:fill="auto"/>
              <w:ind w:left="360" w:firstLine="0"/>
              <w:jc w:val="left"/>
              <w:rPr>
                <w:sz w:val="15"/>
                <w:szCs w:val="15"/>
              </w:rPr>
            </w:pPr>
            <w:r>
              <w:rPr>
                <w:sz w:val="15"/>
                <w:szCs w:val="15"/>
              </w:rPr>
              <w:t>125.9</w:t>
            </w:r>
          </w:p>
        </w:tc>
      </w:tr>
      <w:tr w:rsidR="00500724">
        <w:tblPrEx>
          <w:tblCellMar>
            <w:top w:w="0" w:type="dxa"/>
            <w:bottom w:w="0" w:type="dxa"/>
          </w:tblCellMar>
        </w:tblPrEx>
        <w:trPr>
          <w:trHeight w:hRule="exact" w:val="139"/>
          <w:jc w:val="center"/>
        </w:trPr>
        <w:tc>
          <w:tcPr>
            <w:tcW w:w="0" w:type="auto"/>
            <w:tcBorders>
              <w:lef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1938</w:t>
            </w:r>
          </w:p>
        </w:tc>
        <w:tc>
          <w:tcPr>
            <w:tcW w:w="0" w:type="auto"/>
            <w:shd w:val="clear" w:color="auto" w:fill="FFFFFF"/>
          </w:tcPr>
          <w:p w:rsidR="00500724" w:rsidRDefault="00F30FB8">
            <w:pPr>
              <w:pStyle w:val="Jin0"/>
              <w:shd w:val="clear" w:color="auto" w:fill="auto"/>
              <w:ind w:firstLine="0"/>
              <w:jc w:val="right"/>
              <w:rPr>
                <w:sz w:val="15"/>
                <w:szCs w:val="15"/>
              </w:rPr>
            </w:pPr>
            <w:r>
              <w:rPr>
                <w:sz w:val="15"/>
                <w:szCs w:val="15"/>
              </w:rPr>
              <w:t>247.130</w:t>
            </w:r>
          </w:p>
        </w:tc>
        <w:tc>
          <w:tcPr>
            <w:tcW w:w="0" w:type="auto"/>
            <w:tcBorders>
              <w:right w:val="single" w:sz="4" w:space="0" w:color="auto"/>
            </w:tcBorders>
            <w:shd w:val="clear" w:color="auto" w:fill="FFFFFF"/>
          </w:tcPr>
          <w:p w:rsidR="00500724" w:rsidRDefault="00F30FB8">
            <w:pPr>
              <w:pStyle w:val="Jin0"/>
              <w:shd w:val="clear" w:color="auto" w:fill="auto"/>
              <w:ind w:left="360" w:firstLine="0"/>
              <w:jc w:val="left"/>
              <w:rPr>
                <w:sz w:val="15"/>
                <w:szCs w:val="15"/>
              </w:rPr>
            </w:pPr>
            <w:r>
              <w:rPr>
                <w:sz w:val="15"/>
                <w:szCs w:val="15"/>
              </w:rPr>
              <w:t>137.4</w:t>
            </w:r>
          </w:p>
        </w:tc>
      </w:tr>
      <w:tr w:rsidR="00500724">
        <w:tblPrEx>
          <w:tblCellMar>
            <w:top w:w="0" w:type="dxa"/>
            <w:bottom w:w="0" w:type="dxa"/>
          </w:tblCellMar>
        </w:tblPrEx>
        <w:trPr>
          <w:trHeight w:hRule="exact" w:val="149"/>
          <w:jc w:val="center"/>
        </w:trPr>
        <w:tc>
          <w:tcPr>
            <w:tcW w:w="0" w:type="auto"/>
            <w:tcBorders>
              <w:lef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1937</w:t>
            </w:r>
          </w:p>
        </w:tc>
        <w:tc>
          <w:tcPr>
            <w:tcW w:w="0" w:type="auto"/>
            <w:shd w:val="clear" w:color="auto" w:fill="FFFFFF"/>
          </w:tcPr>
          <w:p w:rsidR="00500724" w:rsidRDefault="00F30FB8">
            <w:pPr>
              <w:pStyle w:val="Jin0"/>
              <w:shd w:val="clear" w:color="auto" w:fill="auto"/>
              <w:ind w:firstLine="0"/>
              <w:jc w:val="right"/>
              <w:rPr>
                <w:sz w:val="15"/>
                <w:szCs w:val="15"/>
              </w:rPr>
            </w:pPr>
            <w:r>
              <w:rPr>
                <w:sz w:val="15"/>
                <w:szCs w:val="15"/>
              </w:rPr>
              <w:t>280.975</w:t>
            </w:r>
          </w:p>
        </w:tc>
        <w:tc>
          <w:tcPr>
            <w:tcW w:w="0" w:type="auto"/>
            <w:tcBorders>
              <w:right w:val="single" w:sz="4" w:space="0" w:color="auto"/>
            </w:tcBorders>
            <w:shd w:val="clear" w:color="auto" w:fill="FFFFFF"/>
          </w:tcPr>
          <w:p w:rsidR="00500724" w:rsidRDefault="00F30FB8">
            <w:pPr>
              <w:pStyle w:val="Jin0"/>
              <w:shd w:val="clear" w:color="auto" w:fill="auto"/>
              <w:ind w:left="360" w:firstLine="0"/>
              <w:jc w:val="left"/>
              <w:rPr>
                <w:sz w:val="15"/>
                <w:szCs w:val="15"/>
              </w:rPr>
            </w:pPr>
            <w:r>
              <w:rPr>
                <w:sz w:val="15"/>
                <w:szCs w:val="15"/>
              </w:rPr>
              <w:t>156.2</w:t>
            </w:r>
          </w:p>
        </w:tc>
      </w:tr>
      <w:tr w:rsidR="00500724">
        <w:tblPrEx>
          <w:tblCellMar>
            <w:top w:w="0" w:type="dxa"/>
            <w:bottom w:w="0" w:type="dxa"/>
          </w:tblCellMar>
        </w:tblPrEx>
        <w:trPr>
          <w:trHeight w:hRule="exact" w:val="154"/>
          <w:jc w:val="center"/>
        </w:trPr>
        <w:tc>
          <w:tcPr>
            <w:tcW w:w="0" w:type="auto"/>
            <w:tcBorders>
              <w:left w:val="single" w:sz="4" w:space="0" w:color="auto"/>
            </w:tcBorders>
            <w:shd w:val="clear" w:color="auto" w:fill="FFFFFF"/>
          </w:tcPr>
          <w:p w:rsidR="00500724" w:rsidRDefault="00F30FB8">
            <w:pPr>
              <w:pStyle w:val="Jin0"/>
              <w:shd w:val="clear" w:color="auto" w:fill="auto"/>
              <w:ind w:firstLine="0"/>
              <w:jc w:val="left"/>
              <w:rPr>
                <w:sz w:val="15"/>
                <w:szCs w:val="15"/>
              </w:rPr>
            </w:pPr>
            <w:r>
              <w:rPr>
                <w:sz w:val="15"/>
                <w:szCs w:val="15"/>
              </w:rPr>
              <w:t>1938</w:t>
            </w:r>
          </w:p>
        </w:tc>
        <w:tc>
          <w:tcPr>
            <w:tcW w:w="0" w:type="auto"/>
            <w:shd w:val="clear" w:color="auto" w:fill="FFFFFF"/>
          </w:tcPr>
          <w:p w:rsidR="00500724" w:rsidRDefault="00F30FB8">
            <w:pPr>
              <w:pStyle w:val="Jin0"/>
              <w:shd w:val="clear" w:color="auto" w:fill="auto"/>
              <w:ind w:firstLine="0"/>
              <w:jc w:val="right"/>
              <w:rPr>
                <w:sz w:val="15"/>
                <w:szCs w:val="15"/>
              </w:rPr>
            </w:pPr>
            <w:r>
              <w:rPr>
                <w:sz w:val="15"/>
                <w:szCs w:val="15"/>
              </w:rPr>
              <w:t>271.362</w:t>
            </w:r>
          </w:p>
        </w:tc>
        <w:tc>
          <w:tcPr>
            <w:tcW w:w="0" w:type="auto"/>
            <w:tcBorders>
              <w:right w:val="single" w:sz="4" w:space="0" w:color="auto"/>
            </w:tcBorders>
            <w:shd w:val="clear" w:color="auto" w:fill="FFFFFF"/>
          </w:tcPr>
          <w:p w:rsidR="00500724" w:rsidRDefault="00F30FB8">
            <w:pPr>
              <w:pStyle w:val="Jin0"/>
              <w:shd w:val="clear" w:color="auto" w:fill="auto"/>
              <w:ind w:left="360" w:firstLine="0"/>
              <w:jc w:val="left"/>
              <w:rPr>
                <w:sz w:val="15"/>
                <w:szCs w:val="15"/>
              </w:rPr>
            </w:pPr>
            <w:r>
              <w:rPr>
                <w:sz w:val="15"/>
                <w:szCs w:val="15"/>
              </w:rPr>
              <w:t>150.8</w:t>
            </w:r>
          </w:p>
        </w:tc>
      </w:tr>
    </w:tbl>
    <w:p w:rsidR="00500724" w:rsidRDefault="00500724">
      <w:pPr>
        <w:spacing w:after="66" w:line="14" w:lineRule="exact"/>
      </w:pPr>
    </w:p>
    <w:p w:rsidR="00500724" w:rsidRDefault="00F30FB8">
      <w:pPr>
        <w:pStyle w:val="Zkladntext40"/>
        <w:shd w:val="clear" w:color="auto" w:fill="auto"/>
        <w:spacing w:after="0" w:line="206" w:lineRule="auto"/>
        <w:ind w:firstLine="180"/>
      </w:pPr>
      <w:r>
        <w:t>Největší podlí na poklesu svě</w:t>
      </w:r>
      <w:r>
        <w:softHyphen/>
        <w:t>tové těžby surového oleje mají Spojené Státy, v nichž výroba po</w:t>
      </w:r>
      <w:r>
        <w:softHyphen/>
        <w:t xml:space="preserve">klesla o </w:t>
      </w:r>
      <w:r>
        <w:t>8.99 milionů tun na 164.7 milionu tun, to Je o 5.2 procenta, kdežto v ostatních státech po</w:t>
      </w:r>
      <w:r>
        <w:softHyphen/>
        <w:t>klesla těžba Jen o 619.000 tun, tc Je přibližně o 0.6 procenta na 106.6 milionu tun. Podíl Spoje</w:t>
      </w:r>
      <w:r>
        <w:softHyphen/>
        <w:t>ných Států na světové těžbě po</w:t>
      </w:r>
      <w:r>
        <w:softHyphen/>
        <w:t xml:space="preserve">klesl s 62 proč. v roce 1937 na 60.7 </w:t>
      </w:r>
      <w:r>
        <w:t>v r. 1938. Tento nepatrný přesun nedotkl se nikterak do</w:t>
      </w:r>
      <w:r>
        <w:softHyphen/>
        <w:t>minujícího postaveni Spojených Států na světovém trhu surového oleje.</w:t>
      </w:r>
    </w:p>
    <w:p w:rsidR="00500724" w:rsidRDefault="00F30FB8">
      <w:pPr>
        <w:pStyle w:val="Zkladntext40"/>
        <w:shd w:val="clear" w:color="auto" w:fill="auto"/>
        <w:spacing w:after="0" w:line="180" w:lineRule="auto"/>
        <w:jc w:val="left"/>
      </w:pPr>
      <w:r>
        <w:t>■ V ostatních státech, těžících</w:t>
      </w:r>
    </w:p>
    <w:p w:rsidR="00500724" w:rsidRDefault="00F30FB8">
      <w:pPr>
        <w:spacing w:line="1" w:lineRule="exact"/>
        <w:rPr>
          <w:sz w:val="2"/>
          <w:szCs w:val="2"/>
        </w:rPr>
      </w:pPr>
      <w:r>
        <w:br w:type="column"/>
      </w:r>
    </w:p>
    <w:p w:rsidR="00500724" w:rsidRDefault="00F30FB8">
      <w:pPr>
        <w:pStyle w:val="Zkladntext40"/>
        <w:shd w:val="clear" w:color="auto" w:fill="auto"/>
        <w:spacing w:after="0" w:line="175" w:lineRule="auto"/>
      </w:pPr>
      <w:r>
        <w:t>surový olej, byl vývoj v těžbách nejednotný. Proti prudkým vze</w:t>
      </w:r>
      <w:r>
        <w:softHyphen/>
        <w:t>stupům objevuji se 1 neméně prudk</w:t>
      </w:r>
      <w:r>
        <w:t>é poklesy těžby. Tyto po</w:t>
      </w:r>
      <w:r>
        <w:softHyphen/>
        <w:t>klesy zůstávají však v menšině a vyjmeme-11 ze srovnáni Mexiko, nedosahuji nikde mimořádného rozsahu. Mexická těžba, v dů</w:t>
      </w:r>
      <w:r>
        <w:softHyphen/>
        <w:t>sledku vyvlastnénl zahraničního olejářského majetku, poklesla o 2 miliony tun, to Je asi o 29 pro</w:t>
      </w:r>
      <w:r>
        <w:softHyphen/>
        <w:t>cent. Z ost</w:t>
      </w:r>
      <w:r>
        <w:t>atních důležitějších zemí pozoruhodný pokles zazna</w:t>
      </w:r>
      <w:r>
        <w:softHyphen/>
        <w:t>menán Je v Rumunsku, kde těž</w:t>
      </w:r>
      <w:r>
        <w:softHyphen/>
        <w:t>ba poklesla o 7.7 procenta na 6.6 milionu tun v důsledku vyčerpá</w:t>
      </w:r>
      <w:r>
        <w:softHyphen/>
        <w:t>ni některých naítových poli.</w:t>
      </w:r>
    </w:p>
    <w:p w:rsidR="00500724" w:rsidRDefault="00F30FB8">
      <w:pPr>
        <w:pStyle w:val="Zkladntext40"/>
        <w:shd w:val="clear" w:color="auto" w:fill="auto"/>
        <w:spacing w:after="0" w:line="175" w:lineRule="auto"/>
        <w:ind w:firstLine="160"/>
      </w:pPr>
      <w:r>
        <w:t>Druhé místo ve světové těžbě podrželo si Rusko. Podle ruských zpráv dosáhla v SSSR</w:t>
      </w:r>
      <w:r>
        <w:t xml:space="preserve"> těžba asi 29.2 milionu tun, to je o 3.2 pro</w:t>
      </w:r>
      <w:r>
        <w:softHyphen/>
        <w:t>centa více než v r. 1937. Tento vzestup byl dosažen v letních měsících, kdežto v údobí dalším výkonnost poklesla, takže lze se domnívati, že roční plán nebyl splněn.</w:t>
      </w:r>
    </w:p>
    <w:p w:rsidR="00500724" w:rsidRDefault="00F30FB8">
      <w:pPr>
        <w:pStyle w:val="Zkladntext40"/>
        <w:shd w:val="clear" w:color="auto" w:fill="auto"/>
        <w:spacing w:after="0" w:line="175" w:lineRule="auto"/>
        <w:ind w:firstLine="160"/>
      </w:pPr>
      <w:r>
        <w:t xml:space="preserve">Venezuela, </w:t>
      </w:r>
      <w:r>
        <w:rPr>
          <w:lang w:val="en-US" w:eastAsia="en-US" w:bidi="en-US"/>
        </w:rPr>
        <w:t xml:space="preserve">Iran, </w:t>
      </w:r>
      <w:r>
        <w:t>Holandská Vý</w:t>
      </w:r>
      <w:r>
        <w:softHyphen/>
        <w:t xml:space="preserve">chodní Indie, </w:t>
      </w:r>
      <w:r>
        <w:t>nevykazují v r. 1938 podstatných změn. Těžba ve Ve</w:t>
      </w:r>
      <w:r>
        <w:softHyphen/>
        <w:t>nezuele zůstala přibližně na stej</w:t>
      </w:r>
      <w:r>
        <w:softHyphen/>
        <w:t>né výši, v Iránu poklesla o něco více než 3 procenta, kdežto v Ho</w:t>
      </w:r>
      <w:r>
        <w:softHyphen/>
        <w:t xml:space="preserve">landské Indii stoupla asi </w:t>
      </w:r>
      <w:r>
        <w:rPr>
          <w:sz w:val="18"/>
          <w:szCs w:val="18"/>
        </w:rPr>
        <w:t xml:space="preserve">o </w:t>
      </w:r>
      <w:r>
        <w:t>1.5 proč.; naproti tomu výroba v Irá</w:t>
      </w:r>
      <w:r>
        <w:softHyphen/>
        <w:t>ku o stejný dli klesla. Těžba v Kolumbii</w:t>
      </w:r>
      <w:r>
        <w:t>, Trinidadu, Argentině a Peru pohybuje se v r. 1938 téměř na úrovni r. 1937. Naproti tomu v Kanadě byl zaznamenán prudký vzestup těžby, takže tamějši těžba zvětšila se o 156.8 proč. a je velmi slibná pro budoucnost.</w:t>
      </w:r>
    </w:p>
    <w:p w:rsidR="00500724" w:rsidRDefault="00F30FB8">
      <w:pPr>
        <w:pStyle w:val="Zkladntext40"/>
        <w:shd w:val="clear" w:color="auto" w:fill="auto"/>
        <w:spacing w:after="0" w:line="175" w:lineRule="auto"/>
        <w:ind w:firstLine="160"/>
        <w:rPr>
          <w:sz w:val="19"/>
          <w:szCs w:val="19"/>
        </w:rPr>
        <w:sectPr w:rsidR="00500724">
          <w:footnotePr>
            <w:numFmt w:val="chicago"/>
            <w:numRestart w:val="eachPage"/>
          </w:footnotePr>
          <w:type w:val="continuous"/>
          <w:pgSz w:w="11909" w:h="16834"/>
          <w:pgMar w:top="597" w:right="939" w:bottom="707" w:left="641" w:header="0" w:footer="3" w:gutter="0"/>
          <w:cols w:num="4" w:sep="1" w:space="100"/>
          <w:noEndnote/>
          <w:docGrid w:linePitch="360"/>
        </w:sectPr>
      </w:pPr>
      <w:r>
        <w:t>Dlužno je</w:t>
      </w:r>
      <w:r>
        <w:t>ště podotknouti, že vytěžená množství v nejdůležitěj</w:t>
      </w:r>
      <w:r>
        <w:softHyphen/>
        <w:t>ších olejářských státech nevy</w:t>
      </w:r>
      <w:r>
        <w:softHyphen/>
        <w:t>stihuji těžební možnosti, které jsou nepoměrně větší a dále. že také v r. 1938 v četných zemích byly nové a velmi slibné vrtby zahájeny ve snaze zabezpečit! zá</w:t>
      </w:r>
      <w:r>
        <w:softHyphen/>
        <w:t xml:space="preserve">sobováni i v </w:t>
      </w:r>
      <w:r>
        <w:t xml:space="preserve">budoucnosti. </w:t>
      </w:r>
      <w:r>
        <w:rPr>
          <w:b/>
          <w:bCs/>
          <w:sz w:val="19"/>
          <w:szCs w:val="19"/>
        </w:rPr>
        <w:t>žž</w:t>
      </w:r>
    </w:p>
    <w:p w:rsidR="00500724" w:rsidRDefault="00500724">
      <w:pPr>
        <w:spacing w:line="8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557" w:right="0" w:bottom="557" w:left="0" w:header="0" w:footer="3" w:gutter="0"/>
          <w:cols w:space="720"/>
          <w:noEndnote/>
          <w:docGrid w:linePitch="360"/>
        </w:sectPr>
      </w:pPr>
    </w:p>
    <w:p w:rsidR="00500724" w:rsidRDefault="00F30FB8">
      <w:pPr>
        <w:spacing w:line="14" w:lineRule="exact"/>
      </w:pPr>
      <w:r>
        <w:rPr>
          <w:noProof/>
        </w:rPr>
        <mc:AlternateContent>
          <mc:Choice Requires="wps">
            <w:drawing>
              <wp:anchor distT="0" distB="355600" distL="255905" distR="0" simplePos="0" relativeHeight="125829740" behindDoc="0" locked="0" layoutInCell="1" allowOverlap="1">
                <wp:simplePos x="0" y="0"/>
                <wp:positionH relativeFrom="page">
                  <wp:posOffset>3973195</wp:posOffset>
                </wp:positionH>
                <wp:positionV relativeFrom="paragraph">
                  <wp:posOffset>2874010</wp:posOffset>
                </wp:positionV>
                <wp:extent cx="2883535" cy="2221865"/>
                <wp:effectExtent l="0" t="0" r="0" b="0"/>
                <wp:wrapSquare wrapText="left"/>
                <wp:docPr id="363" name="Shape 363"/>
                <wp:cNvGraphicFramePr/>
                <a:graphic xmlns:a="http://schemas.openxmlformats.org/drawingml/2006/main">
                  <a:graphicData uri="http://schemas.microsoft.com/office/word/2010/wordprocessingShape">
                    <wps:wsp>
                      <wps:cNvSpPr txBox="1"/>
                      <wps:spPr>
                        <a:xfrm>
                          <a:off x="0" y="0"/>
                          <a:ext cx="2883535" cy="2221865"/>
                        </a:xfrm>
                        <a:prstGeom prst="rect">
                          <a:avLst/>
                        </a:prstGeom>
                        <a:noFill/>
                      </wps:spPr>
                      <wps:txbx>
                        <w:txbxContent>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80"/>
                              <w:ind w:firstLine="0"/>
                              <w:jc w:val="left"/>
                              <w:rPr>
                                <w:sz w:val="26"/>
                                <w:szCs w:val="26"/>
                              </w:rPr>
                            </w:pPr>
                            <w:r>
                              <w:rPr>
                                <w:i/>
                                <w:iCs/>
                                <w:sz w:val="26"/>
                                <w:szCs w:val="26"/>
                              </w:rPr>
                              <w:t>Světovou sensací</w:t>
                            </w:r>
                          </w:p>
                          <w:p w:rsidR="00500724" w:rsidRDefault="00F30FB8">
                            <w:pPr>
                              <w:pStyle w:val="Zkladntext80"/>
                              <w:pBdr>
                                <w:top w:val="single" w:sz="4" w:space="0" w:color="auto"/>
                                <w:left w:val="single" w:sz="4" w:space="0" w:color="auto"/>
                                <w:bottom w:val="single" w:sz="4" w:space="0" w:color="auto"/>
                                <w:right w:val="single" w:sz="4" w:space="0" w:color="auto"/>
                              </w:pBdr>
                              <w:shd w:val="clear" w:color="auto" w:fill="auto"/>
                              <w:spacing w:after="80" w:line="240" w:lineRule="auto"/>
                              <w:ind w:left="500"/>
                            </w:pPr>
                            <w:r>
                              <w:t>prvního řádu jsou</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80"/>
                              <w:ind w:firstLine="0"/>
                              <w:jc w:val="right"/>
                              <w:rPr>
                                <w:sz w:val="36"/>
                                <w:szCs w:val="36"/>
                              </w:rPr>
                            </w:pPr>
                            <w:r>
                              <w:rPr>
                                <w:rFonts w:ascii="Arial" w:eastAsia="Arial" w:hAnsi="Arial" w:cs="Arial"/>
                                <w:b/>
                                <w:bCs/>
                                <w:sz w:val="36"/>
                                <w:szCs w:val="36"/>
                              </w:rPr>
                              <w:t>švýcarské mači {troje</w:t>
                            </w:r>
                          </w:p>
                          <w:p w:rsidR="00500724" w:rsidRDefault="00F30FB8">
                            <w:pPr>
                              <w:pStyle w:val="Zkladntext50"/>
                              <w:pBdr>
                                <w:top w:val="single" w:sz="4" w:space="0" w:color="auto"/>
                                <w:left w:val="single" w:sz="4" w:space="0" w:color="auto"/>
                                <w:bottom w:val="single" w:sz="4" w:space="0" w:color="auto"/>
                                <w:right w:val="single" w:sz="4" w:space="0" w:color="auto"/>
                              </w:pBdr>
                              <w:shd w:val="clear" w:color="auto" w:fill="auto"/>
                              <w:spacing w:after="0" w:line="240" w:lineRule="auto"/>
                              <w:ind w:left="2000"/>
                            </w:pPr>
                            <w:r>
                              <w:t>s automatem pásky, oboustran</w:t>
                            </w:r>
                            <w:r>
                              <w:softHyphen/>
                              <w:t>ným vypínačem okraje a vel</w:t>
                            </w:r>
                            <w:r>
                              <w:softHyphen/>
                              <w:t>kou řádkovou páskou, s ele</w:t>
                            </w:r>
                            <w:r>
                              <w:softHyphen/>
                              <w:t>gantním kufříkem</w:t>
                            </w:r>
                          </w:p>
                          <w:p w:rsidR="00500724" w:rsidRDefault="00F30FB8">
                            <w:pPr>
                              <w:pStyle w:val="Zkladntext80"/>
                              <w:pBdr>
                                <w:top w:val="single" w:sz="4" w:space="0" w:color="auto"/>
                                <w:left w:val="single" w:sz="4" w:space="0" w:color="auto"/>
                                <w:bottom w:val="single" w:sz="4" w:space="0" w:color="auto"/>
                                <w:right w:val="single" w:sz="4" w:space="0" w:color="auto"/>
                              </w:pBdr>
                              <w:shd w:val="clear" w:color="auto" w:fill="auto"/>
                              <w:spacing w:after="140" w:line="240" w:lineRule="auto"/>
                              <w:jc w:val="right"/>
                            </w:pPr>
                            <w:r>
                              <w:rPr>
                                <w:u w:val="single"/>
                                <w:lang w:val="en-US" w:eastAsia="en-US" w:bidi="en-US"/>
                              </w:rPr>
                              <w:t xml:space="preserve">JEW </w:t>
                            </w:r>
                            <w:r>
                              <w:rPr>
                                <w:u w:val="single"/>
                              </w:rPr>
                              <w:t>K 1340-</w:t>
                            </w:r>
                          </w:p>
                          <w:p w:rsidR="00500724" w:rsidRDefault="00F30FB8">
                            <w:pPr>
                              <w:pStyle w:val="Zkladntext40"/>
                              <w:pBdr>
                                <w:top w:val="single" w:sz="4" w:space="0" w:color="auto"/>
                                <w:left w:val="single" w:sz="4" w:space="0" w:color="auto"/>
                                <w:bottom w:val="single" w:sz="4" w:space="0" w:color="auto"/>
                                <w:right w:val="single" w:sz="4" w:space="0" w:color="auto"/>
                              </w:pBdr>
                              <w:shd w:val="clear" w:color="auto" w:fill="auto"/>
                              <w:spacing w:after="160" w:line="240" w:lineRule="auto"/>
                              <w:ind w:left="2000"/>
                              <w:rPr>
                                <w:sz w:val="16"/>
                                <w:szCs w:val="16"/>
                              </w:rPr>
                            </w:pPr>
                            <w:r>
                              <w:rPr>
                                <w:b/>
                                <w:bCs/>
                                <w:sz w:val="16"/>
                                <w:szCs w:val="16"/>
                              </w:rPr>
                              <w:t>Žádejte předvedení dalších modelů.</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ind w:firstLine="0"/>
                              <w:jc w:val="right"/>
                              <w:rPr>
                                <w:sz w:val="40"/>
                                <w:szCs w:val="40"/>
                              </w:rPr>
                            </w:pPr>
                            <w:r>
                              <w:rPr>
                                <w:rFonts w:ascii="Arial" w:eastAsia="Arial" w:hAnsi="Arial" w:cs="Arial"/>
                                <w:b/>
                                <w:bCs/>
                                <w:w w:val="60"/>
                                <w:sz w:val="40"/>
                                <w:szCs w:val="40"/>
                              </w:rPr>
                              <w:t>ÍHOCHOLA A SPOL,</w:t>
                            </w:r>
                          </w:p>
                          <w:p w:rsidR="00500724" w:rsidRDefault="00F30FB8">
                            <w:pPr>
                              <w:pStyle w:val="Zkladntext50"/>
                              <w:pBdr>
                                <w:top w:val="single" w:sz="4" w:space="0" w:color="auto"/>
                                <w:left w:val="single" w:sz="4" w:space="0" w:color="auto"/>
                                <w:bottom w:val="single" w:sz="4" w:space="0" w:color="auto"/>
                                <w:right w:val="single" w:sz="4" w:space="0" w:color="auto"/>
                              </w:pBdr>
                              <w:shd w:val="clear" w:color="auto" w:fill="auto"/>
                              <w:spacing w:after="80" w:line="240" w:lineRule="auto"/>
                              <w:ind w:left="0"/>
                              <w:jc w:val="right"/>
                              <w:rPr>
                                <w:sz w:val="16"/>
                                <w:szCs w:val="16"/>
                              </w:rPr>
                            </w:pPr>
                            <w:r>
                              <w:rPr>
                                <w:b/>
                                <w:bCs/>
                                <w:sz w:val="16"/>
                                <w:szCs w:val="16"/>
                              </w:rPr>
                              <w:t>PRAHA, Václavské i». 25, v pasáži</w:t>
                            </w:r>
                          </w:p>
                        </w:txbxContent>
                      </wps:txbx>
                      <wps:bodyPr lIns="0" tIns="0" rIns="0" bIns="0">
                        <a:spAutoFit/>
                      </wps:bodyPr>
                    </wps:wsp>
                  </a:graphicData>
                </a:graphic>
              </wp:anchor>
            </w:drawing>
          </mc:Choice>
          <mc:Fallback>
            <w:pict>
              <v:shape id="_x0000_s1389" type="#_x0000_t202" style="position:absolute;margin-left:312.85000000000002pt;margin-top:226.30000000000001pt;width:227.05000000000001pt;height:174.94999999999999pt;z-index:-125829013;mso-wrap-distance-left:20.149999999999999pt;mso-wrap-distance-right:0;mso-wrap-distance-bottom:28.pt;mso-position-horizontal-relative:page" filled="f" stroked="f">
                <v:textbox style="mso-fit-shape-to-text:t" inset="0,0,0,0">
                  <w:txbxContent>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left"/>
                        <w:rPr>
                          <w:sz w:val="26"/>
                          <w:szCs w:val="26"/>
                        </w:rPr>
                      </w:pPr>
                      <w:r>
                        <w:rPr>
                          <w:i/>
                          <w:iCs/>
                          <w:color w:val="000000"/>
                          <w:spacing w:val="0"/>
                          <w:w w:val="100"/>
                          <w:position w:val="0"/>
                          <w:sz w:val="26"/>
                          <w:szCs w:val="26"/>
                          <w:shd w:val="clear" w:color="auto" w:fill="auto"/>
                          <w:lang w:val="cs-CZ" w:eastAsia="cs-CZ" w:bidi="cs-CZ"/>
                        </w:rPr>
                        <w:t>Světovou sensací</w:t>
                      </w:r>
                    </w:p>
                    <w:p>
                      <w:pPr>
                        <w:pStyle w:val="Style1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500" w:right="0" w:firstLine="0"/>
                        <w:jc w:val="left"/>
                      </w:pPr>
                      <w:r>
                        <w:rPr>
                          <w:color w:val="000000"/>
                          <w:spacing w:val="0"/>
                          <w:w w:val="100"/>
                          <w:position w:val="0"/>
                          <w:sz w:val="22"/>
                          <w:szCs w:val="22"/>
                          <w:shd w:val="clear" w:color="auto" w:fill="auto"/>
                          <w:lang w:val="cs-CZ" w:eastAsia="cs-CZ" w:bidi="cs-CZ"/>
                        </w:rPr>
                        <w:t>prvního řádu jsou</w:t>
                      </w:r>
                    </w:p>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right"/>
                        <w:rPr>
                          <w:sz w:val="36"/>
                          <w:szCs w:val="36"/>
                        </w:rPr>
                      </w:pPr>
                      <w:r>
                        <w:rPr>
                          <w:rFonts w:ascii="Arial" w:eastAsia="Arial" w:hAnsi="Arial" w:cs="Arial"/>
                          <w:b/>
                          <w:bCs/>
                          <w:color w:val="000000"/>
                          <w:spacing w:val="0"/>
                          <w:w w:val="100"/>
                          <w:position w:val="0"/>
                          <w:sz w:val="36"/>
                          <w:szCs w:val="36"/>
                          <w:shd w:val="clear" w:color="auto" w:fill="auto"/>
                          <w:lang w:val="cs-CZ" w:eastAsia="cs-CZ" w:bidi="cs-CZ"/>
                        </w:rPr>
                        <w:t>švýcarské mači {troje</w:t>
                      </w:r>
                    </w:p>
                    <w:p>
                      <w:pPr>
                        <w:pStyle w:val="Style8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2000" w:right="0" w:firstLine="0"/>
                      </w:pPr>
                      <w:r>
                        <w:rPr>
                          <w:color w:val="000000"/>
                          <w:spacing w:val="0"/>
                          <w:w w:val="100"/>
                          <w:position w:val="0"/>
                          <w:shd w:val="clear" w:color="auto" w:fill="auto"/>
                          <w:lang w:val="cs-CZ" w:eastAsia="cs-CZ" w:bidi="cs-CZ"/>
                        </w:rPr>
                        <w:t>s automatem pásky, oboustran</w:t>
                        <w:softHyphen/>
                        <w:t>ným vypínačem okraje a vel</w:t>
                        <w:softHyphen/>
                        <w:t>kou řádkovou páskou, s ele</w:t>
                        <w:softHyphen/>
                        <w:t>gantním kufříkem</w:t>
                      </w:r>
                    </w:p>
                    <w:p>
                      <w:pPr>
                        <w:pStyle w:val="Style1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line="240" w:lineRule="auto"/>
                        <w:ind w:left="0" w:right="0" w:firstLine="0"/>
                        <w:jc w:val="right"/>
                      </w:pPr>
                      <w:r>
                        <w:rPr>
                          <w:color w:val="000000"/>
                          <w:spacing w:val="0"/>
                          <w:w w:val="100"/>
                          <w:position w:val="0"/>
                          <w:sz w:val="22"/>
                          <w:szCs w:val="22"/>
                          <w:u w:val="single"/>
                          <w:shd w:val="clear" w:color="auto" w:fill="auto"/>
                          <w:lang w:val="en-US" w:eastAsia="en-US" w:bidi="en-US"/>
                        </w:rPr>
                        <w:t xml:space="preserve">JEW </w:t>
                      </w:r>
                      <w:r>
                        <w:rPr>
                          <w:color w:val="000000"/>
                          <w:spacing w:val="0"/>
                          <w:w w:val="100"/>
                          <w:position w:val="0"/>
                          <w:sz w:val="22"/>
                          <w:szCs w:val="22"/>
                          <w:u w:val="single"/>
                          <w:shd w:val="clear" w:color="auto" w:fill="auto"/>
                          <w:lang w:val="cs-CZ" w:eastAsia="cs-CZ" w:bidi="cs-CZ"/>
                        </w:rPr>
                        <w:t>K 1340-</w:t>
                      </w:r>
                    </w:p>
                    <w:p>
                      <w:pPr>
                        <w:pStyle w:val="Style4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60" w:line="240" w:lineRule="auto"/>
                        <w:ind w:left="2000" w:right="0" w:firstLine="0"/>
                        <w:rPr>
                          <w:sz w:val="16"/>
                          <w:szCs w:val="16"/>
                        </w:rPr>
                      </w:pPr>
                      <w:r>
                        <w:rPr>
                          <w:b/>
                          <w:bCs/>
                          <w:color w:val="000000"/>
                          <w:spacing w:val="0"/>
                          <w:w w:val="100"/>
                          <w:position w:val="0"/>
                          <w:sz w:val="16"/>
                          <w:szCs w:val="16"/>
                          <w:shd w:val="clear" w:color="auto" w:fill="auto"/>
                          <w:lang w:val="cs-CZ" w:eastAsia="cs-CZ" w:bidi="cs-CZ"/>
                        </w:rPr>
                        <w:t>Žádejte předvedení dalších modelů.</w:t>
                      </w:r>
                    </w:p>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right"/>
                        <w:rPr>
                          <w:sz w:val="40"/>
                          <w:szCs w:val="40"/>
                        </w:rPr>
                      </w:pPr>
                      <w:r>
                        <w:rPr>
                          <w:rFonts w:ascii="Arial" w:eastAsia="Arial" w:hAnsi="Arial" w:cs="Arial"/>
                          <w:b/>
                          <w:bCs/>
                          <w:color w:val="000000"/>
                          <w:spacing w:val="0"/>
                          <w:w w:val="60"/>
                          <w:position w:val="0"/>
                          <w:sz w:val="40"/>
                          <w:szCs w:val="40"/>
                          <w:shd w:val="clear" w:color="auto" w:fill="auto"/>
                          <w:lang w:val="cs-CZ" w:eastAsia="cs-CZ" w:bidi="cs-CZ"/>
                        </w:rPr>
                        <w:t>ÍHOCHOLA A SPOL,</w:t>
                      </w:r>
                    </w:p>
                    <w:p>
                      <w:pPr>
                        <w:pStyle w:val="Style8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right"/>
                        <w:rPr>
                          <w:sz w:val="16"/>
                          <w:szCs w:val="16"/>
                        </w:rPr>
                      </w:pPr>
                      <w:r>
                        <w:rPr>
                          <w:b/>
                          <w:bCs/>
                          <w:color w:val="000000"/>
                          <w:spacing w:val="0"/>
                          <w:w w:val="100"/>
                          <w:position w:val="0"/>
                          <w:sz w:val="16"/>
                          <w:szCs w:val="16"/>
                          <w:shd w:val="clear" w:color="auto" w:fill="auto"/>
                          <w:lang w:val="cs-CZ" w:eastAsia="cs-CZ" w:bidi="cs-CZ"/>
                        </w:rPr>
                        <w:t>PRAHA, Václavské i». 25, v pasáži</w:t>
                      </w:r>
                    </w:p>
                  </w:txbxContent>
                </v:textbox>
                <w10:wrap type="square" side="left" anchorx="page"/>
              </v:shape>
            </w:pict>
          </mc:Fallback>
        </mc:AlternateContent>
      </w:r>
    </w:p>
    <w:p w:rsidR="00500724" w:rsidRDefault="00F30FB8">
      <w:pPr>
        <w:pStyle w:val="Zkladntext40"/>
        <w:shd w:val="clear" w:color="auto" w:fill="auto"/>
        <w:spacing w:after="0"/>
      </w:pPr>
      <w:r>
        <w:t>národě, aniž to budilo nebezpeč</w:t>
      </w:r>
      <w:r>
        <w:softHyphen/>
        <w:t>nou řevnivost katolického kléru. Jak lid byl Ještě protireformač- ně zatemnělý, ukazuje příhoda, kterou děd zažil, když měl první pohřeb v Sobotce. Jak stál u hro</w:t>
      </w:r>
      <w:r>
        <w:softHyphen/>
        <w:t xml:space="preserve">bu na </w:t>
      </w:r>
      <w:r>
        <w:t>hřbitově, pocítil, že se ho někdo vzadu dotýká. Ohlédl se a viděl, že mu Jakási babička nad</w:t>
      </w:r>
      <w:r>
        <w:softHyphen/>
        <w:t>zdvihuje vzadu opatrně kleriku, aby se přesvědčila, má-li oprav</w:t>
      </w:r>
      <w:r>
        <w:softHyphen/>
        <w:t>du kopyta.</w:t>
      </w:r>
    </w:p>
    <w:p w:rsidR="00500724" w:rsidRDefault="00F30FB8">
      <w:pPr>
        <w:pStyle w:val="Zkladntext40"/>
        <w:shd w:val="clear" w:color="auto" w:fill="auto"/>
        <w:spacing w:after="0"/>
        <w:ind w:firstLine="180"/>
      </w:pPr>
      <w:r>
        <w:t>O jeho taktním poměru ke ka</w:t>
      </w:r>
      <w:r>
        <w:softHyphen/>
        <w:t>tolickým kněžím svědčí nejlépe, co sám vypravuje v Českobratr</w:t>
      </w:r>
      <w:r>
        <w:softHyphen/>
        <w:t>ském věstníku roku 1850. Měl ne</w:t>
      </w:r>
      <w:r>
        <w:softHyphen/>
        <w:t>mocnou církevníci v osadě Zerči- clch u Mladé Boleslavě. Tamní katolický kněz Ji v nemocnici na</w:t>
      </w:r>
      <w:r>
        <w:softHyphen/>
        <w:t>vštěvoval a těšil a slíbil Jl, že Jl příbuzní budou moci kdekoli na hřbitově vybrat hrob. O pohřbu pozval tento bolzánovský kně</w:t>
      </w:r>
      <w:r>
        <w:t>z dědečka k sobě na taru, kde spo</w:t>
      </w:r>
      <w:r>
        <w:softHyphen/>
        <w:t>lu trávili několik ^příjemných okamžení*.</w:t>
      </w:r>
    </w:p>
    <w:p w:rsidR="00500724" w:rsidRDefault="00F30FB8">
      <w:pPr>
        <w:pStyle w:val="Zkladntext40"/>
        <w:shd w:val="clear" w:color="auto" w:fill="auto"/>
        <w:spacing w:after="0"/>
        <w:ind w:firstLine="180"/>
      </w:pPr>
      <w:r>
        <w:t>Děd dobře sl povšiml toho, že se do Nymburka přistěhovala ro</w:t>
      </w:r>
      <w:r>
        <w:softHyphen/>
        <w:t>dina finančního úředníka Němce, navštěvoval mladou zajímavou pani a také Ji rád vypomohl ně</w:t>
      </w:r>
      <w:r>
        <w:softHyphen/>
        <w:t xml:space="preserve">jakými plodinami. Stejně s </w:t>
      </w:r>
      <w:r>
        <w:t>horli</w:t>
      </w:r>
      <w:r>
        <w:softHyphen/>
        <w:t>vým zájmem sledoval činnost Havlíčkovu a Fričovu a odbíral stejně Havlíčkovy časopisy, jako si později dal z ciziny tajně za- sllati Fričův revoluční list Voix de Bohéme.</w:t>
      </w:r>
    </w:p>
    <w:p w:rsidR="00500724" w:rsidRDefault="00F30FB8">
      <w:pPr>
        <w:pStyle w:val="Zkladntext40"/>
        <w:numPr>
          <w:ilvl w:val="0"/>
          <w:numId w:val="41"/>
        </w:numPr>
        <w:shd w:val="clear" w:color="auto" w:fill="auto"/>
        <w:tabs>
          <w:tab w:val="left" w:pos="399"/>
        </w:tabs>
        <w:spacing w:after="0"/>
        <w:ind w:firstLine="180"/>
      </w:pPr>
      <w:r>
        <w:t>takovém ovzduší vlastenec- ko-šlechtickém vyrůstala četná rodina. Hoši studoval</w:t>
      </w:r>
      <w:r>
        <w:t>i napřed v Praze, potom ve Vídni a o prázd</w:t>
      </w:r>
      <w:r>
        <w:softHyphen/>
        <w:t>ninách podnikali po vkuse ro</w:t>
      </w:r>
      <w:r>
        <w:softHyphen/>
        <w:t>mantické doby výlety na zříceni</w:t>
      </w:r>
      <w:r>
        <w:softHyphen/>
        <w:t>ny hradů. Z té doby asi pocházel lístek, který jsem vedle Voix de Bohéme nalezl po letech v ma</w:t>
      </w:r>
      <w:r>
        <w:softHyphen/>
        <w:t>minčině truhle. Na Jedné straně byla pérová kresba Trosek</w:t>
      </w:r>
      <w:r>
        <w:t>, na druhé nápis: Hory, hory, české hory! a pod nimi nadšená báseň na české hory, nevím ovšem, zda vlastní skladba či opis nějaké vlastenecké básně z té doby.</w:t>
      </w:r>
    </w:p>
    <w:p w:rsidR="00500724" w:rsidRDefault="00F30FB8">
      <w:pPr>
        <w:pStyle w:val="Zkladntext40"/>
        <w:numPr>
          <w:ilvl w:val="0"/>
          <w:numId w:val="41"/>
        </w:numPr>
        <w:shd w:val="clear" w:color="auto" w:fill="auto"/>
        <w:tabs>
          <w:tab w:val="left" w:pos="399"/>
        </w:tabs>
        <w:spacing w:after="0"/>
        <w:ind w:firstLine="180"/>
      </w:pPr>
      <w:r>
        <w:t>Praze zastihl dva maminči</w:t>
      </w:r>
      <w:r>
        <w:softHyphen/>
        <w:t xml:space="preserve">ny bratry rok osmačtyřicátý. Bylo to o svatodušních svátcích, které se </w:t>
      </w:r>
      <w:r>
        <w:t>toho roku nádherně vy</w:t>
      </w:r>
      <w:r>
        <w:softHyphen/>
        <w:t>dařily. Byl již červen a všude kvetly růže. Tu přinesli na faru lidé, kteří byli návštěvou na Ces- kobrodsku, zprávu, že Je v Praze zle, že Windischgraetz dal z děl střílet na město a že se lid se</w:t>
      </w:r>
      <w:r>
        <w:br w:type="column"/>
        <w:t>studenty, vedenými Fričem, bráni na b</w:t>
      </w:r>
      <w:r>
        <w:t>arikádách. Na faře bylo všecko vzhůru vzrušením. Děd znal příliš dobře smýšleni svých hochů, aby byl jen na chvili po</w:t>
      </w:r>
      <w:r>
        <w:softHyphen/>
        <w:t>chyboval o Jejich stanovisku. Za</w:t>
      </w:r>
      <w:r>
        <w:softHyphen/>
        <w:t>tím přišly další zprávy zlé pro věc povstalců. Praha kapitulovala a studenti, pokud se jim nepoda</w:t>
      </w:r>
      <w:r>
        <w:softHyphen/>
        <w:t>řilo un</w:t>
      </w:r>
      <w:r>
        <w:t>iknout v přestrojení z měs</w:t>
      </w:r>
      <w:r>
        <w:softHyphen/>
        <w:t>ta, jsou hromadně zatýkáni. Uplynul den v úzkostlivém oče</w:t>
      </w:r>
      <w:r>
        <w:softHyphen/>
        <w:t xml:space="preserve">kávání. Nikdo nepomyslil na spánek. Dědeček přecházel po své studovně. Tu zabouřil někdo na dveře. Zděšeni </w:t>
      </w:r>
      <w:r>
        <w:rPr>
          <w:b/>
          <w:bCs/>
          <w:sz w:val="19"/>
          <w:szCs w:val="19"/>
        </w:rPr>
        <w:t xml:space="preserve">s </w:t>
      </w:r>
      <w:r>
        <w:t>radost! za</w:t>
      </w:r>
      <w:r>
        <w:softHyphen/>
        <w:t xml:space="preserve">chvělo farou; jsou to snad hoši z Prahy či husaři, </w:t>
      </w:r>
      <w:r>
        <w:t>o kterých se vě</w:t>
      </w:r>
      <w:r>
        <w:softHyphen/>
        <w:t>dělo, že honí studenty a že prá</w:t>
      </w:r>
      <w:r>
        <w:softHyphen/>
        <w:t>vě v Běchovicích způsobili hroz</w:t>
      </w:r>
      <w:r>
        <w:softHyphen/>
        <w:t>nou řež? Opatrně se otvírají dve</w:t>
      </w:r>
      <w:r>
        <w:softHyphen/>
        <w:t>ře, ale tu se už ozývá Jásot celým domem: jsou to studenti a hoši veselí, třebas na smrt unaveni, jdou z náruče do náruče, až se Jejich tváře l</w:t>
      </w:r>
      <w:r>
        <w:t>esknou slzami, kte</w:t>
      </w:r>
      <w:r>
        <w:softHyphen/>
        <w:t>rými Je skrápějí šťastné sestry. Dověděli se od známého jim z Bošína žebráka včas o řeži u Bě</w:t>
      </w:r>
      <w:r>
        <w:softHyphen/>
        <w:t xml:space="preserve">chovic </w:t>
      </w:r>
      <w:r>
        <w:rPr>
          <w:i/>
          <w:iCs/>
        </w:rPr>
        <w:t>a</w:t>
      </w:r>
      <w:r>
        <w:t xml:space="preserve"> tak se raději vydali z Prahy pěšky a podařilo se jim po pěšinkách proniknout hlídkami. Když za Nymburkem uviděli bě</w:t>
      </w:r>
      <w:r>
        <w:softHyphen/>
        <w:t>lat se mezi temným</w:t>
      </w:r>
      <w:r>
        <w:t>i lesy mcel- ský kostelíček, věděli, že už mají vyhráno. Nikdo z radující se ro</w:t>
      </w:r>
      <w:r>
        <w:softHyphen/>
        <w:t>diny netušil, že jednomu z ho</w:t>
      </w:r>
      <w:r>
        <w:softHyphen/>
        <w:t>chů, teď tak šťastně vychváce</w:t>
      </w:r>
      <w:r>
        <w:softHyphen/>
        <w:t>ných z velkého nebezpečí, přece je určen tragický konec.</w:t>
      </w:r>
    </w:p>
    <w:p w:rsidR="00500724" w:rsidRDefault="00F30FB8">
      <w:pPr>
        <w:pStyle w:val="Zkladntext40"/>
        <w:shd w:val="clear" w:color="auto" w:fill="auto"/>
        <w:spacing w:after="0" w:line="175" w:lineRule="auto"/>
        <w:ind w:firstLine="180"/>
      </w:pPr>
      <w:r>
        <w:t>Stalo se to už za dvě léta ve Vidní, kam se hoši odebrali s</w:t>
      </w:r>
      <w:r>
        <w:t>tu</w:t>
      </w:r>
      <w:r>
        <w:softHyphen/>
        <w:t>dovat theologii. V březnu r. 1850 sklouzl Jarolim Jan na schodech, při pádu se poranil na plících a po krátké nemoci zemřel. Podle Večerního listu si při pádu zlo</w:t>
      </w:r>
      <w:r>
        <w:softHyphen/>
        <w:t>mil nohu, ale pisatel zprávy o Je</w:t>
      </w:r>
      <w:r>
        <w:softHyphen/>
        <w:t xml:space="preserve">ho pohřbu </w:t>
      </w:r>
      <w:r>
        <w:rPr>
          <w:lang w:val="en-US" w:eastAsia="en-US" w:bidi="en-US"/>
        </w:rPr>
        <w:t xml:space="preserve">J. </w:t>
      </w:r>
      <w:r>
        <w:t>C. v Českobratrském věstníku (tuším duchovn</w:t>
      </w:r>
      <w:r>
        <w:t>í bás</w:t>
      </w:r>
      <w:r>
        <w:softHyphen/>
        <w:t>ník Cernilovský, od něhož je v Písních cestou života krásná píseň O, vy hvězdy skvou</w:t>
      </w:r>
      <w:r>
        <w:softHyphen/>
        <w:t>cí, těž předčasně zemřelý) to vy</w:t>
      </w:r>
      <w:r>
        <w:softHyphen/>
        <w:t xml:space="preserve">vrací. </w:t>
      </w:r>
      <w:r>
        <w:rPr>
          <w:lang w:val="en-US" w:eastAsia="en-US" w:bidi="en-US"/>
        </w:rPr>
        <w:t xml:space="preserve">J. </w:t>
      </w:r>
      <w:r>
        <w:t>C. užívá o Janu Jarolí- movi výrazu »přítel můj milova</w:t>
      </w:r>
      <w:r>
        <w:softHyphen/>
        <w:t>ný*, možno mu tedy věřit, že byl dobře zpraven. Pohřeb podle vy</w:t>
      </w:r>
      <w:r>
        <w:softHyphen/>
      </w:r>
      <w:r>
        <w:t>líčeni Cernilovského se stal ma</w:t>
      </w:r>
      <w:r>
        <w:softHyphen/>
        <w:t>nifestací úcty a soustrasti tehdej</w:t>
      </w:r>
      <w:r>
        <w:softHyphen/>
        <w:t>ší české Vidně k nebohému otci. Věstník věnoval vylíčeni pohřbu a pohřebním řečem větší část čísla ze dne 4. dubna. Pohřeb se</w:t>
      </w:r>
    </w:p>
    <w:p w:rsidR="00500724" w:rsidRDefault="00F30FB8">
      <w:pPr>
        <w:pStyle w:val="Zkladntext40"/>
        <w:shd w:val="clear" w:color="auto" w:fill="auto"/>
        <w:spacing w:after="0"/>
      </w:pPr>
      <w:r>
        <w:t>konal ze dvora všeobecné nemoc</w:t>
      </w:r>
      <w:r>
        <w:softHyphen/>
        <w:t xml:space="preserve">nice. Tam stála rakev skvostným </w:t>
      </w:r>
      <w:r>
        <w:t>příkrovem postřená s myrtovým věncem a po stranách byly zna</w:t>
      </w:r>
      <w:r>
        <w:softHyphen/>
        <w:t>ky zesnulého. U rakve kvílil otec, jež sem z domova hned 12. března pospíšil. Potom byla rakev odne</w:t>
      </w:r>
      <w:r>
        <w:softHyphen/>
        <w:t>sena do kaple a kolem ní se po</w:t>
      </w:r>
      <w:r>
        <w:softHyphen/>
        <w:t>stavilo dvanáct evangelických bohoslovců s bílými složenými roušk</w:t>
      </w:r>
      <w:r>
        <w:t>ami a myrtovými věnečky na rukou. Po řeči superintenden</w:t>
      </w:r>
      <w:r>
        <w:softHyphen/>
        <w:t>ta France vzalo šest bohoslovců rakev, šest druhých kráčelo s pochodněmi podle nich. Tak se ubíral dlouhý průvod ulicemi ví</w:t>
      </w:r>
      <w:r>
        <w:softHyphen/>
        <w:t>deňskými na hřbitov Směle za li</w:t>
      </w:r>
      <w:r>
        <w:softHyphen/>
        <w:t xml:space="preserve">nií </w:t>
      </w:r>
      <w:r>
        <w:rPr>
          <w:lang w:val="en-US" w:eastAsia="en-US" w:bidi="en-US"/>
        </w:rPr>
        <w:t xml:space="preserve">Lerchenfeldskou. </w:t>
      </w:r>
      <w:r>
        <w:t>V čele prů</w:t>
      </w:r>
      <w:r>
        <w:softHyphen/>
        <w:t>vodu šli hud</w:t>
      </w:r>
      <w:r>
        <w:t xml:space="preserve">ebnici od vojenského pluku </w:t>
      </w:r>
      <w:r>
        <w:rPr>
          <w:lang w:val="en-US" w:eastAsia="en-US" w:bidi="en-US"/>
        </w:rPr>
        <w:t xml:space="preserve">Vasa </w:t>
      </w:r>
      <w:r>
        <w:t>a hráli velmi krásně. Za rakví kráčel nejprve truchlící otec s přáteli zesnulého, potom všichni profesoři bohosloveckého ústavu, konsistoriální radové, a co bylo pro truchlíc! velikou útě</w:t>
      </w:r>
      <w:r>
        <w:softHyphen/>
        <w:t>chou, hojný počet vídeňských Slovanů</w:t>
      </w:r>
      <w:r>
        <w:t>, mezi nimiž kráčeli pro</w:t>
      </w:r>
      <w:r>
        <w:softHyphen/>
        <w:t>fesoři Kollár (básník Slávy dce</w:t>
      </w:r>
      <w:r>
        <w:softHyphen/>
        <w:t>ry), Kuzmány a Sembera se svý</w:t>
      </w:r>
      <w:r>
        <w:softHyphen/>
        <w:t>mi paními. Na hřbitově, kam se došlo Již za šera. zazpívali nej</w:t>
      </w:r>
      <w:r>
        <w:softHyphen/>
        <w:t>prve j.čtyři švarní Slované*, které</w:t>
      </w:r>
    </w:p>
    <w:p w:rsidR="00500724" w:rsidRDefault="00F30FB8">
      <w:pPr>
        <w:spacing w:line="1" w:lineRule="exact"/>
        <w:rPr>
          <w:sz w:val="2"/>
          <w:szCs w:val="2"/>
        </w:rPr>
      </w:pPr>
      <w:r>
        <w:br w:type="column"/>
      </w:r>
    </w:p>
    <w:p w:rsidR="00500724" w:rsidRDefault="00F30FB8">
      <w:pPr>
        <w:pStyle w:val="Zkladntext40"/>
        <w:shd w:val="clear" w:color="auto" w:fill="auto"/>
        <w:spacing w:after="0" w:line="182" w:lineRule="auto"/>
        <w:sectPr w:rsidR="00500724">
          <w:footnotePr>
            <w:numFmt w:val="chicago"/>
            <w:numRestart w:val="eachPage"/>
          </w:footnotePr>
          <w:type w:val="continuous"/>
          <w:pgSz w:w="11909" w:h="16834"/>
          <w:pgMar w:top="557" w:right="1259" w:bottom="557" w:left="358" w:header="0" w:footer="3" w:gutter="0"/>
          <w:cols w:num="4" w:sep="1" w:space="100"/>
          <w:noEndnote/>
          <w:docGrid w:linePitch="360"/>
        </w:sectPr>
      </w:pPr>
      <w:r>
        <w:t>Cernilovský na vděčnou památku jmenu</w:t>
      </w:r>
      <w:r>
        <w:t>je, Pivoda, Smutka, Rosa a Kremláček. překrásný libozvučný kvartet. Potom promluvili profe</w:t>
      </w:r>
      <w:r>
        <w:softHyphen/>
        <w:t xml:space="preserve">sor Kuznámy česky, bohoslovec Šodel z Aše německy, bohoslovec Jan </w:t>
      </w:r>
      <w:r>
        <w:rPr>
          <w:lang w:val="en-US" w:eastAsia="en-US" w:bidi="en-US"/>
        </w:rPr>
        <w:t xml:space="preserve">Janata, </w:t>
      </w:r>
      <w:r>
        <w:t>pozdější básník sión</w:t>
      </w:r>
      <w:r>
        <w:softHyphen/>
        <w:t>ský, česky, a na konec ulevil si českou řeči sám otec zvěčnělého. Prav</w:t>
      </w:r>
      <w:r>
        <w:t>il, že jako duchovní pastýř doprovázel již k hrobu mnohé</w:t>
      </w:r>
      <w:r>
        <w:softHyphen/>
        <w:t>ho věkem sešlého starce, ale také mnohé dítě. jedinou naději rodi</w:t>
      </w:r>
      <w:r>
        <w:softHyphen/>
        <w:t>čů. Nyní přišel řad na něj samé</w:t>
      </w:r>
      <w:r>
        <w:softHyphen/>
        <w:t>ho: stoji u hrobu milovaného sy</w:t>
      </w:r>
      <w:r>
        <w:softHyphen/>
        <w:t>na, jehož církvi, jehož vlasti dra</w:t>
      </w:r>
      <w:r>
        <w:softHyphen/>
        <w:t>hé ku blahu vychovat! mínil. Dě</w:t>
      </w:r>
      <w:r>
        <w:softHyphen/>
        <w:t>ku</w:t>
      </w:r>
      <w:r>
        <w:t>je všem milým Slovanům za lásku k synu svému, »slzou slo</w:t>
      </w:r>
      <w:r>
        <w:softHyphen/>
        <w:t>vanskou zarosili jste tento pa</w:t>
      </w:r>
      <w:r>
        <w:softHyphen/>
        <w:t>hrbek hrobový a tu mně již při</w:t>
      </w:r>
      <w:r>
        <w:softHyphen/>
        <w:t>chází, jako by v otčině odpočí</w:t>
      </w:r>
      <w:r>
        <w:softHyphen/>
        <w:t>val*. Podle Kuzmányho s Jaro- límem mnohá naděje národa a církve i mnohá rozkoš jeho osob</w:t>
      </w:r>
      <w:r>
        <w:softHyphen/>
        <w:t>ni zanikly Jsou.</w:t>
      </w:r>
      <w:r>
        <w:t xml:space="preserve"> Trvalou památ</w:t>
      </w:r>
      <w:r>
        <w:softHyphen/>
        <w:t>kou na tuto tragickou příhodu i pohřeb je krásná píseň od Kuz</w:t>
      </w:r>
      <w:r>
        <w:softHyphen/>
        <w:t>mányho zvláště k pohřbu slože</w:t>
      </w:r>
      <w:r>
        <w:softHyphen/>
        <w:t>ná, která pro krátkost času ne</w:t>
      </w:r>
      <w:r>
        <w:softHyphen/>
        <w:t>mohla »býti do not vsazena*.</w:t>
      </w:r>
    </w:p>
    <w:p w:rsidR="00500724" w:rsidRDefault="00F30FB8">
      <w:pPr>
        <w:pStyle w:val="Nadpis70"/>
        <w:keepNext/>
        <w:keepLines/>
        <w:shd w:val="clear" w:color="auto" w:fill="auto"/>
        <w:spacing w:after="400"/>
        <w:ind w:left="360" w:firstLine="20"/>
        <w:jc w:val="both"/>
        <w:rPr>
          <w:sz w:val="34"/>
          <w:szCs w:val="34"/>
        </w:rPr>
      </w:pPr>
      <w:bookmarkStart w:id="350" w:name="bookmark349"/>
      <w:r>
        <w:rPr>
          <w:rFonts w:ascii="Times New Roman" w:eastAsia="Times New Roman" w:hAnsi="Times New Roman" w:cs="Times New Roman"/>
          <w:w w:val="100"/>
          <w:u w:val="single"/>
        </w:rPr>
        <w:t xml:space="preserve">Národní umění se rodí stále znovu </w:t>
      </w:r>
      <w:r>
        <w:rPr>
          <w:rFonts w:ascii="Times New Roman" w:eastAsia="Times New Roman" w:hAnsi="Times New Roman" w:cs="Times New Roman"/>
          <w:smallCaps/>
          <w:w w:val="100"/>
          <w:sz w:val="34"/>
          <w:szCs w:val="34"/>
          <w:u w:val="single"/>
        </w:rPr>
        <w:t>f. peroutka</w:t>
      </w:r>
      <w:bookmarkEnd w:id="350"/>
    </w:p>
    <w:p w:rsidR="00500724" w:rsidRDefault="00F30FB8">
      <w:pPr>
        <w:pStyle w:val="Jin0"/>
        <w:shd w:val="clear" w:color="auto" w:fill="auto"/>
        <w:spacing w:after="560"/>
        <w:ind w:left="360" w:firstLine="20"/>
        <w:rPr>
          <w:sz w:val="26"/>
          <w:szCs w:val="26"/>
        </w:rPr>
      </w:pPr>
      <w:r>
        <w:rPr>
          <w:rFonts w:ascii="Calibri" w:eastAsia="Calibri" w:hAnsi="Calibri" w:cs="Calibri"/>
          <w:b/>
          <w:bCs/>
          <w:w w:val="70"/>
          <w:sz w:val="70"/>
          <w:szCs w:val="70"/>
          <w:u w:val="single"/>
        </w:rPr>
        <w:t xml:space="preserve">Nepolitická politika - naše metoda nynější </w:t>
      </w:r>
      <w:r>
        <w:rPr>
          <w:sz w:val="26"/>
          <w:szCs w:val="26"/>
          <w:u w:val="single"/>
        </w:rPr>
        <w:t>Z. SMETÁČEK</w:t>
      </w:r>
    </w:p>
    <w:p w:rsidR="00500724" w:rsidRDefault="00F30FB8">
      <w:pPr>
        <w:pStyle w:val="Jin0"/>
        <w:shd w:val="clear" w:color="auto" w:fill="auto"/>
        <w:spacing w:after="480"/>
        <w:ind w:left="360" w:firstLine="20"/>
        <w:rPr>
          <w:sz w:val="70"/>
          <w:szCs w:val="70"/>
        </w:rPr>
      </w:pPr>
      <w:r>
        <w:rPr>
          <w:rFonts w:ascii="Calibri" w:eastAsia="Calibri" w:hAnsi="Calibri" w:cs="Calibri"/>
          <w:b/>
          <w:bCs/>
          <w:w w:val="70"/>
          <w:sz w:val="70"/>
          <w:szCs w:val="70"/>
        </w:rPr>
        <w:t>Chemie přebytku či nedostatku?</w:t>
      </w:r>
    </w:p>
    <w:p w:rsidR="00500724" w:rsidRDefault="00F30FB8">
      <w:pPr>
        <w:pStyle w:val="Nadpis70"/>
        <w:keepNext/>
        <w:keepLines/>
        <w:shd w:val="clear" w:color="auto" w:fill="auto"/>
        <w:tabs>
          <w:tab w:val="left" w:pos="8427"/>
        </w:tabs>
        <w:spacing w:after="480"/>
        <w:ind w:left="360" w:firstLine="20"/>
        <w:jc w:val="both"/>
        <w:rPr>
          <w:sz w:val="26"/>
          <w:szCs w:val="26"/>
        </w:rPr>
      </w:pPr>
      <w:bookmarkStart w:id="351" w:name="bookmark350"/>
      <w:r>
        <w:rPr>
          <w:rFonts w:ascii="Times New Roman" w:eastAsia="Times New Roman" w:hAnsi="Times New Roman" w:cs="Times New Roman"/>
          <w:w w:val="100"/>
        </w:rPr>
        <w:t>... „hledat štěstí jinde“ ?</w:t>
      </w:r>
      <w:r>
        <w:rPr>
          <w:rFonts w:ascii="Times New Roman" w:eastAsia="Times New Roman" w:hAnsi="Times New Roman" w:cs="Times New Roman"/>
          <w:w w:val="100"/>
        </w:rPr>
        <w:tab/>
      </w:r>
      <w:r>
        <w:rPr>
          <w:rFonts w:ascii="Times New Roman" w:eastAsia="Times New Roman" w:hAnsi="Times New Roman" w:cs="Times New Roman"/>
          <w:w w:val="100"/>
          <w:sz w:val="26"/>
          <w:szCs w:val="26"/>
        </w:rPr>
        <w:t>MARIE KUBEŠOVÁ</w:t>
      </w:r>
      <w:bookmarkEnd w:id="351"/>
    </w:p>
    <w:p w:rsidR="00500724" w:rsidRDefault="00F30FB8">
      <w:pPr>
        <w:pStyle w:val="Nadpis70"/>
        <w:keepNext/>
        <w:keepLines/>
        <w:shd w:val="clear" w:color="auto" w:fill="auto"/>
        <w:tabs>
          <w:tab w:val="left" w:pos="8427"/>
        </w:tabs>
        <w:spacing w:after="920"/>
        <w:ind w:left="360" w:firstLine="20"/>
        <w:jc w:val="both"/>
        <w:rPr>
          <w:sz w:val="26"/>
          <w:szCs w:val="26"/>
        </w:rPr>
      </w:pPr>
      <w:bookmarkStart w:id="352" w:name="bookmark351"/>
      <w:r>
        <w:rPr>
          <w:rFonts w:ascii="Times New Roman" w:eastAsia="Times New Roman" w:hAnsi="Times New Roman" w:cs="Times New Roman"/>
          <w:w w:val="100"/>
        </w:rPr>
        <w:t>Umění poslouchati rozhlas</w:t>
      </w:r>
      <w:r>
        <w:rPr>
          <w:rFonts w:ascii="Times New Roman" w:eastAsia="Times New Roman" w:hAnsi="Times New Roman" w:cs="Times New Roman"/>
          <w:w w:val="100"/>
        </w:rPr>
        <w:tab/>
      </w:r>
      <w:r>
        <w:rPr>
          <w:rFonts w:ascii="Times New Roman" w:eastAsia="Times New Roman" w:hAnsi="Times New Roman" w:cs="Times New Roman"/>
          <w:w w:val="100"/>
          <w:sz w:val="26"/>
          <w:szCs w:val="26"/>
        </w:rPr>
        <w:t>FRANTIŠEK KOŽIK</w:t>
      </w:r>
      <w:bookmarkEnd w:id="352"/>
    </w:p>
    <w:p w:rsidR="00500724" w:rsidRDefault="00F30FB8">
      <w:pPr>
        <w:pStyle w:val="Jin0"/>
        <w:shd w:val="clear" w:color="auto" w:fill="auto"/>
        <w:spacing w:after="520" w:line="307" w:lineRule="auto"/>
        <w:ind w:left="360" w:firstLine="20"/>
        <w:jc w:val="left"/>
        <w:rPr>
          <w:sz w:val="32"/>
          <w:szCs w:val="32"/>
        </w:rPr>
        <w:sectPr w:rsidR="00500724">
          <w:footnotePr>
            <w:numFmt w:val="chicago"/>
            <w:numRestart w:val="eachPage"/>
          </w:footnotePr>
          <w:pgSz w:w="11909" w:h="16834"/>
          <w:pgMar w:top="1011" w:right="187" w:bottom="1011" w:left="528" w:header="0" w:footer="3" w:gutter="0"/>
          <w:cols w:space="720"/>
          <w:noEndnote/>
          <w:docGrid w:linePitch="360"/>
        </w:sectPr>
      </w:pPr>
      <w:r>
        <w:rPr>
          <w:sz w:val="32"/>
          <w:szCs w:val="32"/>
        </w:rPr>
        <w:t>Milion kilogramů jedu — V nových státoprávních poměrech — Zá</w:t>
      </w:r>
      <w:r>
        <w:rPr>
          <w:sz w:val="32"/>
          <w:szCs w:val="32"/>
        </w:rPr>
        <w:softHyphen/>
        <w:t xml:space="preserve">chrana existencí, hlavní úkol českého </w:t>
      </w:r>
      <w:r>
        <w:rPr>
          <w:sz w:val="32"/>
          <w:szCs w:val="32"/>
        </w:rPr>
        <w:t>snažení — Význam Albánie</w:t>
      </w:r>
    </w:p>
    <w:p w:rsidR="00500724" w:rsidRDefault="00F30FB8">
      <w:pPr>
        <w:pStyle w:val="Nadpis110"/>
        <w:framePr w:w="4829" w:h="514" w:wrap="none" w:vAnchor="text" w:hAnchor="page" w:x="5634" w:y="21"/>
        <w:pBdr>
          <w:top w:val="single" w:sz="0" w:space="0" w:color="000000"/>
          <w:left w:val="single" w:sz="0" w:space="0" w:color="000000"/>
          <w:bottom w:val="single" w:sz="0" w:space="0" w:color="000000"/>
          <w:right w:val="single" w:sz="0" w:space="0" w:color="000000"/>
        </w:pBdr>
        <w:shd w:val="clear" w:color="auto" w:fill="000000"/>
        <w:spacing w:before="80"/>
        <w:ind w:left="60"/>
        <w:jc w:val="center"/>
      </w:pPr>
      <w:bookmarkStart w:id="353" w:name="bookmark352"/>
      <w:r>
        <w:rPr>
          <w:color w:val="FFFFFF"/>
        </w:rPr>
        <w:t xml:space="preserve">ODBORNÍ </w:t>
      </w:r>
      <w:r>
        <w:rPr>
          <w:color w:val="FFFFFF"/>
          <w:lang w:val="en-US" w:eastAsia="en-US" w:bidi="en-US"/>
        </w:rPr>
        <w:t>LEKAftl</w:t>
      </w:r>
      <w:bookmarkEnd w:id="353"/>
    </w:p>
    <w:p w:rsidR="00500724" w:rsidRDefault="00F30FB8">
      <w:pPr>
        <w:pStyle w:val="Jin0"/>
        <w:framePr w:w="998" w:h="365" w:wrap="none" w:vAnchor="text" w:hAnchor="page" w:x="4155" w:y="721"/>
        <w:shd w:val="clear" w:color="auto" w:fill="auto"/>
        <w:ind w:firstLine="0"/>
        <w:jc w:val="left"/>
        <w:rPr>
          <w:sz w:val="26"/>
          <w:szCs w:val="26"/>
        </w:rPr>
      </w:pPr>
      <w:r>
        <w:rPr>
          <w:rFonts w:ascii="Calibri" w:eastAsia="Calibri" w:hAnsi="Calibri" w:cs="Calibri"/>
          <w:b/>
          <w:bCs/>
          <w:w w:val="70"/>
          <w:sz w:val="26"/>
          <w:szCs w:val="26"/>
        </w:rPr>
        <w:t>u Jaroměře</w:t>
      </w:r>
    </w:p>
    <w:p w:rsidR="00500724" w:rsidRDefault="00F30FB8">
      <w:pPr>
        <w:pStyle w:val="Zkladntext100"/>
        <w:framePr w:w="4747" w:h="643" w:wrap="none" w:vAnchor="text" w:hAnchor="page" w:x="5874" w:y="601"/>
        <w:shd w:val="clear" w:color="auto" w:fill="auto"/>
        <w:spacing w:line="173" w:lineRule="auto"/>
        <w:ind w:firstLine="0"/>
        <w:jc w:val="right"/>
      </w:pPr>
      <w:r>
        <w:t xml:space="preserve">odborný lékař pro </w:t>
      </w:r>
      <w:r>
        <w:rPr>
          <w:b/>
          <w:bCs/>
        </w:rPr>
        <w:t xml:space="preserve">žaludeční a střevní nemoci a roenteenologii. </w:t>
      </w:r>
      <w:r>
        <w:t>PRAHA H.. NEKAZANKA 4, II. patro. Ord. 9—10. 3—4.</w:t>
      </w:r>
    </w:p>
    <w:p w:rsidR="00500724" w:rsidRDefault="00F30FB8">
      <w:pPr>
        <w:pStyle w:val="Zkladntext100"/>
        <w:framePr w:w="4747" w:h="643" w:wrap="none" w:vAnchor="text" w:hAnchor="page" w:x="5874" w:y="601"/>
        <w:pBdr>
          <w:bottom w:val="single" w:sz="4" w:space="0" w:color="auto"/>
        </w:pBdr>
        <w:shd w:val="clear" w:color="auto" w:fill="auto"/>
        <w:spacing w:line="173" w:lineRule="auto"/>
        <w:ind w:left="2160" w:firstLine="0"/>
        <w:jc w:val="left"/>
      </w:pPr>
      <w:r>
        <w:t>Telefon 234-13.</w:t>
      </w:r>
    </w:p>
    <w:p w:rsidR="00500724" w:rsidRDefault="00F30FB8">
      <w:pPr>
        <w:pStyle w:val="Nadpis110"/>
        <w:framePr w:w="1786" w:h="293" w:wrap="none" w:vAnchor="text" w:hAnchor="page" w:x="5461" w:y="620"/>
        <w:shd w:val="clear" w:color="auto" w:fill="auto"/>
      </w:pPr>
      <w:bookmarkStart w:id="354" w:name="bookmark353"/>
      <w:r>
        <w:t>MUDr. Frankl</w:t>
      </w:r>
      <w:bookmarkEnd w:id="354"/>
    </w:p>
    <w:p w:rsidR="00500724" w:rsidRDefault="00F30FB8">
      <w:pPr>
        <w:pStyle w:val="Zkladntext100"/>
        <w:framePr w:w="5064" w:h="643" w:wrap="none" w:vAnchor="text" w:hAnchor="page" w:x="5499" w:y="1417"/>
        <w:shd w:val="clear" w:color="auto" w:fill="auto"/>
        <w:spacing w:line="149" w:lineRule="auto"/>
        <w:ind w:firstLine="0"/>
        <w:jc w:val="right"/>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t xml:space="preserve">odborný lékař pro choroby vnitřní, žaludeční, střevní a výměny látek, em. esistent 1. med. kliniky </w:t>
      </w:r>
      <w:r>
        <w:rPr>
          <w:lang w:val="en-US" w:eastAsia="en-US" w:bidi="en-US"/>
        </w:rPr>
        <w:t xml:space="preserve">prof. </w:t>
      </w:r>
      <w:r>
        <w:t>Schmidta.</w:t>
      </w:r>
    </w:p>
    <w:p w:rsidR="00500724" w:rsidRDefault="00F30FB8">
      <w:pPr>
        <w:pStyle w:val="Zkladntext100"/>
        <w:framePr w:w="5064" w:h="643" w:wrap="none" w:vAnchor="text" w:hAnchor="page" w:x="5499" w:y="1417"/>
        <w:shd w:val="clear" w:color="auto" w:fill="auto"/>
        <w:spacing w:line="158" w:lineRule="auto"/>
        <w:ind w:firstLine="0"/>
        <w:jc w:val="right"/>
      </w:pPr>
      <w:r>
        <w:rPr>
          <w:u w:val="single"/>
        </w:rPr>
        <w:t>PRAHA L, Na Příkopech 35. Ord. 9-10 '/</w:t>
      </w:r>
      <w:r>
        <w:rPr>
          <w:u w:val="single"/>
          <w:vertAlign w:val="subscript"/>
        </w:rPr>
        <w:t>2</w:t>
      </w:r>
      <w:r>
        <w:rPr>
          <w:u w:val="single"/>
        </w:rPr>
        <w:t xml:space="preserve"> 3-725. Telef. 228-91.</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33" w:line="14" w:lineRule="exact"/>
      </w:pPr>
    </w:p>
    <w:p w:rsidR="00500724" w:rsidRDefault="00500724">
      <w:pPr>
        <w:spacing w:line="14" w:lineRule="exact"/>
        <w:sectPr w:rsidR="00500724">
          <w:footnotePr>
            <w:numFmt w:val="chicago"/>
            <w:numRestart w:val="eachPage"/>
          </w:footnotePr>
          <w:pgSz w:w="11909" w:h="16834"/>
          <w:pgMar w:top="994" w:right="1289" w:bottom="823" w:left="89" w:header="0" w:footer="3" w:gutter="0"/>
          <w:cols w:space="720"/>
          <w:noEndnote/>
          <w:docGrid w:linePitch="360"/>
        </w:sectPr>
      </w:pPr>
    </w:p>
    <w:p w:rsidR="00500724" w:rsidRDefault="00F30FB8">
      <w:pPr>
        <w:pStyle w:val="Jin0"/>
        <w:shd w:val="clear" w:color="auto" w:fill="auto"/>
        <w:ind w:firstLine="0"/>
        <w:rPr>
          <w:sz w:val="26"/>
          <w:szCs w:val="26"/>
        </w:rPr>
      </w:pPr>
      <w:r>
        <w:rPr>
          <w:rFonts w:ascii="Arial" w:eastAsia="Arial" w:hAnsi="Arial" w:cs="Arial"/>
          <w:b/>
          <w:bCs/>
          <w:sz w:val="26"/>
          <w:szCs w:val="26"/>
        </w:rPr>
        <w:t>PŘÍTOMNOST</w:t>
      </w:r>
    </w:p>
    <w:p w:rsidR="00500724" w:rsidRDefault="00F30FB8">
      <w:pPr>
        <w:pStyle w:val="Zkladntext40"/>
        <w:shd w:val="clear" w:color="auto" w:fill="auto"/>
        <w:spacing w:after="0" w:line="240" w:lineRule="auto"/>
      </w:pPr>
      <w:r>
        <w:t>ukládá starati se pečlivému otci o</w:t>
      </w:r>
    </w:p>
    <w:p w:rsidR="00500724" w:rsidRDefault="00F30FB8">
      <w:pPr>
        <w:pStyle w:val="Jin0"/>
        <w:shd w:val="clear" w:color="auto" w:fill="auto"/>
        <w:ind w:firstLine="0"/>
        <w:rPr>
          <w:sz w:val="26"/>
          <w:szCs w:val="26"/>
        </w:rPr>
      </w:pPr>
      <w:r>
        <w:rPr>
          <w:rFonts w:ascii="Arial" w:eastAsia="Arial" w:hAnsi="Arial" w:cs="Arial"/>
          <w:b/>
          <w:bCs/>
          <w:sz w:val="26"/>
          <w:szCs w:val="26"/>
        </w:rPr>
        <w:t>B</w:t>
      </w:r>
      <w:r>
        <w:rPr>
          <w:rFonts w:ascii="Arial" w:eastAsia="Arial" w:hAnsi="Arial" w:cs="Arial"/>
          <w:b/>
          <w:bCs/>
          <w:sz w:val="26"/>
          <w:szCs w:val="26"/>
        </w:rPr>
        <w:t>UDOUCNOST</w:t>
      </w:r>
    </w:p>
    <w:p w:rsidR="00500724" w:rsidRDefault="00F30FB8">
      <w:pPr>
        <w:pStyle w:val="Zkladntext40"/>
        <w:shd w:val="clear" w:color="auto" w:fill="auto"/>
        <w:tabs>
          <w:tab w:val="left" w:pos="2146"/>
        </w:tabs>
        <w:spacing w:after="0" w:line="240" w:lineRule="auto"/>
      </w:pPr>
      <w:r>
        <w:t>rodiny</w:t>
      </w:r>
      <w:r>
        <w:tab/>
        <w:t>Vhodný způsob této péče</w:t>
      </w:r>
    </w:p>
    <w:p w:rsidR="00500724" w:rsidRDefault="00F30FB8">
      <w:pPr>
        <w:pStyle w:val="Jin0"/>
        <w:shd w:val="clear" w:color="auto" w:fill="auto"/>
        <w:ind w:firstLine="0"/>
        <w:jc w:val="right"/>
        <w:rPr>
          <w:sz w:val="26"/>
          <w:szCs w:val="26"/>
        </w:rPr>
      </w:pPr>
      <w:r>
        <w:rPr>
          <w:rFonts w:ascii="Arial" w:eastAsia="Arial" w:hAnsi="Arial" w:cs="Arial"/>
          <w:b/>
          <w:bCs/>
          <w:sz w:val="26"/>
          <w:szCs w:val="26"/>
        </w:rPr>
        <w:t>životní pojistkou</w:t>
      </w:r>
    </w:p>
    <w:p w:rsidR="00500724" w:rsidRDefault="00F30FB8">
      <w:pPr>
        <w:pStyle w:val="Zkladntext40"/>
        <w:shd w:val="clear" w:color="auto" w:fill="auto"/>
        <w:spacing w:after="0" w:line="240" w:lineRule="auto"/>
      </w:pPr>
      <w:r>
        <w:t>poradí Vám</w:t>
      </w:r>
    </w:p>
    <w:p w:rsidR="00500724" w:rsidRDefault="00F30FB8">
      <w:pPr>
        <w:pStyle w:val="Jin0"/>
        <w:shd w:val="clear" w:color="auto" w:fill="auto"/>
        <w:spacing w:line="197" w:lineRule="auto"/>
        <w:ind w:firstLine="0"/>
        <w:jc w:val="right"/>
        <w:rPr>
          <w:sz w:val="42"/>
          <w:szCs w:val="42"/>
        </w:rPr>
      </w:pPr>
      <w:r>
        <w:rPr>
          <w:rFonts w:ascii="Calibri" w:eastAsia="Calibri" w:hAnsi="Calibri" w:cs="Calibri"/>
          <w:b/>
          <w:bCs/>
          <w:w w:val="70"/>
          <w:sz w:val="42"/>
          <w:szCs w:val="42"/>
        </w:rPr>
        <w:t>akciová pojišťovna</w:t>
      </w:r>
    </w:p>
    <w:p w:rsidR="00500724" w:rsidRDefault="00F30FB8">
      <w:pPr>
        <w:pStyle w:val="Zkladntext100"/>
        <w:shd w:val="clear" w:color="auto" w:fill="auto"/>
        <w:spacing w:line="240" w:lineRule="auto"/>
        <w:ind w:firstLine="0"/>
        <w:rPr>
          <w:sz w:val="17"/>
          <w:szCs w:val="17"/>
        </w:rPr>
      </w:pPr>
      <w:r>
        <w:rPr>
          <w:sz w:val="17"/>
          <w:szCs w:val="17"/>
        </w:rPr>
        <w:t>Praho XI., Spálená 49 - Telefony 344-41-4</w:t>
      </w:r>
    </w:p>
    <w:p w:rsidR="00500724" w:rsidRDefault="00F30FB8">
      <w:pPr>
        <w:spacing w:line="1" w:lineRule="exact"/>
        <w:rPr>
          <w:sz w:val="2"/>
          <w:szCs w:val="2"/>
        </w:rPr>
      </w:pPr>
      <w:r>
        <w:br w:type="column"/>
      </w:r>
    </w:p>
    <w:p w:rsidR="00500724" w:rsidRDefault="00F30FB8">
      <w:pPr>
        <w:pStyle w:val="Nadpis110"/>
        <w:shd w:val="clear" w:color="auto" w:fill="auto"/>
        <w:spacing w:after="40"/>
        <w:jc w:val="both"/>
      </w:pPr>
      <w:bookmarkStart w:id="355" w:name="bookmark354"/>
      <w:r>
        <w:t>MUDr. ZDENKA NEDVĚDOVÁ-NEJEDLÁ</w:t>
      </w:r>
      <w:bookmarkEnd w:id="355"/>
    </w:p>
    <w:p w:rsidR="00500724" w:rsidRDefault="00F30FB8">
      <w:pPr>
        <w:pStyle w:val="Zkladntext100"/>
        <w:shd w:val="clear" w:color="auto" w:fill="auto"/>
        <w:spacing w:after="140" w:line="228" w:lineRule="auto"/>
        <w:ind w:firstLine="0"/>
      </w:pPr>
      <w:r>
        <w:t xml:space="preserve">odb. dětská lékařka, PODOLÍ, PANKRÁCKÁ 14 (stanice elektr. </w:t>
      </w:r>
      <w:r>
        <w:rPr>
          <w:u w:val="single"/>
        </w:rPr>
        <w:t>dráhy za Podol, sanatoriem). Ord.</w:t>
      </w:r>
      <w:r>
        <w:rPr>
          <w:u w:val="single"/>
        </w:rPr>
        <w:t xml:space="preserve"> 9—10 a 2—4. Tel. 441-77.</w:t>
      </w:r>
    </w:p>
    <w:p w:rsidR="00500724" w:rsidRDefault="00F30FB8">
      <w:pPr>
        <w:pStyle w:val="Zkladntext100"/>
        <w:shd w:val="clear" w:color="auto" w:fill="auto"/>
        <w:spacing w:after="40" w:line="178"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360" w:line="223" w:lineRule="auto"/>
        <w:ind w:firstLine="0"/>
        <w:rPr>
          <w:sz w:val="17"/>
          <w:szCs w:val="17"/>
        </w:rPr>
      </w:pPr>
      <w:r>
        <w:t xml:space="preserve">ord. 3—4 (a podle úmluvy). Telefon 393-79. </w:t>
      </w:r>
      <w:r>
        <w:rPr>
          <w:b/>
          <w:bCs/>
          <w:sz w:val="17"/>
          <w:szCs w:val="17"/>
        </w:rPr>
        <w:t>PRAHA H.. VO</w:t>
      </w:r>
      <w:r>
        <w:rPr>
          <w:b/>
          <w:bCs/>
          <w:sz w:val="17"/>
          <w:szCs w:val="17"/>
        </w:rPr>
        <w:softHyphen/>
        <w:t>DIČKOVA 15. (Hlávkův palác.)</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jc w:val="center"/>
        <w:sectPr w:rsidR="00500724">
          <w:footnotePr>
            <w:numFmt w:val="chicago"/>
            <w:numRestart w:val="eachPage"/>
          </w:footnotePr>
          <w:type w:val="continuous"/>
          <w:pgSz w:w="11909" w:h="16834"/>
          <w:pgMar w:top="994" w:right="1352" w:bottom="823" w:left="358" w:header="0" w:footer="3" w:gutter="0"/>
          <w:cols w:num="2" w:space="720" w:equalWidth="0">
            <w:col w:w="4574" w:space="557"/>
            <w:col w:w="5069"/>
          </w:cols>
          <w:noEndnote/>
          <w:docGrid w:linePitch="360"/>
        </w:sectPr>
      </w:pPr>
      <w:bookmarkStart w:id="356" w:name="bookmark355"/>
      <w:r>
        <w:rPr>
          <w:color w:val="FFFFFF"/>
        </w:rPr>
        <w:t>VAS VKUS I NÁROKY USPOKOJÍ</w:t>
      </w:r>
      <w:bookmarkEnd w:id="356"/>
    </w:p>
    <w:p w:rsidR="00500724" w:rsidRDefault="00F30FB8">
      <w:pPr>
        <w:pStyle w:val="Jin0"/>
        <w:shd w:val="clear" w:color="auto" w:fill="auto"/>
        <w:spacing w:after="80"/>
        <w:ind w:left="160" w:firstLine="0"/>
        <w:jc w:val="left"/>
        <w:rPr>
          <w:sz w:val="26"/>
          <w:szCs w:val="26"/>
        </w:rPr>
      </w:pPr>
      <w:r>
        <w:rPr>
          <w:i/>
          <w:iCs/>
          <w:sz w:val="26"/>
          <w:szCs w:val="26"/>
        </w:rPr>
        <w:t>Svétovou sensací</w:t>
      </w:r>
    </w:p>
    <w:p w:rsidR="00500724" w:rsidRDefault="00F30FB8">
      <w:pPr>
        <w:pStyle w:val="Nadpis110"/>
        <w:shd w:val="clear" w:color="auto" w:fill="auto"/>
        <w:ind w:left="660"/>
      </w:pPr>
      <w:bookmarkStart w:id="357" w:name="bookmark356"/>
      <w:r>
        <w:t>prvního řádu jsou</w:t>
      </w:r>
      <w:bookmarkEnd w:id="357"/>
    </w:p>
    <w:p w:rsidR="00500724" w:rsidRDefault="00F30FB8">
      <w:pPr>
        <w:spacing w:line="1" w:lineRule="exact"/>
        <w:rPr>
          <w:sz w:val="2"/>
          <w:szCs w:val="2"/>
        </w:rPr>
      </w:pPr>
      <w:r>
        <w:br w:type="column"/>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2568"/>
      </w:tblGrid>
      <w:tr w:rsidR="00500724">
        <w:tblPrEx>
          <w:tblCellMar>
            <w:top w:w="0" w:type="dxa"/>
            <w:bottom w:w="0" w:type="dxa"/>
          </w:tblCellMar>
        </w:tblPrEx>
        <w:trPr>
          <w:trHeight w:hRule="exact" w:val="437"/>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firstLine="0"/>
              <w:jc w:val="right"/>
              <w:rPr>
                <w:sz w:val="26"/>
                <w:szCs w:val="26"/>
              </w:rPr>
            </w:pPr>
            <w:r>
              <w:rPr>
                <w:rFonts w:ascii="Arial" w:eastAsia="Arial" w:hAnsi="Arial" w:cs="Arial"/>
                <w:b/>
                <w:bCs/>
                <w:sz w:val="26"/>
                <w:szCs w:val="26"/>
              </w:rPr>
              <w:t>KRAUS</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firstLine="0"/>
              <w:jc w:val="left"/>
              <w:rPr>
                <w:sz w:val="26"/>
                <w:szCs w:val="26"/>
              </w:rPr>
            </w:pPr>
            <w:r>
              <w:rPr>
                <w:rFonts w:ascii="Arial" w:eastAsia="Arial" w:hAnsi="Arial" w:cs="Arial"/>
                <w:b/>
                <w:bCs/>
                <w:sz w:val="26"/>
                <w:szCs w:val="26"/>
              </w:rPr>
              <w:t>&amp; S P O L.</w:t>
            </w:r>
          </w:p>
        </w:tc>
      </w:tr>
      <w:tr w:rsidR="00500724">
        <w:tblPrEx>
          <w:tblCellMar>
            <w:top w:w="0" w:type="dxa"/>
            <w:bottom w:w="0" w:type="dxa"/>
          </w:tblCellMar>
        </w:tblPrEx>
        <w:trPr>
          <w:trHeight w:hRule="exact" w:val="254"/>
          <w:jc w:val="center"/>
        </w:trPr>
        <w:tc>
          <w:tcPr>
            <w:tcW w:w="0" w:type="auto"/>
            <w:gridSpan w:val="2"/>
            <w:tcBorders>
              <w:left w:val="single" w:sz="4" w:space="0" w:color="auto"/>
              <w:right w:val="single" w:sz="4" w:space="0" w:color="auto"/>
            </w:tcBorders>
            <w:shd w:val="clear" w:color="auto" w:fill="FFFFFF"/>
            <w:vAlign w:val="bottom"/>
          </w:tcPr>
          <w:p w:rsidR="00500724" w:rsidRDefault="00F30FB8">
            <w:pPr>
              <w:pStyle w:val="Jin0"/>
              <w:shd w:val="clear" w:color="auto" w:fill="auto"/>
              <w:ind w:firstLine="0"/>
              <w:jc w:val="center"/>
              <w:rPr>
                <w:sz w:val="22"/>
                <w:szCs w:val="22"/>
              </w:rPr>
            </w:pPr>
            <w:r>
              <w:rPr>
                <w:rFonts w:ascii="Arial" w:eastAsia="Arial" w:hAnsi="Arial" w:cs="Arial"/>
                <w:sz w:val="22"/>
                <w:szCs w:val="22"/>
              </w:rPr>
              <w:t>krejčí pro pány a dámy</w:t>
            </w:r>
          </w:p>
        </w:tc>
      </w:tr>
      <w:tr w:rsidR="00500724">
        <w:tblPrEx>
          <w:tblCellMar>
            <w:top w:w="0" w:type="dxa"/>
            <w:bottom w:w="0" w:type="dxa"/>
          </w:tblCellMar>
        </w:tblPrEx>
        <w:trPr>
          <w:trHeight w:hRule="exact" w:val="216"/>
          <w:jc w:val="center"/>
        </w:trPr>
        <w:tc>
          <w:tcPr>
            <w:tcW w:w="0" w:type="auto"/>
            <w:tcBorders>
              <w:left w:val="single" w:sz="4" w:space="0" w:color="auto"/>
            </w:tcBorders>
            <w:shd w:val="clear" w:color="auto" w:fill="FFFFFF"/>
          </w:tcPr>
          <w:p w:rsidR="00500724" w:rsidRDefault="00500724">
            <w:pPr>
              <w:rPr>
                <w:sz w:val="10"/>
                <w:szCs w:val="10"/>
              </w:rPr>
            </w:pPr>
          </w:p>
        </w:tc>
        <w:tc>
          <w:tcPr>
            <w:tcW w:w="0" w:type="auto"/>
            <w:tcBorders>
              <w:right w:val="single" w:sz="4" w:space="0" w:color="auto"/>
            </w:tcBorders>
            <w:shd w:val="clear" w:color="auto" w:fill="FFFFFF"/>
            <w:vAlign w:val="bottom"/>
          </w:tcPr>
          <w:p w:rsidR="00500724" w:rsidRDefault="00F30FB8">
            <w:pPr>
              <w:pStyle w:val="Jin0"/>
              <w:shd w:val="clear" w:color="auto" w:fill="auto"/>
              <w:ind w:firstLine="0"/>
              <w:jc w:val="right"/>
              <w:rPr>
                <w:sz w:val="22"/>
                <w:szCs w:val="22"/>
              </w:rPr>
            </w:pPr>
            <w:r>
              <w:rPr>
                <w:rFonts w:ascii="Arial" w:eastAsia="Arial" w:hAnsi="Arial" w:cs="Arial"/>
                <w:sz w:val="22"/>
                <w:szCs w:val="22"/>
              </w:rPr>
              <w:t>PRAHA n„</w:t>
            </w:r>
          </w:p>
        </w:tc>
      </w:tr>
      <w:tr w:rsidR="00500724">
        <w:tblPrEx>
          <w:tblCellMar>
            <w:top w:w="0" w:type="dxa"/>
            <w:bottom w:w="0" w:type="dxa"/>
          </w:tblCellMar>
        </w:tblPrEx>
        <w:trPr>
          <w:trHeight w:hRule="exact" w:val="269"/>
          <w:jc w:val="center"/>
        </w:trPr>
        <w:tc>
          <w:tcPr>
            <w:tcW w:w="0" w:type="auto"/>
            <w:tcBorders>
              <w:left w:val="single" w:sz="4" w:space="0" w:color="auto"/>
              <w:bottom w:val="single" w:sz="4" w:space="0" w:color="auto"/>
            </w:tcBorders>
            <w:shd w:val="clear" w:color="auto" w:fill="FFFFFF"/>
          </w:tcPr>
          <w:p w:rsidR="00500724" w:rsidRDefault="00F30FB8">
            <w:pPr>
              <w:pStyle w:val="Jin0"/>
              <w:shd w:val="clear" w:color="auto" w:fill="auto"/>
              <w:ind w:firstLine="0"/>
              <w:jc w:val="left"/>
            </w:pPr>
            <w:r>
              <w:rPr>
                <w:b/>
                <w:bCs/>
              </w:rPr>
              <w:t>Telefon 309-69</w:t>
            </w:r>
          </w:p>
        </w:tc>
        <w:tc>
          <w:tcPr>
            <w:tcW w:w="0" w:type="auto"/>
            <w:tcBorders>
              <w:bottom w:val="single" w:sz="4" w:space="0" w:color="auto"/>
              <w:right w:val="single" w:sz="4" w:space="0" w:color="auto"/>
            </w:tcBorders>
            <w:shd w:val="clear" w:color="auto" w:fill="FFFFFF"/>
          </w:tcPr>
          <w:p w:rsidR="00500724" w:rsidRDefault="00F30FB8">
            <w:pPr>
              <w:pStyle w:val="Jin0"/>
              <w:shd w:val="clear" w:color="auto" w:fill="auto"/>
              <w:ind w:firstLine="0"/>
              <w:jc w:val="right"/>
            </w:pPr>
            <w:r>
              <w:rPr>
                <w:b/>
                <w:bCs/>
              </w:rPr>
              <w:t>Panská ul. 10</w:t>
            </w:r>
          </w:p>
        </w:tc>
      </w:tr>
    </w:tbl>
    <w:p w:rsidR="00500724" w:rsidRDefault="00500724">
      <w:pPr>
        <w:spacing w:line="14" w:lineRule="exact"/>
        <w:sectPr w:rsidR="00500724">
          <w:footnotePr>
            <w:numFmt w:val="chicago"/>
            <w:numRestart w:val="eachPage"/>
          </w:footnotePr>
          <w:type w:val="continuous"/>
          <w:pgSz w:w="11909" w:h="16834"/>
          <w:pgMar w:top="994" w:right="1361" w:bottom="823" w:left="266" w:header="0" w:footer="3" w:gutter="0"/>
          <w:cols w:num="2" w:space="182"/>
          <w:noEndnote/>
          <w:docGrid w:linePitch="360"/>
        </w:sectPr>
      </w:pPr>
    </w:p>
    <w:p w:rsidR="00500724" w:rsidRDefault="00F30FB8">
      <w:pPr>
        <w:pStyle w:val="Jin0"/>
        <w:shd w:val="clear" w:color="auto" w:fill="auto"/>
        <w:ind w:firstLine="0"/>
        <w:jc w:val="right"/>
        <w:rPr>
          <w:sz w:val="38"/>
          <w:szCs w:val="38"/>
        </w:rPr>
      </w:pPr>
      <w:r>
        <w:rPr>
          <w:rFonts w:ascii="Arial" w:eastAsia="Arial" w:hAnsi="Arial" w:cs="Arial"/>
          <w:b/>
          <w:bCs/>
          <w:sz w:val="38"/>
          <w:szCs w:val="38"/>
        </w:rPr>
        <w:t>švýcarské ptad strofo</w:t>
      </w:r>
    </w:p>
    <w:p w:rsidR="00500724" w:rsidRDefault="00F30FB8">
      <w:pPr>
        <w:pStyle w:val="Zkladntext50"/>
        <w:shd w:val="clear" w:color="auto" w:fill="auto"/>
        <w:spacing w:after="0" w:line="240" w:lineRule="auto"/>
        <w:ind w:left="0"/>
        <w:jc w:val="left"/>
      </w:pPr>
      <w:r>
        <w:rPr>
          <w:smallCaps/>
          <w:sz w:val="46"/>
          <w:szCs w:val="46"/>
        </w:rPr>
        <w:t>Hermes</w:t>
      </w:r>
      <w:r>
        <w:t xml:space="preserve"> s automatem pásky, oboustran</w:t>
      </w:r>
    </w:p>
    <w:p w:rsidR="00500724" w:rsidRDefault="00F30FB8">
      <w:pPr>
        <w:pStyle w:val="Jin0"/>
        <w:shd w:val="clear" w:color="auto" w:fill="auto"/>
        <w:spacing w:before="120" w:after="120"/>
        <w:ind w:firstLine="0"/>
        <w:jc w:val="left"/>
        <w:rPr>
          <w:sz w:val="30"/>
          <w:szCs w:val="30"/>
        </w:rPr>
      </w:pPr>
      <w:r>
        <w:rPr>
          <w:i/>
          <w:iCs/>
          <w:sz w:val="30"/>
          <w:szCs w:val="30"/>
        </w:rPr>
        <w:t>Používejte aktivního uhlí</w:t>
      </w:r>
    </w:p>
    <w:p w:rsidR="00500724" w:rsidRDefault="00F30FB8">
      <w:pPr>
        <w:pStyle w:val="Jin0"/>
        <w:shd w:val="clear" w:color="auto" w:fill="auto"/>
        <w:spacing w:after="120"/>
        <w:ind w:firstLine="0"/>
        <w:jc w:val="right"/>
        <w:rPr>
          <w:sz w:val="60"/>
          <w:szCs w:val="60"/>
        </w:rPr>
      </w:pPr>
      <w:r>
        <w:rPr>
          <w:rFonts w:ascii="Arial" w:eastAsia="Arial" w:hAnsi="Arial" w:cs="Arial"/>
          <w:b/>
          <w:bCs/>
          <w:sz w:val="60"/>
          <w:szCs w:val="60"/>
        </w:rPr>
        <w:t>OSTACOL!</w:t>
      </w:r>
    </w:p>
    <w:p w:rsidR="00500724" w:rsidRDefault="00F30FB8">
      <w:pPr>
        <w:pStyle w:val="Zkladntext100"/>
        <w:shd w:val="clear" w:color="auto" w:fill="auto"/>
        <w:spacing w:line="240" w:lineRule="auto"/>
        <w:ind w:firstLine="0"/>
        <w:jc w:val="left"/>
        <w:rPr>
          <w:sz w:val="19"/>
          <w:szCs w:val="19"/>
        </w:rPr>
      </w:pPr>
      <w:r>
        <w:rPr>
          <w:b/>
          <w:bCs/>
          <w:sz w:val="19"/>
          <w:szCs w:val="19"/>
        </w:rPr>
        <w:t xml:space="preserve">Vyrábí Spolek pro chemickou a hutní výrobu. </w:t>
      </w:r>
      <w:r>
        <w:rPr>
          <w:b/>
          <w:bCs/>
          <w:sz w:val="19"/>
          <w:szCs w:val="19"/>
        </w:rPr>
        <w:t>Praha</w:t>
      </w:r>
    </w:p>
    <w:p w:rsidR="00500724" w:rsidRDefault="00F30FB8">
      <w:pPr>
        <w:spacing w:line="1" w:lineRule="exact"/>
        <w:rPr>
          <w:sz w:val="2"/>
          <w:szCs w:val="2"/>
        </w:rPr>
      </w:pPr>
      <w:r>
        <w:br w:type="column"/>
      </w:r>
    </w:p>
    <w:p w:rsidR="00500724" w:rsidRDefault="00F30FB8">
      <w:pPr>
        <w:pStyle w:val="Zkladntext100"/>
        <w:shd w:val="clear" w:color="auto" w:fill="auto"/>
        <w:spacing w:line="240" w:lineRule="auto"/>
        <w:ind w:firstLine="0"/>
        <w:jc w:val="center"/>
        <w:rPr>
          <w:sz w:val="17"/>
          <w:szCs w:val="17"/>
        </w:rPr>
      </w:pPr>
      <w:r>
        <w:rPr>
          <w:b/>
          <w:bCs/>
          <w:smallCaps/>
          <w:sz w:val="17"/>
          <w:szCs w:val="17"/>
        </w:rPr>
        <w:t>obuv pro vyšší nároky</w:t>
      </w:r>
    </w:p>
    <w:p w:rsidR="00500724" w:rsidRDefault="00F30FB8">
      <w:pPr>
        <w:pStyle w:val="Jin0"/>
        <w:shd w:val="clear" w:color="auto" w:fill="auto"/>
        <w:spacing w:line="190"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00"/>
        <w:shd w:val="clear" w:color="auto" w:fill="auto"/>
        <w:tabs>
          <w:tab w:val="left" w:pos="3835"/>
        </w:tabs>
        <w:spacing w:after="500" w:line="230" w:lineRule="auto"/>
        <w:ind w:firstLine="0"/>
        <w:rPr>
          <w:sz w:val="19"/>
          <w:szCs w:val="19"/>
        </w:rPr>
      </w:pPr>
      <w:r>
        <w:rPr>
          <w:b/>
          <w:bCs/>
          <w:sz w:val="19"/>
          <w:szCs w:val="19"/>
        </w:rPr>
        <w:t>PRAHA I., PŘÍKOPY 35, schodiště A.</w:t>
      </w:r>
      <w:r>
        <w:rPr>
          <w:b/>
          <w:bCs/>
          <w:sz w:val="19"/>
          <w:szCs w:val="19"/>
        </w:rPr>
        <w:tab/>
        <w:t>TeL 315-28.</w:t>
      </w:r>
    </w:p>
    <w:p w:rsidR="00500724" w:rsidRDefault="00F30FB8">
      <w:pPr>
        <w:pStyle w:val="Zkladntext100"/>
        <w:shd w:val="clear" w:color="auto" w:fill="auto"/>
        <w:spacing w:after="120" w:line="264" w:lineRule="auto"/>
        <w:ind w:left="140" w:firstLine="0"/>
        <w:rPr>
          <w:sz w:val="19"/>
          <w:szCs w:val="19"/>
        </w:rPr>
      </w:pPr>
      <w:r>
        <w:rPr>
          <w:b/>
          <w:bCs/>
          <w:sz w:val="19"/>
          <w:szCs w:val="19"/>
        </w:rPr>
        <w:t xml:space="preserve">Současnou světovou politiku vysvětluje a její nej- bližší vývoj předvídá </w:t>
      </w:r>
      <w:r>
        <w:rPr>
          <w:i/>
          <w:iCs/>
          <w:sz w:val="19"/>
          <w:szCs w:val="19"/>
        </w:rPr>
        <w:t>nejčasovější kniha dneška</w:t>
      </w:r>
    </w:p>
    <w:p w:rsidR="00500724" w:rsidRDefault="00F30FB8">
      <w:pPr>
        <w:pStyle w:val="Zkladntext100"/>
        <w:shd w:val="clear" w:color="auto" w:fill="auto"/>
        <w:spacing w:before="120" w:line="240" w:lineRule="auto"/>
        <w:ind w:firstLine="0"/>
        <w:jc w:val="right"/>
        <w:rPr>
          <w:sz w:val="19"/>
          <w:szCs w:val="19"/>
        </w:rPr>
      </w:pPr>
      <w:r>
        <w:rPr>
          <w:b/>
          <w:bCs/>
          <w:sz w:val="19"/>
          <w:szCs w:val="19"/>
        </w:rPr>
        <w:t xml:space="preserve">344 stran, s mapou. Cena 39 K, </w:t>
      </w:r>
      <w:r>
        <w:rPr>
          <w:b/>
          <w:bCs/>
          <w:i/>
          <w:iCs/>
          <w:smallCaps/>
        </w:rPr>
        <w:t>váz.</w:t>
      </w:r>
      <w:r>
        <w:rPr>
          <w:b/>
          <w:bCs/>
          <w:sz w:val="19"/>
          <w:szCs w:val="19"/>
        </w:rPr>
        <w:t xml:space="preserve"> 51 K.</w:t>
      </w:r>
    </w:p>
    <w:p w:rsidR="00500724" w:rsidRDefault="00F30FB8">
      <w:pPr>
        <w:pStyle w:val="Zkladntext100"/>
        <w:shd w:val="clear" w:color="auto" w:fill="auto"/>
        <w:spacing w:line="240" w:lineRule="auto"/>
        <w:ind w:firstLine="0"/>
        <w:jc w:val="right"/>
        <w:rPr>
          <w:sz w:val="19"/>
          <w:szCs w:val="19"/>
        </w:rPr>
      </w:pPr>
      <w:r>
        <w:rPr>
          <w:b/>
          <w:bCs/>
          <w:sz w:val="19"/>
          <w:szCs w:val="19"/>
        </w:rPr>
        <w:t>U knihkupců</w:t>
      </w:r>
    </w:p>
    <w:p w:rsidR="00500724" w:rsidRDefault="00F30FB8">
      <w:pPr>
        <w:pStyle w:val="Jin0"/>
        <w:shd w:val="clear" w:color="auto" w:fill="auto"/>
        <w:spacing w:line="233" w:lineRule="auto"/>
        <w:ind w:firstLine="0"/>
        <w:jc w:val="right"/>
        <w:rPr>
          <w:sz w:val="26"/>
          <w:szCs w:val="26"/>
        </w:rPr>
      </w:pPr>
      <w:r>
        <w:rPr>
          <w:rFonts w:ascii="Arial" w:eastAsia="Arial" w:hAnsi="Arial" w:cs="Arial"/>
          <w:b/>
          <w:bCs/>
          <w:sz w:val="26"/>
          <w:szCs w:val="26"/>
        </w:rPr>
        <w:t xml:space="preserve">Družstevní </w:t>
      </w:r>
      <w:r>
        <w:rPr>
          <w:rFonts w:ascii="Arial" w:eastAsia="Arial" w:hAnsi="Arial" w:cs="Arial"/>
          <w:b/>
          <w:bCs/>
          <w:sz w:val="26"/>
          <w:szCs w:val="26"/>
        </w:rPr>
        <w:t>práce</w:t>
      </w:r>
    </w:p>
    <w:p w:rsidR="00500724" w:rsidRDefault="00F30FB8">
      <w:pPr>
        <w:pStyle w:val="Zkladntext100"/>
        <w:shd w:val="clear" w:color="auto" w:fill="auto"/>
        <w:spacing w:line="240" w:lineRule="auto"/>
        <w:ind w:left="1380" w:firstLine="0"/>
        <w:jc w:val="left"/>
        <w:rPr>
          <w:sz w:val="17"/>
          <w:szCs w:val="17"/>
        </w:rPr>
        <w:sectPr w:rsidR="00500724">
          <w:footnotePr>
            <w:numFmt w:val="chicago"/>
            <w:numRestart w:val="eachPage"/>
          </w:footnotePr>
          <w:type w:val="continuous"/>
          <w:pgSz w:w="11909" w:h="16834"/>
          <w:pgMar w:top="994" w:right="1500" w:bottom="823" w:left="314" w:header="0" w:footer="3" w:gutter="0"/>
          <w:cols w:num="2" w:sep="1" w:space="485"/>
          <w:noEndnote/>
          <w:docGrid w:linePitch="360"/>
        </w:sectPr>
      </w:pPr>
      <w:r>
        <w:rPr>
          <w:sz w:val="17"/>
          <w:szCs w:val="17"/>
        </w:rPr>
        <w:t>Praha II., Národní 36</w:t>
      </w:r>
    </w:p>
    <w:p w:rsidR="00500724" w:rsidRDefault="00500724">
      <w:pPr>
        <w:spacing w:line="240" w:lineRule="exact"/>
        <w:rPr>
          <w:sz w:val="19"/>
          <w:szCs w:val="19"/>
        </w:rPr>
      </w:pPr>
    </w:p>
    <w:p w:rsidR="00500724" w:rsidRDefault="00500724">
      <w:pPr>
        <w:spacing w:before="3" w:after="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28" w:right="0" w:bottom="889" w:left="0" w:header="0" w:footer="3" w:gutter="0"/>
          <w:cols w:space="720"/>
          <w:noEndnote/>
          <w:docGrid w:linePitch="360"/>
        </w:sectPr>
      </w:pPr>
    </w:p>
    <w:p w:rsidR="00500724" w:rsidRDefault="00F30FB8">
      <w:pPr>
        <w:spacing w:line="14" w:lineRule="exact"/>
      </w:pPr>
      <w:r>
        <w:rPr>
          <w:noProof/>
        </w:rPr>
        <mc:AlternateContent>
          <mc:Choice Requires="wps">
            <w:drawing>
              <wp:anchor distT="0" distB="475615" distL="152400" distR="179705" simplePos="0" relativeHeight="125829742" behindDoc="0" locked="0" layoutInCell="1" allowOverlap="1">
                <wp:simplePos x="0" y="0"/>
                <wp:positionH relativeFrom="page">
                  <wp:posOffset>107950</wp:posOffset>
                </wp:positionH>
                <wp:positionV relativeFrom="paragraph">
                  <wp:posOffset>975360</wp:posOffset>
                </wp:positionV>
                <wp:extent cx="2703830" cy="725170"/>
                <wp:effectExtent l="0" t="0" r="0" b="0"/>
                <wp:wrapSquare wrapText="right"/>
                <wp:docPr id="365" name="Shape 365"/>
                <wp:cNvGraphicFramePr/>
                <a:graphic xmlns:a="http://schemas.openxmlformats.org/drawingml/2006/main">
                  <a:graphicData uri="http://schemas.microsoft.com/office/word/2010/wordprocessingShape">
                    <wps:wsp>
                      <wps:cNvSpPr txBox="1"/>
                      <wps:spPr>
                        <a:xfrm>
                          <a:off x="0" y="0"/>
                          <a:ext cx="2703830" cy="725170"/>
                        </a:xfrm>
                        <a:prstGeom prst="rect">
                          <a:avLst/>
                        </a:prstGeom>
                        <a:noFill/>
                      </wps:spPr>
                      <wps:txbx>
                        <w:txbxContent>
                          <w:p w:rsidR="00500724" w:rsidRDefault="00F30FB8">
                            <w:pPr>
                              <w:pStyle w:val="Jin0"/>
                              <w:shd w:val="clear" w:color="auto" w:fill="auto"/>
                              <w:ind w:firstLine="0"/>
                              <w:jc w:val="left"/>
                              <w:rPr>
                                <w:sz w:val="96"/>
                                <w:szCs w:val="96"/>
                              </w:rPr>
                            </w:pPr>
                            <w:r>
                              <w:rPr>
                                <w:sz w:val="96"/>
                                <w:szCs w:val="96"/>
                                <w:u w:val="single"/>
                              </w:rPr>
                              <w:t>Přítomnosti</w:t>
                            </w:r>
                          </w:p>
                        </w:txbxContent>
                      </wps:txbx>
                      <wps:bodyPr lIns="0" tIns="0" rIns="0" bIns="0">
                        <a:spAutoFit/>
                      </wps:bodyPr>
                    </wps:wsp>
                  </a:graphicData>
                </a:graphic>
              </wp:anchor>
            </w:drawing>
          </mc:Choice>
          <mc:Fallback>
            <w:pict>
              <v:shape id="_x0000_s1391" type="#_x0000_t202" style="position:absolute;margin-left:8.5pt;margin-top:76.799999999999997pt;width:212.90000000000001pt;height:57.100000000000001pt;z-index:-125829011;mso-wrap-distance-left:12.pt;mso-wrap-distance-right:14.15pt;mso-wrap-distance-bottom:37.450000000000003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96"/>
                          <w:szCs w:val="96"/>
                        </w:rPr>
                      </w:pPr>
                      <w:r>
                        <w:rPr>
                          <w:color w:val="000000"/>
                          <w:spacing w:val="0"/>
                          <w:w w:val="100"/>
                          <w:position w:val="0"/>
                          <w:sz w:val="96"/>
                          <w:szCs w:val="96"/>
                          <w:u w:val="single"/>
                          <w:shd w:val="clear" w:color="auto" w:fill="auto"/>
                          <w:lang w:val="cs-CZ" w:eastAsia="cs-CZ" w:bidi="cs-CZ"/>
                        </w:rPr>
                        <w:t>Přítomnosti</w:t>
                      </w:r>
                    </w:p>
                  </w:txbxContent>
                </v:textbox>
                <w10:wrap type="square" side="right" anchorx="page"/>
              </v:shape>
            </w:pict>
          </mc:Fallback>
        </mc:AlternateContent>
      </w:r>
      <w:r>
        <w:rPr>
          <w:noProof/>
        </w:rPr>
        <mc:AlternateContent>
          <mc:Choice Requires="wps">
            <w:drawing>
              <wp:anchor distT="841375" distB="0" distL="179705" distR="152400" simplePos="0" relativeHeight="125829744" behindDoc="0" locked="0" layoutInCell="1" allowOverlap="1">
                <wp:simplePos x="0" y="0"/>
                <wp:positionH relativeFrom="page">
                  <wp:posOffset>135890</wp:posOffset>
                </wp:positionH>
                <wp:positionV relativeFrom="paragraph">
                  <wp:posOffset>1816735</wp:posOffset>
                </wp:positionV>
                <wp:extent cx="2703830" cy="359410"/>
                <wp:effectExtent l="0" t="0" r="0" b="0"/>
                <wp:wrapSquare wrapText="right"/>
                <wp:docPr id="367" name="Shape 367"/>
                <wp:cNvGraphicFramePr/>
                <a:graphic xmlns:a="http://schemas.openxmlformats.org/drawingml/2006/main">
                  <a:graphicData uri="http://schemas.microsoft.com/office/word/2010/wordprocessingShape">
                    <wps:wsp>
                      <wps:cNvSpPr txBox="1"/>
                      <wps:spPr>
                        <a:xfrm>
                          <a:off x="0" y="0"/>
                          <a:ext cx="2703830" cy="359410"/>
                        </a:xfrm>
                        <a:prstGeom prst="rect">
                          <a:avLst/>
                        </a:prstGeom>
                        <a:noFill/>
                      </wps:spPr>
                      <wps:txbx>
                        <w:txbxContent>
                          <w:p w:rsidR="00500724" w:rsidRDefault="00F30FB8">
                            <w:pPr>
                              <w:pStyle w:val="Jin0"/>
                              <w:shd w:val="clear" w:color="auto" w:fill="auto"/>
                              <w:ind w:firstLine="0"/>
                              <w:jc w:val="left"/>
                              <w:rPr>
                                <w:sz w:val="46"/>
                                <w:szCs w:val="46"/>
                              </w:rPr>
                            </w:pPr>
                            <w:r>
                              <w:rPr>
                                <w:sz w:val="46"/>
                                <w:szCs w:val="46"/>
                                <w:u w:val="single"/>
                              </w:rPr>
                              <w:t>řídí Ferd. Peroutka</w:t>
                            </w:r>
                          </w:p>
                        </w:txbxContent>
                      </wps:txbx>
                      <wps:bodyPr lIns="0" tIns="0" rIns="0" bIns="0">
                        <a:spAutoFit/>
                      </wps:bodyPr>
                    </wps:wsp>
                  </a:graphicData>
                </a:graphic>
              </wp:anchor>
            </w:drawing>
          </mc:Choice>
          <mc:Fallback>
            <w:pict>
              <v:shape id="_x0000_s1393" type="#_x0000_t202" style="position:absolute;margin-left:10.699999999999999pt;margin-top:143.05000000000001pt;width:212.90000000000001pt;height:28.300000000000001pt;z-index:-125829009;mso-wrap-distance-left:14.15pt;mso-wrap-distance-top:66.25pt;mso-wrap-distance-right:12.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u w:val="single"/>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220" w:line="206" w:lineRule="auto"/>
        <w:ind w:left="560" w:hanging="560"/>
        <w:rPr>
          <w:sz w:val="19"/>
          <w:szCs w:val="19"/>
        </w:rPr>
      </w:pPr>
      <w:r>
        <w:rPr>
          <w:b/>
          <w:bCs/>
          <w:sz w:val="20"/>
          <w:szCs w:val="20"/>
        </w:rPr>
        <w:t xml:space="preserve">OBSAH PŘÍTOMNOSTI Č. </w:t>
      </w:r>
      <w:r>
        <w:rPr>
          <w:b/>
          <w:bCs/>
          <w:sz w:val="19"/>
          <w:szCs w:val="19"/>
        </w:rPr>
        <w:t xml:space="preserve">14: F. PEROUTKA: Naše ústava. — MILENA JESENSKÁ: O umění zůstat stát. — JAN FRANK: Děti nervosního století. — C. C. </w:t>
      </w:r>
      <w:r>
        <w:rPr>
          <w:b/>
          <w:bCs/>
          <w:sz w:val="19"/>
          <w:szCs w:val="19"/>
          <w:lang w:val="en-US" w:eastAsia="en-US" w:bidi="en-US"/>
        </w:rPr>
        <w:t xml:space="preserve">FURNAS: </w:t>
      </w:r>
      <w:r>
        <w:rPr>
          <w:b/>
          <w:bCs/>
          <w:sz w:val="19"/>
          <w:szCs w:val="19"/>
        </w:rPr>
        <w:t xml:space="preserve">Člověk musí jíst. — A. ČERNlK: Emil Jannings — nic než ělověk. — F. PEROUTKA: Rozloučení se Slovenskem. — JAN KARTA: Česká samospráva na nových kolejích. — PŘEMYSL PRAŽÁK: Božena Němcová. — F. PEROUTKA: Když se tvořil poměr k Německu. — Bismarckova -joli- </w:t>
      </w:r>
      <w:r>
        <w:rPr>
          <w:b/>
          <w:bCs/>
          <w:sz w:val="19"/>
          <w:szCs w:val="19"/>
        </w:rPr>
        <w:t xml:space="preserve">tilsa vůěi Čechům. — Celní poměr mezi Protektorátem a Říší. Protektorát a německo-rumunská smlouva. — Pro </w:t>
      </w:r>
      <w:r>
        <w:rPr>
          <w:b/>
          <w:bCs/>
          <w:sz w:val="19"/>
          <w:szCs w:val="19"/>
          <w:u w:val="single"/>
        </w:rPr>
        <w:t>světovou hospodářskou spolupráci. — Hlavní zásady norimberských zákonů. — Varování. — Znovu prosíme čtenáře.</w:t>
      </w:r>
    </w:p>
    <w:p w:rsidR="00500724" w:rsidRDefault="00F30FB8">
      <w:pPr>
        <w:pStyle w:val="Nadpis80"/>
        <w:keepNext/>
        <w:keepLines/>
        <w:shd w:val="clear" w:color="auto" w:fill="auto"/>
        <w:spacing w:after="140"/>
      </w:pPr>
      <w:bookmarkStart w:id="358" w:name="bookmark357"/>
      <w:r>
        <w:t>nezávislý týdeník</w:t>
      </w:r>
      <w:bookmarkEnd w:id="358"/>
    </w:p>
    <w:p w:rsidR="00500724" w:rsidRDefault="00F30FB8">
      <w:pPr>
        <w:pStyle w:val="Zkladntext100"/>
        <w:shd w:val="clear" w:color="auto" w:fill="auto"/>
        <w:spacing w:after="60" w:line="228" w:lineRule="auto"/>
        <w:ind w:firstLine="0"/>
        <w:jc w:val="center"/>
        <w:rPr>
          <w:sz w:val="19"/>
          <w:szCs w:val="19"/>
        </w:rPr>
      </w:pPr>
      <w:r>
        <w:rPr>
          <w:b/>
          <w:bCs/>
          <w:sz w:val="19"/>
          <w:szCs w:val="19"/>
        </w:rPr>
        <w:t>vychází ve středu v nak</w:t>
      </w:r>
      <w:r>
        <w:rPr>
          <w:b/>
          <w:bCs/>
          <w:sz w:val="19"/>
          <w:szCs w:val="19"/>
        </w:rPr>
        <w:t>ladatelství</w:t>
      </w:r>
      <w:r>
        <w:rPr>
          <w:b/>
          <w:bCs/>
          <w:sz w:val="19"/>
          <w:szCs w:val="19"/>
        </w:rPr>
        <w:br/>
        <w:t>FR. BOROVÝ V PRAZE I„ NÁRODNÍ TŘÍDA 11.</w:t>
      </w:r>
    </w:p>
    <w:p w:rsidR="00500724" w:rsidRDefault="00F30FB8">
      <w:pPr>
        <w:pStyle w:val="Zkladntext40"/>
        <w:shd w:val="clear" w:color="auto" w:fill="auto"/>
        <w:spacing w:line="180" w:lineRule="auto"/>
      </w:pPr>
      <w:r>
        <w:t>Telefon číslo 390-51 až 54 • Očet poštovní spořitelny číslo 35.622 • Nevy</w:t>
      </w:r>
      <w:r>
        <w:softHyphen/>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Dohlédací pošt. úřad Brno IX. • Novinová sazba povolena v Brně ředitelstvím pošt a telegrafů pod čís. 119.268/IIIa. • Odpovědný redaktor J. Dlabač.</w:t>
      </w:r>
    </w:p>
    <w:p w:rsidR="00500724" w:rsidRDefault="00F30FB8">
      <w:pPr>
        <w:pStyle w:val="Zkladntext30"/>
        <w:shd w:val="clear" w:color="auto" w:fill="auto"/>
        <w:spacing w:after="100" w:line="216" w:lineRule="auto"/>
        <w:ind w:left="5360" w:firstLine="0"/>
        <w:jc w:val="left"/>
        <w:rPr>
          <w:sz w:val="20"/>
          <w:szCs w:val="20"/>
        </w:rPr>
      </w:pPr>
      <w:r>
        <w:rPr>
          <w:sz w:val="20"/>
          <w:szCs w:val="20"/>
        </w:rPr>
        <w:t>TISKEM LIDOVÉ TISKÁRNY, BRNO, ČESKÁ 6.</w:t>
      </w:r>
      <w:r>
        <w:br w:type="page"/>
      </w:r>
    </w:p>
    <w:p w:rsidR="00500724" w:rsidRDefault="00F30FB8">
      <w:pPr>
        <w:pStyle w:val="Nadpis60"/>
        <w:keepNext/>
        <w:keepLines/>
        <w:pBdr>
          <w:bottom w:val="single" w:sz="4" w:space="0" w:color="auto"/>
        </w:pBdr>
        <w:shd w:val="clear" w:color="auto" w:fill="auto"/>
        <w:sectPr w:rsidR="00500724">
          <w:footnotePr>
            <w:numFmt w:val="chicago"/>
            <w:numRestart w:val="eachPage"/>
          </w:footnotePr>
          <w:type w:val="continuous"/>
          <w:pgSz w:w="11909" w:h="16834"/>
          <w:pgMar w:top="928" w:right="1057" w:bottom="889" w:left="301" w:header="0" w:footer="3" w:gutter="0"/>
          <w:cols w:space="720"/>
          <w:noEndnote/>
          <w:docGrid w:linePitch="360"/>
        </w:sectPr>
      </w:pPr>
      <w:bookmarkStart w:id="359" w:name="bookmark358"/>
      <w:r>
        <w:t>P</w:t>
      </w:r>
      <w:r>
        <w:t>řítomnosti</w:t>
      </w:r>
      <w:bookmarkEnd w:id="359"/>
    </w:p>
    <w:p w:rsidR="00500724" w:rsidRDefault="00500724">
      <w:pPr>
        <w:spacing w:line="106" w:lineRule="exact"/>
        <w:rPr>
          <w:sz w:val="9"/>
          <w:szCs w:val="9"/>
        </w:rPr>
      </w:pPr>
    </w:p>
    <w:p w:rsidR="00500724" w:rsidRDefault="00500724">
      <w:pPr>
        <w:spacing w:line="14" w:lineRule="exact"/>
        <w:sectPr w:rsidR="00500724">
          <w:footnotePr>
            <w:numFmt w:val="chicago"/>
            <w:numRestart w:val="eachPage"/>
          </w:footnotePr>
          <w:type w:val="continuous"/>
          <w:pgSz w:w="11909" w:h="16834"/>
          <w:pgMar w:top="862" w:right="0" w:bottom="1099" w:left="0" w:header="0" w:footer="3" w:gutter="0"/>
          <w:cols w:space="720"/>
          <w:noEndnote/>
          <w:docGrid w:linePitch="360"/>
        </w:sectPr>
      </w:pPr>
    </w:p>
    <w:p w:rsidR="00500724" w:rsidRDefault="00500724">
      <w:pPr>
        <w:spacing w:after="629" w:line="14" w:lineRule="exact"/>
      </w:pPr>
    </w:p>
    <w:p w:rsidR="00500724" w:rsidRDefault="00500724">
      <w:pPr>
        <w:spacing w:line="14" w:lineRule="exact"/>
        <w:sectPr w:rsidR="00500724">
          <w:footnotePr>
            <w:numFmt w:val="chicago"/>
            <w:numRestart w:val="eachPage"/>
          </w:footnotePr>
          <w:type w:val="continuous"/>
          <w:pgSz w:w="11909" w:h="16834"/>
          <w:pgMar w:top="862" w:right="981" w:bottom="1099" w:left="650" w:header="0" w:footer="3" w:gutter="0"/>
          <w:cols w:space="720"/>
          <w:noEndnote/>
          <w:docGrid w:linePitch="360"/>
        </w:sectPr>
      </w:pPr>
    </w:p>
    <w:p w:rsidR="00500724" w:rsidRDefault="00F30FB8">
      <w:pPr>
        <w:pStyle w:val="Nadpis100"/>
        <w:shd w:val="clear" w:color="auto" w:fill="auto"/>
        <w:spacing w:after="60" w:line="240" w:lineRule="auto"/>
      </w:pPr>
      <w:bookmarkStart w:id="360" w:name="bookmark359"/>
      <w:r>
        <w:t>Nepolitická politika —</w:t>
      </w:r>
      <w:r>
        <w:br/>
        <w:t>naše metoda nynější</w:t>
      </w:r>
      <w:bookmarkEnd w:id="360"/>
    </w:p>
    <w:p w:rsidR="00500724" w:rsidRDefault="00F30FB8">
      <w:pPr>
        <w:pStyle w:val="Zkladntext30"/>
        <w:framePr w:dropCap="drop" w:lines="2" w:hSpace="53" w:vSpace="53" w:wrap="auto" w:vAnchor="text" w:hAnchor="text"/>
        <w:shd w:val="clear" w:color="auto" w:fill="auto"/>
        <w:spacing w:line="306" w:lineRule="exact"/>
        <w:ind w:firstLine="0"/>
      </w:pPr>
      <w:r>
        <w:rPr>
          <w:position w:val="-6"/>
          <w:sz w:val="46"/>
          <w:szCs w:val="46"/>
        </w:rPr>
        <w:t>V</w:t>
      </w:r>
    </w:p>
    <w:p w:rsidR="00500724" w:rsidRDefault="00F30FB8">
      <w:pPr>
        <w:pStyle w:val="Zkladntext30"/>
        <w:shd w:val="clear" w:color="auto" w:fill="auto"/>
        <w:spacing w:after="0"/>
        <w:ind w:firstLine="0"/>
      </w:pPr>
      <w:r>
        <w:t>tom druhu politiky, na který jsme nyní odkázáni, to jest v drobné, neúmorné práci ve všech obo</w:t>
      </w:r>
      <w:r>
        <w:softHyphen/>
        <w:t>rech a ve vytrvalém soustřeďování všech sil a</w:t>
      </w:r>
      <w:r>
        <w:t xml:space="preserve"> sileček, není náš národ pouhým školákem. Drobná práce bu</w:t>
      </w:r>
      <w:r>
        <w:softHyphen/>
        <w:t>ditelů jej na rozhraní osmnáctého a devatenáctého století vytrhla z mdloby, drobná práce osvětová z ně</w:t>
      </w:r>
      <w:r>
        <w:softHyphen/>
        <w:t>ho učinila jeden z národů kulturně a politicky nej- probudilejších, drobná práce v obcích a jin</w:t>
      </w:r>
      <w:r>
        <w:t>ých samo</w:t>
      </w:r>
      <w:r>
        <w:softHyphen/>
        <w:t xml:space="preserve">správných institucích jej politicky vyškolila, drobná práce v dílnách a podnicích mu dala hospodářskou sílu a vyspělou technickou úroveň a souhrn vší této </w:t>
      </w:r>
      <w:r>
        <w:rPr>
          <w:b/>
          <w:bCs/>
          <w:sz w:val="26"/>
          <w:szCs w:val="26"/>
        </w:rPr>
        <w:t xml:space="preserve">i </w:t>
      </w:r>
      <w:r>
        <w:t>jiné drobné práce jej nakonec povznesl až k státní nezávislosti.</w:t>
      </w:r>
    </w:p>
    <w:p w:rsidR="00500724" w:rsidRDefault="00F30FB8">
      <w:pPr>
        <w:pStyle w:val="Zkladntext30"/>
        <w:shd w:val="clear" w:color="auto" w:fill="auto"/>
        <w:spacing w:after="0"/>
      </w:pPr>
      <w:r>
        <w:t>Na tuto metodu drobné prá</w:t>
      </w:r>
      <w:r>
        <w:t>ce, která je z nejzáklad</w:t>
      </w:r>
      <w:r>
        <w:softHyphen/>
        <w:t>nějších rysů jeho genia, bude se musit náš národ za nynějších okolností dobře rozpomenout. Klade si pře</w:t>
      </w:r>
      <w:r>
        <w:softHyphen/>
        <w:t>devším za úkol udržet se a zachovat se. Ale to není pro národ hrdý a zdravý dost. Zdravý národ, jakým zajisté jsme, nemůže vidě</w:t>
      </w:r>
      <w:r>
        <w:t xml:space="preserve">t naplnění svého úkolu jen </w:t>
      </w:r>
      <w:r>
        <w:rPr>
          <w:b/>
          <w:bCs/>
          <w:sz w:val="26"/>
          <w:szCs w:val="26"/>
        </w:rPr>
        <w:t xml:space="preserve">v </w:t>
      </w:r>
      <w:r>
        <w:t>zachování holého života, on chce a musí chtít dále růst, sílit, rozvíjet se ve všech oborech lidské čin</w:t>
      </w:r>
      <w:r>
        <w:softHyphen/>
        <w:t>nosti. Jako se normální jednotlivec nemůže zříci ni</w:t>
      </w:r>
      <w:r>
        <w:softHyphen/>
        <w:t>čeho, co náleží k plnosti lidského býti, tak ani národ nemůže resignova</w:t>
      </w:r>
      <w:r>
        <w:t>ti na nic, co patří k samozřejmému evropskému standardu a co jej činí rovnoprávným členem civilisovaného lidstva.</w:t>
      </w:r>
    </w:p>
    <w:p w:rsidR="00500724" w:rsidRDefault="00F30FB8">
      <w:pPr>
        <w:pStyle w:val="Zkladntext30"/>
        <w:shd w:val="clear" w:color="auto" w:fill="auto"/>
        <w:spacing w:after="0" w:line="221" w:lineRule="auto"/>
      </w:pPr>
      <w:r>
        <w:t xml:space="preserve">Ničím jiným si toto postavení nezajistíme, než zase svou osvědčenou metodou drobné práce. Pro paměť i pro příklad tu citujeme několik výňatků </w:t>
      </w:r>
      <w:r>
        <w:t>z předváleč</w:t>
      </w:r>
      <w:r>
        <w:softHyphen/>
        <w:t>ných spisů jednoho z našich největších učitelů této metody, T. G. Masaryka.</w:t>
      </w:r>
    </w:p>
    <w:p w:rsidR="00500724" w:rsidRDefault="00F30FB8">
      <w:pPr>
        <w:pStyle w:val="Zkladntext30"/>
        <w:shd w:val="clear" w:color="auto" w:fill="auto"/>
        <w:spacing w:after="0" w:line="185" w:lineRule="auto"/>
        <w:ind w:firstLine="0"/>
        <w:jc w:val="center"/>
      </w:pPr>
      <w:r>
        <w:t>•</w:t>
      </w:r>
    </w:p>
    <w:p w:rsidR="00500724" w:rsidRDefault="00F30FB8">
      <w:pPr>
        <w:pStyle w:val="Zkladntext30"/>
        <w:shd w:val="clear" w:color="auto" w:fill="auto"/>
        <w:spacing w:after="0" w:line="221" w:lineRule="auto"/>
      </w:pPr>
      <w:r>
        <w:t>»Nenutí nás historie starší, stejně jako běh událostí časových, k tomu, ujasnit si dokonale, jak se jakožto samobytný a samostatný národ udržíme? Nenutí nás všechen n</w:t>
      </w:r>
      <w:r>
        <w:t>áš vývoj k otázce, jak se udržíme jakožto národ malý? Tato myšlenka trápila naše buditele Dobrovského, trápila Kollára, jehož všechno myšlení bylo unikáním přirozené malosti; na myšlenku tuto odpovídal Palacký, rozšířiv Kollárův problém kulturní na problém</w:t>
      </w:r>
      <w:r>
        <w:t xml:space="preserve"> politický.«</w:t>
      </w:r>
    </w:p>
    <w:p w:rsidR="00500724" w:rsidRDefault="00F30FB8">
      <w:pPr>
        <w:pStyle w:val="Zkladntext30"/>
        <w:shd w:val="clear" w:color="auto" w:fill="auto"/>
        <w:spacing w:after="0" w:line="221" w:lineRule="auto"/>
      </w:pPr>
      <w:r>
        <w:t>»Především vydatné sociální reformy, práce kul</w:t>
      </w:r>
      <w:r>
        <w:softHyphen/>
        <w:t>turní, politika vnitřní. Socialisace české politiky je dů</w:t>
      </w:r>
      <w:r>
        <w:softHyphen/>
        <w:t>sledným pokračováním obrozenských ideí: humanita dnes pojímati se musí méně abstraktně a extensivně, humanita dnes znamená pracovat pro ty</w:t>
      </w:r>
      <w:r>
        <w:t>, které jsme posud z kulturní práce vylučovali; dáti jim pouze ně</w:t>
      </w:r>
      <w:r>
        <w:softHyphen/>
        <w:t>která práva je málo — myslit, pracovat musíme s ni</w:t>
      </w:r>
      <w:r>
        <w:softHyphen/>
        <w:t>mi a pro ně.«</w:t>
      </w:r>
    </w:p>
    <w:p w:rsidR="00500724" w:rsidRDefault="00F30FB8">
      <w:pPr>
        <w:pStyle w:val="Zkladntext30"/>
        <w:shd w:val="clear" w:color="auto" w:fill="auto"/>
        <w:spacing w:after="0" w:line="221" w:lineRule="auto"/>
        <w:ind w:firstLine="240"/>
      </w:pPr>
      <w:r>
        <w:t>»Ceská politika musí přestat být »politikou«. Žádné podlízavosti nebude, protože nebude žádné pře</w:t>
      </w:r>
      <w:r>
        <w:softHyphen/>
        <w:t>pjatosti! To není učení, že</w:t>
      </w:r>
      <w:r>
        <w:t xml:space="preserve"> zlému se nemá odpírat, na</w:t>
      </w:r>
      <w:r>
        <w:softHyphen/>
        <w:t>opak, má se mu odpírat pořád a všude, ale důsledně a hned od samých zárodků. Kdyby lidé tak zvaní dobří a hodní nebyli vlastně lenoši, zlých by již ne</w:t>
      </w:r>
      <w:r>
        <w:softHyphen/>
        <w:t>bylo ... Dnes volání po práci, po práci drobné, je tak oprávněné — přičiňme se</w:t>
      </w:r>
      <w:r>
        <w:t xml:space="preserve"> sami a nečekejme, že pro nás a za nás bude pracovat vláda vídeňská a jiní. Kde vadí vláda a policie našim učitelům, našim kněžím, našim advokátům, našim lékařům a jiným všem, aby nepracovali a o pokrok lidu se nestarali?</w:t>
      </w:r>
    </w:p>
    <w:p w:rsidR="00500724" w:rsidRDefault="00F30FB8">
      <w:pPr>
        <w:pStyle w:val="Zkladntext30"/>
        <w:shd w:val="clear" w:color="auto" w:fill="auto"/>
        <w:spacing w:after="0" w:line="221" w:lineRule="auto"/>
        <w:ind w:firstLine="240"/>
      </w:pPr>
      <w:r>
        <w:t xml:space="preserve">Je holým neštěstím, že si zvykáme </w:t>
      </w:r>
      <w:r>
        <w:t>očekávat tolik od vlády, samočinnosti se vzdávajíce. To je ten krajní liberalismus politický, ta nešťastná víra v — policii. Přispěli k tomu naši buditelé a zejména Palacký svou historií. Je totiž osudný klam myslit, že všechna naše historie není než ustav</w:t>
      </w:r>
      <w:r>
        <w:t>ičný boj proti Němcům a vládě — tak malí jsme nebyli a nejsme. Vyvíjeli jsme se i positivně, vývoj náš má obsah svůj a vlastní, v němž antagonismus proti Němcům hrá roli velikou, ale pře</w:t>
      </w:r>
      <w:r>
        <w:softHyphen/>
        <w:t xml:space="preserve">ce jen podřízenou. V tom realismus, a to v otázce nad jiné důležité, </w:t>
      </w:r>
      <w:r>
        <w:t>liší se od Palackého i Havlíčka a ovšem od běžného teď politisování. Je to požadavek politiky absolutně aktivní a positivní; troufejme si konečně sami být většími — nejsme tak malí, jak naši vlaste</w:t>
      </w:r>
      <w:r>
        <w:softHyphen/>
        <w:t>nečtí fňukalové nám i jiným namlouvají. Kollár řekl hlubok</w:t>
      </w:r>
      <w:r>
        <w:t>é slovo: Ve světě mají každého člověka i každý národ za to, zač se vydává, ale musí se také za něco vydá váti.«</w:t>
      </w:r>
    </w:p>
    <w:p w:rsidR="00500724" w:rsidRDefault="00F30FB8">
      <w:pPr>
        <w:pStyle w:val="Zkladntext30"/>
        <w:shd w:val="clear" w:color="auto" w:fill="auto"/>
        <w:spacing w:after="0" w:line="221" w:lineRule="auto"/>
        <w:ind w:firstLine="240"/>
      </w:pPr>
      <w:r>
        <w:t>»Využitkovat všech pokroků a vymožeností vědy a poznání musí být heslem naší národní praxe. Tak si vlastně už Palacký představoval praktické úsi</w:t>
      </w:r>
      <w:r>
        <w:t>lí ná</w:t>
      </w:r>
      <w:r>
        <w:softHyphen/>
        <w:t>rodní. To znamená využiti všech praktických vědo</w:t>
      </w:r>
      <w:r>
        <w:softHyphen/>
        <w:t>mostí, přírodovědných i duchovědných, tedy netoliko snad pouze techniky, hygieny, nýbrž právě tak peda</w:t>
      </w:r>
      <w:r>
        <w:softHyphen/>
        <w:t xml:space="preserve">gogiky a didaktiky — školství — </w:t>
      </w:r>
      <w:r>
        <w:rPr>
          <w:i/>
          <w:iCs/>
        </w:rPr>
        <w:t>a</w:t>
      </w:r>
      <w:r>
        <w:t xml:space="preserve"> konečně politiky v nejširším smyslu... O organisaci národní hygi</w:t>
      </w:r>
      <w:r>
        <w:t>eny atd. — o tom všem se dosud málo uvažovalo; v mys</w:t>
      </w:r>
      <w:r>
        <w:softHyphen/>
        <w:t>lích našich zahrnuje se to všechno nejasným pojmem politiky, a přece: kdo nám vadí, provádět v obcích ta</w:t>
      </w:r>
      <w:r>
        <w:softHyphen/>
        <w:t>kovou správu, tak vzornou, že by se jí musel obdivo</w:t>
      </w:r>
      <w:r>
        <w:softHyphen/>
        <w:t>vat celý svět?«</w:t>
      </w:r>
    </w:p>
    <w:p w:rsidR="00500724" w:rsidRDefault="00F30FB8">
      <w:pPr>
        <w:pStyle w:val="Zkladntext30"/>
        <w:shd w:val="clear" w:color="auto" w:fill="auto"/>
        <w:spacing w:after="0" w:line="216" w:lineRule="auto"/>
        <w:ind w:firstLine="240"/>
      </w:pPr>
      <w:r>
        <w:t>»I naše politika, jako všude j</w:t>
      </w:r>
      <w:r>
        <w:t>inde, musí být zalo</w:t>
      </w:r>
      <w:r>
        <w:softHyphen/>
        <w:t>žena na hlubší a všestrannější práci kulturní, musí býti praktickým užitím politického a obecného vzdě</w:t>
      </w:r>
      <w:r>
        <w:softHyphen/>
        <w:t>lání vůbec. A toho vzdělání nebylo a ještě není. Čeští politikové musí, jak Palacký správně žádal, to do- vésti, aby pro věc svého ná</w:t>
      </w:r>
      <w:r>
        <w:t>roda užili všech vymože</w:t>
      </w:r>
      <w:r>
        <w:softHyphen/>
        <w:t>ností ustavičně pokračující vědy moderní.«</w:t>
      </w:r>
    </w:p>
    <w:p w:rsidR="00500724" w:rsidRDefault="00F30FB8">
      <w:pPr>
        <w:pStyle w:val="Zkladntext30"/>
        <w:shd w:val="clear" w:color="auto" w:fill="auto"/>
        <w:spacing w:after="0" w:line="216" w:lineRule="auto"/>
        <w:ind w:firstLine="240"/>
      </w:pPr>
      <w:r>
        <w:t>»Jen pomýšlení na to, že by Cech se musil svého dožebrávat, je mně hrozné... Kdo pozorněji se dívá na náš život veřejný, neuvidí pouze to slabošské žebráctví, ale potká se se zvláštním type</w:t>
      </w:r>
      <w:r>
        <w:t>m intrikánů. Intrikánství toto otravuje však všecek náš pospolitý život — protože nedovedou být lvy, stávají se liškami, protože nedovedou být hrdiny, stávají se lokaji a po</w:t>
      </w:r>
      <w:r>
        <w:softHyphen/>
        <w:t>máhají si lokajským chytráctvím. »Politika« je ideál těchto četných a četných lidí</w:t>
      </w:r>
      <w:r>
        <w:t>.</w:t>
      </w:r>
    </w:p>
    <w:p w:rsidR="00500724" w:rsidRDefault="00F30FB8">
      <w:pPr>
        <w:pStyle w:val="Zkladntext30"/>
        <w:shd w:val="clear" w:color="auto" w:fill="auto"/>
        <w:spacing w:after="0" w:line="221" w:lineRule="auto"/>
        <w:ind w:firstLine="240"/>
      </w:pPr>
      <w:r>
        <w:t>Slýchati i důvody této bezcharakternosti: malý, slabý národ si prý jinak nemůže pomoci — buď žebrat nebo intrikovat. Je to pravda? Je skutečně nutné, aby malý národ, aby člověk v poměrech malého národa si pomáhal intrikou, má lež ve svých různých podo</w:t>
      </w:r>
      <w:r>
        <w:softHyphen/>
        <w:t>bá</w:t>
      </w:r>
      <w:r>
        <w:t>ch státi se přímo národní zbraní? Může člověk jen Ve velikém národě býti pravdivým, nerodí se mužové bez bázně také v národech malých? Je macchiavellis- mus a lokajství nezbytná zbraň potlačených, malých a slabých? Není — i slabý může dosíci svého cíle bez</w:t>
      </w:r>
      <w:r>
        <w:t xml:space="preserve"> intriky, ba jen tak ho vůbec dosáhne, jak skutečnost poučuje. Kdo chce a umí pracovat, nepotřebuje in</w:t>
      </w:r>
      <w:r>
        <w:softHyphen/>
        <w:t>triky.</w:t>
      </w:r>
    </w:p>
    <w:p w:rsidR="00500724" w:rsidRDefault="00F30FB8">
      <w:pPr>
        <w:pStyle w:val="Zkladntext30"/>
        <w:shd w:val="clear" w:color="auto" w:fill="auto"/>
        <w:spacing w:after="0" w:line="223" w:lineRule="auto"/>
        <w:ind w:firstLine="240"/>
      </w:pPr>
      <w:r>
        <w:t xml:space="preserve">Život je boj a boj ten právě malým a slabším je těžký, vždyť právě v tom je všecek smysl toho boje — o spravedlnost vždycky jen slabší stáli a jí </w:t>
      </w:r>
      <w:r>
        <w:t>se do</w:t>
      </w:r>
      <w:r>
        <w:softHyphen/>
        <w:t>máhali. Je však možné obstáti v tom boji čestně, ač</w:t>
      </w:r>
      <w:r>
        <w:softHyphen/>
        <w:t>koli nesnadno. Kristus dal pravidlo: Aj, já posílám vás jako ovce mezi vlky; protož buďte opatrní jako hadové a prostní jako holubice.«</w:t>
      </w:r>
    </w:p>
    <w:p w:rsidR="00500724" w:rsidRDefault="00F30FB8">
      <w:pPr>
        <w:pStyle w:val="Zkladntext30"/>
        <w:shd w:val="clear" w:color="auto" w:fill="auto"/>
        <w:spacing w:after="200" w:line="214" w:lineRule="auto"/>
        <w:ind w:firstLine="0"/>
        <w:jc w:val="right"/>
        <w:rPr>
          <w:sz w:val="20"/>
          <w:szCs w:val="20"/>
        </w:rPr>
      </w:pPr>
      <w:r>
        <w:rPr>
          <w:i/>
          <w:iCs/>
          <w:sz w:val="20"/>
          <w:szCs w:val="20"/>
        </w:rPr>
        <w:t>(Geská otázka, 1894)</w:t>
      </w:r>
    </w:p>
    <w:p w:rsidR="00500724" w:rsidRDefault="00F30FB8">
      <w:pPr>
        <w:pStyle w:val="Zkladntext30"/>
        <w:shd w:val="clear" w:color="auto" w:fill="auto"/>
        <w:spacing w:after="0" w:line="228" w:lineRule="auto"/>
        <w:ind w:firstLine="240"/>
      </w:pPr>
      <w:r>
        <w:t xml:space="preserve">s&gt;Naši buditelé pochopili, že malý národ </w:t>
      </w:r>
      <w:r>
        <w:t>se udrží jen využitím všech vymožeností osvětových a že se udrží jen humanitou. A to je smysl našeho obrození a zá</w:t>
      </w:r>
      <w:r>
        <w:softHyphen/>
        <w:t>roveň naší minulosti. Pokračovati v práci obrodní znamená tedy všemožně se zasazovat o prvenství v tom, co národům všem je nejdražší, zasazov</w:t>
      </w:r>
      <w:r>
        <w:t>at se o prvenství osvětové a mravní — to je náš ideál hu</w:t>
      </w:r>
      <w:r>
        <w:softHyphen/>
        <w:t>manitní. Že tím zároveň pěstovati a zdokonalovati budeme svůj jazyk, rozumí se pak samo sebou.«</w:t>
      </w:r>
    </w:p>
    <w:p w:rsidR="00500724" w:rsidRDefault="00F30FB8">
      <w:pPr>
        <w:pStyle w:val="Zkladntext30"/>
        <w:shd w:val="clear" w:color="auto" w:fill="auto"/>
        <w:spacing w:after="0" w:line="228" w:lineRule="auto"/>
        <w:ind w:firstLine="240"/>
        <w:rPr>
          <w:sz w:val="19"/>
          <w:szCs w:val="19"/>
        </w:rPr>
      </w:pPr>
      <w:r>
        <w:t xml:space="preserve">»Pravím-li, že politická taktika dnes spočívali musí v politické práci všech, v práci založené na </w:t>
      </w:r>
      <w:r>
        <w:t>náležitém vzdělání všech, čelím tím docela úmyslně a vědomě politické nepráci, politické taktice dob starších a pro</w:t>
      </w:r>
      <w:r>
        <w:softHyphen/>
        <w:t xml:space="preserve">šlých. Práce politická, jako skutečná práce všecka, vyžaduje soustavnosti, pilnosti, stálosti, vytrvalosti — občasné vzrušení citů a vůle a </w:t>
      </w:r>
      <w:r>
        <w:t>úryvkovité jednání není práce. Takové taktiky si dovolovali v starší době velicí páni, dovoluje si ji aristokracie a plutokracie ještě i dnes, ale to není politika lidu a nemá ani pro lid a vůbec pro nikoho významu. Tato politika je sport, ne práce. Člověk</w:t>
      </w:r>
      <w:r>
        <w:t xml:space="preserve"> moderně vzdělaný poznává, že společnost se vyvíjí krokem, ne skokem, a proto stojí ve všech oborech, tedy i v politice, o stálou práci reformační. Svět stál a stojí na práci, ne na náladě, svět udržuje se jen prací, a to prací drobnou, prací stálou. Ani v</w:t>
      </w:r>
      <w:r>
        <w:t xml:space="preserve"> geologii katastrof není a nebylo. Co se dříve mělo za ojedinělé, úryvkovité katastrofy, pozná</w:t>
      </w:r>
      <w:r>
        <w:softHyphen/>
        <w:t>váme nyní jako výsledek nesčetných vlivů malých a menších. Tak i ve společnosti a historii převraty veliké, bijící do očí lidí nepozorujících a nechápají</w:t>
      </w:r>
      <w:r>
        <w:softHyphen/>
        <w:t>cích, j</w:t>
      </w:r>
      <w:r>
        <w:t>sou jen sumací a výsledkem stálých vlivů a pří</w:t>
      </w:r>
      <w:r>
        <w:softHyphen/>
        <w:t xml:space="preserve">čin malých. Dnes poznáváme, že zejména revoluce </w:t>
      </w:r>
      <w:r>
        <w:rPr>
          <w:i/>
          <w:iCs/>
          <w:sz w:val="19"/>
          <w:szCs w:val="19"/>
        </w:rPr>
        <w:t>s,iS</w:t>
      </w:r>
    </w:p>
    <w:p w:rsidR="00500724" w:rsidRDefault="00F30FB8">
      <w:pPr>
        <w:pStyle w:val="Zkladntext30"/>
        <w:shd w:val="clear" w:color="auto" w:fill="auto"/>
        <w:spacing w:after="0" w:line="221" w:lineRule="auto"/>
        <w:ind w:firstLine="0"/>
      </w:pPr>
      <w:r>
        <w:t>osmnáctého století byly výsledkem a pokračováním předchozího pochybného vývoje, poznáváme, že revo</w:t>
      </w:r>
      <w:r>
        <w:softHyphen/>
        <w:t xml:space="preserve">luce je symptomem a další příčinou nezdravoty, </w:t>
      </w:r>
      <w:r>
        <w:rPr>
          <w:b/>
          <w:bCs/>
          <w:sz w:val="26"/>
          <w:szCs w:val="26"/>
        </w:rPr>
        <w:t xml:space="preserve">a </w:t>
      </w:r>
      <w:r>
        <w:t>proto vo</w:t>
      </w:r>
      <w:r>
        <w:t>láme po práci a opět po práci soustavné, pro</w:t>
      </w:r>
      <w:r>
        <w:softHyphen/>
        <w:t>myšlené, stálé, vytrvalé. Politika lidová je stálou a nepřetržitou reformací — politika lidová je nadše</w:t>
      </w:r>
      <w:r>
        <w:softHyphen/>
        <w:t>ním pro práci a prací.«</w:t>
      </w:r>
    </w:p>
    <w:p w:rsidR="00500724" w:rsidRDefault="00F30FB8">
      <w:pPr>
        <w:pStyle w:val="Zkladntext30"/>
        <w:shd w:val="clear" w:color="auto" w:fill="auto"/>
        <w:spacing w:after="0" w:line="221" w:lineRule="auto"/>
        <w:ind w:firstLine="240"/>
      </w:pPr>
      <w:r>
        <w:t>»Žádná vláda nedovede nás potlačit a germaniso</w:t>
      </w:r>
      <w:r>
        <w:softHyphen/>
        <w:t xml:space="preserve">vat — to může dnes být docela jasné </w:t>
      </w:r>
      <w:r>
        <w:t xml:space="preserve">nám i vládě, a proto nemluvme při každé maličkosti o hrobech atd. Nesugerujme jiným, ani sami sobě, co přece nijak nechceme. Ta fňukací taktika je jeden z příznaků politické krise. Vlády se nemusíme bát, leda sebe. A co se germanisace týká, pamatujme více </w:t>
      </w:r>
      <w:r>
        <w:t>na »samo- volnou germanisaci«, abych užil toho historického jména. ... A konečně musí vláda dojít poznání, že je v prospěchu celé říše, abychom my Čechové se spra</w:t>
      </w:r>
      <w:r>
        <w:softHyphen/>
        <w:t>vovali sami a samostatně. Národ potlačený, je-li uvě</w:t>
      </w:r>
      <w:r>
        <w:softHyphen/>
        <w:t>domělý, zjevně nebo skrytě překáží vládě</w:t>
      </w:r>
      <w:r>
        <w:t xml:space="preserve"> cizí — a tím se zdržuje vývoj části i celku.«</w:t>
      </w:r>
    </w:p>
    <w:p w:rsidR="00500724" w:rsidRDefault="00F30FB8">
      <w:pPr>
        <w:pStyle w:val="Zkladntext30"/>
        <w:shd w:val="clear" w:color="auto" w:fill="auto"/>
        <w:tabs>
          <w:tab w:val="left" w:pos="2717"/>
        </w:tabs>
        <w:spacing w:after="0" w:line="223" w:lineRule="auto"/>
        <w:ind w:firstLine="240"/>
        <w:rPr>
          <w:sz w:val="19"/>
          <w:szCs w:val="19"/>
        </w:rPr>
      </w:pPr>
      <w:r>
        <w:t>»Jen prací a opět prací lze dělat politiku moderní, jen prací a opět prací lze dělat politiku světovou a tím zároveň uniknout té tísnivé malosti. Ostatně malost ta zmizí — je lepšího života a ruchu dost. Musím</w:t>
      </w:r>
      <w:r>
        <w:t>e příčinu té malosti vykořenit z gruntu, musíme zničit tu malost samu.«</w:t>
      </w:r>
      <w:r>
        <w:tab/>
      </w:r>
      <w:r>
        <w:rPr>
          <w:i/>
          <w:iCs/>
          <w:sz w:val="19"/>
          <w:szCs w:val="19"/>
        </w:rPr>
        <w:t>(Naše nynější krise, 1895)</w:t>
      </w:r>
    </w:p>
    <w:p w:rsidR="00500724" w:rsidRDefault="00F30FB8">
      <w:pPr>
        <w:pStyle w:val="Zkladntext30"/>
        <w:shd w:val="clear" w:color="auto" w:fill="auto"/>
        <w:spacing w:after="60" w:line="180" w:lineRule="auto"/>
        <w:ind w:firstLine="0"/>
        <w:jc w:val="center"/>
      </w:pPr>
      <w:r>
        <w:t>•</w:t>
      </w:r>
    </w:p>
    <w:p w:rsidR="00500724" w:rsidRDefault="00F30FB8">
      <w:pPr>
        <w:pStyle w:val="Zkladntext30"/>
        <w:shd w:val="clear" w:color="auto" w:fill="auto"/>
        <w:spacing w:after="0" w:line="221" w:lineRule="auto"/>
        <w:ind w:firstLine="240"/>
      </w:pPr>
      <w:r>
        <w:t>»Zivot státní a politický nemá pro národ té důleži</w:t>
      </w:r>
      <w:r>
        <w:softHyphen/>
        <w:t>tosti, která se mu u nás tak často přisuzuje. Určitěji řečeno: politická samostatnost nás nezachrání a n</w:t>
      </w:r>
      <w:r>
        <w:t>e</w:t>
      </w:r>
      <w:r>
        <w:softHyphen/>
        <w:t>spasí. Byli jsme samostatní a ztratili jsme samostat</w:t>
      </w:r>
      <w:r>
        <w:softHyphen/>
        <w:t>nost svou, jsou národové samostatní a přece nesvoji.*</w:t>
      </w:r>
    </w:p>
    <w:p w:rsidR="00500724" w:rsidRDefault="00F30FB8">
      <w:pPr>
        <w:pStyle w:val="Zkladntext30"/>
        <w:shd w:val="clear" w:color="auto" w:fill="auto"/>
        <w:spacing w:after="0" w:line="221" w:lineRule="auto"/>
        <w:ind w:firstLine="240"/>
      </w:pPr>
      <w:r>
        <w:t>»Naše situace národní se právě v novější době ztí</w:t>
      </w:r>
      <w:r>
        <w:softHyphen/>
        <w:t>žila a ztěžuje ustavičně. Moderní komunikace, moder</w:t>
      </w:r>
      <w:r>
        <w:softHyphen/>
        <w:t xml:space="preserve">ní pokroky větších a velkých národů ve všech </w:t>
      </w:r>
      <w:r>
        <w:t>oborech, promyšlené a pořád promyšlenější jejich postupování vůči národům ostatním, relativní volnost, zabezpeče</w:t>
      </w:r>
      <w:r>
        <w:softHyphen/>
        <w:t>ná konstitucionalismem, a rozpoutání obecné konku</w:t>
      </w:r>
      <w:r>
        <w:softHyphen/>
        <w:t>rence netoliko průmyslové, nýbrž vůbec kulturní, po</w:t>
      </w:r>
      <w:r>
        <w:softHyphen/>
        <w:t>kroky školství, žurnalistiky a intelektuá</w:t>
      </w:r>
      <w:r>
        <w:t>lní organisace vůbec, utužení, zdokonalení a rozmnožení státní sprá</w:t>
      </w:r>
      <w:r>
        <w:softHyphen/>
        <w:t>vy — to všecko jsou faktory tak mocné a právě nové, že vůči nim nestačí nám přestávat na běžných formu</w:t>
      </w:r>
      <w:r>
        <w:softHyphen/>
        <w:t>lacích našeho národního programu. Nikdo se nedej klamat a ukonejšit našimi úspěchy. Ú</w:t>
      </w:r>
      <w:r>
        <w:t>spěchy ty jsou, ale nezapomínejme, že nejsou absolutní, nýbrž relativ</w:t>
      </w:r>
      <w:r>
        <w:softHyphen/>
        <w:t>ní, a sotva tou měrou, jakou pokročili ostatní národo</w:t>
      </w:r>
      <w:r>
        <w:softHyphen/>
        <w:t>vé a zejména Němci. Dnes na nás cizí svět a jeho kultura nedoráží méně než v době Kollárově a Dobrov</w:t>
      </w:r>
      <w:r>
        <w:softHyphen/>
        <w:t>ského, naopak více a intensivně</w:t>
      </w:r>
      <w:r>
        <w:t>ji. Stačilo-li našim otcům české slovo, my pracovat musíme, aby slovo to učiněno bylo českým duchem. Není to paradoxon, ale poznání, čerpané z pilného srovnání naší nynější lite</w:t>
      </w:r>
      <w:r>
        <w:softHyphen/>
        <w:t>ratury se starší, pravím-li, že od roku 1848 a od doby konstitucionalismu germ</w:t>
      </w:r>
      <w:r>
        <w:t>anisace nás ohrožuje, řeld bych, vnitřněji než v dobách dřívějších, snad více než v dobách císaře Josefa.</w:t>
      </w:r>
    </w:p>
    <w:p w:rsidR="00500724" w:rsidRDefault="00F30FB8">
      <w:pPr>
        <w:pStyle w:val="Zkladntext30"/>
        <w:shd w:val="clear" w:color="auto" w:fill="auto"/>
        <w:spacing w:after="0" w:line="221" w:lineRule="auto"/>
        <w:ind w:firstLine="240"/>
      </w:pPr>
      <w:r>
        <w:t>Já se situace té nijak nebojím, ale považuji za svou povinnost na ni ukazovat. Nezbývá nám než ta vnitřní politika, kterou Palacký stále a stále nám d</w:t>
      </w:r>
      <w:r>
        <w:t>oporučo</w:t>
      </w:r>
      <w:r>
        <w:softHyphen/>
        <w:t>val. Palacký očekával spásu jen od práce osvětné. A ovšem nemyslil Palacký, že by osvětná práce byla jen vzděláním intelektuálním a nikoli také charakte</w:t>
      </w:r>
      <w:r>
        <w:softHyphen/>
        <w:t>rovým, anebo že by věda dokonce byla vlastním úče</w:t>
      </w:r>
      <w:r>
        <w:softHyphen/>
        <w:t>lem. Věda má sloužit vzdělání člověka a národ</w:t>
      </w:r>
      <w:r>
        <w:t>ů.«</w:t>
      </w:r>
    </w:p>
    <w:p w:rsidR="00500724" w:rsidRDefault="00F30FB8">
      <w:pPr>
        <w:pStyle w:val="Zkladntext30"/>
        <w:shd w:val="clear" w:color="auto" w:fill="auto"/>
        <w:spacing w:after="0" w:line="221" w:lineRule="auto"/>
        <w:ind w:left="2440" w:hanging="800"/>
        <w:jc w:val="left"/>
        <w:rPr>
          <w:sz w:val="24"/>
          <w:szCs w:val="24"/>
        </w:rPr>
      </w:pPr>
      <w:r>
        <w:rPr>
          <w:i/>
          <w:iCs/>
          <w:sz w:val="20"/>
          <w:szCs w:val="20"/>
        </w:rPr>
        <w:t xml:space="preserve">(Palackého idea národa českého, 1898.) </w:t>
      </w:r>
      <w:r>
        <w:rPr>
          <w:sz w:val="24"/>
          <w:szCs w:val="24"/>
        </w:rPr>
        <w:t>•</w:t>
      </w:r>
    </w:p>
    <w:p w:rsidR="00500724" w:rsidRDefault="00F30FB8">
      <w:pPr>
        <w:pStyle w:val="Zkladntext30"/>
        <w:shd w:val="clear" w:color="auto" w:fill="auto"/>
        <w:spacing w:after="0" w:line="221" w:lineRule="auto"/>
        <w:ind w:firstLine="240"/>
      </w:pPr>
      <w:r>
        <w:t>»Není pochybnosti, že by mnohý člověk za ideu život položil, ale divné je, že týž člověk, když se po něm žádá, ne život obětovat, ale několik let pevně pracovat pro týž národ, nebude pracovat a neodhodlá se k to</w:t>
      </w:r>
      <w:r>
        <w:t>mu</w:t>
      </w:r>
      <w:r>
        <w:softHyphen/>
        <w:t>to heroismu práce drobné, nudné.«</w:t>
      </w:r>
    </w:p>
    <w:p w:rsidR="00500724" w:rsidRDefault="00F30FB8">
      <w:pPr>
        <w:pStyle w:val="Zkladntext30"/>
        <w:shd w:val="clear" w:color="auto" w:fill="auto"/>
        <w:spacing w:after="0" w:line="221" w:lineRule="auto"/>
        <w:ind w:firstLine="240"/>
      </w:pPr>
      <w:r>
        <w:t xml:space="preserve">»Clověk, i když umírá, chce umřít s pózou, má to být něco, nač lidé ukazují prstem; my všichni příliš žijeme v myslích lidí, nejsme dost svými. To mnoho působí na naši ctižádost, hrdost. Proto všechno, co je okázalé, </w:t>
      </w:r>
      <w:r>
        <w:t xml:space="preserve">volíme před neokázalým. A mučednictví v tichosti, mučednictví neokázalé je příliš řídké. Je přirozené, že mučedník chce mít útěchu ze všeobecné sympatie. To není nic špatného. Ale to druhé je větší. Běží o to, v malých věcech vyhledat to velké. To tam je. </w:t>
      </w:r>
      <w:r>
        <w:t>Vlastně to velké i to všední je v nás. Kdo dovede ve všedním životě těžit hodně mnoho citů, hodně mnoho poznatků, ten je zabezpečen a nemusí se bát všednosti. To může být všední život a při tom ne</w:t>
      </w:r>
      <w:r>
        <w:softHyphen/>
        <w:t>všední hloubka citů a poznatků, o které člověk zvyklý na ok</w:t>
      </w:r>
      <w:r>
        <w:t xml:space="preserve">ázalosti nemá potuchy. Být boháčem v sobě </w:t>
      </w:r>
      <w:r>
        <w:rPr>
          <w:i/>
          <w:iCs/>
        </w:rPr>
        <w:t>a</w:t>
      </w:r>
      <w:r>
        <w:t xml:space="preserve"> ne v těch vnějších skutcích a v očích jiných!«</w:t>
      </w:r>
    </w:p>
    <w:p w:rsidR="00500724" w:rsidRDefault="00F30FB8">
      <w:pPr>
        <w:pStyle w:val="Zkladntext30"/>
        <w:shd w:val="clear" w:color="auto" w:fill="auto"/>
        <w:spacing w:after="0" w:line="221" w:lineRule="auto"/>
        <w:ind w:firstLine="240"/>
      </w:pPr>
      <w:r>
        <w:t>»Prací se teprve stáváme lidmi, charaktery, stává</w:t>
      </w:r>
      <w:r>
        <w:softHyphen/>
        <w:t>me se samostatnými. Člověk nepracující není samo</w:t>
      </w:r>
      <w:r>
        <w:softHyphen/>
        <w:t>statný. Ani nepracující národ jím není. Bez práce nikdy nemáme dos</w:t>
      </w:r>
      <w:r>
        <w:t>tatek důvěry v sebe. Prací teprve pozná</w:t>
      </w:r>
      <w:r>
        <w:softHyphen/>
        <w:t>váme svou sílu. Práce je sebepoznávání. Sebepoznání znamená pracovat. Kdo nepracuje, je člověk pověr</w:t>
      </w:r>
      <w:r>
        <w:softHyphen/>
        <w:t>čivý, žebrák, tulák, čekající zázraky; zázrakem chce žít.</w:t>
      </w:r>
    </w:p>
    <w:p w:rsidR="00500724" w:rsidRDefault="00F30FB8">
      <w:pPr>
        <w:pStyle w:val="Zkladntext30"/>
        <w:shd w:val="clear" w:color="auto" w:fill="auto"/>
        <w:spacing w:after="0" w:line="221" w:lineRule="auto"/>
        <w:ind w:firstLine="240"/>
      </w:pPr>
      <w:r>
        <w:t>Nejen člověk, ale společnost všecka, ba celá příroda je v</w:t>
      </w:r>
      <w:r>
        <w:t xml:space="preserve"> ustavičné práci. Moderní teorie pokroku a vývoje znamená teorii práce, totiž v tom smyslu, že všechen pokrok děje se prací, prací neuvědomělou i uvědomě</w:t>
      </w:r>
      <w:r>
        <w:softHyphen/>
        <w:t>lou. Příroda a společnost je jediná velká, ohromná dílna. Ale ne dílna úplně mechanická, otrocká. Poku</w:t>
      </w:r>
      <w:r>
        <w:t>d nám lidem práce je prostředkem k účelu, běží o tento poslední účel, který má národ a celé člověčenstvo. A prací dosahuje tohoto účelu, ideálu. Pochopení prá</w:t>
      </w:r>
      <w:r>
        <w:softHyphen/>
        <w:t>ce, náležité pochopení toho, co je práce, mělo by být páteří našemu celkovému názoru na svět. A n</w:t>
      </w:r>
      <w:r>
        <w:t>ázor na svět měl by být pracovním názorem na svět: syner- gismus bych to nazval, totiž: že svou spoluprací každý z nás může platně přispět k vývoji celku, může tento vývoj zdržovat nebo dokonce zastavovat.«</w:t>
      </w:r>
    </w:p>
    <w:p w:rsidR="00500724" w:rsidRDefault="00F30FB8">
      <w:pPr>
        <w:pStyle w:val="Zkladntext30"/>
        <w:shd w:val="clear" w:color="auto" w:fill="auto"/>
        <w:spacing w:after="0" w:line="221" w:lineRule="auto"/>
        <w:ind w:firstLine="240"/>
      </w:pPr>
      <w:r>
        <w:t>»Dnes, kdy stát zabírá pořád víc a více činnosti,</w:t>
      </w:r>
      <w:r>
        <w:t xml:space="preserve"> kdy se stává něčím, čím dříve nebyl, něčím podstatně jiným než byl stát absolutistický, dnes také stává se činnost politická rozmanitější, a proto se musí pře</w:t>
      </w:r>
      <w:r>
        <w:softHyphen/>
        <w:t>mýšlet o tom, jak využitkovat všeho k cíli politické</w:t>
      </w:r>
      <w:r>
        <w:softHyphen/>
        <w:t>mu. My myslíme většinou toliko na politicko</w:t>
      </w:r>
      <w:r>
        <w:t>u činnost sněmovní, parlamentámí. To je vada: každý z nás může být politicky činný ve svém oboru, ať učitel, medik, stavitel — bude-li jen dobře pracovat... Ne</w:t>
      </w:r>
      <w:r>
        <w:softHyphen/>
        <w:t xml:space="preserve">běží jen o činnost ve spolcích, nýbrž i mimo spolek, mimo stranu, všude. Všude můžeme pracovat, </w:t>
      </w:r>
      <w:r>
        <w:t>kde stojíme a chodíme, pro sebe a pro celek. A zejména jedna věc by měla být jasná pro inteligenci politicky vzdělanou, ta totiž, že všude, po celých našich zemích na různých koncích by měli být lidé, kteří, třebaže nejsou formálně spojeni spolkem, stavem,</w:t>
      </w:r>
      <w:r>
        <w:t xml:space="preserve"> druh druhu rozumí: takový tacitus </w:t>
      </w:r>
      <w:r>
        <w:rPr>
          <w:lang w:val="en-US" w:eastAsia="en-US" w:bidi="en-US"/>
        </w:rPr>
        <w:t xml:space="preserve">consensus. </w:t>
      </w:r>
      <w:r>
        <w:t xml:space="preserve">Kde v národě není takového </w:t>
      </w:r>
      <w:r>
        <w:rPr>
          <w:lang w:val="en-US" w:eastAsia="en-US" w:bidi="en-US"/>
        </w:rPr>
        <w:t xml:space="preserve">consensu, </w:t>
      </w:r>
      <w:r>
        <w:t>tam je zle. Každý národ, církev, stát, společnost, spolek je ztracen, nemá-li členy, kteří si bez umlouvání rozumějí. Proč nemůže někdo v Praze, v Plzni, v Opavě pozorovat t</w:t>
      </w:r>
      <w:r>
        <w:t xml:space="preserve">o, co se děje, a dělat z toho logicky stejné úsudky? To je ten tacitus </w:t>
      </w:r>
      <w:r>
        <w:rPr>
          <w:lang w:val="en-US" w:eastAsia="en-US" w:bidi="en-US"/>
        </w:rPr>
        <w:t xml:space="preserve">consensus. </w:t>
      </w:r>
      <w:r>
        <w:t>Představme si, že by v každém městě byl aspoň jeden člověk, který by pozoroval náš český život, stejně myslil, stejně dělal úsudky a podle toho pracoval; byl by to neuvědoměl</w:t>
      </w:r>
      <w:r>
        <w:t>ý, neustavený spolek lidí, kteří by měli největší důleži</w:t>
      </w:r>
      <w:r>
        <w:softHyphen/>
        <w:t xml:space="preserve">tost. To u nás chybí. Není u nás politické diskuse jako u národů jiných a zejména velkých; na příklad u Němců můžeme vidět ten veliký </w:t>
      </w:r>
      <w:r>
        <w:rPr>
          <w:lang w:val="en-US" w:eastAsia="en-US" w:bidi="en-US"/>
        </w:rPr>
        <w:t xml:space="preserve">consensus </w:t>
      </w:r>
      <w:r>
        <w:t>v cílech, ve směrech, který se pak objevuje na rozmanit</w:t>
      </w:r>
      <w:r>
        <w:t>ých stranách. To dává národu německému takovou sílu, a je nebezpečí pro národy, kde toho není.«</w:t>
      </w:r>
    </w:p>
    <w:p w:rsidR="00500724" w:rsidRDefault="00F30FB8">
      <w:pPr>
        <w:pStyle w:val="Zkladntext30"/>
        <w:shd w:val="clear" w:color="auto" w:fill="auto"/>
        <w:spacing w:after="0" w:line="240" w:lineRule="auto"/>
        <w:ind w:firstLine="0"/>
        <w:jc w:val="right"/>
        <w:rPr>
          <w:sz w:val="20"/>
          <w:szCs w:val="20"/>
        </w:rPr>
      </w:pPr>
      <w:r>
        <w:rPr>
          <w:i/>
          <w:iCs/>
          <w:sz w:val="20"/>
          <w:szCs w:val="20"/>
        </w:rPr>
        <w:t>(Jak pracovat, 1898.)</w:t>
      </w:r>
    </w:p>
    <w:p w:rsidR="00500724" w:rsidRDefault="00F30FB8">
      <w:pPr>
        <w:pStyle w:val="Zkladntext30"/>
        <w:shd w:val="clear" w:color="auto" w:fill="auto"/>
        <w:spacing w:after="60" w:line="185" w:lineRule="auto"/>
        <w:ind w:firstLine="0"/>
        <w:jc w:val="center"/>
        <w:rPr>
          <w:sz w:val="20"/>
          <w:szCs w:val="20"/>
        </w:rPr>
      </w:pPr>
      <w:r>
        <w:rPr>
          <w:i/>
          <w:iCs/>
          <w:sz w:val="20"/>
          <w:szCs w:val="20"/>
        </w:rPr>
        <w:t>•</w:t>
      </w:r>
    </w:p>
    <w:p w:rsidR="00500724" w:rsidRDefault="00F30FB8">
      <w:pPr>
        <w:pStyle w:val="Zkladntext30"/>
        <w:shd w:val="clear" w:color="auto" w:fill="auto"/>
        <w:spacing w:after="0" w:line="221" w:lineRule="auto"/>
        <w:ind w:firstLine="240"/>
      </w:pPr>
      <w:r>
        <w:t xml:space="preserve">»Nemějme záliby v mučednictví. Nemějme záliby ve smrti. Je to divná věc: lidé chtějí žít a nedovedou se odtrhnout od smrti. Chceme-li </w:t>
      </w:r>
      <w:r>
        <w:t>tedy život, nechtěj</w:t>
      </w:r>
      <w:r>
        <w:softHyphen/>
        <w:t>me mučednictví. Jestliže se posud volalo: Pryč s mu</w:t>
      </w:r>
      <w:r>
        <w:softHyphen/>
        <w:t>čiteli! musíme také říci: Pryč s mučedníky! Pokud jsou mučitelé, jsou mučedníci, ale pokud jsou mučed</w:t>
      </w:r>
      <w:r>
        <w:softHyphen/>
        <w:t>níci, jsou také mučitelé. Vzpomeňte si v románě Turgeněvově »Novina« na sympaticko</w:t>
      </w:r>
      <w:r>
        <w:t xml:space="preserve">u Marianu, jak chce obětovat život za Rusko. Pořád čeká, kdy přijde příležitost, kdy národ řekne: teď polož hlavu. Avšak ten okamžik nepřišel, třebaže jej pořád čekala. Ale přišel praktický člověk </w:t>
      </w:r>
      <w:r>
        <w:rPr>
          <w:lang w:val="en-US" w:eastAsia="en-US" w:bidi="en-US"/>
        </w:rPr>
        <w:t xml:space="preserve">Solomin, </w:t>
      </w:r>
      <w:r>
        <w:t xml:space="preserve">ředitel továrny, a ten jí pověděl, oč běží: Rusko </w:t>
      </w:r>
      <w:r>
        <w:t>nečeká na obětování života, ale tomu nečistému hochovi vyčesej vlasy, umyj nečistou nádobu atd., toho je třeba.</w:t>
      </w:r>
    </w:p>
    <w:p w:rsidR="00500724" w:rsidRDefault="00F30FB8">
      <w:pPr>
        <w:pStyle w:val="Zkladntext30"/>
        <w:shd w:val="clear" w:color="auto" w:fill="auto"/>
        <w:spacing w:after="0" w:line="221" w:lineRule="auto"/>
        <w:ind w:firstLine="240"/>
      </w:pPr>
      <w:r>
        <w:t>Pracovat, to znamená odpírat zlému, a důsledně. Všude, vždy a zejména zlému v jeho zárodku. To ne</w:t>
      </w:r>
      <w:r>
        <w:softHyphen/>
        <w:t>znamená být radikální, ale vytrvalý. Nemít str</w:t>
      </w:r>
      <w:r>
        <w:t>achu, řekl bych. Ze strachu se lidé dopouštějí násilí, ze strachu lžou. Tyran a lhář má strach, a otrokem je i ten, kdo znásilňuje... Veliké zlo je, že žijeme v myšlence, co řekne o mně soused. Ale o to běží, mít svůj úsudek, svou individualitu. Odhodlejme</w:t>
      </w:r>
      <w:r>
        <w:t xml:space="preserve"> se být svými! Nežijme na cizí účet, na cizí svědomí... Hle</w:t>
      </w:r>
      <w:r>
        <w:softHyphen/>
        <w:t>dejme vzdělání. Právě proto, že cit je slepý, musíme citu svítit rozumem. Vzdělání hledejme praktické, ale také všeobecné, filosofické. Dnes zejména je také třeba vzdělání historického, politickéh</w:t>
      </w:r>
      <w:r>
        <w:t>o. Mravnost dnes znamená do veliké míry mravnost politickou. Nedělejme rozdílu mezi politikou a mravností.«</w:t>
      </w:r>
    </w:p>
    <w:p w:rsidR="00500724" w:rsidRDefault="00F30FB8">
      <w:pPr>
        <w:pStyle w:val="Zkladntext30"/>
        <w:shd w:val="clear" w:color="auto" w:fill="auto"/>
        <w:spacing w:after="0"/>
        <w:ind w:firstLine="0"/>
        <w:jc w:val="right"/>
        <w:rPr>
          <w:sz w:val="20"/>
          <w:szCs w:val="20"/>
        </w:rPr>
      </w:pPr>
      <w:r>
        <w:rPr>
          <w:i/>
          <w:iCs/>
          <w:sz w:val="20"/>
          <w:szCs w:val="20"/>
        </w:rPr>
        <w:t>(Ideály humanitní, 1901.)</w:t>
      </w:r>
    </w:p>
    <w:p w:rsidR="00500724" w:rsidRDefault="00F30FB8">
      <w:pPr>
        <w:pStyle w:val="Zkladntext30"/>
        <w:shd w:val="clear" w:color="auto" w:fill="auto"/>
        <w:spacing w:after="0" w:line="182" w:lineRule="auto"/>
        <w:ind w:firstLine="0"/>
        <w:jc w:val="center"/>
      </w:pPr>
      <w:r>
        <w:t>•</w:t>
      </w:r>
    </w:p>
    <w:p w:rsidR="00500724" w:rsidRDefault="00F30FB8">
      <w:pPr>
        <w:pStyle w:val="Zkladntext30"/>
        <w:shd w:val="clear" w:color="auto" w:fill="auto"/>
        <w:spacing w:line="350" w:lineRule="auto"/>
        <w:ind w:firstLine="0"/>
        <w:jc w:val="right"/>
        <w:rPr>
          <w:sz w:val="15"/>
          <w:szCs w:val="15"/>
        </w:rPr>
        <w:sectPr w:rsidR="00500724">
          <w:footnotePr>
            <w:numFmt w:val="chicago"/>
            <w:numRestart w:val="eachPage"/>
          </w:footnotePr>
          <w:type w:val="continuous"/>
          <w:pgSz w:w="11909" w:h="16834"/>
          <w:pgMar w:top="1301" w:right="921" w:bottom="860" w:left="688" w:header="0" w:footer="3" w:gutter="0"/>
          <w:cols w:num="2" w:space="142"/>
          <w:noEndnote/>
          <w:docGrid w:linePitch="360"/>
        </w:sectPr>
      </w:pPr>
      <w:r>
        <w:t xml:space="preserve">»Náš malý národ (jsou i jiné malé a menší národy: Dánové, Švédové atd.) a nesamostatný má </w:t>
      </w:r>
      <w:r>
        <w:t xml:space="preserve">poněkud </w:t>
      </w:r>
      <w:r>
        <w:rPr>
          <w:b/>
          <w:bCs/>
          <w:i/>
          <w:iCs/>
          <w:sz w:val="15"/>
          <w:szCs w:val="15"/>
        </w:rPr>
        <w:t>s,i9</w:t>
      </w:r>
    </w:p>
    <w:p w:rsidR="00500724" w:rsidRDefault="00F30FB8">
      <w:pPr>
        <w:pStyle w:val="Nadpis90"/>
        <w:keepNext/>
        <w:keepLines/>
        <w:shd w:val="clear" w:color="auto" w:fill="auto"/>
        <w:spacing w:after="0"/>
        <w:jc w:val="center"/>
        <w:sectPr w:rsidR="00500724">
          <w:footnotePr>
            <w:numFmt w:val="chicago"/>
            <w:numRestart w:val="eachPage"/>
          </w:footnotePr>
          <w:pgSz w:w="11909" w:h="16834"/>
          <w:pgMar w:top="855" w:right="821" w:bottom="871" w:left="773" w:header="0" w:footer="3" w:gutter="0"/>
          <w:cols w:space="720"/>
          <w:noEndnote/>
          <w:docGrid w:linePitch="360"/>
        </w:sectPr>
      </w:pPr>
      <w:bookmarkStart w:id="361" w:name="bookmark360"/>
      <w:r>
        <w:rPr>
          <w:rFonts w:ascii="Times New Roman" w:eastAsia="Times New Roman" w:hAnsi="Times New Roman" w:cs="Times New Roman"/>
        </w:rPr>
        <w:t>Přítomnoso</w:t>
      </w:r>
      <w:bookmarkEnd w:id="361"/>
    </w:p>
    <w:p w:rsidR="00500724" w:rsidRDefault="00500724">
      <w:pPr>
        <w:spacing w:line="2" w:lineRule="exact"/>
        <w:rPr>
          <w:sz w:val="2"/>
          <w:szCs w:val="2"/>
        </w:rPr>
      </w:pPr>
    </w:p>
    <w:p w:rsidR="00500724" w:rsidRDefault="00500724">
      <w:pPr>
        <w:spacing w:line="14" w:lineRule="exact"/>
        <w:sectPr w:rsidR="00500724">
          <w:footnotePr>
            <w:numFmt w:val="chicago"/>
            <w:numRestart w:val="eachPage"/>
          </w:footnotePr>
          <w:type w:val="continuous"/>
          <w:pgSz w:w="11909" w:h="16834"/>
          <w:pgMar w:top="855" w:right="0" w:bottom="871" w:left="0" w:header="0" w:footer="3" w:gutter="0"/>
          <w:cols w:space="720"/>
          <w:noEndnote/>
          <w:docGrid w:linePitch="360"/>
        </w:sectPr>
      </w:pPr>
    </w:p>
    <w:p w:rsidR="00500724" w:rsidRDefault="00F30FB8">
      <w:pPr>
        <w:pStyle w:val="Zkladntext30"/>
        <w:shd w:val="clear" w:color="auto" w:fill="auto"/>
        <w:spacing w:after="0" w:line="233" w:lineRule="auto"/>
        <w:ind w:firstLine="0"/>
      </w:pPr>
      <w:r>
        <w:t xml:space="preserve">jiné úkoly než národy velké a musí se brát jinou cestou. Jistě, jak Havlíček mu pověděl, musíme sbírat všechny své síly </w:t>
      </w:r>
      <w:r>
        <w:rPr>
          <w:lang w:val="en-US" w:eastAsia="en-US" w:bidi="en-US"/>
        </w:rPr>
        <w:t xml:space="preserve">a silky. </w:t>
      </w:r>
      <w:r>
        <w:t xml:space="preserve">Menší národ může vyniknout koncentrací sil. </w:t>
      </w:r>
      <w:r>
        <w:t>Neběží jen o velikost číselnou, ale o velikost ducha. A není nikde psáno, že by národ náš, který kdysi byl v řadě osvětné prvý, měl být v řadě národů poslední. Není snadné, pravda, sebrat všechny naše síly v jedno. Máme stran mnoho a malé; žádná, ani nejvě</w:t>
      </w:r>
      <w:r>
        <w:t>tší, nerepresentuje většinu národa. Proto musíme provozovat politiku, která organisuje všechny strany ku práci. Není chyba, jsou-li strany, rozdělující si práci národní; ale čím intensivnější je dělba práce, tím potřebnější je účelná organisace té práce.«</w:t>
      </w:r>
    </w:p>
    <w:p w:rsidR="00500724" w:rsidRDefault="00F30FB8">
      <w:pPr>
        <w:pStyle w:val="Zkladntext100"/>
        <w:shd w:val="clear" w:color="auto" w:fill="auto"/>
        <w:spacing w:line="269" w:lineRule="auto"/>
        <w:ind w:firstLine="0"/>
        <w:jc w:val="right"/>
        <w:rPr>
          <w:sz w:val="19"/>
          <w:szCs w:val="19"/>
        </w:rPr>
      </w:pPr>
      <w:r>
        <w:rPr>
          <w:b/>
          <w:bCs/>
          <w:i/>
          <w:iCs/>
          <w:sz w:val="19"/>
          <w:szCs w:val="19"/>
        </w:rPr>
        <w:t>(Americké přednášky, 190”t.)</w:t>
      </w:r>
    </w:p>
    <w:p w:rsidR="00500724" w:rsidRDefault="00F30FB8">
      <w:pPr>
        <w:pStyle w:val="Jin0"/>
        <w:shd w:val="clear" w:color="auto" w:fill="auto"/>
        <w:spacing w:after="360" w:line="204" w:lineRule="auto"/>
        <w:ind w:firstLine="0"/>
        <w:jc w:val="right"/>
        <w:rPr>
          <w:sz w:val="26"/>
          <w:szCs w:val="26"/>
        </w:rPr>
      </w:pPr>
      <w:r>
        <w:rPr>
          <w:rFonts w:ascii="Arial" w:eastAsia="Arial" w:hAnsi="Arial" w:cs="Arial"/>
          <w:b/>
          <w:bCs/>
          <w:sz w:val="26"/>
          <w:szCs w:val="26"/>
        </w:rPr>
        <w:t>Z 5.</w:t>
      </w:r>
    </w:p>
    <w:p w:rsidR="00500724" w:rsidRDefault="00F30FB8">
      <w:pPr>
        <w:pStyle w:val="Jin0"/>
        <w:pBdr>
          <w:bottom w:val="single" w:sz="4" w:space="0" w:color="auto"/>
        </w:pBdr>
        <w:shd w:val="clear" w:color="auto" w:fill="auto"/>
        <w:spacing w:after="260"/>
        <w:ind w:firstLine="0"/>
        <w:jc w:val="left"/>
        <w:rPr>
          <w:sz w:val="44"/>
          <w:szCs w:val="44"/>
        </w:rPr>
      </w:pPr>
      <w:r>
        <w:rPr>
          <w:b/>
          <w:bCs/>
          <w:sz w:val="44"/>
          <w:szCs w:val="44"/>
        </w:rPr>
        <w:t>poznámky</w:t>
      </w:r>
    </w:p>
    <w:p w:rsidR="00500724" w:rsidRDefault="00F30FB8">
      <w:pPr>
        <w:pStyle w:val="Zkladntext30"/>
        <w:shd w:val="clear" w:color="auto" w:fill="auto"/>
        <w:spacing w:after="80" w:line="221" w:lineRule="auto"/>
        <w:ind w:firstLine="0"/>
        <w:jc w:val="center"/>
        <w:rPr>
          <w:sz w:val="20"/>
          <w:szCs w:val="20"/>
        </w:rPr>
      </w:pPr>
      <w:r>
        <w:rPr>
          <w:b/>
          <w:bCs/>
          <w:sz w:val="20"/>
          <w:szCs w:val="20"/>
        </w:rPr>
        <w:t>V nových státoprávních poměrech</w:t>
      </w:r>
    </w:p>
    <w:p w:rsidR="00500724" w:rsidRDefault="00F30FB8">
      <w:pPr>
        <w:pStyle w:val="Zkladntext100"/>
        <w:shd w:val="clear" w:color="auto" w:fill="auto"/>
        <w:spacing w:line="233" w:lineRule="auto"/>
        <w:ind w:firstLine="320"/>
        <w:rPr>
          <w:sz w:val="19"/>
          <w:szCs w:val="19"/>
        </w:rPr>
      </w:pPr>
      <w:r>
        <w:rPr>
          <w:b/>
          <w:bCs/>
          <w:sz w:val="19"/>
          <w:szCs w:val="19"/>
        </w:rPr>
        <w:t>Od 15. března 1989 do 5. dubna 1939, to jest v údobí, kdy k nám přišlo říšské vojsko, až do dne, kdy přijel říšský protektor, aby se ujal správy země, bylo jakési mezivládí, které je teď nahrazeno definitivními poměry. Tento nový státoprávní stav je zákonn</w:t>
      </w:r>
      <w:r>
        <w:rPr>
          <w:b/>
          <w:bCs/>
          <w:sz w:val="19"/>
          <w:szCs w:val="19"/>
        </w:rPr>
        <w:t xml:space="preserve">ě upraven prozatím výnosem o zřízení protektorátu Cech a Moravy v rámci velkoněmecké </w:t>
      </w:r>
      <w:r>
        <w:rPr>
          <w:b/>
          <w:bCs/>
          <w:sz w:val="17"/>
          <w:szCs w:val="17"/>
        </w:rPr>
        <w:t xml:space="preserve">říše a </w:t>
      </w:r>
      <w:r>
        <w:rPr>
          <w:b/>
          <w:bCs/>
          <w:sz w:val="19"/>
          <w:szCs w:val="19"/>
        </w:rPr>
        <w:t xml:space="preserve">prohlášeními, jež s odpovědných stran říšských a českých byly na výnos říšského kancléře navázány. Rozumí se, </w:t>
      </w:r>
      <w:r>
        <w:rPr>
          <w:b/>
          <w:bCs/>
          <w:sz w:val="17"/>
          <w:szCs w:val="17"/>
        </w:rPr>
        <w:t xml:space="preserve">že podrobnosti úpravy </w:t>
      </w:r>
      <w:r>
        <w:rPr>
          <w:b/>
          <w:bCs/>
          <w:sz w:val="19"/>
          <w:szCs w:val="19"/>
        </w:rPr>
        <w:t xml:space="preserve">zatím </w:t>
      </w:r>
      <w:r>
        <w:rPr>
          <w:b/>
          <w:bCs/>
          <w:sz w:val="17"/>
          <w:szCs w:val="17"/>
        </w:rPr>
        <w:t xml:space="preserve">chybí </w:t>
      </w:r>
      <w:r>
        <w:rPr>
          <w:b/>
          <w:bCs/>
          <w:sz w:val="19"/>
          <w:szCs w:val="19"/>
        </w:rPr>
        <w:t>a budou vypracová</w:t>
      </w:r>
      <w:r>
        <w:rPr>
          <w:b/>
          <w:bCs/>
          <w:sz w:val="19"/>
          <w:szCs w:val="19"/>
        </w:rPr>
        <w:softHyphen/>
        <w:t>ny</w:t>
      </w:r>
      <w:r>
        <w:rPr>
          <w:b/>
          <w:bCs/>
          <w:sz w:val="19"/>
          <w:szCs w:val="19"/>
        </w:rPr>
        <w:t xml:space="preserve"> zákonnou formou, která pravděpodobně bude vyhláše</w:t>
      </w:r>
      <w:r>
        <w:rPr>
          <w:b/>
          <w:bCs/>
          <w:sz w:val="19"/>
          <w:szCs w:val="19"/>
        </w:rPr>
        <w:softHyphen/>
        <w:t>na vládou na základě zmocňovacího zákona a případně pro</w:t>
      </w:r>
      <w:r>
        <w:rPr>
          <w:b/>
          <w:bCs/>
          <w:sz w:val="19"/>
          <w:szCs w:val="19"/>
        </w:rPr>
        <w:softHyphen/>
        <w:t>jednána parlamentem, budou-li v dohledné době vykonány formální volby a bude-li nějaké parlamentní těleso zřízeno. Prozatím je nahrazováno výborem Ná</w:t>
      </w:r>
      <w:r>
        <w:rPr>
          <w:b/>
          <w:bCs/>
          <w:sz w:val="19"/>
          <w:szCs w:val="19"/>
        </w:rPr>
        <w:t>rodního souručenství. Důležité je, že od provisoria jsme přešli k definitivnímu stavu. Přijmout situaci, dívat se na ni střízlivě a realistic</w:t>
      </w:r>
      <w:r>
        <w:rPr>
          <w:b/>
          <w:bCs/>
          <w:sz w:val="19"/>
          <w:szCs w:val="19"/>
        </w:rPr>
        <w:softHyphen/>
        <w:t>ky a pracovat usilovně na záchranu existenci našich spolu</w:t>
      </w:r>
      <w:r>
        <w:rPr>
          <w:b/>
          <w:bCs/>
          <w:sz w:val="19"/>
          <w:szCs w:val="19"/>
        </w:rPr>
        <w:softHyphen/>
        <w:t xml:space="preserve">občanů, kteří přesunem hranic a změněnými státoprávními </w:t>
      </w:r>
      <w:r>
        <w:rPr>
          <w:b/>
          <w:bCs/>
          <w:sz w:val="19"/>
          <w:szCs w:val="19"/>
        </w:rPr>
        <w:t>formami jsou dočasně vyřáděni z práce, to je nyní hlavní příkaz doby. Všechno stranictví pozbývá smyslu. Nyní jsme všichni jen Čechové.</w:t>
      </w:r>
    </w:p>
    <w:p w:rsidR="00500724" w:rsidRDefault="00F30FB8">
      <w:pPr>
        <w:pStyle w:val="Zkladntext100"/>
        <w:shd w:val="clear" w:color="auto" w:fill="auto"/>
        <w:spacing w:line="233" w:lineRule="auto"/>
        <w:ind w:firstLine="320"/>
        <w:rPr>
          <w:sz w:val="19"/>
          <w:szCs w:val="19"/>
        </w:rPr>
      </w:pPr>
      <w:r>
        <w:rPr>
          <w:b/>
          <w:bCs/>
          <w:sz w:val="19"/>
          <w:szCs w:val="19"/>
        </w:rPr>
        <w:t>V těchto třech týdnem se změnilo tak mnoho, že ačkoliv vidíme důkazy těchto změn kolem sebe, i když jen vyhléd</w:t>
      </w:r>
      <w:r>
        <w:rPr>
          <w:b/>
          <w:bCs/>
          <w:sz w:val="19"/>
          <w:szCs w:val="19"/>
        </w:rPr>
        <w:softHyphen/>
        <w:t>neme z ok</w:t>
      </w:r>
      <w:r>
        <w:rPr>
          <w:b/>
          <w:bCs/>
          <w:sz w:val="19"/>
          <w:szCs w:val="19"/>
        </w:rPr>
        <w:t>na, nebyli jsme pochopitelně zatím ještě s to je řádně stráviti. To je přirozené, a říšskoněmecký tisk sám to v dlouhých článcích připouští a praví, že našemu národu musí býti dopřán ke všemu čas. Projevy dobré vůle s obou stran jsou nezbytným předpokladem</w:t>
      </w:r>
      <w:r>
        <w:rPr>
          <w:b/>
          <w:bCs/>
          <w:sz w:val="19"/>
          <w:szCs w:val="19"/>
        </w:rPr>
        <w:t xml:space="preserve"> dobrého spolužiti a je potěšitelné v dané situaci, že k těmto projevům došlo.</w:t>
      </w:r>
    </w:p>
    <w:p w:rsidR="00500724" w:rsidRDefault="00F30FB8">
      <w:pPr>
        <w:pStyle w:val="Zkladntext100"/>
        <w:shd w:val="clear" w:color="auto" w:fill="auto"/>
        <w:spacing w:line="233" w:lineRule="auto"/>
        <w:ind w:firstLine="320"/>
        <w:rPr>
          <w:sz w:val="19"/>
          <w:szCs w:val="19"/>
        </w:rPr>
      </w:pPr>
      <w:r>
        <w:rPr>
          <w:b/>
          <w:bCs/>
          <w:sz w:val="19"/>
          <w:szCs w:val="19"/>
        </w:rPr>
        <w:t>Náš národ žil po deset generací v habsburské říši, kde již téměř umíral, když vlastní silou se probral z hrozivé mdloby ke vzkříšení. Je nás dnes osm milionů. Udržet tento národ</w:t>
      </w:r>
      <w:r>
        <w:rPr>
          <w:b/>
          <w:bCs/>
          <w:sz w:val="19"/>
          <w:szCs w:val="19"/>
        </w:rPr>
        <w:t xml:space="preserve"> a založit jeho další vzrůst ve velkoněmecké říši, v tom je všechen smysl našeho soudobého s</w:t>
      </w:r>
      <w:r>
        <w:rPr>
          <w:b/>
          <w:bCs/>
          <w:sz w:val="19"/>
          <w:szCs w:val="19"/>
          <w:u w:val="single"/>
        </w:rPr>
        <w:t>nažení</w:t>
      </w:r>
    </w:p>
    <w:p w:rsidR="00500724" w:rsidRDefault="00F30FB8">
      <w:pPr>
        <w:pStyle w:val="Zkladntext100"/>
        <w:shd w:val="clear" w:color="auto" w:fill="auto"/>
        <w:spacing w:line="233" w:lineRule="auto"/>
        <w:ind w:firstLine="320"/>
        <w:rPr>
          <w:sz w:val="19"/>
          <w:szCs w:val="19"/>
        </w:rPr>
      </w:pPr>
      <w:r>
        <w:rPr>
          <w:b/>
          <w:bCs/>
          <w:sz w:val="19"/>
          <w:szCs w:val="19"/>
        </w:rPr>
        <w:t>Nemělo by smyslu tyto ztráty opiakávat. Národ je zde, je pracovitý a počítá se svým osudem, který je určen po</w:t>
      </w:r>
      <w:r>
        <w:rPr>
          <w:b/>
          <w:bCs/>
          <w:sz w:val="19"/>
          <w:szCs w:val="19"/>
        </w:rPr>
        <w:softHyphen/>
        <w:t xml:space="preserve">měrně velkým přírodním bohatstvím, schopnostmi </w:t>
      </w:r>
      <w:r>
        <w:rPr>
          <w:b/>
          <w:bCs/>
          <w:sz w:val="19"/>
          <w:szCs w:val="19"/>
        </w:rPr>
        <w:t>lidu a hlavně zeměpisným položením. Tento národ má právo na existenci. Základ pro naši další práci je tim dán, a povede-li se Říši dobře po stránce hospodářské, budeme i my hospo</w:t>
      </w:r>
      <w:r>
        <w:rPr>
          <w:b/>
          <w:bCs/>
          <w:sz w:val="19"/>
          <w:szCs w:val="19"/>
        </w:rPr>
        <w:softHyphen/>
        <w:t>dářsky na tom lépe, stejně jako budeme sdílet osud Říše v každé proměně evrop</w:t>
      </w:r>
      <w:r>
        <w:rPr>
          <w:b/>
          <w:bCs/>
          <w:sz w:val="19"/>
          <w:szCs w:val="19"/>
        </w:rPr>
        <w:t>ské situace, jež nyní je zatím ještě naprosto nepřehledná. Národy, jež neměly podílu na světo</w:t>
      </w:r>
      <w:r>
        <w:rPr>
          <w:b/>
          <w:bCs/>
          <w:sz w:val="19"/>
          <w:szCs w:val="19"/>
        </w:rPr>
        <w:softHyphen/>
        <w:t xml:space="preserve">vém bohatství, se domáhají celkové přestavby světa po hospodářské stránce. Jak vyložil říšský ministr dr. </w:t>
      </w:r>
      <w:r>
        <w:rPr>
          <w:b/>
          <w:bCs/>
          <w:sz w:val="19"/>
          <w:szCs w:val="19"/>
          <w:lang w:val="en-US" w:eastAsia="en-US" w:bidi="en-US"/>
        </w:rPr>
        <w:t xml:space="preserve">Funk </w:t>
      </w:r>
      <w:r>
        <w:rPr>
          <w:b/>
          <w:bCs/>
          <w:sz w:val="19"/>
          <w:szCs w:val="19"/>
        </w:rPr>
        <w:t xml:space="preserve">ve své řeči, kterou jsme zde před týdnem </w:t>
      </w:r>
      <w:r>
        <w:rPr>
          <w:b/>
          <w:bCs/>
          <w:sz w:val="19"/>
          <w:szCs w:val="19"/>
        </w:rPr>
        <w:t>komentovali, může se tak státi cestou mírové hospodářské spolupráce, Tím by se změnila tvář a životní styl celého světa, speciálně ovšem Evropy a zvláště pak střední Evropy.</w:t>
      </w:r>
    </w:p>
    <w:p w:rsidR="00500724" w:rsidRDefault="00F30FB8">
      <w:pPr>
        <w:pStyle w:val="Zkladntext100"/>
        <w:shd w:val="clear" w:color="auto" w:fill="auto"/>
        <w:tabs>
          <w:tab w:val="left" w:pos="4502"/>
        </w:tabs>
        <w:spacing w:after="220" w:line="233" w:lineRule="auto"/>
        <w:ind w:firstLine="200"/>
        <w:rPr>
          <w:sz w:val="20"/>
          <w:szCs w:val="20"/>
        </w:rPr>
      </w:pPr>
      <w:r>
        <w:rPr>
          <w:b/>
          <w:bCs/>
          <w:sz w:val="19"/>
          <w:szCs w:val="19"/>
        </w:rPr>
        <w:t>Prorokovat, jak se to vše stane, je ovšem dnes naprosto nemožné, nehledě k tomu, ž</w:t>
      </w:r>
      <w:r>
        <w:rPr>
          <w:b/>
          <w:bCs/>
          <w:sz w:val="19"/>
          <w:szCs w:val="19"/>
        </w:rPr>
        <w:t>e nemáme na tento kaleidoskop změn již žádného vlivu. První republika trvala dvacet let, druhá něco přes pět měsíců a třetí — po vyhlášení samo</w:t>
      </w:r>
      <w:r>
        <w:rPr>
          <w:b/>
          <w:bCs/>
          <w:sz w:val="19"/>
          <w:szCs w:val="19"/>
        </w:rPr>
        <w:softHyphen/>
        <w:t>statnosti Slovenska — necelý jeden den. V těchto pro</w:t>
      </w:r>
      <w:r>
        <w:rPr>
          <w:b/>
          <w:bCs/>
          <w:sz w:val="19"/>
          <w:szCs w:val="19"/>
        </w:rPr>
        <w:softHyphen/>
        <w:t>měnách nutno tedy především pečovat o za</w:t>
      </w:r>
      <w:r>
        <w:rPr>
          <w:b/>
          <w:bCs/>
          <w:sz w:val="19"/>
          <w:szCs w:val="19"/>
        </w:rPr>
        <w:softHyphen/>
        <w:t>chování národa, zů</w:t>
      </w:r>
      <w:r>
        <w:rPr>
          <w:b/>
          <w:bCs/>
          <w:sz w:val="19"/>
          <w:szCs w:val="19"/>
        </w:rPr>
        <w:t>stat poctivými, střízlivý, mi a dbát toho, aby politický rozum, kterým se náš národ vždy tak vyznamenával, v no</w:t>
      </w:r>
      <w:r>
        <w:rPr>
          <w:b/>
          <w:bCs/>
          <w:sz w:val="19"/>
          <w:szCs w:val="19"/>
        </w:rPr>
        <w:softHyphen/>
        <w:t xml:space="preserve">vých státoprávních poměrech, jež </w:t>
      </w:r>
      <w:r>
        <w:rPr>
          <w:b/>
          <w:bCs/>
          <w:i/>
          <w:iCs/>
          <w:sz w:val="20"/>
          <w:szCs w:val="20"/>
        </w:rPr>
        <w:t>ze</w:t>
      </w:r>
      <w:r>
        <w:rPr>
          <w:b/>
          <w:bCs/>
          <w:sz w:val="19"/>
          <w:szCs w:val="19"/>
        </w:rPr>
        <w:t xml:space="preserve"> nyní staly definitivním i, řídil se především těmi</w:t>
      </w:r>
      <w:r>
        <w:rPr>
          <w:b/>
          <w:bCs/>
          <w:sz w:val="19"/>
          <w:szCs w:val="19"/>
        </w:rPr>
        <w:softHyphen/>
        <w:t>to základními příkazy opravdového českého vlastenectví.</w:t>
      </w:r>
      <w:r>
        <w:rPr>
          <w:b/>
          <w:bCs/>
          <w:sz w:val="19"/>
          <w:szCs w:val="19"/>
        </w:rPr>
        <w:tab/>
      </w:r>
      <w:r>
        <w:rPr>
          <w:b/>
          <w:bCs/>
          <w:i/>
          <w:iCs/>
          <w:sz w:val="20"/>
          <w:szCs w:val="20"/>
        </w:rPr>
        <w:t>M</w:t>
      </w:r>
      <w:r>
        <w:rPr>
          <w:b/>
          <w:bCs/>
          <w:i/>
          <w:iCs/>
          <w:sz w:val="20"/>
          <w:szCs w:val="20"/>
        </w:rPr>
        <w:t>oll,</w:t>
      </w:r>
    </w:p>
    <w:p w:rsidR="00500724" w:rsidRDefault="00F30FB8">
      <w:pPr>
        <w:pStyle w:val="Zkladntext30"/>
        <w:shd w:val="clear" w:color="auto" w:fill="auto"/>
        <w:spacing w:after="80" w:line="221" w:lineRule="auto"/>
        <w:ind w:firstLine="200"/>
        <w:rPr>
          <w:sz w:val="20"/>
          <w:szCs w:val="20"/>
        </w:rPr>
      </w:pPr>
      <w:r>
        <w:rPr>
          <w:b/>
          <w:bCs/>
          <w:sz w:val="20"/>
          <w:szCs w:val="20"/>
        </w:rPr>
        <w:t>Záchrana existencí, hlavni úkol českého snažení</w:t>
      </w:r>
    </w:p>
    <w:p w:rsidR="00500724" w:rsidRDefault="00F30FB8">
      <w:pPr>
        <w:pStyle w:val="Zkladntext100"/>
        <w:shd w:val="clear" w:color="auto" w:fill="auto"/>
        <w:spacing w:line="233" w:lineRule="auto"/>
        <w:ind w:firstLine="200"/>
        <w:rPr>
          <w:sz w:val="19"/>
          <w:szCs w:val="19"/>
        </w:rPr>
      </w:pPr>
      <w:r>
        <w:rPr>
          <w:b/>
          <w:bCs/>
          <w:sz w:val="19"/>
          <w:szCs w:val="19"/>
        </w:rPr>
        <w:t>Po událostech z minulého měsíce, které nás všechny na chvíli vyšinuly, rozhlížíme se kolem sebe a pozoruje</w:t>
      </w:r>
      <w:r>
        <w:rPr>
          <w:b/>
          <w:bCs/>
          <w:sz w:val="19"/>
          <w:szCs w:val="19"/>
        </w:rPr>
        <w:softHyphen/>
        <w:t xml:space="preserve">me, že typicky český střízlivý realismus opět nabývá vrchu. Tak je to správné a v tom leží také </w:t>
      </w:r>
      <w:r>
        <w:rPr>
          <w:b/>
          <w:bCs/>
          <w:sz w:val="19"/>
          <w:szCs w:val="19"/>
        </w:rPr>
        <w:t>budoucnost našeho národa a nás všech, abychom dovedli i nadále zachovat sl neporušené srdce pro cit a rozum pro práci. Máme teď všichni před sebou dva veliké úkoly, které splývají dohro</w:t>
      </w:r>
      <w:r>
        <w:rPr>
          <w:b/>
          <w:bCs/>
          <w:sz w:val="19"/>
          <w:szCs w:val="19"/>
        </w:rPr>
        <w:softHyphen/>
        <w:t>mady, totiž chránit existenci českého národa a v něm chrá</w:t>
      </w:r>
      <w:r>
        <w:rPr>
          <w:b/>
          <w:bCs/>
          <w:sz w:val="19"/>
          <w:szCs w:val="19"/>
        </w:rPr>
        <w:softHyphen/>
        <w:t>nit existenc</w:t>
      </w:r>
      <w:r>
        <w:rPr>
          <w:b/>
          <w:bCs/>
          <w:sz w:val="19"/>
          <w:szCs w:val="19"/>
        </w:rPr>
        <w:t>e pracujících lidí. Všechno ostatní musí ustou</w:t>
      </w:r>
      <w:r>
        <w:rPr>
          <w:b/>
          <w:bCs/>
          <w:sz w:val="19"/>
          <w:szCs w:val="19"/>
        </w:rPr>
        <w:softHyphen/>
        <w:t>pit do pozadí, a jak je patrné, také ustupuje.</w:t>
      </w:r>
    </w:p>
    <w:p w:rsidR="00500724" w:rsidRDefault="00F30FB8">
      <w:pPr>
        <w:pStyle w:val="Zkladntext100"/>
        <w:shd w:val="clear" w:color="auto" w:fill="auto"/>
        <w:spacing w:line="233" w:lineRule="auto"/>
        <w:rPr>
          <w:sz w:val="19"/>
          <w:szCs w:val="19"/>
        </w:rPr>
      </w:pPr>
      <w:r>
        <w:rPr>
          <w:b/>
          <w:bCs/>
          <w:sz w:val="19"/>
          <w:szCs w:val="19"/>
        </w:rPr>
        <w:t xml:space="preserve">O umístěni poddůstojníků a důstojníků začíná se jednat se státními a veřejnými úřady a institucemi a se zástupci soukromého podnikání. Bude to pochopitelně velmi </w:t>
      </w:r>
      <w:r>
        <w:rPr>
          <w:b/>
          <w:bCs/>
          <w:sz w:val="19"/>
          <w:szCs w:val="19"/>
        </w:rPr>
        <w:t>ne</w:t>
      </w:r>
      <w:r>
        <w:rPr>
          <w:b/>
          <w:bCs/>
          <w:sz w:val="19"/>
          <w:szCs w:val="19"/>
        </w:rPr>
        <w:softHyphen/>
        <w:t>snadné, a musíme počítat s jistým překrvením těchto slu</w:t>
      </w:r>
      <w:r>
        <w:rPr>
          <w:b/>
          <w:bCs/>
          <w:sz w:val="19"/>
          <w:szCs w:val="19"/>
        </w:rPr>
        <w:softHyphen/>
        <w:t>žeb, ale je lépe, když tito mužové budou alespoň takto umístěni hned, než aby oni a jejich rodiny propadlí malo</w:t>
      </w:r>
      <w:r>
        <w:rPr>
          <w:b/>
          <w:bCs/>
          <w:sz w:val="19"/>
          <w:szCs w:val="19"/>
        </w:rPr>
        <w:softHyphen/>
        <w:t>myslnosti a zoufání. To by bylo nebezpečné nejenom jim, ale nám všem, zkrátka situaci</w:t>
      </w:r>
      <w:r>
        <w:rPr>
          <w:b/>
          <w:bCs/>
          <w:sz w:val="19"/>
          <w:szCs w:val="19"/>
        </w:rPr>
        <w:t xml:space="preserve"> celého našeho národa*, Dát jim práci a nové životní úkoly není tedy jen úkol so- ciálně-hospodářský s politickým pozadím, (aby totiž byly zjednány všechny předpoklady pro udržení klidu a pořádku u nás, což je věc ze všeho nejdůležitější, a což je mož</w:t>
      </w:r>
      <w:r>
        <w:rPr>
          <w:b/>
          <w:bCs/>
          <w:sz w:val="19"/>
          <w:szCs w:val="19"/>
        </w:rPr>
        <w:softHyphen/>
        <w:t>né j</w:t>
      </w:r>
      <w:r>
        <w:rPr>
          <w:b/>
          <w:bCs/>
          <w:sz w:val="19"/>
          <w:szCs w:val="19"/>
        </w:rPr>
        <w:t xml:space="preserve">en tehdy, nebude-ii lidí zoufalých), ale je to význačný úkol psychologického rázu. Proto je nutno ho řešit s </w:t>
      </w:r>
      <w:r>
        <w:rPr>
          <w:b/>
          <w:bCs/>
          <w:sz w:val="20"/>
          <w:szCs w:val="20"/>
        </w:rPr>
        <w:t>po</w:t>
      </w:r>
      <w:r>
        <w:rPr>
          <w:b/>
          <w:bCs/>
          <w:sz w:val="20"/>
          <w:szCs w:val="20"/>
        </w:rPr>
        <w:softHyphen/>
      </w:r>
      <w:r>
        <w:rPr>
          <w:b/>
          <w:bCs/>
          <w:sz w:val="19"/>
          <w:szCs w:val="19"/>
        </w:rPr>
        <w:t>rozuměním a se zvláště citlivou rukou.</w:t>
      </w:r>
    </w:p>
    <w:p w:rsidR="00500724" w:rsidRDefault="00F30FB8">
      <w:pPr>
        <w:pStyle w:val="Zkladntext100"/>
        <w:shd w:val="clear" w:color="auto" w:fill="auto"/>
        <w:spacing w:after="80" w:line="233" w:lineRule="auto"/>
        <w:rPr>
          <w:sz w:val="19"/>
          <w:szCs w:val="19"/>
        </w:rPr>
        <w:sectPr w:rsidR="00500724">
          <w:footnotePr>
            <w:numFmt w:val="chicago"/>
            <w:numRestart w:val="eachPage"/>
          </w:footnotePr>
          <w:type w:val="continuous"/>
          <w:pgSz w:w="11909" w:h="16834"/>
          <w:pgMar w:top="855" w:right="821" w:bottom="871" w:left="773" w:header="0" w:footer="3" w:gutter="0"/>
          <w:cols w:num="2" w:space="182"/>
          <w:noEndnote/>
          <w:docGrid w:linePitch="360"/>
        </w:sectPr>
      </w:pPr>
      <w:r>
        <w:rPr>
          <w:b/>
          <w:bCs/>
          <w:sz w:val="19"/>
          <w:szCs w:val="19"/>
        </w:rPr>
        <w:t>Dále máme asi 120.009 nezaměstnaných v oblasti Čech a Moravy. Teď ovšem bud</w:t>
      </w:r>
      <w:r>
        <w:rPr>
          <w:b/>
          <w:bCs/>
          <w:sz w:val="19"/>
          <w:szCs w:val="19"/>
        </w:rPr>
        <w:t>eme míti více možnosti tento problém prozkoumat přímo individuálně, a dá se tu velmi mnoho udělat, protože asi třetina těchto lidí je prostě ne- zaměstnatelná pro nemoc, stáří, ztracené pracovní schop</w:t>
      </w:r>
      <w:r>
        <w:rPr>
          <w:b/>
          <w:bCs/>
          <w:sz w:val="19"/>
          <w:szCs w:val="19"/>
        </w:rPr>
        <w:softHyphen/>
        <w:t>nosti a podobně. Pro ty se musí zřídit zvláštní sociáln</w:t>
      </w:r>
      <w:r>
        <w:rPr>
          <w:b/>
          <w:bCs/>
          <w:sz w:val="19"/>
          <w:szCs w:val="19"/>
        </w:rPr>
        <w:t>í opa</w:t>
      </w:r>
      <w:r>
        <w:rPr>
          <w:b/>
          <w:bCs/>
          <w:sz w:val="19"/>
          <w:szCs w:val="19"/>
        </w:rPr>
        <w:softHyphen/>
        <w:t xml:space="preserve">tření a nemá smyslu je stále a stále registrovat jako </w:t>
      </w:r>
      <w:r>
        <w:rPr>
          <w:b/>
          <w:bCs/>
          <w:sz w:val="20"/>
          <w:szCs w:val="20"/>
        </w:rPr>
        <w:t>ne</w:t>
      </w:r>
      <w:r>
        <w:rPr>
          <w:b/>
          <w:bCs/>
          <w:sz w:val="20"/>
          <w:szCs w:val="20"/>
        </w:rPr>
        <w:softHyphen/>
      </w:r>
      <w:r>
        <w:rPr>
          <w:b/>
          <w:bCs/>
          <w:sz w:val="19"/>
          <w:szCs w:val="19"/>
        </w:rPr>
        <w:t>zaměstnané, kteří se ucházejí o práci. Jde tu o lidi, kteři nemusí bydlit ve městě, nýbrž mohou býti přeřaděni na ves</w:t>
      </w:r>
      <w:r>
        <w:rPr>
          <w:b/>
          <w:bCs/>
          <w:sz w:val="19"/>
          <w:szCs w:val="19"/>
        </w:rPr>
        <w:softHyphen/>
        <w:t xml:space="preserve">nice. Městským lidem se to zdá někdy divné, ale každý, kdo se těmito věcmi </w:t>
      </w:r>
      <w:r>
        <w:rPr>
          <w:b/>
          <w:bCs/>
          <w:sz w:val="19"/>
          <w:szCs w:val="19"/>
        </w:rPr>
        <w:t>zabýval, ví, co na příklad znamená na ves</w:t>
      </w:r>
      <w:r>
        <w:rPr>
          <w:b/>
          <w:bCs/>
          <w:sz w:val="19"/>
          <w:szCs w:val="19"/>
        </w:rPr>
        <w:softHyphen/>
        <w:t xml:space="preserve">nici oněch pouhých 500 K ročně starobní podpory, která byla vyplácena v rámci sociálního pojištění Ústřední </w:t>
      </w:r>
      <w:r>
        <w:rPr>
          <w:b/>
          <w:bCs/>
          <w:sz w:val="20"/>
          <w:szCs w:val="20"/>
        </w:rPr>
        <w:t>so</w:t>
      </w:r>
      <w:r>
        <w:rPr>
          <w:b/>
          <w:bCs/>
          <w:sz w:val="20"/>
          <w:szCs w:val="20"/>
        </w:rPr>
        <w:softHyphen/>
      </w:r>
      <w:r>
        <w:rPr>
          <w:b/>
          <w:bCs/>
          <w:sz w:val="19"/>
          <w:szCs w:val="19"/>
        </w:rPr>
        <w:t>ciální pojišťovnou úhrnnou roční částkou 30 až 40 milionů korun těm osobám, na které pro jejich věk (by</w:t>
      </w:r>
      <w:r>
        <w:rPr>
          <w:b/>
          <w:bCs/>
          <w:sz w:val="19"/>
          <w:szCs w:val="19"/>
        </w:rPr>
        <w:t>li pře</w:t>
      </w:r>
      <w:r>
        <w:rPr>
          <w:b/>
          <w:bCs/>
          <w:sz w:val="19"/>
          <w:szCs w:val="19"/>
        </w:rPr>
        <w:softHyphen/>
        <w:t>stárlí) anebo pro různé jiné důvody se nemohly vztahovat zákony o invalidním a starobním důchodu. Starý člověk, který žije v nějaké chalupě na venkově a representuje pro chalupnika přínos 500 K ročně, má pro něj daleko vyšší</w:t>
      </w:r>
    </w:p>
    <w:p w:rsidR="00500724" w:rsidRDefault="00F30FB8">
      <w:pPr>
        <w:pStyle w:val="Zkladntext100"/>
        <w:shd w:val="clear" w:color="auto" w:fill="auto"/>
        <w:spacing w:line="257" w:lineRule="auto"/>
        <w:ind w:firstLine="0"/>
        <w:rPr>
          <w:sz w:val="19"/>
          <w:szCs w:val="19"/>
        </w:rPr>
      </w:pPr>
      <w:r>
        <w:rPr>
          <w:b/>
          <w:bCs/>
          <w:sz w:val="19"/>
          <w:szCs w:val="19"/>
        </w:rPr>
        <w:t>hodnotu, než tato částka</w:t>
      </w:r>
      <w:r>
        <w:rPr>
          <w:b/>
          <w:bCs/>
          <w:sz w:val="19"/>
          <w:szCs w:val="19"/>
        </w:rPr>
        <w:t>. Ale 1 pro veřejnou správu je to Výhodnější, než kdyby tito namáhavé tovární práce ne</w:t>
      </w:r>
      <w:r>
        <w:rPr>
          <w:b/>
          <w:bCs/>
          <w:sz w:val="19"/>
          <w:szCs w:val="19"/>
        </w:rPr>
        <w:softHyphen/>
        <w:t>schopní lidé bylí shromážďováni ve velkoměstských útul</w:t>
      </w:r>
      <w:r>
        <w:rPr>
          <w:b/>
          <w:bCs/>
          <w:sz w:val="19"/>
          <w:szCs w:val="19"/>
        </w:rPr>
        <w:softHyphen/>
        <w:t>cích, kde přijdou státní sociální péči nesrovnatelně dráže. Nadto ještě bývají nespokojeni, protože pochopitelně v</w:t>
      </w:r>
      <w:r>
        <w:rPr>
          <w:b/>
          <w:bCs/>
          <w:sz w:val="19"/>
          <w:szCs w:val="19"/>
        </w:rPr>
        <w:t xml:space="preserve"> ta</w:t>
      </w:r>
      <w:r>
        <w:rPr>
          <w:b/>
          <w:bCs/>
          <w:sz w:val="19"/>
          <w:szCs w:val="19"/>
        </w:rPr>
        <w:softHyphen/>
        <w:t>kových starobních domovech musí býti jakási polokasár- hlcká kázeň.</w:t>
      </w:r>
    </w:p>
    <w:p w:rsidR="00500724" w:rsidRDefault="00F30FB8">
      <w:pPr>
        <w:pStyle w:val="Zkladntext100"/>
        <w:shd w:val="clear" w:color="auto" w:fill="auto"/>
        <w:spacing w:line="230" w:lineRule="auto"/>
        <w:rPr>
          <w:sz w:val="19"/>
          <w:szCs w:val="19"/>
        </w:rPr>
      </w:pPr>
      <w:r>
        <w:rPr>
          <w:b/>
          <w:bCs/>
          <w:sz w:val="19"/>
          <w:szCs w:val="19"/>
        </w:rPr>
        <w:t xml:space="preserve">Zbude nám proto z nezaměstnaných sotva dvě třetiny celkového úhrnu. Plánů je zde dost, a užijeme-li říšsko- německých </w:t>
      </w:r>
      <w:r>
        <w:rPr>
          <w:b/>
          <w:bCs/>
          <w:sz w:val="19"/>
          <w:szCs w:val="19"/>
          <w:lang w:val="en-US" w:eastAsia="en-US" w:bidi="en-US"/>
        </w:rPr>
        <w:t xml:space="preserve">method </w:t>
      </w:r>
      <w:r>
        <w:rPr>
          <w:b/>
          <w:bCs/>
          <w:sz w:val="19"/>
          <w:szCs w:val="19"/>
        </w:rPr>
        <w:t>financováni prací, jež se osvědčily a jež Ostatně u nás byl</w:t>
      </w:r>
      <w:r>
        <w:rPr>
          <w:b/>
          <w:bCs/>
          <w:sz w:val="19"/>
          <w:szCs w:val="19"/>
        </w:rPr>
        <w:t>y také již některými národohospodáři</w:t>
      </w:r>
    </w:p>
    <w:p w:rsidR="00500724" w:rsidRDefault="00F30FB8">
      <w:pPr>
        <w:pStyle w:val="Zkladntext100"/>
        <w:numPr>
          <w:ilvl w:val="0"/>
          <w:numId w:val="41"/>
        </w:numPr>
        <w:shd w:val="clear" w:color="auto" w:fill="auto"/>
        <w:tabs>
          <w:tab w:val="left" w:pos="246"/>
        </w:tabs>
        <w:spacing w:line="230" w:lineRule="auto"/>
        <w:ind w:firstLine="0"/>
        <w:rPr>
          <w:sz w:val="19"/>
          <w:szCs w:val="19"/>
        </w:rPr>
      </w:pPr>
      <w:r>
        <w:rPr>
          <w:b/>
          <w:bCs/>
          <w:sz w:val="19"/>
          <w:szCs w:val="19"/>
        </w:rPr>
        <w:t>modifikované formě propagovány v minulých letech flr. Josefem Mackem na přiklad), nebude to zvláště ne</w:t>
      </w:r>
      <w:r>
        <w:rPr>
          <w:b/>
          <w:bCs/>
          <w:sz w:val="19"/>
          <w:szCs w:val="19"/>
        </w:rPr>
        <w:softHyphen/>
        <w:t xml:space="preserve">snadný problém zařadit těchto 70 až 80.000 nezaměstnaných do zaměstnání. Troufáme si tvrdit, že tato nezaměstnanost </w:t>
      </w:r>
      <w:r>
        <w:rPr>
          <w:b/>
          <w:bCs/>
          <w:sz w:val="19"/>
          <w:szCs w:val="19"/>
        </w:rPr>
        <w:t>zcela zmizí.</w:t>
      </w:r>
    </w:p>
    <w:p w:rsidR="00500724" w:rsidRDefault="00F30FB8">
      <w:pPr>
        <w:pStyle w:val="Zkladntext100"/>
        <w:shd w:val="clear" w:color="auto" w:fill="auto"/>
        <w:spacing w:after="80" w:line="182" w:lineRule="auto"/>
        <w:ind w:firstLine="0"/>
        <w:jc w:val="center"/>
        <w:rPr>
          <w:sz w:val="19"/>
          <w:szCs w:val="19"/>
        </w:rPr>
      </w:pPr>
      <w:r>
        <w:rPr>
          <w:b/>
          <w:bCs/>
          <w:sz w:val="19"/>
          <w:szCs w:val="19"/>
        </w:rPr>
        <w:t>•</w:t>
      </w:r>
    </w:p>
    <w:p w:rsidR="00500724" w:rsidRDefault="00F30FB8">
      <w:pPr>
        <w:pStyle w:val="Zkladntext100"/>
        <w:shd w:val="clear" w:color="auto" w:fill="auto"/>
        <w:spacing w:line="230" w:lineRule="auto"/>
        <w:rPr>
          <w:sz w:val="19"/>
          <w:szCs w:val="19"/>
        </w:rPr>
      </w:pPr>
      <w:r>
        <w:rPr>
          <w:b/>
          <w:bCs/>
          <w:sz w:val="19"/>
          <w:szCs w:val="19"/>
        </w:rPr>
        <w:t>Pomnichovské události vytvořily kádr asi 150.000 čes</w:t>
      </w:r>
      <w:r>
        <w:rPr>
          <w:b/>
          <w:bCs/>
          <w:sz w:val="19"/>
          <w:szCs w:val="19"/>
        </w:rPr>
        <w:softHyphen/>
        <w:t>kých, slovenských, rusínských a částečně 1 německých a ži</w:t>
      </w:r>
      <w:r>
        <w:rPr>
          <w:b/>
          <w:bCs/>
          <w:sz w:val="19"/>
          <w:szCs w:val="19"/>
        </w:rPr>
        <w:softHyphen/>
        <w:t>dovských uprchlíků. Tento kádr se nyní rozdělil mezi obla</w:t>
      </w:r>
      <w:r>
        <w:rPr>
          <w:b/>
          <w:bCs/>
          <w:sz w:val="19"/>
          <w:szCs w:val="19"/>
        </w:rPr>
        <w:softHyphen/>
        <w:t>stí Protektorátu, Slovenska a Maďarska a také se část vrá</w:t>
      </w:r>
      <w:r>
        <w:rPr>
          <w:b/>
          <w:bCs/>
          <w:sz w:val="19"/>
          <w:szCs w:val="19"/>
        </w:rPr>
        <w:softHyphen/>
        <w:t>tila i do vlas</w:t>
      </w:r>
      <w:r>
        <w:rPr>
          <w:b/>
          <w:bCs/>
          <w:sz w:val="19"/>
          <w:szCs w:val="19"/>
        </w:rPr>
        <w:t xml:space="preserve">tního německého území. Z předběžných dat je patrno, že asi 25.000 uprchlíků je ještě podporováno, a ode- čteme-li ženy a děti, jde o umístění asi 12 až 15.000 lidi. Z nich převážná většina jsou dělníci, asi po jednom tisíci mezi nimi pak úředníci a bývalí </w:t>
      </w:r>
      <w:r>
        <w:rPr>
          <w:b/>
          <w:bCs/>
          <w:sz w:val="19"/>
          <w:szCs w:val="19"/>
        </w:rPr>
        <w:t>samostatní zemědělci. Vzhledem k nedostatku sil na venkově bude nutno zde asi Se rozhodnout k nucenému zásahu a umístit zemědělce</w:t>
      </w:r>
    </w:p>
    <w:p w:rsidR="00500724" w:rsidRDefault="00F30FB8">
      <w:pPr>
        <w:pStyle w:val="Zkladntext100"/>
        <w:numPr>
          <w:ilvl w:val="0"/>
          <w:numId w:val="41"/>
        </w:numPr>
        <w:shd w:val="clear" w:color="auto" w:fill="auto"/>
        <w:tabs>
          <w:tab w:val="left" w:pos="246"/>
        </w:tabs>
        <w:spacing w:line="230" w:lineRule="auto"/>
        <w:ind w:firstLine="0"/>
        <w:rPr>
          <w:sz w:val="19"/>
          <w:szCs w:val="19"/>
        </w:rPr>
      </w:pPr>
      <w:r>
        <w:rPr>
          <w:b/>
          <w:bCs/>
          <w:sz w:val="19"/>
          <w:szCs w:val="19"/>
        </w:rPr>
        <w:t>zemědělské práci; polníd možná přeškolit na ni i část děl</w:t>
      </w:r>
      <w:r>
        <w:rPr>
          <w:b/>
          <w:bCs/>
          <w:sz w:val="19"/>
          <w:szCs w:val="19"/>
        </w:rPr>
        <w:softHyphen/>
        <w:t>nictva, protože pochopitelně nyní nebudeme s to zaměstná</w:t>
      </w:r>
      <w:r>
        <w:rPr>
          <w:b/>
          <w:bCs/>
          <w:sz w:val="19"/>
          <w:szCs w:val="19"/>
        </w:rPr>
        <w:softHyphen/>
        <w:t>vat na sezó</w:t>
      </w:r>
      <w:r>
        <w:rPr>
          <w:b/>
          <w:bCs/>
          <w:sz w:val="19"/>
          <w:szCs w:val="19"/>
        </w:rPr>
        <w:t>nní zemědělské práce dělnictvo ze Slovenska A bývalé Podkarpatské Kuši. Nebude to lehký problém.</w:t>
      </w:r>
    </w:p>
    <w:p w:rsidR="00500724" w:rsidRDefault="00F30FB8">
      <w:pPr>
        <w:pStyle w:val="Zkladntext100"/>
        <w:shd w:val="clear" w:color="auto" w:fill="auto"/>
        <w:spacing w:after="40" w:line="228" w:lineRule="auto"/>
        <w:rPr>
          <w:sz w:val="19"/>
          <w:szCs w:val="19"/>
        </w:rPr>
      </w:pPr>
      <w:r>
        <w:rPr>
          <w:b/>
          <w:bCs/>
          <w:sz w:val="19"/>
          <w:szCs w:val="19"/>
        </w:rPr>
        <w:t>Pro úředníky, řemeslníky a živnostníky bude nutno hle</w:t>
      </w:r>
      <w:r>
        <w:rPr>
          <w:b/>
          <w:bCs/>
          <w:sz w:val="19"/>
          <w:szCs w:val="19"/>
        </w:rPr>
        <w:softHyphen/>
        <w:t>dat nová sídliště a patrně dohodou, případně jistým tlakem, dosáhnout toho, aby řemeslníci, živnostníci a</w:t>
      </w:r>
      <w:r>
        <w:rPr>
          <w:b/>
          <w:bCs/>
          <w:sz w:val="19"/>
          <w:szCs w:val="19"/>
        </w:rPr>
        <w:t xml:space="preserve"> obchodní za</w:t>
      </w:r>
      <w:r>
        <w:rPr>
          <w:b/>
          <w:bCs/>
          <w:sz w:val="19"/>
          <w:szCs w:val="19"/>
        </w:rPr>
        <w:softHyphen/>
        <w:t>městnanci vtlačili se mezi ty, kteří v území Protektorátu mají své drobné podniky. Sloučením družstev odpadne ně</w:t>
      </w:r>
      <w:r>
        <w:rPr>
          <w:b/>
          <w:bCs/>
          <w:sz w:val="19"/>
          <w:szCs w:val="19"/>
        </w:rPr>
        <w:softHyphen/>
        <w:t>kolik set prodejen v Čechách i na Moravě a ty je možno přidělit nezaměstnaným obchodníkům, živnostníkům, men</w:t>
      </w:r>
      <w:r>
        <w:rPr>
          <w:b/>
          <w:bCs/>
          <w:sz w:val="19"/>
          <w:szCs w:val="19"/>
        </w:rPr>
        <w:softHyphen/>
        <w:t>ším úředníkům a býval</w:t>
      </w:r>
      <w:r>
        <w:rPr>
          <w:b/>
          <w:bCs/>
          <w:sz w:val="19"/>
          <w:szCs w:val="19"/>
        </w:rPr>
        <w:t>ým obchodním zaměstnancům. Ne</w:t>
      </w:r>
      <w:r>
        <w:rPr>
          <w:b/>
          <w:bCs/>
          <w:sz w:val="19"/>
          <w:szCs w:val="19"/>
        </w:rPr>
        <w:softHyphen/>
        <w:t>bude to skvělá existence, ale budou moci žít Ostatní se mu</w:t>
      </w:r>
      <w:r>
        <w:rPr>
          <w:b/>
          <w:bCs/>
          <w:sz w:val="19"/>
          <w:szCs w:val="19"/>
        </w:rPr>
        <w:softHyphen/>
        <w:t>sí vtlačit do řemesel a živnosti jako pomocnici. Zvláštní problém zde bude tvořit tak zvaná inteligence, kterou asi ovšem sotva bude možno zaměstnat výlučně u úřednick</w:t>
      </w:r>
      <w:r>
        <w:rPr>
          <w:b/>
          <w:bCs/>
          <w:sz w:val="19"/>
          <w:szCs w:val="19"/>
        </w:rPr>
        <w:t>ých prací. Jakmile se však upraví otázka majetku těchto lidí, který zůstal mimo území Protektorátu, bude snad i to mož</w:t>
      </w:r>
      <w:r>
        <w:rPr>
          <w:b/>
          <w:bCs/>
          <w:sz w:val="19"/>
          <w:szCs w:val="19"/>
        </w:rPr>
        <w:softHyphen/>
      </w:r>
      <w:r>
        <w:rPr>
          <w:b/>
          <w:bCs/>
          <w:sz w:val="20"/>
          <w:szCs w:val="20"/>
        </w:rPr>
        <w:t xml:space="preserve">no </w:t>
      </w:r>
      <w:r>
        <w:rPr>
          <w:b/>
          <w:bCs/>
          <w:sz w:val="19"/>
          <w:szCs w:val="19"/>
        </w:rPr>
        <w:t xml:space="preserve">řešit ústředním zásahem. V této souvislosti by snad bylo žádoucí vytvořit konferenční sbor, složený jak </w:t>
      </w:r>
      <w:r>
        <w:rPr>
          <w:b/>
          <w:bCs/>
          <w:sz w:val="20"/>
          <w:szCs w:val="20"/>
        </w:rPr>
        <w:t xml:space="preserve">z </w:t>
      </w:r>
      <w:r>
        <w:rPr>
          <w:b/>
          <w:bCs/>
          <w:sz w:val="19"/>
          <w:szCs w:val="19"/>
        </w:rPr>
        <w:t>teoretiků, tak z praktiků, k</w:t>
      </w:r>
      <w:r>
        <w:rPr>
          <w:b/>
          <w:bCs/>
          <w:sz w:val="19"/>
          <w:szCs w:val="19"/>
        </w:rPr>
        <w:t>terý by se těmito problémy za</w:t>
      </w:r>
      <w:r>
        <w:rPr>
          <w:b/>
          <w:bCs/>
          <w:sz w:val="19"/>
          <w:szCs w:val="19"/>
        </w:rPr>
        <w:softHyphen/>
        <w:t>býval a přijímal také podněty zvenčí. Státní hospodářská rada, která, nemýlime-li se, nyni zanikla tak náhle, jak se zrodila, by v menším rozsahu měla zase existenční opráv</w:t>
      </w:r>
      <w:r>
        <w:rPr>
          <w:b/>
          <w:bCs/>
          <w:sz w:val="19"/>
          <w:szCs w:val="19"/>
        </w:rPr>
        <w:softHyphen/>
        <w:t>něni.</w:t>
      </w:r>
    </w:p>
    <w:p w:rsidR="00500724" w:rsidRDefault="00F30FB8">
      <w:pPr>
        <w:pStyle w:val="Zkladntext100"/>
        <w:shd w:val="clear" w:color="auto" w:fill="auto"/>
        <w:spacing w:line="228" w:lineRule="auto"/>
        <w:rPr>
          <w:sz w:val="19"/>
          <w:szCs w:val="19"/>
        </w:rPr>
      </w:pPr>
      <w:r>
        <w:rPr>
          <w:b/>
          <w:bCs/>
          <w:sz w:val="19"/>
          <w:szCs w:val="19"/>
        </w:rPr>
        <w:t xml:space="preserve">To všechno budou věci složité, ale musíme se do nich pustit, protože nejpřednějším naším úkolem nyní </w:t>
      </w:r>
      <w:r>
        <w:rPr>
          <w:b/>
          <w:bCs/>
          <w:sz w:val="19"/>
          <w:szCs w:val="19"/>
          <w:lang w:val="en-US" w:eastAsia="en-US" w:bidi="en-US"/>
        </w:rPr>
        <w:t xml:space="preserve">must </w:t>
      </w:r>
      <w:r>
        <w:rPr>
          <w:b/>
          <w:bCs/>
          <w:sz w:val="19"/>
          <w:szCs w:val="19"/>
        </w:rPr>
        <w:t>býti práce pro záchranu lidských existenci. To je nad všechno Ostatní. I když to bude na nějakou dobu znamenat obecný pokles životní úrovně, musíme do</w:t>
      </w:r>
      <w:r>
        <w:rPr>
          <w:b/>
          <w:bCs/>
          <w:sz w:val="19"/>
          <w:szCs w:val="19"/>
        </w:rPr>
        <w:t xml:space="preserve"> hospodářského života našeho národa zařadit všechny nezaměstnané, nebof je to nejenom nutné pro záchranu národa, ale také pro zabezpe</w:t>
      </w:r>
      <w:r>
        <w:rPr>
          <w:b/>
          <w:bCs/>
          <w:sz w:val="19"/>
          <w:szCs w:val="19"/>
        </w:rPr>
        <w:softHyphen/>
        <w:t>čení klidu v něm a pro přípravu klidnější a lepší budouc</w:t>
      </w:r>
      <w:r>
        <w:rPr>
          <w:b/>
          <w:bCs/>
          <w:sz w:val="19"/>
          <w:szCs w:val="19"/>
        </w:rPr>
        <w:softHyphen/>
        <w:t>nosti.</w:t>
      </w:r>
    </w:p>
    <w:p w:rsidR="00500724" w:rsidRDefault="00F30FB8">
      <w:pPr>
        <w:pStyle w:val="Zkladntext100"/>
        <w:shd w:val="clear" w:color="auto" w:fill="auto"/>
        <w:spacing w:line="228" w:lineRule="auto"/>
        <w:rPr>
          <w:sz w:val="19"/>
          <w:szCs w:val="19"/>
        </w:rPr>
      </w:pPr>
      <w:r>
        <w:rPr>
          <w:b/>
          <w:bCs/>
          <w:sz w:val="19"/>
          <w:szCs w:val="19"/>
        </w:rPr>
        <w:t>Už jsou tu výstrahy: V posledním čtvrtletí minulého ro</w:t>
      </w:r>
      <w:r>
        <w:rPr>
          <w:b/>
          <w:bCs/>
          <w:sz w:val="19"/>
          <w:szCs w:val="19"/>
        </w:rPr>
        <w:softHyphen/>
        <w:t xml:space="preserve">ku </w:t>
      </w:r>
      <w:r>
        <w:rPr>
          <w:b/>
          <w:bCs/>
          <w:sz w:val="19"/>
          <w:szCs w:val="19"/>
        </w:rPr>
        <w:t>klesla osobní doprava na železnicích u nás o 40 proč., ná</w:t>
      </w:r>
      <w:r>
        <w:rPr>
          <w:b/>
          <w:bCs/>
          <w:sz w:val="19"/>
          <w:szCs w:val="19"/>
        </w:rPr>
        <w:softHyphen/>
        <w:t>kladová doprava o 50 proč. a doprava rozpočtená na tunové kilometry o 60 proč. Doprava uhlí dokonce klesla o 70 proč.</w:t>
      </w:r>
    </w:p>
    <w:p w:rsidR="00500724" w:rsidRDefault="00F30FB8">
      <w:pPr>
        <w:pStyle w:val="Zkladntext100"/>
        <w:shd w:val="clear" w:color="auto" w:fill="auto"/>
        <w:tabs>
          <w:tab w:val="left" w:pos="4646"/>
        </w:tabs>
        <w:spacing w:after="140" w:line="228" w:lineRule="auto"/>
        <w:ind w:firstLine="0"/>
        <w:rPr>
          <w:sz w:val="19"/>
          <w:szCs w:val="19"/>
        </w:rPr>
      </w:pPr>
      <w:r>
        <w:rPr>
          <w:b/>
          <w:bCs/>
          <w:sz w:val="19"/>
          <w:szCs w:val="19"/>
        </w:rPr>
        <w:t>To je tak vážný ukazovatel, že nepřipouští příliš mnoho de</w:t>
      </w:r>
      <w:r>
        <w:rPr>
          <w:b/>
          <w:bCs/>
          <w:sz w:val="19"/>
          <w:szCs w:val="19"/>
        </w:rPr>
        <w:softHyphen/>
        <w:t>bat a nařizuje, aby s</w:t>
      </w:r>
      <w:r>
        <w:rPr>
          <w:b/>
          <w:bCs/>
          <w:sz w:val="19"/>
          <w:szCs w:val="19"/>
        </w:rPr>
        <w:t>e hned na tomto úkolu začalo obecně pracovat. »Kdo chvili stál, již stoji opodále — napsal Jan Neruda.</w:t>
      </w:r>
      <w:r>
        <w:rPr>
          <w:b/>
          <w:bCs/>
          <w:sz w:val="19"/>
          <w:szCs w:val="19"/>
        </w:rPr>
        <w:tab/>
        <w:t>C/is.</w:t>
      </w:r>
    </w:p>
    <w:p w:rsidR="00500724" w:rsidRDefault="00F30FB8">
      <w:pPr>
        <w:pStyle w:val="Zkladntext30"/>
        <w:shd w:val="clear" w:color="auto" w:fill="auto"/>
        <w:spacing w:after="80"/>
        <w:ind w:firstLine="0"/>
        <w:jc w:val="center"/>
        <w:rPr>
          <w:sz w:val="20"/>
          <w:szCs w:val="20"/>
        </w:rPr>
      </w:pPr>
      <w:r>
        <w:rPr>
          <w:b/>
          <w:bCs/>
          <w:sz w:val="20"/>
          <w:szCs w:val="20"/>
        </w:rPr>
        <w:t>Význam Albánie</w:t>
      </w:r>
    </w:p>
    <w:p w:rsidR="00500724" w:rsidRDefault="00F30FB8">
      <w:pPr>
        <w:pStyle w:val="Zkladntext100"/>
        <w:shd w:val="clear" w:color="auto" w:fill="auto"/>
        <w:spacing w:line="230" w:lineRule="auto"/>
        <w:ind w:firstLine="320"/>
        <w:rPr>
          <w:sz w:val="19"/>
          <w:szCs w:val="19"/>
        </w:rPr>
      </w:pPr>
      <w:r>
        <w:rPr>
          <w:b/>
          <w:bCs/>
          <w:sz w:val="19"/>
          <w:szCs w:val="19"/>
        </w:rPr>
        <w:t>Mezi Řeckem a Jugoslávii, právě proti »patě« italského poloostrova ve vzdálenosti pouhých osmdesáti kilometrů, leží Albánie, která j</w:t>
      </w:r>
      <w:r>
        <w:rPr>
          <w:b/>
          <w:bCs/>
          <w:sz w:val="19"/>
          <w:szCs w:val="19"/>
        </w:rPr>
        <w:t>ako svobodný stát vznikla r. 1912 po balkánských válkách. Měří 26.000 čtverečných kilometrů a má asi milion obyvatel, z nichž třetina je složena z Řeků, Turků, Italů, různých drobnějších slovanských kmenů a menších obchodnických osad, v nichž jsou zastoupe</w:t>
      </w:r>
      <w:r>
        <w:rPr>
          <w:b/>
          <w:bCs/>
          <w:sz w:val="19"/>
          <w:szCs w:val="19"/>
        </w:rPr>
        <w:t>ny nej</w:t>
      </w:r>
      <w:r>
        <w:rPr>
          <w:b/>
          <w:bCs/>
          <w:sz w:val="19"/>
          <w:szCs w:val="19"/>
        </w:rPr>
        <w:softHyphen/>
        <w:t>různější národy. Po stránce hospodářské je to země velmi chudá, která produkuje olivový olej, tabák, kožišiny, kůže, kukuřici, rašelinu, trochu dříví a minerálů (mezi nimiž za</w:t>
      </w:r>
      <w:r>
        <w:rPr>
          <w:b/>
          <w:bCs/>
          <w:sz w:val="19"/>
          <w:szCs w:val="19"/>
        </w:rPr>
        <w:softHyphen/>
        <w:t>číná vynikat petrolej) a pěstuje dobytek. To vše v míře velmi skromné, př</w:t>
      </w:r>
      <w:r>
        <w:rPr>
          <w:b/>
          <w:bCs/>
          <w:sz w:val="19"/>
          <w:szCs w:val="19"/>
        </w:rPr>
        <w:t>i velmi nízké životni úrovni albánského lidu. Převážná většina obyvatelstva je křesťanského nábo</w:t>
      </w:r>
      <w:r>
        <w:rPr>
          <w:b/>
          <w:bCs/>
          <w:sz w:val="19"/>
          <w:szCs w:val="19"/>
        </w:rPr>
        <w:softHyphen/>
        <w:t>ženského vyznání východního ritu, malý zlomek je mohame- dánského náboženství. Dopravních cest téměř není; bylo sice vybudováno několik silnic vojenského rázu.</w:t>
      </w:r>
      <w:r>
        <w:rPr>
          <w:b/>
          <w:bCs/>
          <w:sz w:val="19"/>
          <w:szCs w:val="19"/>
        </w:rPr>
        <w:t xml:space="preserve"> ale hlavní doprava je obstarávána potahy a pobřežní plavbou, rych</w:t>
      </w:r>
      <w:r>
        <w:rPr>
          <w:b/>
          <w:bCs/>
          <w:sz w:val="19"/>
          <w:szCs w:val="19"/>
        </w:rPr>
        <w:softHyphen/>
        <w:t>lejší spojení jedinou leteckou linkou, která byla vybudo</w:t>
      </w:r>
      <w:r>
        <w:rPr>
          <w:b/>
          <w:bCs/>
          <w:sz w:val="19"/>
          <w:szCs w:val="19"/>
        </w:rPr>
        <w:softHyphen/>
        <w:t>vána Italy. Hornatá, kamenitá země, rozervaná kaňony, propastmi a skalami, proházená Samými kopci i v niž</w:t>
      </w:r>
      <w:r>
        <w:rPr>
          <w:b/>
          <w:bCs/>
          <w:sz w:val="19"/>
          <w:szCs w:val="19"/>
        </w:rPr>
        <w:softHyphen/>
        <w:t>ších polohách přímořských,</w:t>
      </w:r>
      <w:r>
        <w:rPr>
          <w:b/>
          <w:bCs/>
          <w:sz w:val="19"/>
          <w:szCs w:val="19"/>
        </w:rPr>
        <w:t xml:space="preserve"> s rašelinitými a bažinatými lu- kami, představuje Albánie zemi s vážnou scenerií, která tísnivé působí na každého cizince. Právě tak vážný a uzavře</w:t>
      </w:r>
      <w:r>
        <w:rPr>
          <w:b/>
          <w:bCs/>
          <w:sz w:val="19"/>
          <w:szCs w:val="19"/>
        </w:rPr>
        <w:softHyphen/>
        <w:t>ný je i její lid, který se nepodařilo ani Turkům opanovat.</w:t>
      </w:r>
    </w:p>
    <w:p w:rsidR="00500724" w:rsidRDefault="00F30FB8">
      <w:pPr>
        <w:pStyle w:val="Zkladntext100"/>
        <w:shd w:val="clear" w:color="auto" w:fill="auto"/>
        <w:tabs>
          <w:tab w:val="left" w:pos="4646"/>
        </w:tabs>
        <w:spacing w:after="400" w:line="230" w:lineRule="auto"/>
        <w:ind w:firstLine="200"/>
        <w:rPr>
          <w:sz w:val="19"/>
          <w:szCs w:val="19"/>
        </w:rPr>
      </w:pPr>
      <w:r>
        <w:rPr>
          <w:b/>
          <w:bCs/>
          <w:sz w:val="19"/>
          <w:szCs w:val="19"/>
        </w:rPr>
        <w:t>Rozumí se, že hlavní význam Albánie je strategic</w:t>
      </w:r>
      <w:r>
        <w:rPr>
          <w:b/>
          <w:bCs/>
          <w:sz w:val="19"/>
          <w:szCs w:val="19"/>
        </w:rPr>
        <w:t>ký. Její p.loha proť ostrovu Saseno, italskému Gibraltaru, umož</w:t>
      </w:r>
      <w:r>
        <w:rPr>
          <w:b/>
          <w:bCs/>
          <w:sz w:val="19"/>
          <w:szCs w:val="19"/>
        </w:rPr>
        <w:softHyphen/>
        <w:t>ňuje, aby jugoslávské loďstvo bylo »zazátkováno« v sever</w:t>
      </w:r>
      <w:r>
        <w:rPr>
          <w:b/>
          <w:bCs/>
          <w:sz w:val="19"/>
          <w:szCs w:val="19"/>
        </w:rPr>
        <w:softHyphen/>
        <w:t>ním Jadranu a aby žádné jiné loďstvo nemohlo mezi Albá</w:t>
      </w:r>
      <w:r>
        <w:rPr>
          <w:b/>
          <w:bCs/>
          <w:sz w:val="19"/>
          <w:szCs w:val="19"/>
        </w:rPr>
        <w:softHyphen/>
        <w:t>nií a Itálií na sever proniknout, jsou-li oba břehy v jedněch rukou. Itálie obsa</w:t>
      </w:r>
      <w:r>
        <w:rPr>
          <w:b/>
          <w:bCs/>
          <w:sz w:val="19"/>
          <w:szCs w:val="19"/>
        </w:rPr>
        <w:t>dila nyní Albánii na základě smlouvy z r. 1926, v níž se albánský král Zogu uvolil připustit takové opatření v případě potřeby pro Itálii, anebo v případě nepo</w:t>
      </w:r>
      <w:r>
        <w:rPr>
          <w:b/>
          <w:bCs/>
          <w:sz w:val="19"/>
          <w:szCs w:val="19"/>
        </w:rPr>
        <w:softHyphen/>
        <w:t xml:space="preserve">řádků v zemi. Tiranský pakt, na základě jehož se to stalo, měl ještě hospodářské dovětky, podle </w:t>
      </w:r>
      <w:r>
        <w:rPr>
          <w:b/>
          <w:bCs/>
          <w:sz w:val="19"/>
          <w:szCs w:val="19"/>
        </w:rPr>
        <w:t xml:space="preserve">nichž Itálie budovala v zemi letiště, mosty, opevnění a silnice, zejména na sever. </w:t>
      </w:r>
      <w:r>
        <w:rPr>
          <w:b/>
          <w:bCs/>
          <w:sz w:val="19"/>
          <w:szCs w:val="19"/>
          <w:u w:val="single"/>
        </w:rPr>
        <w:t>ni h</w:t>
      </w:r>
      <w:r>
        <w:rPr>
          <w:b/>
          <w:bCs/>
          <w:sz w:val="19"/>
          <w:szCs w:val="19"/>
        </w:rPr>
        <w:t>ranici. Dráč byla vybudována v moderní přístav, na první pohled nesmírně přesahující obchodní možnosti i bo</w:t>
      </w:r>
      <w:r>
        <w:rPr>
          <w:b/>
          <w:bCs/>
          <w:sz w:val="19"/>
          <w:szCs w:val="19"/>
        </w:rPr>
        <w:softHyphen/>
        <w:t>hatství Albánie. B. 1931 král Zogu již nechtěl obnoviti smlou</w:t>
      </w:r>
      <w:r>
        <w:rPr>
          <w:b/>
          <w:bCs/>
          <w:sz w:val="19"/>
          <w:szCs w:val="19"/>
        </w:rPr>
        <w:t>vu s Itálií a povolal do země britské policejní instruk</w:t>
      </w:r>
      <w:r>
        <w:rPr>
          <w:b/>
          <w:bCs/>
          <w:sz w:val="19"/>
          <w:szCs w:val="19"/>
        </w:rPr>
        <w:softHyphen/>
        <w:t>tory. Na znamení protestu odvolala proto r. 1932 šéfa vo</w:t>
      </w:r>
      <w:r>
        <w:rPr>
          <w:b/>
          <w:bCs/>
          <w:sz w:val="19"/>
          <w:szCs w:val="19"/>
        </w:rPr>
        <w:softHyphen/>
        <w:t>jenské italské misse z Albánie. Těsné italsko-albánské sty</w:t>
      </w:r>
      <w:r>
        <w:rPr>
          <w:b/>
          <w:bCs/>
          <w:sz w:val="19"/>
          <w:szCs w:val="19"/>
        </w:rPr>
        <w:softHyphen/>
        <w:t>ky, snahy albánského krále je uvolnit a současná meziná</w:t>
      </w:r>
      <w:r>
        <w:rPr>
          <w:b/>
          <w:bCs/>
          <w:sz w:val="19"/>
          <w:szCs w:val="19"/>
        </w:rPr>
        <w:softHyphen/>
        <w:t>rodni situace nezbytně vedla</w:t>
      </w:r>
      <w:r>
        <w:rPr>
          <w:b/>
          <w:bCs/>
          <w:sz w:val="19"/>
          <w:szCs w:val="19"/>
        </w:rPr>
        <w:t xml:space="preserve"> k tomuto kroku.</w:t>
      </w:r>
      <w:r>
        <w:rPr>
          <w:b/>
          <w:bCs/>
          <w:sz w:val="19"/>
          <w:szCs w:val="19"/>
        </w:rPr>
        <w:tab/>
        <w:t>Cis.-</w:t>
      </w:r>
    </w:p>
    <w:p w:rsidR="00500724" w:rsidRDefault="00F30FB8">
      <w:pPr>
        <w:pStyle w:val="Jin0"/>
        <w:shd w:val="clear" w:color="auto" w:fill="auto"/>
        <w:spacing w:after="160"/>
        <w:ind w:firstLine="0"/>
        <w:jc w:val="left"/>
        <w:rPr>
          <w:sz w:val="46"/>
          <w:szCs w:val="46"/>
        </w:rPr>
      </w:pPr>
      <w:r>
        <w:rPr>
          <w:b/>
          <w:bCs/>
          <w:sz w:val="46"/>
          <w:szCs w:val="46"/>
          <w:u w:val="single"/>
        </w:rPr>
        <w:t>otázky a odpovědi</w:t>
      </w:r>
    </w:p>
    <w:p w:rsidR="00500724" w:rsidRDefault="00F30FB8">
      <w:pPr>
        <w:pStyle w:val="Nadpis100"/>
        <w:shd w:val="clear" w:color="auto" w:fill="auto"/>
        <w:spacing w:after="80" w:line="240" w:lineRule="auto"/>
        <w:ind w:left="200"/>
        <w:jc w:val="left"/>
      </w:pPr>
      <w:bookmarkStart w:id="362" w:name="bookmark361"/>
      <w:r>
        <w:t>Co Němci očekávají od Čechů</w:t>
      </w:r>
      <w:bookmarkEnd w:id="362"/>
    </w:p>
    <w:p w:rsidR="00500724" w:rsidRDefault="00F30FB8">
      <w:pPr>
        <w:pStyle w:val="Zkladntext100"/>
        <w:shd w:val="clear" w:color="auto" w:fill="auto"/>
        <w:spacing w:after="80" w:line="240" w:lineRule="auto"/>
        <w:ind w:firstLine="0"/>
        <w:jc w:val="center"/>
        <w:rPr>
          <w:sz w:val="19"/>
          <w:szCs w:val="19"/>
        </w:rPr>
      </w:pPr>
      <w:r>
        <w:rPr>
          <w:b/>
          <w:bCs/>
          <w:sz w:val="19"/>
          <w:szCs w:val="19"/>
        </w:rPr>
        <w:t>i.</w:t>
      </w:r>
    </w:p>
    <w:p w:rsidR="00500724" w:rsidRDefault="00F30FB8">
      <w:pPr>
        <w:pStyle w:val="Zkladntext40"/>
        <w:shd w:val="clear" w:color="auto" w:fill="auto"/>
        <w:spacing w:after="100" w:line="338" w:lineRule="auto"/>
        <w:ind w:firstLine="200"/>
        <w:rPr>
          <w:sz w:val="26"/>
          <w:szCs w:val="26"/>
        </w:rPr>
        <w:sectPr w:rsidR="00500724">
          <w:footnotePr>
            <w:numFmt w:val="chicago"/>
            <w:numRestart w:val="eachPage"/>
          </w:footnotePr>
          <w:pgSz w:w="11909" w:h="16834"/>
          <w:pgMar w:top="1568" w:right="907" w:bottom="651" w:left="696" w:header="0" w:footer="3" w:gutter="0"/>
          <w:cols w:num="2" w:space="110"/>
          <w:noEndnote/>
          <w:docGrid w:linePitch="360"/>
        </w:sectPr>
      </w:pPr>
      <w:r>
        <w:rPr>
          <w:b/>
          <w:bCs/>
          <w:sz w:val="14"/>
          <w:szCs w:val="14"/>
        </w:rPr>
        <w:t>Češi nám nyní velmi často kladou otázku, co vlastně od nich chceme. Už pouhá okolnost, že se nás táží a že nás jejich otázky překvapují, dokazuje, jak jsme se sobě odcizili a jak obtížný je úkol, před kterým — i my Němci i vy Češi — stojíme: Poctivě se dor</w:t>
      </w:r>
      <w:r>
        <w:rPr>
          <w:b/>
          <w:bCs/>
          <w:sz w:val="14"/>
          <w:szCs w:val="14"/>
        </w:rPr>
        <w:t xml:space="preserve">ozuměti a především pochopiti v jakém duševním rozpoložení Čech tyto dny prožívá. Už v říjnu a v listopadu jsem často slyšel otázku, co vlastně ještě teď po Češích </w:t>
      </w:r>
      <w:r>
        <w:rPr>
          <w:rFonts w:ascii="Arial" w:eastAsia="Arial" w:hAnsi="Arial" w:cs="Arial"/>
          <w:b/>
          <w:bCs/>
          <w:i/>
          <w:iCs/>
          <w:sz w:val="26"/>
          <w:szCs w:val="26"/>
        </w:rPr>
        <w:t>221</w:t>
      </w:r>
    </w:p>
    <w:p w:rsidR="00500724" w:rsidRDefault="00500724">
      <w:pPr>
        <w:spacing w:line="36" w:lineRule="exact"/>
        <w:rPr>
          <w:sz w:val="3"/>
          <w:szCs w:val="3"/>
        </w:rPr>
      </w:pPr>
    </w:p>
    <w:p w:rsidR="00500724" w:rsidRDefault="00500724">
      <w:pPr>
        <w:spacing w:line="14" w:lineRule="exact"/>
        <w:sectPr w:rsidR="00500724">
          <w:footnotePr>
            <w:numFmt w:val="chicago"/>
            <w:numRestart w:val="eachPage"/>
          </w:footnotePr>
          <w:pgSz w:w="11909" w:h="16834"/>
          <w:pgMar w:top="1588" w:right="0" w:bottom="1125" w:left="0" w:header="0" w:footer="3" w:gutter="0"/>
          <w:cols w:space="720"/>
          <w:noEndnote/>
          <w:docGrid w:linePitch="360"/>
        </w:sectPr>
      </w:pPr>
    </w:p>
    <w:p w:rsidR="00500724" w:rsidRDefault="00F30FB8">
      <w:pPr>
        <w:pStyle w:val="Zkladntext100"/>
        <w:shd w:val="clear" w:color="auto" w:fill="auto"/>
        <w:spacing w:after="40" w:line="254" w:lineRule="auto"/>
        <w:ind w:firstLine="0"/>
        <w:rPr>
          <w:sz w:val="19"/>
          <w:szCs w:val="19"/>
        </w:rPr>
      </w:pPr>
      <w:r>
        <w:rPr>
          <w:sz w:val="19"/>
          <w:szCs w:val="19"/>
        </w:rPr>
        <w:t xml:space="preserve">chceme a v únoru, když se začaly rýsovat první známky </w:t>
      </w:r>
      <w:r>
        <w:rPr>
          <w:sz w:val="19"/>
          <w:szCs w:val="19"/>
        </w:rPr>
        <w:t xml:space="preserve">rozladění mezi Berlínem a Prahou, stávaly se otázky naléhavější: co s námi ještě teď zamyslíte, co od nás čekáte? Bylo nám těžko odpovídati, ačkoliv jsme přesně věděli, co jsme očekávali od Čechů. Ale to je jako v manželství. Člověk očekává od druhého, že </w:t>
      </w:r>
      <w:r>
        <w:rPr>
          <w:sz w:val="19"/>
          <w:szCs w:val="19"/>
        </w:rPr>
        <w:t>se nějak zachová, ale ten druhý to musí sám vycítit a sám musí vědět, jak se zachovat — jakmile se táže a jakmile je nutno mu věci vysvětlovat, stává se jeho výkon, jeho vyjití vstříc, jeho vlídné gesto už bezcenným.</w:t>
      </w:r>
    </w:p>
    <w:p w:rsidR="00500724" w:rsidRDefault="00F30FB8">
      <w:pPr>
        <w:pStyle w:val="Zkladntext100"/>
        <w:shd w:val="clear" w:color="auto" w:fill="auto"/>
        <w:spacing w:after="40" w:line="240" w:lineRule="auto"/>
        <w:ind w:firstLine="260"/>
        <w:rPr>
          <w:sz w:val="19"/>
          <w:szCs w:val="19"/>
        </w:rPr>
      </w:pPr>
      <w:r>
        <w:rPr>
          <w:sz w:val="19"/>
          <w:szCs w:val="19"/>
        </w:rPr>
        <w:t>Nyní zase slyšíme otázku: co vlastně od</w:t>
      </w:r>
      <w:r>
        <w:rPr>
          <w:sz w:val="19"/>
          <w:szCs w:val="19"/>
        </w:rPr>
        <w:t xml:space="preserve"> nás očeká</w:t>
      </w:r>
      <w:r>
        <w:rPr>
          <w:sz w:val="19"/>
          <w:szCs w:val="19"/>
        </w:rPr>
        <w:softHyphen/>
        <w:t>váte? Jsme sice toho mínění, že už to dávno musí být známo a nechápeme ani úzkost Čechů o svou národnost, kterou jim přece Vůdce zaručil, ani nechápeme, co je vlastně v našem očekávání nejasného. Ale přece se chci pokusit, — a budiž to jednou zř</w:t>
      </w:r>
      <w:r>
        <w:rPr>
          <w:sz w:val="19"/>
          <w:szCs w:val="19"/>
        </w:rPr>
        <w:t>etelně vysloveno, a to nikoliv politikem nebo důležitým novinářem, nýbrž někým, kdo se domnívá, že myslí a cítí, jako můj celý národ dnes myslí a cítí.</w:t>
      </w:r>
    </w:p>
    <w:p w:rsidR="00500724" w:rsidRDefault="00F30FB8">
      <w:pPr>
        <w:pStyle w:val="Zkladntext100"/>
        <w:shd w:val="clear" w:color="auto" w:fill="auto"/>
        <w:spacing w:after="40" w:line="240" w:lineRule="auto"/>
        <w:ind w:firstLine="260"/>
        <w:rPr>
          <w:sz w:val="19"/>
          <w:szCs w:val="19"/>
        </w:rPr>
      </w:pPr>
      <w:r>
        <w:rPr>
          <w:sz w:val="19"/>
          <w:szCs w:val="19"/>
        </w:rPr>
        <w:t>Tedy především: očekávali jsme, že Češi zhodnotí docela jinak události z léta a z podzimu 1938, než se t</w:t>
      </w:r>
      <w:r>
        <w:rPr>
          <w:sz w:val="19"/>
          <w:szCs w:val="19"/>
        </w:rPr>
        <w:t>o ve skutečnosti stalo. Proč Češi nechtěli a nechtějí na</w:t>
      </w:r>
      <w:r>
        <w:rPr>
          <w:sz w:val="19"/>
          <w:szCs w:val="19"/>
        </w:rPr>
        <w:softHyphen/>
        <w:t>hlédnout, že se mnichovskou dohodou nestala křivda, nýbrž, že se křivda odčinila? V roce 1919 přivtělili jste nás k svému státu, aniž byste se nás ptali. Když jsme proti tomu po prvé protestovali, by</w:t>
      </w:r>
      <w:r>
        <w:rPr>
          <w:sz w:val="19"/>
          <w:szCs w:val="19"/>
        </w:rPr>
        <w:t>l náš protest státní mocí potlačen. Hlásili jsme se ke slovu ústy svých zvole</w:t>
      </w:r>
      <w:r>
        <w:rPr>
          <w:sz w:val="19"/>
          <w:szCs w:val="19"/>
        </w:rPr>
        <w:softHyphen/>
        <w:t>ných parlamentních zástupců, ale vy jste naše protesty vzali tak málo na vědomí, jako všechny naše žádosti, přání a stížnosti. Jednali jste tak, dovolávajíce se čtrnácti Wilsonov</w:t>
      </w:r>
      <w:r>
        <w:rPr>
          <w:sz w:val="19"/>
          <w:szCs w:val="19"/>
        </w:rPr>
        <w:t>ých bodů, dovolávajíce se sebeurčení národů. Nechápete právě tak, jako to zřejmě nechápou Britové a Francouzi, že v německém národě, že v každém Němci zůstala z let 1918—1919 hluboká rána, &gt;trauma«, chceme-li to definovat psychologicky. Použili jste Wilson</w:t>
      </w:r>
      <w:r>
        <w:rPr>
          <w:sz w:val="19"/>
          <w:szCs w:val="19"/>
        </w:rPr>
        <w:t>ových zásad všude, kde se vám hodilo a ne</w:t>
      </w:r>
      <w:r>
        <w:rPr>
          <w:sz w:val="19"/>
          <w:szCs w:val="19"/>
        </w:rPr>
        <w:softHyphen/>
        <w:t>dbali jste jich všude, kde rušily koncept vašeho vítěz</w:t>
      </w:r>
      <w:r>
        <w:rPr>
          <w:sz w:val="19"/>
          <w:szCs w:val="19"/>
        </w:rPr>
        <w:softHyphen/>
        <w:t>ného míru. Rozdělili jste Maďary podle práva sebeurče</w:t>
      </w:r>
      <w:r>
        <w:rPr>
          <w:sz w:val="19"/>
          <w:szCs w:val="19"/>
        </w:rPr>
        <w:softHyphen/>
        <w:t>ní, ale zároveň jste přivtělili tři miliony Maďarů do ji</w:t>
      </w:r>
      <w:r>
        <w:rPr>
          <w:sz w:val="19"/>
          <w:szCs w:val="19"/>
        </w:rPr>
        <w:softHyphen/>
        <w:t>ných států podle strategických hledisek. Domníva</w:t>
      </w:r>
      <w:r>
        <w:rPr>
          <w:sz w:val="19"/>
          <w:szCs w:val="19"/>
        </w:rPr>
        <w:t>li jste se, že vypěstíte půjčkami, almužnami a vměšováním státnost. Ještě roku 1931 odvážil se váš Beneš hroziti ně</w:t>
      </w:r>
      <w:r>
        <w:rPr>
          <w:sz w:val="19"/>
          <w:szCs w:val="19"/>
        </w:rPr>
        <w:softHyphen/>
        <w:t>mecké říši válkou, kdyby Rakousko bylo k ní připojeno!</w:t>
      </w:r>
    </w:p>
    <w:p w:rsidR="00500724" w:rsidRDefault="00F30FB8">
      <w:pPr>
        <w:pStyle w:val="Zkladntext100"/>
        <w:shd w:val="clear" w:color="auto" w:fill="auto"/>
        <w:spacing w:after="40" w:line="240" w:lineRule="auto"/>
        <w:ind w:firstLine="260"/>
        <w:rPr>
          <w:sz w:val="19"/>
          <w:szCs w:val="19"/>
        </w:rPr>
      </w:pPr>
      <w:r>
        <w:rPr>
          <w:sz w:val="19"/>
          <w:szCs w:val="19"/>
        </w:rPr>
        <w:t>Tážeme se vás, copak to nevíte? Nikdy jste o tom nepřemýšleli? A pakliže jste přemýšl</w:t>
      </w:r>
      <w:r>
        <w:rPr>
          <w:sz w:val="19"/>
          <w:szCs w:val="19"/>
        </w:rPr>
        <w:t>eli, nikdy vám nenapadlo, že je třeba odčinit křivdu a že se to v Mni</w:t>
      </w:r>
      <w:r>
        <w:rPr>
          <w:sz w:val="19"/>
          <w:szCs w:val="19"/>
        </w:rPr>
        <w:softHyphen/>
        <w:t xml:space="preserve">chově stalo? Na podzim jste říkali, že vám ukrajujeme kusy země jako údy živoucího masa. Co jste vy udělali r. 1919, vy s maďarskou hranicí? Podle toho systému, jak jste tehdy vy kladli </w:t>
      </w:r>
      <w:r>
        <w:rPr>
          <w:sz w:val="19"/>
          <w:szCs w:val="19"/>
        </w:rPr>
        <w:t>hranice Maďarsku, byla by ně- mec.ko-česká hranice v Mnichově musila být stanovena ještě o 30 km hlouběji do země. Vaše noviny byly plny nářku nad osudem Poličky, (která byla vrácena); r. 1919 ztratili jsme my celé stovky Poliček a bylo nám řečeno, že se t</w:t>
      </w:r>
      <w:r>
        <w:rPr>
          <w:sz w:val="19"/>
          <w:szCs w:val="19"/>
        </w:rPr>
        <w:t>o děje ve jménu spravedlnosti a dorozumění náro</w:t>
      </w:r>
      <w:r>
        <w:rPr>
          <w:sz w:val="19"/>
          <w:szCs w:val="19"/>
        </w:rPr>
        <w:softHyphen/>
        <w:t>dů. Cožpak to nevíte? Či jste to tak rychle zapomněli nebo o tom nikdy nepřemýšleli? V říjnu jsme se domní</w:t>
      </w:r>
      <w:r>
        <w:rPr>
          <w:sz w:val="19"/>
          <w:szCs w:val="19"/>
        </w:rPr>
        <w:softHyphen/>
        <w:t>vali, že se vzpamatujete a uznáte pravdu. Místo toho mu</w:t>
      </w:r>
      <w:r>
        <w:rPr>
          <w:sz w:val="19"/>
          <w:szCs w:val="19"/>
        </w:rPr>
        <w:softHyphen/>
        <w:t>sili jsme čisti v novinách, musili jsme chápa</w:t>
      </w:r>
      <w:r>
        <w:rPr>
          <w:sz w:val="19"/>
          <w:szCs w:val="19"/>
        </w:rPr>
        <w:t>ti mezi řádky, musili jsme naslouchat šepotu a konečně slyšeti nahlas z řečí vašich státníků, že se domníváte, že se vám stala ohromná křivda. Křivdu na vás snad spáchali vaši spojenci, nikoliv Adolf Hitler, který zřídil pořádek, odpovídající přesně zásadá</w:t>
      </w:r>
      <w:r>
        <w:rPr>
          <w:sz w:val="19"/>
          <w:szCs w:val="19"/>
        </w:rPr>
        <w:t>m, které jste vy sami 1918 předkládali nám jako vzor spravedlivého míru. Naříkali jste nad milionem Čechů, kteří se dostali pod německou svrchovanou moc. Že polovička z toho byli kolonisté, kteří byli v posledních dvaceti letech posláni do němec</w:t>
      </w:r>
      <w:r>
        <w:rPr>
          <w:sz w:val="19"/>
          <w:szCs w:val="19"/>
        </w:rPr>
        <w:softHyphen/>
        <w:t>kého území</w:t>
      </w:r>
      <w:r>
        <w:rPr>
          <w:sz w:val="19"/>
          <w:szCs w:val="19"/>
        </w:rPr>
        <w:t>, to jste zamlčeli. Vaši státníci vykládali, že váš stát zchudl, že není více výnosným statkem, nýbrž pouhou chaloupkou. Neleží v tom současně přiznání, že náš sudetský domov byl dvacet let koloniálním územím, do kterého jste posílali své lidi jako úředník</w:t>
      </w:r>
      <w:r>
        <w:rPr>
          <w:sz w:val="19"/>
          <w:szCs w:val="19"/>
        </w:rPr>
        <w:t>y, důstojníky, obchodníky, průmyslníky, železničáře, listo</w:t>
      </w:r>
      <w:r>
        <w:rPr>
          <w:sz w:val="19"/>
          <w:szCs w:val="19"/>
        </w:rPr>
        <w:softHyphen/>
        <w:t>noše, hostinské atd., na jeho útraty jste krášlili a roz</w:t>
      </w:r>
      <w:r>
        <w:rPr>
          <w:sz w:val="19"/>
          <w:szCs w:val="19"/>
        </w:rPr>
        <w:softHyphen/>
        <w:t>šiřovali svá česká města? Očekáváme od Čechů, že i toto uznají. Slovem i písmem dostávali jsme nezávazné krasořečnění, dostávali jsme demokr</w:t>
      </w:r>
      <w:r>
        <w:rPr>
          <w:sz w:val="19"/>
          <w:szCs w:val="19"/>
        </w:rPr>
        <w:t>atická spásná posel</w:t>
      </w:r>
      <w:r>
        <w:rPr>
          <w:sz w:val="19"/>
          <w:szCs w:val="19"/>
        </w:rPr>
        <w:softHyphen/>
        <w:t>ství, ale čtyři sta — pět set tisíc Němců hladovělo, ztrá</w:t>
      </w:r>
      <w:r>
        <w:rPr>
          <w:sz w:val="19"/>
          <w:szCs w:val="19"/>
        </w:rPr>
        <w:softHyphen/>
        <w:t>celo naději a našim mladým lidem nezbývalo nic, než útěk z domova, neboť tři čtvrtiny normálních životních existencí byly jim uzavřeny. Naše vesnice a městečka, dříve kvetoucí, s</w:t>
      </w:r>
      <w:r>
        <w:rPr>
          <w:sz w:val="19"/>
          <w:szCs w:val="19"/>
        </w:rPr>
        <w:t xml:space="preserve">tala se průmyslovými hřbitovy a v ryze německých krajích rostl rok od roku počet českých kolonistů. Ovšem, zřítí-li se národ ze snění o moci </w:t>
      </w:r>
      <w:r>
        <w:rPr>
          <w:sz w:val="20"/>
          <w:szCs w:val="20"/>
        </w:rPr>
        <w:t xml:space="preserve">a </w:t>
      </w:r>
      <w:r>
        <w:rPr>
          <w:sz w:val="19"/>
          <w:szCs w:val="19"/>
        </w:rPr>
        <w:t>panování do poznání bezmocnosti, je to asi neštěstí, ale proto to ještě nemusí být bezpráví. Kdyby Češi tuto skut</w:t>
      </w:r>
      <w:r>
        <w:rPr>
          <w:sz w:val="19"/>
          <w:szCs w:val="19"/>
        </w:rPr>
        <w:t>ečnost uznali, měli by cestu do nových dnů snazší.</w:t>
      </w:r>
    </w:p>
    <w:p w:rsidR="00500724" w:rsidRDefault="00F30FB8">
      <w:pPr>
        <w:pStyle w:val="Zkladntext100"/>
        <w:shd w:val="clear" w:color="auto" w:fill="auto"/>
        <w:spacing w:after="40" w:line="257" w:lineRule="auto"/>
        <w:rPr>
          <w:sz w:val="19"/>
          <w:szCs w:val="19"/>
        </w:rPr>
      </w:pPr>
      <w:r>
        <w:rPr>
          <w:sz w:val="19"/>
          <w:szCs w:val="19"/>
        </w:rPr>
        <w:t>My Němci ze starého Rakouska pochopili jsme r. 1918 chyby své předválečné politiky. V celé naší zemi nebylo německého politika, který by byl no 1918 neprohlásil, že jsme si své neštěstí zasloužili, poněvad</w:t>
      </w:r>
      <w:r>
        <w:rPr>
          <w:sz w:val="19"/>
          <w:szCs w:val="19"/>
        </w:rPr>
        <w:t>ž jsme nebyli schopni splniti svoji dějinnou úlohu. Celá mladá generace sudetských Němců, které SdP shro</w:t>
      </w:r>
      <w:r>
        <w:rPr>
          <w:sz w:val="19"/>
          <w:szCs w:val="19"/>
        </w:rPr>
        <w:softHyphen/>
        <w:t>máždila, když byla smetla všechny ostatní strany, byla v oposici proti staré předválečné politice, proii politice malicherného národnostního handrkován</w:t>
      </w:r>
      <w:r>
        <w:rPr>
          <w:sz w:val="19"/>
          <w:szCs w:val="19"/>
        </w:rPr>
        <w:t>í, proti potlačo</w:t>
      </w:r>
      <w:r>
        <w:rPr>
          <w:sz w:val="19"/>
          <w:szCs w:val="19"/>
        </w:rPr>
        <w:softHyphen/>
        <w:t>vání cizí národnosti a vyhnala staré politiky především proto, poněvadž rozpoznala, že jsou vinni a neschopni. Očekáváme, že se v českém národě uskuteční konečně podobný proces vystřízlivění a snaha po myšlenkovém obratu.</w:t>
      </w:r>
    </w:p>
    <w:p w:rsidR="00500724" w:rsidRDefault="00F30FB8">
      <w:pPr>
        <w:pStyle w:val="Zkladntext100"/>
        <w:shd w:val="clear" w:color="auto" w:fill="auto"/>
        <w:spacing w:after="40" w:line="257" w:lineRule="auto"/>
        <w:rPr>
          <w:sz w:val="19"/>
          <w:szCs w:val="19"/>
        </w:rPr>
      </w:pPr>
      <w:r>
        <w:rPr>
          <w:sz w:val="19"/>
          <w:szCs w:val="19"/>
        </w:rPr>
        <w:t>Kritické likvidov</w:t>
      </w:r>
      <w:r>
        <w:rPr>
          <w:sz w:val="19"/>
          <w:szCs w:val="19"/>
        </w:rPr>
        <w:t>ání minulosti: to je, co očeká</w:t>
      </w:r>
      <w:r>
        <w:rPr>
          <w:sz w:val="19"/>
          <w:szCs w:val="19"/>
        </w:rPr>
        <w:softHyphen/>
        <w:t>váme od Čechů od podzimu 1938. Žasli jsme a žasneme ještě dnes, že Češi zřejmě necítí potřebu zaujmouti konečně kritické stanovisko k postavě, jako byl Masa</w:t>
      </w:r>
      <w:r>
        <w:rPr>
          <w:sz w:val="19"/>
          <w:szCs w:val="19"/>
        </w:rPr>
        <w:softHyphen/>
        <w:t>ryk. Zakladatel státu? Ovšem! Ale základ jeho státu ne</w:t>
      </w:r>
      <w:r>
        <w:rPr>
          <w:sz w:val="19"/>
          <w:szCs w:val="19"/>
        </w:rPr>
        <w:softHyphen/>
        <w:t>děl se v zájm</w:t>
      </w:r>
      <w:r>
        <w:rPr>
          <w:sz w:val="19"/>
          <w:szCs w:val="19"/>
        </w:rPr>
        <w:t>u Čechů, nýbrž pro ideologickou doktrínu. Žádný Němec vás nebude nutit, abyste vyrvali ze svých myslí jméno a vzpomínku na tohoto muže. Ale očeká</w:t>
      </w:r>
      <w:r>
        <w:rPr>
          <w:sz w:val="19"/>
          <w:szCs w:val="19"/>
        </w:rPr>
        <w:softHyphen/>
        <w:t>vali jsme, že sami pochopíte že to nebyl Hitler, nýbrž Masaryk, který vložil na bedra vašeho národa nejtěžší e</w:t>
      </w:r>
      <w:r>
        <w:rPr>
          <w:sz w:val="19"/>
          <w:szCs w:val="19"/>
        </w:rPr>
        <w:t>xistenční zkoušku v posledních tři sta letech. Čekali jsme, že se zahloubáte do četby Pekaře, tohoto vášni</w:t>
      </w:r>
      <w:r>
        <w:rPr>
          <w:sz w:val="19"/>
          <w:szCs w:val="19"/>
        </w:rPr>
        <w:softHyphen/>
        <w:t>vého patriota, skutečného realisty, tohoto historika vel</w:t>
      </w:r>
      <w:r>
        <w:rPr>
          <w:sz w:val="19"/>
          <w:szCs w:val="19"/>
        </w:rPr>
        <w:softHyphen/>
        <w:t>kého rozhledu a úsudku a že změříte Masaryka s formá</w:t>
      </w:r>
      <w:r>
        <w:rPr>
          <w:sz w:val="19"/>
          <w:szCs w:val="19"/>
        </w:rPr>
        <w:softHyphen/>
        <w:t>tem jeho zneuznaného kritika.</w:t>
      </w:r>
    </w:p>
    <w:p w:rsidR="00500724" w:rsidRDefault="00F30FB8">
      <w:pPr>
        <w:pStyle w:val="Zkladntext100"/>
        <w:shd w:val="clear" w:color="auto" w:fill="auto"/>
        <w:spacing w:line="257" w:lineRule="auto"/>
        <w:rPr>
          <w:sz w:val="19"/>
          <w:szCs w:val="19"/>
        </w:rPr>
      </w:pPr>
      <w:r>
        <w:rPr>
          <w:sz w:val="19"/>
          <w:szCs w:val="19"/>
        </w:rPr>
        <w:t>Nikoli, n</w:t>
      </w:r>
      <w:r>
        <w:rPr>
          <w:sz w:val="19"/>
          <w:szCs w:val="19"/>
        </w:rPr>
        <w:t>ežádáme od vás, abyste se navzájem udávali. Neučinilo na nás dobrý dojem, že tolik Čechů začalo od 15. března přicházet a pokřikovat po zatčení toho či ono</w:t>
      </w:r>
      <w:r>
        <w:rPr>
          <w:sz w:val="19"/>
          <w:szCs w:val="19"/>
        </w:rPr>
        <w:softHyphen/>
        <w:t>ho, který prý je komunista, benešovec či to nebo ono. Německá policie nepotřebuje soukromých rad. Ne</w:t>
      </w:r>
      <w:r>
        <w:rPr>
          <w:sz w:val="19"/>
          <w:szCs w:val="19"/>
        </w:rPr>
        <w:t>po</w:t>
      </w:r>
      <w:r>
        <w:rPr>
          <w:sz w:val="19"/>
          <w:szCs w:val="19"/>
        </w:rPr>
        <w:softHyphen/>
        <w:t>třebuje udavačů. Nebylo nám příjemné, že se někteří Češi, jejichž včerejší pocity předobře známe, stali přes noc horlivými obdivovateli nového Německa. S rozhodu</w:t>
      </w:r>
      <w:r>
        <w:rPr>
          <w:sz w:val="19"/>
          <w:szCs w:val="19"/>
        </w:rPr>
        <w:softHyphen/>
        <w:t>jícího německého místa bylo prohlášeno, že neočeká</w:t>
      </w:r>
      <w:r>
        <w:rPr>
          <w:sz w:val="19"/>
          <w:szCs w:val="19"/>
        </w:rPr>
        <w:softHyphen/>
        <w:t>váme žádné nadšení. Všeobecně se o nás v</w:t>
      </w:r>
      <w:r>
        <w:rPr>
          <w:sz w:val="19"/>
          <w:szCs w:val="19"/>
        </w:rPr>
        <w:t>í, že si uda</w:t>
      </w:r>
      <w:r>
        <w:rPr>
          <w:sz w:val="19"/>
          <w:szCs w:val="19"/>
        </w:rPr>
        <w:softHyphen/>
        <w:t>vačů nevážíme a není třeba, abychom podotýkali, že ne</w:t>
      </w:r>
      <w:r>
        <w:rPr>
          <w:sz w:val="19"/>
          <w:szCs w:val="19"/>
        </w:rPr>
        <w:softHyphen/>
        <w:t>potřebujeme politické podnájemníky, kteří se vynořují, když byla práce vykonána a hodlají s námi zasednout za prostřený stůl. Česká pravice měla v letech 1933 až 1938 velkou úlohu. Nevyplni</w:t>
      </w:r>
      <w:r>
        <w:rPr>
          <w:sz w:val="19"/>
          <w:szCs w:val="19"/>
        </w:rPr>
        <w:t>la ji. Nedovedla včas si zjednati moc a touto mocí rozumně zacházeti. Němci ne</w:t>
      </w:r>
      <w:r>
        <w:rPr>
          <w:sz w:val="19"/>
          <w:szCs w:val="19"/>
        </w:rPr>
        <w:softHyphen/>
        <w:t>očekávají a ani si nepřejí, aby nyní pod jejich ochranou vyrůstalo hnutí, které by špatně napodobilo nacionální socialismus. Lidem, kteří pro tato slova přicházejí v úvahu, bylo</w:t>
      </w:r>
      <w:r>
        <w:rPr>
          <w:sz w:val="19"/>
          <w:szCs w:val="19"/>
        </w:rPr>
        <w:t xml:space="preserve"> to povolanými činiteli zřetelně řečeno.</w:t>
      </w:r>
    </w:p>
    <w:p w:rsidR="00500724" w:rsidRDefault="00F30FB8">
      <w:pPr>
        <w:pStyle w:val="Zkladntext100"/>
        <w:shd w:val="clear" w:color="auto" w:fill="auto"/>
        <w:spacing w:line="257" w:lineRule="auto"/>
        <w:ind w:firstLine="240"/>
        <w:rPr>
          <w:sz w:val="19"/>
          <w:szCs w:val="19"/>
        </w:rPr>
      </w:pPr>
      <w:r>
        <w:rPr>
          <w:sz w:val="19"/>
          <w:szCs w:val="19"/>
        </w:rPr>
        <w:t xml:space="preserve">Očekáváme, že si Češi na svém území sami zjednají pořádek. Pořádek v hospodářství, které se konečně musí vyzout z liberálních tradic, pořádek ve správě, pořádek </w:t>
      </w:r>
      <w:r>
        <w:rPr>
          <w:sz w:val="20"/>
          <w:szCs w:val="20"/>
        </w:rPr>
        <w:t xml:space="preserve">V </w:t>
      </w:r>
      <w:r>
        <w:rPr>
          <w:sz w:val="19"/>
          <w:szCs w:val="19"/>
        </w:rPr>
        <w:t>kulturní oblasti. Říšský zákon o Protektorátu vyhýbá</w:t>
      </w:r>
      <w:r>
        <w:rPr>
          <w:sz w:val="19"/>
          <w:szCs w:val="19"/>
        </w:rPr>
        <w:t xml:space="preserve"> se, jako všechny nové německé zákony, které nevyplý</w:t>
      </w:r>
      <w:r>
        <w:rPr>
          <w:sz w:val="19"/>
          <w:szCs w:val="19"/>
        </w:rPr>
        <w:softHyphen/>
        <w:t>vají z římsko-právního formálně právnického myšlení, nýbrž přímo ze života a chtějí sloužiti životu, stanovití ztrnulé formy pro spolužití česko-německého území Říší. Zákon ponechává volné pole na obě st</w:t>
      </w:r>
      <w:r>
        <w:rPr>
          <w:sz w:val="19"/>
          <w:szCs w:val="19"/>
        </w:rPr>
        <w:t>rany. Umož</w:t>
      </w:r>
      <w:r>
        <w:rPr>
          <w:sz w:val="19"/>
          <w:szCs w:val="19"/>
        </w:rPr>
        <w:softHyphen/>
        <w:t>ňuje velmi hluboce zasáhnout do svébytnosti Čechů a dává jim téměř neomezenou samosprávu ve všech otáz</w:t>
      </w:r>
      <w:r>
        <w:rPr>
          <w:sz w:val="19"/>
          <w:szCs w:val="19"/>
        </w:rPr>
        <w:softHyphen/>
        <w:t>kách národních. Němci očekávají, že Češi sami najdou cestu, která by vedla ke klidnému spolužití. I v malič</w:t>
      </w:r>
      <w:r>
        <w:rPr>
          <w:sz w:val="19"/>
          <w:szCs w:val="19"/>
        </w:rPr>
        <w:softHyphen/>
        <w:t>kostech i v důležitých věcech musi</w:t>
      </w:r>
      <w:r>
        <w:rPr>
          <w:sz w:val="19"/>
          <w:szCs w:val="19"/>
        </w:rPr>
        <w:t>li už Češi zpozorovat, že si prozatím nikdo nepřeje vměšovat se do jejích zá</w:t>
      </w:r>
      <w:r>
        <w:rPr>
          <w:sz w:val="19"/>
          <w:szCs w:val="19"/>
        </w:rPr>
        <w:softHyphen/>
        <w:t>ležitostí. Myslíte však, že jsou nám reminiscence na ÍWilsona a Denise, af už jde o jména nádraží, nebo o pomníky, zvlášť příjemné? Víme, že česká mládež dvacet let byla vychovává</w:t>
      </w:r>
      <w:r>
        <w:rPr>
          <w:sz w:val="19"/>
          <w:szCs w:val="19"/>
        </w:rPr>
        <w:t>na v duchu Masarykově a že představy, které má o světě, odpovídají skutečnému životu velmi málo. Ale očekáváme od Čechů, že sami naleznou cestu, jak se vrátiti od ilusí a ideologie ke sku</w:t>
      </w:r>
      <w:r>
        <w:rPr>
          <w:sz w:val="19"/>
          <w:szCs w:val="19"/>
        </w:rPr>
        <w:softHyphen/>
        <w:t>tečnosti a prozatím přenecháváme Čechům, aby při</w:t>
      </w:r>
      <w:r>
        <w:rPr>
          <w:sz w:val="19"/>
          <w:szCs w:val="19"/>
        </w:rPr>
        <w:softHyphen/>
        <w:t>způsobili svůj tisk</w:t>
      </w:r>
      <w:r>
        <w:rPr>
          <w:sz w:val="19"/>
          <w:szCs w:val="19"/>
        </w:rPr>
        <w:t>, svůj film, svou literaturu, své školy a své národní vzdělání potřebám nového života. Protek- torátní statut dává zde Čechům možnost, aby se roz</w:t>
      </w:r>
      <w:r>
        <w:rPr>
          <w:sz w:val="19"/>
          <w:szCs w:val="19"/>
        </w:rPr>
        <w:softHyphen/>
        <w:t>hodli buď z vlastního vystavěli nové anebo dále dávali přednost starému.</w:t>
      </w:r>
    </w:p>
    <w:p w:rsidR="00500724" w:rsidRDefault="00F30FB8">
      <w:pPr>
        <w:pStyle w:val="Zkladntext100"/>
        <w:shd w:val="clear" w:color="auto" w:fill="auto"/>
        <w:spacing w:line="257" w:lineRule="auto"/>
        <w:ind w:firstLine="240"/>
        <w:rPr>
          <w:sz w:val="19"/>
          <w:szCs w:val="19"/>
        </w:rPr>
      </w:pPr>
      <w:r>
        <w:rPr>
          <w:sz w:val="19"/>
          <w:szCs w:val="19"/>
        </w:rPr>
        <w:t>Vždycky jsme obdivovali vitalitu, hou</w:t>
      </w:r>
      <w:r>
        <w:rPr>
          <w:sz w:val="19"/>
          <w:szCs w:val="19"/>
        </w:rPr>
        <w:t>ževnatost a ná</w:t>
      </w:r>
      <w:r>
        <w:rPr>
          <w:sz w:val="19"/>
          <w:szCs w:val="19"/>
        </w:rPr>
        <w:softHyphen/>
        <w:t>rodně politickou výkonnost Čechů a obdivujeme ji i dnes. Kázeň, se kterou národ přestál těžkou krisi, klid, se kterým likvidoval státně-politický experiment páně Benešův, nám imponují, jako nám imponoval němý smutek lidí, kteří kladli květin</w:t>
      </w:r>
      <w:r>
        <w:rPr>
          <w:sz w:val="19"/>
          <w:szCs w:val="19"/>
        </w:rPr>
        <w:t xml:space="preserve">y na hrob neznámého vojína. Gesto našeho německého generála dokázalo, že my Němci chápeme takové důstojné chování. Nemáme </w:t>
      </w:r>
      <w:r>
        <w:rPr>
          <w:sz w:val="20"/>
          <w:szCs w:val="20"/>
        </w:rPr>
        <w:t xml:space="preserve">v </w:t>
      </w:r>
      <w:r>
        <w:rPr>
          <w:sz w:val="19"/>
          <w:szCs w:val="19"/>
        </w:rPr>
        <w:t>úmyslu nutit vás, abyste se nadchli pro něco, co nad vámi vypuklo jako bouře ze zdánlivě bezmračného nebe. My Němci nacházíme se upr</w:t>
      </w:r>
      <w:r>
        <w:rPr>
          <w:sz w:val="19"/>
          <w:szCs w:val="19"/>
        </w:rPr>
        <w:t>ostřed revoluce, uprostřed přehodnocování všech hodnot. Vy Češi. nemáte na této revoluci podíl. Máte právě za sebou zážitek své vlastní revoluce, připřažené do zákonitosti revoluce francouz</w:t>
      </w:r>
      <w:r>
        <w:rPr>
          <w:sz w:val="19"/>
          <w:szCs w:val="19"/>
        </w:rPr>
        <w:softHyphen/>
        <w:t>ské. Mezi národy s tak různě starým vývojem není možno docíliti na</w:t>
      </w:r>
      <w:r>
        <w:rPr>
          <w:sz w:val="19"/>
          <w:szCs w:val="19"/>
        </w:rPr>
        <w:t>prostý souzvuk pocitů. Žádáme však po vás, abyste nehleděli jenom na to, co vaše dnešní dny naplňuje bolestí a smutkem, nýbrž abyste střízlivě a poctivě zhodnotili výhody, které pro vás nastaly vstu</w:t>
      </w:r>
      <w:r>
        <w:rPr>
          <w:sz w:val="19"/>
          <w:szCs w:val="19"/>
        </w:rPr>
        <w:softHyphen/>
        <w:t>pem do rámce velkoněmecké Říše.</w:t>
      </w:r>
    </w:p>
    <w:p w:rsidR="00500724" w:rsidRDefault="00F30FB8">
      <w:pPr>
        <w:pStyle w:val="Zkladntext100"/>
        <w:shd w:val="clear" w:color="auto" w:fill="auto"/>
        <w:spacing w:line="257" w:lineRule="auto"/>
        <w:ind w:firstLine="260"/>
        <w:rPr>
          <w:sz w:val="19"/>
          <w:szCs w:val="19"/>
        </w:rPr>
      </w:pPr>
      <w:r>
        <w:rPr>
          <w:sz w:val="19"/>
          <w:szCs w:val="19"/>
        </w:rPr>
        <w:t xml:space="preserve">Jste zařáděni do velkého </w:t>
      </w:r>
      <w:r>
        <w:rPr>
          <w:sz w:val="19"/>
          <w:szCs w:val="19"/>
        </w:rPr>
        <w:t>organického hospodářského prostoru, budete požívat všech výhod, které docilují Němci růstem své země. Jste lépe chráněni proti ne</w:t>
      </w:r>
      <w:r>
        <w:rPr>
          <w:sz w:val="19"/>
          <w:szCs w:val="19"/>
        </w:rPr>
        <w:softHyphen/>
        <w:t>bezpečí války, než jste byli dříve a v případě války je poloha Čech a Moravy v srdci střední Evropy záru</w:t>
      </w:r>
      <w:r>
        <w:rPr>
          <w:sz w:val="19"/>
          <w:szCs w:val="19"/>
        </w:rPr>
        <w:softHyphen/>
        <w:t>kou, že budete válkou</w:t>
      </w:r>
      <w:r>
        <w:rPr>
          <w:sz w:val="19"/>
          <w:szCs w:val="19"/>
        </w:rPr>
        <w:t xml:space="preserve"> trpěti méně než druzí. Nebudete mít armádu a nebudete mít vlastní zahraniční politiku, pro ctižádostivý národ je to jistě těžké. Ale síla českého národa nespočívala nikdy v jeho státotvornosti, nýbrž vždycky v politice, která dovedla národ uchovat. Čecho</w:t>
      </w:r>
      <w:r>
        <w:rPr>
          <w:sz w:val="19"/>
          <w:szCs w:val="19"/>
        </w:rPr>
        <w:softHyphen/>
      </w:r>
      <w:r>
        <w:rPr>
          <w:sz w:val="19"/>
          <w:szCs w:val="19"/>
        </w:rPr>
        <w:t>vé dovedli podržet svoji národnost po staletí a ve všech krisích, budou ji hájiti jistě i dnes ve své nové státní formě. Státotvorná politika není věc národa, který nikdy nemyslel státně, nýbrž pouze národně. Vaše velké státní experimenty končily vždycky n</w:t>
      </w:r>
      <w:r>
        <w:rPr>
          <w:sz w:val="19"/>
          <w:szCs w:val="19"/>
        </w:rPr>
        <w:t>ešťastně. Řídili jste zdatně své osudy pod ochranou německých císařů, budete je říditi i pod ochranou Vůdcovou. Abyste to pochopili a zařídili svůj život podle toho — to od vás čekáme.</w:t>
      </w:r>
    </w:p>
    <w:p w:rsidR="00500724" w:rsidRDefault="00F30FB8">
      <w:pPr>
        <w:pStyle w:val="Zkladntext30"/>
        <w:shd w:val="clear" w:color="auto" w:fill="auto"/>
        <w:spacing w:after="0" w:line="199" w:lineRule="auto"/>
        <w:ind w:firstLine="0"/>
        <w:jc w:val="right"/>
        <w:rPr>
          <w:sz w:val="20"/>
          <w:szCs w:val="20"/>
        </w:rPr>
      </w:pPr>
      <w:r>
        <w:rPr>
          <w:i/>
          <w:iCs/>
          <w:sz w:val="20"/>
          <w:szCs w:val="20"/>
        </w:rPr>
        <w:t>Němec</w:t>
      </w:r>
    </w:p>
    <w:p w:rsidR="00500724" w:rsidRDefault="00F30FB8">
      <w:pPr>
        <w:pStyle w:val="Zkladntext100"/>
        <w:shd w:val="clear" w:color="auto" w:fill="auto"/>
        <w:spacing w:line="257" w:lineRule="auto"/>
        <w:ind w:firstLine="0"/>
        <w:jc w:val="center"/>
        <w:rPr>
          <w:sz w:val="19"/>
          <w:szCs w:val="19"/>
        </w:rPr>
      </w:pPr>
      <w:r>
        <w:rPr>
          <w:sz w:val="19"/>
          <w:szCs w:val="19"/>
        </w:rPr>
        <w:t>II.</w:t>
      </w:r>
    </w:p>
    <w:p w:rsidR="00500724" w:rsidRDefault="00F30FB8">
      <w:pPr>
        <w:pStyle w:val="Zkladntext100"/>
        <w:shd w:val="clear" w:color="auto" w:fill="auto"/>
        <w:spacing w:line="257" w:lineRule="auto"/>
        <w:ind w:firstLine="260"/>
        <w:rPr>
          <w:sz w:val="19"/>
          <w:szCs w:val="19"/>
        </w:rPr>
      </w:pPr>
      <w:r>
        <w:rPr>
          <w:sz w:val="19"/>
          <w:szCs w:val="19"/>
        </w:rPr>
        <w:t>Dostalo se mi přetěžké úlohy odpovídat na váš dopis. My dva —</w:t>
      </w:r>
      <w:r>
        <w:rPr>
          <w:sz w:val="19"/>
          <w:szCs w:val="19"/>
        </w:rPr>
        <w:t xml:space="preserve"> Vy a já — nestojíme však jenom na rozličné myšlenkové půdě, ale jsme oba i v různé situaci. Vy můžete všelicos vyřknout z plna hrdla. A proto dobro</w:t>
      </w:r>
      <w:r>
        <w:rPr>
          <w:sz w:val="19"/>
          <w:szCs w:val="19"/>
        </w:rPr>
        <w:softHyphen/>
        <w:t>volně skládám pero všude, kde hovoříte o minulosti. Tím nechci říci, že po mém názoru vyslovujete naprostou</w:t>
      </w:r>
      <w:r>
        <w:rPr>
          <w:sz w:val="19"/>
          <w:szCs w:val="19"/>
        </w:rPr>
        <w:t xml:space="preserve"> ne</w:t>
      </w:r>
      <w:r>
        <w:rPr>
          <w:sz w:val="19"/>
          <w:szCs w:val="19"/>
        </w:rPr>
        <w:softHyphen/>
        <w:t>pravdu. Ale prožili jsme to každý jinak. Zažili jsme tutéž věc a tutéž historii na různých březích myšlenko</w:t>
      </w:r>
      <w:r>
        <w:rPr>
          <w:sz w:val="19"/>
          <w:szCs w:val="19"/>
        </w:rPr>
        <w:softHyphen/>
        <w:t>vého toku. Jaký však má smysl teď hovořit o tom, že kdesi v minulosti leží nějaké viny, křivdy a jejich od</w:t>
      </w:r>
      <w:r>
        <w:rPr>
          <w:sz w:val="19"/>
          <w:szCs w:val="19"/>
        </w:rPr>
        <w:softHyphen/>
        <w:t>činění? I kdyby vskutku rána, která z</w:t>
      </w:r>
      <w:r>
        <w:rPr>
          <w:sz w:val="19"/>
          <w:szCs w:val="19"/>
        </w:rPr>
        <w:t>asáhla české lidi 1938, byla pouhým odčiněním křivdy, spáchané na ně</w:t>
      </w:r>
      <w:r>
        <w:rPr>
          <w:sz w:val="19"/>
          <w:szCs w:val="19"/>
        </w:rPr>
        <w:softHyphen/>
        <w:t>meckých lidech 1918 — jsou to jiní lidé, kteří ji za</w:t>
      </w:r>
      <w:r>
        <w:rPr>
          <w:sz w:val="19"/>
          <w:szCs w:val="19"/>
        </w:rPr>
        <w:softHyphen/>
        <w:t>sadili, a j i n í lidé, kteří ji dostali do čela. Lidé, kteří žili 1939, málo zavinili na tom, co se dělo 1914 a 1918. Byli to lidé, k</w:t>
      </w:r>
      <w:r>
        <w:rPr>
          <w:sz w:val="19"/>
          <w:szCs w:val="19"/>
        </w:rPr>
        <w:t>teří se tu narodili, vyrostli, začali chodit do svých škol a s obrovskou pílí a houževnatostí hnali celou velikou vrstvu svého národa ku světlu vzdělání, které jim bylo staletí před tím odpíráno. Pěstili svou mladou — starou řeč, jako se pěstují květiny na</w:t>
      </w:r>
      <w:r>
        <w:rPr>
          <w:sz w:val="19"/>
          <w:szCs w:val="19"/>
        </w:rPr>
        <w:t xml:space="preserve"> záhonech a nosili své myšlenky, jako jinde nosí lidé šperky. Stavěli jsme, budovali jsme, milovali jsme svůj kus země a honosili jsme se jím. I kdybyste měl doslova pravdu, nemohli jsme přes to cítit jinak.</w:t>
      </w:r>
    </w:p>
    <w:p w:rsidR="00500724" w:rsidRDefault="00F30FB8">
      <w:pPr>
        <w:pStyle w:val="Zkladntext100"/>
        <w:shd w:val="clear" w:color="auto" w:fill="auto"/>
        <w:spacing w:line="257" w:lineRule="auto"/>
        <w:ind w:firstLine="260"/>
        <w:rPr>
          <w:sz w:val="19"/>
          <w:szCs w:val="19"/>
        </w:rPr>
      </w:pPr>
      <w:r>
        <w:rPr>
          <w:sz w:val="19"/>
          <w:szCs w:val="19"/>
        </w:rPr>
        <w:t>Naproti tomu s Vámi naprosto souhlasím, tvrdíte-</w:t>
      </w:r>
      <w:r>
        <w:rPr>
          <w:sz w:val="19"/>
          <w:szCs w:val="19"/>
        </w:rPr>
        <w:t>li, že naši bývalí spojenci měli na našem osudu větší vinu, než Němci sami. Němci uplatnili vůči nám pouze svoji moc. Celé roky a celé měsíce nám otevřeně říkali, co hodlají učinit. Myslím, že není v Čechách člověka, kte</w:t>
      </w:r>
      <w:r>
        <w:rPr>
          <w:sz w:val="19"/>
          <w:szCs w:val="19"/>
        </w:rPr>
        <w:softHyphen/>
        <w:t>rý by nevěděl, že zákeřně se choval</w:t>
      </w:r>
      <w:r>
        <w:rPr>
          <w:sz w:val="19"/>
          <w:szCs w:val="19"/>
        </w:rPr>
        <w:t>i jenom naši spojenci. Právě toto vědomí dolehlo na národ bolestněji, než věci ostatní.</w:t>
      </w:r>
    </w:p>
    <w:p w:rsidR="00500724" w:rsidRDefault="00F30FB8">
      <w:pPr>
        <w:pStyle w:val="Zkladntext100"/>
        <w:shd w:val="clear" w:color="auto" w:fill="auto"/>
        <w:spacing w:line="257" w:lineRule="auto"/>
        <w:ind w:firstLine="0"/>
        <w:jc w:val="right"/>
        <w:rPr>
          <w:sz w:val="19"/>
          <w:szCs w:val="19"/>
        </w:rPr>
        <w:sectPr w:rsidR="00500724">
          <w:footnotePr>
            <w:numFmt w:val="chicago"/>
            <w:numRestart w:val="eachPage"/>
          </w:footnotePr>
          <w:type w:val="continuous"/>
          <w:pgSz w:w="11909" w:h="16834"/>
          <w:pgMar w:top="1588" w:right="797" w:bottom="1125" w:left="754" w:header="0" w:footer="3" w:gutter="0"/>
          <w:cols w:num="2" w:space="108"/>
          <w:noEndnote/>
          <w:docGrid w:linePitch="360"/>
        </w:sectPr>
      </w:pPr>
      <w:r>
        <w:rPr>
          <w:sz w:val="19"/>
          <w:szCs w:val="19"/>
        </w:rPr>
        <w:t>Opakuji: dnes není hlavní, jak se to stalo a kdo nese vinu — hlavní je skutečnost, že tu dnes stojíme vedle</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pgSz w:w="11909" w:h="16834"/>
          <w:pgMar w:top="1466" w:right="0" w:bottom="853" w:left="0" w:header="0" w:footer="3" w:gutter="0"/>
          <w:cols w:space="720"/>
          <w:noEndnote/>
          <w:docGrid w:linePitch="360"/>
        </w:sectPr>
      </w:pPr>
    </w:p>
    <w:p w:rsidR="00500724" w:rsidRDefault="00F30FB8">
      <w:pPr>
        <w:pStyle w:val="Zkladntext100"/>
        <w:shd w:val="clear" w:color="auto" w:fill="auto"/>
        <w:spacing w:line="262" w:lineRule="auto"/>
        <w:ind w:firstLine="0"/>
        <w:rPr>
          <w:sz w:val="19"/>
          <w:szCs w:val="19"/>
        </w:rPr>
      </w:pPr>
      <w:r>
        <w:rPr>
          <w:sz w:val="19"/>
          <w:szCs w:val="19"/>
        </w:rPr>
        <w:t>se</w:t>
      </w:r>
      <w:r>
        <w:rPr>
          <w:sz w:val="19"/>
          <w:szCs w:val="19"/>
        </w:rPr>
        <w:t>be a snažíme se vypořádat se s touto skutečností tak, abychom mohli dále žít. Hlavní je, abychom pochopili: jak dál?</w:t>
      </w:r>
    </w:p>
    <w:p w:rsidR="00500724" w:rsidRDefault="00F30FB8">
      <w:pPr>
        <w:pStyle w:val="Zkladntext100"/>
        <w:shd w:val="clear" w:color="auto" w:fill="auto"/>
        <w:spacing w:line="262" w:lineRule="auto"/>
        <w:ind w:firstLine="240"/>
        <w:rPr>
          <w:sz w:val="19"/>
          <w:szCs w:val="19"/>
        </w:rPr>
      </w:pPr>
      <w:r>
        <w:rPr>
          <w:sz w:val="19"/>
          <w:szCs w:val="19"/>
        </w:rPr>
        <w:t>Dovolte, abych opakovala několik Vašich vět, které mi připadají důležité:</w:t>
      </w:r>
    </w:p>
    <w:p w:rsidR="00500724" w:rsidRDefault="00F30FB8">
      <w:pPr>
        <w:pStyle w:val="Zkladntext100"/>
        <w:shd w:val="clear" w:color="auto" w:fill="auto"/>
        <w:spacing w:line="262" w:lineRule="auto"/>
        <w:ind w:firstLine="240"/>
        <w:rPr>
          <w:sz w:val="19"/>
          <w:szCs w:val="19"/>
        </w:rPr>
      </w:pPr>
      <w:r>
        <w:rPr>
          <w:sz w:val="19"/>
          <w:szCs w:val="19"/>
        </w:rPr>
        <w:t>sNebylo nám příjemné, že se někteří Češi, jejichž včerejší pocity</w:t>
      </w:r>
      <w:r>
        <w:rPr>
          <w:sz w:val="19"/>
          <w:szCs w:val="19"/>
        </w:rPr>
        <w:t xml:space="preserve"> známe, stali přes noc horlivými obdivo</w:t>
      </w:r>
      <w:r>
        <w:rPr>
          <w:sz w:val="19"/>
          <w:szCs w:val="19"/>
        </w:rPr>
        <w:softHyphen/>
        <w:t>vateli nového Německa ...«</w:t>
      </w:r>
    </w:p>
    <w:p w:rsidR="00500724" w:rsidRDefault="00F30FB8">
      <w:pPr>
        <w:pStyle w:val="Zkladntext100"/>
        <w:shd w:val="clear" w:color="auto" w:fill="auto"/>
        <w:spacing w:after="40" w:line="254" w:lineRule="auto"/>
        <w:ind w:firstLine="240"/>
        <w:rPr>
          <w:sz w:val="19"/>
          <w:szCs w:val="19"/>
        </w:rPr>
      </w:pPr>
      <w:r>
        <w:rPr>
          <w:sz w:val="19"/>
          <w:szCs w:val="19"/>
        </w:rPr>
        <w:t>^Nepřejeme si, aby pod naší ochranou vyrostlo hnutí, které by špatně napodobilo národní socialismus ...«</w:t>
      </w:r>
    </w:p>
    <w:p w:rsidR="00500724" w:rsidRDefault="00F30FB8">
      <w:pPr>
        <w:pStyle w:val="Zkladntext100"/>
        <w:shd w:val="clear" w:color="auto" w:fill="auto"/>
        <w:spacing w:line="257" w:lineRule="auto"/>
        <w:ind w:firstLine="240"/>
        <w:rPr>
          <w:sz w:val="19"/>
          <w:szCs w:val="19"/>
        </w:rPr>
      </w:pPr>
      <w:r>
        <w:rPr>
          <w:sz w:val="19"/>
          <w:szCs w:val="19"/>
        </w:rPr>
        <w:t>ale:</w:t>
      </w:r>
    </w:p>
    <w:p w:rsidR="00500724" w:rsidRDefault="00F30FB8">
      <w:pPr>
        <w:pStyle w:val="Zkladntext100"/>
        <w:shd w:val="clear" w:color="auto" w:fill="auto"/>
        <w:spacing w:line="257" w:lineRule="auto"/>
        <w:ind w:firstLine="240"/>
        <w:rPr>
          <w:sz w:val="19"/>
          <w:szCs w:val="19"/>
        </w:rPr>
      </w:pPr>
      <w:r>
        <w:rPr>
          <w:sz w:val="19"/>
          <w:szCs w:val="19"/>
        </w:rPr>
        <w:t xml:space="preserve">^očekáváme, že si Češi na svém území sami zjednají pořádek v hospodářství, </w:t>
      </w:r>
      <w:r>
        <w:rPr>
          <w:sz w:val="19"/>
          <w:szCs w:val="19"/>
        </w:rPr>
        <w:t>které se musí konečně vyzout z liberálních tradic, pořádek ve správě, pořádek v kul</w:t>
      </w:r>
      <w:r>
        <w:rPr>
          <w:sz w:val="19"/>
          <w:szCs w:val="19"/>
        </w:rPr>
        <w:softHyphen/>
        <w:t>turní oblasti...«</w:t>
      </w:r>
    </w:p>
    <w:p w:rsidR="00500724" w:rsidRDefault="00F30FB8">
      <w:pPr>
        <w:pStyle w:val="Zkladntext100"/>
        <w:shd w:val="clear" w:color="auto" w:fill="auto"/>
        <w:spacing w:line="257" w:lineRule="auto"/>
        <w:ind w:firstLine="240"/>
        <w:rPr>
          <w:sz w:val="19"/>
          <w:szCs w:val="19"/>
        </w:rPr>
      </w:pPr>
      <w:r>
        <w:rPr>
          <w:sz w:val="19"/>
          <w:szCs w:val="19"/>
        </w:rPr>
        <w:t>^prozatím přenecháváme Čechům, aby přizpůsobili svůj tisk, svůj film, svou literaturu, své školy a své národní vzdělání potřebám nového života ...«</w:t>
      </w:r>
    </w:p>
    <w:p w:rsidR="00500724" w:rsidRDefault="00F30FB8">
      <w:pPr>
        <w:pStyle w:val="Zkladntext100"/>
        <w:shd w:val="clear" w:color="auto" w:fill="auto"/>
        <w:spacing w:line="257" w:lineRule="auto"/>
        <w:ind w:firstLine="240"/>
        <w:rPr>
          <w:sz w:val="19"/>
          <w:szCs w:val="19"/>
        </w:rPr>
      </w:pPr>
      <w:r>
        <w:rPr>
          <w:sz w:val="19"/>
          <w:szCs w:val="19"/>
        </w:rPr>
        <w:t>Myslít</w:t>
      </w:r>
      <w:r>
        <w:rPr>
          <w:sz w:val="19"/>
          <w:szCs w:val="19"/>
        </w:rPr>
        <w:t>e, že to je náhoda, že jsme, jací jsme? Sám pravíte větu, která však, jak se zdá, neproniká nijak hlouběji k Vašemu vědomí: My, Němci, nacházíme se uprostřed revoluce, uprostřed přehodnocování všech hodnot; Vy, Češi, nemáte na této revoluci podíl. Nuže, sá</w:t>
      </w:r>
      <w:r>
        <w:rPr>
          <w:sz w:val="19"/>
          <w:szCs w:val="19"/>
        </w:rPr>
        <w:t>m říkáte jasně, kde je podstata věci. Když před rokem přišli nacionální socialisté do Vídně bylo pochopitelné, že žádali na rakouských občanech rychlé přizpůsobení. Rakouští občané byli totiž Němci. Měli přístup k myšlence německé revoluce, jak to sám nazý</w:t>
      </w:r>
      <w:r>
        <w:rPr>
          <w:sz w:val="19"/>
          <w:szCs w:val="19"/>
        </w:rPr>
        <w:t>váte. Nejen, že k ní měli přístup, ale měli v sobě zárodky nadšení a předpoklad pro stržení. Tato vichři</w:t>
      </w:r>
      <w:r>
        <w:rPr>
          <w:sz w:val="19"/>
          <w:szCs w:val="19"/>
        </w:rPr>
        <w:softHyphen/>
        <w:t>ce, která je německá, musí ovšem nadchnout každého Němce, protože mu dává účast na prudkém pohybu v dějinách. Máme svoji povahu a říkáte sám, že odolno</w:t>
      </w:r>
      <w:r>
        <w:rPr>
          <w:sz w:val="19"/>
          <w:szCs w:val="19"/>
        </w:rPr>
        <w:t>u. Tato povaha vyrostla z jiných kořenů, živily ji jiné pra</w:t>
      </w:r>
      <w:r>
        <w:rPr>
          <w:sz w:val="19"/>
          <w:szCs w:val="19"/>
        </w:rPr>
        <w:softHyphen/>
        <w:t>meny a udržovala ji jiná modlitba. Nic z toho, co prodělal německý národ v posledních dvaceti letech se nepodobá tomu, co prodělali Češi v posledních dvaceti letech.</w:t>
      </w:r>
    </w:p>
    <w:p w:rsidR="00500724" w:rsidRDefault="00F30FB8">
      <w:pPr>
        <w:pStyle w:val="Zkladntext100"/>
        <w:shd w:val="clear" w:color="auto" w:fill="auto"/>
        <w:spacing w:after="300" w:line="257" w:lineRule="auto"/>
        <w:ind w:firstLine="240"/>
        <w:rPr>
          <w:sz w:val="19"/>
          <w:szCs w:val="19"/>
        </w:rPr>
      </w:pPr>
      <w:r>
        <w:rPr>
          <w:sz w:val="19"/>
          <w:szCs w:val="19"/>
        </w:rPr>
        <w:t>Neobáváme se, že ztratíme svoj</w:t>
      </w:r>
      <w:r>
        <w:rPr>
          <w:sz w:val="19"/>
          <w:szCs w:val="19"/>
        </w:rPr>
        <w:t>i národnost.</w:t>
      </w:r>
    </w:p>
    <w:p w:rsidR="00500724" w:rsidRDefault="00F30FB8">
      <w:pPr>
        <w:pStyle w:val="Zkladntext100"/>
        <w:shd w:val="clear" w:color="auto" w:fill="auto"/>
        <w:spacing w:after="80" w:line="240" w:lineRule="auto"/>
        <w:ind w:firstLine="240"/>
        <w:rPr>
          <w:sz w:val="19"/>
          <w:szCs w:val="19"/>
        </w:rPr>
      </w:pPr>
      <w:r>
        <w:rPr>
          <w:sz w:val="19"/>
          <w:szCs w:val="19"/>
        </w:rPr>
        <w:t>Jedno slovo ve Vašem článku je ovšem trpčí všeho ostatního. Slovo prozatím....</w:t>
      </w:r>
    </w:p>
    <w:p w:rsidR="00500724" w:rsidRDefault="00F30FB8">
      <w:pPr>
        <w:pStyle w:val="Zkladntext100"/>
        <w:shd w:val="clear" w:color="auto" w:fill="auto"/>
        <w:spacing w:line="257" w:lineRule="auto"/>
        <w:ind w:firstLine="160"/>
        <w:rPr>
          <w:sz w:val="19"/>
          <w:szCs w:val="19"/>
        </w:rPr>
      </w:pPr>
      <w:r>
        <w:rPr>
          <w:sz w:val="19"/>
          <w:szCs w:val="19"/>
        </w:rPr>
        <w:t>Prozatím přenecháváme Čechům ... Prozatím očekává</w:t>
      </w:r>
      <w:r>
        <w:rPr>
          <w:sz w:val="19"/>
          <w:szCs w:val="19"/>
        </w:rPr>
        <w:softHyphen/>
        <w:t>me od Čechů. Prosím Vás, pochopte jednu věc: že už nesneseme žádné prozatím. Zkuste se na chvíli zamyslet nad tím,</w:t>
      </w:r>
      <w:r>
        <w:rPr>
          <w:sz w:val="19"/>
          <w:szCs w:val="19"/>
        </w:rPr>
        <w:t xml:space="preserve"> co jsme prodělali: jednou to bylo tak. Pak zase jinak. A potom onak. Vždycky, když už jsme mysleli, že jsme u konce, shledali jsme, že bylo všechno zbytečné. Představte si zástupy dělníků, kteří jdou denně po práci. Zástupy rolníků, kteří dnes pracují na </w:t>
      </w:r>
      <w:r>
        <w:rPr>
          <w:sz w:val="19"/>
          <w:szCs w:val="19"/>
        </w:rPr>
        <w:t>svém poli. Představte si národ osmi milionů, který chce konečně s pokojem a poklidně pracovat, aby udržel svou věc. Představte si, kolika otřesům byl vydán každý z nás: a neříkejte už nikdy slovo prozatím. Máte-li skutečně úctu k českému lidu a národu, jak</w:t>
      </w:r>
      <w:r>
        <w:rPr>
          <w:sz w:val="19"/>
          <w:szCs w:val="19"/>
        </w:rPr>
        <w:t xml:space="preserve"> píšete, projevte to tím, že ze svého myšlení vyškrtnete jakékoli provisorium a jakékoli překvapení, obsažené ve slově prozatím.</w:t>
      </w:r>
    </w:p>
    <w:p w:rsidR="00500724" w:rsidRDefault="00F30FB8">
      <w:pPr>
        <w:pStyle w:val="Zkladntext30"/>
        <w:shd w:val="clear" w:color="auto" w:fill="auto"/>
        <w:spacing w:after="0" w:line="240" w:lineRule="auto"/>
        <w:ind w:firstLine="0"/>
        <w:jc w:val="right"/>
        <w:rPr>
          <w:sz w:val="20"/>
          <w:szCs w:val="20"/>
        </w:rPr>
      </w:pPr>
      <w:r>
        <w:rPr>
          <w:i/>
          <w:iCs/>
          <w:sz w:val="20"/>
          <w:szCs w:val="20"/>
        </w:rPr>
        <w:t>Milena Jesenská</w:t>
      </w:r>
    </w:p>
    <w:p w:rsidR="00500724" w:rsidRDefault="00F30FB8">
      <w:pPr>
        <w:spacing w:line="1" w:lineRule="exact"/>
        <w:rPr>
          <w:sz w:val="2"/>
          <w:szCs w:val="2"/>
        </w:rPr>
      </w:pPr>
      <w:r>
        <w:br w:type="column"/>
      </w:r>
    </w:p>
    <w:p w:rsidR="00500724" w:rsidRDefault="00F30FB8">
      <w:pPr>
        <w:pStyle w:val="Jin0"/>
        <w:shd w:val="clear" w:color="auto" w:fill="auto"/>
        <w:spacing w:after="360"/>
        <w:ind w:firstLine="0"/>
        <w:jc w:val="left"/>
        <w:rPr>
          <w:sz w:val="44"/>
          <w:szCs w:val="44"/>
        </w:rPr>
      </w:pPr>
      <w:r>
        <w:rPr>
          <w:b/>
          <w:bCs/>
          <w:sz w:val="44"/>
          <w:szCs w:val="44"/>
          <w:u w:val="single"/>
        </w:rPr>
        <w:t>literatura a umění</w:t>
      </w:r>
    </w:p>
    <w:p w:rsidR="00500724" w:rsidRDefault="00F30FB8">
      <w:pPr>
        <w:pStyle w:val="Zkladntext30"/>
        <w:shd w:val="clear" w:color="auto" w:fill="auto"/>
        <w:spacing w:after="60" w:line="240" w:lineRule="auto"/>
        <w:ind w:firstLine="0"/>
        <w:jc w:val="left"/>
        <w:rPr>
          <w:sz w:val="20"/>
          <w:szCs w:val="20"/>
        </w:rPr>
      </w:pPr>
      <w:r>
        <w:rPr>
          <w:i/>
          <w:iCs/>
          <w:sz w:val="20"/>
          <w:szCs w:val="20"/>
        </w:rPr>
        <w:t>F. Peroutka,!</w:t>
      </w:r>
    </w:p>
    <w:p w:rsidR="00500724" w:rsidRDefault="00F30FB8">
      <w:pPr>
        <w:pStyle w:val="Nadpis100"/>
        <w:shd w:val="clear" w:color="auto" w:fill="auto"/>
        <w:spacing w:after="100" w:line="240" w:lineRule="auto"/>
        <w:jc w:val="left"/>
      </w:pPr>
      <w:bookmarkStart w:id="363" w:name="bookmark362"/>
      <w:r>
        <w:t>Národní umění se rodí stále znovu</w:t>
      </w:r>
      <w:bookmarkEnd w:id="363"/>
    </w:p>
    <w:p w:rsidR="00500724" w:rsidRDefault="00F30FB8">
      <w:pPr>
        <w:pStyle w:val="Zkladntext100"/>
        <w:shd w:val="clear" w:color="auto" w:fill="auto"/>
        <w:spacing w:line="290" w:lineRule="auto"/>
        <w:ind w:firstLine="300"/>
      </w:pPr>
      <w:r>
        <w:t xml:space="preserve">V tom se snad všichni shodujeme, že </w:t>
      </w:r>
      <w:r>
        <w:t>literatura a umění budou pro nás od 15. března mnohem více znamenati než dříve, kdy lidé mohli vybíjet svou vnitřní energii v onom zápase, který se vedl mezi stranami. Nebudeme mít už svých vyslanectví, ale to, co duševně vytvoříme, bude působit jako věčné</w:t>
      </w:r>
      <w:r>
        <w:t xml:space="preserve"> a nezrušitelné naše legace. Známost našeho jména ve světě bude více než dříve záviset na tom, co svedeme v říši ducha. Literatura - to jest nyní pro náš národ skoro tolik, jako je pro národy jiné Sieg</w:t>
      </w:r>
      <w:r>
        <w:softHyphen/>
        <w:t>friedova nebo Maginotova linie. Máme v tomto způsobu p</w:t>
      </w:r>
      <w:r>
        <w:t>ráce už staré národní zkušenosti: před sto lety znamenal pro nás Jungmannův slovník tolik jako vyhraná bitva.</w:t>
      </w:r>
    </w:p>
    <w:p w:rsidR="00500724" w:rsidRDefault="00F30FB8">
      <w:pPr>
        <w:pStyle w:val="Zkladntext100"/>
        <w:shd w:val="clear" w:color="auto" w:fill="auto"/>
        <w:spacing w:line="269" w:lineRule="auto"/>
        <w:ind w:firstLine="300"/>
      </w:pPr>
      <w:r>
        <w:t>Není pochyby o tom, že plné naší národní existencí bude třeba, aby vystoupili mohutní básníci, kteří zachytí podobu našeho života, zvláštní ráz na</w:t>
      </w:r>
      <w:r>
        <w:t>šich duší a kteří to, co mezi námi naleznou, vtělí v jasný a zřetelný tvar. Žádný národ neexistuje plně, nemá-li takových básníků. Německo začalo žít plným vlastním duchovním životem tehdy, když je Goethova generace vysvobodila z chladná mezinárodní franco</w:t>
      </w:r>
      <w:r>
        <w:t>uzské manýry. Rusko se stalo zřetelným faktem ve světě teprve tenkrát, když klasičtí ruští spiso</w:t>
      </w:r>
      <w:r>
        <w:softHyphen/>
        <w:t>vatelé, od Gogola po Turgeněva, popsali jeho hmotnou i duchovou skutečnost, bez ohledu na to, co čtli i Fran</w:t>
      </w:r>
      <w:r>
        <w:softHyphen/>
        <w:t>couzi. Národ bez takové výrazné národní literatury</w:t>
      </w:r>
      <w:r>
        <w:t xml:space="preserve"> je vždy poněkud národem bez obličeje. Zajisté nechceme do přehlídky evropských národů přijít s nezřetelnými a jako</w:t>
      </w:r>
      <w:r>
        <w:softHyphen/>
        <w:t>by smytými rysy</w:t>
      </w:r>
    </w:p>
    <w:p w:rsidR="00500724" w:rsidRDefault="00F30FB8">
      <w:pPr>
        <w:pStyle w:val="Zkladntext100"/>
        <w:shd w:val="clear" w:color="auto" w:fill="auto"/>
        <w:spacing w:line="269" w:lineRule="auto"/>
        <w:ind w:firstLine="300"/>
        <w:jc w:val="left"/>
      </w:pPr>
      <w:r>
        <w:t>O to se tedy mezi sebou příti nemusíme, že každé velké umění není jiné než národní. Nemůže být jiné. Tajemné jakési zákony p</w:t>
      </w:r>
      <w:r>
        <w:t>ůsobí, že ten umělec, který se odřízl od skutečnosti a obsahu svého národa, slábne a vybledá. Snad je to proto, že nikdo si nedovede všechno sám vy</w:t>
      </w:r>
      <w:r>
        <w:softHyphen/>
        <w:t>myslit a že každé velké umělecké dílo je ve skutečnosti dílem kolektivním: skutečnost, která obklopovala aut</w:t>
      </w:r>
      <w:r>
        <w:t>ora, snášela k němu kamének po kaménku, konec konců jen zvláštním způsobem sebral a uspořádal, co nalezl.</w:t>
      </w:r>
    </w:p>
    <w:p w:rsidR="00500724" w:rsidRDefault="00F30FB8">
      <w:pPr>
        <w:pStyle w:val="Zkladntext100"/>
        <w:shd w:val="clear" w:color="auto" w:fill="auto"/>
        <w:spacing w:after="60" w:line="269" w:lineRule="auto"/>
        <w:ind w:firstLine="300"/>
      </w:pPr>
      <w:r>
        <w:t>Jestliže o co může povstat spor, tedy o to, jak národní umění vzniká. Zejména politikové mívají někdy sklon věřiti, že je možno je pěstili přibližně p</w:t>
      </w:r>
      <w:r>
        <w:t>o způsobu slepi- čích farem, nebo že v umění má příkaz vrchnosti neodo</w:t>
      </w:r>
      <w:r>
        <w:softHyphen/>
        <w:t>latelnou moc. Ale nevěřte, že je možno čekat na zrození národního básníka s připravenou rákoskou nebo s Prokru- stovým ložem, ve kterém se bude osekávat vše, co přesa</w:t>
      </w:r>
      <w:r>
        <w:softHyphen/>
        <w:t>huje předem určené</w:t>
      </w:r>
      <w:r>
        <w:t xml:space="preserve"> schéma, a natahovat vše, co ho ne</w:t>
      </w:r>
      <w:r>
        <w:softHyphen/>
        <w:t>dosahuje. Umění, také národní umění, je organický plod duchovní přírody. Ačkoliv toto století se vyznamenává mnohými pokroky v zacházení s mrtvou hmotou, ještě ni</w:t>
      </w:r>
      <w:r>
        <w:softHyphen/>
        <w:t>komu se nepodařilo vymyslit si organismus.</w:t>
      </w:r>
    </w:p>
    <w:p w:rsidR="00500724" w:rsidRDefault="00F30FB8">
      <w:pPr>
        <w:pStyle w:val="Zkladntext100"/>
        <w:shd w:val="clear" w:color="auto" w:fill="auto"/>
        <w:spacing w:line="269" w:lineRule="auto"/>
        <w:ind w:firstLine="300"/>
      </w:pPr>
      <w:r>
        <w:rPr>
          <w:noProof/>
        </w:rPr>
        <mc:AlternateContent>
          <mc:Choice Requires="wps">
            <w:drawing>
              <wp:anchor distT="12700" distB="254000" distL="114300" distR="114300" simplePos="0" relativeHeight="125829746" behindDoc="0" locked="0" layoutInCell="1" allowOverlap="1">
                <wp:simplePos x="0" y="0"/>
                <wp:positionH relativeFrom="page">
                  <wp:posOffset>498475</wp:posOffset>
                </wp:positionH>
                <wp:positionV relativeFrom="margin">
                  <wp:posOffset>9135110</wp:posOffset>
                </wp:positionV>
                <wp:extent cx="228600" cy="170815"/>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228600" cy="170815"/>
                        </a:xfrm>
                        <a:prstGeom prst="rect">
                          <a:avLst/>
                        </a:prstGeom>
                        <a:noFill/>
                      </wps:spPr>
                      <wps:txbx>
                        <w:txbxContent>
                          <w:p w:rsidR="00500724" w:rsidRDefault="00F30FB8">
                            <w:pPr>
                              <w:pStyle w:val="Zkladntext30"/>
                              <w:shd w:val="clear" w:color="auto" w:fill="auto"/>
                              <w:spacing w:after="0" w:line="240" w:lineRule="auto"/>
                              <w:ind w:firstLine="0"/>
                              <w:jc w:val="left"/>
                              <w:rPr>
                                <w:sz w:val="20"/>
                                <w:szCs w:val="20"/>
                              </w:rPr>
                            </w:pPr>
                            <w:r>
                              <w:rPr>
                                <w:i/>
                                <w:iCs/>
                                <w:sz w:val="20"/>
                                <w:szCs w:val="20"/>
                              </w:rPr>
                              <w:t>S.S.4</w:t>
                            </w:r>
                          </w:p>
                        </w:txbxContent>
                      </wps:txbx>
                      <wps:bodyPr lIns="0" tIns="0" rIns="0" bIns="0">
                        <a:spAutoFit/>
                      </wps:bodyPr>
                    </wps:wsp>
                  </a:graphicData>
                </a:graphic>
              </wp:anchor>
            </w:drawing>
          </mc:Choice>
          <mc:Fallback>
            <w:pict>
              <v:shape id="_x0000_s1395" type="#_x0000_t202" style="position:absolute;margin-left:39.25pt;margin-top:719.29999999999995pt;width:18.pt;height:13.449999999999999pt;z-index:-125829007;mso-wrap-distance-left:9.pt;mso-wrap-distance-top:1.pt;mso-wrap-distance-right:9.pt;mso-wrap-distance-bottom:20.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S.S.4</w:t>
                      </w:r>
                    </w:p>
                  </w:txbxContent>
                </v:textbox>
                <w10:wrap type="topAndBottom" anchorx="page" anchory="margin"/>
              </v:shape>
            </w:pict>
          </mc:Fallback>
        </mc:AlternateContent>
      </w:r>
      <w:r>
        <w:t>Sebe r</w:t>
      </w:r>
      <w:r>
        <w:t>áznější vláda by ztroskotala, kdyby chtěla při</w:t>
      </w:r>
      <w:r>
        <w:softHyphen/>
        <w:t>mět nitro dvou nebo tří umělců, aby přijalo podobu jejích paragrafů. Zajisté, může dosáhnout, že duchové nižšího řá</w:t>
      </w:r>
      <w:r>
        <w:softHyphen/>
        <w:t>du budou otrocky opakovat její pravidla a přičesávat svá</w:t>
      </w:r>
      <w:r>
        <w:br w:type="page"/>
        <w:t>dílka přesně podle onoho vzoru, kter</w:t>
      </w:r>
      <w:r>
        <w:t>ý jim bude zaslán. Ale pravé národní umění doby vyroste zatím stranou to</w:t>
      </w:r>
      <w:r>
        <w:softHyphen/>
        <w:t>hoto sboru hodných a poslušných individuí.</w:t>
      </w:r>
    </w:p>
    <w:p w:rsidR="00500724" w:rsidRDefault="00F30FB8">
      <w:pPr>
        <w:pStyle w:val="Zkladntext100"/>
        <w:shd w:val="clear" w:color="auto" w:fill="auto"/>
        <w:spacing w:line="288" w:lineRule="auto"/>
        <w:ind w:firstLine="0"/>
        <w:jc w:val="center"/>
      </w:pPr>
      <w:r>
        <w:t>•</w:t>
      </w:r>
    </w:p>
    <w:p w:rsidR="00500724" w:rsidRDefault="00F30FB8">
      <w:pPr>
        <w:pStyle w:val="Zkladntext100"/>
        <w:shd w:val="clear" w:color="auto" w:fill="auto"/>
        <w:spacing w:line="266" w:lineRule="auto"/>
        <w:ind w:firstLine="320"/>
      </w:pPr>
      <w:r>
        <w:t>Tomu, abychom národní umění předem úředně připra</w:t>
      </w:r>
      <w:r>
        <w:softHyphen/>
        <w:t>vovali, stojí v cestě velká překážka. Nejen žádná vláda a žádná strana, ale ani žádný mys</w:t>
      </w:r>
      <w:r>
        <w:t>litel o umění nedovede předem říci, jak bude vypadat ráz národního umění v té nebo oné epoše. O Janu Nerudovi není nikde po</w:t>
      </w:r>
      <w:r>
        <w:softHyphen/>
        <w:t>chyb, že sluší se jej zařaditi mezi básníky nejnárod</w:t>
      </w:r>
      <w:r>
        <w:softHyphen/>
        <w:t>nější. Když však sepsal svou první knížku, pravila tehdejší vlastenecká veřejno</w:t>
      </w:r>
      <w:r>
        <w:t>st, že jej možno si také za</w:t>
      </w:r>
      <w:r>
        <w:softHyphen/>
        <w:t>řadit do knihovny - aby člověk tam měl také nějakou tu kuriositu. Neruda a kuriosita! Vlastenci z počátků Neru</w:t>
      </w:r>
      <w:r>
        <w:softHyphen/>
        <w:t>dových prostě nedovedli odhadnout, jako snad nikdo ne</w:t>
      </w:r>
      <w:r>
        <w:softHyphen/>
        <w:t>dovede, jak bude vypadat národní umění blížící se epo</w:t>
      </w:r>
      <w:r>
        <w:softHyphen/>
        <w:t>chy. Po l</w:t>
      </w:r>
      <w:r>
        <w:t>etech, když se pak už zdálo, že pojem národního básníka je dostatečně znám a objasněn, a když kraloval Svatopluk Čech, vynořila se pojednou nad hladinu české</w:t>
      </w:r>
      <w:r>
        <w:softHyphen/>
        <w:t>ho písemnictví ježatá hlava a podivný zjev Petra Bezruče: čpět silný národní básník a přece, kdo b</w:t>
      </w:r>
      <w:r>
        <w:t>y byl před tím předpověděl tuto podobu, kdo by předem byl dovedl se</w:t>
      </w:r>
      <w:r>
        <w:softHyphen/>
        <w:t>psat recept na tento typ národního básníka? Kdyby byla tehdy existovala nějaká instituce, která by jednou provždy stanovila, co sluší pokládat za národní básnictví, byla by musila poesii B</w:t>
      </w:r>
      <w:r>
        <w:t xml:space="preserve">ezručovu potlačit, poněvadž neměla místa </w:t>
      </w:r>
      <w:r>
        <w:rPr>
          <w:b/>
          <w:bCs/>
          <w:sz w:val="20"/>
          <w:szCs w:val="20"/>
        </w:rPr>
        <w:t xml:space="preserve">v </w:t>
      </w:r>
      <w:r>
        <w:t>žádných současných pravidlech.</w:t>
      </w:r>
    </w:p>
    <w:p w:rsidR="00500724" w:rsidRDefault="00F30FB8">
      <w:pPr>
        <w:pStyle w:val="Zkladntext100"/>
        <w:shd w:val="clear" w:color="auto" w:fill="auto"/>
        <w:spacing w:line="269" w:lineRule="auto"/>
        <w:ind w:firstLine="320"/>
      </w:pPr>
      <w:r>
        <w:t xml:space="preserve">Také když se v české hudbě objevil Bedřich Smetana, nepovstal jásot ctitelů české národní hudby, nýbrž spíše jejich rozmrzení: tento muž, pravilo se, chce zavléci do české hudby </w:t>
      </w:r>
      <w:r>
        <w:t>německé způsoby, tento muž svými tóny němčí. Je pravda, že cd té doby vzpomíná se na tyto kri</w:t>
      </w:r>
      <w:r>
        <w:softHyphen/>
        <w:t>tiky jen s posměchem. Ale je to dalším dokladem these, že sotva která doba dovede předem odhadnouti ráz národního umění, jež se v ní rodí.</w:t>
      </w:r>
    </w:p>
    <w:p w:rsidR="00500724" w:rsidRDefault="00F30FB8">
      <w:pPr>
        <w:pStyle w:val="Zkladntext100"/>
        <w:shd w:val="clear" w:color="auto" w:fill="auto"/>
        <w:spacing w:line="269" w:lineRule="auto"/>
        <w:ind w:firstLine="320"/>
      </w:pPr>
      <w:r>
        <w:t>Tyto staré zkušenosti m</w:t>
      </w:r>
      <w:r>
        <w:t>ěly by i naši dobu naladit k opatrnosti. Má-li někdo mezi námi připraven krátký provaz, aby na něj umělce přivázal, nechť jej odloží. Má-li někdo připravenu pro nás duševní dietu o chlebu a vodě, nechť ji rozhojní. Jednáme-li s dnešními básníky, dejme si p</w:t>
      </w:r>
      <w:r>
        <w:t>ozor, aby nás budoucnost jednou nezařadila do onoho skutečného kabinetu kuriosit, ve kterém jsou vystaveni první kritikové Máchovi, první kritikové Ne</w:t>
      </w:r>
      <w:r>
        <w:softHyphen/>
        <w:t>rudovi a Smetanovi. Zejména politika má chodit po špič</w:t>
      </w:r>
      <w:r>
        <w:softHyphen/>
        <w:t>kách před oněmi místy, na nichž se odehrává proces</w:t>
      </w:r>
      <w:r>
        <w:t xml:space="preserve"> uměleckého tvoření.</w:t>
      </w:r>
    </w:p>
    <w:p w:rsidR="00500724" w:rsidRDefault="00F30FB8">
      <w:pPr>
        <w:pStyle w:val="Zkladntext100"/>
        <w:shd w:val="clear" w:color="auto" w:fill="auto"/>
        <w:spacing w:line="269" w:lineRule="auto"/>
        <w:ind w:firstLine="320"/>
      </w:pPr>
      <w:r>
        <w:t xml:space="preserve">Stačí vzpomenout na spory </w:t>
      </w:r>
      <w:r>
        <w:rPr>
          <w:lang w:val="en-US" w:eastAsia="en-US" w:bidi="en-US"/>
        </w:rPr>
        <w:t>Rieger</w:t>
      </w:r>
      <w:r>
        <w:t>-Smetana, abychoirt si uvědomili, že mnohé květiny by nerostly, kdyby péče O jejich růst byla svěřena nějaké politické komisi.</w:t>
      </w:r>
    </w:p>
    <w:p w:rsidR="00500724" w:rsidRDefault="00F30FB8">
      <w:pPr>
        <w:pStyle w:val="Zkladntext100"/>
        <w:shd w:val="clear" w:color="auto" w:fill="auto"/>
        <w:spacing w:after="40" w:line="266" w:lineRule="auto"/>
        <w:ind w:firstLine="320"/>
      </w:pPr>
      <w:r>
        <w:t>Ani tam, kde jde o národní umění, není možno se za</w:t>
      </w:r>
      <w:r>
        <w:softHyphen/>
        <w:t>stavit na jednom místě, b</w:t>
      </w:r>
      <w:r>
        <w:t xml:space="preserve">yť posvátném, a říci: nuže, zde jest konec světa, dále není možno, vše, co by se od tohoto lišilo, není už národní. Kdyby si byli češi kdysi tímto způsobem řekli, že Smetana a Aleš jsou posledním </w:t>
      </w:r>
      <w:r>
        <w:rPr>
          <w:b/>
          <w:bCs/>
          <w:sz w:val="20"/>
          <w:szCs w:val="20"/>
        </w:rPr>
        <w:t xml:space="preserve">a </w:t>
      </w:r>
      <w:r>
        <w:t>jediným slovem národního umění, co by jiného bylo zbylo tě</w:t>
      </w:r>
      <w:r>
        <w:t>m, kdo přišli po nich, jiného než — než do neko</w:t>
      </w:r>
      <w:r>
        <w:softHyphen/>
        <w:t>nečna napodobovat tyto staré formy? čím by bylo bý</w:t>
      </w:r>
      <w:r>
        <w:softHyphen/>
        <w:t>valo české umění od té doby jiným než zrcadlovým sálem, kde sta zrcadel obráží týž předmět? Umělec, který jen opakuje minulost, je neschopný vyjadřovat příto</w:t>
      </w:r>
      <w:r>
        <w:t>m</w:t>
      </w:r>
      <w:r>
        <w:softHyphen/>
        <w:t>nost a sloužit budoucnosti. Varujme se přinésti do svého tvořivého života jakoukoliv svěrací kazajku tohoto druhu a jakékoliv podobné pošetilé pravidlo: jen co bylo, jest pravé a ryzí, co nyní jest, jest však jen pára a dým. To jest pravidlo slabých, i k</w:t>
      </w:r>
      <w:r>
        <w:t>dyž se tváří rozhodně.</w:t>
      </w:r>
    </w:p>
    <w:p w:rsidR="00500724" w:rsidRDefault="00F30FB8">
      <w:pPr>
        <w:pStyle w:val="Zkladntext100"/>
        <w:shd w:val="clear" w:color="auto" w:fill="auto"/>
        <w:spacing w:after="40" w:line="269" w:lineRule="auto"/>
        <w:ind w:firstLine="260"/>
      </w:pPr>
      <w:r>
        <w:t>F. X. Salda napsal kdysi: Hodnota náboženství národ</w:t>
      </w:r>
      <w:r>
        <w:softHyphen/>
        <w:t>ního jest v tom, že vyjímá několik posledních, nejzáklad</w:t>
      </w:r>
      <w:r>
        <w:softHyphen/>
        <w:t>nějších a nejvšeobecnějších představ, pojmů, citů a soudů z obecného pochybovačství, ze skepse, změny, pohybu a diskuse a pr</w:t>
      </w:r>
      <w:r>
        <w:t>oměňuje je v nejvyšší kriteria, v neproměnné symboly, v něco, co stojí a pevně trvá jako střed, osa v obecném víření a kolotání, jakým do</w:t>
      </w:r>
      <w:r>
        <w:softHyphen/>
        <w:t>brodiním jest národní náboženství pro básníka, pochopíš na Balzacovi a Dostojevském, ti mohli vésti nejdobro</w:t>
      </w:r>
      <w:r>
        <w:softHyphen/>
        <w:t>družnější</w:t>
      </w:r>
      <w:r>
        <w:t xml:space="preserve"> život na periferii, kdyžtě měli pevný střed v několika axiómatech národního náboženství.</w:t>
      </w:r>
    </w:p>
    <w:p w:rsidR="00500724" w:rsidRDefault="00F30FB8">
      <w:pPr>
        <w:pStyle w:val="Zkladntext100"/>
        <w:shd w:val="clear" w:color="auto" w:fill="auto"/>
        <w:spacing w:after="40" w:line="269" w:lineRule="auto"/>
        <w:ind w:firstLine="260"/>
      </w:pPr>
      <w:r>
        <w:t>Ano, jaké jest však naše národní náboženství? Jaké jsou ony naše vnitřní jistoty, jež teprve dají básníku pevnost a národnímu umění páteř? O tom se musíme nej</w:t>
      </w:r>
      <w:r>
        <w:softHyphen/>
        <w:t xml:space="preserve">dříve </w:t>
      </w:r>
      <w:r>
        <w:t xml:space="preserve">dohodnout, nebo ještě spíše, to musíme odevždy cítit. Jisto jest, že jen taková víra jest národní vírou, která má tu vlastnost, že nás spojuje s našimi předky a kterou možno stopovali, jak se brala celými českými staletími. Není českou národní vírou žádná </w:t>
      </w:r>
      <w:r>
        <w:t>myšlenka, které naši předkové neznali, která nebyla jimi spolu- tvořena.</w:t>
      </w:r>
    </w:p>
    <w:p w:rsidR="00500724" w:rsidRDefault="00F30FB8">
      <w:pPr>
        <w:pStyle w:val="Zkladntext100"/>
        <w:shd w:val="clear" w:color="auto" w:fill="auto"/>
        <w:spacing w:after="520" w:line="271" w:lineRule="auto"/>
        <w:ind w:firstLine="260"/>
      </w:pPr>
      <w:r>
        <w:t>Nad naším národním obzorem se nyní rojí mnoho jednodenních jepic, jejichž shon, jak se zdá, se na štěstí nám i Němcům stejně protiví. Jejich inspirací bývá oby</w:t>
      </w:r>
      <w:r>
        <w:softHyphen/>
        <w:t>čejně chtivost, pro kte</w:t>
      </w:r>
      <w:r>
        <w:t xml:space="preserve">rou jsou ochotni kdekoho a kdeco obětovat. Také v umění vznikne nepochybně podobné rojení a poletování. Majíce však v očích zář staré národní víry a majíce srdce obrněno pevností, jež </w:t>
      </w:r>
      <w:r>
        <w:rPr>
          <w:b/>
          <w:bCs/>
          <w:sz w:val="20"/>
          <w:szCs w:val="20"/>
        </w:rPr>
        <w:t xml:space="preserve">z </w:t>
      </w:r>
      <w:r>
        <w:t>ní vychází, jak bychom jepice nepoznali a neodmítli?</w:t>
      </w:r>
    </w:p>
    <w:p w:rsidR="00500724" w:rsidRDefault="00F30FB8">
      <w:pPr>
        <w:pStyle w:val="Zkladntext30"/>
        <w:shd w:val="clear" w:color="auto" w:fill="auto"/>
        <w:spacing w:line="286" w:lineRule="auto"/>
        <w:ind w:firstLine="0"/>
        <w:rPr>
          <w:sz w:val="20"/>
          <w:szCs w:val="20"/>
        </w:rPr>
      </w:pPr>
      <w:r>
        <w:rPr>
          <w:i/>
          <w:iCs/>
          <w:sz w:val="20"/>
          <w:szCs w:val="20"/>
        </w:rPr>
        <w:t>František Košík i</w:t>
      </w:r>
    </w:p>
    <w:p w:rsidR="00500724" w:rsidRDefault="00F30FB8">
      <w:pPr>
        <w:pStyle w:val="Nadpis100"/>
        <w:shd w:val="clear" w:color="auto" w:fill="auto"/>
        <w:spacing w:line="240" w:lineRule="auto"/>
        <w:ind w:left="480"/>
        <w:jc w:val="left"/>
      </w:pPr>
      <w:bookmarkStart w:id="364" w:name="bookmark363"/>
      <w:r>
        <w:t>Umění poslouchati rozhlas</w:t>
      </w:r>
      <w:bookmarkEnd w:id="364"/>
    </w:p>
    <w:p w:rsidR="00500724" w:rsidRDefault="00F30FB8">
      <w:pPr>
        <w:pStyle w:val="Zkladntext30"/>
        <w:shd w:val="clear" w:color="auto" w:fill="auto"/>
        <w:spacing w:after="0" w:line="230" w:lineRule="auto"/>
        <w:ind w:left="540" w:firstLine="180"/>
        <w:rPr>
          <w:sz w:val="20"/>
          <w:szCs w:val="20"/>
        </w:rPr>
      </w:pPr>
      <w:r>
        <w:rPr>
          <w:sz w:val="20"/>
          <w:szCs w:val="20"/>
        </w:rPr>
        <w:t>»Je však divadlo, které miluji, totiž divadlo fan</w:t>
      </w:r>
      <w:r>
        <w:rPr>
          <w:sz w:val="20"/>
          <w:szCs w:val="20"/>
        </w:rPr>
        <w:softHyphen/>
        <w:t>tastické, výstřední, nemožné.,. Hlediště je plné duší básníků, sedících na perleťových sedadlech, které se dívají na hru kapkami rosy, upevněných na zlatých pěstících lilií.«</w:t>
      </w:r>
    </w:p>
    <w:p w:rsidR="00500724" w:rsidRDefault="00F30FB8">
      <w:pPr>
        <w:pStyle w:val="Zkladntext30"/>
        <w:shd w:val="clear" w:color="auto" w:fill="auto"/>
        <w:spacing w:after="80" w:line="209" w:lineRule="auto"/>
        <w:ind w:firstLine="0"/>
        <w:jc w:val="right"/>
      </w:pPr>
      <w:r>
        <w:t xml:space="preserve">T. </w:t>
      </w:r>
      <w:r>
        <w:rPr>
          <w:lang w:val="en-US" w:eastAsia="en-US" w:bidi="en-US"/>
        </w:rPr>
        <w:t>G</w:t>
      </w:r>
      <w:r>
        <w:rPr>
          <w:lang w:val="en-US" w:eastAsia="en-US" w:bidi="en-US"/>
        </w:rPr>
        <w:t xml:space="preserve">autier, Mile </w:t>
      </w:r>
      <w:r>
        <w:t xml:space="preserve">de </w:t>
      </w:r>
      <w:r>
        <w:rPr>
          <w:lang w:val="en-US" w:eastAsia="en-US" w:bidi="en-US"/>
        </w:rPr>
        <w:t>Maupin,</w:t>
      </w:r>
    </w:p>
    <w:p w:rsidR="00500724" w:rsidRDefault="00F30FB8">
      <w:pPr>
        <w:pStyle w:val="Zkladntext30"/>
        <w:shd w:val="clear" w:color="auto" w:fill="auto"/>
        <w:spacing w:line="257" w:lineRule="auto"/>
      </w:pPr>
      <w:r>
        <w:rPr>
          <w:noProof/>
        </w:rPr>
        <mc:AlternateContent>
          <mc:Choice Requires="wps">
            <w:drawing>
              <wp:anchor distT="12700" distB="254000" distL="114300" distR="114300" simplePos="0" relativeHeight="125829748" behindDoc="0" locked="0" layoutInCell="1" allowOverlap="1">
                <wp:simplePos x="0" y="0"/>
                <wp:positionH relativeFrom="page">
                  <wp:posOffset>6827520</wp:posOffset>
                </wp:positionH>
                <wp:positionV relativeFrom="margin">
                  <wp:posOffset>9110345</wp:posOffset>
                </wp:positionV>
                <wp:extent cx="237490" cy="170815"/>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237490" cy="170815"/>
                        </a:xfrm>
                        <a:prstGeom prst="rect">
                          <a:avLst/>
                        </a:prstGeom>
                        <a:noFill/>
                      </wps:spPr>
                      <wps:txbx>
                        <w:txbxContent>
                          <w:p w:rsidR="00500724" w:rsidRDefault="00F30FB8">
                            <w:pPr>
                              <w:pStyle w:val="Zkladntext30"/>
                              <w:shd w:val="clear" w:color="auto" w:fill="auto"/>
                              <w:spacing w:after="0" w:line="240" w:lineRule="auto"/>
                              <w:ind w:firstLine="0"/>
                              <w:jc w:val="left"/>
                              <w:rPr>
                                <w:sz w:val="20"/>
                                <w:szCs w:val="20"/>
                              </w:rPr>
                            </w:pPr>
                            <w:r>
                              <w:rPr>
                                <w:i/>
                                <w:iCs/>
                                <w:sz w:val="20"/>
                                <w:szCs w:val="20"/>
                              </w:rPr>
                              <w:t>s.25</w:t>
                            </w:r>
                          </w:p>
                        </w:txbxContent>
                      </wps:txbx>
                      <wps:bodyPr lIns="0" tIns="0" rIns="0" bIns="0">
                        <a:spAutoFit/>
                      </wps:bodyPr>
                    </wps:wsp>
                  </a:graphicData>
                </a:graphic>
              </wp:anchor>
            </w:drawing>
          </mc:Choice>
          <mc:Fallback>
            <w:pict>
              <v:shape id="_x0000_s1397" type="#_x0000_t202" style="position:absolute;margin-left:537.60000000000002pt;margin-top:717.35000000000002pt;width:18.699999999999999pt;height:13.449999999999999pt;z-index:-125829005;mso-wrap-distance-left:9.pt;mso-wrap-distance-top:1.pt;mso-wrap-distance-right:9.pt;mso-wrap-distance-bottom:20.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s.25</w:t>
                      </w:r>
                    </w:p>
                  </w:txbxContent>
                </v:textbox>
                <w10:wrap type="topAndBottom" anchorx="page" anchory="margin"/>
              </v:shape>
            </w:pict>
          </mc:Fallback>
        </mc:AlternateContent>
      </w:r>
      <w:r>
        <w:t>Rozhlasová hra splývá po vlnách éterem, jako ne</w:t>
      </w:r>
      <w:r>
        <w:softHyphen/>
        <w:t xml:space="preserve">viditelný proud se line světem, naráží na vnitřní okruh, v němž nervy jsou anténou; ale naše organismy nejsou dostatečně citlivé, potřebujeme zvukové vlny zesíliti potřebnou </w:t>
      </w:r>
      <w:r>
        <w:t>aparaturou. Přijímač však neni zdrojem; tato falešná představa zavinuje tolik blou</w:t>
      </w:r>
      <w:r>
        <w:softHyphen/>
        <w:t>dění v divadelních a filmových analogiích. Přijímač je jen prostředníkem; pravé umělecké dění se neode</w:t>
      </w:r>
      <w:r>
        <w:softHyphen/>
        <w:t xml:space="preserve">hrává v něm, ale v n á s. Prožíváme to, co se vysílá, ne však jako na </w:t>
      </w:r>
      <w:r>
        <w:t xml:space="preserve">promítací ploše, ne odrazem, na plošei našich smyslů, ale přímo v nitru jako vlastní zážitek, </w:t>
      </w:r>
      <w:r>
        <w:rPr>
          <w:b/>
          <w:bCs/>
          <w:sz w:val="26"/>
          <w:szCs w:val="26"/>
        </w:rPr>
        <w:t xml:space="preserve">V </w:t>
      </w:r>
      <w:r>
        <w:t>tom smyslu je rozhlas blíž telepatii než třeba filmu,</w:t>
      </w:r>
    </w:p>
    <w:p w:rsidR="00500724" w:rsidRDefault="00F30FB8">
      <w:pPr>
        <w:pStyle w:val="Zkladntext20"/>
        <w:shd w:val="clear" w:color="auto" w:fill="auto"/>
        <w:spacing w:line="264" w:lineRule="auto"/>
        <w:ind w:firstLine="0"/>
      </w:pPr>
      <w:r>
        <w:t xml:space="preserve">Mikrofon je naším uchem, my sami jsme přijímací aparát. Stýkáme se s hercem ve společném ohnisku duchové </w:t>
      </w:r>
      <w:r>
        <w:t>akustiky. Jen to jediné spojení s hercem je je nám přáno. Odtělesněný hlas hercův se stává naším vlastním hlasem. Hlasy všeho jsou tedy v nás; co na je</w:t>
      </w:r>
      <w:r>
        <w:softHyphen/>
        <w:t xml:space="preserve">višti potřebovalo alegorie (Starost, Láska—například v »Jedermannovi«), to vše promlouvá přímo z našeho </w:t>
      </w:r>
      <w:r>
        <w:t>nitra jako naše vlastní vlastnosti a pocity.</w:t>
      </w:r>
    </w:p>
    <w:p w:rsidR="00500724" w:rsidRDefault="00F30FB8">
      <w:pPr>
        <w:pStyle w:val="Zkladntext20"/>
        <w:shd w:val="clear" w:color="auto" w:fill="auto"/>
        <w:spacing w:line="240" w:lineRule="auto"/>
      </w:pPr>
      <w:r>
        <w:t>Témata rozhlasových her jsou tak dána hesly: boj o myšlenku, boj s myšlenkou, boj myšlenky se světem! Za dřívějších dramatických forem potřeboval divák, aby někdo za něho oznámil i onen vlastní vnitřní pro</w:t>
      </w:r>
      <w:r>
        <w:softHyphen/>
        <w:t>žitek</w:t>
      </w:r>
      <w:r>
        <w:t>; jeho ztělesněním se divákovi dostávalo kontro</w:t>
      </w:r>
      <w:r>
        <w:softHyphen/>
        <w:t>ly, zda cítí a soudí správně a jeho prožitek se pro</w:t>
      </w:r>
      <w:r>
        <w:softHyphen/>
        <w:t>hluboval. Tuto funkci zastupoval řecký chór, středo</w:t>
      </w:r>
      <w:r>
        <w:softHyphen/>
        <w:t>věký hlasatel a vyprávěč v prvotních rozhlasových pokusech. Dnes už toho nepotřebuje ani divadelní divák</w:t>
      </w:r>
      <w:r>
        <w:t xml:space="preserve"> ani rozhlasový posluchač. Dovede si učinit úsudek sám — a dramatik dovede mluvit a přesvědčo</w:t>
      </w:r>
      <w:r>
        <w:softHyphen/>
        <w:t>vat i bez chóru.</w:t>
      </w:r>
    </w:p>
    <w:p w:rsidR="00500724" w:rsidRDefault="00F30FB8">
      <w:pPr>
        <w:pStyle w:val="Zkladntext20"/>
        <w:shd w:val="clear" w:color="auto" w:fill="auto"/>
        <w:spacing w:after="140" w:line="240" w:lineRule="auto"/>
      </w:pPr>
      <w:r>
        <w:t>A dovedeme-li naslouchati nitrem, dovedeme slyšet i víc než je ve slovech a zvucích; slova nám dají obrazy, tóny, barvu, naučíme se i vidět zvuky</w:t>
      </w:r>
      <w:r>
        <w:t>. Vy</w:t>
      </w:r>
      <w:r>
        <w:softHyphen/>
        <w:t>žaduje to velké vzájemné citlivosti smyslů, ale ne</w:t>
      </w:r>
      <w:r>
        <w:softHyphen/>
        <w:t xml:space="preserve">napadlo vám nikdy, že břeskné zavolání polnice má červenou barvu (jak tvrdil </w:t>
      </w:r>
      <w:r>
        <w:rPr>
          <w:lang w:val="en-US" w:eastAsia="en-US" w:bidi="en-US"/>
        </w:rPr>
        <w:t xml:space="preserve">Wilde) </w:t>
      </w:r>
      <w:r>
        <w:t xml:space="preserve">nebo při plynulé, vláčné melodii Ossianovo »light </w:t>
      </w:r>
      <w:r>
        <w:rPr>
          <w:lang w:val="en-US" w:eastAsia="en-US" w:bidi="en-US"/>
        </w:rPr>
        <w:t xml:space="preserve">of the </w:t>
      </w:r>
      <w:r>
        <w:t>song«? Kdyby toto rozšíření sluchových dojmů do společenstv</w:t>
      </w:r>
      <w:r>
        <w:t>í ostat</w:t>
      </w:r>
      <w:r>
        <w:softHyphen/>
        <w:t>ních smyslů bylo vskutku všeobecně možné, dodalo by to zajisté rozhlasovému poslechu neobyčejné za</w:t>
      </w:r>
      <w:r>
        <w:softHyphen/>
        <w:t xml:space="preserve">jímavosti </w:t>
      </w:r>
      <w:r>
        <w:rPr>
          <w:i/>
          <w:iCs/>
        </w:rPr>
        <w:t>a</w:t>
      </w:r>
      <w:r>
        <w:t xml:space="preserve"> podmanivosti a obohatilo by to duševní zážitky posluchačovy. T. A. Hoffmannovi se jednou zdálo, že jako dirigent volal na zpěvačku, aby v</w:t>
      </w:r>
      <w:r>
        <w:t>ložila do zpěvu víc karafiátové vůně. Snad je to zatím něko</w:t>
      </w:r>
      <w:r>
        <w:softHyphen/>
        <w:t>mu k smíchu. Ale máte-li dost schopnosti a dobré vůle k oddané zkoušce, přesvědčte se sami na sobě, zda byste nenalezli melodie modré a zlaté, hlasy jako svit a ticho jako tmu, slova, co hladí a d</w:t>
      </w:r>
      <w:r>
        <w:t>rásají, píseň jako pole lnu a vyznání jako růži?</w:t>
      </w:r>
    </w:p>
    <w:p w:rsidR="00500724" w:rsidRDefault="00F30FB8">
      <w:pPr>
        <w:pStyle w:val="Zkladntext20"/>
        <w:shd w:val="clear" w:color="auto" w:fill="auto"/>
        <w:spacing w:line="233" w:lineRule="auto"/>
        <w:ind w:left="560" w:right="600" w:firstLine="1180"/>
        <w:jc w:val="left"/>
        <w:rPr>
          <w:sz w:val="20"/>
          <w:szCs w:val="20"/>
        </w:rPr>
      </w:pPr>
      <w:r>
        <w:rPr>
          <w:sz w:val="20"/>
          <w:szCs w:val="20"/>
        </w:rPr>
        <w:t>Cigareta bez kouře »Když přijde zima pak a jednotvárné sněhy, si pokoj zabedním a zastru odevšad, bych zámky kouzelné moh v noci budovat...</w:t>
      </w:r>
    </w:p>
    <w:p w:rsidR="00500724" w:rsidRDefault="00F30FB8">
      <w:pPr>
        <w:pStyle w:val="Zkladntext20"/>
        <w:shd w:val="clear" w:color="auto" w:fill="auto"/>
        <w:spacing w:line="240" w:lineRule="auto"/>
        <w:ind w:firstLine="2560"/>
      </w:pPr>
      <w:r>
        <w:rPr>
          <w:sz w:val="20"/>
          <w:szCs w:val="20"/>
        </w:rPr>
        <w:t xml:space="preserve">Ch. </w:t>
      </w:r>
      <w:r>
        <w:rPr>
          <w:sz w:val="20"/>
          <w:szCs w:val="20"/>
          <w:lang w:val="en-US" w:eastAsia="en-US" w:bidi="en-US"/>
        </w:rPr>
        <w:t xml:space="preserve">Baudelaire, </w:t>
      </w:r>
      <w:r>
        <w:rPr>
          <w:sz w:val="20"/>
          <w:szCs w:val="20"/>
        </w:rPr>
        <w:t xml:space="preserve">Paysage. </w:t>
      </w:r>
      <w:r>
        <w:t>Mikrofon je filtrem viditelnosti a hmotnos</w:t>
      </w:r>
      <w:r>
        <w:t>ti. Po</w:t>
      </w:r>
      <w:r>
        <w:softHyphen/>
        <w:t>sluchač slyší a nevidí. Bere se mu požitek, podobný tomu, jaký má kuřák, když vdechuje kouř a dívá se do závitů dýmu. Vezměte mu kouř a vezmete mu vel</w:t>
      </w:r>
      <w:r>
        <w:softHyphen/>
        <w:t>kou část požitku, i když se v zásadě nic nezměnilo. Posluchač sleduje slovo bez optického dojmu; n</w:t>
      </w:r>
      <w:r>
        <w:t>ebyl dosud na nic takového zvyklý a musí to v něm vzbuzo</w:t>
      </w:r>
      <w:r>
        <w:softHyphen/>
        <w:t>vat přirozenou nudu — asi jako když je zbožný věřící v kostele a pohled na kazatelnu je mu kryt sloupem. Byl vychován divadlem a filmem, dá se čekat něco jiného než že se zdráhá porozumět? Je vlastně</w:t>
      </w:r>
      <w:r>
        <w:t xml:space="preserve"> stále ve stadiu přivykání.</w:t>
      </w:r>
    </w:p>
    <w:p w:rsidR="00500724" w:rsidRDefault="00F30FB8">
      <w:pPr>
        <w:pStyle w:val="Zkladntext20"/>
        <w:shd w:val="clear" w:color="auto" w:fill="auto"/>
        <w:spacing w:line="240" w:lineRule="auto"/>
        <w:ind w:firstLine="260"/>
      </w:pPr>
      <w:r>
        <w:t>Aby se svou pohotovostí vystačil, musí být ve stavu zvýšeného soustředění, protože si pak nemůže logicky představit víc než co zná (pozdrav — podání ruky), musí se skutečnosti zmocňovat fantasií. Pro splnění požadavku soustředěn</w:t>
      </w:r>
      <w:r>
        <w:t>í se často žádá od posluchače, aby zhasl světlo a nedal se tak rušit prostředím po</w:t>
      </w:r>
      <w:r>
        <w:softHyphen/>
        <w:t xml:space="preserve">koje; pokud vím, žádala to po prvé stanice Bourne- meth v roce 1924. Aby i tak mohla fantasie účelně a úspěšně pracovati, je potřebí ovšem zásadní ochoty a dobré vůle zříci </w:t>
      </w:r>
      <w:r>
        <w:t xml:space="preserve">se pro tu chvíli skepse; další se děje podle osobních disposic, při čemž předpokladem je </w:t>
      </w:r>
      <w:r>
        <w:rPr>
          <w:lang w:val="en-US" w:eastAsia="en-US" w:bidi="en-US"/>
        </w:rPr>
        <w:t xml:space="preserve">scenario </w:t>
      </w:r>
      <w:r>
        <w:t xml:space="preserve">tak vypracované, aby práci obrazotvornosti umožňovalo. Rozhlasový autor a režisér musí neustále s mírou možné posluchačovy představivosti počítati, jakož i s </w:t>
      </w:r>
      <w:r>
        <w:t>mírou jeho svěžesti; tím se řídí podmínky změn času a místa ve hře, spád, zvukové pasáže i volba osob.</w:t>
      </w:r>
    </w:p>
    <w:p w:rsidR="00500724" w:rsidRDefault="00F30FB8">
      <w:pPr>
        <w:pStyle w:val="Zkladntext20"/>
        <w:shd w:val="clear" w:color="auto" w:fill="auto"/>
        <w:spacing w:after="80" w:line="240" w:lineRule="auto"/>
        <w:ind w:firstLine="260"/>
      </w:pPr>
      <w:r>
        <w:t>Jednoduchost a jednoznačnost je přední podmín</w:t>
      </w:r>
      <w:r>
        <w:softHyphen/>
        <w:t xml:space="preserve">kou, organický původ všech změn druhou; v každém případě nutno pak míti na zřeteli, že rozhlas má velmi </w:t>
      </w:r>
      <w:r>
        <w:t>omezené výrazové možnosti pro čistě realistické. Je světem představ. Proto kdysi tak oblíbený vypravěč se stává inteligentnímu a citlivému posluchači mukou, protože je příliš nápadnou pomocí z nouze, rozbíjí souvislost představ i jejich věrohodnost. Přesun</w:t>
      </w:r>
      <w:r>
        <w:t>uje těžiště do vnějšku. Není zpravidla nikdy organickou složkou hry, jejíž zásah by byl vyvolán niternou po</w:t>
      </w:r>
      <w:r>
        <w:softHyphen/>
        <w:t xml:space="preserve">třebou; působí dojmem, že básník, nevěda kudy kam, nechal Musu Musou a žebrá u hlasatele o pomoc. Jen tam, kde mluví hlas nitra (svědomí, výčitka a </w:t>
      </w:r>
      <w:r>
        <w:t>pod.) je tento neosobní hlas oprávněn.</w:t>
      </w:r>
    </w:p>
    <w:p w:rsidR="00500724" w:rsidRDefault="00F30FB8">
      <w:pPr>
        <w:pStyle w:val="Zkladntext20"/>
        <w:shd w:val="clear" w:color="auto" w:fill="auto"/>
        <w:spacing w:line="240" w:lineRule="auto"/>
        <w:ind w:firstLine="260"/>
      </w:pPr>
      <w:r>
        <w:t xml:space="preserve">Svět představ musí mít autor stále na zřeteli. Posluchač prožívá vlastní sen v bdělém stavu. Prostor, v němž si představy tvoří, je bez hranic. 2ádal-li </w:t>
      </w:r>
      <w:r>
        <w:rPr>
          <w:lang w:val="en-US" w:eastAsia="en-US" w:bidi="en-US"/>
        </w:rPr>
        <w:t>Lor</w:t>
      </w:r>
      <w:r>
        <w:rPr>
          <w:lang w:val="en-US" w:eastAsia="en-US" w:bidi="en-US"/>
        </w:rPr>
        <w:softHyphen/>
        <w:t xml:space="preserve">raine, </w:t>
      </w:r>
      <w:r>
        <w:t>aby duše uměleckého díla byla umístěna do dálek, do n</w:t>
      </w:r>
      <w:r>
        <w:t>edostižná, tam »kam se uchyluje lež, ten sen, přistižený při činu, jediná láska lidského pokole- ní«, vyslovuje toto přání neobyčejně dobře svět roz</w:t>
      </w:r>
      <w:r>
        <w:softHyphen/>
        <w:t>hlasové hry, která se odehrává v nitru, to jest v ne</w:t>
      </w:r>
      <w:r>
        <w:softHyphen/>
        <w:t>konečnu. V prostoru představ mluví duše a učí nás kosm</w:t>
      </w:r>
      <w:r>
        <w:t>ickým zážitkům našeho nitra. Jde o sen. Jen v tomto snu najdeme však v rozhlase skutečnost.</w:t>
      </w:r>
    </w:p>
    <w:p w:rsidR="00500724" w:rsidRDefault="00F30FB8">
      <w:pPr>
        <w:pStyle w:val="Zkladntext20"/>
        <w:shd w:val="clear" w:color="auto" w:fill="auto"/>
        <w:spacing w:line="240" w:lineRule="auto"/>
        <w:ind w:firstLine="260"/>
      </w:pPr>
      <w:r>
        <w:t>»Essere — aparire« definoval A. Tilgher celé dílo Pirandellovo. Nám se ta definice hodí v obráceném pořádku a tak platí pro rozhlasové umění.</w:t>
      </w:r>
    </w:p>
    <w:p w:rsidR="00500724" w:rsidRDefault="00F30FB8">
      <w:pPr>
        <w:pStyle w:val="Zkladntext20"/>
        <w:shd w:val="clear" w:color="auto" w:fill="auto"/>
        <w:spacing w:line="240" w:lineRule="auto"/>
        <w:ind w:firstLine="260"/>
      </w:pPr>
      <w:r>
        <w:t xml:space="preserve">Zdáti se — znamená: </w:t>
      </w:r>
      <w:r>
        <w:t>býti!</w:t>
      </w:r>
    </w:p>
    <w:p w:rsidR="00500724" w:rsidRDefault="00F30FB8">
      <w:pPr>
        <w:pStyle w:val="Zkladntext20"/>
        <w:shd w:val="clear" w:color="auto" w:fill="auto"/>
        <w:spacing w:line="266" w:lineRule="auto"/>
        <w:ind w:firstLine="0"/>
        <w:jc w:val="right"/>
        <w:rPr>
          <w:sz w:val="20"/>
          <w:szCs w:val="20"/>
        </w:rPr>
      </w:pPr>
      <w:r>
        <w:rPr>
          <w:sz w:val="20"/>
          <w:szCs w:val="20"/>
        </w:rPr>
        <w:t>Co představuje obraz? Záleží na tom,</w:t>
      </w:r>
    </w:p>
    <w:p w:rsidR="00500724" w:rsidRDefault="00F30FB8">
      <w:pPr>
        <w:pStyle w:val="Zkladntext20"/>
        <w:shd w:val="clear" w:color="auto" w:fill="auto"/>
        <w:spacing w:line="266" w:lineRule="auto"/>
        <w:ind w:left="540" w:firstLine="0"/>
        <w:jc w:val="left"/>
        <w:rPr>
          <w:sz w:val="20"/>
          <w:szCs w:val="20"/>
        </w:rPr>
      </w:pPr>
      <w:r>
        <w:rPr>
          <w:sz w:val="20"/>
          <w:szCs w:val="20"/>
        </w:rPr>
        <w:t>kdo se naň dívá.</w:t>
      </w:r>
    </w:p>
    <w:p w:rsidR="00500724" w:rsidRDefault="00F30FB8">
      <w:pPr>
        <w:pStyle w:val="Zkladntext20"/>
        <w:shd w:val="clear" w:color="auto" w:fill="auto"/>
        <w:spacing w:after="80" w:line="180" w:lineRule="auto"/>
        <w:ind w:firstLine="0"/>
        <w:jc w:val="right"/>
        <w:rPr>
          <w:sz w:val="20"/>
          <w:szCs w:val="20"/>
        </w:rPr>
      </w:pPr>
      <w:r>
        <w:rPr>
          <w:sz w:val="20"/>
          <w:szCs w:val="20"/>
          <w:lang w:val="en-US" w:eastAsia="en-US" w:bidi="en-US"/>
        </w:rPr>
        <w:t>(Whistler.)</w:t>
      </w:r>
    </w:p>
    <w:p w:rsidR="00500724" w:rsidRDefault="00F30FB8">
      <w:pPr>
        <w:pStyle w:val="Zkladntext20"/>
        <w:shd w:val="clear" w:color="auto" w:fill="auto"/>
        <w:spacing w:line="240" w:lineRule="auto"/>
        <w:ind w:firstLine="260"/>
      </w:pPr>
      <w:r>
        <w:t>Pátráme-li po formách, jak se posluchači jeho bdělý sen odehrává, nacházíme o tom poučení 4Ž ve Freu- dových teoriích. Během pochodu představ, vyvolaných zvuky, dostává se na povrch vě</w:t>
      </w:r>
      <w:r>
        <w:t>domí celý 'materiál, uložený v podvědomí, který pracuje stejně jako ve skutečném snu během spánku. Obsahem tohoto ma</w:t>
      </w:r>
      <w:r>
        <w:softHyphen/>
        <w:t>teriálu jsou vzpomínky, zlomky a zbytky dojmů z po</w:t>
      </w:r>
      <w:r>
        <w:softHyphen/>
        <w:t>sledních i dřívějších dob, jež v bdění ani neobsáhneme. »Věci a osoby, na které už nikdy</w:t>
      </w:r>
      <w:r>
        <w:t xml:space="preserve"> nemyslíme, před</w:t>
      </w:r>
      <w:r>
        <w:softHyphen/>
        <w:t>stupují znovu před nás.« (Benini.) Sen si většinou nevybavuje, co je podstatné a důležité, ale co je podružné a nepovšimnuté. Tento materiál snu je ovšem u každého zcela subjektivní; proto je rozhodně představa každého posluchače zvláštní,</w:t>
      </w:r>
      <w:r>
        <w:t xml:space="preserve"> odlišná, jedi</w:t>
      </w:r>
      <w:r>
        <w:softHyphen/>
        <w:t>ná, sen, který se tedy posluchači při poslechu rozhla</w:t>
      </w:r>
      <w:r>
        <w:softHyphen/>
        <w:t>sové hry zdá, je »znetvořeným, zkráceným, špatně pochopeným překladem souhrnu podnětů do vizuál</w:t>
      </w:r>
      <w:r>
        <w:softHyphen/>
        <w:t>ních obrazů«; a na osobních podmínkách záleží právě, do jaké míry je vzbuzená představa odl</w:t>
      </w:r>
      <w:r>
        <w:t>išná od vysíla</w:t>
      </w:r>
      <w:r>
        <w:softHyphen/>
        <w:t>ného podnětu.</w:t>
      </w:r>
    </w:p>
    <w:p w:rsidR="00500724" w:rsidRDefault="00F30FB8">
      <w:pPr>
        <w:pStyle w:val="Zkladntext20"/>
        <w:shd w:val="clear" w:color="auto" w:fill="auto"/>
        <w:spacing w:line="221" w:lineRule="auto"/>
        <w:ind w:firstLine="260"/>
      </w:pPr>
      <w:r>
        <w:t>Podle zkoumání, které jsem prováděl mnohokrát na sobě i na jiných, vyskytuje se trojí druh představi</w:t>
      </w:r>
      <w:r>
        <w:softHyphen/>
        <w:t>vosti u rozhlasových her:</w:t>
      </w:r>
    </w:p>
    <w:p w:rsidR="00500724" w:rsidRDefault="00F30FB8">
      <w:pPr>
        <w:pStyle w:val="Zkladntext20"/>
        <w:numPr>
          <w:ilvl w:val="0"/>
          <w:numId w:val="42"/>
        </w:numPr>
        <w:shd w:val="clear" w:color="auto" w:fill="auto"/>
        <w:tabs>
          <w:tab w:val="left" w:pos="546"/>
        </w:tabs>
        <w:spacing w:line="218" w:lineRule="auto"/>
        <w:ind w:firstLine="260"/>
      </w:pPr>
      <w:r>
        <w:t>představa herců v jejich skutečných civilních podobách — zejména u lidí, kteří znají herce a roz</w:t>
      </w:r>
      <w:r>
        <w:softHyphen/>
        <w:t>hla</w:t>
      </w:r>
      <w:r>
        <w:t>sovou práci; jsou proto také špatným objektem pátrání,</w:t>
      </w:r>
    </w:p>
    <w:p w:rsidR="00500724" w:rsidRDefault="00F30FB8">
      <w:pPr>
        <w:pStyle w:val="Zkladntext20"/>
        <w:numPr>
          <w:ilvl w:val="0"/>
          <w:numId w:val="42"/>
        </w:numPr>
        <w:shd w:val="clear" w:color="auto" w:fill="auto"/>
        <w:tabs>
          <w:tab w:val="left" w:pos="578"/>
        </w:tabs>
        <w:spacing w:line="221" w:lineRule="auto"/>
        <w:ind w:firstLine="260"/>
      </w:pPr>
      <w:r>
        <w:t>představa skutečně živá, opravdová,</w:t>
      </w:r>
    </w:p>
    <w:p w:rsidR="00500724" w:rsidRDefault="00F30FB8">
      <w:pPr>
        <w:pStyle w:val="Zkladntext20"/>
        <w:numPr>
          <w:ilvl w:val="0"/>
          <w:numId w:val="42"/>
        </w:numPr>
        <w:shd w:val="clear" w:color="auto" w:fill="auto"/>
        <w:tabs>
          <w:tab w:val="left" w:pos="546"/>
        </w:tabs>
        <w:spacing w:line="216" w:lineRule="auto"/>
        <w:ind w:firstLine="260"/>
      </w:pPr>
      <w:r>
        <w:t>představa bez obrysů, bez přesných zjevů, spíš jen chápání zvuků a slov v pomyslném prostoru, nic nevyjadřujícím.</w:t>
      </w:r>
    </w:p>
    <w:p w:rsidR="00500724" w:rsidRDefault="00F30FB8">
      <w:pPr>
        <w:pStyle w:val="Zkladntext20"/>
        <w:shd w:val="clear" w:color="auto" w:fill="auto"/>
        <w:spacing w:line="221" w:lineRule="auto"/>
        <w:ind w:firstLine="260"/>
      </w:pPr>
      <w:r>
        <w:t xml:space="preserve">Tento případ se může střídati s předešlým: v »Roz- </w:t>
      </w:r>
      <w:r>
        <w:t>košné příhodě« užil režisér Bezdíček místo úvodního hlášení — svatebního oznámení jakožto pozvání obe</w:t>
      </w:r>
      <w:r>
        <w:softHyphen/>
        <w:t>censtva na svatbu hrdinů hry. Není možno míti při tom přesných představ; byl to zcela nový dojem, slo</w:t>
      </w:r>
      <w:r>
        <w:softHyphen/>
        <w:t>žený z dojmu sluchového, z vizuální představy po</w:t>
      </w:r>
      <w:r>
        <w:softHyphen/>
        <w:t>zvá</w:t>
      </w:r>
      <w:r>
        <w:t>nky a působení hlasatele.</w:t>
      </w:r>
    </w:p>
    <w:p w:rsidR="00500724" w:rsidRDefault="00F30FB8">
      <w:pPr>
        <w:pStyle w:val="Zkladntext20"/>
        <w:shd w:val="clear" w:color="auto" w:fill="auto"/>
        <w:spacing w:line="221" w:lineRule="auto"/>
        <w:ind w:firstLine="260"/>
      </w:pPr>
      <w:r>
        <w:t>Podobně nevzniká představa, je-li zásah příliš rychlý a ne dost důležitý; zaslechneme-li mezi za</w:t>
      </w:r>
      <w:r>
        <w:softHyphen/>
        <w:t>jímavým dialogem další hlas, který oznámí »telegram, slečno«, nepotřebujeme si nikoho představovat, snad by nám to i dosavadní předst</w:t>
      </w:r>
      <w:r>
        <w:t>avy hovořících osob, které jsou pro nás důležitější, porušilo; stačí nám bleskové uvědomení, že jde o zásah služebného světa, který mizí a zůstává zde nejvýš představa telegramu. Místo optické, nastupuje zde tedy imaginace akustic</w:t>
      </w:r>
      <w:r>
        <w:softHyphen/>
        <w:t>ká. Nikoliv vise, ale aku</w:t>
      </w:r>
      <w:r>
        <w:t>se!</w:t>
      </w:r>
    </w:p>
    <w:p w:rsidR="00500724" w:rsidRDefault="00F30FB8">
      <w:pPr>
        <w:pStyle w:val="Zkladntext20"/>
        <w:shd w:val="clear" w:color="auto" w:fill="auto"/>
        <w:spacing w:line="221" w:lineRule="auto"/>
        <w:ind w:firstLine="260"/>
      </w:pPr>
      <w:r>
        <w:t>Tam, kde je to důležité, nutno ovšem dát příležitost navoditi představy; jinak hlasy zůstanou v abstrakt</w:t>
      </w:r>
      <w:r>
        <w:softHyphen/>
        <w:t>ním prostoru, poletují sice v něm a shlukují se, ale volají po kusu reality, kterou si chápání hry vy</w:t>
      </w:r>
      <w:r>
        <w:softHyphen/>
        <w:t>žaduje. Může to být třeba jen všeobecný optic</w:t>
      </w:r>
      <w:r>
        <w:t>ký rámec, snad jen vzpomínka na divadlo či filmovou scenerii, v níž se člověk pohybuje jako silueta; za- zní-li hlas, mihne se myslí tvář, jež je však rušena každým dalším slovem, jinak proneseným a již lze stabilisovat ve vědomí jen tichem nebo hudbou.</w:t>
      </w:r>
    </w:p>
    <w:p w:rsidR="00500724" w:rsidRDefault="00F30FB8">
      <w:pPr>
        <w:pStyle w:val="Zkladntext20"/>
        <w:shd w:val="clear" w:color="auto" w:fill="auto"/>
        <w:spacing w:line="214" w:lineRule="auto"/>
        <w:ind w:firstLine="260"/>
      </w:pPr>
      <w:r>
        <w:t>Ji</w:t>
      </w:r>
      <w:r>
        <w:t>stý lékař z Bordeaux si dal práci, že popsal běh svých představ při poslechu hry »Soví most« a jejich původ. Ukázalo se, jak si skutečně fantasie přizpů</w:t>
      </w:r>
      <w:r>
        <w:softHyphen/>
        <w:t xml:space="preserve">sobuje automaticky vysílaný příběh a zásobuje se </w:t>
      </w:r>
      <w:r>
        <w:rPr>
          <w:b/>
          <w:bCs/>
          <w:sz w:val="26"/>
          <w:szCs w:val="26"/>
        </w:rPr>
        <w:t xml:space="preserve">z </w:t>
      </w:r>
      <w:r>
        <w:t xml:space="preserve">materiálu, odpočívajícího dávno </w:t>
      </w:r>
      <w:r>
        <w:rPr>
          <w:b/>
          <w:bCs/>
          <w:sz w:val="26"/>
          <w:szCs w:val="26"/>
        </w:rPr>
        <w:t xml:space="preserve">v </w:t>
      </w:r>
      <w:r>
        <w:t>podvědomí: hrdi</w:t>
      </w:r>
      <w:r>
        <w:softHyphen/>
        <w:t>no</w:t>
      </w:r>
      <w:r>
        <w:t>u hry (americký plantážník) byl v jeho představě farmář z právě čtené knihy; protivníkem — hrdina z posledního filmu; most, který měl být vyhozen do povětří (za války Severu proti Jihu) — most, který viděl kdysi na obchodní cestě Končinčinou; stáda si před</w:t>
      </w:r>
      <w:r>
        <w:t>stavoval podle mexických rytin, které náhodou kdysi viděl; les podle ilustrace z Londresa a zároveň podle literárních krajin Baudelaireových.</w:t>
      </w:r>
    </w:p>
    <w:p w:rsidR="00500724" w:rsidRDefault="00F30FB8">
      <w:pPr>
        <w:pStyle w:val="Zkladntext20"/>
        <w:shd w:val="clear" w:color="auto" w:fill="auto"/>
        <w:spacing w:line="221" w:lineRule="auto"/>
        <w:ind w:firstLine="260"/>
      </w:pPr>
      <w:r>
        <w:t>Někdy není ani třeba mít nějaký optický rámec děje a stačí jen přesné psychologické ovzduší, aby bylo lze sledovat</w:t>
      </w:r>
      <w:r>
        <w:t xml:space="preserve"> jeho změny. Je-li ve hře víc lidí, stává se představa velmi obtížnou; menší počet osob představa zachytí dosti přesně, tím přesněji, čím je postava sympatičtější a citově silnější; tím více je s ní v pohybu i náš cit.</w:t>
      </w:r>
    </w:p>
    <w:p w:rsidR="00500724" w:rsidRDefault="00F30FB8">
      <w:pPr>
        <w:pStyle w:val="Zkladntext20"/>
        <w:shd w:val="clear" w:color="auto" w:fill="auto"/>
        <w:spacing w:after="60" w:line="221" w:lineRule="auto"/>
        <w:ind w:firstLine="260"/>
      </w:pPr>
      <w:r>
        <w:t>Dopisoval jsem si o těchto otázkách s</w:t>
      </w:r>
      <w:r>
        <w:t xml:space="preserve"> mnoha našimi posluchači a dostalo se mi od nich velmi cenných svě</w:t>
      </w:r>
      <w:r>
        <w:softHyphen/>
        <w:t>dectví. Tak psal mi pan S. z Tišnova:</w:t>
      </w:r>
    </w:p>
    <w:p w:rsidR="00500724" w:rsidRDefault="00F30FB8">
      <w:pPr>
        <w:pStyle w:val="Zkladntext20"/>
        <w:shd w:val="clear" w:color="auto" w:fill="auto"/>
        <w:spacing w:line="202" w:lineRule="auto"/>
        <w:ind w:left="540" w:firstLine="160"/>
        <w:rPr>
          <w:sz w:val="20"/>
          <w:szCs w:val="20"/>
        </w:rPr>
      </w:pPr>
      <w:r>
        <w:rPr>
          <w:sz w:val="20"/>
          <w:szCs w:val="20"/>
        </w:rPr>
        <w:t>»Zda nám nevadí, že herce nevidíme? Vůbec ne. Naopak. Dvakrát jsem poslouchal Zeyerovu pohádku s&gt;Radúz a Mahulena* a byl jsem jí nadšen. Přál jsem si j</w:t>
      </w:r>
      <w:r>
        <w:rPr>
          <w:sz w:val="20"/>
          <w:szCs w:val="20"/>
        </w:rPr>
        <w:t>i vidět taky na jevišti. Byl jsem však velmi zkla</w:t>
      </w:r>
      <w:r>
        <w:rPr>
          <w:sz w:val="20"/>
          <w:szCs w:val="20"/>
        </w:rPr>
        <w:softHyphen/>
        <w:t>mán. Místo krásných divokých hor jakési náznaky, místo krkolomné cesty na skálu pohodlné schodiště. Litoval jsem, že jsem si zkazil dojem.*</w:t>
      </w:r>
    </w:p>
    <w:p w:rsidR="00500724" w:rsidRDefault="00F30FB8">
      <w:pPr>
        <w:pStyle w:val="Zkladntext20"/>
        <w:shd w:val="clear" w:color="auto" w:fill="auto"/>
        <w:spacing w:after="60" w:line="221" w:lineRule="auto"/>
        <w:ind w:firstLine="260"/>
      </w:pPr>
      <w:r>
        <w:t>Imaginační přednost rozhlasu se zde jasně jeví. A ještě snad lepší</w:t>
      </w:r>
      <w:r>
        <w:t xml:space="preserve"> dokument živého snu vybírám z mnoha jiných dopis paní T. z Holešova:</w:t>
      </w:r>
    </w:p>
    <w:p w:rsidR="00500724" w:rsidRDefault="00F30FB8">
      <w:pPr>
        <w:pStyle w:val="Zkladntext20"/>
        <w:shd w:val="clear" w:color="auto" w:fill="auto"/>
        <w:spacing w:line="202" w:lineRule="auto"/>
        <w:ind w:left="540" w:firstLine="160"/>
        <w:rPr>
          <w:sz w:val="20"/>
          <w:szCs w:val="20"/>
        </w:rPr>
      </w:pPr>
      <w:r>
        <w:rPr>
          <w:sz w:val="20"/>
          <w:szCs w:val="20"/>
        </w:rPr>
        <w:t xml:space="preserve">3&gt;Jindy zase jste vysílali staré písničky »Potok kde lučinou« a jiné, a konferenciér řekl »vy, pani, </w:t>
      </w:r>
      <w:r>
        <w:rPr>
          <w:b/>
          <w:bCs/>
          <w:sz w:val="14"/>
          <w:szCs w:val="14"/>
        </w:rPr>
        <w:t xml:space="preserve">s </w:t>
      </w:r>
      <w:r>
        <w:rPr>
          <w:sz w:val="20"/>
          <w:szCs w:val="20"/>
        </w:rPr>
        <w:t>vla</w:t>
      </w:r>
      <w:r>
        <w:rPr>
          <w:sz w:val="20"/>
          <w:szCs w:val="20"/>
        </w:rPr>
        <w:softHyphen/>
        <w:t xml:space="preserve">sem prošedivělým* a já jsem v tu chvíli na své vlasy nemyslila, ale šla jsem v </w:t>
      </w:r>
      <w:r>
        <w:rPr>
          <w:sz w:val="20"/>
          <w:szCs w:val="20"/>
        </w:rPr>
        <w:t>duchu silnicí a od lesa zpí</w:t>
      </w:r>
      <w:r>
        <w:rPr>
          <w:sz w:val="20"/>
          <w:szCs w:val="20"/>
        </w:rPr>
        <w:softHyphen/>
        <w:t>valy mužské hlasy, ale jak je to dávno, a vlasy mi zatím zbělely...«</w:t>
      </w:r>
    </w:p>
    <w:p w:rsidR="00500724" w:rsidRDefault="00F30FB8">
      <w:pPr>
        <w:pStyle w:val="Zkladntext20"/>
        <w:shd w:val="clear" w:color="auto" w:fill="auto"/>
        <w:spacing w:line="223" w:lineRule="auto"/>
        <w:ind w:firstLine="260"/>
      </w:pPr>
      <w:r>
        <w:t>Zde se podařilo posluchačce zaznamenati přímo letmý, básnický let představ, prožitý smyslovou sku</w:t>
      </w:r>
      <w:r>
        <w:softHyphen/>
        <w:t>tečností. A tím je právě poslech rozhlasu, stane-li se uměním</w:t>
      </w:r>
      <w:r>
        <w:t>.</w:t>
      </w:r>
    </w:p>
    <w:p w:rsidR="00500724" w:rsidRDefault="00F30FB8">
      <w:pPr>
        <w:pStyle w:val="Zkladntext20"/>
        <w:shd w:val="clear" w:color="auto" w:fill="auto"/>
        <w:spacing w:line="223" w:lineRule="auto"/>
        <w:ind w:firstLine="260"/>
      </w:pPr>
      <w:r>
        <w:t>A můžeme tvrdit: umění rozhlasového poslechu je první umění, které je skutečně přístupné každému. Je pro všechny, je opravdově demokratické, všeobecné a věčně se obnovující.</w:t>
      </w:r>
    </w:p>
    <w:p w:rsidR="00500724" w:rsidRDefault="00F30FB8">
      <w:pPr>
        <w:pStyle w:val="Zkladntext20"/>
        <w:shd w:val="clear" w:color="auto" w:fill="auto"/>
        <w:spacing w:after="260" w:line="223" w:lineRule="auto"/>
        <w:ind w:firstLine="260"/>
      </w:pPr>
      <w:r>
        <w:t xml:space="preserve">Splňuje nejlépe sen o tom, že jednou bude umění a radost z tvůrčí práce patřiti </w:t>
      </w:r>
      <w:r>
        <w:t>všem!</w:t>
      </w:r>
    </w:p>
    <w:p w:rsidR="00500724" w:rsidRDefault="00F30FB8">
      <w:pPr>
        <w:pStyle w:val="Jin0"/>
        <w:shd w:val="clear" w:color="auto" w:fill="auto"/>
        <w:spacing w:after="160"/>
        <w:ind w:firstLine="0"/>
        <w:jc w:val="left"/>
        <w:rPr>
          <w:sz w:val="46"/>
          <w:szCs w:val="46"/>
        </w:rPr>
      </w:pPr>
      <w:r>
        <w:rPr>
          <w:b/>
          <w:bCs/>
          <w:sz w:val="46"/>
          <w:szCs w:val="46"/>
          <w:u w:val="single"/>
        </w:rPr>
        <w:t>život a Instituce</w:t>
      </w:r>
    </w:p>
    <w:p w:rsidR="00500724" w:rsidRDefault="00F30FB8">
      <w:pPr>
        <w:pStyle w:val="Zkladntext20"/>
        <w:shd w:val="clear" w:color="auto" w:fill="auto"/>
        <w:spacing w:line="240" w:lineRule="auto"/>
        <w:ind w:firstLine="0"/>
        <w:rPr>
          <w:sz w:val="20"/>
          <w:szCs w:val="20"/>
        </w:rPr>
      </w:pPr>
      <w:r>
        <w:rPr>
          <w:i/>
          <w:iCs/>
          <w:sz w:val="20"/>
          <w:szCs w:val="20"/>
        </w:rPr>
        <w:t>Marie Kubešová:</w:t>
      </w:r>
    </w:p>
    <w:p w:rsidR="00500724" w:rsidRDefault="00F30FB8">
      <w:pPr>
        <w:pStyle w:val="Nadpis100"/>
        <w:shd w:val="clear" w:color="auto" w:fill="auto"/>
        <w:spacing w:after="60" w:line="223" w:lineRule="auto"/>
      </w:pPr>
      <w:bookmarkStart w:id="365" w:name="bookmark364"/>
      <w:r>
        <w:t>... „hledat štěstí jinde“?</w:t>
      </w:r>
      <w:bookmarkEnd w:id="365"/>
    </w:p>
    <w:p w:rsidR="00500724" w:rsidRDefault="00F30FB8">
      <w:pPr>
        <w:pStyle w:val="Zkladntext20"/>
        <w:shd w:val="clear" w:color="auto" w:fill="auto"/>
        <w:spacing w:line="221" w:lineRule="auto"/>
        <w:ind w:firstLine="260"/>
      </w:pPr>
      <w:r>
        <w:t xml:space="preserve">Úředníci všech zahraničních konsulátů, úředníci pasového oddělení v Praze a úředníci </w:t>
      </w:r>
      <w:r>
        <w:rPr>
          <w:lang w:val="en-US" w:eastAsia="en-US" w:bidi="en-US"/>
        </w:rPr>
        <w:t xml:space="preserve">Immigration </w:t>
      </w:r>
      <w:r>
        <w:t xml:space="preserve">Office mohli by dnes asi mnoho vyprávět o nové vlně emigrantů. Před konsuláty stojí lidé od </w:t>
      </w:r>
      <w:r>
        <w:t>půlnoci, a za</w:t>
      </w:r>
      <w:r>
        <w:softHyphen/>
        <w:t>městnanci všech konsulátů klesají únavou, poněvadž musí několik set lidí denně odmítnout, než naleznou jednoho, který by měl všechna kouzla, jež vystěhova- lec dnes potřebuje. A přece se dějí zázraky: lidé od</w:t>
      </w:r>
      <w:r>
        <w:softHyphen/>
        <w:t>jíždějí. S jedním kufrem a desíti</w:t>
      </w:r>
      <w:r>
        <w:t xml:space="preserve"> markami. Kam? Krčí rameny. Co budete dělat? Všechno. Cokoli. Jak se uživíte? Snad se najdou dobří lidé, kteří první týdny pomohou, vždyť i my jsme pomáhali — a na světě je taková podivuhodná spravedlnost: někomu neznámé</w:t>
      </w:r>
      <w:r>
        <w:softHyphen/>
        <w:t>mu pomůžeš, nikdy ho už neuvidíš, a</w:t>
      </w:r>
      <w:r>
        <w:t xml:space="preserve"> za tři roky třeba někdo na druhém konci světa, až budeš stát hladový na ulici, pomůže zase tobě, poněvadž Prozřetelnost posílá odplatu oklikami.</w:t>
      </w:r>
    </w:p>
    <w:p w:rsidR="00500724" w:rsidRDefault="00F30FB8">
      <w:pPr>
        <w:pStyle w:val="Zkladntext20"/>
        <w:shd w:val="clear" w:color="auto" w:fill="auto"/>
        <w:spacing w:line="223" w:lineRule="auto"/>
        <w:ind w:firstLine="260"/>
      </w:pPr>
      <w:r>
        <w:t xml:space="preserve">Většinou odjíždějí židé. Je pochopitelné, že chtějí odjet co nejdříve a mohou tím pomoci jen sobě i nám. Mají </w:t>
      </w:r>
      <w:r>
        <w:t>nové plány do nových budoucností, shle</w:t>
      </w:r>
      <w:r>
        <w:softHyphen/>
        <w:t>dávají všechny své schopnosti k novým zaměstná</w:t>
      </w:r>
      <w:r>
        <w:softHyphen/>
        <w:t>ním a novým pracím. V koutku svých pokojů, před okny, která vedou na pražské střechy, v by</w:t>
      </w:r>
      <w:r>
        <w:softHyphen/>
        <w:t>tě poloprázdném, jednou myšlenkou už za mořem nebo za Kanálem, druhou, rozechvě</w:t>
      </w:r>
      <w:r>
        <w:t>nou, u těch pražských střech, polohlasně vypravují svůj sen: mít někde slepičí farmu, domeček, kus půdy a za</w:t>
      </w:r>
      <w:r>
        <w:softHyphen/>
        <w:t>hrádku. Ty sny jsou všechny nejasné a nikdo z nich v životě slepičí farmu neviděl. Mluví-li o slepičí farmě, chtějí říci: místo, kde by vycházelo s</w:t>
      </w:r>
      <w:r>
        <w:t xml:space="preserve">lunce, nejezdily vozy, nebylo </w:t>
      </w:r>
      <w:r>
        <w:rPr>
          <w:lang w:val="en-US" w:eastAsia="en-US" w:bidi="en-US"/>
        </w:rPr>
        <w:t xml:space="preserve">radio, </w:t>
      </w:r>
      <w:r>
        <w:t>nebučela letadla, — a kam by, pokud možno, nedocházely noviny. Taková místa jsou ještě na světě, tvrdí s rozzářenýma očima a bytostí chtivou klidu a pokoje, jako bývají rekonvalescenti, chtiví slunečních paprsků.</w:t>
      </w:r>
    </w:p>
    <w:p w:rsidR="00500724" w:rsidRDefault="00F30FB8">
      <w:pPr>
        <w:pStyle w:val="Zkladntext20"/>
        <w:shd w:val="clear" w:color="auto" w:fill="auto"/>
        <w:spacing w:line="223" w:lineRule="auto"/>
        <w:ind w:firstLine="0"/>
        <w:jc w:val="center"/>
      </w:pPr>
      <w:r>
        <w:t>•</w:t>
      </w:r>
    </w:p>
    <w:p w:rsidR="00500724" w:rsidRDefault="00F30FB8">
      <w:pPr>
        <w:pStyle w:val="Zkladntext20"/>
        <w:shd w:val="clear" w:color="auto" w:fill="auto"/>
        <w:spacing w:line="221" w:lineRule="auto"/>
        <w:ind w:firstLine="260"/>
      </w:pPr>
      <w:r>
        <w:t>Snad</w:t>
      </w:r>
      <w:r>
        <w:t xml:space="preserve"> se jim to nedá ani zazlívat. Pravděpodobně jich ani nebude mnoho, kteří odejdou. Jednak není dnes snadné odjet do zahraničí, jednak mohou lidé odjet jenom s holými dlaněmi a není mnoho lidí, kteří by měli k tomu odvahu. Většina českého lidu nemyslí na odj</w:t>
      </w:r>
      <w:r>
        <w:t>ezd proto, že to jsou dělní lidé, kteří tu jsou doma, mají tu kus půdy, mají tu své povinnosti, kořeny, svou vůli a svou řeč. Není každý stvořen pro přesazení. Není každý stvořen pro emigraci.</w:t>
      </w:r>
    </w:p>
    <w:p w:rsidR="00500724" w:rsidRDefault="00F30FB8">
      <w:pPr>
        <w:pStyle w:val="Zkladntext20"/>
        <w:shd w:val="clear" w:color="auto" w:fill="auto"/>
        <w:spacing w:line="221" w:lineRule="auto"/>
        <w:ind w:firstLine="260"/>
      </w:pPr>
      <w:r>
        <w:t xml:space="preserve">Emigrace — to není jenom svízel, bída, nový a těžký život. </w:t>
      </w:r>
      <w:r>
        <w:t>Emigrace je také duševní stav. Duševní stav, který spočívá v tom, že člověk stále kouká někam zpátky. Víte, zdraví lidé dělají plány, myslí stále vpřed, chystají si koupit třeba novou skříň nebo se těší na to, že pojedou v létě k moři, že si na jaře zasadí</w:t>
      </w:r>
      <w:r>
        <w:t xml:space="preserve"> šafrán pod okny, že pošlou děti na studie. Nalomení lidé žijí vzpomínkami. Kupí svůj život kolem někoho nebo něčeho, co umřelo. Jejich duševní síla leží v lásce k něčemu, co musili opustit. Jejich tvořivost ne</w:t>
      </w:r>
      <w:r>
        <w:softHyphen/>
        <w:t xml:space="preserve">vyrůstá z živého, ale z úcty k neživému. Dny </w:t>
      </w:r>
      <w:r>
        <w:t>a čas jim utíkají kupředu, ale myšlenky jsou zahněteny k něčemu, co se nepohnulo. Naprostou životní nutností se musí od toho vzdalovat víc a víc. Vytvářejí v sobě legendu domova.</w:t>
      </w:r>
    </w:p>
    <w:p w:rsidR="00500724" w:rsidRDefault="00F30FB8">
      <w:pPr>
        <w:pStyle w:val="Zkladntext20"/>
        <w:shd w:val="clear" w:color="auto" w:fill="auto"/>
        <w:spacing w:after="40" w:line="221" w:lineRule="auto"/>
        <w:ind w:firstLine="260"/>
      </w:pPr>
      <w:r>
        <w:t>Legendu minulosti. Dříve nebo později podléhají po</w:t>
      </w:r>
      <w:r>
        <w:softHyphen/>
        <w:t xml:space="preserve">divnému klamu: přestávají </w:t>
      </w:r>
      <w:r>
        <w:t>vidět skutečnost. Čím větší je jejich láska k tomu, co ztratili, tím houževnatěji se brání vzít na vědomost, že se jejich domov změnil. Prostá lidová pravda, že »život jde dál«, je skutečnost právě tak surová, jako pravdivá. Kdo se chce vymknout její zákon</w:t>
      </w:r>
      <w:r>
        <w:t>itosti, podobá se vdově, která po zbytek svého života zalévá malý hrobeček, kde už dávno ani netlí drahý nebožtík. Většina emigrantů propadá tomuto pohledu zpátky. Jen málokteří se mu ubrání. Když odcházeli, tvořili snad vyspělou elitu ná</w:t>
      </w:r>
      <w:r>
        <w:softHyphen/>
        <w:t xml:space="preserve">roda, myšlenkově </w:t>
      </w:r>
      <w:r>
        <w:t>representativní jeho část a du</w:t>
      </w:r>
      <w:r>
        <w:softHyphen/>
        <w:t>chovně vytříbenou jeho složku. Jakýmsi tajemným kouzlem se však stává, že jejich duchovní a myšlen</w:t>
      </w:r>
      <w:r>
        <w:softHyphen/>
        <w:t>ková vyspělost začíná kornatět už za několik roků. Nedostávají dostatečné podmínky k dalšímu vývoji, zastavují se, jako ručičk</w:t>
      </w:r>
      <w:r>
        <w:t>a hodin, které nikdo ne</w:t>
      </w:r>
      <w:r>
        <w:softHyphen/>
        <w:t>natáhl. K tvořivosti a práci žene člověka prostředí. A málo lidí má tolik duševní pevnosti a síly, aby do</w:t>
      </w:r>
      <w:r>
        <w:softHyphen/>
        <w:t>vedlo čerpat svoji vlastní tvořivost z cizího prostředí. •</w:t>
      </w:r>
    </w:p>
    <w:p w:rsidR="00500724" w:rsidRDefault="00F30FB8">
      <w:pPr>
        <w:pStyle w:val="Zkladntext20"/>
        <w:shd w:val="clear" w:color="auto" w:fill="auto"/>
        <w:spacing w:after="40" w:line="202" w:lineRule="auto"/>
        <w:ind w:firstLine="260"/>
      </w:pPr>
      <w:r>
        <w:t xml:space="preserve">Nepochybuji o tom, že lidé, kteří odjíždějí, jsou z velké části </w:t>
      </w:r>
      <w:r>
        <w:t>ztraceni pro práci na myšlenkovém vý</w:t>
      </w:r>
      <w:r>
        <w:softHyphen/>
        <w:t>voji národa. Odtrhnuvše se od velkého tělesa, začínají soukromý život někde na cizí půdě, neschopni už svým vlastním tělem vysvětlit, co to je česká věc. I kdyby měli sebe pevnější vůli, odpadnou od národa, jako barevné</w:t>
      </w:r>
      <w:r>
        <w:t xml:space="preserve"> listy na podzim od stromu. Nestávají se snad odrodilci. Ale emigranty. To jest: stávají se lidmi, kteří neživě milují živou věc. Nestačí však ji milovat. Nutno jí sloužit, pomáhat, vyvíjet, budit, střežit a za ni bojovat.</w:t>
      </w:r>
    </w:p>
    <w:p w:rsidR="00500724" w:rsidRDefault="00F30FB8">
      <w:pPr>
        <w:pStyle w:val="Zkladntext20"/>
        <w:shd w:val="clear" w:color="auto" w:fill="auto"/>
        <w:spacing w:after="40" w:line="202" w:lineRule="auto"/>
        <w:ind w:firstLine="260"/>
      </w:pPr>
      <w:r>
        <w:t>Je nás tolik, abychom směli odjíž</w:t>
      </w:r>
      <w:r>
        <w:t>dět? Můžeme si dovolit luxus tichého soukromí někde daleko za mořem nebo za kanálem? Můžeme si dovolit zředění myšlenkových sil, které tu máme? To je, o čem pře</w:t>
      </w:r>
      <w:r>
        <w:softHyphen/>
        <w:t>mýšlím, když hovořím s lidmi, kteří se chystají »hledat si štěstí jinde«.</w:t>
      </w:r>
    </w:p>
    <w:p w:rsidR="00500724" w:rsidRDefault="00F30FB8">
      <w:pPr>
        <w:pStyle w:val="Zkladntext20"/>
        <w:shd w:val="clear" w:color="auto" w:fill="auto"/>
        <w:spacing w:after="300" w:line="202" w:lineRule="auto"/>
        <w:ind w:firstLine="260"/>
      </w:pPr>
      <w:r>
        <w:t>Němci se nám tolik di</w:t>
      </w:r>
      <w:r>
        <w:t>ví a tak užasle se nás táží: proč se tolik bojíte o svou národnost? Bylo přece řeče</w:t>
      </w:r>
      <w:r>
        <w:softHyphen/>
        <w:t>no, že ji neztratíte. Bylo vám přece slíbeno, že vám zůstane zachována. Dostali jste přece příslib a čestné slovo? K čemu ty strachy?</w:t>
      </w:r>
    </w:p>
    <w:p w:rsidR="00500724" w:rsidRDefault="00F30FB8">
      <w:pPr>
        <w:pStyle w:val="Zkladntext20"/>
        <w:shd w:val="clear" w:color="auto" w:fill="auto"/>
        <w:spacing w:after="320" w:line="202" w:lineRule="auto"/>
        <w:ind w:firstLine="260"/>
      </w:pPr>
      <w:r>
        <w:t>Při tom je třeba uvědomit si, že ten m</w:t>
      </w:r>
      <w:r>
        <w:t>alý kousek české země je dnes přelidněný víc, než země německá. Nejen přelidněný, ale zaplavený lidmi, jichž se posled</w:t>
      </w:r>
      <w:r>
        <w:softHyphen/>
        <w:t>ní měsíce dotýkají i existenčně. Nemám potuchy — a myslím, že zatím nikdo nemá — kolik nezaměstna</w:t>
      </w:r>
      <w:r>
        <w:softHyphen/>
        <w:t>ných Čechů přijde z bývalé armády, koli</w:t>
      </w:r>
      <w:r>
        <w:t>k bude pro</w:t>
      </w:r>
      <w:r>
        <w:softHyphen/>
        <w:t>puštěno státních zaměstnanců, kolik se vrátilo Čechů ze Slovenska, kolik žen ztratilo práci. Rozhodně to není počet malý. Tito lidé budou přirozeně hledat mož</w:t>
      </w:r>
      <w:r>
        <w:softHyphen/>
        <w:t>nost obživy. Už pouhá skutečnost, že je nepravdě</w:t>
      </w:r>
      <w:r>
        <w:softHyphen/>
        <w:t xml:space="preserve">podobné, aby ji mohli nalézt všechni </w:t>
      </w:r>
      <w:r>
        <w:t>v Čechách, pů</w:t>
      </w:r>
      <w:r>
        <w:softHyphen/>
        <w:t>sobí jakýsi druh emigrace. Po každém Čechu, který se odstěhuje, zůstane kousek země prázdné. Po každé přesazené květině zůstane prsť pro květinu novou. Budeme-li odcházet, budeme řídnout. Budeme-li řídnout, budeme mít méně sil. A budeme-li mí</w:t>
      </w:r>
      <w:r>
        <w:t>t méně síly, budeme mít i méně národní odolnosti. Na pro</w:t>
      </w:r>
      <w:r>
        <w:softHyphen/>
        <w:t>třelé hlíně rostou zakrnělé květy.</w:t>
      </w:r>
    </w:p>
    <w:p w:rsidR="00500724" w:rsidRDefault="00F30FB8">
      <w:pPr>
        <w:pStyle w:val="Zkladntext20"/>
        <w:shd w:val="clear" w:color="auto" w:fill="auto"/>
        <w:spacing w:after="180" w:line="223" w:lineRule="auto"/>
        <w:ind w:firstLine="260"/>
      </w:pPr>
      <w:r>
        <w:t>Tak se na to, myslím, musíme dívat. Jsme národ. A musíme jím zůstat. Každý, kdo odchází, odnáší jednu hroudu s sebou a kus kořenů. Dokud zůstaneme pohromadě, porost</w:t>
      </w:r>
      <w:r>
        <w:t>e síla z našeho počtu — a vědomí blízkosti i vědomí práva. Mezery mezi námi musí býti nutně vyplněny podle zákonů fysických: není vzducho- prázdného prostoru. Ty odejdeš — a na tvé místo přijde jiný. Proto zůstaň, stůj a neodcházej. Svoje místo střež a obh</w:t>
      </w:r>
      <w:r>
        <w:t>ajuj!</w:t>
      </w:r>
    </w:p>
    <w:p w:rsidR="00500724" w:rsidRDefault="00F30FB8">
      <w:pPr>
        <w:pStyle w:val="Nadpis80"/>
        <w:keepNext/>
        <w:keepLines/>
        <w:pBdr>
          <w:bottom w:val="single" w:sz="4" w:space="0" w:color="auto"/>
        </w:pBdr>
        <w:shd w:val="clear" w:color="auto" w:fill="auto"/>
        <w:spacing w:after="280"/>
        <w:rPr>
          <w:sz w:val="48"/>
          <w:szCs w:val="48"/>
        </w:rPr>
      </w:pPr>
      <w:bookmarkStart w:id="366" w:name="bookmark365"/>
      <w:r>
        <w:rPr>
          <w:sz w:val="48"/>
          <w:szCs w:val="48"/>
          <w:u w:val="none"/>
        </w:rPr>
        <w:t>věda a práce</w:t>
      </w:r>
      <w:bookmarkEnd w:id="366"/>
    </w:p>
    <w:p w:rsidR="00500724" w:rsidRDefault="00F30FB8">
      <w:pPr>
        <w:pStyle w:val="Zkladntext20"/>
        <w:shd w:val="clear" w:color="auto" w:fill="auto"/>
        <w:spacing w:after="40" w:line="202" w:lineRule="auto"/>
        <w:ind w:firstLine="0"/>
        <w:jc w:val="left"/>
        <w:rPr>
          <w:sz w:val="20"/>
          <w:szCs w:val="20"/>
        </w:rPr>
      </w:pPr>
      <w:r>
        <w:rPr>
          <w:i/>
          <w:iCs/>
          <w:sz w:val="20"/>
          <w:szCs w:val="20"/>
        </w:rPr>
        <w:t>W. Greiling:</w:t>
      </w:r>
    </w:p>
    <w:p w:rsidR="00500724" w:rsidRDefault="00F30FB8">
      <w:pPr>
        <w:pStyle w:val="Nadpis100"/>
        <w:shd w:val="clear" w:color="auto" w:fill="auto"/>
        <w:spacing w:line="240" w:lineRule="auto"/>
        <w:jc w:val="left"/>
      </w:pPr>
      <w:bookmarkStart w:id="367" w:name="bookmark366"/>
      <w:r>
        <w:t>Chemie přebytku či nedostatku?</w:t>
      </w:r>
      <w:bookmarkEnd w:id="367"/>
    </w:p>
    <w:p w:rsidR="00500724" w:rsidRDefault="00F30FB8">
      <w:pPr>
        <w:pStyle w:val="Zkladntext20"/>
        <w:shd w:val="clear" w:color="auto" w:fill="auto"/>
        <w:spacing w:after="40" w:line="202" w:lineRule="auto"/>
        <w:ind w:left="600" w:firstLine="180"/>
        <w:rPr>
          <w:sz w:val="20"/>
          <w:szCs w:val="20"/>
        </w:rPr>
      </w:pPr>
      <w:r>
        <w:rPr>
          <w:sz w:val="20"/>
          <w:szCs w:val="20"/>
        </w:rPr>
        <w:t xml:space="preserve">Ze zajímavé knihy Waltera Greilinga »Chemie erobert </w:t>
      </w:r>
      <w:r>
        <w:rPr>
          <w:sz w:val="20"/>
          <w:szCs w:val="20"/>
          <w:lang w:val="en-US" w:eastAsia="en-US" w:bidi="en-US"/>
        </w:rPr>
        <w:t xml:space="preserve">die </w:t>
      </w:r>
      <w:r>
        <w:rPr>
          <w:sz w:val="20"/>
          <w:szCs w:val="20"/>
        </w:rPr>
        <w:t>Welt« přinášíme výtah kapitoly, která se zabývá nejnovějšimi chemickými objevy a snaží se dáti odpověď na otázku, kdo bude hráti v che</w:t>
      </w:r>
      <w:r>
        <w:rPr>
          <w:sz w:val="20"/>
          <w:szCs w:val="20"/>
        </w:rPr>
        <w:softHyphen/>
        <w:t>mi</w:t>
      </w:r>
      <w:r>
        <w:rPr>
          <w:sz w:val="20"/>
          <w:szCs w:val="20"/>
        </w:rPr>
        <w:t>cké výrobě vedoucí úlohu.</w:t>
      </w:r>
    </w:p>
    <w:p w:rsidR="00500724" w:rsidRDefault="00F30FB8">
      <w:pPr>
        <w:pStyle w:val="Zkladntext100"/>
        <w:numPr>
          <w:ilvl w:val="0"/>
          <w:numId w:val="43"/>
        </w:numPr>
        <w:shd w:val="clear" w:color="auto" w:fill="auto"/>
        <w:tabs>
          <w:tab w:val="left" w:pos="505"/>
        </w:tabs>
        <w:spacing w:after="160" w:line="240" w:lineRule="auto"/>
        <w:ind w:firstLine="260"/>
      </w:pPr>
      <w:r>
        <w:t>každém desílileií svého velkého, technického vze</w:t>
      </w:r>
      <w:r>
        <w:softHyphen/>
        <w:t xml:space="preserve">stupu změnila chemie některý úsek života. V letech 1920 až 1930 zlidověly její zásluhou fotografie a rozhlas, filmová představení zdomácněla po celém světě a výroba umělého hedvábí </w:t>
      </w:r>
      <w:r>
        <w:t>zahájila novou epochu v ženské módě. Veliké zlevnění fotochemických výrobků přivádí každý večer do biografů miliony lidí, povyšujíc také fotogra</w:t>
      </w:r>
      <w:r>
        <w:softHyphen/>
        <w:t>fování mezi oblíbené lidové sporty. Chemie umělých látek snížila současně ceny rozhlasových přijímačů do té mír</w:t>
      </w:r>
      <w:r>
        <w:t>y, že již kdokoliv z nás může naslouchat rozhlasovému vysílání. Zlepšené isolační látky umožňují snadnější vý</w:t>
      </w:r>
      <w:r>
        <w:softHyphen/>
        <w:t>robu přívodních drátů a používání umělé pryskyřice do</w:t>
      </w:r>
      <w:r>
        <w:softHyphen/>
        <w:t>voluje vyráběti hotové formy bez přerušování pracov</w:t>
      </w:r>
      <w:r>
        <w:softHyphen/>
        <w:t>ního chodu.</w:t>
      </w:r>
    </w:p>
    <w:p w:rsidR="00500724" w:rsidRDefault="00F30FB8">
      <w:pPr>
        <w:pStyle w:val="Zkladntext100"/>
        <w:shd w:val="clear" w:color="auto" w:fill="auto"/>
        <w:spacing w:after="40" w:line="240" w:lineRule="auto"/>
        <w:ind w:firstLine="0"/>
        <w:jc w:val="left"/>
      </w:pPr>
      <w:r>
        <w:t xml:space="preserve">Země chtějí míti vlastní </w:t>
      </w:r>
      <w:r>
        <w:t>chemickou výrobu</w:t>
      </w:r>
    </w:p>
    <w:p w:rsidR="00500724" w:rsidRDefault="00F30FB8">
      <w:pPr>
        <w:pStyle w:val="Zkladntext100"/>
        <w:numPr>
          <w:ilvl w:val="0"/>
          <w:numId w:val="43"/>
        </w:numPr>
        <w:shd w:val="clear" w:color="auto" w:fill="auto"/>
        <w:tabs>
          <w:tab w:val="left" w:pos="500"/>
        </w:tabs>
        <w:spacing w:after="40" w:line="240" w:lineRule="auto"/>
        <w:ind w:firstLine="260"/>
      </w:pPr>
      <w:r>
        <w:t>každém desítiletí vznikají nové skupiny chemických výrobků. Další a další země zakládají vlastní lučební vý</w:t>
      </w:r>
      <w:r>
        <w:softHyphen/>
        <w:t>robu. Před válkou připadaly čtyři pětiny veškeré che</w:t>
      </w:r>
      <w:r>
        <w:softHyphen/>
        <w:t>mické výroby na čtyři státy: Německo, Anglii, Francii a USA. Zbytek se vyráběl</w:t>
      </w:r>
      <w:r>
        <w:t xml:space="preserve"> v sesterských podnicích velikých koncernů, tedy v továrnách společnosti Solvay, Nobel, </w:t>
      </w:r>
      <w:r>
        <w:rPr>
          <w:lang w:val="en-US" w:eastAsia="en-US" w:bidi="en-US"/>
        </w:rPr>
        <w:t xml:space="preserve">Lever, </w:t>
      </w:r>
      <w:r>
        <w:t>německého průmyslu barviv a švédských sirká</w:t>
      </w:r>
      <w:r>
        <w:softHyphen/>
        <w:t>ren. Dnes není však téměř na světě země, která by ne</w:t>
      </w:r>
      <w:r>
        <w:softHyphen/>
        <w:t>měla aspoň jediný vlastní chemický podnik.</w:t>
      </w:r>
    </w:p>
    <w:p w:rsidR="00500724" w:rsidRDefault="00F30FB8">
      <w:pPr>
        <w:pStyle w:val="Zkladntext100"/>
        <w:shd w:val="clear" w:color="auto" w:fill="auto"/>
        <w:spacing w:after="40" w:line="240" w:lineRule="auto"/>
        <w:ind w:firstLine="260"/>
      </w:pPr>
      <w:r>
        <w:t>Chemie pronikla do ne</w:t>
      </w:r>
      <w:r>
        <w:t>jzapadlejších koutů světa, ale obchod s chemickými výrobky na světovém trhu po</w:t>
      </w:r>
      <w:r>
        <w:softHyphen/>
        <w:t>klesl. Je mnohem menší, než byl v r. 1913. Tehdy se do</w:t>
      </w:r>
      <w:r>
        <w:softHyphen/>
        <w:t>pravilo přes hranice chemických výrobků za více než 3 miliardy marek, ale v posledních letech nedosáhl již obchod často ta</w:t>
      </w:r>
      <w:r>
        <w:t>kových výsledků. Dovoz ze zahraničí byl velkou měrou nahrazen vlastní výrobou. Velká světová střediska chemické výroby, která dodávala dříve téměř všechno, utrpěla těžkou ránu. Byla by musila zaniknout, kdyby se jim nebylo podařilo objevili nové věci, kter</w:t>
      </w:r>
      <w:r>
        <w:t>é jiní nemohou ještě sami vyrábět.</w:t>
      </w:r>
    </w:p>
    <w:p w:rsidR="00500724" w:rsidRDefault="00F30FB8">
      <w:pPr>
        <w:pStyle w:val="Zkladntext100"/>
        <w:shd w:val="clear" w:color="auto" w:fill="auto"/>
        <w:spacing w:after="40" w:line="240" w:lineRule="auto"/>
        <w:ind w:firstLine="260"/>
      </w:pPr>
      <w:r>
        <w:t>Od skončení světové války učinila chemická výroba mnoho nových objevů: Nové druhy hnojiv a nové jedy proti hmyzu, filmy a umělé látky, především však umělé hedvábí a léčiva. Ačkoliv ceny lučebních výrobků klesly velmi zna</w:t>
      </w:r>
      <w:r>
        <w:t>čně, je výrobní hodnota chemického zboží mnohem větší, než hodnota světové sklizně obilí. Světová sklizeň pšenice odhaduje se v posledních desíti letech průměrně na 10 miliard marek, ale výrobní hodnota che</w:t>
      </w:r>
      <w:r>
        <w:softHyphen/>
        <w:t>mického zboží dostoupila v r. 1938 okrouhle 30 mi</w:t>
      </w:r>
      <w:r>
        <w:t>liard marek.</w:t>
      </w:r>
    </w:p>
    <w:p w:rsidR="00500724" w:rsidRDefault="00F30FB8">
      <w:pPr>
        <w:pStyle w:val="Zkladntext100"/>
        <w:shd w:val="clear" w:color="auto" w:fill="auto"/>
        <w:spacing w:after="40" w:line="240" w:lineRule="auto"/>
        <w:ind w:firstLine="260"/>
      </w:pPr>
      <w:r>
        <w:t>Již před válkou nebylo Německo největším výrobcem chemických látek, jsouc až na druhém místě za Spoje</w:t>
      </w:r>
      <w:r>
        <w:softHyphen/>
        <w:t>nými Státy. Na začátku století dobyla sice jednou ně</w:t>
      </w:r>
      <w:r>
        <w:softHyphen/>
        <w:t>mecká říše vedení, vyrábějíc celou třetinu světové che</w:t>
      </w:r>
      <w:r>
        <w:softHyphen/>
        <w:t>mické produkce, ale hospodářský r</w:t>
      </w:r>
      <w:r>
        <w:t>ozkvět Spojených Států snížil pak německý podíl na čtvrtinu a do r. 1930 dokonce na šestinu. Od r. 1933 je německý podíl opět větší, znamenaje asi pětinu světové lučební výroby.</w:t>
      </w:r>
    </w:p>
    <w:p w:rsidR="00500724" w:rsidRDefault="00F30FB8">
      <w:pPr>
        <w:pStyle w:val="Zkladntext100"/>
        <w:shd w:val="clear" w:color="auto" w:fill="auto"/>
        <w:spacing w:line="266" w:lineRule="auto"/>
        <w:ind w:firstLine="260"/>
      </w:pPr>
      <w:r>
        <w:t>Na trzích s volnou soutěží je Německo stále ještě hlavním dodavatelem. Ostatní</w:t>
      </w:r>
      <w:r>
        <w:t xml:space="preserve"> státy přivádějí na volný trh jenom speciální výrobky: Anglie mýdla, Francie pud</w:t>
      </w:r>
      <w:r>
        <w:softHyphen/>
        <w:t>ry a parfumy, Amerika automobilové laky, Itálie umělé hedvábí. Většinu barviv, léčiv, těžkých chemikálií a jem</w:t>
      </w:r>
      <w:r>
        <w:softHyphen/>
        <w:t>ných preparátů, umělých hmot, fotografických potřeb a dusíkatých</w:t>
      </w:r>
      <w:r>
        <w:t xml:space="preserve"> látek dodává Německo.</w:t>
      </w:r>
    </w:p>
    <w:p w:rsidR="00500724" w:rsidRDefault="00F30FB8">
      <w:pPr>
        <w:pStyle w:val="Zkladntext100"/>
        <w:shd w:val="clear" w:color="auto" w:fill="auto"/>
        <w:spacing w:line="252" w:lineRule="auto"/>
        <w:ind w:firstLine="260"/>
      </w:pPr>
      <w:r>
        <w:t>Nejvýznačnějším znakem světového trhu je však snaha jednotlivých zemí o vlastní výrobu. Země jako Řecko a Brasilie kryjí svou spotřebu chemického zboží ze dvou třetin samy. Španělsko, Argentina a Mexiko vyrábějí si ve vlastních podni</w:t>
      </w:r>
      <w:r>
        <w:t xml:space="preserve">cích asi polovici celkové spotřeby chemického zboží. Totéž lze říci o Austrálii, Jižní Africe a Indii. Dokonce i Egypt, Turecko </w:t>
      </w:r>
      <w:r>
        <w:rPr>
          <w:lang w:val="en-US" w:eastAsia="en-US" w:bidi="en-US"/>
        </w:rPr>
        <w:t xml:space="preserve">a Persia </w:t>
      </w:r>
      <w:r>
        <w:t>usilují o silnou a vlastní chemickou výrobu. Míli vlastní chemické továr</w:t>
      </w:r>
      <w:r>
        <w:softHyphen/>
        <w:t>ny náleží již bezmála k podstatným znakům náro</w:t>
      </w:r>
      <w:r>
        <w:t xml:space="preserve">dní </w:t>
      </w:r>
      <w:r>
        <w:rPr>
          <w:lang w:val="en-US" w:eastAsia="en-US" w:bidi="en-US"/>
        </w:rPr>
        <w:t xml:space="preserve">same </w:t>
      </w:r>
      <w:r>
        <w:t>statnosti.</w:t>
      </w:r>
    </w:p>
    <w:p w:rsidR="00500724" w:rsidRDefault="00F30FB8">
      <w:pPr>
        <w:pStyle w:val="Zkladntext100"/>
        <w:numPr>
          <w:ilvl w:val="0"/>
          <w:numId w:val="43"/>
        </w:numPr>
        <w:shd w:val="clear" w:color="auto" w:fill="auto"/>
        <w:tabs>
          <w:tab w:val="left" w:pos="495"/>
        </w:tabs>
        <w:spacing w:line="252" w:lineRule="auto"/>
        <w:ind w:firstLine="260"/>
      </w:pPr>
      <w:r>
        <w:t>posledních 30 letech před světovou válkou hrálo Německo v chemii nesporně vedoucí úlohu. Od té doby zůstává sice stále v čele, ale utkává se již se silnými protivníky, kteří mu mohou vedení vyrvat. Před světo</w:t>
      </w:r>
      <w:r>
        <w:softHyphen/>
        <w:t>vou válkou byly Amerika a A</w:t>
      </w:r>
      <w:r>
        <w:t xml:space="preserve">nglie hlavním odběratelem německého chemického zboží a barviv, ale s tím </w:t>
      </w:r>
      <w:r>
        <w:rPr>
          <w:b/>
          <w:bCs/>
          <w:sz w:val="20"/>
          <w:szCs w:val="20"/>
        </w:rPr>
        <w:t xml:space="preserve">je už </w:t>
      </w:r>
      <w:r>
        <w:t>konec. Tyto veliké průmyslové země odebírají sice ještě stále mnoho speciálních výrobků, dodávajíce za ně jiné zboží, ale hromadné výrobky opatřují si už samy. Jsou již s to vyr</w:t>
      </w:r>
      <w:r>
        <w:t>áběli kteroukoliv novou věc v kterémkoliv oboru lučební techniky.</w:t>
      </w:r>
    </w:p>
    <w:p w:rsidR="00500724" w:rsidRDefault="00F30FB8">
      <w:pPr>
        <w:pStyle w:val="Zkladntext100"/>
        <w:numPr>
          <w:ilvl w:val="0"/>
          <w:numId w:val="43"/>
        </w:numPr>
        <w:shd w:val="clear" w:color="auto" w:fill="auto"/>
        <w:tabs>
          <w:tab w:val="left" w:pos="490"/>
        </w:tabs>
        <w:spacing w:line="252" w:lineRule="auto"/>
        <w:ind w:firstLine="260"/>
      </w:pPr>
      <w:r>
        <w:t xml:space="preserve">letech 1920 až 1930 vyvinula Amerika úžasné úsilí, aby se v chemické výrobě zmocnila vedení. Vůči </w:t>
      </w:r>
      <w:r>
        <w:rPr>
          <w:b/>
          <w:bCs/>
          <w:sz w:val="20"/>
          <w:szCs w:val="20"/>
        </w:rPr>
        <w:t>Ně</w:t>
      </w:r>
      <w:r>
        <w:rPr>
          <w:b/>
          <w:bCs/>
          <w:sz w:val="20"/>
          <w:szCs w:val="20"/>
        </w:rPr>
        <w:softHyphen/>
      </w:r>
      <w:r>
        <w:t xml:space="preserve">mecku představují Spojené Státy zemi, v níž je třeba </w:t>
      </w:r>
      <w:r>
        <w:rPr>
          <w:b/>
          <w:bCs/>
          <w:sz w:val="20"/>
          <w:szCs w:val="20"/>
        </w:rPr>
        <w:t>ná</w:t>
      </w:r>
      <w:r>
        <w:rPr>
          <w:b/>
          <w:bCs/>
          <w:sz w:val="20"/>
          <w:szCs w:val="20"/>
        </w:rPr>
        <w:softHyphen/>
      </w:r>
      <w:r>
        <w:t xml:space="preserve">sobili všechno aspoň desíti. </w:t>
      </w:r>
      <w:r>
        <w:t>Přebytek nevyužité vodní síly a surovin dává americkým chemikům největší mož</w:t>
      </w:r>
      <w:r>
        <w:softHyphen/>
        <w:t xml:space="preserve">nosti. Přímo je vyzývá, aby ze surovin udělali něco vhodného. Musí fo býti výrobky, sloužící autu, kinu nebo nejoblíbenějším předmětům v bytě, protože v USA je poptávka především </w:t>
      </w:r>
      <w:r>
        <w:t>po takovém zboží.</w:t>
      </w:r>
    </w:p>
    <w:p w:rsidR="00500724" w:rsidRDefault="00F30FB8">
      <w:pPr>
        <w:pStyle w:val="Zkladntext100"/>
        <w:shd w:val="clear" w:color="auto" w:fill="auto"/>
        <w:spacing w:line="240" w:lineRule="auto"/>
        <w:ind w:firstLine="260"/>
      </w:pPr>
      <w:r>
        <w:t>Ale i Spojené státy trpí nouzí odbytu. Po zhodnocení volá ohromný přebytek zemědělských výrobků. Farmář na severu pěstuje cukrovou řepu, ale Kuba a Filipíny dodávají samy dost cukru. Aby se přebytek cukru zmen</w:t>
      </w:r>
      <w:r>
        <w:softHyphen/>
        <w:t xml:space="preserve">šil, je chemik vybízen, aby </w:t>
      </w:r>
      <w:r>
        <w:t>z cukru vyráběl alkohol. Farmáři v jiných krajích nemají zase odbyt pro kuku</w:t>
      </w:r>
      <w:r>
        <w:softHyphen/>
        <w:t>řici. Doporučuje se jim tedy, aby pěstovali sojové boby, z nichž má chemik vyráběli bílkoviny a kasein - v dal</w:t>
      </w:r>
      <w:r>
        <w:softHyphen/>
        <w:t>ším zpracování umělé látky.</w:t>
      </w:r>
    </w:p>
    <w:p w:rsidR="00500724" w:rsidRDefault="00F30FB8">
      <w:pPr>
        <w:pStyle w:val="Zkladntext100"/>
        <w:shd w:val="clear" w:color="auto" w:fill="auto"/>
        <w:spacing w:line="240" w:lineRule="auto"/>
        <w:ind w:firstLine="260"/>
      </w:pPr>
      <w:r>
        <w:t>Mimo to trpí Spojené Státy hrozivým nedo</w:t>
      </w:r>
      <w:r>
        <w:t>statkem dů</w:t>
      </w:r>
      <w:r>
        <w:softHyphen/>
        <w:t xml:space="preserve">ležité suroviny, totiž nedostatkem dřeva. V severních oblastech Unie a v Kanadě padají pod sekyrou každý rok obrovské plochy lesů, a místo statných smrků rostou jenom stromečky. Z vykácených stromů vyrábí se téměř výlučně novinový papír. Pravda </w:t>
      </w:r>
      <w:r>
        <w:t>je ovšem, že se nedo</w:t>
      </w:r>
      <w:r>
        <w:softHyphen/>
        <w:t>statek dřeva vyskytuje jenom místy, na jihu Unie je měkkého dřeva dost. Za deset let vyrostou tam pořádné stromy, jejichž dřeva se nevyužívá ani jako paliva. Teď mají chemikové vyráběli z tohoto dřeva buničinu, která by byla základem p</w:t>
      </w:r>
      <w:r>
        <w:t>ro výrobu papíru, umělého hedvábí a broušených laků.</w:t>
      </w:r>
    </w:p>
    <w:p w:rsidR="00500724" w:rsidRDefault="00F30FB8">
      <w:pPr>
        <w:pStyle w:val="Zkladntext100"/>
        <w:shd w:val="clear" w:color="auto" w:fill="auto"/>
        <w:spacing w:line="240" w:lineRule="auto"/>
        <w:ind w:firstLine="260"/>
      </w:pPr>
      <w:r>
        <w:t>Bývalo to vždycky tak, že chemie pomáhala odstraňo</w:t>
      </w:r>
      <w:r>
        <w:softHyphen/>
        <w:t>vali nouzi. Na západní straně zeměkoule není nouze z ne</w:t>
      </w:r>
      <w:r>
        <w:softHyphen/>
        <w:t xml:space="preserve">dostatku, nýbrž z přebytku. Chemii jest zasáhnouti, aby se přebytek správně zhodnotil. Jinde je </w:t>
      </w:r>
      <w:r>
        <w:t>zase chemie po</w:t>
      </w:r>
      <w:r>
        <w:softHyphen/>
        <w:t>volána, aby odstranila nedostatek surovin. Je velká otáz</w:t>
      </w:r>
      <w:r>
        <w:softHyphen/>
        <w:t>ka, která chemie zvítězí: chemie přebytku či nedostatku?</w:t>
      </w:r>
      <w:r>
        <w:br w:type="page"/>
      </w:r>
    </w:p>
    <w:p w:rsidR="00500724" w:rsidRDefault="00F30FB8">
      <w:pPr>
        <w:pStyle w:val="Zkladntext100"/>
        <w:shd w:val="clear" w:color="auto" w:fill="auto"/>
        <w:spacing w:after="100" w:line="240" w:lineRule="auto"/>
        <w:ind w:firstLine="0"/>
        <w:jc w:val="center"/>
      </w:pPr>
      <w:r>
        <w:t>Americká převaha?</w:t>
      </w:r>
    </w:p>
    <w:p w:rsidR="00500724" w:rsidRDefault="00F30FB8">
      <w:pPr>
        <w:pStyle w:val="Zkladntext100"/>
        <w:numPr>
          <w:ilvl w:val="0"/>
          <w:numId w:val="43"/>
        </w:numPr>
        <w:shd w:val="clear" w:color="auto" w:fill="auto"/>
        <w:tabs>
          <w:tab w:val="left" w:pos="481"/>
        </w:tabs>
        <w:spacing w:line="240" w:lineRule="auto"/>
        <w:ind w:firstLine="220"/>
      </w:pPr>
      <w:r>
        <w:t>r. 1927 stéla ještě německá chemie na vrcholku no</w:t>
      </w:r>
      <w:r>
        <w:softHyphen/>
        <w:t>vých úspěchů, zdánlivě vůbec nepřekonatelných. Podaři</w:t>
      </w:r>
      <w:r>
        <w:softHyphen/>
        <w:t>lo s</w:t>
      </w:r>
      <w:r>
        <w:t>e jí vyrobili synthetický benzin. Leunawerke budují továrnu, která má vyrobit prvních 100.000 tun synthetic- kého benzinu. Vyrábět benzin z uhlí je pro život příštích generací čin stejně osvobozující, jako výroba ledku ze vzduchu. Dusíkaté hnojivá zajišťuj</w:t>
      </w:r>
      <w:r>
        <w:t>í úrodu na stará kul</w:t>
      </w:r>
      <w:r>
        <w:softHyphen/>
        <w:t>turní půdě, zažehnávajíce v staré Evropě příšeru hladu. Synthetický benzin zajišťuje autu a letadlu pohonnou látku, až budou prameny nafty vyčerpány. Už dnes je jisto, že v r. 2000 bude nafta ze země vyčerpána, zatím co ložiska uhlí vy</w:t>
      </w:r>
      <w:r>
        <w:t>stačí ještě na celé tisíciletí.</w:t>
      </w:r>
    </w:p>
    <w:p w:rsidR="00500724" w:rsidRDefault="00F30FB8">
      <w:pPr>
        <w:pStyle w:val="Zkladntext100"/>
        <w:shd w:val="clear" w:color="auto" w:fill="auto"/>
        <w:spacing w:line="240" w:lineRule="auto"/>
        <w:ind w:firstLine="220"/>
      </w:pPr>
      <w:r>
        <w:t>Byl to tedy veliký triumf, když se F. Fischerovi a dr. Tropschovi z miihlheimského výzkumného ústavu poda</w:t>
      </w:r>
      <w:r>
        <w:softHyphen/>
        <w:t>řilo v r. 1923 uskutečnili benzinovou synthesi jenom po</w:t>
      </w:r>
      <w:r>
        <w:softHyphen/>
        <w:t>mocí katalysátorů, bez použití vysokého tlaku. Podali důkaz, ž</w:t>
      </w:r>
      <w:r>
        <w:t>e se kysličník uhličitý a vodík dají sloučili v benzin bez působení tlaku - za dva roky potom vy</w:t>
      </w:r>
      <w:r>
        <w:softHyphen/>
        <w:t>pracovali celý výrobní postup do nejmenších podrob</w:t>
      </w:r>
      <w:r>
        <w:softHyphen/>
        <w:t>ností. Místo drahých zařízení pro vysoký tlak mohou se teď aparáty vyráběli z obyčejného plechu. V r. 1927 b</w:t>
      </w:r>
      <w:r>
        <w:t>yl už výrobní postup propracován do té míry, že výroba synthetického benzinu mohla začít ve větším rozsahu.</w:t>
      </w:r>
    </w:p>
    <w:p w:rsidR="00500724" w:rsidRDefault="00F30FB8">
      <w:pPr>
        <w:pStyle w:val="Zkladntext100"/>
        <w:shd w:val="clear" w:color="auto" w:fill="auto"/>
        <w:spacing w:line="240" w:lineRule="auto"/>
        <w:ind w:firstLine="220"/>
      </w:pPr>
      <w:r>
        <w:t>Téhož roku bylo již Německo s to, vyráběli také buni- čitou vlnu, zvláštní textilní látku, která se dá zpracovali stejně jako bavlna. Hlavní výhodou</w:t>
      </w:r>
      <w:r>
        <w:t xml:space="preserve"> této suroviny je láce, poněvadž stojí o polovici méně, než nejlevnější umělé hedvábí. V textilní výrobě objevila se tato látka pod jménem vistra.</w:t>
      </w:r>
    </w:p>
    <w:p w:rsidR="00500724" w:rsidRDefault="00F30FB8">
      <w:pPr>
        <w:pStyle w:val="Zkladntext100"/>
        <w:shd w:val="clear" w:color="auto" w:fill="auto"/>
        <w:spacing w:line="240" w:lineRule="auto"/>
        <w:ind w:firstLine="220"/>
      </w:pPr>
      <w:r>
        <w:t>Německé textilní továrny nechtěly s počátku o tomto chemickém vláknu ani slyšet, ale do Francie začalo se brz</w:t>
      </w:r>
      <w:r>
        <w:t>y vyvážet ve větším množství. Na světovém trhu vzbudil pak výborný vzhled nových francouzských tka</w:t>
      </w:r>
      <w:r>
        <w:softHyphen/>
        <w:t>niv velký údiv.</w:t>
      </w:r>
    </w:p>
    <w:p w:rsidR="00500724" w:rsidRDefault="00F30FB8">
      <w:pPr>
        <w:pStyle w:val="Zkladntext100"/>
        <w:numPr>
          <w:ilvl w:val="0"/>
          <w:numId w:val="43"/>
        </w:numPr>
        <w:shd w:val="clear" w:color="auto" w:fill="auto"/>
        <w:tabs>
          <w:tab w:val="left" w:pos="495"/>
        </w:tabs>
        <w:spacing w:line="240" w:lineRule="auto"/>
        <w:ind w:firstLine="220"/>
      </w:pPr>
      <w:r>
        <w:t>listopadu r. 1927 konala se ve Frankfurtu nad Mo</w:t>
      </w:r>
      <w:r>
        <w:softHyphen/>
        <w:t>hanem slavnost spolku na ochranu zájmů lučebního prů</w:t>
      </w:r>
      <w:r>
        <w:softHyphen/>
        <w:t>myslu, na které jeden ze slavnostních ř</w:t>
      </w:r>
      <w:r>
        <w:t xml:space="preserve">ečníků prohlásil, že společnost </w:t>
      </w:r>
      <w:r>
        <w:rPr>
          <w:lang w:val="en-US" w:eastAsia="en-US" w:bidi="en-US"/>
        </w:rPr>
        <w:t xml:space="preserve">I. </w:t>
      </w:r>
      <w:r>
        <w:t>G. Farben začne již brzy vyráběli synthe- tický kaučuk. Bude prý mnohem lepší, než methylkaučuk za světové války. Ceny kaučuku klesly po tomto pře</w:t>
      </w:r>
      <w:r>
        <w:softHyphen/>
        <w:t>kvapujícím prohlášení velmi citelně. Německá chemie stála opět jednou na v</w:t>
      </w:r>
      <w:r>
        <w:t>rcholku slávy. Teprve před rokem, tedy v r. 1926, uložily leverkusenské podniky chemikům a technikům, aby vyrobili synthetický kaučuk - a nyní byla už továrna tak daleko, že mohla vyráběli butadien ve větším měřítku.</w:t>
      </w:r>
    </w:p>
    <w:p w:rsidR="00500724" w:rsidRDefault="00F30FB8">
      <w:pPr>
        <w:pStyle w:val="Zkladntext100"/>
        <w:shd w:val="clear" w:color="auto" w:fill="auto"/>
        <w:spacing w:line="221" w:lineRule="auto"/>
        <w:ind w:firstLine="220"/>
      </w:pPr>
      <w:r>
        <w:t>Uplynuly tři roky a celý svět trpí neví</w:t>
      </w:r>
      <w:r>
        <w:t>danou hospo</w:t>
      </w:r>
      <w:r>
        <w:softHyphen/>
        <w:t xml:space="preserve">dářskou krisi. Odbyt dusíkatých hnojiv klesá velmi rychle. Německý vývoz dusíkatých hnojiv klesl v roce 1930 o 100 milionů říšských marek a v roce následujícím o dalších 40 milionů. V r. 1933 zbylo z něj už jenom 50 milionů marek, ačkoliv v r. </w:t>
      </w:r>
      <w:r>
        <w:t>1928 až 1929 činil 280 milionů říšských marek.</w:t>
      </w:r>
    </w:p>
    <w:p w:rsidR="00500724" w:rsidRDefault="00F30FB8">
      <w:pPr>
        <w:pStyle w:val="Zkladntext100"/>
        <w:numPr>
          <w:ilvl w:val="0"/>
          <w:numId w:val="43"/>
        </w:numPr>
        <w:shd w:val="clear" w:color="auto" w:fill="auto"/>
        <w:tabs>
          <w:tab w:val="left" w:pos="504"/>
        </w:tabs>
        <w:spacing w:line="221" w:lineRule="auto"/>
        <w:ind w:firstLine="220"/>
      </w:pPr>
      <w:r>
        <w:t>americkém lučebním průmyslu rozmach pokračoval.</w:t>
      </w:r>
    </w:p>
    <w:p w:rsidR="00500724" w:rsidRDefault="00F30FB8">
      <w:pPr>
        <w:pStyle w:val="Zkladntext100"/>
        <w:numPr>
          <w:ilvl w:val="0"/>
          <w:numId w:val="43"/>
        </w:numPr>
        <w:shd w:val="clear" w:color="auto" w:fill="auto"/>
        <w:tabs>
          <w:tab w:val="left" w:pos="279"/>
        </w:tabs>
        <w:spacing w:line="221" w:lineRule="auto"/>
        <w:ind w:firstLine="0"/>
      </w:pPr>
      <w:r>
        <w:t>r. 1927 podařila se Dupontovi synthese methanolu.</w:t>
      </w:r>
    </w:p>
    <w:p w:rsidR="00500724" w:rsidRDefault="00F30FB8">
      <w:pPr>
        <w:pStyle w:val="Zkladntext100"/>
        <w:numPr>
          <w:ilvl w:val="0"/>
          <w:numId w:val="43"/>
        </w:numPr>
        <w:shd w:val="clear" w:color="auto" w:fill="auto"/>
        <w:tabs>
          <w:tab w:val="left" w:pos="284"/>
        </w:tabs>
        <w:spacing w:line="221" w:lineRule="auto"/>
        <w:ind w:firstLine="0"/>
      </w:pPr>
      <w:r>
        <w:t xml:space="preserve">r. 1929 podařilo se společnosti Union Carbide vyrobili synthetický většinu alkoholů a éterů, glykol a dokonce </w:t>
      </w:r>
      <w:r>
        <w:t>aceton. Ve velké továrně, kterou vybudovala v západní Virginii, vyrábí tato společnost synthetickou cestou i výbušniny. Glykol je látka podobná glycerinu. V zimě se používá v chladičích aut jako ochrana proti mrazu, po</w:t>
      </w:r>
      <w:r>
        <w:softHyphen/>
        <w:t>něvadž vydrží ještě nižší teploty než</w:t>
      </w:r>
      <w:r>
        <w:t xml:space="preserve"> glycerin. Zpracu- je-li se glykol kyselinou dusičnou, dostaneme výbušnou látku, která se vyrovná nitroglycerinu.</w:t>
      </w:r>
    </w:p>
    <w:p w:rsidR="00500724" w:rsidRDefault="00F30FB8">
      <w:pPr>
        <w:pStyle w:val="Zkladntext100"/>
        <w:shd w:val="clear" w:color="auto" w:fill="auto"/>
        <w:spacing w:line="223" w:lineRule="auto"/>
        <w:ind w:firstLine="220"/>
      </w:pPr>
      <w:r>
        <w:rPr>
          <w:lang w:val="en-US" w:eastAsia="en-US" w:bidi="en-US"/>
        </w:rPr>
        <w:t xml:space="preserve">Dupont </w:t>
      </w:r>
      <w:r>
        <w:t>překonává však sám sebe. Zatím co jeho kon</w:t>
      </w:r>
      <w:r>
        <w:softHyphen/>
        <w:t xml:space="preserve">kurent vyrábí glykol, začíná </w:t>
      </w:r>
      <w:r>
        <w:rPr>
          <w:lang w:val="en-US" w:eastAsia="en-US" w:bidi="en-US"/>
        </w:rPr>
        <w:t xml:space="preserve">Dupont </w:t>
      </w:r>
      <w:r>
        <w:t xml:space="preserve">vyrábět pomocí glycerinu nový, zdokonalený automobilový </w:t>
      </w:r>
      <w:r>
        <w:t xml:space="preserve">lak. Získává jej </w:t>
      </w:r>
      <w:r>
        <w:rPr>
          <w:b/>
          <w:bCs/>
          <w:sz w:val="20"/>
          <w:szCs w:val="20"/>
        </w:rPr>
        <w:t xml:space="preserve">z </w:t>
      </w:r>
      <w:r>
        <w:t>kyseliny phtalové esterisací glycerinu. Kyselinu phtalovou opatřuje si z naphtalinu pomocí metody, kte</w:t>
      </w:r>
      <w:r>
        <w:softHyphen/>
        <w:t>rou vypracovali němečtí chemikové v r. 1895, zabývajíce se indigovou synthesi.</w:t>
      </w:r>
    </w:p>
    <w:p w:rsidR="00500724" w:rsidRDefault="00F30FB8">
      <w:pPr>
        <w:pStyle w:val="Zkladntext100"/>
        <w:shd w:val="clear" w:color="auto" w:fill="auto"/>
        <w:spacing w:line="223" w:lineRule="auto"/>
        <w:ind w:firstLine="220"/>
      </w:pPr>
      <w:r>
        <w:t xml:space="preserve">Sotva se veřejnost dověděla a německých úspěších při </w:t>
      </w:r>
      <w:r>
        <w:t>synthesi kaučuku, začínají se tím zabývati také che</w:t>
      </w:r>
      <w:r>
        <w:softHyphen/>
        <w:t>mikové společnosti Dupontovy a vojenské lékařské aka</w:t>
      </w:r>
      <w:r>
        <w:softHyphen/>
        <w:t>demie v Leningradu. Již v r. 1928 podařilo se Lebedevovi vyrobili umělý kaučuk z bramborového lihu a krátce potom podařila se synthese kaučuku také dr.</w:t>
      </w:r>
      <w:r>
        <w:t xml:space="preserve"> Vogtovi, zaměstnanému u společnosti </w:t>
      </w:r>
      <w:r>
        <w:rPr>
          <w:lang w:val="en-US" w:eastAsia="en-US" w:bidi="en-US"/>
        </w:rPr>
        <w:t xml:space="preserve">Dupont. </w:t>
      </w:r>
      <w:r>
        <w:t>Na podzim r. 1931 Dupontova společnost oznamuje, že v nejbližší době uvede na trh synthetický kaučuk pod jménem dupren, vyrábějíc z něho pokusně také pneumatiky.</w:t>
      </w:r>
    </w:p>
    <w:p w:rsidR="00500724" w:rsidRDefault="00F30FB8">
      <w:pPr>
        <w:pStyle w:val="Zkladntext100"/>
        <w:shd w:val="clear" w:color="auto" w:fill="auto"/>
        <w:spacing w:line="223" w:lineRule="auto"/>
        <w:ind w:firstLine="220"/>
      </w:pPr>
      <w:r>
        <w:t xml:space="preserve">Společnost </w:t>
      </w:r>
      <w:r>
        <w:rPr>
          <w:lang w:val="en-US" w:eastAsia="en-US" w:bidi="en-US"/>
        </w:rPr>
        <w:t xml:space="preserve">Standard Oil </w:t>
      </w:r>
      <w:r>
        <w:t>a Shellův koncern postavi</w:t>
      </w:r>
      <w:r>
        <w:t>ly v době světové hospodářské krise nové, velké rafinerie zemních olejů, používajíce plynů, které při štěpení olejů vznikají, k chemickým synthesím. Jediný cylindr jejich krakovacích zařízení štěpí do roka více než milion tun těžkých olejů. V r. 1932 dokon</w:t>
      </w:r>
      <w:r>
        <w:t xml:space="preserve">čila společnost Standard </w:t>
      </w:r>
      <w:r>
        <w:rPr>
          <w:lang w:val="en-US" w:eastAsia="en-US" w:bidi="en-US"/>
        </w:rPr>
        <w:t xml:space="preserve">Oil </w:t>
      </w:r>
      <w:r>
        <w:t>v Louisianě stavbu největší rafinerie světa. Shellova společnost vybudovala veliké podniky v Texasu, kde z krakovacích plynů získává synthesi butylalkohol a do</w:t>
      </w:r>
      <w:r>
        <w:softHyphen/>
        <w:t>konce i velmi hodnotný benzin pro letadla.</w:t>
      </w:r>
    </w:p>
    <w:p w:rsidR="00500724" w:rsidRDefault="00F30FB8">
      <w:pPr>
        <w:pStyle w:val="Zkladntext100"/>
        <w:shd w:val="clear" w:color="auto" w:fill="auto"/>
        <w:spacing w:line="221" w:lineRule="auto"/>
        <w:ind w:firstLine="220"/>
      </w:pPr>
      <w:r>
        <w:t xml:space="preserve">Ani </w:t>
      </w:r>
      <w:r>
        <w:rPr>
          <w:lang w:val="en-US" w:eastAsia="en-US" w:bidi="en-US"/>
        </w:rPr>
        <w:t xml:space="preserve">Dupont </w:t>
      </w:r>
      <w:r>
        <w:t>nezůstává v t</w:t>
      </w:r>
      <w:r>
        <w:t>éto soutěži pozadu. Do roku 1934 postavil druhou továrnu na výrobu synthetického kaučuku a připravuje třetí továrnu. Z amoniaku, kyseliny uhličité a vody začíná vyráběli synthetickou cestou močo</w:t>
      </w:r>
      <w:r>
        <w:softHyphen/>
        <w:t xml:space="preserve">vinu, což dosud dovedli jenom chemikové </w:t>
      </w:r>
      <w:r>
        <w:rPr>
          <w:lang w:val="en-US" w:eastAsia="en-US" w:bidi="en-US"/>
        </w:rPr>
        <w:t xml:space="preserve">I. </w:t>
      </w:r>
      <w:r>
        <w:t>G. Farben. Z močov</w:t>
      </w:r>
      <w:r>
        <w:t>iny nevyrábí však dusíkatá hnojivá, nýbrž umě</w:t>
      </w:r>
      <w:r>
        <w:softHyphen/>
        <w:t>lou pryskyřici. Současně začíná vyráběli velmi hodnot</w:t>
      </w:r>
      <w:r>
        <w:softHyphen/>
        <w:t>nou umělou látku z kyseliny akrylové.</w:t>
      </w:r>
    </w:p>
    <w:p w:rsidR="00500724" w:rsidRDefault="00F30FB8">
      <w:pPr>
        <w:pStyle w:val="Zkladntext100"/>
        <w:shd w:val="clear" w:color="auto" w:fill="auto"/>
        <w:spacing w:after="80" w:line="221" w:lineRule="auto"/>
        <w:ind w:firstLine="220"/>
      </w:pPr>
      <w:r>
        <w:t>Všichni němečtí chemikové, kteří navštívili Spojené Státy v letech 1930 až 1932 vracejí se s dojmem: Ameri</w:t>
      </w:r>
      <w:r>
        <w:softHyphen/>
        <w:t>čané nás př</w:t>
      </w:r>
      <w:r>
        <w:t xml:space="preserve">ekonali a nelze je už porazit. Aby měla pro chemické synthese nejlepší látky, může Amerika sáh- nouti prostě do přebytků surovin. Nezáleží jí na tom, vyplýtvá-li tisíce tun nejlepších surovin, které slouží jenom experimentování. Jinak by se přece ztratily </w:t>
      </w:r>
      <w:r>
        <w:t>tyto suroviny ve vzduchu nebo někde jinde zcela bez účinku.</w:t>
      </w:r>
    </w:p>
    <w:p w:rsidR="00500724" w:rsidRDefault="00F30FB8">
      <w:pPr>
        <w:pStyle w:val="Zkladntext20"/>
        <w:shd w:val="clear" w:color="auto" w:fill="auto"/>
        <w:spacing w:line="240" w:lineRule="auto"/>
        <w:ind w:left="120" w:firstLine="0"/>
        <w:jc w:val="center"/>
        <w:rPr>
          <w:sz w:val="20"/>
          <w:szCs w:val="20"/>
        </w:rPr>
      </w:pPr>
      <w:r>
        <w:rPr>
          <w:b/>
          <w:bCs/>
          <w:sz w:val="20"/>
          <w:szCs w:val="20"/>
        </w:rPr>
        <w:t>Sovětská chemie</w:t>
      </w:r>
    </w:p>
    <w:p w:rsidR="00500724" w:rsidRDefault="00F30FB8">
      <w:pPr>
        <w:pStyle w:val="Zkladntext100"/>
        <w:shd w:val="clear" w:color="auto" w:fill="auto"/>
        <w:spacing w:line="223" w:lineRule="auto"/>
        <w:ind w:firstLine="220"/>
      </w:pPr>
      <w:r>
        <w:t>Hrozné je pro německou chemii, že se na ni nedívá s patra jenom Amerika, ale i sovětské Rusko. Podle pěti</w:t>
      </w:r>
      <w:r>
        <w:softHyphen/>
        <w:t>letých plánů vybudovaly sověty od r. 1927 mohutný prů</w:t>
      </w:r>
      <w:r>
        <w:softHyphen/>
        <w:t xml:space="preserve">mysl, v němž náleží </w:t>
      </w:r>
      <w:r>
        <w:t>chemické výrobě významné místo. V Petrohradě a v Moskvě bývaly dříve podniky zahra</w:t>
      </w:r>
      <w:r>
        <w:softHyphen/>
        <w:t>ničních chemických společností, které sovětská vláda vyvlastnila a rozšířila. Označují-li se chemické továrny jako ikombináiy«, má se tím říci, že je tam spojeno ně</w:t>
      </w:r>
      <w:r>
        <w:softHyphen/>
        <w:t>kolik ch</w:t>
      </w:r>
      <w:r>
        <w:t>emických skupin. V polární oblasti na Sibiři na</w:t>
      </w:r>
      <w:r>
        <w:softHyphen/>
        <w:t>cházejí ruští učenci nové zásoby kyseliny fosforečné a na Uralu draselnaté soli, v donské oblasti začínají sověty využívat vodních sil a na Ukrajině budují nové uhelná šachty. Ložiska magnesitu dávají na Ural</w:t>
      </w:r>
      <w:r>
        <w:t>u vzniknout no</w:t>
      </w:r>
      <w:r>
        <w:softHyphen/>
        <w:t>vému těžkému průmyslu, na mnoha místech vznikají no</w:t>
      </w:r>
      <w:r>
        <w:softHyphen/>
        <w:t>vé chemické skombinátyt.</w:t>
      </w:r>
    </w:p>
    <w:p w:rsidR="00500724" w:rsidRDefault="00F30FB8">
      <w:pPr>
        <w:pStyle w:val="Zkladntext100"/>
        <w:shd w:val="clear" w:color="auto" w:fill="auto"/>
        <w:spacing w:line="223" w:lineRule="auto"/>
        <w:ind w:firstLine="220"/>
      </w:pPr>
      <w:r>
        <w:t>Proto disponují dnes Rusové 19 velkými podniky, z nichž je 6 u Leningradu a Moskvy, 6 na Ukrajině, 1 v po</w:t>
      </w:r>
      <w:r>
        <w:softHyphen/>
        <w:t>lární oblasti a 6 na Uralu nebo ve střední Asii. Všechny t</w:t>
      </w:r>
      <w:r>
        <w:t>yto podniky ujišťují, že vyrábějí jenom kyselinu síro</w:t>
      </w:r>
      <w:r>
        <w:softHyphen/>
        <w:t>vou, a hlavně umělá hnojivá. Ve skutečnosti zabývají se synthesi amoniaku, vyrábějíce kyselinu dusičnou, kte</w:t>
      </w:r>
      <w:r>
        <w:softHyphen/>
        <w:t>rou potřebuje průmysl, dodávající výbušné látky. Dokud jsou nároky zbrojního průmyslu normáln</w:t>
      </w:r>
      <w:r>
        <w:t>í, vyrábějí se v těchto chemických podnicích také hnojivá, ale klade-li zbrojní průmysl zvýšené požadavky, mění se ihned celá výroba podle vojenských potřeb.</w:t>
      </w:r>
    </w:p>
    <w:p w:rsidR="00500724" w:rsidRDefault="00F30FB8">
      <w:pPr>
        <w:pStyle w:val="Zkladntext100"/>
        <w:shd w:val="clear" w:color="auto" w:fill="auto"/>
        <w:spacing w:line="223" w:lineRule="auto"/>
        <w:ind w:firstLine="220"/>
        <w:sectPr w:rsidR="00500724">
          <w:footnotePr>
            <w:numFmt w:val="chicago"/>
            <w:numRestart w:val="eachPage"/>
          </w:footnotePr>
          <w:type w:val="continuous"/>
          <w:pgSz w:w="11909" w:h="16834"/>
          <w:pgMar w:top="1466" w:right="807" w:bottom="853" w:left="721" w:header="0" w:footer="3" w:gutter="0"/>
          <w:cols w:num="2" w:space="100"/>
          <w:noEndnote/>
          <w:docGrid w:linePitch="360"/>
        </w:sectPr>
      </w:pPr>
      <w:r>
        <w:rPr>
          <w:noProof/>
        </w:rPr>
        <mc:AlternateContent>
          <mc:Choice Requires="wps">
            <w:drawing>
              <wp:anchor distT="25400" distB="254000" distL="114300" distR="114300" simplePos="0" relativeHeight="125829750" behindDoc="0" locked="0" layoutInCell="1" allowOverlap="1">
                <wp:simplePos x="0" y="0"/>
                <wp:positionH relativeFrom="page">
                  <wp:posOffset>480060</wp:posOffset>
                </wp:positionH>
                <wp:positionV relativeFrom="margin">
                  <wp:posOffset>9074150</wp:posOffset>
                </wp:positionV>
                <wp:extent cx="228600" cy="155575"/>
                <wp:effectExtent l="0" t="0" r="0" b="0"/>
                <wp:wrapTopAndBottom/>
                <wp:docPr id="373" name="Shape 373"/>
                <wp:cNvGraphicFramePr/>
                <a:graphic xmlns:a="http://schemas.openxmlformats.org/drawingml/2006/main">
                  <a:graphicData uri="http://schemas.microsoft.com/office/word/2010/wordprocessingShape">
                    <wps:wsp>
                      <wps:cNvSpPr txBox="1"/>
                      <wps:spPr>
                        <a:xfrm>
                          <a:off x="0" y="0"/>
                          <a:ext cx="228600" cy="155575"/>
                        </a:xfrm>
                        <a:prstGeom prst="rect">
                          <a:avLst/>
                        </a:prstGeom>
                        <a:noFill/>
                      </wps:spPr>
                      <wps:txbx>
                        <w:txbxContent>
                          <w:p w:rsidR="00500724" w:rsidRDefault="00F30FB8">
                            <w:pPr>
                              <w:pStyle w:val="Zkladntext100"/>
                              <w:shd w:val="clear" w:color="auto" w:fill="auto"/>
                              <w:spacing w:line="240" w:lineRule="auto"/>
                              <w:ind w:firstLine="0"/>
                              <w:jc w:val="left"/>
                            </w:pPr>
                            <w:r>
                              <w:rPr>
                                <w:b/>
                                <w:bCs/>
                              </w:rPr>
                              <w:t>4? O</w:t>
                            </w:r>
                          </w:p>
                        </w:txbxContent>
                      </wps:txbx>
                      <wps:bodyPr lIns="0" tIns="0" rIns="0" bIns="0">
                        <a:spAutoFit/>
                      </wps:bodyPr>
                    </wps:wsp>
                  </a:graphicData>
                </a:graphic>
              </wp:anchor>
            </w:drawing>
          </mc:Choice>
          <mc:Fallback>
            <w:pict>
              <v:shape id="_x0000_s1399" type="#_x0000_t202" style="position:absolute;margin-left:37.799999999999997pt;margin-top:714.5pt;width:18.pt;height:12.25pt;z-index:-125829003;mso-wrap-distance-left:9.pt;mso-wrap-distance-top:2.pt;mso-wrap-distance-right:9.pt;mso-wrap-distance-bottom:20.pt;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18"/>
                          <w:szCs w:val="18"/>
                          <w:shd w:val="clear" w:color="auto" w:fill="auto"/>
                          <w:lang w:val="cs-CZ" w:eastAsia="cs-CZ" w:bidi="cs-CZ"/>
                        </w:rPr>
                        <w:t>4? O</w:t>
                      </w:r>
                    </w:p>
                  </w:txbxContent>
                </v:textbox>
                <w10:wrap type="topAndBottom" anchorx="page" anchory="margin"/>
              </v:shape>
            </w:pict>
          </mc:Fallback>
        </mc:AlternateContent>
      </w:r>
      <w:r>
        <w:t xml:space="preserve">Mimořádně rozsáhlý gumařský průmysl, kterým se předválečné </w:t>
      </w:r>
      <w:r>
        <w:t>Rusko vyznačovalo, věnuje se již téměř vý</w:t>
      </w:r>
      <w:r>
        <w:softHyphen/>
        <w:t>lučně výrobě pneumatik pro auta. Zpracovává zčásti</w:t>
      </w:r>
    </w:p>
    <w:p w:rsidR="00500724" w:rsidRDefault="00F30FB8">
      <w:pPr>
        <w:pStyle w:val="Zkladntext100"/>
        <w:shd w:val="clear" w:color="auto" w:fill="auto"/>
        <w:spacing w:line="290" w:lineRule="auto"/>
        <w:ind w:firstLine="0"/>
      </w:pPr>
      <w:r>
        <w:t>vlasíní synihetický kaučuk, ale spotřebuje také veliká množství přírodního kaučuku. Ruský synthetický kaučuk, známý pod jménem sovpren, není už dávno žádným ta</w:t>
      </w:r>
      <w:r>
        <w:softHyphen/>
        <w:t>jem</w:t>
      </w:r>
      <w:r>
        <w:t>stvím.</w:t>
      </w:r>
    </w:p>
    <w:p w:rsidR="00500724" w:rsidRDefault="00F30FB8">
      <w:pPr>
        <w:pStyle w:val="Zkladntext100"/>
        <w:shd w:val="clear" w:color="auto" w:fill="auto"/>
        <w:spacing w:after="40" w:line="290" w:lineRule="auto"/>
        <w:ind w:firstLine="240"/>
      </w:pPr>
      <w:r>
        <w:t>Stejně jako Amerika, má i sovětské Rusko ohromné zá</w:t>
      </w:r>
      <w:r>
        <w:softHyphen/>
        <w:t>soby zemních olejů. I sověty získávají benzin kraková</w:t>
      </w:r>
      <w:r>
        <w:softHyphen/>
        <w:t>ním, při kterém vzniká množství krakovacích plynů. So</w:t>
      </w:r>
      <w:r>
        <w:softHyphen/>
        <w:t>větští chemikové nepoužívají však dosud těchto plynů pro výrobu umělých látek, nýbrž hlav</w:t>
      </w:r>
      <w:r>
        <w:t>ně pro synthetickou výrobu kyseliny tukové a alkoholů.</w:t>
      </w:r>
    </w:p>
    <w:p w:rsidR="00500724" w:rsidRDefault="00F30FB8">
      <w:pPr>
        <w:pStyle w:val="Zkladntext100"/>
        <w:shd w:val="clear" w:color="auto" w:fill="auto"/>
        <w:spacing w:line="269" w:lineRule="auto"/>
        <w:ind w:firstLine="0"/>
        <w:jc w:val="center"/>
      </w:pPr>
      <w:r>
        <w:t>Přírodní nebo nové látky?</w:t>
      </w:r>
    </w:p>
    <w:p w:rsidR="00500724" w:rsidRDefault="00F30FB8">
      <w:pPr>
        <w:pStyle w:val="Zkladntext100"/>
        <w:shd w:val="clear" w:color="auto" w:fill="auto"/>
        <w:spacing w:after="40" w:line="269" w:lineRule="auto"/>
        <w:ind w:firstLine="240"/>
      </w:pPr>
      <w:r>
        <w:t>Chemii, která vyrábí umělé látky, dala veliký popud německá čtyřletka. Při výrobě nejdůležitějších druhů umělých látek jde právě íak, jako u synthetického kauču</w:t>
      </w:r>
      <w:r>
        <w:softHyphen/>
        <w:t>ku, o polymeri</w:t>
      </w:r>
      <w:r>
        <w:t>sační produkty, tedy o chemická spojení, při kterých se jednotlivé molekuly na vrstvují v molekuly veliké. Navrstvení lze vyvolali nejsnadněji pomocí tepla nejjemnějším rozdělením látky a přidáváním prvků, které mají veliký sklon chemickému slučování napom</w:t>
      </w:r>
      <w:r>
        <w:t>áhali. Již deset let mají chemikové po ruce dost surovin, jichž lze v tomto odvětví chemické výroby použít: V Americe jsou to plyny, které vznikají při zpracování zemních olejů — a v Německu hydrovací nebo koksové plyny a acetylen.</w:t>
      </w:r>
    </w:p>
    <w:p w:rsidR="00500724" w:rsidRDefault="00F30FB8">
      <w:pPr>
        <w:pStyle w:val="Zkladntext100"/>
        <w:shd w:val="clear" w:color="auto" w:fill="auto"/>
        <w:spacing w:after="40" w:line="264" w:lineRule="auto"/>
        <w:ind w:firstLine="240"/>
      </w:pPr>
      <w:r>
        <w:t>Výrobě a rozšíření umělý</w:t>
      </w:r>
      <w:r>
        <w:t>ch látek ve velkém rozsahu překážely však v Evropě i v Americe nerozřešené otázky, které s touto výrobou souvisí.</w:t>
      </w:r>
    </w:p>
    <w:p w:rsidR="00500724" w:rsidRDefault="00F30FB8">
      <w:pPr>
        <w:pStyle w:val="Zkladntext100"/>
        <w:shd w:val="clear" w:color="auto" w:fill="auto"/>
        <w:spacing w:after="40" w:line="266" w:lineRule="auto"/>
        <w:ind w:firstLine="240"/>
      </w:pPr>
      <w:r>
        <w:t>Má se používati elektrického proudu a vyráběli v elek</w:t>
      </w:r>
      <w:r>
        <w:softHyphen/>
        <w:t xml:space="preserve">trické peci z vápna a uhlí karbid, který se pak zpracuje </w:t>
      </w:r>
      <w:r>
        <w:rPr>
          <w:b/>
          <w:bCs/>
          <w:sz w:val="20"/>
          <w:szCs w:val="20"/>
        </w:rPr>
        <w:t xml:space="preserve">v </w:t>
      </w:r>
      <w:r>
        <w:t>acetylen? Nebo se má získával</w:t>
      </w:r>
      <w:r>
        <w:t>i acetylen synthetický z uhelných a zemních plynů? Má býti východiskem ace- tylen nebo alkohol, benzol a éter? Stejné rozcestí čeká chemika i při volbě chemického postupu. Má usilovati o veliké molekuly nebo o jednoduchá složení? Jest mu použiti moci tepla</w:t>
      </w:r>
      <w:r>
        <w:t xml:space="preserve"> nebo chladu? Má budovali smíšení veliké molekuly z různých součástek?</w:t>
      </w:r>
    </w:p>
    <w:p w:rsidR="00500724" w:rsidRDefault="00F30FB8">
      <w:pPr>
        <w:pStyle w:val="Zkladntext100"/>
        <w:shd w:val="clear" w:color="auto" w:fill="auto"/>
        <w:spacing w:after="40" w:line="269" w:lineRule="auto"/>
        <w:ind w:firstLine="240"/>
      </w:pPr>
      <w:r>
        <w:t xml:space="preserve">Je zásluhou německé čtyřletky, že do tohoto zmatku vnesla určitý pořádek. Okolnost, že německá chemie musí současně řešiti nejrůznější úkoly, je nesporně výhodná, poněvadž chemikové </w:t>
      </w:r>
      <w:r>
        <w:t>mohou rozhodnouti pro to nebo ono východisko, zkoumajíce nové látky pro nejrůznější účely. Nové látky byly zkoušeny jako elektrický isolační mate</w:t>
      </w:r>
      <w:r>
        <w:softHyphen/>
        <w:t>riál nebo nátěry, jako prací prostředky nebo textilní vlákna. Zkoušelo se také, zda se dají upotřebit při výro</w:t>
      </w:r>
      <w:r>
        <w:t>bě nejrůznějších strojů a přístrojů. Bez této obsáhlé a sou</w:t>
      </w:r>
      <w:r>
        <w:softHyphen/>
        <w:t>stavné práce nebyli by chemikové prolomili celou frontu techniky.</w:t>
      </w:r>
    </w:p>
    <w:p w:rsidR="00500724" w:rsidRDefault="00F30FB8">
      <w:pPr>
        <w:pStyle w:val="Zkladntext100"/>
        <w:shd w:val="clear" w:color="auto" w:fill="auto"/>
        <w:spacing w:line="269" w:lineRule="auto"/>
        <w:ind w:firstLine="240"/>
      </w:pPr>
      <w:r>
        <w:t>Náhle se však u zákazníků nových látek vynořila otáz</w:t>
      </w:r>
      <w:r>
        <w:softHyphen/>
        <w:t>ka: Mají tyto iumělé« látky vůbec nějaké výhody? Ne</w:t>
      </w:r>
      <w:r>
        <w:softHyphen/>
        <w:t xml:space="preserve">znamená to jenom tolik, </w:t>
      </w:r>
      <w:r>
        <w:t>že se místo dobrých přírodních hmot používá špatných náhražek?</w:t>
      </w:r>
    </w:p>
    <w:p w:rsidR="00500724" w:rsidRDefault="00F30FB8">
      <w:pPr>
        <w:pStyle w:val="Zkladntext100"/>
        <w:shd w:val="clear" w:color="auto" w:fill="auto"/>
        <w:spacing w:after="40" w:line="269" w:lineRule="auto"/>
        <w:ind w:firstLine="240"/>
      </w:pPr>
      <w:r>
        <w:t>Na tyto otázky odpovídají nejlépe výstižné příklady. U strojních součástek, které jsou vystaveny veliké náma</w:t>
      </w:r>
      <w:r>
        <w:softHyphen/>
        <w:t>ze, osvědčily se umělé látky lépe, než dřívější přírodní hmoty. Proto se z umělých l</w:t>
      </w:r>
      <w:r>
        <w:t>átek úspěšně vyrábějí ložiska strojů a letadlové vrtule. V případech, kdy ve válcov</w:t>
      </w:r>
      <w:r>
        <w:softHyphen/>
        <w:t>nách nevydržely vysoký tlak ani různé kovy, ani tvrdé dřevo, osvědčily se tenké plátky dřeva, stlačené a spoje</w:t>
      </w:r>
      <w:r>
        <w:softHyphen/>
        <w:t>né umělou pryskyřicí. Pro výrobu hnacích řemenů použí</w:t>
      </w:r>
      <w:r>
        <w:softHyphen/>
        <w:t>valo se</w:t>
      </w:r>
      <w:r>
        <w:t xml:space="preserve"> dříve jenom kůže, ale při velké námaze se řeme</w:t>
      </w:r>
      <w:r>
        <w:softHyphen/>
        <w:t>ny často přetrhly. Zkoušelo se tedy vyráběli hnací řeme</w:t>
      </w:r>
      <w:r>
        <w:softHyphen/>
        <w:t>ny z přírodní gumy, ale ani tento pokus se neosvědčil. Teprve nová umělá látka umožňuje nyní vyráběli hnací řemeny v každém ohledu dokonalé.</w:t>
      </w:r>
    </w:p>
    <w:p w:rsidR="00500724" w:rsidRDefault="00F30FB8">
      <w:pPr>
        <w:pStyle w:val="Zkladntext100"/>
        <w:shd w:val="clear" w:color="auto" w:fill="auto"/>
        <w:spacing w:after="40" w:line="288" w:lineRule="auto"/>
        <w:ind w:firstLine="240"/>
      </w:pPr>
      <w:r>
        <w:t>Zatím co se</w:t>
      </w:r>
      <w:r>
        <w:t xml:space="preserve"> někde těmto novým hmotám ještě posmí</w:t>
      </w:r>
      <w:r>
        <w:softHyphen/>
        <w:t>vají, začínají býti umělé látky německé čtyřletky nejcen</w:t>
      </w:r>
      <w:r>
        <w:softHyphen/>
        <w:t>nějším vývozním zbožím německé Říše.</w:t>
      </w:r>
    </w:p>
    <w:p w:rsidR="00500724" w:rsidRDefault="00F30FB8">
      <w:pPr>
        <w:pStyle w:val="Zkladntext100"/>
        <w:shd w:val="clear" w:color="auto" w:fill="auto"/>
        <w:spacing w:after="40" w:line="276" w:lineRule="auto"/>
        <w:ind w:firstLine="240"/>
      </w:pPr>
      <w:r>
        <w:t>Ale Německo není jediná země, která se snaží pomocí chemie zlomili monopol států, vládnoucích surovinami: Také Itálie a Japo</w:t>
      </w:r>
      <w:r>
        <w:t>nsko vypracovaly velké programy, aby měly nej důležitější suroviny ve vlastní zemi. Z nedostat</w:t>
      </w:r>
      <w:r>
        <w:softHyphen/>
        <w:t xml:space="preserve">ku uhlí musí však Itálie získávali pohonné látky hlavně z albánské nafty, používajíc při tom německého </w:t>
      </w:r>
      <w:r>
        <w:rPr>
          <w:b/>
          <w:bCs/>
          <w:sz w:val="20"/>
          <w:szCs w:val="20"/>
        </w:rPr>
        <w:t>výrob</w:t>
      </w:r>
      <w:r>
        <w:rPr>
          <w:b/>
          <w:bCs/>
          <w:sz w:val="20"/>
          <w:szCs w:val="20"/>
        </w:rPr>
        <w:softHyphen/>
      </w:r>
      <w:r>
        <w:t xml:space="preserve">ního postupu. Zkapalňuje také uhlí, pokud se </w:t>
      </w:r>
      <w:r>
        <w:rPr>
          <w:b/>
          <w:bCs/>
          <w:sz w:val="20"/>
          <w:szCs w:val="20"/>
        </w:rPr>
        <w:t xml:space="preserve">v </w:t>
      </w:r>
      <w:r>
        <w:t>Itáli</w:t>
      </w:r>
      <w:r>
        <w:t>i vyskytuje. Japonsko zařizuje obrovské podniky pro syn- theiickou výrobu benzinu na asijské pevnině, protože na japonských ostrovech je uhlí velmi málo.</w:t>
      </w:r>
    </w:p>
    <w:p w:rsidR="00500724" w:rsidRDefault="00F30FB8">
      <w:pPr>
        <w:pStyle w:val="Zkladntext100"/>
        <w:shd w:val="clear" w:color="auto" w:fill="auto"/>
        <w:spacing w:after="40" w:line="266" w:lineRule="auto"/>
        <w:ind w:firstLine="240"/>
      </w:pPr>
      <w:r>
        <w:t>Velké výkony na poli výroby umělých vláken vedly k výstavbě průmyslu, vyrábějícího základní chemické l</w:t>
      </w:r>
      <w:r>
        <w:t xml:space="preserve">átky. Protože Itálie i Japonsko mají mnoho vodních sil, vyrábějí se základní chemikálie ve velkém měřítku </w:t>
      </w:r>
      <w:r>
        <w:rPr>
          <w:b/>
          <w:bCs/>
          <w:sz w:val="20"/>
          <w:szCs w:val="20"/>
        </w:rPr>
        <w:t>ces</w:t>
      </w:r>
      <w:r>
        <w:rPr>
          <w:b/>
          <w:bCs/>
          <w:sz w:val="20"/>
          <w:szCs w:val="20"/>
        </w:rPr>
        <w:softHyphen/>
      </w:r>
      <w:r>
        <w:t xml:space="preserve">tou elektrochemickou. Proto jsou tyto země na cestě, </w:t>
      </w:r>
      <w:r>
        <w:rPr>
          <w:b/>
          <w:bCs/>
          <w:sz w:val="20"/>
          <w:szCs w:val="20"/>
        </w:rPr>
        <w:t>za</w:t>
      </w:r>
      <w:r>
        <w:rPr>
          <w:b/>
          <w:bCs/>
          <w:sz w:val="20"/>
          <w:szCs w:val="20"/>
        </w:rPr>
        <w:softHyphen/>
      </w:r>
      <w:r>
        <w:t>řadili se v chemické výrobě mezi velikány.</w:t>
      </w:r>
    </w:p>
    <w:p w:rsidR="00500724" w:rsidRDefault="00F30FB8">
      <w:pPr>
        <w:pStyle w:val="Zkladntext100"/>
        <w:shd w:val="clear" w:color="auto" w:fill="auto"/>
        <w:spacing w:after="400" w:line="266" w:lineRule="auto"/>
        <w:ind w:firstLine="240"/>
      </w:pPr>
      <w:r>
        <w:t>Chemie nedostatku nedosáhla jenom vývozních úsp</w:t>
      </w:r>
      <w:r>
        <w:t>ě</w:t>
      </w:r>
      <w:r>
        <w:softHyphen/>
        <w:t>chů, ale může se chlubili také velikými vědeckými výsledky. V celém odvětví chemie, o kterém jsme právě mluvili, jde téměř výlučně o děje, které se odehrávají na hranici mezi dvěma soustavami látek. Nejdůležiiější klíč k veškeré chemii budoucnosti bude m</w:t>
      </w:r>
      <w:r>
        <w:t>íti ten, kdo si zajistí vedení v tak zvané chemii hraničních ploch.</w:t>
      </w:r>
    </w:p>
    <w:p w:rsidR="00500724" w:rsidRDefault="00F30FB8">
      <w:pPr>
        <w:pStyle w:val="Jin0"/>
        <w:pBdr>
          <w:bottom w:val="single" w:sz="4" w:space="0" w:color="auto"/>
        </w:pBdr>
        <w:shd w:val="clear" w:color="auto" w:fill="auto"/>
        <w:spacing w:after="340"/>
        <w:ind w:firstLine="0"/>
        <w:jc w:val="left"/>
        <w:rPr>
          <w:sz w:val="44"/>
          <w:szCs w:val="44"/>
        </w:rPr>
      </w:pPr>
      <w:r>
        <w:rPr>
          <w:b/>
          <w:bCs/>
          <w:sz w:val="44"/>
          <w:szCs w:val="44"/>
        </w:rPr>
        <w:t>doba a lidé</w:t>
      </w:r>
    </w:p>
    <w:p w:rsidR="00500724" w:rsidRDefault="00F30FB8">
      <w:pPr>
        <w:pStyle w:val="Zkladntext20"/>
        <w:shd w:val="clear" w:color="auto" w:fill="auto"/>
        <w:spacing w:after="40" w:line="223" w:lineRule="auto"/>
        <w:ind w:firstLine="0"/>
        <w:rPr>
          <w:sz w:val="20"/>
          <w:szCs w:val="20"/>
        </w:rPr>
      </w:pPr>
      <w:r>
        <w:rPr>
          <w:i/>
          <w:iCs/>
          <w:sz w:val="20"/>
          <w:szCs w:val="20"/>
        </w:rPr>
        <w:t>A. M.:</w:t>
      </w:r>
    </w:p>
    <w:p w:rsidR="00500724" w:rsidRDefault="00F30FB8">
      <w:pPr>
        <w:pStyle w:val="Nadpis100"/>
        <w:shd w:val="clear" w:color="auto" w:fill="auto"/>
        <w:spacing w:line="240" w:lineRule="auto"/>
      </w:pPr>
      <w:bookmarkStart w:id="368" w:name="bookmark367"/>
      <w:r>
        <w:t>Milion kilogramů jedu</w:t>
      </w:r>
      <w:bookmarkEnd w:id="368"/>
    </w:p>
    <w:p w:rsidR="00500724" w:rsidRDefault="00F30FB8">
      <w:pPr>
        <w:pStyle w:val="Zkladntext100"/>
        <w:shd w:val="clear" w:color="auto" w:fill="auto"/>
        <w:spacing w:after="40" w:line="240" w:lineRule="auto"/>
        <w:ind w:firstLine="240"/>
        <w:rPr>
          <w:sz w:val="19"/>
          <w:szCs w:val="19"/>
        </w:rPr>
      </w:pPr>
      <w:r>
        <w:rPr>
          <w:sz w:val="19"/>
          <w:szCs w:val="19"/>
        </w:rPr>
        <w:t xml:space="preserve">Je obecně známo, že definice pojmu s&gt;jed« patří k definicím velmi dlouhým a rozvláčným, nebof je třeba mnohých výhrad, obmezení a závorek: </w:t>
      </w:r>
      <w:r>
        <w:rPr>
          <w:sz w:val="19"/>
          <w:szCs w:val="19"/>
        </w:rPr>
        <w:t>kuchyňská sůl je prudkým jedem pro kojence — a na druhé straně jsou kraje, kde obyvatelé snesou dávku arsenu, ze které se strefuje mrtvice do lidí, kteří — o tom jen slyší.</w:t>
      </w:r>
    </w:p>
    <w:p w:rsidR="00500724" w:rsidRDefault="00F30FB8">
      <w:pPr>
        <w:pStyle w:val="Zkladntext100"/>
        <w:shd w:val="clear" w:color="auto" w:fill="auto"/>
        <w:spacing w:line="233" w:lineRule="auto"/>
        <w:ind w:firstLine="240"/>
        <w:rPr>
          <w:sz w:val="19"/>
          <w:szCs w:val="19"/>
        </w:rPr>
      </w:pPr>
      <w:r>
        <w:rPr>
          <w:sz w:val="19"/>
          <w:szCs w:val="19"/>
        </w:rPr>
        <w:t>Velmi lákavé je nazvati jedem to, co zabíjí chemic</w:t>
      </w:r>
      <w:r>
        <w:rPr>
          <w:sz w:val="19"/>
          <w:szCs w:val="19"/>
        </w:rPr>
        <w:softHyphen/>
      </w:r>
      <w:r>
        <w:rPr>
          <w:sz w:val="19"/>
          <w:szCs w:val="19"/>
        </w:rPr>
        <w:t xml:space="preserve">kým svým působením. Nedejme se zlákat, sic budeme musit ze seznamu jedů škrtnout </w:t>
      </w:r>
      <w:r>
        <w:rPr>
          <w:sz w:val="19"/>
          <w:szCs w:val="19"/>
          <w:lang w:val="en-US" w:eastAsia="en-US" w:bidi="en-US"/>
        </w:rPr>
        <w:t xml:space="preserve">digitalis, </w:t>
      </w:r>
      <w:r>
        <w:rPr>
          <w:sz w:val="19"/>
          <w:szCs w:val="19"/>
        </w:rPr>
        <w:t>kafr a podobné věci, které se v lékárnách označují nálepkou s hnáty a lebkou: neboť tyto chemikálie, jak známo, tvoří poslední zbraň doktorů medicíny. Nepomohou-li,</w:t>
      </w:r>
      <w:r>
        <w:rPr>
          <w:sz w:val="19"/>
          <w:szCs w:val="19"/>
        </w:rPr>
        <w:t xml:space="preserve"> je řada na doktorech theologie. Kromě toho tato svůdná definice ohrožuje velice lahůdkáře: je-li jedem to, co zabíjí chemickým svým působením, patří sem rozhodně sou</w:t>
      </w:r>
      <w:r>
        <w:rPr>
          <w:sz w:val="19"/>
          <w:szCs w:val="19"/>
        </w:rPr>
        <w:softHyphen/>
        <w:t>stavně požívaná humrová majonesa, paštika z husích jater a podobné věci, za něž se tělo r</w:t>
      </w:r>
      <w:r>
        <w:rPr>
          <w:sz w:val="19"/>
          <w:szCs w:val="19"/>
        </w:rPr>
        <w:t>evanžuje kornatě- ním tepen nebo ztučněním srdce.</w:t>
      </w:r>
    </w:p>
    <w:p w:rsidR="00500724" w:rsidRDefault="00F30FB8">
      <w:pPr>
        <w:pStyle w:val="Zkladntext100"/>
        <w:shd w:val="clear" w:color="auto" w:fill="auto"/>
        <w:spacing w:after="40" w:line="293" w:lineRule="auto"/>
        <w:ind w:firstLine="0"/>
        <w:jc w:val="right"/>
      </w:pPr>
      <w:r>
        <w:rPr>
          <w:sz w:val="19"/>
          <w:szCs w:val="19"/>
        </w:rPr>
        <w:t>Budeme-li tedy za těchto okolností tázáni na definici jedů omamných, ocitneme se v situaci studenta, kte</w:t>
      </w:r>
      <w:r>
        <w:rPr>
          <w:sz w:val="19"/>
          <w:szCs w:val="19"/>
        </w:rPr>
        <w:softHyphen/>
        <w:t xml:space="preserve">rého se </w:t>
      </w:r>
      <w:r>
        <w:rPr>
          <w:sz w:val="19"/>
          <w:szCs w:val="19"/>
          <w:lang w:val="en-US" w:eastAsia="en-US" w:bidi="en-US"/>
        </w:rPr>
        <w:t xml:space="preserve">examinant </w:t>
      </w:r>
      <w:r>
        <w:rPr>
          <w:sz w:val="19"/>
          <w:szCs w:val="19"/>
        </w:rPr>
        <w:t>ptal marně na příčný průřez vlasem. »Nevím, pane profesore,« řekl student a dodal s</w:t>
      </w:r>
      <w:r>
        <w:rPr>
          <w:sz w:val="19"/>
          <w:szCs w:val="19"/>
        </w:rPr>
        <w:t xml:space="preserve">e statec- </w:t>
      </w:r>
      <w:r>
        <w:rPr>
          <w:b/>
          <w:bCs/>
        </w:rPr>
        <w:t>SJí</w:t>
      </w:r>
    </w:p>
    <w:p w:rsidR="00500724" w:rsidRDefault="00F30FB8">
      <w:pPr>
        <w:pStyle w:val="Zkladntext100"/>
        <w:shd w:val="clear" w:color="auto" w:fill="auto"/>
        <w:spacing w:line="259" w:lineRule="auto"/>
        <w:ind w:firstLine="0"/>
        <w:jc w:val="right"/>
        <w:rPr>
          <w:sz w:val="19"/>
          <w:szCs w:val="19"/>
        </w:rPr>
      </w:pPr>
      <w:r>
        <w:rPr>
          <w:sz w:val="19"/>
          <w:szCs w:val="19"/>
        </w:rPr>
        <w:t>ností zoufalých: »Ale mám právo na druhou otázkuls</w:t>
      </w:r>
    </w:p>
    <w:p w:rsidR="00500724" w:rsidRDefault="00F30FB8">
      <w:pPr>
        <w:pStyle w:val="Zkladntext100"/>
        <w:shd w:val="clear" w:color="auto" w:fill="auto"/>
        <w:spacing w:line="259" w:lineRule="auto"/>
        <w:ind w:firstLine="0"/>
        <w:jc w:val="right"/>
        <w:rPr>
          <w:sz w:val="19"/>
          <w:szCs w:val="19"/>
        </w:rPr>
      </w:pPr>
      <w:r>
        <w:rPr>
          <w:sz w:val="19"/>
          <w:szCs w:val="19"/>
        </w:rPr>
        <w:t>^Zajisté, pane kandidátem odvětil líbezně profesor. &gt;Povězte nám, jak vypadá podélný průřez vlasemk</w:t>
      </w:r>
    </w:p>
    <w:p w:rsidR="00500724" w:rsidRDefault="00F30FB8">
      <w:pPr>
        <w:pStyle w:val="Zkladntext100"/>
        <w:shd w:val="clear" w:color="auto" w:fill="auto"/>
        <w:spacing w:line="259" w:lineRule="auto"/>
        <w:ind w:firstLine="0"/>
        <w:jc w:val="center"/>
        <w:rPr>
          <w:sz w:val="19"/>
          <w:szCs w:val="19"/>
        </w:rPr>
      </w:pPr>
      <w:r>
        <w:rPr>
          <w:sz w:val="19"/>
          <w:szCs w:val="19"/>
        </w:rPr>
        <w:t>•</w:t>
      </w:r>
    </w:p>
    <w:p w:rsidR="00500724" w:rsidRDefault="00F30FB8">
      <w:pPr>
        <w:pStyle w:val="Zkladntext100"/>
        <w:shd w:val="clear" w:color="auto" w:fill="auto"/>
        <w:spacing w:line="259" w:lineRule="auto"/>
        <w:ind w:firstLine="240"/>
        <w:rPr>
          <w:sz w:val="19"/>
          <w:szCs w:val="19"/>
        </w:rPr>
      </w:pPr>
      <w:r>
        <w:rPr>
          <w:sz w:val="19"/>
          <w:szCs w:val="19"/>
        </w:rPr>
        <w:t xml:space="preserve">Nehodlajíce zde podávati vědecký posudek, můžeme se spokojiti na místě definice popisem: </w:t>
      </w:r>
      <w:r>
        <w:rPr>
          <w:sz w:val="19"/>
          <w:szCs w:val="19"/>
        </w:rPr>
        <w:t>za jed považuje</w:t>
      </w:r>
      <w:r>
        <w:rPr>
          <w:sz w:val="19"/>
          <w:szCs w:val="19"/>
        </w:rPr>
        <w:softHyphen/>
        <w:t>me chemikálii, která v poměrně malé dávce působí živo</w:t>
      </w:r>
      <w:r>
        <w:rPr>
          <w:sz w:val="19"/>
          <w:szCs w:val="19"/>
        </w:rPr>
        <w:softHyphen/>
        <w:t>čišnému organismu za určitých, většinou běžných okol</w:t>
      </w:r>
      <w:r>
        <w:rPr>
          <w:sz w:val="19"/>
          <w:szCs w:val="19"/>
        </w:rPr>
        <w:softHyphen/>
        <w:t>ností velmi těžké škody.</w:t>
      </w:r>
    </w:p>
    <w:p w:rsidR="00500724" w:rsidRDefault="00F30FB8">
      <w:pPr>
        <w:pStyle w:val="Zkladntext100"/>
        <w:shd w:val="clear" w:color="auto" w:fill="auto"/>
        <w:spacing w:line="259" w:lineRule="auto"/>
        <w:ind w:firstLine="240"/>
        <w:rPr>
          <w:sz w:val="19"/>
          <w:szCs w:val="19"/>
        </w:rPr>
      </w:pPr>
      <w:r>
        <w:rPr>
          <w:sz w:val="19"/>
          <w:szCs w:val="19"/>
        </w:rPr>
        <w:t>Pokud jde o rozdíl mezi jedem a jedem omamným, tnůžeme si — opět s omluvou za nevědeckost — ulehčiti Situaci</w:t>
      </w:r>
      <w:r>
        <w:rPr>
          <w:sz w:val="19"/>
          <w:szCs w:val="19"/>
        </w:rPr>
        <w:t xml:space="preserve"> konstatováním: účelem jedu (požití nebo podání) jest konečný projev, to jest: zdolání nebo zachování života.</w:t>
      </w:r>
    </w:p>
    <w:p w:rsidR="00500724" w:rsidRDefault="00F30FB8">
      <w:pPr>
        <w:pStyle w:val="Zkladntext100"/>
        <w:shd w:val="clear" w:color="auto" w:fill="auto"/>
        <w:spacing w:line="254" w:lineRule="auto"/>
        <w:ind w:firstLine="240"/>
        <w:rPr>
          <w:sz w:val="19"/>
          <w:szCs w:val="19"/>
        </w:rPr>
      </w:pPr>
      <w:r>
        <w:rPr>
          <w:sz w:val="19"/>
          <w:szCs w:val="19"/>
        </w:rPr>
        <w:t xml:space="preserve">Účelem omamného jedu (požití nebo podání) </w:t>
      </w:r>
      <w:r>
        <w:rPr>
          <w:sz w:val="20"/>
          <w:szCs w:val="20"/>
        </w:rPr>
        <w:t xml:space="preserve">jest </w:t>
      </w:r>
      <w:r>
        <w:rPr>
          <w:sz w:val="19"/>
          <w:szCs w:val="19"/>
        </w:rPr>
        <w:t>průběh otravy, nebo — abychom se vyhnuli druhému smyslu slova — intoxikace.</w:t>
      </w:r>
    </w:p>
    <w:p w:rsidR="00500724" w:rsidRDefault="00F30FB8">
      <w:pPr>
        <w:pStyle w:val="Zkladntext100"/>
        <w:shd w:val="clear" w:color="auto" w:fill="auto"/>
        <w:spacing w:after="120" w:line="240" w:lineRule="auto"/>
        <w:ind w:firstLine="240"/>
        <w:rPr>
          <w:sz w:val="19"/>
          <w:szCs w:val="19"/>
        </w:rPr>
      </w:pPr>
      <w:r>
        <w:rPr>
          <w:sz w:val="19"/>
          <w:szCs w:val="19"/>
        </w:rPr>
        <w:t>Rozdíl je tedy asi tako</w:t>
      </w:r>
      <w:r>
        <w:rPr>
          <w:sz w:val="19"/>
          <w:szCs w:val="19"/>
        </w:rPr>
        <w:t>vý, jako mezi člověkem, jenž pomocí vlaku utíká před nebezpečím (nebo je pomocí .vlaku deportován), a mezi člověkem, jenž jede bez nžitečného cíle určitou tratí, aby se potěšil vyhlídkou. Přirovnání není nahodilé: funkce omamného jedu je opravdu tvoření vy</w:t>
      </w:r>
      <w:r>
        <w:rPr>
          <w:sz w:val="19"/>
          <w:szCs w:val="19"/>
        </w:rPr>
        <w:t>hlídek, smíme-li halucinaci nazvati slovem fenomen od opravdového s&gt;fainó« a »fainome- Juon«, co vyhlíží jako to či ono.</w:t>
      </w:r>
    </w:p>
    <w:p w:rsidR="00500724" w:rsidRDefault="00F30FB8">
      <w:pPr>
        <w:pStyle w:val="Zkladntext100"/>
        <w:shd w:val="clear" w:color="auto" w:fill="auto"/>
        <w:spacing w:line="233" w:lineRule="auto"/>
        <w:ind w:firstLine="0"/>
        <w:jc w:val="center"/>
        <w:rPr>
          <w:sz w:val="19"/>
          <w:szCs w:val="19"/>
        </w:rPr>
      </w:pPr>
      <w:r>
        <w:rPr>
          <w:sz w:val="19"/>
          <w:szCs w:val="19"/>
        </w:rPr>
        <w:t>Rozdílnejvětší</w:t>
      </w:r>
    </w:p>
    <w:p w:rsidR="00500724" w:rsidRDefault="00F30FB8">
      <w:pPr>
        <w:pStyle w:val="Zkladntext100"/>
        <w:shd w:val="clear" w:color="auto" w:fill="auto"/>
        <w:spacing w:line="230" w:lineRule="auto"/>
        <w:ind w:firstLine="240"/>
        <w:rPr>
          <w:sz w:val="19"/>
          <w:szCs w:val="19"/>
        </w:rPr>
      </w:pPr>
      <w:r>
        <w:rPr>
          <w:sz w:val="19"/>
          <w:szCs w:val="19"/>
        </w:rPr>
        <w:t xml:space="preserve">Znalost jedů je na celém světě stará a celkem rovno- ínorně rozšířená. Určitou převahu východu a tropů nad (Západem a </w:t>
      </w:r>
      <w:r>
        <w:rPr>
          <w:sz w:val="19"/>
          <w:szCs w:val="19"/>
        </w:rPr>
        <w:t>mírnými pásmy lze prostě vysvětlit botanic</w:t>
      </w:r>
      <w:r>
        <w:rPr>
          <w:sz w:val="19"/>
          <w:szCs w:val="19"/>
        </w:rPr>
        <w:softHyphen/>
        <w:t>kými rozdíly a do jisté míry i rozdílem talentů: na západě se v XVI. století hosté otravovali při společné hostině za pomoci techniky. Jeden z ostnů vidličky — byla ovšem společná celé tabuli a sloužila jen servír</w:t>
      </w:r>
      <w:r>
        <w:rPr>
          <w:sz w:val="19"/>
          <w:szCs w:val="19"/>
        </w:rPr>
        <w:t>ování kusů masa — byl dutý a naplněný jedem. Spolehlivý personál injikoval pak při podávání přísluš</w:t>
      </w:r>
      <w:r>
        <w:rPr>
          <w:sz w:val="19"/>
          <w:szCs w:val="19"/>
        </w:rPr>
        <w:softHyphen/>
        <w:t>nou porci.</w:t>
      </w:r>
    </w:p>
    <w:p w:rsidR="00500724" w:rsidRDefault="00F30FB8">
      <w:pPr>
        <w:pStyle w:val="Zkladntext100"/>
        <w:shd w:val="clear" w:color="auto" w:fill="auto"/>
        <w:spacing w:line="233" w:lineRule="auto"/>
        <w:ind w:firstLine="240"/>
        <w:rPr>
          <w:sz w:val="19"/>
          <w:szCs w:val="19"/>
        </w:rPr>
      </w:pPr>
      <w:r>
        <w:rPr>
          <w:sz w:val="19"/>
          <w:szCs w:val="19"/>
        </w:rPr>
        <w:t>Orientálec nemiluje šroubky, pera, páčky a vymože</w:t>
      </w:r>
      <w:r>
        <w:rPr>
          <w:sz w:val="19"/>
          <w:szCs w:val="19"/>
        </w:rPr>
        <w:softHyphen/>
        <w:t xml:space="preserve">nosti, jako je </w:t>
      </w:r>
      <w:r>
        <w:rPr>
          <w:sz w:val="19"/>
          <w:szCs w:val="19"/>
          <w:lang w:val="en-US" w:eastAsia="en-US" w:bidi="en-US"/>
        </w:rPr>
        <w:t xml:space="preserve">vacuum. </w:t>
      </w:r>
      <w:r>
        <w:rPr>
          <w:sz w:val="19"/>
          <w:szCs w:val="19"/>
        </w:rPr>
        <w:t>O tom se přesvědčil každý z nás, kdo viděl ve variété nebo v cirku jedna</w:t>
      </w:r>
      <w:r>
        <w:rPr>
          <w:sz w:val="19"/>
          <w:szCs w:val="19"/>
        </w:rPr>
        <w:t>k evropského »kouzelníka« s arsenálem rekvisit, jednak artistu asij</w:t>
      </w:r>
      <w:r>
        <w:rPr>
          <w:sz w:val="19"/>
          <w:szCs w:val="19"/>
        </w:rPr>
        <w:softHyphen/>
        <w:t>ského, jenž provádí své kousky za pomoci paraplete, trpělivého mozku a hbitých desíti prstů.</w:t>
      </w:r>
    </w:p>
    <w:p w:rsidR="00500724" w:rsidRDefault="00F30FB8">
      <w:pPr>
        <w:pStyle w:val="Zkladntext100"/>
        <w:shd w:val="clear" w:color="auto" w:fill="auto"/>
        <w:spacing w:line="233" w:lineRule="auto"/>
        <w:ind w:firstLine="240"/>
        <w:rPr>
          <w:sz w:val="19"/>
          <w:szCs w:val="19"/>
        </w:rPr>
      </w:pPr>
      <w:r>
        <w:rPr>
          <w:sz w:val="19"/>
          <w:szCs w:val="19"/>
        </w:rPr>
        <w:t>Asijské travičství v nejrafinovanějším svém projevu vešlo do dějin kriminologie af už právem či</w:t>
      </w:r>
      <w:r>
        <w:rPr>
          <w:sz w:val="19"/>
          <w:szCs w:val="19"/>
        </w:rPr>
        <w:t xml:space="preserve"> neprávem pod jmenem »m a 1 a j s k é m e n u«. Žádná dutá vidlič</w:t>
      </w:r>
      <w:r>
        <w:rPr>
          <w:sz w:val="19"/>
          <w:szCs w:val="19"/>
        </w:rPr>
        <w:softHyphen/>
        <w:t xml:space="preserve">ka, žádné talíře s neviditelnou prohlubní (jak ostatně prohloubit palmový list a jak se vyhnout poctě sousta z hostovy a hostitelovy ruky?). Vražda malajským menu je založena na základě tak </w:t>
      </w:r>
      <w:r>
        <w:rPr>
          <w:sz w:val="19"/>
          <w:szCs w:val="19"/>
        </w:rPr>
        <w:t>zvaného protijedu a na principu neškodných složek, jež působí vražedně teprve při vzájemném prostoupení v hostově žaludku.</w:t>
      </w:r>
    </w:p>
    <w:p w:rsidR="00500724" w:rsidRDefault="00F30FB8">
      <w:pPr>
        <w:pStyle w:val="Zkladntext100"/>
        <w:shd w:val="clear" w:color="auto" w:fill="auto"/>
        <w:spacing w:line="230" w:lineRule="auto"/>
        <w:ind w:firstLine="240"/>
        <w:rPr>
          <w:sz w:val="19"/>
          <w:szCs w:val="19"/>
        </w:rPr>
      </w:pPr>
      <w:r>
        <w:rPr>
          <w:sz w:val="19"/>
          <w:szCs w:val="19"/>
        </w:rPr>
        <w:t>Hostitel se buď imunisuje tím, že požije před hostinou určitých jídel, paralysujících to, co pak jí společně s hostem, nebo vynechá j</w:t>
      </w:r>
      <w:r>
        <w:rPr>
          <w:sz w:val="19"/>
          <w:szCs w:val="19"/>
        </w:rPr>
        <w:t>eden z četných s.chodů«, jenž ostatně sám o sobě nemusí být otrávený, nebo naopak zase vezme nadměrnou dávku některého z jídel. Převe</w:t>
      </w:r>
      <w:r>
        <w:rPr>
          <w:sz w:val="19"/>
          <w:szCs w:val="19"/>
        </w:rPr>
        <w:softHyphen/>
        <w:t xml:space="preserve">deno na nejjednoduší formuli a na evropské poměry: hostitel i host snědí kilo bezvadných třešní a vypijí jeden každý litr </w:t>
      </w:r>
      <w:r>
        <w:rPr>
          <w:sz w:val="19"/>
          <w:szCs w:val="19"/>
        </w:rPr>
        <w:t>bezvadné vody.</w:t>
      </w:r>
    </w:p>
    <w:p w:rsidR="00500724" w:rsidRDefault="00F30FB8">
      <w:pPr>
        <w:pStyle w:val="Zkladntext100"/>
        <w:shd w:val="clear" w:color="auto" w:fill="auto"/>
        <w:spacing w:line="305" w:lineRule="auto"/>
        <w:ind w:firstLine="240"/>
        <w:rPr>
          <w:sz w:val="19"/>
          <w:szCs w:val="19"/>
        </w:rPr>
      </w:pPr>
      <w:r>
        <w:rPr>
          <w:sz w:val="19"/>
          <w:szCs w:val="19"/>
        </w:rPr>
        <w:t>Hostitel, jenž jedl třešně vařené bude stižen pře</w:t>
      </w:r>
      <w:r>
        <w:rPr>
          <w:sz w:val="19"/>
          <w:szCs w:val="19"/>
        </w:rPr>
        <w:softHyphen/>
        <w:t xml:space="preserve">chodnou indisposicí, host však, jenž jedl třešně syrové, umře bídně a nadobro a žádný chemik nezjistí jed, </w:t>
      </w:r>
      <w:r>
        <w:rPr>
          <w:i/>
          <w:iCs/>
          <w:sz w:val="19"/>
          <w:szCs w:val="19"/>
        </w:rPr>
        <w:t xml:space="preserve">232 </w:t>
      </w:r>
      <w:r>
        <w:rPr>
          <w:sz w:val="19"/>
          <w:szCs w:val="19"/>
        </w:rPr>
        <w:t>prostě proto, že tam žádný není. (Smrt nastává z důvodů, spíš mechanických.)</w:t>
      </w:r>
    </w:p>
    <w:p w:rsidR="00500724" w:rsidRDefault="00F30FB8">
      <w:pPr>
        <w:pStyle w:val="Zkladntext100"/>
        <w:shd w:val="clear" w:color="auto" w:fill="auto"/>
        <w:spacing w:line="259" w:lineRule="auto"/>
        <w:ind w:firstLine="0"/>
        <w:jc w:val="center"/>
        <w:rPr>
          <w:sz w:val="19"/>
          <w:szCs w:val="19"/>
        </w:rPr>
      </w:pPr>
      <w:r>
        <w:rPr>
          <w:sz w:val="19"/>
          <w:szCs w:val="19"/>
        </w:rPr>
        <w:t>•</w:t>
      </w:r>
    </w:p>
    <w:p w:rsidR="00500724" w:rsidRDefault="00F30FB8">
      <w:pPr>
        <w:pStyle w:val="Zkladntext100"/>
        <w:shd w:val="clear" w:color="auto" w:fill="auto"/>
        <w:spacing w:line="259" w:lineRule="auto"/>
        <w:ind w:firstLine="220"/>
        <w:rPr>
          <w:sz w:val="19"/>
          <w:szCs w:val="19"/>
        </w:rPr>
      </w:pPr>
      <w:r>
        <w:rPr>
          <w:sz w:val="19"/>
          <w:szCs w:val="19"/>
        </w:rPr>
        <w:t>Tohle všechno jsou věci jaksi režijní a v nich není základní rozdíl mezi západem a východem.</w:t>
      </w:r>
    </w:p>
    <w:p w:rsidR="00500724" w:rsidRDefault="00F30FB8">
      <w:pPr>
        <w:pStyle w:val="Zkladntext100"/>
        <w:shd w:val="clear" w:color="auto" w:fill="auto"/>
        <w:spacing w:line="259" w:lineRule="auto"/>
        <w:ind w:firstLine="220"/>
        <w:rPr>
          <w:sz w:val="19"/>
          <w:szCs w:val="19"/>
        </w:rPr>
      </w:pPr>
      <w:r>
        <w:rPr>
          <w:sz w:val="19"/>
          <w:szCs w:val="19"/>
        </w:rPr>
        <w:t>Diametrální rozdíl, rozdíl propastný se otvírá teprve v kapitole jedů omamných:</w:t>
      </w:r>
    </w:p>
    <w:p w:rsidR="00500724" w:rsidRDefault="00F30FB8">
      <w:pPr>
        <w:pStyle w:val="Zkladntext100"/>
        <w:shd w:val="clear" w:color="auto" w:fill="auto"/>
        <w:spacing w:line="257" w:lineRule="auto"/>
        <w:ind w:firstLine="220"/>
        <w:rPr>
          <w:sz w:val="19"/>
          <w:szCs w:val="19"/>
        </w:rPr>
      </w:pPr>
      <w:r>
        <w:rPr>
          <w:sz w:val="19"/>
          <w:szCs w:val="19"/>
        </w:rPr>
        <w:t xml:space="preserve">Omamný jed na západě je gigantická, infernální a satanská odveta orientu </w:t>
      </w:r>
      <w:r>
        <w:rPr>
          <w:sz w:val="20"/>
          <w:szCs w:val="20"/>
        </w:rPr>
        <w:t xml:space="preserve">za </w:t>
      </w:r>
      <w:r>
        <w:rPr>
          <w:sz w:val="19"/>
          <w:szCs w:val="19"/>
        </w:rPr>
        <w:t>porážku</w:t>
      </w:r>
      <w:r>
        <w:rPr>
          <w:sz w:val="19"/>
          <w:szCs w:val="19"/>
        </w:rPr>
        <w:t>, kterou utrpěl na začátku no</w:t>
      </w:r>
      <w:r>
        <w:rPr>
          <w:sz w:val="19"/>
          <w:szCs w:val="19"/>
        </w:rPr>
        <w:softHyphen/>
        <w:t>vého věku.</w:t>
      </w:r>
    </w:p>
    <w:p w:rsidR="00500724" w:rsidRDefault="00F30FB8">
      <w:pPr>
        <w:pStyle w:val="Zkladntext100"/>
        <w:shd w:val="clear" w:color="auto" w:fill="auto"/>
        <w:spacing w:line="266" w:lineRule="auto"/>
        <w:ind w:firstLine="220"/>
        <w:rPr>
          <w:sz w:val="19"/>
          <w:szCs w:val="19"/>
        </w:rPr>
      </w:pPr>
      <w:r>
        <w:rPr>
          <w:sz w:val="19"/>
          <w:szCs w:val="19"/>
        </w:rPr>
        <w:t>Je to pekelná revanš za vyrabování azteckých chrá</w:t>
      </w:r>
      <w:r>
        <w:rPr>
          <w:sz w:val="19"/>
          <w:szCs w:val="19"/>
        </w:rPr>
        <w:softHyphen/>
        <w:t>mů, za vyhubení bůvolích stád, za alkoholisování vý</w:t>
      </w:r>
      <w:r>
        <w:rPr>
          <w:sz w:val="19"/>
          <w:szCs w:val="19"/>
        </w:rPr>
        <w:softHyphen/>
        <w:t>chodních národů, za násilné otvírání čínských přístavů.</w:t>
      </w:r>
    </w:p>
    <w:p w:rsidR="00500724" w:rsidRDefault="00F30FB8">
      <w:pPr>
        <w:pStyle w:val="Zkladntext100"/>
        <w:shd w:val="clear" w:color="auto" w:fill="auto"/>
        <w:spacing w:line="257" w:lineRule="auto"/>
        <w:ind w:firstLine="220"/>
        <w:rPr>
          <w:sz w:val="19"/>
          <w:szCs w:val="19"/>
        </w:rPr>
      </w:pPr>
      <w:r>
        <w:rPr>
          <w:sz w:val="19"/>
          <w:szCs w:val="19"/>
        </w:rPr>
        <w:t>Převedeno na rovnici méně patetickou: Evropan, nechť už b</w:t>
      </w:r>
      <w:r>
        <w:rPr>
          <w:sz w:val="19"/>
          <w:szCs w:val="19"/>
        </w:rPr>
        <w:t>ydlí zde či v USA, hraje na poli omamných jedů roli přísně drženého chlapce, jenž se dostane na návštěvu ke strýci cukrářovi.</w:t>
      </w:r>
    </w:p>
    <w:p w:rsidR="00500724" w:rsidRDefault="00F30FB8">
      <w:pPr>
        <w:pStyle w:val="Zkladntext100"/>
        <w:shd w:val="clear" w:color="auto" w:fill="auto"/>
        <w:spacing w:line="257" w:lineRule="auto"/>
        <w:ind w:firstLine="0"/>
        <w:jc w:val="center"/>
        <w:rPr>
          <w:sz w:val="19"/>
          <w:szCs w:val="19"/>
        </w:rPr>
      </w:pPr>
      <w:r>
        <w:rPr>
          <w:sz w:val="19"/>
          <w:szCs w:val="19"/>
        </w:rPr>
        <w:t>•</w:t>
      </w:r>
    </w:p>
    <w:p w:rsidR="00500724" w:rsidRDefault="00F30FB8">
      <w:pPr>
        <w:pStyle w:val="Zkladntext100"/>
        <w:shd w:val="clear" w:color="auto" w:fill="auto"/>
        <w:spacing w:line="257" w:lineRule="auto"/>
        <w:ind w:firstLine="220"/>
        <w:rPr>
          <w:sz w:val="19"/>
          <w:szCs w:val="19"/>
        </w:rPr>
      </w:pPr>
      <w:r>
        <w:rPr>
          <w:sz w:val="19"/>
          <w:szCs w:val="19"/>
        </w:rPr>
        <w:t xml:space="preserve">Evropan má tisíciletý trening určité odolnosti proti jedinému omamnému jedu, totiž vůči alkoholu. Slovem »odolnost« nesmím však </w:t>
      </w:r>
      <w:r>
        <w:rPr>
          <w:sz w:val="19"/>
          <w:szCs w:val="19"/>
        </w:rPr>
        <w:t>mínit jen dávku, kterou kdo »snese«, než začne své tchyni říkat »krásná slečnos. Odolnost znamená sílu ustat v požívání dřív, než při</w:t>
      </w:r>
      <w:r>
        <w:rPr>
          <w:sz w:val="19"/>
          <w:szCs w:val="19"/>
        </w:rPr>
        <w:softHyphen/>
        <w:t>vodí neodčinitelné škody. Být odolný znamená: být přístupný rozumovým důvodům. (O odolnosti a kultuře na příklad českého n</w:t>
      </w:r>
      <w:r>
        <w:rPr>
          <w:sz w:val="19"/>
          <w:szCs w:val="19"/>
        </w:rPr>
        <w:t>ároda svědčí mimo jiné i to, že se boj proti alkoholismu obešel bez jakéhokoliv zákona. Pokud jde o dospělé, existuje jen jediné nařízení, a to je ještě živnostenské: je to zákaz prodávati alkoholické nápoje lidem opilým.)</w:t>
      </w:r>
    </w:p>
    <w:p w:rsidR="00500724" w:rsidRDefault="00F30FB8">
      <w:pPr>
        <w:pStyle w:val="Zkladntext100"/>
        <w:shd w:val="clear" w:color="auto" w:fill="auto"/>
        <w:spacing w:line="257" w:lineRule="auto"/>
        <w:ind w:firstLine="220"/>
        <w:rPr>
          <w:sz w:val="19"/>
          <w:szCs w:val="19"/>
        </w:rPr>
      </w:pPr>
      <w:r>
        <w:rPr>
          <w:sz w:val="19"/>
          <w:szCs w:val="19"/>
        </w:rPr>
        <w:t>Evropan není odolný proti omamným</w:t>
      </w:r>
      <w:r>
        <w:rPr>
          <w:sz w:val="19"/>
          <w:szCs w:val="19"/>
        </w:rPr>
        <w:t xml:space="preserve"> jedům ostatním.</w:t>
      </w:r>
    </w:p>
    <w:p w:rsidR="00500724" w:rsidRDefault="00F30FB8">
      <w:pPr>
        <w:pStyle w:val="Zkladntext100"/>
        <w:shd w:val="clear" w:color="auto" w:fill="auto"/>
        <w:spacing w:line="228" w:lineRule="auto"/>
        <w:ind w:firstLine="220"/>
        <w:rPr>
          <w:sz w:val="19"/>
          <w:szCs w:val="19"/>
        </w:rPr>
      </w:pPr>
      <w:r>
        <w:rPr>
          <w:sz w:val="19"/>
          <w:szCs w:val="19"/>
        </w:rPr>
        <w:t>Není nebezpečí, že by se utopil v kádi s alkoholem. Proto není třeba stavět zábradlí kolem těchto »nádob neřestis tekuté.</w:t>
      </w:r>
    </w:p>
    <w:p w:rsidR="00500724" w:rsidRDefault="00F30FB8">
      <w:pPr>
        <w:pStyle w:val="Zkladntext100"/>
        <w:shd w:val="clear" w:color="auto" w:fill="auto"/>
        <w:spacing w:line="254" w:lineRule="auto"/>
        <w:ind w:firstLine="220"/>
        <w:rPr>
          <w:sz w:val="19"/>
          <w:szCs w:val="19"/>
        </w:rPr>
      </w:pPr>
      <w:r>
        <w:rPr>
          <w:sz w:val="19"/>
          <w:szCs w:val="19"/>
        </w:rPr>
        <w:t>Je však skoro jisto, že Evropan, jenž se dostane do styku s jiným omamným jeden, propadne zkáze. Odtud velký boj prot</w:t>
      </w:r>
      <w:r>
        <w:rPr>
          <w:sz w:val="19"/>
          <w:szCs w:val="19"/>
        </w:rPr>
        <w:t>i podloudnému obchodu, ale odtud i šílené zisky tohoto ^obchodního odvětvíš.</w:t>
      </w:r>
    </w:p>
    <w:p w:rsidR="00500724" w:rsidRDefault="00F30FB8">
      <w:pPr>
        <w:pStyle w:val="Zkladntext100"/>
        <w:shd w:val="clear" w:color="auto" w:fill="auto"/>
        <w:spacing w:line="233" w:lineRule="auto"/>
        <w:ind w:firstLine="220"/>
        <w:rPr>
          <w:sz w:val="19"/>
          <w:szCs w:val="19"/>
        </w:rPr>
      </w:pPr>
      <w:r>
        <w:rPr>
          <w:sz w:val="19"/>
          <w:szCs w:val="19"/>
        </w:rPr>
        <w:t>Nebof je v lidské povaze, že nic člověk neplatí tak ochotně, jak vidinu štěstí, vidinu poslušnou, tak říkajíc zaručenou a kdykoliv připravenou.</w:t>
      </w:r>
    </w:p>
    <w:p w:rsidR="00500724" w:rsidRDefault="00F30FB8">
      <w:pPr>
        <w:pStyle w:val="Zkladntext100"/>
        <w:shd w:val="clear" w:color="auto" w:fill="auto"/>
        <w:spacing w:line="233" w:lineRule="auto"/>
        <w:ind w:firstLine="0"/>
        <w:jc w:val="center"/>
        <w:rPr>
          <w:sz w:val="19"/>
          <w:szCs w:val="19"/>
        </w:rPr>
      </w:pPr>
      <w:r>
        <w:rPr>
          <w:sz w:val="19"/>
          <w:szCs w:val="19"/>
        </w:rPr>
        <w:t>•</w:t>
      </w:r>
    </w:p>
    <w:p w:rsidR="00500724" w:rsidRDefault="00F30FB8">
      <w:pPr>
        <w:pStyle w:val="Zkladntext100"/>
        <w:shd w:val="clear" w:color="auto" w:fill="auto"/>
        <w:spacing w:line="233" w:lineRule="auto"/>
        <w:ind w:firstLine="220"/>
        <w:rPr>
          <w:sz w:val="19"/>
          <w:szCs w:val="19"/>
        </w:rPr>
      </w:pPr>
      <w:r>
        <w:rPr>
          <w:sz w:val="19"/>
          <w:szCs w:val="19"/>
        </w:rPr>
        <w:t>Na zeměkouli existuje 54 oficiáln</w:t>
      </w:r>
      <w:r>
        <w:rPr>
          <w:sz w:val="19"/>
          <w:szCs w:val="19"/>
        </w:rPr>
        <w:t>ích továren na výrobu omamných jedů. Oficiální produkce činí do roka milion kilogramů opiátů.</w:t>
      </w:r>
    </w:p>
    <w:p w:rsidR="00500724" w:rsidRDefault="00F30FB8">
      <w:pPr>
        <w:pStyle w:val="Zkladntext100"/>
        <w:shd w:val="clear" w:color="auto" w:fill="auto"/>
        <w:spacing w:line="233" w:lineRule="auto"/>
        <w:ind w:firstLine="220"/>
        <w:rPr>
          <w:sz w:val="19"/>
          <w:szCs w:val="19"/>
        </w:rPr>
      </w:pPr>
      <w:r>
        <w:rPr>
          <w:sz w:val="19"/>
          <w:szCs w:val="19"/>
        </w:rPr>
        <w:t>Pro lékařské účely by na ošetřování dvou miliard lidí stačilo do roka 50.000 kg.</w:t>
      </w:r>
    </w:p>
    <w:p w:rsidR="00500724" w:rsidRDefault="00F30FB8">
      <w:pPr>
        <w:pStyle w:val="Zkladntext100"/>
        <w:shd w:val="clear" w:color="auto" w:fill="auto"/>
        <w:spacing w:line="240" w:lineRule="auto"/>
        <w:ind w:firstLine="220"/>
        <w:rPr>
          <w:sz w:val="19"/>
          <w:szCs w:val="19"/>
        </w:rPr>
      </w:pPr>
      <w:r>
        <w:rPr>
          <w:sz w:val="19"/>
          <w:szCs w:val="19"/>
        </w:rPr>
        <w:t>Ostatních 970.000 kg jedu se propadá do podsvětí. Rok co rok. Boj, který vedou úř</w:t>
      </w:r>
      <w:r>
        <w:rPr>
          <w:sz w:val="19"/>
          <w:szCs w:val="19"/>
        </w:rPr>
        <w:t>ady, je bojem nerovným. Špatně nebo aspoň nedostatečně placení úředníci mají stíhat zločince, pro něž soukromé letadlo, jachta, flotila motorových člunů nebo park závodních automobilů je režijním detailem.</w:t>
      </w:r>
    </w:p>
    <w:p w:rsidR="00500724" w:rsidRDefault="00F30FB8">
      <w:pPr>
        <w:pStyle w:val="Zkladntext100"/>
        <w:shd w:val="clear" w:color="auto" w:fill="auto"/>
        <w:spacing w:line="240" w:lineRule="auto"/>
        <w:ind w:firstLine="220"/>
        <w:rPr>
          <w:sz w:val="19"/>
          <w:szCs w:val="19"/>
        </w:rPr>
      </w:pPr>
      <w:r>
        <w:rPr>
          <w:sz w:val="19"/>
          <w:szCs w:val="19"/>
        </w:rPr>
        <w:t xml:space="preserve">Mexický profesor Řeko konstatuje, že při třídenní </w:t>
      </w:r>
      <w:r>
        <w:rPr>
          <w:sz w:val="19"/>
          <w:szCs w:val="19"/>
        </w:rPr>
        <w:t>šfáře v USA bylo zatčeno 2229 osob pro ilegální obchod s omamnými jedy. Při tom bylo zabaveno jedů za 5 milionů 450 tisíc dolarů.</w:t>
      </w:r>
    </w:p>
    <w:p w:rsidR="00500724" w:rsidRDefault="00F30FB8">
      <w:pPr>
        <w:pStyle w:val="Zkladntext100"/>
        <w:shd w:val="clear" w:color="auto" w:fill="auto"/>
        <w:spacing w:line="240" w:lineRule="auto"/>
        <w:ind w:firstLine="220"/>
        <w:rPr>
          <w:sz w:val="19"/>
          <w:szCs w:val="19"/>
        </w:rPr>
      </w:pPr>
      <w:r>
        <w:rPr>
          <w:sz w:val="19"/>
          <w:szCs w:val="19"/>
        </w:rPr>
        <w:t>Jak velký musí být obchod, když takovýmto zásahem nebyl zničen a z kořenů vyvrácen?</w:t>
      </w:r>
    </w:p>
    <w:p w:rsidR="00500724" w:rsidRDefault="00F30FB8">
      <w:pPr>
        <w:pStyle w:val="Zkladntext100"/>
        <w:shd w:val="clear" w:color="auto" w:fill="auto"/>
        <w:ind w:firstLine="0"/>
        <w:jc w:val="right"/>
        <w:rPr>
          <w:sz w:val="19"/>
          <w:szCs w:val="19"/>
        </w:rPr>
        <w:sectPr w:rsidR="00500724">
          <w:footnotePr>
            <w:numFmt w:val="chicago"/>
            <w:numRestart w:val="eachPage"/>
          </w:footnotePr>
          <w:pgSz w:w="11909" w:h="16834"/>
          <w:pgMar w:top="1585" w:right="908" w:bottom="731" w:left="704" w:header="0" w:footer="3" w:gutter="0"/>
          <w:cols w:num="2" w:space="101"/>
          <w:noEndnote/>
          <w:docGrid w:linePitch="360"/>
        </w:sectPr>
      </w:pPr>
      <w:r>
        <w:rPr>
          <w:sz w:val="19"/>
          <w:szCs w:val="19"/>
        </w:rPr>
        <w:t>(Pokrač.)</w:t>
      </w:r>
    </w:p>
    <w:p w:rsidR="00500724" w:rsidRDefault="00F30FB8">
      <w:pPr>
        <w:pStyle w:val="Nadpis110"/>
        <w:framePr w:w="245" w:h="485" w:wrap="none" w:vAnchor="text" w:hAnchor="page" w:x="10789" w:y="21"/>
        <w:shd w:val="clear" w:color="auto" w:fill="auto"/>
      </w:pPr>
      <w:bookmarkStart w:id="369" w:name="bookmark368"/>
      <w:r>
        <w:t>o</w:t>
      </w:r>
      <w:bookmarkEnd w:id="369"/>
    </w:p>
    <w:p w:rsidR="00500724" w:rsidRDefault="00F30FB8">
      <w:pPr>
        <w:pStyle w:val="Nadpis110"/>
        <w:framePr w:w="245" w:h="485" w:wrap="none" w:vAnchor="text" w:hAnchor="page" w:x="10789" w:y="21"/>
        <w:shd w:val="clear" w:color="auto" w:fill="auto"/>
        <w:spacing w:line="180" w:lineRule="auto"/>
      </w:pPr>
      <w:bookmarkStart w:id="370" w:name="bookmark369"/>
      <w:r>
        <w:t>Oc</w:t>
      </w:r>
      <w:bookmarkEnd w:id="370"/>
    </w:p>
    <w:tbl>
      <w:tblPr>
        <w:tblOverlap w:val="never"/>
        <w:tblW w:w="0" w:type="auto"/>
        <w:tblLayout w:type="fixed"/>
        <w:tblCellMar>
          <w:left w:w="10" w:type="dxa"/>
          <w:right w:w="10" w:type="dxa"/>
        </w:tblCellMar>
        <w:tblLook w:val="04A0" w:firstRow="1" w:lastRow="0" w:firstColumn="1" w:lastColumn="0" w:noHBand="0" w:noVBand="1"/>
      </w:tblPr>
      <w:tblGrid>
        <w:gridCol w:w="6778"/>
        <w:gridCol w:w="1166"/>
      </w:tblGrid>
      <w:tr w:rsidR="00500724">
        <w:tblPrEx>
          <w:tblCellMar>
            <w:top w:w="0" w:type="dxa"/>
            <w:bottom w:w="0" w:type="dxa"/>
          </w:tblCellMar>
        </w:tblPrEx>
        <w:trPr>
          <w:trHeight w:hRule="exact" w:val="1790"/>
        </w:trPr>
        <w:tc>
          <w:tcPr>
            <w:tcW w:w="0" w:type="auto"/>
            <w:shd w:val="clear" w:color="auto" w:fill="FFFFFF"/>
            <w:vAlign w:val="bottom"/>
          </w:tcPr>
          <w:p w:rsidR="00500724" w:rsidRDefault="00F30FB8">
            <w:pPr>
              <w:pStyle w:val="Jin0"/>
              <w:framePr w:w="7944" w:h="1790" w:wrap="none" w:vAnchor="text" w:hAnchor="page" w:x="3186" w:y="471"/>
              <w:shd w:val="clear" w:color="auto" w:fill="auto"/>
              <w:ind w:firstLine="0"/>
              <w:jc w:val="left"/>
              <w:rPr>
                <w:sz w:val="144"/>
                <w:szCs w:val="144"/>
              </w:rPr>
            </w:pPr>
            <w:r>
              <w:rPr>
                <w:rFonts w:ascii="Arial" w:eastAsia="Arial" w:hAnsi="Arial" w:cs="Arial"/>
                <w:sz w:val="144"/>
                <w:szCs w:val="144"/>
              </w:rPr>
              <w:t>vět knil</w:t>
            </w:r>
          </w:p>
          <w:p w:rsidR="00500724" w:rsidRDefault="00F30FB8">
            <w:pPr>
              <w:pStyle w:val="Jin0"/>
              <w:framePr w:w="7944" w:h="1790" w:wrap="none" w:vAnchor="text" w:hAnchor="page" w:x="3186" w:y="471"/>
              <w:shd w:val="clear" w:color="auto" w:fill="auto"/>
              <w:ind w:firstLine="0"/>
              <w:jc w:val="left"/>
              <w:rPr>
                <w:sz w:val="34"/>
                <w:szCs w:val="34"/>
              </w:rPr>
            </w:pPr>
            <w:r>
              <w:rPr>
                <w:rFonts w:ascii="Arial" w:eastAsia="Arial" w:hAnsi="Arial" w:cs="Arial"/>
                <w:b/>
                <w:bCs/>
                <w:sz w:val="34"/>
                <w:szCs w:val="34"/>
              </w:rPr>
              <w:t>KULTURNl Z PRA VODU</w:t>
            </w:r>
          </w:p>
        </w:tc>
        <w:tc>
          <w:tcPr>
            <w:tcW w:w="0" w:type="auto"/>
            <w:shd w:val="clear" w:color="auto" w:fill="FFFFFF"/>
            <w:vAlign w:val="bottom"/>
          </w:tcPr>
          <w:p w:rsidR="00500724" w:rsidRDefault="00F30FB8">
            <w:pPr>
              <w:pStyle w:val="Jin0"/>
              <w:framePr w:w="7944" w:h="1790" w:wrap="none" w:vAnchor="text" w:hAnchor="page" w:x="3186" w:y="471"/>
              <w:shd w:val="clear" w:color="auto" w:fill="auto"/>
              <w:ind w:firstLine="0"/>
              <w:jc w:val="left"/>
              <w:rPr>
                <w:sz w:val="34"/>
                <w:szCs w:val="34"/>
              </w:rPr>
            </w:pPr>
            <w:r>
              <w:rPr>
                <w:rFonts w:ascii="Arial" w:eastAsia="Arial" w:hAnsi="Arial" w:cs="Arial"/>
                <w:sz w:val="144"/>
                <w:szCs w:val="144"/>
              </w:rPr>
              <w:t>1</w:t>
            </w:r>
            <w:r>
              <w:rPr>
                <w:rFonts w:ascii="Arial" w:eastAsia="Arial" w:hAnsi="Arial" w:cs="Arial"/>
                <w:b/>
                <w:bCs/>
                <w:sz w:val="34"/>
                <w:szCs w:val="34"/>
              </w:rPr>
              <w:t>1</w:t>
            </w:r>
          </w:p>
          <w:p w:rsidR="00500724" w:rsidRDefault="00F30FB8">
            <w:pPr>
              <w:pStyle w:val="Jin0"/>
              <w:framePr w:w="7944" w:h="1790" w:wrap="none" w:vAnchor="text" w:hAnchor="page" w:x="3186" w:y="471"/>
              <w:shd w:val="clear" w:color="auto" w:fill="auto"/>
              <w:ind w:firstLine="0"/>
              <w:jc w:val="right"/>
              <w:rPr>
                <w:sz w:val="34"/>
                <w:szCs w:val="34"/>
              </w:rPr>
            </w:pPr>
            <w:r>
              <w:rPr>
                <w:rFonts w:ascii="Arial" w:eastAsia="Arial" w:hAnsi="Arial" w:cs="Arial"/>
                <w:b/>
                <w:bCs/>
                <w:sz w:val="34"/>
                <w:szCs w:val="34"/>
              </w:rPr>
              <w:t>J 15</w:t>
            </w:r>
          </w:p>
        </w:tc>
      </w:tr>
    </w:tbl>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90" w:line="14" w:lineRule="exact"/>
      </w:pPr>
    </w:p>
    <w:p w:rsidR="00500724" w:rsidRDefault="00500724">
      <w:pPr>
        <w:spacing w:line="14" w:lineRule="exact"/>
        <w:sectPr w:rsidR="00500724">
          <w:footnotePr>
            <w:numFmt w:val="chicago"/>
            <w:numRestart w:val="eachPage"/>
          </w:footnotePr>
          <w:pgSz w:w="11909" w:h="16834"/>
          <w:pgMar w:top="1150" w:right="770" w:bottom="485" w:left="554" w:header="0" w:footer="3" w:gutter="0"/>
          <w:cols w:space="720"/>
          <w:noEndnote/>
          <w:docGrid w:linePitch="360"/>
        </w:sectPr>
      </w:pPr>
    </w:p>
    <w:p w:rsidR="00500724" w:rsidRDefault="00500724">
      <w:pPr>
        <w:spacing w:line="94" w:lineRule="exact"/>
        <w:rPr>
          <w:sz w:val="8"/>
          <w:szCs w:val="8"/>
        </w:rPr>
      </w:pPr>
    </w:p>
    <w:p w:rsidR="00500724" w:rsidRDefault="00500724">
      <w:pPr>
        <w:spacing w:line="14" w:lineRule="exact"/>
        <w:sectPr w:rsidR="00500724">
          <w:footnotePr>
            <w:numFmt w:val="chicago"/>
            <w:numRestart w:val="eachPage"/>
          </w:footnotePr>
          <w:type w:val="continuous"/>
          <w:pgSz w:w="11909" w:h="16834"/>
          <w:pgMar w:top="1150" w:right="0" w:bottom="485" w:left="0" w:header="0" w:footer="3" w:gutter="0"/>
          <w:cols w:space="720"/>
          <w:noEndnote/>
          <w:docGrid w:linePitch="360"/>
        </w:sectPr>
      </w:pPr>
    </w:p>
    <w:p w:rsidR="00500724" w:rsidRDefault="00F30FB8">
      <w:pPr>
        <w:spacing w:line="14" w:lineRule="exact"/>
      </w:pPr>
      <w:r>
        <w:rPr>
          <w:noProof/>
        </w:rPr>
        <mc:AlternateContent>
          <mc:Choice Requires="wps">
            <w:drawing>
              <wp:anchor distT="0" distB="76200" distL="0" distR="0" simplePos="0" relativeHeight="125829752" behindDoc="0" locked="0" layoutInCell="1" allowOverlap="1">
                <wp:simplePos x="0" y="0"/>
                <wp:positionH relativeFrom="page">
                  <wp:posOffset>2101850</wp:posOffset>
                </wp:positionH>
                <wp:positionV relativeFrom="paragraph">
                  <wp:posOffset>12700</wp:posOffset>
                </wp:positionV>
                <wp:extent cx="3230880" cy="1136650"/>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3230880" cy="1136650"/>
                        </a:xfrm>
                        <a:prstGeom prst="rect">
                          <a:avLst/>
                        </a:prstGeom>
                        <a:noFill/>
                      </wps:spPr>
                      <wps:txbx>
                        <w:txbxContent>
                          <w:p w:rsidR="00500724" w:rsidRDefault="00F30FB8">
                            <w:pPr>
                              <w:pStyle w:val="Zkladntext100"/>
                              <w:shd w:val="clear" w:color="auto" w:fill="auto"/>
                              <w:spacing w:line="264" w:lineRule="auto"/>
                              <w:ind w:left="200" w:firstLine="840"/>
                              <w:jc w:val="left"/>
                              <w:rPr>
                                <w:sz w:val="19"/>
                                <w:szCs w:val="19"/>
                              </w:rPr>
                            </w:pPr>
                            <w:r>
                              <w:rPr>
                                <w:b/>
                                <w:bCs/>
                                <w:sz w:val="26"/>
                                <w:szCs w:val="26"/>
                              </w:rPr>
                              <w:t xml:space="preserve">Význam knihy v civilisaci </w:t>
                            </w:r>
                            <w:r>
                              <w:rPr>
                                <w:b/>
                                <w:bCs/>
                                <w:sz w:val="19"/>
                                <w:szCs w:val="19"/>
                              </w:rPr>
                              <w:t>Kniha je lépe než kterékoli jiné lidské dílo výrazem zá</w:t>
                            </w:r>
                            <w:r>
                              <w:rPr>
                                <w:b/>
                                <w:bCs/>
                                <w:sz w:val="19"/>
                                <w:szCs w:val="19"/>
                              </w:rPr>
                              <w:softHyphen/>
                            </w:r>
                          </w:p>
                          <w:p w:rsidR="00500724" w:rsidRDefault="00F30FB8">
                            <w:pPr>
                              <w:pStyle w:val="Zkladntext100"/>
                              <w:shd w:val="clear" w:color="auto" w:fill="auto"/>
                              <w:tabs>
                                <w:tab w:val="left" w:pos="3739"/>
                              </w:tabs>
                              <w:spacing w:line="259" w:lineRule="auto"/>
                              <w:ind w:firstLine="0"/>
                              <w:rPr>
                                <w:sz w:val="20"/>
                                <w:szCs w:val="20"/>
                              </w:rPr>
                            </w:pPr>
                            <w:r>
                              <w:rPr>
                                <w:b/>
                                <w:bCs/>
                                <w:sz w:val="19"/>
                                <w:szCs w:val="19"/>
                              </w:rPr>
                              <w:t>padní civilisace. Výzkumy učenců, úvahy filosofů, sny bás</w:t>
                            </w:r>
                            <w:r>
                              <w:rPr>
                                <w:b/>
                                <w:bCs/>
                                <w:sz w:val="19"/>
                                <w:szCs w:val="19"/>
                              </w:rPr>
                              <w:softHyphen/>
                              <w:t xml:space="preserve">níků a </w:t>
                            </w:r>
                            <w:r>
                              <w:rPr>
                                <w:b/>
                                <w:bCs/>
                                <w:sz w:val="19"/>
                                <w:szCs w:val="19"/>
                              </w:rPr>
                              <w:t>příběhy romanopisců, všecky naše city a nauky, naše omyly a chlouby, všechno to vyúsťuje v knihu, vše</w:t>
                            </w:r>
                            <w:r>
                              <w:rPr>
                                <w:b/>
                                <w:bCs/>
                                <w:sz w:val="19"/>
                                <w:szCs w:val="19"/>
                              </w:rPr>
                              <w:softHyphen/>
                              <w:t>chno se to jednou provždy vpisuje do knihy. Kniha se tak stala nádobou lidského ducha.</w:t>
                            </w:r>
                            <w:r>
                              <w:rPr>
                                <w:b/>
                                <w:bCs/>
                                <w:sz w:val="19"/>
                                <w:szCs w:val="19"/>
                              </w:rPr>
                              <w:tab/>
                            </w:r>
                            <w:r>
                              <w:rPr>
                                <w:i/>
                                <w:iCs/>
                                <w:sz w:val="20"/>
                                <w:szCs w:val="20"/>
                              </w:rPr>
                              <w:t xml:space="preserve">G. D </w:t>
                            </w:r>
                            <w:r>
                              <w:rPr>
                                <w:i/>
                                <w:iCs/>
                                <w:sz w:val="20"/>
                                <w:szCs w:val="20"/>
                                <w:lang w:val="en-US" w:eastAsia="en-US" w:bidi="en-US"/>
                              </w:rPr>
                              <w:t xml:space="preserve">uh am </w:t>
                            </w:r>
                            <w:r>
                              <w:rPr>
                                <w:i/>
                                <w:iCs/>
                                <w:sz w:val="20"/>
                                <w:szCs w:val="20"/>
                              </w:rPr>
                              <w:t>el</w:t>
                            </w:r>
                          </w:p>
                        </w:txbxContent>
                      </wps:txbx>
                      <wps:bodyPr lIns="0" tIns="0" rIns="0" bIns="0">
                        <a:spAutoFit/>
                      </wps:bodyPr>
                    </wps:wsp>
                  </a:graphicData>
                </a:graphic>
              </wp:anchor>
            </w:drawing>
          </mc:Choice>
          <mc:Fallback>
            <w:pict>
              <v:shape id="_x0000_s1401" type="#_x0000_t202" style="position:absolute;margin-left:165.5pt;margin-top:1.pt;width:254.40000000000001pt;height:89.5pt;z-index:-125829001;mso-wrap-distance-left:0;mso-wrap-distance-right:0;mso-wrap-distance-bottom:6.pt;mso-position-horizontal-relative:page" filled="f" stroked="f">
                <v:textbox style="mso-fit-shape-to-text:t" inset="0,0,0,0">
                  <w:txbxContent>
                    <w:p>
                      <w:pPr>
                        <w:pStyle w:val="Style344"/>
                        <w:keepNext w:val="0"/>
                        <w:keepLines w:val="0"/>
                        <w:widowControl w:val="0"/>
                        <w:shd w:val="clear" w:color="auto" w:fill="auto"/>
                        <w:bidi w:val="0"/>
                        <w:spacing w:before="0" w:after="0" w:line="264" w:lineRule="auto"/>
                        <w:ind w:left="200" w:right="0" w:firstLine="840"/>
                        <w:jc w:val="left"/>
                        <w:rPr>
                          <w:sz w:val="19"/>
                          <w:szCs w:val="19"/>
                        </w:rPr>
                      </w:pPr>
                      <w:r>
                        <w:rPr>
                          <w:b/>
                          <w:bCs/>
                          <w:color w:val="000000"/>
                          <w:spacing w:val="0"/>
                          <w:w w:val="100"/>
                          <w:position w:val="0"/>
                          <w:sz w:val="26"/>
                          <w:szCs w:val="26"/>
                          <w:shd w:val="clear" w:color="auto" w:fill="auto"/>
                          <w:lang w:val="cs-CZ" w:eastAsia="cs-CZ" w:bidi="cs-CZ"/>
                        </w:rPr>
                        <w:t xml:space="preserve">Význam knihy v civilisaci </w:t>
                      </w:r>
                      <w:r>
                        <w:rPr>
                          <w:b/>
                          <w:bCs/>
                          <w:color w:val="000000"/>
                          <w:spacing w:val="0"/>
                          <w:w w:val="100"/>
                          <w:position w:val="0"/>
                          <w:sz w:val="19"/>
                          <w:szCs w:val="19"/>
                          <w:shd w:val="clear" w:color="auto" w:fill="auto"/>
                          <w:lang w:val="cs-CZ" w:eastAsia="cs-CZ" w:bidi="cs-CZ"/>
                        </w:rPr>
                        <w:t>Kniha je lépe než kterékoli jiné lidské dílo výrazem zá</w:t>
                        <w:softHyphen/>
                      </w:r>
                    </w:p>
                    <w:p>
                      <w:pPr>
                        <w:pStyle w:val="Style344"/>
                        <w:keepNext w:val="0"/>
                        <w:keepLines w:val="0"/>
                        <w:widowControl w:val="0"/>
                        <w:shd w:val="clear" w:color="auto" w:fill="auto"/>
                        <w:tabs>
                          <w:tab w:pos="3739" w:val="left"/>
                        </w:tabs>
                        <w:bidi w:val="0"/>
                        <w:spacing w:before="0" w:after="0" w:line="259" w:lineRule="auto"/>
                        <w:ind w:left="0" w:right="0" w:firstLine="0"/>
                        <w:rPr>
                          <w:sz w:val="20"/>
                          <w:szCs w:val="20"/>
                        </w:rPr>
                      </w:pPr>
                      <w:r>
                        <w:rPr>
                          <w:b/>
                          <w:bCs/>
                          <w:color w:val="000000"/>
                          <w:spacing w:val="0"/>
                          <w:w w:val="100"/>
                          <w:position w:val="0"/>
                          <w:sz w:val="19"/>
                          <w:szCs w:val="19"/>
                          <w:shd w:val="clear" w:color="auto" w:fill="auto"/>
                          <w:lang w:val="cs-CZ" w:eastAsia="cs-CZ" w:bidi="cs-CZ"/>
                        </w:rPr>
                        <w:t>padní civilisace. Výzkumy učenců, úvahy filosofů, sny bás</w:t>
                        <w:softHyphen/>
                        <w:t>níků a příběhy romanopisců, všecky naše city a nauky, naše omyly a chlouby, všechno to vyúsťuje v knihu, vše</w:t>
                        <w:softHyphen/>
                        <w:t>chno se to jednou provždy vpisuje do knihy. Kniha se tak stala nádobou lidského ducha.</w:t>
                        <w:tab/>
                      </w:r>
                      <w:r>
                        <w:rPr>
                          <w:i/>
                          <w:iCs/>
                          <w:color w:val="000000"/>
                          <w:spacing w:val="0"/>
                          <w:w w:val="100"/>
                          <w:position w:val="0"/>
                          <w:sz w:val="20"/>
                          <w:szCs w:val="20"/>
                          <w:shd w:val="clear" w:color="auto" w:fill="auto"/>
                          <w:lang w:val="cs-CZ" w:eastAsia="cs-CZ" w:bidi="cs-CZ"/>
                        </w:rPr>
                        <w:t xml:space="preserve">G. D </w:t>
                      </w:r>
                      <w:r>
                        <w:rPr>
                          <w:i/>
                          <w:iCs/>
                          <w:color w:val="000000"/>
                          <w:spacing w:val="0"/>
                          <w:w w:val="100"/>
                          <w:position w:val="0"/>
                          <w:sz w:val="20"/>
                          <w:szCs w:val="20"/>
                          <w:shd w:val="clear" w:color="auto" w:fill="auto"/>
                          <w:lang w:val="en-US" w:eastAsia="en-US" w:bidi="en-US"/>
                        </w:rPr>
                        <w:t xml:space="preserve">uh am </w:t>
                      </w:r>
                      <w:r>
                        <w:rPr>
                          <w:i/>
                          <w:iCs/>
                          <w:color w:val="000000"/>
                          <w:spacing w:val="0"/>
                          <w:w w:val="100"/>
                          <w:position w:val="0"/>
                          <w:sz w:val="20"/>
                          <w:szCs w:val="20"/>
                          <w:shd w:val="clear" w:color="auto" w:fill="auto"/>
                          <w:lang w:val="cs-CZ" w:eastAsia="cs-CZ" w:bidi="cs-CZ"/>
                        </w:rPr>
                        <w:t>el</w:t>
                      </w:r>
                    </w:p>
                  </w:txbxContent>
                </v:textbox>
                <w10:wrap type="topAndBottom" anchorx="page"/>
              </v:shape>
            </w:pict>
          </mc:Fallback>
        </mc:AlternateContent>
      </w:r>
    </w:p>
    <w:p w:rsidR="00500724" w:rsidRDefault="00F30FB8">
      <w:pPr>
        <w:pStyle w:val="Zkladntext20"/>
        <w:shd w:val="clear" w:color="auto" w:fill="auto"/>
        <w:spacing w:after="100"/>
        <w:ind w:firstLine="0"/>
        <w:jc w:val="left"/>
        <w:rPr>
          <w:sz w:val="20"/>
          <w:szCs w:val="20"/>
        </w:rPr>
      </w:pPr>
      <w:r>
        <w:rPr>
          <w:i/>
          <w:iCs/>
          <w:sz w:val="20"/>
          <w:szCs w:val="20"/>
        </w:rPr>
        <w:t>Karel Kapoun:</w:t>
      </w:r>
    </w:p>
    <w:p w:rsidR="00500724" w:rsidRDefault="00F30FB8">
      <w:pPr>
        <w:pStyle w:val="Nadpis110"/>
        <w:shd w:val="clear" w:color="auto" w:fill="auto"/>
        <w:spacing w:after="80" w:line="180" w:lineRule="auto"/>
      </w:pPr>
      <w:bookmarkStart w:id="371" w:name="bookmark370"/>
      <w:r>
        <w:t>TŘETÍ</w:t>
      </w:r>
      <w:bookmarkEnd w:id="371"/>
    </w:p>
    <w:p w:rsidR="00500724" w:rsidRDefault="00F30FB8">
      <w:pPr>
        <w:pStyle w:val="Zkladntext20"/>
        <w:shd w:val="clear" w:color="auto" w:fill="auto"/>
        <w:ind w:left="1640" w:hanging="1640"/>
        <w:jc w:val="left"/>
        <w:rPr>
          <w:sz w:val="20"/>
          <w:szCs w:val="20"/>
        </w:rPr>
      </w:pPr>
      <w:r>
        <w:rPr>
          <w:i/>
          <w:iCs/>
          <w:sz w:val="20"/>
          <w:szCs w:val="20"/>
        </w:rPr>
        <w:t xml:space="preserve">Jsme jenom dva a do hry chybí </w:t>
      </w:r>
      <w:r>
        <w:rPr>
          <w:i/>
          <w:iCs/>
          <w:sz w:val="20"/>
          <w:szCs w:val="20"/>
        </w:rPr>
        <w:t>třetí,</w:t>
      </w:r>
    </w:p>
    <w:p w:rsidR="00500724" w:rsidRDefault="00F30FB8">
      <w:pPr>
        <w:pStyle w:val="Zkladntext20"/>
        <w:shd w:val="clear" w:color="auto" w:fill="auto"/>
        <w:ind w:firstLine="0"/>
        <w:jc w:val="left"/>
        <w:rPr>
          <w:sz w:val="20"/>
          <w:szCs w:val="20"/>
        </w:rPr>
      </w:pPr>
      <w:r>
        <w:rPr>
          <w:i/>
          <w:iCs/>
          <w:sz w:val="20"/>
          <w:szCs w:val="20"/>
        </w:rPr>
        <w:t>přijměme dítě, mnoho dětí, už chlapec v plénkách hrát</w:t>
      </w:r>
    </w:p>
    <w:p w:rsidR="00500724" w:rsidRDefault="00F30FB8">
      <w:pPr>
        <w:pStyle w:val="Zkladntext20"/>
        <w:shd w:val="clear" w:color="auto" w:fill="auto"/>
        <w:ind w:firstLine="0"/>
        <w:jc w:val="right"/>
        <w:rPr>
          <w:sz w:val="20"/>
          <w:szCs w:val="20"/>
        </w:rPr>
      </w:pPr>
      <w:r>
        <w:rPr>
          <w:i/>
          <w:iCs/>
          <w:sz w:val="20"/>
          <w:szCs w:val="20"/>
        </w:rPr>
        <w:t>by chtěl</w:t>
      </w:r>
    </w:p>
    <w:p w:rsidR="00500724" w:rsidRDefault="00F30FB8">
      <w:pPr>
        <w:pStyle w:val="Zkladntext20"/>
        <w:shd w:val="clear" w:color="auto" w:fill="auto"/>
        <w:ind w:firstLine="0"/>
        <w:jc w:val="left"/>
        <w:rPr>
          <w:sz w:val="20"/>
          <w:szCs w:val="20"/>
        </w:rPr>
      </w:pPr>
      <w:r>
        <w:rPr>
          <w:i/>
          <w:iCs/>
          <w:sz w:val="20"/>
          <w:szCs w:val="20"/>
        </w:rPr>
        <w:t>o démant dneška s vrypem</w:t>
      </w:r>
    </w:p>
    <w:p w:rsidR="00500724" w:rsidRDefault="00F30FB8">
      <w:pPr>
        <w:pStyle w:val="Zkladntext20"/>
        <w:shd w:val="clear" w:color="auto" w:fill="auto"/>
        <w:ind w:firstLine="0"/>
        <w:jc w:val="right"/>
        <w:rPr>
          <w:sz w:val="20"/>
          <w:szCs w:val="20"/>
        </w:rPr>
      </w:pPr>
      <w:r>
        <w:rPr>
          <w:i/>
          <w:iCs/>
          <w:sz w:val="20"/>
          <w:szCs w:val="20"/>
        </w:rPr>
        <w:t>střel,</w:t>
      </w:r>
    </w:p>
    <w:p w:rsidR="00500724" w:rsidRDefault="00F30FB8">
      <w:pPr>
        <w:pStyle w:val="Zkladntext20"/>
        <w:shd w:val="clear" w:color="auto" w:fill="auto"/>
        <w:ind w:left="1600" w:hanging="1600"/>
        <w:jc w:val="left"/>
        <w:rPr>
          <w:sz w:val="20"/>
          <w:szCs w:val="20"/>
        </w:rPr>
      </w:pPr>
      <w:r>
        <w:rPr>
          <w:i/>
          <w:iCs/>
          <w:sz w:val="20"/>
          <w:szCs w:val="20"/>
        </w:rPr>
        <w:t>my stárneme a smělý hoch nás přebíjí,</w:t>
      </w:r>
    </w:p>
    <w:p w:rsidR="00500724" w:rsidRDefault="00F30FB8">
      <w:pPr>
        <w:pStyle w:val="Zkladntext20"/>
        <w:shd w:val="clear" w:color="auto" w:fill="auto"/>
        <w:ind w:firstLine="0"/>
        <w:jc w:val="left"/>
        <w:rPr>
          <w:sz w:val="20"/>
          <w:szCs w:val="20"/>
        </w:rPr>
      </w:pPr>
      <w:r>
        <w:rPr>
          <w:i/>
          <w:iCs/>
          <w:sz w:val="20"/>
          <w:szCs w:val="20"/>
        </w:rPr>
        <w:t>my zemřeme a oči nás jen</w:t>
      </w:r>
    </w:p>
    <w:p w:rsidR="00500724" w:rsidRDefault="00F30FB8">
      <w:pPr>
        <w:pStyle w:val="Zkladntext20"/>
        <w:shd w:val="clear" w:color="auto" w:fill="auto"/>
        <w:ind w:firstLine="0"/>
        <w:jc w:val="right"/>
        <w:rPr>
          <w:sz w:val="20"/>
          <w:szCs w:val="20"/>
        </w:rPr>
      </w:pPr>
      <w:r>
        <w:rPr>
          <w:i/>
          <w:iCs/>
          <w:sz w:val="20"/>
          <w:szCs w:val="20"/>
        </w:rPr>
        <w:t>přežijí,</w:t>
      </w:r>
    </w:p>
    <w:p w:rsidR="00500724" w:rsidRDefault="00F30FB8">
      <w:pPr>
        <w:pStyle w:val="Zkladntext20"/>
        <w:shd w:val="clear" w:color="auto" w:fill="auto"/>
        <w:ind w:firstLine="0"/>
        <w:jc w:val="left"/>
        <w:rPr>
          <w:sz w:val="20"/>
          <w:szCs w:val="20"/>
        </w:rPr>
      </w:pPr>
      <w:r>
        <w:rPr>
          <w:i/>
          <w:iCs/>
          <w:sz w:val="20"/>
          <w:szCs w:val="20"/>
        </w:rPr>
        <w:t>vždyt tolikrát, vždyt tolikrát my dívali se dětem do očí, když horký dech jim</w:t>
      </w:r>
    </w:p>
    <w:p w:rsidR="00500724" w:rsidRDefault="00F30FB8">
      <w:pPr>
        <w:pStyle w:val="Zkladntext20"/>
        <w:shd w:val="clear" w:color="auto" w:fill="auto"/>
        <w:ind w:firstLine="0"/>
        <w:jc w:val="right"/>
        <w:rPr>
          <w:sz w:val="20"/>
          <w:szCs w:val="20"/>
        </w:rPr>
      </w:pPr>
      <w:r>
        <w:rPr>
          <w:i/>
          <w:iCs/>
          <w:sz w:val="20"/>
          <w:szCs w:val="20"/>
        </w:rPr>
        <w:t>stah</w:t>
      </w:r>
      <w:r>
        <w:rPr>
          <w:i/>
          <w:iCs/>
          <w:sz w:val="20"/>
          <w:szCs w:val="20"/>
        </w:rPr>
        <w:t>oval</w:t>
      </w:r>
    </w:p>
    <w:p w:rsidR="00500724" w:rsidRDefault="00F30FB8">
      <w:pPr>
        <w:pStyle w:val="Zkladntext20"/>
        <w:shd w:val="clear" w:color="auto" w:fill="auto"/>
        <w:spacing w:after="80" w:line="185" w:lineRule="auto"/>
        <w:ind w:firstLine="0"/>
        <w:jc w:val="left"/>
        <w:rPr>
          <w:sz w:val="20"/>
          <w:szCs w:val="20"/>
        </w:rPr>
      </w:pPr>
      <w:r>
        <w:rPr>
          <w:i/>
          <w:iCs/>
          <w:sz w:val="20"/>
          <w:szCs w:val="20"/>
        </w:rPr>
        <w:t xml:space="preserve">s oběhu tep jak penízky a vytrhnout chtěl naposled </w:t>
      </w:r>
      <w:r>
        <w:rPr>
          <w:sz w:val="24"/>
          <w:szCs w:val="24"/>
        </w:rPr>
        <w:t xml:space="preserve">a </w:t>
      </w:r>
      <w:r>
        <w:rPr>
          <w:i/>
          <w:iCs/>
          <w:sz w:val="20"/>
          <w:szCs w:val="20"/>
        </w:rPr>
        <w:t>hrdélka slovo s Bohem.</w:t>
      </w:r>
    </w:p>
    <w:p w:rsidR="00500724" w:rsidRDefault="00F30FB8">
      <w:pPr>
        <w:pStyle w:val="Zkladntext40"/>
        <w:shd w:val="clear" w:color="auto" w:fill="auto"/>
        <w:spacing w:after="140" w:line="202" w:lineRule="auto"/>
        <w:ind w:left="840"/>
      </w:pPr>
      <w:r>
        <w:t>Z nového, třetího Čísla ^Kritické měsíčníkuc</w:t>
      </w:r>
    </w:p>
    <w:p w:rsidR="00500724" w:rsidRDefault="00F30FB8">
      <w:pPr>
        <w:pStyle w:val="Nadpis120"/>
        <w:shd w:val="clear" w:color="auto" w:fill="auto"/>
        <w:spacing w:after="80" w:line="180" w:lineRule="auto"/>
        <w:ind w:left="0"/>
      </w:pPr>
      <w:bookmarkStart w:id="372" w:name="bookmark371"/>
      <w:r>
        <w:rPr>
          <w:rFonts w:ascii="Arial" w:eastAsia="Arial" w:hAnsi="Arial" w:cs="Arial"/>
        </w:rPr>
        <w:t>POZNÁMKY</w:t>
      </w:r>
      <w:bookmarkEnd w:id="372"/>
    </w:p>
    <w:p w:rsidR="00500724" w:rsidRDefault="00F30FB8">
      <w:pPr>
        <w:pStyle w:val="Zkladntext40"/>
        <w:shd w:val="clear" w:color="auto" w:fill="auto"/>
        <w:spacing w:after="40" w:line="204" w:lineRule="auto"/>
        <w:ind w:firstLine="200"/>
      </w:pPr>
      <w:r>
        <w:rPr>
          <w:b/>
          <w:bCs/>
          <w:sz w:val="14"/>
          <w:szCs w:val="14"/>
        </w:rPr>
        <w:t xml:space="preserve">NOVA JAZYKOVÁ PŘÍRUČKA MATEŘŠTINY. </w:t>
      </w:r>
      <w:r>
        <w:t>sSprávně česky« nazývá se nová příručka mateř</w:t>
      </w:r>
      <w:r>
        <w:softHyphen/>
        <w:t>ského jazyka, již v nakladatel</w:t>
      </w:r>
      <w:r>
        <w:softHyphen/>
        <w:t xml:space="preserve">ství </w:t>
      </w:r>
      <w:r>
        <w:rPr>
          <w:lang w:val="en-US" w:eastAsia="en-US" w:bidi="en-US"/>
        </w:rPr>
        <w:t xml:space="preserve">Prometheus </w:t>
      </w:r>
      <w:r>
        <w:t xml:space="preserve">začal vydávati </w:t>
      </w:r>
      <w:r>
        <w:rPr>
          <w:lang w:val="en-US" w:eastAsia="en-US" w:bidi="en-US"/>
        </w:rPr>
        <w:t xml:space="preserve">prof. </w:t>
      </w:r>
      <w:r>
        <w:t xml:space="preserve">dr. Jiří </w:t>
      </w:r>
      <w:r>
        <w:rPr>
          <w:lang w:val="en-US" w:eastAsia="en-US" w:bidi="en-US"/>
        </w:rPr>
        <w:t xml:space="preserve">Haller. </w:t>
      </w:r>
      <w:r>
        <w:t>Dosud vy</w:t>
      </w:r>
      <w:r>
        <w:softHyphen/>
        <w:t>šlé dva sešity naznačují, že jde o praktickou příručku mateřské</w:t>
      </w:r>
      <w:r>
        <w:softHyphen/>
        <w:t>ho jazyka, která má rychle, jas</w:t>
      </w:r>
      <w:r>
        <w:softHyphen/>
        <w:t>ně a určitě poučiti tam, kde se ocitáme v pochybnostech o ně</w:t>
      </w:r>
      <w:r>
        <w:softHyphen/>
        <w:t xml:space="preserve">kterých slovech našeho jazyka, nebo tam, </w:t>
      </w:r>
      <w:r>
        <w:t>kde jsme na rozpacích naď jednotlivými jejich tvary nebo vazbami. Hallerova příruč</w:t>
      </w:r>
      <w:r>
        <w:softHyphen/>
        <w:t>ka nás také podle platných jazy</w:t>
      </w:r>
      <w:r>
        <w:softHyphen/>
        <w:t>kových norem poučuje o nejdů</w:t>
      </w:r>
      <w:r>
        <w:softHyphen/>
        <w:t>ležitějších mluvnických a styli</w:t>
      </w:r>
      <w:r>
        <w:softHyphen/>
        <w:t>stických zásadách dnešní spisov</w:t>
      </w:r>
      <w:r>
        <w:softHyphen/>
        <w:t>né Jazykové praxe. Její odběra</w:t>
      </w:r>
      <w:r>
        <w:softHyphen/>
        <w:t>telé získají v ní</w:t>
      </w:r>
      <w:r>
        <w:t xml:space="preserve"> dobrého praktic</w:t>
      </w:r>
      <w:r>
        <w:softHyphen/>
        <w:t>kého rádce, který bude vítaným doplňkem a dodatkem slovníku. Mateřský jazyk, jenž se nám pod zorným úhlem literatury, poesie a krásné prózy jeví jako řeč vil a pohádkových bytostí rodné ze</w:t>
      </w:r>
      <w:r>
        <w:softHyphen/>
        <w:t>mě, Jako jeden z nejdražších du</w:t>
      </w:r>
      <w:r>
        <w:softHyphen/>
        <w:t xml:space="preserve">chovních statků a </w:t>
      </w:r>
      <w:r>
        <w:t>nejvzácnějších pokladů národa, které pokolení předávají pokolením, umírající živým, odcházející přicházejícím, je v celém svém bohatství slov</w:t>
      </w:r>
      <w:r>
        <w:softHyphen/>
        <w:t>ném 1 bohatém rozvití skladeb</w:t>
      </w:r>
      <w:r>
        <w:softHyphen/>
        <w:t>ném a tvárném uchován v Slov</w:t>
      </w:r>
      <w:r>
        <w:softHyphen/>
        <w:t>níku jazyka č e s k é h o«, který uspořádali Pavel Váša</w:t>
      </w:r>
      <w:r>
        <w:t xml:space="preserve"> a Frant. Trávniček. To je vlastně první moderní a úplný slovník mateřského jazyka, kde v duchu platné jazykové formy se pouču</w:t>
      </w:r>
      <w:r>
        <w:softHyphen/>
        <w:t>jeme o všech jednotlivých výra</w:t>
      </w:r>
      <w:r>
        <w:softHyphen/>
        <w:t>zech mateřštiny, o nejdůležitěj</w:t>
      </w:r>
      <w:r>
        <w:softHyphen/>
        <w:t>ších jak mluvnických, tak sty</w:t>
      </w:r>
      <w:r>
        <w:softHyphen/>
        <w:t>listických zásadách dnešní jazy</w:t>
      </w:r>
      <w:r>
        <w:softHyphen/>
        <w:t>kové</w:t>
      </w:r>
      <w:r>
        <w:t xml:space="preserve"> praxe. Vášův a Trávníčkův Slovník jazyka českého, doplně</w:t>
      </w:r>
      <w:r>
        <w:softHyphen/>
        <w:t>ný Stručnou mluvnicí českou od Fr. Trávnička, neměl by chybět</w:t>
      </w:r>
    </w:p>
    <w:p w:rsidR="00500724" w:rsidRDefault="00F30FB8">
      <w:pPr>
        <w:pStyle w:val="Zkladntext100"/>
        <w:shd w:val="clear" w:color="auto" w:fill="auto"/>
        <w:spacing w:after="60" w:line="173" w:lineRule="auto"/>
        <w:ind w:firstLine="0"/>
      </w:pPr>
      <w:r>
        <w:t>nikde, kde se mluví a píše ma</w:t>
      </w:r>
      <w:r>
        <w:softHyphen/>
        <w:t>teřským jazykem.</w:t>
      </w:r>
    </w:p>
    <w:p w:rsidR="00500724" w:rsidRDefault="00F30FB8">
      <w:pPr>
        <w:pStyle w:val="Zkladntext40"/>
        <w:shd w:val="clear" w:color="auto" w:fill="auto"/>
        <w:spacing w:line="202" w:lineRule="auto"/>
        <w:ind w:firstLine="200"/>
      </w:pPr>
      <w:r>
        <w:rPr>
          <w:b/>
          <w:bCs/>
          <w:sz w:val="14"/>
          <w:szCs w:val="14"/>
        </w:rPr>
        <w:t xml:space="preserve">NOVÍ KRITICKY MĚSÍČNÍK. </w:t>
      </w:r>
      <w:r>
        <w:t>Nové třetí číslo Kritického mě</w:t>
      </w:r>
      <w:r>
        <w:softHyphen/>
        <w:t>síčníku je uvedeno úvahou Fran</w:t>
      </w:r>
      <w:r>
        <w:softHyphen/>
        <w:t>tiš</w:t>
      </w:r>
      <w:r>
        <w:t>ka Kovárny, odpovídající pro</w:t>
      </w:r>
      <w:r>
        <w:softHyphen/>
        <w:t>nikavě a důmyslně na otázku po smyslu, podstatě a významu tra</w:t>
      </w:r>
      <w:r>
        <w:softHyphen/>
        <w:t>dice v životě národa a v oblastí umělecké tvorby. Vedle této dnes opravdu aktuální úvahy čteme_v tomto čísle Kritického měsíčníku také vynikající, filosoficky zalo</w:t>
      </w:r>
      <w:r>
        <w:softHyphen/>
        <w:t>ž</w:t>
      </w:r>
      <w:r>
        <w:t>enou a prohloubenou stať Jana Patočky, která nám pod názvem Životní rovnováha a životní am</w:t>
      </w:r>
      <w:r>
        <w:softHyphen/>
        <w:t>plituda objasňuje a ozřejmuje důležitou roli filosofie v životě člověka. »Filosofle amplitudy jest ta, která si uvědomuje, že život musí v každém okamžiku nésti celo</w:t>
      </w:r>
      <w:r>
        <w:t>u tíži světa, a která se hlásí k tomotu úkolu, sledujíc celou složitou hru lidských zkušeností, stanovisek a životních poloh, va</w:t>
      </w:r>
      <w:r>
        <w:softHyphen/>
        <w:t>rujíc před běžnými iluseml a su</w:t>
      </w:r>
      <w:r>
        <w:softHyphen/>
        <w:t>gerujíc lásku k věčnému,« říká krásně autor této studie. Z bá</w:t>
      </w:r>
      <w:r>
        <w:softHyphen/>
        <w:t>sníků přispěli do tohoto čísla Fr</w:t>
      </w:r>
      <w:r>
        <w:t>antišek Halas krásnou básní Počasy, Vladimír Holan výraz</w:t>
      </w:r>
      <w:r>
        <w:softHyphen/>
        <w:t>nou ukázkou ze svého Zpěvu tří</w:t>
      </w:r>
      <w:r>
        <w:softHyphen/>
        <w:t>králového, Oldřich Mikulášek básní Listopad, dále Josef Ko</w:t>
      </w:r>
      <w:r>
        <w:softHyphen/>
        <w:t>hout, Karel Kapoun, Ivan Jelí</w:t>
      </w:r>
      <w:r>
        <w:softHyphen/>
        <w:t>nek, Jan M. Tomeš a Jiří Orten. V obsáhlém průhledu do nové poesie čteme kritic</w:t>
      </w:r>
      <w:r>
        <w:t>ké studie a re</w:t>
      </w:r>
      <w:r>
        <w:softHyphen/>
        <w:t>feráty o původních novinkách básnických českých i sloven</w:t>
      </w:r>
      <w:r>
        <w:softHyphen/>
        <w:t>ských, kterými sem přispěli V. Černý, Bohumil Polán, Bohumil Novák, Jos. Kohout a Karel Po</w:t>
      </w:r>
      <w:r>
        <w:softHyphen/>
        <w:t xml:space="preserve">lák. a v oddílu Poznámky řadu aktuálních kulturně politických a historických </w:t>
      </w:r>
      <w:r>
        <w:rPr>
          <w:lang w:val="en-US" w:eastAsia="en-US" w:bidi="en-US"/>
        </w:rPr>
        <w:t xml:space="preserve">gloss </w:t>
      </w:r>
      <w:r>
        <w:t>i poznámek</w:t>
      </w:r>
      <w:r>
        <w:t>. Cena čísla je 3 K.</w:t>
      </w:r>
    </w:p>
    <w:p w:rsidR="00500724" w:rsidRDefault="00F30FB8">
      <w:pPr>
        <w:pStyle w:val="Zkladntext40"/>
        <w:shd w:val="clear" w:color="auto" w:fill="auto"/>
        <w:spacing w:line="202" w:lineRule="auto"/>
        <w:ind w:firstLine="200"/>
      </w:pPr>
      <w:r>
        <w:t>Pavel Stránský: ČESKY STÁT. Spolek českých bibliofilů v Pra</w:t>
      </w:r>
      <w:r>
        <w:softHyphen/>
        <w:t>ze vydal slavné dílo mistra praž</w:t>
      </w:r>
      <w:r>
        <w:softHyphen/>
        <w:t xml:space="preserve">ské university a litoměřického měšťana Pavla Stránského ze </w:t>
      </w:r>
      <w:r>
        <w:rPr>
          <w:lang w:val="en-US" w:eastAsia="en-US" w:bidi="en-US"/>
        </w:rPr>
        <w:t xml:space="preserve">Zap </w:t>
      </w:r>
      <w:r>
        <w:t>u Brandýsa, vyhnaného roku 1627 pro víru z vlasti. Je to no</w:t>
      </w:r>
      <w:r>
        <w:softHyphen/>
        <w:t>vý český překlad la</w:t>
      </w:r>
      <w:r>
        <w:t>tinského díla, vydaného po prvé r. 1634 pod názvem Res publica Bohemia v slavné lejdské tiskárně bratří Elzevírů. Toto nesmrtelné dílo, seznamující s polohou české ze</w:t>
      </w:r>
      <w:r>
        <w:softHyphen/>
        <w:t xml:space="preserve">mě, s charakterem a rozdělením jejího obyvatelstva a zároveň podávající nezapomenutelně, </w:t>
      </w:r>
      <w:r>
        <w:t>byť stručně, české dějiny s jmény králů, královen a biskupů, pře</w:t>
      </w:r>
      <w:r>
        <w:softHyphen/>
        <w:t>ložil z latiny neobyčejně výraz</w:t>
      </w:r>
      <w:r>
        <w:softHyphen/>
        <w:t>ně a šťastně Bohumil Ryba a Vá</w:t>
      </w:r>
      <w:r>
        <w:softHyphen/>
        <w:t>clav Mašek a doprovodil jeho I text 23 dřevoryty, tvořícími I</w:t>
      </w:r>
      <w:r>
        <w:br w:type="column"/>
        <w:t>zvlášť šťastný výtvarný doplněk jeho obsahu. Krásný tisk Orbisu, v</w:t>
      </w:r>
      <w:r>
        <w:t>zorná typografická úprava R. Hály, Maškovy dřevoryty, ho</w:t>
      </w:r>
      <w:r>
        <w:softHyphen/>
        <w:t>landský papír pro ten účel speciálně vyrobený a opatřený zvláštním filigránem, a Rybův překlad, to všecko splývá v ce</w:t>
      </w:r>
      <w:r>
        <w:softHyphen/>
        <w:t>lek dokonalého, vzácného tisku, který potěší nejen milovníky krásných knih, nýbrž</w:t>
      </w:r>
      <w:r>
        <w:t xml:space="preserve"> všechny bez rozdílu, jimž se Český stát dostane do rukou. Je to dílo tak krásné a dokonalé, svou výpra</w:t>
      </w:r>
      <w:r>
        <w:softHyphen/>
        <w:t>vou tak hodnotné a nám Cechům drahé svým obsahem, že patří na prvé místo všech děl, jež kdy Spolek českých bibliofilů vydal.</w:t>
      </w:r>
    </w:p>
    <w:p w:rsidR="00500724" w:rsidRDefault="00F30FB8">
      <w:pPr>
        <w:pStyle w:val="Zkladntext40"/>
        <w:shd w:val="clear" w:color="auto" w:fill="auto"/>
        <w:spacing w:line="204" w:lineRule="auto"/>
        <w:ind w:firstLine="180"/>
      </w:pPr>
      <w:r>
        <w:t>NOVY ROMÁN KNIHOVNY LIDOVÝC</w:t>
      </w:r>
      <w:r>
        <w:t>H NOVIN. Letošní roč</w:t>
      </w:r>
      <w:r>
        <w:softHyphen/>
        <w:t>ník Knihovny Lidových Novin, který přinesl novou původní ro</w:t>
      </w:r>
      <w:r>
        <w:softHyphen/>
        <w:t>mánovou práci básníka Josefa Hory Dech na skle, rozsáhlý ro</w:t>
      </w:r>
      <w:r>
        <w:softHyphen/>
        <w:t>mán mladistvého prozaika Vá</w:t>
      </w:r>
      <w:r>
        <w:softHyphen/>
        <w:t>clava Řezáče Slepá ulička, po</w:t>
      </w:r>
      <w:r>
        <w:softHyphen/>
        <w:t>slední románovou prácí Karla Čapka, přinese také novou, o</w:t>
      </w:r>
      <w:r>
        <w:t>so</w:t>
      </w:r>
      <w:r>
        <w:softHyphen/>
        <w:t>bitou románovou práci Karla Konráda Postele bez nebes. Je to román o dětech, v jejíchž hrách, citových i duševních pohnutích, rozhovorech, radostech i žalech a dětských dobrodružstvích se obráží do nejjemnějších nuancí atmosféra let od balkánské vál</w:t>
      </w:r>
      <w:r>
        <w:softHyphen/>
        <w:t xml:space="preserve">ky </w:t>
      </w:r>
      <w:r>
        <w:t>až po válku světovou, tedy atmosféra doby, jež svým skry</w:t>
      </w:r>
      <w:r>
        <w:softHyphen/>
        <w:t>tým děním vlastně formovala základní charakter dnešní gene</w:t>
      </w:r>
      <w:r>
        <w:softHyphen/>
        <w:t>race. Slovesným mistrovstvím, jak se obráží v osobitém, básnic</w:t>
      </w:r>
      <w:r>
        <w:softHyphen/>
        <w:t>ky výrazném a minuciosním stylu, v krásné, členěné a boha</w:t>
      </w:r>
      <w:r>
        <w:softHyphen/>
        <w:t xml:space="preserve">tě rozvité větě, v </w:t>
      </w:r>
      <w:r>
        <w:t>její zvukoma- lebnosti, preciositě a ryzosti bu</w:t>
      </w:r>
      <w:r>
        <w:softHyphen/>
        <w:t>dou Konrádovy Postele bez ne</w:t>
      </w:r>
      <w:r>
        <w:softHyphen/>
        <w:t>bes, jejichž první kapitoly přine</w:t>
      </w:r>
      <w:r>
        <w:softHyphen/>
        <w:t>se dvojsešit 24—25. jedním z nej</w:t>
      </w:r>
      <w:r>
        <w:softHyphen/>
        <w:t>radostnějších překvapení pro čte</w:t>
      </w:r>
      <w:r>
        <w:softHyphen/>
        <w:t>náře moderní české prózy romá</w:t>
      </w:r>
      <w:r>
        <w:softHyphen/>
        <w:t>nové.</w:t>
      </w:r>
    </w:p>
    <w:p w:rsidR="00500724" w:rsidRDefault="00F30FB8">
      <w:pPr>
        <w:pStyle w:val="Zkladntext40"/>
        <w:shd w:val="clear" w:color="auto" w:fill="auto"/>
        <w:spacing w:line="204" w:lineRule="auto"/>
        <w:ind w:firstLine="180"/>
      </w:pPr>
      <w:r>
        <w:t>DOPISY OTOKABA BŘEZINY F. X. SALDOVI, vychá</w:t>
      </w:r>
      <w:r>
        <w:t>zející ná</w:t>
      </w:r>
      <w:r>
        <w:softHyphen/>
        <w:t>kladem »Melantrichu« v měsíci Saldova úmrtí a těsně po výročí Březinově. Je to soubor duchov</w:t>
      </w:r>
      <w:r>
        <w:softHyphen/>
        <w:t>ních rozhovorů dvou duchů, kteří stáli nad dobou a lidmi. Mezí ji</w:t>
      </w:r>
      <w:r>
        <w:softHyphen/>
        <w:t>ným je tu dopis, jímž děkuje Sal</w:t>
      </w:r>
      <w:r>
        <w:softHyphen/>
        <w:t>da Březinovi za zaslání básnické knihy »Ruce«. Jeho zá</w:t>
      </w:r>
      <w:r>
        <w:t>věr je na</w:t>
      </w:r>
      <w:r>
        <w:softHyphen/>
        <w:t>dšené kritické vyznání Saldovo. Praví tu: ^Přiblížil jste nám úžasně metafysický problém by</w:t>
      </w:r>
      <w:r>
        <w:softHyphen/>
        <w:t>tí: zde je to slovo na papíře, ale u Vás je to bolest, hrůza a slá</w:t>
      </w:r>
      <w:r>
        <w:softHyphen/>
        <w:t>va, něco intensivnějšího než sen, a vroucnějšího než život. Pozdra-</w:t>
      </w:r>
    </w:p>
    <w:p w:rsidR="00500724" w:rsidRDefault="00F30FB8">
      <w:pPr>
        <w:spacing w:line="1" w:lineRule="exact"/>
        <w:rPr>
          <w:sz w:val="2"/>
          <w:szCs w:val="2"/>
        </w:rPr>
      </w:pPr>
      <w:r>
        <w:br w:type="column"/>
      </w:r>
    </w:p>
    <w:p w:rsidR="00500724" w:rsidRDefault="00F30FB8">
      <w:pPr>
        <w:pStyle w:val="Zkladntext20"/>
        <w:shd w:val="clear" w:color="auto" w:fill="auto"/>
        <w:spacing w:after="60"/>
        <w:ind w:firstLine="0"/>
        <w:rPr>
          <w:sz w:val="20"/>
          <w:szCs w:val="20"/>
        </w:rPr>
      </w:pPr>
      <w:r>
        <w:rPr>
          <w:i/>
          <w:iCs/>
          <w:sz w:val="20"/>
          <w:szCs w:val="20"/>
        </w:rPr>
        <w:t>Miomandre:</w:t>
      </w:r>
    </w:p>
    <w:p w:rsidR="00500724" w:rsidRDefault="00F30FB8">
      <w:pPr>
        <w:pStyle w:val="Jin0"/>
        <w:shd w:val="clear" w:color="auto" w:fill="auto"/>
        <w:spacing w:after="60" w:line="221" w:lineRule="auto"/>
        <w:ind w:firstLine="0"/>
        <w:jc w:val="left"/>
        <w:rPr>
          <w:sz w:val="32"/>
          <w:szCs w:val="32"/>
        </w:rPr>
      </w:pPr>
      <w:r>
        <w:rPr>
          <w:smallCaps/>
          <w:sz w:val="32"/>
          <w:szCs w:val="32"/>
        </w:rPr>
        <w:t>Četba-umělýráj</w:t>
      </w:r>
    </w:p>
    <w:p w:rsidR="00500724" w:rsidRDefault="00F30FB8">
      <w:pPr>
        <w:pStyle w:val="Zkladntext20"/>
        <w:shd w:val="clear" w:color="auto" w:fill="auto"/>
        <w:spacing w:after="280"/>
        <w:ind w:firstLine="200"/>
        <w:rPr>
          <w:sz w:val="20"/>
          <w:szCs w:val="20"/>
        </w:rPr>
      </w:pPr>
      <w:r>
        <w:rPr>
          <w:i/>
          <w:iCs/>
          <w:sz w:val="20"/>
          <w:szCs w:val="20"/>
          <w:lang w:val="en-US" w:eastAsia="en-US" w:bidi="en-US"/>
        </w:rPr>
        <w:t xml:space="preserve">Gist </w:t>
      </w:r>
      <w:r>
        <w:rPr>
          <w:i/>
          <w:iCs/>
          <w:sz w:val="20"/>
          <w:szCs w:val="20"/>
        </w:rPr>
        <w:t>znamená zapomínat na sebe a vnikat do myšle</w:t>
      </w:r>
      <w:r>
        <w:rPr>
          <w:i/>
          <w:iCs/>
          <w:sz w:val="20"/>
          <w:szCs w:val="20"/>
        </w:rPr>
        <w:softHyphen/>
        <w:t>nek druhého člověka, bud abychom lépe pochopili sami sebe, nebo abychom se zba</w:t>
      </w:r>
      <w:r>
        <w:rPr>
          <w:i/>
          <w:iCs/>
          <w:sz w:val="20"/>
          <w:szCs w:val="20"/>
        </w:rPr>
        <w:softHyphen/>
        <w:t xml:space="preserve">vili každodenních soužení. </w:t>
      </w:r>
      <w:r>
        <w:rPr>
          <w:i/>
          <w:iCs/>
          <w:sz w:val="20"/>
          <w:szCs w:val="20"/>
          <w:lang w:val="en-US" w:eastAsia="en-US" w:bidi="en-US"/>
        </w:rPr>
        <w:t xml:space="preserve">Gist </w:t>
      </w:r>
      <w:r>
        <w:rPr>
          <w:i/>
          <w:iCs/>
          <w:sz w:val="20"/>
          <w:szCs w:val="20"/>
        </w:rPr>
        <w:t>znamená vystupovat na jinou rovinu světa, kde se nám věci ukazují pod ne</w:t>
      </w:r>
      <w:r>
        <w:rPr>
          <w:i/>
          <w:iCs/>
          <w:sz w:val="20"/>
          <w:szCs w:val="20"/>
        </w:rPr>
        <w:softHyphen/>
        <w:t xml:space="preserve">škodným </w:t>
      </w:r>
      <w:r>
        <w:rPr>
          <w:i/>
          <w:iCs/>
          <w:sz w:val="20"/>
          <w:szCs w:val="20"/>
        </w:rPr>
        <w:t xml:space="preserve">zorným úhlem kon- templace, ve světle skutečnosti ideální a proto zaručeně pravé. </w:t>
      </w:r>
      <w:r>
        <w:rPr>
          <w:i/>
          <w:iCs/>
          <w:sz w:val="20"/>
          <w:szCs w:val="20"/>
          <w:lang w:val="en-US" w:eastAsia="en-US" w:bidi="en-US"/>
        </w:rPr>
        <w:t xml:space="preserve">Gist </w:t>
      </w:r>
      <w:r>
        <w:rPr>
          <w:i/>
          <w:iCs/>
          <w:sz w:val="20"/>
          <w:szCs w:val="20"/>
        </w:rPr>
        <w:t xml:space="preserve">znamená utíkat se do snů; a když má ten sen barvy strašidelné, po- hříženost do něho ulevuje. </w:t>
      </w:r>
      <w:r>
        <w:rPr>
          <w:i/>
          <w:iCs/>
          <w:sz w:val="20"/>
          <w:szCs w:val="20"/>
          <w:lang w:val="en-US" w:eastAsia="en-US" w:bidi="en-US"/>
        </w:rPr>
        <w:t xml:space="preserve">Gist </w:t>
      </w:r>
      <w:r>
        <w:rPr>
          <w:i/>
          <w:iCs/>
          <w:sz w:val="20"/>
          <w:szCs w:val="20"/>
        </w:rPr>
        <w:t>znamená svěřit se člo</w:t>
      </w:r>
      <w:r>
        <w:rPr>
          <w:i/>
          <w:iCs/>
          <w:sz w:val="20"/>
          <w:szCs w:val="20"/>
        </w:rPr>
        <w:softHyphen/>
        <w:t>věkovi, který piše, podat mu ruku a dát se vésti</w:t>
      </w:r>
      <w:r>
        <w:rPr>
          <w:i/>
          <w:iCs/>
          <w:sz w:val="20"/>
          <w:szCs w:val="20"/>
        </w:rPr>
        <w:t>, kam on chce, mnohdy velmi vysoko, jindy méně vysoko, ale vždy</w:t>
      </w:r>
      <w:r>
        <w:rPr>
          <w:i/>
          <w:iCs/>
          <w:sz w:val="20"/>
          <w:szCs w:val="20"/>
        </w:rPr>
        <w:softHyphen/>
        <w:t>cky někam jinam. Kniha je pro ducha často tim, čím je pro zmučené tělo blahodárná injekce: náhlým zastavením bolesti. Ze všech umělých rájů, vymyšlených lidským důmyslem na únik z pekla života</w:t>
      </w:r>
      <w:r>
        <w:rPr>
          <w:i/>
          <w:iCs/>
          <w:sz w:val="20"/>
          <w:szCs w:val="20"/>
        </w:rPr>
        <w:t>, četba je ráj nejne</w:t>
      </w:r>
      <w:r>
        <w:rPr>
          <w:i/>
          <w:iCs/>
          <w:sz w:val="20"/>
          <w:szCs w:val="20"/>
        </w:rPr>
        <w:softHyphen/>
        <w:t>škodnější a nejvíce odolává rušivému návyku.</w:t>
      </w:r>
    </w:p>
    <w:p w:rsidR="00500724" w:rsidRDefault="00F30FB8">
      <w:pPr>
        <w:pStyle w:val="Zkladntext40"/>
        <w:shd w:val="clear" w:color="auto" w:fill="auto"/>
        <w:spacing w:line="194" w:lineRule="auto"/>
      </w:pPr>
      <w:r>
        <w:t>vuji Vás z celého srdce. Oddaný Vám F. X. Šalda.«</w:t>
      </w:r>
    </w:p>
    <w:p w:rsidR="00500724" w:rsidRDefault="00F30FB8">
      <w:pPr>
        <w:pStyle w:val="Zkladntext40"/>
        <w:shd w:val="clear" w:color="auto" w:fill="auto"/>
        <w:spacing w:line="204" w:lineRule="auto"/>
        <w:ind w:firstLine="200"/>
      </w:pPr>
      <w:r>
        <w:rPr>
          <w:b/>
          <w:bCs/>
          <w:sz w:val="14"/>
          <w:szCs w:val="14"/>
        </w:rPr>
        <w:t>PRÁVNÍ SOUSTAVA NĚMEC</w:t>
      </w:r>
      <w:r>
        <w:rPr>
          <w:b/>
          <w:bCs/>
          <w:sz w:val="14"/>
          <w:szCs w:val="14"/>
        </w:rPr>
        <w:softHyphen/>
        <w:t xml:space="preserve">KÉ ŘÍŠE. Dr. VI. Mandl. </w:t>
      </w:r>
      <w:r>
        <w:t>Struč</w:t>
      </w:r>
      <w:r>
        <w:softHyphen/>
        <w:t xml:space="preserve">ná brožura, která chce podatl </w:t>
      </w:r>
      <w:r>
        <w:rPr>
          <w:b/>
          <w:bCs/>
          <w:sz w:val="14"/>
          <w:szCs w:val="14"/>
        </w:rPr>
        <w:t xml:space="preserve">v </w:t>
      </w:r>
      <w:r>
        <w:t xml:space="preserve">zkratce přehled všech právních předpisů Třetí říše ze </w:t>
      </w:r>
      <w:r>
        <w:t>všech obo</w:t>
      </w:r>
      <w:r>
        <w:softHyphen/>
        <w:t>rů veřejného i soukromého prá</w:t>
      </w:r>
      <w:r>
        <w:softHyphen/>
        <w:t>va, se zvláštním zdůrazněním nacionálně socialistických práv</w:t>
      </w:r>
      <w:r>
        <w:softHyphen/>
        <w:t>ních principů a potom odchylek od práva našeho. Kniha je urče</w:t>
      </w:r>
      <w:r>
        <w:softHyphen/>
        <w:t>na především široké veřejnosti; avšak i praktický právník nalez</w:t>
      </w:r>
      <w:r>
        <w:softHyphen/>
        <w:t>ne v ní žádoucí pomůcku aspoň</w:t>
      </w:r>
      <w:r>
        <w:t xml:space="preserve"> pro řešení jednodušších případů. Vydalo Právnické knihkupectví a nakladatelství V. Linhart v Praze 1939, stran 128, cena brož. 25 K, váz. 33 K.</w:t>
      </w:r>
    </w:p>
    <w:p w:rsidR="00500724" w:rsidRDefault="00F30FB8">
      <w:pPr>
        <w:pStyle w:val="Zkladntext40"/>
        <w:shd w:val="clear" w:color="auto" w:fill="auto"/>
        <w:spacing w:line="204" w:lineRule="auto"/>
        <w:ind w:firstLine="200"/>
        <w:sectPr w:rsidR="00500724">
          <w:footnotePr>
            <w:numFmt w:val="chicago"/>
            <w:numRestart w:val="eachPage"/>
          </w:footnotePr>
          <w:type w:val="continuous"/>
          <w:pgSz w:w="11909" w:h="16834"/>
          <w:pgMar w:top="1150" w:right="862" w:bottom="485" w:left="554" w:header="0" w:footer="3" w:gutter="0"/>
          <w:cols w:num="4" w:sep="1" w:space="100"/>
          <w:noEndnote/>
          <w:docGrid w:linePitch="360"/>
        </w:sectPr>
      </w:pPr>
      <w:r>
        <w:rPr>
          <w:b/>
          <w:bCs/>
          <w:sz w:val="14"/>
          <w:szCs w:val="14"/>
        </w:rPr>
        <w:t xml:space="preserve">ALŠŮV ŠPALÍČEK, </w:t>
      </w:r>
      <w:r>
        <w:t>rozšířený, skvostně vypravený, s předmlu</w:t>
      </w:r>
      <w:r>
        <w:softHyphen/>
        <w:t>vou Alšova znalce a zet</w:t>
      </w:r>
      <w:r>
        <w:t xml:space="preserve">ě </w:t>
      </w:r>
      <w:r>
        <w:rPr>
          <w:lang w:val="en-US" w:eastAsia="en-US" w:bidi="en-US"/>
        </w:rPr>
        <w:t xml:space="preserve">prof. </w:t>
      </w:r>
      <w:r>
        <w:t>Svobody, vyjde nákladem »Me- lantrlchu« jako jedna z těch vzácných publikací, které jsou základními kameny výstavby ná</w:t>
      </w:r>
      <w:r>
        <w:softHyphen/>
        <w:t>rodní kultury. Aleš nakreslil přes 350 obrázků k národním písním a řikadlům. 300 nejkrásnějších kreseb bude sdruženo v připra</w:t>
      </w:r>
      <w:r>
        <w:softHyphen/>
        <w:t>vov</w:t>
      </w:r>
      <w:r>
        <w:t>aném díle. Teprve soubor kre</w:t>
      </w:r>
      <w:r>
        <w:softHyphen/>
        <w:t>seb dává vyniknouti Alšovu mis</w:t>
      </w:r>
      <w:r>
        <w:softHyphen/>
        <w:t>trovství. Zde je teprve možno za</w:t>
      </w:r>
      <w:r>
        <w:softHyphen/>
        <w:t>stavit se s láskou u každé jed</w:t>
      </w:r>
      <w:r>
        <w:softHyphen/>
        <w:t>notlivé kresby, zadívat se na ni,</w:t>
      </w:r>
    </w:p>
    <w:p w:rsidR="00500724" w:rsidRDefault="00F30FB8">
      <w:pPr>
        <w:spacing w:line="14" w:lineRule="exact"/>
      </w:pPr>
      <w:r>
        <w:rPr>
          <w:noProof/>
        </w:rPr>
        <mc:AlternateContent>
          <mc:Choice Requires="wps">
            <w:drawing>
              <wp:anchor distT="38100" distB="38100" distL="38100" distR="38100" simplePos="0" relativeHeight="125829754" behindDoc="0" locked="0" layoutInCell="1" allowOverlap="1">
                <wp:simplePos x="0" y="0"/>
                <wp:positionH relativeFrom="page">
                  <wp:posOffset>2081530</wp:posOffset>
                </wp:positionH>
                <wp:positionV relativeFrom="paragraph">
                  <wp:posOffset>12700</wp:posOffset>
                </wp:positionV>
                <wp:extent cx="1630680" cy="1554480"/>
                <wp:effectExtent l="0" t="0" r="0" b="0"/>
                <wp:wrapSquare wrapText="bothSides"/>
                <wp:docPr id="377" name="Shape 377"/>
                <wp:cNvGraphicFramePr/>
                <a:graphic xmlns:a="http://schemas.openxmlformats.org/drawingml/2006/main">
                  <a:graphicData uri="http://schemas.microsoft.com/office/word/2010/wordprocessingShape">
                    <wps:wsp>
                      <wps:cNvSpPr txBox="1"/>
                      <wps:spPr>
                        <a:xfrm>
                          <a:off x="0" y="0"/>
                          <a:ext cx="1630680" cy="1554480"/>
                        </a:xfrm>
                        <a:prstGeom prst="rect">
                          <a:avLst/>
                        </a:prstGeom>
                        <a:noFill/>
                      </wps:spPr>
                      <wps:txbx>
                        <w:txbxContent>
                          <w:p w:rsidR="00500724" w:rsidRDefault="00F30FB8">
                            <w:pPr>
                              <w:pStyle w:val="Zkladntext40"/>
                              <w:shd w:val="clear" w:color="auto" w:fill="auto"/>
                              <w:spacing w:line="204" w:lineRule="auto"/>
                            </w:pPr>
                            <w:r>
                              <w:t>rodinného života, význam práce jednotlivých Členů rodiny a zvláště ženy v domácnosti, úči</w:t>
                            </w:r>
                            <w:r>
                              <w:softHyphen/>
                              <w:t xml:space="preserve">nek </w:t>
                            </w:r>
                            <w:r>
                              <w:t>rozumného hospodařeni v ro</w:t>
                            </w:r>
                            <w:r>
                              <w:softHyphen/>
                              <w:t>dině, pro domácnost i pro pospo</w:t>
                            </w:r>
                            <w:r>
                              <w:softHyphen/>
                              <w:t>litost. význam rodinných rozpočtů a finančního vedení v domácnos</w:t>
                            </w:r>
                            <w:r>
                              <w:softHyphen/>
                              <w:t>ti, význam rodinných úspor, ro</w:t>
                            </w:r>
                            <w:r>
                              <w:softHyphen/>
                              <w:t>dinné výchovy, atd.</w:t>
                            </w:r>
                          </w:p>
                          <w:p w:rsidR="00500724" w:rsidRDefault="00F30FB8">
                            <w:pPr>
                              <w:pStyle w:val="Zkladntext40"/>
                              <w:shd w:val="clear" w:color="auto" w:fill="auto"/>
                              <w:spacing w:after="0" w:line="202" w:lineRule="auto"/>
                              <w:ind w:firstLine="180"/>
                            </w:pPr>
                            <w:r>
                              <w:t>Článek C. C. Furnasse »ČLO- VĚK MUSÍ .JlSTIít, který vyšel v minulém Čísle Přítom</w:t>
                            </w:r>
                            <w:r>
                              <w:t>nosti, byl vyňat ze stejnojmenné knihy, Již s podtitulem Historie lidské po</w:t>
                            </w:r>
                            <w:r>
                              <w:softHyphen/>
                              <w:t>travy vydá v nej bližších dnech nakladatelství Orbis.</w:t>
                            </w:r>
                          </w:p>
                        </w:txbxContent>
                      </wps:txbx>
                      <wps:bodyPr lIns="0" tIns="0" rIns="0" bIns="0">
                        <a:spAutoFit/>
                      </wps:bodyPr>
                    </wps:wsp>
                  </a:graphicData>
                </a:graphic>
              </wp:anchor>
            </w:drawing>
          </mc:Choice>
          <mc:Fallback>
            <w:pict>
              <v:shape id="_x0000_s1403" type="#_x0000_t202" style="position:absolute;margin-left:163.90000000000001pt;margin-top:1.pt;width:128.40000000000001pt;height:122.40000000000001pt;z-index:-125828999;mso-wrap-distance-left:3.pt;mso-wrap-distance-top:3.pt;mso-wrap-distance-right:3.pt;mso-wrap-distance-bottom:3.pt;mso-position-horizontal-relative:page" filled="f" stroked="f">
                <v:textbox style="mso-fit-shape-to-text:t" inset="0,0,0,0">
                  <w:txbxContent>
                    <w:p>
                      <w:pPr>
                        <w:pStyle w:val="Style42"/>
                        <w:keepNext w:val="0"/>
                        <w:keepLines w:val="0"/>
                        <w:widowControl w:val="0"/>
                        <w:shd w:val="clear" w:color="auto" w:fill="auto"/>
                        <w:bidi w:val="0"/>
                        <w:spacing w:before="0" w:line="204" w:lineRule="auto"/>
                        <w:ind w:left="0" w:right="0" w:firstLine="0"/>
                      </w:pPr>
                      <w:r>
                        <w:rPr>
                          <w:color w:val="000000"/>
                          <w:spacing w:val="0"/>
                          <w:w w:val="100"/>
                          <w:position w:val="0"/>
                          <w:shd w:val="clear" w:color="auto" w:fill="auto"/>
                          <w:lang w:val="cs-CZ" w:eastAsia="cs-CZ" w:bidi="cs-CZ"/>
                        </w:rPr>
                        <w:t>rodinného života, význam práce jednotlivých Členů rodiny a zvláště ženy v domácnosti, úči</w:t>
                        <w:softHyphen/>
                        <w:t>nek rozumného hospodařeni v ro</w:t>
                        <w:softHyphen/>
                        <w:t>dině, pro domácnost i pro pospo</w:t>
                        <w:softHyphen/>
                        <w:t>litost. význam rodinných rozpočtů a finančního vedení v domácnos</w:t>
                        <w:softHyphen/>
                        <w:t>ti, význam rodinných úspor, ro</w:t>
                        <w:softHyphen/>
                        <w:t>dinné výchovy, atd.</w:t>
                      </w:r>
                    </w:p>
                    <w:p>
                      <w:pPr>
                        <w:pStyle w:val="Style42"/>
                        <w:keepNext w:val="0"/>
                        <w:keepLines w:val="0"/>
                        <w:widowControl w:val="0"/>
                        <w:shd w:val="clear" w:color="auto" w:fill="auto"/>
                        <w:bidi w:val="0"/>
                        <w:spacing w:before="0" w:after="0" w:line="202" w:lineRule="auto"/>
                        <w:ind w:left="0" w:right="0" w:firstLine="180"/>
                      </w:pPr>
                      <w:r>
                        <w:rPr>
                          <w:color w:val="000000"/>
                          <w:spacing w:val="0"/>
                          <w:w w:val="100"/>
                          <w:position w:val="0"/>
                          <w:shd w:val="clear" w:color="auto" w:fill="auto"/>
                          <w:lang w:val="cs-CZ" w:eastAsia="cs-CZ" w:bidi="cs-CZ"/>
                        </w:rPr>
                        <w:t>Článek C. C. Furnasse »ČLO- VĚK MUSÍ .JlSTIít, který vyšel v minulém Čísle Přítomnosti, byl vyňat ze stejnojmenné knihy, Již s podtitulem Historie lidské po</w:t>
                        <w:softHyphen/>
                        <w:t>travy vydá v nej bližších dnech nakladatelství Orbis.</w:t>
                      </w:r>
                    </w:p>
                  </w:txbxContent>
                </v:textbox>
                <w10:wrap type="square" anchorx="page"/>
              </v:shape>
            </w:pict>
          </mc:Fallback>
        </mc:AlternateContent>
      </w:r>
    </w:p>
    <w:p w:rsidR="00500724" w:rsidRDefault="00F30FB8">
      <w:pPr>
        <w:pStyle w:val="Zkladntext40"/>
        <w:shd w:val="clear" w:color="auto" w:fill="auto"/>
        <w:spacing w:line="202" w:lineRule="auto"/>
      </w:pPr>
      <w:r>
        <w:t>pohladit si jl. Dilo. které se do</w:t>
      </w:r>
      <w:r>
        <w:softHyphen/>
        <w:t>stane do veřejnosti, bude velkým nakladatelským činem. Krásný prospekt bude v nejbližší dob</w:t>
      </w:r>
      <w:r>
        <w:t>é možno obdržetl u všech knihkup</w:t>
      </w:r>
      <w:r>
        <w:softHyphen/>
        <w:t>ců. Toto dílo tvoři základ nové</w:t>
      </w:r>
      <w:r>
        <w:softHyphen/>
        <w:t>ho údobí vydavatelské Činnosti. Nakladatelství, které vydává Al</w:t>
      </w:r>
      <w:r>
        <w:softHyphen/>
        <w:t>šův špalíček, nemusi příliš mlu</w:t>
      </w:r>
      <w:r>
        <w:softHyphen/>
        <w:t xml:space="preserve">vit </w:t>
      </w:r>
      <w:r>
        <w:rPr>
          <w:b/>
          <w:bCs/>
          <w:sz w:val="18"/>
          <w:szCs w:val="18"/>
        </w:rPr>
        <w:t xml:space="preserve">o </w:t>
      </w:r>
      <w:r>
        <w:t>svém programu. Tento Cln je program.</w:t>
      </w:r>
    </w:p>
    <w:p w:rsidR="00500724" w:rsidRDefault="00F30FB8">
      <w:pPr>
        <w:pStyle w:val="Zkladntext40"/>
        <w:shd w:val="clear" w:color="auto" w:fill="auto"/>
        <w:spacing w:after="440" w:line="204" w:lineRule="auto"/>
        <w:ind w:firstLine="180"/>
      </w:pPr>
      <w:r>
        <w:t>J. JEŽEK: KAEKULACE VŠED</w:t>
      </w:r>
      <w:r>
        <w:softHyphen/>
        <w:t>NÍHO ŽIVOTA. Úvahy o rodině</w:t>
      </w:r>
      <w:r>
        <w:t xml:space="preserve"> a jejím hospodaření. Vydal L. Sou- Cek, Praha. Cena 27 K. Autor se snaží ukázati rozmanité stránky</w:t>
      </w:r>
    </w:p>
    <w:p w:rsidR="00500724" w:rsidRDefault="00F30FB8">
      <w:pPr>
        <w:pStyle w:val="Zkladntext100"/>
        <w:shd w:val="clear" w:color="auto" w:fill="auto"/>
        <w:spacing w:after="300" w:line="240" w:lineRule="auto"/>
        <w:ind w:left="320" w:firstLine="20"/>
      </w:pPr>
      <w:r>
        <w:t>Velkolepým románem od slavného amerického dramatika</w:t>
      </w:r>
    </w:p>
    <w:p w:rsidR="00500724" w:rsidRDefault="00F30FB8">
      <w:pPr>
        <w:pStyle w:val="Jin0"/>
        <w:shd w:val="clear" w:color="auto" w:fill="auto"/>
        <w:spacing w:after="220"/>
        <w:ind w:left="320" w:firstLine="20"/>
        <w:rPr>
          <w:sz w:val="26"/>
          <w:szCs w:val="26"/>
        </w:rPr>
      </w:pPr>
      <w:r>
        <w:rPr>
          <w:i/>
          <w:iCs/>
          <w:sz w:val="26"/>
          <w:szCs w:val="26"/>
        </w:rPr>
        <w:t>ELMERA R.1CE</w:t>
      </w:r>
    </w:p>
    <w:p w:rsidR="00500724" w:rsidRDefault="00F30FB8">
      <w:pPr>
        <w:pStyle w:val="Jin0"/>
        <w:shd w:val="clear" w:color="auto" w:fill="auto"/>
        <w:spacing w:after="220"/>
        <w:ind w:left="320" w:firstLine="20"/>
        <w:rPr>
          <w:sz w:val="78"/>
          <w:szCs w:val="78"/>
        </w:rPr>
      </w:pPr>
      <w:r>
        <w:rPr>
          <w:rFonts w:ascii="Arial" w:eastAsia="Arial" w:hAnsi="Arial" w:cs="Arial"/>
          <w:sz w:val="78"/>
          <w:szCs w:val="78"/>
        </w:rPr>
        <w:t>NEW YORK VLÁDNE</w:t>
      </w:r>
    </w:p>
    <w:p w:rsidR="00500724" w:rsidRDefault="00F30FB8">
      <w:pPr>
        <w:pStyle w:val="Zkladntext40"/>
        <w:shd w:val="clear" w:color="auto" w:fill="auto"/>
        <w:spacing w:after="0" w:line="266" w:lineRule="auto"/>
        <w:ind w:left="320" w:firstLine="20"/>
      </w:pPr>
      <w:r>
        <w:t>který kouzelně zachycuje živelnou a životem přímo překy</w:t>
      </w:r>
      <w:r>
        <w:softHyphen/>
        <w:t xml:space="preserve">pující symfonii </w:t>
      </w:r>
      <w:r>
        <w:t>amerického Bábelu, symfonii, v níž vedle temných tónů hoře a zoufalství slyšíme i chvějivou melodií krásy a naděje, zahajujeme v sešitech o 48 stranách po K 2.50 novou řadu knihovny levných vynikajících románů</w:t>
      </w:r>
    </w:p>
    <w:p w:rsidR="00500724" w:rsidRDefault="00F30FB8">
      <w:pPr>
        <w:spacing w:line="1" w:lineRule="exact"/>
        <w:rPr>
          <w:sz w:val="2"/>
          <w:szCs w:val="2"/>
        </w:rPr>
      </w:pPr>
      <w:r>
        <w:br w:type="column"/>
      </w:r>
    </w:p>
    <w:p w:rsidR="00500724" w:rsidRDefault="00F30FB8">
      <w:pPr>
        <w:pStyle w:val="Jin0"/>
        <w:shd w:val="clear" w:color="auto" w:fill="auto"/>
        <w:spacing w:after="60" w:line="211" w:lineRule="auto"/>
        <w:ind w:right="820" w:firstLine="0"/>
        <w:jc w:val="right"/>
        <w:rPr>
          <w:sz w:val="86"/>
          <w:szCs w:val="86"/>
        </w:rPr>
      </w:pPr>
      <w:r>
        <w:rPr>
          <w:rFonts w:ascii="Arial" w:eastAsia="Arial" w:hAnsi="Arial" w:cs="Arial"/>
          <w:b/>
          <w:bCs/>
          <w:w w:val="60"/>
          <w:sz w:val="86"/>
          <w:szCs w:val="86"/>
        </w:rPr>
        <w:t>Obchod uhlím Živnostenské banky</w:t>
      </w:r>
    </w:p>
    <w:p w:rsidR="00500724" w:rsidRDefault="00F30FB8">
      <w:pPr>
        <w:pStyle w:val="Zkladntext100"/>
        <w:shd w:val="clear" w:color="auto" w:fill="auto"/>
        <w:spacing w:after="600" w:line="343" w:lineRule="auto"/>
        <w:ind w:right="820" w:firstLine="0"/>
        <w:jc w:val="right"/>
        <w:rPr>
          <w:sz w:val="19"/>
          <w:szCs w:val="19"/>
        </w:rPr>
      </w:pPr>
      <w:r>
        <w:rPr>
          <w:b/>
          <w:bCs/>
          <w:sz w:val="19"/>
          <w:szCs w:val="19"/>
        </w:rPr>
        <w:t xml:space="preserve">PRAHA IL, JUNGMANNOVA Tfi. C. 1 Telefon 329.51 </w:t>
      </w:r>
      <w:r>
        <w:rPr>
          <w:b/>
          <w:bCs/>
          <w:sz w:val="19"/>
          <w:szCs w:val="19"/>
          <w:lang w:val="en-US" w:eastAsia="en-US" w:bidi="en-US"/>
        </w:rPr>
        <w:t>serie</w:t>
      </w:r>
    </w:p>
    <w:p w:rsidR="00500724" w:rsidRDefault="00F30FB8">
      <w:pPr>
        <w:pStyle w:val="Zkladntext20"/>
        <w:shd w:val="clear" w:color="auto" w:fill="auto"/>
        <w:spacing w:line="288" w:lineRule="auto"/>
        <w:ind w:firstLine="0"/>
        <w:rPr>
          <w:sz w:val="20"/>
          <w:szCs w:val="20"/>
        </w:rPr>
      </w:pPr>
      <w:r>
        <w:rPr>
          <w:sz w:val="20"/>
          <w:szCs w:val="20"/>
        </w:rPr>
        <w:t>FILIÁLKY:</w:t>
      </w:r>
    </w:p>
    <w:p w:rsidR="00500724" w:rsidRDefault="00F30FB8">
      <w:pPr>
        <w:pStyle w:val="Zkladntext100"/>
        <w:shd w:val="clear" w:color="auto" w:fill="auto"/>
        <w:spacing w:after="180" w:line="302" w:lineRule="auto"/>
        <w:ind w:left="900" w:firstLine="0"/>
        <w:jc w:val="left"/>
        <w:rPr>
          <w:sz w:val="19"/>
          <w:szCs w:val="19"/>
        </w:rPr>
      </w:pPr>
      <w:r>
        <w:rPr>
          <w:b/>
          <w:bCs/>
          <w:sz w:val="19"/>
          <w:szCs w:val="19"/>
        </w:rPr>
        <w:t>BRNO, telefon č. 110-81, 110-82 MOR. OSTRAVA, telefon č. 3602, 3603 BRATISLAVA, telefon č. 1483</w:t>
      </w:r>
    </w:p>
    <w:p w:rsidR="00500724" w:rsidRDefault="00F30FB8">
      <w:pPr>
        <w:pStyle w:val="Zkladntext100"/>
        <w:shd w:val="clear" w:color="auto" w:fill="auto"/>
        <w:spacing w:after="180" w:line="302" w:lineRule="auto"/>
        <w:ind w:firstLine="0"/>
        <w:rPr>
          <w:sz w:val="19"/>
          <w:szCs w:val="19"/>
        </w:rPr>
      </w:pPr>
      <w:r>
        <w:rPr>
          <w:b/>
          <w:bCs/>
          <w:sz w:val="19"/>
          <w:szCs w:val="19"/>
        </w:rPr>
        <w:t>Telegrafická adresa: ŽIVNOCARBO</w:t>
      </w:r>
    </w:p>
    <w:p w:rsidR="00500724" w:rsidRDefault="00F30FB8">
      <w:pPr>
        <w:pStyle w:val="Zkladntext100"/>
        <w:shd w:val="clear" w:color="auto" w:fill="auto"/>
        <w:spacing w:line="300" w:lineRule="auto"/>
        <w:ind w:firstLine="0"/>
        <w:rPr>
          <w:sz w:val="19"/>
          <w:szCs w:val="19"/>
        </w:rPr>
        <w:sectPr w:rsidR="00500724">
          <w:footnotePr>
            <w:numFmt w:val="chicago"/>
            <w:numRestart w:val="eachPage"/>
          </w:footnotePr>
          <w:pgSz w:w="11909" w:h="16834"/>
          <w:pgMar w:top="862" w:right="1196" w:bottom="854" w:left="629" w:header="0" w:footer="3" w:gutter="0"/>
          <w:cols w:num="2" w:space="720" w:equalWidth="0">
            <w:col w:w="4901" w:space="850"/>
            <w:col w:w="4334"/>
          </w:cols>
          <w:noEndnote/>
          <w:docGrid w:linePitch="360"/>
        </w:sectPr>
      </w:pPr>
      <w:r>
        <w:rPr>
          <w:b/>
          <w:bCs/>
          <w:sz w:val="19"/>
          <w:szCs w:val="19"/>
        </w:rPr>
        <w:t xml:space="preserve">Komisionářský prodej uhlí a </w:t>
      </w:r>
      <w:r>
        <w:rPr>
          <w:b/>
          <w:bCs/>
          <w:sz w:val="19"/>
          <w:szCs w:val="19"/>
        </w:rPr>
        <w:t>koksu z revíru ostravsko-karvínského. Export koksu do Polska, Jugoslávie, Bulharska atd. Prodej la dřevěného uhlí retortního bukového.</w:t>
      </w:r>
    </w:p>
    <w:p w:rsidR="00500724" w:rsidRDefault="00F30FB8">
      <w:pPr>
        <w:pStyle w:val="Jin0"/>
        <w:framePr w:w="4008" w:h="528" w:wrap="none" w:vAnchor="text" w:hAnchor="page" w:x="6471" w:y="865"/>
        <w:shd w:val="clear" w:color="auto" w:fill="auto"/>
        <w:ind w:firstLine="0"/>
        <w:jc w:val="left"/>
        <w:rPr>
          <w:sz w:val="42"/>
          <w:szCs w:val="42"/>
        </w:rPr>
      </w:pPr>
      <w:r>
        <w:rPr>
          <w:rFonts w:ascii="Arial" w:eastAsia="Arial" w:hAnsi="Arial" w:cs="Arial"/>
          <w:sz w:val="26"/>
          <w:szCs w:val="26"/>
        </w:rPr>
        <w:t xml:space="preserve">Čtěte </w:t>
      </w:r>
      <w:r>
        <w:rPr>
          <w:rFonts w:ascii="Cambria" w:eastAsia="Cambria" w:hAnsi="Cambria" w:cs="Cambria"/>
          <w:i/>
          <w:iCs/>
          <w:sz w:val="42"/>
          <w:szCs w:val="42"/>
        </w:rPr>
        <w:t>LIDOVÉ NOVINY</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43" w:line="14" w:lineRule="exact"/>
      </w:pPr>
    </w:p>
    <w:p w:rsidR="00500724" w:rsidRDefault="00500724">
      <w:pPr>
        <w:spacing w:line="14" w:lineRule="exact"/>
        <w:sectPr w:rsidR="00500724">
          <w:footnotePr>
            <w:numFmt w:val="chicago"/>
            <w:numRestart w:val="eachPage"/>
          </w:footnotePr>
          <w:type w:val="continuous"/>
          <w:pgSz w:w="11909" w:h="16834"/>
          <w:pgMar w:top="862" w:right="1196" w:bottom="854" w:left="629" w:header="0" w:footer="3" w:gutter="0"/>
          <w:cols w:space="720"/>
          <w:noEndnote/>
          <w:docGrid w:linePitch="360"/>
        </w:sectPr>
      </w:pPr>
    </w:p>
    <w:p w:rsidR="00500724" w:rsidRDefault="00F30FB8">
      <w:pPr>
        <w:spacing w:line="14" w:lineRule="exact"/>
      </w:pPr>
      <w:r>
        <w:rPr>
          <w:noProof/>
        </w:rPr>
        <mc:AlternateContent>
          <mc:Choice Requires="wps">
            <w:drawing>
              <wp:anchor distT="0" distB="344170" distL="114300" distR="168910" simplePos="0" relativeHeight="125829756" behindDoc="0" locked="0" layoutInCell="1" allowOverlap="1">
                <wp:simplePos x="0" y="0"/>
                <wp:positionH relativeFrom="page">
                  <wp:posOffset>4239895</wp:posOffset>
                </wp:positionH>
                <wp:positionV relativeFrom="paragraph">
                  <wp:posOffset>12700</wp:posOffset>
                </wp:positionV>
                <wp:extent cx="2237105" cy="216535"/>
                <wp:effectExtent l="0" t="0" r="0" b="0"/>
                <wp:wrapTopAndBottom/>
                <wp:docPr id="379" name="Shape 379"/>
                <wp:cNvGraphicFramePr/>
                <a:graphic xmlns:a="http://schemas.openxmlformats.org/drawingml/2006/main">
                  <a:graphicData uri="http://schemas.microsoft.com/office/word/2010/wordprocessingShape">
                    <wps:wsp>
                      <wps:cNvSpPr txBox="1"/>
                      <wps:spPr>
                        <a:xfrm>
                          <a:off x="0" y="0"/>
                          <a:ext cx="2237105" cy="216535"/>
                        </a:xfrm>
                        <a:prstGeom prst="rect">
                          <a:avLst/>
                        </a:prstGeom>
                        <a:noFill/>
                      </wps:spPr>
                      <wps:txbx>
                        <w:txbxContent>
                          <w:p w:rsidR="00500724" w:rsidRDefault="00F30FB8">
                            <w:pPr>
                              <w:pStyle w:val="Zkladntext20"/>
                              <w:shd w:val="clear" w:color="auto" w:fill="auto"/>
                              <w:spacing w:line="240" w:lineRule="auto"/>
                              <w:ind w:firstLine="0"/>
                              <w:jc w:val="left"/>
                            </w:pPr>
                            <w:r>
                              <w:rPr>
                                <w:b/>
                                <w:bCs/>
                                <w:u w:val="single"/>
                              </w:rPr>
                              <w:t>j Učebnice, které nezklamou!</w:t>
                            </w:r>
                          </w:p>
                        </w:txbxContent>
                      </wps:txbx>
                      <wps:bodyPr lIns="0" tIns="0" rIns="0" bIns="0">
                        <a:spAutoFit/>
                      </wps:bodyPr>
                    </wps:wsp>
                  </a:graphicData>
                </a:graphic>
              </wp:anchor>
            </w:drawing>
          </mc:Choice>
          <mc:Fallback>
            <w:pict>
              <v:shape id="_x0000_s1405" type="#_x0000_t202" style="position:absolute;margin-left:333.85000000000002pt;margin-top:1.pt;width:176.15000000000001pt;height:17.050000000000001pt;z-index:-125828997;mso-wrap-distance-left:9.pt;mso-wrap-distance-right:13.300000000000001pt;mso-wrap-distance-bottom:27.100000000000001pt;mso-position-horizontal-relative:page"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u w:val="single"/>
                          <w:shd w:val="clear" w:color="auto" w:fill="auto"/>
                          <w:lang w:val="cs-CZ" w:eastAsia="cs-CZ" w:bidi="cs-CZ"/>
                        </w:rPr>
                        <w:t>j Učebnice, které nezklamou!</w:t>
                      </w:r>
                    </w:p>
                  </w:txbxContent>
                </v:textbox>
                <w10:wrap type="topAndBottom" anchorx="page"/>
              </v:shape>
            </w:pict>
          </mc:Fallback>
        </mc:AlternateContent>
      </w:r>
      <w:r>
        <w:rPr>
          <w:noProof/>
        </w:rPr>
        <mc:AlternateContent>
          <mc:Choice Requires="wps">
            <w:drawing>
              <wp:anchor distT="213360" distB="0" distL="178435" distR="114300" simplePos="0" relativeHeight="125829758" behindDoc="0" locked="0" layoutInCell="1" allowOverlap="1">
                <wp:simplePos x="0" y="0"/>
                <wp:positionH relativeFrom="page">
                  <wp:posOffset>4304030</wp:posOffset>
                </wp:positionH>
                <wp:positionV relativeFrom="paragraph">
                  <wp:posOffset>226060</wp:posOffset>
                </wp:positionV>
                <wp:extent cx="2228215" cy="347345"/>
                <wp:effectExtent l="0" t="0" r="0" b="0"/>
                <wp:wrapTopAndBottom/>
                <wp:docPr id="381" name="Shape 381"/>
                <wp:cNvGraphicFramePr/>
                <a:graphic xmlns:a="http://schemas.openxmlformats.org/drawingml/2006/main">
                  <a:graphicData uri="http://schemas.microsoft.com/office/word/2010/wordprocessingShape">
                    <wps:wsp>
                      <wps:cNvSpPr txBox="1"/>
                      <wps:spPr>
                        <a:xfrm>
                          <a:off x="0" y="0"/>
                          <a:ext cx="2228215" cy="3473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6"/>
                                <w:szCs w:val="36"/>
                              </w:rPr>
                            </w:pPr>
                            <w:r>
                              <w:rPr>
                                <w:rFonts w:ascii="Arial" w:eastAsia="Arial" w:hAnsi="Arial" w:cs="Arial"/>
                                <w:b/>
                                <w:bCs/>
                                <w:smallCaps/>
                                <w:color w:val="FFFFFF"/>
                                <w:sz w:val="36"/>
                                <w:szCs w:val="36"/>
                              </w:rPr>
                              <w:t>NĚMECKYodApoZ</w:t>
                            </w:r>
                          </w:p>
                        </w:txbxContent>
                      </wps:txbx>
                      <wps:bodyPr lIns="0" tIns="0" rIns="0" bIns="0">
                        <a:spAutoFit/>
                      </wps:bodyPr>
                    </wps:wsp>
                  </a:graphicData>
                </a:graphic>
              </wp:anchor>
            </w:drawing>
          </mc:Choice>
          <mc:Fallback>
            <w:pict>
              <v:shape id="_x0000_s1407" type="#_x0000_t202" style="position:absolute;margin-left:338.89999999999998pt;margin-top:17.800000000000001pt;width:175.44999999999999pt;height:27.350000000000001pt;z-index:-125828995;mso-wrap-distance-left:14.050000000000001pt;mso-wrap-distance-top:16.800000000000001pt;mso-wrap-distance-right:9.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6"/>
                          <w:szCs w:val="36"/>
                        </w:rPr>
                      </w:pPr>
                      <w:r>
                        <w:rPr>
                          <w:rFonts w:ascii="Arial" w:eastAsia="Arial" w:hAnsi="Arial" w:cs="Arial"/>
                          <w:b/>
                          <w:bCs/>
                          <w:smallCaps/>
                          <w:color w:val="FFFFFF"/>
                          <w:spacing w:val="0"/>
                          <w:w w:val="100"/>
                          <w:position w:val="0"/>
                          <w:sz w:val="36"/>
                          <w:szCs w:val="36"/>
                          <w:shd w:val="clear" w:color="auto" w:fill="auto"/>
                          <w:lang w:val="cs-CZ" w:eastAsia="cs-CZ" w:bidi="cs-CZ"/>
                        </w:rPr>
                        <w:t>NĚMECKYodApoZ</w:t>
                      </w:r>
                    </w:p>
                  </w:txbxContent>
                </v:textbox>
                <w10:wrap type="topAndBottom" anchorx="page"/>
              </v:shape>
            </w:pict>
          </mc:Fallback>
        </mc:AlternateContent>
      </w:r>
    </w:p>
    <w:p w:rsidR="00500724" w:rsidRDefault="00F30FB8">
      <w:pPr>
        <w:pStyle w:val="Zkladntext40"/>
        <w:shd w:val="clear" w:color="auto" w:fill="auto"/>
        <w:spacing w:after="0" w:line="240" w:lineRule="auto"/>
        <w:ind w:right="420"/>
        <w:rPr>
          <w:sz w:val="16"/>
          <w:szCs w:val="16"/>
        </w:rPr>
      </w:pPr>
      <w:r>
        <w:rPr>
          <w:b/>
          <w:bCs/>
          <w:sz w:val="16"/>
          <w:szCs w:val="16"/>
        </w:rPr>
        <w:t xml:space="preserve">Knihovna NOVÝ </w:t>
      </w:r>
      <w:r>
        <w:rPr>
          <w:b/>
          <w:bCs/>
          <w:sz w:val="16"/>
          <w:szCs w:val="16"/>
        </w:rPr>
        <w:t>SVĚT bude vycházeti v sešitech v pravi</w:t>
      </w:r>
      <w:r>
        <w:rPr>
          <w:b/>
          <w:bCs/>
          <w:sz w:val="16"/>
          <w:szCs w:val="16"/>
        </w:rPr>
        <w:softHyphen/>
        <w:t xml:space="preserve">delných čtrnáctidenních lhůtách. Prvni sešit výjimečně o </w:t>
      </w:r>
      <w:r>
        <w:rPr>
          <w:b/>
          <w:bCs/>
          <w:sz w:val="16"/>
          <w:szCs w:val="16"/>
          <w:lang w:val="en-US" w:eastAsia="en-US" w:bidi="en-US"/>
        </w:rPr>
        <w:t xml:space="preserve">IS </w:t>
      </w:r>
      <w:r>
        <w:rPr>
          <w:b/>
          <w:bCs/>
          <w:sz w:val="16"/>
          <w:szCs w:val="16"/>
        </w:rPr>
        <w:t>stranách bude státi jen SO haléřů a každý knihkupec nebo přimo nakladatelství pošle jej na ukázku všem, kdo sl jej vyžádají. Další sešity již o 48 stranách b</w:t>
      </w:r>
      <w:r>
        <w:rPr>
          <w:b/>
          <w:bCs/>
          <w:sz w:val="16"/>
          <w:szCs w:val="16"/>
        </w:rPr>
        <w:t>udou státi jednotlivě K 2.50. Na každý svazek vydáme také levné ori</w:t>
      </w:r>
      <w:r>
        <w:rPr>
          <w:b/>
          <w:bCs/>
          <w:sz w:val="16"/>
          <w:szCs w:val="16"/>
        </w:rPr>
        <w:softHyphen/>
        <w:t>ginální desky. Upozorňujeme zároveň, že jednotlivé knihy po ukončení sešitového vydáni v brožovaných svazcích bu</w:t>
      </w:r>
      <w:r>
        <w:rPr>
          <w:b/>
          <w:bCs/>
          <w:sz w:val="16"/>
          <w:szCs w:val="16"/>
        </w:rPr>
        <w:softHyphen/>
        <w:t>dou poněkud dražší.</w:t>
      </w:r>
    </w:p>
    <w:p w:rsidR="00500724" w:rsidRDefault="00F30FB8">
      <w:pPr>
        <w:pStyle w:val="Zkladntext40"/>
        <w:shd w:val="clear" w:color="auto" w:fill="auto"/>
        <w:spacing w:after="360" w:line="262" w:lineRule="auto"/>
        <w:ind w:right="420"/>
      </w:pPr>
      <w:r>
        <w:t>Knihovna NOVÝ SVÉT se předplácí takto: Na prvních 5 se</w:t>
      </w:r>
      <w:r>
        <w:softHyphen/>
      </w:r>
      <w:r>
        <w:t>šitů K 10.75 I s poštovným: na každých dalších 5 sešitů K 12.75 i s poštovným. Knihovna NOVÝ SVÉT poskytuje Jedlneěnou příležitost získati nejlepší romány světové lite</w:t>
      </w:r>
      <w:r>
        <w:softHyphen/>
        <w:t>ratury, přeložené nejosvědčenějšími z našich překladatelů, za peníz opravdu levný. Uvážl</w:t>
      </w:r>
      <w:r>
        <w:t>me-11, že rozpočet odběratelů zatěžuje nepatrným obnosem K 2.50 jednou za čtrnáct dni a že svazky jsou vkusně a dokonale upraveny a vzorně vytištěny na dobrém dílovém papíře, pak jistě přiznáme, že NOVÝ SVÉT patří k nejlepším edicím svého druhu. Nadto vych</w:t>
      </w:r>
      <w:r>
        <w:t>ází co nejvíce vstříc čtenářům, dychtivým i dnes četby, která by Jim v kouzelném zrcadle svého bohatého děje a vypravěčského umění zobrazila celý svět.</w:t>
      </w:r>
    </w:p>
    <w:p w:rsidR="00500724" w:rsidRDefault="00F30FB8">
      <w:pPr>
        <w:pStyle w:val="Zkladntext100"/>
        <w:shd w:val="clear" w:color="auto" w:fill="auto"/>
        <w:spacing w:after="120" w:line="240" w:lineRule="auto"/>
        <w:ind w:firstLine="0"/>
        <w:rPr>
          <w:sz w:val="19"/>
          <w:szCs w:val="19"/>
        </w:rPr>
      </w:pPr>
      <w:r>
        <w:rPr>
          <w:b/>
          <w:bCs/>
          <w:sz w:val="19"/>
          <w:szCs w:val="19"/>
        </w:rPr>
        <w:t>Dodá každý knihkupec nebo nakladatelství</w:t>
      </w:r>
    </w:p>
    <w:p w:rsidR="00500724" w:rsidRDefault="00F30FB8">
      <w:pPr>
        <w:pStyle w:val="Jin0"/>
        <w:shd w:val="clear" w:color="auto" w:fill="auto"/>
        <w:spacing w:after="120"/>
        <w:ind w:firstLine="0"/>
        <w:rPr>
          <w:sz w:val="26"/>
          <w:szCs w:val="26"/>
        </w:rPr>
      </w:pPr>
      <w:r>
        <w:rPr>
          <w:rFonts w:ascii="Arial" w:eastAsia="Arial" w:hAnsi="Arial" w:cs="Arial"/>
          <w:b/>
          <w:bCs/>
          <w:sz w:val="26"/>
          <w:szCs w:val="26"/>
        </w:rPr>
        <w:t>FR. BOROVÝ - PRAHA</w:t>
      </w:r>
    </w:p>
    <w:p w:rsidR="00500724" w:rsidRDefault="00F30FB8">
      <w:pPr>
        <w:pStyle w:val="Zkladntext40"/>
        <w:shd w:val="clear" w:color="auto" w:fill="auto"/>
        <w:spacing w:after="0" w:line="240" w:lineRule="auto"/>
        <w:ind w:left="740"/>
        <w:rPr>
          <w:sz w:val="16"/>
          <w:szCs w:val="16"/>
        </w:rPr>
      </w:pPr>
      <w:r>
        <w:rPr>
          <w:b/>
          <w:bCs/>
          <w:sz w:val="16"/>
          <w:szCs w:val="16"/>
        </w:rPr>
        <w:t>Zpracoval B. H. KAOťS</w:t>
      </w:r>
    </w:p>
    <w:p w:rsidR="00500724" w:rsidRDefault="00F30FB8">
      <w:pPr>
        <w:pStyle w:val="Zkladntext100"/>
        <w:shd w:val="clear" w:color="auto" w:fill="auto"/>
        <w:spacing w:line="185" w:lineRule="auto"/>
        <w:ind w:left="740" w:right="1080" w:firstLine="0"/>
      </w:pPr>
      <w:r>
        <w:t xml:space="preserve">Moderní metoda! </w:t>
      </w:r>
      <w:r>
        <w:t>Vědecká úroveň! Živý výklad! Praktické uspořádání! 50 lekcí! 446 stran.</w:t>
      </w:r>
    </w:p>
    <w:p w:rsidR="00500724" w:rsidRDefault="00F30FB8">
      <w:pPr>
        <w:pStyle w:val="Zkladntext100"/>
        <w:shd w:val="clear" w:color="auto" w:fill="auto"/>
        <w:tabs>
          <w:tab w:val="left" w:pos="3241"/>
        </w:tabs>
        <w:spacing w:after="120" w:line="185" w:lineRule="auto"/>
        <w:ind w:left="740" w:right="1080" w:firstLine="0"/>
      </w:pPr>
      <w:r>
        <w:rPr>
          <w:i/>
          <w:iCs/>
        </w:rPr>
        <w:t>Dokonale upravený svazek v poloplátčně vazbě je za</w:t>
      </w:r>
      <w:r>
        <w:tab/>
        <w:t>K 60.—.</w:t>
      </w:r>
    </w:p>
    <w:p w:rsidR="00500724" w:rsidRDefault="00F30FB8">
      <w:pPr>
        <w:pStyle w:val="Zkladntext100"/>
        <w:shd w:val="clear" w:color="auto" w:fill="auto"/>
        <w:spacing w:line="185" w:lineRule="auto"/>
        <w:ind w:left="740" w:firstLine="0"/>
      </w:pPr>
      <w:r>
        <w:rPr>
          <w:i/>
          <w:iCs/>
        </w:rPr>
        <w:t>Rychlým, kursem němčiny jest příručka</w:t>
      </w:r>
    </w:p>
    <w:p w:rsidR="00500724" w:rsidRDefault="00F30FB8">
      <w:pPr>
        <w:pStyle w:val="Jin0"/>
        <w:shd w:val="clear" w:color="auto" w:fill="auto"/>
        <w:ind w:left="340" w:firstLine="0"/>
        <w:jc w:val="center"/>
        <w:rPr>
          <w:sz w:val="32"/>
          <w:szCs w:val="32"/>
        </w:rPr>
      </w:pPr>
      <w:r>
        <w:rPr>
          <w:rFonts w:ascii="Arial" w:eastAsia="Arial" w:hAnsi="Arial" w:cs="Arial"/>
          <w:b/>
          <w:bCs/>
          <w:sz w:val="32"/>
          <w:szCs w:val="32"/>
        </w:rPr>
        <w:t>ČECH MEZI NĚMCI</w:t>
      </w:r>
    </w:p>
    <w:p w:rsidR="00500724" w:rsidRDefault="00F30FB8">
      <w:pPr>
        <w:pStyle w:val="Zkladntext100"/>
        <w:shd w:val="clear" w:color="auto" w:fill="auto"/>
        <w:tabs>
          <w:tab w:val="left" w:pos="2866"/>
        </w:tabs>
        <w:spacing w:after="100" w:line="185" w:lineRule="auto"/>
        <w:ind w:left="740" w:right="1080" w:firstLine="0"/>
      </w:pPr>
      <w:r>
        <w:t xml:space="preserve">Na malém prostoru je zpracována látka velkých učebnic a slovníků. </w:t>
      </w:r>
      <w:r>
        <w:t>Praktická úprava a formát!</w:t>
      </w:r>
      <w:r>
        <w:tab/>
        <w:t>Váz. K 20.—■</w:t>
      </w:r>
    </w:p>
    <w:p w:rsidR="00500724" w:rsidRDefault="00F30FB8">
      <w:pPr>
        <w:pStyle w:val="Zkladntext100"/>
        <w:shd w:val="clear" w:color="auto" w:fill="auto"/>
        <w:spacing w:after="80" w:line="185" w:lineRule="auto"/>
        <w:ind w:left="740" w:firstLine="0"/>
      </w:pPr>
      <w:r>
        <w:rPr>
          <w:i/>
          <w:iCs/>
        </w:rPr>
        <w:t>Veselá učebnice němčiny pro děti</w:t>
      </w:r>
    </w:p>
    <w:p w:rsidR="00500724" w:rsidRDefault="00F30FB8">
      <w:pPr>
        <w:pStyle w:val="Zkladntext40"/>
        <w:shd w:val="clear" w:color="auto" w:fill="auto"/>
        <w:spacing w:after="0" w:line="240" w:lineRule="auto"/>
        <w:ind w:left="740"/>
        <w:rPr>
          <w:sz w:val="22"/>
          <w:szCs w:val="22"/>
        </w:rPr>
      </w:pPr>
      <w:r>
        <w:rPr>
          <w:b/>
          <w:bCs/>
          <w:sz w:val="14"/>
          <w:szCs w:val="14"/>
        </w:rPr>
        <w:t xml:space="preserve">S. WíiTJJGK, </w:t>
      </w:r>
      <w:r>
        <w:rPr>
          <w:rFonts w:ascii="Arial" w:eastAsia="Arial" w:hAnsi="Arial" w:cs="Arial"/>
          <w:b/>
          <w:bCs/>
          <w:sz w:val="22"/>
          <w:szCs w:val="22"/>
        </w:rPr>
        <w:t>LACHEN</w:t>
      </w:r>
    </w:p>
    <w:p w:rsidR="00500724" w:rsidRDefault="00F30FB8">
      <w:pPr>
        <w:pStyle w:val="Nadpis110"/>
        <w:shd w:val="clear" w:color="auto" w:fill="auto"/>
        <w:ind w:left="1840"/>
      </w:pPr>
      <w:bookmarkStart w:id="373" w:name="bookmark372"/>
      <w:r>
        <w:t>UND LERNEN</w:t>
      </w:r>
      <w:bookmarkEnd w:id="373"/>
    </w:p>
    <w:p w:rsidR="00500724" w:rsidRDefault="00F30FB8">
      <w:pPr>
        <w:pStyle w:val="Zkladntext100"/>
        <w:shd w:val="clear" w:color="auto" w:fill="auto"/>
        <w:tabs>
          <w:tab w:val="left" w:pos="1777"/>
        </w:tabs>
        <w:spacing w:line="180" w:lineRule="auto"/>
        <w:ind w:left="740" w:right="1080" w:firstLine="0"/>
      </w:pPr>
      <w:r>
        <w:t>Učeni pomoci obrázků, které je hrou! Od hodiny k hodině učí se děti řeči bez ob</w:t>
      </w:r>
      <w:r>
        <w:softHyphen/>
        <w:t>tíží.</w:t>
      </w:r>
      <w:r>
        <w:tab/>
        <w:t>Brož. K S3.—, váz, K 45.—.</w:t>
      </w:r>
    </w:p>
    <w:p w:rsidR="00500724" w:rsidRDefault="00F30FB8">
      <w:pPr>
        <w:pStyle w:val="Zkladntext100"/>
        <w:shd w:val="clear" w:color="auto" w:fill="auto"/>
        <w:spacing w:line="185" w:lineRule="auto"/>
        <w:ind w:left="740" w:right="1080" w:firstLine="0"/>
      </w:pPr>
      <w:r>
        <w:rPr>
          <w:b/>
          <w:bCs/>
        </w:rPr>
        <w:t xml:space="preserve">Vyzbrojte se pro život! Učte se řečem! </w:t>
      </w:r>
      <w:r>
        <w:rPr>
          <w:b/>
          <w:bCs/>
        </w:rPr>
        <w:t>Napište si o náš úplný seznam jazyko</w:t>
      </w:r>
      <w:r>
        <w:rPr>
          <w:b/>
          <w:bCs/>
        </w:rPr>
        <w:softHyphen/>
        <w:t>vých učebnic!</w:t>
      </w:r>
    </w:p>
    <w:p w:rsidR="00500724" w:rsidRDefault="00F30FB8">
      <w:pPr>
        <w:pStyle w:val="Zkladntext100"/>
        <w:shd w:val="clear" w:color="auto" w:fill="auto"/>
        <w:spacing w:after="220" w:line="185" w:lineRule="auto"/>
        <w:ind w:left="740" w:firstLine="0"/>
      </w:pPr>
      <w:r>
        <w:t>DODÁ KAŽDÝ KNIHKUPEC!</w:t>
      </w:r>
    </w:p>
    <w:p w:rsidR="00500724" w:rsidRDefault="00F30FB8">
      <w:pPr>
        <w:pStyle w:val="Zkladntext50"/>
        <w:shd w:val="clear" w:color="auto" w:fill="auto"/>
        <w:tabs>
          <w:tab w:val="left" w:pos="3054"/>
        </w:tabs>
        <w:spacing w:after="0" w:line="185" w:lineRule="auto"/>
        <w:ind w:left="740"/>
        <w:rPr>
          <w:sz w:val="18"/>
          <w:szCs w:val="18"/>
        </w:rPr>
        <w:sectPr w:rsidR="00500724">
          <w:footnotePr>
            <w:numFmt w:val="chicago"/>
            <w:numRestart w:val="eachPage"/>
          </w:footnotePr>
          <w:type w:val="continuous"/>
          <w:pgSz w:w="11909" w:h="16834"/>
          <w:pgMar w:top="862" w:right="692" w:bottom="854" w:left="946" w:header="0" w:footer="3" w:gutter="0"/>
          <w:cols w:num="2" w:sep="1" w:space="202"/>
          <w:noEndnote/>
          <w:docGrid w:linePitch="360"/>
        </w:sectPr>
      </w:pPr>
      <w:r>
        <w:rPr>
          <w:b/>
          <w:bCs/>
          <w:sz w:val="18"/>
          <w:szCs w:val="18"/>
        </w:rPr>
        <w:t>Nakladatelství</w:t>
      </w:r>
      <w:r>
        <w:rPr>
          <w:b/>
          <w:bCs/>
          <w:sz w:val="18"/>
          <w:szCs w:val="18"/>
        </w:rPr>
        <w:tab/>
        <w:t>Praha XII</w:t>
      </w:r>
    </w:p>
    <w:p w:rsidR="00500724" w:rsidRDefault="00500724">
      <w:pPr>
        <w:rPr>
          <w:sz w:val="2"/>
          <w:szCs w:val="2"/>
        </w:rPr>
        <w:sectPr w:rsidR="00500724">
          <w:footnotePr>
            <w:numFmt w:val="chicago"/>
            <w:numRestart w:val="eachPage"/>
          </w:footnotePr>
          <w:type w:val="continuous"/>
          <w:pgSz w:w="11909" w:h="16834"/>
          <w:pgMar w:top="862" w:right="692" w:bottom="854" w:left="946" w:header="0" w:footer="3" w:gutter="0"/>
          <w:cols w:num="2" w:sep="1" w:space="202"/>
          <w:noEndnote/>
          <w:docGrid w:linePitch="360"/>
        </w:sectPr>
      </w:pPr>
    </w:p>
    <w:p w:rsidR="00500724" w:rsidRDefault="00500724">
      <w:pPr>
        <w:spacing w:line="14"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82"/>
        <w:gridCol w:w="3394"/>
      </w:tblGrid>
      <w:tr w:rsidR="00500724">
        <w:tblPrEx>
          <w:tblCellMar>
            <w:top w:w="0" w:type="dxa"/>
            <w:bottom w:w="0" w:type="dxa"/>
          </w:tblCellMar>
        </w:tblPrEx>
        <w:trPr>
          <w:trHeight w:hRule="exact" w:val="811"/>
          <w:jc w:val="center"/>
        </w:trPr>
        <w:tc>
          <w:tcPr>
            <w:tcW w:w="0" w:type="auto"/>
            <w:shd w:val="clear" w:color="auto" w:fill="FFFFFF"/>
          </w:tcPr>
          <w:p w:rsidR="00500724" w:rsidRDefault="00F30FB8">
            <w:pPr>
              <w:pStyle w:val="Jin0"/>
              <w:shd w:val="clear" w:color="auto" w:fill="auto"/>
              <w:ind w:left="160" w:firstLine="0"/>
              <w:jc w:val="left"/>
              <w:rPr>
                <w:sz w:val="58"/>
                <w:szCs w:val="58"/>
              </w:rPr>
            </w:pPr>
            <w:r>
              <w:rPr>
                <w:sz w:val="58"/>
                <w:szCs w:val="58"/>
              </w:rPr>
              <w:t>Panika s knihami</w:t>
            </w:r>
          </w:p>
        </w:tc>
        <w:tc>
          <w:tcPr>
            <w:tcW w:w="0" w:type="auto"/>
            <w:shd w:val="clear" w:color="auto" w:fill="FFFFFF"/>
            <w:vAlign w:val="center"/>
          </w:tcPr>
          <w:p w:rsidR="00500724" w:rsidRDefault="00F30FB8">
            <w:pPr>
              <w:pStyle w:val="Jin0"/>
              <w:shd w:val="clear" w:color="auto" w:fill="auto"/>
              <w:ind w:firstLine="0"/>
              <w:jc w:val="right"/>
              <w:rPr>
                <w:sz w:val="26"/>
                <w:szCs w:val="26"/>
              </w:rPr>
            </w:pPr>
            <w:r>
              <w:rPr>
                <w:sz w:val="26"/>
                <w:szCs w:val="26"/>
              </w:rPr>
              <w:t>EDUARD SCHMIDT-BASS</w:t>
            </w:r>
          </w:p>
        </w:tc>
      </w:tr>
      <w:tr w:rsidR="00500724">
        <w:tblPrEx>
          <w:tblCellMar>
            <w:top w:w="0" w:type="dxa"/>
            <w:bottom w:w="0" w:type="dxa"/>
          </w:tblCellMar>
        </w:tblPrEx>
        <w:trPr>
          <w:trHeight w:hRule="exact" w:val="1162"/>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left="160" w:firstLine="0"/>
              <w:jc w:val="left"/>
              <w:rPr>
                <w:sz w:val="58"/>
                <w:szCs w:val="58"/>
              </w:rPr>
            </w:pPr>
            <w:r>
              <w:rPr>
                <w:sz w:val="58"/>
                <w:szCs w:val="58"/>
              </w:rPr>
              <w:t>Česká maminka</w:t>
            </w:r>
          </w:p>
        </w:tc>
        <w:tc>
          <w:tcPr>
            <w:tcW w:w="0" w:type="auto"/>
            <w:shd w:val="clear" w:color="auto" w:fill="FFFFFF"/>
            <w:vAlign w:val="center"/>
          </w:tcPr>
          <w:p w:rsidR="00500724" w:rsidRDefault="00F30FB8">
            <w:pPr>
              <w:pStyle w:val="Jin0"/>
              <w:shd w:val="clear" w:color="auto" w:fill="auto"/>
              <w:ind w:firstLine="0"/>
              <w:jc w:val="right"/>
              <w:rPr>
                <w:sz w:val="26"/>
                <w:szCs w:val="26"/>
              </w:rPr>
            </w:pPr>
            <w:r>
              <w:rPr>
                <w:sz w:val="26"/>
                <w:szCs w:val="26"/>
              </w:rPr>
              <w:t>MILENA JESENSKÁ</w:t>
            </w:r>
          </w:p>
        </w:tc>
      </w:tr>
      <w:tr w:rsidR="00500724">
        <w:tblPrEx>
          <w:tblCellMar>
            <w:top w:w="0" w:type="dxa"/>
            <w:bottom w:w="0" w:type="dxa"/>
          </w:tblCellMar>
        </w:tblPrEx>
        <w:trPr>
          <w:trHeight w:hRule="exact" w:val="1128"/>
          <w:jc w:val="center"/>
        </w:trPr>
        <w:tc>
          <w:tcPr>
            <w:tcW w:w="0" w:type="auto"/>
            <w:tcBorders>
              <w:top w:val="single" w:sz="4" w:space="0" w:color="auto"/>
            </w:tcBorders>
            <w:shd w:val="clear" w:color="auto" w:fill="FFFFFF"/>
            <w:vAlign w:val="bottom"/>
          </w:tcPr>
          <w:p w:rsidR="00500724" w:rsidRDefault="00F30FB8">
            <w:pPr>
              <w:pStyle w:val="Jin0"/>
              <w:shd w:val="clear" w:color="auto" w:fill="auto"/>
              <w:ind w:left="160" w:firstLine="0"/>
              <w:jc w:val="left"/>
              <w:rPr>
                <w:sz w:val="68"/>
                <w:szCs w:val="68"/>
              </w:rPr>
            </w:pPr>
            <w:r>
              <w:rPr>
                <w:rFonts w:ascii="Arial" w:eastAsia="Arial" w:hAnsi="Arial" w:cs="Arial"/>
                <w:b/>
                <w:bCs/>
                <w:w w:val="50"/>
                <w:sz w:val="68"/>
                <w:szCs w:val="68"/>
              </w:rPr>
              <w:t>Popolačoí probita ■ hvboá</w:t>
            </w:r>
            <w:r>
              <w:rPr>
                <w:rFonts w:ascii="Arial" w:eastAsia="Arial" w:hAnsi="Arial" w:cs="Arial"/>
                <w:b/>
                <w:bCs/>
                <w:w w:val="50"/>
                <w:sz w:val="68"/>
                <w:szCs w:val="68"/>
              </w:rPr>
              <w:t xml:space="preserve"> síla polilikv</w:t>
            </w:r>
          </w:p>
        </w:tc>
        <w:tc>
          <w:tcPr>
            <w:tcW w:w="0" w:type="auto"/>
            <w:tcBorders>
              <w:top w:val="single" w:sz="4" w:space="0" w:color="auto"/>
            </w:tcBorders>
            <w:shd w:val="clear" w:color="auto" w:fill="FFFFFF"/>
            <w:vAlign w:val="bottom"/>
          </w:tcPr>
          <w:p w:rsidR="00500724" w:rsidRDefault="00F30FB8">
            <w:pPr>
              <w:pStyle w:val="Jin0"/>
              <w:shd w:val="clear" w:color="auto" w:fill="auto"/>
              <w:ind w:firstLine="0"/>
              <w:jc w:val="right"/>
              <w:rPr>
                <w:sz w:val="26"/>
                <w:szCs w:val="26"/>
              </w:rPr>
            </w:pPr>
            <w:r>
              <w:rPr>
                <w:sz w:val="26"/>
                <w:szCs w:val="26"/>
              </w:rPr>
              <w:t xml:space="preserve">Dr. OTTO </w:t>
            </w:r>
            <w:r>
              <w:rPr>
                <w:sz w:val="26"/>
                <w:szCs w:val="26"/>
                <w:lang w:val="en-US" w:eastAsia="en-US" w:bidi="en-US"/>
              </w:rPr>
              <w:t>SCHMIDT</w:t>
            </w:r>
          </w:p>
        </w:tc>
      </w:tr>
      <w:tr w:rsidR="00500724">
        <w:tblPrEx>
          <w:tblCellMar>
            <w:top w:w="0" w:type="dxa"/>
            <w:bottom w:w="0" w:type="dxa"/>
          </w:tblCellMar>
        </w:tblPrEx>
        <w:trPr>
          <w:trHeight w:hRule="exact" w:val="1286"/>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left="160" w:firstLine="0"/>
              <w:jc w:val="left"/>
              <w:rPr>
                <w:sz w:val="58"/>
                <w:szCs w:val="58"/>
              </w:rPr>
            </w:pPr>
            <w:r>
              <w:rPr>
                <w:sz w:val="58"/>
                <w:szCs w:val="58"/>
              </w:rPr>
              <w:t>Podmínky dobré nálady</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JIR1 SOUMAR</w:t>
            </w:r>
          </w:p>
        </w:tc>
      </w:tr>
      <w:tr w:rsidR="00500724">
        <w:tblPrEx>
          <w:tblCellMar>
            <w:top w:w="0" w:type="dxa"/>
            <w:bottom w:w="0" w:type="dxa"/>
          </w:tblCellMar>
        </w:tblPrEx>
        <w:trPr>
          <w:trHeight w:hRule="exact" w:val="1210"/>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left="160" w:firstLine="0"/>
              <w:jc w:val="left"/>
              <w:rPr>
                <w:sz w:val="58"/>
                <w:szCs w:val="58"/>
              </w:rPr>
            </w:pPr>
            <w:r>
              <w:rPr>
                <w:sz w:val="58"/>
                <w:szCs w:val="58"/>
              </w:rPr>
              <w:t>Češi v německém slovníku</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JAN FRANK</w:t>
            </w:r>
          </w:p>
        </w:tc>
      </w:tr>
      <w:tr w:rsidR="00500724">
        <w:tblPrEx>
          <w:tblCellMar>
            <w:top w:w="0" w:type="dxa"/>
            <w:bottom w:w="0" w:type="dxa"/>
          </w:tblCellMar>
        </w:tblPrEx>
        <w:trPr>
          <w:trHeight w:hRule="exact" w:val="1296"/>
          <w:jc w:val="center"/>
        </w:trPr>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left="160" w:firstLine="0"/>
              <w:jc w:val="left"/>
              <w:rPr>
                <w:sz w:val="68"/>
                <w:szCs w:val="68"/>
              </w:rPr>
            </w:pPr>
            <w:r>
              <w:rPr>
                <w:rFonts w:ascii="Arial" w:eastAsia="Arial" w:hAnsi="Arial" w:cs="Arial"/>
                <w:b/>
                <w:bCs/>
                <w:w w:val="50"/>
                <w:sz w:val="68"/>
                <w:szCs w:val="68"/>
              </w:rPr>
              <w:t>Spon v feskíob oárodoich pohddkách</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A. MRÁZ</w:t>
            </w:r>
          </w:p>
        </w:tc>
      </w:tr>
    </w:tbl>
    <w:p w:rsidR="00500724" w:rsidRDefault="00500724">
      <w:pPr>
        <w:spacing w:after="546" w:line="14" w:lineRule="exact"/>
      </w:pPr>
    </w:p>
    <w:p w:rsidR="00500724" w:rsidRDefault="00F30FB8">
      <w:pPr>
        <w:pStyle w:val="Jin0"/>
        <w:shd w:val="clear" w:color="auto" w:fill="auto"/>
        <w:spacing w:line="276" w:lineRule="auto"/>
        <w:ind w:firstLine="0"/>
        <w:jc w:val="center"/>
        <w:rPr>
          <w:sz w:val="26"/>
          <w:szCs w:val="26"/>
        </w:rPr>
      </w:pPr>
      <w:r>
        <w:rPr>
          <w:b/>
          <w:bCs/>
          <w:sz w:val="26"/>
          <w:szCs w:val="26"/>
        </w:rPr>
        <w:t>Stále dost úkolů pro Kontrolní a úspornou komisi — Nové směry hospodářského myšlení</w:t>
      </w:r>
      <w:r>
        <w:rPr>
          <w:b/>
          <w:bCs/>
          <w:sz w:val="26"/>
          <w:szCs w:val="26"/>
        </w:rPr>
        <w:br/>
        <w:t xml:space="preserve">Nebezpečné a zbytečné </w:t>
      </w:r>
      <w:r>
        <w:rPr>
          <w:b/>
          <w:bCs/>
          <w:sz w:val="26"/>
          <w:szCs w:val="26"/>
        </w:rPr>
        <w:t>septy — Konec Hadimršek — Menší možnosti? — Milion kilo-</w:t>
      </w:r>
      <w:r>
        <w:rPr>
          <w:b/>
          <w:bCs/>
          <w:sz w:val="26"/>
          <w:szCs w:val="26"/>
        </w:rPr>
        <w:br/>
        <w:t>gramů jedu — Co žádají Němci od Cechů — Lidová architektura a zedničtí mistři</w:t>
      </w:r>
      <w:r>
        <w:br w:type="page"/>
      </w:r>
    </w:p>
    <w:p w:rsidR="00500724" w:rsidRDefault="00F30FB8">
      <w:pPr>
        <w:pStyle w:val="Nadpis90"/>
        <w:keepNext/>
        <w:keepLines/>
        <w:shd w:val="clear" w:color="auto" w:fill="auto"/>
        <w:spacing w:after="40"/>
      </w:pPr>
      <w:r>
        <w:rPr>
          <w:noProof/>
        </w:rPr>
        <mc:AlternateContent>
          <mc:Choice Requires="wps">
            <w:drawing>
              <wp:anchor distT="0" distB="0" distL="114300" distR="114300" simplePos="0" relativeHeight="125829760" behindDoc="0" locked="0" layoutInCell="1" allowOverlap="1">
                <wp:simplePos x="0" y="0"/>
                <wp:positionH relativeFrom="page">
                  <wp:posOffset>3712210</wp:posOffset>
                </wp:positionH>
                <wp:positionV relativeFrom="margin">
                  <wp:posOffset>-54610</wp:posOffset>
                </wp:positionV>
                <wp:extent cx="3084830" cy="323215"/>
                <wp:effectExtent l="0" t="0" r="0" b="0"/>
                <wp:wrapTopAndBottom/>
                <wp:docPr id="383" name="Shape 383"/>
                <wp:cNvGraphicFramePr/>
                <a:graphic xmlns:a="http://schemas.openxmlformats.org/drawingml/2006/main">
                  <a:graphicData uri="http://schemas.microsoft.com/office/word/2010/wordprocessingShape">
                    <wps:wsp>
                      <wps:cNvSpPr txBox="1"/>
                      <wps:spPr>
                        <a:xfrm>
                          <a:off x="0" y="0"/>
                          <a:ext cx="3084830" cy="323215"/>
                        </a:xfrm>
                        <a:prstGeom prst="rect">
                          <a:avLst/>
                        </a:prstGeom>
                        <a:solidFill>
                          <a:srgbClr val="485149"/>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before="100" w:line="240" w:lineRule="auto"/>
                              <w:ind w:left="60"/>
                              <w:jc w:val="center"/>
                            </w:pPr>
                            <w:r>
                              <w:rPr>
                                <w:color w:val="FFFFFF"/>
                              </w:rPr>
                              <w:t>ODBORNÍ LÍKAftl</w:t>
                            </w:r>
                          </w:p>
                        </w:txbxContent>
                      </wps:txbx>
                      <wps:bodyPr lIns="0" tIns="0" rIns="0" bIns="0">
                        <a:spAutoFit/>
                      </wps:bodyPr>
                    </wps:wsp>
                  </a:graphicData>
                </a:graphic>
              </wp:anchor>
            </w:drawing>
          </mc:Choice>
          <mc:Fallback>
            <w:pict>
              <v:shape id="_x0000_s1409" type="#_x0000_t202" style="position:absolute;margin-left:292.30000000000001pt;margin-top:-4.2999999999999998pt;width:242.90000000000001pt;height:25.449999999999999pt;z-index:-125828993;mso-wrap-distance-left:9.pt;mso-wrap-distance-right:9.pt;mso-position-horizontal-relative:page;mso-position-vertical-relative:margin" fillcolor="#485149"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100" w:after="0" w:line="240" w:lineRule="auto"/>
                        <w:ind w:left="60" w:right="0" w:firstLine="0"/>
                        <w:jc w:val="center"/>
                      </w:pPr>
                      <w:r>
                        <w:rPr>
                          <w:color w:val="FFFFFF"/>
                          <w:spacing w:val="0"/>
                          <w:w w:val="100"/>
                          <w:position w:val="0"/>
                          <w:sz w:val="22"/>
                          <w:szCs w:val="22"/>
                          <w:shd w:val="clear" w:color="auto" w:fill="auto"/>
                          <w:lang w:val="cs-CZ" w:eastAsia="cs-CZ" w:bidi="cs-CZ"/>
                        </w:rPr>
                        <w:t>ODBORNÍ LÍKAftl</w:t>
                      </w:r>
                    </w:p>
                  </w:txbxContent>
                </v:textbox>
                <w10:wrap type="topAndBottom" anchorx="page" anchory="margin"/>
              </v:shape>
            </w:pict>
          </mc:Fallback>
        </mc:AlternateContent>
      </w:r>
      <w:r>
        <w:rPr>
          <w:noProof/>
        </w:rPr>
        <mc:AlternateContent>
          <mc:Choice Requires="wps">
            <w:drawing>
              <wp:anchor distT="2387600" distB="887730" distL="955040" distR="302895" simplePos="0" relativeHeight="125829762" behindDoc="0" locked="0" layoutInCell="1" allowOverlap="1">
                <wp:simplePos x="0" y="0"/>
                <wp:positionH relativeFrom="page">
                  <wp:posOffset>1029970</wp:posOffset>
                </wp:positionH>
                <wp:positionV relativeFrom="margin">
                  <wp:posOffset>2270760</wp:posOffset>
                </wp:positionV>
                <wp:extent cx="2270760" cy="1682750"/>
                <wp:effectExtent l="0" t="0" r="0" b="0"/>
                <wp:wrapSquare wrapText="bothSides"/>
                <wp:docPr id="385" name="Shape 385"/>
                <wp:cNvGraphicFramePr/>
                <a:graphic xmlns:a="http://schemas.openxmlformats.org/drawingml/2006/main">
                  <a:graphicData uri="http://schemas.microsoft.com/office/word/2010/wordprocessingShape">
                    <wps:wsp>
                      <wps:cNvSpPr txBox="1"/>
                      <wps:spPr>
                        <a:xfrm>
                          <a:off x="0" y="0"/>
                          <a:ext cx="2270760" cy="1682750"/>
                        </a:xfrm>
                        <a:prstGeom prst="rect">
                          <a:avLst/>
                        </a:prstGeom>
                        <a:noFill/>
                      </wps:spPr>
                      <wps:txbx>
                        <w:txbxContent>
                          <w:p w:rsidR="00500724" w:rsidRDefault="00F30FB8">
                            <w:pPr>
                              <w:pStyle w:val="Zkladntext40"/>
                              <w:shd w:val="clear" w:color="auto" w:fill="auto"/>
                              <w:spacing w:after="0" w:line="202" w:lineRule="auto"/>
                            </w:pPr>
                            <w:r>
                              <w:t>Při dešti, vichřici, sněhové vánici jest to pří</w:t>
                            </w:r>
                            <w:r>
                              <w:softHyphen/>
                              <w:t xml:space="preserve">jemný zavřený vůz. při jasném slunném svitu venku </w:t>
                            </w:r>
                            <w:r>
                              <w:t>v přírodě, v lese a v horách otevřené vozidlo s krásným volným výhledem na všechny strany, s množstvím vzduchu a světla. Vodotěsná střecha — samozřejmě se dovnitř také nepráší a netáhne — dá se. pro obzvláště šťastnou konstrukci, několika Jed</w:t>
                            </w:r>
                            <w:r>
                              <w:softHyphen/>
                              <w:t>noduchými hma</w:t>
                            </w:r>
                            <w:r>
                              <w:t>ty záhy otevřít! a zavřití. Je zde všechno, co je zapotřebí pro pohodlnou jízdu a pro jisté řízení vozidla a sice v ta</w:t>
                            </w:r>
                            <w:r>
                              <w:softHyphen/>
                              <w:t>kovém provedení, které nepředstírá přehnanov nákladnost, nýbrž je skutečně účelné a zda</w:t>
                            </w:r>
                            <w:r>
                              <w:softHyphen/>
                              <w:t>řilé, zkrátka je to pravá TATRA. Přátelům kabriol</w:t>
                            </w:r>
                            <w:r>
                              <w:t>etu předvede každá prodejna TATRA ochotně a nezávazně veškeré přednosti to</w:t>
                            </w:r>
                            <w:r>
                              <w:softHyphen/>
                              <w:t xml:space="preserve">hoto nevtíravé elegantního typu, jakož </w:t>
                            </w:r>
                            <w:r>
                              <w:rPr>
                                <w:i/>
                                <w:iCs/>
                              </w:rPr>
                              <w:t xml:space="preserve">i </w:t>
                            </w:r>
                            <w:r>
                              <w:t>všech ostatních automobilů</w:t>
                            </w:r>
                          </w:p>
                        </w:txbxContent>
                      </wps:txbx>
                      <wps:bodyPr lIns="0" tIns="0" rIns="0" bIns="0">
                        <a:spAutoFit/>
                      </wps:bodyPr>
                    </wps:wsp>
                  </a:graphicData>
                </a:graphic>
              </wp:anchor>
            </w:drawing>
          </mc:Choice>
          <mc:Fallback>
            <w:pict>
              <v:shape id="_x0000_s1411" type="#_x0000_t202" style="position:absolute;margin-left:81.099999999999994pt;margin-top:178.80000000000001pt;width:178.80000000000001pt;height:132.5pt;z-index:-125828991;mso-wrap-distance-left:75.200000000000003pt;mso-wrap-distance-top:188.pt;mso-wrap-distance-right:23.850000000000001pt;mso-wrap-distance-bottom:69.900000000000006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02" w:lineRule="auto"/>
                        <w:ind w:left="0" w:right="0" w:firstLine="0"/>
                      </w:pPr>
                      <w:r>
                        <w:rPr>
                          <w:color w:val="000000"/>
                          <w:spacing w:val="0"/>
                          <w:w w:val="100"/>
                          <w:position w:val="0"/>
                          <w:shd w:val="clear" w:color="auto" w:fill="auto"/>
                          <w:lang w:val="cs-CZ" w:eastAsia="cs-CZ" w:bidi="cs-CZ"/>
                        </w:rPr>
                        <w:t>Při dešti, vichřici, sněhové vánici jest to pří</w:t>
                        <w:softHyphen/>
                        <w:t>jemný zavřený vůz. při jasném slunném svitu venku v přírodě, v lese a v horách otevřené vozidlo s krásným volným výhledem na všechny strany, s množstvím vzduchu a světla. Vodotěsná střecha — samozřejmě se dovnitř také nepráší a netáhne — dá se. pro obzvláště šťastnou konstrukci, několika Jed</w:t>
                        <w:softHyphen/>
                        <w:t>noduchými hmaty záhy otevřít! a zavřití. Je zde všechno, co je zapotřebí pro pohodlnou jízdu a pro jisté řízení vozidla a sice v ta</w:t>
                        <w:softHyphen/>
                        <w:t>kovém provedení, které nepředstírá přehnanov nákladnost, nýbrž je skutečně účelné a zda</w:t>
                        <w:softHyphen/>
                        <w:t>řilé, zkrátka je to pravá TATRA. Přátelům kabrioletu předvede každá prodejna TATRA ochotně a nezávazně veškeré přednosti to</w:t>
                        <w:softHyphen/>
                        <w:t xml:space="preserve">hoto nevtíravé elegantního typu, jakož </w:t>
                      </w:r>
                      <w:r>
                        <w:rPr>
                          <w:i/>
                          <w:iCs/>
                          <w:color w:val="000000"/>
                          <w:spacing w:val="0"/>
                          <w:w w:val="100"/>
                          <w:position w:val="0"/>
                          <w:shd w:val="clear" w:color="auto" w:fill="auto"/>
                          <w:lang w:val="cs-CZ" w:eastAsia="cs-CZ" w:bidi="cs-CZ"/>
                        </w:rPr>
                        <w:t xml:space="preserve">i </w:t>
                      </w:r>
                      <w:r>
                        <w:rPr>
                          <w:color w:val="000000"/>
                          <w:spacing w:val="0"/>
                          <w:w w:val="100"/>
                          <w:position w:val="0"/>
                          <w:shd w:val="clear" w:color="auto" w:fill="auto"/>
                          <w:lang w:val="cs-CZ" w:eastAsia="cs-CZ" w:bidi="cs-CZ"/>
                        </w:rPr>
                        <w:t>všech ostatních automobilů</w:t>
                      </w:r>
                    </w:p>
                  </w:txbxContent>
                </v:textbox>
                <w10:wrap type="square" anchorx="page" anchory="margin"/>
              </v:shape>
            </w:pict>
          </mc:Fallback>
        </mc:AlternateContent>
      </w:r>
      <w:bookmarkStart w:id="374" w:name="bookmark373"/>
      <w:r>
        <w:t>Sanatorium Dr. Borůvka</w:t>
      </w:r>
      <w:bookmarkEnd w:id="374"/>
    </w:p>
    <w:p w:rsidR="00500724" w:rsidRDefault="00F30FB8">
      <w:pPr>
        <w:pStyle w:val="Zkladntext100"/>
        <w:shd w:val="clear" w:color="auto" w:fill="auto"/>
        <w:spacing w:after="240" w:line="178" w:lineRule="auto"/>
        <w:ind w:right="1020" w:firstLine="0"/>
      </w:pPr>
      <w:r>
        <w:rPr>
          <w:b/>
          <w:bCs/>
        </w:rPr>
        <w:t xml:space="preserve">ústav pro choroby chirurgické, ženské a porody. PRAHA H., LEGEROVA 61/63. Telefony 212-37 </w:t>
      </w:r>
      <w:r>
        <w:rPr>
          <w:b/>
          <w:bCs/>
        </w:rPr>
        <w:t>379-06 332-38</w:t>
      </w:r>
    </w:p>
    <w:p w:rsidR="00500724" w:rsidRDefault="00F30FB8">
      <w:pPr>
        <w:pStyle w:val="Zkladntext100"/>
        <w:shd w:val="clear" w:color="auto" w:fill="auto"/>
        <w:spacing w:line="170" w:lineRule="auto"/>
        <w:ind w:right="1020" w:firstLine="0"/>
        <w:jc w:val="right"/>
      </w:pPr>
      <w:r>
        <w:rPr>
          <w:rFonts w:ascii="Arial" w:eastAsia="Arial" w:hAnsi="Arial" w:cs="Arial"/>
          <w:b/>
          <w:bCs/>
          <w:sz w:val="22"/>
          <w:szCs w:val="22"/>
        </w:rPr>
        <w:t xml:space="preserve">MUDr. Fr Cinkl </w:t>
      </w:r>
      <w:r>
        <w:rPr>
          <w:b/>
          <w:bCs/>
        </w:rPr>
        <w:t>střevní n e m o c i a roentgenologii. PRAHA H., NEKAZANKA 4, H. patro. Ord. 9—10. 3—4.</w:t>
      </w:r>
    </w:p>
    <w:p w:rsidR="00500724" w:rsidRDefault="00F30FB8">
      <w:pPr>
        <w:pStyle w:val="Zkladntext40"/>
        <w:shd w:val="clear" w:color="auto" w:fill="auto"/>
        <w:spacing w:after="220" w:line="214" w:lineRule="auto"/>
        <w:ind w:right="180"/>
        <w:jc w:val="center"/>
        <w:rPr>
          <w:sz w:val="16"/>
          <w:szCs w:val="16"/>
        </w:rPr>
      </w:pPr>
      <w:r>
        <w:rPr>
          <w:b/>
          <w:bCs/>
          <w:sz w:val="16"/>
          <w:szCs w:val="16"/>
        </w:rPr>
        <w:t>Telefon 234-13.</w:t>
      </w:r>
    </w:p>
    <w:p w:rsidR="00500724" w:rsidRDefault="00F30FB8">
      <w:pPr>
        <w:pStyle w:val="Zkladntext100"/>
        <w:shd w:val="clear" w:color="auto" w:fill="auto"/>
        <w:spacing w:after="40" w:line="149" w:lineRule="auto"/>
        <w:ind w:right="1020" w:firstLine="0"/>
        <w:jc w:val="right"/>
      </w:pPr>
      <w:r>
        <w:rPr>
          <w:rFonts w:ascii="Arial" w:eastAsia="Arial" w:hAnsi="Arial" w:cs="Arial"/>
          <w:b/>
          <w:bCs/>
          <w:sz w:val="22"/>
          <w:szCs w:val="22"/>
        </w:rPr>
        <w:t xml:space="preserve">MUDr. </w:t>
      </w:r>
      <w:r>
        <w:rPr>
          <w:rFonts w:ascii="Arial" w:eastAsia="Arial" w:hAnsi="Arial" w:cs="Arial"/>
          <w:b/>
          <w:bCs/>
          <w:sz w:val="22"/>
          <w:szCs w:val="22"/>
          <w:lang w:val="en-US" w:eastAsia="en-US" w:bidi="en-US"/>
        </w:rPr>
        <w:t xml:space="preserve">Ervin Frohlich, </w:t>
      </w:r>
      <w:r>
        <w:rPr>
          <w:b/>
          <w:bCs/>
        </w:rPr>
        <w:t xml:space="preserve">odborný lékař pro choroby vnitřní, žaludeční, střevní a výměny látek, em. esistent I. med. kliniky </w:t>
      </w:r>
      <w:r>
        <w:rPr>
          <w:b/>
          <w:bCs/>
          <w:lang w:val="en-US" w:eastAsia="en-US" w:bidi="en-US"/>
        </w:rPr>
        <w:t xml:space="preserve">prof. </w:t>
      </w:r>
      <w:r>
        <w:rPr>
          <w:b/>
          <w:bCs/>
        </w:rPr>
        <w:t>Schmidta.</w:t>
      </w:r>
    </w:p>
    <w:p w:rsidR="00500724" w:rsidRDefault="00F30FB8">
      <w:pPr>
        <w:pStyle w:val="Zkladntext100"/>
        <w:shd w:val="clear" w:color="auto" w:fill="auto"/>
        <w:spacing w:after="180" w:line="158" w:lineRule="auto"/>
        <w:ind w:firstLine="0"/>
      </w:pPr>
      <w:r>
        <w:rPr>
          <w:b/>
          <w:bCs/>
        </w:rPr>
        <w:t xml:space="preserve">PRAHA I.. Na Příkopech 38. Ord. 9-10 </w:t>
      </w:r>
      <w:r>
        <w:rPr>
          <w:b/>
          <w:bCs/>
          <w:i/>
          <w:iCs/>
        </w:rPr>
        <w:t>^3-'/^.</w:t>
      </w:r>
      <w:r>
        <w:rPr>
          <w:b/>
          <w:bCs/>
        </w:rPr>
        <w:t xml:space="preserve"> Telef. 228-91.</w:t>
      </w:r>
    </w:p>
    <w:p w:rsidR="00500724" w:rsidRDefault="00F30FB8">
      <w:pPr>
        <w:pStyle w:val="Nadpis110"/>
        <w:shd w:val="clear" w:color="auto" w:fill="auto"/>
        <w:spacing w:after="40"/>
        <w:jc w:val="both"/>
      </w:pPr>
      <w:bookmarkStart w:id="375" w:name="bookmark374"/>
      <w:r>
        <w:t>MUDr. ZDENKA NEDVĚDOVÁ-NEJEDLÁ</w:t>
      </w:r>
      <w:bookmarkEnd w:id="375"/>
    </w:p>
    <w:p w:rsidR="00500724" w:rsidRDefault="00F30FB8">
      <w:pPr>
        <w:pStyle w:val="Zkladntext100"/>
        <w:shd w:val="clear" w:color="auto" w:fill="auto"/>
        <w:spacing w:after="160" w:line="218" w:lineRule="auto"/>
        <w:ind w:right="1020" w:firstLine="0"/>
        <w:jc w:val="right"/>
      </w:pPr>
      <w:r>
        <w:rPr>
          <w:b/>
          <w:bCs/>
        </w:rPr>
        <w:t>odb. dětská lékařka. PODOLÍ, PANKRÁCKÁ 14 (stanice elektr. dráhy za Podol, sanatoriem,. Ord. 9—10 a 2—4. Tel. 441-77.</w:t>
      </w:r>
    </w:p>
    <w:p w:rsidR="00500724" w:rsidRDefault="00F30FB8">
      <w:pPr>
        <w:pStyle w:val="Nadpis110"/>
        <w:shd w:val="clear" w:color="auto" w:fill="auto"/>
        <w:spacing w:after="40"/>
        <w:jc w:val="both"/>
      </w:pPr>
      <w:bookmarkStart w:id="376" w:name="bookmark375"/>
      <w:r>
        <w:t>MUDr. ANTONÍN NEUMANN</w:t>
      </w:r>
      <w:bookmarkEnd w:id="376"/>
    </w:p>
    <w:p w:rsidR="00500724" w:rsidRDefault="00F30FB8">
      <w:pPr>
        <w:pStyle w:val="Zkladntext40"/>
        <w:shd w:val="clear" w:color="auto" w:fill="auto"/>
        <w:spacing w:after="120" w:line="173" w:lineRule="auto"/>
        <w:ind w:right="1020" w:firstLine="680"/>
        <w:rPr>
          <w:sz w:val="16"/>
          <w:szCs w:val="16"/>
        </w:rPr>
      </w:pPr>
      <w:r>
        <w:t xml:space="preserve">odborný lékař nemoci pohlavních, kožních a kosmetiky, </w:t>
      </w:r>
      <w:r>
        <w:rPr>
          <w:b/>
          <w:bCs/>
          <w:sz w:val="16"/>
          <w:szCs w:val="16"/>
        </w:rPr>
        <w:t xml:space="preserve">Praha </w:t>
      </w:r>
      <w:r>
        <w:rPr>
          <w:b/>
          <w:bCs/>
          <w:sz w:val="14"/>
          <w:szCs w:val="14"/>
        </w:rPr>
        <w:t xml:space="preserve">n„ </w:t>
      </w:r>
      <w:r>
        <w:rPr>
          <w:b/>
          <w:bCs/>
          <w:sz w:val="16"/>
          <w:szCs w:val="16"/>
        </w:rPr>
        <w:t xml:space="preserve">Na Zbořenci </w:t>
      </w:r>
      <w:r>
        <w:rPr>
          <w:i/>
          <w:iCs/>
        </w:rPr>
        <w:t>24 —</w:t>
      </w:r>
      <w:r>
        <w:rPr>
          <w:b/>
          <w:bCs/>
          <w:sz w:val="16"/>
          <w:szCs w:val="16"/>
        </w:rPr>
        <w:t xml:space="preserve"> třetí dům od Karlova náměstí. </w:t>
      </w:r>
      <w:r>
        <w:rPr>
          <w:b/>
          <w:bCs/>
          <w:sz w:val="16"/>
          <w:szCs w:val="16"/>
          <w:u w:val="single"/>
        </w:rPr>
        <w:t>Ordinuje celý den. V neděli a ve svátek dopoledne. Tel. 41.728.</w:t>
      </w:r>
    </w:p>
    <w:p w:rsidR="00500724" w:rsidRDefault="00F30FB8">
      <w:pPr>
        <w:pStyle w:val="Zkladntext100"/>
        <w:shd w:val="clear" w:color="auto" w:fill="auto"/>
        <w:spacing w:after="40" w:line="173" w:lineRule="auto"/>
        <w:ind w:firstLine="0"/>
        <w:rPr>
          <w:sz w:val="22"/>
          <w:szCs w:val="22"/>
        </w:rPr>
      </w:pPr>
      <w:r>
        <w:rPr>
          <w:b/>
          <w:bCs/>
        </w:rP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220" w:line="218" w:lineRule="auto"/>
        <w:ind w:right="1020" w:firstLine="0"/>
      </w:pPr>
      <w:r>
        <w:rPr>
          <w:b/>
          <w:bCs/>
        </w:rPr>
        <w:t xml:space="preserve">ord. 3—4 (a podle úmluvy). Telefon </w:t>
      </w:r>
      <w:r>
        <w:rPr>
          <w:b/>
          <w:bCs/>
        </w:rPr>
        <w:t>393-79. PRAHA H.. VO</w:t>
      </w:r>
      <w:r>
        <w:rPr>
          <w:b/>
          <w:bCs/>
        </w:rPr>
        <w:softHyphen/>
        <w:t>DIČKOVA 15. (Hlávkův palác.)</w:t>
      </w:r>
    </w:p>
    <w:p w:rsidR="00500724" w:rsidRDefault="00F30FB8">
      <w:pPr>
        <w:pStyle w:val="Zkladntext100"/>
        <w:shd w:val="clear" w:color="auto" w:fill="auto"/>
        <w:spacing w:after="160" w:line="192" w:lineRule="auto"/>
        <w:ind w:right="1020" w:firstLine="0"/>
      </w:pPr>
      <w:r>
        <w:rPr>
          <w:rFonts w:ascii="Arial" w:eastAsia="Arial" w:hAnsi="Arial" w:cs="Arial"/>
          <w:b/>
          <w:bCs/>
          <w:sz w:val="22"/>
          <w:szCs w:val="22"/>
        </w:rPr>
        <w:t xml:space="preserve">MUDr. STANISLAV TUMPACH </w:t>
      </w:r>
      <w:r>
        <w:rPr>
          <w:b/>
          <w:bCs/>
        </w:rPr>
        <w:t>odborný lékař pro chirurgii a urologií. PRAHA XH., Fochova 84 (Nám. krále Jiřího). Ord. 15—17. Tel. 512-86, byt: 513-38.</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20"/>
        <w:ind w:firstLine="680"/>
        <w:jc w:val="both"/>
      </w:pPr>
      <w:bookmarkStart w:id="377" w:name="bookmark376"/>
      <w:r>
        <w:rPr>
          <w:color w:val="FFFFFF"/>
        </w:rPr>
        <w:t>VAS VKUS I NÁROKY USPOKOJÍ</w:t>
      </w:r>
      <w:bookmarkEnd w:id="377"/>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40"/>
        <w:ind w:left="1400" w:firstLine="0"/>
        <w:jc w:val="left"/>
        <w:rPr>
          <w:sz w:val="12"/>
          <w:szCs w:val="12"/>
        </w:rPr>
      </w:pPr>
      <w:r>
        <w:rPr>
          <w:rFonts w:ascii="Arial" w:eastAsia="Arial" w:hAnsi="Arial" w:cs="Arial"/>
          <w:b/>
          <w:bCs/>
          <w:sz w:val="12"/>
          <w:szCs w:val="12"/>
        </w:rPr>
        <w:t>OBUV PRO VYŠŠÍ NÁROKY</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190" w:lineRule="auto"/>
        <w:ind w:left="960" w:firstLine="0"/>
        <w:jc w:val="left"/>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00"/>
        <w:pBdr>
          <w:top w:val="single" w:sz="4" w:space="0" w:color="auto"/>
          <w:left w:val="single" w:sz="4" w:space="0" w:color="auto"/>
          <w:bottom w:val="single" w:sz="4" w:space="0" w:color="auto"/>
          <w:right w:val="single" w:sz="4" w:space="0" w:color="auto"/>
        </w:pBdr>
        <w:shd w:val="clear" w:color="auto" w:fill="auto"/>
        <w:tabs>
          <w:tab w:val="left" w:pos="3840"/>
        </w:tabs>
        <w:spacing w:line="240" w:lineRule="auto"/>
        <w:ind w:firstLine="0"/>
        <w:sectPr w:rsidR="00500724">
          <w:footnotePr>
            <w:numFmt w:val="chicago"/>
            <w:numRestart w:val="eachPage"/>
          </w:footnotePr>
          <w:pgSz w:w="11909" w:h="16834"/>
          <w:pgMar w:top="926" w:right="87" w:bottom="882" w:left="850" w:header="0" w:footer="3" w:gutter="0"/>
          <w:cols w:space="720"/>
          <w:noEndnote/>
          <w:docGrid w:linePitch="360"/>
        </w:sectPr>
      </w:pPr>
      <w:r>
        <w:rPr>
          <w:b/>
          <w:bCs/>
        </w:rPr>
        <w:t>PRAHA I., PRtKOPY 35, schodiště A.</w:t>
      </w:r>
      <w:r>
        <w:rPr>
          <w:b/>
          <w:bCs/>
        </w:rPr>
        <w:tab/>
        <w:t>TeL 315-28.</w:t>
      </w:r>
    </w:p>
    <w:p w:rsidR="00500724" w:rsidRDefault="00500724">
      <w:pPr>
        <w:spacing w:line="47" w:lineRule="exact"/>
        <w:rPr>
          <w:sz w:val="4"/>
          <w:szCs w:val="4"/>
        </w:rPr>
      </w:pPr>
    </w:p>
    <w:p w:rsidR="00500724" w:rsidRDefault="00500724">
      <w:pPr>
        <w:spacing w:line="14" w:lineRule="exact"/>
        <w:sectPr w:rsidR="00500724">
          <w:footnotePr>
            <w:numFmt w:val="chicago"/>
            <w:numRestart w:val="eachPage"/>
          </w:footnotePr>
          <w:type w:val="continuous"/>
          <w:pgSz w:w="11909" w:h="16834"/>
          <w:pgMar w:top="929" w:right="0" w:bottom="878" w:left="0" w:header="0" w:footer="3" w:gutter="0"/>
          <w:cols w:space="720"/>
          <w:noEndnote/>
          <w:docGrid w:linePitch="360"/>
        </w:sectPr>
      </w:pPr>
    </w:p>
    <w:p w:rsidR="00500724" w:rsidRDefault="00F30FB8">
      <w:pPr>
        <w:spacing w:line="14" w:lineRule="exact"/>
      </w:pPr>
      <w:r>
        <w:rPr>
          <w:noProof/>
        </w:rPr>
        <mc:AlternateContent>
          <mc:Choice Requires="wps">
            <w:drawing>
              <wp:anchor distT="342900" distB="0" distL="114300" distR="114300" simplePos="0" relativeHeight="125829764" behindDoc="0" locked="0" layoutInCell="1" allowOverlap="1">
                <wp:simplePos x="0" y="0"/>
                <wp:positionH relativeFrom="page">
                  <wp:posOffset>3755390</wp:posOffset>
                </wp:positionH>
                <wp:positionV relativeFrom="paragraph">
                  <wp:posOffset>368935</wp:posOffset>
                </wp:positionV>
                <wp:extent cx="2383790" cy="250190"/>
                <wp:effectExtent l="0" t="0" r="0" b="0"/>
                <wp:wrapTopAndBottom/>
                <wp:docPr id="387" name="Shape 387"/>
                <wp:cNvGraphicFramePr/>
                <a:graphic xmlns:a="http://schemas.openxmlformats.org/drawingml/2006/main">
                  <a:graphicData uri="http://schemas.microsoft.com/office/word/2010/wordprocessingShape">
                    <wps:wsp>
                      <wps:cNvSpPr txBox="1"/>
                      <wps:spPr>
                        <a:xfrm>
                          <a:off x="0" y="0"/>
                          <a:ext cx="2383790" cy="250190"/>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lAZNÍ VELIChOVKY</w:t>
                            </w:r>
                          </w:p>
                        </w:txbxContent>
                      </wps:txbx>
                      <wps:bodyPr lIns="0" tIns="0" rIns="0" bIns="0">
                        <a:spAutoFit/>
                      </wps:bodyPr>
                    </wps:wsp>
                  </a:graphicData>
                </a:graphic>
              </wp:anchor>
            </w:drawing>
          </mc:Choice>
          <mc:Fallback>
            <w:pict>
              <v:shape id="_x0000_s1413" type="#_x0000_t202" style="position:absolute;margin-left:295.69999999999999pt;margin-top:29.050000000000001pt;width:187.69999999999999pt;height:19.699999999999999pt;z-index:-125828989;mso-wrap-distance-left:9.pt;mso-wrap-distance-top:27.pt;mso-wrap-distance-right:9.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lAZNÍ VELIChOVKY</w:t>
                      </w:r>
                    </w:p>
                  </w:txbxContent>
                </v:textbox>
                <w10:wrap type="topAndBottom" anchorx="page"/>
              </v:shape>
            </w:pict>
          </mc:Fallback>
        </mc:AlternateContent>
      </w:r>
      <w:r>
        <w:rPr>
          <w:noProof/>
        </w:rPr>
        <mc:AlternateContent>
          <mc:Choice Requires="wps">
            <w:drawing>
              <wp:anchor distT="0" distB="0" distL="114300" distR="114300" simplePos="0" relativeHeight="125829766" behindDoc="0" locked="0" layoutInCell="1" allowOverlap="1">
                <wp:simplePos x="0" y="0"/>
                <wp:positionH relativeFrom="page">
                  <wp:posOffset>6175375</wp:posOffset>
                </wp:positionH>
                <wp:positionV relativeFrom="paragraph">
                  <wp:posOffset>454025</wp:posOffset>
                </wp:positionV>
                <wp:extent cx="646430" cy="204470"/>
                <wp:effectExtent l="0" t="0" r="0" b="0"/>
                <wp:wrapSquare wrapText="left"/>
                <wp:docPr id="389" name="Shape 389"/>
                <wp:cNvGraphicFramePr/>
                <a:graphic xmlns:a="http://schemas.openxmlformats.org/drawingml/2006/main">
                  <a:graphicData uri="http://schemas.microsoft.com/office/word/2010/wordprocessingShape">
                    <wps:wsp>
                      <wps:cNvSpPr txBox="1"/>
                      <wps:spPr>
                        <a:xfrm>
                          <a:off x="0" y="0"/>
                          <a:ext cx="646430" cy="204470"/>
                        </a:xfrm>
                        <a:prstGeom prst="rect">
                          <a:avLst/>
                        </a:prstGeom>
                        <a:noFill/>
                      </wps:spPr>
                      <wps:txbx>
                        <w:txbxContent>
                          <w:p w:rsidR="00500724" w:rsidRDefault="00F30FB8">
                            <w:pPr>
                              <w:pStyle w:val="Jin0"/>
                              <w:shd w:val="clear" w:color="auto" w:fill="auto"/>
                              <w:ind w:firstLine="0"/>
                              <w:jc w:val="left"/>
                              <w:rPr>
                                <w:sz w:val="24"/>
                                <w:szCs w:val="24"/>
                              </w:rPr>
                            </w:pPr>
                            <w:r>
                              <w:rPr>
                                <w:rFonts w:ascii="Arial" w:eastAsia="Arial" w:hAnsi="Arial" w:cs="Arial"/>
                                <w:b/>
                                <w:bCs/>
                                <w:w w:val="70"/>
                                <w:sz w:val="24"/>
                                <w:szCs w:val="24"/>
                              </w:rPr>
                              <w:t>u Jaroměře</w:t>
                            </w:r>
                          </w:p>
                        </w:txbxContent>
                      </wps:txbx>
                      <wps:bodyPr lIns="0" tIns="0" rIns="0" bIns="0">
                        <a:spAutoFit/>
                      </wps:bodyPr>
                    </wps:wsp>
                  </a:graphicData>
                </a:graphic>
              </wp:anchor>
            </w:drawing>
          </mc:Choice>
          <mc:Fallback>
            <w:pict>
              <v:shape id="_x0000_s1415" type="#_x0000_t202" style="position:absolute;margin-left:486.25pt;margin-top:35.75pt;width:50.899999999999999pt;height:16.100000000000001pt;z-index:-125828987;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70"/>
                          <w:position w:val="0"/>
                          <w:sz w:val="24"/>
                          <w:szCs w:val="24"/>
                          <w:shd w:val="clear" w:color="auto" w:fill="auto"/>
                          <w:lang w:val="cs-CZ" w:eastAsia="cs-CZ" w:bidi="cs-CZ"/>
                        </w:rPr>
                        <w:t>u Jaroměře</w:t>
                      </w:r>
                    </w:p>
                  </w:txbxContent>
                </v:textbox>
                <w10:wrap type="square" side="left" anchorx="page"/>
              </v:shape>
            </w:pict>
          </mc:Fallback>
        </mc:AlternateContent>
      </w:r>
    </w:p>
    <w:p w:rsidR="00500724" w:rsidRDefault="00F30FB8">
      <w:pPr>
        <w:pStyle w:val="Jin0"/>
        <w:shd w:val="clear" w:color="auto" w:fill="auto"/>
        <w:spacing w:line="194" w:lineRule="auto"/>
        <w:ind w:right="520" w:firstLine="0"/>
        <w:jc w:val="left"/>
        <w:rPr>
          <w:sz w:val="32"/>
          <w:szCs w:val="32"/>
        </w:rPr>
      </w:pPr>
      <w:r>
        <w:rPr>
          <w:rFonts w:ascii="Arial" w:eastAsia="Arial" w:hAnsi="Arial" w:cs="Arial"/>
          <w:b/>
          <w:bCs/>
          <w:sz w:val="32"/>
          <w:szCs w:val="32"/>
        </w:rPr>
        <w:t>Dopřejte dětem volnosti! Sport je zocelil</w:t>
      </w:r>
    </w:p>
    <w:p w:rsidR="00500724" w:rsidRDefault="00F30FB8">
      <w:pPr>
        <w:pStyle w:val="Zkladntext100"/>
        <w:shd w:val="clear" w:color="auto" w:fill="auto"/>
        <w:spacing w:after="120" w:line="233" w:lineRule="auto"/>
        <w:ind w:firstLine="0"/>
        <w:jc w:val="left"/>
      </w:pPr>
      <w:r>
        <w:t>Slunce, voda a vzduch jsou jejich radostí</w:t>
      </w:r>
    </w:p>
    <w:p w:rsidR="00500724" w:rsidRDefault="00F30FB8">
      <w:pPr>
        <w:pStyle w:val="Zkladntext100"/>
        <w:shd w:val="clear" w:color="auto" w:fill="auto"/>
        <w:spacing w:line="240" w:lineRule="auto"/>
        <w:ind w:firstLine="0"/>
        <w:jc w:val="right"/>
      </w:pPr>
      <w:r>
        <w:t xml:space="preserve">Postarejte se však o </w:t>
      </w:r>
      <w:r>
        <w:t>jejich</w:t>
      </w:r>
    </w:p>
    <w:p w:rsidR="00500724" w:rsidRDefault="00F30FB8">
      <w:pPr>
        <w:pStyle w:val="Jin0"/>
        <w:shd w:val="clear" w:color="auto" w:fill="auto"/>
        <w:spacing w:line="214" w:lineRule="auto"/>
        <w:ind w:firstLine="0"/>
        <w:jc w:val="right"/>
        <w:rPr>
          <w:sz w:val="36"/>
          <w:szCs w:val="36"/>
        </w:rPr>
      </w:pPr>
      <w:r>
        <w:rPr>
          <w:rFonts w:ascii="Arial" w:eastAsia="Arial" w:hAnsi="Arial" w:cs="Arial"/>
          <w:b/>
          <w:bCs/>
          <w:sz w:val="36"/>
          <w:szCs w:val="36"/>
        </w:rPr>
        <w:t>úrazové poiišfění!</w:t>
      </w:r>
    </w:p>
    <w:p w:rsidR="00500724" w:rsidRDefault="00F30FB8">
      <w:pPr>
        <w:pStyle w:val="Zkladntext100"/>
        <w:shd w:val="clear" w:color="auto" w:fill="auto"/>
        <w:spacing w:line="240" w:lineRule="auto"/>
        <w:ind w:firstLine="0"/>
        <w:jc w:val="right"/>
        <w:rPr>
          <w:sz w:val="17"/>
          <w:szCs w:val="17"/>
        </w:rPr>
      </w:pPr>
      <w:r>
        <w:rPr>
          <w:sz w:val="17"/>
          <w:szCs w:val="17"/>
        </w:rPr>
        <w:t>Napište nám o vysvětlení:</w:t>
      </w:r>
    </w:p>
    <w:p w:rsidR="00500724" w:rsidRDefault="00F30FB8">
      <w:pPr>
        <w:pStyle w:val="Jin0"/>
        <w:shd w:val="clear" w:color="auto" w:fill="auto"/>
        <w:spacing w:line="199" w:lineRule="auto"/>
        <w:ind w:firstLine="0"/>
        <w:jc w:val="right"/>
        <w:rPr>
          <w:sz w:val="42"/>
          <w:szCs w:val="42"/>
        </w:rPr>
      </w:pPr>
      <w:r>
        <w:rPr>
          <w:rFonts w:ascii="Calibri" w:eastAsia="Calibri" w:hAnsi="Calibri" w:cs="Calibri"/>
          <w:b/>
          <w:bCs/>
          <w:w w:val="70"/>
          <w:sz w:val="42"/>
          <w:szCs w:val="42"/>
        </w:rPr>
        <w:t>(esko-Siovenská akciová pojišťovna</w:t>
      </w:r>
    </w:p>
    <w:p w:rsidR="00500724" w:rsidRDefault="00F30FB8">
      <w:pPr>
        <w:pStyle w:val="Zkladntext20"/>
        <w:shd w:val="clear" w:color="auto" w:fill="auto"/>
        <w:spacing w:line="240" w:lineRule="auto"/>
        <w:ind w:firstLine="0"/>
        <w:jc w:val="right"/>
        <w:rPr>
          <w:sz w:val="20"/>
          <w:szCs w:val="20"/>
        </w:rPr>
      </w:pPr>
      <w:r>
        <w:rPr>
          <w:sz w:val="20"/>
          <w:szCs w:val="20"/>
        </w:rPr>
        <w:t>Praha II., Spálené 49. Telefony 54441-4</w:t>
      </w:r>
    </w:p>
    <w:p w:rsidR="00500724" w:rsidRDefault="00F30FB8">
      <w:pPr>
        <w:pStyle w:val="Zkladntext100"/>
        <w:shd w:val="clear" w:color="auto" w:fill="auto"/>
        <w:spacing w:after="60" w:line="240" w:lineRule="auto"/>
        <w:ind w:left="220" w:firstLine="0"/>
        <w:jc w:val="left"/>
        <w:rPr>
          <w:sz w:val="17"/>
          <w:szCs w:val="17"/>
        </w:rPr>
      </w:pPr>
      <w:r>
        <w:rPr>
          <w:sz w:val="17"/>
          <w:szCs w:val="17"/>
        </w:rPr>
        <w:t>Sezóna od 1. března</w:t>
      </w:r>
    </w:p>
    <w:p w:rsidR="00500724" w:rsidRDefault="00F30FB8">
      <w:pPr>
        <w:pStyle w:val="Zkladntext50"/>
        <w:shd w:val="clear" w:color="auto" w:fill="auto"/>
        <w:spacing w:after="0" w:line="240" w:lineRule="auto"/>
        <w:ind w:left="0"/>
        <w:jc w:val="right"/>
        <w:rPr>
          <w:sz w:val="18"/>
          <w:szCs w:val="18"/>
        </w:rPr>
      </w:pPr>
      <w:r>
        <w:rPr>
          <w:b/>
          <w:bCs/>
          <w:sz w:val="18"/>
          <w:szCs w:val="18"/>
        </w:rPr>
        <w:t>Revma, dna, ischias, nervosy, ženské choroby</w:t>
      </w:r>
    </w:p>
    <w:p w:rsidR="00500724" w:rsidRDefault="00F30FB8">
      <w:pPr>
        <w:pStyle w:val="Jin0"/>
        <w:pBdr>
          <w:bottom w:val="single" w:sz="4" w:space="0" w:color="auto"/>
        </w:pBdr>
        <w:shd w:val="clear" w:color="auto" w:fill="auto"/>
        <w:spacing w:after="200" w:line="199" w:lineRule="auto"/>
        <w:ind w:firstLine="0"/>
        <w:jc w:val="right"/>
        <w:rPr>
          <w:sz w:val="26"/>
          <w:szCs w:val="26"/>
        </w:rPr>
      </w:pPr>
      <w:r>
        <w:rPr>
          <w:rFonts w:ascii="Arial" w:eastAsia="Arial" w:hAnsi="Arial" w:cs="Arial"/>
          <w:b/>
          <w:bCs/>
          <w:sz w:val="26"/>
          <w:szCs w:val="26"/>
        </w:rPr>
        <w:t>Levné jarní paušály od K 960*-za 3 týdny</w:t>
      </w:r>
    </w:p>
    <w:p w:rsidR="00500724" w:rsidRDefault="00F30FB8">
      <w:pPr>
        <w:pStyle w:val="Jin0"/>
        <w:shd w:val="clear" w:color="auto" w:fill="auto"/>
        <w:ind w:firstLine="0"/>
        <w:jc w:val="left"/>
        <w:rPr>
          <w:sz w:val="44"/>
          <w:szCs w:val="44"/>
        </w:rPr>
        <w:sectPr w:rsidR="00500724">
          <w:footnotePr>
            <w:numFmt w:val="chicago"/>
            <w:numRestart w:val="eachPage"/>
          </w:footnotePr>
          <w:type w:val="continuous"/>
          <w:pgSz w:w="11909" w:h="16834"/>
          <w:pgMar w:top="929" w:right="1138" w:bottom="878" w:left="605" w:header="0" w:footer="3" w:gutter="0"/>
          <w:cols w:num="2" w:space="720" w:equalWidth="0">
            <w:col w:w="4598" w:space="490"/>
            <w:col w:w="5078"/>
          </w:cols>
          <w:noEndnote/>
          <w:docGrid w:linePitch="360"/>
        </w:sectPr>
      </w:pPr>
      <w:r>
        <w:rPr>
          <w:rFonts w:ascii="Arial" w:eastAsia="Arial" w:hAnsi="Arial" w:cs="Arial"/>
          <w:i/>
          <w:iCs/>
          <w:sz w:val="34"/>
          <w:szCs w:val="34"/>
        </w:rPr>
        <w:t>9</w:t>
      </w:r>
      <w:r>
        <w:rPr>
          <w:rFonts w:ascii="Arial" w:eastAsia="Arial" w:hAnsi="Arial" w:cs="Arial"/>
          <w:sz w:val="34"/>
          <w:szCs w:val="34"/>
        </w:rPr>
        <w:t xml:space="preserve"> Čtěte </w:t>
      </w:r>
      <w:r>
        <w:rPr>
          <w:rFonts w:ascii="Arial" w:eastAsia="Arial" w:hAnsi="Arial" w:cs="Arial"/>
          <w:i/>
          <w:iCs/>
          <w:sz w:val="30"/>
          <w:szCs w:val="30"/>
        </w:rPr>
        <w:t xml:space="preserve">LIDOVĚ NOVINY </w:t>
      </w:r>
      <w:r>
        <w:rPr>
          <w:rFonts w:ascii="Arial" w:eastAsia="Arial" w:hAnsi="Arial" w:cs="Arial"/>
          <w:i/>
          <w:iCs/>
          <w:sz w:val="44"/>
          <w:szCs w:val="44"/>
        </w:rPr>
        <w:t>O</w:t>
      </w:r>
    </w:p>
    <w:p w:rsidR="00500724" w:rsidRDefault="00500724">
      <w:pPr>
        <w:spacing w:before="86" w:after="86"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057" w:right="0" w:bottom="416" w:left="0" w:header="0" w:footer="3" w:gutter="0"/>
          <w:cols w:space="720"/>
          <w:noEndnote/>
          <w:docGrid w:linePitch="360"/>
        </w:sectPr>
      </w:pPr>
    </w:p>
    <w:p w:rsidR="00500724" w:rsidRDefault="00F30FB8">
      <w:pPr>
        <w:spacing w:line="14" w:lineRule="exact"/>
      </w:pPr>
      <w:r>
        <w:rPr>
          <w:noProof/>
        </w:rPr>
        <mc:AlternateContent>
          <mc:Choice Requires="wps">
            <w:drawing>
              <wp:anchor distT="0" distB="472440" distL="114300" distR="120650" simplePos="0" relativeHeight="125829768" behindDoc="0" locked="0" layoutInCell="1" allowOverlap="1">
                <wp:simplePos x="0" y="0"/>
                <wp:positionH relativeFrom="page">
                  <wp:posOffset>210185</wp:posOffset>
                </wp:positionH>
                <wp:positionV relativeFrom="paragraph">
                  <wp:posOffset>1143000</wp:posOffset>
                </wp:positionV>
                <wp:extent cx="2764790" cy="728345"/>
                <wp:effectExtent l="0" t="0" r="0" b="0"/>
                <wp:wrapSquare wrapText="right"/>
                <wp:docPr id="391" name="Shape 391"/>
                <wp:cNvGraphicFramePr/>
                <a:graphic xmlns:a="http://schemas.openxmlformats.org/drawingml/2006/main">
                  <a:graphicData uri="http://schemas.microsoft.com/office/word/2010/wordprocessingShape">
                    <wps:wsp>
                      <wps:cNvSpPr txBox="1"/>
                      <wps:spPr>
                        <a:xfrm>
                          <a:off x="0" y="0"/>
                          <a:ext cx="2764790" cy="728345"/>
                        </a:xfrm>
                        <a:prstGeom prst="rect">
                          <a:avLst/>
                        </a:prstGeom>
                        <a:noFill/>
                      </wps:spPr>
                      <wps:txbx>
                        <w:txbxContent>
                          <w:p w:rsidR="00500724" w:rsidRDefault="00F30FB8">
                            <w:pPr>
                              <w:pStyle w:val="Jin0"/>
                              <w:shd w:val="clear" w:color="auto" w:fill="auto"/>
                              <w:spacing w:before="80"/>
                              <w:ind w:firstLine="0"/>
                              <w:jc w:val="left"/>
                              <w:rPr>
                                <w:sz w:val="88"/>
                                <w:szCs w:val="88"/>
                              </w:rPr>
                            </w:pPr>
                            <w:r>
                              <w:rPr>
                                <w:sz w:val="88"/>
                                <w:szCs w:val="88"/>
                              </w:rPr>
                              <w:t>Přítomnosti</w:t>
                            </w:r>
                          </w:p>
                        </w:txbxContent>
                      </wps:txbx>
                      <wps:bodyPr lIns="0" tIns="0" rIns="0" bIns="0">
                        <a:spAutoFit/>
                      </wps:bodyPr>
                    </wps:wsp>
                  </a:graphicData>
                </a:graphic>
              </wp:anchor>
            </w:drawing>
          </mc:Choice>
          <mc:Fallback>
            <w:pict>
              <v:shape id="_x0000_s1417" type="#_x0000_t202" style="position:absolute;margin-left:16.550000000000001pt;margin-top:90.pt;width:217.69999999999999pt;height:57.350000000000001pt;z-index:-125828985;mso-wrap-distance-left:9.pt;mso-wrap-distance-right:9.5pt;mso-wrap-distance-bottom:37.200000000000003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Přítomnosti</w:t>
                      </w:r>
                    </w:p>
                  </w:txbxContent>
                </v:textbox>
                <w10:wrap type="square" side="right" anchorx="page"/>
              </v:shape>
            </w:pict>
          </mc:Fallback>
        </mc:AlternateContent>
      </w:r>
      <w:r>
        <w:rPr>
          <w:noProof/>
        </w:rPr>
        <mc:AlternateContent>
          <mc:Choice Requires="wps">
            <w:drawing>
              <wp:anchor distT="883920" distB="0" distL="141605" distR="114300" simplePos="0" relativeHeight="125829770" behindDoc="0" locked="0" layoutInCell="1" allowOverlap="1">
                <wp:simplePos x="0" y="0"/>
                <wp:positionH relativeFrom="page">
                  <wp:posOffset>237490</wp:posOffset>
                </wp:positionH>
                <wp:positionV relativeFrom="paragraph">
                  <wp:posOffset>2026920</wp:posOffset>
                </wp:positionV>
                <wp:extent cx="2743200" cy="316865"/>
                <wp:effectExtent l="0" t="0" r="0" b="0"/>
                <wp:wrapSquare wrapText="right"/>
                <wp:docPr id="393" name="Shape 393"/>
                <wp:cNvGraphicFramePr/>
                <a:graphic xmlns:a="http://schemas.openxmlformats.org/drawingml/2006/main">
                  <a:graphicData uri="http://schemas.microsoft.com/office/word/2010/wordprocessingShape">
                    <wps:wsp>
                      <wps:cNvSpPr txBox="1"/>
                      <wps:spPr>
                        <a:xfrm>
                          <a:off x="0" y="0"/>
                          <a:ext cx="2743200" cy="31686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419" type="#_x0000_t202" style="position:absolute;margin-left:18.699999999999999pt;margin-top:159.59999999999999pt;width:216.pt;height:24.949999999999999pt;z-index:-125828983;mso-wrap-distance-left:11.15pt;mso-wrap-distance-top:69.599999999999994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line="240" w:lineRule="auto"/>
        <w:ind w:firstLine="0"/>
        <w:jc w:val="right"/>
        <w:rPr>
          <w:sz w:val="19"/>
          <w:szCs w:val="19"/>
        </w:rPr>
      </w:pPr>
      <w:r>
        <w:rPr>
          <w:b/>
          <w:bCs/>
          <w:sz w:val="20"/>
          <w:szCs w:val="20"/>
        </w:rPr>
        <w:t xml:space="preserve">PRSATÍ PŘÍTOMNOSTI C. 15: </w:t>
      </w:r>
      <w:r>
        <w:rPr>
          <w:b/>
          <w:bCs/>
          <w:sz w:val="19"/>
          <w:szCs w:val="19"/>
        </w:rPr>
        <w:t>ZDENĚK SMETÁČEK: Nepolitická politika — naše metoda nynější. — MILENA JE</w:t>
      </w:r>
      <w:r>
        <w:rPr>
          <w:b/>
          <w:bCs/>
          <w:sz w:val="19"/>
          <w:szCs w:val="19"/>
        </w:rPr>
        <w:softHyphen/>
        <w:t xml:space="preserve">SENSKÁ: Co Němci </w:t>
      </w:r>
      <w:r>
        <w:rPr>
          <w:b/>
          <w:bCs/>
          <w:sz w:val="19"/>
          <w:szCs w:val="19"/>
        </w:rPr>
        <w:t>očekávají od Čechů. — F. PEROUTKA: Národní umění se rodí stále znovu. — FRANTIŠEK</w:t>
      </w:r>
    </w:p>
    <w:p w:rsidR="00500724" w:rsidRDefault="00F30FB8">
      <w:pPr>
        <w:pStyle w:val="Zkladntext100"/>
        <w:shd w:val="clear" w:color="auto" w:fill="auto"/>
        <w:tabs>
          <w:tab w:val="left" w:leader="hyphen" w:pos="6363"/>
        </w:tabs>
        <w:spacing w:line="257" w:lineRule="auto"/>
        <w:ind w:left="440" w:firstLine="0"/>
        <w:rPr>
          <w:sz w:val="19"/>
          <w:szCs w:val="19"/>
        </w:rPr>
      </w:pPr>
      <w:r>
        <w:rPr>
          <w:b/>
          <w:bCs/>
          <w:sz w:val="19"/>
          <w:szCs w:val="19"/>
        </w:rPr>
        <w:t>KOŽÍK: Umění poslouchati rozhlas. — MARIE KUBEŠOVA:</w:t>
      </w:r>
      <w:r>
        <w:rPr>
          <w:b/>
          <w:bCs/>
          <w:sz w:val="19"/>
          <w:szCs w:val="19"/>
        </w:rPr>
        <w:tab/>
        <w:t>shledat štěstí jinde?« — W. GREILING: Chemie</w:t>
      </w:r>
    </w:p>
    <w:p w:rsidR="00500724" w:rsidRDefault="00F30FB8">
      <w:pPr>
        <w:pStyle w:val="Zkladntext100"/>
        <w:shd w:val="clear" w:color="auto" w:fill="auto"/>
        <w:spacing w:after="540" w:line="257" w:lineRule="auto"/>
        <w:ind w:left="440" w:firstLine="0"/>
        <w:rPr>
          <w:sz w:val="19"/>
          <w:szCs w:val="19"/>
        </w:rPr>
      </w:pPr>
      <w:r>
        <w:rPr>
          <w:b/>
          <w:bCs/>
          <w:sz w:val="19"/>
          <w:szCs w:val="19"/>
        </w:rPr>
        <w:t>přebytku či nedostatku? — A. M.: Milion kilogramů jedu. — V nových státoprávn</w:t>
      </w:r>
      <w:r>
        <w:rPr>
          <w:b/>
          <w:bCs/>
          <w:sz w:val="19"/>
          <w:szCs w:val="19"/>
        </w:rPr>
        <w:t>ích poměrech. — Záchrana existencí, hlavní úkol českého snaženi. — Význam Albánie.</w:t>
      </w:r>
    </w:p>
    <w:p w:rsidR="00500724" w:rsidRDefault="00F30FB8">
      <w:pPr>
        <w:pStyle w:val="Nadpis90"/>
        <w:keepNext/>
        <w:keepLines/>
        <w:shd w:val="clear" w:color="auto" w:fill="auto"/>
        <w:spacing w:after="140"/>
      </w:pPr>
      <w:bookmarkStart w:id="378" w:name="bookmark377"/>
      <w:r>
        <w:rPr>
          <w:u w:val="single"/>
        </w:rPr>
        <w:t>nezávislý týdeník</w:t>
      </w:r>
      <w:bookmarkEnd w:id="378"/>
    </w:p>
    <w:p w:rsidR="00500724" w:rsidRDefault="00F30FB8">
      <w:pPr>
        <w:pStyle w:val="Zkladntext20"/>
        <w:shd w:val="clear" w:color="auto" w:fill="auto"/>
        <w:spacing w:after="60" w:line="221" w:lineRule="auto"/>
        <w:ind w:firstLine="0"/>
        <w:jc w:val="center"/>
        <w:rPr>
          <w:sz w:val="20"/>
          <w:szCs w:val="20"/>
        </w:rPr>
      </w:pPr>
      <w:r>
        <w:rPr>
          <w:sz w:val="20"/>
          <w:szCs w:val="20"/>
        </w:rPr>
        <w:t>vychází ve středu v nakladatelství</w:t>
      </w:r>
      <w:r>
        <w:rPr>
          <w:sz w:val="20"/>
          <w:szCs w:val="20"/>
        </w:rPr>
        <w:br/>
        <w:t>FR. BOROVÝ V PRAZE I., NÁRODNÍ TŘÍDA 11.</w:t>
      </w:r>
    </w:p>
    <w:p w:rsidR="00500724" w:rsidRDefault="00F30FB8">
      <w:pPr>
        <w:pStyle w:val="Zkladntext40"/>
        <w:shd w:val="clear" w:color="auto" w:fill="auto"/>
        <w:spacing w:line="182" w:lineRule="auto"/>
      </w:pPr>
      <w:r>
        <w:t>Telefon číslo 390-51 až 54 • Očet poštovní spořitelny číslo 35.622 • Nevy</w:t>
      </w:r>
      <w:r>
        <w:softHyphen/>
        <w:t>žádan</w:t>
      </w:r>
      <w:r>
        <w:t xml:space="preserve">é rukopisy se nevracejí • Předplatné na rok K 100.—, na púl roku K 50.—. na čtvrt roku K 25.—, Jednotlivá čísla K 2.—. </w:t>
      </w:r>
      <w:r>
        <w:rPr>
          <w:lang w:val="en-US" w:eastAsia="en-US" w:bidi="en-US"/>
        </w:rPr>
        <w:t xml:space="preserve">Pour la </w:t>
      </w:r>
      <w:r>
        <w:rPr>
          <w:rFonts w:ascii="Arial" w:eastAsia="Arial" w:hAnsi="Arial" w:cs="Arial"/>
          <w:b/>
          <w:bCs/>
          <w:w w:val="70"/>
          <w:sz w:val="28"/>
          <w:szCs w:val="28"/>
        </w:rPr>
        <w:t>Plaň</w:t>
      </w:r>
      <w:r>
        <w:rPr>
          <w:rFonts w:ascii="Arial" w:eastAsia="Arial" w:hAnsi="Arial" w:cs="Arial"/>
          <w:b/>
          <w:bCs/>
          <w:w w:val="70"/>
          <w:sz w:val="28"/>
          <w:szCs w:val="28"/>
        </w:rPr>
        <w:softHyphen/>
      </w:r>
      <w:r>
        <w:t xml:space="preserve">ce et ses </w:t>
      </w:r>
      <w:r>
        <w:rPr>
          <w:lang w:val="en-US" w:eastAsia="en-US" w:bidi="en-US"/>
        </w:rPr>
        <w:t xml:space="preserve">Colonies </w:t>
      </w:r>
      <w:r>
        <w:t xml:space="preserve">Frs 2.50. • Dohlédací pošt. úřad Brno II. • Novinová sazba povolena v Brně ředitelstvím pošt a telegrafů </w:t>
      </w:r>
      <w:r>
        <w:t>pod čís. 119.268/IIIa. • Odpovědný redaktor J. Dlabač.</w:t>
      </w:r>
    </w:p>
    <w:p w:rsidR="00500724" w:rsidRDefault="00F30FB8">
      <w:pPr>
        <w:pStyle w:val="Zkladntext20"/>
        <w:shd w:val="clear" w:color="auto" w:fill="auto"/>
        <w:spacing w:after="100" w:line="221" w:lineRule="auto"/>
        <w:ind w:left="5380" w:firstLine="0"/>
        <w:jc w:val="left"/>
        <w:rPr>
          <w:sz w:val="20"/>
          <w:szCs w:val="20"/>
        </w:rPr>
      </w:pPr>
      <w:r>
        <w:rPr>
          <w:sz w:val="20"/>
          <w:szCs w:val="20"/>
        </w:rPr>
        <w:t>TISKEM LIDOVÉ TISKÁRNY, BRNO, ČESKÁ 6.</w:t>
      </w:r>
      <w:r>
        <w:br w:type="page"/>
      </w:r>
    </w:p>
    <w:p w:rsidR="00500724" w:rsidRDefault="00F30FB8">
      <w:pPr>
        <w:pStyle w:val="Nadpis60"/>
        <w:keepNext/>
        <w:keepLines/>
        <w:shd w:val="clear" w:color="auto" w:fill="auto"/>
        <w:ind w:right="60"/>
        <w:sectPr w:rsidR="00500724">
          <w:footnotePr>
            <w:numFmt w:val="chicago"/>
            <w:numRestart w:val="eachPage"/>
          </w:footnotePr>
          <w:type w:val="continuous"/>
          <w:pgSz w:w="11909" w:h="16834"/>
          <w:pgMar w:top="1057" w:right="955" w:bottom="416" w:left="374" w:header="0" w:footer="3" w:gutter="0"/>
          <w:cols w:space="720"/>
          <w:noEndnote/>
          <w:docGrid w:linePitch="360"/>
        </w:sectPr>
      </w:pPr>
      <w:bookmarkStart w:id="379" w:name="bookmark378"/>
      <w:r>
        <w:t>Přítomnosti</w:t>
      </w:r>
      <w:bookmarkEnd w:id="379"/>
    </w:p>
    <w:p w:rsidR="00500724" w:rsidRDefault="00F30FB8">
      <w:pPr>
        <w:pStyle w:val="Nadpis100"/>
        <w:shd w:val="clear" w:color="auto" w:fill="auto"/>
        <w:spacing w:after="80" w:line="240" w:lineRule="auto"/>
      </w:pPr>
      <w:bookmarkStart w:id="380" w:name="bookmark379"/>
      <w:r>
        <w:t>Panika s knihami</w:t>
      </w:r>
      <w:bookmarkEnd w:id="380"/>
    </w:p>
    <w:p w:rsidR="00500724" w:rsidRDefault="00F30FB8">
      <w:pPr>
        <w:pStyle w:val="Zkladntext20"/>
        <w:framePr w:dropCap="drop" w:lines="2" w:hSpace="14" w:vSpace="14" w:wrap="auto" w:vAnchor="text" w:hAnchor="text"/>
        <w:shd w:val="clear" w:color="auto" w:fill="auto"/>
        <w:spacing w:line="311" w:lineRule="exact"/>
        <w:ind w:firstLine="0"/>
      </w:pPr>
      <w:r>
        <w:rPr>
          <w:position w:val="-7"/>
          <w:sz w:val="48"/>
          <w:szCs w:val="48"/>
        </w:rPr>
        <w:t>V</w:t>
      </w:r>
    </w:p>
    <w:p w:rsidR="00500724" w:rsidRDefault="00F30FB8">
      <w:pPr>
        <w:pStyle w:val="Zkladntext20"/>
        <w:shd w:val="clear" w:color="auto" w:fill="auto"/>
        <w:spacing w:line="223" w:lineRule="auto"/>
        <w:ind w:firstLine="0"/>
      </w:pPr>
      <w:r>
        <w:t>elká změna, která v našem životě nadešla, prosvitl.</w:t>
      </w:r>
    </w:p>
    <w:p w:rsidR="00500724" w:rsidRDefault="00F30FB8">
      <w:pPr>
        <w:pStyle w:val="Zkladntext20"/>
        <w:shd w:val="clear" w:color="auto" w:fill="auto"/>
        <w:spacing w:line="221" w:lineRule="auto"/>
        <w:ind w:firstLine="440"/>
      </w:pPr>
      <w:r>
        <w:t>la rázem všeliké kouty naší domácnosti. Kdežto lid</w:t>
      </w:r>
      <w:r>
        <w:t xml:space="preserve"> s podivuhodnou jednomyslností zachoval klid, roz</w:t>
      </w:r>
      <w:r>
        <w:softHyphen/>
        <w:t>vahu i důstojnou hrdost, ve vyšších vrstvách leckdo vidíme, že dvacet let blahobytu a jisté bezstarostnosti dovedlo nečekaně oslabit charakter i rozum. Na mno</w:t>
      </w:r>
      <w:r>
        <w:softHyphen/>
        <w:t>hých místech najednou vidíme sklon k bezhlavé p</w:t>
      </w:r>
      <w:r>
        <w:t>a</w:t>
      </w:r>
      <w:r>
        <w:softHyphen/>
        <w:t>nice, projevující se činy, jakých se nedopustí člověk, vědomý si své důstojnosti. Všelicos z toho se už na vý</w:t>
      </w:r>
      <w:r>
        <w:softHyphen/>
        <w:t>strahu zaznamenalo, jedna věc zůstala ještě ne</w:t>
      </w:r>
      <w:r>
        <w:softHyphen/>
        <w:t>povšimnuta. Na různých místech Prahy se vyskytuj pohozené balíky. Po otevření se v nich najdou kn</w:t>
      </w:r>
      <w:r>
        <w:t>ihy, české knihy klasických autorů národních, knihy Havlíčkovy, Čechovy, Jiráskovy, Herbenovy. Až hrů</w:t>
      </w:r>
      <w:r>
        <w:softHyphen/>
        <w:t xml:space="preserve">za z toho obchází, že máme mezi sebou vzdělance, kteří byli tak hluší k řeči oněch děl, tak málo přijali </w:t>
      </w:r>
      <w:r>
        <w:rPr>
          <w:b/>
          <w:bCs/>
          <w:sz w:val="26"/>
          <w:szCs w:val="26"/>
        </w:rPr>
        <w:t xml:space="preserve">z </w:t>
      </w:r>
      <w:r>
        <w:t xml:space="preserve">ducha, jenž celou tou literaturou září, že při </w:t>
      </w:r>
      <w:r>
        <w:t>prvním otřesu zrazují, co je nám nejposvátnější záštitou.</w:t>
      </w:r>
    </w:p>
    <w:p w:rsidR="00500724" w:rsidRDefault="00F30FB8">
      <w:pPr>
        <w:pStyle w:val="Zkladntext20"/>
        <w:shd w:val="clear" w:color="auto" w:fill="auto"/>
        <w:spacing w:line="221" w:lineRule="auto"/>
        <w:ind w:firstLine="260"/>
      </w:pPr>
      <w:r>
        <w:t>Je pravda, že každá velká národní pospolitost vleče s sebou na své, třebas i pozlacené periferii mnohou kreaturu, která není hodna souručenství ostatních. Ale tentokrát se nám zdá, že některé neblah</w:t>
      </w:r>
      <w:r>
        <w:t>é zjevy vznikají také z příčin, které může správně fungujíď organismus odstranit. Je těžko přemoci bázlivost jed</w:t>
      </w:r>
      <w:r>
        <w:softHyphen/>
        <w:t>notlivce, ale snad lze způsobit, aby se udržela ve sne</w:t>
      </w:r>
      <w:r>
        <w:softHyphen/>
        <w:t>sitelných formách. Konkrétně řečeno: myslit na to, aby důvěra lidí nebyla oslabována pop</w:t>
      </w:r>
      <w:r>
        <w:t>lašnými po</w:t>
      </w:r>
      <w:r>
        <w:softHyphen/>
        <w:t>věstmi, k nimž se úředně mlčí, a naopak aby byla po</w:t>
      </w:r>
      <w:r>
        <w:softHyphen/>
        <w:t>silována hlasem těch, kteří mají odpovědnost za ve</w:t>
      </w:r>
      <w:r>
        <w:softHyphen/>
        <w:t>dení národa.</w:t>
      </w:r>
    </w:p>
    <w:p w:rsidR="00500724" w:rsidRDefault="00F30FB8">
      <w:pPr>
        <w:pStyle w:val="Zkladntext20"/>
        <w:shd w:val="clear" w:color="auto" w:fill="auto"/>
        <w:spacing w:after="100" w:line="194" w:lineRule="auto"/>
        <w:ind w:firstLine="0"/>
        <w:jc w:val="center"/>
      </w:pPr>
      <w:r>
        <w:t>•</w:t>
      </w:r>
    </w:p>
    <w:p w:rsidR="00500724" w:rsidRDefault="00F30FB8">
      <w:pPr>
        <w:pStyle w:val="Zkladntext20"/>
        <w:shd w:val="clear" w:color="auto" w:fill="auto"/>
        <w:spacing w:after="80" w:line="204" w:lineRule="auto"/>
        <w:ind w:firstLine="260"/>
      </w:pPr>
      <w:r>
        <w:t>Je to až fantastické, sledujeme-li vznik panikovité- ho ovzduší. Jednoho vzrušeného dne vyhlašoval praž</w:t>
      </w:r>
      <w:r>
        <w:softHyphen/>
        <w:t>ský pouliční rozhlas, ž</w:t>
      </w:r>
      <w:r>
        <w:t>e podle policejního rozhodnutí nesmí auta parkovati na Příkopě a na Národní třídě, tuším od 8 hodin ráno do 8 hodin večer. Vstupoval jsem do nabité tramvaje, kde se všichni snažili po</w:t>
      </w:r>
      <w:r>
        <w:softHyphen/>
        <w:t>chytit, co to venku hlásí. Někdo se na to zeptal muže, který vstupoval p</w:t>
      </w:r>
      <w:r>
        <w:t>řede mnou. Bez rozpaku oznámil všem ostatním: Policejní ředitelství nařizuje, že v osm večer se musí všecko zavřít a nikdo nesmí na ulici. Kdybych ho nebyl okřikl, roznášelo by padesát lidí po Praze zprávu, že večer nesmí nikdo ven: a lze si představit, ja</w:t>
      </w:r>
      <w:r>
        <w:t>ká lavina deprimujících nebo pobuřují</w:t>
      </w:r>
      <w:r>
        <w:softHyphen/>
        <w:t>cích řečí by se z toho roznesla. Takhle nějak se také stalo, že na tento Boží hod velikonoční se ve vesnicích v pražském okolí vyprávělo, že v Praze bylo právě nařízeno spát v šatech, aby se mohlo město okamžitě evakuo</w:t>
      </w:r>
      <w:r>
        <w:t>vat. Proč a nač, o tom už lidé nemyslí — tlach letí od úst k ústům jen proto, že je nějak poplašný. Tak vzniká prostředí naladěné k panice, prostředí ne</w:t>
      </w:r>
      <w:r>
        <w:softHyphen/>
        <w:t>smyslných řečí a, nerozvážného jednání, kde lidé prostě dělají hlouposti. To je doba, kdy je desatero</w:t>
      </w:r>
      <w:r>
        <w:softHyphen/>
        <w:t>n</w:t>
      </w:r>
      <w:r>
        <w:t>ásobně třeba vytrvalého a bdělého vysvětlování a někdy i rázného okřiknutí.</w:t>
      </w:r>
    </w:p>
    <w:p w:rsidR="00500724" w:rsidRDefault="00F30FB8">
      <w:pPr>
        <w:pStyle w:val="Zkladntext20"/>
        <w:shd w:val="clear" w:color="auto" w:fill="auto"/>
        <w:spacing w:after="360" w:line="202" w:lineRule="auto"/>
      </w:pPr>
      <w:r>
        <w:t>Tak se můžeme zase vrátit k případu paniky s kníž</w:t>
      </w:r>
      <w:r>
        <w:softHyphen/>
        <w:t>kami. Úředně bylo vydáno interní upozornění, aby se dohlédlo na výkladní skříně knihkupců, aby nevysta</w:t>
      </w:r>
      <w:r>
        <w:softHyphen/>
        <w:t>vovali nevhodnou literaturu</w:t>
      </w:r>
      <w:r>
        <w:t>. To jest opatření správné a rozumné, ale jak šlo v této ne dosti přesné stylisaci od instance k instanci, skončilo se to v praxi tak, že u jednoho knihkupce bylo nařízeno odstranit z vý</w:t>
      </w:r>
      <w:r>
        <w:softHyphen/>
        <w:t>kladu »Konec samostatnosti české«, jinde Pavla Stránského spis »O stá</w:t>
      </w:r>
      <w:r>
        <w:t>tě českém«, jinde spisy Ivana Olbrachta a jinde dokonce Čapkovy »Hovory s T. G. M.«. Tohle však je jen nepatrný výpočet z veli</w:t>
      </w:r>
      <w:r>
        <w:softHyphen/>
        <w:t>kého množství pozastavených knih, neboť některým se zdál závadným i Havlíček, Jirásek, Svatopluk Čech, Herben, Masaryk — právě ta</w:t>
      </w:r>
      <w:r>
        <w:t xml:space="preserve"> skupina autorů, která se objevuje v pohozených balících literatury, jíž se postrašení lidé chtějí zbavit. Není tedy bez důvodu domněnka, že právě onen nešťastně realisovaný zá</w:t>
      </w:r>
      <w:r>
        <w:softHyphen/>
        <w:t>krok byl příčinou k vyděšení slabochů, že přechová</w:t>
      </w:r>
      <w:r>
        <w:softHyphen/>
        <w:t>vají doma něco, po čem úřady</w:t>
      </w:r>
      <w:r>
        <w:t xml:space="preserve"> »pasou«. Mohlo to vzniknout tím spíše, že i forma zákazu v jednotlivých knihkupectvích se lišila — setkal jsem se s knihkup</w:t>
      </w:r>
      <w:r>
        <w:softHyphen/>
        <w:t>cem, který byl přesvědčen, že to je naprostá kon</w:t>
      </w:r>
      <w:r>
        <w:softHyphen/>
        <w:t>fiskace, a odepřel mi prodati antikvární knížku Trau- bovu o Květnovém spiknutí r.</w:t>
      </w:r>
      <w:r>
        <w:t xml:space="preserve"> 1849. V knihkupectvích se tento zmatek vyřídil šťastným odborným zasáhnu</w:t>
      </w:r>
      <w:r>
        <w:softHyphen/>
        <w:t>tím Svazu knihkupců a nakladatelů, který podal svým: členům rozumný výklad i zvláštní rady, ale věc ne</w:t>
      </w:r>
      <w:r>
        <w:softHyphen/>
        <w:t xml:space="preserve">zůstala omezena na vitríny a pulty a přeskočila do šeptaných výstrah neblahého </w:t>
      </w:r>
      <w:r>
        <w:t>rázu.</w:t>
      </w:r>
    </w:p>
    <w:p w:rsidR="00500724" w:rsidRDefault="00F30FB8">
      <w:pPr>
        <w:pStyle w:val="Zkladntext20"/>
        <w:shd w:val="clear" w:color="auto" w:fill="auto"/>
        <w:spacing w:after="80" w:line="204" w:lineRule="auto"/>
      </w:pPr>
      <w:r>
        <w:t>Je třeba stále na to myslit, že žijeme ve dnech zcela výjimečných, kdy se v takovém pražském hemžení vytvářejí psychosy všeho druhu. Každá z nich je škodlivá a nebezpečná choroba, které je nutno se brá</w:t>
      </w:r>
      <w:r>
        <w:softHyphen/>
        <w:t>nit. Nejlepší prostředek je vždy svobodné slovo.</w:t>
      </w:r>
      <w:r>
        <w:t xml:space="preserve"> Jení proto, že se teď tak málo ozývá, propadají lidé doha</w:t>
      </w:r>
      <w:r>
        <w:softHyphen/>
        <w:t>dům, které všecko zveličují.</w:t>
      </w:r>
    </w:p>
    <w:p w:rsidR="00500724" w:rsidRDefault="00F30FB8">
      <w:pPr>
        <w:pStyle w:val="Zkladntext20"/>
        <w:shd w:val="clear" w:color="auto" w:fill="auto"/>
        <w:spacing w:line="202" w:lineRule="auto"/>
      </w:pPr>
      <w:r>
        <w:t>Proti tomu však nezbytně nutno nasadit rozvahu každého jednotlivce, aby radou i výkladem pomohl zmateným duším. Neboť nyní je právě doba, kdy se česká četba z dob minul</w:t>
      </w:r>
      <w:r>
        <w:t>ých stane nejmocnějším zdrojem záchovné národní síly. Od Havlíčka až k Čap</w:t>
      </w:r>
      <w:r>
        <w:softHyphen/>
        <w:t>kovi je to nepřetržitý proud duchovní útěchy a vzpru</w:t>
      </w:r>
      <w:r>
        <w:softHyphen/>
        <w:t>hy, nekonečné jiskřeni národního pokladu, nedotknu</w:t>
      </w:r>
      <w:r>
        <w:softHyphen/>
        <w:t>telné paladium víry a naděje. V těch knihách a kníž</w:t>
      </w:r>
      <w:r>
        <w:softHyphen/>
        <w:t xml:space="preserve">kách je život naší řeči, </w:t>
      </w:r>
      <w:r>
        <w:t>našeho cítění a myšlení i na</w:t>
      </w:r>
      <w:r>
        <w:softHyphen/>
        <w:t>šeho rozhodování. Bez těchto knížek jsme jenom houfy a zástupy, z nich rosteme v národ. Střež svoje knihy, český člověče, a vracej se stále znovu k Havlíč</w:t>
      </w:r>
      <w:r>
        <w:softHyphen/>
        <w:t>kovi, Němcové, Nerudovi a ostatním; neboť vzdáš-li se jich a nic-li ti n</w:t>
      </w:r>
      <w:r>
        <w:t>epraví jejich hlas, opustil jsi ten tisíci</w:t>
      </w:r>
      <w:r>
        <w:softHyphen/>
        <w:t>letý svazek, jemuž se říká český národ.</w:t>
      </w:r>
    </w:p>
    <w:p w:rsidR="00500724" w:rsidRDefault="00F30FB8">
      <w:pPr>
        <w:pStyle w:val="Zkladntext100"/>
        <w:shd w:val="clear" w:color="auto" w:fill="auto"/>
        <w:spacing w:after="200" w:line="240" w:lineRule="auto"/>
        <w:ind w:firstLine="0"/>
        <w:jc w:val="right"/>
        <w:rPr>
          <w:sz w:val="19"/>
          <w:szCs w:val="19"/>
        </w:rPr>
      </w:pPr>
      <w:r>
        <w:rPr>
          <w:b/>
          <w:bCs/>
          <w:i/>
          <w:iCs/>
          <w:sz w:val="19"/>
          <w:szCs w:val="19"/>
        </w:rPr>
        <w:t>Eduard Sohmidt-Basd</w:t>
      </w:r>
    </w:p>
    <w:p w:rsidR="00500724" w:rsidRDefault="00F30FB8">
      <w:pPr>
        <w:pStyle w:val="Zkladntext20"/>
        <w:shd w:val="clear" w:color="auto" w:fill="auto"/>
        <w:spacing w:after="140" w:line="223" w:lineRule="auto"/>
        <w:ind w:firstLine="0"/>
        <w:jc w:val="right"/>
        <w:rPr>
          <w:sz w:val="20"/>
          <w:szCs w:val="20"/>
        </w:rPr>
      </w:pPr>
      <w:r>
        <w:rPr>
          <w:sz w:val="20"/>
          <w:szCs w:val="20"/>
        </w:rPr>
        <w:t>W</w:t>
      </w:r>
      <w:r>
        <w:br w:type="page"/>
      </w:r>
    </w:p>
    <w:p w:rsidR="00500724" w:rsidRDefault="00F30FB8">
      <w:pPr>
        <w:pStyle w:val="Jin0"/>
        <w:pBdr>
          <w:bottom w:val="single" w:sz="4" w:space="0" w:color="auto"/>
        </w:pBdr>
        <w:shd w:val="clear" w:color="auto" w:fill="auto"/>
        <w:spacing w:after="320"/>
        <w:ind w:firstLine="0"/>
        <w:jc w:val="left"/>
        <w:rPr>
          <w:sz w:val="44"/>
          <w:szCs w:val="44"/>
        </w:rPr>
      </w:pPr>
      <w:r>
        <w:rPr>
          <w:rFonts w:ascii="Calibri" w:eastAsia="Calibri" w:hAnsi="Calibri" w:cs="Calibri"/>
          <w:b/>
          <w:bCs/>
          <w:w w:val="70"/>
          <w:sz w:val="44"/>
          <w:szCs w:val="44"/>
        </w:rPr>
        <w:t xml:space="preserve">p © s a á m </w:t>
      </w:r>
      <w:r>
        <w:rPr>
          <w:rFonts w:ascii="Calibri" w:eastAsia="Calibri" w:hAnsi="Calibri" w:cs="Calibri"/>
          <w:b/>
          <w:bCs/>
          <w:w w:val="70"/>
          <w:sz w:val="44"/>
          <w:szCs w:val="44"/>
          <w:lang w:val="en-US" w:eastAsia="en-US" w:bidi="en-US"/>
        </w:rPr>
        <w:t xml:space="preserve">Is </w:t>
      </w:r>
      <w:r>
        <w:rPr>
          <w:rFonts w:ascii="Calibri" w:eastAsia="Calibri" w:hAnsi="Calibri" w:cs="Calibri"/>
          <w:b/>
          <w:bCs/>
          <w:w w:val="70"/>
          <w:sz w:val="44"/>
          <w:szCs w:val="44"/>
        </w:rPr>
        <w:t>y</w:t>
      </w:r>
    </w:p>
    <w:p w:rsidR="00500724" w:rsidRDefault="00F30FB8">
      <w:pPr>
        <w:pStyle w:val="Zkladntext20"/>
        <w:shd w:val="clear" w:color="auto" w:fill="auto"/>
        <w:spacing w:after="80" w:line="178" w:lineRule="auto"/>
        <w:ind w:left="140" w:firstLine="0"/>
        <w:jc w:val="left"/>
        <w:rPr>
          <w:sz w:val="20"/>
          <w:szCs w:val="20"/>
        </w:rPr>
      </w:pPr>
      <w:r>
        <w:rPr>
          <w:b/>
          <w:bCs/>
          <w:sz w:val="20"/>
          <w:szCs w:val="20"/>
        </w:rPr>
        <w:t>Stále dost úkolů pro Kontrolní a úspornou komisi</w:t>
      </w:r>
    </w:p>
    <w:p w:rsidR="00500724" w:rsidRDefault="00F30FB8">
      <w:pPr>
        <w:pStyle w:val="Zkladntext100"/>
        <w:shd w:val="clear" w:color="auto" w:fill="auto"/>
        <w:spacing w:after="40" w:line="187" w:lineRule="auto"/>
        <w:ind w:firstLine="260"/>
        <w:rPr>
          <w:sz w:val="19"/>
          <w:szCs w:val="19"/>
        </w:rPr>
      </w:pPr>
      <w:r>
        <w:rPr>
          <w:b/>
          <w:bCs/>
          <w:sz w:val="19"/>
          <w:szCs w:val="19"/>
        </w:rPr>
        <w:t>Po neúspěchu popřevratové Kramářovy Parlamentní kontrolní a úsporné komise byla tato</w:t>
      </w:r>
      <w:r>
        <w:rPr>
          <w:b/>
          <w:bCs/>
          <w:sz w:val="19"/>
          <w:szCs w:val="19"/>
        </w:rPr>
        <w:t xml:space="preserve"> instituce oživena za let poslední hospodářské krise a pracovala až do zániku par</w:t>
      </w:r>
      <w:r>
        <w:rPr>
          <w:b/>
          <w:bCs/>
          <w:sz w:val="19"/>
          <w:szCs w:val="19"/>
        </w:rPr>
        <w:softHyphen/>
        <w:t>lamentu u nás. Rozpuštěním sněmoven zmizela a již nyní je patrno, že tím vznikla mezera, kterou lze, s použitím staré fráze na tomto vhodném místě, nazvat mezerou ci</w:t>
      </w:r>
      <w:r>
        <w:rPr>
          <w:b/>
          <w:bCs/>
          <w:sz w:val="19"/>
          <w:szCs w:val="19"/>
        </w:rPr>
        <w:softHyphen/>
        <w:t xml:space="preserve">telnou. </w:t>
      </w:r>
      <w:r>
        <w:rPr>
          <w:b/>
          <w:bCs/>
          <w:sz w:val="19"/>
          <w:szCs w:val="19"/>
        </w:rPr>
        <w:t>Je ovšem pravda, že Parlamentní kontrolní a úsporná komise se v posledních dvou letech leckomu zdála někdy »příliš agilní«, při ěemž ovšem nemáme na mysli kritiky, kterým bylo nepříjemné, že se jim komise iplete« do jejich úřadování. Ale přes to, že komise</w:t>
      </w:r>
      <w:r>
        <w:rPr>
          <w:b/>
          <w:bCs/>
          <w:sz w:val="19"/>
          <w:szCs w:val="19"/>
        </w:rPr>
        <w:t xml:space="preserve"> měla k dispo</w:t>
      </w:r>
      <w:r>
        <w:rPr>
          <w:b/>
          <w:bCs/>
          <w:sz w:val="19"/>
          <w:szCs w:val="19"/>
        </w:rPr>
        <w:softHyphen/>
        <w:t xml:space="preserve">sici jen skromný aparát a že pracovala zdarma, byla její činnost v celku dobrá a úspěšná, hlavně proto, že počítala s neúřednickým světem, dívala se kolem sebe, myslila prakticky a docela nebyrokraticky. Také proto, konečně, že neváhala říci </w:t>
      </w:r>
      <w:r>
        <w:rPr>
          <w:b/>
          <w:bCs/>
          <w:sz w:val="19"/>
          <w:szCs w:val="19"/>
        </w:rPr>
        <w:t>své mínění k ěemukoliv, o čem soudila, že je to veřejný zájem. Toto hledisko obecného prospěchu bylo tak patrné, že jsme mohli s mírným podivením čisti v posledním týdnu nejenom ve »Venkově«, ale i v »Expre- su« velmi pochvalné články o Parlamentní kontrol</w:t>
      </w:r>
      <w:r>
        <w:rPr>
          <w:b/>
          <w:bCs/>
          <w:sz w:val="19"/>
          <w:szCs w:val="19"/>
        </w:rPr>
        <w:t>ní a úsporné komisi, při čemž zejména pozoruhodné bylo, že byl chválen velmi upřímně její generální zpravodaj, bývalý sociálně demokratický poslanec Antonín Remeš. Tento muž ovšem skutečně nikdy neznal stranictví a jak bylo o něm kdysi vtipně řečeno, díval</w:t>
      </w:r>
      <w:r>
        <w:rPr>
          <w:b/>
          <w:bCs/>
          <w:sz w:val="19"/>
          <w:szCs w:val="19"/>
        </w:rPr>
        <w:t xml:space="preserve"> se stále po všech koutech státu, kde je nějaké smetí a špína, aby to pohotově a dů</w:t>
      </w:r>
      <w:r>
        <w:rPr>
          <w:b/>
          <w:bCs/>
          <w:sz w:val="19"/>
          <w:szCs w:val="19"/>
        </w:rPr>
        <w:softHyphen/>
        <w:t>kladně vymetl a vyčistil. I když Remešovi je dnes přes šede</w:t>
      </w:r>
      <w:r>
        <w:rPr>
          <w:b/>
          <w:bCs/>
          <w:sz w:val="19"/>
          <w:szCs w:val="19"/>
        </w:rPr>
        <w:softHyphen/>
        <w:t xml:space="preserve">sát let, je to člověk, jehož schopností, agilnosti, poctivosti </w:t>
      </w:r>
      <w:r>
        <w:rPr>
          <w:b/>
          <w:bCs/>
          <w:i/>
          <w:iCs/>
          <w:sz w:val="20"/>
          <w:szCs w:val="20"/>
        </w:rPr>
        <w:t>a</w:t>
      </w:r>
      <w:r>
        <w:rPr>
          <w:b/>
          <w:bCs/>
          <w:sz w:val="19"/>
          <w:szCs w:val="19"/>
        </w:rPr>
        <w:t xml:space="preserve"> znalosti by mělo býti využito. Toť se rozumí, ž</w:t>
      </w:r>
      <w:r>
        <w:rPr>
          <w:b/>
          <w:bCs/>
          <w:sz w:val="19"/>
          <w:szCs w:val="19"/>
        </w:rPr>
        <w:t>e se Re</w:t>
      </w:r>
      <w:r>
        <w:rPr>
          <w:b/>
          <w:bCs/>
          <w:sz w:val="19"/>
          <w:szCs w:val="19"/>
        </w:rPr>
        <w:softHyphen/>
        <w:t>meš při této prácí nadřel, ale vždy podle zásady, že za »práci pro vlast se neplatíc. Právem se mu dnes dostává uznání se všech stran.</w:t>
      </w:r>
    </w:p>
    <w:p w:rsidR="00500724" w:rsidRDefault="00F30FB8">
      <w:pPr>
        <w:pStyle w:val="Zkladntext100"/>
        <w:shd w:val="clear" w:color="auto" w:fill="auto"/>
        <w:tabs>
          <w:tab w:val="left" w:pos="4723"/>
        </w:tabs>
        <w:spacing w:after="240" w:line="190" w:lineRule="auto"/>
        <w:ind w:firstLine="260"/>
        <w:rPr>
          <w:sz w:val="20"/>
          <w:szCs w:val="20"/>
        </w:rPr>
      </w:pPr>
      <w:r>
        <w:rPr>
          <w:b/>
          <w:bCs/>
          <w:sz w:val="19"/>
          <w:szCs w:val="19"/>
        </w:rPr>
        <w:t>Věcnost, rychlost a spravedlnost, to byly hlavní zásady Parlamentní kontrolní a úsporné komise, podle nichž řídil</w:t>
      </w:r>
      <w:r>
        <w:rPr>
          <w:b/>
          <w:bCs/>
          <w:sz w:val="19"/>
          <w:szCs w:val="19"/>
        </w:rPr>
        <w:t>a své zásahy do úředního, státního, veřejného i poloveřejné- ho života. Dnes, kdy zmizel parlament, je pro tuto komisi práce při nejmenším stejně tolik, jako dříve. Bylo by tedy ‘velmi žádoucí vytvořit ji znovu a najiti formu, aby měla alespoň tolik pravom</w:t>
      </w:r>
      <w:r>
        <w:rPr>
          <w:b/>
          <w:bCs/>
          <w:sz w:val="19"/>
          <w:szCs w:val="19"/>
        </w:rPr>
        <w:t>ocí. Jako mívala dosud.</w:t>
      </w:r>
      <w:r>
        <w:rPr>
          <w:b/>
          <w:bCs/>
          <w:sz w:val="19"/>
          <w:szCs w:val="19"/>
        </w:rPr>
        <w:tab/>
      </w:r>
      <w:r>
        <w:rPr>
          <w:b/>
          <w:bCs/>
          <w:i/>
          <w:iCs/>
          <w:sz w:val="20"/>
          <w:szCs w:val="20"/>
        </w:rPr>
        <w:t>Cis</w:t>
      </w:r>
    </w:p>
    <w:p w:rsidR="00500724" w:rsidRDefault="00F30FB8">
      <w:pPr>
        <w:pStyle w:val="Zkladntext20"/>
        <w:shd w:val="clear" w:color="auto" w:fill="auto"/>
        <w:spacing w:after="80" w:line="178" w:lineRule="auto"/>
        <w:ind w:firstLine="0"/>
        <w:jc w:val="center"/>
        <w:rPr>
          <w:sz w:val="20"/>
          <w:szCs w:val="20"/>
        </w:rPr>
      </w:pPr>
      <w:r>
        <w:rPr>
          <w:b/>
          <w:bCs/>
          <w:i/>
          <w:iCs/>
          <w:sz w:val="20"/>
          <w:szCs w:val="20"/>
        </w:rPr>
        <w:t>Nové</w:t>
      </w:r>
      <w:r>
        <w:rPr>
          <w:b/>
          <w:bCs/>
          <w:sz w:val="20"/>
          <w:szCs w:val="20"/>
        </w:rPr>
        <w:t xml:space="preserve"> směry hospodářského myšlení</w:t>
      </w:r>
    </w:p>
    <w:p w:rsidR="00500724" w:rsidRDefault="00F30FB8">
      <w:pPr>
        <w:pStyle w:val="Zkladntext100"/>
        <w:shd w:val="clear" w:color="auto" w:fill="auto"/>
        <w:spacing w:after="40" w:line="182" w:lineRule="auto"/>
        <w:ind w:firstLine="260"/>
        <w:rPr>
          <w:sz w:val="19"/>
          <w:szCs w:val="19"/>
        </w:rPr>
      </w:pPr>
      <w:r>
        <w:rPr>
          <w:b/>
          <w:bCs/>
          <w:sz w:val="19"/>
          <w:szCs w:val="19"/>
        </w:rPr>
        <w:t xml:space="preserve">Jak vidíme všichni kolem sebe, je naše území zařaďová- no postupně víc a více do hospodářského území Říše, při čemž je zachovávána jeho celní samostatnost a do určité míry </w:t>
      </w:r>
      <w:r>
        <w:rPr>
          <w:rFonts w:ascii="Arial" w:eastAsia="Arial" w:hAnsi="Arial" w:cs="Arial"/>
          <w:b/>
          <w:bCs/>
          <w:sz w:val="26"/>
          <w:szCs w:val="26"/>
        </w:rPr>
        <w:t xml:space="preserve">i </w:t>
      </w:r>
      <w:r>
        <w:rPr>
          <w:b/>
          <w:bCs/>
          <w:sz w:val="19"/>
          <w:szCs w:val="19"/>
        </w:rPr>
        <w:t xml:space="preserve">finančně-hospodářská </w:t>
      </w:r>
      <w:r>
        <w:rPr>
          <w:b/>
          <w:bCs/>
          <w:sz w:val="19"/>
          <w:szCs w:val="19"/>
        </w:rPr>
        <w:t xml:space="preserve">odlišnost, ovšem v mezích, stanové- ných výnosem Vůdce a říšského kancléře ze 16. března 1939. Ale je přirozené, že vlivy prostředí se projeví nejenom ve formách celkové organisace, ale také v nových směrech hospodářského myšlení u nás. Velmocenské území, </w:t>
      </w:r>
      <w:r>
        <w:rPr>
          <w:b/>
          <w:bCs/>
          <w:sz w:val="19"/>
          <w:szCs w:val="19"/>
        </w:rPr>
        <w:t>jehož jsme součástí, je od roku 1934 spravováno podle plánů, af jsou to již plány na čtyřleté hospodářské údobí, anebo zá</w:t>
      </w:r>
      <w:r>
        <w:rPr>
          <w:b/>
          <w:bCs/>
          <w:sz w:val="19"/>
          <w:szCs w:val="19"/>
        </w:rPr>
        <w:softHyphen/>
        <w:t>sadní plány organisační, výrobní, dopravní či odbytové, a podle těchto plánů bude také naše země do velké míry stále víc a více řízena</w:t>
      </w:r>
      <w:r>
        <w:rPr>
          <w:b/>
          <w:bCs/>
          <w:sz w:val="19"/>
          <w:szCs w:val="19"/>
        </w:rPr>
        <w:t>.</w:t>
      </w:r>
    </w:p>
    <w:p w:rsidR="00500724" w:rsidRDefault="00F30FB8">
      <w:pPr>
        <w:pStyle w:val="Zkladntext100"/>
        <w:shd w:val="clear" w:color="auto" w:fill="auto"/>
        <w:spacing w:after="40" w:line="187" w:lineRule="auto"/>
        <w:ind w:firstLine="260"/>
        <w:rPr>
          <w:sz w:val="19"/>
          <w:szCs w:val="19"/>
        </w:rPr>
      </w:pPr>
      <w:r>
        <w:rPr>
          <w:b/>
          <w:bCs/>
          <w:sz w:val="19"/>
          <w:szCs w:val="19"/>
        </w:rPr>
        <w:t>Vývoj hospodářství tedy půjde od svobody k vázanosti. Je ovšem pravda, že také u nás již i za dob dřívějšího stát</w:t>
      </w:r>
      <w:r>
        <w:rPr>
          <w:b/>
          <w:bCs/>
          <w:sz w:val="19"/>
          <w:szCs w:val="19"/>
        </w:rPr>
        <w:softHyphen/>
        <w:t>ního zřízení jsme nastoupili cesty vázaného hospodářství, ale dálo se tak tehdy hlavně na základě vzájemného jed</w:t>
      </w:r>
      <w:r>
        <w:rPr>
          <w:b/>
          <w:bCs/>
          <w:sz w:val="19"/>
          <w:szCs w:val="19"/>
        </w:rPr>
        <w:softHyphen/>
        <w:t xml:space="preserve">nání mezí skupinami, </w:t>
      </w:r>
      <w:r>
        <w:rPr>
          <w:b/>
          <w:bCs/>
          <w:sz w:val="19"/>
          <w:szCs w:val="19"/>
        </w:rPr>
        <w:t xml:space="preserve">neboli, abychom tak řekli, politikou dohodování v hospodářských věcech. Byly také některé oblasti, jako na příklad zemědělská produkce, kde se v tomto směru pokročilo tak daleko, že nové směry prostě navážou již na to, kam se zatím u nás došlo. Kromě toho </w:t>
      </w:r>
      <w:r>
        <w:rPr>
          <w:b/>
          <w:bCs/>
          <w:sz w:val="19"/>
          <w:szCs w:val="19"/>
        </w:rPr>
        <w:t>byly zde skupiny na pravici i na levici, které upozorňovaly na některé moderní směry hospodářské politiky zvláště v oboru politiky měnové. Taliové směry ostatně jsou ně</w:t>
      </w:r>
      <w:r>
        <w:rPr>
          <w:b/>
          <w:bCs/>
          <w:sz w:val="19"/>
          <w:szCs w:val="19"/>
        </w:rPr>
        <w:softHyphen/>
        <w:t xml:space="preserve">kolik let i jinde, na přiklad také v Anglii, ale zatím zvítězily úplně jen v Říši, kde </w:t>
      </w:r>
      <w:r>
        <w:rPr>
          <w:b/>
          <w:bCs/>
          <w:sz w:val="19"/>
          <w:szCs w:val="19"/>
        </w:rPr>
        <w:t>ovšem byly zařáděny do rámcej celkového plánování. Také zde tedy můžeme očekávat zrychlenější a ukázněnější vývoj.</w:t>
      </w:r>
    </w:p>
    <w:p w:rsidR="00500724" w:rsidRDefault="00F30FB8">
      <w:pPr>
        <w:pStyle w:val="Zkladntext100"/>
        <w:shd w:val="clear" w:color="auto" w:fill="auto"/>
        <w:spacing w:line="187" w:lineRule="auto"/>
        <w:ind w:firstLine="260"/>
        <w:rPr>
          <w:sz w:val="19"/>
          <w:szCs w:val="19"/>
        </w:rPr>
      </w:pPr>
      <w:r>
        <w:rPr>
          <w:b/>
          <w:bCs/>
          <w:sz w:val="19"/>
          <w:szCs w:val="19"/>
        </w:rPr>
        <w:t xml:space="preserve">Tento vývoj k vázanosti se nyní urychlí. Rozum! se, že nezasáhne pouze výrobu a oběh statků s celou fi- nančně-hospodářskou technikou, která </w:t>
      </w:r>
      <w:r>
        <w:rPr>
          <w:b/>
          <w:bCs/>
          <w:sz w:val="19"/>
          <w:szCs w:val="19"/>
        </w:rPr>
        <w:t>k tomu patří, ale že se také projeví i ve věcech sociáině-hospodářskýeh, totiž ve mzdách a cenách, tedy v hodnocení práce a zboží. Hlavni zásadou této vázanosti je stabilita, totiž znemožnění cenových výkyvů. Celé hospodářství je vázáno tak, aby velké poli</w:t>
      </w:r>
      <w:r>
        <w:rPr>
          <w:b/>
          <w:bCs/>
          <w:sz w:val="19"/>
          <w:szCs w:val="19"/>
        </w:rPr>
        <w:t>tické úkoly Říše nebyly hospodářstvím rušeny, naopak posilovány, hospodářství se slovem podřizuje. To je patrno v každém opatření. Je přirozené, že postupně tomu bude tak i na našem národním území.</w:t>
      </w:r>
    </w:p>
    <w:p w:rsidR="00500724" w:rsidRDefault="00F30FB8">
      <w:pPr>
        <w:pStyle w:val="Zkladntext100"/>
        <w:shd w:val="clear" w:color="auto" w:fill="auto"/>
        <w:spacing w:line="187" w:lineRule="auto"/>
        <w:ind w:firstLine="300"/>
        <w:rPr>
          <w:sz w:val="19"/>
          <w:szCs w:val="19"/>
        </w:rPr>
      </w:pPr>
      <w:r>
        <w:rPr>
          <w:b/>
          <w:bCs/>
          <w:sz w:val="19"/>
          <w:szCs w:val="19"/>
        </w:rPr>
        <w:t>Jde však nyní o to, aby se tak dělo obezřetně, aby ne</w:t>
      </w:r>
      <w:r>
        <w:rPr>
          <w:b/>
          <w:bCs/>
          <w:sz w:val="19"/>
          <w:szCs w:val="19"/>
        </w:rPr>
        <w:softHyphen/>
        <w:t>vzni</w:t>
      </w:r>
      <w:r>
        <w:rPr>
          <w:b/>
          <w:bCs/>
          <w:sz w:val="19"/>
          <w:szCs w:val="19"/>
        </w:rPr>
        <w:t>kala zbytečná vnitřní konkurence a aby se žádné hospodářské území, tvořící složku Říše, zbytečně neoslabovalo. Chceme doufat, že odpovědní činitelé budou toto míti na mysli i při všech dal</w:t>
      </w:r>
      <w:r>
        <w:rPr>
          <w:b/>
          <w:bCs/>
          <w:sz w:val="19"/>
          <w:szCs w:val="19"/>
        </w:rPr>
        <w:softHyphen/>
        <w:t>ších opatřeních. Přáli bychom si také, aby se o těchto věcech v oba</w:t>
      </w:r>
      <w:r>
        <w:rPr>
          <w:b/>
          <w:bCs/>
          <w:sz w:val="19"/>
          <w:szCs w:val="19"/>
        </w:rPr>
        <w:t>polném zájmu mohlo mluviti docela otevřeně a upřímně. Také my máme své zkušenosti, měli jsme možnosti a bylo by škoda, aby docela zanikly. Je tu na příklad kromě zmíněné otázky vnitřní konkurence jednotlivých území mezi sebou, kromě pro</w:t>
      </w:r>
      <w:r>
        <w:rPr>
          <w:b/>
          <w:bCs/>
          <w:sz w:val="19"/>
          <w:szCs w:val="19"/>
        </w:rPr>
        <w:softHyphen/>
        <w:t xml:space="preserve">blému poměru měn a </w:t>
      </w:r>
      <w:r>
        <w:rPr>
          <w:b/>
          <w:bCs/>
          <w:sz w:val="19"/>
          <w:szCs w:val="19"/>
        </w:rPr>
        <w:t>cen, také významný problém exportu.</w:t>
      </w:r>
    </w:p>
    <w:p w:rsidR="00500724" w:rsidRDefault="00F30FB8">
      <w:pPr>
        <w:pStyle w:val="Zkladntext100"/>
        <w:shd w:val="clear" w:color="auto" w:fill="auto"/>
        <w:spacing w:line="190" w:lineRule="auto"/>
        <w:ind w:firstLine="300"/>
        <w:rPr>
          <w:sz w:val="19"/>
          <w:szCs w:val="19"/>
        </w:rPr>
      </w:pPr>
      <w:r>
        <w:rPr>
          <w:b/>
          <w:bCs/>
          <w:sz w:val="19"/>
          <w:szCs w:val="19"/>
        </w:rPr>
        <w:t>Vývoz z bývalé republiky vynášel ročně za pét miliard K devis. Bylo by žádoucí, aby tento vývoz nejenom v našem zájmu, ale také v zájmu Říše, nebyl ztracen, čili aby| bylo z našeho bývalého exportu zachráně</w:t>
      </w:r>
      <w:r>
        <w:rPr>
          <w:b/>
          <w:bCs/>
          <w:sz w:val="19"/>
          <w:szCs w:val="19"/>
        </w:rPr>
        <w:softHyphen/>
        <w:t>no, co se zac</w:t>
      </w:r>
      <w:r>
        <w:rPr>
          <w:b/>
          <w:bCs/>
          <w:sz w:val="19"/>
          <w:szCs w:val="19"/>
        </w:rPr>
        <w:t>hránit dá. Proto by se mělo u nás, v dohodě s říšskými odpovědnými místy, uvažovat o tom, zda by neměli býti vysláni naši lidé. nejenom ze světa obchodního a průmyslového, ale i kulturního a úřednického, kteří znají cizí jazyky, cizí mentalitu a mají v ciz</w:t>
      </w:r>
      <w:r>
        <w:rPr>
          <w:b/>
          <w:bCs/>
          <w:sz w:val="19"/>
          <w:szCs w:val="19"/>
        </w:rPr>
        <w:t>ině styky, ven do světa, kde by upozorňovali na to, že mluví-li se tam o našem národě, musí se mu také poskytnout pomoc, aby mohl žiti. Tato pomoc především může záležet v udržení dosavadních hospodář</w:t>
      </w:r>
      <w:r>
        <w:rPr>
          <w:b/>
          <w:bCs/>
          <w:sz w:val="19"/>
          <w:szCs w:val="19"/>
        </w:rPr>
        <w:softHyphen/>
        <w:t xml:space="preserve">ských styků, v zachránění exportu v takovém rozsahu, v </w:t>
      </w:r>
      <w:r>
        <w:rPr>
          <w:b/>
          <w:bCs/>
          <w:sz w:val="19"/>
          <w:szCs w:val="19"/>
        </w:rPr>
        <w:t>jakém to jenom bude možné. Ale o tom nestačí psát u nás do novin. Tu je nutno dělat, pustit se do věci, poslat ven lidi, kteří znají cizí země a jazyky, aby tam pracovali a vrátili se s poznatky, co se v tomto směru dá dělat. Byla by škoda pro nás všechny,</w:t>
      </w:r>
      <w:r>
        <w:rPr>
          <w:b/>
          <w:bCs/>
          <w:sz w:val="19"/>
          <w:szCs w:val="19"/>
        </w:rPr>
        <w:t xml:space="preserve"> aby všechny bývalé styky a mož</w:t>
      </w:r>
      <w:r>
        <w:rPr>
          <w:b/>
          <w:bCs/>
          <w:sz w:val="19"/>
          <w:szCs w:val="19"/>
        </w:rPr>
        <w:softHyphen/>
        <w:t>nosti, které zakládaly rozsah našeho exportu, prostě padly do vody jen proto, že jsme nic na jejich zachránění neuči</w:t>
      </w:r>
      <w:r>
        <w:rPr>
          <w:b/>
          <w:bCs/>
          <w:sz w:val="19"/>
          <w:szCs w:val="19"/>
        </w:rPr>
        <w:softHyphen/>
        <w:t>nili. Ale toto skutečně velmi spěchá!</w:t>
      </w:r>
    </w:p>
    <w:p w:rsidR="00500724" w:rsidRDefault="00F30FB8">
      <w:pPr>
        <w:pStyle w:val="Zkladntext100"/>
        <w:shd w:val="clear" w:color="auto" w:fill="auto"/>
        <w:spacing w:after="240" w:line="190" w:lineRule="auto"/>
        <w:ind w:firstLine="300"/>
        <w:rPr>
          <w:sz w:val="20"/>
          <w:szCs w:val="20"/>
        </w:rPr>
      </w:pPr>
      <w:r>
        <w:rPr>
          <w:b/>
          <w:bCs/>
          <w:sz w:val="19"/>
          <w:szCs w:val="19"/>
        </w:rPr>
        <w:t>Nevíme, jak dalece je možné, aby český národ otevřeně mohl upozorňova</w:t>
      </w:r>
      <w:r>
        <w:rPr>
          <w:b/>
          <w:bCs/>
          <w:sz w:val="19"/>
          <w:szCs w:val="19"/>
        </w:rPr>
        <w:t>t, s čím je či bude v tom či onom případě nespokojen v hospodářských věcech. Bylo by však podle našeho soudu dobře, kdyby se tu vyvinula mezi Němci a Čechy taková vzájemná upřímnost. Prospělo by to na obou stranách. Soudíme, že by nebylo správné, aby</w:t>
      </w:r>
      <w:r>
        <w:rPr>
          <w:b/>
          <w:bCs/>
          <w:sz w:val="19"/>
          <w:szCs w:val="19"/>
        </w:rPr>
        <w:softHyphen/>
        <w:t xml:space="preserve">chom </w:t>
      </w:r>
      <w:r>
        <w:rPr>
          <w:b/>
          <w:bCs/>
          <w:sz w:val="19"/>
          <w:szCs w:val="19"/>
        </w:rPr>
        <w:t xml:space="preserve">jenom mlčeli, a že (nejde-li ovšem o věci politické) právě hospodářské věci by měly patřit, stejně jako věci kulturní, k těm, o nichž se může veřejně diskutovat. </w:t>
      </w:r>
      <w:r>
        <w:rPr>
          <w:b/>
          <w:bCs/>
          <w:i/>
          <w:iCs/>
          <w:sz w:val="20"/>
          <w:szCs w:val="20"/>
        </w:rPr>
        <w:t>Moll.</w:t>
      </w:r>
    </w:p>
    <w:p w:rsidR="00500724" w:rsidRDefault="00F30FB8">
      <w:pPr>
        <w:pStyle w:val="Zkladntext20"/>
        <w:shd w:val="clear" w:color="auto" w:fill="auto"/>
        <w:spacing w:after="100" w:line="180" w:lineRule="auto"/>
        <w:ind w:firstLine="0"/>
        <w:jc w:val="center"/>
        <w:rPr>
          <w:sz w:val="20"/>
          <w:szCs w:val="20"/>
        </w:rPr>
      </w:pPr>
      <w:r>
        <w:rPr>
          <w:b/>
          <w:bCs/>
          <w:sz w:val="20"/>
          <w:szCs w:val="20"/>
        </w:rPr>
        <w:t>Nebezpečné a zbytečné septy</w:t>
      </w:r>
    </w:p>
    <w:p w:rsidR="00500724" w:rsidRDefault="00F30FB8">
      <w:pPr>
        <w:pStyle w:val="Zkladntext100"/>
        <w:shd w:val="clear" w:color="auto" w:fill="auto"/>
        <w:spacing w:line="190" w:lineRule="auto"/>
        <w:ind w:firstLine="300"/>
        <w:rPr>
          <w:sz w:val="19"/>
          <w:szCs w:val="19"/>
        </w:rPr>
      </w:pPr>
      <w:r>
        <w:rPr>
          <w:b/>
          <w:bCs/>
          <w:sz w:val="19"/>
          <w:szCs w:val="19"/>
        </w:rPr>
        <w:t>Psali jsme zde již na podzim proti pověstem, šířeným fantast</w:t>
      </w:r>
      <w:r>
        <w:rPr>
          <w:b/>
          <w:bCs/>
          <w:sz w:val="19"/>
          <w:szCs w:val="19"/>
        </w:rPr>
        <w:t>y, žvanily, panikáři a zčásti zlomyslníky, ať se tý</w:t>
      </w:r>
      <w:r>
        <w:rPr>
          <w:b/>
          <w:bCs/>
          <w:sz w:val="19"/>
          <w:szCs w:val="19"/>
        </w:rPr>
        <w:softHyphen/>
        <w:t>kají bývalých českých politiků, žijících dnes za hranicemi, anebo »zpráv« zahraničního rozhlasu, zejména ruského, ěi konečně uchystaných akcí« u nás doma. Tehdy jsme na</w:t>
      </w:r>
      <w:r>
        <w:rPr>
          <w:b/>
          <w:bCs/>
          <w:sz w:val="19"/>
          <w:szCs w:val="19"/>
        </w:rPr>
        <w:softHyphen/>
        <w:t>psali, že musíme dnes více než kdyk</w:t>
      </w:r>
      <w:r>
        <w:rPr>
          <w:b/>
          <w:bCs/>
          <w:sz w:val="19"/>
          <w:szCs w:val="19"/>
        </w:rPr>
        <w:t>oli jindy apelovat na střízlivý rozum našeho národa, který se vždy vyznačoval smyslem nro reálnost. Po událostech březnových jsme dodali, že pro nás, kteři žijeme na území českého národa, platí zase jen politika zdravého rozumu, která se musí projevit přij</w:t>
      </w:r>
      <w:r>
        <w:rPr>
          <w:b/>
          <w:bCs/>
          <w:sz w:val="19"/>
          <w:szCs w:val="19"/>
        </w:rPr>
        <w:t>etím situace a praktickým, avšak mužným chováním podle toho, jak se tato situace vyvíjí.</w:t>
      </w:r>
    </w:p>
    <w:p w:rsidR="00500724" w:rsidRDefault="00F30FB8">
      <w:pPr>
        <w:pStyle w:val="Zkladntext100"/>
        <w:shd w:val="clear" w:color="auto" w:fill="auto"/>
        <w:spacing w:after="40" w:line="190" w:lineRule="auto"/>
        <w:ind w:firstLine="300"/>
        <w:rPr>
          <w:sz w:val="19"/>
          <w:szCs w:val="19"/>
        </w:rPr>
      </w:pPr>
      <w:r>
        <w:rPr>
          <w:noProof/>
        </w:rPr>
        <mc:AlternateContent>
          <mc:Choice Requires="wps">
            <w:drawing>
              <wp:anchor distT="25400" distB="254000" distL="114300" distR="114300" simplePos="0" relativeHeight="125829772" behindDoc="0" locked="0" layoutInCell="1" allowOverlap="1">
                <wp:simplePos x="0" y="0"/>
                <wp:positionH relativeFrom="page">
                  <wp:posOffset>450215</wp:posOffset>
                </wp:positionH>
                <wp:positionV relativeFrom="margin">
                  <wp:posOffset>9117330</wp:posOffset>
                </wp:positionV>
                <wp:extent cx="222250" cy="170815"/>
                <wp:effectExtent l="0" t="0" r="0" b="0"/>
                <wp:wrapTopAndBottom/>
                <wp:docPr id="395" name="Shape 395"/>
                <wp:cNvGraphicFramePr/>
                <a:graphic xmlns:a="http://schemas.openxmlformats.org/drawingml/2006/main">
                  <a:graphicData uri="http://schemas.microsoft.com/office/word/2010/wordprocessingShape">
                    <wps:wsp>
                      <wps:cNvSpPr txBox="1"/>
                      <wps:spPr>
                        <a:xfrm>
                          <a:off x="0" y="0"/>
                          <a:ext cx="222250"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i/>
                                <w:iCs/>
                                <w:sz w:val="20"/>
                                <w:szCs w:val="20"/>
                              </w:rPr>
                              <w:t>*34</w:t>
                            </w:r>
                          </w:p>
                        </w:txbxContent>
                      </wps:txbx>
                      <wps:bodyPr lIns="0" tIns="0" rIns="0" bIns="0">
                        <a:spAutoFit/>
                      </wps:bodyPr>
                    </wps:wsp>
                  </a:graphicData>
                </a:graphic>
              </wp:anchor>
            </w:drawing>
          </mc:Choice>
          <mc:Fallback>
            <w:pict>
              <v:shape id="_x0000_s1421" type="#_x0000_t202" style="position:absolute;margin-left:35.450000000000003pt;margin-top:717.89999999999998pt;width:17.5pt;height:13.449999999999999pt;z-index:-125828981;mso-wrap-distance-left:9.pt;mso-wrap-distance-top:2.pt;mso-wrap-distance-right:9.pt;mso-wrap-distance-bottom:20.pt;mso-position-horizontal-relative:page;mso-position-vertical-relative:margin"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*34</w:t>
                      </w:r>
                    </w:p>
                  </w:txbxContent>
                </v:textbox>
                <w10:wrap type="topAndBottom" anchorx="page" anchory="margin"/>
              </v:shape>
            </w:pict>
          </mc:Fallback>
        </mc:AlternateContent>
      </w:r>
      <w:r>
        <w:rPr>
          <w:b/>
          <w:bCs/>
          <w:sz w:val="19"/>
          <w:szCs w:val="19"/>
        </w:rPr>
        <w:t>Mezi nebezpečné šepty tohoto druhu patři především také pověsti o jakýchsi » pogromech*, které způsobily, že bez</w:t>
      </w:r>
      <w:r>
        <w:rPr>
          <w:b/>
          <w:bCs/>
          <w:sz w:val="19"/>
          <w:szCs w:val="19"/>
        </w:rPr>
        <w:softHyphen/>
        <w:t>pečnostní opatření musila býti v minulých dnech</w:t>
      </w:r>
      <w:r>
        <w:rPr>
          <w:b/>
          <w:bCs/>
          <w:sz w:val="19"/>
          <w:szCs w:val="19"/>
        </w:rPr>
        <w:t xml:space="preserve"> zvýšena. Těsně před velikonočními svátky prý měl býti uspořádán progrom na židy, mluvilo se při tom ještě o »dalších« pogro</w:t>
      </w:r>
      <w:r>
        <w:rPr>
          <w:b/>
          <w:bCs/>
          <w:sz w:val="19"/>
          <w:szCs w:val="19"/>
        </w:rPr>
        <w:softHyphen/>
        <w:t>mech a nastalo zneklidnění jak mezi Čechy, tak mezi Něm</w:t>
      </w:r>
      <w:r>
        <w:rPr>
          <w:b/>
          <w:bCs/>
          <w:sz w:val="19"/>
          <w:szCs w:val="19"/>
        </w:rPr>
        <w:softHyphen/>
        <w:t>ci. To vše bylo ovšem naprosto zbytečné a nepřispělo to ke zrychlení vývoje</w:t>
      </w:r>
      <w:r>
        <w:rPr>
          <w:b/>
          <w:bCs/>
          <w:sz w:val="19"/>
          <w:szCs w:val="19"/>
        </w:rPr>
        <w:t>, který musí směřovat ke klidu a k urov</w:t>
      </w:r>
      <w:r>
        <w:rPr>
          <w:b/>
          <w:bCs/>
          <w:sz w:val="19"/>
          <w:szCs w:val="19"/>
        </w:rPr>
        <w:softHyphen/>
        <w:t>nání věcí. Uvítali jsme proto, že to byl právě »Venkov«, který věnoval těmto pověstem rozumný článek, v němž zejména zdůraznil, žečeský národ už dávnopřed válkou odmítal pogromy, že se nesmířil s metoda</w:t>
      </w:r>
      <w:r>
        <w:rPr>
          <w:b/>
          <w:bCs/>
          <w:sz w:val="19"/>
          <w:szCs w:val="19"/>
        </w:rPr>
        <w:softHyphen/>
        <w:t>mi atentátů a</w:t>
      </w:r>
      <w:r>
        <w:rPr>
          <w:b/>
          <w:bCs/>
          <w:sz w:val="19"/>
          <w:szCs w:val="19"/>
        </w:rPr>
        <w:t xml:space="preserve"> že prudce nesympatisoval s těmito zjevy, jak jsme Je tehdy znali v předválečném Rusku. U nás ovšem mohlo jiti, podle správného úsudku »Venkova&lt;, Jen o ne</w:t>
      </w:r>
      <w:r>
        <w:rPr>
          <w:b/>
          <w:bCs/>
          <w:sz w:val="19"/>
          <w:szCs w:val="19"/>
        </w:rPr>
        <w:softHyphen/>
        <w:t>patrnou skupinu lidí, která se takovými nesmysly a bláz</w:t>
      </w:r>
      <w:r>
        <w:rPr>
          <w:b/>
          <w:bCs/>
          <w:sz w:val="19"/>
          <w:szCs w:val="19"/>
        </w:rPr>
        <w:softHyphen/>
        <w:t>nivými nápady zabývala. »Venkov« k tomu dodal</w:t>
      </w:r>
      <w:r>
        <w:rPr>
          <w:b/>
          <w:bCs/>
          <w:sz w:val="19"/>
          <w:szCs w:val="19"/>
        </w:rPr>
        <w:t>:</w:t>
      </w:r>
    </w:p>
    <w:p w:rsidR="00500724" w:rsidRDefault="00F30FB8">
      <w:pPr>
        <w:pStyle w:val="Zkladntext100"/>
        <w:shd w:val="clear" w:color="auto" w:fill="auto"/>
        <w:spacing w:after="40" w:line="187" w:lineRule="auto"/>
        <w:ind w:left="520" w:firstLine="180"/>
        <w:rPr>
          <w:sz w:val="19"/>
          <w:szCs w:val="19"/>
        </w:rPr>
      </w:pPr>
      <w:r>
        <w:rPr>
          <w:b/>
          <w:bCs/>
          <w:sz w:val="19"/>
          <w:szCs w:val="19"/>
        </w:rPr>
        <w:t xml:space="preserve">»Přes to nemožno ani ojedinělou svévolnost toho druhu podceňovat, nebof by to znamenalo incident, a my víme, jaké následky v dnešním hořlavém ovzduší </w:t>
      </w:r>
      <w:r>
        <w:rPr>
          <w:rFonts w:ascii="Arial" w:eastAsia="Arial" w:hAnsi="Arial" w:cs="Arial"/>
          <w:b/>
          <w:bCs/>
          <w:sz w:val="26"/>
          <w:szCs w:val="26"/>
        </w:rPr>
        <w:t xml:space="preserve">i </w:t>
      </w:r>
      <w:r>
        <w:rPr>
          <w:b/>
          <w:bCs/>
          <w:sz w:val="19"/>
          <w:szCs w:val="19"/>
        </w:rPr>
        <w:t>nepatrný incident může způsobit. Proto s uspokoje</w:t>
      </w:r>
      <w:r>
        <w:rPr>
          <w:b/>
          <w:bCs/>
          <w:sz w:val="19"/>
          <w:szCs w:val="19"/>
        </w:rPr>
        <w:softHyphen/>
        <w:t xml:space="preserve">ním zjišťujeme, že k žádné výtržnosti na Bílou </w:t>
      </w:r>
      <w:r>
        <w:rPr>
          <w:b/>
          <w:bCs/>
          <w:sz w:val="19"/>
          <w:szCs w:val="19"/>
        </w:rPr>
        <w:t>sobotu nedošlo, a doufáme, že k ní nedojde ani v budoucích dnech. Varování výboru Národního souručenství před účastí na takových neodpovědných akcích nebylo zbytečné, ježto český národ nechce mít s takovýmto způsobem »řešení« židovské otázky nic společného</w:t>
      </w:r>
      <w:r>
        <w:rPr>
          <w:b/>
          <w:bCs/>
          <w:sz w:val="19"/>
          <w:szCs w:val="19"/>
        </w:rPr>
        <w:t>. Židovská otázka se ovšem i u nás vyřeší — a už se řeší ve velkém měřítku —, jak je to přirozeno při ny</w:t>
      </w:r>
      <w:r>
        <w:rPr>
          <w:b/>
          <w:bCs/>
          <w:sz w:val="19"/>
          <w:szCs w:val="19"/>
        </w:rPr>
        <w:softHyphen/>
        <w:t>nějším našem postavení v oblastí Říše, ale český ná</w:t>
      </w:r>
      <w:r>
        <w:rPr>
          <w:b/>
          <w:bCs/>
          <w:sz w:val="19"/>
          <w:szCs w:val="19"/>
        </w:rPr>
        <w:softHyphen/>
        <w:t>rod bude i tu postupovat s ukázněnostl a zákonitostí, jako postupoval ve všech situacích až doposud</w:t>
      </w:r>
      <w:r>
        <w:rPr>
          <w:b/>
          <w:bCs/>
          <w:sz w:val="19"/>
          <w:szCs w:val="19"/>
        </w:rPr>
        <w:t>. Kdy</w:t>
      </w:r>
      <w:r>
        <w:rPr>
          <w:b/>
          <w:bCs/>
          <w:sz w:val="19"/>
          <w:szCs w:val="19"/>
        </w:rPr>
        <w:softHyphen/>
        <w:t>by však přece jen měly se opakovati podobné znám</w:t>
      </w:r>
      <w:r>
        <w:rPr>
          <w:b/>
          <w:bCs/>
          <w:sz w:val="19"/>
          <w:szCs w:val="19"/>
        </w:rPr>
        <w:softHyphen/>
        <w:t>ky úmyslu uspořádati nějaké individuální akce na vlastní vrub, potom by bylo třeba, aby úřední místa již déle neotálela s tvrdými zákroky, to je se zajiště</w:t>
      </w:r>
      <w:r>
        <w:rPr>
          <w:b/>
          <w:bCs/>
          <w:sz w:val="19"/>
          <w:szCs w:val="19"/>
        </w:rPr>
        <w:softHyphen/>
        <w:t>ním všech osob, které ukázněnému postupu celé</w:t>
      </w:r>
      <w:r>
        <w:rPr>
          <w:b/>
          <w:bCs/>
          <w:sz w:val="19"/>
          <w:szCs w:val="19"/>
        </w:rPr>
        <w:t>ho národa by se odvažovaly vpadat do zad.«</w:t>
      </w:r>
    </w:p>
    <w:p w:rsidR="00500724" w:rsidRDefault="00F30FB8">
      <w:pPr>
        <w:pStyle w:val="Zkladntext100"/>
        <w:shd w:val="clear" w:color="auto" w:fill="auto"/>
        <w:tabs>
          <w:tab w:val="left" w:pos="4574"/>
        </w:tabs>
        <w:spacing w:after="40" w:line="190" w:lineRule="auto"/>
        <w:rPr>
          <w:sz w:val="20"/>
          <w:szCs w:val="20"/>
        </w:rPr>
      </w:pPr>
      <w:r>
        <w:rPr>
          <w:b/>
          <w:bCs/>
          <w:sz w:val="19"/>
          <w:szCs w:val="19"/>
        </w:rPr>
        <w:t>To je docela rozumné a jedině správné stanovisko, které my také sdílíme, jsouce přesvědčeni, že podobně smýšlí obrovská většina českého národa. Nic nám tak nemůže v naší dnešní situaci škodit, jako fantastičnost a</w:t>
      </w:r>
      <w:r>
        <w:rPr>
          <w:b/>
          <w:bCs/>
          <w:sz w:val="19"/>
          <w:szCs w:val="19"/>
        </w:rPr>
        <w:t xml:space="preserve"> nerozum, a nezáleží na tom, af se projevují v činech diktovaných naivitou, dobrou vůlí či zlovolností. Nelze opravdu si přáti nic upřímněji, než aby povolaní úřední činitelé věnovali vě</w:t>
      </w:r>
      <w:r>
        <w:rPr>
          <w:b/>
          <w:bCs/>
          <w:sz w:val="19"/>
          <w:szCs w:val="19"/>
        </w:rPr>
        <w:softHyphen/>
        <w:t>cem tohoto druhu zvýšenou pozornost a jednali tak rozhod</w:t>
      </w:r>
      <w:r>
        <w:rPr>
          <w:b/>
          <w:bCs/>
          <w:sz w:val="19"/>
          <w:szCs w:val="19"/>
        </w:rPr>
        <w:softHyphen/>
        <w:t>ně, jako dos</w:t>
      </w:r>
      <w:r>
        <w:rPr>
          <w:b/>
          <w:bCs/>
          <w:sz w:val="19"/>
          <w:szCs w:val="19"/>
        </w:rPr>
        <w:t>ud. Budou v tom podporováni všemi poctivými Čechy.</w:t>
      </w:r>
      <w:r>
        <w:rPr>
          <w:b/>
          <w:bCs/>
          <w:sz w:val="19"/>
          <w:szCs w:val="19"/>
        </w:rPr>
        <w:tab/>
      </w:r>
      <w:r>
        <w:rPr>
          <w:b/>
          <w:bCs/>
          <w:i/>
          <w:iCs/>
          <w:sz w:val="20"/>
          <w:szCs w:val="20"/>
        </w:rPr>
        <w:t>Moli</w:t>
      </w:r>
    </w:p>
    <w:p w:rsidR="00500724" w:rsidRDefault="00F30FB8">
      <w:pPr>
        <w:pStyle w:val="Nadpis120"/>
        <w:shd w:val="clear" w:color="auto" w:fill="auto"/>
        <w:spacing w:after="40"/>
        <w:ind w:left="0"/>
        <w:jc w:val="center"/>
      </w:pPr>
      <w:bookmarkStart w:id="381" w:name="bookmark380"/>
      <w:r>
        <w:t>Konec ÍSadimršek</w:t>
      </w:r>
      <w:bookmarkEnd w:id="381"/>
    </w:p>
    <w:p w:rsidR="00500724" w:rsidRDefault="00F30FB8">
      <w:pPr>
        <w:pStyle w:val="Zkladntext100"/>
        <w:shd w:val="clear" w:color="auto" w:fill="auto"/>
        <w:spacing w:after="40" w:line="192" w:lineRule="auto"/>
        <w:ind w:firstLine="240"/>
        <w:rPr>
          <w:sz w:val="19"/>
          <w:szCs w:val="19"/>
        </w:rPr>
      </w:pPr>
      <w:r>
        <w:rPr>
          <w:b/>
          <w:bCs/>
          <w:sz w:val="19"/>
          <w:szCs w:val="19"/>
        </w:rPr>
        <w:t>V říšském nařízení, které bylo v těchto dnech vydáno, se stanoví určitý počet typů malých, středních a velkých automobilů osobních i nákladních, jež je nadále v Říši po</w:t>
      </w:r>
      <w:r>
        <w:rPr>
          <w:b/>
          <w:bCs/>
          <w:sz w:val="19"/>
          <w:szCs w:val="19"/>
        </w:rPr>
        <w:softHyphen/>
        <w:t>voleno vyrábět</w:t>
      </w:r>
      <w:r>
        <w:rPr>
          <w:b/>
          <w:bCs/>
          <w:sz w:val="19"/>
          <w:szCs w:val="19"/>
        </w:rPr>
        <w:t xml:space="preserve"> a každé továrně se přiděluji jeden nebo dva typy.</w:t>
      </w:r>
    </w:p>
    <w:p w:rsidR="00500724" w:rsidRDefault="00F30FB8">
      <w:pPr>
        <w:pStyle w:val="Zkladntext100"/>
        <w:shd w:val="clear" w:color="auto" w:fill="auto"/>
        <w:spacing w:after="40" w:line="187" w:lineRule="auto"/>
        <w:ind w:firstLine="240"/>
        <w:rPr>
          <w:sz w:val="19"/>
          <w:szCs w:val="19"/>
        </w:rPr>
      </w:pPr>
      <w:r>
        <w:rPr>
          <w:b/>
          <w:bCs/>
          <w:sz w:val="19"/>
          <w:szCs w:val="19"/>
        </w:rPr>
        <w:t>Tím se splňuje to, po čem jsme zde již tolikráte toužili, aby bylo provedeno v našem bývalém státě. Velký počet typů nejdrobnějších vozů — jejich výroba vznikla ovšem pod vlivem nepromyšleného zdanění, kte</w:t>
      </w:r>
      <w:r>
        <w:rPr>
          <w:b/>
          <w:bCs/>
          <w:sz w:val="19"/>
          <w:szCs w:val="19"/>
        </w:rPr>
        <w:t>ré postihovalo rozsah válců — si nejenom vzájemně konkuroval, ale co nejhoršího, zvyšoval si vzájemně ceny, protože odbyt ne</w:t>
      </w:r>
      <w:r>
        <w:rPr>
          <w:b/>
          <w:bCs/>
          <w:sz w:val="19"/>
          <w:szCs w:val="19"/>
        </w:rPr>
        <w:softHyphen/>
        <w:t>stačil ani zdaleka výrobě. Vždyť na příklad Škodovka, která první přišla s amerikanisaci automobilového prů</w:t>
      </w:r>
      <w:r>
        <w:rPr>
          <w:b/>
          <w:bCs/>
          <w:sz w:val="19"/>
          <w:szCs w:val="19"/>
        </w:rPr>
        <w:softHyphen/>
        <w:t>myslu, postavila si pře</w:t>
      </w:r>
      <w:r>
        <w:rPr>
          <w:b/>
          <w:bCs/>
          <w:sz w:val="19"/>
          <w:szCs w:val="19"/>
        </w:rPr>
        <w:t>d desíti lety v Mladé Boleslavi to</w:t>
      </w:r>
      <w:r>
        <w:rPr>
          <w:b/>
          <w:bCs/>
          <w:sz w:val="19"/>
          <w:szCs w:val="19"/>
        </w:rPr>
        <w:softHyphen/>
        <w:t>várnu nákladem čtvrt miliardy korun, která měla výrobní kapacitu asi pětadvacet tisíc vozů ročně. Několik let po</w:t>
      </w:r>
      <w:r>
        <w:rPr>
          <w:b/>
          <w:bCs/>
          <w:sz w:val="19"/>
          <w:szCs w:val="19"/>
        </w:rPr>
        <w:softHyphen/>
        <w:t>tom, stejným nákladem a s téměř stejnou kapacitou, po</w:t>
      </w:r>
      <w:r>
        <w:rPr>
          <w:b/>
          <w:bCs/>
          <w:sz w:val="19"/>
          <w:szCs w:val="19"/>
        </w:rPr>
        <w:softHyphen/>
        <w:t>stavila podobnou továrnu v Praze Českomoravská Kolben.</w:t>
      </w:r>
      <w:r>
        <w:rPr>
          <w:b/>
          <w:bCs/>
          <w:sz w:val="19"/>
          <w:szCs w:val="19"/>
        </w:rPr>
        <w:t xml:space="preserve"> A při tom celková spotřeba automobilů ročně a nás se po</w:t>
      </w:r>
      <w:r>
        <w:rPr>
          <w:b/>
          <w:bCs/>
          <w:sz w:val="19"/>
          <w:szCs w:val="19"/>
        </w:rPr>
        <w:softHyphen/>
        <w:t>hybovala kolem desíti tisíc vozů! Vedle těchto továren zde byla ještě čiperná a výkonná Tatra s jejími vzduchem chlazenými kvalitními motory, nehledě k dalším pěti či šesti menším továrnám, mezi nimi</w:t>
      </w:r>
      <w:r>
        <w:rPr>
          <w:b/>
          <w:bCs/>
          <w:sz w:val="19"/>
          <w:szCs w:val="19"/>
        </w:rPr>
        <w:t>ž vedla továrna na vozy Aero, vyrábějící zprvu auta přímo dětských rozměrů.</w:t>
      </w:r>
    </w:p>
    <w:p w:rsidR="00500724" w:rsidRDefault="00F30FB8">
      <w:pPr>
        <w:pStyle w:val="Zkladntext100"/>
        <w:shd w:val="clear" w:color="auto" w:fill="auto"/>
        <w:tabs>
          <w:tab w:val="left" w:pos="4718"/>
        </w:tabs>
        <w:spacing w:after="40" w:line="187" w:lineRule="auto"/>
        <w:ind w:firstLine="240"/>
        <w:rPr>
          <w:sz w:val="19"/>
          <w:szCs w:val="19"/>
        </w:rPr>
      </w:pPr>
      <w:r>
        <w:rPr>
          <w:b/>
          <w:bCs/>
          <w:sz w:val="19"/>
          <w:szCs w:val="19"/>
        </w:rPr>
        <w:t>Takto »uspořádaná« výroba neznamenala ovšem jenom plýtvání financujícím kapitálem a přeinvestování, ale vedla logicky k podbízení a ke konkurenčnímu boji na zá</w:t>
      </w:r>
      <w:r>
        <w:rPr>
          <w:b/>
          <w:bCs/>
          <w:sz w:val="19"/>
          <w:szCs w:val="19"/>
        </w:rPr>
        <w:softHyphen/>
        <w:t>kladě cen spotřebite</w:t>
      </w:r>
      <w:r>
        <w:rPr>
          <w:b/>
          <w:bCs/>
          <w:sz w:val="19"/>
          <w:szCs w:val="19"/>
        </w:rPr>
        <w:t>lům širších vrstev nedosti přístup</w:t>
      </w:r>
      <w:r>
        <w:rPr>
          <w:b/>
          <w:bCs/>
          <w:sz w:val="19"/>
          <w:szCs w:val="19"/>
        </w:rPr>
        <w:softHyphen/>
        <w:t>ných. Výroba proto nemohla stoupat úměrně k ostatní produkci. Protože továrna Tatra leží dnes na říšském úze</w:t>
      </w:r>
      <w:r>
        <w:rPr>
          <w:b/>
          <w:bCs/>
          <w:sz w:val="19"/>
          <w:szCs w:val="19"/>
        </w:rPr>
        <w:softHyphen/>
        <w:t xml:space="preserve">mí a protože jí byiy přiděleny vozy s obsahem válců mezi dvěma až třemi litry, znamená mimo jiné tento výnos, o </w:t>
      </w:r>
      <w:r>
        <w:rPr>
          <w:b/>
          <w:bCs/>
          <w:sz w:val="19"/>
          <w:szCs w:val="19"/>
        </w:rPr>
        <w:t>kterém píšeme, především konec tak zv. Hadimršek. Li</w:t>
      </w:r>
      <w:r>
        <w:rPr>
          <w:b/>
          <w:bCs/>
          <w:sz w:val="19"/>
          <w:szCs w:val="19"/>
        </w:rPr>
        <w:softHyphen/>
        <w:t>tujeme toho velmi, protože to právě byla značka, která měla všechny předpoklady k tomu, aby se stala základní značkou malých vozů české výroby. Vzhledem k bezcel- nosti dovážela se k nám i po Mnichově st</w:t>
      </w:r>
      <w:r>
        <w:rPr>
          <w:b/>
          <w:bCs/>
          <w:sz w:val="19"/>
          <w:szCs w:val="19"/>
        </w:rPr>
        <w:t xml:space="preserve">ále. Ale snad bude možné její výrobu zavést! u nás, až dojde k podobnému opatření pro naše území. Říšské racionaiisaění opatření v automobilové výrobě je možno jen schvalovat, protože jeho důsledkem bude zlevnění výroby a snížení cen nových vozidel. S tím </w:t>
      </w:r>
      <w:r>
        <w:rPr>
          <w:b/>
          <w:bCs/>
          <w:sz w:val="19"/>
          <w:szCs w:val="19"/>
        </w:rPr>
        <w:t>musí také souviset opatření o vyřaďování neekonomických starých vozů, jež ostatně v zásadních ry</w:t>
      </w:r>
      <w:r>
        <w:rPr>
          <w:b/>
          <w:bCs/>
          <w:sz w:val="19"/>
          <w:szCs w:val="19"/>
        </w:rPr>
        <w:softHyphen/>
        <w:t>sech je také již v Říši aplikováno.</w:t>
      </w:r>
      <w:r>
        <w:rPr>
          <w:b/>
          <w:bCs/>
          <w:sz w:val="19"/>
          <w:szCs w:val="19"/>
        </w:rPr>
        <w:tab/>
        <w:t>Cia</w:t>
      </w:r>
    </w:p>
    <w:p w:rsidR="00500724" w:rsidRDefault="00F30FB8">
      <w:pPr>
        <w:pStyle w:val="Nadpis120"/>
        <w:shd w:val="clear" w:color="auto" w:fill="auto"/>
        <w:spacing w:after="100"/>
        <w:ind w:left="1600"/>
      </w:pPr>
      <w:bookmarkStart w:id="382" w:name="bookmark381"/>
      <w:r>
        <w:t>Menší možnosti?</w:t>
      </w:r>
      <w:bookmarkEnd w:id="382"/>
    </w:p>
    <w:p w:rsidR="00500724" w:rsidRDefault="00F30FB8">
      <w:pPr>
        <w:pStyle w:val="Zkladntext100"/>
        <w:shd w:val="clear" w:color="auto" w:fill="auto"/>
        <w:spacing w:after="60" w:line="187" w:lineRule="auto"/>
        <w:ind w:firstLine="300"/>
        <w:rPr>
          <w:sz w:val="19"/>
          <w:szCs w:val="19"/>
        </w:rPr>
      </w:pPr>
      <w:r>
        <w:rPr>
          <w:b/>
          <w:bCs/>
          <w:sz w:val="19"/>
          <w:szCs w:val="19"/>
        </w:rPr>
        <w:t>Už dlouho byly jen malé možnosti politické práce: ne</w:t>
      </w:r>
      <w:r>
        <w:rPr>
          <w:b/>
          <w:bCs/>
          <w:sz w:val="19"/>
          <w:szCs w:val="19"/>
        </w:rPr>
        <w:softHyphen/>
        <w:t>cítili jsme to, protože jsme myslili na něco jinéh</w:t>
      </w:r>
      <w:r>
        <w:rPr>
          <w:b/>
          <w:bCs/>
          <w:sz w:val="19"/>
          <w:szCs w:val="19"/>
        </w:rPr>
        <w:t>o, než je politická strana. Svoboda shromažďovaeí byla omezena: dlouhou dobu se nekonaly schůze; a upřímně: nebylo ani chuti na ně chodit. Byla podstatně omezena i svoboda tisku. Od řady stran jsme přešli k systému dvou stran. Ale ani tu se vývoj stranictv</w:t>
      </w:r>
      <w:r>
        <w:rPr>
          <w:b/>
          <w:bCs/>
          <w:sz w:val="19"/>
          <w:szCs w:val="19"/>
        </w:rPr>
        <w:t>í nezastavil. Ani nás to tak nebolelo. Nemyslili jsme na strany.</w:t>
      </w:r>
    </w:p>
    <w:p w:rsidR="00500724" w:rsidRDefault="00F30FB8">
      <w:pPr>
        <w:pStyle w:val="Zkladntext100"/>
        <w:shd w:val="clear" w:color="auto" w:fill="auto"/>
        <w:spacing w:after="60" w:line="182" w:lineRule="auto"/>
        <w:ind w:firstLine="300"/>
        <w:rPr>
          <w:sz w:val="19"/>
          <w:szCs w:val="19"/>
        </w:rPr>
      </w:pPr>
      <w:r>
        <w:rPr>
          <w:b/>
          <w:bCs/>
          <w:sz w:val="19"/>
          <w:szCs w:val="19"/>
        </w:rPr>
        <w:t>Dnes je jen strana jedna: Národní souručenství. Je to strana, která má povahu autoritativní. Politická možnost každého z nás se zmenšila. Dlouho bude trvat, než se s tím vším v duši vyrovnáme</w:t>
      </w:r>
      <w:r>
        <w:rPr>
          <w:b/>
          <w:bCs/>
          <w:sz w:val="19"/>
          <w:szCs w:val="19"/>
        </w:rPr>
        <w:t>.</w:t>
      </w:r>
    </w:p>
    <w:p w:rsidR="00500724" w:rsidRDefault="00F30FB8">
      <w:pPr>
        <w:pStyle w:val="Zkladntext100"/>
        <w:shd w:val="clear" w:color="auto" w:fill="auto"/>
        <w:spacing w:after="60" w:line="185" w:lineRule="auto"/>
        <w:ind w:firstLine="300"/>
        <w:rPr>
          <w:sz w:val="19"/>
          <w:szCs w:val="19"/>
        </w:rPr>
      </w:pPr>
      <w:r>
        <w:rPr>
          <w:b/>
          <w:bCs/>
          <w:sz w:val="19"/>
          <w:szCs w:val="19"/>
        </w:rPr>
        <w:t>Molili bychom se dnes ptát, zda jsme nepřecenili význam tak zvané politiky. Či lépe: zda byl pochopen pravý a sku</w:t>
      </w:r>
      <w:r>
        <w:rPr>
          <w:b/>
          <w:bCs/>
          <w:sz w:val="19"/>
          <w:szCs w:val="19"/>
        </w:rPr>
        <w:softHyphen/>
        <w:t>tečný smysl politiky. Politika byla — a my to často cítili — odtržena od běžného denního života a lidé necítili, oč v té politice jde.</w:t>
      </w:r>
    </w:p>
    <w:p w:rsidR="00500724" w:rsidRDefault="00F30FB8">
      <w:pPr>
        <w:pStyle w:val="Zkladntext100"/>
        <w:shd w:val="clear" w:color="auto" w:fill="auto"/>
        <w:spacing w:after="60" w:line="185" w:lineRule="auto"/>
        <w:ind w:firstLine="300"/>
        <w:rPr>
          <w:sz w:val="19"/>
          <w:szCs w:val="19"/>
        </w:rPr>
      </w:pPr>
      <w:r>
        <w:rPr>
          <w:b/>
          <w:bCs/>
          <w:sz w:val="19"/>
          <w:szCs w:val="19"/>
        </w:rPr>
        <w:t xml:space="preserve">Ale </w:t>
      </w:r>
      <w:r>
        <w:rPr>
          <w:b/>
          <w:bCs/>
          <w:sz w:val="19"/>
          <w:szCs w:val="19"/>
        </w:rPr>
        <w:t>svět kolem nás, příroda, věcí kolem nás zůstaly jak byly. O lidech to platí méně. Bylo dost lidí, kteří jdou kolem nás bez páteře. Ale svět bezprostředně kolem nás se ne</w:t>
      </w:r>
      <w:r>
        <w:rPr>
          <w:b/>
          <w:bCs/>
          <w:sz w:val="19"/>
          <w:szCs w:val="19"/>
        </w:rPr>
        <w:softHyphen/>
        <w:t>změnil.</w:t>
      </w:r>
    </w:p>
    <w:p w:rsidR="00500724" w:rsidRDefault="00F30FB8">
      <w:pPr>
        <w:pStyle w:val="Zkladntext100"/>
        <w:shd w:val="clear" w:color="auto" w:fill="auto"/>
        <w:spacing w:after="60" w:line="187" w:lineRule="auto"/>
        <w:ind w:firstLine="300"/>
        <w:rPr>
          <w:sz w:val="19"/>
          <w:szCs w:val="19"/>
        </w:rPr>
      </w:pPr>
      <w:r>
        <w:rPr>
          <w:b/>
          <w:bCs/>
          <w:sz w:val="19"/>
          <w:szCs w:val="19"/>
        </w:rPr>
        <w:t xml:space="preserve">Jsou menší možností politické, ale ten svět kolem nás je a bude nám bližší K. </w:t>
      </w:r>
      <w:r>
        <w:rPr>
          <w:b/>
          <w:bCs/>
          <w:sz w:val="19"/>
          <w:szCs w:val="19"/>
        </w:rPr>
        <w:t>Čapek nás k tomu vychovával. Nebylo v něm frází. Učil nás vidět svět kolem nás. Ne</w:t>
      </w:r>
      <w:r>
        <w:rPr>
          <w:b/>
          <w:bCs/>
          <w:sz w:val="19"/>
          <w:szCs w:val="19"/>
        </w:rPr>
        <w:softHyphen/>
        <w:t>budeme na píenárkách reformovat svět. Poznali jsme, jak přesuny v Evropě otřásly vším tím naším životem. Nechtěli jsme na píenárkách reformovat svět, věděli jsme, že na to n</w:t>
      </w:r>
      <w:r>
        <w:rPr>
          <w:b/>
          <w:bCs/>
          <w:sz w:val="19"/>
          <w:szCs w:val="19"/>
        </w:rPr>
        <w:t>estačíme, ale pro referenty z ústředí to bylo pohodlné.</w:t>
      </w:r>
    </w:p>
    <w:p w:rsidR="00500724" w:rsidRDefault="00F30FB8">
      <w:pPr>
        <w:pStyle w:val="Zkladntext100"/>
        <w:shd w:val="clear" w:color="auto" w:fill="auto"/>
        <w:tabs>
          <w:tab w:val="left" w:pos="4536"/>
        </w:tabs>
        <w:spacing w:after="520" w:line="187" w:lineRule="auto"/>
        <w:ind w:firstLine="300"/>
        <w:rPr>
          <w:sz w:val="20"/>
          <w:szCs w:val="20"/>
        </w:rPr>
      </w:pPr>
      <w:r>
        <w:rPr>
          <w:b/>
          <w:bCs/>
          <w:sz w:val="19"/>
          <w:szCs w:val="19"/>
        </w:rPr>
        <w:t xml:space="preserve">Ale — to bylo. Dnes vrátíme se více do svého vlastního a malého světa. Snad mnozí si teprve uvědomí, jak bohatý je život kolem nás. A jak je nutná a možná drobná práce kolem nás. Velké věci vyrůstají </w:t>
      </w:r>
      <w:r>
        <w:rPr>
          <w:b/>
          <w:bCs/>
          <w:sz w:val="19"/>
          <w:szCs w:val="19"/>
        </w:rPr>
        <w:t>jen z drobné a ustavičné práce. Svět nepředěíáme. Ale v tom malém světě — kolem nás můžeme mnoho vykonat.</w:t>
      </w:r>
      <w:r>
        <w:rPr>
          <w:b/>
          <w:bCs/>
          <w:sz w:val="19"/>
          <w:szCs w:val="19"/>
        </w:rPr>
        <w:tab/>
      </w:r>
      <w:r>
        <w:rPr>
          <w:b/>
          <w:bCs/>
          <w:i/>
          <w:iCs/>
          <w:sz w:val="20"/>
          <w:szCs w:val="20"/>
        </w:rPr>
        <w:t>V. G-.</w:t>
      </w:r>
    </w:p>
    <w:p w:rsidR="00500724" w:rsidRDefault="00F30FB8">
      <w:pPr>
        <w:pStyle w:val="Jin0"/>
        <w:pBdr>
          <w:bottom w:val="single" w:sz="4" w:space="0" w:color="auto"/>
        </w:pBdr>
        <w:shd w:val="clear" w:color="auto" w:fill="auto"/>
        <w:spacing w:after="300"/>
        <w:ind w:firstLine="0"/>
        <w:jc w:val="left"/>
        <w:rPr>
          <w:sz w:val="36"/>
          <w:szCs w:val="36"/>
        </w:rPr>
      </w:pPr>
      <w:r>
        <w:rPr>
          <w:sz w:val="36"/>
          <w:szCs w:val="36"/>
        </w:rPr>
        <w:t>politika</w:t>
      </w:r>
    </w:p>
    <w:p w:rsidR="00500724" w:rsidRDefault="00F30FB8">
      <w:pPr>
        <w:pStyle w:val="Zkladntext20"/>
        <w:shd w:val="clear" w:color="auto" w:fill="auto"/>
        <w:spacing w:after="60" w:line="240" w:lineRule="auto"/>
        <w:ind w:firstLine="0"/>
        <w:jc w:val="left"/>
        <w:rPr>
          <w:sz w:val="20"/>
          <w:szCs w:val="20"/>
        </w:rPr>
      </w:pPr>
      <w:r>
        <w:rPr>
          <w:i/>
          <w:iCs/>
          <w:sz w:val="20"/>
          <w:szCs w:val="20"/>
        </w:rPr>
        <w:t xml:space="preserve">Dr. </w:t>
      </w:r>
      <w:r>
        <w:rPr>
          <w:i/>
          <w:iCs/>
          <w:sz w:val="20"/>
          <w:szCs w:val="20"/>
          <w:lang w:val="en-US" w:eastAsia="en-US" w:bidi="en-US"/>
        </w:rPr>
        <w:t xml:space="preserve">Otto Schmid </w:t>
      </w:r>
      <w:r>
        <w:rPr>
          <w:i/>
          <w:iCs/>
          <w:sz w:val="20"/>
          <w:szCs w:val="20"/>
        </w:rPr>
        <w:t>t:</w:t>
      </w:r>
    </w:p>
    <w:p w:rsidR="00500724" w:rsidRDefault="00F30FB8">
      <w:pPr>
        <w:pStyle w:val="Nadpis100"/>
        <w:shd w:val="clear" w:color="auto" w:fill="auto"/>
        <w:spacing w:after="60" w:line="240" w:lineRule="auto"/>
      </w:pPr>
      <w:bookmarkStart w:id="383" w:name="bookmark382"/>
      <w:r>
        <w:t>Populační problémy —</w:t>
      </w:r>
      <w:r>
        <w:br/>
        <w:t>hybná síla politiky</w:t>
      </w:r>
      <w:bookmarkEnd w:id="383"/>
    </w:p>
    <w:p w:rsidR="00500724" w:rsidRDefault="00F30FB8">
      <w:pPr>
        <w:pStyle w:val="Zkladntext100"/>
        <w:shd w:val="clear" w:color="auto" w:fill="auto"/>
        <w:spacing w:after="100" w:line="223" w:lineRule="auto"/>
        <w:ind w:firstLine="0"/>
        <w:jc w:val="center"/>
      </w:pPr>
      <w:r>
        <w:t>Kolik je lidí na světě</w:t>
      </w:r>
    </w:p>
    <w:p w:rsidR="00500724" w:rsidRDefault="00F30FB8">
      <w:pPr>
        <w:pStyle w:val="Zkladntext100"/>
        <w:shd w:val="clear" w:color="auto" w:fill="auto"/>
        <w:spacing w:after="60" w:line="223" w:lineRule="auto"/>
        <w:ind w:firstLine="300"/>
      </w:pPr>
      <w:r>
        <w:t>Zkoumáme-li populační stav dnešního světa, přijdeme</w:t>
      </w:r>
      <w:r>
        <w:t xml:space="preserve"> záhy k poznatku, že naše znalosti nejsou v tomto směru právě přesné a spolehlivé. Slavný demograí Robert Kuczynski soudí, že nemůžeme prý říci více než že sou</w:t>
      </w:r>
      <w:r>
        <w:softHyphen/>
        <w:t>časný stav světové populace je mezi 1880 a 2260 miliony obyvatelů. Mnohem mlhavější obraz máme o</w:t>
      </w:r>
      <w:r>
        <w:t>všem o za</w:t>
      </w:r>
      <w:r>
        <w:softHyphen/>
        <w:t>lidnění země v minulosti.</w:t>
      </w:r>
    </w:p>
    <w:p w:rsidR="00500724" w:rsidRDefault="00F30FB8">
      <w:pPr>
        <w:pStyle w:val="Zkladntext100"/>
        <w:shd w:val="clear" w:color="auto" w:fill="auto"/>
        <w:spacing w:after="60" w:line="223" w:lineRule="auto"/>
        <w:ind w:firstLine="300"/>
      </w:pPr>
      <w:r>
        <w:t xml:space="preserve">Učenci, zabývající se ve středověku studiem antiky, dopouštěli se určitá chyby při svém badání. Jejich malé znalosti vedly je k tomu, že promítali populační poměry své doby do časů starověku. Historikové, kteří _ byli u </w:t>
      </w:r>
      <w:r>
        <w:t>vytržení nad dokonalou státní organisaci Athén a Říma, zapomněli, že tyto Athény měly s Pireem v pátém sto</w:t>
      </w:r>
      <w:r>
        <w:softHyphen/>
        <w:t>letí před Kristem nejvýše 100.000 obyvatel. Zapomněli, že celá Atika měla sotva 300.000 obyvatelů, a že vojenská velmoc Sparty byla představována asi</w:t>
      </w:r>
      <w:r>
        <w:t xml:space="preserve"> 2000 bojovníky. Je pozoruhodné, že Platon, přemýšleje o ideálně fungu</w:t>
      </w:r>
      <w:r>
        <w:softHyphen/>
        <w:t>jící státní organisaci, nemohl připustili ve svém státě přirozený a ničím nebrzděný růst obyvatelstva.</w:t>
      </w:r>
    </w:p>
    <w:p w:rsidR="00500724" w:rsidRDefault="00F30FB8">
      <w:pPr>
        <w:pStyle w:val="Zkladntext100"/>
        <w:shd w:val="clear" w:color="auto" w:fill="auto"/>
        <w:spacing w:after="60" w:line="221" w:lineRule="auto"/>
        <w:ind w:firstLine="300"/>
        <w:sectPr w:rsidR="00500724">
          <w:footnotePr>
            <w:numFmt w:val="chicago"/>
            <w:numRestart w:val="eachPage"/>
          </w:footnotePr>
          <w:type w:val="continuous"/>
          <w:pgSz w:w="11909" w:h="16834"/>
          <w:pgMar w:top="1280" w:right="913" w:bottom="393" w:left="657" w:header="0" w:footer="3" w:gutter="0"/>
          <w:cols w:num="2" w:space="134"/>
          <w:noEndnote/>
          <w:docGrid w:linePitch="360"/>
        </w:sectPr>
      </w:pPr>
      <w:r>
        <w:t xml:space="preserve">Z moderních statistiků pokusil se </w:t>
      </w:r>
      <w:r>
        <w:rPr>
          <w:lang w:val="en-US" w:eastAsia="en-US" w:bidi="en-US"/>
        </w:rPr>
        <w:t xml:space="preserve">prof. </w:t>
      </w:r>
      <w:r>
        <w:t xml:space="preserve">W. F. </w:t>
      </w:r>
      <w:r>
        <w:rPr>
          <w:lang w:val="en-US" w:eastAsia="en-US" w:bidi="en-US"/>
        </w:rPr>
        <w:t xml:space="preserve">Willcox </w:t>
      </w:r>
      <w:r>
        <w:rPr>
          <w:b/>
          <w:bCs/>
          <w:sz w:val="19"/>
          <w:szCs w:val="19"/>
        </w:rPr>
        <w:t xml:space="preserve">o </w:t>
      </w:r>
      <w:r>
        <w:t>zjištění populačního vývoje lidstva od doby spolehlivě zjistitelných dat až po naše časy. Jeho údaje opravil slav</w:t>
      </w:r>
      <w:r>
        <w:softHyphen/>
        <w:t xml:space="preserve">ný anglický populacionista </w:t>
      </w:r>
      <w:r>
        <w:rPr>
          <w:lang w:val="en-US" w:eastAsia="en-US" w:bidi="en-US"/>
        </w:rPr>
        <w:t xml:space="preserve">prof. </w:t>
      </w:r>
      <w:r>
        <w:t>A. M. Carr-Saunders. Doplníme-li je nejnovějšími statistikami Společnosti ná</w:t>
      </w:r>
      <w:r>
        <w:softHyphen/>
        <w:t>rodů, přijdeme k těmto</w:t>
      </w:r>
      <w:r>
        <w:t xml:space="preserve"> cifrám </w:t>
      </w:r>
      <w:r>
        <w:rPr>
          <w:b/>
          <w:bCs/>
          <w:sz w:val="19"/>
          <w:szCs w:val="19"/>
        </w:rPr>
        <w:t xml:space="preserve">(v </w:t>
      </w:r>
      <w:r>
        <w:t>milionech):</w:t>
      </w:r>
    </w:p>
    <w:p w:rsidR="00500724" w:rsidRDefault="00500724">
      <w:pPr>
        <w:spacing w:before="93" w:after="93" w:line="240" w:lineRule="exact"/>
        <w:rPr>
          <w:sz w:val="19"/>
          <w:szCs w:val="19"/>
        </w:rPr>
      </w:pPr>
    </w:p>
    <w:p w:rsidR="00500724" w:rsidRDefault="00500724">
      <w:pPr>
        <w:spacing w:line="14" w:lineRule="exact"/>
        <w:sectPr w:rsidR="00500724">
          <w:footnotePr>
            <w:numFmt w:val="chicago"/>
            <w:numRestart w:val="eachPage"/>
          </w:footnotePr>
          <w:pgSz w:w="11909" w:h="16834"/>
          <w:pgMar w:top="1688" w:right="0" w:bottom="408" w:left="0" w:header="0" w:footer="3" w:gutter="0"/>
          <w:cols w:space="720"/>
          <w:noEndnote/>
          <w:docGrid w:linePitch="360"/>
        </w:sectPr>
      </w:pPr>
    </w:p>
    <w:tbl>
      <w:tblPr>
        <w:tblpPr w:vertAnchor="text" w:horzAnchor="page" w:tblpX="1445" w:tblpY="9187"/>
        <w:tblW w:w="0" w:type="auto"/>
        <w:tblLayout w:type="fixed"/>
        <w:tblCellMar>
          <w:left w:w="10" w:type="dxa"/>
          <w:right w:w="10" w:type="dxa"/>
        </w:tblCellMar>
        <w:tblLook w:val="04A0" w:firstRow="1" w:lastRow="0" w:firstColumn="1" w:lastColumn="0" w:noHBand="0" w:noVBand="1"/>
      </w:tblPr>
      <w:tblGrid>
        <w:gridCol w:w="984"/>
        <w:gridCol w:w="1541"/>
        <w:gridCol w:w="1814"/>
      </w:tblGrid>
      <w:tr w:rsidR="00500724">
        <w:tblPrEx>
          <w:tblCellMar>
            <w:top w:w="0" w:type="dxa"/>
            <w:bottom w:w="0" w:type="dxa"/>
          </w:tblCellMar>
        </w:tblPrEx>
        <w:trPr>
          <w:trHeight w:hRule="exact" w:val="360"/>
          <w:tblHeader/>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Rok</w:t>
            </w:r>
          </w:p>
        </w:tc>
        <w:tc>
          <w:tcPr>
            <w:tcW w:w="0" w:type="auto"/>
            <w:shd w:val="clear" w:color="auto" w:fill="FFFFFF"/>
            <w:vAlign w:val="bottom"/>
          </w:tcPr>
          <w:p w:rsidR="00500724" w:rsidRDefault="00F30FB8">
            <w:pPr>
              <w:pStyle w:val="Jin0"/>
              <w:shd w:val="clear" w:color="auto" w:fill="auto"/>
              <w:ind w:left="720" w:firstLine="0"/>
              <w:jc w:val="left"/>
              <w:rPr>
                <w:sz w:val="20"/>
                <w:szCs w:val="20"/>
              </w:rPr>
            </w:pPr>
            <w:r>
              <w:rPr>
                <w:sz w:val="20"/>
                <w:szCs w:val="20"/>
              </w:rPr>
              <w:t>Počet</w:t>
            </w:r>
          </w:p>
        </w:tc>
        <w:tc>
          <w:tcPr>
            <w:tcW w:w="0" w:type="auto"/>
            <w:shd w:val="clear" w:color="auto" w:fill="FFFFFF"/>
          </w:tcPr>
          <w:p w:rsidR="00500724" w:rsidRDefault="00F30FB8">
            <w:pPr>
              <w:pStyle w:val="Jin0"/>
              <w:shd w:val="clear" w:color="auto" w:fill="auto"/>
              <w:ind w:right="20" w:firstLine="0"/>
              <w:jc w:val="center"/>
              <w:rPr>
                <w:sz w:val="20"/>
                <w:szCs w:val="20"/>
              </w:rPr>
            </w:pPr>
            <w:r>
              <w:rPr>
                <w:sz w:val="20"/>
                <w:szCs w:val="20"/>
              </w:rPr>
              <w:t>Procento</w:t>
            </w:r>
          </w:p>
          <w:p w:rsidR="00500724" w:rsidRDefault="00F30FB8">
            <w:pPr>
              <w:pStyle w:val="Jin0"/>
              <w:shd w:val="clear" w:color="auto" w:fill="auto"/>
              <w:spacing w:line="180" w:lineRule="auto"/>
              <w:ind w:right="20" w:firstLine="0"/>
              <w:jc w:val="center"/>
              <w:rPr>
                <w:sz w:val="20"/>
                <w:szCs w:val="20"/>
              </w:rPr>
            </w:pPr>
            <w:r>
              <w:rPr>
                <w:sz w:val="20"/>
                <w:szCs w:val="20"/>
              </w:rPr>
              <w:t>celého obyvatelstva</w:t>
            </w:r>
          </w:p>
        </w:tc>
      </w:tr>
      <w:tr w:rsidR="00500724">
        <w:tblPrEx>
          <w:tblCellMar>
            <w:top w:w="0" w:type="dxa"/>
            <w:bottom w:w="0" w:type="dxa"/>
          </w:tblCellMar>
        </w:tblPrEx>
        <w:trPr>
          <w:trHeight w:hRule="exact" w:val="173"/>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1930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11,891.143</w:t>
            </w:r>
          </w:p>
        </w:tc>
        <w:tc>
          <w:tcPr>
            <w:tcW w:w="0" w:type="auto"/>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9.7</w:t>
            </w:r>
          </w:p>
        </w:tc>
      </w:tr>
      <w:tr w:rsidR="00500724">
        <w:tblPrEx>
          <w:tblCellMar>
            <w:top w:w="0" w:type="dxa"/>
            <w:bottom w:w="0" w:type="dxa"/>
          </w:tblCellMar>
        </w:tblPrEx>
        <w:trPr>
          <w:trHeight w:hRule="exact" w:val="168"/>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1920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10,463.131</w:t>
            </w:r>
          </w:p>
        </w:tc>
        <w:tc>
          <w:tcPr>
            <w:tcW w:w="0" w:type="auto"/>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9.9</w:t>
            </w:r>
          </w:p>
        </w:tc>
      </w:tr>
      <w:tr w:rsidR="00500724">
        <w:tblPrEx>
          <w:tblCellMar>
            <w:top w:w="0" w:type="dxa"/>
            <w:bottom w:w="0" w:type="dxa"/>
          </w:tblCellMar>
        </w:tblPrEx>
        <w:trPr>
          <w:trHeight w:hRule="exact" w:val="168"/>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1910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9,827.763</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10.7</w:t>
            </w:r>
          </w:p>
        </w:tc>
      </w:tr>
      <w:tr w:rsidR="00500724">
        <w:tblPrEx>
          <w:tblCellMar>
            <w:top w:w="0" w:type="dxa"/>
            <w:bottom w:w="0" w:type="dxa"/>
          </w:tblCellMar>
        </w:tblPrEx>
        <w:trPr>
          <w:trHeight w:hRule="exact" w:val="173"/>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1900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8,833.994</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11.6</w:t>
            </w:r>
          </w:p>
        </w:tc>
      </w:tr>
      <w:tr w:rsidR="00500724">
        <w:tblPrEx>
          <w:tblCellMar>
            <w:top w:w="0" w:type="dxa"/>
            <w:bottom w:w="0" w:type="dxa"/>
          </w:tblCellMar>
        </w:tblPrEx>
        <w:trPr>
          <w:trHeight w:hRule="exact" w:val="163"/>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1890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7,488.676</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11.9</w:t>
            </w:r>
          </w:p>
        </w:tc>
      </w:tr>
      <w:tr w:rsidR="00500724">
        <w:tblPrEx>
          <w:tblCellMar>
            <w:top w:w="0" w:type="dxa"/>
            <w:bottom w:w="0" w:type="dxa"/>
          </w:tblCellMar>
        </w:tblPrEx>
        <w:trPr>
          <w:trHeight w:hRule="exact" w:val="173"/>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1880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6,580.793</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13.1</w:t>
            </w:r>
          </w:p>
        </w:tc>
      </w:tr>
      <w:tr w:rsidR="00500724">
        <w:tblPrEx>
          <w:tblCellMar>
            <w:top w:w="0" w:type="dxa"/>
            <w:bottom w:w="0" w:type="dxa"/>
          </w:tblCellMar>
        </w:tblPrEx>
        <w:trPr>
          <w:trHeight w:hRule="exact" w:val="168"/>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1870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5,392.172</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13.5</w:t>
            </w:r>
          </w:p>
        </w:tc>
      </w:tr>
      <w:tr w:rsidR="00500724">
        <w:tblPrEx>
          <w:tblCellMar>
            <w:top w:w="0" w:type="dxa"/>
            <w:bottom w:w="0" w:type="dxa"/>
          </w:tblCellMar>
        </w:tblPrEx>
        <w:trPr>
          <w:trHeight w:hRule="exact" w:val="168"/>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1860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4,441.830</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14.1</w:t>
            </w:r>
          </w:p>
        </w:tc>
      </w:tr>
      <w:tr w:rsidR="00500724">
        <w:tblPrEx>
          <w:tblCellMar>
            <w:top w:w="0" w:type="dxa"/>
            <w:bottom w:w="0" w:type="dxa"/>
          </w:tblCellMar>
        </w:tblPrEx>
        <w:trPr>
          <w:trHeight w:hRule="exact" w:val="168"/>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1850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3,638.808</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15.7</w:t>
            </w:r>
          </w:p>
        </w:tc>
      </w:tr>
      <w:tr w:rsidR="00500724">
        <w:tblPrEx>
          <w:tblCellMar>
            <w:top w:w="0" w:type="dxa"/>
            <w:bottom w:w="0" w:type="dxa"/>
          </w:tblCellMar>
        </w:tblPrEx>
        <w:trPr>
          <w:trHeight w:hRule="exact" w:val="168"/>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1840</w:t>
            </w:r>
          </w:p>
        </w:tc>
        <w:tc>
          <w:tcPr>
            <w:tcW w:w="0" w:type="auto"/>
            <w:shd w:val="clear" w:color="auto" w:fill="FFFFFF"/>
            <w:vAlign w:val="bottom"/>
          </w:tcPr>
          <w:p w:rsidR="00500724" w:rsidRDefault="00F30FB8">
            <w:pPr>
              <w:pStyle w:val="Jin0"/>
              <w:shd w:val="clear" w:color="auto" w:fill="auto"/>
              <w:ind w:right="160" w:firstLine="0"/>
              <w:jc w:val="right"/>
              <w:rPr>
                <w:sz w:val="20"/>
                <w:szCs w:val="20"/>
              </w:rPr>
            </w:pPr>
            <w:r>
              <w:rPr>
                <w:sz w:val="20"/>
                <w:szCs w:val="20"/>
              </w:rPr>
              <w:t>2,873.648</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16.8</w:t>
            </w:r>
          </w:p>
        </w:tc>
      </w:tr>
      <w:tr w:rsidR="00500724">
        <w:tblPrEx>
          <w:tblCellMar>
            <w:top w:w="0" w:type="dxa"/>
            <w:bottom w:w="0" w:type="dxa"/>
          </w:tblCellMar>
        </w:tblPrEx>
        <w:trPr>
          <w:trHeight w:hRule="exact" w:val="197"/>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1830</w:t>
            </w:r>
          </w:p>
        </w:tc>
        <w:tc>
          <w:tcPr>
            <w:tcW w:w="0" w:type="auto"/>
            <w:shd w:val="clear" w:color="auto" w:fill="FFFFFF"/>
          </w:tcPr>
          <w:p w:rsidR="00500724" w:rsidRDefault="00F30FB8">
            <w:pPr>
              <w:pStyle w:val="Jin0"/>
              <w:shd w:val="clear" w:color="auto" w:fill="auto"/>
              <w:ind w:right="160" w:firstLine="0"/>
              <w:jc w:val="right"/>
              <w:rPr>
                <w:sz w:val="20"/>
                <w:szCs w:val="20"/>
              </w:rPr>
            </w:pPr>
            <w:r>
              <w:rPr>
                <w:sz w:val="20"/>
                <w:szCs w:val="20"/>
              </w:rPr>
              <w:t>2,328.642</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18.1</w:t>
            </w:r>
          </w:p>
        </w:tc>
      </w:tr>
    </w:tbl>
    <w:tbl>
      <w:tblPr>
        <w:tblpPr w:vertAnchor="text" w:horzAnchor="page" w:tblpX="6778" w:tblpY="4085"/>
        <w:tblW w:w="0" w:type="auto"/>
        <w:tblLayout w:type="fixed"/>
        <w:tblCellMar>
          <w:left w:w="10" w:type="dxa"/>
          <w:right w:w="10" w:type="dxa"/>
        </w:tblCellMar>
        <w:tblLook w:val="04A0" w:firstRow="1" w:lastRow="0" w:firstColumn="1" w:lastColumn="0" w:noHBand="0" w:noVBand="1"/>
      </w:tblPr>
      <w:tblGrid>
        <w:gridCol w:w="1334"/>
        <w:gridCol w:w="1320"/>
        <w:gridCol w:w="1075"/>
      </w:tblGrid>
      <w:tr w:rsidR="00500724">
        <w:tblPrEx>
          <w:tblCellMar>
            <w:top w:w="0" w:type="dxa"/>
            <w:bottom w:w="0" w:type="dxa"/>
          </w:tblCellMar>
        </w:tblPrEx>
        <w:trPr>
          <w:trHeight w:hRule="exact" w:val="374"/>
          <w:tblHeader/>
        </w:trPr>
        <w:tc>
          <w:tcPr>
            <w:tcW w:w="0" w:type="auto"/>
            <w:shd w:val="clear" w:color="auto" w:fill="FFFFFF"/>
          </w:tcPr>
          <w:p w:rsidR="00500724" w:rsidRDefault="00500724">
            <w:pPr>
              <w:rPr>
                <w:sz w:val="10"/>
                <w:szCs w:val="10"/>
              </w:rPr>
            </w:pPr>
          </w:p>
        </w:tc>
        <w:tc>
          <w:tcPr>
            <w:tcW w:w="0" w:type="auto"/>
            <w:shd w:val="clear" w:color="auto" w:fill="FFFFFF"/>
          </w:tcPr>
          <w:p w:rsidR="00500724" w:rsidRDefault="00F30FB8">
            <w:pPr>
              <w:pStyle w:val="Jin0"/>
              <w:shd w:val="clear" w:color="auto" w:fill="auto"/>
              <w:ind w:right="180" w:firstLine="0"/>
              <w:jc w:val="center"/>
              <w:rPr>
                <w:sz w:val="20"/>
                <w:szCs w:val="20"/>
              </w:rPr>
            </w:pPr>
            <w:r>
              <w:rPr>
                <w:sz w:val="20"/>
                <w:szCs w:val="20"/>
              </w:rPr>
              <w:t>% bílých</w:t>
            </w:r>
          </w:p>
        </w:tc>
        <w:tc>
          <w:tcPr>
            <w:tcW w:w="0" w:type="auto"/>
            <w:shd w:val="clear" w:color="auto" w:fill="FFFFFF"/>
          </w:tcPr>
          <w:p w:rsidR="00500724" w:rsidRDefault="00F30FB8">
            <w:pPr>
              <w:pStyle w:val="Jin0"/>
              <w:shd w:val="clear" w:color="auto" w:fill="auto"/>
              <w:spacing w:line="180" w:lineRule="auto"/>
              <w:ind w:left="200" w:firstLine="0"/>
              <w:rPr>
                <w:sz w:val="20"/>
                <w:szCs w:val="20"/>
              </w:rPr>
            </w:pPr>
            <w:r>
              <w:rPr>
                <w:sz w:val="20"/>
                <w:szCs w:val="20"/>
              </w:rPr>
              <w:t>% Indiánů a mesticů</w:t>
            </w:r>
          </w:p>
        </w:tc>
      </w:tr>
      <w:tr w:rsidR="00500724">
        <w:tblPrEx>
          <w:tblCellMar>
            <w:top w:w="0" w:type="dxa"/>
            <w:bottom w:w="0" w:type="dxa"/>
          </w:tblCellMar>
        </w:tblPrEx>
        <w:trPr>
          <w:trHeight w:hRule="exact" w:val="187"/>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lang w:val="en-US" w:eastAsia="en-US" w:bidi="en-US"/>
              </w:rPr>
              <w:t>Costa Rica</w:t>
            </w:r>
          </w:p>
        </w:tc>
        <w:tc>
          <w:tcPr>
            <w:tcW w:w="0" w:type="auto"/>
            <w:shd w:val="clear" w:color="auto" w:fill="FFFFFF"/>
            <w:vAlign w:val="bottom"/>
          </w:tcPr>
          <w:p w:rsidR="00500724" w:rsidRDefault="00F30FB8">
            <w:pPr>
              <w:pStyle w:val="Jin0"/>
              <w:shd w:val="clear" w:color="auto" w:fill="auto"/>
              <w:ind w:right="200" w:firstLine="0"/>
              <w:jc w:val="center"/>
              <w:rPr>
                <w:sz w:val="20"/>
                <w:szCs w:val="20"/>
              </w:rPr>
            </w:pPr>
            <w:r>
              <w:rPr>
                <w:sz w:val="20"/>
                <w:szCs w:val="20"/>
              </w:rPr>
              <w:t>90.5</w:t>
            </w:r>
          </w:p>
        </w:tc>
        <w:tc>
          <w:tcPr>
            <w:tcW w:w="0" w:type="auto"/>
            <w:shd w:val="clear" w:color="auto" w:fill="FFFFFF"/>
            <w:vAlign w:val="bottom"/>
          </w:tcPr>
          <w:p w:rsidR="00500724" w:rsidRDefault="00F30FB8">
            <w:pPr>
              <w:pStyle w:val="Jin0"/>
              <w:shd w:val="clear" w:color="auto" w:fill="auto"/>
              <w:ind w:right="180" w:firstLine="0"/>
              <w:jc w:val="center"/>
              <w:rPr>
                <w:sz w:val="20"/>
                <w:szCs w:val="20"/>
              </w:rPr>
            </w:pPr>
            <w:r>
              <w:rPr>
                <w:sz w:val="20"/>
                <w:szCs w:val="20"/>
              </w:rPr>
              <w:t>8.3</w:t>
            </w:r>
          </w:p>
        </w:tc>
      </w:tr>
      <w:tr w:rsidR="00500724">
        <w:tblPrEx>
          <w:tblCellMar>
            <w:top w:w="0" w:type="dxa"/>
            <w:bottom w:w="0" w:type="dxa"/>
          </w:tblCellMar>
        </w:tblPrEx>
        <w:trPr>
          <w:trHeight w:hRule="exact" w:val="168"/>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Guatemala</w:t>
            </w:r>
          </w:p>
        </w:tc>
        <w:tc>
          <w:tcPr>
            <w:tcW w:w="0" w:type="auto"/>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10</w:t>
            </w:r>
          </w:p>
        </w:tc>
        <w:tc>
          <w:tcPr>
            <w:tcW w:w="0" w:type="auto"/>
            <w:shd w:val="clear" w:color="auto" w:fill="FFFFFF"/>
          </w:tcPr>
          <w:p w:rsidR="00500724" w:rsidRDefault="00F30FB8">
            <w:pPr>
              <w:pStyle w:val="Jin0"/>
              <w:shd w:val="clear" w:color="auto" w:fill="auto"/>
              <w:ind w:right="60" w:firstLine="0"/>
              <w:jc w:val="center"/>
              <w:rPr>
                <w:sz w:val="20"/>
                <w:szCs w:val="20"/>
              </w:rPr>
            </w:pPr>
            <w:r>
              <w:rPr>
                <w:sz w:val="20"/>
                <w:szCs w:val="20"/>
              </w:rPr>
              <w:t>90</w:t>
            </w:r>
          </w:p>
        </w:tc>
      </w:tr>
      <w:tr w:rsidR="00500724">
        <w:tblPrEx>
          <w:tblCellMar>
            <w:top w:w="0" w:type="dxa"/>
            <w:bottom w:w="0" w:type="dxa"/>
          </w:tblCellMar>
        </w:tblPrEx>
        <w:trPr>
          <w:trHeight w:hRule="exact" w:val="168"/>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Honduras</w:t>
            </w:r>
          </w:p>
        </w:tc>
        <w:tc>
          <w:tcPr>
            <w:tcW w:w="0" w:type="auto"/>
            <w:shd w:val="clear" w:color="auto" w:fill="FFFFFF"/>
          </w:tcPr>
          <w:p w:rsidR="00500724" w:rsidRDefault="00F30FB8">
            <w:pPr>
              <w:pStyle w:val="Jin0"/>
              <w:shd w:val="clear" w:color="auto" w:fill="auto"/>
              <w:ind w:right="180" w:firstLine="0"/>
              <w:jc w:val="center"/>
              <w:rPr>
                <w:sz w:val="20"/>
                <w:szCs w:val="20"/>
              </w:rPr>
            </w:pPr>
            <w:r>
              <w:rPr>
                <w:sz w:val="20"/>
                <w:szCs w:val="20"/>
              </w:rPr>
              <w:t>5</w:t>
            </w:r>
          </w:p>
        </w:tc>
        <w:tc>
          <w:tcPr>
            <w:tcW w:w="0" w:type="auto"/>
            <w:shd w:val="clear" w:color="auto" w:fill="FFFFFF"/>
          </w:tcPr>
          <w:p w:rsidR="00500724" w:rsidRDefault="00F30FB8">
            <w:pPr>
              <w:pStyle w:val="Jin0"/>
              <w:shd w:val="clear" w:color="auto" w:fill="auto"/>
              <w:ind w:right="60" w:firstLine="0"/>
              <w:jc w:val="center"/>
              <w:rPr>
                <w:sz w:val="20"/>
                <w:szCs w:val="20"/>
              </w:rPr>
            </w:pPr>
            <w:r>
              <w:rPr>
                <w:sz w:val="20"/>
                <w:szCs w:val="20"/>
              </w:rPr>
              <w:t>90</w:t>
            </w:r>
          </w:p>
        </w:tc>
      </w:tr>
      <w:tr w:rsidR="00500724">
        <w:tblPrEx>
          <w:tblCellMar>
            <w:top w:w="0" w:type="dxa"/>
            <w:bottom w:w="0" w:type="dxa"/>
          </w:tblCellMar>
        </w:tblPrEx>
        <w:trPr>
          <w:trHeight w:hRule="exact" w:val="168"/>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Mexiko</w:t>
            </w:r>
          </w:p>
        </w:tc>
        <w:tc>
          <w:tcPr>
            <w:tcW w:w="0" w:type="auto"/>
            <w:shd w:val="clear" w:color="auto" w:fill="FFFFFF"/>
          </w:tcPr>
          <w:p w:rsidR="00500724" w:rsidRDefault="00F30FB8">
            <w:pPr>
              <w:pStyle w:val="Jin0"/>
              <w:shd w:val="clear" w:color="auto" w:fill="auto"/>
              <w:ind w:right="100" w:firstLine="0"/>
              <w:jc w:val="center"/>
              <w:rPr>
                <w:sz w:val="20"/>
                <w:szCs w:val="20"/>
              </w:rPr>
            </w:pPr>
            <w:r>
              <w:rPr>
                <w:sz w:val="20"/>
                <w:szCs w:val="20"/>
              </w:rPr>
              <w:t>19</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81</w:t>
            </w:r>
          </w:p>
        </w:tc>
      </w:tr>
      <w:tr w:rsidR="00500724">
        <w:tblPrEx>
          <w:tblCellMar>
            <w:top w:w="0" w:type="dxa"/>
            <w:bottom w:w="0" w:type="dxa"/>
          </w:tblCellMar>
        </w:tblPrEx>
        <w:trPr>
          <w:trHeight w:hRule="exact" w:val="178"/>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Argentina</w:t>
            </w:r>
          </w:p>
        </w:tc>
        <w:tc>
          <w:tcPr>
            <w:tcW w:w="0" w:type="auto"/>
            <w:shd w:val="clear" w:color="auto" w:fill="FFFFFF"/>
          </w:tcPr>
          <w:p w:rsidR="00500724" w:rsidRDefault="00F30FB8">
            <w:pPr>
              <w:pStyle w:val="Jin0"/>
              <w:shd w:val="clear" w:color="auto" w:fill="auto"/>
              <w:ind w:right="200" w:firstLine="0"/>
              <w:jc w:val="center"/>
              <w:rPr>
                <w:sz w:val="20"/>
                <w:szCs w:val="20"/>
              </w:rPr>
            </w:pPr>
            <w:r>
              <w:rPr>
                <w:sz w:val="20"/>
                <w:szCs w:val="20"/>
              </w:rPr>
              <w:t>97.9</w:t>
            </w:r>
          </w:p>
        </w:tc>
        <w:tc>
          <w:tcPr>
            <w:tcW w:w="0" w:type="auto"/>
            <w:shd w:val="clear" w:color="auto" w:fill="FFFFFF"/>
            <w:vAlign w:val="bottom"/>
          </w:tcPr>
          <w:p w:rsidR="00500724" w:rsidRDefault="00F30FB8">
            <w:pPr>
              <w:pStyle w:val="Jin0"/>
              <w:shd w:val="clear" w:color="auto" w:fill="auto"/>
              <w:ind w:right="140" w:firstLine="0"/>
              <w:jc w:val="center"/>
              <w:rPr>
                <w:sz w:val="20"/>
                <w:szCs w:val="20"/>
              </w:rPr>
            </w:pPr>
            <w:r>
              <w:rPr>
                <w:sz w:val="20"/>
                <w:szCs w:val="20"/>
              </w:rPr>
              <w:t>2</w:t>
            </w:r>
          </w:p>
        </w:tc>
      </w:tr>
      <w:tr w:rsidR="00500724">
        <w:tblPrEx>
          <w:tblCellMar>
            <w:top w:w="0" w:type="dxa"/>
            <w:bottom w:w="0" w:type="dxa"/>
          </w:tblCellMar>
        </w:tblPrEx>
        <w:trPr>
          <w:trHeight w:hRule="exact" w:val="154"/>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lang w:val="en-US" w:eastAsia="en-US" w:bidi="en-US"/>
              </w:rPr>
              <w:t>Bolivia</w:t>
            </w:r>
          </w:p>
        </w:tc>
        <w:tc>
          <w:tcPr>
            <w:tcW w:w="0" w:type="auto"/>
            <w:shd w:val="clear" w:color="auto" w:fill="FFFFFF"/>
          </w:tcPr>
          <w:p w:rsidR="00500724" w:rsidRDefault="00F30FB8">
            <w:pPr>
              <w:pStyle w:val="Jin0"/>
              <w:shd w:val="clear" w:color="auto" w:fill="auto"/>
              <w:ind w:right="100" w:firstLine="0"/>
              <w:jc w:val="center"/>
              <w:rPr>
                <w:sz w:val="20"/>
                <w:szCs w:val="20"/>
              </w:rPr>
            </w:pPr>
            <w:r>
              <w:rPr>
                <w:sz w:val="20"/>
                <w:szCs w:val="20"/>
              </w:rPr>
              <w:t>13</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86</w:t>
            </w:r>
          </w:p>
        </w:tc>
      </w:tr>
      <w:tr w:rsidR="00500724">
        <w:tblPrEx>
          <w:tblCellMar>
            <w:top w:w="0" w:type="dxa"/>
            <w:bottom w:w="0" w:type="dxa"/>
          </w:tblCellMar>
        </w:tblPrEx>
        <w:trPr>
          <w:trHeight w:hRule="exact" w:val="163"/>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Brasilie</w:t>
            </w:r>
          </w:p>
        </w:tc>
        <w:tc>
          <w:tcPr>
            <w:tcW w:w="0" w:type="auto"/>
            <w:shd w:val="clear" w:color="auto" w:fill="FFFFFF"/>
          </w:tcPr>
          <w:p w:rsidR="00500724" w:rsidRDefault="00F30FB8">
            <w:pPr>
              <w:pStyle w:val="Jin0"/>
              <w:shd w:val="clear" w:color="auto" w:fill="auto"/>
              <w:ind w:right="100" w:firstLine="0"/>
              <w:jc w:val="center"/>
              <w:rPr>
                <w:sz w:val="20"/>
                <w:szCs w:val="20"/>
              </w:rPr>
            </w:pPr>
            <w:r>
              <w:rPr>
                <w:sz w:val="20"/>
                <w:szCs w:val="20"/>
              </w:rPr>
              <w:t>40</w:t>
            </w:r>
          </w:p>
        </w:tc>
        <w:tc>
          <w:tcPr>
            <w:tcW w:w="0" w:type="auto"/>
            <w:shd w:val="clear" w:color="auto" w:fill="FFFFFF"/>
          </w:tcPr>
          <w:p w:rsidR="00500724" w:rsidRDefault="00F30FB8">
            <w:pPr>
              <w:pStyle w:val="Jin0"/>
              <w:shd w:val="clear" w:color="auto" w:fill="auto"/>
              <w:ind w:right="180" w:firstLine="0"/>
              <w:jc w:val="center"/>
              <w:rPr>
                <w:sz w:val="20"/>
                <w:szCs w:val="20"/>
              </w:rPr>
            </w:pPr>
            <w:r>
              <w:rPr>
                <w:sz w:val="20"/>
                <w:szCs w:val="20"/>
              </w:rPr>
              <w:t>41.3</w:t>
            </w:r>
          </w:p>
        </w:tc>
      </w:tr>
      <w:tr w:rsidR="00500724">
        <w:tblPrEx>
          <w:tblCellMar>
            <w:top w:w="0" w:type="dxa"/>
            <w:bottom w:w="0" w:type="dxa"/>
          </w:tblCellMar>
        </w:tblPrEx>
        <w:trPr>
          <w:trHeight w:hRule="exact" w:val="168"/>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lang w:val="en-US" w:eastAsia="en-US" w:bidi="en-US"/>
              </w:rPr>
              <w:t>Colombia</w:t>
            </w:r>
          </w:p>
        </w:tc>
        <w:tc>
          <w:tcPr>
            <w:tcW w:w="0" w:type="auto"/>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10</w:t>
            </w:r>
          </w:p>
        </w:tc>
        <w:tc>
          <w:tcPr>
            <w:tcW w:w="0" w:type="auto"/>
            <w:shd w:val="clear" w:color="auto" w:fill="FFFFFF"/>
          </w:tcPr>
          <w:p w:rsidR="00500724" w:rsidRDefault="00F30FB8">
            <w:pPr>
              <w:pStyle w:val="Jin0"/>
              <w:shd w:val="clear" w:color="auto" w:fill="auto"/>
              <w:ind w:right="60" w:firstLine="0"/>
              <w:jc w:val="center"/>
              <w:rPr>
                <w:sz w:val="20"/>
                <w:szCs w:val="20"/>
              </w:rPr>
            </w:pPr>
            <w:r>
              <w:rPr>
                <w:sz w:val="20"/>
                <w:szCs w:val="20"/>
              </w:rPr>
              <w:t>55</w:t>
            </w:r>
          </w:p>
        </w:tc>
      </w:tr>
      <w:tr w:rsidR="00500724">
        <w:tblPrEx>
          <w:tblCellMar>
            <w:top w:w="0" w:type="dxa"/>
            <w:bottom w:w="0" w:type="dxa"/>
          </w:tblCellMar>
        </w:tblPrEx>
        <w:trPr>
          <w:trHeight w:hRule="exact" w:val="163"/>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Ecuador</w:t>
            </w:r>
          </w:p>
        </w:tc>
        <w:tc>
          <w:tcPr>
            <w:tcW w:w="0" w:type="auto"/>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25</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65</w:t>
            </w:r>
          </w:p>
        </w:tc>
      </w:tr>
      <w:tr w:rsidR="00500724">
        <w:tblPrEx>
          <w:tblCellMar>
            <w:top w:w="0" w:type="dxa"/>
            <w:bottom w:w="0" w:type="dxa"/>
          </w:tblCellMar>
        </w:tblPrEx>
        <w:trPr>
          <w:trHeight w:hRule="exact" w:val="173"/>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Peru</w:t>
            </w:r>
          </w:p>
        </w:tc>
        <w:tc>
          <w:tcPr>
            <w:tcW w:w="0" w:type="auto"/>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10</w:t>
            </w:r>
          </w:p>
        </w:tc>
        <w:tc>
          <w:tcPr>
            <w:tcW w:w="0" w:type="auto"/>
            <w:shd w:val="clear" w:color="auto" w:fill="FFFFFF"/>
          </w:tcPr>
          <w:p w:rsidR="00500724" w:rsidRDefault="00F30FB8">
            <w:pPr>
              <w:pStyle w:val="Jin0"/>
              <w:shd w:val="clear" w:color="auto" w:fill="auto"/>
              <w:ind w:right="60" w:firstLine="0"/>
              <w:jc w:val="center"/>
              <w:rPr>
                <w:sz w:val="20"/>
                <w:szCs w:val="20"/>
              </w:rPr>
            </w:pPr>
            <w:r>
              <w:rPr>
                <w:sz w:val="20"/>
                <w:szCs w:val="20"/>
              </w:rPr>
              <w:t>85</w:t>
            </w:r>
          </w:p>
        </w:tc>
      </w:tr>
      <w:tr w:rsidR="00500724">
        <w:tblPrEx>
          <w:tblCellMar>
            <w:top w:w="0" w:type="dxa"/>
            <w:bottom w:w="0" w:type="dxa"/>
          </w:tblCellMar>
        </w:tblPrEx>
        <w:trPr>
          <w:trHeight w:hRule="exact" w:val="182"/>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Venezuela</w:t>
            </w:r>
          </w:p>
        </w:tc>
        <w:tc>
          <w:tcPr>
            <w:tcW w:w="0" w:type="auto"/>
            <w:shd w:val="clear" w:color="auto" w:fill="FFFFFF"/>
            <w:vAlign w:val="bottom"/>
          </w:tcPr>
          <w:p w:rsidR="00500724" w:rsidRDefault="00F30FB8">
            <w:pPr>
              <w:pStyle w:val="Jin0"/>
              <w:shd w:val="clear" w:color="auto" w:fill="auto"/>
              <w:ind w:right="180" w:firstLine="0"/>
              <w:jc w:val="center"/>
              <w:rPr>
                <w:sz w:val="20"/>
                <w:szCs w:val="20"/>
              </w:rPr>
            </w:pPr>
            <w:r>
              <w:rPr>
                <w:sz w:val="20"/>
                <w:szCs w:val="20"/>
              </w:rPr>
              <w:t>2</w:t>
            </w:r>
          </w:p>
        </w:tc>
        <w:tc>
          <w:tcPr>
            <w:tcW w:w="0" w:type="auto"/>
            <w:shd w:val="clear" w:color="auto" w:fill="FFFFFF"/>
          </w:tcPr>
          <w:p w:rsidR="00500724" w:rsidRDefault="00F30FB8">
            <w:pPr>
              <w:pStyle w:val="Jin0"/>
              <w:shd w:val="clear" w:color="auto" w:fill="auto"/>
              <w:ind w:right="60" w:firstLine="0"/>
              <w:jc w:val="center"/>
              <w:rPr>
                <w:sz w:val="20"/>
                <w:szCs w:val="20"/>
              </w:rPr>
            </w:pPr>
            <w:r>
              <w:rPr>
                <w:sz w:val="20"/>
                <w:szCs w:val="20"/>
              </w:rPr>
              <w:t>92</w:t>
            </w:r>
          </w:p>
        </w:tc>
      </w:tr>
    </w:tbl>
    <w:p w:rsidR="00500724" w:rsidRDefault="00F30FB8">
      <w:pPr>
        <w:spacing w:line="14" w:lineRule="exact"/>
      </w:pPr>
      <w:r>
        <w:rPr>
          <w:noProof/>
        </w:rPr>
        <mc:AlternateContent>
          <mc:Choice Requires="wps">
            <w:drawing>
              <wp:anchor distT="158750" distB="0" distL="0" distR="0" simplePos="0" relativeHeight="125829774" behindDoc="0" locked="0" layoutInCell="1" allowOverlap="1">
                <wp:simplePos x="0" y="0"/>
                <wp:positionH relativeFrom="page">
                  <wp:posOffset>473075</wp:posOffset>
                </wp:positionH>
                <wp:positionV relativeFrom="paragraph">
                  <wp:posOffset>171450</wp:posOffset>
                </wp:positionV>
                <wp:extent cx="3215640" cy="1146175"/>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3215640" cy="114617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478"/>
                              <w:gridCol w:w="682"/>
                              <w:gridCol w:w="658"/>
                              <w:gridCol w:w="562"/>
                              <w:gridCol w:w="566"/>
                              <w:gridCol w:w="518"/>
                              <w:gridCol w:w="600"/>
                            </w:tblGrid>
                            <w:tr w:rsidR="00500724">
                              <w:tblPrEx>
                                <w:tblCellMar>
                                  <w:top w:w="0" w:type="dxa"/>
                                  <w:bottom w:w="0" w:type="dxa"/>
                                </w:tblCellMar>
                              </w:tblPrEx>
                              <w:trPr>
                                <w:trHeight w:hRule="exact" w:val="206"/>
                                <w:tblHeader/>
                              </w:trPr>
                              <w:tc>
                                <w:tcPr>
                                  <w:tcW w:w="1478" w:type="dxa"/>
                                  <w:shd w:val="clear" w:color="auto" w:fill="FFFFFF"/>
                                </w:tcPr>
                                <w:p w:rsidR="00500724" w:rsidRDefault="00500724">
                                  <w:pPr>
                                    <w:rPr>
                                      <w:sz w:val="10"/>
                                      <w:szCs w:val="10"/>
                                    </w:rPr>
                                  </w:pP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1650</w:t>
                                  </w:r>
                                </w:p>
                              </w:tc>
                              <w:tc>
                                <w:tcPr>
                                  <w:tcW w:w="658" w:type="dxa"/>
                                  <w:shd w:val="clear" w:color="auto" w:fill="FFFFFF"/>
                                  <w:vAlign w:val="bottom"/>
                                </w:tcPr>
                                <w:p w:rsidR="00500724" w:rsidRDefault="00F30FB8">
                                  <w:pPr>
                                    <w:pStyle w:val="Jin0"/>
                                    <w:shd w:val="clear" w:color="auto" w:fill="auto"/>
                                    <w:ind w:left="60" w:firstLine="0"/>
                                    <w:jc w:val="center"/>
                                    <w:rPr>
                                      <w:sz w:val="20"/>
                                      <w:szCs w:val="20"/>
                                    </w:rPr>
                                  </w:pPr>
                                  <w:r>
                                    <w:rPr>
                                      <w:sz w:val="20"/>
                                      <w:szCs w:val="20"/>
                                    </w:rPr>
                                    <w:t>1750</w:t>
                                  </w:r>
                                </w:p>
                              </w:tc>
                              <w:tc>
                                <w:tcPr>
                                  <w:tcW w:w="562"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1800</w:t>
                                  </w:r>
                                </w:p>
                              </w:tc>
                              <w:tc>
                                <w:tcPr>
                                  <w:tcW w:w="566"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1850</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1900</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1937</w:t>
                                  </w:r>
                                </w:p>
                              </w:tc>
                            </w:tr>
                            <w:tr w:rsidR="00500724">
                              <w:tblPrEx>
                                <w:tblCellMar>
                                  <w:top w:w="0" w:type="dxa"/>
                                  <w:bottom w:w="0" w:type="dxa"/>
                                </w:tblCellMar>
                              </w:tblPrEx>
                              <w:trPr>
                                <w:trHeight w:hRule="exact" w:val="182"/>
                              </w:trPr>
                              <w:tc>
                                <w:tcPr>
                                  <w:tcW w:w="1478" w:type="dxa"/>
                                  <w:shd w:val="clear" w:color="auto" w:fill="FFFFFF"/>
                                  <w:vAlign w:val="bottom"/>
                                </w:tcPr>
                                <w:p w:rsidR="00500724" w:rsidRDefault="00F30FB8">
                                  <w:pPr>
                                    <w:pStyle w:val="Jin0"/>
                                    <w:shd w:val="clear" w:color="auto" w:fill="auto"/>
                                    <w:ind w:firstLine="0"/>
                                    <w:jc w:val="left"/>
                                    <w:rPr>
                                      <w:sz w:val="18"/>
                                      <w:szCs w:val="18"/>
                                    </w:rPr>
                                  </w:pPr>
                                  <w:r>
                                    <w:rPr>
                                      <w:sz w:val="18"/>
                                      <w:szCs w:val="18"/>
                                    </w:rPr>
                                    <w:t>Evropa</w:t>
                                  </w: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100</w:t>
                                  </w:r>
                                </w:p>
                              </w:tc>
                              <w:tc>
                                <w:tcPr>
                                  <w:tcW w:w="658" w:type="dxa"/>
                                  <w:shd w:val="clear" w:color="auto" w:fill="FFFFFF"/>
                                  <w:vAlign w:val="bottom"/>
                                </w:tcPr>
                                <w:p w:rsidR="00500724" w:rsidRDefault="00F30FB8">
                                  <w:pPr>
                                    <w:pStyle w:val="Jin0"/>
                                    <w:shd w:val="clear" w:color="auto" w:fill="auto"/>
                                    <w:ind w:left="60" w:firstLine="0"/>
                                    <w:jc w:val="center"/>
                                    <w:rPr>
                                      <w:sz w:val="18"/>
                                      <w:szCs w:val="18"/>
                                    </w:rPr>
                                  </w:pPr>
                                  <w:r>
                                    <w:rPr>
                                      <w:sz w:val="18"/>
                                      <w:szCs w:val="18"/>
                                    </w:rPr>
                                    <w:t>140</w:t>
                                  </w:r>
                                </w:p>
                              </w:tc>
                              <w:tc>
                                <w:tcPr>
                                  <w:tcW w:w="56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187</w:t>
                                  </w:r>
                                </w:p>
                              </w:tc>
                              <w:tc>
                                <w:tcPr>
                                  <w:tcW w:w="566"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266</w:t>
                                  </w:r>
                                </w:p>
                              </w:tc>
                              <w:tc>
                                <w:tcPr>
                                  <w:tcW w:w="51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401</w:t>
                                  </w:r>
                                </w:p>
                              </w:tc>
                              <w:tc>
                                <w:tcPr>
                                  <w:tcW w:w="60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628</w:t>
                                  </w:r>
                                </w:p>
                              </w:tc>
                            </w:tr>
                            <w:tr w:rsidR="00500724">
                              <w:tblPrEx>
                                <w:tblCellMar>
                                  <w:top w:w="0" w:type="dxa"/>
                                  <w:bottom w:w="0" w:type="dxa"/>
                                </w:tblCellMar>
                              </w:tblPrEx>
                              <w:trPr>
                                <w:trHeight w:hRule="exact" w:val="173"/>
                              </w:trPr>
                              <w:tc>
                                <w:tcPr>
                                  <w:tcW w:w="1478" w:type="dxa"/>
                                  <w:shd w:val="clear" w:color="auto" w:fill="FFFFFF"/>
                                </w:tcPr>
                                <w:p w:rsidR="00500724" w:rsidRDefault="00F30FB8">
                                  <w:pPr>
                                    <w:pStyle w:val="Jin0"/>
                                    <w:shd w:val="clear" w:color="auto" w:fill="auto"/>
                                    <w:ind w:firstLine="0"/>
                                    <w:jc w:val="right"/>
                                    <w:rPr>
                                      <w:sz w:val="18"/>
                                      <w:szCs w:val="18"/>
                                    </w:rPr>
                                  </w:pPr>
                                  <w:r>
                                    <w:rPr>
                                      <w:sz w:val="18"/>
                                      <w:szCs w:val="18"/>
                                    </w:rPr>
                                    <w:t>Sever. Amerika</w:t>
                                  </w:r>
                                </w:p>
                              </w:tc>
                              <w:tc>
                                <w:tcPr>
                                  <w:tcW w:w="682" w:type="dxa"/>
                                  <w:shd w:val="clear" w:color="auto" w:fill="FFFFFF"/>
                                  <w:vAlign w:val="bottom"/>
                                </w:tcPr>
                                <w:p w:rsidR="00500724" w:rsidRDefault="00F30FB8">
                                  <w:pPr>
                                    <w:pStyle w:val="Jin0"/>
                                    <w:shd w:val="clear" w:color="auto" w:fill="auto"/>
                                    <w:ind w:right="160" w:firstLine="0"/>
                                    <w:jc w:val="center"/>
                                    <w:rPr>
                                      <w:sz w:val="20"/>
                                      <w:szCs w:val="20"/>
                                    </w:rPr>
                                  </w:pPr>
                                  <w:r>
                                    <w:rPr>
                                      <w:sz w:val="20"/>
                                      <w:szCs w:val="20"/>
                                    </w:rPr>
                                    <w:t>1</w:t>
                                  </w:r>
                                </w:p>
                              </w:tc>
                              <w:tc>
                                <w:tcPr>
                                  <w:tcW w:w="658" w:type="dxa"/>
                                  <w:shd w:val="clear" w:color="auto" w:fill="FFFFFF"/>
                                </w:tcPr>
                                <w:p w:rsidR="00500724" w:rsidRDefault="00F30FB8">
                                  <w:pPr>
                                    <w:pStyle w:val="Jin0"/>
                                    <w:shd w:val="clear" w:color="auto" w:fill="auto"/>
                                    <w:ind w:right="80" w:firstLine="0"/>
                                    <w:jc w:val="center"/>
                                    <w:rPr>
                                      <w:sz w:val="20"/>
                                      <w:szCs w:val="20"/>
                                    </w:rPr>
                                  </w:pPr>
                                  <w:r>
                                    <w:rPr>
                                      <w:sz w:val="20"/>
                                      <w:szCs w:val="20"/>
                                    </w:rPr>
                                    <w:t>1.3</w:t>
                                  </w:r>
                                </w:p>
                              </w:tc>
                              <w:tc>
                                <w:tcPr>
                                  <w:tcW w:w="562" w:type="dxa"/>
                                  <w:shd w:val="clear" w:color="auto" w:fill="FFFFFF"/>
                                </w:tcPr>
                                <w:p w:rsidR="00500724" w:rsidRDefault="00F30FB8">
                                  <w:pPr>
                                    <w:pStyle w:val="Jin0"/>
                                    <w:shd w:val="clear" w:color="auto" w:fill="auto"/>
                                    <w:ind w:firstLine="0"/>
                                    <w:jc w:val="right"/>
                                    <w:rPr>
                                      <w:sz w:val="20"/>
                                      <w:szCs w:val="20"/>
                                    </w:rPr>
                                  </w:pPr>
                                  <w:r>
                                    <w:rPr>
                                      <w:sz w:val="20"/>
                                      <w:szCs w:val="20"/>
                                    </w:rPr>
                                    <w:t>5.7</w:t>
                                  </w:r>
                                </w:p>
                              </w:tc>
                              <w:tc>
                                <w:tcPr>
                                  <w:tcW w:w="566" w:type="dxa"/>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26</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81</w:t>
                                  </w:r>
                                </w:p>
                              </w:tc>
                              <w:tc>
                                <w:tcPr>
                                  <w:tcW w:w="600" w:type="dxa"/>
                                  <w:shd w:val="clear" w:color="auto" w:fill="FFFFFF"/>
                                </w:tcPr>
                                <w:p w:rsidR="00500724" w:rsidRDefault="00F30FB8">
                                  <w:pPr>
                                    <w:pStyle w:val="Jin0"/>
                                    <w:shd w:val="clear" w:color="auto" w:fill="auto"/>
                                    <w:ind w:firstLine="0"/>
                                    <w:jc w:val="right"/>
                                    <w:rPr>
                                      <w:sz w:val="20"/>
                                      <w:szCs w:val="20"/>
                                    </w:rPr>
                                  </w:pPr>
                                  <w:r>
                                    <w:rPr>
                                      <w:sz w:val="20"/>
                                      <w:szCs w:val="20"/>
                                    </w:rPr>
                                    <w:t>139</w:t>
                                  </w:r>
                                </w:p>
                              </w:tc>
                            </w:tr>
                            <w:tr w:rsidR="00500724">
                              <w:tblPrEx>
                                <w:tblCellMar>
                                  <w:top w:w="0" w:type="dxa"/>
                                  <w:bottom w:w="0" w:type="dxa"/>
                                </w:tblCellMar>
                              </w:tblPrEx>
                              <w:trPr>
                                <w:trHeight w:hRule="exact" w:val="168"/>
                              </w:trPr>
                              <w:tc>
                                <w:tcPr>
                                  <w:tcW w:w="1478" w:type="dxa"/>
                                  <w:shd w:val="clear" w:color="auto" w:fill="FFFFFF"/>
                                  <w:vAlign w:val="bottom"/>
                                </w:tcPr>
                                <w:p w:rsidR="00500724" w:rsidRDefault="00F30FB8">
                                  <w:pPr>
                                    <w:pStyle w:val="Jin0"/>
                                    <w:shd w:val="clear" w:color="auto" w:fill="auto"/>
                                    <w:ind w:firstLine="0"/>
                                    <w:jc w:val="left"/>
                                    <w:rPr>
                                      <w:sz w:val="18"/>
                                      <w:szCs w:val="18"/>
                                    </w:rPr>
                                  </w:pPr>
                                  <w:r>
                                    <w:rPr>
                                      <w:sz w:val="18"/>
                                      <w:szCs w:val="18"/>
                                    </w:rPr>
                                    <w:t>Střední a Jižní</w:t>
                                  </w:r>
                                </w:p>
                              </w:tc>
                              <w:tc>
                                <w:tcPr>
                                  <w:tcW w:w="682" w:type="dxa"/>
                                  <w:shd w:val="clear" w:color="auto" w:fill="FFFFFF"/>
                                </w:tcPr>
                                <w:p w:rsidR="00500724" w:rsidRDefault="00500724">
                                  <w:pPr>
                                    <w:rPr>
                                      <w:sz w:val="10"/>
                                      <w:szCs w:val="10"/>
                                    </w:rPr>
                                  </w:pPr>
                                </w:p>
                              </w:tc>
                              <w:tc>
                                <w:tcPr>
                                  <w:tcW w:w="658" w:type="dxa"/>
                                  <w:shd w:val="clear" w:color="auto" w:fill="FFFFFF"/>
                                </w:tcPr>
                                <w:p w:rsidR="00500724" w:rsidRDefault="00500724">
                                  <w:pPr>
                                    <w:rPr>
                                      <w:sz w:val="10"/>
                                      <w:szCs w:val="10"/>
                                    </w:rPr>
                                  </w:pPr>
                                </w:p>
                              </w:tc>
                              <w:tc>
                                <w:tcPr>
                                  <w:tcW w:w="562" w:type="dxa"/>
                                  <w:shd w:val="clear" w:color="auto" w:fill="FFFFFF"/>
                                </w:tcPr>
                                <w:p w:rsidR="00500724" w:rsidRDefault="00500724">
                                  <w:pPr>
                                    <w:rPr>
                                      <w:sz w:val="10"/>
                                      <w:szCs w:val="10"/>
                                    </w:rPr>
                                  </w:pPr>
                                </w:p>
                              </w:tc>
                              <w:tc>
                                <w:tcPr>
                                  <w:tcW w:w="566" w:type="dxa"/>
                                  <w:shd w:val="clear" w:color="auto" w:fill="FFFFFF"/>
                                </w:tcPr>
                                <w:p w:rsidR="00500724" w:rsidRDefault="00500724">
                                  <w:pPr>
                                    <w:rPr>
                                      <w:sz w:val="10"/>
                                      <w:szCs w:val="10"/>
                                    </w:rPr>
                                  </w:pPr>
                                </w:p>
                              </w:tc>
                              <w:tc>
                                <w:tcPr>
                                  <w:tcW w:w="518" w:type="dxa"/>
                                  <w:shd w:val="clear" w:color="auto" w:fill="FFFFFF"/>
                                </w:tcPr>
                                <w:p w:rsidR="00500724" w:rsidRDefault="00500724">
                                  <w:pPr>
                                    <w:rPr>
                                      <w:sz w:val="10"/>
                                      <w:szCs w:val="10"/>
                                    </w:rPr>
                                  </w:pPr>
                                </w:p>
                              </w:tc>
                              <w:tc>
                                <w:tcPr>
                                  <w:tcW w:w="600"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68"/>
                              </w:trPr>
                              <w:tc>
                                <w:tcPr>
                                  <w:tcW w:w="1478" w:type="dxa"/>
                                  <w:shd w:val="clear" w:color="auto" w:fill="FFFFFF"/>
                                  <w:vAlign w:val="bottom"/>
                                </w:tcPr>
                                <w:p w:rsidR="00500724" w:rsidRDefault="00F30FB8">
                                  <w:pPr>
                                    <w:pStyle w:val="Jin0"/>
                                    <w:shd w:val="clear" w:color="auto" w:fill="auto"/>
                                    <w:ind w:left="200" w:firstLine="20"/>
                                    <w:jc w:val="left"/>
                                    <w:rPr>
                                      <w:sz w:val="18"/>
                                      <w:szCs w:val="18"/>
                                    </w:rPr>
                                  </w:pPr>
                                  <w:r>
                                    <w:rPr>
                                      <w:sz w:val="18"/>
                                      <w:szCs w:val="18"/>
                                    </w:rPr>
                                    <w:t>Amerika</w:t>
                                  </w:r>
                                </w:p>
                              </w:tc>
                              <w:tc>
                                <w:tcPr>
                                  <w:tcW w:w="682" w:type="dxa"/>
                                  <w:shd w:val="clear" w:color="auto" w:fill="FFFFFF"/>
                                  <w:vAlign w:val="bottom"/>
                                </w:tcPr>
                                <w:p w:rsidR="00500724" w:rsidRDefault="00F30FB8">
                                  <w:pPr>
                                    <w:pStyle w:val="Jin0"/>
                                    <w:shd w:val="clear" w:color="auto" w:fill="auto"/>
                                    <w:ind w:right="140" w:firstLine="0"/>
                                    <w:jc w:val="center"/>
                                    <w:rPr>
                                      <w:sz w:val="20"/>
                                      <w:szCs w:val="20"/>
                                    </w:rPr>
                                  </w:pPr>
                                  <w:r>
                                    <w:rPr>
                                      <w:sz w:val="20"/>
                                      <w:szCs w:val="20"/>
                                    </w:rPr>
                                    <w:t>12</w:t>
                                  </w:r>
                                </w:p>
                              </w:tc>
                              <w:tc>
                                <w:tcPr>
                                  <w:tcW w:w="658" w:type="dxa"/>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11.1</w:t>
                                  </w:r>
                                </w:p>
                              </w:tc>
                              <w:tc>
                                <w:tcPr>
                                  <w:tcW w:w="56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18.1</w:t>
                                  </w:r>
                                </w:p>
                              </w:tc>
                              <w:tc>
                                <w:tcPr>
                                  <w:tcW w:w="566" w:type="dxa"/>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33</w:t>
                                  </w:r>
                                </w:p>
                              </w:tc>
                              <w:tc>
                                <w:tcPr>
                                  <w:tcW w:w="51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63</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125</w:t>
                                  </w:r>
                                </w:p>
                              </w:tc>
                            </w:tr>
                            <w:tr w:rsidR="00500724">
                              <w:tblPrEx>
                                <w:tblCellMar>
                                  <w:top w:w="0" w:type="dxa"/>
                                  <w:bottom w:w="0" w:type="dxa"/>
                                </w:tblCellMar>
                              </w:tblPrEx>
                              <w:trPr>
                                <w:trHeight w:hRule="exact" w:val="173"/>
                              </w:trPr>
                              <w:tc>
                                <w:tcPr>
                                  <w:tcW w:w="1478" w:type="dxa"/>
                                  <w:shd w:val="clear" w:color="auto" w:fill="FFFFFF"/>
                                  <w:vAlign w:val="center"/>
                                </w:tcPr>
                                <w:p w:rsidR="00500724" w:rsidRDefault="00F30FB8">
                                  <w:pPr>
                                    <w:pStyle w:val="Jin0"/>
                                    <w:shd w:val="clear" w:color="auto" w:fill="auto"/>
                                    <w:ind w:firstLine="0"/>
                                    <w:jc w:val="left"/>
                                    <w:rPr>
                                      <w:sz w:val="18"/>
                                      <w:szCs w:val="18"/>
                                    </w:rPr>
                                  </w:pPr>
                                  <w:r>
                                    <w:rPr>
                                      <w:sz w:val="18"/>
                                      <w:szCs w:val="18"/>
                                    </w:rPr>
                                    <w:t>(Oceánie</w:t>
                                  </w:r>
                                </w:p>
                              </w:tc>
                              <w:tc>
                                <w:tcPr>
                                  <w:tcW w:w="682" w:type="dxa"/>
                                  <w:shd w:val="clear" w:color="auto" w:fill="FFFFFF"/>
                                  <w:vAlign w:val="bottom"/>
                                </w:tcPr>
                                <w:p w:rsidR="00500724" w:rsidRDefault="00F30FB8">
                                  <w:pPr>
                                    <w:pStyle w:val="Jin0"/>
                                    <w:shd w:val="clear" w:color="auto" w:fill="auto"/>
                                    <w:ind w:right="160" w:firstLine="0"/>
                                    <w:jc w:val="center"/>
                                    <w:rPr>
                                      <w:sz w:val="20"/>
                                      <w:szCs w:val="20"/>
                                    </w:rPr>
                                  </w:pPr>
                                  <w:r>
                                    <w:rPr>
                                      <w:sz w:val="20"/>
                                      <w:szCs w:val="20"/>
                                    </w:rPr>
                                    <w:t>2</w:t>
                                  </w:r>
                                </w:p>
                              </w:tc>
                              <w:tc>
                                <w:tcPr>
                                  <w:tcW w:w="658" w:type="dxa"/>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2</w:t>
                                  </w:r>
                                </w:p>
                              </w:tc>
                              <w:tc>
                                <w:tcPr>
                                  <w:tcW w:w="562" w:type="dxa"/>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2</w:t>
                                  </w:r>
                                </w:p>
                              </w:tc>
                              <w:tc>
                                <w:tcPr>
                                  <w:tcW w:w="566" w:type="dxa"/>
                                  <w:shd w:val="clear" w:color="auto" w:fill="FFFFFF"/>
                                  <w:vAlign w:val="bottom"/>
                                </w:tcPr>
                                <w:p w:rsidR="00500724" w:rsidRDefault="00F30FB8">
                                  <w:pPr>
                                    <w:pStyle w:val="Jin0"/>
                                    <w:shd w:val="clear" w:color="auto" w:fill="auto"/>
                                    <w:ind w:right="120" w:firstLine="0"/>
                                    <w:jc w:val="center"/>
                                    <w:rPr>
                                      <w:sz w:val="18"/>
                                      <w:szCs w:val="18"/>
                                    </w:rPr>
                                  </w:pPr>
                                  <w:r>
                                    <w:rPr>
                                      <w:sz w:val="18"/>
                                      <w:szCs w:val="18"/>
                                    </w:rPr>
                                    <w:t>2</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6</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10</w:t>
                                  </w:r>
                                </w:p>
                              </w:tc>
                            </w:tr>
                            <w:tr w:rsidR="00500724">
                              <w:tblPrEx>
                                <w:tblCellMar>
                                  <w:top w:w="0" w:type="dxa"/>
                                  <w:bottom w:w="0" w:type="dxa"/>
                                </w:tblCellMar>
                              </w:tblPrEx>
                              <w:trPr>
                                <w:trHeight w:hRule="exact" w:val="173"/>
                              </w:trPr>
                              <w:tc>
                                <w:tcPr>
                                  <w:tcW w:w="1478" w:type="dxa"/>
                                  <w:shd w:val="clear" w:color="auto" w:fill="FFFFFF"/>
                                </w:tcPr>
                                <w:p w:rsidR="00500724" w:rsidRDefault="00F30FB8">
                                  <w:pPr>
                                    <w:pStyle w:val="Jin0"/>
                                    <w:shd w:val="clear" w:color="auto" w:fill="auto"/>
                                    <w:ind w:firstLine="0"/>
                                    <w:jc w:val="left"/>
                                    <w:rPr>
                                      <w:sz w:val="20"/>
                                      <w:szCs w:val="20"/>
                                    </w:rPr>
                                  </w:pPr>
                                  <w:r>
                                    <w:rPr>
                                      <w:sz w:val="20"/>
                                      <w:szCs w:val="20"/>
                                    </w:rPr>
                                    <w:t>Afrika</w:t>
                                  </w: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100</w:t>
                                  </w:r>
                                </w:p>
                              </w:tc>
                              <w:tc>
                                <w:tcPr>
                                  <w:tcW w:w="658" w:type="dxa"/>
                                  <w:shd w:val="clear" w:color="auto" w:fill="FFFFFF"/>
                                </w:tcPr>
                                <w:p w:rsidR="00500724" w:rsidRDefault="00F30FB8">
                                  <w:pPr>
                                    <w:pStyle w:val="Jin0"/>
                                    <w:shd w:val="clear" w:color="auto" w:fill="auto"/>
                                    <w:ind w:firstLine="0"/>
                                    <w:jc w:val="center"/>
                                    <w:rPr>
                                      <w:sz w:val="20"/>
                                      <w:szCs w:val="20"/>
                                    </w:rPr>
                                  </w:pPr>
                                  <w:r>
                                    <w:rPr>
                                      <w:sz w:val="20"/>
                                      <w:szCs w:val="20"/>
                                    </w:rPr>
                                    <w:t>95</w:t>
                                  </w:r>
                                </w:p>
                              </w:tc>
                              <w:tc>
                                <w:tcPr>
                                  <w:tcW w:w="562" w:type="dxa"/>
                                  <w:shd w:val="clear" w:color="auto" w:fill="FFFFFF"/>
                                </w:tcPr>
                                <w:p w:rsidR="00500724" w:rsidRDefault="00F30FB8">
                                  <w:pPr>
                                    <w:pStyle w:val="Jin0"/>
                                    <w:shd w:val="clear" w:color="auto" w:fill="auto"/>
                                    <w:ind w:firstLine="0"/>
                                    <w:jc w:val="center"/>
                                    <w:rPr>
                                      <w:sz w:val="20"/>
                                      <w:szCs w:val="20"/>
                                    </w:rPr>
                                  </w:pPr>
                                  <w:r>
                                    <w:rPr>
                                      <w:sz w:val="20"/>
                                      <w:szCs w:val="20"/>
                                    </w:rPr>
                                    <w:t>90</w:t>
                                  </w:r>
                                </w:p>
                              </w:tc>
                              <w:tc>
                                <w:tcPr>
                                  <w:tcW w:w="566" w:type="dxa"/>
                                  <w:shd w:val="clear" w:color="auto" w:fill="FFFFFF"/>
                                </w:tcPr>
                                <w:p w:rsidR="00500724" w:rsidRDefault="00F30FB8">
                                  <w:pPr>
                                    <w:pStyle w:val="Jin0"/>
                                    <w:shd w:val="clear" w:color="auto" w:fill="auto"/>
                                    <w:ind w:right="100" w:firstLine="0"/>
                                    <w:jc w:val="center"/>
                                    <w:rPr>
                                      <w:sz w:val="20"/>
                                      <w:szCs w:val="20"/>
                                    </w:rPr>
                                  </w:pPr>
                                  <w:r>
                                    <w:rPr>
                                      <w:sz w:val="20"/>
                                      <w:szCs w:val="20"/>
                                    </w:rPr>
                                    <w:t>95</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120</w:t>
                                  </w:r>
                                </w:p>
                              </w:tc>
                              <w:tc>
                                <w:tcPr>
                                  <w:tcW w:w="600" w:type="dxa"/>
                                  <w:shd w:val="clear" w:color="auto" w:fill="FFFFFF"/>
                                </w:tcPr>
                                <w:p w:rsidR="00500724" w:rsidRDefault="00F30FB8">
                                  <w:pPr>
                                    <w:pStyle w:val="Jin0"/>
                                    <w:shd w:val="clear" w:color="auto" w:fill="auto"/>
                                    <w:ind w:firstLine="0"/>
                                    <w:jc w:val="right"/>
                                    <w:rPr>
                                      <w:sz w:val="20"/>
                                      <w:szCs w:val="20"/>
                                    </w:rPr>
                                  </w:pPr>
                                  <w:r>
                                    <w:rPr>
                                      <w:sz w:val="20"/>
                                      <w:szCs w:val="20"/>
                                    </w:rPr>
                                    <w:t>148</w:t>
                                  </w:r>
                                </w:p>
                              </w:tc>
                            </w:tr>
                            <w:tr w:rsidR="00500724">
                              <w:tblPrEx>
                                <w:tblCellMar>
                                  <w:top w:w="0" w:type="dxa"/>
                                  <w:bottom w:w="0" w:type="dxa"/>
                                </w:tblCellMar>
                              </w:tblPrEx>
                              <w:trPr>
                                <w:trHeight w:hRule="exact" w:val="168"/>
                              </w:trPr>
                              <w:tc>
                                <w:tcPr>
                                  <w:tcW w:w="1478" w:type="dxa"/>
                                  <w:shd w:val="clear" w:color="auto" w:fill="FFFFFF"/>
                                </w:tcPr>
                                <w:p w:rsidR="00500724" w:rsidRDefault="00F30FB8">
                                  <w:pPr>
                                    <w:pStyle w:val="Jin0"/>
                                    <w:shd w:val="clear" w:color="auto" w:fill="auto"/>
                                    <w:ind w:firstLine="0"/>
                                    <w:jc w:val="left"/>
                                    <w:rPr>
                                      <w:sz w:val="20"/>
                                      <w:szCs w:val="20"/>
                                    </w:rPr>
                                  </w:pPr>
                                  <w:r>
                                    <w:rPr>
                                      <w:sz w:val="20"/>
                                      <w:szCs w:val="20"/>
                                    </w:rPr>
                                    <w:t>Asie</w:t>
                                  </w:r>
                                </w:p>
                              </w:tc>
                              <w:tc>
                                <w:tcPr>
                                  <w:tcW w:w="682" w:type="dxa"/>
                                  <w:shd w:val="clear" w:color="auto" w:fill="FFFFFF"/>
                                </w:tcPr>
                                <w:p w:rsidR="00500724" w:rsidRDefault="00F30FB8">
                                  <w:pPr>
                                    <w:pStyle w:val="Jin0"/>
                                    <w:shd w:val="clear" w:color="auto" w:fill="auto"/>
                                    <w:ind w:right="60" w:firstLine="0"/>
                                    <w:jc w:val="center"/>
                                    <w:rPr>
                                      <w:sz w:val="20"/>
                                      <w:szCs w:val="20"/>
                                    </w:rPr>
                                  </w:pPr>
                                  <w:r>
                                    <w:rPr>
                                      <w:sz w:val="20"/>
                                      <w:szCs w:val="20"/>
                                    </w:rPr>
                                    <w:t>330</w:t>
                                  </w:r>
                                </w:p>
                              </w:tc>
                              <w:tc>
                                <w:tcPr>
                                  <w:tcW w:w="658" w:type="dxa"/>
                                  <w:shd w:val="clear" w:color="auto" w:fill="FFFFFF"/>
                                </w:tcPr>
                                <w:p w:rsidR="00500724" w:rsidRDefault="00F30FB8">
                                  <w:pPr>
                                    <w:pStyle w:val="Jin0"/>
                                    <w:shd w:val="clear" w:color="auto" w:fill="auto"/>
                                    <w:ind w:firstLine="0"/>
                                    <w:jc w:val="center"/>
                                    <w:rPr>
                                      <w:sz w:val="18"/>
                                      <w:szCs w:val="18"/>
                                    </w:rPr>
                                  </w:pPr>
                                  <w:r>
                                    <w:rPr>
                                      <w:sz w:val="18"/>
                                      <w:szCs w:val="18"/>
                                    </w:rPr>
                                    <w:t>479</w:t>
                                  </w:r>
                                </w:p>
                              </w:tc>
                              <w:tc>
                                <w:tcPr>
                                  <w:tcW w:w="56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602</w:t>
                                  </w:r>
                                </w:p>
                              </w:tc>
                              <w:tc>
                                <w:tcPr>
                                  <w:tcW w:w="566" w:type="dxa"/>
                                  <w:shd w:val="clear" w:color="auto" w:fill="FFFFFF"/>
                                </w:tcPr>
                                <w:p w:rsidR="00500724" w:rsidRDefault="00F30FB8">
                                  <w:pPr>
                                    <w:pStyle w:val="Jin0"/>
                                    <w:shd w:val="clear" w:color="auto" w:fill="auto"/>
                                    <w:ind w:firstLine="0"/>
                                    <w:jc w:val="center"/>
                                    <w:rPr>
                                      <w:sz w:val="18"/>
                                      <w:szCs w:val="18"/>
                                    </w:rPr>
                                  </w:pPr>
                                  <w:r>
                                    <w:rPr>
                                      <w:sz w:val="18"/>
                                      <w:szCs w:val="18"/>
                                    </w:rPr>
                                    <w:t>749</w:t>
                                  </w:r>
                                </w:p>
                              </w:tc>
                              <w:tc>
                                <w:tcPr>
                                  <w:tcW w:w="518" w:type="dxa"/>
                                  <w:shd w:val="clear" w:color="auto" w:fill="FFFFFF"/>
                                </w:tcPr>
                                <w:p w:rsidR="00500724" w:rsidRDefault="00F30FB8">
                                  <w:pPr>
                                    <w:pStyle w:val="Jin0"/>
                                    <w:shd w:val="clear" w:color="auto" w:fill="auto"/>
                                    <w:ind w:firstLine="0"/>
                                    <w:jc w:val="right"/>
                                    <w:rPr>
                                      <w:sz w:val="20"/>
                                      <w:szCs w:val="20"/>
                                    </w:rPr>
                                  </w:pPr>
                                  <w:r>
                                    <w:rPr>
                                      <w:sz w:val="20"/>
                                      <w:szCs w:val="20"/>
                                    </w:rPr>
                                    <w:t>937</w:t>
                                  </w:r>
                                </w:p>
                              </w:tc>
                              <w:tc>
                                <w:tcPr>
                                  <w:tcW w:w="600" w:type="dxa"/>
                                  <w:shd w:val="clear" w:color="auto" w:fill="FFFFFF"/>
                                </w:tcPr>
                                <w:p w:rsidR="00500724" w:rsidRDefault="00F30FB8">
                                  <w:pPr>
                                    <w:pStyle w:val="Jin0"/>
                                    <w:shd w:val="clear" w:color="auto" w:fill="auto"/>
                                    <w:ind w:firstLine="0"/>
                                    <w:jc w:val="right"/>
                                    <w:rPr>
                                      <w:sz w:val="20"/>
                                      <w:szCs w:val="20"/>
                                    </w:rPr>
                                  </w:pPr>
                                  <w:r>
                                    <w:rPr>
                                      <w:sz w:val="20"/>
                                      <w:szCs w:val="20"/>
                                    </w:rPr>
                                    <w:t>1145</w:t>
                                  </w:r>
                                </w:p>
                              </w:tc>
                            </w:tr>
                            <w:tr w:rsidR="00500724">
                              <w:tblPrEx>
                                <w:tblCellMar>
                                  <w:top w:w="0" w:type="dxa"/>
                                  <w:bottom w:w="0" w:type="dxa"/>
                                </w:tblCellMar>
                              </w:tblPrEx>
                              <w:trPr>
                                <w:trHeight w:hRule="exact" w:val="173"/>
                              </w:trPr>
                              <w:tc>
                                <w:tcPr>
                                  <w:tcW w:w="1478" w:type="dxa"/>
                                  <w:shd w:val="clear" w:color="auto" w:fill="FFFFFF"/>
                                  <w:vAlign w:val="bottom"/>
                                </w:tcPr>
                                <w:p w:rsidR="00500724" w:rsidRDefault="00F30FB8">
                                  <w:pPr>
                                    <w:pStyle w:val="Jin0"/>
                                    <w:shd w:val="clear" w:color="auto" w:fill="auto"/>
                                    <w:ind w:firstLine="0"/>
                                    <w:jc w:val="left"/>
                                    <w:rPr>
                                      <w:sz w:val="18"/>
                                      <w:szCs w:val="18"/>
                                    </w:rPr>
                                  </w:pPr>
                                  <w:r>
                                    <w:rPr>
                                      <w:sz w:val="18"/>
                                      <w:szCs w:val="18"/>
                                    </w:rPr>
                                    <w:t>Součet</w:t>
                                  </w: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545</w:t>
                                  </w:r>
                                </w:p>
                              </w:tc>
                              <w:tc>
                                <w:tcPr>
                                  <w:tcW w:w="658"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728</w:t>
                                  </w:r>
                                </w:p>
                              </w:tc>
                              <w:tc>
                                <w:tcPr>
                                  <w:tcW w:w="56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906</w:t>
                                  </w:r>
                                </w:p>
                              </w:tc>
                              <w:tc>
                                <w:tcPr>
                                  <w:tcW w:w="566"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1171</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1608</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2095</w:t>
                                  </w:r>
                                </w:p>
                              </w:tc>
                            </w:tr>
                            <w:tr w:rsidR="00500724">
                              <w:tblPrEx>
                                <w:tblCellMar>
                                  <w:top w:w="0" w:type="dxa"/>
                                  <w:bottom w:w="0" w:type="dxa"/>
                                </w:tblCellMar>
                              </w:tblPrEx>
                              <w:trPr>
                                <w:trHeight w:hRule="exact" w:val="221"/>
                              </w:trPr>
                              <w:tc>
                                <w:tcPr>
                                  <w:tcW w:w="1478" w:type="dxa"/>
                                  <w:shd w:val="clear" w:color="auto" w:fill="FFFFFF"/>
                                </w:tcPr>
                                <w:p w:rsidR="00500724" w:rsidRDefault="00F30FB8">
                                  <w:pPr>
                                    <w:pStyle w:val="Jin0"/>
                                    <w:shd w:val="clear" w:color="auto" w:fill="auto"/>
                                    <w:ind w:firstLine="0"/>
                                    <w:jc w:val="right"/>
                                    <w:rPr>
                                      <w:sz w:val="18"/>
                                      <w:szCs w:val="18"/>
                                    </w:rPr>
                                  </w:pPr>
                                  <w:r>
                                    <w:rPr>
                                      <w:sz w:val="18"/>
                                      <w:szCs w:val="18"/>
                                    </w:rPr>
                                    <w:t>Z tabulky je</w:t>
                                  </w:r>
                                </w:p>
                              </w:tc>
                              <w:tc>
                                <w:tcPr>
                                  <w:tcW w:w="682" w:type="dxa"/>
                                  <w:shd w:val="clear" w:color="auto" w:fill="FFFFFF"/>
                                </w:tcPr>
                                <w:p w:rsidR="00500724" w:rsidRDefault="00F30FB8">
                                  <w:pPr>
                                    <w:pStyle w:val="Jin0"/>
                                    <w:shd w:val="clear" w:color="auto" w:fill="auto"/>
                                    <w:ind w:firstLine="0"/>
                                    <w:jc w:val="left"/>
                                    <w:rPr>
                                      <w:sz w:val="20"/>
                                      <w:szCs w:val="20"/>
                                    </w:rPr>
                                  </w:pPr>
                                  <w:r>
                                    <w:rPr>
                                      <w:sz w:val="20"/>
                                      <w:szCs w:val="20"/>
                                    </w:rPr>
                                    <w:t>zřejmo,</w:t>
                                  </w:r>
                                </w:p>
                              </w:tc>
                              <w:tc>
                                <w:tcPr>
                                  <w:tcW w:w="658" w:type="dxa"/>
                                  <w:shd w:val="clear" w:color="auto" w:fill="FFFFFF"/>
                                </w:tcPr>
                                <w:p w:rsidR="00500724" w:rsidRDefault="00F30FB8">
                                  <w:pPr>
                                    <w:pStyle w:val="Jin0"/>
                                    <w:shd w:val="clear" w:color="auto" w:fill="auto"/>
                                    <w:ind w:firstLine="0"/>
                                    <w:jc w:val="left"/>
                                    <w:rPr>
                                      <w:sz w:val="18"/>
                                      <w:szCs w:val="18"/>
                                    </w:rPr>
                                  </w:pPr>
                                  <w:r>
                                    <w:rPr>
                                      <w:sz w:val="18"/>
                                      <w:szCs w:val="18"/>
                                    </w:rPr>
                                    <w:t>že v r,</w:t>
                                  </w:r>
                                </w:p>
                              </w:tc>
                              <w:tc>
                                <w:tcPr>
                                  <w:tcW w:w="562" w:type="dxa"/>
                                  <w:shd w:val="clear" w:color="auto" w:fill="FFFFFF"/>
                                </w:tcPr>
                                <w:p w:rsidR="00500724" w:rsidRDefault="00F30FB8">
                                  <w:pPr>
                                    <w:pStyle w:val="Jin0"/>
                                    <w:shd w:val="clear" w:color="auto" w:fill="auto"/>
                                    <w:ind w:firstLine="0"/>
                                    <w:jc w:val="center"/>
                                    <w:rPr>
                                      <w:sz w:val="20"/>
                                      <w:szCs w:val="20"/>
                                    </w:rPr>
                                  </w:pPr>
                                  <w:r>
                                    <w:rPr>
                                      <w:sz w:val="20"/>
                                      <w:szCs w:val="20"/>
                                    </w:rPr>
                                    <w:t>. 1650</w:t>
                                  </w:r>
                                </w:p>
                              </w:tc>
                              <w:tc>
                                <w:tcPr>
                                  <w:tcW w:w="1084" w:type="dxa"/>
                                  <w:gridSpan w:val="2"/>
                                  <w:shd w:val="clear" w:color="auto" w:fill="FFFFFF"/>
                                </w:tcPr>
                                <w:p w:rsidR="00500724" w:rsidRDefault="00F30FB8">
                                  <w:pPr>
                                    <w:pStyle w:val="Jin0"/>
                                    <w:shd w:val="clear" w:color="auto" w:fill="auto"/>
                                    <w:ind w:firstLine="0"/>
                                    <w:jc w:val="left"/>
                                    <w:rPr>
                                      <w:sz w:val="18"/>
                                      <w:szCs w:val="18"/>
                                    </w:rPr>
                                  </w:pPr>
                                  <w:r>
                                    <w:rPr>
                                      <w:sz w:val="18"/>
                                      <w:szCs w:val="18"/>
                                    </w:rPr>
                                    <w:t>má Evropa</w:t>
                                  </w:r>
                                </w:p>
                              </w:tc>
                              <w:tc>
                                <w:tcPr>
                                  <w:tcW w:w="600" w:type="dxa"/>
                                  <w:shd w:val="clear" w:color="auto" w:fill="FFFFFF"/>
                                </w:tcPr>
                                <w:p w:rsidR="00500724" w:rsidRDefault="00F30FB8">
                                  <w:pPr>
                                    <w:pStyle w:val="Jin0"/>
                                    <w:shd w:val="clear" w:color="auto" w:fill="auto"/>
                                    <w:ind w:firstLine="0"/>
                                    <w:jc w:val="right"/>
                                  </w:pPr>
                                  <w:r>
                                    <w:rPr>
                                      <w:sz w:val="18"/>
                                      <w:szCs w:val="18"/>
                                    </w:rPr>
                                    <w:t xml:space="preserve">20% </w:t>
                                  </w:r>
                                  <w:r>
                                    <w:rPr>
                                      <w:b/>
                                      <w:bCs/>
                                    </w:rPr>
                                    <w:t>a</w:t>
                                  </w:r>
                                </w:p>
                              </w:tc>
                            </w:tr>
                          </w:tbl>
                          <w:p w:rsidR="00000000" w:rsidRDefault="00F30FB8"/>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7" o:spid="_x0000_s1224" type="#_x0000_t202" style="position:absolute;margin-left:37.25pt;margin-top:13.5pt;width:253.2pt;height:90.25pt;z-index:125829774;visibility:visible;mso-wrap-style:square;mso-wrap-distance-left:0;mso-wrap-distance-top:1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478"/>
                        <w:gridCol w:w="682"/>
                        <w:gridCol w:w="658"/>
                        <w:gridCol w:w="562"/>
                        <w:gridCol w:w="566"/>
                        <w:gridCol w:w="518"/>
                        <w:gridCol w:w="600"/>
                      </w:tblGrid>
                      <w:tr w:rsidR="00500724">
                        <w:tblPrEx>
                          <w:tblCellMar>
                            <w:top w:w="0" w:type="dxa"/>
                            <w:bottom w:w="0" w:type="dxa"/>
                          </w:tblCellMar>
                        </w:tblPrEx>
                        <w:trPr>
                          <w:trHeight w:hRule="exact" w:val="206"/>
                          <w:tblHeader/>
                        </w:trPr>
                        <w:tc>
                          <w:tcPr>
                            <w:tcW w:w="1478" w:type="dxa"/>
                            <w:shd w:val="clear" w:color="auto" w:fill="FFFFFF"/>
                          </w:tcPr>
                          <w:p w:rsidR="00500724" w:rsidRDefault="00500724">
                            <w:pPr>
                              <w:rPr>
                                <w:sz w:val="10"/>
                                <w:szCs w:val="10"/>
                              </w:rPr>
                            </w:pP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1650</w:t>
                            </w:r>
                          </w:p>
                        </w:tc>
                        <w:tc>
                          <w:tcPr>
                            <w:tcW w:w="658" w:type="dxa"/>
                            <w:shd w:val="clear" w:color="auto" w:fill="FFFFFF"/>
                            <w:vAlign w:val="bottom"/>
                          </w:tcPr>
                          <w:p w:rsidR="00500724" w:rsidRDefault="00F30FB8">
                            <w:pPr>
                              <w:pStyle w:val="Jin0"/>
                              <w:shd w:val="clear" w:color="auto" w:fill="auto"/>
                              <w:ind w:left="60" w:firstLine="0"/>
                              <w:jc w:val="center"/>
                              <w:rPr>
                                <w:sz w:val="20"/>
                                <w:szCs w:val="20"/>
                              </w:rPr>
                            </w:pPr>
                            <w:r>
                              <w:rPr>
                                <w:sz w:val="20"/>
                                <w:szCs w:val="20"/>
                              </w:rPr>
                              <w:t>1750</w:t>
                            </w:r>
                          </w:p>
                        </w:tc>
                        <w:tc>
                          <w:tcPr>
                            <w:tcW w:w="562"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1800</w:t>
                            </w:r>
                          </w:p>
                        </w:tc>
                        <w:tc>
                          <w:tcPr>
                            <w:tcW w:w="566"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1850</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1900</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1937</w:t>
                            </w:r>
                          </w:p>
                        </w:tc>
                      </w:tr>
                      <w:tr w:rsidR="00500724">
                        <w:tblPrEx>
                          <w:tblCellMar>
                            <w:top w:w="0" w:type="dxa"/>
                            <w:bottom w:w="0" w:type="dxa"/>
                          </w:tblCellMar>
                        </w:tblPrEx>
                        <w:trPr>
                          <w:trHeight w:hRule="exact" w:val="182"/>
                        </w:trPr>
                        <w:tc>
                          <w:tcPr>
                            <w:tcW w:w="1478" w:type="dxa"/>
                            <w:shd w:val="clear" w:color="auto" w:fill="FFFFFF"/>
                            <w:vAlign w:val="bottom"/>
                          </w:tcPr>
                          <w:p w:rsidR="00500724" w:rsidRDefault="00F30FB8">
                            <w:pPr>
                              <w:pStyle w:val="Jin0"/>
                              <w:shd w:val="clear" w:color="auto" w:fill="auto"/>
                              <w:ind w:firstLine="0"/>
                              <w:jc w:val="left"/>
                              <w:rPr>
                                <w:sz w:val="18"/>
                                <w:szCs w:val="18"/>
                              </w:rPr>
                            </w:pPr>
                            <w:r>
                              <w:rPr>
                                <w:sz w:val="18"/>
                                <w:szCs w:val="18"/>
                              </w:rPr>
                              <w:t>Evropa</w:t>
                            </w: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100</w:t>
                            </w:r>
                          </w:p>
                        </w:tc>
                        <w:tc>
                          <w:tcPr>
                            <w:tcW w:w="658" w:type="dxa"/>
                            <w:shd w:val="clear" w:color="auto" w:fill="FFFFFF"/>
                            <w:vAlign w:val="bottom"/>
                          </w:tcPr>
                          <w:p w:rsidR="00500724" w:rsidRDefault="00F30FB8">
                            <w:pPr>
                              <w:pStyle w:val="Jin0"/>
                              <w:shd w:val="clear" w:color="auto" w:fill="auto"/>
                              <w:ind w:left="60" w:firstLine="0"/>
                              <w:jc w:val="center"/>
                              <w:rPr>
                                <w:sz w:val="18"/>
                                <w:szCs w:val="18"/>
                              </w:rPr>
                            </w:pPr>
                            <w:r>
                              <w:rPr>
                                <w:sz w:val="18"/>
                                <w:szCs w:val="18"/>
                              </w:rPr>
                              <w:t>140</w:t>
                            </w:r>
                          </w:p>
                        </w:tc>
                        <w:tc>
                          <w:tcPr>
                            <w:tcW w:w="56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187</w:t>
                            </w:r>
                          </w:p>
                        </w:tc>
                        <w:tc>
                          <w:tcPr>
                            <w:tcW w:w="566"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266</w:t>
                            </w:r>
                          </w:p>
                        </w:tc>
                        <w:tc>
                          <w:tcPr>
                            <w:tcW w:w="51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401</w:t>
                            </w:r>
                          </w:p>
                        </w:tc>
                        <w:tc>
                          <w:tcPr>
                            <w:tcW w:w="60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628</w:t>
                            </w:r>
                          </w:p>
                        </w:tc>
                      </w:tr>
                      <w:tr w:rsidR="00500724">
                        <w:tblPrEx>
                          <w:tblCellMar>
                            <w:top w:w="0" w:type="dxa"/>
                            <w:bottom w:w="0" w:type="dxa"/>
                          </w:tblCellMar>
                        </w:tblPrEx>
                        <w:trPr>
                          <w:trHeight w:hRule="exact" w:val="173"/>
                        </w:trPr>
                        <w:tc>
                          <w:tcPr>
                            <w:tcW w:w="1478" w:type="dxa"/>
                            <w:shd w:val="clear" w:color="auto" w:fill="FFFFFF"/>
                          </w:tcPr>
                          <w:p w:rsidR="00500724" w:rsidRDefault="00F30FB8">
                            <w:pPr>
                              <w:pStyle w:val="Jin0"/>
                              <w:shd w:val="clear" w:color="auto" w:fill="auto"/>
                              <w:ind w:firstLine="0"/>
                              <w:jc w:val="right"/>
                              <w:rPr>
                                <w:sz w:val="18"/>
                                <w:szCs w:val="18"/>
                              </w:rPr>
                            </w:pPr>
                            <w:r>
                              <w:rPr>
                                <w:sz w:val="18"/>
                                <w:szCs w:val="18"/>
                              </w:rPr>
                              <w:t>Sever. Amerika</w:t>
                            </w:r>
                          </w:p>
                        </w:tc>
                        <w:tc>
                          <w:tcPr>
                            <w:tcW w:w="682" w:type="dxa"/>
                            <w:shd w:val="clear" w:color="auto" w:fill="FFFFFF"/>
                            <w:vAlign w:val="bottom"/>
                          </w:tcPr>
                          <w:p w:rsidR="00500724" w:rsidRDefault="00F30FB8">
                            <w:pPr>
                              <w:pStyle w:val="Jin0"/>
                              <w:shd w:val="clear" w:color="auto" w:fill="auto"/>
                              <w:ind w:right="160" w:firstLine="0"/>
                              <w:jc w:val="center"/>
                              <w:rPr>
                                <w:sz w:val="20"/>
                                <w:szCs w:val="20"/>
                              </w:rPr>
                            </w:pPr>
                            <w:r>
                              <w:rPr>
                                <w:sz w:val="20"/>
                                <w:szCs w:val="20"/>
                              </w:rPr>
                              <w:t>1</w:t>
                            </w:r>
                          </w:p>
                        </w:tc>
                        <w:tc>
                          <w:tcPr>
                            <w:tcW w:w="658" w:type="dxa"/>
                            <w:shd w:val="clear" w:color="auto" w:fill="FFFFFF"/>
                          </w:tcPr>
                          <w:p w:rsidR="00500724" w:rsidRDefault="00F30FB8">
                            <w:pPr>
                              <w:pStyle w:val="Jin0"/>
                              <w:shd w:val="clear" w:color="auto" w:fill="auto"/>
                              <w:ind w:right="80" w:firstLine="0"/>
                              <w:jc w:val="center"/>
                              <w:rPr>
                                <w:sz w:val="20"/>
                                <w:szCs w:val="20"/>
                              </w:rPr>
                            </w:pPr>
                            <w:r>
                              <w:rPr>
                                <w:sz w:val="20"/>
                                <w:szCs w:val="20"/>
                              </w:rPr>
                              <w:t>1.3</w:t>
                            </w:r>
                          </w:p>
                        </w:tc>
                        <w:tc>
                          <w:tcPr>
                            <w:tcW w:w="562" w:type="dxa"/>
                            <w:shd w:val="clear" w:color="auto" w:fill="FFFFFF"/>
                          </w:tcPr>
                          <w:p w:rsidR="00500724" w:rsidRDefault="00F30FB8">
                            <w:pPr>
                              <w:pStyle w:val="Jin0"/>
                              <w:shd w:val="clear" w:color="auto" w:fill="auto"/>
                              <w:ind w:firstLine="0"/>
                              <w:jc w:val="right"/>
                              <w:rPr>
                                <w:sz w:val="20"/>
                                <w:szCs w:val="20"/>
                              </w:rPr>
                            </w:pPr>
                            <w:r>
                              <w:rPr>
                                <w:sz w:val="20"/>
                                <w:szCs w:val="20"/>
                              </w:rPr>
                              <w:t>5.7</w:t>
                            </w:r>
                          </w:p>
                        </w:tc>
                        <w:tc>
                          <w:tcPr>
                            <w:tcW w:w="566" w:type="dxa"/>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26</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81</w:t>
                            </w:r>
                          </w:p>
                        </w:tc>
                        <w:tc>
                          <w:tcPr>
                            <w:tcW w:w="600" w:type="dxa"/>
                            <w:shd w:val="clear" w:color="auto" w:fill="FFFFFF"/>
                          </w:tcPr>
                          <w:p w:rsidR="00500724" w:rsidRDefault="00F30FB8">
                            <w:pPr>
                              <w:pStyle w:val="Jin0"/>
                              <w:shd w:val="clear" w:color="auto" w:fill="auto"/>
                              <w:ind w:firstLine="0"/>
                              <w:jc w:val="right"/>
                              <w:rPr>
                                <w:sz w:val="20"/>
                                <w:szCs w:val="20"/>
                              </w:rPr>
                            </w:pPr>
                            <w:r>
                              <w:rPr>
                                <w:sz w:val="20"/>
                                <w:szCs w:val="20"/>
                              </w:rPr>
                              <w:t>139</w:t>
                            </w:r>
                          </w:p>
                        </w:tc>
                      </w:tr>
                      <w:tr w:rsidR="00500724">
                        <w:tblPrEx>
                          <w:tblCellMar>
                            <w:top w:w="0" w:type="dxa"/>
                            <w:bottom w:w="0" w:type="dxa"/>
                          </w:tblCellMar>
                        </w:tblPrEx>
                        <w:trPr>
                          <w:trHeight w:hRule="exact" w:val="168"/>
                        </w:trPr>
                        <w:tc>
                          <w:tcPr>
                            <w:tcW w:w="1478" w:type="dxa"/>
                            <w:shd w:val="clear" w:color="auto" w:fill="FFFFFF"/>
                            <w:vAlign w:val="bottom"/>
                          </w:tcPr>
                          <w:p w:rsidR="00500724" w:rsidRDefault="00F30FB8">
                            <w:pPr>
                              <w:pStyle w:val="Jin0"/>
                              <w:shd w:val="clear" w:color="auto" w:fill="auto"/>
                              <w:ind w:firstLine="0"/>
                              <w:jc w:val="left"/>
                              <w:rPr>
                                <w:sz w:val="18"/>
                                <w:szCs w:val="18"/>
                              </w:rPr>
                            </w:pPr>
                            <w:r>
                              <w:rPr>
                                <w:sz w:val="18"/>
                                <w:szCs w:val="18"/>
                              </w:rPr>
                              <w:t>Střední a Jižní</w:t>
                            </w:r>
                          </w:p>
                        </w:tc>
                        <w:tc>
                          <w:tcPr>
                            <w:tcW w:w="682" w:type="dxa"/>
                            <w:shd w:val="clear" w:color="auto" w:fill="FFFFFF"/>
                          </w:tcPr>
                          <w:p w:rsidR="00500724" w:rsidRDefault="00500724">
                            <w:pPr>
                              <w:rPr>
                                <w:sz w:val="10"/>
                                <w:szCs w:val="10"/>
                              </w:rPr>
                            </w:pPr>
                          </w:p>
                        </w:tc>
                        <w:tc>
                          <w:tcPr>
                            <w:tcW w:w="658" w:type="dxa"/>
                            <w:shd w:val="clear" w:color="auto" w:fill="FFFFFF"/>
                          </w:tcPr>
                          <w:p w:rsidR="00500724" w:rsidRDefault="00500724">
                            <w:pPr>
                              <w:rPr>
                                <w:sz w:val="10"/>
                                <w:szCs w:val="10"/>
                              </w:rPr>
                            </w:pPr>
                          </w:p>
                        </w:tc>
                        <w:tc>
                          <w:tcPr>
                            <w:tcW w:w="562" w:type="dxa"/>
                            <w:shd w:val="clear" w:color="auto" w:fill="FFFFFF"/>
                          </w:tcPr>
                          <w:p w:rsidR="00500724" w:rsidRDefault="00500724">
                            <w:pPr>
                              <w:rPr>
                                <w:sz w:val="10"/>
                                <w:szCs w:val="10"/>
                              </w:rPr>
                            </w:pPr>
                          </w:p>
                        </w:tc>
                        <w:tc>
                          <w:tcPr>
                            <w:tcW w:w="566" w:type="dxa"/>
                            <w:shd w:val="clear" w:color="auto" w:fill="FFFFFF"/>
                          </w:tcPr>
                          <w:p w:rsidR="00500724" w:rsidRDefault="00500724">
                            <w:pPr>
                              <w:rPr>
                                <w:sz w:val="10"/>
                                <w:szCs w:val="10"/>
                              </w:rPr>
                            </w:pPr>
                          </w:p>
                        </w:tc>
                        <w:tc>
                          <w:tcPr>
                            <w:tcW w:w="518" w:type="dxa"/>
                            <w:shd w:val="clear" w:color="auto" w:fill="FFFFFF"/>
                          </w:tcPr>
                          <w:p w:rsidR="00500724" w:rsidRDefault="00500724">
                            <w:pPr>
                              <w:rPr>
                                <w:sz w:val="10"/>
                                <w:szCs w:val="10"/>
                              </w:rPr>
                            </w:pPr>
                          </w:p>
                        </w:tc>
                        <w:tc>
                          <w:tcPr>
                            <w:tcW w:w="600"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68"/>
                        </w:trPr>
                        <w:tc>
                          <w:tcPr>
                            <w:tcW w:w="1478" w:type="dxa"/>
                            <w:shd w:val="clear" w:color="auto" w:fill="FFFFFF"/>
                            <w:vAlign w:val="bottom"/>
                          </w:tcPr>
                          <w:p w:rsidR="00500724" w:rsidRDefault="00F30FB8">
                            <w:pPr>
                              <w:pStyle w:val="Jin0"/>
                              <w:shd w:val="clear" w:color="auto" w:fill="auto"/>
                              <w:ind w:left="200" w:firstLine="20"/>
                              <w:jc w:val="left"/>
                              <w:rPr>
                                <w:sz w:val="18"/>
                                <w:szCs w:val="18"/>
                              </w:rPr>
                            </w:pPr>
                            <w:r>
                              <w:rPr>
                                <w:sz w:val="18"/>
                                <w:szCs w:val="18"/>
                              </w:rPr>
                              <w:t>Amerika</w:t>
                            </w:r>
                          </w:p>
                        </w:tc>
                        <w:tc>
                          <w:tcPr>
                            <w:tcW w:w="682" w:type="dxa"/>
                            <w:shd w:val="clear" w:color="auto" w:fill="FFFFFF"/>
                            <w:vAlign w:val="bottom"/>
                          </w:tcPr>
                          <w:p w:rsidR="00500724" w:rsidRDefault="00F30FB8">
                            <w:pPr>
                              <w:pStyle w:val="Jin0"/>
                              <w:shd w:val="clear" w:color="auto" w:fill="auto"/>
                              <w:ind w:right="140" w:firstLine="0"/>
                              <w:jc w:val="center"/>
                              <w:rPr>
                                <w:sz w:val="20"/>
                                <w:szCs w:val="20"/>
                              </w:rPr>
                            </w:pPr>
                            <w:r>
                              <w:rPr>
                                <w:sz w:val="20"/>
                                <w:szCs w:val="20"/>
                              </w:rPr>
                              <w:t>12</w:t>
                            </w:r>
                          </w:p>
                        </w:tc>
                        <w:tc>
                          <w:tcPr>
                            <w:tcW w:w="658" w:type="dxa"/>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11.1</w:t>
                            </w:r>
                          </w:p>
                        </w:tc>
                        <w:tc>
                          <w:tcPr>
                            <w:tcW w:w="56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18.1</w:t>
                            </w:r>
                          </w:p>
                        </w:tc>
                        <w:tc>
                          <w:tcPr>
                            <w:tcW w:w="566" w:type="dxa"/>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33</w:t>
                            </w:r>
                          </w:p>
                        </w:tc>
                        <w:tc>
                          <w:tcPr>
                            <w:tcW w:w="51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63</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125</w:t>
                            </w:r>
                          </w:p>
                        </w:tc>
                      </w:tr>
                      <w:tr w:rsidR="00500724">
                        <w:tblPrEx>
                          <w:tblCellMar>
                            <w:top w:w="0" w:type="dxa"/>
                            <w:bottom w:w="0" w:type="dxa"/>
                          </w:tblCellMar>
                        </w:tblPrEx>
                        <w:trPr>
                          <w:trHeight w:hRule="exact" w:val="173"/>
                        </w:trPr>
                        <w:tc>
                          <w:tcPr>
                            <w:tcW w:w="1478" w:type="dxa"/>
                            <w:shd w:val="clear" w:color="auto" w:fill="FFFFFF"/>
                            <w:vAlign w:val="center"/>
                          </w:tcPr>
                          <w:p w:rsidR="00500724" w:rsidRDefault="00F30FB8">
                            <w:pPr>
                              <w:pStyle w:val="Jin0"/>
                              <w:shd w:val="clear" w:color="auto" w:fill="auto"/>
                              <w:ind w:firstLine="0"/>
                              <w:jc w:val="left"/>
                              <w:rPr>
                                <w:sz w:val="18"/>
                                <w:szCs w:val="18"/>
                              </w:rPr>
                            </w:pPr>
                            <w:r>
                              <w:rPr>
                                <w:sz w:val="18"/>
                                <w:szCs w:val="18"/>
                              </w:rPr>
                              <w:t>(Oceánie</w:t>
                            </w:r>
                          </w:p>
                        </w:tc>
                        <w:tc>
                          <w:tcPr>
                            <w:tcW w:w="682" w:type="dxa"/>
                            <w:shd w:val="clear" w:color="auto" w:fill="FFFFFF"/>
                            <w:vAlign w:val="bottom"/>
                          </w:tcPr>
                          <w:p w:rsidR="00500724" w:rsidRDefault="00F30FB8">
                            <w:pPr>
                              <w:pStyle w:val="Jin0"/>
                              <w:shd w:val="clear" w:color="auto" w:fill="auto"/>
                              <w:ind w:right="160" w:firstLine="0"/>
                              <w:jc w:val="center"/>
                              <w:rPr>
                                <w:sz w:val="20"/>
                                <w:szCs w:val="20"/>
                              </w:rPr>
                            </w:pPr>
                            <w:r>
                              <w:rPr>
                                <w:sz w:val="20"/>
                                <w:szCs w:val="20"/>
                              </w:rPr>
                              <w:t>2</w:t>
                            </w:r>
                          </w:p>
                        </w:tc>
                        <w:tc>
                          <w:tcPr>
                            <w:tcW w:w="658" w:type="dxa"/>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2</w:t>
                            </w:r>
                          </w:p>
                        </w:tc>
                        <w:tc>
                          <w:tcPr>
                            <w:tcW w:w="562" w:type="dxa"/>
                            <w:shd w:val="clear" w:color="auto" w:fill="FFFFFF"/>
                            <w:vAlign w:val="bottom"/>
                          </w:tcPr>
                          <w:p w:rsidR="00500724" w:rsidRDefault="00F30FB8">
                            <w:pPr>
                              <w:pStyle w:val="Jin0"/>
                              <w:shd w:val="clear" w:color="auto" w:fill="auto"/>
                              <w:ind w:right="100" w:firstLine="0"/>
                              <w:jc w:val="center"/>
                              <w:rPr>
                                <w:sz w:val="20"/>
                                <w:szCs w:val="20"/>
                              </w:rPr>
                            </w:pPr>
                            <w:r>
                              <w:rPr>
                                <w:sz w:val="20"/>
                                <w:szCs w:val="20"/>
                              </w:rPr>
                              <w:t>2</w:t>
                            </w:r>
                          </w:p>
                        </w:tc>
                        <w:tc>
                          <w:tcPr>
                            <w:tcW w:w="566" w:type="dxa"/>
                            <w:shd w:val="clear" w:color="auto" w:fill="FFFFFF"/>
                            <w:vAlign w:val="bottom"/>
                          </w:tcPr>
                          <w:p w:rsidR="00500724" w:rsidRDefault="00F30FB8">
                            <w:pPr>
                              <w:pStyle w:val="Jin0"/>
                              <w:shd w:val="clear" w:color="auto" w:fill="auto"/>
                              <w:ind w:right="120" w:firstLine="0"/>
                              <w:jc w:val="center"/>
                              <w:rPr>
                                <w:sz w:val="18"/>
                                <w:szCs w:val="18"/>
                              </w:rPr>
                            </w:pPr>
                            <w:r>
                              <w:rPr>
                                <w:sz w:val="18"/>
                                <w:szCs w:val="18"/>
                              </w:rPr>
                              <w:t>2</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6</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10</w:t>
                            </w:r>
                          </w:p>
                        </w:tc>
                      </w:tr>
                      <w:tr w:rsidR="00500724">
                        <w:tblPrEx>
                          <w:tblCellMar>
                            <w:top w:w="0" w:type="dxa"/>
                            <w:bottom w:w="0" w:type="dxa"/>
                          </w:tblCellMar>
                        </w:tblPrEx>
                        <w:trPr>
                          <w:trHeight w:hRule="exact" w:val="173"/>
                        </w:trPr>
                        <w:tc>
                          <w:tcPr>
                            <w:tcW w:w="1478" w:type="dxa"/>
                            <w:shd w:val="clear" w:color="auto" w:fill="FFFFFF"/>
                          </w:tcPr>
                          <w:p w:rsidR="00500724" w:rsidRDefault="00F30FB8">
                            <w:pPr>
                              <w:pStyle w:val="Jin0"/>
                              <w:shd w:val="clear" w:color="auto" w:fill="auto"/>
                              <w:ind w:firstLine="0"/>
                              <w:jc w:val="left"/>
                              <w:rPr>
                                <w:sz w:val="20"/>
                                <w:szCs w:val="20"/>
                              </w:rPr>
                            </w:pPr>
                            <w:r>
                              <w:rPr>
                                <w:sz w:val="20"/>
                                <w:szCs w:val="20"/>
                              </w:rPr>
                              <w:t>Afrika</w:t>
                            </w: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100</w:t>
                            </w:r>
                          </w:p>
                        </w:tc>
                        <w:tc>
                          <w:tcPr>
                            <w:tcW w:w="658" w:type="dxa"/>
                            <w:shd w:val="clear" w:color="auto" w:fill="FFFFFF"/>
                          </w:tcPr>
                          <w:p w:rsidR="00500724" w:rsidRDefault="00F30FB8">
                            <w:pPr>
                              <w:pStyle w:val="Jin0"/>
                              <w:shd w:val="clear" w:color="auto" w:fill="auto"/>
                              <w:ind w:firstLine="0"/>
                              <w:jc w:val="center"/>
                              <w:rPr>
                                <w:sz w:val="20"/>
                                <w:szCs w:val="20"/>
                              </w:rPr>
                            </w:pPr>
                            <w:r>
                              <w:rPr>
                                <w:sz w:val="20"/>
                                <w:szCs w:val="20"/>
                              </w:rPr>
                              <w:t>95</w:t>
                            </w:r>
                          </w:p>
                        </w:tc>
                        <w:tc>
                          <w:tcPr>
                            <w:tcW w:w="562" w:type="dxa"/>
                            <w:shd w:val="clear" w:color="auto" w:fill="FFFFFF"/>
                          </w:tcPr>
                          <w:p w:rsidR="00500724" w:rsidRDefault="00F30FB8">
                            <w:pPr>
                              <w:pStyle w:val="Jin0"/>
                              <w:shd w:val="clear" w:color="auto" w:fill="auto"/>
                              <w:ind w:firstLine="0"/>
                              <w:jc w:val="center"/>
                              <w:rPr>
                                <w:sz w:val="20"/>
                                <w:szCs w:val="20"/>
                              </w:rPr>
                            </w:pPr>
                            <w:r>
                              <w:rPr>
                                <w:sz w:val="20"/>
                                <w:szCs w:val="20"/>
                              </w:rPr>
                              <w:t>90</w:t>
                            </w:r>
                          </w:p>
                        </w:tc>
                        <w:tc>
                          <w:tcPr>
                            <w:tcW w:w="566" w:type="dxa"/>
                            <w:shd w:val="clear" w:color="auto" w:fill="FFFFFF"/>
                          </w:tcPr>
                          <w:p w:rsidR="00500724" w:rsidRDefault="00F30FB8">
                            <w:pPr>
                              <w:pStyle w:val="Jin0"/>
                              <w:shd w:val="clear" w:color="auto" w:fill="auto"/>
                              <w:ind w:right="100" w:firstLine="0"/>
                              <w:jc w:val="center"/>
                              <w:rPr>
                                <w:sz w:val="20"/>
                                <w:szCs w:val="20"/>
                              </w:rPr>
                            </w:pPr>
                            <w:r>
                              <w:rPr>
                                <w:sz w:val="20"/>
                                <w:szCs w:val="20"/>
                              </w:rPr>
                              <w:t>95</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120</w:t>
                            </w:r>
                          </w:p>
                        </w:tc>
                        <w:tc>
                          <w:tcPr>
                            <w:tcW w:w="600" w:type="dxa"/>
                            <w:shd w:val="clear" w:color="auto" w:fill="FFFFFF"/>
                          </w:tcPr>
                          <w:p w:rsidR="00500724" w:rsidRDefault="00F30FB8">
                            <w:pPr>
                              <w:pStyle w:val="Jin0"/>
                              <w:shd w:val="clear" w:color="auto" w:fill="auto"/>
                              <w:ind w:firstLine="0"/>
                              <w:jc w:val="right"/>
                              <w:rPr>
                                <w:sz w:val="20"/>
                                <w:szCs w:val="20"/>
                              </w:rPr>
                            </w:pPr>
                            <w:r>
                              <w:rPr>
                                <w:sz w:val="20"/>
                                <w:szCs w:val="20"/>
                              </w:rPr>
                              <w:t>148</w:t>
                            </w:r>
                          </w:p>
                        </w:tc>
                      </w:tr>
                      <w:tr w:rsidR="00500724">
                        <w:tblPrEx>
                          <w:tblCellMar>
                            <w:top w:w="0" w:type="dxa"/>
                            <w:bottom w:w="0" w:type="dxa"/>
                          </w:tblCellMar>
                        </w:tblPrEx>
                        <w:trPr>
                          <w:trHeight w:hRule="exact" w:val="168"/>
                        </w:trPr>
                        <w:tc>
                          <w:tcPr>
                            <w:tcW w:w="1478" w:type="dxa"/>
                            <w:shd w:val="clear" w:color="auto" w:fill="FFFFFF"/>
                          </w:tcPr>
                          <w:p w:rsidR="00500724" w:rsidRDefault="00F30FB8">
                            <w:pPr>
                              <w:pStyle w:val="Jin0"/>
                              <w:shd w:val="clear" w:color="auto" w:fill="auto"/>
                              <w:ind w:firstLine="0"/>
                              <w:jc w:val="left"/>
                              <w:rPr>
                                <w:sz w:val="20"/>
                                <w:szCs w:val="20"/>
                              </w:rPr>
                            </w:pPr>
                            <w:r>
                              <w:rPr>
                                <w:sz w:val="20"/>
                                <w:szCs w:val="20"/>
                              </w:rPr>
                              <w:t>Asie</w:t>
                            </w:r>
                          </w:p>
                        </w:tc>
                        <w:tc>
                          <w:tcPr>
                            <w:tcW w:w="682" w:type="dxa"/>
                            <w:shd w:val="clear" w:color="auto" w:fill="FFFFFF"/>
                          </w:tcPr>
                          <w:p w:rsidR="00500724" w:rsidRDefault="00F30FB8">
                            <w:pPr>
                              <w:pStyle w:val="Jin0"/>
                              <w:shd w:val="clear" w:color="auto" w:fill="auto"/>
                              <w:ind w:right="60" w:firstLine="0"/>
                              <w:jc w:val="center"/>
                              <w:rPr>
                                <w:sz w:val="20"/>
                                <w:szCs w:val="20"/>
                              </w:rPr>
                            </w:pPr>
                            <w:r>
                              <w:rPr>
                                <w:sz w:val="20"/>
                                <w:szCs w:val="20"/>
                              </w:rPr>
                              <w:t>330</w:t>
                            </w:r>
                          </w:p>
                        </w:tc>
                        <w:tc>
                          <w:tcPr>
                            <w:tcW w:w="658" w:type="dxa"/>
                            <w:shd w:val="clear" w:color="auto" w:fill="FFFFFF"/>
                          </w:tcPr>
                          <w:p w:rsidR="00500724" w:rsidRDefault="00F30FB8">
                            <w:pPr>
                              <w:pStyle w:val="Jin0"/>
                              <w:shd w:val="clear" w:color="auto" w:fill="auto"/>
                              <w:ind w:firstLine="0"/>
                              <w:jc w:val="center"/>
                              <w:rPr>
                                <w:sz w:val="18"/>
                                <w:szCs w:val="18"/>
                              </w:rPr>
                            </w:pPr>
                            <w:r>
                              <w:rPr>
                                <w:sz w:val="18"/>
                                <w:szCs w:val="18"/>
                              </w:rPr>
                              <w:t>479</w:t>
                            </w:r>
                          </w:p>
                        </w:tc>
                        <w:tc>
                          <w:tcPr>
                            <w:tcW w:w="56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602</w:t>
                            </w:r>
                          </w:p>
                        </w:tc>
                        <w:tc>
                          <w:tcPr>
                            <w:tcW w:w="566" w:type="dxa"/>
                            <w:shd w:val="clear" w:color="auto" w:fill="FFFFFF"/>
                          </w:tcPr>
                          <w:p w:rsidR="00500724" w:rsidRDefault="00F30FB8">
                            <w:pPr>
                              <w:pStyle w:val="Jin0"/>
                              <w:shd w:val="clear" w:color="auto" w:fill="auto"/>
                              <w:ind w:firstLine="0"/>
                              <w:jc w:val="center"/>
                              <w:rPr>
                                <w:sz w:val="18"/>
                                <w:szCs w:val="18"/>
                              </w:rPr>
                            </w:pPr>
                            <w:r>
                              <w:rPr>
                                <w:sz w:val="18"/>
                                <w:szCs w:val="18"/>
                              </w:rPr>
                              <w:t>749</w:t>
                            </w:r>
                          </w:p>
                        </w:tc>
                        <w:tc>
                          <w:tcPr>
                            <w:tcW w:w="518" w:type="dxa"/>
                            <w:shd w:val="clear" w:color="auto" w:fill="FFFFFF"/>
                          </w:tcPr>
                          <w:p w:rsidR="00500724" w:rsidRDefault="00F30FB8">
                            <w:pPr>
                              <w:pStyle w:val="Jin0"/>
                              <w:shd w:val="clear" w:color="auto" w:fill="auto"/>
                              <w:ind w:firstLine="0"/>
                              <w:jc w:val="right"/>
                              <w:rPr>
                                <w:sz w:val="20"/>
                                <w:szCs w:val="20"/>
                              </w:rPr>
                            </w:pPr>
                            <w:r>
                              <w:rPr>
                                <w:sz w:val="20"/>
                                <w:szCs w:val="20"/>
                              </w:rPr>
                              <w:t>937</w:t>
                            </w:r>
                          </w:p>
                        </w:tc>
                        <w:tc>
                          <w:tcPr>
                            <w:tcW w:w="600" w:type="dxa"/>
                            <w:shd w:val="clear" w:color="auto" w:fill="FFFFFF"/>
                          </w:tcPr>
                          <w:p w:rsidR="00500724" w:rsidRDefault="00F30FB8">
                            <w:pPr>
                              <w:pStyle w:val="Jin0"/>
                              <w:shd w:val="clear" w:color="auto" w:fill="auto"/>
                              <w:ind w:firstLine="0"/>
                              <w:jc w:val="right"/>
                              <w:rPr>
                                <w:sz w:val="20"/>
                                <w:szCs w:val="20"/>
                              </w:rPr>
                            </w:pPr>
                            <w:r>
                              <w:rPr>
                                <w:sz w:val="20"/>
                                <w:szCs w:val="20"/>
                              </w:rPr>
                              <w:t>1145</w:t>
                            </w:r>
                          </w:p>
                        </w:tc>
                      </w:tr>
                      <w:tr w:rsidR="00500724">
                        <w:tblPrEx>
                          <w:tblCellMar>
                            <w:top w:w="0" w:type="dxa"/>
                            <w:bottom w:w="0" w:type="dxa"/>
                          </w:tblCellMar>
                        </w:tblPrEx>
                        <w:trPr>
                          <w:trHeight w:hRule="exact" w:val="173"/>
                        </w:trPr>
                        <w:tc>
                          <w:tcPr>
                            <w:tcW w:w="1478" w:type="dxa"/>
                            <w:shd w:val="clear" w:color="auto" w:fill="FFFFFF"/>
                            <w:vAlign w:val="bottom"/>
                          </w:tcPr>
                          <w:p w:rsidR="00500724" w:rsidRDefault="00F30FB8">
                            <w:pPr>
                              <w:pStyle w:val="Jin0"/>
                              <w:shd w:val="clear" w:color="auto" w:fill="auto"/>
                              <w:ind w:firstLine="0"/>
                              <w:jc w:val="left"/>
                              <w:rPr>
                                <w:sz w:val="18"/>
                                <w:szCs w:val="18"/>
                              </w:rPr>
                            </w:pPr>
                            <w:r>
                              <w:rPr>
                                <w:sz w:val="18"/>
                                <w:szCs w:val="18"/>
                              </w:rPr>
                              <w:t>Součet</w:t>
                            </w:r>
                          </w:p>
                        </w:tc>
                        <w:tc>
                          <w:tcPr>
                            <w:tcW w:w="68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545</w:t>
                            </w:r>
                          </w:p>
                        </w:tc>
                        <w:tc>
                          <w:tcPr>
                            <w:tcW w:w="658"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728</w:t>
                            </w:r>
                          </w:p>
                        </w:tc>
                        <w:tc>
                          <w:tcPr>
                            <w:tcW w:w="562"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906</w:t>
                            </w:r>
                          </w:p>
                        </w:tc>
                        <w:tc>
                          <w:tcPr>
                            <w:tcW w:w="566" w:type="dxa"/>
                            <w:shd w:val="clear" w:color="auto" w:fill="FFFFFF"/>
                            <w:vAlign w:val="bottom"/>
                          </w:tcPr>
                          <w:p w:rsidR="00500724" w:rsidRDefault="00F30FB8">
                            <w:pPr>
                              <w:pStyle w:val="Jin0"/>
                              <w:shd w:val="clear" w:color="auto" w:fill="auto"/>
                              <w:ind w:firstLine="0"/>
                              <w:jc w:val="center"/>
                              <w:rPr>
                                <w:sz w:val="20"/>
                                <w:szCs w:val="20"/>
                              </w:rPr>
                            </w:pPr>
                            <w:r>
                              <w:rPr>
                                <w:sz w:val="20"/>
                                <w:szCs w:val="20"/>
                              </w:rPr>
                              <w:t>1171</w:t>
                            </w:r>
                          </w:p>
                        </w:tc>
                        <w:tc>
                          <w:tcPr>
                            <w:tcW w:w="518"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1608</w:t>
                            </w:r>
                          </w:p>
                        </w:tc>
                        <w:tc>
                          <w:tcPr>
                            <w:tcW w:w="60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2095</w:t>
                            </w:r>
                          </w:p>
                        </w:tc>
                      </w:tr>
                      <w:tr w:rsidR="00500724">
                        <w:tblPrEx>
                          <w:tblCellMar>
                            <w:top w:w="0" w:type="dxa"/>
                            <w:bottom w:w="0" w:type="dxa"/>
                          </w:tblCellMar>
                        </w:tblPrEx>
                        <w:trPr>
                          <w:trHeight w:hRule="exact" w:val="221"/>
                        </w:trPr>
                        <w:tc>
                          <w:tcPr>
                            <w:tcW w:w="1478" w:type="dxa"/>
                            <w:shd w:val="clear" w:color="auto" w:fill="FFFFFF"/>
                          </w:tcPr>
                          <w:p w:rsidR="00500724" w:rsidRDefault="00F30FB8">
                            <w:pPr>
                              <w:pStyle w:val="Jin0"/>
                              <w:shd w:val="clear" w:color="auto" w:fill="auto"/>
                              <w:ind w:firstLine="0"/>
                              <w:jc w:val="right"/>
                              <w:rPr>
                                <w:sz w:val="18"/>
                                <w:szCs w:val="18"/>
                              </w:rPr>
                            </w:pPr>
                            <w:r>
                              <w:rPr>
                                <w:sz w:val="18"/>
                                <w:szCs w:val="18"/>
                              </w:rPr>
                              <w:t>Z tabulky je</w:t>
                            </w:r>
                          </w:p>
                        </w:tc>
                        <w:tc>
                          <w:tcPr>
                            <w:tcW w:w="682" w:type="dxa"/>
                            <w:shd w:val="clear" w:color="auto" w:fill="FFFFFF"/>
                          </w:tcPr>
                          <w:p w:rsidR="00500724" w:rsidRDefault="00F30FB8">
                            <w:pPr>
                              <w:pStyle w:val="Jin0"/>
                              <w:shd w:val="clear" w:color="auto" w:fill="auto"/>
                              <w:ind w:firstLine="0"/>
                              <w:jc w:val="left"/>
                              <w:rPr>
                                <w:sz w:val="20"/>
                                <w:szCs w:val="20"/>
                              </w:rPr>
                            </w:pPr>
                            <w:r>
                              <w:rPr>
                                <w:sz w:val="20"/>
                                <w:szCs w:val="20"/>
                              </w:rPr>
                              <w:t>zřejmo,</w:t>
                            </w:r>
                          </w:p>
                        </w:tc>
                        <w:tc>
                          <w:tcPr>
                            <w:tcW w:w="658" w:type="dxa"/>
                            <w:shd w:val="clear" w:color="auto" w:fill="FFFFFF"/>
                          </w:tcPr>
                          <w:p w:rsidR="00500724" w:rsidRDefault="00F30FB8">
                            <w:pPr>
                              <w:pStyle w:val="Jin0"/>
                              <w:shd w:val="clear" w:color="auto" w:fill="auto"/>
                              <w:ind w:firstLine="0"/>
                              <w:jc w:val="left"/>
                              <w:rPr>
                                <w:sz w:val="18"/>
                                <w:szCs w:val="18"/>
                              </w:rPr>
                            </w:pPr>
                            <w:r>
                              <w:rPr>
                                <w:sz w:val="18"/>
                                <w:szCs w:val="18"/>
                              </w:rPr>
                              <w:t>že v r,</w:t>
                            </w:r>
                          </w:p>
                        </w:tc>
                        <w:tc>
                          <w:tcPr>
                            <w:tcW w:w="562" w:type="dxa"/>
                            <w:shd w:val="clear" w:color="auto" w:fill="FFFFFF"/>
                          </w:tcPr>
                          <w:p w:rsidR="00500724" w:rsidRDefault="00F30FB8">
                            <w:pPr>
                              <w:pStyle w:val="Jin0"/>
                              <w:shd w:val="clear" w:color="auto" w:fill="auto"/>
                              <w:ind w:firstLine="0"/>
                              <w:jc w:val="center"/>
                              <w:rPr>
                                <w:sz w:val="20"/>
                                <w:szCs w:val="20"/>
                              </w:rPr>
                            </w:pPr>
                            <w:r>
                              <w:rPr>
                                <w:sz w:val="20"/>
                                <w:szCs w:val="20"/>
                              </w:rPr>
                              <w:t>. 1650</w:t>
                            </w:r>
                          </w:p>
                        </w:tc>
                        <w:tc>
                          <w:tcPr>
                            <w:tcW w:w="1084" w:type="dxa"/>
                            <w:gridSpan w:val="2"/>
                            <w:shd w:val="clear" w:color="auto" w:fill="FFFFFF"/>
                          </w:tcPr>
                          <w:p w:rsidR="00500724" w:rsidRDefault="00F30FB8">
                            <w:pPr>
                              <w:pStyle w:val="Jin0"/>
                              <w:shd w:val="clear" w:color="auto" w:fill="auto"/>
                              <w:ind w:firstLine="0"/>
                              <w:jc w:val="left"/>
                              <w:rPr>
                                <w:sz w:val="18"/>
                                <w:szCs w:val="18"/>
                              </w:rPr>
                            </w:pPr>
                            <w:r>
                              <w:rPr>
                                <w:sz w:val="18"/>
                                <w:szCs w:val="18"/>
                              </w:rPr>
                              <w:t>má Evropa</w:t>
                            </w:r>
                          </w:p>
                        </w:tc>
                        <w:tc>
                          <w:tcPr>
                            <w:tcW w:w="600" w:type="dxa"/>
                            <w:shd w:val="clear" w:color="auto" w:fill="FFFFFF"/>
                          </w:tcPr>
                          <w:p w:rsidR="00500724" w:rsidRDefault="00F30FB8">
                            <w:pPr>
                              <w:pStyle w:val="Jin0"/>
                              <w:shd w:val="clear" w:color="auto" w:fill="auto"/>
                              <w:ind w:firstLine="0"/>
                              <w:jc w:val="right"/>
                            </w:pPr>
                            <w:r>
                              <w:rPr>
                                <w:sz w:val="18"/>
                                <w:szCs w:val="18"/>
                              </w:rPr>
                              <w:t xml:space="preserve">20% </w:t>
                            </w:r>
                            <w:r>
                              <w:rPr>
                                <w:b/>
                                <w:bCs/>
                              </w:rPr>
                              <w:t>a</w:t>
                            </w:r>
                          </w:p>
                        </w:tc>
                      </w:tr>
                    </w:tbl>
                    <w:p w:rsidR="00000000" w:rsidRDefault="00F30FB8"/>
                  </w:txbxContent>
                </v:textbox>
                <w10:wrap type="topAndBottom" anchorx="page"/>
              </v:shape>
            </w:pict>
          </mc:Fallback>
        </mc:AlternateContent>
      </w:r>
      <w:r>
        <w:rPr>
          <w:noProof/>
        </w:rPr>
        <mc:AlternateContent>
          <mc:Choice Requires="wps">
            <w:drawing>
              <wp:anchor distT="0" distB="0" distL="0" distR="0" simplePos="0" relativeHeight="125829776" behindDoc="0" locked="0" layoutInCell="1" allowOverlap="1">
                <wp:simplePos x="0" y="0"/>
                <wp:positionH relativeFrom="page">
                  <wp:posOffset>476250</wp:posOffset>
                </wp:positionH>
                <wp:positionV relativeFrom="paragraph">
                  <wp:posOffset>12700</wp:posOffset>
                </wp:positionV>
                <wp:extent cx="3200400" cy="170815"/>
                <wp:effectExtent l="0" t="0" r="0" b="0"/>
                <wp:wrapTopAndBottom/>
                <wp:docPr id="399" name="Shape 399"/>
                <wp:cNvGraphicFramePr/>
                <a:graphic xmlns:a="http://schemas.openxmlformats.org/drawingml/2006/main">
                  <a:graphicData uri="http://schemas.microsoft.com/office/word/2010/wordprocessingShape">
                    <wps:wsp>
                      <wps:cNvSpPr txBox="1"/>
                      <wps:spPr>
                        <a:xfrm>
                          <a:off x="0" y="0"/>
                          <a:ext cx="3200400" cy="170815"/>
                        </a:xfrm>
                        <a:prstGeom prst="rect">
                          <a:avLst/>
                        </a:prstGeom>
                        <a:noFill/>
                      </wps:spPr>
                      <wps:txbx>
                        <w:txbxContent>
                          <w:p w:rsidR="00500724" w:rsidRDefault="00F30FB8">
                            <w:pPr>
                              <w:pStyle w:val="Titulektabulky0"/>
                              <w:shd w:val="clear" w:color="auto" w:fill="auto"/>
                              <w:jc w:val="left"/>
                              <w:rPr>
                                <w:sz w:val="20"/>
                                <w:szCs w:val="20"/>
                              </w:rPr>
                            </w:pPr>
                            <w:r>
                              <w:rPr>
                                <w:b w:val="0"/>
                                <w:bCs w:val="0"/>
                                <w:sz w:val="20"/>
                                <w:szCs w:val="20"/>
                              </w:rPr>
                              <w:t>Odhad světové populace v letech 1650—1937:</w:t>
                            </w:r>
                          </w:p>
                        </w:txbxContent>
                      </wps:txbx>
                      <wps:bodyPr lIns="0" tIns="0" rIns="0" bIns="0">
                        <a:spAutoFit/>
                      </wps:bodyPr>
                    </wps:wsp>
                  </a:graphicData>
                </a:graphic>
              </wp:anchor>
            </w:drawing>
          </mc:Choice>
          <mc:Fallback>
            <w:pict>
              <v:shape id="_x0000_s1425" type="#_x0000_t202" style="position:absolute;margin-left:37.5pt;margin-top:1.pt;width:252.pt;height:13.449999999999999pt;z-index:-125828977;mso-wrap-distance-left:0;mso-wrap-distance-right:0;mso-position-horizontal-relative:page" filled="f" stroked="f">
                <v:textbox style="mso-fit-shape-to-text:t" inset="0,0,0,0">
                  <w:txbxContent>
                    <w:p>
                      <w:pPr>
                        <w:pStyle w:val="Style206"/>
                        <w:keepNext w:val="0"/>
                        <w:keepLines w:val="0"/>
                        <w:widowControl w:val="0"/>
                        <w:shd w:val="clear" w:color="auto" w:fill="auto"/>
                        <w:bidi w:val="0"/>
                        <w:spacing w:before="0" w:after="0" w:line="240" w:lineRule="auto"/>
                        <w:ind w:left="0" w:right="0" w:firstLine="0"/>
                        <w:jc w:val="left"/>
                        <w:rPr>
                          <w:sz w:val="20"/>
                          <w:szCs w:val="20"/>
                        </w:rPr>
                      </w:pPr>
                      <w:r>
                        <w:rPr>
                          <w:b w:val="0"/>
                          <w:bCs w:val="0"/>
                          <w:color w:val="000000"/>
                          <w:spacing w:val="0"/>
                          <w:w w:val="100"/>
                          <w:position w:val="0"/>
                          <w:sz w:val="20"/>
                          <w:szCs w:val="20"/>
                          <w:shd w:val="clear" w:color="auto" w:fill="auto"/>
                          <w:lang w:val="cs-CZ" w:eastAsia="cs-CZ" w:bidi="cs-CZ"/>
                        </w:rPr>
                        <w:t>Odhad světové populace v letech 1650—1937:</w:t>
                      </w:r>
                    </w:p>
                  </w:txbxContent>
                </v:textbox>
                <w10:wrap type="topAndBottom" anchorx="page"/>
              </v:shape>
            </w:pict>
          </mc:Fallback>
        </mc:AlternateContent>
      </w:r>
      <w:r>
        <w:rPr>
          <w:noProof/>
        </w:rPr>
        <mc:AlternateContent>
          <mc:Choice Requires="wps">
            <w:drawing>
              <wp:anchor distT="12700" distB="254000" distL="114300" distR="114300" simplePos="0" relativeHeight="125829778" behindDoc="0" locked="0" layoutInCell="1" allowOverlap="1">
                <wp:simplePos x="0" y="0"/>
                <wp:positionH relativeFrom="page">
                  <wp:posOffset>448310</wp:posOffset>
                </wp:positionH>
                <wp:positionV relativeFrom="paragraph">
                  <wp:posOffset>9061450</wp:posOffset>
                </wp:positionV>
                <wp:extent cx="234950" cy="170815"/>
                <wp:effectExtent l="0" t="0" r="0" b="0"/>
                <wp:wrapTopAndBottom/>
                <wp:docPr id="401" name="Shape 401"/>
                <wp:cNvGraphicFramePr/>
                <a:graphic xmlns:a="http://schemas.openxmlformats.org/drawingml/2006/main">
                  <a:graphicData uri="http://schemas.microsoft.com/office/word/2010/wordprocessingShape">
                    <wps:wsp>
                      <wps:cNvSpPr txBox="1"/>
                      <wps:spPr>
                        <a:xfrm>
                          <a:off x="0" y="0"/>
                          <a:ext cx="234950"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i/>
                                <w:iCs/>
                                <w:sz w:val="20"/>
                                <w:szCs w:val="20"/>
                              </w:rPr>
                              <w:t>aao</w:t>
                            </w:r>
                          </w:p>
                        </w:txbxContent>
                      </wps:txbx>
                      <wps:bodyPr lIns="0" tIns="0" rIns="0" bIns="0">
                        <a:spAutoFit/>
                      </wps:bodyPr>
                    </wps:wsp>
                  </a:graphicData>
                </a:graphic>
              </wp:anchor>
            </w:drawing>
          </mc:Choice>
          <mc:Fallback>
            <w:pict>
              <v:shape id="_x0000_s1427" type="#_x0000_t202" style="position:absolute;margin-left:35.299999999999997pt;margin-top:713.5pt;width:18.5pt;height:13.449999999999999pt;z-index:-125828975;mso-wrap-distance-left:9.pt;mso-wrap-distance-top:1.pt;mso-wrap-distance-right:9.pt;mso-wrap-distance-bottom:20.pt;mso-position-horizontal-relative:page"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aao</w:t>
                      </w:r>
                    </w:p>
                  </w:txbxContent>
                </v:textbox>
                <w10:wrap type="topAndBottom" anchorx="page"/>
              </v:shape>
            </w:pict>
          </mc:Fallback>
        </mc:AlternateContent>
      </w:r>
      <w:r>
        <w:rPr>
          <w:noProof/>
        </w:rPr>
        <mc:AlternateContent>
          <mc:Choice Requires="wps">
            <w:drawing>
              <wp:anchor distT="0" distB="635635" distL="50800" distR="50800" simplePos="0" relativeHeight="125829780" behindDoc="0" locked="0" layoutInCell="1" allowOverlap="1">
                <wp:simplePos x="0" y="0"/>
                <wp:positionH relativeFrom="page">
                  <wp:posOffset>3797935</wp:posOffset>
                </wp:positionH>
                <wp:positionV relativeFrom="paragraph">
                  <wp:posOffset>5403850</wp:posOffset>
                </wp:positionV>
                <wp:extent cx="3218815" cy="3437890"/>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3218815" cy="343789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248"/>
                              <w:gridCol w:w="499"/>
                              <w:gridCol w:w="480"/>
                              <w:gridCol w:w="504"/>
                              <w:gridCol w:w="461"/>
                              <w:gridCol w:w="480"/>
                              <w:gridCol w:w="466"/>
                              <w:gridCol w:w="490"/>
                              <w:gridCol w:w="442"/>
                            </w:tblGrid>
                            <w:tr w:rsidR="00500724">
                              <w:tblPrEx>
                                <w:tblCellMar>
                                  <w:top w:w="0" w:type="dxa"/>
                                  <w:bottom w:w="0" w:type="dxa"/>
                                </w:tblCellMar>
                              </w:tblPrEx>
                              <w:trPr>
                                <w:trHeight w:hRule="exact" w:val="187"/>
                                <w:tblHeader/>
                              </w:trPr>
                              <w:tc>
                                <w:tcPr>
                                  <w:tcW w:w="1248" w:type="dxa"/>
                                  <w:shd w:val="clear" w:color="auto" w:fill="FFFFFF"/>
                                </w:tcPr>
                                <w:p w:rsidR="00500724" w:rsidRDefault="00500724">
                                  <w:pPr>
                                    <w:rPr>
                                      <w:sz w:val="10"/>
                                      <w:szCs w:val="10"/>
                                    </w:rPr>
                                  </w:pP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1913</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1924-2</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91932</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1933</w:t>
                                  </w:r>
                                </w:p>
                              </w:tc>
                              <w:tc>
                                <w:tcPr>
                                  <w:tcW w:w="48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1935</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1936</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1937</w:t>
                                  </w:r>
                                </w:p>
                              </w:tc>
                            </w:tr>
                            <w:tr w:rsidR="00500724">
                              <w:tblPrEx>
                                <w:tblCellMar>
                                  <w:top w:w="0" w:type="dxa"/>
                                  <w:bottom w:w="0" w:type="dxa"/>
                                </w:tblCellMar>
                              </w:tblPrEx>
                              <w:trPr>
                                <w:trHeight w:hRule="exact" w:val="187"/>
                              </w:trPr>
                              <w:tc>
                                <w:tcPr>
                                  <w:tcW w:w="1747" w:type="dxa"/>
                                  <w:gridSpan w:val="2"/>
                                  <w:shd w:val="clear" w:color="auto" w:fill="FFFFFF"/>
                                  <w:vAlign w:val="bottom"/>
                                </w:tcPr>
                                <w:p w:rsidR="00500724" w:rsidRDefault="00F30FB8">
                                  <w:pPr>
                                    <w:pStyle w:val="Jin0"/>
                                    <w:shd w:val="clear" w:color="auto" w:fill="auto"/>
                                    <w:ind w:firstLine="0"/>
                                    <w:jc w:val="left"/>
                                    <w:rPr>
                                      <w:sz w:val="20"/>
                                      <w:szCs w:val="20"/>
                                    </w:rPr>
                                  </w:pPr>
                                  <w:r>
                                    <w:rPr>
                                      <w:sz w:val="20"/>
                                      <w:szCs w:val="20"/>
                                    </w:rPr>
                                    <w:t>Cesko-Slovensko —</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24.1</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21.0</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17.7</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17.4</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17.2</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Německo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26.9</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19.3</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15.1</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14.7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18.0</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18.9</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19.0</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18.8</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Rakousko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24.1</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18.9</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15.2</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14.3</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13.5</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13.2</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13.1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12.8</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Maďarsko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33.8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26.6</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23.4</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22.0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21.9</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21.2</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20.5</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20.2</w:t>
                                  </w:r>
                                </w:p>
                              </w:tc>
                            </w:tr>
                            <w:tr w:rsidR="00500724">
                              <w:tblPrEx>
                                <w:tblCellMar>
                                  <w:top w:w="0" w:type="dxa"/>
                                  <w:bottom w:w="0" w:type="dxa"/>
                                </w:tblCellMar>
                              </w:tblPrEx>
                              <w:trPr>
                                <w:trHeight w:hRule="exact" w:val="16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Francie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19.0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18.4</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17.3</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15.3</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15.0</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14.7</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Švýcary</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23.1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17.9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16.7</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16.4</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16.0</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15.6</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15.0</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Belgie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22.4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18.9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17.6</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16.5</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16.0</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15.1</w:t>
                                  </w:r>
                                </w:p>
                              </w:tc>
                            </w:tr>
                            <w:tr w:rsidR="00500724">
                              <w:tblPrEx>
                                <w:tblCellMar>
                                  <w:top w:w="0" w:type="dxa"/>
                                  <w:bottom w:w="0" w:type="dxa"/>
                                </w:tblCellMar>
                              </w:tblPrEx>
                              <w:trPr>
                                <w:trHeight w:hRule="exact" w:val="16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Holandsko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23.7</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22.0</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20.8</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20.7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20.2</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19.8</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Vel. Britanie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24.2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17.9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15.8</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14.9</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15.2</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15.2</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15.3</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15.3</w:t>
                                  </w:r>
                                </w:p>
                              </w:tc>
                            </w:tr>
                            <w:tr w:rsidR="00500724">
                              <w:tblPrEx>
                                <w:tblCellMar>
                                  <w:top w:w="0" w:type="dxa"/>
                                  <w:bottom w:w="0" w:type="dxa"/>
                                </w:tblCellMar>
                              </w:tblPrEx>
                              <w:trPr>
                                <w:trHeight w:hRule="exact" w:val="163"/>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Svob. st. irský</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20.5</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19.5</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19.6</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19.8</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Švédsko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16.7</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14.5</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12.7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13.8</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14.2</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14.3</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Norsko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25.1</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18.8</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16.0</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14.8</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14.6</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14.4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14.8</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15.3</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Dánsko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25.6</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20.2</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18.0</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17.3</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17.8</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17.7</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17.8</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18.0</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Finsko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27.2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21.7</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18.7</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17.4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19.1</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19.6</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19.2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Litva</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28.7</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27.3</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25.7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24.7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24.1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22.2</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Lotyšsko</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21.4</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19.4</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17.2</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17.7</w:t>
                                  </w:r>
                                </w:p>
                              </w:tc>
                            </w:tr>
                            <w:tr w:rsidR="00500724">
                              <w:tblPrEx>
                                <w:tblCellMar>
                                  <w:top w:w="0" w:type="dxa"/>
                                  <w:bottom w:w="0" w:type="dxa"/>
                                </w:tblCellMar>
                              </w:tblPrEx>
                              <w:trPr>
                                <w:trHeight w:hRule="exact" w:val="16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Estonsko</w:t>
                                  </w:r>
                                </w:p>
                              </w:tc>
                              <w:tc>
                                <w:tcPr>
                                  <w:tcW w:w="499" w:type="dxa"/>
                                  <w:shd w:val="clear" w:color="auto" w:fill="FFFFFF"/>
                                  <w:vAlign w:val="bottom"/>
                                </w:tcPr>
                                <w:p w:rsidR="00500724" w:rsidRDefault="00F30FB8">
                                  <w:pPr>
                                    <w:pStyle w:val="Jin0"/>
                                    <w:shd w:val="clear" w:color="auto" w:fill="auto"/>
                                    <w:tabs>
                                      <w:tab w:val="left" w:leader="underscore" w:pos="402"/>
                                    </w:tabs>
                                    <w:ind w:left="220" w:firstLine="0"/>
                                    <w:rPr>
                                      <w:sz w:val="20"/>
                                      <w:szCs w:val="20"/>
                                    </w:rPr>
                                  </w:pPr>
                                  <w:r>
                                    <w:rPr>
                                      <w:sz w:val="20"/>
                                      <w:szCs w:val="20"/>
                                    </w:rPr>
                                    <w:tab/>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18.1</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17.6</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15.4</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15.9</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16.1</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Polsko</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33.6</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28.7</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26.5</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26.5</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26.1</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26.2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24.9</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Rumunsko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42.1</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35.5</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35.9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32.0</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32.4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30.7</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31.5</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80.8</w:t>
                                  </w:r>
                                </w:p>
                              </w:tc>
                            </w:tr>
                            <w:tr w:rsidR="00500724">
                              <w:tblPrEx>
                                <w:tblCellMar>
                                  <w:top w:w="0" w:type="dxa"/>
                                  <w:bottom w:w="0" w:type="dxa"/>
                                </w:tblCellMar>
                              </w:tblPrEx>
                              <w:trPr>
                                <w:trHeight w:hRule="exact" w:val="17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Jugoslávie</w:t>
                                  </w:r>
                                </w:p>
                              </w:tc>
                              <w:tc>
                                <w:tcPr>
                                  <w:tcW w:w="499" w:type="dxa"/>
                                  <w:shd w:val="clear" w:color="auto" w:fill="FFFFFF"/>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34.2</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32.8</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31.4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31.5</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29.8</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28.9</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54"/>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Bulharsko</w:t>
                                  </w:r>
                                </w:p>
                              </w:tc>
                              <w:tc>
                                <w:tcPr>
                                  <w:tcW w:w="499" w:type="dxa"/>
                                  <w:shd w:val="clear" w:color="auto" w:fill="FFFFFF"/>
                                  <w:vAlign w:val="bottom"/>
                                </w:tcPr>
                                <w:p w:rsidR="00500724" w:rsidRDefault="00F30FB8">
                                  <w:pPr>
                                    <w:pStyle w:val="Jin0"/>
                                    <w:shd w:val="clear" w:color="auto" w:fill="auto"/>
                                    <w:tabs>
                                      <w:tab w:val="left" w:leader="underscore" w:pos="402"/>
                                    </w:tabs>
                                    <w:ind w:left="220" w:firstLine="0"/>
                                    <w:rPr>
                                      <w:sz w:val="20"/>
                                      <w:szCs w:val="20"/>
                                    </w:rPr>
                                  </w:pPr>
                                  <w:r>
                                    <w:rPr>
                                      <w:sz w:val="20"/>
                                      <w:szCs w:val="20"/>
                                    </w:rPr>
                                    <w:tab/>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36.0</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31.4</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29.1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30.1</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26.3</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25.7</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23.9</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Řecko</w:t>
                                  </w:r>
                                </w:p>
                              </w:tc>
                              <w:tc>
                                <w:tcPr>
                                  <w:tcW w:w="499" w:type="dxa"/>
                                  <w:shd w:val="clear" w:color="auto" w:fill="FFFFFF"/>
                                  <w:vAlign w:val="bottom"/>
                                </w:tcPr>
                                <w:p w:rsidR="00500724" w:rsidRDefault="00F30FB8">
                                  <w:pPr>
                                    <w:pStyle w:val="Jin0"/>
                                    <w:shd w:val="clear" w:color="auto" w:fill="auto"/>
                                    <w:tabs>
                                      <w:tab w:val="left" w:leader="underscore" w:pos="402"/>
                                    </w:tabs>
                                    <w:ind w:left="220" w:firstLine="0"/>
                                    <w:rPr>
                                      <w:sz w:val="20"/>
                                      <w:szCs w:val="20"/>
                                    </w:rPr>
                                  </w:pPr>
                                  <w:r>
                                    <w:rPr>
                                      <w:sz w:val="20"/>
                                      <w:szCs w:val="20"/>
                                    </w:rPr>
                                    <w:tab/>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27.9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28.5</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28.8</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31.2</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28.3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28.0</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63"/>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Itálie</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31.7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26.9</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23.8</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22.4</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22.7</w:t>
                                  </w:r>
                                </w:p>
                              </w:tc>
                            </w:tr>
                            <w:tr w:rsidR="00500724">
                              <w:tblPrEx>
                                <w:tblCellMar>
                                  <w:top w:w="0" w:type="dxa"/>
                                  <w:bottom w:w="0" w:type="dxa"/>
                                </w:tblCellMar>
                              </w:tblPrEx>
                              <w:trPr>
                                <w:trHeight w:hRule="exact" w:val="17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Španělsko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30.4</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29.4</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28.2</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27.8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26.2</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25.6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7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Portugalsko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32.3</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33.7</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29.8</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28.9</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28.4</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28.4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28.3</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27.0</w:t>
                                  </w:r>
                                </w:p>
                              </w:tc>
                            </w:tr>
                            <w:tr w:rsidR="00500724">
                              <w:tblPrEx>
                                <w:tblCellMar>
                                  <w:top w:w="0" w:type="dxa"/>
                                  <w:bottom w:w="0" w:type="dxa"/>
                                </w:tblCellMar>
                              </w:tblPrEx>
                              <w:trPr>
                                <w:trHeight w:hRule="exact" w:val="15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Kanada</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29.1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24.1</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22.0</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20.9</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20.5</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20.3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20.0</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USA</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tabs>
                                      <w:tab w:val="left" w:leader="underscore" w:pos="382"/>
                                    </w:tabs>
                                    <w:ind w:left="200" w:firstLine="0"/>
                                    <w:rPr>
                                      <w:sz w:val="20"/>
                                      <w:szCs w:val="20"/>
                                    </w:rPr>
                                  </w:pPr>
                                  <w:r>
                                    <w:rPr>
                                      <w:sz w:val="20"/>
                                      <w:szCs w:val="20"/>
                                    </w:rPr>
                                    <w:tab/>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17.4</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16.6</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17.1</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16.9</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16.6</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17.0</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Austrálie</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21.9</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17.1</w:t>
                                  </w:r>
                                </w:p>
                              </w:tc>
                              <w:tc>
                                <w:tcPr>
                                  <w:tcW w:w="44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7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Argentina</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38.0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31.1</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27.9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25.5</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25.4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24.4</w:t>
                                  </w:r>
                                </w:p>
                              </w:tc>
                              <w:tc>
                                <w:tcPr>
                                  <w:tcW w:w="442" w:type="dxa"/>
                                  <w:shd w:val="clear" w:color="auto" w:fill="FFFFFF"/>
                                </w:tcPr>
                                <w:p w:rsidR="00500724" w:rsidRDefault="00F30FB8">
                                  <w:pPr>
                                    <w:pStyle w:val="Jin0"/>
                                    <w:shd w:val="clear" w:color="auto" w:fill="auto"/>
                                    <w:ind w:firstLine="0"/>
                                    <w:jc w:val="right"/>
                                    <w:rPr>
                                      <w:sz w:val="22"/>
                                      <w:szCs w:val="22"/>
                                    </w:rPr>
                                  </w:pPr>
                                  <w:r>
                                    <w:rPr>
                                      <w:sz w:val="22"/>
                                      <w:szCs w:val="22"/>
                                    </w:rPr>
                                    <w:t>24.0</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Japonsko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33.0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34.1</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32.9</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31.6</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29.9</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31.6</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29.9</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92"/>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Brit. Indie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39.4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34.0</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33.3</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85.5</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33.7</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34.0</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35.4</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bl>
                          <w:p w:rsidR="00000000" w:rsidRDefault="00F30FB8"/>
                        </w:txbxContent>
                      </wps:txbx>
                      <wps:bodyPr lIns="0" tIns="0" rIns="0" bIns="0">
                        <a:spAutoFit/>
                      </wps:bodyPr>
                    </wps:wsp>
                  </a:graphicData>
                </a:graphic>
              </wp:anchor>
            </w:drawing>
          </mc:Choice>
          <mc:Fallback>
            <w:pict>
              <v:shape id="Shape 403" o:spid="_x0000_s1227" type="#_x0000_t202" style="position:absolute;margin-left:299.05pt;margin-top:425.5pt;width:253.45pt;height:270.7pt;z-index:125829780;visibility:visible;mso-wrap-style:square;mso-wrap-distance-left:4pt;mso-wrap-distance-top:0;mso-wrap-distance-right:4pt;mso-wrap-distance-bottom:50.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248"/>
                        <w:gridCol w:w="499"/>
                        <w:gridCol w:w="480"/>
                        <w:gridCol w:w="504"/>
                        <w:gridCol w:w="461"/>
                        <w:gridCol w:w="480"/>
                        <w:gridCol w:w="466"/>
                        <w:gridCol w:w="490"/>
                        <w:gridCol w:w="442"/>
                      </w:tblGrid>
                      <w:tr w:rsidR="00500724">
                        <w:tblPrEx>
                          <w:tblCellMar>
                            <w:top w:w="0" w:type="dxa"/>
                            <w:bottom w:w="0" w:type="dxa"/>
                          </w:tblCellMar>
                        </w:tblPrEx>
                        <w:trPr>
                          <w:trHeight w:hRule="exact" w:val="187"/>
                          <w:tblHeader/>
                        </w:trPr>
                        <w:tc>
                          <w:tcPr>
                            <w:tcW w:w="1248" w:type="dxa"/>
                            <w:shd w:val="clear" w:color="auto" w:fill="FFFFFF"/>
                          </w:tcPr>
                          <w:p w:rsidR="00500724" w:rsidRDefault="00500724">
                            <w:pPr>
                              <w:rPr>
                                <w:sz w:val="10"/>
                                <w:szCs w:val="10"/>
                              </w:rPr>
                            </w:pP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1913</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1924-2</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91932</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1933</w:t>
                            </w:r>
                          </w:p>
                        </w:tc>
                        <w:tc>
                          <w:tcPr>
                            <w:tcW w:w="48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1935</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1936</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1937</w:t>
                            </w:r>
                          </w:p>
                        </w:tc>
                      </w:tr>
                      <w:tr w:rsidR="00500724">
                        <w:tblPrEx>
                          <w:tblCellMar>
                            <w:top w:w="0" w:type="dxa"/>
                            <w:bottom w:w="0" w:type="dxa"/>
                          </w:tblCellMar>
                        </w:tblPrEx>
                        <w:trPr>
                          <w:trHeight w:hRule="exact" w:val="187"/>
                        </w:trPr>
                        <w:tc>
                          <w:tcPr>
                            <w:tcW w:w="1747" w:type="dxa"/>
                            <w:gridSpan w:val="2"/>
                            <w:shd w:val="clear" w:color="auto" w:fill="FFFFFF"/>
                            <w:vAlign w:val="bottom"/>
                          </w:tcPr>
                          <w:p w:rsidR="00500724" w:rsidRDefault="00F30FB8">
                            <w:pPr>
                              <w:pStyle w:val="Jin0"/>
                              <w:shd w:val="clear" w:color="auto" w:fill="auto"/>
                              <w:ind w:firstLine="0"/>
                              <w:jc w:val="left"/>
                              <w:rPr>
                                <w:sz w:val="20"/>
                                <w:szCs w:val="20"/>
                              </w:rPr>
                            </w:pPr>
                            <w:r>
                              <w:rPr>
                                <w:sz w:val="20"/>
                                <w:szCs w:val="20"/>
                              </w:rPr>
                              <w:t>Cesko-Slovensko —</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24.1</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21.0</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17.7</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17.4</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17.2</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Německo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26.9</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19.3</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15.1</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14.7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18.0</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18.9</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19.0</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18.8</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Rakousko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24.1</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18.9</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15.2</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14.3</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13.5</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13.2</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13.1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12.8</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Maďarsko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33.8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26.6</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23.4</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22.0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21.9</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21.2</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20.5</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20.2</w:t>
                            </w:r>
                          </w:p>
                        </w:tc>
                      </w:tr>
                      <w:tr w:rsidR="00500724">
                        <w:tblPrEx>
                          <w:tblCellMar>
                            <w:top w:w="0" w:type="dxa"/>
                            <w:bottom w:w="0" w:type="dxa"/>
                          </w:tblCellMar>
                        </w:tblPrEx>
                        <w:trPr>
                          <w:trHeight w:hRule="exact" w:val="16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Francie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19.0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18.4</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17.3</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15.3</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15.0</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14.7</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Švýcary</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23.1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17.9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16.7</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16.4</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16.0</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15.6</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15.0</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Belgie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22.4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18.9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17.6</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16.5</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16.0</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15.1</w:t>
                            </w:r>
                          </w:p>
                        </w:tc>
                      </w:tr>
                      <w:tr w:rsidR="00500724">
                        <w:tblPrEx>
                          <w:tblCellMar>
                            <w:top w:w="0" w:type="dxa"/>
                            <w:bottom w:w="0" w:type="dxa"/>
                          </w:tblCellMar>
                        </w:tblPrEx>
                        <w:trPr>
                          <w:trHeight w:hRule="exact" w:val="16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Holandsko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23.7</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22.0</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20.8</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20.7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20.2</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19.8</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Vel. Britanie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24.2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17.9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15.8</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14.9</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15.2</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15.2</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15.3</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15.3</w:t>
                            </w:r>
                          </w:p>
                        </w:tc>
                      </w:tr>
                      <w:tr w:rsidR="00500724">
                        <w:tblPrEx>
                          <w:tblCellMar>
                            <w:top w:w="0" w:type="dxa"/>
                            <w:bottom w:w="0" w:type="dxa"/>
                          </w:tblCellMar>
                        </w:tblPrEx>
                        <w:trPr>
                          <w:trHeight w:hRule="exact" w:val="163"/>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Svob. st. irský</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20.5</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19.5</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19.6</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19.8</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Švédsko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16.7</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14.5</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12.7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13.8</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14.2</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14.3</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Norsko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25.1</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18.8</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16.0</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14.8</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14.6</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14.4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14.8</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15.3</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Dánsko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25.6</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20.2</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18.0</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17.3</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17.8</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17.7</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17.8</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18.0</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Finsko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27.2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21.7</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18.7</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17.4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19.1</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19.6</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19.2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Litva</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28.7</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27.3</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25.7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24.7</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24.1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22.2</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Lotyšsko</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21.4</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19.4</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17.2</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17.6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18.1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17.7</w:t>
                            </w:r>
                          </w:p>
                        </w:tc>
                      </w:tr>
                      <w:tr w:rsidR="00500724">
                        <w:tblPrEx>
                          <w:tblCellMar>
                            <w:top w:w="0" w:type="dxa"/>
                            <w:bottom w:w="0" w:type="dxa"/>
                          </w:tblCellMar>
                        </w:tblPrEx>
                        <w:trPr>
                          <w:trHeight w:hRule="exact" w:val="16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Estonsko</w:t>
                            </w:r>
                          </w:p>
                        </w:tc>
                        <w:tc>
                          <w:tcPr>
                            <w:tcW w:w="499" w:type="dxa"/>
                            <w:shd w:val="clear" w:color="auto" w:fill="FFFFFF"/>
                            <w:vAlign w:val="bottom"/>
                          </w:tcPr>
                          <w:p w:rsidR="00500724" w:rsidRDefault="00F30FB8">
                            <w:pPr>
                              <w:pStyle w:val="Jin0"/>
                              <w:shd w:val="clear" w:color="auto" w:fill="auto"/>
                              <w:tabs>
                                <w:tab w:val="left" w:leader="underscore" w:pos="402"/>
                              </w:tabs>
                              <w:ind w:left="220" w:firstLine="0"/>
                              <w:rPr>
                                <w:sz w:val="20"/>
                                <w:szCs w:val="20"/>
                              </w:rPr>
                            </w:pPr>
                            <w:r>
                              <w:rPr>
                                <w:sz w:val="20"/>
                                <w:szCs w:val="20"/>
                              </w:rPr>
                              <w:tab/>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18.1</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17.6</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16.2</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15.4</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15.9</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16.1</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16.1</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Polsko</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33.6</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28.7</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26.5</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26.5</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26.1</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26.2</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24.9</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Rumunsko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42.1</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35.5</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35.9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32.0</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32.4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30.7</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31.5</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80.8</w:t>
                            </w:r>
                          </w:p>
                        </w:tc>
                      </w:tr>
                      <w:tr w:rsidR="00500724">
                        <w:tblPrEx>
                          <w:tblCellMar>
                            <w:top w:w="0" w:type="dxa"/>
                            <w:bottom w:w="0" w:type="dxa"/>
                          </w:tblCellMar>
                        </w:tblPrEx>
                        <w:trPr>
                          <w:trHeight w:hRule="exact" w:val="17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Jugoslávie</w:t>
                            </w:r>
                          </w:p>
                        </w:tc>
                        <w:tc>
                          <w:tcPr>
                            <w:tcW w:w="499" w:type="dxa"/>
                            <w:shd w:val="clear" w:color="auto" w:fill="FFFFFF"/>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34.2</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32.8</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31.4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31.5</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29.8</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28.9</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54"/>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Bulharsko</w:t>
                            </w:r>
                          </w:p>
                        </w:tc>
                        <w:tc>
                          <w:tcPr>
                            <w:tcW w:w="499" w:type="dxa"/>
                            <w:shd w:val="clear" w:color="auto" w:fill="FFFFFF"/>
                            <w:vAlign w:val="bottom"/>
                          </w:tcPr>
                          <w:p w:rsidR="00500724" w:rsidRDefault="00F30FB8">
                            <w:pPr>
                              <w:pStyle w:val="Jin0"/>
                              <w:shd w:val="clear" w:color="auto" w:fill="auto"/>
                              <w:tabs>
                                <w:tab w:val="left" w:leader="underscore" w:pos="402"/>
                              </w:tabs>
                              <w:ind w:left="220" w:firstLine="0"/>
                              <w:rPr>
                                <w:sz w:val="20"/>
                                <w:szCs w:val="20"/>
                              </w:rPr>
                            </w:pPr>
                            <w:r>
                              <w:rPr>
                                <w:sz w:val="20"/>
                                <w:szCs w:val="20"/>
                              </w:rPr>
                              <w:tab/>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36.0</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31.4</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29.1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30.1</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26.3</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25.7</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23.9</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Řecko</w:t>
                            </w:r>
                          </w:p>
                        </w:tc>
                        <w:tc>
                          <w:tcPr>
                            <w:tcW w:w="499" w:type="dxa"/>
                            <w:shd w:val="clear" w:color="auto" w:fill="FFFFFF"/>
                            <w:vAlign w:val="bottom"/>
                          </w:tcPr>
                          <w:p w:rsidR="00500724" w:rsidRDefault="00F30FB8">
                            <w:pPr>
                              <w:pStyle w:val="Jin0"/>
                              <w:shd w:val="clear" w:color="auto" w:fill="auto"/>
                              <w:tabs>
                                <w:tab w:val="left" w:leader="underscore" w:pos="402"/>
                              </w:tabs>
                              <w:ind w:left="220" w:firstLine="0"/>
                              <w:rPr>
                                <w:sz w:val="20"/>
                                <w:szCs w:val="20"/>
                              </w:rPr>
                            </w:pPr>
                            <w:r>
                              <w:rPr>
                                <w:sz w:val="20"/>
                                <w:szCs w:val="20"/>
                              </w:rPr>
                              <w:tab/>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27.9</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28.5</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28.8</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31.2</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28.3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28.0</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63"/>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Itálie</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31.7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26.9</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23.8</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23.7</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23.3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22.4</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22.7</w:t>
                            </w:r>
                          </w:p>
                        </w:tc>
                      </w:tr>
                      <w:tr w:rsidR="00500724">
                        <w:tblPrEx>
                          <w:tblCellMar>
                            <w:top w:w="0" w:type="dxa"/>
                            <w:bottom w:w="0" w:type="dxa"/>
                          </w:tblCellMar>
                        </w:tblPrEx>
                        <w:trPr>
                          <w:trHeight w:hRule="exact" w:val="17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Španělsko</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30.4</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29.4</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28.2</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27.8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26.2</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25.6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w:t>
                            </w:r>
                          </w:p>
                        </w:tc>
                        <w:tc>
                          <w:tcPr>
                            <w:tcW w:w="442"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7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Portugalsko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32.3</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33.7</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29.8</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28.9</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28.4</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28.4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28.3</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27.0</w:t>
                            </w:r>
                          </w:p>
                        </w:tc>
                      </w:tr>
                      <w:tr w:rsidR="00500724">
                        <w:tblPrEx>
                          <w:tblCellMar>
                            <w:top w:w="0" w:type="dxa"/>
                            <w:bottom w:w="0" w:type="dxa"/>
                          </w:tblCellMar>
                        </w:tblPrEx>
                        <w:trPr>
                          <w:trHeight w:hRule="exact" w:val="15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Kanada</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29.1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24.1</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22.0</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20.9</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20.5</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20.3</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20.0</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USA</w:t>
                            </w:r>
                          </w:p>
                        </w:tc>
                        <w:tc>
                          <w:tcPr>
                            <w:tcW w:w="499" w:type="dxa"/>
                            <w:shd w:val="clear" w:color="auto" w:fill="FFFFFF"/>
                            <w:vAlign w:val="bottom"/>
                          </w:tcPr>
                          <w:p w:rsidR="00500724" w:rsidRDefault="00F30FB8">
                            <w:pPr>
                              <w:pStyle w:val="Jin0"/>
                              <w:shd w:val="clear" w:color="auto" w:fill="auto"/>
                              <w:ind w:left="220" w:firstLine="0"/>
                              <w:rPr>
                                <w:sz w:val="20"/>
                                <w:szCs w:val="20"/>
                              </w:rPr>
                            </w:pPr>
                            <w:r>
                              <w:rPr>
                                <w:sz w:val="20"/>
                                <w:szCs w:val="20"/>
                              </w:rPr>
                              <w:t>—</w:t>
                            </w:r>
                          </w:p>
                        </w:tc>
                        <w:tc>
                          <w:tcPr>
                            <w:tcW w:w="480" w:type="dxa"/>
                            <w:shd w:val="clear" w:color="auto" w:fill="FFFFFF"/>
                            <w:vAlign w:val="bottom"/>
                          </w:tcPr>
                          <w:p w:rsidR="00500724" w:rsidRDefault="00F30FB8">
                            <w:pPr>
                              <w:pStyle w:val="Jin0"/>
                              <w:shd w:val="clear" w:color="auto" w:fill="auto"/>
                              <w:tabs>
                                <w:tab w:val="left" w:leader="underscore" w:pos="382"/>
                              </w:tabs>
                              <w:ind w:left="200" w:firstLine="0"/>
                              <w:rPr>
                                <w:sz w:val="20"/>
                                <w:szCs w:val="20"/>
                              </w:rPr>
                            </w:pPr>
                            <w:r>
                              <w:rPr>
                                <w:sz w:val="20"/>
                                <w:szCs w:val="20"/>
                              </w:rPr>
                              <w:tab/>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17.4</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16.6</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17.1</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16.9</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16.6</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17.0</w:t>
                            </w:r>
                          </w:p>
                        </w:tc>
                      </w:tr>
                      <w:tr w:rsidR="00500724">
                        <w:tblPrEx>
                          <w:tblCellMar>
                            <w:top w:w="0" w:type="dxa"/>
                            <w:bottom w:w="0" w:type="dxa"/>
                          </w:tblCellMar>
                        </w:tblPrEx>
                        <w:trPr>
                          <w:trHeight w:hRule="exact" w:val="168"/>
                        </w:trPr>
                        <w:tc>
                          <w:tcPr>
                            <w:tcW w:w="1248" w:type="dxa"/>
                            <w:shd w:val="clear" w:color="auto" w:fill="FFFFFF"/>
                            <w:vAlign w:val="bottom"/>
                          </w:tcPr>
                          <w:p w:rsidR="00500724" w:rsidRDefault="00F30FB8">
                            <w:pPr>
                              <w:pStyle w:val="Jin0"/>
                              <w:shd w:val="clear" w:color="auto" w:fill="auto"/>
                              <w:ind w:firstLine="0"/>
                              <w:jc w:val="left"/>
                              <w:rPr>
                                <w:sz w:val="20"/>
                                <w:szCs w:val="20"/>
                              </w:rPr>
                            </w:pPr>
                            <w:r>
                              <w:rPr>
                                <w:sz w:val="20"/>
                                <w:szCs w:val="20"/>
                              </w:rPr>
                              <w:t>Austrálie</w:t>
                            </w:r>
                          </w:p>
                        </w:tc>
                        <w:tc>
                          <w:tcPr>
                            <w:tcW w:w="499"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28.2</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21.9</w:t>
                            </w:r>
                          </w:p>
                        </w:tc>
                        <w:tc>
                          <w:tcPr>
                            <w:tcW w:w="504"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16.8</w:t>
                            </w:r>
                          </w:p>
                        </w:tc>
                        <w:tc>
                          <w:tcPr>
                            <w:tcW w:w="480"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16.4</w:t>
                            </w:r>
                          </w:p>
                        </w:tc>
                        <w:tc>
                          <w:tcPr>
                            <w:tcW w:w="466" w:type="dxa"/>
                            <w:shd w:val="clear" w:color="auto" w:fill="FFFFFF"/>
                            <w:vAlign w:val="bottom"/>
                          </w:tcPr>
                          <w:p w:rsidR="00500724" w:rsidRDefault="00F30FB8">
                            <w:pPr>
                              <w:pStyle w:val="Jin0"/>
                              <w:shd w:val="clear" w:color="auto" w:fill="auto"/>
                              <w:ind w:firstLine="0"/>
                              <w:jc w:val="left"/>
                              <w:rPr>
                                <w:sz w:val="20"/>
                                <w:szCs w:val="20"/>
                              </w:rPr>
                            </w:pPr>
                            <w:r>
                              <w:rPr>
                                <w:sz w:val="20"/>
                                <w:szCs w:val="20"/>
                              </w:rPr>
                              <w:t>16.6</w:t>
                            </w:r>
                          </w:p>
                        </w:tc>
                        <w:tc>
                          <w:tcPr>
                            <w:tcW w:w="490" w:type="dxa"/>
                            <w:shd w:val="clear" w:color="auto" w:fill="FFFFFF"/>
                            <w:vAlign w:val="bottom"/>
                          </w:tcPr>
                          <w:p w:rsidR="00500724" w:rsidRDefault="00F30FB8">
                            <w:pPr>
                              <w:pStyle w:val="Jin0"/>
                              <w:shd w:val="clear" w:color="auto" w:fill="auto"/>
                              <w:ind w:firstLine="0"/>
                              <w:jc w:val="right"/>
                              <w:rPr>
                                <w:sz w:val="20"/>
                                <w:szCs w:val="20"/>
                              </w:rPr>
                            </w:pPr>
                            <w:r>
                              <w:rPr>
                                <w:sz w:val="20"/>
                                <w:szCs w:val="20"/>
                              </w:rPr>
                              <w:t>17.1</w:t>
                            </w:r>
                          </w:p>
                        </w:tc>
                        <w:tc>
                          <w:tcPr>
                            <w:tcW w:w="44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73"/>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Argentina</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38.0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31.1</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27.9</w:t>
                            </w:r>
                          </w:p>
                        </w:tc>
                        <w:tc>
                          <w:tcPr>
                            <w:tcW w:w="461" w:type="dxa"/>
                            <w:shd w:val="clear" w:color="auto" w:fill="FFFFFF"/>
                            <w:vAlign w:val="bottom"/>
                          </w:tcPr>
                          <w:p w:rsidR="00500724" w:rsidRDefault="00F30FB8">
                            <w:pPr>
                              <w:pStyle w:val="Jin0"/>
                              <w:shd w:val="clear" w:color="auto" w:fill="auto"/>
                              <w:ind w:firstLine="0"/>
                              <w:jc w:val="left"/>
                              <w:rPr>
                                <w:sz w:val="20"/>
                                <w:szCs w:val="20"/>
                              </w:rPr>
                            </w:pPr>
                            <w:r>
                              <w:rPr>
                                <w:sz w:val="20"/>
                                <w:szCs w:val="20"/>
                              </w:rPr>
                              <w:t>26.1</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25.5</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25.4</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24.4</w:t>
                            </w:r>
                          </w:p>
                        </w:tc>
                        <w:tc>
                          <w:tcPr>
                            <w:tcW w:w="442" w:type="dxa"/>
                            <w:shd w:val="clear" w:color="auto" w:fill="FFFFFF"/>
                          </w:tcPr>
                          <w:p w:rsidR="00500724" w:rsidRDefault="00F30FB8">
                            <w:pPr>
                              <w:pStyle w:val="Jin0"/>
                              <w:shd w:val="clear" w:color="auto" w:fill="auto"/>
                              <w:ind w:firstLine="0"/>
                              <w:jc w:val="right"/>
                              <w:rPr>
                                <w:sz w:val="22"/>
                                <w:szCs w:val="22"/>
                              </w:rPr>
                            </w:pPr>
                            <w:r>
                              <w:rPr>
                                <w:sz w:val="22"/>
                                <w:szCs w:val="22"/>
                              </w:rPr>
                              <w:t>24.0</w:t>
                            </w:r>
                          </w:p>
                        </w:tc>
                      </w:tr>
                      <w:tr w:rsidR="00500724">
                        <w:tblPrEx>
                          <w:tblCellMar>
                            <w:top w:w="0" w:type="dxa"/>
                            <w:bottom w:w="0" w:type="dxa"/>
                          </w:tblCellMar>
                        </w:tblPrEx>
                        <w:trPr>
                          <w:trHeight w:hRule="exact" w:val="168"/>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Japonsko</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33.0</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34.1</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32.9</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31.6</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29.9</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31.6</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29.9</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r w:rsidR="00500724">
                        <w:tblPrEx>
                          <w:tblCellMar>
                            <w:top w:w="0" w:type="dxa"/>
                            <w:bottom w:w="0" w:type="dxa"/>
                          </w:tblCellMar>
                        </w:tblPrEx>
                        <w:trPr>
                          <w:trHeight w:hRule="exact" w:val="192"/>
                        </w:trPr>
                        <w:tc>
                          <w:tcPr>
                            <w:tcW w:w="1248" w:type="dxa"/>
                            <w:shd w:val="clear" w:color="auto" w:fill="FFFFFF"/>
                          </w:tcPr>
                          <w:p w:rsidR="00500724" w:rsidRDefault="00F30FB8">
                            <w:pPr>
                              <w:pStyle w:val="Jin0"/>
                              <w:shd w:val="clear" w:color="auto" w:fill="auto"/>
                              <w:ind w:firstLine="0"/>
                              <w:jc w:val="left"/>
                              <w:rPr>
                                <w:sz w:val="20"/>
                                <w:szCs w:val="20"/>
                              </w:rPr>
                            </w:pPr>
                            <w:r>
                              <w:rPr>
                                <w:sz w:val="20"/>
                                <w:szCs w:val="20"/>
                              </w:rPr>
                              <w:t>Brit. Indie</w:t>
                            </w:r>
                          </w:p>
                        </w:tc>
                        <w:tc>
                          <w:tcPr>
                            <w:tcW w:w="499" w:type="dxa"/>
                            <w:shd w:val="clear" w:color="auto" w:fill="FFFFFF"/>
                          </w:tcPr>
                          <w:p w:rsidR="00500724" w:rsidRDefault="00F30FB8">
                            <w:pPr>
                              <w:pStyle w:val="Jin0"/>
                              <w:shd w:val="clear" w:color="auto" w:fill="auto"/>
                              <w:ind w:firstLine="0"/>
                              <w:jc w:val="left"/>
                              <w:rPr>
                                <w:sz w:val="20"/>
                                <w:szCs w:val="20"/>
                              </w:rPr>
                            </w:pPr>
                            <w:r>
                              <w:rPr>
                                <w:sz w:val="20"/>
                                <w:szCs w:val="20"/>
                              </w:rPr>
                              <w:t>39.4</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34.0</w:t>
                            </w:r>
                          </w:p>
                        </w:tc>
                        <w:tc>
                          <w:tcPr>
                            <w:tcW w:w="504" w:type="dxa"/>
                            <w:shd w:val="clear" w:color="auto" w:fill="FFFFFF"/>
                          </w:tcPr>
                          <w:p w:rsidR="00500724" w:rsidRDefault="00F30FB8">
                            <w:pPr>
                              <w:pStyle w:val="Jin0"/>
                              <w:shd w:val="clear" w:color="auto" w:fill="auto"/>
                              <w:ind w:firstLine="0"/>
                              <w:jc w:val="left"/>
                              <w:rPr>
                                <w:sz w:val="20"/>
                                <w:szCs w:val="20"/>
                              </w:rPr>
                            </w:pPr>
                            <w:r>
                              <w:rPr>
                                <w:sz w:val="20"/>
                                <w:szCs w:val="20"/>
                              </w:rPr>
                              <w:t>33.3</w:t>
                            </w:r>
                          </w:p>
                        </w:tc>
                        <w:tc>
                          <w:tcPr>
                            <w:tcW w:w="461" w:type="dxa"/>
                            <w:shd w:val="clear" w:color="auto" w:fill="FFFFFF"/>
                          </w:tcPr>
                          <w:p w:rsidR="00500724" w:rsidRDefault="00F30FB8">
                            <w:pPr>
                              <w:pStyle w:val="Jin0"/>
                              <w:shd w:val="clear" w:color="auto" w:fill="auto"/>
                              <w:ind w:firstLine="0"/>
                              <w:jc w:val="left"/>
                              <w:rPr>
                                <w:sz w:val="20"/>
                                <w:szCs w:val="20"/>
                              </w:rPr>
                            </w:pPr>
                            <w:r>
                              <w:rPr>
                                <w:sz w:val="20"/>
                                <w:szCs w:val="20"/>
                              </w:rPr>
                              <w:t>85.5</w:t>
                            </w:r>
                          </w:p>
                        </w:tc>
                        <w:tc>
                          <w:tcPr>
                            <w:tcW w:w="480" w:type="dxa"/>
                            <w:shd w:val="clear" w:color="auto" w:fill="FFFFFF"/>
                          </w:tcPr>
                          <w:p w:rsidR="00500724" w:rsidRDefault="00F30FB8">
                            <w:pPr>
                              <w:pStyle w:val="Jin0"/>
                              <w:shd w:val="clear" w:color="auto" w:fill="auto"/>
                              <w:ind w:firstLine="0"/>
                              <w:jc w:val="left"/>
                              <w:rPr>
                                <w:sz w:val="20"/>
                                <w:szCs w:val="20"/>
                              </w:rPr>
                            </w:pPr>
                            <w:r>
                              <w:rPr>
                                <w:sz w:val="20"/>
                                <w:szCs w:val="20"/>
                              </w:rPr>
                              <w:t>33.7</w:t>
                            </w:r>
                          </w:p>
                        </w:tc>
                        <w:tc>
                          <w:tcPr>
                            <w:tcW w:w="466" w:type="dxa"/>
                            <w:shd w:val="clear" w:color="auto" w:fill="FFFFFF"/>
                          </w:tcPr>
                          <w:p w:rsidR="00500724" w:rsidRDefault="00F30FB8">
                            <w:pPr>
                              <w:pStyle w:val="Jin0"/>
                              <w:shd w:val="clear" w:color="auto" w:fill="auto"/>
                              <w:ind w:firstLine="0"/>
                              <w:jc w:val="left"/>
                              <w:rPr>
                                <w:sz w:val="20"/>
                                <w:szCs w:val="20"/>
                              </w:rPr>
                            </w:pPr>
                            <w:r>
                              <w:rPr>
                                <w:sz w:val="20"/>
                                <w:szCs w:val="20"/>
                              </w:rPr>
                              <w:t>34.0</w:t>
                            </w:r>
                          </w:p>
                        </w:tc>
                        <w:tc>
                          <w:tcPr>
                            <w:tcW w:w="490" w:type="dxa"/>
                            <w:shd w:val="clear" w:color="auto" w:fill="FFFFFF"/>
                          </w:tcPr>
                          <w:p w:rsidR="00500724" w:rsidRDefault="00F30FB8">
                            <w:pPr>
                              <w:pStyle w:val="Jin0"/>
                              <w:shd w:val="clear" w:color="auto" w:fill="auto"/>
                              <w:ind w:firstLine="0"/>
                              <w:jc w:val="right"/>
                              <w:rPr>
                                <w:sz w:val="20"/>
                                <w:szCs w:val="20"/>
                              </w:rPr>
                            </w:pPr>
                            <w:r>
                              <w:rPr>
                                <w:sz w:val="20"/>
                                <w:szCs w:val="20"/>
                              </w:rPr>
                              <w:t>35.4</w:t>
                            </w:r>
                          </w:p>
                        </w:tc>
                        <w:tc>
                          <w:tcPr>
                            <w:tcW w:w="442" w:type="dxa"/>
                            <w:shd w:val="clear" w:color="auto" w:fill="FFFFFF"/>
                          </w:tcPr>
                          <w:p w:rsidR="00500724" w:rsidRDefault="00F30FB8">
                            <w:pPr>
                              <w:pStyle w:val="Jin0"/>
                              <w:shd w:val="clear" w:color="auto" w:fill="auto"/>
                              <w:ind w:firstLine="0"/>
                              <w:jc w:val="right"/>
                              <w:rPr>
                                <w:sz w:val="20"/>
                                <w:szCs w:val="20"/>
                              </w:rPr>
                            </w:pPr>
                            <w:r>
                              <w:rPr>
                                <w:sz w:val="20"/>
                                <w:szCs w:val="20"/>
                              </w:rPr>
                              <w:t>—</w:t>
                            </w:r>
                          </w:p>
                        </w:tc>
                      </w:tr>
                    </w:tbl>
                    <w:p w:rsidR="00000000" w:rsidRDefault="00F30FB8"/>
                  </w:txbxContent>
                </v:textbox>
                <w10:wrap type="topAndBottom" anchorx="page"/>
              </v:shape>
            </w:pict>
          </mc:Fallback>
        </mc:AlternateContent>
      </w:r>
      <w:r>
        <w:rPr>
          <w:noProof/>
        </w:rPr>
        <mc:AlternateContent>
          <mc:Choice Requires="wps">
            <w:drawing>
              <wp:anchor distT="0" distB="0" distL="0" distR="0" simplePos="0" relativeHeight="125829782" behindDoc="0" locked="0" layoutInCell="1" allowOverlap="1">
                <wp:simplePos x="0" y="0"/>
                <wp:positionH relativeFrom="page">
                  <wp:posOffset>5260975</wp:posOffset>
                </wp:positionH>
                <wp:positionV relativeFrom="paragraph">
                  <wp:posOffset>8808720</wp:posOffset>
                </wp:positionV>
                <wp:extent cx="1752600" cy="173990"/>
                <wp:effectExtent l="0" t="0" r="0" b="0"/>
                <wp:wrapTopAndBottom/>
                <wp:docPr id="405" name="Shape 405"/>
                <wp:cNvGraphicFramePr/>
                <a:graphic xmlns:a="http://schemas.openxmlformats.org/drawingml/2006/main">
                  <a:graphicData uri="http://schemas.microsoft.com/office/word/2010/wordprocessingShape">
                    <wps:wsp>
                      <wps:cNvSpPr txBox="1"/>
                      <wps:spPr>
                        <a:xfrm>
                          <a:off x="0" y="0"/>
                          <a:ext cx="1752600" cy="173990"/>
                        </a:xfrm>
                        <a:prstGeom prst="rect">
                          <a:avLst/>
                        </a:prstGeom>
                        <a:noFill/>
                      </wps:spPr>
                      <wps:txbx>
                        <w:txbxContent>
                          <w:p w:rsidR="00500724" w:rsidRDefault="00F30FB8">
                            <w:pPr>
                              <w:pStyle w:val="Titulektabulky0"/>
                              <w:shd w:val="clear" w:color="auto" w:fill="auto"/>
                              <w:jc w:val="left"/>
                              <w:rPr>
                                <w:sz w:val="20"/>
                                <w:szCs w:val="20"/>
                              </w:rPr>
                            </w:pPr>
                            <w:r>
                              <w:rPr>
                                <w:b w:val="0"/>
                                <w:bCs w:val="0"/>
                                <w:sz w:val="20"/>
                                <w:szCs w:val="20"/>
                              </w:rPr>
                              <w:t>Podle Zpráv Společnosti národů*</w:t>
                            </w:r>
                          </w:p>
                        </w:txbxContent>
                      </wps:txbx>
                      <wps:bodyPr lIns="0" tIns="0" rIns="0" bIns="0">
                        <a:spAutoFit/>
                      </wps:bodyPr>
                    </wps:wsp>
                  </a:graphicData>
                </a:graphic>
              </wp:anchor>
            </w:drawing>
          </mc:Choice>
          <mc:Fallback>
            <w:pict>
              <v:shape id="_x0000_s1431" type="#_x0000_t202" style="position:absolute;margin-left:414.25pt;margin-top:693.60000000000002pt;width:138.pt;height:13.699999999999999pt;z-index:-125828971;mso-wrap-distance-left:0;mso-wrap-distance-right:0;mso-position-horizontal-relative:page" filled="f" stroked="f">
                <v:textbox style="mso-fit-shape-to-text:t" inset="0,0,0,0">
                  <w:txbxContent>
                    <w:p>
                      <w:pPr>
                        <w:pStyle w:val="Style206"/>
                        <w:keepNext w:val="0"/>
                        <w:keepLines w:val="0"/>
                        <w:widowControl w:val="0"/>
                        <w:shd w:val="clear" w:color="auto" w:fill="auto"/>
                        <w:bidi w:val="0"/>
                        <w:spacing w:before="0" w:after="0" w:line="240" w:lineRule="auto"/>
                        <w:ind w:left="0" w:right="0" w:firstLine="0"/>
                        <w:jc w:val="left"/>
                        <w:rPr>
                          <w:sz w:val="20"/>
                          <w:szCs w:val="20"/>
                        </w:rPr>
                      </w:pPr>
                      <w:r>
                        <w:rPr>
                          <w:b w:val="0"/>
                          <w:bCs w:val="0"/>
                          <w:color w:val="000000"/>
                          <w:spacing w:val="0"/>
                          <w:w w:val="100"/>
                          <w:position w:val="0"/>
                          <w:sz w:val="20"/>
                          <w:szCs w:val="20"/>
                          <w:shd w:val="clear" w:color="auto" w:fill="auto"/>
                          <w:lang w:val="cs-CZ" w:eastAsia="cs-CZ" w:bidi="cs-CZ"/>
                        </w:rPr>
                        <w:t>Podle Zpráv Společnosti národů*</w:t>
                      </w:r>
                    </w:p>
                  </w:txbxContent>
                </v:textbox>
                <w10:wrap type="topAndBottom" anchorx="page"/>
              </v:shape>
            </w:pict>
          </mc:Fallback>
        </mc:AlternateContent>
      </w:r>
    </w:p>
    <w:p w:rsidR="00500724" w:rsidRDefault="00F30FB8">
      <w:pPr>
        <w:pStyle w:val="Zkladntext100"/>
        <w:numPr>
          <w:ilvl w:val="0"/>
          <w:numId w:val="43"/>
        </w:numPr>
        <w:shd w:val="clear" w:color="auto" w:fill="auto"/>
        <w:tabs>
          <w:tab w:val="left" w:pos="255"/>
        </w:tabs>
        <w:spacing w:line="218" w:lineRule="auto"/>
        <w:ind w:firstLine="0"/>
      </w:pPr>
      <w:r>
        <w:t>r. 1937 již 25% světového obyvatelstva. Severní Ame</w:t>
      </w:r>
      <w:r>
        <w:softHyphen/>
      </w:r>
      <w:r>
        <w:t xml:space="preserve">rika, která měla v r. 1650 0.2% světové populace, zvětšila svůj podíl na 7%, čili zvětšila tento podíl pětatřicetkrát. Asie, která měla r. 1650 61% světového obyvatelstva, </w:t>
      </w:r>
      <w:r>
        <w:rPr>
          <w:sz w:val="20"/>
          <w:szCs w:val="20"/>
        </w:rPr>
        <w:t>klesla na 54%, přes to, že zůstává daleko největším lid</w:t>
      </w:r>
      <w:r>
        <w:rPr>
          <w:sz w:val="20"/>
          <w:szCs w:val="20"/>
        </w:rPr>
        <w:softHyphen/>
      </w:r>
      <w:r>
        <w:t>ským reservoirem. Afrika, kt</w:t>
      </w:r>
      <w:r>
        <w:t>erá měla r. 1650 18%, zmen</w:t>
      </w:r>
      <w:r>
        <w:softHyphen/>
        <w:t>šila tento počet na pouhých 7%. Ač absolutně vzrostla, ztratila nesmírně proti ostatním kontinentům. Je zajímavo, že Afrika jediná vykazuje tento ohromný populační defi</w:t>
      </w:r>
      <w:r>
        <w:softHyphen/>
        <w:t>cit a že stojí zcela stranou populační laviny 18. a 19. sto</w:t>
      </w:r>
      <w:r>
        <w:softHyphen/>
      </w:r>
      <w:r>
        <w:t xml:space="preserve">letí. Profesor </w:t>
      </w:r>
      <w:r>
        <w:rPr>
          <w:lang w:val="en-US" w:eastAsia="en-US" w:bidi="en-US"/>
        </w:rPr>
        <w:t xml:space="preserve">Pearl, </w:t>
      </w:r>
      <w:r>
        <w:t>hledající národ, jehož populační vý</w:t>
      </w:r>
      <w:r>
        <w:softHyphen/>
        <w:t>voj byl již ukončen, našel jej právě v tomto dílu světa. Díl světa, jehož růst dosáhl za poslední století téměř po</w:t>
      </w:r>
      <w:r>
        <w:softHyphen/>
        <w:t>hádkových rozměrů, je Severní Amerika. Hned po ní jdou Evropa se Střední a Jižní Am</w:t>
      </w:r>
      <w:r>
        <w:t>erikou.</w:t>
      </w:r>
    </w:p>
    <w:p w:rsidR="00500724" w:rsidRDefault="00F30FB8">
      <w:pPr>
        <w:pStyle w:val="Zkladntext100"/>
        <w:shd w:val="clear" w:color="auto" w:fill="auto"/>
        <w:spacing w:line="211" w:lineRule="auto"/>
        <w:ind w:firstLine="0"/>
      </w:pPr>
      <w:r>
        <w:rPr>
          <w:b/>
          <w:bCs/>
          <w:sz w:val="19"/>
          <w:szCs w:val="19"/>
        </w:rPr>
        <w:t xml:space="preserve">i </w:t>
      </w:r>
      <w:r>
        <w:t>Jak jet os »barevným nebezpečími</w:t>
      </w:r>
    </w:p>
    <w:p w:rsidR="00500724" w:rsidRDefault="00F30FB8">
      <w:pPr>
        <w:pStyle w:val="Zkladntext100"/>
        <w:shd w:val="clear" w:color="auto" w:fill="auto"/>
        <w:spacing w:line="221" w:lineRule="auto"/>
        <w:ind w:firstLine="240"/>
      </w:pPr>
      <w:r>
        <w:t>Trvalý populační růst počíná v Evropě kolem r. 1700.</w:t>
      </w:r>
    </w:p>
    <w:p w:rsidR="00500724" w:rsidRDefault="00F30FB8">
      <w:pPr>
        <w:pStyle w:val="Zkladntext100"/>
        <w:numPr>
          <w:ilvl w:val="0"/>
          <w:numId w:val="43"/>
        </w:numPr>
        <w:shd w:val="clear" w:color="auto" w:fill="auto"/>
        <w:tabs>
          <w:tab w:val="left" w:pos="284"/>
        </w:tabs>
        <w:spacing w:after="2240" w:line="218" w:lineRule="auto"/>
        <w:ind w:firstLine="0"/>
      </w:pPr>
      <w:r>
        <w:t xml:space="preserve">Asii rostlo obyvatelstvo Japonska již od roku 1680 </w:t>
      </w:r>
      <w:r>
        <w:rPr>
          <w:sz w:val="20"/>
          <w:szCs w:val="20"/>
        </w:rPr>
        <w:t xml:space="preserve">a </w:t>
      </w:r>
      <w:r>
        <w:t>podobný pohyb možno pozorovati i v Číně. Jinak se však zdá, že populační růst v ostatních částech světa byl</w:t>
      </w:r>
      <w:r>
        <w:t xml:space="preserve"> pozdějšího data než v Evropě a zřejmě byl evrop</w:t>
      </w:r>
      <w:r>
        <w:softHyphen/>
        <w:t xml:space="preserve">ským vývojem velmi ovlivňován. Pokud jde o poměrné úbytky či přírůstky, vykazuje zase daleko největší zisk bílá rasa. Nebof až žlutá rasa absolutně velmi získala, jest její poměrný podíl na světové populaci </w:t>
      </w:r>
      <w:r>
        <w:t>asi stejný jako v roce 1680. V tomto směru není tedy třeba přece</w:t>
      </w:r>
      <w:r>
        <w:softHyphen/>
        <w:t>ňovali &gt;žluté nebezpečíi, jak se to často činí. Černoši vykazují velké početní ztráty, nebof tvořili jednu pětinu světové populace a dnes sotva jednu patnáctinu. Jest důležité uvědomiti si tu</w:t>
      </w:r>
      <w:r>
        <w:t>to skutečnost, nebof stále se obje</w:t>
      </w:r>
      <w:r>
        <w:softHyphen/>
        <w:t xml:space="preserve">vuje tvrzení, že černošská rasa vykazuje na příklad ve Spojených Státech vyšší natalitu než běloši. Různé hlasy poukazují na nebezpečí, plynoucí pro bělošskou kulturu </w:t>
      </w:r>
      <w:r>
        <w:rPr>
          <w:b/>
          <w:bCs/>
          <w:sz w:val="19"/>
          <w:szCs w:val="19"/>
        </w:rPr>
        <w:t xml:space="preserve">z </w:t>
      </w:r>
      <w:r>
        <w:t xml:space="preserve">rostoucího negerského živlu v Americe. Je jisto, že </w:t>
      </w:r>
      <w:r>
        <w:t>počet negrů ve Spojených Státech absolutně velmi vzrostl, avšak přes to zůstal daleko za růstem bílého obyvatel</w:t>
      </w:r>
      <w:r>
        <w:softHyphen/>
        <w:t>stva, jak je na příklad zřejmo z této tabulky:</w:t>
      </w:r>
    </w:p>
    <w:p w:rsidR="00500724" w:rsidRDefault="00F30FB8">
      <w:pPr>
        <w:pStyle w:val="Zkladntext100"/>
        <w:shd w:val="clear" w:color="auto" w:fill="auto"/>
        <w:spacing w:line="223" w:lineRule="auto"/>
        <w:ind w:firstLine="240"/>
        <w:rPr>
          <w:sz w:val="20"/>
          <w:szCs w:val="20"/>
        </w:rPr>
      </w:pPr>
      <w:r>
        <w:t>Negři ve Spojených Státech vzrostli sice od r. 1790 do í. 1930 patnáctkrát, ale počet bílých se z</w:t>
      </w:r>
      <w:r>
        <w:t xml:space="preserve">většil fřicetětyři- krát. Burgdórfer ukazuje sice správně na </w:t>
      </w:r>
      <w:r>
        <w:rPr>
          <w:lang w:val="en-US" w:eastAsia="en-US" w:bidi="en-US"/>
        </w:rPr>
        <w:t xml:space="preserve">to, </w:t>
      </w:r>
      <w:r>
        <w:t>že pro bělo</w:t>
      </w:r>
      <w:r>
        <w:softHyphen/>
        <w:t>chy pracovalo nesmírné přistěhovalectví. Přece však ne</w:t>
      </w:r>
      <w:r>
        <w:softHyphen/>
        <w:t>lze onen veliký rozdíl převést pouze na imigraci. Bur- dórfer uvádí ve zvláštní tabulce cifry o pronikání negrů do severoame</w:t>
      </w:r>
      <w:r>
        <w:t>rických velkoměst. Tento úkaz nepovažuji naprosto za znepokojující. Do nedávná byly téměř čtyři pětiny negrů na poměrně malém prostoru, sahajícím od jižní Virginie k východnímu Texasu a známému pode jménem íbavlněný pruh«. Nedávno však nastalo hro</w:t>
      </w:r>
      <w:r>
        <w:softHyphen/>
        <w:t>madné st</w:t>
      </w:r>
      <w:r>
        <w:t xml:space="preserve">ěhování negrů </w:t>
      </w:r>
      <w:r>
        <w:rPr>
          <w:sz w:val="20"/>
          <w:szCs w:val="20"/>
        </w:rPr>
        <w:t xml:space="preserve">z </w:t>
      </w:r>
      <w:r>
        <w:t>léto krajiny do severoameric</w:t>
      </w:r>
      <w:r>
        <w:softHyphen/>
        <w:t>kých velkoměst. Odchodem negrů z těchto území vysvět</w:t>
      </w:r>
      <w:r>
        <w:softHyphen/>
        <w:t xml:space="preserve">luje se, že </w:t>
      </w:r>
      <w:r>
        <w:rPr>
          <w:sz w:val="20"/>
          <w:szCs w:val="20"/>
        </w:rPr>
        <w:t xml:space="preserve">r. 1890 </w:t>
      </w:r>
      <w:r>
        <w:t xml:space="preserve">měla severní města, čítající nad </w:t>
      </w:r>
      <w:r>
        <w:rPr>
          <w:sz w:val="20"/>
          <w:szCs w:val="20"/>
        </w:rPr>
        <w:t>100.000</w:t>
      </w:r>
    </w:p>
    <w:p w:rsidR="00500724" w:rsidRDefault="00F30FB8">
      <w:pPr>
        <w:pStyle w:val="Zkladntext100"/>
        <w:shd w:val="clear" w:color="auto" w:fill="auto"/>
        <w:spacing w:line="223" w:lineRule="auto"/>
        <w:ind w:firstLine="0"/>
      </w:pPr>
      <w:r>
        <w:t>obyvatel, jen 2% negrů z oelé země, kdežto roku 1930 jich mají 12%. Stěhování negrů do měst zname</w:t>
      </w:r>
      <w:r>
        <w:t xml:space="preserve">ná však jejich urbanisaci se všemi důsledky pro porodnost. </w:t>
      </w:r>
      <w:r>
        <w:rPr>
          <w:b/>
          <w:bCs/>
          <w:sz w:val="19"/>
          <w:szCs w:val="19"/>
        </w:rPr>
        <w:t xml:space="preserve">Je </w:t>
      </w:r>
      <w:r>
        <w:t xml:space="preserve">možno proto spíše očekávat, že natalitní míry negrů </w:t>
      </w:r>
      <w:r>
        <w:rPr>
          <w:b/>
          <w:bCs/>
          <w:sz w:val="19"/>
          <w:szCs w:val="19"/>
        </w:rPr>
        <w:t xml:space="preserve">se </w:t>
      </w:r>
      <w:r>
        <w:t>budou mírně snižovat, jelikož jejich počet na venkově klesl z 80.6% r. 1890 na 56.3% r. 1930. Jediný fakt, o kte</w:t>
      </w:r>
      <w:r>
        <w:softHyphen/>
        <w:t>rý může Burgdórfer opírali</w:t>
      </w:r>
      <w:r>
        <w:t xml:space="preserve"> své tvrzení o nebezpečí, hro</w:t>
      </w:r>
      <w:r>
        <w:softHyphen/>
        <w:t>zícím bílé rase v Americe, je ten, že přírůstek v údobí 1920 až 1930 činil u bílého obyvatelstva 13.5%, kdežto u negrů 13.6%. Zdá se mi však, že toto je spíše důkazem skutečnosti, že přirozené natalitní míry bílého i černého o</w:t>
      </w:r>
      <w:r>
        <w:t>byvatelstva v Americe směřují k vyrovnání na stejně nízkém základě, nejsou-li rušeny přistěhovalectvím.</w:t>
      </w:r>
    </w:p>
    <w:p w:rsidR="00500724" w:rsidRDefault="00F30FB8">
      <w:pPr>
        <w:pStyle w:val="Zkladntext100"/>
        <w:shd w:val="clear" w:color="auto" w:fill="auto"/>
        <w:spacing w:after="2200" w:line="221" w:lineRule="auto"/>
        <w:ind w:firstLine="220"/>
      </w:pPr>
      <w:r>
        <w:t>Rudá rasa, která měla r. 1650 kolem 13 milionů, vzrostla na pouhých 20 milionů. A přece se Burgdórfer domnívá, že v zemích Střední a Jižní Ameriky stojí</w:t>
      </w:r>
      <w:r>
        <w:t xml:space="preserve"> rudá rasa na za</w:t>
      </w:r>
      <w:r>
        <w:softHyphen/>
        <w:t>čátku vítězného výboje. Spengler tvrdí dokonce, že v krát</w:t>
      </w:r>
      <w:r>
        <w:softHyphen/>
        <w:t xml:space="preserve">ké době nastoupí čisté indiánské panství nad Střední </w:t>
      </w:r>
      <w:r>
        <w:rPr>
          <w:b/>
          <w:bCs/>
          <w:sz w:val="19"/>
          <w:szCs w:val="19"/>
        </w:rPr>
        <w:t xml:space="preserve">a </w:t>
      </w:r>
      <w:r>
        <w:t xml:space="preserve">Jižní Amerikou. Podívejme se stručně na zastoupení bílá </w:t>
      </w:r>
      <w:r>
        <w:rPr>
          <w:b/>
          <w:bCs/>
          <w:sz w:val="19"/>
          <w:szCs w:val="19"/>
        </w:rPr>
        <w:t xml:space="preserve">a </w:t>
      </w:r>
      <w:r>
        <w:t>barevné rasy ve Střední a Jižní Americe a pak na její porodnost. Ras</w:t>
      </w:r>
      <w:r>
        <w:t>ové rozvrstvení:</w:t>
      </w:r>
    </w:p>
    <w:p w:rsidR="00500724" w:rsidRDefault="00F30FB8">
      <w:pPr>
        <w:pStyle w:val="Zkladntext100"/>
        <w:shd w:val="clear" w:color="auto" w:fill="auto"/>
        <w:spacing w:line="223" w:lineRule="auto"/>
        <w:ind w:firstLine="0"/>
      </w:pPr>
      <w:r>
        <w:t>Je pravda, že rudá rasa vykazuje v latinské Americe větší porodnost, avšak tento rozdíl není tak značný a státy, kde mají rudí převahu, jsou většinou malé.</w:t>
      </w:r>
    </w:p>
    <w:p w:rsidR="00500724" w:rsidRDefault="00F30FB8">
      <w:pPr>
        <w:pStyle w:val="Zkladntext100"/>
        <w:shd w:val="clear" w:color="auto" w:fill="auto"/>
        <w:spacing w:line="254" w:lineRule="auto"/>
        <w:ind w:firstLine="220"/>
        <w:jc w:val="left"/>
      </w:pPr>
      <w:r>
        <w:t>Středem kultury a civilisace stávají se státy bílé. Popu</w:t>
      </w:r>
      <w:r>
        <w:softHyphen/>
        <w:t xml:space="preserve">lační vlna devatenáctého </w:t>
      </w:r>
      <w:r>
        <w:t>století je v podstatě ohromnou expansí bílé rasy,</w:t>
      </w:r>
    </w:p>
    <w:p w:rsidR="00500724" w:rsidRDefault="00F30FB8">
      <w:pPr>
        <w:pStyle w:val="Zkladntext100"/>
        <w:shd w:val="clear" w:color="auto" w:fill="auto"/>
        <w:spacing w:line="221" w:lineRule="auto"/>
        <w:ind w:firstLine="0"/>
      </w:pPr>
      <w:r>
        <w:t>jež nemá příkladu v dějinách. Bílá rasa přichází v tomto století svou plodností na první místo mezi národy světa.</w:t>
      </w:r>
    </w:p>
    <w:p w:rsidR="00500724" w:rsidRDefault="00F30FB8">
      <w:pPr>
        <w:pStyle w:val="Zkladntext100"/>
        <w:shd w:val="clear" w:color="auto" w:fill="auto"/>
        <w:spacing w:line="221" w:lineRule="auto"/>
        <w:ind w:firstLine="220"/>
      </w:pPr>
      <w:r>
        <w:t>Pro přehled uvedeme několik dat o populačním růstu některých států v poslední době.</w:t>
      </w:r>
    </w:p>
    <w:p w:rsidR="00500724" w:rsidRDefault="00F30FB8">
      <w:pPr>
        <w:pStyle w:val="Zkladntext20"/>
        <w:shd w:val="clear" w:color="auto" w:fill="auto"/>
        <w:spacing w:line="240" w:lineRule="auto"/>
        <w:ind w:left="1920" w:firstLine="0"/>
        <w:jc w:val="left"/>
        <w:rPr>
          <w:sz w:val="20"/>
          <w:szCs w:val="20"/>
        </w:rPr>
        <w:sectPr w:rsidR="00500724">
          <w:footnotePr>
            <w:numFmt w:val="chicago"/>
            <w:numRestart w:val="eachPage"/>
          </w:footnotePr>
          <w:type w:val="continuous"/>
          <w:pgSz w:w="11909" w:h="16834"/>
          <w:pgMar w:top="1688" w:right="869" w:bottom="408" w:left="701" w:header="0" w:footer="3" w:gutter="0"/>
          <w:cols w:num="2" w:space="163"/>
          <w:noEndnote/>
          <w:docGrid w:linePitch="360"/>
        </w:sectPr>
      </w:pPr>
      <w:r>
        <w:rPr>
          <w:sz w:val="20"/>
          <w:szCs w:val="20"/>
        </w:rPr>
        <w:t>Živě narozených 1000 obyvatel</w:t>
      </w:r>
    </w:p>
    <w:p w:rsidR="00500724" w:rsidRDefault="00500724">
      <w:pPr>
        <w:spacing w:before="99" w:after="99" w:line="240" w:lineRule="exact"/>
        <w:rPr>
          <w:sz w:val="19"/>
          <w:szCs w:val="19"/>
        </w:rPr>
      </w:pPr>
    </w:p>
    <w:p w:rsidR="00500724" w:rsidRDefault="00500724">
      <w:pPr>
        <w:spacing w:line="14" w:lineRule="exact"/>
        <w:sectPr w:rsidR="00500724">
          <w:footnotePr>
            <w:numFmt w:val="chicago"/>
            <w:numRestart w:val="eachPage"/>
          </w:footnotePr>
          <w:pgSz w:w="11909" w:h="16834"/>
          <w:pgMar w:top="1390" w:right="0" w:bottom="834" w:left="0" w:header="0" w:footer="3" w:gutter="0"/>
          <w:cols w:space="720"/>
          <w:noEndnote/>
          <w:docGrid w:linePitch="360"/>
        </w:sectPr>
      </w:pPr>
    </w:p>
    <w:p w:rsidR="00500724" w:rsidRDefault="00F30FB8">
      <w:pPr>
        <w:spacing w:line="14" w:lineRule="exact"/>
      </w:pPr>
      <w:r>
        <w:rPr>
          <w:noProof/>
        </w:rPr>
        <mc:AlternateContent>
          <mc:Choice Requires="wps">
            <w:drawing>
              <wp:anchor distT="250190" distB="0" distL="0" distR="0" simplePos="0" relativeHeight="125829784" behindDoc="0" locked="0" layoutInCell="1" allowOverlap="1">
                <wp:simplePos x="0" y="0"/>
                <wp:positionH relativeFrom="page">
                  <wp:posOffset>480695</wp:posOffset>
                </wp:positionH>
                <wp:positionV relativeFrom="paragraph">
                  <wp:posOffset>8482965</wp:posOffset>
                </wp:positionV>
                <wp:extent cx="6559550" cy="487680"/>
                <wp:effectExtent l="0" t="0" r="0" b="0"/>
                <wp:wrapTopAndBottom/>
                <wp:docPr id="407" name="Shape 407"/>
                <wp:cNvGraphicFramePr/>
                <a:graphic xmlns:a="http://schemas.openxmlformats.org/drawingml/2006/main">
                  <a:graphicData uri="http://schemas.microsoft.com/office/word/2010/wordprocessingShape">
                    <wps:wsp>
                      <wps:cNvSpPr txBox="1"/>
                      <wps:spPr>
                        <a:xfrm>
                          <a:off x="0" y="0"/>
                          <a:ext cx="6559550" cy="48768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869"/>
                              <w:gridCol w:w="470"/>
                              <w:gridCol w:w="571"/>
                              <w:gridCol w:w="499"/>
                              <w:gridCol w:w="595"/>
                              <w:gridCol w:w="504"/>
                              <w:gridCol w:w="576"/>
                              <w:gridCol w:w="494"/>
                              <w:gridCol w:w="576"/>
                              <w:gridCol w:w="2266"/>
                              <w:gridCol w:w="1080"/>
                              <w:gridCol w:w="955"/>
                              <w:gridCol w:w="874"/>
                            </w:tblGrid>
                            <w:tr w:rsidR="00500724">
                              <w:tblPrEx>
                                <w:tblCellMar>
                                  <w:top w:w="0" w:type="dxa"/>
                                  <w:bottom w:w="0" w:type="dxa"/>
                                </w:tblCellMar>
                              </w:tblPrEx>
                              <w:trPr>
                                <w:trHeight w:hRule="exact" w:val="221"/>
                                <w:tblHeader/>
                              </w:trPr>
                              <w:tc>
                                <w:tcPr>
                                  <w:tcW w:w="869" w:type="dxa"/>
                                  <w:shd w:val="clear" w:color="auto" w:fill="FFFFFF"/>
                                </w:tcPr>
                                <w:p w:rsidR="00500724" w:rsidRDefault="00500724">
                                  <w:pPr>
                                    <w:rPr>
                                      <w:sz w:val="10"/>
                                      <w:szCs w:val="10"/>
                                    </w:rPr>
                                  </w:pPr>
                                </w:p>
                              </w:tc>
                              <w:tc>
                                <w:tcPr>
                                  <w:tcW w:w="47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71" w:type="dxa"/>
                                  <w:shd w:val="clear" w:color="auto" w:fill="FFFFFF"/>
                                  <w:vAlign w:val="bottom"/>
                                </w:tcPr>
                                <w:p w:rsidR="00500724" w:rsidRDefault="00F30FB8">
                                  <w:pPr>
                                    <w:pStyle w:val="Jin0"/>
                                    <w:shd w:val="clear" w:color="auto" w:fill="auto"/>
                                    <w:ind w:left="40" w:firstLine="0"/>
                                    <w:jc w:val="center"/>
                                    <w:rPr>
                                      <w:sz w:val="18"/>
                                      <w:szCs w:val="18"/>
                                    </w:rPr>
                                  </w:pPr>
                                  <w:r>
                                    <w:rPr>
                                      <w:sz w:val="18"/>
                                      <w:szCs w:val="18"/>
                                    </w:rPr>
                                    <w:t>proč.</w:t>
                                  </w:r>
                                </w:p>
                              </w:tc>
                              <w:tc>
                                <w:tcPr>
                                  <w:tcW w:w="499"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95" w:type="dxa"/>
                                  <w:shd w:val="clear" w:color="auto" w:fill="FFFFFF"/>
                                  <w:vAlign w:val="bottom"/>
                                </w:tcPr>
                                <w:p w:rsidR="00500724" w:rsidRDefault="00F30FB8">
                                  <w:pPr>
                                    <w:pStyle w:val="Jin0"/>
                                    <w:shd w:val="clear" w:color="auto" w:fill="auto"/>
                                    <w:ind w:left="20" w:firstLine="0"/>
                                    <w:jc w:val="center"/>
                                    <w:rPr>
                                      <w:sz w:val="18"/>
                                      <w:szCs w:val="18"/>
                                    </w:rPr>
                                  </w:pPr>
                                  <w:r>
                                    <w:rPr>
                                      <w:sz w:val="18"/>
                                      <w:szCs w:val="18"/>
                                    </w:rPr>
                                    <w:t>proč.</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proč.</w:t>
                                  </w:r>
                                </w:p>
                              </w:tc>
                              <w:tc>
                                <w:tcPr>
                                  <w:tcW w:w="49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76" w:type="dxa"/>
                                  <w:shd w:val="clear" w:color="auto" w:fill="FFFFFF"/>
                                  <w:vAlign w:val="bottom"/>
                                </w:tcPr>
                                <w:p w:rsidR="00500724" w:rsidRDefault="00F30FB8">
                                  <w:pPr>
                                    <w:pStyle w:val="Jin0"/>
                                    <w:shd w:val="clear" w:color="auto" w:fill="auto"/>
                                    <w:ind w:firstLine="0"/>
                                    <w:jc w:val="left"/>
                                    <w:rPr>
                                      <w:sz w:val="18"/>
                                      <w:szCs w:val="18"/>
                                    </w:rPr>
                                  </w:pPr>
                                  <w:r>
                                    <w:rPr>
                                      <w:sz w:val="18"/>
                                      <w:szCs w:val="18"/>
                                    </w:rPr>
                                    <w:t>proč.</w:t>
                                  </w:r>
                                </w:p>
                              </w:tc>
                              <w:tc>
                                <w:tcPr>
                                  <w:tcW w:w="2266" w:type="dxa"/>
                                  <w:shd w:val="clear" w:color="auto" w:fill="FFFFFF"/>
                                </w:tcPr>
                                <w:p w:rsidR="00500724" w:rsidRDefault="00500724">
                                  <w:pPr>
                                    <w:rPr>
                                      <w:sz w:val="10"/>
                                      <w:szCs w:val="10"/>
                                    </w:rPr>
                                  </w:pPr>
                                </w:p>
                              </w:tc>
                              <w:tc>
                                <w:tcPr>
                                  <w:tcW w:w="1080"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Narození</w:t>
                                  </w:r>
                                </w:p>
                              </w:tc>
                              <w:tc>
                                <w:tcPr>
                                  <w:tcW w:w="955" w:type="dxa"/>
                                  <w:shd w:val="clear" w:color="auto" w:fill="FFFFFF"/>
                                  <w:vAlign w:val="bottom"/>
                                </w:tcPr>
                                <w:p w:rsidR="00500724" w:rsidRDefault="00F30FB8">
                                  <w:pPr>
                                    <w:pStyle w:val="Jin0"/>
                                    <w:shd w:val="clear" w:color="auto" w:fill="auto"/>
                                    <w:ind w:right="80" w:firstLine="0"/>
                                    <w:jc w:val="center"/>
                                    <w:rPr>
                                      <w:sz w:val="18"/>
                                      <w:szCs w:val="18"/>
                                    </w:rPr>
                                  </w:pPr>
                                  <w:r>
                                    <w:rPr>
                                      <w:sz w:val="18"/>
                                      <w:szCs w:val="18"/>
                                    </w:rPr>
                                    <w:t>Úmrti</w:t>
                                  </w:r>
                                </w:p>
                              </w:tc>
                              <w:tc>
                                <w:tcPr>
                                  <w:tcW w:w="87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Přebytek</w:t>
                                  </w:r>
                                </w:p>
                              </w:tc>
                            </w:tr>
                            <w:tr w:rsidR="00500724">
                              <w:tblPrEx>
                                <w:tblCellMar>
                                  <w:top w:w="0" w:type="dxa"/>
                                  <w:bottom w:w="0" w:type="dxa"/>
                                </w:tblCellMar>
                              </w:tblPrEx>
                              <w:trPr>
                                <w:trHeight w:hRule="exact" w:val="178"/>
                              </w:trPr>
                              <w:tc>
                                <w:tcPr>
                                  <w:tcW w:w="869" w:type="dxa"/>
                                  <w:shd w:val="clear" w:color="auto" w:fill="FFFFFF"/>
                                  <w:vAlign w:val="bottom"/>
                                </w:tcPr>
                                <w:p w:rsidR="00500724" w:rsidRDefault="00F30FB8">
                                  <w:pPr>
                                    <w:pStyle w:val="Jin0"/>
                                    <w:shd w:val="clear" w:color="auto" w:fill="auto"/>
                                    <w:ind w:firstLine="0"/>
                                    <w:jc w:val="left"/>
                                    <w:rPr>
                                      <w:sz w:val="18"/>
                                      <w:szCs w:val="18"/>
                                    </w:rPr>
                                  </w:pPr>
                                  <w:r>
                                    <w:rPr>
                                      <w:sz w:val="18"/>
                                      <w:szCs w:val="18"/>
                                    </w:rPr>
                                    <w:t>Germáni</w:t>
                                  </w:r>
                                </w:p>
                              </w:tc>
                              <w:tc>
                                <w:tcPr>
                                  <w:tcW w:w="47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59</w:t>
                                  </w:r>
                                </w:p>
                              </w:tc>
                              <w:tc>
                                <w:tcPr>
                                  <w:tcW w:w="571" w:type="dxa"/>
                                  <w:shd w:val="clear" w:color="auto" w:fill="FFFFFF"/>
                                  <w:vAlign w:val="bottom"/>
                                </w:tcPr>
                                <w:p w:rsidR="00500724" w:rsidRDefault="00F30FB8">
                                  <w:pPr>
                                    <w:pStyle w:val="Jin0"/>
                                    <w:shd w:val="clear" w:color="auto" w:fill="auto"/>
                                    <w:ind w:left="40" w:firstLine="0"/>
                                    <w:jc w:val="center"/>
                                    <w:rPr>
                                      <w:sz w:val="18"/>
                                      <w:szCs w:val="18"/>
                                    </w:rPr>
                                  </w:pPr>
                                  <w:r>
                                    <w:rPr>
                                      <w:sz w:val="18"/>
                                      <w:szCs w:val="18"/>
                                    </w:rPr>
                                    <w:t>31.1</w:t>
                                  </w:r>
                                </w:p>
                              </w:tc>
                              <w:tc>
                                <w:tcPr>
                                  <w:tcW w:w="499"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152</w:t>
                                  </w:r>
                                </w:p>
                              </w:tc>
                              <w:tc>
                                <w:tcPr>
                                  <w:tcW w:w="595" w:type="dxa"/>
                                  <w:shd w:val="clear" w:color="auto" w:fill="FFFFFF"/>
                                  <w:vAlign w:val="bottom"/>
                                </w:tcPr>
                                <w:p w:rsidR="00500724" w:rsidRDefault="00F30FB8">
                                  <w:pPr>
                                    <w:pStyle w:val="Jin0"/>
                                    <w:shd w:val="clear" w:color="auto" w:fill="auto"/>
                                    <w:ind w:left="20" w:firstLine="0"/>
                                    <w:jc w:val="center"/>
                                    <w:rPr>
                                      <w:sz w:val="18"/>
                                      <w:szCs w:val="18"/>
                                    </w:rPr>
                                  </w:pPr>
                                  <w:r>
                                    <w:rPr>
                                      <w:sz w:val="18"/>
                                      <w:szCs w:val="18"/>
                                    </w:rPr>
                                    <w:t>34.4</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149</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30.0</w:t>
                                  </w:r>
                                </w:p>
                              </w:tc>
                              <w:tc>
                                <w:tcPr>
                                  <w:tcW w:w="49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160</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26.9</w:t>
                                  </w:r>
                                </w:p>
                              </w:tc>
                              <w:tc>
                                <w:tcPr>
                                  <w:tcW w:w="2266" w:type="dxa"/>
                                  <w:shd w:val="clear" w:color="auto" w:fill="FFFFFF"/>
                                  <w:vAlign w:val="bottom"/>
                                </w:tcPr>
                                <w:p w:rsidR="00500724" w:rsidRDefault="00F30FB8">
                                  <w:pPr>
                                    <w:pStyle w:val="Jin0"/>
                                    <w:shd w:val="clear" w:color="auto" w:fill="auto"/>
                                    <w:ind w:firstLine="0"/>
                                    <w:jc w:val="left"/>
                                    <w:rPr>
                                      <w:sz w:val="18"/>
                                      <w:szCs w:val="18"/>
                                    </w:rPr>
                                  </w:pPr>
                                  <w:r>
                                    <w:rPr>
                                      <w:sz w:val="18"/>
                                      <w:szCs w:val="18"/>
                                    </w:rPr>
                                    <w:t>Německo (1935 a 1936)</w:t>
                                  </w:r>
                                </w:p>
                              </w:tc>
                              <w:tc>
                                <w:tcPr>
                                  <w:tcW w:w="1080"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2,540.300</w:t>
                                  </w:r>
                                </w:p>
                              </w:tc>
                              <w:tc>
                                <w:tcPr>
                                  <w:tcW w:w="955" w:type="dxa"/>
                                  <w:shd w:val="clear" w:color="auto" w:fill="FFFFFF"/>
                                  <w:vAlign w:val="bottom"/>
                                </w:tcPr>
                                <w:p w:rsidR="00500724" w:rsidRDefault="00F30FB8">
                                  <w:pPr>
                                    <w:pStyle w:val="Jin0"/>
                                    <w:shd w:val="clear" w:color="auto" w:fill="auto"/>
                                    <w:ind w:right="80" w:firstLine="0"/>
                                    <w:jc w:val="center"/>
                                    <w:rPr>
                                      <w:sz w:val="18"/>
                                      <w:szCs w:val="18"/>
                                    </w:rPr>
                                  </w:pPr>
                                  <w:r>
                                    <w:rPr>
                                      <w:sz w:val="18"/>
                                      <w:szCs w:val="18"/>
                                    </w:rPr>
                                    <w:t>1,588.900</w:t>
                                  </w:r>
                                </w:p>
                              </w:tc>
                              <w:tc>
                                <w:tcPr>
                                  <w:tcW w:w="87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951.400</w:t>
                                  </w:r>
                                </w:p>
                              </w:tc>
                            </w:tr>
                            <w:tr w:rsidR="00500724">
                              <w:tblPrEx>
                                <w:tblCellMar>
                                  <w:top w:w="0" w:type="dxa"/>
                                  <w:bottom w:w="0" w:type="dxa"/>
                                </w:tblCellMar>
                              </w:tblPrEx>
                              <w:trPr>
                                <w:trHeight w:hRule="exact" w:val="168"/>
                              </w:trPr>
                              <w:tc>
                                <w:tcPr>
                                  <w:tcW w:w="869" w:type="dxa"/>
                                  <w:shd w:val="clear" w:color="auto" w:fill="FFFFFF"/>
                                  <w:vAlign w:val="bottom"/>
                                </w:tcPr>
                                <w:p w:rsidR="00500724" w:rsidRDefault="00F30FB8">
                                  <w:pPr>
                                    <w:pStyle w:val="Jin0"/>
                                    <w:shd w:val="clear" w:color="auto" w:fill="auto"/>
                                    <w:ind w:firstLine="0"/>
                                    <w:jc w:val="left"/>
                                    <w:rPr>
                                      <w:sz w:val="18"/>
                                      <w:szCs w:val="18"/>
                                    </w:rPr>
                                  </w:pPr>
                                  <w:r>
                                    <w:rPr>
                                      <w:sz w:val="18"/>
                                      <w:szCs w:val="18"/>
                                    </w:rPr>
                                    <w:t>Roménl</w:t>
                                  </w:r>
                                </w:p>
                              </w:tc>
                              <w:tc>
                                <w:tcPr>
                                  <w:tcW w:w="47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63</w:t>
                                  </w:r>
                                </w:p>
                              </w:tc>
                              <w:tc>
                                <w:tcPr>
                                  <w:tcW w:w="571"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33.7</w:t>
                                  </w:r>
                                </w:p>
                              </w:tc>
                              <w:tc>
                                <w:tcPr>
                                  <w:tcW w:w="499"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108</w:t>
                                  </w:r>
                                </w:p>
                              </w:tc>
                              <w:tc>
                                <w:tcPr>
                                  <w:tcW w:w="595"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24.3</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121</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24.4</w:t>
                                  </w:r>
                                </w:p>
                              </w:tc>
                              <w:tc>
                                <w:tcPr>
                                  <w:tcW w:w="49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133</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22.3</w:t>
                                  </w:r>
                                </w:p>
                              </w:tc>
                              <w:tc>
                                <w:tcPr>
                                  <w:tcW w:w="2266" w:type="dxa"/>
                                  <w:shd w:val="clear" w:color="auto" w:fill="FFFFFF"/>
                                  <w:vAlign w:val="bottom"/>
                                </w:tcPr>
                                <w:p w:rsidR="00500724" w:rsidRDefault="00F30FB8">
                                  <w:pPr>
                                    <w:pStyle w:val="Jin0"/>
                                    <w:shd w:val="clear" w:color="auto" w:fill="auto"/>
                                    <w:ind w:firstLine="0"/>
                                    <w:jc w:val="left"/>
                                    <w:rPr>
                                      <w:sz w:val="18"/>
                                      <w:szCs w:val="18"/>
                                    </w:rPr>
                                  </w:pPr>
                                  <w:r>
                                    <w:rPr>
                                      <w:sz w:val="18"/>
                                      <w:szCs w:val="18"/>
                                    </w:rPr>
                                    <w:t>Itálie (1935 a 1936)</w:t>
                                  </w:r>
                                </w:p>
                              </w:tc>
                              <w:tc>
                                <w:tcPr>
                                  <w:tcW w:w="1080"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1,951.900</w:t>
                                  </w:r>
                                </w:p>
                              </w:tc>
                              <w:tc>
                                <w:tcPr>
                                  <w:tcW w:w="955" w:type="dxa"/>
                                  <w:shd w:val="clear" w:color="auto" w:fill="FFFFFF"/>
                                  <w:vAlign w:val="bottom"/>
                                </w:tcPr>
                                <w:p w:rsidR="00500724" w:rsidRDefault="00F30FB8">
                                  <w:pPr>
                                    <w:pStyle w:val="Jin0"/>
                                    <w:shd w:val="clear" w:color="auto" w:fill="auto"/>
                                    <w:ind w:right="80" w:firstLine="0"/>
                                    <w:jc w:val="center"/>
                                    <w:rPr>
                                      <w:sz w:val="18"/>
                                      <w:szCs w:val="18"/>
                                    </w:rPr>
                                  </w:pPr>
                                  <w:r>
                                    <w:rPr>
                                      <w:sz w:val="18"/>
                                      <w:szCs w:val="18"/>
                                    </w:rPr>
                                    <w:t>1,176.600</w:t>
                                  </w:r>
                                </w:p>
                              </w:tc>
                              <w:tc>
                                <w:tcPr>
                                  <w:tcW w:w="87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775.300</w:t>
                                  </w:r>
                                </w:p>
                              </w:tc>
                            </w:tr>
                            <w:tr w:rsidR="00500724">
                              <w:tblPrEx>
                                <w:tblCellMar>
                                  <w:top w:w="0" w:type="dxa"/>
                                  <w:bottom w:w="0" w:type="dxa"/>
                                </w:tblCellMar>
                              </w:tblPrEx>
                              <w:trPr>
                                <w:trHeight w:hRule="exact" w:val="202"/>
                              </w:trPr>
                              <w:tc>
                                <w:tcPr>
                                  <w:tcW w:w="869" w:type="dxa"/>
                                  <w:shd w:val="clear" w:color="auto" w:fill="FFFFFF"/>
                                </w:tcPr>
                                <w:p w:rsidR="00500724" w:rsidRDefault="00F30FB8">
                                  <w:pPr>
                                    <w:pStyle w:val="Jin0"/>
                                    <w:shd w:val="clear" w:color="auto" w:fill="auto"/>
                                    <w:ind w:firstLine="0"/>
                                    <w:jc w:val="left"/>
                                    <w:rPr>
                                      <w:sz w:val="18"/>
                                      <w:szCs w:val="18"/>
                                    </w:rPr>
                                  </w:pPr>
                                  <w:r>
                                    <w:rPr>
                                      <w:sz w:val="18"/>
                                      <w:szCs w:val="18"/>
                                    </w:rPr>
                                    <w:t>Slované</w:t>
                                  </w:r>
                                </w:p>
                              </w:tc>
                              <w:tc>
                                <w:tcPr>
                                  <w:tcW w:w="470" w:type="dxa"/>
                                  <w:shd w:val="clear" w:color="auto" w:fill="FFFFFF"/>
                                </w:tcPr>
                                <w:p w:rsidR="00500724" w:rsidRDefault="00F30FB8">
                                  <w:pPr>
                                    <w:pStyle w:val="Jin0"/>
                                    <w:shd w:val="clear" w:color="auto" w:fill="auto"/>
                                    <w:ind w:firstLine="0"/>
                                    <w:jc w:val="right"/>
                                    <w:rPr>
                                      <w:sz w:val="18"/>
                                      <w:szCs w:val="18"/>
                                    </w:rPr>
                                  </w:pPr>
                                  <w:r>
                                    <w:rPr>
                                      <w:sz w:val="18"/>
                                      <w:szCs w:val="18"/>
                                    </w:rPr>
                                    <w:t>65</w:t>
                                  </w:r>
                                </w:p>
                              </w:tc>
                              <w:tc>
                                <w:tcPr>
                                  <w:tcW w:w="571" w:type="dxa"/>
                                  <w:shd w:val="clear" w:color="auto" w:fill="FFFFFF"/>
                                </w:tcPr>
                                <w:p w:rsidR="00500724" w:rsidRDefault="00F30FB8">
                                  <w:pPr>
                                    <w:pStyle w:val="Jin0"/>
                                    <w:shd w:val="clear" w:color="auto" w:fill="auto"/>
                                    <w:ind w:left="40" w:firstLine="0"/>
                                    <w:jc w:val="center"/>
                                    <w:rPr>
                                      <w:sz w:val="18"/>
                                      <w:szCs w:val="18"/>
                                    </w:rPr>
                                  </w:pPr>
                                  <w:r>
                                    <w:rPr>
                                      <w:sz w:val="18"/>
                                      <w:szCs w:val="18"/>
                                    </w:rPr>
                                    <w:t>34.7</w:t>
                                  </w:r>
                                </w:p>
                              </w:tc>
                              <w:tc>
                                <w:tcPr>
                                  <w:tcW w:w="499" w:type="dxa"/>
                                  <w:shd w:val="clear" w:color="auto" w:fill="FFFFFF"/>
                                </w:tcPr>
                                <w:p w:rsidR="00500724" w:rsidRDefault="00F30FB8">
                                  <w:pPr>
                                    <w:pStyle w:val="Jin0"/>
                                    <w:shd w:val="clear" w:color="auto" w:fill="auto"/>
                                    <w:ind w:firstLine="0"/>
                                    <w:jc w:val="right"/>
                                    <w:rPr>
                                      <w:sz w:val="18"/>
                                      <w:szCs w:val="18"/>
                                    </w:rPr>
                                  </w:pPr>
                                  <w:r>
                                    <w:rPr>
                                      <w:sz w:val="18"/>
                                      <w:szCs w:val="18"/>
                                    </w:rPr>
                                    <w:t>187</w:t>
                                  </w:r>
                                </w:p>
                              </w:tc>
                              <w:tc>
                                <w:tcPr>
                                  <w:tcW w:w="595" w:type="dxa"/>
                                  <w:shd w:val="clear" w:color="auto" w:fill="FFFFFF"/>
                                </w:tcPr>
                                <w:p w:rsidR="00500724" w:rsidRDefault="00F30FB8">
                                  <w:pPr>
                                    <w:pStyle w:val="Jin0"/>
                                    <w:shd w:val="clear" w:color="auto" w:fill="auto"/>
                                    <w:ind w:firstLine="0"/>
                                    <w:jc w:val="center"/>
                                    <w:rPr>
                                      <w:sz w:val="18"/>
                                      <w:szCs w:val="18"/>
                                    </w:rPr>
                                  </w:pPr>
                                  <w:r>
                                    <w:rPr>
                                      <w:sz w:val="18"/>
                                      <w:szCs w:val="18"/>
                                    </w:rPr>
                                    <w:t>41.7</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226</w:t>
                                  </w:r>
                                </w:p>
                              </w:tc>
                              <w:tc>
                                <w:tcPr>
                                  <w:tcW w:w="576" w:type="dxa"/>
                                  <w:shd w:val="clear" w:color="auto" w:fill="FFFFFF"/>
                                </w:tcPr>
                                <w:p w:rsidR="00500724" w:rsidRDefault="00F30FB8">
                                  <w:pPr>
                                    <w:pStyle w:val="Jin0"/>
                                    <w:shd w:val="clear" w:color="auto" w:fill="auto"/>
                                    <w:ind w:firstLine="0"/>
                                    <w:jc w:val="center"/>
                                    <w:rPr>
                                      <w:sz w:val="18"/>
                                      <w:szCs w:val="18"/>
                                    </w:rPr>
                                  </w:pPr>
                                  <w:r>
                                    <w:rPr>
                                      <w:sz w:val="18"/>
                                      <w:szCs w:val="18"/>
                                    </w:rPr>
                                    <w:t>45.6</w:t>
                                  </w:r>
                                </w:p>
                              </w:tc>
                              <w:tc>
                                <w:tcPr>
                                  <w:tcW w:w="494" w:type="dxa"/>
                                  <w:shd w:val="clear" w:color="auto" w:fill="FFFFFF"/>
                                </w:tcPr>
                                <w:p w:rsidR="00500724" w:rsidRDefault="00F30FB8">
                                  <w:pPr>
                                    <w:pStyle w:val="Jin0"/>
                                    <w:shd w:val="clear" w:color="auto" w:fill="auto"/>
                                    <w:ind w:firstLine="0"/>
                                    <w:jc w:val="right"/>
                                    <w:rPr>
                                      <w:sz w:val="18"/>
                                      <w:szCs w:val="18"/>
                                    </w:rPr>
                                  </w:pPr>
                                  <w:r>
                                    <w:rPr>
                                      <w:sz w:val="18"/>
                                      <w:szCs w:val="18"/>
                                    </w:rPr>
                                    <w:t>303</w:t>
                                  </w:r>
                                </w:p>
                              </w:tc>
                              <w:tc>
                                <w:tcPr>
                                  <w:tcW w:w="576" w:type="dxa"/>
                                  <w:shd w:val="clear" w:color="auto" w:fill="FFFFFF"/>
                                </w:tcPr>
                                <w:p w:rsidR="00500724" w:rsidRDefault="00F30FB8">
                                  <w:pPr>
                                    <w:pStyle w:val="Jin0"/>
                                    <w:shd w:val="clear" w:color="auto" w:fill="auto"/>
                                    <w:ind w:firstLine="0"/>
                                    <w:jc w:val="center"/>
                                    <w:rPr>
                                      <w:sz w:val="18"/>
                                      <w:szCs w:val="18"/>
                                    </w:rPr>
                                  </w:pPr>
                                  <w:r>
                                    <w:rPr>
                                      <w:sz w:val="18"/>
                                      <w:szCs w:val="18"/>
                                    </w:rPr>
                                    <w:t>50.8</w:t>
                                  </w:r>
                                </w:p>
                              </w:tc>
                              <w:tc>
                                <w:tcPr>
                                  <w:tcW w:w="2266" w:type="dxa"/>
                                  <w:shd w:val="clear" w:color="auto" w:fill="FFFFFF"/>
                                </w:tcPr>
                                <w:p w:rsidR="00500724" w:rsidRDefault="00F30FB8">
                                  <w:pPr>
                                    <w:pStyle w:val="Jin0"/>
                                    <w:shd w:val="clear" w:color="auto" w:fill="auto"/>
                                    <w:ind w:firstLine="0"/>
                                    <w:jc w:val="left"/>
                                    <w:rPr>
                                      <w:sz w:val="18"/>
                                      <w:szCs w:val="18"/>
                                    </w:rPr>
                                  </w:pPr>
                                  <w:r>
                                    <w:rPr>
                                      <w:sz w:val="18"/>
                                      <w:szCs w:val="18"/>
                                    </w:rPr>
                                    <w:t>Francie (1935 a 1936)</w:t>
                                  </w:r>
                                </w:p>
                              </w:tc>
                              <w:tc>
                                <w:tcPr>
                                  <w:tcW w:w="1080" w:type="dxa"/>
                                  <w:shd w:val="clear" w:color="auto" w:fill="FFFFFF"/>
                                </w:tcPr>
                                <w:p w:rsidR="00500724" w:rsidRDefault="00F30FB8">
                                  <w:pPr>
                                    <w:pStyle w:val="Jin0"/>
                                    <w:shd w:val="clear" w:color="auto" w:fill="auto"/>
                                    <w:ind w:firstLine="0"/>
                                    <w:jc w:val="center"/>
                                    <w:rPr>
                                      <w:sz w:val="18"/>
                                      <w:szCs w:val="18"/>
                                    </w:rPr>
                                  </w:pPr>
                                  <w:r>
                                    <w:rPr>
                                      <w:sz w:val="18"/>
                                      <w:szCs w:val="18"/>
                                    </w:rPr>
                                    <w:t>1,270.600</w:t>
                                  </w:r>
                                </w:p>
                              </w:tc>
                              <w:tc>
                                <w:tcPr>
                                  <w:tcW w:w="955" w:type="dxa"/>
                                  <w:shd w:val="clear" w:color="auto" w:fill="FFFFFF"/>
                                </w:tcPr>
                                <w:p w:rsidR="00500724" w:rsidRDefault="00F30FB8">
                                  <w:pPr>
                                    <w:pStyle w:val="Jin0"/>
                                    <w:shd w:val="clear" w:color="auto" w:fill="auto"/>
                                    <w:ind w:right="80" w:firstLine="0"/>
                                    <w:jc w:val="center"/>
                                    <w:rPr>
                                      <w:sz w:val="18"/>
                                      <w:szCs w:val="18"/>
                                    </w:rPr>
                                  </w:pPr>
                                  <w:r>
                                    <w:rPr>
                                      <w:sz w:val="18"/>
                                      <w:szCs w:val="18"/>
                                    </w:rPr>
                                    <w:t>1,300.500</w:t>
                                  </w:r>
                                </w:p>
                              </w:tc>
                              <w:tc>
                                <w:tcPr>
                                  <w:tcW w:w="874" w:type="dxa"/>
                                  <w:shd w:val="clear" w:color="auto" w:fill="FFFFFF"/>
                                </w:tcPr>
                                <w:p w:rsidR="00500724" w:rsidRDefault="00F30FB8">
                                  <w:pPr>
                                    <w:pStyle w:val="Jin0"/>
                                    <w:shd w:val="clear" w:color="auto" w:fill="auto"/>
                                    <w:ind w:firstLine="0"/>
                                    <w:jc w:val="right"/>
                                    <w:rPr>
                                      <w:sz w:val="18"/>
                                      <w:szCs w:val="18"/>
                                    </w:rPr>
                                  </w:pPr>
                                  <w:r>
                                    <w:rPr>
                                      <w:sz w:val="18"/>
                                      <w:szCs w:val="18"/>
                                    </w:rPr>
                                    <w:t>— 29.900</w:t>
                                  </w:r>
                                </w:p>
                              </w:tc>
                            </w:tr>
                          </w:tbl>
                          <w:p w:rsidR="00000000" w:rsidRDefault="00F30FB8"/>
                        </w:txbxContent>
                      </wps:txbx>
                      <wps:bodyPr lIns="0" tIns="0" rIns="0" bIns="0">
                        <a:spAutoFit/>
                      </wps:bodyPr>
                    </wps:wsp>
                  </a:graphicData>
                </a:graphic>
              </wp:anchor>
            </w:drawing>
          </mc:Choice>
          <mc:Fallback>
            <w:pict>
              <v:shape id="Shape 407" o:spid="_x0000_s1229" type="#_x0000_t202" style="position:absolute;margin-left:37.85pt;margin-top:667.95pt;width:516.5pt;height:38.4pt;z-index:125829784;visibility:visible;mso-wrap-style:square;mso-wrap-distance-left:0;mso-wrap-distance-top:19.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869"/>
                        <w:gridCol w:w="470"/>
                        <w:gridCol w:w="571"/>
                        <w:gridCol w:w="499"/>
                        <w:gridCol w:w="595"/>
                        <w:gridCol w:w="504"/>
                        <w:gridCol w:w="576"/>
                        <w:gridCol w:w="494"/>
                        <w:gridCol w:w="576"/>
                        <w:gridCol w:w="2266"/>
                        <w:gridCol w:w="1080"/>
                        <w:gridCol w:w="955"/>
                        <w:gridCol w:w="874"/>
                      </w:tblGrid>
                      <w:tr w:rsidR="00500724">
                        <w:tblPrEx>
                          <w:tblCellMar>
                            <w:top w:w="0" w:type="dxa"/>
                            <w:bottom w:w="0" w:type="dxa"/>
                          </w:tblCellMar>
                        </w:tblPrEx>
                        <w:trPr>
                          <w:trHeight w:hRule="exact" w:val="221"/>
                          <w:tblHeader/>
                        </w:trPr>
                        <w:tc>
                          <w:tcPr>
                            <w:tcW w:w="869" w:type="dxa"/>
                            <w:shd w:val="clear" w:color="auto" w:fill="FFFFFF"/>
                          </w:tcPr>
                          <w:p w:rsidR="00500724" w:rsidRDefault="00500724">
                            <w:pPr>
                              <w:rPr>
                                <w:sz w:val="10"/>
                                <w:szCs w:val="10"/>
                              </w:rPr>
                            </w:pPr>
                          </w:p>
                        </w:tc>
                        <w:tc>
                          <w:tcPr>
                            <w:tcW w:w="47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71" w:type="dxa"/>
                            <w:shd w:val="clear" w:color="auto" w:fill="FFFFFF"/>
                            <w:vAlign w:val="bottom"/>
                          </w:tcPr>
                          <w:p w:rsidR="00500724" w:rsidRDefault="00F30FB8">
                            <w:pPr>
                              <w:pStyle w:val="Jin0"/>
                              <w:shd w:val="clear" w:color="auto" w:fill="auto"/>
                              <w:ind w:left="40" w:firstLine="0"/>
                              <w:jc w:val="center"/>
                              <w:rPr>
                                <w:sz w:val="18"/>
                                <w:szCs w:val="18"/>
                              </w:rPr>
                            </w:pPr>
                            <w:r>
                              <w:rPr>
                                <w:sz w:val="18"/>
                                <w:szCs w:val="18"/>
                              </w:rPr>
                              <w:t>proč.</w:t>
                            </w:r>
                          </w:p>
                        </w:tc>
                        <w:tc>
                          <w:tcPr>
                            <w:tcW w:w="499"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95" w:type="dxa"/>
                            <w:shd w:val="clear" w:color="auto" w:fill="FFFFFF"/>
                            <w:vAlign w:val="bottom"/>
                          </w:tcPr>
                          <w:p w:rsidR="00500724" w:rsidRDefault="00F30FB8">
                            <w:pPr>
                              <w:pStyle w:val="Jin0"/>
                              <w:shd w:val="clear" w:color="auto" w:fill="auto"/>
                              <w:ind w:left="20" w:firstLine="0"/>
                              <w:jc w:val="center"/>
                              <w:rPr>
                                <w:sz w:val="18"/>
                                <w:szCs w:val="18"/>
                              </w:rPr>
                            </w:pPr>
                            <w:r>
                              <w:rPr>
                                <w:sz w:val="18"/>
                                <w:szCs w:val="18"/>
                              </w:rPr>
                              <w:t>proč.</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proč.</w:t>
                            </w:r>
                          </w:p>
                        </w:tc>
                        <w:tc>
                          <w:tcPr>
                            <w:tcW w:w="49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mil.</w:t>
                            </w:r>
                          </w:p>
                        </w:tc>
                        <w:tc>
                          <w:tcPr>
                            <w:tcW w:w="576" w:type="dxa"/>
                            <w:shd w:val="clear" w:color="auto" w:fill="FFFFFF"/>
                            <w:vAlign w:val="bottom"/>
                          </w:tcPr>
                          <w:p w:rsidR="00500724" w:rsidRDefault="00F30FB8">
                            <w:pPr>
                              <w:pStyle w:val="Jin0"/>
                              <w:shd w:val="clear" w:color="auto" w:fill="auto"/>
                              <w:ind w:firstLine="0"/>
                              <w:jc w:val="left"/>
                              <w:rPr>
                                <w:sz w:val="18"/>
                                <w:szCs w:val="18"/>
                              </w:rPr>
                            </w:pPr>
                            <w:r>
                              <w:rPr>
                                <w:sz w:val="18"/>
                                <w:szCs w:val="18"/>
                              </w:rPr>
                              <w:t>proč.</w:t>
                            </w:r>
                          </w:p>
                        </w:tc>
                        <w:tc>
                          <w:tcPr>
                            <w:tcW w:w="2266" w:type="dxa"/>
                            <w:shd w:val="clear" w:color="auto" w:fill="FFFFFF"/>
                          </w:tcPr>
                          <w:p w:rsidR="00500724" w:rsidRDefault="00500724">
                            <w:pPr>
                              <w:rPr>
                                <w:sz w:val="10"/>
                                <w:szCs w:val="10"/>
                              </w:rPr>
                            </w:pPr>
                          </w:p>
                        </w:tc>
                        <w:tc>
                          <w:tcPr>
                            <w:tcW w:w="1080"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Narození</w:t>
                            </w:r>
                          </w:p>
                        </w:tc>
                        <w:tc>
                          <w:tcPr>
                            <w:tcW w:w="955" w:type="dxa"/>
                            <w:shd w:val="clear" w:color="auto" w:fill="FFFFFF"/>
                            <w:vAlign w:val="bottom"/>
                          </w:tcPr>
                          <w:p w:rsidR="00500724" w:rsidRDefault="00F30FB8">
                            <w:pPr>
                              <w:pStyle w:val="Jin0"/>
                              <w:shd w:val="clear" w:color="auto" w:fill="auto"/>
                              <w:ind w:right="80" w:firstLine="0"/>
                              <w:jc w:val="center"/>
                              <w:rPr>
                                <w:sz w:val="18"/>
                                <w:szCs w:val="18"/>
                              </w:rPr>
                            </w:pPr>
                            <w:r>
                              <w:rPr>
                                <w:sz w:val="18"/>
                                <w:szCs w:val="18"/>
                              </w:rPr>
                              <w:t>Úmrti</w:t>
                            </w:r>
                          </w:p>
                        </w:tc>
                        <w:tc>
                          <w:tcPr>
                            <w:tcW w:w="87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Přebytek</w:t>
                            </w:r>
                          </w:p>
                        </w:tc>
                      </w:tr>
                      <w:tr w:rsidR="00500724">
                        <w:tblPrEx>
                          <w:tblCellMar>
                            <w:top w:w="0" w:type="dxa"/>
                            <w:bottom w:w="0" w:type="dxa"/>
                          </w:tblCellMar>
                        </w:tblPrEx>
                        <w:trPr>
                          <w:trHeight w:hRule="exact" w:val="178"/>
                        </w:trPr>
                        <w:tc>
                          <w:tcPr>
                            <w:tcW w:w="869" w:type="dxa"/>
                            <w:shd w:val="clear" w:color="auto" w:fill="FFFFFF"/>
                            <w:vAlign w:val="bottom"/>
                          </w:tcPr>
                          <w:p w:rsidR="00500724" w:rsidRDefault="00F30FB8">
                            <w:pPr>
                              <w:pStyle w:val="Jin0"/>
                              <w:shd w:val="clear" w:color="auto" w:fill="auto"/>
                              <w:ind w:firstLine="0"/>
                              <w:jc w:val="left"/>
                              <w:rPr>
                                <w:sz w:val="18"/>
                                <w:szCs w:val="18"/>
                              </w:rPr>
                            </w:pPr>
                            <w:r>
                              <w:rPr>
                                <w:sz w:val="18"/>
                                <w:szCs w:val="18"/>
                              </w:rPr>
                              <w:t>Germáni</w:t>
                            </w:r>
                          </w:p>
                        </w:tc>
                        <w:tc>
                          <w:tcPr>
                            <w:tcW w:w="47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59</w:t>
                            </w:r>
                          </w:p>
                        </w:tc>
                        <w:tc>
                          <w:tcPr>
                            <w:tcW w:w="571" w:type="dxa"/>
                            <w:shd w:val="clear" w:color="auto" w:fill="FFFFFF"/>
                            <w:vAlign w:val="bottom"/>
                          </w:tcPr>
                          <w:p w:rsidR="00500724" w:rsidRDefault="00F30FB8">
                            <w:pPr>
                              <w:pStyle w:val="Jin0"/>
                              <w:shd w:val="clear" w:color="auto" w:fill="auto"/>
                              <w:ind w:left="40" w:firstLine="0"/>
                              <w:jc w:val="center"/>
                              <w:rPr>
                                <w:sz w:val="18"/>
                                <w:szCs w:val="18"/>
                              </w:rPr>
                            </w:pPr>
                            <w:r>
                              <w:rPr>
                                <w:sz w:val="18"/>
                                <w:szCs w:val="18"/>
                              </w:rPr>
                              <w:t>31.1</w:t>
                            </w:r>
                          </w:p>
                        </w:tc>
                        <w:tc>
                          <w:tcPr>
                            <w:tcW w:w="499"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152</w:t>
                            </w:r>
                          </w:p>
                        </w:tc>
                        <w:tc>
                          <w:tcPr>
                            <w:tcW w:w="595" w:type="dxa"/>
                            <w:shd w:val="clear" w:color="auto" w:fill="FFFFFF"/>
                            <w:vAlign w:val="bottom"/>
                          </w:tcPr>
                          <w:p w:rsidR="00500724" w:rsidRDefault="00F30FB8">
                            <w:pPr>
                              <w:pStyle w:val="Jin0"/>
                              <w:shd w:val="clear" w:color="auto" w:fill="auto"/>
                              <w:ind w:left="20" w:firstLine="0"/>
                              <w:jc w:val="center"/>
                              <w:rPr>
                                <w:sz w:val="18"/>
                                <w:szCs w:val="18"/>
                              </w:rPr>
                            </w:pPr>
                            <w:r>
                              <w:rPr>
                                <w:sz w:val="18"/>
                                <w:szCs w:val="18"/>
                              </w:rPr>
                              <w:t>34.4</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149</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30.0</w:t>
                            </w:r>
                          </w:p>
                        </w:tc>
                        <w:tc>
                          <w:tcPr>
                            <w:tcW w:w="49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160</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26.9</w:t>
                            </w:r>
                          </w:p>
                        </w:tc>
                        <w:tc>
                          <w:tcPr>
                            <w:tcW w:w="2266" w:type="dxa"/>
                            <w:shd w:val="clear" w:color="auto" w:fill="FFFFFF"/>
                            <w:vAlign w:val="bottom"/>
                          </w:tcPr>
                          <w:p w:rsidR="00500724" w:rsidRDefault="00F30FB8">
                            <w:pPr>
                              <w:pStyle w:val="Jin0"/>
                              <w:shd w:val="clear" w:color="auto" w:fill="auto"/>
                              <w:ind w:firstLine="0"/>
                              <w:jc w:val="left"/>
                              <w:rPr>
                                <w:sz w:val="18"/>
                                <w:szCs w:val="18"/>
                              </w:rPr>
                            </w:pPr>
                            <w:r>
                              <w:rPr>
                                <w:sz w:val="18"/>
                                <w:szCs w:val="18"/>
                              </w:rPr>
                              <w:t>Německo (1935 a 1936)</w:t>
                            </w:r>
                          </w:p>
                        </w:tc>
                        <w:tc>
                          <w:tcPr>
                            <w:tcW w:w="1080"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2,540.300</w:t>
                            </w:r>
                          </w:p>
                        </w:tc>
                        <w:tc>
                          <w:tcPr>
                            <w:tcW w:w="955" w:type="dxa"/>
                            <w:shd w:val="clear" w:color="auto" w:fill="FFFFFF"/>
                            <w:vAlign w:val="bottom"/>
                          </w:tcPr>
                          <w:p w:rsidR="00500724" w:rsidRDefault="00F30FB8">
                            <w:pPr>
                              <w:pStyle w:val="Jin0"/>
                              <w:shd w:val="clear" w:color="auto" w:fill="auto"/>
                              <w:ind w:right="80" w:firstLine="0"/>
                              <w:jc w:val="center"/>
                              <w:rPr>
                                <w:sz w:val="18"/>
                                <w:szCs w:val="18"/>
                              </w:rPr>
                            </w:pPr>
                            <w:r>
                              <w:rPr>
                                <w:sz w:val="18"/>
                                <w:szCs w:val="18"/>
                              </w:rPr>
                              <w:t>1,588.900</w:t>
                            </w:r>
                          </w:p>
                        </w:tc>
                        <w:tc>
                          <w:tcPr>
                            <w:tcW w:w="87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951.400</w:t>
                            </w:r>
                          </w:p>
                        </w:tc>
                      </w:tr>
                      <w:tr w:rsidR="00500724">
                        <w:tblPrEx>
                          <w:tblCellMar>
                            <w:top w:w="0" w:type="dxa"/>
                            <w:bottom w:w="0" w:type="dxa"/>
                          </w:tblCellMar>
                        </w:tblPrEx>
                        <w:trPr>
                          <w:trHeight w:hRule="exact" w:val="168"/>
                        </w:trPr>
                        <w:tc>
                          <w:tcPr>
                            <w:tcW w:w="869" w:type="dxa"/>
                            <w:shd w:val="clear" w:color="auto" w:fill="FFFFFF"/>
                            <w:vAlign w:val="bottom"/>
                          </w:tcPr>
                          <w:p w:rsidR="00500724" w:rsidRDefault="00F30FB8">
                            <w:pPr>
                              <w:pStyle w:val="Jin0"/>
                              <w:shd w:val="clear" w:color="auto" w:fill="auto"/>
                              <w:ind w:firstLine="0"/>
                              <w:jc w:val="left"/>
                              <w:rPr>
                                <w:sz w:val="18"/>
                                <w:szCs w:val="18"/>
                              </w:rPr>
                            </w:pPr>
                            <w:r>
                              <w:rPr>
                                <w:sz w:val="18"/>
                                <w:szCs w:val="18"/>
                              </w:rPr>
                              <w:t>Roménl</w:t>
                            </w:r>
                          </w:p>
                        </w:tc>
                        <w:tc>
                          <w:tcPr>
                            <w:tcW w:w="470"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63</w:t>
                            </w:r>
                          </w:p>
                        </w:tc>
                        <w:tc>
                          <w:tcPr>
                            <w:tcW w:w="571"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33.7</w:t>
                            </w:r>
                          </w:p>
                        </w:tc>
                        <w:tc>
                          <w:tcPr>
                            <w:tcW w:w="499"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108</w:t>
                            </w:r>
                          </w:p>
                        </w:tc>
                        <w:tc>
                          <w:tcPr>
                            <w:tcW w:w="595"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24.3</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121</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24.4</w:t>
                            </w:r>
                          </w:p>
                        </w:tc>
                        <w:tc>
                          <w:tcPr>
                            <w:tcW w:w="49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133</w:t>
                            </w:r>
                          </w:p>
                        </w:tc>
                        <w:tc>
                          <w:tcPr>
                            <w:tcW w:w="576"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22.3</w:t>
                            </w:r>
                          </w:p>
                        </w:tc>
                        <w:tc>
                          <w:tcPr>
                            <w:tcW w:w="2266" w:type="dxa"/>
                            <w:shd w:val="clear" w:color="auto" w:fill="FFFFFF"/>
                            <w:vAlign w:val="bottom"/>
                          </w:tcPr>
                          <w:p w:rsidR="00500724" w:rsidRDefault="00F30FB8">
                            <w:pPr>
                              <w:pStyle w:val="Jin0"/>
                              <w:shd w:val="clear" w:color="auto" w:fill="auto"/>
                              <w:ind w:firstLine="0"/>
                              <w:jc w:val="left"/>
                              <w:rPr>
                                <w:sz w:val="18"/>
                                <w:szCs w:val="18"/>
                              </w:rPr>
                            </w:pPr>
                            <w:r>
                              <w:rPr>
                                <w:sz w:val="18"/>
                                <w:szCs w:val="18"/>
                              </w:rPr>
                              <w:t>Itálie (1935 a 1936)</w:t>
                            </w:r>
                          </w:p>
                        </w:tc>
                        <w:tc>
                          <w:tcPr>
                            <w:tcW w:w="1080" w:type="dxa"/>
                            <w:shd w:val="clear" w:color="auto" w:fill="FFFFFF"/>
                            <w:vAlign w:val="bottom"/>
                          </w:tcPr>
                          <w:p w:rsidR="00500724" w:rsidRDefault="00F30FB8">
                            <w:pPr>
                              <w:pStyle w:val="Jin0"/>
                              <w:shd w:val="clear" w:color="auto" w:fill="auto"/>
                              <w:ind w:firstLine="0"/>
                              <w:jc w:val="center"/>
                              <w:rPr>
                                <w:sz w:val="18"/>
                                <w:szCs w:val="18"/>
                              </w:rPr>
                            </w:pPr>
                            <w:r>
                              <w:rPr>
                                <w:sz w:val="18"/>
                                <w:szCs w:val="18"/>
                              </w:rPr>
                              <w:t>1,951.900</w:t>
                            </w:r>
                          </w:p>
                        </w:tc>
                        <w:tc>
                          <w:tcPr>
                            <w:tcW w:w="955" w:type="dxa"/>
                            <w:shd w:val="clear" w:color="auto" w:fill="FFFFFF"/>
                            <w:vAlign w:val="bottom"/>
                          </w:tcPr>
                          <w:p w:rsidR="00500724" w:rsidRDefault="00F30FB8">
                            <w:pPr>
                              <w:pStyle w:val="Jin0"/>
                              <w:shd w:val="clear" w:color="auto" w:fill="auto"/>
                              <w:ind w:right="80" w:firstLine="0"/>
                              <w:jc w:val="center"/>
                              <w:rPr>
                                <w:sz w:val="18"/>
                                <w:szCs w:val="18"/>
                              </w:rPr>
                            </w:pPr>
                            <w:r>
                              <w:rPr>
                                <w:sz w:val="18"/>
                                <w:szCs w:val="18"/>
                              </w:rPr>
                              <w:t>1,176.600</w:t>
                            </w:r>
                          </w:p>
                        </w:tc>
                        <w:tc>
                          <w:tcPr>
                            <w:tcW w:w="87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775.300</w:t>
                            </w:r>
                          </w:p>
                        </w:tc>
                      </w:tr>
                      <w:tr w:rsidR="00500724">
                        <w:tblPrEx>
                          <w:tblCellMar>
                            <w:top w:w="0" w:type="dxa"/>
                            <w:bottom w:w="0" w:type="dxa"/>
                          </w:tblCellMar>
                        </w:tblPrEx>
                        <w:trPr>
                          <w:trHeight w:hRule="exact" w:val="202"/>
                        </w:trPr>
                        <w:tc>
                          <w:tcPr>
                            <w:tcW w:w="869" w:type="dxa"/>
                            <w:shd w:val="clear" w:color="auto" w:fill="FFFFFF"/>
                          </w:tcPr>
                          <w:p w:rsidR="00500724" w:rsidRDefault="00F30FB8">
                            <w:pPr>
                              <w:pStyle w:val="Jin0"/>
                              <w:shd w:val="clear" w:color="auto" w:fill="auto"/>
                              <w:ind w:firstLine="0"/>
                              <w:jc w:val="left"/>
                              <w:rPr>
                                <w:sz w:val="18"/>
                                <w:szCs w:val="18"/>
                              </w:rPr>
                            </w:pPr>
                            <w:r>
                              <w:rPr>
                                <w:sz w:val="18"/>
                                <w:szCs w:val="18"/>
                              </w:rPr>
                              <w:t>Slované</w:t>
                            </w:r>
                          </w:p>
                        </w:tc>
                        <w:tc>
                          <w:tcPr>
                            <w:tcW w:w="470" w:type="dxa"/>
                            <w:shd w:val="clear" w:color="auto" w:fill="FFFFFF"/>
                          </w:tcPr>
                          <w:p w:rsidR="00500724" w:rsidRDefault="00F30FB8">
                            <w:pPr>
                              <w:pStyle w:val="Jin0"/>
                              <w:shd w:val="clear" w:color="auto" w:fill="auto"/>
                              <w:ind w:firstLine="0"/>
                              <w:jc w:val="right"/>
                              <w:rPr>
                                <w:sz w:val="18"/>
                                <w:szCs w:val="18"/>
                              </w:rPr>
                            </w:pPr>
                            <w:r>
                              <w:rPr>
                                <w:sz w:val="18"/>
                                <w:szCs w:val="18"/>
                              </w:rPr>
                              <w:t>65</w:t>
                            </w:r>
                          </w:p>
                        </w:tc>
                        <w:tc>
                          <w:tcPr>
                            <w:tcW w:w="571" w:type="dxa"/>
                            <w:shd w:val="clear" w:color="auto" w:fill="FFFFFF"/>
                          </w:tcPr>
                          <w:p w:rsidR="00500724" w:rsidRDefault="00F30FB8">
                            <w:pPr>
                              <w:pStyle w:val="Jin0"/>
                              <w:shd w:val="clear" w:color="auto" w:fill="auto"/>
                              <w:ind w:left="40" w:firstLine="0"/>
                              <w:jc w:val="center"/>
                              <w:rPr>
                                <w:sz w:val="18"/>
                                <w:szCs w:val="18"/>
                              </w:rPr>
                            </w:pPr>
                            <w:r>
                              <w:rPr>
                                <w:sz w:val="18"/>
                                <w:szCs w:val="18"/>
                              </w:rPr>
                              <w:t>34.7</w:t>
                            </w:r>
                          </w:p>
                        </w:tc>
                        <w:tc>
                          <w:tcPr>
                            <w:tcW w:w="499" w:type="dxa"/>
                            <w:shd w:val="clear" w:color="auto" w:fill="FFFFFF"/>
                          </w:tcPr>
                          <w:p w:rsidR="00500724" w:rsidRDefault="00F30FB8">
                            <w:pPr>
                              <w:pStyle w:val="Jin0"/>
                              <w:shd w:val="clear" w:color="auto" w:fill="auto"/>
                              <w:ind w:firstLine="0"/>
                              <w:jc w:val="right"/>
                              <w:rPr>
                                <w:sz w:val="18"/>
                                <w:szCs w:val="18"/>
                              </w:rPr>
                            </w:pPr>
                            <w:r>
                              <w:rPr>
                                <w:sz w:val="18"/>
                                <w:szCs w:val="18"/>
                              </w:rPr>
                              <w:t>187</w:t>
                            </w:r>
                          </w:p>
                        </w:tc>
                        <w:tc>
                          <w:tcPr>
                            <w:tcW w:w="595" w:type="dxa"/>
                            <w:shd w:val="clear" w:color="auto" w:fill="FFFFFF"/>
                          </w:tcPr>
                          <w:p w:rsidR="00500724" w:rsidRDefault="00F30FB8">
                            <w:pPr>
                              <w:pStyle w:val="Jin0"/>
                              <w:shd w:val="clear" w:color="auto" w:fill="auto"/>
                              <w:ind w:firstLine="0"/>
                              <w:jc w:val="center"/>
                              <w:rPr>
                                <w:sz w:val="18"/>
                                <w:szCs w:val="18"/>
                              </w:rPr>
                            </w:pPr>
                            <w:r>
                              <w:rPr>
                                <w:sz w:val="18"/>
                                <w:szCs w:val="18"/>
                              </w:rPr>
                              <w:t>41.7</w:t>
                            </w:r>
                          </w:p>
                        </w:tc>
                        <w:tc>
                          <w:tcPr>
                            <w:tcW w:w="504"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226</w:t>
                            </w:r>
                          </w:p>
                        </w:tc>
                        <w:tc>
                          <w:tcPr>
                            <w:tcW w:w="576" w:type="dxa"/>
                            <w:shd w:val="clear" w:color="auto" w:fill="FFFFFF"/>
                          </w:tcPr>
                          <w:p w:rsidR="00500724" w:rsidRDefault="00F30FB8">
                            <w:pPr>
                              <w:pStyle w:val="Jin0"/>
                              <w:shd w:val="clear" w:color="auto" w:fill="auto"/>
                              <w:ind w:firstLine="0"/>
                              <w:jc w:val="center"/>
                              <w:rPr>
                                <w:sz w:val="18"/>
                                <w:szCs w:val="18"/>
                              </w:rPr>
                            </w:pPr>
                            <w:r>
                              <w:rPr>
                                <w:sz w:val="18"/>
                                <w:szCs w:val="18"/>
                              </w:rPr>
                              <w:t>45.6</w:t>
                            </w:r>
                          </w:p>
                        </w:tc>
                        <w:tc>
                          <w:tcPr>
                            <w:tcW w:w="494" w:type="dxa"/>
                            <w:shd w:val="clear" w:color="auto" w:fill="FFFFFF"/>
                          </w:tcPr>
                          <w:p w:rsidR="00500724" w:rsidRDefault="00F30FB8">
                            <w:pPr>
                              <w:pStyle w:val="Jin0"/>
                              <w:shd w:val="clear" w:color="auto" w:fill="auto"/>
                              <w:ind w:firstLine="0"/>
                              <w:jc w:val="right"/>
                              <w:rPr>
                                <w:sz w:val="18"/>
                                <w:szCs w:val="18"/>
                              </w:rPr>
                            </w:pPr>
                            <w:r>
                              <w:rPr>
                                <w:sz w:val="18"/>
                                <w:szCs w:val="18"/>
                              </w:rPr>
                              <w:t>303</w:t>
                            </w:r>
                          </w:p>
                        </w:tc>
                        <w:tc>
                          <w:tcPr>
                            <w:tcW w:w="576" w:type="dxa"/>
                            <w:shd w:val="clear" w:color="auto" w:fill="FFFFFF"/>
                          </w:tcPr>
                          <w:p w:rsidR="00500724" w:rsidRDefault="00F30FB8">
                            <w:pPr>
                              <w:pStyle w:val="Jin0"/>
                              <w:shd w:val="clear" w:color="auto" w:fill="auto"/>
                              <w:ind w:firstLine="0"/>
                              <w:jc w:val="center"/>
                              <w:rPr>
                                <w:sz w:val="18"/>
                                <w:szCs w:val="18"/>
                              </w:rPr>
                            </w:pPr>
                            <w:r>
                              <w:rPr>
                                <w:sz w:val="18"/>
                                <w:szCs w:val="18"/>
                              </w:rPr>
                              <w:t>50.8</w:t>
                            </w:r>
                          </w:p>
                        </w:tc>
                        <w:tc>
                          <w:tcPr>
                            <w:tcW w:w="2266" w:type="dxa"/>
                            <w:shd w:val="clear" w:color="auto" w:fill="FFFFFF"/>
                          </w:tcPr>
                          <w:p w:rsidR="00500724" w:rsidRDefault="00F30FB8">
                            <w:pPr>
                              <w:pStyle w:val="Jin0"/>
                              <w:shd w:val="clear" w:color="auto" w:fill="auto"/>
                              <w:ind w:firstLine="0"/>
                              <w:jc w:val="left"/>
                              <w:rPr>
                                <w:sz w:val="18"/>
                                <w:szCs w:val="18"/>
                              </w:rPr>
                            </w:pPr>
                            <w:r>
                              <w:rPr>
                                <w:sz w:val="18"/>
                                <w:szCs w:val="18"/>
                              </w:rPr>
                              <w:t>Francie (1935 a 1936)</w:t>
                            </w:r>
                          </w:p>
                        </w:tc>
                        <w:tc>
                          <w:tcPr>
                            <w:tcW w:w="1080" w:type="dxa"/>
                            <w:shd w:val="clear" w:color="auto" w:fill="FFFFFF"/>
                          </w:tcPr>
                          <w:p w:rsidR="00500724" w:rsidRDefault="00F30FB8">
                            <w:pPr>
                              <w:pStyle w:val="Jin0"/>
                              <w:shd w:val="clear" w:color="auto" w:fill="auto"/>
                              <w:ind w:firstLine="0"/>
                              <w:jc w:val="center"/>
                              <w:rPr>
                                <w:sz w:val="18"/>
                                <w:szCs w:val="18"/>
                              </w:rPr>
                            </w:pPr>
                            <w:r>
                              <w:rPr>
                                <w:sz w:val="18"/>
                                <w:szCs w:val="18"/>
                              </w:rPr>
                              <w:t>1,270.600</w:t>
                            </w:r>
                          </w:p>
                        </w:tc>
                        <w:tc>
                          <w:tcPr>
                            <w:tcW w:w="955" w:type="dxa"/>
                            <w:shd w:val="clear" w:color="auto" w:fill="FFFFFF"/>
                          </w:tcPr>
                          <w:p w:rsidR="00500724" w:rsidRDefault="00F30FB8">
                            <w:pPr>
                              <w:pStyle w:val="Jin0"/>
                              <w:shd w:val="clear" w:color="auto" w:fill="auto"/>
                              <w:ind w:right="80" w:firstLine="0"/>
                              <w:jc w:val="center"/>
                              <w:rPr>
                                <w:sz w:val="18"/>
                                <w:szCs w:val="18"/>
                              </w:rPr>
                            </w:pPr>
                            <w:r>
                              <w:rPr>
                                <w:sz w:val="18"/>
                                <w:szCs w:val="18"/>
                              </w:rPr>
                              <w:t>1,300.500</w:t>
                            </w:r>
                          </w:p>
                        </w:tc>
                        <w:tc>
                          <w:tcPr>
                            <w:tcW w:w="874" w:type="dxa"/>
                            <w:shd w:val="clear" w:color="auto" w:fill="FFFFFF"/>
                          </w:tcPr>
                          <w:p w:rsidR="00500724" w:rsidRDefault="00F30FB8">
                            <w:pPr>
                              <w:pStyle w:val="Jin0"/>
                              <w:shd w:val="clear" w:color="auto" w:fill="auto"/>
                              <w:ind w:firstLine="0"/>
                              <w:jc w:val="right"/>
                              <w:rPr>
                                <w:sz w:val="18"/>
                                <w:szCs w:val="18"/>
                              </w:rPr>
                            </w:pPr>
                            <w:r>
                              <w:rPr>
                                <w:sz w:val="18"/>
                                <w:szCs w:val="18"/>
                              </w:rPr>
                              <w:t>— 29.900</w:t>
                            </w:r>
                          </w:p>
                        </w:tc>
                      </w:tr>
                    </w:tbl>
                    <w:p w:rsidR="00000000" w:rsidRDefault="00F30FB8"/>
                  </w:txbxContent>
                </v:textbox>
                <w10:wrap type="topAndBottom" anchorx="page"/>
              </v:shape>
            </w:pict>
          </mc:Fallback>
        </mc:AlternateContent>
      </w:r>
      <w:r>
        <w:rPr>
          <w:noProof/>
        </w:rPr>
        <mc:AlternateContent>
          <mc:Choice Requires="wps">
            <w:drawing>
              <wp:anchor distT="0" distB="0" distL="0" distR="0" simplePos="0" relativeHeight="125829786" behindDoc="0" locked="0" layoutInCell="1" allowOverlap="1">
                <wp:simplePos x="0" y="0"/>
                <wp:positionH relativeFrom="page">
                  <wp:posOffset>480695</wp:posOffset>
                </wp:positionH>
                <wp:positionV relativeFrom="paragraph">
                  <wp:posOffset>8394700</wp:posOffset>
                </wp:positionV>
                <wp:extent cx="3200400" cy="115570"/>
                <wp:effectExtent l="0" t="0" r="0" b="0"/>
                <wp:wrapTopAndBottom/>
                <wp:docPr id="409" name="Shape 409"/>
                <wp:cNvGraphicFramePr/>
                <a:graphic xmlns:a="http://schemas.openxmlformats.org/drawingml/2006/main">
                  <a:graphicData uri="http://schemas.microsoft.com/office/word/2010/wordprocessingShape">
                    <wps:wsp>
                      <wps:cNvSpPr txBox="1"/>
                      <wps:spPr>
                        <a:xfrm>
                          <a:off x="0" y="0"/>
                          <a:ext cx="3200400" cy="115570"/>
                        </a:xfrm>
                        <a:prstGeom prst="rect">
                          <a:avLst/>
                        </a:prstGeom>
                        <a:noFill/>
                      </wps:spPr>
                      <wps:txbx>
                        <w:txbxContent>
                          <w:p w:rsidR="00500724" w:rsidRDefault="00F30FB8">
                            <w:pPr>
                              <w:pStyle w:val="Titulektabulky0"/>
                              <w:shd w:val="clear" w:color="auto" w:fill="auto"/>
                              <w:tabs>
                                <w:tab w:val="left" w:pos="2302"/>
                                <w:tab w:val="left" w:pos="3391"/>
                                <w:tab w:val="left" w:pos="4471"/>
                              </w:tabs>
                              <w:spacing w:line="192" w:lineRule="auto"/>
                              <w:ind w:left="1260"/>
                              <w:rPr>
                                <w:sz w:val="18"/>
                                <w:szCs w:val="18"/>
                              </w:rPr>
                            </w:pPr>
                            <w:r>
                              <w:rPr>
                                <w:b w:val="0"/>
                                <w:bCs w:val="0"/>
                                <w:sz w:val="18"/>
                                <w:szCs w:val="18"/>
                              </w:rPr>
                              <w:t>1810</w:t>
                            </w:r>
                            <w:r>
                              <w:rPr>
                                <w:b w:val="0"/>
                                <w:bCs w:val="0"/>
                                <w:sz w:val="18"/>
                                <w:szCs w:val="18"/>
                              </w:rPr>
                              <w:tab/>
                              <w:t>1910</w:t>
                            </w:r>
                            <w:r>
                              <w:rPr>
                                <w:b w:val="0"/>
                                <w:bCs w:val="0"/>
                                <w:sz w:val="18"/>
                                <w:szCs w:val="18"/>
                              </w:rPr>
                              <w:tab/>
                              <w:t>1930</w:t>
                            </w:r>
                            <w:r>
                              <w:rPr>
                                <w:b w:val="0"/>
                                <w:bCs w:val="0"/>
                                <w:sz w:val="18"/>
                                <w:szCs w:val="18"/>
                              </w:rPr>
                              <w:tab/>
                              <w:t>1960</w:t>
                            </w:r>
                          </w:p>
                        </w:txbxContent>
                      </wps:txbx>
                      <wps:bodyPr lIns="0" tIns="0" rIns="0" bIns="0">
                        <a:spAutoFit/>
                      </wps:bodyPr>
                    </wps:wsp>
                  </a:graphicData>
                </a:graphic>
              </wp:anchor>
            </w:drawing>
          </mc:Choice>
          <mc:Fallback>
            <w:pict>
              <v:shape id="_x0000_s1435" type="#_x0000_t202" style="position:absolute;margin-left:37.850000000000001pt;margin-top:661.pt;width:252.pt;height:9.0999999999999996pt;z-index:-125828967;mso-wrap-distance-left:0;mso-wrap-distance-right:0;mso-position-horizontal-relative:page" filled="f" stroked="f">
                <v:textbox style="mso-fit-shape-to-text:t" inset="0,0,0,0">
                  <w:txbxContent>
                    <w:p>
                      <w:pPr>
                        <w:pStyle w:val="Style206"/>
                        <w:keepNext w:val="0"/>
                        <w:keepLines w:val="0"/>
                        <w:widowControl w:val="0"/>
                        <w:shd w:val="clear" w:color="auto" w:fill="auto"/>
                        <w:tabs>
                          <w:tab w:pos="2302" w:val="left"/>
                          <w:tab w:pos="3391" w:val="left"/>
                          <w:tab w:pos="4471" w:val="left"/>
                        </w:tabs>
                        <w:bidi w:val="0"/>
                        <w:spacing w:before="0" w:after="0" w:line="192" w:lineRule="auto"/>
                        <w:ind w:left="1260" w:right="0" w:firstLine="0"/>
                        <w:rPr>
                          <w:sz w:val="18"/>
                          <w:szCs w:val="18"/>
                        </w:rPr>
                      </w:pPr>
                      <w:r>
                        <w:rPr>
                          <w:b w:val="0"/>
                          <w:bCs w:val="0"/>
                          <w:color w:val="000000"/>
                          <w:spacing w:val="0"/>
                          <w:w w:val="100"/>
                          <w:position w:val="0"/>
                          <w:sz w:val="18"/>
                          <w:szCs w:val="18"/>
                          <w:shd w:val="clear" w:color="auto" w:fill="auto"/>
                          <w:lang w:val="cs-CZ" w:eastAsia="cs-CZ" w:bidi="cs-CZ"/>
                        </w:rPr>
                        <w:t>1810</w:t>
                        <w:tab/>
                        <w:t>1910</w:t>
                        <w:tab/>
                        <w:t>1930</w:t>
                        <w:tab/>
                        <w:t>1960</w:t>
                      </w:r>
                    </w:p>
                  </w:txbxContent>
                </v:textbox>
                <w10:wrap type="topAndBottom" anchorx="page"/>
              </v:shape>
            </w:pict>
          </mc:Fallback>
        </mc:AlternateContent>
      </w:r>
      <w:r>
        <w:rPr>
          <w:noProof/>
        </w:rPr>
        <mc:AlternateContent>
          <mc:Choice Requires="wps">
            <w:drawing>
              <wp:anchor distT="0" distB="0" distL="0" distR="0" simplePos="0" relativeHeight="125829788" behindDoc="0" locked="0" layoutInCell="1" allowOverlap="1">
                <wp:simplePos x="0" y="0"/>
                <wp:positionH relativeFrom="page">
                  <wp:posOffset>3809365</wp:posOffset>
                </wp:positionH>
                <wp:positionV relativeFrom="paragraph">
                  <wp:posOffset>8232775</wp:posOffset>
                </wp:positionV>
                <wp:extent cx="3212465" cy="250190"/>
                <wp:effectExtent l="0" t="0" r="0" b="0"/>
                <wp:wrapTopAndBottom/>
                <wp:docPr id="411" name="Shape 411"/>
                <wp:cNvGraphicFramePr/>
                <a:graphic xmlns:a="http://schemas.openxmlformats.org/drawingml/2006/main">
                  <a:graphicData uri="http://schemas.microsoft.com/office/word/2010/wordprocessingShape">
                    <wps:wsp>
                      <wps:cNvSpPr txBox="1"/>
                      <wps:spPr>
                        <a:xfrm>
                          <a:off x="0" y="0"/>
                          <a:ext cx="3212465" cy="250190"/>
                        </a:xfrm>
                        <a:prstGeom prst="rect">
                          <a:avLst/>
                        </a:prstGeom>
                        <a:noFill/>
                      </wps:spPr>
                      <wps:txbx>
                        <w:txbxContent>
                          <w:p w:rsidR="00500724" w:rsidRDefault="00F30FB8">
                            <w:pPr>
                              <w:pStyle w:val="Titulektabulky0"/>
                              <w:shd w:val="clear" w:color="auto" w:fill="auto"/>
                              <w:spacing w:line="223" w:lineRule="auto"/>
                              <w:jc w:val="center"/>
                              <w:rPr>
                                <w:sz w:val="18"/>
                                <w:szCs w:val="18"/>
                              </w:rPr>
                            </w:pPr>
                            <w:r>
                              <w:rPr>
                                <w:b w:val="0"/>
                                <w:bCs w:val="0"/>
                                <w:sz w:val="18"/>
                                <w:szCs w:val="18"/>
                              </w:rPr>
                              <w:t xml:space="preserve">Pohyb obyvatelstva ve Francii, Itálií a </w:t>
                            </w:r>
                            <w:r>
                              <w:rPr>
                                <w:b w:val="0"/>
                                <w:bCs w:val="0"/>
                                <w:sz w:val="18"/>
                                <w:szCs w:val="18"/>
                              </w:rPr>
                              <w:t>Německu za rok 1935 a 1936</w:t>
                            </w:r>
                          </w:p>
                        </w:txbxContent>
                      </wps:txbx>
                      <wps:bodyPr lIns="0" tIns="0" rIns="0" bIns="0">
                        <a:spAutoFit/>
                      </wps:bodyPr>
                    </wps:wsp>
                  </a:graphicData>
                </a:graphic>
              </wp:anchor>
            </w:drawing>
          </mc:Choice>
          <mc:Fallback>
            <w:pict>
              <v:shape id="_x0000_s1437" type="#_x0000_t202" style="position:absolute;margin-left:299.94999999999999pt;margin-top:648.25pt;width:252.94999999999999pt;height:19.699999999999999pt;z-index:-125828965;mso-wrap-distance-left:0;mso-wrap-distance-right:0;mso-position-horizontal-relative:page" filled="f" stroked="f">
                <v:textbox style="mso-fit-shape-to-text:t" inset="0,0,0,0">
                  <w:txbxContent>
                    <w:p>
                      <w:pPr>
                        <w:pStyle w:val="Style206"/>
                        <w:keepNext w:val="0"/>
                        <w:keepLines w:val="0"/>
                        <w:widowControl w:val="0"/>
                        <w:shd w:val="clear" w:color="auto" w:fill="auto"/>
                        <w:bidi w:val="0"/>
                        <w:spacing w:before="0" w:after="0" w:line="223" w:lineRule="auto"/>
                        <w:ind w:left="0" w:right="0" w:firstLine="0"/>
                        <w:jc w:val="center"/>
                        <w:rPr>
                          <w:sz w:val="18"/>
                          <w:szCs w:val="18"/>
                        </w:rPr>
                      </w:pPr>
                      <w:r>
                        <w:rPr>
                          <w:b w:val="0"/>
                          <w:bCs w:val="0"/>
                          <w:color w:val="000000"/>
                          <w:spacing w:val="0"/>
                          <w:w w:val="100"/>
                          <w:position w:val="0"/>
                          <w:sz w:val="18"/>
                          <w:szCs w:val="18"/>
                          <w:shd w:val="clear" w:color="auto" w:fill="auto"/>
                          <w:lang w:val="cs-CZ" w:eastAsia="cs-CZ" w:bidi="cs-CZ"/>
                        </w:rPr>
                        <w:t>Pohyb obyvatelstva ve Francii, Itálií a Německu za rok 1935 a 1936</w:t>
                      </w:r>
                    </w:p>
                  </w:txbxContent>
                </v:textbox>
                <w10:wrap type="topAndBottom" anchorx="page"/>
              </v:shape>
            </w:pict>
          </mc:Fallback>
        </mc:AlternateContent>
      </w:r>
    </w:p>
    <w:p w:rsidR="00500724" w:rsidRDefault="00F30FB8">
      <w:pPr>
        <w:pStyle w:val="Zkladntext20"/>
        <w:shd w:val="clear" w:color="auto" w:fill="auto"/>
        <w:spacing w:line="240" w:lineRule="auto"/>
        <w:ind w:firstLine="0"/>
        <w:jc w:val="center"/>
        <w:rPr>
          <w:sz w:val="20"/>
          <w:szCs w:val="20"/>
        </w:rPr>
      </w:pPr>
      <w:r>
        <w:rPr>
          <w:b/>
          <w:bCs/>
          <w:sz w:val="20"/>
          <w:szCs w:val="20"/>
        </w:rPr>
        <w:t>Sláva a pád Francia</w:t>
      </w:r>
    </w:p>
    <w:p w:rsidR="00500724" w:rsidRDefault="00F30FB8">
      <w:pPr>
        <w:pStyle w:val="Zkladntext100"/>
        <w:shd w:val="clear" w:color="auto" w:fill="auto"/>
        <w:spacing w:line="218" w:lineRule="auto"/>
        <w:ind w:firstLine="200"/>
      </w:pPr>
      <w:r>
        <w:t>V populačních číslech vidíme jako v zrcadla dějinný vývoj národů. Francie, která byla za Ludvíka XIV. popu</w:t>
      </w:r>
      <w:r>
        <w:softHyphen/>
        <w:t>lačně nejsilnějším státem Evropy, je ještě r. 1800 na před</w:t>
      </w:r>
      <w:r>
        <w:softHyphen/>
        <w:t xml:space="preserve">ním místě mezi velmocemi. Jen když si </w:t>
      </w:r>
      <w:r>
        <w:t>uvědomíme její ohromnou poměrnou populační sílu, dovedeme pochopili slávu a velikost jejích válečných dobrodružství pod pra</w:t>
      </w:r>
      <w:r>
        <w:softHyphen/>
        <w:t>pory Republiky i Císařství. Ještě roku 1800 má skoro o po</w:t>
      </w:r>
      <w:r>
        <w:softHyphen/>
        <w:t>lovinu obyvatel více než Itálie a téměř třikrál tolik jako Španělsko. Něme</w:t>
      </w:r>
      <w:r>
        <w:t>cko, které má o tři miliony obyvatel méně, mizí zcela v jejím stínu. Její největší nepřítel, An</w:t>
      </w:r>
      <w:r>
        <w:softHyphen/>
        <w:t>glie, má rovněž skoro o polovinu obyvatel méně. Přes to překonala již nejvyšší bod svého růstu. Podle Landryho počíná klesali plodnost francouzských žen již kon</w:t>
      </w:r>
      <w:r>
        <w:t>cem sto</w:t>
      </w:r>
      <w:r>
        <w:softHyphen/>
        <w:t>letí osmnáctého.</w:t>
      </w:r>
    </w:p>
    <w:p w:rsidR="00500724" w:rsidRDefault="00F30FB8">
      <w:pPr>
        <w:pStyle w:val="Zkladntext100"/>
        <w:shd w:val="clear" w:color="auto" w:fill="auto"/>
        <w:spacing w:line="216" w:lineRule="auto"/>
        <w:ind w:firstLine="200"/>
      </w:pPr>
      <w:r>
        <w:t>Století devatenácté je populační bitvou mezi Francií a Německem. Německé vítězství na tomto poli mělo za nutný následek Sedan, když němečtí profesoři vykládali již půl století o úpadku a degeneraci francouzské rasy. V r. 1900 vidím</w:t>
      </w:r>
      <w:r>
        <w:t xml:space="preserve">e úplný převrat v populační rovnováze evropských států. Všichni sousedé Francie ji populačně dostihují neb </w:t>
      </w:r>
      <w:r>
        <w:rPr>
          <w:b/>
          <w:bCs/>
          <w:sz w:val="20"/>
          <w:szCs w:val="20"/>
        </w:rPr>
        <w:t xml:space="preserve">i </w:t>
      </w:r>
      <w:r>
        <w:t>předhánějí, Itálie, která nesla zvláště těžce svůj úděl »menší latinské sestryr, má již o pouhých 6 milionů oby</w:t>
      </w:r>
      <w:r>
        <w:softHyphen/>
        <w:t>vatel méně. V předvečer světové vál</w:t>
      </w:r>
      <w:r>
        <w:t>ky stál proti stacio</w:t>
      </w:r>
      <w:r>
        <w:softHyphen/>
        <w:t xml:space="preserve">nárnímu obyvatelstvu Francie příval Německa, kterému </w:t>
      </w:r>
      <w:r>
        <w:rPr>
          <w:b/>
          <w:bCs/>
          <w:sz w:val="19"/>
          <w:szCs w:val="19"/>
        </w:rPr>
        <w:t xml:space="preserve">s </w:t>
      </w:r>
      <w:r>
        <w:t>každým populačním přebytkem rostlo sebevědomí.</w:t>
      </w:r>
    </w:p>
    <w:p w:rsidR="00500724" w:rsidRDefault="00F30FB8">
      <w:pPr>
        <w:pStyle w:val="Zkladntext20"/>
        <w:shd w:val="clear" w:color="auto" w:fill="auto"/>
        <w:spacing w:line="240" w:lineRule="auto"/>
        <w:ind w:firstLine="0"/>
        <w:jc w:val="center"/>
        <w:rPr>
          <w:sz w:val="20"/>
          <w:szCs w:val="20"/>
        </w:rPr>
      </w:pPr>
      <w:r>
        <w:rPr>
          <w:b/>
          <w:bCs/>
          <w:sz w:val="20"/>
          <w:szCs w:val="20"/>
        </w:rPr>
        <w:t>Ruský tlak</w:t>
      </w:r>
    </w:p>
    <w:p w:rsidR="00500724" w:rsidRDefault="00F30FB8">
      <w:pPr>
        <w:pStyle w:val="Zkladntext100"/>
        <w:shd w:val="clear" w:color="auto" w:fill="auto"/>
        <w:spacing w:after="100" w:line="216" w:lineRule="auto"/>
        <w:ind w:firstLine="200"/>
      </w:pPr>
      <w:r>
        <w:t>Možno-li však mluviti o vítězi v tomto závodění národů, bylo již před světovou válkou zřejmo, že jím je někdo jiný než Něm</w:t>
      </w:r>
      <w:r>
        <w:t>ecko. Podívejme se na vývoj čtyř světových vel</w:t>
      </w:r>
      <w:r>
        <w:softHyphen/>
        <w:t>mocí po stránce populační.</w:t>
      </w:r>
    </w:p>
    <w:p w:rsidR="00500724" w:rsidRDefault="00F30FB8">
      <w:pPr>
        <w:pStyle w:val="Titulektabulky0"/>
        <w:shd w:val="clear" w:color="auto" w:fill="auto"/>
        <w:jc w:val="center"/>
        <w:rPr>
          <w:sz w:val="18"/>
          <w:szCs w:val="18"/>
        </w:rPr>
      </w:pPr>
      <w:r>
        <w:rPr>
          <w:b w:val="0"/>
          <w:bCs w:val="0"/>
          <w:sz w:val="18"/>
          <w:szCs w:val="18"/>
        </w:rPr>
        <w:t>Z každého 1000 obyvatel v Evropě připadalo na: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912"/>
        <w:gridCol w:w="869"/>
        <w:gridCol w:w="710"/>
      </w:tblGrid>
      <w:tr w:rsidR="00500724">
        <w:tblPrEx>
          <w:tblCellMar>
            <w:top w:w="0" w:type="dxa"/>
            <w:bottom w:w="0" w:type="dxa"/>
          </w:tblCellMar>
        </w:tblPrEx>
        <w:trPr>
          <w:trHeight w:hRule="exact" w:val="192"/>
          <w:jc w:val="center"/>
        </w:trPr>
        <w:tc>
          <w:tcPr>
            <w:tcW w:w="0" w:type="auto"/>
            <w:shd w:val="clear" w:color="auto" w:fill="FFFFFF"/>
          </w:tcPr>
          <w:p w:rsidR="00500724" w:rsidRDefault="00500724">
            <w:pPr>
              <w:rPr>
                <w:sz w:val="10"/>
                <w:szCs w:val="10"/>
              </w:rPr>
            </w:pP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r. 1801</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r. 1905</w:t>
            </w:r>
          </w:p>
        </w:tc>
        <w:tc>
          <w:tcPr>
            <w:tcW w:w="0" w:type="auto"/>
            <w:shd w:val="clear" w:color="auto" w:fill="FFFFFF"/>
            <w:vAlign w:val="bottom"/>
          </w:tcPr>
          <w:p w:rsidR="00500724" w:rsidRDefault="00F30FB8">
            <w:pPr>
              <w:pStyle w:val="Jin0"/>
              <w:shd w:val="clear" w:color="auto" w:fill="auto"/>
              <w:ind w:right="20" w:firstLine="0"/>
              <w:jc w:val="center"/>
              <w:rPr>
                <w:sz w:val="18"/>
                <w:szCs w:val="18"/>
              </w:rPr>
            </w:pPr>
            <w:r>
              <w:rPr>
                <w:sz w:val="18"/>
                <w:szCs w:val="18"/>
              </w:rPr>
              <w:t>r. 1936</w:t>
            </w:r>
          </w:p>
        </w:tc>
      </w:tr>
      <w:tr w:rsidR="00500724">
        <w:tblPrEx>
          <w:tblCellMar>
            <w:top w:w="0" w:type="dxa"/>
            <w:bottom w:w="0" w:type="dxa"/>
          </w:tblCellMar>
        </w:tblPrEx>
        <w:trPr>
          <w:trHeight w:hRule="exact" w:val="182"/>
          <w:jc w:val="center"/>
        </w:trPr>
        <w:tc>
          <w:tcPr>
            <w:tcW w:w="0" w:type="auto"/>
            <w:shd w:val="clear" w:color="auto" w:fill="FFFFFF"/>
            <w:vAlign w:val="bottom"/>
          </w:tcPr>
          <w:p w:rsidR="00500724" w:rsidRDefault="00F30FB8">
            <w:pPr>
              <w:pStyle w:val="Jin0"/>
              <w:shd w:val="clear" w:color="auto" w:fill="auto"/>
              <w:ind w:firstLine="0"/>
              <w:jc w:val="left"/>
              <w:rPr>
                <w:sz w:val="18"/>
                <w:szCs w:val="18"/>
              </w:rPr>
            </w:pPr>
            <w:r>
              <w:rPr>
                <w:sz w:val="18"/>
                <w:szCs w:val="18"/>
              </w:rPr>
              <w:t>Vel. Britanii</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93</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105</w:t>
            </w:r>
          </w:p>
        </w:tc>
        <w:tc>
          <w:tcPr>
            <w:tcW w:w="0" w:type="auto"/>
            <w:shd w:val="clear" w:color="auto" w:fill="FFFFFF"/>
            <w:vAlign w:val="bottom"/>
          </w:tcPr>
          <w:p w:rsidR="00500724" w:rsidRDefault="00F30FB8">
            <w:pPr>
              <w:pStyle w:val="Jin0"/>
              <w:shd w:val="clear" w:color="auto" w:fill="auto"/>
              <w:ind w:right="20" w:firstLine="0"/>
              <w:jc w:val="center"/>
              <w:rPr>
                <w:sz w:val="18"/>
                <w:szCs w:val="18"/>
              </w:rPr>
            </w:pPr>
            <w:r>
              <w:rPr>
                <w:sz w:val="18"/>
                <w:szCs w:val="18"/>
              </w:rPr>
              <w:t>89</w:t>
            </w:r>
          </w:p>
        </w:tc>
      </w:tr>
      <w:tr w:rsidR="00500724">
        <w:tblPrEx>
          <w:tblCellMar>
            <w:top w:w="0" w:type="dxa"/>
            <w:bottom w:w="0" w:type="dxa"/>
          </w:tblCellMar>
        </w:tblPrEx>
        <w:trPr>
          <w:trHeight w:hRule="exact" w:val="168"/>
          <w:jc w:val="center"/>
        </w:trPr>
        <w:tc>
          <w:tcPr>
            <w:tcW w:w="0" w:type="auto"/>
            <w:shd w:val="clear" w:color="auto" w:fill="FFFFFF"/>
            <w:vAlign w:val="bottom"/>
          </w:tcPr>
          <w:p w:rsidR="00500724" w:rsidRDefault="00F30FB8">
            <w:pPr>
              <w:pStyle w:val="Jin0"/>
              <w:shd w:val="clear" w:color="auto" w:fill="auto"/>
              <w:ind w:firstLine="0"/>
              <w:jc w:val="left"/>
              <w:rPr>
                <w:sz w:val="18"/>
                <w:szCs w:val="18"/>
              </w:rPr>
            </w:pPr>
            <w:r>
              <w:rPr>
                <w:sz w:val="18"/>
                <w:szCs w:val="18"/>
              </w:rPr>
              <w:t>Francii</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158</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94</w:t>
            </w:r>
          </w:p>
        </w:tc>
        <w:tc>
          <w:tcPr>
            <w:tcW w:w="0" w:type="auto"/>
            <w:shd w:val="clear" w:color="auto" w:fill="FFFFFF"/>
            <w:vAlign w:val="bottom"/>
          </w:tcPr>
          <w:p w:rsidR="00500724" w:rsidRDefault="00F30FB8">
            <w:pPr>
              <w:pStyle w:val="Jin0"/>
              <w:shd w:val="clear" w:color="auto" w:fill="auto"/>
              <w:ind w:right="140" w:firstLine="0"/>
              <w:jc w:val="center"/>
              <w:rPr>
                <w:sz w:val="18"/>
                <w:szCs w:val="18"/>
              </w:rPr>
            </w:pPr>
            <w:r>
              <w:rPr>
                <w:sz w:val="18"/>
                <w:szCs w:val="18"/>
              </w:rPr>
              <w:t>79</w:t>
            </w:r>
          </w:p>
        </w:tc>
      </w:tr>
      <w:tr w:rsidR="00500724">
        <w:tblPrEx>
          <w:tblCellMar>
            <w:top w:w="0" w:type="dxa"/>
            <w:bottom w:w="0" w:type="dxa"/>
          </w:tblCellMar>
        </w:tblPrEx>
        <w:trPr>
          <w:trHeight w:hRule="exact" w:val="163"/>
          <w:jc w:val="center"/>
        </w:trPr>
        <w:tc>
          <w:tcPr>
            <w:tcW w:w="0" w:type="auto"/>
            <w:shd w:val="clear" w:color="auto" w:fill="FFFFFF"/>
          </w:tcPr>
          <w:p w:rsidR="00500724" w:rsidRDefault="00F30FB8">
            <w:pPr>
              <w:pStyle w:val="Jin0"/>
              <w:shd w:val="clear" w:color="auto" w:fill="auto"/>
              <w:ind w:firstLine="0"/>
              <w:jc w:val="left"/>
              <w:rPr>
                <w:sz w:val="18"/>
                <w:szCs w:val="18"/>
              </w:rPr>
            </w:pPr>
            <w:r>
              <w:rPr>
                <w:sz w:val="18"/>
                <w:szCs w:val="18"/>
              </w:rPr>
              <w:t>Rusko</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200</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285</w:t>
            </w:r>
          </w:p>
        </w:tc>
        <w:tc>
          <w:tcPr>
            <w:tcW w:w="0" w:type="auto"/>
            <w:shd w:val="clear" w:color="auto" w:fill="FFFFFF"/>
          </w:tcPr>
          <w:p w:rsidR="00500724" w:rsidRDefault="00F30FB8">
            <w:pPr>
              <w:pStyle w:val="Jin0"/>
              <w:shd w:val="clear" w:color="auto" w:fill="auto"/>
              <w:ind w:right="120" w:firstLine="0"/>
              <w:jc w:val="center"/>
              <w:rPr>
                <w:sz w:val="18"/>
                <w:szCs w:val="18"/>
              </w:rPr>
            </w:pPr>
            <w:r>
              <w:rPr>
                <w:sz w:val="18"/>
                <w:szCs w:val="18"/>
              </w:rPr>
              <w:t>328</w:t>
            </w:r>
          </w:p>
        </w:tc>
      </w:tr>
      <w:tr w:rsidR="00500724">
        <w:tblPrEx>
          <w:tblCellMar>
            <w:top w:w="0" w:type="dxa"/>
            <w:bottom w:w="0" w:type="dxa"/>
          </w:tblCellMar>
        </w:tblPrEx>
        <w:trPr>
          <w:trHeight w:hRule="exact" w:val="187"/>
          <w:jc w:val="center"/>
        </w:trPr>
        <w:tc>
          <w:tcPr>
            <w:tcW w:w="0" w:type="auto"/>
            <w:shd w:val="clear" w:color="auto" w:fill="FFFFFF"/>
          </w:tcPr>
          <w:p w:rsidR="00500724" w:rsidRDefault="00F30FB8">
            <w:pPr>
              <w:pStyle w:val="Jin0"/>
              <w:shd w:val="clear" w:color="auto" w:fill="auto"/>
              <w:ind w:firstLine="0"/>
              <w:jc w:val="left"/>
              <w:rPr>
                <w:sz w:val="18"/>
                <w:szCs w:val="18"/>
              </w:rPr>
            </w:pPr>
            <w:r>
              <w:rPr>
                <w:sz w:val="18"/>
                <w:szCs w:val="18"/>
              </w:rPr>
              <w:t>Německo</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160</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145</w:t>
            </w:r>
          </w:p>
        </w:tc>
        <w:tc>
          <w:tcPr>
            <w:tcW w:w="0" w:type="auto"/>
            <w:shd w:val="clear" w:color="auto" w:fill="FFFFFF"/>
          </w:tcPr>
          <w:p w:rsidR="00500724" w:rsidRDefault="00F30FB8">
            <w:pPr>
              <w:pStyle w:val="Jin0"/>
              <w:shd w:val="clear" w:color="auto" w:fill="auto"/>
              <w:ind w:right="120" w:firstLine="0"/>
              <w:jc w:val="center"/>
              <w:rPr>
                <w:sz w:val="18"/>
                <w:szCs w:val="18"/>
              </w:rPr>
            </w:pPr>
            <w:r>
              <w:rPr>
                <w:sz w:val="18"/>
                <w:szCs w:val="18"/>
              </w:rPr>
              <w:t>127</w:t>
            </w:r>
          </w:p>
        </w:tc>
      </w:tr>
    </w:tbl>
    <w:p w:rsidR="00500724" w:rsidRDefault="00F30FB8">
      <w:pPr>
        <w:pStyle w:val="Zkladntext100"/>
        <w:shd w:val="clear" w:color="auto" w:fill="auto"/>
        <w:spacing w:line="216" w:lineRule="auto"/>
        <w:ind w:firstLine="300"/>
      </w:pPr>
      <w:r>
        <w:t xml:space="preserve">Ohromný vzestup ruské populace vysvitne ještě lépe při srovnání s Německem. Evropské Rusko má roku 1800 39 milionů obyvatel </w:t>
      </w:r>
      <w:r>
        <w:rPr>
          <w:b/>
          <w:bCs/>
          <w:sz w:val="20"/>
          <w:szCs w:val="20"/>
        </w:rPr>
        <w:t xml:space="preserve">a </w:t>
      </w:r>
      <w:r>
        <w:t>Německo 24.5 milionu. Roku 1900 má Rusko 110 milionů, Německo 56.4 milionu a dnes stojí proti 173 milionům obyvatelstva Sovětského</w:t>
      </w:r>
      <w:r>
        <w:t xml:space="preserve"> Svazu 80 mi</w:t>
      </w:r>
      <w:r>
        <w:softHyphen/>
        <w:t>lionů obyvatel Říše před připojením Rakouska a sudet</w:t>
      </w:r>
      <w:r>
        <w:softHyphen/>
        <w:t>ského území. Chápeme proto povzdech Hitlerův, když mlu</w:t>
      </w:r>
      <w:r>
        <w:softHyphen/>
        <w:t>vil s lordem Londonderrym o možnosti války proti bolše- vismu: »Za třicet let bude již pozdě!«</w:t>
      </w:r>
    </w:p>
    <w:p w:rsidR="00500724" w:rsidRDefault="00F30FB8">
      <w:pPr>
        <w:pStyle w:val="Zkladntext100"/>
        <w:shd w:val="clear" w:color="auto" w:fill="auto"/>
        <w:spacing w:line="211" w:lineRule="auto"/>
        <w:ind w:firstLine="300"/>
      </w:pPr>
      <w:r>
        <w:t>Že si i Němci uvědomují tuto skutečnost,</w:t>
      </w:r>
      <w:r>
        <w:t xml:space="preserve"> je vidět na př. </w:t>
      </w:r>
      <w:r>
        <w:rPr>
          <w:b/>
          <w:bCs/>
          <w:sz w:val="20"/>
          <w:szCs w:val="20"/>
        </w:rPr>
        <w:t xml:space="preserve">z </w:t>
      </w:r>
      <w:r>
        <w:t xml:space="preserve">knihy známé autority německé, </w:t>
      </w:r>
      <w:r>
        <w:rPr>
          <w:lang w:val="en-US" w:eastAsia="en-US" w:bidi="en-US"/>
        </w:rPr>
        <w:t xml:space="preserve">prof. </w:t>
      </w:r>
      <w:r>
        <w:t>F. Burgdorfra. Burg- dorfer mluví o přesunu evropského populačního těžiště, těžiště.</w:t>
      </w:r>
    </w:p>
    <w:p w:rsidR="00500724" w:rsidRDefault="00F30FB8">
      <w:pPr>
        <w:pStyle w:val="Zkladntext100"/>
        <w:shd w:val="clear" w:color="auto" w:fill="auto"/>
        <w:spacing w:line="192" w:lineRule="auto"/>
        <w:ind w:left="560" w:firstLine="160"/>
      </w:pPr>
      <w:r>
        <w:t>»Západní, střední a severní Evropa vstoupily již do znamení populační stagnace. Jihorománské, přede</w:t>
      </w:r>
      <w:r>
        <w:softHyphen/>
        <w:t>vším ale východo</w:t>
      </w:r>
      <w:r>
        <w:t>evropské národy jsou proti tomu — aspoň ještě zatím — v období silného růstu a tím pře</w:t>
      </w:r>
      <w:r>
        <w:softHyphen/>
        <w:t xml:space="preserve">sune se populační těžiště Evropy, které dříve leželo v západní a střední Evropě, stále více na východ. Od roku 1930 do roku 1960 jest očekávati v Evropě ještě přírůstek </w:t>
      </w:r>
      <w:r>
        <w:t>asi 100 milionů lidí, z nichž asi 80 milionů připadne jediné na slovanský vvchod, zatím co ger</w:t>
      </w:r>
      <w:r>
        <w:softHyphen/>
        <w:t>mánské a románské národy Evropy zúčastní se toho</w:t>
      </w:r>
      <w:r>
        <w:softHyphen/>
        <w:t>to přírůstku jen asi 10 miliony. Zatím co na začátku devatenáctého století měly tři veliké větve Evropy asi třet</w:t>
      </w:r>
      <w:r>
        <w:t>inový pódii na celkovém obyvatelstvu 180 milio</w:t>
      </w:r>
      <w:r>
        <w:softHyphen/>
        <w:t>nů, připadne ze 600 milionů Evropanů, kteří tu budou pravděpodobně roku 1960, přes 300 milionů nebo zhruba polovina na slovanské národy východní Ev</w:t>
      </w:r>
      <w:r>
        <w:softHyphen/>
        <w:t>ropy a jenom asi čtvrtina na germánské a románské národy.*</w:t>
      </w:r>
    </w:p>
    <w:p w:rsidR="00500724" w:rsidRDefault="00F30FB8">
      <w:pPr>
        <w:pStyle w:val="Zkladntext100"/>
        <w:shd w:val="clear" w:color="auto" w:fill="auto"/>
        <w:spacing w:line="192" w:lineRule="auto"/>
        <w:ind w:firstLine="300"/>
      </w:pPr>
      <w:r>
        <w:t>Čí</w:t>
      </w:r>
      <w:r>
        <w:t>selně vyjádřen vypadá tento poměr takto:</w:t>
      </w:r>
    </w:p>
    <w:p w:rsidR="00500724" w:rsidRDefault="00F30FB8">
      <w:pPr>
        <w:pStyle w:val="Zkladntext100"/>
        <w:shd w:val="clear" w:color="auto" w:fill="auto"/>
        <w:spacing w:line="218" w:lineRule="auto"/>
      </w:pPr>
      <w:r>
        <w:t xml:space="preserve">Chceme-li zůstati blízko skutečnosti, nesmíme ovšem předbíhali právě oněch třicet let. Dnes je populační tlak v Evropě největší u Německa a Itálie. Německo do roku 1938 nemá vůbec kolonií, a zámořské panství Itálie </w:t>
      </w:r>
      <w:r>
        <w:t>je malá ve srovnání s jinými státy. Je samozřejmé, že dnes jsou tyto státy ohnisky populačního tlaku. Jejich věkové slo</w:t>
      </w:r>
      <w:r>
        <w:softHyphen/>
        <w:t>žení je však takové, že počet jejich obyvatel se blíží již kulminačnímu bodu. Jejich populační růst nedostihne ni</w:t>
      </w:r>
      <w:r>
        <w:softHyphen/>
        <w:t>kdy růst národů slovan</w:t>
      </w:r>
      <w:r>
        <w:t>ských, neboř je předurčen, nebo, chceme-li, zpečetěn jejich věkovým složením. Toto platí ovšem více o Německu než o Itálii.</w:t>
      </w:r>
    </w:p>
    <w:p w:rsidR="00500724" w:rsidRDefault="00F30FB8">
      <w:pPr>
        <w:pStyle w:val="Zkladntext100"/>
        <w:shd w:val="clear" w:color="auto" w:fill="auto"/>
        <w:spacing w:line="218" w:lineRule="auto"/>
      </w:pPr>
      <w:r>
        <w:t xml:space="preserve">Podívejme se stručně na vojenský potenciál některých států kolem r. I960. Německo uvádíme v jeho rozsahu před připojením Rakouska a </w:t>
      </w:r>
      <w:r>
        <w:t>před Mnichovem. Jest zdůraznili, že Rakousko i sudetské země populačně mimo okamžitý početní přírůstek Německo neposílily. Rakousko mělo r. 1936 počet porodů na 1000 obyvatel 13.1, což je nejnižší číslo v Evropě vůbec. Autorem výpočtů je dr. Burgdórfer.</w:t>
      </w:r>
    </w:p>
    <w:p w:rsidR="00500724" w:rsidRDefault="00F30FB8">
      <w:pPr>
        <w:pStyle w:val="Zkladntext100"/>
        <w:shd w:val="clear" w:color="auto" w:fill="auto"/>
        <w:spacing w:after="80" w:line="218" w:lineRule="auto"/>
      </w:pPr>
      <w:r>
        <w:t>Po</w:t>
      </w:r>
      <w:r>
        <w:t>čet mužů od 20 do 45 let, kteří svým věkem tvoří jádro armád, stoupne na př. u Polska z 5.2 milionu r. 1930 na 8.2 milionu r. 1960. Německo, které má nyní 12.4 milionu mužů ve věku 20 až 45 let, bude jich mít roku 1960 jenom 11.7 milionu. Tvoří-li tedy pol</w:t>
      </w:r>
      <w:r>
        <w:t>ský počet dnes jenom 42%' počtu německého, bude r. 1960 tvořit plných 70%. Francia má dnes 7 milionů mužů tohoto věku, kdežto r. 1960 jich bude míti jenom 6.5 milionu. Spojené armády polská a francouzská měly by dnes 12 milionů mužů ve věku 25 až 45 let pr</w:t>
      </w:r>
      <w:r>
        <w:t>oti 12.4 milionu Německa před anexemi. Roku 1960 je tento poměr obrácen, neboř obě armády budou mít té</w:t>
      </w:r>
      <w:r>
        <w:softHyphen/>
        <w:t>měř o 3 miliony mužů více než armáda německá. Itálie, která má dnes asi 7 milionů mužů v tomto věku, zvětší v r. 1960 svůj počet na 9% milionu. Srovnáme-</w:t>
      </w:r>
      <w:r>
        <w:t>li stavy fran</w:t>
      </w:r>
      <w:r>
        <w:softHyphen/>
        <w:t>couzský a italský r. 1960, je zřejmo, že proti dnešní rovnosti je r. 1960 stav italský o 3 miliony vyšší.</w:t>
      </w:r>
    </w:p>
    <w:p w:rsidR="00500724" w:rsidRDefault="00F30FB8">
      <w:pPr>
        <w:pStyle w:val="Zkladntext100"/>
        <w:shd w:val="clear" w:color="auto" w:fill="auto"/>
        <w:spacing w:after="80" w:line="218" w:lineRule="auto"/>
        <w:ind w:firstLine="0"/>
        <w:jc w:val="center"/>
      </w:pPr>
      <w:r>
        <w:t>Jak to bylo s námi</w:t>
      </w:r>
    </w:p>
    <w:p w:rsidR="00500724" w:rsidRDefault="00F30FB8">
      <w:pPr>
        <w:pStyle w:val="Zkladntext100"/>
        <w:shd w:val="clear" w:color="auto" w:fill="auto"/>
        <w:spacing w:line="218" w:lineRule="auto"/>
      </w:pPr>
      <w:r>
        <w:t xml:space="preserve">Pokusme se určití tento populační potenciál </w:t>
      </w:r>
      <w:r>
        <w:rPr>
          <w:b/>
          <w:bCs/>
          <w:sz w:val="20"/>
          <w:szCs w:val="20"/>
        </w:rPr>
        <w:t xml:space="preserve">i </w:t>
      </w:r>
      <w:r>
        <w:t xml:space="preserve">pro První republiku. Podle výpočtů dr. M. Weiricha, který rozvádí jen </w:t>
      </w:r>
      <w:r>
        <w:t>existující populační materiál za předpokladu stále stej</w:t>
      </w:r>
      <w:r>
        <w:softHyphen/>
        <w:t>né úmrtnosti do budoucna, je mužů 24-44letých v r. 1930 2,228.867. Roku 1960 stoupne tento počet na 2,414.661, tedy celkem nepatrně. Dr. Weirich nepracoval s žádným před</w:t>
      </w:r>
      <w:r>
        <w:softHyphen/>
        <w:t>pokladem o naší budoucí porodn</w:t>
      </w:r>
      <w:r>
        <w:t>osti a proto může srovná</w:t>
      </w:r>
      <w:r>
        <w:softHyphen/>
        <w:t>vat jen ročníky od 24 let výše. Chceme-li vyplniti tuto me</w:t>
      </w:r>
      <w:r>
        <w:softHyphen/>
        <w:t>zeru, použijeme výpočtů, která jsou pracovány za předpo</w:t>
      </w:r>
      <w:r>
        <w:softHyphen/>
        <w:t>kladu stále stejné úmrtnosti jako v r. 1929-32 a porodnosti jako v r. 1933. Přicházíme k těmto číslům: Mužů od 20 do</w:t>
      </w:r>
      <w:r>
        <w:t xml:space="preserve"> 44 let je v První republice r. 1930 2,824.522. Tento počet klesne r. 1960 na 2,814.707. Z obou výpočtů je vidět, že náí potenciál zbraně schopných mužů byl by býval r. 1960 asi týž jako dnes.</w:t>
      </w:r>
    </w:p>
    <w:p w:rsidR="00500724" w:rsidRDefault="00F30FB8">
      <w:pPr>
        <w:pStyle w:val="Zkladntext100"/>
        <w:shd w:val="clear" w:color="auto" w:fill="auto"/>
        <w:spacing w:after="40" w:line="218" w:lineRule="auto"/>
        <w:ind w:firstLine="0"/>
        <w:jc w:val="center"/>
      </w:pPr>
      <w:r>
        <w:t>•</w:t>
      </w:r>
    </w:p>
    <w:p w:rsidR="00500724" w:rsidRDefault="00F30FB8">
      <w:pPr>
        <w:pStyle w:val="Zkladntext100"/>
        <w:shd w:val="clear" w:color="auto" w:fill="auto"/>
        <w:spacing w:line="216" w:lineRule="auto"/>
      </w:pPr>
      <w:r>
        <w:t xml:space="preserve">Za mírně optimistického předpokladu bude míti Anglie </w:t>
      </w:r>
      <w:r>
        <w:rPr>
          <w:b/>
          <w:bCs/>
          <w:sz w:val="20"/>
          <w:szCs w:val="20"/>
        </w:rPr>
        <w:t xml:space="preserve">a </w:t>
      </w:r>
      <w:r>
        <w:t xml:space="preserve">Wales </w:t>
      </w:r>
      <w:r>
        <w:t>za padesát let 33 milionů obyvatel a Francie 34 milionů. Za tutéž dobu bude míti SSSR daleko přes 200 mi</w:t>
      </w:r>
      <w:r>
        <w:softHyphen/>
        <w:t>lionů. Proti ubývající populaci západních zemí stojí ohrom</w:t>
      </w:r>
      <w:r>
        <w:softHyphen/>
        <w:t>ný kolos východu, rostoucí do gigantických rozměrů. Dnes stojí západní Evropa u bodu stagnac</w:t>
      </w:r>
      <w:r>
        <w:t>e. Za třicet let nastane pomalý pokles. Tehdy uvidíme tuto skutečnost v ostrém světle.</w:t>
      </w:r>
    </w:p>
    <w:p w:rsidR="00500724" w:rsidRDefault="00F30FB8">
      <w:pPr>
        <w:pStyle w:val="Zkladntext100"/>
        <w:shd w:val="clear" w:color="auto" w:fill="auto"/>
        <w:spacing w:after="80" w:line="218" w:lineRule="auto"/>
      </w:pPr>
      <w:r>
        <w:t>Tato čísla budoucnosti nesmějí se nám však stát přelu</w:t>
      </w:r>
      <w:r>
        <w:softHyphen/>
        <w:t>dem, pro který bychom neviděli dnešní skutečnost. Pře</w:t>
      </w:r>
      <w:r>
        <w:softHyphen/>
        <w:t>svědčili jsme se na příklad, že naše spojenectví sa SSSR bylo</w:t>
      </w:r>
      <w:r>
        <w:t xml:space="preserve"> směnkou, splatnou až v příliš daleké budoucnosti. Zdá se, že germánská rasa blíží se ještě k své dějinné kul</w:t>
      </w:r>
      <w:r>
        <w:softHyphen/>
        <w:t>minaci. Všimněme si na příklad situace Francie, kterou jsme pokládali za svého největšího spojence proti ose Berlín-Rím.</w:t>
      </w:r>
    </w:p>
    <w:p w:rsidR="00500724" w:rsidRDefault="00F30FB8">
      <w:pPr>
        <w:pStyle w:val="Zkladntext100"/>
        <w:shd w:val="clear" w:color="auto" w:fill="auto"/>
        <w:spacing w:after="280" w:line="204" w:lineRule="auto"/>
        <w:ind w:firstLine="260"/>
      </w:pPr>
      <w:r>
        <w:t xml:space="preserve">Dnes se přebytek Francie mění v minus a rovnoběžně </w:t>
      </w:r>
      <w:r>
        <w:rPr>
          <w:sz w:val="22"/>
          <w:szCs w:val="22"/>
        </w:rPr>
        <w:t xml:space="preserve">I </w:t>
      </w:r>
      <w:r>
        <w:t>ním ztrácí Francie poslední zbytky svého velmocenské</w:t>
      </w:r>
      <w:r>
        <w:softHyphen/>
        <w:t>ho postavení. Až do vlastního demografického obratu, kte</w:t>
      </w:r>
      <w:r>
        <w:softHyphen/>
      </w:r>
      <w:r>
        <w:rPr>
          <w:sz w:val="22"/>
          <w:szCs w:val="22"/>
        </w:rPr>
        <w:t xml:space="preserve">rý </w:t>
      </w:r>
      <w:r>
        <w:t xml:space="preserve">nastane kolem roku šedesátého, je nutno počítati velmi vážně s populační silou Německa </w:t>
      </w:r>
      <w:r>
        <w:rPr>
          <w:b/>
          <w:bCs/>
          <w:sz w:val="19"/>
          <w:szCs w:val="19"/>
        </w:rPr>
        <w:t xml:space="preserve">a </w:t>
      </w:r>
      <w:r>
        <w:t>I</w:t>
      </w:r>
      <w:r>
        <w:t>tálie.</w:t>
      </w:r>
    </w:p>
    <w:p w:rsidR="00500724" w:rsidRDefault="00F30FB8">
      <w:pPr>
        <w:pStyle w:val="Jin0"/>
        <w:shd w:val="clear" w:color="auto" w:fill="auto"/>
        <w:spacing w:after="200"/>
        <w:ind w:firstLine="0"/>
        <w:jc w:val="left"/>
        <w:rPr>
          <w:sz w:val="44"/>
          <w:szCs w:val="44"/>
        </w:rPr>
      </w:pPr>
      <w:r>
        <w:rPr>
          <w:b/>
          <w:bCs/>
          <w:sz w:val="44"/>
          <w:szCs w:val="44"/>
          <w:u w:val="single"/>
        </w:rPr>
        <w:t>život a instituce</w:t>
      </w:r>
    </w:p>
    <w:p w:rsidR="00500724" w:rsidRDefault="00F30FB8">
      <w:pPr>
        <w:pStyle w:val="Zkladntext40"/>
        <w:shd w:val="clear" w:color="auto" w:fill="auto"/>
        <w:spacing w:after="0" w:line="240" w:lineRule="auto"/>
        <w:jc w:val="left"/>
      </w:pPr>
      <w:r>
        <w:rPr>
          <w:b/>
          <w:bCs/>
          <w:i/>
          <w:iCs/>
        </w:rPr>
        <w:t>Milena Jesenská:</w:t>
      </w:r>
    </w:p>
    <w:p w:rsidR="00500724" w:rsidRDefault="00F30FB8">
      <w:pPr>
        <w:pStyle w:val="Nadpis100"/>
        <w:shd w:val="clear" w:color="auto" w:fill="auto"/>
        <w:spacing w:after="0" w:line="180" w:lineRule="auto"/>
        <w:ind w:left="1380"/>
        <w:jc w:val="left"/>
      </w:pPr>
      <w:bookmarkStart w:id="384" w:name="bookmark383"/>
      <w:r>
        <w:t>VZ</w:t>
      </w:r>
      <w:bookmarkEnd w:id="384"/>
    </w:p>
    <w:p w:rsidR="00500724" w:rsidRDefault="00F30FB8">
      <w:pPr>
        <w:pStyle w:val="Nadpis100"/>
        <w:shd w:val="clear" w:color="auto" w:fill="auto"/>
        <w:spacing w:line="180" w:lineRule="auto"/>
      </w:pPr>
      <w:bookmarkStart w:id="385" w:name="bookmark384"/>
      <w:r>
        <w:t>Česká maminka</w:t>
      </w:r>
      <w:bookmarkEnd w:id="385"/>
    </w:p>
    <w:p w:rsidR="00500724" w:rsidRDefault="00F30FB8">
      <w:pPr>
        <w:pStyle w:val="Zkladntext20"/>
        <w:shd w:val="clear" w:color="auto" w:fill="auto"/>
        <w:spacing w:after="40" w:line="204" w:lineRule="auto"/>
        <w:ind w:firstLine="260"/>
      </w:pPr>
      <w:r>
        <w:t xml:space="preserve">Žena prožívá vždycky všechny události jinak než muž: trpělivěji, odevzdaněji, odolněji. To už příroda učinila ženu takovou. Naučila ji chápat, kterak třeba věci snášet. Muž se většinou vzpouzí v </w:t>
      </w:r>
      <w:r>
        <w:t>jakémsi vnitř</w:t>
      </w:r>
      <w:r>
        <w:softHyphen/>
        <w:t>ním lomcování a vzdoru, pokud má charakter. Nebo se hroutí zcela nečekaně, jakmile se propadají pod</w:t>
      </w:r>
      <w:r>
        <w:softHyphen/>
        <w:t>mínky, na které byl zvyklý. Žena v jakémsi zemitém hrdinství popadá vždycky povinnost nejbližší. To hrdinství leží předně v tom, že dovede úpl</w:t>
      </w:r>
      <w:r>
        <w:t>ně vyškrt</w:t>
      </w:r>
      <w:r>
        <w:softHyphen/>
        <w:t>nout sebe samu, myslíc především na lidi, kteří jsou jí svěřeni. To zemité spočívá v tom, že je to povětšinou tisíc a jedna lidských všedností, drobností a obyčej- ností, které musí být vykonány a na které každý ve vzrušených chvílích zapomíná pr</w:t>
      </w:r>
      <w:r>
        <w:t>ávě proto, že se mu zdají nicotné.</w:t>
      </w:r>
    </w:p>
    <w:p w:rsidR="00500724" w:rsidRDefault="00F30FB8">
      <w:pPr>
        <w:pStyle w:val="Zkladntext20"/>
        <w:shd w:val="clear" w:color="auto" w:fill="auto"/>
        <w:spacing w:after="40" w:line="202" w:lineRule="auto"/>
        <w:ind w:firstLine="260"/>
      </w:pPr>
      <w:r>
        <w:t>Veliký plamen ženiny udatnosti mění se v tisíce drobných mincí, které nelze vyčerpat, jako nelze umořit srdce vskutku milující. Plnýma rukama můžeš vyhazovat z okna drobné penízky, nedopočítáš se jich ani, ale konce neber</w:t>
      </w:r>
      <w:r>
        <w:t>ou. Zažili jste už, jak vypadá byt, kde někdo umřel? Na židlích sedí lidé se zarudlýma očima. Muž stoji zády k bytu a kouká oknem ven, vždycky se vzdorní lidé rádi dívají oknem ven, někam daleko, alespoň v představách. Děti nešly do školy, nic nechápou, po</w:t>
      </w:r>
      <w:r>
        <w:t>děšeně mlčí a někde někdo vzlyká. A mezi tím chodí tichá maminka. V poledne postaví na stůl polévku, pojď něco sníst, muži, ať máš něco teplého v žaludku. Ty, děvečko, vezmi Pepíčka a jděte k babičce, počkej, vezmi si svetr, ať se nenastydneš. Máš čistý ka</w:t>
      </w:r>
      <w:r>
        <w:t>pesník? Nech tetu s pokojem, nech ji vyplakat, uleví se jí.</w:t>
      </w:r>
    </w:p>
    <w:p w:rsidR="00500724" w:rsidRDefault="00F30FB8">
      <w:pPr>
        <w:pStyle w:val="Zkladntext20"/>
        <w:shd w:val="clear" w:color="auto" w:fill="auto"/>
        <w:spacing w:line="202" w:lineRule="auto"/>
        <w:ind w:firstLine="260"/>
      </w:pPr>
      <w:r>
        <w:t>To jsou, víte, ty drobné penízky. Jsou chvíle, kdy je tak nesmírně těžké žít. Ale máminy ruce zachra</w:t>
      </w:r>
      <w:r>
        <w:softHyphen/>
        <w:t>ňují dnešek i zítřek. Viděli jste už maminku, které se narodilo děťátko? Vyčerpaná a unavená př</w:t>
      </w:r>
      <w:r>
        <w:t>ijímá malé</w:t>
      </w:r>
      <w:r>
        <w:softHyphen/>
        <w:t>ho tvorečka do náručí jako úkol, který jí svěřuje život. Na ulici venku můžete číst v novinách, že právě zahynulo tam či onde tolik a tolik set lidí pod letec</w:t>
      </w:r>
      <w:r>
        <w:softHyphen/>
        <w:t>kým náletem. Ze se potopila loď, rozdrcená nepřátel</w:t>
      </w:r>
      <w:r>
        <w:softHyphen/>
        <w:t>skou pumou. Že zmizely se světa ce</w:t>
      </w:r>
      <w:r>
        <w:t>lé vesnice. Ale tady se narodilo jedno jediné, maličké, nepatrné mi</w:t>
      </w:r>
      <w:r>
        <w:softHyphen/>
        <w:t>minko v úzkostech a radostech, drobeček příští na</w:t>
      </w:r>
      <w:r>
        <w:softHyphen/>
        <w:t>děje, částečka zítřejšího světa. A maminka umývá denně svoje děťátko, převléká je, kojí, pere na ně a pokládá je na sluníčko a žádná věc n</w:t>
      </w:r>
      <w:r>
        <w:t>a světě ne</w:t>
      </w:r>
      <w:r>
        <w:softHyphen/>
        <w:t xml:space="preserve">zastaví její práci, žádná pohroma ji neoslabí. Za mnoho let bude snad jednou tahle maminka, postárlá a povadlá, posílat svého synka do války. Pak mu bude balit batoh a prát prádlo, bude se starat, aby mu přibalila něco dobrého a řekne se srdcem </w:t>
      </w:r>
      <w:r>
        <w:t>sevře</w:t>
      </w:r>
      <w:r>
        <w:softHyphen/>
        <w:t>ným a jakoby zmáčknutým: Pán Bůh tě, hochu, opatruj. Bude pak posílat balíčky buchet za svým chlapcem někam do ciziny a bude se za něj modlit tichými modlitbami. A mezitím bude vařit, drhnout, mýt okna a zalévat kytky na zahrádce: bude měnit poklad s</w:t>
      </w:r>
      <w:r>
        <w:t>vé udatnosti na drobné kovové mince, které bude rozdávat plnýma rukama. Bude stát ve středu svého domova, jako neviditelný pilíř. Bude všude a zařídí všechno, a jakmile přijdete do oblasti jejích dlaní a jejího srdce, jste v bezpečí.</w:t>
      </w:r>
    </w:p>
    <w:p w:rsidR="00500724" w:rsidRDefault="00F30FB8">
      <w:pPr>
        <w:pStyle w:val="Zkladntext20"/>
        <w:shd w:val="clear" w:color="auto" w:fill="auto"/>
        <w:spacing w:after="60" w:line="202" w:lineRule="auto"/>
        <w:ind w:firstLine="0"/>
        <w:jc w:val="center"/>
      </w:pPr>
      <w:r>
        <w:t>•</w:t>
      </w:r>
    </w:p>
    <w:p w:rsidR="00500724" w:rsidRDefault="00F30FB8">
      <w:pPr>
        <w:pStyle w:val="Zkladntext20"/>
        <w:shd w:val="clear" w:color="auto" w:fill="auto"/>
        <w:spacing w:line="202" w:lineRule="auto"/>
      </w:pPr>
      <w:r>
        <w:t>Takových maminek žij</w:t>
      </w:r>
      <w:r>
        <w:t xml:space="preserve">e mezi námi tisíce a statisíce. Na drobné práci jejich rukou leží celé ovzduší domova. Ve stínu jejich práce rostou děti a muž vyřizuje svoji světskou práci. A v těch tisíci drobných penízcích je jedna velká mince: jsou to české maminky. Jejich češství je </w:t>
      </w:r>
      <w:r>
        <w:t>jim přirozeným příkazem, jako jejich ma</w:t>
      </w:r>
      <w:r>
        <w:softHyphen/>
        <w:t>teřství. Dovede-li hájit muž svou myšlenku celým srdcem a celým mozkem, hájí žena svoje češství nikoli z rozumové úvahy, ale mocí instinktivního příkazu. Trpělivá a houževnatá, rozdrobená v malé lidské všední povinno</w:t>
      </w:r>
      <w:r>
        <w:t>sti, z nichž se skládá život, dovede být žena bojovnější a bojechtivější, než muž, je-li ohrožen ústřední cíl citového jejího života. Bojovnější právě proto, že nebojuje s rozvahou. Snad je k boji třeba víc nenávisti, než rozvahy. Zeny dovedou víc ne</w:t>
      </w:r>
      <w:r>
        <w:softHyphen/>
        <w:t>návid</w:t>
      </w:r>
      <w:r>
        <w:t>ět, než muži, jako dovedou víc milovat. Dovedou bránit své ohrožené svěřenství proti přesile, dovedou umírat marně a dovedou hájit do posledního dechu věc, která by se rozvážnému zdála předem prohranou, jako pěnice hájí hnízdo proti luňákovi. Hnízdo a mlá</w:t>
      </w:r>
      <w:r>
        <w:softHyphen/>
      </w:r>
      <w:r>
        <w:t>ďata — to není jenom povinnost. To je úkol, který svěřila ženě příroda. To je věc, o které se nepřemýšlí a o níž se ani mnoho neví. To je věc, pro kterou se. pokojně, spolehlivě a svědomitě žije a pro kterou se třeba umírá z podivuhodného rozkazu, který po</w:t>
      </w:r>
      <w:r>
        <w:t>chází z hlubin srdce.</w:t>
      </w:r>
    </w:p>
    <w:p w:rsidR="00500724" w:rsidRDefault="00F30FB8">
      <w:pPr>
        <w:pStyle w:val="Zkladntext20"/>
        <w:shd w:val="clear" w:color="auto" w:fill="auto"/>
        <w:spacing w:line="202" w:lineRule="auto"/>
      </w:pPr>
      <w:r>
        <w:t>V rukách takových maminek nechť leží naše domo</w:t>
      </w:r>
      <w:r>
        <w:softHyphen/>
        <w:t>vy. Těmto ženám můžeme svěřit národní svoji bu</w:t>
      </w:r>
      <w:r>
        <w:softHyphen/>
        <w:t xml:space="preserve">doucnost se srdcem pokojným. Budou ji chránit, jako kněžky ochraňovaly oheň, jenž nesměl vyhasnout — těmi nespočetnými, drobnými penízky. A </w:t>
      </w:r>
      <w:r>
        <w:t>budou ji bránit ze všech sÚ, kdyby snad měla být jednou ohrožena.</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 xml:space="preserve">Snad těch dvacet let, jež jsme prožili, bylo příliš, příliš krátkých. Dvacetiletá skutečnost nezahrazuje pohled zpátky. Je mnoho lidí mezi námi, kterým ta minulost nevymizela z paměti a </w:t>
      </w:r>
      <w:r>
        <w:t>jaksi přes noc jsme se k ní vrátili. Ztratili jsme poměrně snadno svoje bývalé státní hranice a svoji státní samostatnost. Bylo by však nesmírně těžké žádat po tomto lidu, aby ztratil zvláštní výraz své národnosti. V jeho ochraňo</w:t>
      </w:r>
      <w:r>
        <w:softHyphen/>
        <w:t>vání máme už tradici. To j</w:t>
      </w:r>
      <w:r>
        <w:t>sme se učili už mnoho, mnoho desítek let. Nepamatují-li se na to mladí mezi námi, vědí to naše mámy. Dědeček a babička každého z nás mozolnýma rukama se lopotili na zahrádce své české národnosti. V každé rodině jsou o tom zkazky, báje, pohádky. Tahle práce</w:t>
      </w:r>
      <w:r>
        <w:t xml:space="preserve"> už tu byla vykonána dobrýma a dělnýma rukama. Má hluboké kořeny v srdcích všech, neboť zdatnost práce byla odjakživa statkem, který se dědil v národě.</w:t>
      </w:r>
    </w:p>
    <w:p w:rsidR="00500724" w:rsidRDefault="00F30FB8">
      <w:pPr>
        <w:pStyle w:val="Zkladntext20"/>
        <w:shd w:val="clear" w:color="auto" w:fill="auto"/>
        <w:spacing w:line="202" w:lineRule="auto"/>
      </w:pPr>
      <w:r>
        <w:t>A naše maminky se vracejí do úloh našich babiček. Vidím svoji babičku před sebou a nikdy na ni ne</w:t>
      </w:r>
      <w:r>
        <w:softHyphen/>
        <w:t>zapome</w:t>
      </w:r>
      <w:r>
        <w:t>nu. Podobala se Babičce Boženy Němcové právě tak, jako se jí podobala babička vás všech. Nosila na hlavě hedvábný šátek a pěstovala za oknem azalky. Měla osm dětí, když pekla lívance, nemohla se dopéci, jak děti hladově ujídaly z plotny a když balila knedl</w:t>
      </w:r>
      <w:r>
        <w:t>íky, balila půl dne. Dostalo-li jedno dítě neštovice, mělo za chvíli i ostatních sedm dětí nešto</w:t>
      </w:r>
      <w:r>
        <w:softHyphen/>
        <w:t xml:space="preserve">vice </w:t>
      </w:r>
      <w:r>
        <w:rPr>
          <w:i/>
          <w:iCs/>
        </w:rPr>
        <w:t>a</w:t>
      </w:r>
      <w:r>
        <w:t xml:space="preserve"> babička chodila drobná a bdělá, od lůžka k lůžku, sama však nezastonala, protože neměla na to čas.</w:t>
      </w:r>
    </w:p>
    <w:p w:rsidR="00500724" w:rsidRDefault="00F30FB8">
      <w:pPr>
        <w:pStyle w:val="Zkladntext20"/>
        <w:shd w:val="clear" w:color="auto" w:fill="auto"/>
        <w:spacing w:line="204" w:lineRule="auto"/>
      </w:pPr>
      <w:r>
        <w:t>Střechy Malé strany, kužel světla nad stolem pod zele</w:t>
      </w:r>
      <w:r>
        <w:t>ným stínidlem, podivuhodná málomluvnost a po</w:t>
      </w:r>
      <w:r>
        <w:softHyphen/>
        <w:t>divuhodná dobrota velkého srdce, samozřejmá života</w:t>
      </w:r>
      <w:r>
        <w:softHyphen/>
        <w:t>schopnost a žulové češství — to byl domov mojí babičky. Ve válce, jak se ještě pamatuji, jsme počítali čas o hodinu dřív, říkali jsme tomu letní čas, ale babičk</w:t>
      </w:r>
      <w:r>
        <w:t>a tomu říkala rakouské vynálezy a v její do</w:t>
      </w:r>
      <w:r>
        <w:softHyphen/>
        <w:t>mácnosti šly hodiny podle poctivého slunce, celému přívalu okolního světa na vzdory. A když někdo řekl: Je dvanáct hodin, vztyčila se malá, tichá babička a řekla: Je jedenáct hodin! A znělo to jako pro</w:t>
      </w:r>
      <w:r>
        <w:softHyphen/>
        <w:t>slov králo</w:t>
      </w:r>
      <w:r>
        <w:t>vny a jako patetická báseň. A skutečně: bylo jedenáct hodin.</w:t>
      </w:r>
    </w:p>
    <w:p w:rsidR="00500724" w:rsidRDefault="00F30FB8">
      <w:pPr>
        <w:pStyle w:val="Zkladntext20"/>
        <w:shd w:val="clear" w:color="auto" w:fill="auto"/>
        <w:spacing w:after="60" w:line="204" w:lineRule="auto"/>
        <w:ind w:firstLine="0"/>
        <w:jc w:val="center"/>
      </w:pPr>
      <w:r>
        <w:t>•</w:t>
      </w:r>
    </w:p>
    <w:p w:rsidR="00500724" w:rsidRDefault="00F30FB8">
      <w:pPr>
        <w:pStyle w:val="Zkladntext20"/>
        <w:shd w:val="clear" w:color="auto" w:fill="auto"/>
        <w:spacing w:line="204" w:lineRule="auto"/>
      </w:pPr>
      <w:r>
        <w:t xml:space="preserve">To proto, poněvadž drobné věci se stávají velikými symboly. A poněvadž je to žena, která třímá v ruce drobné věci, kraluje také nad velikými symboly. Česká píseň a česká kniha. České </w:t>
      </w:r>
      <w:r>
        <w:t>pohostinství. Česká řeč a české staré zvyky. Česká velikonoční vajíčka, české zahrádky a trsy českých růží. Pohoda českého domova, český chorál a dobrosrdečná kamarádskosť českých lidí. To všechno jsou drobné věci, ležící v ru</w:t>
      </w:r>
      <w:r>
        <w:softHyphen/>
        <w:t xml:space="preserve">kou českých žen. Dělat je po </w:t>
      </w:r>
      <w:r>
        <w:t>našemu a dělat je dobře — těch drobných tisíc všedností a povinností — to je obrovský úkol, který dnes každá máma přejímá.</w:t>
      </w:r>
    </w:p>
    <w:p w:rsidR="00500724" w:rsidRDefault="00F30FB8">
      <w:pPr>
        <w:pStyle w:val="Zkladntext20"/>
        <w:shd w:val="clear" w:color="auto" w:fill="auto"/>
        <w:spacing w:after="220" w:line="204" w:lineRule="auto"/>
      </w:pPr>
      <w:r>
        <w:t>A není ani třeba přát jí sil a vytrvalosti. Je totiž naprosto nepochybné, že je bude mít.</w:t>
      </w:r>
    </w:p>
    <w:p w:rsidR="00500724" w:rsidRDefault="00F30FB8">
      <w:pPr>
        <w:pStyle w:val="Zkladntext20"/>
        <w:shd w:val="clear" w:color="auto" w:fill="auto"/>
        <w:spacing w:line="223" w:lineRule="auto"/>
        <w:ind w:firstLine="0"/>
        <w:rPr>
          <w:sz w:val="20"/>
          <w:szCs w:val="20"/>
        </w:rPr>
      </w:pPr>
      <w:r>
        <w:rPr>
          <w:i/>
          <w:iCs/>
          <w:sz w:val="20"/>
          <w:szCs w:val="20"/>
        </w:rPr>
        <w:t>Jiří Soumar:</w:t>
      </w:r>
    </w:p>
    <w:p w:rsidR="00500724" w:rsidRDefault="00F30FB8">
      <w:pPr>
        <w:pStyle w:val="Nadpis100"/>
        <w:shd w:val="clear" w:color="auto" w:fill="auto"/>
        <w:spacing w:after="0" w:line="218" w:lineRule="auto"/>
      </w:pPr>
      <w:bookmarkStart w:id="386" w:name="bookmark385"/>
      <w:r>
        <w:t>Podmínky dobré nálady</w:t>
      </w:r>
      <w:bookmarkEnd w:id="386"/>
    </w:p>
    <w:p w:rsidR="00500724" w:rsidRDefault="00F30FB8">
      <w:pPr>
        <w:pStyle w:val="Zkladntext20"/>
        <w:shd w:val="clear" w:color="auto" w:fill="auto"/>
        <w:spacing w:line="202" w:lineRule="auto"/>
      </w:pPr>
      <w:r>
        <w:t>Nemůžeme</w:t>
      </w:r>
      <w:r>
        <w:t xml:space="preserve"> říci, že bychom dnes potkávali tisíce lidí, na kterých je vidět dobrá nálada. Je příliš mnoho okolností, které nedovolují člověku, aby jasně viděl do budoucnosti; a každá nejistota konec konců kazí dobrou náladu.</w:t>
      </w:r>
    </w:p>
    <w:p w:rsidR="00500724" w:rsidRDefault="00F30FB8">
      <w:pPr>
        <w:pStyle w:val="Zkladntext20"/>
        <w:shd w:val="clear" w:color="auto" w:fill="auto"/>
        <w:spacing w:after="120" w:line="204" w:lineRule="auto"/>
      </w:pPr>
      <w:r>
        <w:t>A přece dobrá mysl je to hlavní, co potřeb</w:t>
      </w:r>
      <w:r>
        <w:t>uje člo</w:t>
      </w:r>
      <w:r>
        <w:softHyphen/>
        <w:t>věk, který dostal několikrát palicí do hlavy. Se slzami v očích se špatně pracuje. A především je třeba práce. Ani myšlenek do minulosti ani fantasií do budouc</w:t>
      </w:r>
      <w:r>
        <w:softHyphen/>
        <w:t>nosti. Postavte se ke svému stolu, na své pole, ke svému stroji a zažerte se do práce. A</w:t>
      </w:r>
      <w:r>
        <w:t xml:space="preserve"> zbude-li vám přece jen volná chvíle, pak projděte v rychlosti tuto reportáž o dobré náladě.</w:t>
      </w:r>
    </w:p>
    <w:p w:rsidR="00500724" w:rsidRDefault="00F30FB8">
      <w:pPr>
        <w:pStyle w:val="Zkladntext20"/>
        <w:shd w:val="clear" w:color="auto" w:fill="auto"/>
        <w:spacing w:after="60" w:line="204" w:lineRule="auto"/>
        <w:ind w:firstLine="0"/>
        <w:jc w:val="center"/>
      </w:pPr>
      <w:r>
        <w:t>Co je spokojenost?</w:t>
      </w:r>
    </w:p>
    <w:p w:rsidR="00500724" w:rsidRDefault="00F30FB8">
      <w:pPr>
        <w:pStyle w:val="Zkladntext20"/>
        <w:shd w:val="clear" w:color="auto" w:fill="auto"/>
        <w:spacing w:line="202" w:lineRule="auto"/>
      </w:pPr>
      <w:r>
        <w:t>Spokojenost ženina je obyčejně závislá na spokoje</w:t>
      </w:r>
      <w:r>
        <w:softHyphen/>
        <w:t>nosti muže, s kterým spojila svůj osud. Chce-li se po</w:t>
      </w:r>
      <w:r>
        <w:softHyphen/>
        <w:t>litik starat o spokojenost žen, musí bdí</w:t>
      </w:r>
      <w:r>
        <w:t>t, aby se všichni muži mohli v mladém věku oženit. A mají-li se muži ženit, musí mít práci, za kterou jsou slušně placeni a která je baví.</w:t>
      </w:r>
    </w:p>
    <w:p w:rsidR="00500724" w:rsidRDefault="00F30FB8">
      <w:pPr>
        <w:pStyle w:val="Zkladntext20"/>
        <w:shd w:val="clear" w:color="auto" w:fill="auto"/>
        <w:spacing w:line="204" w:lineRule="auto"/>
      </w:pPr>
      <w:r>
        <w:t>To je tedy spokojenost: opatřit každému práci a způsobit, aby měl z práce, kterou koná, radost. To je velmi důležité,</w:t>
      </w:r>
      <w:r>
        <w:t xml:space="preserve"> neboť pracovat osm hodin denně a dostat pak třeba slušnou mzdu se škaredým výrazem nebo za výkon, o kterém sám pracovník je přesvěd</w:t>
      </w:r>
      <w:r>
        <w:softHyphen/>
        <w:t>čen, že byl špatný — to nezpůsobuje spokojenost, ale neurosu. Dostat Udi k práci, která je baví, a přesvěd</w:t>
      </w:r>
      <w:r>
        <w:softHyphen/>
        <w:t>čit je, že jejic</w:t>
      </w:r>
      <w:r>
        <w:t>h práce je v zájmu společnosti důležitá</w:t>
      </w:r>
    </w:p>
    <w:p w:rsidR="00500724" w:rsidRDefault="00F30FB8">
      <w:pPr>
        <w:pStyle w:val="Zkladntext20"/>
        <w:numPr>
          <w:ilvl w:val="0"/>
          <w:numId w:val="44"/>
        </w:numPr>
        <w:shd w:val="clear" w:color="auto" w:fill="auto"/>
        <w:tabs>
          <w:tab w:val="left" w:pos="361"/>
        </w:tabs>
        <w:spacing w:after="140" w:line="202" w:lineRule="auto"/>
        <w:ind w:firstLine="0"/>
      </w:pPr>
      <w:r>
        <w:t>to jsou základy spokojenosti.</w:t>
      </w:r>
    </w:p>
    <w:p w:rsidR="00500724" w:rsidRDefault="00F30FB8">
      <w:pPr>
        <w:pStyle w:val="Zkladntext20"/>
        <w:shd w:val="clear" w:color="auto" w:fill="auto"/>
        <w:spacing w:after="80" w:line="202" w:lineRule="auto"/>
        <w:ind w:firstLine="0"/>
        <w:jc w:val="center"/>
      </w:pPr>
      <w:r>
        <w:t>Co je štěstí?</w:t>
      </w:r>
    </w:p>
    <w:p w:rsidR="00500724" w:rsidRDefault="00F30FB8">
      <w:pPr>
        <w:pStyle w:val="Zkladntext20"/>
        <w:shd w:val="clear" w:color="auto" w:fill="auto"/>
        <w:spacing w:line="202" w:lineRule="auto"/>
      </w:pPr>
      <w:r>
        <w:t xml:space="preserve">Po léta žije fráze: »Ten člověk má štěstí.* Ale o tomto štěstí, kterým je míněna příznivost všech možných okolností, že se onomu muži podaří každý plán, který si usmyslí, </w:t>
      </w:r>
      <w:r>
        <w:t>nechceme mluvit. Bývá to oby</w:t>
      </w:r>
      <w:r>
        <w:softHyphen/>
        <w:t>čejně také optický omyl, neboť lidé, kteří mají štěstí tohoto druhu, jsou obyčejně tak prozíraví, že si přízni</w:t>
      </w:r>
      <w:r>
        <w:softHyphen/>
        <w:t>vé okolnosti připravují sami a že je dovedou roz</w:t>
      </w:r>
      <w:r>
        <w:softHyphen/>
        <w:t>poznat, což samo o sobě je výkon úctyhodný. Ale člo</w:t>
      </w:r>
      <w:r>
        <w:softHyphen/>
        <w:t>věk »který má š</w:t>
      </w:r>
      <w:r>
        <w:t>těstí* nemusí mít ještě osobní pocit štěstí. A je známo o mnoha úspěšných mužích, že po</w:t>
      </w:r>
      <w:r>
        <w:softHyphen/>
        <w:t>kládali svůj celý život za omyl, neboť toužili po jině práci, jiném úspěchu a jiném uznání.</w:t>
      </w:r>
    </w:p>
    <w:p w:rsidR="00500724" w:rsidRDefault="00F30FB8">
      <w:pPr>
        <w:pStyle w:val="Zkladntext20"/>
        <w:shd w:val="clear" w:color="auto" w:fill="auto"/>
        <w:spacing w:line="202" w:lineRule="auto"/>
      </w:pPr>
      <w:r>
        <w:t>Pocit štěstí není vůbec trvalý. Ani člověk, o kterém se říká, že je nejšťast</w:t>
      </w:r>
      <w:r>
        <w:t>nější, nebručí si patrně trvale u snídaně, oběda i večeře: »Jsem šťasten*. Pocit štěstí se velmi podobá pocitu hrůzy, aspoň ve svých fysiologických znacích: najednou se vám ozřejmil ně</w:t>
      </w:r>
      <w:r>
        <w:softHyphen/>
        <w:t>jaký fakt a v tom okamžiku už se hrne krev do hrdla,</w:t>
      </w:r>
      <w:r>
        <w:rPr>
          <w:vertAlign w:val="subscript"/>
        </w:rPr>
        <w:t xml:space="preserve">: </w:t>
      </w:r>
      <w:r>
        <w:t>červenáte, špatně</w:t>
      </w:r>
      <w:r>
        <w:t xml:space="preserve"> se dýchá, člověk by skákal, plakal, řval —.</w:t>
      </w:r>
    </w:p>
    <w:p w:rsidR="00500724" w:rsidRDefault="00F30FB8">
      <w:pPr>
        <w:pStyle w:val="Zkladntext20"/>
        <w:shd w:val="clear" w:color="auto" w:fill="auto"/>
        <w:spacing w:line="202" w:lineRule="auto"/>
      </w:pPr>
      <w:r>
        <w:t>Ovšem, zde mluvíme o velkých pocitech štěstí a ne</w:t>
      </w:r>
      <w:r>
        <w:softHyphen/>
        <w:t>štěstí, které jsou v životě velmi řídké. A my chceme v této nenáročné úvaze jen zjistit, jde-li alespoň částečně připravovat umělým způsobem v životě oka</w:t>
      </w:r>
      <w:r>
        <w:softHyphen/>
        <w:t>mžiky m</w:t>
      </w:r>
      <w:r>
        <w:t>alého štěstí. V tom případě je možno mluvit o štěstí jen jako o vyvrcholení spokojenosti. Mladá manželka vyprávěla: »Uvařila jsem oběd. Byla jsem sama s sebou spokojena. Přišel můj muž a řekl: Tak dobrou polévku jsem v životě nejedl. Pak mne nosil po pokoj</w:t>
      </w:r>
      <w:r>
        <w:t>i. Byla jsem šťastna.«</w:t>
      </w:r>
    </w:p>
    <w:p w:rsidR="00500724" w:rsidRDefault="00F30FB8">
      <w:pPr>
        <w:pStyle w:val="Zkladntext20"/>
        <w:shd w:val="clear" w:color="auto" w:fill="auto"/>
        <w:spacing w:line="204" w:lineRule="auto"/>
      </w:pPr>
      <w:r>
        <w:t>Člověk, který dělá rád svou práci a ví, že ji dělá dobře, je spokojen. Ale teprve přijde-li někdo jiný, po- klepá-li mu na rameno a prohlásí: »Tohle jsi provedl znamenitě,« pocítí okamžik štěstí. Jeho práce byla uznána. A z toho vypl</w:t>
      </w:r>
      <w:r>
        <w:t>ývá, že si štěstí sám sobě nikdo dát nemůže. Můžeme dřít do úpadu, můžeme sami s sebou být spokojeni, ale musí přijít někdo jiný, aby nám svým uznáním vnukl pocit štěstí. Je to jako v lásce. I láska je úsilí dosáhnout splnění svého přání</w:t>
      </w:r>
    </w:p>
    <w:p w:rsidR="00500724" w:rsidRDefault="00F30FB8">
      <w:pPr>
        <w:pStyle w:val="Zkladntext20"/>
        <w:numPr>
          <w:ilvl w:val="0"/>
          <w:numId w:val="44"/>
        </w:numPr>
        <w:shd w:val="clear" w:color="auto" w:fill="auto"/>
        <w:tabs>
          <w:tab w:val="left" w:pos="366"/>
        </w:tabs>
        <w:spacing w:line="204" w:lineRule="auto"/>
        <w:ind w:firstLine="0"/>
      </w:pPr>
      <w:r>
        <w:t>lásky osoby druhé.</w:t>
      </w:r>
      <w:r>
        <w:t xml:space="preserve"> Nelze milovat bez předmětu a nelze být šťasten dříve, dokud nám milovaná osoba nepadne kolem krku. Ale nemůžeme říkat, že jsme si štěstí vydobili, nýbrž že nám bylo uděleno.</w:t>
      </w:r>
    </w:p>
    <w:p w:rsidR="00500724" w:rsidRDefault="00F30FB8">
      <w:pPr>
        <w:pStyle w:val="Zkladntext20"/>
        <w:shd w:val="clear" w:color="auto" w:fill="auto"/>
        <w:spacing w:line="204" w:lineRule="auto"/>
      </w:pPr>
      <w:r>
        <w:t xml:space="preserve">Je to jedna z nejpodivuhodnějších věcí na světě: K a ž d ý z n á s m ů ž e c e 1 </w:t>
      </w:r>
      <w:r>
        <w:t xml:space="preserve">ý ž i v o t m a r n ě toužit po okamžiku štěstí. Ale není mezi námi chudáka a ubožáka tak velikého, aby nemohl druhého štěstím oblažit. Všichni jsme, chceme-li, rozdavači štěstí. Ale všichni jsme žebráky o štěstí prosícími. Můžeme se dřít na svém poli, ve </w:t>
      </w:r>
      <w:r>
        <w:t>své dílně, u svého stolu do úpadu, co je to plátno, když nepřijde ani nadřízený, aby zabručel něco příjemného,</w:t>
      </w:r>
    </w:p>
    <w:p w:rsidR="00500724" w:rsidRDefault="00F30FB8">
      <w:pPr>
        <w:pStyle w:val="Zkladntext20"/>
        <w:shd w:val="clear" w:color="auto" w:fill="auto"/>
        <w:spacing w:line="204" w:lineRule="auto"/>
      </w:pPr>
      <w:r>
        <w:t>Snad je někdy vinen člověk sám, když si vybral špatnou práci, což já vím, ale snad se tu také mstí přílišná sobeckost. Nepochválil nikdy nikoho s</w:t>
      </w:r>
      <w:r>
        <w:t>ám, ne</w:t>
      </w:r>
      <w:r>
        <w:softHyphen/>
        <w:t>bude také nikdy nikým pochválen. Ovšem, po- stavíme-li takhle problém štěstí, mohli bychom dojít k mylnému závěru, že drobné lidské štěstí spočívá ve vzájemném pochlebování.</w:t>
      </w:r>
    </w:p>
    <w:p w:rsidR="00500724" w:rsidRDefault="00F30FB8">
      <w:pPr>
        <w:pStyle w:val="Zkladntext20"/>
        <w:shd w:val="clear" w:color="auto" w:fill="auto"/>
        <w:spacing w:after="40" w:line="202" w:lineRule="auto"/>
      </w:pPr>
      <w:r>
        <w:t>Nikoliv, je obsaženo v tom, čeho právě v našem ná</w:t>
      </w:r>
      <w:r>
        <w:softHyphen/>
        <w:t>rodě bývá nedostatek: v p</w:t>
      </w:r>
      <w:r>
        <w:t>ozornosti plné ohledu a citu.</w:t>
      </w:r>
    </w:p>
    <w:p w:rsidR="00500724" w:rsidRDefault="00F30FB8">
      <w:pPr>
        <w:pStyle w:val="Zkladntext20"/>
        <w:numPr>
          <w:ilvl w:val="0"/>
          <w:numId w:val="43"/>
        </w:numPr>
        <w:shd w:val="clear" w:color="auto" w:fill="auto"/>
        <w:tabs>
          <w:tab w:val="left" w:pos="298"/>
        </w:tabs>
        <w:spacing w:line="209" w:lineRule="auto"/>
        <w:ind w:firstLine="0"/>
      </w:pPr>
      <w:r>
        <w:t>živém zájmu o jiné lidi. V touze najít na druhém především jeho rysy sympatické a jeho nepříjem</w:t>
      </w:r>
      <w:r>
        <w:softHyphen/>
        <w:t>nostmi se dát překvapit anebo je raději přehlédnout. Mluví se dnes o nutnosti zvýšit vlastenecký cit v kaž</w:t>
      </w:r>
      <w:r>
        <w:softHyphen/>
        <w:t>dém z nás. Ano, ale mlu</w:t>
      </w:r>
      <w:r>
        <w:t>ví-li se o vlasteneckém citu kolektivně, je to jen gesto. Vlastenecký cit se musí jevit v tom, že každého bližního, pokud mohu, poklá</w:t>
      </w:r>
      <w:r>
        <w:softHyphen/>
        <w:t>dám za svého vlastního bratra. Vycházím mu vstříc, pomáhám mu ulehčit práci. Věřím, že má dobrota a poctivost vyvolá dobro</w:t>
      </w:r>
      <w:r>
        <w:t>tu a poctivost druhých. Sázeli jsme příliš mnoho na nenávist — hlavně mezi sebou ■— a prohráli jsme. Vsaďme jednou také na lásku. Úsi</w:t>
      </w:r>
      <w:r>
        <w:softHyphen/>
        <w:t>lím všech českých politiků budoucnosti musí být, aby dali svým českým bratřím a sestrám možnost cesty k spokojenosti a ště</w:t>
      </w:r>
      <w:r>
        <w:t>stí. Podmínky k spokojenosti je možno vytvořit hromadným způsobem. Je možno vy</w:t>
      </w:r>
      <w:r>
        <w:softHyphen/>
        <w:t>myslit nebo odjinud přejmout prostředky, jimiž ná</w:t>
      </w:r>
      <w:r>
        <w:softHyphen/>
        <w:t>rodní důchod bude spravedlivěji rozdělen než dosud. Je možno vzbudit v každém vědomí, že jeho práce je všemi uznávána a že je n</w:t>
      </w:r>
      <w:r>
        <w:t>árodu prospěšná i potřebná, Je možno dát podnět k zakládání mladých a zdravých rodin. Je možno pozvednout náš duchovní život k ne</w:t>
      </w:r>
      <w:r>
        <w:softHyphen/>
        <w:t xml:space="preserve">bývalé výši právě úctou k těm, kteří tvoří. Je možné proměnit ruce našich dělníků v ruce ještě zázračnější, než jaké už mají. </w:t>
      </w:r>
      <w:r>
        <w:t>Je možno z našich většinou již od</w:t>
      </w:r>
      <w:r>
        <w:softHyphen/>
        <w:t>borně vedených hospodářství vybudovat pravé divý moderní selské vědy. Můžeme být a budeme národem spokojených lidí, proč ne, vždyť spokojenost spočívá</w:t>
      </w:r>
    </w:p>
    <w:p w:rsidR="00500724" w:rsidRDefault="00F30FB8">
      <w:pPr>
        <w:pStyle w:val="Zkladntext20"/>
        <w:numPr>
          <w:ilvl w:val="0"/>
          <w:numId w:val="43"/>
        </w:numPr>
        <w:shd w:val="clear" w:color="auto" w:fill="auto"/>
        <w:tabs>
          <w:tab w:val="left" w:pos="298"/>
        </w:tabs>
        <w:spacing w:after="40" w:line="218" w:lineRule="auto"/>
        <w:ind w:firstLine="0"/>
      </w:pPr>
      <w:r>
        <w:t>dobře konané práci — a my přece dovedeme dobře pracovat.</w:t>
      </w:r>
    </w:p>
    <w:p w:rsidR="00500724" w:rsidRDefault="00F30FB8">
      <w:pPr>
        <w:pStyle w:val="Zkladntext20"/>
        <w:shd w:val="clear" w:color="auto" w:fill="auto"/>
        <w:spacing w:after="40" w:line="204" w:lineRule="auto"/>
        <w:ind w:firstLine="300"/>
      </w:pPr>
      <w:r>
        <w:t xml:space="preserve">Ale jsme u </w:t>
      </w:r>
      <w:r>
        <w:t>toho obyčejně špatně naladěni. Bojíme se, že nás ten druhý neuznává. A proto pro jistotu ne</w:t>
      </w:r>
      <w:r>
        <w:softHyphen/>
        <w:t>uznáváme také jeho. Proto s takovou dětinskou ra</w:t>
      </w:r>
      <w:r>
        <w:softHyphen/>
        <w:t>dostí si citujeme, když někde v cizině napíší něco pěk</w:t>
      </w:r>
      <w:r>
        <w:softHyphen/>
        <w:t>ného, řekněme, o našich lampách. Pyšně pak chodíme a říkáme:</w:t>
      </w:r>
      <w:r>
        <w:t xml:space="preserve"> »Vidíte, naše lampy, to jsou nejkrásnější lampy na světě.« A při tom ti, kteří dělají třeba klíče, cítí jistou trpkost: »Jakže, naše klíče nebyly pochvá</w:t>
      </w:r>
      <w:r>
        <w:softHyphen/>
        <w:t>leny, pročpak asi? Jen se dobře podívejte na ty lam</w:t>
      </w:r>
      <w:r>
        <w:softHyphen/>
        <w:t xml:space="preserve">py, vždyť ony vlastně čadí, jakým pak štrychem se </w:t>
      </w:r>
      <w:r>
        <w:t>to lampářům podařilo, že je v cizině pochválili ?«</w:t>
      </w:r>
    </w:p>
    <w:p w:rsidR="00500724" w:rsidRDefault="00F30FB8">
      <w:pPr>
        <w:pStyle w:val="Zkladntext20"/>
        <w:shd w:val="clear" w:color="auto" w:fill="auto"/>
        <w:spacing w:after="40" w:line="202" w:lineRule="auto"/>
        <w:ind w:firstLine="300"/>
      </w:pPr>
      <w:r>
        <w:t>Popliváme lampáře, zkazíme jim radost i štěstí. A my, kteří děláme klíče, máme plachý pocit, že lam</w:t>
      </w:r>
      <w:r>
        <w:softHyphen/>
        <w:t>py nestojí za nic, ale naše klíče také ne.</w:t>
      </w:r>
    </w:p>
    <w:p w:rsidR="00500724" w:rsidRDefault="00F30FB8">
      <w:pPr>
        <w:pStyle w:val="Zkladntext20"/>
        <w:shd w:val="clear" w:color="auto" w:fill="auto"/>
        <w:spacing w:after="40"/>
        <w:ind w:firstLine="300"/>
      </w:pPr>
      <w:r>
        <w:t>A přece děláme dobré klíče, dobré lampy, a většina věcí, které</w:t>
      </w:r>
      <w:r>
        <w:t xml:space="preserve"> jsou u nás vytvořeny, je dobrá. Dobře pra</w:t>
      </w:r>
      <w:r>
        <w:softHyphen/>
        <w:t>cujeme a mohli bychom to na potkání říkat svým bratřím a sestrám.</w:t>
      </w:r>
    </w:p>
    <w:p w:rsidR="00500724" w:rsidRDefault="00F30FB8">
      <w:pPr>
        <w:pStyle w:val="Zkladntext20"/>
        <w:shd w:val="clear" w:color="auto" w:fill="auto"/>
        <w:spacing w:after="40" w:line="204" w:lineRule="auto"/>
        <w:ind w:firstLine="300"/>
      </w:pPr>
      <w:r>
        <w:t>Jen si někdy vyjeďte lanovou drahou na Petřín, zůstaňte v nejspodnějším oddělení a dívejte se, jak se před vámi vynořuje Praha, krásná, nepřekonate</w:t>
      </w:r>
      <w:r>
        <w:t>lná Praha, klidná, sousedská, ale majestátní. Celá je slo</w:t>
      </w:r>
      <w:r>
        <w:softHyphen/>
        <w:t>žena z drobných kousíčků. A každý by se dal pochvá</w:t>
      </w:r>
      <w:r>
        <w:softHyphen/>
        <w:t>lit zvlášť. Němci někdy říkají, že nám Prahu postavili. Nu, není čas na hádání. Nebudeme říkat: Tenhle kou</w:t>
      </w:r>
      <w:r>
        <w:softHyphen/>
        <w:t>síček je od nás, tenhle od vás. A nebude</w:t>
      </w:r>
      <w:r>
        <w:t>me sčítat, kdo má těch kousíčků víc. Ale potkáte-li nějaký kou</w:t>
      </w:r>
      <w:r>
        <w:softHyphen/>
        <w:t>síček, který je dílem Němce, pochvalte jej. A potkáte-li kousíček od Čecha, nezapomeňte pochválit také. Od</w:t>
      </w:r>
      <w:r>
        <w:softHyphen/>
        <w:t xml:space="preserve">ložte na chvíli skromnost, kterou se vyznačujeme v míře až příliš veliké. Haněli jsme </w:t>
      </w:r>
      <w:r>
        <w:t>své hudebníky, sochaře, malíře a literáty, protože jsem jejich odlišnost Ve své skromnosti pokládali za neumělost. A haněli</w:t>
      </w:r>
    </w:p>
    <w:p w:rsidR="00500724" w:rsidRDefault="00F30FB8">
      <w:pPr>
        <w:pStyle w:val="Zkladntext20"/>
        <w:shd w:val="clear" w:color="auto" w:fill="auto"/>
        <w:spacing w:line="204" w:lineRule="auto"/>
        <w:ind w:firstLine="0"/>
      </w:pPr>
      <w:r>
        <w:t>Jsme se navzájem mezi sebou až příliš. Nedovedli jsme jeden druhému poskytnout pocit štěstí.</w:t>
      </w:r>
    </w:p>
    <w:p w:rsidR="00500724" w:rsidRDefault="00F30FB8">
      <w:pPr>
        <w:pStyle w:val="Zkladntext20"/>
        <w:shd w:val="clear" w:color="auto" w:fill="auto"/>
        <w:spacing w:line="204" w:lineRule="auto"/>
        <w:ind w:firstLine="280"/>
      </w:pPr>
      <w:r>
        <w:t>Na nápravu nikdy není pozdě. Hned, ješt</w:t>
      </w:r>
      <w:r>
        <w:t>ě teď mů</w:t>
      </w:r>
      <w:r>
        <w:softHyphen/>
        <w:t>žete začít. Ohlédněte se kolem sebe. Kdypak jste na</w:t>
      </w:r>
      <w:r>
        <w:softHyphen/>
        <w:t>posled řekl své ženě, že byste bez ní byl na světě ztra</w:t>
      </w:r>
      <w:r>
        <w:softHyphen/>
        <w:t>cen? Kdypak jste poctivě a bez sobeckého strachu po</w:t>
      </w:r>
      <w:r>
        <w:softHyphen/>
        <w:t>věděli svým spolupracovníkům, co pěkného si o nich myslíte? A vy páni politici, myslíte</w:t>
      </w:r>
      <w:r>
        <w:t xml:space="preserve">-li vždycky napřed na to, co vás s mužem jiného názoru spojuje? A vy páni kritici i novináři, víme přece, že na každé věci jsou stránky dobré i špatné; v dobrém článku, v dobré kritice musí být mluveno o obou; ale bývalo v naší povaze, že jsme vyzvedávali </w:t>
      </w:r>
      <w:r>
        <w:t>to špatné a dobré jsme pokládali za samozřejmé. A přece mnohému člověku by pomohlo k rozvití, k zlepšení práce a zvýšené tvůrčí činnosti, kdybychom občas vyzvedli to dobré a špatné pokládali tak trochu za samozřejmé. Pravé vlastenectví znamená, že mám všec</w:t>
      </w:r>
      <w:r>
        <w:t>hny počestné lidi Svého národa rád. A tato láska musí prosvítat i tam, kde je kárám. Když stromek špatně roste, přistavím k němu tyč, aby rostl lépe; není hned třeba urážet korunu.</w:t>
      </w:r>
    </w:p>
    <w:p w:rsidR="00500724" w:rsidRDefault="00F30FB8">
      <w:pPr>
        <w:pStyle w:val="Zkladntext20"/>
        <w:shd w:val="clear" w:color="auto" w:fill="auto"/>
        <w:spacing w:after="120" w:line="204" w:lineRule="auto"/>
        <w:ind w:firstLine="280"/>
      </w:pPr>
      <w:r>
        <w:t>Rozdávejme štěstí všem, kterým můžeme. A stále mějme na paměti, že štěstí n</w:t>
      </w:r>
      <w:r>
        <w:t>elze rozdávati kolektivně. I herec, kterého kdysi v útlém mládí vzrušoval po</w:t>
      </w:r>
      <w:r>
        <w:softHyphen/>
        <w:t>tlesk publika, časem si jej započítá jaksi do gáže; ale štěstí se k němu dostavuje v podobě kulisáka nebo někoho jiného na něm nezávislého, který s ostychem prohlásí: »To, panečku</w:t>
      </w:r>
      <w:r>
        <w:t>, dnes bylo...«</w:t>
      </w:r>
    </w:p>
    <w:p w:rsidR="00500724" w:rsidRDefault="00F30FB8">
      <w:pPr>
        <w:pStyle w:val="Zkladntext20"/>
        <w:shd w:val="clear" w:color="auto" w:fill="auto"/>
        <w:spacing w:after="80" w:line="204" w:lineRule="auto"/>
        <w:ind w:firstLine="0"/>
        <w:jc w:val="center"/>
      </w:pPr>
      <w:r>
        <w:t>Každému jeho živel</w:t>
      </w:r>
    </w:p>
    <w:p w:rsidR="00500724" w:rsidRDefault="00F30FB8">
      <w:pPr>
        <w:pStyle w:val="Zkladntext20"/>
        <w:shd w:val="clear" w:color="auto" w:fill="auto"/>
        <w:spacing w:line="204" w:lineRule="auto"/>
        <w:ind w:firstLine="280"/>
      </w:pPr>
      <w:r>
        <w:t>Vraťme se ještě k té spokojenosti. Již odedávna bylo shodně tvrzeno, že chudoba ubírá spokojenosti i těm, kteří jí trpí, i těm, kteří se na ni musí dívat. Chudí občané jsou nebezpečím pro stát.</w:t>
      </w:r>
    </w:p>
    <w:p w:rsidR="00500724" w:rsidRDefault="00F30FB8">
      <w:pPr>
        <w:pStyle w:val="Zkladntext20"/>
        <w:shd w:val="clear" w:color="auto" w:fill="auto"/>
        <w:spacing w:line="204" w:lineRule="auto"/>
        <w:ind w:firstLine="280"/>
      </w:pPr>
      <w:r>
        <w:t xml:space="preserve">Chudí, to jest lidé, kteří </w:t>
      </w:r>
      <w:r>
        <w:t>se pořádně nenajedí, špat</w:t>
      </w:r>
      <w:r>
        <w:softHyphen/>
        <w:t>ně bydlí a mrznou v hadrech, by mohli dnes se světa už zmizet. Všeho je dost a není obav — aspoň pro ty, které nebolí hlava z toho, co bude za deset tisíc let — že by plodin ubývalo. Naopak, všechny živly se činí, seč jsou, aby ná</w:t>
      </w:r>
      <w:r>
        <w:t>m daly, co potřebujeme. A proto by</w:t>
      </w:r>
      <w:r>
        <w:softHyphen/>
        <w:t xml:space="preserve">chom měli blahodárnou činnost živlů popřávat všem. Jen se podívejte na příklad na vodu. Proč by každý nemohl dostat svůj spravedlivý díl vody? Vody pitné, vody k mytí, ale také vody ohřáté a proměněné v páru. A také vody </w:t>
      </w:r>
      <w:r>
        <w:t>změněné v led a sníh. Do všech obyt</w:t>
      </w:r>
      <w:r>
        <w:softHyphen/>
        <w:t>ných sídel by měl být zaveden vodovod. Ve všech lid</w:t>
      </w:r>
      <w:r>
        <w:softHyphen/>
        <w:t>ských sídlech by měly být koupelny. Lázně říční a parní v každém místě. A proč by se chudí lidé, kteří dobře pracují, nemohli jednou za rok podívat na sně</w:t>
      </w:r>
      <w:r>
        <w:softHyphen/>
        <w:t>hovou krásu h</w:t>
      </w:r>
      <w:r>
        <w:t>or? A jestliže většinu zemského po</w:t>
      </w:r>
      <w:r>
        <w:softHyphen/>
        <w:t>vrchu pokrývá slaná voda, chudým patří i na ní po</w:t>
      </w:r>
      <w:r>
        <w:softHyphen/>
        <w:t>díl. Jednou za rok projížďka po moři — proč ne, to přece není technicky nemožné.</w:t>
      </w:r>
    </w:p>
    <w:p w:rsidR="00500724" w:rsidRDefault="00F30FB8">
      <w:pPr>
        <w:pStyle w:val="Zkladntext20"/>
        <w:shd w:val="clear" w:color="auto" w:fill="auto"/>
        <w:spacing w:line="204" w:lineRule="auto"/>
        <w:ind w:firstLine="320"/>
      </w:pPr>
      <w:r>
        <w:t>Stejně tak je to s ostatními živly i s tím, co z nich vzchází.</w:t>
      </w:r>
    </w:p>
    <w:p w:rsidR="00500724" w:rsidRDefault="00F30FB8">
      <w:pPr>
        <w:pStyle w:val="Zkladntext20"/>
        <w:shd w:val="clear" w:color="auto" w:fill="auto"/>
        <w:spacing w:after="40" w:line="206" w:lineRule="auto"/>
        <w:ind w:firstLine="320"/>
      </w:pPr>
      <w:r>
        <w:t xml:space="preserve">Každý, kdo pracuje podle </w:t>
      </w:r>
      <w:r>
        <w:t>svých sil, má právo, aby slušně lidsky žil. Je ovšem pravděpodobné, že úroveň lidského žití stoupá a že králové ve středověku ne</w:t>
      </w:r>
      <w:r>
        <w:softHyphen/>
        <w:t>bydlili o nic pohodlněji, než dnes rodina kvalifikova</w:t>
      </w:r>
      <w:r>
        <w:softHyphen/>
        <w:t>ného dělníka, ba, spíš ještě hůře. Ale tak to nejde mě</w:t>
      </w:r>
      <w:r>
        <w:softHyphen/>
        <w:t>řit. Politik, kter</w:t>
      </w:r>
      <w:r>
        <w:t>ý chce svému národu vydobýt aspoň nejnutnější podmínky k spokojenosti, musí si stanovit nějaké existenční minimum. A to musí být dopřáno každému. Není tajemstvím, že životní standard</w:t>
      </w:r>
    </w:p>
    <w:p w:rsidR="00500724" w:rsidRDefault="00F30FB8">
      <w:pPr>
        <w:pStyle w:val="Zkladntext20"/>
        <w:shd w:val="clear" w:color="auto" w:fill="auto"/>
        <w:spacing w:line="204" w:lineRule="auto"/>
        <w:ind w:firstLine="0"/>
      </w:pPr>
      <w:r>
        <w:t>Říši byl a je v průměru vyšší než u nás. Musí být naší snahou, abychom se</w:t>
      </w:r>
      <w:r>
        <w:t xml:space="preserve"> vyrovnali především v tomto E novými poměry.</w:t>
      </w:r>
    </w:p>
    <w:p w:rsidR="00500724" w:rsidRDefault="00F30FB8">
      <w:pPr>
        <w:pStyle w:val="Zkladntext20"/>
        <w:shd w:val="clear" w:color="auto" w:fill="auto"/>
        <w:spacing w:line="204" w:lineRule="auto"/>
      </w:pPr>
      <w:r>
        <w:t>V každé společnosti existují dva směry: jedni, kteří touží, aby měli co nejvíc soukromého majetku, druzí, kteří žádají, aby nikdo neměl nic, aby všechno bylo společné. A mezi těmito dvěma extrémy je mnoho od</w:t>
      </w:r>
      <w:r>
        <w:softHyphen/>
        <w:t>st</w:t>
      </w:r>
      <w:r>
        <w:t>ínů; zvláště vynikají jednotlivci, kteří mají málo a závidí druhým a přejí si, aby také měli méně.</w:t>
      </w:r>
    </w:p>
    <w:p w:rsidR="00500724" w:rsidRDefault="00F30FB8">
      <w:pPr>
        <w:pStyle w:val="Zkladntext20"/>
        <w:shd w:val="clear" w:color="auto" w:fill="auto"/>
        <w:spacing w:line="204" w:lineRule="auto"/>
      </w:pPr>
      <w:r>
        <w:t>Tento postup je ovšem nesprávný. Propaganda po</w:t>
      </w:r>
      <w:r>
        <w:softHyphen/>
        <w:t>litika, který by chtěl zvýšit kolektivní spokojenost ná</w:t>
      </w:r>
      <w:r>
        <w:softHyphen/>
        <w:t>roda, měla by přesvědčovat chudé, že jejich zájmem je,</w:t>
      </w:r>
      <w:r>
        <w:t xml:space="preserve"> aby poněkud zbohatli, a bohaté, že by pro jejich osobní spokojenost bylo lepší, kdyby trochu zchudli.</w:t>
      </w:r>
    </w:p>
    <w:p w:rsidR="00500724" w:rsidRDefault="00F30FB8">
      <w:pPr>
        <w:pStyle w:val="Zkladntext20"/>
        <w:shd w:val="clear" w:color="auto" w:fill="auto"/>
        <w:spacing w:line="204" w:lineRule="auto"/>
      </w:pPr>
      <w:r>
        <w:t>Aby člověk byl dokonale spokojen, musí ukojit také pocit, který touží po soukromém vlastnictví. Lépe ře</w:t>
      </w:r>
      <w:r>
        <w:softHyphen/>
        <w:t>čeno: po spravování nějakého majetku, aby mohl bý</w:t>
      </w:r>
      <w:r>
        <w:t>t pochválen za to, že umí dobře spravovat. Každý člo</w:t>
      </w:r>
      <w:r>
        <w:softHyphen/>
        <w:t xml:space="preserve">věk si přeje, aby mohl dělat něco, za co lze získat chválu, ať už v jakékoliv formě. A nejjednodušší je mít nějakou hmotnou věc, s níž zacházíme po své vůli: spořitelní knížku, do níž se vpisují úroky i </w:t>
      </w:r>
      <w:r>
        <w:t>úspory, za</w:t>
      </w:r>
      <w:r>
        <w:softHyphen/>
        <w:t>hrádku, kde rozkvétají naše vlastní kytičky, domeček, který si po libosti natřeme, pokoj, v němž vyvěsíme své obrazy a rozprostřeme koberce vlastního vkusu.</w:t>
      </w:r>
    </w:p>
    <w:p w:rsidR="00500724" w:rsidRDefault="00F30FB8">
      <w:pPr>
        <w:pStyle w:val="Zkladntext20"/>
        <w:shd w:val="clear" w:color="auto" w:fill="auto"/>
        <w:spacing w:line="204" w:lineRule="auto"/>
      </w:pPr>
      <w:r>
        <w:t>Je to trochu směšné, ale nikdo se této touze po spravování soukromého vlastnictví nevyhn</w:t>
      </w:r>
      <w:r>
        <w:t>e. Jen mladí lidé mívají silná idealistická nutkání po zrušení soukromého vlastnictví. Byli to u nás na příklad tram</w:t>
      </w:r>
      <w:r>
        <w:softHyphen/>
        <w:t>pové, mezi nimiž skutečně namnoze kvetlo nezištné kamarádství a vzájemná pomoc. Ale jděte se jen po</w:t>
      </w:r>
      <w:r>
        <w:softHyphen/>
        <w:t>dívat dnes na trampské tábořiště. Každý</w:t>
      </w:r>
      <w:r>
        <w:t xml:space="preserve"> ždibeček pů</w:t>
      </w:r>
      <w:r>
        <w:softHyphen/>
        <w:t>dy je pečlivě oplocen a na chatách visí půl tuctu zám</w:t>
      </w:r>
      <w:r>
        <w:softHyphen/>
        <w:t>ků. Každá chata je natřena co nejhonosněji a pyšní majitelé zahrádek ošetřují s láskou tropickou vegetaci v podobě jarních salátů a ředkviček. Opravdu, celá ta historie vznětů trampského hn</w:t>
      </w:r>
      <w:r>
        <w:t>utí je uložena v té roz- milé písničce: »Já mám svoji chatu, malou jako patu u nohy. Když tam hlavu vstrčím, tělo svoje skrčím ubohý. Je to ale moje, kolem je les, nezaštěká mi tam ani pes; když se na to dívám, radostí si zpívám, letěl bych tam dnes.«</w:t>
      </w:r>
    </w:p>
    <w:p w:rsidR="00500724" w:rsidRDefault="00F30FB8">
      <w:pPr>
        <w:pStyle w:val="Zkladntext20"/>
        <w:shd w:val="clear" w:color="auto" w:fill="auto"/>
        <w:spacing w:line="204" w:lineRule="auto"/>
      </w:pPr>
      <w:r>
        <w:t>Je t</w:t>
      </w:r>
      <w:r>
        <w:t>o ale moje ... ano, to také patří k podstatě lid</w:t>
      </w:r>
      <w:r>
        <w:softHyphen/>
        <w:t>ské spokojenosti. Jen se to nesmí přehnat.</w:t>
      </w:r>
    </w:p>
    <w:p w:rsidR="00500724" w:rsidRDefault="00F30FB8">
      <w:pPr>
        <w:pStyle w:val="Zkladntext20"/>
        <w:shd w:val="clear" w:color="auto" w:fill="auto"/>
        <w:spacing w:line="204" w:lineRule="auto"/>
      </w:pPr>
      <w:r>
        <w:t>Vyplenit chudobu a přílišné sobectví — to je první stupeň úsilí politika, který usiluje o spokojenost své</w:t>
      </w:r>
      <w:r>
        <w:softHyphen/>
        <w:t>ho národa. Při tom ovšem nesmí zapomínat na to, že lidé us</w:t>
      </w:r>
      <w:r>
        <w:t>ilují, aby svého postavení dosáhli sami, a že je vždycky něco špatného v tom, když se nabízí všechno zadarmo. Národ, v kterém je příliš mnoho lidí, již se spoléhají na druhé a sami nepřiloží ruku k dílu, by se měl této chyby zbavit.</w:t>
      </w:r>
    </w:p>
    <w:p w:rsidR="00500724" w:rsidRDefault="00F30FB8">
      <w:pPr>
        <w:pStyle w:val="Zkladntext20"/>
        <w:shd w:val="clear" w:color="auto" w:fill="auto"/>
        <w:spacing w:line="204" w:lineRule="auto"/>
      </w:pPr>
      <w:r>
        <w:t xml:space="preserve">Není pochyby o tom, že </w:t>
      </w:r>
      <w:r>
        <w:t>je dost obtížné najít pro všechny příslušníky národa dost jídla, šatstva i vhod</w:t>
      </w:r>
      <w:r>
        <w:softHyphen/>
        <w:t>ných bytů. Je to možno jen tehdy, bude-li práce ce</w:t>
      </w:r>
      <w:r>
        <w:softHyphen/>
        <w:t>lého národa obezřetně řízena tak, aby byla co nejpro</w:t>
      </w:r>
      <w:r>
        <w:softHyphen/>
        <w:t xml:space="preserve">duktivnější. To se ovšem neobejde bez jistého zásahu do soukromých práv </w:t>
      </w:r>
      <w:r>
        <w:t>jednotlivců, k nimž na příklad také patřívala svoboda práce. Ideální stav společnosti bude ten, až pro každého bude práce zábavou. Tehdy, až si každý svobodně vybere sám svou práci. Dnes ja takových šťastných lidí málo a v dohledné době jich’ nebude víc. A</w:t>
      </w:r>
      <w:r>
        <w:t>le přece jsou lidé, kteří o své vůli pracují šestnáct hodin denně, protože jinak by se nudili.</w:t>
      </w:r>
    </w:p>
    <w:p w:rsidR="00500724" w:rsidRDefault="00F30FB8">
      <w:pPr>
        <w:pStyle w:val="Zkladntext20"/>
        <w:shd w:val="clear" w:color="auto" w:fill="auto"/>
        <w:spacing w:line="204" w:lineRule="auto"/>
        <w:jc w:val="left"/>
      </w:pPr>
      <w:r>
        <w:t>Chceme-li dát všem lidem dostatek, musíme pomi</w:t>
      </w:r>
      <w:r>
        <w:softHyphen/>
        <w:t>nout zatím tento ideální stav. Nelze zatím dát svo</w:t>
      </w:r>
      <w:r>
        <w:softHyphen/>
        <w:t>bodu práce. Každý musí zůstat na tom úseku, kam byl národem pos</w:t>
      </w:r>
      <w:r>
        <w:t>taven. Zato mu bude zaručeno právo na slušné živobytí a rozšířena svoboda zábavy. Nebezpečí hesla »Panem et circenses«</w:t>
      </w:r>
    </w:p>
    <w:p w:rsidR="00500724" w:rsidRDefault="00F30FB8">
      <w:pPr>
        <w:pStyle w:val="Zkladntext20"/>
        <w:shd w:val="clear" w:color="auto" w:fill="auto"/>
        <w:spacing w:line="202" w:lineRule="auto"/>
      </w:pPr>
      <w:r>
        <w:t>Již ve starověku bylo vynalezeno heslo »Panem et circenses«, takže nevynalézáme nic nového. Ale snaží</w:t>
      </w:r>
      <w:r>
        <w:softHyphen/>
        <w:t>me se odstranit to, co bylo škodliv</w:t>
      </w:r>
      <w:r>
        <w:t>é a méněcenné. Chléb každému, ano. A ten chléb může zhruba být stejný. Ale zábava se musí řídit podle temperamentu. A nesmí příliš vést k ztučnění. Národy, které tloust</w:t>
      </w:r>
      <w:r>
        <w:softHyphen/>
        <w:t>nou v blahobytu, se podobají kaprům: v krátké době si je jiný národ upeče k obědu.</w:t>
      </w:r>
    </w:p>
    <w:p w:rsidR="00500724" w:rsidRDefault="00F30FB8">
      <w:pPr>
        <w:pStyle w:val="Zkladntext20"/>
        <w:shd w:val="clear" w:color="auto" w:fill="auto"/>
        <w:spacing w:line="202" w:lineRule="auto"/>
      </w:pPr>
      <w:r>
        <w:t>Rozm</w:t>
      </w:r>
      <w:r>
        <w:t>áhá se stále silněji způsob zábavy, který ne</w:t>
      </w:r>
      <w:r>
        <w:softHyphen/>
        <w:t>vyžaduje žádné námahy. A to je chyba. Dokud nebude mít žádný člověk práci, která pro něho bude zábavou* je třeba, aby existovala zábava, která je také prací* A to především duševní prací. Člověk, který nemůže uk</w:t>
      </w:r>
      <w:r>
        <w:t>ojit svou ctižádost, nemůže být spokojený. A proto</w:t>
      </w:r>
      <w:r>
        <w:softHyphen/>
        <w:t>že práce jeho ctižádosti nestačí, je třeba mu nalézt zá</w:t>
      </w:r>
      <w:r>
        <w:softHyphen/>
        <w:t>bavu, která by mu vnukla vědomí užitečnosti.</w:t>
      </w:r>
    </w:p>
    <w:p w:rsidR="00500724" w:rsidRDefault="00F30FB8">
      <w:pPr>
        <w:pStyle w:val="Zkladntext20"/>
        <w:shd w:val="clear" w:color="auto" w:fill="auto"/>
        <w:spacing w:line="204" w:lineRule="auto"/>
      </w:pPr>
      <w:r>
        <w:t>A jinému druhu lidí zase je nutno nalézt zábavu, která by uspokojila jejich pud romantický. Skoro kaž</w:t>
      </w:r>
      <w:r>
        <w:softHyphen/>
        <w:t>dé</w:t>
      </w:r>
      <w:r>
        <w:t>ho muže občas popadne touha po změně, po pře</w:t>
      </w:r>
      <w:r>
        <w:softHyphen/>
        <w:t>lomu, po překvapující události. Je třeba přemýšlet o zábavě, která by i tento sociálně nebezpečný cit neutr alisovala.</w:t>
      </w:r>
    </w:p>
    <w:p w:rsidR="00500724" w:rsidRDefault="00F30FB8">
      <w:pPr>
        <w:pStyle w:val="Zkladntext20"/>
        <w:shd w:val="clear" w:color="auto" w:fill="auto"/>
        <w:spacing w:line="204" w:lineRule="auto"/>
      </w:pPr>
      <w:r>
        <w:t>Zábavu je třeba dělit podle temperamentu. Někomu stačí procházka po nábřeží a výlet v neděli</w:t>
      </w:r>
      <w:r>
        <w:t>. Jiný touží po biografu. Třetí je spokojen, vynikne-li jako levá spojka S. K. Stavinoha. Ale lidé, kteří musili po celý den konat nudnou práci, kterou nelze nijak zpestřit a při jejíž mechaničnosti nelze nijak vyniknout, uchy</w:t>
      </w:r>
      <w:r>
        <w:softHyphen/>
        <w:t>lovali se v dřívějších dobách</w:t>
      </w:r>
      <w:r>
        <w:t xml:space="preserve"> do spolků, aby si tam jako funkcionáři mohli hmatatelněji a osobitěji uvě</w:t>
      </w:r>
      <w:r>
        <w:softHyphen/>
        <w:t>domit svou cenu. Nebo hráli ochotnické divadlo. Nebo organisovali dobročinné akce. Pro tyto lidi je nutno najít okruh zábavy, přiměřené jejich schopnostem i zájmům. Není pochyby, že</w:t>
      </w:r>
      <w:r>
        <w:t xml:space="preserve"> se najít dá.</w:t>
      </w:r>
    </w:p>
    <w:p w:rsidR="00500724" w:rsidRDefault="00F30FB8">
      <w:pPr>
        <w:pStyle w:val="Zkladntext20"/>
        <w:shd w:val="clear" w:color="auto" w:fill="auto"/>
        <w:spacing w:line="211" w:lineRule="auto"/>
      </w:pPr>
      <w:r>
        <w:t>S romantiky je to těžší. Ale zde nejsilněji může za</w:t>
      </w:r>
      <w:r>
        <w:softHyphen/>
        <w:t>působit knížka. Aspoň letmo bychom se chtěli do</w:t>
      </w:r>
      <w:r>
        <w:softHyphen/>
        <w:t>tknout knihy, která je nejlepším lékem pro dobrou náladu všech lidí.</w:t>
      </w:r>
    </w:p>
    <w:p w:rsidR="00500724" w:rsidRDefault="00F30FB8">
      <w:pPr>
        <w:pStyle w:val="Zkladntext20"/>
        <w:shd w:val="clear" w:color="auto" w:fill="auto"/>
        <w:spacing w:line="211" w:lineRule="auto"/>
        <w:rPr>
          <w:sz w:val="19"/>
          <w:szCs w:val="19"/>
        </w:rPr>
      </w:pPr>
      <w:r>
        <w:t>Všimněte si dobře, jak podivně je rozdělena knižní produkce: V každém kni</w:t>
      </w:r>
      <w:r>
        <w:t>hkupectví je oddělení pro nej</w:t>
      </w:r>
      <w:r>
        <w:softHyphen/>
        <w:t>menší děti, pak pro děti do dvanácti let, pak do šest</w:t>
      </w:r>
      <w:r>
        <w:softHyphen/>
        <w:t>nácti. A dost. O starší občany už se nikdo nestará. Prostý člověk — a dnes, při té nepřehlednosti pro</w:t>
      </w:r>
      <w:r>
        <w:softHyphen/>
        <w:t>dukce, také člověk, který i soustavně sleduje ediční činnost — vejde d</w:t>
      </w:r>
      <w:r>
        <w:t>o knihkupectví jako do ohromného skladiště konserv s naprosto tajemnými nápisy a se záhadnými obrázky. Někdy lze hádat podle vyda</w:t>
      </w:r>
      <w:r>
        <w:softHyphen/>
        <w:t>vatele, někdy podle autora, někdy podle obsahu na záložce. Ale to je málo. Podívejte se: Knihkupectví by měla být zařízena jak</w:t>
      </w:r>
      <w:r>
        <w:t>o lékárny. Neboť ve skutečnosti kniha je opravdu lékem proti každé špatné náladě, proti nudně se vlekoucímu času, proti poraněné ješit</w:t>
      </w:r>
      <w:r>
        <w:softHyphen/>
        <w:t>nosti, proti omamující touze po dobrodružství. Má schopnosti léčiti. Dovede však také nemocem před</w:t>
      </w:r>
      <w:r>
        <w:softHyphen/>
        <w:t>cházet!. Vnukne dobrou</w:t>
      </w:r>
      <w:r>
        <w:t xml:space="preserve"> náladu, důvěru v život a pří- iš veselé zase varuje a připravuje na nepříjemné udá- osti, které — bez starosti! — každého z nás občas potkávají. Když vás bolí hlava, víte, že potřebujete aspirin. Proti bolestem břicha, nemýlím-li se, je živo</w:t>
      </w:r>
      <w:r>
        <w:softHyphen/>
        <w:t>čišné uhlí. D</w:t>
      </w:r>
      <w:r>
        <w:t xml:space="preserve">obrou chuť k jídlu vzbudí prý aperitiv, </w:t>
      </w:r>
      <w:r>
        <w:rPr>
          <w:b/>
          <w:bCs/>
          <w:i/>
          <w:iCs/>
          <w:sz w:val="19"/>
          <w:szCs w:val="19"/>
        </w:rPr>
        <w:t>2.41</w:t>
      </w:r>
    </w:p>
    <w:p w:rsidR="00500724" w:rsidRDefault="00F30FB8">
      <w:pPr>
        <w:pStyle w:val="Zkladntext20"/>
        <w:shd w:val="clear" w:color="auto" w:fill="auto"/>
        <w:spacing w:line="202" w:lineRule="auto"/>
        <w:ind w:firstLine="0"/>
      </w:pPr>
      <w:r>
        <w:rPr>
          <w:lang w:val="en-US" w:eastAsia="en-US" w:bidi="en-US"/>
        </w:rPr>
        <w:t xml:space="preserve">ale </w:t>
      </w:r>
      <w:r>
        <w:t>tomu nevěřím. Zkrátka na všechny fysické ne</w:t>
      </w:r>
      <w:r>
        <w:softHyphen/>
        <w:t xml:space="preserve">dostatky je nějaký lék, který někdy pomáhá, někdy ne. Na všechny duševní strasti a na podlomenou dobrou náladu je nejlepším lékem kniha. Ale která kniha? Těch </w:t>
      </w:r>
      <w:r>
        <w:t>lidí, kteří čtou soustavně, aby věděli, co je doma i ve světě nového a kterým hrubě nepřekáží ani knížka pesimistická ani optimistická, je celkem málo. Všichni ostatní nečtou knihy jen z toho důvodu, že jim nikdo neporadí, co by je nejvíc bavilo. Kniha, ať</w:t>
      </w:r>
      <w:r>
        <w:t xml:space="preserve"> chceme nebo nechceme, zůstane pro většinu lidí jen předmětem zábavy. Platí za ni a chtějí za své peníze něco příjemného. Vzdělání přijímají po kapkách a po</w:t>
      </w:r>
      <w:r>
        <w:softHyphen/>
        <w:t>kud možno zadarmo.</w:t>
      </w:r>
    </w:p>
    <w:p w:rsidR="00500724" w:rsidRDefault="00F30FB8">
      <w:pPr>
        <w:pStyle w:val="Zkladntext20"/>
        <w:shd w:val="clear" w:color="auto" w:fill="auto"/>
        <w:spacing w:line="202" w:lineRule="auto"/>
      </w:pPr>
      <w:r>
        <w:t xml:space="preserve">Téhle touze by se mělo vyjít vstříc nejen v zájmu kultury a nakladatelů, ale </w:t>
      </w:r>
      <w:r>
        <w:t>především v zájmu dobré nálady lidu, kterýžto faktor je dnes nesmírně důle</w:t>
      </w:r>
      <w:r>
        <w:softHyphen/>
        <w:t>žitý. Nemůžeme přímo žádat na autorech, aby psali knihy s úmyslem: Toto je pro zklamané egoisty, toto pro lidi bez rodinného štěstí, toto pro muže, kteří žijí v zaprášených registra</w:t>
      </w:r>
      <w:r>
        <w:t>turách. Ale knihkupci — za</w:t>
      </w:r>
      <w:r>
        <w:softHyphen/>
        <w:t>jisté že v rámci akce Radosti ze života — by měli sami dělit svůj sklad tak, aby i nejprostší člověk, vejde-li do krámu a vylíčí-li, jakou náladu má, dostal ten nejsprávnější lék.</w:t>
      </w:r>
    </w:p>
    <w:p w:rsidR="00500724" w:rsidRDefault="00F30FB8">
      <w:pPr>
        <w:pStyle w:val="Zkladntext20"/>
        <w:shd w:val="clear" w:color="auto" w:fill="auto"/>
        <w:spacing w:line="202" w:lineRule="auto"/>
      </w:pPr>
      <w:r>
        <w:t>Řekněte snad: Pak se knížky nemusejí prodávat, st</w:t>
      </w:r>
      <w:r>
        <w:t>ačí půjčovny. Nikoliv, prosím. Mám doma svůj aspi</w:t>
      </w:r>
      <w:r>
        <w:softHyphen/>
        <w:t>rin, mám dokonce syrob proti kašli, chci mít doma také shromáždění autorů, kteří mi vždycky pomohou, ať je jakkoliv dlouhá chvíle a ať jakkoliv mi vnější svět ublížil.</w:t>
      </w:r>
    </w:p>
    <w:p w:rsidR="00500724" w:rsidRDefault="00F30FB8">
      <w:pPr>
        <w:pStyle w:val="Zkladntext20"/>
        <w:shd w:val="clear" w:color="auto" w:fill="auto"/>
        <w:spacing w:line="202" w:lineRule="auto"/>
      </w:pPr>
      <w:r>
        <w:t>Knihkupci s velkými sklady zakletých k</w:t>
      </w:r>
      <w:r>
        <w:t>onserv ne</w:t>
      </w:r>
      <w:r>
        <w:softHyphen/>
        <w:t>známého obsahu měli by vyjít především vstříc touze po zábavě. Neboť číst knihu je zábava, kterou valná většina dnešních lidí potřebuje. Je v ní útěcha, zdroj potěšení a také duševní práce. Ovšem ne každá kniha se hodí pro každého a pro jakoukoli</w:t>
      </w:r>
      <w:r>
        <w:t>v chvíli. Kniha prodavačem špatně vybraná a prostému kupci vnu</w:t>
      </w:r>
      <w:r>
        <w:softHyphen/>
        <w:t>cená vykoná, i když její hodnota je nesporná, zni</w:t>
      </w:r>
      <w:r>
        <w:softHyphen/>
        <w:t xml:space="preserve">čující díla jako arsen, ordinovaný v nepravou chvíli Ten člověk si už po druhé knihu nekoupí, neboť deset piv mu poskytlo zajímavější zábavu a </w:t>
      </w:r>
      <w:r>
        <w:t>při tom věděl, co v každé sklenici najde.</w:t>
      </w:r>
    </w:p>
    <w:p w:rsidR="00500724" w:rsidRDefault="00F30FB8">
      <w:pPr>
        <w:pStyle w:val="Zkladntext20"/>
        <w:shd w:val="clear" w:color="auto" w:fill="auto"/>
        <w:spacing w:line="202" w:lineRule="auto"/>
      </w:pPr>
      <w:r>
        <w:t>Volání po návratu ke kultuře je zase takové obecné volání. Je třeba každému jeho knihu vybrat a pak lidé budou číst rádi. Při čemž nesmíme nikdy zapo</w:t>
      </w:r>
      <w:r>
        <w:softHyphen/>
        <w:t xml:space="preserve">menout, že kniha nikdy není účel a cíl života, nýbrž jenom jeho </w:t>
      </w:r>
      <w:r>
        <w:t>doplněk, reprodukce, lék, nikoliv živina.</w:t>
      </w:r>
    </w:p>
    <w:p w:rsidR="00500724" w:rsidRDefault="00F30FB8">
      <w:pPr>
        <w:pStyle w:val="Zkladntext20"/>
        <w:shd w:val="clear" w:color="auto" w:fill="auto"/>
        <w:spacing w:after="100" w:line="202" w:lineRule="auto"/>
      </w:pPr>
      <w:r>
        <w:t>Jenom letmo jsme se dotkli problému, který by ovšem stačil na rozsáhlé dílo. Politik, který přemýšlí a nespokojuje se jen velkými slovy, jejichž obsah ne</w:t>
      </w:r>
      <w:r>
        <w:softHyphen/>
        <w:t>chce naplnit, ví o tom ovšem daleko víc.</w:t>
      </w:r>
    </w:p>
    <w:p w:rsidR="00500724" w:rsidRDefault="00F30FB8">
      <w:pPr>
        <w:pStyle w:val="Zkladntext20"/>
        <w:shd w:val="clear" w:color="auto" w:fill="auto"/>
        <w:spacing w:line="202" w:lineRule="auto"/>
        <w:ind w:firstLine="0"/>
        <w:jc w:val="center"/>
      </w:pPr>
      <w:r>
        <w:t>Přízvuk na první sl</w:t>
      </w:r>
      <w:r>
        <w:t>abice</w:t>
      </w:r>
    </w:p>
    <w:p w:rsidR="00500724" w:rsidRDefault="00F30FB8">
      <w:pPr>
        <w:pStyle w:val="Zkladntext20"/>
        <w:shd w:val="clear" w:color="auto" w:fill="auto"/>
        <w:spacing w:after="40" w:line="204" w:lineRule="auto"/>
      </w:pPr>
      <w:r>
        <w:t>Čeština má přízvuk na první slabice ve slově. Pak už síla hlasu klesá a mnozí polykají konec. Také naše práce se obyčejně vyznačuje silným přízvukem na po</w:t>
      </w:r>
      <w:r>
        <w:softHyphen/>
        <w:t>čátku dílu, ale pak slábne a někdy se docela ztratí. Vydali-li jsme se v těchto dobách za podst</w:t>
      </w:r>
      <w:r>
        <w:t>atně změ</w:t>
      </w:r>
      <w:r>
        <w:softHyphen/>
        <w:t>něných poměrů za hledáním dobré nálady, za politi</w:t>
      </w:r>
      <w:r>
        <w:softHyphen/>
        <w:t>kou, která má vést k spokojenosti a štěstí lidí, jsme si vědomi, že nebudeme u konce této práce ani dnes ani pozítří. Zvednout existenční minimum celého ná</w:t>
      </w:r>
      <w:r>
        <w:softHyphen/>
        <w:t>roda jen o stokorunu — abychom se vyjadřo</w:t>
      </w:r>
      <w:r>
        <w:t>vali ve starých pojmech — je práce obrovská. Najít každému práci, pro kterou by se hodil a která by ho bavila, se zdá přímo nemožné. Postarat se všem lidem o vy</w:t>
      </w:r>
      <w:r>
        <w:softHyphen/>
        <w:t>plnění volného času, které by je bavilo a jim duševně i tělesně prospívalo, je úkol, který nezv</w:t>
      </w:r>
      <w:r>
        <w:t>ládne hned tak armáda vědců.</w:t>
      </w:r>
    </w:p>
    <w:p w:rsidR="00500724" w:rsidRDefault="00F30FB8">
      <w:pPr>
        <w:pStyle w:val="Zkladntext20"/>
        <w:shd w:val="clear" w:color="auto" w:fill="auto"/>
        <w:spacing w:after="40" w:line="204" w:lineRule="auto"/>
        <w:ind w:firstLine="220"/>
      </w:pPr>
      <w:r>
        <w:t>Jenom jedno z toho všeho je nejlehčí: Poskytovat těm druhým štěstí. Být laskavý, příjemný a mít pro každého porozumění. Pomáhat druhým a nemyslit jen na sebe. Nemračit se, nepodezřívat, zbytečně neubli</w:t>
      </w:r>
      <w:r>
        <w:softHyphen/>
        <w:t>žovat. Když sami štěstí n</w:t>
      </w:r>
      <w:r>
        <w:t>epotkáváme, aby nám ne- zkamenělo srdce k druhým. Je to tak lehké, tak jedno</w:t>
      </w:r>
      <w:r>
        <w:softHyphen/>
        <w:t>duché rozmnožovat štěstí.</w:t>
      </w:r>
    </w:p>
    <w:p w:rsidR="00500724" w:rsidRDefault="00F30FB8">
      <w:pPr>
        <w:pStyle w:val="Zkladntext20"/>
        <w:shd w:val="clear" w:color="auto" w:fill="auto"/>
        <w:spacing w:after="220" w:line="204" w:lineRule="auto"/>
        <w:ind w:firstLine="220"/>
      </w:pPr>
      <w:r>
        <w:t>Ale člověk se o to nesmí pokusit jen jednou. V po</w:t>
      </w:r>
      <w:r>
        <w:softHyphen/>
        <w:t>sledním roce již aspoň třikrát jsme si — celý národ — slibovali, že budeme na sebe hodní, laskaví, milí</w:t>
      </w:r>
      <w:r>
        <w:t>. Vy</w:t>
      </w:r>
      <w:r>
        <w:softHyphen/>
        <w:t>razili jsme první slabiku hodně silně. Ale pak síla slábla. A leckdo už dnes zase konec slova polyká. Což abychom začali mluvit trochu jinak? Abychom ten přízvuk trochu setřeli, ale vydrželi říci celé slovo i celou větu přibližně stejně silně a stejně</w:t>
      </w:r>
      <w:r>
        <w:t xml:space="preserve"> důtklivě? Abychom si tolik neslibovali, abychom tolik nevykři</w:t>
      </w:r>
      <w:r>
        <w:softHyphen/>
        <w:t>kovali velká slova, ale zato v pevném úmyslu setrvali až do konce.</w:t>
      </w:r>
    </w:p>
    <w:p w:rsidR="00500724" w:rsidRDefault="00F30FB8">
      <w:pPr>
        <w:pStyle w:val="Jin0"/>
        <w:shd w:val="clear" w:color="auto" w:fill="auto"/>
        <w:spacing w:after="200"/>
        <w:ind w:firstLine="0"/>
        <w:jc w:val="left"/>
        <w:rPr>
          <w:sz w:val="44"/>
          <w:szCs w:val="44"/>
        </w:rPr>
      </w:pPr>
      <w:r>
        <w:rPr>
          <w:b/>
          <w:bCs/>
          <w:sz w:val="44"/>
          <w:szCs w:val="44"/>
          <w:u w:val="single"/>
        </w:rPr>
        <w:t>literatura a umění</w:t>
      </w:r>
    </w:p>
    <w:p w:rsidR="00500724" w:rsidRDefault="00F30FB8">
      <w:pPr>
        <w:pStyle w:val="Zkladntext40"/>
        <w:shd w:val="clear" w:color="auto" w:fill="auto"/>
        <w:spacing w:after="40" w:line="240" w:lineRule="auto"/>
      </w:pPr>
      <w:r>
        <w:rPr>
          <w:b/>
          <w:bCs/>
          <w:i/>
          <w:iCs/>
        </w:rPr>
        <w:t>JanFrank:</w:t>
      </w:r>
    </w:p>
    <w:p w:rsidR="00500724" w:rsidRDefault="00F30FB8">
      <w:pPr>
        <w:pStyle w:val="Nadpis100"/>
        <w:shd w:val="clear" w:color="auto" w:fill="auto"/>
        <w:spacing w:line="240" w:lineRule="auto"/>
        <w:ind w:left="500"/>
        <w:jc w:val="left"/>
      </w:pPr>
      <w:bookmarkStart w:id="387" w:name="bookmark386"/>
      <w:r>
        <w:t>Češi v německém slovníku</w:t>
      </w:r>
      <w:bookmarkEnd w:id="387"/>
    </w:p>
    <w:p w:rsidR="00500724" w:rsidRDefault="00F30FB8">
      <w:pPr>
        <w:pStyle w:val="Zkladntext100"/>
        <w:shd w:val="clear" w:color="auto" w:fill="auto"/>
        <w:spacing w:after="40" w:line="240" w:lineRule="auto"/>
        <w:ind w:firstLine="220"/>
        <w:rPr>
          <w:sz w:val="19"/>
          <w:szCs w:val="19"/>
        </w:rPr>
      </w:pPr>
      <w:r>
        <w:rPr>
          <w:sz w:val="19"/>
          <w:szCs w:val="19"/>
        </w:rPr>
        <w:t xml:space="preserve">Není pochyby o tom, že nový politický a kulturní stav, v němž žijeme a </w:t>
      </w:r>
      <w:r>
        <w:rPr>
          <w:sz w:val="19"/>
          <w:szCs w:val="19"/>
        </w:rPr>
        <w:t>budeme žít, vyžádá si bližší vzá</w:t>
      </w:r>
      <w:r>
        <w:rPr>
          <w:sz w:val="19"/>
          <w:szCs w:val="19"/>
        </w:rPr>
        <w:softHyphen/>
        <w:t>jemné poznávání mezi Čechy a Němci a že bude nutno po všech stránkách snažit se nalézt více styčných bodů, než kolik jich bylo nalezeno dodnes.</w:t>
      </w:r>
    </w:p>
    <w:p w:rsidR="00500724" w:rsidRDefault="00F30FB8">
      <w:pPr>
        <w:pStyle w:val="Zkladntext100"/>
        <w:shd w:val="clear" w:color="auto" w:fill="auto"/>
        <w:spacing w:after="40" w:line="240" w:lineRule="auto"/>
        <w:ind w:firstLine="220"/>
        <w:rPr>
          <w:sz w:val="19"/>
          <w:szCs w:val="19"/>
        </w:rPr>
      </w:pPr>
      <w:r>
        <w:rPr>
          <w:sz w:val="19"/>
          <w:szCs w:val="19"/>
        </w:rPr>
        <w:t>Bylo by velmi povrchní souditi, že se přímý styk obou národů stane těsnějším, b</w:t>
      </w:r>
      <w:r>
        <w:rPr>
          <w:sz w:val="19"/>
          <w:szCs w:val="19"/>
        </w:rPr>
        <w:t>udou-li vzájemně ctít svou beletrii a vědeckou literaturu nebo budou-li častěji vy</w:t>
      </w:r>
      <w:r>
        <w:rPr>
          <w:sz w:val="19"/>
          <w:szCs w:val="19"/>
        </w:rPr>
        <w:softHyphen/>
        <w:t>měňovány na jevištích hry, jejichž náplň může pocho</w:t>
      </w:r>
      <w:r>
        <w:rPr>
          <w:sz w:val="19"/>
          <w:szCs w:val="19"/>
        </w:rPr>
        <w:softHyphen/>
        <w:t>piti stejně dobře Čech jako Němec.</w:t>
      </w:r>
    </w:p>
    <w:p w:rsidR="00500724" w:rsidRDefault="00F30FB8">
      <w:pPr>
        <w:pStyle w:val="Zkladntext100"/>
        <w:shd w:val="clear" w:color="auto" w:fill="auto"/>
        <w:spacing w:after="240" w:line="240" w:lineRule="auto"/>
        <w:ind w:firstLine="220"/>
        <w:rPr>
          <w:sz w:val="19"/>
          <w:szCs w:val="19"/>
        </w:rPr>
      </w:pPr>
      <w:r>
        <w:rPr>
          <w:sz w:val="19"/>
          <w:szCs w:val="19"/>
        </w:rPr>
        <w:t>Af chceme nebo ne, příčiny, proč jsme se Němcům v posledních letech vzdalovali, měly s</w:t>
      </w:r>
      <w:r>
        <w:rPr>
          <w:sz w:val="19"/>
          <w:szCs w:val="19"/>
        </w:rPr>
        <w:t>vůj hlubší kořen. Názorové hladiny obou styčných národů byly přece jen tak rozdílné, že až do nedávná nebylo nijak možno sní- žiti jednu a zvýšiti druhou, abychom je mohli nechat vzájemně prolínat. Základem nepochopení mnoha pro</w:t>
      </w:r>
      <w:r>
        <w:rPr>
          <w:sz w:val="19"/>
          <w:szCs w:val="19"/>
        </w:rPr>
        <w:softHyphen/>
        <w:t>blémů bylo rozdílné nazírán</w:t>
      </w:r>
      <w:r>
        <w:rPr>
          <w:sz w:val="19"/>
          <w:szCs w:val="19"/>
        </w:rPr>
        <w:t>í na pojem objektivity a neobjektivity. Němci dovedli přeorientovat celý směr svého myšlení, dovedli předestilovat i pojem objektivity, aby vybudovali nový princip své odlišné filosofie. Růz</w:t>
      </w:r>
      <w:r>
        <w:rPr>
          <w:sz w:val="19"/>
          <w:szCs w:val="19"/>
        </w:rPr>
        <w:softHyphen/>
        <w:t>nost výkladů filosofických pojmů nebo i zákonů nebyla diktována z</w:t>
      </w:r>
      <w:r>
        <w:rPr>
          <w:sz w:val="19"/>
          <w:szCs w:val="19"/>
        </w:rPr>
        <w:t>de i tam neochotou ke vzájemnému poroz</w:t>
      </w:r>
      <w:r>
        <w:rPr>
          <w:sz w:val="19"/>
          <w:szCs w:val="19"/>
        </w:rPr>
        <w:softHyphen/>
        <w:t>umění, protože kořeny, z nichž jsme rostli a žili, byly příliš hluboké, než abychom se nebáli ztratit sami sebe, než abychom se nebáli, že bychom mohli své kořeny vy</w:t>
      </w:r>
      <w:r>
        <w:rPr>
          <w:sz w:val="19"/>
          <w:szCs w:val="19"/>
        </w:rPr>
        <w:softHyphen/>
        <w:t>viklat a dostat se tam, kde bychom ztratili svou vl</w:t>
      </w:r>
      <w:r>
        <w:rPr>
          <w:sz w:val="19"/>
          <w:szCs w:val="19"/>
        </w:rPr>
        <w:t>astní živnou půdu. Nynější uspořádání našich věcí nám však ukládá zabývati se těmito myšlenkami znovu a důsled</w:t>
      </w:r>
      <w:r>
        <w:rPr>
          <w:sz w:val="19"/>
          <w:szCs w:val="19"/>
        </w:rPr>
        <w:softHyphen/>
        <w:t>něji než dříve.</w:t>
      </w:r>
    </w:p>
    <w:p w:rsidR="00500724" w:rsidRDefault="00F30FB8">
      <w:pPr>
        <w:pStyle w:val="Zkladntext100"/>
        <w:shd w:val="clear" w:color="auto" w:fill="auto"/>
        <w:spacing w:line="240" w:lineRule="auto"/>
        <w:ind w:firstLine="220"/>
        <w:rPr>
          <w:sz w:val="19"/>
          <w:szCs w:val="19"/>
        </w:rPr>
      </w:pPr>
      <w:r>
        <w:rPr>
          <w:sz w:val="19"/>
          <w:szCs w:val="19"/>
        </w:rPr>
        <w:t>Prvou věcí, která nás může hodně poučit, je poznání, jak o nás Němci smýšleli dříve, jak o nás mluvili a psali. A i zde není důle</w:t>
      </w:r>
      <w:r>
        <w:rPr>
          <w:sz w:val="19"/>
          <w:szCs w:val="19"/>
        </w:rPr>
        <w:t>žito, co bylo napsáno pod dojmy poli</w:t>
      </w:r>
      <w:r>
        <w:rPr>
          <w:sz w:val="19"/>
          <w:szCs w:val="19"/>
        </w:rPr>
        <w:softHyphen/>
        <w:t>tických událostí, nebo co vyšlo z pera romanopisce. Ci</w:t>
      </w:r>
      <w:r>
        <w:rPr>
          <w:sz w:val="19"/>
          <w:szCs w:val="19"/>
        </w:rPr>
        <w:softHyphen/>
        <w:t>tová literatura, do níž je možno zahrnouti konec konců i politický úvodník, neposkytuje nikdy tolik materiálu ke vzájemnému poznání dvou národů, jako jejich litera</w:t>
      </w:r>
      <w:r>
        <w:rPr>
          <w:sz w:val="19"/>
          <w:szCs w:val="19"/>
        </w:rPr>
        <w:softHyphen/>
      </w:r>
      <w:r>
        <w:rPr>
          <w:sz w:val="19"/>
          <w:szCs w:val="19"/>
        </w:rPr>
        <w:t>tura nauková. Naučné slovníky jsou v tom případě pří</w:t>
      </w:r>
      <w:r>
        <w:rPr>
          <w:sz w:val="19"/>
          <w:szCs w:val="19"/>
        </w:rPr>
        <w:softHyphen/>
        <w:t>ručkou základní.</w:t>
      </w:r>
    </w:p>
    <w:p w:rsidR="00500724" w:rsidRDefault="00F30FB8">
      <w:pPr>
        <w:pStyle w:val="Zkladntext100"/>
        <w:shd w:val="clear" w:color="auto" w:fill="auto"/>
        <w:spacing w:line="240" w:lineRule="auto"/>
        <w:ind w:firstLine="220"/>
        <w:rPr>
          <w:sz w:val="19"/>
          <w:szCs w:val="19"/>
        </w:rPr>
      </w:pPr>
      <w:r>
        <w:rPr>
          <w:sz w:val="19"/>
          <w:szCs w:val="19"/>
        </w:rPr>
        <w:t>Bylo řečeno, že objektivita, jak ji přijímali Němci a jak my, byla vyjádřením dvou odlišných pojmů, vyrů</w:t>
      </w:r>
      <w:r>
        <w:rPr>
          <w:sz w:val="19"/>
          <w:szCs w:val="19"/>
        </w:rPr>
        <w:softHyphen/>
        <w:t>stajících ze dvou různých myšlenkových základen. Pro</w:t>
      </w:r>
      <w:r>
        <w:rPr>
          <w:sz w:val="19"/>
          <w:szCs w:val="19"/>
        </w:rPr>
        <w:softHyphen/>
        <w:t>to tedy i to, čemu říkáme fa</w:t>
      </w:r>
      <w:r>
        <w:rPr>
          <w:sz w:val="19"/>
          <w:szCs w:val="19"/>
        </w:rPr>
        <w:t>kta, bude se jevit ve světle dvojího nazírání různě. Abychom se přesvědčili o správ</w:t>
      </w:r>
      <w:r>
        <w:rPr>
          <w:sz w:val="19"/>
          <w:szCs w:val="19"/>
        </w:rPr>
        <w:softHyphen/>
        <w:t>nosti svých slov, vezměme do ruky poslední vydání »Knauers Lexikonu</w:t>
      </w:r>
      <w:r>
        <w:rPr>
          <w:i/>
          <w:iCs/>
          <w:sz w:val="19"/>
          <w:szCs w:val="19"/>
        </w:rPr>
        <w:t>&lt;z</w:t>
      </w:r>
      <w:r>
        <w:rPr>
          <w:sz w:val="19"/>
          <w:szCs w:val="19"/>
        </w:rPr>
        <w:t xml:space="preserve"> (Berlín 1959).</w:t>
      </w:r>
    </w:p>
    <w:p w:rsidR="00500724" w:rsidRDefault="00F30FB8">
      <w:pPr>
        <w:pStyle w:val="Zkladntext100"/>
        <w:shd w:val="clear" w:color="auto" w:fill="auto"/>
        <w:spacing w:line="240" w:lineRule="auto"/>
        <w:ind w:firstLine="220"/>
        <w:rPr>
          <w:sz w:val="19"/>
          <w:szCs w:val="19"/>
        </w:rPr>
      </w:pPr>
      <w:r>
        <w:rPr>
          <w:sz w:val="19"/>
          <w:szCs w:val="19"/>
        </w:rPr>
        <w:t>Je to malý příruční naučný slovník, kde na 950 stra</w:t>
      </w:r>
      <w:r>
        <w:rPr>
          <w:sz w:val="19"/>
          <w:szCs w:val="19"/>
        </w:rPr>
        <w:softHyphen/>
        <w:t xml:space="preserve">nách jsou v hutné zkratce dotčeny </w:t>
      </w:r>
      <w:r>
        <w:rPr>
          <w:sz w:val="19"/>
          <w:szCs w:val="19"/>
        </w:rPr>
        <w:t>všecky obory a kde se čtenář okamžitě doví nejpodstatnější data o lidech, názorech, o společnosti a o všem, co vytváří ducha doby a minulých dob. A právě, že nejde o rozsáhlou encyklo</w:t>
      </w:r>
      <w:r>
        <w:rPr>
          <w:sz w:val="19"/>
          <w:szCs w:val="19"/>
        </w:rPr>
        <w:softHyphen/>
        <w:t xml:space="preserve">pedii, jež by si dělala nárok na shrnutí všech oborů vědy a vědění, ale </w:t>
      </w:r>
      <w:r>
        <w:rPr>
          <w:sz w:val="19"/>
          <w:szCs w:val="19"/>
        </w:rPr>
        <w:t>že jde o příruční naučný slovník, podáva</w:t>
      </w:r>
      <w:r>
        <w:rPr>
          <w:sz w:val="19"/>
          <w:szCs w:val="19"/>
        </w:rPr>
        <w:softHyphen/>
        <w:t>jící přehled o heslech německých a teprve na druhé straně světových, je pro nás poučné to, co tam najdeme o české vědě, českém umění, technice a pod.</w:t>
      </w:r>
    </w:p>
    <w:p w:rsidR="00500724" w:rsidRDefault="00F30FB8">
      <w:pPr>
        <w:pStyle w:val="Zkladntext100"/>
        <w:shd w:val="clear" w:color="auto" w:fill="auto"/>
        <w:spacing w:line="230" w:lineRule="auto"/>
        <w:ind w:firstLine="220"/>
        <w:rPr>
          <w:sz w:val="19"/>
          <w:szCs w:val="19"/>
        </w:rPr>
      </w:pPr>
      <w:r>
        <w:rPr>
          <w:sz w:val="19"/>
          <w:szCs w:val="19"/>
        </w:rPr>
        <w:t>Je nutno poznamenati ještě to, že slovník vyšel ještě v době trvá</w:t>
      </w:r>
      <w:r>
        <w:rPr>
          <w:sz w:val="19"/>
          <w:szCs w:val="19"/>
        </w:rPr>
        <w:t>ní československé republiky, krátce před ustanovením Protektorátu Cechy a Morava.</w:t>
      </w:r>
    </w:p>
    <w:p w:rsidR="00500724" w:rsidRDefault="00F30FB8">
      <w:pPr>
        <w:pStyle w:val="Zkladntext100"/>
        <w:shd w:val="clear" w:color="auto" w:fill="auto"/>
        <w:spacing w:line="230" w:lineRule="auto"/>
        <w:ind w:firstLine="220"/>
        <w:rPr>
          <w:sz w:val="19"/>
          <w:szCs w:val="19"/>
        </w:rPr>
      </w:pPr>
      <w:r>
        <w:rPr>
          <w:sz w:val="19"/>
          <w:szCs w:val="19"/>
        </w:rPr>
        <w:t>Musí nás jako Cechy zaujmout především poměr, s jakým slovník zaznamenává data naší historie a našeho vývoje. Podstatný rozdíl historického nazírání se projeví všude tam, kde</w:t>
      </w:r>
      <w:r>
        <w:rPr>
          <w:sz w:val="19"/>
          <w:szCs w:val="19"/>
        </w:rPr>
        <w:t xml:space="preserve"> náš osud v historii byl spojen s osudem Německa. Budeme muset nalézt společného jmenovatele ke dvojímu historickému výkladu, a protože se nepoklá</w:t>
      </w:r>
      <w:r>
        <w:rPr>
          <w:sz w:val="19"/>
          <w:szCs w:val="19"/>
        </w:rPr>
        <w:softHyphen/>
        <w:t>dáme za národ bez inteligence a vědní výchovy, jistě přispějeme platným dílem k objasnění některých dat, na n</w:t>
      </w:r>
      <w:r>
        <w:rPr>
          <w:sz w:val="19"/>
          <w:szCs w:val="19"/>
        </w:rPr>
        <w:t>ěž jsme se až dosud my i Němci dívali každý jinak. Vyjděme z příkladu:</w:t>
      </w:r>
    </w:p>
    <w:p w:rsidR="00500724" w:rsidRDefault="00F30FB8">
      <w:pPr>
        <w:pStyle w:val="Zkladntext100"/>
        <w:shd w:val="clear" w:color="auto" w:fill="auto"/>
        <w:spacing w:line="230" w:lineRule="auto"/>
        <w:ind w:firstLine="220"/>
        <w:rPr>
          <w:sz w:val="19"/>
          <w:szCs w:val="19"/>
        </w:rPr>
      </w:pPr>
      <w:r>
        <w:rPr>
          <w:sz w:val="19"/>
          <w:szCs w:val="19"/>
        </w:rPr>
        <w:t>Podle našeho dějepisného učení Karel IV. byl zván Otcem vlasti. Jako český král soustředil ještě jiné (a sil</w:t>
      </w:r>
      <w:r>
        <w:rPr>
          <w:sz w:val="19"/>
          <w:szCs w:val="19"/>
        </w:rPr>
        <w:softHyphen/>
        <w:t>nější) funkce ve svých rukou. Žil v Praze a budoval Prahu. Založil zde dokon</w:t>
      </w:r>
      <w:r>
        <w:rPr>
          <w:sz w:val="19"/>
          <w:szCs w:val="19"/>
        </w:rPr>
        <w:t>ce prvou středoevropskou uni</w:t>
      </w:r>
      <w:r>
        <w:rPr>
          <w:sz w:val="19"/>
          <w:szCs w:val="19"/>
        </w:rPr>
        <w:softHyphen/>
        <w:t>versitu. Německý historik uvádí, že to byla universita německá, zatím co my jsme se učili, že to byla univer</w:t>
      </w:r>
      <w:r>
        <w:rPr>
          <w:sz w:val="19"/>
          <w:szCs w:val="19"/>
        </w:rPr>
        <w:softHyphen/>
        <w:t>sita latinská, tedy ani ne německá ani česká.</w:t>
      </w:r>
    </w:p>
    <w:p w:rsidR="00500724" w:rsidRDefault="00F30FB8">
      <w:pPr>
        <w:pStyle w:val="Zkladntext100"/>
        <w:shd w:val="clear" w:color="auto" w:fill="auto"/>
        <w:spacing w:line="233" w:lineRule="auto"/>
        <w:ind w:firstLine="220"/>
        <w:rPr>
          <w:sz w:val="19"/>
          <w:szCs w:val="19"/>
        </w:rPr>
      </w:pPr>
      <w:r>
        <w:rPr>
          <w:sz w:val="19"/>
          <w:szCs w:val="19"/>
        </w:rPr>
        <w:t>Na jiný historický fakt ukazuje obrázek, zařáděný do I. obrazové části z</w:t>
      </w:r>
      <w:r>
        <w:rPr>
          <w:sz w:val="19"/>
          <w:szCs w:val="19"/>
        </w:rPr>
        <w:t xml:space="preserve"> německých dějin: Pražská defene</w:t>
      </w:r>
      <w:r>
        <w:rPr>
          <w:sz w:val="19"/>
          <w:szCs w:val="19"/>
        </w:rPr>
        <w:softHyphen/>
        <w:t>strace r. 1618. Zvykli jsme si až dosud viděti v tomto fak</w:t>
      </w:r>
      <w:r>
        <w:rPr>
          <w:sz w:val="19"/>
          <w:szCs w:val="19"/>
        </w:rPr>
        <w:softHyphen/>
        <w:t>tu ukázku poměrů ryze českých, vření uvnitř českých, Matyášových zemí, který byl v určité souvislosti se sel</w:t>
      </w:r>
      <w:r>
        <w:rPr>
          <w:sz w:val="19"/>
          <w:szCs w:val="19"/>
        </w:rPr>
        <w:softHyphen/>
        <w:t>skými bouřemi na několika místech Cech. Německý hi</w:t>
      </w:r>
      <w:r>
        <w:rPr>
          <w:sz w:val="19"/>
          <w:szCs w:val="19"/>
        </w:rPr>
        <w:softHyphen/>
        <w:t>stor</w:t>
      </w:r>
      <w:r>
        <w:rPr>
          <w:sz w:val="19"/>
          <w:szCs w:val="19"/>
        </w:rPr>
        <w:t>ik vřaduje tuto událost přímo do německé historie a poskytuje jí význam událostí, již doprovází zvláštní obrazovou přílohou, dokazuje, že šlo o případ, patřící do vnitřní historie německé. Zde tedy nejde o nějaké při</w:t>
      </w:r>
      <w:r>
        <w:rPr>
          <w:sz w:val="19"/>
          <w:szCs w:val="19"/>
        </w:rPr>
        <w:softHyphen/>
        <w:t>svojování si historických faktů, ale jd</w:t>
      </w:r>
      <w:r>
        <w:rPr>
          <w:sz w:val="19"/>
          <w:szCs w:val="19"/>
        </w:rPr>
        <w:t>e tu o rozdílné chápání historických faktů a dat.</w:t>
      </w:r>
    </w:p>
    <w:p w:rsidR="00500724" w:rsidRDefault="00F30FB8">
      <w:pPr>
        <w:pStyle w:val="Zkladntext100"/>
        <w:shd w:val="clear" w:color="auto" w:fill="auto"/>
        <w:spacing w:line="233" w:lineRule="auto"/>
        <w:ind w:firstLine="0"/>
        <w:jc w:val="center"/>
        <w:rPr>
          <w:sz w:val="19"/>
          <w:szCs w:val="19"/>
        </w:rPr>
      </w:pPr>
      <w:r>
        <w:rPr>
          <w:sz w:val="19"/>
          <w:szCs w:val="19"/>
        </w:rPr>
        <w:t>•</w:t>
      </w:r>
    </w:p>
    <w:p w:rsidR="00500724" w:rsidRDefault="00F30FB8">
      <w:pPr>
        <w:pStyle w:val="Zkladntext100"/>
        <w:shd w:val="clear" w:color="auto" w:fill="auto"/>
        <w:spacing w:line="230" w:lineRule="auto"/>
        <w:ind w:firstLine="220"/>
        <w:rPr>
          <w:sz w:val="19"/>
          <w:szCs w:val="19"/>
        </w:rPr>
      </w:pPr>
      <w:r>
        <w:rPr>
          <w:sz w:val="19"/>
          <w:szCs w:val="19"/>
        </w:rPr>
        <w:t>Bude tady nutno, abychom se znovu vrátili k histo</w:t>
      </w:r>
      <w:r>
        <w:rPr>
          <w:sz w:val="19"/>
          <w:szCs w:val="19"/>
        </w:rPr>
        <w:softHyphen/>
        <w:t>rickým pramenům a vytěžili z nich konečný resultát. Stejné úsilí však musíme vyvinouti v ověřování historie, jejíž krev sotva oschla a jejíž obraz ještě n</w:t>
      </w:r>
      <w:r>
        <w:rPr>
          <w:sz w:val="19"/>
          <w:szCs w:val="19"/>
        </w:rPr>
        <w:t>estačil vy</w:t>
      </w:r>
      <w:r>
        <w:rPr>
          <w:sz w:val="19"/>
          <w:szCs w:val="19"/>
        </w:rPr>
        <w:softHyphen/>
        <w:t>blednout. Jde na příklad o osobu Masarykovu. Němec</w:t>
      </w:r>
      <w:r>
        <w:rPr>
          <w:sz w:val="19"/>
          <w:szCs w:val="19"/>
        </w:rPr>
        <w:softHyphen/>
        <w:t>ký historik píše:</w:t>
      </w:r>
    </w:p>
    <w:p w:rsidR="00500724" w:rsidRDefault="00F30FB8">
      <w:pPr>
        <w:pStyle w:val="Zkladntext20"/>
        <w:shd w:val="clear" w:color="auto" w:fill="auto"/>
        <w:ind w:left="540" w:firstLine="280"/>
        <w:rPr>
          <w:sz w:val="20"/>
          <w:szCs w:val="20"/>
        </w:rPr>
      </w:pPr>
      <w:r>
        <w:rPr>
          <w:sz w:val="20"/>
          <w:szCs w:val="20"/>
        </w:rPr>
        <w:t xml:space="preserve">Masaryk Thomas (1850—1937), zakladatel československé národní strany a zastánce národní samostatnosti, dosáhl ve Versailles nepravdivými předlohami a padělky jednotu </w:t>
      </w:r>
      <w:r>
        <w:rPr>
          <w:sz w:val="20"/>
          <w:szCs w:val="20"/>
        </w:rPr>
        <w:t>(Eingliederung) vel</w:t>
      </w:r>
      <w:r>
        <w:rPr>
          <w:sz w:val="20"/>
          <w:szCs w:val="20"/>
        </w:rPr>
        <w:softHyphen/>
        <w:t>kých nečeských národních skupin (Sudetští Němci, Slováci a j.) na území Československa. 1918—1935 president Českosl. rep. »Světová revoluce«.</w:t>
      </w:r>
    </w:p>
    <w:p w:rsidR="00500724" w:rsidRDefault="00F30FB8">
      <w:pPr>
        <w:pStyle w:val="Zkladntext100"/>
        <w:shd w:val="clear" w:color="auto" w:fill="auto"/>
        <w:spacing w:line="233" w:lineRule="auto"/>
        <w:ind w:firstLine="220"/>
        <w:rPr>
          <w:sz w:val="19"/>
          <w:szCs w:val="19"/>
        </w:rPr>
      </w:pPr>
      <w:r>
        <w:rPr>
          <w:sz w:val="19"/>
          <w:szCs w:val="19"/>
        </w:rPr>
        <w:t>Půjde tedy o to, ověřiti i tato fakta. Mluvíme-li o vel</w:t>
      </w:r>
      <w:r>
        <w:rPr>
          <w:sz w:val="19"/>
          <w:szCs w:val="19"/>
        </w:rPr>
        <w:softHyphen/>
        <w:t>kých synech národa, musíme uvésti také</w:t>
      </w:r>
      <w:r>
        <w:rPr>
          <w:sz w:val="19"/>
          <w:szCs w:val="19"/>
        </w:rPr>
        <w:t xml:space="preserve"> postavu Palac</w:t>
      </w:r>
      <w:r>
        <w:rPr>
          <w:sz w:val="19"/>
          <w:szCs w:val="19"/>
        </w:rPr>
        <w:softHyphen/>
        <w:t>kého, jehož německý historik zhodnocuje větou: &gt;děje- pisec a přední český panslav.c (Napsal) »České dějiny*. O Husovi mluví německý historik s uznáním o jeho ná</w:t>
      </w:r>
      <w:r>
        <w:rPr>
          <w:sz w:val="19"/>
          <w:szCs w:val="19"/>
        </w:rPr>
        <w:softHyphen/>
        <w:t>boženské monumentalitě. Přes to se však velmi nesnad</w:t>
      </w:r>
      <w:r>
        <w:rPr>
          <w:sz w:val="19"/>
          <w:szCs w:val="19"/>
        </w:rPr>
        <w:softHyphen/>
        <w:t>no dobíráme pochopení výkl</w:t>
      </w:r>
      <w:r>
        <w:rPr>
          <w:sz w:val="19"/>
          <w:szCs w:val="19"/>
        </w:rPr>
        <w:t>adu o pramenech české mi</w:t>
      </w:r>
      <w:r>
        <w:rPr>
          <w:sz w:val="19"/>
          <w:szCs w:val="19"/>
        </w:rPr>
        <w:softHyphen/>
        <w:t>nulosti, dějin, umění a pod. Na příklad v hesle o Ceších je zde napsáno, že přišli na místo, kde nyní žijí, v VI. století po Kristu. V hesle o počátku české historie je uvedeno, že se začala v XVIII. století. Zde snad byl hi</w:t>
      </w:r>
      <w:r>
        <w:rPr>
          <w:sz w:val="19"/>
          <w:szCs w:val="19"/>
        </w:rPr>
        <w:softHyphen/>
        <w:t>storik</w:t>
      </w:r>
      <w:r>
        <w:rPr>
          <w:sz w:val="19"/>
          <w:szCs w:val="19"/>
        </w:rPr>
        <w:t xml:space="preserve"> přece jen velmi stručný, protože kdyby národní historie začala po 1200 letech od vzniku národa, pak by už ani vůbec nezačala. Německý historik však toto ne</w:t>
      </w:r>
      <w:r>
        <w:rPr>
          <w:sz w:val="19"/>
          <w:szCs w:val="19"/>
        </w:rPr>
        <w:softHyphen/>
        <w:t>tvrdí, nýbrž přiznává existenci dějů na české půdě, za</w:t>
      </w:r>
      <w:r>
        <w:rPr>
          <w:sz w:val="19"/>
          <w:szCs w:val="19"/>
        </w:rPr>
        <w:softHyphen/>
        <w:t>čleňuje je však do historie německé. Přesvěd</w:t>
      </w:r>
      <w:r>
        <w:rPr>
          <w:sz w:val="19"/>
          <w:szCs w:val="19"/>
        </w:rPr>
        <w:t>číme se o tom v částech literárně historických.</w:t>
      </w:r>
    </w:p>
    <w:p w:rsidR="00500724" w:rsidRDefault="00F30FB8">
      <w:pPr>
        <w:pStyle w:val="Zkladntext100"/>
        <w:shd w:val="clear" w:color="auto" w:fill="auto"/>
        <w:spacing w:line="233" w:lineRule="auto"/>
        <w:ind w:firstLine="0"/>
        <w:jc w:val="center"/>
        <w:rPr>
          <w:sz w:val="19"/>
          <w:szCs w:val="19"/>
        </w:rPr>
      </w:pPr>
      <w:r>
        <w:rPr>
          <w:sz w:val="19"/>
          <w:szCs w:val="19"/>
        </w:rPr>
        <w:t>•</w:t>
      </w:r>
    </w:p>
    <w:p w:rsidR="00500724" w:rsidRDefault="00F30FB8">
      <w:pPr>
        <w:pStyle w:val="Zkladntext100"/>
        <w:shd w:val="clear" w:color="auto" w:fill="auto"/>
        <w:spacing w:line="233" w:lineRule="auto"/>
        <w:ind w:firstLine="220"/>
        <w:rPr>
          <w:sz w:val="19"/>
          <w:szCs w:val="19"/>
        </w:rPr>
      </w:pPr>
      <w:r>
        <w:rPr>
          <w:sz w:val="19"/>
          <w:szCs w:val="19"/>
        </w:rPr>
        <w:t>Originální přehledy cizích literatur, vzorně a vkusně sestavené do krátkých statí, ukazují, co německý literár</w:t>
      </w:r>
      <w:r>
        <w:rPr>
          <w:sz w:val="19"/>
          <w:szCs w:val="19"/>
        </w:rPr>
        <w:softHyphen/>
        <w:t>ní historik pokládá za největší přínos Čechů v litera</w:t>
      </w:r>
      <w:r>
        <w:rPr>
          <w:sz w:val="19"/>
          <w:szCs w:val="19"/>
        </w:rPr>
        <w:softHyphen/>
        <w:t>tuře jednotlivých století.</w:t>
      </w:r>
    </w:p>
    <w:p w:rsidR="00500724" w:rsidRDefault="00F30FB8">
      <w:pPr>
        <w:pStyle w:val="Zkladntext100"/>
        <w:shd w:val="clear" w:color="auto" w:fill="auto"/>
        <w:spacing w:line="257" w:lineRule="auto"/>
        <w:ind w:firstLine="220"/>
        <w:rPr>
          <w:sz w:val="19"/>
          <w:szCs w:val="19"/>
        </w:rPr>
      </w:pPr>
      <w:r>
        <w:rPr>
          <w:sz w:val="19"/>
          <w:szCs w:val="19"/>
        </w:rPr>
        <w:t>Jeho přehled j</w:t>
      </w:r>
      <w:r>
        <w:rPr>
          <w:sz w:val="19"/>
          <w:szCs w:val="19"/>
        </w:rPr>
        <w:t>e uspořádán takto:</w:t>
      </w:r>
    </w:p>
    <w:p w:rsidR="00500724" w:rsidRDefault="00F30FB8">
      <w:pPr>
        <w:pStyle w:val="Zkladntext100"/>
        <w:numPr>
          <w:ilvl w:val="0"/>
          <w:numId w:val="45"/>
        </w:numPr>
        <w:shd w:val="clear" w:color="auto" w:fill="auto"/>
        <w:tabs>
          <w:tab w:val="left" w:pos="566"/>
        </w:tabs>
        <w:spacing w:line="240" w:lineRule="auto"/>
        <w:ind w:firstLine="220"/>
        <w:rPr>
          <w:sz w:val="19"/>
          <w:szCs w:val="19"/>
        </w:rPr>
      </w:pPr>
      <w:r>
        <w:rPr>
          <w:sz w:val="19"/>
          <w:szCs w:val="19"/>
        </w:rPr>
        <w:t>stol. Hus, Čeští bratři.</w:t>
      </w:r>
    </w:p>
    <w:p w:rsidR="00500724" w:rsidRDefault="00F30FB8">
      <w:pPr>
        <w:pStyle w:val="Zkladntext100"/>
        <w:numPr>
          <w:ilvl w:val="0"/>
          <w:numId w:val="45"/>
        </w:numPr>
        <w:shd w:val="clear" w:color="auto" w:fill="auto"/>
        <w:tabs>
          <w:tab w:val="left" w:pos="566"/>
        </w:tabs>
        <w:spacing w:line="230" w:lineRule="auto"/>
        <w:ind w:firstLine="220"/>
        <w:rPr>
          <w:sz w:val="19"/>
          <w:szCs w:val="19"/>
        </w:rPr>
      </w:pPr>
      <w:r>
        <w:rPr>
          <w:sz w:val="19"/>
          <w:szCs w:val="19"/>
        </w:rPr>
        <w:t>stol. Překlady Bible.</w:t>
      </w:r>
    </w:p>
    <w:p w:rsidR="00500724" w:rsidRDefault="00F30FB8">
      <w:pPr>
        <w:pStyle w:val="Zkladntext100"/>
        <w:numPr>
          <w:ilvl w:val="0"/>
          <w:numId w:val="45"/>
        </w:numPr>
        <w:shd w:val="clear" w:color="auto" w:fill="auto"/>
        <w:tabs>
          <w:tab w:val="left" w:pos="566"/>
        </w:tabs>
        <w:spacing w:line="230" w:lineRule="auto"/>
        <w:ind w:firstLine="220"/>
        <w:rPr>
          <w:sz w:val="19"/>
          <w:szCs w:val="19"/>
        </w:rPr>
      </w:pPr>
      <w:r>
        <w:rPr>
          <w:sz w:val="19"/>
          <w:szCs w:val="19"/>
        </w:rPr>
        <w:t>stol. Komenský.</w:t>
      </w:r>
    </w:p>
    <w:p w:rsidR="00500724" w:rsidRDefault="00F30FB8">
      <w:pPr>
        <w:pStyle w:val="Zkladntext100"/>
        <w:numPr>
          <w:ilvl w:val="0"/>
          <w:numId w:val="46"/>
        </w:numPr>
        <w:shd w:val="clear" w:color="auto" w:fill="auto"/>
        <w:tabs>
          <w:tab w:val="left" w:pos="571"/>
        </w:tabs>
        <w:spacing w:line="226" w:lineRule="auto"/>
        <w:ind w:firstLine="220"/>
        <w:rPr>
          <w:sz w:val="19"/>
          <w:szCs w:val="19"/>
        </w:rPr>
      </w:pPr>
      <w:r>
        <w:rPr>
          <w:sz w:val="19"/>
          <w:szCs w:val="19"/>
        </w:rPr>
        <w:t>stol. Palacký, Neruda, Čech, Vrchlický.</w:t>
      </w:r>
    </w:p>
    <w:p w:rsidR="00500724" w:rsidRDefault="00F30FB8">
      <w:pPr>
        <w:pStyle w:val="Zkladntext100"/>
        <w:numPr>
          <w:ilvl w:val="0"/>
          <w:numId w:val="46"/>
        </w:numPr>
        <w:shd w:val="clear" w:color="auto" w:fill="auto"/>
        <w:tabs>
          <w:tab w:val="left" w:pos="590"/>
        </w:tabs>
        <w:spacing w:line="257" w:lineRule="auto"/>
        <w:ind w:firstLine="220"/>
        <w:rPr>
          <w:sz w:val="19"/>
          <w:szCs w:val="19"/>
        </w:rPr>
      </w:pPr>
      <w:r>
        <w:rPr>
          <w:sz w:val="19"/>
          <w:szCs w:val="19"/>
        </w:rPr>
        <w:t>stol. Březina, Bezruě, Ivan Olbracht, Durych.</w:t>
      </w:r>
    </w:p>
    <w:p w:rsidR="00500724" w:rsidRDefault="00F30FB8">
      <w:pPr>
        <w:pStyle w:val="Zkladntext100"/>
        <w:shd w:val="clear" w:color="auto" w:fill="auto"/>
        <w:spacing w:line="257" w:lineRule="auto"/>
        <w:ind w:firstLine="220"/>
        <w:rPr>
          <w:sz w:val="19"/>
          <w:szCs w:val="19"/>
        </w:rPr>
      </w:pPr>
      <w:r>
        <w:rPr>
          <w:sz w:val="19"/>
          <w:szCs w:val="19"/>
        </w:rPr>
        <w:t>Česká literatura 18. století, psaná převážně německy,</w:t>
      </w:r>
    </w:p>
    <w:p w:rsidR="00500724" w:rsidRDefault="00F30FB8">
      <w:pPr>
        <w:pStyle w:val="Zkladntext100"/>
        <w:shd w:val="clear" w:color="auto" w:fill="auto"/>
        <w:spacing w:line="257" w:lineRule="auto"/>
        <w:ind w:firstLine="0"/>
        <w:rPr>
          <w:sz w:val="19"/>
          <w:szCs w:val="19"/>
        </w:rPr>
      </w:pPr>
      <w:r>
        <w:rPr>
          <w:sz w:val="19"/>
          <w:szCs w:val="19"/>
        </w:rPr>
        <w:t xml:space="preserve">není zde uváděna jako literatura </w:t>
      </w:r>
      <w:r>
        <w:rPr>
          <w:sz w:val="19"/>
          <w:szCs w:val="19"/>
        </w:rPr>
        <w:t>česká. Není sem tedy zahrnut Balbín se svou ^Obranou jazyka českého*, ani celá škola další, jistě méně významná, a není zde ani Dobrovský, žijící na rozhraní 18. a 19. století, není zde ani vznik Pražské společnosti nauk r. 1770, znamenající základní pilíř</w:t>
      </w:r>
      <w:r>
        <w:rPr>
          <w:sz w:val="19"/>
          <w:szCs w:val="19"/>
        </w:rPr>
        <w:t xml:space="preserve"> nového českého literárního vývoje. Snad ještě ve 20. století byl větším spisovatelem Karel Čapek než jiní, ale to již je otázkou měřítka, na něž bychom nechtěli mít vliv. Případ Dobnera, Dobrovského a ji</w:t>
      </w:r>
      <w:r>
        <w:rPr>
          <w:sz w:val="19"/>
          <w:szCs w:val="19"/>
        </w:rPr>
        <w:softHyphen/>
        <w:t xml:space="preserve">ných je ukázkou odlišného pojetí německé literární </w:t>
      </w:r>
      <w:r>
        <w:rPr>
          <w:sz w:val="19"/>
          <w:szCs w:val="19"/>
        </w:rPr>
        <w:t>hi</w:t>
      </w:r>
      <w:r>
        <w:rPr>
          <w:sz w:val="19"/>
          <w:szCs w:val="19"/>
        </w:rPr>
        <w:softHyphen/>
        <w:t>storie a poučuje nás o tom, že je především pro němec</w:t>
      </w:r>
      <w:r>
        <w:rPr>
          <w:sz w:val="19"/>
          <w:szCs w:val="19"/>
        </w:rPr>
        <w:softHyphen/>
        <w:t>kého historika důležitá řeč, jíž spisovatel psal, nebo místo, kde působil. Tu je příkladem i polský malíř Da</w:t>
      </w:r>
      <w:r>
        <w:rPr>
          <w:sz w:val="19"/>
          <w:szCs w:val="19"/>
        </w:rPr>
        <w:softHyphen/>
        <w:t>niel Chodowiecki, který je uváděn jako německý umě</w:t>
      </w:r>
      <w:r>
        <w:rPr>
          <w:sz w:val="19"/>
          <w:szCs w:val="19"/>
        </w:rPr>
        <w:softHyphen/>
        <w:t>lec. Výtvarný historik se tu neopíral t</w:t>
      </w:r>
      <w:r>
        <w:rPr>
          <w:sz w:val="19"/>
          <w:szCs w:val="19"/>
        </w:rPr>
        <w:t>olik o jeho národ</w:t>
      </w:r>
      <w:r>
        <w:rPr>
          <w:sz w:val="19"/>
          <w:szCs w:val="19"/>
        </w:rPr>
        <w:softHyphen/>
        <w:t>nost jako o místo jeho působení. (Byl ředitelem výtvarné akademie v Berlíně.)</w:t>
      </w:r>
    </w:p>
    <w:p w:rsidR="00500724" w:rsidRDefault="00F30FB8">
      <w:pPr>
        <w:pStyle w:val="Zkladntext100"/>
        <w:shd w:val="clear" w:color="auto" w:fill="auto"/>
        <w:spacing w:line="257" w:lineRule="auto"/>
        <w:ind w:firstLine="220"/>
        <w:rPr>
          <w:sz w:val="19"/>
          <w:szCs w:val="19"/>
        </w:rPr>
      </w:pPr>
      <w:r>
        <w:rPr>
          <w:sz w:val="19"/>
          <w:szCs w:val="19"/>
        </w:rPr>
        <w:t>Novou českou hudbu ve slovníku čestně representuje Smetana, Dvořák, Janáček. Naproti tomu nejsou uve</w:t>
      </w:r>
      <w:r>
        <w:rPr>
          <w:sz w:val="19"/>
          <w:szCs w:val="19"/>
        </w:rPr>
        <w:softHyphen/>
        <w:t>deni Suk, Novák, Talich a nejslavnější evropský orchestr Če</w:t>
      </w:r>
      <w:r>
        <w:rPr>
          <w:sz w:val="19"/>
          <w:szCs w:val="19"/>
        </w:rPr>
        <w:t>ská filharmonie, stejně jako jeden z nejslavnějších dirigentů Wagnerových oper K. Kovařovic.</w:t>
      </w:r>
    </w:p>
    <w:p w:rsidR="00500724" w:rsidRDefault="00F30FB8">
      <w:pPr>
        <w:pStyle w:val="Zkladntext100"/>
        <w:shd w:val="clear" w:color="auto" w:fill="auto"/>
        <w:spacing w:line="257" w:lineRule="auto"/>
        <w:ind w:firstLine="220"/>
        <w:rPr>
          <w:sz w:val="19"/>
          <w:szCs w:val="19"/>
        </w:rPr>
      </w:pPr>
      <w:r>
        <w:rPr>
          <w:sz w:val="19"/>
          <w:szCs w:val="19"/>
        </w:rPr>
        <w:t>Výtvarné umění české prokazuje ve slovníku chtěj nebo ne svou provinciálnost. Škréta, Purkyně, Mánes, Aleš, Myslbek i Štursa přece jen v této mezinárodní jury prop</w:t>
      </w:r>
      <w:r>
        <w:rPr>
          <w:sz w:val="19"/>
          <w:szCs w:val="19"/>
        </w:rPr>
        <w:t>adli.</w:t>
      </w:r>
    </w:p>
    <w:p w:rsidR="00500724" w:rsidRDefault="00F30FB8">
      <w:pPr>
        <w:pStyle w:val="Zkladntext100"/>
        <w:shd w:val="clear" w:color="auto" w:fill="auto"/>
        <w:spacing w:after="80" w:line="194" w:lineRule="auto"/>
        <w:ind w:firstLine="0"/>
        <w:jc w:val="center"/>
        <w:rPr>
          <w:sz w:val="19"/>
          <w:szCs w:val="19"/>
        </w:rPr>
      </w:pPr>
      <w:r>
        <w:rPr>
          <w:sz w:val="19"/>
          <w:szCs w:val="19"/>
        </w:rPr>
        <w:t>•</w:t>
      </w:r>
    </w:p>
    <w:p w:rsidR="00500724" w:rsidRDefault="00F30FB8">
      <w:pPr>
        <w:pStyle w:val="Zkladntext100"/>
        <w:shd w:val="clear" w:color="auto" w:fill="auto"/>
        <w:spacing w:line="257" w:lineRule="auto"/>
        <w:ind w:firstLine="220"/>
        <w:rPr>
          <w:sz w:val="19"/>
          <w:szCs w:val="19"/>
        </w:rPr>
      </w:pPr>
      <w:r>
        <w:rPr>
          <w:sz w:val="19"/>
          <w:szCs w:val="19"/>
        </w:rPr>
        <w:t>Těchto několik příkladů, jež jsme se pokusili snésti, abychom ukázali na nutnosti nových forem kulturního soužití obou národů na společném území, není a nechce být ničím jiným, než otevřeným pohledem na skuteč</w:t>
      </w:r>
      <w:r>
        <w:rPr>
          <w:sz w:val="19"/>
          <w:szCs w:val="19"/>
        </w:rPr>
        <w:softHyphen/>
        <w:t>nosti, s nimiž je nutno počítat. Je tu</w:t>
      </w:r>
      <w:r>
        <w:rPr>
          <w:sz w:val="19"/>
          <w:szCs w:val="19"/>
        </w:rPr>
        <w:t xml:space="preserve"> odlišný princip na</w:t>
      </w:r>
      <w:r>
        <w:rPr>
          <w:sz w:val="19"/>
          <w:szCs w:val="19"/>
        </w:rPr>
        <w:softHyphen/>
        <w:t>zírání na vše — tedy nejen na politiku, ale i na umění,</w:t>
      </w:r>
    </w:p>
    <w:p w:rsidR="00500724" w:rsidRDefault="00F30FB8">
      <w:pPr>
        <w:pStyle w:val="Zkladntext40"/>
        <w:shd w:val="clear" w:color="auto" w:fill="auto"/>
        <w:spacing w:after="320" w:line="346" w:lineRule="auto"/>
        <w:rPr>
          <w:sz w:val="14"/>
          <w:szCs w:val="14"/>
        </w:rPr>
      </w:pPr>
      <w:r>
        <w:rPr>
          <w:b/>
          <w:bCs/>
          <w:sz w:val="14"/>
          <w:szCs w:val="14"/>
        </w:rPr>
        <w:t>literaturu a dějiny. Bude na nás, abychom si definitivně uvědomili, že se musíme starat přesvědčovat svět o svých hodnotách národních jinak, než jsme to činili do</w:t>
      </w:r>
      <w:r>
        <w:rPr>
          <w:b/>
          <w:bCs/>
          <w:sz w:val="14"/>
          <w:szCs w:val="14"/>
        </w:rPr>
        <w:softHyphen/>
        <w:t>sud. Musíme vycho</w:t>
      </w:r>
      <w:r>
        <w:rPr>
          <w:b/>
          <w:bCs/>
          <w:sz w:val="14"/>
          <w:szCs w:val="14"/>
        </w:rPr>
        <w:t>vávati více Husů a Palackých, aby</w:t>
      </w:r>
      <w:r>
        <w:rPr>
          <w:b/>
          <w:bCs/>
          <w:sz w:val="14"/>
          <w:szCs w:val="14"/>
        </w:rPr>
        <w:softHyphen/>
        <w:t>chom jejich hodnotami přesvědčovali o tvořivé síle ná</w:t>
      </w:r>
      <w:r>
        <w:rPr>
          <w:b/>
          <w:bCs/>
          <w:sz w:val="14"/>
          <w:szCs w:val="14"/>
        </w:rPr>
        <w:softHyphen/>
        <w:t>roda, již respektuje i ten, který, jak se nám zdálo, by ji respektovati nemusel.</w:t>
      </w:r>
    </w:p>
    <w:p w:rsidR="00500724" w:rsidRDefault="00F30FB8">
      <w:pPr>
        <w:pStyle w:val="Jin0"/>
        <w:pBdr>
          <w:bottom w:val="single" w:sz="4" w:space="0" w:color="auto"/>
        </w:pBdr>
        <w:shd w:val="clear" w:color="auto" w:fill="auto"/>
        <w:spacing w:after="160"/>
        <w:ind w:firstLine="0"/>
        <w:jc w:val="left"/>
        <w:rPr>
          <w:sz w:val="44"/>
          <w:szCs w:val="44"/>
        </w:rPr>
      </w:pPr>
      <w:r>
        <w:rPr>
          <w:b/>
          <w:bCs/>
          <w:sz w:val="44"/>
          <w:szCs w:val="44"/>
        </w:rPr>
        <w:t>doba a lidé</w:t>
      </w:r>
    </w:p>
    <w:p w:rsidR="00500724" w:rsidRDefault="00F30FB8">
      <w:pPr>
        <w:pStyle w:val="Zkladntext20"/>
        <w:shd w:val="clear" w:color="auto" w:fill="auto"/>
        <w:spacing w:after="60" w:line="240" w:lineRule="auto"/>
        <w:ind w:firstLine="0"/>
        <w:rPr>
          <w:sz w:val="20"/>
          <w:szCs w:val="20"/>
        </w:rPr>
      </w:pPr>
      <w:r>
        <w:rPr>
          <w:i/>
          <w:iCs/>
          <w:sz w:val="20"/>
          <w:szCs w:val="20"/>
        </w:rPr>
        <w:t>A. M.t</w:t>
      </w:r>
    </w:p>
    <w:p w:rsidR="00500724" w:rsidRDefault="00F30FB8">
      <w:pPr>
        <w:pStyle w:val="Nadpis100"/>
        <w:shd w:val="clear" w:color="auto" w:fill="auto"/>
        <w:spacing w:after="0" w:line="240" w:lineRule="auto"/>
        <w:ind w:right="100"/>
      </w:pPr>
      <w:bookmarkStart w:id="388" w:name="bookmark387"/>
      <w:r>
        <w:t>Milion kilogramů jedu</w:t>
      </w:r>
      <w:bookmarkEnd w:id="388"/>
    </w:p>
    <w:p w:rsidR="00500724" w:rsidRDefault="00F30FB8">
      <w:pPr>
        <w:pStyle w:val="Zkladntext80"/>
        <w:shd w:val="clear" w:color="auto" w:fill="auto"/>
        <w:spacing w:after="100" w:line="240" w:lineRule="auto"/>
        <w:jc w:val="center"/>
      </w:pPr>
      <w:r>
        <w:rPr>
          <w:b w:val="0"/>
          <w:bCs w:val="0"/>
          <w:smallCaps/>
        </w:rPr>
        <w:t>ii.</w:t>
      </w:r>
    </w:p>
    <w:p w:rsidR="00500724" w:rsidRDefault="00F30FB8">
      <w:pPr>
        <w:pStyle w:val="Zkladntext40"/>
        <w:shd w:val="clear" w:color="auto" w:fill="auto"/>
        <w:spacing w:after="0" w:line="350" w:lineRule="auto"/>
        <w:jc w:val="center"/>
        <w:rPr>
          <w:sz w:val="14"/>
          <w:szCs w:val="14"/>
        </w:rPr>
      </w:pPr>
      <w:r>
        <w:rPr>
          <w:b/>
          <w:bCs/>
          <w:sz w:val="14"/>
          <w:szCs w:val="14"/>
        </w:rPr>
        <w:t>Peyotl, &gt;malé opojení bohů&lt;</w:t>
      </w:r>
    </w:p>
    <w:p w:rsidR="00500724" w:rsidRDefault="00F30FB8">
      <w:pPr>
        <w:pStyle w:val="Zkladntext40"/>
        <w:shd w:val="clear" w:color="auto" w:fill="auto"/>
        <w:spacing w:after="0" w:line="353" w:lineRule="auto"/>
        <w:ind w:firstLine="240"/>
        <w:rPr>
          <w:sz w:val="14"/>
          <w:szCs w:val="14"/>
        </w:rPr>
      </w:pPr>
      <w:r>
        <w:rPr>
          <w:b/>
          <w:bCs/>
          <w:sz w:val="14"/>
          <w:szCs w:val="14"/>
        </w:rPr>
        <w:t xml:space="preserve">Známá teorie, </w:t>
      </w:r>
      <w:r>
        <w:rPr>
          <w:b/>
          <w:bCs/>
          <w:sz w:val="14"/>
          <w:szCs w:val="14"/>
        </w:rPr>
        <w:t>že člověk prochází ve svém embryo</w:t>
      </w:r>
      <w:r>
        <w:rPr>
          <w:b/>
          <w:bCs/>
          <w:sz w:val="14"/>
          <w:szCs w:val="14"/>
        </w:rPr>
        <w:softHyphen/>
        <w:t>nálním životě postupně stadii všech nižších tvorů, až dospěje k optimálnímu — neříkáme, že nejlepšímu — stupni, platí zřejmě i pro názory člověka a lidstva: pri</w:t>
      </w:r>
      <w:r>
        <w:rPr>
          <w:b/>
          <w:bCs/>
          <w:sz w:val="14"/>
          <w:szCs w:val="14"/>
        </w:rPr>
        <w:softHyphen/>
        <w:t>mitiv (mládím nebo stupněm civilisace) pohlíží na jed s mraze</w:t>
      </w:r>
      <w:r>
        <w:rPr>
          <w:b/>
          <w:bCs/>
          <w:sz w:val="14"/>
          <w:szCs w:val="14"/>
        </w:rPr>
        <w:t>ním více či méně příjemným. Jed budil v mla</w:t>
      </w:r>
      <w:r>
        <w:rPr>
          <w:b/>
          <w:bCs/>
          <w:sz w:val="14"/>
          <w:szCs w:val="14"/>
        </w:rPr>
        <w:softHyphen/>
        <w:t>dém lidstvu a budí v mladém člověku představy nad- zemsky fantastické, romantické až neronské. K této po</w:t>
      </w:r>
      <w:r>
        <w:rPr>
          <w:b/>
          <w:bCs/>
          <w:sz w:val="14"/>
          <w:szCs w:val="14"/>
        </w:rPr>
        <w:softHyphen/>
        <w:t>slední složce přispívá ovšem mnoho způsob, jímž se ob</w:t>
      </w:r>
      <w:r>
        <w:rPr>
          <w:b/>
          <w:bCs/>
          <w:sz w:val="14"/>
          <w:szCs w:val="14"/>
        </w:rPr>
        <w:softHyphen/>
        <w:t>čas referuje o kriminálních kouscích v okolí lékáren:</w:t>
      </w:r>
      <w:r>
        <w:rPr>
          <w:b/>
          <w:bCs/>
          <w:sz w:val="14"/>
          <w:szCs w:val="14"/>
        </w:rPr>
        <w:t xml:space="preserve"> &gt;Odcizeno bylo,&lt; praví se rádo v takových zprávách, &gt;mezi jiným i 300 gramů takového a takového jedu, množství to, jež by stačilo usmrtit rázem tisíc lidí.&lt;</w:t>
      </w:r>
    </w:p>
    <w:p w:rsidR="00500724" w:rsidRDefault="00F30FB8">
      <w:pPr>
        <w:pStyle w:val="Zkladntext40"/>
        <w:shd w:val="clear" w:color="auto" w:fill="auto"/>
        <w:spacing w:after="0" w:line="346" w:lineRule="auto"/>
        <w:ind w:firstLine="240"/>
        <w:rPr>
          <w:sz w:val="14"/>
          <w:szCs w:val="14"/>
        </w:rPr>
      </w:pPr>
      <w:r>
        <w:rPr>
          <w:b/>
          <w:bCs/>
          <w:sz w:val="14"/>
          <w:szCs w:val="14"/>
        </w:rPr>
        <w:t>Postupem času přijde člověk na to, že mimořádnost jedu není ve velké násobilce ani v tamerlánské h</w:t>
      </w:r>
      <w:r>
        <w:rPr>
          <w:b/>
          <w:bCs/>
          <w:sz w:val="14"/>
          <w:szCs w:val="14"/>
        </w:rPr>
        <w:t>eka- tombě možných obětí. (Proč ještě nikdo nekonstatoval, že v pražské Vltavě by se mohl rázem a najednou utopit regiment?)</w:t>
      </w:r>
    </w:p>
    <w:p w:rsidR="00500724" w:rsidRDefault="00F30FB8">
      <w:pPr>
        <w:pStyle w:val="Zkladntext40"/>
        <w:shd w:val="clear" w:color="auto" w:fill="auto"/>
        <w:spacing w:after="0" w:line="346" w:lineRule="auto"/>
        <w:ind w:firstLine="240"/>
        <w:rPr>
          <w:sz w:val="14"/>
          <w:szCs w:val="14"/>
        </w:rPr>
      </w:pPr>
      <w:r>
        <w:rPr>
          <w:b/>
          <w:bCs/>
          <w:sz w:val="14"/>
          <w:szCs w:val="14"/>
        </w:rPr>
        <w:t>Bez ohledu na postup času však část lidí setrvá na stupni zmíněného mrazení více méně příjemného; nevě</w:t>
      </w:r>
      <w:r>
        <w:rPr>
          <w:b/>
          <w:bCs/>
          <w:sz w:val="14"/>
          <w:szCs w:val="14"/>
        </w:rPr>
        <w:softHyphen/>
        <w:t>řili byste, kolik lidí jinak</w:t>
      </w:r>
      <w:r>
        <w:rPr>
          <w:b/>
          <w:bCs/>
          <w:sz w:val="14"/>
          <w:szCs w:val="14"/>
        </w:rPr>
        <w:t xml:space="preserve"> rozumných nosí v prstenech ne</w:t>
      </w:r>
      <w:r>
        <w:rPr>
          <w:b/>
          <w:bCs/>
          <w:sz w:val="14"/>
          <w:szCs w:val="14"/>
        </w:rPr>
        <w:softHyphen/>
        <w:t>bo za hodinkovým pláštěm jed — nebo také saccharum lactis nebo acidum acetylosalicilicum na pocení, trefili- li se svou romantickou žádostí o trochu strychninu nebo cyankali na lékárníka, jenž zná své Papenheiraské.</w:t>
      </w:r>
    </w:p>
    <w:p w:rsidR="00500724" w:rsidRDefault="00F30FB8">
      <w:pPr>
        <w:pStyle w:val="Zkladntext40"/>
        <w:shd w:val="clear" w:color="auto" w:fill="auto"/>
        <w:spacing w:after="0" w:line="341" w:lineRule="auto"/>
        <w:ind w:firstLine="240"/>
        <w:rPr>
          <w:sz w:val="14"/>
          <w:szCs w:val="14"/>
        </w:rPr>
      </w:pPr>
      <w:r>
        <w:rPr>
          <w:b/>
          <w:bCs/>
          <w:sz w:val="14"/>
          <w:szCs w:val="14"/>
        </w:rPr>
        <w:t>Kdo se ne</w:t>
      </w:r>
      <w:r>
        <w:rPr>
          <w:b/>
          <w:bCs/>
          <w:sz w:val="14"/>
          <w:szCs w:val="14"/>
        </w:rPr>
        <w:t>zastaví na půli cestě, dojde však ve vztahu k pojmu »jed« určitě k názoru načisto jinému. K názoru, jejž lze vyjádřit jediným slovem: úžas.</w:t>
      </w:r>
    </w:p>
    <w:p w:rsidR="00500724" w:rsidRDefault="00F30FB8">
      <w:pPr>
        <w:pStyle w:val="Zkladntext40"/>
        <w:shd w:val="clear" w:color="auto" w:fill="auto"/>
        <w:spacing w:after="0" w:line="350" w:lineRule="auto"/>
        <w:ind w:firstLine="240"/>
        <w:rPr>
          <w:sz w:val="14"/>
          <w:szCs w:val="14"/>
        </w:rPr>
      </w:pPr>
      <w:r>
        <w:rPr>
          <w:b/>
          <w:bCs/>
          <w:sz w:val="14"/>
          <w:szCs w:val="14"/>
        </w:rPr>
        <w:t>Občas se za výkladní skříní lékáren objeví schema</w:t>
      </w:r>
      <w:r>
        <w:rPr>
          <w:b/>
          <w:bCs/>
          <w:sz w:val="14"/>
          <w:szCs w:val="14"/>
        </w:rPr>
        <w:softHyphen/>
        <w:t>tické znázornění, jak dlouho ta která potrava Heží v ža- ludkuc. S</w:t>
      </w:r>
      <w:r>
        <w:rPr>
          <w:b/>
          <w:bCs/>
          <w:sz w:val="14"/>
          <w:szCs w:val="14"/>
        </w:rPr>
        <w:t>ardinka tolik a tolik hodin, vajíčko na tvrdo tolik a tolik hodin, černé maso tolik a tolik hodin, než je stráveno, to znamená: přijato organismem.</w:t>
      </w:r>
    </w:p>
    <w:p w:rsidR="00500724" w:rsidRDefault="00F30FB8">
      <w:pPr>
        <w:pStyle w:val="Zkladntext40"/>
        <w:shd w:val="clear" w:color="auto" w:fill="auto"/>
        <w:spacing w:after="0" w:line="343" w:lineRule="auto"/>
        <w:ind w:firstLine="240"/>
        <w:rPr>
          <w:sz w:val="14"/>
          <w:szCs w:val="14"/>
        </w:rPr>
      </w:pPr>
      <w:r>
        <w:rPr>
          <w:b/>
          <w:bCs/>
          <w:sz w:val="14"/>
          <w:szCs w:val="14"/>
        </w:rPr>
        <w:t xml:space="preserve">Jak najde </w:t>
      </w:r>
      <w:r>
        <w:rPr>
          <w:b/>
          <w:bCs/>
          <w:sz w:val="14"/>
          <w:szCs w:val="14"/>
          <w:lang w:val="en-US" w:eastAsia="en-US" w:bidi="en-US"/>
        </w:rPr>
        <w:t xml:space="preserve">strychnin </w:t>
      </w:r>
      <w:r>
        <w:rPr>
          <w:b/>
          <w:bCs/>
          <w:sz w:val="14"/>
          <w:szCs w:val="14"/>
        </w:rPr>
        <w:t>v několika vteřinách cestu z žaludku k tomu z ústrojí, které má zabít podle odvě</w:t>
      </w:r>
      <w:r>
        <w:rPr>
          <w:b/>
          <w:bCs/>
          <w:sz w:val="14"/>
          <w:szCs w:val="14"/>
        </w:rPr>
        <w:softHyphen/>
        <w:t xml:space="preserve">kých </w:t>
      </w:r>
      <w:r>
        <w:rPr>
          <w:b/>
          <w:bCs/>
          <w:sz w:val="14"/>
          <w:szCs w:val="14"/>
        </w:rPr>
        <w:t>zákonů tělesného organismu?</w:t>
      </w:r>
    </w:p>
    <w:p w:rsidR="00500724" w:rsidRDefault="00F30FB8">
      <w:pPr>
        <w:pStyle w:val="Zkladntext40"/>
        <w:shd w:val="clear" w:color="auto" w:fill="auto"/>
        <w:spacing w:after="0" w:line="350" w:lineRule="auto"/>
        <w:ind w:firstLine="240"/>
        <w:rPr>
          <w:sz w:val="14"/>
          <w:szCs w:val="14"/>
        </w:rPr>
      </w:pPr>
      <w:r>
        <w:rPr>
          <w:b/>
          <w:bCs/>
          <w:sz w:val="14"/>
          <w:szCs w:val="14"/>
        </w:rPr>
        <w:t>Co si vytrpěli homoeopati a podobní přívrženci hesla »dobrého pomaluc, kteří nazývali &gt;první potencí</w:t>
      </w:r>
      <w:r>
        <w:rPr>
          <w:rFonts w:ascii="Arial" w:eastAsia="Arial" w:hAnsi="Arial" w:cs="Arial"/>
          <w:smallCaps/>
          <w:sz w:val="11"/>
          <w:szCs w:val="11"/>
        </w:rPr>
        <w:t>í</w:t>
      </w:r>
      <w:r>
        <w:rPr>
          <w:b/>
          <w:bCs/>
          <w:sz w:val="14"/>
          <w:szCs w:val="14"/>
        </w:rPr>
        <w:t xml:space="preserve"> tu</w:t>
      </w:r>
      <w:r>
        <w:rPr>
          <w:b/>
          <w:bCs/>
          <w:sz w:val="14"/>
          <w:szCs w:val="14"/>
        </w:rPr>
        <w:softHyphen/>
        <w:t xml:space="preserve">ším rozředění 1:1000, a dávali tohle promile do dalšího litru, dosahujíce tak rozředění léku 1:1,000.000! Hle, toxikologie </w:t>
      </w:r>
      <w:r>
        <w:rPr>
          <w:b/>
          <w:bCs/>
          <w:sz w:val="14"/>
          <w:szCs w:val="14"/>
        </w:rPr>
        <w:t>ukázala, že první potence, dělená ještě pěti, ba někdy i desíti, dává výsledky hodné pozoru — ohle- dače mrtvých: gram šípového jedu si najde velmi rychle cestu do litrů krve, které za jednu a tři čtvrtě minuty projdou srdcem.</w:t>
      </w:r>
    </w:p>
    <w:p w:rsidR="00500724" w:rsidRDefault="00F30FB8">
      <w:pPr>
        <w:pStyle w:val="Zkladntext40"/>
        <w:shd w:val="clear" w:color="auto" w:fill="auto"/>
        <w:spacing w:after="0" w:line="350" w:lineRule="auto"/>
        <w:ind w:firstLine="240"/>
        <w:rPr>
          <w:sz w:val="14"/>
          <w:szCs w:val="14"/>
        </w:rPr>
      </w:pPr>
      <w:r>
        <w:rPr>
          <w:b/>
          <w:bCs/>
          <w:sz w:val="14"/>
          <w:szCs w:val="14"/>
        </w:rPr>
        <w:t>Nebrali jsme slovo »úžas« nad</w:t>
      </w:r>
      <w:r>
        <w:rPr>
          <w:b/>
          <w:bCs/>
          <w:sz w:val="14"/>
          <w:szCs w:val="14"/>
        </w:rPr>
        <w:t>armo: konfrontujme jen odolnost lidského organismu proti jiným insultům ať už chemickým, mechanickým nebo bakterielním. Jaké zra</w:t>
      </w:r>
      <w:r>
        <w:rPr>
          <w:b/>
          <w:bCs/>
          <w:sz w:val="14"/>
          <w:szCs w:val="14"/>
        </w:rPr>
        <w:softHyphen/>
        <w:t>nění člověk přečká, ví nejen lékař, ale i laik. I laik ví, jak dlouhá léta lidské tělo odolává těžké nemoci; víme, že jedno a t</w:t>
      </w:r>
      <w:r>
        <w:rPr>
          <w:b/>
          <w:bCs/>
          <w:sz w:val="14"/>
          <w:szCs w:val="14"/>
        </w:rPr>
        <w:t>otéž lidské srdce pracuje za okolností, za nichž by mohlo pracovat jen několik různých strojů, přizpůsobených vždy jedné z možných okolností (tepel</w:t>
      </w:r>
      <w:r>
        <w:rPr>
          <w:b/>
          <w:bCs/>
          <w:sz w:val="14"/>
          <w:szCs w:val="14"/>
        </w:rPr>
        <w:softHyphen/>
        <w:t>né rozpětí skoro sto stupňů Celsia a j.).</w:t>
      </w:r>
    </w:p>
    <w:p w:rsidR="00500724" w:rsidRDefault="00F30FB8">
      <w:pPr>
        <w:pStyle w:val="Zkladntext40"/>
        <w:shd w:val="clear" w:color="auto" w:fill="auto"/>
        <w:spacing w:after="360" w:line="348" w:lineRule="auto"/>
        <w:ind w:firstLine="240"/>
        <w:rPr>
          <w:sz w:val="14"/>
          <w:szCs w:val="14"/>
        </w:rPr>
      </w:pPr>
      <w:r>
        <w:rPr>
          <w:b/>
          <w:bCs/>
          <w:sz w:val="14"/>
          <w:szCs w:val="14"/>
        </w:rPr>
        <w:t>Analogii nepoměru mezi uplatněným kvantem a ná</w:t>
      </w:r>
      <w:r>
        <w:rPr>
          <w:b/>
          <w:bCs/>
          <w:sz w:val="14"/>
          <w:szCs w:val="14"/>
        </w:rPr>
        <w:softHyphen/>
        <w:t xml:space="preserve">sledkem jedu </w:t>
      </w:r>
      <w:r>
        <w:rPr>
          <w:b/>
          <w:bCs/>
          <w:sz w:val="14"/>
          <w:szCs w:val="14"/>
        </w:rPr>
        <w:t>najdeme snad jen u třaskavin. Tento po</w:t>
      </w:r>
      <w:r>
        <w:rPr>
          <w:b/>
          <w:bCs/>
          <w:sz w:val="14"/>
          <w:szCs w:val="14"/>
        </w:rPr>
        <w:softHyphen/>
        <w:t>znatek nám bude ještě velmi platný.</w:t>
      </w:r>
    </w:p>
    <w:p w:rsidR="00500724" w:rsidRDefault="00F30FB8">
      <w:pPr>
        <w:pStyle w:val="Zkladntext40"/>
        <w:shd w:val="clear" w:color="auto" w:fill="auto"/>
        <w:spacing w:after="0" w:line="348" w:lineRule="auto"/>
        <w:ind w:firstLine="240"/>
        <w:rPr>
          <w:sz w:val="14"/>
          <w:szCs w:val="14"/>
        </w:rPr>
      </w:pPr>
      <w:r>
        <w:rPr>
          <w:b/>
          <w:bCs/>
          <w:sz w:val="14"/>
          <w:szCs w:val="14"/>
        </w:rPr>
        <w:t>Kdo se zajímá o otázku jedů omamných, přijde si na své přečtením knihy mexického profesora Victora A, Řeko, » Magické jedy&lt; (nejpřístupnější vydání Enke- ovo nakladatelství, Stutgar</w:t>
      </w:r>
      <w:r>
        <w:rPr>
          <w:b/>
          <w:bCs/>
          <w:sz w:val="14"/>
          <w:szCs w:val="14"/>
        </w:rPr>
        <w:t>t). Na 200 stránkách podal člen Mexické akademie vědy nejen důkaz o svých obrov</w:t>
      </w:r>
      <w:r>
        <w:rPr>
          <w:b/>
          <w:bCs/>
          <w:sz w:val="14"/>
          <w:szCs w:val="14"/>
        </w:rPr>
        <w:softHyphen/>
        <w:t>ských vědomostech na tomto nepřehledném poli. Podal i nový důkaz, že nic není na světě fantastičtějšího, než pravda, holá, protokolárně zjištěná a lékárnickými (sic!) vážkami k</w:t>
      </w:r>
      <w:r>
        <w:rPr>
          <w:b/>
          <w:bCs/>
          <w:sz w:val="14"/>
          <w:szCs w:val="14"/>
        </w:rPr>
        <w:t>ontrolovaná pravda. Ukázal, že za urči</w:t>
      </w:r>
      <w:r>
        <w:rPr>
          <w:b/>
          <w:bCs/>
          <w:sz w:val="14"/>
          <w:szCs w:val="14"/>
        </w:rPr>
        <w:softHyphen/>
        <w:t>tých okolností je botanika nejdramatičtější detektivkou a herbář galerií přízraků, proti kterým je Grand Gui- gnol, divadlo hrůzy, pimprlovým představením rázu: &gt;Jeho krása, kalhoty a frak, blendují můj omámený zrak..</w:t>
      </w:r>
      <w:r>
        <w:rPr>
          <w:b/>
          <w:bCs/>
          <w:sz w:val="14"/>
          <w:szCs w:val="14"/>
        </w:rPr>
        <w:t xml:space="preserve"> .&lt;</w:t>
      </w:r>
    </w:p>
    <w:p w:rsidR="00500724" w:rsidRDefault="00F30FB8">
      <w:pPr>
        <w:pStyle w:val="Zkladntext40"/>
        <w:shd w:val="clear" w:color="auto" w:fill="auto"/>
        <w:spacing w:after="0" w:line="350" w:lineRule="auto"/>
        <w:ind w:firstLine="240"/>
        <w:rPr>
          <w:sz w:val="14"/>
          <w:szCs w:val="14"/>
        </w:rPr>
      </w:pPr>
      <w:r>
        <w:rPr>
          <w:b/>
          <w:bCs/>
          <w:sz w:val="14"/>
          <w:szCs w:val="14"/>
        </w:rPr>
        <w:t>Rozpravy o omamných jedech sdílejí osud někdejších publikací o venerických nemocech: musejí občas obran</w:t>
      </w:r>
      <w:r>
        <w:rPr>
          <w:b/>
          <w:bCs/>
          <w:sz w:val="14"/>
          <w:szCs w:val="14"/>
        </w:rPr>
        <w:softHyphen/>
        <w:t xml:space="preserve">ně zdůrazňovat, že nevědomost sice nedělá hříchů, ale také neimunisuje proti </w:t>
      </w:r>
      <w:r>
        <w:rPr>
          <w:b/>
          <w:bCs/>
          <w:sz w:val="14"/>
          <w:szCs w:val="14"/>
          <w:lang w:val="en-US" w:eastAsia="en-US" w:bidi="en-US"/>
        </w:rPr>
        <w:t>paralyse.</w:t>
      </w:r>
    </w:p>
    <w:p w:rsidR="00500724" w:rsidRDefault="00F30FB8">
      <w:pPr>
        <w:pStyle w:val="Zkladntext40"/>
        <w:shd w:val="clear" w:color="auto" w:fill="auto"/>
        <w:spacing w:after="0" w:line="348" w:lineRule="auto"/>
        <w:ind w:firstLine="240"/>
        <w:rPr>
          <w:sz w:val="14"/>
          <w:szCs w:val="14"/>
        </w:rPr>
      </w:pPr>
      <w:r>
        <w:rPr>
          <w:b/>
          <w:bCs/>
          <w:sz w:val="14"/>
          <w:szCs w:val="14"/>
        </w:rPr>
        <w:t>Nebojíme se, že svedeme ukázkou z Rekova díla něko</w:t>
      </w:r>
      <w:r>
        <w:rPr>
          <w:b/>
          <w:bCs/>
          <w:sz w:val="14"/>
          <w:szCs w:val="14"/>
        </w:rPr>
        <w:softHyphen/>
        <w:t>ho k toxik</w:t>
      </w:r>
      <w:r>
        <w:rPr>
          <w:b/>
          <w:bCs/>
          <w:sz w:val="14"/>
          <w:szCs w:val="14"/>
        </w:rPr>
        <w:t>omanii. Jsme naopak přesvědčeni, že se tak nestane: buď totiž čtenář uvěří, co se tuto píše — a je dobře; nebo bude chtít zkusit sám. V tom případě ovšem se nedostane dál než k ověřování toho, jak dlouho leží ▼ žaludku sardinka a jak dlouho gram strychninu</w:t>
      </w:r>
      <w:r>
        <w:rPr>
          <w:b/>
          <w:bCs/>
          <w:sz w:val="14"/>
          <w:szCs w:val="14"/>
        </w:rPr>
        <w:t>, a toxi* koman z něho zaručeně už nebude.</w:t>
      </w:r>
    </w:p>
    <w:p w:rsidR="00500724" w:rsidRDefault="00F30FB8">
      <w:pPr>
        <w:pStyle w:val="Zkladntext40"/>
        <w:shd w:val="clear" w:color="auto" w:fill="auto"/>
        <w:spacing w:line="346" w:lineRule="auto"/>
        <w:ind w:firstLine="240"/>
        <w:rPr>
          <w:sz w:val="14"/>
          <w:szCs w:val="14"/>
        </w:rPr>
      </w:pPr>
      <w:r>
        <w:rPr>
          <w:b/>
          <w:bCs/>
          <w:sz w:val="14"/>
          <w:szCs w:val="14"/>
        </w:rPr>
        <w:t>Prosíme, aby nám bylo věřeno, že experiment se strychninem není o nic nebezpečnější, než vlastnoruční pokus s odvarem Ayahuasca, což znamená v řeči brasil- ských Quichoa (Kičoa): &gt;Víno mrtvého muže.&lt; (Pro ji</w:t>
      </w:r>
      <w:r>
        <w:rPr>
          <w:b/>
          <w:bCs/>
          <w:sz w:val="14"/>
          <w:szCs w:val="14"/>
        </w:rPr>
        <w:softHyphen/>
        <w:t>stotu</w:t>
      </w:r>
      <w:r>
        <w:rPr>
          <w:b/>
          <w:bCs/>
          <w:sz w:val="14"/>
          <w:szCs w:val="14"/>
        </w:rPr>
        <w:t xml:space="preserve"> nebudou zde ostatně uváděna ani botanická ani oficinální jména rostlin, nýbrž jen názvy, vzaté z řeči země, kde jed zastupuje roli našeho alkoholu, a kde ne</w:t>
      </w:r>
      <w:r>
        <w:rPr>
          <w:b/>
          <w:bCs/>
          <w:sz w:val="14"/>
          <w:szCs w:val="14"/>
        </w:rPr>
        <w:softHyphen/>
        <w:t>působí víc škod, než u nás alkohol. Jinak ovšem platí, co bylo řečeno minule: Evropan je odolný je</w:t>
      </w:r>
      <w:r>
        <w:rPr>
          <w:b/>
          <w:bCs/>
          <w:sz w:val="14"/>
          <w:szCs w:val="14"/>
        </w:rPr>
        <w:t>n proti alkoholu!)</w:t>
      </w:r>
    </w:p>
    <w:p w:rsidR="00500724" w:rsidRDefault="00F30FB8">
      <w:pPr>
        <w:pStyle w:val="Zkladntext40"/>
        <w:shd w:val="clear" w:color="auto" w:fill="auto"/>
        <w:spacing w:after="0" w:line="348" w:lineRule="auto"/>
        <w:jc w:val="center"/>
        <w:rPr>
          <w:sz w:val="14"/>
          <w:szCs w:val="14"/>
        </w:rPr>
      </w:pPr>
      <w:r>
        <w:rPr>
          <w:b/>
          <w:bCs/>
          <w:sz w:val="14"/>
          <w:szCs w:val="14"/>
        </w:rPr>
        <w:t>Herbář deliria</w:t>
      </w:r>
    </w:p>
    <w:p w:rsidR="00500724" w:rsidRDefault="00F30FB8">
      <w:pPr>
        <w:pStyle w:val="Zkladntext40"/>
        <w:shd w:val="clear" w:color="auto" w:fill="auto"/>
        <w:spacing w:after="0" w:line="350" w:lineRule="auto"/>
        <w:ind w:firstLine="240"/>
        <w:rPr>
          <w:sz w:val="14"/>
          <w:szCs w:val="14"/>
        </w:rPr>
      </w:pPr>
      <w:r>
        <w:rPr>
          <w:b/>
          <w:bCs/>
          <w:sz w:val="14"/>
          <w:szCs w:val="14"/>
        </w:rPr>
        <w:t>Peyotl, to jest: dárce vidin a malé opo</w:t>
      </w:r>
      <w:r>
        <w:rPr>
          <w:b/>
          <w:bCs/>
          <w:sz w:val="14"/>
          <w:szCs w:val="14"/>
        </w:rPr>
        <w:softHyphen/>
        <w:t>jení bohů. Dužina rostliny je žvýkána. Je odporná hořká. Kdo po prvé okusí, nechápe, jak někdo mohl při</w:t>
      </w:r>
      <w:r>
        <w:rPr>
          <w:b/>
          <w:bCs/>
          <w:sz w:val="14"/>
          <w:szCs w:val="14"/>
        </w:rPr>
        <w:softHyphen/>
        <w:t>padnout na nápad, vzít něco takového do úst. První příznaky: tlak v hlavě, záv</w:t>
      </w:r>
      <w:r>
        <w:rPr>
          <w:b/>
          <w:bCs/>
          <w:sz w:val="14"/>
          <w:szCs w:val="14"/>
        </w:rPr>
        <w:t>rať, nevolnost. Mrzutost, úna</w:t>
      </w:r>
      <w:r>
        <w:rPr>
          <w:b/>
          <w:bCs/>
          <w:sz w:val="14"/>
          <w:szCs w:val="14"/>
        </w:rPr>
        <w:softHyphen/>
        <w:t>va. Dvě hodiny po požití poživač Peyotlu ulehá. Rázem</w:t>
      </w:r>
    </w:p>
    <w:p w:rsidR="00500724" w:rsidRDefault="00F30FB8">
      <w:pPr>
        <w:pStyle w:val="Zkladntext40"/>
        <w:shd w:val="clear" w:color="auto" w:fill="auto"/>
        <w:spacing w:after="0" w:line="350" w:lineRule="auto"/>
        <w:rPr>
          <w:sz w:val="14"/>
          <w:szCs w:val="14"/>
        </w:rPr>
      </w:pPr>
      <w:r>
        <w:rPr>
          <w:b/>
          <w:bCs/>
          <w:sz w:val="14"/>
          <w:szCs w:val="14"/>
        </w:rPr>
        <w:t>ae dostaví opojení. Všechno je najednou svěží a jasné a zřetelné jako v zářivé letní jitro, barvy nabyly nádher</w:t>
      </w:r>
      <w:r>
        <w:rPr>
          <w:b/>
          <w:bCs/>
          <w:sz w:val="14"/>
          <w:szCs w:val="14"/>
        </w:rPr>
        <w:softHyphen/>
        <w:t>ného jasu, vzduch je křišťálově čistý, předměty neuvěři</w:t>
      </w:r>
      <w:r>
        <w:rPr>
          <w:b/>
          <w:bCs/>
          <w:sz w:val="14"/>
          <w:szCs w:val="14"/>
        </w:rPr>
        <w:softHyphen/>
        <w:t>teln</w:t>
      </w:r>
      <w:r>
        <w:rPr>
          <w:b/>
          <w:bCs/>
          <w:sz w:val="14"/>
          <w:szCs w:val="14"/>
        </w:rPr>
        <w:t>ě plastické. Zavře-li opojený oči, vidí proudy barev</w:t>
      </w:r>
      <w:r>
        <w:rPr>
          <w:b/>
          <w:bCs/>
          <w:sz w:val="14"/>
          <w:szCs w:val="14"/>
        </w:rPr>
        <w:softHyphen/>
        <w:t>ného světla, kaskády, fontány briliantů, sršící plamenná kola. Slyší hudbu tak nádhernou, jak může být jen ve snách. Opojený vidí osoby, jež splývají ve fantastický 'děj rázu převážně příjemného. — Vidin</w:t>
      </w:r>
      <w:r>
        <w:rPr>
          <w:b/>
          <w:bCs/>
          <w:sz w:val="14"/>
          <w:szCs w:val="14"/>
        </w:rPr>
        <w:t>y pomalu mizejí, opojený usíná. Probouzí se zdráv.</w:t>
      </w:r>
    </w:p>
    <w:p w:rsidR="00500724" w:rsidRDefault="00F30FB8">
      <w:pPr>
        <w:pStyle w:val="Zkladntext40"/>
        <w:shd w:val="clear" w:color="auto" w:fill="auto"/>
        <w:spacing w:after="0" w:line="350" w:lineRule="auto"/>
        <w:ind w:firstLine="240"/>
        <w:rPr>
          <w:sz w:val="14"/>
          <w:szCs w:val="14"/>
        </w:rPr>
      </w:pPr>
      <w:r>
        <w:rPr>
          <w:b/>
          <w:bCs/>
          <w:sz w:val="14"/>
          <w:szCs w:val="14"/>
        </w:rPr>
        <w:t>Takto působí Peyotl, dárce vidin, namužesvéze- mě. Řečeno po evropsku: domorodý poživač Peyotlu si odpykal naši kocovinu předem, oněmi dvěma hodina</w:t>
      </w:r>
      <w:r>
        <w:rPr>
          <w:b/>
          <w:bCs/>
          <w:sz w:val="14"/>
          <w:szCs w:val="14"/>
        </w:rPr>
        <w:softHyphen/>
        <w:t>mi mořské nemoci.</w:t>
      </w:r>
    </w:p>
    <w:p w:rsidR="00500724" w:rsidRDefault="00F30FB8">
      <w:pPr>
        <w:pStyle w:val="Zkladntext40"/>
        <w:shd w:val="clear" w:color="auto" w:fill="auto"/>
        <w:spacing w:after="0" w:line="350" w:lineRule="auto"/>
        <w:ind w:firstLine="240"/>
        <w:rPr>
          <w:sz w:val="14"/>
          <w:szCs w:val="14"/>
        </w:rPr>
      </w:pPr>
      <w:r>
        <w:rPr>
          <w:b/>
          <w:bCs/>
          <w:sz w:val="14"/>
          <w:szCs w:val="14"/>
        </w:rPr>
        <w:t>Jak to vypadá s Evropanem? Řeko uveřejň</w:t>
      </w:r>
      <w:r>
        <w:rPr>
          <w:b/>
          <w:bCs/>
          <w:sz w:val="14"/>
          <w:szCs w:val="14"/>
        </w:rPr>
        <w:t>uje líčení, které podal Evropan, jenž se podvolil pokusu. Vzdělaný mladý muž požil za přítomnosti lékaře, lékárníka a ně</w:t>
      </w:r>
      <w:r>
        <w:rPr>
          <w:b/>
          <w:bCs/>
          <w:sz w:val="14"/>
          <w:szCs w:val="14"/>
        </w:rPr>
        <w:softHyphen/>
        <w:t>kolika přátel dávku Peyotlu. Nazítří pak diktoval své vidiny.</w:t>
      </w:r>
    </w:p>
    <w:p w:rsidR="00500724" w:rsidRDefault="00F30FB8">
      <w:pPr>
        <w:pStyle w:val="Zkladntext40"/>
        <w:numPr>
          <w:ilvl w:val="0"/>
          <w:numId w:val="47"/>
        </w:numPr>
        <w:shd w:val="clear" w:color="auto" w:fill="auto"/>
        <w:tabs>
          <w:tab w:val="left" w:pos="409"/>
        </w:tabs>
        <w:spacing w:after="0" w:line="350" w:lineRule="auto"/>
        <w:ind w:firstLine="240"/>
        <w:rPr>
          <w:sz w:val="14"/>
          <w:szCs w:val="14"/>
        </w:rPr>
      </w:pPr>
      <w:r>
        <w:rPr>
          <w:b/>
          <w:bCs/>
          <w:sz w:val="14"/>
          <w:szCs w:val="14"/>
        </w:rPr>
        <w:t>Jen s námahou jsem držel oči otevřené. Jakmile jsem je zavřel, začaly srš</w:t>
      </w:r>
      <w:r>
        <w:rPr>
          <w:b/>
          <w:bCs/>
          <w:sz w:val="14"/>
          <w:szCs w:val="14"/>
        </w:rPr>
        <w:t>et kaskády pestrých drahokamů. Ryly neuvěřitelně čiré a jasné. Kolkolem hluboké, veleb</w:t>
      </w:r>
      <w:r>
        <w:rPr>
          <w:b/>
          <w:bCs/>
          <w:sz w:val="14"/>
          <w:szCs w:val="14"/>
        </w:rPr>
        <w:softHyphen/>
        <w:t>né ticho. Ležím nehnuté. Najednou se něco přede mnou zvedá, cítím dva mlhavé, chladné a vlhké prsty, jak se mi pokládají na víčka.</w:t>
      </w:r>
    </w:p>
    <w:p w:rsidR="00500724" w:rsidRDefault="00F30FB8">
      <w:pPr>
        <w:pStyle w:val="Zkladntext40"/>
        <w:shd w:val="clear" w:color="auto" w:fill="auto"/>
        <w:spacing w:after="0" w:line="350" w:lineRule="auto"/>
        <w:ind w:firstLine="240"/>
        <w:rPr>
          <w:sz w:val="14"/>
          <w:szCs w:val="14"/>
        </w:rPr>
      </w:pPr>
      <w:r>
        <w:rPr>
          <w:b/>
          <w:bCs/>
          <w:sz w:val="14"/>
          <w:szCs w:val="14"/>
        </w:rPr>
        <w:t>Jsou ledově chladné. — Co to je?</w:t>
      </w:r>
    </w:p>
    <w:p w:rsidR="00500724" w:rsidRDefault="00F30FB8">
      <w:pPr>
        <w:pStyle w:val="Zkladntext40"/>
        <w:shd w:val="clear" w:color="auto" w:fill="auto"/>
        <w:spacing w:after="0" w:line="350" w:lineRule="auto"/>
        <w:ind w:firstLine="240"/>
        <w:rPr>
          <w:sz w:val="14"/>
          <w:szCs w:val="14"/>
        </w:rPr>
      </w:pPr>
      <w:r>
        <w:rPr>
          <w:b/>
          <w:bCs/>
          <w:sz w:val="14"/>
          <w:szCs w:val="14"/>
        </w:rPr>
        <w:t>Vstáv</w:t>
      </w:r>
      <w:r>
        <w:rPr>
          <w:b/>
          <w:bCs/>
          <w:sz w:val="14"/>
          <w:szCs w:val="14"/>
        </w:rPr>
        <w:t>ám prudce a zděšeně. Hledím ztrnule do tmy. ÍJe temná noc. Nástěnné hodiny zuřivě tikají. Najednou zůstávají stát. Bez příčiny. Slyším zato tikat hodiny ka</w:t>
      </w:r>
      <w:r>
        <w:rPr>
          <w:b/>
          <w:bCs/>
          <w:sz w:val="14"/>
          <w:szCs w:val="14"/>
        </w:rPr>
        <w:softHyphen/>
        <w:t>pesní. Náhoda?</w:t>
      </w:r>
    </w:p>
    <w:p w:rsidR="00500724" w:rsidRDefault="00F30FB8">
      <w:pPr>
        <w:pStyle w:val="Zkladntext40"/>
        <w:shd w:val="clear" w:color="auto" w:fill="auto"/>
        <w:spacing w:after="0" w:line="350" w:lineRule="auto"/>
        <w:ind w:firstLine="240"/>
        <w:rPr>
          <w:sz w:val="14"/>
          <w:szCs w:val="14"/>
        </w:rPr>
      </w:pPr>
      <w:r>
        <w:rPr>
          <w:b/>
          <w:bCs/>
          <w:sz w:val="14"/>
          <w:szCs w:val="14"/>
        </w:rPr>
        <w:t>Pojednou cítím studený závan vzduchu, jako by kdosi neviditelný šel tmou mimo mě. &gt;Kd</w:t>
      </w:r>
      <w:r>
        <w:rPr>
          <w:b/>
          <w:bCs/>
          <w:sz w:val="14"/>
          <w:szCs w:val="14"/>
        </w:rPr>
        <w:t>o tu?&lt; Postava mlčí. 'Jen tam, v nohách pohovky, se něco hnulo, zase mizelo, jako oživlé světlo měsíce.</w:t>
      </w:r>
    </w:p>
    <w:p w:rsidR="00500724" w:rsidRDefault="00F30FB8">
      <w:pPr>
        <w:pStyle w:val="Zkladntext40"/>
        <w:shd w:val="clear" w:color="auto" w:fill="auto"/>
        <w:spacing w:after="0" w:line="350" w:lineRule="auto"/>
        <w:ind w:firstLine="240"/>
        <w:rPr>
          <w:sz w:val="14"/>
          <w:szCs w:val="14"/>
        </w:rPr>
      </w:pPr>
      <w:r>
        <w:rPr>
          <w:b/>
          <w:bCs/>
          <w:sz w:val="14"/>
          <w:szCs w:val="14"/>
        </w:rPr>
        <w:t xml:space="preserve">Zavírám oči a přece vidím: muž, oblečený po způsobu Orientálců, pestře ověšený, s hnědou, ostře řezanou tváří, rysy kostnaté, hubené. Mezi rameny měl — </w:t>
      </w:r>
      <w:r>
        <w:rPr>
          <w:b/>
          <w:bCs/>
          <w:sz w:val="14"/>
          <w:szCs w:val="14"/>
        </w:rPr>
        <w:t>jak se zdálo — dvě mohutná ocelově modrá křídla. Tvrdé světlo padá na zjevení.</w:t>
      </w:r>
    </w:p>
    <w:p w:rsidR="00500724" w:rsidRDefault="00F30FB8">
      <w:pPr>
        <w:pStyle w:val="Zkladntext40"/>
        <w:numPr>
          <w:ilvl w:val="0"/>
          <w:numId w:val="47"/>
        </w:numPr>
        <w:shd w:val="clear" w:color="auto" w:fill="auto"/>
        <w:tabs>
          <w:tab w:val="left" w:pos="452"/>
        </w:tabs>
        <w:spacing w:after="0" w:line="350" w:lineRule="auto"/>
        <w:ind w:firstLine="240"/>
        <w:rPr>
          <w:sz w:val="14"/>
          <w:szCs w:val="14"/>
        </w:rPr>
      </w:pPr>
      <w:r>
        <w:rPr>
          <w:b/>
          <w:bCs/>
          <w:sz w:val="14"/>
          <w:szCs w:val="14"/>
        </w:rPr>
        <w:t>Proboha, kdo jsi?&lt;</w:t>
      </w:r>
    </w:p>
    <w:p w:rsidR="00500724" w:rsidRDefault="00F30FB8">
      <w:pPr>
        <w:pStyle w:val="Zkladntext40"/>
        <w:shd w:val="clear" w:color="auto" w:fill="auto"/>
        <w:spacing w:after="0" w:line="350" w:lineRule="auto"/>
        <w:ind w:firstLine="240"/>
        <w:rPr>
          <w:sz w:val="14"/>
          <w:szCs w:val="14"/>
        </w:rPr>
      </w:pPr>
      <w:r>
        <w:rPr>
          <w:b/>
          <w:bCs/>
          <w:sz w:val="14"/>
          <w:szCs w:val="14"/>
        </w:rPr>
        <w:t>&gt;Neboj se,&lt; říká neznámý.</w:t>
      </w:r>
    </w:p>
    <w:p w:rsidR="00500724" w:rsidRDefault="00F30FB8">
      <w:pPr>
        <w:pStyle w:val="Zkladntext40"/>
        <w:numPr>
          <w:ilvl w:val="0"/>
          <w:numId w:val="47"/>
        </w:numPr>
        <w:shd w:val="clear" w:color="auto" w:fill="auto"/>
        <w:tabs>
          <w:tab w:val="left" w:pos="452"/>
        </w:tabs>
        <w:spacing w:after="0" w:line="350" w:lineRule="auto"/>
        <w:ind w:firstLine="240"/>
        <w:rPr>
          <w:sz w:val="14"/>
          <w:szCs w:val="14"/>
        </w:rPr>
      </w:pPr>
      <w:r>
        <w:rPr>
          <w:b/>
          <w:bCs/>
          <w:sz w:val="14"/>
          <w:szCs w:val="14"/>
        </w:rPr>
        <w:t>Jak jste se sem dostal? Kdo jste? Jděte pryč!&lt;</w:t>
      </w:r>
    </w:p>
    <w:p w:rsidR="00500724" w:rsidRDefault="00F30FB8">
      <w:pPr>
        <w:pStyle w:val="Zkladntext40"/>
        <w:shd w:val="clear" w:color="auto" w:fill="auto"/>
        <w:spacing w:after="0" w:line="350" w:lineRule="auto"/>
        <w:ind w:firstLine="240"/>
        <w:rPr>
          <w:sz w:val="14"/>
          <w:szCs w:val="14"/>
        </w:rPr>
      </w:pPr>
      <w:r>
        <w:rPr>
          <w:b/>
          <w:bCs/>
          <w:sz w:val="14"/>
          <w:szCs w:val="14"/>
        </w:rPr>
        <w:t>»Jsem smrt,&lt; řekla vidina něžně a jakoby omluvně.</w:t>
      </w:r>
    </w:p>
    <w:p w:rsidR="00500724" w:rsidRDefault="00F30FB8">
      <w:pPr>
        <w:pStyle w:val="Zkladntext40"/>
        <w:shd w:val="clear" w:color="auto" w:fill="auto"/>
        <w:spacing w:after="0" w:line="350" w:lineRule="auto"/>
        <w:rPr>
          <w:sz w:val="14"/>
          <w:szCs w:val="14"/>
        </w:rPr>
      </w:pPr>
      <w:r>
        <w:rPr>
          <w:b/>
          <w:bCs/>
          <w:sz w:val="14"/>
          <w:szCs w:val="14"/>
        </w:rPr>
        <w:t>Bezděky jsem si sáhl na hlavu. Šílí</w:t>
      </w:r>
      <w:r>
        <w:rPr>
          <w:b/>
          <w:bCs/>
          <w:sz w:val="14"/>
          <w:szCs w:val="14"/>
        </w:rPr>
        <w:t>m?</w:t>
      </w:r>
    </w:p>
    <w:p w:rsidR="00500724" w:rsidRDefault="00F30FB8">
      <w:pPr>
        <w:pStyle w:val="Zkladntext40"/>
        <w:shd w:val="clear" w:color="auto" w:fill="auto"/>
        <w:spacing w:after="0" w:line="350" w:lineRule="auto"/>
        <w:ind w:firstLine="240"/>
        <w:rPr>
          <w:sz w:val="14"/>
          <w:szCs w:val="14"/>
        </w:rPr>
      </w:pPr>
      <w:r>
        <w:rPr>
          <w:b/>
          <w:bCs/>
          <w:sz w:val="14"/>
          <w:szCs w:val="14"/>
        </w:rPr>
        <w:t>Přivřenými dveřmi proniká do mé světnice oslnivé světlo. Ted slyším šoupání židlí. Společnost povstává k odchodu, každý ještě pije na rozloučenou sklenici piva, venku předjíždějí auta, rozlišuji přesně ětyři motory.</w:t>
      </w:r>
    </w:p>
    <w:p w:rsidR="00500724" w:rsidRDefault="00F30FB8">
      <w:pPr>
        <w:pStyle w:val="Zkladntext40"/>
        <w:shd w:val="clear" w:color="auto" w:fill="auto"/>
        <w:spacing w:after="0" w:line="343" w:lineRule="auto"/>
        <w:ind w:firstLine="240"/>
        <w:rPr>
          <w:sz w:val="14"/>
          <w:szCs w:val="14"/>
        </w:rPr>
      </w:pPr>
      <w:r>
        <w:rPr>
          <w:b/>
          <w:bCs/>
          <w:sz w:val="14"/>
          <w:szCs w:val="14"/>
        </w:rPr>
        <w:t>Nespím tedy, ani nesním.</w:t>
      </w:r>
    </w:p>
    <w:p w:rsidR="00500724" w:rsidRDefault="00F30FB8">
      <w:pPr>
        <w:pStyle w:val="Zkladntext40"/>
        <w:shd w:val="clear" w:color="auto" w:fill="auto"/>
        <w:spacing w:after="0" w:line="343" w:lineRule="auto"/>
        <w:ind w:firstLine="240"/>
        <w:rPr>
          <w:sz w:val="14"/>
          <w:szCs w:val="14"/>
        </w:rPr>
      </w:pPr>
      <w:r>
        <w:rPr>
          <w:b/>
          <w:bCs/>
          <w:sz w:val="14"/>
          <w:szCs w:val="14"/>
        </w:rPr>
        <w:t>A přece: fan</w:t>
      </w:r>
      <w:r>
        <w:rPr>
          <w:b/>
          <w:bCs/>
          <w:sz w:val="14"/>
          <w:szCs w:val="14"/>
        </w:rPr>
        <w:t>tom nezmizel.</w:t>
      </w:r>
    </w:p>
    <w:p w:rsidR="00500724" w:rsidRDefault="00F30FB8">
      <w:pPr>
        <w:pStyle w:val="Zkladntext40"/>
        <w:shd w:val="clear" w:color="auto" w:fill="auto"/>
        <w:spacing w:after="0" w:line="343" w:lineRule="auto"/>
        <w:ind w:firstLine="240"/>
        <w:rPr>
          <w:sz w:val="14"/>
          <w:szCs w:val="14"/>
        </w:rPr>
      </w:pPr>
      <w:r>
        <w:rPr>
          <w:b/>
          <w:bCs/>
          <w:sz w:val="14"/>
          <w:szCs w:val="14"/>
        </w:rPr>
        <w:t>Uchopil jsem sklenici, stojící na nočním stolku, a mrštil jsem jí proti vidině ... Sklenice padá do bezedné propasti, nebof vůbecneslyším dopad střepů.</w:t>
      </w:r>
    </w:p>
    <w:p w:rsidR="00500724" w:rsidRDefault="00F30FB8">
      <w:pPr>
        <w:pStyle w:val="Zkladntext40"/>
        <w:shd w:val="clear" w:color="auto" w:fill="auto"/>
        <w:spacing w:after="0" w:line="343" w:lineRule="auto"/>
        <w:ind w:firstLine="240"/>
        <w:rPr>
          <w:sz w:val="14"/>
          <w:szCs w:val="14"/>
        </w:rPr>
      </w:pPr>
      <w:r>
        <w:rPr>
          <w:b/>
          <w:bCs/>
          <w:sz w:val="14"/>
          <w:szCs w:val="14"/>
        </w:rPr>
        <w:t>Otče náš, jenž jsi na nebesích, posvěť se..,</w:t>
      </w:r>
    </w:p>
    <w:p w:rsidR="00500724" w:rsidRDefault="00F30FB8">
      <w:pPr>
        <w:pStyle w:val="Zkladntext40"/>
        <w:shd w:val="clear" w:color="auto" w:fill="auto"/>
        <w:spacing w:after="0" w:line="343" w:lineRule="auto"/>
        <w:ind w:firstLine="240"/>
        <w:rPr>
          <w:sz w:val="14"/>
          <w:szCs w:val="14"/>
        </w:rPr>
      </w:pPr>
      <w:r>
        <w:rPr>
          <w:b/>
          <w:bCs/>
          <w:sz w:val="14"/>
          <w:szCs w:val="14"/>
        </w:rPr>
        <w:t xml:space="preserve">Zavírám křečovitě oči, ale vidím ho přece. </w:t>
      </w:r>
      <w:r>
        <w:rPr>
          <w:b/>
          <w:bCs/>
          <w:sz w:val="14"/>
          <w:szCs w:val="14"/>
        </w:rPr>
        <w:t>Srdce mi bije šíleným tempem, mám dojem, že chce — před tváří smrti — bít honem do zásoby na léta letoucí dopředu. Pane na nebesích — smrt...</w:t>
      </w:r>
    </w:p>
    <w:p w:rsidR="00500724" w:rsidRDefault="00F30FB8">
      <w:pPr>
        <w:pStyle w:val="Zkladntext40"/>
        <w:shd w:val="clear" w:color="auto" w:fill="auto"/>
        <w:spacing w:after="0" w:line="343" w:lineRule="auto"/>
        <w:ind w:firstLine="240"/>
        <w:rPr>
          <w:sz w:val="14"/>
          <w:szCs w:val="14"/>
        </w:rPr>
      </w:pPr>
      <w:r>
        <w:rPr>
          <w:b/>
          <w:bCs/>
          <w:sz w:val="14"/>
          <w:szCs w:val="14"/>
        </w:rPr>
        <w:t>Postava — smrt začíná zase mluvit. Mluví přátelským tónem: &gt;člověče, uklidni se. Nejsi první, ke komu při</w:t>
      </w:r>
      <w:r>
        <w:rPr>
          <w:b/>
          <w:bCs/>
          <w:sz w:val="14"/>
          <w:szCs w:val="14"/>
        </w:rPr>
        <w:softHyphen/>
        <w:t xml:space="preserve">cházím, </w:t>
      </w:r>
      <w:r>
        <w:rPr>
          <w:b/>
          <w:bCs/>
          <w:sz w:val="14"/>
          <w:szCs w:val="14"/>
        </w:rPr>
        <w:t>ani nebudeš poslední. Všichni si to musí nechat líbit.c</w:t>
      </w:r>
    </w:p>
    <w:p w:rsidR="00500724" w:rsidRDefault="00F30FB8">
      <w:pPr>
        <w:pStyle w:val="Zkladntext40"/>
        <w:shd w:val="clear" w:color="auto" w:fill="auto"/>
        <w:spacing w:after="0" w:line="336" w:lineRule="auto"/>
        <w:ind w:firstLine="220"/>
        <w:rPr>
          <w:sz w:val="14"/>
          <w:szCs w:val="14"/>
        </w:rPr>
      </w:pPr>
      <w:r>
        <w:rPr>
          <w:b/>
          <w:bCs/>
          <w:sz w:val="14"/>
          <w:szCs w:val="14"/>
        </w:rPr>
        <w:t>Jeho hlas zněl mírně, konejšivě a příjemně. Tak mluví staří lékaři s dětmi.</w:t>
      </w:r>
    </w:p>
    <w:p w:rsidR="00500724" w:rsidRDefault="00F30FB8">
      <w:pPr>
        <w:pStyle w:val="Zkladntext40"/>
        <w:shd w:val="clear" w:color="auto" w:fill="auto"/>
        <w:spacing w:after="0" w:line="343" w:lineRule="auto"/>
        <w:ind w:firstLine="220"/>
        <w:rPr>
          <w:sz w:val="14"/>
          <w:szCs w:val="14"/>
        </w:rPr>
      </w:pPr>
      <w:r>
        <w:rPr>
          <w:b/>
          <w:bCs/>
          <w:sz w:val="14"/>
          <w:szCs w:val="14"/>
        </w:rPr>
        <w:t>Můj strach vyprchal. Otevřel jsem oči a díval jsem se na smrt. Byl to muž asi třicetiletý, sympatického zevnějšku.</w:t>
      </w:r>
    </w:p>
    <w:p w:rsidR="00500724" w:rsidRDefault="00F30FB8">
      <w:pPr>
        <w:pStyle w:val="Zkladntext40"/>
        <w:shd w:val="clear" w:color="auto" w:fill="auto"/>
        <w:spacing w:after="0" w:line="346" w:lineRule="auto"/>
        <w:ind w:firstLine="220"/>
        <w:rPr>
          <w:sz w:val="14"/>
          <w:szCs w:val="14"/>
        </w:rPr>
      </w:pPr>
      <w:r>
        <w:rPr>
          <w:b/>
          <w:bCs/>
          <w:sz w:val="14"/>
          <w:szCs w:val="14"/>
        </w:rPr>
        <w:t xml:space="preserve">Najednou </w:t>
      </w:r>
      <w:r>
        <w:rPr>
          <w:b/>
          <w:bCs/>
          <w:sz w:val="14"/>
          <w:szCs w:val="14"/>
        </w:rPr>
        <w:t>vidím, že je podoben mně samotnému, když mi bylo třicet let. Totiž: mému obrazu v zrcadle. Na čele vlevo má jizvu po ráně šavlí, kterou mám na pravé straně čela.</w:t>
      </w:r>
    </w:p>
    <w:p w:rsidR="00500724" w:rsidRDefault="00F30FB8">
      <w:pPr>
        <w:pStyle w:val="Zkladntext40"/>
        <w:shd w:val="clear" w:color="auto" w:fill="auto"/>
        <w:spacing w:after="0" w:line="240" w:lineRule="auto"/>
        <w:ind w:firstLine="220"/>
        <w:rPr>
          <w:sz w:val="14"/>
          <w:szCs w:val="14"/>
        </w:rPr>
      </w:pPr>
      <w:r>
        <w:rPr>
          <w:b/>
          <w:bCs/>
          <w:sz w:val="14"/>
          <w:szCs w:val="14"/>
        </w:rPr>
        <w:t>Smrt!</w:t>
      </w:r>
    </w:p>
    <w:p w:rsidR="00500724" w:rsidRDefault="00F30FB8">
      <w:pPr>
        <w:pStyle w:val="Zkladntext40"/>
        <w:shd w:val="clear" w:color="auto" w:fill="auto"/>
        <w:spacing w:after="0" w:line="348" w:lineRule="auto"/>
        <w:ind w:firstLine="220"/>
        <w:rPr>
          <w:sz w:val="14"/>
          <w:szCs w:val="14"/>
        </w:rPr>
      </w:pPr>
      <w:r>
        <w:rPr>
          <w:b/>
          <w:bCs/>
          <w:sz w:val="14"/>
          <w:szCs w:val="14"/>
        </w:rPr>
        <w:t>Pane na nebesích, vždyť je to všechno hrozný podfuk! Takové věci přece vůbec na světě ne</w:t>
      </w:r>
      <w:r>
        <w:rPr>
          <w:b/>
          <w:bCs/>
          <w:sz w:val="14"/>
          <w:szCs w:val="14"/>
        </w:rPr>
        <w:t>existují! Uvědomuji si, že je to sen, vidina, halucinace.</w:t>
      </w:r>
    </w:p>
    <w:p w:rsidR="00500724" w:rsidRDefault="00F30FB8">
      <w:pPr>
        <w:pStyle w:val="Zkladntext40"/>
        <w:shd w:val="clear" w:color="auto" w:fill="auto"/>
        <w:spacing w:after="0" w:line="348" w:lineRule="auto"/>
        <w:ind w:firstLine="220"/>
        <w:rPr>
          <w:sz w:val="14"/>
          <w:szCs w:val="14"/>
        </w:rPr>
      </w:pPr>
      <w:r>
        <w:rPr>
          <w:b/>
          <w:bCs/>
          <w:sz w:val="14"/>
          <w:szCs w:val="14"/>
        </w:rPr>
        <w:t>Vedle v pokoji jsou lidé — zatracený jed!</w:t>
      </w:r>
    </w:p>
    <w:p w:rsidR="00500724" w:rsidRDefault="00F30FB8">
      <w:pPr>
        <w:pStyle w:val="Zkladntext40"/>
        <w:shd w:val="clear" w:color="auto" w:fill="auto"/>
        <w:spacing w:after="0" w:line="386" w:lineRule="auto"/>
        <w:ind w:firstLine="220"/>
        <w:rPr>
          <w:sz w:val="14"/>
          <w:szCs w:val="14"/>
        </w:rPr>
      </w:pPr>
      <w:r>
        <w:rPr>
          <w:b/>
          <w:bCs/>
          <w:sz w:val="14"/>
          <w:szCs w:val="14"/>
        </w:rPr>
        <w:t>Ale ve chvíli, kdy si toto uvědomuji, klesám už zase pod hladinu obluzení.</w:t>
      </w:r>
    </w:p>
    <w:p w:rsidR="00500724" w:rsidRDefault="00F30FB8">
      <w:pPr>
        <w:pStyle w:val="Zkladntext40"/>
        <w:shd w:val="clear" w:color="auto" w:fill="auto"/>
        <w:spacing w:after="0" w:line="346" w:lineRule="auto"/>
        <w:ind w:firstLine="220"/>
        <w:rPr>
          <w:sz w:val="14"/>
          <w:szCs w:val="14"/>
        </w:rPr>
      </w:pPr>
      <w:r>
        <w:rPr>
          <w:b/>
          <w:bCs/>
          <w:sz w:val="14"/>
          <w:szCs w:val="14"/>
        </w:rPr>
        <w:t>Zde stojí smrt!</w:t>
      </w:r>
    </w:p>
    <w:p w:rsidR="00500724" w:rsidRDefault="00F30FB8">
      <w:pPr>
        <w:pStyle w:val="Zkladntext40"/>
        <w:shd w:val="clear" w:color="auto" w:fill="auto"/>
        <w:spacing w:after="0" w:line="346" w:lineRule="auto"/>
        <w:ind w:firstLine="220"/>
        <w:rPr>
          <w:sz w:val="14"/>
          <w:szCs w:val="14"/>
        </w:rPr>
      </w:pPr>
      <w:r>
        <w:rPr>
          <w:b/>
          <w:bCs/>
          <w:sz w:val="14"/>
          <w:szCs w:val="14"/>
        </w:rPr>
        <w:t>&gt; Musím umřít?&lt;</w:t>
      </w:r>
    </w:p>
    <w:p w:rsidR="00500724" w:rsidRDefault="00F30FB8">
      <w:pPr>
        <w:pStyle w:val="Zkladntext40"/>
        <w:shd w:val="clear" w:color="auto" w:fill="auto"/>
        <w:spacing w:after="0" w:line="346" w:lineRule="auto"/>
        <w:ind w:firstLine="220"/>
        <w:rPr>
          <w:sz w:val="14"/>
          <w:szCs w:val="14"/>
        </w:rPr>
      </w:pPr>
      <w:r>
        <w:rPr>
          <w:b/>
          <w:bCs/>
          <w:sz w:val="14"/>
          <w:szCs w:val="14"/>
        </w:rPr>
        <w:t>Podíval se na mě — tak dobrotivě, tak nekonečně d</w:t>
      </w:r>
      <w:r>
        <w:rPr>
          <w:b/>
          <w:bCs/>
          <w:sz w:val="14"/>
          <w:szCs w:val="14"/>
        </w:rPr>
        <w:t>o</w:t>
      </w:r>
      <w:r>
        <w:rPr>
          <w:b/>
          <w:bCs/>
          <w:sz w:val="14"/>
          <w:szCs w:val="14"/>
        </w:rPr>
        <w:softHyphen/>
        <w:t>brotivé! Ještě dnes vidím před sebou to moře zapomně</w:t>
      </w:r>
      <w:r>
        <w:rPr>
          <w:b/>
          <w:bCs/>
          <w:sz w:val="14"/>
          <w:szCs w:val="14"/>
        </w:rPr>
        <w:softHyphen/>
        <w:t>ní v těch očích, — oceán nevyslovených příslibů...</w:t>
      </w:r>
    </w:p>
    <w:p w:rsidR="00500724" w:rsidRDefault="00F30FB8">
      <w:pPr>
        <w:pStyle w:val="Zkladntext40"/>
        <w:shd w:val="clear" w:color="auto" w:fill="auto"/>
        <w:spacing w:after="0" w:line="346" w:lineRule="auto"/>
        <w:ind w:firstLine="220"/>
        <w:rPr>
          <w:sz w:val="14"/>
          <w:szCs w:val="14"/>
        </w:rPr>
      </w:pPr>
      <w:r>
        <w:rPr>
          <w:b/>
          <w:bCs/>
          <w:sz w:val="14"/>
          <w:szCs w:val="14"/>
        </w:rPr>
        <w:t>&gt;Nejsi smrt! Jsi život, jenž se přichází loučit!«</w:t>
      </w:r>
    </w:p>
    <w:p w:rsidR="00500724" w:rsidRDefault="00F30FB8">
      <w:pPr>
        <w:pStyle w:val="Zkladntext40"/>
        <w:shd w:val="clear" w:color="auto" w:fill="auto"/>
        <w:spacing w:after="0" w:line="346" w:lineRule="auto"/>
        <w:ind w:firstLine="220"/>
        <w:rPr>
          <w:sz w:val="14"/>
          <w:szCs w:val="14"/>
        </w:rPr>
      </w:pPr>
      <w:r>
        <w:rPr>
          <w:b/>
          <w:bCs/>
          <w:sz w:val="14"/>
          <w:szCs w:val="14"/>
        </w:rPr>
        <w:t>Muž se dívá do neznáma a mlčí. Potom říká: &gt; Je to totéž. Pojď!&lt;</w:t>
      </w:r>
    </w:p>
    <w:p w:rsidR="00500724" w:rsidRDefault="00F30FB8">
      <w:pPr>
        <w:pStyle w:val="Zkladntext40"/>
        <w:shd w:val="clear" w:color="auto" w:fill="auto"/>
        <w:spacing w:after="0" w:line="346" w:lineRule="auto"/>
        <w:ind w:firstLine="220"/>
        <w:rPr>
          <w:sz w:val="14"/>
          <w:szCs w:val="14"/>
        </w:rPr>
      </w:pPr>
      <w:r>
        <w:rPr>
          <w:b/>
          <w:bCs/>
          <w:sz w:val="14"/>
          <w:szCs w:val="14"/>
        </w:rPr>
        <w:t>Nechápu, kam. Nechápu vůbec nic — m</w:t>
      </w:r>
      <w:r>
        <w:rPr>
          <w:b/>
          <w:bCs/>
          <w:sz w:val="14"/>
          <w:szCs w:val="14"/>
        </w:rPr>
        <w:t>ám jenom je</w:t>
      </w:r>
      <w:r>
        <w:rPr>
          <w:b/>
          <w:bCs/>
          <w:sz w:val="14"/>
          <w:szCs w:val="14"/>
        </w:rPr>
        <w:softHyphen/>
        <w:t>diný pocit: strach.</w:t>
      </w:r>
    </w:p>
    <w:p w:rsidR="00500724" w:rsidRDefault="00F30FB8">
      <w:pPr>
        <w:pStyle w:val="Zkladntext40"/>
        <w:shd w:val="clear" w:color="auto" w:fill="auto"/>
        <w:spacing w:after="0" w:line="346" w:lineRule="auto"/>
        <w:ind w:firstLine="220"/>
        <w:rPr>
          <w:sz w:val="14"/>
          <w:szCs w:val="14"/>
        </w:rPr>
      </w:pPr>
      <w:r>
        <w:rPr>
          <w:b/>
          <w:bCs/>
          <w:sz w:val="14"/>
          <w:szCs w:val="14"/>
        </w:rPr>
        <w:t>&gt;Jsi tak silný,« říkám. — Mlčí.</w:t>
      </w:r>
    </w:p>
    <w:p w:rsidR="00500724" w:rsidRDefault="00F30FB8">
      <w:pPr>
        <w:pStyle w:val="Zkladntext40"/>
        <w:shd w:val="clear" w:color="auto" w:fill="auto"/>
        <w:spacing w:after="0" w:line="346" w:lineRule="auto"/>
        <w:ind w:firstLine="220"/>
        <w:rPr>
          <w:sz w:val="14"/>
          <w:szCs w:val="14"/>
        </w:rPr>
      </w:pPr>
      <w:r>
        <w:rPr>
          <w:b/>
          <w:bCs/>
          <w:sz w:val="14"/>
          <w:szCs w:val="14"/>
        </w:rPr>
        <w:t>&gt;Proě máš šaty,&lt; říkám dál. &gt;Vždycky jsem si tě představoval jako kostlivce, s rubášem a umrlčí lebkou.t</w:t>
      </w:r>
    </w:p>
    <w:p w:rsidR="00500724" w:rsidRDefault="00F30FB8">
      <w:pPr>
        <w:pStyle w:val="Zkladntext40"/>
        <w:shd w:val="clear" w:color="auto" w:fill="auto"/>
        <w:spacing w:after="0" w:line="360" w:lineRule="auto"/>
        <w:ind w:firstLine="220"/>
        <w:rPr>
          <w:sz w:val="14"/>
          <w:szCs w:val="14"/>
        </w:rPr>
      </w:pPr>
      <w:r>
        <w:rPr>
          <w:b/>
          <w:bCs/>
          <w:sz w:val="14"/>
          <w:szCs w:val="14"/>
        </w:rPr>
        <w:t>&gt;Pojd.. .&lt;</w:t>
      </w:r>
    </w:p>
    <w:p w:rsidR="00500724" w:rsidRDefault="00F30FB8">
      <w:pPr>
        <w:pStyle w:val="Zkladntext40"/>
        <w:shd w:val="clear" w:color="auto" w:fill="auto"/>
        <w:spacing w:after="0" w:line="360" w:lineRule="auto"/>
        <w:ind w:firstLine="220"/>
        <w:rPr>
          <w:sz w:val="14"/>
          <w:szCs w:val="14"/>
        </w:rPr>
      </w:pPr>
      <w:r>
        <w:rPr>
          <w:b/>
          <w:bCs/>
          <w:sz w:val="14"/>
          <w:szCs w:val="14"/>
        </w:rPr>
        <w:t>&gt;Já — já...&lt;</w:t>
      </w:r>
    </w:p>
    <w:p w:rsidR="00500724" w:rsidRDefault="00F30FB8">
      <w:pPr>
        <w:pStyle w:val="Zkladntext40"/>
        <w:shd w:val="clear" w:color="auto" w:fill="auto"/>
        <w:spacing w:after="0" w:line="360" w:lineRule="auto"/>
        <w:ind w:firstLine="220"/>
        <w:rPr>
          <w:sz w:val="14"/>
          <w:szCs w:val="14"/>
        </w:rPr>
      </w:pPr>
      <w:r>
        <w:rPr>
          <w:b/>
          <w:bCs/>
          <w:sz w:val="14"/>
          <w:szCs w:val="14"/>
        </w:rPr>
        <w:t>Podíval se na mě pronikavě černýma, nebezpečně lesklýma očima a</w:t>
      </w:r>
      <w:r>
        <w:rPr>
          <w:b/>
          <w:bCs/>
          <w:sz w:val="14"/>
          <w:szCs w:val="14"/>
        </w:rPr>
        <w:t xml:space="preserve"> učinil pohyb, jako by mě chtěl vzít za ruku.</w:t>
      </w:r>
    </w:p>
    <w:p w:rsidR="00500724" w:rsidRDefault="00F30FB8">
      <w:pPr>
        <w:pStyle w:val="Zkladntext40"/>
        <w:shd w:val="clear" w:color="auto" w:fill="auto"/>
        <w:spacing w:after="0" w:line="360" w:lineRule="auto"/>
        <w:ind w:firstLine="220"/>
        <w:rPr>
          <w:sz w:val="14"/>
          <w:szCs w:val="14"/>
        </w:rPr>
      </w:pPr>
      <w:r>
        <w:rPr>
          <w:b/>
          <w:bCs/>
          <w:sz w:val="14"/>
          <w:szCs w:val="14"/>
        </w:rPr>
        <w:t>V té chvíli jsem cítil, že se všechno ve mně křečovitě stahuje. Nohy mám rázem ledově studené, hlavu těžkou. Mám pocit, že mi vnitřnosti bezvládně klesají na obratle páteře.</w:t>
      </w:r>
    </w:p>
    <w:p w:rsidR="00500724" w:rsidRDefault="00F30FB8">
      <w:pPr>
        <w:pStyle w:val="Zkladntext40"/>
        <w:shd w:val="clear" w:color="auto" w:fill="auto"/>
        <w:spacing w:after="0" w:line="360" w:lineRule="auto"/>
        <w:ind w:firstLine="220"/>
        <w:rPr>
          <w:sz w:val="14"/>
          <w:szCs w:val="14"/>
        </w:rPr>
      </w:pPr>
      <w:r>
        <w:rPr>
          <w:b/>
          <w:bCs/>
          <w:sz w:val="14"/>
          <w:szCs w:val="14"/>
        </w:rPr>
        <w:t>Venku v zahradě lomozí cvrček. Pes u</w:t>
      </w:r>
      <w:r>
        <w:rPr>
          <w:b/>
          <w:bCs/>
          <w:sz w:val="14"/>
          <w:szCs w:val="14"/>
        </w:rPr>
        <w:t xml:space="preserve"> boudy štěká, když se rozcházejí lékárníkovi poslední hosté. Jdou na</w:t>
      </w:r>
      <w:r>
        <w:rPr>
          <w:b/>
          <w:bCs/>
          <w:sz w:val="14"/>
          <w:szCs w:val="14"/>
        </w:rPr>
        <w:softHyphen/>
        <w:t>příč zahradou a potom, aby si zkrátili cestu, nadcházejí si polem. Starý doktor V. má trochu přebráno. Nese stájovou lucernu a vrávorá. Ostatní jdou za ním husím pochodem.</w:t>
      </w:r>
    </w:p>
    <w:p w:rsidR="00500724" w:rsidRDefault="00F30FB8">
      <w:pPr>
        <w:pStyle w:val="Zkladntext40"/>
        <w:shd w:val="clear" w:color="auto" w:fill="auto"/>
        <w:spacing w:after="0" w:line="360" w:lineRule="auto"/>
        <w:ind w:firstLine="220"/>
        <w:rPr>
          <w:sz w:val="14"/>
          <w:szCs w:val="14"/>
        </w:rPr>
      </w:pPr>
      <w:r>
        <w:rPr>
          <w:b/>
          <w:bCs/>
          <w:sz w:val="14"/>
          <w:szCs w:val="14"/>
        </w:rPr>
        <w:t xml:space="preserve">Cím tohle </w:t>
      </w:r>
      <w:r>
        <w:rPr>
          <w:b/>
          <w:bCs/>
          <w:sz w:val="14"/>
          <w:szCs w:val="14"/>
        </w:rPr>
        <w:t>všechno vidím?</w:t>
      </w:r>
    </w:p>
    <w:p w:rsidR="00500724" w:rsidRDefault="00F30FB8">
      <w:pPr>
        <w:pStyle w:val="Zkladntext40"/>
        <w:shd w:val="clear" w:color="auto" w:fill="auto"/>
        <w:spacing w:after="0" w:line="360" w:lineRule="auto"/>
        <w:ind w:firstLine="220"/>
        <w:rPr>
          <w:sz w:val="14"/>
          <w:szCs w:val="14"/>
        </w:rPr>
      </w:pPr>
      <w:r>
        <w:rPr>
          <w:b/>
          <w:bCs/>
          <w:sz w:val="14"/>
          <w:szCs w:val="14"/>
        </w:rPr>
        <w:t>Očima? Nemožno. Ležím, nehybně jako kůl, na</w:t>
      </w:r>
      <w:r>
        <w:rPr>
          <w:b/>
          <w:bCs/>
          <w:sz w:val="14"/>
          <w:szCs w:val="14"/>
        </w:rPr>
        <w:softHyphen/>
        <w:t>znak v posteli. Ale celé mé tělo je oko. Vidím zavřený</w:t>
      </w:r>
      <w:r>
        <w:rPr>
          <w:b/>
          <w:bCs/>
          <w:sz w:val="14"/>
          <w:szCs w:val="14"/>
        </w:rPr>
        <w:softHyphen/>
        <w:t>mi dveřmi, zdmi. Vidím i do svého nitra, vidím, jak pracuje mé srdce, mé vnitřnosti. Podivné, hrozně po</w:t>
      </w:r>
      <w:r>
        <w:rPr>
          <w:b/>
          <w:bCs/>
          <w:sz w:val="14"/>
          <w:szCs w:val="14"/>
        </w:rPr>
        <w:softHyphen/>
        <w:t>divné.</w:t>
      </w:r>
    </w:p>
    <w:p w:rsidR="00500724" w:rsidRDefault="00F30FB8">
      <w:pPr>
        <w:pStyle w:val="Zkladntext40"/>
        <w:shd w:val="clear" w:color="auto" w:fill="auto"/>
        <w:spacing w:after="0" w:line="360" w:lineRule="auto"/>
        <w:ind w:firstLine="220"/>
        <w:rPr>
          <w:sz w:val="14"/>
          <w:szCs w:val="14"/>
        </w:rPr>
      </w:pPr>
      <w:r>
        <w:rPr>
          <w:b/>
          <w:bCs/>
          <w:sz w:val="14"/>
          <w:szCs w:val="14"/>
        </w:rPr>
        <w:t>A něco průhledného a přece hmat</w:t>
      </w:r>
      <w:r>
        <w:rPr>
          <w:b/>
          <w:bCs/>
          <w:sz w:val="14"/>
          <w:szCs w:val="14"/>
        </w:rPr>
        <w:t>atelného stojí přede mnou. A to je smrt.</w:t>
      </w:r>
    </w:p>
    <w:p w:rsidR="00500724" w:rsidRDefault="00F30FB8">
      <w:pPr>
        <w:pStyle w:val="Zkladntext40"/>
        <w:shd w:val="clear" w:color="auto" w:fill="auto"/>
        <w:spacing w:after="0" w:line="360" w:lineRule="auto"/>
        <w:ind w:firstLine="220"/>
        <w:rPr>
          <w:sz w:val="14"/>
          <w:szCs w:val="14"/>
        </w:rPr>
      </w:pPr>
      <w:r>
        <w:rPr>
          <w:b/>
          <w:bCs/>
          <w:sz w:val="14"/>
          <w:szCs w:val="14"/>
        </w:rPr>
        <w:t>A najednou mám šíleně drzý nápad: — bude to trvat tak dlouho, dokud se mně nedotkne! Potom teprve je konec...</w:t>
      </w:r>
    </w:p>
    <w:p w:rsidR="00500724" w:rsidRDefault="00F30FB8">
      <w:pPr>
        <w:pStyle w:val="Zkladntext40"/>
        <w:shd w:val="clear" w:color="auto" w:fill="auto"/>
        <w:spacing w:after="0" w:line="343" w:lineRule="auto"/>
        <w:ind w:firstLine="220"/>
        <w:rPr>
          <w:sz w:val="14"/>
          <w:szCs w:val="14"/>
        </w:rPr>
      </w:pPr>
      <w:r>
        <w:rPr>
          <w:b/>
          <w:bCs/>
          <w:sz w:val="14"/>
          <w:szCs w:val="14"/>
        </w:rPr>
        <w:t>Což, když ho předejdu? Když budu rychlejší nez smrt?!</w:t>
      </w:r>
    </w:p>
    <w:p w:rsidR="00500724" w:rsidRDefault="00F30FB8">
      <w:pPr>
        <w:pStyle w:val="Zkladntext40"/>
        <w:shd w:val="clear" w:color="auto" w:fill="auto"/>
        <w:spacing w:after="0" w:line="350" w:lineRule="auto"/>
        <w:ind w:firstLine="260"/>
        <w:rPr>
          <w:sz w:val="14"/>
          <w:szCs w:val="14"/>
        </w:rPr>
      </w:pPr>
      <w:r>
        <w:rPr>
          <w:b/>
          <w:bCs/>
          <w:sz w:val="14"/>
          <w:szCs w:val="14"/>
        </w:rPr>
        <w:t>Rychlým pohybem sahám po jeho ruce. Trpí to.</w:t>
      </w:r>
    </w:p>
    <w:p w:rsidR="00500724" w:rsidRDefault="00F30FB8">
      <w:pPr>
        <w:pStyle w:val="Zkladntext40"/>
        <w:shd w:val="clear" w:color="auto" w:fill="auto"/>
        <w:spacing w:after="0" w:line="350" w:lineRule="auto"/>
        <w:ind w:firstLine="260"/>
        <w:rPr>
          <w:sz w:val="14"/>
          <w:szCs w:val="14"/>
        </w:rPr>
      </w:pPr>
      <w:r>
        <w:rPr>
          <w:b/>
          <w:bCs/>
          <w:sz w:val="14"/>
          <w:szCs w:val="14"/>
        </w:rPr>
        <w:t>&gt;Tak t</w:t>
      </w:r>
      <w:r>
        <w:rPr>
          <w:b/>
          <w:bCs/>
          <w:sz w:val="14"/>
          <w:szCs w:val="14"/>
        </w:rPr>
        <w:t>edy už chceš jít?« ptají se jeho oči.</w:t>
      </w:r>
    </w:p>
    <w:p w:rsidR="00500724" w:rsidRDefault="00F30FB8">
      <w:pPr>
        <w:pStyle w:val="Zkladntext40"/>
        <w:shd w:val="clear" w:color="auto" w:fill="auto"/>
        <w:spacing w:after="0" w:line="350" w:lineRule="auto"/>
        <w:ind w:firstLine="260"/>
        <w:rPr>
          <w:sz w:val="14"/>
          <w:szCs w:val="14"/>
        </w:rPr>
      </w:pPr>
      <w:r>
        <w:rPr>
          <w:b/>
          <w:bCs/>
          <w:sz w:val="14"/>
          <w:szCs w:val="14"/>
        </w:rPr>
        <w:t>Cítím, jak se ve mně stahuje všechen život.</w:t>
      </w:r>
    </w:p>
    <w:p w:rsidR="00500724" w:rsidRDefault="00F30FB8">
      <w:pPr>
        <w:pStyle w:val="Zkladntext40"/>
        <w:shd w:val="clear" w:color="auto" w:fill="auto"/>
        <w:spacing w:after="0" w:line="350" w:lineRule="auto"/>
        <w:ind w:firstLine="260"/>
        <w:rPr>
          <w:sz w:val="14"/>
          <w:szCs w:val="14"/>
        </w:rPr>
      </w:pPr>
      <w:r>
        <w:rPr>
          <w:b/>
          <w:bCs/>
          <w:sz w:val="14"/>
          <w:szCs w:val="14"/>
        </w:rPr>
        <w:t>A jako sopečný výbuch ze mne exploduje vzdor: Bo</w:t>
      </w:r>
      <w:r>
        <w:rPr>
          <w:b/>
          <w:bCs/>
          <w:sz w:val="14"/>
          <w:szCs w:val="14"/>
        </w:rPr>
        <w:softHyphen/>
        <w:t>jem byl můj život, bojem buď i moje smrt. Zlom mě, do</w:t>
      </w:r>
      <w:r>
        <w:rPr>
          <w:b/>
          <w:bCs/>
          <w:sz w:val="14"/>
          <w:szCs w:val="14"/>
        </w:rPr>
        <w:softHyphen/>
        <w:t>nuť mě — ale ochrnout se nedám.</w:t>
      </w:r>
    </w:p>
    <w:p w:rsidR="00500724" w:rsidRDefault="00F30FB8">
      <w:pPr>
        <w:pStyle w:val="Zkladntext40"/>
        <w:shd w:val="clear" w:color="auto" w:fill="auto"/>
        <w:spacing w:after="0" w:line="350" w:lineRule="auto"/>
        <w:ind w:firstLine="260"/>
        <w:rPr>
          <w:sz w:val="14"/>
          <w:szCs w:val="14"/>
        </w:rPr>
      </w:pPr>
      <w:r>
        <w:rPr>
          <w:b/>
          <w:bCs/>
          <w:sz w:val="14"/>
          <w:szCs w:val="14"/>
        </w:rPr>
        <w:t>Najednou &gt;vidím rudě*. Opojení krve, ší</w:t>
      </w:r>
      <w:r>
        <w:rPr>
          <w:b/>
          <w:bCs/>
          <w:sz w:val="14"/>
          <w:szCs w:val="14"/>
        </w:rPr>
        <w:t>lenství. Vy</w:t>
      </w:r>
      <w:r>
        <w:rPr>
          <w:b/>
          <w:bCs/>
          <w:sz w:val="14"/>
          <w:szCs w:val="14"/>
        </w:rPr>
        <w:softHyphen/>
        <w:t>skakuji z postele a vrhám se na fantom.</w:t>
      </w:r>
    </w:p>
    <w:p w:rsidR="00500724" w:rsidRDefault="00F30FB8">
      <w:pPr>
        <w:pStyle w:val="Zkladntext40"/>
        <w:shd w:val="clear" w:color="auto" w:fill="auto"/>
        <w:spacing w:after="0" w:line="350" w:lineRule="auto"/>
        <w:ind w:firstLine="260"/>
        <w:rPr>
          <w:sz w:val="14"/>
          <w:szCs w:val="14"/>
        </w:rPr>
      </w:pPr>
      <w:r>
        <w:rPr>
          <w:b/>
          <w:bCs/>
          <w:sz w:val="14"/>
          <w:szCs w:val="14"/>
        </w:rPr>
        <w:t>Tak se škrtí vzteklý pes, tak vrážíš prsty do očí šelmy, která tě přepadla neozbrojeného, tak chytáš v zoufalství hady, kteří tě omotávají.</w:t>
      </w:r>
    </w:p>
    <w:p w:rsidR="00500724" w:rsidRDefault="00F30FB8">
      <w:pPr>
        <w:pStyle w:val="Zkladntext40"/>
        <w:shd w:val="clear" w:color="auto" w:fill="auto"/>
        <w:spacing w:after="0" w:line="350" w:lineRule="auto"/>
        <w:ind w:firstLine="260"/>
        <w:rPr>
          <w:sz w:val="14"/>
          <w:szCs w:val="14"/>
        </w:rPr>
      </w:pPr>
      <w:r>
        <w:rPr>
          <w:b/>
          <w:bCs/>
          <w:sz w:val="14"/>
          <w:szCs w:val="14"/>
        </w:rPr>
        <w:t>Pak jsem skočil po bytosti, která se postavila mezi mně a můj zí</w:t>
      </w:r>
      <w:r>
        <w:rPr>
          <w:b/>
          <w:bCs/>
          <w:sz w:val="14"/>
          <w:szCs w:val="14"/>
        </w:rPr>
        <w:t>třek. Bil jsem, bil, bil — nevěda kam. Ně- jaké rozbité sklo řinčí, slyším pád převržených židlí a stolů — zde u krbu — už tě mám.</w:t>
      </w:r>
    </w:p>
    <w:p w:rsidR="00500724" w:rsidRDefault="00F30FB8">
      <w:pPr>
        <w:pStyle w:val="Zkladntext40"/>
        <w:shd w:val="clear" w:color="auto" w:fill="auto"/>
        <w:spacing w:after="0" w:line="353" w:lineRule="auto"/>
        <w:ind w:firstLine="260"/>
        <w:rPr>
          <w:sz w:val="14"/>
          <w:szCs w:val="14"/>
        </w:rPr>
      </w:pPr>
      <w:r>
        <w:rPr>
          <w:b/>
          <w:bCs/>
          <w:sz w:val="14"/>
          <w:szCs w:val="14"/>
        </w:rPr>
        <w:t>Držíme se v křížku — nemohu popadnout dechu už ve chvíli, kdy zápolíce klesáme k zemi. Konečně se mi daří lapiti vzduch, uvol</w:t>
      </w:r>
      <w:r>
        <w:rPr>
          <w:b/>
          <w:bCs/>
          <w:sz w:val="14"/>
          <w:szCs w:val="14"/>
        </w:rPr>
        <w:t>niti levici — vrážím mu ji do chřtánu. Fantom supí, dvakrát se dusí: nabral sílu z mé síly, proto jsem u krbu nemohl dýchat — ale jakmile mu vra</w:t>
      </w:r>
      <w:r>
        <w:rPr>
          <w:b/>
          <w:bCs/>
          <w:sz w:val="14"/>
          <w:szCs w:val="14"/>
        </w:rPr>
        <w:softHyphen/>
        <w:t xml:space="preserve">zím pěst do úst, musí sílu zas vrátit. Ano, vrací mi sílu, fantom se rozplývá, teď vidím, že mi zůstala v ruce </w:t>
      </w:r>
      <w:r>
        <w:rPr>
          <w:b/>
          <w:bCs/>
          <w:sz w:val="14"/>
          <w:szCs w:val="14"/>
        </w:rPr>
        <w:t>jeho paže, snědá, ulomená paže, kolem zápěstí má ještě ná</w:t>
      </w:r>
      <w:r>
        <w:rPr>
          <w:b/>
          <w:bCs/>
          <w:sz w:val="14"/>
          <w:szCs w:val="14"/>
        </w:rPr>
        <w:softHyphen/>
        <w:t>ramek z modré, svítící, skorém průhledné ocele. Vidím s hrůzou, že konec náramku mizí v podlaze, a že z pod</w:t>
      </w:r>
      <w:r>
        <w:rPr>
          <w:b/>
          <w:bCs/>
          <w:sz w:val="14"/>
          <w:szCs w:val="14"/>
        </w:rPr>
        <w:softHyphen/>
        <w:t>zemí někdo táhne za náramek.</w:t>
      </w:r>
    </w:p>
    <w:p w:rsidR="00500724" w:rsidRDefault="00F30FB8">
      <w:pPr>
        <w:pStyle w:val="Zkladntext40"/>
        <w:shd w:val="clear" w:color="auto" w:fill="auto"/>
        <w:spacing w:after="0" w:line="353" w:lineRule="auto"/>
        <w:ind w:firstLine="260"/>
        <w:rPr>
          <w:sz w:val="14"/>
          <w:szCs w:val="14"/>
        </w:rPr>
      </w:pPr>
      <w:r>
        <w:rPr>
          <w:b/>
          <w:bCs/>
          <w:sz w:val="14"/>
          <w:szCs w:val="14"/>
        </w:rPr>
        <w:t>Je to odporné, že by člověk zvracel. Upustil jsem paži a slyš</w:t>
      </w:r>
      <w:r>
        <w:rPr>
          <w:b/>
          <w:bCs/>
          <w:sz w:val="14"/>
          <w:szCs w:val="14"/>
        </w:rPr>
        <w:t>ím, jak řetěz chřestí dole ve sklepě, jak temně duní a rachotí a pak mizí v zemi jako obrovský červ.</w:t>
      </w:r>
    </w:p>
    <w:p w:rsidR="00500724" w:rsidRDefault="00F30FB8">
      <w:pPr>
        <w:pStyle w:val="Zkladntext40"/>
        <w:shd w:val="clear" w:color="auto" w:fill="auto"/>
        <w:spacing w:after="220" w:line="353" w:lineRule="auto"/>
        <w:ind w:firstLine="260"/>
        <w:rPr>
          <w:sz w:val="14"/>
          <w:szCs w:val="14"/>
        </w:rPr>
      </w:pPr>
      <w:r>
        <w:rPr>
          <w:b/>
          <w:bCs/>
          <w:sz w:val="14"/>
          <w:szCs w:val="14"/>
        </w:rPr>
        <w:t>Něžná mdloba mě jímá. Noc leze po mně vzhůru. Jsem unaven...«</w:t>
      </w:r>
    </w:p>
    <w:p w:rsidR="00500724" w:rsidRDefault="00F30FB8">
      <w:pPr>
        <w:pStyle w:val="Zkladntext40"/>
        <w:shd w:val="clear" w:color="auto" w:fill="auto"/>
        <w:spacing w:after="0" w:line="348" w:lineRule="auto"/>
        <w:ind w:firstLine="260"/>
        <w:rPr>
          <w:sz w:val="14"/>
          <w:szCs w:val="14"/>
        </w:rPr>
      </w:pPr>
      <w:r>
        <w:rPr>
          <w:b/>
          <w:bCs/>
          <w:sz w:val="14"/>
          <w:szCs w:val="14"/>
        </w:rPr>
        <w:t>Konfrontujeme znova účinek Peyotlu na obyvatele země, jež Peyotl rodí, a na Evropana. Připome</w:t>
      </w:r>
      <w:r>
        <w:rPr>
          <w:b/>
          <w:bCs/>
          <w:sz w:val="14"/>
          <w:szCs w:val="14"/>
        </w:rPr>
        <w:t>neme si Rekova slova: &gt;Nebezpečí je v tom: co dnes tvoří potě- šeníčko negerského pohlavára v bushu — je zítra pro</w:t>
      </w:r>
      <w:r>
        <w:rPr>
          <w:b/>
          <w:bCs/>
          <w:sz w:val="14"/>
          <w:szCs w:val="14"/>
        </w:rPr>
        <w:softHyphen/>
        <w:t>dáváno v přepychovém baru velkoměsta jako nová módní neřest či mondénní ^zvrhlost*.</w:t>
      </w:r>
    </w:p>
    <w:p w:rsidR="00500724" w:rsidRDefault="00F30FB8">
      <w:pPr>
        <w:pStyle w:val="Zkladntext40"/>
        <w:shd w:val="clear" w:color="auto" w:fill="auto"/>
        <w:spacing w:after="0" w:line="348" w:lineRule="auto"/>
        <w:jc w:val="center"/>
        <w:rPr>
          <w:sz w:val="14"/>
          <w:szCs w:val="14"/>
        </w:rPr>
      </w:pPr>
      <w:r>
        <w:rPr>
          <w:b/>
          <w:bCs/>
          <w:sz w:val="14"/>
          <w:szCs w:val="14"/>
        </w:rPr>
        <w:t>•</w:t>
      </w:r>
    </w:p>
    <w:p w:rsidR="00500724" w:rsidRDefault="00F30FB8">
      <w:pPr>
        <w:pStyle w:val="Zkladntext40"/>
        <w:shd w:val="clear" w:color="auto" w:fill="auto"/>
        <w:spacing w:after="0" w:line="343" w:lineRule="auto"/>
        <w:ind w:firstLine="260"/>
        <w:rPr>
          <w:sz w:val="14"/>
          <w:szCs w:val="14"/>
        </w:rPr>
      </w:pPr>
      <w:r>
        <w:rPr>
          <w:b/>
          <w:bCs/>
          <w:sz w:val="14"/>
          <w:szCs w:val="14"/>
        </w:rPr>
        <w:t>Neobáváme se, že jsme někoho svedli k požívání Peyotlu.</w:t>
      </w:r>
      <w:r>
        <w:rPr>
          <w:b/>
          <w:bCs/>
          <w:sz w:val="14"/>
          <w:szCs w:val="14"/>
        </w:rPr>
        <w:t xml:space="preserve"> A přece jsme se dověděli mnohé, nač se každý z nás jistě už ptal sebe či jiných: proč šílenec nebo opo</w:t>
      </w:r>
      <w:r>
        <w:rPr>
          <w:b/>
          <w:bCs/>
          <w:sz w:val="14"/>
          <w:szCs w:val="14"/>
        </w:rPr>
        <w:softHyphen/>
        <w:t>jený vraždí? Jak dospívá ke konklusím, jež se projevují &gt;šílenými&lt; činy.</w:t>
      </w:r>
    </w:p>
    <w:p w:rsidR="00500724" w:rsidRDefault="00F30FB8">
      <w:pPr>
        <w:pStyle w:val="Zkladntext40"/>
        <w:shd w:val="clear" w:color="auto" w:fill="auto"/>
        <w:spacing w:after="0" w:line="343" w:lineRule="auto"/>
        <w:ind w:firstLine="260"/>
        <w:rPr>
          <w:sz w:val="14"/>
          <w:szCs w:val="14"/>
        </w:rPr>
      </w:pPr>
      <w:r>
        <w:rPr>
          <w:b/>
          <w:bCs/>
          <w:sz w:val="14"/>
          <w:szCs w:val="14"/>
        </w:rPr>
        <w:t>Opojený bojuje se smrtí. — Cí krk při tom svírá svýma rukama, — to je už detail</w:t>
      </w:r>
      <w:r>
        <w:rPr>
          <w:b/>
          <w:bCs/>
          <w:sz w:val="14"/>
          <w:szCs w:val="14"/>
        </w:rPr>
        <w:t xml:space="preserve"> — pro opojeného.</w:t>
      </w:r>
    </w:p>
    <w:p w:rsidR="00500724" w:rsidRDefault="00F30FB8">
      <w:pPr>
        <w:pStyle w:val="Zkladntext40"/>
        <w:shd w:val="clear" w:color="auto" w:fill="auto"/>
        <w:spacing w:after="0" w:line="350" w:lineRule="auto"/>
        <w:jc w:val="center"/>
        <w:rPr>
          <w:sz w:val="14"/>
          <w:szCs w:val="14"/>
        </w:rPr>
      </w:pPr>
      <w:r>
        <w:rPr>
          <w:b/>
          <w:bCs/>
          <w:sz w:val="14"/>
          <w:szCs w:val="14"/>
        </w:rPr>
        <w:t>•</w:t>
      </w:r>
    </w:p>
    <w:p w:rsidR="00500724" w:rsidRDefault="00F30FB8">
      <w:pPr>
        <w:pStyle w:val="Zkladntext40"/>
        <w:shd w:val="clear" w:color="auto" w:fill="auto"/>
        <w:spacing w:after="0" w:line="343" w:lineRule="auto"/>
        <w:ind w:firstLine="260"/>
        <w:rPr>
          <w:sz w:val="14"/>
          <w:szCs w:val="14"/>
        </w:rPr>
      </w:pPr>
      <w:r>
        <w:rPr>
          <w:b/>
          <w:bCs/>
          <w:sz w:val="14"/>
          <w:szCs w:val="14"/>
        </w:rPr>
        <w:t>Vracíme se k začátku: k ú ž a s u nad mocí jedů.</w:t>
      </w:r>
    </w:p>
    <w:p w:rsidR="00500724" w:rsidRDefault="00F30FB8">
      <w:pPr>
        <w:pStyle w:val="Zkladntext40"/>
        <w:shd w:val="clear" w:color="auto" w:fill="auto"/>
        <w:spacing w:after="0" w:line="343" w:lineRule="auto"/>
        <w:ind w:firstLine="260"/>
        <w:rPr>
          <w:sz w:val="14"/>
          <w:szCs w:val="14"/>
        </w:rPr>
      </w:pPr>
      <w:r>
        <w:rPr>
          <w:b/>
          <w:bCs/>
          <w:sz w:val="14"/>
          <w:szCs w:val="14"/>
        </w:rPr>
        <w:t>Peyotl není jediný. Je tu ještě »víno mrtvého muže*; je tu Toloachi, &gt;býlí, jež zpitomí muže*, látka, která sugeruje poživačům, že se stali tygry nebo psy.</w:t>
      </w:r>
    </w:p>
    <w:p w:rsidR="00500724" w:rsidRDefault="00F30FB8">
      <w:pPr>
        <w:pStyle w:val="Zkladntext40"/>
        <w:shd w:val="clear" w:color="auto" w:fill="auto"/>
        <w:spacing w:after="0" w:line="343" w:lineRule="auto"/>
        <w:ind w:firstLine="260"/>
        <w:rPr>
          <w:sz w:val="14"/>
          <w:szCs w:val="14"/>
        </w:rPr>
      </w:pPr>
      <w:r>
        <w:rPr>
          <w:b/>
          <w:bCs/>
          <w:sz w:val="14"/>
          <w:szCs w:val="14"/>
        </w:rPr>
        <w:t>Jsou tu jedy sličných jmen s»La</w:t>
      </w:r>
      <w:r>
        <w:rPr>
          <w:b/>
          <w:bCs/>
          <w:sz w:val="14"/>
          <w:szCs w:val="14"/>
        </w:rPr>
        <w:t xml:space="preserve"> seňorita*, Marihuana (=• Maria Juana, =■ Marie Jana).</w:t>
      </w:r>
    </w:p>
    <w:p w:rsidR="00500724" w:rsidRDefault="00F30FB8">
      <w:pPr>
        <w:pStyle w:val="Zkladntext40"/>
        <w:shd w:val="clear" w:color="auto" w:fill="auto"/>
        <w:spacing w:after="0" w:line="343" w:lineRule="auto"/>
        <w:ind w:firstLine="260"/>
        <w:rPr>
          <w:sz w:val="14"/>
          <w:szCs w:val="14"/>
        </w:rPr>
      </w:pPr>
      <w:r>
        <w:rPr>
          <w:b/>
          <w:bCs/>
          <w:sz w:val="14"/>
          <w:szCs w:val="14"/>
        </w:rPr>
        <w:t>Mincapatli — ^bylina smrti* nebo Camotillo (po česku velmi prosaicky: brambůrek), jed, kterým prý byla zákeřně a navždy zbavena rozumu Charlotta, vdo</w:t>
      </w:r>
      <w:r>
        <w:rPr>
          <w:b/>
          <w:bCs/>
          <w:sz w:val="14"/>
          <w:szCs w:val="14"/>
        </w:rPr>
        <w:softHyphen/>
        <w:t>va po mexickém císaři, zastřeleném v Queretara.</w:t>
      </w:r>
    </w:p>
    <w:p w:rsidR="00500724" w:rsidRDefault="00F30FB8">
      <w:pPr>
        <w:pStyle w:val="Zkladntext40"/>
        <w:shd w:val="clear" w:color="auto" w:fill="auto"/>
        <w:spacing w:after="120" w:line="343" w:lineRule="auto"/>
        <w:jc w:val="right"/>
        <w:rPr>
          <w:sz w:val="14"/>
          <w:szCs w:val="14"/>
        </w:rPr>
      </w:pPr>
      <w:r>
        <w:rPr>
          <w:b/>
          <w:bCs/>
          <w:sz w:val="14"/>
          <w:szCs w:val="14"/>
        </w:rPr>
        <w:t>(Do</w:t>
      </w:r>
      <w:r>
        <w:rPr>
          <w:b/>
          <w:bCs/>
          <w:sz w:val="14"/>
          <w:szCs w:val="14"/>
        </w:rPr>
        <w:t>končeni)</w:t>
      </w:r>
    </w:p>
    <w:p w:rsidR="00500724" w:rsidRDefault="00F30FB8">
      <w:pPr>
        <w:pStyle w:val="Zkladntext80"/>
        <w:shd w:val="clear" w:color="auto" w:fill="auto"/>
        <w:spacing w:line="240" w:lineRule="auto"/>
        <w:rPr>
          <w:sz w:val="20"/>
          <w:szCs w:val="20"/>
        </w:rPr>
      </w:pPr>
      <w:r>
        <w:rPr>
          <w:b w:val="0"/>
          <w:bCs w:val="0"/>
          <w:i/>
          <w:iCs/>
          <w:sz w:val="20"/>
          <w:szCs w:val="20"/>
          <w:lang w:val="en-US" w:eastAsia="en-US" w:bidi="en-US"/>
        </w:rPr>
        <w:t>24O</w:t>
      </w:r>
    </w:p>
    <w:p w:rsidR="00500724" w:rsidRDefault="00F30FB8">
      <w:pPr>
        <w:pStyle w:val="Jin0"/>
        <w:pBdr>
          <w:bottom w:val="single" w:sz="4" w:space="0" w:color="auto"/>
        </w:pBdr>
        <w:shd w:val="clear" w:color="auto" w:fill="auto"/>
        <w:spacing w:after="280"/>
        <w:ind w:firstLine="0"/>
        <w:jc w:val="left"/>
        <w:rPr>
          <w:sz w:val="42"/>
          <w:szCs w:val="42"/>
        </w:rPr>
      </w:pPr>
      <w:r>
        <w:rPr>
          <w:b/>
          <w:bCs/>
          <w:sz w:val="42"/>
          <w:szCs w:val="42"/>
        </w:rPr>
        <w:t>feuilleton</w:t>
      </w:r>
    </w:p>
    <w:p w:rsidR="00500724" w:rsidRDefault="00F30FB8">
      <w:pPr>
        <w:pStyle w:val="Zkladntext30"/>
        <w:shd w:val="clear" w:color="auto" w:fill="auto"/>
        <w:spacing w:after="0" w:line="240" w:lineRule="auto"/>
        <w:ind w:firstLine="0"/>
        <w:jc w:val="left"/>
        <w:rPr>
          <w:sz w:val="20"/>
          <w:szCs w:val="20"/>
        </w:rPr>
      </w:pPr>
      <w:r>
        <w:rPr>
          <w:i/>
          <w:iCs/>
          <w:sz w:val="20"/>
          <w:szCs w:val="20"/>
        </w:rPr>
        <w:t>A. Mrá z:</w:t>
      </w:r>
    </w:p>
    <w:p w:rsidR="00500724" w:rsidRDefault="00F30FB8">
      <w:pPr>
        <w:pStyle w:val="Nadpis100"/>
        <w:shd w:val="clear" w:color="auto" w:fill="auto"/>
        <w:spacing w:after="0" w:line="240" w:lineRule="auto"/>
        <w:ind w:right="100"/>
      </w:pPr>
      <w:bookmarkStart w:id="389" w:name="bookmark388"/>
      <w:r>
        <w:t>Sport</w:t>
      </w:r>
      <w:bookmarkEnd w:id="389"/>
    </w:p>
    <w:p w:rsidR="00500724" w:rsidRDefault="00F30FB8">
      <w:pPr>
        <w:pStyle w:val="Nadpis100"/>
        <w:shd w:val="clear" w:color="auto" w:fill="auto"/>
        <w:spacing w:after="80" w:line="240" w:lineRule="auto"/>
        <w:jc w:val="left"/>
      </w:pPr>
      <w:bookmarkStart w:id="390" w:name="bookmark389"/>
      <w:r>
        <w:t>v českých národních pohádkách</w:t>
      </w:r>
      <w:bookmarkEnd w:id="390"/>
    </w:p>
    <w:p w:rsidR="00500724" w:rsidRDefault="00F30FB8">
      <w:pPr>
        <w:pStyle w:val="Zkladntext30"/>
        <w:shd w:val="clear" w:color="auto" w:fill="auto"/>
        <w:spacing w:after="0" w:line="240" w:lineRule="auto"/>
        <w:ind w:firstLine="240"/>
        <w:rPr>
          <w:sz w:val="20"/>
          <w:szCs w:val="20"/>
        </w:rPr>
      </w:pPr>
      <w:r>
        <w:rPr>
          <w:i/>
          <w:iCs/>
          <w:sz w:val="20"/>
          <w:szCs w:val="20"/>
        </w:rPr>
        <w:t>Watt Disney se svojí myškou, my žákem, kačerem, lo</w:t>
      </w:r>
      <w:r>
        <w:rPr>
          <w:i/>
          <w:iCs/>
          <w:sz w:val="20"/>
          <w:szCs w:val="20"/>
        </w:rPr>
        <w:softHyphen/>
        <w:t>veckým psem, a ani nevím se vším co ještě všecko, ovládl Prahu. Přes to, že nikdo</w:t>
      </w:r>
      <w:r>
        <w:rPr>
          <w:rFonts w:ascii="Arial" w:eastAsia="Arial" w:hAnsi="Arial" w:cs="Arial"/>
          <w:sz w:val="17"/>
          <w:szCs w:val="17"/>
        </w:rPr>
        <w:t xml:space="preserve"> z </w:t>
      </w:r>
      <w:r>
        <w:rPr>
          <w:i/>
          <w:iCs/>
          <w:sz w:val="20"/>
          <w:szCs w:val="20"/>
        </w:rPr>
        <w:t xml:space="preserve">nás nepochybuje, že myšák </w:t>
      </w:r>
      <w:r>
        <w:rPr>
          <w:i/>
          <w:iCs/>
          <w:sz w:val="20"/>
          <w:szCs w:val="20"/>
          <w:lang w:val="en-US" w:eastAsia="en-US" w:bidi="en-US"/>
        </w:rPr>
        <w:t>Mickey</w:t>
      </w:r>
      <w:r>
        <w:rPr>
          <w:rFonts w:ascii="Arial" w:eastAsia="Arial" w:hAnsi="Arial" w:cs="Arial"/>
          <w:sz w:val="17"/>
          <w:szCs w:val="17"/>
          <w:lang w:val="en-US" w:eastAsia="en-US" w:bidi="en-US"/>
        </w:rPr>
        <w:t xml:space="preserve"> </w:t>
      </w:r>
      <w:r>
        <w:rPr>
          <w:rFonts w:ascii="Arial" w:eastAsia="Arial" w:hAnsi="Arial" w:cs="Arial"/>
          <w:sz w:val="17"/>
          <w:szCs w:val="17"/>
        </w:rPr>
        <w:t xml:space="preserve">a </w:t>
      </w:r>
      <w:r>
        <w:rPr>
          <w:i/>
          <w:iCs/>
          <w:sz w:val="20"/>
          <w:szCs w:val="20"/>
        </w:rPr>
        <w:t xml:space="preserve">myška </w:t>
      </w:r>
      <w:r>
        <w:rPr>
          <w:i/>
          <w:iCs/>
          <w:sz w:val="20"/>
          <w:szCs w:val="20"/>
          <w:lang w:val="en-US" w:eastAsia="en-US" w:bidi="en-US"/>
        </w:rPr>
        <w:t xml:space="preserve">Minnie </w:t>
      </w:r>
      <w:r>
        <w:rPr>
          <w:i/>
          <w:iCs/>
          <w:sz w:val="20"/>
          <w:szCs w:val="20"/>
        </w:rPr>
        <w:t>jsou ze všech cizích fil</w:t>
      </w:r>
      <w:r>
        <w:rPr>
          <w:i/>
          <w:iCs/>
          <w:sz w:val="20"/>
          <w:szCs w:val="20"/>
        </w:rPr>
        <w:softHyphen/>
        <w:t>mových zjevů, které ovládly Prahu, těmi zjevy nejlíbez</w:t>
      </w:r>
      <w:r>
        <w:rPr>
          <w:i/>
          <w:iCs/>
          <w:sz w:val="20"/>
          <w:szCs w:val="20"/>
        </w:rPr>
        <w:softHyphen/>
        <w:t>nějšími ... Je tu přece jen jedno přece jen. Totiž i tyto zjevy přece jen jdou na úkor. Na úkor české národní pohádky.</w:t>
      </w:r>
    </w:p>
    <w:p w:rsidR="00500724" w:rsidRDefault="00F30FB8">
      <w:pPr>
        <w:pStyle w:val="Zkladntext30"/>
        <w:shd w:val="clear" w:color="auto" w:fill="auto"/>
        <w:spacing w:after="0" w:line="240" w:lineRule="auto"/>
        <w:ind w:firstLine="240"/>
        <w:rPr>
          <w:sz w:val="20"/>
          <w:szCs w:val="20"/>
        </w:rPr>
      </w:pPr>
      <w:r>
        <w:rPr>
          <w:i/>
          <w:iCs/>
          <w:sz w:val="20"/>
          <w:szCs w:val="20"/>
        </w:rPr>
        <w:t>&gt;Ach, jděte mi k šípku!« zvolá koupěchtivý rodič či pěsto</w:t>
      </w:r>
      <w:r>
        <w:rPr>
          <w:i/>
          <w:iCs/>
          <w:sz w:val="20"/>
          <w:szCs w:val="20"/>
        </w:rPr>
        <w:t>un v knihkupeckém krámu. ^Báchorky?! Staré české, národní báchorky! Copak takového něco ještě vůbec existuje? Copak to se ještě dnes dělá? Vždyt to už je hrozně zastaralé. Tak těch sedm filmových trpaslí</w:t>
      </w:r>
      <w:r>
        <w:rPr>
          <w:i/>
          <w:iCs/>
          <w:sz w:val="20"/>
          <w:szCs w:val="20"/>
        </w:rPr>
        <w:softHyphen/>
        <w:t>ků, toho Šmudulina, nebo aspoň Tři prasátka, kdybyst</w:t>
      </w:r>
      <w:r>
        <w:rPr>
          <w:i/>
          <w:iCs/>
          <w:sz w:val="20"/>
          <w:szCs w:val="20"/>
        </w:rPr>
        <w:t>e měli. To nemáte?&lt;</w:t>
      </w:r>
    </w:p>
    <w:p w:rsidR="00500724" w:rsidRDefault="00F30FB8">
      <w:pPr>
        <w:pStyle w:val="Zkladntext30"/>
        <w:shd w:val="clear" w:color="auto" w:fill="auto"/>
        <w:spacing w:after="0" w:line="240" w:lineRule="auto"/>
        <w:ind w:firstLine="240"/>
        <w:rPr>
          <w:sz w:val="20"/>
          <w:szCs w:val="20"/>
        </w:rPr>
      </w:pPr>
      <w:r>
        <w:rPr>
          <w:i/>
          <w:iCs/>
          <w:sz w:val="20"/>
          <w:szCs w:val="20"/>
        </w:rPr>
        <w:t>Marné vykládat, že v starých lidových pohádkách je tolik opravdového půvabu a kouzla, tolik opravdová poesie, že jim podlehne každá vnímavá duše sebe vy</w:t>
      </w:r>
      <w:r>
        <w:rPr>
          <w:i/>
          <w:iCs/>
          <w:sz w:val="20"/>
          <w:szCs w:val="20"/>
        </w:rPr>
        <w:softHyphen/>
        <w:t>spělejší. To už musíte nastoupit s argumenty a hesly po</w:t>
      </w:r>
      <w:r>
        <w:rPr>
          <w:i/>
          <w:iCs/>
          <w:sz w:val="20"/>
          <w:szCs w:val="20"/>
        </w:rPr>
        <w:softHyphen/>
        <w:t>někud dobovějšími.</w:t>
      </w:r>
    </w:p>
    <w:p w:rsidR="00500724" w:rsidRDefault="00F30FB8">
      <w:pPr>
        <w:pStyle w:val="Zkladntext30"/>
        <w:shd w:val="clear" w:color="auto" w:fill="auto"/>
        <w:spacing w:after="0" w:line="240" w:lineRule="auto"/>
        <w:ind w:firstLine="240"/>
        <w:rPr>
          <w:sz w:val="20"/>
          <w:szCs w:val="20"/>
        </w:rPr>
      </w:pPr>
      <w:r>
        <w:rPr>
          <w:i/>
          <w:iCs/>
          <w:sz w:val="20"/>
          <w:szCs w:val="20"/>
        </w:rPr>
        <w:t xml:space="preserve">^Ukažte </w:t>
      </w:r>
      <w:r>
        <w:rPr>
          <w:i/>
          <w:iCs/>
          <w:sz w:val="20"/>
          <w:szCs w:val="20"/>
        </w:rPr>
        <w:t xml:space="preserve">mi,&lt;t začnete třebas tak mimochodem, ^ukažte mi někde ve světové literatuře, mimo Nurmiho ovšem, takového </w:t>
      </w:r>
      <w:r>
        <w:rPr>
          <w:i/>
          <w:iCs/>
          <w:sz w:val="20"/>
          <w:szCs w:val="20"/>
          <w:lang w:val="en-US" w:eastAsia="en-US" w:bidi="en-US"/>
        </w:rPr>
        <w:t xml:space="preserve">all round </w:t>
      </w:r>
      <w:r>
        <w:rPr>
          <w:i/>
          <w:iCs/>
          <w:sz w:val="20"/>
          <w:szCs w:val="20"/>
        </w:rPr>
        <w:t xml:space="preserve">sportovce, takového přeborníka na sprinty, půlku, běh přespolní, přes překážky, </w:t>
      </w:r>
      <w:r>
        <w:rPr>
          <w:i/>
          <w:iCs/>
          <w:sz w:val="20"/>
          <w:szCs w:val="20"/>
          <w:lang w:val="en-US" w:eastAsia="en-US" w:bidi="en-US"/>
        </w:rPr>
        <w:t xml:space="preserve">marathon, </w:t>
      </w:r>
      <w:r>
        <w:rPr>
          <w:i/>
          <w:iCs/>
          <w:sz w:val="20"/>
          <w:szCs w:val="20"/>
        </w:rPr>
        <w:t>hodinovku, jakým byl náš Dlouhý z populární a slav</w:t>
      </w:r>
      <w:r>
        <w:rPr>
          <w:i/>
          <w:iCs/>
          <w:sz w:val="20"/>
          <w:szCs w:val="20"/>
        </w:rPr>
        <w:t>né naší trojice Dlouhý, Široký a Bystrozraký! A což ne</w:t>
      </w:r>
      <w:r>
        <w:rPr>
          <w:i/>
          <w:iCs/>
          <w:sz w:val="20"/>
          <w:szCs w:val="20"/>
        </w:rPr>
        <w:softHyphen/>
        <w:t>byli takový Široký a Bystrozraký vyloženými deseti- bojci o disciplinách, které pro svoji hrůznou obtížnost nemohly být ani zařáděny do programu olympijských her? A což dorostenec Paleček; zvící otcova</w:t>
      </w:r>
      <w:r>
        <w:rPr>
          <w:i/>
          <w:iCs/>
          <w:sz w:val="20"/>
          <w:szCs w:val="20"/>
        </w:rPr>
        <w:t xml:space="preserve"> palce, v lidožroutových sedmimílových tretrech? Co krok, to sedm mil! A počítáme-li na takový krok brutto a už se vším všudy, jednu minutu, je to za hodinu 420 mil. A dejme tomu, že jedna míle je jeden a půl kilometru. Ona je ve skutečnosti víc. Tak to či</w:t>
      </w:r>
      <w:r>
        <w:rPr>
          <w:i/>
          <w:iCs/>
          <w:sz w:val="20"/>
          <w:szCs w:val="20"/>
        </w:rPr>
        <w:t>ní za hodinu úhrnem 650 km. Prosím, to je skoro do dnešního dne ani hydro- avionem nepřekonaný světový rekord. A to ještě, pa</w:t>
      </w:r>
      <w:r>
        <w:rPr>
          <w:i/>
          <w:iCs/>
          <w:sz w:val="20"/>
          <w:szCs w:val="20"/>
        </w:rPr>
        <w:softHyphen/>
        <w:t>nečku, ten Paleček šel a rekord přináleží chodecké fede</w:t>
      </w:r>
      <w:r>
        <w:rPr>
          <w:i/>
          <w:iCs/>
          <w:sz w:val="20"/>
          <w:szCs w:val="20"/>
        </w:rPr>
        <w:softHyphen/>
        <w:t>raci jako pedestriánský. Co teprve, kdyby byl utíkal?</w:t>
      </w:r>
    </w:p>
    <w:p w:rsidR="00500724" w:rsidRDefault="00F30FB8">
      <w:pPr>
        <w:pStyle w:val="Zkladntext30"/>
        <w:shd w:val="clear" w:color="auto" w:fill="auto"/>
        <w:spacing w:after="0" w:line="240" w:lineRule="auto"/>
        <w:ind w:firstLine="240"/>
        <w:rPr>
          <w:sz w:val="20"/>
          <w:szCs w:val="20"/>
        </w:rPr>
      </w:pPr>
      <w:r>
        <w:rPr>
          <w:i/>
          <w:iCs/>
          <w:sz w:val="20"/>
          <w:szCs w:val="20"/>
        </w:rPr>
        <w:t>A co řeknete svému d</w:t>
      </w:r>
      <w:r>
        <w:rPr>
          <w:i/>
          <w:iCs/>
          <w:sz w:val="20"/>
          <w:szCs w:val="20"/>
        </w:rPr>
        <w:t>ítěti až se zeptá, proč vlastně zklamal a zabloudil jinak statný skautík a junák vol</w:t>
      </w:r>
      <w:r>
        <w:rPr>
          <w:i/>
          <w:iCs/>
          <w:sz w:val="20"/>
          <w:szCs w:val="20"/>
        </w:rPr>
        <w:softHyphen/>
        <w:t>nosti Jeník s Mařenkou, když si přece značkovali stezku k Perníkové chaloupce bílými křeménky, jež se leskly a bělaly v záři měsíce? A což nezasluhuje pozornost do</w:t>
      </w:r>
      <w:r>
        <w:rPr>
          <w:i/>
          <w:iCs/>
          <w:sz w:val="20"/>
          <w:szCs w:val="20"/>
        </w:rPr>
        <w:softHyphen/>
        <w:t>spívají</w:t>
      </w:r>
      <w:r>
        <w:rPr>
          <w:i/>
          <w:iCs/>
          <w:sz w:val="20"/>
          <w:szCs w:val="20"/>
        </w:rPr>
        <w:t>cí mládeže nádherný výkon slepičky v štafetě a v běhu rozestavném pro vodu, která traf: lakomý ko</w:t>
      </w:r>
      <w:r>
        <w:rPr>
          <w:i/>
          <w:iCs/>
          <w:sz w:val="20"/>
          <w:szCs w:val="20"/>
        </w:rPr>
        <w:softHyphen/>
        <w:t>houtek v oboře se zaskočeným jadýrkem v krku — stu</w:t>
      </w:r>
      <w:r>
        <w:rPr>
          <w:i/>
          <w:iCs/>
          <w:sz w:val="20"/>
          <w:szCs w:val="20"/>
        </w:rPr>
        <w:softHyphen/>
        <w:t>dánka, studánka — švadlena, švadlena — švec, švec — svinka, svinka — sladovník, sladovník — kravička, kra</w:t>
      </w:r>
      <w:r>
        <w:rPr>
          <w:i/>
          <w:iCs/>
          <w:sz w:val="20"/>
          <w:szCs w:val="20"/>
        </w:rPr>
        <w:softHyphen/>
        <w:t>v</w:t>
      </w:r>
      <w:r>
        <w:rPr>
          <w:i/>
          <w:iCs/>
          <w:sz w:val="20"/>
          <w:szCs w:val="20"/>
        </w:rPr>
        <w:t>ička — louka, louka — rosa, rosa — studánka, studán</w:t>
      </w:r>
      <w:r>
        <w:rPr>
          <w:i/>
          <w:iCs/>
          <w:sz w:val="20"/>
          <w:szCs w:val="20"/>
        </w:rPr>
        <w:softHyphen/>
        <w:t>ka — lakomý kohoutek v oboře se zaskočeným jadýr-</w:t>
      </w:r>
    </w:p>
    <w:p w:rsidR="00500724" w:rsidRDefault="00F30FB8">
      <w:pPr>
        <w:pStyle w:val="Zkladntext30"/>
        <w:shd w:val="clear" w:color="auto" w:fill="auto"/>
        <w:spacing w:after="0" w:line="233" w:lineRule="auto"/>
        <w:ind w:firstLine="0"/>
        <w:rPr>
          <w:sz w:val="20"/>
          <w:szCs w:val="20"/>
        </w:rPr>
      </w:pPr>
      <w:r>
        <w:rPr>
          <w:i/>
          <w:iCs/>
          <w:sz w:val="20"/>
          <w:szCs w:val="20"/>
        </w:rPr>
        <w:t>Jcem v krku a zpět, uběhla tak rychle, že lakomý ko</w:t>
      </w:r>
      <w:r>
        <w:rPr>
          <w:i/>
          <w:iCs/>
          <w:sz w:val="20"/>
          <w:szCs w:val="20"/>
        </w:rPr>
        <w:softHyphen/>
        <w:t xml:space="preserve">houtek </w:t>
      </w:r>
      <w:r>
        <w:rPr>
          <w:smallCaps/>
          <w:sz w:val="17"/>
          <w:szCs w:val="17"/>
        </w:rPr>
        <w:t xml:space="preserve">d </w:t>
      </w:r>
      <w:r>
        <w:rPr>
          <w:i/>
          <w:iCs/>
          <w:sz w:val="20"/>
          <w:szCs w:val="20"/>
        </w:rPr>
        <w:t>oboře se zaskočeným jadýrkem v krku neměl ani pokdy se pořádně udávit.</w:t>
      </w:r>
    </w:p>
    <w:p w:rsidR="00500724" w:rsidRDefault="00F30FB8">
      <w:pPr>
        <w:pStyle w:val="Zkladntext30"/>
        <w:shd w:val="clear" w:color="auto" w:fill="auto"/>
        <w:spacing w:after="0" w:line="240" w:lineRule="auto"/>
        <w:ind w:firstLine="220"/>
        <w:rPr>
          <w:sz w:val="20"/>
          <w:szCs w:val="20"/>
        </w:rPr>
      </w:pPr>
      <w:r>
        <w:rPr>
          <w:i/>
          <w:iCs/>
          <w:sz w:val="20"/>
          <w:szCs w:val="20"/>
        </w:rPr>
        <w:t>K dobovým gymnastickým</w:t>
      </w:r>
      <w:r>
        <w:rPr>
          <w:i/>
          <w:iCs/>
          <w:sz w:val="20"/>
          <w:szCs w:val="20"/>
        </w:rPr>
        <w:t xml:space="preserve"> cvikům a dovednostem ná</w:t>
      </w:r>
      <w:r>
        <w:rPr>
          <w:i/>
          <w:iCs/>
          <w:sz w:val="20"/>
          <w:szCs w:val="20"/>
        </w:rPr>
        <w:softHyphen/>
        <w:t>leží, jak snad nepochybujete, choreografie a tanec.</w:t>
      </w:r>
    </w:p>
    <w:p w:rsidR="00500724" w:rsidRDefault="00F30FB8">
      <w:pPr>
        <w:pStyle w:val="Zkladntext30"/>
        <w:numPr>
          <w:ilvl w:val="0"/>
          <w:numId w:val="48"/>
        </w:numPr>
        <w:shd w:val="clear" w:color="auto" w:fill="auto"/>
        <w:tabs>
          <w:tab w:val="left" w:pos="294"/>
        </w:tabs>
        <w:spacing w:after="0" w:line="240" w:lineRule="auto"/>
        <w:ind w:firstLine="0"/>
        <w:rPr>
          <w:sz w:val="20"/>
          <w:szCs w:val="20"/>
        </w:rPr>
      </w:pPr>
      <w:r>
        <w:rPr>
          <w:i/>
          <w:iCs/>
          <w:sz w:val="20"/>
          <w:szCs w:val="20"/>
        </w:rPr>
        <w:t>českých pohádkách pěstuje je sólově i koedukačně ženské i mužské pohlaví. Tak tančí za vlahých jarních podvečerů na květnatých paloucích a lesních mýtinách dívčí sbor lesních a lu</w:t>
      </w:r>
      <w:r>
        <w:rPr>
          <w:i/>
          <w:iCs/>
          <w:sz w:val="20"/>
          <w:szCs w:val="20"/>
        </w:rPr>
        <w:t>čních panen vil a rusálek. zatím co bažiny a bláta jsou specialitou bosorek a jeskyněk.</w:t>
      </w:r>
    </w:p>
    <w:p w:rsidR="00500724" w:rsidRDefault="00F30FB8">
      <w:pPr>
        <w:pStyle w:val="Zkladntext30"/>
        <w:numPr>
          <w:ilvl w:val="0"/>
          <w:numId w:val="48"/>
        </w:numPr>
        <w:shd w:val="clear" w:color="auto" w:fill="auto"/>
        <w:tabs>
          <w:tab w:val="left" w:pos="289"/>
        </w:tabs>
        <w:spacing w:after="0" w:line="240" w:lineRule="auto"/>
        <w:ind w:firstLine="0"/>
        <w:rPr>
          <w:sz w:val="20"/>
          <w:szCs w:val="20"/>
        </w:rPr>
      </w:pPr>
      <w:r>
        <w:rPr>
          <w:i/>
          <w:iCs/>
          <w:sz w:val="20"/>
          <w:szCs w:val="20"/>
        </w:rPr>
        <w:t xml:space="preserve">tanci dosahují tak značné zručnosti, že se jim ne- zřídkakdy podaří světa neznalé a netrénované jinochy, kteří nedopatřením zabloudí do jejich společnosti, utan- covat </w:t>
      </w:r>
      <w:r>
        <w:rPr>
          <w:i/>
          <w:iCs/>
          <w:sz w:val="20"/>
          <w:szCs w:val="20"/>
        </w:rPr>
        <w:t>šíastně k smrti.</w:t>
      </w:r>
    </w:p>
    <w:p w:rsidR="00500724" w:rsidRDefault="00F30FB8">
      <w:pPr>
        <w:pStyle w:val="Zkladntext30"/>
        <w:numPr>
          <w:ilvl w:val="0"/>
          <w:numId w:val="48"/>
        </w:numPr>
        <w:shd w:val="clear" w:color="auto" w:fill="auto"/>
        <w:tabs>
          <w:tab w:val="left" w:pos="466"/>
        </w:tabs>
        <w:spacing w:after="0" w:line="240" w:lineRule="auto"/>
        <w:ind w:firstLine="220"/>
        <w:rPr>
          <w:sz w:val="20"/>
          <w:szCs w:val="20"/>
        </w:rPr>
      </w:pPr>
      <w:r>
        <w:rPr>
          <w:i/>
          <w:iCs/>
          <w:sz w:val="20"/>
          <w:szCs w:val="20"/>
        </w:rPr>
        <w:t>této souvislosti nelze ovšem pomlčet o vytrvalost</w:t>
      </w:r>
      <w:r>
        <w:rPr>
          <w:i/>
          <w:iCs/>
          <w:sz w:val="20"/>
          <w:szCs w:val="20"/>
        </w:rPr>
        <w:softHyphen/>
        <w:t>ním rekordu v tanci amatérských dvojic, který překo</w:t>
      </w:r>
      <w:r>
        <w:rPr>
          <w:i/>
          <w:iCs/>
          <w:sz w:val="20"/>
          <w:szCs w:val="20"/>
        </w:rPr>
        <w:softHyphen/>
        <w:t xml:space="preserve">nali Čert a Káča vytáčejíce od dopoledne do půlnoci, z Čech až do pekla, jsouce, pokud jen neopustili hospodu, uměle vyživováni </w:t>
      </w:r>
      <w:r>
        <w:rPr>
          <w:i/>
          <w:iCs/>
          <w:sz w:val="20"/>
          <w:szCs w:val="20"/>
        </w:rPr>
        <w:t>marcipánem a sladkou vodkou.</w:t>
      </w:r>
    </w:p>
    <w:p w:rsidR="00500724" w:rsidRDefault="00F30FB8">
      <w:pPr>
        <w:pStyle w:val="Zkladntext30"/>
        <w:shd w:val="clear" w:color="auto" w:fill="auto"/>
        <w:spacing w:after="0" w:line="240" w:lineRule="auto"/>
        <w:ind w:firstLine="220"/>
        <w:rPr>
          <w:sz w:val="20"/>
          <w:szCs w:val="20"/>
        </w:rPr>
      </w:pPr>
      <w:r>
        <w:rPr>
          <w:i/>
          <w:iCs/>
          <w:sz w:val="20"/>
          <w:szCs w:val="20"/>
        </w:rPr>
        <w:t>Jízdu koňmo provozují po výtce princové a jejich pa</w:t>
      </w:r>
      <w:r>
        <w:rPr>
          <w:i/>
          <w:iCs/>
          <w:sz w:val="20"/>
          <w:szCs w:val="20"/>
        </w:rPr>
        <w:softHyphen/>
        <w:t>noši. I když ne vždy (běží tu o sport privilegovaný a ne</w:t>
      </w:r>
      <w:r>
        <w:rPr>
          <w:i/>
          <w:iCs/>
          <w:sz w:val="20"/>
          <w:szCs w:val="20"/>
        </w:rPr>
        <w:softHyphen/>
        <w:t>přístupný nej širším vrstvám lidovým) se stoprocentním úspěchem. Tak nezůstalo šuškandě utajeno, že vládnoucí princ tř</w:t>
      </w:r>
      <w:r>
        <w:rPr>
          <w:i/>
          <w:iCs/>
          <w:sz w:val="20"/>
          <w:szCs w:val="20"/>
        </w:rPr>
        <w:t>ikráte nedohnal Popelku, prchající před ním z dvorního plesu, ač Popelka pravděpodobně nemě</w:t>
      </w:r>
      <w:r>
        <w:rPr>
          <w:i/>
          <w:iCs/>
          <w:sz w:val="20"/>
          <w:szCs w:val="20"/>
        </w:rPr>
        <w:softHyphen/>
        <w:t>la ani na dopravní prostředek a ač princ dal po každé osedlat svého nejrychlejšího bělouše.</w:t>
      </w:r>
    </w:p>
    <w:p w:rsidR="00500724" w:rsidRDefault="00F30FB8">
      <w:pPr>
        <w:pStyle w:val="Zkladntext30"/>
        <w:shd w:val="clear" w:color="auto" w:fill="auto"/>
        <w:spacing w:after="0" w:line="240" w:lineRule="auto"/>
        <w:ind w:firstLine="220"/>
        <w:rPr>
          <w:sz w:val="20"/>
          <w:szCs w:val="20"/>
        </w:rPr>
      </w:pPr>
      <w:r>
        <w:rPr>
          <w:i/>
          <w:iCs/>
          <w:sz w:val="20"/>
          <w:szCs w:val="20"/>
        </w:rPr>
        <w:t xml:space="preserve">Rovněž šerm provozují hlavně princové, potýkajíce se s větvovím </w:t>
      </w:r>
      <w:r>
        <w:rPr>
          <w:i/>
          <w:iCs/>
          <w:sz w:val="20"/>
          <w:szCs w:val="20"/>
        </w:rPr>
        <w:t>šípkových keřů tak dlouho, až se jim po</w:t>
      </w:r>
      <w:r>
        <w:rPr>
          <w:i/>
          <w:iCs/>
          <w:sz w:val="20"/>
          <w:szCs w:val="20"/>
        </w:rPr>
        <w:softHyphen/>
        <w:t>daří políbit spící princeznu na čelo. Načež je osvo</w:t>
      </w:r>
      <w:r>
        <w:rPr>
          <w:i/>
          <w:iCs/>
          <w:sz w:val="20"/>
          <w:szCs w:val="20"/>
        </w:rPr>
        <w:softHyphen/>
        <w:t>bozena.</w:t>
      </w:r>
    </w:p>
    <w:p w:rsidR="00500724" w:rsidRDefault="00F30FB8">
      <w:pPr>
        <w:pStyle w:val="Zkladntext30"/>
        <w:shd w:val="clear" w:color="auto" w:fill="auto"/>
        <w:spacing w:after="0" w:line="240" w:lineRule="auto"/>
        <w:ind w:firstLine="220"/>
        <w:rPr>
          <w:sz w:val="20"/>
          <w:szCs w:val="20"/>
        </w:rPr>
      </w:pPr>
      <w:r>
        <w:rPr>
          <w:i/>
          <w:iCs/>
          <w:sz w:val="20"/>
          <w:szCs w:val="20"/>
        </w:rPr>
        <w:t>Zato při střetnutí hloupého Honzy se sedmihlavou saní, kterýžto počet hlav ztrestává a redukuje Socho</w:t>
      </w:r>
      <w:r>
        <w:rPr>
          <w:i/>
          <w:iCs/>
          <w:sz w:val="20"/>
          <w:szCs w:val="20"/>
        </w:rPr>
        <w:softHyphen/>
        <w:t>rem na nejmenší přípustnou míru, běží spíše o poctivou</w:t>
      </w:r>
      <w:r>
        <w:rPr>
          <w:i/>
          <w:iCs/>
          <w:sz w:val="20"/>
          <w:szCs w:val="20"/>
        </w:rPr>
        <w:t xml:space="preserve"> práci drobného českého člověka než o velkorysý spor</w:t>
      </w:r>
      <w:r>
        <w:rPr>
          <w:i/>
          <w:iCs/>
          <w:sz w:val="20"/>
          <w:szCs w:val="20"/>
        </w:rPr>
        <w:softHyphen/>
        <w:t>tovní podnik.</w:t>
      </w:r>
    </w:p>
    <w:p w:rsidR="00500724" w:rsidRDefault="00F30FB8">
      <w:pPr>
        <w:pStyle w:val="Zkladntext30"/>
        <w:shd w:val="clear" w:color="auto" w:fill="auto"/>
        <w:spacing w:after="0" w:line="240" w:lineRule="auto"/>
        <w:ind w:firstLine="220"/>
        <w:rPr>
          <w:sz w:val="20"/>
          <w:szCs w:val="20"/>
        </w:rPr>
      </w:pPr>
      <w:r>
        <w:rPr>
          <w:i/>
          <w:iCs/>
          <w:sz w:val="20"/>
          <w:szCs w:val="20"/>
        </w:rPr>
        <w:t>Věhlasné jsou také jedinečné plavecké výkony Vodní</w:t>
      </w:r>
      <w:r>
        <w:rPr>
          <w:i/>
          <w:iCs/>
          <w:sz w:val="20"/>
          <w:szCs w:val="20"/>
        </w:rPr>
        <w:softHyphen/>
        <w:t>ka — Hastrmana. Poněkud nepěkné světlo na jeho char</w:t>
      </w:r>
      <w:r>
        <w:rPr>
          <w:i/>
          <w:iCs/>
          <w:sz w:val="20"/>
          <w:szCs w:val="20"/>
        </w:rPr>
        <w:softHyphen/>
        <w:t>akter jako skromného sportovce vrhá ovšem známá okol</w:t>
      </w:r>
      <w:r>
        <w:rPr>
          <w:i/>
          <w:iCs/>
          <w:sz w:val="20"/>
          <w:szCs w:val="20"/>
        </w:rPr>
        <w:softHyphen/>
        <w:t>nost, že zelený mužík z Podél Ska</w:t>
      </w:r>
      <w:r>
        <w:rPr>
          <w:i/>
          <w:iCs/>
          <w:sz w:val="20"/>
          <w:szCs w:val="20"/>
        </w:rPr>
        <w:t>l si sám před každým svým rekordním skokem se skály a vrby divě zatleská. Jinak ovšem jest jediným pohádkovým representantem a záslužným propagátorem sportovního rybářství, které provozuje velmi důmyslně, používaje nástrah a vnadi</w:t>
      </w:r>
      <w:r>
        <w:rPr>
          <w:i/>
          <w:iCs/>
          <w:sz w:val="20"/>
          <w:szCs w:val="20"/>
        </w:rPr>
        <w:softHyphen/>
        <w:t xml:space="preserve">del, pozvedajících tento </w:t>
      </w:r>
      <w:r>
        <w:rPr>
          <w:i/>
          <w:iCs/>
          <w:sz w:val="20"/>
          <w:szCs w:val="20"/>
        </w:rPr>
        <w:t>sport takřka k lyrickým metám.</w:t>
      </w:r>
    </w:p>
    <w:p w:rsidR="00500724" w:rsidRDefault="00F30FB8">
      <w:pPr>
        <w:pStyle w:val="Zkladntext30"/>
        <w:shd w:val="clear" w:color="auto" w:fill="auto"/>
        <w:spacing w:after="0" w:line="240" w:lineRule="auto"/>
        <w:ind w:firstLine="220"/>
        <w:rPr>
          <w:sz w:val="20"/>
          <w:szCs w:val="20"/>
        </w:rPr>
      </w:pPr>
      <w:r>
        <w:rPr>
          <w:i/>
          <w:iCs/>
          <w:sz w:val="20"/>
          <w:szCs w:val="20"/>
        </w:rPr>
        <w:t>Nerozřešenou záhadou zůstává sportovní funkce vod</w:t>
      </w:r>
      <w:r>
        <w:rPr>
          <w:i/>
          <w:iCs/>
          <w:sz w:val="20"/>
          <w:szCs w:val="20"/>
        </w:rPr>
        <w:softHyphen/>
        <w:t>ních paní, subtilních a bledých to bytostí, v zeleném průhledném šatě s hedvábnými, až po krk obnaženými pažemi, kterými obeplouvají kanoe a skify svobodných a dosud nesvedený</w:t>
      </w:r>
      <w:r>
        <w:rPr>
          <w:i/>
          <w:iCs/>
          <w:sz w:val="20"/>
          <w:szCs w:val="20"/>
        </w:rPr>
        <w:t>ch vodáků.</w:t>
      </w:r>
    </w:p>
    <w:p w:rsidR="00500724" w:rsidRDefault="00F30FB8">
      <w:pPr>
        <w:pStyle w:val="Zkladntext30"/>
        <w:numPr>
          <w:ilvl w:val="0"/>
          <w:numId w:val="48"/>
        </w:numPr>
        <w:shd w:val="clear" w:color="auto" w:fill="auto"/>
        <w:tabs>
          <w:tab w:val="left" w:pos="466"/>
        </w:tabs>
        <w:spacing w:after="0" w:line="240" w:lineRule="auto"/>
        <w:ind w:firstLine="220"/>
        <w:rPr>
          <w:sz w:val="20"/>
          <w:szCs w:val="20"/>
        </w:rPr>
      </w:pPr>
      <w:r>
        <w:rPr>
          <w:i/>
          <w:iCs/>
          <w:sz w:val="20"/>
          <w:szCs w:val="20"/>
        </w:rPr>
        <w:t>těžké atletice zůstane asi nepřekonaným jedinečný sílácký výkon Ctiborův, championa všech vah ze zápas</w:t>
      </w:r>
      <w:r>
        <w:rPr>
          <w:i/>
          <w:iCs/>
          <w:sz w:val="20"/>
          <w:szCs w:val="20"/>
        </w:rPr>
        <w:softHyphen/>
        <w:t>nické stáje pana Ryzmburského.</w:t>
      </w:r>
    </w:p>
    <w:p w:rsidR="00500724" w:rsidRDefault="00F30FB8">
      <w:pPr>
        <w:pStyle w:val="Zkladntext30"/>
        <w:shd w:val="clear" w:color="auto" w:fill="auto"/>
        <w:spacing w:after="0" w:line="240" w:lineRule="auto"/>
        <w:ind w:firstLine="220"/>
        <w:rPr>
          <w:sz w:val="20"/>
          <w:szCs w:val="20"/>
        </w:rPr>
      </w:pPr>
      <w:r>
        <w:rPr>
          <w:i/>
          <w:iCs/>
          <w:sz w:val="20"/>
          <w:szCs w:val="20"/>
        </w:rPr>
        <w:t>Ctibor, jsa ne příliš veliké, ale svalovité a složité po</w:t>
      </w:r>
      <w:r>
        <w:rPr>
          <w:i/>
          <w:iCs/>
          <w:sz w:val="20"/>
          <w:szCs w:val="20"/>
        </w:rPr>
        <w:softHyphen/>
        <w:t>stavy, vykořenil trhem košatou jedli i s pařezem. Bohu</w:t>
      </w:r>
      <w:r>
        <w:rPr>
          <w:i/>
          <w:iCs/>
          <w:sz w:val="20"/>
          <w:szCs w:val="20"/>
        </w:rPr>
        <w:softHyphen/>
        <w:t>žel nedochovalo se, zda svůj výkon podal pravoruč, levo- ruč či soupažně, zda startoval ve váze pérové, rvelterové, střední, lehké, polotěžké, ba či dokonce bantamové? Právě všechny tylo zámlky a opominutí pohádkářů činí nám tak těžké správné technické oz</w:t>
      </w:r>
      <w:r>
        <w:rPr>
          <w:i/>
          <w:iCs/>
          <w:sz w:val="20"/>
          <w:szCs w:val="20"/>
        </w:rPr>
        <w:t>načení a zařádění pohádkových sportovních výkonů, které by i dnes ne</w:t>
      </w:r>
      <w:r>
        <w:rPr>
          <w:i/>
          <w:iCs/>
          <w:sz w:val="20"/>
          <w:szCs w:val="20"/>
        </w:rPr>
        <w:softHyphen/>
        <w:t>sporně vzbudily úžas a obdiv celého civilisovaného světa pro sportovní tradici Protektorátu.</w:t>
      </w:r>
    </w:p>
    <w:p w:rsidR="00500724" w:rsidRDefault="00F30FB8">
      <w:pPr>
        <w:pStyle w:val="Zkladntext30"/>
        <w:shd w:val="clear" w:color="auto" w:fill="auto"/>
        <w:spacing w:after="0" w:line="240" w:lineRule="auto"/>
        <w:ind w:firstLine="220"/>
        <w:rPr>
          <w:sz w:val="20"/>
          <w:szCs w:val="20"/>
        </w:rPr>
      </w:pPr>
      <w:r>
        <w:rPr>
          <w:i/>
          <w:iCs/>
          <w:sz w:val="20"/>
          <w:szCs w:val="20"/>
        </w:rPr>
        <w:t>Rozhodně je však míti za to, že se Ctibor, dík své bez</w:t>
      </w:r>
      <w:r>
        <w:rPr>
          <w:i/>
          <w:iCs/>
          <w:sz w:val="20"/>
          <w:szCs w:val="20"/>
        </w:rPr>
        <w:softHyphen/>
        <w:t>vadné životosprávě (jeho oběd skládal s</w:t>
      </w:r>
      <w:r>
        <w:rPr>
          <w:i/>
          <w:iCs/>
          <w:sz w:val="20"/>
          <w:szCs w:val="20"/>
        </w:rPr>
        <w:t>e z dvou pytlů hrachu, několika uzených kýt a vědra vína), těšil lepší tělesné kondici než kterýkoliv z nejlépe situovaných borců mistrovského A. F. K. Stráže bezpečnosti, Vino</w:t>
      </w:r>
      <w:r>
        <w:rPr>
          <w:i/>
          <w:iCs/>
          <w:sz w:val="20"/>
          <w:szCs w:val="20"/>
        </w:rPr>
        <w:softHyphen/>
        <w:t>hrady.</w:t>
      </w:r>
    </w:p>
    <w:p w:rsidR="00500724" w:rsidRDefault="00F30FB8">
      <w:pPr>
        <w:pStyle w:val="Zkladntext30"/>
        <w:shd w:val="clear" w:color="auto" w:fill="auto"/>
        <w:spacing w:after="0" w:line="240" w:lineRule="auto"/>
        <w:ind w:firstLine="220"/>
        <w:rPr>
          <w:sz w:val="20"/>
          <w:szCs w:val="20"/>
        </w:rPr>
      </w:pPr>
      <w:r>
        <w:rPr>
          <w:i/>
          <w:iCs/>
          <w:sz w:val="20"/>
          <w:szCs w:val="20"/>
        </w:rPr>
        <w:t>Stejně nepodařilo se do dnešního dne zjistit, co za po</w:t>
      </w:r>
      <w:r>
        <w:rPr>
          <w:i/>
          <w:iCs/>
          <w:sz w:val="20"/>
          <w:szCs w:val="20"/>
        </w:rPr>
        <w:softHyphen/>
        <w:t>divnou míčovou hr</w:t>
      </w:r>
      <w:r>
        <w:rPr>
          <w:i/>
          <w:iCs/>
          <w:sz w:val="20"/>
          <w:szCs w:val="20"/>
        </w:rPr>
        <w:t>u hrávají osamělé královské princez</w:t>
      </w:r>
      <w:r>
        <w:rPr>
          <w:i/>
          <w:iCs/>
          <w:sz w:val="20"/>
          <w:szCs w:val="20"/>
        </w:rPr>
        <w:softHyphen/>
        <w:t>ny se zlatým balónkem kolem studánek v zámeckém parčíku. Myslím, že ani babičky-pohádkářky nejsou si v této příčině ještě zcela zajedno, zdali jde o anglický lamn-tennis, golf, házenou, pinkec, odbíjenou, vollej, košíkov</w:t>
      </w:r>
      <w:r>
        <w:rPr>
          <w:i/>
          <w:iCs/>
          <w:sz w:val="20"/>
          <w:szCs w:val="20"/>
        </w:rPr>
        <w:t>ou, fauslbal, přes motouz či obyčejnou i školku* a z chytni ho*. Fakt je jen ten, že královské princezny zlatý míček nechytí, že jim upadá se zákonitou pravi</w:t>
      </w:r>
      <w:r>
        <w:rPr>
          <w:i/>
          <w:iCs/>
          <w:sz w:val="20"/>
          <w:szCs w:val="20"/>
        </w:rPr>
        <w:softHyphen/>
        <w:t>delností do hluboké studánky. Z této prekérní situace zachraňují jej pak, na princeznin zoufalý pl</w:t>
      </w:r>
      <w:r>
        <w:rPr>
          <w:i/>
          <w:iCs/>
          <w:sz w:val="20"/>
          <w:szCs w:val="20"/>
        </w:rPr>
        <w:t>áč, oškliví žal ci, se kterými jsou královské princezny za odměnu ochotny sdílet svá panenská lože, dobře tušíce, že nejde o žádné ošklivé žabáky, ale o zkoušku a o v ropuchy za</w:t>
      </w:r>
      <w:r>
        <w:rPr>
          <w:i/>
          <w:iCs/>
          <w:sz w:val="20"/>
          <w:szCs w:val="20"/>
        </w:rPr>
        <w:softHyphen/>
        <w:t>kleté vládnoucí prince.</w:t>
      </w:r>
    </w:p>
    <w:p w:rsidR="00500724" w:rsidRDefault="00F30FB8">
      <w:pPr>
        <w:pStyle w:val="Zkladntext30"/>
        <w:shd w:val="clear" w:color="auto" w:fill="auto"/>
        <w:spacing w:after="0" w:line="240" w:lineRule="auto"/>
        <w:ind w:firstLine="220"/>
        <w:rPr>
          <w:sz w:val="20"/>
          <w:szCs w:val="20"/>
        </w:rPr>
      </w:pPr>
      <w:r>
        <w:rPr>
          <w:i/>
          <w:iCs/>
          <w:sz w:val="20"/>
          <w:szCs w:val="20"/>
        </w:rPr>
        <w:t xml:space="preserve">Sport rohovnický, zápas ve volném stylu </w:t>
      </w:r>
      <w:r>
        <w:rPr>
          <w:i/>
          <w:iCs/>
          <w:sz w:val="20"/>
          <w:szCs w:val="20"/>
          <w:lang w:val="en-US" w:eastAsia="en-US" w:bidi="en-US"/>
        </w:rPr>
        <w:t xml:space="preserve">catch </w:t>
      </w:r>
      <w:r>
        <w:rPr>
          <w:i/>
          <w:iCs/>
          <w:sz w:val="20"/>
          <w:szCs w:val="20"/>
        </w:rPr>
        <w:t xml:space="preserve">as </w:t>
      </w:r>
      <w:r>
        <w:rPr>
          <w:i/>
          <w:iCs/>
          <w:sz w:val="20"/>
          <w:szCs w:val="20"/>
          <w:lang w:val="en-US" w:eastAsia="en-US" w:bidi="en-US"/>
        </w:rPr>
        <w:t>catch</w:t>
      </w:r>
      <w:r>
        <w:rPr>
          <w:i/>
          <w:iCs/>
          <w:sz w:val="20"/>
          <w:szCs w:val="20"/>
          <w:lang w:val="en-US" w:eastAsia="en-US" w:bidi="en-US"/>
        </w:rPr>
        <w:t xml:space="preserve"> can, jiu-jitsu a box </w:t>
      </w:r>
      <w:r>
        <w:rPr>
          <w:i/>
          <w:iCs/>
          <w:sz w:val="20"/>
          <w:szCs w:val="20"/>
        </w:rPr>
        <w:t>zůstává vyhrazen kováři a sil</w:t>
      </w:r>
      <w:r>
        <w:rPr>
          <w:i/>
          <w:iCs/>
          <w:sz w:val="20"/>
          <w:szCs w:val="20"/>
        </w:rPr>
        <w:softHyphen/>
        <w:t>nému Mikeši. Nastupují proti za mysliveckého mláde- nečka či kostlivce přestrojenému čertu a Belzebubovi. Zatím co kostlivec dostává strašně perlíkem nabitou hubu, jest silný Mikeš povyšován do stavu šlec</w:t>
      </w:r>
      <w:r>
        <w:rPr>
          <w:i/>
          <w:iCs/>
          <w:sz w:val="20"/>
          <w:szCs w:val="20"/>
        </w:rPr>
        <w:t>htického, vybavován půl královstvím včetně smutné princezny, jejíž smutek od toho okamžiku mizí a přechází na sil</w:t>
      </w:r>
      <w:r>
        <w:rPr>
          <w:i/>
          <w:iCs/>
          <w:sz w:val="20"/>
          <w:szCs w:val="20"/>
        </w:rPr>
        <w:softHyphen/>
        <w:t>ného Mikeše.</w:t>
      </w:r>
    </w:p>
    <w:p w:rsidR="00500724" w:rsidRDefault="00F30FB8">
      <w:pPr>
        <w:pStyle w:val="Zkladntext30"/>
        <w:shd w:val="clear" w:color="auto" w:fill="auto"/>
        <w:spacing w:after="0" w:line="240" w:lineRule="auto"/>
        <w:ind w:firstLine="220"/>
        <w:rPr>
          <w:sz w:val="20"/>
          <w:szCs w:val="20"/>
        </w:rPr>
      </w:pPr>
      <w:r>
        <w:rPr>
          <w:i/>
          <w:iCs/>
          <w:sz w:val="20"/>
          <w:szCs w:val="20"/>
        </w:rPr>
        <w:t>Sportovní plachtění a letecká akrobacie spadají do kompetence čarodějnic a Ježibab. Na svých bezmotoro</w:t>
      </w:r>
      <w:r>
        <w:rPr>
          <w:i/>
          <w:iCs/>
          <w:sz w:val="20"/>
          <w:szCs w:val="20"/>
        </w:rPr>
        <w:softHyphen/>
        <w:t>vých jednomístných dopravn</w:t>
      </w:r>
      <w:r>
        <w:rPr>
          <w:i/>
          <w:iCs/>
          <w:sz w:val="20"/>
          <w:szCs w:val="20"/>
        </w:rPr>
        <w:t>ích a stíhacích letounech typ Ko - Stě dosahují pozoruhodných výšek a kilo</w:t>
      </w:r>
      <w:r>
        <w:rPr>
          <w:i/>
          <w:iCs/>
          <w:sz w:val="20"/>
          <w:szCs w:val="20"/>
        </w:rPr>
        <w:softHyphen/>
        <w:t>metrových rychlostí.</w:t>
      </w:r>
    </w:p>
    <w:p w:rsidR="00500724" w:rsidRDefault="00F30FB8">
      <w:pPr>
        <w:pStyle w:val="Zkladntext30"/>
        <w:shd w:val="clear" w:color="auto" w:fill="auto"/>
        <w:spacing w:after="0" w:line="240" w:lineRule="auto"/>
        <w:ind w:firstLine="220"/>
        <w:rPr>
          <w:sz w:val="20"/>
          <w:szCs w:val="20"/>
        </w:rPr>
      </w:pPr>
      <w:r>
        <w:rPr>
          <w:i/>
          <w:iCs/>
          <w:sz w:val="20"/>
          <w:szCs w:val="20"/>
        </w:rPr>
        <w:t xml:space="preserve">Vzhledem k tomu, že všechny naše rekordy v letectví drží od roku 1933 pí. M. Ferraris-Kohnová, bylo </w:t>
      </w:r>
      <w:r>
        <w:rPr>
          <w:i/>
          <w:iCs/>
          <w:sz w:val="18"/>
          <w:szCs w:val="18"/>
        </w:rPr>
        <w:t xml:space="preserve">by </w:t>
      </w:r>
      <w:r>
        <w:rPr>
          <w:i/>
          <w:iCs/>
          <w:sz w:val="20"/>
          <w:szCs w:val="20"/>
        </w:rPr>
        <w:t>za</w:t>
      </w:r>
      <w:r>
        <w:rPr>
          <w:i/>
          <w:iCs/>
          <w:sz w:val="20"/>
          <w:szCs w:val="20"/>
        </w:rPr>
        <w:softHyphen/>
        <w:t>jisté na místě zjednat i v tom nápravu ve prospěch Jež</w:t>
      </w:r>
      <w:r>
        <w:rPr>
          <w:i/>
          <w:iCs/>
          <w:sz w:val="20"/>
          <w:szCs w:val="20"/>
        </w:rPr>
        <w:t>ibab.</w:t>
      </w:r>
    </w:p>
    <w:p w:rsidR="00500724" w:rsidRDefault="00F30FB8">
      <w:pPr>
        <w:pStyle w:val="Zkladntext30"/>
        <w:shd w:val="clear" w:color="auto" w:fill="auto"/>
        <w:spacing w:after="0" w:line="240" w:lineRule="auto"/>
        <w:ind w:firstLine="220"/>
        <w:rPr>
          <w:sz w:val="20"/>
          <w:szCs w:val="20"/>
        </w:rPr>
      </w:pPr>
      <w:r>
        <w:rPr>
          <w:i/>
          <w:iCs/>
          <w:sz w:val="20"/>
          <w:szCs w:val="20"/>
        </w:rPr>
        <w:t>Ostatně výmluvným dokladem o tom, že ani taková Sibyla nepřistáná a nestartuje vždy hladce a že 'dnes ani světem prošlá a zapracovaná vědma neví, co nás zítra čeká a co nás nemine, je staré pořekadlo.</w:t>
      </w:r>
    </w:p>
    <w:p w:rsidR="00500724" w:rsidRDefault="00F30FB8">
      <w:pPr>
        <w:pStyle w:val="Zkladntext30"/>
        <w:shd w:val="clear" w:color="auto" w:fill="auto"/>
        <w:spacing w:after="0" w:line="240" w:lineRule="auto"/>
        <w:ind w:left="1540" w:firstLine="0"/>
        <w:jc w:val="left"/>
        <w:rPr>
          <w:sz w:val="20"/>
          <w:szCs w:val="20"/>
        </w:rPr>
      </w:pPr>
      <w:r>
        <w:rPr>
          <w:i/>
          <w:iCs/>
          <w:sz w:val="20"/>
          <w:szCs w:val="20"/>
        </w:rPr>
        <w:t>Amen, amen,</w:t>
      </w:r>
    </w:p>
    <w:p w:rsidR="00500724" w:rsidRDefault="00F30FB8">
      <w:pPr>
        <w:pStyle w:val="Zkladntext30"/>
        <w:shd w:val="clear" w:color="auto" w:fill="auto"/>
        <w:spacing w:after="0" w:line="240" w:lineRule="auto"/>
        <w:ind w:left="1540" w:firstLine="0"/>
        <w:jc w:val="left"/>
        <w:rPr>
          <w:sz w:val="20"/>
          <w:szCs w:val="20"/>
        </w:rPr>
      </w:pPr>
      <w:r>
        <w:rPr>
          <w:i/>
          <w:iCs/>
          <w:sz w:val="20"/>
          <w:szCs w:val="20"/>
        </w:rPr>
        <w:t>baba spadla s kamen.</w:t>
      </w:r>
    </w:p>
    <w:p w:rsidR="00500724" w:rsidRDefault="00F30FB8">
      <w:pPr>
        <w:pStyle w:val="Zkladntext30"/>
        <w:shd w:val="clear" w:color="auto" w:fill="auto"/>
        <w:spacing w:after="480" w:line="240" w:lineRule="auto"/>
        <w:ind w:firstLine="220"/>
        <w:rPr>
          <w:sz w:val="20"/>
          <w:szCs w:val="20"/>
        </w:rPr>
      </w:pPr>
      <w:r>
        <w:rPr>
          <w:i/>
          <w:iCs/>
          <w:sz w:val="20"/>
          <w:szCs w:val="20"/>
        </w:rPr>
        <w:t>Jinak by tam pře</w:t>
      </w:r>
      <w:r>
        <w:rPr>
          <w:i/>
          <w:iCs/>
          <w:sz w:val="20"/>
          <w:szCs w:val="20"/>
        </w:rPr>
        <w:t>ce nelezla.</w:t>
      </w:r>
    </w:p>
    <w:p w:rsidR="00500724" w:rsidRDefault="00F30FB8">
      <w:pPr>
        <w:pStyle w:val="Jin0"/>
        <w:pBdr>
          <w:bottom w:val="single" w:sz="4" w:space="0" w:color="auto"/>
        </w:pBdr>
        <w:shd w:val="clear" w:color="auto" w:fill="auto"/>
        <w:spacing w:after="360"/>
        <w:ind w:firstLine="0"/>
        <w:jc w:val="left"/>
        <w:rPr>
          <w:sz w:val="44"/>
          <w:szCs w:val="44"/>
        </w:rPr>
      </w:pPr>
      <w:r>
        <w:rPr>
          <w:b/>
          <w:bCs/>
          <w:sz w:val="44"/>
          <w:szCs w:val="44"/>
        </w:rPr>
        <w:t>dopisy</w:t>
      </w:r>
    </w:p>
    <w:p w:rsidR="00500724" w:rsidRDefault="00F30FB8">
      <w:pPr>
        <w:pStyle w:val="Zkladntext100"/>
        <w:shd w:val="clear" w:color="auto" w:fill="auto"/>
        <w:spacing w:after="60" w:line="228" w:lineRule="auto"/>
        <w:ind w:firstLine="0"/>
        <w:jc w:val="center"/>
      </w:pPr>
      <w:r>
        <w:rPr>
          <w:b/>
          <w:bCs/>
        </w:rPr>
        <w:t>Co iiádají Němci od Cechů</w:t>
      </w:r>
    </w:p>
    <w:p w:rsidR="00500724" w:rsidRDefault="00F30FB8">
      <w:pPr>
        <w:pStyle w:val="Zkladntext100"/>
        <w:shd w:val="clear" w:color="auto" w:fill="auto"/>
        <w:spacing w:after="60" w:line="216" w:lineRule="auto"/>
        <w:ind w:right="200" w:firstLine="0"/>
        <w:jc w:val="right"/>
        <w:rPr>
          <w:sz w:val="19"/>
          <w:szCs w:val="19"/>
        </w:rPr>
      </w:pPr>
      <w:r>
        <w:rPr>
          <w:b/>
          <w:bCs/>
          <w:sz w:val="19"/>
          <w:szCs w:val="19"/>
        </w:rPr>
        <w:t>Plzeň 15. dubna 1939</w:t>
      </w:r>
    </w:p>
    <w:p w:rsidR="00500724" w:rsidRDefault="00F30FB8">
      <w:pPr>
        <w:pStyle w:val="Zkladntext100"/>
        <w:shd w:val="clear" w:color="auto" w:fill="auto"/>
        <w:spacing w:line="216" w:lineRule="auto"/>
        <w:ind w:left="900" w:firstLine="0"/>
        <w:jc w:val="left"/>
        <w:rPr>
          <w:sz w:val="19"/>
          <w:szCs w:val="19"/>
        </w:rPr>
      </w:pPr>
      <w:r>
        <w:rPr>
          <w:b/>
          <w:bCs/>
          <w:sz w:val="19"/>
          <w:szCs w:val="19"/>
        </w:rPr>
        <w:t>Pane Němče,</w:t>
      </w:r>
    </w:p>
    <w:p w:rsidR="00500724" w:rsidRDefault="00F30FB8">
      <w:pPr>
        <w:pStyle w:val="Zkladntext100"/>
        <w:shd w:val="clear" w:color="auto" w:fill="auto"/>
        <w:spacing w:after="60" w:line="228" w:lineRule="auto"/>
        <w:ind w:firstLine="0"/>
      </w:pPr>
      <w:r>
        <w:t xml:space="preserve">snad pan redaktor uveřejní můj úsudek o Vašem článku v 15. č. »Přítomnosti«. Přijměte můj dopis jako od člověka, který jako velká většina našeho národa váží sl německého národa, </w:t>
      </w:r>
      <w:r>
        <w:t>poněvadž jsem dalek nějakého národního šovinismu.</w:t>
      </w:r>
    </w:p>
    <w:p w:rsidR="00500724" w:rsidRDefault="00F30FB8">
      <w:pPr>
        <w:pStyle w:val="Zkladntext100"/>
        <w:shd w:val="clear" w:color="auto" w:fill="auto"/>
        <w:spacing w:after="60" w:line="228" w:lineRule="auto"/>
        <w:ind w:firstLine="300"/>
      </w:pPr>
      <w:r>
        <w:t>Křivdíte T. G. Masarykovi, poněvadž on za Mnichov ne</w:t>
      </w:r>
      <w:r>
        <w:softHyphen/>
        <w:t xml:space="preserve">může. Vzpomínku na T. G. M. zachováme, a snad víte, že po obsazení Sudet němečtí říští činitelé dovolili, aby obraz jeho visel ve veřejné místnosti, kde </w:t>
      </w:r>
      <w:r>
        <w:t>se scházejí Češi.</w:t>
      </w:r>
    </w:p>
    <w:p w:rsidR="00500724" w:rsidRDefault="00F30FB8">
      <w:pPr>
        <w:pStyle w:val="Zkladntext100"/>
        <w:shd w:val="clear" w:color="auto" w:fill="auto"/>
        <w:spacing w:after="60" w:line="240" w:lineRule="auto"/>
        <w:ind w:firstLine="300"/>
      </w:pPr>
      <w:r>
        <w:t>Nikterak neviníme Vás z naší národní tragedie, nýbrž naše spojence. Ze jsme plnili závazek v spojenecké smlouvě, není nečestné.</w:t>
      </w:r>
    </w:p>
    <w:p w:rsidR="00500724" w:rsidRDefault="00F30FB8">
      <w:pPr>
        <w:pStyle w:val="Zkladntext100"/>
        <w:shd w:val="clear" w:color="auto" w:fill="auto"/>
        <w:spacing w:after="60" w:line="226" w:lineRule="auto"/>
        <w:ind w:firstLine="300"/>
      </w:pPr>
      <w:r>
        <w:t>Vyčítáte nám Wilsona a Denise; oba mrtví. Wilsonova myšlenka byla dobrá (sebeurčení — na jeho základě byl udě</w:t>
      </w:r>
      <w:r>
        <w:softHyphen/>
      </w:r>
      <w:r>
        <w:t>lán také mnichovský mír) a nebyl to on, kdo ji změnil. Ani dnes se nedbá Wilsonových zásad. Denis byl historik a ne po</w:t>
      </w:r>
      <w:r>
        <w:softHyphen/>
        <w:t>litik. Jest u nás proto v úctě, že on — cizinec — stal se ob</w:t>
      </w:r>
      <w:r>
        <w:softHyphen/>
        <w:t>jektivním následovníkem našeho historika Palackého. Jest Vám jistě známo, že</w:t>
      </w:r>
      <w:r>
        <w:t xml:space="preserve"> jsou u nás pojmenována veřejná pro</w:t>
      </w:r>
      <w:r>
        <w:softHyphen/>
        <w:t>stranství I po Němcích a dokonce 1 jejich památky jsou pečli</w:t>
      </w:r>
      <w:r>
        <w:softHyphen/>
        <w:t>vě z naších peněz ošetřovány.</w:t>
      </w:r>
    </w:p>
    <w:p w:rsidR="00500724" w:rsidRDefault="00F30FB8">
      <w:pPr>
        <w:pStyle w:val="Zkladntext100"/>
        <w:shd w:val="clear" w:color="auto" w:fill="auto"/>
        <w:spacing w:after="60" w:line="228" w:lineRule="auto"/>
        <w:ind w:firstLine="300"/>
      </w:pPr>
      <w:r>
        <w:t xml:space="preserve">Uznáváte naši všestrannou vyspělost </w:t>
      </w:r>
      <w:r>
        <w:rPr>
          <w:b/>
          <w:bCs/>
        </w:rPr>
        <w:t xml:space="preserve">a </w:t>
      </w:r>
      <w:r>
        <w:t>imponuje Vám kázeft, kterou náš národ projevil od Mnichova až po dnešní dny. Ale oproti Vám</w:t>
      </w:r>
      <w:r>
        <w:t xml:space="preserve"> oficiální německé noviny přiznávají naší snahu všemožně spolupracovat pro soužití obou národů,’ což Vy nám upíráte.</w:t>
      </w:r>
    </w:p>
    <w:p w:rsidR="00500724" w:rsidRDefault="00F30FB8">
      <w:pPr>
        <w:pStyle w:val="Zkladntext100"/>
        <w:shd w:val="clear" w:color="auto" w:fill="auto"/>
        <w:spacing w:after="60" w:line="226" w:lineRule="auto"/>
        <w:ind w:firstLine="300"/>
      </w:pPr>
      <w:r>
        <w:t>Výnos o Protektorátu jest rámcový, a teprve až budou vy</w:t>
      </w:r>
      <w:r>
        <w:softHyphen/>
        <w:t xml:space="preserve">pracována podrobná ustanovení, budeme vědět, na co máme právo </w:t>
      </w:r>
      <w:r>
        <w:rPr>
          <w:b/>
          <w:bCs/>
        </w:rPr>
        <w:t xml:space="preserve">a </w:t>
      </w:r>
      <w:r>
        <w:t xml:space="preserve">jaké jsou naše </w:t>
      </w:r>
      <w:r>
        <w:t>povinností. Proto jsme všichni vítali příjezd svob. p. von Neuratha.</w:t>
      </w:r>
    </w:p>
    <w:p w:rsidR="00500724" w:rsidRDefault="00F30FB8">
      <w:pPr>
        <w:pStyle w:val="Zkladntext100"/>
        <w:shd w:val="clear" w:color="auto" w:fill="auto"/>
        <w:spacing w:after="60" w:line="223" w:lineRule="auto"/>
        <w:ind w:firstLine="300"/>
      </w:pPr>
      <w:r>
        <w:t xml:space="preserve">Jest nutno, abyste také vzpomněl, že povaha Vaše a naše jest velice rozdílná. Již naše výchova ’est odlišná od Vaší </w:t>
      </w:r>
      <w:r>
        <w:rPr>
          <w:b/>
          <w:bCs/>
        </w:rPr>
        <w:t xml:space="preserve">a </w:t>
      </w:r>
      <w:r>
        <w:t>proto nutno na ni vžiti zřetel. Na vše se díváte jako Němec; vžijte s</w:t>
      </w:r>
      <w:r>
        <w:t>e do naší situace a budete-li spravedlivý, uznáte, že to, co prožil náš národ od Mnichova, neprožil ještě žádný. Každá hodina nám přinášela bolestný úder a nervy národa to vy</w:t>
      </w:r>
      <w:r>
        <w:softHyphen/>
        <w:t>držely.</w:t>
      </w:r>
    </w:p>
    <w:p w:rsidR="00500724" w:rsidRDefault="00F30FB8">
      <w:pPr>
        <w:pStyle w:val="Zkladntext100"/>
        <w:shd w:val="clear" w:color="auto" w:fill="auto"/>
        <w:tabs>
          <w:tab w:val="left" w:pos="3744"/>
        </w:tabs>
        <w:spacing w:after="440" w:line="221" w:lineRule="auto"/>
        <w:ind w:firstLine="300"/>
      </w:pPr>
      <w:r>
        <w:t>Chceme v klidu pracovat a 1 nadále národnostně a hospo</w:t>
      </w:r>
      <w:r>
        <w:softHyphen/>
        <w:t>dářsky se rozvíjet</w:t>
      </w:r>
      <w:r>
        <w:t xml:space="preserve"> v předpokladu, že nejen Vy, ale 1 Vaší kra</w:t>
      </w:r>
      <w:r>
        <w:softHyphen/>
        <w:t xml:space="preserve">jané </w:t>
      </w:r>
      <w:r>
        <w:rPr>
          <w:rFonts w:ascii="Arial" w:eastAsia="Arial" w:hAnsi="Arial" w:cs="Arial"/>
          <w:b/>
          <w:bCs/>
          <w:sz w:val="17"/>
          <w:szCs w:val="17"/>
        </w:rPr>
        <w:t xml:space="preserve">v </w:t>
      </w:r>
      <w:r>
        <w:t>Říší budou na nás pohlížet jako na rovnocenné spolu</w:t>
      </w:r>
      <w:r>
        <w:softHyphen/>
        <w:t>občany, mluvící jiným jazykem, ale kteří jsou duševně i tělesně vyspělí tak, jak příslušnicí německého národa. Stane-11 se tak, máte naší úplnou loyalitu</w:t>
      </w:r>
      <w:r>
        <w:t xml:space="preserve"> zajištěnu.</w:t>
      </w:r>
      <w:r>
        <w:tab/>
        <w:t>Václav Holub</w:t>
      </w:r>
    </w:p>
    <w:p w:rsidR="00500724" w:rsidRDefault="00F30FB8">
      <w:pPr>
        <w:pStyle w:val="Zkladntext100"/>
        <w:shd w:val="clear" w:color="auto" w:fill="auto"/>
        <w:spacing w:after="160" w:line="223" w:lineRule="auto"/>
        <w:ind w:left="900" w:firstLine="0"/>
        <w:jc w:val="left"/>
      </w:pPr>
      <w:r>
        <w:t>Milý pane Peroutko,</w:t>
      </w:r>
    </w:p>
    <w:p w:rsidR="00500724" w:rsidRDefault="00F30FB8">
      <w:pPr>
        <w:pStyle w:val="Zkladntext100"/>
        <w:shd w:val="clear" w:color="auto" w:fill="auto"/>
        <w:spacing w:after="60" w:line="240" w:lineRule="auto"/>
        <w:ind w:firstLine="0"/>
      </w:pPr>
      <w:r>
        <w:t xml:space="preserve">hodí-11 </w:t>
      </w:r>
      <w:r>
        <w:rPr>
          <w:rFonts w:ascii="Arial" w:eastAsia="Arial" w:hAnsi="Arial" w:cs="Arial"/>
          <w:b/>
          <w:bCs/>
          <w:sz w:val="17"/>
          <w:szCs w:val="17"/>
        </w:rPr>
        <w:t xml:space="preserve">se </w:t>
      </w:r>
      <w:r>
        <w:t xml:space="preserve">Vám, otiskněte těchto několik poznámek k článku Co </w:t>
      </w:r>
      <w:r>
        <w:rPr>
          <w:b/>
          <w:bCs/>
        </w:rPr>
        <w:t xml:space="preserve">Němci </w:t>
      </w:r>
      <w:r>
        <w:t>očekávají od Čechů.</w:t>
      </w:r>
    </w:p>
    <w:p w:rsidR="00500724" w:rsidRDefault="00F30FB8">
      <w:pPr>
        <w:pStyle w:val="Zkladntext100"/>
        <w:shd w:val="clear" w:color="auto" w:fill="auto"/>
        <w:spacing w:after="60" w:line="223" w:lineRule="auto"/>
        <w:ind w:firstLine="300"/>
      </w:pPr>
      <w:r>
        <w:t xml:space="preserve">Jsem hluboce přesvědčen stejně dnes, jako jsem byl vždy o dobré vůli Čechů po dobrém soužití a porozumění </w:t>
      </w:r>
      <w:r>
        <w:rPr>
          <w:b/>
          <w:bCs/>
        </w:rPr>
        <w:t xml:space="preserve">s </w:t>
      </w:r>
      <w:r>
        <w:t xml:space="preserve">Němci, nebof </w:t>
      </w:r>
      <w:r>
        <w:t>tato dobrá vůle byla vždy rozhodující většinou národa viditelně prokazována. Češi jsou také dostatečně realističtí, aby viděli, že žádný zázrak neodčini jejich sousedství s Němci a že je tudíž první jejich povinností domluvit se se sousedem. Také Masaryk n</w:t>
      </w:r>
      <w:r>
        <w:t>eopomněl jediné příležitosti, aby nám nezdů</w:t>
      </w:r>
      <w:r>
        <w:softHyphen/>
        <w:t>razňoval, že s dorozuměním a dohodou nutno začít u sou</w:t>
      </w:r>
      <w:r>
        <w:softHyphen/>
        <w:t xml:space="preserve">seda. K dohodě je ovšem třeba dvou, aby to byla dohoda </w:t>
      </w:r>
      <w:r>
        <w:rPr>
          <w:b/>
          <w:bCs/>
        </w:rPr>
        <w:t xml:space="preserve">a </w:t>
      </w:r>
      <w:r>
        <w:t>jsem přesvědčen, že Češi neopominou ničeho, aby prokázali dobrou vůli — ani v drobnostech ne — čehož</w:t>
      </w:r>
      <w:r>
        <w:t xml:space="preserve"> důkazem je také otištění článku Němce ze Sudet </w:t>
      </w:r>
      <w:r>
        <w:rPr>
          <w:b/>
          <w:bCs/>
        </w:rPr>
        <w:t xml:space="preserve">v </w:t>
      </w:r>
      <w:r>
        <w:t>této revui. článku, ve kterém je několik vážných omylů.</w:t>
      </w:r>
    </w:p>
    <w:p w:rsidR="00500724" w:rsidRDefault="00F30FB8">
      <w:pPr>
        <w:pStyle w:val="Zkladntext100"/>
        <w:shd w:val="clear" w:color="auto" w:fill="auto"/>
        <w:spacing w:after="60" w:line="218" w:lineRule="auto"/>
        <w:ind w:firstLine="300"/>
      </w:pPr>
      <w:r>
        <w:t>Pisatel říká, že neni »ani politikem, ani důležitým novi</w:t>
      </w:r>
      <w:r>
        <w:softHyphen/>
        <w:t>nářem* a možná, že právě toto je snad chyba. Pisatel těchto řádků není taktéž politikem ani n</w:t>
      </w:r>
      <w:r>
        <w:t>ovinářem a píše-li. píše až pak, když povolaní odborníci mlčí.</w:t>
      </w:r>
    </w:p>
    <w:p w:rsidR="00500724" w:rsidRDefault="00F30FB8">
      <w:pPr>
        <w:pStyle w:val="Zkladntext100"/>
        <w:shd w:val="clear" w:color="auto" w:fill="auto"/>
        <w:spacing w:line="226" w:lineRule="auto"/>
        <w:ind w:firstLine="300"/>
      </w:pPr>
      <w:r>
        <w:t>Nejzávažnější je mylné tvrzeni, že Češi nedovedli nikdy státně myslit a že jejich »státnl experimenty* končily vždy nešťastně. Nedovedli dělat stát Přemyslovci, císař Karel IV., Jiřík z Poděbra</w:t>
      </w:r>
      <w:r>
        <w:t xml:space="preserve">d atd? Dovedli to dobře </w:t>
      </w:r>
      <w:r>
        <w:rPr>
          <w:b/>
          <w:bCs/>
        </w:rPr>
        <w:t xml:space="preserve">a </w:t>
      </w:r>
      <w:r>
        <w:t xml:space="preserve">Němci to dobře vědí. Ztroskotal-li kdy český stát, ztroskotal podle všech </w:t>
      </w:r>
      <w:r>
        <w:rPr>
          <w:b/>
          <w:bCs/>
        </w:rPr>
        <w:t xml:space="preserve">pra- </w:t>
      </w:r>
      <w:r>
        <w:t>t</w:t>
      </w:r>
    </w:p>
    <w:p w:rsidR="00500724" w:rsidRDefault="00F30FB8">
      <w:pPr>
        <w:pStyle w:val="Zkladntext100"/>
        <w:shd w:val="clear" w:color="auto" w:fill="auto"/>
        <w:spacing w:line="228" w:lineRule="auto"/>
        <w:ind w:firstLine="0"/>
      </w:pPr>
      <w:r>
        <w:t xml:space="preserve">videi válečné prohry a své malostí, tak, jak se </w:t>
      </w:r>
      <w:r>
        <w:rPr>
          <w:rFonts w:ascii="Arial" w:eastAsia="Arial" w:hAnsi="Arial" w:cs="Arial"/>
          <w:b/>
          <w:bCs/>
          <w:sz w:val="17"/>
          <w:szCs w:val="17"/>
        </w:rPr>
        <w:t xml:space="preserve">může </w:t>
      </w:r>
      <w:r>
        <w:t>stát každému, a ne, že by Češi nedovedli dělat stát.</w:t>
      </w:r>
    </w:p>
    <w:p w:rsidR="00500724" w:rsidRDefault="00F30FB8">
      <w:pPr>
        <w:pStyle w:val="Zkladntext100"/>
        <w:shd w:val="clear" w:color="auto" w:fill="auto"/>
        <w:spacing w:line="223" w:lineRule="auto"/>
        <w:ind w:firstLine="300"/>
      </w:pPr>
      <w:r>
        <w:t xml:space="preserve">Další neznalost faktů je, jako by Masaryk </w:t>
      </w:r>
      <w:r>
        <w:rPr>
          <w:b/>
          <w:bCs/>
        </w:rPr>
        <w:t xml:space="preserve">si </w:t>
      </w:r>
      <w:r>
        <w:t xml:space="preserve">byl </w:t>
      </w:r>
      <w:r>
        <w:rPr>
          <w:b/>
          <w:bCs/>
        </w:rPr>
        <w:t xml:space="preserve">sám </w:t>
      </w:r>
      <w:r>
        <w:t>vy</w:t>
      </w:r>
      <w:r>
        <w:softHyphen/>
        <w:t xml:space="preserve">tvořil stát. Masaryk dělal jen to, co dělal celý národ </w:t>
      </w:r>
      <w:r>
        <w:rPr>
          <w:b/>
          <w:bCs/>
        </w:rPr>
        <w:t xml:space="preserve">a </w:t>
      </w:r>
      <w:r>
        <w:t xml:space="preserve">sám kdesi přiznává, že se rozhodl k akci za znovuustavení českého státu, až když viděl, že 1 nejprostšl český člověk </w:t>
      </w:r>
      <w:r>
        <w:rPr>
          <w:b/>
          <w:bCs/>
        </w:rPr>
        <w:t xml:space="preserve">za </w:t>
      </w:r>
      <w:r>
        <w:t>něj bo</w:t>
      </w:r>
      <w:r>
        <w:softHyphen/>
        <w:t xml:space="preserve">juje — čili něco jiného, než když sl nějaký generál udělá </w:t>
      </w:r>
      <w:r>
        <w:t>stát.</w:t>
      </w:r>
    </w:p>
    <w:p w:rsidR="00500724" w:rsidRDefault="00F30FB8">
      <w:pPr>
        <w:pStyle w:val="Zkladntext100"/>
        <w:shd w:val="clear" w:color="auto" w:fill="auto"/>
        <w:spacing w:line="223" w:lineRule="auto"/>
        <w:ind w:firstLine="300"/>
      </w:pPr>
      <w:r>
        <w:t>Ostatně český stát nikdy nezanikl. Existoval pod Habsbur</w:t>
      </w:r>
      <w:r>
        <w:softHyphen/>
        <w:t xml:space="preserve">ky, které si Češi svobodně zvolili a kterých </w:t>
      </w:r>
      <w:r>
        <w:rPr>
          <w:b/>
          <w:bCs/>
        </w:rPr>
        <w:t xml:space="preserve">se </w:t>
      </w:r>
      <w:r>
        <w:t>chtěli zbavífc až když tito porušili smlouvu.</w:t>
      </w:r>
    </w:p>
    <w:p w:rsidR="00500724" w:rsidRDefault="00F30FB8">
      <w:pPr>
        <w:pStyle w:val="Zkladntext100"/>
        <w:shd w:val="clear" w:color="auto" w:fill="auto"/>
        <w:spacing w:after="80" w:line="223" w:lineRule="auto"/>
        <w:ind w:firstLine="220"/>
      </w:pPr>
      <w:r>
        <w:t xml:space="preserve">Dále pisatel říká, že se musíme »zatím« </w:t>
      </w:r>
      <w:r>
        <w:rPr>
          <w:rFonts w:ascii="Arial" w:eastAsia="Arial" w:hAnsi="Arial" w:cs="Arial"/>
          <w:b/>
          <w:bCs/>
          <w:sz w:val="17"/>
          <w:szCs w:val="17"/>
        </w:rPr>
        <w:t xml:space="preserve">i </w:t>
      </w:r>
      <w:r>
        <w:t>vlastní vůl* zbavit všech reminiscencí na Denise atd., to</w:t>
      </w:r>
      <w:r>
        <w:t xml:space="preserve"> </w:t>
      </w:r>
      <w:r>
        <w:rPr>
          <w:rFonts w:ascii="Arial" w:eastAsia="Arial" w:hAnsi="Arial" w:cs="Arial"/>
          <w:b/>
          <w:bCs/>
          <w:sz w:val="17"/>
          <w:szCs w:val="17"/>
        </w:rPr>
        <w:t xml:space="preserve">je — </w:t>
      </w:r>
      <w:r>
        <w:t xml:space="preserve">logicky — jako chtít po nás zbaviti se reminiscencí na Husa, Palackého, Havlíčka, snad 1 Máchu a Smetanu a vůbec na všechny, kteří tvořili samu existencí národa — čili zříci </w:t>
      </w:r>
      <w:r>
        <w:rPr>
          <w:rFonts w:ascii="Arial" w:eastAsia="Arial" w:hAnsi="Arial" w:cs="Arial"/>
          <w:b/>
          <w:bCs/>
          <w:sz w:val="17"/>
          <w:szCs w:val="17"/>
        </w:rPr>
        <w:t xml:space="preserve">se </w:t>
      </w:r>
      <w:r>
        <w:t>existence vůbec.</w:t>
      </w:r>
    </w:p>
    <w:p w:rsidR="00500724" w:rsidRDefault="00F30FB8">
      <w:pPr>
        <w:pStyle w:val="Zkladntext100"/>
        <w:shd w:val="clear" w:color="auto" w:fill="auto"/>
        <w:spacing w:after="80" w:line="226" w:lineRule="auto"/>
        <w:ind w:firstLine="0"/>
        <w:jc w:val="center"/>
      </w:pPr>
      <w:r>
        <w:t>Poroučí se Vám</w:t>
      </w:r>
    </w:p>
    <w:p w:rsidR="00500724" w:rsidRDefault="00F30FB8">
      <w:pPr>
        <w:pStyle w:val="Zkladntext50"/>
        <w:shd w:val="clear" w:color="auto" w:fill="auto"/>
        <w:spacing w:after="240" w:line="226" w:lineRule="auto"/>
        <w:ind w:left="0"/>
        <w:jc w:val="right"/>
      </w:pPr>
      <w:r>
        <w:rPr>
          <w:rFonts w:ascii="Times New Roman" w:eastAsia="Times New Roman" w:hAnsi="Times New Roman" w:cs="Times New Roman"/>
          <w:sz w:val="18"/>
          <w:szCs w:val="18"/>
        </w:rPr>
        <w:t xml:space="preserve">Vál </w:t>
      </w:r>
      <w:r>
        <w:rPr>
          <w:b/>
          <w:bCs/>
        </w:rPr>
        <w:t>Martin Salcman</w:t>
      </w:r>
    </w:p>
    <w:p w:rsidR="00500724" w:rsidRDefault="00F30FB8">
      <w:pPr>
        <w:pStyle w:val="Zkladntext100"/>
        <w:shd w:val="clear" w:color="auto" w:fill="auto"/>
        <w:spacing w:after="100" w:line="226" w:lineRule="auto"/>
        <w:ind w:firstLine="0"/>
        <w:jc w:val="center"/>
      </w:pPr>
      <w:r>
        <w:rPr>
          <w:b/>
          <w:bCs/>
        </w:rPr>
        <w:t xml:space="preserve">Lidová architektura a </w:t>
      </w:r>
      <w:r>
        <w:rPr>
          <w:b/>
          <w:bCs/>
        </w:rPr>
        <w:t>zedničtí mistři</w:t>
      </w:r>
    </w:p>
    <w:p w:rsidR="00500724" w:rsidRDefault="00F30FB8">
      <w:pPr>
        <w:pStyle w:val="Zkladntext100"/>
        <w:shd w:val="clear" w:color="auto" w:fill="auto"/>
        <w:spacing w:after="100" w:line="226" w:lineRule="auto"/>
        <w:ind w:left="860" w:firstLine="0"/>
        <w:jc w:val="left"/>
      </w:pPr>
      <w:r>
        <w:t>Tit. redakce časopisu »Přitomnost«</w:t>
      </w:r>
    </w:p>
    <w:p w:rsidR="00500724" w:rsidRDefault="00F30FB8">
      <w:pPr>
        <w:pStyle w:val="Zkladntext100"/>
        <w:shd w:val="clear" w:color="auto" w:fill="auto"/>
        <w:spacing w:line="226" w:lineRule="auto"/>
        <w:ind w:firstLine="300"/>
      </w:pPr>
      <w:r>
        <w:t xml:space="preserve">V čísle 13. váženého Vašeho listu jest otištěn článek </w:t>
      </w:r>
      <w:r>
        <w:rPr>
          <w:b/>
          <w:bCs/>
        </w:rPr>
        <w:t xml:space="preserve">p. </w:t>
      </w:r>
      <w:r>
        <w:t>arch, Lad. Žáka ^Lidová architektura?*, v němž způsobem velmi paušálním jest kritisována a odsuzována činnost stavitelů &lt; mistrů zednických jako pro</w:t>
      </w:r>
      <w:r>
        <w:t>jektantů staveb rodinných vil, domů, domků a chat, »které prý zaplavují zemi a ničí naše města, obce 1 širokou přírodu hůř než válka*. Není naším úmyslem široce reagovat! na úvahy p. arch. Žáka, poněvadž týž vystupuje jako autor jednotlivec a jeho názory j</w:t>
      </w:r>
      <w:r>
        <w:t>sou tudíž jeho soukromým vlastnictvím. Máme však za svojí povinnost konstatovati aspoň tolik, že jest velmi nespravedlivé, odsu</w:t>
      </w:r>
      <w:r>
        <w:softHyphen/>
        <w:t>zovat! paušálně celý stav, jenž v provádění staveb jest nuceni hledati obživu a jemuž v dnešním shonu života společnosti a přímo</w:t>
      </w:r>
      <w:r>
        <w:t xml:space="preserve"> vražedné konkurenci nezbývá času. aby vychovával široké vrstvy stavebníků ke správnému pojetí významu archi</w:t>
      </w:r>
      <w:r>
        <w:softHyphen/>
        <w:t>tektury a zejména aplikace tohoto pojmu na vzhled celých měst a obcí a na otázky bytové kultury. Pan arch. Ladislav Žák jest jistě sám přesvědčen o</w:t>
      </w:r>
      <w:r>
        <w:t xml:space="preserve"> tom, že jako máme dobré </w:t>
      </w:r>
      <w:r>
        <w:rPr>
          <w:lang w:val="en-US" w:eastAsia="en-US" w:bidi="en-US"/>
        </w:rPr>
        <w:t xml:space="preserve">at </w:t>
      </w:r>
      <w:r>
        <w:t>špatné architekty, tak máme také dobré a špatné zednická mistry a stavitele. Mohli bychom posloužit! p. arch. Žákovi řadou příkladů staveb, projektovaných a také prováděných školenými architekty, staveb takového rázu, že zednick</w:t>
      </w:r>
      <w:r>
        <w:t xml:space="preserve">ý místí by se styděl upevnit na ně svoji firmu. Mohli bychom mu taká uvést! celou řadu příkladů zednických mistrů, kteří vítězná vyšli z veřejných soutěží a kteří provedli stavby, jež po stránce odborné jsou vzory dokonalého stavebního díla. Ujišťujeme p. </w:t>
      </w:r>
      <w:r>
        <w:t>arch. Žáka, že většina zednických mistrů by raději stavěla podle projektů skutečně dokonalých, kdyby stavebnicí byli ochotni projekt a duševní práci, jeho pořízení věnovanou, do</w:t>
      </w:r>
      <w:r>
        <w:softHyphen/>
        <w:t>statečně honorovati. Prostý stavebník, jenž s námahou sehnal částku na postave</w:t>
      </w:r>
      <w:r>
        <w:t>ní vlastního krovu potřebnou, dožaduje se však ve většině případů dodání plánů úplně zdarma. Je-U občan odkázán svou existencí na výtěžek z provedení staveb, opakujeme, za dnešní konkurence velmi ubohý, těžko lze na něm požadovati, aby svoji vlastní existe</w:t>
      </w:r>
      <w:r>
        <w:t>nci ohrožoval potíráním neporozumění a finančního nedostatku stavebníkova.</w:t>
      </w:r>
    </w:p>
    <w:p w:rsidR="00500724" w:rsidRDefault="00F30FB8">
      <w:pPr>
        <w:pStyle w:val="Zkladntext100"/>
        <w:shd w:val="clear" w:color="auto" w:fill="auto"/>
        <w:spacing w:after="80" w:line="223" w:lineRule="auto"/>
        <w:ind w:firstLine="300"/>
      </w:pPr>
      <w:r>
        <w:t>Nestačí tedy paušální kritika a snižováni významu osobnosti jednotlivcovy, nýbrž je zapotřebí trvalého a systematického působeni na mysl širokých vrstev lidových, prostě je zapotře</w:t>
      </w:r>
      <w:r>
        <w:softHyphen/>
      </w:r>
      <w:r>
        <w:t>bí systematické výchovy. Pokud to v rámci působení našich organisaci můžeme činiti, pokoušíme se o to ve svém vlastním tisku. Na doklad připojujeme článek, otištěný v březnovém čísle našeho listu, jenž nejlépe dokazuje, že jsme si vědomi všeobecných nedost</w:t>
      </w:r>
      <w:r>
        <w:t>atků právě tak, jako p. arch. Žák. Použí</w:t>
      </w:r>
      <w:r>
        <w:softHyphen/>
        <w:t>váme však k jich paralysování cesty lidštější a mravnější, než jest ona, kterou nastoupil p. arch. Žák a jenž pod rouškou krásných slov a historických reminiscencí zakrývá pozadí své</w:t>
      </w:r>
      <w:r>
        <w:softHyphen/>
        <w:t>ho projevu — boj o denní skývu c</w:t>
      </w:r>
      <w:r>
        <w:t>hleba.</w:t>
      </w:r>
    </w:p>
    <w:p w:rsidR="00500724" w:rsidRDefault="00F30FB8">
      <w:pPr>
        <w:pStyle w:val="Zkladntext100"/>
        <w:shd w:val="clear" w:color="auto" w:fill="auto"/>
        <w:spacing w:after="80" w:line="226" w:lineRule="auto"/>
        <w:ind w:firstLine="0"/>
        <w:jc w:val="right"/>
        <w:sectPr w:rsidR="00500724">
          <w:footnotePr>
            <w:numFmt w:val="chicago"/>
            <w:numRestart w:val="eachPage"/>
          </w:footnotePr>
          <w:type w:val="continuous"/>
          <w:pgSz w:w="11909" w:h="16834"/>
          <w:pgMar w:top="1390" w:right="787" w:bottom="834" w:left="715" w:header="0" w:footer="3" w:gutter="0"/>
          <w:cols w:num="2" w:space="101"/>
          <w:noEndnote/>
          <w:docGrid w:linePitch="360"/>
        </w:sectPr>
      </w:pPr>
      <w:r>
        <w:rPr>
          <w:b/>
          <w:bCs/>
        </w:rPr>
        <w:t xml:space="preserve">i„, Z Ústředny společenstev zednických mistrů </w:t>
      </w:r>
      <w:r>
        <w:rPr>
          <w:rFonts w:ascii="Arial" w:eastAsia="Arial" w:hAnsi="Arial" w:cs="Arial"/>
          <w:b/>
          <w:bCs/>
          <w:sz w:val="22"/>
          <w:szCs w:val="22"/>
        </w:rPr>
        <w:t xml:space="preserve">v </w:t>
      </w:r>
      <w:r>
        <w:rPr>
          <w:b/>
          <w:bCs/>
        </w:rPr>
        <w:t>Čechách.</w:t>
      </w:r>
    </w:p>
    <w:p w:rsidR="00500724" w:rsidRDefault="00F30FB8">
      <w:pPr>
        <w:pStyle w:val="Nadpis50"/>
        <w:keepNext/>
        <w:keepLines/>
        <w:framePr w:w="7032" w:h="1694" w:wrap="none" w:vAnchor="text" w:hAnchor="page" w:x="3603" w:y="179"/>
        <w:shd w:val="clear" w:color="auto" w:fill="auto"/>
      </w:pPr>
      <w:bookmarkStart w:id="391" w:name="bookmark390"/>
      <w:r>
        <w:t>vět knih</w:t>
      </w:r>
      <w:bookmarkEnd w:id="391"/>
    </w:p>
    <w:p w:rsidR="00500724" w:rsidRDefault="00F30FB8">
      <w:pPr>
        <w:pStyle w:val="Nadpis90"/>
        <w:keepNext/>
        <w:keepLines/>
        <w:framePr w:w="7286" w:h="523" w:wrap="none" w:vAnchor="text" w:hAnchor="page" w:x="3387" w:y="1873"/>
        <w:shd w:val="clear" w:color="auto" w:fill="auto"/>
        <w:spacing w:after="0"/>
        <w:rPr>
          <w:sz w:val="42"/>
          <w:szCs w:val="42"/>
        </w:rPr>
      </w:pPr>
      <w:bookmarkStart w:id="392" w:name="bookmark391"/>
      <w:r>
        <w:rPr>
          <w:b/>
          <w:bCs/>
          <w:sz w:val="34"/>
          <w:szCs w:val="34"/>
        </w:rPr>
        <w:t xml:space="preserve">KULTURNÍ </w:t>
      </w:r>
      <w:r>
        <w:rPr>
          <w:smallCaps/>
          <w:sz w:val="42"/>
          <w:szCs w:val="42"/>
        </w:rPr>
        <w:t>zpravodaj</w:t>
      </w:r>
      <w:bookmarkEnd w:id="392"/>
    </w:p>
    <w:p w:rsidR="00500724" w:rsidRDefault="00F30FB8">
      <w:pPr>
        <w:pStyle w:val="Jin0"/>
        <w:framePr w:w="336" w:h="1027" w:wrap="none" w:vAnchor="text" w:hAnchor="page" w:x="10952" w:y="63"/>
        <w:shd w:val="clear" w:color="auto" w:fill="auto"/>
        <w:ind w:firstLine="0"/>
        <w:jc w:val="left"/>
        <w:rPr>
          <w:sz w:val="15"/>
          <w:szCs w:val="15"/>
        </w:rPr>
      </w:pPr>
      <w:r>
        <w:rPr>
          <w:rFonts w:ascii="Arial" w:eastAsia="Arial" w:hAnsi="Arial" w:cs="Arial"/>
          <w:b/>
          <w:bCs/>
          <w:sz w:val="15"/>
          <w:szCs w:val="15"/>
        </w:rPr>
        <w:t>O</w:t>
      </w:r>
    </w:p>
    <w:p w:rsidR="00500724" w:rsidRDefault="00F30FB8">
      <w:pPr>
        <w:pStyle w:val="Jin0"/>
        <w:framePr w:w="336" w:h="1027" w:wrap="none" w:vAnchor="text" w:hAnchor="page" w:x="10952" w:y="63"/>
        <w:shd w:val="clear" w:color="auto" w:fill="auto"/>
        <w:spacing w:after="120" w:line="233" w:lineRule="auto"/>
        <w:ind w:firstLine="0"/>
        <w:jc w:val="left"/>
        <w:rPr>
          <w:sz w:val="15"/>
          <w:szCs w:val="15"/>
        </w:rPr>
      </w:pPr>
      <w:r>
        <w:rPr>
          <w:rFonts w:ascii="Arial" w:eastAsia="Arial" w:hAnsi="Arial" w:cs="Arial"/>
          <w:b/>
          <w:bCs/>
          <w:sz w:val="15"/>
          <w:szCs w:val="15"/>
        </w:rPr>
        <w:t>n&lt;</w:t>
      </w:r>
    </w:p>
    <w:p w:rsidR="00500724" w:rsidRDefault="00F30FB8">
      <w:pPr>
        <w:pStyle w:val="Jin0"/>
        <w:framePr w:w="336" w:h="1027" w:wrap="none" w:vAnchor="text" w:hAnchor="page" w:x="10952" w:y="63"/>
        <w:shd w:val="clear" w:color="auto" w:fill="auto"/>
        <w:spacing w:after="120"/>
        <w:ind w:firstLine="0"/>
        <w:jc w:val="left"/>
        <w:rPr>
          <w:sz w:val="15"/>
          <w:szCs w:val="15"/>
        </w:rPr>
      </w:pPr>
      <w:r>
        <w:rPr>
          <w:rFonts w:ascii="Arial" w:eastAsia="Arial" w:hAnsi="Arial" w:cs="Arial"/>
          <w:b/>
          <w:bCs/>
          <w:sz w:val="15"/>
          <w:szCs w:val="15"/>
        </w:rPr>
        <w:t>«o</w:t>
      </w:r>
    </w:p>
    <w:p w:rsidR="00500724" w:rsidRDefault="00F30FB8">
      <w:pPr>
        <w:pStyle w:val="Jin0"/>
        <w:framePr w:w="336" w:h="1027" w:wrap="none" w:vAnchor="text" w:hAnchor="page" w:x="10952" w:y="63"/>
        <w:shd w:val="clear" w:color="auto" w:fill="auto"/>
        <w:spacing w:after="120"/>
        <w:ind w:firstLine="0"/>
        <w:jc w:val="left"/>
        <w:rPr>
          <w:sz w:val="15"/>
          <w:szCs w:val="15"/>
        </w:rPr>
      </w:pPr>
      <w:r>
        <w:rPr>
          <w:rFonts w:ascii="Arial" w:eastAsia="Arial" w:hAnsi="Arial" w:cs="Arial"/>
          <w:b/>
          <w:bCs/>
          <w:sz w:val="15"/>
          <w:szCs w:val="15"/>
        </w:rPr>
        <w:t>o«</w:t>
      </w:r>
    </w:p>
    <w:p w:rsidR="00500724" w:rsidRDefault="00500724">
      <w:pPr>
        <w:spacing w:after="25" w:line="14" w:lineRule="exact"/>
      </w:pPr>
    </w:p>
    <w:p w:rsidR="00500724" w:rsidRDefault="00500724">
      <w:pPr>
        <w:spacing w:line="14" w:lineRule="exact"/>
        <w:sectPr w:rsidR="00500724">
          <w:footnotePr>
            <w:numFmt w:val="chicago"/>
            <w:numRestart w:val="eachPage"/>
          </w:footnotePr>
          <w:pgSz w:w="11909" w:h="16834"/>
          <w:pgMar w:top="3242" w:right="593" w:bottom="953" w:left="742" w:header="0" w:footer="3" w:gutter="0"/>
          <w:cols w:space="720"/>
          <w:noEndnote/>
          <w:docGrid w:linePitch="360"/>
        </w:sectPr>
      </w:pPr>
    </w:p>
    <w:p w:rsidR="00500724" w:rsidRDefault="00500724">
      <w:pPr>
        <w:spacing w:line="75" w:lineRule="exact"/>
        <w:rPr>
          <w:sz w:val="6"/>
          <w:szCs w:val="6"/>
        </w:rPr>
      </w:pPr>
    </w:p>
    <w:p w:rsidR="00500724" w:rsidRDefault="00500724">
      <w:pPr>
        <w:spacing w:line="14" w:lineRule="exact"/>
        <w:sectPr w:rsidR="00500724">
          <w:footnotePr>
            <w:numFmt w:val="chicago"/>
            <w:numRestart w:val="eachPage"/>
          </w:footnotePr>
          <w:type w:val="continuous"/>
          <w:pgSz w:w="11909" w:h="16834"/>
          <w:pgMar w:top="3142" w:right="0" w:bottom="953"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790" behindDoc="0" locked="0" layoutInCell="1" allowOverlap="1">
                <wp:simplePos x="0" y="0"/>
                <wp:positionH relativeFrom="page">
                  <wp:posOffset>2220595</wp:posOffset>
                </wp:positionH>
                <wp:positionV relativeFrom="paragraph">
                  <wp:posOffset>12700</wp:posOffset>
                </wp:positionV>
                <wp:extent cx="3234055" cy="1246505"/>
                <wp:effectExtent l="0" t="0" r="0" b="0"/>
                <wp:wrapSquare wrapText="left"/>
                <wp:docPr id="413" name="Shape 413"/>
                <wp:cNvGraphicFramePr/>
                <a:graphic xmlns:a="http://schemas.openxmlformats.org/drawingml/2006/main">
                  <a:graphicData uri="http://schemas.microsoft.com/office/word/2010/wordprocessingShape">
                    <wps:wsp>
                      <wps:cNvSpPr txBox="1"/>
                      <wps:spPr>
                        <a:xfrm>
                          <a:off x="0" y="0"/>
                          <a:ext cx="3234055" cy="1246505"/>
                        </a:xfrm>
                        <a:prstGeom prst="rect">
                          <a:avLst/>
                        </a:prstGeom>
                        <a:noFill/>
                      </wps:spPr>
                      <wps:txbx>
                        <w:txbxContent>
                          <w:p w:rsidR="00500724" w:rsidRDefault="00F30FB8">
                            <w:pPr>
                              <w:pStyle w:val="Zkladntext100"/>
                              <w:shd w:val="clear" w:color="auto" w:fill="auto"/>
                              <w:spacing w:line="221" w:lineRule="auto"/>
                              <w:ind w:left="180" w:firstLine="1060"/>
                              <w:jc w:val="left"/>
                              <w:rPr>
                                <w:sz w:val="19"/>
                                <w:szCs w:val="19"/>
                              </w:rPr>
                            </w:pPr>
                            <w:r>
                              <w:rPr>
                                <w:b/>
                                <w:bCs/>
                                <w:sz w:val="26"/>
                                <w:szCs w:val="26"/>
                              </w:rPr>
                              <w:t xml:space="preserve">Dva druhy spisovatelů V </w:t>
                            </w:r>
                            <w:r>
                              <w:rPr>
                                <w:b/>
                                <w:bCs/>
                                <w:sz w:val="19"/>
                                <w:szCs w:val="19"/>
                              </w:rPr>
                              <w:t xml:space="preserve">dějinách literatury se vyskytuji dva </w:t>
                            </w:r>
                            <w:r>
                              <w:rPr>
                                <w:b/>
                                <w:bCs/>
                                <w:sz w:val="19"/>
                                <w:szCs w:val="19"/>
                              </w:rPr>
                              <w:t>druhy spisovatelů:</w:t>
                            </w:r>
                          </w:p>
                          <w:p w:rsidR="00500724" w:rsidRDefault="00F30FB8">
                            <w:pPr>
                              <w:pStyle w:val="Zkladntext100"/>
                              <w:shd w:val="clear" w:color="auto" w:fill="auto"/>
                              <w:spacing w:line="254" w:lineRule="auto"/>
                              <w:ind w:firstLine="0"/>
                              <w:rPr>
                                <w:sz w:val="19"/>
                                <w:szCs w:val="19"/>
                              </w:rPr>
                            </w:pPr>
                            <w:r>
                              <w:rPr>
                                <w:b/>
                                <w:bCs/>
                                <w:sz w:val="19"/>
                                <w:szCs w:val="19"/>
                              </w:rPr>
                              <w:t>jedni nám říkají věci věěné; druzí jsou jenom představiteli citovosti své doby. Kozumi se, že těchto druhých je mnohem víc a že většina generací jiných spisovatelů nemá, jak dokazuje ta okolnost, že za tu dobu, co se píše, bylo napsáno t</w:t>
                            </w:r>
                            <w:r>
                              <w:rPr>
                                <w:b/>
                                <w:bCs/>
                                <w:sz w:val="19"/>
                                <w:szCs w:val="19"/>
                              </w:rPr>
                              <w:t>akové množství knih a že tak málo jich přežilo svou dobu.</w:t>
                            </w:r>
                          </w:p>
                          <w:p w:rsidR="00500724" w:rsidRDefault="00F30FB8">
                            <w:pPr>
                              <w:pStyle w:val="Zkladntext30"/>
                              <w:shd w:val="clear" w:color="auto" w:fill="auto"/>
                              <w:spacing w:after="0" w:line="240" w:lineRule="auto"/>
                              <w:ind w:firstLine="0"/>
                              <w:jc w:val="right"/>
                              <w:rPr>
                                <w:sz w:val="20"/>
                                <w:szCs w:val="20"/>
                              </w:rPr>
                            </w:pPr>
                            <w:r>
                              <w:rPr>
                                <w:i/>
                                <w:iCs/>
                                <w:sz w:val="20"/>
                                <w:szCs w:val="20"/>
                                <w:lang w:val="en-US" w:eastAsia="en-US" w:bidi="en-US"/>
                              </w:rPr>
                              <w:t xml:space="preserve">Julien </w:t>
                            </w:r>
                            <w:r>
                              <w:rPr>
                                <w:i/>
                                <w:iCs/>
                                <w:sz w:val="20"/>
                                <w:szCs w:val="20"/>
                              </w:rPr>
                              <w:t>Benda</w:t>
                            </w:r>
                          </w:p>
                        </w:txbxContent>
                      </wps:txbx>
                      <wps:bodyPr lIns="0" tIns="0" rIns="0" bIns="0">
                        <a:spAutoFit/>
                      </wps:bodyPr>
                    </wps:wsp>
                  </a:graphicData>
                </a:graphic>
              </wp:anchor>
            </w:drawing>
          </mc:Choice>
          <mc:Fallback>
            <w:pict>
              <v:shape id="_x0000_s1439" type="#_x0000_t202" style="position:absolute;margin-left:174.84999999999999pt;margin-top:1.pt;width:254.65000000000001pt;height:98.150000000000006pt;z-index:-125828963;mso-wrap-distance-left:0;mso-wrap-distance-right:0;mso-position-horizontal-relative:page" filled="f" stroked="f">
                <v:textbox style="mso-fit-shape-to-text:t" inset="0,0,0,0">
                  <w:txbxContent>
                    <w:p>
                      <w:pPr>
                        <w:pStyle w:val="Style344"/>
                        <w:keepNext w:val="0"/>
                        <w:keepLines w:val="0"/>
                        <w:widowControl w:val="0"/>
                        <w:shd w:val="clear" w:color="auto" w:fill="auto"/>
                        <w:bidi w:val="0"/>
                        <w:spacing w:before="0" w:after="0" w:line="221" w:lineRule="auto"/>
                        <w:ind w:left="180" w:right="0" w:firstLine="1060"/>
                        <w:jc w:val="left"/>
                        <w:rPr>
                          <w:sz w:val="19"/>
                          <w:szCs w:val="19"/>
                        </w:rPr>
                      </w:pPr>
                      <w:r>
                        <w:rPr>
                          <w:b/>
                          <w:bCs/>
                          <w:color w:val="000000"/>
                          <w:spacing w:val="0"/>
                          <w:w w:val="100"/>
                          <w:position w:val="0"/>
                          <w:sz w:val="26"/>
                          <w:szCs w:val="26"/>
                          <w:shd w:val="clear" w:color="auto" w:fill="auto"/>
                          <w:lang w:val="cs-CZ" w:eastAsia="cs-CZ" w:bidi="cs-CZ"/>
                        </w:rPr>
                        <w:t xml:space="preserve">Dva druhy spisovatelů V </w:t>
                      </w:r>
                      <w:r>
                        <w:rPr>
                          <w:b/>
                          <w:bCs/>
                          <w:color w:val="000000"/>
                          <w:spacing w:val="0"/>
                          <w:w w:val="100"/>
                          <w:position w:val="0"/>
                          <w:sz w:val="19"/>
                          <w:szCs w:val="19"/>
                          <w:shd w:val="clear" w:color="auto" w:fill="auto"/>
                          <w:lang w:val="cs-CZ" w:eastAsia="cs-CZ" w:bidi="cs-CZ"/>
                        </w:rPr>
                        <w:t>dějinách literatury se vyskytuji dva druhy spisovatelů:</w:t>
                      </w:r>
                    </w:p>
                    <w:p>
                      <w:pPr>
                        <w:pStyle w:val="Style344"/>
                        <w:keepNext w:val="0"/>
                        <w:keepLines w:val="0"/>
                        <w:widowControl w:val="0"/>
                        <w:shd w:val="clear" w:color="auto" w:fill="auto"/>
                        <w:bidi w:val="0"/>
                        <w:spacing w:before="0" w:after="0" w:line="254" w:lineRule="auto"/>
                        <w:ind w:left="0" w:right="0" w:firstLine="0"/>
                        <w:rPr>
                          <w:sz w:val="19"/>
                          <w:szCs w:val="19"/>
                        </w:rPr>
                      </w:pPr>
                      <w:r>
                        <w:rPr>
                          <w:b/>
                          <w:bCs/>
                          <w:color w:val="000000"/>
                          <w:spacing w:val="0"/>
                          <w:w w:val="100"/>
                          <w:position w:val="0"/>
                          <w:sz w:val="19"/>
                          <w:szCs w:val="19"/>
                          <w:shd w:val="clear" w:color="auto" w:fill="auto"/>
                          <w:lang w:val="cs-CZ" w:eastAsia="cs-CZ" w:bidi="cs-CZ"/>
                        </w:rPr>
                        <w:t>jedni nám říkají věci věěné; druzí jsou jenom představiteli citovosti své doby. Kozumi se, že těchto druhých je mnohem víc a že většina generací jiných spisovatelů nemá, jak dokazuje ta okolnost, že za tu dobu, co se píše, bylo napsáno takové množství knih a že tak málo jich přežilo svou dobu.</w:t>
                      </w:r>
                    </w:p>
                    <w:p>
                      <w:pPr>
                        <w:pStyle w:val="Style22"/>
                        <w:keepNext w:val="0"/>
                        <w:keepLines w:val="0"/>
                        <w:widowControl w:val="0"/>
                        <w:shd w:val="clear" w:color="auto" w:fill="auto"/>
                        <w:bidi w:val="0"/>
                        <w:spacing w:before="0" w:after="0" w:line="240" w:lineRule="auto"/>
                        <w:ind w:left="0" w:right="0" w:firstLine="0"/>
                        <w:jc w:val="right"/>
                        <w:rPr>
                          <w:sz w:val="20"/>
                          <w:szCs w:val="20"/>
                        </w:rPr>
                      </w:pPr>
                      <w:r>
                        <w:rPr>
                          <w:i/>
                          <w:iCs/>
                          <w:color w:val="000000"/>
                          <w:spacing w:val="0"/>
                          <w:w w:val="100"/>
                          <w:position w:val="0"/>
                          <w:sz w:val="20"/>
                          <w:szCs w:val="20"/>
                          <w:shd w:val="clear" w:color="auto" w:fill="auto"/>
                          <w:lang w:val="en-US" w:eastAsia="en-US" w:bidi="en-US"/>
                        </w:rPr>
                        <w:t xml:space="preserve">Julien </w:t>
                      </w:r>
                      <w:r>
                        <w:rPr>
                          <w:i/>
                          <w:iCs/>
                          <w:color w:val="000000"/>
                          <w:spacing w:val="0"/>
                          <w:w w:val="100"/>
                          <w:position w:val="0"/>
                          <w:sz w:val="20"/>
                          <w:szCs w:val="20"/>
                          <w:shd w:val="clear" w:color="auto" w:fill="auto"/>
                          <w:lang w:val="cs-CZ" w:eastAsia="cs-CZ" w:bidi="cs-CZ"/>
                        </w:rPr>
                        <w:t>Benda</w:t>
                      </w:r>
                    </w:p>
                  </w:txbxContent>
                </v:textbox>
                <w10:wrap type="square" side="left" anchorx="page"/>
              </v:shape>
            </w:pict>
          </mc:Fallback>
        </mc:AlternateContent>
      </w:r>
    </w:p>
    <w:p w:rsidR="00500724" w:rsidRDefault="00F30FB8">
      <w:pPr>
        <w:pStyle w:val="Zkladntext30"/>
        <w:shd w:val="clear" w:color="auto" w:fill="auto"/>
        <w:spacing w:after="60" w:line="204" w:lineRule="auto"/>
        <w:ind w:firstLine="0"/>
        <w:jc w:val="left"/>
        <w:rPr>
          <w:sz w:val="20"/>
          <w:szCs w:val="20"/>
        </w:rPr>
      </w:pPr>
      <w:r>
        <w:rPr>
          <w:i/>
          <w:iCs/>
          <w:sz w:val="20"/>
          <w:szCs w:val="20"/>
          <w:lang w:val="en-US" w:eastAsia="en-US" w:bidi="en-US"/>
        </w:rPr>
        <w:t xml:space="preserve">Rainer </w:t>
      </w:r>
      <w:r>
        <w:rPr>
          <w:i/>
          <w:iCs/>
          <w:sz w:val="20"/>
          <w:szCs w:val="20"/>
        </w:rPr>
        <w:t xml:space="preserve">Maria </w:t>
      </w:r>
      <w:r>
        <w:rPr>
          <w:i/>
          <w:iCs/>
          <w:sz w:val="20"/>
          <w:szCs w:val="20"/>
          <w:lang w:val="en-US" w:eastAsia="en-US" w:bidi="en-US"/>
        </w:rPr>
        <w:t xml:space="preserve">Rilke </w:t>
      </w:r>
      <w:r>
        <w:rPr>
          <w:i/>
          <w:iCs/>
          <w:sz w:val="20"/>
          <w:szCs w:val="20"/>
        </w:rPr>
        <w:t>:</w:t>
      </w:r>
    </w:p>
    <w:p w:rsidR="00500724" w:rsidRDefault="00F30FB8">
      <w:pPr>
        <w:pStyle w:val="Jin0"/>
        <w:shd w:val="clear" w:color="auto" w:fill="auto"/>
        <w:spacing w:after="60"/>
        <w:ind w:firstLine="0"/>
        <w:jc w:val="left"/>
        <w:rPr>
          <w:sz w:val="26"/>
          <w:szCs w:val="26"/>
        </w:rPr>
      </w:pPr>
      <w:r>
        <w:rPr>
          <w:b/>
          <w:bCs/>
          <w:sz w:val="26"/>
          <w:szCs w:val="26"/>
        </w:rPr>
        <w:t>PRAMEN</w:t>
      </w:r>
    </w:p>
    <w:p w:rsidR="00500724" w:rsidRDefault="00F30FB8">
      <w:pPr>
        <w:pStyle w:val="Zkladntext30"/>
        <w:shd w:val="clear" w:color="auto" w:fill="auto"/>
        <w:spacing w:after="0" w:line="206" w:lineRule="auto"/>
        <w:ind w:firstLine="0"/>
        <w:jc w:val="left"/>
        <w:rPr>
          <w:sz w:val="20"/>
          <w:szCs w:val="20"/>
        </w:rPr>
      </w:pPr>
      <w:r>
        <w:rPr>
          <w:rFonts w:ascii="Arial" w:eastAsia="Arial" w:hAnsi="Arial" w:cs="Arial"/>
          <w:sz w:val="18"/>
          <w:szCs w:val="18"/>
        </w:rPr>
        <w:t xml:space="preserve">■Mluv, </w:t>
      </w:r>
      <w:r>
        <w:rPr>
          <w:i/>
          <w:iCs/>
          <w:sz w:val="20"/>
          <w:szCs w:val="20"/>
        </w:rPr>
        <w:t>prameni, jenž nejsi</w:t>
      </w:r>
    </w:p>
    <w:p w:rsidR="00500724" w:rsidRDefault="00F30FB8">
      <w:pPr>
        <w:pStyle w:val="Zkladntext100"/>
        <w:shd w:val="clear" w:color="auto" w:fill="auto"/>
        <w:spacing w:line="228" w:lineRule="auto"/>
        <w:ind w:firstLine="0"/>
        <w:jc w:val="right"/>
      </w:pPr>
      <w:r>
        <w:rPr>
          <w:i/>
          <w:iCs/>
        </w:rPr>
        <w:t>lidských zvuků,</w:t>
      </w:r>
    </w:p>
    <w:p w:rsidR="00500724" w:rsidRDefault="00F30FB8">
      <w:pPr>
        <w:pStyle w:val="Zkladntext30"/>
        <w:shd w:val="clear" w:color="auto" w:fill="auto"/>
        <w:spacing w:after="0" w:line="206" w:lineRule="auto"/>
        <w:ind w:left="1220" w:hanging="1220"/>
        <w:jc w:val="left"/>
        <w:rPr>
          <w:sz w:val="20"/>
          <w:szCs w:val="20"/>
        </w:rPr>
      </w:pPr>
      <w:r>
        <w:rPr>
          <w:i/>
          <w:iCs/>
          <w:sz w:val="20"/>
          <w:szCs w:val="20"/>
        </w:rPr>
        <w:t>pěj o svém pláči, který smáčí stud,</w:t>
      </w:r>
    </w:p>
    <w:p w:rsidR="00500724" w:rsidRDefault="00F30FB8">
      <w:pPr>
        <w:pStyle w:val="Zkladntext30"/>
        <w:shd w:val="clear" w:color="auto" w:fill="auto"/>
        <w:spacing w:after="0" w:line="206" w:lineRule="auto"/>
        <w:ind w:left="1220" w:hanging="1220"/>
        <w:jc w:val="left"/>
        <w:rPr>
          <w:sz w:val="20"/>
          <w:szCs w:val="20"/>
        </w:rPr>
      </w:pPr>
      <w:r>
        <w:rPr>
          <w:i/>
          <w:iCs/>
          <w:sz w:val="20"/>
          <w:szCs w:val="20"/>
        </w:rPr>
        <w:t>ach, nic tak nechlácholí příliš rodnou muku</w:t>
      </w:r>
    </w:p>
    <w:p w:rsidR="00500724" w:rsidRDefault="00F30FB8">
      <w:pPr>
        <w:pStyle w:val="Zkladntext30"/>
        <w:shd w:val="clear" w:color="auto" w:fill="auto"/>
        <w:spacing w:after="160" w:line="206" w:lineRule="auto"/>
        <w:ind w:firstLine="0"/>
        <w:jc w:val="left"/>
        <w:rPr>
          <w:sz w:val="20"/>
          <w:szCs w:val="20"/>
        </w:rPr>
      </w:pPr>
      <w:r>
        <w:rPr>
          <w:i/>
          <w:iCs/>
          <w:sz w:val="20"/>
          <w:szCs w:val="20"/>
        </w:rPr>
        <w:t>jak muka odjinud.</w:t>
      </w:r>
    </w:p>
    <w:p w:rsidR="00500724" w:rsidRDefault="00F30FB8">
      <w:pPr>
        <w:pStyle w:val="Zkladntext30"/>
        <w:shd w:val="clear" w:color="auto" w:fill="auto"/>
        <w:spacing w:after="0" w:line="202" w:lineRule="auto"/>
        <w:ind w:left="1220" w:hanging="1220"/>
        <w:jc w:val="left"/>
        <w:rPr>
          <w:sz w:val="20"/>
          <w:szCs w:val="20"/>
        </w:rPr>
      </w:pPr>
      <w:r>
        <w:rPr>
          <w:i/>
          <w:iCs/>
          <w:sz w:val="20"/>
          <w:szCs w:val="20"/>
        </w:rPr>
        <w:t xml:space="preserve">Zda muka jsou tvůj zpěv, </w:t>
      </w:r>
      <w:r>
        <w:rPr>
          <w:rFonts w:ascii="Arial" w:eastAsia="Arial" w:hAnsi="Arial" w:cs="Arial"/>
          <w:i/>
          <w:iCs/>
          <w:sz w:val="24"/>
          <w:szCs w:val="24"/>
        </w:rPr>
        <w:t xml:space="preserve">či </w:t>
      </w:r>
      <w:r>
        <w:rPr>
          <w:i/>
          <w:iCs/>
          <w:sz w:val="20"/>
          <w:szCs w:val="20"/>
        </w:rPr>
        <w:t>v rozhraní</w:t>
      </w:r>
    </w:p>
    <w:p w:rsidR="00500724" w:rsidRDefault="00F30FB8">
      <w:pPr>
        <w:pStyle w:val="Zkladntext30"/>
        <w:shd w:val="clear" w:color="auto" w:fill="auto"/>
        <w:spacing w:after="0" w:line="202" w:lineRule="auto"/>
        <w:ind w:left="1220" w:hanging="1220"/>
        <w:jc w:val="left"/>
        <w:rPr>
          <w:sz w:val="20"/>
          <w:szCs w:val="20"/>
        </w:rPr>
      </w:pPr>
      <w:r>
        <w:rPr>
          <w:i/>
          <w:iCs/>
          <w:sz w:val="20"/>
          <w:szCs w:val="20"/>
        </w:rPr>
        <w:t>stav neznámý, jenž zpívá, co je ti?</w:t>
      </w:r>
    </w:p>
    <w:p w:rsidR="00500724" w:rsidRDefault="00F30FB8">
      <w:pPr>
        <w:pStyle w:val="Zkladntext30"/>
        <w:shd w:val="clear" w:color="auto" w:fill="auto"/>
        <w:spacing w:after="0" w:line="202" w:lineRule="auto"/>
        <w:ind w:left="1220" w:hanging="1220"/>
        <w:jc w:val="left"/>
        <w:rPr>
          <w:sz w:val="20"/>
          <w:szCs w:val="20"/>
        </w:rPr>
      </w:pPr>
      <w:r>
        <w:rPr>
          <w:i/>
          <w:iCs/>
          <w:sz w:val="20"/>
          <w:szCs w:val="20"/>
        </w:rPr>
        <w:t>Vně toho, co nám pomáhá, co raní,</w:t>
      </w:r>
    </w:p>
    <w:p w:rsidR="00500724" w:rsidRDefault="00F30FB8">
      <w:pPr>
        <w:pStyle w:val="Zkladntext30"/>
        <w:shd w:val="clear" w:color="auto" w:fill="auto"/>
        <w:spacing w:after="160" w:line="202" w:lineRule="auto"/>
        <w:ind w:firstLine="0"/>
        <w:jc w:val="left"/>
        <w:rPr>
          <w:sz w:val="20"/>
          <w:szCs w:val="20"/>
        </w:rPr>
      </w:pPr>
      <w:r>
        <w:rPr>
          <w:i/>
          <w:iCs/>
          <w:sz w:val="20"/>
          <w:szCs w:val="20"/>
        </w:rPr>
        <w:t>mužem Sít v dojetí?</w:t>
      </w:r>
    </w:p>
    <w:p w:rsidR="00500724" w:rsidRDefault="00F30FB8">
      <w:pPr>
        <w:pStyle w:val="Zkladntext40"/>
        <w:shd w:val="clear" w:color="auto" w:fill="auto"/>
        <w:spacing w:after="300" w:line="202" w:lineRule="auto"/>
        <w:ind w:firstLine="200"/>
      </w:pPr>
      <w:r>
        <w:rPr>
          <w:i/>
          <w:iCs/>
        </w:rPr>
        <w:t>Ze</w:t>
      </w:r>
      <w:r>
        <w:t xml:space="preserve"> sbírky Sad, již z francouz</w:t>
      </w:r>
      <w:r>
        <w:softHyphen/>
        <w:t>ského originálu přeložil Vladimír Holan.</w:t>
      </w:r>
    </w:p>
    <w:p w:rsidR="00500724" w:rsidRDefault="00F30FB8">
      <w:pPr>
        <w:pStyle w:val="Nadpis120"/>
        <w:pBdr>
          <w:top w:val="single" w:sz="4" w:space="0" w:color="auto"/>
        </w:pBdr>
        <w:shd w:val="clear" w:color="auto" w:fill="auto"/>
        <w:spacing w:after="60"/>
        <w:ind w:left="0"/>
      </w:pPr>
      <w:bookmarkStart w:id="393" w:name="bookmark392"/>
      <w:r>
        <w:rPr>
          <w:rFonts w:ascii="Arial" w:eastAsia="Arial" w:hAnsi="Arial" w:cs="Arial"/>
        </w:rPr>
        <w:t>POZNÁMKY</w:t>
      </w:r>
      <w:bookmarkEnd w:id="393"/>
    </w:p>
    <w:p w:rsidR="00500724" w:rsidRDefault="00F30FB8">
      <w:pPr>
        <w:pStyle w:val="Zkladntext40"/>
        <w:shd w:val="clear" w:color="auto" w:fill="auto"/>
        <w:spacing w:line="163" w:lineRule="auto"/>
        <w:jc w:val="left"/>
        <w:rPr>
          <w:sz w:val="16"/>
          <w:szCs w:val="16"/>
        </w:rPr>
      </w:pPr>
      <w:r>
        <w:rPr>
          <w:b/>
          <w:bCs/>
          <w:sz w:val="16"/>
          <w:szCs w:val="16"/>
        </w:rPr>
        <w:t>Jan Mukařovský:</w:t>
      </w:r>
    </w:p>
    <w:p w:rsidR="00500724" w:rsidRDefault="00F30FB8">
      <w:pPr>
        <w:pStyle w:val="Zkladntext100"/>
        <w:shd w:val="clear" w:color="auto" w:fill="auto"/>
        <w:spacing w:after="60" w:line="226" w:lineRule="auto"/>
        <w:ind w:firstLine="0"/>
        <w:jc w:val="left"/>
      </w:pPr>
      <w:r>
        <w:rPr>
          <w:b/>
          <w:bCs/>
        </w:rPr>
        <w:t xml:space="preserve">PRÓZA KARLA ČAPKA JAKO LYRICKÁ </w:t>
      </w:r>
      <w:r>
        <w:rPr>
          <w:b/>
          <w:bCs/>
        </w:rPr>
        <w:t>MELODIE A DIALOG</w:t>
      </w:r>
      <w:r>
        <w:rPr>
          <w:b/>
          <w:bCs/>
        </w:rPr>
        <w:footnoteReference w:id="7"/>
      </w:r>
    </w:p>
    <w:p w:rsidR="00500724" w:rsidRDefault="00F30FB8">
      <w:pPr>
        <w:pStyle w:val="Zkladntext40"/>
        <w:shd w:val="clear" w:color="auto" w:fill="auto"/>
        <w:spacing w:after="0" w:line="175" w:lineRule="auto"/>
        <w:ind w:firstLine="200"/>
      </w:pPr>
      <w:r>
        <w:t xml:space="preserve">Nad čerstvým hrobem velikého současného spisovatele, jimž byl </w:t>
      </w:r>
      <w:r>
        <w:rPr>
          <w:b/>
          <w:bCs/>
          <w:sz w:val="19"/>
          <w:szCs w:val="19"/>
        </w:rPr>
        <w:t xml:space="preserve">K. </w:t>
      </w:r>
      <w:r>
        <w:t>Čapek, lze a je třeba, jak se také již několikrát stalo, pokou- I Set se o zachyceni všeho lidsky | důvěrného a prchavého, čim byl obklopen jeho zjev, všeho, co zít</w:t>
      </w:r>
      <w:r>
        <w:softHyphen/>
        <w:t>ra hrozí</w:t>
      </w:r>
      <w:r>
        <w:t xml:space="preserve"> zapadnout do nepaměti; i vidíme, jak z drobných vzpomí</w:t>
      </w:r>
      <w:r>
        <w:softHyphen/>
        <w:t>nek těch, kdo stáli Čapkovi blíz</w:t>
      </w:r>
      <w:r>
        <w:softHyphen/>
        <w:t>ko a nejblíže, noři se pozvolna, modelována jednotlivými údery, definitivní lidská podoba toho, Jenž právě ^věčností byl změněn v sebe sama*. Nelze však ještě učinit t</w:t>
      </w:r>
      <w:r>
        <w:t>otéž s jeho dílem, které smrti svého původce daleko ještě nepřestalo být přítomné, da</w:t>
      </w:r>
      <w:r>
        <w:softHyphen/>
        <w:t>leko ještě nenabylo tváře defini</w:t>
      </w:r>
      <w:r>
        <w:softHyphen/>
        <w:t>tivní a neproměnné. V těžkostech dnešní chvíle a právě pro ně — netkví Čapek-básník svým dílem mimo nás, ale uvnitř jednoho každého z nás</w:t>
      </w:r>
      <w:r>
        <w:t>. Je jedním z hla</w:t>
      </w:r>
      <w:r>
        <w:softHyphen/>
        <w:t>sů našeho svědomí, z hlasů, které se domáhají slyšení při jakémkoli pomyšlení na dnešní a budoucí uspořádání světa, poměru člověka k člověku a ke skutečnosti. Hlas básníka Karla Čapka nezaléhá k nám z dálek minulosti jako sladká ozvěna do</w:t>
      </w:r>
      <w:r>
        <w:t xml:space="preserve">haslých zájmů a sporů, přijímaná bez námitek proto, že je už zpola nesrozumitelná, ale jako živá, vášnivá a plně přítomná apologie, vyzývající k odpovědi a k zaujetí stanoviska. Bylo by prostě předčasné pokoušet se o sdefinitivni zhodnoceni*, jež se rovná </w:t>
      </w:r>
      <w:r>
        <w:t>likvidaci, uložení do pří- hrady a která umožňuje dočasné zapomenuti. Tolik budiž řečeno na omluvu toho, že na hrob bás</w:t>
      </w:r>
      <w:r>
        <w:softHyphen/>
        <w:t>níkův neklademe všeobjímající nekrolog, nýbrž prostou studii, věnovanou jedné z otázek umě</w:t>
      </w:r>
      <w:r>
        <w:softHyphen/>
        <w:t>lecké výstavby Čapkova díla.</w:t>
      </w:r>
    </w:p>
    <w:p w:rsidR="00500724" w:rsidRDefault="00F30FB8">
      <w:pPr>
        <w:pStyle w:val="Zkladntext40"/>
        <w:shd w:val="clear" w:color="auto" w:fill="auto"/>
        <w:spacing w:line="175" w:lineRule="auto"/>
        <w:jc w:val="right"/>
      </w:pPr>
      <w:r>
        <w:t>Název naší studi</w:t>
      </w:r>
      <w:r>
        <w:t>e zdá se na</w:t>
      </w:r>
      <w:r>
        <w:softHyphen/>
        <w:t>značovat omezení materiálu: je</w:t>
      </w:r>
    </w:p>
    <w:p w:rsidR="00500724" w:rsidRDefault="00F30FB8">
      <w:pPr>
        <w:pStyle w:val="Zkladntext40"/>
        <w:shd w:val="clear" w:color="auto" w:fill="auto"/>
        <w:spacing w:after="0" w:line="175" w:lineRule="auto"/>
      </w:pPr>
      <w:r>
        <w:t>proto třeba podotknout, že hod- láme-li vyjít od zvukové stránky Čapkovy prózy, neznamená to, při těsné vzájemné souvislosti všech složek každého jazykového pro</w:t>
      </w:r>
      <w:r>
        <w:softHyphen/>
        <w:t>jevu, že zvuková stránka byla konečným zájmem našeho</w:t>
      </w:r>
      <w:r>
        <w:t xml:space="preserve"> rozbo</w:t>
      </w:r>
      <w:r>
        <w:softHyphen/>
        <w:t>ru; a dále ještě: upínáme-li hlav</w:t>
      </w:r>
      <w:r>
        <w:softHyphen/>
        <w:t>ní zřetel k Čapkově próze, nebude možno při těsné vzájemné sou</w:t>
      </w:r>
      <w:r>
        <w:softHyphen/>
        <w:t>vislosti mezi všemi básnickými výtvory Čapkovými, jež bude je</w:t>
      </w:r>
      <w:r>
        <w:softHyphen/>
        <w:t>ště podrobněji osvětlena — vy</w:t>
      </w:r>
      <w:r>
        <w:softHyphen/>
        <w:t>hnout se Čapkově tvorbě lyrické a zejména dramatické. Epická</w:t>
      </w:r>
      <w:r>
        <w:t xml:space="preserve"> próza je ovšem samo jádro Čap</w:t>
      </w:r>
      <w:r>
        <w:softHyphen/>
        <w:t>kova díla, jak je zřejmo už z to</w:t>
      </w:r>
      <w:r>
        <w:softHyphen/>
        <w:t>ho, že je nositelkou básníkova osobního vývoje: proměnlivost tématická, a hlavně slohová, od prvních výtvarů k posledním Je zde větší než v dramatě: téměř od knihy ke knize měni se tu sloh, kd</w:t>
      </w:r>
      <w:r>
        <w:t>ežto v dramatě zůstává — aspoň od R. U. R. až k Matce —- dialogická technika bez pod</w:t>
      </w:r>
      <w:r>
        <w:softHyphen/>
        <w:t>statné změny. Vývojová proměn</w:t>
      </w:r>
      <w:r>
        <w:softHyphen/>
        <w:t>livost Čapkovy prózy je tedy nad</w:t>
      </w:r>
      <w:r>
        <w:softHyphen/>
        <w:t>míru veliká: již zběžné srovnáni knihy prvni, Krakonošovy za</w:t>
      </w:r>
      <w:r>
        <w:softHyphen/>
        <w:t>hrady, s knihou předposlední, První partou, uka</w:t>
      </w:r>
      <w:r>
        <w:t>zuje názorně, že se změnilo téměř vše: sloh. téma, poměr ve skutečnosti — tam křehká lyrika v próze, zde sloh opřený o mluvu hovorovou, tam kavalírové, bohatí hýřilové, krás</w:t>
      </w:r>
      <w:r>
        <w:softHyphen/>
        <w:t>né ženy, zde horníci ušpinění uhelným prachem, tam podceňo</w:t>
      </w:r>
      <w:r>
        <w:softHyphen/>
        <w:t>váni všední skutečnosti</w:t>
      </w:r>
      <w:r>
        <w:t xml:space="preserve"> a odvrat od ní, zde pozorné zahloubání do jejích záhybů. Přes to přese všechno jsou však tyto krajní mezníky spojeny Ještě něčím ji</w:t>
      </w:r>
      <w:r>
        <w:softHyphen/>
        <w:t>ným než jen jménem autorovým: identitou jistého základního sta</w:t>
      </w:r>
      <w:r>
        <w:softHyphen/>
        <w:t>vebního principu. A tak vznikají vůči dílu Čapkovu dvě zákla</w:t>
      </w:r>
      <w:r>
        <w:t>dní otázky: 1. jaký je tento základ</w:t>
      </w:r>
      <w:r>
        <w:softHyphen/>
        <w:t>ní princip, jenž sjednocuje Čap</w:t>
      </w:r>
      <w:r>
        <w:softHyphen/>
        <w:t>kovo dílo přes vývojové rozrůz</w:t>
      </w:r>
      <w:r>
        <w:softHyphen/>
        <w:t>nění, 2. čím vývojové rozrůzně</w:t>
      </w:r>
      <w:r>
        <w:softHyphen/>
        <w:t>ní bylo způsobeno. Na obě tyto otázky pokusíme se odpovědět rozborem stránky zvukové, ne proto, že by se jen v ní projevo</w:t>
      </w:r>
      <w:r>
        <w:softHyphen/>
        <w:t>vala</w:t>
      </w:r>
      <w:r>
        <w:t xml:space="preserve"> Čapkova básnická osobitost, ale proto, že je nejpřístupnějšim východiskem rozboru.</w:t>
      </w:r>
    </w:p>
    <w:p w:rsidR="00500724" w:rsidRDefault="00F30FB8">
      <w:pPr>
        <w:pStyle w:val="Zkladntext40"/>
        <w:shd w:val="clear" w:color="auto" w:fill="auto"/>
        <w:spacing w:after="0" w:line="175" w:lineRule="auto"/>
      </w:pPr>
      <w:r>
        <w:t>Nejvýraznější a také nejtrvalej</w:t>
      </w:r>
      <w:r>
        <w:softHyphen/>
        <w:t>ší znak zvukové stránky Čapko</w:t>
      </w:r>
      <w:r>
        <w:softHyphen/>
        <w:t>vy prózy je její melodičnost, ji</w:t>
      </w:r>
      <w:r>
        <w:softHyphen/>
        <w:t>nými slovy dominující postavení intonace; počínaje první knihou a konče posle</w:t>
      </w:r>
      <w:r>
        <w:t>dní je Čapkova próza intonace nesena a organisována nejen po stránce zvukové, ale — jak bude ještě ukázáno — i po stránce významové; totéž platí o Čapkově dramatickém dialogu.</w:t>
      </w:r>
    </w:p>
    <w:p w:rsidR="00500724" w:rsidRDefault="00F30FB8">
      <w:pPr>
        <w:pStyle w:val="Zkladntext40"/>
        <w:shd w:val="clear" w:color="auto" w:fill="auto"/>
        <w:spacing w:after="0" w:line="175" w:lineRule="auto"/>
        <w:ind w:firstLine="160"/>
      </w:pPr>
      <w:r>
        <w:t>Intonace byla, zdá se, i pro subjektivní jazykové vědomí Čap</w:t>
      </w:r>
      <w:r>
        <w:softHyphen/>
        <w:t>kovo nejdůležitější</w:t>
      </w:r>
      <w:r>
        <w:t>m organisují- cim činitelem jazykového projevu, onou z jazykových složek, pro jejíž odstiny měl nejjemnější schopnost vnímání. V povídce »Elegie« z Božích muk popisuje takto subjektivní dojem řečníkův</w:t>
      </w:r>
      <w:r>
        <w:br w:type="column"/>
        <w:t>z vlastni řeči: sChvíli poslouchal svůj vlastni hlas; z</w:t>
      </w:r>
      <w:r>
        <w:t>dál se mu hustý a smazaný, těžký v kaden- cích a nepřirozený v přízvucích; i naslouchal mu trpně a s neli</w:t>
      </w:r>
      <w:r>
        <w:softHyphen/>
        <w:t>bosti.* V »Historii dirigenta Ka</w:t>
      </w:r>
      <w:r>
        <w:softHyphen/>
        <w:t>liny*, jedné z Povídek z druhé kapsy, vypravuje Čapek o hudeb</w:t>
      </w:r>
      <w:r>
        <w:softHyphen/>
        <w:t xml:space="preserve">níku, uhadujícim podle intonace neznámého jazyka obsah </w:t>
      </w:r>
      <w:r>
        <w:t>projevu: ^Poslouchejte, to nebyl milostný hovor, to muzikant pozná; milost</w:t>
      </w:r>
      <w:r>
        <w:softHyphen/>
        <w:t>né přemlouvání má docela jinou kadenci a nezní tak jaksi sevře</w:t>
      </w:r>
      <w:r>
        <w:softHyphen/>
        <w:t>ně, milostný hovor je hluboké cello, ale tohle byla vysoká basa, hraná takovým presto rubato, v jedné poloze, jako kdy</w:t>
      </w:r>
      <w:r>
        <w:t>by ten člo</w:t>
      </w:r>
      <w:r>
        <w:softHyphen/>
        <w:t>věk pořád opakoval jednu věc Mne to počalo děsit.* I když oba tyto citáty pocházejí z povídek a jsou výroky, po případě myšlenky fiktivních osob, mají dokumentár</w:t>
      </w:r>
      <w:r>
        <w:softHyphen/>
        <w:t>ní platnost i nro vnímající schop</w:t>
      </w:r>
      <w:r>
        <w:softHyphen/>
        <w:t>nost autora samého a pro jeho poměr k zvuku řeči.</w:t>
      </w:r>
    </w:p>
    <w:p w:rsidR="00500724" w:rsidRDefault="00F30FB8">
      <w:pPr>
        <w:pStyle w:val="Zkladntext40"/>
        <w:shd w:val="clear" w:color="auto" w:fill="auto"/>
        <w:spacing w:after="0" w:line="175" w:lineRule="auto"/>
        <w:ind w:firstLine="180"/>
      </w:pPr>
      <w:r>
        <w:t>O tom, že intonace byla domi</w:t>
      </w:r>
      <w:r>
        <w:softHyphen/>
        <w:t>nující složkou jazykových proje</w:t>
      </w:r>
      <w:r>
        <w:softHyphen/>
        <w:t>vů Čapkových, přesvědčuji nás však především samy autorovy teksty již svou grafickou strán</w:t>
      </w:r>
      <w:r>
        <w:softHyphen/>
        <w:t>kou: zacházení s interpunkcí u Čapka uchyluje se často od ustá- | lených konvencí: najdeme občas | věty</w:t>
      </w:r>
      <w:r>
        <w:t xml:space="preserve"> vedlejší, před kterými není čárka a to v takových případech, kdy by intonační pausa tím vzniklá rozlomila na nežádoucím místě plynulou intonační linii; jin</w:t>
      </w:r>
      <w:r>
        <w:softHyphen/>
        <w:t>dy se opět shledáváme s čárkami na místech, kde podle konvence nutné nejsou, ale slouží — v da</w:t>
      </w:r>
      <w:r>
        <w:softHyphen/>
        <w:t xml:space="preserve">ném </w:t>
      </w:r>
      <w:r>
        <w:t>případě — k charakteristice intonační linie; lze také pozoro</w:t>
      </w:r>
      <w:r>
        <w:softHyphen/>
        <w:t>vat oblibu, kterou Čapek proje</w:t>
      </w:r>
      <w:r>
        <w:softHyphen/>
        <w:t>vuje pro rozdělovači znaménko ji</w:t>
      </w:r>
      <w:r>
        <w:softHyphen/>
        <w:t>nak poměrně řídké, totiž střed</w:t>
      </w:r>
      <w:r>
        <w:softHyphen/>
        <w:t>ník, patrně z toho důvodu, že středník, ač ukončuje větu stejně jako tečka, neodtrhuje ji po stránce</w:t>
      </w:r>
      <w:r>
        <w:t xml:space="preserve"> intonační příliš radikálně od věty následující.</w:t>
      </w:r>
    </w:p>
    <w:p w:rsidR="00500724" w:rsidRDefault="00F30FB8">
      <w:pPr>
        <w:pStyle w:val="Zkladntext40"/>
        <w:shd w:val="clear" w:color="auto" w:fill="auto"/>
        <w:spacing w:after="0" w:line="175" w:lineRule="auto"/>
        <w:ind w:firstLine="180"/>
      </w:pPr>
      <w:r>
        <w:t>Ještě charakterističtější než po</w:t>
      </w:r>
      <w:r>
        <w:softHyphen/>
        <w:t>užití středníku je způsob, jimž Čapek zachází s grafickým zna</w:t>
      </w:r>
      <w:r>
        <w:softHyphen/>
        <w:t>kem pomlky, zejména na konci větných celků. Čapek totiž velmi často pomlku staví na místo, kde konvence pravopis</w:t>
      </w:r>
      <w:r>
        <w:t>ná žádá tečku; stačí otevřít kteroukoli Čapkovu knihu, abychom toho našli dokla</w:t>
      </w:r>
      <w:r>
        <w:softHyphen/>
        <w:t>dy; na př. z povídky »Otcové« (Trapné povídky): »Malá rakvič</w:t>
      </w:r>
      <w:r>
        <w:softHyphen/>
        <w:t>ka se sune výše a táhne za se</w:t>
      </w:r>
      <w:r>
        <w:softHyphen/>
        <w:t>bou černý zástup; malá rakvička, malá smrtka v bílých šatech a s přelomenou svící; tu</w:t>
      </w:r>
      <w:r>
        <w:t>dy chodila ruku v ruce s otcem —«; j&gt;Ticho se dlouži mučivě, těžce, útlačně —«; j&gt;Mladý kněz rozhoupává ka- didelnici; řetízky slabě chrastí, dým stoupá a chvěje se —«. Ve všech těchto dokladech je ovšem použiti pomlky zdůvodněno Jistou významovou neurčito</w:t>
      </w:r>
      <w:r>
        <w:t>stí větné</w:t>
      </w:r>
      <w:r>
        <w:softHyphen/>
        <w:t>ho ukončení: pomlkou má se na</w:t>
      </w:r>
      <w:r>
        <w:softHyphen/>
        <w:t xml:space="preserve">značit citové nebo myšlenkové rozvlněni, slovy nevyjádřené, Jež po větě </w:t>
      </w:r>
      <w:r>
        <w:rPr>
          <w:sz w:val="18"/>
          <w:szCs w:val="18"/>
        </w:rPr>
        <w:t xml:space="preserve">následuje. </w:t>
      </w:r>
      <w:r>
        <w:t xml:space="preserve">Jsou však i </w:t>
      </w:r>
      <w:r>
        <w:rPr>
          <w:lang w:val="en-US" w:eastAsia="en-US" w:bidi="en-US"/>
        </w:rPr>
        <w:t>ta</w:t>
      </w:r>
      <w:r>
        <w:rPr>
          <w:lang w:val="en-US" w:eastAsia="en-US" w:bidi="en-US"/>
        </w:rPr>
        <w:softHyphen/>
      </w:r>
    </w:p>
    <w:p w:rsidR="00500724" w:rsidRDefault="00F30FB8">
      <w:pPr>
        <w:spacing w:line="1" w:lineRule="exact"/>
        <w:rPr>
          <w:sz w:val="2"/>
          <w:szCs w:val="2"/>
        </w:rPr>
      </w:pPr>
      <w:r>
        <w:br w:type="column"/>
      </w:r>
    </w:p>
    <w:p w:rsidR="00500724" w:rsidRDefault="00F30FB8">
      <w:pPr>
        <w:pStyle w:val="Zkladntext30"/>
        <w:shd w:val="clear" w:color="auto" w:fill="auto"/>
        <w:spacing w:after="0" w:line="197" w:lineRule="auto"/>
        <w:ind w:firstLine="0"/>
        <w:rPr>
          <w:sz w:val="20"/>
          <w:szCs w:val="20"/>
        </w:rPr>
      </w:pPr>
      <w:r>
        <w:rPr>
          <w:rFonts w:ascii="Arial" w:eastAsia="Arial" w:hAnsi="Arial" w:cs="Arial"/>
          <w:b/>
          <w:bCs/>
          <w:sz w:val="18"/>
          <w:szCs w:val="18"/>
          <w:lang w:val="en-US" w:eastAsia="en-US" w:bidi="en-US"/>
        </w:rPr>
        <w:t xml:space="preserve">il. </w:t>
      </w:r>
      <w:r>
        <w:rPr>
          <w:i/>
          <w:iCs/>
          <w:sz w:val="20"/>
          <w:szCs w:val="20"/>
          <w:lang w:val="en-US" w:eastAsia="en-US" w:bidi="en-US"/>
        </w:rPr>
        <w:t xml:space="preserve">J. An </w:t>
      </w:r>
      <w:r>
        <w:rPr>
          <w:i/>
          <w:iCs/>
          <w:sz w:val="20"/>
          <w:szCs w:val="20"/>
        </w:rPr>
        <w:t>dr ieu:</w:t>
      </w:r>
    </w:p>
    <w:p w:rsidR="00500724" w:rsidRDefault="00F30FB8">
      <w:pPr>
        <w:pStyle w:val="Jin0"/>
        <w:shd w:val="clear" w:color="auto" w:fill="auto"/>
        <w:spacing w:after="80"/>
        <w:ind w:firstLine="0"/>
        <w:rPr>
          <w:sz w:val="26"/>
          <w:szCs w:val="26"/>
        </w:rPr>
      </w:pPr>
      <w:r>
        <w:rPr>
          <w:sz w:val="26"/>
          <w:szCs w:val="26"/>
        </w:rPr>
        <w:t>TVOŘIT TĚŽCE..,</w:t>
      </w:r>
    </w:p>
    <w:p w:rsidR="00500724" w:rsidRDefault="00F30FB8">
      <w:pPr>
        <w:pStyle w:val="Zkladntext30"/>
        <w:shd w:val="clear" w:color="auto" w:fill="auto"/>
        <w:spacing w:after="0" w:line="199" w:lineRule="auto"/>
        <w:ind w:firstLine="180"/>
        <w:rPr>
          <w:sz w:val="20"/>
          <w:szCs w:val="20"/>
        </w:rPr>
      </w:pPr>
      <w:r>
        <w:rPr>
          <w:i/>
          <w:iCs/>
          <w:sz w:val="20"/>
          <w:szCs w:val="20"/>
        </w:rPr>
        <w:t>Po válce jsme prožívali ob</w:t>
      </w:r>
      <w:r>
        <w:rPr>
          <w:i/>
          <w:iCs/>
          <w:sz w:val="20"/>
          <w:szCs w:val="20"/>
        </w:rPr>
        <w:softHyphen/>
        <w:t>dobí snadnosti. Ale již Zola řekl, že v literatuře »je</w:t>
      </w:r>
      <w:r>
        <w:rPr>
          <w:i/>
          <w:iCs/>
          <w:sz w:val="20"/>
          <w:szCs w:val="20"/>
        </w:rPr>
        <w:t xml:space="preserve"> místo jenom pro lidi, kteří dovedou dřít jako mezci*. Po roce 1918 málokdo — a to i v jiných oborech lidské práce, nejen v literatuře — měl chul opra</w:t>
      </w:r>
      <w:r>
        <w:rPr>
          <w:i/>
          <w:iCs/>
          <w:sz w:val="20"/>
          <w:szCs w:val="20"/>
        </w:rPr>
        <w:softHyphen/>
        <w:t>covat jako mezek*. Ale ro</w:t>
      </w:r>
      <w:r>
        <w:rPr>
          <w:i/>
          <w:iCs/>
          <w:sz w:val="20"/>
          <w:szCs w:val="20"/>
        </w:rPr>
        <w:softHyphen/>
        <w:t>mán není žánr lehký.</w:t>
      </w:r>
    </w:p>
    <w:p w:rsidR="00500724" w:rsidRDefault="00F30FB8">
      <w:pPr>
        <w:pStyle w:val="Zkladntext30"/>
        <w:shd w:val="clear" w:color="auto" w:fill="auto"/>
        <w:spacing w:after="0" w:line="197" w:lineRule="auto"/>
        <w:ind w:firstLine="180"/>
        <w:rPr>
          <w:sz w:val="20"/>
          <w:szCs w:val="20"/>
        </w:rPr>
      </w:pPr>
      <w:r>
        <w:rPr>
          <w:i/>
          <w:iCs/>
          <w:sz w:val="20"/>
          <w:szCs w:val="20"/>
        </w:rPr>
        <w:t>Kde jsou dnes naši Balza- cové, Zolové nebo Flauber- tové?</w:t>
      </w:r>
      <w:r>
        <w:rPr>
          <w:i/>
          <w:iCs/>
          <w:sz w:val="20"/>
          <w:szCs w:val="20"/>
        </w:rPr>
        <w:t xml:space="preserve"> Řeknete, že to není otázka práce, nýbrž obraz</w:t>
      </w:r>
      <w:r>
        <w:rPr>
          <w:i/>
          <w:iCs/>
          <w:sz w:val="20"/>
          <w:szCs w:val="20"/>
        </w:rPr>
        <w:softHyphen/>
        <w:t>nosti, a že dnešek překonává svými úžasnostmí výtvory lidského ducha. Na to vám odpovím, že obraznost, jakož</w:t>
      </w:r>
      <w:r>
        <w:rPr>
          <w:i/>
          <w:iCs/>
          <w:sz w:val="20"/>
          <w:szCs w:val="20"/>
        </w:rPr>
        <w:softHyphen/>
        <w:t>to inspirace, je otázka práce a že říkat, že doba nás pře</w:t>
      </w:r>
      <w:r>
        <w:rPr>
          <w:i/>
          <w:iCs/>
          <w:sz w:val="20"/>
          <w:szCs w:val="20"/>
        </w:rPr>
        <w:softHyphen/>
        <w:t>sahuje, je jedna z těch ne</w:t>
      </w:r>
      <w:r>
        <w:rPr>
          <w:i/>
          <w:iCs/>
          <w:sz w:val="20"/>
          <w:szCs w:val="20"/>
        </w:rPr>
        <w:softHyphen/>
        <w:t>sčetných abdika</w:t>
      </w:r>
      <w:r>
        <w:rPr>
          <w:i/>
          <w:iCs/>
          <w:sz w:val="20"/>
          <w:szCs w:val="20"/>
        </w:rPr>
        <w:t>cí lidského ducha, které pomáhaly obra</w:t>
      </w:r>
      <w:r>
        <w:rPr>
          <w:i/>
          <w:iCs/>
          <w:sz w:val="20"/>
          <w:szCs w:val="20"/>
        </w:rPr>
        <w:softHyphen/>
        <w:t>cet toto století vzhůru noha</w:t>
      </w:r>
      <w:r>
        <w:rPr>
          <w:i/>
          <w:iCs/>
          <w:sz w:val="20"/>
          <w:szCs w:val="20"/>
        </w:rPr>
        <w:softHyphen/>
        <w:t>ma.</w:t>
      </w:r>
    </w:p>
    <w:p w:rsidR="00500724" w:rsidRDefault="00F30FB8">
      <w:pPr>
        <w:pStyle w:val="Zkladntext30"/>
        <w:shd w:val="clear" w:color="auto" w:fill="auto"/>
        <w:spacing w:after="320" w:line="197" w:lineRule="auto"/>
        <w:ind w:firstLine="180"/>
        <w:rPr>
          <w:sz w:val="20"/>
          <w:szCs w:val="20"/>
        </w:rPr>
      </w:pPr>
      <w:r>
        <w:rPr>
          <w:i/>
          <w:iCs/>
          <w:sz w:val="20"/>
          <w:szCs w:val="20"/>
        </w:rPr>
        <w:t>Je naopak třeba dospět k přesvědčení, že. snadnost je neblahá, že duch se musí vždycky cítit nad událostmi a že autor musí dřít a potý</w:t>
      </w:r>
      <w:r>
        <w:rPr>
          <w:i/>
          <w:iCs/>
          <w:sz w:val="20"/>
          <w:szCs w:val="20"/>
        </w:rPr>
        <w:softHyphen/>
        <w:t>kat se se svou prací jako s býkem. To potom divác</w:t>
      </w:r>
      <w:r>
        <w:rPr>
          <w:i/>
          <w:iCs/>
          <w:sz w:val="20"/>
          <w:szCs w:val="20"/>
        </w:rPr>
        <w:t xml:space="preserve">i v aréně znovu propuknou </w:t>
      </w:r>
      <w:r>
        <w:rPr>
          <w:i/>
          <w:iCs/>
          <w:sz w:val="20"/>
          <w:szCs w:val="20"/>
          <w:u w:val="single"/>
        </w:rPr>
        <w:t>v potlesk.</w:t>
      </w:r>
    </w:p>
    <w:p w:rsidR="00500724" w:rsidRDefault="00F30FB8">
      <w:pPr>
        <w:pStyle w:val="Zkladntext40"/>
        <w:shd w:val="clear" w:color="auto" w:fill="auto"/>
        <w:spacing w:after="40" w:line="175" w:lineRule="auto"/>
        <w:sectPr w:rsidR="00500724">
          <w:footnotePr>
            <w:numFmt w:val="chicago"/>
            <w:numRestart w:val="eachPage"/>
          </w:footnotePr>
          <w:type w:val="continuous"/>
          <w:pgSz w:w="11909" w:h="16834"/>
          <w:pgMar w:top="3142" w:right="703" w:bottom="953" w:left="742" w:header="0" w:footer="3" w:gutter="0"/>
          <w:cols w:num="4" w:sep="1" w:space="100"/>
          <w:noEndnote/>
          <w:docGrid w:linePitch="360"/>
        </w:sectPr>
      </w:pPr>
      <w:r>
        <w:t>kové případy, kdy pomlka vyjad</w:t>
      </w:r>
      <w:r>
        <w:softHyphen/>
        <w:t>řuje — při větném smyslu náleži</w:t>
      </w:r>
      <w:r>
        <w:softHyphen/>
        <w:t>tě uzavřeném — náhlý obrat myšlenky, jenž se udál od věty předchozí k následující: »Měl už jistý plán a podrobný dohad; ale n</w:t>
      </w:r>
      <w:r>
        <w:t>yní to vše odpadá jaksi samo se</w:t>
      </w:r>
      <w:r>
        <w:softHyphen/>
        <w:t>bou — '■b-čšně se rýsuje nová al</w:t>
      </w:r>
      <w:r>
        <w:softHyphen/>
        <w:t>ternativa jednáni*; »Cím je něco obyčejnější, tím snáze se to sta</w:t>
      </w:r>
      <w:r>
        <w:softHyphen/>
        <w:t>ne. Některé fakty se obyčejně ob</w:t>
      </w:r>
      <w:r>
        <w:softHyphen/>
        <w:t>jevují sdruženy, ne z nějaké nut</w:t>
      </w:r>
      <w:r>
        <w:softHyphen/>
        <w:t>né pří činnosti, nýbrž jaksi náhod</w:t>
      </w:r>
      <w:r>
        <w:softHyphen/>
        <w:t>ně, ze zvyku a bezděky —</w:t>
      </w:r>
      <w:r>
        <w:t xml:space="preserve"> Zkrát</w:t>
      </w:r>
      <w:r>
        <w:softHyphen/>
        <w:t>ka nezávisí to na nás* (Boží mu</w:t>
      </w:r>
      <w:r>
        <w:softHyphen/>
        <w:t>ka, Lída). Jindy konečně je dů</w:t>
      </w:r>
      <w:r>
        <w:softHyphen/>
        <w:t>vod použiti pomlky jedině into</w:t>
      </w:r>
      <w:r>
        <w:softHyphen/>
        <w:t>nační: jde o to, aby věta vyzněla bez příkré kadence: »Každá moc jen rozhoduje o věcech; v tom je její sila i samozřejmost — Jedi</w:t>
      </w:r>
      <w:r>
        <w:softHyphen/>
        <w:t>ný evidentní soud je rozk</w:t>
      </w:r>
      <w:r>
        <w:t>az* (Bo</w:t>
      </w:r>
      <w:r>
        <w:softHyphen/>
        <w:t>ží muka, Hora). Pomlky užívá Čapek i jinak hojně; vyskytuje se u něho často i uvnitř vět, za nej</w:t>
      </w:r>
      <w:r>
        <w:softHyphen/>
        <w:t>rozmanitějšími účely stylistický</w:t>
      </w:r>
      <w:r>
        <w:softHyphen/>
        <w:t>mi, vždy však v platnosti into</w:t>
      </w:r>
      <w:r>
        <w:softHyphen/>
        <w:t>nační: »Tu pocítil Jevíšek bolest, nadšení, hrůzu — lásku a pora</w:t>
      </w:r>
      <w:r>
        <w:softHyphen/>
        <w:t>nění, radost, pláč a v</w:t>
      </w:r>
      <w:r>
        <w:t>ášnivou sta</w:t>
      </w:r>
      <w:r>
        <w:softHyphen/>
        <w:t>tečnost* (Boží muka, Hora); »Sedl si a mluvil — ani slovem se nedotkl toho, že se něco stalo, že ji hledal, že něco se má vy</w:t>
      </w:r>
      <w:r>
        <w:softHyphen/>
        <w:t>světlit* (Trapné povídky, Hele</w:t>
      </w:r>
      <w:r>
        <w:softHyphen/>
        <w:t>na' Ještě častější než ve vypra</w:t>
      </w:r>
      <w:r>
        <w:softHyphen/>
        <w:t xml:space="preserve">vování nebo úvaze je pomlka </w:t>
      </w:r>
      <w:r>
        <w:rPr>
          <w:b/>
          <w:bCs/>
          <w:sz w:val="19"/>
          <w:szCs w:val="19"/>
        </w:rPr>
        <w:t xml:space="preserve">u </w:t>
      </w:r>
      <w:r>
        <w:t xml:space="preserve">Čapka </w:t>
      </w:r>
      <w:r>
        <w:rPr>
          <w:b/>
          <w:bCs/>
          <w:sz w:val="19"/>
          <w:szCs w:val="19"/>
        </w:rPr>
        <w:t xml:space="preserve">v </w:t>
      </w:r>
      <w:r>
        <w:t xml:space="preserve">dialozích, af </w:t>
      </w:r>
      <w:r>
        <w:t>románo-</w:t>
      </w:r>
    </w:p>
    <w:p w:rsidR="00500724" w:rsidRDefault="00F30FB8">
      <w:pPr>
        <w:pStyle w:val="Zkladntext40"/>
        <w:framePr w:w="2635" w:h="4896" w:wrap="none" w:vAnchor="text" w:hAnchor="page" w:x="651" w:y="21"/>
        <w:shd w:val="clear" w:color="auto" w:fill="auto"/>
        <w:spacing w:after="0" w:line="175" w:lineRule="auto"/>
        <w:ind w:firstLine="140"/>
      </w:pPr>
      <w:r>
        <w:t xml:space="preserve">vých a povídkových, </w:t>
      </w:r>
      <w:r>
        <w:rPr>
          <w:lang w:val="en-US" w:eastAsia="en-US" w:bidi="en-US"/>
        </w:rPr>
        <w:t xml:space="preserve">at </w:t>
      </w:r>
      <w:r>
        <w:t>dramatic</w:t>
      </w:r>
      <w:r>
        <w:softHyphen/>
        <w:t xml:space="preserve">kých. Je Jí vyznačována odmlka </w:t>
      </w:r>
      <w:r>
        <w:rPr>
          <w:b/>
          <w:bCs/>
          <w:sz w:val="14"/>
          <w:szCs w:val="14"/>
        </w:rPr>
        <w:t xml:space="preserve">v </w:t>
      </w:r>
      <w:r>
        <w:t>hovoru, váhání v řeči vzruše</w:t>
      </w:r>
      <w:r>
        <w:softHyphen/>
        <w:t>né. nesmélé (Galén v Bílé nemo</w:t>
      </w:r>
      <w:r>
        <w:softHyphen/>
        <w:t>ci*. hledáni vhodného nebo šetr</w:t>
      </w:r>
      <w:r>
        <w:softHyphen/>
        <w:t>ného výrazu, odmlčení, náhlý obrat myšlenek, nedopovédění ne</w:t>
      </w:r>
      <w:r>
        <w:softHyphen/>
        <w:t>bo 1 pouhý záhyb myšlenky, za</w:t>
      </w:r>
      <w:r>
        <w:softHyphen/>
      </w:r>
      <w:r>
        <w:t>váháni hlasu, nenucený konver- sačnl tón.</w:t>
      </w:r>
    </w:p>
    <w:p w:rsidR="00500724" w:rsidRDefault="00F30FB8">
      <w:pPr>
        <w:pStyle w:val="Zkladntext40"/>
        <w:framePr w:w="2635" w:h="4896" w:wrap="none" w:vAnchor="text" w:hAnchor="page" w:x="651" w:y="21"/>
        <w:shd w:val="clear" w:color="auto" w:fill="auto"/>
        <w:spacing w:after="0" w:line="168" w:lineRule="auto"/>
        <w:ind w:firstLine="140"/>
      </w:pPr>
      <w:r>
        <w:t>Uvedeme několik příkladů z dra</w:t>
      </w:r>
      <w:r>
        <w:softHyphen/>
        <w:t>matu Matka: »Já nevím; ale po druhé bych nechtěl — hu! Příšer</w:t>
      </w:r>
      <w:r>
        <w:softHyphen/>
        <w:t xml:space="preserve">ný pocit!*; »Ale maminko, to už jsem ti přece tolikrát vysvětloval — Nechtěl jsem. aby sis dělala starosti*; Byl jsi těm </w:t>
      </w:r>
      <w:r>
        <w:t>druhým dě</w:t>
      </w:r>
      <w:r>
        <w:softHyphen/>
        <w:t>tem místo otce — takový moudrý a odpovědný — A najednou, prásk, ujedeš si na rovník a ze</w:t>
      </w:r>
      <w:r>
        <w:softHyphen/>
        <w:t>mřeš mi tam na žlutou zimnici*; »Mohl Jsi být doma a léčit — ne</w:t>
      </w:r>
      <w:r>
        <w:softHyphen/>
        <w:t>bo pomáhat na svět dětem —*. Velmi časté Je v dramatickém dialogu užiti pomlky v případech, k</w:t>
      </w:r>
      <w:r>
        <w:t xml:space="preserve">dy větu načatou osobou jednou přebírá osoba druhá. Takovéto přejímání věty bývá motivováno neírlznějšimi způsoby, někdy se </w:t>
      </w:r>
      <w:r>
        <w:rPr>
          <w:rFonts w:ascii="Arial" w:eastAsia="Arial" w:hAnsi="Arial" w:cs="Arial"/>
          <w:b/>
          <w:bCs/>
          <w:w w:val="70"/>
          <w:sz w:val="28"/>
          <w:szCs w:val="28"/>
        </w:rPr>
        <w:t xml:space="preserve">s </w:t>
      </w:r>
      <w:r>
        <w:t>ním provádí složitá a rafinova- . ná hra. Tak na př. v předehře ' dramatu R. U. R.</w:t>
      </w:r>
    </w:p>
    <w:p w:rsidR="00500724" w:rsidRDefault="00F30FB8">
      <w:pPr>
        <w:pStyle w:val="Zkladntext40"/>
        <w:framePr w:w="2635" w:h="4896" w:wrap="none" w:vAnchor="text" w:hAnchor="page" w:x="651" w:y="21"/>
        <w:shd w:val="clear" w:color="auto" w:fill="auto"/>
        <w:spacing w:after="0" w:line="173" w:lineRule="auto"/>
        <w:ind w:firstLine="180"/>
      </w:pPr>
      <w:r>
        <w:t>Helena: Já jsem přijela —</w:t>
      </w:r>
    </w:p>
    <w:p w:rsidR="00500724" w:rsidRDefault="00F30FB8">
      <w:pPr>
        <w:pStyle w:val="Zkladntext40"/>
        <w:framePr w:w="2635" w:h="4896" w:wrap="none" w:vAnchor="text" w:hAnchor="page" w:x="651" w:y="21"/>
        <w:shd w:val="clear" w:color="auto" w:fill="auto"/>
        <w:spacing w:after="0" w:line="170" w:lineRule="auto"/>
        <w:ind w:firstLine="180"/>
      </w:pPr>
      <w:r>
        <w:t>Domin: — podívat se na</w:t>
      </w:r>
      <w:r>
        <w:t xml:space="preserve"> naši tovární výrobu Udí. Jako všechny návštěvy. Prosím, beze všeho.</w:t>
      </w:r>
    </w:p>
    <w:p w:rsidR="00500724" w:rsidRDefault="00F30FB8">
      <w:pPr>
        <w:pStyle w:val="Zkladntext40"/>
        <w:framePr w:w="2635" w:h="4896" w:wrap="none" w:vAnchor="text" w:hAnchor="page" w:x="651" w:y="21"/>
        <w:shd w:val="clear" w:color="auto" w:fill="auto"/>
        <w:spacing w:after="0" w:line="161" w:lineRule="auto"/>
        <w:ind w:firstLine="180"/>
      </w:pPr>
      <w:r>
        <w:t>Helena: Myslela Jsem, že je za</w:t>
      </w:r>
      <w:r>
        <w:softHyphen/>
        <w:t>kázáno —</w:t>
      </w:r>
    </w:p>
    <w:p w:rsidR="00500724" w:rsidRDefault="00F30FB8">
      <w:pPr>
        <w:pStyle w:val="Jin0"/>
        <w:framePr w:w="4742" w:h="355" w:wrap="none" w:vAnchor="text" w:hAnchor="page" w:x="4117" w:y="4043"/>
        <w:shd w:val="clear" w:color="auto" w:fill="auto"/>
        <w:ind w:firstLine="0"/>
        <w:jc w:val="left"/>
        <w:rPr>
          <w:sz w:val="26"/>
          <w:szCs w:val="26"/>
        </w:rPr>
      </w:pPr>
      <w:r>
        <w:rPr>
          <w:b/>
          <w:bCs/>
          <w:sz w:val="26"/>
          <w:szCs w:val="26"/>
        </w:rPr>
        <w:t>Dražší vůz - levnější jízda ...</w:t>
      </w:r>
    </w:p>
    <w:p w:rsidR="00500724" w:rsidRDefault="00F30FB8">
      <w:pPr>
        <w:pStyle w:val="Zkladntext40"/>
        <w:framePr w:w="2678" w:h="10181" w:wrap="none" w:vAnchor="text" w:hAnchor="page" w:x="584" w:y="4873"/>
        <w:shd w:val="clear" w:color="auto" w:fill="auto"/>
        <w:spacing w:after="0" w:line="173" w:lineRule="auto"/>
        <w:ind w:firstLine="220"/>
      </w:pPr>
      <w:r>
        <w:t xml:space="preserve">Domin: — vstoupit do továrny, ovšem. Jenže každý sem přijde </w:t>
      </w:r>
      <w:r>
        <w:rPr>
          <w:rFonts w:ascii="Arial" w:eastAsia="Arial" w:hAnsi="Arial" w:cs="Arial"/>
          <w:b/>
          <w:bCs/>
          <w:w w:val="70"/>
          <w:sz w:val="28"/>
          <w:szCs w:val="28"/>
        </w:rPr>
        <w:t xml:space="preserve">s </w:t>
      </w:r>
      <w:r>
        <w:t>něčí visitkou. slečno Gloryová.</w:t>
      </w:r>
    </w:p>
    <w:p w:rsidR="00500724" w:rsidRDefault="00F30FB8">
      <w:pPr>
        <w:pStyle w:val="Zkladntext40"/>
        <w:framePr w:w="2678" w:h="10181" w:wrap="none" w:vAnchor="text" w:hAnchor="page" w:x="584" w:y="4873"/>
        <w:shd w:val="clear" w:color="auto" w:fill="auto"/>
        <w:spacing w:after="0" w:line="146" w:lineRule="auto"/>
        <w:ind w:firstLine="220"/>
      </w:pPr>
      <w:r>
        <w:t xml:space="preserve">Helena: A vy ukážete </w:t>
      </w:r>
      <w:r>
        <w:t>každé</w:t>
      </w:r>
      <w:r>
        <w:softHyphen/>
      </w:r>
    </w:p>
    <w:p w:rsidR="00500724" w:rsidRDefault="00F30FB8">
      <w:pPr>
        <w:pStyle w:val="Zkladntext100"/>
        <w:framePr w:w="2678" w:h="10181" w:wrap="none" w:vAnchor="text" w:hAnchor="page" w:x="584" w:y="4873"/>
        <w:shd w:val="clear" w:color="auto" w:fill="auto"/>
        <w:spacing w:line="146" w:lineRule="auto"/>
        <w:ind w:firstLine="0"/>
        <w:jc w:val="left"/>
      </w:pPr>
      <w:r>
        <w:t>mu ...?</w:t>
      </w:r>
    </w:p>
    <w:p w:rsidR="00500724" w:rsidRDefault="00F30FB8">
      <w:pPr>
        <w:pStyle w:val="Zkladntext40"/>
        <w:framePr w:w="2678" w:h="10181" w:wrap="none" w:vAnchor="text" w:hAnchor="page" w:x="584" w:y="4873"/>
        <w:shd w:val="clear" w:color="auto" w:fill="auto"/>
        <w:spacing w:after="0" w:line="170" w:lineRule="auto"/>
        <w:ind w:firstLine="220"/>
      </w:pPr>
      <w:r>
        <w:t>Domin: Jen něco. Výroba umě</w:t>
      </w:r>
      <w:r>
        <w:softHyphen/>
        <w:t>lých lidí. slečno. Je tovární ta</w:t>
      </w:r>
      <w:r>
        <w:softHyphen/>
        <w:t>jemství.</w:t>
      </w:r>
    </w:p>
    <w:p w:rsidR="00500724" w:rsidRDefault="00F30FB8">
      <w:pPr>
        <w:pStyle w:val="Zkladntext40"/>
        <w:framePr w:w="2678" w:h="10181" w:wrap="none" w:vAnchor="text" w:hAnchor="page" w:x="584" w:y="4873"/>
        <w:shd w:val="clear" w:color="auto" w:fill="auto"/>
        <w:spacing w:after="0" w:line="161" w:lineRule="auto"/>
        <w:ind w:firstLine="220"/>
        <w:jc w:val="left"/>
      </w:pPr>
      <w:r>
        <w:t>Helena: Kdybyste věděl. Jak mne to —</w:t>
      </w:r>
    </w:p>
    <w:p w:rsidR="00500724" w:rsidRDefault="00F30FB8">
      <w:pPr>
        <w:pStyle w:val="Zkladntext40"/>
        <w:framePr w:w="2678" w:h="10181" w:wrap="none" w:vAnchor="text" w:hAnchor="page" w:x="584" w:y="4873"/>
        <w:shd w:val="clear" w:color="auto" w:fill="auto"/>
        <w:spacing w:after="0" w:line="180" w:lineRule="auto"/>
        <w:ind w:firstLine="220"/>
        <w:jc w:val="left"/>
      </w:pPr>
      <w:r>
        <w:t>Domin: — nesmírně zajímá. Stará Evropa o jiném nemluví.</w:t>
      </w:r>
    </w:p>
    <w:p w:rsidR="00500724" w:rsidRDefault="00F30FB8">
      <w:pPr>
        <w:pStyle w:val="Zkladntext40"/>
        <w:framePr w:w="2678" w:h="10181" w:wrap="none" w:vAnchor="text" w:hAnchor="page" w:x="584" w:y="4873"/>
        <w:shd w:val="clear" w:color="auto" w:fill="auto"/>
        <w:spacing w:after="0" w:line="161" w:lineRule="auto"/>
        <w:ind w:firstLine="220"/>
        <w:jc w:val="left"/>
      </w:pPr>
      <w:r>
        <w:t>Helena: Proč mne nenecháte domluvit?</w:t>
      </w:r>
    </w:p>
    <w:p w:rsidR="00500724" w:rsidRDefault="00F30FB8">
      <w:pPr>
        <w:pStyle w:val="Zkladntext40"/>
        <w:framePr w:w="2678" w:h="10181" w:wrap="none" w:vAnchor="text" w:hAnchor="page" w:x="584" w:y="4873"/>
        <w:shd w:val="clear" w:color="auto" w:fill="auto"/>
        <w:spacing w:after="0" w:line="170" w:lineRule="auto"/>
        <w:ind w:firstLine="220"/>
        <w:jc w:val="left"/>
      </w:pPr>
      <w:r>
        <w:t xml:space="preserve">Domin: Prosím za prominutí. Chtěla jste </w:t>
      </w:r>
      <w:r>
        <w:t>snad říci něco Jiného? j</w:t>
      </w:r>
    </w:p>
    <w:p w:rsidR="00500724" w:rsidRDefault="00F30FB8">
      <w:pPr>
        <w:pStyle w:val="Zkladntext40"/>
        <w:framePr w:w="2678" w:h="10181" w:wrap="none" w:vAnchor="text" w:hAnchor="page" w:x="584" w:y="4873"/>
        <w:shd w:val="clear" w:color="auto" w:fill="auto"/>
        <w:spacing w:after="0" w:line="170" w:lineRule="auto"/>
        <w:ind w:firstLine="220"/>
        <w:jc w:val="left"/>
      </w:pPr>
      <w:r>
        <w:t>Helena: Chtěla Jsem se jen ze</w:t>
      </w:r>
      <w:r>
        <w:softHyphen/>
        <w:t>ptat —</w:t>
      </w:r>
    </w:p>
    <w:p w:rsidR="00500724" w:rsidRDefault="00F30FB8">
      <w:pPr>
        <w:pStyle w:val="Zkladntext40"/>
        <w:framePr w:w="2678" w:h="10181" w:wrap="none" w:vAnchor="text" w:hAnchor="page" w:x="584" w:y="4873"/>
        <w:shd w:val="clear" w:color="auto" w:fill="auto"/>
        <w:spacing w:after="0"/>
        <w:ind w:firstLine="220"/>
      </w:pPr>
      <w:r>
        <w:t>Domin: — zda bych vám zcela ' výjimečně neukázal naši továrnu. ! Ale zajisté, slečno Gloryová.</w:t>
      </w:r>
    </w:p>
    <w:p w:rsidR="00500724" w:rsidRDefault="00F30FB8">
      <w:pPr>
        <w:pStyle w:val="Zkladntext40"/>
        <w:framePr w:w="2678" w:h="10181" w:wrap="none" w:vAnchor="text" w:hAnchor="page" w:x="584" w:y="4873"/>
        <w:shd w:val="clear" w:color="auto" w:fill="auto"/>
        <w:spacing w:after="0" w:line="146" w:lineRule="auto"/>
        <w:ind w:firstLine="220"/>
        <w:jc w:val="left"/>
      </w:pPr>
      <w:r>
        <w:t xml:space="preserve">Helena: Jak víte, že jsem se na </w:t>
      </w:r>
      <w:r>
        <w:rPr>
          <w:sz w:val="18"/>
          <w:szCs w:val="18"/>
        </w:rPr>
        <w:t xml:space="preserve">to </w:t>
      </w:r>
      <w:r>
        <w:t>chtěla ptát?</w:t>
      </w:r>
    </w:p>
    <w:p w:rsidR="00500724" w:rsidRDefault="00F30FB8">
      <w:pPr>
        <w:pStyle w:val="Zkladntext40"/>
        <w:framePr w:w="2678" w:h="10181" w:wrap="none" w:vAnchor="text" w:hAnchor="page" w:x="584" w:y="4873"/>
        <w:shd w:val="clear" w:color="auto" w:fill="auto"/>
        <w:spacing w:after="0" w:line="161" w:lineRule="auto"/>
        <w:ind w:firstLine="220"/>
      </w:pPr>
      <w:r>
        <w:t>Domin: Všichni se ptají stejně.</w:t>
      </w:r>
    </w:p>
    <w:p w:rsidR="00500724" w:rsidRDefault="00F30FB8">
      <w:pPr>
        <w:pStyle w:val="Zkladntext40"/>
        <w:framePr w:w="2678" w:h="10181" w:wrap="none" w:vAnchor="text" w:hAnchor="page" w:x="584" w:y="4873"/>
        <w:shd w:val="clear" w:color="auto" w:fill="auto"/>
        <w:spacing w:after="0"/>
        <w:ind w:firstLine="220"/>
      </w:pPr>
      <w:r>
        <w:t xml:space="preserve">Přejímání </w:t>
      </w:r>
      <w:r>
        <w:t>nedopovědné věty je i tu motivováno obvyklostí otázek; zároveň se jím však naznačuje převaha Dominová, jeho poněkud šarlatánská výmluvnost atd. Zce</w:t>
      </w:r>
      <w:r>
        <w:softHyphen/>
        <w:t>la jiná je významová funkce ta</w:t>
      </w:r>
      <w:r>
        <w:softHyphen/>
        <w:t>kového přejímáni v následujícím dialogu z druhého dějství R. U. R.</w:t>
      </w:r>
    </w:p>
    <w:p w:rsidR="00500724" w:rsidRDefault="00F30FB8">
      <w:pPr>
        <w:pStyle w:val="Zkladntext40"/>
        <w:framePr w:w="2678" w:h="10181" w:wrap="none" w:vAnchor="text" w:hAnchor="page" w:x="584" w:y="4873"/>
        <w:shd w:val="clear" w:color="auto" w:fill="auto"/>
        <w:spacing w:after="0" w:line="180" w:lineRule="auto"/>
        <w:ind w:firstLine="220"/>
        <w:jc w:val="left"/>
      </w:pPr>
      <w:r>
        <w:rPr>
          <w:lang w:val="en-US" w:eastAsia="en-US" w:bidi="en-US"/>
        </w:rPr>
        <w:t xml:space="preserve">Fabry: </w:t>
      </w:r>
      <w:r>
        <w:t>Udě</w:t>
      </w:r>
      <w:r>
        <w:t>lala Jste dobře, paní Heleno. Roboti se nemohou roz- | množit. Roboti vyhynou. Do dva</w:t>
      </w:r>
      <w:r>
        <w:softHyphen/>
        <w:t>ceti let —</w:t>
      </w:r>
    </w:p>
    <w:p w:rsidR="00500724" w:rsidRDefault="00F30FB8">
      <w:pPr>
        <w:pStyle w:val="Zkladntext40"/>
        <w:framePr w:w="2678" w:h="10181" w:wrap="none" w:vAnchor="text" w:hAnchor="page" w:x="584" w:y="4873"/>
        <w:shd w:val="clear" w:color="auto" w:fill="auto"/>
        <w:spacing w:after="0" w:line="180" w:lineRule="auto"/>
        <w:ind w:firstLine="220"/>
        <w:jc w:val="left"/>
      </w:pPr>
      <w:r>
        <w:t>Hallemeier: — nebude už ani jeden z těch ničemů.</w:t>
      </w:r>
    </w:p>
    <w:p w:rsidR="00500724" w:rsidRDefault="00F30FB8">
      <w:pPr>
        <w:pStyle w:val="Zkladntext40"/>
        <w:framePr w:w="2678" w:h="10181" w:wrap="none" w:vAnchor="text" w:hAnchor="page" w:x="584" w:y="4873"/>
        <w:shd w:val="clear" w:color="auto" w:fill="auto"/>
        <w:tabs>
          <w:tab w:val="left" w:pos="2563"/>
        </w:tabs>
        <w:spacing w:after="0" w:line="180" w:lineRule="auto"/>
        <w:ind w:firstLine="220"/>
      </w:pPr>
      <w:r>
        <w:t xml:space="preserve">Dr. </w:t>
      </w:r>
      <w:r>
        <w:rPr>
          <w:lang w:val="en-US" w:eastAsia="en-US" w:bidi="en-US"/>
        </w:rPr>
        <w:t xml:space="preserve">Gall: </w:t>
      </w:r>
      <w:r>
        <w:t>A lidstvo zůstane. Za dvacet let bude svět jejich; i kdy</w:t>
      </w:r>
      <w:r>
        <w:softHyphen/>
        <w:t>by to bylo jen pár divochů na nejmenšim ost</w:t>
      </w:r>
      <w:r>
        <w:t>rově —</w:t>
      </w:r>
      <w:r>
        <w:tab/>
        <w:t>l</w:t>
      </w:r>
    </w:p>
    <w:p w:rsidR="00500724" w:rsidRDefault="00F30FB8">
      <w:pPr>
        <w:pStyle w:val="Zkladntext40"/>
        <w:framePr w:w="2678" w:h="10181" w:wrap="none" w:vAnchor="text" w:hAnchor="page" w:x="584" w:y="4873"/>
        <w:shd w:val="clear" w:color="auto" w:fill="auto"/>
        <w:spacing w:after="0" w:line="180" w:lineRule="auto"/>
        <w:ind w:firstLine="220"/>
        <w:jc w:val="left"/>
      </w:pPr>
      <w:r>
        <w:rPr>
          <w:lang w:val="en-US" w:eastAsia="en-US" w:bidi="en-US"/>
        </w:rPr>
        <w:t xml:space="preserve">Fabry: </w:t>
      </w:r>
      <w:r>
        <w:t>— bude to začátek. A ; pokud je nějaký začátek, je dobře. Za tisíc let nás mohou dohonit, a pak půjdou dál než my —</w:t>
      </w:r>
    </w:p>
    <w:p w:rsidR="00500724" w:rsidRDefault="00F30FB8">
      <w:pPr>
        <w:pStyle w:val="Zkladntext40"/>
        <w:framePr w:w="2678" w:h="10181" w:wrap="none" w:vAnchor="text" w:hAnchor="page" w:x="584" w:y="4873"/>
        <w:shd w:val="clear" w:color="auto" w:fill="auto"/>
        <w:spacing w:after="0" w:line="180" w:lineRule="auto"/>
        <w:ind w:firstLine="220"/>
        <w:jc w:val="left"/>
      </w:pPr>
      <w:r>
        <w:t>Domin: — aby splnili, co jsme my jen koktali v myšlenkách.</w:t>
      </w:r>
    </w:p>
    <w:p w:rsidR="00500724" w:rsidRDefault="00F30FB8">
      <w:pPr>
        <w:pStyle w:val="Zkladntext40"/>
        <w:framePr w:w="2678" w:h="10181" w:wrap="none" w:vAnchor="text" w:hAnchor="page" w:x="584" w:y="4873"/>
        <w:shd w:val="clear" w:color="auto" w:fill="auto"/>
        <w:spacing w:after="0" w:line="175" w:lineRule="auto"/>
        <w:ind w:firstLine="220"/>
      </w:pPr>
      <w:r>
        <w:t>Věta je tu druhou osobou pře</w:t>
      </w:r>
      <w:r>
        <w:softHyphen/>
        <w:t xml:space="preserve">bírána nikoli proto, že by osoba </w:t>
      </w:r>
      <w:r>
        <w:t>osobě &gt;skákala do řeči*, ale pro</w:t>
      </w:r>
      <w:r>
        <w:softHyphen/>
        <w:t>to. aby lyrický part byl po způ</w:t>
      </w:r>
      <w:r>
        <w:softHyphen/>
        <w:t>sobu litanie rozdělen mezi osoby různé výšky hlasu a různého hla</w:t>
      </w:r>
      <w:r>
        <w:softHyphen/>
        <w:t>sového zabarveni. Grafický znak pomlky objevuje se zde jako no</w:t>
      </w:r>
      <w:r>
        <w:softHyphen/>
        <w:t>sitel čisté intonace, bez zvláštní funkce významové nebo charak</w:t>
      </w:r>
      <w:r>
        <w:t>- terisační.</w:t>
      </w:r>
    </w:p>
    <w:p w:rsidR="00500724" w:rsidRDefault="00F30FB8">
      <w:pPr>
        <w:pStyle w:val="Zkladntext40"/>
        <w:framePr w:w="2678" w:h="10181" w:wrap="none" w:vAnchor="text" w:hAnchor="page" w:x="584" w:y="4873"/>
        <w:shd w:val="clear" w:color="auto" w:fill="auto"/>
        <w:spacing w:after="0" w:line="175" w:lineRule="auto"/>
        <w:ind w:firstLine="220"/>
      </w:pPr>
      <w:r>
        <w:t>Probrali Jsme podrobněji jedno z interpunkčních znamení Čapko</w:t>
      </w:r>
      <w:r>
        <w:softHyphen/>
        <w:t>vých, pomlku, nejen proto, aby</w:t>
      </w:r>
      <w:r>
        <w:softHyphen/>
        <w:t>chom na něm ukázali, že intona</w:t>
      </w:r>
      <w:r>
        <w:softHyphen/>
        <w:t>ce je dominující zvukovou slož</w:t>
      </w:r>
      <w:r>
        <w:softHyphen/>
        <w:t>kou Čapkovy prózy, ale i proto, abychom odhalili povahu této In</w:t>
      </w:r>
      <w:r>
        <w:softHyphen/>
        <w:t>tonace. Již sama okolnos</w:t>
      </w:r>
      <w:r>
        <w:t>t, že zvláštní oblibě se u Čapka těší středník a pomlka, znamení, kte</w:t>
      </w:r>
      <w:r>
        <w:softHyphen/>
        <w:t xml:space="preserve">rá — ve srovnání s tečkou — ! zmírňují intonační kadenci, jsou- 11 umístěna na konci složitého </w:t>
      </w:r>
      <w:r>
        <w:rPr>
          <w:lang w:val="en-US" w:eastAsia="en-US" w:bidi="en-US"/>
        </w:rPr>
        <w:t xml:space="preserve">in- </w:t>
      </w:r>
      <w:r>
        <w:t xml:space="preserve">, tonačního úseku, nasvědčuje to- j mu. že Čapkova intonace směřuje k měkké vlnitosti, </w:t>
      </w:r>
      <w:r>
        <w:t>beze strohých rozmezí. Při dokladech na přejí- j mánl neukončené řeči v drama</w:t>
      </w:r>
      <w:r>
        <w:softHyphen/>
      </w:r>
    </w:p>
    <w:p w:rsidR="00500724" w:rsidRDefault="00F30FB8">
      <w:pPr>
        <w:pStyle w:val="Zkladntext80"/>
        <w:framePr w:w="6806" w:h="2885" w:wrap="none" w:vAnchor="text" w:hAnchor="page" w:x="4088" w:y="4609"/>
        <w:shd w:val="clear" w:color="auto" w:fill="auto"/>
        <w:spacing w:line="298" w:lineRule="auto"/>
        <w:jc w:val="both"/>
        <w:rPr>
          <w:sz w:val="20"/>
          <w:szCs w:val="20"/>
        </w:rPr>
      </w:pPr>
      <w:r>
        <w:rPr>
          <w:b w:val="0"/>
          <w:bCs w:val="0"/>
          <w:sz w:val="20"/>
          <w:szCs w:val="20"/>
        </w:rPr>
        <w:t>Zkušení automobilisté vědí, že jakost není v automobilismu přepychem, nýbrž rozumnou šetrností. Láce těší jen chvíli při koupi, vysoká hodnota dobrého vozu těší po řadu let a st</w:t>
      </w:r>
      <w:r>
        <w:rPr>
          <w:b w:val="0"/>
          <w:bCs w:val="0"/>
          <w:sz w:val="20"/>
          <w:szCs w:val="20"/>
        </w:rPr>
        <w:t>atisíce kilometrů. Automobily Praga nemohou býti laciné při péči, která je u nich věnována všem podrob</w:t>
      </w:r>
      <w:r>
        <w:rPr>
          <w:b w:val="0"/>
          <w:bCs w:val="0"/>
          <w:sz w:val="20"/>
          <w:szCs w:val="20"/>
        </w:rPr>
        <w:softHyphen/>
        <w:t>nostem — od ložiska v motoru až do postranního zvedacího zařízení pod stupačkou. Avšak právě tato mimořádná pečlivost při konstrukci, výrobě a volbě mate</w:t>
      </w:r>
      <w:r>
        <w:rPr>
          <w:b w:val="0"/>
          <w:bCs w:val="0"/>
          <w:sz w:val="20"/>
          <w:szCs w:val="20"/>
        </w:rPr>
        <w:t>riálu zaručuje úspory na opravách a skromnost ve spotřebě benzinu a oleje nejen u vozu nového, nýbrž i po delším používání. Proto je Praga dražší vůz, který přijde levněji. Který typ Vám smíme předvésti?</w:t>
      </w:r>
    </w:p>
    <w:p w:rsidR="00500724" w:rsidRDefault="00F30FB8">
      <w:pPr>
        <w:pStyle w:val="Zkladntext80"/>
        <w:framePr w:w="6782" w:h="787" w:wrap="none" w:vAnchor="text" w:hAnchor="page" w:x="4074" w:y="8684"/>
        <w:shd w:val="clear" w:color="auto" w:fill="auto"/>
        <w:spacing w:line="377" w:lineRule="auto"/>
        <w:jc w:val="both"/>
        <w:rPr>
          <w:sz w:val="20"/>
          <w:szCs w:val="20"/>
        </w:rPr>
      </w:pPr>
      <w:r>
        <w:rPr>
          <w:sz w:val="20"/>
          <w:szCs w:val="20"/>
        </w:rPr>
        <w:t xml:space="preserve">Českomoravská-Kolben-Daněk a. s. automobilní </w:t>
      </w:r>
      <w:r>
        <w:rPr>
          <w:sz w:val="20"/>
          <w:szCs w:val="20"/>
        </w:rPr>
        <w:t>oddělení Praha-Karlín, Karlova 22 • Telefony 32051-5,38641-5</w:t>
      </w:r>
    </w:p>
    <w:p w:rsidR="00500724" w:rsidRDefault="00F30FB8">
      <w:pPr>
        <w:pStyle w:val="Zkladntext40"/>
        <w:framePr w:w="2568" w:h="5477" w:wrap="none" w:vAnchor="text" w:hAnchor="page" w:x="3253" w:y="9587"/>
        <w:shd w:val="clear" w:color="auto" w:fill="auto"/>
        <w:spacing w:after="0" w:line="175" w:lineRule="auto"/>
      </w:pPr>
      <w:r>
        <w:t>tickém dialogu ukázalo se, že ta</w:t>
      </w:r>
      <w:r>
        <w:softHyphen/>
        <w:t>to tendence obráží se i ve výstav</w:t>
      </w:r>
      <w:r>
        <w:softHyphen/>
        <w:t>bě významové jako snaha odstra</w:t>
      </w:r>
      <w:r>
        <w:softHyphen/>
        <w:t>nit nebo aspoň oslabit ostrou hranici mezi jednotlivými promlu</w:t>
      </w:r>
      <w:r>
        <w:softHyphen/>
        <w:t>vami osob: dialog takto stavěný ch</w:t>
      </w:r>
      <w:r>
        <w:t>ce působit, zvukově i významo</w:t>
      </w:r>
      <w:r>
        <w:softHyphen/>
        <w:t>vé, jako Jediné, nepřetržité zvu</w:t>
      </w:r>
      <w:r>
        <w:softHyphen/>
        <w:t>kové i významové pásmo, pro</w:t>
      </w:r>
      <w:r>
        <w:softHyphen/>
        <w:t>měnlivé jako měňavá stuha. O důsledcích toho pro výstavbu dramatického tekstu Čapkova promluvíme ještě později; na tomto místě chceme toliko upo</w:t>
      </w:r>
      <w:r>
        <w:softHyphen/>
        <w:t>zornit na oslabováni</w:t>
      </w:r>
      <w:r>
        <w:t xml:space="preserve"> předělů ja</w:t>
      </w:r>
      <w:r>
        <w:softHyphen/>
        <w:t>ko na význačný rys Čapkovy in</w:t>
      </w:r>
      <w:r>
        <w:softHyphen/>
        <w:t>tonace. Vlastnost tato dala by se potvrdit ještě podrobnějším roz</w:t>
      </w:r>
      <w:r>
        <w:softHyphen/>
        <w:t>borem, na který zde neni místa: spokojíme se proto několika jeho náznaky. Především Je třeba upo</w:t>
      </w:r>
      <w:r>
        <w:softHyphen/>
        <w:t xml:space="preserve">zornit ještě na okolnost, která se zejména nápadně </w:t>
      </w:r>
      <w:r>
        <w:t>uplatňuje v prózách posledního údobí Čapko</w:t>
      </w:r>
      <w:r>
        <w:softHyphen/>
        <w:t>va. počínaje trilogií Hordubal — Povětroň — Obyčejný život, že totiž velmi často při přechodu od básníkova vlastního tekstu k pří</w:t>
      </w:r>
      <w:r>
        <w:softHyphen/>
        <w:t>mé řeči vynechává se dvojtečka a uvozovky, na př.: &gt;Však onehdy se Standa rozběhl d</w:t>
      </w:r>
      <w:r>
        <w:t>o města a rovnou ke knihkupci. Nemáte ně</w:t>
      </w:r>
      <w:r>
        <w:softHyphen/>
        <w:t>jakou učebnici švédského jazyka? Ne, neměli; a tak Standa marně hloubá, co by pro pana Hansena udělal.* (První parta, II.); s,Ně- jaká ženská vedle (Standy) lom</w:t>
      </w:r>
      <w:r>
        <w:softHyphen/>
        <w:t>cuje mříži a řve, pusťte mne tam, já tam mám muže!* (t</w:t>
      </w:r>
      <w:r>
        <w:t>amtéž). I tato okolnost je svědectví osla</w:t>
      </w:r>
      <w:r>
        <w:softHyphen/>
        <w:t>bených rozmezí mezi intonační</w:t>
      </w:r>
      <w:r>
        <w:softHyphen/>
        <w:t>mi úseky.</w:t>
      </w:r>
    </w:p>
    <w:p w:rsidR="00500724" w:rsidRDefault="00F30FB8">
      <w:pPr>
        <w:pStyle w:val="Zkladntext40"/>
        <w:framePr w:w="2568" w:h="5477" w:wrap="none" w:vAnchor="text" w:hAnchor="page" w:x="3253" w:y="9587"/>
        <w:shd w:val="clear" w:color="auto" w:fill="auto"/>
        <w:spacing w:after="0" w:line="175" w:lineRule="auto"/>
        <w:jc w:val="right"/>
      </w:pPr>
      <w:r>
        <w:t>(Pokračování příště.)</w:t>
      </w:r>
    </w:p>
    <w:tbl>
      <w:tblPr>
        <w:tblOverlap w:val="never"/>
        <w:tblW w:w="0" w:type="auto"/>
        <w:tblLayout w:type="fixed"/>
        <w:tblCellMar>
          <w:left w:w="10" w:type="dxa"/>
          <w:right w:w="10" w:type="dxa"/>
        </w:tblCellMar>
        <w:tblLook w:val="04A0" w:firstRow="1" w:lastRow="0" w:firstColumn="1" w:lastColumn="0" w:noHBand="0" w:noVBand="1"/>
      </w:tblPr>
      <w:tblGrid>
        <w:gridCol w:w="3403"/>
        <w:gridCol w:w="686"/>
        <w:gridCol w:w="557"/>
      </w:tblGrid>
      <w:tr w:rsidR="00500724">
        <w:tblPrEx>
          <w:tblCellMar>
            <w:top w:w="0" w:type="dxa"/>
            <w:bottom w:w="0" w:type="dxa"/>
          </w:tblCellMar>
        </w:tblPrEx>
        <w:trPr>
          <w:trHeight w:hRule="exact" w:val="293"/>
        </w:trPr>
        <w:tc>
          <w:tcPr>
            <w:tcW w:w="0" w:type="auto"/>
            <w:gridSpan w:val="3"/>
            <w:tcBorders>
              <w:right w:val="single" w:sz="4" w:space="0" w:color="auto"/>
            </w:tcBorders>
            <w:shd w:val="clear" w:color="auto" w:fill="FFFFFF"/>
            <w:vAlign w:val="bottom"/>
          </w:tcPr>
          <w:p w:rsidR="00500724" w:rsidRDefault="00F30FB8">
            <w:pPr>
              <w:pStyle w:val="Jin0"/>
              <w:framePr w:w="4646" w:h="3533" w:wrap="none" w:vAnchor="text" w:hAnchor="page" w:x="6354" w:y="11507"/>
              <w:shd w:val="clear" w:color="auto" w:fill="auto"/>
              <w:spacing w:line="180" w:lineRule="auto"/>
              <w:ind w:left="200" w:hanging="200"/>
              <w:jc w:val="left"/>
              <w:rPr>
                <w:sz w:val="15"/>
                <w:szCs w:val="15"/>
              </w:rPr>
            </w:pPr>
            <w:r>
              <w:rPr>
                <w:sz w:val="15"/>
                <w:szCs w:val="15"/>
              </w:rPr>
              <w:t>ČAPEK Otakar, Ing. Dr.: Poslední německá, monarchie. (Knižetství Liechtensteinské. 18X14 cm.</w:t>
            </w:r>
          </w:p>
        </w:tc>
      </w:tr>
      <w:tr w:rsidR="00500724">
        <w:tblPrEx>
          <w:tblCellMar>
            <w:top w:w="0" w:type="dxa"/>
            <w:bottom w:w="0" w:type="dxa"/>
          </w:tblCellMar>
        </w:tblPrEx>
        <w:trPr>
          <w:trHeight w:hRule="exact" w:val="259"/>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rPr>
              <w:t>36 str.,</w:t>
            </w:r>
          </w:p>
          <w:p w:rsidR="00500724" w:rsidRDefault="00F30FB8">
            <w:pPr>
              <w:pStyle w:val="Jin0"/>
              <w:framePr w:w="4646" w:h="3533" w:wrap="none" w:vAnchor="text" w:hAnchor="page" w:x="6354" w:y="11507"/>
              <w:shd w:val="clear" w:color="auto" w:fill="auto"/>
              <w:spacing w:line="180" w:lineRule="auto"/>
              <w:ind w:firstLine="0"/>
              <w:jc w:val="left"/>
              <w:rPr>
                <w:sz w:val="15"/>
                <w:szCs w:val="15"/>
              </w:rPr>
            </w:pPr>
            <w:r>
              <w:rPr>
                <w:sz w:val="15"/>
                <w:szCs w:val="15"/>
              </w:rPr>
              <w:t>PARANDOWSKI Jan: Král života. Život</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brož. </w:t>
            </w:r>
            <w:r>
              <w:rPr>
                <w:sz w:val="15"/>
                <w:szCs w:val="15"/>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right="60" w:firstLine="0"/>
              <w:jc w:val="center"/>
              <w:rPr>
                <w:sz w:val="18"/>
                <w:szCs w:val="18"/>
              </w:rPr>
            </w:pPr>
            <w:r>
              <w:rPr>
                <w:sz w:val="18"/>
                <w:szCs w:val="18"/>
                <w:lang w:val="en-US" w:eastAsia="en-US" w:bidi="en-US"/>
              </w:rPr>
              <w:t>9.—</w:t>
            </w:r>
          </w:p>
        </w:tc>
      </w:tr>
      <w:tr w:rsidR="00500724">
        <w:tblPrEx>
          <w:tblCellMar>
            <w:top w:w="0" w:type="dxa"/>
            <w:bottom w:w="0" w:type="dxa"/>
          </w:tblCellMar>
        </w:tblPrEx>
        <w:trPr>
          <w:trHeight w:hRule="exact" w:val="134"/>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rPr>
              <w:t>Oskara Wildea. 22.5 x 14 cm, 163 str..</w:t>
            </w:r>
          </w:p>
        </w:tc>
        <w:tc>
          <w:tcPr>
            <w:tcW w:w="0" w:type="auto"/>
            <w:shd w:val="clear" w:color="auto" w:fill="FFFFFF"/>
            <w:vAlign w:val="bottom"/>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brož. </w:t>
            </w:r>
            <w:r>
              <w:rPr>
                <w:sz w:val="15"/>
                <w:szCs w:val="15"/>
                <w:lang w:val="en-US" w:eastAsia="en-US" w:bidi="en-US"/>
              </w:rPr>
              <w:t>K</w:t>
            </w:r>
          </w:p>
        </w:tc>
        <w:tc>
          <w:tcPr>
            <w:tcW w:w="0" w:type="auto"/>
            <w:tcBorders>
              <w:right w:val="single" w:sz="4" w:space="0" w:color="auto"/>
            </w:tcBorders>
            <w:shd w:val="clear" w:color="auto" w:fill="FFFFFF"/>
            <w:vAlign w:val="bottom"/>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24.—</w:t>
            </w:r>
          </w:p>
        </w:tc>
      </w:tr>
      <w:tr w:rsidR="00500724">
        <w:tblPrEx>
          <w:tblCellMar>
            <w:top w:w="0" w:type="dxa"/>
            <w:bottom w:w="0" w:type="dxa"/>
          </w:tblCellMar>
        </w:tblPrEx>
        <w:trPr>
          <w:trHeight w:hRule="exact" w:val="259"/>
        </w:trPr>
        <w:tc>
          <w:tcPr>
            <w:tcW w:w="0" w:type="auto"/>
            <w:shd w:val="clear" w:color="auto" w:fill="FFFFFF"/>
            <w:vAlign w:val="bottom"/>
          </w:tcPr>
          <w:p w:rsidR="00500724" w:rsidRDefault="00F30FB8">
            <w:pPr>
              <w:pStyle w:val="Jin0"/>
              <w:framePr w:w="4646" w:h="3533" w:wrap="none" w:vAnchor="text" w:hAnchor="page" w:x="6354" w:y="11507"/>
              <w:shd w:val="clear" w:color="auto" w:fill="auto"/>
              <w:ind w:firstLine="0"/>
              <w:jc w:val="left"/>
              <w:rPr>
                <w:sz w:val="15"/>
                <w:szCs w:val="15"/>
              </w:rPr>
            </w:pPr>
            <w:r>
              <w:rPr>
                <w:sz w:val="15"/>
                <w:szCs w:val="15"/>
              </w:rPr>
              <w:t>ŠIMEK František: Učení M. Jana Boky-</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váz. </w:t>
            </w:r>
            <w:r>
              <w:rPr>
                <w:sz w:val="15"/>
                <w:szCs w:val="15"/>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34.—</w:t>
            </w:r>
          </w:p>
        </w:tc>
      </w:tr>
      <w:tr w:rsidR="00500724">
        <w:tblPrEx>
          <w:tblCellMar>
            <w:top w:w="0" w:type="dxa"/>
            <w:bottom w:w="0" w:type="dxa"/>
          </w:tblCellMar>
        </w:tblPrEx>
        <w:trPr>
          <w:trHeight w:hRule="exact" w:val="259"/>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rPr>
              <w:t>cany. 27 X18 cm. 295 str..</w:t>
            </w:r>
          </w:p>
          <w:p w:rsidR="00500724" w:rsidRDefault="00F30FB8">
            <w:pPr>
              <w:pStyle w:val="Jin0"/>
              <w:framePr w:w="4646" w:h="3533" w:wrap="none" w:vAnchor="text" w:hAnchor="page" w:x="6354" w:y="11507"/>
              <w:shd w:val="clear" w:color="auto" w:fill="auto"/>
              <w:spacing w:line="180" w:lineRule="auto"/>
              <w:ind w:firstLine="0"/>
              <w:jc w:val="left"/>
              <w:rPr>
                <w:sz w:val="15"/>
                <w:szCs w:val="15"/>
              </w:rPr>
            </w:pPr>
            <w:r>
              <w:rPr>
                <w:sz w:val="15"/>
                <w:szCs w:val="15"/>
              </w:rPr>
              <w:t>Korespondence Karla Havlíčka s Fany</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brož. </w:t>
            </w:r>
            <w:r>
              <w:rPr>
                <w:sz w:val="15"/>
                <w:szCs w:val="15"/>
                <w:lang w:val="en-US" w:eastAsia="en-US" w:bidi="en-US"/>
              </w:rPr>
              <w:t>K</w:t>
            </w:r>
          </w:p>
        </w:tc>
        <w:tc>
          <w:tcPr>
            <w:tcW w:w="0" w:type="auto"/>
            <w:tcBorders>
              <w:right w:val="single" w:sz="4" w:space="0" w:color="auto"/>
            </w:tcBorders>
            <w:shd w:val="clear" w:color="auto" w:fill="FFFFFF"/>
            <w:vAlign w:val="center"/>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60.—</w:t>
            </w:r>
          </w:p>
        </w:tc>
      </w:tr>
      <w:tr w:rsidR="00500724">
        <w:tblPrEx>
          <w:tblCellMar>
            <w:top w:w="0" w:type="dxa"/>
            <w:bottom w:w="0" w:type="dxa"/>
          </w:tblCellMar>
        </w:tblPrEx>
        <w:trPr>
          <w:trHeight w:hRule="exact" w:val="389"/>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rPr>
              <w:t>Weidenhoffrovou. 25X18 cm, 96 str..</w:t>
            </w:r>
          </w:p>
          <w:p w:rsidR="00500724" w:rsidRDefault="00F30FB8">
            <w:pPr>
              <w:pStyle w:val="Jin0"/>
              <w:framePr w:w="4646" w:h="3533" w:wrap="none" w:vAnchor="text" w:hAnchor="page" w:x="6354" w:y="11507"/>
              <w:shd w:val="clear" w:color="auto" w:fill="auto"/>
              <w:spacing w:line="180" w:lineRule="auto"/>
              <w:ind w:firstLine="0"/>
              <w:jc w:val="left"/>
              <w:rPr>
                <w:sz w:val="15"/>
                <w:szCs w:val="15"/>
              </w:rPr>
            </w:pPr>
            <w:r>
              <w:rPr>
                <w:sz w:val="15"/>
                <w:szCs w:val="15"/>
                <w:lang w:val="en-US" w:eastAsia="en-US" w:bidi="en-US"/>
              </w:rPr>
              <w:t>Year Book of Agricultural Co-operation</w:t>
            </w:r>
          </w:p>
          <w:p w:rsidR="00500724" w:rsidRDefault="00F30FB8">
            <w:pPr>
              <w:pStyle w:val="Jin0"/>
              <w:framePr w:w="4646" w:h="3533" w:wrap="none" w:vAnchor="text" w:hAnchor="page" w:x="6354" w:y="11507"/>
              <w:shd w:val="clear" w:color="auto" w:fill="auto"/>
              <w:spacing w:line="180" w:lineRule="auto"/>
              <w:ind w:left="180" w:firstLine="0"/>
              <w:jc w:val="left"/>
              <w:rPr>
                <w:sz w:val="15"/>
                <w:szCs w:val="15"/>
              </w:rPr>
            </w:pPr>
            <w:r>
              <w:rPr>
                <w:sz w:val="15"/>
                <w:szCs w:val="15"/>
                <w:lang w:val="en-US" w:eastAsia="en-US" w:bidi="en-US"/>
              </w:rPr>
              <w:t>Edited by the Horace Plunkett Founda-</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brož. </w:t>
            </w:r>
            <w:r>
              <w:rPr>
                <w:sz w:val="15"/>
                <w:szCs w:val="15"/>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30.—</w:t>
            </w:r>
          </w:p>
        </w:tc>
      </w:tr>
      <w:tr w:rsidR="00500724">
        <w:tblPrEx>
          <w:tblCellMar>
            <w:top w:w="0" w:type="dxa"/>
            <w:bottom w:w="0" w:type="dxa"/>
          </w:tblCellMar>
        </w:tblPrEx>
        <w:trPr>
          <w:trHeight w:hRule="exact" w:val="264"/>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lang w:val="en-US" w:eastAsia="en-US" w:bidi="en-US"/>
              </w:rPr>
              <w:t>tlon. 22 x 14 cm, 558 str.,</w:t>
            </w:r>
          </w:p>
          <w:p w:rsidR="00500724" w:rsidRDefault="00F30FB8">
            <w:pPr>
              <w:pStyle w:val="Jin0"/>
              <w:framePr w:w="4646" w:h="3533" w:wrap="none" w:vAnchor="text" w:hAnchor="page" w:x="6354" w:y="11507"/>
              <w:shd w:val="clear" w:color="auto" w:fill="auto"/>
              <w:spacing w:line="185" w:lineRule="auto"/>
              <w:ind w:firstLine="0"/>
              <w:jc w:val="left"/>
              <w:rPr>
                <w:sz w:val="15"/>
                <w:szCs w:val="15"/>
              </w:rPr>
            </w:pPr>
            <w:r>
              <w:rPr>
                <w:sz w:val="15"/>
                <w:szCs w:val="15"/>
                <w:lang w:val="en-US" w:eastAsia="en-US" w:bidi="en-US"/>
              </w:rPr>
              <w:t>BOTTAI Giuseppe: La Carta della Scuola.</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váz. </w:t>
            </w:r>
            <w:r>
              <w:rPr>
                <w:sz w:val="15"/>
                <w:szCs w:val="15"/>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120.—</w:t>
            </w:r>
          </w:p>
        </w:tc>
      </w:tr>
      <w:tr w:rsidR="00500724">
        <w:tblPrEx>
          <w:tblCellMar>
            <w:top w:w="0" w:type="dxa"/>
            <w:bottom w:w="0" w:type="dxa"/>
          </w:tblCellMar>
        </w:tblPrEx>
        <w:trPr>
          <w:trHeight w:hRule="exact" w:val="259"/>
        </w:trPr>
        <w:tc>
          <w:tcPr>
            <w:tcW w:w="0" w:type="auto"/>
            <w:shd w:val="clear" w:color="auto" w:fill="FFFFFF"/>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lang w:val="en-US" w:eastAsia="en-US" w:bidi="en-US"/>
              </w:rPr>
              <w:t>23 x 15 cm, 322 str.,</w:t>
            </w:r>
          </w:p>
          <w:p w:rsidR="00500724" w:rsidRDefault="00F30FB8">
            <w:pPr>
              <w:pStyle w:val="Jin0"/>
              <w:framePr w:w="4646" w:h="3533" w:wrap="none" w:vAnchor="text" w:hAnchor="page" w:x="6354" w:y="11507"/>
              <w:shd w:val="clear" w:color="auto" w:fill="auto"/>
              <w:spacing w:line="185" w:lineRule="auto"/>
              <w:ind w:firstLine="0"/>
              <w:jc w:val="left"/>
              <w:rPr>
                <w:sz w:val="15"/>
                <w:szCs w:val="15"/>
              </w:rPr>
            </w:pPr>
            <w:r>
              <w:rPr>
                <w:sz w:val="15"/>
                <w:szCs w:val="15"/>
                <w:lang w:val="en-US" w:eastAsia="en-US" w:bidi="en-US"/>
              </w:rPr>
              <w:t>CZERNY Adalbert: Die Padlatrle melner</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brož. </w:t>
            </w:r>
            <w:r>
              <w:rPr>
                <w:sz w:val="15"/>
                <w:szCs w:val="15"/>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24.—</w:t>
            </w:r>
          </w:p>
        </w:tc>
      </w:tr>
      <w:tr w:rsidR="00500724">
        <w:tblPrEx>
          <w:tblCellMar>
            <w:top w:w="0" w:type="dxa"/>
            <w:bottom w:w="0" w:type="dxa"/>
          </w:tblCellMar>
        </w:tblPrEx>
        <w:trPr>
          <w:trHeight w:hRule="exact" w:val="394"/>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lang w:val="en-US" w:eastAsia="en-US" w:bidi="en-US"/>
              </w:rPr>
              <w:t>Zeit. 22X14 cm, 124 str.,</w:t>
            </w:r>
          </w:p>
          <w:p w:rsidR="00500724" w:rsidRDefault="00F30FB8">
            <w:pPr>
              <w:pStyle w:val="Jin0"/>
              <w:framePr w:w="4646" w:h="3533" w:wrap="none" w:vAnchor="text" w:hAnchor="page" w:x="6354" w:y="11507"/>
              <w:shd w:val="clear" w:color="auto" w:fill="auto"/>
              <w:spacing w:line="185" w:lineRule="auto"/>
              <w:ind w:firstLine="0"/>
              <w:jc w:val="left"/>
              <w:rPr>
                <w:sz w:val="15"/>
                <w:szCs w:val="15"/>
              </w:rPr>
            </w:pPr>
            <w:r>
              <w:rPr>
                <w:sz w:val="15"/>
                <w:szCs w:val="15"/>
                <w:lang w:val="en-US" w:eastAsia="en-US" w:bidi="en-US"/>
              </w:rPr>
              <w:t xml:space="preserve">KNOLL Heinrich, </w:t>
            </w:r>
            <w:r>
              <w:rPr>
                <w:sz w:val="15"/>
                <w:szCs w:val="15"/>
                <w:lang w:val="en-US" w:eastAsia="en-US" w:bidi="en-US"/>
              </w:rPr>
              <w:t>Allgemeine Bilanzkunde.</w:t>
            </w:r>
          </w:p>
          <w:p w:rsidR="00500724" w:rsidRDefault="00F30FB8">
            <w:pPr>
              <w:pStyle w:val="Jin0"/>
              <w:framePr w:w="4646" w:h="3533" w:wrap="none" w:vAnchor="text" w:hAnchor="page" w:x="6354" w:y="11507"/>
              <w:shd w:val="clear" w:color="auto" w:fill="auto"/>
              <w:spacing w:line="180" w:lineRule="auto"/>
              <w:ind w:left="180" w:firstLine="0"/>
              <w:jc w:val="left"/>
              <w:rPr>
                <w:sz w:val="15"/>
                <w:szCs w:val="15"/>
              </w:rPr>
            </w:pPr>
            <w:r>
              <w:rPr>
                <w:sz w:val="15"/>
                <w:szCs w:val="15"/>
              </w:rPr>
              <w:t xml:space="preserve">Ze sbírky </w:t>
            </w:r>
            <w:r>
              <w:rPr>
                <w:sz w:val="15"/>
                <w:szCs w:val="15"/>
                <w:lang w:val="en-US" w:eastAsia="en-US" w:bidi="en-US"/>
              </w:rPr>
              <w:t>Arbeit und Wissen. 19.5X13 cm,</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8"/>
                <w:szCs w:val="18"/>
              </w:rPr>
            </w:pPr>
            <w:r>
              <w:rPr>
                <w:sz w:val="18"/>
                <w:szCs w:val="18"/>
              </w:rPr>
              <w:t xml:space="preserve">brož. </w:t>
            </w:r>
            <w:r>
              <w:rPr>
                <w:sz w:val="18"/>
                <w:szCs w:val="18"/>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5"/>
                <w:szCs w:val="15"/>
              </w:rPr>
            </w:pPr>
            <w:r>
              <w:rPr>
                <w:sz w:val="15"/>
                <w:szCs w:val="15"/>
                <w:lang w:val="en-US" w:eastAsia="en-US" w:bidi="en-US"/>
              </w:rPr>
              <w:t>65.—</w:t>
            </w:r>
          </w:p>
        </w:tc>
      </w:tr>
      <w:tr w:rsidR="00500724">
        <w:tblPrEx>
          <w:tblCellMar>
            <w:top w:w="0" w:type="dxa"/>
            <w:bottom w:w="0" w:type="dxa"/>
          </w:tblCellMar>
        </w:tblPrEx>
        <w:trPr>
          <w:trHeight w:hRule="exact" w:val="264"/>
        </w:trPr>
        <w:tc>
          <w:tcPr>
            <w:tcW w:w="0" w:type="auto"/>
            <w:shd w:val="clear" w:color="auto" w:fill="FFFFFF"/>
            <w:vAlign w:val="bottom"/>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lang w:val="en-US" w:eastAsia="en-US" w:bidi="en-US"/>
              </w:rPr>
              <w:t>110 str.,</w:t>
            </w:r>
          </w:p>
          <w:p w:rsidR="00500724" w:rsidRDefault="00F30FB8">
            <w:pPr>
              <w:pStyle w:val="Jin0"/>
              <w:framePr w:w="4646" w:h="3533" w:wrap="none" w:vAnchor="text" w:hAnchor="page" w:x="6354" w:y="11507"/>
              <w:shd w:val="clear" w:color="auto" w:fill="auto"/>
              <w:spacing w:line="180" w:lineRule="auto"/>
              <w:ind w:firstLine="0"/>
              <w:jc w:val="left"/>
              <w:rPr>
                <w:sz w:val="18"/>
                <w:szCs w:val="18"/>
              </w:rPr>
            </w:pPr>
            <w:r>
              <w:rPr>
                <w:sz w:val="15"/>
                <w:szCs w:val="15"/>
                <w:lang w:val="en-US" w:eastAsia="en-US" w:bidi="en-US"/>
              </w:rPr>
              <w:t xml:space="preserve">PFITZNER Josef: Kaiser </w:t>
            </w:r>
            <w:r>
              <w:rPr>
                <w:sz w:val="15"/>
                <w:szCs w:val="15"/>
              </w:rPr>
              <w:t xml:space="preserve">Kari </w:t>
            </w:r>
            <w:r>
              <w:rPr>
                <w:sz w:val="18"/>
                <w:szCs w:val="18"/>
                <w:lang w:val="en-US" w:eastAsia="en-US" w:bidi="en-US"/>
              </w:rPr>
              <w:t>IV.</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5"/>
                <w:szCs w:val="15"/>
              </w:rPr>
            </w:pPr>
            <w:r>
              <w:rPr>
                <w:sz w:val="15"/>
                <w:szCs w:val="15"/>
              </w:rPr>
              <w:t xml:space="preserve">brož. </w:t>
            </w:r>
            <w:r>
              <w:rPr>
                <w:sz w:val="15"/>
                <w:szCs w:val="15"/>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8"/>
                <w:szCs w:val="18"/>
              </w:rPr>
            </w:pPr>
            <w:r>
              <w:rPr>
                <w:sz w:val="18"/>
                <w:szCs w:val="18"/>
                <w:lang w:val="en-US" w:eastAsia="en-US" w:bidi="en-US"/>
              </w:rPr>
              <w:t>22.—</w:t>
            </w:r>
          </w:p>
        </w:tc>
      </w:tr>
      <w:tr w:rsidR="00500724">
        <w:tblPrEx>
          <w:tblCellMar>
            <w:top w:w="0" w:type="dxa"/>
            <w:bottom w:w="0" w:type="dxa"/>
          </w:tblCellMar>
        </w:tblPrEx>
        <w:trPr>
          <w:trHeight w:hRule="exact" w:val="187"/>
        </w:trPr>
        <w:tc>
          <w:tcPr>
            <w:tcW w:w="0" w:type="auto"/>
            <w:shd w:val="clear" w:color="auto" w:fill="FFFFFF"/>
          </w:tcPr>
          <w:p w:rsidR="00500724" w:rsidRDefault="00F30FB8">
            <w:pPr>
              <w:pStyle w:val="Jin0"/>
              <w:framePr w:w="4646" w:h="3533" w:wrap="none" w:vAnchor="text" w:hAnchor="page" w:x="6354" w:y="11507"/>
              <w:shd w:val="clear" w:color="auto" w:fill="auto"/>
              <w:ind w:left="180" w:firstLine="0"/>
              <w:jc w:val="left"/>
              <w:rPr>
                <w:sz w:val="15"/>
                <w:szCs w:val="15"/>
              </w:rPr>
            </w:pPr>
            <w:r>
              <w:rPr>
                <w:sz w:val="15"/>
                <w:szCs w:val="15"/>
                <w:lang w:val="en-US" w:eastAsia="en-US" w:bidi="en-US"/>
              </w:rPr>
              <w:t>24X16 cm, 135 str..</w:t>
            </w:r>
          </w:p>
        </w:tc>
        <w:tc>
          <w:tcPr>
            <w:tcW w:w="0" w:type="auto"/>
            <w:shd w:val="clear" w:color="auto" w:fill="FFFFFF"/>
          </w:tcPr>
          <w:p w:rsidR="00500724" w:rsidRDefault="00F30FB8">
            <w:pPr>
              <w:pStyle w:val="Jin0"/>
              <w:framePr w:w="4646" w:h="3533" w:wrap="none" w:vAnchor="text" w:hAnchor="page" w:x="6354" w:y="11507"/>
              <w:shd w:val="clear" w:color="auto" w:fill="auto"/>
              <w:ind w:firstLine="0"/>
              <w:jc w:val="right"/>
              <w:rPr>
                <w:sz w:val="18"/>
                <w:szCs w:val="18"/>
              </w:rPr>
            </w:pPr>
            <w:r>
              <w:rPr>
                <w:sz w:val="18"/>
                <w:szCs w:val="18"/>
              </w:rPr>
              <w:t xml:space="preserve">váz. </w:t>
            </w:r>
            <w:r>
              <w:rPr>
                <w:sz w:val="18"/>
                <w:szCs w:val="18"/>
                <w:lang w:val="en-US" w:eastAsia="en-US" w:bidi="en-US"/>
              </w:rPr>
              <w:t>K</w:t>
            </w:r>
          </w:p>
        </w:tc>
        <w:tc>
          <w:tcPr>
            <w:tcW w:w="0" w:type="auto"/>
            <w:tcBorders>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center"/>
              <w:rPr>
                <w:sz w:val="18"/>
                <w:szCs w:val="18"/>
              </w:rPr>
            </w:pPr>
            <w:r>
              <w:rPr>
                <w:sz w:val="18"/>
                <w:szCs w:val="18"/>
                <w:lang w:val="en-US" w:eastAsia="en-US" w:bidi="en-US"/>
              </w:rPr>
              <w:t>48.—</w:t>
            </w:r>
          </w:p>
        </w:tc>
      </w:tr>
      <w:tr w:rsidR="00500724">
        <w:tblPrEx>
          <w:tblCellMar>
            <w:top w:w="0" w:type="dxa"/>
            <w:bottom w:w="0" w:type="dxa"/>
          </w:tblCellMar>
        </w:tblPrEx>
        <w:trPr>
          <w:trHeight w:hRule="exact" w:val="571"/>
        </w:trPr>
        <w:tc>
          <w:tcPr>
            <w:tcW w:w="0" w:type="auto"/>
            <w:gridSpan w:val="2"/>
            <w:tcBorders>
              <w:bottom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left"/>
              <w:rPr>
                <w:sz w:val="28"/>
                <w:szCs w:val="28"/>
              </w:rPr>
            </w:pPr>
            <w:r>
              <w:rPr>
                <w:rFonts w:ascii="Arial" w:eastAsia="Arial" w:hAnsi="Arial" w:cs="Arial"/>
                <w:b/>
                <w:bCs/>
                <w:w w:val="70"/>
                <w:sz w:val="28"/>
                <w:szCs w:val="28"/>
                <w:lang w:val="en-US" w:eastAsia="en-US" w:bidi="en-US"/>
              </w:rPr>
              <w:t xml:space="preserve">F. Topic, </w:t>
            </w:r>
            <w:r>
              <w:rPr>
                <w:rFonts w:ascii="Arial" w:eastAsia="Arial" w:hAnsi="Arial" w:cs="Arial"/>
                <w:b/>
                <w:bCs/>
                <w:w w:val="70"/>
                <w:sz w:val="28"/>
                <w:szCs w:val="28"/>
              </w:rPr>
              <w:t xml:space="preserve">knihkupectví, </w:t>
            </w:r>
            <w:r>
              <w:rPr>
                <w:rFonts w:ascii="Arial" w:eastAsia="Arial" w:hAnsi="Arial" w:cs="Arial"/>
                <w:b/>
                <w:bCs/>
                <w:w w:val="70"/>
                <w:sz w:val="28"/>
                <w:szCs w:val="28"/>
                <w:lang w:val="en-US" w:eastAsia="en-US" w:bidi="en-US"/>
              </w:rPr>
              <w:t xml:space="preserve">Praha L, </w:t>
            </w:r>
            <w:r>
              <w:rPr>
                <w:rFonts w:ascii="Arial" w:eastAsia="Arial" w:hAnsi="Arial" w:cs="Arial"/>
                <w:b/>
                <w:bCs/>
                <w:w w:val="70"/>
                <w:sz w:val="28"/>
                <w:szCs w:val="28"/>
              </w:rPr>
              <w:t>Národní</w:t>
            </w:r>
          </w:p>
        </w:tc>
        <w:tc>
          <w:tcPr>
            <w:tcW w:w="0" w:type="auto"/>
            <w:tcBorders>
              <w:bottom w:val="single" w:sz="4" w:space="0" w:color="auto"/>
              <w:right w:val="single" w:sz="4" w:space="0" w:color="auto"/>
            </w:tcBorders>
            <w:shd w:val="clear" w:color="auto" w:fill="FFFFFF"/>
          </w:tcPr>
          <w:p w:rsidR="00500724" w:rsidRDefault="00F30FB8">
            <w:pPr>
              <w:pStyle w:val="Jin0"/>
              <w:framePr w:w="4646" w:h="3533" w:wrap="none" w:vAnchor="text" w:hAnchor="page" w:x="6354" w:y="11507"/>
              <w:shd w:val="clear" w:color="auto" w:fill="auto"/>
              <w:ind w:firstLine="0"/>
              <w:jc w:val="left"/>
              <w:rPr>
                <w:sz w:val="28"/>
                <w:szCs w:val="28"/>
              </w:rPr>
            </w:pPr>
            <w:r>
              <w:rPr>
                <w:rFonts w:ascii="Arial" w:eastAsia="Arial" w:hAnsi="Arial" w:cs="Arial"/>
                <w:b/>
                <w:bCs/>
                <w:w w:val="70"/>
                <w:sz w:val="28"/>
                <w:szCs w:val="28"/>
              </w:rPr>
              <w:t>tř.11</w:t>
            </w:r>
          </w:p>
        </w:tc>
      </w:tr>
    </w:tbl>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48" w:line="14" w:lineRule="exact"/>
      </w:pPr>
    </w:p>
    <w:p w:rsidR="00500724" w:rsidRDefault="00500724">
      <w:pPr>
        <w:spacing w:line="14" w:lineRule="exact"/>
        <w:sectPr w:rsidR="00500724">
          <w:footnotePr>
            <w:numFmt w:val="chicago"/>
            <w:numRestart w:val="eachPage"/>
          </w:footnotePr>
          <w:pgSz w:w="11909" w:h="16834"/>
          <w:pgMar w:top="944" w:right="910" w:bottom="629" w:left="583" w:header="0" w:footer="3" w:gutter="0"/>
          <w:cols w:space="720"/>
          <w:noEndnote/>
          <w:docGrid w:linePitch="360"/>
        </w:sectPr>
      </w:pPr>
    </w:p>
    <w:p w:rsidR="00500724" w:rsidRDefault="00F30FB8">
      <w:pPr>
        <w:pStyle w:val="Nadpis110"/>
        <w:pBdr>
          <w:top w:val="single" w:sz="4" w:space="0" w:color="auto"/>
          <w:bottom w:val="single" w:sz="4" w:space="0" w:color="auto"/>
        </w:pBdr>
        <w:shd w:val="clear" w:color="auto" w:fill="auto"/>
        <w:tabs>
          <w:tab w:val="left" w:pos="3789"/>
          <w:tab w:val="left" w:pos="9770"/>
        </w:tabs>
        <w:spacing w:after="1360"/>
        <w:ind w:left="240" w:firstLine="40"/>
        <w:jc w:val="both"/>
      </w:pPr>
      <w:bookmarkStart w:id="394" w:name="bookmark393"/>
      <w:r>
        <w:rPr>
          <w:rFonts w:ascii="Times New Roman" w:eastAsia="Times New Roman" w:hAnsi="Times New Roman" w:cs="Times New Roman"/>
        </w:rPr>
        <w:t>ROCNlK XVI.</w:t>
      </w:r>
      <w:r>
        <w:rPr>
          <w:rFonts w:ascii="Times New Roman" w:eastAsia="Times New Roman" w:hAnsi="Times New Roman" w:cs="Times New Roman"/>
        </w:rPr>
        <w:tab/>
        <w:t>V PRAZE 2 6. DUBNA 1939</w:t>
      </w:r>
      <w:r>
        <w:rPr>
          <w:rFonts w:ascii="Times New Roman" w:eastAsia="Times New Roman" w:hAnsi="Times New Roman" w:cs="Times New Roman"/>
        </w:rPr>
        <w:tab/>
        <w:t>ZA K 2.—</w:t>
      </w:r>
      <w:bookmarkEnd w:id="394"/>
    </w:p>
    <w:p w:rsidR="00500724" w:rsidRDefault="00F30FB8">
      <w:pPr>
        <w:pStyle w:val="Nadpis70"/>
        <w:keepNext/>
        <w:keepLines/>
        <w:shd w:val="clear" w:color="auto" w:fill="auto"/>
        <w:tabs>
          <w:tab w:val="left" w:pos="8970"/>
        </w:tabs>
        <w:spacing w:after="260"/>
        <w:ind w:left="240" w:firstLine="40"/>
        <w:jc w:val="both"/>
        <w:rPr>
          <w:sz w:val="34"/>
          <w:szCs w:val="34"/>
        </w:rPr>
      </w:pPr>
      <w:bookmarkStart w:id="395" w:name="bookmark394"/>
      <w:r>
        <w:rPr>
          <w:rFonts w:ascii="Times New Roman" w:eastAsia="Times New Roman" w:hAnsi="Times New Roman" w:cs="Times New Roman"/>
          <w:w w:val="100"/>
          <w:u w:val="single"/>
        </w:rPr>
        <w:t>Dynamický život</w:t>
      </w:r>
      <w:r>
        <w:rPr>
          <w:rFonts w:ascii="Times New Roman" w:eastAsia="Times New Roman" w:hAnsi="Times New Roman" w:cs="Times New Roman"/>
          <w:w w:val="100"/>
          <w:u w:val="single"/>
        </w:rPr>
        <w:tab/>
      </w:r>
      <w:r>
        <w:rPr>
          <w:rFonts w:ascii="Times New Roman" w:eastAsia="Times New Roman" w:hAnsi="Times New Roman" w:cs="Times New Roman"/>
          <w:smallCaps/>
          <w:w w:val="100"/>
          <w:sz w:val="34"/>
          <w:szCs w:val="34"/>
          <w:u w:val="single"/>
        </w:rPr>
        <w:t>f. peroutka</w:t>
      </w:r>
      <w:bookmarkEnd w:id="395"/>
    </w:p>
    <w:p w:rsidR="00500724" w:rsidRDefault="00F30FB8">
      <w:pPr>
        <w:pStyle w:val="Jin0"/>
        <w:shd w:val="clear" w:color="auto" w:fill="auto"/>
        <w:spacing w:after="500"/>
        <w:ind w:left="240" w:firstLine="40"/>
        <w:rPr>
          <w:sz w:val="26"/>
          <w:szCs w:val="26"/>
        </w:rPr>
      </w:pPr>
      <w:r>
        <w:rPr>
          <w:b/>
          <w:bCs/>
          <w:w w:val="60"/>
          <w:sz w:val="78"/>
          <w:szCs w:val="78"/>
          <w:u w:val="single"/>
        </w:rPr>
        <w:t xml:space="preserve">0 nepolitické politice - tentokrát z Havlíčka </w:t>
      </w:r>
      <w:r>
        <w:rPr>
          <w:sz w:val="26"/>
          <w:szCs w:val="26"/>
          <w:u w:val="single"/>
        </w:rPr>
        <w:t>Z. SMETÁČEK</w:t>
      </w:r>
    </w:p>
    <w:p w:rsidR="00500724" w:rsidRDefault="00F30FB8">
      <w:pPr>
        <w:pStyle w:val="Nadpis70"/>
        <w:keepNext/>
        <w:keepLines/>
        <w:shd w:val="clear" w:color="auto" w:fill="auto"/>
        <w:tabs>
          <w:tab w:val="left" w:pos="8282"/>
        </w:tabs>
        <w:spacing w:after="560"/>
        <w:ind w:left="240" w:firstLine="40"/>
        <w:jc w:val="both"/>
        <w:rPr>
          <w:sz w:val="34"/>
          <w:szCs w:val="34"/>
        </w:rPr>
      </w:pPr>
      <w:bookmarkStart w:id="396" w:name="bookmark395"/>
      <w:r>
        <w:rPr>
          <w:rFonts w:ascii="Times New Roman" w:eastAsia="Times New Roman" w:hAnsi="Times New Roman" w:cs="Times New Roman"/>
          <w:w w:val="100"/>
          <w:u w:val="single"/>
        </w:rPr>
        <w:t>Sirókaja britskaja nátura</w:t>
      </w:r>
      <w:r>
        <w:rPr>
          <w:rFonts w:ascii="Times New Roman" w:eastAsia="Times New Roman" w:hAnsi="Times New Roman" w:cs="Times New Roman"/>
          <w:w w:val="100"/>
          <w:u w:val="single"/>
        </w:rPr>
        <w:tab/>
      </w:r>
      <w:r>
        <w:rPr>
          <w:rFonts w:ascii="Times New Roman" w:eastAsia="Times New Roman" w:hAnsi="Times New Roman" w:cs="Times New Roman"/>
          <w:smallCaps/>
          <w:w w:val="100"/>
          <w:sz w:val="34"/>
          <w:szCs w:val="34"/>
          <w:u w:val="single"/>
        </w:rPr>
        <w:t>edmond konrad</w:t>
      </w:r>
      <w:bookmarkEnd w:id="396"/>
    </w:p>
    <w:p w:rsidR="00500724" w:rsidRDefault="00F30FB8">
      <w:pPr>
        <w:pStyle w:val="Nadpis70"/>
        <w:keepNext/>
        <w:keepLines/>
        <w:shd w:val="clear" w:color="auto" w:fill="auto"/>
        <w:tabs>
          <w:tab w:val="left" w:pos="8282"/>
        </w:tabs>
        <w:spacing w:after="500"/>
        <w:ind w:left="240" w:firstLine="40"/>
        <w:jc w:val="both"/>
        <w:rPr>
          <w:sz w:val="34"/>
          <w:szCs w:val="34"/>
        </w:rPr>
      </w:pPr>
      <w:bookmarkStart w:id="397" w:name="bookmark396"/>
      <w:r>
        <w:rPr>
          <w:rFonts w:ascii="Times New Roman" w:eastAsia="Times New Roman" w:hAnsi="Times New Roman" w:cs="Times New Roman"/>
          <w:w w:val="100"/>
          <w:u w:val="single"/>
        </w:rPr>
        <w:t>Změněné nakupování</w:t>
      </w:r>
      <w:r>
        <w:rPr>
          <w:rFonts w:ascii="Times New Roman" w:eastAsia="Times New Roman" w:hAnsi="Times New Roman" w:cs="Times New Roman"/>
          <w:w w:val="100"/>
          <w:u w:val="single"/>
        </w:rPr>
        <w:tab/>
      </w:r>
      <w:r>
        <w:rPr>
          <w:rFonts w:ascii="Times New Roman" w:eastAsia="Times New Roman" w:hAnsi="Times New Roman" w:cs="Times New Roman"/>
          <w:smallCaps/>
          <w:w w:val="100"/>
          <w:sz w:val="34"/>
          <w:szCs w:val="34"/>
          <w:u w:val="single"/>
        </w:rPr>
        <w:t>milená jesenska</w:t>
      </w:r>
      <w:bookmarkEnd w:id="397"/>
    </w:p>
    <w:p w:rsidR="00500724" w:rsidRDefault="00F30FB8">
      <w:pPr>
        <w:pStyle w:val="Nadpis70"/>
        <w:keepNext/>
        <w:keepLines/>
        <w:pBdr>
          <w:bottom w:val="single" w:sz="4" w:space="0" w:color="auto"/>
        </w:pBdr>
        <w:shd w:val="clear" w:color="auto" w:fill="auto"/>
        <w:spacing w:after="560"/>
        <w:ind w:left="240" w:firstLine="40"/>
        <w:jc w:val="both"/>
      </w:pPr>
      <w:bookmarkStart w:id="398" w:name="bookmark397"/>
      <w:r>
        <w:rPr>
          <w:rFonts w:ascii="Times New Roman" w:eastAsia="Times New Roman" w:hAnsi="Times New Roman" w:cs="Times New Roman"/>
          <w:w w:val="100"/>
        </w:rPr>
        <w:t xml:space="preserve">Světový obchod opět v </w:t>
      </w:r>
      <w:r>
        <w:rPr>
          <w:rFonts w:ascii="Times New Roman" w:eastAsia="Times New Roman" w:hAnsi="Times New Roman" w:cs="Times New Roman"/>
          <w:w w:val="100"/>
        </w:rPr>
        <w:t>krisi</w:t>
      </w:r>
      <w:bookmarkEnd w:id="398"/>
    </w:p>
    <w:p w:rsidR="00500724" w:rsidRDefault="00F30FB8">
      <w:pPr>
        <w:pStyle w:val="Nadpis70"/>
        <w:keepNext/>
        <w:keepLines/>
        <w:shd w:val="clear" w:color="auto" w:fill="auto"/>
        <w:tabs>
          <w:tab w:val="left" w:leader="underscore" w:pos="8970"/>
        </w:tabs>
        <w:spacing w:after="580"/>
        <w:ind w:left="240" w:firstLine="40"/>
        <w:jc w:val="both"/>
        <w:rPr>
          <w:sz w:val="34"/>
          <w:szCs w:val="34"/>
        </w:rPr>
      </w:pPr>
      <w:bookmarkStart w:id="399" w:name="bookmark398"/>
      <w:r>
        <w:rPr>
          <w:rFonts w:ascii="Times New Roman" w:eastAsia="Times New Roman" w:hAnsi="Times New Roman" w:cs="Times New Roman"/>
          <w:w w:val="100"/>
          <w:u w:val="single"/>
        </w:rPr>
        <w:t>Miliony kolem „Sněhurky”</w:t>
      </w:r>
      <w:r>
        <w:rPr>
          <w:rFonts w:ascii="Times New Roman" w:eastAsia="Times New Roman" w:hAnsi="Times New Roman" w:cs="Times New Roman"/>
          <w:w w:val="100"/>
          <w:u w:val="single"/>
        </w:rPr>
        <w:tab/>
        <w:t xml:space="preserve"> </w:t>
      </w:r>
      <w:r>
        <w:rPr>
          <w:rFonts w:ascii="Times New Roman" w:eastAsia="Times New Roman" w:hAnsi="Times New Roman" w:cs="Times New Roman"/>
          <w:smallCaps/>
          <w:w w:val="100"/>
          <w:sz w:val="34"/>
          <w:szCs w:val="34"/>
          <w:u w:val="single"/>
        </w:rPr>
        <w:t>mr. brož</w:t>
      </w:r>
      <w:bookmarkEnd w:id="399"/>
    </w:p>
    <w:p w:rsidR="00500724" w:rsidRDefault="00F30FB8">
      <w:pPr>
        <w:pStyle w:val="Zkladntext30"/>
        <w:shd w:val="clear" w:color="auto" w:fill="auto"/>
        <w:spacing w:after="0" w:line="295" w:lineRule="auto"/>
        <w:ind w:left="400" w:right="340" w:firstLine="0"/>
        <w:rPr>
          <w:sz w:val="20"/>
          <w:szCs w:val="20"/>
        </w:rPr>
        <w:sectPr w:rsidR="00500724">
          <w:footnotePr>
            <w:numFmt w:val="chicago"/>
            <w:numRestart w:val="eachPage"/>
          </w:footnotePr>
          <w:pgSz w:w="11909" w:h="16834"/>
          <w:pgMar w:top="1078" w:right="360" w:bottom="965" w:left="499" w:header="0" w:footer="3" w:gutter="0"/>
          <w:cols w:space="720"/>
          <w:noEndnote/>
          <w:docGrid w:linePitch="360"/>
        </w:sectPr>
      </w:pPr>
      <w:r>
        <w:rPr>
          <w:b/>
          <w:bCs/>
          <w:sz w:val="20"/>
          <w:szCs w:val="20"/>
        </w:rPr>
        <w:t>Slovenské hospodářské nesnáze. — Bebca, banka pro styk s říšským hospodářstvím. — Slučování v druž</w:t>
      </w:r>
      <w:r>
        <w:rPr>
          <w:b/>
          <w:bCs/>
          <w:sz w:val="20"/>
          <w:szCs w:val="20"/>
        </w:rPr>
        <w:softHyphen/>
        <w:t>stevnictví. — Budeme mít nová čísla. — Rozvojové možnosti domácké práce. — Cesta Slovenska</w:t>
      </w:r>
      <w:r>
        <w:rPr>
          <w:b/>
          <w:bCs/>
          <w:sz w:val="20"/>
          <w:szCs w:val="20"/>
        </w:rPr>
        <w:t xml:space="preserve"> za hospodářskou samostatností. — Slovníček týdne. — Milion kilogramů jedu. — Co žádají Němci od Cechů. Na rozlúčenie s Cechmt — To není pravda. — Odpověď Slovence.</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7080"/>
        <w:sectPr w:rsidR="00500724">
          <w:footnotePr>
            <w:numFmt w:val="chicago"/>
            <w:numRestart w:val="eachPage"/>
          </w:footnotePr>
          <w:pgSz w:w="11909" w:h="16834"/>
          <w:pgMar w:top="1054" w:right="360" w:bottom="576" w:left="499" w:header="0" w:footer="3" w:gutter="0"/>
          <w:cols w:space="720"/>
          <w:noEndnote/>
          <w:docGrid w:linePitch="360"/>
        </w:sectPr>
      </w:pPr>
      <w:bookmarkStart w:id="400" w:name="bookmark399"/>
      <w:r>
        <w:rPr>
          <w:color w:val="FFFFFF"/>
        </w:rPr>
        <w:t>ODBORNÍ LÍKAftl</w:t>
      </w:r>
      <w:bookmarkEnd w:id="400"/>
    </w:p>
    <w:p w:rsidR="00500724" w:rsidRDefault="00500724">
      <w:pPr>
        <w:spacing w:line="123"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1054" w:right="0" w:bottom="576"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792" behindDoc="0" locked="0" layoutInCell="1" allowOverlap="1">
                <wp:simplePos x="0" y="0"/>
                <wp:positionH relativeFrom="page">
                  <wp:posOffset>572770</wp:posOffset>
                </wp:positionH>
                <wp:positionV relativeFrom="paragraph">
                  <wp:posOffset>12700</wp:posOffset>
                </wp:positionV>
                <wp:extent cx="2383790" cy="271145"/>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2383790"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LAZNÉ VELItHOVKY</w:t>
                            </w:r>
                          </w:p>
                        </w:txbxContent>
                      </wps:txbx>
                      <wps:bodyPr lIns="0" tIns="0" rIns="0" bIns="0">
                        <a:spAutoFit/>
                      </wps:bodyPr>
                    </wps:wsp>
                  </a:graphicData>
                </a:graphic>
              </wp:anchor>
            </w:drawing>
          </mc:Choice>
          <mc:Fallback>
            <w:pict>
              <v:shape id="_x0000_s1441" type="#_x0000_t202" style="position:absolute;margin-left:45.100000000000001pt;margin-top:1.pt;width:187.69999999999999pt;height:21.350000000000001pt;z-index:-125828961;mso-wrap-distance-left:9.pt;mso-wrap-distance-right:9.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LAZNÉ VELItHOVKY</w:t>
                      </w:r>
                    </w:p>
                  </w:txbxContent>
                </v:textbox>
                <w10:wrap type="topAndBottom" anchorx="page"/>
              </v:shape>
            </w:pict>
          </mc:Fallback>
        </mc:AlternateContent>
      </w:r>
      <w:r>
        <w:rPr>
          <w:noProof/>
        </w:rPr>
        <mc:AlternateContent>
          <mc:Choice Requires="wps">
            <w:drawing>
              <wp:anchor distT="0" distB="63500" distL="114300" distR="114300" simplePos="0" relativeHeight="125829794" behindDoc="0" locked="0" layoutInCell="1" allowOverlap="1">
                <wp:simplePos x="0" y="0"/>
                <wp:positionH relativeFrom="page">
                  <wp:posOffset>3011170</wp:posOffset>
                </wp:positionH>
                <wp:positionV relativeFrom="paragraph">
                  <wp:posOffset>121920</wp:posOffset>
                </wp:positionV>
                <wp:extent cx="618490" cy="201295"/>
                <wp:effectExtent l="0" t="0" r="0" b="0"/>
                <wp:wrapSquare wrapText="left"/>
                <wp:docPr id="417" name="Shape 417"/>
                <wp:cNvGraphicFramePr/>
                <a:graphic xmlns:a="http://schemas.openxmlformats.org/drawingml/2006/main">
                  <a:graphicData uri="http://schemas.microsoft.com/office/word/2010/wordprocessingShape">
                    <wps:wsp>
                      <wps:cNvSpPr txBox="1"/>
                      <wps:spPr>
                        <a:xfrm>
                          <a:off x="0" y="0"/>
                          <a:ext cx="618490" cy="201295"/>
                        </a:xfrm>
                        <a:prstGeom prst="rect">
                          <a:avLst/>
                        </a:prstGeom>
                        <a:noFill/>
                      </wps:spPr>
                      <wps:txbx>
                        <w:txbxContent>
                          <w:p w:rsidR="00500724" w:rsidRDefault="00F30FB8">
                            <w:pPr>
                              <w:pStyle w:val="Zkladntext80"/>
                              <w:shd w:val="clear" w:color="auto" w:fill="auto"/>
                              <w:spacing w:line="240" w:lineRule="auto"/>
                              <w:rPr>
                                <w:sz w:val="24"/>
                                <w:szCs w:val="24"/>
                              </w:rPr>
                            </w:pPr>
                            <w:r>
                              <w:rPr>
                                <w:w w:val="70"/>
                                <w:sz w:val="24"/>
                                <w:szCs w:val="24"/>
                              </w:rPr>
                              <w:t>u Jaroměře</w:t>
                            </w:r>
                          </w:p>
                        </w:txbxContent>
                      </wps:txbx>
                      <wps:bodyPr lIns="0" tIns="0" rIns="0" bIns="0">
                        <a:spAutoFit/>
                      </wps:bodyPr>
                    </wps:wsp>
                  </a:graphicData>
                </a:graphic>
              </wp:anchor>
            </w:drawing>
          </mc:Choice>
          <mc:Fallback>
            <w:pict>
              <v:shape id="_x0000_s1443" type="#_x0000_t202" style="position:absolute;margin-left:237.09999999999999pt;margin-top:9.5999999999999996pt;width:48.700000000000003pt;height:15.85pt;z-index:-125828959;mso-wrap-distance-left:9.pt;mso-wrap-distance-right:9.pt;mso-wrap-distance-bottom:5.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70"/>
                          <w:position w:val="0"/>
                          <w:sz w:val="24"/>
                          <w:szCs w:val="24"/>
                          <w:shd w:val="clear" w:color="auto" w:fill="auto"/>
                          <w:lang w:val="cs-CZ" w:eastAsia="cs-CZ" w:bidi="cs-CZ"/>
                        </w:rPr>
                        <w:t>u Jaroměře</w:t>
                      </w:r>
                    </w:p>
                  </w:txbxContent>
                </v:textbox>
                <w10:wrap type="square" side="left" anchorx="page"/>
              </v:shape>
            </w:pict>
          </mc:Fallback>
        </mc:AlternateContent>
      </w:r>
    </w:p>
    <w:p w:rsidR="00500724" w:rsidRDefault="00F30FB8">
      <w:pPr>
        <w:pStyle w:val="Zkladntext100"/>
        <w:shd w:val="clear" w:color="auto" w:fill="auto"/>
        <w:spacing w:line="240" w:lineRule="auto"/>
        <w:ind w:firstLine="0"/>
        <w:jc w:val="left"/>
        <w:rPr>
          <w:sz w:val="17"/>
          <w:szCs w:val="17"/>
        </w:rPr>
      </w:pPr>
      <w:r>
        <w:rPr>
          <w:b/>
          <w:bCs/>
          <w:sz w:val="17"/>
          <w:szCs w:val="17"/>
        </w:rPr>
        <w:t>Sezóna od 1. března</w:t>
      </w:r>
    </w:p>
    <w:p w:rsidR="00500724" w:rsidRDefault="00F30FB8">
      <w:pPr>
        <w:spacing w:line="1" w:lineRule="exact"/>
        <w:rPr>
          <w:sz w:val="2"/>
          <w:szCs w:val="2"/>
        </w:rPr>
      </w:pPr>
      <w:r>
        <w:br w:type="column"/>
      </w:r>
    </w:p>
    <w:p w:rsidR="00500724" w:rsidRDefault="00F30FB8">
      <w:pPr>
        <w:pStyle w:val="Zkladntext100"/>
        <w:shd w:val="clear" w:color="auto" w:fill="auto"/>
        <w:spacing w:line="190" w:lineRule="auto"/>
        <w:ind w:left="320" w:firstLine="0"/>
        <w:jc w:val="right"/>
      </w:pPr>
      <w:r>
        <w:rPr>
          <w:b/>
          <w:bCs/>
          <w:lang w:val="en-US" w:eastAsia="en-US" w:bidi="en-US"/>
        </w:rPr>
        <w:t>■ • ■ ■ w ■■ n</w:t>
      </w:r>
      <w:r>
        <w:rPr>
          <w:b/>
          <w:bCs/>
          <w:u w:val="single"/>
          <w:lang w:val="en-US" w:eastAsia="en-US" w:bidi="en-US"/>
        </w:rPr>
        <w:t>■ g</w:t>
      </w:r>
      <w:r>
        <w:rPr>
          <w:b/>
          <w:bCs/>
          <w:lang w:val="en-US" w:eastAsia="en-US" w:bidi="en-US"/>
        </w:rPr>
        <w:t xml:space="preserve"> </w:t>
      </w:r>
      <w:r>
        <w:rPr>
          <w:b/>
          <w:bCs/>
        </w:rPr>
        <w:t xml:space="preserve">třevni </w:t>
      </w:r>
      <w:r>
        <w:rPr>
          <w:b/>
          <w:bCs/>
          <w:lang w:val="en-US" w:eastAsia="en-US" w:bidi="en-US"/>
        </w:rPr>
        <w:t xml:space="preserve">nemocia roentgenolorU. PRAHA IL, NEKAZANKA 4, U. </w:t>
      </w:r>
      <w:r>
        <w:rPr>
          <w:b/>
          <w:bCs/>
        </w:rPr>
        <w:t xml:space="preserve">patro. </w:t>
      </w:r>
      <w:r>
        <w:rPr>
          <w:b/>
          <w:bCs/>
          <w:lang w:val="en-US" w:eastAsia="en-US" w:bidi="en-US"/>
        </w:rPr>
        <w:t>Ord. 9—10, 3—4.</w:t>
      </w:r>
    </w:p>
    <w:p w:rsidR="00500724" w:rsidRDefault="00F30FB8">
      <w:pPr>
        <w:pStyle w:val="Zkladntext100"/>
        <w:shd w:val="clear" w:color="auto" w:fill="auto"/>
        <w:spacing w:line="190" w:lineRule="auto"/>
        <w:ind w:left="2480" w:firstLine="0"/>
        <w:jc w:val="left"/>
        <w:sectPr w:rsidR="00500724">
          <w:footnotePr>
            <w:numFmt w:val="chicago"/>
            <w:numRestart w:val="eachPage"/>
          </w:footnotePr>
          <w:type w:val="continuous"/>
          <w:pgSz w:w="11909" w:h="16834"/>
          <w:pgMar w:top="1054" w:right="667" w:bottom="576" w:left="902" w:header="0" w:footer="3" w:gutter="0"/>
          <w:cols w:num="2" w:space="192"/>
          <w:noEndnote/>
          <w:docGrid w:linePitch="360"/>
        </w:sectPr>
      </w:pPr>
      <w:r>
        <w:t xml:space="preserve">Telefon </w:t>
      </w:r>
      <w:r>
        <w:rPr>
          <w:lang w:val="en-US" w:eastAsia="en-US" w:bidi="en-US"/>
        </w:rPr>
        <w:t>234-13.</w:t>
      </w:r>
    </w:p>
    <w:p w:rsidR="00500724" w:rsidRDefault="00F30FB8">
      <w:pPr>
        <w:pStyle w:val="Zkladntext50"/>
        <w:shd w:val="clear" w:color="auto" w:fill="auto"/>
        <w:spacing w:after="0" w:line="240" w:lineRule="auto"/>
        <w:ind w:left="260"/>
        <w:jc w:val="left"/>
        <w:rPr>
          <w:sz w:val="18"/>
          <w:szCs w:val="18"/>
        </w:rPr>
      </w:pPr>
      <w:r>
        <w:rPr>
          <w:b/>
          <w:bCs/>
          <w:sz w:val="18"/>
          <w:szCs w:val="18"/>
        </w:rPr>
        <w:t>Revma, dna, ischias, nervosy, ženské choroby</w:t>
      </w:r>
    </w:p>
    <w:p w:rsidR="00500724" w:rsidRDefault="00F30FB8">
      <w:pPr>
        <w:pStyle w:val="Nadpis110"/>
        <w:shd w:val="clear" w:color="auto" w:fill="auto"/>
        <w:spacing w:after="640"/>
        <w:ind w:left="260"/>
      </w:pPr>
      <w:bookmarkStart w:id="401" w:name="bookmark400"/>
      <w:r>
        <w:t xml:space="preserve">Levné jarní paušály od K </w:t>
      </w:r>
      <w:r>
        <w:t>960*-za 3 týdny</w:t>
      </w:r>
      <w:bookmarkEnd w:id="401"/>
    </w:p>
    <w:p w:rsidR="00500724" w:rsidRDefault="00F30FB8">
      <w:pPr>
        <w:pStyle w:val="Jin0"/>
        <w:shd w:val="clear" w:color="auto" w:fill="auto"/>
        <w:spacing w:after="80"/>
        <w:ind w:firstLine="0"/>
        <w:jc w:val="left"/>
        <w:rPr>
          <w:sz w:val="26"/>
          <w:szCs w:val="26"/>
        </w:rPr>
      </w:pPr>
      <w:r>
        <w:rPr>
          <w:rFonts w:ascii="Arial" w:eastAsia="Arial" w:hAnsi="Arial" w:cs="Arial"/>
          <w:b/>
          <w:bCs/>
          <w:sz w:val="26"/>
          <w:szCs w:val="26"/>
        </w:rPr>
        <w:t>SOUČASNĚ</w:t>
      </w:r>
    </w:p>
    <w:p w:rsidR="00500724" w:rsidRDefault="00F30FB8">
      <w:pPr>
        <w:pStyle w:val="Zkladntext90"/>
        <w:shd w:val="clear" w:color="auto" w:fill="auto"/>
        <w:spacing w:line="240" w:lineRule="auto"/>
        <w:ind w:left="760" w:firstLine="20"/>
        <w:jc w:val="left"/>
      </w:pPr>
      <w:r>
        <w:t>s péčí o prázdniny zabezpečte se</w:t>
      </w:r>
    </w:p>
    <w:p w:rsidR="00500724" w:rsidRDefault="00F30FB8">
      <w:pPr>
        <w:pStyle w:val="Nadpis110"/>
        <w:shd w:val="clear" w:color="auto" w:fill="auto"/>
        <w:spacing w:after="60"/>
        <w:ind w:left="760" w:firstLine="20"/>
      </w:pPr>
      <w:bookmarkStart w:id="402" w:name="bookmark401"/>
      <w:r>
        <w:t>pojistkou úrazovou</w:t>
      </w:r>
      <w:bookmarkEnd w:id="402"/>
    </w:p>
    <w:p w:rsidR="00500724" w:rsidRDefault="00F30FB8">
      <w:pPr>
        <w:pStyle w:val="Nadpis110"/>
        <w:shd w:val="clear" w:color="auto" w:fill="auto"/>
        <w:spacing w:after="140"/>
      </w:pPr>
      <w:bookmarkStart w:id="403" w:name="bookmark402"/>
      <w:r>
        <w:rPr>
          <w:rFonts w:ascii="Times New Roman" w:eastAsia="Times New Roman" w:hAnsi="Times New Roman" w:cs="Times New Roman"/>
          <w:sz w:val="13"/>
          <w:szCs w:val="13"/>
        </w:rPr>
        <w:t xml:space="preserve">a avůj byt </w:t>
      </w:r>
      <w:r>
        <w:t>pojistkou proti krádeži vloupáním</w:t>
      </w:r>
      <w:bookmarkEnd w:id="403"/>
    </w:p>
    <w:p w:rsidR="00500724" w:rsidRDefault="00F30FB8">
      <w:pPr>
        <w:pStyle w:val="Zkladntext90"/>
        <w:shd w:val="clear" w:color="auto" w:fill="auto"/>
        <w:spacing w:line="240" w:lineRule="auto"/>
        <w:ind w:left="760" w:firstLine="20"/>
        <w:jc w:val="left"/>
      </w:pPr>
      <w:r>
        <w:t>Dopisnicí vyzvete nás k podání</w:t>
      </w:r>
    </w:p>
    <w:p w:rsidR="00500724" w:rsidRDefault="00F30FB8">
      <w:pPr>
        <w:pStyle w:val="Nadpis110"/>
        <w:shd w:val="clear" w:color="auto" w:fill="auto"/>
        <w:spacing w:after="200"/>
        <w:ind w:left="760" w:firstLine="20"/>
      </w:pPr>
      <w:bookmarkStart w:id="404" w:name="bookmark403"/>
      <w:r>
        <w:t>INFORMACE</w:t>
      </w:r>
      <w:bookmarkEnd w:id="404"/>
    </w:p>
    <w:p w:rsidR="00500724" w:rsidRDefault="00F30FB8">
      <w:pPr>
        <w:pStyle w:val="Jin0"/>
        <w:shd w:val="clear" w:color="auto" w:fill="auto"/>
        <w:ind w:left="760" w:firstLine="20"/>
        <w:jc w:val="left"/>
        <w:rPr>
          <w:sz w:val="26"/>
          <w:szCs w:val="26"/>
        </w:rPr>
      </w:pPr>
      <w:r>
        <w:rPr>
          <w:rFonts w:ascii="Arial" w:eastAsia="Arial" w:hAnsi="Arial" w:cs="Arial"/>
          <w:b/>
          <w:bCs/>
          <w:sz w:val="26"/>
          <w:szCs w:val="26"/>
        </w:rPr>
        <w:t>ČS. AKCIOVÁ POJIŠŤOVNA</w:t>
      </w:r>
    </w:p>
    <w:p w:rsidR="00500724" w:rsidRDefault="00F30FB8">
      <w:pPr>
        <w:pStyle w:val="Zkladntext100"/>
        <w:shd w:val="clear" w:color="auto" w:fill="auto"/>
        <w:spacing w:line="240" w:lineRule="auto"/>
        <w:ind w:left="760" w:firstLine="20"/>
        <w:jc w:val="left"/>
      </w:pPr>
      <w:r>
        <w:t>Praha Ií., Spálená 49 • Telefony čís. 544 41-4</w:t>
      </w:r>
    </w:p>
    <w:p w:rsidR="00500724" w:rsidRDefault="00F30FB8">
      <w:pPr>
        <w:spacing w:line="1" w:lineRule="exact"/>
        <w:rPr>
          <w:sz w:val="2"/>
          <w:szCs w:val="2"/>
        </w:rPr>
      </w:pPr>
      <w:r>
        <w:br w:type="column"/>
      </w:r>
    </w:p>
    <w:p w:rsidR="00500724" w:rsidRDefault="00F30FB8">
      <w:pPr>
        <w:pStyle w:val="Zkladntext100"/>
        <w:shd w:val="clear" w:color="auto" w:fill="auto"/>
        <w:spacing w:line="149" w:lineRule="auto"/>
        <w:ind w:firstLine="0"/>
        <w:jc w:val="right"/>
      </w:pPr>
      <w:r>
        <w:rPr>
          <w:rFonts w:ascii="Arial" w:eastAsia="Arial" w:hAnsi="Arial" w:cs="Arial"/>
          <w:b/>
          <w:bCs/>
          <w:sz w:val="22"/>
          <w:szCs w:val="22"/>
          <w:lang w:val="en-US" w:eastAsia="en-US" w:bidi="en-US"/>
        </w:rPr>
        <w:t xml:space="preserve">MUDr. Ervin Frohlich, </w:t>
      </w:r>
      <w:r>
        <w:rPr>
          <w:b/>
          <w:bCs/>
        </w:rPr>
        <w:t xml:space="preserve">odborný lékař </w:t>
      </w:r>
      <w:r>
        <w:rPr>
          <w:b/>
          <w:bCs/>
          <w:lang w:val="en-US" w:eastAsia="en-US" w:bidi="en-US"/>
        </w:rPr>
        <w:t xml:space="preserve">pro </w:t>
      </w:r>
      <w:r>
        <w:rPr>
          <w:b/>
          <w:bCs/>
        </w:rPr>
        <w:t xml:space="preserve">choroby vnitřní, žaludeční, střevní a výměny látek, em. esistent I. med. kliniky </w:t>
      </w:r>
      <w:r>
        <w:rPr>
          <w:b/>
          <w:bCs/>
          <w:lang w:val="en-US" w:eastAsia="en-US" w:bidi="en-US"/>
        </w:rPr>
        <w:t xml:space="preserve">prof. </w:t>
      </w:r>
      <w:r>
        <w:rPr>
          <w:b/>
          <w:bCs/>
        </w:rPr>
        <w:t>Schmidta</w:t>
      </w:r>
    </w:p>
    <w:p w:rsidR="00500724" w:rsidRDefault="00F30FB8">
      <w:pPr>
        <w:pStyle w:val="Zkladntext100"/>
        <w:shd w:val="clear" w:color="auto" w:fill="auto"/>
        <w:spacing w:after="200" w:line="158" w:lineRule="auto"/>
        <w:ind w:firstLine="0"/>
        <w:jc w:val="right"/>
      </w:pPr>
      <w:r>
        <w:rPr>
          <w:b/>
          <w:bCs/>
          <w:u w:val="single"/>
        </w:rPr>
        <w:t>PRAHA L, Na Příkopech 85. Ord. 9-10. %3-’/»5. Telef. 228-91.</w:t>
      </w:r>
    </w:p>
    <w:p w:rsidR="00500724" w:rsidRDefault="00F30FB8">
      <w:pPr>
        <w:pStyle w:val="Nadpis110"/>
        <w:shd w:val="clear" w:color="auto" w:fill="auto"/>
        <w:spacing w:after="40"/>
        <w:jc w:val="right"/>
      </w:pPr>
      <w:bookmarkStart w:id="405" w:name="bookmark404"/>
      <w:r>
        <w:t>MUDr. ZDENKA NEDVĚDOVÁ-NEJEDLÁ</w:t>
      </w:r>
      <w:bookmarkEnd w:id="405"/>
    </w:p>
    <w:p w:rsidR="00500724" w:rsidRDefault="00F30FB8">
      <w:pPr>
        <w:pStyle w:val="Zkladntext100"/>
        <w:shd w:val="clear" w:color="auto" w:fill="auto"/>
        <w:spacing w:after="220" w:line="228" w:lineRule="auto"/>
        <w:ind w:firstLine="0"/>
        <w:jc w:val="right"/>
      </w:pPr>
      <w:r>
        <w:rPr>
          <w:b/>
          <w:bCs/>
        </w:rPr>
        <w:t xml:space="preserve">odb. dětská lékařka, PODOLÍ, PANKRÁCKÁ 14 (stanice elektr. </w:t>
      </w:r>
      <w:r>
        <w:rPr>
          <w:b/>
          <w:bCs/>
          <w:u w:val="single"/>
        </w:rPr>
        <w:t>dráhy za Podol, sanatoriem). Ord. 9—10 a 2—4. Tel. 441-77.</w:t>
      </w:r>
    </w:p>
    <w:p w:rsidR="00500724" w:rsidRDefault="00F30FB8">
      <w:pPr>
        <w:pStyle w:val="Nadpis110"/>
        <w:shd w:val="clear" w:color="auto" w:fill="auto"/>
        <w:spacing w:after="40"/>
        <w:jc w:val="right"/>
      </w:pPr>
      <w:bookmarkStart w:id="406" w:name="bookmark405"/>
      <w:r>
        <w:t>MUDr. ANTONÍN NEUMANN</w:t>
      </w:r>
      <w:bookmarkEnd w:id="406"/>
    </w:p>
    <w:p w:rsidR="00500724" w:rsidRDefault="00F30FB8">
      <w:pPr>
        <w:pStyle w:val="Zkladntext40"/>
        <w:shd w:val="clear" w:color="auto" w:fill="auto"/>
        <w:spacing w:after="220" w:line="163" w:lineRule="auto"/>
        <w:ind w:firstLine="700"/>
        <w:rPr>
          <w:sz w:val="16"/>
          <w:szCs w:val="16"/>
        </w:rPr>
      </w:pPr>
      <w:r>
        <w:rPr>
          <w:sz w:val="18"/>
          <w:szCs w:val="18"/>
        </w:rPr>
        <w:t xml:space="preserve">odborný lékař nemocí pohlavních, kožních a kosmetiky, </w:t>
      </w:r>
      <w:r>
        <w:rPr>
          <w:b/>
          <w:bCs/>
          <w:sz w:val="16"/>
          <w:szCs w:val="16"/>
        </w:rPr>
        <w:t>Praha II., Na Zbořenci 24 — třetí dům od Karlova náměstí. Ordi</w:t>
      </w:r>
      <w:r>
        <w:rPr>
          <w:b/>
          <w:bCs/>
          <w:sz w:val="16"/>
          <w:szCs w:val="16"/>
        </w:rPr>
        <w:t>nuje celý den. V neděli a ve svátek dopoledne. Tel. 41.728.</w:t>
      </w:r>
    </w:p>
    <w:p w:rsidR="00500724" w:rsidRDefault="00F30FB8">
      <w:pPr>
        <w:pStyle w:val="Zkladntext100"/>
        <w:shd w:val="clear" w:color="auto" w:fill="auto"/>
        <w:spacing w:after="40" w:line="178" w:lineRule="auto"/>
        <w:ind w:firstLine="0"/>
        <w:jc w:val="right"/>
        <w:rPr>
          <w:sz w:val="22"/>
          <w:szCs w:val="22"/>
        </w:rPr>
      </w:pPr>
      <w:r>
        <w:rPr>
          <w:b/>
          <w:bCs/>
          <w:sz w:val="19"/>
          <w:szCs w:val="19"/>
        </w:rP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line="206" w:lineRule="auto"/>
        <w:ind w:firstLine="0"/>
        <w:rPr>
          <w:sz w:val="19"/>
          <w:szCs w:val="19"/>
        </w:rPr>
        <w:sectPr w:rsidR="00500724">
          <w:footnotePr>
            <w:numFmt w:val="chicago"/>
            <w:numRestart w:val="eachPage"/>
          </w:footnotePr>
          <w:type w:val="continuous"/>
          <w:pgSz w:w="11909" w:h="16834"/>
          <w:pgMar w:top="1054" w:right="854" w:bottom="576" w:left="960" w:header="0" w:footer="3" w:gutter="0"/>
          <w:cols w:num="2" w:sep="1" w:space="100"/>
          <w:noEndnote/>
          <w:docGrid w:linePitch="360"/>
        </w:sectPr>
      </w:pPr>
      <w:r>
        <w:rPr>
          <w:b/>
          <w:bCs/>
          <w:sz w:val="19"/>
          <w:szCs w:val="19"/>
        </w:rPr>
        <w:t>ord. 3—4 (a podle úmluvy). Telefon 393-79. PRAHA H„ VO</w:t>
      </w:r>
      <w:r>
        <w:rPr>
          <w:b/>
          <w:bCs/>
          <w:sz w:val="19"/>
          <w:szCs w:val="19"/>
        </w:rPr>
        <w:softHyphen/>
        <w:t>DIČKOVA 15. (Hlávkův Dalác.)</w:t>
      </w:r>
    </w:p>
    <w:p w:rsidR="00500724" w:rsidRDefault="00500724">
      <w:pPr>
        <w:spacing w:line="163" w:lineRule="exact"/>
        <w:rPr>
          <w:sz w:val="13"/>
          <w:szCs w:val="13"/>
        </w:rPr>
      </w:pPr>
    </w:p>
    <w:p w:rsidR="00500724" w:rsidRDefault="00500724">
      <w:pPr>
        <w:spacing w:line="14" w:lineRule="exact"/>
        <w:sectPr w:rsidR="00500724">
          <w:footnotePr>
            <w:numFmt w:val="chicago"/>
            <w:numRestart w:val="eachPage"/>
          </w:footnotePr>
          <w:type w:val="continuous"/>
          <w:pgSz w:w="11909" w:h="16834"/>
          <w:pgMar w:top="1054" w:right="0" w:bottom="576" w:left="0"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6120"/>
        <w:sectPr w:rsidR="00500724">
          <w:footnotePr>
            <w:numFmt w:val="chicago"/>
            <w:numRestart w:val="eachPage"/>
          </w:footnotePr>
          <w:type w:val="continuous"/>
          <w:pgSz w:w="11909" w:h="16834"/>
          <w:pgMar w:top="1054" w:right="667" w:bottom="576" w:left="590" w:header="0" w:footer="3" w:gutter="0"/>
          <w:cols w:space="720"/>
          <w:noEndnote/>
          <w:docGrid w:linePitch="360"/>
        </w:sectPr>
      </w:pPr>
      <w:bookmarkStart w:id="407" w:name="bookmark406"/>
      <w:r>
        <w:rPr>
          <w:color w:val="FFFFFF"/>
        </w:rPr>
        <w:t>VAS VKUS I NÁROKY USPOKOJÍ</w:t>
      </w:r>
      <w:bookmarkEnd w:id="407"/>
    </w:p>
    <w:p w:rsidR="00500724" w:rsidRDefault="00F30FB8">
      <w:pPr>
        <w:pStyle w:val="Jin0"/>
        <w:shd w:val="clear" w:color="auto" w:fill="auto"/>
        <w:spacing w:after="40"/>
        <w:ind w:firstLine="0"/>
        <w:jc w:val="left"/>
        <w:rPr>
          <w:sz w:val="44"/>
          <w:szCs w:val="44"/>
        </w:rPr>
      </w:pPr>
      <w:r>
        <w:rPr>
          <w:i/>
          <w:iCs/>
          <w:sz w:val="44"/>
          <w:szCs w:val="44"/>
        </w:rPr>
        <w:t>Nové knihy</w:t>
      </w:r>
    </w:p>
    <w:p w:rsidR="00500724" w:rsidRDefault="00F30FB8">
      <w:pPr>
        <w:pStyle w:val="Zkladntext40"/>
        <w:shd w:val="clear" w:color="auto" w:fill="auto"/>
        <w:spacing w:after="0" w:line="187" w:lineRule="auto"/>
        <w:ind w:right="1120"/>
        <w:jc w:val="right"/>
      </w:pPr>
      <w:r>
        <w:t xml:space="preserve">KREJČÍ Tomáš doc. dr., Organisace školství </w:t>
      </w:r>
      <w:r>
        <w:rPr>
          <w:b/>
          <w:bCs/>
          <w:sz w:val="14"/>
          <w:szCs w:val="14"/>
        </w:rPr>
        <w:t xml:space="preserve">a </w:t>
      </w:r>
      <w:r>
        <w:t>cíl výchovy v Německu. 20.5 X13 cm,</w:t>
      </w:r>
    </w:p>
    <w:p w:rsidR="00500724" w:rsidRDefault="00F30FB8">
      <w:pPr>
        <w:pStyle w:val="Zkladntext40"/>
        <w:shd w:val="clear" w:color="auto" w:fill="auto"/>
        <w:tabs>
          <w:tab w:val="left" w:pos="3473"/>
        </w:tabs>
        <w:spacing w:after="40" w:line="187" w:lineRule="auto"/>
        <w:ind w:left="160" w:firstLine="20"/>
      </w:pPr>
      <w:r>
        <w:t>62 stran,</w:t>
      </w:r>
      <w:r>
        <w:tab/>
        <w:t>brož. K 8.—</w:t>
      </w:r>
    </w:p>
    <w:p w:rsidR="00500724" w:rsidRDefault="00F30FB8">
      <w:pPr>
        <w:pStyle w:val="Zkladntext40"/>
        <w:shd w:val="clear" w:color="auto" w:fill="auto"/>
        <w:tabs>
          <w:tab w:val="left" w:pos="3473"/>
        </w:tabs>
        <w:spacing w:after="80" w:line="180" w:lineRule="auto"/>
        <w:ind w:left="160" w:hanging="160"/>
        <w:jc w:val="left"/>
      </w:pPr>
      <w:r>
        <w:t>MANDL Vladimír dr., Právní soustava němec</w:t>
      </w:r>
      <w:r>
        <w:softHyphen/>
        <w:t>ké říše. 21X15 cm, 128 stran,</w:t>
      </w:r>
      <w:r>
        <w:tab/>
        <w:t>brož. K 25.—</w:t>
      </w:r>
    </w:p>
    <w:p w:rsidR="00500724" w:rsidRDefault="00F30FB8">
      <w:pPr>
        <w:pStyle w:val="Zkladntext40"/>
        <w:shd w:val="clear" w:color="auto" w:fill="auto"/>
        <w:tabs>
          <w:tab w:val="left" w:pos="3473"/>
        </w:tabs>
        <w:spacing w:after="40" w:line="170" w:lineRule="auto"/>
        <w:ind w:left="160" w:hanging="160"/>
        <w:jc w:val="left"/>
      </w:pPr>
      <w:r>
        <w:t>VESELÁ Jarmila JUDr., Trestní právo ně</w:t>
      </w:r>
      <w:r>
        <w:softHyphen/>
        <w:t>mecké všeobecně platné na území Protek</w:t>
      </w:r>
      <w:r>
        <w:softHyphen/>
        <w:t>torátu Čechy — Morava. 18x12 cm, 65 stran.</w:t>
      </w:r>
      <w:r>
        <w:tab/>
        <w:t>brož. K 10.50</w:t>
      </w:r>
    </w:p>
    <w:p w:rsidR="00500724" w:rsidRDefault="00F30FB8">
      <w:pPr>
        <w:pStyle w:val="Zkladntext40"/>
        <w:shd w:val="clear" w:color="auto" w:fill="auto"/>
        <w:spacing w:after="0"/>
        <w:ind w:right="1120"/>
        <w:jc w:val="right"/>
      </w:pPr>
      <w:r>
        <w:rPr>
          <w:lang w:val="en-US" w:eastAsia="en-US" w:bidi="en-US"/>
        </w:rPr>
        <w:t xml:space="preserve">WAGNER </w:t>
      </w:r>
      <w:r>
        <w:t>Karel, Třicetšest let ve vojenských</w:t>
      </w:r>
    </w:p>
    <w:p w:rsidR="00500724" w:rsidRDefault="00F30FB8">
      <w:pPr>
        <w:pStyle w:val="Zkladntext40"/>
        <w:shd w:val="clear" w:color="auto" w:fill="auto"/>
        <w:spacing w:after="40"/>
        <w:ind w:left="160" w:firstLine="20"/>
      </w:pPr>
      <w:r>
        <w:t>službách. II. díl. 22X15 cm, 61 stran, brož. K 8.50</w:t>
      </w:r>
    </w:p>
    <w:p w:rsidR="00500724" w:rsidRDefault="00F30FB8">
      <w:pPr>
        <w:pStyle w:val="Zkladntext40"/>
        <w:shd w:val="clear" w:color="auto" w:fill="auto"/>
        <w:spacing w:after="40"/>
        <w:jc w:val="left"/>
      </w:pPr>
      <w:r>
        <w:t xml:space="preserve">PLATON, </w:t>
      </w:r>
      <w:r>
        <w:rPr>
          <w:lang w:val="en-US" w:eastAsia="en-US" w:bidi="en-US"/>
        </w:rPr>
        <w:t xml:space="preserve">Protagoras </w:t>
      </w:r>
      <w:r>
        <w:t xml:space="preserve">aneb o </w:t>
      </w:r>
      <w:r>
        <w:t>výchově a ob</w:t>
      </w:r>
      <w:r>
        <w:softHyphen/>
        <w:t>čanské zdatnosti. 22.5X14.5 cm, 78 stran, brož. K 18.— váz. K 33.—</w:t>
      </w:r>
    </w:p>
    <w:p w:rsidR="00500724" w:rsidRDefault="00F30FB8">
      <w:pPr>
        <w:pStyle w:val="Zkladntext40"/>
        <w:shd w:val="clear" w:color="auto" w:fill="auto"/>
        <w:spacing w:after="0"/>
        <w:ind w:right="1120"/>
        <w:jc w:val="right"/>
      </w:pPr>
      <w:r>
        <w:rPr>
          <w:lang w:val="en-US" w:eastAsia="en-US" w:bidi="en-US"/>
        </w:rPr>
        <w:t xml:space="preserve">ANGELL </w:t>
      </w:r>
      <w:r>
        <w:t xml:space="preserve">Norman, </w:t>
      </w:r>
      <w:r>
        <w:rPr>
          <w:lang w:val="en-US" w:eastAsia="en-US" w:bidi="en-US"/>
        </w:rPr>
        <w:t xml:space="preserve">The Great </w:t>
      </w:r>
      <w:r>
        <w:t>Illuslon-Now.</w:t>
      </w:r>
    </w:p>
    <w:p w:rsidR="00500724" w:rsidRDefault="00F30FB8">
      <w:pPr>
        <w:pStyle w:val="Zkladntext40"/>
        <w:shd w:val="clear" w:color="auto" w:fill="auto"/>
        <w:tabs>
          <w:tab w:val="left" w:pos="3473"/>
        </w:tabs>
        <w:spacing w:after="40"/>
        <w:ind w:left="160" w:firstLine="20"/>
      </w:pPr>
      <w:r>
        <w:t xml:space="preserve">15.5x11 cm, 282 str., sb. </w:t>
      </w:r>
      <w:r>
        <w:rPr>
          <w:lang w:val="en-US" w:eastAsia="en-US" w:bidi="en-US"/>
        </w:rPr>
        <w:t>Penguin,</w:t>
      </w:r>
      <w:r>
        <w:rPr>
          <w:lang w:val="en-US" w:eastAsia="en-US" w:bidi="en-US"/>
        </w:rPr>
        <w:tab/>
      </w:r>
      <w:r>
        <w:t>brož. K 5.25</w:t>
      </w:r>
    </w:p>
    <w:p w:rsidR="00500724" w:rsidRDefault="00F30FB8">
      <w:pPr>
        <w:pStyle w:val="Zkladntext40"/>
        <w:shd w:val="clear" w:color="auto" w:fill="auto"/>
        <w:spacing w:after="40"/>
        <w:ind w:left="160" w:hanging="160"/>
        <w:jc w:val="left"/>
      </w:pPr>
      <w:r>
        <w:rPr>
          <w:lang w:val="en-US" w:eastAsia="en-US" w:bidi="en-US"/>
        </w:rPr>
        <w:t xml:space="preserve">CHURCHILL Winston </w:t>
      </w:r>
      <w:r>
        <w:t xml:space="preserve">S., </w:t>
      </w:r>
      <w:r>
        <w:rPr>
          <w:lang w:val="en-US" w:eastAsia="en-US" w:bidi="en-US"/>
        </w:rPr>
        <w:t>Arms and the Co</w:t>
      </w:r>
      <w:r>
        <w:rPr>
          <w:lang w:val="en-US" w:eastAsia="en-US" w:bidi="en-US"/>
        </w:rPr>
        <w:softHyphen/>
        <w:t>venant. Speeches on Foreign Affaires and National D</w:t>
      </w:r>
      <w:r>
        <w:rPr>
          <w:lang w:val="en-US" w:eastAsia="en-US" w:bidi="en-US"/>
        </w:rPr>
        <w:t xml:space="preserve">efence. 23X15 cm, 465 </w:t>
      </w:r>
      <w:r>
        <w:t xml:space="preserve">stran, váz. </w:t>
      </w:r>
      <w:r>
        <w:rPr>
          <w:lang w:val="en-US" w:eastAsia="en-US" w:bidi="en-US"/>
        </w:rPr>
        <w:t>K 144.—</w:t>
      </w:r>
    </w:p>
    <w:p w:rsidR="00500724" w:rsidRDefault="00F30FB8">
      <w:pPr>
        <w:pStyle w:val="Zkladntext40"/>
        <w:shd w:val="clear" w:color="auto" w:fill="auto"/>
        <w:tabs>
          <w:tab w:val="left" w:pos="3473"/>
        </w:tabs>
        <w:spacing w:after="40" w:line="185" w:lineRule="auto"/>
        <w:ind w:left="160" w:hanging="160"/>
        <w:jc w:val="left"/>
      </w:pPr>
      <w:r>
        <w:rPr>
          <w:lang w:val="en-US" w:eastAsia="en-US" w:bidi="en-US"/>
        </w:rPr>
        <w:t xml:space="preserve">CHAMPION Pierre, Charles IX. La France et le controle de 1‘Espagne. 21X13.5 cm. 422 </w:t>
      </w:r>
      <w:r>
        <w:t>stran,</w:t>
      </w:r>
      <w:r>
        <w:tab/>
        <w:t xml:space="preserve">brož. </w:t>
      </w:r>
      <w:r>
        <w:rPr>
          <w:lang w:val="en-US" w:eastAsia="en-US" w:bidi="en-US"/>
        </w:rPr>
        <w:t>K 50.—</w:t>
      </w:r>
    </w:p>
    <w:p w:rsidR="00500724" w:rsidRDefault="00F30FB8">
      <w:pPr>
        <w:pStyle w:val="Zkladntext40"/>
        <w:shd w:val="clear" w:color="auto" w:fill="auto"/>
        <w:tabs>
          <w:tab w:val="left" w:pos="3473"/>
        </w:tabs>
        <w:spacing w:after="160" w:line="185" w:lineRule="auto"/>
        <w:ind w:left="160" w:hanging="160"/>
        <w:jc w:val="left"/>
      </w:pPr>
      <w:r>
        <w:rPr>
          <w:lang w:val="en-US" w:eastAsia="en-US" w:bidi="en-US"/>
        </w:rPr>
        <w:t xml:space="preserve">HEYMANN Egon, Balkan. Kriege, Bundnis- se, Revolutionen. 150 Jahre </w:t>
      </w:r>
      <w:r>
        <w:t xml:space="preserve">Politik </w:t>
      </w:r>
      <w:r>
        <w:rPr>
          <w:lang w:val="en-US" w:eastAsia="en-US" w:bidi="en-US"/>
        </w:rPr>
        <w:t xml:space="preserve">und Schicksal. 24X16 cm, 440 </w:t>
      </w:r>
      <w:r>
        <w:t>stran,</w:t>
      </w:r>
      <w:r>
        <w:tab/>
        <w:t xml:space="preserve">váz. </w:t>
      </w:r>
      <w:r>
        <w:rPr>
          <w:lang w:val="en-US" w:eastAsia="en-US" w:bidi="en-US"/>
        </w:rPr>
        <w:t>K 85.—</w:t>
      </w:r>
    </w:p>
    <w:p w:rsidR="00500724" w:rsidRDefault="00F30FB8">
      <w:pPr>
        <w:pStyle w:val="Jin0"/>
        <w:shd w:val="clear" w:color="auto" w:fill="auto"/>
        <w:ind w:firstLine="0"/>
        <w:jc w:val="left"/>
        <w:rPr>
          <w:sz w:val="28"/>
          <w:szCs w:val="28"/>
        </w:rPr>
      </w:pPr>
      <w:r>
        <w:rPr>
          <w:rFonts w:ascii="Arial" w:eastAsia="Arial" w:hAnsi="Arial" w:cs="Arial"/>
          <w:b/>
          <w:bCs/>
          <w:w w:val="70"/>
          <w:sz w:val="28"/>
          <w:szCs w:val="28"/>
          <w:lang w:val="en-US" w:eastAsia="en-US" w:bidi="en-US"/>
        </w:rPr>
        <w:t xml:space="preserve">F. </w:t>
      </w:r>
      <w:r>
        <w:rPr>
          <w:rFonts w:ascii="Arial" w:eastAsia="Arial" w:hAnsi="Arial" w:cs="Arial"/>
          <w:b/>
          <w:bCs/>
          <w:w w:val="70"/>
          <w:sz w:val="28"/>
          <w:szCs w:val="28"/>
        </w:rPr>
        <w:t xml:space="preserve">Topič, knihkupectví, </w:t>
      </w:r>
      <w:r>
        <w:rPr>
          <w:rFonts w:ascii="Arial" w:eastAsia="Arial" w:hAnsi="Arial" w:cs="Arial"/>
          <w:b/>
          <w:bCs/>
          <w:w w:val="70"/>
          <w:sz w:val="28"/>
          <w:szCs w:val="28"/>
          <w:lang w:val="en-US" w:eastAsia="en-US" w:bidi="en-US"/>
        </w:rPr>
        <w:t xml:space="preserve">Praha I., </w:t>
      </w:r>
      <w:r>
        <w:rPr>
          <w:rFonts w:ascii="Arial" w:eastAsia="Arial" w:hAnsi="Arial" w:cs="Arial"/>
          <w:b/>
          <w:bCs/>
          <w:w w:val="70"/>
          <w:sz w:val="28"/>
          <w:szCs w:val="28"/>
        </w:rPr>
        <w:t xml:space="preserve">Národní tř. </w:t>
      </w:r>
      <w:r>
        <w:rPr>
          <w:rFonts w:ascii="Arial" w:eastAsia="Arial" w:hAnsi="Arial" w:cs="Arial"/>
          <w:b/>
          <w:bCs/>
          <w:w w:val="70"/>
          <w:sz w:val="28"/>
          <w:szCs w:val="28"/>
          <w:lang w:val="en-US" w:eastAsia="en-US" w:bidi="en-US"/>
        </w:rPr>
        <w:t>11</w:t>
      </w:r>
    </w:p>
    <w:p w:rsidR="00500724" w:rsidRDefault="00F30FB8">
      <w:pPr>
        <w:spacing w:line="1" w:lineRule="exact"/>
        <w:rPr>
          <w:sz w:val="2"/>
          <w:szCs w:val="2"/>
        </w:rPr>
      </w:pPr>
      <w:r>
        <w:br w:type="column"/>
      </w:r>
    </w:p>
    <w:p w:rsidR="00500724" w:rsidRDefault="00F30FB8">
      <w:pPr>
        <w:pStyle w:val="Zkladntext40"/>
        <w:shd w:val="clear" w:color="auto" w:fill="auto"/>
        <w:spacing w:after="0" w:line="240" w:lineRule="auto"/>
        <w:jc w:val="center"/>
        <w:rPr>
          <w:sz w:val="14"/>
          <w:szCs w:val="14"/>
        </w:rPr>
      </w:pPr>
      <w:r>
        <w:rPr>
          <w:b/>
          <w:bCs/>
          <w:sz w:val="14"/>
          <w:szCs w:val="14"/>
        </w:rPr>
        <w:t>OBUV PRO VYSSl NÁROKY</w:t>
      </w:r>
    </w:p>
    <w:p w:rsidR="00500724" w:rsidRDefault="00F30FB8">
      <w:pPr>
        <w:pStyle w:val="Jin0"/>
        <w:shd w:val="clear" w:color="auto" w:fill="auto"/>
        <w:spacing w:line="190"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00"/>
        <w:shd w:val="clear" w:color="auto" w:fill="auto"/>
        <w:spacing w:after="720" w:line="240" w:lineRule="auto"/>
        <w:ind w:firstLine="0"/>
        <w:jc w:val="left"/>
        <w:rPr>
          <w:sz w:val="19"/>
          <w:szCs w:val="19"/>
        </w:rPr>
      </w:pPr>
      <w:r>
        <w:rPr>
          <w:b/>
          <w:bCs/>
          <w:sz w:val="19"/>
          <w:szCs w:val="19"/>
        </w:rPr>
        <w:t>PRAHA I., PŘÍKOPY 35, schodiště A. TeL 315-28.</w:t>
      </w:r>
    </w:p>
    <w:p w:rsidR="00500724" w:rsidRDefault="00F30FB8">
      <w:pPr>
        <w:pStyle w:val="Jin0"/>
        <w:shd w:val="clear" w:color="auto" w:fill="auto"/>
        <w:spacing w:after="920"/>
        <w:ind w:left="340" w:firstLine="0"/>
        <w:jc w:val="left"/>
        <w:rPr>
          <w:sz w:val="42"/>
          <w:szCs w:val="42"/>
        </w:rPr>
      </w:pPr>
      <w:r>
        <w:rPr>
          <w:rFonts w:ascii="Arial" w:eastAsia="Arial" w:hAnsi="Arial" w:cs="Arial"/>
          <w:sz w:val="26"/>
          <w:szCs w:val="26"/>
        </w:rPr>
        <w:t xml:space="preserve">Čtěte </w:t>
      </w:r>
      <w:r>
        <w:rPr>
          <w:rFonts w:ascii="Cambria" w:eastAsia="Cambria" w:hAnsi="Cambria" w:cs="Cambria"/>
          <w:i/>
          <w:iCs/>
          <w:sz w:val="42"/>
          <w:szCs w:val="42"/>
        </w:rPr>
        <w:t>LIDOVÉ NOVINY</w:t>
      </w:r>
    </w:p>
    <w:p w:rsidR="00500724" w:rsidRDefault="00F30FB8">
      <w:pPr>
        <w:pStyle w:val="Jin0"/>
        <w:shd w:val="clear" w:color="auto" w:fill="auto"/>
        <w:spacing w:after="100"/>
        <w:ind w:firstLine="140"/>
        <w:jc w:val="left"/>
        <w:rPr>
          <w:sz w:val="28"/>
          <w:szCs w:val="28"/>
        </w:rPr>
      </w:pPr>
      <w:r>
        <w:rPr>
          <w:sz w:val="28"/>
          <w:szCs w:val="28"/>
        </w:rPr>
        <w:t>Používejte aktivního uklí</w:t>
      </w:r>
    </w:p>
    <w:p w:rsidR="00500724" w:rsidRDefault="00F30FB8">
      <w:pPr>
        <w:pStyle w:val="Jin0"/>
        <w:shd w:val="clear" w:color="auto" w:fill="auto"/>
        <w:spacing w:after="100" w:line="209" w:lineRule="auto"/>
        <w:ind w:right="140" w:firstLine="0"/>
        <w:jc w:val="right"/>
        <w:rPr>
          <w:sz w:val="68"/>
          <w:szCs w:val="68"/>
        </w:rPr>
      </w:pPr>
      <w:r>
        <w:rPr>
          <w:rFonts w:ascii="Calibri" w:eastAsia="Calibri" w:hAnsi="Calibri" w:cs="Calibri"/>
          <w:b/>
          <w:bCs/>
          <w:sz w:val="68"/>
          <w:szCs w:val="68"/>
        </w:rPr>
        <w:t>OSTACOL!</w:t>
      </w:r>
    </w:p>
    <w:p w:rsidR="00500724" w:rsidRDefault="00F30FB8">
      <w:pPr>
        <w:pStyle w:val="Zkladntext100"/>
        <w:shd w:val="clear" w:color="auto" w:fill="auto"/>
        <w:spacing w:line="240" w:lineRule="auto"/>
        <w:ind w:firstLine="140"/>
        <w:jc w:val="left"/>
        <w:rPr>
          <w:sz w:val="19"/>
          <w:szCs w:val="19"/>
        </w:rPr>
        <w:sectPr w:rsidR="00500724">
          <w:footnotePr>
            <w:numFmt w:val="chicago"/>
            <w:numRestart w:val="eachPage"/>
          </w:footnotePr>
          <w:type w:val="continuous"/>
          <w:pgSz w:w="11909" w:h="16834"/>
          <w:pgMar w:top="1054" w:right="854" w:bottom="576" w:left="950" w:header="0" w:footer="3" w:gutter="0"/>
          <w:cols w:num="2" w:sep="1" w:space="398"/>
          <w:noEndnote/>
          <w:docGrid w:linePitch="360"/>
        </w:sectPr>
      </w:pPr>
      <w:r>
        <w:rPr>
          <w:b/>
          <w:bCs/>
          <w:sz w:val="19"/>
          <w:szCs w:val="19"/>
        </w:rPr>
        <w:t xml:space="preserve">Vyráhí Spolek pro </w:t>
      </w:r>
      <w:r>
        <w:rPr>
          <w:b/>
          <w:bCs/>
          <w:sz w:val="19"/>
          <w:szCs w:val="19"/>
        </w:rPr>
        <w:t>chemickou a hutnívýrohu,Praha</w:t>
      </w:r>
    </w:p>
    <w:p w:rsidR="00500724" w:rsidRDefault="00500724">
      <w:pPr>
        <w:spacing w:line="240" w:lineRule="exact"/>
        <w:rPr>
          <w:sz w:val="19"/>
          <w:szCs w:val="19"/>
        </w:rPr>
      </w:pPr>
    </w:p>
    <w:p w:rsidR="00500724" w:rsidRDefault="00500724">
      <w:pPr>
        <w:spacing w:before="66" w:after="66"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94" w:right="0" w:bottom="617" w:left="0" w:header="0" w:footer="3" w:gutter="0"/>
          <w:cols w:space="720"/>
          <w:noEndnote/>
          <w:docGrid w:linePitch="360"/>
        </w:sectPr>
      </w:pPr>
    </w:p>
    <w:p w:rsidR="00500724" w:rsidRDefault="00F30FB8">
      <w:pPr>
        <w:spacing w:line="14" w:lineRule="exact"/>
      </w:pPr>
      <w:r>
        <w:rPr>
          <w:noProof/>
        </w:rPr>
        <mc:AlternateContent>
          <mc:Choice Requires="wps">
            <w:drawing>
              <wp:anchor distT="0" distB="460375" distL="153670" distR="135890" simplePos="0" relativeHeight="125829796" behindDoc="0" locked="0" layoutInCell="1" allowOverlap="1">
                <wp:simplePos x="0" y="0"/>
                <wp:positionH relativeFrom="page">
                  <wp:posOffset>454025</wp:posOffset>
                </wp:positionH>
                <wp:positionV relativeFrom="paragraph">
                  <wp:posOffset>1173480</wp:posOffset>
                </wp:positionV>
                <wp:extent cx="2724785" cy="758825"/>
                <wp:effectExtent l="0" t="0" r="0" b="0"/>
                <wp:wrapSquare wrapText="right"/>
                <wp:docPr id="419" name="Shape 419"/>
                <wp:cNvGraphicFramePr/>
                <a:graphic xmlns:a="http://schemas.openxmlformats.org/drawingml/2006/main">
                  <a:graphicData uri="http://schemas.microsoft.com/office/word/2010/wordprocessingShape">
                    <wps:wsp>
                      <wps:cNvSpPr txBox="1"/>
                      <wps:spPr>
                        <a:xfrm>
                          <a:off x="0" y="0"/>
                          <a:ext cx="2724785" cy="758825"/>
                        </a:xfrm>
                        <a:prstGeom prst="rect">
                          <a:avLst/>
                        </a:prstGeom>
                        <a:noFill/>
                      </wps:spPr>
                      <wps:txbx>
                        <w:txbxContent>
                          <w:p w:rsidR="00500724" w:rsidRDefault="00F30FB8">
                            <w:pPr>
                              <w:pStyle w:val="Jin0"/>
                              <w:shd w:val="clear" w:color="auto" w:fill="auto"/>
                              <w:spacing w:before="80"/>
                              <w:ind w:firstLine="0"/>
                              <w:jc w:val="left"/>
                              <w:rPr>
                                <w:sz w:val="94"/>
                                <w:szCs w:val="94"/>
                              </w:rPr>
                            </w:pPr>
                            <w:r>
                              <w:rPr>
                                <w:sz w:val="94"/>
                                <w:szCs w:val="94"/>
                              </w:rPr>
                              <w:t>Přítomnosti</w:t>
                            </w:r>
                          </w:p>
                        </w:txbxContent>
                      </wps:txbx>
                      <wps:bodyPr lIns="0" tIns="0" rIns="0" bIns="0">
                        <a:spAutoFit/>
                      </wps:bodyPr>
                    </wps:wsp>
                  </a:graphicData>
                </a:graphic>
              </wp:anchor>
            </w:drawing>
          </mc:Choice>
          <mc:Fallback>
            <w:pict>
              <v:shape id="_x0000_s1445" type="#_x0000_t202" style="position:absolute;margin-left:35.75pt;margin-top:92.400000000000006pt;width:214.55000000000001pt;height:59.75pt;z-index:-125828957;mso-wrap-distance-left:12.1pt;mso-wrap-distance-right:10.699999999999999pt;mso-wrap-distance-bottom:36.25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94"/>
                          <w:szCs w:val="94"/>
                        </w:rPr>
                      </w:pPr>
                      <w:r>
                        <w:rPr>
                          <w:color w:val="000000"/>
                          <w:spacing w:val="0"/>
                          <w:w w:val="100"/>
                          <w:position w:val="0"/>
                          <w:sz w:val="94"/>
                          <w:szCs w:val="94"/>
                          <w:shd w:val="clear" w:color="auto" w:fill="auto"/>
                          <w:lang w:val="cs-CZ" w:eastAsia="cs-CZ" w:bidi="cs-CZ"/>
                        </w:rPr>
                        <w:t>Přítomnosti</w:t>
                      </w:r>
                    </w:p>
                  </w:txbxContent>
                </v:textbox>
                <w10:wrap type="square" side="right" anchorx="page"/>
              </v:shape>
            </w:pict>
          </mc:Fallback>
        </mc:AlternateContent>
      </w:r>
      <w:r>
        <w:rPr>
          <w:noProof/>
        </w:rPr>
        <mc:AlternateContent>
          <mc:Choice Requires="wps">
            <w:drawing>
              <wp:anchor distT="899160" distB="0" distL="114300" distR="114300" simplePos="0" relativeHeight="125829798" behindDoc="0" locked="0" layoutInCell="1" allowOverlap="1">
                <wp:simplePos x="0" y="0"/>
                <wp:positionH relativeFrom="page">
                  <wp:posOffset>414655</wp:posOffset>
                </wp:positionH>
                <wp:positionV relativeFrom="paragraph">
                  <wp:posOffset>2072640</wp:posOffset>
                </wp:positionV>
                <wp:extent cx="2785745" cy="320040"/>
                <wp:effectExtent l="0" t="0" r="0" b="0"/>
                <wp:wrapSquare wrapText="right"/>
                <wp:docPr id="421" name="Shape 421"/>
                <wp:cNvGraphicFramePr/>
                <a:graphic xmlns:a="http://schemas.openxmlformats.org/drawingml/2006/main">
                  <a:graphicData uri="http://schemas.microsoft.com/office/word/2010/wordprocessingShape">
                    <wps:wsp>
                      <wps:cNvSpPr txBox="1"/>
                      <wps:spPr>
                        <a:xfrm>
                          <a:off x="0" y="0"/>
                          <a:ext cx="2785745" cy="32004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447" type="#_x0000_t202" style="position:absolute;margin-left:32.649999999999999pt;margin-top:163.19999999999999pt;width:219.34999999999999pt;height:25.199999999999999pt;z-index:-125828955;mso-wrap-distance-left:9.pt;mso-wrap-distance-top:70.799999999999997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480" w:line="230" w:lineRule="auto"/>
        <w:ind w:left="400" w:hanging="400"/>
        <w:rPr>
          <w:sz w:val="19"/>
          <w:szCs w:val="19"/>
        </w:rPr>
      </w:pPr>
      <w:r>
        <w:rPr>
          <w:b/>
          <w:bCs/>
          <w:sz w:val="20"/>
          <w:szCs w:val="20"/>
        </w:rPr>
        <w:t xml:space="preserve">OBSAH PŘÍTOMNOSTI ČÍSLO 16: </w:t>
      </w:r>
      <w:r>
        <w:rPr>
          <w:b/>
          <w:bCs/>
          <w:sz w:val="19"/>
          <w:szCs w:val="19"/>
        </w:rPr>
        <w:t xml:space="preserve">EDUARD SCHMIDT-BASS: Panika s knihami. — MILENA JESENSKÁ: Česká maminka. — Dr. OTTO </w:t>
      </w:r>
      <w:r>
        <w:rPr>
          <w:b/>
          <w:bCs/>
          <w:sz w:val="19"/>
          <w:szCs w:val="19"/>
          <w:lang w:val="en-US" w:eastAsia="en-US" w:bidi="en-US"/>
        </w:rPr>
        <w:t xml:space="preserve">SCHMIDT: </w:t>
      </w:r>
      <w:r>
        <w:rPr>
          <w:b/>
          <w:bCs/>
          <w:sz w:val="19"/>
          <w:szCs w:val="19"/>
        </w:rPr>
        <w:t xml:space="preserve">Populační problémy — hybná síla politiky. — </w:t>
      </w:r>
      <w:r>
        <w:rPr>
          <w:b/>
          <w:bCs/>
          <w:sz w:val="20"/>
          <w:szCs w:val="20"/>
        </w:rPr>
        <w:t xml:space="preserve">JlRl </w:t>
      </w:r>
      <w:r>
        <w:rPr>
          <w:b/>
          <w:bCs/>
          <w:sz w:val="19"/>
          <w:szCs w:val="19"/>
        </w:rPr>
        <w:t>SOUMAR: Podmínky dobré nálady. — JAN FRANK: Češi v německém slovníku. — A. MRÁZ: Sport v českých národních pohádkách. — A. M.: Milion kilogramů jedu. — Stále dost úkolů pro kontrolní a úspornou komisi. — Nov</w:t>
      </w:r>
      <w:r>
        <w:rPr>
          <w:b/>
          <w:bCs/>
          <w:sz w:val="19"/>
          <w:szCs w:val="19"/>
        </w:rPr>
        <w:t>é směry hospodářského myšlení. — Nebezpečné a zbytečné šepty. — Konec Hadimršek. — Menší možnosti ? — Co žádají Němci od Čechů. — Lidová architektura a zedničtí mistři.</w:t>
      </w:r>
    </w:p>
    <w:p w:rsidR="00500724" w:rsidRDefault="00F30FB8">
      <w:pPr>
        <w:pStyle w:val="Nadpis80"/>
        <w:keepNext/>
        <w:keepLines/>
        <w:shd w:val="clear" w:color="auto" w:fill="auto"/>
        <w:spacing w:after="160"/>
      </w:pPr>
      <w:bookmarkStart w:id="408" w:name="bookmark407"/>
      <w:r>
        <w:t>nezávislý týdeník</w:t>
      </w:r>
      <w:bookmarkEnd w:id="408"/>
    </w:p>
    <w:p w:rsidR="00500724" w:rsidRDefault="00F30FB8">
      <w:pPr>
        <w:pStyle w:val="Zkladntext30"/>
        <w:shd w:val="clear" w:color="auto" w:fill="auto"/>
        <w:spacing w:after="60" w:line="211" w:lineRule="auto"/>
        <w:ind w:firstLine="0"/>
        <w:jc w:val="center"/>
        <w:rPr>
          <w:sz w:val="20"/>
          <w:szCs w:val="20"/>
        </w:rPr>
      </w:pPr>
      <w:r>
        <w:rPr>
          <w:sz w:val="20"/>
          <w:szCs w:val="20"/>
        </w:rPr>
        <w:t>vychází ve středu v nakladatelství</w:t>
      </w:r>
      <w:r>
        <w:rPr>
          <w:sz w:val="20"/>
          <w:szCs w:val="20"/>
        </w:rPr>
        <w:br/>
        <w:t>FR. BOROVÝ V PRAZE I., NÁRODNÍ TŘÍ</w:t>
      </w:r>
      <w:r>
        <w:rPr>
          <w:sz w:val="20"/>
          <w:szCs w:val="20"/>
        </w:rPr>
        <w:t>DA 11.</w:t>
      </w:r>
    </w:p>
    <w:p w:rsidR="00500724" w:rsidRDefault="00F30FB8">
      <w:pPr>
        <w:pStyle w:val="Zkladntext40"/>
        <w:shd w:val="clear" w:color="auto" w:fill="auto"/>
        <w:spacing w:line="185" w:lineRule="auto"/>
      </w:pPr>
      <w:r>
        <w:t>Telefon číslo 390-51 až 54 • Očet poštovní spořitelny číslo 35.622 • Nevy</w:t>
      </w:r>
      <w:r>
        <w:softHyphen/>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 xml:space="preserve">Frs 2.50. • </w:t>
      </w:r>
      <w:r>
        <w:t>Dohlédací pošt. úřad Brno II. • Novinová sazba povolena v Brně ředitelstvím pošt a telegrafů pod čís. 119.268/IIIa. • Odpovědný redaktor J. Dlabač.</w:t>
      </w:r>
    </w:p>
    <w:p w:rsidR="00500724" w:rsidRDefault="00F30FB8">
      <w:pPr>
        <w:pStyle w:val="Zkladntext30"/>
        <w:shd w:val="clear" w:color="auto" w:fill="auto"/>
        <w:spacing w:after="100" w:line="211" w:lineRule="auto"/>
        <w:ind w:left="5400" w:firstLine="0"/>
        <w:jc w:val="left"/>
        <w:rPr>
          <w:sz w:val="20"/>
          <w:szCs w:val="20"/>
        </w:rPr>
      </w:pPr>
      <w:r>
        <w:rPr>
          <w:sz w:val="20"/>
          <w:szCs w:val="20"/>
        </w:rPr>
        <w:t>TISKEM LIDOVÉ TISKÁRNY, BRNO, ČESKÁ 6.</w:t>
      </w:r>
      <w:r>
        <w:br w:type="page"/>
      </w:r>
    </w:p>
    <w:p w:rsidR="00500724" w:rsidRDefault="00F30FB8">
      <w:pPr>
        <w:pStyle w:val="Nadpis60"/>
        <w:keepNext/>
        <w:keepLines/>
        <w:pBdr>
          <w:bottom w:val="single" w:sz="4" w:space="0" w:color="auto"/>
        </w:pBdr>
        <w:shd w:val="clear" w:color="auto" w:fill="auto"/>
        <w:ind w:left="160"/>
        <w:sectPr w:rsidR="00500724">
          <w:footnotePr>
            <w:numFmt w:val="chicago"/>
            <w:numRestart w:val="eachPage"/>
          </w:footnotePr>
          <w:type w:val="continuous"/>
          <w:pgSz w:w="11909" w:h="16834"/>
          <w:pgMar w:top="994" w:right="593" w:bottom="617" w:left="665" w:header="0" w:footer="3" w:gutter="0"/>
          <w:cols w:space="720"/>
          <w:noEndnote/>
          <w:docGrid w:linePitch="360"/>
        </w:sectPr>
      </w:pPr>
      <w:bookmarkStart w:id="409" w:name="bookmark408"/>
      <w:r>
        <w:t>Přítomnosti</w:t>
      </w:r>
      <w:bookmarkEnd w:id="409"/>
    </w:p>
    <w:p w:rsidR="00500724" w:rsidRDefault="00500724">
      <w:pPr>
        <w:spacing w:after="648" w:line="14" w:lineRule="exact"/>
      </w:pPr>
    </w:p>
    <w:p w:rsidR="00500724" w:rsidRDefault="00500724">
      <w:pPr>
        <w:spacing w:line="14" w:lineRule="exact"/>
        <w:sectPr w:rsidR="00500724">
          <w:footnotePr>
            <w:numFmt w:val="chicago"/>
            <w:numRestart w:val="eachPage"/>
          </w:footnotePr>
          <w:type w:val="continuous"/>
          <w:pgSz w:w="11909" w:h="16834"/>
          <w:pgMar w:top="953" w:right="641" w:bottom="657" w:left="828" w:header="0" w:footer="3" w:gutter="0"/>
          <w:cols w:space="720"/>
          <w:noEndnote/>
          <w:docGrid w:linePitch="360"/>
        </w:sectPr>
      </w:pPr>
    </w:p>
    <w:p w:rsidR="00500724" w:rsidRDefault="00F30FB8">
      <w:pPr>
        <w:spacing w:line="14" w:lineRule="exact"/>
      </w:pPr>
      <w:r>
        <w:rPr>
          <w:noProof/>
        </w:rPr>
        <mc:AlternateContent>
          <mc:Choice Requires="wps">
            <w:drawing>
              <wp:anchor distT="50800" distB="254000" distL="114300" distR="114300" simplePos="0" relativeHeight="125829800" behindDoc="0" locked="0" layoutInCell="1" allowOverlap="1">
                <wp:simplePos x="0" y="0"/>
                <wp:positionH relativeFrom="page">
                  <wp:posOffset>6858000</wp:posOffset>
                </wp:positionH>
                <wp:positionV relativeFrom="paragraph">
                  <wp:posOffset>7940040</wp:posOffset>
                </wp:positionV>
                <wp:extent cx="250190" cy="143510"/>
                <wp:effectExtent l="0" t="0" r="0" b="0"/>
                <wp:wrapTopAndBottom/>
                <wp:docPr id="423" name="Shape 423"/>
                <wp:cNvGraphicFramePr/>
                <a:graphic xmlns:a="http://schemas.openxmlformats.org/drawingml/2006/main">
                  <a:graphicData uri="http://schemas.microsoft.com/office/word/2010/wordprocessingShape">
                    <wps:wsp>
                      <wps:cNvSpPr txBox="1"/>
                      <wps:spPr>
                        <a:xfrm>
                          <a:off x="0" y="0"/>
                          <a:ext cx="250190" cy="143510"/>
                        </a:xfrm>
                        <a:prstGeom prst="rect">
                          <a:avLst/>
                        </a:prstGeom>
                        <a:noFill/>
                      </wps:spPr>
                      <wps:txbx>
                        <w:txbxContent>
                          <w:p w:rsidR="00500724" w:rsidRDefault="00F30FB8">
                            <w:pPr>
                              <w:pStyle w:val="Zkladntext40"/>
                              <w:shd w:val="clear" w:color="auto" w:fill="auto"/>
                              <w:spacing w:after="0" w:line="240" w:lineRule="auto"/>
                              <w:jc w:val="left"/>
                            </w:pPr>
                            <w:r>
                              <w:rPr>
                                <w:b/>
                                <w:bCs/>
                                <w:i/>
                                <w:iCs/>
                              </w:rPr>
                              <w:t>Z49</w:t>
                            </w:r>
                          </w:p>
                        </w:txbxContent>
                      </wps:txbx>
                      <wps:bodyPr lIns="0" tIns="0" rIns="0" bIns="0">
                        <a:spAutoFit/>
                      </wps:bodyPr>
                    </wps:wsp>
                  </a:graphicData>
                </a:graphic>
              </wp:anchor>
            </w:drawing>
          </mc:Choice>
          <mc:Fallback>
            <w:pict>
              <v:shape id="_x0000_s1449" type="#_x0000_t202" style="position:absolute;margin-left:540.pt;margin-top:625.20000000000005pt;width:19.699999999999999pt;height:11.300000000000001pt;z-index:-125828953;mso-wrap-distance-left:9.pt;mso-wrap-distance-top:4.pt;mso-wrap-distance-right:9.pt;mso-wrap-distance-bottom:20.pt;mso-position-horizontal-relative:page"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Z49</w:t>
                      </w:r>
                    </w:p>
                  </w:txbxContent>
                </v:textbox>
                <w10:wrap type="topAndBottom" anchorx="page"/>
              </v:shape>
            </w:pict>
          </mc:Fallback>
        </mc:AlternateContent>
      </w:r>
    </w:p>
    <w:p w:rsidR="00500724" w:rsidRDefault="00F30FB8">
      <w:pPr>
        <w:pStyle w:val="Nadpis100"/>
        <w:shd w:val="clear" w:color="auto" w:fill="auto"/>
        <w:spacing w:after="0" w:line="218" w:lineRule="auto"/>
        <w:ind w:left="340"/>
      </w:pPr>
      <w:bookmarkStart w:id="410" w:name="bookmark409"/>
      <w:r>
        <w:t>Dynamický život</w:t>
      </w:r>
      <w:r>
        <w:br/>
        <w:t>i.</w:t>
      </w:r>
      <w:bookmarkEnd w:id="410"/>
    </w:p>
    <w:p w:rsidR="00500724" w:rsidRDefault="00F30FB8">
      <w:pPr>
        <w:pStyle w:val="Zkladntext30"/>
        <w:shd w:val="clear" w:color="auto" w:fill="auto"/>
        <w:spacing w:after="0" w:line="240" w:lineRule="auto"/>
        <w:ind w:firstLine="0"/>
      </w:pPr>
      <w:r>
        <w:t>ěmecká říše oslavila padesáté narozeniny svého</w:t>
      </w:r>
    </w:p>
    <w:p w:rsidR="00500724" w:rsidRDefault="00F30FB8">
      <w:pPr>
        <w:pStyle w:val="Zkladntext30"/>
        <w:shd w:val="clear" w:color="auto" w:fill="auto"/>
        <w:spacing w:after="0" w:line="240" w:lineRule="auto"/>
        <w:ind w:firstLine="0"/>
      </w:pPr>
      <w:r>
        <w:t xml:space="preserve">Vůdce Adolfa Hitlera způsobem, který odpovídá všem oněm pronikavým úspěchům, jež tento muž za pouhých šest let své vlády svému národu přinesl. Jak dnes věci stojí, nemají Němci </w:t>
      </w:r>
      <w:r>
        <w:t>nikoho, koho by ve své Walhalle, ve své galerii národních hrdin postavili výše.</w:t>
      </w:r>
    </w:p>
    <w:p w:rsidR="00500724" w:rsidRDefault="00F30FB8">
      <w:pPr>
        <w:pStyle w:val="Zkladntext30"/>
        <w:shd w:val="clear" w:color="auto" w:fill="auto"/>
        <w:spacing w:after="0" w:line="240" w:lineRule="auto"/>
        <w:ind w:firstLine="240"/>
      </w:pPr>
      <w:r>
        <w:t>Odčinil v rekordním čase většinu následků německé porážky před dvaceti lety; ze státu, o jehož mínění se versaillští vítězové po mnoho let jen nedosti upřímně a nedbale zajímal</w:t>
      </w:r>
      <w:r>
        <w:t>i, učinil stát, do jehož hlavního města putují ministerští předsedové všech ostatních evropských států, považujíce jaksi za dosti přirozené, že jim jest jiti za ním, ne jemu za nimi; známé tři spěšné návštěvy britského ministerského předsedy u hlavy německ</w:t>
      </w:r>
      <w:r>
        <w:t>ého státu jsou sensaci světových dě</w:t>
      </w:r>
      <w:r>
        <w:softHyphen/>
        <w:t>jin; dosud nikdy nepoznala historie Anglii a Německo v takovém poměru; odčiniv většinu následků poslední německé porážky, připojil na druhé straně Vůdce ně</w:t>
      </w:r>
      <w:r>
        <w:softHyphen/>
        <w:t>mecké říše k ní území, jež k ní nepatřila po celý novo</w:t>
      </w:r>
      <w:r>
        <w:softHyphen/>
        <w:t>věk; neul</w:t>
      </w:r>
      <w:r>
        <w:t>ožil za to svému národu dosud žádnou větší oběť než ozbrojiti se, uskrovniti v některých vedlej</w:t>
      </w:r>
      <w:r>
        <w:softHyphen/>
        <w:t xml:space="preserve">ších životních příjemnostech a ukázněně jiti za jeho vedením; </w:t>
      </w:r>
      <w:r>
        <w:rPr>
          <w:lang w:val="en-US" w:eastAsia="en-US" w:bidi="en-US"/>
        </w:rPr>
        <w:t xml:space="preserve">Bismarck </w:t>
      </w:r>
      <w:r>
        <w:t>mluvil o územích, za jejichž získání by neobětoval kosti jediného pomořanského granátníka</w:t>
      </w:r>
      <w:r>
        <w:t xml:space="preserve">; Adolf Hitler je získal, neobětovav vskutku kosti jediného německého vojáka; sám </w:t>
      </w:r>
      <w:r>
        <w:rPr>
          <w:lang w:val="en-US" w:eastAsia="en-US" w:bidi="en-US"/>
        </w:rPr>
        <w:t xml:space="preserve">Bismarck, </w:t>
      </w:r>
      <w:r>
        <w:t>tento souhrn německé slávy a státní tvořivosti na konci 19. století, proti němu vypadá jako poněkud vá</w:t>
      </w:r>
      <w:r>
        <w:softHyphen/>
        <w:t>havá osobnost; všechno, co se Němcům před deseti lety zdálo s</w:t>
      </w:r>
      <w:r>
        <w:t>nem, učinil dnešní jejich Vůdce skutkem; nasytil velkými kusy německou národní hrdost, utla</w:t>
      </w:r>
      <w:r>
        <w:softHyphen/>
        <w:t>čenou po světové válce; položiv připravený meč na západní hranici, zajistil si právo pořádat střední a vý</w:t>
      </w:r>
      <w:r>
        <w:softHyphen/>
        <w:t>chodní Evropu po svém; jakási nová, ještě nepřehléd</w:t>
      </w:r>
      <w:r>
        <w:softHyphen/>
        <w:t>nuteln</w:t>
      </w:r>
      <w:r>
        <w:t>á stavba je tu v počátcích; německý Vůdce stanul na onom významném rozcestí, kdy snad z vůd</w:t>
      </w:r>
      <w:r>
        <w:softHyphen/>
        <w:t>ce národa stává se vůdce národů; zbavil západní moc</w:t>
      </w:r>
      <w:r>
        <w:softHyphen/>
        <w:t>nosti spojenců a vasalů v této části světa; ministři menších států putuji do Německa týmiž cestami a přibližně v</w:t>
      </w:r>
      <w:r>
        <w:t>e stejných hodnostech, jako to činila jejich knížata ve středověku; po šesti letech vlády Adolfa Hitlera stojí celý svět pod dojmem, že vysychající Francie a rozpačitá Anglie jsou odsunovány do pozadí svalnatou rukou Německa, hýřícího mladými silami. . Tot</w:t>
      </w:r>
      <w:r>
        <w:t>o vše jsou ne úsudky, nýbrž fakta, nezávislá na úsudcích. Jest jistá škola v politice, která se domnívá, že lze něčeho dosáhnout, jestliže se budeme na svět dívat přimhouřenýma očima a vidět napolo. Dávám přednost tomu, vidět jasně obrysy věcí — a kéž by</w:t>
      </w:r>
      <w:r>
        <w:softHyphen/>
        <w:t>c</w:t>
      </w:r>
      <w:r>
        <w:t>hom to byli vždy dovedli! Přimhouřené oči na západě mohou si klásti pochybovačnou otázku, jaký je sku</w:t>
      </w:r>
      <w:r>
        <w:softHyphen/>
        <w:t>tečný poměr německého národa k muži, jenž toto vše pro něj vykonal, a není-li tu možný nějaký snadný rozkol. Jest to otázka lehkomyslná, jaký bývá poměr n</w:t>
      </w:r>
      <w:r>
        <w:t>ároda k vůdci, jenž vyplnil jeho denní i noční přání? Adolf Hitler mluví jako Němec, myslí jako Němec a jedná jako Němec. Nebylo by většího a pro toho, kdo se mu oddá, osudnějšího omylu, než do</w:t>
      </w:r>
      <w:r>
        <w:softHyphen/>
        <w:t>mnívat se, že se pohybuje jedinec tam, kde ve sku</w:t>
      </w:r>
      <w:r>
        <w:softHyphen/>
        <w:t xml:space="preserve">tečnosti se </w:t>
      </w:r>
      <w:r>
        <w:t>pohybuje vůle celého národa. Není ná</w:t>
      </w:r>
      <w:r>
        <w:softHyphen/>
        <w:t>hodou, že Nietzscheova filosofie vůle k moci vznikla právě v německém prostředí. Závratný vzestup Hitlerův k moci je vysvětlitelný právě jen tím, že jest nejskutečnějším representantem svého národa, že jeho akce se pohy</w:t>
      </w:r>
      <w:r>
        <w:t>bují po starobylých stopách německé vůle k moci. Otázka, jaké city chová ně</w:t>
      </w:r>
      <w:r>
        <w:softHyphen/>
        <w:t>mecký národ k svému Vůdci, jest do velké míry to</w:t>
      </w:r>
      <w:r>
        <w:softHyphen/>
        <w:t xml:space="preserve">tožná s otázkou, jaké city chová německý národ sám k sobě. Cím více se to bude v evropské politice vědět, a čím více se bude na to </w:t>
      </w:r>
      <w:r>
        <w:t>brát zřetel, po tím solidnějších cestách se bude ubírat.</w:t>
      </w:r>
    </w:p>
    <w:p w:rsidR="00500724" w:rsidRDefault="00F30FB8">
      <w:pPr>
        <w:pStyle w:val="Zkladntext30"/>
        <w:shd w:val="clear" w:color="auto" w:fill="auto"/>
        <w:spacing w:after="0" w:line="240" w:lineRule="auto"/>
        <w:ind w:firstLine="0"/>
        <w:jc w:val="center"/>
      </w:pPr>
      <w:r>
        <w:t>x</w:t>
      </w:r>
    </w:p>
    <w:p w:rsidR="00500724" w:rsidRDefault="00F30FB8">
      <w:pPr>
        <w:pStyle w:val="Zkladntext30"/>
        <w:shd w:val="clear" w:color="auto" w:fill="auto"/>
        <w:spacing w:after="0" w:line="240" w:lineRule="auto"/>
        <w:ind w:firstLine="280"/>
      </w:pPr>
      <w:r>
        <w:t>Jestliže, jak z každé stránky spisu »Mein Kampf« lze zjistiti, jeho autor se pokládá zejména za kvint- esenci německého způsobu myšlení a cítění, jestliže jest pravda, že Vůdce a německý národ jedn</w:t>
      </w:r>
      <w:r>
        <w:t>o jsou, jaký poměr mohou si k němu vytvořiti členové oněch menšin neněmeckých národů, jichž se stal v poslední době ochráncem, protektorem nebo ně</w:t>
      </w:r>
      <w:r>
        <w:softHyphen/>
        <w:t>čím podobným? Jsa velkou postavou německých národních dějin, nemůže býti ovšem zařazen do ná</w:t>
      </w:r>
      <w:r>
        <w:softHyphen/>
        <w:t>rodních dějin ná</w:t>
      </w:r>
      <w:r>
        <w:t>rodů jiných; maje již své první mí</w:t>
      </w:r>
      <w:r>
        <w:softHyphen/>
        <w:t>sto ve Walhalle, nemůže býti postaven do Slavína* kdyby se někdo o to nějak pokoušel, hrozná ne</w:t>
      </w:r>
      <w:r>
        <w:softHyphen/>
        <w:t>upřímnost tohoto pokusu by se naprosto zajisté zpro</w:t>
      </w:r>
      <w:r>
        <w:softHyphen/>
        <w:t>tivila Čechům i Němcům. Zajisté si Vůdce a říšský kancléř sám nepřeje, ab</w:t>
      </w:r>
      <w:r>
        <w:t>y fakt jeho němectví byl ně</w:t>
      </w:r>
      <w:r>
        <w:softHyphen/>
        <w:t>jakým způsobem oslabován nebo rozřeďován. Dilo svého života, německý nacionální socialismus, sám pokládá za typický plod německého ducha a ně</w:t>
      </w:r>
      <w:r>
        <w:softHyphen/>
        <w:t>mecké historie. Pozdrav Heil Hitler jest německý pozdrav, na který mají právo jen přís</w:t>
      </w:r>
      <w:r>
        <w:t>lušníci němec</w:t>
      </w:r>
      <w:r>
        <w:softHyphen/>
        <w:t>kého národa. Který Čech nebo Slovák by jím tak zdravil, tlačí se někam, kam nepatří a odkud bude vyexpedován. Německý nacionální socialismus uzná</w:t>
      </w:r>
      <w:r>
        <w:softHyphen/>
        <w:t>vá neprostupnost národních těles; nikdo nemůže býti Čechem a Němcem zároveň, z čehož vyplývá, že</w:t>
      </w:r>
      <w:r>
        <w:t xml:space="preserve"> i když oba národy mohou mít společné státní před</w:t>
      </w:r>
      <w:r>
        <w:softHyphen/>
        <w:t>stavitele, nemohou mít společné národní hrdiny. Po</w:t>
      </w:r>
      <w:r>
        <w:softHyphen/>
        <w:t>něvadž tedy i po 15. březnu 1939 Čech zůstává Če- hem a Němec Němcem a poněvadž Vůdce a říšský kancléř není Čech a Češi nejsou Němci, nemůže býti poměr obo</w:t>
      </w:r>
      <w:r>
        <w:t>u národů k osobě Adolfa Hitlera naprosto stejný. Jelikož spojuje Čechy a Němce v jednom státě, ne však v jednom národě, jak ani jinak není možno, poněvadž nelze směšovat dvě přirozenosti, zůstane jedněm vůdcem národním i státním a dru</w:t>
      </w:r>
      <w:r>
        <w:softHyphen/>
        <w:t>hým toliko státním. F</w:t>
      </w:r>
      <w:r>
        <w:t>akt ten jest, jak vidíme, na</w:t>
      </w:r>
      <w:r>
        <w:softHyphen/>
        <w:t>prosto uznáván: Za vůdce českého národa bez od</w:t>
      </w:r>
      <w:r>
        <w:softHyphen/>
        <w:t>poru jsou prohlašováni president dr. Hácha a před</w:t>
      </w:r>
      <w:r>
        <w:softHyphen/>
        <w:t>seda Národního souručenství Adolf Hrubý. Nikdo se nepokouší o protipřirozené jakési amalgamování. »Mein Kampf« zůstane biblí němec</w:t>
      </w:r>
      <w:r>
        <w:t>kého národa, kdežto biblí českého národa jsou spisy jiné. Dal tomu výraz ostatně autor »Mein Kampfu« sám, když loni na podzim nesvolil k překladu své knihy do češtiny, o nějž žádalo horlivě kterési české nakladatelství.</w:t>
      </w:r>
    </w:p>
    <w:p w:rsidR="00500724" w:rsidRDefault="00F30FB8">
      <w:pPr>
        <w:pStyle w:val="Zkladntext30"/>
        <w:shd w:val="clear" w:color="auto" w:fill="auto"/>
        <w:spacing w:after="220" w:line="223" w:lineRule="auto"/>
        <w:rPr>
          <w:sz w:val="19"/>
          <w:szCs w:val="19"/>
        </w:rPr>
      </w:pPr>
      <w:r>
        <w:t xml:space="preserve">Někteří Češi už dávno, jak víme, se </w:t>
      </w:r>
      <w:r>
        <w:t>zalíbením po</w:t>
      </w:r>
      <w:r>
        <w:softHyphen/>
        <w:t>mýšleli na nápodobu metod, jimiž Vůdce a říšský kancléř povznesl svůj národ z poversailleské bez</w:t>
      </w:r>
      <w:r>
        <w:softHyphen/>
        <w:t>mocnosti na nejsilnější moc evropskou. Říkali si, proč že by nemohlo být využito k prospěchu českého ná</w:t>
      </w:r>
      <w:r>
        <w:softHyphen/>
        <w:t>roda, co se tak osvědčilo v osudech národa</w:t>
      </w:r>
      <w:r>
        <w:t xml:space="preserve"> německého. Přehlíželi vždy, zdá se, rozdílnost sil obou národů. Osmdesátimilionový národ německý mohl vzdorovat i celému světu způsobem, o nějž se jistě nemůže po</w:t>
      </w:r>
      <w:r>
        <w:softHyphen/>
        <w:t>koušet osmimilionový národ český. Metody, jež ně</w:t>
      </w:r>
      <w:r>
        <w:softHyphen/>
        <w:t>mecký Vůdce pro svůj národ zvolil, odpovída</w:t>
      </w:r>
      <w:r>
        <w:t>jí ohrom</w:t>
      </w:r>
      <w:r>
        <w:softHyphen/>
        <w:t>ným silám tohoto národa. Klasikové české politické taktiky od dob obrozenských až po dobu nejmoder</w:t>
      </w:r>
      <w:r>
        <w:softHyphen/>
        <w:t>nější vždy naopak musili brát ohled na malou naši početnost. Už Palacký řekl, že kdyby nás bylo osm</w:t>
      </w:r>
      <w:r>
        <w:softHyphen/>
        <w:t>desát milionů, mohli bychom mluvit jinak, ale je</w:t>
      </w:r>
      <w:r>
        <w:t>n tehdy. Pozadím německých myšlenek jest německá síla. České politické metody musí se vytvářet podle našich vlastních poměrů a zkušeností. Jest pravdě</w:t>
      </w:r>
      <w:r>
        <w:softHyphen/>
        <w:t>podobno, že meč, jímž jiný tak zamával, bychom ani neuzdvihli. Proto i když byl napsán »Mein Kampf«, obsa</w:t>
      </w:r>
      <w:r>
        <w:t>hující vhodnou metodu pro národ velký, členové národa malého budou vždy se musit vracet pro po</w:t>
      </w:r>
      <w:r>
        <w:softHyphen/>
        <w:t>učení ke svým vlastním klasikům, kteří už před desíti</w:t>
      </w:r>
      <w:r>
        <w:softHyphen/>
        <w:t>letími promýšleli způsob politické taktiky národa malého. Národní vůdcové mohou vyrůstat jen vždy z vlastní</w:t>
      </w:r>
      <w:r>
        <w:t xml:space="preserve"> národní půdy. (Dokončení). </w:t>
      </w:r>
      <w:r>
        <w:rPr>
          <w:i/>
          <w:iCs/>
          <w:sz w:val="19"/>
          <w:szCs w:val="19"/>
        </w:rPr>
        <w:t>F. Peroutka</w:t>
      </w:r>
    </w:p>
    <w:p w:rsidR="00500724" w:rsidRDefault="00F30FB8">
      <w:pPr>
        <w:pStyle w:val="Nadpis80"/>
        <w:keepNext/>
        <w:keepLines/>
        <w:shd w:val="clear" w:color="auto" w:fill="auto"/>
        <w:spacing w:after="260"/>
        <w:rPr>
          <w:sz w:val="44"/>
          <w:szCs w:val="44"/>
        </w:rPr>
      </w:pPr>
      <w:bookmarkStart w:id="411" w:name="bookmark410"/>
      <w:r>
        <w:rPr>
          <w:sz w:val="44"/>
          <w:szCs w:val="44"/>
          <w:u w:val="none"/>
        </w:rPr>
        <w:t>poznámky</w:t>
      </w:r>
      <w:bookmarkEnd w:id="411"/>
    </w:p>
    <w:p w:rsidR="00500724" w:rsidRDefault="00F30FB8">
      <w:pPr>
        <w:pStyle w:val="Zkladntext30"/>
        <w:shd w:val="clear" w:color="auto" w:fill="auto"/>
        <w:spacing w:after="0" w:line="259" w:lineRule="auto"/>
        <w:ind w:firstLine="0"/>
        <w:jc w:val="center"/>
      </w:pPr>
      <w:r>
        <w:t>Slovenské hospodářské nesnáze</w:t>
      </w:r>
    </w:p>
    <w:p w:rsidR="00500724" w:rsidRDefault="00F30FB8">
      <w:pPr>
        <w:pStyle w:val="Zkladntext100"/>
        <w:shd w:val="clear" w:color="auto" w:fill="auto"/>
        <w:spacing w:line="259" w:lineRule="auto"/>
        <w:ind w:firstLine="0"/>
        <w:jc w:val="right"/>
        <w:rPr>
          <w:sz w:val="19"/>
          <w:szCs w:val="19"/>
        </w:rPr>
      </w:pPr>
      <w:r>
        <w:rPr>
          <w:b/>
          <w:bCs/>
          <w:sz w:val="19"/>
          <w:szCs w:val="19"/>
        </w:rPr>
        <w:t>Přes všechno, co se stalo v posledních měsících, káže</w:t>
      </w:r>
    </w:p>
    <w:p w:rsidR="00500724" w:rsidRDefault="00F30FB8">
      <w:pPr>
        <w:pStyle w:val="Zkladntext100"/>
        <w:shd w:val="clear" w:color="auto" w:fill="auto"/>
        <w:spacing w:line="211" w:lineRule="auto"/>
        <w:ind w:firstLine="0"/>
        <w:rPr>
          <w:sz w:val="19"/>
          <w:szCs w:val="19"/>
        </w:rPr>
      </w:pPr>
      <w:r>
        <w:rPr>
          <w:b/>
          <w:bCs/>
          <w:sz w:val="19"/>
          <w:szCs w:val="19"/>
        </w:rPr>
        <w:t>nám nejenom cit, ale i rozum, abychom se dívali na sou</w:t>
      </w:r>
      <w:r>
        <w:rPr>
          <w:b/>
          <w:bCs/>
          <w:sz w:val="19"/>
          <w:szCs w:val="19"/>
        </w:rPr>
        <w:softHyphen/>
        <w:t>dobé zápasy slovenského národa se sympatiemi a s bra</w:t>
      </w:r>
      <w:r>
        <w:rPr>
          <w:b/>
          <w:bCs/>
          <w:sz w:val="19"/>
          <w:szCs w:val="19"/>
        </w:rPr>
        <w:softHyphen/>
        <w:t xml:space="preserve">trským zájmem. </w:t>
      </w:r>
      <w:r>
        <w:rPr>
          <w:b/>
          <w:bCs/>
          <w:sz w:val="19"/>
          <w:szCs w:val="19"/>
        </w:rPr>
        <w:t>Slovensko bylo znovu okleštěno a kdoví, jak se tam utváří poměry v krátkém ěase; nedefinitivnost dnešního stavu se prý zdá být zřejmá každému, kdo se v posledních dnech odtamtud vrátil.</w:t>
      </w:r>
    </w:p>
    <w:p w:rsidR="00500724" w:rsidRDefault="00F30FB8">
      <w:pPr>
        <w:pStyle w:val="Zkladntext100"/>
        <w:shd w:val="clear" w:color="auto" w:fill="auto"/>
        <w:spacing w:line="209" w:lineRule="auto"/>
        <w:ind w:firstLine="260"/>
        <w:rPr>
          <w:sz w:val="19"/>
          <w:szCs w:val="19"/>
        </w:rPr>
      </w:pPr>
      <w:r>
        <w:rPr>
          <w:b/>
          <w:bCs/>
          <w:sz w:val="19"/>
          <w:szCs w:val="19"/>
        </w:rPr>
        <w:t>Konec konců jsou Češi a Slováci jedna krev a naše hád</w:t>
      </w:r>
      <w:r>
        <w:rPr>
          <w:b/>
          <w:bCs/>
          <w:sz w:val="19"/>
          <w:szCs w:val="19"/>
        </w:rPr>
        <w:softHyphen/>
        <w:t>ky a sváryi to b</w:t>
      </w:r>
      <w:r>
        <w:rPr>
          <w:b/>
          <w:bCs/>
          <w:sz w:val="19"/>
          <w:szCs w:val="19"/>
        </w:rPr>
        <w:t>yly rodinné potyčky, jež ovšem někdy dovedou býti zlé, ba horší, než mezi cizími, ale přece jen mají koněit vždy smírně. My věříme v tento dobrý vývoj a ve šťastnější budoucnost Čechů i Slováků pevně a se zmužilým srdcem, ať cokoliv nás ještě ěeká, nejenom</w:t>
      </w:r>
      <w:r>
        <w:rPr>
          <w:b/>
          <w:bCs/>
          <w:sz w:val="19"/>
          <w:szCs w:val="19"/>
        </w:rPr>
        <w:t xml:space="preserve"> pro</w:t>
      </w:r>
      <w:r>
        <w:rPr>
          <w:b/>
          <w:bCs/>
          <w:sz w:val="19"/>
          <w:szCs w:val="19"/>
        </w:rPr>
        <w:softHyphen/>
        <w:t>to, že bez takového optimismu by život neměl ceny, ale i proto, že nakonec vždy vyhrává pravda a rozum. Proto jsme přesvědčeni o tom, že se poměr mezi naším a sloven</w:t>
      </w:r>
      <w:r>
        <w:rPr>
          <w:b/>
          <w:bCs/>
          <w:sz w:val="19"/>
          <w:szCs w:val="19"/>
        </w:rPr>
        <w:softHyphen/>
        <w:t>ským národem průběhem doby snad v dnešní, nejdéle v příští generaci, vyjasní a defini</w:t>
      </w:r>
      <w:r>
        <w:rPr>
          <w:b/>
          <w:bCs/>
          <w:sz w:val="19"/>
          <w:szCs w:val="19"/>
        </w:rPr>
        <w:t>tivně dobře upraví. Tu ani nemáme na mysli státní íormy, jako právě tento poměr národů, na kterém nám v tomto směru nad jiné upřímně záleží. Chceme doufat, že doba pochopení vzájem</w:t>
      </w:r>
      <w:r>
        <w:rPr>
          <w:b/>
          <w:bCs/>
          <w:sz w:val="19"/>
          <w:szCs w:val="19"/>
        </w:rPr>
        <w:softHyphen/>
        <w:t>ného, které už zase probleskuje, není příliš vzdálena.</w:t>
      </w:r>
    </w:p>
    <w:p w:rsidR="00500724" w:rsidRDefault="00F30FB8">
      <w:pPr>
        <w:pStyle w:val="Zkladntext100"/>
        <w:shd w:val="clear" w:color="auto" w:fill="auto"/>
        <w:spacing w:line="185" w:lineRule="auto"/>
        <w:ind w:firstLine="260"/>
        <w:rPr>
          <w:sz w:val="19"/>
          <w:szCs w:val="19"/>
        </w:rPr>
      </w:pPr>
      <w:r>
        <w:rPr>
          <w:b/>
          <w:bCs/>
          <w:sz w:val="19"/>
          <w:szCs w:val="19"/>
        </w:rPr>
        <w:t>Proto máme stále tak</w:t>
      </w:r>
      <w:r>
        <w:rPr>
          <w:b/>
          <w:bCs/>
          <w:sz w:val="19"/>
          <w:szCs w:val="19"/>
        </w:rPr>
        <w:t xml:space="preserve"> živý zájem o vše, co bolí sloven</w:t>
      </w:r>
      <w:r>
        <w:rPr>
          <w:b/>
          <w:bCs/>
          <w:sz w:val="19"/>
          <w:szCs w:val="19"/>
        </w:rPr>
        <w:softHyphen/>
        <w:t>ský národ a s ěím se potýká. Třebaže mu zatím nemůžeme celkem pomoci, považujeme nejenom za politicky rozumné, ale i za lidsky slušné se slovenským národem se stálo zař bývati a na něj nikdy nezapominatí. To můžeme i ve sv</w:t>
      </w:r>
      <w:r>
        <w:rPr>
          <w:b/>
          <w:bCs/>
          <w:sz w:val="19"/>
          <w:szCs w:val="19"/>
        </w:rPr>
        <w:t>ých nových státoprávních poměrech, ba je to i tak naše povin</w:t>
      </w:r>
      <w:r>
        <w:rPr>
          <w:b/>
          <w:bCs/>
          <w:sz w:val="19"/>
          <w:szCs w:val="19"/>
        </w:rPr>
        <w:softHyphen/>
        <w:t>nost Slovenský národ má nyní stát, který ovšem ještě není ustálen, ale který ani neví sám, jaký směr je mu v budoucnosti určen.</w:t>
      </w:r>
    </w:p>
    <w:p w:rsidR="00500724" w:rsidRDefault="00F30FB8">
      <w:pPr>
        <w:pStyle w:val="Zkladntext100"/>
        <w:shd w:val="clear" w:color="auto" w:fill="auto"/>
        <w:spacing w:line="185" w:lineRule="auto"/>
        <w:ind w:firstLine="260"/>
        <w:rPr>
          <w:sz w:val="19"/>
          <w:szCs w:val="19"/>
        </w:rPr>
      </w:pPr>
      <w:r>
        <w:rPr>
          <w:b/>
          <w:bCs/>
          <w:sz w:val="19"/>
          <w:szCs w:val="19"/>
        </w:rPr>
        <w:t xml:space="preserve">To samo o sobě je zajisté velmi tíživé, jak </w:t>
      </w:r>
      <w:r>
        <w:t xml:space="preserve">politicky </w:t>
      </w:r>
      <w:r>
        <w:rPr>
          <w:b/>
          <w:bCs/>
          <w:sz w:val="19"/>
          <w:szCs w:val="19"/>
        </w:rPr>
        <w:t>a psychologic</w:t>
      </w:r>
      <w:r>
        <w:rPr>
          <w:b/>
          <w:bCs/>
          <w:sz w:val="19"/>
          <w:szCs w:val="19"/>
        </w:rPr>
        <w:t>ky, tak i sociálně a hospodářsky. Administra</w:t>
      </w:r>
      <w:r>
        <w:rPr>
          <w:b/>
          <w:bCs/>
          <w:sz w:val="19"/>
          <w:szCs w:val="19"/>
        </w:rPr>
        <w:softHyphen/>
        <w:t>tivní, ekonomické, finanční a všechny ostatní problémy pramení jednak z této neustáienosti, ze zmenšeného území, které ani v původním rozsahu nebylo nikdy soběstačné, jednak z celé současné konstelace vůbec. Ale</w:t>
      </w:r>
      <w:r>
        <w:rPr>
          <w:b/>
          <w:bCs/>
          <w:sz w:val="19"/>
          <w:szCs w:val="19"/>
        </w:rPr>
        <w:t xml:space="preserve"> na tom všem slovenský národ nemůže vlastními silami mnoho </w:t>
      </w:r>
      <w:r>
        <w:t xml:space="preserve">měnit </w:t>
      </w:r>
      <w:r>
        <w:rPr>
          <w:b/>
          <w:bCs/>
          <w:sz w:val="19"/>
          <w:szCs w:val="19"/>
        </w:rPr>
        <w:t>a musí pracovat v dané situaci a danými prostředky. I pů</w:t>
      </w:r>
      <w:r>
        <w:rPr>
          <w:b/>
          <w:bCs/>
          <w:sz w:val="19"/>
          <w:szCs w:val="19"/>
        </w:rPr>
        <w:softHyphen/>
        <w:t>vodní velké slovenské území bylo pasivní polovinou svých výdajů a dnešní stav věcí je asi ještě horší. My Češi dnes nemáme ani možnost</w:t>
      </w:r>
      <w:r>
        <w:rPr>
          <w:b/>
          <w:bCs/>
          <w:sz w:val="19"/>
          <w:szCs w:val="19"/>
        </w:rPr>
        <w:t>, ani prostředky, abychom slovenské</w:t>
      </w:r>
      <w:r>
        <w:rPr>
          <w:b/>
          <w:bCs/>
          <w:sz w:val="19"/>
          <w:szCs w:val="19"/>
        </w:rPr>
        <w:softHyphen/>
        <w:t>mu národu přispěli, ačkoliv bychom tak rádi uěinili, proto</w:t>
      </w:r>
      <w:r>
        <w:rPr>
          <w:b/>
          <w:bCs/>
          <w:sz w:val="19"/>
          <w:szCs w:val="19"/>
        </w:rPr>
        <w:softHyphen/>
        <w:t>že v tomto směru se řídíme přesvědčením, že budoucnost dá takové politice za pravdu.</w:t>
      </w:r>
    </w:p>
    <w:p w:rsidR="00500724" w:rsidRDefault="00F30FB8">
      <w:pPr>
        <w:pStyle w:val="Zkladntext100"/>
        <w:shd w:val="clear" w:color="auto" w:fill="auto"/>
        <w:spacing w:line="187" w:lineRule="auto"/>
        <w:ind w:firstLine="260"/>
        <w:rPr>
          <w:sz w:val="19"/>
          <w:szCs w:val="19"/>
        </w:rPr>
      </w:pPr>
      <w:r>
        <w:rPr>
          <w:b/>
          <w:bCs/>
          <w:sz w:val="19"/>
          <w:szCs w:val="19"/>
        </w:rPr>
        <w:t>Dovídáme se, že slovenská půjčka vynesla sotva pětinu částky, která byla slo</w:t>
      </w:r>
      <w:r>
        <w:rPr>
          <w:b/>
          <w:bCs/>
          <w:sz w:val="19"/>
          <w:szCs w:val="19"/>
        </w:rPr>
        <w:t>venskou vládou očekávána, ačkoli to, co bylo očekáváno, by nebyla ani pětina toho, čeho bylo potřebí. Slovenská vláda potřebuje asi dvě miliardy korun, aby kryla běžný rozpočet a čekala, že jí půjčka vynese 300 milionů K. Vynesla však, pohříchu, přes všech</w:t>
      </w:r>
      <w:r>
        <w:rPr>
          <w:b/>
          <w:bCs/>
          <w:sz w:val="19"/>
          <w:szCs w:val="19"/>
        </w:rPr>
        <w:t>no úsilí sotva šedesát milionů korun. To je velmi málo a tak i tato akce představuje zklamání.</w:t>
      </w:r>
    </w:p>
    <w:p w:rsidR="00500724" w:rsidRDefault="00F30FB8">
      <w:pPr>
        <w:pStyle w:val="Zkladntext100"/>
        <w:shd w:val="clear" w:color="auto" w:fill="auto"/>
        <w:spacing w:line="187" w:lineRule="auto"/>
        <w:ind w:firstLine="260"/>
        <w:rPr>
          <w:sz w:val="19"/>
          <w:szCs w:val="19"/>
        </w:rPr>
      </w:pPr>
      <w:r>
        <w:rPr>
          <w:b/>
          <w:bCs/>
          <w:sz w:val="19"/>
          <w:szCs w:val="19"/>
        </w:rPr>
        <w:t>Trochu si slovenská vláda pomohla na účet naší Národ</w:t>
      </w:r>
      <w:r>
        <w:rPr>
          <w:b/>
          <w:bCs/>
          <w:sz w:val="19"/>
          <w:szCs w:val="19"/>
        </w:rPr>
        <w:softHyphen/>
        <w:t>ní banky tím, že vydala asi za 90 milionů bankovek, které byly uloženy pro případ emise v slovenské filiálce</w:t>
      </w:r>
      <w:r>
        <w:rPr>
          <w:b/>
          <w:bCs/>
          <w:sz w:val="19"/>
          <w:szCs w:val="19"/>
        </w:rPr>
        <w:t xml:space="preserve"> Národní banky. Tento dluh ovšem zatěžuje dnes pražskou Národní banku a bude asi nutno nějak jej upravit.</w:t>
      </w:r>
    </w:p>
    <w:p w:rsidR="00500724" w:rsidRDefault="00F30FB8">
      <w:pPr>
        <w:pStyle w:val="Zkladntext100"/>
        <w:shd w:val="clear" w:color="auto" w:fill="auto"/>
        <w:spacing w:line="187" w:lineRule="auto"/>
        <w:ind w:firstLine="260"/>
        <w:rPr>
          <w:sz w:val="19"/>
          <w:szCs w:val="19"/>
        </w:rPr>
      </w:pPr>
      <w:r>
        <w:rPr>
          <w:b/>
          <w:bCs/>
          <w:sz w:val="19"/>
          <w:szCs w:val="19"/>
        </w:rPr>
        <w:t>Pokud jde o Národní banku vůbec, chceme jen pozna</w:t>
      </w:r>
      <w:r>
        <w:rPr>
          <w:b/>
          <w:bCs/>
          <w:sz w:val="19"/>
          <w:szCs w:val="19"/>
        </w:rPr>
        <w:softHyphen/>
        <w:t>menat, že slovenské naděje do rozdělení ma</w:t>
      </w:r>
      <w:r>
        <w:rPr>
          <w:b/>
          <w:bCs/>
          <w:sz w:val="19"/>
          <w:szCs w:val="19"/>
        </w:rPr>
        <w:softHyphen/>
        <w:t>jetku Národní banky budou zklamány. Slovensko bylo vždy p</w:t>
      </w:r>
      <w:r>
        <w:rPr>
          <w:b/>
          <w:bCs/>
          <w:sz w:val="19"/>
          <w:szCs w:val="19"/>
        </w:rPr>
        <w:t>o stránce devis pasivní, nemělo totiž nikdy do</w:t>
      </w:r>
      <w:r>
        <w:rPr>
          <w:b/>
          <w:bCs/>
          <w:sz w:val="19"/>
          <w:szCs w:val="19"/>
        </w:rPr>
        <w:softHyphen/>
        <w:t>statečný vývoz, aby získalo tolik cizích valut, devis a za</w:t>
      </w:r>
      <w:r>
        <w:rPr>
          <w:b/>
          <w:bCs/>
          <w:sz w:val="19"/>
          <w:szCs w:val="19"/>
        </w:rPr>
        <w:softHyphen/>
        <w:t>hraničních hodnotných měn, aby to stačilo alespoň na za</w:t>
      </w:r>
      <w:r>
        <w:rPr>
          <w:b/>
          <w:bCs/>
          <w:sz w:val="19"/>
          <w:szCs w:val="19"/>
        </w:rPr>
        <w:softHyphen/>
        <w:t>koupení nezbytně nutných surovin, dovážených z ciziny. Nemá tedy Slovensko u pražské Národní b</w:t>
      </w:r>
      <w:r>
        <w:rPr>
          <w:b/>
          <w:bCs/>
          <w:sz w:val="19"/>
          <w:szCs w:val="19"/>
        </w:rPr>
        <w:t>anky k očeká</w:t>
      </w:r>
      <w:r>
        <w:rPr>
          <w:b/>
          <w:bCs/>
          <w:sz w:val="19"/>
          <w:szCs w:val="19"/>
        </w:rPr>
        <w:softHyphen/>
        <w:t xml:space="preserve">vání vůbec žádný podíl na devisách a valutách. Tím méně ovšem na zlatě (které ostatně obecně uvázlo v cizině), protože i daňově bylo Slovensko pasivní, neboť dostávalo pětinu státních příjmů k disposici a platilo jen desetinu všech daní. Čtli </w:t>
      </w:r>
      <w:r>
        <w:rPr>
          <w:b/>
          <w:bCs/>
          <w:sz w:val="19"/>
          <w:szCs w:val="19"/>
        </w:rPr>
        <w:t>jsme kdesi, že Slovenská národní banka si představuje, že prý dostane asi 18 procent devis, valut a zlata pražské Národní banky. To asi jest omyl. — Ostatně nebyli bychom ani s to, abychom tyto hodnoty poskytli, protože je sami nemáme, ale nadto nerozhoduj</w:t>
      </w:r>
      <w:r>
        <w:rPr>
          <w:b/>
          <w:bCs/>
          <w:sz w:val="19"/>
          <w:szCs w:val="19"/>
        </w:rPr>
        <w:t>eme sami, a nároku, který by měl být honorován, zde Slovensko ne</w:t>
      </w:r>
      <w:r>
        <w:rPr>
          <w:b/>
          <w:bCs/>
          <w:sz w:val="19"/>
          <w:szCs w:val="19"/>
        </w:rPr>
        <w:softHyphen/>
        <w:t>má. Něco jiného bylo se sudetskými zeměmi, které měly exportní průmysly, jež vynášely devisy. Srovnání bohužel dopadlo by i zde v neprospěch Slovenska. Jinak tomu ovšem bylo v jednotném státě</w:t>
      </w:r>
      <w:r>
        <w:rPr>
          <w:b/>
          <w:bCs/>
          <w:sz w:val="19"/>
          <w:szCs w:val="19"/>
        </w:rPr>
        <w:t>, kde jsme prostě automaticky pře</w:t>
      </w:r>
      <w:r>
        <w:rPr>
          <w:b/>
          <w:bCs/>
          <w:sz w:val="19"/>
          <w:szCs w:val="19"/>
        </w:rPr>
        <w:softHyphen/>
        <w:t>bytky z českých zemí dávali Slovensku. Ale dnes, kdy jsme v různých státních útvarech, to již není možné.</w:t>
      </w:r>
    </w:p>
    <w:p w:rsidR="00500724" w:rsidRDefault="00F30FB8">
      <w:pPr>
        <w:pStyle w:val="Zkladntext100"/>
        <w:shd w:val="clear" w:color="auto" w:fill="auto"/>
        <w:spacing w:line="187" w:lineRule="auto"/>
        <w:ind w:firstLine="0"/>
        <w:jc w:val="right"/>
        <w:rPr>
          <w:sz w:val="19"/>
          <w:szCs w:val="19"/>
        </w:rPr>
      </w:pPr>
      <w:r>
        <w:rPr>
          <w:b/>
          <w:bCs/>
          <w:sz w:val="19"/>
          <w:szCs w:val="19"/>
        </w:rPr>
        <w:t>Slovensko rozřešilo zvláštním zákonem židovskou</w:t>
      </w:r>
    </w:p>
    <w:p w:rsidR="00500724" w:rsidRDefault="00F30FB8">
      <w:pPr>
        <w:pStyle w:val="Zkladntext100"/>
        <w:shd w:val="clear" w:color="auto" w:fill="auto"/>
        <w:tabs>
          <w:tab w:val="left" w:pos="4598"/>
        </w:tabs>
        <w:spacing w:after="160" w:line="240" w:lineRule="auto"/>
        <w:ind w:firstLine="0"/>
        <w:rPr>
          <w:sz w:val="20"/>
          <w:szCs w:val="20"/>
        </w:rPr>
      </w:pPr>
      <w:r>
        <w:rPr>
          <w:b/>
          <w:bCs/>
          <w:sz w:val="19"/>
          <w:szCs w:val="19"/>
        </w:rPr>
        <w:t xml:space="preserve">otázku. Učinilo tak celkem dosti mírně a řekli bychom na základě </w:t>
      </w:r>
      <w:r>
        <w:rPr>
          <w:b/>
          <w:bCs/>
          <w:sz w:val="19"/>
          <w:szCs w:val="19"/>
        </w:rPr>
        <w:t>katolickém. Po všem tom hluku, který se ko</w:t>
      </w:r>
      <w:r>
        <w:rPr>
          <w:b/>
          <w:bCs/>
          <w:sz w:val="19"/>
          <w:szCs w:val="19"/>
        </w:rPr>
        <w:softHyphen/>
        <w:t>lem této věci tropil, byi výsledek diktován klidnou úvahou, která však dává slovenské vládě všechny potřebné mož</w:t>
      </w:r>
      <w:r>
        <w:rPr>
          <w:b/>
          <w:bCs/>
          <w:sz w:val="19"/>
          <w:szCs w:val="19"/>
        </w:rPr>
        <w:softHyphen/>
        <w:t>nosti.</w:t>
      </w:r>
      <w:r>
        <w:rPr>
          <w:b/>
          <w:bCs/>
          <w:sz w:val="19"/>
          <w:szCs w:val="19"/>
        </w:rPr>
        <w:tab/>
      </w:r>
      <w:r>
        <w:rPr>
          <w:b/>
          <w:bCs/>
          <w:i/>
          <w:iCs/>
          <w:sz w:val="20"/>
          <w:szCs w:val="20"/>
        </w:rPr>
        <w:t>moli</w:t>
      </w:r>
    </w:p>
    <w:p w:rsidR="00500724" w:rsidRDefault="00F30FB8">
      <w:pPr>
        <w:pStyle w:val="Zkladntext30"/>
        <w:shd w:val="clear" w:color="auto" w:fill="auto"/>
        <w:spacing w:line="223" w:lineRule="auto"/>
        <w:ind w:firstLine="0"/>
        <w:jc w:val="center"/>
        <w:rPr>
          <w:sz w:val="20"/>
          <w:szCs w:val="20"/>
        </w:rPr>
      </w:pPr>
      <w:r>
        <w:rPr>
          <w:b/>
          <w:bCs/>
          <w:sz w:val="20"/>
          <w:szCs w:val="20"/>
        </w:rPr>
        <w:t>Světový obchod opět v krisi</w:t>
      </w:r>
    </w:p>
    <w:p w:rsidR="00500724" w:rsidRDefault="00F30FB8">
      <w:pPr>
        <w:pStyle w:val="Zkladntext100"/>
        <w:shd w:val="clear" w:color="auto" w:fill="auto"/>
        <w:spacing w:after="40" w:line="240" w:lineRule="auto"/>
        <w:ind w:firstLine="300"/>
        <w:rPr>
          <w:sz w:val="19"/>
          <w:szCs w:val="19"/>
        </w:rPr>
      </w:pPr>
      <w:r>
        <w:rPr>
          <w:b/>
          <w:bCs/>
          <w:sz w:val="19"/>
          <w:szCs w:val="19"/>
        </w:rPr>
        <w:t xml:space="preserve">Světová průmyslová výroba, která klesla co do objemu za </w:t>
      </w:r>
      <w:r>
        <w:rPr>
          <w:b/>
          <w:bCs/>
          <w:sz w:val="19"/>
          <w:szCs w:val="19"/>
        </w:rPr>
        <w:t>hospodářské krise od r. 1929 na nejnižší bod v roce 1932, kdy byla téměř o dvě třetiny pod úrovní nejlepšího kon</w:t>
      </w:r>
      <w:r>
        <w:rPr>
          <w:b/>
          <w:bCs/>
          <w:sz w:val="19"/>
          <w:szCs w:val="19"/>
        </w:rPr>
        <w:softHyphen/>
        <w:t>junkturního poválečného roku 1928/1929, vzpamatovala se podstatně rychleji, než světový obchod. Tento zjev souvisí s tím, že oživení průmyslové</w:t>
      </w:r>
      <w:r>
        <w:rPr>
          <w:b/>
          <w:bCs/>
          <w:sz w:val="19"/>
          <w:szCs w:val="19"/>
        </w:rPr>
        <w:t xml:space="preserve"> výroby v četných evropských státech bylo způsobeno jen vnitřními vládními zásahy, ne</w:t>
      </w:r>
      <w:r>
        <w:rPr>
          <w:b/>
          <w:bCs/>
          <w:sz w:val="19"/>
          <w:szCs w:val="19"/>
        </w:rPr>
        <w:softHyphen/>
        <w:t>spočívalo totiž na oživení a ozdravění důvěry mezi státy, což jediné může býti podkladem vzájemného rozsáhlého obchodu, výměny statků a práce. Proto světová průmyslová vý</w:t>
      </w:r>
      <w:r>
        <w:rPr>
          <w:b/>
          <w:bCs/>
          <w:sz w:val="19"/>
          <w:szCs w:val="19"/>
        </w:rPr>
        <w:t xml:space="preserve">roba již roku 1932/33 opětně se vyšvihla až na úroveň </w:t>
      </w:r>
      <w:r>
        <w:rPr>
          <w:b/>
          <w:bCs/>
          <w:sz w:val="20"/>
          <w:szCs w:val="20"/>
        </w:rPr>
        <w:t xml:space="preserve">z </w:t>
      </w:r>
      <w:r>
        <w:rPr>
          <w:b/>
          <w:bCs/>
          <w:sz w:val="19"/>
          <w:szCs w:val="19"/>
        </w:rPr>
        <w:t>let 1928/1929 a pak pozvolna stoupala, až přesáhla kon</w:t>
      </w:r>
      <w:r>
        <w:rPr>
          <w:b/>
          <w:bCs/>
          <w:sz w:val="19"/>
          <w:szCs w:val="19"/>
        </w:rPr>
        <w:softHyphen/>
        <w:t>junkturní úroveň v některých státech až o třetinu, v prů</w:t>
      </w:r>
      <w:r>
        <w:rPr>
          <w:b/>
          <w:bCs/>
          <w:sz w:val="19"/>
          <w:szCs w:val="19"/>
        </w:rPr>
        <w:softHyphen/>
        <w:t>měru však sotva o desetinu, nejvýše o pětinu. U nás však byla vždy jen o několik málo pr</w:t>
      </w:r>
      <w:r>
        <w:rPr>
          <w:b/>
          <w:bCs/>
          <w:sz w:val="19"/>
          <w:szCs w:val="19"/>
        </w:rPr>
        <w:t>ocent nad úroveň z let 1928/1929 a také náš zahraniční obchod se nedostal přes dvě třetiny bývalého objemu.</w:t>
      </w:r>
    </w:p>
    <w:p w:rsidR="00500724" w:rsidRDefault="00F30FB8">
      <w:pPr>
        <w:pStyle w:val="Zkladntext100"/>
        <w:shd w:val="clear" w:color="auto" w:fill="auto"/>
        <w:spacing w:after="40" w:line="233" w:lineRule="auto"/>
        <w:ind w:firstLine="300"/>
        <w:rPr>
          <w:sz w:val="19"/>
          <w:szCs w:val="19"/>
        </w:rPr>
      </w:pPr>
      <w:r>
        <w:rPr>
          <w:b/>
          <w:bCs/>
          <w:sz w:val="19"/>
          <w:szCs w:val="19"/>
        </w:rPr>
        <w:t xml:space="preserve">Ačkoliv tedy světový obchod ve skutečnosti nebyl s to, aby překonal krisi a nedospěl na konjunkturní úroveň </w:t>
      </w:r>
      <w:r>
        <w:rPr>
          <w:b/>
          <w:bCs/>
          <w:sz w:val="20"/>
          <w:szCs w:val="20"/>
        </w:rPr>
        <w:t xml:space="preserve">z </w:t>
      </w:r>
      <w:r>
        <w:rPr>
          <w:b/>
          <w:bCs/>
          <w:sz w:val="19"/>
          <w:szCs w:val="19"/>
        </w:rPr>
        <w:t>doby před desíti lety, počal v posledn</w:t>
      </w:r>
      <w:r>
        <w:rPr>
          <w:b/>
          <w:bCs/>
          <w:sz w:val="19"/>
          <w:szCs w:val="19"/>
        </w:rPr>
        <w:t>ím roce opětně kle</w:t>
      </w:r>
      <w:r>
        <w:rPr>
          <w:b/>
          <w:bCs/>
          <w:sz w:val="19"/>
          <w:szCs w:val="19"/>
        </w:rPr>
        <w:softHyphen/>
        <w:t>sat. Důvod je zřejmý: obchod potřebuje klidu a vzájemné důvěry, a té rozrušená Evropa neměla. Je ostatně pozoru</w:t>
      </w:r>
      <w:r>
        <w:rPr>
          <w:b/>
          <w:bCs/>
          <w:sz w:val="19"/>
          <w:szCs w:val="19"/>
        </w:rPr>
        <w:softHyphen/>
        <w:t>hodné, že jižní polokoule, která i za světové hospodářské krise na tom byla podstatně lépe než polokoule severní, ani tentokr</w:t>
      </w:r>
      <w:r>
        <w:rPr>
          <w:b/>
          <w:bCs/>
          <w:sz w:val="19"/>
          <w:szCs w:val="19"/>
        </w:rPr>
        <w:t>áte nesdílí v takovém rozsahu nový pokles objemu světového obchodu.</w:t>
      </w:r>
    </w:p>
    <w:p w:rsidR="00500724" w:rsidRDefault="00F30FB8">
      <w:pPr>
        <w:pStyle w:val="Zkladntext100"/>
        <w:shd w:val="clear" w:color="auto" w:fill="auto"/>
        <w:spacing w:after="40" w:line="240" w:lineRule="auto"/>
        <w:ind w:firstLine="300"/>
        <w:rPr>
          <w:sz w:val="19"/>
          <w:szCs w:val="19"/>
        </w:rPr>
      </w:pPr>
      <w:r>
        <w:rPr>
          <w:b/>
          <w:bCs/>
          <w:sz w:val="19"/>
          <w:szCs w:val="19"/>
        </w:rPr>
        <w:t>Koku 1932 činil světový obchod 1.19 tisíc miliard K, až do roku 1936 byl o jeden až půl druhého tisíce miliard K menší, pak roku 1937 stoupl na 1.38 tisíc miliard K, ale loň</w:t>
      </w:r>
      <w:r>
        <w:rPr>
          <w:b/>
          <w:bCs/>
          <w:sz w:val="19"/>
          <w:szCs w:val="19"/>
        </w:rPr>
        <w:softHyphen/>
        <w:t>ského roku opě</w:t>
      </w:r>
      <w:r>
        <w:rPr>
          <w:b/>
          <w:bCs/>
          <w:sz w:val="19"/>
          <w:szCs w:val="19"/>
        </w:rPr>
        <w:t>tně poklesl na 1.19 tisíc miliard K. Proti roku 1937 se tedy zmenšil rozsah světového obchodu o de</w:t>
      </w:r>
      <w:r>
        <w:rPr>
          <w:b/>
          <w:bCs/>
          <w:sz w:val="19"/>
          <w:szCs w:val="19"/>
        </w:rPr>
        <w:softHyphen/>
        <w:t>setinu a zdá se, že letošní rok nebude v tomto směru lepší. Spíše lze očekávat další zhoršení v důsledku trvalého poli</w:t>
      </w:r>
      <w:r>
        <w:rPr>
          <w:b/>
          <w:bCs/>
          <w:sz w:val="19"/>
          <w:szCs w:val="19"/>
        </w:rPr>
        <w:softHyphen/>
        <w:t>tického neklidu.</w:t>
      </w:r>
    </w:p>
    <w:p w:rsidR="00500724" w:rsidRDefault="00F30FB8">
      <w:pPr>
        <w:pStyle w:val="Zkladntext100"/>
        <w:shd w:val="clear" w:color="auto" w:fill="auto"/>
        <w:spacing w:after="40" w:line="233" w:lineRule="auto"/>
        <w:ind w:firstLine="300"/>
        <w:rPr>
          <w:sz w:val="19"/>
          <w:szCs w:val="19"/>
        </w:rPr>
      </w:pPr>
      <w:r>
        <w:rPr>
          <w:b/>
          <w:bCs/>
          <w:sz w:val="19"/>
          <w:szCs w:val="19"/>
        </w:rPr>
        <w:t>Při tom došlo k někte</w:t>
      </w:r>
      <w:r>
        <w:rPr>
          <w:b/>
          <w:bCs/>
          <w:sz w:val="19"/>
          <w:szCs w:val="19"/>
        </w:rPr>
        <w:t>rým zajímavým přeskupením. Velká Britanie, jejíž import je ovšem stále ze všech států světa největší, dovezla loni za 105.S miliardy K zboží, čili méně než roku 1937, kdy dovezla za 117.5 miliardy K, ale více než v letech předchozích zhruba o miliardu. Jej</w:t>
      </w:r>
      <w:r>
        <w:rPr>
          <w:b/>
          <w:bCs/>
          <w:sz w:val="19"/>
          <w:szCs w:val="19"/>
        </w:rPr>
        <w:t>í do</w:t>
      </w:r>
      <w:r>
        <w:rPr>
          <w:b/>
          <w:bCs/>
          <w:sz w:val="19"/>
          <w:szCs w:val="19"/>
        </w:rPr>
        <w:softHyphen/>
        <w:t>vozní síla se tedy podstatně nezmenšila a přesahuje neoby</w:t>
      </w:r>
      <w:r>
        <w:rPr>
          <w:b/>
          <w:bCs/>
          <w:sz w:val="19"/>
          <w:szCs w:val="19"/>
        </w:rPr>
        <w:softHyphen/>
        <w:t>čejně kterýkoliv další velký dovozní stát. Velmi podstatně klesl dovoz Spojených Států amerických s 76.6 miliardy K na 47.9 miliardy K, takže se před ně, na druhé místo ta</w:t>
      </w:r>
      <w:r>
        <w:rPr>
          <w:b/>
          <w:bCs/>
          <w:sz w:val="19"/>
          <w:szCs w:val="19"/>
        </w:rPr>
        <w:softHyphen/>
        <w:t>bulky dovozních států</w:t>
      </w:r>
      <w:r>
        <w:rPr>
          <w:b/>
          <w:bCs/>
          <w:sz w:val="19"/>
          <w:szCs w:val="19"/>
        </w:rPr>
        <w:t>, dostalo Německo, jehož dovoz stoupl s 53.7 miliardy K na 54.5 miliardy K. Potom následuje Francie s 33 miliardami K (roku 1937 měla dovoz 42.7 mi</w:t>
      </w:r>
      <w:r>
        <w:rPr>
          <w:b/>
          <w:bCs/>
          <w:sz w:val="19"/>
          <w:szCs w:val="19"/>
        </w:rPr>
        <w:softHyphen/>
        <w:t>liardy K), Holandsko, Belgie, Japonsko, Kanada, Itálie, Indie, Švédsko, Austrálie, které vesměs měly dovoz p</w:t>
      </w:r>
      <w:r>
        <w:rPr>
          <w:b/>
          <w:bCs/>
          <w:sz w:val="19"/>
          <w:szCs w:val="19"/>
        </w:rPr>
        <w:t xml:space="preserve">od 20 </w:t>
      </w:r>
      <w:r>
        <w:rPr>
          <w:b/>
          <w:bCs/>
          <w:sz w:val="20"/>
          <w:szCs w:val="20"/>
        </w:rPr>
        <w:t xml:space="preserve">a </w:t>
      </w:r>
      <w:r>
        <w:rPr>
          <w:b/>
          <w:bCs/>
          <w:sz w:val="19"/>
          <w:szCs w:val="19"/>
        </w:rPr>
        <w:t>nad 10 miliard K. Je zajímavé, že import stoupl jedině u Německa a u Austrálie, u všech jiných států vykazuje pokles.</w:t>
      </w:r>
    </w:p>
    <w:p w:rsidR="00500724" w:rsidRDefault="00F30FB8">
      <w:pPr>
        <w:pStyle w:val="Zkladntext100"/>
        <w:shd w:val="clear" w:color="auto" w:fill="auto"/>
        <w:spacing w:after="40" w:line="240" w:lineRule="auto"/>
        <w:ind w:firstLine="300"/>
        <w:rPr>
          <w:sz w:val="19"/>
          <w:szCs w:val="19"/>
        </w:rPr>
      </w:pPr>
      <w:r>
        <w:rPr>
          <w:b/>
          <w:bCs/>
          <w:sz w:val="19"/>
          <w:szCs w:val="19"/>
        </w:rPr>
        <w:t>Pokud jde o export, vedou jako vždy v posledních letech Spojené Státy americké, jejichž obrovská hospodářská po</w:t>
      </w:r>
      <w:r>
        <w:rPr>
          <w:b/>
          <w:bCs/>
          <w:sz w:val="19"/>
          <w:szCs w:val="19"/>
        </w:rPr>
        <w:softHyphen/>
        <w:t xml:space="preserve">tence je patrna i </w:t>
      </w:r>
      <w:r>
        <w:rPr>
          <w:b/>
          <w:bCs/>
          <w:sz w:val="19"/>
          <w:szCs w:val="19"/>
        </w:rPr>
        <w:t>v tom, že tento velký export nečiní ani desetinu jejich průmyslové výroby. Všechno ostatní jsou s to spotřebovat samy. Proti roku 1937, kdy exportovaly zboží za 82 miliard K, klesl loni jejich export na 76.2 mili</w:t>
      </w:r>
      <w:r>
        <w:rPr>
          <w:b/>
          <w:bCs/>
          <w:sz w:val="19"/>
          <w:szCs w:val="19"/>
        </w:rPr>
        <w:softHyphen/>
        <w:t>ardy K, ale je to o deset až dvacet miliard</w:t>
      </w:r>
      <w:r>
        <w:rPr>
          <w:b/>
          <w:bCs/>
          <w:sz w:val="19"/>
          <w:szCs w:val="19"/>
        </w:rPr>
        <w:t xml:space="preserve"> K více než v mi</w:t>
      </w:r>
      <w:r>
        <w:rPr>
          <w:b/>
          <w:bCs/>
          <w:sz w:val="19"/>
          <w:szCs w:val="19"/>
        </w:rPr>
        <w:softHyphen/>
        <w:t>nulých letech. Na druhém místě zůstává Anglie s exportem za 57.4 miliardy K, tedy menším než r. 1937, kdy činil 64 mi</w:t>
      </w:r>
      <w:r>
        <w:rPr>
          <w:b/>
          <w:bCs/>
          <w:sz w:val="19"/>
          <w:szCs w:val="19"/>
        </w:rPr>
        <w:softHyphen/>
        <w:t>liard, ale vyšším než v předchozích letech. Na třetím místě je Německo s exportem za 52.5 miliardy K, což je o pět mi</w:t>
      </w:r>
      <w:r>
        <w:rPr>
          <w:b/>
          <w:bCs/>
          <w:sz w:val="19"/>
          <w:szCs w:val="19"/>
        </w:rPr>
        <w:softHyphen/>
        <w:t>lia</w:t>
      </w:r>
      <w:r>
        <w:rPr>
          <w:b/>
          <w:bCs/>
          <w:sz w:val="19"/>
          <w:szCs w:val="19"/>
        </w:rPr>
        <w:t>rd K méně než r. 1937, ale více, než v předchozích údo</w:t>
      </w:r>
      <w:r>
        <w:rPr>
          <w:b/>
          <w:bCs/>
          <w:sz w:val="19"/>
          <w:szCs w:val="19"/>
        </w:rPr>
        <w:softHyphen/>
        <w:t>bích. Pak následují státy téměř v nezměněném pořadí, jako v tabulce importní. Při tom ovšem nutno poznamenat, že tato data nezahrnují u Německa ovšem ještě ani sudetské ani protektorátní území.</w:t>
      </w:r>
    </w:p>
    <w:p w:rsidR="00500724" w:rsidRDefault="00F30FB8">
      <w:pPr>
        <w:pStyle w:val="Zkladntext100"/>
        <w:shd w:val="clear" w:color="auto" w:fill="auto"/>
        <w:tabs>
          <w:tab w:val="left" w:pos="4733"/>
        </w:tabs>
        <w:spacing w:after="200" w:line="240" w:lineRule="auto"/>
        <w:ind w:firstLine="240"/>
        <w:rPr>
          <w:sz w:val="20"/>
          <w:szCs w:val="20"/>
        </w:rPr>
      </w:pPr>
      <w:r>
        <w:rPr>
          <w:b/>
          <w:bCs/>
          <w:sz w:val="19"/>
          <w:szCs w:val="19"/>
        </w:rPr>
        <w:t>Zajímav</w:t>
      </w:r>
      <w:r>
        <w:rPr>
          <w:b/>
          <w:bCs/>
          <w:sz w:val="19"/>
          <w:szCs w:val="19"/>
        </w:rPr>
        <w:t>é je srovnat, které státy mají aktivní zahraniční obchod a které pasivní. Úspěšnou obchodní bilanci vykazuji výhradně státy, které prodávají suroviny, ale jen státy zá</w:t>
      </w:r>
      <w:r>
        <w:rPr>
          <w:b/>
          <w:bCs/>
          <w:sz w:val="19"/>
          <w:szCs w:val="19"/>
        </w:rPr>
        <w:softHyphen/>
        <w:t>mořské. Je z toho vidět, že průmyslové země musily suro</w:t>
      </w:r>
      <w:r>
        <w:rPr>
          <w:b/>
          <w:bCs/>
          <w:sz w:val="19"/>
          <w:szCs w:val="19"/>
        </w:rPr>
        <w:softHyphen/>
        <w:t>viny dovážet a byly tak zaměstná</w:t>
      </w:r>
      <w:r>
        <w:rPr>
          <w:b/>
          <w:bCs/>
          <w:sz w:val="19"/>
          <w:szCs w:val="19"/>
        </w:rPr>
        <w:t>ny jejich zpracováním pro vlastní spotřebu, že nemohly exportovat!. To souvisí se zá</w:t>
      </w:r>
      <w:r>
        <w:rPr>
          <w:b/>
          <w:bCs/>
          <w:sz w:val="19"/>
          <w:szCs w:val="19"/>
        </w:rPr>
        <w:softHyphen/>
        <w:t>sobováním států pro válečné případy. Jinými slovy: evropské průmyslové státy mají obchodně politické schodky, kdežto zámořské export</w:t>
      </w:r>
      <w:r>
        <w:rPr>
          <w:b/>
          <w:bCs/>
          <w:sz w:val="19"/>
          <w:szCs w:val="19"/>
        </w:rPr>
        <w:softHyphen/>
        <w:t>ní surovinové státy mají aktiva. Pro s</w:t>
      </w:r>
      <w:r>
        <w:rPr>
          <w:b/>
          <w:bCs/>
          <w:sz w:val="19"/>
          <w:szCs w:val="19"/>
        </w:rPr>
        <w:t>oučasný obraz světa je to jistě dostatečně poučné.</w:t>
      </w:r>
      <w:r>
        <w:rPr>
          <w:b/>
          <w:bCs/>
          <w:sz w:val="19"/>
          <w:szCs w:val="19"/>
        </w:rPr>
        <w:tab/>
      </w:r>
      <w:r>
        <w:rPr>
          <w:b/>
          <w:bCs/>
          <w:i/>
          <w:iCs/>
          <w:sz w:val="20"/>
          <w:szCs w:val="20"/>
        </w:rPr>
        <w:t>Cis,</w:t>
      </w:r>
    </w:p>
    <w:p w:rsidR="00500724" w:rsidRDefault="00F30FB8">
      <w:pPr>
        <w:pStyle w:val="Nadpis120"/>
        <w:shd w:val="clear" w:color="auto" w:fill="auto"/>
        <w:spacing w:after="40"/>
        <w:ind w:left="0" w:firstLine="240"/>
        <w:jc w:val="both"/>
      </w:pPr>
      <w:bookmarkStart w:id="412" w:name="bookmark411"/>
      <w:r>
        <w:t>Bebca, banka pro styk s říšským hospodářstvím</w:t>
      </w:r>
      <w:bookmarkEnd w:id="412"/>
    </w:p>
    <w:p w:rsidR="00500724" w:rsidRDefault="00F30FB8">
      <w:pPr>
        <w:pStyle w:val="Zkladntext100"/>
        <w:shd w:val="clear" w:color="auto" w:fill="auto"/>
        <w:spacing w:after="40" w:line="233" w:lineRule="auto"/>
        <w:ind w:firstLine="240"/>
        <w:rPr>
          <w:sz w:val="19"/>
          <w:szCs w:val="19"/>
        </w:rPr>
      </w:pPr>
      <w:r>
        <w:rPr>
          <w:b/>
          <w:bCs/>
          <w:sz w:val="19"/>
          <w:szCs w:val="19"/>
        </w:rPr>
        <w:t>Celkem v tichosti se odehrála změna, jejíž významnost nelze ani zatím dosti doceniti. V mimořádné schůzi správ</w:t>
      </w:r>
      <w:r>
        <w:rPr>
          <w:b/>
          <w:bCs/>
          <w:sz w:val="19"/>
          <w:szCs w:val="19"/>
        </w:rPr>
        <w:softHyphen/>
        <w:t>ní rady České eskomptní banky, ve zkratce z</w:t>
      </w:r>
      <w:r>
        <w:rPr>
          <w:b/>
          <w:bCs/>
          <w:sz w:val="19"/>
          <w:szCs w:val="19"/>
        </w:rPr>
        <w:t>vané »Bebca« (Bohmische Escompte-Bank und Credit-Anstalt) se proje</w:t>
      </w:r>
      <w:r>
        <w:rPr>
          <w:b/>
          <w:bCs/>
          <w:sz w:val="19"/>
          <w:szCs w:val="19"/>
        </w:rPr>
        <w:softHyphen/>
        <w:t>vila několikatýdenní práce, před níž ovšem už od října se v tomto směru hodně stalo. Bebca totiž již loni převzala nejprve rakouskou, pak i sudetské filiálky Živnostenské banky a dostala se</w:t>
      </w:r>
      <w:r>
        <w:rPr>
          <w:b/>
          <w:bCs/>
          <w:sz w:val="19"/>
          <w:szCs w:val="19"/>
        </w:rPr>
        <w:t xml:space="preserve"> do styku s jednou z největších němec</w:t>
      </w:r>
      <w:r>
        <w:rPr>
          <w:b/>
          <w:bCs/>
          <w:sz w:val="19"/>
          <w:szCs w:val="19"/>
        </w:rPr>
        <w:softHyphen/>
        <w:t>kých bank, Dresdner Bank. To ovšem souviselo mimo jiné také s tím, že třetina obchodu Bebcy byla v sudetském území a že tedy musila hledat jak spojení, tak i východisko z nově utvořené státní situace po Mnichově. Po od</w:t>
      </w:r>
      <w:r>
        <w:rPr>
          <w:b/>
          <w:bCs/>
          <w:sz w:val="19"/>
          <w:szCs w:val="19"/>
        </w:rPr>
        <w:t>pad</w:t>
      </w:r>
      <w:r>
        <w:rPr>
          <w:b/>
          <w:bCs/>
          <w:sz w:val="19"/>
          <w:szCs w:val="19"/>
        </w:rPr>
        <w:softHyphen/>
        <w:t>nutí slovenského obchodu se ukázalo (ještě jasněji ovšem po 15. březnu), že důkladná reorganisace banky i její sítě je naprosto nutná, nemá-li se ústav ocitnout ve vážné krisi.</w:t>
      </w:r>
    </w:p>
    <w:p w:rsidR="00500724" w:rsidRDefault="00F30FB8">
      <w:pPr>
        <w:pStyle w:val="Zkladntext100"/>
        <w:shd w:val="clear" w:color="auto" w:fill="auto"/>
        <w:spacing w:after="40" w:line="233" w:lineRule="auto"/>
        <w:ind w:firstLine="240"/>
        <w:rPr>
          <w:sz w:val="19"/>
          <w:szCs w:val="19"/>
        </w:rPr>
      </w:pPr>
      <w:r>
        <w:rPr>
          <w:b/>
          <w:bCs/>
          <w:sz w:val="19"/>
          <w:szCs w:val="19"/>
        </w:rPr>
        <w:t>Nutno říci, že Bebca vyšla ze situace, jež zprvu se ne</w:t>
      </w:r>
      <w:r>
        <w:rPr>
          <w:b/>
          <w:bCs/>
          <w:sz w:val="19"/>
          <w:szCs w:val="19"/>
        </w:rPr>
        <w:softHyphen/>
        <w:t>zdála záviděníhodná,</w:t>
      </w:r>
      <w:r>
        <w:rPr>
          <w:b/>
          <w:bCs/>
          <w:sz w:val="19"/>
          <w:szCs w:val="19"/>
        </w:rPr>
        <w:t xml:space="preserve"> nejen úspěšně, ale doslovně šťastně, také proto, že navázala pořádně tato říšskoněmecká spo</w:t>
      </w:r>
      <w:r>
        <w:rPr>
          <w:b/>
          <w:bCs/>
          <w:sz w:val="19"/>
          <w:szCs w:val="19"/>
        </w:rPr>
        <w:softHyphen/>
        <w:t>jení. Stává se teď jaksi finanční institucí pro styk se su</w:t>
      </w:r>
      <w:r>
        <w:rPr>
          <w:b/>
          <w:bCs/>
          <w:sz w:val="19"/>
          <w:szCs w:val="19"/>
        </w:rPr>
        <w:softHyphen/>
        <w:t>detským, ba vlastně i s říšským hospodářstvím. Současně bude patrně jakousi centrálou pro odvod židovské</w:t>
      </w:r>
      <w:r>
        <w:rPr>
          <w:b/>
          <w:bCs/>
          <w:sz w:val="19"/>
          <w:szCs w:val="19"/>
        </w:rPr>
        <w:t>ho ma</w:t>
      </w:r>
      <w:r>
        <w:rPr>
          <w:b/>
          <w:bCs/>
          <w:sz w:val="19"/>
          <w:szCs w:val="19"/>
        </w:rPr>
        <w:softHyphen/>
        <w:t>jetku u nás. U ní se budou koncentrovat z větší části transakce spojené s povolováním emigrace zámožným ži</w:t>
      </w:r>
      <w:r>
        <w:rPr>
          <w:b/>
          <w:bCs/>
          <w:sz w:val="19"/>
          <w:szCs w:val="19"/>
        </w:rPr>
        <w:softHyphen/>
        <w:t>dovským podnikatelům. Netřeba ani snad poznamenávat, že na tomto obchodu Bebca neprodělá.</w:t>
      </w:r>
    </w:p>
    <w:p w:rsidR="00500724" w:rsidRDefault="00F30FB8">
      <w:pPr>
        <w:pStyle w:val="Zkladntext100"/>
        <w:shd w:val="clear" w:color="auto" w:fill="auto"/>
        <w:spacing w:after="40" w:line="233" w:lineRule="auto"/>
        <w:ind w:firstLine="240"/>
        <w:rPr>
          <w:sz w:val="19"/>
          <w:szCs w:val="19"/>
        </w:rPr>
      </w:pPr>
      <w:r>
        <w:rPr>
          <w:b/>
          <w:bCs/>
          <w:sz w:val="19"/>
          <w:szCs w:val="19"/>
        </w:rPr>
        <w:t>V nové správní radě je representována Živnostenská ba</w:t>
      </w:r>
      <w:r>
        <w:rPr>
          <w:b/>
          <w:bCs/>
          <w:sz w:val="19"/>
          <w:szCs w:val="19"/>
        </w:rPr>
        <w:t xml:space="preserve">nka a koncernové podniky banky samotné, Brnostroje, Kráiocement, Pražské železo, Poldi, </w:t>
      </w:r>
      <w:r>
        <w:rPr>
          <w:b/>
          <w:bCs/>
          <w:sz w:val="19"/>
          <w:szCs w:val="19"/>
          <w:lang w:val="en-US" w:eastAsia="en-US" w:bidi="en-US"/>
        </w:rPr>
        <w:t xml:space="preserve">Walter, </w:t>
      </w:r>
      <w:r>
        <w:rPr>
          <w:b/>
          <w:bCs/>
          <w:sz w:val="19"/>
          <w:szCs w:val="19"/>
        </w:rPr>
        <w:t>Zbrojovka a Tatra, z agrární strany Stoupal, tentokráte správně uvede</w:t>
      </w:r>
      <w:r>
        <w:rPr>
          <w:b/>
          <w:bCs/>
          <w:sz w:val="19"/>
          <w:szCs w:val="19"/>
        </w:rPr>
        <w:softHyphen/>
        <w:t>ný jako velkostatkář. Z německé strany pak brněnská fir</w:t>
      </w:r>
      <w:r>
        <w:rPr>
          <w:b/>
          <w:bCs/>
          <w:sz w:val="19"/>
          <w:szCs w:val="19"/>
        </w:rPr>
        <w:softHyphen/>
        <w:t xml:space="preserve">ma Hochstetter &amp; Schickard, </w:t>
      </w:r>
      <w:r>
        <w:rPr>
          <w:b/>
          <w:bCs/>
          <w:sz w:val="19"/>
          <w:szCs w:val="19"/>
        </w:rPr>
        <w:t>liberecký Kreditanstalt der Deutschen, MHdenavské přádelny, ze zahraničních přede</w:t>
      </w:r>
      <w:r>
        <w:rPr>
          <w:b/>
          <w:bCs/>
          <w:sz w:val="19"/>
          <w:szCs w:val="19"/>
        </w:rPr>
        <w:softHyphen/>
        <w:t xml:space="preserve">vším ovšem Dresdner Bank velmi vlivně, vídeňská Uánder a bruselská Societě de </w:t>
      </w:r>
      <w:r>
        <w:rPr>
          <w:b/>
          <w:bCs/>
          <w:sz w:val="19"/>
          <w:szCs w:val="19"/>
          <w:lang w:val="en-US" w:eastAsia="en-US" w:bidi="en-US"/>
        </w:rPr>
        <w:t xml:space="preserve">Bruxelles pour </w:t>
      </w:r>
      <w:r>
        <w:rPr>
          <w:b/>
          <w:bCs/>
          <w:sz w:val="19"/>
          <w:szCs w:val="19"/>
        </w:rPr>
        <w:t xml:space="preserve">Finance &amp; I/Indu- strie, z česko-německé šlechty knížata </w:t>
      </w:r>
      <w:r>
        <w:rPr>
          <w:b/>
          <w:bCs/>
          <w:sz w:val="19"/>
          <w:szCs w:val="19"/>
          <w:lang w:val="en-US" w:eastAsia="en-US" w:bidi="en-US"/>
        </w:rPr>
        <w:t xml:space="preserve">Kohan </w:t>
      </w:r>
      <w:r>
        <w:rPr>
          <w:b/>
          <w:bCs/>
          <w:sz w:val="19"/>
          <w:szCs w:val="19"/>
        </w:rPr>
        <w:t>a Schwarzen- berg.</w:t>
      </w:r>
    </w:p>
    <w:p w:rsidR="00500724" w:rsidRDefault="00F30FB8">
      <w:pPr>
        <w:pStyle w:val="Zkladntext100"/>
        <w:shd w:val="clear" w:color="auto" w:fill="auto"/>
        <w:tabs>
          <w:tab w:val="left" w:pos="4733"/>
        </w:tabs>
        <w:spacing w:after="40" w:line="233" w:lineRule="auto"/>
        <w:ind w:firstLine="240"/>
        <w:rPr>
          <w:sz w:val="20"/>
          <w:szCs w:val="20"/>
        </w:rPr>
      </w:pPr>
      <w:r>
        <w:rPr>
          <w:b/>
          <w:bCs/>
          <w:sz w:val="19"/>
          <w:szCs w:val="19"/>
        </w:rPr>
        <w:t xml:space="preserve">Tím se Bebca stává něčím docela jiným, než byla dosud. Síla této instituce bude jednak v jejích stycích, které se opírají o novou státní konstelaci ve střední Evropě, jednak ve vesměs vlivných mužích, kteří zasedli v její správní radě. </w:t>
      </w:r>
      <w:r>
        <w:rPr>
          <w:b/>
          <w:bCs/>
          <w:sz w:val="20"/>
          <w:szCs w:val="20"/>
        </w:rPr>
        <w:t xml:space="preserve">O </w:t>
      </w:r>
      <w:r>
        <w:rPr>
          <w:b/>
          <w:bCs/>
          <w:sz w:val="19"/>
          <w:szCs w:val="19"/>
        </w:rPr>
        <w:t>činností této pře</w:t>
      </w:r>
      <w:r>
        <w:rPr>
          <w:b/>
          <w:bCs/>
          <w:sz w:val="19"/>
          <w:szCs w:val="19"/>
        </w:rPr>
        <w:t>rozené banky budeme jistě častěji slyšet.</w:t>
      </w:r>
      <w:r>
        <w:rPr>
          <w:b/>
          <w:bCs/>
          <w:sz w:val="19"/>
          <w:szCs w:val="19"/>
        </w:rPr>
        <w:tab/>
      </w:r>
      <w:r>
        <w:rPr>
          <w:b/>
          <w:bCs/>
          <w:i/>
          <w:iCs/>
          <w:sz w:val="20"/>
          <w:szCs w:val="20"/>
        </w:rPr>
        <w:t>Cis</w:t>
      </w:r>
    </w:p>
    <w:p w:rsidR="00500724" w:rsidRDefault="00F30FB8">
      <w:pPr>
        <w:pStyle w:val="Zkladntext30"/>
        <w:shd w:val="clear" w:color="auto" w:fill="auto"/>
        <w:spacing w:line="221" w:lineRule="auto"/>
        <w:ind w:firstLine="0"/>
        <w:jc w:val="center"/>
        <w:rPr>
          <w:sz w:val="20"/>
          <w:szCs w:val="20"/>
        </w:rPr>
      </w:pPr>
      <w:r>
        <w:rPr>
          <w:b/>
          <w:bCs/>
          <w:sz w:val="20"/>
          <w:szCs w:val="20"/>
        </w:rPr>
        <w:t>Slučování v družstevnictví</w:t>
      </w:r>
    </w:p>
    <w:p w:rsidR="00500724" w:rsidRDefault="00F30FB8">
      <w:pPr>
        <w:pStyle w:val="Zkladntext100"/>
        <w:numPr>
          <w:ilvl w:val="0"/>
          <w:numId w:val="48"/>
        </w:numPr>
        <w:shd w:val="clear" w:color="auto" w:fill="auto"/>
        <w:tabs>
          <w:tab w:val="left" w:pos="476"/>
        </w:tabs>
        <w:spacing w:after="40" w:line="240" w:lineRule="auto"/>
        <w:ind w:firstLine="320"/>
        <w:rPr>
          <w:sz w:val="19"/>
          <w:szCs w:val="19"/>
        </w:rPr>
      </w:pPr>
      <w:r>
        <w:rPr>
          <w:b/>
          <w:bCs/>
          <w:sz w:val="19"/>
          <w:szCs w:val="19"/>
        </w:rPr>
        <w:t>rámci slučování a sjednocování, které nyní jde celým naším veřejným životem, objevují se v denním tisku stále hojnější zprávy také o amalgamaci různých družstev. Po</w:t>
      </w:r>
      <w:r>
        <w:rPr>
          <w:b/>
          <w:bCs/>
          <w:sz w:val="19"/>
          <w:szCs w:val="19"/>
        </w:rPr>
        <w:softHyphen/>
        <w:t xml:space="preserve">kud jde o zakrytá </w:t>
      </w:r>
      <w:r>
        <w:rPr>
          <w:b/>
          <w:bCs/>
          <w:sz w:val="19"/>
          <w:szCs w:val="19"/>
        </w:rPr>
        <w:t>družstva kapitalistická, nemáme v této souvislosti o ně zájem. Soudíme dokonce, že by taková družstva neměla být trpěna, protože v podstatě jsou to zlevněné formy kapitalistického podnikání, nechtícího se organisovat nákladnějším způsobem v akciových, koma</w:t>
      </w:r>
      <w:r>
        <w:rPr>
          <w:b/>
          <w:bCs/>
          <w:sz w:val="19"/>
          <w:szCs w:val="19"/>
        </w:rPr>
        <w:t>n</w:t>
      </w:r>
      <w:r>
        <w:rPr>
          <w:b/>
          <w:bCs/>
          <w:sz w:val="19"/>
          <w:szCs w:val="19"/>
        </w:rPr>
        <w:softHyphen/>
        <w:t>ditních nebo veřejných obchodních společenstvech. Oč nám jde, jsou družstva zemědělská, spotřebitelská družstva vý</w:t>
      </w:r>
      <w:r>
        <w:rPr>
          <w:b/>
          <w:bCs/>
          <w:sz w:val="19"/>
          <w:szCs w:val="19"/>
        </w:rPr>
        <w:softHyphen/>
        <w:t>robní i konsumní. Velký krok učinila ve směru slučování jednak družstva zemědělská, jednak konsumní.</w:t>
      </w:r>
    </w:p>
    <w:p w:rsidR="00500724" w:rsidRDefault="00F30FB8">
      <w:pPr>
        <w:pStyle w:val="Zkladntext100"/>
        <w:numPr>
          <w:ilvl w:val="0"/>
          <w:numId w:val="48"/>
        </w:numPr>
        <w:shd w:val="clear" w:color="auto" w:fill="auto"/>
        <w:tabs>
          <w:tab w:val="left" w:pos="490"/>
        </w:tabs>
        <w:spacing w:after="40" w:line="233" w:lineRule="auto"/>
        <w:ind w:firstLine="320"/>
        <w:rPr>
          <w:sz w:val="19"/>
          <w:szCs w:val="19"/>
        </w:rPr>
      </w:pPr>
      <w:r>
        <w:rPr>
          <w:b/>
          <w:bCs/>
          <w:sz w:val="19"/>
          <w:szCs w:val="19"/>
        </w:rPr>
        <w:t>obou případech se nám však zdá, že něk</w:t>
      </w:r>
      <w:r>
        <w:rPr>
          <w:b/>
          <w:bCs/>
          <w:sz w:val="19"/>
          <w:szCs w:val="19"/>
        </w:rPr>
        <w:t>dy silná sku</w:t>
      </w:r>
      <w:r>
        <w:rPr>
          <w:b/>
          <w:bCs/>
          <w:sz w:val="19"/>
          <w:szCs w:val="19"/>
        </w:rPr>
        <w:softHyphen/>
        <w:t>pina užila dnešní situace k tomu, aby zdolala slabší sku</w:t>
      </w:r>
      <w:r>
        <w:rPr>
          <w:b/>
          <w:bCs/>
          <w:sz w:val="19"/>
          <w:szCs w:val="19"/>
        </w:rPr>
        <w:softHyphen/>
        <w:t>pinu. Nikoliv slabší početně, naopak často hospodářsky i co do počtu členů skupinu lépe organisovanou a zdravěji fun</w:t>
      </w:r>
      <w:r>
        <w:rPr>
          <w:b/>
          <w:bCs/>
          <w:sz w:val="19"/>
          <w:szCs w:val="19"/>
        </w:rPr>
        <w:softHyphen/>
        <w:t>dovanou, ale při tom slabší politicky nebo lépe řečeno, psychologicky</w:t>
      </w:r>
      <w:r>
        <w:rPr>
          <w:b/>
          <w:bCs/>
          <w:sz w:val="19"/>
          <w:szCs w:val="19"/>
        </w:rPr>
        <w:t>. Využívá se tu totiž náhodného proudění po</w:t>
      </w:r>
      <w:r>
        <w:rPr>
          <w:b/>
          <w:bCs/>
          <w:sz w:val="19"/>
          <w:szCs w:val="19"/>
        </w:rPr>
        <w:softHyphen/>
        <w:t>litických sil. Děje-li se to, nevznikne podle našeho soudu takovým amalgamovátsím nic zvláště zdravého, ani trva</w:t>
      </w:r>
      <w:r>
        <w:rPr>
          <w:b/>
          <w:bCs/>
          <w:sz w:val="19"/>
          <w:szCs w:val="19"/>
        </w:rPr>
        <w:softHyphen/>
        <w:t>lého. Staré pravidlo učí, že smlouva je trvalá jen tehdy, když obě strany z ní mají trvalý pro</w:t>
      </w:r>
      <w:r>
        <w:rPr>
          <w:b/>
          <w:bCs/>
          <w:sz w:val="19"/>
          <w:szCs w:val="19"/>
        </w:rPr>
        <w:softHyphen/>
        <w:t>spěc</w:t>
      </w:r>
      <w:r>
        <w:rPr>
          <w:b/>
          <w:bCs/>
          <w:sz w:val="19"/>
          <w:szCs w:val="19"/>
        </w:rPr>
        <w:t>h a máji na jejím udržení trvalý zájem.</w:t>
      </w:r>
    </w:p>
    <w:p w:rsidR="00500724" w:rsidRDefault="00F30FB8">
      <w:pPr>
        <w:pStyle w:val="Zkladntext100"/>
        <w:shd w:val="clear" w:color="auto" w:fill="auto"/>
        <w:tabs>
          <w:tab w:val="left" w:pos="4714"/>
        </w:tabs>
        <w:spacing w:after="220" w:line="233" w:lineRule="auto"/>
        <w:ind w:firstLine="320"/>
        <w:rPr>
          <w:sz w:val="20"/>
          <w:szCs w:val="20"/>
        </w:rPr>
      </w:pPr>
      <w:r>
        <w:rPr>
          <w:b/>
          <w:bCs/>
          <w:sz w:val="19"/>
          <w:szCs w:val="19"/>
        </w:rPr>
        <w:t>Jsou dražší věci na světě, než je náhodný a dočasný hmotný zisk. A mezi ně na prvním místě počítáme zásadu bratrství a spra</w:t>
      </w:r>
      <w:r>
        <w:rPr>
          <w:b/>
          <w:bCs/>
          <w:sz w:val="19"/>
          <w:szCs w:val="19"/>
        </w:rPr>
        <w:softHyphen/>
        <w:t>vedlnosti mezi členy národa, postaveného v tak těžké situaci, jako je národ náš. A to má pln</w:t>
      </w:r>
      <w:r>
        <w:rPr>
          <w:b/>
          <w:bCs/>
          <w:sz w:val="19"/>
          <w:szCs w:val="19"/>
        </w:rPr>
        <w:t>ě platiti i v družstevnictví, ba tam více než kde jinde, protože družstevnictví bylo zaleženo na myšlenee sociální spravedlnosti.</w:t>
      </w:r>
      <w:r>
        <w:rPr>
          <w:b/>
          <w:bCs/>
          <w:sz w:val="19"/>
          <w:szCs w:val="19"/>
        </w:rPr>
        <w:tab/>
      </w:r>
      <w:r>
        <w:rPr>
          <w:b/>
          <w:bCs/>
          <w:i/>
          <w:iCs/>
          <w:sz w:val="20"/>
          <w:szCs w:val="20"/>
        </w:rPr>
        <w:t>Cis</w:t>
      </w:r>
    </w:p>
    <w:p w:rsidR="00500724" w:rsidRDefault="00F30FB8">
      <w:pPr>
        <w:pStyle w:val="Zkladntext30"/>
        <w:shd w:val="clear" w:color="auto" w:fill="auto"/>
        <w:spacing w:line="221" w:lineRule="auto"/>
        <w:ind w:firstLine="0"/>
        <w:jc w:val="center"/>
        <w:rPr>
          <w:sz w:val="20"/>
          <w:szCs w:val="20"/>
        </w:rPr>
      </w:pPr>
      <w:r>
        <w:rPr>
          <w:b/>
          <w:bCs/>
          <w:sz w:val="20"/>
          <w:szCs w:val="20"/>
        </w:rPr>
        <w:t>Slovníček týdne</w:t>
      </w:r>
    </w:p>
    <w:p w:rsidR="00500724" w:rsidRDefault="00F30FB8">
      <w:pPr>
        <w:pStyle w:val="Zkladntext100"/>
        <w:shd w:val="clear" w:color="auto" w:fill="auto"/>
        <w:spacing w:after="40" w:line="221" w:lineRule="auto"/>
        <w:ind w:firstLine="360"/>
        <w:rPr>
          <w:sz w:val="19"/>
          <w:szCs w:val="19"/>
        </w:rPr>
      </w:pPr>
      <w:r>
        <w:rPr>
          <w:b/>
          <w:bCs/>
          <w:sz w:val="19"/>
          <w:szCs w:val="19"/>
        </w:rPr>
        <w:t>Rozhlas bude vysílat každé pondělí, pod názvem »známé i neznámé«, slovníček týdne.</w:t>
      </w:r>
    </w:p>
    <w:p w:rsidR="00500724" w:rsidRDefault="00F30FB8">
      <w:pPr>
        <w:pStyle w:val="Zkladntext100"/>
        <w:shd w:val="clear" w:color="auto" w:fill="auto"/>
        <w:spacing w:after="40" w:line="233" w:lineRule="auto"/>
        <w:ind w:firstLine="360"/>
        <w:rPr>
          <w:sz w:val="19"/>
          <w:szCs w:val="19"/>
        </w:rPr>
      </w:pPr>
      <w:r>
        <w:rPr>
          <w:b/>
          <w:bCs/>
          <w:sz w:val="19"/>
          <w:szCs w:val="19"/>
        </w:rPr>
        <w:t>Nemají dnes na růžích u</w:t>
      </w:r>
      <w:r>
        <w:rPr>
          <w:b/>
          <w:bCs/>
          <w:sz w:val="19"/>
          <w:szCs w:val="19"/>
        </w:rPr>
        <w:t>stláno ti, kteří sestavují a vydá</w:t>
      </w:r>
      <w:r>
        <w:rPr>
          <w:b/>
          <w:bCs/>
          <w:sz w:val="19"/>
          <w:szCs w:val="19"/>
        </w:rPr>
        <w:softHyphen/>
        <w:t>vají naučné slovníky. Vydavatelé slovníků řečí si zase libují. Je stále obtížnější do několika svazků slovníku srovnat vše, co by v něm čtenář chtěl mít. A nejen to: vydáš jeden sva</w:t>
      </w:r>
      <w:r>
        <w:rPr>
          <w:b/>
          <w:bCs/>
          <w:sz w:val="19"/>
          <w:szCs w:val="19"/>
        </w:rPr>
        <w:softHyphen/>
        <w:t>zek slovníku, a za měsíc už jede čára dě</w:t>
      </w:r>
      <w:r>
        <w:rPr>
          <w:b/>
          <w:bCs/>
          <w:sz w:val="19"/>
          <w:szCs w:val="19"/>
        </w:rPr>
        <w:t>jin přes celá dlouhá hesla. A zase: najdeš sotva ve slovníku jména, hesla, která se právě zrodila.</w:t>
      </w:r>
    </w:p>
    <w:p w:rsidR="00500724" w:rsidRDefault="00F30FB8">
      <w:pPr>
        <w:pStyle w:val="Zkladntext100"/>
        <w:shd w:val="clear" w:color="auto" w:fill="auto"/>
        <w:spacing w:after="40" w:line="233" w:lineRule="auto"/>
        <w:ind w:firstLine="360"/>
        <w:rPr>
          <w:sz w:val="19"/>
          <w:szCs w:val="19"/>
        </w:rPr>
      </w:pPr>
      <w:r>
        <w:rPr>
          <w:b/>
          <w:bCs/>
          <w:sz w:val="19"/>
          <w:szCs w:val="19"/>
        </w:rPr>
        <w:t>Ottův slovník naučný je velmi spolehlivý. V mnohém už nám nedovede poradit. Ale co ví, ví najisto. A pro tento slovník nezapomínejme na dřívější Riegrův slov</w:t>
      </w:r>
      <w:r>
        <w:rPr>
          <w:b/>
          <w:bCs/>
          <w:sz w:val="19"/>
          <w:szCs w:val="19"/>
        </w:rPr>
        <w:t>ník. Je to živý pramen srovnávání, jak bylo a jak je. Aíe pochopíme 1 nesnáze pozdějších slovníků. Dějiny jdou příliš rychle, a to zapadá i do stránek slovníků. Prošli jsme dobou, kdy těžko bylo možno se soustředit nad psacím strojem. A když byl článek nap</w:t>
      </w:r>
      <w:r>
        <w:rPr>
          <w:b/>
          <w:bCs/>
          <w:sz w:val="19"/>
          <w:szCs w:val="19"/>
        </w:rPr>
        <w:t xml:space="preserve">sán, byl překonán, neboť události několika hodin spěchaly někam docela jinam. V minulém století měla věda klid k práci. Kolik lidí, kteří v posledních letech chtěli vědecky pracovat, bylo rádo, když našli trochu času, aby splnili svůj slib napsat do revue </w:t>
      </w:r>
      <w:r>
        <w:rPr>
          <w:b/>
          <w:bCs/>
          <w:sz w:val="19"/>
          <w:szCs w:val="19"/>
        </w:rPr>
        <w:t>ten a ten článek, nebo do slovníku to a to heslo?</w:t>
      </w:r>
    </w:p>
    <w:p w:rsidR="00500724" w:rsidRDefault="00F30FB8">
      <w:pPr>
        <w:pStyle w:val="Zkladntext100"/>
        <w:shd w:val="clear" w:color="auto" w:fill="auto"/>
        <w:tabs>
          <w:tab w:val="left" w:pos="4474"/>
        </w:tabs>
        <w:spacing w:after="40" w:line="233" w:lineRule="auto"/>
        <w:ind w:firstLine="360"/>
        <w:rPr>
          <w:sz w:val="20"/>
          <w:szCs w:val="20"/>
        </w:rPr>
      </w:pPr>
      <w:r>
        <w:rPr>
          <w:b/>
          <w:bCs/>
          <w:sz w:val="19"/>
          <w:szCs w:val="19"/>
        </w:rPr>
        <w:t xml:space="preserve">Dnes by se měl slovník vydávat s volnými archy, aby se mohly měnit a doplňovat. Ale síla knihy není jen v tom, jak držet krok s časem. </w:t>
      </w:r>
      <w:r>
        <w:rPr>
          <w:b/>
          <w:bCs/>
          <w:sz w:val="19"/>
          <w:szCs w:val="19"/>
          <w:lang w:val="en-US" w:eastAsia="en-US" w:bidi="en-US"/>
        </w:rPr>
        <w:t xml:space="preserve">I </w:t>
      </w:r>
      <w:r>
        <w:rPr>
          <w:b/>
          <w:bCs/>
          <w:sz w:val="19"/>
          <w:szCs w:val="19"/>
        </w:rPr>
        <w:t>ten starý Riegrův slovník nám dovede mnoho říci. Neporadí nám sice př</w:t>
      </w:r>
      <w:r>
        <w:rPr>
          <w:b/>
          <w:bCs/>
          <w:sz w:val="19"/>
          <w:szCs w:val="19"/>
        </w:rPr>
        <w:t>i práci, ale vane z něj klid lidi, jimž byl cizí spěch naší doby. Rychlost tech</w:t>
      </w:r>
      <w:r>
        <w:rPr>
          <w:b/>
          <w:bCs/>
          <w:sz w:val="19"/>
          <w:szCs w:val="19"/>
        </w:rPr>
        <w:softHyphen/>
        <w:t>niky roste i dějin. Proto se pak těšíme na chvilku, kdy klidně půjdeme českou krajinou, kde ze země silně raší život.</w:t>
      </w:r>
      <w:r>
        <w:rPr>
          <w:b/>
          <w:bCs/>
          <w:sz w:val="19"/>
          <w:szCs w:val="19"/>
        </w:rPr>
        <w:tab/>
        <w:t xml:space="preserve">y. </w:t>
      </w:r>
      <w:r>
        <w:rPr>
          <w:b/>
          <w:bCs/>
          <w:i/>
          <w:iCs/>
          <w:sz w:val="20"/>
          <w:szCs w:val="20"/>
        </w:rPr>
        <w:t>C.</w:t>
      </w:r>
    </w:p>
    <w:p w:rsidR="00500724" w:rsidRDefault="00F30FB8">
      <w:pPr>
        <w:pStyle w:val="Zkladntext30"/>
        <w:shd w:val="clear" w:color="auto" w:fill="auto"/>
        <w:spacing w:after="80" w:line="202" w:lineRule="auto"/>
        <w:rPr>
          <w:sz w:val="20"/>
          <w:szCs w:val="20"/>
        </w:rPr>
      </w:pPr>
      <w:r>
        <w:rPr>
          <w:b/>
          <w:bCs/>
          <w:sz w:val="20"/>
          <w:szCs w:val="20"/>
        </w:rPr>
        <w:t>Cesta Slovenska za hospodářskou samostatností</w:t>
      </w:r>
    </w:p>
    <w:p w:rsidR="00500724" w:rsidRDefault="00F30FB8">
      <w:pPr>
        <w:pStyle w:val="Zkladntext100"/>
        <w:shd w:val="clear" w:color="auto" w:fill="auto"/>
        <w:spacing w:line="211" w:lineRule="auto"/>
        <w:ind w:firstLine="260"/>
        <w:rPr>
          <w:sz w:val="19"/>
          <w:szCs w:val="19"/>
        </w:rPr>
      </w:pPr>
      <w:r>
        <w:rPr>
          <w:b/>
          <w:bCs/>
          <w:sz w:val="19"/>
          <w:szCs w:val="19"/>
        </w:rPr>
        <w:t>Slovensko, zneklidněné převratnými událostmi polovice března, kdy dosáhlo státní samostatnosti, pobouřené vpá</w:t>
      </w:r>
      <w:r>
        <w:rPr>
          <w:b/>
          <w:bCs/>
          <w:sz w:val="19"/>
          <w:szCs w:val="19"/>
        </w:rPr>
        <w:softHyphen/>
        <w:t>dem Maďarů a těžce raněné třetím okleštěním, se úklid- ňuje a snaží se nastoupit cestu hospodářského zajištěni. Není to snadný úkol. Státně politi</w:t>
      </w:r>
      <w:r>
        <w:rPr>
          <w:b/>
          <w:bCs/>
          <w:sz w:val="19"/>
          <w:szCs w:val="19"/>
        </w:rPr>
        <w:t>cká změna uvolnila pou</w:t>
      </w:r>
      <w:r>
        <w:rPr>
          <w:b/>
          <w:bCs/>
          <w:sz w:val="19"/>
          <w:szCs w:val="19"/>
          <w:vertAlign w:val="subscript"/>
        </w:rPr>
        <w:t xml:space="preserve">: </w:t>
      </w:r>
      <w:r>
        <w:rPr>
          <w:b/>
          <w:bCs/>
          <w:sz w:val="19"/>
          <w:szCs w:val="19"/>
        </w:rPr>
        <w:t>ta, kterými hospodářský život této země byl úzce spjat se zeměmi českými. Nejinak tomu je, pokud jde o poměr k ostatním sousedům. Tu je třeba nynější provisorním, zalo</w:t>
      </w:r>
      <w:r>
        <w:rPr>
          <w:b/>
          <w:bCs/>
          <w:sz w:val="19"/>
          <w:szCs w:val="19"/>
        </w:rPr>
        <w:softHyphen/>
        <w:t xml:space="preserve">žené na smlouvách republiky, nahraditi dohodami novými. Jednání </w:t>
      </w:r>
      <w:r>
        <w:rPr>
          <w:b/>
          <w:bCs/>
          <w:sz w:val="19"/>
          <w:szCs w:val="19"/>
        </w:rPr>
        <w:t>jsou v plném proudu a uskutečňováním mezistát</w:t>
      </w:r>
      <w:r>
        <w:rPr>
          <w:b/>
          <w:bCs/>
          <w:sz w:val="19"/>
          <w:szCs w:val="19"/>
        </w:rPr>
        <w:softHyphen/>
        <w:t>ních obchodních smluv vstoupí Slovensko do řady zemí s vlastním státním a hospodářským životem. Do této konso</w:t>
      </w:r>
      <w:r>
        <w:rPr>
          <w:b/>
          <w:bCs/>
          <w:sz w:val="19"/>
          <w:szCs w:val="19"/>
        </w:rPr>
        <w:softHyphen/>
        <w:t>lidační práce jde Slovensko opět chudší, neboť poslední hraniční úprava neznamená pouze úbytek 40.00</w:t>
      </w:r>
      <w:r>
        <w:rPr>
          <w:b/>
          <w:bCs/>
          <w:sz w:val="19"/>
          <w:szCs w:val="19"/>
        </w:rPr>
        <w:t>0 Rusínů, nýbrž i ztrátu části úrodného území. Na Slovensku si ni</w:t>
      </w:r>
      <w:r>
        <w:rPr>
          <w:b/>
          <w:bCs/>
          <w:sz w:val="19"/>
          <w:szCs w:val="19"/>
        </w:rPr>
        <w:softHyphen/>
        <w:t>kdo nenamlouvá, že bude snadným úkolem rozproudit! nový hospodářský život. Němečtí znalci, se kterými sloven</w:t>
      </w:r>
      <w:r>
        <w:rPr>
          <w:b/>
          <w:bCs/>
          <w:sz w:val="19"/>
          <w:szCs w:val="19"/>
        </w:rPr>
        <w:softHyphen/>
        <w:t>ské kruhy spolupracují, vidí základ národního jmění v les</w:t>
      </w:r>
      <w:r>
        <w:rPr>
          <w:b/>
          <w:bCs/>
          <w:sz w:val="19"/>
          <w:szCs w:val="19"/>
        </w:rPr>
        <w:softHyphen/>
        <w:t>ním bohatství země. Tém</w:t>
      </w:r>
      <w:r>
        <w:rPr>
          <w:b/>
          <w:bCs/>
          <w:sz w:val="19"/>
          <w:szCs w:val="19"/>
        </w:rPr>
        <w:t>ěř polovina státu je zalesněna, je tu tedy výnos lesního hospodářství nejdůležitější položkou; to také proto, že podle německých posudků zklamala naděje na veliké bohatství minerálů a uhlí. Zbývá tu ovšem velmi mnoho minerálních pramenů, avšak větší zisk l</w:t>
      </w:r>
      <w:r>
        <w:rPr>
          <w:b/>
          <w:bCs/>
          <w:sz w:val="19"/>
          <w:szCs w:val="19"/>
        </w:rPr>
        <w:t>ze očeká</w:t>
      </w:r>
      <w:r>
        <w:rPr>
          <w:b/>
          <w:bCs/>
          <w:sz w:val="19"/>
          <w:szCs w:val="19"/>
        </w:rPr>
        <w:softHyphen/>
        <w:t>vali teprve po řádném vybudování lázní a zachycení zdra</w:t>
      </w:r>
      <w:r>
        <w:rPr>
          <w:b/>
          <w:bCs/>
          <w:sz w:val="19"/>
          <w:szCs w:val="19"/>
        </w:rPr>
        <w:softHyphen/>
        <w:t>votních vod pro vývoz, který byl dosud zanedbáván. Tu budou nutné značné investice, podobně jako plné využití lesního majetku a to také pro vývoz je závislé na vybudo</w:t>
      </w:r>
      <w:r>
        <w:rPr>
          <w:b/>
          <w:bCs/>
          <w:sz w:val="19"/>
          <w:szCs w:val="19"/>
        </w:rPr>
        <w:softHyphen/>
        <w:t>vání lesních cest, pil a</w:t>
      </w:r>
      <w:r>
        <w:rPr>
          <w:b/>
          <w:bCs/>
          <w:sz w:val="19"/>
          <w:szCs w:val="19"/>
        </w:rPr>
        <w:t xml:space="preserve"> pod.</w:t>
      </w:r>
    </w:p>
    <w:p w:rsidR="00500724" w:rsidRDefault="00F30FB8">
      <w:pPr>
        <w:pStyle w:val="Zkladntext100"/>
        <w:shd w:val="clear" w:color="auto" w:fill="auto"/>
        <w:spacing w:line="204" w:lineRule="auto"/>
        <w:ind w:firstLine="300"/>
        <w:rPr>
          <w:sz w:val="19"/>
          <w:szCs w:val="19"/>
        </w:rPr>
      </w:pPr>
      <w:r>
        <w:rPr>
          <w:b/>
          <w:bCs/>
          <w:sz w:val="19"/>
          <w:szCs w:val="19"/>
        </w:rPr>
        <w:t>Prnim zevním znakem slovenského státního hospodářství bylo odpoutání od bývalé měny českosl. koruny zavedeními slovenské koruny. Sešlo z původního plánu provésti odluku i novým názvem (navrhován byl »orel« nebo »tatra«). Hod</w:t>
      </w:r>
      <w:r>
        <w:rPr>
          <w:b/>
          <w:bCs/>
          <w:sz w:val="19"/>
          <w:szCs w:val="19"/>
        </w:rPr>
        <w:softHyphen/>
        <w:t xml:space="preserve">nota Ks v poměru k české </w:t>
      </w:r>
      <w:r>
        <w:rPr>
          <w:b/>
          <w:bCs/>
          <w:sz w:val="19"/>
          <w:szCs w:val="19"/>
        </w:rPr>
        <w:t>měně stanovena 1:1. Převládl tedy reálnější názor na začátky nových státních financí, nebof původně i rozhlasem oznámený poměr obou měn byl nepříznivý pro českou korunu. Slovenská koruna bude míti hodnotu 31.21 miligramu zlata. Papírové peníze budou ©kolko</w:t>
      </w:r>
      <w:r>
        <w:rPr>
          <w:b/>
          <w:bCs/>
          <w:sz w:val="19"/>
          <w:szCs w:val="19"/>
        </w:rPr>
        <w:t>vány a vyměňovány bez poplatků a srážek za dosa</w:t>
      </w:r>
      <w:r>
        <w:rPr>
          <w:b/>
          <w:bCs/>
          <w:sz w:val="19"/>
          <w:szCs w:val="19"/>
        </w:rPr>
        <w:softHyphen/>
        <w:t xml:space="preserve">vadní platidla. Zůstávají v oběhu všechny drobné mince až na 25haléře. Počítá se přibližně se 300 miliony Ks, které jsou na Slovensku v oběhu; v poměru k počtu obyvatelstva bylo by však možno zvýšitt oběživo </w:t>
      </w:r>
      <w:r>
        <w:rPr>
          <w:b/>
          <w:bCs/>
          <w:sz w:val="19"/>
          <w:szCs w:val="19"/>
        </w:rPr>
        <w:t>až na 340 milionů. Pů likvidaci filiálek československé Národní banky bude zříze</w:t>
      </w:r>
      <w:r>
        <w:rPr>
          <w:b/>
          <w:bCs/>
          <w:sz w:val="19"/>
          <w:szCs w:val="19"/>
        </w:rPr>
        <w:softHyphen/>
        <w:t xml:space="preserve">na Slovenská nároana banka s kapitálem 100 milionů Ks v akciích po 1000 Ks </w:t>
      </w:r>
      <w:r>
        <w:rPr>
          <w:b/>
          <w:bCs/>
          <w:sz w:val="19"/>
          <w:szCs w:val="19"/>
          <w:lang w:val="en-US" w:eastAsia="en-US" w:bidi="en-US"/>
        </w:rPr>
        <w:t xml:space="preserve">nominate. </w:t>
      </w:r>
      <w:r>
        <w:rPr>
          <w:b/>
          <w:bCs/>
          <w:sz w:val="19"/>
          <w:szCs w:val="19"/>
        </w:rPr>
        <w:t>Nejvyšší přípustná dividenda stanovena 6 procent, zbytek čistého zisku připadne státu. Pen</w:t>
      </w:r>
      <w:r>
        <w:rPr>
          <w:b/>
          <w:bCs/>
          <w:sz w:val="19"/>
          <w:szCs w:val="19"/>
        </w:rPr>
        <w:t>íze bankou vydané budou kryty jednak zlatém, jednak devisami. Ze zlatého pokladu česko-slovenského se počítá pro Slovensko s 20 procenty. Stát nebude vydávati státovky, zato Slovenská národna banka bude poskytovat! státu pří</w:t>
      </w:r>
      <w:r>
        <w:rPr>
          <w:b/>
          <w:bCs/>
          <w:sz w:val="19"/>
          <w:szCs w:val="19"/>
        </w:rPr>
        <w:softHyphen/>
        <w:t>mý úvěr, který do 100 milionů j</w:t>
      </w:r>
      <w:r>
        <w:rPr>
          <w:b/>
          <w:bCs/>
          <w:sz w:val="19"/>
          <w:szCs w:val="19"/>
        </w:rPr>
        <w:t>e bezúročný. Národní banka bude prováděti všechny bankovní záležitosti státní správy, úětovati však může jen hotové výlohy.</w:t>
      </w:r>
    </w:p>
    <w:p w:rsidR="00500724" w:rsidRDefault="00F30FB8">
      <w:pPr>
        <w:pStyle w:val="Zkladntext100"/>
        <w:shd w:val="clear" w:color="auto" w:fill="auto"/>
        <w:spacing w:line="214" w:lineRule="auto"/>
        <w:ind w:firstLine="300"/>
        <w:rPr>
          <w:sz w:val="19"/>
          <w:szCs w:val="19"/>
        </w:rPr>
      </w:pPr>
      <w:r>
        <w:rPr>
          <w:b/>
          <w:bCs/>
          <w:sz w:val="19"/>
          <w:szCs w:val="19"/>
        </w:rPr>
        <w:t>Ohlašuje se reforma slovenského peněžnictví tak, že jako první budou likvidovati bratislavské odbočky Hypoteč</w:t>
      </w:r>
      <w:r>
        <w:rPr>
          <w:b/>
          <w:bCs/>
          <w:sz w:val="19"/>
          <w:szCs w:val="19"/>
        </w:rPr>
        <w:softHyphen/>
        <w:t>ní banky české a Zemsk</w:t>
      </w:r>
      <w:r>
        <w:rPr>
          <w:b/>
          <w:bCs/>
          <w:sz w:val="19"/>
          <w:szCs w:val="19"/>
        </w:rPr>
        <w:t>é banky. Tato byla dosud největším věřitelem samosprávných svazků. Bude pak zřízena Sloven</w:t>
      </w:r>
      <w:r>
        <w:rPr>
          <w:b/>
          <w:bCs/>
          <w:sz w:val="19"/>
          <w:szCs w:val="19"/>
        </w:rPr>
        <w:softHyphen/>
        <w:t>ská hypoteční a komunální banka, která převezme úkoly! jmenovaných filiálek. Je také připraven pián na zvýšení příjmů a snížení vydání nového státu, nepomýšlí se vša</w:t>
      </w:r>
      <w:r>
        <w:rPr>
          <w:b/>
          <w:bCs/>
          <w:sz w:val="19"/>
          <w:szCs w:val="19"/>
        </w:rPr>
        <w:t>k na zvyšování daní.</w:t>
      </w:r>
    </w:p>
    <w:p w:rsidR="00500724" w:rsidRDefault="00F30FB8">
      <w:pPr>
        <w:pStyle w:val="Zkladntext100"/>
        <w:shd w:val="clear" w:color="auto" w:fill="auto"/>
        <w:spacing w:line="211" w:lineRule="auto"/>
        <w:ind w:firstLine="300"/>
        <w:rPr>
          <w:sz w:val="20"/>
          <w:szCs w:val="20"/>
        </w:rPr>
      </w:pPr>
      <w:r>
        <w:rPr>
          <w:b/>
          <w:bCs/>
          <w:sz w:val="19"/>
          <w:szCs w:val="19"/>
        </w:rPr>
        <w:t>Pokud jde o další hospodářskou výměnu se zeměmi čes</w:t>
      </w:r>
      <w:r>
        <w:rPr>
          <w:b/>
          <w:bCs/>
          <w:sz w:val="19"/>
          <w:szCs w:val="19"/>
        </w:rPr>
        <w:softHyphen/>
        <w:t>kými, bude Slovensko jistě pracovati pro opětné ustálení tohoto styku. Svazky dvacetiletého styku jsou příliš pevné a byly novému státu jistě prospěšné. To je zřejmé ze vše</w:t>
      </w:r>
      <w:r>
        <w:rPr>
          <w:b/>
          <w:bCs/>
          <w:sz w:val="19"/>
          <w:szCs w:val="19"/>
        </w:rPr>
        <w:softHyphen/>
        <w:t>obecného r</w:t>
      </w:r>
      <w:r>
        <w:rPr>
          <w:b/>
          <w:bCs/>
          <w:sz w:val="19"/>
          <w:szCs w:val="19"/>
        </w:rPr>
        <w:t>ozmachu Slovenska, který zemi změnil k nepoz</w:t>
      </w:r>
      <w:r>
        <w:rPr>
          <w:b/>
          <w:bCs/>
          <w:sz w:val="19"/>
          <w:szCs w:val="19"/>
        </w:rPr>
        <w:softHyphen/>
        <w:t>nání od stavu před váikou. Pak je tu nepopiratelná zvýšená životní úroveň lidu. Naproti tomu nikdo nemůže tvrditi, že dosavadním těsným stykem se Slovenskem byly způsobený škody českému hospodářství, takže další</w:t>
      </w:r>
      <w:r>
        <w:rPr>
          <w:b/>
          <w:bCs/>
          <w:sz w:val="19"/>
          <w:szCs w:val="19"/>
        </w:rPr>
        <w:t xml:space="preserve"> ze vzájemné vý</w:t>
      </w:r>
      <w:r>
        <w:rPr>
          <w:b/>
          <w:bCs/>
          <w:sz w:val="19"/>
          <w:szCs w:val="19"/>
        </w:rPr>
        <w:softHyphen/>
        <w:t>měny plynoucí výhody jsou oboustrannou nevyhnutelnou po</w:t>
      </w:r>
      <w:r>
        <w:rPr>
          <w:b/>
          <w:bCs/>
          <w:sz w:val="19"/>
          <w:szCs w:val="19"/>
        </w:rPr>
        <w:softHyphen/>
        <w:t xml:space="preserve">třebou. Je na hospodářských činitelích obou částí bývalého společného státu tyto výhody zajistiti i pro budoucnost, </w:t>
      </w:r>
      <w:r>
        <w:rPr>
          <w:b/>
          <w:bCs/>
          <w:i/>
          <w:iCs/>
          <w:sz w:val="20"/>
          <w:szCs w:val="20"/>
        </w:rPr>
        <w:t>bl</w:t>
      </w:r>
    </w:p>
    <w:p w:rsidR="00500724" w:rsidRDefault="00F30FB8">
      <w:pPr>
        <w:pStyle w:val="Zkladntext30"/>
        <w:shd w:val="clear" w:color="auto" w:fill="auto"/>
        <w:spacing w:line="199" w:lineRule="auto"/>
        <w:ind w:firstLine="0"/>
        <w:jc w:val="center"/>
        <w:rPr>
          <w:sz w:val="20"/>
          <w:szCs w:val="20"/>
        </w:rPr>
      </w:pPr>
      <w:r>
        <w:rPr>
          <w:b/>
          <w:bCs/>
          <w:sz w:val="20"/>
          <w:szCs w:val="20"/>
        </w:rPr>
        <w:t>Budeme mít nová čísla</w:t>
      </w:r>
    </w:p>
    <w:p w:rsidR="00500724" w:rsidRDefault="00F30FB8">
      <w:pPr>
        <w:pStyle w:val="Zkladntext100"/>
        <w:shd w:val="clear" w:color="auto" w:fill="auto"/>
        <w:spacing w:after="40" w:line="187" w:lineRule="auto"/>
        <w:ind w:firstLine="260"/>
        <w:rPr>
          <w:sz w:val="19"/>
          <w:szCs w:val="19"/>
        </w:rPr>
      </w:pPr>
      <w:r>
        <w:rPr>
          <w:b/>
          <w:bCs/>
          <w:sz w:val="19"/>
          <w:szCs w:val="19"/>
        </w:rPr>
        <w:t>Síatistiky, jak jsme za dvacet let si na ně</w:t>
      </w:r>
      <w:r>
        <w:rPr>
          <w:b/>
          <w:bCs/>
          <w:sz w:val="19"/>
          <w:szCs w:val="19"/>
        </w:rPr>
        <w:t xml:space="preserve"> u nás zvykli, Jak je chováme v paměti a běžně používáme, mění svou tvář. Data rozlohy státu, poětu obyvatel, zaměstnáni a vzá</w:t>
      </w:r>
      <w:r>
        <w:rPr>
          <w:b/>
          <w:bCs/>
          <w:sz w:val="19"/>
          <w:szCs w:val="19"/>
        </w:rPr>
        <w:softHyphen/>
        <w:t>jemných vztahů se radikálně změnila sama o sobě a také se změnilo jejich začlenění, které nyní nejprve bude za</w:t>
      </w:r>
      <w:r>
        <w:rPr>
          <w:b/>
          <w:bCs/>
          <w:sz w:val="19"/>
          <w:szCs w:val="19"/>
        </w:rPr>
        <w:softHyphen/>
        <w:t xml:space="preserve">hrnuto do většího </w:t>
      </w:r>
      <w:r>
        <w:rPr>
          <w:b/>
          <w:bCs/>
          <w:sz w:val="19"/>
          <w:szCs w:val="19"/>
        </w:rPr>
        <w:t>celku říše a teprve pak do celku světo</w:t>
      </w:r>
      <w:r>
        <w:rPr>
          <w:b/>
          <w:bCs/>
          <w:sz w:val="19"/>
          <w:szCs w:val="19"/>
        </w:rPr>
        <w:softHyphen/>
        <w:t>vého, kdežto dříve jsme uváděli naše data rovnou v poměr k datům světovým. Mnoho ěísel, jež jsme si vštípili v par mět o našem exportu, importu, nezaměstnanosti a tak dále, musíme zapomenout anebo je uložit ad acta. B</w:t>
      </w:r>
      <w:r>
        <w:rPr>
          <w:b/>
          <w:bCs/>
          <w:sz w:val="19"/>
          <w:szCs w:val="19"/>
        </w:rPr>
        <w:t>udou data nová. K těm pak bude nutno propočítat pro dnešní rozlohu a rozsah naší činnosti data z let minulých, aby</w:t>
      </w:r>
      <w:r>
        <w:rPr>
          <w:b/>
          <w:bCs/>
          <w:sz w:val="19"/>
          <w:szCs w:val="19"/>
        </w:rPr>
        <w:softHyphen/>
        <w:t>chom mohli vůbec srovnávat. To je velký úkol.</w:t>
      </w:r>
    </w:p>
    <w:p w:rsidR="00500724" w:rsidRDefault="00F30FB8">
      <w:pPr>
        <w:pStyle w:val="Zkladntext100"/>
        <w:shd w:val="clear" w:color="auto" w:fill="auto"/>
        <w:spacing w:line="182" w:lineRule="auto"/>
        <w:ind w:firstLine="260"/>
        <w:rPr>
          <w:sz w:val="19"/>
          <w:szCs w:val="19"/>
        </w:rPr>
      </w:pPr>
      <w:r>
        <w:rPr>
          <w:b/>
          <w:bCs/>
          <w:sz w:val="19"/>
          <w:szCs w:val="19"/>
        </w:rPr>
        <w:t>S potěšením můžeme říci, že Státní úřad statis</w:t>
      </w:r>
      <w:r>
        <w:rPr>
          <w:b/>
          <w:bCs/>
          <w:sz w:val="19"/>
          <w:szCs w:val="19"/>
        </w:rPr>
        <w:softHyphen/>
        <w:t>tický se této činnosti již chopil, a že to, co j</w:t>
      </w:r>
      <w:r>
        <w:rPr>
          <w:b/>
          <w:bCs/>
          <w:sz w:val="19"/>
          <w:szCs w:val="19"/>
        </w:rPr>
        <w:t xml:space="preserve">e z ni vidět, Je velmi uspokojivé. Tato instituce byla vůbec jednou z nejlepších, které byly veřejnosti po převratu dány, a osvědčila se i při svém poměrně skromném vybavení, </w:t>
      </w:r>
      <w:r>
        <w:rPr>
          <w:b/>
          <w:bCs/>
          <w:sz w:val="26"/>
          <w:szCs w:val="26"/>
        </w:rPr>
        <w:t xml:space="preserve">i </w:t>
      </w:r>
      <w:r>
        <w:rPr>
          <w:b/>
          <w:bCs/>
          <w:sz w:val="19"/>
          <w:szCs w:val="19"/>
        </w:rPr>
        <w:t>když nebyla s to pro různé překážky splnit všechny úko</w:t>
      </w:r>
      <w:r>
        <w:rPr>
          <w:b/>
          <w:bCs/>
          <w:sz w:val="19"/>
          <w:szCs w:val="19"/>
        </w:rPr>
        <w:softHyphen/>
        <w:t>ly. jež jí byly někdy kl</w:t>
      </w:r>
      <w:r>
        <w:rPr>
          <w:b/>
          <w:bCs/>
          <w:sz w:val="19"/>
          <w:szCs w:val="19"/>
        </w:rPr>
        <w:t>adeny. Ale měla evropskou úroveň a hlavní věc, byla poctivá, myslíme občansky i vědecky poctivá, A to neni malá chvála v době, kdy všechno je ve hře, také statistická čísla.</w:t>
      </w:r>
    </w:p>
    <w:p w:rsidR="00500724" w:rsidRDefault="00F30FB8">
      <w:pPr>
        <w:pStyle w:val="Zkladntext100"/>
        <w:shd w:val="clear" w:color="auto" w:fill="auto"/>
        <w:tabs>
          <w:tab w:val="left" w:pos="4723"/>
        </w:tabs>
        <w:spacing w:after="200" w:line="187" w:lineRule="auto"/>
        <w:ind w:firstLine="260"/>
        <w:rPr>
          <w:sz w:val="20"/>
          <w:szCs w:val="20"/>
        </w:rPr>
      </w:pPr>
      <w:r>
        <w:rPr>
          <w:b/>
          <w:bCs/>
          <w:sz w:val="19"/>
          <w:szCs w:val="19"/>
        </w:rPr>
        <w:t xml:space="preserve">Bez těchto ěísel by se nedala dělat pořádná veřejná správa a nedala by se provádět většina z toho, čemu říká- </w:t>
      </w:r>
      <w:r>
        <w:rPr>
          <w:b/>
          <w:bCs/>
          <w:sz w:val="19"/>
          <w:szCs w:val="19"/>
          <w:lang w:val="en-US" w:eastAsia="en-US" w:bidi="en-US"/>
        </w:rPr>
        <w:t xml:space="preserve">me </w:t>
      </w:r>
      <w:r>
        <w:rPr>
          <w:b/>
          <w:bCs/>
          <w:sz w:val="19"/>
          <w:szCs w:val="19"/>
        </w:rPr>
        <w:t>státní a administrativní úkoly. Proto musíme si přáti, aby Státní úřad statistický jak své zpětné poměrné pro</w:t>
      </w:r>
      <w:r>
        <w:rPr>
          <w:b/>
          <w:bCs/>
          <w:sz w:val="19"/>
          <w:szCs w:val="19"/>
        </w:rPr>
        <w:softHyphen/>
        <w:t>počty, tak i příští data zakládal</w:t>
      </w:r>
      <w:r>
        <w:rPr>
          <w:b/>
          <w:bCs/>
          <w:sz w:val="19"/>
          <w:szCs w:val="19"/>
        </w:rPr>
        <w:t xml:space="preserve"> i nadále na těchto dobrých vlastnostech svých úředníků — pohříchu tak nevalně pla</w:t>
      </w:r>
      <w:r>
        <w:rPr>
          <w:b/>
          <w:bCs/>
          <w:sz w:val="19"/>
          <w:szCs w:val="19"/>
        </w:rPr>
        <w:softHyphen/>
        <w:t>cených — a na mravních zásadách vědecké poctivosti, jimiž se až dosud v celku vždy spravoval.</w:t>
      </w:r>
      <w:r>
        <w:rPr>
          <w:b/>
          <w:bCs/>
          <w:sz w:val="19"/>
          <w:szCs w:val="19"/>
        </w:rPr>
        <w:tab/>
      </w:r>
      <w:r>
        <w:rPr>
          <w:b/>
          <w:bCs/>
          <w:i/>
          <w:iCs/>
          <w:sz w:val="20"/>
          <w:szCs w:val="20"/>
        </w:rPr>
        <w:t>Cis</w:t>
      </w:r>
    </w:p>
    <w:p w:rsidR="00500724" w:rsidRDefault="00F30FB8">
      <w:pPr>
        <w:pStyle w:val="Zkladntext30"/>
        <w:shd w:val="clear" w:color="auto" w:fill="auto"/>
        <w:spacing w:line="180" w:lineRule="auto"/>
        <w:ind w:firstLine="0"/>
        <w:jc w:val="center"/>
      </w:pPr>
      <w:r>
        <w:t>Rozvojové možnosti domácké práce</w:t>
      </w:r>
    </w:p>
    <w:p w:rsidR="00500724" w:rsidRDefault="00F30FB8">
      <w:pPr>
        <w:pStyle w:val="Zkladntext100"/>
        <w:shd w:val="clear" w:color="auto" w:fill="auto"/>
        <w:spacing w:line="209" w:lineRule="auto"/>
        <w:ind w:firstLine="300"/>
        <w:rPr>
          <w:sz w:val="19"/>
          <w:szCs w:val="19"/>
        </w:rPr>
      </w:pPr>
      <w:r>
        <w:rPr>
          <w:b/>
          <w:bCs/>
          <w:sz w:val="19"/>
          <w:szCs w:val="19"/>
        </w:rPr>
        <w:t xml:space="preserve">Domácká práce, po stáru někdy zvaná </w:t>
      </w:r>
      <w:r>
        <w:rPr>
          <w:b/>
          <w:bCs/>
          <w:sz w:val="19"/>
          <w:szCs w:val="19"/>
        </w:rPr>
        <w:t>faktorstvi, pozů</w:t>
      </w:r>
      <w:r>
        <w:rPr>
          <w:b/>
          <w:bCs/>
          <w:sz w:val="19"/>
          <w:szCs w:val="19"/>
        </w:rPr>
        <w:softHyphen/>
        <w:t>stává v tom, že podnikatel (faktor), případně majitel to</w:t>
      </w:r>
      <w:r>
        <w:rPr>
          <w:b/>
          <w:bCs/>
          <w:sz w:val="19"/>
          <w:szCs w:val="19"/>
        </w:rPr>
        <w:softHyphen/>
        <w:t>várny dává dělníkům a jejich rodinám zpracovat domů materiál a převezme pak výrobky. Zaplatí tedy jen práci. Je dosti známo, že mzdy v domáckém průmyslu jsou po</w:t>
      </w:r>
      <w:r>
        <w:rPr>
          <w:b/>
          <w:bCs/>
          <w:sz w:val="19"/>
          <w:szCs w:val="19"/>
        </w:rPr>
        <w:softHyphen/>
        <w:t>většině skutečně hane</w:t>
      </w:r>
      <w:r>
        <w:rPr>
          <w:b/>
          <w:bCs/>
          <w:sz w:val="19"/>
          <w:szCs w:val="19"/>
        </w:rPr>
        <w:t>bně nízké. Přes to je však domácká práce významným oborem činnosti v chudých krajích, kde lid nemá žádné jiné možnosti výdělku. Po lepší organisaci domácké práce a po zvýšení její hospodářské a sociální úrovně se u nás volalo často, ale zatím se v tomto sm</w:t>
      </w:r>
      <w:r>
        <w:rPr>
          <w:b/>
          <w:bCs/>
          <w:sz w:val="19"/>
          <w:szCs w:val="19"/>
        </w:rPr>
        <w:t>ěru mnoho neudělalo.</w:t>
      </w:r>
    </w:p>
    <w:p w:rsidR="00500724" w:rsidRDefault="00F30FB8">
      <w:pPr>
        <w:pStyle w:val="Zkladntext100"/>
        <w:shd w:val="clear" w:color="auto" w:fill="auto"/>
        <w:spacing w:after="40" w:line="209" w:lineRule="auto"/>
        <w:ind w:firstLine="300"/>
        <w:rPr>
          <w:sz w:val="19"/>
          <w:szCs w:val="19"/>
        </w:rPr>
      </w:pPr>
      <w:r>
        <w:rPr>
          <w:b/>
          <w:bCs/>
          <w:sz w:val="19"/>
          <w:szCs w:val="19"/>
        </w:rPr>
        <w:t>Nyní se naskýtá příležitost, aby jednak byly zvláštním opatřením stanoveny hlavní zásady a podmínky domácké práce, jednak aby byl celý systém důkladněji vybudován. Po změnách hranic totiž na našem nynějším území zbyla z tohoto podnikán</w:t>
      </w:r>
      <w:r>
        <w:rPr>
          <w:b/>
          <w:bCs/>
          <w:sz w:val="19"/>
          <w:szCs w:val="19"/>
        </w:rPr>
        <w:t>i jen neúměrně menší část, takže při účelné organisaci odbytu by se tento obor práce mohl dočkat lepších výsledků a zaměstnat i při zvýšené životní míře daleko větší počet lidí. Podle právě uveřejněných úředních dat v dubnovém čísle Zpráv Národní banky zby</w:t>
      </w:r>
      <w:r>
        <w:rPr>
          <w:b/>
          <w:bCs/>
          <w:sz w:val="19"/>
          <w:szCs w:val="19"/>
        </w:rPr>
        <w:t>lo v oboru textilním na našem území v Čechách 38.6 proč. a na Moravě 39.3 proč. domácké práce, v konfekci a obuv</w:t>
      </w:r>
      <w:r>
        <w:rPr>
          <w:b/>
          <w:bCs/>
          <w:sz w:val="19"/>
          <w:szCs w:val="19"/>
        </w:rPr>
        <w:softHyphen/>
        <w:t xml:space="preserve">nictví 67 proč. a 91 proč. (tento nepoměr souvisí s velkým rozvojem obuvnictví na Moravě), ve sklářstvi 35 procent a 80 proč., v dřevařství 42 </w:t>
      </w:r>
      <w:r>
        <w:rPr>
          <w:b/>
          <w:bCs/>
          <w:sz w:val="19"/>
          <w:szCs w:val="19"/>
        </w:rPr>
        <w:t>proč. a 91 proč., v kovoprůmyslu 29 proč. a 22 proč., v hudebních nástrojích v Čechách půl procenta (kdežto na Moravě tento druh domácké práce zcela zmizel), v soustružnictvi (kromě dřeva) 58 procent a 94 proč., v papírenství 15 proč. a 50 proč., v kartáěn</w:t>
      </w:r>
      <w:r>
        <w:rPr>
          <w:b/>
          <w:bCs/>
          <w:sz w:val="19"/>
          <w:szCs w:val="19"/>
        </w:rPr>
        <w:t>ictví 15 proč. a necelé 1 proč. a konečně v hračkářství v Čechách 17 proč., kdežto na Moravě plných 100 proč. Celkem je v Čechách zaměstnáno v domáckém průmyslu asi pětadva</w:t>
      </w:r>
      <w:r>
        <w:rPr>
          <w:b/>
          <w:bCs/>
          <w:sz w:val="19"/>
          <w:szCs w:val="19"/>
        </w:rPr>
        <w:softHyphen/>
        <w:t>cet tisíc lidí, na Moravě asi dvacet tisíc lidí.</w:t>
      </w:r>
    </w:p>
    <w:p w:rsidR="00500724" w:rsidRDefault="00F30FB8">
      <w:pPr>
        <w:pStyle w:val="Zkladntext100"/>
        <w:shd w:val="clear" w:color="auto" w:fill="auto"/>
        <w:spacing w:line="209" w:lineRule="auto"/>
        <w:ind w:firstLine="300"/>
        <w:rPr>
          <w:sz w:val="19"/>
          <w:szCs w:val="19"/>
        </w:rPr>
      </w:pPr>
      <w:r>
        <w:rPr>
          <w:b/>
          <w:bCs/>
          <w:sz w:val="19"/>
          <w:szCs w:val="19"/>
        </w:rPr>
        <w:t xml:space="preserve">Některé obory vymizely úplně bud’ </w:t>
      </w:r>
      <w:r>
        <w:rPr>
          <w:b/>
          <w:bCs/>
          <w:sz w:val="19"/>
          <w:szCs w:val="19"/>
        </w:rPr>
        <w:t>v Čechách nebo na Moravě, na příklad tkaní a vyšívání hedvábných látek, vý</w:t>
      </w:r>
      <w:r>
        <w:rPr>
          <w:b/>
          <w:bCs/>
          <w:sz w:val="19"/>
          <w:szCs w:val="19"/>
        </w:rPr>
        <w:softHyphen/>
        <w:t>roba nekožené obuvi, na Moravě umělých květin, broušení a malování skla v obou zemích, v Čechách výroba nábytku z ohýbaného dřeva, které však na Moravě zůstalo 90 proč., Výroba hřeb</w:t>
      </w:r>
      <w:r>
        <w:rPr>
          <w:b/>
          <w:bCs/>
          <w:sz w:val="19"/>
          <w:szCs w:val="19"/>
        </w:rPr>
        <w:t>íků na Moravě, při čemž v Čechách zůstalo z tohoto obora domácké práce plných 100 proč., podobně nožířství, jehož však i v Čechách se zachovalo jen 10 proč., z knihařství a výroby kancelářských a školních pomůcek zbylo v Čechách 5 proč., kdežto na Moravě t</w:t>
      </w:r>
      <w:r>
        <w:rPr>
          <w:b/>
          <w:bCs/>
          <w:sz w:val="19"/>
          <w:szCs w:val="19"/>
        </w:rPr>
        <w:t>ento obor do</w:t>
      </w:r>
      <w:r>
        <w:rPr>
          <w:b/>
          <w:bCs/>
          <w:sz w:val="19"/>
          <w:szCs w:val="19"/>
        </w:rPr>
        <w:softHyphen/>
        <w:t>cela zmizel.</w:t>
      </w:r>
    </w:p>
    <w:p w:rsidR="00500724" w:rsidRDefault="00F30FB8">
      <w:pPr>
        <w:pStyle w:val="Zkladntext100"/>
        <w:shd w:val="clear" w:color="auto" w:fill="auto"/>
        <w:spacing w:line="211" w:lineRule="auto"/>
        <w:ind w:firstLine="300"/>
        <w:rPr>
          <w:sz w:val="19"/>
          <w:szCs w:val="19"/>
        </w:rPr>
      </w:pPr>
      <w:r>
        <w:rPr>
          <w:b/>
          <w:bCs/>
          <w:sz w:val="19"/>
          <w:szCs w:val="19"/>
        </w:rPr>
        <w:t>Nastala tedy značná nerovnoměrnost nejenom mezi jed</w:t>
      </w:r>
      <w:r>
        <w:rPr>
          <w:b/>
          <w:bCs/>
          <w:sz w:val="19"/>
          <w:szCs w:val="19"/>
        </w:rPr>
        <w:softHyphen/>
        <w:t>notlivými obory, zeměmi a počtem zaměstnaných osob, ale také pravděpodobně i v odbytovém systému. Kozumí se, že domácká práce nemůže poskytnout náhradu za průmyslo</w:t>
      </w:r>
      <w:r>
        <w:rPr>
          <w:b/>
          <w:bCs/>
          <w:sz w:val="19"/>
          <w:szCs w:val="19"/>
        </w:rPr>
        <w:softHyphen/>
        <w:t>vou činnost to</w:t>
      </w:r>
      <w:r>
        <w:rPr>
          <w:b/>
          <w:bCs/>
          <w:sz w:val="19"/>
          <w:szCs w:val="19"/>
        </w:rPr>
        <w:t>várnicky provozovanou, ale v některých kra</w:t>
      </w:r>
      <w:r>
        <w:rPr>
          <w:b/>
          <w:bCs/>
          <w:sz w:val="19"/>
          <w:szCs w:val="19"/>
        </w:rPr>
        <w:softHyphen/>
        <w:t>jích je situace taková, že domácká práce má tam mimořád</w:t>
      </w:r>
      <w:r>
        <w:rPr>
          <w:b/>
          <w:bCs/>
          <w:sz w:val="19"/>
          <w:szCs w:val="19"/>
        </w:rPr>
        <w:softHyphen/>
        <w:t>nou důležitost. Ostatně nutno si povšimnout!, jak na to již někteří národohospodářští spisovatelé u nás ukázali (Ma</w:t>
      </w:r>
      <w:r>
        <w:rPr>
          <w:b/>
          <w:bCs/>
          <w:sz w:val="19"/>
          <w:szCs w:val="19"/>
        </w:rPr>
        <w:softHyphen/>
        <w:t xml:space="preserve">cek, Pis </w:t>
      </w:r>
      <w:r>
        <w:rPr>
          <w:b/>
          <w:bCs/>
          <w:sz w:val="19"/>
          <w:szCs w:val="19"/>
          <w:lang w:val="en-US" w:eastAsia="en-US" w:bidi="en-US"/>
        </w:rPr>
        <w:t xml:space="preserve">tori </w:t>
      </w:r>
      <w:r>
        <w:rPr>
          <w:b/>
          <w:bCs/>
          <w:sz w:val="19"/>
          <w:szCs w:val="19"/>
        </w:rPr>
        <w:t xml:space="preserve">tis), že v jiných státech, </w:t>
      </w:r>
      <w:r>
        <w:rPr>
          <w:b/>
          <w:bCs/>
          <w:sz w:val="19"/>
          <w:szCs w:val="19"/>
        </w:rPr>
        <w:t>zejména ve Skandinávii, dovedli promyšlenou a účelnou organisaci domácké práce zaměstnat daleko větší počet lidí, než tomu poměrně je u nás, dovedli těmto dělníkům dáti vyšší životní možnosti, a co hlavního, organisovat jak systém a rozsah práce, tak i odb</w:t>
      </w:r>
      <w:r>
        <w:rPr>
          <w:b/>
          <w:bCs/>
          <w:sz w:val="19"/>
          <w:szCs w:val="19"/>
        </w:rPr>
        <w:t xml:space="preserve">yt výrobků. A to je právě velmi důležité, aby totiž tito lidé věděli, že jejich zaměstnání jim dává stálejší výdělek, se kterým mohou počítat i do budoucna. A to není skutečně možné bez hlubšího studia této otázky a bez organisace odbytu. Není totiž třeba </w:t>
      </w:r>
      <w:r>
        <w:rPr>
          <w:b/>
          <w:bCs/>
          <w:sz w:val="19"/>
          <w:szCs w:val="19"/>
        </w:rPr>
        <w:t>mysliti jen na exportní možnosti, které se naskýtají ovšem hlavně pro některé rázovité do</w:t>
      </w:r>
      <w:r>
        <w:rPr>
          <w:b/>
          <w:bCs/>
          <w:sz w:val="19"/>
          <w:szCs w:val="19"/>
        </w:rPr>
        <w:softHyphen/>
        <w:t>mácké výrobky (přes všechny vývozní potíže) a na prodej tohoto zboží turistům, aě ovšem tyto odbytové složky jsou důležité. K tomu účelu snad by se doporučovalo zřídi</w:t>
      </w:r>
      <w:r>
        <w:rPr>
          <w:b/>
          <w:bCs/>
          <w:sz w:val="19"/>
          <w:szCs w:val="19"/>
        </w:rPr>
        <w:t>t spo</w:t>
      </w:r>
      <w:r>
        <w:rPr>
          <w:b/>
          <w:bCs/>
          <w:sz w:val="19"/>
          <w:szCs w:val="19"/>
        </w:rPr>
        <w:softHyphen/>
        <w:t>lečnost, která by se o odbyt starala pro celé státní území, řídila jej a rozdělovala a současně pomáhala organisovat domáckou práci na širším sociáině-hospodářském základě vůbec.</w:t>
      </w:r>
    </w:p>
    <w:p w:rsidR="00500724" w:rsidRDefault="00F30FB8">
      <w:pPr>
        <w:pStyle w:val="Zkladntext100"/>
        <w:shd w:val="clear" w:color="auto" w:fill="auto"/>
        <w:tabs>
          <w:tab w:val="left" w:pos="4709"/>
        </w:tabs>
        <w:spacing w:after="240" w:line="211" w:lineRule="auto"/>
        <w:ind w:firstLine="300"/>
        <w:rPr>
          <w:sz w:val="20"/>
          <w:szCs w:val="20"/>
        </w:rPr>
      </w:pPr>
      <w:r>
        <w:rPr>
          <w:b/>
          <w:bCs/>
          <w:sz w:val="19"/>
          <w:szCs w:val="19"/>
        </w:rPr>
        <w:t>Kdyby byla řádně organisována domácí spotřeba těchto výrobků, postačilo</w:t>
      </w:r>
      <w:r>
        <w:rPr>
          <w:b/>
          <w:bCs/>
          <w:sz w:val="19"/>
          <w:szCs w:val="19"/>
        </w:rPr>
        <w:t xml:space="preserve"> by to alespoň v prvním stadiu k tomu, aby úroveň domácké práce se dostala do vzestupného po</w:t>
      </w:r>
      <w:r>
        <w:rPr>
          <w:b/>
          <w:bCs/>
          <w:sz w:val="19"/>
          <w:szCs w:val="19"/>
        </w:rPr>
        <w:softHyphen/>
        <w:t>hybu.</w:t>
      </w:r>
      <w:r>
        <w:rPr>
          <w:b/>
          <w:bCs/>
          <w:sz w:val="19"/>
          <w:szCs w:val="19"/>
        </w:rPr>
        <w:tab/>
      </w:r>
      <w:r>
        <w:rPr>
          <w:b/>
          <w:bCs/>
          <w:i/>
          <w:iCs/>
          <w:sz w:val="20"/>
          <w:szCs w:val="20"/>
        </w:rPr>
        <w:t>Cis.</w:t>
      </w:r>
    </w:p>
    <w:p w:rsidR="00500724" w:rsidRDefault="00F30FB8">
      <w:pPr>
        <w:pStyle w:val="Jin0"/>
        <w:pBdr>
          <w:bottom w:val="single" w:sz="4" w:space="0" w:color="auto"/>
        </w:pBdr>
        <w:shd w:val="clear" w:color="auto" w:fill="auto"/>
        <w:spacing w:after="200"/>
        <w:ind w:firstLine="0"/>
        <w:jc w:val="left"/>
        <w:rPr>
          <w:sz w:val="36"/>
          <w:szCs w:val="36"/>
        </w:rPr>
      </w:pPr>
      <w:r>
        <w:rPr>
          <w:sz w:val="36"/>
          <w:szCs w:val="36"/>
        </w:rPr>
        <w:t>politika</w:t>
      </w:r>
    </w:p>
    <w:p w:rsidR="00500724" w:rsidRDefault="00F30FB8">
      <w:pPr>
        <w:pStyle w:val="Zkladntext40"/>
        <w:shd w:val="clear" w:color="auto" w:fill="auto"/>
        <w:spacing w:after="0" w:line="240" w:lineRule="auto"/>
      </w:pPr>
      <w:r>
        <w:rPr>
          <w:b/>
          <w:bCs/>
          <w:i/>
          <w:iCs/>
        </w:rPr>
        <w:t>Z. 8.:</w:t>
      </w:r>
    </w:p>
    <w:p w:rsidR="00500724" w:rsidRDefault="00F30FB8">
      <w:pPr>
        <w:pStyle w:val="Nadpis100"/>
        <w:shd w:val="clear" w:color="auto" w:fill="auto"/>
        <w:spacing w:after="0" w:line="218" w:lineRule="auto"/>
      </w:pPr>
      <w:bookmarkStart w:id="413" w:name="bookmark412"/>
      <w:r>
        <w:rPr>
          <w:i/>
          <w:iCs/>
        </w:rPr>
        <w:t>O</w:t>
      </w:r>
      <w:r>
        <w:t xml:space="preserve"> nepolitické politice -</w:t>
      </w:r>
      <w:r>
        <w:br/>
        <w:t>tentokrát z Havlíčka</w:t>
      </w:r>
      <w:bookmarkEnd w:id="413"/>
    </w:p>
    <w:p w:rsidR="00500724" w:rsidRDefault="00F30FB8">
      <w:pPr>
        <w:pStyle w:val="Zkladntext30"/>
        <w:shd w:val="clear" w:color="auto" w:fill="auto"/>
        <w:spacing w:after="0" w:line="204" w:lineRule="auto"/>
        <w:ind w:firstLine="300"/>
      </w:pPr>
      <w:r>
        <w:t xml:space="preserve">»Odjakživa jsem byl nepřítelem marného naříkání a kvílení, přesvědčen jsa, že jen pilná </w:t>
      </w:r>
      <w:r>
        <w:t>práce a snažení k předu pomůže. Kdyby jen každý jednotlivý člověk na tom místě, kde stojí, k dobrému se snažil: zajisté by se i celá země šťastného stavu neminula. Pročež také myslím, aby každý raději malé nedůstatky okolo sebe, ku kterých zdvihnutí moc je</w:t>
      </w:r>
      <w:r>
        <w:t>ho stačí, napravo</w:t>
      </w:r>
      <w:r>
        <w:softHyphen/>
        <w:t>val, místo planého stesku na všeobecné veliké nedů</w:t>
      </w:r>
      <w:r>
        <w:softHyphen/>
        <w:t>statky, které jeden napraviti nemůže. Tak bychom se zajisté dříve velikého rozkvětu své vlasti dočkali. Předkové naši vymyslili překrásné přísloví: Poruč a udělej sám; a dobře by bylo, kd</w:t>
      </w:r>
      <w:r>
        <w:t>ybychom se všichni dle něho vždy a ouplně řídili.«</w:t>
      </w:r>
    </w:p>
    <w:p w:rsidR="00500724" w:rsidRDefault="00F30FB8">
      <w:pPr>
        <w:pStyle w:val="Nadpis100"/>
        <w:shd w:val="clear" w:color="auto" w:fill="auto"/>
        <w:spacing w:after="0" w:line="180" w:lineRule="auto"/>
      </w:pPr>
      <w:bookmarkStart w:id="414" w:name="bookmark413"/>
      <w:r>
        <w:t>©</w:t>
      </w:r>
      <w:bookmarkEnd w:id="414"/>
    </w:p>
    <w:p w:rsidR="00500724" w:rsidRDefault="00F30FB8">
      <w:pPr>
        <w:pStyle w:val="Zkladntext30"/>
        <w:shd w:val="clear" w:color="auto" w:fill="auto"/>
        <w:spacing w:after="0" w:line="216" w:lineRule="auto"/>
        <w:ind w:firstLine="300"/>
        <w:rPr>
          <w:sz w:val="26"/>
          <w:szCs w:val="26"/>
        </w:rPr>
        <w:sectPr w:rsidR="00500724">
          <w:footnotePr>
            <w:numFmt w:val="chicago"/>
            <w:numRestart w:val="eachPage"/>
          </w:footnotePr>
          <w:type w:val="continuous"/>
          <w:pgSz w:w="11909" w:h="16834"/>
          <w:pgMar w:top="1075" w:right="776" w:bottom="736" w:left="731" w:header="0" w:footer="3" w:gutter="0"/>
          <w:cols w:num="2" w:space="100"/>
          <w:noEndnote/>
          <w:docGrid w:linePitch="360"/>
        </w:sectPr>
      </w:pPr>
      <w:r>
        <w:t>»Jest svátá povinnost každé obce, státi vždy na vrcholu vzdělání svého času, žádný pokrok v jakém</w:t>
      </w:r>
      <w:r>
        <w:softHyphen/>
        <w:t xml:space="preserve">koli odvětví lidských vědomostí a kdekoli učiněný nemá jí tajný býti, </w:t>
      </w:r>
      <w:r>
        <w:t>starati se má, aby co možná nej</w:t>
      </w:r>
      <w:r>
        <w:softHyphen/>
        <w:t>dříve každé zlepšení jinde uvedené i doma opakovala. A také opravdu dobré, o blaho občanů svých dbající obce samy vysílají zkušené občany do cizích zemí, aby ústavy tamějši ohlédli, a pak, pokud by prospěšno bylo, i doma uvá</w:t>
      </w:r>
      <w:r>
        <w:t>děli, neobmezujíce stýkání občanů svých s cizozemskem, dopouští všelikou zahraniční zku</w:t>
      </w:r>
      <w:r>
        <w:softHyphen/>
        <w:t xml:space="preserve">šenost do krajů svých; a čím větší a rozmanitější skok všelikých náhledů a zkušeností, tím snadnější, jistější a lepší pokrok. Vždyť se dobrá obec nemusí báti zhoubné- </w:t>
      </w:r>
      <w:r>
        <w:rPr>
          <w:rFonts w:ascii="Arial" w:eastAsia="Arial" w:hAnsi="Arial" w:cs="Arial"/>
          <w:b/>
          <w:bCs/>
          <w:i/>
          <w:iCs/>
          <w:sz w:val="26"/>
          <w:szCs w:val="26"/>
        </w:rPr>
        <w:t>253</w:t>
      </w:r>
    </w:p>
    <w:p w:rsidR="00500724" w:rsidRDefault="00F30FB8">
      <w:pPr>
        <w:pStyle w:val="Nadpis90"/>
        <w:keepNext/>
        <w:keepLines/>
        <w:shd w:val="clear" w:color="auto" w:fill="auto"/>
        <w:spacing w:after="0"/>
        <w:jc w:val="center"/>
      </w:pPr>
      <w:bookmarkStart w:id="415" w:name="bookmark414"/>
      <w:r>
        <w:rPr>
          <w:rFonts w:ascii="Times New Roman" w:eastAsia="Times New Roman" w:hAnsi="Times New Roman" w:cs="Times New Roman"/>
          <w:u w:val="single"/>
        </w:rPr>
        <w:t>Přítomnosti</w:t>
      </w:r>
      <w:bookmarkEnd w:id="415"/>
    </w:p>
    <w:p w:rsidR="00500724" w:rsidRDefault="00F30FB8">
      <w:pPr>
        <w:pStyle w:val="Jin0"/>
        <w:pBdr>
          <w:top w:val="single" w:sz="4" w:space="0" w:color="auto"/>
        </w:pBdr>
        <w:shd w:val="clear" w:color="auto" w:fill="auto"/>
        <w:tabs>
          <w:tab w:val="left" w:leader="dot" w:pos="6905"/>
          <w:tab w:val="left" w:leader="dot" w:pos="6948"/>
          <w:tab w:val="left" w:leader="dot" w:pos="7078"/>
          <w:tab w:val="left" w:leader="dot" w:pos="7151"/>
        </w:tabs>
        <w:ind w:left="4540" w:firstLine="0"/>
        <w:rPr>
          <w:sz w:val="14"/>
          <w:szCs w:val="14"/>
        </w:rPr>
        <w:sectPr w:rsidR="00500724">
          <w:footnotePr>
            <w:numFmt w:val="chicago"/>
            <w:numRestart w:val="eachPage"/>
          </w:footnotePr>
          <w:pgSz w:w="11909" w:h="16834"/>
          <w:pgMar w:top="637" w:right="766" w:bottom="629" w:left="775" w:header="0" w:footer="3" w:gutter="0"/>
          <w:cols w:space="720"/>
          <w:noEndnote/>
          <w:docGrid w:linePitch="360"/>
        </w:sectPr>
      </w:pPr>
      <w:r>
        <w:rPr>
          <w:rFonts w:ascii="Arial" w:eastAsia="Arial" w:hAnsi="Arial" w:cs="Arial"/>
          <w:b/>
          <w:bCs/>
          <w:sz w:val="14"/>
          <w:szCs w:val="14"/>
          <w:vertAlign w:val="superscript"/>
        </w:rPr>
        <w:t>1</w:t>
      </w:r>
      <w:r>
        <w:rPr>
          <w:rFonts w:ascii="Arial" w:eastAsia="Arial" w:hAnsi="Arial" w:cs="Arial"/>
          <w:b/>
          <w:bCs/>
          <w:sz w:val="14"/>
          <w:szCs w:val="14"/>
        </w:rPr>
        <w:tab/>
      </w:r>
      <w:r>
        <w:rPr>
          <w:rFonts w:ascii="Arial" w:eastAsia="Arial" w:hAnsi="Arial" w:cs="Arial"/>
          <w:b/>
          <w:bCs/>
          <w:sz w:val="14"/>
          <w:szCs w:val="14"/>
        </w:rPr>
        <w:tab/>
      </w:r>
      <w:r>
        <w:rPr>
          <w:rFonts w:ascii="Arial" w:eastAsia="Arial" w:hAnsi="Arial" w:cs="Arial"/>
          <w:b/>
          <w:bCs/>
          <w:sz w:val="14"/>
          <w:szCs w:val="14"/>
        </w:rPr>
        <w:tab/>
      </w:r>
      <w:r>
        <w:rPr>
          <w:rFonts w:ascii="Arial" w:eastAsia="Arial" w:hAnsi="Arial" w:cs="Arial"/>
          <w:b/>
          <w:bCs/>
          <w:sz w:val="14"/>
          <w:szCs w:val="14"/>
        </w:rPr>
        <w:tab/>
        <w:t xml:space="preserve"> t</w:t>
      </w:r>
    </w:p>
    <w:p w:rsidR="00500724" w:rsidRDefault="00500724">
      <w:pPr>
        <w:spacing w:line="39" w:lineRule="exact"/>
        <w:rPr>
          <w:sz w:val="3"/>
          <w:szCs w:val="3"/>
        </w:rPr>
      </w:pPr>
    </w:p>
    <w:p w:rsidR="00500724" w:rsidRDefault="00500724">
      <w:pPr>
        <w:spacing w:line="14" w:lineRule="exact"/>
        <w:sectPr w:rsidR="00500724">
          <w:footnotePr>
            <w:numFmt w:val="chicago"/>
            <w:numRestart w:val="eachPage"/>
          </w:footnotePr>
          <w:type w:val="continuous"/>
          <w:pgSz w:w="11909" w:h="16834"/>
          <w:pgMar w:top="776" w:right="0" w:bottom="689" w:left="0" w:header="0" w:footer="3" w:gutter="0"/>
          <w:cols w:space="720"/>
          <w:noEndnote/>
          <w:docGrid w:linePitch="360"/>
        </w:sectPr>
      </w:pPr>
    </w:p>
    <w:p w:rsidR="00500724" w:rsidRDefault="00F30FB8">
      <w:pPr>
        <w:pStyle w:val="Zkladntext30"/>
        <w:shd w:val="clear" w:color="auto" w:fill="auto"/>
        <w:spacing w:line="206" w:lineRule="auto"/>
        <w:ind w:firstLine="0"/>
      </w:pPr>
      <w:r>
        <w:t>ho a škodlivého vplyvu z cizozemska — buďto jsou cizo</w:t>
      </w:r>
      <w:r>
        <w:softHyphen/>
        <w:t xml:space="preserve">zemské ústavy lepší než její, a tu jistě co dobrá obec je i sama brzy uvede; aneb jsou horší, a tu moudří a vzdělaní </w:t>
      </w:r>
      <w:r>
        <w:t>občané její po nich bažiti nebudou.«</w:t>
      </w:r>
    </w:p>
    <w:p w:rsidR="00500724" w:rsidRDefault="00F30FB8">
      <w:pPr>
        <w:pStyle w:val="Zkladntext30"/>
        <w:shd w:val="clear" w:color="auto" w:fill="auto"/>
        <w:spacing w:line="202" w:lineRule="auto"/>
        <w:ind w:firstLine="0"/>
        <w:jc w:val="right"/>
      </w:pPr>
      <w:r>
        <w:t>•</w:t>
      </w:r>
    </w:p>
    <w:p w:rsidR="00500724" w:rsidRDefault="00F30FB8">
      <w:pPr>
        <w:pStyle w:val="Zkladntext30"/>
        <w:shd w:val="clear" w:color="auto" w:fill="auto"/>
        <w:spacing w:line="202" w:lineRule="auto"/>
        <w:ind w:firstLine="280"/>
      </w:pPr>
      <w:r>
        <w:t>»Mnohému snad zdáti se bude podivno, řekneme-li, že vlastně více záleží na dobrém zřízení jednotlivých obcí, na municipálním zřízení, než na zřízení celého státu ve vyšších stupních. Neboť se ústavy vyšší v stá</w:t>
      </w:r>
      <w:r>
        <w:softHyphen/>
        <w:t>tu zří</w:t>
      </w:r>
      <w:r>
        <w:t>dka jen stékají s životem jednotlivých občanů, ovšem ale ústavy municipální. Více zajisté záležeti musí občanu jednotlivému, aby se ku př. v jeho obci (městě nebo vesnici) s jměním obecním moudře hospodařilo, než na tom, jak se ve státu celém hospo</w:t>
      </w:r>
      <w:r>
        <w:softHyphen/>
        <w:t>daří. I</w:t>
      </w:r>
      <w:r>
        <w:t xml:space="preserve"> ta okolnost při tom povážena býti zasluhuje, že jest nesnadno celý stát a jeho ústavy opravovati, což jen obyčejně několika málo vyvolencům osudu zůstaveno jest: každý ale skoro, byť i sebe nepatrný člověk, může vždy šlechtiti a zvelebovati jednotlivé obc</w:t>
      </w:r>
      <w:r>
        <w:t>e, buď příkladem neb poučením svým. I sebe menší opravdivá dobrá činnost jest prospěšnější než všeliké neuskutečněné a nemožné záměry. A jak mnoho se tu naskýtá zvlášť některým stavům dle jejich společen</w:t>
      </w:r>
      <w:r>
        <w:softHyphen/>
        <w:t>ského postavení příležitosti k ušlechťování obcí, ja</w:t>
      </w:r>
      <w:r>
        <w:t>ko ku př. kněžím, učitelům, úředníkům atd., kdyby jenom pustivše sobecké ohledy stavu svého z očí pouze vše</w:t>
      </w:r>
      <w:r>
        <w:softHyphen/>
        <w:t>obecného dobra vyhledávali. Blažená obec, kde jest několik osvícených, moudrých a činných lidí po</w:t>
      </w:r>
      <w:r>
        <w:softHyphen/>
        <w:t>hromadě, a tim blaženější, mají-li tito mužové ješ</w:t>
      </w:r>
      <w:r>
        <w:t>tě dle postavení svého přímý vplyv na záležitosti obecní.*</w:t>
      </w:r>
    </w:p>
    <w:p w:rsidR="00500724" w:rsidRDefault="00F30FB8">
      <w:pPr>
        <w:pStyle w:val="Zkladntext30"/>
        <w:shd w:val="clear" w:color="auto" w:fill="auto"/>
        <w:spacing w:line="202" w:lineRule="auto"/>
        <w:ind w:firstLine="0"/>
        <w:jc w:val="right"/>
      </w:pPr>
      <w:r>
        <w:t>•</w:t>
      </w:r>
    </w:p>
    <w:p w:rsidR="00500724" w:rsidRDefault="00F30FB8">
      <w:pPr>
        <w:pStyle w:val="Zkladntext30"/>
        <w:shd w:val="clear" w:color="auto" w:fill="auto"/>
        <w:spacing w:after="0" w:line="202" w:lineRule="auto"/>
        <w:ind w:firstLine="280"/>
      </w:pPr>
      <w:r>
        <w:t>»Těší mne velice, že zde mohu s chloubou říci, kterak my Čechové, ačkoli dle počtu a mohutnosti proti Rusům, Polákům nepatrný národ, přece u všech rozumných a vzdělaných ve větší vážnosti stojíme</w:t>
      </w:r>
      <w:r>
        <w:t>: jak čestně se všude o našich předcích, o velikých skutcích českého národu mluví, jak pochvalně se naše upřímné a opravdové snažení v nejnovější době ode všech ctihodných lidí uznává. Na nás Čechy jistě se zalíbením, s úctou svět hledí. A máme se snad lek</w:t>
      </w:r>
      <w:r>
        <w:t>ati velikých a mnohých překážek, máme malomyslněti před cestou, kterou kráčeti musíme? Máme se snad dětinsky, nemužsky na jiného spoléhati? Čech se prá</w:t>
      </w:r>
      <w:r>
        <w:softHyphen/>
        <w:t>ce a překážek neleká, Čech nezmalomyslní, Čech se na jiného nespoléhá: Čech se přičiní a přemůže všechno</w:t>
      </w:r>
      <w:r>
        <w:t>.«</w:t>
      </w:r>
    </w:p>
    <w:p w:rsidR="00500724" w:rsidRDefault="00F30FB8">
      <w:pPr>
        <w:pStyle w:val="Zkladntext30"/>
        <w:shd w:val="clear" w:color="auto" w:fill="auto"/>
        <w:spacing w:after="300" w:line="223" w:lineRule="auto"/>
        <w:ind w:firstLine="0"/>
        <w:jc w:val="right"/>
        <w:rPr>
          <w:sz w:val="20"/>
          <w:szCs w:val="20"/>
        </w:rPr>
      </w:pPr>
      <w:r>
        <w:rPr>
          <w:i/>
          <w:iCs/>
          <w:sz w:val="20"/>
          <w:szCs w:val="20"/>
        </w:rPr>
        <w:t>(Pražské noviny, 1846).</w:t>
      </w:r>
    </w:p>
    <w:p w:rsidR="00500724" w:rsidRDefault="00F30FB8">
      <w:pPr>
        <w:pStyle w:val="Zkladntext30"/>
        <w:shd w:val="clear" w:color="auto" w:fill="auto"/>
        <w:spacing w:line="202" w:lineRule="auto"/>
        <w:ind w:firstLine="280"/>
      </w:pPr>
      <w:r>
        <w:t>^Počínáme noviny tyto v době předůležité. Státy se boří, národy se sbírají, stejný hledá si k sobě stejného. Nikdo nemůže, leč by vševědoucností nadán byl, udati, jaký bude letos na podzim stav politický zemí evropejských. V době</w:t>
      </w:r>
      <w:r>
        <w:t xml:space="preserve"> takové rozhodně každý národ především dbáti musi sám o sebe, neboť se mu jen takový osud dostane, jakého si sám zasloužil stateč</w:t>
      </w:r>
      <w:r>
        <w:softHyphen/>
        <w:t>ností, vytrvalostí, podnikavostí a především duchem svým. Kdo prospí lenivě dobu, ve které se dary roz</w:t>
      </w:r>
      <w:r>
        <w:softHyphen/>
        <w:t>dělují, tenť bez podílu</w:t>
      </w:r>
      <w:r>
        <w:t xml:space="preserve"> odejde. Kdo sám v sebe doufá, tenť nejlepší podporu naleznul«</w:t>
      </w:r>
    </w:p>
    <w:p w:rsidR="00500724" w:rsidRDefault="00F30FB8">
      <w:pPr>
        <w:pStyle w:val="Zkladntext30"/>
        <w:shd w:val="clear" w:color="auto" w:fill="auto"/>
        <w:spacing w:after="100" w:line="228" w:lineRule="auto"/>
        <w:ind w:left="2480" w:firstLine="0"/>
        <w:rPr>
          <w:sz w:val="17"/>
          <w:szCs w:val="17"/>
        </w:rPr>
      </w:pPr>
      <w:r>
        <w:rPr>
          <w:i/>
          <w:iCs/>
          <w:sz w:val="20"/>
          <w:szCs w:val="20"/>
        </w:rPr>
        <w:t xml:space="preserve">(Národní noviny, 1848). </w:t>
      </w:r>
      <w:r>
        <w:rPr>
          <w:rFonts w:ascii="Arial" w:eastAsia="Arial" w:hAnsi="Arial" w:cs="Arial"/>
          <w:b/>
          <w:bCs/>
          <w:sz w:val="17"/>
          <w:szCs w:val="17"/>
        </w:rPr>
        <w:t>9</w:t>
      </w:r>
    </w:p>
    <w:p w:rsidR="00500724" w:rsidRDefault="00F30FB8">
      <w:pPr>
        <w:pStyle w:val="Zkladntext30"/>
        <w:shd w:val="clear" w:color="auto" w:fill="auto"/>
        <w:spacing w:after="260" w:line="204" w:lineRule="auto"/>
        <w:ind w:firstLine="280"/>
      </w:pPr>
      <w:r>
        <w:t>Kdyby nyní každý občan již tak vzdělán byl, aby rozuměl všemu, čeho jest nám zapotřebí, byla by to jen pravá hračka, uspořádati zemské zřízení, tak jak</w:t>
      </w:r>
    </w:p>
    <w:p w:rsidR="00500724" w:rsidRDefault="00F30FB8">
      <w:pPr>
        <w:pStyle w:val="Zkladntext40"/>
        <w:shd w:val="clear" w:color="auto" w:fill="auto"/>
        <w:spacing w:after="40" w:line="240" w:lineRule="auto"/>
      </w:pPr>
      <w:r>
        <w:rPr>
          <w:b/>
          <w:bCs/>
          <w:i/>
          <w:iCs/>
        </w:rPr>
        <w:t>s,S4</w:t>
      </w:r>
    </w:p>
    <w:p w:rsidR="00500724" w:rsidRDefault="00F30FB8">
      <w:pPr>
        <w:pStyle w:val="Zkladntext30"/>
        <w:shd w:val="clear" w:color="auto" w:fill="auto"/>
        <w:spacing w:after="0" w:line="202" w:lineRule="auto"/>
        <w:ind w:firstLine="0"/>
      </w:pPr>
      <w:r>
        <w:t xml:space="preserve">toho </w:t>
      </w:r>
      <w:r>
        <w:t>národům zapotřebí jest. Musíme tedy tento lid poučovati a tak se vždy přibližovati k žádou</w:t>
      </w:r>
      <w:r>
        <w:softHyphen/>
        <w:t>címu cíli. Třeba to nebylo za rok, za dvě léta, proto ještě nebude rozumný člověk zoufat, aniž hodí prací svou o zem a nechá všeho díla. Podívejme se na jiné národy.</w:t>
      </w:r>
      <w:r>
        <w:t>«</w:t>
      </w:r>
    </w:p>
    <w:p w:rsidR="00500724" w:rsidRDefault="00F30FB8">
      <w:pPr>
        <w:pStyle w:val="Zkladntext30"/>
        <w:shd w:val="clear" w:color="auto" w:fill="auto"/>
        <w:spacing w:after="80" w:line="202" w:lineRule="auto"/>
        <w:ind w:firstLine="0"/>
        <w:jc w:val="center"/>
      </w:pPr>
      <w:r>
        <w:t>•</w:t>
      </w:r>
    </w:p>
    <w:p w:rsidR="00500724" w:rsidRDefault="00F30FB8">
      <w:pPr>
        <w:pStyle w:val="Zkladntext30"/>
        <w:shd w:val="clear" w:color="auto" w:fill="auto"/>
        <w:spacing w:after="0" w:line="202" w:lineRule="auto"/>
      </w:pPr>
      <w:r>
        <w:t>»Stálost, vytrvalost a neohroženost politická jsou vlastnosti, které nevyhnutelně národ míti musí, chce-li upevniti svoje práva. Jak mnohý, jenž v roku 1848 bouřlivým svým radikalismem až všechno děsil, jemužto tenkrát všeho bylo málo, jemuž se celý sv</w:t>
      </w:r>
      <w:r>
        <w:t>ět zdál býti neliberální a reakcionářský, jak mnohý, pravím, ouhlavní radikalista z minulého roku obchází nyní s kloboukem v ruce jako zmoklá slepice v usta</w:t>
      </w:r>
      <w:r>
        <w:softHyphen/>
        <w:t>vičných ouzkostech, aby si někdo nevzpomněl na jeho loňskou zuřivost.</w:t>
      </w:r>
    </w:p>
    <w:p w:rsidR="00500724" w:rsidRDefault="00F30FB8">
      <w:pPr>
        <w:pStyle w:val="Zkladntext30"/>
        <w:shd w:val="clear" w:color="auto" w:fill="auto"/>
        <w:spacing w:after="0" w:line="202" w:lineRule="auto"/>
      </w:pPr>
      <w:r>
        <w:t>Puzeni jsouce jenom okamžitým</w:t>
      </w:r>
      <w:r>
        <w:t xml:space="preserve"> citem a neurčitým nadšením, nedovedli si ještě utvořiti v hlavě pevný systém politických zásad, a proto kolikráte jim v nadšení přeskočí několik koleček a hodiny jejich politického smýšlení hrozně hřmotí, najednou ale zase bez pohnutí státi zůstanou. Práv</w:t>
      </w:r>
      <w:r>
        <w:t>ě proto, že se jejich smýšlení politické nezakládá na dobře promyšlených a ustálených zásadách, lehce se zaleknou a netroufají si to, co skutečně smýšlí, vždycky také činem vyznati, oni mají jen jakousi sváteční politiku mezi přáteli a při sklenici, ale vš</w:t>
      </w:r>
      <w:r>
        <w:t>ude ve skutečném životě jenom všedni.</w:t>
      </w:r>
    </w:p>
    <w:p w:rsidR="00500724" w:rsidRDefault="00F30FB8">
      <w:pPr>
        <w:pStyle w:val="Zkladntext30"/>
        <w:shd w:val="clear" w:color="auto" w:fill="auto"/>
        <w:spacing w:after="0" w:line="202" w:lineRule="auto"/>
      </w:pPr>
      <w:r>
        <w:t>V politice musí každý napřed sám se sebou a se svým svědomím býti urovnán a přesvědčen, že nic nespravedlivého a nic pro vlast škodlivého nežádá, pak ale, když jednou tohoto přesvědčení nabyl, nesmí se také báti a ostý</w:t>
      </w:r>
      <w:r>
        <w:t>chati, toto své přesvědčení jakožto věc dovolenou a poctivou všude a před každým vy- sloviti a zastávati.«</w:t>
      </w:r>
    </w:p>
    <w:p w:rsidR="00500724" w:rsidRDefault="00F30FB8">
      <w:pPr>
        <w:pStyle w:val="Zkladntext30"/>
        <w:shd w:val="clear" w:color="auto" w:fill="auto"/>
        <w:spacing w:after="80" w:line="202" w:lineRule="auto"/>
        <w:ind w:firstLine="0"/>
        <w:jc w:val="center"/>
      </w:pPr>
      <w:r>
        <w:t>•</w:t>
      </w:r>
    </w:p>
    <w:p w:rsidR="00500724" w:rsidRDefault="00F30FB8">
      <w:pPr>
        <w:pStyle w:val="Zkladntext30"/>
        <w:shd w:val="clear" w:color="auto" w:fill="auto"/>
        <w:spacing w:after="0" w:line="202" w:lineRule="auto"/>
      </w:pPr>
      <w:r>
        <w:t xml:space="preserve">»Jaký jest ouředník, to závisí hlavně na občanstvu k jeho správě náležejícímu: občané mohou si ouřed- nictvo takřka sami vychovati. Občanstvo </w:t>
      </w:r>
      <w:r>
        <w:t>starej se především o to, aby mělo u ouředníka vážnost. Váž</w:t>
      </w:r>
      <w:r>
        <w:softHyphen/>
        <w:t>nost tato se však nenabyde nezdvořilostí a hrubým chováním, jak mnozí sprosťáci myslí, nýbrž naopak slušnou zdvořilostí a uctivostí, při tom však nezadá</w:t>
      </w:r>
      <w:r>
        <w:softHyphen/>
        <w:t xml:space="preserve">váním svého práva. Znej každý dle možnosti </w:t>
      </w:r>
      <w:r>
        <w:t>zákony, které se jeho věci týkají, a nedej si pak učiniti od ouředníka bezpráví, zároveň ale varuj se, abys to, co ouředník jakožto vykonavatel zákonů učiniti musil, nepovažoval za jeho vlastní libovolnost v každém pádu, kdyby se ti to znelíbilo. Umějme vž</w:t>
      </w:r>
      <w:r>
        <w:t>dy činiti rozdíl mezi tím, co ouředník, jakožto zákonní předpis konati musí, a mezi tim, co by snad jen z vlastní libovolnosti k naší škodě bez zákonního předpisu neb proti němu činiti chtěl. Takové libovolnosti a proti- zákonnosti netrp nikdo od ouředníků</w:t>
      </w:r>
      <w:r>
        <w:t>, nýbrž odvolej se hned k místům vyšším a nejvyšším.«</w:t>
      </w:r>
    </w:p>
    <w:p w:rsidR="00500724" w:rsidRDefault="00F30FB8">
      <w:pPr>
        <w:pStyle w:val="Zkladntext30"/>
        <w:shd w:val="clear" w:color="auto" w:fill="auto"/>
        <w:spacing w:after="340" w:line="223" w:lineRule="auto"/>
        <w:ind w:firstLine="0"/>
        <w:jc w:val="right"/>
        <w:rPr>
          <w:sz w:val="20"/>
          <w:szCs w:val="20"/>
        </w:rPr>
      </w:pPr>
      <w:r>
        <w:rPr>
          <w:i/>
          <w:iCs/>
          <w:sz w:val="20"/>
          <w:szCs w:val="20"/>
        </w:rPr>
        <w:t>(Národní noviny, 1849).</w:t>
      </w:r>
    </w:p>
    <w:p w:rsidR="00500724" w:rsidRDefault="00F30FB8">
      <w:pPr>
        <w:pStyle w:val="Zkladntext30"/>
        <w:shd w:val="clear" w:color="auto" w:fill="auto"/>
        <w:spacing w:after="0" w:line="206" w:lineRule="auto"/>
      </w:pPr>
      <w:r>
        <w:t>»Jsme rozptýleni a jenom společné a stejné, srdeč</w:t>
      </w:r>
      <w:r>
        <w:softHyphen/>
        <w:t>né tušení váže nás dohromady. Jest nyní naše povin</w:t>
      </w:r>
      <w:r>
        <w:softHyphen/>
        <w:t>nost, aby každý sám ve svém oboru a podle sil svých všemožně působil tak k pr</w:t>
      </w:r>
      <w:r>
        <w:t>ospěchu národa, jak to dle svého svědomí za dobré uznává.«</w:t>
      </w:r>
    </w:p>
    <w:p w:rsidR="00500724" w:rsidRDefault="00F30FB8">
      <w:pPr>
        <w:pStyle w:val="Zkladntext30"/>
        <w:shd w:val="clear" w:color="auto" w:fill="auto"/>
        <w:spacing w:after="60" w:line="206" w:lineRule="auto"/>
        <w:ind w:firstLine="0"/>
        <w:jc w:val="right"/>
      </w:pPr>
      <w:r>
        <w:t>»Nevyhnutelné jest, abychom všemožně hleděli</w:t>
      </w:r>
    </w:p>
    <w:p w:rsidR="00500724" w:rsidRDefault="00F30FB8">
      <w:pPr>
        <w:pStyle w:val="Zkladntext30"/>
        <w:shd w:val="clear" w:color="auto" w:fill="auto"/>
        <w:tabs>
          <w:tab w:val="left" w:pos="3542"/>
        </w:tabs>
        <w:spacing w:after="0" w:line="206" w:lineRule="auto"/>
        <w:ind w:firstLine="0"/>
        <w:rPr>
          <w:sz w:val="19"/>
          <w:szCs w:val="19"/>
        </w:rPr>
      </w:pPr>
      <w:r>
        <w:t xml:space="preserve">rozmnožovat! inteligenci, duševní schopnosti </w:t>
      </w:r>
      <w:r>
        <w:rPr>
          <w:b/>
          <w:bCs/>
        </w:rPr>
        <w:t xml:space="preserve">a </w:t>
      </w:r>
      <w:r>
        <w:t>vědo</w:t>
      </w:r>
      <w:r>
        <w:softHyphen/>
        <w:t>mosti mezi sebou, neboť rozum a převaha duševní musí konečně všude zvítěziti. Dále zapotřebí jest, a</w:t>
      </w:r>
      <w:r>
        <w:t xml:space="preserve">bychom síly své spojili, společně dle jednoho plánu </w:t>
      </w:r>
      <w:r>
        <w:rPr>
          <w:b/>
          <w:bCs/>
        </w:rPr>
        <w:t xml:space="preserve">a </w:t>
      </w:r>
      <w:r>
        <w:t>pořádně působili, neboť činnost jednotlivců roz- kouskovaná a nepořádná nikdy neprovede tolik, co spořádaná.«</w:t>
      </w:r>
      <w:r>
        <w:tab/>
      </w:r>
      <w:r>
        <w:rPr>
          <w:i/>
          <w:iCs/>
          <w:sz w:val="19"/>
          <w:szCs w:val="19"/>
        </w:rPr>
        <w:t>(Slovan, 1850).</w:t>
      </w:r>
    </w:p>
    <w:p w:rsidR="00500724" w:rsidRDefault="00F30FB8">
      <w:pPr>
        <w:pStyle w:val="Zkladntext30"/>
        <w:shd w:val="clear" w:color="auto" w:fill="auto"/>
        <w:spacing w:after="80" w:line="209" w:lineRule="auto"/>
        <w:ind w:firstLine="0"/>
        <w:jc w:val="center"/>
      </w:pPr>
      <w:r>
        <w:t>•</w:t>
      </w:r>
    </w:p>
    <w:p w:rsidR="00500724" w:rsidRDefault="00F30FB8">
      <w:pPr>
        <w:pStyle w:val="Zkladntext30"/>
        <w:shd w:val="clear" w:color="auto" w:fill="auto"/>
        <w:spacing w:after="0" w:line="209" w:lineRule="auto"/>
        <w:ind w:firstLine="300"/>
      </w:pPr>
      <w:r>
        <w:t>»Málo lidí umí vůbec v politických záležitostech stálost a nezvratnost smýšlení spojovati s moudrým použitím okolností. Jest to ovšem velmi nesnadná věc. Tu vidíme chytráka, jenž pouští plášť svůj vždy dle právě vanoucího politického větru a nazývá to moud</w:t>
      </w:r>
      <w:r>
        <w:t xml:space="preserve">rým použitím okolností, opportunitou, což zatím ale u něho není nic jiného než chytrácké opuštění strany slabší a přidržení se vyhrávající. Tu zas vidíme krátkozrakého zuřivce, jenž mluví vždy o své stálosti </w:t>
      </w:r>
      <w:r>
        <w:rPr>
          <w:b/>
          <w:bCs/>
        </w:rPr>
        <w:t xml:space="preserve">a </w:t>
      </w:r>
      <w:r>
        <w:t xml:space="preserve">nezvratnosti smýšlení, zatím ale nerozumností </w:t>
      </w:r>
      <w:r>
        <w:t xml:space="preserve">svou bezohlednou nejen sám sobě škodí, nýbrž i stranu svou </w:t>
      </w:r>
      <w:r>
        <w:rPr>
          <w:b/>
          <w:bCs/>
        </w:rPr>
        <w:t xml:space="preserve">a </w:t>
      </w:r>
      <w:r>
        <w:t>věc svou do nesnází a do nebezpečenství uvádí. Tak jako někteří spekulují v reakci, tak jsou také zrovna zas spekulanti na radikalismus, kterým na ničem jiném nezáleží, než aby oni sami měli pově</w:t>
      </w:r>
      <w:r>
        <w:t>st nejradi</w:t>
      </w:r>
      <w:r>
        <w:softHyphen/>
        <w:t xml:space="preserve">kálnějších lidí, a kteří také raději svůj národ všanc dají než pověst svého radikalismu. Pravý vlastenec </w:t>
      </w:r>
      <w:r>
        <w:rPr>
          <w:b/>
          <w:bCs/>
        </w:rPr>
        <w:t xml:space="preserve">a </w:t>
      </w:r>
      <w:r>
        <w:t>přítel svobody směřuje ovšem vždy k jednomu cíli, stále a nezvratně setrvává při svém národě a při svo-, bodě, ale poněvadž mu skutečně na</w:t>
      </w:r>
      <w:r>
        <w:t xml:space="preserve"> svobodě a na prospěchu všeobecném více záleží než na vlastní jalové slávě, vyhledává také vždy jen prospěch všeobecný bez ohledu na to, jestli jej snad mnohý krátkozraký časem svým potupí. Ovšem že také reakcionáři a všelicí zrádcové svobody a národu o so</w:t>
      </w:r>
      <w:r>
        <w:t>bě sami praví, že jen z mírnosti tak jednají, že oni také vyhledávají skutečný prospěch dobré věci: ale mezi takovými a mezi muži, kteří jenom v jisté době v jistých okolno</w:t>
      </w:r>
      <w:r>
        <w:softHyphen/>
        <w:t>stech si sami ukládají mírnost a z potřebné opatrnosti nevyslovují po každé všechny</w:t>
      </w:r>
      <w:r>
        <w:t xml:space="preserve"> své úmysle — mezi těmi jest veliký rozdíl, který přece na dlouho nemůže zůstati ani krátkozrakým tajný. Mužové skutečně a upřímně svobodomyslní a vlastenečtí mohou časem svým a chladnou myslí snášeti potupu krátkozrakých, odsuzujících je pro nějaký krok n</w:t>
      </w:r>
      <w:r>
        <w:t>e podle okamžité mody učiněný: neboť mohou býti přesvědčeni, že bu</w:t>
      </w:r>
      <w:r>
        <w:softHyphen/>
        <w:t>doucnost ukáže jejich pravý charakter a že budou míti ještě mnohokrát příležitost, osvědčiti skutky svou poctivost a zahanbiti nedočkavé tupiče.</w:t>
      </w:r>
    </w:p>
    <w:p w:rsidR="00500724" w:rsidRDefault="00F30FB8">
      <w:pPr>
        <w:pStyle w:val="Zkladntext30"/>
        <w:shd w:val="clear" w:color="auto" w:fill="auto"/>
        <w:spacing w:after="0" w:line="202" w:lineRule="auto"/>
        <w:ind w:firstLine="300"/>
      </w:pPr>
      <w:r>
        <w:t>Jest tedy naše úplně přesvědčení, že s ohled</w:t>
      </w:r>
      <w:r>
        <w:t>em na všechno právě řečené nikdo moudrý z našinců ne</w:t>
      </w:r>
      <w:r>
        <w:softHyphen/>
        <w:t>bude žádati na našich poslancích prvního zemského sněmu, aby pro nějaké romantické řeči zanedbali pří</w:t>
      </w:r>
      <w:r>
        <w:softHyphen/>
        <w:t>ležitost ke spořádání mnohých sice velmi prosaických, ale nicméně velmi potřebných zemských záležitos</w:t>
      </w:r>
      <w:r>
        <w:t xml:space="preserve">tí; </w:t>
      </w:r>
      <w:r>
        <w:rPr>
          <w:b/>
          <w:bCs/>
        </w:rPr>
        <w:t xml:space="preserve">a </w:t>
      </w:r>
      <w:r>
        <w:t xml:space="preserve">ještě více jsme přesvědčeni, že žádný náš poslanec pro nějaký blesk své osobnosti nebude ubírati času k spořádání věcí ne sice nejdůležitějších, ale přece </w:t>
      </w:r>
      <w:r>
        <w:rPr>
          <w:b/>
          <w:bCs/>
        </w:rPr>
        <w:t xml:space="preserve">v </w:t>
      </w:r>
      <w:r>
        <w:t>nynějších okolnostech jedině možných a jistě také prospěšných.«</w:t>
      </w:r>
    </w:p>
    <w:p w:rsidR="00500724" w:rsidRDefault="00F30FB8">
      <w:pPr>
        <w:pStyle w:val="Zkladntext30"/>
        <w:shd w:val="clear" w:color="auto" w:fill="auto"/>
        <w:spacing w:after="80" w:line="202" w:lineRule="auto"/>
        <w:ind w:firstLine="0"/>
        <w:jc w:val="center"/>
      </w:pPr>
      <w:r>
        <w:t>•</w:t>
      </w:r>
    </w:p>
    <w:p w:rsidR="00500724" w:rsidRDefault="00F30FB8">
      <w:pPr>
        <w:pStyle w:val="Zkladntext30"/>
        <w:shd w:val="clear" w:color="auto" w:fill="auto"/>
        <w:spacing w:after="0" w:line="206" w:lineRule="auto"/>
        <w:ind w:firstLine="300"/>
      </w:pPr>
      <w:r>
        <w:t xml:space="preserve">»Hlavní pravidlo při všech </w:t>
      </w:r>
      <w:r>
        <w:t>činech politických musí býti chladná, vší náruživosti prázdná rozvaha. Roz</w:t>
      </w:r>
      <w:r>
        <w:softHyphen/>
        <w:t xml:space="preserve">čilení jest dobrý pomocník, nástroj k provedení každé důležitější věci, ale vždy skoro jest neštěstí tam, kde říditi chce. Příklady na to máme všude okolo sebe: náruživost, nadšení </w:t>
      </w:r>
      <w:r>
        <w:t>dodává sice síly a vytrvalosti, ale zaslepuje a proto obyčejně přemoženo bývá od chlad</w:t>
      </w:r>
      <w:r>
        <w:softHyphen/>
        <w:t>né mysli, která dobře vidí okolo sebe prostředky a použiti umí každé od náruživosti nepozorované okol</w:t>
      </w:r>
      <w:r>
        <w:softHyphen/>
        <w:t>nosti. S chladnou myslí musíme také považovati i pří</w:t>
      </w:r>
      <w:r>
        <w:softHyphen/>
        <w:t>činy našeho ny</w:t>
      </w:r>
      <w:r>
        <w:t>nějšího stavu a prostředky k lepšímu.«</w:t>
      </w:r>
    </w:p>
    <w:p w:rsidR="00500724" w:rsidRDefault="00F30FB8">
      <w:pPr>
        <w:pStyle w:val="Zkladntext100"/>
        <w:shd w:val="clear" w:color="auto" w:fill="auto"/>
        <w:spacing w:after="240" w:line="240" w:lineRule="auto"/>
        <w:ind w:firstLine="0"/>
        <w:jc w:val="right"/>
        <w:rPr>
          <w:sz w:val="19"/>
          <w:szCs w:val="19"/>
        </w:rPr>
      </w:pPr>
      <w:r>
        <w:rPr>
          <w:i/>
          <w:iCs/>
          <w:sz w:val="19"/>
          <w:szCs w:val="19"/>
        </w:rPr>
        <w:t>(Slovan, 1851).</w:t>
      </w:r>
    </w:p>
    <w:p w:rsidR="00500724" w:rsidRDefault="00F30FB8">
      <w:pPr>
        <w:pStyle w:val="Jin0"/>
        <w:shd w:val="clear" w:color="auto" w:fill="auto"/>
        <w:spacing w:after="180"/>
        <w:ind w:firstLine="0"/>
        <w:jc w:val="left"/>
        <w:rPr>
          <w:sz w:val="46"/>
          <w:szCs w:val="46"/>
        </w:rPr>
      </w:pPr>
      <w:r>
        <w:rPr>
          <w:b/>
          <w:bCs/>
          <w:sz w:val="46"/>
          <w:szCs w:val="46"/>
          <w:u w:val="single"/>
        </w:rPr>
        <w:t>život a Instituce</w:t>
      </w:r>
    </w:p>
    <w:p w:rsidR="00500724" w:rsidRDefault="00F30FB8">
      <w:pPr>
        <w:pStyle w:val="Zkladntext100"/>
        <w:shd w:val="clear" w:color="auto" w:fill="auto"/>
        <w:spacing w:after="60" w:line="240" w:lineRule="auto"/>
        <w:ind w:firstLine="0"/>
        <w:rPr>
          <w:sz w:val="19"/>
          <w:szCs w:val="19"/>
        </w:rPr>
      </w:pPr>
      <w:r>
        <w:rPr>
          <w:i/>
          <w:iCs/>
          <w:sz w:val="19"/>
          <w:szCs w:val="19"/>
        </w:rPr>
        <w:t>Milena Jesenská:'</w:t>
      </w:r>
    </w:p>
    <w:p w:rsidR="00500724" w:rsidRDefault="00F30FB8">
      <w:pPr>
        <w:pStyle w:val="Nadpis100"/>
        <w:shd w:val="clear" w:color="auto" w:fill="auto"/>
        <w:spacing w:after="60" w:line="240" w:lineRule="auto"/>
      </w:pPr>
      <w:bookmarkStart w:id="416" w:name="bookmark415"/>
      <w:r>
        <w:t>Změněné nakupování</w:t>
      </w:r>
      <w:bookmarkEnd w:id="416"/>
    </w:p>
    <w:p w:rsidR="00500724" w:rsidRDefault="00F30FB8">
      <w:pPr>
        <w:pStyle w:val="Zkladntext30"/>
        <w:shd w:val="clear" w:color="auto" w:fill="auto"/>
        <w:spacing w:after="0" w:line="223" w:lineRule="auto"/>
      </w:pPr>
      <w:r>
        <w:t>Nechci mluvit o tom, co všechno podle našich ob</w:t>
      </w:r>
      <w:r>
        <w:softHyphen/>
        <w:t>chodníků nebude. Tenhle strašný shon po věcech a zá</w:t>
      </w:r>
      <w:r>
        <w:softHyphen/>
        <w:t>sobách je jednou z věcí, kterým nerozumím, prá</w:t>
      </w:r>
      <w:r>
        <w:t>vě tak, jako jsem ve dnech všeobecné mobilisace ne</w:t>
      </w:r>
      <w:r>
        <w:softHyphen/>
        <w:t>rozuměla lidem, kteří odjížděli. Je to vždycky takové zachraňování sebe na vlastní pěst a třeba i na úkor jiných. Co s tím dnes?</w:t>
      </w:r>
    </w:p>
    <w:p w:rsidR="00500724" w:rsidRDefault="00F30FB8">
      <w:pPr>
        <w:pStyle w:val="Zkladntext30"/>
        <w:shd w:val="clear" w:color="auto" w:fill="auto"/>
        <w:spacing w:after="0" w:line="223" w:lineRule="auto"/>
      </w:pPr>
      <w:r>
        <w:t>Dejme tomu, že se nedostanou potraviny tak, jak jsme byli zvyklí, dejme tomu</w:t>
      </w:r>
      <w:r>
        <w:t>, že továrnám přechodně dojdou zásoby materiálu a vyskytnou se potíže fi</w:t>
      </w:r>
      <w:r>
        <w:softHyphen/>
        <w:t>nanční a devisové, než se obnoví. Dejme tomu, že opravdu nedostanete už krásnou přízovou punčochu a že bude málo mýdla nebo že bude horší jakosti. To je snad nemilé: ale je nás tady o</w:t>
      </w:r>
      <w:r>
        <w:t>sm milionů. A odpo</w:t>
      </w:r>
      <w:r>
        <w:softHyphen/>
        <w:t>vězte mi upřímně: skutečně si představujete, že budete péci buchty svým dětem a domovníkovy děti budou pít neslazenou žitnou kávu k obědu? S k u t e č- n ě byste vydrželi dívat se na cizí hladovící děti jenom proto, že byste měli sami je</w:t>
      </w:r>
      <w:r>
        <w:t>ště plnovitaminový oběd?</w:t>
      </w:r>
    </w:p>
    <w:p w:rsidR="00500724" w:rsidRDefault="00F30FB8">
      <w:pPr>
        <w:pStyle w:val="Zkladntext30"/>
        <w:shd w:val="clear" w:color="auto" w:fill="auto"/>
        <w:spacing w:after="0" w:line="223" w:lineRule="auto"/>
      </w:pPr>
      <w:r>
        <w:t>Mluví se tolik o jednotě celého národa, a nikdy jí nebylo víc zapotřebí než dnes. Ale nikdy nebudu rozumět jinak jednotě národa, než v pravém slova smyslu: že se všichni postavíme na jedno místo a do jedné řady. A budou-li mezi nám</w:t>
      </w:r>
      <w:r>
        <w:t>i trpící, hladoví a ne</w:t>
      </w:r>
      <w:r>
        <w:softHyphen/>
        <w:t>zaměstnaní, bude se o ně starat celý národ. Jednota národa nemůže být nikdy jenom v jeho řeči a odkazu jeho předků: ale také — a hlavně — ve velikosti jeho srdce, v únosnosti jeho myšlenky, v statečnosti a šle</w:t>
      </w:r>
      <w:r>
        <w:softHyphen/>
        <w:t>chetnosti jeho citového</w:t>
      </w:r>
      <w:r>
        <w:t xml:space="preserve"> a kulturního projevu. Ne</w:t>
      </w:r>
      <w:r>
        <w:softHyphen/>
        <w:t>můžeme ani dnes říkat jedině a výlučně: jsme národ. Musíme k tomu dodávat: jaký jsme národ. Druhé je právě tak důležité, jako prvé.</w:t>
      </w:r>
    </w:p>
    <w:p w:rsidR="00500724" w:rsidRDefault="00F30FB8">
      <w:pPr>
        <w:pStyle w:val="Jin0"/>
        <w:shd w:val="clear" w:color="auto" w:fill="auto"/>
        <w:spacing w:line="180" w:lineRule="auto"/>
        <w:ind w:firstLine="0"/>
        <w:jc w:val="center"/>
        <w:rPr>
          <w:sz w:val="46"/>
          <w:szCs w:val="46"/>
        </w:rPr>
      </w:pPr>
      <w:r>
        <w:rPr>
          <w:b/>
          <w:bCs/>
          <w:sz w:val="46"/>
          <w:szCs w:val="46"/>
        </w:rPr>
        <w:t>9</w:t>
      </w:r>
    </w:p>
    <w:p w:rsidR="00500724" w:rsidRDefault="00F30FB8">
      <w:pPr>
        <w:pStyle w:val="Zkladntext30"/>
        <w:shd w:val="clear" w:color="auto" w:fill="auto"/>
        <w:spacing w:after="0" w:line="223" w:lineRule="auto"/>
      </w:pPr>
      <w:r>
        <w:t xml:space="preserve">Ale budiž zde řeč o změněném nakupování. Člověk nebohatý má rázem po starostech: dějinné </w:t>
      </w:r>
      <w:r>
        <w:t>okamžiky neodehrávají se všechny prvního v měsíci, a to bývá jediný den, kdy mnoho městských lidí má peníze k na</w:t>
      </w:r>
      <w:r>
        <w:softHyphen/>
        <w:t>kupování.</w:t>
      </w:r>
    </w:p>
    <w:p w:rsidR="00500724" w:rsidRDefault="00F30FB8">
      <w:pPr>
        <w:pStyle w:val="Zkladntext30"/>
        <w:shd w:val="clear" w:color="auto" w:fill="auto"/>
        <w:spacing w:line="223" w:lineRule="auto"/>
      </w:pPr>
      <w:r>
        <w:t xml:space="preserve">Tak se také stalo, že jsem se rozhlédla po tom, co se děje v obchodech, teprve tehdy, když začalo svítit jarní slunce a když bylo </w:t>
      </w:r>
      <w:r>
        <w:t>třeba nakoupit několik pun</w:t>
      </w:r>
      <w:r>
        <w:softHyphen/>
        <w:t>čoch a několik maličkostí. Ukázalo se, že dětské pří- zové punčochy nejsou na skladě, a že jsem jakýsi po</w:t>
      </w:r>
      <w:r>
        <w:softHyphen/>
        <w:t>divný tvor, neznalý pražských poměrů, poněvadž jsem jich žádala půl tuctu. Totéž se odehrávalo, když jsem chtěla koupit dce</w:t>
      </w:r>
      <w:r>
        <w:t>rce boty, ponožky, košilku.</w:t>
      </w:r>
    </w:p>
    <w:p w:rsidR="00500724" w:rsidRDefault="00F30FB8">
      <w:pPr>
        <w:pStyle w:val="Zkladntext30"/>
        <w:shd w:val="clear" w:color="auto" w:fill="auto"/>
        <w:spacing w:line="202" w:lineRule="auto"/>
        <w:ind w:firstLine="280"/>
      </w:pPr>
      <w:r>
        <w:t xml:space="preserve">Ale to není zajímavé. Zajímavé je, jak se dnes </w:t>
      </w:r>
      <w:r>
        <w:rPr>
          <w:b/>
          <w:bCs/>
        </w:rPr>
        <w:t xml:space="preserve">v </w:t>
      </w:r>
      <w:r>
        <w:t>krámech prodavači chovají. Jste zvyklí jakémusi důstojnému uvítání, spěchu a chvatu a mimo to jste zvyklí, že vám předloží bez požádání na výběr hned několik různých jakostí. Dnes</w:t>
      </w:r>
      <w:r>
        <w:t xml:space="preserve"> však vejdete do krámu a máte ihned dojem, že jste se někam vetřeli, kde ne</w:t>
      </w:r>
      <w:r>
        <w:softHyphen/>
        <w:t>máte co pohledávat. Prodavač hledí skrz vás tváře se, že vás nevidí, a když se, trochu už plaše, odvážíte přednést svoje přání, odpoví: Nevím, máme-li je ještě na skladě. Podívám s</w:t>
      </w:r>
      <w:r>
        <w:t>e. Načež odejde někam dozadu, kde s někým tajemně šušká, a pak se vrátí s jedním párem punčoch číslo 47 (pro malou holčičku) a krčí rameny: To už je poslední. A aniž by se vámi dále za</w:t>
      </w:r>
      <w:r>
        <w:softHyphen/>
        <w:t>býval, věnuje se skládání hedvábných kravat. Stojíte u pultu jako polit</w:t>
      </w:r>
      <w:r>
        <w:t>ý psík. A vzpomínáte si: Ano, takhle už jsme jednou chodili pro chléb, pro máslo, pro kou</w:t>
      </w:r>
      <w:r>
        <w:softHyphen/>
        <w:t>sek látky, pro boty. Takhle jsme stáli už jednou u pultů v obchodě, takhle jsme už jednou prosili, když jsme chtěli za své vydělané peníze něco nakoupit.</w:t>
      </w:r>
    </w:p>
    <w:p w:rsidR="00500724" w:rsidRDefault="00F30FB8">
      <w:pPr>
        <w:pStyle w:val="Zkladntext30"/>
        <w:shd w:val="clear" w:color="auto" w:fill="auto"/>
        <w:spacing w:after="0" w:line="204" w:lineRule="auto"/>
        <w:ind w:firstLine="280"/>
      </w:pPr>
      <w:r>
        <w:t>Já nevím, ja</w:t>
      </w:r>
      <w:r>
        <w:t>ké máte pocity vy: já bych si přála, aby se v těchto věcech na příklad jevila jednota ná</w:t>
      </w:r>
      <w:r>
        <w:softHyphen/>
        <w:t>roda. Přála bych si, aby se na příklad nenašel nikdo, kdo by dostal chuť na komkoli v těchto dnech vy</w:t>
      </w:r>
      <w:r>
        <w:softHyphen/>
        <w:t>dělávat.</w:t>
      </w:r>
    </w:p>
    <w:p w:rsidR="00500724" w:rsidRDefault="00F30FB8">
      <w:pPr>
        <w:pStyle w:val="Zkladntext30"/>
        <w:shd w:val="clear" w:color="auto" w:fill="auto"/>
        <w:spacing w:line="180" w:lineRule="auto"/>
        <w:ind w:firstLine="0"/>
        <w:jc w:val="center"/>
      </w:pPr>
      <w:r>
        <w:t>•</w:t>
      </w:r>
    </w:p>
    <w:p w:rsidR="00500724" w:rsidRDefault="00F30FB8">
      <w:pPr>
        <w:pStyle w:val="Zkladntext30"/>
        <w:shd w:val="clear" w:color="auto" w:fill="auto"/>
        <w:spacing w:line="202" w:lineRule="auto"/>
        <w:ind w:firstLine="280"/>
      </w:pPr>
      <w:r>
        <w:t>Jsou i opačné zkušenosti. Přišla jsem do obchodu s nit</w:t>
      </w:r>
      <w:r>
        <w:t>ěným zbožím dole na Václavském náměstí, kde kupovala už moje maminka a kde jsem nastavovala zaťatou ruku přes pult, abych vyzkoušela velikost punčoch, když jsem byla přibližně tak veliká, jako je moje dcerka dnes. Bylo tam plno a bylo tam všeho dost. Chova</w:t>
      </w:r>
      <w:r>
        <w:t xml:space="preserve">li se naprosto jako jindy: klidně, zdvořile, úslužně. Ukázali mi plnou krabici zboží. Ale řekli mi: Nemůžeme vám prodat víc, než dva páry punčoch. Nehněvejte se. Víme, že u nás </w:t>
      </w:r>
      <w:r>
        <w:rPr>
          <w:lang w:val="en-US" w:eastAsia="en-US" w:bidi="en-US"/>
        </w:rPr>
        <w:t xml:space="preserve">k’.pujete </w:t>
      </w:r>
      <w:r>
        <w:t>léta. Ale jiní lidé u nás také kupují léta. Musíme mít pro všechny. M</w:t>
      </w:r>
      <w:r>
        <w:t>áme zásob dost, dostaneme zase zboží. Ale ohlédněte se za sebe, kolik zákaznic už čeká na totéž. Nemohu dát jednomu všechno a druhému nic. Nechci dělat zbytečnou paniku a nechci své zboží prodávat. Budu je prodávat tak dlouho, jak je budu mít, a nic nebudu</w:t>
      </w:r>
      <w:r>
        <w:t xml:space="preserve"> nikomu tajit. Ale nemohu a nechci za zvláštní peníze nebo za zvláštní výhody prodat někomu balík a dru</w:t>
      </w:r>
      <w:r>
        <w:softHyphen/>
        <w:t>hému balíček. Vezměte si dvoje punčochy a přijďte za čtrnáct dní znovu.</w:t>
      </w:r>
    </w:p>
    <w:p w:rsidR="00500724" w:rsidRDefault="00F30FB8">
      <w:pPr>
        <w:pStyle w:val="Zkladntext30"/>
        <w:shd w:val="clear" w:color="auto" w:fill="auto"/>
        <w:spacing w:line="202" w:lineRule="auto"/>
        <w:ind w:firstLine="280"/>
      </w:pPr>
      <w:r>
        <w:t>Vidíte, to je správná řeč. Kdyby tak jednal každý obchodník, nebylo by těch zbrk</w:t>
      </w:r>
      <w:r>
        <w:t>lých nákupů a podě</w:t>
      </w:r>
      <w:r>
        <w:softHyphen/>
        <w:t>šených nakupujících a nebylo by také té atmosféry keťaské, která se začíná vznášet nad Prahou.</w:t>
      </w:r>
    </w:p>
    <w:p w:rsidR="00500724" w:rsidRDefault="00F30FB8">
      <w:pPr>
        <w:pStyle w:val="Zkladntext30"/>
        <w:shd w:val="clear" w:color="auto" w:fill="auto"/>
        <w:spacing w:line="202" w:lineRule="auto"/>
        <w:ind w:firstLine="280"/>
      </w:pPr>
      <w:r>
        <w:t>Když si vás vezme váš drogista stranou a pošeptá vám tajemně: schoval jsem pro vás ještě kilo mýdla, vyhubujte mu, jste-li co zač. Řekněte mu:</w:t>
      </w:r>
      <w:r>
        <w:t xml:space="preserve"> máte-li mýdlo na prodej, neschovávejte je. Vyložte je na pult a řekněte docela otevřeně, kolik můžete prodat. Ale prodávejte je každému.</w:t>
      </w:r>
    </w:p>
    <w:p w:rsidR="00500724" w:rsidRDefault="00F30FB8">
      <w:pPr>
        <w:pStyle w:val="Zkladntext30"/>
        <w:shd w:val="clear" w:color="auto" w:fill="auto"/>
        <w:spacing w:line="204" w:lineRule="auto"/>
        <w:ind w:firstLine="0"/>
        <w:jc w:val="right"/>
      </w:pPr>
      <w:r>
        <w:t>Zdá se, že jsou lidé, kteří se tak chovají. Inu, mnoho jich není ani na té ani na oné straně. Nebude-li tohoto chování</w:t>
      </w:r>
      <w:r>
        <w:t>, pak ovšem dojde zase k tomu, co jsme už také zažili: že budou před zavřenými ob</w:t>
      </w:r>
      <w:r>
        <w:softHyphen/>
        <w:t>chody stát roztrpčení lidé, aby si koupili kousek chleba, že budou chodit děti a ženy celé noci stát na</w:t>
      </w:r>
    </w:p>
    <w:p w:rsidR="00500724" w:rsidRDefault="00F30FB8">
      <w:pPr>
        <w:pStyle w:val="Zkladntext30"/>
        <w:shd w:val="clear" w:color="auto" w:fill="auto"/>
        <w:spacing w:line="204" w:lineRule="auto"/>
        <w:ind w:firstLine="0"/>
      </w:pPr>
      <w:r>
        <w:t xml:space="preserve">ulici </w:t>
      </w:r>
      <w:r>
        <w:rPr>
          <w:b/>
          <w:bCs/>
        </w:rPr>
        <w:t xml:space="preserve">a </w:t>
      </w:r>
      <w:r>
        <w:t>že ze zavřeného obchodu budou zadem vy</w:t>
      </w:r>
      <w:r>
        <w:softHyphen/>
        <w:t>cházet ti, kteří si oka</w:t>
      </w:r>
      <w:r>
        <w:t>mžitě odnášejí celé balíky. Pak dojde znovu k tomu nejhanebnějšímu a nejškareděj- šímu zjevu z minulosti: že ve chvílích neštěstí se na</w:t>
      </w:r>
      <w:r>
        <w:softHyphen/>
        <w:t>jdou lidé, kteří se chtějí obohatit a rozlišují mezi bo</w:t>
      </w:r>
      <w:r>
        <w:softHyphen/>
        <w:t>hatým a chudším, mezi potřebným a zhýčkaným.</w:t>
      </w:r>
    </w:p>
    <w:p w:rsidR="00500724" w:rsidRDefault="00F30FB8">
      <w:pPr>
        <w:pStyle w:val="Zkladntext30"/>
        <w:shd w:val="clear" w:color="auto" w:fill="auto"/>
        <w:spacing w:line="202" w:lineRule="auto"/>
      </w:pPr>
      <w:r>
        <w:t>Nenajdou se na venk</w:t>
      </w:r>
      <w:r>
        <w:t>u mezi drobným lidem. A ne</w:t>
      </w:r>
      <w:r>
        <w:softHyphen/>
        <w:t>najdou se na předměstích mezi drobným dělnictvem. Ale najdou se ve středu velkých měst — lidé, kterým pokojná dvacetiletá civilisace vzala páteř.</w:t>
      </w:r>
    </w:p>
    <w:p w:rsidR="00500724" w:rsidRDefault="00F30FB8">
      <w:pPr>
        <w:pStyle w:val="Zkladntext30"/>
        <w:shd w:val="clear" w:color="auto" w:fill="auto"/>
        <w:spacing w:line="202" w:lineRule="auto"/>
        <w:ind w:firstLine="0"/>
        <w:jc w:val="center"/>
      </w:pPr>
      <w:r>
        <w:t>•</w:t>
      </w:r>
    </w:p>
    <w:p w:rsidR="00500724" w:rsidRDefault="00F30FB8">
      <w:pPr>
        <w:pStyle w:val="Zkladntext30"/>
        <w:shd w:val="clear" w:color="auto" w:fill="auto"/>
        <w:spacing w:line="202" w:lineRule="auto"/>
      </w:pPr>
      <w:r>
        <w:t>My kupující nemůžeme dnes mnoho dělat. Jsem přesvědčena, že tento přechodný nedos</w:t>
      </w:r>
      <w:r>
        <w:t>tatek zboží bude nějak upraven. Přes to nás patrně čeká několik týdnů nepořádku a váznutí, které mohou vynést na povrch všechnu tu špínu počínajícího keťasení.</w:t>
      </w:r>
    </w:p>
    <w:p w:rsidR="00500724" w:rsidRDefault="00F30FB8">
      <w:pPr>
        <w:pStyle w:val="Zkladntext30"/>
        <w:shd w:val="clear" w:color="auto" w:fill="auto"/>
        <w:spacing w:line="202" w:lineRule="auto"/>
      </w:pPr>
      <w:r>
        <w:t>Nemůžeme dělat nic, než přijít do obchodu a žádat zboží. Přes to vám radím důtklivě: pamatujte s</w:t>
      </w:r>
      <w:r>
        <w:t>i každý jednotlivý obchod, každého jednotlivého pro</w:t>
      </w:r>
      <w:r>
        <w:softHyphen/>
        <w:t>davače. Nezapomeňte ani jedno křivé slovo, ani jednu' nevrlou odpověď! Zapamatujte si ji dobře: a nikdy už do takového obchodu nevkročte i kdyby prodávali zboží ze zlata a kdyby se vám — v jiných dobách —</w:t>
      </w:r>
      <w:r>
        <w:t xml:space="preserve"> ukláněli k zemi.</w:t>
      </w:r>
    </w:p>
    <w:p w:rsidR="00500724" w:rsidRDefault="00F30FB8">
      <w:pPr>
        <w:pStyle w:val="Zkladntext30"/>
        <w:shd w:val="clear" w:color="auto" w:fill="auto"/>
        <w:spacing w:line="202" w:lineRule="auto"/>
      </w:pPr>
      <w:r>
        <w:t>Je totiž jedno pravidlo na světě: pravidlo jakési rovnováhy. Nebylo by keťasů, kdyby lidé svým chová</w:t>
      </w:r>
      <w:r>
        <w:softHyphen/>
        <w:t>ním nepodporovali a nevychovávali jejich mentalitu. Nebylo by advokátů, vydělávajících na neštěstí dru</w:t>
      </w:r>
      <w:r>
        <w:softHyphen/>
        <w:t>hých, kdyby měli lidé méně strachu</w:t>
      </w:r>
      <w:r>
        <w:t xml:space="preserve"> a více páteře. Ne</w:t>
      </w:r>
      <w:r>
        <w:softHyphen/>
        <w:t>bylo by lichvářů, kdyby nebylo lidí ochotných dát se vyssávat. Při každé ráně, kterou v životě dostanete, se zabývejte především kritikou sebe samého: jak je možné, že se ten člověk směl odvážit udeřit mne? Pak teprve naříkejte na lidsko</w:t>
      </w:r>
      <w:r>
        <w:t>u surovost.</w:t>
      </w:r>
    </w:p>
    <w:p w:rsidR="00500724" w:rsidRDefault="00F30FB8">
      <w:pPr>
        <w:pStyle w:val="Zkladntext30"/>
        <w:shd w:val="clear" w:color="auto" w:fill="auto"/>
        <w:spacing w:after="300" w:line="202" w:lineRule="auto"/>
      </w:pPr>
      <w:r>
        <w:t>Budeme dnes potřebovat lidi, kteří vyvinou pocit sebevědomí, klidu a důstojnosti. A budeme potřebovat naléhavě: v zárodku vymýtit všechny typické znaky nejednoty. A to je třeba dělat, budovat a stavět.</w:t>
      </w:r>
    </w:p>
    <w:p w:rsidR="00500724" w:rsidRDefault="00F30FB8">
      <w:pPr>
        <w:pStyle w:val="Jin0"/>
        <w:shd w:val="clear" w:color="auto" w:fill="auto"/>
        <w:spacing w:after="140"/>
        <w:ind w:firstLine="0"/>
        <w:jc w:val="left"/>
        <w:rPr>
          <w:sz w:val="44"/>
          <w:szCs w:val="44"/>
        </w:rPr>
      </w:pPr>
      <w:r>
        <w:rPr>
          <w:b/>
          <w:bCs/>
          <w:sz w:val="44"/>
          <w:szCs w:val="44"/>
          <w:u w:val="single"/>
        </w:rPr>
        <w:t>literatura a uměni</w:t>
      </w:r>
    </w:p>
    <w:p w:rsidR="00500724" w:rsidRDefault="00F30FB8">
      <w:pPr>
        <w:pStyle w:val="Zkladntext100"/>
        <w:shd w:val="clear" w:color="auto" w:fill="auto"/>
        <w:spacing w:after="40" w:line="240" w:lineRule="auto"/>
        <w:ind w:firstLine="0"/>
        <w:rPr>
          <w:sz w:val="19"/>
          <w:szCs w:val="19"/>
        </w:rPr>
      </w:pPr>
      <w:r>
        <w:rPr>
          <w:i/>
          <w:iCs/>
          <w:sz w:val="19"/>
          <w:szCs w:val="19"/>
        </w:rPr>
        <w:t>Edmond Konrád:</w:t>
      </w:r>
    </w:p>
    <w:p w:rsidR="00500724" w:rsidRDefault="00F30FB8">
      <w:pPr>
        <w:pStyle w:val="Nadpis100"/>
        <w:shd w:val="clear" w:color="auto" w:fill="auto"/>
        <w:spacing w:line="240" w:lineRule="auto"/>
      </w:pPr>
      <w:bookmarkStart w:id="417" w:name="bookmark416"/>
      <w:r>
        <w:t>Sirókaja</w:t>
      </w:r>
      <w:r>
        <w:t xml:space="preserve"> britskaja nátura</w:t>
      </w:r>
      <w:bookmarkEnd w:id="417"/>
    </w:p>
    <w:p w:rsidR="00500724" w:rsidRDefault="00F30FB8">
      <w:pPr>
        <w:pStyle w:val="Zkladntext30"/>
        <w:shd w:val="clear" w:color="auto" w:fill="auto"/>
        <w:spacing w:line="204" w:lineRule="auto"/>
        <w:ind w:firstLine="0"/>
        <w:jc w:val="center"/>
      </w:pPr>
      <w:r>
        <w:t>Zrcadlí písemnictví duši národní?</w:t>
      </w:r>
    </w:p>
    <w:p w:rsidR="00500724" w:rsidRDefault="00F30FB8">
      <w:pPr>
        <w:pStyle w:val="Zkladntext30"/>
        <w:shd w:val="clear" w:color="auto" w:fill="auto"/>
        <w:spacing w:line="204" w:lineRule="auto"/>
      </w:pPr>
      <w:r>
        <w:t xml:space="preserve">V románě »Tlumeně hude poutník« má Knut </w:t>
      </w:r>
      <w:r>
        <w:rPr>
          <w:lang w:val="en-US" w:eastAsia="en-US" w:bidi="en-US"/>
        </w:rPr>
        <w:t xml:space="preserve">Hamsun </w:t>
      </w:r>
      <w:r>
        <w:t>takovouto podrobnost: Kočí rád by mravně napomenul svého pána, který se z nešťastné lásky začíná opíjet. Proto nosí mlčky, ale okázale v knoflí</w:t>
      </w:r>
      <w:r>
        <w:softHyphen/>
        <w:t>kové dírce sv</w:t>
      </w:r>
      <w:r>
        <w:t>ůj členský odznak spolku abstinentů.</w:t>
      </w:r>
    </w:p>
    <w:p w:rsidR="00500724" w:rsidRDefault="00F30FB8">
      <w:pPr>
        <w:pStyle w:val="Zkladntext30"/>
        <w:shd w:val="clear" w:color="auto" w:fill="auto"/>
        <w:spacing w:after="0" w:line="204" w:lineRule="auto"/>
      </w:pPr>
      <w:r>
        <w:t xml:space="preserve">Kdyby takového kočího napsal Olbracht nebo Kopta, sotva by mu ho český čtenář uvěřil. Takový kočí u nás je zcela pravděnepodobný. Stejně by u nás byl pravděnepodobný kníže Myškin, </w:t>
      </w:r>
      <w:r>
        <w:rPr>
          <w:lang w:val="en-US" w:eastAsia="en-US" w:bidi="en-US"/>
        </w:rPr>
        <w:t xml:space="preserve">Oblomov, </w:t>
      </w:r>
      <w:r>
        <w:t>Platon Karatajev. Právě tím, c</w:t>
      </w:r>
      <w:r>
        <w:t>o na ní tak ruského, vzbudila básnivost ruská u nás tolik obliby — a naopak ne- obliby. Byli a jsou čtenáři, od Jaroslava Hilberta po Ferdinanda Peroutku, jimž ruské písemnictví, obraz ruské národní duše, »jde na nervy«.</w:t>
      </w:r>
    </w:p>
    <w:p w:rsidR="00500724" w:rsidRDefault="00F30FB8">
      <w:pPr>
        <w:pStyle w:val="Zkladntext30"/>
        <w:shd w:val="clear" w:color="auto" w:fill="auto"/>
        <w:spacing w:line="204" w:lineRule="auto"/>
      </w:pPr>
      <w:r>
        <w:t>Takoví čtenáři mívají zálibu v píse</w:t>
      </w:r>
      <w:r>
        <w:t>mnictví a ná</w:t>
      </w:r>
      <w:r>
        <w:softHyphen/>
        <w:t xml:space="preserve">rodní duši anglické. V ukázněném, určitém, věcném: západě. </w:t>
      </w:r>
      <w:r>
        <w:rPr>
          <w:b/>
          <w:bCs/>
        </w:rPr>
        <w:t xml:space="preserve">Ve </w:t>
      </w:r>
      <w:r>
        <w:t>světě sportsmenů, gentlemenů, whisky,;</w:t>
      </w:r>
    </w:p>
    <w:p w:rsidR="00500724" w:rsidRDefault="00F30FB8">
      <w:pPr>
        <w:pStyle w:val="Zkladntext30"/>
        <w:shd w:val="clear" w:color="auto" w:fill="auto"/>
        <w:spacing w:after="0" w:line="209" w:lineRule="auto"/>
        <w:ind w:firstLine="0"/>
      </w:pPr>
      <w:r>
        <w:t xml:space="preserve">humoru </w:t>
      </w:r>
      <w:r>
        <w:rPr>
          <w:lang w:val="en-US" w:eastAsia="en-US" w:bidi="en-US"/>
        </w:rPr>
        <w:t xml:space="preserve">Scotland </w:t>
      </w:r>
      <w:r>
        <w:t>Yardu. Je to jaksi heslo »all right« proti heslu »ničevó«.</w:t>
      </w:r>
    </w:p>
    <w:p w:rsidR="00500724" w:rsidRDefault="00F30FB8">
      <w:pPr>
        <w:pStyle w:val="Zkladntext30"/>
        <w:shd w:val="clear" w:color="auto" w:fill="auto"/>
        <w:spacing w:after="0" w:line="204" w:lineRule="auto"/>
      </w:pPr>
      <w:r>
        <w:t>Kdo uvykl číst nejen v knihách, ale skrze ně i v ná</w:t>
      </w:r>
      <w:r>
        <w:softHyphen/>
        <w:t>rodních duších,</w:t>
      </w:r>
      <w:r>
        <w:t xml:space="preserve"> tomu se protiklad těchto dvou hesel časem stane podezřelý. Dá se zkoumat, není-li to do jisté míry pouhý optický klam. V dobách předváleč</w:t>
      </w:r>
      <w:r>
        <w:softHyphen/>
        <w:t>ných všimli si tu a tam lidé na podobizně tehdejšího anglického krále, jak je podoben caru Mikuláši. Nic přirozenější</w:t>
      </w:r>
      <w:r>
        <w:t>ho, byli pokrevní.</w:t>
      </w:r>
    </w:p>
    <w:p w:rsidR="00500724" w:rsidRDefault="00F30FB8">
      <w:pPr>
        <w:pStyle w:val="Zkladntext30"/>
        <w:shd w:val="clear" w:color="auto" w:fill="auto"/>
        <w:spacing w:after="80" w:line="204" w:lineRule="auto"/>
      </w:pPr>
      <w:r>
        <w:t xml:space="preserve">Totéž tvrdit o ruském a o anglickém písemnictví bylo by nepochybně upřílišené. Letmý pohled na svět britský a na svět carsky ruský však objeví některé rysy, jež aspoň laika vědecky nepřetíženého svádějí ne-li k závěrům, tedy při </w:t>
      </w:r>
      <w:r>
        <w:t>nejmenším k dojmům dosti silným.</w:t>
      </w:r>
    </w:p>
    <w:p w:rsidR="00500724" w:rsidRDefault="00F30FB8">
      <w:pPr>
        <w:pStyle w:val="Zkladntext30"/>
        <w:shd w:val="clear" w:color="auto" w:fill="auto"/>
        <w:spacing w:after="80" w:line="202" w:lineRule="auto"/>
        <w:ind w:firstLine="0"/>
        <w:jc w:val="center"/>
      </w:pPr>
      <w:r>
        <w:rPr>
          <w:lang w:val="en-US" w:eastAsia="en-US" w:bidi="en-US"/>
        </w:rPr>
        <w:t>Mr. Pickwick</w:t>
      </w:r>
    </w:p>
    <w:p w:rsidR="00500724" w:rsidRDefault="00F30FB8">
      <w:pPr>
        <w:pStyle w:val="Zkladntext30"/>
        <w:shd w:val="clear" w:color="auto" w:fill="auto"/>
        <w:spacing w:after="0" w:line="204" w:lineRule="auto"/>
      </w:pPr>
      <w:r>
        <w:t>Nad něžným Dickensovým hrdinou sotva koho na</w:t>
      </w:r>
      <w:r>
        <w:softHyphen/>
        <w:t>padlo vzpomínat na Rusko. Ale je to vlastně divné. Patrně slunná jeho lidskost přezařuje svým laskavým úsměvem čpavou mlhu chandry, v jakou čtenář zvykl vídat zahale</w:t>
      </w:r>
      <w:r>
        <w:t>ny hrdiny ruské. Tato mlha, skryta za pověstnou mlhu anglickou, objeví se v zrcadle vlastně až o století později, až poměry uzrají. Neb, dobře rozuměno, zde neběží o písemnictví a jeho krasochut. Ne o umělce jako takového. Ale o zrcadlo, jímž se stává svém</w:t>
      </w:r>
      <w:r>
        <w:t>u lidu a své zemi, o tom co společného oba vnášejí do obrazu, bezděky a jako samozřejmost.</w:t>
      </w:r>
    </w:p>
    <w:p w:rsidR="00500724" w:rsidRDefault="00F30FB8">
      <w:pPr>
        <w:pStyle w:val="Zkladntext30"/>
        <w:shd w:val="clear" w:color="auto" w:fill="auto"/>
        <w:spacing w:after="0" w:line="202" w:lineRule="auto"/>
      </w:pPr>
      <w:r>
        <w:t xml:space="preserve">V letech, kdy žil, </w:t>
      </w:r>
      <w:r>
        <w:rPr>
          <w:lang w:val="en-US" w:eastAsia="en-US" w:bidi="en-US"/>
        </w:rPr>
        <w:t xml:space="preserve">Pickwick </w:t>
      </w:r>
      <w:r>
        <w:t>sotva by byl mohl žít v Čechách jako česká postava nebo český výtvor. Zato výborně mohl být pochopen v Rusku, kde žilo, tenkrát i později</w:t>
      </w:r>
      <w:r>
        <w:t>, na stránkách knih i na statcích přátel, jistě hojně jeho odrůd: lidí hodňoučkých a bezelstných, neobratných před ženami a cudně se rdících, kteří měli vystaráno a svoje pokojná léta trávili tím, že oblé bříško, velmi přístupné požitkům vybrané kuchyně, v</w:t>
      </w:r>
      <w:r>
        <w:t>ozili se statku na statek, od přátel k přátelům. Neškodný mužík, oddaný sebeklamu pa</w:t>
      </w:r>
      <w:r>
        <w:softHyphen/>
        <w:t xml:space="preserve">vědy jako onen příživník generálové Stavroginé, jenž potají čte Paul de Kočka, tento miloučký pan Pick- ,wick, trpný jak </w:t>
      </w:r>
      <w:r>
        <w:rPr>
          <w:lang w:val="en-US" w:eastAsia="en-US" w:bidi="en-US"/>
        </w:rPr>
        <w:t xml:space="preserve">Oblomov, </w:t>
      </w:r>
      <w:r>
        <w:t>nabude, zdá se, jediné ži</w:t>
      </w:r>
      <w:r>
        <w:softHyphen/>
        <w:t>votní zkušenost</w:t>
      </w:r>
      <w:r>
        <w:t>i ve vězení pro dlužníky, kam se do</w:t>
      </w:r>
      <w:r>
        <w:softHyphen/>
        <w:t>stane z naivity čistě ruské, a odkad i po rusku vy</w:t>
      </w:r>
      <w:r>
        <w:softHyphen/>
        <w:t>vázne: podvoliv se. Ale v tom vězení se mu otevrou Oči, pozná lidskou bídu. A jme ho hnuti, jež se klasicky rozrostlo v ruském románě, jež se v dalším století klasicky r</w:t>
      </w:r>
      <w:r>
        <w:t>ozroste v románě anglickém: »Oprostilsja« — vybavit se z pout a obzoru své vrstvy, jít za člově</w:t>
      </w:r>
      <w:r>
        <w:softHyphen/>
        <w:t xml:space="preserve">kem a k lidu. Do britského </w:t>
      </w:r>
      <w:r>
        <w:rPr>
          <w:lang w:val="en-US" w:eastAsia="en-US" w:bidi="en-US"/>
        </w:rPr>
        <w:t xml:space="preserve">Oblomova </w:t>
      </w:r>
      <w:r>
        <w:t>je i sociálně ukápnuto Turgeněva. Vůbec obraz obdoby je zhruba úplný: statkářský život na klíně přírody, dobrým bydlem přimě</w:t>
      </w:r>
      <w:r>
        <w:t>řeně vystlaném pro slohovou a stavu dů</w:t>
      </w:r>
      <w:r>
        <w:softHyphen/>
        <w:t>stojnou nečinnost. Skrytá a holá bída vespod, na dně velkolepé vidiny obrovského a tvrdého hlavního města. Čtenář si ze svého vzdělání správně doplní: dvě stará, konservativní impéria. Impéria hlavami a vzhle</w:t>
      </w:r>
      <w:r>
        <w:softHyphen/>
        <w:t>dem zápa</w:t>
      </w:r>
      <w:r>
        <w:t>dní. Těžištěm zakotvená hluboko, hluboko na východě. Indie je hned vedle Turkestanu, a z Kav</w:t>
      </w:r>
      <w:r>
        <w:softHyphen/>
        <w:t>kazu není tak daleko do Persie, kdež ostatně už v těch letech Pickwickových na všelijaké různosti zájmečků britsko-ruských zákeřně zašel ruský klasik, brejlatý vez</w:t>
      </w:r>
      <w:r>
        <w:t xml:space="preserve">ir Gribojedov. Nepsal věru nadarmo své »Hoře </w:t>
      </w:r>
      <w:r>
        <w:rPr>
          <w:b/>
          <w:bCs/>
          <w:sz w:val="26"/>
          <w:szCs w:val="26"/>
        </w:rPr>
        <w:t xml:space="preserve">z </w:t>
      </w:r>
      <w:r>
        <w:t>rozumu«. Angličtí Gribojedovové budou svá hoře psát o století později.</w:t>
      </w:r>
    </w:p>
    <w:p w:rsidR="00500724" w:rsidRDefault="00F30FB8">
      <w:pPr>
        <w:pStyle w:val="Zkladntext30"/>
        <w:shd w:val="clear" w:color="auto" w:fill="auto"/>
        <w:spacing w:after="0" w:line="202" w:lineRule="auto"/>
      </w:pPr>
      <w:r>
        <w:rPr>
          <w:b/>
          <w:bCs/>
        </w:rPr>
        <w:t>Tedy dvě konservativní impéria. A dvě velmi kon</w:t>
      </w:r>
      <w:r>
        <w:rPr>
          <w:b/>
          <w:bCs/>
        </w:rPr>
        <w:softHyphen/>
      </w:r>
      <w:r>
        <w:t>servativní církve, ovládající život společenský a ro</w:t>
      </w:r>
      <w:r>
        <w:softHyphen/>
        <w:t>dinný. Dvojí mohutná, nesmírně zámožn</w:t>
      </w:r>
      <w:r>
        <w:t xml:space="preserve">á šlechta, bárinové a gentlemeni. Dvojí velmi sytý, pokud ne nenasytný, stav kupecký. Pod nimi sociální žebříček až do bezedná nepopsatelné bídy. Dvojí velmi rozdílný druh útisku, velmi rozdílný druh vzpoury: mezi chartisty a oktabristy sotva lze vytvořit </w:t>
      </w:r>
      <w:r>
        <w:t>společenství. Nicméně petrolejník ruského podzemí mohl by aspoň k Irčanovi představovat jistý protějšek. Zbývá pak připočíst: ruské nevolnictví, zrušené až v letech šede</w:t>
      </w:r>
      <w:r>
        <w:softHyphen/>
        <w:t>sátých, anglickou půdu dodnes nevyváženou, na níž nestojí ještě ani jedna státní nemoc</w:t>
      </w:r>
      <w:r>
        <w:t>nice, ani jedno státní divadlo.</w:t>
      </w:r>
    </w:p>
    <w:p w:rsidR="00500724" w:rsidRDefault="00F30FB8">
      <w:pPr>
        <w:pStyle w:val="Zkladntext30"/>
        <w:shd w:val="clear" w:color="auto" w:fill="auto"/>
        <w:spacing w:after="100" w:line="202" w:lineRule="auto"/>
        <w:ind w:firstLine="240"/>
      </w:pPr>
      <w:r>
        <w:t>Dvě středověká impéria.</w:t>
      </w:r>
    </w:p>
    <w:p w:rsidR="00500724" w:rsidRDefault="00F30FB8">
      <w:pPr>
        <w:pStyle w:val="Zkladntext30"/>
        <w:shd w:val="clear" w:color="auto" w:fill="auto"/>
        <w:spacing w:after="80" w:line="202" w:lineRule="auto"/>
        <w:ind w:firstLine="0"/>
        <w:jc w:val="center"/>
      </w:pPr>
      <w:r>
        <w:t>Příroda</w:t>
      </w:r>
    </w:p>
    <w:p w:rsidR="00500724" w:rsidRDefault="00F30FB8">
      <w:pPr>
        <w:pStyle w:val="Zkladntext30"/>
        <w:shd w:val="clear" w:color="auto" w:fill="auto"/>
        <w:spacing w:after="0" w:line="204" w:lineRule="auto"/>
        <w:ind w:firstLine="240"/>
      </w:pPr>
      <w:r>
        <w:t>Začíná ovšem Shakespearem. Ale bylo kdysi kdesi napsáno, že Emily Bronté, pastorská dcerka, jež na</w:t>
      </w:r>
      <w:r>
        <w:softHyphen/>
        <w:t>psala »Bouřlivé Výšiny«, navazuje ještě na něho a zá</w:t>
      </w:r>
      <w:r>
        <w:softHyphen/>
      </w:r>
      <w:r>
        <w:t xml:space="preserve">roveň s druhé strany na Dostojevského. Její </w:t>
      </w:r>
      <w:r>
        <w:rPr>
          <w:lang w:val="en-US" w:eastAsia="en-US" w:bidi="en-US"/>
        </w:rPr>
        <w:t xml:space="preserve">Heath- cliff, </w:t>
      </w:r>
      <w:r>
        <w:t>to je duch macbethovský a stavroginský zároveň,</w:t>
      </w:r>
    </w:p>
    <w:p w:rsidR="00500724" w:rsidRDefault="00F30FB8">
      <w:pPr>
        <w:pStyle w:val="Zkladntext30"/>
        <w:shd w:val="clear" w:color="auto" w:fill="auto"/>
        <w:tabs>
          <w:tab w:val="left" w:pos="4963"/>
        </w:tabs>
        <w:spacing w:after="0" w:line="202" w:lineRule="auto"/>
        <w:ind w:firstLine="240"/>
      </w:pPr>
      <w:r>
        <w:t>S Macbethem ovšem ho pojí skotská lada. Emily Bronté je všecka prosáklá severem britského ostrova, jehož mlhami s ní chodí v sirném jiskření všichni j</w:t>
      </w:r>
      <w:r>
        <w:t xml:space="preserve">otunové chandry — všichni běsi ruského podvědomí. Shledá se, že »Lovcovy zápisky« nebo třebas Tolstéhů lovy na bekasiny neobsahují více stepi, více pustiny^ více světa odlidštěného, než třebas horstva </w:t>
      </w:r>
      <w:r>
        <w:rPr>
          <w:lang w:val="en-US" w:eastAsia="en-US" w:bidi="en-US"/>
        </w:rPr>
        <w:t xml:space="preserve">cumber- </w:t>
      </w:r>
      <w:r>
        <w:t>Iandská.</w:t>
      </w:r>
      <w:r>
        <w:tab/>
        <w:t>j</w:t>
      </w:r>
    </w:p>
    <w:p w:rsidR="00500724" w:rsidRDefault="00F30FB8">
      <w:pPr>
        <w:pStyle w:val="Zkladntext30"/>
        <w:shd w:val="clear" w:color="auto" w:fill="auto"/>
        <w:spacing w:after="0" w:line="202" w:lineRule="auto"/>
        <w:ind w:firstLine="240"/>
      </w:pPr>
      <w:r>
        <w:t>Kus divočiny vždy nějak vězí v ruské</w:t>
      </w:r>
      <w:r>
        <w:t>m člověku, viděném očima jeho klasiků. Kus divočiny nakonec vždy nějak vězí v anglickém gentlemanu, odhalované</w:t>
      </w:r>
      <w:r>
        <w:softHyphen/>
        <w:t>mu zrcadlem jeho písemnictví. Anglickému gentlema</w:t>
      </w:r>
      <w:r>
        <w:softHyphen/>
        <w:t>nu stal se ostatně programem: netřeba až do písem</w:t>
      </w:r>
      <w:r>
        <w:softHyphen/>
        <w:t>nictví. Je tu v celé své pomníkové sošnosti r</w:t>
      </w:r>
      <w:r>
        <w:t>ys nej</w:t>
      </w:r>
      <w:r>
        <w:softHyphen/>
        <w:t>angličtější, smysl nejnárodnější, velmi odlišný ode všech národních příznaků cizích: sport.</w:t>
      </w:r>
    </w:p>
    <w:p w:rsidR="00500724" w:rsidRDefault="00F30FB8">
      <w:pPr>
        <w:pStyle w:val="Zkladntext30"/>
        <w:shd w:val="clear" w:color="auto" w:fill="auto"/>
        <w:spacing w:after="0" w:line="202" w:lineRule="auto"/>
        <w:ind w:firstLine="240"/>
      </w:pPr>
      <w:r>
        <w:t>Rus vynalezl revoluci, aby se zbavil svých běsů, Není jisto, že se jich zbavil. Angličan vynalezl sport,</w:t>
      </w:r>
      <w:r>
        <w:rPr>
          <w:vertAlign w:val="subscript"/>
        </w:rPr>
        <w:t xml:space="preserve">: </w:t>
      </w:r>
      <w:r>
        <w:t>aby se zbavil svých běsů. Ukáže se, že se jich nezb</w:t>
      </w:r>
      <w:r>
        <w:t xml:space="preserve">avil, Pleinair anglické přírody, byť svěže posolený mořskou šíří a zjihlý vláhou golfského proudu, zakousl sě </w:t>
      </w:r>
      <w:r>
        <w:rPr>
          <w:b/>
          <w:bCs/>
        </w:rPr>
        <w:t xml:space="preserve">do </w:t>
      </w:r>
      <w:r>
        <w:t>anglické duše zuby svých severských duchů, jejichž úsměv dovede být hodně chmurný. Angličtina kromě slova »sport« vynalezla ještě jiné slovo, j</w:t>
      </w:r>
      <w:r>
        <w:t>ež ruské chandře stepí a bílých nocí odpovídá ku podivu plně s přízvukem mlhy a krbu a lad a třasovisek: »spleen«.</w:t>
      </w:r>
    </w:p>
    <w:p w:rsidR="00500724" w:rsidRDefault="00F30FB8">
      <w:pPr>
        <w:pStyle w:val="Zkladntext30"/>
        <w:shd w:val="clear" w:color="auto" w:fill="auto"/>
        <w:spacing w:after="0" w:line="211" w:lineRule="auto"/>
        <w:ind w:firstLine="240"/>
        <w:sectPr w:rsidR="00500724">
          <w:footnotePr>
            <w:numFmt w:val="chicago"/>
            <w:numRestart w:val="eachPage"/>
          </w:footnotePr>
          <w:type w:val="continuous"/>
          <w:pgSz w:w="11909" w:h="16834"/>
          <w:pgMar w:top="776" w:right="839" w:bottom="689" w:left="700" w:header="0" w:footer="3" w:gutter="0"/>
          <w:cols w:num="2" w:space="136"/>
          <w:noEndnote/>
          <w:docGrid w:linePitch="360"/>
        </w:sectPr>
      </w:pPr>
      <w:r>
        <w:t xml:space="preserve">Možno tvrdit, že k anglické přírodě, k podnebí anglické mysli patří se sportem i spleen právě </w:t>
      </w:r>
      <w:r>
        <w:rPr>
          <w:b/>
          <w:bCs/>
        </w:rPr>
        <w:t xml:space="preserve">tak' </w:t>
      </w:r>
      <w:r>
        <w:t xml:space="preserve">jako Hamlet: být či nebýt. A chtělo by se máleni dodat: být či nebýt — v Londýně, toť ta otázka. Jako by se anglický život rozpadal v Londýn, venkov a osady — což v ruském jazyce zní: Petrohrad, vett- kov, Sibiř. Věčný refrén Čechovových »Tří sester« — »v </w:t>
      </w:r>
      <w:r>
        <w:t xml:space="preserve">Maskvú, v Maskvú« — je jen obdoba toho, co </w:t>
      </w:r>
      <w:r>
        <w:rPr>
          <w:b/>
          <w:bCs/>
        </w:rPr>
        <w:t xml:space="preserve">hýbá </w:t>
      </w:r>
      <w:r>
        <w:t>britskou duší ve vztahu k lesklé, nemilosrdné modla hlavního města, k Molochu nad Temží, společenskému ráji a sociálnímu peklu, k »Trhu marnosti« a metro</w:t>
      </w:r>
      <w:r>
        <w:softHyphen/>
        <w:t xml:space="preserve">poli světa. Třeba ovšem se stříci v dojmech ukvapenlj </w:t>
      </w:r>
      <w:r>
        <w:t>každá metropole má tuto smrtící přitažlivost lampy pro hmyz, a ve francouzském díle spisovném dala by se stejně vysledovat pro Paříž. Jenže v zrcadle duše francouzské protiklad »příroda — hlavní město« mívá zcela jiný přízvuk. Rastignacové chodívají Paříže</w:t>
      </w:r>
      <w:r>
        <w:t xml:space="preserve"> do</w:t>
      </w:r>
      <w:r>
        <w:softHyphen/>
        <w:t>bývat — Brit si přeje být v hlavním městě přijat, tak S57</w:t>
      </w:r>
    </w:p>
    <w:p w:rsidR="00500724" w:rsidRDefault="00F30FB8">
      <w:pPr>
        <w:pStyle w:val="Zkladntext30"/>
        <w:shd w:val="clear" w:color="auto" w:fill="auto"/>
        <w:spacing w:after="0" w:line="226" w:lineRule="auto"/>
        <w:ind w:firstLine="0"/>
      </w:pPr>
      <w:r>
        <w:t>jako Boris v Petrohradě. Leda by jím s chartisty, vy</w:t>
      </w:r>
      <w:r>
        <w:softHyphen/>
        <w:t>děděnci, methodisty, umělci a jinými jurodivými po</w:t>
      </w:r>
      <w:r>
        <w:softHyphen/>
        <w:t>hrdal v posupné nenávisti.</w:t>
      </w:r>
    </w:p>
    <w:p w:rsidR="00500724" w:rsidRDefault="00F30FB8">
      <w:pPr>
        <w:pStyle w:val="Zkladntext30"/>
        <w:shd w:val="clear" w:color="auto" w:fill="auto"/>
        <w:spacing w:after="60" w:line="226" w:lineRule="auto"/>
        <w:ind w:firstLine="320"/>
      </w:pPr>
      <w:r>
        <w:t>Hle, co ještě společně patří k přírodě, libo-li: nátuře britské</w:t>
      </w:r>
      <w:r>
        <w:t xml:space="preserve"> jak ruské — jurodivý a rozkolník. Podivín a sektář. Samozvaný kazatel, náboženský kroužek, poutník.</w:t>
      </w:r>
    </w:p>
    <w:p w:rsidR="00500724" w:rsidRDefault="00F30FB8">
      <w:pPr>
        <w:pStyle w:val="Zkladntext30"/>
        <w:shd w:val="clear" w:color="auto" w:fill="auto"/>
        <w:spacing w:after="60" w:line="206" w:lineRule="auto"/>
        <w:ind w:firstLine="0"/>
        <w:jc w:val="center"/>
      </w:pPr>
      <w:r>
        <w:rPr>
          <w:b/>
          <w:bCs/>
        </w:rPr>
        <w:t>Brit chce ^oprostit se«</w:t>
      </w:r>
    </w:p>
    <w:p w:rsidR="00500724" w:rsidRDefault="00F30FB8">
      <w:pPr>
        <w:pStyle w:val="Zkladntext30"/>
        <w:shd w:val="clear" w:color="auto" w:fill="auto"/>
        <w:spacing w:after="0" w:line="202" w:lineRule="auto"/>
        <w:ind w:firstLine="320"/>
      </w:pPr>
      <w:r>
        <w:t>Zdálo by se, že mu k tomu chybí základní předpo</w:t>
      </w:r>
      <w:r>
        <w:softHyphen/>
        <w:t xml:space="preserve">klad: samoděržaví. V modle hlavního města modla posvátné a nedostupné carovy osoby </w:t>
      </w:r>
      <w:r>
        <w:t>i rodiny. Konsti- tuční a demokratická britská světovláda nicméně takovou posvátnou autoritu měla vtělenu po čtyři málem pětiny devatenáctého století. Ještě dodnes říká se: sloh a věk viktoriánský. Daleka všech právních forem absolutismu, malá počestná vdo</w:t>
      </w:r>
      <w:r>
        <w:t>va po princi- manželu měla přec všechnu nedotknutelnou neomeze- nost naprosté mravní moci. A v jejím jméně začala krystalisovat ona zkamenělost, začalo se ustalovat ono dusno, z něhož jednou gentleman po gentlemanu začne utíkat, aby »se oprostik.</w:t>
      </w:r>
    </w:p>
    <w:p w:rsidR="00500724" w:rsidRDefault="00F30FB8">
      <w:pPr>
        <w:pStyle w:val="Zkladntext30"/>
        <w:shd w:val="clear" w:color="auto" w:fill="auto"/>
        <w:spacing w:line="206" w:lineRule="auto"/>
        <w:ind w:firstLine="320"/>
      </w:pPr>
      <w:r>
        <w:t>Záměr toh</w:t>
      </w:r>
      <w:r>
        <w:t>oto rozvažování — upozornit na některé obdoby v životním rozpoložení někdejšího carského Ruska a Anglie, jak se jeví — nečiní si nárok na zevrubnost ani úplnost. Jen zcela namátkou stačí při</w:t>
      </w:r>
      <w:r>
        <w:softHyphen/>
        <w:t>pomenout některé z dokladů. Za poslední desetiletí se čtenáři ang</w:t>
      </w:r>
      <w:r>
        <w:t xml:space="preserve">lických románů připletla celá řada jich, nad nimiž se rozkládá totéž společenské dusno, jak mu býval zvyklý z klasických románů ruských. Je-li pravda, že ruské písemnictví předválečné od klasiků po epigony bylo jediná předtucha blížící se katastrofy, tedy </w:t>
      </w:r>
      <w:r>
        <w:t>k jejím příznakům patřil onen podivuhodný ne</w:t>
      </w:r>
      <w:r>
        <w:softHyphen/>
        <w:t xml:space="preserve">klid v příslušnících vládnoucí vrstvy. Je překvapivé, kolik toho neklidu se najde už vlastně v Galsworthym, </w:t>
      </w:r>
      <w:r>
        <w:rPr>
          <w:b/>
          <w:bCs/>
          <w:sz w:val="26"/>
          <w:szCs w:val="26"/>
        </w:rPr>
        <w:t xml:space="preserve">V </w:t>
      </w:r>
      <w:r>
        <w:t>posledních dílech »Forsytesagy«. Buďtež vynecháni Irčan a Fabiánovec Bernard Shaw, jenž svého Dona Ju</w:t>
      </w:r>
      <w:r>
        <w:t>ana označuje šlechtickými písmeny »č. t. b. p.« — člen třídy bohatých povalečů — i H. G. Wells. To jsou programoví revolucionáři, odbojci a buřiči. Ale věrná kresba společnosti v Huxleyových »Paralelách lásky«, v ^Kontrapunktu života« na sto honů zavání Tu</w:t>
      </w:r>
      <w:r>
        <w:t>rgeněvem, spleen se nadýchal chandry. A dokonce pověstný Lawrencův »Milenec lady Chatterleyové«, tato sice nudná, ale více méně pornografie, vzbudí chut, aby byla nazvána anglickým poválečným »Sa- ninem« ve vzpomínce na sensaci, kterou kdysi vzbudil Arcyba</w:t>
      </w:r>
      <w:r>
        <w:t>šev. Krom toho ukazuje v erotické masce opět útěk z třídy. Jako v jiných anglických knihách nové doby vždy nějaké postavy tam těkají po jejích okra</w:t>
      </w:r>
      <w:r>
        <w:softHyphen/>
        <w:t xml:space="preserve">jích, trpí nerozhodností, mají-li z ní prchnout, nějací slaboši a neurastenikové v ní sní jednou o přírodě, </w:t>
      </w:r>
      <w:r>
        <w:t xml:space="preserve">jednou o Bohu, jednou o dělnících. Pozdní a hrubí zbohatlíci chtivě pospíchají, aby honem ještě, jaksi v poslední chvíli zhltali rozkoše výsluní. Poslední balvanovití a tvrdí zastánci starého řádu, válkou ochrnutí — jaký symbol! — drsně vzdorují snahami o </w:t>
      </w:r>
      <w:r>
        <w:t>výboj. Kdyby se užilo nomenklatury Bromfieldova indického románu »Když nastaly deště«, tedy po no</w:t>
      </w:r>
      <w:r>
        <w:softHyphen/>
        <w:t xml:space="preserve">vém anglickém románě se potlouká plno Ransomů, Hestonů, </w:t>
      </w:r>
      <w:r>
        <w:rPr>
          <w:lang w:val="en-US" w:eastAsia="en-US" w:bidi="en-US"/>
        </w:rPr>
        <w:t xml:space="preserve">Edwin a Fern </w:t>
      </w:r>
      <w:r>
        <w:t>— vesměs uprchlíků z třídy nebo jejích posledních mohykánů, a v tom románě se pochybuje i</w:t>
      </w:r>
      <w:r>
        <w:t xml:space="preserve"> váhá jakoby po rusku, miluje jakoby po rusku — nemá Ransome trošinku cosi z Oněgi- na? — ale co více: pije po rusku, oprošťuje po rusku, 253 </w:t>
      </w:r>
      <w:r>
        <w:rPr>
          <w:b/>
          <w:bCs/>
        </w:rPr>
        <w:t xml:space="preserve">a </w:t>
      </w:r>
      <w:r>
        <w:t>Bromfieldovi Indové nabudou ve své tropické de</w:t>
      </w:r>
      <w:r>
        <w:softHyphen/>
        <w:t>koraci postoje přímo mužického.</w:t>
      </w:r>
    </w:p>
    <w:p w:rsidR="00500724" w:rsidRDefault="00F30FB8">
      <w:pPr>
        <w:pStyle w:val="Zkladntext30"/>
        <w:shd w:val="clear" w:color="auto" w:fill="auto"/>
        <w:spacing w:after="140" w:line="223" w:lineRule="auto"/>
        <w:ind w:firstLine="280"/>
      </w:pPr>
      <w:r>
        <w:t>Jistě toto vše není snad nějaký p</w:t>
      </w:r>
      <w:r>
        <w:t>ozdní vliv ruských klasiků na anglické spisovatele. Nezbývá než se do</w:t>
      </w:r>
      <w:r>
        <w:softHyphen/>
        <w:t>hadovat, že je to vliv nějakých skutečností.</w:t>
      </w:r>
    </w:p>
    <w:p w:rsidR="00500724" w:rsidRDefault="00F30FB8">
      <w:pPr>
        <w:pStyle w:val="Zkladntext30"/>
        <w:shd w:val="clear" w:color="auto" w:fill="auto"/>
        <w:spacing w:line="204" w:lineRule="auto"/>
        <w:ind w:firstLine="0"/>
        <w:jc w:val="center"/>
      </w:pPr>
      <w:r>
        <w:t>Zrcadlo rodu Herriesů</w:t>
      </w:r>
    </w:p>
    <w:p w:rsidR="00500724" w:rsidRDefault="00F30FB8">
      <w:pPr>
        <w:pStyle w:val="Zkladntext30"/>
        <w:shd w:val="clear" w:color="auto" w:fill="auto"/>
        <w:spacing w:line="223" w:lineRule="auto"/>
        <w:ind w:firstLine="280"/>
      </w:pPr>
      <w:r>
        <w:t xml:space="preserve">Jakoby tyto skutečnosti chtěla odhalit od koruny po sám nejhlubší kořen, zrodila se v Anglii, tuším, v letech právě </w:t>
      </w:r>
      <w:r>
        <w:t>minulých, písemná hora, balvan o dvou tisících a několika stech stránkách, jež svádí k tomu, aby byla nazvána snad nejruštějším dílem anglické literatury, přes to či možná právě proto, že je z nej</w:t>
      </w:r>
      <w:r>
        <w:softHyphen/>
        <w:t xml:space="preserve">angličtějšího, co kdy bylo napsáno. Její původce </w:t>
      </w:r>
      <w:r>
        <w:rPr>
          <w:lang w:val="en-US" w:eastAsia="en-US" w:bidi="en-US"/>
        </w:rPr>
        <w:t>Hugh Walpo</w:t>
      </w:r>
      <w:r>
        <w:rPr>
          <w:lang w:val="en-US" w:eastAsia="en-US" w:bidi="en-US"/>
        </w:rPr>
        <w:t xml:space="preserve">le, </w:t>
      </w:r>
      <w:r>
        <w:t>shrnul, zřejmě narážkou na Galsworthyho, čtyři svazky svého tlustopisu: »Tuláka Herriese«, »Juditu«, »Pevnost« a »Vanessu« pod společný název »Sága rodu Herriesů«. (Vyšla česky v Symposionu.))</w:t>
      </w:r>
    </w:p>
    <w:p w:rsidR="00500724" w:rsidRDefault="00F30FB8">
      <w:pPr>
        <w:pStyle w:val="Zkladntext30"/>
        <w:shd w:val="clear" w:color="auto" w:fill="auto"/>
        <w:spacing w:line="202" w:lineRule="auto"/>
        <w:ind w:firstLine="280"/>
      </w:pPr>
      <w:r>
        <w:t>I čtenář dosti cvičený vzdá se před tímto tištěným horstvem posléze naděje, že je opravdu celé řádně přečte a že v něm nabude dokonalého přehledu. Jo nesporně ještě obtížnější, podat o něm zprávu takovou, aby o něm vzbudila přesný a zcela správný obraz. Ni</w:t>
      </w:r>
      <w:r>
        <w:t xml:space="preserve">cméně, vnuknout o něm představu právě po té stránce, o níž se píše v těchto řádcích, je úkol vděčný, </w:t>
      </w:r>
      <w:r>
        <w:rPr>
          <w:lang w:val="en-US" w:eastAsia="en-US" w:bidi="en-US"/>
        </w:rPr>
        <w:t xml:space="preserve">Walpole </w:t>
      </w:r>
      <w:r>
        <w:t>jakoby je byl psal právě se zřetelem k němu,</w:t>
      </w:r>
    </w:p>
    <w:p w:rsidR="00500724" w:rsidRDefault="00F30FB8">
      <w:pPr>
        <w:pStyle w:val="Zkladntext30"/>
        <w:shd w:val="clear" w:color="auto" w:fill="auto"/>
        <w:spacing w:line="202" w:lineRule="auto"/>
        <w:ind w:firstLine="280"/>
      </w:pPr>
      <w:r>
        <w:t xml:space="preserve">Cokoli bylo o ruskosti anglického národního bytu naznačeno v předchozím, to je zde přímo tenor, smysl </w:t>
      </w:r>
      <w:r>
        <w:t>a obsah čtyř těsně souvislých románů, obepínajících časovou rozlohu dvou set let a sloučených dvěma středními svazky, tvořícími vlastně román jeden, skrze jedinou stoletou osobu vlastně v jeden příběh. Není účel pisatelův, psát kritiku toho příběhu, roz</w:t>
      </w:r>
      <w:r>
        <w:softHyphen/>
        <w:t>bí</w:t>
      </w:r>
      <w:r>
        <w:t>rat uměleckou jakost, spisovnou úroveň, plýtvat pří</w:t>
      </w:r>
      <w:r>
        <w:softHyphen/>
        <w:t xml:space="preserve">vlastky a obraty písemnického soudu. Jako pravé hor- stvo tento román má své mohutné vrcholy a hluboké propasti, svoje umělecké útesy i svoje křivolakosti, svoje zářící slunné svahy a svoje stíny. Ale je </w:t>
      </w:r>
      <w:r>
        <w:t>případ</w:t>
      </w:r>
      <w:r>
        <w:softHyphen/>
      </w:r>
      <w:r>
        <w:rPr>
          <w:b/>
          <w:bCs/>
          <w:sz w:val="26"/>
          <w:szCs w:val="26"/>
        </w:rPr>
        <w:t xml:space="preserve">né </w:t>
      </w:r>
      <w:r>
        <w:t>mluvit o horstvu, neboť jedním z největších hrdin románu je horstvo cumberlandské v severní Anglii, poblíže skotských hranic. Jeho dech je to, jenž dvěstě- letou kroniku herriesovskou plní voláním divočiny, Je to herriesovský Kavkaz i herriesovsk</w:t>
      </w:r>
      <w:r>
        <w:t>á step, a málo</w:t>
      </w:r>
      <w:r>
        <w:softHyphen/>
        <w:t>kdy do románu tak mistrně britského tolik a tak pro</w:t>
      </w:r>
      <w:r>
        <w:softHyphen/>
        <w:t>nikavě mluvila příroda nezkrocená i nezkrotná jako do téhle knihy Walpoleovy.</w:t>
      </w:r>
    </w:p>
    <w:p w:rsidR="00500724" w:rsidRDefault="00F30FB8">
      <w:pPr>
        <w:pStyle w:val="Zkladntext30"/>
        <w:shd w:val="clear" w:color="auto" w:fill="auto"/>
        <w:spacing w:line="204" w:lineRule="auto"/>
        <w:ind w:firstLine="280"/>
        <w:sectPr w:rsidR="00500724">
          <w:footnotePr>
            <w:numFmt w:val="chicago"/>
            <w:numRestart w:val="eachPage"/>
          </w:footnotePr>
          <w:pgSz w:w="11909" w:h="16834"/>
          <w:pgMar w:top="1460" w:right="641" w:bottom="699" w:left="857" w:header="0" w:footer="3" w:gutter="0"/>
          <w:cols w:num="2" w:space="110"/>
          <w:noEndnote/>
          <w:docGrid w:linePitch="360"/>
        </w:sectPr>
      </w:pPr>
      <w:r>
        <w:t>S ní přímo splývá první postava díla, v jistém smyslu zakladatel rodu, František He</w:t>
      </w:r>
      <w:r>
        <w:t xml:space="preserve">rries, podivín </w:t>
      </w:r>
      <w:r>
        <w:rPr>
          <w:b/>
          <w:bCs/>
        </w:rPr>
        <w:t xml:space="preserve">a </w:t>
      </w:r>
      <w:r>
        <w:t>samotář, zcela pokrevný jejím běsům, sám osamělý jótun, půl nějaký Heathcliff, půl stavroginský občan nikoli horského kantonu Uri, ale zapadlého, všemu světu uzavřeného údolí Borrowdale, kde se mu, čistě po rusku, v sám počátek století osm</w:t>
      </w:r>
      <w:r>
        <w:t>náctého, nenáhle rozpadá nad hlavou jeho chudý, bezpříkladně za</w:t>
      </w:r>
      <w:r>
        <w:softHyphen/>
        <w:t>nedbaný dvorec. Přijel tam, čistě po rusku, žít, poně</w:t>
      </w:r>
      <w:r>
        <w:softHyphen/>
        <w:t xml:space="preserve">vadž už nemá peněz na život stavu přiměřený. Přijel tam, čistě po rusku, se ženou, dětmi a milenkou, oddat se nečinnosti, toulkám, pití a </w:t>
      </w:r>
      <w:r>
        <w:t>hloubání. Hledá smysl života? Hledá Boha? Hledá vždy to, čeho není, ne</w:t>
      </w:r>
      <w:r>
        <w:softHyphen/>
        <w:t>pochopitelný lidu i sousedům, člověk špatné pověsti, jenž čistě po rusku na výročním trhu v Keswicku prodá svou milenku, v souboji utrpí zranění na tváři, poněvadž se mu náhle sželí zab</w:t>
      </w:r>
      <w:r>
        <w:t>ít bližního. Stavrogin?</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701" w:right="843" w:bottom="1044" w:left="708" w:header="0" w:footer="3" w:gutter="0"/>
          <w:cols w:space="720"/>
          <w:noEndnote/>
          <w:docGrid w:linePitch="360"/>
        </w:sectPr>
      </w:pPr>
      <w:bookmarkStart w:id="418" w:name="bookmark417"/>
      <w:r>
        <w:rPr>
          <w:rFonts w:ascii="Times New Roman" w:eastAsia="Times New Roman" w:hAnsi="Times New Roman" w:cs="Times New Roman"/>
        </w:rPr>
        <w:t>Přítomnosti</w:t>
      </w:r>
      <w:bookmarkEnd w:id="418"/>
    </w:p>
    <w:p w:rsidR="00500724" w:rsidRDefault="00500724">
      <w:pPr>
        <w:spacing w:line="78" w:lineRule="exact"/>
        <w:rPr>
          <w:sz w:val="6"/>
          <w:szCs w:val="6"/>
        </w:rPr>
      </w:pPr>
    </w:p>
    <w:p w:rsidR="00500724" w:rsidRDefault="00500724">
      <w:pPr>
        <w:spacing w:line="14" w:lineRule="exact"/>
        <w:sectPr w:rsidR="00500724">
          <w:footnotePr>
            <w:numFmt w:val="chicago"/>
            <w:numRestart w:val="eachPage"/>
          </w:footnotePr>
          <w:type w:val="continuous"/>
          <w:pgSz w:w="11909" w:h="16834"/>
          <w:pgMar w:top="701" w:right="0" w:bottom="1032" w:left="0" w:header="0" w:footer="3" w:gutter="0"/>
          <w:cols w:space="720"/>
          <w:noEndnote/>
          <w:docGrid w:linePitch="360"/>
        </w:sectPr>
      </w:pPr>
    </w:p>
    <w:p w:rsidR="00500724" w:rsidRDefault="00F30FB8">
      <w:pPr>
        <w:pStyle w:val="Zkladntext30"/>
        <w:shd w:val="clear" w:color="auto" w:fill="auto"/>
        <w:spacing w:line="206" w:lineRule="auto"/>
        <w:ind w:firstLine="0"/>
      </w:pPr>
      <w:r>
        <w:t xml:space="preserve">Starý </w:t>
      </w:r>
      <w:r>
        <w:rPr>
          <w:lang w:val="en-US" w:eastAsia="en-US" w:bidi="en-US"/>
        </w:rPr>
        <w:t xml:space="preserve">Karamazov? </w:t>
      </w:r>
      <w:r>
        <w:t>Je to holkař, jak zákon káže, a najde i svou Grušenku, postavu, jež ve své anglickosti přec mohla utéci kterémukoliv ruskému statkáři i stejně se k</w:t>
      </w:r>
      <w:r>
        <w:t xml:space="preserve"> němu vrátit v zasněžený dvorec, Mirabela, cikánka.</w:t>
      </w:r>
    </w:p>
    <w:p w:rsidR="00500724" w:rsidRDefault="00F30FB8">
      <w:pPr>
        <w:pStyle w:val="Zkladntext30"/>
        <w:shd w:val="clear" w:color="auto" w:fill="auto"/>
        <w:spacing w:line="204" w:lineRule="auto"/>
        <w:ind w:firstLine="240"/>
      </w:pPr>
      <w:r>
        <w:t>Hledá-li se obdoba k ovzduší, v jakém František Herries o vánoční slavnosti u souseda pozná dítě Mirabelu, později v podloudnické jeskyni dívku Mira- belu, poté v Carlislu povstalci obleženém milenku Mi</w:t>
      </w:r>
      <w:r>
        <w:softHyphen/>
        <w:t>r</w:t>
      </w:r>
      <w:r>
        <w:t xml:space="preserve">abelu, jíž zabije milého zavržený sok — hledá-li se obdoba k tomuto ovzduší zcela neevropskému, kde se s oblibou surově dráždí medvěd a utápějí čarodějnice, hledá-li se obdoba k barbarskému světu, v němž Tulák Herries za tonoucí čarodějnicí skočí do řeky, </w:t>
      </w:r>
      <w:r>
        <w:t>snad by se našla v některých kapitolách spanilého »Dubrov- ského«, na některých stránkách »Petra a Alexěje«, viděného Merežkovským. Náš způsobný a osvícený český a středoevropský barok září slunnou civilisační pohodou a uhlazeným jasem člověka vzdělaně kro</w:t>
      </w:r>
      <w:r>
        <w:t>tké</w:t>
      </w:r>
      <w:r>
        <w:softHyphen/>
        <w:t xml:space="preserve">ho proti tomuto baroku průsmyků cumberlandských, </w:t>
      </w:r>
      <w:r>
        <w:rPr>
          <w:b/>
          <w:bCs/>
        </w:rPr>
        <w:t xml:space="preserve">v </w:t>
      </w:r>
      <w:r>
        <w:t>nichž si doslova lišky dávají dobrou noc. Turgeněvo- va »Strž« o sto let později obsáhne v Tušinovi pouhý stín Davida Herriese, syna Františkova, zakladatele herriesovské prosperity. V něm se rodí druh</w:t>
      </w:r>
      <w:r>
        <w:t>ý živel herriesovský: proti severským běsům silný a praktic</w:t>
      </w:r>
      <w:r>
        <w:softHyphen/>
        <w:t>ký duch budoucí Anglie, nadaný vším, jenom ne obraz</w:t>
      </w:r>
      <w:r>
        <w:softHyphen/>
        <w:t xml:space="preserve">ností. Obr nadlidských svalů, nejsilnější zápasník mezi všemi selskými championy široko daleko, tento Spíše Goliáš než David vyrůstá a okrouhle </w:t>
      </w:r>
      <w:r>
        <w:t>do čtyřiceti let žije s otcem na rozpadlém statku, s nevelikým jměníčkem dvou lodních podílů, dobře zakoupených, s nepatrňoučkým nejnutnějším vzděláním, s velikou láskou k otci a k přírodě, s nezájmem o ženy. Kromě jedné zcela letmé zkušenosti panic, teprv</w:t>
      </w:r>
      <w:r>
        <w:t>e čtyřicátník najde tu pravou a vezme si ji — ve druhé půli osm</w:t>
      </w:r>
      <w:r>
        <w:softHyphen/>
        <w:t>náctého století — po cumberlandsku: únosem. Napřed sváže, potom pobodá staršího nápadníka a hosta v domě své vyvolené. Nato jejího poručníka, jsa pro</w:t>
      </w:r>
      <w:r>
        <w:softHyphen/>
        <w:t>následován, zabije. Po této milostné přede</w:t>
      </w:r>
      <w:r>
        <w:t>hře, jež nemá, ku podivu, soudních dozvuků, šťastně slaví sňatek a dlouhá nerušená léta se oddává množení rodu herriesovského i jeho majetku.</w:t>
      </w:r>
    </w:p>
    <w:p w:rsidR="00500724" w:rsidRDefault="00F30FB8">
      <w:pPr>
        <w:pStyle w:val="Zkladntext30"/>
        <w:shd w:val="clear" w:color="auto" w:fill="auto"/>
        <w:spacing w:after="120" w:line="202" w:lineRule="auto"/>
        <w:ind w:firstLine="240"/>
      </w:pPr>
      <w:r>
        <w:t>Zde by se chtělo vsunout dumku o staroanglické spravedlnosti, jež se v Cumberlandě nepídí po vrahu utopeného poruč</w:t>
      </w:r>
      <w:r>
        <w:t xml:space="preserve">níka paní Herriesové, v Londýně však ještě o hodně let později veřejně věší výrostka, který něco ukradl mistrovi. Vůbec mají Herriesové a jich blízcí se spravedlností štěstí. Davidův synovec, dítě jeho sestry Debory, velmi pozdě provdané kamsi za pastora, </w:t>
      </w:r>
      <w:r>
        <w:t>v Londýně taktéž páše vraždu, ale unikne s pomocí cumberlandských podloudníků. A jeden pozdní Davidův švagr, vrah svého obchodního spo</w:t>
      </w:r>
      <w:r>
        <w:softHyphen/>
        <w:t>lečníka, musí ve vlastním domě být zavražděn otcem své oběti, aby se spravedlnosti stalo zadost. Její svět</w:t>
      </w:r>
      <w:r>
        <w:softHyphen/>
        <w:t>ské rámě přede</w:t>
      </w:r>
      <w:r>
        <w:t>jde i jiný pozdní potomek, podivně po</w:t>
      </w:r>
      <w:r>
        <w:softHyphen/>
        <w:t xml:space="preserve">křtěný, podivín </w:t>
      </w:r>
      <w:r>
        <w:rPr>
          <w:lang w:val="en-US" w:eastAsia="en-US" w:bidi="en-US"/>
        </w:rPr>
        <w:t xml:space="preserve">a </w:t>
      </w:r>
      <w:r>
        <w:t xml:space="preserve">kulhavec </w:t>
      </w:r>
      <w:r>
        <w:rPr>
          <w:lang w:val="en-US" w:eastAsia="en-US" w:bidi="en-US"/>
        </w:rPr>
        <w:t xml:space="preserve">Uhland, </w:t>
      </w:r>
      <w:r>
        <w:t>jenž zastřelí ne</w:t>
      </w:r>
      <w:r>
        <w:softHyphen/>
        <w:t xml:space="preserve">náviděného a krásného bratrance, poněvadž — Romeo a Julie — onen Montek si vzal Alžbětu, sestru Uhlandovu. Tento podivný </w:t>
      </w:r>
      <w:r>
        <w:rPr>
          <w:lang w:val="en-US" w:eastAsia="en-US" w:bidi="en-US"/>
        </w:rPr>
        <w:t xml:space="preserve">Tybalt </w:t>
      </w:r>
      <w:r>
        <w:t>a Kapulet mezi Herriesy, šílený syn ro</w:t>
      </w:r>
      <w:r>
        <w:t>mantické matky, jež ho neblaze nazvala Uhlandem, zastřelí se totiž sám.</w:t>
      </w:r>
    </w:p>
    <w:p w:rsidR="00500724" w:rsidRDefault="00F30FB8">
      <w:pPr>
        <w:pStyle w:val="Zkladntext30"/>
        <w:shd w:val="clear" w:color="auto" w:fill="auto"/>
        <w:spacing w:line="204" w:lineRule="auto"/>
        <w:ind w:firstLine="0"/>
        <w:jc w:val="center"/>
      </w:pPr>
      <w:r>
        <w:t>Rod a dědičná zatížení</w:t>
      </w:r>
    </w:p>
    <w:p w:rsidR="00500724" w:rsidRDefault="00F30FB8">
      <w:pPr>
        <w:pStyle w:val="Zkladntext30"/>
        <w:shd w:val="clear" w:color="auto" w:fill="auto"/>
        <w:spacing w:after="60" w:line="206" w:lineRule="auto"/>
        <w:ind w:firstLine="240"/>
      </w:pPr>
      <w:r>
        <w:t xml:space="preserve">Staň se zde chatrný pokus, omezit pokud možno zmatek čtenářův, jenž je tu v nebezpečí, že zabloudí ve spleti herriesovského lesa. Tulák František Herries, nazvaný zakladatelem rodu, je zakladatel jen jedné jeho větve. Sám má bratry, z nichž jeden, </w:t>
      </w:r>
      <w:r>
        <w:rPr>
          <w:lang w:val="en-US" w:eastAsia="en-US" w:bidi="en-US"/>
        </w:rPr>
        <w:t>Pomfret,</w:t>
      </w:r>
      <w:r>
        <w:rPr>
          <w:lang w:val="en-US" w:eastAsia="en-US" w:bidi="en-US"/>
        </w:rPr>
        <w:t xml:space="preserve"> </w:t>
      </w:r>
      <w:r>
        <w:t>sídlí s rodinou ne nepočetnou zámožně v Keswicku, kde má krásný dům u jezera. Jezero to v románě prosluje slavnostmi a ohňostroji, jež jakoby se svým rázem i obecenstvem patřily do nějakého odlehlého, soběstačného a samolibého gubernálního či újezdního mě</w:t>
      </w:r>
      <w:r>
        <w:t>sta. Potomci tohoto Pomfreta, z nichž nejstarší, rostenec Davidův, jménem Raiseley, si vezme světác</w:t>
      </w:r>
      <w:r>
        <w:softHyphen/>
        <w:t>kou a krásnou Davidovu sestru Marii, první zakotví v Londýně a velmi se tam časem rozmnoží, i dělají hospodářskou a společenskou kariéru. Vůbec jich na kone</w:t>
      </w:r>
      <w:r>
        <w:t>c je jako písku v moři, a vysvitne posléze smysl díla, pociťovaný již Davidem: Herriesové — toť Anglie.</w:t>
      </w:r>
    </w:p>
    <w:p w:rsidR="00500724" w:rsidRDefault="00F30FB8">
      <w:pPr>
        <w:pStyle w:val="Zkladntext30"/>
        <w:shd w:val="clear" w:color="auto" w:fill="auto"/>
        <w:spacing w:after="0" w:line="202" w:lineRule="auto"/>
        <w:ind w:firstLine="240"/>
      </w:pPr>
      <w:r>
        <w:t>Staň se dále pokus, v tomto písku, který ve své nejstarší vrstvě obsahuje prastarou tetu Marii, na</w:t>
      </w:r>
      <w:r>
        <w:softHyphen/>
        <w:t xml:space="preserve">rozenou v den bitvy u Naseby a umírající k obecnému </w:t>
      </w:r>
      <w:r>
        <w:t>rodovému zklamání čtyři roky před svými stými na</w:t>
      </w:r>
      <w:r>
        <w:softHyphen/>
        <w:t>rozeninami — staň se pokus, v tomto písku rozlišit několikerý druh podle rodového dědičného zatížení. Je už z toho, co napsáno, zřejmo, že v rodě Herriesů nechybí podivínství, spleen a šílenství, nechybí v n</w:t>
      </w:r>
      <w:r>
        <w:t>ěm obraznost, síla ani násilí. Vlastnosti ty se různě se</w:t>
      </w:r>
      <w:r>
        <w:softHyphen/>
        <w:t xml:space="preserve">skupují: Davidova síla je prostá obraznosti. Často se v rodě bude opakovat jeho počestný a věcný druh, nezávislý a nehrabivý. Ale najde se i druh silný </w:t>
      </w:r>
      <w:r>
        <w:rPr>
          <w:b/>
          <w:bCs/>
        </w:rPr>
        <w:t xml:space="preserve">a zlý, </w:t>
      </w:r>
      <w:r>
        <w:t>druh slabý a zlý. Bude se vracet v podob</w:t>
      </w:r>
      <w:r>
        <w:t>ách kladněj</w:t>
      </w:r>
      <w:r>
        <w:softHyphen/>
        <w:t>ších i zápornějších druh šílený. Bude se vracet, s tváří k nepoznání změněnou, prostá a zdravá erotika Davi</w:t>
      </w:r>
      <w:r>
        <w:softHyphen/>
        <w:t>dova i propastná, dýmná, tragická erotika jeho otce, Tuláka Františka, s jeho vidinou bílého koně, vystu</w:t>
      </w:r>
      <w:r>
        <w:softHyphen/>
        <w:t>pujícího z jezera.</w:t>
      </w:r>
    </w:p>
    <w:p w:rsidR="00500724" w:rsidRDefault="00F30FB8">
      <w:pPr>
        <w:pStyle w:val="Zkladntext30"/>
        <w:shd w:val="clear" w:color="auto" w:fill="auto"/>
        <w:spacing w:after="0" w:line="204" w:lineRule="auto"/>
        <w:ind w:firstLine="240"/>
      </w:pPr>
      <w:r>
        <w:t xml:space="preserve">Vyskytne se </w:t>
      </w:r>
      <w:r>
        <w:t>pak v jeho posloupnosti, kde věčně Herriesové bez obraznosti budou nenávidět a potírat Herriesy s obrazností, případ nad jiný ruský, sám o sobě pak velkolepý lidsky i básnicky. V něm nej</w:t>
      </w:r>
      <w:r>
        <w:softHyphen/>
        <w:t>silněji bude trvat, čeho se zvláště obávají Herriesové nejangličtější</w:t>
      </w:r>
      <w:r>
        <w:t>, ti bez obraznosti — věčný skandál rodu Herriesů.</w:t>
      </w:r>
    </w:p>
    <w:p w:rsidR="00500724" w:rsidRDefault="00F30FB8">
      <w:pPr>
        <w:pStyle w:val="Zkladntext30"/>
        <w:shd w:val="clear" w:color="auto" w:fill="auto"/>
        <w:spacing w:line="204" w:lineRule="auto"/>
        <w:ind w:firstLine="240"/>
        <w:sectPr w:rsidR="00500724">
          <w:footnotePr>
            <w:numFmt w:val="chicago"/>
            <w:numRestart w:val="eachPage"/>
          </w:footnotePr>
          <w:type w:val="continuous"/>
          <w:pgSz w:w="11909" w:h="16834"/>
          <w:pgMar w:top="701" w:right="843" w:bottom="1032" w:left="708" w:header="0" w:footer="3" w:gutter="0"/>
          <w:cols w:num="2" w:space="134"/>
          <w:noEndnote/>
          <w:docGrid w:linePitch="360"/>
        </w:sectPr>
      </w:pPr>
      <w:r>
        <w:t>František Herries, holkař, jenž prodal milenku na výročním trhu, propadl později lásce k rudovlasé holčici Mirabele, neznámého a pochybného původu. Láska ta je marná, Františe</w:t>
      </w:r>
      <w:r>
        <w:t>k může jen pochovat Mi- rabelina milého, zabitého před jeho očima. Dívka mu na léta zmizí a vrátí se až z bídy a z opuštěnosti na jeho dvorec, kde svolí ke svatbě se statkářem již zestárlým. Znova mu uteče, František ji sešlou jedno</w:t>
      </w:r>
      <w:r>
        <w:softHyphen/>
        <w:t>ho dne potká jako mizer</w:t>
      </w:r>
      <w:r>
        <w:t xml:space="preserve">nou herečku v kočovné šmíře herce, s nímž žije. Až k úplnému kmetovi </w:t>
      </w:r>
      <w:r>
        <w:rPr>
          <w:b/>
          <w:bCs/>
        </w:rPr>
        <w:t xml:space="preserve">a </w:t>
      </w:r>
      <w:r>
        <w:t>ještě sešlejší se Mirabela ještě jednou k němu vrátí, a tyto dvě trosky v nejpozdnějším věku mají dítě. Droboun</w:t>
      </w:r>
      <w:r>
        <w:softHyphen/>
        <w:t>ká rudovlasá Judita přijde na svět, usmrcujíc svou matku. A přijde na svě</w:t>
      </w:r>
      <w:r>
        <w:t>t ve chvíli, kdy ve vedlejší světnici jí umře otec, věkovitý Tulák Herries. Udřená porodní bába z dalekého okolí usne únavou nad děckem, jež samotinké se rozkřičí ve vymrzlém a polo</w:t>
      </w:r>
      <w:r>
        <w:softHyphen/>
        <w:t>rozpadlém dvorci, po samu střechu zasněženém. Ten křik zaslechne náhodný j</w:t>
      </w:r>
      <w:r>
        <w:t xml:space="preserve">ezdec, opilý statkář Tomáš </w:t>
      </w:r>
      <w:r>
        <w:rPr>
          <w:lang w:val="en-US" w:eastAsia="en-US" w:bidi="en-US"/>
        </w:rPr>
        <w:t xml:space="preserve">Gauntry, </w:t>
      </w:r>
      <w:r>
        <w:t>milovník psů a své kuchařky, bývalé hereč</w:t>
      </w:r>
      <w:r>
        <w:softHyphen/>
        <w:t xml:space="preserve">ky. Zachrání novorozeně </w:t>
      </w:r>
      <w:r>
        <w:rPr>
          <w:i/>
          <w:iCs/>
        </w:rPr>
        <w:t>a</w:t>
      </w:r>
      <w:r>
        <w:t xml:space="preserve"> dá mu druhý domov, pravý a hlavní pro ni vedle domova, jehož jí poskytne její už padesátiletý bratr David. Všechny jeho děti, synov</w:t>
      </w:r>
      <w:r>
        <w:softHyphen/>
        <w:t>ci a neteře Juditiny</w:t>
      </w:r>
      <w:r>
        <w:t>, jsou daleko starší než tato jejich pozdní novorozená teta.</w:t>
      </w:r>
    </w:p>
    <w:p w:rsidR="00500724" w:rsidRDefault="00F30FB8">
      <w:pPr>
        <w:pStyle w:val="Nadpis80"/>
        <w:keepNext/>
        <w:keepLines/>
        <w:pBdr>
          <w:bottom w:val="single" w:sz="4" w:space="0" w:color="auto"/>
        </w:pBdr>
        <w:shd w:val="clear" w:color="auto" w:fill="auto"/>
        <w:spacing w:after="0"/>
        <w:ind w:left="4960"/>
        <w:rPr>
          <w:sz w:val="44"/>
          <w:szCs w:val="44"/>
        </w:rPr>
        <w:sectPr w:rsidR="00500724">
          <w:footnotePr>
            <w:numFmt w:val="chicago"/>
            <w:numRestart w:val="eachPage"/>
          </w:footnotePr>
          <w:pgSz w:w="11909" w:h="16834"/>
          <w:pgMar w:top="689" w:right="823" w:bottom="681" w:left="722" w:header="0" w:footer="3" w:gutter="0"/>
          <w:cols w:space="720"/>
          <w:noEndnote/>
          <w:docGrid w:linePitch="360"/>
        </w:sectPr>
      </w:pPr>
      <w:bookmarkStart w:id="419" w:name="bookmark418"/>
      <w:r>
        <w:rPr>
          <w:sz w:val="44"/>
          <w:szCs w:val="44"/>
          <w:u w:val="none"/>
        </w:rPr>
        <w:t>mnostL</w:t>
      </w:r>
      <w:bookmarkEnd w:id="419"/>
    </w:p>
    <w:p w:rsidR="00500724" w:rsidRDefault="00500724">
      <w:pPr>
        <w:spacing w:line="43" w:lineRule="exact"/>
        <w:rPr>
          <w:sz w:val="4"/>
          <w:szCs w:val="4"/>
        </w:rPr>
      </w:pPr>
    </w:p>
    <w:p w:rsidR="00500724" w:rsidRDefault="00500724">
      <w:pPr>
        <w:spacing w:line="14" w:lineRule="exact"/>
        <w:sectPr w:rsidR="00500724">
          <w:footnotePr>
            <w:numFmt w:val="chicago"/>
            <w:numRestart w:val="eachPage"/>
          </w:footnotePr>
          <w:type w:val="continuous"/>
          <w:pgSz w:w="11909" w:h="16834"/>
          <w:pgMar w:top="689" w:right="0" w:bottom="681" w:left="0" w:header="0" w:footer="3" w:gutter="0"/>
          <w:cols w:space="720"/>
          <w:noEndnote/>
          <w:docGrid w:linePitch="360"/>
        </w:sectPr>
      </w:pPr>
    </w:p>
    <w:p w:rsidR="00500724" w:rsidRDefault="00F30FB8">
      <w:pPr>
        <w:pStyle w:val="Zkladntext30"/>
        <w:shd w:val="clear" w:color="auto" w:fill="auto"/>
        <w:spacing w:after="100" w:line="206" w:lineRule="auto"/>
        <w:ind w:firstLine="0"/>
        <w:jc w:val="center"/>
      </w:pPr>
      <w:r>
        <w:t>Kritika Anglie</w:t>
      </w:r>
    </w:p>
    <w:p w:rsidR="00500724" w:rsidRDefault="00F30FB8">
      <w:pPr>
        <w:pStyle w:val="Zkladntext30"/>
        <w:shd w:val="clear" w:color="auto" w:fill="auto"/>
        <w:spacing w:after="0" w:line="206" w:lineRule="auto"/>
        <w:ind w:firstLine="240"/>
      </w:pPr>
      <w:r>
        <w:t>Přerůstá všechny možnosti časopiseckého článku, zevrubněji představit tuto tetu Juditu, ústřední po</w:t>
      </w:r>
      <w:r>
        <w:softHyphen/>
        <w:t>stavu díla, jež s</w:t>
      </w:r>
      <w:r>
        <w:t>e posléze stane, vnitř viktoriánského impéria, maličkou Viktorií impéria herriesovského: ne naposledy proto, že toto pozdní dítě, po všech po</w:t>
      </w:r>
      <w:r>
        <w:softHyphen/>
        <w:t>horšeních jež vzbudí u Herriesů řádných (bez obraz</w:t>
      </w:r>
      <w:r>
        <w:softHyphen/>
        <w:t>nosti) od narození až do půle svého života, splní rodo</w:t>
      </w:r>
      <w:r>
        <w:softHyphen/>
        <w:t xml:space="preserve">vé pýše </w:t>
      </w:r>
      <w:r>
        <w:t>touhu po rekordu vytrvalosti, jehož nedosáhla teta Marie, narozená v den bitvy u Naseby. Teta Judita se totiž dožije svých stých narozenin. Pojí tak téměř přímo ponurý věk herriesovských začátků s leskem viktoriánského výsluní. Kolem jejího mládí, ruský ši</w:t>
      </w:r>
      <w:r>
        <w:t xml:space="preserve">rokého dvorcem Tomáše Gauntryho, milostně dobrodružného francouzským manželem Jiřím, pod- loudníkem, hráčem a vrahem, bojovného zápasem herriesovských Monteků a Kapuletů, skandálního pozdním a nemanželkým synem (k němuž, nesmírně po rusku, přijde jaksi ze </w:t>
      </w:r>
      <w:r>
        <w:t>soucitu) — kolem tohoto mládí se kupí všecek ten svět, jenž se tak podobá rus</w:t>
      </w:r>
      <w:r>
        <w:softHyphen/>
        <w:t>kému: synovec Ruben, potulný sektář a kazatel, syno</w:t>
      </w:r>
      <w:r>
        <w:softHyphen/>
        <w:t>vec František, snílek sociální spravedlnosti, jenž mrtvičného otce Davida zabije zprávou o ruské revo</w:t>
      </w:r>
      <w:r>
        <w:softHyphen/>
        <w:t>luci, jeho velmi ruská ž</w:t>
      </w:r>
      <w:r>
        <w:t>ena Jennifera, pro jejíž nevěru se posléze zabije, v souboji před tím opomenuv zabít soka (podobně jako jeho děd Tulák). Kolem ní se soustředí první sociální nepokoje anglické. Ona za Františky vede boj proti útisku zbohatlých Walterů, její syn pak už je c</w:t>
      </w:r>
      <w:r>
        <w:t xml:space="preserve">hartista. Co však na ní nejruštěj- šího. Mezi muži hmotaři s jedné, snílky s druhé tato ženuška je jediný tvor energický, houževnatý, činný a nenalomený. Její sté narozeniny jsou úspěch její mravní síly. Skrze ni začíná do silné epiky Wal- poleovy nenáhle </w:t>
      </w:r>
      <w:r>
        <w:t>vstupovat kritika Anglie. Její život je kritika Herriesů. Ale tito Herriesové od pokolení k pokolení víc a více se cítí a prohlašují Anglií. Ztotož</w:t>
      </w:r>
      <w:r>
        <w:softHyphen/>
        <w:t xml:space="preserve">ňují se s ní, považují se za ni, jsou její páteří. Forsyte- saga je obraz třídy. </w:t>
      </w:r>
      <w:r>
        <w:rPr>
          <w:lang w:val="en-US" w:eastAsia="en-US" w:bidi="en-US"/>
        </w:rPr>
        <w:t xml:space="preserve">Galsworthy </w:t>
      </w:r>
      <w:r>
        <w:t>v její předmluvě</w:t>
      </w:r>
      <w:r>
        <w:t xml:space="preserve"> po</w:t>
      </w:r>
      <w:r>
        <w:softHyphen/>
        <w:t>dotýká, že v ní chtěl uchovat podobu britského měšťá</w:t>
      </w:r>
      <w:r>
        <w:softHyphen/>
        <w:t>ka v jeho vlastní šťávě, a tou prý je zájem o soukromé vlastnictví. Sága rodu Herriesů není obraz měšťákův. Herriesové nemají tento výlučný směr. Jsou přede</w:t>
      </w:r>
      <w:r>
        <w:softHyphen/>
        <w:t>vším Angličané, Cumberlanďané, statkáři. J</w:t>
      </w:r>
      <w:r>
        <w:t>sou hleda</w:t>
      </w:r>
      <w:r>
        <w:softHyphen/>
        <w:t>či lásky, Boha, moci, kariéry, pravdy, spravedlnosti, ba i svobody a umění. Jsou kazatelé a peněžníci, baro</w:t>
      </w:r>
      <w:r>
        <w:softHyphen/>
        <w:t xml:space="preserve">neti a tuláci, jsou spisovatelé a vojáci. Jsou královny salonů a dobrodružky. Pobožnůstkářkv a hosoodvňky, sociální pracovnice, studentky </w:t>
      </w:r>
      <w:r>
        <w:t>a sufražetky. Herrieso</w:t>
      </w:r>
      <w:r>
        <w:softHyphen/>
        <w:t>vé jsou v obrovité zkratce vše, čím rostla, žila. bujněla, opájela se, co milovala a nenáviděla, čemu čelila, čeho se bála a čím vadla Anglie ve třech stoletích, osm</w:t>
      </w:r>
      <w:r>
        <w:softHyphen/>
        <w:t>náctém, devatenáctém a dvacátém. Judita porodí ne</w:t>
      </w:r>
      <w:r>
        <w:softHyphen/>
        <w:t xml:space="preserve">manželského syna </w:t>
      </w:r>
      <w:r>
        <w:t>v Paříži, obsazené po pádu Na</w:t>
      </w:r>
      <w:r>
        <w:softHyphen/>
        <w:t>poleonově vojsky spoienců. Její syn po^uá svou ženu na korunovačním průvodě královny Viktorie. Její vnučka je přítomna průvodu jubilejnímu. Od vzniku průmyslu přes první slavnou výstavu, od venkovských zápasů a her v míč po sv</w:t>
      </w:r>
      <w:r>
        <w:t>ětové rohovnické utkání, od vý</w:t>
      </w:r>
      <w:r>
        <w:softHyphen/>
        <w:t>ročního trhu v Keswicku přes Oscara Wildea k burské válce Herriesové jsou krvinkami v rozmachu britské</w:t>
      </w:r>
      <w:r>
        <w:softHyphen/>
        <w:t>ho imneria. A kritika Herriesů v příbězích šíleného Ellise s krásnou Vanessou a tulákem Benwminem, jenž cumberlandské toul</w:t>
      </w:r>
      <w:r>
        <w:t>ky nranraděda Františka roz</w:t>
      </w:r>
      <w:r>
        <w:softHyphen/>
        <w:t xml:space="preserve">šiřuje na Čínu, Ameriku. Jižní Afriku a Rusko, stává se strašnou kritikou anglického pokrytectví, anglické sóa hrabivosti, anglického národního sebeklamu a posléze jakoby životního znechucení. Moloch Londýn pone- náhlu pohlcuje </w:t>
      </w:r>
      <w:r>
        <w:t>a vyssává Herriesy. Ztrácejí souvislost s rodným Cumberlandem. Ve věčném boji Herriesů konvenčních, těch bez obraznosti, s Herriesy svobod</w:t>
      </w:r>
      <w:r>
        <w:softHyphen/>
        <w:t>nými a tuláky, těmi, kteří obraznost mají, od pokolení k pokolení útěk tuláků více a více je útěk z vládnoucí vrstvy,</w:t>
      </w:r>
      <w:r>
        <w:t xml:space="preserve"> posléze v poslední Herriesovně, Vanessině dceři </w:t>
      </w:r>
      <w:r>
        <w:rPr>
          <w:lang w:val="en-US" w:eastAsia="en-US" w:bidi="en-US"/>
        </w:rPr>
        <w:t xml:space="preserve">Sally, </w:t>
      </w:r>
      <w:r>
        <w:t>jež se vdá do Německa, útěk z vlasti. Její otec Benjamin (opět nemanželský) vrací se v sedm</w:t>
      </w:r>
      <w:r>
        <w:softHyphen/>
        <w:t>desáti letech zpět do rodného Cumberlandu: nechce už nic vědět o světě.</w:t>
      </w:r>
    </w:p>
    <w:p w:rsidR="00500724" w:rsidRDefault="00F30FB8">
      <w:pPr>
        <w:pStyle w:val="Zkladntext30"/>
        <w:shd w:val="clear" w:color="auto" w:fill="auto"/>
        <w:spacing w:after="0" w:line="204" w:lineRule="auto"/>
        <w:ind w:firstLine="240"/>
      </w:pPr>
      <w:r>
        <w:t>Nechce už nic vědět o Anglii.</w:t>
      </w:r>
    </w:p>
    <w:p w:rsidR="00500724" w:rsidRDefault="00F30FB8">
      <w:pPr>
        <w:pStyle w:val="Zkladntext30"/>
        <w:shd w:val="clear" w:color="auto" w:fill="auto"/>
        <w:spacing w:after="0" w:line="204" w:lineRule="auto"/>
        <w:ind w:firstLine="240"/>
      </w:pPr>
      <w:r>
        <w:t>Něco s</w:t>
      </w:r>
      <w:r>
        <w:t>e v Herriesech zlomilo.</w:t>
      </w:r>
    </w:p>
    <w:p w:rsidR="00500724" w:rsidRDefault="00F30FB8">
      <w:pPr>
        <w:pStyle w:val="Zkladntext30"/>
        <w:shd w:val="clear" w:color="auto" w:fill="auto"/>
        <w:spacing w:after="120" w:line="204" w:lineRule="auto"/>
        <w:ind w:firstLine="240"/>
      </w:pPr>
      <w:r>
        <w:t>Něco se zlomilo v Anglii.</w:t>
      </w:r>
    </w:p>
    <w:p w:rsidR="00500724" w:rsidRDefault="00F30FB8">
      <w:pPr>
        <w:pStyle w:val="Zkladntext30"/>
        <w:shd w:val="clear" w:color="auto" w:fill="auto"/>
        <w:spacing w:after="100" w:line="204" w:lineRule="auto"/>
        <w:ind w:firstLine="0"/>
        <w:jc w:val="center"/>
      </w:pPr>
      <w:r>
        <w:t>Lhostejnost k impériu</w:t>
      </w:r>
    </w:p>
    <w:p w:rsidR="00500724" w:rsidRDefault="00F30FB8">
      <w:pPr>
        <w:pStyle w:val="Zkladntext30"/>
        <w:shd w:val="clear" w:color="auto" w:fill="auto"/>
        <w:spacing w:after="0" w:line="204" w:lineRule="auto"/>
        <w:ind w:firstLine="240"/>
      </w:pPr>
      <w:r>
        <w:t>Nepatrný první náraz nejspíše se rozezná už při smrti Gordonově v Chartumu. Ale zahanbený úžas porážky od Mahdiho zanikne ve vzteku, jenž si žádá hlavy Gíadstoneovy. Citelně a viditelně to pohne impériem, když mu napráskají Burové. Jenže Burové v Jižní jso</w:t>
      </w:r>
      <w:r>
        <w:t xml:space="preserve">u nepřítel o málo silnější, než byl </w:t>
      </w:r>
      <w:r>
        <w:rPr>
          <w:lang w:val="en-US" w:eastAsia="en-US" w:bidi="en-US"/>
        </w:rPr>
        <w:t xml:space="preserve">Mahdi </w:t>
      </w:r>
      <w:r>
        <w:t>v Severní Africe. I oni nakonec prohrají svou, věru svátou válku. Osvobození Mafekingu způsobí v Lon</w:t>
      </w:r>
      <w:r>
        <w:softHyphen/>
        <w:t xml:space="preserve">dýně hotovou orgii nadšení, </w:t>
      </w:r>
      <w:r>
        <w:rPr>
          <w:lang w:val="en-US" w:eastAsia="en-US" w:bidi="en-US"/>
        </w:rPr>
        <w:t xml:space="preserve">delirium </w:t>
      </w:r>
      <w:r>
        <w:t>radosti, zcela nepoměrné k věci. Je to, rozumí-li kdo dobře Walpo- leovi, úl</w:t>
      </w:r>
      <w:r>
        <w:t>eva z napravené ostudy.</w:t>
      </w:r>
    </w:p>
    <w:p w:rsidR="00500724" w:rsidRDefault="00F30FB8">
      <w:pPr>
        <w:pStyle w:val="Zkladntext30"/>
        <w:shd w:val="clear" w:color="auto" w:fill="auto"/>
        <w:spacing w:after="0" w:line="204" w:lineRule="auto"/>
        <w:ind w:firstLine="240"/>
      </w:pPr>
      <w:r>
        <w:t>Ku podivu studeněji probíhá oslava vítězství v listo</w:t>
      </w:r>
      <w:r>
        <w:softHyphen/>
        <w:t>padu 1918. Ne, ne, to není to, říká kterýsi divák, Herries. Neboť světová válka —</w:t>
      </w:r>
    </w:p>
    <w:p w:rsidR="00500724" w:rsidRDefault="00F30FB8">
      <w:pPr>
        <w:pStyle w:val="Zkladntext30"/>
        <w:shd w:val="clear" w:color="auto" w:fill="auto"/>
        <w:spacing w:after="0" w:line="204" w:lineRule="auto"/>
        <w:ind w:firstLine="240"/>
      </w:pPr>
      <w:r>
        <w:t>Herriesové ji zřejmě nepociťují jako vítězství. Roz</w:t>
      </w:r>
      <w:r>
        <w:softHyphen/>
        <w:t xml:space="preserve">hodně ne jako projev své síly. Nedospělá </w:t>
      </w:r>
      <w:r>
        <w:rPr>
          <w:lang w:val="en-US" w:eastAsia="en-US" w:bidi="en-US"/>
        </w:rPr>
        <w:t xml:space="preserve">Sally </w:t>
      </w:r>
      <w:r>
        <w:t>ji myslí školaččinou chápe zprvu jako »švandu«, pak jako »otravu«, nakonec jako »hodně strašnou věc«. Herriesovští muži sice o ní vedou mužné řeči, ale tento z nich v zákopech marně se mučí, proč tu má chcípat, onen začne vyvádět a hroutí se, když se</w:t>
      </w:r>
      <w:r>
        <w:t xml:space="preserve"> do nich z dovolené má vrátit po třetí.</w:t>
      </w:r>
    </w:p>
    <w:p w:rsidR="00500724" w:rsidRDefault="00F30FB8">
      <w:pPr>
        <w:pStyle w:val="Zkladntext30"/>
        <w:shd w:val="clear" w:color="auto" w:fill="auto"/>
        <w:spacing w:after="0" w:line="204" w:lineRule="auto"/>
        <w:ind w:firstLine="240"/>
      </w:pPr>
      <w:r>
        <w:t>V letech třicátých devatenáctého století Herriesové hospodářskou a sociální krisi svádějí ještě na Na</w:t>
      </w:r>
      <w:r>
        <w:softHyphen/>
        <w:t>poleona. V letech třicátých století dvacátého žijí v ne</w:t>
      </w:r>
      <w:r>
        <w:softHyphen/>
        <w:t>ladu, jenž skutečně pramení ze světové války. Z války takt</w:t>
      </w:r>
      <w:r>
        <w:t>éž vyhrané.</w:t>
      </w:r>
    </w:p>
    <w:p w:rsidR="00500724" w:rsidRDefault="00F30FB8">
      <w:pPr>
        <w:pStyle w:val="Zkladntext30"/>
        <w:shd w:val="clear" w:color="auto" w:fill="auto"/>
        <w:spacing w:after="0" w:line="204" w:lineRule="auto"/>
        <w:ind w:firstLine="240"/>
      </w:pPr>
      <w:r>
        <w:t>Vyhráli ji Herriesové opravdu?</w:t>
      </w:r>
    </w:p>
    <w:p w:rsidR="00500724" w:rsidRDefault="00F30FB8">
      <w:pPr>
        <w:pStyle w:val="Zkladntext30"/>
        <w:shd w:val="clear" w:color="auto" w:fill="auto"/>
        <w:spacing w:after="0" w:line="204" w:lineRule="auto"/>
        <w:ind w:firstLine="240"/>
      </w:pPr>
      <w:r>
        <w:t>Svou válku s Japonskem 1902—1904 Rusko pro</w:t>
      </w:r>
      <w:r>
        <w:softHyphen/>
        <w:t>hrálo. Odstonalo ji první revolucí. Tenkrát vzbudil sensaci Arcybaševův »Sanin«. Po válce světové mezi všemi těmi Huxleyi a Bromfieldy, o kterých svrchu byla řeč, vzbudil</w:t>
      </w:r>
      <w:r>
        <w:t xml:space="preserve"> sensaci »Milenec lady Chatter- leyové«. V době, kdy asi byl psán, </w:t>
      </w:r>
      <w:r>
        <w:rPr>
          <w:lang w:val="en-US" w:eastAsia="en-US" w:bidi="en-US"/>
        </w:rPr>
        <w:t xml:space="preserve">Sally </w:t>
      </w:r>
      <w:r>
        <w:t>spí se svým korektním úředníkem ze zahraničního ministerstva, který si ji nevezme, protože jeho maminka nechce. Je to resignovaná dívka bez ilusí, ta Vanessina dcerka, té Vanessy, kte</w:t>
      </w:r>
      <w:r>
        <w:t>rá mezi Herriesy s takovou urozeností hraje úlohu Anny Kareniny, že ji vezmou dokonce na milost.</w:t>
      </w:r>
    </w:p>
    <w:p w:rsidR="00500724" w:rsidRDefault="00F30FB8">
      <w:pPr>
        <w:pStyle w:val="Zkladntext30"/>
        <w:shd w:val="clear" w:color="auto" w:fill="auto"/>
        <w:spacing w:after="0" w:line="204" w:lineRule="auto"/>
        <w:ind w:firstLine="240"/>
      </w:pPr>
      <w:r>
        <w:t xml:space="preserve">Jak poznamenáno, ta </w:t>
      </w:r>
      <w:r>
        <w:rPr>
          <w:lang w:val="en-US" w:eastAsia="en-US" w:bidi="en-US"/>
        </w:rPr>
        <w:t xml:space="preserve">Sally </w:t>
      </w:r>
      <w:r>
        <w:t>se provdá do Německa. V Anglii zatím někdo někomu odpovídá na všetečnou otázku s týmž hlubokým klidem resignace bez ilusí, k jakému p</w:t>
      </w:r>
      <w:r>
        <w:t>o dvou stech letech může dospět Herries: xlmperium, můj milý? Impérium se jednoho krásného dne rozpadne.«</w:t>
      </w:r>
    </w:p>
    <w:p w:rsidR="00500724" w:rsidRDefault="00F30FB8">
      <w:pPr>
        <w:pStyle w:val="Zkladntext30"/>
        <w:shd w:val="clear" w:color="auto" w:fill="auto"/>
        <w:spacing w:after="0" w:line="204" w:lineRule="auto"/>
        <w:ind w:firstLine="240"/>
        <w:sectPr w:rsidR="00500724">
          <w:footnotePr>
            <w:numFmt w:val="chicago"/>
            <w:numRestart w:val="eachPage"/>
          </w:footnotePr>
          <w:type w:val="continuous"/>
          <w:pgSz w:w="11909" w:h="16834"/>
          <w:pgMar w:top="689" w:right="823" w:bottom="681" w:left="722" w:header="0" w:footer="3" w:gutter="0"/>
          <w:cols w:num="2" w:space="177"/>
          <w:noEndnote/>
          <w:docGrid w:linePitch="360"/>
        </w:sectPr>
      </w:pPr>
      <w:r>
        <w:t>Ruské, příliš ruské. Sirókaja britskaja nátura. Pří-</w:t>
      </w:r>
    </w:p>
    <w:p w:rsidR="00500724" w:rsidRDefault="00F30FB8">
      <w:pPr>
        <w:pStyle w:val="Nadpis90"/>
        <w:keepNext/>
        <w:keepLines/>
        <w:pBdr>
          <w:bottom w:val="single" w:sz="4" w:space="0" w:color="auto"/>
        </w:pBdr>
        <w:shd w:val="clear" w:color="auto" w:fill="auto"/>
        <w:spacing w:after="0"/>
        <w:ind w:right="120"/>
        <w:jc w:val="center"/>
        <w:sectPr w:rsidR="00500724">
          <w:footnotePr>
            <w:numFmt w:val="chicago"/>
            <w:numRestart w:val="eachPage"/>
          </w:footnotePr>
          <w:pgSz w:w="11909" w:h="16834"/>
          <w:pgMar w:top="706" w:right="800" w:bottom="972" w:left="694" w:header="0" w:footer="3" w:gutter="0"/>
          <w:cols w:space="720"/>
          <w:noEndnote/>
          <w:docGrid w:linePitch="360"/>
        </w:sectPr>
      </w:pPr>
      <w:bookmarkStart w:id="420" w:name="bookmark419"/>
      <w:r>
        <w:rPr>
          <w:rFonts w:ascii="Times New Roman" w:eastAsia="Times New Roman" w:hAnsi="Times New Roman" w:cs="Times New Roman"/>
        </w:rPr>
        <w:t>Přítomnosti</w:t>
      </w:r>
      <w:bookmarkEnd w:id="420"/>
    </w:p>
    <w:p w:rsidR="00500724" w:rsidRDefault="00500724">
      <w:pPr>
        <w:spacing w:line="94" w:lineRule="exact"/>
        <w:rPr>
          <w:sz w:val="8"/>
          <w:szCs w:val="8"/>
        </w:rPr>
      </w:pPr>
    </w:p>
    <w:p w:rsidR="00500724" w:rsidRDefault="00500724">
      <w:pPr>
        <w:spacing w:line="14" w:lineRule="exact"/>
        <w:sectPr w:rsidR="00500724">
          <w:footnotePr>
            <w:numFmt w:val="chicago"/>
            <w:numRestart w:val="eachPage"/>
          </w:footnotePr>
          <w:type w:val="continuous"/>
          <w:pgSz w:w="11909" w:h="16834"/>
          <w:pgMar w:top="693" w:right="0" w:bottom="986" w:left="0" w:header="0" w:footer="3" w:gutter="0"/>
          <w:cols w:space="720"/>
          <w:noEndnote/>
          <w:docGrid w:linePitch="360"/>
        </w:sectPr>
      </w:pPr>
    </w:p>
    <w:p w:rsidR="00500724" w:rsidRDefault="00F30FB8">
      <w:pPr>
        <w:pStyle w:val="Zkladntext30"/>
        <w:shd w:val="clear" w:color="auto" w:fill="auto"/>
        <w:spacing w:after="220" w:line="204" w:lineRule="auto"/>
        <w:ind w:firstLine="0"/>
      </w:pPr>
      <w:r>
        <w:t>mo slyšitelně se poblíže závěru v herriesovská sáze staré »all right« přehlasovalo v »ničevó«, a všecky podoby mezi dvěma národními dušemi, lépe: mezi dvěma společnostmi dvou starých císařství nabyly tragického smyslu. Není věc čtenářova, věšteckým duchem</w:t>
      </w:r>
      <w:r>
        <w:t xml:space="preserve"> předjímat dějiny. Nenáleží mu ani úsudek, zda Walpoleovo mistrovské dílo je předtucha nějaké katastrofy. Ale být čtenářem anglickým, být Herrie- sem, lekl by se do hloubi duše.</w:t>
      </w:r>
    </w:p>
    <w:p w:rsidR="00500724" w:rsidRDefault="00F30FB8">
      <w:pPr>
        <w:pStyle w:val="Zkladntext30"/>
        <w:shd w:val="clear" w:color="auto" w:fill="auto"/>
        <w:spacing w:line="226" w:lineRule="auto"/>
        <w:ind w:firstLine="0"/>
        <w:rPr>
          <w:sz w:val="20"/>
          <w:szCs w:val="20"/>
        </w:rPr>
      </w:pPr>
      <w:r>
        <w:rPr>
          <w:i/>
          <w:iCs/>
          <w:sz w:val="20"/>
          <w:szCs w:val="20"/>
        </w:rPr>
        <w:t>Jar. B r o ž:</w:t>
      </w:r>
    </w:p>
    <w:p w:rsidR="00500724" w:rsidRDefault="00F30FB8">
      <w:pPr>
        <w:pStyle w:val="Nadpis100"/>
        <w:shd w:val="clear" w:color="auto" w:fill="auto"/>
        <w:spacing w:line="240" w:lineRule="auto"/>
        <w:ind w:left="480"/>
        <w:jc w:val="left"/>
      </w:pPr>
      <w:bookmarkStart w:id="421" w:name="bookmark424"/>
      <w:r>
        <w:t>Miliony kolem „Sněhurky</w:t>
      </w:r>
      <w:r>
        <w:rPr>
          <w:vertAlign w:val="superscript"/>
        </w:rPr>
        <w:t>44</w:t>
      </w:r>
      <w:bookmarkEnd w:id="421"/>
    </w:p>
    <w:p w:rsidR="00500724" w:rsidRDefault="00F30FB8">
      <w:pPr>
        <w:pStyle w:val="Zkladntext100"/>
        <w:shd w:val="clear" w:color="auto" w:fill="auto"/>
        <w:spacing w:after="160" w:line="233" w:lineRule="auto"/>
        <w:ind w:firstLine="220"/>
        <w:rPr>
          <w:sz w:val="19"/>
          <w:szCs w:val="19"/>
        </w:rPr>
      </w:pPr>
      <w:r>
        <w:rPr>
          <w:sz w:val="19"/>
          <w:szCs w:val="19"/>
        </w:rPr>
        <w:t xml:space="preserve">Zatím co se u nás přestěhoval první </w:t>
      </w:r>
      <w:r>
        <w:rPr>
          <w:sz w:val="19"/>
          <w:szCs w:val="19"/>
        </w:rPr>
        <w:t>celovečerní kresle</w:t>
      </w:r>
      <w:r>
        <w:rPr>
          <w:sz w:val="19"/>
          <w:szCs w:val="19"/>
        </w:rPr>
        <w:softHyphen/>
        <w:t>ný film — Disneyova »Sněhurka« — z větších měst, kde se po dlouhé týdny (v Praze dokonce po dlouhé měsíce) houževnatě držel na programu, do venkovských kin, při</w:t>
      </w:r>
      <w:r>
        <w:rPr>
          <w:sz w:val="19"/>
          <w:szCs w:val="19"/>
        </w:rPr>
        <w:softHyphen/>
        <w:t>chází z Ameriky zpráva, že z rozhodnutí obchodního vedení Disneyovy produkčn</w:t>
      </w:r>
      <w:r>
        <w:rPr>
          <w:sz w:val="19"/>
          <w:szCs w:val="19"/>
        </w:rPr>
        <w:t>í společnosti bude dnem 29. dubna tento nejúspěšnější film posledních let stažen z programů amerických kin. Je pravda, že v Americe je 3&gt;Sněhurka« promítána o devět měsíců déle než u nás, neboť americkou (a současně i světovou) premiéru si odbyl tento sním</w:t>
      </w:r>
      <w:r>
        <w:rPr>
          <w:sz w:val="19"/>
          <w:szCs w:val="19"/>
        </w:rPr>
        <w:t>ek již v posledním prosincovém týdnu roku 1937 v předním losangeleském kině; nicméně za uplynulých šestnáct měsíců dávno ještě nebyl obchodně vykořistěn, neboť malá chudá venkovská kina si promí</w:t>
      </w:r>
      <w:r>
        <w:rPr>
          <w:sz w:val="19"/>
          <w:szCs w:val="19"/>
        </w:rPr>
        <w:softHyphen/>
        <w:t>tání tohoto drahého filmu dodnes nemohla dovolit.</w:t>
      </w:r>
    </w:p>
    <w:p w:rsidR="00500724" w:rsidRDefault="00F30FB8">
      <w:pPr>
        <w:pStyle w:val="Zkladntext100"/>
        <w:shd w:val="clear" w:color="auto" w:fill="auto"/>
        <w:spacing w:after="120" w:line="211" w:lineRule="auto"/>
        <w:ind w:firstLine="0"/>
        <w:jc w:val="center"/>
        <w:rPr>
          <w:sz w:val="19"/>
          <w:szCs w:val="19"/>
        </w:rPr>
      </w:pPr>
      <w:r>
        <w:rPr>
          <w:sz w:val="19"/>
          <w:szCs w:val="19"/>
        </w:rPr>
        <w:t xml:space="preserve">Přípravy k </w:t>
      </w:r>
      <w:r>
        <w:rPr>
          <w:sz w:val="19"/>
          <w:szCs w:val="19"/>
        </w:rPr>
        <w:t>opakované premiéře</w:t>
      </w:r>
    </w:p>
    <w:p w:rsidR="00500724" w:rsidRDefault="00F30FB8">
      <w:pPr>
        <w:pStyle w:val="Zkladntext100"/>
        <w:shd w:val="clear" w:color="auto" w:fill="auto"/>
        <w:spacing w:after="40" w:line="211" w:lineRule="auto"/>
        <w:ind w:firstLine="220"/>
        <w:rPr>
          <w:sz w:val="19"/>
          <w:szCs w:val="19"/>
        </w:rPr>
      </w:pPr>
      <w:r>
        <w:rPr>
          <w:sz w:val="19"/>
          <w:szCs w:val="19"/>
        </w:rPr>
        <w:t>Rozhodnutí Walta Disneye o zastavení dalšího promí</w:t>
      </w:r>
      <w:r>
        <w:rPr>
          <w:sz w:val="19"/>
          <w:szCs w:val="19"/>
        </w:rPr>
        <w:softHyphen/>
        <w:t>tání »Sněhurky« po pouhých šestnácti měsících po pre</w:t>
      </w:r>
      <w:r>
        <w:rPr>
          <w:sz w:val="19"/>
          <w:szCs w:val="19"/>
        </w:rPr>
        <w:softHyphen/>
        <w:t>miéře, svědčí o velké obchodní prozíravosti tvůrce to</w:t>
      </w:r>
      <w:r>
        <w:rPr>
          <w:sz w:val="19"/>
          <w:szCs w:val="19"/>
        </w:rPr>
        <w:softHyphen/>
        <w:t>hoto prvního celovečerního kresleného filmu a potvr</w:t>
      </w:r>
      <w:r>
        <w:rPr>
          <w:sz w:val="19"/>
          <w:szCs w:val="19"/>
        </w:rPr>
        <w:softHyphen/>
        <w:t>zuje, že Walt Disney je nej</w:t>
      </w:r>
      <w:r>
        <w:rPr>
          <w:sz w:val="19"/>
          <w:szCs w:val="19"/>
        </w:rPr>
        <w:t>enom velkým umělcem, ale i znamenitým obchodníkem.</w:t>
      </w:r>
    </w:p>
    <w:p w:rsidR="00500724" w:rsidRDefault="00F30FB8">
      <w:pPr>
        <w:pStyle w:val="Zkladntext100"/>
        <w:shd w:val="clear" w:color="auto" w:fill="auto"/>
        <w:spacing w:after="40" w:line="211" w:lineRule="auto"/>
        <w:ind w:firstLine="220"/>
        <w:rPr>
          <w:sz w:val="19"/>
          <w:szCs w:val="19"/>
        </w:rPr>
      </w:pPr>
      <w:r>
        <w:rPr>
          <w:sz w:val="19"/>
          <w:szCs w:val="19"/>
        </w:rPr>
        <w:t>Nikdo se snad při čtení zprávy o předčasném stažení obchodně nad jiné úspěšného filmu z kin nebude domní</w:t>
      </w:r>
      <w:r>
        <w:rPr>
          <w:sz w:val="19"/>
          <w:szCs w:val="19"/>
        </w:rPr>
        <w:softHyphen/>
        <w:t>vat, že Disney si svůj film, který by mohl ještě dlouhou dobu lákat další miliony diváků, uloží do t</w:t>
      </w:r>
      <w:r>
        <w:rPr>
          <w:sz w:val="19"/>
          <w:szCs w:val="19"/>
        </w:rPr>
        <w:t>resoru, spo</w:t>
      </w:r>
      <w:r>
        <w:rPr>
          <w:sz w:val="19"/>
          <w:szCs w:val="19"/>
        </w:rPr>
        <w:softHyphen/>
        <w:t>kojen tím, že za dosavadní dobu promítání se mu vý</w:t>
      </w:r>
      <w:r>
        <w:rPr>
          <w:sz w:val="19"/>
          <w:szCs w:val="19"/>
        </w:rPr>
        <w:softHyphen/>
        <w:t>robní náklady z rekordních pokladních příjmů dávno již několikrát zaplatily. Jestliže americký filmový prů</w:t>
      </w:r>
      <w:r>
        <w:rPr>
          <w:sz w:val="19"/>
          <w:szCs w:val="19"/>
        </w:rPr>
        <w:softHyphen/>
        <w:t>mysl počítá pro exploataci průměrného celovečerního filmu s dobou 24 až 30 měsíců, neb</w:t>
      </w:r>
      <w:r>
        <w:rPr>
          <w:sz w:val="19"/>
          <w:szCs w:val="19"/>
        </w:rPr>
        <w:t>ude přece Disney ta</w:t>
      </w:r>
      <w:r>
        <w:rPr>
          <w:sz w:val="19"/>
          <w:szCs w:val="19"/>
        </w:rPr>
        <w:softHyphen/>
        <w:t>kovým pošetilcem, aby se vzdal zbytku příjmů — jistě ještě milionových —, které může z dalšího promítání &gt;Sněhurky« očekávat. Avšak právě, že je Disney ne pouze dobrým, ale přímo příkladným obchodníkem, rozhodl se učinit na čas svůj úsp</w:t>
      </w:r>
      <w:r>
        <w:rPr>
          <w:sz w:val="19"/>
          <w:szCs w:val="19"/>
        </w:rPr>
        <w:t>ěšný film vzácným a znovu toužebně žádaným.</w:t>
      </w:r>
    </w:p>
    <w:p w:rsidR="00500724" w:rsidRDefault="00F30FB8">
      <w:pPr>
        <w:pStyle w:val="Zkladntext100"/>
        <w:shd w:val="clear" w:color="auto" w:fill="auto"/>
        <w:spacing w:after="80" w:line="211" w:lineRule="auto"/>
        <w:ind w:firstLine="220"/>
        <w:rPr>
          <w:sz w:val="19"/>
          <w:szCs w:val="19"/>
        </w:rPr>
      </w:pPr>
      <w:r>
        <w:rPr>
          <w:sz w:val="19"/>
          <w:szCs w:val="19"/>
        </w:rPr>
        <w:t xml:space="preserve">Podle nejnovějších disposic obchodního vedení Walt Disney </w:t>
      </w:r>
      <w:r>
        <w:rPr>
          <w:sz w:val="19"/>
          <w:szCs w:val="19"/>
          <w:lang w:val="en-US" w:eastAsia="en-US" w:bidi="en-US"/>
        </w:rPr>
        <w:t xml:space="preserve">Art </w:t>
      </w:r>
      <w:r>
        <w:rPr>
          <w:sz w:val="19"/>
          <w:szCs w:val="19"/>
        </w:rPr>
        <w:t xml:space="preserve">Society má být »Sněhurka« po 29. dubnu suložena k leduc na dobu asi sedmi až osmi měsípů, aby mohla být za rozvíření reklamních bubnů opět uvedena do </w:t>
      </w:r>
      <w:r>
        <w:rPr>
          <w:sz w:val="19"/>
          <w:szCs w:val="19"/>
        </w:rPr>
        <w:t>předních amerických kin ve vánočním údobí, pro které je tento snímek jakoby stvořen. Od této druhé premiéry »Sněhurky« ve velkých amerických městech si Disney slibuje nové rekordní příjmy, na jejichž výši má působit právě ta osmiměsíční absence tohoto stál</w:t>
      </w:r>
      <w:r>
        <w:rPr>
          <w:sz w:val="19"/>
          <w:szCs w:val="19"/>
        </w:rPr>
        <w:t>e živě diskutovaného snímku. Podle přesvědčení Disneye- obchodníka se probudí za tuto dobu záměrného vylou</w:t>
      </w:r>
      <w:r>
        <w:rPr>
          <w:sz w:val="19"/>
          <w:szCs w:val="19"/>
        </w:rPr>
        <w:softHyphen/>
        <w:t xml:space="preserve">čení </w:t>
      </w:r>
      <w:r>
        <w:rPr>
          <w:sz w:val="20"/>
          <w:szCs w:val="20"/>
        </w:rPr>
        <w:t xml:space="preserve">s&gt; </w:t>
      </w:r>
      <w:r>
        <w:rPr>
          <w:sz w:val="19"/>
          <w:szCs w:val="19"/>
        </w:rPr>
        <w:t>Sněhurky « z dosahu návštěvníků kin zájem o dílo Disneye-umělce také u většiny těch, kteří příběh o »Sněhurce a sedmi trpaslících« zhlédli tř</w:t>
      </w:r>
      <w:r>
        <w:rPr>
          <w:sz w:val="19"/>
          <w:szCs w:val="19"/>
        </w:rPr>
        <w:t>ebas již něko</w:t>
      </w:r>
      <w:r>
        <w:rPr>
          <w:sz w:val="19"/>
          <w:szCs w:val="19"/>
        </w:rPr>
        <w:softHyphen/>
        <w:t>likrát a kteří by nyní sotva již měli chuť jít znovu za tímto filmem do malých předměstských a venkovských kin, do nichž by byl postupně při návalu jiných láka</w:t>
      </w:r>
      <w:r>
        <w:rPr>
          <w:sz w:val="19"/>
          <w:szCs w:val="19"/>
        </w:rPr>
        <w:softHyphen/>
        <w:t>vých filmových novinek vytlačován.</w:t>
      </w:r>
    </w:p>
    <w:p w:rsidR="00500724" w:rsidRDefault="00F30FB8">
      <w:pPr>
        <w:pStyle w:val="Zkladntext100"/>
        <w:shd w:val="clear" w:color="auto" w:fill="auto"/>
        <w:spacing w:after="40" w:line="211" w:lineRule="auto"/>
        <w:ind w:firstLine="0"/>
        <w:jc w:val="center"/>
        <w:rPr>
          <w:sz w:val="19"/>
          <w:szCs w:val="19"/>
        </w:rPr>
      </w:pPr>
      <w:r>
        <w:rPr>
          <w:sz w:val="19"/>
          <w:szCs w:val="19"/>
        </w:rPr>
        <w:t>Ve víru rekordů</w:t>
      </w:r>
    </w:p>
    <w:p w:rsidR="00500724" w:rsidRDefault="00F30FB8">
      <w:pPr>
        <w:pStyle w:val="Zkladntext100"/>
        <w:shd w:val="clear" w:color="auto" w:fill="auto"/>
        <w:spacing w:after="40" w:line="209" w:lineRule="auto"/>
        <w:ind w:firstLine="240"/>
        <w:rPr>
          <w:sz w:val="19"/>
          <w:szCs w:val="19"/>
        </w:rPr>
      </w:pPr>
      <w:r>
        <w:rPr>
          <w:sz w:val="19"/>
          <w:szCs w:val="19"/>
        </w:rPr>
        <w:t>Sestnáctiměsíční údobí promítán</w:t>
      </w:r>
      <w:r>
        <w:rPr>
          <w:sz w:val="19"/>
          <w:szCs w:val="19"/>
        </w:rPr>
        <w:t>í »Sněhurky« od pře-, miéry ke dni ohlášeného stažení snímku s filmového; trhu je ve znamení číselných rekordů. Ve Spojených* Státech byl Disneyův film v tomto údobí uveden 9000- krát na program kin, kde se většinou udržel několik tý</w:t>
      </w:r>
      <w:r>
        <w:rPr>
          <w:sz w:val="19"/>
          <w:szCs w:val="19"/>
        </w:rPr>
        <w:softHyphen/>
        <w:t>dnů. V Novém Yorku v n</w:t>
      </w:r>
      <w:r>
        <w:rPr>
          <w:sz w:val="19"/>
          <w:szCs w:val="19"/>
        </w:rPr>
        <w:t>ejvětším kině světa Radio-Ciíy- Music-Iíallu zaznamenal nejenom rekord co do délky, promítání (5 týdnů), ale i co do počtu diváků, kteří jej sem přišli zhlédnout (800.000 lidí) a co do pokladních příjmů (630.000 dolarů čili skoro 20 milionů K). Celkem vyne</w:t>
      </w:r>
      <w:r>
        <w:rPr>
          <w:sz w:val="19"/>
          <w:szCs w:val="19"/>
        </w:rPr>
        <w:t>sl tento film za dosavadní dobu svého promítání 8 milionů dolarů čistého příjmu, což ve skutečnosti zna</w:t>
      </w:r>
      <w:r>
        <w:rPr>
          <w:sz w:val="19"/>
          <w:szCs w:val="19"/>
        </w:rPr>
        <w:softHyphen/>
        <w:t xml:space="preserve">mená, že na vstupném muselo být vybráno alespoň 16 milionů dolarů. Jen z exploatace ve Spojených Státech byly odvedeny výrobci 4 miliony dolarů čistého </w:t>
      </w:r>
      <w:r>
        <w:rPr>
          <w:sz w:val="19"/>
          <w:szCs w:val="19"/>
        </w:rPr>
        <w:t>příjmu, k čemuž jest třeba přičíst z Anglie 1,750.000 dolarů, z Francie 500.000 dolarů a z ostatních 43 zemí, kde byla &gt;Sněhurka« uvedena, dalších 1,750.000 dolarů.</w:t>
      </w:r>
    </w:p>
    <w:p w:rsidR="00500724" w:rsidRDefault="00F30FB8">
      <w:pPr>
        <w:pStyle w:val="Zkladntext100"/>
        <w:shd w:val="clear" w:color="auto" w:fill="auto"/>
        <w:spacing w:after="40" w:line="211" w:lineRule="auto"/>
        <w:ind w:firstLine="240"/>
        <w:rPr>
          <w:sz w:val="19"/>
          <w:szCs w:val="19"/>
        </w:rPr>
      </w:pPr>
      <w:r>
        <w:rPr>
          <w:sz w:val="19"/>
          <w:szCs w:val="19"/>
        </w:rPr>
        <w:t xml:space="preserve">O rekordních pokladních příjmech &gt;Sněhurky« v amerických kinech si učiníme představu, </w:t>
      </w:r>
      <w:r>
        <w:rPr>
          <w:sz w:val="19"/>
          <w:szCs w:val="19"/>
        </w:rPr>
        <w:t>uvedeme-li, že na jedno kino připadá zhruba 500 dolarů odvedeného či</w:t>
      </w:r>
      <w:r>
        <w:rPr>
          <w:sz w:val="19"/>
          <w:szCs w:val="19"/>
        </w:rPr>
        <w:softHyphen/>
        <w:t>stého zisku čili v našich penězích asi 150.000 K. Srov</w:t>
      </w:r>
      <w:r>
        <w:rPr>
          <w:sz w:val="19"/>
          <w:szCs w:val="19"/>
        </w:rPr>
        <w:softHyphen/>
        <w:t>nání s jinými filmy vypadá pak asi takto: zatím co j&gt;Sněhurka« byla za pouhých 16 měsíců 9000krát na pro</w:t>
      </w:r>
      <w:r>
        <w:rPr>
          <w:sz w:val="19"/>
          <w:szCs w:val="19"/>
        </w:rPr>
        <w:softHyphen/>
        <w:t>gramu kin a za tu dobu vyne</w:t>
      </w:r>
      <w:r>
        <w:rPr>
          <w:sz w:val="19"/>
          <w:szCs w:val="19"/>
        </w:rPr>
        <w:t>sla 4 miliony dolarů, vynáší podle hollywoodských kalkulací dobrý hraný film v nejlepším případě celkem 2 miliony dolarů, ale to za dobu 24—30 měsíců promítání, při čemž je programo</w:t>
      </w:r>
      <w:r>
        <w:rPr>
          <w:sz w:val="19"/>
          <w:szCs w:val="19"/>
        </w:rPr>
        <w:softHyphen/>
        <w:t>ván včetně malých venkovských kin, do nichž sé &gt;Sně- hurka« zatím vůbec ne</w:t>
      </w:r>
      <w:r>
        <w:rPr>
          <w:sz w:val="19"/>
          <w:szCs w:val="19"/>
        </w:rPr>
        <w:t>dostala, nanejvýše desettisíckrát.</w:t>
      </w:r>
    </w:p>
    <w:p w:rsidR="00500724" w:rsidRDefault="00F30FB8">
      <w:pPr>
        <w:pStyle w:val="Zkladntext100"/>
        <w:shd w:val="clear" w:color="auto" w:fill="auto"/>
        <w:spacing w:after="160" w:line="209" w:lineRule="auto"/>
        <w:ind w:firstLine="240"/>
        <w:rPr>
          <w:sz w:val="19"/>
          <w:szCs w:val="19"/>
        </w:rPr>
      </w:pPr>
      <w:r>
        <w:rPr>
          <w:sz w:val="19"/>
          <w:szCs w:val="19"/>
        </w:rPr>
        <w:t>Ovšem Disneyův první celovečerní film rozhodně ne</w:t>
      </w:r>
      <w:r>
        <w:rPr>
          <w:sz w:val="19"/>
          <w:szCs w:val="19"/>
        </w:rPr>
        <w:softHyphen/>
        <w:t>byl snímkem levným. Disneye jako výrobce přišel asi na 1.7 milionu dolarů a odhadneme-li dále nákladné pořízení deseti jazykových versí, v nichž byl dubbován, a několika s</w:t>
      </w:r>
      <w:r>
        <w:rPr>
          <w:sz w:val="19"/>
          <w:szCs w:val="19"/>
        </w:rPr>
        <w:t>et původních barevných kopií, které bylo třeba do všech zemí dodat, částkou 700.000 dolarů, shle</w:t>
      </w:r>
      <w:r>
        <w:rPr>
          <w:sz w:val="19"/>
          <w:szCs w:val="19"/>
        </w:rPr>
        <w:softHyphen/>
        <w:t xml:space="preserve">dáme, že na straně vydání měl Disney ve svých účetních knihách na kontě »Sněhurky« slušnou částku 2.4 mil. dolarů, což jest přes 70 milionů K. I tuto ohromnou </w:t>
      </w:r>
      <w:r>
        <w:rPr>
          <w:sz w:val="19"/>
          <w:szCs w:val="19"/>
        </w:rPr>
        <w:t>částku má ovšem dnes již tři a půlkrát zaplacenu.</w:t>
      </w:r>
    </w:p>
    <w:p w:rsidR="00500724" w:rsidRDefault="00F30FB8">
      <w:pPr>
        <w:pStyle w:val="Zkladntext100"/>
        <w:shd w:val="clear" w:color="auto" w:fill="auto"/>
        <w:spacing w:after="120" w:line="211" w:lineRule="auto"/>
        <w:ind w:firstLine="0"/>
        <w:jc w:val="center"/>
        <w:rPr>
          <w:sz w:val="19"/>
          <w:szCs w:val="19"/>
        </w:rPr>
      </w:pPr>
      <w:r>
        <w:rPr>
          <w:sz w:val="19"/>
          <w:szCs w:val="19"/>
        </w:rPr>
        <w:t>Okolo j e d n o h o f i 1 m o v éh o ú s p ě c h u</w:t>
      </w:r>
    </w:p>
    <w:p w:rsidR="00500724" w:rsidRDefault="00F30FB8">
      <w:pPr>
        <w:pStyle w:val="Zkladntext100"/>
        <w:shd w:val="clear" w:color="auto" w:fill="auto"/>
        <w:spacing w:after="40" w:line="211" w:lineRule="auto"/>
        <w:ind w:firstLine="240"/>
        <w:rPr>
          <w:sz w:val="19"/>
          <w:szCs w:val="19"/>
        </w:rPr>
      </w:pPr>
      <w:r>
        <w:rPr>
          <w:sz w:val="19"/>
          <w:szCs w:val="19"/>
        </w:rPr>
        <w:t>Disneyův obchodní duch dovedl však vytěžit slušné částky peněz i z různých jiných pramenů. Svým nákla</w:t>
      </w:r>
      <w:r>
        <w:rPr>
          <w:sz w:val="19"/>
          <w:szCs w:val="19"/>
        </w:rPr>
        <w:softHyphen/>
        <w:t>dem vydal na příklad různá knižní vydání &gt;Sněhurky« s</w:t>
      </w:r>
      <w:r>
        <w:rPr>
          <w:sz w:val="19"/>
          <w:szCs w:val="19"/>
        </w:rPr>
        <w:t xml:space="preserve"> původními filmovými kresbami. Těchto knížek v ce</w:t>
      </w:r>
      <w:r>
        <w:rPr>
          <w:sz w:val="19"/>
          <w:szCs w:val="19"/>
        </w:rPr>
        <w:softHyphen/>
        <w:t xml:space="preserve">nách od 10 centů do 2 a půl dolaru se za uplynulých šestnáct měsíců prodávalo průměrně 50.000 kusů denně, celkem do dnešního dne asi 22 milionů výtisků. Podobně šly na dračku i gramofonové desky s původním </w:t>
      </w:r>
      <w:r>
        <w:rPr>
          <w:sz w:val="19"/>
          <w:szCs w:val="19"/>
        </w:rPr>
        <w:t>nahrá</w:t>
      </w:r>
      <w:r>
        <w:rPr>
          <w:sz w:val="19"/>
          <w:szCs w:val="19"/>
        </w:rPr>
        <w:softHyphen/>
        <w:t>ním, které vydal rovněž vlastním nákladem prostřed</w:t>
      </w:r>
      <w:r>
        <w:rPr>
          <w:sz w:val="19"/>
          <w:szCs w:val="19"/>
        </w:rPr>
        <w:softHyphen/>
        <w:t xml:space="preserve">nictvím společnosti Vidor-Hís </w:t>
      </w:r>
      <w:r>
        <w:rPr>
          <w:sz w:val="19"/>
          <w:szCs w:val="19"/>
          <w:lang w:val="en-US" w:eastAsia="en-US" w:bidi="en-US"/>
        </w:rPr>
        <w:t xml:space="preserve">Master’s Voice. </w:t>
      </w:r>
      <w:r>
        <w:rPr>
          <w:sz w:val="19"/>
          <w:szCs w:val="19"/>
        </w:rPr>
        <w:t>Právo užít figurek ze »Sněhurky« pro různé předměty prodal Dis</w:t>
      </w:r>
      <w:r>
        <w:rPr>
          <w:sz w:val="19"/>
          <w:szCs w:val="19"/>
        </w:rPr>
        <w:softHyphen/>
        <w:t>ney 147 výrobcům pro 2138 jednotlivých výrobků. Je</w:t>
      </w:r>
      <w:r>
        <w:rPr>
          <w:sz w:val="19"/>
          <w:szCs w:val="19"/>
        </w:rPr>
        <w:softHyphen/>
        <w:t xml:space="preserve">nom </w:t>
      </w:r>
      <w:r>
        <w:rPr>
          <w:smallCaps/>
          <w:sz w:val="19"/>
          <w:szCs w:val="19"/>
        </w:rPr>
        <w:t>j&gt;</w:t>
      </w:r>
      <w:r>
        <w:rPr>
          <w:sz w:val="19"/>
          <w:szCs w:val="19"/>
        </w:rPr>
        <w:t xml:space="preserve"> Sněhurko vých« sklenic na vodu b</w:t>
      </w:r>
      <w:r>
        <w:rPr>
          <w:sz w:val="19"/>
          <w:szCs w:val="19"/>
        </w:rPr>
        <w:t>ylo prodáno 16 milionů kusů a přes dva miliony loutek se dostalo přes hračkářské krámy do rukou amerických dětí.</w:t>
      </w:r>
    </w:p>
    <w:p w:rsidR="00500724" w:rsidRDefault="00F30FB8">
      <w:pPr>
        <w:pStyle w:val="Zkladntext100"/>
        <w:shd w:val="clear" w:color="auto" w:fill="auto"/>
        <w:spacing w:after="40" w:line="226" w:lineRule="auto"/>
        <w:ind w:firstLine="240"/>
        <w:rPr>
          <w:sz w:val="19"/>
          <w:szCs w:val="19"/>
        </w:rPr>
      </w:pPr>
      <w:r>
        <w:rPr>
          <w:sz w:val="19"/>
          <w:szCs w:val="19"/>
        </w:rPr>
        <w:t>I zprávy z jiných zemí potvrzují jednoznačně výji</w:t>
      </w:r>
      <w:r>
        <w:rPr>
          <w:sz w:val="19"/>
          <w:szCs w:val="19"/>
        </w:rPr>
        <w:softHyphen/>
        <w:t>mečnost Disneyova díla a jeho rekordní úspěchy. Není jediné země — a můžeme to doložit i zkuš</w:t>
      </w:r>
      <w:r>
        <w:rPr>
          <w:sz w:val="19"/>
          <w:szCs w:val="19"/>
        </w:rPr>
        <w:t>enostmi z loň</w:t>
      </w:r>
      <w:r>
        <w:rPr>
          <w:sz w:val="19"/>
          <w:szCs w:val="19"/>
        </w:rPr>
        <w:softHyphen/>
        <w:t>ského podzimu v Praze —, kde by nebyla premiéra &gt;Sněhurky« zaznamenala rekord, a to i co do délky pro</w:t>
      </w:r>
      <w:r>
        <w:rPr>
          <w:sz w:val="19"/>
          <w:szCs w:val="19"/>
        </w:rPr>
        <w:softHyphen/>
        <w:t>mítání, i co do výše pokladních příjmů. S výjimkou Anglie a Holandska nenarazil tento film nikde na cen- surní potíže (v obou uvedených zemí</w:t>
      </w:r>
      <w:r>
        <w:rPr>
          <w:sz w:val="19"/>
          <w:szCs w:val="19"/>
        </w:rPr>
        <w:t>ch byl pro své domněle příliš hrůzně kreslené scény s čarující králov</w:t>
      </w:r>
      <w:r>
        <w:rPr>
          <w:sz w:val="19"/>
          <w:szCs w:val="19"/>
        </w:rPr>
        <w:softHyphen/>
        <w:t xml:space="preserve">nou povolen pro mládež jen v doprovodu dospělých), při čemž v Kanadě, v provincii města Quebecku, kde je již jedenáct let v platnosti obecný zakaz návštěvy kin mládeží do 16 let, byla u </w:t>
      </w:r>
      <w:r>
        <w:rPr>
          <w:sz w:val="19"/>
          <w:szCs w:val="19"/>
        </w:rPr>
        <w:t>»Sněhurky« po prvé v</w:t>
      </w:r>
      <w:r>
        <w:br w:type="page"/>
      </w:r>
    </w:p>
    <w:p w:rsidR="00500724" w:rsidRDefault="00F30FB8">
      <w:pPr>
        <w:pStyle w:val="Zkladntext100"/>
        <w:shd w:val="clear" w:color="auto" w:fill="auto"/>
        <w:spacing w:line="211" w:lineRule="auto"/>
        <w:ind w:firstLine="0"/>
        <w:rPr>
          <w:sz w:val="19"/>
          <w:szCs w:val="19"/>
        </w:rPr>
      </w:pPr>
      <w:r>
        <w:rPr>
          <w:noProof/>
        </w:rPr>
        <mc:AlternateContent>
          <mc:Choice Requires="wps">
            <w:drawing>
              <wp:anchor distT="0" distB="76200" distL="114300" distR="1025525" simplePos="0" relativeHeight="125829802" behindDoc="0" locked="0" layoutInCell="1" allowOverlap="1">
                <wp:simplePos x="0" y="0"/>
                <wp:positionH relativeFrom="page">
                  <wp:posOffset>3115310</wp:posOffset>
                </wp:positionH>
                <wp:positionV relativeFrom="margin">
                  <wp:posOffset>95885</wp:posOffset>
                </wp:positionV>
                <wp:extent cx="377825" cy="387350"/>
                <wp:effectExtent l="0" t="0" r="0" b="0"/>
                <wp:wrapTopAndBottom/>
                <wp:docPr id="425" name="Shape 425"/>
                <wp:cNvGraphicFramePr/>
                <a:graphic xmlns:a="http://schemas.openxmlformats.org/drawingml/2006/main">
                  <a:graphicData uri="http://schemas.microsoft.com/office/word/2010/wordprocessingShape">
                    <wps:wsp>
                      <wps:cNvSpPr txBox="1"/>
                      <wps:spPr>
                        <a:xfrm>
                          <a:off x="0" y="0"/>
                          <a:ext cx="377825" cy="387350"/>
                        </a:xfrm>
                        <a:prstGeom prst="rect">
                          <a:avLst/>
                        </a:prstGeom>
                        <a:noFill/>
                      </wps:spPr>
                      <wps:txbx>
                        <w:txbxContent>
                          <w:p w:rsidR="00500724" w:rsidRDefault="00F30FB8">
                            <w:pPr>
                              <w:pStyle w:val="Nadpis90"/>
                              <w:keepNext/>
                              <w:keepLines/>
                              <w:shd w:val="clear" w:color="auto" w:fill="auto"/>
                              <w:spacing w:after="0"/>
                            </w:pPr>
                            <w:bookmarkStart w:id="422" w:name="bookmark420"/>
                            <w:r>
                              <w:rPr>
                                <w:rFonts w:ascii="Times New Roman" w:eastAsia="Times New Roman" w:hAnsi="Times New Roman" w:cs="Times New Roman"/>
                              </w:rPr>
                              <w:t>Přít</w:t>
                            </w:r>
                            <w:bookmarkEnd w:id="422"/>
                          </w:p>
                        </w:txbxContent>
                      </wps:txbx>
                      <wps:bodyPr lIns="0" tIns="0" rIns="0" bIns="0">
                        <a:spAutoFit/>
                      </wps:bodyPr>
                    </wps:wsp>
                  </a:graphicData>
                </a:graphic>
              </wp:anchor>
            </w:drawing>
          </mc:Choice>
          <mc:Fallback>
            <w:pict>
              <v:shape id="_x0000_s1451" type="#_x0000_t202" style="position:absolute;margin-left:245.30000000000001pt;margin-top:7.5499999999999998pt;width:29.75pt;height:30.5pt;z-index:-125828951;mso-wrap-distance-left:9.pt;mso-wrap-distance-right:80.75pt;mso-wrap-distance-bottom:6.pt;mso-position-horizontal-relative:page;mso-position-vertical-relative:margin"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420" w:name="bookmark420"/>
                      <w:r>
                        <w:rPr>
                          <w:rFonts w:ascii="Times New Roman" w:eastAsia="Times New Roman" w:hAnsi="Times New Roman" w:cs="Times New Roman"/>
                          <w:color w:val="000000"/>
                          <w:spacing w:val="0"/>
                          <w:w w:val="100"/>
                          <w:position w:val="0"/>
                          <w:shd w:val="clear" w:color="auto" w:fill="auto"/>
                          <w:lang w:val="cs-CZ" w:eastAsia="cs-CZ" w:bidi="cs-CZ"/>
                        </w:rPr>
                        <w:t>Přít</w:t>
                      </w:r>
                      <w:bookmarkEnd w:id="420"/>
                    </w:p>
                  </w:txbxContent>
                </v:textbox>
                <w10:wrap type="topAndBottom" anchorx="page" anchory="margin"/>
              </v:shape>
            </w:pict>
          </mc:Fallback>
        </mc:AlternateContent>
      </w:r>
      <w:r>
        <w:rPr>
          <w:noProof/>
        </w:rPr>
        <mc:AlternateContent>
          <mc:Choice Requires="wps">
            <w:drawing>
              <wp:anchor distT="21590" distB="82550" distL="498475" distR="516890" simplePos="0" relativeHeight="125829804" behindDoc="0" locked="0" layoutInCell="1" allowOverlap="1">
                <wp:simplePos x="0" y="0"/>
                <wp:positionH relativeFrom="page">
                  <wp:posOffset>3499485</wp:posOffset>
                </wp:positionH>
                <wp:positionV relativeFrom="margin">
                  <wp:posOffset>117475</wp:posOffset>
                </wp:positionV>
                <wp:extent cx="502920" cy="359410"/>
                <wp:effectExtent l="0" t="0" r="0" b="0"/>
                <wp:wrapTopAndBottom/>
                <wp:docPr id="427" name="Shape 427"/>
                <wp:cNvGraphicFramePr/>
                <a:graphic xmlns:a="http://schemas.openxmlformats.org/drawingml/2006/main">
                  <a:graphicData uri="http://schemas.microsoft.com/office/word/2010/wordprocessingShape">
                    <wps:wsp>
                      <wps:cNvSpPr txBox="1"/>
                      <wps:spPr>
                        <a:xfrm>
                          <a:off x="0" y="0"/>
                          <a:ext cx="502920" cy="359410"/>
                        </a:xfrm>
                        <a:prstGeom prst="rect">
                          <a:avLst/>
                        </a:prstGeom>
                        <a:noFill/>
                      </wps:spPr>
                      <wps:txbx>
                        <w:txbxContent>
                          <w:p w:rsidR="00500724" w:rsidRDefault="00F30FB8">
                            <w:pPr>
                              <w:pStyle w:val="Nadpis80"/>
                              <w:keepNext/>
                              <w:keepLines/>
                              <w:pBdr>
                                <w:top w:val="single" w:sz="0" w:space="0" w:color="000000"/>
                                <w:left w:val="single" w:sz="0" w:space="0" w:color="000000"/>
                                <w:bottom w:val="single" w:sz="0" w:space="0" w:color="000000"/>
                                <w:right w:val="single" w:sz="0" w:space="0" w:color="000000"/>
                              </w:pBdr>
                              <w:shd w:val="clear" w:color="auto" w:fill="000000"/>
                              <w:spacing w:after="0"/>
                            </w:pPr>
                            <w:bookmarkStart w:id="423" w:name="bookmark421"/>
                            <w:r>
                              <w:rPr>
                                <w:rFonts w:ascii="Arial" w:eastAsia="Arial" w:hAnsi="Arial" w:cs="Arial"/>
                                <w:color w:val="FFFFFF"/>
                                <w:u w:val="none"/>
                              </w:rPr>
                              <w:t>•jim •</w:t>
                            </w:r>
                            <w:bookmarkEnd w:id="423"/>
                          </w:p>
                        </w:txbxContent>
                      </wps:txbx>
                      <wps:bodyPr lIns="0" tIns="0" rIns="0" bIns="0">
                        <a:spAutoFit/>
                      </wps:bodyPr>
                    </wps:wsp>
                  </a:graphicData>
                </a:graphic>
              </wp:anchor>
            </w:drawing>
          </mc:Choice>
          <mc:Fallback>
            <w:pict>
              <v:shape id="_x0000_s1453" type="#_x0000_t202" style="position:absolute;margin-left:275.55000000000001pt;margin-top:9.25pt;width:39.600000000000001pt;height:28.300000000000001pt;z-index:-125828949;mso-wrap-distance-left:39.25pt;mso-wrap-distance-top:1.7pt;mso-wrap-distance-right:40.700000000000003pt;mso-wrap-distance-bottom:6.5pt;mso-position-horizontal-relative:page;mso-position-vertical-relative:margin" filled="f" stroked="f">
                <v:textbox style="mso-fit-shape-to-text:t" inset="0,0,0,0">
                  <w:txbxContent>
                    <w:p>
                      <w:pPr>
                        <w:pStyle w:val="Style56"/>
                        <w:keepNext/>
                        <w:keepLines/>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421" w:name="bookmark421"/>
                      <w:r>
                        <w:rPr>
                          <w:rFonts w:ascii="Arial" w:eastAsia="Arial" w:hAnsi="Arial" w:cs="Arial"/>
                          <w:color w:val="FFFFFF"/>
                          <w:spacing w:val="0"/>
                          <w:w w:val="100"/>
                          <w:position w:val="0"/>
                          <w:sz w:val="46"/>
                          <w:szCs w:val="46"/>
                          <w:u w:val="none"/>
                          <w:shd w:val="clear" w:color="auto" w:fill="auto"/>
                          <w:lang w:val="cs-CZ" w:eastAsia="cs-CZ" w:bidi="cs-CZ"/>
                        </w:rPr>
                        <w:t>•jim •</w:t>
                      </w:r>
                      <w:bookmarkEnd w:id="421"/>
                    </w:p>
                  </w:txbxContent>
                </v:textbox>
                <w10:wrap type="topAndBottom" anchorx="page" anchory="margin"/>
              </v:shape>
            </w:pict>
          </mc:Fallback>
        </mc:AlternateContent>
      </w:r>
      <w:r>
        <w:rPr>
          <w:noProof/>
        </w:rPr>
        <mc:AlternateContent>
          <mc:Choice Requires="wps">
            <w:drawing>
              <wp:anchor distT="109855" distB="91440" distL="1007110" distR="114300" simplePos="0" relativeHeight="125829806" behindDoc="0" locked="0" layoutInCell="1" allowOverlap="1">
                <wp:simplePos x="0" y="0"/>
                <wp:positionH relativeFrom="page">
                  <wp:posOffset>4008755</wp:posOffset>
                </wp:positionH>
                <wp:positionV relativeFrom="margin">
                  <wp:posOffset>205740</wp:posOffset>
                </wp:positionV>
                <wp:extent cx="396240" cy="262255"/>
                <wp:effectExtent l="0" t="0" r="0" b="0"/>
                <wp:wrapTopAndBottom/>
                <wp:docPr id="429" name="Shape 429"/>
                <wp:cNvGraphicFramePr/>
                <a:graphic xmlns:a="http://schemas.openxmlformats.org/drawingml/2006/main">
                  <a:graphicData uri="http://schemas.microsoft.com/office/word/2010/wordprocessingShape">
                    <wps:wsp>
                      <wps:cNvSpPr txBox="1"/>
                      <wps:spPr>
                        <a:xfrm>
                          <a:off x="0" y="0"/>
                          <a:ext cx="396240" cy="262255"/>
                        </a:xfrm>
                        <a:prstGeom prst="rect">
                          <a:avLst/>
                        </a:prstGeom>
                        <a:noFill/>
                      </wps:spPr>
                      <wps:txbx>
                        <w:txbxContent>
                          <w:p w:rsidR="00500724" w:rsidRDefault="00F30FB8">
                            <w:pPr>
                              <w:pStyle w:val="Nadpis100"/>
                              <w:shd w:val="clear" w:color="auto" w:fill="auto"/>
                              <w:spacing w:after="0" w:line="240" w:lineRule="auto"/>
                              <w:jc w:val="left"/>
                            </w:pPr>
                            <w:bookmarkStart w:id="424" w:name="bookmark422"/>
                            <w:r>
                              <w:t>»St&gt;</w:t>
                            </w:r>
                            <w:bookmarkEnd w:id="424"/>
                          </w:p>
                        </w:txbxContent>
                      </wps:txbx>
                      <wps:bodyPr lIns="0" tIns="0" rIns="0" bIns="0">
                        <a:spAutoFit/>
                      </wps:bodyPr>
                    </wps:wsp>
                  </a:graphicData>
                </a:graphic>
              </wp:anchor>
            </w:drawing>
          </mc:Choice>
          <mc:Fallback>
            <w:pict>
              <v:shape id="_x0000_s1455" type="#_x0000_t202" style="position:absolute;margin-left:315.64999999999998pt;margin-top:16.199999999999999pt;width:31.199999999999999pt;height:20.649999999999999pt;z-index:-125828947;mso-wrap-distance-left:79.299999999999997pt;mso-wrap-distance-top:8.6500000000000004pt;mso-wrap-distance-right:9.pt;mso-wrap-distance-bottom:7.2000000000000002pt;mso-position-horizontal-relative:page;mso-position-vertical-relative:margin"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bookmarkStart w:id="422" w:name="bookmark422"/>
                      <w:r>
                        <w:rPr>
                          <w:color w:val="000000"/>
                          <w:spacing w:val="0"/>
                          <w:w w:val="100"/>
                          <w:position w:val="0"/>
                          <w:shd w:val="clear" w:color="auto" w:fill="auto"/>
                          <w:lang w:val="cs-CZ" w:eastAsia="cs-CZ" w:bidi="cs-CZ"/>
                        </w:rPr>
                        <w:t>»St&gt;</w:t>
                      </w:r>
                      <w:bookmarkEnd w:id="422"/>
                    </w:p>
                  </w:txbxContent>
                </v:textbox>
                <w10:wrap type="topAndBottom" anchorx="page" anchory="margin"/>
              </v:shape>
            </w:pict>
          </mc:Fallback>
        </mc:AlternateContent>
      </w:r>
      <w:r>
        <w:rPr>
          <w:sz w:val="19"/>
          <w:szCs w:val="19"/>
        </w:rPr>
        <w:t>tomto směru učiněna výjimka. Po prvé v historii zvuko</w:t>
      </w:r>
      <w:r>
        <w:rPr>
          <w:sz w:val="19"/>
          <w:szCs w:val="19"/>
        </w:rPr>
        <w:softHyphen/>
        <w:t xml:space="preserve">vého filmu vůbec byla ve Spojených Státech promítána v předních kinech mnoha velkých měst jinojazyčně dubbovaná verse amerického filmu, a to francouzský </w:t>
      </w:r>
      <w:r>
        <w:rPr>
          <w:sz w:val="19"/>
          <w:szCs w:val="19"/>
        </w:rPr>
        <w:t>namluvená verse ^Sněhurky*, která měla proti versi pů</w:t>
      </w:r>
      <w:r>
        <w:rPr>
          <w:sz w:val="19"/>
          <w:szCs w:val="19"/>
        </w:rPr>
        <w:softHyphen/>
        <w:t>vodní ve zvukové složce velmi originální pojetí.</w:t>
      </w:r>
    </w:p>
    <w:p w:rsidR="00500724" w:rsidRDefault="00F30FB8">
      <w:pPr>
        <w:pStyle w:val="Zkladntext100"/>
        <w:shd w:val="clear" w:color="auto" w:fill="auto"/>
        <w:spacing w:after="140" w:line="209" w:lineRule="auto"/>
        <w:ind w:firstLine="240"/>
        <w:rPr>
          <w:sz w:val="19"/>
          <w:szCs w:val="19"/>
        </w:rPr>
      </w:pPr>
      <w:r>
        <w:rPr>
          <w:sz w:val="19"/>
          <w:szCs w:val="19"/>
        </w:rPr>
        <w:t>Za film &gt;Sněhurka a sedm trpaslíků* se dostalo Dis- neyovi nejrůznějších odměn a čestných uznání — mimo jiné i ceny Americké filmové akademie a zvláštníh</w:t>
      </w:r>
      <w:r>
        <w:rPr>
          <w:sz w:val="19"/>
          <w:szCs w:val="19"/>
        </w:rPr>
        <w:t>o po</w:t>
      </w:r>
      <w:r>
        <w:rPr>
          <w:sz w:val="19"/>
          <w:szCs w:val="19"/>
        </w:rPr>
        <w:softHyphen/>
        <w:t xml:space="preserve">háru na loňském filmovém </w:t>
      </w:r>
      <w:r>
        <w:rPr>
          <w:sz w:val="19"/>
          <w:szCs w:val="19"/>
          <w:lang w:val="en-US" w:eastAsia="en-US" w:bidi="en-US"/>
        </w:rPr>
        <w:t xml:space="preserve">Biennale </w:t>
      </w:r>
      <w:r>
        <w:rPr>
          <w:sz w:val="19"/>
          <w:szCs w:val="19"/>
        </w:rPr>
        <w:t>v Benátkách —, Disney, sám obdržel čestné diplomy od akademických senátů universit Harvardské, Yalské a Kalifornské a jedna scéna z tohoto fihnu v původním pracovním ná</w:t>
      </w:r>
      <w:r>
        <w:rPr>
          <w:sz w:val="19"/>
          <w:szCs w:val="19"/>
        </w:rPr>
        <w:softHyphen/>
        <w:t>kresu pa celuloiduvé desce, jakých se užívá v la</w:t>
      </w:r>
      <w:r>
        <w:rPr>
          <w:sz w:val="19"/>
          <w:szCs w:val="19"/>
        </w:rPr>
        <w:t>bora</w:t>
      </w:r>
      <w:r>
        <w:rPr>
          <w:sz w:val="19"/>
          <w:szCs w:val="19"/>
        </w:rPr>
        <w:softHyphen/>
        <w:t xml:space="preserve">tořích pro kreslený film, byla uložena v novoyorském Metropolitan Museum </w:t>
      </w:r>
      <w:r>
        <w:rPr>
          <w:sz w:val="19"/>
          <w:szCs w:val="19"/>
          <w:lang w:val="en-US" w:eastAsia="en-US" w:bidi="en-US"/>
        </w:rPr>
        <w:t xml:space="preserve">of Art </w:t>
      </w:r>
      <w:r>
        <w:rPr>
          <w:sz w:val="19"/>
          <w:szCs w:val="19"/>
        </w:rPr>
        <w:t>ve zvláštní vitríně.</w:t>
      </w:r>
    </w:p>
    <w:p w:rsidR="00500724" w:rsidRDefault="00F30FB8">
      <w:pPr>
        <w:pStyle w:val="Zkladntext100"/>
        <w:shd w:val="clear" w:color="auto" w:fill="auto"/>
        <w:spacing w:after="80" w:line="209" w:lineRule="auto"/>
        <w:ind w:firstLine="0"/>
        <w:jc w:val="center"/>
        <w:rPr>
          <w:sz w:val="19"/>
          <w:szCs w:val="19"/>
        </w:rPr>
      </w:pPr>
      <w:r>
        <w:rPr>
          <w:sz w:val="19"/>
          <w:szCs w:val="19"/>
        </w:rPr>
        <w:t>Ve stopách »S n ě h u rky&lt;</w:t>
      </w:r>
    </w:p>
    <w:p w:rsidR="00500724" w:rsidRDefault="00F30FB8">
      <w:pPr>
        <w:pStyle w:val="Zkladntext100"/>
        <w:shd w:val="clear" w:color="auto" w:fill="auto"/>
        <w:spacing w:line="209" w:lineRule="auto"/>
        <w:ind w:firstLine="240"/>
        <w:rPr>
          <w:sz w:val="19"/>
          <w:szCs w:val="19"/>
        </w:rPr>
      </w:pPr>
      <w:r>
        <w:rPr>
          <w:sz w:val="19"/>
          <w:szCs w:val="19"/>
        </w:rPr>
        <w:t>Vyjde-li podle dnešních disposic po osmiměsíční pře</w:t>
      </w:r>
      <w:r>
        <w:rPr>
          <w:sz w:val="19"/>
          <w:szCs w:val="19"/>
        </w:rPr>
        <w:softHyphen/>
        <w:t>stávce Disneyova »Sněhurka* o příštích vánočních svát</w:t>
      </w:r>
      <w:r>
        <w:rPr>
          <w:sz w:val="19"/>
          <w:szCs w:val="19"/>
        </w:rPr>
        <w:softHyphen/>
        <w:t>cích znovu ve vel</w:t>
      </w:r>
      <w:r>
        <w:rPr>
          <w:sz w:val="19"/>
          <w:szCs w:val="19"/>
        </w:rPr>
        <w:t>kých premiérových kinech, bude mít v oboru kresleného filmu již nebezpečného konkurenta v prvním celovečerním kresleném filmu Maxe Flei- schera »G ulliverovy cest y«, na němž se již pilně pracuje ve Fleischerových nových atelierech na Floridě a který se má</w:t>
      </w:r>
      <w:r>
        <w:rPr>
          <w:sz w:val="19"/>
          <w:szCs w:val="19"/>
        </w:rPr>
        <w:t xml:space="preserve"> dostat do kin rovněž ve vánočním údobí. Krátce nato, začátkem roku 1940, má být uveden již také další Disneyův celovečerní film »P i n o c c h i o«, který je v Disnevových hollywoodských atelierech také již v práci. &gt;Pinocchio* má být prvním snímkem pře</w:t>
      </w:r>
      <w:r>
        <w:rPr>
          <w:sz w:val="19"/>
          <w:szCs w:val="19"/>
        </w:rPr>
        <w:softHyphen/>
        <w:t>d</w:t>
      </w:r>
      <w:r>
        <w:rPr>
          <w:sz w:val="19"/>
          <w:szCs w:val="19"/>
        </w:rPr>
        <w:t>em pečlivě připravované sériové výroby celovečerních kreslených filmů, kterých hodlá Disney počínaje pří</w:t>
      </w:r>
      <w:r>
        <w:rPr>
          <w:sz w:val="19"/>
          <w:szCs w:val="19"/>
        </w:rPr>
        <w:softHyphen/>
        <w:t>štím lednem vydat dva ročně. (Plánovány jsou zatím tři další: italská pohádka o »B a m b i m«, známý pohád</w:t>
      </w:r>
      <w:r>
        <w:rPr>
          <w:sz w:val="19"/>
          <w:szCs w:val="19"/>
        </w:rPr>
        <w:softHyphen/>
        <w:t>kový příběh &gt;A líce v z emi zázraků* a mravo</w:t>
      </w:r>
      <w:r>
        <w:rPr>
          <w:sz w:val="19"/>
          <w:szCs w:val="19"/>
        </w:rPr>
        <w:t>učná bajka »V č e1á k Claudiu s«.)</w:t>
      </w:r>
    </w:p>
    <w:p w:rsidR="00500724" w:rsidRDefault="00F30FB8">
      <w:pPr>
        <w:pStyle w:val="Zkladntext100"/>
        <w:shd w:val="clear" w:color="auto" w:fill="auto"/>
        <w:spacing w:after="300" w:line="209" w:lineRule="auto"/>
        <w:ind w:firstLine="240"/>
        <w:rPr>
          <w:sz w:val="19"/>
          <w:szCs w:val="19"/>
        </w:rPr>
      </w:pPr>
      <w:r>
        <w:rPr>
          <w:sz w:val="19"/>
          <w:szCs w:val="19"/>
        </w:rPr>
        <w:t>Na výrobu kreslených filmů se v Hollywoodu hledí se stále většími nadějemi, nebof za dnešního stavu kine</w:t>
      </w:r>
      <w:r>
        <w:rPr>
          <w:sz w:val="19"/>
          <w:szCs w:val="19"/>
        </w:rPr>
        <w:softHyphen/>
        <w:t>matografie není těžké vidět v tomto oboru tvůrčí práce jednu z nejbezpečnějších cest k pravému uměleckému výrazu. Pr</w:t>
      </w:r>
      <w:r>
        <w:rPr>
          <w:sz w:val="19"/>
          <w:szCs w:val="19"/>
        </w:rPr>
        <w:t>oto se kolem Disneye seskupují přední umělci, zejména malíři a hudebníci a zejména pevný příslib spolupráce významného dirigenta Leopolda Stokowského uvítal Disney s radostí.</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doba a lidé</w:t>
      </w:r>
    </w:p>
    <w:p w:rsidR="00500724" w:rsidRDefault="00F30FB8">
      <w:pPr>
        <w:pStyle w:val="Zkladntext30"/>
        <w:shd w:val="clear" w:color="auto" w:fill="auto"/>
        <w:spacing w:after="0" w:line="199" w:lineRule="auto"/>
        <w:ind w:firstLine="0"/>
        <w:rPr>
          <w:sz w:val="20"/>
          <w:szCs w:val="20"/>
        </w:rPr>
      </w:pPr>
      <w:r>
        <w:rPr>
          <w:i/>
          <w:iCs/>
          <w:sz w:val="20"/>
          <w:szCs w:val="20"/>
        </w:rPr>
        <w:t>A. M.:</w:t>
      </w:r>
    </w:p>
    <w:p w:rsidR="00500724" w:rsidRDefault="00F30FB8">
      <w:pPr>
        <w:pStyle w:val="Nadpis100"/>
        <w:shd w:val="clear" w:color="auto" w:fill="auto"/>
        <w:spacing w:after="0" w:line="240" w:lineRule="auto"/>
        <w:jc w:val="left"/>
      </w:pPr>
      <w:bookmarkStart w:id="425" w:name="bookmark425"/>
      <w:r>
        <w:t>Milion kilogramů jedu ročně . . .</w:t>
      </w:r>
      <w:bookmarkEnd w:id="425"/>
    </w:p>
    <w:p w:rsidR="00500724" w:rsidRDefault="00F30FB8">
      <w:pPr>
        <w:pStyle w:val="Jin0"/>
        <w:shd w:val="clear" w:color="auto" w:fill="auto"/>
        <w:spacing w:after="100" w:line="230" w:lineRule="auto"/>
        <w:ind w:firstLine="0"/>
        <w:jc w:val="center"/>
        <w:rPr>
          <w:sz w:val="28"/>
          <w:szCs w:val="28"/>
        </w:rPr>
      </w:pPr>
      <w:r>
        <w:rPr>
          <w:sz w:val="28"/>
          <w:szCs w:val="28"/>
        </w:rPr>
        <w:t>ni.</w:t>
      </w:r>
    </w:p>
    <w:p w:rsidR="00500724" w:rsidRDefault="00F30FB8">
      <w:pPr>
        <w:pStyle w:val="Zkladntext100"/>
        <w:shd w:val="clear" w:color="auto" w:fill="auto"/>
        <w:spacing w:line="206" w:lineRule="auto"/>
        <w:ind w:firstLine="240"/>
        <w:rPr>
          <w:sz w:val="19"/>
          <w:szCs w:val="19"/>
        </w:rPr>
      </w:pPr>
      <w:r>
        <w:rPr>
          <w:sz w:val="19"/>
          <w:szCs w:val="19"/>
        </w:rPr>
        <w:t xml:space="preserve">Tolilc, co teď přijde, </w:t>
      </w:r>
      <w:r>
        <w:rPr>
          <w:sz w:val="19"/>
          <w:szCs w:val="19"/>
        </w:rPr>
        <w:t>není z detektivky, a nakonec si povíme, čím se to liší od kriminálního románu:</w:t>
      </w:r>
    </w:p>
    <w:p w:rsidR="00500724" w:rsidRDefault="00F30FB8">
      <w:pPr>
        <w:pStyle w:val="Zkladntext100"/>
        <w:shd w:val="clear" w:color="auto" w:fill="auto"/>
        <w:spacing w:line="209" w:lineRule="auto"/>
        <w:ind w:firstLine="240"/>
        <w:rPr>
          <w:sz w:val="19"/>
          <w:szCs w:val="19"/>
        </w:rPr>
      </w:pPr>
      <w:r>
        <w:rPr>
          <w:sz w:val="19"/>
          <w:szCs w:val="19"/>
        </w:rPr>
        <w:t>Cizinec opustil střed města, ležícího na pohraničí mezi Spojenými Státy a Mexikem. Tam, kde město pře</w:t>
      </w:r>
      <w:r>
        <w:rPr>
          <w:sz w:val="19"/>
          <w:szCs w:val="19"/>
        </w:rPr>
        <w:softHyphen/>
        <w:t>chází v periferii, kde je víc tmy než svítilen, tam, kde jsou domy neřesti,</w:t>
      </w:r>
      <w:r>
        <w:rPr>
          <w:sz w:val="19"/>
          <w:szCs w:val="19"/>
        </w:rPr>
        <w:t xml:space="preserve"> — tam není vzácností, osloví-li muže mladá žena.</w:t>
      </w:r>
    </w:p>
    <w:p w:rsidR="00500724" w:rsidRDefault="00F30FB8">
      <w:pPr>
        <w:pStyle w:val="Zkladntext100"/>
        <w:shd w:val="clear" w:color="auto" w:fill="auto"/>
        <w:spacing w:line="209" w:lineRule="auto"/>
        <w:ind w:firstLine="240"/>
        <w:rPr>
          <w:sz w:val="19"/>
          <w:szCs w:val="19"/>
        </w:rPr>
      </w:pPr>
      <w:r>
        <w:rPr>
          <w:sz w:val="19"/>
          <w:szCs w:val="19"/>
        </w:rPr>
        <w:t>»Chcete mít krásné sny?* táže se ze tmy tiše dívčí hlas.</w:t>
      </w:r>
    </w:p>
    <w:p w:rsidR="00500724" w:rsidRDefault="00F30FB8">
      <w:pPr>
        <w:pStyle w:val="Zkladntext100"/>
        <w:shd w:val="clear" w:color="auto" w:fill="auto"/>
        <w:spacing w:line="209" w:lineRule="auto"/>
        <w:ind w:firstLine="240"/>
        <w:rPr>
          <w:sz w:val="19"/>
          <w:szCs w:val="19"/>
        </w:rPr>
      </w:pPr>
      <w:r>
        <w:rPr>
          <w:sz w:val="19"/>
          <w:szCs w:val="19"/>
        </w:rPr>
        <w:t>Cizinec nevěří svým uším. Ale sametově měkká paže vine se kolem jeho ruky, ostýchavý, blažený úsměv, úsměv jako jarní vánek žvatlá cosi o ^injekci*.</w:t>
      </w:r>
    </w:p>
    <w:p w:rsidR="00500724" w:rsidRDefault="00F30FB8">
      <w:pPr>
        <w:pStyle w:val="Zkladntext100"/>
        <w:shd w:val="clear" w:color="auto" w:fill="auto"/>
        <w:spacing w:line="211" w:lineRule="auto"/>
        <w:ind w:firstLine="240"/>
        <w:rPr>
          <w:sz w:val="19"/>
          <w:szCs w:val="19"/>
        </w:rPr>
      </w:pPr>
      <w:r>
        <w:rPr>
          <w:sz w:val="19"/>
          <w:szCs w:val="19"/>
        </w:rPr>
        <w:t>Cizinec čekal zajisté něco jiného. Dívka, plavovlasá z milosti kysličníku vodičitého, však neustává. Je naopak velmi horlivá: &gt;Pojďte se mnou... budeme načisto sami... právě u nás byla šfára, a policie nepřichází ni</w:t>
      </w:r>
      <w:r>
        <w:rPr>
          <w:sz w:val="19"/>
          <w:szCs w:val="19"/>
        </w:rPr>
        <w:softHyphen/>
        <w:t>kdy dvakrát za noc .. .*</w:t>
      </w:r>
    </w:p>
    <w:p w:rsidR="00500724" w:rsidRDefault="00F30FB8">
      <w:pPr>
        <w:pStyle w:val="Zkladntext100"/>
        <w:shd w:val="clear" w:color="auto" w:fill="auto"/>
        <w:spacing w:line="211" w:lineRule="auto"/>
        <w:ind w:firstLine="220"/>
        <w:rPr>
          <w:sz w:val="19"/>
          <w:szCs w:val="19"/>
        </w:rPr>
      </w:pPr>
      <w:r>
        <w:rPr>
          <w:sz w:val="19"/>
          <w:szCs w:val="19"/>
        </w:rPr>
        <w:t>Nezkušený cizin</w:t>
      </w:r>
      <w:r>
        <w:rPr>
          <w:sz w:val="19"/>
          <w:szCs w:val="19"/>
        </w:rPr>
        <w:t>ec přijal pozvání. Snil sen, z něhož nebylo procitnutí. A nazítří mají noviny zprávu, že ne</w:t>
      </w:r>
      <w:r>
        <w:rPr>
          <w:sz w:val="19"/>
          <w:szCs w:val="19"/>
        </w:rPr>
        <w:softHyphen/>
        <w:t>známý, podle všeho cizinec, byl nalezen mrtev ve »čtvrti hříchu*. Podle všeho se asi stal obětí nehody, nebof nic neukazuje na vraždu. Totožnost ovšem nebylo lze zj</w:t>
      </w:r>
      <w:r>
        <w:rPr>
          <w:sz w:val="19"/>
          <w:szCs w:val="19"/>
        </w:rPr>
        <w:t>istit, protože u mrtvého nebyly nalezeny žádné doklady a tvář i ruce byly ohlodány potkany a psy, jichž hladové smečky jak známo ...</w:t>
      </w:r>
    </w:p>
    <w:p w:rsidR="00500724" w:rsidRDefault="00F30FB8">
      <w:pPr>
        <w:pStyle w:val="Zkladntext100"/>
        <w:shd w:val="clear" w:color="auto" w:fill="auto"/>
        <w:spacing w:line="211" w:lineRule="auto"/>
        <w:ind w:firstLine="220"/>
        <w:rPr>
          <w:sz w:val="19"/>
          <w:szCs w:val="19"/>
        </w:rPr>
      </w:pPr>
      <w:r>
        <w:rPr>
          <w:sz w:val="19"/>
          <w:szCs w:val="19"/>
        </w:rPr>
        <w:t>Injekce, jež slibovala mladá plavovláska, nezasluhují ovšem jména, pod kterým si představujeme úkon prove</w:t>
      </w:r>
      <w:r>
        <w:rPr>
          <w:sz w:val="19"/>
          <w:szCs w:val="19"/>
        </w:rPr>
        <w:softHyphen/>
        <w:t>dený za všech bez</w:t>
      </w:r>
      <w:r>
        <w:rPr>
          <w:sz w:val="19"/>
          <w:szCs w:val="19"/>
        </w:rPr>
        <w:t>pečnostních opatření asepse, farmako- gnosie a určení dávek. Opravdová injekční stříkačka je tam věcí takřka neznámou. Její funkci zastává tak zva</w:t>
      </w:r>
      <w:r>
        <w:rPr>
          <w:sz w:val="19"/>
          <w:szCs w:val="19"/>
        </w:rPr>
        <w:softHyphen/>
        <w:t>ný »gotero«. Je to pipeta, asi taková, jakou se plnívala kdysi plnicí pera, jakési kapátko. Pomocí žvýkací gu</w:t>
      </w:r>
      <w:r>
        <w:rPr>
          <w:sz w:val="19"/>
          <w:szCs w:val="19"/>
        </w:rPr>
        <w:t>my sc ke hapátku připevní injekční jehla. Bodnutí do paže nebo do stehna — ovšem látkou! — stlačení gumového váčku, a injekce je aplikována. Jakost morfia, čistota jehly, ba i množství jedu — to všechno jsou detaily, jimiž si nikdo neláme hlavu.</w:t>
      </w:r>
    </w:p>
    <w:p w:rsidR="00500724" w:rsidRDefault="00F30FB8">
      <w:pPr>
        <w:pStyle w:val="Zkladntext100"/>
        <w:shd w:val="clear" w:color="auto" w:fill="auto"/>
        <w:spacing w:line="211" w:lineRule="auto"/>
        <w:ind w:firstLine="220"/>
        <w:rPr>
          <w:sz w:val="19"/>
          <w:szCs w:val="19"/>
        </w:rPr>
      </w:pPr>
      <w:r>
        <w:rPr>
          <w:sz w:val="19"/>
          <w:szCs w:val="19"/>
        </w:rPr>
        <w:t>A host — t</w:t>
      </w:r>
      <w:r>
        <w:rPr>
          <w:sz w:val="19"/>
          <w:szCs w:val="19"/>
        </w:rPr>
        <w:t>en si zase nemusí lámat hlavu cenou. Nikdo se ho neptá po penězích. Holčičky trpělivě vyčkají, až začne snít... a potom se odškodňují samy z kapes spáče. Posledním jejich úkolem je, postarat se o hostův vyha</w:t>
      </w:r>
      <w:r>
        <w:rPr>
          <w:sz w:val="19"/>
          <w:szCs w:val="19"/>
        </w:rPr>
        <w:softHyphen/>
        <w:t>zov. Nazítří bydlí děvčata už jinde. Hledejte si</w:t>
      </w:r>
      <w:r>
        <w:rPr>
          <w:sz w:val="19"/>
          <w:szCs w:val="19"/>
        </w:rPr>
        <w:t xml:space="preserve"> je!</w:t>
      </w:r>
    </w:p>
    <w:p w:rsidR="00500724" w:rsidRDefault="00F30FB8">
      <w:pPr>
        <w:pStyle w:val="Zkladntext100"/>
        <w:shd w:val="clear" w:color="auto" w:fill="auto"/>
        <w:spacing w:line="211" w:lineRule="auto"/>
        <w:ind w:firstLine="220"/>
        <w:rPr>
          <w:sz w:val="19"/>
          <w:szCs w:val="19"/>
        </w:rPr>
      </w:pPr>
      <w:r>
        <w:rPr>
          <w:sz w:val="19"/>
          <w:szCs w:val="19"/>
        </w:rPr>
        <w:t>Tyto mladé ženy nejsou prostitutkami v pravém smy</w:t>
      </w:r>
      <w:r>
        <w:rPr>
          <w:sz w:val="19"/>
          <w:szCs w:val="19"/>
        </w:rPr>
        <w:softHyphen/>
        <w:t>slu slova, ačkoliv si ovšem musí od podroušených svých hostí dát líbit ledaco, co si dáma líbit nedá. Touhou těchto děvčat není, získat co nejvíc peněz systematickou prostitucí nebo prodejem svého těla</w:t>
      </w:r>
      <w:r>
        <w:rPr>
          <w:sz w:val="19"/>
          <w:szCs w:val="19"/>
        </w:rPr>
        <w:t xml:space="preserve"> vůbec. Jejich snem je » velký případ*, jejich vidinou je cizinec s plnou pe</w:t>
      </w:r>
      <w:r>
        <w:rPr>
          <w:sz w:val="19"/>
          <w:szCs w:val="19"/>
        </w:rPr>
        <w:softHyphen/>
        <w:t>něženkou.</w:t>
      </w:r>
    </w:p>
    <w:p w:rsidR="00500724" w:rsidRDefault="00F30FB8">
      <w:pPr>
        <w:pStyle w:val="Zkladntext100"/>
        <w:shd w:val="clear" w:color="auto" w:fill="auto"/>
        <w:spacing w:line="211" w:lineRule="auto"/>
        <w:ind w:firstLine="220"/>
        <w:rPr>
          <w:sz w:val="19"/>
          <w:szCs w:val="19"/>
        </w:rPr>
      </w:pPr>
      <w:r>
        <w:rPr>
          <w:sz w:val="19"/>
          <w:szCs w:val="19"/>
        </w:rPr>
        <w:t>A jednoho dne či jedné noci případ nastane: děvče je » bohaté*! Dá něco peněz matce, nebo si koupí za vše</w:t>
      </w:r>
      <w:r>
        <w:rPr>
          <w:sz w:val="19"/>
          <w:szCs w:val="19"/>
        </w:rPr>
        <w:softHyphen/>
        <w:t xml:space="preserve">chno šaty a střevíce a vůbec přepych, neúměrný jejímu životu a </w:t>
      </w:r>
      <w:r>
        <w:rPr>
          <w:sz w:val="19"/>
          <w:szCs w:val="19"/>
        </w:rPr>
        <w:t>potom si najde mladého muže, s nímž jede do Nového Yorku nebo do Chicaga. Tam rozkvete její srdce, tam začíná žít, — mladý muž je jí princem z pohádky, zbytek peněz je jí milionovým jměním; plnými doušky pije z poháru lásky, podléhajíc přívalu svých citů a</w:t>
      </w:r>
      <w:r>
        <w:rPr>
          <w:sz w:val="19"/>
          <w:szCs w:val="19"/>
        </w:rPr>
        <w:t xml:space="preserve"> mladému svému tělu.</w:t>
      </w:r>
    </w:p>
    <w:p w:rsidR="00500724" w:rsidRDefault="00F30FB8">
      <w:pPr>
        <w:pStyle w:val="Zkladntext100"/>
        <w:shd w:val="clear" w:color="auto" w:fill="auto"/>
        <w:spacing w:line="211" w:lineRule="auto"/>
        <w:ind w:firstLine="220"/>
        <w:rPr>
          <w:sz w:val="19"/>
          <w:szCs w:val="19"/>
        </w:rPr>
      </w:pPr>
      <w:r>
        <w:rPr>
          <w:sz w:val="19"/>
          <w:szCs w:val="19"/>
        </w:rPr>
        <w:t>Za několik měsíců — jen málokdy lze čas čítat na léta — vrací se zpět na bývalé působiště. Leč už to není sa</w:t>
      </w:r>
      <w:r>
        <w:rPr>
          <w:sz w:val="19"/>
          <w:szCs w:val="19"/>
        </w:rPr>
        <w:softHyphen/>
        <w:t>metové, svěží stvoření, nýbrž předčasně zestárlá žena strhaných rysů, »madame*, hrob nikoliv obílený, nýbrž rougí a pudrem nat</w:t>
      </w:r>
      <w:r>
        <w:rPr>
          <w:sz w:val="19"/>
          <w:szCs w:val="19"/>
        </w:rPr>
        <w:t>řený, »madam«, která si sama ^dá</w:t>
      </w:r>
      <w:r>
        <w:rPr>
          <w:sz w:val="19"/>
          <w:szCs w:val="19"/>
        </w:rPr>
        <w:softHyphen/>
        <w:t>vá*, co kdysi připravovala hostům: »madam«, která se po celé dopoledne válí na kanapi, opilá, blábolící. Z krát</w:t>
      </w:r>
      <w:r>
        <w:rPr>
          <w:sz w:val="19"/>
          <w:szCs w:val="19"/>
        </w:rPr>
        <w:softHyphen/>
        <w:t>ké doby slávy, z měsíců, kdy byla pozlátkovou milionář- kou, jí zbylo jen jedno: nenávist, nenávist, nenávist k</w:t>
      </w:r>
      <w:r>
        <w:rPr>
          <w:sz w:val="19"/>
          <w:szCs w:val="19"/>
        </w:rPr>
        <w:t>e všem, kdo jsou zdraví a mají peníze, a potom vědomí, že ze všech zločinů, co je jich pácháno v galantních do</w:t>
      </w:r>
      <w:r>
        <w:rPr>
          <w:sz w:val="19"/>
          <w:szCs w:val="19"/>
        </w:rPr>
        <w:softHyphen/>
        <w:t>mech, jich vyjde najevo sotva desetina, a sotva každý stý že má v zápětí trest! Tyto ženy pak sbírají »žákyně* mezi mladými děvčaty svého okolí a</w:t>
      </w:r>
      <w:r>
        <w:rPr>
          <w:sz w:val="19"/>
          <w:szCs w:val="19"/>
        </w:rPr>
        <w:t xml:space="preserve"> vychovávají je ve směru, který považují za správný. .</w:t>
      </w:r>
    </w:p>
    <w:p w:rsidR="00500724" w:rsidRDefault="00F30FB8">
      <w:pPr>
        <w:pStyle w:val="Zkladntext100"/>
        <w:shd w:val="clear" w:color="auto" w:fill="auto"/>
        <w:spacing w:line="211" w:lineRule="auto"/>
        <w:ind w:firstLine="220"/>
        <w:rPr>
          <w:sz w:val="19"/>
          <w:szCs w:val="19"/>
        </w:rPr>
      </w:pPr>
      <w:r>
        <w:rPr>
          <w:sz w:val="19"/>
          <w:szCs w:val="19"/>
        </w:rPr>
        <w:t xml:space="preserve">Kromě takových vyřaděných žen jsou podnikateli galantních domů velmi často Číňané, smutní, vychrtlí braši, kteří — pod maskou majitele prádelny — udržují úzké styky s polosvětem městečka a tím i s </w:t>
      </w:r>
      <w:r>
        <w:rPr>
          <w:sz w:val="19"/>
          <w:szCs w:val="19"/>
        </w:rPr>
        <w:t>lidmi, pro</w:t>
      </w:r>
      <w:r>
        <w:rPr>
          <w:sz w:val="19"/>
          <w:szCs w:val="19"/>
        </w:rPr>
        <w:softHyphen/>
        <w:t>padlými omamným jedům. Je úžasné, do jak vysokých kruhů sahá vliv takového prostého majitele prádelny.</w:t>
      </w:r>
    </w:p>
    <w:p w:rsidR="00500724" w:rsidRDefault="00F30FB8">
      <w:pPr>
        <w:pStyle w:val="Zkladntext100"/>
        <w:shd w:val="clear" w:color="auto" w:fill="auto"/>
        <w:spacing w:after="100" w:line="214" w:lineRule="auto"/>
        <w:ind w:firstLine="220"/>
        <w:rPr>
          <w:sz w:val="19"/>
          <w:szCs w:val="19"/>
        </w:rPr>
      </w:pPr>
      <w:r>
        <w:rPr>
          <w:sz w:val="19"/>
          <w:szCs w:val="19"/>
        </w:rPr>
        <w:t>Tohle tedy n e n í z detektivky. Liší se to od kriminál</w:t>
      </w:r>
      <w:r>
        <w:rPr>
          <w:sz w:val="19"/>
          <w:szCs w:val="19"/>
        </w:rPr>
        <w:softHyphen/>
        <w:t xml:space="preserve">ního románu tím, že zdrojem informací není fantasie, nýbrž zjištění vpravdě policejní </w:t>
      </w:r>
      <w:r>
        <w:rPr>
          <w:sz w:val="19"/>
          <w:szCs w:val="19"/>
        </w:rPr>
        <w:t>a vědecké. Byl to výňa</w:t>
      </w:r>
      <w:r>
        <w:rPr>
          <w:sz w:val="19"/>
          <w:szCs w:val="19"/>
        </w:rPr>
        <w:softHyphen/>
        <w:t>tek, výtažek z jedné z kapitol Rekovy knihy o omam</w:t>
      </w:r>
      <w:r>
        <w:rPr>
          <w:sz w:val="19"/>
          <w:szCs w:val="19"/>
        </w:rPr>
        <w:softHyphen/>
        <w:t>ných jedech</w:t>
      </w:r>
    </w:p>
    <w:p w:rsidR="00500724" w:rsidRDefault="00F30FB8">
      <w:pPr>
        <w:pStyle w:val="Zkladntext100"/>
        <w:shd w:val="clear" w:color="auto" w:fill="auto"/>
        <w:spacing w:after="60" w:line="211" w:lineRule="auto"/>
        <w:ind w:firstLine="0"/>
        <w:jc w:val="center"/>
        <w:rPr>
          <w:sz w:val="19"/>
          <w:szCs w:val="19"/>
        </w:rPr>
      </w:pPr>
      <w:r>
        <w:rPr>
          <w:sz w:val="19"/>
          <w:szCs w:val="19"/>
        </w:rPr>
        <w:t>Toloachi</w:t>
      </w:r>
    </w:p>
    <w:p w:rsidR="00500724" w:rsidRDefault="00F30FB8">
      <w:pPr>
        <w:pStyle w:val="Zkladntext100"/>
        <w:shd w:val="clear" w:color="auto" w:fill="auto"/>
        <w:spacing w:line="209" w:lineRule="auto"/>
        <w:ind w:firstLine="220"/>
        <w:rPr>
          <w:sz w:val="19"/>
          <w:szCs w:val="19"/>
        </w:rPr>
      </w:pPr>
      <w:r>
        <w:rPr>
          <w:sz w:val="19"/>
          <w:szCs w:val="19"/>
        </w:rPr>
        <w:t>Otázka, co je to humor a smích, zaměstnávala mnoho dobrých hlav a mnoho chytrého bylo napsáno na toto téma. Nicméně se zdá, že by stálo ještě za studii zjistit,</w:t>
      </w:r>
      <w:r>
        <w:br w:type="page"/>
      </w:r>
    </w:p>
    <w:p w:rsidR="00500724" w:rsidRDefault="00F30FB8">
      <w:pPr>
        <w:pStyle w:val="Zkladntext100"/>
        <w:shd w:val="clear" w:color="auto" w:fill="auto"/>
        <w:spacing w:line="240" w:lineRule="auto"/>
        <w:ind w:firstLine="0"/>
        <w:rPr>
          <w:sz w:val="19"/>
          <w:szCs w:val="19"/>
        </w:rPr>
      </w:pPr>
      <w:r>
        <w:rPr>
          <w:noProof/>
        </w:rPr>
        <mc:AlternateContent>
          <mc:Choice Requires="wps">
            <w:drawing>
              <wp:anchor distT="0" distB="85090" distL="114300" distR="1031875" simplePos="0" relativeHeight="125829808" behindDoc="0" locked="0" layoutInCell="1" allowOverlap="1">
                <wp:simplePos x="0" y="0"/>
                <wp:positionH relativeFrom="page">
                  <wp:posOffset>3074670</wp:posOffset>
                </wp:positionH>
                <wp:positionV relativeFrom="margin">
                  <wp:posOffset>18415</wp:posOffset>
                </wp:positionV>
                <wp:extent cx="372110" cy="356870"/>
                <wp:effectExtent l="0" t="0" r="0" b="0"/>
                <wp:wrapTopAndBottom/>
                <wp:docPr id="431" name="Shape 431"/>
                <wp:cNvGraphicFramePr/>
                <a:graphic xmlns:a="http://schemas.openxmlformats.org/drawingml/2006/main">
                  <a:graphicData uri="http://schemas.microsoft.com/office/word/2010/wordprocessingShape">
                    <wps:wsp>
                      <wps:cNvSpPr txBox="1"/>
                      <wps:spPr>
                        <a:xfrm>
                          <a:off x="0" y="0"/>
                          <a:ext cx="372110" cy="356870"/>
                        </a:xfrm>
                        <a:prstGeom prst="rect">
                          <a:avLst/>
                        </a:prstGeom>
                        <a:noFill/>
                      </wps:spPr>
                      <wps:txbx>
                        <w:txbxContent>
                          <w:p w:rsidR="00500724" w:rsidRDefault="00F30FB8">
                            <w:pPr>
                              <w:pStyle w:val="Jin0"/>
                              <w:shd w:val="clear" w:color="auto" w:fill="auto"/>
                              <w:ind w:firstLine="0"/>
                              <w:jc w:val="left"/>
                              <w:rPr>
                                <w:sz w:val="36"/>
                                <w:szCs w:val="36"/>
                              </w:rPr>
                            </w:pPr>
                            <w:r>
                              <w:rPr>
                                <w:sz w:val="36"/>
                                <w:szCs w:val="36"/>
                              </w:rPr>
                              <w:t>Přít</w:t>
                            </w:r>
                          </w:p>
                        </w:txbxContent>
                      </wps:txbx>
                      <wps:bodyPr lIns="0" tIns="0" rIns="0" bIns="0">
                        <a:spAutoFit/>
                      </wps:bodyPr>
                    </wps:wsp>
                  </a:graphicData>
                </a:graphic>
              </wp:anchor>
            </w:drawing>
          </mc:Choice>
          <mc:Fallback>
            <w:pict>
              <v:shape id="_x0000_s1457" type="#_x0000_t202" style="position:absolute;margin-left:242.09999999999999pt;margin-top:1.45pt;width:29.300000000000001pt;height:28.100000000000001pt;z-index:-125828945;mso-wrap-distance-left:9.pt;mso-wrap-distance-right:81.25pt;mso-wrap-distance-bottom:6.7000000000000002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Přít</w:t>
                      </w:r>
                    </w:p>
                  </w:txbxContent>
                </v:textbox>
                <w10:wrap type="topAndBottom" anchorx="page" anchory="margin"/>
              </v:shape>
            </w:pict>
          </mc:Fallback>
        </mc:AlternateContent>
      </w:r>
      <w:r>
        <w:rPr>
          <w:noProof/>
        </w:rPr>
        <mc:AlternateContent>
          <mc:Choice Requires="wps">
            <w:drawing>
              <wp:anchor distT="137160" distB="88265" distL="492125" distR="519430" simplePos="0" relativeHeight="125829810" behindDoc="0" locked="0" layoutInCell="1" allowOverlap="1">
                <wp:simplePos x="0" y="0"/>
                <wp:positionH relativeFrom="page">
                  <wp:posOffset>3452495</wp:posOffset>
                </wp:positionH>
                <wp:positionV relativeFrom="margin">
                  <wp:posOffset>155575</wp:posOffset>
                </wp:positionV>
                <wp:extent cx="506095" cy="216535"/>
                <wp:effectExtent l="0" t="0" r="0" b="0"/>
                <wp:wrapTopAndBottom/>
                <wp:docPr id="433" name="Shape 433"/>
                <wp:cNvGraphicFramePr/>
                <a:graphic xmlns:a="http://schemas.openxmlformats.org/drawingml/2006/main">
                  <a:graphicData uri="http://schemas.microsoft.com/office/word/2010/wordprocessingShape">
                    <wps:wsp>
                      <wps:cNvSpPr txBox="1"/>
                      <wps:spPr>
                        <a:xfrm>
                          <a:off x="0" y="0"/>
                          <a:ext cx="506095" cy="21653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26"/>
                                <w:szCs w:val="26"/>
                              </w:rPr>
                            </w:pPr>
                            <w:r>
                              <w:rPr>
                                <w:b/>
                                <w:bCs/>
                                <w:color w:val="FFFFFF"/>
                                <w:sz w:val="26"/>
                                <w:szCs w:val="26"/>
                              </w:rPr>
                              <w:t>•Jlllf •</w:t>
                            </w:r>
                          </w:p>
                        </w:txbxContent>
                      </wps:txbx>
                      <wps:bodyPr lIns="0" tIns="0" rIns="0" bIns="0">
                        <a:spAutoFit/>
                      </wps:bodyPr>
                    </wps:wsp>
                  </a:graphicData>
                </a:graphic>
              </wp:anchor>
            </w:drawing>
          </mc:Choice>
          <mc:Fallback>
            <w:pict>
              <v:shape id="_x0000_s1459" type="#_x0000_t202" style="position:absolute;margin-left:271.85000000000002pt;margin-top:12.25pt;width:39.850000000000001pt;height:17.050000000000001pt;z-index:-125828943;mso-wrap-distance-left:38.75pt;mso-wrap-distance-top:10.800000000000001pt;mso-wrap-distance-right:40.899999999999999pt;mso-wrap-distance-bottom:6.9500000000000002pt;mso-position-horizontal-relative:page;mso-position-vertical-relative:margin"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6"/>
                          <w:szCs w:val="26"/>
                        </w:rPr>
                      </w:pPr>
                      <w:r>
                        <w:rPr>
                          <w:b/>
                          <w:bCs/>
                          <w:color w:val="FFFFFF"/>
                          <w:spacing w:val="0"/>
                          <w:w w:val="100"/>
                          <w:position w:val="0"/>
                          <w:sz w:val="26"/>
                          <w:szCs w:val="26"/>
                          <w:shd w:val="clear" w:color="auto" w:fill="auto"/>
                          <w:lang w:val="cs-CZ" w:eastAsia="cs-CZ" w:bidi="cs-CZ"/>
                        </w:rPr>
                        <w:t>•Jlllf •</w:t>
                      </w:r>
                    </w:p>
                  </w:txbxContent>
                </v:textbox>
                <w10:wrap type="topAndBottom" anchorx="page" anchory="margin"/>
              </v:shape>
            </w:pict>
          </mc:Fallback>
        </mc:AlternateContent>
      </w:r>
      <w:r>
        <w:rPr>
          <w:noProof/>
        </w:rPr>
        <mc:AlternateContent>
          <mc:Choice Requires="wps">
            <w:drawing>
              <wp:anchor distT="106680" distB="76200" distL="1004570" distR="114300" simplePos="0" relativeHeight="125829812" behindDoc="0" locked="0" layoutInCell="1" allowOverlap="1">
                <wp:simplePos x="0" y="0"/>
                <wp:positionH relativeFrom="page">
                  <wp:posOffset>3964305</wp:posOffset>
                </wp:positionH>
                <wp:positionV relativeFrom="margin">
                  <wp:posOffset>125095</wp:posOffset>
                </wp:positionV>
                <wp:extent cx="399415" cy="259080"/>
                <wp:effectExtent l="0" t="0" r="0" b="0"/>
                <wp:wrapTopAndBottom/>
                <wp:docPr id="435" name="Shape 435"/>
                <wp:cNvGraphicFramePr/>
                <a:graphic xmlns:a="http://schemas.openxmlformats.org/drawingml/2006/main">
                  <a:graphicData uri="http://schemas.microsoft.com/office/word/2010/wordprocessingShape">
                    <wps:wsp>
                      <wps:cNvSpPr txBox="1"/>
                      <wps:spPr>
                        <a:xfrm>
                          <a:off x="0" y="0"/>
                          <a:ext cx="399415" cy="259080"/>
                        </a:xfrm>
                        <a:prstGeom prst="rect">
                          <a:avLst/>
                        </a:prstGeom>
                        <a:noFill/>
                      </wps:spPr>
                      <wps:txbx>
                        <w:txbxContent>
                          <w:p w:rsidR="00500724" w:rsidRDefault="00F30FB8">
                            <w:pPr>
                              <w:pStyle w:val="Nadpis100"/>
                              <w:shd w:val="clear" w:color="auto" w:fill="auto"/>
                              <w:spacing w:after="0" w:line="240" w:lineRule="auto"/>
                              <w:jc w:val="left"/>
                            </w:pPr>
                            <w:bookmarkStart w:id="426" w:name="bookmark423"/>
                            <w:r>
                              <w:rPr>
                                <w:rFonts w:ascii="Arial" w:eastAsia="Arial" w:hAnsi="Arial" w:cs="Arial"/>
                              </w:rPr>
                              <w:t>SLz</w:t>
                            </w:r>
                            <w:bookmarkEnd w:id="426"/>
                          </w:p>
                        </w:txbxContent>
                      </wps:txbx>
                      <wps:bodyPr lIns="0" tIns="0" rIns="0" bIns="0">
                        <a:spAutoFit/>
                      </wps:bodyPr>
                    </wps:wsp>
                  </a:graphicData>
                </a:graphic>
              </wp:anchor>
            </w:drawing>
          </mc:Choice>
          <mc:Fallback>
            <w:pict>
              <v:shape id="_x0000_s1461" type="#_x0000_t202" style="position:absolute;margin-left:312.14999999999998pt;margin-top:9.8499999999999996pt;width:31.449999999999999pt;height:20.399999999999999pt;z-index:-125828941;mso-wrap-distance-left:79.099999999999994pt;mso-wrap-distance-top:8.4000000000000004pt;mso-wrap-distance-right:9.pt;mso-wrap-distance-bottom:6.pt;mso-position-horizontal-relative:page;mso-position-vertical-relative:margin"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bookmarkStart w:id="423" w:name="bookmark423"/>
                      <w:r>
                        <w:rPr>
                          <w:rFonts w:ascii="Arial" w:eastAsia="Arial" w:hAnsi="Arial" w:cs="Arial"/>
                          <w:color w:val="000000"/>
                          <w:spacing w:val="0"/>
                          <w:w w:val="100"/>
                          <w:position w:val="0"/>
                          <w:shd w:val="clear" w:color="auto" w:fill="auto"/>
                          <w:lang w:val="cs-CZ" w:eastAsia="cs-CZ" w:bidi="cs-CZ"/>
                        </w:rPr>
                        <w:t>SLz</w:t>
                      </w:r>
                      <w:bookmarkEnd w:id="423"/>
                    </w:p>
                  </w:txbxContent>
                </v:textbox>
                <w10:wrap type="topAndBottom" anchorx="page" anchory="margin"/>
              </v:shape>
            </w:pict>
          </mc:Fallback>
        </mc:AlternateContent>
      </w:r>
      <w:r>
        <w:rPr>
          <w:sz w:val="19"/>
          <w:szCs w:val="19"/>
        </w:rPr>
        <w:t xml:space="preserve">proč se lidé smějí věcem, které, bůh sám ví, jsou jediné k pláči. (Na této paradoxní skutečnosti vybudoval svou filmovou slávu pošetilý </w:t>
      </w:r>
      <w:r>
        <w:rPr>
          <w:sz w:val="19"/>
          <w:szCs w:val="19"/>
          <w:lang w:val="en-US" w:eastAsia="en-US" w:bidi="en-US"/>
        </w:rPr>
        <w:t xml:space="preserve">Harold Lloyd </w:t>
      </w:r>
      <w:r>
        <w:rPr>
          <w:sz w:val="19"/>
          <w:szCs w:val="19"/>
        </w:rPr>
        <w:t xml:space="preserve">a velkým jejím dlužníkem je i geniální Charlie </w:t>
      </w:r>
      <w:r>
        <w:rPr>
          <w:sz w:val="19"/>
          <w:szCs w:val="19"/>
          <w:lang w:val="en-US" w:eastAsia="en-US" w:bidi="en-US"/>
        </w:rPr>
        <w:t>Chaplin!)</w:t>
      </w:r>
    </w:p>
    <w:p w:rsidR="00500724" w:rsidRDefault="00F30FB8">
      <w:pPr>
        <w:pStyle w:val="Zkladntext100"/>
        <w:shd w:val="clear" w:color="auto" w:fill="auto"/>
        <w:spacing w:line="240" w:lineRule="auto"/>
        <w:ind w:firstLine="220"/>
        <w:rPr>
          <w:sz w:val="19"/>
          <w:szCs w:val="19"/>
        </w:rPr>
      </w:pPr>
      <w:r>
        <w:rPr>
          <w:sz w:val="19"/>
          <w:szCs w:val="19"/>
        </w:rPr>
        <w:t xml:space="preserve">K věcem, jež budí </w:t>
      </w:r>
      <w:r>
        <w:rPr>
          <w:sz w:val="19"/>
          <w:szCs w:val="19"/>
        </w:rPr>
        <w:t>tradičně a nelogicky smích, patří člověk v akutním záchvatu poruchy šedé mozkové kůry. Jinak: v alkoholovém podroušení. Kdežto představy, buzené alkoholem, jsou rozmanité a mnohostranné, má další mexický jed T o 1 o a c h i charakteristikům často se opakuj</w:t>
      </w:r>
      <w:r>
        <w:rPr>
          <w:sz w:val="19"/>
          <w:szCs w:val="19"/>
        </w:rPr>
        <w:t>ící: opojený se domnívá, že je čtvernožcem a také se podle toho pohybuje.</w:t>
      </w:r>
    </w:p>
    <w:p w:rsidR="00500724" w:rsidRDefault="00F30FB8">
      <w:pPr>
        <w:pStyle w:val="Zkladntext100"/>
        <w:shd w:val="clear" w:color="auto" w:fill="auto"/>
        <w:spacing w:line="223" w:lineRule="auto"/>
        <w:ind w:firstLine="220"/>
        <w:rPr>
          <w:sz w:val="19"/>
          <w:szCs w:val="19"/>
        </w:rPr>
      </w:pPr>
      <w:r>
        <w:rPr>
          <w:sz w:val="19"/>
          <w:szCs w:val="19"/>
        </w:rPr>
        <w:t>Řeko uvádí případ z města Queretaro:</w:t>
      </w:r>
    </w:p>
    <w:p w:rsidR="00500724" w:rsidRDefault="00F30FB8">
      <w:pPr>
        <w:pStyle w:val="Zkladntext100"/>
        <w:shd w:val="clear" w:color="auto" w:fill="auto"/>
        <w:spacing w:line="230" w:lineRule="auto"/>
        <w:ind w:firstLine="220"/>
        <w:rPr>
          <w:sz w:val="19"/>
          <w:szCs w:val="19"/>
        </w:rPr>
      </w:pPr>
      <w:r>
        <w:rPr>
          <w:sz w:val="19"/>
          <w:szCs w:val="19"/>
        </w:rPr>
        <w:t>Stráž přivedla na komisařství mladého člověka, jenž tropil na ulici pohoršlivou výtržnost. I na policii ještě rozčileně vyprávěl, že ho nějaká br</w:t>
      </w:r>
      <w:r>
        <w:rPr>
          <w:sz w:val="19"/>
          <w:szCs w:val="19"/>
        </w:rPr>
        <w:t>ija (t. j. čarodějnice) změnila ve zvíře. A proto běhal po čtyřech a když se ho policejní úředník ptal na jméno, obrátil se předvedený na něho s pohrůžkou: 3&gt;Sežeru tě — já jsem tygr z Tabascyk Slova o sobě strašidelná pronášel tó</w:t>
      </w:r>
      <w:r>
        <w:rPr>
          <w:sz w:val="19"/>
          <w:szCs w:val="19"/>
        </w:rPr>
        <w:softHyphen/>
        <w:t>nem laškovným, asi jako s</w:t>
      </w:r>
      <w:r>
        <w:rPr>
          <w:sz w:val="19"/>
          <w:szCs w:val="19"/>
        </w:rPr>
        <w:t>e hrozí dětem: ty ty ty!</w:t>
      </w:r>
    </w:p>
    <w:p w:rsidR="00500724" w:rsidRDefault="00F30FB8">
      <w:pPr>
        <w:pStyle w:val="Zkladntext100"/>
        <w:shd w:val="clear" w:color="auto" w:fill="auto"/>
        <w:spacing w:line="240" w:lineRule="auto"/>
        <w:ind w:firstLine="220"/>
        <w:rPr>
          <w:sz w:val="19"/>
          <w:szCs w:val="19"/>
        </w:rPr>
      </w:pPr>
      <w:r>
        <w:rPr>
          <w:sz w:val="19"/>
          <w:szCs w:val="19"/>
        </w:rPr>
        <w:t>»Nejsi žádný tygr,* řekl policejní lékař nedojat. »Po</w:t>
      </w:r>
      <w:r>
        <w:rPr>
          <w:sz w:val="19"/>
          <w:szCs w:val="19"/>
        </w:rPr>
        <w:softHyphen/>
        <w:t>věz nám raději, jak se jmenuješ.«</w:t>
      </w:r>
    </w:p>
    <w:p w:rsidR="00500724" w:rsidRDefault="00F30FB8">
      <w:pPr>
        <w:pStyle w:val="Zkladntext100"/>
        <w:shd w:val="clear" w:color="auto" w:fill="auto"/>
        <w:spacing w:line="228" w:lineRule="auto"/>
        <w:ind w:firstLine="220"/>
        <w:rPr>
          <w:sz w:val="19"/>
          <w:szCs w:val="19"/>
        </w:rPr>
      </w:pPr>
      <w:r>
        <w:rPr>
          <w:sz w:val="19"/>
          <w:szCs w:val="19"/>
        </w:rPr>
        <w:t>»Když nejsem tygr, tak snad jsem aspoň lvíček ?« smlouval výtržník.</w:t>
      </w:r>
    </w:p>
    <w:p w:rsidR="00500724" w:rsidRDefault="00F30FB8">
      <w:pPr>
        <w:pStyle w:val="Zkladntext100"/>
        <w:shd w:val="clear" w:color="auto" w:fill="auto"/>
        <w:spacing w:line="233" w:lineRule="auto"/>
        <w:ind w:firstLine="220"/>
        <w:rPr>
          <w:sz w:val="19"/>
          <w:szCs w:val="19"/>
        </w:rPr>
      </w:pPr>
      <w:r>
        <w:rPr>
          <w:smallCaps/>
          <w:sz w:val="19"/>
          <w:szCs w:val="19"/>
        </w:rPr>
        <w:t>ž&gt;</w:t>
      </w:r>
      <w:r>
        <w:rPr>
          <w:sz w:val="19"/>
          <w:szCs w:val="19"/>
        </w:rPr>
        <w:t xml:space="preserve"> Čerta starého jsi,« houkl lékař na podroušence, »jsi jenom opilý z toho pitomého indiánského býlí!*</w:t>
      </w:r>
    </w:p>
    <w:p w:rsidR="00500724" w:rsidRDefault="00F30FB8">
      <w:pPr>
        <w:pStyle w:val="Zkladntext100"/>
        <w:shd w:val="clear" w:color="auto" w:fill="auto"/>
        <w:spacing w:line="240" w:lineRule="auto"/>
        <w:ind w:firstLine="220"/>
        <w:rPr>
          <w:sz w:val="19"/>
          <w:szCs w:val="19"/>
        </w:rPr>
      </w:pPr>
      <w:r>
        <w:rPr>
          <w:sz w:val="19"/>
          <w:szCs w:val="19"/>
        </w:rPr>
        <w:t>Tygr z Tabascy a lvíček po těchto slovech vstal a řekl: &gt;Tak tedy ne — a líbej odpustit, že jsem obtěžoval.*</w:t>
      </w:r>
    </w:p>
    <w:p w:rsidR="00500724" w:rsidRDefault="00F30FB8">
      <w:pPr>
        <w:pStyle w:val="Zkladntext100"/>
        <w:shd w:val="clear" w:color="auto" w:fill="auto"/>
        <w:spacing w:line="240" w:lineRule="auto"/>
        <w:ind w:firstLine="220"/>
        <w:rPr>
          <w:sz w:val="19"/>
          <w:szCs w:val="19"/>
        </w:rPr>
      </w:pPr>
      <w:r>
        <w:rPr>
          <w:sz w:val="19"/>
          <w:szCs w:val="19"/>
        </w:rPr>
        <w:t xml:space="preserve">Fantastická představa, náhlé vzplanutí </w:t>
      </w:r>
      <w:r>
        <w:rPr>
          <w:sz w:val="19"/>
          <w:szCs w:val="19"/>
        </w:rPr>
        <w:t>sebevědomí (tygr!) a okamžitý pokles jsou znaky občasného opojení u domorodce.</w:t>
      </w:r>
    </w:p>
    <w:p w:rsidR="00500724" w:rsidRDefault="00F30FB8">
      <w:pPr>
        <w:pStyle w:val="Zkladntext100"/>
        <w:shd w:val="clear" w:color="auto" w:fill="auto"/>
        <w:spacing w:line="240" w:lineRule="auto"/>
        <w:ind w:firstLine="220"/>
        <w:rPr>
          <w:sz w:val="19"/>
          <w:szCs w:val="19"/>
        </w:rPr>
      </w:pPr>
      <w:r>
        <w:rPr>
          <w:sz w:val="19"/>
          <w:szCs w:val="19"/>
        </w:rPr>
        <w:t>U Evropana to vypadá jinak; denní tisk zaznamenává případy takové:</w:t>
      </w:r>
    </w:p>
    <w:p w:rsidR="00500724" w:rsidRDefault="00F30FB8">
      <w:pPr>
        <w:pStyle w:val="Zkladntext100"/>
        <w:shd w:val="clear" w:color="auto" w:fill="auto"/>
        <w:spacing w:line="221" w:lineRule="auto"/>
        <w:ind w:firstLine="220"/>
        <w:rPr>
          <w:sz w:val="19"/>
          <w:szCs w:val="19"/>
        </w:rPr>
      </w:pPr>
      <w:r>
        <w:rPr>
          <w:sz w:val="19"/>
          <w:szCs w:val="19"/>
        </w:rPr>
        <w:t>&gt;Při šfáře v hostincích na břehu Rio Grande (San Antonio) našla policie v jednom z lokálů za stolem muže, jenž</w:t>
      </w:r>
      <w:r>
        <w:rPr>
          <w:sz w:val="19"/>
          <w:szCs w:val="19"/>
        </w:rPr>
        <w:t xml:space="preserve"> seděl, hlavu opřenou o stůl, s pažema visícíma bez</w:t>
      </w:r>
      <w:r>
        <w:rPr>
          <w:sz w:val="19"/>
          <w:szCs w:val="19"/>
        </w:rPr>
        <w:softHyphen/>
        <w:t>vládně dolů. Na úředníkův dotaz odpověděl hostinský, že muž zde takto sedí uždvadnyadvěnoci, že ne</w:t>
      </w:r>
      <w:r>
        <w:rPr>
          <w:sz w:val="19"/>
          <w:szCs w:val="19"/>
        </w:rPr>
        <w:softHyphen/>
        <w:t>odpovídá na otázky a vůbec nemluví. Přišel sem před třemi dny ve společnosti indiánské ženy a Indiána. Ze</w:t>
      </w:r>
      <w:r>
        <w:rPr>
          <w:sz w:val="19"/>
          <w:szCs w:val="19"/>
        </w:rPr>
        <w:t>na zaplatila útratu a odešla předevčírem se svým společní</w:t>
      </w:r>
      <w:r>
        <w:rPr>
          <w:sz w:val="19"/>
          <w:szCs w:val="19"/>
        </w:rPr>
        <w:softHyphen/>
        <w:t>kem. Kdo to byl a kde teď jsou, hostinský neví.</w:t>
      </w:r>
    </w:p>
    <w:p w:rsidR="00500724" w:rsidRDefault="00F30FB8">
      <w:pPr>
        <w:pStyle w:val="Zkladntext100"/>
        <w:shd w:val="clear" w:color="auto" w:fill="auto"/>
        <w:spacing w:line="214" w:lineRule="auto"/>
        <w:ind w:firstLine="220"/>
        <w:rPr>
          <w:sz w:val="19"/>
          <w:szCs w:val="19"/>
        </w:rPr>
      </w:pPr>
      <w:r>
        <w:rPr>
          <w:sz w:val="19"/>
          <w:szCs w:val="19"/>
        </w:rPr>
        <w:t>Policejní úředník zvedl mužovu hlavu a poznal na první pohled, že jde o Evropana, jenž patrně teprve nedávno přijel. Osobních dokladů u sebe cizinec n</w:t>
      </w:r>
      <w:r>
        <w:rPr>
          <w:sz w:val="19"/>
          <w:szCs w:val="19"/>
        </w:rPr>
        <w:t>eměl.</w:t>
      </w:r>
    </w:p>
    <w:p w:rsidR="00500724" w:rsidRDefault="00F30FB8">
      <w:pPr>
        <w:pStyle w:val="Zkladntext100"/>
        <w:shd w:val="clear" w:color="auto" w:fill="auto"/>
        <w:spacing w:line="211" w:lineRule="auto"/>
        <w:ind w:firstLine="220"/>
        <w:rPr>
          <w:sz w:val="19"/>
          <w:szCs w:val="19"/>
        </w:rPr>
      </w:pPr>
      <w:r>
        <w:rPr>
          <w:sz w:val="19"/>
          <w:szCs w:val="19"/>
        </w:rPr>
        <w:t>Sí ráž odvezla muže, jenž byl v polovičním bezvědomí a občas jen zamumlal několik nesrozumitelných slov, do nemocnice. Lékaři rozpoznali otravu omamným jedem Toíoachi. Jednotlivé otravy vyvolávají bezvědomí trva</w:t>
      </w:r>
      <w:r>
        <w:rPr>
          <w:sz w:val="19"/>
          <w:szCs w:val="19"/>
        </w:rPr>
        <w:softHyphen/>
        <w:t xml:space="preserve">jící 3 až 4 týdny. Častější opakování </w:t>
      </w:r>
      <w:r>
        <w:rPr>
          <w:sz w:val="19"/>
          <w:szCs w:val="19"/>
        </w:rPr>
        <w:t>intoxikací má v zá</w:t>
      </w:r>
      <w:r>
        <w:rPr>
          <w:sz w:val="19"/>
          <w:szCs w:val="19"/>
        </w:rPr>
        <w:softHyphen/>
        <w:t>pětí trvalou ztrátu intelektu.«</w:t>
      </w:r>
    </w:p>
    <w:p w:rsidR="00500724" w:rsidRDefault="00F30FB8">
      <w:pPr>
        <w:pStyle w:val="Zkladntext100"/>
        <w:shd w:val="clear" w:color="auto" w:fill="auto"/>
        <w:spacing w:line="202" w:lineRule="auto"/>
        <w:ind w:firstLine="220"/>
        <w:rPr>
          <w:sz w:val="19"/>
          <w:szCs w:val="19"/>
        </w:rPr>
      </w:pPr>
      <w:r>
        <w:rPr>
          <w:sz w:val="19"/>
          <w:szCs w:val="19"/>
        </w:rPr>
        <w:t>Jiný případ z denního tisku (El grafico, Mexiko — město):</w:t>
      </w:r>
    </w:p>
    <w:p w:rsidR="00500724" w:rsidRDefault="00F30FB8">
      <w:pPr>
        <w:pStyle w:val="Zkladntext100"/>
        <w:shd w:val="clear" w:color="auto" w:fill="auto"/>
        <w:spacing w:line="209" w:lineRule="auto"/>
        <w:ind w:firstLine="220"/>
        <w:rPr>
          <w:sz w:val="19"/>
          <w:szCs w:val="19"/>
        </w:rPr>
      </w:pPr>
      <w:r>
        <w:rPr>
          <w:sz w:val="19"/>
          <w:szCs w:val="19"/>
        </w:rPr>
        <w:t xml:space="preserve">»Do noční kavárny na Calle </w:t>
      </w:r>
      <w:r>
        <w:rPr>
          <w:sz w:val="19"/>
          <w:szCs w:val="19"/>
          <w:lang w:val="en-US" w:eastAsia="en-US" w:bidi="en-US"/>
        </w:rPr>
        <w:t xml:space="preserve">Ribera </w:t>
      </w:r>
      <w:r>
        <w:rPr>
          <w:sz w:val="19"/>
          <w:szCs w:val="19"/>
        </w:rPr>
        <w:t>de San Cosme byla stráž povolána, aby se ujala muže, jenž tam něko</w:t>
      </w:r>
      <w:r>
        <w:rPr>
          <w:sz w:val="19"/>
          <w:szCs w:val="19"/>
        </w:rPr>
        <w:softHyphen/>
        <w:t>lik hodin seděl s děvčetem, a jenž najednou zt</w:t>
      </w:r>
      <w:r>
        <w:rPr>
          <w:sz w:val="19"/>
          <w:szCs w:val="19"/>
        </w:rPr>
        <w:t>ratil pa</w:t>
      </w:r>
      <w:r>
        <w:rPr>
          <w:sz w:val="19"/>
          <w:szCs w:val="19"/>
        </w:rPr>
        <w:softHyphen/>
        <w:t>mět. Dívka při výslechu udala, že se nalézá ve společ</w:t>
      </w:r>
      <w:r>
        <w:rPr>
          <w:sz w:val="19"/>
          <w:szCs w:val="19"/>
        </w:rPr>
        <w:softHyphen/>
        <w:t>nosti muže od poledních hodin. Byli spolu v různých restauracích a barech, muž však — jinak velmi štědrý a kavalírský — neplnil očekávanou úlohu ohnivého milen</w:t>
      </w:r>
      <w:r>
        <w:rPr>
          <w:sz w:val="19"/>
          <w:szCs w:val="19"/>
        </w:rPr>
        <w:softHyphen/>
        <w:t>ce) Proto si koupila na trhu práš</w:t>
      </w:r>
      <w:r>
        <w:rPr>
          <w:sz w:val="19"/>
          <w:szCs w:val="19"/>
        </w:rPr>
        <w:t>ek, po němž jsou muži rázem zamilovaní, a nasypala mu ho — jen trošinku — do kávy. Jakmile muž kávu vypil, upadl do bezvědomí. Děvče se leklo, že ho snad ranila mrtvice a požádala kavárníka, aby zavolal záchrannou stanici. — Lékaři pak zjistili otravu z To</w:t>
      </w:r>
      <w:r>
        <w:rPr>
          <w:sz w:val="19"/>
          <w:szCs w:val="19"/>
        </w:rPr>
        <w:t>íoachi.«</w:t>
      </w:r>
    </w:p>
    <w:p w:rsidR="00500724" w:rsidRDefault="00F30FB8">
      <w:pPr>
        <w:pStyle w:val="Zkladntext100"/>
        <w:shd w:val="clear" w:color="auto" w:fill="auto"/>
        <w:spacing w:line="223" w:lineRule="auto"/>
        <w:ind w:firstLine="220"/>
        <w:rPr>
          <w:sz w:val="19"/>
          <w:szCs w:val="19"/>
        </w:rPr>
      </w:pPr>
      <w:r>
        <w:rPr>
          <w:sz w:val="19"/>
          <w:szCs w:val="19"/>
        </w:rPr>
        <w:t>Jak vidno jsou předpokládané a skutečné funkce jedu</w:t>
      </w:r>
    </w:p>
    <w:p w:rsidR="00500724" w:rsidRDefault="00F30FB8">
      <w:pPr>
        <w:pStyle w:val="Zkladntext100"/>
        <w:shd w:val="clear" w:color="auto" w:fill="auto"/>
        <w:spacing w:line="209" w:lineRule="auto"/>
        <w:ind w:firstLine="0"/>
        <w:rPr>
          <w:sz w:val="19"/>
          <w:szCs w:val="19"/>
        </w:rPr>
      </w:pPr>
      <w:r>
        <w:rPr>
          <w:sz w:val="19"/>
          <w:szCs w:val="19"/>
        </w:rPr>
        <w:t>Toíoachi různé. Podstatu se nepodařilo zjistit ani lékař</w:t>
      </w:r>
      <w:r>
        <w:rPr>
          <w:sz w:val="19"/>
          <w:szCs w:val="19"/>
        </w:rPr>
        <w:softHyphen/>
        <w:t>skými pokusy na vlastním těle.</w:t>
      </w:r>
    </w:p>
    <w:p w:rsidR="00500724" w:rsidRDefault="00F30FB8">
      <w:pPr>
        <w:pStyle w:val="Zkladntext100"/>
        <w:shd w:val="clear" w:color="auto" w:fill="auto"/>
        <w:spacing w:line="209" w:lineRule="auto"/>
        <w:ind w:firstLine="220"/>
        <w:rPr>
          <w:sz w:val="19"/>
          <w:szCs w:val="19"/>
        </w:rPr>
      </w:pPr>
      <w:r>
        <w:rPr>
          <w:sz w:val="19"/>
          <w:szCs w:val="19"/>
        </w:rPr>
        <w:t>Mexický lékař, jenž vypil silný odvar příslušných’ listů, líčí mezi jiným tyto příznaky a halucinace:</w:t>
      </w:r>
    </w:p>
    <w:p w:rsidR="00500724" w:rsidRDefault="00F30FB8">
      <w:pPr>
        <w:pStyle w:val="Zkladntext100"/>
        <w:shd w:val="clear" w:color="auto" w:fill="auto"/>
        <w:spacing w:line="209" w:lineRule="auto"/>
        <w:ind w:firstLine="220"/>
        <w:rPr>
          <w:sz w:val="19"/>
          <w:szCs w:val="19"/>
        </w:rPr>
      </w:pPr>
      <w:r>
        <w:rPr>
          <w:sz w:val="19"/>
          <w:szCs w:val="19"/>
        </w:rPr>
        <w:t>Nejpr</w:t>
      </w:r>
      <w:r>
        <w:rPr>
          <w:sz w:val="19"/>
          <w:szCs w:val="19"/>
        </w:rPr>
        <w:t>ve jsem upadl do hlubokého, takřka olověného spánku. Když jsem se probudil, měl jsem těžkou hlavu, asi jako za horečky. Pocítil jsem silnou žízeň, chtěl jsem pít, a začal jsem za tím účelem ssát a cucat své hodinky, ačkoliv jsem si byl plně vědom, že dělám</w:t>
      </w:r>
      <w:r>
        <w:rPr>
          <w:sz w:val="19"/>
          <w:szCs w:val="19"/>
        </w:rPr>
        <w:t xml:space="preserve"> nesmysl. Pak jsem začal ohmatávat svá kolena. Domníval jsem se, že jsou to krabice, chtěl jsem je otevřít a zlobil jsem se, že nemohu hnout s víkem. Při tom jsem měl zřetelné vědomí, že to jsou přece jen kolena a omlouval jsem se sám sobě, že to dělám jen</w:t>
      </w:r>
      <w:r>
        <w:rPr>
          <w:sz w:val="19"/>
          <w:szCs w:val="19"/>
        </w:rPr>
        <w:t>om dětem pro legraci. Děti však žádné v místnosti nebyly a jsem dokonce bezdětný. Nemám proto ani tušení, jak se představa dětí dostala do mých halucinací.</w:t>
      </w:r>
    </w:p>
    <w:p w:rsidR="00500724" w:rsidRDefault="00F30FB8">
      <w:pPr>
        <w:pStyle w:val="Zkladntext100"/>
        <w:shd w:val="clear" w:color="auto" w:fill="auto"/>
        <w:spacing w:line="209" w:lineRule="auto"/>
        <w:ind w:firstLine="220"/>
        <w:rPr>
          <w:sz w:val="19"/>
          <w:szCs w:val="19"/>
        </w:rPr>
      </w:pPr>
      <w:r>
        <w:rPr>
          <w:sz w:val="19"/>
          <w:szCs w:val="19"/>
        </w:rPr>
        <w:t>Velmi nemile jsem nesl nadměrné zesílení hmatu. Jazyk mi připadal v ústech jako cizí těleso, stále n</w:t>
      </w:r>
      <w:r>
        <w:rPr>
          <w:sz w:val="19"/>
          <w:szCs w:val="19"/>
        </w:rPr>
        <w:t>a něco narážel a měl jsem chuť vyjmout jazyk z úst a odložit ho na stolek. Také zubů mi přibylo, měl jsem jich plné patro. Jakmile jsem se rukou přiblížil něja</w:t>
      </w:r>
      <w:r>
        <w:rPr>
          <w:sz w:val="19"/>
          <w:szCs w:val="19"/>
        </w:rPr>
        <w:softHyphen/>
        <w:t>kému předmětu, cítil jsem v konečcích prstů silné prou</w:t>
      </w:r>
      <w:r>
        <w:rPr>
          <w:sz w:val="19"/>
          <w:szCs w:val="19"/>
        </w:rPr>
        <w:softHyphen/>
        <w:t>dy žáru a chladu. Když jsem palci nohou z</w:t>
      </w:r>
      <w:r>
        <w:rPr>
          <w:sz w:val="19"/>
          <w:szCs w:val="19"/>
        </w:rPr>
        <w:t>avadil o při</w:t>
      </w:r>
      <w:r>
        <w:rPr>
          <w:sz w:val="19"/>
          <w:szCs w:val="19"/>
        </w:rPr>
        <w:softHyphen/>
        <w:t>krývku, začal se mi po každé zvedat žaludek.</w:t>
      </w:r>
    </w:p>
    <w:p w:rsidR="00500724" w:rsidRDefault="00F30FB8">
      <w:pPr>
        <w:pStyle w:val="Zkladntext100"/>
        <w:shd w:val="clear" w:color="auto" w:fill="auto"/>
        <w:spacing w:line="209" w:lineRule="auto"/>
        <w:ind w:firstLine="220"/>
        <w:rPr>
          <w:sz w:val="19"/>
          <w:szCs w:val="19"/>
        </w:rPr>
      </w:pPr>
      <w:r>
        <w:rPr>
          <w:sz w:val="19"/>
          <w:szCs w:val="19"/>
        </w:rPr>
        <w:t xml:space="preserve">Něžné pocity jsem choval jen vůči psu, jenž ležel podle mého lůžka. Hrozně jsem ho litoval, že musí koukat na všechno jenom zdola. Za chvíli jsem se do této představy tak vžil, že jsem považoval za </w:t>
      </w:r>
      <w:r>
        <w:rPr>
          <w:sz w:val="19"/>
          <w:szCs w:val="19"/>
        </w:rPr>
        <w:t>velmi snadné, změnit se v takového čtvernožce. Věděl jsem přesně, že bych to dokázal, byl jsem však příliš líný a řekl jsem si: necháme to napodruhé ...</w:t>
      </w:r>
    </w:p>
    <w:p w:rsidR="00500724" w:rsidRDefault="00F30FB8">
      <w:pPr>
        <w:pStyle w:val="Zkladntext100"/>
        <w:shd w:val="clear" w:color="auto" w:fill="auto"/>
        <w:spacing w:line="209" w:lineRule="auto"/>
        <w:ind w:firstLine="220"/>
        <w:rPr>
          <w:sz w:val="19"/>
          <w:szCs w:val="19"/>
        </w:rPr>
      </w:pPr>
      <w:r>
        <w:rPr>
          <w:sz w:val="19"/>
          <w:szCs w:val="19"/>
        </w:rPr>
        <w:t>Průběhem otravy jsem začal také špatně vidět. Měl jsem dojem, že se mi dostalo do očí mýdlo nebo nějaká</w:t>
      </w:r>
      <w:r>
        <w:rPr>
          <w:sz w:val="19"/>
          <w:szCs w:val="19"/>
        </w:rPr>
        <w:t xml:space="preserve"> mastnota. Nepociťoval jsem však tuto skutečnost bolest</w:t>
      </w:r>
      <w:r>
        <w:rPr>
          <w:sz w:val="19"/>
          <w:szCs w:val="19"/>
        </w:rPr>
        <w:softHyphen/>
        <w:t>ně — zase jsem měl dojem, že by stačilo přetřít si oči rukou, abych zase viděl normálně, leč byl jsem tak líný, že jsem i pohyb ruky odložil na pozdější dobu. Vidět zřetelně se mi vůbec nezdálo důleži</w:t>
      </w:r>
      <w:r>
        <w:rPr>
          <w:sz w:val="19"/>
          <w:szCs w:val="19"/>
        </w:rPr>
        <w:t>té.</w:t>
      </w:r>
    </w:p>
    <w:p w:rsidR="00500724" w:rsidRDefault="00F30FB8">
      <w:pPr>
        <w:pStyle w:val="Zkladntext100"/>
        <w:shd w:val="clear" w:color="auto" w:fill="auto"/>
        <w:spacing w:line="209" w:lineRule="auto"/>
        <w:ind w:firstLine="220"/>
        <w:rPr>
          <w:sz w:val="19"/>
          <w:szCs w:val="19"/>
        </w:rPr>
      </w:pPr>
      <w:r>
        <w:rPr>
          <w:sz w:val="19"/>
          <w:szCs w:val="19"/>
        </w:rPr>
        <w:t>Velkou část lékařského protokolu zaujímá líčení j&gt;kocoviny« nadlidské velikosti, která následovala po tomto »opojení«. I zde se organismus domorodce liší nesmírně od tělesné soustavy Evropanovy.</w:t>
      </w:r>
    </w:p>
    <w:p w:rsidR="00500724" w:rsidRDefault="00F30FB8">
      <w:pPr>
        <w:pStyle w:val="Zkladntext100"/>
        <w:shd w:val="clear" w:color="auto" w:fill="auto"/>
        <w:spacing w:after="60" w:line="211" w:lineRule="auto"/>
        <w:ind w:firstLine="220"/>
        <w:rPr>
          <w:sz w:val="19"/>
          <w:szCs w:val="19"/>
        </w:rPr>
      </w:pPr>
      <w:r>
        <w:rPr>
          <w:sz w:val="19"/>
          <w:szCs w:val="19"/>
        </w:rPr>
        <w:t>Proto také nesmějí Evropané v Mexiku jíst na podzim divok</w:t>
      </w:r>
      <w:r>
        <w:rPr>
          <w:sz w:val="19"/>
          <w:szCs w:val="19"/>
        </w:rPr>
        <w:t>é kachny: kachny milují nad všechnu jinou potravu rostlinu — řekněme — Toíoachi. Zkonsumují ji značné množství a na podzim je jejich maso tak prostoupeno jedem, že vyvolává i ve stavu pečeně prudké otravy.</w:t>
      </w:r>
    </w:p>
    <w:p w:rsidR="00500724" w:rsidRDefault="00F30FB8">
      <w:pPr>
        <w:pStyle w:val="Zkladntext100"/>
        <w:shd w:val="clear" w:color="auto" w:fill="auto"/>
        <w:spacing w:after="80" w:line="209" w:lineRule="auto"/>
        <w:ind w:firstLine="0"/>
        <w:jc w:val="center"/>
        <w:rPr>
          <w:sz w:val="19"/>
          <w:szCs w:val="19"/>
        </w:rPr>
      </w:pPr>
      <w:r>
        <w:rPr>
          <w:sz w:val="19"/>
          <w:szCs w:val="19"/>
        </w:rPr>
        <w:t>^Skleněná rakev*</w:t>
      </w:r>
    </w:p>
    <w:p w:rsidR="00500724" w:rsidRDefault="00F30FB8">
      <w:pPr>
        <w:pStyle w:val="Zkladntext100"/>
        <w:shd w:val="clear" w:color="auto" w:fill="auto"/>
        <w:spacing w:line="211" w:lineRule="auto"/>
        <w:ind w:firstLine="220"/>
        <w:rPr>
          <w:sz w:val="19"/>
          <w:szCs w:val="19"/>
        </w:rPr>
      </w:pPr>
      <w:r>
        <w:rPr>
          <w:sz w:val="19"/>
          <w:szCs w:val="19"/>
        </w:rPr>
        <w:t>Za prohibice — konstatuje na jiné</w:t>
      </w:r>
      <w:r>
        <w:rPr>
          <w:sz w:val="19"/>
          <w:szCs w:val="19"/>
        </w:rPr>
        <w:t>m místě Řeko — šlo o to, dopravit na území USA kvantum lihoviny co možná nejhutnější, aby z nákladu bylo lze ředěním vyrobit množství co největší. Ředěná lihovina však není dost »ostrá« — a tak se hledalo něco, co by kořalce dodalo palčivosti, jedné to z n</w:t>
      </w:r>
      <w:r>
        <w:rPr>
          <w:sz w:val="19"/>
          <w:szCs w:val="19"/>
        </w:rPr>
        <w:t>ejdůležitějších vlastností. Když se ukázalo, že paprikový odvar škodí vzhledu (kalí), hledaly se přísady jiné, a tak nesvědomitá ziskuchtivost přišla i na jed, známý už po staletí mexickým Indiánům.</w:t>
      </w:r>
    </w:p>
    <w:p w:rsidR="00500724" w:rsidRDefault="00F30FB8">
      <w:pPr>
        <w:pStyle w:val="Zkladntext100"/>
        <w:shd w:val="clear" w:color="auto" w:fill="auto"/>
        <w:spacing w:line="209" w:lineRule="auto"/>
        <w:ind w:firstLine="220"/>
        <w:rPr>
          <w:sz w:val="19"/>
          <w:szCs w:val="19"/>
        </w:rPr>
      </w:pPr>
      <w:r>
        <w:rPr>
          <w:sz w:val="19"/>
          <w:szCs w:val="19"/>
        </w:rPr>
        <w:t>Říkají mu beho-sito, to jest: skleněná rakev.</w:t>
      </w:r>
    </w:p>
    <w:p w:rsidR="00500724" w:rsidRDefault="00F30FB8">
      <w:pPr>
        <w:pStyle w:val="Zkladntext100"/>
        <w:shd w:val="clear" w:color="auto" w:fill="auto"/>
        <w:spacing w:line="214" w:lineRule="auto"/>
        <w:ind w:firstLine="220"/>
        <w:rPr>
          <w:sz w:val="19"/>
          <w:szCs w:val="19"/>
        </w:rPr>
      </w:pPr>
      <w:r>
        <w:rPr>
          <w:sz w:val="19"/>
          <w:szCs w:val="19"/>
        </w:rPr>
        <w:t>Už květ ros</w:t>
      </w:r>
      <w:r>
        <w:rPr>
          <w:sz w:val="19"/>
          <w:szCs w:val="19"/>
        </w:rPr>
        <w:t>tliny, z níž se beho-sito dobývalo a do</w:t>
      </w:r>
      <w:r>
        <w:rPr>
          <w:sz w:val="19"/>
          <w:szCs w:val="19"/>
        </w:rPr>
        <w:softHyphen/>
        <w:t>bývá, je nebezpečná. Voní tak omamně, že ji voňavkáři uvítali jásavě jako světovou sensaci, rychle však zase od ní upustili: pleť žen reagovala na tuto voňavku puchýři zvíce dlaně, rudými skvrnami a jinými těžkými po</w:t>
      </w:r>
      <w:r>
        <w:rPr>
          <w:sz w:val="19"/>
          <w:szCs w:val="19"/>
        </w:rPr>
        <w:t>ruchami.</w:t>
      </w:r>
    </w:p>
    <w:p w:rsidR="00500724" w:rsidRDefault="00F30FB8">
      <w:pPr>
        <w:pStyle w:val="Zkladntext100"/>
        <w:shd w:val="clear" w:color="auto" w:fill="auto"/>
        <w:spacing w:line="214" w:lineRule="auto"/>
        <w:ind w:firstLine="220"/>
        <w:rPr>
          <w:sz w:val="19"/>
          <w:szCs w:val="19"/>
        </w:rPr>
        <w:sectPr w:rsidR="00500724">
          <w:footnotePr>
            <w:numFmt w:val="chicago"/>
            <w:numRestart w:val="eachPage"/>
          </w:footnotePr>
          <w:type w:val="continuous"/>
          <w:pgSz w:w="11909" w:h="16834"/>
          <w:pgMar w:top="693" w:right="837" w:bottom="986" w:left="656" w:header="0" w:footer="3" w:gutter="0"/>
          <w:cols w:num="2" w:space="107"/>
          <w:noEndnote/>
          <w:docGrid w:linePitch="360"/>
        </w:sectPr>
      </w:pPr>
      <w:r>
        <w:rPr>
          <w:sz w:val="19"/>
          <w:szCs w:val="19"/>
        </w:rPr>
        <w:t>Odvar kořene má ostrou chuť a Indiáni ho užívali k — božímu soudu: kdo požil a nezemřel, byl nevinný. (Nebo byl zadobře s,kouzelníkem, jenž mu před experi</w:t>
      </w:r>
      <w:r>
        <w:rPr>
          <w:sz w:val="19"/>
          <w:szCs w:val="19"/>
        </w:rPr>
        <w:softHyphen/>
        <w:t>mentem dal napít odvar, obsahující tanin.)</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09" w:right="0" w:bottom="494" w:left="0" w:header="0" w:footer="3" w:gutter="0"/>
          <w:cols w:space="720"/>
          <w:noEndnote/>
          <w:docGrid w:linePitch="360"/>
        </w:sectPr>
      </w:pPr>
    </w:p>
    <w:p w:rsidR="00500724" w:rsidRDefault="00F30FB8">
      <w:pPr>
        <w:pStyle w:val="Zkladntext100"/>
        <w:framePr w:w="360" w:h="283" w:wrap="none" w:vAnchor="text" w:hAnchor="page" w:x="10713" w:y="21"/>
        <w:shd w:val="clear" w:color="auto" w:fill="auto"/>
        <w:spacing w:line="240" w:lineRule="auto"/>
        <w:ind w:firstLine="0"/>
        <w:jc w:val="left"/>
        <w:rPr>
          <w:sz w:val="19"/>
          <w:szCs w:val="19"/>
        </w:rPr>
      </w:pPr>
      <w:r>
        <w:rPr>
          <w:i/>
          <w:iCs/>
          <w:sz w:val="19"/>
          <w:szCs w:val="19"/>
        </w:rPr>
        <w:t>2,63</w:t>
      </w:r>
    </w:p>
    <w:p w:rsidR="00500724" w:rsidRDefault="00500724">
      <w:pPr>
        <w:spacing w:after="66" w:line="14" w:lineRule="exact"/>
      </w:pPr>
    </w:p>
    <w:p w:rsidR="00500724" w:rsidRDefault="00500724">
      <w:pPr>
        <w:spacing w:line="14" w:lineRule="exact"/>
        <w:sectPr w:rsidR="00500724">
          <w:footnotePr>
            <w:numFmt w:val="chicago"/>
            <w:numRestart w:val="eachPage"/>
          </w:footnotePr>
          <w:type w:val="continuous"/>
          <w:pgSz w:w="11909" w:h="16834"/>
          <w:pgMar w:top="809" w:right="962" w:bottom="494" w:left="554" w:header="0" w:footer="3" w:gutter="0"/>
          <w:cols w:space="720"/>
          <w:noEndnote/>
          <w:docGrid w:linePitch="360"/>
        </w:sectPr>
      </w:pP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747" w:right="593" w:bottom="1198" w:left="934" w:header="0" w:footer="3" w:gutter="0"/>
          <w:cols w:space="720"/>
          <w:noEndnote/>
          <w:docGrid w:linePitch="360"/>
        </w:sectPr>
      </w:pPr>
      <w:bookmarkStart w:id="427" w:name="bookmark426"/>
      <w:r>
        <w:rPr>
          <w:rFonts w:ascii="Times New Roman" w:eastAsia="Times New Roman" w:hAnsi="Times New Roman" w:cs="Times New Roman"/>
          <w:lang w:val="en-US" w:eastAsia="en-US" w:bidi="en-US"/>
        </w:rPr>
        <w:t>PfitomnosO</w:t>
      </w:r>
      <w:bookmarkEnd w:id="427"/>
    </w:p>
    <w:p w:rsidR="00500724" w:rsidRDefault="00500724">
      <w:pPr>
        <w:spacing w:line="124"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747" w:right="0" w:bottom="987" w:left="0" w:header="0" w:footer="3" w:gutter="0"/>
          <w:cols w:space="720"/>
          <w:noEndnote/>
          <w:docGrid w:linePitch="360"/>
        </w:sectPr>
      </w:pPr>
    </w:p>
    <w:p w:rsidR="00500724" w:rsidRDefault="00F30FB8">
      <w:pPr>
        <w:pStyle w:val="Zkladntext100"/>
        <w:shd w:val="clear" w:color="auto" w:fill="auto"/>
        <w:spacing w:line="216" w:lineRule="auto"/>
        <w:ind w:firstLine="240"/>
        <w:rPr>
          <w:sz w:val="19"/>
          <w:szCs w:val="19"/>
        </w:rPr>
      </w:pPr>
      <w:r>
        <w:rPr>
          <w:sz w:val="19"/>
          <w:szCs w:val="19"/>
        </w:rPr>
        <w:t>Kdo ulehl do ^skleněné rakve« a umřel, byl s kouzel</w:t>
      </w:r>
      <w:r>
        <w:rPr>
          <w:sz w:val="19"/>
          <w:szCs w:val="19"/>
        </w:rPr>
        <w:softHyphen/>
        <w:t>níkem na kordy, ^Skleněná rakev,« jméno jedu, je zá</w:t>
      </w:r>
      <w:r>
        <w:rPr>
          <w:sz w:val="19"/>
          <w:szCs w:val="19"/>
        </w:rPr>
        <w:softHyphen/>
        <w:t xml:space="preserve">roveň popisem </w:t>
      </w:r>
      <w:r>
        <w:rPr>
          <w:sz w:val="19"/>
          <w:szCs w:val="19"/>
        </w:rPr>
        <w:t>otravy: postižený leží nehybně, ztrnulé na znaku, má skelné oči, nemůže mluvit — ale plně vidí a slyší, co se kolem něho děje.</w:t>
      </w:r>
    </w:p>
    <w:p w:rsidR="00500724" w:rsidRDefault="00F30FB8">
      <w:pPr>
        <w:pStyle w:val="Zkladntext100"/>
        <w:shd w:val="clear" w:color="auto" w:fill="auto"/>
        <w:spacing w:line="216" w:lineRule="auto"/>
        <w:ind w:firstLine="240"/>
        <w:rPr>
          <w:sz w:val="19"/>
          <w:szCs w:val="19"/>
        </w:rPr>
      </w:pPr>
      <w:r>
        <w:rPr>
          <w:sz w:val="19"/>
          <w:szCs w:val="19"/>
        </w:rPr>
        <w:t>Takovouto s&gt;dobrotou« hoetleggeři napravovali liho</w:t>
      </w:r>
      <w:r>
        <w:rPr>
          <w:sz w:val="19"/>
          <w:szCs w:val="19"/>
        </w:rPr>
        <w:softHyphen/>
        <w:t>viny. Počet dosažených zisků i úmrtí byl znamenitý.</w:t>
      </w:r>
    </w:p>
    <w:p w:rsidR="00500724" w:rsidRDefault="00F30FB8">
      <w:pPr>
        <w:pStyle w:val="Zkladntext100"/>
        <w:shd w:val="clear" w:color="auto" w:fill="auto"/>
        <w:spacing w:after="60" w:line="218" w:lineRule="auto"/>
        <w:ind w:firstLine="240"/>
        <w:rPr>
          <w:sz w:val="19"/>
          <w:szCs w:val="19"/>
        </w:rPr>
      </w:pPr>
      <w:r>
        <w:rPr>
          <w:sz w:val="19"/>
          <w:szCs w:val="19"/>
        </w:rPr>
        <w:t>Indiáni sami znali a znají</w:t>
      </w:r>
      <w:r>
        <w:rPr>
          <w:sz w:val="19"/>
          <w:szCs w:val="19"/>
        </w:rPr>
        <w:t xml:space="preserve"> způsob, jak se tímto jedem omámit a při tom se neotrávit. Recept je nicméně ne</w:t>
      </w:r>
      <w:r>
        <w:rPr>
          <w:sz w:val="19"/>
          <w:szCs w:val="19"/>
        </w:rPr>
        <w:softHyphen/>
        <w:t>bezpečný.</w:t>
      </w:r>
    </w:p>
    <w:p w:rsidR="00500724" w:rsidRDefault="00F30FB8">
      <w:pPr>
        <w:pStyle w:val="Zkladntext100"/>
        <w:shd w:val="clear" w:color="auto" w:fill="auto"/>
        <w:spacing w:after="60" w:line="214" w:lineRule="auto"/>
        <w:ind w:firstLine="0"/>
        <w:jc w:val="center"/>
        <w:rPr>
          <w:sz w:val="19"/>
          <w:szCs w:val="19"/>
        </w:rPr>
      </w:pPr>
      <w:r>
        <w:rPr>
          <w:sz w:val="19"/>
          <w:szCs w:val="19"/>
        </w:rPr>
        <w:t>Závěr</w:t>
      </w:r>
    </w:p>
    <w:p w:rsidR="00500724" w:rsidRDefault="00F30FB8">
      <w:pPr>
        <w:pStyle w:val="Zkladntext100"/>
        <w:shd w:val="clear" w:color="auto" w:fill="auto"/>
        <w:spacing w:line="211" w:lineRule="auto"/>
        <w:ind w:firstLine="240"/>
        <w:rPr>
          <w:sz w:val="19"/>
          <w:szCs w:val="19"/>
        </w:rPr>
      </w:pPr>
      <w:r>
        <w:rPr>
          <w:sz w:val="19"/>
          <w:szCs w:val="19"/>
        </w:rPr>
        <w:t>Vybrali jsme namátkou několik jmen z herbáře šílen</w:t>
      </w:r>
      <w:r>
        <w:rPr>
          <w:sz w:val="19"/>
          <w:szCs w:val="19"/>
        </w:rPr>
        <w:softHyphen/>
        <w:t xml:space="preserve">ství a smrti. Nepopisovali jsme kladné halucinace, jež vyvolávají. Byl by to počin nevděčný: byl by odsouzen </w:t>
      </w:r>
      <w:r>
        <w:rPr>
          <w:sz w:val="19"/>
          <w:szCs w:val="19"/>
        </w:rPr>
        <w:t>k neúplnosti, protože v podstatě působí jed tak, že odstraňuje překážky mezi individuem a individuálním jeho názorem na štěstí.</w:t>
      </w:r>
    </w:p>
    <w:p w:rsidR="00500724" w:rsidRDefault="00F30FB8">
      <w:pPr>
        <w:pStyle w:val="Zkladntext100"/>
        <w:shd w:val="clear" w:color="auto" w:fill="auto"/>
        <w:spacing w:line="214" w:lineRule="auto"/>
        <w:ind w:firstLine="240"/>
        <w:rPr>
          <w:sz w:val="19"/>
          <w:szCs w:val="19"/>
        </w:rPr>
      </w:pPr>
      <w:r>
        <w:rPr>
          <w:sz w:val="19"/>
          <w:szCs w:val="19"/>
        </w:rPr>
        <w:t>Spokojíme se — vracejíce se k výchozímu bodu této úvahy — konstatováním, že jed, zejména omamný, je z nejdivnějšich věcí na tomt</w:t>
      </w:r>
      <w:r>
        <w:rPr>
          <w:sz w:val="19"/>
          <w:szCs w:val="19"/>
        </w:rPr>
        <w:t>o světě, a že nauka o jedu bude jednou východiskem k novému věku vědění. Asi jako nauka o vnitřní sekreci.</w:t>
      </w:r>
    </w:p>
    <w:p w:rsidR="00500724" w:rsidRDefault="00F30FB8">
      <w:pPr>
        <w:pStyle w:val="Zkladntext100"/>
        <w:shd w:val="clear" w:color="auto" w:fill="auto"/>
        <w:spacing w:line="211" w:lineRule="auto"/>
        <w:ind w:firstLine="240"/>
        <w:rPr>
          <w:sz w:val="19"/>
          <w:szCs w:val="19"/>
        </w:rPr>
      </w:pPr>
      <w:r>
        <w:rPr>
          <w:sz w:val="19"/>
          <w:szCs w:val="19"/>
        </w:rPr>
        <w:t>Celkově můžeme shrnout: žádný jed nepřináší do lidské duše nic nového. Není pravda, že jsou jedy, které umožňují pohled do budoucnosti nebo hovor s m</w:t>
      </w:r>
      <w:r>
        <w:rPr>
          <w:sz w:val="19"/>
          <w:szCs w:val="19"/>
        </w:rPr>
        <w:t>rtvými.</w:t>
      </w:r>
    </w:p>
    <w:p w:rsidR="00500724" w:rsidRDefault="00F30FB8">
      <w:pPr>
        <w:pStyle w:val="Zkladntext100"/>
        <w:shd w:val="clear" w:color="auto" w:fill="auto"/>
        <w:spacing w:line="216" w:lineRule="auto"/>
        <w:ind w:firstLine="240"/>
        <w:rPr>
          <w:sz w:val="19"/>
          <w:szCs w:val="19"/>
        </w:rPr>
      </w:pPr>
      <w:r>
        <w:rPr>
          <w:sz w:val="19"/>
          <w:szCs w:val="19"/>
        </w:rPr>
        <w:t>Není pravda, že jsou jedy, které sexuálně omlazují nebo vštěpují prudkou lásku.</w:t>
      </w:r>
    </w:p>
    <w:p w:rsidR="00500724" w:rsidRDefault="00F30FB8">
      <w:pPr>
        <w:pStyle w:val="Zkladntext100"/>
        <w:shd w:val="clear" w:color="auto" w:fill="auto"/>
        <w:spacing w:after="160" w:line="211" w:lineRule="auto"/>
        <w:ind w:firstLine="240"/>
        <w:rPr>
          <w:sz w:val="19"/>
          <w:szCs w:val="19"/>
        </w:rPr>
      </w:pPr>
      <w:r>
        <w:rPr>
          <w:sz w:val="19"/>
          <w:szCs w:val="19"/>
        </w:rPr>
        <w:t>Bekli jsme, že jed má nepoměrem mezi kvantitou a silou obdobu jen v třaskavinách. Tak nutno také pohlížet na efekty: kdo dá do válců automobilu třaska- vinu místo benzi</w:t>
      </w:r>
      <w:r>
        <w:rPr>
          <w:sz w:val="19"/>
          <w:szCs w:val="19"/>
        </w:rPr>
        <w:t xml:space="preserve">nu, dosáhne také většího motorového výkonu — ale jednou, dvakrát. Vůz poskočí (ne- roztrhne-li se napoprvé) o neuvěřitelný kus. Ale je konec. Nebof: natura </w:t>
      </w:r>
      <w:r>
        <w:rPr>
          <w:sz w:val="19"/>
          <w:szCs w:val="19"/>
          <w:lang w:val="en-US" w:eastAsia="en-US" w:bidi="en-US"/>
        </w:rPr>
        <w:t xml:space="preserve">non </w:t>
      </w:r>
      <w:r>
        <w:rPr>
          <w:sz w:val="19"/>
          <w:szCs w:val="19"/>
        </w:rPr>
        <w:t>facit saltus.</w:t>
      </w:r>
    </w:p>
    <w:p w:rsidR="00500724" w:rsidRDefault="00F30FB8">
      <w:pPr>
        <w:pStyle w:val="Nadpis80"/>
        <w:keepNext/>
        <w:keepLines/>
        <w:pBdr>
          <w:bottom w:val="single" w:sz="4" w:space="0" w:color="auto"/>
        </w:pBdr>
        <w:shd w:val="clear" w:color="auto" w:fill="auto"/>
        <w:spacing w:after="300"/>
        <w:rPr>
          <w:sz w:val="44"/>
          <w:szCs w:val="44"/>
        </w:rPr>
      </w:pPr>
      <w:bookmarkStart w:id="428" w:name="bookmark427"/>
      <w:r>
        <w:rPr>
          <w:sz w:val="44"/>
          <w:szCs w:val="44"/>
          <w:u w:val="none"/>
        </w:rPr>
        <w:t>dopisy</w:t>
      </w:r>
      <w:bookmarkEnd w:id="428"/>
    </w:p>
    <w:p w:rsidR="00500724" w:rsidRDefault="00F30FB8">
      <w:pPr>
        <w:pStyle w:val="Zkladntext100"/>
        <w:shd w:val="clear" w:color="auto" w:fill="auto"/>
        <w:spacing w:after="100" w:line="168" w:lineRule="auto"/>
        <w:ind w:right="100" w:firstLine="0"/>
        <w:jc w:val="center"/>
        <w:rPr>
          <w:sz w:val="19"/>
          <w:szCs w:val="19"/>
        </w:rPr>
      </w:pPr>
      <w:r>
        <w:rPr>
          <w:b/>
          <w:bCs/>
          <w:sz w:val="19"/>
          <w:szCs w:val="19"/>
        </w:rPr>
        <w:t>Co žádají Němci od Čechů</w:t>
      </w:r>
    </w:p>
    <w:p w:rsidR="00500724" w:rsidRDefault="00F30FB8">
      <w:pPr>
        <w:pStyle w:val="Zkladntext100"/>
        <w:shd w:val="clear" w:color="auto" w:fill="auto"/>
        <w:spacing w:after="60" w:line="178" w:lineRule="auto"/>
        <w:ind w:left="1100" w:firstLine="0"/>
        <w:jc w:val="left"/>
      </w:pPr>
      <w:r>
        <w:t>Redakci »Přítomnosti«!</w:t>
      </w:r>
    </w:p>
    <w:p w:rsidR="00500724" w:rsidRDefault="00F30FB8">
      <w:pPr>
        <w:pStyle w:val="Zkladntext100"/>
        <w:shd w:val="clear" w:color="auto" w:fill="auto"/>
        <w:spacing w:line="178" w:lineRule="auto"/>
        <w:ind w:firstLine="360"/>
        <w:jc w:val="left"/>
      </w:pPr>
      <w:r>
        <w:t xml:space="preserve">Myslím, že dopis německého </w:t>
      </w:r>
      <w:r>
        <w:t>občana, uveřejněný pí Jesen</w:t>
      </w:r>
      <w:r>
        <w:softHyphen/>
        <w:t xml:space="preserve">skou, nemůže zůstat bez odpovědi se strany české. Jde o to stanovit jasně, zda opravdu je možná spolupráce s Němci. Je ovšem možná cesta, která by opravdu uznávala, že také Češi mají právo vybudovat si svůj »český socialismus«, </w:t>
      </w:r>
      <w:r>
        <w:t>který by byl překonáním liberalismu a konkrétně chtěl opravdu sociální vzrůst každého českého člověka. Takový socialismus vybral by si z německého národního socialismu to, co je v něm positiv</w:t>
      </w:r>
      <w:r>
        <w:softHyphen/>
        <w:t>ního a uskutečňoval by to v českém prostředí českou metodou. Jen</w:t>
      </w:r>
      <w:r>
        <w:t xml:space="preserve"> tato cesta může být úspěšná a najít v českém prostředí odezvu, což je právě podmínkou její úspěšnosti.</w:t>
      </w:r>
    </w:p>
    <w:p w:rsidR="00500724" w:rsidRDefault="00F30FB8">
      <w:pPr>
        <w:pStyle w:val="Zkladntext100"/>
        <w:shd w:val="clear" w:color="auto" w:fill="auto"/>
        <w:spacing w:line="178" w:lineRule="auto"/>
        <w:ind w:firstLine="360"/>
      </w:pPr>
      <w:r>
        <w:t>Vykládám si nedostatečnou informovaností Němce, chce-li nám doporučovat, abychom navazovali na Pekaře. Ten přece byl liberálem par excelence. A právě Ma</w:t>
      </w:r>
      <w:r>
        <w:t>saryk to byl, který již před válkou u nás odmítl liberalismus, který proti němu bojoval celý život, jenž již před válkou odmítl marxismus a který po válce bojoval u nás úspěšně proti komunismu. Jaký</w:t>
      </w:r>
      <w:r>
        <w:softHyphen/>
        <w:t xml:space="preserve">koliv čéský socialismus bude proto a musí vždy navazovat </w:t>
      </w:r>
      <w:r>
        <w:t>na Masaryka. Vždyť jistě v nemalé míře jeho vlivem bylo, že u nás sociální demokracie byla již dávno nemarxistická.</w:t>
      </w:r>
    </w:p>
    <w:p w:rsidR="00500724" w:rsidRDefault="00F30FB8">
      <w:pPr>
        <w:pStyle w:val="Zkladntext100"/>
        <w:shd w:val="clear" w:color="auto" w:fill="auto"/>
        <w:spacing w:line="178" w:lineRule="auto"/>
        <w:ind w:firstLine="360"/>
      </w:pPr>
      <w:r>
        <w:t>Myslím právě dnes, že je třeba, aby byli slyšeni nejen Němci, ale také Češi, kteří lépe musí rozumět české duši a proto jediné oni mohou věd</w:t>
      </w:r>
      <w:r>
        <w:t>ět, s čím lze a s čím nelze českému člověku přijít.</w:t>
      </w:r>
    </w:p>
    <w:p w:rsidR="00500724" w:rsidRDefault="00F30FB8">
      <w:pPr>
        <w:pStyle w:val="Zkladntext100"/>
        <w:shd w:val="clear" w:color="auto" w:fill="auto"/>
        <w:spacing w:line="178" w:lineRule="auto"/>
        <w:ind w:left="2640" w:firstLine="0"/>
        <w:jc w:val="left"/>
      </w:pPr>
      <w:r>
        <w:t>Váš oddaný</w:t>
      </w:r>
    </w:p>
    <w:p w:rsidR="00500724" w:rsidRDefault="00F30FB8">
      <w:pPr>
        <w:pStyle w:val="Zkladntext100"/>
        <w:shd w:val="clear" w:color="auto" w:fill="auto"/>
        <w:spacing w:after="200" w:line="178" w:lineRule="auto"/>
        <w:ind w:firstLine="0"/>
        <w:jc w:val="right"/>
      </w:pPr>
      <w:r>
        <w:t>doc. Vaněček</w:t>
      </w:r>
    </w:p>
    <w:p w:rsidR="00500724" w:rsidRDefault="00F30FB8">
      <w:pPr>
        <w:pStyle w:val="Zkladntext100"/>
        <w:shd w:val="clear" w:color="auto" w:fill="auto"/>
        <w:spacing w:line="276" w:lineRule="auto"/>
        <w:ind w:left="1560" w:firstLine="1560"/>
        <w:jc w:val="left"/>
        <w:rPr>
          <w:sz w:val="19"/>
          <w:szCs w:val="19"/>
        </w:rPr>
      </w:pPr>
      <w:r>
        <w:t xml:space="preserve">Bratislava 14. IV. 1939 </w:t>
      </w:r>
      <w:r>
        <w:rPr>
          <w:b/>
          <w:bCs/>
          <w:sz w:val="19"/>
          <w:szCs w:val="19"/>
        </w:rPr>
        <w:t>Na rozlúčenie s Čechmí</w:t>
      </w:r>
    </w:p>
    <w:p w:rsidR="00500724" w:rsidRDefault="00F30FB8">
      <w:pPr>
        <w:pStyle w:val="Zkladntext100"/>
        <w:shd w:val="clear" w:color="auto" w:fill="auto"/>
        <w:spacing w:line="283" w:lineRule="auto"/>
        <w:ind w:left="1100" w:firstLine="0"/>
        <w:jc w:val="left"/>
      </w:pPr>
      <w:r>
        <w:t>Pán redaktor!</w:t>
      </w:r>
    </w:p>
    <w:p w:rsidR="00500724" w:rsidRDefault="00F30FB8">
      <w:pPr>
        <w:pStyle w:val="Zkladntext100"/>
        <w:shd w:val="clear" w:color="auto" w:fill="auto"/>
        <w:spacing w:after="40" w:line="180" w:lineRule="auto"/>
        <w:ind w:firstLine="360"/>
      </w:pPr>
      <w:r>
        <w:t xml:space="preserve">Na Váš článok v »Přítomnosti« ě. 14 »Rozloučení se Slo- venskem« dovolte, pane redaktor, aby som Vám podobným názvom </w:t>
      </w:r>
      <w:r>
        <w:t>odpovedal, kedže mne daly události za pravdu, ako som to vo Vašom časopise před 2 rokmi naznačil.</w:t>
      </w:r>
    </w:p>
    <w:p w:rsidR="00500724" w:rsidRDefault="00F30FB8">
      <w:pPr>
        <w:pStyle w:val="Zkladntext100"/>
        <w:shd w:val="clear" w:color="auto" w:fill="auto"/>
        <w:spacing w:line="178" w:lineRule="auto"/>
      </w:pPr>
      <w:r>
        <w:t xml:space="preserve">Rozišli sme sa. Vy nás obviňujete, my Vás obviňujeme. Jedno je ale isté. Češi malí možnost’ konsolidovat’ stát a získal! jednotlivé národnosti </w:t>
      </w:r>
      <w:r>
        <w:rPr>
          <w:lang w:val="en-US" w:eastAsia="en-US" w:bidi="en-US"/>
        </w:rPr>
        <w:t xml:space="preserve">pre </w:t>
      </w:r>
      <w:r>
        <w:t>spoluvládnu</w:t>
      </w:r>
      <w:r>
        <w:t xml:space="preserve">tie, lebo oni boli štát- ným-tvorčim národom. No nedokázali toho. Pražská vláda ne- chcela veriť tomu, čo viděla vlastnými očima v </w:t>
      </w:r>
      <w:r>
        <w:rPr>
          <w:lang w:val="en-US" w:eastAsia="en-US" w:bidi="en-US"/>
        </w:rPr>
        <w:t xml:space="preserve">Nitre, </w:t>
      </w:r>
      <w:r>
        <w:t>vo Zvolene i v Trenč. Tepliciach. Nechcela veriť tomu preto, lebo nemala možnost’ inam kolonizovat’ nadpočetnú intelek</w:t>
      </w:r>
      <w:r>
        <w:t xml:space="preserve">tuálnu vrstvu českého obyvatelstva, čo otvorene nikdy nepřiznala, Čech mal možnost’ uplatnenia sa v celom štáte od Chebu až </w:t>
      </w:r>
      <w:r>
        <w:rPr>
          <w:smallCaps/>
        </w:rPr>
        <w:t>po</w:t>
      </w:r>
      <w:r>
        <w:t xml:space="preserve"> Chust, nie tak ale Slovák, Rusín, Maďar alebo Nemec. Po Čechoch mali Němci najviac práv i pracovných možností, tých však podlá př</w:t>
      </w:r>
      <w:r>
        <w:t>íkladu Rakúska ani autonomiou by nebolo možno získat’.</w:t>
      </w:r>
    </w:p>
    <w:p w:rsidR="00500724" w:rsidRDefault="00F30FB8">
      <w:pPr>
        <w:pStyle w:val="Zkladntext100"/>
        <w:shd w:val="clear" w:color="auto" w:fill="auto"/>
        <w:spacing w:line="192" w:lineRule="auto"/>
        <w:ind w:firstLine="0"/>
        <w:jc w:val="right"/>
      </w:pPr>
      <w:r>
        <w:t>Českí intelektuáli na Slovensku nepočínali si čo státo</w:t>
      </w:r>
      <w:r>
        <w:softHyphen/>
        <w:t>tvorný element, ba opačné. Tref ne sa hovořilo o nich, že roz</w:t>
      </w:r>
      <w:r>
        <w:softHyphen/>
        <w:t>bili Rakúsko a rozbijú aj vlastný štát; mali v tom zkúsenosti. Nie som politikom, al</w:t>
      </w:r>
      <w:r>
        <w:t>e podlá mojho laického úsudku</w:t>
      </w:r>
    </w:p>
    <w:p w:rsidR="00500724" w:rsidRDefault="00F30FB8">
      <w:pPr>
        <w:pStyle w:val="Zkladntext100"/>
        <w:shd w:val="clear" w:color="auto" w:fill="auto"/>
        <w:spacing w:after="60" w:line="192" w:lineRule="auto"/>
        <w:ind w:firstLine="0"/>
        <w:jc w:val="left"/>
      </w:pPr>
      <w:r>
        <w:t>Č. S. R. stroskotala na troch základných chybách:</w:t>
      </w:r>
    </w:p>
    <w:p w:rsidR="00500724" w:rsidRDefault="00F30FB8">
      <w:pPr>
        <w:pStyle w:val="Zkladntext100"/>
        <w:numPr>
          <w:ilvl w:val="0"/>
          <w:numId w:val="49"/>
        </w:numPr>
        <w:shd w:val="clear" w:color="auto" w:fill="auto"/>
        <w:tabs>
          <w:tab w:val="left" w:pos="500"/>
        </w:tabs>
        <w:spacing w:line="178" w:lineRule="auto"/>
      </w:pPr>
      <w:r>
        <w:t>Následlcom jednostranného kolonizovania Čechov na Slovensku, kým Slovákom do Čiech a na Moravu přistup bol všemožné hatěný (ale i na Slovensku Češi mali přednosť).</w:t>
      </w:r>
    </w:p>
    <w:p w:rsidR="00500724" w:rsidRDefault="00F30FB8">
      <w:pPr>
        <w:pStyle w:val="Zkladntext100"/>
        <w:numPr>
          <w:ilvl w:val="0"/>
          <w:numId w:val="49"/>
        </w:numPr>
        <w:shd w:val="clear" w:color="auto" w:fill="auto"/>
        <w:tabs>
          <w:tab w:val="left" w:pos="500"/>
        </w:tabs>
        <w:spacing w:line="185" w:lineRule="auto"/>
      </w:pPr>
      <w:r>
        <w:t>Následkom ne</w:t>
      </w:r>
      <w:r>
        <w:t>schopnosti vyrovnat’ sa s Pofskom, odstú- pením Těšínská a Podk. Rusi.</w:t>
      </w:r>
    </w:p>
    <w:p w:rsidR="00500724" w:rsidRDefault="00F30FB8">
      <w:pPr>
        <w:pStyle w:val="Zkladntext100"/>
        <w:numPr>
          <w:ilvl w:val="0"/>
          <w:numId w:val="49"/>
        </w:numPr>
        <w:shd w:val="clear" w:color="auto" w:fill="auto"/>
        <w:tabs>
          <w:tab w:val="left" w:pos="505"/>
        </w:tabs>
        <w:spacing w:line="185" w:lineRule="auto"/>
      </w:pPr>
      <w:r>
        <w:t>Špatnou výchovou obyvatelstva, nepropagováním »vše« slovanskej« myšlienky.</w:t>
      </w:r>
    </w:p>
    <w:p w:rsidR="00500724" w:rsidRDefault="00F30FB8">
      <w:pPr>
        <w:pStyle w:val="Zkladntext100"/>
        <w:shd w:val="clear" w:color="auto" w:fill="auto"/>
        <w:spacing w:line="178" w:lineRule="auto"/>
      </w:pPr>
      <w:r>
        <w:t xml:space="preserve">Sme si dobré vědomi toho, že bez českej pomoci by sa naša sloboda v roku 1918-om nebola zrodila, no splněním </w:t>
      </w:r>
      <w:r>
        <w:t>pitts- bourghskej dohody mohli sme lepšie nažívat v obapolnej slo</w:t>
      </w:r>
      <w:r>
        <w:softHyphen/>
        <w:t>bodě. Češi nemajú spósoby k asimulovaniu iných, lebo sú nežičliví chlebodarci. Dúfame, že sa teraz priučia . . .</w:t>
      </w:r>
    </w:p>
    <w:p w:rsidR="00500724" w:rsidRDefault="00F30FB8">
      <w:pPr>
        <w:pStyle w:val="Zkladntext100"/>
        <w:shd w:val="clear" w:color="auto" w:fill="auto"/>
        <w:tabs>
          <w:tab w:val="left" w:pos="3629"/>
        </w:tabs>
        <w:spacing w:after="240" w:line="178" w:lineRule="auto"/>
      </w:pPr>
      <w:r>
        <w:t>Ďakujeme Vám, Češi, za pomoc k oslobodeniu. Starší brat, žičíme Ti toho všetk</w:t>
      </w:r>
      <w:r>
        <w:t>ého — ba i ďaleko viac — o čo sme Teba 20 rokov prosili. Mysli a vži sa teraz do našej situácii v Č. S. R. a pochopíš nás. Převychovat si synov a budeš aj Slovákovi bratom milým.</w:t>
      </w:r>
      <w:r>
        <w:tab/>
        <w:t>Hlinkov gardista</w:t>
      </w:r>
    </w:p>
    <w:p w:rsidR="00500724" w:rsidRDefault="00F30FB8">
      <w:pPr>
        <w:pStyle w:val="Jin0"/>
        <w:shd w:val="clear" w:color="auto" w:fill="auto"/>
        <w:spacing w:after="200"/>
        <w:ind w:firstLine="0"/>
        <w:jc w:val="left"/>
        <w:rPr>
          <w:sz w:val="46"/>
          <w:szCs w:val="46"/>
        </w:rPr>
      </w:pPr>
      <w:r>
        <w:rPr>
          <w:b/>
          <w:bCs/>
          <w:sz w:val="46"/>
          <w:szCs w:val="46"/>
          <w:u w:val="single"/>
        </w:rPr>
        <w:t>listárna redakce</w:t>
      </w:r>
    </w:p>
    <w:p w:rsidR="00500724" w:rsidRDefault="00F30FB8">
      <w:pPr>
        <w:pStyle w:val="Zkladntext100"/>
        <w:shd w:val="clear" w:color="auto" w:fill="auto"/>
        <w:spacing w:after="60" w:line="178" w:lineRule="auto"/>
      </w:pPr>
      <w:r>
        <w:t>To není pravda. Sám o sobě zajisté nám může</w:t>
      </w:r>
      <w:r>
        <w:t xml:space="preserve"> být jen ví</w:t>
      </w:r>
      <w:r>
        <w:softHyphen/>
        <w:t>tán ten fakt, že Němci dopisují do českých novin a reagují na to, co v nich naleznou. Vždy jsme věřili v metodu přimého dohovoru. Proto také Váš dopis jsme vzali do rukou nejdříve s očekáváním, že z našeho písemného setkání může vzejiti něco do</w:t>
      </w:r>
      <w:r>
        <w:t>brého. Toto příjemné očekávání však záhy ustoupilo dojmu velmi nelibému. Čtate české noviny a nalézáte v nich — ku podivu — »štvaní« a takový způsob psaní, který se »do dnešního rámce nehodi«. Kde jste v nynějších českých novi</w:t>
      </w:r>
      <w:r>
        <w:softHyphen/>
        <w:t>nách nalezl nějaké štvaní pro</w:t>
      </w:r>
      <w:r>
        <w:t>ti Němcům, je nám úplnou zá</w:t>
      </w:r>
      <w:r>
        <w:softHyphen/>
        <w:t>hadou. Vypadá to, jako byste držel v ruce Prášilovu troubu, ve které Vám zamrzl jeden starý tón: nenaučíte se už asi jinak mluvit, než jste mluvil v nějaké agitační periodě. Kdyby české časopisy vskutku štvaly proti Němcům, bylo</w:t>
      </w:r>
      <w:r>
        <w:t xml:space="preserve"> by to jistě již dávno zaznamenáno v německých novinách nebo by to bylo známo ze zákroku úřadů. Nic takového se nestalo. Jen Vy, samojediný, bůhvijak, jste objevil nějaké takové nepří</w:t>
      </w:r>
      <w:r>
        <w:softHyphen/>
        <w:t>stojnosti. Myslíme, že byste se měl odebrat k nějakému lé</w:t>
      </w:r>
      <w:r>
        <w:softHyphen/>
        <w:t>kaři, který by</w:t>
      </w:r>
      <w:r>
        <w:t xml:space="preserve"> napravil Vaše pozorovací schopnosti. Rozhodně takový typ německého čtenáře českých novin, jako jste Vy, není schopen přispívati ke klidnému soužití národů v této zemi. Připadá nám, jako byste chodil s olejem, hledaje oheň, do nějž byste obsah své lahvičky</w:t>
      </w:r>
      <w:r>
        <w:t xml:space="preserve"> přilil. Takových typů rač nás nyní chránit bůh. Jestliže pak větu, že podle výnosu o Protektorátu Češi mají netoliko povinnosti, nýbrž také práva, pokládáte za »způsob psáni, který se do dnešního rámce ne- hodí«, pak tím dokazujete jen tolik, že sám o ono</w:t>
      </w:r>
      <w:r>
        <w:t>m »dnešnim rámci« nic nevíte a že jste si výnos o Protektorátu ani pořádně nepřečetl. Napravte toto opominutí a nevystrkujte na nás svou okovanou botičku. Jestliže mluvím k Vám roz</w:t>
      </w:r>
      <w:r>
        <w:softHyphen/>
        <w:t>hodně, je to pochopitelno: nemáme mnoho úcty k člověku, jehož pozorovací sc</w:t>
      </w:r>
      <w:r>
        <w:t>hopnosti a patrně i úsudek jsou tak slabé, že ho svedou k domnění, že české noviny teď štvou proti Němcům.</w:t>
      </w:r>
    </w:p>
    <w:p w:rsidR="00500724" w:rsidRDefault="00F30FB8">
      <w:pPr>
        <w:pStyle w:val="Zkladntext100"/>
        <w:shd w:val="clear" w:color="auto" w:fill="auto"/>
        <w:spacing w:line="173" w:lineRule="auto"/>
        <w:sectPr w:rsidR="00500724">
          <w:footnotePr>
            <w:numFmt w:val="chicago"/>
            <w:numRestart w:val="eachPage"/>
          </w:footnotePr>
          <w:type w:val="continuous"/>
          <w:pgSz w:w="11909" w:h="16834"/>
          <w:pgMar w:top="747" w:right="593" w:bottom="987" w:left="934" w:header="0" w:footer="3" w:gutter="0"/>
          <w:cols w:num="2" w:space="129"/>
          <w:noEndnote/>
          <w:docGrid w:linePitch="360"/>
        </w:sectPr>
      </w:pPr>
      <w:r>
        <w:t>Odpověď Slovence. Milá paní, je nepochopitelno, odkud se ve Vás stále ještě bere tolik jedu a nenávisti, mluvíte-li o Č</w:t>
      </w:r>
      <w:r>
        <w:t>eších. Považujete za nezbytno poslati nám své osobní prokletí a přá</w:t>
      </w:r>
      <w:r>
        <w:softHyphen/>
        <w:t>ní, abychom se nyní udusili ve své kotlině; bylo by Vám vhod, kdyby nás teď někdo rozebíral kůstku po kůstce, tváříte se, jako byste měla právo nás pokládat za nejzlotřilejší národ na celé</w:t>
      </w:r>
      <w:r>
        <w:t>m širém světě. Nebudeme splácet stejné stejným, ačkoliv také o slovenských kůstkách by nás mohla napadnout leckterá vhodná poznámka. Citice, jak nám Vaše slina ještě stéká po obličeji, přejeme v zájmu budoucnosti Vašemu slovenskému ná</w:t>
      </w:r>
      <w:r>
        <w:softHyphen/>
        <w:t>rodu mnoho štěstí. Úč</w:t>
      </w:r>
      <w:r>
        <w:t>ast Čechů na slovenském osvobození před dvaceti lety byla Vašimi vůdci i nyní uznána. Budeme raději mysliti na tyto projevy, než na stopy nějaké soukromé psycho</w:t>
      </w:r>
      <w:r>
        <w:softHyphen/>
        <w:t>sy, i když jsou nám doručeny rekomandovaným dopisem.</w:t>
      </w:r>
    </w:p>
    <w:p w:rsidR="00500724" w:rsidRDefault="00F30FB8">
      <w:pPr>
        <w:pStyle w:val="Nadpis50"/>
        <w:keepNext/>
        <w:keepLines/>
        <w:framePr w:w="7056" w:h="1714" w:wrap="none" w:vAnchor="text" w:hAnchor="page" w:x="3819" w:y="188"/>
        <w:shd w:val="clear" w:color="auto" w:fill="auto"/>
        <w:rPr>
          <w:sz w:val="150"/>
          <w:szCs w:val="150"/>
        </w:rPr>
      </w:pPr>
      <w:bookmarkStart w:id="429" w:name="bookmark428"/>
      <w:r>
        <w:t xml:space="preserve">vět </w:t>
      </w:r>
      <w:r>
        <w:rPr>
          <w:sz w:val="150"/>
          <w:szCs w:val="150"/>
        </w:rPr>
        <w:t>knih</w:t>
      </w:r>
      <w:bookmarkEnd w:id="429"/>
    </w:p>
    <w:p w:rsidR="00500724" w:rsidRDefault="00F30FB8">
      <w:pPr>
        <w:pStyle w:val="Nadpis90"/>
        <w:keepNext/>
        <w:keepLines/>
        <w:framePr w:w="7296" w:h="523" w:wrap="none" w:vAnchor="text" w:hAnchor="page" w:x="3618" w:y="1902"/>
        <w:shd w:val="clear" w:color="auto" w:fill="auto"/>
        <w:spacing w:after="0"/>
        <w:rPr>
          <w:sz w:val="42"/>
          <w:szCs w:val="42"/>
        </w:rPr>
      </w:pPr>
      <w:bookmarkStart w:id="430" w:name="bookmark429"/>
      <w:r>
        <w:rPr>
          <w:b/>
          <w:bCs/>
          <w:sz w:val="34"/>
          <w:szCs w:val="34"/>
        </w:rPr>
        <w:t xml:space="preserve">KULTURNÍ </w:t>
      </w:r>
      <w:r>
        <w:rPr>
          <w:smallCaps/>
          <w:sz w:val="42"/>
          <w:szCs w:val="42"/>
        </w:rPr>
        <w:t>zpravodaj</w:t>
      </w:r>
      <w:bookmarkEnd w:id="430"/>
    </w:p>
    <w:p w:rsidR="00500724" w:rsidRDefault="00F30FB8">
      <w:pPr>
        <w:pStyle w:val="Jin0"/>
        <w:framePr w:w="422" w:h="1114" w:wrap="none" w:vAnchor="text" w:hAnchor="page" w:x="11163" w:y="21"/>
        <w:shd w:val="clear" w:color="auto" w:fill="auto"/>
        <w:spacing w:after="120"/>
        <w:ind w:firstLine="0"/>
        <w:jc w:val="left"/>
        <w:rPr>
          <w:sz w:val="26"/>
          <w:szCs w:val="26"/>
        </w:rPr>
      </w:pPr>
      <w:r>
        <w:rPr>
          <w:rFonts w:ascii="Arial" w:eastAsia="Arial" w:hAnsi="Arial" w:cs="Arial"/>
          <w:b/>
          <w:bCs/>
          <w:sz w:val="26"/>
          <w:szCs w:val="26"/>
        </w:rPr>
        <w:t>o</w:t>
      </w:r>
    </w:p>
    <w:p w:rsidR="00500724" w:rsidRDefault="00F30FB8">
      <w:pPr>
        <w:pStyle w:val="Jin0"/>
        <w:framePr w:w="422" w:h="1114" w:wrap="none" w:vAnchor="text" w:hAnchor="page" w:x="11163" w:y="21"/>
        <w:shd w:val="clear" w:color="auto" w:fill="auto"/>
        <w:spacing w:after="40"/>
        <w:ind w:firstLine="0"/>
        <w:jc w:val="left"/>
        <w:rPr>
          <w:sz w:val="26"/>
          <w:szCs w:val="26"/>
        </w:rPr>
      </w:pPr>
      <w:r>
        <w:rPr>
          <w:rFonts w:ascii="Arial" w:eastAsia="Arial" w:hAnsi="Arial" w:cs="Arial"/>
          <w:b/>
          <w:bCs/>
          <w:sz w:val="26"/>
          <w:szCs w:val="26"/>
        </w:rPr>
        <w:t>«o</w:t>
      </w:r>
    </w:p>
    <w:p w:rsidR="00500724" w:rsidRDefault="00F30FB8">
      <w:pPr>
        <w:pStyle w:val="Jin0"/>
        <w:framePr w:w="422" w:h="1114" w:wrap="none" w:vAnchor="text" w:hAnchor="page" w:x="11163" w:y="21"/>
        <w:shd w:val="clear" w:color="auto" w:fill="auto"/>
        <w:spacing w:after="80"/>
        <w:ind w:firstLine="0"/>
        <w:jc w:val="left"/>
        <w:rPr>
          <w:sz w:val="26"/>
          <w:szCs w:val="26"/>
        </w:rPr>
      </w:pPr>
      <w:r>
        <w:rPr>
          <w:rFonts w:ascii="Arial" w:eastAsia="Arial" w:hAnsi="Arial" w:cs="Arial"/>
          <w:b/>
          <w:bCs/>
          <w:sz w:val="26"/>
          <w:szCs w:val="26"/>
        </w:rPr>
        <w:t>o«</w:t>
      </w:r>
    </w:p>
    <w:p w:rsidR="00500724" w:rsidRDefault="00500724">
      <w:pPr>
        <w:spacing w:after="92" w:line="14" w:lineRule="exact"/>
      </w:pPr>
    </w:p>
    <w:p w:rsidR="00500724" w:rsidRDefault="00500724">
      <w:pPr>
        <w:spacing w:line="14" w:lineRule="exact"/>
        <w:sectPr w:rsidR="00500724">
          <w:footnotePr>
            <w:numFmt w:val="chicago"/>
            <w:numRestart w:val="eachPage"/>
          </w:footnotePr>
          <w:pgSz w:w="11909" w:h="16834"/>
          <w:pgMar w:top="3266" w:right="315" w:bottom="915" w:left="996" w:header="0" w:footer="3" w:gutter="0"/>
          <w:cols w:space="720"/>
          <w:noEndnote/>
          <w:docGrid w:linePitch="360"/>
        </w:sectPr>
      </w:pPr>
    </w:p>
    <w:p w:rsidR="00500724" w:rsidRDefault="00500724">
      <w:pPr>
        <w:spacing w:line="58" w:lineRule="exact"/>
        <w:rPr>
          <w:sz w:val="5"/>
          <w:szCs w:val="5"/>
        </w:rPr>
      </w:pPr>
    </w:p>
    <w:p w:rsidR="00500724" w:rsidRDefault="00500724">
      <w:pPr>
        <w:spacing w:line="14" w:lineRule="exact"/>
        <w:sectPr w:rsidR="00500724">
          <w:footnotePr>
            <w:numFmt w:val="chicago"/>
            <w:numRestart w:val="eachPage"/>
          </w:footnotePr>
          <w:type w:val="continuous"/>
          <w:pgSz w:w="11909" w:h="16834"/>
          <w:pgMar w:top="1994" w:right="0" w:bottom="0" w:left="0" w:header="0" w:footer="3" w:gutter="0"/>
          <w:cols w:space="720"/>
          <w:noEndnote/>
          <w:docGrid w:linePitch="360"/>
        </w:sectPr>
      </w:pPr>
    </w:p>
    <w:p w:rsidR="00500724" w:rsidRDefault="00F30FB8">
      <w:pPr>
        <w:spacing w:line="14" w:lineRule="exact"/>
      </w:pPr>
      <w:r>
        <w:rPr>
          <w:noProof/>
        </w:rPr>
        <mc:AlternateContent>
          <mc:Choice Requires="wps">
            <w:drawing>
              <wp:anchor distT="0" distB="101600" distL="0" distR="0" simplePos="0" relativeHeight="125829814" behindDoc="0" locked="0" layoutInCell="1" allowOverlap="1">
                <wp:simplePos x="0" y="0"/>
                <wp:positionH relativeFrom="page">
                  <wp:posOffset>2378710</wp:posOffset>
                </wp:positionH>
                <wp:positionV relativeFrom="paragraph">
                  <wp:posOffset>12700</wp:posOffset>
                </wp:positionV>
                <wp:extent cx="3239770" cy="1029970"/>
                <wp:effectExtent l="0" t="0" r="0" b="0"/>
                <wp:wrapTopAndBottom/>
                <wp:docPr id="437" name="Shape 437"/>
                <wp:cNvGraphicFramePr/>
                <a:graphic xmlns:a="http://schemas.openxmlformats.org/drawingml/2006/main">
                  <a:graphicData uri="http://schemas.microsoft.com/office/word/2010/wordprocessingShape">
                    <wps:wsp>
                      <wps:cNvSpPr txBox="1"/>
                      <wps:spPr>
                        <a:xfrm>
                          <a:off x="0" y="0"/>
                          <a:ext cx="3239770" cy="1029970"/>
                        </a:xfrm>
                        <a:prstGeom prst="rect">
                          <a:avLst/>
                        </a:prstGeom>
                        <a:noFill/>
                      </wps:spPr>
                      <wps:txbx>
                        <w:txbxContent>
                          <w:p w:rsidR="00500724" w:rsidRDefault="00F30FB8">
                            <w:pPr>
                              <w:pStyle w:val="Jin0"/>
                              <w:shd w:val="clear" w:color="auto" w:fill="auto"/>
                              <w:ind w:firstLine="0"/>
                              <w:jc w:val="center"/>
                              <w:rPr>
                                <w:sz w:val="26"/>
                                <w:szCs w:val="26"/>
                              </w:rPr>
                            </w:pPr>
                            <w:r>
                              <w:rPr>
                                <w:b/>
                                <w:bCs/>
                                <w:sz w:val="26"/>
                                <w:szCs w:val="26"/>
                              </w:rPr>
                              <w:t>Zajímavost pamětí</w:t>
                            </w:r>
                          </w:p>
                          <w:p w:rsidR="00500724" w:rsidRDefault="00F30FB8">
                            <w:pPr>
                              <w:pStyle w:val="Zkladntext100"/>
                              <w:shd w:val="clear" w:color="auto" w:fill="auto"/>
                              <w:tabs>
                                <w:tab w:val="left" w:pos="3571"/>
                              </w:tabs>
                              <w:spacing w:line="233" w:lineRule="auto"/>
                              <w:ind w:firstLine="220"/>
                              <w:rPr>
                                <w:sz w:val="20"/>
                                <w:szCs w:val="20"/>
                              </w:rPr>
                            </w:pPr>
                            <w:r>
                              <w:rPr>
                                <w:b/>
                                <w:bCs/>
                                <w:sz w:val="19"/>
                                <w:szCs w:val="19"/>
                              </w:rPr>
                              <w:t>Knihy, v kterých talentovaný autor vypravuje o vlastním životě, jsou téměř vždycky neobyčejně napínavé, ať už jsou to zpovědi Rousseauovy nebo Vzpomínky Anderse</w:t>
                            </w:r>
                            <w:r>
                              <w:rPr>
                                <w:b/>
                                <w:bCs/>
                                <w:sz w:val="19"/>
                                <w:szCs w:val="19"/>
                              </w:rPr>
                              <w:softHyphen/>
                              <w:t>novy nebo ta nád</w:t>
                            </w:r>
                            <w:r>
                              <w:rPr>
                                <w:b/>
                                <w:bCs/>
                                <w:sz w:val="19"/>
                                <w:szCs w:val="19"/>
                              </w:rPr>
                              <w:t xml:space="preserve">herná Báseň apravda, kde </w:t>
                            </w:r>
                            <w:r>
                              <w:rPr>
                                <w:b/>
                                <w:bCs/>
                                <w:sz w:val="19"/>
                                <w:szCs w:val="19"/>
                                <w:lang w:val="en-US" w:eastAsia="en-US" w:bidi="en-US"/>
                              </w:rPr>
                              <w:t xml:space="preserve">Goethe </w:t>
                            </w:r>
                            <w:r>
                              <w:rPr>
                                <w:b/>
                                <w:bCs/>
                                <w:sz w:val="19"/>
                                <w:szCs w:val="19"/>
                              </w:rPr>
                              <w:t>vy</w:t>
                            </w:r>
                            <w:r>
                              <w:rPr>
                                <w:b/>
                                <w:bCs/>
                                <w:sz w:val="19"/>
                                <w:szCs w:val="19"/>
                              </w:rPr>
                              <w:softHyphen/>
                              <w:t>pravuje o svém životě bez deformace, jenom s lehkou poe</w:t>
                            </w:r>
                            <w:r>
                              <w:rPr>
                                <w:b/>
                                <w:bCs/>
                                <w:sz w:val="19"/>
                                <w:szCs w:val="19"/>
                              </w:rPr>
                              <w:softHyphen/>
                              <w:t>tickou zasněností.</w:t>
                            </w:r>
                            <w:r>
                              <w:rPr>
                                <w:b/>
                                <w:bCs/>
                                <w:sz w:val="19"/>
                                <w:szCs w:val="19"/>
                              </w:rPr>
                              <w:tab/>
                            </w:r>
                            <w:r>
                              <w:rPr>
                                <w:b/>
                                <w:bCs/>
                                <w:i/>
                                <w:iCs/>
                                <w:sz w:val="20"/>
                                <w:szCs w:val="20"/>
                                <w:lang w:val="en-US" w:eastAsia="en-US" w:bidi="en-US"/>
                              </w:rPr>
                              <w:t xml:space="preserve">J. </w:t>
                            </w:r>
                            <w:r>
                              <w:rPr>
                                <w:b/>
                                <w:bCs/>
                                <w:i/>
                                <w:iCs/>
                                <w:sz w:val="20"/>
                                <w:szCs w:val="20"/>
                              </w:rPr>
                              <w:t xml:space="preserve">Gir au </w:t>
                            </w:r>
                            <w:r>
                              <w:rPr>
                                <w:b/>
                                <w:bCs/>
                                <w:i/>
                                <w:iCs/>
                                <w:sz w:val="20"/>
                                <w:szCs w:val="20"/>
                                <w:lang w:val="en-US" w:eastAsia="en-US" w:bidi="en-US"/>
                              </w:rPr>
                              <w:t>douse</w:t>
                            </w:r>
                          </w:p>
                        </w:txbxContent>
                      </wps:txbx>
                      <wps:bodyPr lIns="0" tIns="0" rIns="0" bIns="0">
                        <a:spAutoFit/>
                      </wps:bodyPr>
                    </wps:wsp>
                  </a:graphicData>
                </a:graphic>
              </wp:anchor>
            </w:drawing>
          </mc:Choice>
          <mc:Fallback>
            <w:pict>
              <v:shape id="_x0000_s1463" type="#_x0000_t202" style="position:absolute;margin-left:187.30000000000001pt;margin-top:1.pt;width:255.09999999999999pt;height:81.099999999999994pt;z-index:-125828939;mso-wrap-distance-left:0;mso-wrap-distance-right:0;mso-wrap-distance-bottom:8.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Zajímavost pamětí</w:t>
                      </w:r>
                    </w:p>
                    <w:p>
                      <w:pPr>
                        <w:pStyle w:val="Style344"/>
                        <w:keepNext w:val="0"/>
                        <w:keepLines w:val="0"/>
                        <w:widowControl w:val="0"/>
                        <w:shd w:val="clear" w:color="auto" w:fill="auto"/>
                        <w:tabs>
                          <w:tab w:pos="3571" w:val="left"/>
                        </w:tabs>
                        <w:bidi w:val="0"/>
                        <w:spacing w:before="0" w:after="0" w:line="233" w:lineRule="auto"/>
                        <w:ind w:left="0" w:right="0" w:firstLine="220"/>
                        <w:rPr>
                          <w:sz w:val="20"/>
                          <w:szCs w:val="20"/>
                        </w:rPr>
                      </w:pPr>
                      <w:r>
                        <w:rPr>
                          <w:b/>
                          <w:bCs/>
                          <w:color w:val="000000"/>
                          <w:spacing w:val="0"/>
                          <w:w w:val="100"/>
                          <w:position w:val="0"/>
                          <w:sz w:val="19"/>
                          <w:szCs w:val="19"/>
                          <w:shd w:val="clear" w:color="auto" w:fill="auto"/>
                          <w:lang w:val="cs-CZ" w:eastAsia="cs-CZ" w:bidi="cs-CZ"/>
                        </w:rPr>
                        <w:t>Knihy, v kterých talentovaný autor vypravuje o vlastním životě, jsou téměř vždycky neobyčejně napínavé, ať už jsou to zpovědi Rousseauovy nebo Vzpomínky Anderse</w:t>
                        <w:softHyphen/>
                        <w:t xml:space="preserve">novy nebo ta nádherná Báseň apravda, kde </w:t>
                      </w:r>
                      <w:r>
                        <w:rPr>
                          <w:b/>
                          <w:bCs/>
                          <w:color w:val="000000"/>
                          <w:spacing w:val="0"/>
                          <w:w w:val="100"/>
                          <w:position w:val="0"/>
                          <w:sz w:val="19"/>
                          <w:szCs w:val="19"/>
                          <w:shd w:val="clear" w:color="auto" w:fill="auto"/>
                          <w:lang w:val="en-US" w:eastAsia="en-US" w:bidi="en-US"/>
                        </w:rPr>
                        <w:t xml:space="preserve">Goethe </w:t>
                      </w:r>
                      <w:r>
                        <w:rPr>
                          <w:b/>
                          <w:bCs/>
                          <w:color w:val="000000"/>
                          <w:spacing w:val="0"/>
                          <w:w w:val="100"/>
                          <w:position w:val="0"/>
                          <w:sz w:val="19"/>
                          <w:szCs w:val="19"/>
                          <w:shd w:val="clear" w:color="auto" w:fill="auto"/>
                          <w:lang w:val="cs-CZ" w:eastAsia="cs-CZ" w:bidi="cs-CZ"/>
                        </w:rPr>
                        <w:t>vy</w:t>
                        <w:softHyphen/>
                        <w:t>pravuje o svém životě bez deformace, jenom s lehkou poe</w:t>
                        <w:softHyphen/>
                        <w:t>tickou zasněností.</w:t>
                        <w:tab/>
                      </w:r>
                      <w:r>
                        <w:rPr>
                          <w:b/>
                          <w:bCs/>
                          <w:i/>
                          <w:iCs/>
                          <w:color w:val="000000"/>
                          <w:spacing w:val="0"/>
                          <w:w w:val="100"/>
                          <w:position w:val="0"/>
                          <w:sz w:val="20"/>
                          <w:szCs w:val="20"/>
                          <w:shd w:val="clear" w:color="auto" w:fill="auto"/>
                          <w:lang w:val="en-US" w:eastAsia="en-US" w:bidi="en-US"/>
                        </w:rPr>
                        <w:t xml:space="preserve">J. </w:t>
                      </w:r>
                      <w:r>
                        <w:rPr>
                          <w:b/>
                          <w:bCs/>
                          <w:i/>
                          <w:iCs/>
                          <w:color w:val="000000"/>
                          <w:spacing w:val="0"/>
                          <w:w w:val="100"/>
                          <w:position w:val="0"/>
                          <w:sz w:val="20"/>
                          <w:szCs w:val="20"/>
                          <w:shd w:val="clear" w:color="auto" w:fill="auto"/>
                          <w:lang w:val="cs-CZ" w:eastAsia="cs-CZ" w:bidi="cs-CZ"/>
                        </w:rPr>
                        <w:t xml:space="preserve">Gir au </w:t>
                      </w:r>
                      <w:r>
                        <w:rPr>
                          <w:b/>
                          <w:bCs/>
                          <w:i/>
                          <w:iCs/>
                          <w:color w:val="000000"/>
                          <w:spacing w:val="0"/>
                          <w:w w:val="100"/>
                          <w:position w:val="0"/>
                          <w:sz w:val="20"/>
                          <w:szCs w:val="20"/>
                          <w:shd w:val="clear" w:color="auto" w:fill="auto"/>
                          <w:lang w:val="en-US" w:eastAsia="en-US" w:bidi="en-US"/>
                        </w:rPr>
                        <w:t>douse</w:t>
                      </w:r>
                    </w:p>
                  </w:txbxContent>
                </v:textbox>
                <w10:wrap type="topAndBottom" anchorx="page"/>
              </v:shape>
            </w:pict>
          </mc:Fallback>
        </mc:AlternateContent>
      </w:r>
    </w:p>
    <w:p w:rsidR="00500724" w:rsidRDefault="00F30FB8">
      <w:pPr>
        <w:pStyle w:val="Zkladntext30"/>
        <w:shd w:val="clear" w:color="auto" w:fill="auto"/>
        <w:spacing w:after="0" w:line="180" w:lineRule="auto"/>
        <w:ind w:firstLine="0"/>
        <w:jc w:val="right"/>
        <w:rPr>
          <w:sz w:val="20"/>
          <w:szCs w:val="20"/>
        </w:rPr>
      </w:pPr>
      <w:r>
        <w:rPr>
          <w:i/>
          <w:iCs/>
          <w:sz w:val="20"/>
          <w:szCs w:val="20"/>
        </w:rPr>
        <w:t>P. Bojar:</w:t>
      </w:r>
    </w:p>
    <w:p w:rsidR="00500724" w:rsidRDefault="00F30FB8">
      <w:pPr>
        <w:pStyle w:val="Zkladntext30"/>
        <w:shd w:val="clear" w:color="auto" w:fill="auto"/>
        <w:spacing w:after="80" w:line="240" w:lineRule="auto"/>
        <w:ind w:firstLine="0"/>
        <w:jc w:val="right"/>
        <w:rPr>
          <w:sz w:val="24"/>
          <w:szCs w:val="24"/>
        </w:rPr>
      </w:pPr>
      <w:r>
        <w:rPr>
          <w:b/>
          <w:bCs/>
          <w:sz w:val="24"/>
          <w:szCs w:val="24"/>
        </w:rPr>
        <w:t>ÚŽAS NAD CESTOU</w:t>
      </w:r>
    </w:p>
    <w:p w:rsidR="00500724" w:rsidRDefault="00F30FB8">
      <w:pPr>
        <w:pStyle w:val="Zkladntext30"/>
        <w:shd w:val="clear" w:color="auto" w:fill="auto"/>
        <w:spacing w:after="0" w:line="180" w:lineRule="auto"/>
        <w:ind w:firstLine="0"/>
        <w:jc w:val="right"/>
        <w:rPr>
          <w:sz w:val="20"/>
          <w:szCs w:val="20"/>
        </w:rPr>
      </w:pPr>
      <w:r>
        <w:rPr>
          <w:i/>
          <w:iCs/>
          <w:sz w:val="20"/>
          <w:szCs w:val="20"/>
        </w:rPr>
        <w:t>Zbloudilý vítr v záhybech</w:t>
      </w:r>
    </w:p>
    <w:p w:rsidR="00500724" w:rsidRDefault="00F30FB8">
      <w:pPr>
        <w:pStyle w:val="Zkladntext30"/>
        <w:shd w:val="clear" w:color="auto" w:fill="auto"/>
        <w:spacing w:after="0" w:line="180" w:lineRule="auto"/>
        <w:ind w:firstLine="0"/>
        <w:jc w:val="right"/>
        <w:rPr>
          <w:sz w:val="20"/>
          <w:szCs w:val="20"/>
        </w:rPr>
      </w:pPr>
      <w:r>
        <w:rPr>
          <w:i/>
          <w:iCs/>
          <w:sz w:val="20"/>
          <w:szCs w:val="20"/>
        </w:rPr>
        <w:t>Tvých Sátá,</w:t>
      </w:r>
    </w:p>
    <w:p w:rsidR="00500724" w:rsidRDefault="00F30FB8">
      <w:pPr>
        <w:pStyle w:val="Zkladntext30"/>
        <w:shd w:val="clear" w:color="auto" w:fill="auto"/>
        <w:spacing w:after="0" w:line="180" w:lineRule="auto"/>
        <w:ind w:firstLine="0"/>
        <w:rPr>
          <w:sz w:val="20"/>
          <w:szCs w:val="20"/>
        </w:rPr>
      </w:pPr>
      <w:r>
        <w:rPr>
          <w:i/>
          <w:iCs/>
          <w:sz w:val="20"/>
          <w:szCs w:val="20"/>
        </w:rPr>
        <w:t>kde stín a vůně mládí bydlí. Jsou slova lásky nahá,</w:t>
      </w:r>
    </w:p>
    <w:p w:rsidR="00500724" w:rsidRDefault="00F30FB8">
      <w:pPr>
        <w:pStyle w:val="Zkladntext30"/>
        <w:shd w:val="clear" w:color="auto" w:fill="auto"/>
        <w:spacing w:after="120" w:line="180" w:lineRule="auto"/>
        <w:ind w:firstLine="0"/>
        <w:jc w:val="right"/>
        <w:rPr>
          <w:sz w:val="20"/>
          <w:szCs w:val="20"/>
        </w:rPr>
      </w:pPr>
      <w:r>
        <w:rPr>
          <w:i/>
          <w:iCs/>
          <w:sz w:val="20"/>
          <w:szCs w:val="20"/>
        </w:rPr>
        <w:t xml:space="preserve">bez ornátů </w:t>
      </w:r>
      <w:r>
        <w:rPr>
          <w:i/>
          <w:iCs/>
          <w:sz w:val="20"/>
          <w:szCs w:val="20"/>
        </w:rPr>
        <w:t>jak ptáci s bělostnými křídly.</w:t>
      </w:r>
    </w:p>
    <w:p w:rsidR="00500724" w:rsidRDefault="00F30FB8">
      <w:pPr>
        <w:pStyle w:val="Zkladntext30"/>
        <w:shd w:val="clear" w:color="auto" w:fill="auto"/>
        <w:spacing w:after="0" w:line="180" w:lineRule="auto"/>
        <w:ind w:firstLine="0"/>
        <w:rPr>
          <w:sz w:val="20"/>
          <w:szCs w:val="20"/>
        </w:rPr>
      </w:pPr>
      <w:r>
        <w:rPr>
          <w:i/>
          <w:iCs/>
          <w:sz w:val="20"/>
          <w:szCs w:val="20"/>
        </w:rPr>
        <w:t>Teď jenom vzpomínky Ti</w:t>
      </w:r>
    </w:p>
    <w:p w:rsidR="00500724" w:rsidRDefault="00F30FB8">
      <w:pPr>
        <w:pStyle w:val="Zkladntext30"/>
        <w:shd w:val="clear" w:color="auto" w:fill="auto"/>
        <w:spacing w:after="0" w:line="180" w:lineRule="auto"/>
        <w:ind w:firstLine="0"/>
        <w:jc w:val="right"/>
        <w:rPr>
          <w:sz w:val="20"/>
          <w:szCs w:val="20"/>
        </w:rPr>
      </w:pPr>
      <w:r>
        <w:rPr>
          <w:i/>
          <w:iCs/>
          <w:sz w:val="20"/>
          <w:szCs w:val="20"/>
        </w:rPr>
        <w:t>nesu k oběti</w:t>
      </w:r>
    </w:p>
    <w:p w:rsidR="00500724" w:rsidRDefault="00F30FB8">
      <w:pPr>
        <w:pStyle w:val="Zkladntext30"/>
        <w:shd w:val="clear" w:color="auto" w:fill="auto"/>
        <w:spacing w:after="0" w:line="180" w:lineRule="auto"/>
        <w:ind w:firstLine="0"/>
        <w:rPr>
          <w:sz w:val="20"/>
          <w:szCs w:val="20"/>
        </w:rPr>
      </w:pPr>
      <w:r>
        <w:rPr>
          <w:i/>
          <w:iCs/>
          <w:sz w:val="20"/>
          <w:szCs w:val="20"/>
        </w:rPr>
        <w:t>na oltář rukou obnášených; se rtů tichounký zpěv</w:t>
      </w:r>
    </w:p>
    <w:p w:rsidR="00500724" w:rsidRDefault="00F30FB8">
      <w:pPr>
        <w:pStyle w:val="Zkladntext30"/>
        <w:shd w:val="clear" w:color="auto" w:fill="auto"/>
        <w:spacing w:after="120" w:line="180" w:lineRule="auto"/>
        <w:ind w:firstLine="0"/>
        <w:jc w:val="right"/>
        <w:rPr>
          <w:sz w:val="20"/>
          <w:szCs w:val="20"/>
        </w:rPr>
      </w:pPr>
      <w:r>
        <w:rPr>
          <w:i/>
          <w:iCs/>
          <w:sz w:val="20"/>
          <w:szCs w:val="20"/>
        </w:rPr>
        <w:t>(a přece doletí přes hoře klenuti) bílý a lehčí pěny.</w:t>
      </w:r>
    </w:p>
    <w:p w:rsidR="00500724" w:rsidRDefault="00F30FB8">
      <w:pPr>
        <w:pStyle w:val="Zkladntext30"/>
        <w:shd w:val="clear" w:color="auto" w:fill="auto"/>
        <w:spacing w:after="0" w:line="180" w:lineRule="auto"/>
        <w:ind w:left="1660" w:hanging="1660"/>
        <w:jc w:val="left"/>
        <w:rPr>
          <w:sz w:val="20"/>
          <w:szCs w:val="20"/>
        </w:rPr>
      </w:pPr>
      <w:r>
        <w:rPr>
          <w:i/>
          <w:iCs/>
          <w:sz w:val="20"/>
          <w:szCs w:val="20"/>
        </w:rPr>
        <w:t>Zbloudilý vítr, stín a pachuť po slzách,</w:t>
      </w:r>
    </w:p>
    <w:p w:rsidR="00500724" w:rsidRDefault="00F30FB8">
      <w:pPr>
        <w:pStyle w:val="Zkladntext30"/>
        <w:shd w:val="clear" w:color="auto" w:fill="auto"/>
        <w:spacing w:after="0" w:line="180" w:lineRule="auto"/>
        <w:ind w:firstLine="0"/>
        <w:rPr>
          <w:sz w:val="20"/>
          <w:szCs w:val="20"/>
        </w:rPr>
      </w:pPr>
      <w:r>
        <w:rPr>
          <w:i/>
          <w:iCs/>
          <w:sz w:val="20"/>
          <w:szCs w:val="20"/>
        </w:rPr>
        <w:t>o, Bože můj, smět zpívat</w:t>
      </w:r>
    </w:p>
    <w:p w:rsidR="00500724" w:rsidRDefault="00F30FB8">
      <w:pPr>
        <w:pStyle w:val="Zkladntext30"/>
        <w:shd w:val="clear" w:color="auto" w:fill="auto"/>
        <w:spacing w:after="0" w:line="180" w:lineRule="auto"/>
        <w:ind w:firstLine="0"/>
        <w:jc w:val="right"/>
        <w:rPr>
          <w:sz w:val="20"/>
          <w:szCs w:val="20"/>
        </w:rPr>
      </w:pPr>
      <w:r>
        <w:rPr>
          <w:i/>
          <w:iCs/>
          <w:sz w:val="20"/>
          <w:szCs w:val="20"/>
        </w:rPr>
        <w:t>chorály,</w:t>
      </w:r>
    </w:p>
    <w:p w:rsidR="00500724" w:rsidRDefault="00F30FB8">
      <w:pPr>
        <w:pStyle w:val="Zkladntext30"/>
        <w:shd w:val="clear" w:color="auto" w:fill="auto"/>
        <w:spacing w:after="0" w:line="180" w:lineRule="auto"/>
        <w:ind w:firstLine="0"/>
        <w:rPr>
          <w:sz w:val="20"/>
          <w:szCs w:val="20"/>
        </w:rPr>
      </w:pPr>
      <w:r>
        <w:rPr>
          <w:i/>
          <w:iCs/>
          <w:sz w:val="20"/>
          <w:szCs w:val="20"/>
        </w:rPr>
        <w:t>zpíval bych</w:t>
      </w:r>
      <w:r>
        <w:rPr>
          <w:i/>
          <w:iCs/>
          <w:sz w:val="20"/>
          <w:szCs w:val="20"/>
        </w:rPr>
        <w:t xml:space="preserve"> hned a andělé</w:t>
      </w:r>
    </w:p>
    <w:p w:rsidR="00500724" w:rsidRDefault="00F30FB8">
      <w:pPr>
        <w:pStyle w:val="Zkladntext30"/>
        <w:shd w:val="clear" w:color="auto" w:fill="auto"/>
        <w:spacing w:after="0" w:line="180" w:lineRule="auto"/>
        <w:ind w:firstLine="0"/>
        <w:jc w:val="right"/>
        <w:rPr>
          <w:sz w:val="20"/>
          <w:szCs w:val="20"/>
        </w:rPr>
      </w:pPr>
      <w:r>
        <w:rPr>
          <w:i/>
          <w:iCs/>
          <w:sz w:val="20"/>
          <w:szCs w:val="20"/>
        </w:rPr>
        <w:t>by zpívali,</w:t>
      </w:r>
    </w:p>
    <w:p w:rsidR="00500724" w:rsidRDefault="00F30FB8">
      <w:pPr>
        <w:pStyle w:val="Zkladntext30"/>
        <w:shd w:val="clear" w:color="auto" w:fill="auto"/>
        <w:spacing w:after="0" w:line="180" w:lineRule="auto"/>
        <w:ind w:left="160" w:hanging="160"/>
        <w:jc w:val="left"/>
        <w:rPr>
          <w:sz w:val="20"/>
          <w:szCs w:val="20"/>
        </w:rPr>
      </w:pPr>
      <w:r>
        <w:rPr>
          <w:i/>
          <w:iCs/>
          <w:sz w:val="20"/>
          <w:szCs w:val="20"/>
        </w:rPr>
        <w:t>kdyS dávno odložil jsem dětské hry, jež jenom prach</w:t>
      </w:r>
    </w:p>
    <w:p w:rsidR="00500724" w:rsidRDefault="00F30FB8">
      <w:pPr>
        <w:pStyle w:val="Zkladntext30"/>
        <w:shd w:val="clear" w:color="auto" w:fill="auto"/>
        <w:spacing w:after="0" w:line="180" w:lineRule="auto"/>
        <w:ind w:right="220" w:firstLine="0"/>
        <w:rPr>
          <w:sz w:val="20"/>
          <w:szCs w:val="20"/>
        </w:rPr>
      </w:pPr>
      <w:r>
        <w:rPr>
          <w:i/>
          <w:iCs/>
          <w:sz w:val="20"/>
          <w:szCs w:val="20"/>
        </w:rPr>
        <w:t>teď tichem políbí a zahrne. Ach, půjdu zpola dítě, zpola</w:t>
      </w:r>
    </w:p>
    <w:p w:rsidR="00500724" w:rsidRDefault="00F30FB8">
      <w:pPr>
        <w:pStyle w:val="Zkladntext100"/>
        <w:pBdr>
          <w:bottom w:val="single" w:sz="4" w:space="0" w:color="auto"/>
        </w:pBdr>
        <w:shd w:val="clear" w:color="auto" w:fill="auto"/>
        <w:spacing w:after="180" w:line="240" w:lineRule="auto"/>
        <w:ind w:firstLine="0"/>
        <w:jc w:val="right"/>
      </w:pPr>
      <w:r>
        <w:rPr>
          <w:i/>
          <w:iCs/>
          <w:sz w:val="20"/>
          <w:szCs w:val="20"/>
        </w:rPr>
        <w:t xml:space="preserve">muž skrze dny větrné. </w:t>
      </w:r>
      <w:r>
        <w:t>(Ze Studentského časopisu.)</w:t>
      </w:r>
    </w:p>
    <w:p w:rsidR="00500724" w:rsidRDefault="00F30FB8">
      <w:pPr>
        <w:pStyle w:val="Nadpis120"/>
        <w:shd w:val="clear" w:color="auto" w:fill="auto"/>
        <w:spacing w:after="60"/>
        <w:ind w:left="0"/>
        <w:jc w:val="both"/>
      </w:pPr>
      <w:bookmarkStart w:id="431" w:name="bookmark430"/>
      <w:r>
        <w:rPr>
          <w:rFonts w:ascii="Arial" w:eastAsia="Arial" w:hAnsi="Arial" w:cs="Arial"/>
        </w:rPr>
        <w:t>NOVÉ KNIHY</w:t>
      </w:r>
      <w:bookmarkEnd w:id="431"/>
    </w:p>
    <w:p w:rsidR="00500724" w:rsidRDefault="00F30FB8">
      <w:pPr>
        <w:pStyle w:val="Zkladntext90"/>
        <w:shd w:val="clear" w:color="auto" w:fill="auto"/>
        <w:spacing w:line="240" w:lineRule="auto"/>
        <w:ind w:firstLine="0"/>
      </w:pPr>
      <w:r>
        <w:rPr>
          <w:lang w:val="en-US" w:eastAsia="en-US" w:bidi="en-US"/>
        </w:rPr>
        <w:t xml:space="preserve">KAREL </w:t>
      </w:r>
      <w:r>
        <w:t>KONRÁD:</w:t>
      </w:r>
    </w:p>
    <w:p w:rsidR="00500724" w:rsidRDefault="00F30FB8">
      <w:pPr>
        <w:pStyle w:val="Zkladntext90"/>
        <w:shd w:val="clear" w:color="auto" w:fill="auto"/>
        <w:spacing w:line="240" w:lineRule="auto"/>
        <w:ind w:firstLine="0"/>
      </w:pPr>
      <w:r>
        <w:t>POSTELE BEZ NEBES</w:t>
      </w:r>
    </w:p>
    <w:p w:rsidR="00500724" w:rsidRDefault="00F30FB8">
      <w:pPr>
        <w:pStyle w:val="Zkladntext40"/>
        <w:shd w:val="clear" w:color="auto" w:fill="auto"/>
        <w:spacing w:after="0" w:line="175" w:lineRule="auto"/>
        <w:jc w:val="right"/>
      </w:pPr>
      <w:r>
        <w:t xml:space="preserve">Postele hez nebes, nový </w:t>
      </w:r>
      <w:r>
        <w:t>román</w:t>
      </w:r>
    </w:p>
    <w:p w:rsidR="00500724" w:rsidRDefault="00F30FB8">
      <w:pPr>
        <w:pStyle w:val="Zkladntext40"/>
        <w:shd w:val="clear" w:color="auto" w:fill="auto"/>
        <w:spacing w:after="120" w:line="175" w:lineRule="auto"/>
      </w:pPr>
      <w:r>
        <w:t xml:space="preserve">Karla Konráda, který se svými předchozími pracemi, básnickou prózou Rinaldino, románovým pokusem </w:t>
      </w:r>
      <w:r>
        <w:rPr>
          <w:lang w:val="en-US" w:eastAsia="en-US" w:bidi="en-US"/>
        </w:rPr>
        <w:t xml:space="preserve">Dinah </w:t>
      </w:r>
      <w:r>
        <w:t>a hořkými leto</w:t>
      </w:r>
      <w:r>
        <w:softHyphen/>
        <w:t>pisy své generace, vehnané na samém sklonku války do Jejích hrůz, projevil jako osobitý slo</w:t>
      </w:r>
      <w:r>
        <w:softHyphen/>
        <w:t>vesný tvůrce, je dílo na výsost originál</w:t>
      </w:r>
      <w:r>
        <w:t>ní. Je to román o dětech, v jejichž hrách, citových a du</w:t>
      </w:r>
      <w:r>
        <w:softHyphen/>
        <w:t>ševních pohnutích, radostech i žalech, dobrodružstvích 1 snech</w:t>
      </w:r>
    </w:p>
    <w:p w:rsidR="00500724" w:rsidRDefault="00F30FB8">
      <w:pPr>
        <w:pStyle w:val="Nadpis120"/>
        <w:shd w:val="clear" w:color="auto" w:fill="auto"/>
        <w:spacing w:after="80"/>
        <w:ind w:left="0"/>
        <w:jc w:val="both"/>
      </w:pPr>
      <w:bookmarkStart w:id="432" w:name="bookmark431"/>
      <w:r>
        <w:rPr>
          <w:rFonts w:ascii="Arial" w:eastAsia="Arial" w:hAnsi="Arial" w:cs="Arial"/>
        </w:rPr>
        <w:t>FEUILLETON</w:t>
      </w:r>
      <w:bookmarkEnd w:id="432"/>
    </w:p>
    <w:p w:rsidR="00500724" w:rsidRDefault="00F30FB8">
      <w:pPr>
        <w:pStyle w:val="Zkladntext90"/>
        <w:shd w:val="clear" w:color="auto" w:fill="auto"/>
        <w:spacing w:line="204" w:lineRule="auto"/>
        <w:ind w:firstLine="0"/>
      </w:pPr>
      <w:r>
        <w:t>Karel Konrád:</w:t>
      </w:r>
    </w:p>
    <w:p w:rsidR="00500724" w:rsidRDefault="00F30FB8">
      <w:pPr>
        <w:pStyle w:val="Zkladntext100"/>
        <w:shd w:val="clear" w:color="auto" w:fill="auto"/>
        <w:spacing w:after="80" w:line="211" w:lineRule="auto"/>
        <w:ind w:firstLine="0"/>
      </w:pPr>
      <w:r>
        <w:rPr>
          <w:b/>
          <w:bCs/>
        </w:rPr>
        <w:t>VIDINA RODNÉ ZEMĚ</w:t>
      </w:r>
    </w:p>
    <w:p w:rsidR="00500724" w:rsidRDefault="00F30FB8">
      <w:pPr>
        <w:pStyle w:val="Zkladntext90"/>
        <w:shd w:val="clear" w:color="auto" w:fill="auto"/>
        <w:spacing w:after="80" w:line="202" w:lineRule="auto"/>
      </w:pPr>
      <w:r>
        <w:t>Celé městečko bylo nadbytečně vzrušeno nečekaným rozhodnu</w:t>
      </w:r>
      <w:r>
        <w:softHyphen/>
        <w:t>tím obecní správy, aby se elek</w:t>
      </w:r>
      <w:r>
        <w:softHyphen/>
      </w:r>
      <w:r>
        <w:t xml:space="preserve">trika zavedla ještě letos. Odchod tety Holátko na onen svět byl spíše jen odbýván soustrastnou průpovědí: »Bůh jí popřej věčnou slávu, ale dožila se požehnaného stáří.« Neboť všichni myslili na zítřejší vzruch; kladiva budou bušit do zdiv až do setmění, a </w:t>
      </w:r>
      <w:r>
        <w:t>nepřátelé novot nevěstili nic dob</w:t>
      </w:r>
      <w:r>
        <w:softHyphen/>
        <w:t>rého, neboť měli skývu raději při petrolejovém světle, kdy nanej</w:t>
      </w:r>
      <w:r>
        <w:softHyphen/>
        <w:t>výše může prasknout sklo cy</w:t>
      </w:r>
      <w:r>
        <w:softHyphen/>
        <w:t>lindru. Ach, petrolejové lampy, Venuše na nočním nebi řemesl</w:t>
      </w:r>
      <w:r>
        <w:softHyphen/>
        <w:t>níků, obchodníkťí a studentů; služek. A svícny s lojovými svíč</w:t>
      </w:r>
      <w:r>
        <w:softHyphen/>
        <w:t>kami,</w:t>
      </w:r>
      <w:r>
        <w:t xml:space="preserve"> večernice minulých století. Jednoramenné svícny, těžké jako obnažené copy. Jak jsme všichni milovali odkapávání hořícího knotu, nechávajíce si kanout ty vřelé kapky na ruce a mezi prsty jako plovací blánu; zvláště, když se muselo jít večer ven, báli jsme </w:t>
      </w:r>
      <w:r>
        <w:rPr>
          <w:rFonts w:ascii="Times New Roman" w:eastAsia="Times New Roman" w:hAnsi="Times New Roman" w:cs="Times New Roman"/>
          <w:sz w:val="18"/>
          <w:szCs w:val="18"/>
        </w:rPr>
        <w:t xml:space="preserve">se </w:t>
      </w:r>
      <w:r>
        <w:t>sami do tmy. plamen by mohl</w:t>
      </w:r>
    </w:p>
    <w:p w:rsidR="00500724" w:rsidRDefault="00F30FB8">
      <w:pPr>
        <w:pStyle w:val="Zkladntext40"/>
        <w:shd w:val="clear" w:color="auto" w:fill="auto"/>
        <w:spacing w:after="0"/>
      </w:pPr>
      <w:r>
        <w:t>se obráží do nejjemnějších nu</w:t>
      </w:r>
      <w:r>
        <w:softHyphen/>
        <w:t>ancí atmosféra a skryté dění do</w:t>
      </w:r>
      <w:r>
        <w:softHyphen/>
        <w:t>by před světovou válkou, tedy doby, která vlastně formovala základní charakter generace dnešních čtyřicátníků. Děti, vá</w:t>
      </w:r>
      <w:r>
        <w:softHyphen/>
        <w:t>bené světem dospělých a hrající si, aniž by</w:t>
      </w:r>
      <w:r>
        <w:t xml:space="preserve"> tušily a chápaly váž</w:t>
      </w:r>
      <w:r>
        <w:softHyphen/>
        <w:t>nost doby, děti, do jejichž her a snů zní tragickým echem bal</w:t>
      </w:r>
      <w:r>
        <w:softHyphen/>
        <w:t>kánská válka, jsou zde také vlastním nositelem děje, který básněn spíš než vyprávěn. V tom také tkví hlavní půvab a nebý</w:t>
      </w:r>
      <w:r>
        <w:softHyphen/>
        <w:t xml:space="preserve">valé kouzlo Konrádova románu. Jeho děj, toť obraz. </w:t>
      </w:r>
      <w:r>
        <w:t>událostí a světa v kouzelném zrcadle ryzí</w:t>
      </w:r>
      <w:r>
        <w:softHyphen/>
        <w:t>ho básnického slova a věty, sty- lisované jemnou rukou zlatotep- ce a ciseléra slov a vět, který své dílo, osvědčující znalost do</w:t>
      </w:r>
      <w:r>
        <w:softHyphen/>
        <w:t>by a času, jenž »uzavřel smlou</w:t>
      </w:r>
      <w:r>
        <w:softHyphen/>
        <w:t>vu s válkami a zval do nich byť jen v hrách, dobrodru</w:t>
      </w:r>
      <w:r>
        <w:t>žstvích a snech i děti jako nezletilé hosty&lt;, staví s úžasně hlubokým smyslem pro čistotu a krásu, emotivnost i intensitu básnického slova a vý</w:t>
      </w:r>
      <w:r>
        <w:softHyphen/>
        <w:t>razu. Cena brož. svazku je 20 K. K. M. ČAPEK-CHOD:</w:t>
      </w:r>
    </w:p>
    <w:p w:rsidR="00500724" w:rsidRDefault="00F30FB8">
      <w:pPr>
        <w:pStyle w:val="Zkladntext40"/>
        <w:shd w:val="clear" w:color="auto" w:fill="auto"/>
        <w:spacing w:after="0" w:line="221" w:lineRule="auto"/>
        <w:ind w:left="180" w:hanging="180"/>
        <w:jc w:val="left"/>
      </w:pPr>
      <w:r>
        <w:t>OSMEBO NOVEL Osmero novel, sbírka drobněj</w:t>
      </w:r>
      <w:r>
        <w:softHyphen/>
      </w:r>
    </w:p>
    <w:p w:rsidR="00500724" w:rsidRDefault="00F30FB8">
      <w:pPr>
        <w:pStyle w:val="Zkladntext40"/>
        <w:shd w:val="clear" w:color="auto" w:fill="auto"/>
        <w:spacing w:after="160" w:line="175" w:lineRule="auto"/>
      </w:pPr>
      <w:r>
        <w:t>ších i rozlehlejší</w:t>
      </w:r>
      <w:r>
        <w:t>ch novelistic- kých prací K. M. Čapka-Choda, jež vznikly v tříletí 1900—1903, svědčí dnes, stejně jako svědčila před lety, o tom, že vyšla z dílny osobitého a nevšedního umělce. Jsou to novely a romanetta, vá</w:t>
      </w:r>
      <w:r>
        <w:softHyphen/>
        <w:t xml:space="preserve">bící čtenáře intensivní dobrodruž- ností svého </w:t>
      </w:r>
      <w:r>
        <w:t>děje, romaneskností motivů i bizarností zalidnění a prozrazující od prvé chvíle svého autora jako robustního, jadrného vypravěče nevšedních, až gro-</w:t>
      </w:r>
    </w:p>
    <w:p w:rsidR="00500724" w:rsidRDefault="00F30FB8">
      <w:pPr>
        <w:pStyle w:val="Zkladntext90"/>
        <w:shd w:val="clear" w:color="auto" w:fill="auto"/>
        <w:spacing w:line="204" w:lineRule="auto"/>
        <w:ind w:firstLine="0"/>
      </w:pPr>
      <w:r>
        <w:t>být průvanem ulomen, prosili jsme jeden druhého, aby nám šel za »kmotra«. jak maminka hu</w:t>
      </w:r>
      <w:r>
        <w:softHyphen/>
        <w:t>bovala. že se dlou</w:t>
      </w:r>
      <w:r>
        <w:t>ho, dlouho ne</w:t>
      </w:r>
      <w:r>
        <w:softHyphen/>
        <w:t xml:space="preserve">vracíme, ale dloubali jsme a hnětli změklý </w:t>
      </w:r>
      <w:r>
        <w:rPr>
          <w:lang w:val="en-US" w:eastAsia="en-US" w:bidi="en-US"/>
        </w:rPr>
        <w:t xml:space="preserve">stearin </w:t>
      </w:r>
      <w:r>
        <w:t>a pálili jsme svinušky, škvory, stonožky, 6, jak byla překrásná měděnka svícnu — stál již při našem zro</w:t>
      </w:r>
      <w:r>
        <w:softHyphen/>
        <w:t>zení, kojení, prvních nemocech, při umírání babiččině, znal vše</w:t>
      </w:r>
      <w:r>
        <w:softHyphen/>
        <w:t>chny nápěvy rorátů, pře</w:t>
      </w:r>
      <w:r>
        <w:t>hmaty strašidel a pečetil ukápnutími desky školních sešitů i příložník, ale brzo už přestane být pohra</w:t>
      </w:r>
      <w:r>
        <w:softHyphen/>
        <w:t>ničním sloupem nocturna. otočí se prý jen knoflíkem, a jas elek</w:t>
      </w:r>
      <w:r>
        <w:softHyphen/>
        <w:t>triky bude crčet a už nebude otec mrzutě naříkat: ten chléb je dnes nějak cítit petroleje</w:t>
      </w:r>
      <w:r>
        <w:t>m, a my budeme znát slova kontakt, ampéry, volty, kilovathodiny, osram, tungsram.</w:t>
      </w:r>
    </w:p>
    <w:p w:rsidR="00500724" w:rsidRDefault="00F30FB8">
      <w:pPr>
        <w:pStyle w:val="Zkladntext90"/>
        <w:shd w:val="clear" w:color="auto" w:fill="auto"/>
        <w:spacing w:line="204" w:lineRule="auto"/>
      </w:pPr>
      <w:r>
        <w:t>Kdoví, kdo z dětí se zasloužil o největší rozsah kořisti; zdá se, že to byl zejména Oldřich, sou</w:t>
      </w:r>
      <w:r>
        <w:softHyphen/>
        <w:t>dě podle častého a rozdychtěné- ho nahlížení Alžbětčina do bed</w:t>
      </w:r>
      <w:r>
        <w:softHyphen/>
        <w:t>ny, kam hoši s</w:t>
      </w:r>
      <w:r>
        <w:t>kryli svůj nejrůz</w:t>
      </w:r>
      <w:r>
        <w:softHyphen/>
        <w:t>nější lup. Bylo to mnoho kotou</w:t>
      </w:r>
      <w:r>
        <w:softHyphen/>
        <w:t>čů rozvodného vedení, isolačního, svorky, skoby, pojistky, vsuvky, trubky.</w:t>
      </w:r>
    </w:p>
    <w:p w:rsidR="00500724" w:rsidRDefault="00F30FB8">
      <w:pPr>
        <w:pStyle w:val="Zkladntext40"/>
        <w:shd w:val="clear" w:color="auto" w:fill="auto"/>
        <w:spacing w:after="80" w:line="180" w:lineRule="auto"/>
        <w:ind w:firstLine="180"/>
        <w:rPr>
          <w:sz w:val="16"/>
          <w:szCs w:val="16"/>
        </w:rPr>
      </w:pPr>
      <w:r>
        <w:rPr>
          <w:b/>
          <w:bCs/>
          <w:sz w:val="16"/>
          <w:szCs w:val="16"/>
        </w:rPr>
        <w:t>Porculán, měď.</w:t>
      </w:r>
    </w:p>
    <w:p w:rsidR="00500724" w:rsidRDefault="00F30FB8">
      <w:pPr>
        <w:spacing w:line="1" w:lineRule="exact"/>
        <w:rPr>
          <w:sz w:val="2"/>
          <w:szCs w:val="2"/>
        </w:rPr>
      </w:pPr>
      <w:r>
        <w:br w:type="column"/>
      </w:r>
    </w:p>
    <w:p w:rsidR="00500724" w:rsidRDefault="00F30FB8">
      <w:pPr>
        <w:pStyle w:val="Zkladntext40"/>
        <w:shd w:val="clear" w:color="auto" w:fill="auto"/>
        <w:spacing w:after="140" w:line="180" w:lineRule="auto"/>
      </w:pPr>
      <w:r>
        <w:t>tesknich osudů, jako zvída jho psychologa a nemilosrdného ana</w:t>
      </w:r>
      <w:r>
        <w:softHyphen/>
        <w:t>lytika temných vášní a zvráce</w:t>
      </w:r>
      <w:r>
        <w:softHyphen/>
        <w:t>ných lidských citů, pro</w:t>
      </w:r>
      <w:r>
        <w:t>stě jako umělce, vybaveného dravou a d- vážnou obrazností a vyspělým smyslem pro dušezkumný expe</w:t>
      </w:r>
      <w:r>
        <w:softHyphen/>
        <w:t>riment. Intelektuální fantastika těchto poarbesovských romanett, hýřících bizarností námětů, pito</w:t>
      </w:r>
      <w:r>
        <w:softHyphen/>
        <w:t>reskností zalidnění, bohatstvím episod, dějem plným nečekanýc</w:t>
      </w:r>
      <w:r>
        <w:t>h překvapení a zvratů, znásobená jedinečnou vlohou pozorovatel</w:t>
      </w:r>
      <w:r>
        <w:softHyphen/>
        <w:t>skou a opřená o všestranné po</w:t>
      </w:r>
      <w:r>
        <w:softHyphen/>
        <w:t>znání života lidí nejrozdílnějších kast i charakterů, lidí. s nimiž si osud zahrál svou krutou hru, aby svými nepředvídanými úsko</w:t>
      </w:r>
      <w:r>
        <w:softHyphen/>
        <w:t>ky a rozmary zkomplikoval je</w:t>
      </w:r>
      <w:r>
        <w:softHyphen/>
        <w:t>jich</w:t>
      </w:r>
      <w:r>
        <w:t xml:space="preserve"> život a dal mu vyústitl do grotesky a tragikomedie. vábí vás k těmto práčem mocí vskut</w:t>
      </w:r>
      <w:r>
        <w:softHyphen/>
        <w:t>ku neodolatelnou. Znova a lépe. Snivá Kateřina, Konteska Fina, Mates Holejch a Mendelssohnův koncert jsou právě zvlášť vyni</w:t>
      </w:r>
      <w:r>
        <w:softHyphen/>
        <w:t>kající a pro Čapka-Choda pří</w:t>
      </w:r>
      <w:r>
        <w:softHyphen/>
        <w:t>značné. Udivuje</w:t>
      </w:r>
      <w:r>
        <w:t xml:space="preserve"> nás na nich ne</w:t>
      </w:r>
      <w:r>
        <w:softHyphen/>
        <w:t>jen Čapkova virtuosní drobno- kresba, jazyková svéráznost a analytická vloha, nýbrž i jeho úžasná znalost světa řemesel a živností i jejich r rak tik i světa učeneckého a uměleckého. Kla</w:t>
      </w:r>
      <w:r>
        <w:softHyphen/>
        <w:t>sickým dokladem takové nevšed</w:t>
      </w:r>
      <w:r>
        <w:softHyphen/>
        <w:t>ní znalosti je slavný M</w:t>
      </w:r>
      <w:r>
        <w:t>endels</w:t>
      </w:r>
      <w:r>
        <w:softHyphen/>
        <w:t>sohnův koncert, výsostný to umě</w:t>
      </w:r>
      <w:r>
        <w:softHyphen/>
        <w:t>lecký výraz Čapkovy lásky k hudbě a jedna z nejskvělejších slovenských parafrází hudebních dojmů, jež v české literatuře po prvé vyslovila slovem moc a kouzlo hudby. Cena brož. svazku je 34 K.</w:t>
      </w:r>
    </w:p>
    <w:p w:rsidR="00500724" w:rsidRDefault="00F30FB8">
      <w:pPr>
        <w:pStyle w:val="Zkladntext90"/>
        <w:shd w:val="clear" w:color="auto" w:fill="auto"/>
        <w:spacing w:after="40" w:line="168" w:lineRule="auto"/>
        <w:ind w:firstLine="240"/>
      </w:pPr>
      <w:r>
        <w:rPr>
          <w:rFonts w:ascii="Times New Roman" w:eastAsia="Times New Roman" w:hAnsi="Times New Roman" w:cs="Times New Roman"/>
          <w:b w:val="0"/>
          <w:bCs w:val="0"/>
          <w:sz w:val="18"/>
          <w:szCs w:val="18"/>
        </w:rPr>
        <w:t xml:space="preserve">S </w:t>
      </w:r>
      <w:r>
        <w:t xml:space="preserve">použitím sudů stavěli </w:t>
      </w:r>
      <w:r>
        <w:t>lehce přenosná lešení.</w:t>
      </w:r>
    </w:p>
    <w:p w:rsidR="00500724" w:rsidRDefault="00F30FB8">
      <w:pPr>
        <w:pStyle w:val="Zkladntext90"/>
        <w:shd w:val="clear" w:color="auto" w:fill="auto"/>
        <w:spacing w:after="40" w:line="204" w:lineRule="auto"/>
        <w:ind w:firstLine="240"/>
      </w:pPr>
      <w:r>
        <w:t>A za chvíli již bušila kladívka, která uzmuli doma z truhlíků na uhlí. Ale stěny domu, sýpky, ků</w:t>
      </w:r>
      <w:r>
        <w:softHyphen/>
        <w:t>len i chlívků, tedy celý obvod dvora, nebyly vystavěny z poklá</w:t>
      </w:r>
      <w:r>
        <w:softHyphen/>
        <w:t>daných cihel, nýbrž z nepravi</w:t>
      </w:r>
      <w:r>
        <w:softHyphen/>
        <w:t>delně objemných kamenů. Bylo těžko nalézt m</w:t>
      </w:r>
      <w:r>
        <w:t>ezi nimi mezery, zvláště když si počínali tak pří</w:t>
      </w:r>
      <w:r>
        <w:softHyphen/>
        <w:t>močaře: aniž zkoušeli tenkým hřebíkem, nenarazí-li za omítkou na tvrdou přepážku, ihned vrá</w:t>
      </w:r>
      <w:r>
        <w:softHyphen/>
        <w:t>želi do zdí silné skoby. malta se drolila dolů v celých kusech, jako by se spíše rozhodli pro bourání fasády.</w:t>
      </w:r>
    </w:p>
    <w:p w:rsidR="00500724" w:rsidRDefault="00F30FB8">
      <w:pPr>
        <w:pStyle w:val="Zkladntext90"/>
        <w:shd w:val="clear" w:color="auto" w:fill="auto"/>
        <w:spacing w:after="40" w:line="204" w:lineRule="auto"/>
        <w:ind w:firstLine="240"/>
      </w:pPr>
      <w:r>
        <w:t>Oldř</w:t>
      </w:r>
      <w:r>
        <w:t>ich stál na dně obráceného sudu a za jeho krkem rozkročmo seděl Evžen, proměněný sněžícím prachem starého vápna v zed</w:t>
      </w:r>
      <w:r>
        <w:softHyphen/>
        <w:t>níka.</w:t>
      </w:r>
    </w:p>
    <w:p w:rsidR="00500724" w:rsidRDefault="00F30FB8">
      <w:pPr>
        <w:pStyle w:val="Zkladntext90"/>
        <w:shd w:val="clear" w:color="auto" w:fill="auto"/>
        <w:spacing w:after="40" w:line="204" w:lineRule="auto"/>
        <w:ind w:firstLine="240"/>
      </w:pPr>
      <w:r>
        <w:t>Alžbětčin bratr se rozpomněl, jak na obrážku ve Světozoru bul</w:t>
      </w:r>
      <w:r>
        <w:softHyphen/>
        <w:t>harská výzvědná hlídka u Lulle Burgasu přeřezává tureckou tele</w:t>
      </w:r>
      <w:r>
        <w:softHyphen/>
        <w:t>fonní s</w:t>
      </w:r>
      <w:r>
        <w:t>íť. Jeden junák je vzpří</w:t>
      </w:r>
      <w:r>
        <w:softHyphen/>
        <w:t>men v sedlech dvou koní a jeho druh, tak jako domácích synek, se mu vyšvihl za krk. Oldřich sípavým pokřikem upozorňuje na tuto okolnost ostatní chlapce. Ně-</w:t>
      </w:r>
    </w:p>
    <w:p w:rsidR="00500724" w:rsidRDefault="00F30FB8">
      <w:pPr>
        <w:spacing w:line="1" w:lineRule="exact"/>
        <w:rPr>
          <w:sz w:val="2"/>
          <w:szCs w:val="2"/>
        </w:rPr>
      </w:pPr>
      <w:r>
        <w:br w:type="column"/>
      </w:r>
    </w:p>
    <w:p w:rsidR="00500724" w:rsidRDefault="00F30FB8">
      <w:pPr>
        <w:pStyle w:val="Zkladntext30"/>
        <w:shd w:val="clear" w:color="auto" w:fill="auto"/>
        <w:spacing w:after="100" w:line="216" w:lineRule="auto"/>
        <w:ind w:firstLine="0"/>
        <w:jc w:val="left"/>
        <w:rPr>
          <w:sz w:val="20"/>
          <w:szCs w:val="20"/>
        </w:rPr>
      </w:pPr>
      <w:r>
        <w:rPr>
          <w:i/>
          <w:iCs/>
          <w:sz w:val="20"/>
          <w:szCs w:val="20"/>
        </w:rPr>
        <w:t>O POCITU ODPOVĚDNOSTI A O VĚRNOSTI PROGRAMŮM</w:t>
      </w:r>
    </w:p>
    <w:p w:rsidR="00500724" w:rsidRDefault="00F30FB8">
      <w:pPr>
        <w:pStyle w:val="Zkladntext30"/>
        <w:shd w:val="clear" w:color="auto" w:fill="auto"/>
        <w:spacing w:after="0" w:line="180" w:lineRule="auto"/>
        <w:ind w:firstLine="220"/>
        <w:rPr>
          <w:sz w:val="20"/>
          <w:szCs w:val="20"/>
        </w:rPr>
      </w:pPr>
      <w:r>
        <w:rPr>
          <w:i/>
          <w:iCs/>
          <w:sz w:val="20"/>
          <w:szCs w:val="20"/>
        </w:rPr>
        <w:t xml:space="preserve">Tentokrát u </w:t>
      </w:r>
      <w:r>
        <w:rPr>
          <w:i/>
          <w:iCs/>
          <w:sz w:val="20"/>
          <w:szCs w:val="20"/>
        </w:rPr>
        <w:t>nakladatelů, vnucuje se nám několik slov. Bývalo od let zvykem, Se v únoru nakladatelé vyložili své t. zv. jarní programy. Nebyly vždy dodrženy, a někdy to ani nevadilo, v pro</w:t>
      </w:r>
      <w:r>
        <w:rPr>
          <w:i/>
          <w:iCs/>
          <w:sz w:val="20"/>
          <w:szCs w:val="20"/>
        </w:rPr>
        <w:softHyphen/>
        <w:t>gramech bylo vždy procento postradatelných efemér. Letos jsme programy — aě na n</w:t>
      </w:r>
      <w:r>
        <w:rPr>
          <w:i/>
          <w:iCs/>
          <w:sz w:val="20"/>
          <w:szCs w:val="20"/>
        </w:rPr>
        <w:t>ě</w:t>
      </w:r>
      <w:r>
        <w:rPr>
          <w:i/>
          <w:iCs/>
          <w:sz w:val="20"/>
          <w:szCs w:val="20"/>
        </w:rPr>
        <w:softHyphen/>
        <w:t>kolik výjimek — nečtli, a ani se tomu příliš nedivíme. Při</w:t>
      </w:r>
      <w:r>
        <w:rPr>
          <w:i/>
          <w:iCs/>
          <w:sz w:val="20"/>
          <w:szCs w:val="20"/>
        </w:rPr>
        <w:softHyphen/>
        <w:t>znáváme, Se není lehké je dnes dělat. Ale o to tolik ne</w:t>
      </w:r>
      <w:r>
        <w:rPr>
          <w:i/>
          <w:iCs/>
          <w:sz w:val="20"/>
          <w:szCs w:val="20"/>
        </w:rPr>
        <w:softHyphen/>
        <w:t>jde. Jde o programy už za</w:t>
      </w:r>
      <w:r>
        <w:rPr>
          <w:i/>
          <w:iCs/>
          <w:sz w:val="20"/>
          <w:szCs w:val="20"/>
        </w:rPr>
        <w:softHyphen/>
        <w:t>čaté, ale nedokončené.</w:t>
      </w:r>
    </w:p>
    <w:p w:rsidR="00500724" w:rsidRDefault="00F30FB8">
      <w:pPr>
        <w:pStyle w:val="Zkladntext30"/>
        <w:shd w:val="clear" w:color="auto" w:fill="auto"/>
        <w:spacing w:after="160" w:line="178" w:lineRule="auto"/>
        <w:ind w:firstLine="220"/>
        <w:rPr>
          <w:sz w:val="20"/>
          <w:szCs w:val="20"/>
        </w:rPr>
      </w:pPr>
      <w:r>
        <w:rPr>
          <w:i/>
          <w:iCs/>
          <w:sz w:val="20"/>
          <w:szCs w:val="20"/>
        </w:rPr>
        <w:t>Jsou dva — pokud víme a chceme-li zůstat jen u nejdů</w:t>
      </w:r>
      <w:r>
        <w:rPr>
          <w:i/>
          <w:iCs/>
          <w:sz w:val="20"/>
          <w:szCs w:val="20"/>
        </w:rPr>
        <w:softHyphen/>
        <w:t xml:space="preserve">ležitějších. Jedním z nich je široce </w:t>
      </w:r>
      <w:r>
        <w:rPr>
          <w:i/>
          <w:iCs/>
          <w:sz w:val="20"/>
          <w:szCs w:val="20"/>
        </w:rPr>
        <w:t>založené dílo Julesa Romainse *Lidé dobré vůler., z něhož máme zatím v rukou osm svazků, a druhým jest Duhamelova ^Kronika rodu Pasquierůz, z níž vyšly u nás zatím svazky čtyři (Notář z Havru, Zahrada Selem, Po</w:t>
      </w:r>
      <w:r>
        <w:rPr>
          <w:i/>
          <w:iCs/>
          <w:sz w:val="20"/>
          <w:szCs w:val="20"/>
        </w:rPr>
        <w:softHyphen/>
        <w:t>hled do země zaslíbené a Svatojánská noc). Že</w:t>
      </w:r>
      <w:r>
        <w:rPr>
          <w:i/>
          <w:iCs/>
          <w:sz w:val="20"/>
          <w:szCs w:val="20"/>
        </w:rPr>
        <w:t xml:space="preserve"> bylo k projektu českého vydání obou děl potřeba nakladatelské od</w:t>
      </w:r>
      <w:r>
        <w:rPr>
          <w:i/>
          <w:iCs/>
          <w:sz w:val="20"/>
          <w:szCs w:val="20"/>
        </w:rPr>
        <w:softHyphen/>
        <w:t>vahy, o tom není pochyby. Ale v nakladatelově úmyslu a rozhodnutí k vydání těchto překladů (ostatně nejlepších výkonů tlumočnického uměni Zaorálkova) mělo být obsa</w:t>
      </w:r>
      <w:r>
        <w:rPr>
          <w:i/>
          <w:iCs/>
          <w:sz w:val="20"/>
          <w:szCs w:val="20"/>
        </w:rPr>
        <w:softHyphen/>
        <w:t>ženo i vědomí zodpovědnost</w:t>
      </w:r>
      <w:r>
        <w:rPr>
          <w:i/>
          <w:iCs/>
          <w:sz w:val="20"/>
          <w:szCs w:val="20"/>
        </w:rPr>
        <w:t>í, dokončit započaté vydávání a nenechat dílo v českém pře</w:t>
      </w:r>
      <w:r>
        <w:rPr>
          <w:i/>
          <w:iCs/>
          <w:sz w:val="20"/>
          <w:szCs w:val="20"/>
        </w:rPr>
        <w:softHyphen/>
        <w:t>kladu torsem. O díle Romain-</w:t>
      </w:r>
    </w:p>
    <w:p w:rsidR="00500724" w:rsidRDefault="00F30FB8">
      <w:pPr>
        <w:pStyle w:val="Zkladntext90"/>
        <w:shd w:val="clear" w:color="auto" w:fill="auto"/>
        <w:spacing w:line="204" w:lineRule="auto"/>
        <w:ind w:firstLine="0"/>
        <w:jc w:val="left"/>
      </w:pPr>
      <w:r>
        <w:t>kterým z nich se již podařilo pevně zatlouci skoby.</w:t>
      </w:r>
    </w:p>
    <w:p w:rsidR="00500724" w:rsidRDefault="00F30FB8">
      <w:pPr>
        <w:pStyle w:val="Zkladntext90"/>
        <w:shd w:val="clear" w:color="auto" w:fill="auto"/>
        <w:spacing w:line="204" w:lineRule="auto"/>
        <w:ind w:firstLine="220"/>
      </w:pPr>
      <w:r>
        <w:t>Již natahuji dráty.</w:t>
      </w:r>
    </w:p>
    <w:p w:rsidR="00500724" w:rsidRDefault="00F30FB8">
      <w:pPr>
        <w:pStyle w:val="Zkladntext90"/>
        <w:shd w:val="clear" w:color="auto" w:fill="auto"/>
        <w:spacing w:line="204" w:lineRule="auto"/>
        <w:ind w:firstLine="220"/>
      </w:pPr>
      <w:r>
        <w:t>Podává jim je Alžbětka, mazlí</w:t>
      </w:r>
      <w:r>
        <w:softHyphen/>
        <w:t>cí se se syrovou rusosti mědi, je</w:t>
      </w:r>
      <w:r>
        <w:softHyphen/>
        <w:t xml:space="preserve">jíž klikatici se lesk podobá se </w:t>
      </w:r>
      <w:r>
        <w:t>kadeřím divoženek.</w:t>
      </w:r>
    </w:p>
    <w:p w:rsidR="00500724" w:rsidRDefault="00F30FB8">
      <w:pPr>
        <w:pStyle w:val="Zkladntext90"/>
        <w:shd w:val="clear" w:color="auto" w:fill="auto"/>
        <w:spacing w:line="204" w:lineRule="auto"/>
        <w:ind w:firstLine="220"/>
      </w:pPr>
      <w:r>
        <w:t>Kladívka tepají.</w:t>
      </w:r>
    </w:p>
    <w:p w:rsidR="00500724" w:rsidRDefault="00F30FB8">
      <w:pPr>
        <w:pStyle w:val="Zkladntext90"/>
        <w:shd w:val="clear" w:color="auto" w:fill="auto"/>
        <w:spacing w:line="204" w:lineRule="auto"/>
        <w:ind w:firstLine="220"/>
      </w:pPr>
      <w:r>
        <w:t>Bez ladného rytmu.</w:t>
      </w:r>
    </w:p>
    <w:p w:rsidR="00500724" w:rsidRDefault="00F30FB8">
      <w:pPr>
        <w:pStyle w:val="Zkladntext90"/>
        <w:shd w:val="clear" w:color="auto" w:fill="auto"/>
        <w:spacing w:line="204" w:lineRule="auto"/>
        <w:ind w:firstLine="220"/>
      </w:pPr>
      <w:r>
        <w:t>Neboť v tomto jejich zuřivém podnikání nebylo harmonie roz</w:t>
      </w:r>
      <w:r>
        <w:softHyphen/>
        <w:t>myslu.</w:t>
      </w:r>
    </w:p>
    <w:p w:rsidR="00500724" w:rsidRDefault="00F30FB8">
      <w:pPr>
        <w:pStyle w:val="Zkladntext90"/>
        <w:shd w:val="clear" w:color="auto" w:fill="auto"/>
        <w:spacing w:line="204" w:lineRule="auto"/>
        <w:ind w:firstLine="220"/>
      </w:pPr>
      <w:r>
        <w:t xml:space="preserve">A zaslepeni vznešeností svého předsevzetí, ani si neuvědomují, jak se po stěnách Síří lysiny a jak se prohlubují díry; brzy to bylo. </w:t>
      </w:r>
      <w:r>
        <w:t>jako by byly tyto zdi če</w:t>
      </w:r>
      <w:r>
        <w:softHyphen/>
        <w:t>lily palebnému ohni ručnic.</w:t>
      </w:r>
    </w:p>
    <w:p w:rsidR="00500724" w:rsidRDefault="00F30FB8">
      <w:pPr>
        <w:pStyle w:val="Zkladntext90"/>
        <w:shd w:val="clear" w:color="auto" w:fill="auto"/>
        <w:spacing w:line="204" w:lineRule="auto"/>
        <w:ind w:firstLine="220"/>
      </w:pPr>
      <w:r>
        <w:t>Ba sám Evženek. odkojený zá</w:t>
      </w:r>
      <w:r>
        <w:softHyphen/>
        <w:t>sadami vlastnických předností a velmi úzkostlivý na vzhled vše</w:t>
      </w:r>
      <w:r>
        <w:softHyphen/>
        <w:t>ho. co bylo v držení rodičů, ani si neuvědomuje v zápalu, s ja</w:t>
      </w:r>
      <w:r>
        <w:softHyphen/>
        <w:t>kým uskutečňovali svůj úkol. že je tak hrubě niče</w:t>
      </w:r>
      <w:r>
        <w:t>n otcův maje</w:t>
      </w:r>
      <w:r>
        <w:softHyphen/>
        <w:t>tek.</w:t>
      </w:r>
    </w:p>
    <w:p w:rsidR="00500724" w:rsidRDefault="00F30FB8">
      <w:pPr>
        <w:pStyle w:val="Zkladntext90"/>
        <w:shd w:val="clear" w:color="auto" w:fill="auto"/>
        <w:spacing w:line="204" w:lineRule="auto"/>
        <w:ind w:firstLine="220"/>
      </w:pPr>
      <w:r>
        <w:t>Jediné Otta to zavčas postřehl, ne bez škodolibého údivu.</w:t>
      </w:r>
    </w:p>
    <w:p w:rsidR="00500724" w:rsidRDefault="00F30FB8">
      <w:pPr>
        <w:pStyle w:val="Zkladntext90"/>
        <w:shd w:val="clear" w:color="auto" w:fill="auto"/>
        <w:spacing w:line="204" w:lineRule="auto"/>
        <w:ind w:firstLine="220"/>
      </w:pPr>
      <w:r>
        <w:t>A ještě s prahu popatřil — utí</w:t>
      </w:r>
      <w:r>
        <w:softHyphen/>
        <w:t>kaje domů — jak jsou všichni oddáni dílu se sveřepou vírou, jíž je schopna jen láska a doufání čistých srdci, jeden ze zázraků dětství.</w:t>
      </w:r>
      <w:r>
        <w:br w:type="page"/>
      </w:r>
    </w:p>
    <w:p w:rsidR="00500724" w:rsidRDefault="00F30FB8">
      <w:pPr>
        <w:pStyle w:val="Nadpis120"/>
        <w:shd w:val="clear" w:color="auto" w:fill="auto"/>
        <w:spacing w:after="40"/>
        <w:ind w:left="0"/>
      </w:pPr>
      <w:r>
        <w:rPr>
          <w:noProof/>
        </w:rPr>
        <mc:AlternateContent>
          <mc:Choice Requires="wps">
            <w:drawing>
              <wp:anchor distT="0" distB="0" distL="0" distR="0" simplePos="0" relativeHeight="125829816" behindDoc="0" locked="0" layoutInCell="1" allowOverlap="1">
                <wp:simplePos x="0" y="0"/>
                <wp:positionH relativeFrom="page">
                  <wp:posOffset>457200</wp:posOffset>
                </wp:positionH>
                <wp:positionV relativeFrom="margin">
                  <wp:posOffset>-544830</wp:posOffset>
                </wp:positionV>
                <wp:extent cx="1630680" cy="3444240"/>
                <wp:effectExtent l="0" t="0" r="0" b="0"/>
                <wp:wrapSquare wrapText="right"/>
                <wp:docPr id="439" name="Shape 439"/>
                <wp:cNvGraphicFramePr/>
                <a:graphic xmlns:a="http://schemas.openxmlformats.org/drawingml/2006/main">
                  <a:graphicData uri="http://schemas.microsoft.com/office/word/2010/wordprocessingShape">
                    <wps:wsp>
                      <wps:cNvSpPr txBox="1"/>
                      <wps:spPr>
                        <a:xfrm>
                          <a:off x="0" y="0"/>
                          <a:ext cx="1630680" cy="3444240"/>
                        </a:xfrm>
                        <a:prstGeom prst="rect">
                          <a:avLst/>
                        </a:prstGeom>
                        <a:noFill/>
                      </wps:spPr>
                      <wps:txbx>
                        <w:txbxContent>
                          <w:p w:rsidR="00500724" w:rsidRDefault="00F30FB8">
                            <w:pPr>
                              <w:pStyle w:val="Zkladntext30"/>
                              <w:shd w:val="clear" w:color="auto" w:fill="auto"/>
                              <w:spacing w:after="0" w:line="182" w:lineRule="auto"/>
                              <w:ind w:firstLine="0"/>
                              <w:rPr>
                                <w:sz w:val="20"/>
                                <w:szCs w:val="20"/>
                              </w:rPr>
                            </w:pPr>
                            <w:r>
                              <w:rPr>
                                <w:i/>
                                <w:iCs/>
                                <w:sz w:val="20"/>
                                <w:szCs w:val="20"/>
                              </w:rPr>
                              <w:t>sově se d</w:t>
                            </w:r>
                            <w:r>
                              <w:rPr>
                                <w:i/>
                                <w:iCs/>
                                <w:sz w:val="20"/>
                                <w:szCs w:val="20"/>
                              </w:rPr>
                              <w:t>ovídáme, že v jeho postupném vydávání bude po</w:t>
                            </w:r>
                            <w:r>
                              <w:rPr>
                                <w:i/>
                                <w:iCs/>
                                <w:sz w:val="20"/>
                                <w:szCs w:val="20"/>
                              </w:rPr>
                              <w:softHyphen/>
                              <w:t xml:space="preserve">kračováno. Těšíme se z toho, protože dílo psal Romains — básník, a velký básník. Ne Romains — </w:t>
                            </w:r>
                            <w:r>
                              <w:rPr>
                                <w:i/>
                                <w:iCs/>
                                <w:sz w:val="20"/>
                                <w:szCs w:val="20"/>
                                <w:lang w:val="en-US" w:eastAsia="en-US" w:bidi="en-US"/>
                              </w:rPr>
                              <w:t xml:space="preserve">homo </w:t>
                            </w:r>
                            <w:r>
                              <w:rPr>
                                <w:i/>
                                <w:iCs/>
                                <w:sz w:val="20"/>
                                <w:szCs w:val="20"/>
                              </w:rPr>
                              <w:t>politicus, už naprosto ne tak velký. Ale nezdá se být zajištěn osud díla Duhamelova, ač i je psal velký básník,</w:t>
                            </w:r>
                            <w:r>
                              <w:rPr>
                                <w:i/>
                                <w:iCs/>
                                <w:sz w:val="20"/>
                                <w:szCs w:val="20"/>
                              </w:rPr>
                              <w:t xml:space="preserve"> neztrácející na své velikosti ani tam, kde na ni jeho mladší spoluobčan ztrácí. Právě teď se měli čeští čtenáři dočkat dílu, v němž Duhamel líčí — zastřeně — historií créteilského opatství. Ale nevychází. Není povin</w:t>
                            </w:r>
                            <w:r>
                              <w:rPr>
                                <w:i/>
                                <w:iCs/>
                                <w:sz w:val="20"/>
                                <w:szCs w:val="20"/>
                              </w:rPr>
                              <w:softHyphen/>
                              <w:t>ností nakladatelovou pokra</w:t>
                            </w:r>
                            <w:r>
                              <w:rPr>
                                <w:i/>
                                <w:iCs/>
                                <w:sz w:val="20"/>
                                <w:szCs w:val="20"/>
                              </w:rPr>
                              <w:softHyphen/>
                              <w:t>čovat a doko</w:t>
                            </w:r>
                            <w:r>
                              <w:rPr>
                                <w:i/>
                                <w:iCs/>
                                <w:sz w:val="20"/>
                                <w:szCs w:val="20"/>
                              </w:rPr>
                              <w:t>nčit to, co začal a nenechat bez dalších svaz</w:t>
                            </w:r>
                            <w:r>
                              <w:rPr>
                                <w:i/>
                                <w:iCs/>
                                <w:sz w:val="20"/>
                                <w:szCs w:val="20"/>
                              </w:rPr>
                              <w:softHyphen/>
                              <w:t>ků české čtenáře Duhamelo</w:t>
                            </w:r>
                            <w:r>
                              <w:rPr>
                                <w:i/>
                                <w:iCs/>
                                <w:sz w:val="20"/>
                                <w:szCs w:val="20"/>
                              </w:rPr>
                              <w:softHyphen/>
                              <w:t xml:space="preserve">va díla? Úkolem, uloženým odpovědností, je to jistě. Asi </w:t>
                            </w:r>
                            <w:r>
                              <w:rPr>
                                <w:b/>
                                <w:bCs/>
                                <w:i/>
                                <w:iCs/>
                                <w:sz w:val="20"/>
                                <w:szCs w:val="20"/>
                              </w:rPr>
                              <w:t xml:space="preserve">tu </w:t>
                            </w:r>
                            <w:r>
                              <w:rPr>
                                <w:i/>
                                <w:iCs/>
                                <w:sz w:val="20"/>
                                <w:szCs w:val="20"/>
                              </w:rPr>
                              <w:t>spolupůsobí hlavně obava o úspěch. Nelze ovšem ani na nakladatelích žádat či od nich čekat přílišnou obětavost ve službách k</w:t>
                            </w:r>
                            <w:r>
                              <w:rPr>
                                <w:i/>
                                <w:iCs/>
                                <w:sz w:val="20"/>
                                <w:szCs w:val="20"/>
                              </w:rPr>
                              <w:t>ultury, ač tato vzácná vlastnost bývala před</w:t>
                            </w:r>
                            <w:r>
                              <w:rPr>
                                <w:i/>
                                <w:iCs/>
                                <w:sz w:val="20"/>
                                <w:szCs w:val="20"/>
                              </w:rPr>
                              <w:softHyphen/>
                              <w:t>nosti většiny a dosud snad je předností nejednoho z přísluš-</w:t>
                            </w:r>
                          </w:p>
                        </w:txbxContent>
                      </wps:txbx>
                      <wps:bodyPr lIns="0" tIns="0" rIns="0" bIns="0">
                        <a:spAutoFit/>
                      </wps:bodyPr>
                    </wps:wsp>
                  </a:graphicData>
                </a:graphic>
              </wp:anchor>
            </w:drawing>
          </mc:Choice>
          <mc:Fallback>
            <w:pict>
              <v:shape id="_x0000_s1465" type="#_x0000_t202" style="position:absolute;margin-left:36.pt;margin-top:-42.899999999999999pt;width:128.40000000000001pt;height:271.19999999999999pt;z-index:-125828937;mso-wrap-distance-left:0;mso-wrap-distance-right:0;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182" w:lineRule="auto"/>
                        <w:ind w:left="0" w:right="0" w:firstLine="0"/>
                        <w:rPr>
                          <w:sz w:val="20"/>
                          <w:szCs w:val="20"/>
                        </w:rPr>
                      </w:pPr>
                      <w:r>
                        <w:rPr>
                          <w:i/>
                          <w:iCs/>
                          <w:color w:val="000000"/>
                          <w:spacing w:val="0"/>
                          <w:w w:val="100"/>
                          <w:position w:val="0"/>
                          <w:sz w:val="20"/>
                          <w:szCs w:val="20"/>
                          <w:shd w:val="clear" w:color="auto" w:fill="auto"/>
                          <w:lang w:val="cs-CZ" w:eastAsia="cs-CZ" w:bidi="cs-CZ"/>
                        </w:rPr>
                        <w:t>sově se dovídáme, že v jeho postupném vydávání bude po</w:t>
                        <w:softHyphen/>
                        <w:t xml:space="preserve">kračováno. Těšíme se z toho, protože dílo psal Romains — básník, a velký básník. Ne Romains — </w:t>
                      </w:r>
                      <w:r>
                        <w:rPr>
                          <w:i/>
                          <w:iCs/>
                          <w:color w:val="000000"/>
                          <w:spacing w:val="0"/>
                          <w:w w:val="100"/>
                          <w:position w:val="0"/>
                          <w:sz w:val="20"/>
                          <w:szCs w:val="20"/>
                          <w:shd w:val="clear" w:color="auto" w:fill="auto"/>
                          <w:lang w:val="en-US" w:eastAsia="en-US" w:bidi="en-US"/>
                        </w:rPr>
                        <w:t xml:space="preserve">homo </w:t>
                      </w:r>
                      <w:r>
                        <w:rPr>
                          <w:i/>
                          <w:iCs/>
                          <w:color w:val="000000"/>
                          <w:spacing w:val="0"/>
                          <w:w w:val="100"/>
                          <w:position w:val="0"/>
                          <w:sz w:val="20"/>
                          <w:szCs w:val="20"/>
                          <w:shd w:val="clear" w:color="auto" w:fill="auto"/>
                          <w:lang w:val="cs-CZ" w:eastAsia="cs-CZ" w:bidi="cs-CZ"/>
                        </w:rPr>
                        <w:t>politicus, už naprosto ne tak velký. Ale nezdá se být zajištěn osud díla Duhamelova, ač i je psal velký básník, neztrácející na své velikosti ani tam, kde na ni jeho mladší spoluobčan ztrácí. Právě teď se měli čeští čtenáři dočkat dílu, v němž Duhamel líčí — zastřeně — historií créteilského opatství. Ale nevychází. Není povin</w:t>
                        <w:softHyphen/>
                        <w:t>ností nakladatelovou pokra</w:t>
                        <w:softHyphen/>
                        <w:t>čovat a dokončit to, co začal a nenechat bez dalších svaz</w:t>
                        <w:softHyphen/>
                        <w:t>ků české čtenáře Duhamelo</w:t>
                        <w:softHyphen/>
                        <w:t xml:space="preserve">va díla? Úkolem, uloženým odpovědností, je to jistě. Asi </w:t>
                      </w:r>
                      <w:r>
                        <w:rPr>
                          <w:b/>
                          <w:bCs/>
                          <w:i/>
                          <w:iCs/>
                          <w:color w:val="000000"/>
                          <w:spacing w:val="0"/>
                          <w:w w:val="100"/>
                          <w:position w:val="0"/>
                          <w:sz w:val="20"/>
                          <w:szCs w:val="20"/>
                          <w:shd w:val="clear" w:color="auto" w:fill="auto"/>
                          <w:lang w:val="cs-CZ" w:eastAsia="cs-CZ" w:bidi="cs-CZ"/>
                        </w:rPr>
                        <w:t xml:space="preserve">tu </w:t>
                      </w:r>
                      <w:r>
                        <w:rPr>
                          <w:i/>
                          <w:iCs/>
                          <w:color w:val="000000"/>
                          <w:spacing w:val="0"/>
                          <w:w w:val="100"/>
                          <w:position w:val="0"/>
                          <w:sz w:val="20"/>
                          <w:szCs w:val="20"/>
                          <w:shd w:val="clear" w:color="auto" w:fill="auto"/>
                          <w:lang w:val="cs-CZ" w:eastAsia="cs-CZ" w:bidi="cs-CZ"/>
                        </w:rPr>
                        <w:t>spolupůsobí hlavně obava o úspěch. Nelze ovšem ani na nakladatelích žádat či od nich čekat přílišnou obětavost ve službách kultury, ač tato vzácná vlastnost bývala před</w:t>
                        <w:softHyphen/>
                        <w:t>nosti většiny a dosud snad je předností nejednoho z přísluš-</w:t>
                      </w:r>
                    </w:p>
                  </w:txbxContent>
                </v:textbox>
                <w10:wrap type="square" side="right" anchorx="page" anchory="margin"/>
              </v:shape>
            </w:pict>
          </mc:Fallback>
        </mc:AlternateContent>
      </w:r>
      <w:bookmarkStart w:id="433" w:name="bookmark432"/>
      <w:r>
        <w:rPr>
          <w:rFonts w:ascii="Arial" w:eastAsia="Arial" w:hAnsi="Arial" w:cs="Arial"/>
        </w:rPr>
        <w:t>POZNÁMKY</w:t>
      </w:r>
      <w:bookmarkEnd w:id="433"/>
    </w:p>
    <w:p w:rsidR="00500724" w:rsidRDefault="00F30FB8">
      <w:pPr>
        <w:pStyle w:val="Zkladntext40"/>
        <w:shd w:val="clear" w:color="auto" w:fill="auto"/>
        <w:spacing w:after="0" w:line="190" w:lineRule="auto"/>
        <w:jc w:val="left"/>
        <w:rPr>
          <w:sz w:val="14"/>
          <w:szCs w:val="14"/>
        </w:rPr>
      </w:pPr>
      <w:r>
        <w:rPr>
          <w:b/>
          <w:bCs/>
          <w:sz w:val="14"/>
          <w:szCs w:val="14"/>
        </w:rPr>
        <w:t>Jan Mukařovský:</w:t>
      </w:r>
    </w:p>
    <w:p w:rsidR="00500724" w:rsidRDefault="00F30FB8">
      <w:pPr>
        <w:pStyle w:val="Zkladntext100"/>
        <w:shd w:val="clear" w:color="auto" w:fill="auto"/>
        <w:spacing w:after="60" w:line="202" w:lineRule="auto"/>
        <w:ind w:firstLine="0"/>
        <w:jc w:val="left"/>
      </w:pPr>
      <w:r>
        <w:rPr>
          <w:rFonts w:ascii="Arial" w:eastAsia="Arial" w:hAnsi="Arial" w:cs="Arial"/>
          <w:b/>
          <w:bCs/>
          <w:smallCaps/>
          <w:sz w:val="13"/>
          <w:szCs w:val="13"/>
        </w:rPr>
        <w:t>próza)</w:t>
      </w:r>
      <w:r>
        <w:rPr>
          <w:b/>
          <w:bCs/>
        </w:rPr>
        <w:t xml:space="preserve"> KARLA ČAPKA JAKO LYRICKÁ MELODIE A DIALOG</w:t>
      </w:r>
    </w:p>
    <w:p w:rsidR="00500724" w:rsidRDefault="00F30FB8">
      <w:pPr>
        <w:pStyle w:val="Zkladntext40"/>
        <w:shd w:val="clear" w:color="auto" w:fill="auto"/>
        <w:spacing w:after="160"/>
        <w:ind w:firstLine="180"/>
      </w:pPr>
      <w:r>
        <w:rPr>
          <w:b/>
          <w:bCs/>
          <w:sz w:val="14"/>
          <w:szCs w:val="14"/>
        </w:rPr>
        <w:t xml:space="preserve">n. </w:t>
      </w:r>
      <w:r>
        <w:t>Jiný důkaz lze sl zjednat zkusmým přestavením slovosle</w:t>
      </w:r>
      <w:r>
        <w:softHyphen/>
        <w:t xml:space="preserve">du ve větách k </w:t>
      </w:r>
      <w:r>
        <w:t>tomu vhodných, totiž v takových, kde přestave</w:t>
      </w:r>
      <w:r>
        <w:softHyphen/>
        <w:t>ním nevznikne deformace přiroze</w:t>
      </w:r>
      <w:r>
        <w:softHyphen/>
        <w:t>ného pořádku slov. Tak na př. v I. dějství dramatu &gt;Matka« na</w:t>
      </w:r>
      <w:r>
        <w:softHyphen/>
        <w:t>cházíme větu: »Nu, pravda, ale má-li někdo pět děti, nemusí pro</w:t>
      </w:r>
      <w:r>
        <w:softHyphen/>
        <w:t xml:space="preserve">to ještě být špatným vojákem, miláčku.* Kdybychom v </w:t>
      </w:r>
      <w:r>
        <w:t>ní pře</w:t>
      </w:r>
      <w:r>
        <w:softHyphen/>
        <w:t>místili slovosled takto: »Nu, prav</w:t>
      </w:r>
      <w:r>
        <w:softHyphen/>
        <w:t>da, ale má-li někdo pět děti, pro</w:t>
      </w:r>
      <w:r>
        <w:softHyphen/>
        <w:t>to ještě nemusí být špatným vo- Jákem« — nepozbyla by přiroze</w:t>
      </w:r>
      <w:r>
        <w:softHyphen/>
        <w:t>nosti slovosledu, ale vznikl by ostrý intonaění předěl na rozhrá</w:t>
      </w:r>
      <w:r>
        <w:softHyphen/>
        <w:t>ni obou vět, poněvadž za slovem »dětí«, jež nese závě</w:t>
      </w:r>
      <w:r>
        <w:t>rečnou ka-</w:t>
      </w:r>
    </w:p>
    <w:p w:rsidR="00500724" w:rsidRDefault="00F30FB8">
      <w:pPr>
        <w:pStyle w:val="Zkladntext40"/>
        <w:shd w:val="clear" w:color="auto" w:fill="auto"/>
        <w:spacing w:after="0" w:line="168" w:lineRule="auto"/>
        <w:ind w:firstLine="180"/>
        <w:rPr>
          <w:sz w:val="16"/>
          <w:szCs w:val="16"/>
        </w:rPr>
      </w:pPr>
      <w:r>
        <w:rPr>
          <w:b/>
          <w:bCs/>
          <w:sz w:val="16"/>
          <w:szCs w:val="16"/>
        </w:rPr>
        <w:t>Stádná horečnost jejich chva</w:t>
      </w:r>
      <w:r>
        <w:rPr>
          <w:b/>
          <w:bCs/>
          <w:sz w:val="16"/>
          <w:szCs w:val="16"/>
        </w:rPr>
        <w:softHyphen/>
        <w:t>tu, to blahoslavené šílenství ne</w:t>
      </w:r>
      <w:r>
        <w:rPr>
          <w:b/>
          <w:bCs/>
          <w:sz w:val="16"/>
          <w:szCs w:val="16"/>
        </w:rPr>
        <w:softHyphen/>
        <w:t>zletilých duší, když jsou naplně</w:t>
      </w:r>
      <w:r>
        <w:rPr>
          <w:b/>
          <w:bCs/>
          <w:sz w:val="16"/>
          <w:szCs w:val="16"/>
        </w:rPr>
        <w:softHyphen/>
        <w:t>ny přeludem, že jejich hra je vyšším konáním než skutkové dospělých; bylo to krásné jako blouznění včel, myslících na slá</w:t>
      </w:r>
      <w:r>
        <w:rPr>
          <w:b/>
          <w:bCs/>
          <w:sz w:val="16"/>
          <w:szCs w:val="16"/>
        </w:rPr>
        <w:softHyphen/>
        <w:t>vu z rodu královny.</w:t>
      </w:r>
    </w:p>
    <w:p w:rsidR="00500724" w:rsidRDefault="00F30FB8">
      <w:pPr>
        <w:pStyle w:val="Zkladntext40"/>
        <w:shd w:val="clear" w:color="auto" w:fill="auto"/>
        <w:spacing w:after="0" w:line="168" w:lineRule="auto"/>
        <w:ind w:firstLine="180"/>
        <w:rPr>
          <w:sz w:val="16"/>
          <w:szCs w:val="16"/>
        </w:rPr>
      </w:pPr>
      <w:r>
        <w:rPr>
          <w:b/>
          <w:bCs/>
          <w:sz w:val="16"/>
          <w:szCs w:val="16"/>
        </w:rPr>
        <w:t>A tak, v</w:t>
      </w:r>
      <w:r>
        <w:rPr>
          <w:b/>
          <w:bCs/>
          <w:sz w:val="16"/>
          <w:szCs w:val="16"/>
        </w:rPr>
        <w:t xml:space="preserve"> tomto usilovném hem</w:t>
      </w:r>
      <w:r>
        <w:rPr>
          <w:b/>
          <w:bCs/>
          <w:sz w:val="16"/>
          <w:szCs w:val="16"/>
        </w:rPr>
        <w:softHyphen/>
        <w:t>žení, nikdo z nich ani nevěděl, že Otta již delší dobu není vlastně mezi nimi.</w:t>
      </w:r>
    </w:p>
    <w:p w:rsidR="00500724" w:rsidRDefault="00F30FB8">
      <w:pPr>
        <w:pStyle w:val="Zkladntext40"/>
        <w:shd w:val="clear" w:color="auto" w:fill="auto"/>
        <w:spacing w:after="0" w:line="168" w:lineRule="auto"/>
        <w:ind w:firstLine="180"/>
        <w:rPr>
          <w:sz w:val="16"/>
          <w:szCs w:val="16"/>
        </w:rPr>
      </w:pPr>
      <w:r>
        <w:rPr>
          <w:b/>
          <w:bCs/>
          <w:sz w:val="16"/>
          <w:szCs w:val="16"/>
        </w:rPr>
        <w:t>Protáhl se stínem do kuchyně.</w:t>
      </w:r>
    </w:p>
    <w:p w:rsidR="00500724" w:rsidRDefault="00F30FB8">
      <w:pPr>
        <w:pStyle w:val="Zkladntext40"/>
        <w:shd w:val="clear" w:color="auto" w:fill="auto"/>
        <w:spacing w:after="0" w:line="168" w:lineRule="auto"/>
        <w:ind w:firstLine="180"/>
        <w:rPr>
          <w:sz w:val="16"/>
          <w:szCs w:val="16"/>
        </w:rPr>
      </w:pPr>
      <w:r>
        <w:rPr>
          <w:b/>
          <w:bCs/>
          <w:sz w:val="16"/>
          <w:szCs w:val="16"/>
        </w:rPr>
        <w:t>Ne snad proto, aby se ukázal matce, ale aby potají vyhledal v slamníku svého lože barvičky, dvě misky a štětec.</w:t>
      </w:r>
    </w:p>
    <w:p w:rsidR="00500724" w:rsidRDefault="00F30FB8">
      <w:pPr>
        <w:pStyle w:val="Zkladntext40"/>
        <w:shd w:val="clear" w:color="auto" w:fill="auto"/>
        <w:spacing w:after="0" w:line="168" w:lineRule="auto"/>
        <w:ind w:firstLine="180"/>
        <w:rPr>
          <w:sz w:val="16"/>
          <w:szCs w:val="16"/>
        </w:rPr>
      </w:pPr>
      <w:r>
        <w:rPr>
          <w:b/>
          <w:bCs/>
          <w:sz w:val="16"/>
          <w:szCs w:val="16"/>
        </w:rPr>
        <w:t xml:space="preserve">Bylo to </w:t>
      </w:r>
      <w:r>
        <w:rPr>
          <w:b/>
          <w:bCs/>
          <w:sz w:val="16"/>
          <w:szCs w:val="16"/>
        </w:rPr>
        <w:t>dvanáct úplně nových vodových barev, dvanáct knoflí</w:t>
      </w:r>
      <w:r>
        <w:rPr>
          <w:b/>
          <w:bCs/>
          <w:sz w:val="16"/>
          <w:szCs w:val="16"/>
        </w:rPr>
        <w:softHyphen/>
        <w:t>ků, různě pestrých, jako by byl každý z jiného kostýmu mumra- je. jako by byl utržen strakatou tlačenicí masopustního veselí, kdy ulicemi táhl výskající prů</w:t>
      </w:r>
      <w:r>
        <w:rPr>
          <w:b/>
          <w:bCs/>
          <w:sz w:val="16"/>
          <w:szCs w:val="16"/>
        </w:rPr>
        <w:softHyphen/>
        <w:t>vod. červeň šaška, hněď medvě</w:t>
      </w:r>
      <w:r>
        <w:rPr>
          <w:b/>
          <w:bCs/>
          <w:sz w:val="16"/>
          <w:szCs w:val="16"/>
        </w:rPr>
        <w:softHyphen/>
        <w:t>da, zeleň vodníka</w:t>
      </w:r>
      <w:r>
        <w:rPr>
          <w:b/>
          <w:bCs/>
          <w:sz w:val="16"/>
          <w:szCs w:val="16"/>
        </w:rPr>
        <w:t>, tak něčím po</w:t>
      </w:r>
      <w:r>
        <w:rPr>
          <w:b/>
          <w:bCs/>
          <w:sz w:val="16"/>
          <w:szCs w:val="16"/>
        </w:rPr>
        <w:softHyphen/>
        <w:t>dobným tomuto plesání byl pro něho tucet oněch barviček, neboť mu je dal sám pan učitel Kasík. tehdy, když byl Otta tolik ztlu- čen otcem za tu událost s vý</w:t>
      </w:r>
      <w:r>
        <w:rPr>
          <w:b/>
          <w:bCs/>
          <w:sz w:val="16"/>
          <w:szCs w:val="16"/>
        </w:rPr>
        <w:softHyphen/>
        <w:t>kladním sklem hodináře Kryšto</w:t>
      </w:r>
      <w:r>
        <w:rPr>
          <w:b/>
          <w:bCs/>
          <w:sz w:val="16"/>
          <w:szCs w:val="16"/>
        </w:rPr>
        <w:softHyphen/>
        <w:t>fa. Zavolal sl ho tenkrát po vy</w:t>
      </w:r>
      <w:r>
        <w:rPr>
          <w:b/>
          <w:bCs/>
          <w:sz w:val="16"/>
          <w:szCs w:val="16"/>
        </w:rPr>
        <w:softHyphen/>
        <w:t xml:space="preserve">učování do kabinetu a </w:t>
      </w:r>
      <w:r>
        <w:rPr>
          <w:b/>
          <w:bCs/>
          <w:sz w:val="16"/>
          <w:szCs w:val="16"/>
        </w:rPr>
        <w:t>řekl mu — s přestávkami mezi rozpaky prvotních slabik —: »Prohlížel jsem výkresy za poslední dobu.</w:t>
      </w:r>
    </w:p>
    <w:p w:rsidR="00500724" w:rsidRDefault="00F30FB8">
      <w:pPr>
        <w:spacing w:line="1" w:lineRule="exact"/>
        <w:rPr>
          <w:sz w:val="2"/>
          <w:szCs w:val="2"/>
        </w:rPr>
      </w:pPr>
      <w:r>
        <w:br w:type="column"/>
      </w:r>
    </w:p>
    <w:p w:rsidR="00500724" w:rsidRDefault="00F30FB8">
      <w:pPr>
        <w:pStyle w:val="Zkladntext30"/>
        <w:shd w:val="clear" w:color="auto" w:fill="auto"/>
        <w:spacing w:after="0" w:line="185" w:lineRule="auto"/>
        <w:ind w:firstLine="0"/>
        <w:rPr>
          <w:sz w:val="20"/>
          <w:szCs w:val="20"/>
        </w:rPr>
      </w:pPr>
      <w:r>
        <w:rPr>
          <w:sz w:val="15"/>
          <w:szCs w:val="15"/>
        </w:rPr>
        <w:t xml:space="preserve">I </w:t>
      </w:r>
      <w:r>
        <w:rPr>
          <w:i/>
          <w:iCs/>
          <w:sz w:val="20"/>
          <w:szCs w:val="20"/>
        </w:rPr>
        <w:t xml:space="preserve">níkii tohoto stavu. Ale </w:t>
      </w:r>
      <w:r>
        <w:rPr>
          <w:i/>
          <w:iCs/>
          <w:sz w:val="20"/>
          <w:szCs w:val="20"/>
          <w:vertAlign w:val="superscript"/>
        </w:rPr>
        <w:t>1</w:t>
      </w:r>
      <w:r>
        <w:rPr>
          <w:i/>
          <w:iCs/>
          <w:sz w:val="20"/>
          <w:szCs w:val="20"/>
        </w:rPr>
        <w:t xml:space="preserve"> « díla už zahájeného by neměla rozhodovat jen vy</w:t>
      </w:r>
      <w:r>
        <w:rPr>
          <w:i/>
          <w:iCs/>
          <w:sz w:val="20"/>
          <w:szCs w:val="20"/>
        </w:rPr>
        <w:softHyphen/>
        <w:t>hlídka na obchodní úspěch. Když už jsme u tě vyhlídky na obchodní úspěch: tyto</w:t>
      </w:r>
      <w:r>
        <w:rPr>
          <w:i/>
          <w:iCs/>
          <w:sz w:val="20"/>
          <w:szCs w:val="20"/>
        </w:rPr>
        <w:t xml:space="preserve"> dny vyšla objemná, skoro 500 stránková naučná, a hodně exklusivní kniha zemřelého francouzského kritika a lite</w:t>
      </w:r>
      <w:r>
        <w:rPr>
          <w:i/>
          <w:iCs/>
          <w:sz w:val="20"/>
          <w:szCs w:val="20"/>
        </w:rPr>
        <w:softHyphen/>
        <w:t>rárního historika Alberta Thibaudeta ^Dějiny literatu</w:t>
      </w:r>
      <w:r>
        <w:rPr>
          <w:i/>
          <w:iCs/>
          <w:sz w:val="20"/>
          <w:szCs w:val="20"/>
        </w:rPr>
        <w:softHyphen/>
        <w:t>ry francouzské od roku 1789 až po naše dny':. Tu knihu vydal malý nakladatel, který ze své</w:t>
      </w:r>
      <w:r>
        <w:rPr>
          <w:i/>
          <w:iCs/>
          <w:sz w:val="20"/>
          <w:szCs w:val="20"/>
        </w:rPr>
        <w:t>ho podnikáni jistě ještě nezbohatl. Vydával ji v seši</w:t>
      </w:r>
      <w:r>
        <w:rPr>
          <w:i/>
          <w:iCs/>
          <w:sz w:val="20"/>
          <w:szCs w:val="20"/>
        </w:rPr>
        <w:softHyphen/>
        <w:t>tech. Nevím, jaký měla úspěch. Ale i on by byl mohl, neměla-li úspěch očekávaný a asi i kalkulovaný, po několika sešitech celý podnik skončit. Neudělal to, dokončil vydání. A jde o knihu, která nemůže p</w:t>
      </w:r>
      <w:r>
        <w:rPr>
          <w:i/>
          <w:iCs/>
          <w:sz w:val="20"/>
          <w:szCs w:val="20"/>
        </w:rPr>
        <w:t>očítat ani na poměrně široký okruh čtenářů hodnotné be</w:t>
      </w:r>
      <w:r>
        <w:rPr>
          <w:i/>
          <w:iCs/>
          <w:sz w:val="20"/>
          <w:szCs w:val="20"/>
        </w:rPr>
        <w:softHyphen/>
        <w:t>letrie.</w:t>
      </w:r>
    </w:p>
    <w:p w:rsidR="00500724" w:rsidRDefault="00F30FB8">
      <w:pPr>
        <w:pStyle w:val="Zkladntext30"/>
        <w:shd w:val="clear" w:color="auto" w:fill="auto"/>
        <w:spacing w:after="100" w:line="185" w:lineRule="auto"/>
        <w:ind w:firstLine="200"/>
        <w:rPr>
          <w:sz w:val="20"/>
          <w:szCs w:val="20"/>
        </w:rPr>
      </w:pPr>
      <w:r>
        <w:rPr>
          <w:i/>
          <w:iCs/>
          <w:sz w:val="20"/>
          <w:szCs w:val="20"/>
        </w:rPr>
        <w:t>V tom Duhamelově případě měl by být program dodržen.</w:t>
      </w:r>
    </w:p>
    <w:p w:rsidR="00500724" w:rsidRDefault="00F30FB8">
      <w:pPr>
        <w:pStyle w:val="Zkladntext40"/>
        <w:shd w:val="clear" w:color="auto" w:fill="auto"/>
        <w:spacing w:after="140"/>
        <w:jc w:val="right"/>
      </w:pPr>
      <w:r>
        <w:t>(Kritický měsíčník.)</w:t>
      </w:r>
    </w:p>
    <w:p w:rsidR="00500724" w:rsidRDefault="00F30FB8">
      <w:pPr>
        <w:pStyle w:val="Zkladntext40"/>
        <w:shd w:val="clear" w:color="auto" w:fill="auto"/>
        <w:spacing w:after="0"/>
      </w:pPr>
      <w:r>
        <w:t>dencl věty první, následovala by slaběji důrazná slova »proto ještě*, než je »nemusí«, a tím by intonační výraznost pře</w:t>
      </w:r>
      <w:r>
        <w:t>dchozí ka- dence byla zesílena. Věta: »Byl by ses vrátil ke mně a k dětem... a odešel z armády* — Je sice pře</w:t>
      </w:r>
      <w:r>
        <w:softHyphen/>
        <w:t xml:space="preserve">rušena řadou teček (tedy pausou ve výslovnosti), ale přes to ne- pozbývá intonační plynulosti. Kdybychom však v ní opakovali pomocné sloveso »byl </w:t>
      </w:r>
      <w:r>
        <w:t>byst i při druhém participiu: »Byl by ses vrátil ke mně a k dětem... a byl bys odešel z armády* — ne</w:t>
      </w:r>
      <w:r>
        <w:softHyphen/>
        <w:t>změnil by se význam, avšak dru</w:t>
      </w:r>
      <w:r>
        <w:softHyphen/>
        <w:t>há věta osamostatnila by se vůči první intonačně mnohem vic, než je tomu ve zněni Čapkově.</w:t>
      </w:r>
    </w:p>
    <w:p w:rsidR="00500724" w:rsidRDefault="00F30FB8">
      <w:pPr>
        <w:pStyle w:val="Zkladntext40"/>
        <w:shd w:val="clear" w:color="auto" w:fill="auto"/>
        <w:spacing w:after="160"/>
        <w:ind w:firstLine="200"/>
      </w:pPr>
      <w:r>
        <w:t>Intonace Čapkový prózy i Čap</w:t>
      </w:r>
      <w:r>
        <w:softHyphen/>
        <w:t>kova</w:t>
      </w:r>
      <w:r>
        <w:t xml:space="preserve"> dialogu je tedy úplná. Tento ráz sám o sobě nečiní z ni však Ještě umělecký prostředek tvár</w:t>
      </w:r>
      <w:r>
        <w:softHyphen/>
        <w:t>ný, jimž beze sporu u Čapka Je: nepřetržitá vlnitost Čapkovy into</w:t>
      </w:r>
      <w:r>
        <w:softHyphen/>
        <w:t>nace sama o sobě mohla by pros</w:t>
      </w:r>
      <w:r>
        <w:softHyphen/>
        <w:t>tě být individuální charakteristic</w:t>
      </w:r>
      <w:r>
        <w:softHyphen/>
        <w:t>ký znak jeho slohu, založený na</w:t>
      </w:r>
    </w:p>
    <w:p w:rsidR="00500724" w:rsidRDefault="00F30FB8">
      <w:pPr>
        <w:pStyle w:val="Zkladntext40"/>
        <w:shd w:val="clear" w:color="auto" w:fill="auto"/>
        <w:spacing w:after="0" w:line="166" w:lineRule="auto"/>
        <w:rPr>
          <w:sz w:val="16"/>
          <w:szCs w:val="16"/>
        </w:rPr>
      </w:pPr>
      <w:r>
        <w:rPr>
          <w:b/>
          <w:bCs/>
          <w:sz w:val="16"/>
          <w:szCs w:val="16"/>
        </w:rPr>
        <w:t>Tvoje, Viktoríne, jsou nejlepší z celé třídy. Tady máš za to od</w:t>
      </w:r>
      <w:r>
        <w:rPr>
          <w:b/>
          <w:bCs/>
          <w:sz w:val="16"/>
          <w:szCs w:val="16"/>
        </w:rPr>
        <w:softHyphen/>
        <w:t>měnu.* Ačkoliv se Otta snažil dí</w:t>
      </w:r>
      <w:r>
        <w:rPr>
          <w:b/>
          <w:bCs/>
          <w:sz w:val="16"/>
          <w:szCs w:val="16"/>
        </w:rPr>
        <w:softHyphen/>
        <w:t>vat se mu do očí, pevně, nevní</w:t>
      </w:r>
      <w:r>
        <w:rPr>
          <w:b/>
          <w:bCs/>
          <w:sz w:val="16"/>
          <w:szCs w:val="16"/>
        </w:rPr>
        <w:softHyphen/>
        <w:t>maje mimo jakýsi projev zvuku nic z toho, co pan učitel promlu</w:t>
      </w:r>
      <w:r>
        <w:rPr>
          <w:b/>
          <w:bCs/>
          <w:sz w:val="16"/>
          <w:szCs w:val="16"/>
        </w:rPr>
        <w:softHyphen/>
        <w:t>vil. bylo mu. jako by neviděl před sebou nikoho; nikoho urči</w:t>
      </w:r>
      <w:r>
        <w:rPr>
          <w:b/>
          <w:bCs/>
          <w:sz w:val="16"/>
          <w:szCs w:val="16"/>
        </w:rPr>
        <w:softHyphen/>
        <w:t>téh</w:t>
      </w:r>
      <w:r>
        <w:rPr>
          <w:b/>
          <w:bCs/>
          <w:sz w:val="16"/>
          <w:szCs w:val="16"/>
        </w:rPr>
        <w:t>o. Jen obrys nějakého dospě</w:t>
      </w:r>
      <w:r>
        <w:rPr>
          <w:b/>
          <w:bCs/>
          <w:sz w:val="16"/>
          <w:szCs w:val="16"/>
        </w:rPr>
        <w:softHyphen/>
        <w:t>lého člověka: jakýs koktavý ob</w:t>
      </w:r>
      <w:r>
        <w:rPr>
          <w:b/>
          <w:bCs/>
          <w:sz w:val="16"/>
          <w:szCs w:val="16"/>
        </w:rPr>
        <w:softHyphen/>
        <w:t>rys.</w:t>
      </w:r>
    </w:p>
    <w:p w:rsidR="00500724" w:rsidRDefault="00F30FB8">
      <w:pPr>
        <w:pStyle w:val="Zkladntext40"/>
        <w:shd w:val="clear" w:color="auto" w:fill="auto"/>
        <w:spacing w:after="0" w:line="166" w:lineRule="auto"/>
        <w:ind w:firstLine="200"/>
        <w:rPr>
          <w:sz w:val="16"/>
          <w:szCs w:val="16"/>
        </w:rPr>
      </w:pPr>
      <w:r>
        <w:rPr>
          <w:b/>
          <w:bCs/>
          <w:sz w:val="16"/>
          <w:szCs w:val="16"/>
        </w:rPr>
        <w:t>Stále oddaloval pokušeni po</w:t>
      </w:r>
      <w:r>
        <w:rPr>
          <w:b/>
          <w:bCs/>
          <w:sz w:val="16"/>
          <w:szCs w:val="16"/>
        </w:rPr>
        <w:softHyphen/>
        <w:t>užít zamilovaných barviček.</w:t>
      </w:r>
    </w:p>
    <w:p w:rsidR="00500724" w:rsidRDefault="00F30FB8">
      <w:pPr>
        <w:pStyle w:val="Zkladntext40"/>
        <w:shd w:val="clear" w:color="auto" w:fill="auto"/>
        <w:spacing w:after="0" w:line="166" w:lineRule="auto"/>
        <w:ind w:firstLine="200"/>
        <w:rPr>
          <w:sz w:val="16"/>
          <w:szCs w:val="16"/>
        </w:rPr>
      </w:pPr>
      <w:r>
        <w:rPr>
          <w:b/>
          <w:bCs/>
          <w:sz w:val="16"/>
          <w:szCs w:val="16"/>
        </w:rPr>
        <w:t>Tu chvíli, kdy štětečkem roz</w:t>
      </w:r>
      <w:r>
        <w:rPr>
          <w:b/>
          <w:bCs/>
          <w:sz w:val="16"/>
          <w:szCs w:val="16"/>
        </w:rPr>
        <w:softHyphen/>
        <w:t>mázne lesk jejich novosti; é. kéž by nikdy neubývala tato paleta jako začarovaný krajíc hustě po</w:t>
      </w:r>
      <w:r>
        <w:rPr>
          <w:b/>
          <w:bCs/>
          <w:sz w:val="16"/>
          <w:szCs w:val="16"/>
        </w:rPr>
        <w:softHyphen/>
        <w:t>mazaný med</w:t>
      </w:r>
      <w:r>
        <w:rPr>
          <w:b/>
          <w:bCs/>
          <w:sz w:val="16"/>
          <w:szCs w:val="16"/>
        </w:rPr>
        <w:t>em.</w:t>
      </w:r>
    </w:p>
    <w:p w:rsidR="00500724" w:rsidRDefault="00F30FB8">
      <w:pPr>
        <w:pStyle w:val="Zkladntext40"/>
        <w:shd w:val="clear" w:color="auto" w:fill="auto"/>
        <w:spacing w:after="0" w:line="168" w:lineRule="auto"/>
        <w:ind w:firstLine="200"/>
        <w:rPr>
          <w:sz w:val="16"/>
          <w:szCs w:val="16"/>
        </w:rPr>
      </w:pPr>
      <w:r>
        <w:rPr>
          <w:b/>
          <w:bCs/>
          <w:sz w:val="16"/>
          <w:szCs w:val="16"/>
        </w:rPr>
        <w:t>Ale teď, když sl uvědomil, jak druhové niěí majetek jím tak ne</w:t>
      </w:r>
      <w:r>
        <w:rPr>
          <w:b/>
          <w:bCs/>
          <w:sz w:val="16"/>
          <w:szCs w:val="16"/>
        </w:rPr>
        <w:softHyphen/>
        <w:t xml:space="preserve">náviděných domácích pánů. a zvláště jak sám Evženek je úhlavním strůjcem největších děr a výlomů omítky a jak bude tento opovrhovaný chlapec záhy zchvácen poznáním skutečnosti, tu jako by </w:t>
      </w:r>
      <w:r>
        <w:rPr>
          <w:b/>
          <w:bCs/>
          <w:sz w:val="16"/>
          <w:szCs w:val="16"/>
        </w:rPr>
        <w:t>Oldřich pocítil neodo</w:t>
      </w:r>
      <w:r>
        <w:rPr>
          <w:b/>
          <w:bCs/>
          <w:sz w:val="16"/>
          <w:szCs w:val="16"/>
        </w:rPr>
        <w:softHyphen/>
        <w:t>latelný rozmach touhy — právě teď se mu chtělo, tolik chtělo, pustit se do výkresu a krásně jej pak položit novým štětečkem, novými barvami.</w:t>
      </w:r>
    </w:p>
    <w:p w:rsidR="00500724" w:rsidRDefault="00F30FB8">
      <w:pPr>
        <w:pStyle w:val="Zkladntext40"/>
        <w:shd w:val="clear" w:color="auto" w:fill="auto"/>
        <w:spacing w:after="0" w:line="173" w:lineRule="auto"/>
        <w:ind w:firstLine="200"/>
      </w:pPr>
      <w:r>
        <w:t>Utekl se s nimi na půdu.</w:t>
      </w:r>
    </w:p>
    <w:p w:rsidR="00500724" w:rsidRDefault="00F30FB8">
      <w:pPr>
        <w:pStyle w:val="Zkladntext40"/>
        <w:shd w:val="clear" w:color="auto" w:fill="auto"/>
        <w:spacing w:after="0" w:line="163" w:lineRule="auto"/>
        <w:ind w:firstLine="200"/>
        <w:rPr>
          <w:sz w:val="16"/>
          <w:szCs w:val="16"/>
        </w:rPr>
      </w:pPr>
      <w:r>
        <w:rPr>
          <w:b/>
          <w:bCs/>
          <w:sz w:val="16"/>
          <w:szCs w:val="16"/>
        </w:rPr>
        <w:t>Z jejího vikýře se otvíral přes nízké střechy přilehlé uličky ši</w:t>
      </w:r>
      <w:r>
        <w:rPr>
          <w:b/>
          <w:bCs/>
          <w:sz w:val="16"/>
          <w:szCs w:val="16"/>
        </w:rPr>
        <w:softHyphen/>
        <w:t>roš</w:t>
      </w:r>
      <w:r>
        <w:rPr>
          <w:b/>
          <w:bCs/>
          <w:sz w:val="16"/>
          <w:szCs w:val="16"/>
        </w:rPr>
        <w:t>irý kraj.</w:t>
      </w:r>
    </w:p>
    <w:p w:rsidR="00500724" w:rsidRDefault="00F30FB8">
      <w:pPr>
        <w:pStyle w:val="Zkladntext40"/>
        <w:shd w:val="clear" w:color="auto" w:fill="auto"/>
        <w:spacing w:after="0" w:line="163" w:lineRule="auto"/>
        <w:jc w:val="right"/>
        <w:rPr>
          <w:sz w:val="16"/>
          <w:szCs w:val="16"/>
        </w:rPr>
      </w:pPr>
      <w:r>
        <w:rPr>
          <w:b/>
          <w:bCs/>
          <w:sz w:val="16"/>
          <w:szCs w:val="16"/>
        </w:rPr>
        <w:t>Jevil se ti, když jsi přimhouřil</w:t>
      </w:r>
    </w:p>
    <w:p w:rsidR="00500724" w:rsidRDefault="00F30FB8">
      <w:pPr>
        <w:spacing w:line="1" w:lineRule="exact"/>
        <w:rPr>
          <w:sz w:val="2"/>
          <w:szCs w:val="2"/>
        </w:rPr>
      </w:pPr>
      <w:r>
        <w:br w:type="column"/>
      </w:r>
    </w:p>
    <w:p w:rsidR="00500724" w:rsidRDefault="00F30FB8">
      <w:pPr>
        <w:pStyle w:val="Zkladntext40"/>
        <w:shd w:val="clear" w:color="auto" w:fill="auto"/>
        <w:spacing w:after="0" w:line="180" w:lineRule="auto"/>
      </w:pPr>
      <w:r>
        <w:t>převládnuti melodické kvality hla</w:t>
      </w:r>
      <w:r>
        <w:softHyphen/>
        <w:t>su nad kvalitou dynamickou (ne</w:t>
      </w:r>
      <w:r>
        <w:softHyphen/>
        <w:t>bot dynamická Intensita projevu</w:t>
      </w:r>
      <w:r>
        <w:softHyphen/>
        <w:t xml:space="preserve">jící se silnými důrazy, přetrhává intonační linii). Jakým způsobem stává se tedy z Čapkovy intonace prostředek </w:t>
      </w:r>
      <w:r>
        <w:t>tvárný?</w:t>
      </w:r>
    </w:p>
    <w:p w:rsidR="00500724" w:rsidRDefault="00F30FB8">
      <w:pPr>
        <w:pStyle w:val="Zkladntext40"/>
        <w:shd w:val="clear" w:color="auto" w:fill="auto"/>
        <w:spacing w:after="0" w:line="180" w:lineRule="auto"/>
        <w:ind w:firstLine="180"/>
      </w:pPr>
      <w:r>
        <w:t>Není zde snad od místa připo</w:t>
      </w:r>
      <w:r>
        <w:softHyphen/>
        <w:t>menout především genesi Čapko</w:t>
      </w:r>
      <w:r>
        <w:softHyphen/>
        <w:t>vy prózy. V předmluvě ke Krako</w:t>
      </w:r>
      <w:r>
        <w:softHyphen/>
        <w:t>nošově zahradě prozrazuji Karel i Josef Čapek literární vlivy, jimž podléhali v době svých začátků. A ku podivu: mezi českými auto</w:t>
      </w:r>
      <w:r>
        <w:softHyphen/>
        <w:t>ry, Jež jmenuji jako své vz</w:t>
      </w:r>
      <w:r>
        <w:t>ory — neni jediný prozaik; tři Jména, jež Čapkové vyslovuji, nálež! ve</w:t>
      </w:r>
      <w:r>
        <w:softHyphen/>
        <w:t>směs lyrickým básníkům: Hlaváč</w:t>
      </w:r>
      <w:r>
        <w:softHyphen/>
        <w:t>kovi, Neumannovi a Dykovi. Vzpo</w:t>
      </w:r>
      <w:r>
        <w:softHyphen/>
        <w:t>meňme dále toho, že mladý Ča</w:t>
      </w:r>
      <w:r>
        <w:softHyphen/>
        <w:t>pek překládal za války francouz</w:t>
      </w:r>
      <w:r>
        <w:softHyphen/>
        <w:t xml:space="preserve">skou poesii nové doby a že tyto překlady prozaikovy staly se </w:t>
      </w:r>
      <w:r>
        <w:t>— podle vlastního doznáni lyrikova — zdrojem melodického verše Nezvalova (viz předmluvu k 2. vydání Francouzské poesie. Pra</w:t>
      </w:r>
      <w:r>
        <w:softHyphen/>
        <w:t>ha 1936); Čapek objevil tu novou melodii českého verše, vybudova</w:t>
      </w:r>
      <w:r>
        <w:softHyphen/>
        <w:t>nou na využiti přirozeného slovo</w:t>
      </w:r>
      <w:r>
        <w:softHyphen/>
        <w:t>sledu. A nezapomeňme konečně, že d</w:t>
      </w:r>
      <w:r>
        <w:t>ramatická provotina bratři Čapků je psána ve verších a ob</w:t>
      </w:r>
      <w:r>
        <w:softHyphen/>
        <w:t>sahuje, mimo jiné partie drama</w:t>
      </w:r>
      <w:r>
        <w:softHyphen/>
        <w:t>tické, 1 krásnou lyrickou pasáž o kapesníku a trojím snu vybudo</w:t>
      </w:r>
      <w:r>
        <w:softHyphen/>
        <w:t>vanou na Intonačních paralelis</w:t>
      </w:r>
      <w:r>
        <w:softHyphen/>
        <w:t>mech:</w:t>
      </w:r>
    </w:p>
    <w:p w:rsidR="00500724" w:rsidRDefault="00F30FB8">
      <w:pPr>
        <w:pStyle w:val="Zkladntext40"/>
        <w:shd w:val="clear" w:color="auto" w:fill="auto"/>
        <w:tabs>
          <w:tab w:val="left" w:pos="754"/>
        </w:tabs>
        <w:spacing w:after="0" w:line="233" w:lineRule="auto"/>
        <w:jc w:val="left"/>
      </w:pPr>
      <w:r>
        <w:rPr>
          <w:lang w:val="en-US" w:eastAsia="en-US" w:bidi="en-US"/>
        </w:rPr>
        <w:t xml:space="preserve">Isabella: Ah, </w:t>
      </w:r>
      <w:r>
        <w:t xml:space="preserve">pane, kapesník. </w:t>
      </w:r>
      <w:r>
        <w:rPr>
          <w:lang w:val="en-US" w:eastAsia="en-US" w:bidi="en-US"/>
        </w:rPr>
        <w:t>Gilles:</w:t>
      </w:r>
      <w:r>
        <w:rPr>
          <w:lang w:val="en-US" w:eastAsia="en-US" w:bidi="en-US"/>
        </w:rPr>
        <w:tab/>
        <w:t xml:space="preserve">To neni </w:t>
      </w:r>
      <w:r>
        <w:t>kapesník,</w:t>
      </w:r>
    </w:p>
    <w:p w:rsidR="00500724" w:rsidRDefault="00F30FB8">
      <w:pPr>
        <w:pStyle w:val="Zkladntext40"/>
        <w:shd w:val="clear" w:color="auto" w:fill="auto"/>
        <w:spacing w:after="0" w:line="190" w:lineRule="auto"/>
        <w:ind w:firstLine="180"/>
      </w:pPr>
      <w:r>
        <w:t xml:space="preserve">ne, </w:t>
      </w:r>
      <w:r>
        <w:rPr>
          <w:lang w:val="en-US" w:eastAsia="en-US" w:bidi="en-US"/>
        </w:rPr>
        <w:t>Isabel</w:t>
      </w:r>
      <w:r>
        <w:rPr>
          <w:lang w:val="en-US" w:eastAsia="en-US" w:bidi="en-US"/>
        </w:rPr>
        <w:t xml:space="preserve">lo, </w:t>
      </w:r>
      <w:r>
        <w:t xml:space="preserve">ne, </w:t>
      </w:r>
      <w:r>
        <w:rPr>
          <w:lang w:val="en-US" w:eastAsia="en-US" w:bidi="en-US"/>
        </w:rPr>
        <w:t xml:space="preserve">tof </w:t>
      </w:r>
      <w:r>
        <w:t>velká</w:t>
      </w:r>
    </w:p>
    <w:p w:rsidR="00500724" w:rsidRDefault="00F30FB8">
      <w:pPr>
        <w:pStyle w:val="Zkladntext40"/>
        <w:shd w:val="clear" w:color="auto" w:fill="auto"/>
        <w:spacing w:after="0" w:line="190" w:lineRule="auto"/>
        <w:ind w:left="1600" w:firstLine="20"/>
        <w:jc w:val="left"/>
      </w:pPr>
      <w:r>
        <w:t>zahrada</w:t>
      </w:r>
    </w:p>
    <w:p w:rsidR="00500724" w:rsidRDefault="00F30FB8">
      <w:pPr>
        <w:pStyle w:val="Zkladntext40"/>
        <w:shd w:val="clear" w:color="auto" w:fill="auto"/>
        <w:spacing w:after="0" w:line="190" w:lineRule="auto"/>
        <w:jc w:val="right"/>
      </w:pPr>
      <w:r>
        <w:t>já vidím akáty a květy vonici, a luna svitl tam; a jsou tam cestičky</w:t>
      </w:r>
    </w:p>
    <w:p w:rsidR="00500724" w:rsidRDefault="00F30FB8">
      <w:pPr>
        <w:pStyle w:val="Zkladntext40"/>
        <w:shd w:val="clear" w:color="auto" w:fill="auto"/>
        <w:spacing w:after="0" w:line="173" w:lineRule="auto"/>
        <w:ind w:right="280"/>
        <w:jc w:val="right"/>
      </w:pPr>
      <w:r>
        <w:t>tak divně vinuté, že chodce rozesní,</w:t>
      </w:r>
    </w:p>
    <w:p w:rsidR="00500724" w:rsidRDefault="00F30FB8">
      <w:pPr>
        <w:pStyle w:val="Zkladntext40"/>
        <w:shd w:val="clear" w:color="auto" w:fill="auto"/>
        <w:spacing w:after="0" w:line="173" w:lineRule="auto"/>
        <w:jc w:val="right"/>
      </w:pPr>
      <w:r>
        <w:t xml:space="preserve">a po nich </w:t>
      </w:r>
      <w:r>
        <w:rPr>
          <w:lang w:val="en-US" w:eastAsia="en-US" w:bidi="en-US"/>
        </w:rPr>
        <w:t xml:space="preserve">Gilles </w:t>
      </w:r>
      <w:r>
        <w:t>jde sám a nese kapesník,</w:t>
      </w:r>
    </w:p>
    <w:p w:rsidR="00500724" w:rsidRDefault="00F30FB8">
      <w:pPr>
        <w:pStyle w:val="Zkladntext40"/>
        <w:shd w:val="clear" w:color="auto" w:fill="auto"/>
        <w:spacing w:after="0" w:line="173" w:lineRule="auto"/>
        <w:ind w:firstLine="180"/>
      </w:pPr>
      <w:r>
        <w:t>a luna svitl tam.</w:t>
      </w:r>
    </w:p>
    <w:p w:rsidR="00500724" w:rsidRDefault="00F30FB8">
      <w:pPr>
        <w:pStyle w:val="Zkladntext40"/>
        <w:shd w:val="clear" w:color="auto" w:fill="auto"/>
        <w:tabs>
          <w:tab w:val="left" w:pos="922"/>
        </w:tabs>
        <w:spacing w:after="0" w:line="180" w:lineRule="auto"/>
      </w:pPr>
      <w:r>
        <w:rPr>
          <w:lang w:val="en-US" w:eastAsia="en-US" w:bidi="en-US"/>
        </w:rPr>
        <w:t>Isabella:</w:t>
      </w:r>
      <w:r>
        <w:rPr>
          <w:lang w:val="en-US" w:eastAsia="en-US" w:bidi="en-US"/>
        </w:rPr>
        <w:tab/>
        <w:t xml:space="preserve">Ah. </w:t>
      </w:r>
      <w:r>
        <w:t>pane Gillese, ne,</w:t>
      </w:r>
    </w:p>
    <w:p w:rsidR="00500724" w:rsidRDefault="00F30FB8">
      <w:pPr>
        <w:pStyle w:val="Zkladntext40"/>
        <w:shd w:val="clear" w:color="auto" w:fill="auto"/>
        <w:spacing w:after="0" w:line="180" w:lineRule="auto"/>
        <w:ind w:firstLine="180"/>
      </w:pPr>
      <w:r>
        <w:t>mně vraťte kapesník!</w:t>
      </w:r>
    </w:p>
    <w:p w:rsidR="00500724" w:rsidRDefault="00F30FB8">
      <w:pPr>
        <w:pStyle w:val="Zkladntext40"/>
        <w:shd w:val="clear" w:color="auto" w:fill="auto"/>
        <w:tabs>
          <w:tab w:val="left" w:pos="1099"/>
        </w:tabs>
        <w:spacing w:after="0" w:line="168" w:lineRule="auto"/>
      </w:pPr>
      <w:r>
        <w:rPr>
          <w:lang w:val="en-US" w:eastAsia="en-US" w:bidi="en-US"/>
        </w:rPr>
        <w:t>Gilles:</w:t>
      </w:r>
      <w:r>
        <w:rPr>
          <w:lang w:val="en-US" w:eastAsia="en-US" w:bidi="en-US"/>
        </w:rPr>
        <w:tab/>
      </w:r>
      <w:r>
        <w:t xml:space="preserve">To </w:t>
      </w:r>
      <w:r>
        <w:t>není kapesník,</w:t>
      </w:r>
    </w:p>
    <w:p w:rsidR="00500724" w:rsidRDefault="00F30FB8">
      <w:pPr>
        <w:pStyle w:val="Zkladntext40"/>
        <w:shd w:val="clear" w:color="auto" w:fill="auto"/>
        <w:spacing w:after="0" w:line="168" w:lineRule="auto"/>
        <w:jc w:val="right"/>
      </w:pPr>
      <w:r>
        <w:t>to krásná žena jest, jež stojí u okna,</w:t>
      </w:r>
    </w:p>
    <w:p w:rsidR="00500724" w:rsidRDefault="00F30FB8">
      <w:pPr>
        <w:pStyle w:val="Zkladntext40"/>
        <w:shd w:val="clear" w:color="auto" w:fill="auto"/>
        <w:spacing w:after="0" w:line="182" w:lineRule="auto"/>
        <w:ind w:left="160" w:firstLine="20"/>
      </w:pPr>
      <w:r>
        <w:t>a bílé šaty má a mysli na lásku, snad mysli na lásku a o</w:t>
      </w:r>
    </w:p>
    <w:p w:rsidR="00500724" w:rsidRDefault="00F30FB8">
      <w:pPr>
        <w:pStyle w:val="Zkladntext40"/>
        <w:shd w:val="clear" w:color="auto" w:fill="auto"/>
        <w:spacing w:after="0" w:line="182" w:lineRule="auto"/>
        <w:ind w:left="1140"/>
        <w:jc w:val="left"/>
      </w:pPr>
      <w:r>
        <w:t>Gillesovi sni,</w:t>
      </w:r>
    </w:p>
    <w:p w:rsidR="00500724" w:rsidRDefault="00F30FB8">
      <w:pPr>
        <w:pStyle w:val="Zkladntext40"/>
        <w:shd w:val="clear" w:color="auto" w:fill="auto"/>
        <w:spacing w:after="0" w:line="182" w:lineRule="auto"/>
        <w:jc w:val="right"/>
      </w:pPr>
      <w:r>
        <w:rPr>
          <w:lang w:val="en-US" w:eastAsia="en-US" w:bidi="en-US"/>
        </w:rPr>
        <w:t xml:space="preserve">Gilles </w:t>
      </w:r>
      <w:r>
        <w:t>chodí pod okny a hraje na housle,</w:t>
      </w:r>
    </w:p>
    <w:p w:rsidR="00500724" w:rsidRDefault="00F30FB8">
      <w:pPr>
        <w:pStyle w:val="Zkladntext40"/>
        <w:shd w:val="clear" w:color="auto" w:fill="auto"/>
        <w:spacing w:after="0" w:line="182" w:lineRule="auto"/>
        <w:ind w:right="520"/>
        <w:jc w:val="right"/>
      </w:pPr>
      <w:r>
        <w:t>a luna sviti tam na bílý kapesník.</w:t>
      </w:r>
    </w:p>
    <w:p w:rsidR="00500724" w:rsidRDefault="00F30FB8">
      <w:pPr>
        <w:pStyle w:val="Zkladntext40"/>
        <w:shd w:val="clear" w:color="auto" w:fill="auto"/>
        <w:tabs>
          <w:tab w:val="left" w:leader="hyphen" w:pos="2018"/>
        </w:tabs>
        <w:spacing w:after="0" w:line="182" w:lineRule="auto"/>
        <w:ind w:firstLine="180"/>
      </w:pPr>
      <w:r>
        <w:t>Jenž vypil slzu teď</w:t>
      </w:r>
      <w:r>
        <w:tab/>
      </w:r>
    </w:p>
    <w:p w:rsidR="00500724" w:rsidRDefault="00F30FB8">
      <w:pPr>
        <w:pStyle w:val="Zkladntext40"/>
        <w:shd w:val="clear" w:color="auto" w:fill="auto"/>
        <w:spacing w:after="0" w:line="182" w:lineRule="auto"/>
        <w:jc w:val="right"/>
      </w:pPr>
      <w:r>
        <w:t>Mne včera pojal sen</w:t>
      </w:r>
    </w:p>
    <w:p w:rsidR="00500724" w:rsidRDefault="00F30FB8">
      <w:pPr>
        <w:pStyle w:val="Zkladntext40"/>
        <w:shd w:val="clear" w:color="auto" w:fill="auto"/>
        <w:spacing w:after="0" w:line="182" w:lineRule="auto"/>
        <w:ind w:right="220"/>
        <w:jc w:val="right"/>
      </w:pPr>
      <w:r>
        <w:t xml:space="preserve">tak sladce </w:t>
      </w:r>
      <w:r>
        <w:t>přeletný jak spicl dívky dech;</w:t>
      </w:r>
    </w:p>
    <w:p w:rsidR="00500724" w:rsidRDefault="00F30FB8">
      <w:pPr>
        <w:pStyle w:val="Zkladntext40"/>
        <w:shd w:val="clear" w:color="auto" w:fill="auto"/>
        <w:spacing w:after="160" w:line="182" w:lineRule="auto"/>
        <w:jc w:val="right"/>
      </w:pPr>
      <w:r>
        <w:t xml:space="preserve">já o vás, </w:t>
      </w:r>
      <w:r>
        <w:rPr>
          <w:lang w:val="en-US" w:eastAsia="en-US" w:bidi="en-US"/>
        </w:rPr>
        <w:t xml:space="preserve">Bello, </w:t>
      </w:r>
      <w:r>
        <w:t>snil, že pro vás umřel Jsem,</w:t>
      </w:r>
    </w:p>
    <w:p w:rsidR="00500724" w:rsidRDefault="00F30FB8">
      <w:pPr>
        <w:pStyle w:val="Zkladntext40"/>
        <w:shd w:val="clear" w:color="auto" w:fill="auto"/>
        <w:spacing w:after="0" w:line="166" w:lineRule="auto"/>
        <w:rPr>
          <w:sz w:val="16"/>
          <w:szCs w:val="16"/>
        </w:rPr>
      </w:pPr>
      <w:r>
        <w:rPr>
          <w:b/>
          <w:bCs/>
          <w:sz w:val="16"/>
          <w:szCs w:val="16"/>
        </w:rPr>
        <w:t>oči. Jako olbřími vějíř, ovívající nebe, a zřásněný na svém okraji vidinou hor.</w:t>
      </w:r>
    </w:p>
    <w:p w:rsidR="00500724" w:rsidRDefault="00F30FB8">
      <w:pPr>
        <w:pStyle w:val="Zkladntext40"/>
        <w:shd w:val="clear" w:color="auto" w:fill="auto"/>
        <w:spacing w:after="0" w:line="163" w:lineRule="auto"/>
        <w:ind w:firstLine="180"/>
        <w:rPr>
          <w:sz w:val="16"/>
          <w:szCs w:val="16"/>
        </w:rPr>
      </w:pPr>
      <w:r>
        <w:rPr>
          <w:b/>
          <w:bCs/>
          <w:sz w:val="16"/>
          <w:szCs w:val="16"/>
        </w:rPr>
        <w:t>Otta. sedě v podřepu, se oddá</w:t>
      </w:r>
      <w:r>
        <w:rPr>
          <w:b/>
          <w:bCs/>
          <w:sz w:val="16"/>
          <w:szCs w:val="16"/>
        </w:rPr>
        <w:softHyphen/>
        <w:t>val žasnuti.</w:t>
      </w:r>
    </w:p>
    <w:p w:rsidR="00500724" w:rsidRDefault="00F30FB8">
      <w:pPr>
        <w:pStyle w:val="Zkladntext40"/>
        <w:shd w:val="clear" w:color="auto" w:fill="auto"/>
        <w:spacing w:after="0" w:line="168" w:lineRule="auto"/>
        <w:ind w:firstLine="180"/>
        <w:rPr>
          <w:sz w:val="16"/>
          <w:szCs w:val="16"/>
        </w:rPr>
      </w:pPr>
      <w:r>
        <w:rPr>
          <w:b/>
          <w:bCs/>
          <w:sz w:val="16"/>
          <w:szCs w:val="16"/>
        </w:rPr>
        <w:t>Přes zbytky babího léta měst</w:t>
      </w:r>
      <w:r>
        <w:rPr>
          <w:b/>
          <w:bCs/>
          <w:sz w:val="16"/>
          <w:szCs w:val="16"/>
        </w:rPr>
        <w:softHyphen/>
        <w:t xml:space="preserve">ských hradeb, pod nimiž </w:t>
      </w:r>
      <w:r>
        <w:rPr>
          <w:b/>
          <w:bCs/>
          <w:sz w:val="16"/>
          <w:szCs w:val="16"/>
        </w:rPr>
        <w:t>plynula řeka. sunul se nejdříve jeho zrak po lukách; po píci luk osmahlé podzimem.</w:t>
      </w:r>
    </w:p>
    <w:p w:rsidR="00500724" w:rsidRDefault="00F30FB8">
      <w:pPr>
        <w:pStyle w:val="Zkladntext40"/>
        <w:shd w:val="clear" w:color="auto" w:fill="auto"/>
        <w:spacing w:after="0" w:line="168" w:lineRule="auto"/>
        <w:ind w:firstLine="180"/>
        <w:rPr>
          <w:sz w:val="16"/>
          <w:szCs w:val="16"/>
        </w:rPr>
      </w:pPr>
      <w:r>
        <w:rPr>
          <w:b/>
          <w:bCs/>
          <w:sz w:val="16"/>
          <w:szCs w:val="16"/>
        </w:rPr>
        <w:t>Oasy dědin, tvar věží jejich kostelíčků jako by sl chtěl vnu</w:t>
      </w:r>
      <w:r>
        <w:rPr>
          <w:b/>
          <w:bCs/>
          <w:sz w:val="16"/>
          <w:szCs w:val="16"/>
        </w:rPr>
        <w:softHyphen/>
        <w:t>covat, že je to okres slynoucí pěstěním výtečné cibule; šarla- chová hněď ornice. podbradek strnišť, a mezi olšo</w:t>
      </w:r>
      <w:r>
        <w:rPr>
          <w:b/>
          <w:bCs/>
          <w:sz w:val="16"/>
          <w:szCs w:val="16"/>
        </w:rPr>
        <w:t>vím prohléda- Iy křivočáry řečiště, podobající se z této výšky úponkám hracho- Iusků, a opět dlouhý, táhlý vý</w:t>
      </w:r>
      <w:r>
        <w:rPr>
          <w:b/>
          <w:bCs/>
          <w:sz w:val="16"/>
          <w:szCs w:val="16"/>
        </w:rPr>
        <w:softHyphen/>
        <w:t xml:space="preserve">dech roviny, sled zvířecích běhů, zdymadlo náhorní planiny, jejíž hladina klesala v klín strany spíše půlnoční, bájesloví hájů a starodávné aleje </w:t>
      </w:r>
      <w:r>
        <w:rPr>
          <w:b/>
          <w:bCs/>
          <w:sz w:val="16"/>
          <w:szCs w:val="16"/>
        </w:rPr>
        <w:t>kaštanů, které ještě pamatují třepetavé roráty postllionskýcli trubek, a dole pod tebou rolety krovů malých dom</w:t>
      </w:r>
      <w:r>
        <w:rPr>
          <w:b/>
          <w:bCs/>
          <w:sz w:val="16"/>
          <w:szCs w:val="16"/>
        </w:rPr>
        <w:softHyphen/>
        <w:t>ků se štiplavými ukazováčky ko</w:t>
      </w:r>
      <w:r>
        <w:rPr>
          <w:b/>
          <w:bCs/>
          <w:sz w:val="16"/>
          <w:szCs w:val="16"/>
        </w:rPr>
        <w:softHyphen/>
        <w:t>mínů, akvarelové zbarvení jese</w:t>
      </w:r>
      <w:r>
        <w:rPr>
          <w:b/>
          <w:bCs/>
          <w:sz w:val="16"/>
          <w:szCs w:val="16"/>
        </w:rPr>
        <w:softHyphen/>
        <w:t xml:space="preserve">ně, sevřené vlastní krásou v rám obzoru, v prodyšný rám, tepaný osykou atmosféry: </w:t>
      </w:r>
      <w:r>
        <w:rPr>
          <w:b/>
          <w:bCs/>
          <w:sz w:val="16"/>
          <w:szCs w:val="16"/>
        </w:rPr>
        <w:t>puls. jakýsi zurěivý tep božího díla, jímž je česká příroda, která umí tak vstřebávat dělný pot jako tvář koketky nános líčidla (jak je skličující tato věčně hraná partie</w:t>
      </w:r>
    </w:p>
    <w:p w:rsidR="00500724" w:rsidRDefault="00F30FB8">
      <w:pPr>
        <w:spacing w:line="1" w:lineRule="exact"/>
        <w:rPr>
          <w:sz w:val="2"/>
          <w:szCs w:val="2"/>
        </w:rPr>
      </w:pPr>
      <w:r>
        <w:br w:type="column"/>
      </w:r>
    </w:p>
    <w:p w:rsidR="00500724" w:rsidRDefault="00F30FB8">
      <w:pPr>
        <w:pStyle w:val="Zkladntext40"/>
        <w:shd w:val="clear" w:color="auto" w:fill="auto"/>
        <w:spacing w:after="0" w:line="170" w:lineRule="auto"/>
        <w:ind w:right="320"/>
        <w:jc w:val="right"/>
      </w:pPr>
      <w:r>
        <w:t xml:space="preserve">váš křišťálový pláč </w:t>
      </w:r>
      <w:r>
        <w:rPr>
          <w:sz w:val="18"/>
          <w:szCs w:val="18"/>
        </w:rPr>
        <w:t xml:space="preserve">se </w:t>
      </w:r>
      <w:r>
        <w:t>ronil bolestně</w:t>
      </w:r>
    </w:p>
    <w:p w:rsidR="00500724" w:rsidRDefault="00F30FB8">
      <w:pPr>
        <w:pStyle w:val="Zkladntext40"/>
        <w:shd w:val="clear" w:color="auto" w:fill="auto"/>
        <w:spacing w:after="0" w:line="187" w:lineRule="auto"/>
        <w:ind w:right="320"/>
        <w:jc w:val="right"/>
      </w:pPr>
      <w:r>
        <w:t>v mé rány zející a Já Jsem vykřikl</w:t>
      </w:r>
    </w:p>
    <w:p w:rsidR="00500724" w:rsidRDefault="00F30FB8">
      <w:pPr>
        <w:pStyle w:val="Zkladntext40"/>
        <w:shd w:val="clear" w:color="auto" w:fill="auto"/>
        <w:spacing w:after="0" w:line="187" w:lineRule="auto"/>
        <w:jc w:val="right"/>
      </w:pPr>
      <w:r>
        <w:t>svou náruč</w:t>
      </w:r>
      <w:r>
        <w:t xml:space="preserve"> rozepnuv: Já nejsem mrtev Již,</w:t>
      </w:r>
    </w:p>
    <w:p w:rsidR="00500724" w:rsidRDefault="00F30FB8">
      <w:pPr>
        <w:pStyle w:val="Zkladntext40"/>
        <w:shd w:val="clear" w:color="auto" w:fill="auto"/>
        <w:spacing w:after="0" w:line="187" w:lineRule="auto"/>
        <w:jc w:val="right"/>
      </w:pPr>
      <w:r>
        <w:t>když ty mne miluješl</w:t>
      </w:r>
    </w:p>
    <w:p w:rsidR="00500724" w:rsidRDefault="00F30FB8">
      <w:pPr>
        <w:pStyle w:val="Zkladntext40"/>
        <w:shd w:val="clear" w:color="auto" w:fill="auto"/>
        <w:spacing w:after="0" w:line="187" w:lineRule="auto"/>
        <w:jc w:val="right"/>
      </w:pPr>
      <w:r>
        <w:t>Ne, Já jsem Jinak snil;</w:t>
      </w:r>
    </w:p>
    <w:p w:rsidR="00500724" w:rsidRDefault="00F30FB8">
      <w:pPr>
        <w:pStyle w:val="Zkladntext40"/>
        <w:shd w:val="clear" w:color="auto" w:fill="auto"/>
        <w:spacing w:after="0" w:line="187" w:lineRule="auto"/>
        <w:jc w:val="right"/>
      </w:pPr>
      <w:r>
        <w:t xml:space="preserve">Já o vás, </w:t>
      </w:r>
      <w:r>
        <w:rPr>
          <w:lang w:val="en-US" w:eastAsia="en-US" w:bidi="en-US"/>
        </w:rPr>
        <w:t xml:space="preserve">Bello, </w:t>
      </w:r>
      <w:r>
        <w:t>snil, že spolu Jeli Jsme</w:t>
      </w:r>
    </w:p>
    <w:p w:rsidR="00500724" w:rsidRDefault="00F30FB8">
      <w:pPr>
        <w:pStyle w:val="Zkladntext40"/>
        <w:shd w:val="clear" w:color="auto" w:fill="auto"/>
        <w:spacing w:after="0" w:line="187" w:lineRule="auto"/>
      </w:pPr>
      <w:r>
        <w:t>ve starém kočáře a tlustí koňové nás vezli půlnoci po starých</w:t>
      </w:r>
    </w:p>
    <w:p w:rsidR="00500724" w:rsidRDefault="00F30FB8">
      <w:pPr>
        <w:pStyle w:val="Zkladntext40"/>
        <w:shd w:val="clear" w:color="auto" w:fill="auto"/>
        <w:spacing w:after="0" w:line="187" w:lineRule="auto"/>
        <w:ind w:right="320"/>
        <w:jc w:val="right"/>
      </w:pPr>
      <w:r>
        <w:t>městysich,</w:t>
      </w:r>
    </w:p>
    <w:p w:rsidR="00500724" w:rsidRDefault="00F30FB8">
      <w:pPr>
        <w:pStyle w:val="Zkladntext40"/>
        <w:shd w:val="clear" w:color="auto" w:fill="auto"/>
        <w:spacing w:after="0" w:line="187" w:lineRule="auto"/>
        <w:jc w:val="right"/>
      </w:pPr>
      <w:r>
        <w:t>přes hrubá dláždění, skrz dlouhé aleje,</w:t>
      </w:r>
    </w:p>
    <w:p w:rsidR="00500724" w:rsidRDefault="00F30FB8">
      <w:pPr>
        <w:pStyle w:val="Zkladntext40"/>
        <w:shd w:val="clear" w:color="auto" w:fill="auto"/>
        <w:spacing w:after="0" w:line="187" w:lineRule="auto"/>
      </w:pPr>
      <w:r>
        <w:t xml:space="preserve">přes kraje usnulé a </w:t>
      </w:r>
      <w:r>
        <w:t>spicl vesnice, a luna svítila na štěkající psy, a my jsme Jeli pryč — — —</w:t>
      </w:r>
    </w:p>
    <w:p w:rsidR="00500724" w:rsidRDefault="00F30FB8">
      <w:pPr>
        <w:pStyle w:val="Zkladntext40"/>
        <w:shd w:val="clear" w:color="auto" w:fill="auto"/>
        <w:spacing w:after="0" w:line="187" w:lineRule="auto"/>
        <w:jc w:val="right"/>
      </w:pPr>
      <w:r>
        <w:t>Ne, jinak bylo to: Já o vás snil jsem jen a měl Jsem o vás sen,</w:t>
      </w:r>
    </w:p>
    <w:p w:rsidR="00500724" w:rsidRDefault="00F30FB8">
      <w:pPr>
        <w:pStyle w:val="Zkladntext40"/>
        <w:shd w:val="clear" w:color="auto" w:fill="auto"/>
        <w:tabs>
          <w:tab w:val="left" w:leader="hyphen" w:pos="2462"/>
        </w:tabs>
        <w:spacing w:after="0" w:line="187" w:lineRule="auto"/>
        <w:ind w:left="1360" w:hanging="1360"/>
        <w:jc w:val="left"/>
      </w:pPr>
      <w:r>
        <w:t>že já jsem slavný byl a stal se básníkem</w:t>
      </w:r>
      <w:r>
        <w:tab/>
      </w:r>
    </w:p>
    <w:p w:rsidR="00500724" w:rsidRDefault="00F30FB8">
      <w:pPr>
        <w:pStyle w:val="Zkladntext40"/>
        <w:shd w:val="clear" w:color="auto" w:fill="auto"/>
        <w:spacing w:after="0" w:line="187" w:lineRule="auto"/>
        <w:ind w:right="320"/>
        <w:jc w:val="right"/>
      </w:pPr>
      <w:r>
        <w:t xml:space="preserve">O, </w:t>
      </w:r>
      <w:r>
        <w:rPr>
          <w:lang w:val="en-US" w:eastAsia="en-US" w:bidi="en-US"/>
        </w:rPr>
        <w:t xml:space="preserve">Bello, </w:t>
      </w:r>
      <w:r>
        <w:t>slyšte mne; Já nyní šťasten Jsem.</w:t>
      </w:r>
    </w:p>
    <w:p w:rsidR="00500724" w:rsidRDefault="00F30FB8">
      <w:pPr>
        <w:pStyle w:val="Zkladntext40"/>
        <w:shd w:val="clear" w:color="auto" w:fill="auto"/>
        <w:spacing w:after="0" w:line="187" w:lineRule="auto"/>
        <w:ind w:right="180"/>
        <w:jc w:val="right"/>
      </w:pPr>
      <w:r>
        <w:t>Jen na mne pohleďte a potom rcet</w:t>
      </w:r>
      <w:r>
        <w:t>e mi,</w:t>
      </w:r>
    </w:p>
    <w:p w:rsidR="00500724" w:rsidRDefault="00F30FB8">
      <w:pPr>
        <w:pStyle w:val="Zkladntext40"/>
        <w:shd w:val="clear" w:color="auto" w:fill="auto"/>
        <w:spacing w:line="187" w:lineRule="auto"/>
      </w:pPr>
      <w:r>
        <w:t>zda teď se usmívám.</w:t>
      </w:r>
    </w:p>
    <w:p w:rsidR="00500724" w:rsidRDefault="00F30FB8">
      <w:pPr>
        <w:pStyle w:val="Zkladntext40"/>
        <w:shd w:val="clear" w:color="auto" w:fill="auto"/>
        <w:spacing w:after="0"/>
        <w:ind w:firstLine="180"/>
      </w:pPr>
      <w:r>
        <w:t>Shrneme-li všechna uvedená fakta, Je genese Čapkovy epické a dramatické intonace Jasná: obojí má svůj původ v lyrice. Jestliže K. Čapek, jak výše ře</w:t>
      </w:r>
      <w:r>
        <w:softHyphen/>
        <w:t>čeno, zapůsobil na vývoj české lyriky — a zapůsobil právě jako prozaik, zbaviv ly</w:t>
      </w:r>
      <w:r>
        <w:t>riku zkamenělé tradice slovosledných Inversí, vy</w:t>
      </w:r>
      <w:r>
        <w:softHyphen/>
        <w:t>hnané až do zámezí školou Vrch</w:t>
      </w:r>
      <w:r>
        <w:softHyphen/>
        <w:t>lického, Jeví se mezi epiky na</w:t>
      </w:r>
      <w:r>
        <w:softHyphen/>
        <w:t>opak odchovancem lyrické poesie. Je proto umělecké využiti intona</w:t>
      </w:r>
      <w:r>
        <w:softHyphen/>
        <w:t>ce u něho třeba hledat v tomto směru.</w:t>
      </w:r>
    </w:p>
    <w:p w:rsidR="00500724" w:rsidRDefault="00F30FB8">
      <w:pPr>
        <w:pStyle w:val="Zkladntext40"/>
        <w:shd w:val="clear" w:color="auto" w:fill="auto"/>
        <w:spacing w:after="0"/>
        <w:ind w:firstLine="180"/>
      </w:pPr>
      <w:r>
        <w:t>Je známo, že se umělecké vy</w:t>
      </w:r>
      <w:r>
        <w:softHyphen/>
        <w:t>užiti intonac</w:t>
      </w:r>
      <w:r>
        <w:t>e v lyrice děje zejmé</w:t>
      </w:r>
      <w:r>
        <w:softHyphen/>
        <w:t>na dvojí metodou: metodou opa</w:t>
      </w:r>
      <w:r>
        <w:softHyphen/>
        <w:t>kování a metodou kontrastu; obojí shledáváme u Čapka Jak v próze epické. tak 1 v dramatic</w:t>
      </w:r>
      <w:r>
        <w:softHyphen/>
        <w:t>kém dialogu.</w:t>
      </w:r>
    </w:p>
    <w:p w:rsidR="00500724" w:rsidRDefault="00F30FB8">
      <w:pPr>
        <w:pStyle w:val="Zkladntext40"/>
        <w:shd w:val="clear" w:color="auto" w:fill="auto"/>
        <w:spacing w:after="0"/>
        <w:ind w:firstLine="180"/>
      </w:pPr>
      <w:r>
        <w:t>Opakování záleží v tom, že se jistý intonační útvar vraci něko</w:t>
      </w:r>
      <w:r>
        <w:softHyphen/>
        <w:t>likrát po sobě, tak na př. otáz</w:t>
      </w:r>
      <w:r>
        <w:softHyphen/>
        <w:t>ka neb</w:t>
      </w:r>
      <w:r>
        <w:t>o zavoláni:</w:t>
      </w:r>
    </w:p>
    <w:p w:rsidR="00500724" w:rsidRDefault="00F30FB8">
      <w:pPr>
        <w:pStyle w:val="Zkladntext40"/>
        <w:shd w:val="clear" w:color="auto" w:fill="auto"/>
        <w:spacing w:after="0"/>
        <w:ind w:firstLine="180"/>
      </w:pPr>
      <w:r>
        <w:t>Můj bože. Je Lida opravdu yxtý případ mezi mnohými? Neni ně</w:t>
      </w:r>
      <w:r>
        <w:softHyphen/>
        <w:t>čím jediným a krásným? Není di</w:t>
      </w:r>
      <w:r>
        <w:softHyphen/>
        <w:t xml:space="preserve">vém života? </w:t>
      </w:r>
      <w:r>
        <w:rPr>
          <w:b/>
          <w:bCs/>
          <w:sz w:val="16"/>
          <w:szCs w:val="16"/>
        </w:rPr>
        <w:t xml:space="preserve">A </w:t>
      </w:r>
      <w:r>
        <w:t>mám-li pravdu, co Jsou Ji platný, co jsou vůbec plat</w:t>
      </w:r>
      <w:r>
        <w:softHyphen/>
        <w:t>ný Její »neznámé pohnutky*. Jeji utrpení a rozhodováni? (Boži mu</w:t>
      </w:r>
      <w:r>
        <w:softHyphen/>
        <w:t>ka, Lida).</w:t>
      </w:r>
    </w:p>
    <w:p w:rsidR="00500724" w:rsidRDefault="00F30FB8">
      <w:pPr>
        <w:pStyle w:val="Zkladntext40"/>
        <w:shd w:val="clear" w:color="auto" w:fill="auto"/>
        <w:ind w:firstLine="180"/>
      </w:pPr>
      <w:r>
        <w:t>Což se toh</w:t>
      </w:r>
      <w:r>
        <w:t xml:space="preserve">o už nezbavím? Proč mi nejde Lidino neštěstí z hlavy? Proč se vlastně tolik starám </w:t>
      </w:r>
      <w:r>
        <w:rPr>
          <w:sz w:val="18"/>
          <w:szCs w:val="18"/>
        </w:rPr>
        <w:t xml:space="preserve">o </w:t>
      </w:r>
      <w:r>
        <w:t>osud? Odkud to na mne přišlo ja</w:t>
      </w:r>
      <w:r>
        <w:softHyphen/>
        <w:t>ko mánie? (tamtéž).</w:t>
      </w:r>
    </w:p>
    <w:p w:rsidR="00500724" w:rsidRDefault="00F30FB8">
      <w:pPr>
        <w:pStyle w:val="Zkladntext40"/>
        <w:shd w:val="clear" w:color="auto" w:fill="auto"/>
        <w:spacing w:after="160"/>
        <w:jc w:val="right"/>
      </w:pPr>
      <w:r>
        <w:t>(Pokračováni příště.)</w:t>
      </w:r>
    </w:p>
    <w:p w:rsidR="00500724" w:rsidRDefault="00F30FB8">
      <w:pPr>
        <w:pStyle w:val="Zkladntext40"/>
        <w:shd w:val="clear" w:color="auto" w:fill="auto"/>
        <w:spacing w:after="0" w:line="168" w:lineRule="auto"/>
        <w:rPr>
          <w:sz w:val="16"/>
          <w:szCs w:val="16"/>
        </w:rPr>
      </w:pPr>
      <w:r>
        <w:rPr>
          <w:b/>
          <w:bCs/>
          <w:sz w:val="16"/>
          <w:szCs w:val="16"/>
        </w:rPr>
        <w:t>šachu stáda pěšáků proti figur</w:t>
      </w:r>
      <w:r>
        <w:rPr>
          <w:b/>
          <w:bCs/>
          <w:sz w:val="16"/>
          <w:szCs w:val="16"/>
        </w:rPr>
        <w:softHyphen/>
        <w:t>kám, seskupeným kol pomyslné</w:t>
      </w:r>
      <w:r>
        <w:rPr>
          <w:b/>
          <w:bCs/>
          <w:sz w:val="16"/>
          <w:szCs w:val="16"/>
        </w:rPr>
        <w:softHyphen/>
        <w:t xml:space="preserve">ho majestátu krále, to střetnutí </w:t>
      </w:r>
      <w:r>
        <w:rPr>
          <w:b/>
          <w:bCs/>
          <w:sz w:val="16"/>
          <w:szCs w:val="16"/>
        </w:rPr>
        <w:t>lidskosti přerůstající osud a mudrosloví tohoto národa!), a opět nový rozkmih dálky a dál</w:t>
      </w:r>
      <w:r>
        <w:rPr>
          <w:b/>
          <w:bCs/>
          <w:sz w:val="16"/>
          <w:szCs w:val="16"/>
        </w:rPr>
        <w:softHyphen/>
        <w:t>ky, dálky, mrakopravectvi nad zátoěinami rákosiny, tucha oců- nů, nárys hvozdů, za kterými mnohdy bývává západ slunce ta</w:t>
      </w:r>
      <w:r>
        <w:rPr>
          <w:b/>
          <w:bCs/>
          <w:sz w:val="16"/>
          <w:szCs w:val="16"/>
        </w:rPr>
        <w:softHyphen/>
        <w:t>kovou blouznivou podívanou jako benátský ohňo</w:t>
      </w:r>
      <w:r>
        <w:rPr>
          <w:b/>
          <w:bCs/>
          <w:sz w:val="16"/>
          <w:szCs w:val="16"/>
        </w:rPr>
        <w:t>stroj, a napřič tímto libosadem — nad nimž ja</w:t>
      </w:r>
      <w:r>
        <w:rPr>
          <w:b/>
          <w:bCs/>
          <w:sz w:val="16"/>
          <w:szCs w:val="16"/>
        </w:rPr>
        <w:softHyphen/>
        <w:t>ko by se ještě teď, v listopadu, vznášel věneček uvitý rorýsy — probíhá silníce, viděná z ptačí perspektivy jako čára života a válek, truchloher staletí, tudy se kdysi válívávaly k srdci Čech houfy vojsk, mluví</w:t>
      </w:r>
      <w:r>
        <w:rPr>
          <w:b/>
          <w:bCs/>
          <w:sz w:val="16"/>
          <w:szCs w:val="16"/>
        </w:rPr>
        <w:t>cích jinými jazyky, než jakým byla mluva kněžny Libuše, svátého Václava, Karla IV., Žižky, Jiříka z Podě</w:t>
      </w:r>
      <w:r>
        <w:rPr>
          <w:b/>
          <w:bCs/>
          <w:sz w:val="16"/>
          <w:szCs w:val="16"/>
        </w:rPr>
        <w:softHyphen/>
        <w:t>brad a Jana Amose Komenského, jak o tom s tak jímavou pouta</w:t>
      </w:r>
      <w:r>
        <w:rPr>
          <w:b/>
          <w:bCs/>
          <w:sz w:val="16"/>
          <w:szCs w:val="16"/>
        </w:rPr>
        <w:softHyphen/>
        <w:t>vostí vyprávíval milovaný pan učitel Kasík, z toho soumraku úpatí nejdříve vyšlehával chvat</w:t>
      </w:r>
      <w:r>
        <w:rPr>
          <w:b/>
          <w:bCs/>
          <w:sz w:val="16"/>
          <w:szCs w:val="16"/>
        </w:rPr>
        <w:softHyphen/>
        <w:t>ný lesk brnění, a tu se Oldřich dlouze zahleděl k oparu hor a jeho bledolícl obličej oživila řev- nivá bojovnost proti všem, kdož příliš nemilují otčlnu, tu českou zemi. Jejíž svědomí není zatíženo znamením vlčic.</w:t>
      </w:r>
    </w:p>
    <w:p w:rsidR="00500724" w:rsidRDefault="00F30FB8">
      <w:pPr>
        <w:pStyle w:val="Zkladntext40"/>
        <w:shd w:val="clear" w:color="auto" w:fill="auto"/>
        <w:spacing w:after="0" w:line="206" w:lineRule="auto"/>
        <w:ind w:left="160" w:firstLine="20"/>
        <w:sectPr w:rsidR="00500724">
          <w:footnotePr>
            <w:numFmt w:val="chicago"/>
            <w:numRestart w:val="eachPage"/>
          </w:footnotePr>
          <w:type w:val="continuous"/>
          <w:pgSz w:w="11909" w:h="16834"/>
          <w:pgMar w:top="1994" w:right="885" w:bottom="0" w:left="610" w:header="0" w:footer="3" w:gutter="0"/>
          <w:cols w:num="4" w:sep="1" w:space="100"/>
          <w:noEndnote/>
          <w:docGrid w:linePitch="360"/>
        </w:sectPr>
      </w:pPr>
      <w:r>
        <w:rPr>
          <w:noProof/>
        </w:rPr>
        <mc:AlternateContent>
          <mc:Choice Requires="wps">
            <w:drawing>
              <wp:anchor distT="0" distB="254000" distL="114300" distR="114300" simplePos="0" relativeHeight="125829818" behindDoc="0" locked="0" layoutInCell="1" allowOverlap="1">
                <wp:simplePos x="0" y="0"/>
                <wp:positionH relativeFrom="page">
                  <wp:posOffset>518160</wp:posOffset>
                </wp:positionH>
                <wp:positionV relativeFrom="margin">
                  <wp:posOffset>8437880</wp:posOffset>
                </wp:positionV>
                <wp:extent cx="6428105" cy="664210"/>
                <wp:effectExtent l="0" t="0" r="0" b="0"/>
                <wp:wrapTopAndBottom/>
                <wp:docPr id="441" name="Shape 441"/>
                <wp:cNvGraphicFramePr/>
                <a:graphic xmlns:a="http://schemas.openxmlformats.org/drawingml/2006/main">
                  <a:graphicData uri="http://schemas.microsoft.com/office/word/2010/wordprocessingShape">
                    <wps:wsp>
                      <wps:cNvSpPr txBox="1"/>
                      <wps:spPr>
                        <a:xfrm>
                          <a:off x="0" y="0"/>
                          <a:ext cx="6428105" cy="664210"/>
                        </a:xfrm>
                        <a:prstGeom prst="rect">
                          <a:avLst/>
                        </a:prstGeom>
                        <a:noFill/>
                      </wps:spPr>
                      <wps:txbx>
                        <w:txbxContent>
                          <w:p w:rsidR="00500724" w:rsidRDefault="00F30FB8">
                            <w:pPr>
                              <w:pStyle w:val="Jin0"/>
                              <w:shd w:val="clear" w:color="auto" w:fill="auto"/>
                              <w:ind w:firstLine="0"/>
                              <w:jc w:val="left"/>
                              <w:rPr>
                                <w:sz w:val="44"/>
                                <w:szCs w:val="44"/>
                              </w:rPr>
                            </w:pPr>
                            <w:r>
                              <w:rPr>
                                <w:rFonts w:ascii="Calibri" w:eastAsia="Calibri" w:hAnsi="Calibri" w:cs="Calibri"/>
                                <w:b/>
                                <w:bCs/>
                                <w:w w:val="70"/>
                                <w:sz w:val="44"/>
                                <w:szCs w:val="44"/>
                              </w:rPr>
                              <w:t>Rodinné</w:t>
                            </w:r>
                            <w:r>
                              <w:rPr>
                                <w:rFonts w:ascii="Calibri" w:eastAsia="Calibri" w:hAnsi="Calibri" w:cs="Calibri"/>
                                <w:b/>
                                <w:bCs/>
                                <w:w w:val="70"/>
                                <w:sz w:val="44"/>
                                <w:szCs w:val="44"/>
                              </w:rPr>
                              <w:t xml:space="preserve"> vily ze dřeva, školy, ozdravovny a veškeré dřevěné konstrukce slaví</w:t>
                            </w:r>
                          </w:p>
                          <w:p w:rsidR="00500724" w:rsidRDefault="00F30FB8">
                            <w:pPr>
                              <w:pStyle w:val="Jin0"/>
                              <w:shd w:val="clear" w:color="auto" w:fill="auto"/>
                              <w:spacing w:line="199" w:lineRule="auto"/>
                              <w:ind w:firstLine="0"/>
                              <w:jc w:val="left"/>
                              <w:rPr>
                                <w:sz w:val="28"/>
                                <w:szCs w:val="28"/>
                              </w:rPr>
                            </w:pPr>
                            <w:r>
                              <w:rPr>
                                <w:rFonts w:ascii="Calibri" w:eastAsia="Calibri" w:hAnsi="Calibri" w:cs="Calibri"/>
                                <w:b/>
                                <w:bCs/>
                                <w:w w:val="70"/>
                                <w:sz w:val="44"/>
                                <w:szCs w:val="44"/>
                              </w:rPr>
                              <w:t xml:space="preserve">DřeVOSlavby Kolowrat, </w:t>
                            </w:r>
                            <w:r>
                              <w:rPr>
                                <w:rFonts w:ascii="Arial" w:eastAsia="Arial" w:hAnsi="Arial" w:cs="Arial"/>
                                <w:b/>
                                <w:bCs/>
                                <w:w w:val="70"/>
                                <w:sz w:val="28"/>
                                <w:szCs w:val="28"/>
                              </w:rPr>
                              <w:t>Dianaberg Přmda. Pražská kancelář; Praha II., Národní 30n. Tel. 32347</w:t>
                            </w:r>
                          </w:p>
                        </w:txbxContent>
                      </wps:txbx>
                      <wps:bodyPr lIns="0" tIns="0" rIns="0" bIns="0">
                        <a:spAutoFit/>
                      </wps:bodyPr>
                    </wps:wsp>
                  </a:graphicData>
                </a:graphic>
              </wp:anchor>
            </w:drawing>
          </mc:Choice>
          <mc:Fallback>
            <w:pict>
              <v:shape id="_x0000_s1467" type="#_x0000_t202" style="position:absolute;margin-left:40.799999999999997pt;margin-top:664.39999999999998pt;width:506.14999999999998pt;height:52.299999999999997pt;z-index:-125828935;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r>
                        <w:rPr>
                          <w:rFonts w:ascii="Calibri" w:eastAsia="Calibri" w:hAnsi="Calibri" w:cs="Calibri"/>
                          <w:b/>
                          <w:bCs/>
                          <w:color w:val="000000"/>
                          <w:spacing w:val="0"/>
                          <w:w w:val="70"/>
                          <w:position w:val="0"/>
                          <w:sz w:val="44"/>
                          <w:szCs w:val="44"/>
                          <w:shd w:val="clear" w:color="auto" w:fill="auto"/>
                          <w:lang w:val="cs-CZ" w:eastAsia="cs-CZ" w:bidi="cs-CZ"/>
                        </w:rPr>
                        <w:t>Rodinné vily ze dřeva, školy, ozdravovny a veškeré dřevěné konstrukce slaví</w:t>
                      </w:r>
                    </w:p>
                    <w:p>
                      <w:pPr>
                        <w:pStyle w:val="Style12"/>
                        <w:keepNext w:val="0"/>
                        <w:keepLines w:val="0"/>
                        <w:widowControl w:val="0"/>
                        <w:shd w:val="clear" w:color="auto" w:fill="auto"/>
                        <w:bidi w:val="0"/>
                        <w:spacing w:before="0" w:after="0" w:line="199" w:lineRule="auto"/>
                        <w:ind w:left="0" w:right="0" w:firstLine="0"/>
                        <w:jc w:val="left"/>
                        <w:rPr>
                          <w:sz w:val="28"/>
                          <w:szCs w:val="28"/>
                        </w:rPr>
                      </w:pPr>
                      <w:r>
                        <w:rPr>
                          <w:rFonts w:ascii="Calibri" w:eastAsia="Calibri" w:hAnsi="Calibri" w:cs="Calibri"/>
                          <w:b/>
                          <w:bCs/>
                          <w:color w:val="000000"/>
                          <w:spacing w:val="0"/>
                          <w:w w:val="70"/>
                          <w:position w:val="0"/>
                          <w:sz w:val="44"/>
                          <w:szCs w:val="44"/>
                          <w:shd w:val="clear" w:color="auto" w:fill="auto"/>
                          <w:lang w:val="cs-CZ" w:eastAsia="cs-CZ" w:bidi="cs-CZ"/>
                        </w:rPr>
                        <w:t xml:space="preserve">DřeVOSlavby Kolowrat, </w:t>
                      </w:r>
                      <w:r>
                        <w:rPr>
                          <w:rFonts w:ascii="Arial" w:eastAsia="Arial" w:hAnsi="Arial" w:cs="Arial"/>
                          <w:b/>
                          <w:bCs/>
                          <w:color w:val="000000"/>
                          <w:spacing w:val="0"/>
                          <w:w w:val="70"/>
                          <w:position w:val="0"/>
                          <w:sz w:val="28"/>
                          <w:szCs w:val="28"/>
                          <w:shd w:val="clear" w:color="auto" w:fill="auto"/>
                          <w:lang w:val="cs-CZ" w:eastAsia="cs-CZ" w:bidi="cs-CZ"/>
                        </w:rPr>
                        <w:t>Dianaberg Přmda. Pražská kancelář; Praha II., Národní 30n. Tel. 32347</w:t>
                      </w:r>
                    </w:p>
                  </w:txbxContent>
                </v:textbox>
                <w10:wrap type="topAndBottom" anchorx="page" anchory="margin"/>
              </v:shape>
            </w:pict>
          </mc:Fallback>
        </mc:AlternateContent>
      </w:r>
      <w:r>
        <w:t>(Ukázka z nového románu K. Konráda »Postele bez nebes*.)</w:t>
      </w:r>
    </w:p>
    <w:p w:rsidR="00500724" w:rsidRDefault="00F30FB8">
      <w:pPr>
        <w:pStyle w:val="Nadpis40"/>
        <w:keepNext/>
        <w:keepLines/>
        <w:framePr w:w="10426" w:h="2285" w:wrap="none" w:vAnchor="text" w:hAnchor="page" w:x="1283" w:y="1647"/>
        <w:shd w:val="clear" w:color="auto" w:fill="auto"/>
      </w:pPr>
      <w:bookmarkStart w:id="434" w:name="bookmark433"/>
      <w:r>
        <w:t>řítDmnosL&gt;</w:t>
      </w:r>
      <w:bookmarkEnd w:id="434"/>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77" w:line="14" w:lineRule="exact"/>
      </w:pPr>
    </w:p>
    <w:p w:rsidR="00500724" w:rsidRDefault="00500724">
      <w:pPr>
        <w:spacing w:line="14" w:lineRule="exact"/>
        <w:sectPr w:rsidR="00500724">
          <w:footnotePr>
            <w:numFmt w:val="chicago"/>
            <w:numRestart w:val="eachPage"/>
          </w:footnotePr>
          <w:pgSz w:w="11909" w:h="16834"/>
          <w:pgMar w:top="1047" w:right="159" w:bottom="439" w:left="62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726"/>
        <w:gridCol w:w="2395"/>
      </w:tblGrid>
      <w:tr w:rsidR="00500724">
        <w:tblPrEx>
          <w:tblCellMar>
            <w:top w:w="0" w:type="dxa"/>
            <w:bottom w:w="0" w:type="dxa"/>
          </w:tblCellMar>
        </w:tblPrEx>
        <w:trPr>
          <w:trHeight w:hRule="exact" w:val="63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4000"/>
              </w:tabs>
              <w:ind w:left="220" w:firstLine="60"/>
              <w:rPr>
                <w:sz w:val="22"/>
                <w:szCs w:val="22"/>
              </w:rPr>
            </w:pPr>
            <w:r>
              <w:rPr>
                <w:b/>
                <w:bCs/>
                <w:sz w:val="22"/>
                <w:szCs w:val="22"/>
              </w:rPr>
              <w:t>ROCNlK XVI.</w:t>
            </w:r>
            <w:r>
              <w:rPr>
                <w:b/>
                <w:bCs/>
                <w:sz w:val="22"/>
                <w:szCs w:val="22"/>
              </w:rPr>
              <w:tab/>
              <w:t>V PRAZE 3. KVÍTNA 1939</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b/>
                <w:bCs/>
                <w:sz w:val="22"/>
                <w:szCs w:val="22"/>
              </w:rPr>
              <w:t xml:space="preserve">ZA K </w:t>
            </w:r>
            <w:r>
              <w:rPr>
                <w:sz w:val="26"/>
                <w:szCs w:val="26"/>
              </w:rPr>
              <w:t>2.—</w:t>
            </w:r>
          </w:p>
        </w:tc>
      </w:tr>
      <w:tr w:rsidR="00500724">
        <w:tblPrEx>
          <w:tblCellMar>
            <w:top w:w="0" w:type="dxa"/>
            <w:bottom w:w="0" w:type="dxa"/>
          </w:tblCellMar>
        </w:tblPrEx>
        <w:trPr>
          <w:trHeight w:hRule="exact" w:val="1829"/>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20" w:firstLine="60"/>
              <w:jc w:val="left"/>
              <w:rPr>
                <w:sz w:val="56"/>
                <w:szCs w:val="56"/>
              </w:rPr>
            </w:pPr>
            <w:r>
              <w:rPr>
                <w:sz w:val="58"/>
                <w:szCs w:val="58"/>
              </w:rPr>
              <w:t xml:space="preserve">O </w:t>
            </w:r>
            <w:r>
              <w:rPr>
                <w:sz w:val="56"/>
                <w:szCs w:val="56"/>
              </w:rPr>
              <w:t>české státotvornosti</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sz w:val="26"/>
                <w:szCs w:val="26"/>
              </w:rPr>
              <w:t>JAN FLORA</w:t>
            </w:r>
          </w:p>
        </w:tc>
      </w:tr>
      <w:tr w:rsidR="00500724">
        <w:tblPrEx>
          <w:tblCellMar>
            <w:top w:w="0" w:type="dxa"/>
            <w:bottom w:w="0" w:type="dxa"/>
          </w:tblCellMar>
        </w:tblPrEx>
        <w:trPr>
          <w:trHeight w:hRule="exact" w:val="283"/>
          <w:jc w:val="center"/>
        </w:trPr>
        <w:tc>
          <w:tcPr>
            <w:tcW w:w="0" w:type="auto"/>
            <w:tcBorders>
              <w:left w:val="single" w:sz="4" w:space="0" w:color="auto"/>
            </w:tcBorders>
            <w:shd w:val="clear" w:color="auto" w:fill="FFFFFF"/>
          </w:tcPr>
          <w:p w:rsidR="00500724" w:rsidRDefault="00F30FB8">
            <w:pPr>
              <w:pStyle w:val="Jin0"/>
              <w:shd w:val="clear" w:color="auto" w:fill="auto"/>
              <w:tabs>
                <w:tab w:val="left" w:pos="4544"/>
              </w:tabs>
              <w:ind w:left="440" w:firstLine="0"/>
              <w:rPr>
                <w:sz w:val="34"/>
                <w:szCs w:val="34"/>
              </w:rPr>
            </w:pPr>
            <w:r>
              <w:rPr>
                <w:b/>
                <w:bCs/>
                <w:sz w:val="34"/>
                <w:szCs w:val="34"/>
              </w:rPr>
              <w:t xml:space="preserve">1 - </w:t>
            </w:r>
            <w:r>
              <w:rPr>
                <w:smallCaps/>
                <w:sz w:val="32"/>
                <w:szCs w:val="32"/>
              </w:rPr>
              <w:t>iwwmwh</w:t>
            </w:r>
            <w:r>
              <w:rPr>
                <w:sz w:val="26"/>
                <w:szCs w:val="26"/>
              </w:rPr>
              <w:t xml:space="preserve"> imM&gt;n»« </w:t>
            </w:r>
            <w:r>
              <w:rPr>
                <w:b/>
                <w:bCs/>
                <w:sz w:val="34"/>
                <w:szCs w:val="34"/>
              </w:rPr>
              <w:t>i » .&lt; &lt;&gt;iu ii</w:t>
            </w:r>
            <w:r>
              <w:rPr>
                <w:b/>
                <w:bCs/>
                <w:sz w:val="34"/>
                <w:szCs w:val="34"/>
              </w:rPr>
              <w:tab/>
              <w:t>V-.TWPW</w:t>
            </w:r>
            <w:r>
              <w:rPr>
                <w:b/>
                <w:bCs/>
                <w:sz w:val="34"/>
                <w:szCs w:val="34"/>
                <w:vertAlign w:val="superscript"/>
              </w:rPr>
              <w:t>11</w:t>
            </w:r>
          </w:p>
        </w:tc>
        <w:tc>
          <w:tcPr>
            <w:tcW w:w="0" w:type="auto"/>
            <w:tcBorders>
              <w:right w:val="single" w:sz="4" w:space="0" w:color="auto"/>
            </w:tcBorders>
            <w:shd w:val="clear" w:color="auto" w:fill="FFFFFF"/>
          </w:tcPr>
          <w:p w:rsidR="00500724" w:rsidRDefault="00500724">
            <w:pPr>
              <w:rPr>
                <w:sz w:val="10"/>
                <w:szCs w:val="10"/>
              </w:rPr>
            </w:pPr>
          </w:p>
        </w:tc>
      </w:tr>
      <w:tr w:rsidR="00500724">
        <w:tblPrEx>
          <w:tblCellMar>
            <w:top w:w="0" w:type="dxa"/>
            <w:bottom w:w="0" w:type="dxa"/>
          </w:tblCellMar>
        </w:tblPrEx>
        <w:trPr>
          <w:trHeight w:hRule="exact" w:val="1162"/>
          <w:jc w:val="center"/>
        </w:trPr>
        <w:tc>
          <w:tcPr>
            <w:tcW w:w="0" w:type="auto"/>
            <w:gridSpan w:val="2"/>
            <w:tcBorders>
              <w:top w:val="single" w:sz="4" w:space="0" w:color="auto"/>
              <w:left w:val="single" w:sz="4" w:space="0" w:color="auto"/>
              <w:right w:val="single" w:sz="4" w:space="0" w:color="auto"/>
            </w:tcBorders>
            <w:shd w:val="clear" w:color="auto" w:fill="FFFFFF"/>
          </w:tcPr>
          <w:p w:rsidR="00500724" w:rsidRDefault="00F30FB8">
            <w:pPr>
              <w:pStyle w:val="Jin0"/>
              <w:shd w:val="clear" w:color="auto" w:fill="auto"/>
              <w:tabs>
                <w:tab w:val="left" w:pos="8268"/>
              </w:tabs>
              <w:spacing w:before="200"/>
              <w:ind w:left="280" w:firstLine="20"/>
              <w:rPr>
                <w:sz w:val="32"/>
                <w:szCs w:val="32"/>
              </w:rPr>
            </w:pPr>
            <w:r>
              <w:rPr>
                <w:sz w:val="56"/>
                <w:szCs w:val="56"/>
              </w:rPr>
              <w:t>Co očekává Cech od Cedia</w:t>
            </w:r>
            <w:r>
              <w:rPr>
                <w:sz w:val="56"/>
                <w:szCs w:val="56"/>
              </w:rPr>
              <w:tab/>
            </w:r>
            <w:r>
              <w:rPr>
                <w:smallCaps/>
                <w:sz w:val="32"/>
                <w:szCs w:val="32"/>
              </w:rPr>
              <w:t>milená jesenska</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6"/>
                <w:szCs w:val="56"/>
              </w:rPr>
            </w:pPr>
            <w:r>
              <w:rPr>
                <w:sz w:val="56"/>
                <w:szCs w:val="56"/>
              </w:rPr>
              <w:t>Průmysl a český životní standard</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JAN SKÁLA</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6"/>
                <w:szCs w:val="56"/>
              </w:rPr>
            </w:pPr>
            <w:r>
              <w:rPr>
                <w:sz w:val="56"/>
                <w:szCs w:val="56"/>
              </w:rPr>
              <w:t xml:space="preserve">Sloužit a </w:t>
            </w:r>
            <w:r>
              <w:rPr>
                <w:sz w:val="56"/>
                <w:szCs w:val="56"/>
              </w:rPr>
              <w:t>neposluhovat</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E. F. BURIAN</w:t>
            </w:r>
          </w:p>
        </w:tc>
      </w:tr>
      <w:tr w:rsidR="00500724">
        <w:tblPrEx>
          <w:tblCellMar>
            <w:top w:w="0" w:type="dxa"/>
            <w:bottom w:w="0" w:type="dxa"/>
          </w:tblCellMar>
        </w:tblPrEx>
        <w:trPr>
          <w:trHeight w:hRule="exact" w:val="121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6"/>
                <w:szCs w:val="56"/>
              </w:rPr>
            </w:pPr>
            <w:r>
              <w:rPr>
                <w:sz w:val="56"/>
                <w:szCs w:val="56"/>
              </w:rPr>
              <w:t>Kdo stavěl hlavní města?</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JAN ALBERT</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6"/>
                <w:szCs w:val="56"/>
              </w:rPr>
            </w:pPr>
            <w:r>
              <w:rPr>
                <w:sz w:val="56"/>
                <w:szCs w:val="56"/>
              </w:rPr>
              <w:t>Hygienická výstava L. P. 1939</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sz w:val="26"/>
                <w:szCs w:val="26"/>
              </w:rPr>
              <w:t>S. HALA</w:t>
            </w:r>
          </w:p>
        </w:tc>
      </w:tr>
      <w:tr w:rsidR="00500724">
        <w:tblPrEx>
          <w:tblCellMar>
            <w:top w:w="0" w:type="dxa"/>
            <w:bottom w:w="0" w:type="dxa"/>
          </w:tblCellMar>
        </w:tblPrEx>
        <w:trPr>
          <w:trHeight w:hRule="exact" w:val="1454"/>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280" w:right="200" w:firstLine="20"/>
              <w:rPr>
                <w:sz w:val="34"/>
                <w:szCs w:val="34"/>
              </w:rPr>
            </w:pPr>
            <w:r>
              <w:rPr>
                <w:b/>
                <w:bCs/>
                <w:sz w:val="34"/>
                <w:szCs w:val="34"/>
              </w:rPr>
              <w:t>Beranova vláda odstoupila — Sebeurčení a státní nezávislost ná</w:t>
            </w:r>
            <w:r>
              <w:rPr>
                <w:b/>
                <w:bCs/>
                <w:sz w:val="34"/>
                <w:szCs w:val="34"/>
              </w:rPr>
              <w:softHyphen/>
              <w:t xml:space="preserve">rodů — Kulturní rubriky v novinách — Jsme jazykově nadaní? — Německý film — O </w:t>
            </w:r>
            <w:r>
              <w:rPr>
                <w:b/>
                <w:bCs/>
                <w:sz w:val="34"/>
                <w:szCs w:val="34"/>
              </w:rPr>
              <w:t>svatováclavské tradici — Lidová architektura</w:t>
            </w:r>
          </w:p>
        </w:tc>
      </w:tr>
      <w:tr w:rsidR="00500724">
        <w:tblPrEx>
          <w:tblCellMar>
            <w:top w:w="0" w:type="dxa"/>
            <w:bottom w:w="0" w:type="dxa"/>
          </w:tblCellMar>
        </w:tblPrEx>
        <w:trPr>
          <w:trHeight w:hRule="exact" w:val="893"/>
          <w:jc w:val="center"/>
        </w:trPr>
        <w:tc>
          <w:tcPr>
            <w:tcW w:w="0" w:type="auto"/>
            <w:tcBorders>
              <w:left w:val="single" w:sz="4" w:space="0" w:color="auto"/>
              <w:bottom w:val="single" w:sz="4" w:space="0" w:color="auto"/>
            </w:tcBorders>
            <w:shd w:val="clear" w:color="auto" w:fill="FFFFFF"/>
          </w:tcPr>
          <w:p w:rsidR="00500724" w:rsidRDefault="00F30FB8">
            <w:pPr>
              <w:pStyle w:val="Jin0"/>
              <w:shd w:val="clear" w:color="auto" w:fill="auto"/>
              <w:ind w:left="4320" w:firstLine="0"/>
              <w:jc w:val="left"/>
              <w:rPr>
                <w:sz w:val="34"/>
                <w:szCs w:val="34"/>
              </w:rPr>
            </w:pPr>
            <w:r>
              <w:rPr>
                <w:b/>
                <w:bCs/>
                <w:sz w:val="34"/>
                <w:szCs w:val="34"/>
              </w:rPr>
              <w:t>a zedničtí mistři</w:t>
            </w:r>
          </w:p>
        </w:tc>
        <w:tc>
          <w:tcPr>
            <w:tcW w:w="0" w:type="auto"/>
            <w:tcBorders>
              <w:bottom w:val="single" w:sz="4" w:space="0" w:color="auto"/>
              <w:right w:val="single" w:sz="4" w:space="0" w:color="auto"/>
            </w:tcBorders>
            <w:shd w:val="clear" w:color="auto" w:fill="FFFFFF"/>
          </w:tcPr>
          <w:p w:rsidR="00500724" w:rsidRDefault="00500724">
            <w:pPr>
              <w:rPr>
                <w:sz w:val="10"/>
                <w:szCs w:val="10"/>
              </w:rPr>
            </w:pPr>
          </w:p>
        </w:tc>
      </w:tr>
    </w:tbl>
    <w:p w:rsidR="00500724" w:rsidRDefault="00500724">
      <w:pPr>
        <w:spacing w:line="14" w:lineRule="exact"/>
        <w:sectPr w:rsidR="00500724">
          <w:footnotePr>
            <w:numFmt w:val="chicago"/>
            <w:numRestart w:val="eachPage"/>
          </w:footnotePr>
          <w:type w:val="continuous"/>
          <w:pgSz w:w="11909" w:h="16834"/>
          <w:pgMar w:top="1047" w:right="159" w:bottom="439" w:left="629"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6900"/>
        <w:sectPr w:rsidR="00500724">
          <w:footnotePr>
            <w:numFmt w:val="chicago"/>
            <w:numRestart w:val="eachPage"/>
          </w:footnotePr>
          <w:pgSz w:w="11909" w:h="16834"/>
          <w:pgMar w:top="833" w:right="1063" w:bottom="801" w:left="266" w:header="0" w:footer="3" w:gutter="0"/>
          <w:cols w:space="720"/>
          <w:noEndnote/>
          <w:docGrid w:linePitch="360"/>
        </w:sectPr>
      </w:pPr>
      <w:bookmarkStart w:id="435" w:name="bookmark434"/>
      <w:r>
        <w:rPr>
          <w:color w:val="FFFFFF"/>
        </w:rPr>
        <w:t>ODBORNÍ LtKAftl</w:t>
      </w:r>
      <w:bookmarkEnd w:id="435"/>
    </w:p>
    <w:p w:rsidR="00500724" w:rsidRDefault="00500724">
      <w:pPr>
        <w:spacing w:line="180" w:lineRule="exact"/>
        <w:rPr>
          <w:sz w:val="14"/>
          <w:szCs w:val="14"/>
        </w:rPr>
      </w:pPr>
    </w:p>
    <w:p w:rsidR="00500724" w:rsidRDefault="00500724">
      <w:pPr>
        <w:spacing w:line="14" w:lineRule="exact"/>
        <w:sectPr w:rsidR="00500724">
          <w:footnotePr>
            <w:numFmt w:val="chicago"/>
            <w:numRestart w:val="eachPage"/>
          </w:footnotePr>
          <w:type w:val="continuous"/>
          <w:pgSz w:w="11909" w:h="16834"/>
          <w:pgMar w:top="833" w:right="0" w:bottom="801"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820" behindDoc="0" locked="0" layoutInCell="1" allowOverlap="1">
                <wp:simplePos x="0" y="0"/>
                <wp:positionH relativeFrom="page">
                  <wp:posOffset>364490</wp:posOffset>
                </wp:positionH>
                <wp:positionV relativeFrom="paragraph">
                  <wp:posOffset>27305</wp:posOffset>
                </wp:positionV>
                <wp:extent cx="2383790" cy="271145"/>
                <wp:effectExtent l="0" t="0" r="0" b="0"/>
                <wp:wrapSquare wrapText="bothSides"/>
                <wp:docPr id="443" name="Shape 443"/>
                <wp:cNvGraphicFramePr/>
                <a:graphic xmlns:a="http://schemas.openxmlformats.org/drawingml/2006/main">
                  <a:graphicData uri="http://schemas.microsoft.com/office/word/2010/wordprocessingShape">
                    <wps:wsp>
                      <wps:cNvSpPr txBox="1"/>
                      <wps:spPr>
                        <a:xfrm>
                          <a:off x="0" y="0"/>
                          <a:ext cx="2383790"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WNĚ VE LICHOVK Y</w:t>
                            </w:r>
                          </w:p>
                        </w:txbxContent>
                      </wps:txbx>
                      <wps:bodyPr lIns="0" tIns="0" rIns="0" bIns="0">
                        <a:spAutoFit/>
                      </wps:bodyPr>
                    </wps:wsp>
                  </a:graphicData>
                </a:graphic>
              </wp:anchor>
            </w:drawing>
          </mc:Choice>
          <mc:Fallback>
            <w:pict>
              <v:shape id="_x0000_s1469" type="#_x0000_t202" style="position:absolute;margin-left:28.699999999999999pt;margin-top:2.1499999999999999pt;width:187.69999999999999pt;height:21.350000000000001pt;z-index:-125828933;mso-wrap-distance-left:0;mso-wrap-distance-right:0;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WNĚ VE LICHOVK Y</w:t>
                      </w:r>
                    </w:p>
                  </w:txbxContent>
                </v:textbox>
                <w10:wrap type="square" anchorx="page"/>
              </v:shape>
            </w:pict>
          </mc:Fallback>
        </mc:AlternateContent>
      </w:r>
    </w:p>
    <w:p w:rsidR="00500724" w:rsidRDefault="00F30FB8">
      <w:pPr>
        <w:pStyle w:val="Jin0"/>
        <w:shd w:val="clear" w:color="auto" w:fill="auto"/>
        <w:ind w:firstLine="0"/>
        <w:jc w:val="left"/>
        <w:rPr>
          <w:sz w:val="24"/>
          <w:szCs w:val="24"/>
        </w:rPr>
      </w:pPr>
      <w:r>
        <w:rPr>
          <w:rFonts w:ascii="Arial" w:eastAsia="Arial" w:hAnsi="Arial" w:cs="Arial"/>
          <w:b/>
          <w:bCs/>
          <w:w w:val="70"/>
          <w:sz w:val="24"/>
          <w:szCs w:val="24"/>
        </w:rPr>
        <w:t>u Jaroměře</w:t>
      </w:r>
    </w:p>
    <w:p w:rsidR="00500724" w:rsidRDefault="00F30FB8">
      <w:pPr>
        <w:pStyle w:val="Jin0"/>
        <w:shd w:val="clear" w:color="auto" w:fill="auto"/>
        <w:spacing w:after="80" w:line="214" w:lineRule="auto"/>
        <w:ind w:firstLine="0"/>
        <w:jc w:val="left"/>
        <w:rPr>
          <w:sz w:val="15"/>
          <w:szCs w:val="15"/>
        </w:rPr>
      </w:pPr>
      <w:r>
        <w:rPr>
          <w:rFonts w:ascii="Arial" w:eastAsia="Arial" w:hAnsi="Arial" w:cs="Arial"/>
          <w:sz w:val="15"/>
          <w:szCs w:val="15"/>
        </w:rPr>
        <w:t>Sezóna od 1. března</w:t>
      </w:r>
    </w:p>
    <w:p w:rsidR="00500724" w:rsidRDefault="00F30FB8">
      <w:pPr>
        <w:pStyle w:val="Zkladntext50"/>
        <w:shd w:val="clear" w:color="auto" w:fill="auto"/>
        <w:spacing w:after="0" w:line="240" w:lineRule="auto"/>
        <w:ind w:left="300"/>
        <w:jc w:val="left"/>
        <w:rPr>
          <w:sz w:val="18"/>
          <w:szCs w:val="18"/>
        </w:rPr>
      </w:pPr>
      <w:r>
        <w:rPr>
          <w:b/>
          <w:bCs/>
          <w:sz w:val="18"/>
          <w:szCs w:val="18"/>
        </w:rPr>
        <w:t xml:space="preserve">Revma, dna, ischias, nervosy, ženské </w:t>
      </w:r>
      <w:r>
        <w:rPr>
          <w:b/>
          <w:bCs/>
          <w:sz w:val="18"/>
          <w:szCs w:val="18"/>
        </w:rPr>
        <w:t>choroby</w:t>
      </w:r>
    </w:p>
    <w:p w:rsidR="00500724" w:rsidRDefault="00F30FB8">
      <w:pPr>
        <w:pStyle w:val="Jin0"/>
        <w:pBdr>
          <w:bottom w:val="single" w:sz="4" w:space="0" w:color="auto"/>
        </w:pBdr>
        <w:shd w:val="clear" w:color="auto" w:fill="auto"/>
        <w:spacing w:line="199" w:lineRule="auto"/>
        <w:ind w:left="300" w:firstLine="0"/>
        <w:jc w:val="left"/>
        <w:rPr>
          <w:sz w:val="26"/>
          <w:szCs w:val="26"/>
        </w:rPr>
      </w:pPr>
      <w:r>
        <w:rPr>
          <w:rFonts w:ascii="Arial" w:eastAsia="Arial" w:hAnsi="Arial" w:cs="Arial"/>
          <w:b/>
          <w:bCs/>
          <w:sz w:val="26"/>
          <w:szCs w:val="26"/>
        </w:rPr>
        <w:t>Levné jarní paušály od K 960*-za 3 týdny</w:t>
      </w:r>
    </w:p>
    <w:p w:rsidR="00500724" w:rsidRDefault="00F30FB8">
      <w:pPr>
        <w:spacing w:line="1" w:lineRule="exact"/>
        <w:rPr>
          <w:sz w:val="2"/>
          <w:szCs w:val="2"/>
        </w:rPr>
      </w:pPr>
      <w:r>
        <w:br w:type="column"/>
      </w:r>
    </w:p>
    <w:p w:rsidR="00500724" w:rsidRDefault="00F30FB8">
      <w:pPr>
        <w:pStyle w:val="Zkladntext100"/>
        <w:shd w:val="clear" w:color="auto" w:fill="auto"/>
        <w:spacing w:line="170" w:lineRule="auto"/>
        <w:ind w:firstLine="0"/>
        <w:jc w:val="right"/>
      </w:pPr>
      <w:r>
        <w:rPr>
          <w:rFonts w:ascii="Arial" w:eastAsia="Arial" w:hAnsi="Arial" w:cs="Arial"/>
          <w:b/>
          <w:bCs/>
          <w:sz w:val="22"/>
          <w:szCs w:val="22"/>
        </w:rPr>
        <w:t xml:space="preserve">MUDr. Frank, </w:t>
      </w:r>
      <w:r>
        <w:rPr>
          <w:b/>
          <w:bCs/>
        </w:rPr>
        <w:t>střevní nemoci a roentgenologií. PRAHA n., NEKAZANKA 4, II. patro. Ord. 9—10. 3—4.</w:t>
      </w:r>
    </w:p>
    <w:p w:rsidR="00500724" w:rsidRDefault="00F30FB8">
      <w:pPr>
        <w:pStyle w:val="Zkladntext100"/>
        <w:pBdr>
          <w:bottom w:val="single" w:sz="4" w:space="0" w:color="auto"/>
        </w:pBdr>
        <w:shd w:val="clear" w:color="auto" w:fill="auto"/>
        <w:spacing w:after="300" w:line="180" w:lineRule="auto"/>
        <w:ind w:left="2580" w:firstLine="0"/>
        <w:jc w:val="left"/>
        <w:rPr>
          <w:sz w:val="19"/>
          <w:szCs w:val="19"/>
        </w:rPr>
      </w:pPr>
      <w:r>
        <w:rPr>
          <w:b/>
          <w:bCs/>
          <w:sz w:val="19"/>
          <w:szCs w:val="19"/>
        </w:rPr>
        <w:t>Telefon 234-13.</w:t>
      </w:r>
    </w:p>
    <w:p w:rsidR="00500724" w:rsidRDefault="00F30FB8">
      <w:pPr>
        <w:pStyle w:val="Zkladntext100"/>
        <w:shd w:val="clear" w:color="auto" w:fill="auto"/>
        <w:spacing w:line="151" w:lineRule="auto"/>
        <w:ind w:firstLine="0"/>
        <w:jc w:val="right"/>
      </w:pPr>
      <w:r>
        <w:rPr>
          <w:rFonts w:ascii="Arial" w:eastAsia="Arial" w:hAnsi="Arial" w:cs="Arial"/>
          <w:b/>
          <w:bCs/>
          <w:sz w:val="22"/>
          <w:szCs w:val="22"/>
        </w:rPr>
        <w:t xml:space="preserve">MUDr. Ervín </w:t>
      </w:r>
      <w:r>
        <w:rPr>
          <w:rFonts w:ascii="Arial" w:eastAsia="Arial" w:hAnsi="Arial" w:cs="Arial"/>
          <w:b/>
          <w:bCs/>
          <w:sz w:val="22"/>
          <w:szCs w:val="22"/>
          <w:lang w:val="en-US" w:eastAsia="en-US" w:bidi="en-US"/>
        </w:rPr>
        <w:t xml:space="preserve">Frohlich, </w:t>
      </w:r>
      <w:r>
        <w:t xml:space="preserve">odborný lékař pro choroby vnitrní, žaludeční, střevní a výměny látek, em. esistent 1. med. kliniky </w:t>
      </w:r>
      <w:r>
        <w:rPr>
          <w:lang w:val="en-US" w:eastAsia="en-US" w:bidi="en-US"/>
        </w:rPr>
        <w:t xml:space="preserve">prof. </w:t>
      </w:r>
      <w:r>
        <w:t>Schmidta,</w:t>
      </w:r>
    </w:p>
    <w:p w:rsidR="00500724" w:rsidRDefault="00F30FB8">
      <w:pPr>
        <w:pStyle w:val="Zkladntext100"/>
        <w:shd w:val="clear" w:color="auto" w:fill="auto"/>
        <w:spacing w:line="161" w:lineRule="auto"/>
        <w:ind w:firstLine="0"/>
        <w:jc w:val="right"/>
        <w:sectPr w:rsidR="00500724">
          <w:footnotePr>
            <w:numFmt w:val="chicago"/>
            <w:numRestart w:val="eachPage"/>
          </w:footnotePr>
          <w:type w:val="continuous"/>
          <w:pgSz w:w="11909" w:h="16834"/>
          <w:pgMar w:top="833" w:right="1211" w:bottom="801" w:left="506" w:header="0" w:footer="3" w:gutter="0"/>
          <w:cols w:num="2" w:space="100"/>
          <w:noEndnote/>
          <w:docGrid w:linePitch="360"/>
        </w:sectPr>
      </w:pPr>
      <w:r>
        <w:rPr>
          <w:u w:val="single"/>
        </w:rPr>
        <w:t>PRAHA L, Na Příkopech 35. Ord. 9-10. % 3-7.5. Telef. 228-91.</w:t>
      </w:r>
    </w:p>
    <w:p w:rsidR="00500724" w:rsidRDefault="00500724">
      <w:pPr>
        <w:spacing w:line="120"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833" w:right="0" w:bottom="801" w:left="0" w:header="0" w:footer="3" w:gutter="0"/>
          <w:cols w:space="720"/>
          <w:noEndnote/>
          <w:docGrid w:linePitch="360"/>
        </w:sectPr>
      </w:pPr>
    </w:p>
    <w:p w:rsidR="00500724" w:rsidRDefault="00F30FB8">
      <w:pPr>
        <w:pStyle w:val="Jin0"/>
        <w:shd w:val="clear" w:color="auto" w:fill="auto"/>
        <w:spacing w:after="80"/>
        <w:ind w:firstLine="0"/>
        <w:jc w:val="left"/>
        <w:rPr>
          <w:sz w:val="26"/>
          <w:szCs w:val="26"/>
        </w:rPr>
      </w:pPr>
      <w:r>
        <w:rPr>
          <w:rFonts w:ascii="Arial" w:eastAsia="Arial" w:hAnsi="Arial" w:cs="Arial"/>
          <w:b/>
          <w:bCs/>
          <w:sz w:val="26"/>
          <w:szCs w:val="26"/>
        </w:rPr>
        <w:t>SOUČASNĚ</w:t>
      </w:r>
    </w:p>
    <w:p w:rsidR="00500724" w:rsidRDefault="00F30FB8">
      <w:pPr>
        <w:pStyle w:val="Zkladntext40"/>
        <w:shd w:val="clear" w:color="auto" w:fill="auto"/>
        <w:spacing w:after="0" w:line="240" w:lineRule="auto"/>
        <w:ind w:left="780"/>
        <w:jc w:val="left"/>
        <w:rPr>
          <w:sz w:val="14"/>
          <w:szCs w:val="14"/>
        </w:rPr>
      </w:pPr>
      <w:r>
        <w:rPr>
          <w:sz w:val="14"/>
          <w:szCs w:val="14"/>
        </w:rPr>
        <w:t>s péčí o pr</w:t>
      </w:r>
      <w:r>
        <w:rPr>
          <w:sz w:val="14"/>
          <w:szCs w:val="14"/>
        </w:rPr>
        <w:t>ázdniny zabezpečte se</w:t>
      </w:r>
    </w:p>
    <w:p w:rsidR="00500724" w:rsidRDefault="00F30FB8">
      <w:pPr>
        <w:pStyle w:val="Nadpis110"/>
        <w:shd w:val="clear" w:color="auto" w:fill="auto"/>
        <w:spacing w:after="60"/>
        <w:ind w:left="780"/>
      </w:pPr>
      <w:bookmarkStart w:id="436" w:name="bookmark435"/>
      <w:r>
        <w:t>pojistkou úrazovou</w:t>
      </w:r>
      <w:bookmarkEnd w:id="436"/>
    </w:p>
    <w:p w:rsidR="00500724" w:rsidRDefault="00F30FB8">
      <w:pPr>
        <w:pStyle w:val="Nadpis110"/>
        <w:shd w:val="clear" w:color="auto" w:fill="auto"/>
        <w:spacing w:after="120"/>
      </w:pPr>
      <w:bookmarkStart w:id="437" w:name="bookmark436"/>
      <w:r>
        <w:rPr>
          <w:sz w:val="14"/>
          <w:szCs w:val="14"/>
        </w:rPr>
        <w:t xml:space="preserve">a arůj </w:t>
      </w:r>
      <w:r>
        <w:t>byť pojistkou proti krádeži vloupáním</w:t>
      </w:r>
      <w:bookmarkEnd w:id="437"/>
    </w:p>
    <w:p w:rsidR="00500724" w:rsidRDefault="00F30FB8">
      <w:pPr>
        <w:pStyle w:val="Zkladntext40"/>
        <w:shd w:val="clear" w:color="auto" w:fill="auto"/>
        <w:spacing w:after="0" w:line="240" w:lineRule="auto"/>
        <w:ind w:left="780"/>
        <w:jc w:val="left"/>
        <w:rPr>
          <w:sz w:val="14"/>
          <w:szCs w:val="14"/>
        </w:rPr>
      </w:pPr>
      <w:r>
        <w:rPr>
          <w:sz w:val="14"/>
          <w:szCs w:val="14"/>
        </w:rPr>
        <w:t>Dopisnicí vyzvete nás k podání</w:t>
      </w:r>
    </w:p>
    <w:p w:rsidR="00500724" w:rsidRDefault="00F30FB8">
      <w:pPr>
        <w:pStyle w:val="Nadpis110"/>
        <w:shd w:val="clear" w:color="auto" w:fill="auto"/>
        <w:spacing w:after="200"/>
        <w:ind w:left="780"/>
      </w:pPr>
      <w:bookmarkStart w:id="438" w:name="bookmark437"/>
      <w:r>
        <w:t>INFORMACE</w:t>
      </w:r>
      <w:bookmarkEnd w:id="438"/>
    </w:p>
    <w:p w:rsidR="00500724" w:rsidRDefault="00F30FB8">
      <w:pPr>
        <w:pStyle w:val="Jin0"/>
        <w:shd w:val="clear" w:color="auto" w:fill="auto"/>
        <w:ind w:left="780" w:firstLine="0"/>
        <w:jc w:val="left"/>
        <w:rPr>
          <w:sz w:val="26"/>
          <w:szCs w:val="26"/>
        </w:rPr>
      </w:pPr>
      <w:r>
        <w:rPr>
          <w:rFonts w:ascii="Arial" w:eastAsia="Arial" w:hAnsi="Arial" w:cs="Arial"/>
          <w:b/>
          <w:bCs/>
          <w:sz w:val="26"/>
          <w:szCs w:val="26"/>
        </w:rPr>
        <w:t>ČS. AKCIOVÁ POJIŠŤOVNA</w:t>
      </w:r>
    </w:p>
    <w:p w:rsidR="00500724" w:rsidRDefault="00F30FB8">
      <w:pPr>
        <w:pStyle w:val="Zkladntext100"/>
        <w:shd w:val="clear" w:color="auto" w:fill="auto"/>
        <w:spacing w:line="240" w:lineRule="auto"/>
        <w:ind w:left="780" w:firstLine="0"/>
        <w:jc w:val="left"/>
      </w:pPr>
      <w:r>
        <w:t>Praha IL, Spálená 49 • Telefony čís. 544 41-4</w:t>
      </w:r>
    </w:p>
    <w:p w:rsidR="00500724" w:rsidRDefault="00F30FB8">
      <w:pPr>
        <w:spacing w:line="1" w:lineRule="exact"/>
        <w:rPr>
          <w:sz w:val="2"/>
          <w:szCs w:val="2"/>
        </w:rPr>
      </w:pPr>
      <w:r>
        <w:br w:type="column"/>
      </w:r>
    </w:p>
    <w:p w:rsidR="00500724" w:rsidRDefault="00F30FB8">
      <w:pPr>
        <w:pStyle w:val="Nadpis110"/>
        <w:shd w:val="clear" w:color="auto" w:fill="auto"/>
        <w:spacing w:after="40"/>
        <w:jc w:val="both"/>
      </w:pPr>
      <w:bookmarkStart w:id="439" w:name="bookmark438"/>
      <w:r>
        <w:t>MUDr. ZDENKA NEDVĚDOVÁ-NEJEDLÁ</w:t>
      </w:r>
      <w:bookmarkEnd w:id="439"/>
    </w:p>
    <w:p w:rsidR="00500724" w:rsidRDefault="00F30FB8">
      <w:pPr>
        <w:pStyle w:val="Zkladntext100"/>
        <w:shd w:val="clear" w:color="auto" w:fill="auto"/>
        <w:spacing w:after="220" w:line="228" w:lineRule="auto"/>
        <w:ind w:firstLine="0"/>
      </w:pPr>
      <w:r>
        <w:t xml:space="preserve">odb. dětská lékařka, PODOLÍ, PANKRÁCKÁ 14 (stanice elektr, </w:t>
      </w:r>
      <w:r>
        <w:rPr>
          <w:u w:val="single"/>
        </w:rPr>
        <w:t>dráhy za Podol, sanatoriem). Ord. 9—10 a 2—4. TeL 441-77.</w:t>
      </w:r>
    </w:p>
    <w:p w:rsidR="00500724" w:rsidRDefault="00F30FB8">
      <w:pPr>
        <w:pStyle w:val="Nadpis110"/>
        <w:shd w:val="clear" w:color="auto" w:fill="auto"/>
        <w:spacing w:after="40"/>
        <w:jc w:val="both"/>
      </w:pPr>
      <w:bookmarkStart w:id="440" w:name="bookmark439"/>
      <w:r>
        <w:t>MUDr. ANTONÍN NEUMANN</w:t>
      </w:r>
      <w:bookmarkEnd w:id="440"/>
    </w:p>
    <w:p w:rsidR="00500724" w:rsidRDefault="00F30FB8">
      <w:pPr>
        <w:pStyle w:val="Zkladntext40"/>
        <w:shd w:val="clear" w:color="auto" w:fill="auto"/>
        <w:spacing w:after="220" w:line="206" w:lineRule="auto"/>
        <w:ind w:firstLine="700"/>
      </w:pPr>
      <w:r>
        <w:t xml:space="preserve">odborný lékař nemoci pohlavních, kožních a kosmetiky Praha H., Na Zbořenci 24 — třetí dům od Karlova náměstí. </w:t>
      </w:r>
      <w:r>
        <w:rPr>
          <w:u w:val="single"/>
        </w:rPr>
        <w:t>Ordinuje celý den. V neděli a ve svátek dopoledne. Tel. 41.728.</w:t>
      </w:r>
    </w:p>
    <w:p w:rsidR="00500724" w:rsidRDefault="00F30FB8">
      <w:pPr>
        <w:pStyle w:val="Zkladntext100"/>
        <w:shd w:val="clear" w:color="auto" w:fill="auto"/>
        <w:spacing w:line="206" w:lineRule="auto"/>
        <w:ind w:firstLine="0"/>
        <w:rPr>
          <w:sz w:val="19"/>
          <w:szCs w:val="19"/>
        </w:rPr>
        <w:sectPr w:rsidR="00500724">
          <w:footnotePr>
            <w:numFmt w:val="chicago"/>
            <w:numRestart w:val="eachPage"/>
          </w:footnotePr>
          <w:type w:val="continuous"/>
          <w:pgSz w:w="11909" w:h="16834"/>
          <w:pgMar w:top="833" w:right="1121" w:bottom="801" w:left="583" w:header="0" w:footer="3" w:gutter="0"/>
          <w:cols w:num="2" w:space="720" w:equalWidth="0">
            <w:col w:w="4618" w:space="480"/>
            <w:col w:w="5107"/>
          </w:cols>
          <w:noEndnote/>
          <w:docGrid w:linePitch="360"/>
        </w:sectPr>
      </w:pPr>
      <w:r>
        <w:rPr>
          <w:rFonts w:ascii="Arial" w:eastAsia="Arial" w:hAnsi="Arial" w:cs="Arial"/>
          <w:b/>
          <w:bCs/>
          <w:sz w:val="22"/>
          <w:szCs w:val="22"/>
        </w:rPr>
        <w:t xml:space="preserve">MUDr. STANISLAV TUMPACH </w:t>
      </w:r>
      <w:r>
        <w:rPr>
          <w:b/>
          <w:bCs/>
          <w:sz w:val="19"/>
          <w:szCs w:val="19"/>
        </w:rPr>
        <w:t xml:space="preserve">odborný lékař pro chirurgii a urologii. PRAHA XH., Fochova 84 (Nám. krále </w:t>
      </w:r>
      <w:r>
        <w:rPr>
          <w:b/>
          <w:bCs/>
          <w:sz w:val="19"/>
          <w:szCs w:val="19"/>
          <w:u w:val="single"/>
        </w:rPr>
        <w:t>Jiřího). Ord. 15—17. Tel. 512-86, byt: 513-38.</w:t>
      </w:r>
    </w:p>
    <w:p w:rsidR="00500724" w:rsidRDefault="00F30FB8">
      <w:pPr>
        <w:pStyle w:val="Zkladntext100"/>
        <w:shd w:val="clear" w:color="auto" w:fill="auto"/>
        <w:spacing w:after="60" w:line="182" w:lineRule="auto"/>
        <w:ind w:left="380" w:firstLine="0"/>
        <w:rPr>
          <w:sz w:val="22"/>
          <w:szCs w:val="22"/>
        </w:rPr>
      </w:pPr>
      <w:r>
        <w:t>Pro plas</w:t>
      </w:r>
      <w:r>
        <w:t xml:space="preserve">tickou chirurgii </w:t>
      </w:r>
      <w:r>
        <w:rPr>
          <w:rFonts w:ascii="Arial" w:eastAsia="Arial" w:hAnsi="Arial" w:cs="Arial"/>
          <w:b/>
          <w:bCs/>
          <w:sz w:val="22"/>
          <w:szCs w:val="22"/>
        </w:rPr>
        <w:t>Dr. RUDOLF SLUNEČKO</w:t>
      </w:r>
    </w:p>
    <w:p w:rsidR="00500724" w:rsidRDefault="00F30FB8">
      <w:pPr>
        <w:pStyle w:val="Zkladntext100"/>
        <w:shd w:val="clear" w:color="auto" w:fill="auto"/>
        <w:spacing w:after="220" w:line="223" w:lineRule="auto"/>
        <w:ind w:left="380" w:firstLine="0"/>
      </w:pPr>
      <w:r>
        <w:t>ord. 3—4 (a podle úmluvy). Telefon 393-79. PRAHA H.. VO</w:t>
      </w:r>
      <w:r>
        <w:softHyphen/>
        <w:t>DIČKOVA 15. (Hlávkův palác.)</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right="280"/>
        <w:jc w:val="center"/>
        <w:sectPr w:rsidR="00500724">
          <w:footnotePr>
            <w:numFmt w:val="chicago"/>
            <w:numRestart w:val="eachPage"/>
          </w:footnotePr>
          <w:type w:val="continuous"/>
          <w:pgSz w:w="11909" w:h="16834"/>
          <w:pgMar w:top="833" w:right="1063" w:bottom="801" w:left="5335" w:header="0" w:footer="3" w:gutter="0"/>
          <w:cols w:space="720"/>
          <w:noEndnote/>
          <w:docGrid w:linePitch="360"/>
        </w:sectPr>
      </w:pPr>
      <w:bookmarkStart w:id="441" w:name="bookmark440"/>
      <w:r>
        <w:rPr>
          <w:color w:val="FFFFFF"/>
        </w:rPr>
        <w:t>VAJ VKUS I NÁROKY USPOKOJÍ</w:t>
      </w:r>
      <w:bookmarkEnd w:id="441"/>
    </w:p>
    <w:p w:rsidR="00500724" w:rsidRDefault="00500724">
      <w:pPr>
        <w:spacing w:line="98" w:lineRule="exact"/>
        <w:rPr>
          <w:sz w:val="8"/>
          <w:szCs w:val="8"/>
        </w:rPr>
      </w:pPr>
    </w:p>
    <w:p w:rsidR="00500724" w:rsidRDefault="00500724">
      <w:pPr>
        <w:spacing w:line="14" w:lineRule="exact"/>
        <w:sectPr w:rsidR="00500724">
          <w:footnotePr>
            <w:numFmt w:val="chicago"/>
            <w:numRestart w:val="eachPage"/>
          </w:footnotePr>
          <w:type w:val="continuous"/>
          <w:pgSz w:w="11909" w:h="16834"/>
          <w:pgMar w:top="833" w:right="0" w:bottom="801" w:left="0" w:header="0" w:footer="3" w:gutter="0"/>
          <w:cols w:space="720"/>
          <w:noEndnote/>
          <w:docGrid w:linePitch="360"/>
        </w:sectPr>
      </w:pPr>
    </w:p>
    <w:p w:rsidR="00500724" w:rsidRDefault="00F30FB8">
      <w:pPr>
        <w:pStyle w:val="Zkladntext40"/>
        <w:shd w:val="clear" w:color="auto" w:fill="auto"/>
        <w:spacing w:after="0" w:line="180" w:lineRule="auto"/>
        <w:jc w:val="right"/>
      </w:pPr>
      <w:r>
        <w:t xml:space="preserve">FROEMBGEN </w:t>
      </w:r>
      <w:r>
        <w:rPr>
          <w:lang w:val="en-US" w:eastAsia="en-US" w:bidi="en-US"/>
        </w:rPr>
        <w:t xml:space="preserve">J., Franco. </w:t>
      </w:r>
      <w:r>
        <w:t xml:space="preserve">23.5X15 cm, 248 Str. brož. </w:t>
      </w:r>
      <w:r>
        <w:t>K 32.— váz. K 46.—</w:t>
      </w:r>
    </w:p>
    <w:p w:rsidR="00500724" w:rsidRDefault="00F30FB8">
      <w:pPr>
        <w:pStyle w:val="Zkladntext40"/>
        <w:shd w:val="clear" w:color="auto" w:fill="auto"/>
        <w:tabs>
          <w:tab w:val="left" w:pos="3572"/>
        </w:tabs>
        <w:spacing w:after="0" w:line="180" w:lineRule="auto"/>
        <w:jc w:val="left"/>
      </w:pPr>
      <w:r>
        <w:t xml:space="preserve">ZISCHKA A., Itálie a svět. 22X14 cm, 285 str., váz. K 42.— Korespondence Karla Havlíčka s </w:t>
      </w:r>
      <w:r>
        <w:rPr>
          <w:lang w:val="en-US" w:eastAsia="en-US" w:bidi="en-US"/>
        </w:rPr>
        <w:t xml:space="preserve">Fanny </w:t>
      </w:r>
      <w:r>
        <w:t>Weiden</w:t>
      </w:r>
      <w:r>
        <w:softHyphen/>
        <w:t>hoffrovou. 24.5X18 cm, 94 stran,</w:t>
      </w:r>
      <w:r>
        <w:tab/>
        <w:t>váz. K 51.—</w:t>
      </w:r>
    </w:p>
    <w:p w:rsidR="00500724" w:rsidRDefault="00F30FB8">
      <w:pPr>
        <w:pStyle w:val="Zkladntext40"/>
        <w:shd w:val="clear" w:color="auto" w:fill="auto"/>
        <w:spacing w:after="0" w:line="180" w:lineRule="auto"/>
        <w:ind w:left="180" w:hanging="180"/>
        <w:jc w:val="left"/>
      </w:pPr>
      <w:r>
        <w:rPr>
          <w:lang w:val="en-US" w:eastAsia="en-US" w:bidi="en-US"/>
        </w:rPr>
        <w:t xml:space="preserve">League of Nations: Guiding Principles for Studies on the Nutrition of Populations by Dr. </w:t>
      </w:r>
      <w:r>
        <w:rPr>
          <w:lang w:val="en-US" w:eastAsia="en-US" w:bidi="en-US"/>
        </w:rPr>
        <w:t>E. J. BIGWOOD.</w:t>
      </w:r>
    </w:p>
    <w:p w:rsidR="00500724" w:rsidRDefault="00F30FB8">
      <w:pPr>
        <w:pStyle w:val="Zkladntext40"/>
        <w:shd w:val="clear" w:color="auto" w:fill="auto"/>
        <w:tabs>
          <w:tab w:val="left" w:pos="3572"/>
        </w:tabs>
        <w:spacing w:after="0" w:line="180" w:lineRule="auto"/>
        <w:ind w:left="180"/>
      </w:pPr>
      <w:r>
        <w:rPr>
          <w:lang w:val="en-US" w:eastAsia="en-US" w:bidi="en-US"/>
        </w:rPr>
        <w:t>24X16 cm, 281 str.,</w:t>
      </w:r>
      <w:r>
        <w:rPr>
          <w:lang w:val="en-US" w:eastAsia="en-US" w:bidi="en-US"/>
        </w:rPr>
        <w:tab/>
      </w:r>
      <w:r>
        <w:t xml:space="preserve">brož. </w:t>
      </w:r>
      <w:r>
        <w:rPr>
          <w:lang w:val="en-US" w:eastAsia="en-US" w:bidi="en-US"/>
        </w:rPr>
        <w:t>K 45.—</w:t>
      </w:r>
    </w:p>
    <w:p w:rsidR="00500724" w:rsidRDefault="00F30FB8">
      <w:pPr>
        <w:pStyle w:val="Zkladntext40"/>
        <w:shd w:val="clear" w:color="auto" w:fill="auto"/>
        <w:tabs>
          <w:tab w:val="left" w:pos="3572"/>
        </w:tabs>
        <w:spacing w:after="0" w:line="180" w:lineRule="auto"/>
        <w:ind w:left="180" w:hanging="180"/>
        <w:jc w:val="left"/>
      </w:pPr>
      <w:r>
        <w:t xml:space="preserve">Société </w:t>
      </w:r>
      <w:r>
        <w:rPr>
          <w:lang w:val="en-US" w:eastAsia="en-US" w:bidi="en-US"/>
        </w:rPr>
        <w:t xml:space="preserve">des Nations: Directives pour </w:t>
      </w:r>
      <w:r>
        <w:t xml:space="preserve">les Enquétes </w:t>
      </w:r>
      <w:r>
        <w:rPr>
          <w:lang w:val="en-US" w:eastAsia="en-US" w:bidi="en-US"/>
        </w:rPr>
        <w:t>sur la Nutrition de Populations par le Dr. E. J. BIG- WOOD. 24X16 cm. 293 str.,</w:t>
      </w:r>
      <w:r>
        <w:rPr>
          <w:lang w:val="en-US" w:eastAsia="en-US" w:bidi="en-US"/>
        </w:rPr>
        <w:tab/>
      </w:r>
      <w:r>
        <w:t xml:space="preserve">brož. </w:t>
      </w:r>
      <w:r>
        <w:rPr>
          <w:lang w:val="en-US" w:eastAsia="en-US" w:bidi="en-US"/>
        </w:rPr>
        <w:t>K 45.—</w:t>
      </w:r>
    </w:p>
    <w:p w:rsidR="00500724" w:rsidRDefault="00F30FB8">
      <w:pPr>
        <w:pStyle w:val="Zkladntext40"/>
        <w:shd w:val="clear" w:color="auto" w:fill="auto"/>
        <w:spacing w:after="0" w:line="180" w:lineRule="auto"/>
        <w:ind w:left="180" w:hanging="180"/>
        <w:jc w:val="left"/>
      </w:pPr>
      <w:r>
        <w:rPr>
          <w:lang w:val="en-US" w:eastAsia="en-US" w:bidi="en-US"/>
        </w:rPr>
        <w:t>FREUCHEN Peter, Aventure Arctique. Ma vie dans</w:t>
      </w:r>
    </w:p>
    <w:p w:rsidR="00500724" w:rsidRDefault="00F30FB8">
      <w:pPr>
        <w:pStyle w:val="Zkladntext40"/>
        <w:shd w:val="clear" w:color="auto" w:fill="auto"/>
        <w:tabs>
          <w:tab w:val="left" w:pos="3572"/>
        </w:tabs>
        <w:spacing w:after="0" w:line="180" w:lineRule="auto"/>
        <w:ind w:firstLine="180"/>
        <w:jc w:val="left"/>
      </w:pPr>
      <w:r>
        <w:rPr>
          <w:lang w:val="en-US" w:eastAsia="en-US" w:bidi="en-US"/>
        </w:rPr>
        <w:t xml:space="preserve">les glaces du Nord. 21X14 cm, 485 str., </w:t>
      </w:r>
      <w:r>
        <w:t xml:space="preserve">brož. </w:t>
      </w:r>
      <w:r>
        <w:rPr>
          <w:lang w:val="en-US" w:eastAsia="en-US" w:bidi="en-US"/>
        </w:rPr>
        <w:t>K 35.— LANG Johannes, Die Hohlwelttheorie, Zweite bedeu- tend vermehrte und verbesserte Auflage. 26X17.5 cm, 281 str.,</w:t>
      </w:r>
      <w:r>
        <w:rPr>
          <w:lang w:val="en-US" w:eastAsia="en-US" w:bidi="en-US"/>
        </w:rPr>
        <w:tab/>
      </w:r>
      <w:r>
        <w:t xml:space="preserve">váz. </w:t>
      </w:r>
      <w:r>
        <w:rPr>
          <w:lang w:val="en-US" w:eastAsia="en-US" w:bidi="en-US"/>
        </w:rPr>
        <w:t>K 45.—</w:t>
      </w:r>
    </w:p>
    <w:p w:rsidR="00500724" w:rsidRDefault="00F30FB8">
      <w:pPr>
        <w:pStyle w:val="Zkladntext40"/>
        <w:shd w:val="clear" w:color="auto" w:fill="auto"/>
        <w:spacing w:after="0" w:line="180" w:lineRule="auto"/>
        <w:ind w:left="180" w:hanging="180"/>
        <w:jc w:val="left"/>
        <w:rPr>
          <w:sz w:val="16"/>
          <w:szCs w:val="16"/>
        </w:rPr>
      </w:pPr>
      <w:r>
        <w:rPr>
          <w:lang w:val="en-US" w:eastAsia="en-US" w:bidi="en-US"/>
        </w:rPr>
        <w:t xml:space="preserve">von RIBBENTROP Joachim, </w:t>
      </w:r>
      <w:r>
        <w:rPr>
          <w:b/>
          <w:bCs/>
          <w:sz w:val="16"/>
          <w:szCs w:val="16"/>
          <w:lang w:val="en-US" w:eastAsia="en-US" w:bidi="en-US"/>
        </w:rPr>
        <w:t>Vierjahresplan und</w:t>
      </w:r>
    </w:p>
    <w:p w:rsidR="00500724" w:rsidRDefault="00F30FB8">
      <w:pPr>
        <w:pStyle w:val="Zkladntext40"/>
        <w:shd w:val="clear" w:color="auto" w:fill="auto"/>
        <w:tabs>
          <w:tab w:val="left" w:pos="3572"/>
        </w:tabs>
        <w:spacing w:after="80" w:line="180" w:lineRule="auto"/>
        <w:ind w:left="180"/>
      </w:pPr>
      <w:r>
        <w:rPr>
          <w:lang w:val="en-US" w:eastAsia="en-US" w:bidi="en-US"/>
        </w:rPr>
        <w:t>Welthandel. 22X15 cm, 28 str.,</w:t>
      </w:r>
      <w:r>
        <w:rPr>
          <w:lang w:val="en-US" w:eastAsia="en-US" w:bidi="en-US"/>
        </w:rPr>
        <w:tab/>
      </w:r>
      <w:r>
        <w:t>brož.</w:t>
      </w:r>
      <w:r>
        <w:t xml:space="preserve"> </w:t>
      </w:r>
      <w:r>
        <w:rPr>
          <w:lang w:val="en-US" w:eastAsia="en-US" w:bidi="en-US"/>
        </w:rPr>
        <w:t>K 8.—</w:t>
      </w:r>
    </w:p>
    <w:p w:rsidR="00500724" w:rsidRDefault="00F30FB8">
      <w:pPr>
        <w:pStyle w:val="Jin0"/>
        <w:shd w:val="clear" w:color="auto" w:fill="auto"/>
        <w:ind w:firstLine="0"/>
        <w:jc w:val="left"/>
        <w:rPr>
          <w:sz w:val="28"/>
          <w:szCs w:val="28"/>
        </w:rPr>
      </w:pPr>
      <w:r>
        <w:rPr>
          <w:rFonts w:ascii="Arial" w:eastAsia="Arial" w:hAnsi="Arial" w:cs="Arial"/>
          <w:b/>
          <w:bCs/>
          <w:w w:val="70"/>
          <w:sz w:val="28"/>
          <w:szCs w:val="28"/>
          <w:lang w:val="en-US" w:eastAsia="en-US" w:bidi="en-US"/>
        </w:rPr>
        <w:t xml:space="preserve">F. </w:t>
      </w:r>
      <w:r>
        <w:rPr>
          <w:rFonts w:ascii="Arial" w:eastAsia="Arial" w:hAnsi="Arial" w:cs="Arial"/>
          <w:b/>
          <w:bCs/>
          <w:w w:val="70"/>
          <w:sz w:val="28"/>
          <w:szCs w:val="28"/>
        </w:rPr>
        <w:t xml:space="preserve">Topič, knihkupecíví, </w:t>
      </w:r>
      <w:r>
        <w:rPr>
          <w:rFonts w:ascii="Arial" w:eastAsia="Arial" w:hAnsi="Arial" w:cs="Arial"/>
          <w:b/>
          <w:bCs/>
          <w:w w:val="70"/>
          <w:sz w:val="28"/>
          <w:szCs w:val="28"/>
          <w:lang w:val="en-US" w:eastAsia="en-US" w:bidi="en-US"/>
        </w:rPr>
        <w:t xml:space="preserve">Praha 9., </w:t>
      </w:r>
      <w:r>
        <w:rPr>
          <w:rFonts w:ascii="Arial" w:eastAsia="Arial" w:hAnsi="Arial" w:cs="Arial"/>
          <w:b/>
          <w:bCs/>
          <w:w w:val="70"/>
          <w:sz w:val="28"/>
          <w:szCs w:val="28"/>
        </w:rPr>
        <w:t xml:space="preserve">Hárodoí fř. </w:t>
      </w:r>
      <w:r>
        <w:rPr>
          <w:rFonts w:ascii="Arial" w:eastAsia="Arial" w:hAnsi="Arial" w:cs="Arial"/>
          <w:b/>
          <w:bCs/>
          <w:w w:val="70"/>
          <w:sz w:val="28"/>
          <w:szCs w:val="28"/>
          <w:lang w:val="en-US" w:eastAsia="en-US" w:bidi="en-US"/>
        </w:rPr>
        <w:t>11</w:t>
      </w:r>
    </w:p>
    <w:p w:rsidR="00500724" w:rsidRDefault="00F30FB8">
      <w:pPr>
        <w:spacing w:line="1" w:lineRule="exact"/>
        <w:rPr>
          <w:sz w:val="2"/>
          <w:szCs w:val="2"/>
        </w:rPr>
      </w:pPr>
      <w:r>
        <w:br w:type="column"/>
      </w:r>
    </w:p>
    <w:p w:rsidR="00500724" w:rsidRDefault="00F30FB8">
      <w:pPr>
        <w:pStyle w:val="Jin0"/>
        <w:shd w:val="clear" w:color="auto" w:fill="auto"/>
        <w:spacing w:after="120" w:line="302" w:lineRule="auto"/>
        <w:ind w:firstLine="0"/>
        <w:jc w:val="center"/>
        <w:rPr>
          <w:sz w:val="26"/>
          <w:szCs w:val="26"/>
        </w:rPr>
      </w:pPr>
      <w:r>
        <w:rPr>
          <w:rFonts w:ascii="Arial" w:eastAsia="Arial" w:hAnsi="Arial" w:cs="Arial"/>
          <w:b/>
          <w:bCs/>
          <w:sz w:val="26"/>
          <w:szCs w:val="26"/>
        </w:rPr>
        <w:t>Chladičky, vyssavače prachu,</w:t>
      </w:r>
      <w:r>
        <w:rPr>
          <w:rFonts w:ascii="Arial" w:eastAsia="Arial" w:hAnsi="Arial" w:cs="Arial"/>
          <w:b/>
          <w:bCs/>
          <w:sz w:val="26"/>
          <w:szCs w:val="26"/>
        </w:rPr>
        <w:br/>
        <w:t>leštíce parket</w:t>
      </w:r>
      <w:r>
        <w:rPr>
          <w:rFonts w:ascii="Arial" w:eastAsia="Arial" w:hAnsi="Arial" w:cs="Arial"/>
          <w:b/>
          <w:bCs/>
          <w:sz w:val="26"/>
          <w:szCs w:val="26"/>
        </w:rPr>
        <w:br/>
        <w:t>orig. ELEKTRO-LUX.</w:t>
      </w:r>
    </w:p>
    <w:p w:rsidR="00500724" w:rsidRDefault="00F30FB8">
      <w:pPr>
        <w:pStyle w:val="Zkladntext30"/>
        <w:shd w:val="clear" w:color="auto" w:fill="auto"/>
        <w:spacing w:after="0" w:line="266" w:lineRule="auto"/>
        <w:ind w:firstLine="0"/>
        <w:jc w:val="center"/>
        <w:rPr>
          <w:sz w:val="20"/>
          <w:szCs w:val="20"/>
        </w:rPr>
      </w:pPr>
      <w:r>
        <w:rPr>
          <w:b/>
          <w:bCs/>
          <w:sz w:val="20"/>
          <w:szCs w:val="20"/>
        </w:rPr>
        <w:t xml:space="preserve">ELEKTRO-LUX, akc. </w:t>
      </w:r>
      <w:r>
        <w:rPr>
          <w:b/>
          <w:bCs/>
          <w:sz w:val="20"/>
          <w:szCs w:val="20"/>
          <w:lang w:val="en-US" w:eastAsia="en-US" w:bidi="en-US"/>
        </w:rPr>
        <w:t>spot,</w:t>
      </w:r>
      <w:r>
        <w:rPr>
          <w:b/>
          <w:bCs/>
          <w:sz w:val="20"/>
          <w:szCs w:val="20"/>
          <w:lang w:val="en-US" w:eastAsia="en-US" w:bidi="en-US"/>
        </w:rPr>
        <w:br/>
      </w:r>
      <w:r>
        <w:rPr>
          <w:b/>
          <w:bCs/>
          <w:sz w:val="20"/>
          <w:szCs w:val="20"/>
        </w:rPr>
        <w:t>Praha I., Konviktská 5.</w:t>
      </w:r>
    </w:p>
    <w:p w:rsidR="00500724" w:rsidRDefault="00F30FB8">
      <w:pPr>
        <w:pStyle w:val="Nadpis120"/>
        <w:shd w:val="clear" w:color="auto" w:fill="auto"/>
        <w:ind w:left="0"/>
        <w:jc w:val="center"/>
      </w:pPr>
      <w:bookmarkStart w:id="442" w:name="bookmark441"/>
      <w:r>
        <w:t>Tel.: 265-55-6-7.</w:t>
      </w:r>
      <w:bookmarkEnd w:id="442"/>
    </w:p>
    <w:p w:rsidR="00500724" w:rsidRDefault="00F30FB8">
      <w:pPr>
        <w:pStyle w:val="Nadpis120"/>
        <w:shd w:val="clear" w:color="auto" w:fill="auto"/>
        <w:spacing w:line="218" w:lineRule="auto"/>
        <w:ind w:left="0"/>
        <w:jc w:val="center"/>
        <w:sectPr w:rsidR="00500724">
          <w:footnotePr>
            <w:numFmt w:val="chicago"/>
            <w:numRestart w:val="eachPage"/>
          </w:footnotePr>
          <w:type w:val="continuous"/>
          <w:pgSz w:w="11909" w:h="16834"/>
          <w:pgMar w:top="833" w:right="1495" w:bottom="801" w:left="588" w:header="0" w:footer="3" w:gutter="0"/>
          <w:cols w:num="2" w:space="847"/>
          <w:noEndnote/>
          <w:docGrid w:linePitch="360"/>
        </w:sectPr>
      </w:pPr>
      <w:bookmarkStart w:id="443" w:name="bookmark442"/>
      <w:r>
        <w:t>Prodejna: Praha I., Na Příkopě 33.</w:t>
      </w:r>
      <w:r>
        <w:br/>
      </w:r>
      <w:r>
        <w:t>Tel.: 251-00, 394-70.</w:t>
      </w:r>
      <w:bookmarkEnd w:id="443"/>
    </w:p>
    <w:p w:rsidR="00500724" w:rsidRDefault="00500724">
      <w:pPr>
        <w:spacing w:before="107" w:after="107"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755" w:right="0" w:bottom="879"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822" behindDoc="0" locked="0" layoutInCell="1" allowOverlap="1">
                <wp:simplePos x="0" y="0"/>
                <wp:positionH relativeFrom="page">
                  <wp:posOffset>224155</wp:posOffset>
                </wp:positionH>
                <wp:positionV relativeFrom="paragraph">
                  <wp:posOffset>1234440</wp:posOffset>
                </wp:positionV>
                <wp:extent cx="2727960" cy="1185545"/>
                <wp:effectExtent l="0" t="0" r="0" b="0"/>
                <wp:wrapSquare wrapText="right"/>
                <wp:docPr id="445" name="Shape 445"/>
                <wp:cNvGraphicFramePr/>
                <a:graphic xmlns:a="http://schemas.openxmlformats.org/drawingml/2006/main">
                  <a:graphicData uri="http://schemas.microsoft.com/office/word/2010/wordprocessingShape">
                    <wps:wsp>
                      <wps:cNvSpPr txBox="1"/>
                      <wps:spPr>
                        <a:xfrm>
                          <a:off x="0" y="0"/>
                          <a:ext cx="2727960" cy="1185545"/>
                        </a:xfrm>
                        <a:prstGeom prst="rect">
                          <a:avLst/>
                        </a:prstGeom>
                        <a:noFill/>
                      </wps:spPr>
                      <wps:txbx>
                        <w:txbxContent>
                          <w:p w:rsidR="00500724" w:rsidRDefault="00F30FB8">
                            <w:pPr>
                              <w:pStyle w:val="Jin0"/>
                              <w:shd w:val="clear" w:color="auto" w:fill="auto"/>
                              <w:spacing w:after="60"/>
                              <w:ind w:firstLine="0"/>
                              <w:jc w:val="left"/>
                              <w:rPr>
                                <w:sz w:val="92"/>
                                <w:szCs w:val="92"/>
                              </w:rPr>
                            </w:pPr>
                            <w:r>
                              <w:rPr>
                                <w:rFonts w:ascii="Arial" w:eastAsia="Arial" w:hAnsi="Arial" w:cs="Arial"/>
                                <w:sz w:val="92"/>
                                <w:szCs w:val="92"/>
                              </w:rPr>
                              <w:t>Přňomnos^</w:t>
                            </w:r>
                          </w:p>
                          <w:p w:rsidR="00500724" w:rsidRDefault="00F30FB8">
                            <w:pPr>
                              <w:pStyle w:val="Jin0"/>
                              <w:shd w:val="clear" w:color="auto" w:fill="auto"/>
                              <w:ind w:firstLine="0"/>
                              <w:jc w:val="left"/>
                              <w:rPr>
                                <w:sz w:val="40"/>
                                <w:szCs w:val="40"/>
                              </w:rPr>
                            </w:pPr>
                            <w:r>
                              <w:rPr>
                                <w:rFonts w:ascii="Arial" w:eastAsia="Arial" w:hAnsi="Arial" w:cs="Arial"/>
                                <w:sz w:val="40"/>
                                <w:szCs w:val="40"/>
                                <w:u w:val="single"/>
                              </w:rPr>
                              <w:t>řídí Ferd. Peroutka</w:t>
                            </w:r>
                          </w:p>
                        </w:txbxContent>
                      </wps:txbx>
                      <wps:bodyPr lIns="0" tIns="0" rIns="0" bIns="0">
                        <a:spAutoFit/>
                      </wps:bodyPr>
                    </wps:wsp>
                  </a:graphicData>
                </a:graphic>
              </wp:anchor>
            </w:drawing>
          </mc:Choice>
          <mc:Fallback>
            <w:pict>
              <v:shape id="_x0000_s1471" type="#_x0000_t202" style="position:absolute;margin-left:17.649999999999999pt;margin-top:97.200000000000003pt;width:214.80000000000001pt;height:93.349999999999994pt;z-index:-125828931;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60" w:line="240" w:lineRule="auto"/>
                        <w:ind w:left="0" w:right="0" w:firstLine="0"/>
                        <w:jc w:val="left"/>
                        <w:rPr>
                          <w:sz w:val="92"/>
                          <w:szCs w:val="92"/>
                        </w:rPr>
                      </w:pPr>
                      <w:r>
                        <w:rPr>
                          <w:rFonts w:ascii="Arial" w:eastAsia="Arial" w:hAnsi="Arial" w:cs="Arial"/>
                          <w:color w:val="000000"/>
                          <w:spacing w:val="0"/>
                          <w:w w:val="100"/>
                          <w:position w:val="0"/>
                          <w:sz w:val="92"/>
                          <w:szCs w:val="92"/>
                          <w:shd w:val="clear" w:color="auto" w:fill="auto"/>
                          <w:lang w:val="cs-CZ" w:eastAsia="cs-CZ" w:bidi="cs-CZ"/>
                        </w:rPr>
                        <w:t>Přňomnos^</w:t>
                      </w:r>
                    </w:p>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u w:val="single"/>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420" w:line="211" w:lineRule="auto"/>
        <w:ind w:left="580" w:hanging="580"/>
        <w:rPr>
          <w:sz w:val="19"/>
          <w:szCs w:val="19"/>
        </w:rPr>
      </w:pPr>
      <w:r>
        <w:rPr>
          <w:b/>
          <w:bCs/>
          <w:sz w:val="17"/>
          <w:szCs w:val="17"/>
        </w:rPr>
        <w:t xml:space="preserve">OBSAH PŘÍTOMNOSTI C. </w:t>
      </w:r>
      <w:r>
        <w:rPr>
          <w:b/>
          <w:bCs/>
          <w:sz w:val="19"/>
          <w:szCs w:val="19"/>
        </w:rPr>
        <w:t>17: F. PEROUTKA: Dynamický život — Zd. Smetáček: O nepolitické politice — tento</w:t>
      </w:r>
      <w:r>
        <w:rPr>
          <w:b/>
          <w:bCs/>
          <w:sz w:val="19"/>
          <w:szCs w:val="19"/>
        </w:rPr>
        <w:softHyphen/>
        <w:t>krát z Havlíčka — EDMOND KONRÁD: Sirókaja britskaja nátura — MILENA J</w:t>
      </w:r>
      <w:r>
        <w:rPr>
          <w:b/>
          <w:bCs/>
          <w:sz w:val="19"/>
          <w:szCs w:val="19"/>
        </w:rPr>
        <w:t>ESENSKÁ: Změněné nakupování — JAR. BROŽ: Miliony kolem »Sněhurky« — V. GUTWIBTH: Slovníček týdne — A. 1,1.: Milion kilogramů jedu — Doc. VANĚČEK: Co žádají Němci od Čechů — Hlinkov gardista: Na rozlúěenie s Čechmi — Světový obchod v krisi — Slovenské hospo</w:t>
      </w:r>
      <w:r>
        <w:rPr>
          <w:b/>
          <w:bCs/>
          <w:sz w:val="19"/>
          <w:szCs w:val="19"/>
        </w:rPr>
        <w:t>dářské nesnáze — Bebca, banka pro styk s říšským hospodářstvím — Sluěování v družstevnictví — Budeme mít nová čísla — Rozvojové možnosti domácké práce — Cesta Slovenska za hospodářskou samostatností — To není pravda — Odpověď Slovence.</w:t>
      </w:r>
    </w:p>
    <w:p w:rsidR="00500724" w:rsidRDefault="00F30FB8">
      <w:pPr>
        <w:pStyle w:val="Nadpis80"/>
        <w:keepNext/>
        <w:keepLines/>
        <w:shd w:val="clear" w:color="auto" w:fill="auto"/>
        <w:spacing w:after="140"/>
        <w:ind w:left="180" w:firstLine="60"/>
      </w:pPr>
      <w:bookmarkStart w:id="444" w:name="bookmark443"/>
      <w:r>
        <w:t>nezávislý týdeník</w:t>
      </w:r>
      <w:bookmarkEnd w:id="444"/>
    </w:p>
    <w:p w:rsidR="00500724" w:rsidRDefault="00F30FB8">
      <w:pPr>
        <w:pStyle w:val="Zkladntext30"/>
        <w:shd w:val="clear" w:color="auto" w:fill="auto"/>
        <w:spacing w:after="60" w:line="216" w:lineRule="auto"/>
        <w:ind w:firstLine="0"/>
        <w:jc w:val="center"/>
        <w:rPr>
          <w:sz w:val="20"/>
          <w:szCs w:val="20"/>
        </w:rPr>
      </w:pPr>
      <w:r>
        <w:rPr>
          <w:sz w:val="20"/>
          <w:szCs w:val="20"/>
        </w:rPr>
        <w:t>vychází ve středu v nakladatelství</w:t>
      </w:r>
      <w:r>
        <w:rPr>
          <w:sz w:val="20"/>
          <w:szCs w:val="20"/>
        </w:rPr>
        <w:br/>
        <w:t>FR. BOROVÝ V PRAZE L, NÁRODNÍ TŘÍDA 11.</w:t>
      </w:r>
    </w:p>
    <w:p w:rsidR="00500724" w:rsidRDefault="00F30FB8">
      <w:pPr>
        <w:pStyle w:val="Zkladntext40"/>
        <w:shd w:val="clear" w:color="auto" w:fill="auto"/>
        <w:spacing w:line="185" w:lineRule="auto"/>
      </w:pPr>
      <w:r>
        <w:t>Telefon čislo 390-51 až 54 • Účet poStovní spořitelny číslo 35.622 • Nevy</w:t>
      </w:r>
      <w:r>
        <w:softHyphen/>
      </w:r>
      <w:r>
        <w:t xml:space="preserve">žádané rukopisy se nevracejí • Předplatné na rok K 100.—, na půl roku K 50.—, na čtvrt roku K 25.—, jednotlivá čisla K 2.—. </w:t>
      </w:r>
      <w:r>
        <w:rPr>
          <w:lang w:val="en-US" w:eastAsia="en-US" w:bidi="en-US"/>
        </w:rPr>
        <w:t xml:space="preserve">Pour </w:t>
      </w:r>
      <w:r>
        <w:t>la Fran</w:t>
      </w:r>
      <w:r>
        <w:softHyphen/>
        <w:t xml:space="preserve">ce et ses </w:t>
      </w:r>
      <w:r>
        <w:rPr>
          <w:lang w:val="en-US" w:eastAsia="en-US" w:bidi="en-US"/>
        </w:rPr>
        <w:t xml:space="preserve">Colonies </w:t>
      </w:r>
      <w:r>
        <w:t>Frs 2.50. • Dohlédaci poSt. úřad Brno II. • Novinová sazba povolena v Brně ředitelstvím pošt a teleg</w:t>
      </w:r>
      <w:r>
        <w:t>rafů pod čís. 119.268/IIIa. • Odpovědný redaktor J. Dlabač.</w:t>
      </w:r>
    </w:p>
    <w:p w:rsidR="00500724" w:rsidRDefault="00F30FB8">
      <w:pPr>
        <w:pStyle w:val="Zkladntext30"/>
        <w:shd w:val="clear" w:color="auto" w:fill="auto"/>
        <w:spacing w:after="100" w:line="216" w:lineRule="auto"/>
        <w:ind w:left="5380" w:firstLine="0"/>
        <w:jc w:val="left"/>
        <w:rPr>
          <w:sz w:val="20"/>
          <w:szCs w:val="20"/>
        </w:rPr>
      </w:pPr>
      <w:r>
        <w:rPr>
          <w:sz w:val="20"/>
          <w:szCs w:val="20"/>
        </w:rPr>
        <w:t>TISKEM LIDOVÉ TISKÁRNY, BRNO, ČESKÁ 6.</w:t>
      </w:r>
      <w:r>
        <w:br w:type="page"/>
      </w:r>
    </w:p>
    <w:p w:rsidR="00500724" w:rsidRDefault="00F30FB8">
      <w:pPr>
        <w:pStyle w:val="Nadpis60"/>
        <w:keepNext/>
        <w:keepLines/>
        <w:pBdr>
          <w:bottom w:val="single" w:sz="4" w:space="0" w:color="auto"/>
        </w:pBdr>
        <w:shd w:val="clear" w:color="auto" w:fill="auto"/>
        <w:sectPr w:rsidR="00500724">
          <w:footnotePr>
            <w:numFmt w:val="chicago"/>
            <w:numRestart w:val="eachPage"/>
          </w:footnotePr>
          <w:type w:val="continuous"/>
          <w:pgSz w:w="11909" w:h="16834"/>
          <w:pgMar w:top="755" w:right="884" w:bottom="879" w:left="445" w:header="0" w:footer="3" w:gutter="0"/>
          <w:cols w:space="720"/>
          <w:noEndnote/>
          <w:docGrid w:linePitch="360"/>
        </w:sectPr>
      </w:pPr>
      <w:bookmarkStart w:id="445" w:name="bookmark444"/>
      <w:r>
        <w:t>Přítomnosti</w:t>
      </w:r>
      <w:bookmarkEnd w:id="445"/>
    </w:p>
    <w:p w:rsidR="00500724" w:rsidRDefault="00500724">
      <w:pPr>
        <w:spacing w:after="634" w:line="14" w:lineRule="exact"/>
      </w:pPr>
    </w:p>
    <w:p w:rsidR="00500724" w:rsidRDefault="00500724">
      <w:pPr>
        <w:spacing w:line="14" w:lineRule="exact"/>
        <w:sectPr w:rsidR="00500724">
          <w:footnotePr>
            <w:numFmt w:val="chicago"/>
            <w:numRestart w:val="eachPage"/>
          </w:footnotePr>
          <w:type w:val="continuous"/>
          <w:pgSz w:w="11909" w:h="16834"/>
          <w:pgMar w:top="677" w:right="752" w:bottom="991" w:left="670" w:header="0" w:footer="3" w:gutter="0"/>
          <w:cols w:space="720"/>
          <w:noEndnote/>
          <w:docGrid w:linePitch="360"/>
        </w:sectPr>
      </w:pPr>
    </w:p>
    <w:p w:rsidR="00500724" w:rsidRDefault="00F30FB8">
      <w:pPr>
        <w:pStyle w:val="Nadpis100"/>
        <w:shd w:val="clear" w:color="auto" w:fill="auto"/>
        <w:spacing w:after="0" w:line="240" w:lineRule="auto"/>
      </w:pPr>
      <w:bookmarkStart w:id="446" w:name="bookmark445"/>
      <w:r>
        <w:t>O české státotvornosti</w:t>
      </w:r>
      <w:bookmarkEnd w:id="446"/>
    </w:p>
    <w:p w:rsidR="00500724" w:rsidRDefault="00F30FB8">
      <w:pPr>
        <w:pStyle w:val="Zkladntext30"/>
        <w:framePr w:dropCap="drop" w:lines="2" w:hSpace="10" w:vSpace="10" w:wrap="auto" w:vAnchor="text" w:hAnchor="text"/>
        <w:shd w:val="clear" w:color="auto" w:fill="auto"/>
        <w:spacing w:line="301" w:lineRule="exact"/>
        <w:ind w:firstLine="0"/>
      </w:pPr>
      <w:r>
        <w:rPr>
          <w:position w:val="-6"/>
          <w:sz w:val="46"/>
          <w:szCs w:val="46"/>
        </w:rPr>
        <w:t>T</w:t>
      </w:r>
    </w:p>
    <w:p w:rsidR="00500724" w:rsidRDefault="00F30FB8">
      <w:pPr>
        <w:pStyle w:val="Zkladntext30"/>
        <w:shd w:val="clear" w:color="auto" w:fill="auto"/>
        <w:spacing w:after="0" w:line="202" w:lineRule="auto"/>
        <w:ind w:firstLine="0"/>
      </w:pPr>
      <w:r>
        <w:t>vrzení o nedostatečné státotvornosti národa české</w:t>
      </w:r>
      <w:r>
        <w:softHyphen/>
        <w:t>ho je jedno</w:t>
      </w:r>
      <w:r>
        <w:t xml:space="preserve"> z tvrzení, které se nekriticky opakuje, aniž byl jeho obsah náležitě prozkoumán. Lze lehce dokázati, že toto tvrzení je neodůvodněné a že český národ je stejně státotvorný jako kterýkoli národ jiný.</w:t>
      </w:r>
    </w:p>
    <w:p w:rsidR="00500724" w:rsidRDefault="00F30FB8">
      <w:pPr>
        <w:pStyle w:val="Zkladntext30"/>
        <w:shd w:val="clear" w:color="auto" w:fill="auto"/>
        <w:spacing w:after="0" w:line="202" w:lineRule="auto"/>
        <w:ind w:firstLine="240"/>
      </w:pPr>
      <w:r>
        <w:t>Bylo by úkolem povolanějších rozvinouti do podrob</w:t>
      </w:r>
      <w:r>
        <w:softHyphen/>
        <w:t xml:space="preserve">ností </w:t>
      </w:r>
      <w:r>
        <w:t>přehled dějin, které dokazují, že český národ za nejtěžších okolností a s tvořivou úporností vždy budo</w:t>
      </w:r>
      <w:r>
        <w:softHyphen/>
        <w:t>val svůj stát a nikdy neztratil vědomí své politické své</w:t>
      </w:r>
      <w:r>
        <w:softHyphen/>
        <w:t xml:space="preserve">bytnosti. Žádný z národů světa nespadl s nebe do hotového svého státu. Vývoj byl u všech národů </w:t>
      </w:r>
      <w:r>
        <w:t>stej</w:t>
      </w:r>
      <w:r>
        <w:softHyphen/>
        <w:t>ný. Od vůdce nejzdatnějšího rodu přes vůdce nejzdat</w:t>
      </w:r>
      <w:r>
        <w:softHyphen/>
        <w:t>nějšího kmene k panovníku více kmenů, vůdci státu. Tak to bylo u starých Reků, u starých Římanů a Ger- mánů, tak to bylo i u Čechů. Přijde tu někdo s po</w:t>
      </w:r>
      <w:r>
        <w:softHyphen/>
        <w:t>věstným Samem: no, Samova říše zanikla jako mn</w:t>
      </w:r>
      <w:r>
        <w:t>oho jiných říší, i germánských. Přišli panovníci české krve a o státu Přemyslovců nelze tvrdit, že by byl méně význačný, než státy jiné. Podle střídavých mocen</w:t>
      </w:r>
      <w:r>
        <w:softHyphen/>
        <w:t>ských poměrů byly tu doby mohutných výbojů české</w:t>
      </w:r>
      <w:r>
        <w:softHyphen/>
        <w:t>ho státu, doby jeho praktické nezávislosti a za</w:t>
      </w:r>
      <w:r>
        <w:t>se doby závislosti na jeho mocném německém sousedu. A ne</w:t>
      </w:r>
      <w:r>
        <w:softHyphen/>
        <w:t>přijímali jen čeští králové své koruny od německých císařů, ale i němečtí císaři své koruny od papežů.</w:t>
      </w:r>
    </w:p>
    <w:p w:rsidR="00500724" w:rsidRDefault="00F30FB8">
      <w:pPr>
        <w:pStyle w:val="Zkladntext30"/>
        <w:shd w:val="clear" w:color="auto" w:fill="auto"/>
        <w:spacing w:after="0" w:line="202" w:lineRule="auto"/>
        <w:ind w:firstLine="240"/>
      </w:pPr>
      <w:r>
        <w:t>Jasně vyplývá podmíněnost praktického uplatnění státotvornosti národa na osobě vůdcovské a okoln</w:t>
      </w:r>
      <w:r>
        <w:t>ích poměrech mocenských. Osob vůdcovských vydal ne</w:t>
      </w:r>
      <w:r>
        <w:softHyphen/>
        <w:t>početný národ český jistě poměrně tolik, jako národy jiné. Poměry mocenské byly však a jsou tak nepřízni</w:t>
      </w:r>
      <w:r>
        <w:softHyphen/>
        <w:t>vé, jako u málokterého jiného národa. Jak bylo tedy možno udržet kontinuitu českého státu proti mocn</w:t>
      </w:r>
      <w:r>
        <w:t>é</w:t>
      </w:r>
      <w:r>
        <w:softHyphen/>
        <w:t>mu německému sousedu? A lze z osudových peripetií dějinných usuzovati na nedostatečnou státotvornost? I v poměru států platí matematika a fysikální zákony mas. Poměr je dnes 1:10. Na tom nelze nám sebelepší státotvornosti ničeho měniti.</w:t>
      </w:r>
    </w:p>
    <w:p w:rsidR="00500724" w:rsidRDefault="00F30FB8">
      <w:pPr>
        <w:pStyle w:val="Zkladntext30"/>
        <w:shd w:val="clear" w:color="auto" w:fill="auto"/>
        <w:spacing w:after="0" w:line="202" w:lineRule="auto"/>
        <w:ind w:firstLine="0"/>
        <w:jc w:val="center"/>
      </w:pPr>
      <w:r>
        <w:t>•</w:t>
      </w:r>
    </w:p>
    <w:p w:rsidR="00500724" w:rsidRDefault="00F30FB8">
      <w:pPr>
        <w:pStyle w:val="Zkladntext30"/>
        <w:shd w:val="clear" w:color="auto" w:fill="auto"/>
        <w:spacing w:after="0" w:line="209" w:lineRule="auto"/>
        <w:ind w:firstLine="240"/>
      </w:pPr>
      <w:r>
        <w:t>Není v dějinách</w:t>
      </w:r>
      <w:r>
        <w:t xml:space="preserve"> lepšího příkladu pro účinné státo</w:t>
      </w:r>
      <w:r>
        <w:softHyphen/>
        <w:t>tvorné úsilí nad evoluci českého národa v době novověké.</w:t>
      </w:r>
    </w:p>
    <w:p w:rsidR="00500724" w:rsidRDefault="00F30FB8">
      <w:pPr>
        <w:pStyle w:val="Zkladntext30"/>
        <w:shd w:val="clear" w:color="auto" w:fill="auto"/>
        <w:spacing w:after="0" w:line="209" w:lineRule="auto"/>
        <w:ind w:firstLine="240"/>
      </w:pPr>
      <w:r>
        <w:t>Několikamilionový národ český je v třicetileté válce zdecimován na necelý milion příslušníků fysicky, ma</w:t>
      </w:r>
      <w:r>
        <w:softHyphen/>
        <w:t>teriálně a duševně zdeptaných, rozprchlých po lesích, dekla</w:t>
      </w:r>
      <w:r>
        <w:t xml:space="preserve">ssovaných promíšením se soldateskou všech možných národů (jména Němec, </w:t>
      </w:r>
      <w:r>
        <w:rPr>
          <w:lang w:val="en-US" w:eastAsia="en-US" w:bidi="en-US"/>
        </w:rPr>
        <w:t xml:space="preserve">Svejda, </w:t>
      </w:r>
      <w:r>
        <w:t>Polák, Tu</w:t>
      </w:r>
      <w:r>
        <w:softHyphen/>
        <w:t>rek, Charvát, Španěl atd.) je zbaven svých kulturních statků, opuštěn od své inteligence a aristokracie. Jeho statky jsou rozdány cizincům, kteří se houfně valí do krá</w:t>
      </w:r>
      <w:r>
        <w:t>sné, opuštěné a vylidněné země. A z tohoto po</w:t>
      </w:r>
      <w:r>
        <w:softHyphen/>
        <w:t>nížení znovu jako fénix vyvstane národ, aby po ne</w:t>
      </w:r>
      <w:r>
        <w:softHyphen/>
        <w:t>celých tři sta letech vybudoval stát nejen svého ná</w:t>
      </w:r>
      <w:r>
        <w:softHyphen/>
        <w:t>roda, nýbrž dvou pokrevných národů jiných. Zorgani- suje v mizivě krátké době a za nejobtížnějších okol</w:t>
      </w:r>
      <w:r>
        <w:softHyphen/>
        <w:t>nost</w:t>
      </w:r>
      <w:r>
        <w:t>í bezvadně fungující státní organismus,</w:t>
      </w:r>
    </w:p>
    <w:p w:rsidR="00500724" w:rsidRDefault="00F30FB8">
      <w:pPr>
        <w:pStyle w:val="Zkladntext30"/>
        <w:shd w:val="clear" w:color="auto" w:fill="auto"/>
        <w:spacing w:after="60" w:line="202" w:lineRule="auto"/>
        <w:ind w:firstLine="240"/>
      </w:pPr>
      <w:r>
        <w:t>Svými kulturními, technickými a hospodářskými činy vzbudí respekt všech národů; vyrve dva slovan</w:t>
      </w:r>
      <w:r>
        <w:softHyphen/>
        <w:t>ské národy, jejichž široké vrstvy zanechala slavná státotvornost uherská po tisíciletém panování na úrovni primitivů, o</w:t>
      </w:r>
      <w:r>
        <w:t>d pokraje propasti úplného na- cionálniho zániku a povznese je za dvacet let na výši kultury evropské úrovně. Vybuduje jim nesčetné ško</w:t>
      </w:r>
      <w:r>
        <w:softHyphen/>
        <w:t>ly všeho druhu a vlastního jazyka, vymýtí téměř úplně analfabetismus, vychová jim početnou inteli</w:t>
      </w:r>
      <w:r>
        <w:softHyphen/>
        <w:t>genci, která by za dal</w:t>
      </w:r>
      <w:r>
        <w:t>ší desetiletí byla mohla úplné převzíti vlastní správu, a která již dnes vlastně umož</w:t>
      </w:r>
      <w:r>
        <w:softHyphen/>
        <w:t>nila zřízení samostatného státu slovenského a do</w:t>
      </w:r>
      <w:r>
        <w:softHyphen/>
        <w:t>nutila Maďarsko k příslibu autonomie Podkarpat</w:t>
      </w:r>
      <w:r>
        <w:softHyphen/>
        <w:t>ské Rusi. Buduje nesčetné komunikace a jiná tech</w:t>
      </w:r>
      <w:r>
        <w:softHyphen/>
        <w:t>nická díla světové úrovně</w:t>
      </w:r>
      <w:r>
        <w:t>; pod jeho vládou vzkvétají města, která se dříve podobala velkým dědinám. Pro</w:t>
      </w:r>
      <w:r>
        <w:softHyphen/>
        <w:t xml:space="preserve">vádí soustavnou elektrisaci, zvelebuje zemědělství, do- bytkářství a ovocnářství. Národové, jejichž valná část neuměla číst a psát, zvelebují svou literaturu, své divadelnictví </w:t>
      </w:r>
      <w:r>
        <w:t>a své výtvarné umění. Není oblasti lid</w:t>
      </w:r>
      <w:r>
        <w:softHyphen/>
        <w:t>ské činnosti, která by v novém státě zůstala ne</w:t>
      </w:r>
      <w:r>
        <w:softHyphen/>
        <w:t>podporována.</w:t>
      </w:r>
    </w:p>
    <w:p w:rsidR="00500724" w:rsidRDefault="00F30FB8">
      <w:pPr>
        <w:pStyle w:val="Zkladntext30"/>
        <w:shd w:val="clear" w:color="auto" w:fill="auto"/>
        <w:spacing w:after="60" w:line="202" w:lineRule="auto"/>
        <w:ind w:firstLine="240"/>
      </w:pPr>
      <w:r>
        <w:t>Jiný příklad tvůrčí organisační schopnosti národa českého: Za světové války bylo v Rusku přes milion za</w:t>
      </w:r>
      <w:r>
        <w:softHyphen/>
        <w:t>jatců z Německa a Rakousko-Uherska</w:t>
      </w:r>
      <w:r>
        <w:rPr>
          <w:vertAlign w:val="subscript"/>
        </w:rPr>
        <w:t>t</w:t>
      </w:r>
      <w:r>
        <w:t xml:space="preserve"> Je význačným fak</w:t>
      </w:r>
      <w:r>
        <w:t>tem, že z této lidské masy pouze Češi dovedli vy</w:t>
      </w:r>
      <w:r>
        <w:softHyphen/>
        <w:t xml:space="preserve">tvořit jednotný korpus, soběstačný ve vojenském, technickém, hospodářském i kulturním ohledu a že s tímto vojenským tělesem vykonali činy a podnikli výpravu, proti níž slavná Xenofontova anabase byla pouhou </w:t>
      </w:r>
      <w:r>
        <w:t>procházkou. Jeden ruský emigrantský gene</w:t>
      </w:r>
      <w:r>
        <w:softHyphen/>
        <w:t>rál, jehož bezvýznamné jméno jsem zapomněl, napsal pamflet, jímž se ubohým způsobem marně snaží vý</w:t>
      </w:r>
      <w:r>
        <w:softHyphen/>
        <w:t>znam tohoto historického výkonu snížiti. Ten člověk patrně neví, co je to vojna; jinak by se nemohl domní</w:t>
      </w:r>
      <w:r>
        <w:softHyphen/>
        <w:t>vati, že b</w:t>
      </w:r>
      <w:r>
        <w:t>ylo mravní povinností českých legií nechat se krotce od bolševiků pozabíjet anebo zemříti klidně hlady někde v tundře nebo tajze.</w:t>
      </w:r>
    </w:p>
    <w:p w:rsidR="00500724" w:rsidRDefault="00F30FB8">
      <w:pPr>
        <w:pStyle w:val="Jin0"/>
        <w:shd w:val="clear" w:color="auto" w:fill="auto"/>
        <w:spacing w:after="60"/>
        <w:ind w:firstLine="0"/>
        <w:jc w:val="center"/>
        <w:rPr>
          <w:sz w:val="15"/>
          <w:szCs w:val="15"/>
        </w:rPr>
      </w:pPr>
      <w:r>
        <w:rPr>
          <w:rFonts w:ascii="Arial" w:eastAsia="Arial" w:hAnsi="Arial" w:cs="Arial"/>
          <w:sz w:val="15"/>
          <w:szCs w:val="15"/>
        </w:rPr>
        <w:t>®</w:t>
      </w:r>
    </w:p>
    <w:p w:rsidR="00500724" w:rsidRDefault="00F30FB8">
      <w:pPr>
        <w:pStyle w:val="Zkladntext30"/>
        <w:shd w:val="clear" w:color="auto" w:fill="auto"/>
        <w:spacing w:after="60" w:line="233" w:lineRule="auto"/>
        <w:ind w:firstLine="240"/>
        <w:rPr>
          <w:sz w:val="19"/>
          <w:szCs w:val="19"/>
        </w:rPr>
        <w:sectPr w:rsidR="00500724">
          <w:footnotePr>
            <w:numFmt w:val="chicago"/>
            <w:numRestart w:val="eachPage"/>
          </w:footnotePr>
          <w:type w:val="continuous"/>
          <w:pgSz w:w="11909" w:h="16834"/>
          <w:pgMar w:top="677" w:right="752" w:bottom="677" w:left="670" w:header="0" w:footer="3" w:gutter="0"/>
          <w:cols w:num="2" w:space="168"/>
          <w:noEndnote/>
          <w:docGrid w:linePitch="360"/>
        </w:sectPr>
      </w:pPr>
      <w:r>
        <w:t>Nutno odpověděti na otázku, jestli snad tato pro</w:t>
      </w:r>
      <w:r>
        <w:softHyphen/>
        <w:t xml:space="preserve">kázaná a vynikající státotvornost českého </w:t>
      </w:r>
      <w:r>
        <w:t>národa není paralysována nedostatkem mužnosti a bojov</w:t>
      </w:r>
      <w:r>
        <w:softHyphen/>
        <w:t>nosti. A tu nutno konstatovati, že celé tisícileté dějiny české jsou řetězem bojů. Není pouhou náhodou, že z četných kmenů slovanských v oblasti dnešní němec</w:t>
      </w:r>
      <w:r>
        <w:softHyphen/>
        <w:t>ké říše jediné Češi uchovali svou národní ex</w:t>
      </w:r>
      <w:r>
        <w:t>istenci. Čech je rozený voják, rozumný a houževnatý tam, kde ví, za co se bije. Má vrozené vojenské vůdcovské a organisátorské schopnosti. Lze to dokázat nesčetný</w:t>
      </w:r>
      <w:r>
        <w:softHyphen/>
        <w:t>mi příklady z dějin. Vezměte jen světovou válku: ústup českých legií z chaosu ruské fronty až</w:t>
      </w:r>
      <w:r>
        <w:t xml:space="preserve"> na </w:t>
      </w:r>
      <w:r>
        <w:rPr>
          <w:lang w:val="en-US" w:eastAsia="en-US" w:bidi="en-US"/>
        </w:rPr>
        <w:t xml:space="preserve">Vladivostok </w:t>
      </w:r>
      <w:r>
        <w:t xml:space="preserve">je mistrovským dílem strategie. Duce </w:t>
      </w:r>
      <w:r>
        <w:rPr>
          <w:lang w:val="en-US" w:eastAsia="en-US" w:bidi="en-US"/>
        </w:rPr>
        <w:t xml:space="preserve">Mussolini, </w:t>
      </w:r>
      <w:r>
        <w:t xml:space="preserve">který se dotkl bolestně naší hrdosti, byl sám svědkem hrdinných činů českých legionářů na italské frontě, kteří bojovali s vědomím, že je na </w:t>
      </w:r>
      <w:r>
        <w:rPr>
          <w:b/>
          <w:bCs/>
          <w:i/>
          <w:iCs/>
          <w:sz w:val="19"/>
          <w:szCs w:val="19"/>
        </w:rPr>
        <w:t>2&amp;S</w:t>
      </w:r>
    </w:p>
    <w:p w:rsidR="00500724" w:rsidRDefault="00F30FB8">
      <w:pPr>
        <w:pStyle w:val="Nadpis80"/>
        <w:keepNext/>
        <w:keepLines/>
        <w:pBdr>
          <w:bottom w:val="single" w:sz="4" w:space="0" w:color="auto"/>
        </w:pBdr>
        <w:shd w:val="clear" w:color="auto" w:fill="auto"/>
        <w:spacing w:after="0"/>
        <w:jc w:val="center"/>
        <w:sectPr w:rsidR="00500724">
          <w:footnotePr>
            <w:numFmt w:val="chicago"/>
            <w:numRestart w:val="eachPage"/>
          </w:footnotePr>
          <w:pgSz w:w="11909" w:h="16834"/>
          <w:pgMar w:top="598" w:right="934" w:bottom="907" w:left="468" w:header="0" w:footer="3" w:gutter="0"/>
          <w:cols w:space="720"/>
          <w:noEndnote/>
          <w:docGrid w:linePitch="360"/>
        </w:sectPr>
      </w:pPr>
      <w:bookmarkStart w:id="447" w:name="bookmark446"/>
      <w:r>
        <w:rPr>
          <w:u w:val="none"/>
          <w:lang w:val="en-US" w:eastAsia="en-US" w:bidi="en-US"/>
        </w:rPr>
        <w:t>PhtenmosO</w:t>
      </w:r>
      <w:bookmarkEnd w:id="447"/>
    </w:p>
    <w:p w:rsidR="00500724" w:rsidRDefault="00500724">
      <w:pPr>
        <w:spacing w:line="52" w:lineRule="exact"/>
        <w:rPr>
          <w:sz w:val="4"/>
          <w:szCs w:val="4"/>
        </w:rPr>
      </w:pPr>
    </w:p>
    <w:p w:rsidR="00500724" w:rsidRDefault="00500724">
      <w:pPr>
        <w:spacing w:line="14" w:lineRule="exact"/>
        <w:sectPr w:rsidR="00500724">
          <w:footnotePr>
            <w:numFmt w:val="chicago"/>
            <w:numRestart w:val="eachPage"/>
          </w:footnotePr>
          <w:type w:val="continuous"/>
          <w:pgSz w:w="11909" w:h="16834"/>
          <w:pgMar w:top="598" w:right="0" w:bottom="598" w:left="0" w:header="0" w:footer="3" w:gutter="0"/>
          <w:cols w:space="720"/>
          <w:noEndnote/>
          <w:docGrid w:linePitch="360"/>
        </w:sectPr>
      </w:pPr>
    </w:p>
    <w:p w:rsidR="00500724" w:rsidRDefault="00F30FB8">
      <w:pPr>
        <w:pStyle w:val="Zkladntext20"/>
        <w:shd w:val="clear" w:color="auto" w:fill="auto"/>
        <w:spacing w:line="204" w:lineRule="auto"/>
        <w:ind w:firstLine="0"/>
      </w:pPr>
      <w:r>
        <w:t xml:space="preserve">druhé straně čeká potupná smrt na šibenici. A na historicky nejslavnějším místě světa, ve velké síni římského Kapitolu, hlásá nápis vrytý v kamennou desku hrdinskou účast malého národa na velikém boji, který Itálie vedla o </w:t>
      </w:r>
      <w:r>
        <w:t>svou existenci. Četl jsem tento věčný zápis s hlubokým pohnutím, sedě tváří v tvář Ducemu při příležitosti jednoho kongresu.</w:t>
      </w:r>
    </w:p>
    <w:p w:rsidR="00500724" w:rsidRDefault="00F30FB8">
      <w:pPr>
        <w:pStyle w:val="Zkladntext20"/>
        <w:shd w:val="clear" w:color="auto" w:fill="auto"/>
        <w:spacing w:line="202" w:lineRule="auto"/>
        <w:ind w:firstLine="280"/>
      </w:pPr>
      <w:r>
        <w:t>Nikdo mimo nás samých neví lépe než Němci, jak odhodláni jsme byli k odporu, pokud ještě byla jiskra naděje, že by měl nějaký smysl</w:t>
      </w:r>
      <w:r>
        <w:t>. A jsme Němcům po- vděčni, že oni, proti nimž jsme stáli, se nedotkli naší národní cti. Oni viděli železnou a obdivuhodnou kázeň neporažené české armády, která podle rozkazu a v ne</w:t>
      </w:r>
      <w:r>
        <w:softHyphen/>
        <w:t>porušeném celku nastoupila bolestný ústup.</w:t>
      </w:r>
    </w:p>
    <w:p w:rsidR="00500724" w:rsidRDefault="00F30FB8">
      <w:pPr>
        <w:pStyle w:val="Zkladntext20"/>
        <w:shd w:val="clear" w:color="auto" w:fill="auto"/>
        <w:spacing w:line="202" w:lineRule="auto"/>
        <w:ind w:firstLine="280"/>
      </w:pPr>
      <w:r>
        <w:t>Obklopeni strašnou přesilou tří</w:t>
      </w:r>
      <w:r>
        <w:t xml:space="preserve"> mocí, odříznuti od všech spojů a zdrojů: měli jsme učiniti »roman- tické gesto«, které by nám snad vyneslo tři řádky platonického uznání v dějepisu, jistě by však bylo zna</w:t>
      </w:r>
      <w:r>
        <w:softHyphen/>
        <w:t>čilo smrt národa českého a rozpoutání světové tra</w:t>
      </w:r>
      <w:r>
        <w:softHyphen/>
        <w:t>gedie? To by nebylo hrdinství, ný</w:t>
      </w:r>
      <w:r>
        <w:t>brž šílenství. Jen jednu světlou památku máme z těch temných dnů: věrnost šlechetného národa rumunského a jeho rytíř</w:t>
      </w:r>
      <w:r>
        <w:softHyphen/>
        <w:t>ského krále, jejichž drahá jména na věky zůstanou vepsána do srdcí národa českého.</w:t>
      </w:r>
    </w:p>
    <w:p w:rsidR="00500724" w:rsidRDefault="00F30FB8">
      <w:pPr>
        <w:pStyle w:val="Zkladntext20"/>
        <w:shd w:val="clear" w:color="auto" w:fill="auto"/>
        <w:spacing w:line="202" w:lineRule="auto"/>
        <w:ind w:firstLine="280"/>
      </w:pPr>
      <w:r>
        <w:t>Ve dnech desorientace a pochybností nutno znovu upevniti</w:t>
      </w:r>
      <w:r>
        <w:t xml:space="preserve"> sebevědomí a hrdost národa: malý český národ plně prokázal svou státotvornost, jeho účast na dějinách Evropy je nepoměrně významná a čestná.</w:t>
      </w:r>
    </w:p>
    <w:p w:rsidR="00500724" w:rsidRDefault="00F30FB8">
      <w:pPr>
        <w:pStyle w:val="Zkladntext20"/>
        <w:shd w:val="clear" w:color="auto" w:fill="auto"/>
        <w:tabs>
          <w:tab w:val="left" w:pos="4104"/>
        </w:tabs>
        <w:spacing w:after="340" w:line="209" w:lineRule="auto"/>
        <w:ind w:firstLine="280"/>
        <w:rPr>
          <w:sz w:val="20"/>
          <w:szCs w:val="20"/>
        </w:rPr>
      </w:pPr>
      <w:r>
        <w:t>Jest jen jedna příčina, že ve své snaze ztroskotal. Úkol byl nad jeho síly.</w:t>
      </w:r>
      <w:r>
        <w:tab/>
      </w:r>
      <w:r>
        <w:rPr>
          <w:b/>
          <w:bCs/>
          <w:i/>
          <w:iCs/>
          <w:sz w:val="20"/>
          <w:szCs w:val="20"/>
        </w:rPr>
        <w:t>j</w:t>
      </w:r>
      <w:r>
        <w:rPr>
          <w:b/>
          <w:bCs/>
          <w:i/>
          <w:iCs/>
          <w:sz w:val="20"/>
          <w:szCs w:val="20"/>
          <w:vertAlign w:val="subscript"/>
        </w:rPr>
        <w:t>an</w:t>
      </w:r>
      <w:r>
        <w:rPr>
          <w:b/>
          <w:bCs/>
          <w:i/>
          <w:iCs/>
          <w:sz w:val="20"/>
          <w:szCs w:val="20"/>
        </w:rPr>
        <w:t xml:space="preserve"> Flora</w:t>
      </w:r>
    </w:p>
    <w:p w:rsidR="00500724" w:rsidRDefault="00F30FB8">
      <w:pPr>
        <w:pStyle w:val="Nadpis80"/>
        <w:keepNext/>
        <w:keepLines/>
        <w:shd w:val="clear" w:color="auto" w:fill="auto"/>
        <w:spacing w:after="360"/>
        <w:rPr>
          <w:sz w:val="44"/>
          <w:szCs w:val="44"/>
        </w:rPr>
      </w:pPr>
      <w:bookmarkStart w:id="448" w:name="bookmark447"/>
      <w:r>
        <w:rPr>
          <w:sz w:val="44"/>
          <w:szCs w:val="44"/>
          <w:u w:val="none"/>
        </w:rPr>
        <w:t>poznámky</w:t>
      </w:r>
      <w:bookmarkEnd w:id="448"/>
    </w:p>
    <w:p w:rsidR="00500724" w:rsidRDefault="00F30FB8">
      <w:pPr>
        <w:pStyle w:val="Zkladntext20"/>
        <w:shd w:val="clear" w:color="auto" w:fill="auto"/>
        <w:spacing w:after="80" w:line="175" w:lineRule="auto"/>
        <w:ind w:firstLine="0"/>
        <w:jc w:val="center"/>
        <w:rPr>
          <w:sz w:val="20"/>
          <w:szCs w:val="20"/>
        </w:rPr>
      </w:pPr>
      <w:r>
        <w:rPr>
          <w:b/>
          <w:bCs/>
          <w:sz w:val="20"/>
          <w:szCs w:val="20"/>
        </w:rPr>
        <w:t xml:space="preserve">Beranova vláda </w:t>
      </w:r>
      <w:r>
        <w:rPr>
          <w:b/>
          <w:bCs/>
          <w:sz w:val="20"/>
          <w:szCs w:val="20"/>
        </w:rPr>
        <w:t>odstoupila</w:t>
      </w:r>
    </w:p>
    <w:p w:rsidR="00500724" w:rsidRDefault="00F30FB8">
      <w:pPr>
        <w:pStyle w:val="Zkladntext100"/>
        <w:shd w:val="clear" w:color="auto" w:fill="auto"/>
        <w:spacing w:line="185" w:lineRule="auto"/>
        <w:rPr>
          <w:sz w:val="19"/>
          <w:szCs w:val="19"/>
        </w:rPr>
      </w:pPr>
      <w:r>
        <w:rPr>
          <w:b/>
          <w:bCs/>
          <w:sz w:val="19"/>
          <w:szCs w:val="19"/>
        </w:rPr>
        <w:t>Když předseda vlády Rudolf Beran přejímal od generála Syrového vládní otěže, nebyla jeho situace nikterak závi- děníhodná, ale přece jenom se nedalo čekat, že této vládě bude souzeno všechno to, co musila vykonat, než byla její demise definitivn</w:t>
      </w:r>
      <w:r>
        <w:rPr>
          <w:b/>
          <w:bCs/>
          <w:sz w:val="19"/>
          <w:szCs w:val="19"/>
        </w:rPr>
        <w:t>ě přijata. Zajisté není vhodný okamžik k tomu, aby byly rozbírány příčiny událostí, jež vyvrcho</w:t>
      </w:r>
      <w:r>
        <w:rPr>
          <w:b/>
          <w:bCs/>
          <w:sz w:val="19"/>
          <w:szCs w:val="19"/>
        </w:rPr>
        <w:softHyphen/>
        <w:t>lily v polovině března, ale za to je potřebí říci již teď, že sotva se dalo eo měnit na těchto událostech jakoukoli politikou Beranovy vlády. Předseda Beran, př</w:t>
      </w:r>
      <w:r>
        <w:rPr>
          <w:b/>
          <w:bCs/>
          <w:sz w:val="19"/>
          <w:szCs w:val="19"/>
        </w:rPr>
        <w:t xml:space="preserve">ejímaje svou funkci, otevřeně prohlásil, že přebírá za vše, co se stane, plnou odpovědnost. Bude ji míti před historií, ale bude také zváženo, že nemohl odpovídat za převratné evropské změny, na které nemohl nikdo u nás vykonávat rozhodující vliv, ať jeho </w:t>
      </w:r>
      <w:r>
        <w:rPr>
          <w:b/>
          <w:bCs/>
          <w:sz w:val="19"/>
          <w:szCs w:val="19"/>
        </w:rPr>
        <w:t>ústavní postavení bylo jakékoliv. I když se tedy předseda Beran k odpovědnosti hlásil, nemůže mu býti za jeho premiérskou činnost ukládána v plném roz</w:t>
      </w:r>
      <w:r>
        <w:rPr>
          <w:b/>
          <w:bCs/>
          <w:sz w:val="19"/>
          <w:szCs w:val="19"/>
        </w:rPr>
        <w:softHyphen/>
        <w:t>sahu, jak si to sám snad na podzim představoval.</w:t>
      </w:r>
    </w:p>
    <w:p w:rsidR="00500724" w:rsidRDefault="00F30FB8">
      <w:pPr>
        <w:pStyle w:val="Zkladntext100"/>
        <w:shd w:val="clear" w:color="auto" w:fill="auto"/>
        <w:spacing w:line="182" w:lineRule="auto"/>
        <w:rPr>
          <w:sz w:val="19"/>
          <w:szCs w:val="19"/>
        </w:rPr>
      </w:pPr>
      <w:r>
        <w:rPr>
          <w:b/>
          <w:bCs/>
          <w:sz w:val="19"/>
          <w:szCs w:val="19"/>
        </w:rPr>
        <w:t>Zůstane zásluhou Beranovy vlády, že si dovedla vybrat sp</w:t>
      </w:r>
      <w:r>
        <w:rPr>
          <w:b/>
          <w:bCs/>
          <w:sz w:val="19"/>
          <w:szCs w:val="19"/>
        </w:rPr>
        <w:t>olupracovníky tak dobře, že převážná většina z nich přešla i do tohoto kabinetu, který byl právě za souhlasu říšské vlády utvořen, a že vedia věci tak, že byl zachován pořádek a klid, jak jen to bylo možné. V českých zemích nedošlo k žádným masakrům, nebyl</w:t>
      </w:r>
      <w:r>
        <w:rPr>
          <w:b/>
          <w:bCs/>
          <w:sz w:val="19"/>
          <w:szCs w:val="19"/>
        </w:rPr>
        <w:t>y uspořádány žádné pogromy, extrémní živly byly udrženy na uzdě a věci se vyvíjely tak, že porušení právního řádu se omezilo na omluvitelné a pochopitelné minimum.</w:t>
      </w:r>
    </w:p>
    <w:p w:rsidR="00500724" w:rsidRDefault="00F30FB8">
      <w:pPr>
        <w:pStyle w:val="Zkladntext100"/>
        <w:shd w:val="clear" w:color="auto" w:fill="auto"/>
        <w:spacing w:line="204" w:lineRule="auto"/>
        <w:rPr>
          <w:sz w:val="26"/>
          <w:szCs w:val="26"/>
        </w:rPr>
      </w:pPr>
      <w:r>
        <w:rPr>
          <w:b/>
          <w:bCs/>
          <w:sz w:val="19"/>
          <w:szCs w:val="19"/>
        </w:rPr>
        <w:t>Abychom si uvědomili, co to znamená, musíme na chvil</w:t>
      </w:r>
      <w:r>
        <w:rPr>
          <w:b/>
          <w:bCs/>
          <w:sz w:val="19"/>
          <w:szCs w:val="19"/>
        </w:rPr>
        <w:softHyphen/>
        <w:t>ku zdvihnouti oči od těchto řádků a zam</w:t>
      </w:r>
      <w:r>
        <w:rPr>
          <w:b/>
          <w:bCs/>
          <w:sz w:val="19"/>
          <w:szCs w:val="19"/>
        </w:rPr>
        <w:t>yslit se nad tím, jak to také mohlo býti všechno jinak. Jen se rozpomeňme, co se při takových příležitostech odehrávalo v jiných národech, i daleko starších, které měly po staletí státy, jež platily za konsolidované. Popusťme trochu uzdu fantasu a pochopím</w:t>
      </w:r>
      <w:r>
        <w:rPr>
          <w:b/>
          <w:bCs/>
          <w:sz w:val="19"/>
          <w:szCs w:val="19"/>
        </w:rPr>
        <w:t xml:space="preserve">e, že politický rozum našeho lidu, na který vždy jsme spoléhali, byl střízlivě veden Beranovou vládou. To </w:t>
      </w:r>
      <w:r>
        <w:rPr>
          <w:rFonts w:ascii="Arial" w:eastAsia="Arial" w:hAnsi="Arial" w:cs="Arial"/>
          <w:b/>
          <w:bCs/>
          <w:i/>
          <w:iCs/>
          <w:sz w:val="26"/>
          <w:szCs w:val="26"/>
        </w:rPr>
        <w:t>2.66</w:t>
      </w:r>
    </w:p>
    <w:p w:rsidR="00500724" w:rsidRDefault="00F30FB8">
      <w:pPr>
        <w:pStyle w:val="Zkladntext100"/>
        <w:shd w:val="clear" w:color="auto" w:fill="auto"/>
        <w:spacing w:line="185" w:lineRule="auto"/>
        <w:ind w:firstLine="0"/>
        <w:rPr>
          <w:sz w:val="19"/>
          <w:szCs w:val="19"/>
        </w:rPr>
      </w:pPr>
      <w:r>
        <w:rPr>
          <w:b/>
          <w:bCs/>
          <w:sz w:val="19"/>
          <w:szCs w:val="19"/>
        </w:rPr>
        <w:t>není maličkost, to není fráze, to jsou věci doslovně histo</w:t>
      </w:r>
      <w:r>
        <w:rPr>
          <w:b/>
          <w:bCs/>
          <w:sz w:val="19"/>
          <w:szCs w:val="19"/>
        </w:rPr>
        <w:softHyphen/>
        <w:t>rického významu.</w:t>
      </w:r>
    </w:p>
    <w:p w:rsidR="00500724" w:rsidRDefault="00F30FB8">
      <w:pPr>
        <w:pStyle w:val="Zkladntext100"/>
        <w:shd w:val="clear" w:color="auto" w:fill="auto"/>
        <w:spacing w:line="185" w:lineRule="auto"/>
        <w:ind w:firstLine="240"/>
        <w:rPr>
          <w:sz w:val="19"/>
          <w:szCs w:val="19"/>
        </w:rPr>
      </w:pPr>
      <w:r>
        <w:rPr>
          <w:b/>
          <w:bCs/>
          <w:sz w:val="19"/>
          <w:szCs w:val="19"/>
        </w:rPr>
        <w:t xml:space="preserve">Věru nemělo by smyslu vypočítávat problémy, s nimiž Beranova vláda </w:t>
      </w:r>
      <w:r>
        <w:rPr>
          <w:b/>
          <w:bCs/>
          <w:sz w:val="19"/>
          <w:szCs w:val="19"/>
        </w:rPr>
        <w:t>zápasila, ať to byly domácí problémy poli</w:t>
      </w:r>
      <w:r>
        <w:rPr>
          <w:b/>
          <w:bCs/>
          <w:sz w:val="19"/>
          <w:szCs w:val="19"/>
        </w:rPr>
        <w:softHyphen/>
        <w:t>tické, ústavní, hospodářské, sociální, krise slovenská, anebo nesmírně choulostivé věci zahraničně-politické povahy. To, co se ve vládě Beranově dělalo, bylo děláno po česku, realisticky, rozumně, střízlivě. Snad b</w:t>
      </w:r>
      <w:r>
        <w:rPr>
          <w:b/>
          <w:bCs/>
          <w:sz w:val="19"/>
          <w:szCs w:val="19"/>
        </w:rPr>
        <w:t>ylo možné v tom ěi onom směru vyvinout větší sílu, dosíci větších efektů, ale sotva by to samo bylo posunulo vývoj událostí příznivěj</w:t>
      </w:r>
      <w:r>
        <w:rPr>
          <w:b/>
          <w:bCs/>
          <w:sz w:val="19"/>
          <w:szCs w:val="19"/>
        </w:rPr>
        <w:softHyphen/>
        <w:t xml:space="preserve">ším způsobem. Jak spekulovat o </w:t>
      </w:r>
      <w:r>
        <w:rPr>
          <w:b/>
          <w:bCs/>
          <w:sz w:val="19"/>
          <w:szCs w:val="19"/>
          <w:lang w:val="en-US" w:eastAsia="en-US" w:bidi="en-US"/>
        </w:rPr>
        <w:t xml:space="preserve">tom, </w:t>
      </w:r>
      <w:r>
        <w:rPr>
          <w:b/>
          <w:bCs/>
          <w:sz w:val="19"/>
          <w:szCs w:val="19"/>
        </w:rPr>
        <w:t xml:space="preserve">co by bylo, kdyby bylo se stalo to či ono? Epiktet uěi, že každá věc má dvě rukojeti. </w:t>
      </w:r>
      <w:r>
        <w:rPr>
          <w:b/>
          <w:bCs/>
          <w:sz w:val="19"/>
          <w:szCs w:val="19"/>
        </w:rPr>
        <w:t>Chceme se držet oné, která nás vede k úsudku, že za daných předpokladů zdařilo se Beranově vládě — díky ovšem vrozenému politickému talentu a rozumnosti našeho českého- lidu — že jsme se dostali bez strašlivých křečí přes události takového rozsahu, jaké js</w:t>
      </w:r>
      <w:r>
        <w:rPr>
          <w:b/>
          <w:bCs/>
          <w:sz w:val="19"/>
          <w:szCs w:val="19"/>
        </w:rPr>
        <w:t>me právě prožili.</w:t>
      </w:r>
    </w:p>
    <w:p w:rsidR="00500724" w:rsidRDefault="00F30FB8">
      <w:pPr>
        <w:pStyle w:val="Zkladntext100"/>
        <w:shd w:val="clear" w:color="auto" w:fill="auto"/>
        <w:spacing w:line="185" w:lineRule="auto"/>
        <w:ind w:firstLine="240"/>
        <w:rPr>
          <w:sz w:val="19"/>
          <w:szCs w:val="19"/>
        </w:rPr>
      </w:pPr>
      <w:r>
        <w:rPr>
          <w:b/>
          <w:bCs/>
          <w:sz w:val="19"/>
          <w:szCs w:val="19"/>
        </w:rPr>
        <w:t>Z Beranovy vlády odešli celkem čtyři ministři. Funkce dvou z nich, ministra zahraničí a Národní obrany, zanikly, funkce třetího, ministra vnitra, splynula s funkcí premiér</w:t>
      </w:r>
      <w:r>
        <w:rPr>
          <w:b/>
          <w:bCs/>
          <w:sz w:val="19"/>
          <w:szCs w:val="19"/>
        </w:rPr>
        <w:softHyphen/>
        <w:t>skou, jejíž nositel sám také odešel. Nový předseda vlády, dosavadn</w:t>
      </w:r>
      <w:r>
        <w:rPr>
          <w:b/>
          <w:bCs/>
          <w:sz w:val="19"/>
          <w:szCs w:val="19"/>
        </w:rPr>
        <w:t>í ministr dopravy, inž. Eliáš, energický muž v nejlepším věku, se osvědčil jako ělověk, který je s to takové břímě unésti. Toť se rozumí, že mu přejeme všichni v jeho práci zdaru, ale to nestačí, bude potřebí, aby každý, kdo může a na koho přijde sebemenší</w:t>
      </w:r>
      <w:r>
        <w:rPr>
          <w:b/>
          <w:bCs/>
          <w:sz w:val="19"/>
          <w:szCs w:val="19"/>
        </w:rPr>
        <w:t xml:space="preserve"> úkol, také sám po</w:t>
      </w:r>
      <w:r>
        <w:rPr>
          <w:b/>
          <w:bCs/>
          <w:sz w:val="19"/>
          <w:szCs w:val="19"/>
        </w:rPr>
        <w:softHyphen/>
        <w:t>máhal. Ani nový předseda vlády není v situaci, kterou by bylo možno mu závidět, a bude pro něho platit ono staré pra</w:t>
      </w:r>
      <w:r>
        <w:rPr>
          <w:b/>
          <w:bCs/>
          <w:sz w:val="19"/>
          <w:szCs w:val="19"/>
        </w:rPr>
        <w:softHyphen/>
        <w:t xml:space="preserve">vidlo, které s oblibou citovával kterýsi český politik, že to »v politice vyhraje ten, kdo se dá později otrávíte. A to </w:t>
      </w:r>
      <w:r>
        <w:rPr>
          <w:b/>
          <w:bCs/>
          <w:sz w:val="19"/>
          <w:szCs w:val="19"/>
        </w:rPr>
        <w:t>platí i teď, kdy té politické politiky ministerský předseda inž. Eliáš pochopitelně nebude míti ani zdaleka tolik, jako jí mívali jeho předchůdci.</w:t>
      </w:r>
    </w:p>
    <w:p w:rsidR="00500724" w:rsidRDefault="00F30FB8">
      <w:pPr>
        <w:pStyle w:val="Zkladntext100"/>
        <w:shd w:val="clear" w:color="auto" w:fill="auto"/>
        <w:tabs>
          <w:tab w:val="left" w:pos="4690"/>
        </w:tabs>
        <w:spacing w:after="160" w:line="185" w:lineRule="auto"/>
        <w:ind w:firstLine="240"/>
        <w:rPr>
          <w:sz w:val="20"/>
          <w:szCs w:val="20"/>
        </w:rPr>
      </w:pPr>
      <w:r>
        <w:rPr>
          <w:b/>
          <w:bCs/>
          <w:sz w:val="19"/>
          <w:szCs w:val="19"/>
        </w:rPr>
        <w:t>O předsedovi vlády inž. Eliášovi soudíme, že je to muž, který bude míti nejen odvahu, ale i sílu říkat jak vl</w:t>
      </w:r>
      <w:r>
        <w:rPr>
          <w:b/>
          <w:bCs/>
          <w:sz w:val="19"/>
          <w:szCs w:val="19"/>
        </w:rPr>
        <w:t>ast</w:t>
      </w:r>
      <w:r>
        <w:rPr>
          <w:b/>
          <w:bCs/>
          <w:sz w:val="19"/>
          <w:szCs w:val="19"/>
        </w:rPr>
        <w:softHyphen/>
        <w:t>nímu národu, tak i osvědčeným vedoucím mužům Íííše věci tak, jak jsou: střízlivě, jasně, mužně a na základě fakt. A právě takové jednání je jeho povinnost. Těžká povinnost, velmi podobná oběti.</w:t>
      </w:r>
      <w:r>
        <w:rPr>
          <w:b/>
          <w:bCs/>
          <w:sz w:val="19"/>
          <w:szCs w:val="19"/>
        </w:rPr>
        <w:tab/>
      </w:r>
      <w:r>
        <w:rPr>
          <w:i/>
          <w:iCs/>
          <w:sz w:val="20"/>
          <w:szCs w:val="20"/>
        </w:rPr>
        <w:t>Cis.</w:t>
      </w:r>
    </w:p>
    <w:p w:rsidR="00500724" w:rsidRDefault="00F30FB8">
      <w:pPr>
        <w:pStyle w:val="Zkladntext20"/>
        <w:shd w:val="clear" w:color="auto" w:fill="auto"/>
        <w:spacing w:after="60" w:line="175" w:lineRule="auto"/>
        <w:ind w:firstLine="0"/>
        <w:jc w:val="center"/>
        <w:rPr>
          <w:sz w:val="20"/>
          <w:szCs w:val="20"/>
        </w:rPr>
      </w:pPr>
      <w:r>
        <w:rPr>
          <w:b/>
          <w:bCs/>
          <w:sz w:val="20"/>
          <w:szCs w:val="20"/>
        </w:rPr>
        <w:t>Sebeurčení a státní nezávislost národů</w:t>
      </w:r>
    </w:p>
    <w:p w:rsidR="00500724" w:rsidRDefault="00F30FB8">
      <w:pPr>
        <w:pStyle w:val="Zkladntext100"/>
        <w:shd w:val="clear" w:color="auto" w:fill="auto"/>
        <w:spacing w:line="185" w:lineRule="auto"/>
        <w:ind w:firstLine="300"/>
        <w:rPr>
          <w:sz w:val="19"/>
          <w:szCs w:val="19"/>
        </w:rPr>
      </w:pPr>
      <w:r>
        <w:rPr>
          <w:b/>
          <w:bCs/>
          <w:sz w:val="19"/>
          <w:szCs w:val="19"/>
          <w:lang w:val="en-US" w:eastAsia="en-US" w:bidi="en-US"/>
        </w:rPr>
        <w:t xml:space="preserve">^Frankfurter </w:t>
      </w:r>
      <w:r>
        <w:rPr>
          <w:b/>
          <w:bCs/>
          <w:sz w:val="19"/>
          <w:szCs w:val="19"/>
        </w:rPr>
        <w:t>Z</w:t>
      </w:r>
      <w:r>
        <w:rPr>
          <w:b/>
          <w:bCs/>
          <w:sz w:val="19"/>
          <w:szCs w:val="19"/>
        </w:rPr>
        <w:t>eitung« přinesla tyto dny zajímavou úvahu pod nadpisem »Slované a německý duch«, v niž odpovídá na některé západoevropské námitky proti zřízeni říšského protektorátu nad Čechami a Moravou. Citujeme z obšírného článku několik podstatných míst:</w:t>
      </w:r>
    </w:p>
    <w:p w:rsidR="00500724" w:rsidRDefault="00F30FB8">
      <w:pPr>
        <w:pStyle w:val="Zkladntext100"/>
        <w:shd w:val="clear" w:color="auto" w:fill="auto"/>
        <w:spacing w:line="185" w:lineRule="auto"/>
        <w:ind w:firstLine="300"/>
        <w:rPr>
          <w:sz w:val="19"/>
          <w:szCs w:val="19"/>
        </w:rPr>
      </w:pPr>
      <w:r>
        <w:rPr>
          <w:b/>
          <w:bCs/>
          <w:sz w:val="19"/>
          <w:szCs w:val="19"/>
        </w:rPr>
        <w:t>»Mocensko-poI</w:t>
      </w:r>
      <w:r>
        <w:rPr>
          <w:b/>
          <w:bCs/>
          <w:sz w:val="19"/>
          <w:szCs w:val="19"/>
        </w:rPr>
        <w:t>itický převrat je zajisté hlavním důvodem rozladění, které se nyní projevuje u západních mocností a v jiných zemích nad zřízením protektorátu v Čechách a na Moravě; ale vystrkují se raději do popředí námitky, které mluví k citu a tak mohou působiti na veře</w:t>
      </w:r>
      <w:r>
        <w:rPr>
          <w:b/>
          <w:bCs/>
          <w:sz w:val="19"/>
          <w:szCs w:val="19"/>
        </w:rPr>
        <w:t>jné mínění; mluví se o sebeurčení svobodného národa, které prý bylo zde, v oblasti bývalého Česko-Siovenska, brutálně potlačeno. Málo z těch, na jejichž sympatii k Čechům se tímto způso</w:t>
      </w:r>
      <w:r>
        <w:rPr>
          <w:b/>
          <w:bCs/>
          <w:sz w:val="19"/>
          <w:szCs w:val="19"/>
        </w:rPr>
        <w:softHyphen/>
        <w:t>bem apeluje, zná asi dostatečně dějiny národního vědomí východoevropsk</w:t>
      </w:r>
      <w:r>
        <w:rPr>
          <w:b/>
          <w:bCs/>
          <w:sz w:val="19"/>
          <w:szCs w:val="19"/>
        </w:rPr>
        <w:t>ých národů a zvláště Čechů, a jen málo</w:t>
      </w:r>
      <w:r>
        <w:rPr>
          <w:b/>
          <w:bCs/>
          <w:sz w:val="19"/>
          <w:szCs w:val="19"/>
        </w:rPr>
        <w:softHyphen/>
        <w:t>kterým z nich je asi známo, jak silné vlivy německého ducha daly v posledním století národům evropského jiho</w:t>
      </w:r>
      <w:r>
        <w:rPr>
          <w:b/>
          <w:bCs/>
          <w:sz w:val="19"/>
          <w:szCs w:val="19"/>
        </w:rPr>
        <w:softHyphen/>
        <w:t>východu podněty k novému životu, ba lze skoro říci k jejich prvnímu národnímu životu v moderním smyslu slova</w:t>
      </w:r>
      <w:r>
        <w:rPr>
          <w:b/>
          <w:bCs/>
          <w:sz w:val="19"/>
          <w:szCs w:val="19"/>
        </w:rPr>
        <w:t>.«</w:t>
      </w:r>
    </w:p>
    <w:p w:rsidR="00500724" w:rsidRDefault="00F30FB8">
      <w:pPr>
        <w:pStyle w:val="Zkladntext100"/>
        <w:shd w:val="clear" w:color="auto" w:fill="auto"/>
        <w:spacing w:line="187" w:lineRule="auto"/>
        <w:ind w:firstLine="240"/>
        <w:rPr>
          <w:sz w:val="19"/>
          <w:szCs w:val="19"/>
        </w:rPr>
      </w:pPr>
      <w:r>
        <w:rPr>
          <w:b/>
          <w:bCs/>
          <w:sz w:val="19"/>
          <w:szCs w:val="19"/>
        </w:rPr>
        <w:t>» Jistě působila francouzská revoluce,« pokračuje uvedený článek, x-jako povel k probuzení, v němž se ozýval tón svo</w:t>
      </w:r>
      <w:r>
        <w:rPr>
          <w:b/>
          <w:bCs/>
          <w:sz w:val="19"/>
          <w:szCs w:val="19"/>
        </w:rPr>
        <w:softHyphen/>
        <w:t>body, svobody nejen v individuálním, nýbrž také v národ</w:t>
      </w:r>
      <w:r>
        <w:rPr>
          <w:b/>
          <w:bCs/>
          <w:sz w:val="19"/>
          <w:szCs w:val="19"/>
        </w:rPr>
        <w:softHyphen/>
        <w:t>ním smyslu. U slovanských národů se však tyto myšlenky uplatnily teprve německým</w:t>
      </w:r>
      <w:r>
        <w:rPr>
          <w:b/>
          <w:bCs/>
          <w:sz w:val="19"/>
          <w:szCs w:val="19"/>
        </w:rPr>
        <w:t xml:space="preserve"> prostřednictvím a nabyly tu zvláštní povahy. Článek pak připomíná jméno Herderovo, jehož učení se u Slovanů tak silně ujalo také proto, že slo</w:t>
      </w:r>
      <w:r>
        <w:rPr>
          <w:b/>
          <w:bCs/>
          <w:sz w:val="19"/>
          <w:szCs w:val="19"/>
        </w:rPr>
        <w:softHyphen/>
        <w:t>vanské národy byly tehdy v podobném nesamostatném po</w:t>
      </w:r>
      <w:r>
        <w:rPr>
          <w:b/>
          <w:bCs/>
          <w:sz w:val="19"/>
          <w:szCs w:val="19"/>
        </w:rPr>
        <w:softHyphen/>
        <w:t xml:space="preserve">stavení jako národ německý. </w:t>
      </w:r>
      <w:r>
        <w:rPr>
          <w:b/>
          <w:bCs/>
          <w:sz w:val="19"/>
          <w:szCs w:val="19"/>
          <w:lang w:val="en-US" w:eastAsia="en-US" w:bidi="en-US"/>
        </w:rPr>
        <w:t xml:space="preserve">Herder </w:t>
      </w:r>
      <w:r>
        <w:rPr>
          <w:b/>
          <w:bCs/>
          <w:sz w:val="19"/>
          <w:szCs w:val="19"/>
        </w:rPr>
        <w:t>nijak neskrýval svou nák</w:t>
      </w:r>
      <w:r>
        <w:rPr>
          <w:b/>
          <w:bCs/>
          <w:sz w:val="19"/>
          <w:szCs w:val="19"/>
        </w:rPr>
        <w:t>lonnost k Slovanům a připisoval jim velkou historickou budoucnost. Západní odpůrci říšskoněmecké politiky nyní namítají: »Dnešní Německo je úzkoprsé nacionalistické; hladoví jen po moci a ve svém mocenském bažení potlačuje tytéž národy, do nichž kdysi zase</w:t>
      </w:r>
      <w:r>
        <w:rPr>
          <w:b/>
          <w:bCs/>
          <w:sz w:val="19"/>
          <w:szCs w:val="19"/>
        </w:rPr>
        <w:t>lo semeno svobody a samo</w:t>
      </w:r>
      <w:r>
        <w:rPr>
          <w:b/>
          <w:bCs/>
          <w:sz w:val="19"/>
          <w:szCs w:val="19"/>
        </w:rPr>
        <w:softHyphen/>
        <w:t>statnosti. Nacionálně-socialistické Německo zapírá Němec</w:t>
      </w:r>
      <w:r>
        <w:rPr>
          <w:b/>
          <w:bCs/>
          <w:sz w:val="19"/>
          <w:szCs w:val="19"/>
        </w:rPr>
        <w:softHyphen/>
        <w:t>ko z dob velkého německého duchovního života, Německo doby Goethovy a Schillerovy, myslitelů a básníků, klasi</w:t>
      </w:r>
      <w:r>
        <w:rPr>
          <w:b/>
          <w:bCs/>
          <w:sz w:val="19"/>
          <w:szCs w:val="19"/>
        </w:rPr>
        <w:softHyphen/>
        <w:t>cismu a romantismu. Kdo se brání proti tomuto Německu, brání Něm</w:t>
      </w:r>
      <w:r>
        <w:rPr>
          <w:b/>
          <w:bCs/>
          <w:sz w:val="19"/>
          <w:szCs w:val="19"/>
        </w:rPr>
        <w:t>ecko pravé.«</w:t>
      </w:r>
    </w:p>
    <w:p w:rsidR="00500724" w:rsidRDefault="00F30FB8">
      <w:pPr>
        <w:pStyle w:val="Zkladntext100"/>
        <w:shd w:val="clear" w:color="auto" w:fill="auto"/>
        <w:spacing w:after="40" w:line="187" w:lineRule="auto"/>
        <w:ind w:firstLine="240"/>
        <w:rPr>
          <w:sz w:val="19"/>
          <w:szCs w:val="19"/>
        </w:rPr>
        <w:sectPr w:rsidR="00500724">
          <w:footnotePr>
            <w:numFmt w:val="chicago"/>
            <w:numRestart w:val="eachPage"/>
          </w:footnotePr>
          <w:type w:val="continuous"/>
          <w:pgSz w:w="11909" w:h="16834"/>
          <w:pgMar w:top="598" w:right="934" w:bottom="598" w:left="468" w:header="0" w:footer="3" w:gutter="0"/>
          <w:cols w:num="2" w:space="177"/>
          <w:noEndnote/>
          <w:docGrid w:linePitch="360"/>
        </w:sectPr>
      </w:pPr>
      <w:r>
        <w:rPr>
          <w:b/>
          <w:bCs/>
          <w:sz w:val="19"/>
          <w:szCs w:val="19"/>
        </w:rPr>
        <w:t>Na to odpovídá ^Frankfurter Zeitung« takto: »Nebudeme</w:t>
      </w:r>
    </w:p>
    <w:p w:rsidR="00500724" w:rsidRDefault="00F30FB8">
      <w:pPr>
        <w:pStyle w:val="Nadpis80"/>
        <w:keepNext/>
        <w:keepLines/>
        <w:pBdr>
          <w:bottom w:val="single" w:sz="4" w:space="0" w:color="auto"/>
        </w:pBdr>
        <w:shd w:val="clear" w:color="auto" w:fill="auto"/>
        <w:spacing w:after="0"/>
        <w:jc w:val="center"/>
        <w:rPr>
          <w:sz w:val="44"/>
          <w:szCs w:val="44"/>
        </w:rPr>
        <w:sectPr w:rsidR="00500724">
          <w:footnotePr>
            <w:numFmt w:val="chicago"/>
            <w:numRestart w:val="eachPage"/>
          </w:footnotePr>
          <w:pgSz w:w="11909" w:h="16834"/>
          <w:pgMar w:top="985" w:right="572" w:bottom="843" w:left="869" w:header="0" w:footer="3" w:gutter="0"/>
          <w:cols w:space="720"/>
          <w:noEndnote/>
          <w:docGrid w:linePitch="360"/>
        </w:sectPr>
      </w:pPr>
      <w:bookmarkStart w:id="449" w:name="bookmark448"/>
      <w:r>
        <w:rPr>
          <w:sz w:val="44"/>
          <w:szCs w:val="44"/>
          <w:u w:val="none"/>
        </w:rPr>
        <w:t>Přítomnosti</w:t>
      </w:r>
      <w:bookmarkEnd w:id="449"/>
    </w:p>
    <w:p w:rsidR="00500724" w:rsidRDefault="00500724">
      <w:pPr>
        <w:spacing w:line="77" w:lineRule="exact"/>
        <w:rPr>
          <w:sz w:val="6"/>
          <w:szCs w:val="6"/>
        </w:rPr>
      </w:pPr>
    </w:p>
    <w:p w:rsidR="00500724" w:rsidRDefault="00500724">
      <w:pPr>
        <w:spacing w:line="14" w:lineRule="exact"/>
        <w:sectPr w:rsidR="00500724">
          <w:footnotePr>
            <w:numFmt w:val="chicago"/>
            <w:numRestart w:val="eachPage"/>
          </w:footnotePr>
          <w:type w:val="continuous"/>
          <w:pgSz w:w="11909" w:h="16834"/>
          <w:pgMar w:top="985" w:right="0" w:bottom="843" w:left="0" w:header="0" w:footer="3" w:gutter="0"/>
          <w:cols w:space="720"/>
          <w:noEndnote/>
          <w:docGrid w:linePitch="360"/>
        </w:sectPr>
      </w:pPr>
    </w:p>
    <w:p w:rsidR="00500724" w:rsidRDefault="00F30FB8">
      <w:pPr>
        <w:pStyle w:val="Zkladntext100"/>
        <w:shd w:val="clear" w:color="auto" w:fill="auto"/>
        <w:spacing w:line="187" w:lineRule="auto"/>
        <w:ind w:firstLine="0"/>
        <w:rPr>
          <w:sz w:val="19"/>
          <w:szCs w:val="19"/>
        </w:rPr>
      </w:pPr>
      <w:r>
        <w:rPr>
          <w:b/>
          <w:bCs/>
          <w:sz w:val="19"/>
          <w:szCs w:val="19"/>
        </w:rPr>
        <w:t>zajisté na takovéto argumenty odpovídati, že nám nic ne</w:t>
      </w:r>
      <w:r>
        <w:rPr>
          <w:b/>
          <w:bCs/>
          <w:sz w:val="19"/>
          <w:szCs w:val="19"/>
        </w:rPr>
        <w:softHyphen/>
        <w:t xml:space="preserve">záleží na moci a že při zřízení </w:t>
      </w:r>
      <w:r>
        <w:rPr>
          <w:b/>
          <w:bCs/>
          <w:sz w:val="19"/>
          <w:szCs w:val="19"/>
        </w:rPr>
        <w:t>protektorátu nad Čechami a Moravou nehrálo žádnou roli přání, učiniti Německo sil</w:t>
      </w:r>
      <w:r>
        <w:rPr>
          <w:b/>
          <w:bCs/>
          <w:sz w:val="19"/>
          <w:szCs w:val="19"/>
        </w:rPr>
        <w:softHyphen/>
        <w:t>nějším a tím je lépe zajistiti. Dnešní Německo se nikdy netajilo tím, že považuje sílu svého národního státu za jedinou záruku toho, aby Němci nebyli zkracováni ve svých náro</w:t>
      </w:r>
      <w:r>
        <w:rPr>
          <w:b/>
          <w:bCs/>
          <w:sz w:val="19"/>
          <w:szCs w:val="19"/>
        </w:rPr>
        <w:t xml:space="preserve">cích. Jenom vzestup z bezmocnosti k moci umožnil semknutí Němců, bydlících v uzavřeném prostoru, do jedné říše. Umožňuje také bezpečné trvání této říše a její životní schopnost hospodářskou. K politickému zajištění shledali jsme nutným zříditi protektorát </w:t>
      </w:r>
      <w:r>
        <w:rPr>
          <w:b/>
          <w:bCs/>
          <w:sz w:val="19"/>
          <w:szCs w:val="19"/>
        </w:rPr>
        <w:t>nad Čechami a Moravou.«</w:t>
      </w:r>
    </w:p>
    <w:p w:rsidR="00500724" w:rsidRDefault="00F30FB8">
      <w:pPr>
        <w:pStyle w:val="Zkladntext100"/>
        <w:shd w:val="clear" w:color="auto" w:fill="auto"/>
        <w:spacing w:line="185" w:lineRule="auto"/>
        <w:rPr>
          <w:sz w:val="19"/>
          <w:szCs w:val="19"/>
        </w:rPr>
      </w:pPr>
      <w:r>
        <w:rPr>
          <w:b/>
          <w:bCs/>
          <w:sz w:val="19"/>
          <w:szCs w:val="19"/>
        </w:rPr>
        <w:t>»Dá se smířiti rozpor, který je mezi začleněním neněmec- kýcli národů do německé říše a mezi dřívějšími názory? Je to jiná řeč, kterou mluví dnešní Německo? Raději by</w:t>
      </w:r>
      <w:r>
        <w:rPr>
          <w:b/>
          <w:bCs/>
          <w:sz w:val="19"/>
          <w:szCs w:val="19"/>
        </w:rPr>
        <w:softHyphen/>
        <w:t>chom označili to, co se stalo, jako překlad duchovní, myš</w:t>
      </w:r>
      <w:r>
        <w:rPr>
          <w:b/>
          <w:bCs/>
          <w:sz w:val="19"/>
          <w:szCs w:val="19"/>
        </w:rPr>
        <w:softHyphen/>
        <w:t>lenkové</w:t>
      </w:r>
      <w:r>
        <w:rPr>
          <w:b/>
          <w:bCs/>
          <w:sz w:val="19"/>
          <w:szCs w:val="19"/>
        </w:rPr>
        <w:t xml:space="preserve"> a citové řeči Herderovy a jeho doby do nové poli</w:t>
      </w:r>
      <w:r>
        <w:rPr>
          <w:b/>
          <w:bCs/>
          <w:sz w:val="19"/>
          <w:szCs w:val="19"/>
        </w:rPr>
        <w:softHyphen/>
        <w:t>tické řeči. Ony myšlenky o národu se vyvinuly v nepoli</w:t>
      </w:r>
      <w:r>
        <w:rPr>
          <w:b/>
          <w:bCs/>
          <w:sz w:val="19"/>
          <w:szCs w:val="19"/>
        </w:rPr>
        <w:softHyphen/>
        <w:t>tickém Německu, v Německu, které mělo jakési romantické představy o žádoucí politické skutečnosti, ale málo prak</w:t>
      </w:r>
      <w:r>
        <w:rPr>
          <w:b/>
          <w:bCs/>
          <w:sz w:val="19"/>
          <w:szCs w:val="19"/>
        </w:rPr>
        <w:softHyphen/>
        <w:t xml:space="preserve">tického smyslu pro tuto skutečnost... </w:t>
      </w:r>
      <w:r>
        <w:rPr>
          <w:b/>
          <w:bCs/>
          <w:sz w:val="19"/>
          <w:szCs w:val="19"/>
        </w:rPr>
        <w:t>Skutečnost, k níž daly Herderovy myšlenky základ, vypadala jinak pro Ně</w:t>
      </w:r>
      <w:r>
        <w:rPr>
          <w:b/>
          <w:bCs/>
          <w:sz w:val="19"/>
          <w:szCs w:val="19"/>
        </w:rPr>
        <w:softHyphen/>
        <w:t>mecko, než si představovali původci a šiřitelé oněch ideí. Skutečnost vypadala jinak také pro národy slovanské. V jistém smyslu by bylo lze říci, že uspořádání na konci světové války z</w:t>
      </w:r>
      <w:r>
        <w:rPr>
          <w:b/>
          <w:bCs/>
          <w:sz w:val="19"/>
          <w:szCs w:val="19"/>
        </w:rPr>
        <w:t>namenalo pro Evropu ^předbřeznovou^ dobu, kdy se konstruovalo podle ideí, bez ohledu na poli</w:t>
      </w:r>
      <w:r>
        <w:rPr>
          <w:b/>
          <w:bCs/>
          <w:sz w:val="19"/>
          <w:szCs w:val="19"/>
        </w:rPr>
        <w:softHyphen/>
        <w:t>tické a hospodářské skutečnosti. Při velmi značných od</w:t>
      </w:r>
      <w:r>
        <w:rPr>
          <w:b/>
          <w:bCs/>
          <w:sz w:val="19"/>
          <w:szCs w:val="19"/>
        </w:rPr>
        <w:softHyphen/>
        <w:t xml:space="preserve">chylkách od ideálu národních států, které se u nových útvarů projevily, šlo vesměs o protiněmecké mocensko- </w:t>
      </w:r>
      <w:r>
        <w:rPr>
          <w:b/>
          <w:bCs/>
          <w:sz w:val="19"/>
          <w:szCs w:val="19"/>
        </w:rPr>
        <w:t>politické vlivy. Jestliže tehdy byly u díla cizí mocensko- politické vlivy, nabývají nyni váhy skutečnosti zeměpisné a historické a skutečná mocensko-politická situace vedle národnostních ideí.c</w:t>
      </w:r>
    </w:p>
    <w:p w:rsidR="00500724" w:rsidRDefault="00F30FB8">
      <w:pPr>
        <w:pStyle w:val="Zkladntext100"/>
        <w:shd w:val="clear" w:color="auto" w:fill="auto"/>
        <w:tabs>
          <w:tab w:val="left" w:pos="4613"/>
        </w:tabs>
        <w:spacing w:after="80" w:line="185" w:lineRule="auto"/>
        <w:rPr>
          <w:sz w:val="19"/>
          <w:szCs w:val="19"/>
        </w:rPr>
      </w:pPr>
      <w:r>
        <w:rPr>
          <w:b/>
          <w:bCs/>
          <w:sz w:val="19"/>
          <w:szCs w:val="19"/>
        </w:rPr>
        <w:t>»Třetí říše nepopírá národnost; naopak lze nalézti ko</w:t>
      </w:r>
      <w:r>
        <w:rPr>
          <w:b/>
          <w:bCs/>
          <w:sz w:val="19"/>
          <w:szCs w:val="19"/>
        </w:rPr>
        <w:softHyphen/>
        <w:t>řeny ná</w:t>
      </w:r>
      <w:r>
        <w:rPr>
          <w:b/>
          <w:bCs/>
          <w:sz w:val="19"/>
          <w:szCs w:val="19"/>
        </w:rPr>
        <w:t>rodní myšlenky nacionálně-socialistického raženi u téhož Herdera, který jako přítel Plovanů budil tyto ná</w:t>
      </w:r>
      <w:r>
        <w:rPr>
          <w:b/>
          <w:bCs/>
          <w:sz w:val="19"/>
          <w:szCs w:val="19"/>
        </w:rPr>
        <w:softHyphen/>
        <w:t>rody k národnímu vědomí. Tím, že Čechy a Morava, obklo</w:t>
      </w:r>
      <w:r>
        <w:rPr>
          <w:b/>
          <w:bCs/>
          <w:sz w:val="19"/>
          <w:szCs w:val="19"/>
        </w:rPr>
        <w:softHyphen/>
        <w:t>pené kolem dokola Německem, byly začleněny jako auto</w:t>
      </w:r>
      <w:r>
        <w:rPr>
          <w:b/>
          <w:bCs/>
          <w:sz w:val="19"/>
          <w:szCs w:val="19"/>
        </w:rPr>
        <w:softHyphen/>
        <w:t>nomní protektorát do německé říše, děje se</w:t>
      </w:r>
      <w:r>
        <w:rPr>
          <w:b/>
          <w:bCs/>
          <w:sz w:val="19"/>
          <w:szCs w:val="19"/>
        </w:rPr>
        <w:t xml:space="preserve"> pokus uvésti v souzvuk národní skutečnosti se světem politické skuteč</w:t>
      </w:r>
      <w:r>
        <w:rPr>
          <w:b/>
          <w:bCs/>
          <w:sz w:val="19"/>
          <w:szCs w:val="19"/>
        </w:rPr>
        <w:softHyphen/>
        <w:t>nosti... Požadavek sebeurčení je obecná teorie; zřízení protektorátu je politický krok, který vychází z určité poli</w:t>
      </w:r>
      <w:r>
        <w:rPr>
          <w:b/>
          <w:bCs/>
          <w:sz w:val="19"/>
          <w:szCs w:val="19"/>
        </w:rPr>
        <w:softHyphen/>
        <w:t xml:space="preserve">tické situace. Je proto nesprávné stavětí začlenění Čech a Moravy do </w:t>
      </w:r>
      <w:r>
        <w:rPr>
          <w:b/>
          <w:bCs/>
          <w:sz w:val="19"/>
          <w:szCs w:val="19"/>
        </w:rPr>
        <w:t>Říše na jednu rovinu a do rozporu se založe</w:t>
      </w:r>
      <w:r>
        <w:rPr>
          <w:b/>
          <w:bCs/>
          <w:sz w:val="19"/>
          <w:szCs w:val="19"/>
        </w:rPr>
        <w:softHyphen/>
        <w:t>ním národního uvědomení lidí, žijících v těchto zemích skrze německého ducha. Toto leží v oblasti duchovní, ono v oblasti politické. Ani duchovní ani politické nemůže exi</w:t>
      </w:r>
      <w:r>
        <w:rPr>
          <w:b/>
          <w:bCs/>
          <w:sz w:val="19"/>
          <w:szCs w:val="19"/>
        </w:rPr>
        <w:softHyphen/>
        <w:t>stovat samo o sobě. V oblasti politické j</w:t>
      </w:r>
      <w:r>
        <w:rPr>
          <w:b/>
          <w:bCs/>
          <w:sz w:val="19"/>
          <w:szCs w:val="19"/>
        </w:rPr>
        <w:t xml:space="preserve">sou kořeny, ale rostlina se musí vyvíjeti ve všedním světě. Skutečnost má rozmanité a střídavé potřeby. Proto nelze ze skutečnosti, že Německo pojalo Čechy a Moravu do Říše, vyvozovatí, že dnešní Německo chce se stejnou důsledností dobýti evropský východ, </w:t>
      </w:r>
      <w:r>
        <w:rPr>
          <w:b/>
          <w:bCs/>
          <w:sz w:val="19"/>
          <w:szCs w:val="19"/>
        </w:rPr>
        <w:t>s jakou jej svého času probudilo k ná</w:t>
      </w:r>
      <w:r>
        <w:rPr>
          <w:b/>
          <w:bCs/>
          <w:sz w:val="19"/>
          <w:szCs w:val="19"/>
        </w:rPr>
        <w:softHyphen/>
        <w:t>rodnímu vědomí. Nyní jde o ideu a o její politické uskuteč</w:t>
      </w:r>
      <w:r>
        <w:rPr>
          <w:b/>
          <w:bCs/>
          <w:sz w:val="19"/>
          <w:szCs w:val="19"/>
        </w:rPr>
        <w:softHyphen/>
        <w:t>nění, ne o ideu samotnou. Klásti rovnítko mezi právo na sebeurčení nějakého národa a mezi národní stát, vybavený všemi atributy, je příliš jednoduchý názor. Dě</w:t>
      </w:r>
      <w:r>
        <w:rPr>
          <w:b/>
          <w:bCs/>
          <w:sz w:val="19"/>
          <w:szCs w:val="19"/>
        </w:rPr>
        <w:t>jiny bývalého Československa, jehož užívali jeho přátelé jako válu proti Německu, obohatily také Čechy o zkušenost, že úplná svrchovanost se všemi atributy může býti pro národ žijící v daném okruhu nejvýš nebezpečným danajským darem. Tato svrchovanost se s</w:t>
      </w:r>
      <w:r>
        <w:rPr>
          <w:b/>
          <w:bCs/>
          <w:sz w:val="19"/>
          <w:szCs w:val="19"/>
        </w:rPr>
        <w:t>tává fikcí. Hnutí, které nyní po prvé pracuje pro semknutí všech Čechů v jediné národní frontě, ukazuje, že národní život může existovali také v jiných formách než ve formách svrchovaného státu. Také v cizině by se měly sledovati snahy tolika dobrých Čechů</w:t>
      </w:r>
      <w:r>
        <w:rPr>
          <w:b/>
          <w:bCs/>
          <w:sz w:val="19"/>
          <w:szCs w:val="19"/>
        </w:rPr>
        <w:t>, nalézti životní národní formu v rámci Velkého Německa, s pozor</w:t>
      </w:r>
      <w:r>
        <w:rPr>
          <w:b/>
          <w:bCs/>
          <w:sz w:val="19"/>
          <w:szCs w:val="19"/>
        </w:rPr>
        <w:softHyphen/>
        <w:t>ností, jaké zasluhují, místo aby se slyšela jen agitace, o kterou se pokouší dr. Beneš v Americe a která se dovo</w:t>
      </w:r>
      <w:r>
        <w:rPr>
          <w:b/>
          <w:bCs/>
          <w:sz w:val="19"/>
          <w:szCs w:val="19"/>
        </w:rPr>
        <w:softHyphen/>
        <w:t>lává více obkličovacích politiků než českého národa sa- mého.«</w:t>
      </w:r>
      <w:r>
        <w:rPr>
          <w:b/>
          <w:bCs/>
          <w:sz w:val="19"/>
          <w:szCs w:val="19"/>
        </w:rPr>
        <w:tab/>
        <w:t>Z. g.</w:t>
      </w:r>
    </w:p>
    <w:p w:rsidR="00500724" w:rsidRDefault="00F30FB8">
      <w:pPr>
        <w:pStyle w:val="Zkladntext20"/>
        <w:shd w:val="clear" w:color="auto" w:fill="auto"/>
        <w:spacing w:after="80" w:line="175" w:lineRule="auto"/>
        <w:ind w:firstLine="0"/>
        <w:jc w:val="center"/>
        <w:rPr>
          <w:sz w:val="20"/>
          <w:szCs w:val="20"/>
        </w:rPr>
      </w:pPr>
      <w:r>
        <w:rPr>
          <w:b/>
          <w:bCs/>
          <w:sz w:val="20"/>
          <w:szCs w:val="20"/>
        </w:rPr>
        <w:t xml:space="preserve">Kulturní </w:t>
      </w:r>
      <w:r>
        <w:rPr>
          <w:b/>
          <w:bCs/>
          <w:sz w:val="20"/>
          <w:szCs w:val="20"/>
        </w:rPr>
        <w:t>rubriky v novinách</w:t>
      </w:r>
    </w:p>
    <w:p w:rsidR="00500724" w:rsidRDefault="00F30FB8">
      <w:pPr>
        <w:pStyle w:val="Zkladntext100"/>
        <w:shd w:val="clear" w:color="auto" w:fill="auto"/>
        <w:spacing w:line="187" w:lineRule="auto"/>
        <w:ind w:firstLine="220"/>
        <w:rPr>
          <w:sz w:val="19"/>
          <w:szCs w:val="19"/>
        </w:rPr>
      </w:pPr>
      <w:r>
        <w:rPr>
          <w:b/>
          <w:bCs/>
          <w:sz w:val="19"/>
          <w:szCs w:val="19"/>
        </w:rPr>
        <w:t>Kulturní a fysická vyspělost jsou základními kvádry zdatností národa. Denní tisk informuje své čtenáře o udá</w:t>
      </w:r>
      <w:r>
        <w:rPr>
          <w:b/>
          <w:bCs/>
          <w:sz w:val="19"/>
          <w:szCs w:val="19"/>
        </w:rPr>
        <w:softHyphen/>
        <w:t>lostech politických, o vývoji hospodářském, přináší zprávy společenské a sportovní, informuje o filmu a o událostech uměleckých.</w:t>
      </w:r>
      <w:r>
        <w:rPr>
          <w:b/>
          <w:bCs/>
          <w:sz w:val="19"/>
          <w:szCs w:val="19"/>
        </w:rPr>
        <w:t xml:space="preserve"> Ne bez úmyslu uvádím umění na posledním místě. Vždyť podle rozsahu a umístění kulturní rubriky v našich novinách, je tato na posledním místě, ne-li vůbec vyřáděná. Nepodceňuji sport, jak vidno z úvodní věty, ale jsem přesvědčen, že všichni umělci závidí s</w:t>
      </w:r>
      <w:r>
        <w:rPr>
          <w:b/>
          <w:bCs/>
          <w:sz w:val="19"/>
          <w:szCs w:val="19"/>
        </w:rPr>
        <w:t>portu jeho vý</w:t>
      </w:r>
      <w:r>
        <w:rPr>
          <w:b/>
          <w:bCs/>
          <w:sz w:val="19"/>
          <w:szCs w:val="19"/>
        </w:rPr>
        <w:softHyphen/>
        <w:t>sadní postavení na stránkách našeho denního tisku. Uvažme jen, že v takovém večerníku, nejrozšířenějším u nás denním časopisu, listu o 4 až 6 stranách, má sport pravidelně celou poslední stranu, kdežto se ve večerníku jen výjimečně objeví zpr</w:t>
      </w:r>
      <w:r>
        <w:rPr>
          <w:b/>
          <w:bCs/>
          <w:sz w:val="19"/>
          <w:szCs w:val="19"/>
        </w:rPr>
        <w:t>áva o nějaké vernisáži, či o kon</w:t>
      </w:r>
      <w:r>
        <w:rPr>
          <w:b/>
          <w:bCs/>
          <w:sz w:val="19"/>
          <w:szCs w:val="19"/>
        </w:rPr>
        <w:softHyphen/>
        <w:t>certě. A to je ještě náhoda, je-li její umístění a úprava taková, že upoutá pozornost většiny čtenářů.</w:t>
      </w:r>
    </w:p>
    <w:p w:rsidR="00500724" w:rsidRDefault="00F30FB8">
      <w:pPr>
        <w:pStyle w:val="Zkladntext100"/>
        <w:shd w:val="clear" w:color="auto" w:fill="auto"/>
        <w:spacing w:line="206" w:lineRule="auto"/>
        <w:ind w:firstLine="220"/>
        <w:rPr>
          <w:sz w:val="19"/>
          <w:szCs w:val="19"/>
        </w:rPr>
      </w:pPr>
      <w:r>
        <w:rPr>
          <w:b/>
          <w:bCs/>
          <w:sz w:val="19"/>
          <w:szCs w:val="19"/>
        </w:rPr>
        <w:t>Někdo snad namítne, že večerní vydání našeho denního tisku nutno přiblížit požadavkům a vkusu širokého čtenář</w:t>
      </w:r>
      <w:r>
        <w:rPr>
          <w:b/>
          <w:bCs/>
          <w:sz w:val="19"/>
          <w:szCs w:val="19"/>
        </w:rPr>
        <w:softHyphen/>
        <w:t xml:space="preserve">stva a že </w:t>
      </w:r>
      <w:r>
        <w:rPr>
          <w:b/>
          <w:bCs/>
          <w:sz w:val="19"/>
          <w:szCs w:val="19"/>
        </w:rPr>
        <w:t>se kulturní rubrika tolik nečte. Já ovšem takovou námitku především odmítám a poukazuji na výchovný význam novin. Tvrdím, že právě náš denní tisk nese vel</w:t>
      </w:r>
      <w:r>
        <w:rPr>
          <w:b/>
          <w:bCs/>
          <w:sz w:val="19"/>
          <w:szCs w:val="19"/>
        </w:rPr>
        <w:softHyphen/>
        <w:t>kou vinu na tom, nenacházíme-li dostatek zájmu u širo</w:t>
      </w:r>
      <w:r>
        <w:rPr>
          <w:b/>
          <w:bCs/>
          <w:sz w:val="19"/>
          <w:szCs w:val="19"/>
        </w:rPr>
        <w:softHyphen/>
        <w:t xml:space="preserve">kého čtenářstva a to, co který malíř namaloval </w:t>
      </w:r>
      <w:r>
        <w:rPr>
          <w:b/>
          <w:bCs/>
          <w:sz w:val="19"/>
          <w:szCs w:val="19"/>
        </w:rPr>
        <w:t>a kde vy</w:t>
      </w:r>
      <w:r>
        <w:rPr>
          <w:b/>
          <w:bCs/>
          <w:sz w:val="19"/>
          <w:szCs w:val="19"/>
        </w:rPr>
        <w:softHyphen/>
        <w:t>stavuje, co je v literatuře nového a co vyšlo v opětovném, novém vydání ze starší, již uznané a oblíbené literatury, dále co se děje v divadle a co v koncertních síních.</w:t>
      </w:r>
    </w:p>
    <w:p w:rsidR="00500724" w:rsidRDefault="00F30FB8">
      <w:pPr>
        <w:pStyle w:val="Zkladntext100"/>
        <w:shd w:val="clear" w:color="auto" w:fill="auto"/>
        <w:spacing w:line="185" w:lineRule="auto"/>
        <w:ind w:firstLine="220"/>
        <w:rPr>
          <w:sz w:val="19"/>
          <w:szCs w:val="19"/>
        </w:rPr>
      </w:pPr>
      <w:r>
        <w:rPr>
          <w:b/>
          <w:bCs/>
          <w:sz w:val="19"/>
          <w:szCs w:val="19"/>
        </w:rPr>
        <w:t>Večerníky vychovaly lid. Zainteresovaly neomalenými reportážemi čtenářstvo na</w:t>
      </w:r>
      <w:r>
        <w:rPr>
          <w:b/>
          <w:bCs/>
          <w:sz w:val="19"/>
          <w:szCs w:val="19"/>
        </w:rPr>
        <w:t xml:space="preserve"> soudních a porotních líčeních, na soutěžích krásy někde až na Floridě, na problematic</w:t>
      </w:r>
      <w:r>
        <w:rPr>
          <w:b/>
          <w:bCs/>
          <w:sz w:val="19"/>
          <w:szCs w:val="19"/>
        </w:rPr>
        <w:softHyphen/>
        <w:t>kých vynálezech, jejichž praktické využití se nikdy ne</w:t>
      </w:r>
      <w:r>
        <w:rPr>
          <w:b/>
          <w:bCs/>
          <w:sz w:val="19"/>
          <w:szCs w:val="19"/>
        </w:rPr>
        <w:softHyphen/>
        <w:t xml:space="preserve">uskuteční; pak přijde nějaké to přepadení nebo sensační defraudace, hrozná zpráva o obchodnících bílým masem, pak </w:t>
      </w:r>
      <w:r>
        <w:rPr>
          <w:b/>
          <w:bCs/>
          <w:sz w:val="19"/>
          <w:szCs w:val="19"/>
        </w:rPr>
        <w:t>klep o nějaké filmové hvězdě a nakonec přijde celá dlouhá stránka, věnovaná sportu. Co je v takovém večer</w:t>
      </w:r>
      <w:r>
        <w:rPr>
          <w:b/>
          <w:bCs/>
          <w:sz w:val="19"/>
          <w:szCs w:val="19"/>
        </w:rPr>
        <w:softHyphen/>
        <w:t>níku promarněného místa, které by se mělo stát tribunou pro náš kulturní život. Uznávám, že na příklad v pondělí po nedělních footballových zápasech č</w:t>
      </w:r>
      <w:r>
        <w:rPr>
          <w:b/>
          <w:bCs/>
          <w:sz w:val="19"/>
          <w:szCs w:val="19"/>
        </w:rPr>
        <w:t>asto ani ta poslední stránka nestačí a plným právem se sportovní rubrika rozšíří i na stránku předcházející. Může-li se však v neděli rozšířit, proč by se nemohla aspoň v některé všední dny zúžit a posloužit uvolněným místem hodnotám kulturním, tím spíš, k</w:t>
      </w:r>
      <w:r>
        <w:rPr>
          <w:b/>
          <w:bCs/>
          <w:sz w:val="19"/>
          <w:szCs w:val="19"/>
        </w:rPr>
        <w:t>dyž často při čtení sportovní rubriky pozoru</w:t>
      </w:r>
      <w:r>
        <w:rPr>
          <w:b/>
          <w:bCs/>
          <w:sz w:val="19"/>
          <w:szCs w:val="19"/>
        </w:rPr>
        <w:softHyphen/>
        <w:t>jeme, že vlastně ani není o čem psát a že jen tak ze setrvačností se sportu celá poslední strana ponechává. Do</w:t>
      </w:r>
      <w:r>
        <w:rPr>
          <w:b/>
          <w:bCs/>
          <w:sz w:val="19"/>
          <w:szCs w:val="19"/>
        </w:rPr>
        <w:softHyphen/>
        <w:t>čtete se tu v obšírném článku, že za týden uvidí Praha zápas, který slibuje atd. atd. Je to dělání r</w:t>
      </w:r>
      <w:r>
        <w:rPr>
          <w:b/>
          <w:bCs/>
          <w:sz w:val="19"/>
          <w:szCs w:val="19"/>
        </w:rPr>
        <w:t>eklamy spor</w:t>
      </w:r>
      <w:r>
        <w:rPr>
          <w:b/>
          <w:bCs/>
          <w:sz w:val="19"/>
          <w:szCs w:val="19"/>
        </w:rPr>
        <w:softHyphen/>
        <w:t>tovnímu podniku tučnými literami, ačkoliv je do zápasu ještě daleko a stačila by zatím stručná noticka podobně jako bývá reklamována nějaká umělecká událost. Smířili bychom se s tím, kdyby pak dva dny před zápasem byl onen sportovní podnik rekl</w:t>
      </w:r>
      <w:r>
        <w:rPr>
          <w:b/>
          <w:bCs/>
          <w:sz w:val="19"/>
          <w:szCs w:val="19"/>
        </w:rPr>
        <w:t>amován způsobem, jíikého se sice nedočká nikdy žádný koncert, který jde-li o sportovní podnik je uplatňován téměř celý týden a kde se už napřed dovíte o chystaném utkání podrobnosti, že málem uvěříte, že ten či onen hráč je v úžasné kondici. Ve skutečnosti</w:t>
      </w:r>
      <w:r>
        <w:rPr>
          <w:b/>
          <w:bCs/>
          <w:sz w:val="19"/>
          <w:szCs w:val="19"/>
        </w:rPr>
        <w:t xml:space="preserve"> to pak při mezinárodním utkání většinou —, ale zcela jistě ve </w:t>
      </w:r>
      <w:r>
        <w:rPr>
          <w:b/>
          <w:bCs/>
          <w:sz w:val="19"/>
          <w:szCs w:val="19"/>
          <w:lang w:val="en-US" w:eastAsia="en-US" w:bidi="en-US"/>
        </w:rPr>
        <w:t xml:space="preserve">finale </w:t>
      </w:r>
      <w:r>
        <w:rPr>
          <w:b/>
          <w:bCs/>
          <w:sz w:val="19"/>
          <w:szCs w:val="19"/>
        </w:rPr>
        <w:t>podle osvědčené už metody prohrajeme a nic nepomohla zbytečná disertace. Ve sportovní rubrice do</w:t>
      </w:r>
      <w:r>
        <w:rPr>
          <w:b/>
          <w:bCs/>
          <w:sz w:val="19"/>
          <w:szCs w:val="19"/>
        </w:rPr>
        <w:softHyphen/>
        <w:t>čtete se ve velmi podrobných referátech o zcela bezvýz</w:t>
      </w:r>
      <w:r>
        <w:rPr>
          <w:b/>
          <w:bCs/>
          <w:sz w:val="19"/>
          <w:szCs w:val="19"/>
        </w:rPr>
        <w:softHyphen/>
        <w:t>namných zápasech. Sebe méně význam</w:t>
      </w:r>
      <w:r>
        <w:rPr>
          <w:b/>
          <w:bCs/>
          <w:sz w:val="19"/>
          <w:szCs w:val="19"/>
        </w:rPr>
        <w:t>ný kulturní podnik je tu ve srovnání s takovým zápasem pravou událostí a ovšem, že se o něm nedočtete ničeho. Sportovní rubrika informuje své čtenáře také velmi obšírně o sportovních událostech zahraničních, ale ze žádného večerníku a jen z mála ranních no</w:t>
      </w:r>
      <w:r>
        <w:rPr>
          <w:b/>
          <w:bCs/>
          <w:sz w:val="19"/>
          <w:szCs w:val="19"/>
        </w:rPr>
        <w:t>vin dovíte se něco o kulturních počinech v zahraničí. Fotografie umělce, našeho českého umělce je v našich denících zvláštností, která je vyhrazena jen těm, kteří této reklamy a pozornosti už bud’ nepotřebují, buď ani nezaslouží. Na druhé straně se však sp</w:t>
      </w:r>
      <w:r>
        <w:rPr>
          <w:b/>
          <w:bCs/>
          <w:sz w:val="19"/>
          <w:szCs w:val="19"/>
        </w:rPr>
        <w:t xml:space="preserve">ortovní rubrika přímo hemží fotografiemi a kresbami sportovních sfarů. Sám jako umělec dobře vím, že nejlepší a nezbytnou reklamou pro umělce je skutečně hodně umět. Kde to své umění má však taliový mladý snaživec ukázat? Kde jinde než před obecenstvem. K </w:t>
      </w:r>
      <w:r>
        <w:rPr>
          <w:b/>
          <w:bCs/>
          <w:sz w:val="19"/>
          <w:szCs w:val="19"/>
        </w:rPr>
        <w:t>tomu je však zapotřebí reklamy v denním tisku, jinak se ono nezbytné obecenstvo ani o podniku nedoví.</w:t>
      </w:r>
    </w:p>
    <w:p w:rsidR="00500724" w:rsidRDefault="00F30FB8">
      <w:pPr>
        <w:pStyle w:val="Zkladntext100"/>
        <w:shd w:val="clear" w:color="auto" w:fill="auto"/>
        <w:spacing w:line="185" w:lineRule="auto"/>
        <w:ind w:firstLine="220"/>
        <w:rPr>
          <w:sz w:val="19"/>
          <w:szCs w:val="19"/>
        </w:rPr>
      </w:pPr>
      <w:r>
        <w:rPr>
          <w:b/>
          <w:bCs/>
          <w:sz w:val="19"/>
          <w:szCs w:val="19"/>
        </w:rPr>
        <w:t>Náš nejrozšířenějši večerní tisk jistě si nedá upřít vý</w:t>
      </w:r>
      <w:r>
        <w:rPr>
          <w:b/>
          <w:bCs/>
          <w:sz w:val="19"/>
          <w:szCs w:val="19"/>
        </w:rPr>
        <w:softHyphen/>
        <w:t>sadu, že on především působí na mínění a vkus nej</w:t>
      </w:r>
      <w:r>
        <w:rPr>
          <w:b/>
          <w:bCs/>
          <w:sz w:val="19"/>
          <w:szCs w:val="19"/>
        </w:rPr>
        <w:softHyphen/>
        <w:t xml:space="preserve">širších vrstev národa- V tom případě ať si také </w:t>
      </w:r>
      <w:r>
        <w:rPr>
          <w:b/>
          <w:bCs/>
          <w:sz w:val="19"/>
          <w:szCs w:val="19"/>
        </w:rPr>
        <w:t>příslušní činitelé uvědomí zodpovědnost, kterou svým tiskem berou na sebe. Zbylo i při ponechání celostránkové sportovní rubriky jistě dost místa pro kulturu, zvláště pro národní kulturu, které si teď tím více musíme hledět a ji pěstovat. Je tedy národní p</w:t>
      </w:r>
      <w:r>
        <w:rPr>
          <w:b/>
          <w:bCs/>
          <w:sz w:val="19"/>
          <w:szCs w:val="19"/>
        </w:rPr>
        <w:t>ovinností našeho denního tisku, hlavně toho nejrozšířenějšího a nejčtenějšího, všechny kulturní snahy reklamovat, o nich své čtenáře systematicky infor</w:t>
      </w:r>
      <w:r>
        <w:rPr>
          <w:b/>
          <w:bCs/>
          <w:sz w:val="19"/>
          <w:szCs w:val="19"/>
        </w:rPr>
        <w:softHyphen/>
        <w:t>movat, nebof v jádru dobrý český ělověk potřebuje ne</w:t>
      </w:r>
      <w:r>
        <w:rPr>
          <w:b/>
          <w:bCs/>
          <w:sz w:val="19"/>
          <w:szCs w:val="19"/>
        </w:rPr>
        <w:softHyphen/>
        <w:t>zbytně přímějšího a vyslovenějšího zaměření ke kult</w:t>
      </w:r>
      <w:r>
        <w:rPr>
          <w:b/>
          <w:bCs/>
          <w:sz w:val="19"/>
          <w:szCs w:val="19"/>
        </w:rPr>
        <w:t>uře.</w:t>
      </w:r>
    </w:p>
    <w:p w:rsidR="00500724" w:rsidRDefault="00F30FB8">
      <w:pPr>
        <w:pStyle w:val="Zkladntext100"/>
        <w:shd w:val="clear" w:color="auto" w:fill="auto"/>
        <w:spacing w:line="185" w:lineRule="auto"/>
        <w:ind w:firstLine="0"/>
        <w:jc w:val="right"/>
        <w:rPr>
          <w:sz w:val="19"/>
          <w:szCs w:val="19"/>
        </w:rPr>
        <w:sectPr w:rsidR="00500724">
          <w:footnotePr>
            <w:numFmt w:val="chicago"/>
            <w:numRestart w:val="eachPage"/>
          </w:footnotePr>
          <w:type w:val="continuous"/>
          <w:pgSz w:w="11909" w:h="16834"/>
          <w:pgMar w:top="985" w:right="572" w:bottom="843" w:left="869" w:header="0" w:footer="3" w:gutter="0"/>
          <w:cols w:num="2" w:space="158"/>
          <w:noEndnote/>
          <w:docGrid w:linePitch="360"/>
        </w:sectPr>
      </w:pPr>
      <w:r>
        <w:rPr>
          <w:b/>
          <w:bCs/>
          <w:i/>
          <w:iCs/>
          <w:sz w:val="19"/>
          <w:szCs w:val="19"/>
        </w:rPr>
        <w:t>Člen České filharmonie</w:t>
      </w:r>
    </w:p>
    <w:p w:rsidR="00500724" w:rsidRDefault="00F30FB8">
      <w:pPr>
        <w:pStyle w:val="Nadpis90"/>
        <w:keepNext/>
        <w:keepLines/>
        <w:pBdr>
          <w:bottom w:val="single" w:sz="4" w:space="0" w:color="auto"/>
        </w:pBdr>
        <w:shd w:val="clear" w:color="auto" w:fill="auto"/>
        <w:spacing w:after="0"/>
        <w:ind w:right="80"/>
        <w:jc w:val="center"/>
        <w:sectPr w:rsidR="00500724">
          <w:footnotePr>
            <w:numFmt w:val="chicago"/>
            <w:numRestart w:val="eachPage"/>
          </w:footnotePr>
          <w:pgSz w:w="11909" w:h="16834"/>
          <w:pgMar w:top="1090" w:right="956" w:bottom="708" w:left="461" w:header="0" w:footer="3" w:gutter="0"/>
          <w:cols w:space="720"/>
          <w:noEndnote/>
          <w:docGrid w:linePitch="360"/>
        </w:sectPr>
      </w:pPr>
      <w:bookmarkStart w:id="450" w:name="bookmark449"/>
      <w:r>
        <w:rPr>
          <w:rFonts w:ascii="Times New Roman" w:eastAsia="Times New Roman" w:hAnsi="Times New Roman" w:cs="Times New Roman"/>
        </w:rPr>
        <w:t>Přítomnosti</w:t>
      </w:r>
      <w:bookmarkEnd w:id="450"/>
    </w:p>
    <w:p w:rsidR="00500724" w:rsidRDefault="00500724">
      <w:pPr>
        <w:spacing w:line="118"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1090" w:right="0" w:bottom="708" w:left="0" w:header="0" w:footer="3" w:gutter="0"/>
          <w:cols w:space="720"/>
          <w:noEndnote/>
          <w:docGrid w:linePitch="360"/>
        </w:sectPr>
      </w:pPr>
    </w:p>
    <w:p w:rsidR="00500724" w:rsidRDefault="00F30FB8">
      <w:pPr>
        <w:pStyle w:val="Zkladntext20"/>
        <w:shd w:val="clear" w:color="auto" w:fill="auto"/>
        <w:spacing w:after="100" w:line="175" w:lineRule="auto"/>
        <w:ind w:firstLine="0"/>
        <w:jc w:val="center"/>
        <w:rPr>
          <w:sz w:val="20"/>
          <w:szCs w:val="20"/>
        </w:rPr>
      </w:pPr>
      <w:r>
        <w:rPr>
          <w:b/>
          <w:bCs/>
          <w:sz w:val="20"/>
          <w:szCs w:val="20"/>
        </w:rPr>
        <w:t>Jsme jazykově nadaní?</w:t>
      </w:r>
    </w:p>
    <w:p w:rsidR="00500724" w:rsidRDefault="00F30FB8">
      <w:pPr>
        <w:pStyle w:val="Zkladntext100"/>
        <w:shd w:val="clear" w:color="auto" w:fill="auto"/>
        <w:spacing w:line="185" w:lineRule="auto"/>
        <w:ind w:firstLine="240"/>
        <w:rPr>
          <w:sz w:val="19"/>
          <w:szCs w:val="19"/>
        </w:rPr>
      </w:pPr>
      <w:r>
        <w:rPr>
          <w:b/>
          <w:bCs/>
          <w:sz w:val="19"/>
          <w:szCs w:val="19"/>
        </w:rPr>
        <w:t>Bylo by na čase, aby byla jednou potřena legenda o na</w:t>
      </w:r>
      <w:r>
        <w:rPr>
          <w:b/>
          <w:bCs/>
          <w:sz w:val="19"/>
          <w:szCs w:val="19"/>
        </w:rPr>
        <w:softHyphen/>
        <w:t xml:space="preserve">šich mimořádných vlohách pro cizí jazyky, která z nás </w:t>
      </w:r>
      <w:r>
        <w:rPr>
          <w:b/>
          <w:bCs/>
          <w:sz w:val="19"/>
          <w:szCs w:val="19"/>
        </w:rPr>
        <w:t>dělá — nebo se aspoň snaží nám namluvit — že jsme národ větších ěi menších Mezzofantiů, jimž jde němčina, franština nebo angličtina takřka sama do hlavy, i bez norimberského trychtýře. Jak asi vznikla tato pověst? Jistě se traduje ještě z dob předválečných</w:t>
      </w:r>
      <w:r>
        <w:rPr>
          <w:b/>
          <w:bCs/>
          <w:sz w:val="19"/>
          <w:szCs w:val="19"/>
        </w:rPr>
        <w:t>, kdy jsme uměli aspoň obstojně německy, protože jsme přicházeli s němči</w:t>
      </w:r>
      <w:r>
        <w:rPr>
          <w:b/>
          <w:bCs/>
          <w:sz w:val="19"/>
          <w:szCs w:val="19"/>
        </w:rPr>
        <w:softHyphen/>
        <w:t>nou do styku od kolébky až po hrob, kdežto naši krajané Němci se učili velmi těžké češtině špatně a neradi. Po převratu se sice věc obrátila, ale o našem talentu pro filo</w:t>
      </w:r>
      <w:r>
        <w:rPr>
          <w:b/>
          <w:bCs/>
          <w:sz w:val="19"/>
          <w:szCs w:val="19"/>
        </w:rPr>
        <w:softHyphen/>
        <w:t>logii se mlu</w:t>
      </w:r>
      <w:r>
        <w:rPr>
          <w:b/>
          <w:bCs/>
          <w:sz w:val="19"/>
          <w:szCs w:val="19"/>
        </w:rPr>
        <w:t>vilo dále. Je ovšem pravda, že při srovnání S velkými národy, zvláště západoevropskými, jsou u nás Znalosti cizích řečí, aspoň poměrně i ted’ ještě jistě mno</w:t>
      </w:r>
      <w:r>
        <w:rPr>
          <w:b/>
          <w:bCs/>
          <w:sz w:val="19"/>
          <w:szCs w:val="19"/>
        </w:rPr>
        <w:softHyphen/>
        <w:t>hem větší, a za nynějších okolností asi dále vzrostou, přes to však nelze mluvit o jazykovém nadán</w:t>
      </w:r>
      <w:r>
        <w:rPr>
          <w:b/>
          <w:bCs/>
          <w:sz w:val="19"/>
          <w:szCs w:val="19"/>
        </w:rPr>
        <w:t>í jako české zvlášt</w:t>
      </w:r>
      <w:r>
        <w:rPr>
          <w:b/>
          <w:bCs/>
          <w:sz w:val="19"/>
          <w:szCs w:val="19"/>
        </w:rPr>
        <w:softHyphen/>
        <w:t>nosti. Větší znalost jazyků patří k vlastnostem malých kulturních národů vůbec, protože si ji vynutila nesvěto- vost jejich národní řeči, s níž se nedostanou za hranice státu, a někdy, jako na příklad u nás, i zeměpisná poloha. Švýcaři,</w:t>
      </w:r>
      <w:r>
        <w:rPr>
          <w:b/>
          <w:bCs/>
          <w:sz w:val="19"/>
          <w:szCs w:val="19"/>
        </w:rPr>
        <w:t xml:space="preserve"> Belgičané, Holanďané nebo Norové mají jistě stejné, ne-li značnější, znalosti cizích jazyků i vlohy k nim než my.</w:t>
      </w:r>
    </w:p>
    <w:p w:rsidR="00500724" w:rsidRDefault="00F30FB8">
      <w:pPr>
        <w:pStyle w:val="Zkladntext100"/>
        <w:shd w:val="clear" w:color="auto" w:fill="auto"/>
        <w:spacing w:line="185" w:lineRule="auto"/>
        <w:ind w:firstLine="240"/>
        <w:rPr>
          <w:sz w:val="19"/>
          <w:szCs w:val="19"/>
        </w:rPr>
      </w:pPr>
      <w:r>
        <w:rPr>
          <w:b/>
          <w:bCs/>
          <w:sz w:val="19"/>
          <w:szCs w:val="19"/>
        </w:rPr>
        <w:t>Že to s tím naším talentem není opravdu tak mimořádné, ukazují nejlépe chabé výsledky v cizích jazycích na střed</w:t>
      </w:r>
      <w:r>
        <w:rPr>
          <w:b/>
          <w:bCs/>
          <w:sz w:val="19"/>
          <w:szCs w:val="19"/>
        </w:rPr>
        <w:softHyphen/>
        <w:t>ních školách. Tak na příklad</w:t>
      </w:r>
      <w:r>
        <w:rPr>
          <w:b/>
          <w:bCs/>
          <w:sz w:val="19"/>
          <w:szCs w:val="19"/>
        </w:rPr>
        <w:t xml:space="preserve"> němčině se vyučuje po osm řet, a to v prvních dvou třídách po 4, v třetí až sedmé po 3 a v oktávě dvě hodiny týdně. To je aspoň 1200 hodin, a přece se abiturienti gymnasií nebo reálek dosti často sotva do</w:t>
      </w:r>
      <w:r>
        <w:rPr>
          <w:b/>
          <w:bCs/>
          <w:sz w:val="19"/>
          <w:szCs w:val="19"/>
        </w:rPr>
        <w:softHyphen/>
        <w:t>vedou dohovořit německy. Dává se tu zpravidla vina</w:t>
      </w:r>
      <w:r>
        <w:rPr>
          <w:b/>
          <w:bCs/>
          <w:sz w:val="19"/>
          <w:szCs w:val="19"/>
        </w:rPr>
        <w:t xml:space="preserve"> me</w:t>
      </w:r>
      <w:r>
        <w:rPr>
          <w:b/>
          <w:bCs/>
          <w:sz w:val="19"/>
          <w:szCs w:val="19"/>
        </w:rPr>
        <w:softHyphen/>
        <w:t>todě, která prý je příliš vědecká, ale ani na obchodních učilištích, kde jsou podmínky mnohem příznivější — uplat</w:t>
      </w:r>
      <w:r>
        <w:rPr>
          <w:b/>
          <w:bCs/>
          <w:sz w:val="19"/>
          <w:szCs w:val="19"/>
        </w:rPr>
        <w:softHyphen/>
        <w:t>ňuje se praktičnost při studiu jazyků a učí se v menších odděleních — nejsou výsledky takové, jaké by bylo lze očekávati a jakých by si by</w:t>
      </w:r>
      <w:r>
        <w:rPr>
          <w:b/>
          <w:bCs/>
          <w:sz w:val="19"/>
          <w:szCs w:val="19"/>
        </w:rPr>
        <w:t xml:space="preserve">lo přáti. Bylo by proto docela zbytečné, abychom si snad z jakési marnivosti namlouvali, </w:t>
      </w:r>
      <w:r>
        <w:rPr>
          <w:b/>
          <w:bCs/>
          <w:sz w:val="19"/>
          <w:szCs w:val="19"/>
          <w:lang w:val="en-US" w:eastAsia="en-US" w:bidi="en-US"/>
        </w:rPr>
        <w:t xml:space="preserve">fee </w:t>
      </w:r>
      <w:r>
        <w:rPr>
          <w:b/>
          <w:bCs/>
          <w:sz w:val="19"/>
          <w:szCs w:val="19"/>
        </w:rPr>
        <w:t>nám cizí jazyky jdou bez námahy a skoro samy do hlavy, když tomu tak není, a máme naopak za správnější, abychom hledali cesty, jak by se naše chabé znalosti upev</w:t>
      </w:r>
      <w:r>
        <w:rPr>
          <w:b/>
          <w:bCs/>
          <w:sz w:val="19"/>
          <w:szCs w:val="19"/>
        </w:rPr>
        <w:softHyphen/>
        <w:t>n</w:t>
      </w:r>
      <w:r>
        <w:rPr>
          <w:b/>
          <w:bCs/>
          <w:sz w:val="19"/>
          <w:szCs w:val="19"/>
        </w:rPr>
        <w:t>ily a zdokonalily. Musíme se poctivě přiznat k tomu, že otcem názoru o naší nadprůměrnosti ve filologii bylo pium desiderium a k jeho vzniku že přispělo hlavně srovnání s těžkopádností Němců při studiu češtiny za podmínek pro ně velmi nepříznivých. Uznáme-</w:t>
      </w:r>
      <w:r>
        <w:rPr>
          <w:b/>
          <w:bCs/>
          <w:sz w:val="19"/>
          <w:szCs w:val="19"/>
        </w:rPr>
        <w:t>li pak, že po této stránce nevynikáme, je to první krok k nápravě, abychom totiž nahradili nedostatek zvýšenou pílí a vytrvalostí.</w:t>
      </w:r>
    </w:p>
    <w:p w:rsidR="00500724" w:rsidRDefault="00F30FB8">
      <w:pPr>
        <w:pStyle w:val="Zkladntext100"/>
        <w:shd w:val="clear" w:color="auto" w:fill="auto"/>
        <w:spacing w:line="185" w:lineRule="auto"/>
        <w:ind w:firstLine="240"/>
        <w:rPr>
          <w:sz w:val="19"/>
          <w:szCs w:val="19"/>
        </w:rPr>
      </w:pPr>
      <w:r>
        <w:rPr>
          <w:b/>
          <w:bCs/>
          <w:sz w:val="19"/>
          <w:szCs w:val="19"/>
        </w:rPr>
        <w:t>Nemůžeme říci, že by u nás bylo vysoké procento lidí. kteří se v životě vůbec neučili cizí řeči a neuměli aspoň po němečku ot</w:t>
      </w:r>
      <w:r>
        <w:rPr>
          <w:b/>
          <w:bCs/>
          <w:sz w:val="19"/>
          <w:szCs w:val="19"/>
        </w:rPr>
        <w:t>evřít ústa. Naopak lze předpokládati, že takových je poměrně málo. Zato je mizivé procento Cechů, kteří umějí nějakou řeč nejen bez chyby, ale i bez čes</w:t>
      </w:r>
      <w:r>
        <w:rPr>
          <w:b/>
          <w:bCs/>
          <w:sz w:val="19"/>
          <w:szCs w:val="19"/>
        </w:rPr>
        <w:softHyphen/>
        <w:t>kého zabarvení, neboli, jak se zpravidla říkává, bez pří</w:t>
      </w:r>
      <w:r>
        <w:rPr>
          <w:b/>
          <w:bCs/>
          <w:sz w:val="19"/>
          <w:szCs w:val="19"/>
        </w:rPr>
        <w:softHyphen/>
        <w:t xml:space="preserve">zvuku. Holedbáme se, jak se »snadno a rychle« </w:t>
      </w:r>
      <w:r>
        <w:rPr>
          <w:b/>
          <w:bCs/>
          <w:sz w:val="19"/>
          <w:szCs w:val="19"/>
        </w:rPr>
        <w:t>naučíme cizím jazykům, je nám k smíchu, když si cizinec láme jazyk našimi »333 stříbrnými stříkačkami nebo »strčprsto skrzkrkem«, ale vůbec se nesnažíme vyslovovat němčinu podle jejích zvláštností a překonávat nesnáze, které nejsou o nic menší. Kolik Cechů</w:t>
      </w:r>
      <w:r>
        <w:rPr>
          <w:b/>
          <w:bCs/>
          <w:sz w:val="19"/>
          <w:szCs w:val="19"/>
        </w:rPr>
        <w:t>, kteří dovedou jinak mluvit plynně německy, umí nebo se snaží správně a po němečku vyslovit r, ch, 1, s, a nebo ngen? Ale to ještě nejsou nej</w:t>
      </w:r>
      <w:r>
        <w:rPr>
          <w:b/>
          <w:bCs/>
          <w:sz w:val="19"/>
          <w:szCs w:val="19"/>
        </w:rPr>
        <w:softHyphen/>
        <w:t>hrubší chyby, jichž se dopouštíme. Za největší bych spíše považoval provinění proti přízvuku, který dávají Češi i</w:t>
      </w:r>
      <w:r>
        <w:rPr>
          <w:b/>
          <w:bCs/>
          <w:sz w:val="19"/>
          <w:szCs w:val="19"/>
        </w:rPr>
        <w:t xml:space="preserve"> velmi dobře znalí němčiny na první slabiku, i když je tato bezpřízvučná nebo běží o slovo cizí v němčině, které si ponechává přízvuk původní. Chybným přízvukem se prozradí v němčině cizinec, i kdyby jinak mluvil jako </w:t>
      </w:r>
      <w:r>
        <w:rPr>
          <w:b/>
          <w:bCs/>
          <w:sz w:val="19"/>
          <w:szCs w:val="19"/>
          <w:lang w:val="en-US" w:eastAsia="en-US" w:bidi="en-US"/>
        </w:rPr>
        <w:t xml:space="preserve">Goethe, </w:t>
      </w:r>
      <w:r>
        <w:rPr>
          <w:b/>
          <w:bCs/>
          <w:sz w:val="19"/>
          <w:szCs w:val="19"/>
        </w:rPr>
        <w:t>již v první větě.</w:t>
      </w:r>
    </w:p>
    <w:p w:rsidR="00500724" w:rsidRDefault="00F30FB8">
      <w:pPr>
        <w:pStyle w:val="Zkladntext100"/>
        <w:shd w:val="clear" w:color="auto" w:fill="auto"/>
        <w:spacing w:line="185" w:lineRule="auto"/>
        <w:ind w:firstLine="240"/>
        <w:rPr>
          <w:sz w:val="19"/>
          <w:szCs w:val="19"/>
        </w:rPr>
      </w:pPr>
      <w:r>
        <w:rPr>
          <w:b/>
          <w:bCs/>
          <w:sz w:val="19"/>
          <w:szCs w:val="19"/>
        </w:rPr>
        <w:t>Totéž lze ří</w:t>
      </w:r>
      <w:r>
        <w:rPr>
          <w:b/>
          <w:bCs/>
          <w:sz w:val="19"/>
          <w:szCs w:val="19"/>
        </w:rPr>
        <w:t xml:space="preserve">ci i o jiných řečech, na př. o franštině, kdei naši lidé naprosto nedbají rozdílů mezi třemi </w:t>
      </w:r>
      <w:r>
        <w:rPr>
          <w:b/>
          <w:bCs/>
          <w:sz w:val="17"/>
          <w:szCs w:val="17"/>
        </w:rPr>
        <w:t xml:space="preserve">e, </w:t>
      </w:r>
      <w:r>
        <w:rPr>
          <w:b/>
          <w:bCs/>
          <w:sz w:val="19"/>
          <w:szCs w:val="19"/>
        </w:rPr>
        <w:t xml:space="preserve">dvěma o, dvěma o atd., vysloví na př. slovo 1’autre stejně jako lotr, s českým o a zvláště s naším cliarakteristickým vířivým r, protahují každé é, jako by ona </w:t>
      </w:r>
      <w:r>
        <w:rPr>
          <w:b/>
          <w:bCs/>
          <w:sz w:val="19"/>
          <w:szCs w:val="19"/>
        </w:rPr>
        <w:t>čárka byla označením délky a nikoli barvy zvuku, vkládají mezi u a následující samo</w:t>
      </w:r>
      <w:r>
        <w:rPr>
          <w:b/>
          <w:bCs/>
          <w:sz w:val="19"/>
          <w:szCs w:val="19"/>
        </w:rPr>
        <w:softHyphen/>
        <w:t xml:space="preserve">hlásku j, takže na př. </w:t>
      </w:r>
      <w:r>
        <w:rPr>
          <w:b/>
          <w:bCs/>
          <w:sz w:val="19"/>
          <w:szCs w:val="19"/>
          <w:lang w:val="en-US" w:eastAsia="en-US" w:bidi="en-US"/>
        </w:rPr>
        <w:t xml:space="preserve">continuer </w:t>
      </w:r>
      <w:r>
        <w:rPr>
          <w:b/>
          <w:bCs/>
          <w:sz w:val="19"/>
          <w:szCs w:val="19"/>
        </w:rPr>
        <w:t>a nier zní v závěru slova skoro stejně, totiž nyjé, a pod.</w:t>
      </w:r>
    </w:p>
    <w:p w:rsidR="00500724" w:rsidRDefault="00F30FB8">
      <w:pPr>
        <w:pStyle w:val="Zkladntext100"/>
        <w:shd w:val="clear" w:color="auto" w:fill="auto"/>
        <w:spacing w:line="185" w:lineRule="auto"/>
        <w:ind w:firstLine="240"/>
        <w:rPr>
          <w:sz w:val="19"/>
          <w:szCs w:val="19"/>
        </w:rPr>
      </w:pPr>
      <w:r>
        <w:rPr>
          <w:b/>
          <w:bCs/>
          <w:sz w:val="19"/>
          <w:szCs w:val="19"/>
        </w:rPr>
        <w:t>Co je příčinou, že při poměrně slušném počtu Cechů, kteří umějí jakžtakž cizí ře</w:t>
      </w:r>
      <w:r>
        <w:rPr>
          <w:b/>
          <w:bCs/>
          <w:sz w:val="19"/>
          <w:szCs w:val="19"/>
        </w:rPr>
        <w:t xml:space="preserve">č, že se bez obtíží domluví a dovedou také psáti bez velkých chyb cizím jazykem, mámě tak málo vytrvalců, kteří dojdou nejvyšší dokonalosti, takže ji ovládají jako rodilí cizinci? Zdá se nám, že to poněkud souvisí s naší celou povahou. Před několika lety, </w:t>
      </w:r>
      <w:r>
        <w:rPr>
          <w:b/>
          <w:bCs/>
          <w:sz w:val="19"/>
          <w:szCs w:val="19"/>
        </w:rPr>
        <w:t>když jsme se ve footballe přiblížili na dosah ruky světo</w:t>
      </w:r>
      <w:r>
        <w:rPr>
          <w:b/>
          <w:bCs/>
          <w:sz w:val="19"/>
          <w:szCs w:val="19"/>
        </w:rPr>
        <w:softHyphen/>
        <w:t>vému mistrovství, ale v poslední chvíli jsme selhali, pro</w:t>
      </w:r>
      <w:r>
        <w:rPr>
          <w:b/>
          <w:bCs/>
          <w:sz w:val="19"/>
          <w:szCs w:val="19"/>
        </w:rPr>
        <w:softHyphen/>
        <w:t>jevil dr. Chalupný názor, že nám chybí onen posled</w:t>
      </w:r>
      <w:r>
        <w:rPr>
          <w:b/>
          <w:bCs/>
          <w:sz w:val="19"/>
          <w:szCs w:val="19"/>
        </w:rPr>
        <w:softHyphen/>
        <w:t xml:space="preserve">ní stupeň, abychom dospěli vrcholu svého snažení. Myslím, že se studiem řečí to bude cosi </w:t>
      </w:r>
      <w:r>
        <w:rPr>
          <w:b/>
          <w:bCs/>
          <w:sz w:val="19"/>
          <w:szCs w:val="19"/>
        </w:rPr>
        <w:t>podobného. Učíme se jim, protože jich potřebujeme, nebo že se nám i líbí, ale na jistém stupni se zastavíme, neboť jsme přesvědčeni, že nám to stačí, a ztratíme touhu, abychom dosáhli vrcholu — rekordu. Máme málo rekordmanů, ačkoli bychom měli k nim podmín</w:t>
      </w:r>
      <w:r>
        <w:rPr>
          <w:b/>
          <w:bCs/>
          <w:sz w:val="19"/>
          <w:szCs w:val="19"/>
        </w:rPr>
        <w:t>ky, neboť nám chybí chuť do tvrdé práce, neúnavná vytrvalost i ctižádost.</w:t>
      </w:r>
    </w:p>
    <w:p w:rsidR="00500724" w:rsidRDefault="00F30FB8">
      <w:pPr>
        <w:pStyle w:val="Zkladntext100"/>
        <w:shd w:val="clear" w:color="auto" w:fill="auto"/>
        <w:tabs>
          <w:tab w:val="left" w:pos="4450"/>
        </w:tabs>
        <w:spacing w:after="120" w:line="190" w:lineRule="auto"/>
        <w:ind w:firstLine="240"/>
        <w:rPr>
          <w:sz w:val="20"/>
          <w:szCs w:val="20"/>
        </w:rPr>
      </w:pPr>
      <w:r>
        <w:rPr>
          <w:b/>
          <w:bCs/>
          <w:sz w:val="19"/>
          <w:szCs w:val="19"/>
        </w:rPr>
        <w:t>Těchto vlastností náš národ potřebuje jako soli a bude ještě potřebovati čím dále tím více, a to nejen ve sportu nebo ve studiu řečí, nýbrž i jinde!</w:t>
      </w:r>
      <w:r>
        <w:rPr>
          <w:b/>
          <w:bCs/>
          <w:sz w:val="19"/>
          <w:szCs w:val="19"/>
        </w:rPr>
        <w:tab/>
      </w:r>
      <w:r>
        <w:rPr>
          <w:i/>
          <w:iCs/>
          <w:sz w:val="20"/>
          <w:szCs w:val="20"/>
        </w:rPr>
        <w:t>&amp; &lt;£ K</w:t>
      </w:r>
    </w:p>
    <w:p w:rsidR="00500724" w:rsidRDefault="00F30FB8">
      <w:pPr>
        <w:pStyle w:val="Jin0"/>
        <w:pBdr>
          <w:bottom w:val="single" w:sz="4" w:space="0" w:color="auto"/>
        </w:pBdr>
        <w:shd w:val="clear" w:color="auto" w:fill="auto"/>
        <w:spacing w:after="120"/>
        <w:ind w:firstLine="0"/>
        <w:jc w:val="left"/>
        <w:rPr>
          <w:sz w:val="44"/>
          <w:szCs w:val="44"/>
        </w:rPr>
      </w:pPr>
      <w:r>
        <w:rPr>
          <w:b/>
          <w:bCs/>
          <w:sz w:val="44"/>
          <w:szCs w:val="44"/>
        </w:rPr>
        <w:t>politika</w:t>
      </w:r>
    </w:p>
    <w:p w:rsidR="00500724" w:rsidRDefault="00F30FB8">
      <w:pPr>
        <w:pStyle w:val="Zkladntext20"/>
        <w:shd w:val="clear" w:color="auto" w:fill="auto"/>
        <w:spacing w:line="240" w:lineRule="auto"/>
        <w:ind w:firstLine="0"/>
        <w:rPr>
          <w:sz w:val="20"/>
          <w:szCs w:val="20"/>
        </w:rPr>
      </w:pPr>
      <w:r>
        <w:rPr>
          <w:i/>
          <w:iCs/>
          <w:sz w:val="20"/>
          <w:szCs w:val="20"/>
        </w:rPr>
        <w:t>Milena Jesenská:</w:t>
      </w:r>
    </w:p>
    <w:p w:rsidR="00500724" w:rsidRDefault="00F30FB8">
      <w:pPr>
        <w:pStyle w:val="Nadpis100"/>
        <w:shd w:val="clear" w:color="auto" w:fill="auto"/>
        <w:spacing w:after="0"/>
        <w:ind w:left="260" w:firstLine="40"/>
        <w:jc w:val="left"/>
      </w:pPr>
      <w:bookmarkStart w:id="451" w:name="bookmark450"/>
      <w:r>
        <w:t>Co očekává Čech od Čecha?</w:t>
      </w:r>
      <w:bookmarkEnd w:id="451"/>
    </w:p>
    <w:p w:rsidR="00500724" w:rsidRDefault="00F30FB8">
      <w:pPr>
        <w:pStyle w:val="Zkladntext100"/>
        <w:shd w:val="clear" w:color="auto" w:fill="auto"/>
        <w:spacing w:line="218" w:lineRule="auto"/>
        <w:ind w:firstLine="300"/>
      </w:pPr>
      <w:r>
        <w:t>Rozpráví se v posledních měsících o íom, co očekává Čech od Němce a Němec od Čecha. Když jsme se octli v tak těsném sousedství a úzké spolupráci, je přirozeno, že si musíme jasně uvědomit, kudy vedou nejschůdnější cesty pro oba ná</w:t>
      </w:r>
      <w:r>
        <w:t>rody. To je ovšem práce na dlouhou dobu a práce, abych tak řekla, zkusná. Naléhavější však je otázka vyjasnění, co čekáme od sebe samých. Dějiny ne</w:t>
      </w:r>
      <w:r>
        <w:softHyphen/>
        <w:t>jsou oblaka, plující nad hlavami. Dějiny jsou hodiny, dny a týdny, nesené živýma rukama. Ani osudy národů ne</w:t>
      </w:r>
      <w:r>
        <w:softHyphen/>
        <w:t>přicházejí jako blesk z čistého nebe. Podvede-li tě někdo, přemýšlej napřed, proč jsi hlupec, a potom teprve, co je on. Zlomí-li tě někdo, uvažuj napřed, proč jsi byl sláb a potom teprve, proč on byl takový a takový. Máme-li za</w:t>
      </w:r>
      <w:r>
        <w:softHyphen/>
        <w:t>vést ve své zemi nový život</w:t>
      </w:r>
      <w:r>
        <w:t>, je dobře rozhlédnout se, kde má tento život kořeny, jak hluboko sahají.</w:t>
      </w:r>
    </w:p>
    <w:p w:rsidR="00500724" w:rsidRDefault="00F30FB8">
      <w:pPr>
        <w:pStyle w:val="Zkladntext100"/>
        <w:shd w:val="clear" w:color="auto" w:fill="auto"/>
        <w:spacing w:line="218" w:lineRule="auto"/>
        <w:ind w:firstLine="300"/>
      </w:pPr>
      <w:r>
        <w:t>Být Čechem není samo sebou víc, než opis rodného li</w:t>
      </w:r>
      <w:r>
        <w:softHyphen/>
        <w:t>stu. Být dobrým Čechem je náš společný úkol. Nestačí však k němu vypnout hruď a ukázat příslušnost k domov</w:t>
      </w:r>
      <w:r>
        <w:softHyphen/>
        <w:t>ské obci. Musí v nás bý</w:t>
      </w:r>
      <w:r>
        <w:t>t právě náplň toho národního ducha, který v dobrém obstojí před dějinami.</w:t>
      </w:r>
    </w:p>
    <w:p w:rsidR="00500724" w:rsidRDefault="00F30FB8">
      <w:pPr>
        <w:pStyle w:val="Zkladntext100"/>
        <w:shd w:val="clear" w:color="auto" w:fill="auto"/>
        <w:spacing w:line="218" w:lineRule="auto"/>
        <w:ind w:firstLine="300"/>
      </w:pPr>
      <w:r>
        <w:t>Mluvíme-li v posledních dnech tolik o sjednocení, či</w:t>
      </w:r>
      <w:r>
        <w:softHyphen/>
        <w:t>níme tak s vědomím, že to je začátek nezbytné cesty. Ale lidé, kteří mohou mluvit k národu, mají mimo tuto nej</w:t>
      </w:r>
      <w:r>
        <w:softHyphen/>
        <w:t>hlavnější a nejdůl</w:t>
      </w:r>
      <w:r>
        <w:t>ežitější, nejnaléhavější a nejaktuálnější úlohu, národ sjednotit, také starost jinou: totiž národ po</w:t>
      </w:r>
      <w:r>
        <w:softHyphen/>
        <w:t>vzbuditi. Dosud nebylo u nás řečeno, že je třeba sejmout s tohoto lidu tíhu, která dolehla v posledních měsících na jeho duši a která by velmi snadno mohla</w:t>
      </w:r>
      <w:r>
        <w:t xml:space="preserve"> zatížit jeho mysl až k určitému stupni demoralisace, poněvadž každé pod</w:t>
      </w:r>
      <w:r>
        <w:softHyphen/>
        <w:t>lomené sebevědomí vede k demoralisaci. Nechť se hovo</w:t>
      </w:r>
      <w:r>
        <w:softHyphen/>
        <w:t>řilo o minulosti jakkoli, zapomnělo se říci, že tato minulost leží ve dvou ranách jako balvan na lidech. Nemluvím teď vůbec o ztrá</w:t>
      </w:r>
      <w:r>
        <w:t>tách, o změně státní situace, o změněném po</w:t>
      </w:r>
      <w:r>
        <w:softHyphen/>
        <w:t>měru k Německu. Mluvím o dvou ranách, které český ná</w:t>
      </w:r>
      <w:r>
        <w:softHyphen/>
        <w:t>rod dostal a které jsou tak bolestné, že jsou s to podkopat jeho důvěru v sebe tak zhoubně, že se přestane vřelým srdcem zajímat o svou věc, vzmáhaje se na záj</w:t>
      </w:r>
      <w:r>
        <w:t>em jenom unavený a vlažný.</w:t>
      </w:r>
    </w:p>
    <w:p w:rsidR="00500724" w:rsidRDefault="00F30FB8">
      <w:pPr>
        <w:pStyle w:val="Zkladntext100"/>
        <w:shd w:val="clear" w:color="auto" w:fill="auto"/>
        <w:spacing w:line="218" w:lineRule="auto"/>
        <w:ind w:firstLine="300"/>
      </w:pPr>
      <w:r>
        <w:t>První rána je, že jsme byli zrazeni. Smlouva, které jsme věřili, byla zahozena. Je přirozeno, že si národ klade otázku: což jsme takoví, že je možno beztrestně a bez ode</w:t>
      </w:r>
      <w:r>
        <w:softHyphen/>
        <w:t>zvy takto s námi zacházet? Což jsme měli pro bývalé spo</w:t>
      </w:r>
      <w:r>
        <w:softHyphen/>
        <w:t>jen</w:t>
      </w:r>
      <w:r>
        <w:t>ce cenu králičí, že tato pohozená smlouva nevyvolala ani stud ve tváři Francie? Hledě na svoji malou zemi, opa</w:t>
      </w:r>
      <w:r>
        <w:softHyphen/>
        <w:t>koval si asi v minulých dnech český člověk bezpočíu- krát: nestáli jsme jim za to! Nestáli jsme jim ani za to, aby se omluvili! To je velký bolák</w:t>
      </w:r>
      <w:r>
        <w:t xml:space="preserve"> v srdci člověka, který svou zem miluje, i když je velká jenom jako penízek na dlani Evropy. A tento bolák nutno uzdravovat. Nutno říkat a třeba často beznadějně, nutno opakovat, a třeba často marně, nikoli světu, ale našim lidem: je to kouzelná ze</w:t>
      </w:r>
      <w:r>
        <w:softHyphen/>
        <w:t xml:space="preserve">mě, ve </w:t>
      </w:r>
      <w:r>
        <w:t>které žijete, a je to skvělý národ, ku kterému patříte.</w:t>
      </w:r>
    </w:p>
    <w:p w:rsidR="00500724" w:rsidRDefault="00F30FB8">
      <w:pPr>
        <w:pStyle w:val="Zkladntext100"/>
        <w:shd w:val="clear" w:color="auto" w:fill="auto"/>
        <w:spacing w:after="120" w:line="218" w:lineRule="auto"/>
        <w:ind w:firstLine="300"/>
        <w:sectPr w:rsidR="00500724">
          <w:footnotePr>
            <w:numFmt w:val="chicago"/>
            <w:numRestart w:val="eachPage"/>
          </w:footnotePr>
          <w:type w:val="continuous"/>
          <w:pgSz w:w="11909" w:h="16834"/>
          <w:pgMar w:top="1090" w:right="956" w:bottom="708" w:left="461" w:header="0" w:footer="3" w:gutter="0"/>
          <w:cols w:num="2" w:space="154"/>
          <w:noEndnote/>
          <w:docGrid w:linePitch="360"/>
        </w:sectPr>
      </w:pPr>
      <w:r>
        <w:t xml:space="preserve">Druhá rána je méně znatelná a psalo se o ní méně. </w:t>
      </w:r>
      <w:r>
        <w:rPr>
          <w:rFonts w:ascii="Arial" w:eastAsia="Arial" w:hAnsi="Arial" w:cs="Arial"/>
          <w:b/>
          <w:bCs/>
        </w:rPr>
        <w:t>Ne-</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435" w:right="752" w:bottom="763" w:left="665" w:header="0" w:footer="3" w:gutter="0"/>
          <w:cols w:space="720"/>
          <w:noEndnote/>
          <w:docGrid w:linePitch="360"/>
        </w:sectPr>
      </w:pPr>
      <w:bookmarkStart w:id="452" w:name="bookmark451"/>
      <w:r>
        <w:rPr>
          <w:rFonts w:ascii="Times New Roman" w:eastAsia="Times New Roman" w:hAnsi="Times New Roman" w:cs="Times New Roman"/>
          <w:lang w:val="en-US" w:eastAsia="en-US" w:bidi="en-US"/>
        </w:rPr>
        <w:t>PfttonuiosO</w:t>
      </w:r>
      <w:bookmarkEnd w:id="452"/>
    </w:p>
    <w:p w:rsidR="00500724" w:rsidRDefault="00500724">
      <w:pPr>
        <w:spacing w:line="97" w:lineRule="exact"/>
        <w:rPr>
          <w:sz w:val="8"/>
          <w:szCs w:val="8"/>
        </w:rPr>
      </w:pPr>
    </w:p>
    <w:p w:rsidR="00500724" w:rsidRDefault="00500724">
      <w:pPr>
        <w:spacing w:line="14" w:lineRule="exact"/>
        <w:sectPr w:rsidR="00500724">
          <w:footnotePr>
            <w:numFmt w:val="chicago"/>
            <w:numRestart w:val="eachPage"/>
          </w:footnotePr>
          <w:type w:val="continuous"/>
          <w:pgSz w:w="11909" w:h="16834"/>
          <w:pgMar w:top="435" w:right="0" w:bottom="763" w:left="0" w:header="0" w:footer="3" w:gutter="0"/>
          <w:cols w:space="720"/>
          <w:noEndnote/>
          <w:docGrid w:linePitch="360"/>
        </w:sectPr>
      </w:pPr>
    </w:p>
    <w:p w:rsidR="00500724" w:rsidRDefault="00F30FB8">
      <w:pPr>
        <w:pStyle w:val="Zkladntext100"/>
        <w:shd w:val="clear" w:color="auto" w:fill="auto"/>
        <w:spacing w:line="218" w:lineRule="auto"/>
        <w:ind w:firstLine="0"/>
      </w:pPr>
      <w:r>
        <w:t xml:space="preserve">vidím důvodů, proč by se o ni nemělo mluvit </w:t>
      </w:r>
      <w:r>
        <w:t>otevřeně, neboř právě německý národ tuto bolest pochopí spíš, než kdokoli jiný, neboř Němci jsou národem vojáků. My jsme se, jak každý ví, hotovili k boji, všichni, jak tu stojíme. Každý z nás měl své místo a svou zbraň a každý z nás byl připraven umřít. A</w:t>
      </w:r>
      <w:r>
        <w:t xml:space="preserve"> jak jsme tak stáli, čekajíce boj, byly nám odňaty zbraně a řeklo se nám: jděte klidně domů. Nevím, zdali si uvědomujete, co to pro vojáka znamená ustupovat dřív, než bojoval, aniž by vyhrál, aniž by pro</w:t>
      </w:r>
      <w:r>
        <w:softHyphen/>
        <w:t>hrál?</w:t>
      </w:r>
    </w:p>
    <w:p w:rsidR="00500724" w:rsidRDefault="00F30FB8">
      <w:pPr>
        <w:pStyle w:val="Zkladntext100"/>
        <w:shd w:val="clear" w:color="auto" w:fill="auto"/>
        <w:spacing w:after="100" w:line="216" w:lineRule="auto"/>
      </w:pPr>
      <w:r>
        <w:t>Ta cesta zpátky od hranic domů - to byla straš</w:t>
      </w:r>
      <w:r>
        <w:t>livá rá</w:t>
      </w:r>
      <w:r>
        <w:softHyphen/>
        <w:t>na do morální pevnosti lidí. Ovládl nás pocit podivné tu</w:t>
      </w:r>
      <w:r>
        <w:softHyphen/>
        <w:t>posti a bezmoci. Dělej, co dělej, svému osudu neujdeš. Oč snazší by byla psychologická a morální situace Cechů, kdybychom byli vůbec nemobilisovali! Leč ta marná pro</w:t>
      </w:r>
      <w:r>
        <w:softHyphen/>
        <w:t>cházka s puškami a návrat</w:t>
      </w:r>
      <w:r>
        <w:t xml:space="preserve"> bez nich ublížily sebevědomí národa snad ještě víc, než předchozí zrada. Jak nebezpeč</w:t>
      </w:r>
      <w:r>
        <w:softHyphen/>
        <w:t xml:space="preserve">né bylo být poctivcem v rukách Francie! Podařilo se jí vzbuditi v našich lidech hořkou příchuř ošizení ve věci nejvyšší. Nuže, stojíme před úlohou, budit novou důvěru v </w:t>
      </w:r>
      <w:r>
        <w:t>lidi, kteří ji ztratili. A to důvěru v sebe.</w:t>
      </w:r>
    </w:p>
    <w:p w:rsidR="00500724" w:rsidRDefault="00F30FB8">
      <w:pPr>
        <w:pStyle w:val="Zkladntext100"/>
        <w:shd w:val="clear" w:color="auto" w:fill="auto"/>
        <w:spacing w:after="100" w:line="216" w:lineRule="auto"/>
        <w:ind w:firstLine="0"/>
        <w:jc w:val="center"/>
      </w:pPr>
      <w:r>
        <w:t>Inteligence a pochybnost</w:t>
      </w:r>
    </w:p>
    <w:p w:rsidR="00500724" w:rsidRDefault="00F30FB8">
      <w:pPr>
        <w:pStyle w:val="Zkladntext100"/>
        <w:shd w:val="clear" w:color="auto" w:fill="auto"/>
        <w:spacing w:line="216" w:lineRule="auto"/>
      </w:pPr>
      <w:r>
        <w:t>Tahle morální rána sedí hluboko a bude ještě tkvět ně</w:t>
      </w:r>
      <w:r>
        <w:softHyphen/>
        <w:t>jakou dobu v nervech lidí. Ale jak už to bývá vždycky, nejhůře jí byla postižena inteligence. Nevím, podle ja</w:t>
      </w:r>
      <w:r>
        <w:softHyphen/>
        <w:t xml:space="preserve">kých zákonů je člověk </w:t>
      </w:r>
      <w:r>
        <w:t>s rozvitým rozumem a s vyvinutěj</w:t>
      </w:r>
      <w:r>
        <w:softHyphen/>
        <w:t>šími kulturními potřebami méně odolný, než chlapisko od pluhu nebo od mašiny. Ti lidé venku se nezměnili ani trochu. Jdou klidně po své práci a jsou naprosto nezvrá</w:t>
      </w:r>
      <w:r>
        <w:softHyphen/>
        <w:t>ceni ve své důvěře v lid a sebe. Ale lidé školení a vzdě</w:t>
      </w:r>
      <w:r>
        <w:softHyphen/>
        <w:t>l</w:t>
      </w:r>
      <w:r>
        <w:t>aní přepadají sebe i národ spoustou pochyb, výčitek, ja</w:t>
      </w:r>
      <w:r>
        <w:softHyphen/>
        <w:t>kýchsi podivných a marných vzpomínek. Mluvila jsem na příklad s člověkem, který mi přidržoval některý z minu</w:t>
      </w:r>
      <w:r>
        <w:softHyphen/>
        <w:t>lých článků před očima, s otázkou: uŘekněte mi, kde je vlastně nějaká vlastnost našeho náro</w:t>
      </w:r>
      <w:r>
        <w:t>da, která by stála za to, aby byla tolika obětmi hájena? Která by činila tento národ tak cenným a vzácným, aby byl vydáván tolika otřesům a tolika bolestem? Píšete: česká kniha a česká píseň, české pohostinství, česká řeč, české zvyky, chorály, velikonoční</w:t>
      </w:r>
      <w:r>
        <w:t xml:space="preserve"> vajíčka a kamarádskost. Výborně. Ale to všechno mají ostatní národy také. To není vůbec nic div</w:t>
      </w:r>
      <w:r>
        <w:softHyphen/>
        <w:t xml:space="preserve">ného a nic vynikajícího. Nic, co byste nenašla jinde — snad dokonce vyvinutější a kultivovanější. Kde je tedy oprávnění pro tuto hrstku lidí bojovat, a kde je </w:t>
      </w:r>
      <w:r>
        <w:t>nějaká vlastnost, která stojí za oběti ?&lt;</w:t>
      </w:r>
    </w:p>
    <w:p w:rsidR="00500724" w:rsidRDefault="00F30FB8">
      <w:pPr>
        <w:pStyle w:val="Zkladntext100"/>
        <w:shd w:val="clear" w:color="auto" w:fill="auto"/>
        <w:spacing w:line="216" w:lineRule="auto"/>
      </w:pPr>
      <w:r>
        <w:t>To byl tedy Čech a dokonce velmi inteligentní člověk. Mám zato, že asi není osamocený ve svých pochybách, i když snad těchto pochyb nebude celá záplava. Ale méně jasně formulovány slyšela jsem je už několikrát. Nuž</w:t>
      </w:r>
      <w:r>
        <w:t xml:space="preserve">e, kde je fa vlastnost českého národa, která stojí za to, aby národ usilovně pracoval na svém národním právu a své národní existenci? Už pouhý fakt, že všelijaké vlastnosti mají ostatní národy také, stačí k odpovědění této otázky. Mají je také, ale v jiné </w:t>
      </w:r>
      <w:r>
        <w:t>formě a v jiném výrazu. Na poměrně málo čtverečných kilometrech vyrostl národ, který tu žije tisíc let, a který má tolik života schopnosti, že se udržel nikoli jenom existenčně, nýbrž národně: to je: ponechal si svůj zvláštní a odlišný výraz. Berlín není o</w:t>
      </w:r>
      <w:r>
        <w:t>d Prahy tak daleko, a přece žijí v Berlíně lidé docela jiní, s docela ji</w:t>
      </w:r>
      <w:r>
        <w:softHyphen/>
        <w:t>nou mentalitou a docela jinými vlastnostmi.</w:t>
      </w:r>
    </w:p>
    <w:p w:rsidR="00500724" w:rsidRDefault="00F30FB8">
      <w:pPr>
        <w:pStyle w:val="Zkladntext100"/>
        <w:shd w:val="clear" w:color="auto" w:fill="auto"/>
        <w:spacing w:line="216" w:lineRule="auto"/>
      </w:pPr>
      <w:r>
        <w:t>Kdybych měla formulovat, čeho si na českém národě nejvíc vážím, řekla bych: toho typu, kterému se říká pís</w:t>
      </w:r>
      <w:r>
        <w:softHyphen/>
        <w:t xml:space="preserve">mák. Když jsme byli malí, učili </w:t>
      </w:r>
      <w:r>
        <w:t>jsme se ve škole psát vě</w:t>
      </w:r>
      <w:r>
        <w:softHyphen/>
        <w:t>tičku: Já jsem Čech a kdo je víc? Jakmile jsme dorostli, poznali jsme, že všelikdos je víc. Naše řeč nestačila svého času ani na vydání vědeckých knih, protože odběr byl tak malý, že by se byl náklad nevyplatil. Za několik hodin ce</w:t>
      </w:r>
      <w:r>
        <w:t>sty autem došli jsme na hranice, kde už nikdo naší řeči nerozuměl. Do nedávná nevěděli v Anglii, je-li Praha v Řecku nebo v Jugoslávii. Naše malá početnost vycho</w:t>
      </w:r>
      <w:r>
        <w:softHyphen/>
        <w:t>vala v nás lidi uvážlivé, přízemní a moudré. Kolikrát jsem našla v bytě horníka, chalupnika, s</w:t>
      </w:r>
      <w:r>
        <w:t>edláka knihovnu, ja</w:t>
      </w:r>
      <w:r>
        <w:softHyphen/>
        <w:t>kou nemá ani český inteligent! Kolikrát jsem našla v li</w:t>
      </w:r>
      <w:r>
        <w:softHyphen/>
        <w:t>dech oddanost k myšlence a chtivost po ní, a pohovoříte-li si s Angličanem, řekne vám, že u nás je každý řemeslník inteligentnější než v Anglii učitel. Poněvadž rozum je jakási obr</w:t>
      </w:r>
      <w:r>
        <w:t>anná látka, která vzniká v lidech, věčně ohrože</w:t>
      </w:r>
      <w:r>
        <w:softHyphen/>
        <w:t>ných. Naše ohrožení bylo takového druhu, že dalo vznik</w:t>
      </w:r>
      <w:r>
        <w:softHyphen/>
        <w:t>nout právě té krásné a správné míře rozumu, jenž ústí v lidskost, vůli k pospolitosti k vyslovenému citu pro so</w:t>
      </w:r>
      <w:r>
        <w:softHyphen/>
        <w:t>ciální spravedlnost, aniž by dal vzklíčil</w:t>
      </w:r>
      <w:r>
        <w:t>i přerozumářskému zbabělství.</w:t>
      </w:r>
    </w:p>
    <w:p w:rsidR="00500724" w:rsidRDefault="00F30FB8">
      <w:pPr>
        <w:pStyle w:val="Zkladntext100"/>
        <w:shd w:val="clear" w:color="auto" w:fill="auto"/>
        <w:spacing w:after="60" w:line="218" w:lineRule="auto"/>
        <w:ind w:firstLine="260"/>
      </w:pPr>
      <w:r>
        <w:t>Nuže, to miluji na českých lidech nejvíce, tento správ</w:t>
      </w:r>
      <w:r>
        <w:softHyphen/>
        <w:t>ný poměr mezi myšlenkou a skutečností, dobrotou a ne- změkčilostí, pracovitostí a nesnobstvím. A tyto všechny vlastnosti jest nám hájiti spolu s vědomím, že jsme Češi. Kdy</w:t>
      </w:r>
      <w:r>
        <w:t>bychom se stali Čechy brutálními nebo zbabělými, kdybychom se stali Čechy podlízavými nebo surovými, teprve pak bychom měli důvod k pochybám.</w:t>
      </w:r>
    </w:p>
    <w:p w:rsidR="00500724" w:rsidRDefault="00F30FB8">
      <w:pPr>
        <w:pStyle w:val="Zkladntext100"/>
        <w:shd w:val="clear" w:color="auto" w:fill="auto"/>
        <w:spacing w:after="60" w:line="218" w:lineRule="auto"/>
        <w:ind w:firstLine="0"/>
        <w:jc w:val="center"/>
      </w:pPr>
      <w:r>
        <w:t>Inteligence a pohodlí</w:t>
      </w:r>
    </w:p>
    <w:p w:rsidR="00500724" w:rsidRDefault="00F30FB8">
      <w:pPr>
        <w:pStyle w:val="Zkladntext100"/>
        <w:shd w:val="clear" w:color="auto" w:fill="auto"/>
        <w:spacing w:line="218" w:lineRule="auto"/>
        <w:ind w:firstLine="200"/>
      </w:pPr>
      <w:r>
        <w:t>V určitých vrstvách se stalo módou prohlašovali: cítím se ohroženým. Mluvíte s ženou lékaře,</w:t>
      </w:r>
      <w:r>
        <w:t xml:space="preserve"> plavou, hezkou pa</w:t>
      </w:r>
      <w:r>
        <w:softHyphen/>
        <w:t>ní s dvěma ještě plavějšími dětmi, Češkou, celá rodina má někde na periferii nějaký domeček a vede se jim dobře. Ale paní s vámi mluví tajemně a spiklenecky. Nic už ji na světě netěší a musí odjet. Proč, proboha, musí odjet? Co se jí děj</w:t>
      </w:r>
      <w:r>
        <w:t>e? A kam chce s těmi dětmi odjet? Ukáže se, že byla kdysi jednou — asi nedopatřením — pozvána na čaj ministerstva zahraničních věcí a že kdysi při znalosti angličtiny mluvila s nějakými hosty. Tady nebudeme mít možnost existence, tvrdí tajemně. Včera už ne</w:t>
      </w:r>
      <w:r>
        <w:t>dostala u ho- kyně mýdlo. A sádlo je také těžko dostati. A pak, jak jiný život budou mít její děti, když vyrostou jako američtí nebo britští občané? Jaké široké bezpečí! A ta příslušnost k vel</w:t>
      </w:r>
      <w:r>
        <w:softHyphen/>
        <w:t>kému národu také není k zahození. Tady je teď prý tolik nezaměs</w:t>
      </w:r>
      <w:r>
        <w:t>tnaných, což když její muž nebude mít už takovou praksi, jako měl? Bude musit nakonec propustit služku a jak by si pomohla se dvěma dětmi? Je sice těžké dostat visum, ale strýček má dobré známé... inu, vždyť víte. A v Anglii je asi těžké získat novou exist</w:t>
      </w:r>
      <w:r>
        <w:t>enci, ale pro</w:t>
      </w:r>
      <w:r>
        <w:softHyphen/>
        <w:t>tekcí se všelicos zmůže a ona má všelijaké styky... a pak její sestra, víte přece, jaká je to křehká bytost, má slabý Žaludek, musí se zvlášť pro ni vařit a kdoví, bude-li tu dost takového jídla ...</w:t>
      </w:r>
    </w:p>
    <w:p w:rsidR="00500724" w:rsidRDefault="00F30FB8">
      <w:pPr>
        <w:pStyle w:val="Zkladntext100"/>
        <w:shd w:val="clear" w:color="auto" w:fill="auto"/>
        <w:spacing w:line="218" w:lineRule="auto"/>
        <w:ind w:firstLine="200"/>
      </w:pPr>
      <w:r>
        <w:t>A za několik neděl přelétne tato plavá byto</w:t>
      </w:r>
      <w:r>
        <w:t>st skutečně zástupy lidí, kteří se tísní u konsulátů a jede, vybavena nejlepšími kufry a lodním lístkem první třídy, rovnou z národa někam, kde se žije pohodlněji. To jsou myslím, právě titíž lidé, kteří jezdili autem z města, když byla v září vyhlášena mo</w:t>
      </w:r>
      <w:r>
        <w:t>bilisace. To jsou titíž lidé, kteří byli snáhodoun v květnu v Londýně a pak »náhodou« v září zase.</w:t>
      </w:r>
    </w:p>
    <w:p w:rsidR="00500724" w:rsidRDefault="00F30FB8">
      <w:pPr>
        <w:pStyle w:val="Zkladntext100"/>
        <w:shd w:val="clear" w:color="auto" w:fill="auto"/>
        <w:spacing w:line="218" w:lineRule="auto"/>
        <w:ind w:firstLine="200"/>
      </w:pPr>
      <w:r>
        <w:t>Mluvila jsem předevčírem s Frantou Slezákem, chalup- níkem u Slaného. Tak co tu děláte, povídám? Inu, bram</w:t>
      </w:r>
      <w:r>
        <w:softHyphen/>
        <w:t>bory mám osázené a žito taky. Bylo studené jaro, a</w:t>
      </w:r>
      <w:r>
        <w:t>le vzešlo to, jako zázrakem, krásně. V sadě asi pokácím stará dvě jabloně a vysadím nové; a stará má už mladé kačeny, jděte se podívat, jsou jako pampelišky. Támhle ten be</w:t>
      </w:r>
      <w:r>
        <w:softHyphen/>
        <w:t>zový keř nějak ostříhám, aby nezašel, aby ta zahrádka byla letos pěkná. No, povídám,</w:t>
      </w:r>
      <w:r>
        <w:t xml:space="preserve"> a jak se snášíte s Němci? A co bych, oni si chodí a já si dělám, říká klidně. Mátu tu své pole, slepice a husy, děti mi jdou do školy a cha</w:t>
      </w:r>
      <w:r>
        <w:softHyphen/>
        <w:t>lupa je zadlužena. Tož dělám. A ničeho se nebojíte? A čeho bych se bál?</w:t>
      </w:r>
    </w:p>
    <w:p w:rsidR="00500724" w:rsidRDefault="00F30FB8">
      <w:pPr>
        <w:pStyle w:val="Zkladntext100"/>
        <w:shd w:val="clear" w:color="auto" w:fill="auto"/>
        <w:spacing w:line="218" w:lineRule="auto"/>
        <w:ind w:firstLine="260"/>
      </w:pPr>
      <w:r>
        <w:t>A po prvé je Franta trochu udivený a dívá s</w:t>
      </w:r>
      <w:r>
        <w:t>e na mne, mám-li to v hlavě v pořádku. Čeho bych se bál? Dělám si a budu si dělat na svém. Když se něco stane, tož začnu znovu. Táta se také všelijak narachotil. Stát se může všelicos - na vesnici není člověk nikdy jistý, oheň, po</w:t>
      </w:r>
      <w:r>
        <w:softHyphen/>
        <w:t>vodeň, vím já, co může vš</w:t>
      </w:r>
      <w:r>
        <w:t>echno přijít. Jaképak bání? Vrásky mu kolem očí dělají dva vějířky, ústa se sice nesmějí, ale oči ano, tím krásným českým humorem, který také nikde na světě nenajdete a slov ukusuje: A pak, paní, člověk může umřít jenom jednou. A když umře jtrochu dřív, ta</w:t>
      </w:r>
      <w:r>
        <w:t>k je holt o trochu dýl mrtvěj.</w:t>
      </w:r>
    </w:p>
    <w:p w:rsidR="00500724" w:rsidRDefault="00F30FB8">
      <w:pPr>
        <w:pStyle w:val="Zkladntext100"/>
        <w:shd w:val="clear" w:color="auto" w:fill="auto"/>
        <w:spacing w:line="480" w:lineRule="auto"/>
        <w:ind w:firstLine="0"/>
        <w:jc w:val="right"/>
      </w:pPr>
      <w:r>
        <w:t>A když íak sedíte na mezi vedle drobného českého člo- aáp</w:t>
      </w:r>
      <w:r>
        <w:br w:type="page"/>
      </w:r>
    </w:p>
    <w:p w:rsidR="00500724" w:rsidRDefault="00F30FB8">
      <w:pPr>
        <w:pStyle w:val="Zkladntext100"/>
        <w:shd w:val="clear" w:color="auto" w:fill="auto"/>
        <w:spacing w:after="260" w:line="221" w:lineRule="auto"/>
        <w:ind w:firstLine="0"/>
      </w:pPr>
      <w:r>
        <w:t xml:space="preserve">veka Franty Slezáka, který má políčko, kachňata a letos zvlášť hezkou zahrádku, když se koukáte přes sady, které kvetou a přes pole, které mají šedosivou zeleň, když </w:t>
      </w:r>
      <w:r>
        <w:t>pře</w:t>
      </w:r>
      <w:r>
        <w:softHyphen/>
        <w:t>mýšlíte o tom zvláštním obrazu odvahy, že člověk může být nanejvýš o něco sdéle mrtvý’ a když vidíte na ohybu u lesa vynořovat se jednu dvojici za druhou, dva mladí lidé v květnu na jaře, máte najednou srdce pokojné, právě tak pokojné, jako Franta Slez</w:t>
      </w:r>
      <w:r>
        <w:t>ák. Písmáctví není pouhý Tozum. Písmáctví je moudrost, skromnost a hluboké vě</w:t>
      </w:r>
      <w:r>
        <w:softHyphen/>
        <w:t>dění, které voní hlínou, poctivou statečností a právě tou mírou lásky k životu, která člověku dovoluje za svou věc umírat. Tuto samozřejmou lásku k drobné povinnosti a tuto samoz</w:t>
      </w:r>
      <w:r>
        <w:t xml:space="preserve">řejmou odvahu: io je, co musíme od sebe samých očekávat. Většina lidí ji má právě proto, že jsou Češi. </w:t>
      </w:r>
      <w:r>
        <w:rPr>
          <w:i/>
          <w:iCs/>
        </w:rPr>
        <w:t>A vy,</w:t>
      </w:r>
      <w:r>
        <w:t xml:space="preserve"> kteří jste utekli od chalup svých pradědečků do vzdělání a nacházíte se v dost neblahém stupni lid</w:t>
      </w:r>
      <w:r>
        <w:softHyphen/>
        <w:t>ského vývoje: ten dědeček z chalupy ve vás už as</w:t>
      </w:r>
      <w:r>
        <w:t>i po</w:t>
      </w:r>
      <w:r>
        <w:softHyphen/>
        <w:t>vadl a ta civilisace nevytvořila zatím tvrdou a pyšnou tradici — vy se choďte dívat, jak se žije, jděte se učit, jak se myslí a jak se myšlenkou, rozumem i prací udržuje národ v klidné a statečné pohodě. Neočekáváme nic, než souzvuk s tímto výtečným l</w:t>
      </w:r>
      <w:r>
        <w:t>idem: věřte mi, nejlepší výraz našeho národního souručenství.</w:t>
      </w:r>
    </w:p>
    <w:p w:rsidR="00500724" w:rsidRDefault="00F30FB8">
      <w:pPr>
        <w:pStyle w:val="Jin0"/>
        <w:shd w:val="clear" w:color="auto" w:fill="auto"/>
        <w:spacing w:after="260"/>
        <w:ind w:firstLine="0"/>
        <w:jc w:val="left"/>
        <w:rPr>
          <w:sz w:val="44"/>
          <w:szCs w:val="44"/>
        </w:rPr>
      </w:pPr>
      <w:r>
        <w:rPr>
          <w:b/>
          <w:bCs/>
          <w:sz w:val="44"/>
          <w:szCs w:val="44"/>
          <w:u w:val="single"/>
        </w:rPr>
        <w:t>národníhospodář</w:t>
      </w:r>
    </w:p>
    <w:p w:rsidR="00500724" w:rsidRDefault="00F30FB8">
      <w:pPr>
        <w:pStyle w:val="Zkladntext100"/>
        <w:shd w:val="clear" w:color="auto" w:fill="auto"/>
        <w:spacing w:line="209" w:lineRule="auto"/>
        <w:ind w:firstLine="0"/>
        <w:rPr>
          <w:sz w:val="19"/>
          <w:szCs w:val="19"/>
        </w:rPr>
      </w:pPr>
      <w:r>
        <w:rPr>
          <w:i/>
          <w:iCs/>
          <w:sz w:val="19"/>
          <w:szCs w:val="19"/>
        </w:rPr>
        <w:t>í) r. Jan Skála:</w:t>
      </w:r>
    </w:p>
    <w:p w:rsidR="00500724" w:rsidRDefault="00F30FB8">
      <w:pPr>
        <w:pStyle w:val="Nadpis100"/>
        <w:shd w:val="clear" w:color="auto" w:fill="auto"/>
        <w:spacing w:after="0" w:line="240" w:lineRule="auto"/>
        <w:jc w:val="left"/>
      </w:pPr>
      <w:bookmarkStart w:id="453" w:name="bookmark452"/>
      <w:r>
        <w:t>Průmysl a český životní standard</w:t>
      </w:r>
      <w:bookmarkEnd w:id="453"/>
    </w:p>
    <w:p w:rsidR="00500724" w:rsidRDefault="00F30FB8">
      <w:pPr>
        <w:pStyle w:val="Zkladntext100"/>
        <w:shd w:val="clear" w:color="auto" w:fill="auto"/>
        <w:spacing w:line="209" w:lineRule="auto"/>
        <w:ind w:firstLine="220"/>
        <w:rPr>
          <w:sz w:val="19"/>
          <w:szCs w:val="19"/>
        </w:rPr>
      </w:pPr>
      <w:r>
        <w:rPr>
          <w:sz w:val="19"/>
          <w:szCs w:val="19"/>
        </w:rPr>
        <w:t>Národní hospodářství Čech a Moravy se octlo novou úpravou jejich státoprávního postavení v situaci, jež není ještě vyjasněna. Je</w:t>
      </w:r>
      <w:r>
        <w:rPr>
          <w:sz w:val="19"/>
          <w:szCs w:val="19"/>
        </w:rPr>
        <w:t xml:space="preserve"> nejenom v zájmu českého ná</w:t>
      </w:r>
      <w:r>
        <w:rPr>
          <w:sz w:val="19"/>
          <w:szCs w:val="19"/>
        </w:rPr>
        <w:softHyphen/>
        <w:t>roda, ale také v zájmu velkoněmecké říše, abychom o těchto věcech mluvili otevřeně, vyměnili si znalosti dat a faktů, aby nová úprava sociálně hospodářská dála se k vzájemnému prospěchu.</w:t>
      </w:r>
    </w:p>
    <w:p w:rsidR="00500724" w:rsidRDefault="00F30FB8">
      <w:pPr>
        <w:pStyle w:val="Zkladntext100"/>
        <w:shd w:val="clear" w:color="auto" w:fill="auto"/>
        <w:spacing w:line="209" w:lineRule="auto"/>
        <w:ind w:firstLine="220"/>
        <w:rPr>
          <w:sz w:val="19"/>
          <w:szCs w:val="19"/>
        </w:rPr>
      </w:pPr>
      <w:r>
        <w:rPr>
          <w:sz w:val="19"/>
          <w:szCs w:val="19"/>
        </w:rPr>
        <w:t xml:space="preserve">Za n e j d ů 1 e ž i t ě j š í nutno zde </w:t>
      </w:r>
      <w:r>
        <w:rPr>
          <w:sz w:val="19"/>
          <w:szCs w:val="19"/>
        </w:rPr>
        <w:t>označit před vším jiným trvalé a soustavné úsilí dojít k takovým opatřením, jež by udrže</w:t>
      </w:r>
      <w:r>
        <w:rPr>
          <w:sz w:val="19"/>
          <w:szCs w:val="19"/>
        </w:rPr>
        <w:softHyphen/>
        <w:t>la, anebo pokud možná zabraňovala se</w:t>
      </w:r>
      <w:r>
        <w:rPr>
          <w:sz w:val="19"/>
          <w:szCs w:val="19"/>
        </w:rPr>
        <w:softHyphen/>
        <w:t>souvání životní úrovně pracujícího lidu v českém životním prostoru. Na tom nezávisí jenom věci sociální, hospodářské a kulturní, a</w:t>
      </w:r>
      <w:r>
        <w:rPr>
          <w:sz w:val="19"/>
          <w:szCs w:val="19"/>
        </w:rPr>
        <w:t>le do velké míry také potřebné politické a psychologické uklidnění. Proto je možno vyslovit naději, že o těchto ryze věcných nepolitických problémech bude možno se dohodnout tak, aby nová úprava přinesla Říši, jejímu pracujícímu lidu i obyvatelstvu Protekt</w:t>
      </w:r>
      <w:r>
        <w:rPr>
          <w:sz w:val="19"/>
          <w:szCs w:val="19"/>
        </w:rPr>
        <w:t>orátu maximální výhody. To jsou věci docela v dosahu možností. Taková úprava se musí tedy díti docela střízlivě a realisticky, čili musíme si býti vědomi předem, co se dá dělat a co je za daných poměrů vyloučeno.</w:t>
      </w:r>
    </w:p>
    <w:p w:rsidR="00500724" w:rsidRDefault="00F30FB8">
      <w:pPr>
        <w:pStyle w:val="Zkladntext100"/>
        <w:shd w:val="clear" w:color="auto" w:fill="auto"/>
        <w:spacing w:line="209" w:lineRule="auto"/>
        <w:ind w:firstLine="220"/>
        <w:rPr>
          <w:sz w:val="19"/>
          <w:szCs w:val="19"/>
        </w:rPr>
      </w:pPr>
      <w:r>
        <w:rPr>
          <w:sz w:val="19"/>
          <w:szCs w:val="19"/>
        </w:rPr>
        <w:t>Rozbor hospodářských čísel Protektorátu nás</w:t>
      </w:r>
      <w:r>
        <w:rPr>
          <w:sz w:val="19"/>
          <w:szCs w:val="19"/>
        </w:rPr>
        <w:t xml:space="preserve"> přede</w:t>
      </w:r>
      <w:r>
        <w:rPr>
          <w:sz w:val="19"/>
          <w:szCs w:val="19"/>
        </w:rPr>
        <w:softHyphen/>
        <w:t>vším nenechává nikterak na pochybách o tom, že roz</w:t>
      </w:r>
      <w:r>
        <w:rPr>
          <w:sz w:val="19"/>
          <w:szCs w:val="19"/>
        </w:rPr>
        <w:softHyphen/>
        <w:t>hodující důležitost pro životní úroveň českého pracujícího lidu má na prvním místě průmysl. Jde tedy o to, aby se zaměstnanost průmyslu nezmenšovala, čili aby neklesal odbyt průmyslových výrobků pro</w:t>
      </w:r>
      <w:r>
        <w:rPr>
          <w:sz w:val="19"/>
          <w:szCs w:val="19"/>
        </w:rPr>
        <w:t>tektorátního prů</w:t>
      </w:r>
      <w:r>
        <w:rPr>
          <w:sz w:val="19"/>
          <w:szCs w:val="19"/>
        </w:rPr>
        <w:softHyphen/>
        <w:t>myslu jak doma, tak i za hranicemi. Toho je možné dosáhnout ovšem jen cílevědomou úpravou, která přede</w:t>
      </w:r>
      <w:r>
        <w:rPr>
          <w:sz w:val="19"/>
          <w:szCs w:val="19"/>
        </w:rPr>
        <w:softHyphen/>
        <w:t>vším musí počítat doma s naší soustavou hospodářských čísel, venku pak s našimi výrobními podmínkami a s ná</w:t>
      </w:r>
      <w:r>
        <w:rPr>
          <w:sz w:val="19"/>
          <w:szCs w:val="19"/>
        </w:rPr>
        <w:softHyphen/>
        <w:t>ladou za hranicemi, jež je v</w:t>
      </w:r>
      <w:r>
        <w:rPr>
          <w:sz w:val="19"/>
          <w:szCs w:val="19"/>
        </w:rPr>
        <w:t xml:space="preserve"> této době směrodatná pro kupování zboží kteréhokoliv státu v zahraničí. V tom je obsažena celá problematika, se kterou se musíme vy</w:t>
      </w:r>
      <w:r>
        <w:rPr>
          <w:sz w:val="19"/>
          <w:szCs w:val="19"/>
        </w:rPr>
        <w:softHyphen/>
        <w:t>rovnat zatím alespoň v daných mezích jen povšechně.</w:t>
      </w:r>
    </w:p>
    <w:p w:rsidR="00500724" w:rsidRDefault="00F30FB8">
      <w:pPr>
        <w:pStyle w:val="Zkladntext100"/>
        <w:shd w:val="clear" w:color="auto" w:fill="auto"/>
        <w:spacing w:line="209" w:lineRule="auto"/>
        <w:ind w:firstLine="220"/>
        <w:rPr>
          <w:sz w:val="19"/>
          <w:szCs w:val="19"/>
        </w:rPr>
      </w:pPr>
      <w:r>
        <w:rPr>
          <w:sz w:val="19"/>
          <w:szCs w:val="19"/>
        </w:rPr>
        <w:t>Je patrné, že jsou si toho vědoma i vedoucí místa česká, protože předse</w:t>
      </w:r>
      <w:r>
        <w:rPr>
          <w:sz w:val="19"/>
          <w:szCs w:val="19"/>
        </w:rPr>
        <w:t xml:space="preserve">da Národního souručenství Adolf Hrubý ve své řeči 21. dubna prohlásil výslovně, že naše nová situace může míti za následek ^zvolnění a někde zastavení procesu industrialisačního, avšak jen do té míry, aby byl udržen slušný životní standard našeho národa«. </w:t>
      </w:r>
      <w:r>
        <w:rPr>
          <w:sz w:val="19"/>
          <w:szCs w:val="19"/>
        </w:rPr>
        <w:t>Soudíme ovšem, pokud jde o proces industriali- sační, že se tím dnes nemůže rozumět budování dalších průmyslových oborů nebo podstatnější rozšiřování ka</w:t>
      </w:r>
      <w:r>
        <w:rPr>
          <w:sz w:val="19"/>
          <w:szCs w:val="19"/>
        </w:rPr>
        <w:softHyphen/>
        <w:t>pacity existujícího průmyslu- Ale to není zatím ani předmětem našich úvah, kde v konkrétním případě jde</w:t>
      </w:r>
      <w:r>
        <w:rPr>
          <w:sz w:val="19"/>
          <w:szCs w:val="19"/>
        </w:rPr>
        <w:t xml:space="preserve"> jen o to, aby se ud ržel průmysl, který český národ má, a aby byla učiněna taková opatření, aby jeho zaměstnanost neklesala, neboť jak p. Hrubý správně sám dodal, závisí na tom slušná životní míra českého národa vůbec.</w:t>
      </w:r>
    </w:p>
    <w:p w:rsidR="00500724" w:rsidRDefault="00F30FB8">
      <w:pPr>
        <w:pStyle w:val="Zkladntext100"/>
        <w:shd w:val="clear" w:color="auto" w:fill="auto"/>
        <w:spacing w:after="60" w:line="180" w:lineRule="auto"/>
        <w:ind w:firstLine="0"/>
        <w:jc w:val="center"/>
        <w:rPr>
          <w:sz w:val="19"/>
          <w:szCs w:val="19"/>
        </w:rPr>
      </w:pPr>
      <w:r>
        <w:rPr>
          <w:sz w:val="19"/>
          <w:szCs w:val="19"/>
        </w:rPr>
        <w:t>•</w:t>
      </w:r>
    </w:p>
    <w:p w:rsidR="00500724" w:rsidRDefault="00F30FB8">
      <w:pPr>
        <w:pStyle w:val="Zkladntext100"/>
        <w:shd w:val="clear" w:color="auto" w:fill="auto"/>
        <w:spacing w:line="209" w:lineRule="auto"/>
        <w:ind w:firstLine="220"/>
        <w:rPr>
          <w:sz w:val="19"/>
          <w:szCs w:val="19"/>
        </w:rPr>
      </w:pPr>
      <w:r>
        <w:rPr>
          <w:sz w:val="19"/>
          <w:szCs w:val="19"/>
        </w:rPr>
        <w:t>Rozumí se, že rozsah české průmysl</w:t>
      </w:r>
      <w:r>
        <w:rPr>
          <w:sz w:val="19"/>
          <w:szCs w:val="19"/>
        </w:rPr>
        <w:t>ové vý</w:t>
      </w:r>
      <w:r>
        <w:rPr>
          <w:sz w:val="19"/>
          <w:szCs w:val="19"/>
        </w:rPr>
        <w:softHyphen/>
        <w:t>roby pod vlivem evropského neklidu v druhé polovině roku 1958 značně klesal a tento pohyb se asi projevoval i letos, ačkoliv ovšem o tom neznáme dosud přesných dat. To proto, že dosavadní statistické šetření počítalo s jiný</w:t>
      </w:r>
      <w:r>
        <w:rPr>
          <w:sz w:val="19"/>
          <w:szCs w:val="19"/>
        </w:rPr>
        <w:softHyphen/>
        <w:t>mi zeměpisnými útvary než</w:t>
      </w:r>
      <w:r>
        <w:rPr>
          <w:sz w:val="19"/>
          <w:szCs w:val="19"/>
        </w:rPr>
        <w:t xml:space="preserve"> jsou vytvořeny dnes. Ale lze soudit, že rozsah naší průmyslové výroby nedosahuje ani konjunkturní úrovně z r. 1929, čili že poklesl pod rozsah výroby z let 1956-58 a pravděpodobně se pohy</w:t>
      </w:r>
      <w:r>
        <w:rPr>
          <w:sz w:val="19"/>
          <w:szCs w:val="19"/>
        </w:rPr>
        <w:softHyphen/>
        <w:t>buje asi kolem 90 procent rozsahu průmyslové výroby z r. 1929.</w:t>
      </w:r>
    </w:p>
    <w:p w:rsidR="00500724" w:rsidRDefault="00F30FB8">
      <w:pPr>
        <w:pStyle w:val="Zkladntext100"/>
        <w:shd w:val="clear" w:color="auto" w:fill="auto"/>
        <w:spacing w:line="209" w:lineRule="auto"/>
        <w:ind w:firstLine="220"/>
        <w:rPr>
          <w:sz w:val="19"/>
          <w:szCs w:val="19"/>
        </w:rPr>
      </w:pPr>
      <w:r>
        <w:rPr>
          <w:sz w:val="19"/>
          <w:szCs w:val="19"/>
        </w:rPr>
        <w:t>Zahr</w:t>
      </w:r>
      <w:r>
        <w:rPr>
          <w:sz w:val="19"/>
          <w:szCs w:val="19"/>
        </w:rPr>
        <w:t>aniční obchod Čech a Moravy se ovšem také sesouval v důsledku nedůvěry mezi národy a státy a je podstatně nižší, než byl v. 1929. Na dosažení tehdejší úrovně se asi nedá zatím vůbec ani pomýšlet, pokud se nezdaří vytvořit větší územní celky v Evropě nebo p</w:t>
      </w:r>
      <w:r>
        <w:rPr>
          <w:sz w:val="19"/>
          <w:szCs w:val="19"/>
        </w:rPr>
        <w:t>o</w:t>
      </w:r>
      <w:r>
        <w:rPr>
          <w:sz w:val="19"/>
          <w:szCs w:val="19"/>
        </w:rPr>
        <w:softHyphen/>
        <w:t xml:space="preserve">kud nedojde k evropskému uklidnění a </w:t>
      </w:r>
      <w:r>
        <w:rPr>
          <w:sz w:val="20"/>
          <w:szCs w:val="20"/>
        </w:rPr>
        <w:t xml:space="preserve">k </w:t>
      </w:r>
      <w:r>
        <w:rPr>
          <w:sz w:val="19"/>
          <w:szCs w:val="19"/>
        </w:rPr>
        <w:t>tomu, aby velkoněmecká říše si vybojovala podstatnější podíl na světovém obchodu. Na tom všem má české národní hos</w:t>
      </w:r>
      <w:r>
        <w:rPr>
          <w:sz w:val="19"/>
          <w:szCs w:val="19"/>
        </w:rPr>
        <w:softHyphen/>
        <w:t xml:space="preserve">podářství velký zájem, řekněme, dokonce zájem přímo životní, protože pohyb těchto problémů a jejich </w:t>
      </w:r>
      <w:r>
        <w:rPr>
          <w:sz w:val="19"/>
          <w:szCs w:val="19"/>
        </w:rPr>
        <w:t>řešení vykonává směrodatný vliv na životní standard českého národa.</w:t>
      </w:r>
    </w:p>
    <w:p w:rsidR="00500724" w:rsidRDefault="00F30FB8">
      <w:pPr>
        <w:pStyle w:val="Zkladntext100"/>
        <w:shd w:val="clear" w:color="auto" w:fill="auto"/>
        <w:spacing w:line="209" w:lineRule="auto"/>
        <w:ind w:firstLine="220"/>
        <w:rPr>
          <w:sz w:val="19"/>
          <w:szCs w:val="19"/>
        </w:rPr>
      </w:pPr>
      <w:r>
        <w:rPr>
          <w:sz w:val="19"/>
          <w:szCs w:val="19"/>
        </w:rPr>
        <w:t>Brzy po válce v bývalém čs. státě byl počet lidí, za</w:t>
      </w:r>
      <w:r>
        <w:rPr>
          <w:sz w:val="19"/>
          <w:szCs w:val="19"/>
        </w:rPr>
        <w:softHyphen/>
        <w:t>městnaných v zemědělství, o něco málo větší, než počet lidí, zaměstnaných v průmyslu. V zemědělství byly tehdy zaměstnány podle sčítání</w:t>
      </w:r>
      <w:r>
        <w:rPr>
          <w:sz w:val="19"/>
          <w:szCs w:val="19"/>
        </w:rPr>
        <w:t xml:space="preserve"> r. 1921 bezmála dvě pětiny lidí, v průmyslu jen jedna třetina všech pracov</w:t>
      </w:r>
      <w:r>
        <w:rPr>
          <w:sz w:val="19"/>
          <w:szCs w:val="19"/>
        </w:rPr>
        <w:softHyphen/>
        <w:t>níků. Po desíti letech byl však již tento poměr obrácený. Počátkem hospodářské krise, jež zachvátila celý svět, bylo v našem zemědělství v celém bývalém státě za</w:t>
      </w:r>
      <w:r>
        <w:rPr>
          <w:sz w:val="19"/>
          <w:szCs w:val="19"/>
        </w:rPr>
        <w:softHyphen/>
        <w:t>městnáno asi 450 t</w:t>
      </w:r>
      <w:r>
        <w:rPr>
          <w:sz w:val="19"/>
          <w:szCs w:val="19"/>
        </w:rPr>
        <w:t>isíc pracujících, kdežto v ostatních oborech činnosti, jež souvisí s průmyslem, skoro dva a půl milionu nemocensky pojištěných osob. Poměr mezd, vyplacených zemědělským pracovníkům a pracovníkům v průmyslu byl skoro 1:10, totiž zemědělským pracovní</w:t>
      </w:r>
      <w:r>
        <w:rPr>
          <w:sz w:val="19"/>
          <w:szCs w:val="19"/>
        </w:rPr>
        <w:softHyphen/>
        <w:t>kům byl</w:t>
      </w:r>
      <w:r>
        <w:rPr>
          <w:sz w:val="19"/>
          <w:szCs w:val="19"/>
        </w:rPr>
        <w:t>o vyplaceno něco kolem jedné a půl miliardy korun, kdežto průmyslovým a obchodním zaměstnan</w:t>
      </w:r>
      <w:r>
        <w:rPr>
          <w:sz w:val="19"/>
          <w:szCs w:val="19"/>
        </w:rPr>
        <w:softHyphen/>
        <w:t>cům (rozumíme tu data, týkající se dělníků nemocensky pojištěných, protože tato statistika byla měsíčně vyka</w:t>
      </w:r>
      <w:r>
        <w:rPr>
          <w:sz w:val="19"/>
          <w:szCs w:val="19"/>
        </w:rPr>
        <w:softHyphen/>
        <w:t>zována) téměř 15 miliard korun. To jistě velmi dobře il</w:t>
      </w:r>
      <w:r>
        <w:rPr>
          <w:sz w:val="19"/>
          <w:szCs w:val="19"/>
        </w:rPr>
        <w:t>ustruje význam průmyslu v našem národním hospo</w:t>
      </w:r>
      <w:r>
        <w:rPr>
          <w:sz w:val="19"/>
          <w:szCs w:val="19"/>
        </w:rPr>
        <w:softHyphen/>
        <w:t>dářství a ukazuje, jak velký vliv má na výši životního standardu českého pracujícího lidu.</w:t>
      </w:r>
    </w:p>
    <w:p w:rsidR="00500724" w:rsidRDefault="00F30FB8">
      <w:pPr>
        <w:pStyle w:val="Zkladntext100"/>
        <w:shd w:val="clear" w:color="auto" w:fill="auto"/>
        <w:spacing w:line="209" w:lineRule="auto"/>
        <w:ind w:firstLine="220"/>
        <w:rPr>
          <w:sz w:val="19"/>
          <w:szCs w:val="19"/>
        </w:rPr>
        <w:sectPr w:rsidR="00500724">
          <w:footnotePr>
            <w:numFmt w:val="chicago"/>
            <w:numRestart w:val="eachPage"/>
          </w:footnotePr>
          <w:type w:val="continuous"/>
          <w:pgSz w:w="11909" w:h="16834"/>
          <w:pgMar w:top="435" w:right="843" w:bottom="763" w:left="581" w:header="0" w:footer="3" w:gutter="0"/>
          <w:cols w:num="2" w:space="146"/>
          <w:noEndnote/>
          <w:docGrid w:linePitch="360"/>
        </w:sectPr>
      </w:pPr>
      <w:r>
        <w:rPr>
          <w:noProof/>
        </w:rPr>
        <mc:AlternateContent>
          <mc:Choice Requires="wps">
            <w:drawing>
              <wp:anchor distT="25400" distB="254000" distL="114300" distR="114300" simplePos="0" relativeHeight="125829824" behindDoc="0" locked="0" layoutInCell="1" allowOverlap="1">
                <wp:simplePos x="0" y="0"/>
                <wp:positionH relativeFrom="page">
                  <wp:posOffset>399415</wp:posOffset>
                </wp:positionH>
                <wp:positionV relativeFrom="margin">
                  <wp:posOffset>9549130</wp:posOffset>
                </wp:positionV>
                <wp:extent cx="222250" cy="164465"/>
                <wp:effectExtent l="0" t="0" r="0" b="0"/>
                <wp:wrapTopAndBottom/>
                <wp:docPr id="447" name="Shape 447"/>
                <wp:cNvGraphicFramePr/>
                <a:graphic xmlns:a="http://schemas.openxmlformats.org/drawingml/2006/main">
                  <a:graphicData uri="http://schemas.microsoft.com/office/word/2010/wordprocessingShape">
                    <wps:wsp>
                      <wps:cNvSpPr txBox="1"/>
                      <wps:spPr>
                        <a:xfrm>
                          <a:off x="0" y="0"/>
                          <a:ext cx="222250" cy="164465"/>
                        </a:xfrm>
                        <a:prstGeom prst="rect">
                          <a:avLst/>
                        </a:prstGeom>
                        <a:noFill/>
                      </wps:spPr>
                      <wps:txbx>
                        <w:txbxContent>
                          <w:p w:rsidR="00500724" w:rsidRDefault="00F30FB8">
                            <w:pPr>
                              <w:pStyle w:val="Zkladntext100"/>
                              <w:shd w:val="clear" w:color="auto" w:fill="auto"/>
                              <w:spacing w:line="240" w:lineRule="auto"/>
                              <w:ind w:firstLine="0"/>
                              <w:jc w:val="left"/>
                              <w:rPr>
                                <w:sz w:val="19"/>
                                <w:szCs w:val="19"/>
                              </w:rPr>
                            </w:pPr>
                            <w:r>
                              <w:rPr>
                                <w:sz w:val="19"/>
                                <w:szCs w:val="19"/>
                              </w:rPr>
                              <w:t>2yo</w:t>
                            </w:r>
                          </w:p>
                        </w:txbxContent>
                      </wps:txbx>
                      <wps:bodyPr lIns="0" tIns="0" rIns="0" bIns="0">
                        <a:spAutoFit/>
                      </wps:bodyPr>
                    </wps:wsp>
                  </a:graphicData>
                </a:graphic>
              </wp:anchor>
            </w:drawing>
          </mc:Choice>
          <mc:Fallback>
            <w:pict>
              <v:shape id="_x0000_s1473" type="#_x0000_t202" style="position:absolute;margin-left:31.449999999999999pt;margin-top:751.89999999999998pt;width:17.5pt;height:12.949999999999999pt;z-index:-125828929;mso-wrap-distance-left:9.pt;mso-wrap-distance-top:2.pt;mso-wrap-distance-right:9.pt;mso-wrap-distance-bottom:20.pt;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2yo</w:t>
                      </w:r>
                    </w:p>
                  </w:txbxContent>
                </v:textbox>
                <w10:wrap type="topAndBottom" anchorx="page" anchory="margin"/>
              </v:shape>
            </w:pict>
          </mc:Fallback>
        </mc:AlternateContent>
      </w:r>
      <w:r>
        <w:rPr>
          <w:sz w:val="19"/>
          <w:szCs w:val="19"/>
        </w:rPr>
        <w:t>V našem novém státoprávním postavení se tyto po</w:t>
      </w:r>
      <w:r>
        <w:rPr>
          <w:sz w:val="19"/>
          <w:szCs w:val="19"/>
        </w:rPr>
        <w:softHyphen/>
        <w:t>měry čísel, mezd a lidí, pokud jd</w:t>
      </w:r>
      <w:r>
        <w:rPr>
          <w:sz w:val="19"/>
          <w:szCs w:val="19"/>
        </w:rPr>
        <w:t>e o význam průmyslu, nikterak významněji nezměnily. Jak jsme zde již uvedli, zachoval bývalý stát po dohodě v Mni</w:t>
      </w:r>
      <w:r>
        <w:rPr>
          <w:sz w:val="19"/>
          <w:szCs w:val="19"/>
        </w:rPr>
        <w:softHyphen/>
        <w:t>chově asi dvě třetiny svého průmyslu jak co do počtu zaměstnanců, tak co do rozsahu výroby i odbytu. V Čechách a na Moravě, které dnes tvoří P</w:t>
      </w:r>
      <w:r>
        <w:rPr>
          <w:sz w:val="19"/>
          <w:szCs w:val="19"/>
        </w:rPr>
        <w:t>rotektorát Če chy a Morava, z těchto 66 procent průmyslu zůstalo 85 procent (p o- ložíme-li totiž zmíněných 66 procent opětně rovné 10 0), kdežto Slovensko mělo jen 12 procent průmyslu a Podkarpatská Rus 3 procenta. Jiný</w:t>
      </w:r>
      <w:r>
        <w:rPr>
          <w:sz w:val="19"/>
          <w:szCs w:val="19"/>
        </w:rPr>
        <w:softHyphen/>
        <w:t xml:space="preserve">mi slovy, z </w:t>
      </w:r>
      <w:r>
        <w:rPr>
          <w:i/>
          <w:iCs/>
          <w:sz w:val="19"/>
          <w:szCs w:val="19"/>
        </w:rPr>
        <w:t>průmyslové kapacity pom</w:t>
      </w:r>
      <w:r>
        <w:rPr>
          <w:i/>
          <w:iCs/>
          <w:sz w:val="19"/>
          <w:szCs w:val="19"/>
        </w:rPr>
        <w:t>nichovského státu zůstává v Protektorátu Čechy</w:t>
      </w:r>
      <w:r>
        <w:rPr>
          <w:sz w:val="19"/>
          <w:szCs w:val="19"/>
        </w:rPr>
        <w:t xml:space="preserve"> a </w:t>
      </w:r>
      <w:r>
        <w:rPr>
          <w:i/>
          <w:iCs/>
          <w:sz w:val="19"/>
          <w:szCs w:val="19"/>
        </w:rPr>
        <w:t>Morava přes čtyři pětiny průmyslu.</w:t>
      </w:r>
      <w:r>
        <w:rPr>
          <w:sz w:val="19"/>
          <w:szCs w:val="19"/>
        </w:rPr>
        <w:t xml:space="preserve"> Již z těchto poměrných dat je patrné,</w:t>
      </w:r>
    </w:p>
    <w:p w:rsidR="00500724" w:rsidRDefault="00F30FB8">
      <w:pPr>
        <w:pStyle w:val="Zkladntext100"/>
        <w:shd w:val="clear" w:color="auto" w:fill="auto"/>
        <w:spacing w:after="180" w:line="216" w:lineRule="auto"/>
        <w:ind w:firstLine="0"/>
        <w:rPr>
          <w:sz w:val="19"/>
          <w:szCs w:val="19"/>
        </w:rPr>
      </w:pPr>
      <w:r>
        <w:rPr>
          <w:sz w:val="19"/>
          <w:szCs w:val="19"/>
        </w:rPr>
        <w:t>že význam průmyslu pro zaměstnanost pracujícího Edu u nás a pro jeho životní míru se nezmenšil, snad dokonce se ještě zvýšil.</w:t>
      </w:r>
    </w:p>
    <w:p w:rsidR="00500724" w:rsidRDefault="00F30FB8">
      <w:pPr>
        <w:pStyle w:val="Zkladntext100"/>
        <w:shd w:val="clear" w:color="auto" w:fill="auto"/>
        <w:spacing w:line="209" w:lineRule="auto"/>
        <w:ind w:firstLine="220"/>
        <w:rPr>
          <w:sz w:val="19"/>
          <w:szCs w:val="19"/>
        </w:rPr>
      </w:pPr>
      <w:r>
        <w:rPr>
          <w:sz w:val="19"/>
          <w:szCs w:val="19"/>
        </w:rPr>
        <w:t>Když Vít</w:t>
      </w:r>
      <w:r>
        <w:rPr>
          <w:sz w:val="19"/>
          <w:szCs w:val="19"/>
        </w:rPr>
        <w:t>kovické důlní a hutní těžířstvo před jede</w:t>
      </w:r>
      <w:r>
        <w:rPr>
          <w:sz w:val="19"/>
          <w:szCs w:val="19"/>
        </w:rPr>
        <w:softHyphen/>
        <w:t>nácti lety oslavovalo stoleté jubileum, byla v rozsáhlé publikaci, k tomuto datu vydané, uveřejněna studie, která dokazovala na základě podrobného šetření, že dva</w:t>
      </w:r>
      <w:r>
        <w:rPr>
          <w:sz w:val="19"/>
          <w:szCs w:val="19"/>
        </w:rPr>
        <w:softHyphen/>
        <w:t>cet tisíc dělníků, zaměstnaných v průmyslovém podni</w:t>
      </w:r>
      <w:r>
        <w:rPr>
          <w:sz w:val="19"/>
          <w:szCs w:val="19"/>
        </w:rPr>
        <w:t>ku takového druhu, jaký představovaly Vítkovice, dává za</w:t>
      </w:r>
      <w:r>
        <w:rPr>
          <w:sz w:val="19"/>
          <w:szCs w:val="19"/>
        </w:rPr>
        <w:softHyphen/>
        <w:t>městnání dalším 200.000 lidí, jinými slovy, na výkon- némprůmyslučinnostídopravní, obchod</w:t>
      </w:r>
      <w:r>
        <w:rPr>
          <w:sz w:val="19"/>
          <w:szCs w:val="19"/>
        </w:rPr>
        <w:softHyphen/>
        <w:t>ní, zemědělskou, prostředkovatelskou, pojistnou a veřejně-administrativní zá</w:t>
      </w:r>
      <w:r>
        <w:rPr>
          <w:sz w:val="19"/>
          <w:szCs w:val="19"/>
        </w:rPr>
        <w:softHyphen/>
        <w:t>visí existence desetkráte většíh</w:t>
      </w:r>
      <w:r>
        <w:rPr>
          <w:sz w:val="19"/>
          <w:szCs w:val="19"/>
        </w:rPr>
        <w:t>o počtu zaměstnanců.</w:t>
      </w:r>
    </w:p>
    <w:p w:rsidR="00500724" w:rsidRDefault="00F30FB8">
      <w:pPr>
        <w:pStyle w:val="Zkladntext100"/>
        <w:shd w:val="clear" w:color="auto" w:fill="auto"/>
        <w:spacing w:line="209" w:lineRule="auto"/>
        <w:ind w:firstLine="220"/>
        <w:rPr>
          <w:sz w:val="19"/>
          <w:szCs w:val="19"/>
        </w:rPr>
      </w:pPr>
      <w:r>
        <w:rPr>
          <w:sz w:val="19"/>
          <w:szCs w:val="19"/>
        </w:rPr>
        <w:t>Tato stručná zmínka, navazující na fakt, zjištěný při této náhodné příležitosti, ukazuje také dobře, co míníme tím, když mluvíme o významu průmyslu pro životní úroveň českého člověka.</w:t>
      </w:r>
    </w:p>
    <w:p w:rsidR="00500724" w:rsidRDefault="00F30FB8">
      <w:pPr>
        <w:pStyle w:val="Zkladntext100"/>
        <w:shd w:val="clear" w:color="auto" w:fill="auto"/>
        <w:spacing w:line="209" w:lineRule="auto"/>
        <w:ind w:firstLine="220"/>
        <w:rPr>
          <w:sz w:val="19"/>
          <w:szCs w:val="19"/>
        </w:rPr>
      </w:pPr>
      <w:r>
        <w:rPr>
          <w:sz w:val="19"/>
          <w:szCs w:val="19"/>
        </w:rPr>
        <w:t xml:space="preserve">Jde tedy o to, aby domácí podmínky, které umožňují </w:t>
      </w:r>
      <w:r>
        <w:rPr>
          <w:sz w:val="19"/>
          <w:szCs w:val="19"/>
        </w:rPr>
        <w:t>takovou zaměstnanost průmyslu, se nezměnily k horší</w:t>
      </w:r>
      <w:r>
        <w:rPr>
          <w:sz w:val="19"/>
          <w:szCs w:val="19"/>
        </w:rPr>
        <w:softHyphen/>
        <w:t>mu. Je proto žádoucí nejenom, aby daňové zatížení ne</w:t>
      </w:r>
      <w:r>
        <w:rPr>
          <w:sz w:val="19"/>
          <w:szCs w:val="19"/>
        </w:rPr>
        <w:softHyphen/>
        <w:t>bylo zvyšováno z žádného titulu, ale také, aby bylo při</w:t>
      </w:r>
      <w:r>
        <w:rPr>
          <w:sz w:val="19"/>
          <w:szCs w:val="19"/>
        </w:rPr>
        <w:softHyphen/>
        <w:t>hlíženo velmi pečlivě k naší soustavě hospodářských čísel, aby totiž nebyla vysunuta z rovnováh</w:t>
      </w:r>
      <w:r>
        <w:rPr>
          <w:sz w:val="19"/>
          <w:szCs w:val="19"/>
        </w:rPr>
        <w:t>y vEvem sou</w:t>
      </w:r>
      <w:r>
        <w:rPr>
          <w:sz w:val="19"/>
          <w:szCs w:val="19"/>
        </w:rPr>
        <w:softHyphen/>
        <w:t>stavy hospodářských čísel v Německu. Rozumí se, že v německé říši jsou tato čísla vyrovnána a vyvážena, stejně jako tomu bylo u nás, ale jsou prostě jiná. Kdyby měla býti slučována bez vyrovnávání a vyvažování, mu</w:t>
      </w:r>
      <w:r>
        <w:rPr>
          <w:sz w:val="19"/>
          <w:szCs w:val="19"/>
        </w:rPr>
        <w:softHyphen/>
        <w:t>sil by následek býti pro náš p</w:t>
      </w:r>
      <w:r>
        <w:rPr>
          <w:sz w:val="19"/>
          <w:szCs w:val="19"/>
        </w:rPr>
        <w:t>růmysl nepříznivý.</w:t>
      </w:r>
    </w:p>
    <w:p w:rsidR="00500724" w:rsidRDefault="00F30FB8">
      <w:pPr>
        <w:pStyle w:val="Zkladntext100"/>
        <w:shd w:val="clear" w:color="auto" w:fill="auto"/>
        <w:spacing w:line="209" w:lineRule="auto"/>
        <w:ind w:firstLine="220"/>
        <w:rPr>
          <w:sz w:val="19"/>
          <w:szCs w:val="19"/>
        </w:rPr>
      </w:pPr>
      <w:r>
        <w:rPr>
          <w:sz w:val="19"/>
          <w:szCs w:val="19"/>
        </w:rPr>
        <w:t>A to není ani v zájmu Říše. Je tedy nutné, aby ceny byly u nás udrženy, aby byla učiněna taková opatření, ale současně aby suroviny a zboží z hranic Protektorátu neodplývaly jenom proto, že poměr soustav hospodář</w:t>
      </w:r>
      <w:r>
        <w:rPr>
          <w:sz w:val="19"/>
          <w:szCs w:val="19"/>
        </w:rPr>
        <w:softHyphen/>
        <w:t>ských čísel není správně</w:t>
      </w:r>
      <w:r>
        <w:rPr>
          <w:sz w:val="19"/>
          <w:szCs w:val="19"/>
        </w:rPr>
        <w:t xml:space="preserve"> vyrovnán. Tu je třeba také uvážiti mimo jiné, zda poměr mezimarkou a ko</w:t>
      </w:r>
      <w:r>
        <w:rPr>
          <w:sz w:val="19"/>
          <w:szCs w:val="19"/>
        </w:rPr>
        <w:softHyphen/>
        <w:t>runou odpovídá tomuto poměru hospodářských čísel. Zjištění by se dalo provésti na příklad i pomocí tak zva</w:t>
      </w:r>
      <w:r>
        <w:rPr>
          <w:sz w:val="19"/>
          <w:szCs w:val="19"/>
        </w:rPr>
        <w:softHyphen/>
        <w:t>ného »koše potravin«, totiž množství potravin, které jsou nutný pro výživu u</w:t>
      </w:r>
      <w:r>
        <w:rPr>
          <w:sz w:val="19"/>
          <w:szCs w:val="19"/>
        </w:rPr>
        <w:t xml:space="preserve">rčitého počtu osob na určitou dobu </w:t>
      </w:r>
      <w:r>
        <w:rPr>
          <w:sz w:val="20"/>
          <w:szCs w:val="20"/>
        </w:rPr>
        <w:t xml:space="preserve">v </w:t>
      </w:r>
      <w:r>
        <w:rPr>
          <w:sz w:val="19"/>
          <w:szCs w:val="19"/>
        </w:rPr>
        <w:t>Protektorátu a v Říši a podle toho stanovití poměr měn, nebo obráceně, zjistit, koEk se za stejný počet mě</w:t>
      </w:r>
      <w:r>
        <w:rPr>
          <w:sz w:val="19"/>
          <w:szCs w:val="19"/>
        </w:rPr>
        <w:softHyphen/>
        <w:t>nových jednotek dostane potravin v tomto spotravino- vém kosti a korigovat, to jest vážiti tato data ještě po</w:t>
      </w:r>
      <w:r>
        <w:rPr>
          <w:sz w:val="19"/>
          <w:szCs w:val="19"/>
        </w:rPr>
        <w:softHyphen/>
        <w:t>mě</w:t>
      </w:r>
      <w:r>
        <w:rPr>
          <w:sz w:val="19"/>
          <w:szCs w:val="19"/>
        </w:rPr>
        <w:t>rem cen surovin, polotovarů a hotových výrobků.</w:t>
      </w:r>
    </w:p>
    <w:p w:rsidR="00500724" w:rsidRDefault="00F30FB8">
      <w:pPr>
        <w:pStyle w:val="Zkladntext100"/>
        <w:shd w:val="clear" w:color="auto" w:fill="auto"/>
        <w:spacing w:line="209" w:lineRule="auto"/>
        <w:ind w:firstLine="0"/>
        <w:jc w:val="center"/>
        <w:rPr>
          <w:sz w:val="19"/>
          <w:szCs w:val="19"/>
        </w:rPr>
      </w:pPr>
      <w:r>
        <w:rPr>
          <w:sz w:val="19"/>
          <w:szCs w:val="19"/>
        </w:rPr>
        <w:t>•</w:t>
      </w:r>
    </w:p>
    <w:p w:rsidR="00500724" w:rsidRDefault="00F30FB8">
      <w:pPr>
        <w:pStyle w:val="Zkladntext100"/>
        <w:shd w:val="clear" w:color="auto" w:fill="auto"/>
        <w:spacing w:line="206" w:lineRule="auto"/>
        <w:ind w:firstLine="220"/>
        <w:rPr>
          <w:sz w:val="19"/>
          <w:szCs w:val="19"/>
        </w:rPr>
      </w:pPr>
      <w:r>
        <w:rPr>
          <w:sz w:val="19"/>
          <w:szCs w:val="19"/>
        </w:rPr>
        <w:t>Je dále zapotřebí, aby bylo zachováno zdravéčes- ké peněžnictví. V tomto směru je důležito, aby se nestalo nic, co by podvázalo přirozený sklon českého pracujícího člověka k še</w:t>
      </w:r>
      <w:r>
        <w:rPr>
          <w:sz w:val="19"/>
          <w:szCs w:val="19"/>
        </w:rPr>
        <w:softHyphen/>
        <w:t>tření. Vždyť víme, že i nejka</w:t>
      </w:r>
      <w:r>
        <w:rPr>
          <w:sz w:val="19"/>
          <w:szCs w:val="19"/>
        </w:rPr>
        <w:t>pitalističtější český finanční ústav, Živnostenská banka, má vklady v prů</w:t>
      </w:r>
      <w:r>
        <w:rPr>
          <w:sz w:val="19"/>
          <w:szCs w:val="19"/>
        </w:rPr>
        <w:softHyphen/>
        <w:t>měru pouhých 10 nebo 12 tisíc korun na jednoho vkla</w:t>
      </w:r>
      <w:r>
        <w:rPr>
          <w:sz w:val="19"/>
          <w:szCs w:val="19"/>
        </w:rPr>
        <w:softHyphen/>
        <w:t>datele, čili celá existence Živnostenské banky spočívá na drobných vkladatelích, na tak zvaném malém českém člověku. Ani nejobezře</w:t>
      </w:r>
      <w:r>
        <w:rPr>
          <w:sz w:val="19"/>
          <w:szCs w:val="19"/>
        </w:rPr>
        <w:t xml:space="preserve">tnější politika tohoto velkého bankovního ústavu by jej nemohla dovésti k dobrým výsledkům, kdyby tyto vklady mizely a nové nepřibý- valy. Ještě nižší vkladatelské průměry jsou u ostatních bank a spořitelen. To jsou věci velice důležité a přáli bychom si, </w:t>
      </w:r>
      <w:r>
        <w:rPr>
          <w:sz w:val="19"/>
          <w:szCs w:val="19"/>
        </w:rPr>
        <w:t>aby byly obecně známy a dobře chápány. Dále je zapotřebí, aby politika státní p ok 1 a cl</w:t>
      </w:r>
      <w:r>
        <w:rPr>
          <w:sz w:val="19"/>
          <w:szCs w:val="19"/>
        </w:rPr>
        <w:softHyphen/>
        <w:t>ily byla taková, aby tomuto vývoji napomáhala. Toho je třeba už jenom také proto, že přes dvě třetiny všech státních papírů jsou v držení pě</w:t>
      </w:r>
      <w:r>
        <w:rPr>
          <w:sz w:val="19"/>
          <w:szCs w:val="19"/>
        </w:rPr>
        <w:softHyphen/>
        <w:t>ně žn í ch úst a vů. Úpra</w:t>
      </w:r>
      <w:r>
        <w:rPr>
          <w:sz w:val="19"/>
          <w:szCs w:val="19"/>
        </w:rPr>
        <w:t>va státního dluhu a jeho roz</w:t>
      </w:r>
      <w:r>
        <w:rPr>
          <w:sz w:val="19"/>
          <w:szCs w:val="19"/>
        </w:rPr>
        <w:softHyphen/>
        <w:t>dělení mezi nástupní státy je tedy věc velmi důležitá také pro celou Říši a pro životní úroveň českého pracu</w:t>
      </w:r>
      <w:r>
        <w:rPr>
          <w:sz w:val="19"/>
          <w:szCs w:val="19"/>
        </w:rPr>
        <w:softHyphen/>
        <w:t>jícího člověka.</w:t>
      </w:r>
    </w:p>
    <w:p w:rsidR="00500724" w:rsidRDefault="00F30FB8">
      <w:pPr>
        <w:pStyle w:val="Zkladntext100"/>
        <w:shd w:val="clear" w:color="auto" w:fill="auto"/>
        <w:spacing w:line="182" w:lineRule="auto"/>
        <w:ind w:firstLine="0"/>
        <w:jc w:val="center"/>
        <w:rPr>
          <w:sz w:val="19"/>
          <w:szCs w:val="19"/>
        </w:rPr>
      </w:pPr>
      <w:r>
        <w:rPr>
          <w:sz w:val="19"/>
          <w:szCs w:val="19"/>
        </w:rPr>
        <w:t>•</w:t>
      </w:r>
    </w:p>
    <w:p w:rsidR="00500724" w:rsidRDefault="00F30FB8">
      <w:pPr>
        <w:pStyle w:val="Zkladntext100"/>
        <w:shd w:val="clear" w:color="auto" w:fill="auto"/>
        <w:spacing w:after="40" w:line="206" w:lineRule="auto"/>
        <w:ind w:firstLine="220"/>
        <w:rPr>
          <w:sz w:val="19"/>
          <w:szCs w:val="19"/>
        </w:rPr>
      </w:pPr>
      <w:r>
        <w:rPr>
          <w:sz w:val="19"/>
          <w:szCs w:val="19"/>
        </w:rPr>
        <w:t>Nyní přicházíme k věci mimořádně významné. Export zboží, který je ohrožen jak poměry domácími, tak i</w:t>
      </w:r>
      <w:r>
        <w:rPr>
          <w:sz w:val="19"/>
          <w:szCs w:val="19"/>
        </w:rPr>
        <w:t xml:space="preserve"> zábranami ve výměně zboží mezi státy a koneěne měnícími se náladami ve světě, má pří</w:t>
      </w:r>
      <w:r>
        <w:rPr>
          <w:sz w:val="19"/>
          <w:szCs w:val="19"/>
        </w:rPr>
        <w:softHyphen/>
        <w:t>mý vliv na životní úroveň pracujícího Edu v Protekto</w:t>
      </w:r>
      <w:r>
        <w:rPr>
          <w:sz w:val="19"/>
          <w:szCs w:val="19"/>
        </w:rPr>
        <w:softHyphen/>
        <w:t>rátu. Nejméně třetina průmyslových výrob</w:t>
      </w:r>
      <w:r>
        <w:rPr>
          <w:sz w:val="19"/>
          <w:szCs w:val="19"/>
        </w:rPr>
        <w:softHyphen/>
        <w:t>ků českého národohospodářského území bývala průměrně exportována. Byly doby,</w:t>
      </w:r>
      <w:r>
        <w:rPr>
          <w:sz w:val="19"/>
          <w:szCs w:val="19"/>
        </w:rPr>
        <w:t xml:space="preserve"> kdy množství exportovaného zboží přesahovalo i 40 pro</w:t>
      </w:r>
      <w:r>
        <w:rPr>
          <w:sz w:val="19"/>
          <w:szCs w:val="19"/>
        </w:rPr>
        <w:softHyphen/>
        <w:t>cent veškeré průmyslové výroby a blížilo se téměř polo</w:t>
      </w:r>
      <w:r>
        <w:rPr>
          <w:sz w:val="19"/>
          <w:szCs w:val="19"/>
        </w:rPr>
        <w:softHyphen/>
        <w:t>vině celkové produkce.</w:t>
      </w:r>
    </w:p>
    <w:p w:rsidR="00500724" w:rsidRDefault="00F30FB8">
      <w:pPr>
        <w:pStyle w:val="Zkladntext100"/>
        <w:shd w:val="clear" w:color="auto" w:fill="auto"/>
        <w:spacing w:after="40" w:line="209" w:lineRule="auto"/>
        <w:ind w:firstLine="220"/>
        <w:rPr>
          <w:sz w:val="19"/>
          <w:szCs w:val="19"/>
        </w:rPr>
      </w:pPr>
      <w:r>
        <w:rPr>
          <w:sz w:val="19"/>
          <w:szCs w:val="19"/>
        </w:rPr>
        <w:t>To neznamená, že polovina zaměstnanosti průmyslu závisí na exportu, nýbrž stav věcí je ještě daleko vážnější. Tato produkce</w:t>
      </w:r>
      <w:r>
        <w:rPr>
          <w:sz w:val="19"/>
          <w:szCs w:val="19"/>
        </w:rPr>
        <w:t xml:space="preserve"> by byla skoro podlomena, protože u četných výrobků jen jejich export umožňuje činnost toho kterého průmyslového oboru. Jen proto, že na příklad u některé továrny třetina výrobků se exportuje, může ten podnik pracovat. Kdyby ztratil export, nemohl by vyráb</w:t>
      </w:r>
      <w:r>
        <w:rPr>
          <w:sz w:val="19"/>
          <w:szCs w:val="19"/>
        </w:rPr>
        <w:t>ět ani zbylé dvě třetiny, protože by se jeho vý</w:t>
      </w:r>
      <w:r>
        <w:rPr>
          <w:sz w:val="19"/>
          <w:szCs w:val="19"/>
        </w:rPr>
        <w:softHyphen/>
        <w:t>robní náklady při zmenšeném rozsahu výroby pod</w:t>
      </w:r>
      <w:r>
        <w:rPr>
          <w:sz w:val="19"/>
          <w:szCs w:val="19"/>
        </w:rPr>
        <w:softHyphen/>
        <w:t>statně zvýšily. Svéstojné ceny by byly takové, že vý</w:t>
      </w:r>
      <w:r>
        <w:rPr>
          <w:sz w:val="19"/>
          <w:szCs w:val="19"/>
        </w:rPr>
        <w:softHyphen/>
        <w:t>robky by nenalezly doma kupce. To neplatí obecně, ale přece jenom v tak četných případech, že nelze ani na o</w:t>
      </w:r>
      <w:r>
        <w:rPr>
          <w:sz w:val="19"/>
          <w:szCs w:val="19"/>
        </w:rPr>
        <w:t>kamžik tento vysoce důležitý poznatek spustit s mysli.</w:t>
      </w:r>
    </w:p>
    <w:p w:rsidR="00500724" w:rsidRDefault="00F30FB8">
      <w:pPr>
        <w:pStyle w:val="Zkladntext100"/>
        <w:shd w:val="clear" w:color="auto" w:fill="auto"/>
        <w:spacing w:after="40" w:line="209" w:lineRule="auto"/>
        <w:ind w:firstLine="220"/>
        <w:rPr>
          <w:sz w:val="19"/>
          <w:szCs w:val="19"/>
        </w:rPr>
      </w:pPr>
      <w:r>
        <w:rPr>
          <w:sz w:val="19"/>
          <w:szCs w:val="19"/>
        </w:rPr>
        <w:t>Není snad třeba podrobně rozvádět, jak na prosperitě takových podniků pak závisí příjmy obcí, zemí, do</w:t>
      </w:r>
      <w:r>
        <w:rPr>
          <w:sz w:val="19"/>
          <w:szCs w:val="19"/>
        </w:rPr>
        <w:softHyphen/>
        <w:t>pravních podniků, finančních institucí všeho druhu a konečně i příjmy státní a tím pak i veřejné i</w:t>
      </w:r>
      <w:r>
        <w:rPr>
          <w:sz w:val="19"/>
          <w:szCs w:val="19"/>
        </w:rPr>
        <w:t>nvestice. Je to kruh, který nelze nikde prolomit.</w:t>
      </w:r>
    </w:p>
    <w:p w:rsidR="00500724" w:rsidRDefault="00F30FB8">
      <w:pPr>
        <w:pStyle w:val="Zkladntext100"/>
        <w:shd w:val="clear" w:color="auto" w:fill="auto"/>
        <w:spacing w:after="40" w:line="209" w:lineRule="auto"/>
        <w:ind w:firstLine="220"/>
        <w:rPr>
          <w:sz w:val="19"/>
          <w:szCs w:val="19"/>
        </w:rPr>
      </w:pPr>
      <w:r>
        <w:rPr>
          <w:sz w:val="19"/>
          <w:szCs w:val="19"/>
        </w:rPr>
        <w:t>České národní hospodářství je tedy na exportu prů</w:t>
      </w:r>
      <w:r>
        <w:rPr>
          <w:sz w:val="19"/>
          <w:szCs w:val="19"/>
        </w:rPr>
        <w:softHyphen/>
        <w:t>myslových výrobků interesováno mimořádně velkým podílem. Je pravda, že v poměru k velkým průmyslo</w:t>
      </w:r>
      <w:r>
        <w:rPr>
          <w:sz w:val="19"/>
          <w:szCs w:val="19"/>
        </w:rPr>
        <w:softHyphen/>
        <w:t>vým státům nebyl rozsah naší průmyslové výroby tako</w:t>
      </w:r>
      <w:r>
        <w:rPr>
          <w:sz w:val="19"/>
          <w:szCs w:val="19"/>
        </w:rPr>
        <w:softHyphen/>
        <w:t>vý jak</w:t>
      </w:r>
      <w:r>
        <w:rPr>
          <w:sz w:val="19"/>
          <w:szCs w:val="19"/>
        </w:rPr>
        <w:t>o rozsah jejich průmyslové výroby, ale exporto</w:t>
      </w:r>
      <w:r>
        <w:rPr>
          <w:sz w:val="19"/>
          <w:szCs w:val="19"/>
        </w:rPr>
        <w:softHyphen/>
        <w:t>vané zboží činilo větší podíl na celkové národní prů</w:t>
      </w:r>
      <w:r>
        <w:rPr>
          <w:sz w:val="19"/>
          <w:szCs w:val="19"/>
        </w:rPr>
        <w:softHyphen/>
        <w:t>myslové výrobě u nás, než s nepatrnými výjimkami u většiny států světa. Tak na příklad Spojené Státy ame</w:t>
      </w:r>
      <w:r>
        <w:rPr>
          <w:sz w:val="19"/>
          <w:szCs w:val="19"/>
        </w:rPr>
        <w:softHyphen/>
        <w:t>rické, jejichž export i import stojí na prvním míst</w:t>
      </w:r>
      <w:r>
        <w:rPr>
          <w:sz w:val="19"/>
          <w:szCs w:val="19"/>
        </w:rPr>
        <w:t>ě všech tabulek a jejichž průmyslová produkce je gigan</w:t>
      </w:r>
      <w:r>
        <w:rPr>
          <w:sz w:val="19"/>
          <w:szCs w:val="19"/>
        </w:rPr>
        <w:softHyphen/>
        <w:t>tických rozměrů, exportují pouze 7 procent své prů</w:t>
      </w:r>
      <w:r>
        <w:rPr>
          <w:sz w:val="19"/>
          <w:szCs w:val="19"/>
        </w:rPr>
        <w:softHyphen/>
        <w:t>myslové výroby, Japonsko pouze 20 procent, Německo mezi 20 až 25 proč. (podle měřítka a pohybu kon</w:t>
      </w:r>
      <w:r>
        <w:rPr>
          <w:sz w:val="19"/>
          <w:szCs w:val="19"/>
        </w:rPr>
        <w:softHyphen/>
        <w:t xml:space="preserve">junkturní linie, Anglie 25 procent, Protektorát 35 </w:t>
      </w:r>
      <w:r>
        <w:rPr>
          <w:sz w:val="19"/>
          <w:szCs w:val="19"/>
        </w:rPr>
        <w:t>pro</w:t>
      </w:r>
      <w:r>
        <w:rPr>
          <w:sz w:val="19"/>
          <w:szCs w:val="19"/>
        </w:rPr>
        <w:softHyphen/>
        <w:t>cent a jen Belgie přes 50 procent. Na exportu průmyslo</w:t>
      </w:r>
      <w:r>
        <w:rPr>
          <w:sz w:val="19"/>
          <w:szCs w:val="19"/>
        </w:rPr>
        <w:softHyphen/>
        <w:t>vých výrobků skutečně tedy do velké míry závisí životní standard českého pracujícího člověka.</w:t>
      </w:r>
    </w:p>
    <w:p w:rsidR="00500724" w:rsidRDefault="00F30FB8">
      <w:pPr>
        <w:pStyle w:val="Zkladntext100"/>
        <w:shd w:val="clear" w:color="auto" w:fill="auto"/>
        <w:spacing w:after="40" w:line="209" w:lineRule="auto"/>
        <w:ind w:firstLine="220"/>
        <w:rPr>
          <w:sz w:val="19"/>
          <w:szCs w:val="19"/>
        </w:rPr>
      </w:pPr>
      <w:r>
        <w:rPr>
          <w:sz w:val="19"/>
          <w:szCs w:val="19"/>
        </w:rPr>
        <w:t>Proto soudíme, že by bylo žádoucí, aby se stala všechna potřebná opatření, aby tento export z oblasti č</w:t>
      </w:r>
      <w:r>
        <w:rPr>
          <w:sz w:val="19"/>
          <w:szCs w:val="19"/>
        </w:rPr>
        <w:t>eského národního hos</w:t>
      </w:r>
      <w:r>
        <w:rPr>
          <w:sz w:val="19"/>
          <w:szCs w:val="19"/>
        </w:rPr>
        <w:softHyphen/>
        <w:t>podářství byl udržen na takové výši, ja</w:t>
      </w:r>
      <w:r>
        <w:rPr>
          <w:sz w:val="19"/>
          <w:szCs w:val="19"/>
        </w:rPr>
        <w:softHyphen/>
        <w:t>kou je možné zachránit. Doporučovalo by se, aby schopní mladí lidé nejenom z průmyslu, ale i ze státních služeb a ze všech oborů ostatních, kteří dobře znají jazyky a poměry v cizích zemích, byli</w:t>
      </w:r>
      <w:r>
        <w:rPr>
          <w:sz w:val="19"/>
          <w:szCs w:val="19"/>
        </w:rPr>
        <w:t xml:space="preserve"> vysláni za hranice, zejména do zemí anglicky mluvících, aby tam čelili propagandě a aby přesvědčo</w:t>
      </w:r>
      <w:r>
        <w:rPr>
          <w:sz w:val="19"/>
          <w:szCs w:val="19"/>
        </w:rPr>
        <w:softHyphen/>
        <w:t>vali tamní veřejnost, že chce-li nám projevit nějaké sympatie, má k tomu praktickou příležitost v tom, aby kupovala zboží od nás, které dosud kupovala. Tím b</w:t>
      </w:r>
      <w:r>
        <w:rPr>
          <w:sz w:val="19"/>
          <w:szCs w:val="19"/>
        </w:rPr>
        <w:t xml:space="preserve">y se zachránil příliv cizích měn k nám, valut a devis, což </w:t>
      </w:r>
      <w:r>
        <w:rPr>
          <w:sz w:val="16"/>
          <w:szCs w:val="16"/>
        </w:rPr>
        <w:t xml:space="preserve">by </w:t>
      </w:r>
      <w:r>
        <w:rPr>
          <w:sz w:val="19"/>
          <w:szCs w:val="19"/>
        </w:rPr>
        <w:t>bylo nejenom velice důležité pro nákup nezbytných surovin v zahraničí, ale také pro celou Říši. Nepochybujeme, že důležitost takové akce bude pocho</w:t>
      </w:r>
      <w:r>
        <w:rPr>
          <w:sz w:val="19"/>
          <w:szCs w:val="19"/>
        </w:rPr>
        <w:softHyphen/>
        <w:t>pena na všech odpovědných místech, bude-li nál</w:t>
      </w:r>
      <w:r>
        <w:rPr>
          <w:sz w:val="19"/>
          <w:szCs w:val="19"/>
        </w:rPr>
        <w:t>ežitě vyložena a odůvodněna.</w:t>
      </w:r>
    </w:p>
    <w:p w:rsidR="00500724" w:rsidRDefault="00F30FB8">
      <w:pPr>
        <w:pStyle w:val="Zkladntext100"/>
        <w:shd w:val="clear" w:color="auto" w:fill="auto"/>
        <w:spacing w:after="40" w:line="211" w:lineRule="auto"/>
        <w:rPr>
          <w:sz w:val="19"/>
          <w:szCs w:val="19"/>
        </w:rPr>
      </w:pPr>
      <w:r>
        <w:rPr>
          <w:sz w:val="19"/>
          <w:szCs w:val="19"/>
        </w:rPr>
        <w:t>Je ovšem také třeba, aby české národní hospodářství mělo jakousi autonomii, spočívající nejenom ve vlastní měně a ve vlastní cedulové bance, ale také^v tom, že by mělo vliv na obchodní politiku Říše v poměru svého vý</w:t>
      </w:r>
      <w:r>
        <w:rPr>
          <w:sz w:val="19"/>
          <w:szCs w:val="19"/>
        </w:rPr>
        <w:softHyphen/>
        <w:t>znamu. Kdy</w:t>
      </w:r>
      <w:r>
        <w:rPr>
          <w:sz w:val="19"/>
          <w:szCs w:val="19"/>
        </w:rPr>
        <w:t>bychom toto mohli zaříditi, vedlo byto také k podkopání účinnosti oněch akcí, které budí vůči Říši a nám nedůvěru a prospělo by to ovšem značně Říši i českému pracujícímu Edu.</w:t>
      </w:r>
    </w:p>
    <w:p w:rsidR="00500724" w:rsidRDefault="00F30FB8">
      <w:pPr>
        <w:pStyle w:val="Zkladntext100"/>
        <w:shd w:val="clear" w:color="auto" w:fill="auto"/>
        <w:spacing w:after="400" w:line="209" w:lineRule="auto"/>
        <w:ind w:firstLine="260"/>
        <w:rPr>
          <w:sz w:val="19"/>
          <w:szCs w:val="19"/>
        </w:rPr>
      </w:pPr>
      <w:r>
        <w:rPr>
          <w:sz w:val="19"/>
          <w:szCs w:val="19"/>
        </w:rPr>
        <w:t>Je nutno však si uvědomit, že v těchto věcech sku</w:t>
      </w:r>
      <w:r>
        <w:rPr>
          <w:sz w:val="19"/>
          <w:szCs w:val="19"/>
        </w:rPr>
        <w:softHyphen/>
        <w:t xml:space="preserve">tečně nutno diskutovat </w:t>
      </w:r>
      <w:r>
        <w:rPr>
          <w:sz w:val="19"/>
          <w:szCs w:val="19"/>
        </w:rPr>
        <w:t>doslovně s tužkou v ruce. Dále, že je potřebí jednat rychle, dokud ještě je čas, aby</w:t>
      </w:r>
      <w:r>
        <w:rPr>
          <w:sz w:val="19"/>
          <w:szCs w:val="19"/>
        </w:rPr>
        <w:softHyphen/>
        <w:t>chom zachránili tyto hodnoty, které jsou pokladem nad jiné cennějším, nebof na nich závisí naše životní úroveň.</w:t>
      </w:r>
    </w:p>
    <w:p w:rsidR="00500724" w:rsidRDefault="00F30FB8">
      <w:pPr>
        <w:pStyle w:val="Jin0"/>
        <w:shd w:val="clear" w:color="auto" w:fill="auto"/>
        <w:spacing w:after="160"/>
        <w:ind w:firstLine="0"/>
        <w:jc w:val="left"/>
        <w:rPr>
          <w:sz w:val="44"/>
          <w:szCs w:val="44"/>
        </w:rPr>
      </w:pPr>
      <w:r>
        <w:rPr>
          <w:b/>
          <w:bCs/>
          <w:sz w:val="44"/>
          <w:szCs w:val="44"/>
          <w:u w:val="single"/>
        </w:rPr>
        <w:t>literatura a umění</w:t>
      </w:r>
    </w:p>
    <w:p w:rsidR="00500724" w:rsidRDefault="00F30FB8">
      <w:pPr>
        <w:pStyle w:val="Zkladntext20"/>
        <w:shd w:val="clear" w:color="auto" w:fill="auto"/>
        <w:spacing w:after="40" w:line="240" w:lineRule="auto"/>
        <w:ind w:firstLine="0"/>
        <w:jc w:val="left"/>
        <w:rPr>
          <w:sz w:val="20"/>
          <w:szCs w:val="20"/>
        </w:rPr>
      </w:pPr>
      <w:r>
        <w:rPr>
          <w:b/>
          <w:bCs/>
          <w:i/>
          <w:iCs/>
          <w:sz w:val="20"/>
          <w:szCs w:val="20"/>
        </w:rPr>
        <w:t>E. F. B ur i a n:</w:t>
      </w:r>
    </w:p>
    <w:p w:rsidR="00500724" w:rsidRDefault="00F30FB8">
      <w:pPr>
        <w:pStyle w:val="Nadpis100"/>
        <w:shd w:val="clear" w:color="auto" w:fill="auto"/>
        <w:spacing w:line="240" w:lineRule="auto"/>
      </w:pPr>
      <w:bookmarkStart w:id="454" w:name="bookmark453"/>
      <w:r>
        <w:t>Sloužit a neposluhovat</w:t>
      </w:r>
      <w:bookmarkEnd w:id="454"/>
    </w:p>
    <w:p w:rsidR="00500724" w:rsidRDefault="00F30FB8">
      <w:pPr>
        <w:pStyle w:val="Zkladntext100"/>
        <w:shd w:val="clear" w:color="auto" w:fill="auto"/>
        <w:spacing w:after="40" w:line="221" w:lineRule="auto"/>
        <w:ind w:firstLine="260"/>
      </w:pPr>
      <w:r>
        <w:t>Kulturní pracovníky Cech a Moravy postavily poslední události před obtížný úkol. Je na nich, aby prakticky prováděli zákon o kulturní autonomii Protektorátu. Mají dokázat, že kultura našeho národa je pevně umístěna ve světové oblasti a že její vývoj je ne</w:t>
      </w:r>
      <w:r>
        <w:t>závislý na vnějších znacích. Mají najít cestu srozumění mezi německou a čes</w:t>
      </w:r>
      <w:r>
        <w:softHyphen/>
        <w:t>kou kulturou, aniž by zaměňovali jednu s druhou. V kri</w:t>
      </w:r>
      <w:r>
        <w:softHyphen/>
        <w:t>tickém zhodnocení všeho, co doposud bylo vytvořeno, mají najít východisko k tvorbě příštích dnů. Musí opět sestoupit až na dn</w:t>
      </w:r>
      <w:r>
        <w:t>o české duše a hledat tam jiskřičky k zažehnutí pochodně národní kultury. A především je nutno rozpoznat a stanovit meze toho všeho. Co to je vlastně to národní umění, jak dalece může být národní umění všenárodním a čím to, že se nějak zvláštně liší. K pro</w:t>
      </w:r>
      <w:r>
        <w:t>vedení tohoto úkolu je myslím třeba, aby se přede</w:t>
      </w:r>
      <w:r>
        <w:softHyphen/>
        <w:t>vším v nových poměrech počítalo s těmi, kteří tento úkol budou musit řešit. Jako nelze stavět mosty bez inženýrů, nelze kulturu dělat bez kulturních lidí.</w:t>
      </w:r>
    </w:p>
    <w:p w:rsidR="00500724" w:rsidRDefault="00F30FB8">
      <w:pPr>
        <w:pStyle w:val="Zkladntext100"/>
        <w:shd w:val="clear" w:color="auto" w:fill="auto"/>
        <w:spacing w:after="40" w:line="221" w:lineRule="auto"/>
        <w:ind w:firstLine="260"/>
      </w:pPr>
      <w:r>
        <w:t xml:space="preserve">Den co den čtu nebo slyším o </w:t>
      </w:r>
      <w:r>
        <w:rPr>
          <w:lang w:val="en-US" w:eastAsia="en-US" w:bidi="en-US"/>
        </w:rPr>
        <w:t xml:space="preserve">tom, </w:t>
      </w:r>
      <w:r>
        <w:t xml:space="preserve">j a k by to mělo </w:t>
      </w:r>
      <w:r>
        <w:t>vypadat s naší kulturou, ale nikde se nedovídám, že byl ten nebo onen umělec či universitní profesor brán v potaz, jestli to takto vůbec jde. Den jak den odrážím útoky primitivních lidí, kteří svůj nedoučený vkus uplat</w:t>
      </w:r>
      <w:r>
        <w:softHyphen/>
        <w:t>ňují jako program. Naproti tomu marně</w:t>
      </w:r>
      <w:r>
        <w:t xml:space="preserve"> čekám, že bude uskutečněna rada z nejlepších českých a moravských pracovníků, která by položila základ k tomu, co je dnes nutné pro zdravý rozvoj české kultury. Samozřejmě, že nakonec s praktickým řešením úkolu zůstane každý sám, ale dejme pozor, aby neby</w:t>
      </w:r>
      <w:r>
        <w:t>l příliš ponechán sám sobě. Je naprosto nutno kulturní pracovníky zařadit do dneš</w:t>
      </w:r>
      <w:r>
        <w:softHyphen/>
        <w:t>ního procesu. Nevyhýbat se jim a hlavně nepodezírat j e. Vždyť to, co je nám nejdražší a dnes vskutku jediné — národní kulturní statek, nelze uložit do tresorů a postavit lam</w:t>
      </w:r>
      <w:r>
        <w:t xml:space="preserve"> nočního hlídače. Kulturní statek našeho národa bude opravdu kulturním statkem, když bude spravedlivě a účelně rozdělen mezi národ. Lid tohoto národa je hladový na náš každý sebemenší kulturní čin. Proč tedy tomuto lidu nedat to, na co má právo, zaručené k</w:t>
      </w:r>
      <w:r>
        <w:t>ulturní auto</w:t>
      </w:r>
      <w:r>
        <w:softHyphen/>
        <w:t>nomií?</w:t>
      </w:r>
    </w:p>
    <w:p w:rsidR="00500724" w:rsidRDefault="00F30FB8">
      <w:pPr>
        <w:pStyle w:val="Zkladntext100"/>
        <w:shd w:val="clear" w:color="auto" w:fill="auto"/>
        <w:spacing w:after="380" w:line="223" w:lineRule="auto"/>
        <w:ind w:firstLine="260"/>
      </w:pPr>
      <w:r>
        <w:t>A přece se mi zdá, jako by odpovědní čeští činitelé Protektorátu čekali až dostanou rozkaz nebo recept, jak a co počít s kulturní autonomií. Vypadá to jako by kul</w:t>
      </w:r>
      <w:r>
        <w:softHyphen/>
        <w:t>turní autonomie nikomu nic neříkala a jako by si s ní nikdo nevěděl rady.</w:t>
      </w:r>
      <w:r>
        <w:t xml:space="preserve"> Bázlivost censury škrtí každý sebe menší samostatnější výraz, i když je tu mnoho důvodů pro něj a i když neohrožuje vůbec nikoho a vůbec nic.</w:t>
      </w:r>
    </w:p>
    <w:p w:rsidR="00500724" w:rsidRDefault="00F30FB8">
      <w:pPr>
        <w:pStyle w:val="Zkladntext100"/>
        <w:shd w:val="clear" w:color="auto" w:fill="auto"/>
        <w:spacing w:after="60" w:line="223" w:lineRule="auto"/>
        <w:ind w:firstLine="260"/>
      </w:pPr>
      <w:r>
        <w:t>Mluvíte-li s Němcem, řekne vám často, jak ho zaráží bezdůvodná česká píle k posluze. Nikdo totiž od nás ne</w:t>
      </w:r>
      <w:r>
        <w:softHyphen/>
        <w:t xml:space="preserve">žádá, </w:t>
      </w:r>
      <w:r>
        <w:t>abychom se zbavovali svých národních kulturních statků — naopak máme možnost a právo pěstovati svou národní kulturu. Proč tedy všechny ty potíže s Tylem, Dykem, Smetanou, Benešovou, Jiráskem a jinými? Snad proto, že se nenajde člověk, který by s dostatečný</w:t>
      </w:r>
      <w:r>
        <w:t>m dů</w:t>
      </w:r>
      <w:r>
        <w:softHyphen/>
        <w:t>razem vysvětlil odpovědným činitelům Protektorátu důležitost těchto uměleckých zjevů pro národní český ■vývoj. Snad také proto, že bázlivost a podlízavost se stala programem několika Čechů. A snad také proto, že jsme se ještě nedovedli přiučit od Němc</w:t>
      </w:r>
      <w:r>
        <w:t>ů jejich národní hrdosti a jejich schopnosti prosazovat svou věc.</w:t>
      </w:r>
    </w:p>
    <w:p w:rsidR="00500724" w:rsidRDefault="00F30FB8">
      <w:pPr>
        <w:pStyle w:val="Zkladntext100"/>
        <w:shd w:val="clear" w:color="auto" w:fill="auto"/>
        <w:spacing w:after="60" w:line="221" w:lineRule="auto"/>
        <w:ind w:firstLine="220"/>
      </w:pPr>
      <w:r>
        <w:t>Já myslím, že všechny kalamity na počátku nové kul</w:t>
      </w:r>
      <w:r>
        <w:softHyphen/>
        <w:t>turní cesty našich zemí vznikly z nedostatečného doroz</w:t>
      </w:r>
      <w:r>
        <w:softHyphen/>
        <w:t>umění odpovědných činitelů s kulturními pracovníky. Vypadá to, jako by jeden strašil</w:t>
      </w:r>
      <w:r>
        <w:t xml:space="preserve"> druhého. Musí být na to pěkná podívaná - ale žít a pracovat v tom - to už je horší.</w:t>
      </w:r>
    </w:p>
    <w:p w:rsidR="00500724" w:rsidRDefault="00F30FB8">
      <w:pPr>
        <w:pStyle w:val="Zkladntext100"/>
        <w:shd w:val="clear" w:color="auto" w:fill="auto"/>
        <w:spacing w:after="200" w:line="221" w:lineRule="auto"/>
        <w:ind w:firstLine="0"/>
        <w:jc w:val="center"/>
      </w:pPr>
      <w:r>
        <w:t>•</w:t>
      </w:r>
    </w:p>
    <w:p w:rsidR="00500724" w:rsidRDefault="00F30FB8">
      <w:pPr>
        <w:pStyle w:val="Zkladntext100"/>
        <w:shd w:val="clear" w:color="auto" w:fill="auto"/>
        <w:spacing w:after="480" w:line="221" w:lineRule="auto"/>
        <w:ind w:firstLine="220"/>
      </w:pPr>
      <w:r>
        <w:t xml:space="preserve">Nikdy se nic dobrého neuskuteční bez programu. A' právě náš těžký úkol nelze řešit namátkou. Nelze mluvit o tradici Svatopluka Čecha a Jana Nerudy, když nejsme schopni </w:t>
      </w:r>
      <w:r>
        <w:t>prosadit provedení jejich díla. Nelze psát o ná</w:t>
      </w:r>
      <w:r>
        <w:softHyphen/>
        <w:t>rodní tradici probuzenců, když hlavní téma - jejich téma protiněmecké — nemůžeme připustit. Nač tedy ta silná slova o probuzencích? Naše situace je v podstatě jiná a komplikovanější, než byla jejich. Vracet s</w:t>
      </w:r>
      <w:r>
        <w:t xml:space="preserve">e jednoduše </w:t>
      </w:r>
      <w:r>
        <w:rPr>
          <w:b/>
          <w:bCs/>
          <w:sz w:val="19"/>
          <w:szCs w:val="19"/>
        </w:rPr>
        <w:t xml:space="preserve">o </w:t>
      </w:r>
      <w:r>
        <w:t>sta let nelze, nechceme-li ohrozit zdravý vývoj. Dopra</w:t>
      </w:r>
      <w:r>
        <w:softHyphen/>
        <w:t>covali jsme se za poslední léta ke kvalitě, která by mohla být leckterým národům za vzor. Máme tuto kvalitu za</w:t>
      </w:r>
      <w:r>
        <w:softHyphen/>
        <w:t>hazovat jen proto, že by se několika nedoučencům líbila idyla secesních let?</w:t>
      </w:r>
      <w:r>
        <w:t xml:space="preserve"> Své staré skladatele dovedeme hrát na moderních nástrojích. Dovedeme je přizpůsobit no</w:t>
      </w:r>
      <w:r>
        <w:softHyphen/>
        <w:t>vému reprodukčnímu stylu. Své staré básníky umíme vydávat v nových vkusných edicích. Dovedeme na ně najít nová současná měřítka. Co však neumíme skoro vů</w:t>
      </w:r>
      <w:r>
        <w:softHyphen/>
        <w:t>bec, je divade</w:t>
      </w:r>
      <w:r>
        <w:t>lní provedení autorů z dob, kdy naše di</w:t>
      </w:r>
      <w:r>
        <w:softHyphen/>
        <w:t>vadlo bylo ještě v plenkách. Tady si myslíme, že můžeme dnešního diváka krmit nějakou idylou a on že bude prostě nadšen jen proto, že dvě hodiny beznadějně sedí na se</w:t>
      </w:r>
      <w:r>
        <w:softHyphen/>
        <w:t>dadle parteru. A pak - pohodlnost - ta stará bole</w:t>
      </w:r>
      <w:r>
        <w:t>st našich lidí — nedovolí, abychom se rozhodli k činu. Tolik času utíká a my plácáme do vody.</w:t>
      </w:r>
    </w:p>
    <w:p w:rsidR="00500724" w:rsidRDefault="00F30FB8">
      <w:pPr>
        <w:pStyle w:val="Zkladntext100"/>
        <w:shd w:val="clear" w:color="auto" w:fill="auto"/>
        <w:spacing w:after="480" w:line="221" w:lineRule="auto"/>
        <w:ind w:firstLine="220"/>
      </w:pPr>
      <w:r>
        <w:t>Na odpovědná místa patří odpovědní lidé. Je to smut</w:t>
      </w:r>
      <w:r>
        <w:softHyphen/>
        <w:t>né, že se vůbec ještě tato pravda musí vyslovovat - ale je to tak. A my si myslíme, že zostřená odpovědnost je</w:t>
      </w:r>
      <w:r>
        <w:t>d</w:t>
      </w:r>
      <w:r>
        <w:softHyphen/>
        <w:t>notlivců může být celé naší věci jen na prospěch. Ten, kdo neumí, musí ustoupit těm, kteří mají všechny před</w:t>
      </w:r>
      <w:r>
        <w:softHyphen/>
        <w:t xml:space="preserve">poklady, že umějí. Ti, kteří nerozumějí, musí odevzdat svou moc těm, kteří rozumějí. Ti, kteří ponižují národní věc trapnou posluhou, ať odejdou </w:t>
      </w:r>
      <w:r>
        <w:t>do stínu soukromí, kde bude jejich slabost více skryta, než na výsluní veřejnosti. Ať se nemusíme stydět za své soukmenovce.</w:t>
      </w:r>
    </w:p>
    <w:p w:rsidR="00500724" w:rsidRDefault="00F30FB8">
      <w:pPr>
        <w:pStyle w:val="Zkladntext100"/>
        <w:shd w:val="clear" w:color="auto" w:fill="auto"/>
        <w:spacing w:after="40" w:line="221" w:lineRule="auto"/>
        <w:ind w:firstLine="220"/>
      </w:pPr>
      <w:r>
        <w:t>Úkol, který umělečtí a kulturní pracovníci Protektorátu nesou na svých zádech, nesmí ztěžovat bázlivci a poslu- hové. Ať se jasně p</w:t>
      </w:r>
      <w:r>
        <w:t xml:space="preserve">rohlásí, o co jde a nebude jediného </w:t>
      </w:r>
      <w:r>
        <w:rPr>
          <w:b/>
          <w:bCs/>
          <w:sz w:val="19"/>
          <w:szCs w:val="19"/>
        </w:rPr>
        <w:t xml:space="preserve">z </w:t>
      </w:r>
      <w:r>
        <w:t>umělců, který by se svého úkolu chtěl vzdát snad z bázně před odpovědností. Ale nejistota je prvním ka</w:t>
      </w:r>
      <w:r>
        <w:softHyphen/>
        <w:t xml:space="preserve">menem, vrženým do tváře. Bezplánovitost, která </w:t>
      </w:r>
      <w:r>
        <w:rPr>
          <w:b/>
          <w:bCs/>
          <w:sz w:val="19"/>
          <w:szCs w:val="19"/>
        </w:rPr>
        <w:t xml:space="preserve">z </w:t>
      </w:r>
      <w:r>
        <w:t>této nejistoty vzniká, utluče pomalu každý sebe menší poda</w:t>
      </w:r>
      <w:r>
        <w:softHyphen/>
        <w:t>řený po</w:t>
      </w:r>
      <w:r>
        <w:t>kus. Půjde-li to takhle dál, dočkáme se, že s námi pomalu nikdo nebude mluvit, protože nás nebude brát vášně. Existenční oprávnění kultury se totiž také jeví v nějakém požadavku a nikoliv jen v přizpůsobování a v přisluhování. Naši umělci dokázali již nesč</w:t>
      </w:r>
      <w:r>
        <w:t>etněkrát, že dovedou sloužit dobré národní věci. Nesmíme dopustit, aby chytráctví a osobní prospěch cizopasily na stromu národní kultury. Čekáme na první jasné slovo. Jsem pře</w:t>
      </w:r>
      <w:r>
        <w:softHyphen/>
        <w:t>svědčen, že se na ně neméně jasně, spravedlivě a s poci</w:t>
      </w:r>
      <w:r>
        <w:softHyphen/>
        <w:t>tem odpovědnosti odpoví.</w:t>
      </w:r>
      <w:r>
        <w:t xml:space="preserve"> Umíme leccos omluvit, uváží</w:t>
      </w:r>
      <w:r>
        <w:softHyphen/>
        <w:t>me-li, v jakých rozporech uplynul poslední rok. Ale nelze před historií ospravedlnit ty, kteří podle konjunktury tancují, jak medvěd na pouti. Nelze omluvit ty Čechy, kteří se zbavují nejdražších statků národa, aniž by to po ni</w:t>
      </w:r>
      <w:r>
        <w:t>ch někdo chtěl. Nelze než žalovat na všechny z našich řad, kteří místo cesty ke srozumění mezi německou a čes</w:t>
      </w:r>
      <w:r>
        <w:softHyphen/>
        <w:t>kou kulturou hledají cestičky podlízavého otroctví.</w:t>
      </w:r>
    </w:p>
    <w:p w:rsidR="00500724" w:rsidRDefault="00F30FB8">
      <w:pPr>
        <w:pStyle w:val="Zkladntext100"/>
        <w:shd w:val="clear" w:color="auto" w:fill="auto"/>
        <w:spacing w:after="220" w:line="264" w:lineRule="auto"/>
        <w:ind w:firstLine="300"/>
      </w:pPr>
      <w:r>
        <w:t>Nikdo po nás nežádá, abychom svou kulturu nahrazo</w:t>
      </w:r>
      <w:r>
        <w:softHyphen/>
        <w:t>vali překladem z němčiny. V poslední řeči Vů</w:t>
      </w:r>
      <w:r>
        <w:t>dce a říš</w:t>
      </w:r>
      <w:r>
        <w:softHyphen/>
        <w:t>ského kancléře bylo mnoho poučného právě pro ty Če</w:t>
      </w:r>
      <w:r>
        <w:softHyphen/>
        <w:t>chy, kteří by rádi a ochotně zaměnili Smetanu za Wagne</w:t>
      </w:r>
      <w:r>
        <w:softHyphen/>
        <w:t>ra. Neboť Vůdce a říšský kancléř se jistě nevyslovoval pochvalně o Češích proto, že jsou mezi námi slabí a ne- odvážní lidé, ale, jak bylo z</w:t>
      </w:r>
      <w:r>
        <w:t xml:space="preserve"> řeči zcela jasno, proto, že ve většině dovedeme projevit pevnost, hrdost a sta</w:t>
      </w:r>
      <w:r>
        <w:softHyphen/>
        <w:t>tečnost.</w:t>
      </w:r>
    </w:p>
    <w:p w:rsidR="00500724" w:rsidRDefault="00F30FB8">
      <w:pPr>
        <w:pStyle w:val="Zkladntext40"/>
        <w:shd w:val="clear" w:color="auto" w:fill="auto"/>
        <w:spacing w:after="40" w:line="240" w:lineRule="auto"/>
      </w:pPr>
      <w:r>
        <w:rPr>
          <w:b/>
          <w:bCs/>
          <w:i/>
          <w:iCs/>
        </w:rPr>
        <w:t>[Arnošt Čermák:</w:t>
      </w:r>
    </w:p>
    <w:p w:rsidR="00500724" w:rsidRDefault="00F30FB8">
      <w:pPr>
        <w:pStyle w:val="Nadpis100"/>
        <w:shd w:val="clear" w:color="auto" w:fill="auto"/>
        <w:spacing w:line="240" w:lineRule="auto"/>
      </w:pPr>
      <w:bookmarkStart w:id="455" w:name="bookmark454"/>
      <w:r>
        <w:t>Německý film</w:t>
      </w:r>
      <w:bookmarkEnd w:id="455"/>
    </w:p>
    <w:p w:rsidR="00500724" w:rsidRDefault="00F30FB8">
      <w:pPr>
        <w:pStyle w:val="Zkladntext20"/>
        <w:shd w:val="clear" w:color="auto" w:fill="auto"/>
        <w:spacing w:after="40" w:line="221" w:lineRule="auto"/>
        <w:ind w:firstLine="300"/>
      </w:pPr>
      <w:r>
        <w:t>Česká veřejnost seznámila se v posledních letech jenom s nepatrnou částí německé filmové výroby. Spíše z hospodářsky politických důvodů ne</w:t>
      </w:r>
      <w:r>
        <w:t>ž z důvodů čistě politických byl dovoz německých filmů silně omezen. Do biografů dostalo se jenom průměrné zboží; právě ty velké německé filmy, které zachyco</w:t>
      </w:r>
      <w:r>
        <w:softHyphen/>
        <w:t>valy výraz nového Německa, propadaly u nás cen- suře. Kupovali jsme skoro celou americkou produkci</w:t>
      </w:r>
      <w:r>
        <w:t xml:space="preserve"> a podporovali jsme domácí výrobu víc, než naše sku</w:t>
      </w:r>
      <w:r>
        <w:softHyphen/>
        <w:t>tečná výkonnost dovedla unést. Výběr autorů, režisé</w:t>
      </w:r>
      <w:r>
        <w:softHyphen/>
        <w:t>rů a herců neodpovídal rozměrům naší domácí produkce.</w:t>
      </w:r>
    </w:p>
    <w:p w:rsidR="00500724" w:rsidRDefault="00F30FB8">
      <w:pPr>
        <w:pStyle w:val="Zkladntext20"/>
        <w:shd w:val="clear" w:color="auto" w:fill="auto"/>
        <w:spacing w:after="80" w:line="221" w:lineRule="auto"/>
        <w:ind w:firstLine="300"/>
      </w:pPr>
      <w:r>
        <w:t>Třeba očekávati, že bude v nejbližší budoucnosti jednak omezen dovoz amerických filmů a jednak za</w:t>
      </w:r>
      <w:r>
        <w:softHyphen/>
      </w:r>
      <w:r>
        <w:t>brzděn rozmach domácí výroby. Poněvadž patříme do celní oblasti německé říše, spatříme pravděpodobně právě tolik amerických filmů jako Němci, to zname</w:t>
      </w:r>
      <w:r>
        <w:softHyphen/>
        <w:t>ná dva nebo tři tucty místo dvou set do roka. Naše programy budou všímati si víc a více filmů ně</w:t>
      </w:r>
      <w:r>
        <w:softHyphen/>
        <w:t>meckých.</w:t>
      </w:r>
    </w:p>
    <w:p w:rsidR="00500724" w:rsidRDefault="00F30FB8">
      <w:pPr>
        <w:pStyle w:val="Zkladntext20"/>
        <w:shd w:val="clear" w:color="auto" w:fill="auto"/>
        <w:spacing w:after="80" w:line="221" w:lineRule="auto"/>
        <w:ind w:firstLine="0"/>
        <w:jc w:val="center"/>
      </w:pPr>
      <w:r>
        <w:t>Pohled zpátky</w:t>
      </w:r>
    </w:p>
    <w:p w:rsidR="00500724" w:rsidRDefault="00F30FB8">
      <w:pPr>
        <w:pStyle w:val="Zkladntext20"/>
        <w:shd w:val="clear" w:color="auto" w:fill="auto"/>
        <w:spacing w:after="60" w:line="221" w:lineRule="auto"/>
        <w:ind w:firstLine="300"/>
      </w:pPr>
      <w:r>
        <w:t xml:space="preserve">Právě v těchto dnech byl v Praze vynálezce »bioskopu«, Němec Max Skladanovský. Sestasedm- desátiletý, ale velmi čilý muž vyprávěl novinářům o prapočátcích kina a filmu. Ukazoval svoje první filmové pásy, kratičké sice, ale zato velmi široké </w:t>
      </w:r>
      <w:r>
        <w:t>fil</w:t>
      </w:r>
      <w:r>
        <w:softHyphen/>
        <w:t>my, jejichž perforace byla ještě z kovových kotoučků, jako jsou při šněrovadlech na botách. V kinu Urania běžela kopie starých filmů Skladanovského, které — jak lze dokázat — byly vynalezeny přesně dva měsíce před vynálezem bratří Lumierů. 1. listopadu</w:t>
      </w:r>
      <w:r>
        <w:t xml:space="preserve"> 1895 ve Varieté »Wintergarten« byl tento filmeček předváděn jako technický zázrak — a od té doby zůstalo Ně</w:t>
      </w:r>
      <w:r>
        <w:softHyphen/>
        <w:t>mecko v dalším vývoji filmového průmyslu v jedné z nejdůležitějších rolí. Stanovisko jakéhosi bankov</w:t>
      </w:r>
      <w:r>
        <w:softHyphen/>
        <w:t xml:space="preserve">ního ředitele v Berlíně, který Skladanovskému </w:t>
      </w:r>
      <w:r>
        <w:t>ode</w:t>
      </w:r>
      <w:r>
        <w:softHyphen/>
        <w:t>přel půjčku 1000 marek s odůvodněním, že nemá smysl pro »fantasie a hříčky«, bylo brzy překonáno. Německý kapitál se velmi brzy zúčastnil filmového německého průmyslu a v předválečné době stojí Ně</w:t>
      </w:r>
      <w:r>
        <w:softHyphen/>
        <w:t xml:space="preserve">mecko ve filmové výrobě vedle Francie (Pathé), Ameriky </w:t>
      </w:r>
      <w:r>
        <w:t xml:space="preserve">a Skandinávie (Nordisk Film). Filmoví herci, kteří byli ještě nedávno umístěni v německých filmech, jako Henny Portenová, debutovali už roku 1908. </w:t>
      </w:r>
      <w:r>
        <w:rPr>
          <w:lang w:val="en-US" w:eastAsia="en-US" w:bidi="en-US"/>
        </w:rPr>
        <w:t xml:space="preserve">Ufa </w:t>
      </w:r>
      <w:r>
        <w:t>darovala říšskému kancléři k 20. dubnu sé</w:t>
      </w:r>
      <w:r>
        <w:softHyphen/>
        <w:t xml:space="preserve">rii 130 filmových kopií, začínající prvním filmem </w:t>
      </w:r>
      <w:r>
        <w:t>Skladanovského, přecházející téměř skokem k roku 1910 a nakonec k dnešním dnům, a skýtající historic</w:t>
      </w:r>
      <w:r>
        <w:softHyphen/>
        <w:t>ký přehled nejlepších německých filmových výkonů. Ve světové válce rozpoznali vůdčí němečtí lidé vý</w:t>
      </w:r>
      <w:r>
        <w:softHyphen/>
        <w:t xml:space="preserve">znam filmu pro propagandu. Zvlášť generál Luden- dorff </w:t>
      </w:r>
      <w:r>
        <w:t>naléhal tehdy na banky a filmový průmysl, aby vybudovaly dobrý německý film. Jeho velkorysé plá</w:t>
      </w:r>
      <w:r>
        <w:softHyphen/>
        <w:t>ny nedaly se však za války uskutečnit. Přes to však se už tehdy dosáhlo, aby se německý kapitál zúčast</w:t>
      </w:r>
      <w:r>
        <w:softHyphen/>
        <w:t>nil německého filmu a aby pravicové německé vrstvy předev</w:t>
      </w:r>
      <w:r>
        <w:t>ším Alfred Hugenberg, začaly o německý film jevit zájem. A tak získala na tomto novém poli ně</w:t>
      </w:r>
      <w:r>
        <w:softHyphen/>
        <w:t>mecká pravice brzy náskok před levicí, která vedla v novinářství.</w:t>
      </w:r>
    </w:p>
    <w:p w:rsidR="00500724" w:rsidRDefault="00F30FB8">
      <w:pPr>
        <w:pStyle w:val="Zkladntext20"/>
        <w:shd w:val="clear" w:color="auto" w:fill="auto"/>
        <w:spacing w:after="60" w:line="221" w:lineRule="auto"/>
        <w:ind w:firstLine="0"/>
        <w:jc w:val="center"/>
      </w:pPr>
      <w:r>
        <w:t>Německý němý film</w:t>
      </w:r>
    </w:p>
    <w:p w:rsidR="00500724" w:rsidRDefault="00F30FB8">
      <w:pPr>
        <w:pStyle w:val="Zkladntext20"/>
        <w:shd w:val="clear" w:color="auto" w:fill="auto"/>
        <w:spacing w:after="140" w:line="221" w:lineRule="auto"/>
        <w:ind w:firstLine="260"/>
      </w:pPr>
      <w:r>
        <w:t>Kolem roku 1920 nastoupil německý film vítěznou cestu Evropou. Francouzská a s</w:t>
      </w:r>
      <w:r>
        <w:t>kandinávská konku</w:t>
      </w:r>
      <w:r>
        <w:softHyphen/>
        <w:t>rence ustupovaly stále víc a víc do pozadí, Němci se začali řadit do čela vedle Američanů. Zároveň vy</w:t>
      </w:r>
      <w:r>
        <w:softHyphen/>
        <w:t>vinuly oba průmysly, americký i německý, své zvláštní přednosti. Američané vynalezli grotesky, romantiku divokého západu a gangsterské f</w:t>
      </w:r>
      <w:r>
        <w:t>ilmy, tu a tam ko</w:t>
      </w:r>
      <w:r>
        <w:softHyphen/>
        <w:t xml:space="preserve">morní společenskou veselohru. Němci točili tehdy své první historické filmy, začali se zajímat o vesnický a selský život a velmi brzy se pustili do zpracování literárních předloh. Německý film začal tehdy také vybírat představitele svých </w:t>
      </w:r>
      <w:r>
        <w:t>rolí z jevištních herců a tím velmi brzy získal hereckou vysokou úroveň. Vy</w:t>
      </w:r>
      <w:r>
        <w:softHyphen/>
        <w:t>nořovala se jména, která zůstala po mnoho let repre</w:t>
      </w:r>
      <w:r>
        <w:softHyphen/>
        <w:t xml:space="preserve">sentanty německého filmového umění: Jannings, Veidt, </w:t>
      </w:r>
      <w:r>
        <w:rPr>
          <w:lang w:val="en-US" w:eastAsia="en-US" w:bidi="en-US"/>
        </w:rPr>
        <w:t xml:space="preserve">Albers, Abel Klein-Rogge, Paul Richter. </w:t>
      </w:r>
      <w:r>
        <w:t>Asi v tutéž dobu prorazili mladí Ru</w:t>
      </w:r>
      <w:r>
        <w:t>sové Eisensteinovým filmem ^Křižník Potěmkin« a způsobili ve filmové produkci pravou revoluci, odvážili se Němci zpraco</w:t>
      </w:r>
      <w:r>
        <w:softHyphen/>
        <w:t>vat obtížné téma Nibelungů. Pak přišlo »Varieté« s Janningsem a Lyou de Putti, film, který měl na teh</w:t>
      </w:r>
      <w:r>
        <w:softHyphen/>
        <w:t>dejší dobu obdivuhodné kvality v r</w:t>
      </w:r>
      <w:r>
        <w:t>ežii i v hereckém po</w:t>
      </w:r>
      <w:r>
        <w:softHyphen/>
        <w:t>dání. Ovšem, úspěchy, které se dostavily, svedly ně</w:t>
      </w:r>
      <w:r>
        <w:softHyphen/>
        <w:t>mecké režiséry na scestí při nových pokusech, jako »Metropolis«, kde symbolicky vyjádřená myšlenka rozplývala se v nejasné neurčitosti. Obecenstvo dalo přednost reálnějším věcem a obl</w:t>
      </w:r>
      <w:r>
        <w:t>íbilo si lehké, zábavné filmy, které od r. 1925 zdůrazňovaly vojenské ovzduší. Lehké filmy ze života vojáků v míru, romantické fil</w:t>
      </w:r>
      <w:r>
        <w:softHyphen/>
        <w:t>my válečné, jako byl Potěmkin, celá řada námořních filmů, filmů společenských, ve kterých vystupovali hrdinové jako od Marlit</w:t>
      </w:r>
      <w:r>
        <w:t>tové, nekonečná spousta ví</w:t>
      </w:r>
      <w:r>
        <w:softHyphen/>
        <w:t>deňských filmů s Prátrem, houpačkami, důstojníky a hrabaty, dojemné vesnické povídky nabývaly vrchu. Tehdy získával německý film v konkurenci s americ</w:t>
      </w:r>
      <w:r>
        <w:softHyphen/>
        <w:t>kým jenom svým nevyčerpatelným množstvím no</w:t>
      </w:r>
      <w:r>
        <w:softHyphen/>
        <w:t>vých a nových lidí. Němečtí režisé</w:t>
      </w:r>
      <w:r>
        <w:t>ři objevovali stále nové tváře a dovedli lépe než Američané odhadnout a vyzdvihnout všechno podivuhodné a osobní v lid</w:t>
      </w:r>
      <w:r>
        <w:softHyphen/>
        <w:t xml:space="preserve">ském obličeji. Tam, kde u Američanů defiluje celá řada jednotvárných typů, od kterých se liší jenom snad hvězdy, jako </w:t>
      </w:r>
      <w:r>
        <w:rPr>
          <w:lang w:val="en-US" w:eastAsia="en-US" w:bidi="en-US"/>
        </w:rPr>
        <w:t xml:space="preserve">Fairbanks, Garbo, </w:t>
      </w:r>
      <w:r>
        <w:t>D</w:t>
      </w:r>
      <w:r>
        <w:t>ietrichová, tam nalézají Němci stále nové a zajímavé tváře, stále nové a nové osobnosti.</w:t>
      </w:r>
    </w:p>
    <w:p w:rsidR="00500724" w:rsidRDefault="00F30FB8">
      <w:pPr>
        <w:pStyle w:val="Zkladntext20"/>
        <w:shd w:val="clear" w:color="auto" w:fill="auto"/>
        <w:spacing w:after="80" w:line="206" w:lineRule="auto"/>
        <w:ind w:firstLine="260"/>
      </w:pPr>
      <w:r>
        <w:t>Zvukový film a politický přelom</w:t>
      </w:r>
    </w:p>
    <w:p w:rsidR="00500724" w:rsidRDefault="00F30FB8">
      <w:pPr>
        <w:pStyle w:val="Zkladntext20"/>
        <w:shd w:val="clear" w:color="auto" w:fill="auto"/>
        <w:spacing w:line="206" w:lineRule="auto"/>
        <w:ind w:firstLine="260"/>
      </w:pPr>
      <w:r>
        <w:t>Kolem roku 1930 nepřeorientoval se německý film pouze z němého na zvukový, ale prodělal mohutnou politickou proměnu. Vítězství zvukovéh</w:t>
      </w:r>
      <w:r>
        <w:t>o filmu nad němým ohrozilo německý filmový průmysl těžkou krisi. Němému filmu byly otevřeny všechny cesty do světa, zvukovému filmu se alespoň přechodně uzaví</w:t>
      </w:r>
      <w:r>
        <w:softHyphen/>
        <w:t xml:space="preserve">raly všechny země s jinou řečí. Průmyslům drobných zemi otvíraly se nové možnosti a právě tím se </w:t>
      </w:r>
      <w:r>
        <w:t>uza</w:t>
      </w:r>
      <w:r>
        <w:softHyphen/>
        <w:t>víraly filmu německému, který do té doby dominoval ve střední a jižní Evropě. Je dodnes sporné, zda by byl německý film překonal tyto svízele prostředky čistě kapitalistickými. Přestavba německého hospodářství od r. 1933, mohutná státní účast na filmov</w:t>
      </w:r>
      <w:r>
        <w:t>ém prů</w:t>
      </w:r>
      <w:r>
        <w:softHyphen/>
        <w:t>myslu, státně řízené hospodářství, vliv, který mělo přeskupení společenské i státní na pracovní způsob vůbec — a tedy i na práci ve filmu — usnadnily ně</w:t>
      </w:r>
      <w:r>
        <w:softHyphen/>
        <w:t xml:space="preserve">meckému zvukovému filmu získati si novou a pevnou posici i za nových, ztížených podmínek odběru </w:t>
      </w:r>
      <w:r>
        <w:t>a prodeje.</w:t>
      </w:r>
    </w:p>
    <w:p w:rsidR="00500724" w:rsidRDefault="00F30FB8">
      <w:pPr>
        <w:pStyle w:val="Zkladntext20"/>
        <w:shd w:val="clear" w:color="auto" w:fill="auto"/>
        <w:spacing w:line="206" w:lineRule="auto"/>
        <w:ind w:firstLine="260"/>
      </w:pPr>
      <w:r>
        <w:t>V tématech německého filmu zrcadlí se politická skutečnost r. 1930 velmi intensivně. Jako v literatuře tak i ve filmu zápasily spolu kosmopoliticko-pacifistic- ký směr s národně-socialistickým. Rozhodnutí padlo na poli politickém, německý film b</w:t>
      </w:r>
      <w:r>
        <w:t>yl politikou uveden do nových kolejí.</w:t>
      </w:r>
    </w:p>
    <w:p w:rsidR="00500724" w:rsidRDefault="00F30FB8">
      <w:pPr>
        <w:pStyle w:val="Zkladntext20"/>
        <w:shd w:val="clear" w:color="auto" w:fill="auto"/>
        <w:spacing w:after="80" w:line="206" w:lineRule="auto"/>
        <w:ind w:firstLine="260"/>
      </w:pPr>
      <w:r>
        <w:t>Stanovisko nového režimu proti židovstvu, libe</w:t>
      </w:r>
      <w:r>
        <w:softHyphen/>
        <w:t>ralismu a bolševismu udávalo směr i filmu. Bylo naprosto jasné, proti komu se má obrátiti a za co je mu bojovati. Méně jasné bylo, jak je to třeba dělati. Snad do dnešního</w:t>
      </w:r>
      <w:r>
        <w:t xml:space="preserve"> dne je to nerozřešená otázka. J a k se stalo rozhodujícím problémem německého fil</w:t>
      </w:r>
      <w:r>
        <w:softHyphen/>
        <w:t>mu. V opaku k době před r. 1933, kdy se vedly debaty o směrnice filmového tvoření, zda má býti orientován levě nebo pravě, a kdy se často stávalo, že se potácel mezi »levičá</w:t>
      </w:r>
      <w:r>
        <w:t>ctvím« a »pravičáctvím«, není dnes v Ně</w:t>
      </w:r>
      <w:r>
        <w:softHyphen/>
        <w:t>mecku vůbec pochybnosti o tendenci, zato však je tu celá řada nerozřešených dramaturgických a umělec</w:t>
      </w:r>
      <w:r>
        <w:softHyphen/>
        <w:t>kých problémů.</w:t>
      </w:r>
    </w:p>
    <w:p w:rsidR="00500724" w:rsidRDefault="00F30FB8">
      <w:pPr>
        <w:pStyle w:val="Zkladntext20"/>
        <w:shd w:val="clear" w:color="auto" w:fill="auto"/>
        <w:spacing w:after="80" w:line="206" w:lineRule="auto"/>
        <w:ind w:firstLine="0"/>
        <w:jc w:val="center"/>
      </w:pPr>
      <w:r>
        <w:t>Noví lidé ve filmu</w:t>
      </w:r>
    </w:p>
    <w:p w:rsidR="00500724" w:rsidRDefault="00F30FB8">
      <w:pPr>
        <w:pStyle w:val="Zkladntext20"/>
        <w:shd w:val="clear" w:color="auto" w:fill="auto"/>
        <w:spacing w:line="202" w:lineRule="auto"/>
        <w:ind w:firstLine="260"/>
      </w:pPr>
      <w:r>
        <w:t>I když německý film nebyl nikdy tak ovlivněn židy jako německá literatura, noviná</w:t>
      </w:r>
      <w:r>
        <w:t>řství a divadlo, zna</w:t>
      </w:r>
      <w:r>
        <w:softHyphen/>
        <w:t>menal nacionalistický převrat přece jenom — po vy</w:t>
      </w:r>
      <w:r>
        <w:softHyphen/>
        <w:t>loučení židů, položidů a lidí za židy provdaných — ve</w:t>
      </w:r>
      <w:r>
        <w:softHyphen/>
        <w:t>likou změnu ve filmových poměrech. Zmizelo mnoho starů, někteří odešli do ciziny, aniž by byli bez</w:t>
      </w:r>
      <w:r>
        <w:softHyphen/>
        <w:t>prostředně donuceni. Z německého</w:t>
      </w:r>
      <w:r>
        <w:t xml:space="preserve"> filmu zmizel Kort- ner, Veidt, Bergnerová, směšný Szóke Szakall a ma</w:t>
      </w:r>
      <w:r>
        <w:softHyphen/>
        <w:t xml:space="preserve">ličká </w:t>
      </w:r>
      <w:r>
        <w:rPr>
          <w:lang w:val="en-US" w:eastAsia="en-US" w:bidi="en-US"/>
        </w:rPr>
        <w:t xml:space="preserve">Dolly </w:t>
      </w:r>
      <w:r>
        <w:t xml:space="preserve">Haasová, Maďarka Franciska Gaalová,. plavá a jako německá </w:t>
      </w:r>
      <w:r>
        <w:rPr>
          <w:lang w:val="en-US" w:eastAsia="en-US" w:bidi="en-US"/>
        </w:rPr>
        <w:t xml:space="preserve">Gretchen </w:t>
      </w:r>
      <w:r>
        <w:t xml:space="preserve">vypadající Grete Mosheimová a Vídeňačka Luise Rainerová. Rudolf </w:t>
      </w:r>
      <w:r>
        <w:rPr>
          <w:lang w:val="en-US" w:eastAsia="en-US" w:bidi="en-US"/>
        </w:rPr>
        <w:t xml:space="preserve">Forster, </w:t>
      </w:r>
      <w:r>
        <w:t>klasický bonvivant mladého německé</w:t>
      </w:r>
      <w:r>
        <w:t>ho zvukového filmu, který hrál ještě hlavní roli ve</w:t>
      </w:r>
      <w:r>
        <w:softHyphen/>
        <w:t>likého nacistického bojovného filmu »Morgenrot«, od</w:t>
      </w:r>
      <w:r>
        <w:softHyphen/>
        <w:t>jel a žije v Americe. S hvězdami zmizela celá řada zapra</w:t>
      </w:r>
      <w:r>
        <w:softHyphen/>
        <w:t>covaných režisérů, autorů, komponistů a scenáristů z řad německých filmových společností. Cizin</w:t>
      </w:r>
      <w:r>
        <w:t>a, ovlivněná emigranty, vynasnažila se ze všech sil očerniti němec</w:t>
      </w:r>
      <w:r>
        <w:softHyphen/>
        <w:t>ký film nové doby a vysvětliti jeho nedostatky vylou</w:t>
      </w:r>
      <w:r>
        <w:softHyphen/>
        <w:t>čením židů. Ovšem, že německému filmu vzniklo mno</w:t>
      </w:r>
      <w:r>
        <w:softHyphen/>
        <w:t>ho potíží, právě tak jako všem kulturním odvětvím, rychlým vyloučením mnoha zapracovan</w:t>
      </w:r>
      <w:r>
        <w:t>ých lidí.</w:t>
      </w:r>
    </w:p>
    <w:p w:rsidR="00500724" w:rsidRDefault="00F30FB8">
      <w:pPr>
        <w:pStyle w:val="Zkladntext20"/>
        <w:shd w:val="clear" w:color="auto" w:fill="auto"/>
        <w:spacing w:line="202" w:lineRule="auto"/>
      </w:pPr>
      <w:r>
        <w:t>Německý film objevil v posledních letech celou řadu nových mladých talentů, každou sezónu přivádí nové lidí na plátno a je dnes — jako byl vždycky — téměř nevyčerpatelný ve vyhledávání nových před</w:t>
      </w:r>
      <w:r>
        <w:softHyphen/>
        <w:t>stavitelů drobných charakteristických rolí, které</w:t>
      </w:r>
      <w:r>
        <w:t xml:space="preserve"> dobrý film nemůže postrádat Právě zde je největší slabina našeho domácího filmu: výrobci tvrdí, že by to český film finančně nevydržel, a brání se vyhledá- vati a zaměstnávati stále nové lidi, poněvadž prý na nováčcích vytočí zbytečně spoustu materiálu. S</w:t>
      </w:r>
      <w:r>
        <w:t>nad by se přece vyplatilo v tomto směru řídit se trochu ně</w:t>
      </w:r>
      <w:r>
        <w:softHyphen/>
        <w:t>meckým příkladem. Německý film má dnes armádu spolupracovníků, navzájem se doplňujících, kteří za</w:t>
      </w:r>
      <w:r>
        <w:softHyphen/>
        <w:t xml:space="preserve">ručují každému filmu téměř nové obsazení a odnímají tím filmu i jevištní charakter, tvoříce z něho </w:t>
      </w:r>
      <w:r>
        <w:t>reální výsek lidského života. Jeviště pomáhá maskou. Dobrý film se masce brání, jak jen dovede, zkouší — a musí zkoušet — ukazovat nahý lidský obličej a nikoli uměle změněnou postavu. To se dá dosáhnouti jen tehdy,</w:t>
      </w:r>
      <w:r>
        <w:rPr>
          <w:vertAlign w:val="subscript"/>
        </w:rPr>
        <w:t xml:space="preserve">: </w:t>
      </w:r>
      <w:r>
        <w:t>může-li čerpat z velkého množství lidské</w:t>
      </w:r>
      <w:r>
        <w:t>ho materiálu.</w:t>
      </w:r>
    </w:p>
    <w:p w:rsidR="00500724" w:rsidRDefault="00F30FB8">
      <w:pPr>
        <w:pStyle w:val="Zkladntext20"/>
        <w:shd w:val="clear" w:color="auto" w:fill="auto"/>
        <w:spacing w:line="202" w:lineRule="auto"/>
      </w:pPr>
      <w:r>
        <w:t xml:space="preserve">Německý film dovedl si však zajistiti i herce cizí národnosti. V Zarah </w:t>
      </w:r>
      <w:r>
        <w:rPr>
          <w:lang w:val="en-US" w:eastAsia="en-US" w:bidi="en-US"/>
        </w:rPr>
        <w:t xml:space="preserve">Leander </w:t>
      </w:r>
      <w:r>
        <w:t xml:space="preserve">nalezla </w:t>
      </w:r>
      <w:r>
        <w:rPr>
          <w:lang w:val="en-US" w:eastAsia="en-US" w:bidi="en-US"/>
        </w:rPr>
        <w:t xml:space="preserve">Ufa </w:t>
      </w:r>
      <w:r>
        <w:t xml:space="preserve">herečku, která dovedla zastínit i Gretu </w:t>
      </w:r>
      <w:r>
        <w:rPr>
          <w:lang w:val="en-US" w:eastAsia="en-US" w:bidi="en-US"/>
        </w:rPr>
        <w:t xml:space="preserve">Garbo, </w:t>
      </w:r>
      <w:r>
        <w:t xml:space="preserve">i když jenom na krátkou dobu. Z Prahy dostal německý film Anny Ondrákovou </w:t>
      </w:r>
      <w:r>
        <w:rPr>
          <w:i/>
          <w:iCs/>
        </w:rPr>
        <w:t>a</w:t>
      </w:r>
      <w:r>
        <w:t xml:space="preserve"> Lídu </w:t>
      </w:r>
      <w:r>
        <w:rPr>
          <w:lang w:val="en-US" w:eastAsia="en-US" w:bidi="en-US"/>
        </w:rPr>
        <w:t xml:space="preserve">Baarovou. I Annabella </w:t>
      </w:r>
      <w:r>
        <w:t>p</w:t>
      </w:r>
      <w:r>
        <w:t>racovala přechodně pro německý film, Francoise Rosay byla získána pro několik německých filmů, jedním z nej</w:t>
      </w:r>
      <w:r>
        <w:softHyphen/>
        <w:t>šťastnějších objevů nejmladších dnů je Norka Kristi</w:t>
      </w:r>
      <w:r>
        <w:softHyphen/>
        <w:t xml:space="preserve">na Sóderbaum. Marikka Rókk </w:t>
      </w:r>
      <w:r>
        <w:rPr>
          <w:lang w:val="en-US" w:eastAsia="en-US" w:bidi="en-US"/>
        </w:rPr>
        <w:t xml:space="preserve">a </w:t>
      </w:r>
      <w:r>
        <w:t xml:space="preserve">Kathe </w:t>
      </w:r>
      <w:r>
        <w:rPr>
          <w:lang w:val="en-US" w:eastAsia="en-US" w:bidi="en-US"/>
        </w:rPr>
        <w:t xml:space="preserve">von </w:t>
      </w:r>
      <w:r>
        <w:t xml:space="preserve">Nagy jsou Maďarky, Póla </w:t>
      </w:r>
      <w:r>
        <w:rPr>
          <w:lang w:val="en-US" w:eastAsia="en-US" w:bidi="en-US"/>
        </w:rPr>
        <w:t xml:space="preserve">Negri </w:t>
      </w:r>
      <w:r>
        <w:t>Polka. Olga Čechová má dlou</w:t>
      </w:r>
      <w:r>
        <w:t>ho</w:t>
      </w:r>
      <w:r>
        <w:softHyphen/>
        <w:t>letou smlouvu a právě její případ ukazuje, že autoři, dramaturgové a režiséři němečtí dovedou upravovati uměleckým osobnostem cestu a pomáhati jim k plné</w:t>
      </w:r>
      <w:r>
        <w:softHyphen/>
        <w:t>mu uplatnění.</w:t>
      </w:r>
    </w:p>
    <w:p w:rsidR="00500724" w:rsidRDefault="00F30FB8">
      <w:pPr>
        <w:pStyle w:val="Zkladntext20"/>
        <w:shd w:val="clear" w:color="auto" w:fill="auto"/>
        <w:spacing w:after="100" w:line="202" w:lineRule="auto"/>
      </w:pPr>
      <w:r>
        <w:t>Nadto dorůstá celá řada německých umělců, kteří buď začali pracovat v posledních letech nebo opírají svoje úspěchy o dobrou hereckou minulost: Jannings, který sice hraje zřídka, ale vždycky bývá vybírán pro zvláštní úlohu (Vládce, Rozbitý džbán), Werner Kr</w:t>
      </w:r>
      <w:r>
        <w:t xml:space="preserve">aus, Hans </w:t>
      </w:r>
      <w:r>
        <w:rPr>
          <w:lang w:val="en-US" w:eastAsia="en-US" w:bidi="en-US"/>
        </w:rPr>
        <w:t xml:space="preserve">Albers, </w:t>
      </w:r>
      <w:r>
        <w:t>který se liší od amerického typu dobrodruha a zbrklého chlapíka tím, že svoje hrdinné role sám nikdy nebere vážně, Birgel, Schonbock, Schónhals, René Deltgen, Volker von Callande, směš</w:t>
      </w:r>
      <w:r>
        <w:softHyphen/>
        <w:t xml:space="preserve">ný Heinz Rúhmann, bratří Hórbigerové, Heinrich </w:t>
      </w:r>
      <w:r>
        <w:rPr>
          <w:lang w:val="en-US" w:eastAsia="en-US" w:bidi="en-US"/>
        </w:rPr>
        <w:t>George</w:t>
      </w:r>
      <w:r>
        <w:rPr>
          <w:lang w:val="en-US" w:eastAsia="en-US" w:bidi="en-US"/>
        </w:rPr>
        <w:t xml:space="preserve">, </w:t>
      </w:r>
      <w:r>
        <w:t xml:space="preserve">Viktor Staal, Liebeneiner, Albach-Retty; ze starší školy Romanovský a úžasný Hans </w:t>
      </w:r>
      <w:r>
        <w:rPr>
          <w:lang w:val="en-US" w:eastAsia="en-US" w:bidi="en-US"/>
        </w:rPr>
        <w:t xml:space="preserve">Moser. </w:t>
      </w:r>
      <w:r>
        <w:t>Ve</w:t>
      </w:r>
      <w:r>
        <w:softHyphen/>
        <w:t xml:space="preserve">dle starších hvězd, jako je Lil Dagover, Sybille </w:t>
      </w:r>
      <w:r>
        <w:rPr>
          <w:lang w:val="en-US" w:eastAsia="en-US" w:bidi="en-US"/>
        </w:rPr>
        <w:t xml:space="preserve">Schmitz </w:t>
      </w:r>
      <w:r>
        <w:t>vynořily se nové talenty, nové tváře, nové typy žen: Maria von Tasnady, Viktoria Ballasko, roz</w:t>
      </w:r>
      <w:r>
        <w:softHyphen/>
        <w:t>košná Gust</w:t>
      </w:r>
      <w:r>
        <w:t xml:space="preserve">i </w:t>
      </w:r>
      <w:r>
        <w:rPr>
          <w:lang w:val="en-US" w:eastAsia="en-US" w:bidi="en-US"/>
        </w:rPr>
        <w:t xml:space="preserve">Huber, </w:t>
      </w:r>
      <w:r>
        <w:t xml:space="preserve">nadaná Hilde Krahl, </w:t>
      </w:r>
      <w:r>
        <w:rPr>
          <w:lang w:val="en-US" w:eastAsia="en-US" w:bidi="en-US"/>
        </w:rPr>
        <w:t>Sabine Pe</w:t>
      </w:r>
      <w:r>
        <w:rPr>
          <w:lang w:val="en-US" w:eastAsia="en-US" w:bidi="en-US"/>
        </w:rPr>
        <w:softHyphen/>
        <w:t xml:space="preserve">ters, Geraldine </w:t>
      </w:r>
      <w:r>
        <w:t xml:space="preserve">Katt, krásná Annelise </w:t>
      </w:r>
      <w:r>
        <w:rPr>
          <w:lang w:val="en-US" w:eastAsia="en-US" w:bidi="en-US"/>
        </w:rPr>
        <w:t xml:space="preserve">Uhlig. </w:t>
      </w:r>
      <w:r>
        <w:t xml:space="preserve">S jeviště přešly k filmu: Wesselá, </w:t>
      </w:r>
      <w:r>
        <w:rPr>
          <w:lang w:val="en-US" w:eastAsia="en-US" w:bidi="en-US"/>
        </w:rPr>
        <w:t xml:space="preserve">Marianne Hoppe, Else </w:t>
      </w:r>
      <w:r>
        <w:t xml:space="preserve">Elster, Luise </w:t>
      </w:r>
      <w:r>
        <w:rPr>
          <w:lang w:val="en-US" w:eastAsia="en-US" w:bidi="en-US"/>
        </w:rPr>
        <w:t xml:space="preserve">Ulrich, </w:t>
      </w:r>
      <w:r>
        <w:t xml:space="preserve">Franciska Kinz, z koncertní síně Erna </w:t>
      </w:r>
      <w:r>
        <w:rPr>
          <w:lang w:val="en-US" w:eastAsia="en-US" w:bidi="en-US"/>
        </w:rPr>
        <w:t xml:space="preserve">Sack, Carla Rust, </w:t>
      </w:r>
      <w:r>
        <w:t xml:space="preserve">Herta </w:t>
      </w:r>
      <w:r>
        <w:rPr>
          <w:lang w:val="en-US" w:eastAsia="en-US" w:bidi="en-US"/>
        </w:rPr>
        <w:t xml:space="preserve">Feiler, Ruth Hellberg, Irene von Meyendorff, Ilse Werner, Jutta Freybe — to je </w:t>
      </w:r>
      <w:r>
        <w:t>jenom výběr z dlouhého seznamu, který rok od roku roste.</w:t>
      </w:r>
    </w:p>
    <w:p w:rsidR="00500724" w:rsidRDefault="00F30FB8">
      <w:pPr>
        <w:pStyle w:val="Zkladntext20"/>
        <w:shd w:val="clear" w:color="auto" w:fill="auto"/>
        <w:spacing w:after="80" w:line="202" w:lineRule="auto"/>
        <w:ind w:firstLine="0"/>
        <w:jc w:val="center"/>
      </w:pPr>
      <w:r>
        <w:t>Stát řídí</w:t>
      </w:r>
    </w:p>
    <w:p w:rsidR="00500724" w:rsidRDefault="00F30FB8">
      <w:pPr>
        <w:pStyle w:val="Zkladntext20"/>
        <w:shd w:val="clear" w:color="auto" w:fill="auto"/>
        <w:spacing w:after="40" w:line="204" w:lineRule="auto"/>
        <w:sectPr w:rsidR="00500724">
          <w:footnotePr>
            <w:numFmt w:val="chicago"/>
            <w:numRestart w:val="eachPage"/>
          </w:footnotePr>
          <w:pgSz w:w="11909" w:h="16834"/>
          <w:pgMar w:top="1872" w:right="806" w:bottom="985" w:left="562" w:header="0" w:footer="3" w:gutter="0"/>
          <w:cols w:num="2" w:space="125"/>
          <w:noEndnote/>
          <w:docGrid w:linePitch="360"/>
        </w:sectPr>
      </w:pPr>
      <w:r>
        <w:t>Německý ministr propagandy rozpoznal význam filmu dřív, než nacionální socialismus</w:t>
      </w:r>
      <w:r>
        <w:t xml:space="preserve"> ovládl stát. Dr. Goebbels se od samých začátků staral o vývoj němec</w:t>
      </w:r>
      <w:r>
        <w:softHyphen/>
        <w:t>kého filmu a o to, aby se stal zbraní národního so-</w:t>
      </w:r>
    </w:p>
    <w:p w:rsidR="00500724" w:rsidRDefault="00F30FB8">
      <w:pPr>
        <w:spacing w:line="14" w:lineRule="exact"/>
      </w:pPr>
      <w:r>
        <w:rPr>
          <w:noProof/>
        </w:rPr>
        <mc:AlternateContent>
          <mc:Choice Requires="wps">
            <w:drawing>
              <wp:anchor distT="0" distB="82550" distL="114300" distR="1043940" simplePos="0" relativeHeight="125829826" behindDoc="0" locked="0" layoutInCell="1" allowOverlap="1">
                <wp:simplePos x="0" y="0"/>
                <wp:positionH relativeFrom="page">
                  <wp:posOffset>3053080</wp:posOffset>
                </wp:positionH>
                <wp:positionV relativeFrom="paragraph">
                  <wp:posOffset>12700</wp:posOffset>
                </wp:positionV>
                <wp:extent cx="387350" cy="372110"/>
                <wp:effectExtent l="0" t="0" r="0" b="0"/>
                <wp:wrapTopAndBottom/>
                <wp:docPr id="449" name="Shape 449"/>
                <wp:cNvGraphicFramePr/>
                <a:graphic xmlns:a="http://schemas.openxmlformats.org/drawingml/2006/main">
                  <a:graphicData uri="http://schemas.microsoft.com/office/word/2010/wordprocessingShape">
                    <wps:wsp>
                      <wps:cNvSpPr txBox="1"/>
                      <wps:spPr>
                        <a:xfrm>
                          <a:off x="0" y="0"/>
                          <a:ext cx="387350" cy="372110"/>
                        </a:xfrm>
                        <a:prstGeom prst="rect">
                          <a:avLst/>
                        </a:prstGeom>
                        <a:noFill/>
                      </wps:spPr>
                      <wps:txbx>
                        <w:txbxContent>
                          <w:p w:rsidR="00500724" w:rsidRDefault="00F30FB8">
                            <w:pPr>
                              <w:pStyle w:val="Nadpis90"/>
                              <w:keepNext/>
                              <w:keepLines/>
                              <w:shd w:val="clear" w:color="auto" w:fill="auto"/>
                              <w:spacing w:after="0"/>
                              <w:rPr>
                                <w:sz w:val="42"/>
                                <w:szCs w:val="42"/>
                              </w:rPr>
                            </w:pPr>
                            <w:bookmarkStart w:id="456" w:name="bookmark455"/>
                            <w:r>
                              <w:rPr>
                                <w:rFonts w:ascii="Times New Roman" w:eastAsia="Times New Roman" w:hAnsi="Times New Roman" w:cs="Times New Roman"/>
                                <w:w w:val="80"/>
                                <w:sz w:val="42"/>
                                <w:szCs w:val="42"/>
                              </w:rPr>
                              <w:t>Přít</w:t>
                            </w:r>
                            <w:bookmarkEnd w:id="456"/>
                          </w:p>
                        </w:txbxContent>
                      </wps:txbx>
                      <wps:bodyPr lIns="0" tIns="0" rIns="0" bIns="0">
                        <a:spAutoFit/>
                      </wps:bodyPr>
                    </wps:wsp>
                  </a:graphicData>
                </a:graphic>
              </wp:anchor>
            </w:drawing>
          </mc:Choice>
          <mc:Fallback>
            <w:pict>
              <v:shape id="_x0000_s1475" type="#_x0000_t202" style="position:absolute;margin-left:240.40000000000001pt;margin-top:1.pt;width:30.5pt;height:29.300000000000001pt;z-index:-125828927;mso-wrap-distance-left:9.pt;mso-wrap-distance-right:82.200000000000003pt;mso-wrap-distance-bottom:6.5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rPr>
                          <w:sz w:val="42"/>
                          <w:szCs w:val="42"/>
                        </w:rPr>
                      </w:pPr>
                      <w:bookmarkStart w:id="455" w:name="bookmark455"/>
                      <w:r>
                        <w:rPr>
                          <w:rFonts w:ascii="Times New Roman" w:eastAsia="Times New Roman" w:hAnsi="Times New Roman" w:cs="Times New Roman"/>
                          <w:color w:val="000000"/>
                          <w:spacing w:val="0"/>
                          <w:w w:val="80"/>
                          <w:position w:val="0"/>
                          <w:sz w:val="42"/>
                          <w:szCs w:val="42"/>
                          <w:shd w:val="clear" w:color="auto" w:fill="auto"/>
                          <w:lang w:val="cs-CZ" w:eastAsia="cs-CZ" w:bidi="cs-CZ"/>
                        </w:rPr>
                        <w:t>Přít</w:t>
                      </w:r>
                      <w:bookmarkEnd w:id="455"/>
                    </w:p>
                  </w:txbxContent>
                </v:textbox>
                <w10:wrap type="topAndBottom" anchorx="page"/>
              </v:shape>
            </w:pict>
          </mc:Fallback>
        </mc:AlternateContent>
      </w:r>
      <w:r>
        <w:rPr>
          <w:noProof/>
        </w:rPr>
        <mc:AlternateContent>
          <mc:Choice Requires="wps">
            <w:drawing>
              <wp:anchor distT="128270" distB="109855" distL="507365" distR="720725" simplePos="0" relativeHeight="125829828" behindDoc="0" locked="0" layoutInCell="1" allowOverlap="1">
                <wp:simplePos x="0" y="0"/>
                <wp:positionH relativeFrom="page">
                  <wp:posOffset>3446780</wp:posOffset>
                </wp:positionH>
                <wp:positionV relativeFrom="paragraph">
                  <wp:posOffset>140970</wp:posOffset>
                </wp:positionV>
                <wp:extent cx="316865" cy="216535"/>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316865" cy="21653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26"/>
                                <w:szCs w:val="26"/>
                              </w:rPr>
                            </w:pPr>
                            <w:r>
                              <w:rPr>
                                <w:b/>
                                <w:bCs/>
                                <w:color w:val="FFFFFF"/>
                                <w:sz w:val="26"/>
                                <w:szCs w:val="26"/>
                                <w:lang w:val="en-US" w:eastAsia="en-US" w:bidi="en-US"/>
                              </w:rPr>
                              <w:t>•Jill</w:t>
                            </w:r>
                          </w:p>
                        </w:txbxContent>
                      </wps:txbx>
                      <wps:bodyPr lIns="0" tIns="0" rIns="0" bIns="0">
                        <a:spAutoFit/>
                      </wps:bodyPr>
                    </wps:wsp>
                  </a:graphicData>
                </a:graphic>
              </wp:anchor>
            </w:drawing>
          </mc:Choice>
          <mc:Fallback>
            <w:pict>
              <v:shape id="_x0000_s1477" type="#_x0000_t202" style="position:absolute;margin-left:271.39999999999998pt;margin-top:11.1pt;width:24.949999999999999pt;height:17.050000000000001pt;z-index:-125828925;mso-wrap-distance-left:39.950000000000003pt;mso-wrap-distance-top:10.1pt;mso-wrap-distance-right:56.75pt;mso-wrap-distance-bottom:8.6500000000000004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6"/>
                          <w:szCs w:val="26"/>
                        </w:rPr>
                      </w:pPr>
                      <w:r>
                        <w:rPr>
                          <w:b/>
                          <w:bCs/>
                          <w:color w:val="FFFFFF"/>
                          <w:spacing w:val="0"/>
                          <w:w w:val="100"/>
                          <w:position w:val="0"/>
                          <w:sz w:val="26"/>
                          <w:szCs w:val="26"/>
                          <w:shd w:val="clear" w:color="auto" w:fill="auto"/>
                          <w:lang w:val="en-US" w:eastAsia="en-US" w:bidi="en-US"/>
                        </w:rPr>
                        <w:t>•Jill</w:t>
                      </w:r>
                    </w:p>
                  </w:txbxContent>
                </v:textbox>
                <w10:wrap type="topAndBottom" anchorx="page"/>
              </v:shape>
            </w:pict>
          </mc:Fallback>
        </mc:AlternateContent>
      </w:r>
      <w:r>
        <w:rPr>
          <w:noProof/>
        </w:rPr>
        <mc:AlternateContent>
          <mc:Choice Requires="wps">
            <w:drawing>
              <wp:anchor distT="45720" distB="76200" distL="830580" distR="114300" simplePos="0" relativeHeight="125829830" behindDoc="0" locked="0" layoutInCell="1" allowOverlap="1">
                <wp:simplePos x="0" y="0"/>
                <wp:positionH relativeFrom="page">
                  <wp:posOffset>3769360</wp:posOffset>
                </wp:positionH>
                <wp:positionV relativeFrom="paragraph">
                  <wp:posOffset>58420</wp:posOffset>
                </wp:positionV>
                <wp:extent cx="600710" cy="332105"/>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600710" cy="332105"/>
                        </a:xfrm>
                        <a:prstGeom prst="rect">
                          <a:avLst/>
                        </a:prstGeom>
                        <a:noFill/>
                      </wps:spPr>
                      <wps:txbx>
                        <w:txbxContent>
                          <w:p w:rsidR="00500724" w:rsidRDefault="00F30FB8">
                            <w:pPr>
                              <w:pStyle w:val="Nadpis90"/>
                              <w:keepNext/>
                              <w:keepLines/>
                              <w:shd w:val="clear" w:color="auto" w:fill="auto"/>
                              <w:spacing w:after="0"/>
                              <w:rPr>
                                <w:sz w:val="42"/>
                                <w:szCs w:val="42"/>
                              </w:rPr>
                            </w:pPr>
                            <w:bookmarkStart w:id="457" w:name="bookmark456"/>
                            <w:r>
                              <w:rPr>
                                <w:rFonts w:ascii="Times New Roman" w:eastAsia="Times New Roman" w:hAnsi="Times New Roman" w:cs="Times New Roman"/>
                                <w:w w:val="80"/>
                                <w:sz w:val="42"/>
                                <w:szCs w:val="42"/>
                              </w:rPr>
                              <w:t>IlOSO</w:t>
                            </w:r>
                            <w:bookmarkEnd w:id="457"/>
                          </w:p>
                        </w:txbxContent>
                      </wps:txbx>
                      <wps:bodyPr lIns="0" tIns="0" rIns="0" bIns="0">
                        <a:spAutoFit/>
                      </wps:bodyPr>
                    </wps:wsp>
                  </a:graphicData>
                </a:graphic>
              </wp:anchor>
            </w:drawing>
          </mc:Choice>
          <mc:Fallback>
            <w:pict>
              <v:shape id="_x0000_s1479" type="#_x0000_t202" style="position:absolute;margin-left:296.80000000000001pt;margin-top:4.5999999999999996pt;width:47.299999999999997pt;height:26.149999999999999pt;z-index:-125828923;mso-wrap-distance-left:65.400000000000006pt;mso-wrap-distance-top:3.6000000000000001pt;mso-wrap-distance-right:9.pt;mso-wrap-distance-bottom:6.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rPr>
                          <w:sz w:val="42"/>
                          <w:szCs w:val="42"/>
                        </w:rPr>
                      </w:pPr>
                      <w:bookmarkStart w:id="456" w:name="bookmark456"/>
                      <w:r>
                        <w:rPr>
                          <w:rFonts w:ascii="Times New Roman" w:eastAsia="Times New Roman" w:hAnsi="Times New Roman" w:cs="Times New Roman"/>
                          <w:color w:val="000000"/>
                          <w:spacing w:val="0"/>
                          <w:w w:val="80"/>
                          <w:position w:val="0"/>
                          <w:sz w:val="42"/>
                          <w:szCs w:val="42"/>
                          <w:shd w:val="clear" w:color="auto" w:fill="auto"/>
                          <w:lang w:val="cs-CZ" w:eastAsia="cs-CZ" w:bidi="cs-CZ"/>
                        </w:rPr>
                        <w:t>IlOSO</w:t>
                      </w:r>
                      <w:bookmarkEnd w:id="456"/>
                    </w:p>
                  </w:txbxContent>
                </v:textbox>
                <w10:wrap type="topAndBottom" anchorx="page"/>
              </v:shape>
            </w:pict>
          </mc:Fallback>
        </mc:AlternateContent>
      </w:r>
    </w:p>
    <w:p w:rsidR="00500724" w:rsidRDefault="00F30FB8">
      <w:pPr>
        <w:pStyle w:val="Zkladntext20"/>
        <w:shd w:val="clear" w:color="auto" w:fill="auto"/>
        <w:spacing w:after="60" w:line="202" w:lineRule="auto"/>
        <w:ind w:firstLine="0"/>
      </w:pPr>
      <w:r>
        <w:t>cialismu. Pokusil se jiti podobnými cestami, kterými šel národní socialismus i v hospodářství: omezení sou</w:t>
      </w:r>
      <w:r>
        <w:softHyphen/>
      </w:r>
      <w:r>
        <w:t xml:space="preserve">kromé iniciativy při zachování soukromé iniciativy. Film nebyl zestátněn, byl jenom státem řízen. Obě největší německé společnosti filmové </w:t>
      </w:r>
      <w:r>
        <w:rPr>
          <w:lang w:val="en-US" w:eastAsia="en-US" w:bidi="en-US"/>
        </w:rPr>
        <w:t xml:space="preserve">Ufa a Tobis </w:t>
      </w:r>
      <w:r>
        <w:t>jsou ve svém finančním složení polostátní podniky, asi tak, jako u nás rozhlas zaujímá posici polo státní</w:t>
      </w:r>
      <w:r>
        <w:t xml:space="preserve">, polo soukromou. Státní vliv projevil se ovšem i v ostatních německých filmových společnostech (Terra, </w:t>
      </w:r>
      <w:r>
        <w:rPr>
          <w:lang w:val="en-US" w:eastAsia="en-US" w:bidi="en-US"/>
        </w:rPr>
        <w:t xml:space="preserve">Bavaria, </w:t>
      </w:r>
      <w:r>
        <w:t>Wien-FUm, Márkische Panorama) aspoň tak, že ome</w:t>
      </w:r>
      <w:r>
        <w:softHyphen/>
        <w:t>zil výrobcovu iniciativu. K tomu přistupuje kontrola každého německého filmu říšskou filmovou k</w:t>
      </w:r>
      <w:r>
        <w:t>omorou, oddělením říšského ministerstva kultury. Rukopisy pročítají říští dramaturgové a kontrola všech vztahů mezi filmovými společnostmi, herci a výrobcem po</w:t>
      </w:r>
      <w:r>
        <w:softHyphen/>
        <w:t>mocí filmové říšské komory umožňuje státu, aby film řídil. Nakonec je tu říšské ministerstvo pro</w:t>
      </w:r>
      <w:r>
        <w:t>pagandy samo jako nejvyšší rozhodčí všech filmových záleži</w:t>
      </w:r>
      <w:r>
        <w:softHyphen/>
        <w:t>tostí. Víme, že dr. Goebbels zasahuje sám osobně vel</w:t>
      </w:r>
      <w:r>
        <w:softHyphen/>
        <w:t>mi často i do maličkostí, že osobně zkoumá rukopisy jak divadelní tak filmové, že dává náměty a podněty, kritisuje a ukazuje nové cesty. Nikdy n</w:t>
      </w:r>
      <w:r>
        <w:t>ešetřil kritikou a velmi často odmítavě odsoudil značnou část němec</w:t>
      </w:r>
      <w:r>
        <w:softHyphen/>
        <w:t>ké filmové produkce.</w:t>
      </w:r>
    </w:p>
    <w:p w:rsidR="00500724" w:rsidRDefault="00F30FB8">
      <w:pPr>
        <w:pStyle w:val="Zkladntext20"/>
        <w:shd w:val="clear" w:color="auto" w:fill="auto"/>
        <w:spacing w:after="180" w:line="202" w:lineRule="auto"/>
      </w:pPr>
      <w:r>
        <w:t>Ve smyslu této kritiky se německý film od roku 1933 důkladně změnil. Bezprostředně po roce 1933 převažoval holý propagační film tendenční, který na</w:t>
      </w:r>
      <w:r>
        <w:softHyphen/>
        <w:t>značoval už v titul</w:t>
      </w:r>
      <w:r>
        <w:t>u úzkou spojitost se stranou: »Hitlerjunge Quex«, »SA-Mann-Brand« — to byla oblíbená témata. Mezi těmito tendenčními filmy byly i filmy vysloveně dobré a napínavé, jako »Togger«, který byl nedávno promítán v Praze. V celku však nebyl dr. Goebbels s tímto p</w:t>
      </w:r>
      <w:r>
        <w:t>rimitivním způsobem vy</w:t>
      </w:r>
      <w:r>
        <w:softHyphen/>
        <w:t>jádření nacionálně-socialistické myšlenky spokojen, a německá produkce se dala jinými cestami.</w:t>
      </w:r>
    </w:p>
    <w:p w:rsidR="00500724" w:rsidRDefault="00F30FB8">
      <w:pPr>
        <w:pStyle w:val="Zkladntext20"/>
        <w:shd w:val="clear" w:color="auto" w:fill="auto"/>
        <w:spacing w:after="60" w:line="202" w:lineRule="auto"/>
        <w:ind w:firstLine="0"/>
        <w:jc w:val="center"/>
      </w:pPr>
      <w:r>
        <w:t>Témata a styl německého filmu</w:t>
      </w:r>
    </w:p>
    <w:p w:rsidR="00500724" w:rsidRDefault="00F30FB8">
      <w:pPr>
        <w:pStyle w:val="Zkladntext20"/>
        <w:shd w:val="clear" w:color="auto" w:fill="auto"/>
        <w:spacing w:after="120" w:line="202" w:lineRule="auto"/>
      </w:pPr>
      <w:r>
        <w:t>Dr. Goebbels vytýkal německému filmu především ostych probírati současné události nového německého života. N</w:t>
      </w:r>
      <w:r>
        <w:t xml:space="preserve">ěmecký film uprchl do minulosti, celé roky natáčely se </w:t>
      </w:r>
      <w:r>
        <w:rPr>
          <w:lang w:val="en-US" w:eastAsia="en-US" w:bidi="en-US"/>
        </w:rPr>
        <w:t xml:space="preserve">serie </w:t>
      </w:r>
      <w:r>
        <w:t>historických filmů, ale život nového Německa se v nich nezračil. Dnes se Německo po</w:t>
      </w:r>
      <w:r>
        <w:softHyphen/>
        <w:t>kouší, aby to dohonilo. Film se stává realističtější, vy</w:t>
      </w:r>
      <w:r>
        <w:softHyphen/>
        <w:t xml:space="preserve">hledává motivy ze současného dění. Jednak lehkou a </w:t>
      </w:r>
      <w:r>
        <w:t>nezávaznou formou, jednak novou a znovu silně vy</w:t>
      </w:r>
      <w:r>
        <w:softHyphen/>
        <w:t>jádřenou tendencí. Tak vznikla řada filmů, kterým byl dán titul »staatspolitisch wertvolk (státně-politic- ky hodnotné) a které zasahují bezprostředně do vý</w:t>
      </w:r>
      <w:r>
        <w:softHyphen/>
        <w:t>chovy německého národa. Nedávno běžel v Praze film</w:t>
      </w:r>
      <w:r>
        <w:t xml:space="preserve"> K. Rittera »Zrádce«, který podporuje boj proti vojenské a průmyslové špionáži. Film byl umělecký a technicky naprosto na výši a zaručeně dosahuje účelu, jemuž byl určen. Podobný film »Jménem lidu« běží právě v Pra</w:t>
      </w:r>
      <w:r>
        <w:softHyphen/>
        <w:t>ze. Nejúspěšnější režisér dnešního Německ</w:t>
      </w:r>
      <w:r>
        <w:t xml:space="preserve">a je Karl </w:t>
      </w:r>
      <w:r>
        <w:rPr>
          <w:lang w:val="en-US" w:eastAsia="en-US" w:bidi="en-US"/>
        </w:rPr>
        <w:t xml:space="preserve">Ritter, </w:t>
      </w:r>
      <w:r>
        <w:t xml:space="preserve">který režíroval »Zrádce« a »Dovolenou na čestné slovo«. </w:t>
      </w:r>
      <w:r>
        <w:rPr>
          <w:lang w:val="en-US" w:eastAsia="en-US" w:bidi="en-US"/>
        </w:rPr>
        <w:t xml:space="preserve">Ritter </w:t>
      </w:r>
      <w:r>
        <w:t>se pokouší vyjádřiti filmově ži</w:t>
      </w:r>
      <w:r>
        <w:softHyphen/>
        <w:t>votní styl, ducha a nový pořádek hodnot nového Ně</w:t>
      </w:r>
      <w:r>
        <w:softHyphen/>
        <w:t>mecka.</w:t>
      </w:r>
    </w:p>
    <w:p w:rsidR="00500724" w:rsidRDefault="00F30FB8">
      <w:pPr>
        <w:pStyle w:val="Zkladntext20"/>
        <w:shd w:val="clear" w:color="auto" w:fill="auto"/>
        <w:spacing w:after="60" w:line="202" w:lineRule="auto"/>
        <w:ind w:firstLine="0"/>
        <w:jc w:val="center"/>
      </w:pPr>
      <w:r>
        <w:t>Nedostatky a přání</w:t>
      </w:r>
    </w:p>
    <w:p w:rsidR="00500724" w:rsidRDefault="00F30FB8">
      <w:pPr>
        <w:pStyle w:val="Zkladntext20"/>
        <w:shd w:val="clear" w:color="auto" w:fill="auto"/>
        <w:spacing w:line="202" w:lineRule="auto"/>
      </w:pPr>
      <w:r>
        <w:t>Německá filmová produkce získala v posledních le</w:t>
      </w:r>
      <w:r>
        <w:softHyphen/>
        <w:t>tech nejen na obsa</w:t>
      </w:r>
      <w:r>
        <w:t xml:space="preserve">hu, ale i na jakosti </w:t>
      </w:r>
      <w:r>
        <w:rPr>
          <w:i/>
          <w:iCs/>
        </w:rPr>
        <w:t>a</w:t>
      </w:r>
      <w:r>
        <w:t xml:space="preserve"> rozmanitosti námětů. Blíží se ve svých nejlepších výkonech ideálu, který má ministr propagandy. Přes to zůstává ještě všelicos nesplněno, jak dokazuje německý tisk a příle</w:t>
      </w:r>
      <w:r>
        <w:softHyphen/>
        <w:t>žitostné kritiky vedoucích německých mužů. V Ham</w:t>
      </w:r>
      <w:r>
        <w:softHyphen/>
        <w:t>burku je ava</w:t>
      </w:r>
      <w:r>
        <w:t>ntgardistická skupina, která vydává ča</w:t>
      </w:r>
      <w:r>
        <w:softHyphen/>
        <w:t>sopis »Der Film von Morgen«. Z jejich časopisu a z předvádění práce této skupiny vidíme, co tito avant- gardisté od německého filmu očekávají a co v něm postrádají. Zdá se jim, že se stále nepodařilo vytvořiti z filmo</w:t>
      </w:r>
      <w:r>
        <w:t>vého umění kolektivní; žádají také silnější zdů</w:t>
      </w:r>
      <w:r>
        <w:softHyphen/>
        <w:t xml:space="preserve">raznění sociálního prvku a víc životní skutečnosti. Velmi na příklad chválí americký film »Poslední alarm«, který ukazuje boj skupiny nezaměstnaných o denní chléb. Předvádějí filmy René Claira a Hatha- wayův </w:t>
      </w:r>
      <w:r>
        <w:t>psychoanalytický film »Peter Ibbetson«.</w:t>
      </w:r>
    </w:p>
    <w:p w:rsidR="00500724" w:rsidRDefault="00F30FB8">
      <w:pPr>
        <w:pStyle w:val="Zkladntext20"/>
        <w:shd w:val="clear" w:color="auto" w:fill="auto"/>
        <w:spacing w:after="260" w:line="202" w:lineRule="auto"/>
      </w:pPr>
      <w:r>
        <w:t>Podle našeho úsudku chybí dodnes německému fil</w:t>
      </w:r>
      <w:r>
        <w:softHyphen/>
        <w:t>mu lehká a nenáročná veselohra, jakou mají Fran</w:t>
      </w:r>
      <w:r>
        <w:softHyphen/>
        <w:t>couzi a která se občas tak výborně podaří Američa</w:t>
      </w:r>
      <w:r>
        <w:softHyphen/>
        <w:t>nům. Německá opereta je, mírně řečeno, málo stylo</w:t>
      </w:r>
      <w:r>
        <w:softHyphen/>
        <w:t>vá; obyčejně je směsi</w:t>
      </w:r>
      <w:r>
        <w:t>cí nejrůznějších stylů a nedovede nic počít ani s dobrými hudebními nápady. Ani herců není na tomto poli dostatek. Snad Němcům tento druh »ne!eží«. Síla německého filmu bude asi dlouho ještě v tragičnosti, vážnosti, hrdinnosti a propagan</w:t>
      </w:r>
      <w:r>
        <w:softHyphen/>
        <w:t>distických námětec</w:t>
      </w:r>
      <w:r>
        <w:t>h.</w:t>
      </w:r>
    </w:p>
    <w:p w:rsidR="00500724" w:rsidRDefault="00F30FB8">
      <w:pPr>
        <w:pStyle w:val="Jin0"/>
        <w:shd w:val="clear" w:color="auto" w:fill="auto"/>
        <w:spacing w:after="160"/>
        <w:ind w:firstLine="0"/>
        <w:jc w:val="left"/>
        <w:rPr>
          <w:sz w:val="44"/>
          <w:szCs w:val="44"/>
        </w:rPr>
      </w:pPr>
      <w:r>
        <w:rPr>
          <w:b/>
          <w:bCs/>
          <w:sz w:val="44"/>
          <w:szCs w:val="44"/>
          <w:u w:val="single"/>
        </w:rPr>
        <w:t>život a instituce</w:t>
      </w:r>
    </w:p>
    <w:p w:rsidR="00500724" w:rsidRDefault="00F30FB8">
      <w:pPr>
        <w:pStyle w:val="Zkladntext20"/>
        <w:shd w:val="clear" w:color="auto" w:fill="auto"/>
        <w:spacing w:line="221" w:lineRule="auto"/>
        <w:ind w:firstLine="0"/>
        <w:rPr>
          <w:sz w:val="20"/>
          <w:szCs w:val="20"/>
        </w:rPr>
      </w:pPr>
      <w:r>
        <w:rPr>
          <w:i/>
          <w:iCs/>
          <w:sz w:val="20"/>
          <w:szCs w:val="20"/>
        </w:rPr>
        <w:t>Jan Albert:</w:t>
      </w:r>
    </w:p>
    <w:p w:rsidR="00500724" w:rsidRDefault="00F30FB8">
      <w:pPr>
        <w:pStyle w:val="Nadpis100"/>
        <w:shd w:val="clear" w:color="auto" w:fill="auto"/>
        <w:spacing w:after="80" w:line="230" w:lineRule="auto"/>
      </w:pPr>
      <w:bookmarkStart w:id="458" w:name="bookmark457"/>
      <w:r>
        <w:t>Kdo stavěl hlavní města ?</w:t>
      </w:r>
      <w:bookmarkEnd w:id="458"/>
    </w:p>
    <w:p w:rsidR="00500724" w:rsidRDefault="00F30FB8">
      <w:pPr>
        <w:pStyle w:val="Zkladntext20"/>
        <w:shd w:val="clear" w:color="auto" w:fill="auto"/>
        <w:spacing w:after="120" w:line="202" w:lineRule="auto"/>
        <w:ind w:firstLine="0"/>
        <w:jc w:val="center"/>
      </w:pPr>
      <w:r>
        <w:t>Tvář střední Evropy</w:t>
      </w:r>
    </w:p>
    <w:p w:rsidR="00500724" w:rsidRDefault="00F30FB8">
      <w:pPr>
        <w:pStyle w:val="Zkladntext20"/>
        <w:shd w:val="clear" w:color="auto" w:fill="auto"/>
        <w:spacing w:line="202" w:lineRule="auto"/>
      </w:pPr>
      <w:r>
        <w:t xml:space="preserve">Nějaký příchozí z Egypta, třeba kupec nebo voják, který by byl někdy před dvaadvaceti až třiadvaceti staletími stanul na vrcholcích Džebel et-Túr, byl by si býval mohl říci s </w:t>
      </w:r>
      <w:r>
        <w:t>vnitřním uspokojením: Hle, Jerusalem má egyptskou tvář! Možná, že by mu někteří z nás dali ještě i dnes za pravdu. Vždyť nad špinavým mraveništěm spletitých uliček, nad plochý</w:t>
      </w:r>
      <w:r>
        <w:softHyphen/>
        <w:t>mi střechami z hlíny slepených baráčků se vypínal velkolepý Šalomounův chrám, vt</w:t>
      </w:r>
      <w:r>
        <w:t>iskující svými roz</w:t>
      </w:r>
      <w:r>
        <w:softHyphen/>
        <w:t>měry a svojí krásou celkový ráz palestinské kapitá</w:t>
      </w:r>
      <w:r>
        <w:softHyphen/>
        <w:t>le — a o chrámu Šalomounově čteme i v bibli, že jej postavili egyptští stavitelé. Přece však byl tento Egypťany zbudovaný chrám vždycky největší pýchou israelského národa, který jej zcel</w:t>
      </w:r>
      <w:r>
        <w:t>a samozřejmě počítal ke svému kulturnímu majetku. Odkud se vzala tato samozřejmost? Nebylo by k ní stačilo vědomí, že cedry chrámového staviva pocházely z palestinského Líbánu, ani jistota, že honoráře egypt</w:t>
      </w:r>
      <w:r>
        <w:softHyphen/>
        <w:t>ských architektů byly vydřeny z palestinských po</w:t>
      </w:r>
      <w:r>
        <w:t>plat</w:t>
      </w:r>
      <w:r>
        <w:softHyphen/>
        <w:t xml:space="preserve">níků. Ona samozřejmost rostla z pocitu úcty, lásky a obdivu, který budil pohled na Zion </w:t>
      </w:r>
      <w:r>
        <w:rPr>
          <w:b/>
          <w:bCs/>
        </w:rPr>
        <w:t xml:space="preserve">v </w:t>
      </w:r>
      <w:r>
        <w:t xml:space="preserve">srdcích </w:t>
      </w:r>
      <w:r>
        <w:rPr>
          <w:lang w:val="en-US" w:eastAsia="en-US" w:bidi="en-US"/>
        </w:rPr>
        <w:t>I</w:t>
      </w:r>
      <w:r>
        <w:t>srae 1 e — zatím co srdce Egypťanů zůstávala při něm chladná, pouhé historické vědomosti o kraja- nech-stavitelích je ovšem nemohly rozehřát.</w:t>
      </w:r>
    </w:p>
    <w:p w:rsidR="00500724" w:rsidRDefault="00F30FB8">
      <w:pPr>
        <w:pStyle w:val="Zkladntext20"/>
        <w:shd w:val="clear" w:color="auto" w:fill="auto"/>
        <w:spacing w:line="202" w:lineRule="auto"/>
        <w:sectPr w:rsidR="00500724">
          <w:footnotePr>
            <w:numFmt w:val="chicago"/>
            <w:numRestart w:val="eachPage"/>
          </w:footnotePr>
          <w:pgSz w:w="11909" w:h="16834"/>
          <w:pgMar w:top="562" w:right="879" w:bottom="1253" w:left="528" w:header="0" w:footer="3" w:gutter="0"/>
          <w:cols w:num="2" w:space="125"/>
          <w:noEndnote/>
          <w:docGrid w:linePitch="360"/>
        </w:sectPr>
      </w:pPr>
      <w:r>
        <w:t xml:space="preserve">Případ starého Jerusalema není v tomto směru ojedinělý. Naopak, je neobyčejně typický pro celé dějiny architektury. Projděte svět křížem krážem a všude uvidíte města, jejichž profily vytvořili stavitelé cizích národů. Snad v </w:t>
      </w:r>
      <w:r>
        <w:t>každém z těchto_měst se svým časem našli horlitelé proti »cizáctví« oněch architektů. Dovedeme si představit, že náš starý kro</w:t>
      </w:r>
      <w:r>
        <w:softHyphen/>
        <w:t xml:space="preserve">nikář, vzdychající nad tím, jak prý císař Karel IV. v zemi množil Němce a hubil Cechy, se asi velmi zlostně díval na to, jak nad </w:t>
      </w:r>
      <w:r>
        <w:t>střechami Prahy roste</w:t>
      </w:r>
    </w:p>
    <w:p w:rsidR="00500724" w:rsidRDefault="00F30FB8">
      <w:pPr>
        <w:pStyle w:val="Zkladntext20"/>
        <w:shd w:val="clear" w:color="auto" w:fill="auto"/>
        <w:spacing w:line="204" w:lineRule="auto"/>
        <w:ind w:firstLine="0"/>
      </w:pPr>
      <w:r>
        <w:t>svatovítský chrám, budovaný nejprve Francouzem Matyášem z Arrasu a později Švábem Parléřem. Zlost tohoto druhu musí však rychle vyprchat, roztaje v pocitu národní pýchy. Oprávněné pýchy, jak se domníváme; neboť dovede-li národ přijmou</w:t>
      </w:r>
      <w:r>
        <w:t>t dar vyspělejší kultury, dovede-li se obdivovat jeho kráse, je to svědectvím jeho vlastního kulturního růstu.</w:t>
      </w:r>
    </w:p>
    <w:p w:rsidR="00500724" w:rsidRDefault="00F30FB8">
      <w:pPr>
        <w:pStyle w:val="Zkladntext20"/>
        <w:shd w:val="clear" w:color="auto" w:fill="auto"/>
        <w:spacing w:line="202" w:lineRule="auto"/>
      </w:pPr>
      <w:r>
        <w:t>A tak jsou vůbec »c i z í« rysy v tvářích měst do</w:t>
      </w:r>
      <w:r>
        <w:softHyphen/>
        <w:t>kladem kulturního rozmachu jejich vlastních obyvatel; jsou výbornou známkou na jejich vysvědče</w:t>
      </w:r>
      <w:r>
        <w:softHyphen/>
      </w:r>
      <w:r>
        <w:t>ních dospělosti. Zdá se nám, že to je dokonce jediné správné a spravedlivé hledisko. Proto se chceme právě z něho vydat na historickou procházku po nejkrásněj</w:t>
      </w:r>
      <w:r>
        <w:softHyphen/>
        <w:t>ších městech — ne na celém světě, to by byl příliš dlouhý výlet, ale aspoň v tom životním prostor</w:t>
      </w:r>
      <w:r>
        <w:t>u, do něhož jsme teď včleněni.</w:t>
      </w:r>
    </w:p>
    <w:p w:rsidR="00500724" w:rsidRDefault="00F30FB8">
      <w:pPr>
        <w:pStyle w:val="Zkladntext20"/>
        <w:shd w:val="clear" w:color="auto" w:fill="auto"/>
        <w:spacing w:after="80" w:line="202" w:lineRule="auto"/>
        <w:ind w:firstLine="0"/>
        <w:jc w:val="center"/>
      </w:pPr>
      <w:r>
        <w:t>•</w:t>
      </w:r>
    </w:p>
    <w:p w:rsidR="00500724" w:rsidRDefault="00F30FB8">
      <w:pPr>
        <w:pStyle w:val="Zkladntext20"/>
        <w:shd w:val="clear" w:color="auto" w:fill="auto"/>
        <w:spacing w:line="202" w:lineRule="auto"/>
      </w:pPr>
      <w:r>
        <w:t>Berlín. Jeho první rozkvět z malé, osmitisícové osady souvisí se vznešenou funkcí svobodného asylu, jímž se Berlín stal za Velkého kurfiřta v době, kdy Francie a Čechy byly vylidňovány pronásledováním pro náboženské přesvěd</w:t>
      </w:r>
      <w:r>
        <w:t>čení. Slavní cizí stavitelé tu působili před tím i po tom. Přestavbu starého hradu v důstojnou kurfiřtskou residenci zahájil v polovině</w:t>
      </w:r>
    </w:p>
    <w:p w:rsidR="00500724" w:rsidRDefault="00F30FB8">
      <w:pPr>
        <w:pStyle w:val="Zkladntext20"/>
        <w:numPr>
          <w:ilvl w:val="0"/>
          <w:numId w:val="50"/>
        </w:numPr>
        <w:shd w:val="clear" w:color="auto" w:fill="auto"/>
        <w:tabs>
          <w:tab w:val="left" w:pos="470"/>
        </w:tabs>
        <w:spacing w:line="202" w:lineRule="auto"/>
        <w:ind w:firstLine="0"/>
      </w:pPr>
      <w:r>
        <w:t>století italský hrabě R. Quirino de L y n a r (* 1525 v Maradii, Toskána), jenž se vzdělal na pa</w:t>
      </w:r>
      <w:r>
        <w:softHyphen/>
        <w:t>řížských vzorech a stav</w:t>
      </w:r>
      <w:r>
        <w:t xml:space="preserve">ěl pak paláce a citadely po celém Německu; Drážďany, Špandava, Desava, </w:t>
      </w:r>
      <w:r>
        <w:rPr>
          <w:lang w:val="en-US" w:eastAsia="en-US" w:bidi="en-US"/>
        </w:rPr>
        <w:t>Frei</w:t>
      </w:r>
      <w:r>
        <w:rPr>
          <w:lang w:val="en-US" w:eastAsia="en-US" w:bidi="en-US"/>
        </w:rPr>
        <w:softHyphen/>
        <w:t xml:space="preserve">berg, Kassel </w:t>
      </w:r>
      <w:r>
        <w:t>se mohou dosud chlubit památkami na tohoto architekta evropské pověsti. Po italské epoše přišla epocha francouzská. Je spojena především se jménem slavného matematika,</w:t>
      </w:r>
      <w:r>
        <w:t xml:space="preserve"> diplomata, maršála a architekta Frangoise B1 o n d e 1 a (*1617 v Ribemon- tu), od něhož pocházejí první plány Zeughausu, zbudo</w:t>
      </w:r>
      <w:r>
        <w:softHyphen/>
        <w:t>vaného proti residenčnímu zámku na druhém břehu ramena Sprévy. Jeho stavbu dokončil huguenottský emigrant Jean de B o d t (* 16</w:t>
      </w:r>
      <w:r>
        <w:t>70), s jehož stavitelskou činností se setkáváme ještě v Postupimi. Cayart a Quesnay, architekti Francouzského kostela, do</w:t>
      </w:r>
      <w:r>
        <w:softHyphen/>
        <w:t>plňují po roce 1700 skvělou plejádu francouzských budovatelů Berlína. Avšak ještě více než Italové a Francouzi se v budování města upl</w:t>
      </w:r>
      <w:r>
        <w:t>atnili Holanďané. Prvním velikým architektem berlínského baroka je Michael Mathys Smids z Rotterdamu (* 1626), od něhož pochází barokní úprava královského zámku a v jeho sousedství postavená velkolepá Marstall. Jeho mladší druh a spolupracovník na obou uve</w:t>
      </w:r>
      <w:r>
        <w:t xml:space="preserve">dených stavbách </w:t>
      </w:r>
      <w:r>
        <w:rPr>
          <w:lang w:val="en-US" w:eastAsia="en-US" w:bidi="en-US"/>
        </w:rPr>
        <w:t xml:space="preserve">Johann </w:t>
      </w:r>
      <w:r>
        <w:t>Arnold Ne ring (* 1655), rovněž holandského původu, je autorem urbanisačních plánů Friedrichstadtu, na nichž postupně vyrostlo dnešní berlínské centrum; od něho je také střední část zám</w:t>
      </w:r>
      <w:r>
        <w:softHyphen/>
        <w:t>ku v blízkém Charlottenburgu. Počátek 18. stole</w:t>
      </w:r>
      <w:r>
        <w:t>tí je v architektonických dějinách Berlína vyznačen jmé</w:t>
      </w:r>
      <w:r>
        <w:softHyphen/>
        <w:t xml:space="preserve">nem Andrea Schlůttera, původem Holanďana. A stavitelem fridericiánské doby je jeho krajan </w:t>
      </w:r>
      <w:r>
        <w:rPr>
          <w:lang w:val="en-US" w:eastAsia="en-US" w:bidi="en-US"/>
        </w:rPr>
        <w:t xml:space="preserve">Johann Bourn an </w:t>
      </w:r>
      <w:r>
        <w:t>(* 1706 v Amsterodamu), od něhož pochází zejména palác prince Jindřicha, nynější sídlo univers</w:t>
      </w:r>
      <w:r>
        <w:t>ity, a Berlínská brána; jeho syn G. F. Bouman (* 1725) okrášlil město barokní Bi</w:t>
      </w:r>
      <w:r>
        <w:softHyphen/>
        <w:t>bliotékou.</w:t>
      </w:r>
    </w:p>
    <w:p w:rsidR="00500724" w:rsidRDefault="00F30FB8">
      <w:pPr>
        <w:pStyle w:val="Zkladntext20"/>
        <w:shd w:val="clear" w:color="auto" w:fill="auto"/>
        <w:spacing w:after="40" w:line="204" w:lineRule="auto"/>
      </w:pPr>
      <w:r>
        <w:t xml:space="preserve">Postupim. I zde se francouzské vlivy proplétají s holandskými. Už Velkým kurfiřtem byl sem povolán </w:t>
      </w:r>
      <w:r>
        <w:rPr>
          <w:lang w:val="en-US" w:eastAsia="en-US" w:bidi="en-US"/>
        </w:rPr>
        <w:t xml:space="preserve">Philippe </w:t>
      </w:r>
      <w:r>
        <w:t>de C h i e z e, aby řídil stavbu tak zvaného Městského z</w:t>
      </w:r>
      <w:r>
        <w:t xml:space="preserve">ámku. Ten byl později dobudován Jeanem de Bodt, známým nám již z Berlína, od něhož tu kromě toho pochází Japonský palác a Strážnice na zámeckém nádvoří. Friedrichova éra je zde vyznačena, především holandským jménem </w:t>
      </w:r>
      <w:r>
        <w:rPr>
          <w:lang w:val="en-US" w:eastAsia="en-US" w:bidi="en-US"/>
        </w:rPr>
        <w:t xml:space="preserve">Johanna </w:t>
      </w:r>
      <w:r>
        <w:t>Bouma- n a, jenž byl právem nazv</w:t>
      </w:r>
      <w:r>
        <w:t>án »vlastním uskutečňovate- lem fridericiánských myšlenek v architektuře« a jenž tu postavil skvělou budovu radnice. Vedle pruského Knobelsdorffa stavěl v parcích Sanssouci Fran</w:t>
      </w:r>
      <w:r>
        <w:softHyphen/>
        <w:t xml:space="preserve">couz L e g e a y, jehož krajan </w:t>
      </w:r>
      <w:r>
        <w:rPr>
          <w:lang w:val="en-US" w:eastAsia="en-US" w:bidi="en-US"/>
        </w:rPr>
        <w:t xml:space="preserve">Pierre </w:t>
      </w:r>
      <w:r>
        <w:t>L e s m é dal jim po napoleonských válká</w:t>
      </w:r>
      <w:r>
        <w:t>ch jejich nynější vzhled.</w:t>
      </w:r>
    </w:p>
    <w:p w:rsidR="00500724" w:rsidRDefault="00F30FB8">
      <w:pPr>
        <w:pStyle w:val="Zkladntext20"/>
        <w:shd w:val="clear" w:color="auto" w:fill="auto"/>
        <w:spacing w:after="40" w:line="202" w:lineRule="auto"/>
      </w:pPr>
      <w:r>
        <w:t>Drážďany. Bulváry skvělé saské residence sle</w:t>
      </w:r>
      <w:r>
        <w:softHyphen/>
        <w:t>dují linie starých opevnění, zbudovaných v 16. století hrabětem L y n a r e m, nám už povědomým z Berlí</w:t>
      </w:r>
      <w:r>
        <w:softHyphen/>
        <w:t>na. Jinak je architektonická historie Drážďan pře- rvána obrovským požárem z roku</w:t>
      </w:r>
      <w:r>
        <w:t xml:space="preserve"> 1685, jemuž uniklo jen málo starších stavitelských památek. K nejslav</w:t>
      </w:r>
      <w:r>
        <w:softHyphen/>
        <w:t xml:space="preserve">nějším jménům z doby před touto katastrofou patří především dva Italové, </w:t>
      </w:r>
      <w:r>
        <w:rPr>
          <w:lang w:val="en-US" w:eastAsia="en-US" w:bidi="en-US"/>
        </w:rPr>
        <w:t xml:space="preserve">Giuseppe </w:t>
      </w:r>
      <w:r>
        <w:t xml:space="preserve">Maria P a d u a n </w:t>
      </w:r>
      <w:r>
        <w:rPr>
          <w:b/>
          <w:bCs/>
          <w:sz w:val="26"/>
          <w:szCs w:val="26"/>
        </w:rPr>
        <w:t xml:space="preserve">o </w:t>
      </w:r>
      <w:r>
        <w:rPr>
          <w:lang w:val="en-US" w:eastAsia="en-US" w:bidi="en-US"/>
        </w:rPr>
        <w:t xml:space="preserve">a Giovanni </w:t>
      </w:r>
      <w:r>
        <w:t xml:space="preserve">Maria N o s s e n i. Prvního z nich známe </w:t>
      </w:r>
      <w:r>
        <w:rPr>
          <w:b/>
          <w:bCs/>
          <w:sz w:val="26"/>
          <w:szCs w:val="26"/>
        </w:rPr>
        <w:t xml:space="preserve">i </w:t>
      </w:r>
      <w:r>
        <w:t>od nás z Prahy, kde se účast</w:t>
      </w:r>
      <w:r>
        <w:t>nil stavby našeho Belve</w:t>
      </w:r>
      <w:r>
        <w:softHyphen/>
        <w:t xml:space="preserve">deru, druhý je architektem Belvederu drážďanského. Teprve několik desítiletí po požáru dal kolem roku 1720 kurfiřt August Silný vypracovat plány na novou výstavbu města; mezi jejich autory jsou Ital </w:t>
      </w:r>
      <w:r>
        <w:rPr>
          <w:lang w:val="en-US" w:eastAsia="en-US" w:bidi="en-US"/>
        </w:rPr>
        <w:t xml:space="preserve">Gaetano </w:t>
      </w:r>
      <w:r>
        <w:t>Chiaveri (* 1689 v Římě),</w:t>
      </w:r>
      <w:r>
        <w:t xml:space="preserve"> jenž dlouho byl ve službách cara Petra Velikého, a Francouzové Jean de Bodt a Longuelune. Longuelune navrhl plán centrálního paláce, jenž měl být podle nejlepších francouzských vzorů »point de vue« nové residence. Ale nejnápadnější rys vmodeloval do silue</w:t>
      </w:r>
      <w:r>
        <w:t>ty Drážďan Chiaveri, stavitel katolického dvorního chrámu, slav</w:t>
      </w:r>
      <w:r>
        <w:softHyphen/>
        <w:t>ného díla německého baroka, jehož útlá a smělá věž, 83 m vysoká, ovládá panorama města. Týž archi</w:t>
      </w:r>
      <w:r>
        <w:softHyphen/>
        <w:t>tekt přebudoval i palác prince Maxe do jeho nynější podoby.</w:t>
      </w:r>
    </w:p>
    <w:p w:rsidR="00500724" w:rsidRDefault="00F30FB8">
      <w:pPr>
        <w:pStyle w:val="Zkladntext20"/>
        <w:shd w:val="clear" w:color="auto" w:fill="auto"/>
        <w:spacing w:after="40" w:line="202" w:lineRule="auto"/>
      </w:pPr>
      <w:r>
        <w:t>Mnichov. Italové a Francouzi se dě</w:t>
      </w:r>
      <w:r>
        <w:t>lí o slávu být tvůrci nádherného mnichovského baroka. Prvním z nich všech byl P i s t o r i n i, po němž přišel na vé</w:t>
      </w:r>
      <w:r>
        <w:softHyphen/>
        <w:t xml:space="preserve">vodský dvůr jako dvorní architekt Agostino B a r e 11 </w:t>
      </w:r>
      <w:r>
        <w:rPr>
          <w:b/>
          <w:bCs/>
        </w:rPr>
        <w:t xml:space="preserve">i </w:t>
      </w:r>
      <w:r>
        <w:t>(* 1627 v Bologni). Od něho pochází nejznámější stav</w:t>
      </w:r>
      <w:r>
        <w:softHyphen/>
        <w:t xml:space="preserve">ba barokního Mnichova, chrám </w:t>
      </w:r>
      <w:r>
        <w:t>sv. Kajetána; navrhl též pověstné »papežské komnaty« mnichovského zám</w:t>
      </w:r>
      <w:r>
        <w:softHyphen/>
        <w:t xml:space="preserve">ku. Jeho krajan </w:t>
      </w:r>
      <w:r>
        <w:rPr>
          <w:lang w:val="en-US" w:eastAsia="en-US" w:bidi="en-US"/>
        </w:rPr>
        <w:t xml:space="preserve">Enrico </w:t>
      </w:r>
      <w:r>
        <w:t>Zucalli přistavěl ke kaje</w:t>
      </w:r>
      <w:r>
        <w:softHyphen/>
        <w:t>tánskému kostelu jeho věže a dokončil stavbu chrámu nejsv. Trojice, začatou slavným V i s c a r d i m. Věč</w:t>
      </w:r>
      <w:r>
        <w:softHyphen/>
        <w:t xml:space="preserve">nou památkou na Zuc-alliho je </w:t>
      </w:r>
      <w:r>
        <w:t>též palác Maffei na Promenádním náměstí, palác Berchen s proslulým »Kravským obloukem«, palác rodiny Fuggerů a bu</w:t>
      </w:r>
      <w:r>
        <w:softHyphen/>
        <w:t>dova nynějšího policejního ředitelství. Největším mi</w:t>
      </w:r>
      <w:r>
        <w:softHyphen/>
        <w:t>strem mnichovského rokoka je pak Frangois de C u- villiěs (* 1695 v Soignies). Tento dvor</w:t>
      </w:r>
      <w:r>
        <w:t>ní stavitel kurfiřta Maxe Emanuela, spojence Ludvíka XIV., zbu</w:t>
      </w:r>
      <w:r>
        <w:softHyphen/>
        <w:t>doval v první polovině 18. století Residenční divadlo, pověstný klenot jihoněmeckého rokoka, arcibiskup</w:t>
      </w:r>
      <w:r>
        <w:softHyphen/>
        <w:t xml:space="preserve">ský palác Piosaque de </w:t>
      </w:r>
      <w:r>
        <w:rPr>
          <w:lang w:val="en-US" w:eastAsia="en-US" w:bidi="en-US"/>
        </w:rPr>
        <w:t xml:space="preserve">Non, </w:t>
      </w:r>
      <w:r>
        <w:t>palác Preysingův a v nymphenburském parku u Mnichova zámek Ama</w:t>
      </w:r>
      <w:r>
        <w:t>- lienburg.</w:t>
      </w:r>
    </w:p>
    <w:p w:rsidR="00500724" w:rsidRDefault="00F30FB8">
      <w:pPr>
        <w:pStyle w:val="Zkladntext20"/>
        <w:shd w:val="clear" w:color="auto" w:fill="auto"/>
        <w:spacing w:after="40" w:line="202" w:lineRule="auto"/>
        <w:sectPr w:rsidR="00500724">
          <w:footnotePr>
            <w:numFmt w:val="chicago"/>
            <w:numRestart w:val="eachPage"/>
          </w:footnotePr>
          <w:pgSz w:w="11909" w:h="16834"/>
          <w:pgMar w:top="1289" w:right="840" w:bottom="1347" w:left="600" w:header="0" w:footer="3" w:gutter="0"/>
          <w:cols w:num="2" w:space="178"/>
          <w:noEndnote/>
          <w:docGrid w:linePitch="360"/>
        </w:sectPr>
      </w:pPr>
      <w:r>
        <w:t xml:space="preserve">V í d e ň. Za její bohatou renaissanční architekturou stojí nejzvučnější jména italských architektů: </w:t>
      </w:r>
      <w:r>
        <w:rPr>
          <w:lang w:val="en-US" w:eastAsia="en-US" w:bidi="en-US"/>
        </w:rPr>
        <w:t xml:space="preserve">Jacopo </w:t>
      </w:r>
      <w:r>
        <w:t xml:space="preserve">de S p a c i </w:t>
      </w:r>
      <w:r>
        <w:rPr>
          <w:lang w:val="en-US" w:eastAsia="en-US" w:bidi="en-US"/>
        </w:rPr>
        <w:t xml:space="preserve">a, Francesco </w:t>
      </w:r>
      <w:r>
        <w:t xml:space="preserve">P o z z o, </w:t>
      </w:r>
      <w:r>
        <w:rPr>
          <w:lang w:val="en-US" w:eastAsia="en-US" w:bidi="en-US"/>
        </w:rPr>
        <w:t xml:space="preserve">Pietro </w:t>
      </w:r>
      <w:r>
        <w:t xml:space="preserve">Ferra- b o s c o, </w:t>
      </w:r>
      <w:r>
        <w:rPr>
          <w:lang w:val="en-US" w:eastAsia="en-US" w:bidi="en-US"/>
        </w:rPr>
        <w:t xml:space="preserve">Domenico </w:t>
      </w:r>
      <w:r>
        <w:t>de L a g 1 i o. Je-li nejproslulejším</w:t>
      </w:r>
      <w:r>
        <w:t xml:space="preserve"> stavitelem vídeňského baroka FischerzErlachu, má přece kolem sebe souhvězdí neméně slavných Italů. L u c h e r i nakreslil plány tak zvaného leopoldovské- ho traktu císařského hradu, jimž pak ostatní jeho části stylově přizpůsobil Lodovico </w:t>
      </w:r>
      <w:r>
        <w:rPr>
          <w:lang w:val="en-US" w:eastAsia="en-US" w:bidi="en-US"/>
        </w:rPr>
        <w:t xml:space="preserve">Ottavio </w:t>
      </w:r>
      <w:r>
        <w:t>Burna-</w:t>
      </w:r>
    </w:p>
    <w:p w:rsidR="00500724" w:rsidRDefault="00F30FB8">
      <w:pPr>
        <w:pStyle w:val="Jin0"/>
        <w:pBdr>
          <w:bottom w:val="single" w:sz="4" w:space="0" w:color="auto"/>
        </w:pBdr>
        <w:shd w:val="clear" w:color="auto" w:fill="auto"/>
        <w:ind w:firstLine="0"/>
        <w:jc w:val="center"/>
        <w:rPr>
          <w:sz w:val="36"/>
          <w:szCs w:val="36"/>
        </w:rPr>
        <w:sectPr w:rsidR="00500724">
          <w:footnotePr>
            <w:numFmt w:val="chicago"/>
            <w:numRestart w:val="eachPage"/>
          </w:footnotePr>
          <w:pgSz w:w="11909" w:h="16834"/>
          <w:pgMar w:top="1169" w:right="782" w:bottom="676" w:left="595" w:header="0" w:footer="3" w:gutter="0"/>
          <w:cols w:space="720"/>
          <w:noEndnote/>
          <w:docGrid w:linePitch="360"/>
        </w:sectPr>
      </w:pPr>
      <w:r>
        <w:rPr>
          <w:rFonts w:ascii="Arial" w:eastAsia="Arial" w:hAnsi="Arial" w:cs="Arial"/>
          <w:sz w:val="36"/>
          <w:szCs w:val="36"/>
        </w:rPr>
        <w:t>PfítDmnostLz</w:t>
      </w:r>
    </w:p>
    <w:p w:rsidR="00500724" w:rsidRDefault="00500724">
      <w:pPr>
        <w:spacing w:line="142" w:lineRule="exact"/>
        <w:rPr>
          <w:sz w:val="11"/>
          <w:szCs w:val="11"/>
        </w:rPr>
      </w:pPr>
    </w:p>
    <w:p w:rsidR="00500724" w:rsidRDefault="00500724">
      <w:pPr>
        <w:spacing w:line="14" w:lineRule="exact"/>
        <w:sectPr w:rsidR="00500724">
          <w:footnotePr>
            <w:numFmt w:val="chicago"/>
            <w:numRestart w:val="eachPage"/>
          </w:footnotePr>
          <w:type w:val="continuous"/>
          <w:pgSz w:w="11909" w:h="16834"/>
          <w:pgMar w:top="953" w:right="0" w:bottom="892" w:left="0" w:header="0" w:footer="3" w:gutter="0"/>
          <w:cols w:space="720"/>
          <w:noEndnote/>
          <w:docGrid w:linePitch="360"/>
        </w:sectPr>
      </w:pPr>
    </w:p>
    <w:p w:rsidR="00500724" w:rsidRDefault="00F30FB8">
      <w:pPr>
        <w:pStyle w:val="Zkladntext20"/>
        <w:shd w:val="clear" w:color="auto" w:fill="auto"/>
        <w:spacing w:line="202" w:lineRule="auto"/>
        <w:ind w:firstLine="0"/>
      </w:pPr>
      <w:r>
        <w:t xml:space="preserve">cini, jehož Morový sloup na Příkopech je nejzná- mější perlou mezi vídeňskými pomníky. </w:t>
      </w:r>
      <w:r>
        <w:rPr>
          <w:lang w:val="en-US" w:eastAsia="en-US" w:bidi="en-US"/>
        </w:rPr>
        <w:t xml:space="preserve">Giovanni Pietro </w:t>
      </w:r>
      <w:r>
        <w:t xml:space="preserve">T e n c </w:t>
      </w:r>
      <w:r>
        <w:rPr>
          <w:lang w:val="en-US" w:eastAsia="en-US" w:bidi="en-US"/>
        </w:rPr>
        <w:t xml:space="preserve">a </w:t>
      </w:r>
      <w:r>
        <w:t>1 a je stavitelem nádherného paláce Lobkowiců, Nicolo P a c a s s i spolu</w:t>
      </w:r>
      <w:r>
        <w:t xml:space="preserve"> s Gabrielem de Gabrieli zbudoval palác liechtensteinský s jeho pověstnou galerií. Pacassi je však kromě toho tvůr</w:t>
      </w:r>
      <w:r>
        <w:softHyphen/>
        <w:t>cem schónbrunnského zámku v jeho nynější podobě; schónbrunnské parky, pýchu Vídně, vytvořil Holan</w:t>
      </w:r>
      <w:r>
        <w:softHyphen/>
        <w:t xml:space="preserve">ďan Steckhoven. Italové Anguisola </w:t>
      </w:r>
      <w:r>
        <w:rPr>
          <w:lang w:val="en-US" w:eastAsia="en-US" w:bidi="en-US"/>
        </w:rPr>
        <w:t>a Ma</w:t>
      </w:r>
      <w:r>
        <w:rPr>
          <w:lang w:val="en-US" w:eastAsia="en-US" w:bidi="en-US"/>
        </w:rPr>
        <w:softHyphen/>
        <w:t xml:space="preserve">ri </w:t>
      </w:r>
      <w:r>
        <w:t>n</w:t>
      </w:r>
      <w:r>
        <w:t xml:space="preserve"> o n i jsou autory prvního generálního plánu města, vypracovaného kolem roku 1704. O čtvrtstoletí později má Vídeň svého největšího architekta v italském mi</w:t>
      </w:r>
      <w:r>
        <w:softHyphen/>
        <w:t xml:space="preserve">stru Donatu </w:t>
      </w:r>
      <w:r>
        <w:rPr>
          <w:lang w:val="en-US" w:eastAsia="en-US" w:bidi="en-US"/>
        </w:rPr>
        <w:t xml:space="preserve">Felice </w:t>
      </w:r>
      <w:r>
        <w:t xml:space="preserve">A11 i o v i, jehož chrám Salesiánek ije jednou z nejkrásnějších barokních okras </w:t>
      </w:r>
      <w:r>
        <w:t xml:space="preserve">města; od něho pochází též blízký klášter v Klosterneuburgu. Dvorní inspektor staveb za císaře Františka I. Jean </w:t>
      </w:r>
      <w:r>
        <w:rPr>
          <w:lang w:val="en-US" w:eastAsia="en-US" w:bidi="en-US"/>
        </w:rPr>
        <w:t xml:space="preserve">Nicolas </w:t>
      </w:r>
      <w:r>
        <w:t>J a d o t, baron de Ville-Issey, postavil pyšný palác, v němž později sídlila rakouská Akademie věd p umění.</w:t>
      </w:r>
    </w:p>
    <w:p w:rsidR="00500724" w:rsidRDefault="00F30FB8">
      <w:pPr>
        <w:pStyle w:val="Zkladntext20"/>
        <w:shd w:val="clear" w:color="auto" w:fill="auto"/>
      </w:pPr>
      <w:r>
        <w:rPr>
          <w:lang w:val="en-US" w:eastAsia="en-US" w:bidi="en-US"/>
        </w:rPr>
        <w:t xml:space="preserve">Kassel. </w:t>
      </w:r>
      <w:r>
        <w:t>Dříve celkem nepat</w:t>
      </w:r>
      <w:r>
        <w:t xml:space="preserve">rný hraběcí zámek byl na počátku 18. století přebudován ve velkolepé sídlo podle plánů Delafosseových stavitelem Guernierim. Avšak základní architektonickou pečeť vtiskla městu rodina francouzských huguenottů </w:t>
      </w:r>
      <w:r>
        <w:rPr>
          <w:b/>
          <w:bCs/>
          <w:sz w:val="26"/>
          <w:szCs w:val="26"/>
        </w:rPr>
        <w:t xml:space="preserve">D </w:t>
      </w:r>
      <w:r>
        <w:t>u R y, jejíž tři generace tu stavěly v průběh</w:t>
      </w:r>
      <w:r>
        <w:t>u celé</w:t>
      </w:r>
      <w:r>
        <w:softHyphen/>
        <w:t>ho 18. století. Děd Paul Du Ry vystavěl chrám ober- neustádtský, tak zvaný Kunsthaus a Oranžeriový zá</w:t>
      </w:r>
      <w:r>
        <w:softHyphen/>
        <w:t>mek, jehož zahrady jsou dílem slavného LeNStrea. Otec Louis Du Ry je stavitelem Katolického kostela a Musea Fridericiana. Konečně vnuk SimonLouis D</w:t>
      </w:r>
      <w:r>
        <w:t>u Ry vyzdobil město skvělou budovou kasáren gar</w:t>
      </w:r>
      <w:r>
        <w:softHyphen/>
        <w:t>dového sboru, zámkem, radnicí, palácem patricijské rodiny Waitzů a auskou branou.</w:t>
      </w:r>
    </w:p>
    <w:p w:rsidR="00500724" w:rsidRDefault="00F30FB8">
      <w:pPr>
        <w:pStyle w:val="Zkladntext20"/>
        <w:shd w:val="clear" w:color="auto" w:fill="auto"/>
        <w:spacing w:line="202" w:lineRule="auto"/>
      </w:pPr>
      <w:r>
        <w:t>Mannheim nese stopy působení jiné slavné umě</w:t>
      </w:r>
      <w:r>
        <w:softHyphen/>
        <w:t xml:space="preserve">lecké rodiny, v tomto případě italské: G a 11 i d e B i- biena. Jeden z Bibienů, </w:t>
      </w:r>
      <w:r>
        <w:t xml:space="preserve">Alessandro (* 1687 </w:t>
      </w:r>
      <w:r>
        <w:rPr>
          <w:i/>
          <w:iCs/>
        </w:rPr>
        <w:t>v</w:t>
      </w:r>
      <w:r>
        <w:t xml:space="preserve"> Parmě), byl generálním architektem falckých kur</w:t>
      </w:r>
      <w:r>
        <w:softHyphen/>
        <w:t>fiřtů. Od něho pochází především nejvýznamnější ba</w:t>
      </w:r>
      <w:r>
        <w:softHyphen/>
        <w:t>rokní památka jihozápadního Německa, jesuitský .chrám v Mannheimu.</w:t>
      </w:r>
    </w:p>
    <w:p w:rsidR="00500724" w:rsidRDefault="00F30FB8">
      <w:pPr>
        <w:pStyle w:val="Zkladntext20"/>
        <w:shd w:val="clear" w:color="auto" w:fill="auto"/>
        <w:spacing w:line="202" w:lineRule="auto"/>
      </w:pPr>
      <w:r>
        <w:rPr>
          <w:lang w:val="en-US" w:eastAsia="en-US" w:bidi="en-US"/>
        </w:rPr>
        <w:t xml:space="preserve">Karlsruhe </w:t>
      </w:r>
      <w:r>
        <w:t>je právem pověstno umělým plánem svého rozložení, koncentro</w:t>
      </w:r>
      <w:r>
        <w:t xml:space="preserve">vaného kolem sídelního zámku. Plány k němu vypracovali hlavně Leopoldo </w:t>
      </w:r>
      <w:r>
        <w:rPr>
          <w:lang w:val="en-US" w:eastAsia="en-US" w:bidi="en-US"/>
        </w:rPr>
        <w:t xml:space="preserve">Matteo </w:t>
      </w:r>
      <w:r>
        <w:t xml:space="preserve">Retti, synovec a žák slavného Frisoni- </w:t>
      </w:r>
      <w:r>
        <w:rPr>
          <w:b/>
          <w:bCs/>
        </w:rPr>
        <w:t xml:space="preserve">h </w:t>
      </w:r>
      <w:r>
        <w:t>o, jeho krajan Pedettia pařížský architekt D e- laguépiěre.</w:t>
      </w:r>
    </w:p>
    <w:p w:rsidR="00500724" w:rsidRDefault="00F30FB8">
      <w:pPr>
        <w:pStyle w:val="Zkladntext20"/>
        <w:shd w:val="clear" w:color="auto" w:fill="auto"/>
        <w:spacing w:line="202" w:lineRule="auto"/>
      </w:pPr>
      <w:r>
        <w:t xml:space="preserve">Stuttgart. Retti a Delaguépiěre jsou též staviteli nového zámku v této </w:t>
      </w:r>
      <w:r>
        <w:t>residenci, jehož vý</w:t>
      </w:r>
      <w:r>
        <w:softHyphen/>
        <w:t>stavbu dokončil v napoleonské době Thouret.</w:t>
      </w:r>
    </w:p>
    <w:p w:rsidR="00500724" w:rsidRDefault="00F30FB8">
      <w:pPr>
        <w:pStyle w:val="Zkladntext20"/>
        <w:shd w:val="clear" w:color="auto" w:fill="auto"/>
        <w:spacing w:line="202" w:lineRule="auto"/>
      </w:pPr>
      <w:r>
        <w:rPr>
          <w:lang w:val="en-US" w:eastAsia="en-US" w:bidi="en-US"/>
        </w:rPr>
        <w:t xml:space="preserve">Wurzburg. </w:t>
      </w:r>
      <w:r>
        <w:t>Na konci 16. století působil zde ho</w:t>
      </w:r>
      <w:r>
        <w:softHyphen/>
        <w:t xml:space="preserve">landský architekt </w:t>
      </w:r>
      <w:r>
        <w:rPr>
          <w:lang w:val="en-US" w:eastAsia="en-US" w:bidi="en-US"/>
        </w:rPr>
        <w:t xml:space="preserve">Georg </w:t>
      </w:r>
      <w:r>
        <w:t>Robin, po němž se za</w:t>
      </w:r>
      <w:r>
        <w:softHyphen/>
        <w:t>chovala Juliova universita a její kostel, kdežto jeho Juliův špitál byl sto let po svém zbudování zni</w:t>
      </w:r>
      <w:r>
        <w:t>čen po</w:t>
      </w:r>
      <w:r>
        <w:softHyphen/>
        <w:t>žárem. Barokní stavbu karmelitského chrámu pro</w:t>
      </w:r>
      <w:r>
        <w:softHyphen/>
        <w:t>vedl Petřini.</w:t>
      </w:r>
    </w:p>
    <w:p w:rsidR="00500724" w:rsidRDefault="00F30FB8">
      <w:pPr>
        <w:pStyle w:val="Zkladntext20"/>
        <w:shd w:val="clear" w:color="auto" w:fill="auto"/>
        <w:spacing w:line="202" w:lineRule="auto"/>
      </w:pPr>
      <w:r>
        <w:t xml:space="preserve">Bonn má kurfiřtský zámek v bohatém barokním slohu podle původních plánů Enrica Zucalliho, s nímž jsme se už sešli v Mnichově. Po roce 1715 byly 'jeho plány ještě rozšířeny Robertem de C o </w:t>
      </w:r>
      <w:r>
        <w:t>11 e ■(* 1656 v Paříži), proslulým mistrem »stylu Régen- ce«, spolubudovatelem pařížského Dómu Invalidů, jehož připomíná několik velkolepých staveb ve Frank</w:t>
      </w:r>
      <w:r>
        <w:softHyphen/>
        <w:t>furtu n. M., Bruhlu, Schleissheimu a j.</w:t>
      </w:r>
    </w:p>
    <w:p w:rsidR="00500724" w:rsidRDefault="00F30FB8">
      <w:pPr>
        <w:pStyle w:val="Zkladntext20"/>
        <w:shd w:val="clear" w:color="auto" w:fill="auto"/>
        <w:spacing w:after="40" w:line="202" w:lineRule="auto"/>
      </w:pPr>
      <w:r>
        <w:t>K o b 1 e n z je proslaven svým zámkem z druhé po</w:t>
      </w:r>
      <w:r>
        <w:softHyphen/>
        <w:t>loviny 18</w:t>
      </w:r>
      <w:r>
        <w:t xml:space="preserve">. století, skvělou památkou raného klassi- cismu. Plány k němu navrhl geniální </w:t>
      </w:r>
      <w:r>
        <w:rPr>
          <w:lang w:val="en-US" w:eastAsia="en-US" w:bidi="en-US"/>
        </w:rPr>
        <w:t xml:space="preserve">Michel </w:t>
      </w:r>
      <w:r>
        <w:t>d’1 x n a r d (* 1723 v Nimes), jenž se z prostého zed</w:t>
      </w:r>
      <w:r>
        <w:softHyphen/>
        <w:t xml:space="preserve">níka vypracoval ve vůdčího architekta své doby. Stavbu paláce provedl podle jeho nákresů </w:t>
      </w:r>
      <w:r>
        <w:rPr>
          <w:lang w:val="en-US" w:eastAsia="en-US" w:bidi="en-US"/>
        </w:rPr>
        <w:t xml:space="preserve">Antoine </w:t>
      </w:r>
      <w:r>
        <w:t>Frangois P e y r e</w:t>
      </w:r>
      <w:r>
        <w:t xml:space="preserve"> (* 1739 v Paříži), známý na příklad svou účastí v soutěži na pařížskou </w:t>
      </w:r>
      <w:r>
        <w:rPr>
          <w:lang w:val="en-US" w:eastAsia="en-US" w:bidi="en-US"/>
        </w:rPr>
        <w:t>Madeleine.</w:t>
      </w:r>
    </w:p>
    <w:p w:rsidR="00500724" w:rsidRDefault="00F30FB8">
      <w:pPr>
        <w:pStyle w:val="Zkladntext20"/>
        <w:shd w:val="clear" w:color="auto" w:fill="auto"/>
        <w:spacing w:after="40" w:line="202" w:lineRule="auto"/>
        <w:ind w:firstLine="0"/>
        <w:jc w:val="center"/>
      </w:pPr>
      <w:r>
        <w:t>•</w:t>
      </w:r>
    </w:p>
    <w:p w:rsidR="00500724" w:rsidRDefault="00F30FB8">
      <w:pPr>
        <w:pStyle w:val="Zkladntext20"/>
        <w:shd w:val="clear" w:color="auto" w:fill="auto"/>
        <w:spacing w:after="40"/>
        <w:ind w:firstLine="260"/>
      </w:pPr>
      <w:r>
        <w:t>Tak bychom mohli projít všemi velkými i menšími městy střední Evropy a všude bychom našli v jejich tvářích stopy, vryté tam Italy, Francouzy a Holan</w:t>
      </w:r>
      <w:r>
        <w:softHyphen/>
        <w:t>ďany. Nejslavnější sta</w:t>
      </w:r>
      <w:r>
        <w:t>vitelská éra, barok, je v němec</w:t>
      </w:r>
      <w:r>
        <w:softHyphen/>
        <w:t xml:space="preserve">kém životním prostoru do velké míry představována stavitelskými rodinami Carlonů z Milána, Bi- b i e n ů z Bologně aLuraghůz Ferma. Vedle těch, která jsme už uvedli, by bylo možno vypočítat ještě mnoho jiných neméně známých </w:t>
      </w:r>
      <w:r>
        <w:t xml:space="preserve">jmen: Santino S o I a- r i, </w:t>
      </w:r>
      <w:r>
        <w:rPr>
          <w:lang w:val="en-US" w:eastAsia="en-US" w:bidi="en-US"/>
        </w:rPr>
        <w:t xml:space="preserve">Claudio </w:t>
      </w:r>
      <w:r>
        <w:t xml:space="preserve">D e 1 e v o, Valentino P e z z a n i, F. V. Raballiati, Nic. de Pigage, Clément Froi- m o n t, </w:t>
      </w:r>
      <w:r>
        <w:rPr>
          <w:lang w:val="en-US" w:eastAsia="en-US" w:bidi="en-US"/>
        </w:rPr>
        <w:t xml:space="preserve">Michel </w:t>
      </w:r>
      <w:r>
        <w:t>L e v e i 11 é atd. atd.</w:t>
      </w:r>
    </w:p>
    <w:p w:rsidR="00500724" w:rsidRDefault="00F30FB8">
      <w:pPr>
        <w:pStyle w:val="Zkladntext20"/>
        <w:shd w:val="clear" w:color="auto" w:fill="auto"/>
        <w:spacing w:after="280"/>
        <w:ind w:firstLine="260"/>
      </w:pPr>
      <w:r>
        <w:t xml:space="preserve">Dovedl bych si představit, že by se v našich dnech sešli Němec, Francouz a Holanďan pod </w:t>
      </w:r>
      <w:r>
        <w:t>pomníkem Friedricha Velkého v samém středu berlínského Centra. Holanďan by mohl ukázat kolem sebe na Třídu pod lipami, na Marstall, na universitu a vidět tu všude práci svých krajanů. Francouz by se mohl zadívat na královský zámek, na Zeughaus, na kopuli F</w:t>
      </w:r>
      <w:r>
        <w:t>rancouzského kostela v pozadí a říci několik slov o architektonické tváři Berlína. Ale zdá se mi, že vím, co by jim oběma mohl odpovědět jejich německý spolubesedník. Hleďte, pánové — mohl by říci — to je asi tak jako s pochodňovou štafetou. Zde stojíme na</w:t>
      </w:r>
      <w:r>
        <w:t xml:space="preserve"> jednom z míst, kde Holand</w:t>
      </w:r>
      <w:r>
        <w:softHyphen/>
        <w:t>sko a Francie odevzdaly Prusku pochodeň své stavitel</w:t>
      </w:r>
      <w:r>
        <w:softHyphen/>
        <w:t>ské kultury. Bylo třeba, aby ji sem někdo donesl, a bylo nutno, aby ji tu někdo přejal a nesl dál. Dovést přijmout není v těchto věcech menší zásluhou než dovést darovat. Vidít</w:t>
      </w:r>
      <w:r>
        <w:t>e, zde jsme my jako pří</w:t>
      </w:r>
      <w:r>
        <w:softHyphen/>
        <w:t>jemci dorostli velikosti vás jako dárců. A kdo je vnitřně spjats tímto růstem, jako v tomto pří</w:t>
      </w:r>
      <w:r>
        <w:softHyphen/>
        <w:t>padě my Němci, ten bude docela přirozeně pociťovat a zažívat kamenné kouzlo tohoto místa jako pruské srdce Berlína — třebas sem jeho sta</w:t>
      </w:r>
      <w:r>
        <w:t>vitelé kdysi při- vandrovali z Francie a Nizozemí.</w:t>
      </w:r>
    </w:p>
    <w:p w:rsidR="00500724" w:rsidRDefault="00F30FB8">
      <w:pPr>
        <w:pStyle w:val="Nadpis90"/>
        <w:keepNext/>
        <w:keepLines/>
        <w:pBdr>
          <w:bottom w:val="single" w:sz="4" w:space="0" w:color="auto"/>
        </w:pBdr>
        <w:shd w:val="clear" w:color="auto" w:fill="auto"/>
        <w:spacing w:after="240"/>
      </w:pPr>
      <w:bookmarkStart w:id="459" w:name="bookmark460"/>
      <w:r>
        <w:rPr>
          <w:rFonts w:ascii="Times New Roman" w:eastAsia="Times New Roman" w:hAnsi="Times New Roman" w:cs="Times New Roman"/>
        </w:rPr>
        <w:t>věda a práce</w:t>
      </w:r>
      <w:bookmarkEnd w:id="459"/>
    </w:p>
    <w:p w:rsidR="00500724" w:rsidRDefault="00F30FB8">
      <w:pPr>
        <w:pStyle w:val="Zkladntext40"/>
        <w:shd w:val="clear" w:color="auto" w:fill="auto"/>
        <w:spacing w:after="40" w:line="240" w:lineRule="auto"/>
      </w:pPr>
      <w:r>
        <w:rPr>
          <w:b/>
          <w:bCs/>
          <w:i/>
          <w:iCs/>
        </w:rPr>
        <w:t>S.Hal a:</w:t>
      </w:r>
    </w:p>
    <w:p w:rsidR="00500724" w:rsidRDefault="00F30FB8">
      <w:pPr>
        <w:pStyle w:val="Nadpis100"/>
        <w:shd w:val="clear" w:color="auto" w:fill="auto"/>
        <w:spacing w:line="240" w:lineRule="auto"/>
        <w:ind w:firstLine="260"/>
        <w:jc w:val="both"/>
      </w:pPr>
      <w:bookmarkStart w:id="460" w:name="bookmark461"/>
      <w:r>
        <w:t>Hygienická výstava L. P. 1939</w:t>
      </w:r>
      <w:bookmarkEnd w:id="460"/>
    </w:p>
    <w:p w:rsidR="00500724" w:rsidRDefault="00F30FB8">
      <w:pPr>
        <w:pStyle w:val="Zkladntext20"/>
        <w:shd w:val="clear" w:color="auto" w:fill="auto"/>
        <w:spacing w:after="40" w:line="204" w:lineRule="auto"/>
        <w:ind w:firstLine="0"/>
        <w:jc w:val="center"/>
      </w:pPr>
      <w:r>
        <w:t>neboli</w:t>
      </w:r>
    </w:p>
    <w:p w:rsidR="00500724" w:rsidRDefault="00F30FB8">
      <w:pPr>
        <w:pStyle w:val="Zkladntext20"/>
        <w:shd w:val="clear" w:color="auto" w:fill="auto"/>
        <w:spacing w:after="40" w:line="223" w:lineRule="auto"/>
        <w:ind w:firstLine="0"/>
        <w:jc w:val="center"/>
        <w:rPr>
          <w:sz w:val="20"/>
          <w:szCs w:val="20"/>
        </w:rPr>
      </w:pPr>
      <w:r>
        <w:rPr>
          <w:b/>
          <w:bCs/>
          <w:sz w:val="20"/>
          <w:szCs w:val="20"/>
        </w:rPr>
        <w:t>Boj proti Bacteriu Benziu HP</w:t>
      </w:r>
    </w:p>
    <w:p w:rsidR="00500724" w:rsidRDefault="00F30FB8">
      <w:pPr>
        <w:pStyle w:val="Zkladntext20"/>
        <w:shd w:val="clear" w:color="auto" w:fill="auto"/>
        <w:spacing w:line="204" w:lineRule="auto"/>
        <w:ind w:firstLine="260"/>
      </w:pPr>
      <w:r>
        <w:t xml:space="preserve">Kdyby se objevila nemoc, která schvacuje lidi bez rozdílu věku, pohlaví či životních podmínek a bez ohledu na </w:t>
      </w:r>
      <w:r>
        <w:t>jakékoliv tělesné i psychické disposice; kte</w:t>
      </w:r>
      <w:r>
        <w:softHyphen/>
        <w:t>rá se objevuje za každé roční doby, napadá lidi blesku</w:t>
      </w:r>
      <w:r>
        <w:softHyphen/>
        <w:t xml:space="preserve">rychle </w:t>
      </w:r>
      <w:r>
        <w:rPr>
          <w:i/>
          <w:iCs/>
        </w:rPr>
        <w:t>a</w:t>
      </w:r>
      <w:r>
        <w:t xml:space="preserve"> končí vteřinovým přechodem z plného zdraví do definitivní, neodvolatelné smrti, vznikl by asi v nej</w:t>
      </w:r>
      <w:r>
        <w:softHyphen/>
        <w:t>širší veřejnosti obrovský poplach.</w:t>
      </w:r>
    </w:p>
    <w:p w:rsidR="00500724" w:rsidRDefault="00F30FB8">
      <w:pPr>
        <w:pStyle w:val="Zkladntext20"/>
        <w:shd w:val="clear" w:color="auto" w:fill="auto"/>
        <w:spacing w:line="204" w:lineRule="auto"/>
        <w:ind w:firstLine="260"/>
      </w:pPr>
      <w:r>
        <w:t>Přiznáme, ho</w:t>
      </w:r>
      <w:r>
        <w:t>dlajíce si zajistiti polehčující okolnosti dobrovolného přiznání, že tento úvod je pokrytecký, pokud jde o podmíněnou formu: kdyby.</w:t>
      </w:r>
    </w:p>
    <w:p w:rsidR="00500724" w:rsidRDefault="00F30FB8">
      <w:pPr>
        <w:pStyle w:val="Zkladntext20"/>
        <w:shd w:val="clear" w:color="auto" w:fill="auto"/>
        <w:spacing w:after="40" w:line="204" w:lineRule="auto"/>
        <w:ind w:firstLine="260"/>
      </w:pPr>
      <w:r>
        <w:t>Tato nemoc se objevila před několika lety, řádí^ na celém civilisovaném světě a vyvolala poplach, ovšem</w:t>
      </w:r>
      <w:r>
        <w:br w:type="page"/>
      </w:r>
    </w:p>
    <w:p w:rsidR="00500724" w:rsidRDefault="00F30FB8">
      <w:pPr>
        <w:pStyle w:val="Zkladntext20"/>
        <w:shd w:val="clear" w:color="auto" w:fill="auto"/>
        <w:spacing w:line="202" w:lineRule="auto"/>
        <w:ind w:firstLine="0"/>
      </w:pPr>
      <w:r>
        <w:rPr>
          <w:noProof/>
        </w:rPr>
        <mc:AlternateContent>
          <mc:Choice Requires="wps">
            <w:drawing>
              <wp:anchor distT="0" distB="79375" distL="114300" distR="1040765" simplePos="0" relativeHeight="125829832" behindDoc="0" locked="0" layoutInCell="1" allowOverlap="1">
                <wp:simplePos x="0" y="0"/>
                <wp:positionH relativeFrom="page">
                  <wp:posOffset>3126105</wp:posOffset>
                </wp:positionH>
                <wp:positionV relativeFrom="margin">
                  <wp:posOffset>66040</wp:posOffset>
                </wp:positionV>
                <wp:extent cx="374650" cy="377825"/>
                <wp:effectExtent l="0" t="0" r="0" b="0"/>
                <wp:wrapTopAndBottom/>
                <wp:docPr id="455" name="Shape 455"/>
                <wp:cNvGraphicFramePr/>
                <a:graphic xmlns:a="http://schemas.openxmlformats.org/drawingml/2006/main">
                  <a:graphicData uri="http://schemas.microsoft.com/office/word/2010/wordprocessingShape">
                    <wps:wsp>
                      <wps:cNvSpPr txBox="1"/>
                      <wps:spPr>
                        <a:xfrm>
                          <a:off x="0" y="0"/>
                          <a:ext cx="374650" cy="377825"/>
                        </a:xfrm>
                        <a:prstGeom prst="rect">
                          <a:avLst/>
                        </a:prstGeom>
                        <a:noFill/>
                      </wps:spPr>
                      <wps:txbx>
                        <w:txbxContent>
                          <w:p w:rsidR="00500724" w:rsidRDefault="00F30FB8">
                            <w:pPr>
                              <w:pStyle w:val="Nadpis90"/>
                              <w:keepNext/>
                              <w:keepLines/>
                              <w:shd w:val="clear" w:color="auto" w:fill="auto"/>
                              <w:spacing w:after="0"/>
                            </w:pPr>
                            <w:bookmarkStart w:id="461" w:name="bookmark458"/>
                            <w:r>
                              <w:rPr>
                                <w:rFonts w:ascii="Times New Roman" w:eastAsia="Times New Roman" w:hAnsi="Times New Roman" w:cs="Times New Roman"/>
                              </w:rPr>
                              <w:t>Přít</w:t>
                            </w:r>
                            <w:bookmarkEnd w:id="461"/>
                          </w:p>
                        </w:txbxContent>
                      </wps:txbx>
                      <wps:bodyPr lIns="0" tIns="0" rIns="0" bIns="0">
                        <a:spAutoFit/>
                      </wps:bodyPr>
                    </wps:wsp>
                  </a:graphicData>
                </a:graphic>
              </wp:anchor>
            </w:drawing>
          </mc:Choice>
          <mc:Fallback>
            <w:pict>
              <v:shape id="_x0000_s1481" type="#_x0000_t202" style="position:absolute;margin-left:246.15000000000001pt;margin-top:5.2000000000000002pt;width:29.5pt;height:29.75pt;z-index:-125828921;mso-wrap-distance-left:9.pt;mso-wrap-distance-right:81.950000000000003pt;mso-wrap-distance-bottom:6.25pt;mso-position-horizontal-relative:page;mso-position-vertical-relative:margin"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458" w:name="bookmark458"/>
                      <w:r>
                        <w:rPr>
                          <w:rFonts w:ascii="Times New Roman" w:eastAsia="Times New Roman" w:hAnsi="Times New Roman" w:cs="Times New Roman"/>
                          <w:color w:val="000000"/>
                          <w:spacing w:val="0"/>
                          <w:w w:val="100"/>
                          <w:position w:val="0"/>
                          <w:shd w:val="clear" w:color="auto" w:fill="auto"/>
                          <w:lang w:val="cs-CZ" w:eastAsia="cs-CZ" w:bidi="cs-CZ"/>
                        </w:rPr>
                        <w:t>Přít</w:t>
                      </w:r>
                      <w:bookmarkEnd w:id="458"/>
                    </w:p>
                  </w:txbxContent>
                </v:textbox>
                <w10:wrap type="topAndBottom" anchorx="page" anchory="margin"/>
              </v:shape>
            </w:pict>
          </mc:Fallback>
        </mc:AlternateContent>
      </w:r>
      <w:r>
        <w:rPr>
          <w:noProof/>
        </w:rPr>
        <mc:AlternateContent>
          <mc:Choice Requires="wps">
            <w:drawing>
              <wp:anchor distT="152400" distB="118745" distL="495300" distR="769620" simplePos="0" relativeHeight="125829834" behindDoc="0" locked="0" layoutInCell="1" allowOverlap="1">
                <wp:simplePos x="0" y="0"/>
                <wp:positionH relativeFrom="page">
                  <wp:posOffset>3507105</wp:posOffset>
                </wp:positionH>
                <wp:positionV relativeFrom="margin">
                  <wp:posOffset>218440</wp:posOffset>
                </wp:positionV>
                <wp:extent cx="265430" cy="186055"/>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265430" cy="186055"/>
                        </a:xfrm>
                        <a:prstGeom prst="rect">
                          <a:avLst/>
                        </a:prstGeom>
                        <a:noFill/>
                      </wps:spPr>
                      <wps:txbx>
                        <w:txbxContent>
                          <w:p w:rsidR="00500724" w:rsidRDefault="00F30FB8">
                            <w:pPr>
                              <w:pStyle w:val="Zkladntext20"/>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pPr>
                            <w:r>
                              <w:rPr>
                                <w:color w:val="FFFFFF"/>
                              </w:rPr>
                              <w:t>• II</w:t>
                            </w:r>
                          </w:p>
                        </w:txbxContent>
                      </wps:txbx>
                      <wps:bodyPr lIns="0" tIns="0" rIns="0" bIns="0">
                        <a:spAutoFit/>
                      </wps:bodyPr>
                    </wps:wsp>
                  </a:graphicData>
                </a:graphic>
              </wp:anchor>
            </w:drawing>
          </mc:Choice>
          <mc:Fallback>
            <w:pict>
              <v:shape id="_x0000_s1483" type="#_x0000_t202" style="position:absolute;margin-left:276.14999999999998pt;margin-top:17.199999999999999pt;width:20.899999999999999pt;height:14.65pt;z-index:-125828919;mso-wrap-distance-left:39.pt;mso-wrap-distance-top:12.pt;mso-wrap-distance-right:60.600000000000001pt;mso-wrap-distance-bottom:9.3499999999999996pt;mso-position-horizontal-relative:page;mso-position-vertical-relative:margin" filled="f" stroked="f">
                <v:textbox style="mso-fit-shape-to-text:t" inset="0,0,0,0">
                  <w:txbxContent>
                    <w:p>
                      <w:pPr>
                        <w:pStyle w:val="Style67"/>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r>
                        <w:rPr>
                          <w:color w:val="FFFFFF"/>
                          <w:spacing w:val="0"/>
                          <w:w w:val="100"/>
                          <w:position w:val="0"/>
                          <w:shd w:val="clear" w:color="auto" w:fill="auto"/>
                          <w:lang w:val="cs-CZ" w:eastAsia="cs-CZ" w:bidi="cs-CZ"/>
                        </w:rPr>
                        <w:t>• II</w:t>
                      </w:r>
                    </w:p>
                  </w:txbxContent>
                </v:textbox>
                <w10:wrap type="topAndBottom" anchorx="page" anchory="margin"/>
              </v:shape>
            </w:pict>
          </mc:Fallback>
        </mc:AlternateContent>
      </w:r>
      <w:r>
        <w:rPr>
          <w:noProof/>
        </w:rPr>
        <mc:AlternateContent>
          <mc:Choice Requires="wps">
            <w:drawing>
              <wp:anchor distT="48895" distB="76200" distL="772795" distR="114300" simplePos="0" relativeHeight="125829836" behindDoc="0" locked="0" layoutInCell="1" allowOverlap="1">
                <wp:simplePos x="0" y="0"/>
                <wp:positionH relativeFrom="page">
                  <wp:posOffset>3784600</wp:posOffset>
                </wp:positionH>
                <wp:positionV relativeFrom="margin">
                  <wp:posOffset>114935</wp:posOffset>
                </wp:positionV>
                <wp:extent cx="643255" cy="332105"/>
                <wp:effectExtent l="0" t="0" r="0" b="0"/>
                <wp:wrapTopAndBottom/>
                <wp:docPr id="459" name="Shape 459"/>
                <wp:cNvGraphicFramePr/>
                <a:graphic xmlns:a="http://schemas.openxmlformats.org/drawingml/2006/main">
                  <a:graphicData uri="http://schemas.microsoft.com/office/word/2010/wordprocessingShape">
                    <wps:wsp>
                      <wps:cNvSpPr txBox="1"/>
                      <wps:spPr>
                        <a:xfrm>
                          <a:off x="0" y="0"/>
                          <a:ext cx="643255" cy="332105"/>
                        </a:xfrm>
                        <a:prstGeom prst="rect">
                          <a:avLst/>
                        </a:prstGeom>
                        <a:noFill/>
                      </wps:spPr>
                      <wps:txbx>
                        <w:txbxContent>
                          <w:p w:rsidR="00500724" w:rsidRDefault="00F30FB8">
                            <w:pPr>
                              <w:pStyle w:val="Nadpis90"/>
                              <w:keepNext/>
                              <w:keepLines/>
                              <w:shd w:val="clear" w:color="auto" w:fill="auto"/>
                              <w:spacing w:after="0"/>
                              <w:rPr>
                                <w:sz w:val="42"/>
                                <w:szCs w:val="42"/>
                              </w:rPr>
                            </w:pPr>
                            <w:bookmarkStart w:id="462" w:name="bookmark459"/>
                            <w:r>
                              <w:rPr>
                                <w:sz w:val="42"/>
                                <w:szCs w:val="42"/>
                              </w:rPr>
                              <w:t>nosO</w:t>
                            </w:r>
                            <w:bookmarkEnd w:id="462"/>
                          </w:p>
                        </w:txbxContent>
                      </wps:txbx>
                      <wps:bodyPr lIns="0" tIns="0" rIns="0" bIns="0">
                        <a:spAutoFit/>
                      </wps:bodyPr>
                    </wps:wsp>
                  </a:graphicData>
                </a:graphic>
              </wp:anchor>
            </w:drawing>
          </mc:Choice>
          <mc:Fallback>
            <w:pict>
              <v:shape id="_x0000_s1485" type="#_x0000_t202" style="position:absolute;margin-left:298.pt;margin-top:9.0500000000000007pt;width:50.649999999999999pt;height:26.149999999999999pt;z-index:-125828917;mso-wrap-distance-left:60.850000000000001pt;mso-wrap-distance-top:3.8500000000000001pt;mso-wrap-distance-right:9.pt;mso-wrap-distance-bottom:6.pt;mso-position-horizontal-relative:page;mso-position-vertical-relative:margin"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rPr>
                          <w:sz w:val="42"/>
                          <w:szCs w:val="42"/>
                        </w:rPr>
                      </w:pPr>
                      <w:bookmarkStart w:id="459" w:name="bookmark459"/>
                      <w:r>
                        <w:rPr>
                          <w:color w:val="000000"/>
                          <w:spacing w:val="0"/>
                          <w:w w:val="100"/>
                          <w:position w:val="0"/>
                          <w:sz w:val="42"/>
                          <w:szCs w:val="42"/>
                          <w:shd w:val="clear" w:color="auto" w:fill="auto"/>
                          <w:lang w:val="cs-CZ" w:eastAsia="cs-CZ" w:bidi="cs-CZ"/>
                        </w:rPr>
                        <w:t>nosO</w:t>
                      </w:r>
                      <w:bookmarkEnd w:id="459"/>
                    </w:p>
                  </w:txbxContent>
                </v:textbox>
                <w10:wrap type="topAndBottom" anchorx="page" anchory="margin"/>
              </v:shape>
            </w:pict>
          </mc:Fallback>
        </mc:AlternateContent>
      </w:r>
      <w:r>
        <w:t>ne v nejširší veřejnosti, nýbrž v tak zvaných zasvěce</w:t>
      </w:r>
      <w:r>
        <w:softHyphen/>
        <w:t>ných kruzích: statistika ukázala, že škody touto ne</w:t>
      </w:r>
      <w:r>
        <w:softHyphen/>
        <w:t>mocí způsobené jdou do miliard peněz — v nejlepším případě — a že nemoc usmrcuje na této zeměkouli každou čtvrt hodinu jednoho člověka, jenž mohl</w:t>
      </w:r>
      <w:r>
        <w:t xml:space="preserve"> žít ještě dlouho, ve většině případů dokonce velmi dlou</w:t>
      </w:r>
      <w:r>
        <w:softHyphen/>
        <w:t>ho. Každého dne umírá na novou nemoc skorém sto lidí, to jest na 3000 do měsíce, rovno 36.000 lidí ročně. Počet těch, kteří ujdou letálnímu průběhu choroby, je okrouhle desítinásobný (to je kolem 360</w:t>
      </w:r>
      <w:r>
        <w:t>.000), počet ztracených pracovních hodin jde do desítek milionů!</w:t>
      </w:r>
    </w:p>
    <w:p w:rsidR="00500724" w:rsidRDefault="00F30FB8">
      <w:pPr>
        <w:pStyle w:val="Zkladntext20"/>
        <w:shd w:val="clear" w:color="auto" w:fill="auto"/>
        <w:spacing w:line="202" w:lineRule="auto"/>
        <w:ind w:firstLine="260"/>
      </w:pPr>
      <w:r>
        <w:t>Tak vypadá bilance spojených automobilových neštěstí: auto versus chodec, chodec versus auto, auto proti autu.</w:t>
      </w:r>
    </w:p>
    <w:p w:rsidR="00500724" w:rsidRDefault="00F30FB8">
      <w:pPr>
        <w:pStyle w:val="Zkladntext20"/>
        <w:shd w:val="clear" w:color="auto" w:fill="auto"/>
        <w:spacing w:after="80" w:line="202" w:lineRule="auto"/>
        <w:ind w:firstLine="0"/>
        <w:jc w:val="center"/>
      </w:pPr>
      <w:r>
        <w:t>•</w:t>
      </w:r>
    </w:p>
    <w:p w:rsidR="00500724" w:rsidRDefault="00F30FB8">
      <w:pPr>
        <w:pStyle w:val="Zkladntext20"/>
        <w:shd w:val="clear" w:color="auto" w:fill="auto"/>
        <w:spacing w:line="202" w:lineRule="auto"/>
        <w:ind w:firstLine="260"/>
      </w:pPr>
      <w:r>
        <w:t xml:space="preserve">Axiomatické dogma, že »všechno už tady bylo«, platí ovšem i na boj proti </w:t>
      </w:r>
      <w:r>
        <w:t>»bacteriu benziu«, proti automobilové smrti, proti smrti, jež má místo kosy v ruce akcelerátor pod chodidlem: kampaň, jež se už léta vede proti zločincům a darebákům za volantem (a jejich tak říkajíc plnohodnotným protějškům na podešvích!!!), připomíná živ</w:t>
      </w:r>
      <w:r>
        <w:t>ě velká někdejší tažení proti alkoholismu a proti tuberkulose.</w:t>
      </w:r>
    </w:p>
    <w:p w:rsidR="00500724" w:rsidRDefault="00F30FB8">
      <w:pPr>
        <w:pStyle w:val="Zkladntext20"/>
        <w:shd w:val="clear" w:color="auto" w:fill="auto"/>
        <w:spacing w:line="202" w:lineRule="auto"/>
        <w:ind w:firstLine="260"/>
      </w:pPr>
      <w:r>
        <w:t>Liší se od nich — jako všechny nové obdoby dří</w:t>
      </w:r>
      <w:r>
        <w:softHyphen/>
        <w:t>vějšího dění — rychlostí, průbojností a konciliant- ností. Kampaně proti smrti pod koly auta vycházejí jaksi podvědomě z názoru, že opravdový dare</w:t>
      </w:r>
      <w:r>
        <w:t>bák nebo hazardér (ať už pěší nebo motorisovaný) nespadá pod péči propagandy dobré vůle a že starost o něho je smutným postupným údělem strážníka, soudce a do</w:t>
      </w:r>
      <w:r>
        <w:softHyphen/>
        <w:t>zorce vězňů (dokud nepřijdeme na to, že druhým trestem pro opilce za volantem může být jediné pro</w:t>
      </w:r>
      <w:r>
        <w:t>vaz). Kampaně se obracejí na průměrného člově</w:t>
      </w:r>
      <w:r>
        <w:softHyphen/>
        <w:t>ka, to jest na směs dobrého předsevzetí a za- pomnětlivosti.</w:t>
      </w:r>
    </w:p>
    <w:p w:rsidR="00500724" w:rsidRDefault="00F30FB8">
      <w:pPr>
        <w:pStyle w:val="Zkladntext20"/>
        <w:shd w:val="clear" w:color="auto" w:fill="auto"/>
        <w:spacing w:after="120" w:line="202" w:lineRule="auto"/>
        <w:ind w:firstLine="260"/>
      </w:pPr>
      <w:r>
        <w:t>Jak vypadá tisková stránka boje proti zbytečné</w:t>
      </w:r>
      <w:r>
        <w:softHyphen/>
        <w:t>mu umírání, ukazuje částečně výstava, kterou uspo</w:t>
      </w:r>
      <w:r>
        <w:softHyphen/>
        <w:t>řádal Autoklub v Praze. (Poslední události po</w:t>
      </w:r>
      <w:r>
        <w:softHyphen/>
        <w:t>stihly</w:t>
      </w:r>
      <w:r>
        <w:t xml:space="preserve"> přípravy k tomuto výsostné dobrému podniku, takže ne všechno, o čem zde bude řeč, mohlo být vy</w:t>
      </w:r>
      <w:r>
        <w:softHyphen/>
        <w:t>staveno. I tak je materiál ceny, jež by si zasloužila trvalého umístění na frekventovaném místě, jen na</w:t>
      </w:r>
      <w:r>
        <w:softHyphen/>
        <w:t>mátkou: na nádražích?).</w:t>
      </w:r>
    </w:p>
    <w:p w:rsidR="00500724" w:rsidRDefault="00F30FB8">
      <w:pPr>
        <w:pStyle w:val="Zkladntext20"/>
        <w:shd w:val="clear" w:color="auto" w:fill="auto"/>
        <w:spacing w:after="80" w:line="202" w:lineRule="auto"/>
        <w:ind w:firstLine="0"/>
        <w:jc w:val="center"/>
      </w:pPr>
      <w:r>
        <w:t>Citem na bezcitnost</w:t>
      </w:r>
    </w:p>
    <w:p w:rsidR="00500724" w:rsidRDefault="00F30FB8">
      <w:pPr>
        <w:pStyle w:val="Zkladntext20"/>
        <w:shd w:val="clear" w:color="auto" w:fill="auto"/>
        <w:ind w:firstLine="260"/>
      </w:pPr>
      <w:r>
        <w:t xml:space="preserve">Vykřičníkem </w:t>
      </w:r>
      <w:r>
        <w:t>a jeho obměnami (Zakazuje se! Tresce se! Přísně zakázáno!) operují na celém světě už jen tabulky odsouzené k nepovšimnutí, ať už stojí podle železničního náspu, hlásajíce, že tato cesta není cesta, nebo že »Kouření tabáku poblíže . . . .«. (Nic ve zlém: na</w:t>
      </w:r>
      <w:r>
        <w:t>še dráhy nejsou zaostalé, viz velmi inteli</w:t>
      </w:r>
      <w:r>
        <w:softHyphen/>
        <w:t>gentní texty o měsíci čistoty.)</w:t>
      </w:r>
    </w:p>
    <w:p w:rsidR="00500724" w:rsidRDefault="00F30FB8">
      <w:pPr>
        <w:pStyle w:val="Zkladntext20"/>
        <w:shd w:val="clear" w:color="auto" w:fill="auto"/>
        <w:spacing w:line="202" w:lineRule="auto"/>
        <w:ind w:firstLine="260"/>
      </w:pPr>
      <w:r>
        <w:t xml:space="preserve">Pražská dopravní policie, representovaná skvělým plukovníkem S t a n k o a znamenitým úředníkem v. r. Wellnerem, připojila se četnými kursy a vydatnou pomocí při budování výstavy v </w:t>
      </w:r>
      <w:r>
        <w:t>Autoklubu plně k úřa</w:t>
      </w:r>
      <w:r>
        <w:softHyphen/>
        <w:t>dům, které vědí, že doba misionářství láteřícího a hří</w:t>
      </w:r>
      <w:r>
        <w:softHyphen/>
        <w:t>majícího minula. Jdou na bezcitnost citem — a proto většina plakátů, apelujících na svědomí lidí za vo</w:t>
      </w:r>
      <w:r>
        <w:softHyphen/>
        <w:t>lantem, ukazuje raněnéděti. Iv Praze jsme viděli na nárožích obraz strážníka,</w:t>
      </w:r>
      <w:r>
        <w:t xml:space="preserve"> jenž nese v náručí bez</w:t>
      </w:r>
      <w:r>
        <w:softHyphen/>
        <w:t>vědomé dítě. Pamatujete se?</w:t>
      </w:r>
    </w:p>
    <w:p w:rsidR="00500724" w:rsidRDefault="00F30FB8">
      <w:pPr>
        <w:pStyle w:val="Zkladntext20"/>
        <w:shd w:val="clear" w:color="auto" w:fill="auto"/>
        <w:spacing w:after="120" w:line="202" w:lineRule="auto"/>
        <w:ind w:firstLine="260"/>
      </w:pPr>
      <w:r>
        <w:t>Kodaňská policie se vrátila k tomuto motivu a při</w:t>
      </w:r>
      <w:r>
        <w:softHyphen/>
        <w:t>pojila text, jenž upoutá rázem i dalšího odpovědného činitele: totiž rodiče. Dánský strážník na obraze v životní velikosti drží v náručí bezvědomé, raněné</w:t>
      </w:r>
      <w:r>
        <w:t xml:space="preserve"> dítě. V pozadí je vidět ujíždějící auto. Nade vším obrovský nápis:</w:t>
      </w:r>
    </w:p>
    <w:p w:rsidR="00500724" w:rsidRDefault="00F30FB8">
      <w:pPr>
        <w:pStyle w:val="Zkladntext20"/>
        <w:shd w:val="clear" w:color="auto" w:fill="auto"/>
        <w:spacing w:after="60" w:line="202" w:lineRule="auto"/>
        <w:ind w:firstLine="0"/>
        <w:jc w:val="center"/>
      </w:pPr>
      <w:r>
        <w:t xml:space="preserve">JE </w:t>
      </w:r>
      <w:r>
        <w:rPr>
          <w:lang w:val="en-US" w:eastAsia="en-US" w:bidi="en-US"/>
        </w:rPr>
        <w:t xml:space="preserve">TO VASE </w:t>
      </w:r>
      <w:r>
        <w:t>DÍTÉ?</w:t>
      </w:r>
    </w:p>
    <w:p w:rsidR="00500724" w:rsidRDefault="00F30FB8">
      <w:pPr>
        <w:pStyle w:val="Zkladntext20"/>
        <w:shd w:val="clear" w:color="auto" w:fill="auto"/>
        <w:spacing w:line="202" w:lineRule="auto"/>
        <w:ind w:firstLine="0"/>
      </w:pPr>
      <w:r>
        <w:t xml:space="preserve">(Podobný motiv mají i plakáty z </w:t>
      </w:r>
      <w:r>
        <w:rPr>
          <w:lang w:val="en-US" w:eastAsia="en-US" w:bidi="en-US"/>
        </w:rPr>
        <w:t xml:space="preserve">Milwaukee, </w:t>
      </w:r>
      <w:r>
        <w:t xml:space="preserve">USA; text tam zní: »Je to váš hošík? </w:t>
      </w:r>
      <w:r>
        <w:rPr>
          <w:lang w:val="en-US" w:eastAsia="en-US" w:bidi="en-US"/>
        </w:rPr>
        <w:t xml:space="preserve">Stop this slaughter </w:t>
      </w:r>
      <w:r>
        <w:t xml:space="preserve">—. zadržte jeho vraha; při čemž </w:t>
      </w:r>
      <w:r>
        <w:rPr>
          <w:lang w:val="en-US" w:eastAsia="en-US" w:bidi="en-US"/>
        </w:rPr>
        <w:t xml:space="preserve">slaughter, </w:t>
      </w:r>
      <w:r>
        <w:t xml:space="preserve">německý Schláchter, je něco </w:t>
      </w:r>
      <w:r>
        <w:t>mezi katanem, zabijákem a řez</w:t>
      </w:r>
      <w:r>
        <w:softHyphen/>
        <w:t>níkem ve zlém smyslu slova.)</w:t>
      </w:r>
    </w:p>
    <w:p w:rsidR="00500724" w:rsidRDefault="00F30FB8">
      <w:pPr>
        <w:pStyle w:val="Zkladntext20"/>
        <w:shd w:val="clear" w:color="auto" w:fill="auto"/>
        <w:spacing w:line="202" w:lineRule="auto"/>
        <w:ind w:firstLine="280"/>
      </w:pPr>
      <w:r>
        <w:t>»Je to vaše dítě?« se ptá dánský strážník, a i bez</w:t>
      </w:r>
      <w:r>
        <w:softHyphen/>
        <w:t xml:space="preserve">dětný pochopí, že je to otázka víc než jen identifikační. Je v tom kus výslechu obviněného. Obvinění zní: proč jste nenaučil své dítě opatrnosti? </w:t>
      </w:r>
      <w:r>
        <w:t>Proč jste opominul vštípiti dítěti tentýž zdravý strach před jízdní drahou, jak jste ho odnaučil sahat po břitvě, po noži, po rozpáleném sporáku?</w:t>
      </w:r>
    </w:p>
    <w:p w:rsidR="00500724" w:rsidRDefault="00F30FB8">
      <w:pPr>
        <w:pStyle w:val="Zkladntext20"/>
        <w:shd w:val="clear" w:color="auto" w:fill="auto"/>
        <w:spacing w:line="202" w:lineRule="auto"/>
        <w:ind w:firstLine="280"/>
      </w:pPr>
      <w:r>
        <w:t>Odvyknout pobyt v jízdní dráze lze dítěti už ve věku neuvěřitelně raném. Pisatel těchto vět viděl na vlastní o</w:t>
      </w:r>
      <w:r>
        <w:t>či hošíka věku půl druha roku, kterak při bě</w:t>
      </w:r>
      <w:r>
        <w:softHyphen/>
        <w:t>hu za míčem, jenž mu vypadl z ruky, zůstal na okraji chodníku stát, jako by byl narazil na skleněnou zeď. Na udivenou otázku, jak si »tak malinký, mladý mo- zek« zapamatuje, že nesmí sám s chodníku, odpově</w:t>
      </w:r>
      <w:r>
        <w:softHyphen/>
        <w:t xml:space="preserve">děla </w:t>
      </w:r>
      <w:r>
        <w:t>jeho mladá matka (mimochodem: matka po všech stránkách ideální a inteligentní) pozoruhodnou větou: »V takových věcech nelze čekat, až si to za</w:t>
      </w:r>
      <w:r>
        <w:softHyphen/>
        <w:t>pamatuje mozek. Zatím si to pamatuje zadeček.«</w:t>
      </w:r>
    </w:p>
    <w:p w:rsidR="00500724" w:rsidRDefault="00F30FB8">
      <w:pPr>
        <w:pStyle w:val="Zkladntext20"/>
        <w:shd w:val="clear" w:color="auto" w:fill="auto"/>
        <w:spacing w:line="202" w:lineRule="auto"/>
        <w:ind w:firstLine="280"/>
      </w:pPr>
      <w:r>
        <w:t>Léta, jež zatím uplynula, prokázala, že dítě ne</w:t>
      </w:r>
      <w:r>
        <w:softHyphen/>
        <w:t xml:space="preserve">utrpělo nezbytným </w:t>
      </w:r>
      <w:r>
        <w:t>»připamatováním« zákazu nižád</w:t>
      </w:r>
      <w:r>
        <w:softHyphen/>
        <w:t xml:space="preserve">ného duševního traumatu. Nebojí se ulice a od chvíle, kdy absolutní zákaz vozovky byl změněn v zákaz pod-, míněný, lépe řečeno v povolení podmíněné pořádným rozhlédnutím na obě strany, je případ vyřízen: dobře a prospěšně pro </w:t>
      </w:r>
      <w:r>
        <w:t>obě strany (pro motoristy i pro dítě a osudy s ním spojené).</w:t>
      </w:r>
    </w:p>
    <w:p w:rsidR="00500724" w:rsidRDefault="00F30FB8">
      <w:pPr>
        <w:pStyle w:val="Zkladntext20"/>
        <w:shd w:val="clear" w:color="auto" w:fill="auto"/>
        <w:spacing w:line="202" w:lineRule="auto"/>
        <w:ind w:firstLine="280"/>
      </w:pPr>
      <w:r>
        <w:t>Snad byl tento konkrétní případ snadnější pro indi</w:t>
      </w:r>
      <w:r>
        <w:softHyphen/>
        <w:t>viduální vlastnosti vychovávaného i vychovávající (tak jaksi podle Goethova: »Děti už vychované by na svět přicházely — kdyby rodiče sami dost v</w:t>
      </w:r>
      <w:r>
        <w:t>ychování měli...« — prosím, to není překlad Otokara Fische</w:t>
      </w:r>
      <w:r>
        <w:softHyphen/>
        <w:t>ra!), ale jistě musí každý otec a zejména každá mat</w:t>
      </w:r>
      <w:r>
        <w:softHyphen/>
        <w:t>ka dokázat i na tomto poli výchovy opravdovou lásku k dítěti. (Mnoho zde koná a ještě víc, zejména na ven</w:t>
      </w:r>
      <w:r>
        <w:softHyphen/>
        <w:t>kově, musí vykonat škola. Pražskými »ho</w:t>
      </w:r>
      <w:r>
        <w:t>dinkami bezpečnosti«, kde dětem vysvětloval dopravu »do- opravděnský« strážník, prošlo už mnoho desítek tisíc dětí a středoškolských studentek i studentů.)</w:t>
      </w:r>
    </w:p>
    <w:p w:rsidR="00500724" w:rsidRDefault="00F30FB8">
      <w:pPr>
        <w:pStyle w:val="Zkladntext20"/>
        <w:shd w:val="clear" w:color="auto" w:fill="auto"/>
        <w:spacing w:after="60" w:line="202" w:lineRule="auto"/>
        <w:ind w:firstLine="280"/>
      </w:pPr>
      <w:r>
        <w:t>Americká judikatura se ustálila skoro absolutně na odsuzování řidičů v případech, kde utrpělo úraz d</w:t>
      </w:r>
      <w:r>
        <w:t>ítě. Zajisté to není správné. Myšlenkový postup, jímž sou</w:t>
      </w:r>
      <w:r>
        <w:softHyphen/>
        <w:t>dy dospěly k svému názoru, je vyjádřen plakátem: »Šetřte života dětí. Zapomene-li dítě — musíš ty myslit za ně!«</w:t>
      </w:r>
    </w:p>
    <w:p w:rsidR="00500724" w:rsidRDefault="00F30FB8">
      <w:pPr>
        <w:pStyle w:val="Zkladntext20"/>
        <w:shd w:val="clear" w:color="auto" w:fill="auto"/>
        <w:spacing w:after="60" w:line="202" w:lineRule="auto"/>
        <w:ind w:firstLine="0"/>
        <w:jc w:val="center"/>
      </w:pPr>
      <w:r>
        <w:t>Ironií na dospělé</w:t>
      </w:r>
    </w:p>
    <w:p w:rsidR="00500724" w:rsidRDefault="00F30FB8">
      <w:pPr>
        <w:pStyle w:val="Zkladntext20"/>
        <w:shd w:val="clear" w:color="auto" w:fill="auto"/>
        <w:spacing w:line="204" w:lineRule="auto"/>
        <w:ind w:firstLine="280"/>
      </w:pPr>
      <w:r>
        <w:t xml:space="preserve">Méně se ovšem úřady mazlí s dospělými, pokud jde o dospělé, a </w:t>
      </w:r>
      <w:r>
        <w:t>zejména, kde jde o rovnocenné partnery, kteří se stali rovnocennými — protivníky; čili: kde jde o bezpečnost automobilistů, ohroženou automo</w:t>
      </w:r>
      <w:r>
        <w:softHyphen/>
        <w:t>bilisty.</w:t>
      </w:r>
    </w:p>
    <w:p w:rsidR="00500724" w:rsidRDefault="00F30FB8">
      <w:pPr>
        <w:pStyle w:val="Zkladntext20"/>
        <w:shd w:val="clear" w:color="auto" w:fill="auto"/>
        <w:spacing w:after="60" w:line="204" w:lineRule="auto"/>
        <w:ind w:firstLine="280"/>
      </w:pPr>
      <w:r>
        <w:t>Obrázek: Ze zatáčky se řítí vůz a už najíždí na předchozí vůz, jenž se při předjíždění dostal do tak zvané</w:t>
      </w:r>
      <w:r>
        <w:t>ho protisměru. (Filologové: Pomóócí). »Chudáč- ku, neviděls před sebe, viď?« ptá se soucitně text a</w:t>
      </w:r>
      <w:r>
        <w:br w:type="page"/>
      </w:r>
    </w:p>
    <w:p w:rsidR="00500724" w:rsidRDefault="00F30FB8">
      <w:pPr>
        <w:pStyle w:val="Zkladntext20"/>
        <w:shd w:val="clear" w:color="auto" w:fill="auto"/>
        <w:spacing w:after="40" w:line="214" w:lineRule="auto"/>
        <w:ind w:firstLine="0"/>
      </w:pPr>
      <w:r>
        <w:t>druhá věta sveřepě odpovídá: »Nevidíš-li dopředu, ne</w:t>
      </w:r>
      <w:r>
        <w:softHyphen/>
        <w:t>cpi se tam!«</w:t>
      </w:r>
    </w:p>
    <w:p w:rsidR="00500724" w:rsidRDefault="00F30FB8">
      <w:pPr>
        <w:pStyle w:val="Zkladntext20"/>
        <w:shd w:val="clear" w:color="auto" w:fill="auto"/>
        <w:spacing w:after="80" w:line="202" w:lineRule="auto"/>
        <w:ind w:firstLine="260"/>
      </w:pPr>
      <w:r>
        <w:t>Obrázek: Soudce nad dvěma obžalovanými. Text: »Jezdi opatrně, uspoříš honit alibi.«</w:t>
      </w:r>
    </w:p>
    <w:p w:rsidR="00500724" w:rsidRDefault="00F30FB8">
      <w:pPr>
        <w:pStyle w:val="Zkladntext20"/>
        <w:shd w:val="clear" w:color="auto" w:fill="auto"/>
        <w:spacing w:after="120" w:line="202" w:lineRule="auto"/>
        <w:ind w:firstLine="260"/>
      </w:pPr>
      <w:r>
        <w:t>Dánsk</w:t>
      </w:r>
      <w:r>
        <w:t>o si podává různé »postrachy« ulice a silnice sžíravými karikaturami: Drbna, která se nemůže od</w:t>
      </w:r>
      <w:r>
        <w:softHyphen/>
        <w:t>loučit od sousedky, sestupuje pozpátku do jízdní drá</w:t>
      </w:r>
      <w:r>
        <w:softHyphen/>
        <w:t>hy a strká svůj parádní klobouk rovnou nějakému ko</w:t>
      </w:r>
      <w:r>
        <w:softHyphen/>
        <w:t>níkovi mezi zuby; blahobytný pán, jenž se zubí na slič</w:t>
      </w:r>
      <w:r>
        <w:softHyphen/>
        <w:t>n</w:t>
      </w:r>
      <w:r>
        <w:t>ou dívku, leze rovnou pod tramvaj. Šofér upozorňuje skupinu hejsků, stojících na frekventovaném nároží: »Pánové, tak krásné sochy by měly stát ve špalíru.«</w:t>
      </w:r>
    </w:p>
    <w:p w:rsidR="00500724" w:rsidRDefault="00F30FB8">
      <w:pPr>
        <w:pStyle w:val="Zkladntext20"/>
        <w:shd w:val="clear" w:color="auto" w:fill="auto"/>
        <w:spacing w:after="80"/>
        <w:ind w:firstLine="0"/>
        <w:jc w:val="center"/>
      </w:pPr>
      <w:r>
        <w:t>Údery do srdce</w:t>
      </w:r>
    </w:p>
    <w:p w:rsidR="00500724" w:rsidRDefault="00F30FB8">
      <w:pPr>
        <w:pStyle w:val="Zkladntext20"/>
        <w:shd w:val="clear" w:color="auto" w:fill="auto"/>
        <w:spacing w:after="40"/>
        <w:ind w:firstLine="260"/>
      </w:pPr>
      <w:r>
        <w:t>Propaganda počítá i se zarytými sobci mezi lidmi. Švédové vydali plakát: Záchranná st</w:t>
      </w:r>
      <w:r>
        <w:t>anice jede pro ně</w:t>
      </w:r>
      <w:r>
        <w:softHyphen/>
        <w:t>koho. Text: ^Nebudou musit zítra jet pro tebe?«</w:t>
      </w:r>
    </w:p>
    <w:p w:rsidR="00500724" w:rsidRDefault="00F30FB8">
      <w:pPr>
        <w:pStyle w:val="Zkladntext20"/>
        <w:shd w:val="clear" w:color="auto" w:fill="auto"/>
        <w:spacing w:after="40"/>
        <w:ind w:firstLine="260"/>
      </w:pPr>
      <w:r>
        <w:t>Obrázek: Lékaři s operačními maskami se sklánějí nad stůl. Volant, jejž drží ležerně ruka v elegantní ru</w:t>
      </w:r>
      <w:r>
        <w:softHyphen/>
        <w:t>kavici a pevně — ruka kostlivce. (»Nezapaluj si za jízdy!«)</w:t>
      </w:r>
    </w:p>
    <w:p w:rsidR="00500724" w:rsidRDefault="00F30FB8">
      <w:pPr>
        <w:pStyle w:val="Zkladntext20"/>
        <w:shd w:val="clear" w:color="auto" w:fill="auto"/>
        <w:spacing w:after="40" w:line="197" w:lineRule="auto"/>
        <w:ind w:firstLine="260"/>
      </w:pPr>
      <w:r>
        <w:t xml:space="preserve">Americký plakát se </w:t>
      </w:r>
      <w:r>
        <w:t>sugestivním obrazem hlásá: »Dálnicový veřejný nepřítel číslo 1: lajnař čili prova- zolezec.« Line je čára, jež rozděluje autostrádu ve směry.</w:t>
      </w:r>
    </w:p>
    <w:p w:rsidR="00500724" w:rsidRDefault="00F30FB8">
      <w:pPr>
        <w:pStyle w:val="Zkladntext20"/>
        <w:shd w:val="clear" w:color="auto" w:fill="auto"/>
        <w:spacing w:after="380"/>
        <w:ind w:firstLine="260"/>
      </w:pPr>
      <w:r>
        <w:t xml:space="preserve">»Think, </w:t>
      </w:r>
      <w:r>
        <w:rPr>
          <w:lang w:val="en-US" w:eastAsia="en-US" w:bidi="en-US"/>
        </w:rPr>
        <w:t xml:space="preserve">before you </w:t>
      </w:r>
      <w:r>
        <w:t>drink!« (rozmysli si, než se na</w:t>
      </w:r>
      <w:r>
        <w:softHyphen/>
        <w:t>piješ) varuje jeden plakát, a »víš určitě, že nikam ne- pojedeš</w:t>
      </w:r>
      <w:r>
        <w:t>??!« ptá se smrt muže v řidičském obleku, mu</w:t>
      </w:r>
      <w:r>
        <w:softHyphen/>
        <w:t>že, jenž sahá po sklenici.</w:t>
      </w:r>
    </w:p>
    <w:p w:rsidR="00500724" w:rsidRDefault="00F30FB8">
      <w:pPr>
        <w:pStyle w:val="Zkladntext20"/>
        <w:shd w:val="clear" w:color="auto" w:fill="auto"/>
        <w:spacing w:after="280"/>
        <w:ind w:firstLine="260"/>
      </w:pPr>
      <w:r>
        <w:t>V Přítomnosti byla jednou nadhozena otázka, hla</w:t>
      </w:r>
      <w:r>
        <w:softHyphen/>
        <w:t>volam, zda motorisovaná smrt čekala, až lidé objevem asepse, narkosy a imunisačních látek sníží úmrtnost v jiných úsecích. Zdá se, že dá</w:t>
      </w:r>
      <w:r>
        <w:t xml:space="preserve"> hodně práce a starostí, aby motomechanisovaná smrt nepřekonala—</w:t>
      </w:r>
      <w:r>
        <w:rPr>
          <w:sz w:val="20"/>
          <w:szCs w:val="20"/>
        </w:rPr>
        <w:t>s</w:t>
      </w:r>
      <w:r>
        <w:rPr>
          <w:sz w:val="20"/>
          <w:szCs w:val="20"/>
          <w:u w:val="single"/>
        </w:rPr>
        <w:t>míme</w:t>
      </w:r>
      <w:r>
        <w:rPr>
          <w:sz w:val="20"/>
          <w:szCs w:val="20"/>
        </w:rPr>
        <w:t xml:space="preserve">-li </w:t>
      </w:r>
      <w:r>
        <w:t>užít toho obrazu z Apokalypsy — staromódní smrt hippomobilní.</w:t>
      </w:r>
    </w:p>
    <w:p w:rsidR="00500724" w:rsidRDefault="00F30FB8">
      <w:pPr>
        <w:pStyle w:val="Nadpis90"/>
        <w:keepNext/>
        <w:keepLines/>
        <w:pBdr>
          <w:bottom w:val="single" w:sz="4" w:space="0" w:color="auto"/>
        </w:pBdr>
        <w:shd w:val="clear" w:color="auto" w:fill="auto"/>
        <w:spacing w:after="280"/>
        <w:rPr>
          <w:sz w:val="42"/>
          <w:szCs w:val="42"/>
        </w:rPr>
      </w:pPr>
      <w:bookmarkStart w:id="463" w:name="bookmark462"/>
      <w:r>
        <w:rPr>
          <w:rFonts w:ascii="Times New Roman" w:eastAsia="Times New Roman" w:hAnsi="Times New Roman" w:cs="Times New Roman"/>
          <w:sz w:val="42"/>
          <w:szCs w:val="42"/>
        </w:rPr>
        <w:t>dopisy</w:t>
      </w:r>
      <w:bookmarkEnd w:id="463"/>
    </w:p>
    <w:p w:rsidR="00500724" w:rsidRDefault="00F30FB8">
      <w:pPr>
        <w:pStyle w:val="Zkladntext20"/>
        <w:shd w:val="clear" w:color="auto" w:fill="auto"/>
        <w:spacing w:after="100" w:line="240" w:lineRule="auto"/>
        <w:ind w:firstLine="0"/>
        <w:jc w:val="center"/>
        <w:rPr>
          <w:sz w:val="20"/>
          <w:szCs w:val="20"/>
        </w:rPr>
      </w:pPr>
      <w:r>
        <w:rPr>
          <w:b/>
          <w:bCs/>
          <w:sz w:val="20"/>
          <w:szCs w:val="20"/>
        </w:rPr>
        <w:t>O svatováclavské tradici</w:t>
      </w:r>
    </w:p>
    <w:p w:rsidR="00500724" w:rsidRDefault="00F30FB8">
      <w:pPr>
        <w:pStyle w:val="Zkladntext100"/>
        <w:shd w:val="clear" w:color="auto" w:fill="auto"/>
        <w:spacing w:after="80" w:line="170" w:lineRule="auto"/>
        <w:ind w:firstLine="0"/>
        <w:jc w:val="center"/>
      </w:pPr>
      <w:r>
        <w:t>Vážená redakce!</w:t>
      </w:r>
    </w:p>
    <w:p w:rsidR="00500724" w:rsidRDefault="00F30FB8">
      <w:pPr>
        <w:pStyle w:val="Zkladntext100"/>
        <w:shd w:val="clear" w:color="auto" w:fill="auto"/>
        <w:spacing w:after="40" w:line="170" w:lineRule="auto"/>
        <w:ind w:firstLine="200"/>
      </w:pPr>
      <w:r>
        <w:t xml:space="preserve">V poslední době se počala u nás věnovat zvýšená pozornost otázce, co </w:t>
      </w:r>
      <w:r>
        <w:t>vlastně znamená pro nás svatováclavská tradice. Následkem státoprávních změn, k nimž u nás nedávno došlo, začali si také sami Němci všímat našich národních tradic, pod</w:t>
      </w:r>
      <w:r>
        <w:softHyphen/>
        <w:t>trhujíce a doporučujíce, kterou tradici si máme postavit na oltář dějinné posily. Máme d</w:t>
      </w:r>
      <w:r>
        <w:t>vě významné tradice, které se staly posilujicím zdrojem národního uvědomení: tradici svato</w:t>
      </w:r>
      <w:r>
        <w:softHyphen/>
        <w:t>václavskou a tradici husitskou. Čeští vykladači našich dějin z převážné části jednomyslně prohlašují, že svatováclavská tradice byla nezbytným předpokladem husitství</w:t>
      </w:r>
      <w:r>
        <w:t>, že tedy obě tradice lze a třeba také uvést v soulad a jednotu. Jiného ná</w:t>
      </w:r>
      <w:r>
        <w:softHyphen/>
        <w:t>zoru jsou Němci. Ti nám doporučují výhradně svatováclavskou tradici a zavrhují tradici husitskou. V »Prager Zeitungsdienst« z 2. dubna se vytýká, že jsme se snažili vytvořit ze svat</w:t>
      </w:r>
      <w:r>
        <w:t>ováclav</w:t>
      </w:r>
      <w:r>
        <w:softHyphen/>
        <w:t>ské a husitské tradice konglomerát, což prý musilo selhat pro vnitřní rozpor obou tradic. Němci totiž spatřují v obou tradi</w:t>
      </w:r>
      <w:r>
        <w:softHyphen/>
        <w:t>cích zásadní protiklad v národně-politickém smyslu: svato</w:t>
      </w:r>
      <w:r>
        <w:softHyphen/>
        <w:t>václavská tradice jim je ztělesněním myšlenky zdárného za</w:t>
      </w:r>
      <w:r>
        <w:softHyphen/>
        <w:t xml:space="preserve">členění </w:t>
      </w:r>
      <w:r>
        <w:t>českého národa do německého prostoru, zatím co hu</w:t>
      </w:r>
      <w:r>
        <w:softHyphen/>
        <w:t>sitská tradice představuje podle Němců ideu stejně rušivé jako sebevražedné nenávisti vůči Německu. Není pochyby o tom, že jediné nedostatečné osvětlení celé svatováclavské tra</w:t>
      </w:r>
      <w:r>
        <w:softHyphen/>
        <w:t>dice může vést k tak rozdílný</w:t>
      </w:r>
      <w:r>
        <w:t>m stanoviskům.</w:t>
      </w:r>
    </w:p>
    <w:p w:rsidR="00500724" w:rsidRDefault="00F30FB8">
      <w:pPr>
        <w:pStyle w:val="Zkladntext100"/>
        <w:shd w:val="clear" w:color="auto" w:fill="auto"/>
        <w:spacing w:line="170" w:lineRule="auto"/>
        <w:ind w:firstLine="200"/>
      </w:pPr>
      <w:r>
        <w:t>Na české straně byl učiněn pokus osvětlit podstatu svato</w:t>
      </w:r>
      <w:r>
        <w:softHyphen/>
        <w:t>václavské tradice v »Přítomnosti« (č. 11). Autor tohoto člán</w:t>
      </w:r>
      <w:r>
        <w:softHyphen/>
        <w:t xml:space="preserve">ku, B. Axman, duchovní české pravoslavné církve, nerozebral tento problém </w:t>
      </w:r>
      <w:r>
        <w:rPr>
          <w:b/>
          <w:bCs/>
          <w:sz w:val="19"/>
          <w:szCs w:val="19"/>
        </w:rPr>
        <w:t xml:space="preserve">v </w:t>
      </w:r>
      <w:r>
        <w:t>celé šíři a podstatě. Kresli nám sv. Václava je</w:t>
      </w:r>
      <w:r>
        <w:t>n po stránce náboženské jako »apoštola, který šíří víru Kri</w:t>
      </w:r>
      <w:r>
        <w:softHyphen/>
        <w:t xml:space="preserve">stovu a který_ chce dát svému lidu pokud možno nejvíce </w:t>
      </w:r>
      <w:r>
        <w:rPr>
          <w:b/>
          <w:bCs/>
          <w:sz w:val="19"/>
          <w:szCs w:val="19"/>
        </w:rPr>
        <w:t xml:space="preserve">z </w:t>
      </w:r>
      <w:r>
        <w:t>bož</w:t>
      </w:r>
      <w:r>
        <w:softHyphen/>
        <w:t>ského jeho učení jen za tím účelem, aby více lidí spolu s ním velebilo Boha«. »Nežádal prý však slávy a nehledal zisku pro sebe anebo k</w:t>
      </w:r>
      <w:r>
        <w:t>onečně politický prospěch národa, nýbrž slávu Boží.« Autor sice podotýká, že křesťanská duše Václavova mohla zvládnout i problémy, před kterými tehdy český národ stál: jak upravit poměr k mocným souse</w:t>
      </w:r>
      <w:r>
        <w:softHyphen/>
        <w:t>dům v souvislosti s kulturní expansí západu, dokončit p</w:t>
      </w:r>
      <w:r>
        <w:t>ozvolné překřesťanění národa a sjednotit a upevnit vnitřní moc kní</w:t>
      </w:r>
      <w:r>
        <w:softHyphen/>
        <w:t>žecí. Ale nadto nad všechno horoval o naplnění vyšších kře</w:t>
      </w:r>
      <w:r>
        <w:softHyphen/>
        <w:t>sťanských ideálů. Takový výklad naprosto nestačí. Problém svatováclavské tradice je mnohem hlubší. Není sporu o tom, že také Němci</w:t>
      </w:r>
      <w:r>
        <w:t>, kteří nám doporučují svatováclavskou tradicí proti tradici Husově, jednostranně přihlížejí pouze k určitě stránce širokého problému. V dalším budu přihlížet k pracím Pekařovým, hlavně jeho »Svatému Václavu«.</w:t>
      </w:r>
    </w:p>
    <w:p w:rsidR="00500724" w:rsidRDefault="00F30FB8">
      <w:pPr>
        <w:pStyle w:val="Zkladntext100"/>
        <w:shd w:val="clear" w:color="auto" w:fill="auto"/>
        <w:spacing w:line="173" w:lineRule="auto"/>
        <w:ind w:firstLine="200"/>
      </w:pPr>
      <w:r>
        <w:t>Mluvíme-li o svatováclavské tradici, třeba roz</w:t>
      </w:r>
      <w:r>
        <w:t>lišovat mezi živým Václavem jako »knížetem« českým a »svatým« Václa</w:t>
      </w:r>
      <w:r>
        <w:softHyphen/>
        <w:t>vem, ku kterému jako zástupci a plnomocnému vyslanci kme</w:t>
      </w:r>
      <w:r>
        <w:softHyphen/>
        <w:t>ne českého u trůnu božího se obracely po celá století srdce na</w:t>
      </w:r>
      <w:r>
        <w:softHyphen/>
        <w:t>šich předků, zvláště ve chvílích ohroženého státního a národ</w:t>
      </w:r>
      <w:r>
        <w:softHyphen/>
        <w:t>ního zá</w:t>
      </w:r>
      <w:r>
        <w:t>jmu. Vláda knížete na zemi a vláda světce na nebi ovšem spolu souvisí, neboť bez Václava knížete nebylo by Vác</w:t>
      </w:r>
      <w:r>
        <w:softHyphen/>
        <w:t>lava světce. Avšak posmrtná role Václava světce je nepochyb</w:t>
      </w:r>
      <w:r>
        <w:softHyphen/>
        <w:t>ně v našich dějinách důležitější než krátká vláda knížete. Kdo neporozumí významu a d</w:t>
      </w:r>
      <w:r>
        <w:t>ějinné úloze sv. Václava, neporozumí celým staletím našich dějin, zvláště době husitské. Václav světec je postavou přesahující rámec církevně-náboženský. Jeho kult byl a je posilou a útěchou naší ve dnech radosti i bolesti, avšak je to současně projev náro</w:t>
      </w:r>
      <w:r>
        <w:t>dního kulturního osamostat</w:t>
      </w:r>
      <w:r>
        <w:softHyphen/>
        <w:t>nění.</w:t>
      </w:r>
    </w:p>
    <w:p w:rsidR="00500724" w:rsidRDefault="00F30FB8">
      <w:pPr>
        <w:pStyle w:val="Zkladntext100"/>
        <w:shd w:val="clear" w:color="auto" w:fill="auto"/>
        <w:spacing w:after="60" w:line="170" w:lineRule="auto"/>
        <w:ind w:firstLine="200"/>
      </w:pPr>
      <w:r>
        <w:t>Hlavní zásluha »knížete« Václava je zrovnoprávnění národa českého s národy západní Evropy. Kníže Václav nejvíc přispěl k tomu, že národ český vešel jako rovno</w:t>
      </w:r>
      <w:r>
        <w:softHyphen/>
        <w:t>cenný a plnoprávný člen do společnosti západních národů kul</w:t>
      </w:r>
      <w:r>
        <w:softHyphen/>
      </w:r>
      <w:r>
        <w:t>turních. Před Václavem byli Cechové pověstní právě jen svou silou vojenskou a svou divokou bojovností. Lze najít o nich výroky jako »Čechy zuřivější než šelmy«, nebo »národ, jenž se nad jiné národy za divočejší samou povahou svou pokládá«. Tato surová ener</w:t>
      </w:r>
      <w:r>
        <w:t>gie se vybíjela však více ve vzájemných zá</w:t>
      </w:r>
      <w:r>
        <w:softHyphen/>
        <w:t>pasech a nenávistech vnitřních, nedovedouc pravidlem sjed</w:t>
      </w:r>
      <w:r>
        <w:softHyphen/>
        <w:t>notit svou sílu proti cizině. Podle Josefa Pekaře tento fakt nám vysvětluje, proč stáři Slované přes svou početnost a své schopnosti byli takovou měrou stá</w:t>
      </w:r>
      <w:r>
        <w:t>tně organisování nebo ovlá</w:t>
      </w:r>
      <w:r>
        <w:softHyphen/>
        <w:t>dáni cizinci. (Tato analogie platí také pro dnešní dny.) Záslu</w:t>
      </w:r>
      <w:r>
        <w:softHyphen/>
        <w:t>hou Václavovy křesťanské horlivosti doplnil však český národ svou obávanou sílu vojenskou i výzbrojí duchovní, čímž byl napříště ochráněn nebezpečí, že by v něm němec</w:t>
      </w:r>
      <w:r>
        <w:t>ký soused spatřoval vítanou kořist pro své panství, šířené pod záminkou boje za pravdu křesťanskou. Uvědomíme-li si, že z našich kní</w:t>
      </w:r>
      <w:r>
        <w:softHyphen/>
        <w:t>žat a králů až do 13. století málokdo uměl čisti a psáti, neboť to nebylo pokládáno za nezbytné pro výchovu příštího panov</w:t>
      </w:r>
      <w:r>
        <w:softHyphen/>
      </w:r>
      <w:r>
        <w:t>níka. Kulturní život Čech 10. století stál v mnohém směru výše než v 11. a 12. století. To je patrno také na sv. Václavu.</w:t>
      </w:r>
    </w:p>
    <w:p w:rsidR="00500724" w:rsidRDefault="00F30FB8">
      <w:pPr>
        <w:pStyle w:val="Zkladntext100"/>
        <w:shd w:val="clear" w:color="auto" w:fill="auto"/>
        <w:spacing w:line="173" w:lineRule="auto"/>
        <w:ind w:firstLine="200"/>
      </w:pPr>
      <w:r>
        <w:t xml:space="preserve">Legenda slovanská, mluvíc o Václavovi, připomíná, že Bůh seslal takovou milost na něj, že rozuměl knihám latinským jako biskup nebo </w:t>
      </w:r>
      <w:r>
        <w:t>duchovní a že, když vzal knihy české nebo slovanské, četl v nich bez chyby. Mladý horlivec tím se stal zcela nepodobným kněžici a dědici trůnu, jak jej znala a chtěla mít doba. Jeho okolí si přálo míti v čele kmene a státu ne zbožného učence, nýbrž knížete</w:t>
      </w:r>
      <w:r>
        <w:t xml:space="preserve"> hrozného nepříteli a dávají</w:t>
      </w:r>
      <w:r>
        <w:softHyphen/>
        <w:t>cího přednost společností bujných dvořanů před obcováním s kněžími a před modlitbami v kostelích. Z tohoto konfliktu pravděpodobně vyrostlo krvavé drama 28. září 929. Legendy o sv. Václavu, vypravujíce o činech a zásluhách jeho</w:t>
      </w:r>
      <w:r>
        <w:t xml:space="preserve"> života, mluví o jeho učenosti, jež stojí v popředí, o skutcích křesťan</w:t>
      </w:r>
      <w:r>
        <w:softHyphen/>
        <w:t>ského milosrdenství v starosti o chudé, sirotky a vdovy a o tom, že násilím a lstí nikomu nic neodjal (což býk) lze napsati o málokterém panovníku v dobách, kdy moc byla sama prá</w:t>
      </w:r>
      <w:r>
        <w:softHyphen/>
        <w:t>vem n</w:t>
      </w:r>
      <w:r>
        <w:t>ejvyšším).</w:t>
      </w:r>
    </w:p>
    <w:p w:rsidR="00500724" w:rsidRDefault="00F30FB8">
      <w:pPr>
        <w:pStyle w:val="Zkladntext100"/>
        <w:shd w:val="clear" w:color="auto" w:fill="auto"/>
        <w:spacing w:line="173" w:lineRule="auto"/>
        <w:ind w:firstLine="200"/>
      </w:pPr>
      <w:r>
        <w:t>Je důležité upozornit, že sv. Václava si netřeba představovat jako slepého fanatika myšlen- k y: náboženský zanicenec nepohlcuje v něm úplně knížete sebevědomého národa, ani nevyhýbá se kompromisům, jež diktují okolnosti. Takovým kompromisům a s</w:t>
      </w:r>
      <w:r>
        <w:t>lužbou povin</w:t>
      </w:r>
      <w:r>
        <w:softHyphen/>
        <w:t>nosti státní a knížecí byl podle Pekaře již jeho sňatek. Lze uvést také jině příklady, které svědčí o smíření povinnosti askety i knížete: hrubé roucho žíněné nosil vespod, navenek však oděn byl rouchem královským, družinu svou netoliko nej</w:t>
      </w:r>
      <w:r>
        <w:softHyphen/>
        <w:t>le</w:t>
      </w:r>
      <w:r>
        <w:t>pšími zbraněmi, ale i oděvem tělo vyzdohoval. Je to zřejmě svědectví o skvělou representaci a zdatnost vojenskou.</w:t>
      </w:r>
    </w:p>
    <w:p w:rsidR="00500724" w:rsidRDefault="00F30FB8">
      <w:pPr>
        <w:pStyle w:val="Zkladntext100"/>
        <w:shd w:val="clear" w:color="auto" w:fill="auto"/>
        <w:spacing w:line="173" w:lineRule="auto"/>
        <w:ind w:firstLine="200"/>
        <w:sectPr w:rsidR="00500724">
          <w:footnotePr>
            <w:numFmt w:val="chicago"/>
            <w:numRestart w:val="eachPage"/>
          </w:footnotePr>
          <w:type w:val="continuous"/>
          <w:pgSz w:w="11909" w:h="16834"/>
          <w:pgMar w:top="953" w:right="710" w:bottom="892" w:left="670" w:header="0" w:footer="3" w:gutter="0"/>
          <w:cols w:num="2" w:space="100"/>
          <w:noEndnote/>
          <w:docGrid w:linePitch="360"/>
        </w:sectPr>
      </w:pPr>
      <w:r>
        <w:t xml:space="preserve">Pověst o křesťanské horlivosti a učenosti mladého českého knížete se roznesla brzo do zemí sousedních a nemohla </w:t>
      </w:r>
      <w:r>
        <w:t xml:space="preserve">zůstati bez hlubokého účinu na představu o povaze a významu 3eho kmene a jeho země. Vyniknouti horlivostí náboženskou v službě Kristově znamenalo v inteligenci soudobé u všech křesťanských národů totéž, co by v řeči naší doby bylo vyjádřeno </w:t>
      </w:r>
      <w:r>
        <w:rPr>
          <w:sz w:val="15"/>
          <w:szCs w:val="15"/>
        </w:rPr>
        <w:t xml:space="preserve">úsilím </w:t>
      </w:r>
      <w:r>
        <w:t>o nejvyš</w:t>
      </w:r>
      <w:r>
        <w:t>ší cíle kulturní. Třídu inteligence tvořilo všude ten</w:t>
      </w:r>
      <w:r>
        <w:softHyphen/>
        <w:t>krát právě jen vyšší duchovenstvo, ono bylo vlastně duchov</w:t>
      </w:r>
      <w:r>
        <w:softHyphen/>
        <w:t>ním, ba i politickým tmelem jednoty říšské a spolutvůrcem jeji politiky. Křesťanské usilování Václavovo, zpečetěné oběti</w:t>
      </w:r>
    </w:p>
    <w:p w:rsidR="00500724" w:rsidRDefault="00F30FB8">
      <w:pPr>
        <w:pStyle w:val="Nadpis90"/>
        <w:keepNext/>
        <w:keepLines/>
        <w:pBdr>
          <w:bottom w:val="single" w:sz="4" w:space="0" w:color="auto"/>
        </w:pBdr>
        <w:shd w:val="clear" w:color="auto" w:fill="auto"/>
        <w:spacing w:before="80" w:after="0"/>
        <w:ind w:right="160"/>
        <w:jc w:val="center"/>
        <w:sectPr w:rsidR="00500724">
          <w:footnotePr>
            <w:numFmt w:val="chicago"/>
            <w:numRestart w:val="eachPage"/>
          </w:footnotePr>
          <w:pgSz w:w="11909" w:h="16834"/>
          <w:pgMar w:top="485" w:right="816" w:bottom="943" w:left="590" w:header="0" w:footer="3" w:gutter="0"/>
          <w:cols w:space="720"/>
          <w:noEndnote/>
          <w:docGrid w:linePitch="360"/>
        </w:sectPr>
      </w:pPr>
      <w:bookmarkStart w:id="464" w:name="bookmark463"/>
      <w:r>
        <w:rPr>
          <w:rFonts w:ascii="Times New Roman" w:eastAsia="Times New Roman" w:hAnsi="Times New Roman" w:cs="Times New Roman"/>
        </w:rPr>
        <w:t>Přítomnosti</w:t>
      </w:r>
      <w:bookmarkEnd w:id="464"/>
    </w:p>
    <w:p w:rsidR="00500724" w:rsidRDefault="00500724">
      <w:pPr>
        <w:spacing w:line="49" w:lineRule="exact"/>
        <w:rPr>
          <w:sz w:val="4"/>
          <w:szCs w:val="4"/>
        </w:rPr>
      </w:pPr>
    </w:p>
    <w:p w:rsidR="00500724" w:rsidRDefault="00500724">
      <w:pPr>
        <w:spacing w:line="14" w:lineRule="exact"/>
        <w:sectPr w:rsidR="00500724">
          <w:footnotePr>
            <w:numFmt w:val="chicago"/>
            <w:numRestart w:val="eachPage"/>
          </w:footnotePr>
          <w:type w:val="continuous"/>
          <w:pgSz w:w="11909" w:h="16834"/>
          <w:pgMar w:top="485" w:right="0" w:bottom="943" w:left="0" w:header="0" w:footer="3" w:gutter="0"/>
          <w:cols w:space="720"/>
          <w:noEndnote/>
          <w:docGrid w:linePitch="360"/>
        </w:sectPr>
      </w:pPr>
    </w:p>
    <w:p w:rsidR="00500724" w:rsidRDefault="00F30FB8">
      <w:pPr>
        <w:pStyle w:val="Zkladntext100"/>
        <w:shd w:val="clear" w:color="auto" w:fill="auto"/>
        <w:spacing w:line="173" w:lineRule="auto"/>
        <w:ind w:firstLine="0"/>
      </w:pPr>
      <w:r>
        <w:t>života, musilo přivodit zcela mimořádné postavení českého ná</w:t>
      </w:r>
      <w:r>
        <w:softHyphen/>
        <w:t>roda mezi slovanskými národy východu. Bylo-li namnoze ná</w:t>
      </w:r>
      <w:r>
        <w:softHyphen/>
        <w:t>silné šíření křesťanství na východ do zemí slovanských jenom záminkou</w:t>
      </w:r>
      <w:r>
        <w:t xml:space="preserve"> pro sobecké cíle dobyvatelské, musilo dobrovolné a radostné otevření země české nové pokrokové myšlence uči</w:t>
      </w:r>
      <w:r>
        <w:softHyphen/>
        <w:t>niti Cechy nezranitelnými vůči nebezpečí takové politiky. K po</w:t>
      </w:r>
      <w:r>
        <w:softHyphen/>
        <w:t>věsti Čechů jako obávaného lidu vojenského připojila se i před</w:t>
      </w:r>
      <w:r>
        <w:softHyphen/>
        <w:t xml:space="preserve">stava lidu, majícího </w:t>
      </w:r>
      <w:r>
        <w:t>křesťanské a vzdělané vůdce.</w:t>
      </w:r>
    </w:p>
    <w:p w:rsidR="00500724" w:rsidRDefault="00F30FB8">
      <w:pPr>
        <w:pStyle w:val="Zkladntext100"/>
        <w:shd w:val="clear" w:color="auto" w:fill="auto"/>
        <w:spacing w:line="173" w:lineRule="auto"/>
        <w:ind w:firstLine="200"/>
      </w:pPr>
      <w:r>
        <w:t>Prohlásili jsme, že hlavní zásluhou »knížete« Václava bylo uvedení českého národa jako rovnocenného a plnoprávného člena do společnosti západních národů kulturních. Avšak byl to teprve »s v a t ý« Václav, který tuto zásluhu vy</w:t>
      </w:r>
      <w:r>
        <w:softHyphen/>
      </w:r>
      <w:r>
        <w:t>vrcholil a dal jí vlastní dějinný význam. Zavraž</w:t>
      </w:r>
      <w:r>
        <w:softHyphen/>
        <w:t xml:space="preserve">dění zbožného a spravedlivého knížete rukou vlastního bratra bylo chápáno v křesťanském okolí jako mučednictví pro pravdu Kristovu. </w:t>
      </w:r>
      <w:r>
        <w:rPr>
          <w:lang w:val="en-US" w:eastAsia="en-US" w:bidi="en-US"/>
        </w:rPr>
        <w:t xml:space="preserve">Kristian, </w:t>
      </w:r>
      <w:r>
        <w:t>když byl pověděl historii umučení sv. Václa</w:t>
      </w:r>
      <w:r>
        <w:softHyphen/>
        <w:t>va, jásá, že »ten bla</w:t>
      </w:r>
      <w:r>
        <w:t>hoslavený vojín povstává z utrpení a po</w:t>
      </w:r>
      <w:r>
        <w:softHyphen/>
        <w:t>tupy k slávě hojnější, stává se společníkem andělů, soudru</w:t>
      </w:r>
      <w:r>
        <w:softHyphen/>
        <w:t>hem apoštolů a dostává se mu věnce věčně se zelenajícího a půvabu krásy nehynouck. Sv. Václav vstoupil na nebesa mezi dvořany Hospodinovy. Myšlenka, žejetoSl</w:t>
      </w:r>
      <w:r>
        <w:t>ovan, prvý Čech v družině Hospodinově, který je nadán napříště mocí zázračnou, a pomoci nadpozem</w:t>
      </w:r>
      <w:r>
        <w:softHyphen/>
        <w:t>ské že účastni jsou všichni, kdož vzývají jeho jméno, musila mocně zaujmout pozemskou družinu věrných jeho a dodávati odvahy úsilí jejich, »aby se ukázalo všem</w:t>
      </w:r>
      <w:r>
        <w:t xml:space="preserve"> národům, že Bůh všemohoucí národu českému velikého svou dobrotou vychoval ochránce« .(Kristián).</w:t>
      </w:r>
    </w:p>
    <w:p w:rsidR="00500724" w:rsidRDefault="00F30FB8">
      <w:pPr>
        <w:pStyle w:val="Zkladntext100"/>
        <w:shd w:val="clear" w:color="auto" w:fill="auto"/>
        <w:spacing w:line="173" w:lineRule="auto"/>
        <w:ind w:firstLine="200"/>
      </w:pPr>
      <w:r>
        <w:t>Třeba připomenout, že velcí národové západu se pyšnili a rostli od dávných dob slávou svých svátých, v nichž spatřovali tituly svého prvenství mezi národy. Ny</w:t>
      </w:r>
      <w:r>
        <w:t>ní tedy mohli Čechové soupeřícím národům pyšného západu popatřit jako rovni rov</w:t>
      </w:r>
      <w:r>
        <w:softHyphen/>
        <w:t>ným v tvář: dosáhli zajisté před světem i před Bohem stej</w:t>
      </w:r>
      <w:r>
        <w:softHyphen/>
        <w:t>ného s nimi stupně národní urozenosti, stejného titulu kultur</w:t>
      </w:r>
      <w:r>
        <w:softHyphen/>
        <w:t>ního šlechtictví — praví Pekař.</w:t>
      </w:r>
    </w:p>
    <w:p w:rsidR="00500724" w:rsidRDefault="00F30FB8">
      <w:pPr>
        <w:pStyle w:val="Zkladntext100"/>
        <w:shd w:val="clear" w:color="auto" w:fill="auto"/>
        <w:spacing w:line="173" w:lineRule="auto"/>
        <w:ind w:firstLine="200"/>
      </w:pPr>
      <w:r>
        <w:t>Kostelíky sv. Václava po</w:t>
      </w:r>
      <w:r>
        <w:t>čínají chrániti hraniční pásy zem</w:t>
      </w:r>
      <w:r>
        <w:softHyphen/>
        <w:t>ské na místech vojensky nejdůležitějších (na Dobeníně u Ná- choda, na Brůdku u Kdyně ve Všerubském průsmyku), není významnějšího vítězství českých zbraní, aby se nezjevil věřícím bojovníkům v oblacích svátý patron zemský v</w:t>
      </w:r>
      <w:r>
        <w:t>e skvělé zbroji rytířské jako naděje úspěchu, královské koruně české se dává spočinouti na lebce sv. Václava — vzniká koruna svatováclav</w:t>
      </w:r>
      <w:r>
        <w:softHyphen/>
        <w:t>ská — a národ český se stává národem sv. Václava. Hledáme-li příčiny této rostoucí úcty, shledáme, že jde o posvěcení v</w:t>
      </w:r>
      <w:r>
        <w:t>šeho, co je národnímu cítění nej dražší — jde o posvěcení patriotismu.</w:t>
      </w:r>
    </w:p>
    <w:p w:rsidR="00500724" w:rsidRDefault="00F30FB8">
      <w:pPr>
        <w:pStyle w:val="Zkladntext100"/>
        <w:shd w:val="clear" w:color="auto" w:fill="auto"/>
        <w:spacing w:line="173" w:lineRule="auto"/>
        <w:ind w:firstLine="200"/>
      </w:pPr>
      <w:r>
        <w:t xml:space="preserve">V tom je význam a dějinná síla tradice svatováclavské. Pro Komenského je sv. Václav předchůdcem českých mučedníků za pravdu Páně, Hus byl ctitelem sv. Václava a ti husité, kteří chtěli </w:t>
      </w:r>
      <w:r>
        <w:t>býti jen dokonalejšími katolíky, zachovávají úctu sv. Václavu neporušenu a nezmenšenu dál, ač někdy v proti- německém zabarvení. Doba vytváří tradici o sv. Václavu, dří</w:t>
      </w:r>
      <w:r>
        <w:softHyphen/>
        <w:t xml:space="preserve">majícím se svými rytíři v nitru hory Blaníka a připraveném vyjeti vojensky na pomoc ve </w:t>
      </w:r>
      <w:r>
        <w:t>chvíli nebezpečí. Jesuita Balbín, chvěje se o osud svého národa, ohroženého cizinou, kleká k vroucí modlitbě před sv. Václavem a z hlubin úzkosti se dere jeho »Nedej zahynouti!«. Ve světové válce pomáhal sv. Václav našim legiím. — Starobylý chorál svatovác</w:t>
      </w:r>
      <w:r>
        <w:t>lavský, tato píseň naděje a útěchy, stará přes šest století, prosycena modlitbami věků, spojuje v jedné prosbě a myšlence nové národní poko</w:t>
      </w:r>
      <w:r>
        <w:softHyphen/>
        <w:t>lení s generacemi předků.</w:t>
      </w:r>
    </w:p>
    <w:p w:rsidR="00500724" w:rsidRDefault="00F30FB8">
      <w:pPr>
        <w:pStyle w:val="Zkladntext100"/>
        <w:shd w:val="clear" w:color="auto" w:fill="auto"/>
        <w:spacing w:line="173" w:lineRule="auto"/>
        <w:ind w:firstLine="200"/>
      </w:pPr>
      <w:r>
        <w:t>Jak již výše řečeno, Němci vyzdvihují svatováclavskou tra</w:t>
      </w:r>
      <w:r>
        <w:softHyphen/>
        <w:t>dici proti tradici husitské. Při</w:t>
      </w:r>
      <w:r>
        <w:t xml:space="preserve"> této příležitosti však také pod</w:t>
      </w:r>
      <w:r>
        <w:softHyphen/>
        <w:t>trhují, abychom přijali Pekařův výklad dějin proti výkladu Masarykovu. Je celkem známo, že Pekař odmítá ústřední myš</w:t>
      </w:r>
      <w:r>
        <w:softHyphen/>
        <w:t>lenku Masarykovy filosofie českých dějin, že smyslem těchto dějin je idea náboženská, přip. idea humanity,</w:t>
      </w:r>
      <w:r>
        <w:t xml:space="preserve"> založená nábo</w:t>
      </w:r>
      <w:r>
        <w:softHyphen/>
        <w:t>žensky. Proti tomu staví Pekař jako vůdčí motiv českých dějin myšlenku národní. Podle Pekaře je to síla a vůle národního vědomí, jež je nosnou silou, bijícím srdcem našeho dějinného života. Svatováclav</w:t>
      </w:r>
      <w:r>
        <w:softHyphen/>
        <w:t>ská tradice pak — v témže myšlenkovém p</w:t>
      </w:r>
      <w:r>
        <w:t>roudu — je výrazem touhy po nadpřirozeném posvěcení, po nebeském autorisování, po zbožnění citu a vědomí národního. Ta snaha spojití a smířiti v jedno profánní a svaté, lidsky národní a božské, musila mít nemalou sílu mravně výchovnou: nemohla dovolávati s</w:t>
      </w:r>
      <w:r>
        <w:t>e pomoci svátého patrona národního, leč tam, kde modlitba její byla srovnatelná se zásadami práva a pravdy. V tom záležela nepochybně síla nábožensky ukázněné národní myšlenky, jakožto myšlenky mravní, jako programu práva, spravedlnosti a nenásilí. V myš</w:t>
      </w:r>
      <w:r>
        <w:softHyphen/>
        <w:t>l</w:t>
      </w:r>
      <w:r>
        <w:t>ence svatováclavské — takto chápané ■— jsou hodnoty, které odpovídají stále reálním požadavkům přítomnosti. Dr. O- K.</w:t>
      </w:r>
    </w:p>
    <w:p w:rsidR="00500724" w:rsidRDefault="00F30FB8">
      <w:pPr>
        <w:spacing w:line="1" w:lineRule="exact"/>
        <w:rPr>
          <w:sz w:val="2"/>
          <w:szCs w:val="2"/>
        </w:rPr>
      </w:pPr>
      <w:r>
        <w:br w:type="column"/>
      </w:r>
    </w:p>
    <w:p w:rsidR="00500724" w:rsidRDefault="00F30FB8">
      <w:pPr>
        <w:pStyle w:val="Nadpis120"/>
        <w:shd w:val="clear" w:color="auto" w:fill="auto"/>
        <w:spacing w:after="80"/>
        <w:ind w:left="0"/>
        <w:jc w:val="center"/>
      </w:pPr>
      <w:bookmarkStart w:id="465" w:name="bookmark464"/>
      <w:r>
        <w:t>Lidová architektura a zedničtí mistři</w:t>
      </w:r>
      <w:bookmarkEnd w:id="465"/>
    </w:p>
    <w:p w:rsidR="00500724" w:rsidRDefault="00F30FB8">
      <w:pPr>
        <w:pStyle w:val="Zkladntext100"/>
        <w:shd w:val="clear" w:color="auto" w:fill="auto"/>
        <w:spacing w:after="120" w:line="180" w:lineRule="auto"/>
        <w:ind w:left="900" w:firstLine="0"/>
        <w:jc w:val="left"/>
      </w:pPr>
      <w:r>
        <w:t>Vážený pane redaktore!</w:t>
      </w:r>
    </w:p>
    <w:p w:rsidR="00500724" w:rsidRDefault="00F30FB8">
      <w:pPr>
        <w:pStyle w:val="Zkladntext100"/>
        <w:shd w:val="clear" w:color="auto" w:fill="auto"/>
        <w:spacing w:line="192" w:lineRule="auto"/>
        <w:ind w:firstLine="200"/>
      </w:pPr>
      <w:r>
        <w:t xml:space="preserve">Byl jste tak laskav a uveřejnil jste v Přítomnosti můj článek </w:t>
      </w:r>
      <w:r>
        <w:rPr>
          <w:b/>
          <w:bCs/>
          <w:sz w:val="19"/>
          <w:szCs w:val="19"/>
        </w:rPr>
        <w:t xml:space="preserve">o </w:t>
      </w:r>
      <w:r>
        <w:t xml:space="preserve">lidové </w:t>
      </w:r>
      <w:r>
        <w:t>architektuře. — Ústředna společenstev zednických mistrů v Čechách poslala k tomu své připomínky, jež jste rov</w:t>
      </w:r>
      <w:r>
        <w:softHyphen/>
        <w:t>něž uveřejnil a na které považuji v zájmu věci za nutné od</w:t>
      </w:r>
      <w:r>
        <w:softHyphen/>
        <w:t>povědět.</w:t>
      </w:r>
    </w:p>
    <w:p w:rsidR="00500724" w:rsidRDefault="00F30FB8">
      <w:pPr>
        <w:pStyle w:val="Zkladntext100"/>
        <w:shd w:val="clear" w:color="auto" w:fill="auto"/>
        <w:spacing w:line="197" w:lineRule="auto"/>
        <w:ind w:firstLine="200"/>
      </w:pPr>
      <w:r>
        <w:t xml:space="preserve">Nemohu než trvat na poznatku, že příliš rozsáhlý stavební ruch vážně ohrožuje </w:t>
      </w:r>
      <w:r>
        <w:t>naše země, jejichž pole, louky a lesy se v hrozivé míře bezohledně mění v oplocené stavební parcely s vilami, domy, domky a chatami, většinou architektonicky špatnými, což uznávají i páni zedničtí mistři, přiznávajíce zá</w:t>
      </w:r>
      <w:r>
        <w:softHyphen/>
        <w:t xml:space="preserve">roveň, že většina z nich by raději </w:t>
      </w:r>
      <w:r>
        <w:t>stavěla podle dokonalých projektů. Lze věřit, že chudý a prostý stavebník chce plány svého domku od zednického mistra zdarma.</w:t>
      </w:r>
    </w:p>
    <w:p w:rsidR="00500724" w:rsidRDefault="00F30FB8">
      <w:pPr>
        <w:pStyle w:val="Zkladntext100"/>
        <w:shd w:val="clear" w:color="auto" w:fill="auto"/>
        <w:spacing w:line="197" w:lineRule="auto"/>
        <w:ind w:firstLine="200"/>
      </w:pPr>
      <w:r>
        <w:t>Zajímavé však je, že právě ty nejjednodušší a nejprostší domky, kde zednický mistr dodal plány zdarma, jsou po archi</w:t>
      </w:r>
      <w:r>
        <w:softHyphen/>
        <w:t>tektonické st</w:t>
      </w:r>
      <w:r>
        <w:t>ránce poměrně snesitelné a dobré. Ohavnost za</w:t>
      </w:r>
      <w:r>
        <w:softHyphen/>
        <w:t>číná tam, kde právě stavebník měl více peněz a kde chtěl dělat »lepšího« člověka. Je vidět, že špatnou architektonickou kvalitu v této vývojové fázi zaviňuje spíš přebytek než nedosta</w:t>
      </w:r>
      <w:r>
        <w:softHyphen/>
        <w:t>tek peněz a hlavně touha p</w:t>
      </w:r>
      <w:r>
        <w:t>o falešné representaci, tedy psy</w:t>
      </w:r>
      <w:r>
        <w:softHyphen/>
        <w:t>chologická příčina.</w:t>
      </w:r>
    </w:p>
    <w:p w:rsidR="00500724" w:rsidRDefault="00F30FB8">
      <w:pPr>
        <w:pStyle w:val="Zkladntext100"/>
        <w:shd w:val="clear" w:color="auto" w:fill="auto"/>
        <w:spacing w:line="180" w:lineRule="auto"/>
        <w:ind w:firstLine="200"/>
      </w:pPr>
      <w:r>
        <w:t>Zcela souhlasím s pány zednickými mistry, že je zapotřebí ^trvalého a systematického působení na mysl širokých vrstev lidových, systematické výchovy«. Můj článek o lidové archi</w:t>
      </w:r>
      <w:r>
        <w:softHyphen/>
      </w:r>
      <w:r>
        <w:t>tektuře, uveřejněný v Přítomnosti, měl být a byl právě částí této výchovy. Jestliže však páni zedničtí mistři chtějí tuto výchovu skutečně a vážně podporovat, pak musí nezbytně začít sami u sebe: začátek musí být v objasnění pojmů, co je architektura, co j</w:t>
      </w:r>
      <w:r>
        <w:t xml:space="preserve">e stavitelství a zednictví, kdo je architekt </w:t>
      </w:r>
      <w:r>
        <w:rPr>
          <w:b/>
          <w:bCs/>
          <w:sz w:val="19"/>
          <w:szCs w:val="19"/>
        </w:rPr>
        <w:t xml:space="preserve">a </w:t>
      </w:r>
      <w:r>
        <w:t>kdo je zednický mistr. Ústředna společenstev by měla dopo</w:t>
      </w:r>
      <w:r>
        <w:softHyphen/>
        <w:t>ručit členům svých společenstev, aby jednotliví zedničtí mistři, kteří architektonických studií nemají, neužívali označení »architekt«, které mate a de</w:t>
      </w:r>
      <w:r>
        <w:t>sorientuje stavebníky. Ať zůstanou dobrými zednickými mistry. Touží-li po titulech, ať si uvědomí, že označení »mistr« — z latinského magister, učitel —- je přece titul velmi znamenitý. Zůstanou-li páni zedničtí mistři dobrými mistry svého řemesla, přiblíž</w:t>
      </w:r>
      <w:r>
        <w:t>í se tím možná skutečně architek</w:t>
      </w:r>
      <w:r>
        <w:softHyphen/>
        <w:t>tuře, to jest prosté a střízlivé účelnosti, tak jako jí byli blízcí staří poctiví zedníci našeho venkova, jimž ani nenapadlo dělat ze sebe architekty. — Přestat klamat obecenstvo o své kvalifi</w:t>
      </w:r>
      <w:r>
        <w:softHyphen/>
        <w:t>kaci, to bude nejlepší začátek</w:t>
      </w:r>
      <w:r>
        <w:t xml:space="preserve"> lidské a mravné cesty k oprav</w:t>
      </w:r>
      <w:r>
        <w:softHyphen/>
        <w:t>dové a pravdivé kultuře domu a bytu.</w:t>
      </w:r>
    </w:p>
    <w:p w:rsidR="00500724" w:rsidRDefault="00F30FB8">
      <w:pPr>
        <w:pStyle w:val="Zkladntext100"/>
        <w:shd w:val="clear" w:color="auto" w:fill="auto"/>
        <w:spacing w:line="173" w:lineRule="auto"/>
        <w:ind w:firstLine="200"/>
      </w:pPr>
      <w:r>
        <w:t>Páni zedničtí mistři mne podezírají, že »pod rouškou krás</w:t>
      </w:r>
      <w:r>
        <w:softHyphen/>
        <w:t xml:space="preserve">ných slov a historických reminiscencí zakrývám pozadí svého projevu — boj o denní skývu chleba«. K tomu sděluji, že »krásná slova </w:t>
      </w:r>
      <w:r>
        <w:t>a historické reminiscence« nebyly rouškou, nýbrž vlastním obsahem mé sociologické a architektonické úvahy. Pokud se týče skývy chleba, sděluji, že jsem si svoji skývu od počátku opatřil jinak, poněvadž jsem viděl, že u nás z architektury spolehlivě a řádně</w:t>
      </w:r>
      <w:r>
        <w:t xml:space="preserve"> živ být nelze, právě proto^ že 97 procent staveb plánují stavitelé a zedničtí mistři. Již dávno jsem pochopil, že za těchto okolností může být u nás architektura kulturní činností, duševním sportem, ale nikoli normálním zaměstnáním. Kdybych však svým proj</w:t>
      </w:r>
      <w:r>
        <w:t xml:space="preserve">evem, v němž šlo o kulturní hodnoty, přece zároveň bojoval o skývu chleba — alespoň pro ostatní architekty, kteří chtějí ze svého zaměstnání žít — pak nevím, co by v tom bylo špatného. Domnívám se, že tito lidé, kteří mají často zvláštní nadání, studovali </w:t>
      </w:r>
      <w:r>
        <w:t xml:space="preserve">zpravidla střední školy s maturitou a jednu nebo dvě vysoké školy, pak prošli několikaletou praksi, mají snad také lidský a morální nárok, aby se svými schopnostmi a svojí prací přiměřeně živili. A konečně lid, i ten chudý, má také právo, aby jejich práce </w:t>
      </w:r>
      <w:r>
        <w:t>užíval — což není nedostupným cílem.</w:t>
      </w:r>
    </w:p>
    <w:p w:rsidR="00500724" w:rsidRDefault="00F30FB8">
      <w:pPr>
        <w:pStyle w:val="Zkladntext100"/>
        <w:shd w:val="clear" w:color="auto" w:fill="auto"/>
        <w:spacing w:line="173" w:lineRule="auto"/>
        <w:ind w:firstLine="200"/>
      </w:pPr>
      <w:r>
        <w:t>Děkuji Vám, vážený pane redaktore, za laskavé uveřejnění této mé odpovědi a doufám, že věc bude tím již skončena.</w:t>
      </w:r>
    </w:p>
    <w:p w:rsidR="00500724" w:rsidRDefault="00F30FB8">
      <w:pPr>
        <w:pStyle w:val="Zkladntext100"/>
        <w:shd w:val="clear" w:color="auto" w:fill="auto"/>
        <w:spacing w:after="320" w:line="180" w:lineRule="auto"/>
        <w:ind w:firstLine="0"/>
        <w:jc w:val="right"/>
      </w:pPr>
      <w:r>
        <w:t>Ak. arch. Ladislav Zák</w:t>
      </w:r>
    </w:p>
    <w:p w:rsidR="00500724" w:rsidRDefault="00F30FB8">
      <w:pPr>
        <w:pStyle w:val="Jin0"/>
        <w:shd w:val="clear" w:color="auto" w:fill="auto"/>
        <w:spacing w:after="140"/>
        <w:ind w:firstLine="0"/>
        <w:jc w:val="left"/>
        <w:rPr>
          <w:sz w:val="44"/>
          <w:szCs w:val="44"/>
        </w:rPr>
      </w:pPr>
      <w:r>
        <w:rPr>
          <w:b/>
          <w:bCs/>
          <w:sz w:val="44"/>
          <w:szCs w:val="44"/>
          <w:u w:val="single"/>
        </w:rPr>
        <w:t>listárna redakce</w:t>
      </w:r>
    </w:p>
    <w:p w:rsidR="00500724" w:rsidRDefault="00F30FB8">
      <w:pPr>
        <w:pStyle w:val="Zkladntext100"/>
        <w:shd w:val="clear" w:color="auto" w:fill="auto"/>
        <w:spacing w:line="170" w:lineRule="auto"/>
        <w:ind w:firstLine="200"/>
        <w:sectPr w:rsidR="00500724">
          <w:footnotePr>
            <w:numFmt w:val="chicago"/>
            <w:numRestart w:val="eachPage"/>
          </w:footnotePr>
          <w:type w:val="continuous"/>
          <w:pgSz w:w="11909" w:h="16834"/>
          <w:pgMar w:top="485" w:right="817" w:bottom="943" w:left="634" w:header="0" w:footer="3" w:gutter="0"/>
          <w:cols w:num="2" w:space="158"/>
          <w:noEndnote/>
          <w:docGrid w:linePitch="360"/>
        </w:sectPr>
      </w:pPr>
      <w:r>
        <w:t>Pan dr. Vaněček, docent Karlovy uni</w:t>
      </w:r>
      <w:r>
        <w:t>versity v Praze, žádá nás o zjištění, že není totožný s docentem Vaněčkem, autorem dopisu v minulém čísle Přítomnosti, což tímto činíme.</w:t>
      </w:r>
    </w:p>
    <w:p w:rsidR="00500724" w:rsidRDefault="00500724">
      <w:pPr>
        <w:spacing w:line="187" w:lineRule="exact"/>
        <w:rPr>
          <w:sz w:val="15"/>
          <w:szCs w:val="15"/>
        </w:rPr>
      </w:pPr>
    </w:p>
    <w:p w:rsidR="00500724" w:rsidRDefault="00500724">
      <w:pPr>
        <w:spacing w:line="14" w:lineRule="exact"/>
        <w:sectPr w:rsidR="00500724">
          <w:footnotePr>
            <w:numFmt w:val="chicago"/>
            <w:numRestart w:val="eachPage"/>
          </w:footnotePr>
          <w:type w:val="continuous"/>
          <w:pgSz w:w="11909" w:h="16834"/>
          <w:pgMar w:top="485" w:right="0" w:bottom="485" w:left="0" w:header="0" w:footer="3" w:gutter="0"/>
          <w:cols w:space="720"/>
          <w:noEndnote/>
          <w:docGrid w:linePitch="360"/>
        </w:sectPr>
      </w:pP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280" w:line="202" w:lineRule="auto"/>
        <w:ind w:left="140" w:right="160" w:firstLine="0"/>
        <w:rPr>
          <w:sz w:val="28"/>
          <w:szCs w:val="28"/>
        </w:rPr>
      </w:pPr>
      <w:r>
        <w:rPr>
          <w:rFonts w:ascii="Calibri" w:eastAsia="Calibri" w:hAnsi="Calibri" w:cs="Calibri"/>
          <w:b/>
          <w:bCs/>
          <w:w w:val="70"/>
          <w:sz w:val="44"/>
          <w:szCs w:val="44"/>
        </w:rPr>
        <w:t xml:space="preserve">Rodinné vily ze dřeva, školy, ozdravovny a veškeré dřevěné konstrukte slaví Dřevoslavby Kolowral, </w:t>
      </w:r>
      <w:r>
        <w:rPr>
          <w:rFonts w:ascii="Arial" w:eastAsia="Arial" w:hAnsi="Arial" w:cs="Arial"/>
          <w:b/>
          <w:bCs/>
          <w:w w:val="70"/>
          <w:sz w:val="28"/>
          <w:szCs w:val="28"/>
        </w:rPr>
        <w:t>Dianaberg-Pnmda. Pražská kancelář: Praha II., Národní 30n. Tel. 32347</w:t>
      </w:r>
    </w:p>
    <w:p w:rsidR="00500724" w:rsidRDefault="00F30FB8">
      <w:pPr>
        <w:pStyle w:val="Zkladntext100"/>
        <w:shd w:val="clear" w:color="auto" w:fill="auto"/>
        <w:spacing w:line="240" w:lineRule="auto"/>
        <w:ind w:firstLine="0"/>
        <w:jc w:val="left"/>
        <w:sectPr w:rsidR="00500724">
          <w:footnotePr>
            <w:numFmt w:val="chicago"/>
            <w:numRestart w:val="eachPage"/>
          </w:footnotePr>
          <w:type w:val="continuous"/>
          <w:pgSz w:w="11909" w:h="16834"/>
          <w:pgMar w:top="485" w:right="816" w:bottom="485" w:left="590" w:header="0" w:footer="3" w:gutter="0"/>
          <w:cols w:space="720"/>
          <w:noEndnote/>
          <w:docGrid w:linePitch="360"/>
        </w:sectPr>
      </w:pPr>
      <w:r>
        <w:rPr>
          <w:i/>
          <w:iCs/>
        </w:rPr>
        <w:t>28o</w:t>
      </w:r>
    </w:p>
    <w:p w:rsidR="00500724" w:rsidRDefault="00F30FB8">
      <w:pPr>
        <w:pStyle w:val="Nadpis50"/>
        <w:keepNext/>
        <w:keepLines/>
        <w:framePr w:w="7051" w:h="1704" w:wrap="none" w:vAnchor="text" w:hAnchor="page" w:x="3570" w:y="255"/>
        <w:shd w:val="clear" w:color="auto" w:fill="auto"/>
        <w:rPr>
          <w:sz w:val="150"/>
          <w:szCs w:val="150"/>
        </w:rPr>
      </w:pPr>
      <w:bookmarkStart w:id="466" w:name="bookmark465"/>
      <w:r>
        <w:t xml:space="preserve">vět </w:t>
      </w:r>
      <w:r>
        <w:rPr>
          <w:sz w:val="150"/>
          <w:szCs w:val="150"/>
        </w:rPr>
        <w:t>knih</w:t>
      </w:r>
      <w:bookmarkEnd w:id="466"/>
    </w:p>
    <w:p w:rsidR="00500724" w:rsidRDefault="00F30FB8">
      <w:pPr>
        <w:pStyle w:val="Nadpis90"/>
        <w:keepNext/>
        <w:keepLines/>
        <w:framePr w:w="7286" w:h="523" w:wrap="none" w:vAnchor="text" w:hAnchor="page" w:x="3368" w:y="1959"/>
        <w:shd w:val="clear" w:color="auto" w:fill="auto"/>
        <w:spacing w:after="0"/>
        <w:rPr>
          <w:sz w:val="42"/>
          <w:szCs w:val="42"/>
        </w:rPr>
      </w:pPr>
      <w:bookmarkStart w:id="467" w:name="bookmark466"/>
      <w:r>
        <w:rPr>
          <w:b/>
          <w:bCs/>
          <w:sz w:val="34"/>
          <w:szCs w:val="34"/>
        </w:rPr>
        <w:t xml:space="preserve">KULTURNÍ </w:t>
      </w:r>
      <w:r>
        <w:rPr>
          <w:smallCaps/>
          <w:sz w:val="42"/>
          <w:szCs w:val="42"/>
        </w:rPr>
        <w:t>zpravodaj</w:t>
      </w:r>
      <w:bookmarkEnd w:id="467"/>
    </w:p>
    <w:p w:rsidR="00500724" w:rsidRDefault="00F30FB8">
      <w:pPr>
        <w:pStyle w:val="Zkladntext50"/>
        <w:framePr w:w="413" w:h="1186" w:wrap="none" w:vAnchor="text" w:hAnchor="page" w:x="10933" w:y="21"/>
        <w:shd w:val="clear" w:color="auto" w:fill="auto"/>
        <w:spacing w:after="0" w:line="240" w:lineRule="auto"/>
        <w:ind w:left="0"/>
        <w:jc w:val="left"/>
        <w:rPr>
          <w:sz w:val="18"/>
          <w:szCs w:val="18"/>
        </w:rPr>
      </w:pPr>
      <w:r>
        <w:rPr>
          <w:sz w:val="18"/>
          <w:szCs w:val="18"/>
        </w:rPr>
        <w:t>90</w:t>
      </w:r>
    </w:p>
    <w:p w:rsidR="00500724" w:rsidRDefault="00F30FB8">
      <w:pPr>
        <w:pStyle w:val="Zkladntext50"/>
        <w:framePr w:w="413" w:h="1186" w:wrap="none" w:vAnchor="text" w:hAnchor="page" w:x="10933" w:y="21"/>
        <w:shd w:val="clear" w:color="auto" w:fill="auto"/>
        <w:spacing w:after="0" w:line="199" w:lineRule="auto"/>
        <w:ind w:left="0"/>
        <w:jc w:val="left"/>
        <w:rPr>
          <w:sz w:val="18"/>
          <w:szCs w:val="18"/>
        </w:rPr>
      </w:pPr>
      <w:r>
        <w:rPr>
          <w:sz w:val="18"/>
          <w:szCs w:val="18"/>
        </w:rPr>
        <w:t>O</w:t>
      </w:r>
    </w:p>
    <w:p w:rsidR="00500724" w:rsidRDefault="00F30FB8">
      <w:pPr>
        <w:pStyle w:val="Zkladntext50"/>
        <w:framePr w:w="413" w:h="1186" w:wrap="none" w:vAnchor="text" w:hAnchor="page" w:x="10933" w:y="21"/>
        <w:shd w:val="clear" w:color="auto" w:fill="auto"/>
        <w:spacing w:line="187" w:lineRule="auto"/>
        <w:ind w:left="0"/>
        <w:jc w:val="left"/>
        <w:rPr>
          <w:sz w:val="18"/>
          <w:szCs w:val="18"/>
        </w:rPr>
      </w:pPr>
      <w:r>
        <w:rPr>
          <w:sz w:val="18"/>
          <w:szCs w:val="18"/>
        </w:rPr>
        <w:t>O«</w:t>
      </w:r>
    </w:p>
    <w:p w:rsidR="00500724" w:rsidRDefault="00F30FB8">
      <w:pPr>
        <w:pStyle w:val="Zkladntext50"/>
        <w:framePr w:w="413" w:h="1186" w:wrap="none" w:vAnchor="text" w:hAnchor="page" w:x="10933" w:y="21"/>
        <w:shd w:val="clear" w:color="auto" w:fill="auto"/>
        <w:spacing w:after="120" w:line="240" w:lineRule="auto"/>
        <w:ind w:left="0"/>
        <w:jc w:val="left"/>
        <w:rPr>
          <w:sz w:val="18"/>
          <w:szCs w:val="18"/>
        </w:rPr>
      </w:pPr>
      <w:r>
        <w:rPr>
          <w:sz w:val="18"/>
          <w:szCs w:val="18"/>
        </w:rPr>
        <w:t>o</w:t>
      </w:r>
    </w:p>
    <w:p w:rsidR="00500724" w:rsidRDefault="00F30FB8">
      <w:pPr>
        <w:pStyle w:val="Zkladntext50"/>
        <w:framePr w:w="413" w:h="1186" w:wrap="none" w:vAnchor="text" w:hAnchor="page" w:x="10933" w:y="21"/>
        <w:shd w:val="clear" w:color="auto" w:fill="auto"/>
        <w:spacing w:after="100" w:line="240" w:lineRule="auto"/>
        <w:ind w:left="0"/>
        <w:jc w:val="left"/>
        <w:rPr>
          <w:sz w:val="18"/>
          <w:szCs w:val="18"/>
        </w:rPr>
      </w:pPr>
      <w:r>
        <w:rPr>
          <w:sz w:val="18"/>
          <w:szCs w:val="18"/>
        </w:rPr>
        <w:t>o«</w:t>
      </w:r>
    </w:p>
    <w:p w:rsidR="00500724" w:rsidRDefault="00500724">
      <w:pPr>
        <w:spacing w:after="59" w:line="14" w:lineRule="exact"/>
      </w:pPr>
    </w:p>
    <w:p w:rsidR="00500724" w:rsidRDefault="00500724">
      <w:pPr>
        <w:spacing w:line="14" w:lineRule="exact"/>
        <w:sectPr w:rsidR="00500724">
          <w:footnotePr>
            <w:numFmt w:val="chicago"/>
            <w:numRestart w:val="eachPage"/>
          </w:footnotePr>
          <w:pgSz w:w="11909" w:h="16834"/>
          <w:pgMar w:top="3117" w:right="564" w:bottom="1049" w:left="703" w:header="0" w:footer="3" w:gutter="0"/>
          <w:cols w:space="720"/>
          <w:noEndnote/>
          <w:docGrid w:linePitch="360"/>
        </w:sectPr>
      </w:pPr>
    </w:p>
    <w:p w:rsidR="00500724" w:rsidRDefault="00F30FB8">
      <w:pPr>
        <w:spacing w:line="14" w:lineRule="exact"/>
      </w:pPr>
      <w:r>
        <w:rPr>
          <w:noProof/>
        </w:rPr>
        <mc:AlternateContent>
          <mc:Choice Requires="wps">
            <w:drawing>
              <wp:anchor distT="0" distB="38100" distL="0" distR="0" simplePos="0" relativeHeight="125829838" behindDoc="0" locked="0" layoutInCell="1" allowOverlap="1">
                <wp:simplePos x="0" y="0"/>
                <wp:positionH relativeFrom="page">
                  <wp:posOffset>2195830</wp:posOffset>
                </wp:positionH>
                <wp:positionV relativeFrom="paragraph">
                  <wp:posOffset>12700</wp:posOffset>
                </wp:positionV>
                <wp:extent cx="3237230" cy="2142490"/>
                <wp:effectExtent l="0" t="0" r="0" b="0"/>
                <wp:wrapTopAndBottom/>
                <wp:docPr id="461" name="Shape 461"/>
                <wp:cNvGraphicFramePr/>
                <a:graphic xmlns:a="http://schemas.openxmlformats.org/drawingml/2006/main">
                  <a:graphicData uri="http://schemas.microsoft.com/office/word/2010/wordprocessingShape">
                    <wps:wsp>
                      <wps:cNvSpPr txBox="1"/>
                      <wps:spPr>
                        <a:xfrm>
                          <a:off x="0" y="0"/>
                          <a:ext cx="3237230" cy="2142490"/>
                        </a:xfrm>
                        <a:prstGeom prst="rect">
                          <a:avLst/>
                        </a:prstGeom>
                        <a:noFill/>
                      </wps:spPr>
                      <wps:txbx>
                        <w:txbxContent>
                          <w:p w:rsidR="00500724" w:rsidRDefault="00F30FB8">
                            <w:pPr>
                              <w:pStyle w:val="Zkladntext100"/>
                              <w:shd w:val="clear" w:color="auto" w:fill="auto"/>
                              <w:spacing w:line="264" w:lineRule="auto"/>
                              <w:ind w:left="200" w:firstLine="440"/>
                              <w:jc w:val="left"/>
                              <w:rPr>
                                <w:sz w:val="19"/>
                                <w:szCs w:val="19"/>
                              </w:rPr>
                            </w:pPr>
                            <w:r>
                              <w:rPr>
                                <w:b/>
                                <w:bCs/>
                                <w:sz w:val="26"/>
                                <w:szCs w:val="26"/>
                              </w:rPr>
                              <w:t xml:space="preserve">Poslání velkých a malých národů </w:t>
                            </w:r>
                            <w:r>
                              <w:rPr>
                                <w:b/>
                                <w:bCs/>
                                <w:sz w:val="19"/>
                                <w:szCs w:val="19"/>
                              </w:rPr>
                              <w:t>Mají-li velké národy a velké státy možnost — a mravní</w:t>
                            </w:r>
                          </w:p>
                          <w:p w:rsidR="00500724" w:rsidRDefault="00F30FB8">
                            <w:pPr>
                              <w:pStyle w:val="Zkladntext100"/>
                              <w:shd w:val="clear" w:color="auto" w:fill="auto"/>
                              <w:spacing w:line="252" w:lineRule="auto"/>
                              <w:ind w:firstLine="0"/>
                              <w:rPr>
                                <w:sz w:val="19"/>
                                <w:szCs w:val="19"/>
                              </w:rPr>
                            </w:pPr>
                            <w:r>
                              <w:rPr>
                                <w:b/>
                                <w:bCs/>
                                <w:sz w:val="19"/>
                                <w:szCs w:val="19"/>
                              </w:rPr>
                              <w:t xml:space="preserve">závazek — uplatňovat a šířit pokrok úměrně s prostředky své síly nebo bohatství, mohou zase malé národy daleko snáze zvládnout kulturně </w:t>
                            </w:r>
                            <w:r>
                              <w:rPr>
                                <w:b/>
                                <w:bCs/>
                                <w:sz w:val="19"/>
                                <w:szCs w:val="19"/>
                              </w:rPr>
                              <w:t>sebe jako celek. To se týká ne</w:t>
                            </w:r>
                            <w:r>
                              <w:rPr>
                                <w:b/>
                                <w:bCs/>
                                <w:sz w:val="19"/>
                                <w:szCs w:val="19"/>
                              </w:rPr>
                              <w:softHyphen/>
                              <w:t xml:space="preserve">jenom kultury rozumu, ale především také kultury ducha a povahy. Ta zejména musí býti opravdová, aby uchránila před jakýmikoliv rozkladnými vlivy. Malé kulturní národy zpravidla svým životním úsilím předbíhají dobu a jak učí </w:t>
                            </w:r>
                            <w:r>
                              <w:rPr>
                                <w:b/>
                                <w:bCs/>
                                <w:sz w:val="19"/>
                                <w:szCs w:val="19"/>
                              </w:rPr>
                              <w:t>zkušenost, přinášejí lidskému pokroku těžké oběti. Ani to nesmí mýlit. Život je vývoj a boj a každý krok dál musí býti něčím vykoupen. Někomu určil osud býti tvůrcem, jiné</w:t>
                            </w:r>
                            <w:r>
                              <w:rPr>
                                <w:b/>
                                <w:bCs/>
                                <w:sz w:val="19"/>
                                <w:szCs w:val="19"/>
                              </w:rPr>
                              <w:softHyphen/>
                              <w:t>mu zase divákem, ale i děti diváků se mohou státi tvůrci.</w:t>
                            </w:r>
                          </w:p>
                          <w:p w:rsidR="00500724" w:rsidRDefault="00F30FB8">
                            <w:pPr>
                              <w:pStyle w:val="Zkladntext20"/>
                              <w:shd w:val="clear" w:color="auto" w:fill="auto"/>
                              <w:spacing w:line="240" w:lineRule="auto"/>
                              <w:ind w:right="220" w:firstLine="0"/>
                              <w:jc w:val="right"/>
                              <w:rPr>
                                <w:sz w:val="20"/>
                                <w:szCs w:val="20"/>
                              </w:rPr>
                            </w:pPr>
                            <w:r>
                              <w:rPr>
                                <w:i/>
                                <w:iCs/>
                                <w:sz w:val="20"/>
                                <w:szCs w:val="20"/>
                              </w:rPr>
                              <w:t>Vladimír Groh (ve Vědě a Ž</w:t>
                            </w:r>
                            <w:r>
                              <w:rPr>
                                <w:i/>
                                <w:iCs/>
                                <w:sz w:val="20"/>
                                <w:szCs w:val="20"/>
                              </w:rPr>
                              <w:t>ivotě)</w:t>
                            </w:r>
                          </w:p>
                        </w:txbxContent>
                      </wps:txbx>
                      <wps:bodyPr lIns="0" tIns="0" rIns="0" bIns="0">
                        <a:spAutoFit/>
                      </wps:bodyPr>
                    </wps:wsp>
                  </a:graphicData>
                </a:graphic>
              </wp:anchor>
            </w:drawing>
          </mc:Choice>
          <mc:Fallback>
            <w:pict>
              <v:shape id="_x0000_s1487" type="#_x0000_t202" style="position:absolute;margin-left:172.90000000000001pt;margin-top:1.pt;width:254.90000000000001pt;height:168.69999999999999pt;z-index:-125828915;mso-wrap-distance-left:0;mso-wrap-distance-right:0;mso-wrap-distance-bottom:3.pt;mso-position-horizontal-relative:page" filled="f" stroked="f">
                <v:textbox style="mso-fit-shape-to-text:t" inset="0,0,0,0">
                  <w:txbxContent>
                    <w:p>
                      <w:pPr>
                        <w:pStyle w:val="Style344"/>
                        <w:keepNext w:val="0"/>
                        <w:keepLines w:val="0"/>
                        <w:widowControl w:val="0"/>
                        <w:shd w:val="clear" w:color="auto" w:fill="auto"/>
                        <w:bidi w:val="0"/>
                        <w:spacing w:before="0" w:after="0" w:line="264" w:lineRule="auto"/>
                        <w:ind w:left="200" w:right="0" w:firstLine="440"/>
                        <w:jc w:val="left"/>
                        <w:rPr>
                          <w:sz w:val="19"/>
                          <w:szCs w:val="19"/>
                        </w:rPr>
                      </w:pPr>
                      <w:r>
                        <w:rPr>
                          <w:b/>
                          <w:bCs/>
                          <w:color w:val="000000"/>
                          <w:spacing w:val="0"/>
                          <w:w w:val="100"/>
                          <w:position w:val="0"/>
                          <w:sz w:val="26"/>
                          <w:szCs w:val="26"/>
                          <w:shd w:val="clear" w:color="auto" w:fill="auto"/>
                          <w:lang w:val="cs-CZ" w:eastAsia="cs-CZ" w:bidi="cs-CZ"/>
                        </w:rPr>
                        <w:t xml:space="preserve">Poslání velkých a malých národů </w:t>
                      </w:r>
                      <w:r>
                        <w:rPr>
                          <w:b/>
                          <w:bCs/>
                          <w:color w:val="000000"/>
                          <w:spacing w:val="0"/>
                          <w:w w:val="100"/>
                          <w:position w:val="0"/>
                          <w:sz w:val="19"/>
                          <w:szCs w:val="19"/>
                          <w:shd w:val="clear" w:color="auto" w:fill="auto"/>
                          <w:lang w:val="cs-CZ" w:eastAsia="cs-CZ" w:bidi="cs-CZ"/>
                        </w:rPr>
                        <w:t>Mají-li velké národy a velké státy možnost — a mravní</w:t>
                      </w:r>
                    </w:p>
                    <w:p>
                      <w:pPr>
                        <w:pStyle w:val="Style344"/>
                        <w:keepNext w:val="0"/>
                        <w:keepLines w:val="0"/>
                        <w:widowControl w:val="0"/>
                        <w:shd w:val="clear" w:color="auto" w:fill="auto"/>
                        <w:bidi w:val="0"/>
                        <w:spacing w:before="0" w:after="0" w:line="252" w:lineRule="auto"/>
                        <w:ind w:left="0" w:right="0" w:firstLine="0"/>
                        <w:rPr>
                          <w:sz w:val="19"/>
                          <w:szCs w:val="19"/>
                        </w:rPr>
                      </w:pPr>
                      <w:r>
                        <w:rPr>
                          <w:b/>
                          <w:bCs/>
                          <w:color w:val="000000"/>
                          <w:spacing w:val="0"/>
                          <w:w w:val="100"/>
                          <w:position w:val="0"/>
                          <w:sz w:val="19"/>
                          <w:szCs w:val="19"/>
                          <w:shd w:val="clear" w:color="auto" w:fill="auto"/>
                          <w:lang w:val="cs-CZ" w:eastAsia="cs-CZ" w:bidi="cs-CZ"/>
                        </w:rPr>
                        <w:t>závazek — uplatňovat a šířit pokrok úměrně s prostředky své síly nebo bohatství, mohou zase malé národy daleko snáze zvládnout kulturně sebe jako celek. To se týká ne</w:t>
                        <w:softHyphen/>
                        <w:t>jenom kultury rozumu, ale především také kultury ducha a povahy. Ta zejména musí býti opravdová, aby uchránila před jakýmikoliv rozkladnými vlivy. Malé kulturní národy zpravidla svým životním úsilím předbíhají dobu a jak učí zkušenost, přinášejí lidskému pokroku těžké oběti. Ani to nesmí mýlit. Život je vývoj a boj a každý krok dál musí býti něčím vykoupen. Někomu určil osud býti tvůrcem, jiné</w:t>
                        <w:softHyphen/>
                        <w:t>mu zase divákem, ale i děti diváků se mohou státi tvůrci.</w:t>
                      </w:r>
                    </w:p>
                    <w:p>
                      <w:pPr>
                        <w:pStyle w:val="Style67"/>
                        <w:keepNext w:val="0"/>
                        <w:keepLines w:val="0"/>
                        <w:widowControl w:val="0"/>
                        <w:shd w:val="clear" w:color="auto" w:fill="auto"/>
                        <w:bidi w:val="0"/>
                        <w:spacing w:before="0" w:after="0" w:line="240" w:lineRule="auto"/>
                        <w:ind w:left="0" w:right="220" w:firstLine="0"/>
                        <w:jc w:val="right"/>
                        <w:rPr>
                          <w:sz w:val="20"/>
                          <w:szCs w:val="20"/>
                        </w:rPr>
                      </w:pPr>
                      <w:r>
                        <w:rPr>
                          <w:i/>
                          <w:iCs/>
                          <w:color w:val="000000"/>
                          <w:spacing w:val="0"/>
                          <w:w w:val="100"/>
                          <w:position w:val="0"/>
                          <w:sz w:val="20"/>
                          <w:szCs w:val="20"/>
                          <w:shd w:val="clear" w:color="auto" w:fill="auto"/>
                          <w:lang w:val="cs-CZ" w:eastAsia="cs-CZ" w:bidi="cs-CZ"/>
                        </w:rPr>
                        <w:t xml:space="preserve">Vladimír Groh (ve Vědě </w:t>
                      </w:r>
                      <w:r>
                        <w:rPr>
                          <w:i/>
                          <w:iCs/>
                          <w:color w:val="000000"/>
                          <w:spacing w:val="0"/>
                          <w:w w:val="100"/>
                          <w:position w:val="0"/>
                          <w:sz w:val="20"/>
                          <w:szCs w:val="20"/>
                          <w:shd w:val="clear" w:color="auto" w:fill="auto"/>
                          <w:lang w:val="cs-CZ" w:eastAsia="cs-CZ" w:bidi="cs-CZ"/>
                        </w:rPr>
                        <w:t xml:space="preserve">a </w:t>
                      </w:r>
                      <w:r>
                        <w:rPr>
                          <w:i/>
                          <w:iCs/>
                          <w:color w:val="000000"/>
                          <w:spacing w:val="0"/>
                          <w:w w:val="100"/>
                          <w:position w:val="0"/>
                          <w:sz w:val="20"/>
                          <w:szCs w:val="20"/>
                          <w:shd w:val="clear" w:color="auto" w:fill="auto"/>
                          <w:lang w:val="cs-CZ" w:eastAsia="cs-CZ" w:bidi="cs-CZ"/>
                        </w:rPr>
                        <w:t>Životě)</w:t>
                      </w:r>
                    </w:p>
                  </w:txbxContent>
                </v:textbox>
                <w10:wrap type="topAndBottom" anchorx="page"/>
              </v:shape>
            </w:pict>
          </mc:Fallback>
        </mc:AlternateContent>
      </w:r>
    </w:p>
    <w:p w:rsidR="00500724" w:rsidRDefault="00F30FB8">
      <w:pPr>
        <w:pStyle w:val="Zkladntext20"/>
        <w:shd w:val="clear" w:color="auto" w:fill="auto"/>
        <w:spacing w:after="60" w:line="178" w:lineRule="auto"/>
        <w:ind w:firstLine="0"/>
        <w:jc w:val="left"/>
        <w:rPr>
          <w:sz w:val="20"/>
          <w:szCs w:val="20"/>
        </w:rPr>
      </w:pPr>
      <w:r>
        <w:rPr>
          <w:b/>
          <w:bCs/>
          <w:i/>
          <w:iCs/>
          <w:sz w:val="20"/>
          <w:szCs w:val="20"/>
        </w:rPr>
        <w:t xml:space="preserve">V. </w:t>
      </w:r>
      <w:r>
        <w:rPr>
          <w:i/>
          <w:iCs/>
          <w:sz w:val="20"/>
          <w:szCs w:val="20"/>
        </w:rPr>
        <w:t>Zeman:</w:t>
      </w:r>
    </w:p>
    <w:p w:rsidR="00500724" w:rsidRDefault="00F30FB8">
      <w:pPr>
        <w:pStyle w:val="Zkladntext20"/>
        <w:shd w:val="clear" w:color="auto" w:fill="auto"/>
        <w:spacing w:after="60" w:line="240" w:lineRule="auto"/>
        <w:ind w:firstLine="0"/>
        <w:jc w:val="left"/>
        <w:rPr>
          <w:sz w:val="24"/>
          <w:szCs w:val="24"/>
        </w:rPr>
      </w:pPr>
      <w:r>
        <w:rPr>
          <w:b/>
          <w:bCs/>
          <w:sz w:val="24"/>
          <w:szCs w:val="24"/>
        </w:rPr>
        <w:t>TOUHA</w:t>
      </w:r>
    </w:p>
    <w:p w:rsidR="00500724" w:rsidRDefault="00F30FB8">
      <w:pPr>
        <w:pStyle w:val="Zkladntext20"/>
        <w:shd w:val="clear" w:color="auto" w:fill="auto"/>
        <w:spacing w:line="178" w:lineRule="auto"/>
        <w:ind w:left="1880" w:hanging="1880"/>
        <w:jc w:val="left"/>
        <w:rPr>
          <w:sz w:val="20"/>
          <w:szCs w:val="20"/>
        </w:rPr>
      </w:pPr>
      <w:r>
        <w:rPr>
          <w:i/>
          <w:iCs/>
          <w:sz w:val="20"/>
          <w:szCs w:val="20"/>
        </w:rPr>
        <w:t>Dech hodin roztál nad mým snem</w:t>
      </w:r>
    </w:p>
    <w:p w:rsidR="00500724" w:rsidRDefault="00F30FB8">
      <w:pPr>
        <w:pStyle w:val="Zkladntext20"/>
        <w:shd w:val="clear" w:color="auto" w:fill="auto"/>
        <w:spacing w:line="178" w:lineRule="auto"/>
        <w:ind w:firstLine="0"/>
        <w:jc w:val="left"/>
        <w:rPr>
          <w:sz w:val="20"/>
          <w:szCs w:val="20"/>
        </w:rPr>
      </w:pPr>
      <w:r>
        <w:rPr>
          <w:i/>
          <w:iCs/>
          <w:sz w:val="20"/>
          <w:szCs w:val="20"/>
        </w:rPr>
        <w:t>a odplížil se zloděj čas.</w:t>
      </w:r>
    </w:p>
    <w:p w:rsidR="00500724" w:rsidRDefault="00F30FB8">
      <w:pPr>
        <w:pStyle w:val="Zkladntext20"/>
        <w:shd w:val="clear" w:color="auto" w:fill="auto"/>
        <w:spacing w:after="160" w:line="178" w:lineRule="auto"/>
        <w:ind w:firstLine="0"/>
        <w:jc w:val="left"/>
        <w:rPr>
          <w:sz w:val="20"/>
          <w:szCs w:val="20"/>
        </w:rPr>
      </w:pPr>
      <w:r>
        <w:rPr>
          <w:i/>
          <w:iCs/>
          <w:sz w:val="20"/>
          <w:szCs w:val="20"/>
        </w:rPr>
        <w:t>Zas skřivanů hlas zvoní dnem ach, dej mu, aby neuhas.</w:t>
      </w:r>
    </w:p>
    <w:p w:rsidR="00500724" w:rsidRDefault="00F30FB8">
      <w:pPr>
        <w:pStyle w:val="Zkladntext20"/>
        <w:shd w:val="clear" w:color="auto" w:fill="auto"/>
        <w:spacing w:after="160" w:line="178" w:lineRule="auto"/>
        <w:ind w:firstLine="0"/>
        <w:jc w:val="left"/>
        <w:rPr>
          <w:sz w:val="20"/>
          <w:szCs w:val="20"/>
        </w:rPr>
      </w:pPr>
      <w:r>
        <w:rPr>
          <w:i/>
          <w:iCs/>
          <w:sz w:val="20"/>
          <w:szCs w:val="20"/>
        </w:rPr>
        <w:t>Zas poli v zrání tajemném se chvějí písní starých žní, jež zaznívala pradávnem, než ztichla v tísni podzimní.</w:t>
      </w:r>
    </w:p>
    <w:p w:rsidR="00500724" w:rsidRDefault="00F30FB8">
      <w:pPr>
        <w:pStyle w:val="Zkladntext20"/>
        <w:shd w:val="clear" w:color="auto" w:fill="auto"/>
        <w:spacing w:after="60" w:line="180" w:lineRule="auto"/>
        <w:ind w:firstLine="0"/>
        <w:jc w:val="left"/>
        <w:rPr>
          <w:sz w:val="20"/>
          <w:szCs w:val="20"/>
        </w:rPr>
      </w:pPr>
      <w:r>
        <w:rPr>
          <w:i/>
          <w:iCs/>
          <w:sz w:val="20"/>
          <w:szCs w:val="20"/>
        </w:rPr>
        <w:t xml:space="preserve">ach dechni </w:t>
      </w:r>
      <w:r>
        <w:rPr>
          <w:i/>
          <w:iCs/>
          <w:sz w:val="20"/>
          <w:szCs w:val="20"/>
        </w:rPr>
        <w:t xml:space="preserve">v oheň ztlumený, </w:t>
      </w:r>
      <w:r>
        <w:rPr>
          <w:i/>
          <w:iCs/>
          <w:sz w:val="20"/>
          <w:szCs w:val="20"/>
          <w:lang w:val="en-US" w:eastAsia="en-US" w:bidi="en-US"/>
        </w:rPr>
        <w:t xml:space="preserve">at </w:t>
      </w:r>
      <w:r>
        <w:rPr>
          <w:i/>
          <w:iCs/>
          <w:sz w:val="20"/>
          <w:szCs w:val="20"/>
        </w:rPr>
        <w:t>vzplane v prudký jarní sen. AS šlehneš, země, plameny, nad nocí mou se sklene den.</w:t>
      </w:r>
    </w:p>
    <w:p w:rsidR="00500724" w:rsidRDefault="00F30FB8">
      <w:pPr>
        <w:pStyle w:val="Zkladntext20"/>
        <w:pBdr>
          <w:bottom w:val="single" w:sz="4" w:space="0" w:color="auto"/>
        </w:pBdr>
        <w:shd w:val="clear" w:color="auto" w:fill="auto"/>
        <w:spacing w:after="280" w:line="178" w:lineRule="auto"/>
        <w:ind w:firstLine="0"/>
        <w:jc w:val="right"/>
        <w:rPr>
          <w:sz w:val="20"/>
          <w:szCs w:val="20"/>
        </w:rPr>
      </w:pPr>
      <w:r>
        <w:rPr>
          <w:i/>
          <w:iCs/>
          <w:sz w:val="20"/>
          <w:szCs w:val="20"/>
        </w:rPr>
        <w:t>^Studentský časopise</w:t>
      </w:r>
    </w:p>
    <w:p w:rsidR="00500724" w:rsidRDefault="00F30FB8">
      <w:pPr>
        <w:pStyle w:val="Nadpis120"/>
        <w:shd w:val="clear" w:color="auto" w:fill="auto"/>
        <w:spacing w:after="60"/>
        <w:ind w:left="0"/>
      </w:pPr>
      <w:bookmarkStart w:id="468" w:name="bookmark467"/>
      <w:r>
        <w:rPr>
          <w:rFonts w:ascii="Arial" w:eastAsia="Arial" w:hAnsi="Arial" w:cs="Arial"/>
        </w:rPr>
        <w:t>NOVÉ KNIHY</w:t>
      </w:r>
      <w:bookmarkEnd w:id="468"/>
    </w:p>
    <w:p w:rsidR="00500724" w:rsidRDefault="00F30FB8">
      <w:pPr>
        <w:pStyle w:val="Zkladntext40"/>
        <w:shd w:val="clear" w:color="auto" w:fill="auto"/>
        <w:spacing w:line="214" w:lineRule="auto"/>
        <w:jc w:val="left"/>
        <w:rPr>
          <w:sz w:val="14"/>
          <w:szCs w:val="14"/>
        </w:rPr>
      </w:pPr>
      <w:r>
        <w:rPr>
          <w:b/>
          <w:bCs/>
          <w:sz w:val="14"/>
          <w:szCs w:val="14"/>
        </w:rPr>
        <w:t xml:space="preserve">DALŠÍ </w:t>
      </w:r>
      <w:r>
        <w:rPr>
          <w:b/>
          <w:bCs/>
          <w:smallCaps/>
          <w:sz w:val="18"/>
          <w:szCs w:val="18"/>
        </w:rPr>
        <w:t>svazek</w:t>
      </w:r>
      <w:r>
        <w:rPr>
          <w:b/>
          <w:bCs/>
          <w:sz w:val="14"/>
          <w:szCs w:val="14"/>
        </w:rPr>
        <w:t xml:space="preserve"> UDOVÉHO VY</w:t>
      </w:r>
      <w:r>
        <w:rPr>
          <w:b/>
          <w:bCs/>
          <w:sz w:val="14"/>
          <w:szCs w:val="14"/>
        </w:rPr>
        <w:softHyphen/>
        <w:t>DÁNI DÍLA KARLA ČAPKA</w:t>
      </w:r>
    </w:p>
    <w:p w:rsidR="00500724" w:rsidRDefault="00F30FB8">
      <w:pPr>
        <w:pStyle w:val="Zkladntext40"/>
        <w:shd w:val="clear" w:color="auto" w:fill="auto"/>
        <w:spacing w:after="0" w:line="173" w:lineRule="auto"/>
      </w:pPr>
      <w:r>
        <w:t>Sešitové vydání díla Karla Čap</w:t>
      </w:r>
      <w:r>
        <w:softHyphen/>
        <w:t xml:space="preserve">ka, zahájené slavnou románovou trilogii </w:t>
      </w:r>
      <w:r>
        <w:t>Hordubal, Povětroň, Oby</w:t>
      </w:r>
      <w:r>
        <w:softHyphen/>
        <w:t>čejný život, pokročilo již k sešitu čtrnáctému a přineslo již dvě první románová díla zmíněné tri</w:t>
      </w:r>
      <w:r>
        <w:softHyphen/>
        <w:t>logie. Podobně jako román Hor</w:t>
      </w:r>
      <w:r>
        <w:softHyphen/>
        <w:t>dubal vychází i Povětroň záro</w:t>
      </w:r>
      <w:r>
        <w:softHyphen/>
        <w:t>veň s ukončením v sešitech také v kompletním svazku. Cena toho</w:t>
      </w:r>
      <w:r>
        <w:softHyphen/>
      </w:r>
      <w:r>
        <w:rPr>
          <w:sz w:val="18"/>
          <w:szCs w:val="18"/>
        </w:rPr>
        <w:t xml:space="preserve">to </w:t>
      </w:r>
      <w:r>
        <w:t>kompletního svazku pro odbě</w:t>
      </w:r>
      <w:r>
        <w:softHyphen/>
        <w:t>ratele lidového vydání je pouhých 16 K. Odběratelé mohou si opatři- ti na tento svazek i vkusně vy</w:t>
      </w:r>
      <w:r>
        <w:softHyphen/>
        <w:t>pravené celoplátěné desky s dvou</w:t>
      </w:r>
      <w:r>
        <w:softHyphen/>
        <w:t>barevným tiskem na titulní stra</w:t>
      </w:r>
      <w:r>
        <w:softHyphen/>
        <w:t xml:space="preserve">ně, které stojí jen 5 K. Povětroň, považovaný za jedno z epicky </w:t>
      </w:r>
      <w:r>
        <w:t xml:space="preserve">nejdramatičtějších, psychologicky </w:t>
      </w:r>
      <w:r>
        <w:rPr>
          <w:sz w:val="18"/>
          <w:szCs w:val="18"/>
        </w:rPr>
        <w:t xml:space="preserve">a </w:t>
      </w:r>
      <w:r>
        <w:t xml:space="preserve">formálně nejštastněji řešených </w:t>
      </w:r>
      <w:r>
        <w:rPr>
          <w:sz w:val="18"/>
          <w:szCs w:val="18"/>
        </w:rPr>
        <w:t xml:space="preserve">a </w:t>
      </w:r>
      <w:r>
        <w:t>nejdůmyslněji komponovaných prací K. Čapka, stává se tak v rámci sešitového vydání Čapko</w:t>
      </w:r>
      <w:r>
        <w:softHyphen/>
        <w:t>va díla přístupný nejen obdivova</w:t>
      </w:r>
      <w:r>
        <w:softHyphen/>
        <w:t>telům výpravného umění, jedno</w:t>
      </w:r>
      <w:r>
        <w:softHyphen/>
        <w:t>ho z největších našich umělců slove</w:t>
      </w:r>
      <w:r>
        <w:t>sných, nýbrž celé obci čte</w:t>
      </w:r>
      <w:r>
        <w:softHyphen/>
        <w:t>nářské.</w:t>
      </w:r>
    </w:p>
    <w:p w:rsidR="00500724" w:rsidRDefault="00F30FB8">
      <w:pPr>
        <w:pStyle w:val="Zkladntext40"/>
        <w:shd w:val="clear" w:color="auto" w:fill="auto"/>
        <w:spacing w:after="0" w:line="230" w:lineRule="auto"/>
        <w:rPr>
          <w:sz w:val="14"/>
          <w:szCs w:val="14"/>
        </w:rPr>
      </w:pPr>
      <w:r>
        <w:rPr>
          <w:b/>
          <w:bCs/>
          <w:sz w:val="14"/>
          <w:szCs w:val="14"/>
        </w:rPr>
        <w:t>NOVÉ ČÍSLO KRITICKÉHO MĚ</w:t>
      </w:r>
      <w:r>
        <w:rPr>
          <w:b/>
          <w:bCs/>
          <w:sz w:val="14"/>
          <w:szCs w:val="14"/>
        </w:rPr>
        <w:softHyphen/>
        <w:t>SÍČNÍKU</w:t>
      </w:r>
    </w:p>
    <w:p w:rsidR="00500724" w:rsidRDefault="00F30FB8">
      <w:pPr>
        <w:pStyle w:val="Zkladntext40"/>
        <w:shd w:val="clear" w:color="auto" w:fill="auto"/>
        <w:spacing w:after="0"/>
      </w:pPr>
      <w:r>
        <w:t>Nové 4. číslo letošního ročníku Kritického měsíčníku, uvedené zá</w:t>
      </w:r>
      <w:r>
        <w:softHyphen/>
        <w:t>važnou, programově zaměřenou státi Bohumila Mathesia Cesta k velikosti, ukazující na nové úkoly poesie a básníků, přináší v</w:t>
      </w:r>
      <w:r>
        <w:t>edle řady ukázek ze současné lyriky polské obsáhlé stati redaktorovy o Lifkově slovníku šaldovském a přehled současné prozaické a essayistické tvorby, jak se obráží v kritickém průhledu. Václav Čer</w:t>
      </w:r>
      <w:r>
        <w:softHyphen/>
        <w:t>ný, zdůrazňujjicí v redakční po</w:t>
      </w:r>
      <w:r>
        <w:softHyphen/>
        <w:t>známce, že Kritický měsíčn</w:t>
      </w:r>
      <w:r>
        <w:t>ík zů</w:t>
      </w:r>
      <w:r>
        <w:softHyphen/>
        <w:t>stane věren zásadám, směrnicím měřítkům i kriteriím, jež přijal za své, to je boj proti prostřednosti a zvýšenou péči o české umění, píše tu o nové knize Ferdinanda Peroutky Osobnost, chaos a zlo</w:t>
      </w:r>
      <w:r>
        <w:softHyphen/>
        <w:t>zvyky a o posledním románu Kar</w:t>
      </w:r>
      <w:r>
        <w:softHyphen/>
        <w:t>la Čapka. Kritické refe</w:t>
      </w:r>
      <w:r>
        <w:t>ráty o no</w:t>
      </w:r>
      <w:r>
        <w:softHyphen/>
        <w:t>vých knihách původní prózy (No</w:t>
      </w:r>
      <w:r>
        <w:softHyphen/>
        <w:t xml:space="preserve">vý, Řezáč, Klička, Prokůpek), píší Karel Polák, </w:t>
      </w:r>
      <w:r>
        <w:rPr>
          <w:lang w:val="en-US" w:eastAsia="en-US" w:bidi="en-US"/>
        </w:rPr>
        <w:t xml:space="preserve">J. </w:t>
      </w:r>
      <w:r>
        <w:t>Sup a B. Novák. Číslo je doplněno několika větší</w:t>
      </w:r>
      <w:r>
        <w:softHyphen/>
        <w:t>mi poznámkami, z nichž zvláštní pozornosti si zaslouží Supova K psychologii epitheta a Kovárnova Rozdíly duší. Cena</w:t>
      </w:r>
      <w:r>
        <w:t xml:space="preserve"> čísla je 3 K. NOVÉ ČÍSLO VÉDY A ŽIVOTA. Právě vyšlé, osmé čislo časopisu Vědaaživotje uvedeno krás</w:t>
      </w:r>
      <w:r>
        <w:softHyphen/>
        <w:t>nou, historicky založenou per</w:t>
      </w:r>
      <w:r>
        <w:softHyphen/>
        <w:t xml:space="preserve">spektivou Vladimíra Groha: &gt;Ma- lý národ«, otevírající nám pohled do dramatu dějin a poukazující na úlohu, kterou v něm hráli </w:t>
      </w:r>
      <w:r>
        <w:t>ma</w:t>
      </w:r>
      <w:r>
        <w:softHyphen/>
        <w:t>lí národové. Vedle Grohovy úvod</w:t>
      </w:r>
      <w:r>
        <w:softHyphen/>
        <w:t>ní stati, vyznívající v povzbudi</w:t>
      </w:r>
      <w:r>
        <w:softHyphen/>
        <w:t>vou chválu malého národa i jeho kulturní tvořivosti, je tu zajíma</w:t>
      </w:r>
      <w:r>
        <w:softHyphen/>
        <w:t>vý, dokumentárními obrázky do</w:t>
      </w:r>
      <w:r>
        <w:softHyphen/>
        <w:t>plněný článek V. Neumanna O zrůdách a zrádnostech, stát Mir</w:t>
      </w:r>
      <w:r>
        <w:softHyphen/>
        <w:t xml:space="preserve">ko Nováka Estetická skutečnost, </w:t>
      </w:r>
      <w:r>
        <w:t>aktuální článek Konrada Hruba- na o dálnicích a krásný feuilleton Život všudypřítomný. Bohatý a závažný obsah čísla, přinášející</w:t>
      </w:r>
      <w:r>
        <w:softHyphen/>
        <w:t>ho také pokračováni Základů (Bělehrádkovo ujednání o buň</w:t>
      </w:r>
      <w:r>
        <w:softHyphen/>
        <w:t>ce) je velmi zpestřen zajímavými poznámkami ze všech oborů věd</w:t>
      </w:r>
      <w:r>
        <w:softHyphen/>
        <w:t>ních. C</w:t>
      </w:r>
      <w:r>
        <w:t>ena čísla je 45 K.</w:t>
      </w:r>
    </w:p>
    <w:p w:rsidR="00500724" w:rsidRDefault="00F30FB8">
      <w:pPr>
        <w:pStyle w:val="Zkladntext40"/>
        <w:shd w:val="clear" w:color="auto" w:fill="auto"/>
        <w:spacing w:after="0" w:line="175" w:lineRule="auto"/>
        <w:ind w:firstLine="180"/>
      </w:pPr>
      <w:r>
        <w:t>O DNEŠNÍM NĚMECKU. Praž</w:t>
      </w:r>
      <w:r>
        <w:softHyphen/>
        <w:t>ské nakladatelství Orbis vydá koncem tohoto měsíce aktuální vědeckou publikaci několika čes</w:t>
      </w:r>
      <w:r>
        <w:softHyphen/>
        <w:t>kých spolupracovníků, která bu</w:t>
      </w:r>
      <w:r>
        <w:softHyphen/>
        <w:t>de naši veřejnost informovat o politických, hospodářských, so</w:t>
      </w:r>
      <w:r>
        <w:softHyphen/>
        <w:t>ciálních, technických a vých</w:t>
      </w:r>
      <w:r>
        <w:t>ov</w:t>
      </w:r>
      <w:r>
        <w:softHyphen/>
        <w:t>ných zařízeních národně-sociali- stického Německa. Do knihy při</w:t>
      </w:r>
      <w:r>
        <w:softHyphen/>
        <w:t xml:space="preserve">spěli: </w:t>
      </w:r>
      <w:r>
        <w:rPr>
          <w:lang w:val="en-US" w:eastAsia="en-US" w:bidi="en-US"/>
        </w:rPr>
        <w:t xml:space="preserve">prof. </w:t>
      </w:r>
      <w:r>
        <w:t>Vysoké školy obchod</w:t>
      </w:r>
      <w:r>
        <w:softHyphen/>
        <w:t xml:space="preserve">ní dr. Mertl, </w:t>
      </w:r>
      <w:r>
        <w:rPr>
          <w:lang w:val="en-US" w:eastAsia="en-US" w:bidi="en-US"/>
        </w:rPr>
        <w:t xml:space="preserve">prof. </w:t>
      </w:r>
      <w:r>
        <w:t>dr. Schneider, doc. dr. Krejčí, inž. Hlavatý a dr. Stádnik.</w:t>
      </w:r>
    </w:p>
    <w:p w:rsidR="00500724" w:rsidRDefault="00F30FB8">
      <w:pPr>
        <w:pStyle w:val="Zkladntext20"/>
        <w:shd w:val="clear" w:color="auto" w:fill="auto"/>
        <w:tabs>
          <w:tab w:val="left" w:pos="274"/>
        </w:tabs>
        <w:spacing w:after="60" w:line="180" w:lineRule="auto"/>
        <w:ind w:firstLine="0"/>
        <w:rPr>
          <w:sz w:val="20"/>
          <w:szCs w:val="20"/>
        </w:rPr>
      </w:pPr>
      <w:r>
        <w:rPr>
          <w:b/>
          <w:bCs/>
          <w:i/>
          <w:iCs/>
          <w:sz w:val="20"/>
          <w:szCs w:val="20"/>
        </w:rPr>
        <w:t>J.</w:t>
      </w:r>
      <w:r>
        <w:rPr>
          <w:b/>
          <w:bCs/>
          <w:i/>
          <w:iCs/>
          <w:sz w:val="20"/>
          <w:szCs w:val="20"/>
        </w:rPr>
        <w:tab/>
        <w:t>Su p:</w:t>
      </w:r>
    </w:p>
    <w:p w:rsidR="00500724" w:rsidRDefault="00F30FB8">
      <w:pPr>
        <w:pStyle w:val="Zkladntext80"/>
        <w:shd w:val="clear" w:color="auto" w:fill="auto"/>
        <w:spacing w:after="60" w:line="230" w:lineRule="auto"/>
        <w:rPr>
          <w:sz w:val="24"/>
          <w:szCs w:val="24"/>
        </w:rPr>
      </w:pPr>
      <w:r>
        <w:rPr>
          <w:w w:val="80"/>
          <w:sz w:val="24"/>
          <w:szCs w:val="24"/>
        </w:rPr>
        <w:t>K PSYCHOLOGII EPITHETA</w:t>
      </w:r>
    </w:p>
    <w:p w:rsidR="00500724" w:rsidRDefault="00F30FB8">
      <w:pPr>
        <w:pStyle w:val="Zkladntext20"/>
        <w:shd w:val="clear" w:color="auto" w:fill="auto"/>
        <w:spacing w:line="180" w:lineRule="auto"/>
        <w:ind w:firstLine="220"/>
        <w:rPr>
          <w:sz w:val="20"/>
          <w:szCs w:val="20"/>
        </w:rPr>
        <w:sectPr w:rsidR="00500724">
          <w:footnotePr>
            <w:numFmt w:val="chicago"/>
            <w:numRestart w:val="eachPage"/>
          </w:footnotePr>
          <w:type w:val="continuous"/>
          <w:pgSz w:w="11909" w:h="16834"/>
          <w:pgMar w:top="3017" w:right="696" w:bottom="1049" w:left="708" w:header="0" w:footer="3" w:gutter="0"/>
          <w:cols w:num="4" w:sep="1" w:space="100"/>
          <w:noEndnote/>
          <w:docGrid w:linePitch="360"/>
        </w:sectPr>
      </w:pPr>
      <w:r>
        <w:rPr>
          <w:i/>
          <w:iCs/>
          <w:sz w:val="20"/>
          <w:szCs w:val="20"/>
        </w:rPr>
        <w:t xml:space="preserve">Jazyk </w:t>
      </w:r>
      <w:r>
        <w:rPr>
          <w:i/>
          <w:iCs/>
          <w:sz w:val="20"/>
          <w:szCs w:val="20"/>
        </w:rPr>
        <w:t>novinových reporté</w:t>
      </w:r>
      <w:r>
        <w:rPr>
          <w:i/>
          <w:iCs/>
          <w:sz w:val="20"/>
          <w:szCs w:val="20"/>
        </w:rPr>
        <w:softHyphen/>
        <w:t xml:space="preserve">rů charakterisuje mimo jiné i množství </w:t>
      </w:r>
      <w:r>
        <w:rPr>
          <w:i/>
          <w:iCs/>
          <w:sz w:val="20"/>
          <w:szCs w:val="20"/>
          <w:lang w:val="en-US" w:eastAsia="en-US" w:bidi="en-US"/>
        </w:rPr>
        <w:t xml:space="preserve">epithet. </w:t>
      </w:r>
      <w:r>
        <w:rPr>
          <w:i/>
          <w:iCs/>
          <w:sz w:val="20"/>
          <w:szCs w:val="20"/>
        </w:rPr>
        <w:t xml:space="preserve">Reportáž bez celých hrstí </w:t>
      </w:r>
      <w:r>
        <w:rPr>
          <w:i/>
          <w:iCs/>
          <w:sz w:val="20"/>
          <w:szCs w:val="20"/>
          <w:lang w:val="en-US" w:eastAsia="en-US" w:bidi="en-US"/>
        </w:rPr>
        <w:t xml:space="preserve">epithet </w:t>
      </w:r>
      <w:r>
        <w:rPr>
          <w:i/>
          <w:iCs/>
          <w:sz w:val="20"/>
          <w:szCs w:val="20"/>
        </w:rPr>
        <w:t>by asi byla — podle jejich názoru — málo chutná a jedlá, jako vánočka bez rozinek. Hospo</w:t>
      </w:r>
      <w:r>
        <w:rPr>
          <w:i/>
          <w:iCs/>
          <w:sz w:val="20"/>
          <w:szCs w:val="20"/>
        </w:rPr>
        <w:softHyphen/>
        <w:t>dyně vSak zná bezpečnou mí</w:t>
      </w:r>
      <w:r>
        <w:rPr>
          <w:i/>
          <w:iCs/>
          <w:sz w:val="20"/>
          <w:szCs w:val="20"/>
        </w:rPr>
        <w:softHyphen/>
        <w:t>ru, kterou nesmí ani v rozin</w:t>
      </w:r>
      <w:r>
        <w:rPr>
          <w:i/>
          <w:iCs/>
          <w:sz w:val="20"/>
          <w:szCs w:val="20"/>
        </w:rPr>
        <w:softHyphen/>
        <w:t>kách překr</w:t>
      </w:r>
      <w:r>
        <w:rPr>
          <w:i/>
          <w:iCs/>
          <w:sz w:val="20"/>
          <w:szCs w:val="20"/>
        </w:rPr>
        <w:t>očit; tu jí udají váhy. Reportérům by tu mí</w:t>
      </w:r>
      <w:r>
        <w:rPr>
          <w:i/>
          <w:iCs/>
          <w:sz w:val="20"/>
          <w:szCs w:val="20"/>
        </w:rPr>
        <w:softHyphen/>
        <w:t>ru udála velmi jednoduchá úvaha, jen malá námaha mozku —- ale je asi pohodl</w:t>
      </w:r>
      <w:r>
        <w:rPr>
          <w:i/>
          <w:iCs/>
          <w:sz w:val="20"/>
          <w:szCs w:val="20"/>
        </w:rPr>
        <w:softHyphen/>
        <w:t>nější hledat další epitheta než uvažovat o světlých stránkách a výhodách stříd</w:t>
      </w:r>
      <w:r>
        <w:rPr>
          <w:i/>
          <w:iCs/>
          <w:sz w:val="20"/>
          <w:szCs w:val="20"/>
        </w:rPr>
        <w:softHyphen/>
        <w:t>mosti nad obžerstvím. Proto naleznete jen málo referátů o</w:t>
      </w:r>
      <w:r>
        <w:rPr>
          <w:i/>
          <w:iCs/>
          <w:sz w:val="20"/>
          <w:szCs w:val="20"/>
        </w:rPr>
        <w:t xml:space="preserve"> porotách, v nichž by nebyl rafinovaný vrah, vraždící chladnokrevnou rukou a be- stiálně svou ubohou a nevin</w:t>
      </w:r>
      <w:r>
        <w:rPr>
          <w:i/>
          <w:iCs/>
          <w:sz w:val="20"/>
          <w:szCs w:val="20"/>
        </w:rPr>
        <w:softHyphen/>
        <w:t xml:space="preserve">nou obět. Stejnou spoustu </w:t>
      </w:r>
      <w:r>
        <w:rPr>
          <w:i/>
          <w:iCs/>
          <w:sz w:val="20"/>
          <w:szCs w:val="20"/>
          <w:lang w:val="en-US" w:eastAsia="en-US" w:bidi="en-US"/>
        </w:rPr>
        <w:t xml:space="preserve">epithet </w:t>
      </w:r>
      <w:r>
        <w:rPr>
          <w:i/>
          <w:iCs/>
          <w:sz w:val="20"/>
          <w:szCs w:val="20"/>
        </w:rPr>
        <w:t>naleznete i v referá</w:t>
      </w:r>
      <w:r>
        <w:rPr>
          <w:i/>
          <w:iCs/>
          <w:sz w:val="20"/>
          <w:szCs w:val="20"/>
        </w:rPr>
        <w:softHyphen/>
        <w:t>tu sportovním, v reportáži o návštěvě krále či jiné hlavy státu, krátce všude. Repor</w:t>
      </w:r>
      <w:r>
        <w:rPr>
          <w:i/>
          <w:iCs/>
          <w:sz w:val="20"/>
          <w:szCs w:val="20"/>
        </w:rPr>
        <w:softHyphen/>
        <w:t>téři ná</w:t>
      </w:r>
      <w:r>
        <w:rPr>
          <w:i/>
          <w:iCs/>
          <w:sz w:val="20"/>
          <w:szCs w:val="20"/>
        </w:rPr>
        <w:t>s už na to navykli ták, Se více podvědomě klouzáme očima po slovech, už tisíckrát čtených právě v obdobné sou</w:t>
      </w:r>
      <w:r>
        <w:rPr>
          <w:i/>
          <w:iCs/>
          <w:sz w:val="20"/>
          <w:szCs w:val="20"/>
        </w:rPr>
        <w:softHyphen/>
        <w:t>vislosti, a proto nic neříkají</w:t>
      </w:r>
      <w:r>
        <w:rPr>
          <w:i/>
          <w:iCs/>
          <w:sz w:val="20"/>
          <w:szCs w:val="20"/>
        </w:rPr>
        <w:softHyphen/>
        <w:t xml:space="preserve">cích. A nevšímáme si jich. Ale reportérská fixní idea potřeby </w:t>
      </w:r>
      <w:r>
        <w:rPr>
          <w:i/>
          <w:iCs/>
          <w:sz w:val="20"/>
          <w:szCs w:val="20"/>
          <w:lang w:val="en-US" w:eastAsia="en-US" w:bidi="en-US"/>
        </w:rPr>
        <w:t xml:space="preserve">epithet </w:t>
      </w:r>
      <w:r>
        <w:rPr>
          <w:i/>
          <w:iCs/>
          <w:sz w:val="20"/>
          <w:szCs w:val="20"/>
        </w:rPr>
        <w:t>trvá dále. Jsou však novinářská epithe</w:t>
      </w:r>
      <w:r>
        <w:rPr>
          <w:i/>
          <w:iCs/>
          <w:sz w:val="20"/>
          <w:szCs w:val="20"/>
        </w:rPr>
        <w:softHyphen/>
        <w:t>ta, kt</w:t>
      </w:r>
      <w:r>
        <w:rPr>
          <w:i/>
          <w:iCs/>
          <w:sz w:val="20"/>
          <w:szCs w:val="20"/>
        </w:rPr>
        <w:t>erá znamenají něco víc než jen snahu po efektním vylíčení a po nich už se naše oči vzpírají jen mecha</w:t>
      </w:r>
      <w:r>
        <w:rPr>
          <w:i/>
          <w:iCs/>
          <w:sz w:val="20"/>
          <w:szCs w:val="20"/>
        </w:rPr>
        <w:softHyphen/>
        <w:t>nicky klouzat. Epitheta totiž</w:t>
      </w:r>
    </w:p>
    <w:p w:rsidR="00500724" w:rsidRDefault="00500724">
      <w:pPr>
        <w:spacing w:line="36" w:lineRule="exact"/>
        <w:rPr>
          <w:sz w:val="3"/>
          <w:szCs w:val="3"/>
        </w:rPr>
      </w:pPr>
    </w:p>
    <w:p w:rsidR="00500724" w:rsidRDefault="00500724">
      <w:pPr>
        <w:spacing w:line="14" w:lineRule="exact"/>
        <w:sectPr w:rsidR="00500724">
          <w:footnotePr>
            <w:numFmt w:val="chicago"/>
            <w:numRestart w:val="eachPage"/>
          </w:footnotePr>
          <w:type w:val="continuous"/>
          <w:pgSz w:w="11909" w:h="16834"/>
          <w:pgMar w:top="1966" w:right="0" w:bottom="0" w:left="0" w:header="0" w:footer="3" w:gutter="0"/>
          <w:cols w:space="720"/>
          <w:noEndnote/>
          <w:docGrid w:linePitch="360"/>
        </w:sectPr>
      </w:pPr>
    </w:p>
    <w:p w:rsidR="00500724" w:rsidRDefault="00F30FB8">
      <w:pPr>
        <w:pStyle w:val="Nadpis120"/>
        <w:shd w:val="clear" w:color="auto" w:fill="auto"/>
        <w:spacing w:after="60"/>
        <w:ind w:left="0"/>
      </w:pPr>
      <w:bookmarkStart w:id="469" w:name="bookmark468"/>
      <w:r>
        <w:rPr>
          <w:rFonts w:ascii="Arial" w:eastAsia="Arial" w:hAnsi="Arial" w:cs="Arial"/>
        </w:rPr>
        <w:t>FEUILLETON</w:t>
      </w:r>
      <w:bookmarkEnd w:id="469"/>
    </w:p>
    <w:p w:rsidR="00500724" w:rsidRDefault="00F30FB8">
      <w:pPr>
        <w:pStyle w:val="Zkladntext90"/>
        <w:shd w:val="clear" w:color="auto" w:fill="auto"/>
        <w:spacing w:line="254" w:lineRule="auto"/>
        <w:ind w:firstLine="0"/>
        <w:jc w:val="left"/>
      </w:pPr>
      <w:r>
        <w:t>FRANTIŠEK KOVÁRNA:</w:t>
      </w:r>
    </w:p>
    <w:p w:rsidR="00500724" w:rsidRDefault="00F30FB8">
      <w:pPr>
        <w:pStyle w:val="Zkladntext100"/>
        <w:shd w:val="clear" w:color="auto" w:fill="auto"/>
        <w:spacing w:after="60" w:line="254" w:lineRule="auto"/>
        <w:ind w:firstLine="0"/>
        <w:jc w:val="left"/>
      </w:pPr>
      <w:r>
        <w:rPr>
          <w:b/>
          <w:bCs/>
        </w:rPr>
        <w:t>DOZDlLY DUŠI</w:t>
      </w:r>
    </w:p>
    <w:p w:rsidR="00500724" w:rsidRDefault="00F30FB8">
      <w:pPr>
        <w:pStyle w:val="Zkladntext90"/>
        <w:shd w:val="clear" w:color="auto" w:fill="auto"/>
      </w:pPr>
      <w:r>
        <w:t xml:space="preserve">Přiznáme se, že jsme pokládali za povinnost našeho </w:t>
      </w:r>
      <w:r>
        <w:t>denního tis</w:t>
      </w:r>
      <w:r>
        <w:softHyphen/>
        <w:t>ku odpověděti na slova o našem národě, která zazněla z úst hlavy dnešní Itálie a zaryla se hluboko do myslí našeho lidu. Netanulo nám na mysli nějaké plané a slovní odmítnutí, ale odpověď vy</w:t>
      </w:r>
      <w:r>
        <w:softHyphen/>
        <w:t>vážená z hlubin svědomí a záro</w:t>
      </w:r>
      <w:r>
        <w:softHyphen/>
        <w:t xml:space="preserve">veň diktovaná národní </w:t>
      </w:r>
      <w:r>
        <w:t>ctí a hrdo</w:t>
      </w:r>
      <w:r>
        <w:softHyphen/>
        <w:t>stí, kterou dovede pochopit právě německý národ, zakotvující v těchto pojmech vlastní život. A domníváme se. že každé uhýbání odpovědi, kterou si vymáhá ná</w:t>
      </w:r>
      <w:r>
        <w:softHyphen/>
        <w:t>rodní čest a hrdost, může způso</w:t>
      </w:r>
      <w:r>
        <w:softHyphen/>
        <w:t>bit jen zmatek v představách li</w:t>
      </w:r>
      <w:r>
        <w:softHyphen/>
        <w:t>du, který si nemůže necha</w:t>
      </w:r>
      <w:r>
        <w:t>t tako</w:t>
      </w:r>
      <w:r>
        <w:softHyphen/>
        <w:t>vá slova bez odpovědi, protože je mu život národa víc než pouhým životem, než životním standardem nebo blahobytem, než splněním pudu sebezáchovy, splněním fy</w:t>
      </w:r>
      <w:r>
        <w:softHyphen/>
        <w:t xml:space="preserve">sických a fysiologických úkolů mezi kolébkou a hrobem. Právě proto připínáme na okraj slov </w:t>
      </w:r>
      <w:r>
        <w:t xml:space="preserve">o našem národě vlastní odpověď. </w:t>
      </w:r>
      <w:r>
        <w:rPr>
          <w:rFonts w:ascii="Times New Roman" w:eastAsia="Times New Roman" w:hAnsi="Times New Roman" w:cs="Times New Roman"/>
          <w:b w:val="0"/>
          <w:bCs w:val="0"/>
          <w:sz w:val="15"/>
          <w:szCs w:val="15"/>
        </w:rPr>
        <w:t xml:space="preserve">A </w:t>
      </w:r>
      <w:r>
        <w:t>tu, řekněme, že jde nejprve o ne</w:t>
      </w:r>
      <w:r>
        <w:softHyphen/>
        <w:t>dorozumění, vyplývající z rozdílu duší. Německý národ nám zde rozumí patrně víc, jak svědčilo chování jeho armády, která do</w:t>
      </w:r>
      <w:r>
        <w:softHyphen/>
        <w:t>vedla respektovat dřívější odpůr</w:t>
      </w:r>
      <w:r>
        <w:softHyphen/>
        <w:t>ce. Protože se i v německém ná</w:t>
      </w:r>
      <w:r>
        <w:softHyphen/>
      </w:r>
      <w:r>
        <w:t>rodě vymezuje značné místo ges</w:t>
      </w:r>
      <w:r>
        <w:softHyphen/>
        <w:t>tu, musíme přece jen předpoklá</w:t>
      </w:r>
      <w:r>
        <w:softHyphen/>
        <w:t>dat rozdíl gesta severního a gesta jižního, gesta německého a gesta italského. Zde stačí vzít si za svědky umění a literaturu. Ital</w:t>
      </w:r>
      <w:r>
        <w:softHyphen/>
        <w:t>ské umění je dekorativní a deko</w:t>
      </w:r>
      <w:r>
        <w:softHyphen/>
        <w:t>rativní záměr znamená ve vý</w:t>
      </w:r>
      <w:r>
        <w:softHyphen/>
        <w:t>tv</w:t>
      </w:r>
      <w:r>
        <w:t>arném projevu totéž co řečnic</w:t>
      </w:r>
      <w:r>
        <w:softHyphen/>
        <w:t>ká, rétorická osnova v poesii. Ré</w:t>
      </w:r>
      <w:r>
        <w:softHyphen/>
        <w:t>torika v poesii, kterou uskutečňu</w:t>
      </w:r>
      <w:r>
        <w:softHyphen/>
        <w:t>je sám zvučný a vypracovaný ja</w:t>
      </w:r>
      <w:r>
        <w:softHyphen/>
        <w:t>zyk ve své literár. podobě - jak ré</w:t>
      </w:r>
      <w:r>
        <w:softHyphen/>
        <w:t>torický nám připadá i Pascoli, jak neunikli rétorice »crepuscolari«, fragmentaristé. ani fu</w:t>
      </w:r>
      <w:r>
        <w:t>turisté! — rétorika a dekorativnost tlumočí v umění, co znamená v jiné polo</w:t>
      </w:r>
      <w:r>
        <w:softHyphen/>
        <w:t xml:space="preserve">ze gesto. </w:t>
      </w:r>
      <w:r>
        <w:rPr>
          <w:rFonts w:ascii="Times New Roman" w:eastAsia="Times New Roman" w:hAnsi="Times New Roman" w:cs="Times New Roman"/>
          <w:b w:val="0"/>
          <w:bCs w:val="0"/>
          <w:sz w:val="15"/>
          <w:szCs w:val="15"/>
        </w:rPr>
        <w:t xml:space="preserve">Ať </w:t>
      </w:r>
      <w:r>
        <w:t>se nás jakkoliv dotý</w:t>
      </w:r>
      <w:r>
        <w:softHyphen/>
        <w:t>kají slova řečená o našem národě s přízvukem ortelu, nemusíme tvrdit, že se italské gesto podobá obsahem tomu, co míníme gestem u nás. Známe na št</w:t>
      </w:r>
      <w:r>
        <w:t xml:space="preserve">ěstí </w:t>
      </w:r>
      <w:r>
        <w:rPr>
          <w:lang w:val="en-US" w:eastAsia="en-US" w:bidi="en-US"/>
        </w:rPr>
        <w:t xml:space="preserve">d'Annun- </w:t>
      </w:r>
      <w:r>
        <w:t xml:space="preserve">zia, rétorického básníka a muže gesta, obychom z jeho výkonů za války a zejména z jeho letu nad Vídeň dovedli vytušit, že je pro italskou duši gesto plamen, na němž se rozehřívá k statečnosti, že je rétorika prostředek, kterým se vemlouvá do </w:t>
      </w:r>
      <w:r>
        <w:t>činů. Víme také, jak osamoceně působí v italské li</w:t>
      </w:r>
      <w:r>
        <w:softHyphen/>
        <w:t xml:space="preserve">teratuře </w:t>
      </w:r>
      <w:r>
        <w:rPr>
          <w:lang w:val="en-US" w:eastAsia="en-US" w:bidi="en-US"/>
        </w:rPr>
        <w:t xml:space="preserve">Pirandello, </w:t>
      </w:r>
      <w:r>
        <w:t>odhalující in</w:t>
      </w:r>
      <w:r>
        <w:softHyphen/>
        <w:t>dividuální i sociální tragikomiku gesta, a víme, že mohl k tomuto postoji dojít jen z půdy regionální literatury, se své Sicílie a proti »italské« literatuře rázu ďAnnun-</w:t>
      </w:r>
      <w:r>
        <w:t xml:space="preserve"> ziova nebo i Papiniho a že mohl získat tomuto postoji ozvěnu je</w:t>
      </w:r>
      <w:r>
        <w:softHyphen/>
        <w:t>nom v letech po válce. A nezapo</w:t>
      </w:r>
      <w:r>
        <w:softHyphen/>
        <w:t>mínáme ani, že se v Itálii před černými košilemi nosily košile garibaldiovské. Všechny ty věci si uvádíme na mysl, abychom cí</w:t>
      </w:r>
      <w:r>
        <w:softHyphen/>
        <w:t>tili, že je cesta k činům v Itáli</w:t>
      </w:r>
      <w:r>
        <w:t>i a cesta k činům u nás, kde se rodí tak málo dobrých řečníků, docela různá, čímž právě mohlo vznik</w:t>
      </w:r>
      <w:r>
        <w:softHyphen/>
        <w:t>nout nedorozumění a nepochope</w:t>
      </w:r>
      <w:r>
        <w:softHyphen/>
        <w:t>ní. jehož jsou ta tvrdá slova o našem národě výrazem. Vzpomí</w:t>
      </w:r>
      <w:r>
        <w:softHyphen/>
        <w:t xml:space="preserve">nám si mimoděk na jeden zážitek z Itálie. Musil jsem spát v roce </w:t>
      </w:r>
      <w:r>
        <w:t>1924 v jakési vesnici u Florencie a když se hostinský dověděl, od</w:t>
      </w:r>
      <w:r>
        <w:softHyphen/>
        <w:t>kud jsem, s mnoha slovy a s mno</w:t>
      </w:r>
      <w:r>
        <w:softHyphen/>
        <w:t>ha gesty mi vypravoval o našich legionářích. Setkal se s nimi na frontě a byli mu udivujícím vzo</w:t>
      </w:r>
      <w:r>
        <w:softHyphen/>
        <w:t>rem statečnosti, přesahující lid</w:t>
      </w:r>
      <w:r>
        <w:softHyphen/>
        <w:t>ské meze. Byl jsem pochopite</w:t>
      </w:r>
      <w:r>
        <w:t>lně potěšen tímto vysvědčením, jež dával našim lidem prostý italský člověk, ale z jeho líčení jsem naše legionáře nepoznával. Bylo na nich něco cizího. Ovšem, neboť si je bývalý italský voják mytholo- gisoval podle zákona své národní duše a tím už proti zp</w:t>
      </w:r>
      <w:r>
        <w:t>ůsobu čes</w:t>
      </w:r>
      <w:r>
        <w:softHyphen/>
        <w:t>ké statečnosti, která se neopírá o mythologii. Je-li italská předsta</w:t>
      </w:r>
      <w:r>
        <w:softHyphen/>
        <w:t>va statečnosti průsečníkem a vý</w:t>
      </w:r>
      <w:r>
        <w:softHyphen/>
        <w:t>slednicí gesta, rétoriky a mytho- logisace — jak jsme stále na pů</w:t>
      </w:r>
      <w:r>
        <w:softHyphen/>
        <w:t>dě antického ftíma! —. bylo by pošetilé čekat s této strany po</w:t>
      </w:r>
      <w:r>
        <w:softHyphen/>
        <w:t>chopení pro situ</w:t>
      </w:r>
      <w:r>
        <w:t>aci, v níž jsme se chovali tak, jak jsme se chovali. Nechceme se však jenom vymlu</w:t>
      </w:r>
      <w:r>
        <w:softHyphen/>
        <w:t>vit a omluvit rozdílem duší, roz</w:t>
      </w:r>
      <w:r>
        <w:softHyphen/>
        <w:t>dílem mezi vzpružinami stateč</w:t>
      </w:r>
      <w:r>
        <w:softHyphen/>
        <w:t>nosti v Itálii a u nás. ba dokonce</w:t>
      </w:r>
    </w:p>
    <w:p w:rsidR="00500724" w:rsidRDefault="00F30FB8">
      <w:pPr>
        <w:pStyle w:val="Zkladntext20"/>
        <w:shd w:val="clear" w:color="auto" w:fill="auto"/>
        <w:spacing w:line="180" w:lineRule="auto"/>
        <w:ind w:firstLine="0"/>
        <w:rPr>
          <w:sz w:val="20"/>
          <w:szCs w:val="20"/>
        </w:rPr>
      </w:pPr>
      <w:r>
        <w:rPr>
          <w:i/>
          <w:iCs/>
          <w:sz w:val="20"/>
          <w:szCs w:val="20"/>
        </w:rPr>
        <w:t>dovedou také dát celé zprávě tón, zabarvení — a na ten tón přehnaného nadšen</w:t>
      </w:r>
      <w:r>
        <w:rPr>
          <w:i/>
          <w:iCs/>
          <w:sz w:val="20"/>
          <w:szCs w:val="20"/>
        </w:rPr>
        <w:t xml:space="preserve">í či střízlivého uznání jsme dnes zvlášť </w:t>
      </w:r>
      <w:r>
        <w:rPr>
          <w:b/>
          <w:bCs/>
          <w:i/>
          <w:iCs/>
          <w:sz w:val="20"/>
          <w:szCs w:val="20"/>
        </w:rPr>
        <w:t xml:space="preserve">citliví. </w:t>
      </w:r>
      <w:r>
        <w:rPr>
          <w:i/>
          <w:iCs/>
          <w:sz w:val="20"/>
          <w:szCs w:val="20"/>
        </w:rPr>
        <w:t>Je možno říci o přehlídce,</w:t>
      </w:r>
      <w:r>
        <w:rPr>
          <w:b/>
          <w:bCs/>
          <w:sz w:val="19"/>
          <w:szCs w:val="19"/>
        </w:rPr>
        <w:t xml:space="preserve"> že </w:t>
      </w:r>
      <w:r>
        <w:rPr>
          <w:i/>
          <w:iCs/>
          <w:sz w:val="20"/>
          <w:szCs w:val="20"/>
        </w:rPr>
        <w:t>to byla &gt;skvě- lá podívaná na bezvadně vy</w:t>
      </w:r>
      <w:r>
        <w:rPr>
          <w:i/>
          <w:iCs/>
          <w:sz w:val="20"/>
          <w:szCs w:val="20"/>
        </w:rPr>
        <w:softHyphen/>
        <w:t>řízené řady zdravím kypících těl, jásavě pozdravované při- přihlížejícími zástupy*, a je stejně dobře možno o ní pro</w:t>
      </w:r>
      <w:r>
        <w:rPr>
          <w:i/>
          <w:iCs/>
          <w:sz w:val="20"/>
          <w:szCs w:val="20"/>
        </w:rPr>
        <w:softHyphen/>
        <w:t>stěji říci, že *ř</w:t>
      </w:r>
      <w:r>
        <w:rPr>
          <w:i/>
          <w:iCs/>
          <w:sz w:val="20"/>
          <w:szCs w:val="20"/>
        </w:rPr>
        <w:t>ady vojska ukázněně procházely přihlí</w:t>
      </w:r>
      <w:r>
        <w:rPr>
          <w:i/>
          <w:iCs/>
          <w:sz w:val="20"/>
          <w:szCs w:val="20"/>
        </w:rPr>
        <w:softHyphen/>
        <w:t>žejícími špalíry občanů*. Je možno o příjezdu významné úřední osoby říci, že *hostu letěly vstříc nadšené pozdra</w:t>
      </w:r>
      <w:r>
        <w:rPr>
          <w:i/>
          <w:iCs/>
          <w:sz w:val="20"/>
          <w:szCs w:val="20"/>
        </w:rPr>
        <w:softHyphen/>
        <w:t>vy zástupů rozjásaného ob</w:t>
      </w:r>
      <w:r>
        <w:rPr>
          <w:i/>
          <w:iCs/>
          <w:sz w:val="20"/>
          <w:szCs w:val="20"/>
        </w:rPr>
        <w:softHyphen/>
        <w:t>čanstva*, a je stejně dobře možno prostě a bez nabubře</w:t>
      </w:r>
      <w:r>
        <w:rPr>
          <w:i/>
          <w:iCs/>
          <w:sz w:val="20"/>
          <w:szCs w:val="20"/>
        </w:rPr>
        <w:softHyphen/>
        <w:t>losti zavánějící podllza</w:t>
      </w:r>
      <w:r>
        <w:rPr>
          <w:i/>
          <w:iCs/>
          <w:sz w:val="20"/>
          <w:szCs w:val="20"/>
        </w:rPr>
        <w:t>vostí říci, že ,&gt;byl občany hlavního města uctivě uvítán*. A tak dále, v příkladech by bylo možno pokračovat.</w:t>
      </w:r>
    </w:p>
    <w:p w:rsidR="00500724" w:rsidRDefault="00F30FB8">
      <w:pPr>
        <w:pStyle w:val="Zkladntext20"/>
        <w:shd w:val="clear" w:color="auto" w:fill="auto"/>
        <w:spacing w:line="185" w:lineRule="auto"/>
        <w:ind w:firstLine="200"/>
        <w:rPr>
          <w:sz w:val="20"/>
          <w:szCs w:val="20"/>
        </w:rPr>
      </w:pPr>
      <w:r>
        <w:rPr>
          <w:i/>
          <w:iCs/>
          <w:sz w:val="20"/>
          <w:szCs w:val="20"/>
        </w:rPr>
        <w:t>I epitheton má svou psy</w:t>
      </w:r>
      <w:r>
        <w:rPr>
          <w:i/>
          <w:iCs/>
          <w:sz w:val="20"/>
          <w:szCs w:val="20"/>
        </w:rPr>
        <w:softHyphen/>
        <w:t>chologii — i psychosu. Měli bychom uložit našim repor</w:t>
      </w:r>
      <w:r>
        <w:rPr>
          <w:i/>
          <w:iCs/>
          <w:sz w:val="20"/>
          <w:szCs w:val="20"/>
        </w:rPr>
        <w:softHyphen/>
        <w:t>térům, aby o ní trochu pře</w:t>
      </w:r>
      <w:r>
        <w:rPr>
          <w:i/>
          <w:iCs/>
          <w:sz w:val="20"/>
          <w:szCs w:val="20"/>
        </w:rPr>
        <w:softHyphen/>
        <w:t>mýšleli. Bylo nám řečeno s několika stran</w:t>
      </w:r>
      <w:r>
        <w:rPr>
          <w:i/>
          <w:iCs/>
          <w:sz w:val="20"/>
          <w:szCs w:val="20"/>
        </w:rPr>
        <w:t xml:space="preserve"> velmi rozum</w:t>
      </w:r>
      <w:r>
        <w:rPr>
          <w:i/>
          <w:iCs/>
          <w:sz w:val="20"/>
          <w:szCs w:val="20"/>
        </w:rPr>
        <w:softHyphen/>
        <w:t>ně, že od nás nikdo neočeká</w:t>
      </w:r>
      <w:r>
        <w:rPr>
          <w:i/>
          <w:iCs/>
          <w:sz w:val="20"/>
          <w:szCs w:val="20"/>
        </w:rPr>
        <w:softHyphen/>
        <w:t>vá nadšení tam, kde je nám nutno se smiřovat se skuteč</w:t>
      </w:r>
      <w:r>
        <w:rPr>
          <w:i/>
          <w:iCs/>
          <w:sz w:val="20"/>
          <w:szCs w:val="20"/>
        </w:rPr>
        <w:softHyphen/>
        <w:t>ností. Ti z nás, kdo toho po</w:t>
      </w:r>
      <w:r>
        <w:rPr>
          <w:i/>
          <w:iCs/>
          <w:sz w:val="20"/>
          <w:szCs w:val="20"/>
        </w:rPr>
        <w:softHyphen/>
        <w:t>třebovali, byli správně po</w:t>
      </w:r>
      <w:r>
        <w:rPr>
          <w:i/>
          <w:iCs/>
          <w:sz w:val="20"/>
          <w:szCs w:val="20"/>
        </w:rPr>
        <w:softHyphen/>
        <w:t>učeni, že úcty druhých</w:t>
      </w:r>
      <w:r>
        <w:rPr>
          <w:b/>
          <w:bCs/>
          <w:sz w:val="19"/>
          <w:szCs w:val="19"/>
        </w:rPr>
        <w:t xml:space="preserve"> si </w:t>
      </w:r>
      <w:r>
        <w:rPr>
          <w:i/>
          <w:iCs/>
          <w:sz w:val="20"/>
          <w:szCs w:val="20"/>
        </w:rPr>
        <w:t>ne</w:t>
      </w:r>
      <w:r>
        <w:rPr>
          <w:i/>
          <w:iCs/>
          <w:sz w:val="20"/>
          <w:szCs w:val="20"/>
        </w:rPr>
        <w:softHyphen/>
        <w:t>získáme překotným hrbením hřbetů, ale mužně přímým poměrem k událostem a no</w:t>
      </w:r>
      <w:r>
        <w:rPr>
          <w:i/>
          <w:iCs/>
          <w:sz w:val="20"/>
          <w:szCs w:val="20"/>
        </w:rPr>
        <w:t>vé situaci. Platilo to i pro tisko</w:t>
      </w:r>
      <w:r>
        <w:rPr>
          <w:i/>
          <w:iCs/>
          <w:sz w:val="20"/>
          <w:szCs w:val="20"/>
        </w:rPr>
        <w:softHyphen/>
        <w:t>vé reportéry. Jsou tací, kteří podle toho jednají, a jsou ji</w:t>
      </w:r>
      <w:r>
        <w:rPr>
          <w:i/>
          <w:iCs/>
          <w:sz w:val="20"/>
          <w:szCs w:val="20"/>
        </w:rPr>
        <w:softHyphen/>
        <w:t>ní, kteří si chtějí vysloužit právě opakem pochybné o- struhy pro sebe či pro svůj list, málo dbajíce, zda skreslí obraz vlastností českého člo</w:t>
      </w:r>
      <w:r>
        <w:rPr>
          <w:i/>
          <w:iCs/>
          <w:sz w:val="20"/>
          <w:szCs w:val="20"/>
        </w:rPr>
        <w:softHyphen/>
        <w:t>věka právě v očí</w:t>
      </w:r>
      <w:r>
        <w:rPr>
          <w:i/>
          <w:iCs/>
          <w:sz w:val="20"/>
          <w:szCs w:val="20"/>
        </w:rPr>
        <w:t>ch pozoro</w:t>
      </w:r>
      <w:r>
        <w:rPr>
          <w:i/>
          <w:iCs/>
          <w:sz w:val="20"/>
          <w:szCs w:val="20"/>
        </w:rPr>
        <w:softHyphen/>
        <w:t>vatelů, na nichž nám musí hodně záležet. Jsme přesvěd</w:t>
      </w:r>
      <w:r>
        <w:rPr>
          <w:i/>
          <w:iCs/>
          <w:sz w:val="20"/>
          <w:szCs w:val="20"/>
        </w:rPr>
        <w:softHyphen/>
        <w:t>čeni, že hýřením v epithetech si u Němců ty ostruhy nevy</w:t>
      </w:r>
      <w:r>
        <w:rPr>
          <w:i/>
          <w:iCs/>
          <w:sz w:val="20"/>
          <w:szCs w:val="20"/>
        </w:rPr>
        <w:softHyphen/>
        <w:t>slouží — jsou příliš realistic</w:t>
      </w:r>
      <w:r>
        <w:rPr>
          <w:i/>
          <w:iCs/>
          <w:sz w:val="20"/>
          <w:szCs w:val="20"/>
        </w:rPr>
        <w:softHyphen/>
        <w:t xml:space="preserve">ky založení, aby nedovedli rozeznat prázdnou </w:t>
      </w:r>
      <w:r>
        <w:rPr>
          <w:i/>
          <w:iCs/>
          <w:sz w:val="20"/>
          <w:szCs w:val="20"/>
          <w:lang w:val="en-US" w:eastAsia="en-US" w:bidi="en-US"/>
        </w:rPr>
        <w:t xml:space="preserve">bombas'- </w:t>
      </w:r>
      <w:r>
        <w:rPr>
          <w:i/>
          <w:iCs/>
          <w:sz w:val="20"/>
          <w:szCs w:val="20"/>
        </w:rPr>
        <w:t xml:space="preserve">tičnost od prosté přímosti. A u svých čtenářů si </w:t>
      </w:r>
      <w:r>
        <w:rPr>
          <w:i/>
          <w:iCs/>
          <w:sz w:val="20"/>
          <w:szCs w:val="20"/>
        </w:rPr>
        <w:t>je svou uspěchanou pílí nevyslouží teprve. Stojí proto opravdu za to, zamyslit se nad psy</w:t>
      </w:r>
      <w:r>
        <w:rPr>
          <w:i/>
          <w:iCs/>
          <w:sz w:val="20"/>
          <w:szCs w:val="20"/>
        </w:rPr>
        <w:softHyphen/>
        <w:t>chologií epitheta. Pro novi</w:t>
      </w:r>
      <w:r>
        <w:rPr>
          <w:i/>
          <w:iCs/>
          <w:sz w:val="20"/>
          <w:szCs w:val="20"/>
        </w:rPr>
        <w:softHyphen/>
        <w:t xml:space="preserve">náře i pro ty, kdož reportáže čtou. Psychologie a psychosa </w:t>
      </w:r>
      <w:r>
        <w:rPr>
          <w:i/>
          <w:iCs/>
          <w:sz w:val="20"/>
          <w:szCs w:val="20"/>
          <w:lang w:val="en-US" w:eastAsia="en-US" w:bidi="en-US"/>
        </w:rPr>
        <w:t xml:space="preserve">epithet </w:t>
      </w:r>
      <w:r>
        <w:rPr>
          <w:i/>
          <w:iCs/>
          <w:sz w:val="20"/>
          <w:szCs w:val="20"/>
        </w:rPr>
        <w:t>řekne hodně i o psy</w:t>
      </w:r>
      <w:r>
        <w:rPr>
          <w:i/>
          <w:iCs/>
          <w:sz w:val="20"/>
          <w:szCs w:val="20"/>
        </w:rPr>
        <w:softHyphen/>
        <w:t>chologii a psychose těch, kdo jich užívají a naduži</w:t>
      </w:r>
      <w:r>
        <w:rPr>
          <w:i/>
          <w:iCs/>
          <w:sz w:val="20"/>
          <w:szCs w:val="20"/>
        </w:rPr>
        <w:t>vaji.</w:t>
      </w:r>
    </w:p>
    <w:p w:rsidR="00500724" w:rsidRDefault="00F30FB8">
      <w:pPr>
        <w:pStyle w:val="Zkladntext20"/>
        <w:shd w:val="clear" w:color="auto" w:fill="auto"/>
        <w:spacing w:after="180" w:line="185" w:lineRule="auto"/>
        <w:ind w:firstLine="0"/>
        <w:jc w:val="right"/>
        <w:rPr>
          <w:sz w:val="20"/>
          <w:szCs w:val="20"/>
        </w:rPr>
      </w:pPr>
      <w:r>
        <w:rPr>
          <w:b/>
          <w:bCs/>
          <w:i/>
          <w:iCs/>
          <w:sz w:val="20"/>
          <w:szCs w:val="20"/>
        </w:rPr>
        <w:t>■^Kritický měsíčník*</w:t>
      </w:r>
    </w:p>
    <w:p w:rsidR="00500724" w:rsidRDefault="00F30FB8">
      <w:pPr>
        <w:pStyle w:val="Zkladntext40"/>
        <w:shd w:val="clear" w:color="auto" w:fill="auto"/>
        <w:spacing w:after="100" w:line="194" w:lineRule="auto"/>
        <w:rPr>
          <w:sz w:val="16"/>
          <w:szCs w:val="16"/>
        </w:rPr>
      </w:pPr>
      <w:r>
        <w:rPr>
          <w:b/>
          <w:bCs/>
          <w:sz w:val="16"/>
          <w:szCs w:val="16"/>
        </w:rPr>
        <w:t>v jistém smyslu ta tvrdá slova o našem národě vítáme jako příle</w:t>
      </w:r>
      <w:r>
        <w:rPr>
          <w:b/>
          <w:bCs/>
          <w:sz w:val="16"/>
          <w:szCs w:val="16"/>
        </w:rPr>
        <w:softHyphen/>
        <w:t xml:space="preserve">žitost k zpytováni svědomí, stále </w:t>
      </w:r>
      <w:r>
        <w:rPr>
          <w:b/>
          <w:bCs/>
          <w:sz w:val="14"/>
          <w:szCs w:val="14"/>
        </w:rPr>
        <w:t xml:space="preserve">ovšem </w:t>
      </w:r>
      <w:r>
        <w:rPr>
          <w:b/>
          <w:bCs/>
          <w:sz w:val="16"/>
          <w:szCs w:val="16"/>
        </w:rPr>
        <w:t xml:space="preserve">v přesvědčení, že bychom mohli sotva kdy svým chováním nspokojlt italský životní postoj. Jako v každém národě 1 u nás jsou </w:t>
      </w:r>
      <w:r>
        <w:rPr>
          <w:b/>
          <w:bCs/>
          <w:sz w:val="16"/>
          <w:szCs w:val="16"/>
        </w:rPr>
        <w:t>lidé a jsou polohy, kam pad</w:t>
      </w:r>
      <w:r>
        <w:rPr>
          <w:b/>
          <w:bCs/>
          <w:sz w:val="16"/>
          <w:szCs w:val="16"/>
        </w:rPr>
        <w:softHyphen/>
        <w:t>nou ta tvrdá slova právem jako memento a doufejme, že zasáh</w:t>
      </w:r>
      <w:r>
        <w:rPr>
          <w:b/>
          <w:bCs/>
          <w:sz w:val="16"/>
          <w:szCs w:val="16"/>
        </w:rPr>
        <w:softHyphen/>
        <w:t>nou 1 svědomí. A právě proto, že věříme ve zdraví svého národa, nejen ve zdraví, ale i ve stateč</w:t>
      </w:r>
      <w:r>
        <w:rPr>
          <w:b/>
          <w:bCs/>
          <w:sz w:val="16"/>
          <w:szCs w:val="16"/>
        </w:rPr>
        <w:softHyphen/>
        <w:t>nost, která byla nejednou osvěd</w:t>
      </w:r>
      <w:r>
        <w:rPr>
          <w:b/>
          <w:bCs/>
          <w:sz w:val="16"/>
          <w:szCs w:val="16"/>
        </w:rPr>
        <w:softHyphen/>
        <w:t>čena, zejména lidem a muži z li</w:t>
      </w:r>
      <w:r>
        <w:rPr>
          <w:b/>
          <w:bCs/>
          <w:sz w:val="16"/>
          <w:szCs w:val="16"/>
        </w:rPr>
        <w:softHyphen/>
        <w:t>du za o</w:t>
      </w:r>
      <w:r>
        <w:rPr>
          <w:b/>
          <w:bCs/>
          <w:sz w:val="16"/>
          <w:szCs w:val="16"/>
        </w:rPr>
        <w:t>sudových událostí, ne</w:t>
      </w:r>
      <w:r>
        <w:rPr>
          <w:b/>
          <w:bCs/>
          <w:sz w:val="16"/>
          <w:szCs w:val="16"/>
        </w:rPr>
        <w:softHyphen/>
        <w:t>dleme se tvrdým slovům, vyslo</w:t>
      </w:r>
      <w:r>
        <w:rPr>
          <w:b/>
          <w:bCs/>
          <w:sz w:val="16"/>
          <w:szCs w:val="16"/>
        </w:rPr>
        <w:softHyphen/>
        <w:t>veným z jiného postoje, než Je náš, uhnout, nechceme se vymlu</w:t>
      </w:r>
      <w:r>
        <w:rPr>
          <w:b/>
          <w:bCs/>
          <w:sz w:val="16"/>
          <w:szCs w:val="16"/>
        </w:rPr>
        <w:softHyphen/>
        <w:t>vit ani naši příslovečnou střízli</w:t>
      </w:r>
      <w:r>
        <w:rPr>
          <w:b/>
          <w:bCs/>
          <w:sz w:val="16"/>
          <w:szCs w:val="16"/>
        </w:rPr>
        <w:softHyphen/>
      </w:r>
    </w:p>
    <w:p w:rsidR="00500724" w:rsidRDefault="00F30FB8">
      <w:pPr>
        <w:pStyle w:val="Nadpis120"/>
        <w:shd w:val="clear" w:color="auto" w:fill="auto"/>
        <w:spacing w:after="100"/>
        <w:ind w:left="0"/>
      </w:pPr>
      <w:bookmarkStart w:id="470" w:name="bookmark469"/>
      <w:r>
        <w:rPr>
          <w:rFonts w:ascii="Arial" w:eastAsia="Arial" w:hAnsi="Arial" w:cs="Arial"/>
        </w:rPr>
        <w:t>POZNÁMKY</w:t>
      </w:r>
      <w:bookmarkEnd w:id="470"/>
    </w:p>
    <w:p w:rsidR="00500724" w:rsidRDefault="00F30FB8">
      <w:pPr>
        <w:pStyle w:val="Zkladntext40"/>
        <w:shd w:val="clear" w:color="auto" w:fill="auto"/>
        <w:spacing w:after="0" w:line="190" w:lineRule="auto"/>
        <w:jc w:val="left"/>
        <w:rPr>
          <w:sz w:val="14"/>
          <w:szCs w:val="14"/>
        </w:rPr>
      </w:pPr>
      <w:r>
        <w:rPr>
          <w:b/>
          <w:bCs/>
          <w:sz w:val="14"/>
          <w:szCs w:val="14"/>
        </w:rPr>
        <w:t>Jan Mukařovský:</w:t>
      </w:r>
    </w:p>
    <w:p w:rsidR="00500724" w:rsidRDefault="00F30FB8">
      <w:pPr>
        <w:pStyle w:val="Zkladntext100"/>
        <w:shd w:val="clear" w:color="auto" w:fill="auto"/>
        <w:spacing w:after="60" w:line="204" w:lineRule="auto"/>
        <w:ind w:firstLine="0"/>
        <w:jc w:val="left"/>
      </w:pPr>
      <w:r>
        <w:rPr>
          <w:b/>
          <w:bCs/>
        </w:rPr>
        <w:t>PRÓZA KARLA ČAPKA JAKO LYRICKÁ MELODIE A DIALOG</w:t>
      </w:r>
    </w:p>
    <w:p w:rsidR="00500724" w:rsidRDefault="00F30FB8">
      <w:pPr>
        <w:pStyle w:val="Zkladntext40"/>
        <w:shd w:val="clear" w:color="auto" w:fill="auto"/>
        <w:spacing w:after="0"/>
        <w:ind w:firstLine="180"/>
      </w:pPr>
      <w:r>
        <w:rPr>
          <w:b/>
          <w:bCs/>
          <w:sz w:val="14"/>
          <w:szCs w:val="14"/>
        </w:rPr>
        <w:t xml:space="preserve">m. </w:t>
      </w:r>
      <w:r>
        <w:t>Ty že jsi krásná? ProC krás</w:t>
      </w:r>
      <w:r>
        <w:softHyphen/>
        <w:t>ná?</w:t>
      </w:r>
      <w:r>
        <w:t xml:space="preserve"> Jsou krásné vlasy, které tě jen tíži? Jsou krásné oěl, které zaví</w:t>
      </w:r>
      <w:r>
        <w:softHyphen/>
        <w:t>ráš? Jsou krásné rty, do kterých se jen koušeš, aby to bolelo? Co je to, naé je to, být krásná? (R. U. R„ dějství třetí.)</w:t>
      </w:r>
    </w:p>
    <w:p w:rsidR="00500724" w:rsidRDefault="00F30FB8">
      <w:pPr>
        <w:pStyle w:val="Zkladntext40"/>
        <w:shd w:val="clear" w:color="auto" w:fill="auto"/>
        <w:spacing w:after="0"/>
        <w:ind w:firstLine="180"/>
      </w:pPr>
      <w:r>
        <w:t>Já žaluju vědu! 2aluju techni</w:t>
      </w:r>
      <w:r>
        <w:softHyphen/>
        <w:t>ku! Domina! sebe! nás všechny! My, my</w:t>
      </w:r>
      <w:r>
        <w:t xml:space="preserve"> Jsme vinni! Pro své veli</w:t>
      </w:r>
      <w:r>
        <w:softHyphen/>
        <w:t>kášství, pro něčí zisky, pro po</w:t>
      </w:r>
      <w:r>
        <w:softHyphen/>
        <w:t>krok, Já nevím, pro jaké náramné věci jsme zabili lidstvo! Nu tak praskněte svou velikosti! Tak ohromnou mohylu z lidských kos</w:t>
      </w:r>
      <w:r>
        <w:softHyphen/>
        <w:t>ti sl nepostavil žádný Džingls- chán! (R. U. R„ II. akt.)</w:t>
      </w:r>
    </w:p>
    <w:p w:rsidR="00500724" w:rsidRDefault="00F30FB8">
      <w:pPr>
        <w:pStyle w:val="Zkladntext40"/>
        <w:shd w:val="clear" w:color="auto" w:fill="auto"/>
        <w:spacing w:after="0" w:line="170" w:lineRule="auto"/>
        <w:ind w:firstLine="180"/>
      </w:pPr>
      <w:r>
        <w:t>Může také Jit</w:t>
      </w:r>
      <w:r>
        <w:t xml:space="preserve"> o opakování Into</w:t>
      </w:r>
      <w:r>
        <w:softHyphen/>
        <w:t>načního motivu, nesené a podpo</w:t>
      </w:r>
      <w:r>
        <w:softHyphen/>
      </w:r>
      <w:r>
        <w:rPr>
          <w:sz w:val="18"/>
          <w:szCs w:val="18"/>
        </w:rPr>
        <w:t xml:space="preserve">rované </w:t>
      </w:r>
      <w:r>
        <w:t>vracením se nějakého slo</w:t>
      </w:r>
      <w:r>
        <w:softHyphen/>
        <w:t>va. gramatického tvaru (na př. Imperativu), Částice (na př. zápo</w:t>
      </w:r>
      <w:r>
        <w:softHyphen/>
        <w:t>ru):</w:t>
      </w:r>
    </w:p>
    <w:p w:rsidR="00500724" w:rsidRDefault="00F30FB8">
      <w:pPr>
        <w:pStyle w:val="Zkladntext40"/>
        <w:shd w:val="clear" w:color="auto" w:fill="auto"/>
        <w:spacing w:after="0" w:line="173" w:lineRule="auto"/>
        <w:ind w:firstLine="180"/>
        <w:rPr>
          <w:sz w:val="18"/>
          <w:szCs w:val="18"/>
        </w:rPr>
      </w:pPr>
      <w:r>
        <w:t>Kdo by stál nahoře nad lomy, viděl by celou ves jako na dlani; viděl by dítě, jež křiCíc a vzlyka</w:t>
      </w:r>
      <w:r>
        <w:softHyphen/>
        <w:t>jíc utí</w:t>
      </w:r>
      <w:r>
        <w:t>ká domů; viděl by vyběh</w:t>
      </w:r>
      <w:r>
        <w:softHyphen/>
        <w:t xml:space="preserve">nout drobnou mužskou postavu a spěchatl po vsi s rozčileným chvatem mravence, (Boži muka, </w:t>
      </w:r>
      <w:r>
        <w:rPr>
          <w:sz w:val="18"/>
          <w:szCs w:val="18"/>
        </w:rPr>
        <w:t>Hora.)</w:t>
      </w:r>
    </w:p>
    <w:p w:rsidR="00500724" w:rsidRDefault="00F30FB8">
      <w:pPr>
        <w:pStyle w:val="Zkladntext40"/>
        <w:shd w:val="clear" w:color="auto" w:fill="auto"/>
        <w:spacing w:after="0"/>
        <w:ind w:firstLine="180"/>
      </w:pPr>
      <w:r>
        <w:t>Bože, osvit Domina a všechny ty, kdož bloudí; znič jejich dílo a dopomoz lidem, aby se vrátili k starosti a práci; zadrž před zká</w:t>
      </w:r>
      <w:r>
        <w:softHyphen/>
        <w:t>zou p</w:t>
      </w:r>
      <w:r>
        <w:t>okolení lidské; nedopusť, aby vzali škody na duši a těle; zbav nás robotů, a chraň paní Helenu, amen, (R. U. R„ dějství první.)</w:t>
      </w:r>
    </w:p>
    <w:p w:rsidR="00500724" w:rsidRDefault="00F30FB8">
      <w:pPr>
        <w:pStyle w:val="Zkladntext40"/>
        <w:shd w:val="clear" w:color="auto" w:fill="auto"/>
        <w:spacing w:after="0"/>
        <w:ind w:firstLine="180"/>
      </w:pPr>
      <w:r>
        <w:t>Ach, Heleno, Robotko Heleno, nikdy tedy tvé tělo neoživne, ne</w:t>
      </w:r>
      <w:r>
        <w:softHyphen/>
        <w:t>budeš milenkou, nebudeš matkou; tyhle dokonalé ruce si nebudou hrá</w:t>
      </w:r>
      <w:r>
        <w:t>t se zrozeňátkem, neuvidíš svou krásu v kráse svého dítěte — (R. U. R„ dějství první.)</w:t>
      </w:r>
    </w:p>
    <w:p w:rsidR="00500724" w:rsidRDefault="00F30FB8">
      <w:pPr>
        <w:pStyle w:val="Zkladntext40"/>
        <w:shd w:val="clear" w:color="auto" w:fill="auto"/>
        <w:spacing w:after="0"/>
        <w:ind w:firstLine="180"/>
      </w:pPr>
      <w:r>
        <w:t xml:space="preserve">Intonační </w:t>
      </w:r>
      <w:r>
        <w:rPr>
          <w:lang w:val="en-US" w:eastAsia="en-US" w:bidi="en-US"/>
        </w:rPr>
        <w:t xml:space="preserve">schema </w:t>
      </w:r>
      <w:r>
        <w:t>jednou vytvo</w:t>
      </w:r>
      <w:r>
        <w:softHyphen/>
        <w:t>řené může však v povědomí (ne</w:t>
      </w:r>
      <w:r>
        <w:softHyphen/>
        <w:t>bo spíše: podvědomí) básníkově utkvět jako trvalá formule, jež se může vyskytovat 1 na vzájem</w:t>
      </w:r>
      <w:r>
        <w:softHyphen/>
        <w:t>ně velmi odlehl</w:t>
      </w:r>
      <w:r>
        <w:t>ých místech jeho děl; taková formule stává se trvalou souCástl básníkova reper</w:t>
      </w:r>
      <w:r>
        <w:softHyphen/>
        <w:t>toáru tvárných prostředků. Tak na př. v povídce »Hora« (Boží muka) nacházíme — na začátku jedné z kapitol — větu: &gt;Smut- nějši než noc je úsvit dne«. Je v nl slovosledná Inverse</w:t>
      </w:r>
      <w:r>
        <w:t>: věta začí</w:t>
      </w:r>
      <w:r>
        <w:softHyphen/>
        <w:t>ná doplňkem. Právě proto, že jde o začátek tekstového úseku, není k Inversi dán důvod kontekstem předcházejícím, a větná konstruk</w:t>
      </w:r>
      <w:r>
        <w:softHyphen/>
        <w:t>ce působí proto jako Intonační útvar, vyvolaný toliko záměrem uměleckým, jako melodický mo</w:t>
      </w:r>
      <w:r>
        <w:softHyphen/>
        <w:t>tiv, chceme-li. A týž m</w:t>
      </w:r>
      <w:r>
        <w:t>elodický motiv shledáváme — opět na za</w:t>
      </w:r>
      <w:r>
        <w:softHyphen/>
        <w:t>čátku, tentokrát celé povídky — v »Historli beze slov« (Boži mu</w:t>
      </w:r>
      <w:r>
        <w:softHyphen/>
        <w:t>ka): »Hluboké jsou lesy v noci jako beze dna tůň ,..«</w:t>
      </w:r>
    </w:p>
    <w:p w:rsidR="00500724" w:rsidRDefault="00F30FB8">
      <w:pPr>
        <w:pStyle w:val="Zkladntext40"/>
        <w:shd w:val="clear" w:color="auto" w:fill="auto"/>
        <w:spacing w:after="0"/>
        <w:ind w:firstLine="180"/>
        <w:jc w:val="left"/>
      </w:pPr>
      <w:r>
        <w:t>Podobně celý intonační útvar již výše citovaný:</w:t>
      </w:r>
    </w:p>
    <w:p w:rsidR="00500724" w:rsidRDefault="00F30FB8">
      <w:pPr>
        <w:pStyle w:val="Zkladntext40"/>
        <w:shd w:val="clear" w:color="auto" w:fill="auto"/>
        <w:spacing w:after="180"/>
        <w:ind w:firstLine="180"/>
      </w:pPr>
      <w:r>
        <w:t xml:space="preserve">Kdo by stál nahoře nad lomy, viděl by celou ves </w:t>
      </w:r>
      <w:r>
        <w:t>jako na dlani; viděl by dítě, jež křičíc a vzlyka</w:t>
      </w:r>
      <w:r>
        <w:softHyphen/>
        <w:t>jíc utíká domů; viděl by vyběh</w:t>
      </w:r>
      <w:r>
        <w:softHyphen/>
        <w:t>nout drobnou mužskou postavu a spěchat! po vsi s rozčileným chvatem mravence. (Boži muka, Hora),</w:t>
      </w:r>
    </w:p>
    <w:p w:rsidR="00500724" w:rsidRDefault="00F30FB8">
      <w:pPr>
        <w:pStyle w:val="Zkladntext40"/>
        <w:shd w:val="clear" w:color="auto" w:fill="auto"/>
        <w:spacing w:after="0" w:line="204" w:lineRule="auto"/>
        <w:rPr>
          <w:sz w:val="16"/>
          <w:szCs w:val="16"/>
        </w:rPr>
      </w:pPr>
      <w:r>
        <w:rPr>
          <w:b/>
          <w:bCs/>
          <w:sz w:val="16"/>
          <w:szCs w:val="16"/>
        </w:rPr>
        <w:t xml:space="preserve">vosti. My se jich prostě nebojíme, pro náš národ ortelem nejsou a obsahují-11 </w:t>
      </w:r>
      <w:r>
        <w:rPr>
          <w:b/>
          <w:bCs/>
          <w:sz w:val="16"/>
          <w:szCs w:val="16"/>
        </w:rPr>
        <w:t>při rozdílu postoje obou národů něco platícího a zá</w:t>
      </w:r>
      <w:r>
        <w:rPr>
          <w:b/>
          <w:bCs/>
          <w:sz w:val="16"/>
          <w:szCs w:val="16"/>
        </w:rPr>
        <w:softHyphen/>
        <w:t>vazného také pro nás. 1 to st mu</w:t>
      </w:r>
      <w:r>
        <w:rPr>
          <w:b/>
          <w:bCs/>
          <w:sz w:val="16"/>
          <w:szCs w:val="16"/>
        </w:rPr>
        <w:softHyphen/>
        <w:t>síme vyřešit, nalézt a zařídit na svém a ze svého nebo ze svého a na svém překonat, počínaje patr</w:t>
      </w:r>
      <w:r>
        <w:rPr>
          <w:b/>
          <w:bCs/>
          <w:sz w:val="16"/>
          <w:szCs w:val="16"/>
        </w:rPr>
        <w:softHyphen/>
        <w:t>ně právě onou filosofii stařečků, kteři se mohou živl a zdrávi pro</w:t>
      </w:r>
      <w:r>
        <w:rPr>
          <w:b/>
          <w:bCs/>
          <w:sz w:val="16"/>
          <w:szCs w:val="16"/>
        </w:rPr>
        <w:softHyphen/>
        <w:t>cházet</w:t>
      </w:r>
      <w:r>
        <w:rPr>
          <w:b/>
          <w:bCs/>
          <w:sz w:val="16"/>
          <w:szCs w:val="16"/>
        </w:rPr>
        <w:t xml:space="preserve"> v parcích. A je-11 v oněch slovech, vyvěrajících z nedoroz</w:t>
      </w:r>
      <w:r>
        <w:rPr>
          <w:b/>
          <w:bCs/>
          <w:sz w:val="16"/>
          <w:szCs w:val="16"/>
        </w:rPr>
        <w:softHyphen/>
        <w:t>uměni, obsaženo i něco jako rána, které se nám dostalo v těžké chvili, i tu ránu přijímáme jako výzvu, na niž musíme odpovědět vlastním osudem, ale ne Italsky, ani německy, nýbrž česky.</w:t>
      </w:r>
    </w:p>
    <w:p w:rsidR="00500724" w:rsidRDefault="00F30FB8">
      <w:pPr>
        <w:pStyle w:val="Zkladntext40"/>
        <w:shd w:val="clear" w:color="auto" w:fill="auto"/>
        <w:spacing w:after="0" w:line="204" w:lineRule="auto"/>
        <w:jc w:val="right"/>
        <w:rPr>
          <w:sz w:val="16"/>
          <w:szCs w:val="16"/>
        </w:rPr>
      </w:pPr>
      <w:r>
        <w:rPr>
          <w:b/>
          <w:bCs/>
          <w:sz w:val="16"/>
          <w:szCs w:val="16"/>
        </w:rPr>
        <w:t xml:space="preserve">sKrltlcký </w:t>
      </w:r>
      <w:r>
        <w:rPr>
          <w:b/>
          <w:bCs/>
          <w:sz w:val="16"/>
          <w:szCs w:val="16"/>
        </w:rPr>
        <w:t>měsíčník*.</w:t>
      </w:r>
    </w:p>
    <w:p w:rsidR="00500724" w:rsidRDefault="00F30FB8">
      <w:pPr>
        <w:pStyle w:val="Zkladntext40"/>
        <w:shd w:val="clear" w:color="auto" w:fill="auto"/>
        <w:spacing w:after="0" w:line="163" w:lineRule="auto"/>
      </w:pPr>
      <w:r>
        <w:t xml:space="preserve">vyskytuje se </w:t>
      </w:r>
      <w:r>
        <w:rPr>
          <w:sz w:val="18"/>
          <w:szCs w:val="18"/>
        </w:rPr>
        <w:t xml:space="preserve">v </w:t>
      </w:r>
      <w:r>
        <w:t xml:space="preserve">dalším kontekstu téže povídky, </w:t>
      </w:r>
      <w:r>
        <w:rPr>
          <w:sz w:val="18"/>
          <w:szCs w:val="18"/>
        </w:rPr>
        <w:t xml:space="preserve">na </w:t>
      </w:r>
      <w:r>
        <w:t>místě od první</w:t>
      </w:r>
      <w:r>
        <w:softHyphen/>
        <w:t>ho odlehlém, beze vší spojitosti s citátem prvním, ještě jednou v této podobě;</w:t>
      </w:r>
    </w:p>
    <w:p w:rsidR="00500724" w:rsidRDefault="00F30FB8">
      <w:pPr>
        <w:pStyle w:val="Zkladntext40"/>
        <w:shd w:val="clear" w:color="auto" w:fill="auto"/>
        <w:spacing w:after="0"/>
        <w:ind w:firstLine="160"/>
      </w:pPr>
      <w:r>
        <w:t>Jevíšek pohlížel blankytně, krátkozrace na své hosty; viděl Pllbauera nepohnutě dumat s oči</w:t>
      </w:r>
      <w:r>
        <w:softHyphen/>
        <w:t>ma sklopen</w:t>
      </w:r>
      <w:r>
        <w:t>ýma. Jako by něčeho vzpomínal; viděl Slavíka hrýzti se hořem výčitek a sebemučenl; viděl komisaře, jak zmořen, zna</w:t>
      </w:r>
      <w:r>
        <w:softHyphen/>
        <w:t>ven poklesá smutkem a slabosti chorého dítěte (tamtéž),</w:t>
      </w:r>
    </w:p>
    <w:p w:rsidR="00500724" w:rsidRDefault="00F30FB8">
      <w:pPr>
        <w:pStyle w:val="Zkladntext40"/>
        <w:shd w:val="clear" w:color="auto" w:fill="auto"/>
        <w:spacing w:after="0"/>
        <w:ind w:firstLine="160"/>
      </w:pPr>
      <w:r>
        <w:t xml:space="preserve">V obou případech opakované sloveso »viděl (by)« uvádí Jisté intonační </w:t>
      </w:r>
      <w:r>
        <w:rPr>
          <w:lang w:val="en-US" w:eastAsia="en-US" w:bidi="en-US"/>
        </w:rPr>
        <w:t xml:space="preserve">schema </w:t>
      </w:r>
      <w:r>
        <w:t>několikr</w:t>
      </w:r>
      <w:r>
        <w:t>át opě</w:t>
      </w:r>
      <w:r>
        <w:softHyphen/>
        <w:t>tované; dvojí výskyt takového útvaru není však v nijak vzájem</w:t>
      </w:r>
      <w:r>
        <w:softHyphen/>
        <w:t>né souvislosti, druhé z těchto míst nesměřuje k tomu, aby čte</w:t>
      </w:r>
      <w:r>
        <w:softHyphen/>
        <w:t>náři bylo nějak připomenuto místo prvni.</w:t>
      </w:r>
    </w:p>
    <w:p w:rsidR="00500724" w:rsidRDefault="00F30FB8">
      <w:pPr>
        <w:pStyle w:val="Zkladntext100"/>
        <w:shd w:val="clear" w:color="auto" w:fill="auto"/>
        <w:spacing w:line="149" w:lineRule="auto"/>
        <w:ind w:firstLine="160"/>
      </w:pPr>
      <w:r>
        <w:t>Jinak Je tomu v případě násle</w:t>
      </w:r>
      <w:r>
        <w:softHyphen/>
        <w:t>dujícím. vzatém rovněž z povíd</w:t>
      </w:r>
      <w:r>
        <w:softHyphen/>
        <w:t xml:space="preserve">ky »Hora«. Nacházíme v </w:t>
      </w:r>
      <w:r>
        <w:t>nl tuto P&amp;SáŽ!</w:t>
      </w:r>
    </w:p>
    <w:p w:rsidR="00500724" w:rsidRDefault="00F30FB8">
      <w:pPr>
        <w:pStyle w:val="Zkladntext40"/>
        <w:shd w:val="clear" w:color="auto" w:fill="auto"/>
        <w:spacing w:after="0"/>
        <w:ind w:firstLine="160"/>
      </w:pPr>
      <w:r>
        <w:t xml:space="preserve">»ToÍik Je vás?« mluvil hlas </w:t>
      </w:r>
      <w:r>
        <w:rPr>
          <w:sz w:val="18"/>
          <w:szCs w:val="18"/>
        </w:rPr>
        <w:t xml:space="preserve">se </w:t>
      </w:r>
      <w:r>
        <w:t xml:space="preserve">svrchovanou hořkosti. »To Je hanba! Co si teď počnu? Bože, </w:t>
      </w:r>
      <w:r>
        <w:rPr>
          <w:sz w:val="18"/>
          <w:szCs w:val="18"/>
        </w:rPr>
        <w:t xml:space="preserve">6 </w:t>
      </w:r>
      <w:r>
        <w:t>Bože, co si počnu?*</w:t>
      </w:r>
    </w:p>
    <w:p w:rsidR="00500724" w:rsidRDefault="00F30FB8">
      <w:pPr>
        <w:pStyle w:val="Zkladntext40"/>
        <w:shd w:val="clear" w:color="auto" w:fill="auto"/>
        <w:spacing w:after="0"/>
        <w:ind w:firstLine="160"/>
      </w:pPr>
      <w:r>
        <w:t>Jevíšek ustrnul v bolestných rozpacích.</w:t>
      </w:r>
    </w:p>
    <w:p w:rsidR="00500724" w:rsidRDefault="00F30FB8">
      <w:pPr>
        <w:pStyle w:val="Zkladntext40"/>
        <w:shd w:val="clear" w:color="auto" w:fill="auto"/>
        <w:spacing w:after="0"/>
        <w:ind w:firstLine="160"/>
      </w:pPr>
      <w:r>
        <w:t>»Ježíši Kriste,* bědoval hlas, »co si teď počnu? Obklíčili horu .. Kriste Ježíši!*</w:t>
      </w:r>
    </w:p>
    <w:p w:rsidR="00500724" w:rsidRDefault="00F30FB8">
      <w:pPr>
        <w:pStyle w:val="Zkladntext40"/>
        <w:shd w:val="clear" w:color="auto" w:fill="auto"/>
        <w:spacing w:after="0"/>
        <w:ind w:firstLine="160"/>
      </w:pPr>
      <w:r>
        <w:t>Světel</w:t>
      </w:r>
      <w:r>
        <w:t>ná bělost naplnila srdce Jevíškovo. »Pane,« začal chvějivě.</w:t>
      </w:r>
    </w:p>
    <w:p w:rsidR="00500724" w:rsidRDefault="00F30FB8">
      <w:pPr>
        <w:pStyle w:val="Zkladntext40"/>
        <w:shd w:val="clear" w:color="auto" w:fill="auto"/>
        <w:spacing w:after="0"/>
        <w:ind w:firstLine="160"/>
      </w:pPr>
      <w:r>
        <w:t>»Co sl teď počnu,* třásl se v mlze hlas. »Jsem ztracen! ztracen! ztracen! O Bože, Jak Je to mož</w:t>
      </w:r>
      <w:r>
        <w:softHyphen/>
        <w:t>no!*</w:t>
      </w:r>
    </w:p>
    <w:p w:rsidR="00500724" w:rsidRDefault="00F30FB8">
      <w:pPr>
        <w:pStyle w:val="Zkladntext40"/>
        <w:shd w:val="clear" w:color="auto" w:fill="auto"/>
        <w:spacing w:after="0"/>
        <w:ind w:firstLine="160"/>
      </w:pPr>
      <w:r>
        <w:t>rPomohu vám, pane,* zvolal Je- vlšek chvatně.</w:t>
      </w:r>
    </w:p>
    <w:p w:rsidR="00500724" w:rsidRDefault="00F30FB8">
      <w:pPr>
        <w:pStyle w:val="Zkladntext40"/>
        <w:shd w:val="clear" w:color="auto" w:fill="auto"/>
        <w:spacing w:after="0"/>
        <w:ind w:firstLine="160"/>
      </w:pPr>
      <w:r>
        <w:t>sZradit mne chcete,* zaúpěl hlas. »Otče náš, jenž</w:t>
      </w:r>
      <w:r>
        <w:t xml:space="preserve"> jsi na ne</w:t>
      </w:r>
      <w:r>
        <w:softHyphen/>
        <w:t>besích, posvěť se jméno tvé, přijď království tvé, buď vůle tvá ... vůle tvá ... Dej mi uniknout! Bo</w:t>
      </w:r>
      <w:r>
        <w:softHyphen/>
        <w:t>že, dej mi uniknout!*</w:t>
      </w:r>
    </w:p>
    <w:p w:rsidR="00500724" w:rsidRDefault="00F30FB8">
      <w:pPr>
        <w:pStyle w:val="Zkladntext40"/>
        <w:shd w:val="clear" w:color="auto" w:fill="auto"/>
        <w:spacing w:after="0"/>
        <w:ind w:firstLine="160"/>
      </w:pPr>
      <w:r>
        <w:t>Střídají se zde proslovy stíha</w:t>
      </w:r>
      <w:r>
        <w:softHyphen/>
        <w:t>ného zločince se zmínkami o Je- viškovi nebo s Jeho promluvami. Zločincův part je při tom n</w:t>
      </w:r>
      <w:r>
        <w:t>esen stále opakovaným intonačním motivem o dvou vrcholech: »To- lik je vás?* — »Co si počnu?* — sJežiši Kriste!* — »Co si teď počnu?* ■— »Obkllčill horu* — sKriste Ježíši!* — »Co si teď poč</w:t>
      </w:r>
      <w:r>
        <w:softHyphen/>
        <w:t>nu?* — »Dej mi uniknout!* — »Dej ml uniknout!* Jak zřejmo, je into</w:t>
      </w:r>
      <w:r>
        <w:t>nační motiv podložen růz</w:t>
      </w:r>
      <w:r>
        <w:softHyphen/>
        <w:t>nými skupinami, z nich některé se opakuji víc než jednou; jsou to zejména skupiny: »Co si (teď) počnu?* a »Dej ml uniknout!*. Nuže, tyto slovní skupiny se vra</w:t>
      </w:r>
      <w:r>
        <w:softHyphen/>
        <w:t>cejí v povídce ještě na jiném mís</w:t>
      </w:r>
      <w:r>
        <w:softHyphen/>
        <w:t>tě, krátce po pasáži shora uvede</w:t>
      </w:r>
      <w:r>
        <w:softHyphen/>
        <w:t>né, t</w:t>
      </w:r>
      <w:r>
        <w:t>akže jejich první výskyt je ještě v svěží paměti čtenářově. Nejsou však již pronášeny zločin</w:t>
      </w:r>
      <w:r>
        <w:softHyphen/>
        <w:t>cem, ale myšleny ve svnltřním* monologu unaveným policejním komisařem, jenž si sám sebe představuje jako malého školáka v třídě před přísným učitelem: »Kriste Pane</w:t>
      </w:r>
      <w:r>
        <w:t>, kam se mám scho</w:t>
      </w:r>
      <w:r>
        <w:softHyphen/>
        <w:t>vat? Co si počnu? Dej mi unik</w:t>
      </w:r>
      <w:r>
        <w:softHyphen/>
        <w:t>nout, Bože! Dej ml uniknout!* Zde Jde o přímou narážku na scénu předcházející, narážku, je</w:t>
      </w:r>
      <w:r>
        <w:softHyphen/>
        <w:t>jíž účel je komposiční: intonační</w:t>
      </w:r>
      <w:r>
        <w:softHyphen/>
        <w:t>ho motivu je tu na větší rozloze tekstu využito jako součásti kom</w:t>
      </w:r>
      <w:r>
        <w:softHyphen/>
        <w:t>posičního půdorys</w:t>
      </w:r>
      <w:r>
        <w:t>u. Je to cosi ja</w:t>
      </w:r>
      <w:r>
        <w:softHyphen/>
        <w:t xml:space="preserve">ko wagnerovský </w:t>
      </w:r>
      <w:r>
        <w:rPr>
          <w:lang w:val="en-US" w:eastAsia="en-US" w:bidi="en-US"/>
        </w:rPr>
        <w:t xml:space="preserve">leitmotiv, </w:t>
      </w:r>
      <w:r>
        <w:t>vy</w:t>
      </w:r>
      <w:r>
        <w:softHyphen/>
        <w:t>jadřující obdobu nové situace se situací dřívější. Bylo by lze na tomto místě navázat úvahu o opakováni vůbec, netoliko into</w:t>
      </w:r>
      <w:r>
        <w:softHyphen/>
        <w:t>načním, ale také slovním a ze</w:t>
      </w:r>
      <w:r>
        <w:softHyphen/>
        <w:t>jména tématickém Jako ustále</w:t>
      </w:r>
      <w:r>
        <w:softHyphen/>
        <w:t>ném a neobyčejně hojném ko</w:t>
      </w:r>
      <w:r>
        <w:t>m</w:t>
      </w:r>
      <w:r>
        <w:softHyphen/>
        <w:t>posičním prostředku Čapkově v próze 1 v dramatě; spokojíme se jediným příkladem jako názna</w:t>
      </w:r>
      <w:r>
        <w:softHyphen/>
        <w:t>kem; poskytuje nám jej opět po</w:t>
      </w:r>
      <w:r>
        <w:softHyphen/>
        <w:t>vídka »Hora«, kterou jsme se právě zabývali: na začátku i na konci této povídky vyskytuje se motiv mrtvoly, roztříštěné pádem a leží</w:t>
      </w:r>
      <w:r>
        <w:t>cí tváři k zemi; v prvním případě je to mrtvola oběti zloči</w:t>
      </w:r>
      <w:r>
        <w:softHyphen/>
        <w:t>nu, ležící pod skalní stěnou u vesnice, v druhém mrtvola vraho</w:t>
      </w:r>
      <w:r>
        <w:softHyphen/>
        <w:t>va, Jež leží pod skalou kdesi v lese; mezi oboji situací proběhl děj povídky: vrah byl odhalen a sám se potrestal — opakovaný motiv s</w:t>
      </w:r>
      <w:r>
        <w:t>vým návratem jen ještě vlče zdůrazňuje proměnu situace, jež se během vypravování udála.</w:t>
      </w:r>
    </w:p>
    <w:p w:rsidR="00500724" w:rsidRDefault="00F30FB8">
      <w:pPr>
        <w:pStyle w:val="Zkladntext40"/>
        <w:shd w:val="clear" w:color="auto" w:fill="auto"/>
        <w:spacing w:after="0"/>
        <w:ind w:firstLine="220"/>
      </w:pPr>
      <w:r>
        <w:t>Probrali Jsme opakováni into</w:t>
      </w:r>
      <w:r>
        <w:softHyphen/>
        <w:t>načních motivů Jako tvárný pro</w:t>
      </w:r>
      <w:r>
        <w:softHyphen/>
        <w:t>středek Čapkova slohu; je nyní na řadě prostředek druhý, opač</w:t>
      </w:r>
      <w:r>
        <w:softHyphen/>
        <w:t>ný: kontrast, vznikající bezpro</w:t>
      </w:r>
      <w:r>
        <w:softHyphen/>
        <w:t>střední — a zá</w:t>
      </w:r>
      <w:r>
        <w:t>měrnou — kon</w:t>
      </w:r>
      <w:r>
        <w:softHyphen/>
        <w:t>frontaci různých, navzájem ostře odlišných Intonačních schémat. Uvedeme přiklad:</w:t>
      </w:r>
    </w:p>
    <w:p w:rsidR="00500724" w:rsidRDefault="00F30FB8">
      <w:pPr>
        <w:pStyle w:val="Zkladntext40"/>
        <w:shd w:val="clear" w:color="auto" w:fill="auto"/>
        <w:spacing w:after="0"/>
        <w:ind w:firstLine="220"/>
      </w:pPr>
      <w:r>
        <w:t>»Zdálo se mu na výsost poetic</w:t>
      </w:r>
      <w:r>
        <w:softHyphen/>
        <w:t xml:space="preserve">ké, že Lida utekla: byl v jakési extasi; radoval se bez míry a ani sl neuvědomil, že Je sám </w:t>
      </w:r>
      <w:r>
        <w:rPr>
          <w:sz w:val="18"/>
          <w:szCs w:val="18"/>
        </w:rPr>
        <w:t xml:space="preserve">a </w:t>
      </w:r>
      <w:r>
        <w:t>tich po celou noc.* (Boži muka, Lida.)</w:t>
      </w:r>
    </w:p>
    <w:p w:rsidR="00500724" w:rsidRDefault="00F30FB8">
      <w:pPr>
        <w:pStyle w:val="Zkladntext40"/>
        <w:shd w:val="clear" w:color="auto" w:fill="auto"/>
        <w:spacing w:after="0"/>
        <w:ind w:firstLine="220"/>
      </w:pPr>
      <w:r>
        <w:t>Na rozhraní hlavních vět to</w:t>
      </w:r>
      <w:r>
        <w:softHyphen/>
        <w:t>hoto krátkého tekstu vystřídají se postupně dvojtečka, středník, spojka »a«: každému z těchto přechodů odpovídá ve výslovnosti jiná Intonační kadence; a tato rozmanitost, stavějící jednotlivé druhy kadenci ve vzájemný kon</w:t>
      </w:r>
      <w:r>
        <w:softHyphen/>
        <w:t>trast</w:t>
      </w:r>
      <w:r>
        <w:t>, Je zde umělecky záměrná. Podobně 1 v dokladě následují</w:t>
      </w:r>
      <w:r>
        <w:softHyphen/>
        <w:t>cím je postaveno proti sobě něko</w:t>
      </w:r>
      <w:r>
        <w:softHyphen/>
        <w:t>lik Intonačních útvarů:</w:t>
      </w:r>
    </w:p>
    <w:p w:rsidR="00500724" w:rsidRDefault="00F30FB8">
      <w:pPr>
        <w:pStyle w:val="Zkladntext40"/>
        <w:shd w:val="clear" w:color="auto" w:fill="auto"/>
        <w:spacing w:after="0"/>
        <w:ind w:firstLine="220"/>
      </w:pPr>
      <w:r>
        <w:t>Nic už ten obraz mi nezastře: Veliké tělo tváři v krvavém blá</w:t>
      </w:r>
      <w:r>
        <w:softHyphen/>
        <w:t>tě, šílený rozmach údů. jako by zase vyskočit chtělo — teď, Ještě teď vyskočit a</w:t>
      </w:r>
      <w:r>
        <w:t xml:space="preserve"> setřít si s čela kal! O Jaký pohled! Dvě ruce tam žaluji z ohavné rozbité hmoty, plny bláta, </w:t>
      </w:r>
      <w:r>
        <w:rPr>
          <w:b/>
          <w:bCs/>
          <w:i/>
          <w:iCs/>
        </w:rPr>
        <w:t>6</w:t>
      </w:r>
      <w:r>
        <w:t xml:space="preserve"> bože. a přece tak lidské, ty ruce! Nic už ten obraz</w:t>
      </w:r>
    </w:p>
    <w:p w:rsidR="00500724" w:rsidRDefault="00F30FB8">
      <w:pPr>
        <w:pStyle w:val="Zkladntext100"/>
        <w:numPr>
          <w:ilvl w:val="0"/>
          <w:numId w:val="51"/>
        </w:numPr>
        <w:shd w:val="clear" w:color="auto" w:fill="auto"/>
        <w:tabs>
          <w:tab w:val="left" w:pos="379"/>
        </w:tabs>
        <w:spacing w:line="156" w:lineRule="auto"/>
        <w:ind w:firstLine="0"/>
        <w:rPr>
          <w:sz w:val="17"/>
          <w:szCs w:val="17"/>
        </w:rPr>
      </w:pPr>
      <w:r>
        <w:rPr>
          <w:sz w:val="17"/>
          <w:szCs w:val="17"/>
        </w:rPr>
        <w:t>(Boži muka, Hora.)</w:t>
      </w:r>
    </w:p>
    <w:p w:rsidR="00500724" w:rsidRDefault="00F30FB8">
      <w:pPr>
        <w:pStyle w:val="Zkladntext40"/>
        <w:shd w:val="clear" w:color="auto" w:fill="auto"/>
        <w:spacing w:after="0" w:line="175" w:lineRule="auto"/>
        <w:ind w:firstLine="220"/>
      </w:pPr>
      <w:r>
        <w:t>Nejprve klesající intonace až k</w:t>
      </w:r>
    </w:p>
    <w:p w:rsidR="00500724" w:rsidRDefault="00F30FB8">
      <w:pPr>
        <w:pStyle w:val="Zkladntext40"/>
        <w:shd w:val="clear" w:color="auto" w:fill="auto"/>
        <w:spacing w:after="0" w:line="175" w:lineRule="auto"/>
      </w:pPr>
      <w:r>
        <w:t>dvojtečce, ještě jednou opakova</w:t>
      </w:r>
      <w:r>
        <w:softHyphen/>
        <w:t xml:space="preserve">ná v pasáži před </w:t>
      </w:r>
      <w:r>
        <w:t>následující čár</w:t>
      </w:r>
      <w:r>
        <w:softHyphen/>
        <w:t>kou; pak intonační gradace počí</w:t>
      </w:r>
      <w:r>
        <w:softHyphen/>
        <w:t>naje spojkou »jako by* až k dru</w:t>
      </w:r>
      <w:r>
        <w:softHyphen/>
        <w:t>hému &gt; vy skočit*; potom Intonace monotonni, členěná v několik úse</w:t>
      </w:r>
      <w:r>
        <w:softHyphen/>
        <w:t>ků, uzavřená mezi dvojí opaková</w:t>
      </w:r>
      <w:r>
        <w:softHyphen/>
        <w:t>ní slova »ruce«, Jež Je po prvé dá</w:t>
      </w:r>
      <w:r>
        <w:softHyphen/>
        <w:t xml:space="preserve">no jako úvodní Intonační vrchol, po druhé </w:t>
      </w:r>
      <w:r>
        <w:t>1ako závěrečná kaden</w:t>
      </w:r>
      <w:r>
        <w:softHyphen/>
        <w:t>ce: na konec opakování začáteč</w:t>
      </w:r>
      <w:r>
        <w:softHyphen/>
        <w:t>ních slov odstavce, Jenže beze slovesa — Intonační to efekt ne</w:t>
      </w:r>
      <w:r>
        <w:softHyphen/>
        <w:t>uzavřené intonace větné.</w:t>
      </w:r>
    </w:p>
    <w:p w:rsidR="00500724" w:rsidRDefault="00F30FB8">
      <w:pPr>
        <w:pStyle w:val="Zkladntext40"/>
        <w:shd w:val="clear" w:color="auto" w:fill="auto"/>
        <w:spacing w:after="0"/>
        <w:ind w:firstLine="220"/>
      </w:pPr>
      <w:r>
        <w:t>Umělecký záměr, jak zřejmo, směřuje v obou uvedených pří</w:t>
      </w:r>
      <w:r>
        <w:softHyphen/>
        <w:t>kladech k nakupení co nejroz- manitějšich útvarů intonačníc</w:t>
      </w:r>
      <w:r>
        <w:t>h na rozloze tekstu co nejmenší. Přiházlvá se ovšem také. že sdruženi Intonaci navzájem od</w:t>
      </w:r>
      <w:r>
        <w:softHyphen/>
        <w:t>lišných se několikrát opakuje, takže vzniká pravidelný vzorec</w:t>
      </w:r>
    </w:p>
    <w:p w:rsidR="00500724" w:rsidRDefault="00F30FB8">
      <w:pPr>
        <w:pStyle w:val="Zkladntext40"/>
        <w:numPr>
          <w:ilvl w:val="0"/>
          <w:numId w:val="51"/>
        </w:numPr>
        <w:shd w:val="clear" w:color="auto" w:fill="auto"/>
        <w:tabs>
          <w:tab w:val="left" w:pos="379"/>
        </w:tabs>
        <w:spacing w:after="0"/>
      </w:pPr>
      <w:r>
        <w:t>cosi jako intonační strofa: to</w:t>
      </w:r>
      <w:r>
        <w:softHyphen/>
        <w:t>hoto prostředku užívá zejména Čapkův dramatický dialog i mo</w:t>
      </w:r>
      <w:r>
        <w:softHyphen/>
        <w:t>nolog. Tak n</w:t>
      </w:r>
      <w:r>
        <w:t>a příklad:</w:t>
      </w:r>
    </w:p>
    <w:p w:rsidR="00500724" w:rsidRDefault="00F30FB8">
      <w:pPr>
        <w:pStyle w:val="Zkladntext40"/>
        <w:shd w:val="clear" w:color="auto" w:fill="auto"/>
        <w:spacing w:after="0"/>
        <w:ind w:firstLine="220"/>
      </w:pPr>
      <w:r>
        <w:t>Helena: Já Jsem se Robotů bála.</w:t>
      </w:r>
    </w:p>
    <w:p w:rsidR="00500724" w:rsidRDefault="00F30FB8">
      <w:pPr>
        <w:pStyle w:val="Zkladntext40"/>
        <w:shd w:val="clear" w:color="auto" w:fill="auto"/>
        <w:spacing w:after="0"/>
        <w:ind w:firstLine="220"/>
      </w:pPr>
      <w:r>
        <w:t>Domin: Proč?</w:t>
      </w:r>
    </w:p>
    <w:p w:rsidR="00500724" w:rsidRDefault="00F30FB8">
      <w:pPr>
        <w:pStyle w:val="Zkladntext40"/>
        <w:shd w:val="clear" w:color="auto" w:fill="auto"/>
        <w:spacing w:after="0" w:line="221" w:lineRule="auto"/>
        <w:ind w:firstLine="220"/>
      </w:pPr>
      <w:r>
        <w:t>Helena: Že nás budou třeba nenávidět či co.</w:t>
      </w:r>
    </w:p>
    <w:p w:rsidR="00500724" w:rsidRDefault="00F30FB8">
      <w:pPr>
        <w:pStyle w:val="Zkladntext40"/>
        <w:shd w:val="clear" w:color="auto" w:fill="auto"/>
        <w:spacing w:after="0"/>
        <w:ind w:firstLine="220"/>
      </w:pPr>
      <w:r>
        <w:t>Alquist: Stalo se.</w:t>
      </w:r>
    </w:p>
    <w:p w:rsidR="00500724" w:rsidRDefault="00F30FB8">
      <w:pPr>
        <w:pStyle w:val="Zkladntext40"/>
        <w:shd w:val="clear" w:color="auto" w:fill="auto"/>
        <w:spacing w:after="0"/>
        <w:jc w:val="right"/>
      </w:pPr>
      <w:r>
        <w:t>(R. U. R„ dějství druhé.)</w:t>
      </w:r>
    </w:p>
    <w:p w:rsidR="00500724" w:rsidRDefault="00F30FB8">
      <w:pPr>
        <w:pStyle w:val="Zkladntext40"/>
        <w:shd w:val="clear" w:color="auto" w:fill="auto"/>
        <w:spacing w:after="0"/>
        <w:ind w:firstLine="220"/>
      </w:pPr>
      <w:r>
        <w:t>Zde nezávisle na osobách, pro</w:t>
      </w:r>
      <w:r>
        <w:softHyphen/>
        <w:t>nášejících jednotlivé narážky, vzniká intonační útvar, jenž na</w:t>
      </w:r>
      <w:r>
        <w:softHyphen/>
        <w:t>rážky navzájem spo</w:t>
      </w:r>
      <w:r>
        <w:t>juje: delší intonační úsek je dvakrát vystří</w:t>
      </w:r>
      <w:r>
        <w:softHyphen/>
        <w:t xml:space="preserve">dán kratším. Příklad </w:t>
      </w:r>
      <w:r>
        <w:rPr>
          <w:sz w:val="18"/>
          <w:szCs w:val="18"/>
        </w:rPr>
        <w:t xml:space="preserve">z </w:t>
      </w:r>
      <w:r>
        <w:t>dramatic</w:t>
      </w:r>
      <w:r>
        <w:softHyphen/>
        <w:t>kého monologu:</w:t>
      </w:r>
    </w:p>
    <w:p w:rsidR="00500724" w:rsidRDefault="00F30FB8">
      <w:pPr>
        <w:pStyle w:val="Zkladntext40"/>
        <w:shd w:val="clear" w:color="auto" w:fill="auto"/>
        <w:spacing w:after="0"/>
        <w:ind w:firstLine="220"/>
      </w:pPr>
      <w:r>
        <w:t>Kriste Pane Bože. opatruj mé</w:t>
      </w:r>
      <w:r>
        <w:softHyphen/>
        <w:t>ho Petra. Marie, matko milo</w:t>
      </w:r>
      <w:r>
        <w:softHyphen/>
        <w:t>srdenství, smiluj se nade mnou a ochraňuj mé děti. Kriste Ježíši, vrat mi mého Petra. Marie, Mat</w:t>
      </w:r>
      <w:r>
        <w:softHyphen/>
        <w:t xml:space="preserve">ko Boží, </w:t>
      </w:r>
      <w:r>
        <w:t>oroduj za mé děti. Je</w:t>
      </w:r>
      <w:r>
        <w:softHyphen/>
        <w:t>žíši ukřižovaný, smiluj se nad mými dětmi. (Matka, dějství dru</w:t>
      </w:r>
      <w:r>
        <w:softHyphen/>
        <w:t>hé.)</w:t>
      </w:r>
    </w:p>
    <w:p w:rsidR="00500724" w:rsidRDefault="00F30FB8">
      <w:pPr>
        <w:pStyle w:val="Zkladntext40"/>
        <w:shd w:val="clear" w:color="auto" w:fill="auto"/>
        <w:spacing w:after="0"/>
        <w:ind w:firstLine="220"/>
        <w:jc w:val="left"/>
      </w:pPr>
      <w:r>
        <w:t>Střídá se tu pravidelně into</w:t>
      </w:r>
      <w:r>
        <w:softHyphen/>
        <w:t>nace vokativu s intonaci zvolací věty; střídáni této dvojí intona</w:t>
      </w:r>
      <w:r>
        <w:softHyphen/>
        <w:t>ce vyvolává — umělecky záměr</w:t>
      </w:r>
      <w:r>
        <w:softHyphen/>
        <w:t>ně — dojem litanie, jehož stopy bychom naš</w:t>
      </w:r>
      <w:r>
        <w:t>il u Čapka velmi čas</w:t>
      </w:r>
      <w:r>
        <w:softHyphen/>
        <w:t>to; jet litanie klasickým vzor</w:t>
      </w:r>
      <w:r>
        <w:softHyphen/>
        <w:t>cem Intonačního půdorysu, zalo</w:t>
      </w:r>
      <w:r>
        <w:softHyphen/>
        <w:t>ženého na kontrastu.</w:t>
      </w:r>
    </w:p>
    <w:p w:rsidR="00500724" w:rsidRDefault="00F30FB8">
      <w:pPr>
        <w:pStyle w:val="Zkladntext40"/>
        <w:shd w:val="clear" w:color="auto" w:fill="auto"/>
        <w:spacing w:after="0"/>
        <w:ind w:firstLine="220"/>
      </w:pPr>
      <w:r>
        <w:t>Jako poslední doklad umělec</w:t>
      </w:r>
      <w:r>
        <w:softHyphen/>
        <w:t>kého využiti intonace u Čapka připomínáme aplikaci »ptači ře</w:t>
      </w:r>
      <w:r>
        <w:softHyphen/>
        <w:t>či*, t. j. intonačních schémat pta</w:t>
      </w:r>
      <w:r>
        <w:softHyphen/>
        <w:t>čího zpěvu podložených slovy</w:t>
      </w:r>
      <w:r>
        <w:t>, ve hře »Loupežník«:</w:t>
      </w:r>
    </w:p>
    <w:p w:rsidR="00500724" w:rsidRDefault="00F30FB8">
      <w:pPr>
        <w:pStyle w:val="Zkladntext40"/>
        <w:numPr>
          <w:ilvl w:val="0"/>
          <w:numId w:val="52"/>
        </w:numPr>
        <w:shd w:val="clear" w:color="auto" w:fill="auto"/>
        <w:tabs>
          <w:tab w:val="left" w:pos="399"/>
        </w:tabs>
        <w:spacing w:after="0"/>
        <w:ind w:firstLine="220"/>
        <w:jc w:val="left"/>
      </w:pPr>
      <w:r>
        <w:t>Pták: No toto, no toto. Jejej! To je, to je, to je, co?</w:t>
      </w:r>
    </w:p>
    <w:p w:rsidR="00500724" w:rsidRDefault="00F30FB8">
      <w:pPr>
        <w:pStyle w:val="Zkladntext40"/>
        <w:numPr>
          <w:ilvl w:val="0"/>
          <w:numId w:val="52"/>
        </w:numPr>
        <w:shd w:val="clear" w:color="auto" w:fill="auto"/>
        <w:tabs>
          <w:tab w:val="left" w:pos="404"/>
        </w:tabs>
        <w:spacing w:after="0" w:line="168" w:lineRule="auto"/>
        <w:ind w:firstLine="220"/>
      </w:pPr>
      <w:r>
        <w:t>Pták: Čilý kluk, čilý, čilý, viď? Čilý jako mník, viď? viď? viď?</w:t>
      </w:r>
    </w:p>
    <w:p w:rsidR="00500724" w:rsidRDefault="00F30FB8">
      <w:pPr>
        <w:pStyle w:val="Zkladntext40"/>
        <w:numPr>
          <w:ilvl w:val="0"/>
          <w:numId w:val="52"/>
        </w:numPr>
        <w:shd w:val="clear" w:color="auto" w:fill="auto"/>
        <w:tabs>
          <w:tab w:val="left" w:pos="470"/>
        </w:tabs>
        <w:spacing w:after="0"/>
        <w:ind w:firstLine="220"/>
      </w:pPr>
      <w:r>
        <w:t>Pták: Kluku, kluku, kluku!</w:t>
      </w:r>
    </w:p>
    <w:p w:rsidR="00500724" w:rsidRDefault="00F30FB8">
      <w:pPr>
        <w:pStyle w:val="Zkladntext40"/>
        <w:numPr>
          <w:ilvl w:val="0"/>
          <w:numId w:val="53"/>
        </w:numPr>
        <w:shd w:val="clear" w:color="auto" w:fill="auto"/>
        <w:tabs>
          <w:tab w:val="left" w:pos="409"/>
        </w:tabs>
        <w:spacing w:after="0"/>
        <w:ind w:firstLine="220"/>
      </w:pPr>
      <w:r>
        <w:t>Pták: Co to? Co to? Mimi, Chodi ti po bytu, po bytu cizí pán!</w:t>
      </w:r>
    </w:p>
    <w:p w:rsidR="00500724" w:rsidRDefault="00F30FB8">
      <w:pPr>
        <w:pStyle w:val="Zkladntext40"/>
        <w:numPr>
          <w:ilvl w:val="0"/>
          <w:numId w:val="54"/>
        </w:numPr>
        <w:shd w:val="clear" w:color="auto" w:fill="auto"/>
        <w:tabs>
          <w:tab w:val="left" w:pos="470"/>
        </w:tabs>
        <w:spacing w:after="0"/>
        <w:ind w:firstLine="220"/>
      </w:pPr>
      <w:r>
        <w:t>Pták: Kuku! Kuku!</w:t>
      </w:r>
    </w:p>
    <w:p w:rsidR="00500724" w:rsidRDefault="00F30FB8">
      <w:pPr>
        <w:pStyle w:val="Zkladntext40"/>
        <w:shd w:val="clear" w:color="auto" w:fill="auto"/>
        <w:spacing w:after="0"/>
        <w:ind w:firstLine="260"/>
        <w:jc w:val="left"/>
      </w:pPr>
      <w:r>
        <w:t xml:space="preserve">Mimi: </w:t>
      </w:r>
      <w:r>
        <w:t>Co tam dělá?</w:t>
      </w:r>
    </w:p>
    <w:p w:rsidR="00500724" w:rsidRDefault="00F30FB8">
      <w:pPr>
        <w:pStyle w:val="Zkladntext40"/>
        <w:numPr>
          <w:ilvl w:val="0"/>
          <w:numId w:val="53"/>
        </w:numPr>
        <w:shd w:val="clear" w:color="auto" w:fill="auto"/>
        <w:tabs>
          <w:tab w:val="left" w:pos="510"/>
        </w:tabs>
        <w:spacing w:after="0" w:line="149" w:lineRule="auto"/>
        <w:ind w:firstLine="260"/>
        <w:jc w:val="left"/>
      </w:pPr>
      <w:r>
        <w:t>Pták: Vidi byt, byt, býti</w:t>
      </w:r>
    </w:p>
    <w:p w:rsidR="00500724" w:rsidRDefault="00F30FB8">
      <w:pPr>
        <w:pStyle w:val="Zkladntext40"/>
        <w:numPr>
          <w:ilvl w:val="0"/>
          <w:numId w:val="54"/>
        </w:numPr>
        <w:shd w:val="clear" w:color="auto" w:fill="auto"/>
        <w:tabs>
          <w:tab w:val="left" w:pos="510"/>
        </w:tabs>
        <w:spacing w:after="0" w:line="149" w:lineRule="auto"/>
        <w:ind w:firstLine="260"/>
        <w:jc w:val="left"/>
      </w:pPr>
      <w:r>
        <w:t>Pták: Pátrá, pátrá.</w:t>
      </w:r>
    </w:p>
    <w:p w:rsidR="00500724" w:rsidRDefault="00F30FB8">
      <w:pPr>
        <w:pStyle w:val="Zkladntext40"/>
        <w:shd w:val="clear" w:color="auto" w:fill="auto"/>
        <w:spacing w:after="0"/>
        <w:ind w:firstLine="260"/>
        <w:jc w:val="left"/>
      </w:pPr>
      <w:r>
        <w:t>Mimi: Ach, ptáčkové, co mám s nim dělat?</w:t>
      </w:r>
    </w:p>
    <w:p w:rsidR="00500724" w:rsidRDefault="00F30FB8">
      <w:pPr>
        <w:pStyle w:val="Zkladntext40"/>
        <w:shd w:val="clear" w:color="auto" w:fill="auto"/>
        <w:spacing w:after="0" w:line="163" w:lineRule="auto"/>
        <w:ind w:firstLine="260"/>
        <w:jc w:val="left"/>
      </w:pPr>
      <w:r>
        <w:rPr>
          <w:sz w:val="18"/>
          <w:szCs w:val="18"/>
        </w:rPr>
        <w:t xml:space="preserve">2. </w:t>
      </w:r>
      <w:r>
        <w:t>Pták: Nic. nic, nic. Llbl se M viď?</w:t>
      </w:r>
    </w:p>
    <w:p w:rsidR="00500724" w:rsidRDefault="00F30FB8">
      <w:pPr>
        <w:pStyle w:val="Zkladntext100"/>
        <w:numPr>
          <w:ilvl w:val="0"/>
          <w:numId w:val="52"/>
        </w:numPr>
        <w:shd w:val="clear" w:color="auto" w:fill="auto"/>
        <w:tabs>
          <w:tab w:val="left" w:pos="510"/>
        </w:tabs>
        <w:spacing w:line="149" w:lineRule="auto"/>
        <w:ind w:firstLine="260"/>
        <w:jc w:val="left"/>
      </w:pPr>
      <w:r>
        <w:t>Pták: Párek.</w:t>
      </w:r>
    </w:p>
    <w:p w:rsidR="00500724" w:rsidRDefault="00F30FB8">
      <w:pPr>
        <w:pStyle w:val="Zkladntext40"/>
        <w:shd w:val="clear" w:color="auto" w:fill="auto"/>
        <w:spacing w:line="173" w:lineRule="auto"/>
        <w:ind w:firstLine="260"/>
        <w:jc w:val="left"/>
      </w:pPr>
      <w:r>
        <w:t xml:space="preserve">1. Pták: Neradím. Toho </w:t>
      </w:r>
      <w:r>
        <w:rPr>
          <w:sz w:val="18"/>
          <w:szCs w:val="18"/>
        </w:rPr>
        <w:t>ne, to</w:t>
      </w:r>
      <w:r>
        <w:rPr>
          <w:sz w:val="18"/>
          <w:szCs w:val="18"/>
        </w:rPr>
        <w:softHyphen/>
      </w:r>
      <w:r>
        <w:t>ho ne, i toto. Ani za nic!</w:t>
      </w:r>
    </w:p>
    <w:p w:rsidR="00500724" w:rsidRDefault="00F30FB8">
      <w:pPr>
        <w:pStyle w:val="Zkladntext100"/>
        <w:shd w:val="clear" w:color="auto" w:fill="auto"/>
        <w:spacing w:line="149" w:lineRule="auto"/>
        <w:ind w:firstLine="0"/>
        <w:jc w:val="right"/>
        <w:sectPr w:rsidR="00500724">
          <w:footnotePr>
            <w:numFmt w:val="chicago"/>
            <w:numRestart w:val="eachPage"/>
          </w:footnotePr>
          <w:type w:val="continuous"/>
          <w:pgSz w:w="11909" w:h="16834"/>
          <w:pgMar w:top="1966" w:right="880" w:bottom="0" w:left="515" w:header="0" w:footer="3" w:gutter="0"/>
          <w:cols w:num="4" w:sep="1" w:space="100"/>
          <w:noEndnote/>
          <w:docGrid w:linePitch="360"/>
        </w:sectPr>
      </w:pPr>
      <w:r>
        <w:t xml:space="preserve">(Pokračováni </w:t>
      </w:r>
      <w:r>
        <w:t>příště.)</w:t>
      </w:r>
    </w:p>
    <w:p w:rsidR="00500724" w:rsidRDefault="00F30FB8">
      <w:pPr>
        <w:pStyle w:val="Nadpis40"/>
        <w:keepNext/>
        <w:keepLines/>
        <w:framePr w:w="10358" w:h="1982" w:wrap="none" w:vAnchor="text" w:hAnchor="page" w:x="1283" w:y="1959"/>
        <w:shd w:val="clear" w:color="auto" w:fill="auto"/>
      </w:pPr>
      <w:bookmarkStart w:id="471" w:name="bookmark470"/>
      <w:r>
        <w:t>ntomnosO</w:t>
      </w:r>
      <w:bookmarkEnd w:id="471"/>
    </w:p>
    <w:tbl>
      <w:tblPr>
        <w:tblOverlap w:val="never"/>
        <w:tblW w:w="0" w:type="auto"/>
        <w:tblInd w:w="-3" w:type="dxa"/>
        <w:tblLayout w:type="fixed"/>
        <w:tblCellMar>
          <w:left w:w="10" w:type="dxa"/>
          <w:right w:w="10" w:type="dxa"/>
        </w:tblCellMar>
        <w:tblLook w:val="04A0" w:firstRow="1" w:lastRow="0" w:firstColumn="1" w:lastColumn="0" w:noHBand="0" w:noVBand="1"/>
      </w:tblPr>
      <w:tblGrid>
        <w:gridCol w:w="7910"/>
        <w:gridCol w:w="3408"/>
      </w:tblGrid>
      <w:tr w:rsidR="00500724">
        <w:tblPrEx>
          <w:tblCellMar>
            <w:top w:w="0" w:type="dxa"/>
            <w:bottom w:w="0" w:type="dxa"/>
          </w:tblCellMar>
        </w:tblPrEx>
        <w:trPr>
          <w:trHeight w:hRule="exact" w:val="638"/>
        </w:trPr>
        <w:tc>
          <w:tcPr>
            <w:tcW w:w="0" w:type="auto"/>
            <w:tcBorders>
              <w:top w:val="single" w:sz="4" w:space="0" w:color="auto"/>
              <w:lef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tabs>
                <w:tab w:val="left" w:pos="4047"/>
              </w:tabs>
              <w:ind w:left="340" w:firstLine="40"/>
              <w:rPr>
                <w:sz w:val="22"/>
                <w:szCs w:val="22"/>
              </w:rPr>
            </w:pPr>
            <w:r>
              <w:rPr>
                <w:b/>
                <w:bCs/>
                <w:sz w:val="22"/>
                <w:szCs w:val="22"/>
              </w:rPr>
              <w:t>ROČNlKXVI.</w:t>
            </w:r>
            <w:r>
              <w:rPr>
                <w:b/>
                <w:bCs/>
                <w:sz w:val="22"/>
                <w:szCs w:val="22"/>
              </w:rPr>
              <w:tab/>
              <w:t>VPRAZE 10. KVĚTNA 1939</w:t>
            </w:r>
          </w:p>
        </w:tc>
        <w:tc>
          <w:tcPr>
            <w:tcW w:w="0" w:type="auto"/>
            <w:tcBorders>
              <w:top w:val="single" w:sz="4" w:space="0" w:color="auto"/>
              <w:righ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right="340" w:firstLine="0"/>
              <w:jc w:val="right"/>
              <w:rPr>
                <w:sz w:val="26"/>
                <w:szCs w:val="26"/>
              </w:rPr>
            </w:pPr>
            <w:r>
              <w:rPr>
                <w:b/>
                <w:bCs/>
                <w:sz w:val="22"/>
                <w:szCs w:val="22"/>
              </w:rPr>
              <w:t xml:space="preserve">ZA K </w:t>
            </w:r>
            <w:r>
              <w:rPr>
                <w:sz w:val="26"/>
                <w:szCs w:val="26"/>
              </w:rPr>
              <w:t>2.—</w:t>
            </w:r>
          </w:p>
        </w:tc>
      </w:tr>
      <w:tr w:rsidR="00500724">
        <w:tblPrEx>
          <w:tblCellMar>
            <w:top w:w="0" w:type="dxa"/>
            <w:bottom w:w="0" w:type="dxa"/>
          </w:tblCellMar>
        </w:tblPrEx>
        <w:trPr>
          <w:trHeight w:hRule="exact" w:val="2050"/>
        </w:trPr>
        <w:tc>
          <w:tcPr>
            <w:tcW w:w="0" w:type="auto"/>
            <w:tcBorders>
              <w:top w:val="single" w:sz="4" w:space="0" w:color="auto"/>
              <w:lef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left="340" w:firstLine="40"/>
              <w:jc w:val="left"/>
              <w:rPr>
                <w:sz w:val="58"/>
                <w:szCs w:val="58"/>
              </w:rPr>
            </w:pPr>
            <w:r>
              <w:rPr>
                <w:sz w:val="58"/>
                <w:szCs w:val="58"/>
              </w:rPr>
              <w:t>Litvinovův odchod</w:t>
            </w:r>
          </w:p>
        </w:tc>
        <w:tc>
          <w:tcPr>
            <w:tcW w:w="0" w:type="auto"/>
            <w:tcBorders>
              <w:top w:val="single" w:sz="4" w:space="0" w:color="auto"/>
              <w:righ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right="340" w:firstLine="0"/>
              <w:jc w:val="right"/>
              <w:rPr>
                <w:sz w:val="26"/>
                <w:szCs w:val="26"/>
              </w:rPr>
            </w:pPr>
            <w:r>
              <w:rPr>
                <w:sz w:val="26"/>
                <w:szCs w:val="26"/>
              </w:rPr>
              <w:t>JAN ALBERT</w:t>
            </w:r>
          </w:p>
        </w:tc>
      </w:tr>
      <w:tr w:rsidR="00500724">
        <w:tblPrEx>
          <w:tblCellMar>
            <w:top w:w="0" w:type="dxa"/>
            <w:bottom w:w="0" w:type="dxa"/>
          </w:tblCellMar>
        </w:tblPrEx>
        <w:trPr>
          <w:trHeight w:hRule="exact" w:val="1157"/>
        </w:trPr>
        <w:tc>
          <w:tcPr>
            <w:tcW w:w="0" w:type="auto"/>
            <w:tcBorders>
              <w:top w:val="single" w:sz="4" w:space="0" w:color="auto"/>
              <w:lef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left="340" w:firstLine="40"/>
              <w:jc w:val="left"/>
              <w:rPr>
                <w:sz w:val="58"/>
                <w:szCs w:val="58"/>
              </w:rPr>
            </w:pPr>
            <w:r>
              <w:rPr>
                <w:sz w:val="58"/>
                <w:szCs w:val="58"/>
              </w:rPr>
              <w:t>Jsem především Češka?</w:t>
            </w:r>
          </w:p>
        </w:tc>
        <w:tc>
          <w:tcPr>
            <w:tcW w:w="0" w:type="auto"/>
            <w:tcBorders>
              <w:top w:val="single" w:sz="4" w:space="0" w:color="auto"/>
              <w:righ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right="340" w:firstLine="0"/>
              <w:jc w:val="right"/>
              <w:rPr>
                <w:sz w:val="26"/>
                <w:szCs w:val="26"/>
              </w:rPr>
            </w:pPr>
            <w:r>
              <w:rPr>
                <w:sz w:val="26"/>
                <w:szCs w:val="26"/>
              </w:rPr>
              <w:t>MILENA JESENSKÁ</w:t>
            </w:r>
          </w:p>
        </w:tc>
      </w:tr>
      <w:tr w:rsidR="00500724">
        <w:tblPrEx>
          <w:tblCellMar>
            <w:top w:w="0" w:type="dxa"/>
            <w:bottom w:w="0" w:type="dxa"/>
          </w:tblCellMar>
        </w:tblPrEx>
        <w:trPr>
          <w:trHeight w:hRule="exact" w:val="1219"/>
        </w:trPr>
        <w:tc>
          <w:tcPr>
            <w:tcW w:w="0" w:type="auto"/>
            <w:tcBorders>
              <w:top w:val="single" w:sz="4" w:space="0" w:color="auto"/>
              <w:lef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left="340" w:firstLine="40"/>
              <w:jc w:val="left"/>
              <w:rPr>
                <w:sz w:val="58"/>
                <w:szCs w:val="58"/>
              </w:rPr>
            </w:pPr>
            <w:r>
              <w:rPr>
                <w:sz w:val="58"/>
                <w:szCs w:val="58"/>
              </w:rPr>
              <w:t>Co se událo od 15. března</w:t>
            </w:r>
          </w:p>
        </w:tc>
        <w:tc>
          <w:tcPr>
            <w:tcW w:w="0" w:type="auto"/>
            <w:tcBorders>
              <w:top w:val="single" w:sz="4" w:space="0" w:color="auto"/>
              <w:righ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right="340" w:firstLine="0"/>
              <w:jc w:val="right"/>
              <w:rPr>
                <w:sz w:val="26"/>
                <w:szCs w:val="26"/>
              </w:rPr>
            </w:pPr>
            <w:r>
              <w:rPr>
                <w:sz w:val="26"/>
                <w:szCs w:val="26"/>
              </w:rPr>
              <w:t>ZDENEK SMETÁČEK</w:t>
            </w:r>
          </w:p>
        </w:tc>
      </w:tr>
      <w:tr w:rsidR="00500724">
        <w:tblPrEx>
          <w:tblCellMar>
            <w:top w:w="0" w:type="dxa"/>
            <w:bottom w:w="0" w:type="dxa"/>
          </w:tblCellMar>
        </w:tblPrEx>
        <w:trPr>
          <w:trHeight w:hRule="exact" w:val="1200"/>
        </w:trPr>
        <w:tc>
          <w:tcPr>
            <w:tcW w:w="0" w:type="auto"/>
            <w:tcBorders>
              <w:top w:val="single" w:sz="4" w:space="0" w:color="auto"/>
              <w:lef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left="340" w:firstLine="40"/>
              <w:jc w:val="left"/>
              <w:rPr>
                <w:sz w:val="58"/>
                <w:szCs w:val="58"/>
              </w:rPr>
            </w:pPr>
            <w:r>
              <w:rPr>
                <w:sz w:val="58"/>
                <w:szCs w:val="58"/>
              </w:rPr>
              <w:t>Přeorganisovat kulturu</w:t>
            </w:r>
          </w:p>
        </w:tc>
        <w:tc>
          <w:tcPr>
            <w:tcW w:w="0" w:type="auto"/>
            <w:tcBorders>
              <w:top w:val="single" w:sz="4" w:space="0" w:color="auto"/>
              <w:right w:val="single" w:sz="4" w:space="0" w:color="auto"/>
            </w:tcBorders>
            <w:shd w:val="clear" w:color="auto" w:fill="FFFFFF"/>
            <w:vAlign w:val="center"/>
          </w:tcPr>
          <w:p w:rsidR="00500724" w:rsidRDefault="00F30FB8">
            <w:pPr>
              <w:pStyle w:val="Jin0"/>
              <w:framePr w:w="11318" w:h="11064" w:wrap="none" w:vAnchor="text" w:hAnchor="page" w:x="519" w:y="4076"/>
              <w:shd w:val="clear" w:color="auto" w:fill="auto"/>
              <w:ind w:right="340" w:firstLine="0"/>
              <w:jc w:val="right"/>
              <w:rPr>
                <w:sz w:val="26"/>
                <w:szCs w:val="26"/>
              </w:rPr>
            </w:pPr>
            <w:r>
              <w:rPr>
                <w:sz w:val="26"/>
                <w:szCs w:val="26"/>
              </w:rPr>
              <w:t>E. F. BURIAN</w:t>
            </w:r>
          </w:p>
        </w:tc>
      </w:tr>
      <w:tr w:rsidR="00500724">
        <w:tblPrEx>
          <w:tblCellMar>
            <w:top w:w="0" w:type="dxa"/>
            <w:bottom w:w="0" w:type="dxa"/>
          </w:tblCellMar>
        </w:tblPrEx>
        <w:trPr>
          <w:trHeight w:hRule="exact" w:val="1214"/>
        </w:trPr>
        <w:tc>
          <w:tcPr>
            <w:tcW w:w="0" w:type="auto"/>
            <w:tcBorders>
              <w:top w:val="single" w:sz="4" w:space="0" w:color="auto"/>
              <w:lef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left="340" w:firstLine="40"/>
              <w:jc w:val="left"/>
              <w:rPr>
                <w:sz w:val="58"/>
                <w:szCs w:val="58"/>
              </w:rPr>
            </w:pPr>
            <w:r>
              <w:rPr>
                <w:sz w:val="58"/>
                <w:szCs w:val="58"/>
              </w:rPr>
              <w:t>„Já jistě nejsem pověrčivý, ale.</w:t>
            </w:r>
          </w:p>
        </w:tc>
        <w:tc>
          <w:tcPr>
            <w:tcW w:w="0" w:type="auto"/>
            <w:tcBorders>
              <w:top w:val="single" w:sz="4" w:space="0" w:color="auto"/>
              <w:righ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firstLine="0"/>
              <w:jc w:val="left"/>
              <w:rPr>
                <w:sz w:val="26"/>
                <w:szCs w:val="26"/>
              </w:rPr>
            </w:pPr>
            <w:r>
              <w:rPr>
                <w:sz w:val="26"/>
                <w:szCs w:val="26"/>
              </w:rPr>
              <w:t>• •</w:t>
            </w:r>
          </w:p>
        </w:tc>
      </w:tr>
      <w:tr w:rsidR="00500724">
        <w:tblPrEx>
          <w:tblCellMar>
            <w:top w:w="0" w:type="dxa"/>
            <w:bottom w:w="0" w:type="dxa"/>
          </w:tblCellMar>
        </w:tblPrEx>
        <w:trPr>
          <w:trHeight w:hRule="exact" w:val="1195"/>
        </w:trPr>
        <w:tc>
          <w:tcPr>
            <w:tcW w:w="0" w:type="auto"/>
            <w:tcBorders>
              <w:top w:val="single" w:sz="4" w:space="0" w:color="auto"/>
              <w:lef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left="580" w:firstLine="0"/>
              <w:jc w:val="left"/>
              <w:rPr>
                <w:sz w:val="34"/>
                <w:szCs w:val="34"/>
              </w:rPr>
            </w:pPr>
            <w:r>
              <w:rPr>
                <w:b/>
                <w:bCs/>
                <w:sz w:val="34"/>
                <w:szCs w:val="34"/>
              </w:rPr>
              <w:t>*</w:t>
            </w:r>
          </w:p>
          <w:p w:rsidR="00500724" w:rsidRDefault="00F30FB8">
            <w:pPr>
              <w:pStyle w:val="Jin0"/>
              <w:framePr w:w="11318" w:h="11064" w:wrap="none" w:vAnchor="text" w:hAnchor="page" w:x="519" w:y="4076"/>
              <w:shd w:val="clear" w:color="auto" w:fill="auto"/>
              <w:spacing w:line="199" w:lineRule="auto"/>
              <w:ind w:left="340" w:firstLine="40"/>
              <w:jc w:val="left"/>
              <w:rPr>
                <w:sz w:val="58"/>
                <w:szCs w:val="58"/>
              </w:rPr>
            </w:pPr>
            <w:r>
              <w:rPr>
                <w:sz w:val="58"/>
                <w:szCs w:val="58"/>
              </w:rPr>
              <w:t>Literatura na výdělek</w:t>
            </w:r>
          </w:p>
        </w:tc>
        <w:tc>
          <w:tcPr>
            <w:tcW w:w="0" w:type="auto"/>
            <w:tcBorders>
              <w:top w:val="single" w:sz="4" w:space="0" w:color="auto"/>
              <w:righ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right="340" w:firstLine="0"/>
              <w:jc w:val="right"/>
              <w:rPr>
                <w:sz w:val="26"/>
                <w:szCs w:val="26"/>
              </w:rPr>
            </w:pPr>
            <w:r>
              <w:rPr>
                <w:sz w:val="26"/>
                <w:szCs w:val="26"/>
              </w:rPr>
              <w:t>SÝDNEÝ HORLER</w:t>
            </w:r>
          </w:p>
        </w:tc>
      </w:tr>
      <w:tr w:rsidR="00500724">
        <w:tblPrEx>
          <w:tblCellMar>
            <w:top w:w="0" w:type="dxa"/>
            <w:bottom w:w="0" w:type="dxa"/>
          </w:tblCellMar>
        </w:tblPrEx>
        <w:trPr>
          <w:trHeight w:hRule="exact" w:val="970"/>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firstLine="0"/>
              <w:jc w:val="center"/>
              <w:rPr>
                <w:sz w:val="34"/>
                <w:szCs w:val="34"/>
              </w:rPr>
            </w:pPr>
            <w:r>
              <w:rPr>
                <w:b/>
                <w:bCs/>
                <w:sz w:val="34"/>
                <w:szCs w:val="34"/>
              </w:rPr>
              <w:t>Česká pevnost — Příprava hospodářského programu — Národní</w:t>
            </w:r>
          </w:p>
        </w:tc>
      </w:tr>
      <w:tr w:rsidR="00500724">
        <w:tblPrEx>
          <w:tblCellMar>
            <w:top w:w="0" w:type="dxa"/>
            <w:bottom w:w="0" w:type="dxa"/>
          </w:tblCellMar>
        </w:tblPrEx>
        <w:trPr>
          <w:trHeight w:hRule="exact" w:val="374"/>
        </w:trPr>
        <w:tc>
          <w:tcPr>
            <w:tcW w:w="0" w:type="auto"/>
            <w:gridSpan w:val="2"/>
            <w:tcBorders>
              <w:left w:val="single" w:sz="4" w:space="0" w:color="auto"/>
              <w:right w:val="single" w:sz="4" w:space="0" w:color="auto"/>
            </w:tcBorders>
            <w:shd w:val="clear" w:color="auto" w:fill="FFFFFF"/>
            <w:vAlign w:val="bottom"/>
          </w:tcPr>
          <w:p w:rsidR="00500724" w:rsidRDefault="00F30FB8">
            <w:pPr>
              <w:pStyle w:val="Jin0"/>
              <w:framePr w:w="11318" w:h="11064" w:wrap="none" w:vAnchor="text" w:hAnchor="page" w:x="519" w:y="4076"/>
              <w:shd w:val="clear" w:color="auto" w:fill="auto"/>
              <w:ind w:firstLine="0"/>
              <w:jc w:val="center"/>
              <w:rPr>
                <w:sz w:val="34"/>
                <w:szCs w:val="34"/>
              </w:rPr>
            </w:pPr>
            <w:r>
              <w:rPr>
                <w:b/>
                <w:bCs/>
                <w:sz w:val="34"/>
                <w:szCs w:val="34"/>
              </w:rPr>
              <w:t>souručenství aneb sjednocený národ — Význam exportu pro nás</w:t>
            </w:r>
          </w:p>
        </w:tc>
      </w:tr>
      <w:tr w:rsidR="00500724">
        <w:tblPrEx>
          <w:tblCellMar>
            <w:top w:w="0" w:type="dxa"/>
            <w:bottom w:w="0" w:type="dxa"/>
          </w:tblCellMar>
        </w:tblPrEx>
        <w:trPr>
          <w:trHeight w:hRule="exact" w:val="1046"/>
        </w:trPr>
        <w:tc>
          <w:tcPr>
            <w:tcW w:w="0" w:type="auto"/>
            <w:gridSpan w:val="2"/>
            <w:tcBorders>
              <w:left w:val="single" w:sz="4" w:space="0" w:color="auto"/>
              <w:bottom w:val="single" w:sz="4" w:space="0" w:color="auto"/>
              <w:right w:val="single" w:sz="4" w:space="0" w:color="auto"/>
            </w:tcBorders>
            <w:shd w:val="clear" w:color="auto" w:fill="FFFFFF"/>
          </w:tcPr>
          <w:p w:rsidR="00500724" w:rsidRDefault="00F30FB8">
            <w:pPr>
              <w:pStyle w:val="Jin0"/>
              <w:framePr w:w="11318" w:h="11064" w:wrap="none" w:vAnchor="text" w:hAnchor="page" w:x="519" w:y="4076"/>
              <w:shd w:val="clear" w:color="auto" w:fill="auto"/>
              <w:ind w:right="60" w:firstLine="0"/>
              <w:jc w:val="center"/>
              <w:rPr>
                <w:sz w:val="34"/>
                <w:szCs w:val="34"/>
              </w:rPr>
            </w:pPr>
            <w:r>
              <w:rPr>
                <w:b/>
                <w:bCs/>
                <w:sz w:val="34"/>
                <w:szCs w:val="34"/>
              </w:rPr>
              <w:t>— Odpovědi Hlinkovu gardistovi — Na dvě adresy</w:t>
            </w:r>
          </w:p>
        </w:tc>
      </w:tr>
    </w:tbl>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65" w:line="14" w:lineRule="exact"/>
      </w:pPr>
    </w:p>
    <w:p w:rsidR="00500724" w:rsidRDefault="00500724">
      <w:pPr>
        <w:spacing w:line="14" w:lineRule="exact"/>
        <w:sectPr w:rsidR="00500724">
          <w:footnotePr>
            <w:numFmt w:val="chicago"/>
            <w:numRestart w:val="eachPage"/>
          </w:footnotePr>
          <w:pgSz w:w="11909" w:h="16834"/>
          <w:pgMar w:top="1196" w:right="72" w:bottom="300" w:left="518" w:header="0" w:footer="3" w:gutter="0"/>
          <w:cols w:space="720"/>
          <w:noEndnote/>
          <w:docGrid w:linePitch="360"/>
        </w:sectPr>
      </w:pPr>
    </w:p>
    <w:p w:rsidR="00500724" w:rsidRDefault="00F30FB8">
      <w:pPr>
        <w:pStyle w:val="Zkladntext80"/>
        <w:framePr w:h="360" w:hSpace="180" w:wrap="notBeside" w:vAnchor="text" w:hAnchor="page" w:x="5720" w:y="3668"/>
        <w:shd w:val="clear" w:color="auto" w:fill="auto"/>
        <w:spacing w:line="240" w:lineRule="auto"/>
      </w:pPr>
      <w:r>
        <w:t xml:space="preserve">v sešitech po </w:t>
      </w:r>
      <w:r>
        <w:rPr>
          <w:sz w:val="34"/>
          <w:szCs w:val="34"/>
        </w:rPr>
        <w:t xml:space="preserve">2*20 </w:t>
      </w:r>
      <w:r>
        <w:t>K.</w:t>
      </w:r>
    </w:p>
    <w:p w:rsidR="00500724" w:rsidRDefault="00F30FB8">
      <w:pPr>
        <w:spacing w:line="14" w:lineRule="exact"/>
      </w:pPr>
      <w:r>
        <w:rPr>
          <w:noProof/>
        </w:rPr>
        <mc:AlternateContent>
          <mc:Choice Requires="wps">
            <w:drawing>
              <wp:anchor distT="0" distB="0" distL="114300" distR="114300" simplePos="0" relativeHeight="125829840" behindDoc="0" locked="0" layoutInCell="1" allowOverlap="1">
                <wp:simplePos x="0" y="0"/>
                <wp:positionH relativeFrom="page">
                  <wp:posOffset>1153795</wp:posOffset>
                </wp:positionH>
                <wp:positionV relativeFrom="paragraph">
                  <wp:posOffset>12700</wp:posOffset>
                </wp:positionV>
                <wp:extent cx="3566160" cy="68580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3566160" cy="685800"/>
                        </a:xfrm>
                        <a:prstGeom prst="rect">
                          <a:avLst/>
                        </a:prstGeom>
                        <a:noFill/>
                      </wps:spPr>
                      <wps:txbx>
                        <w:txbxContent>
                          <w:p w:rsidR="00500724" w:rsidRDefault="00F30FB8">
                            <w:pPr>
                              <w:pStyle w:val="Jin0"/>
                              <w:shd w:val="clear" w:color="auto" w:fill="auto"/>
                              <w:spacing w:line="334" w:lineRule="auto"/>
                              <w:ind w:firstLine="0"/>
                              <w:jc w:val="left"/>
                              <w:rPr>
                                <w:sz w:val="13"/>
                                <w:szCs w:val="13"/>
                              </w:rPr>
                            </w:pPr>
                            <w:r>
                              <w:rPr>
                                <w:rFonts w:ascii="Arial" w:eastAsia="Arial" w:hAnsi="Arial" w:cs="Arial"/>
                                <w:b/>
                                <w:bCs/>
                                <w:sz w:val="13"/>
                                <w:szCs w:val="13"/>
                              </w:rPr>
                              <w:t>Společenské postavení pomocnic v domácností bylo vždy ožehavou a naléhavou otázkou. Stále ještě nebyla doceněna práce, kterou konají tisíce a tisíce pomocnic, práce drobná, ale unavující a vysilující, pr</w:t>
                            </w:r>
                            <w:r>
                              <w:rPr>
                                <w:rFonts w:ascii="Arial" w:eastAsia="Arial" w:hAnsi="Arial" w:cs="Arial"/>
                                <w:b/>
                                <w:bCs/>
                                <w:sz w:val="13"/>
                                <w:szCs w:val="13"/>
                              </w:rPr>
                              <w:t>áce nutná, ale málo oceňovaná. O životě pomocnice v domácnosti napsal úchvatný román maďarský spisovatel</w:t>
                            </w:r>
                          </w:p>
                        </w:txbxContent>
                      </wps:txbx>
                      <wps:bodyPr lIns="0" tIns="0" rIns="0" bIns="0">
                        <a:spAutoFit/>
                      </wps:bodyPr>
                    </wps:wsp>
                  </a:graphicData>
                </a:graphic>
              </wp:anchor>
            </w:drawing>
          </mc:Choice>
          <mc:Fallback>
            <w:pict>
              <v:shape id="_x0000_s1489" type="#_x0000_t202" style="position:absolute;margin-left:90.849999999999994pt;margin-top:1.pt;width:280.80000000000001pt;height:54.pt;z-index:-125828913;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334" w:lineRule="auto"/>
                        <w:ind w:left="0" w:right="0" w:firstLine="0"/>
                        <w:jc w:val="left"/>
                        <w:rPr>
                          <w:sz w:val="13"/>
                          <w:szCs w:val="13"/>
                        </w:rPr>
                      </w:pPr>
                      <w:r>
                        <w:rPr>
                          <w:rFonts w:ascii="Arial" w:eastAsia="Arial" w:hAnsi="Arial" w:cs="Arial"/>
                          <w:b/>
                          <w:bCs/>
                          <w:color w:val="000000"/>
                          <w:spacing w:val="0"/>
                          <w:w w:val="100"/>
                          <w:position w:val="0"/>
                          <w:sz w:val="13"/>
                          <w:szCs w:val="13"/>
                          <w:shd w:val="clear" w:color="auto" w:fill="auto"/>
                          <w:lang w:val="cs-CZ" w:eastAsia="cs-CZ" w:bidi="cs-CZ"/>
                        </w:rPr>
                        <w:t>Společenské postavení pomocnic v domácností bylo vždy ožehavou a naléhavou otázkou. Stále ještě nebyla doceněna práce, kterou konají tisíce a tisíce pomocnic, práce drobná, ale unavující a vysilující, práce nutná, ale málo oceňovaná. O životě pomocnice v domácnosti napsal úchvatný román maďarský spisovatel</w:t>
                      </w:r>
                    </w:p>
                  </w:txbxContent>
                </v:textbox>
                <w10:wrap type="topAndBottom" anchorx="page"/>
              </v:shape>
            </w:pict>
          </mc:Fallback>
        </mc:AlternateContent>
      </w:r>
    </w:p>
    <w:p w:rsidR="00500724" w:rsidRDefault="00F30FB8">
      <w:pPr>
        <w:pStyle w:val="Jin0"/>
        <w:shd w:val="clear" w:color="auto" w:fill="auto"/>
        <w:spacing w:line="331" w:lineRule="auto"/>
        <w:ind w:left="3540" w:right="2520" w:firstLine="0"/>
        <w:jc w:val="right"/>
        <w:rPr>
          <w:sz w:val="13"/>
          <w:szCs w:val="13"/>
        </w:rPr>
      </w:pPr>
      <w:r>
        <w:rPr>
          <w:rFonts w:ascii="Arial" w:eastAsia="Arial" w:hAnsi="Arial" w:cs="Arial"/>
          <w:b/>
          <w:bCs/>
          <w:sz w:val="13"/>
          <w:szCs w:val="13"/>
        </w:rPr>
        <w:t>Chceme umožnit! sku</w:t>
      </w:r>
      <w:r>
        <w:rPr>
          <w:rFonts w:ascii="Arial" w:eastAsia="Arial" w:hAnsi="Arial" w:cs="Arial"/>
          <w:b/>
          <w:bCs/>
          <w:sz w:val="13"/>
          <w:szCs w:val="13"/>
        </w:rPr>
        <w:softHyphen/>
        <w:t>tečně každému, aby sl mohl přečíst</w:t>
      </w:r>
    </w:p>
    <w:p w:rsidR="00500724" w:rsidRDefault="00F30FB8">
      <w:pPr>
        <w:pStyle w:val="Jin0"/>
        <w:shd w:val="clear" w:color="auto" w:fill="auto"/>
        <w:spacing w:line="310" w:lineRule="auto"/>
        <w:ind w:left="4040" w:right="2480" w:firstLine="740"/>
        <w:jc w:val="left"/>
        <w:rPr>
          <w:sz w:val="13"/>
          <w:szCs w:val="13"/>
        </w:rPr>
      </w:pPr>
      <w:r>
        <w:rPr>
          <w:rFonts w:ascii="Arial" w:eastAsia="Arial" w:hAnsi="Arial" w:cs="Arial"/>
          <w:b/>
          <w:bCs/>
          <w:sz w:val="13"/>
          <w:szCs w:val="13"/>
        </w:rPr>
        <w:t>První sešit přivě vyšel. Celé toto poutavé dílo, vzrušu</w:t>
      </w:r>
      <w:r>
        <w:rPr>
          <w:rFonts w:ascii="Arial" w:eastAsia="Arial" w:hAnsi="Arial" w:cs="Arial"/>
          <w:b/>
          <w:bCs/>
          <w:sz w:val="13"/>
          <w:szCs w:val="13"/>
        </w:rPr>
        <w:softHyphen/>
      </w:r>
      <w:r>
        <w:rPr>
          <w:rFonts w:ascii="Arial" w:eastAsia="Arial" w:hAnsi="Arial" w:cs="Arial"/>
          <w:b/>
          <w:bCs/>
          <w:sz w:val="13"/>
          <w:szCs w:val="13"/>
        </w:rPr>
        <w:t xml:space="preserve">jící obraz ze života služky, bude v rukou čtenářů do prázdnin. </w:t>
      </w:r>
      <w:r>
        <w:rPr>
          <w:rFonts w:ascii="Arial" w:eastAsia="Arial" w:hAnsi="Arial" w:cs="Arial"/>
          <w:b/>
          <w:bCs/>
          <w:sz w:val="22"/>
          <w:szCs w:val="22"/>
        </w:rPr>
        <w:t>Přihlaste se</w:t>
      </w:r>
      <w:r>
        <w:rPr>
          <w:rFonts w:ascii="Arial" w:eastAsia="Arial" w:hAnsi="Arial" w:cs="Arial"/>
          <w:b/>
          <w:bCs/>
          <w:sz w:val="22"/>
          <w:szCs w:val="22"/>
          <w:vertAlign w:val="subscript"/>
        </w:rPr>
        <w:t>u</w:t>
      </w:r>
      <w:r>
        <w:rPr>
          <w:rFonts w:ascii="Arial" w:eastAsia="Arial" w:hAnsi="Arial" w:cs="Arial"/>
          <w:b/>
          <w:bCs/>
          <w:sz w:val="22"/>
          <w:szCs w:val="22"/>
        </w:rPr>
        <w:t xml:space="preserve"> </w:t>
      </w:r>
      <w:r>
        <w:rPr>
          <w:rFonts w:ascii="Arial" w:eastAsia="Arial" w:hAnsi="Arial" w:cs="Arial"/>
          <w:b/>
          <w:bCs/>
          <w:sz w:val="13"/>
          <w:szCs w:val="13"/>
        </w:rPr>
        <w:t>svého knihkupce nebo přímo</w:t>
      </w:r>
    </w:p>
    <w:p w:rsidR="00500724" w:rsidRDefault="00F30FB8">
      <w:pPr>
        <w:pStyle w:val="Jin0"/>
        <w:shd w:val="clear" w:color="auto" w:fill="auto"/>
        <w:spacing w:line="382" w:lineRule="auto"/>
        <w:ind w:right="2520" w:firstLine="0"/>
        <w:jc w:val="right"/>
        <w:rPr>
          <w:sz w:val="13"/>
          <w:szCs w:val="13"/>
        </w:rPr>
        <w:sectPr w:rsidR="00500724">
          <w:footnotePr>
            <w:numFmt w:val="chicago"/>
            <w:numRestart w:val="eachPage"/>
          </w:footnotePr>
          <w:pgSz w:w="11909" w:h="16834"/>
          <w:pgMar w:top="2127" w:right="367" w:bottom="343" w:left="223" w:header="0" w:footer="3" w:gutter="0"/>
          <w:cols w:space="720"/>
          <w:noEndnote/>
          <w:docGrid w:linePitch="360"/>
        </w:sectPr>
      </w:pPr>
      <w:r>
        <w:rPr>
          <w:rFonts w:ascii="Arial" w:eastAsia="Arial" w:hAnsi="Arial" w:cs="Arial"/>
          <w:b/>
          <w:bCs/>
          <w:sz w:val="13"/>
          <w:szCs w:val="13"/>
        </w:rPr>
        <w:t xml:space="preserve">v nakladatelství </w:t>
      </w:r>
      <w:r>
        <w:rPr>
          <w:rFonts w:ascii="Arial" w:eastAsia="Arial" w:hAnsi="Arial" w:cs="Arial"/>
          <w:b/>
          <w:bCs/>
          <w:sz w:val="18"/>
          <w:szCs w:val="18"/>
        </w:rPr>
        <w:t xml:space="preserve">MELANTRICHj 3. S*&gt; </w:t>
      </w:r>
      <w:r>
        <w:rPr>
          <w:rFonts w:ascii="Arial" w:eastAsia="Arial" w:hAnsi="Arial" w:cs="Arial"/>
          <w:b/>
          <w:bCs/>
          <w:sz w:val="13"/>
          <w:szCs w:val="13"/>
          <w:lang w:val="en-US" w:eastAsia="en-US" w:bidi="en-US"/>
        </w:rPr>
        <w:t xml:space="preserve">fuNGMANN'oVA </w:t>
      </w:r>
      <w:r>
        <w:rPr>
          <w:rFonts w:ascii="Arial" w:eastAsia="Arial" w:hAnsi="Arial" w:cs="Arial"/>
          <w:b/>
          <w:bCs/>
          <w:sz w:val="13"/>
          <w:szCs w:val="13"/>
        </w:rPr>
        <w:t>1</w: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69" w:after="69"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2127" w:right="0" w:bottom="343" w:left="0" w:header="0" w:footer="3" w:gutter="0"/>
          <w:cols w:space="720"/>
          <w:noEndnote/>
          <w:docGrid w:linePitch="360"/>
        </w:sectPr>
      </w:pPr>
    </w:p>
    <w:p w:rsidR="00500724" w:rsidRDefault="00F30FB8">
      <w:pPr>
        <w:pStyle w:val="Zkladntext100"/>
        <w:shd w:val="clear" w:color="auto" w:fill="auto"/>
        <w:spacing w:line="228" w:lineRule="auto"/>
        <w:ind w:firstLine="0"/>
      </w:pPr>
      <w:r>
        <w:t xml:space="preserve">odb. dětská lékařka. PODOLÍ, PANKRÁCKÁ 14 (stanice elektr. </w:t>
      </w:r>
      <w:r>
        <w:rPr>
          <w:u w:val="single"/>
        </w:rPr>
        <w:t>dráhy za Podol, sanatoriem). Ord. 9—10 a 2—4. Tel. 441-77.</w:t>
      </w:r>
    </w:p>
    <w:p w:rsidR="00500724" w:rsidRDefault="00F30FB8">
      <w:pPr>
        <w:spacing w:line="1" w:lineRule="exact"/>
        <w:rPr>
          <w:sz w:val="2"/>
          <w:szCs w:val="2"/>
        </w:rPr>
      </w:pPr>
      <w:r>
        <w:br w:type="column"/>
      </w:r>
    </w:p>
    <w:p w:rsidR="00500724" w:rsidRDefault="00F30FB8">
      <w:pPr>
        <w:pStyle w:val="Jin0"/>
        <w:shd w:val="clear" w:color="auto" w:fill="auto"/>
        <w:spacing w:after="60"/>
        <w:ind w:firstLine="0"/>
        <w:jc w:val="left"/>
        <w:rPr>
          <w:sz w:val="50"/>
          <w:szCs w:val="50"/>
        </w:rPr>
      </w:pPr>
      <w:r>
        <w:rPr>
          <w:sz w:val="50"/>
          <w:szCs w:val="50"/>
        </w:rPr>
        <w:t>Sanatorium Dr. Borůvka</w:t>
      </w:r>
    </w:p>
    <w:p w:rsidR="00500724" w:rsidRDefault="00F30FB8">
      <w:pPr>
        <w:pStyle w:val="Zkladntext100"/>
        <w:shd w:val="clear" w:color="auto" w:fill="auto"/>
        <w:spacing w:line="173" w:lineRule="auto"/>
        <w:ind w:left="140" w:firstLine="20"/>
        <w:sectPr w:rsidR="00500724">
          <w:footnotePr>
            <w:numFmt w:val="chicago"/>
            <w:numRestart w:val="eachPage"/>
          </w:footnotePr>
          <w:type w:val="continuous"/>
          <w:pgSz w:w="11909" w:h="16834"/>
          <w:pgMar w:top="2127" w:right="1331" w:bottom="343" w:left="242" w:header="0" w:footer="3" w:gutter="0"/>
          <w:cols w:num="2" w:space="100"/>
          <w:noEndnote/>
          <w:docGrid w:linePitch="360"/>
        </w:sectPr>
      </w:pPr>
      <w:r>
        <w:t xml:space="preserve">ústav pro choroby chirurgické, ženské a porody, PRAHA IL. LEGEROVA 61/63. Telefony </w:t>
      </w:r>
      <w:r>
        <w:t>212-37. 379-06. 332-38.</w:t>
      </w:r>
    </w:p>
    <w:p w:rsidR="00500724" w:rsidRDefault="00500724">
      <w:pPr>
        <w:spacing w:line="43" w:lineRule="exact"/>
        <w:rPr>
          <w:sz w:val="3"/>
          <w:szCs w:val="3"/>
        </w:rPr>
      </w:pPr>
    </w:p>
    <w:p w:rsidR="00500724" w:rsidRDefault="00500724">
      <w:pPr>
        <w:spacing w:line="14" w:lineRule="exact"/>
        <w:sectPr w:rsidR="00500724">
          <w:footnotePr>
            <w:numFmt w:val="chicago"/>
            <w:numRestart w:val="eachPage"/>
          </w:footnotePr>
          <w:type w:val="continuous"/>
          <w:pgSz w:w="11909" w:h="16834"/>
          <w:pgMar w:top="2127" w:right="0" w:bottom="343" w:left="0" w:header="0" w:footer="3" w:gutter="0"/>
          <w:cols w:space="720"/>
          <w:noEndnote/>
          <w:docGrid w:linePitch="360"/>
        </w:sectPr>
      </w:pPr>
    </w:p>
    <w:p w:rsidR="00500724" w:rsidRDefault="00F30FB8">
      <w:pPr>
        <w:spacing w:line="14" w:lineRule="exact"/>
      </w:pPr>
      <w:r>
        <w:rPr>
          <w:noProof/>
        </w:rPr>
        <mc:AlternateContent>
          <mc:Choice Requires="wps">
            <w:drawing>
              <wp:anchor distT="50800" distB="0" distL="114300" distR="114300" simplePos="0" relativeHeight="125829842" behindDoc="0" locked="0" layoutInCell="1" allowOverlap="1">
                <wp:simplePos x="0" y="0"/>
                <wp:positionH relativeFrom="page">
                  <wp:posOffset>3653155</wp:posOffset>
                </wp:positionH>
                <wp:positionV relativeFrom="paragraph">
                  <wp:posOffset>76200</wp:posOffset>
                </wp:positionV>
                <wp:extent cx="2353310" cy="313690"/>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2353310" cy="313690"/>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46"/>
                                <w:szCs w:val="46"/>
                              </w:rPr>
                            </w:pPr>
                            <w:r>
                              <w:rPr>
                                <w:rFonts w:ascii="Arial" w:eastAsia="Arial" w:hAnsi="Arial" w:cs="Arial"/>
                                <w:smallCaps/>
                                <w:color w:val="FFFFFF"/>
                                <w:sz w:val="38"/>
                                <w:szCs w:val="38"/>
                              </w:rPr>
                              <w:t xml:space="preserve">lízne </w:t>
                            </w:r>
                            <w:r>
                              <w:rPr>
                                <w:b/>
                                <w:bCs/>
                                <w:smallCaps/>
                                <w:color w:val="FFFFFF"/>
                                <w:sz w:val="46"/>
                                <w:szCs w:val="46"/>
                              </w:rPr>
                              <w:t>velicíiovky</w:t>
                            </w:r>
                          </w:p>
                        </w:txbxContent>
                      </wps:txbx>
                      <wps:bodyPr lIns="0" tIns="0" rIns="0" bIns="0">
                        <a:spAutoFit/>
                      </wps:bodyPr>
                    </wps:wsp>
                  </a:graphicData>
                </a:graphic>
              </wp:anchor>
            </w:drawing>
          </mc:Choice>
          <mc:Fallback>
            <w:pict>
              <v:shape id="_x0000_s1491" type="#_x0000_t202" style="position:absolute;margin-left:287.64999999999998pt;margin-top:6.pt;width:185.30000000000001pt;height:24.699999999999999pt;z-index:-125828911;mso-wrap-distance-left:9.pt;mso-wrap-distance-top:4.pt;mso-wrap-distance-right:9.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46"/>
                          <w:szCs w:val="46"/>
                        </w:rPr>
                      </w:pPr>
                      <w:r>
                        <w:rPr>
                          <w:rFonts w:ascii="Arial" w:eastAsia="Arial" w:hAnsi="Arial" w:cs="Arial"/>
                          <w:smallCaps/>
                          <w:color w:val="FFFFFF"/>
                          <w:spacing w:val="0"/>
                          <w:w w:val="100"/>
                          <w:position w:val="0"/>
                          <w:sz w:val="38"/>
                          <w:szCs w:val="38"/>
                          <w:shd w:val="clear" w:color="auto" w:fill="auto"/>
                          <w:lang w:val="cs-CZ" w:eastAsia="cs-CZ" w:bidi="cs-CZ"/>
                        </w:rPr>
                        <w:t xml:space="preserve">lízne </w:t>
                      </w:r>
                      <w:r>
                        <w:rPr>
                          <w:b/>
                          <w:bCs/>
                          <w:smallCaps/>
                          <w:color w:val="FFFFFF"/>
                          <w:spacing w:val="0"/>
                          <w:w w:val="100"/>
                          <w:position w:val="0"/>
                          <w:sz w:val="46"/>
                          <w:szCs w:val="46"/>
                          <w:shd w:val="clear" w:color="auto" w:fill="auto"/>
                          <w:lang w:val="cs-CZ" w:eastAsia="cs-CZ" w:bidi="cs-CZ"/>
                        </w:rPr>
                        <w:t>velicíiovky</w:t>
                      </w:r>
                    </w:p>
                  </w:txbxContent>
                </v:textbox>
                <w10:wrap type="topAndBottom" anchorx="page"/>
              </v:shape>
            </w:pict>
          </mc:Fallback>
        </mc:AlternateContent>
      </w:r>
      <w:r>
        <w:rPr>
          <w:noProof/>
        </w:rPr>
        <mc:AlternateContent>
          <mc:Choice Requires="wps">
            <w:drawing>
              <wp:anchor distT="0" distB="0" distL="114300" distR="114300" simplePos="0" relativeHeight="125829844" behindDoc="0" locked="0" layoutInCell="1" allowOverlap="1">
                <wp:simplePos x="0" y="0"/>
                <wp:positionH relativeFrom="page">
                  <wp:posOffset>6030595</wp:posOffset>
                </wp:positionH>
                <wp:positionV relativeFrom="paragraph">
                  <wp:posOffset>231775</wp:posOffset>
                </wp:positionV>
                <wp:extent cx="633730" cy="213360"/>
                <wp:effectExtent l="0" t="0" r="0" b="0"/>
                <wp:wrapSquare wrapText="bothSides"/>
                <wp:docPr id="467" name="Shape 467"/>
                <wp:cNvGraphicFramePr/>
                <a:graphic xmlns:a="http://schemas.openxmlformats.org/drawingml/2006/main">
                  <a:graphicData uri="http://schemas.microsoft.com/office/word/2010/wordprocessingShape">
                    <wps:wsp>
                      <wps:cNvSpPr txBox="1"/>
                      <wps:spPr>
                        <a:xfrm>
                          <a:off x="0" y="0"/>
                          <a:ext cx="633730" cy="213360"/>
                        </a:xfrm>
                        <a:prstGeom prst="rect">
                          <a:avLst/>
                        </a:prstGeom>
                        <a:noFill/>
                      </wps:spPr>
                      <wps:txbx>
                        <w:txbxContent>
                          <w:p w:rsidR="00500724" w:rsidRDefault="00F30FB8">
                            <w:pPr>
                              <w:pStyle w:val="Zkladntext80"/>
                              <w:shd w:val="clear" w:color="auto" w:fill="auto"/>
                              <w:spacing w:line="240" w:lineRule="auto"/>
                              <w:rPr>
                                <w:sz w:val="24"/>
                                <w:szCs w:val="24"/>
                              </w:rPr>
                            </w:pPr>
                            <w:r>
                              <w:rPr>
                                <w:w w:val="70"/>
                                <w:sz w:val="24"/>
                                <w:szCs w:val="24"/>
                              </w:rPr>
                              <w:t>u Jaroměře</w:t>
                            </w:r>
                          </w:p>
                        </w:txbxContent>
                      </wps:txbx>
                      <wps:bodyPr lIns="0" tIns="0" rIns="0" bIns="0">
                        <a:spAutoFit/>
                      </wps:bodyPr>
                    </wps:wsp>
                  </a:graphicData>
                </a:graphic>
              </wp:anchor>
            </w:drawing>
          </mc:Choice>
          <mc:Fallback>
            <w:pict>
              <v:shape id="_x0000_s1493" type="#_x0000_t202" style="position:absolute;margin-left:474.85000000000002pt;margin-top:18.25pt;width:49.899999999999999pt;height:16.800000000000001pt;z-index:-125828909;mso-wrap-distance-left:9.pt;mso-wrap-distance-right:9.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70"/>
                          <w:position w:val="0"/>
                          <w:sz w:val="24"/>
                          <w:szCs w:val="24"/>
                          <w:shd w:val="clear" w:color="auto" w:fill="auto"/>
                          <w:lang w:val="cs-CZ" w:eastAsia="cs-CZ" w:bidi="cs-CZ"/>
                        </w:rPr>
                        <w:t>u Jaroměře</w:t>
                      </w:r>
                    </w:p>
                  </w:txbxContent>
                </v:textbox>
                <w10:wrap type="square" anchorx="page"/>
              </v:shape>
            </w:pict>
          </mc:Fallback>
        </mc:AlternateContent>
      </w:r>
    </w:p>
    <w:p w:rsidR="00500724" w:rsidRDefault="00F30FB8">
      <w:pPr>
        <w:pStyle w:val="Nadpis110"/>
        <w:shd w:val="clear" w:color="auto" w:fill="auto"/>
        <w:jc w:val="both"/>
      </w:pPr>
      <w:bookmarkStart w:id="472" w:name="bookmark471"/>
      <w:r>
        <w:t xml:space="preserve">MUDr. </w:t>
      </w:r>
      <w:r>
        <w:rPr>
          <w:lang w:val="en-US" w:eastAsia="en-US" w:bidi="en-US"/>
        </w:rPr>
        <w:t xml:space="preserve">ANTONIN </w:t>
      </w:r>
      <w:r>
        <w:t>NEUMANN</w:t>
      </w:r>
      <w:bookmarkEnd w:id="472"/>
    </w:p>
    <w:p w:rsidR="00500724" w:rsidRDefault="00F30FB8">
      <w:pPr>
        <w:pStyle w:val="Zkladntext40"/>
        <w:shd w:val="clear" w:color="auto" w:fill="auto"/>
        <w:spacing w:after="120" w:line="192" w:lineRule="auto"/>
        <w:ind w:firstLine="680"/>
        <w:rPr>
          <w:sz w:val="16"/>
          <w:szCs w:val="16"/>
        </w:rPr>
      </w:pPr>
      <w:r>
        <w:rPr>
          <w:sz w:val="18"/>
          <w:szCs w:val="18"/>
        </w:rPr>
        <w:t xml:space="preserve">odborný lékař nemoci pohlavních, kožních a kosmetiky </w:t>
      </w:r>
      <w:r>
        <w:rPr>
          <w:b/>
          <w:bCs/>
          <w:sz w:val="16"/>
          <w:szCs w:val="16"/>
        </w:rPr>
        <w:t xml:space="preserve">Praha H„ Na Zbořenci 24 — třetí dům od Karlova náměstí. </w:t>
      </w:r>
      <w:r>
        <w:rPr>
          <w:b/>
          <w:bCs/>
          <w:sz w:val="16"/>
          <w:szCs w:val="16"/>
          <w:u w:val="single"/>
        </w:rPr>
        <w:t xml:space="preserve">Ordinuje celý den. V neděli a ve </w:t>
      </w:r>
      <w:r>
        <w:rPr>
          <w:b/>
          <w:bCs/>
          <w:sz w:val="16"/>
          <w:szCs w:val="16"/>
          <w:u w:val="single"/>
        </w:rPr>
        <w:t>svátek dopoledne. Tel. 41.728.</w:t>
      </w:r>
    </w:p>
    <w:p w:rsidR="00500724" w:rsidRDefault="00F30FB8">
      <w:pPr>
        <w:pStyle w:val="Zkladntext100"/>
        <w:shd w:val="clear" w:color="auto" w:fill="auto"/>
        <w:spacing w:line="264" w:lineRule="auto"/>
        <w:ind w:firstLine="0"/>
      </w:pPr>
      <w:r>
        <w:t xml:space="preserve">Pro plastickou chirurgii </w:t>
      </w:r>
      <w:r>
        <w:rPr>
          <w:rFonts w:ascii="Arial" w:eastAsia="Arial" w:hAnsi="Arial" w:cs="Arial"/>
          <w:b/>
          <w:bCs/>
          <w:sz w:val="22"/>
          <w:szCs w:val="22"/>
        </w:rPr>
        <w:t xml:space="preserve">Dr. RUDOLF SLUNEČKO </w:t>
      </w:r>
      <w:r>
        <w:t xml:space="preserve">ord. 3—4 (a podle úmluvy). Telefon 393-79. PRAHA DL. </w:t>
      </w:r>
      <w:r>
        <w:rPr>
          <w:b/>
          <w:bCs/>
          <w:sz w:val="19"/>
          <w:szCs w:val="19"/>
        </w:rPr>
        <w:t>VO</w:t>
      </w:r>
      <w:r>
        <w:rPr>
          <w:b/>
          <w:bCs/>
          <w:sz w:val="19"/>
          <w:szCs w:val="19"/>
        </w:rPr>
        <w:softHyphen/>
      </w:r>
      <w:r>
        <w:t>DIČKOVA 15. (Hlávkův palác.)</w:t>
      </w:r>
    </w:p>
    <w:p w:rsidR="00500724" w:rsidRDefault="00F30FB8">
      <w:pPr>
        <w:pStyle w:val="Jin0"/>
        <w:shd w:val="clear" w:color="auto" w:fill="auto"/>
        <w:spacing w:after="80"/>
        <w:ind w:firstLine="0"/>
        <w:jc w:val="left"/>
        <w:rPr>
          <w:sz w:val="15"/>
          <w:szCs w:val="15"/>
        </w:rPr>
      </w:pPr>
      <w:r>
        <w:rPr>
          <w:rFonts w:ascii="Arial" w:eastAsia="Arial" w:hAnsi="Arial" w:cs="Arial"/>
          <w:sz w:val="15"/>
          <w:szCs w:val="15"/>
        </w:rPr>
        <w:t>Sezóna od 1. března</w:t>
      </w:r>
    </w:p>
    <w:p w:rsidR="00500724" w:rsidRDefault="00F30FB8">
      <w:pPr>
        <w:pStyle w:val="Zkladntext50"/>
        <w:shd w:val="clear" w:color="auto" w:fill="auto"/>
        <w:spacing w:after="0" w:line="240" w:lineRule="auto"/>
        <w:ind w:left="340"/>
        <w:jc w:val="left"/>
        <w:rPr>
          <w:sz w:val="18"/>
          <w:szCs w:val="18"/>
        </w:rPr>
      </w:pPr>
      <w:r>
        <w:rPr>
          <w:b/>
          <w:bCs/>
          <w:sz w:val="18"/>
          <w:szCs w:val="18"/>
        </w:rPr>
        <w:t>Revma, dna, ischias, nervosy, ženské choroby</w:t>
      </w:r>
    </w:p>
    <w:p w:rsidR="00500724" w:rsidRDefault="00F30FB8">
      <w:pPr>
        <w:pStyle w:val="Nadpis110"/>
        <w:shd w:val="clear" w:color="auto" w:fill="auto"/>
        <w:ind w:left="340"/>
        <w:sectPr w:rsidR="00500724">
          <w:footnotePr>
            <w:numFmt w:val="chicago"/>
            <w:numRestart w:val="eachPage"/>
          </w:footnotePr>
          <w:type w:val="continuous"/>
          <w:pgSz w:w="11909" w:h="16834"/>
          <w:pgMar w:top="2127" w:right="1414" w:bottom="343" w:left="223" w:header="0" w:footer="3" w:gutter="0"/>
          <w:cols w:num="2" w:space="419"/>
          <w:noEndnote/>
          <w:docGrid w:linePitch="360"/>
        </w:sectPr>
      </w:pPr>
      <w:bookmarkStart w:id="473" w:name="bookmark472"/>
      <w:r>
        <w:t>Levné jarní paušály od K 960*-za 3 týdny</w:t>
      </w:r>
      <w:bookmarkEnd w:id="473"/>
    </w:p>
    <w:p w:rsidR="00500724" w:rsidRDefault="00500724">
      <w:pPr>
        <w:spacing w:before="18" w:after="18"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244" w:right="0" w:bottom="615" w:left="0" w:header="0" w:footer="3" w:gutter="0"/>
          <w:cols w:space="720"/>
          <w:noEndnote/>
          <w:docGrid w:linePitch="360"/>
        </w:sectPr>
      </w:pPr>
    </w:p>
    <w:p w:rsidR="00500724" w:rsidRDefault="00F30FB8">
      <w:pPr>
        <w:spacing w:line="14" w:lineRule="exact"/>
      </w:pPr>
      <w:r>
        <w:rPr>
          <w:noProof/>
        </w:rPr>
        <mc:AlternateContent>
          <mc:Choice Requires="wps">
            <w:drawing>
              <wp:anchor distT="241300" distB="0" distL="114300" distR="114300" simplePos="0" relativeHeight="125829846" behindDoc="0" locked="0" layoutInCell="1" allowOverlap="1">
                <wp:simplePos x="0" y="0"/>
                <wp:positionH relativeFrom="page">
                  <wp:posOffset>3131820</wp:posOffset>
                </wp:positionH>
                <wp:positionV relativeFrom="paragraph">
                  <wp:posOffset>1094105</wp:posOffset>
                </wp:positionV>
                <wp:extent cx="3587750" cy="316865"/>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3587750" cy="31686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ne závislý týdeník</w:t>
                            </w:r>
                          </w:p>
                        </w:txbxContent>
                      </wps:txbx>
                      <wps:bodyPr lIns="0" tIns="0" rIns="0" bIns="0">
                        <a:spAutoFit/>
                      </wps:bodyPr>
                    </wps:wsp>
                  </a:graphicData>
                </a:graphic>
              </wp:anchor>
            </w:drawing>
          </mc:Choice>
          <mc:Fallback>
            <w:pict>
              <v:shape id="_x0000_s1495" type="#_x0000_t202" style="position:absolute;margin-left:246.59999999999999pt;margin-top:86.150000000000006pt;width:282.5pt;height:24.949999999999999pt;z-index:-125828907;mso-wrap-distance-left:9.pt;mso-wrap-distance-top:1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ne závislý týdeník</w:t>
                      </w:r>
                    </w:p>
                  </w:txbxContent>
                </v:textbox>
                <w10:wrap type="topAndBottom" anchorx="page"/>
              </v:shape>
            </w:pict>
          </mc:Fallback>
        </mc:AlternateContent>
      </w:r>
      <w:r>
        <w:rPr>
          <w:noProof/>
        </w:rPr>
        <mc:AlternateContent>
          <mc:Choice Requires="wps">
            <w:drawing>
              <wp:anchor distT="0" distB="536575" distL="114300" distR="132715" simplePos="0" relativeHeight="125829848" behindDoc="0" locked="0" layoutInCell="1" allowOverlap="1">
                <wp:simplePos x="0" y="0"/>
                <wp:positionH relativeFrom="page">
                  <wp:posOffset>190500</wp:posOffset>
                </wp:positionH>
                <wp:positionV relativeFrom="paragraph">
                  <wp:posOffset>1112520</wp:posOffset>
                </wp:positionV>
                <wp:extent cx="2731135" cy="701040"/>
                <wp:effectExtent l="0" t="0" r="0" b="0"/>
                <wp:wrapSquare wrapText="right"/>
                <wp:docPr id="471" name="Shape 471"/>
                <wp:cNvGraphicFramePr/>
                <a:graphic xmlns:a="http://schemas.openxmlformats.org/drawingml/2006/main">
                  <a:graphicData uri="http://schemas.microsoft.com/office/word/2010/wordprocessingShape">
                    <wps:wsp>
                      <wps:cNvSpPr txBox="1"/>
                      <wps:spPr>
                        <a:xfrm>
                          <a:off x="0" y="0"/>
                          <a:ext cx="2731135" cy="701040"/>
                        </a:xfrm>
                        <a:prstGeom prst="rect">
                          <a:avLst/>
                        </a:prstGeom>
                        <a:noFill/>
                      </wps:spPr>
                      <wps:txbx>
                        <w:txbxContent>
                          <w:p w:rsidR="00500724" w:rsidRDefault="00F30FB8">
                            <w:pPr>
                              <w:pStyle w:val="Jin0"/>
                              <w:shd w:val="clear" w:color="auto" w:fill="auto"/>
                              <w:ind w:firstLine="0"/>
                              <w:jc w:val="left"/>
                              <w:rPr>
                                <w:sz w:val="78"/>
                                <w:szCs w:val="78"/>
                              </w:rPr>
                            </w:pPr>
                            <w:r>
                              <w:rPr>
                                <w:sz w:val="78"/>
                                <w:szCs w:val="78"/>
                              </w:rPr>
                              <w:t>Přítomnosti</w:t>
                            </w:r>
                          </w:p>
                        </w:txbxContent>
                      </wps:txbx>
                      <wps:bodyPr lIns="0" tIns="0" rIns="0" bIns="0">
                        <a:spAutoFit/>
                      </wps:bodyPr>
                    </wps:wsp>
                  </a:graphicData>
                </a:graphic>
              </wp:anchor>
            </w:drawing>
          </mc:Choice>
          <mc:Fallback>
            <w:pict>
              <v:shape id="_x0000_s1497" type="#_x0000_t202" style="position:absolute;margin-left:15.pt;margin-top:87.599999999999994pt;width:215.05000000000001pt;height:55.200000000000003pt;z-index:-125828905;mso-wrap-distance-left:9.pt;mso-wrap-distance-right:10.449999999999999pt;mso-wrap-distance-bottom:42.2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78"/>
                          <w:szCs w:val="78"/>
                        </w:rPr>
                      </w:pPr>
                      <w:r>
                        <w:rPr>
                          <w:color w:val="000000"/>
                          <w:spacing w:val="0"/>
                          <w:w w:val="100"/>
                          <w:position w:val="0"/>
                          <w:sz w:val="78"/>
                          <w:szCs w:val="78"/>
                          <w:shd w:val="clear" w:color="auto" w:fill="auto"/>
                          <w:lang w:val="cs-CZ" w:eastAsia="cs-CZ" w:bidi="cs-CZ"/>
                        </w:rPr>
                        <w:t>Přítomnosti</w:t>
                      </w:r>
                    </w:p>
                  </w:txbxContent>
                </v:textbox>
                <w10:wrap type="square" side="right" anchorx="page"/>
              </v:shape>
            </w:pict>
          </mc:Fallback>
        </mc:AlternateContent>
      </w:r>
      <w:r>
        <w:rPr>
          <w:noProof/>
        </w:rPr>
        <mc:AlternateContent>
          <mc:Choice Requires="wps">
            <w:drawing>
              <wp:anchor distT="890270" distB="0" distL="132715" distR="114300" simplePos="0" relativeHeight="125829850" behindDoc="0" locked="0" layoutInCell="1" allowOverlap="1">
                <wp:simplePos x="0" y="0"/>
                <wp:positionH relativeFrom="page">
                  <wp:posOffset>208915</wp:posOffset>
                </wp:positionH>
                <wp:positionV relativeFrom="paragraph">
                  <wp:posOffset>2002790</wp:posOffset>
                </wp:positionV>
                <wp:extent cx="2731135" cy="347345"/>
                <wp:effectExtent l="0" t="0" r="0" b="0"/>
                <wp:wrapSquare wrapText="right"/>
                <wp:docPr id="473" name="Shape 473"/>
                <wp:cNvGraphicFramePr/>
                <a:graphic xmlns:a="http://schemas.openxmlformats.org/drawingml/2006/main">
                  <a:graphicData uri="http://schemas.microsoft.com/office/word/2010/wordprocessingShape">
                    <wps:wsp>
                      <wps:cNvSpPr txBox="1"/>
                      <wps:spPr>
                        <a:xfrm>
                          <a:off x="0" y="0"/>
                          <a:ext cx="2731135" cy="34734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499" type="#_x0000_t202" style="position:absolute;margin-left:16.449999999999999pt;margin-top:157.69999999999999pt;width:215.05000000000001pt;height:27.350000000000001pt;z-index:-125828903;mso-wrap-distance-left:10.449999999999999pt;mso-wrap-distance-top:70.099999999999994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120" w:line="257" w:lineRule="auto"/>
        <w:ind w:left="600" w:hanging="600"/>
        <w:rPr>
          <w:sz w:val="19"/>
          <w:szCs w:val="19"/>
        </w:rPr>
      </w:pPr>
      <w:r>
        <w:rPr>
          <w:b/>
          <w:bCs/>
          <w:sz w:val="20"/>
          <w:szCs w:val="20"/>
        </w:rPr>
        <w:t xml:space="preserve">OBSAH PŘÍTOMNOSTI C. </w:t>
      </w:r>
      <w:r>
        <w:rPr>
          <w:b/>
          <w:bCs/>
          <w:sz w:val="19"/>
          <w:szCs w:val="19"/>
        </w:rPr>
        <w:t xml:space="preserve">18: E. F. BURIAN: Sloužit a neposluhovat — MILENA JESENSKÁ: Co očekává Cech od Čecha — JAN FLORA: O </w:t>
      </w:r>
      <w:r>
        <w:rPr>
          <w:b/>
          <w:bCs/>
          <w:sz w:val="19"/>
          <w:szCs w:val="19"/>
        </w:rPr>
        <w:t>české státotvornosti — JAN SKÁLA: Průmysl a český životni standard — JAN ALBERT: Kdo stavěl hlavní města? — S. HALA: Hygienická výstava L. P. 1939 — ARNOŠT ČERMÁK: Německý film — ZDENĚK SMETÁČEK: Sebeurčení a státni nezávislost národů — Beranova vláda odst</w:t>
      </w:r>
      <w:r>
        <w:rPr>
          <w:b/>
          <w:bCs/>
          <w:sz w:val="19"/>
          <w:szCs w:val="19"/>
        </w:rPr>
        <w:t>oupila — Kulturní rubriky v novinách — Jsme jazykově nadaní? — O svatováclavské tradici — Lidová architektura a zedničtí mistři</w:t>
      </w:r>
    </w:p>
    <w:p w:rsidR="00500724" w:rsidRDefault="00F30FB8">
      <w:pPr>
        <w:pStyle w:val="Zkladntext20"/>
        <w:shd w:val="clear" w:color="auto" w:fill="auto"/>
        <w:spacing w:before="140" w:after="40" w:line="216" w:lineRule="auto"/>
        <w:ind w:firstLine="0"/>
        <w:jc w:val="center"/>
        <w:rPr>
          <w:sz w:val="20"/>
          <w:szCs w:val="20"/>
        </w:rPr>
      </w:pPr>
      <w:r>
        <w:rPr>
          <w:sz w:val="20"/>
          <w:szCs w:val="20"/>
        </w:rPr>
        <w:t>vychází ve středu v nakladatelství</w:t>
      </w:r>
      <w:r>
        <w:rPr>
          <w:sz w:val="20"/>
          <w:szCs w:val="20"/>
        </w:rPr>
        <w:br/>
        <w:t>FR. BOROVÝ V PRAZE I., NÁRODNÍ TRlDA IL</w:t>
      </w:r>
    </w:p>
    <w:p w:rsidR="00500724" w:rsidRDefault="00F30FB8">
      <w:pPr>
        <w:pStyle w:val="Zkladntext100"/>
        <w:shd w:val="clear" w:color="auto" w:fill="auto"/>
        <w:tabs>
          <w:tab w:val="left" w:pos="1910"/>
        </w:tabs>
        <w:spacing w:line="154" w:lineRule="auto"/>
        <w:ind w:firstLine="820"/>
        <w:jc w:val="left"/>
      </w:pPr>
      <w:r>
        <w:t xml:space="preserve">, </w:t>
      </w:r>
      <w:r>
        <w:rPr>
          <w:vertAlign w:val="superscript"/>
        </w:rPr>
        <w:t>0</w:t>
      </w:r>
      <w:r>
        <w:t xml:space="preserve"> ,</w:t>
      </w:r>
      <w:r>
        <w:rPr>
          <w:vertAlign w:val="superscript"/>
        </w:rPr>
        <w:t>390</w:t>
      </w:r>
      <w:r>
        <w:t>"</w:t>
      </w:r>
      <w:r>
        <w:rPr>
          <w:vertAlign w:val="superscript"/>
        </w:rPr>
        <w:t>51 až 54</w:t>
      </w:r>
      <w:r>
        <w:t xml:space="preserve"> • Učet poštovní spořitelny číslo 35.622 </w:t>
      </w:r>
      <w:r>
        <w:t>• Nevy</w:t>
      </w:r>
      <w:r>
        <w:softHyphen/>
      </w:r>
      <w:r>
        <w:t>žádané rukopisy se nevracejí • Předplatné na rok K 100.—, na půl roku /tY</w:t>
      </w:r>
      <w:r>
        <w:rPr>
          <w:vertAlign w:val="superscript"/>
        </w:rPr>
        <w:t>1</w:t>
      </w:r>
      <w:r>
        <w:t>*</w:t>
      </w:r>
      <w:r>
        <w:tab/>
        <w:t xml:space="preserve">K 25.—, jednotlivé čísla K 2.—. </w:t>
      </w:r>
      <w:r>
        <w:rPr>
          <w:lang w:val="en-US" w:eastAsia="en-US" w:bidi="en-US"/>
        </w:rPr>
        <w:t xml:space="preserve">Pour </w:t>
      </w:r>
      <w:r>
        <w:t>la Fran</w:t>
      </w:r>
      <w:r>
        <w:softHyphen/>
      </w:r>
    </w:p>
    <w:p w:rsidR="00500724" w:rsidRDefault="00F30FB8">
      <w:pPr>
        <w:pStyle w:val="Zkladntext100"/>
        <w:shd w:val="clear" w:color="auto" w:fill="auto"/>
        <w:spacing w:after="40" w:line="154" w:lineRule="auto"/>
        <w:ind w:firstLine="0"/>
        <w:jc w:val="center"/>
      </w:pPr>
      <w:r>
        <w:t xml:space="preserve">ce et se. </w:t>
      </w:r>
      <w:r>
        <w:rPr>
          <w:lang w:val="en-US" w:eastAsia="en-US" w:bidi="en-US"/>
        </w:rPr>
        <w:t xml:space="preserve">Colonies </w:t>
      </w:r>
      <w:r>
        <w:t xml:space="preserve">Frs 2.50. </w:t>
      </w:r>
      <w:r>
        <w:t xml:space="preserve">o </w:t>
      </w:r>
      <w:r>
        <w:t xml:space="preserve">DohlédacI pošt. úřad Brno </w:t>
      </w:r>
      <w:r>
        <w:t>n. • Novinová</w:t>
      </w:r>
      <w:r>
        <w:br/>
      </w:r>
      <w:r>
        <w:t xml:space="preserve">sazba povolena </w:t>
      </w:r>
      <w:r>
        <w:t>v Brně ředitelstvím pošt a telegrafů pod čls. 119.268/ma. •</w:t>
      </w:r>
      <w:r>
        <w:br/>
        <w:t>Odpovědný redaktor J. Dlabéč.</w:t>
      </w:r>
    </w:p>
    <w:p w:rsidR="00500724" w:rsidRDefault="00F30FB8">
      <w:pPr>
        <w:pStyle w:val="Zkladntext20"/>
        <w:shd w:val="clear" w:color="auto" w:fill="auto"/>
        <w:spacing w:after="80" w:line="240" w:lineRule="auto"/>
        <w:ind w:left="5360" w:firstLine="0"/>
        <w:jc w:val="left"/>
      </w:pPr>
      <w:r>
        <w:rPr>
          <w:sz w:val="20"/>
          <w:szCs w:val="20"/>
        </w:rPr>
        <w:t xml:space="preserve">TISKEM LIDOVÉ TISKÁRNY, BRNO, ČESKÁ </w:t>
      </w:r>
      <w:r>
        <w:t>6.</w:t>
      </w:r>
      <w:r>
        <w:br w:type="page"/>
      </w:r>
    </w:p>
    <w:p w:rsidR="00500724" w:rsidRDefault="00F30FB8">
      <w:pPr>
        <w:pStyle w:val="Nadpis60"/>
        <w:keepNext/>
        <w:keepLines/>
        <w:pBdr>
          <w:bottom w:val="single" w:sz="4" w:space="0" w:color="auto"/>
        </w:pBdr>
        <w:shd w:val="clear" w:color="auto" w:fill="auto"/>
        <w:ind w:right="80"/>
        <w:sectPr w:rsidR="00500724">
          <w:footnotePr>
            <w:numFmt w:val="chicago"/>
            <w:numRestart w:val="eachPage"/>
          </w:footnotePr>
          <w:type w:val="continuous"/>
          <w:pgSz w:w="11909" w:h="16834"/>
          <w:pgMar w:top="1244" w:right="1086" w:bottom="615" w:left="359" w:header="0" w:footer="3" w:gutter="0"/>
          <w:cols w:space="720"/>
          <w:noEndnote/>
          <w:docGrid w:linePitch="360"/>
        </w:sectPr>
      </w:pPr>
      <w:bookmarkStart w:id="474" w:name="bookmark473"/>
      <w:r>
        <w:t>Přítomnosti</w:t>
      </w:r>
      <w:bookmarkEnd w:id="474"/>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973" w:right="0" w:bottom="687" w:left="0" w:header="0" w:footer="3" w:gutter="0"/>
          <w:cols w:space="720"/>
          <w:noEndnote/>
          <w:docGrid w:linePitch="360"/>
        </w:sectPr>
      </w:pPr>
    </w:p>
    <w:p w:rsidR="00500724" w:rsidRDefault="00500724">
      <w:pPr>
        <w:spacing w:after="629" w:line="14" w:lineRule="exact"/>
      </w:pPr>
    </w:p>
    <w:p w:rsidR="00500724" w:rsidRDefault="00500724">
      <w:pPr>
        <w:spacing w:line="14" w:lineRule="exact"/>
        <w:sectPr w:rsidR="00500724">
          <w:footnotePr>
            <w:numFmt w:val="chicago"/>
            <w:numRestart w:val="eachPage"/>
          </w:footnotePr>
          <w:type w:val="continuous"/>
          <w:pgSz w:w="11909" w:h="16834"/>
          <w:pgMar w:top="973" w:right="924" w:bottom="687" w:left="521" w:header="0" w:footer="3" w:gutter="0"/>
          <w:cols w:space="720"/>
          <w:noEndnote/>
          <w:docGrid w:linePitch="360"/>
        </w:sectPr>
      </w:pPr>
    </w:p>
    <w:p w:rsidR="00500724" w:rsidRDefault="00F30FB8">
      <w:pPr>
        <w:pStyle w:val="Jin0"/>
        <w:shd w:val="clear" w:color="auto" w:fill="auto"/>
        <w:spacing w:after="80"/>
        <w:ind w:firstLine="0"/>
        <w:jc w:val="center"/>
        <w:rPr>
          <w:sz w:val="34"/>
          <w:szCs w:val="34"/>
        </w:rPr>
      </w:pPr>
      <w:r>
        <w:rPr>
          <w:b/>
          <w:bCs/>
          <w:sz w:val="34"/>
          <w:szCs w:val="34"/>
        </w:rPr>
        <w:t>Litvinovův odchod</w:t>
      </w:r>
    </w:p>
    <w:p w:rsidR="00500724" w:rsidRDefault="00F30FB8">
      <w:pPr>
        <w:pStyle w:val="Zkladntext20"/>
        <w:shd w:val="clear" w:color="auto" w:fill="auto"/>
        <w:spacing w:line="202" w:lineRule="auto"/>
        <w:ind w:firstLine="0"/>
      </w:pPr>
      <w:r>
        <w:t>■překvapení minulého týdne — jedno z těch, na něž -C jsme už měli kdy si zvyknout — přišlo z Moskvy. Ne z Varšavy, odkud je snad leckdo očekával v sou</w:t>
      </w:r>
      <w:r>
        <w:softHyphen/>
        <w:t>vislosti s řečí plukovníka Bečka; téměř v předvečer jeho projevu došla zpráva, že »na vlastní žádost« od</w:t>
      </w:r>
      <w:r>
        <w:softHyphen/>
      </w:r>
      <w:r>
        <w:t xml:space="preserve">stoupil ze svého úřadu Maxim </w:t>
      </w:r>
      <w:r>
        <w:rPr>
          <w:lang w:val="en-US" w:eastAsia="en-US" w:bidi="en-US"/>
        </w:rPr>
        <w:t xml:space="preserve">Litvinov, </w:t>
      </w:r>
      <w:r>
        <w:t>sovětský komisař zahraničních věcí.</w:t>
      </w:r>
    </w:p>
    <w:p w:rsidR="00500724" w:rsidRDefault="00F30FB8">
      <w:pPr>
        <w:pStyle w:val="Zkladntext20"/>
        <w:shd w:val="clear" w:color="auto" w:fill="auto"/>
        <w:spacing w:line="202" w:lineRule="auto"/>
      </w:pPr>
      <w:r>
        <w:t>Pozadí této náhlé demise není ještě zcela průhledné. Nepochybno ovšem je, že souvisí s anglo-ruským vy</w:t>
      </w:r>
      <w:r>
        <w:softHyphen/>
      </w:r>
      <w:r>
        <w:t xml:space="preserve">jednáváním, jež bylo v posledních týdnech středem světové pozornosti. Této pozornosti neuniklo, že se jednání nemohlo dobře dostat s místa. </w:t>
      </w:r>
      <w:r>
        <w:rPr>
          <w:lang w:val="en-US" w:eastAsia="en-US" w:bidi="en-US"/>
        </w:rPr>
        <w:t xml:space="preserve">Halifax </w:t>
      </w:r>
      <w:r>
        <w:t>a Maj- skij se navštěvovali téměř den jak den, britský kabi</w:t>
      </w:r>
      <w:r>
        <w:softHyphen/>
        <w:t>net měl toto jednání na programu každé své schůz</w:t>
      </w:r>
      <w:r>
        <w:t xml:space="preserve">e, sovětský velvyslanec jel si z Londýna do Moskvy pro instrukce — a na konci všeho toho shonu musil dát </w:t>
      </w:r>
      <w:r>
        <w:rPr>
          <w:lang w:val="en-US" w:eastAsia="en-US" w:bidi="en-US"/>
        </w:rPr>
        <w:t xml:space="preserve">Chamberlain </w:t>
      </w:r>
      <w:r>
        <w:t>v dolní sněmovně vyhýbavou odpověď na otázku, jaké jsou vlastně vyhlídky na dorozumění. Až teď najednou zazářil nad tímto temným stavem věc</w:t>
      </w:r>
      <w:r>
        <w:t>í bengál Litvinovova propuštění.</w:t>
      </w:r>
    </w:p>
    <w:p w:rsidR="00500724" w:rsidRDefault="00F30FB8">
      <w:pPr>
        <w:pStyle w:val="Zkladntext20"/>
        <w:shd w:val="clear" w:color="auto" w:fill="auto"/>
        <w:spacing w:line="202" w:lineRule="auto"/>
      </w:pPr>
      <w:r>
        <w:rPr>
          <w:lang w:val="en-US" w:eastAsia="en-US" w:bidi="en-US"/>
        </w:rPr>
        <w:t xml:space="preserve">Chamberlain a Halifax </w:t>
      </w:r>
      <w:r>
        <w:t xml:space="preserve">žádali Moskvu původně </w:t>
      </w:r>
      <w:r>
        <w:rPr>
          <w:b/>
          <w:bCs/>
        </w:rPr>
        <w:t xml:space="preserve">o </w:t>
      </w:r>
      <w:r>
        <w:t>záruku pomoci Polsku v případě jeho »napadení«. Dříve než mohla sovětská diplomacie říci k tomu ano či ne, ozvaly se z Varšavy a z Bukurešti poplašené hlasy, dávající západu naj</w:t>
      </w:r>
      <w:r>
        <w:t>evo, že mají z příchodu rudé armády co možná větší strach, než z kterékoli jiné armády. V Londýně tedy museli svůj návrh při</w:t>
      </w:r>
      <w:r>
        <w:softHyphen/>
        <w:t>způsobit a vyrozumět sověty, že by směly přijít »na- padenému« sousedu na pomoc jen na jeho výslovnou žádost a jen v té míře, jak b</w:t>
      </w:r>
      <w:r>
        <w:t>y si toho přál. Nebylo ta</w:t>
      </w:r>
      <w:r>
        <w:softHyphen/>
        <w:t>jemstvím, co to prakticky znamenalo: sovětská pomoc by se měla omezit na zásah letecké zbraně a motori- sovaných oddílů, po případě ještě na dodávky váleč</w:t>
      </w:r>
      <w:r>
        <w:softHyphen/>
        <w:t>ného materiálu.</w:t>
      </w:r>
    </w:p>
    <w:p w:rsidR="00500724" w:rsidRDefault="00F30FB8">
      <w:pPr>
        <w:pStyle w:val="Zkladntext20"/>
        <w:shd w:val="clear" w:color="auto" w:fill="auto"/>
        <w:spacing w:line="202" w:lineRule="auto"/>
      </w:pPr>
      <w:r>
        <w:t>Moskevská vláda odmítala tento plán velmi roz</w:t>
      </w:r>
      <w:r>
        <w:softHyphen/>
        <w:t>hodně. Proč v</w:t>
      </w:r>
      <w:r>
        <w:t>lastně? Na tuto otázku dává nejlepší odpověď jistá pasáž z řeči, kterou pronesl 10. března t. r. na 18. sjezdu ruské komunistické strany Sta</w:t>
      </w:r>
      <w:r>
        <w:softHyphen/>
        <w:t>lin, tento nejvyšší šéf vší sovětské politiky. Prohlásil tam, že jednou z hlavních směrnic zahraniční politiky SSSR</w:t>
      </w:r>
      <w:r>
        <w:t xml:space="preserve"> bude »zachovati rozvahu a nedati naši zemi vtáhnout do konfliktů válečnými provokatéry, kteří rádi tahají kaštany z ohně rukama j i n ý c h«. V kon</w:t>
      </w:r>
      <w:r>
        <w:softHyphen/>
        <w:t>krétní situaci to znamená, že Sovětský Svaz se nemíní dostat do isolované srážky s Německou říší, při níž b</w:t>
      </w:r>
      <w:r>
        <w:t>y Londýn a Paříž hrály úlohu smějícího se třetího.</w:t>
      </w:r>
    </w:p>
    <w:p w:rsidR="00500724" w:rsidRDefault="00F30FB8">
      <w:pPr>
        <w:pStyle w:val="Zkladntext20"/>
        <w:shd w:val="clear" w:color="auto" w:fill="auto"/>
        <w:spacing w:line="204" w:lineRule="auto"/>
      </w:pPr>
      <w:r>
        <w:t>V Moskvě si přirozeně nemohli nepovšimnout velmi významné okolnosti, že Vůdce a říšský kancléř se ve svém projevu z 28. dubna ani slovem nedotkl ruského problému — v projevu, jehož ústředním bodem bylo vyp</w:t>
      </w:r>
      <w:r>
        <w:t>ovězení dvou německých smluv po jejich jedno</w:t>
      </w:r>
      <w:r>
        <w:softHyphen/>
        <w:t>stranném porušení obkličovací politikou Anglie a Pol</w:t>
      </w:r>
      <w:r>
        <w:softHyphen/>
        <w:t>ska. SSSR má také smlouvu s německou říší, sto</w:t>
      </w:r>
      <w:r>
        <w:softHyphen/>
        <w:t>jící v podstatě^ ještě na rappallských základech a ob</w:t>
      </w:r>
      <w:r>
        <w:softHyphen/>
        <w:t xml:space="preserve">novenou na jaře 1933. Je známo, že Stalinův realismus si </w:t>
      </w:r>
      <w:r>
        <w:t>váží této smlouvy a nechce se jí jen tak beze všeho vzdát, nota bene s perspektivou, že pak zůstane do</w:t>
      </w:r>
      <w:r>
        <w:softHyphen/>
        <w:t>konce i bez »záruk« pomoci západních velmocí.</w:t>
      </w:r>
    </w:p>
    <w:p w:rsidR="00500724" w:rsidRDefault="00F30FB8">
      <w:pPr>
        <w:pStyle w:val="Zkladntext20"/>
        <w:shd w:val="clear" w:color="auto" w:fill="auto"/>
        <w:spacing w:line="202" w:lineRule="auto"/>
      </w:pPr>
      <w:r>
        <w:t>Vycházejíc z těchto úvah podala moskevská diplo</w:t>
      </w:r>
      <w:r>
        <w:softHyphen/>
        <w:t>macie v Londýně svoje protinávrhy. Žádala, aby An</w:t>
      </w:r>
      <w:r>
        <w:softHyphen/>
        <w:t>glie a Fr</w:t>
      </w:r>
      <w:r>
        <w:t>ancie uzavřely s Ruskem vojenský spolek —• jinak řečeno, navrhla obnovení Trojdohody. Hlavním článkem jejího plánu byla záruka okamžité vzájemné pomoci těchto tří mocností pro případ, že by se kterákoli z nich octla ve válečném konfliktu; dalším bodem, nem</w:t>
      </w:r>
      <w:r>
        <w:t>éně významným, byla společná záruka integrity všech států mezi Baltickým a Černým mo</w:t>
      </w:r>
      <w:r>
        <w:softHyphen/>
        <w:t>řem. Politický smysl těchto návrhů je jasný; jsou koncipovány v duchu zmíněného Stalinova prohlášení. Moskva si nechce sama popálit prsty.</w:t>
      </w:r>
    </w:p>
    <w:p w:rsidR="00500724" w:rsidRDefault="00F30FB8">
      <w:pPr>
        <w:pStyle w:val="Zkladntext20"/>
        <w:shd w:val="clear" w:color="auto" w:fill="auto"/>
        <w:spacing w:line="202" w:lineRule="auto"/>
      </w:pPr>
      <w:r>
        <w:t>Konečně, i Rusové si vzali pouče</w:t>
      </w:r>
      <w:r>
        <w:t>ní z loňského září a října. Měli vojenskou smlouvu s Francií, zaklausu- lovanou do různých podmínek tak, že nakonec Dala</w:t>
      </w:r>
      <w:r>
        <w:softHyphen/>
        <w:t xml:space="preserve">dier nechtěl ani slyšet o konferenci, po níž volal jeho ruský spojenec, </w:t>
      </w:r>
      <w:r>
        <w:rPr>
          <w:i/>
          <w:iCs/>
        </w:rPr>
        <w:t>a</w:t>
      </w:r>
      <w:r>
        <w:t xml:space="preserve"> jel klidně do Mnichova. Lze pocho</w:t>
      </w:r>
      <w:r>
        <w:softHyphen/>
        <w:t>pit, že Rusové by neradi za</w:t>
      </w:r>
      <w:r>
        <w:t>žili ještě jednou něco po</w:t>
      </w:r>
      <w:r>
        <w:softHyphen/>
        <w:t>dobného. Jaké podezření vyvolal v Moskvě loňský ří</w:t>
      </w:r>
      <w:r>
        <w:softHyphen/>
        <w:t>jen, je zas nejlépe patrno ze Stalinovy řeči z 10. břez</w:t>
      </w:r>
      <w:r>
        <w:softHyphen/>
        <w:t>na: »Lze se domnívati,« — řekl tam — »že česko</w:t>
      </w:r>
      <w:r>
        <w:softHyphen/>
        <w:t>slovenská území byla dána Němcům jako cena za zá</w:t>
      </w:r>
      <w:r>
        <w:softHyphen/>
        <w:t>vazek jiti do války proti S</w:t>
      </w:r>
      <w:r>
        <w:t>ovětskému Svazu...« Mů</w:t>
      </w:r>
      <w:r>
        <w:softHyphen/>
        <w:t>žete právem namítnout, že to je groteskně neopráv</w:t>
      </w:r>
      <w:r>
        <w:softHyphen/>
        <w:t>něné podezření — tím jste je ještě nevypudili ze Sta</w:t>
      </w:r>
      <w:r>
        <w:softHyphen/>
        <w:t>linových koncepcí.</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Dalekosáhlý moskevský plán nenašel porozumění ani v Londýně a v Paříži, tím méně ve Varšavě a v Bukurešti. Br</w:t>
      </w:r>
      <w:r>
        <w:t xml:space="preserve">itská vláda ví, co námahy ji stálo, nežli dostala Polsko a Rumunsko aspoň tam, kde jsou dnes, a není si dost jista, jak dlouho je tam udrží; co jí řekli pánové </w:t>
      </w:r>
      <w:r>
        <w:rPr>
          <w:lang w:val="en-US" w:eastAsia="en-US" w:bidi="en-US"/>
        </w:rPr>
        <w:t xml:space="preserve">Beck </w:t>
      </w:r>
      <w:r>
        <w:t>a Gafencu při svých nedávných návštěvách, to ji jen utvrzuje v přesvědčení, že pří</w:t>
      </w:r>
      <w:r>
        <w:softHyphen/>
        <w:t>lišný vl</w:t>
      </w:r>
      <w:r>
        <w:t>iv Ruska v evropských záležitostech by od</w:t>
      </w:r>
      <w:r>
        <w:softHyphen/>
        <w:t>radil Polsko i Rumunsko od západní »fronty míru«, spolčující se s bolševickým východem. Obává-li se tedy Rusko, že britský plán by je jednou mohl uvést do nepříjemné situace isolované srážky, obává se Vel</w:t>
      </w:r>
      <w:r>
        <w:softHyphen/>
        <w:t>ká Britan</w:t>
      </w:r>
      <w:r>
        <w:t>ie na druhé straně zase toho, že ruské po</w:t>
      </w:r>
      <w:r>
        <w:softHyphen/>
        <w:t>žadavky zmaří její obkličovací taktiku postrašením Polska a Rumunska.</w:t>
      </w:r>
    </w:p>
    <w:p w:rsidR="00500724" w:rsidRDefault="00F30FB8">
      <w:pPr>
        <w:pStyle w:val="Zkladntext20"/>
        <w:shd w:val="clear" w:color="auto" w:fill="auto"/>
        <w:spacing w:line="202" w:lineRule="auto"/>
      </w:pPr>
      <w:r>
        <w:t>Tak se octly londýnsko-moskevské porady na mrtvém bodě. Londýn hledal východisko v kompro</w:t>
      </w:r>
      <w:r>
        <w:softHyphen/>
        <w:t>misu. Navrhl Moskvě formuli, podle níž by bylo Rusko v</w:t>
      </w:r>
      <w:r>
        <w:t>ázáno přijít »napadenému« na pomoc teprve pak, až by už Anglie i Francie byly vtaženy do konfliktu. Chamberlainovi se zdálo, že by tím mohl překonat Stalinovy obavy stran tahání kaštanů; a podle všeho, co je známo, neustává ani nyní opakovat Kremlu tuto fo</w:t>
      </w:r>
      <w:r>
        <w:t>rmulku.</w:t>
      </w:r>
    </w:p>
    <w:p w:rsidR="00500724" w:rsidRDefault="00F30FB8">
      <w:pPr>
        <w:pStyle w:val="Zkladntext20"/>
        <w:shd w:val="clear" w:color="auto" w:fill="auto"/>
        <w:spacing w:line="202" w:lineRule="auto"/>
        <w:sectPr w:rsidR="00500724">
          <w:footnotePr>
            <w:numFmt w:val="chicago"/>
            <w:numRestart w:val="eachPage"/>
          </w:footnotePr>
          <w:type w:val="continuous"/>
          <w:pgSz w:w="11909" w:h="16834"/>
          <w:pgMar w:top="973" w:right="924" w:bottom="687" w:left="521" w:header="0" w:footer="3" w:gutter="0"/>
          <w:cols w:num="2" w:space="163"/>
          <w:noEndnote/>
          <w:docGrid w:linePitch="360"/>
        </w:sectPr>
      </w:pPr>
      <w:r>
        <w:t xml:space="preserve">Je pravděpodobno, že </w:t>
      </w:r>
      <w:r>
        <w:rPr>
          <w:lang w:val="en-US" w:eastAsia="en-US" w:bidi="en-US"/>
        </w:rPr>
        <w:t xml:space="preserve">Litvinov </w:t>
      </w:r>
      <w:r>
        <w:t>klopýtl zrovna o ni. Všechno, co víme o tomto velmi západnicky oriento</w:t>
      </w:r>
      <w:r>
        <w:softHyphen/>
        <w:t>vaném, velmi anglofilském diplomatu — »nejnebez-</w:t>
      </w:r>
    </w:p>
    <w:p w:rsidR="00500724" w:rsidRDefault="00500724">
      <w:pPr>
        <w:spacing w:line="106" w:lineRule="exact"/>
        <w:rPr>
          <w:sz w:val="9"/>
          <w:szCs w:val="9"/>
        </w:rPr>
      </w:pPr>
    </w:p>
    <w:p w:rsidR="00500724" w:rsidRDefault="00500724">
      <w:pPr>
        <w:spacing w:line="14" w:lineRule="exact"/>
        <w:sectPr w:rsidR="00500724">
          <w:footnotePr>
            <w:numFmt w:val="chicago"/>
            <w:numRestart w:val="eachPage"/>
          </w:footnotePr>
          <w:type w:val="continuous"/>
          <w:pgSz w:w="11909" w:h="16834"/>
          <w:pgMar w:top="973" w:right="0" w:bottom="687" w:left="0" w:header="0" w:footer="3" w:gutter="0"/>
          <w:cols w:space="720"/>
          <w:noEndnote/>
          <w:docGrid w:linePitch="360"/>
        </w:sectPr>
      </w:pPr>
    </w:p>
    <w:p w:rsidR="00500724" w:rsidRDefault="00F30FB8">
      <w:pPr>
        <w:pStyle w:val="Zkladntext40"/>
        <w:framePr w:w="317" w:h="211" w:wrap="none" w:vAnchor="text" w:hAnchor="page" w:x="10507" w:y="21"/>
        <w:shd w:val="clear" w:color="auto" w:fill="auto"/>
        <w:spacing w:after="0" w:line="240" w:lineRule="auto"/>
        <w:jc w:val="left"/>
      </w:pPr>
      <w:r>
        <w:rPr>
          <w:b/>
          <w:bCs/>
          <w:i/>
          <w:iCs/>
        </w:rPr>
        <w:t>28t</w:t>
      </w:r>
    </w:p>
    <w:p w:rsidR="00500724" w:rsidRDefault="00500724">
      <w:pPr>
        <w:spacing w:after="197" w:line="14" w:lineRule="exact"/>
      </w:pPr>
    </w:p>
    <w:p w:rsidR="00500724" w:rsidRDefault="00500724">
      <w:pPr>
        <w:spacing w:line="14" w:lineRule="exact"/>
        <w:sectPr w:rsidR="00500724">
          <w:footnotePr>
            <w:numFmt w:val="chicago"/>
            <w:numRestart w:val="eachPage"/>
          </w:footnotePr>
          <w:type w:val="continuous"/>
          <w:pgSz w:w="11909" w:h="16834"/>
          <w:pgMar w:top="973" w:right="924" w:bottom="687" w:left="521" w:header="0" w:footer="3" w:gutter="0"/>
          <w:cols w:space="720"/>
          <w:noEndnote/>
          <w:docGrid w:linePitch="360"/>
        </w:sectPr>
      </w:pPr>
    </w:p>
    <w:p w:rsidR="00500724" w:rsidRDefault="00F30FB8">
      <w:pPr>
        <w:pStyle w:val="Nadpis90"/>
        <w:keepNext/>
        <w:keepLines/>
        <w:pBdr>
          <w:bottom w:val="single" w:sz="4" w:space="0" w:color="auto"/>
        </w:pBdr>
        <w:shd w:val="clear" w:color="auto" w:fill="auto"/>
        <w:spacing w:after="0"/>
        <w:ind w:right="60"/>
        <w:jc w:val="center"/>
        <w:sectPr w:rsidR="00500724">
          <w:footnotePr>
            <w:numFmt w:val="chicago"/>
            <w:numRestart w:val="eachPage"/>
          </w:footnotePr>
          <w:pgSz w:w="11909" w:h="16834"/>
          <w:pgMar w:top="867" w:right="732" w:bottom="547" w:left="679" w:header="0" w:footer="3" w:gutter="0"/>
          <w:cols w:space="720"/>
          <w:noEndnote/>
          <w:docGrid w:linePitch="360"/>
        </w:sectPr>
      </w:pPr>
      <w:bookmarkStart w:id="475" w:name="bookmark474"/>
      <w:r>
        <w:rPr>
          <w:rFonts w:ascii="Times New Roman" w:eastAsia="Times New Roman" w:hAnsi="Times New Roman" w:cs="Times New Roman"/>
        </w:rPr>
        <w:t>PřítomnosO</w:t>
      </w:r>
      <w:bookmarkEnd w:id="475"/>
    </w:p>
    <w:p w:rsidR="00500724" w:rsidRDefault="00500724">
      <w:pPr>
        <w:spacing w:line="9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068" w:right="0" w:bottom="547" w:left="0" w:header="0" w:footer="3" w:gutter="0"/>
          <w:cols w:space="720"/>
          <w:noEndnote/>
          <w:docGrid w:linePitch="360"/>
        </w:sectPr>
      </w:pPr>
    </w:p>
    <w:p w:rsidR="00500724" w:rsidRDefault="00F30FB8">
      <w:pPr>
        <w:pStyle w:val="Zkladntext20"/>
        <w:shd w:val="clear" w:color="auto" w:fill="auto"/>
        <w:spacing w:line="202" w:lineRule="auto"/>
        <w:ind w:firstLine="0"/>
      </w:pPr>
      <w:r>
        <w:t>pečněji maskovaným banditou komunistické zahra</w:t>
      </w:r>
      <w:r>
        <w:softHyphen/>
        <w:t xml:space="preserve">niční politiky« jej teď nazvala »Corriere </w:t>
      </w:r>
      <w:r>
        <w:rPr>
          <w:lang w:val="en-US" w:eastAsia="en-US" w:bidi="en-US"/>
        </w:rPr>
        <w:t xml:space="preserve">della </w:t>
      </w:r>
      <w:r>
        <w:t xml:space="preserve">Serra« — nasvědčuje tomu, že </w:t>
      </w:r>
      <w:r>
        <w:rPr>
          <w:lang w:val="en-US" w:eastAsia="en-US" w:bidi="en-US"/>
        </w:rPr>
        <w:t xml:space="preserve">Litvinov </w:t>
      </w:r>
      <w:r>
        <w:t>byl p r o přijetí brit</w:t>
      </w:r>
      <w:r>
        <w:softHyphen/>
        <w:t xml:space="preserve">ského kompromisu; jeho pád je </w:t>
      </w:r>
      <w:r>
        <w:t>důkazem, že v moskev</w:t>
      </w:r>
      <w:r>
        <w:softHyphen/>
        <w:t>ském politbyru převládl směr, který jej rozhodně od</w:t>
      </w:r>
      <w:r>
        <w:softHyphen/>
        <w:t>mítá. A to patrně v přesvědčení, že úloha, přisuzovaná zde Rusku, je málo důstojná a hodně nebezpečná: jeho postup má zcela jednostranně záviset na postupu obou západních velmocí. Mos</w:t>
      </w:r>
      <w:r>
        <w:t>kvě se zřejmě nechce líbit ta</w:t>
      </w:r>
      <w:r>
        <w:softHyphen/>
        <w:t>ková závislost, postrádající jakékoli vzájemnosti. So</w:t>
      </w:r>
      <w:r>
        <w:softHyphen/>
        <w:t>větská politika se nechce bezpodmínečně připoutat na alianci, v níž by hrála úlohu podřadného partnera, který by si při tom zkazil všechny předpoklady samo</w:t>
      </w:r>
      <w:r>
        <w:softHyphen/>
        <w:t>statného, pružné</w:t>
      </w:r>
      <w:r>
        <w:t>ho rozhodování.</w:t>
      </w:r>
    </w:p>
    <w:p w:rsidR="00500724" w:rsidRDefault="00F30FB8">
      <w:pPr>
        <w:pStyle w:val="Zkladntext20"/>
        <w:shd w:val="clear" w:color="auto" w:fill="auto"/>
        <w:spacing w:after="340" w:line="202" w:lineRule="auto"/>
        <w:ind w:firstLine="300"/>
      </w:pPr>
      <w:r>
        <w:t xml:space="preserve">V tomto směru byl Moskvě asi výstrahou osud anglo-německé </w:t>
      </w:r>
      <w:r>
        <w:rPr>
          <w:i/>
          <w:iCs/>
        </w:rPr>
        <w:t>a</w:t>
      </w:r>
      <w:r>
        <w:t xml:space="preserve"> německo-polské smlouvy. Musí po</w:t>
      </w:r>
      <w:r>
        <w:softHyphen/>
        <w:t>čítat s vyhlídkou, že by témuž osudu neunikla ani německo-ruská smlouva, obnovená v r. 1933, kdyby se Německo domnívalo, že Rusko přistoupilo k angl</w:t>
      </w:r>
      <w:r>
        <w:t>ic</w:t>
      </w:r>
      <w:r>
        <w:softHyphen/>
        <w:t>ké obkličovací politice. A pak by bylo pro sovětskou diplomacii mnoho ztraceno; nemyslíme-li ani na pří</w:t>
      </w:r>
      <w:r>
        <w:softHyphen/>
        <w:t>padné hospodářské ztráty, ztratilo by tu sovětské Rusko svoje druhé želízko v ohni, svůj největší poli</w:t>
      </w:r>
      <w:r>
        <w:softHyphen/>
        <w:t>tický trumf, bez něhož by potom vůči západu ne</w:t>
      </w:r>
      <w:r>
        <w:t xml:space="preserve">mohlo tak vysoko licitovat s cenou svého spojenectví, jak se o to pokouší v posledních letech. Odmítlo tedy i britský kompromisní návrh a s ním i jeho přímluv- čího Maxima </w:t>
      </w:r>
      <w:r>
        <w:rPr>
          <w:lang w:val="en-US" w:eastAsia="en-US" w:bidi="en-US"/>
        </w:rPr>
        <w:t>Litvinova.</w:t>
      </w:r>
    </w:p>
    <w:p w:rsidR="00500724" w:rsidRDefault="00F30FB8">
      <w:pPr>
        <w:pStyle w:val="Zkladntext20"/>
        <w:shd w:val="clear" w:color="auto" w:fill="auto"/>
        <w:tabs>
          <w:tab w:val="left" w:pos="4138"/>
        </w:tabs>
        <w:spacing w:after="220" w:line="202" w:lineRule="auto"/>
        <w:ind w:firstLine="300"/>
        <w:rPr>
          <w:sz w:val="20"/>
          <w:szCs w:val="20"/>
        </w:rPr>
      </w:pPr>
      <w:r>
        <w:t xml:space="preserve">Rychlost, s níž </w:t>
      </w:r>
      <w:r>
        <w:rPr>
          <w:lang w:val="en-US" w:eastAsia="en-US" w:bidi="en-US"/>
        </w:rPr>
        <w:t xml:space="preserve">Litvinov </w:t>
      </w:r>
      <w:r>
        <w:t>zmizel, je pro jeho pána charakteristická. Stalin tak jednává s oblibou, metat blesky mu zřejmě působí potěšení; a přehodit kormidlo z boku na bok mu nikdy nedělalo zvláštních obtíží, to už patří k jeho »realismu«. Znamená jeho náhlé rozhodnutí, že došel k</w:t>
      </w:r>
      <w:r>
        <w:t xml:space="preserve"> přesvědčení o bláhovosti každé další politiky »kolektivní bezpečnosti«, jak ji devět let praktikoval jeho </w:t>
      </w:r>
      <w:r>
        <w:rPr>
          <w:lang w:val="en-US" w:eastAsia="en-US" w:bidi="en-US"/>
        </w:rPr>
        <w:t xml:space="preserve">famulus </w:t>
      </w:r>
      <w:r>
        <w:t>v komisariátě zahraničí? Přestane mluvit s Londýnem? Na dlouho, na krátko, nebo snad vůbec? Bude teď považovat za »nejrealistič- tější« polit</w:t>
      </w:r>
      <w:r>
        <w:t>iku isolace Ruska? Bude pokládat v dnešní době za nejvyšší moudrost nechat si na všechny stra</w:t>
      </w:r>
      <w:r>
        <w:softHyphen/>
        <w:t>ny volné ruce, jak o tom nechal mluvit maršála Voroši- lova na květnové parádě? Jeho cesty jsou nevyzpyta</w:t>
      </w:r>
      <w:r>
        <w:softHyphen/>
        <w:t>telné, má vždycky v zásobě nějaké nepředvídané »i tak mó</w:t>
      </w:r>
      <w:r>
        <w:t>žno«. Jisto je, že sám nedůvěřuje nikomu na světě.</w:t>
      </w:r>
      <w:r>
        <w:tab/>
      </w:r>
      <w:r>
        <w:rPr>
          <w:smallCaps/>
          <w:sz w:val="19"/>
          <w:szCs w:val="19"/>
        </w:rPr>
        <w:t xml:space="preserve">j«m </w:t>
      </w:r>
      <w:r>
        <w:rPr>
          <w:b/>
          <w:bCs/>
          <w:i/>
          <w:iCs/>
          <w:sz w:val="20"/>
          <w:szCs w:val="20"/>
        </w:rPr>
        <w:t>Albert</w:t>
      </w:r>
    </w:p>
    <w:p w:rsidR="00500724" w:rsidRDefault="00F30FB8">
      <w:pPr>
        <w:pStyle w:val="Jin0"/>
        <w:pBdr>
          <w:bottom w:val="single" w:sz="4" w:space="0" w:color="auto"/>
        </w:pBdr>
        <w:shd w:val="clear" w:color="auto" w:fill="auto"/>
        <w:spacing w:after="340"/>
        <w:ind w:firstLine="0"/>
        <w:jc w:val="left"/>
        <w:rPr>
          <w:sz w:val="44"/>
          <w:szCs w:val="44"/>
        </w:rPr>
      </w:pPr>
      <w:r>
        <w:rPr>
          <w:b/>
          <w:bCs/>
          <w:sz w:val="44"/>
          <w:szCs w:val="44"/>
        </w:rPr>
        <w:t>poznámky</w:t>
      </w:r>
    </w:p>
    <w:p w:rsidR="00500724" w:rsidRDefault="00F30FB8">
      <w:pPr>
        <w:pStyle w:val="Zkladntext20"/>
        <w:shd w:val="clear" w:color="auto" w:fill="auto"/>
        <w:spacing w:after="80" w:line="178" w:lineRule="auto"/>
        <w:ind w:firstLine="0"/>
        <w:jc w:val="center"/>
        <w:rPr>
          <w:sz w:val="20"/>
          <w:szCs w:val="20"/>
        </w:rPr>
      </w:pPr>
      <w:r>
        <w:rPr>
          <w:b/>
          <w:bCs/>
          <w:sz w:val="20"/>
          <w:szCs w:val="20"/>
        </w:rPr>
        <w:t>Příprava hospodářského programu</w:t>
      </w:r>
    </w:p>
    <w:p w:rsidR="00500724" w:rsidRDefault="00F30FB8">
      <w:pPr>
        <w:pStyle w:val="Zkladntext100"/>
        <w:shd w:val="clear" w:color="auto" w:fill="auto"/>
        <w:spacing w:line="185" w:lineRule="auto"/>
        <w:ind w:firstLine="300"/>
        <w:rPr>
          <w:sz w:val="19"/>
          <w:szCs w:val="19"/>
        </w:rPr>
      </w:pPr>
      <w:r>
        <w:rPr>
          <w:b/>
          <w:bCs/>
          <w:sz w:val="19"/>
          <w:szCs w:val="19"/>
        </w:rPr>
        <w:t>Pracovní výbory Národního souručenství sice dosud ne</w:t>
      </w:r>
      <w:r>
        <w:rPr>
          <w:b/>
          <w:bCs/>
          <w:sz w:val="19"/>
          <w:szCs w:val="19"/>
        </w:rPr>
        <w:softHyphen/>
        <w:t>publikovaly hospodářský program, podle kterého by bylo postupně přebudováno národní hospodářství v ú</w:t>
      </w:r>
      <w:r>
        <w:rPr>
          <w:b/>
          <w:bCs/>
          <w:sz w:val="19"/>
          <w:szCs w:val="19"/>
        </w:rPr>
        <w:t>zemí Pro</w:t>
      </w:r>
      <w:r>
        <w:rPr>
          <w:b/>
          <w:bCs/>
          <w:sz w:val="19"/>
          <w:szCs w:val="19"/>
        </w:rPr>
        <w:softHyphen/>
        <w:t>tektorátu, ale z projevů, učiněných při různých příležitos</w:t>
      </w:r>
      <w:r>
        <w:rPr>
          <w:b/>
          <w:bCs/>
          <w:sz w:val="19"/>
          <w:szCs w:val="19"/>
        </w:rPr>
        <w:softHyphen/>
        <w:t>tech státním presidentem a vedoucími členy Národního souručenství, lze předběžně odhadnout, jak daleko asi po</w:t>
      </w:r>
      <w:r>
        <w:rPr>
          <w:b/>
          <w:bCs/>
          <w:sz w:val="19"/>
          <w:szCs w:val="19"/>
        </w:rPr>
        <w:softHyphen/>
        <w:t>kročily k němu přípravy.</w:t>
      </w:r>
    </w:p>
    <w:p w:rsidR="00500724" w:rsidRDefault="00F30FB8">
      <w:pPr>
        <w:pStyle w:val="Zkladntext100"/>
        <w:shd w:val="clear" w:color="auto" w:fill="auto"/>
        <w:spacing w:after="120" w:line="187" w:lineRule="auto"/>
        <w:ind w:firstLine="300"/>
        <w:rPr>
          <w:sz w:val="19"/>
          <w:szCs w:val="19"/>
        </w:rPr>
      </w:pPr>
      <w:r>
        <w:rPr>
          <w:b/>
          <w:bCs/>
          <w:sz w:val="19"/>
          <w:szCs w:val="19"/>
        </w:rPr>
        <w:t xml:space="preserve">Státní president dr. Hácha konstatoval především ve </w:t>
      </w:r>
      <w:r>
        <w:rPr>
          <w:b/>
          <w:bCs/>
          <w:sz w:val="19"/>
          <w:szCs w:val="19"/>
        </w:rPr>
        <w:t>své řeěi ze 16. března, že program se bude zakládati na zá</w:t>
      </w:r>
      <w:r>
        <w:rPr>
          <w:b/>
          <w:bCs/>
          <w:sz w:val="19"/>
          <w:szCs w:val="19"/>
        </w:rPr>
        <w:softHyphen/>
        <w:t>sadě »hospodářské svébytnosti«, kterou proklar moval Vůdce a říšský kancléř ve svém výnosu z téhož dne, zejména pak v onom odstavci, kde se konstatuje, že země Protektorátu jsou sautonomní a spravu</w:t>
      </w:r>
      <w:r>
        <w:rPr>
          <w:b/>
          <w:bCs/>
          <w:sz w:val="19"/>
          <w:szCs w:val="19"/>
        </w:rPr>
        <w:t>ji se samy*. První opatření, jež se po tomto projevu stala, měla ovšem buď pochopitelný ráz rámcový, anebo byla důsledkem naléhavé</w:t>
      </w:r>
    </w:p>
    <w:p w:rsidR="00500724" w:rsidRDefault="00F30FB8">
      <w:pPr>
        <w:pStyle w:val="Jin0"/>
        <w:shd w:val="clear" w:color="auto" w:fill="auto"/>
        <w:spacing w:after="160"/>
        <w:ind w:firstLine="0"/>
        <w:rPr>
          <w:sz w:val="26"/>
          <w:szCs w:val="26"/>
        </w:rPr>
      </w:pPr>
      <w:r>
        <w:rPr>
          <w:b/>
          <w:bCs/>
          <w:sz w:val="26"/>
          <w:szCs w:val="26"/>
        </w:rPr>
        <w:t>aéa</w:t>
      </w:r>
    </w:p>
    <w:p w:rsidR="00500724" w:rsidRDefault="00F30FB8">
      <w:pPr>
        <w:spacing w:line="1" w:lineRule="exact"/>
        <w:rPr>
          <w:sz w:val="2"/>
          <w:szCs w:val="2"/>
        </w:rPr>
      </w:pPr>
      <w:r>
        <w:br w:type="column"/>
      </w:r>
    </w:p>
    <w:p w:rsidR="00500724" w:rsidRDefault="00F30FB8">
      <w:pPr>
        <w:pStyle w:val="Zkladntext100"/>
        <w:shd w:val="clear" w:color="auto" w:fill="auto"/>
        <w:spacing w:after="40" w:line="180" w:lineRule="auto"/>
        <w:ind w:firstLine="0"/>
        <w:rPr>
          <w:sz w:val="19"/>
          <w:szCs w:val="19"/>
        </w:rPr>
      </w:pPr>
      <w:r>
        <w:rPr>
          <w:b/>
          <w:bCs/>
          <w:sz w:val="19"/>
          <w:szCs w:val="19"/>
        </w:rPr>
        <w:t>potřeby dne, jako na příklad nařízení o cenách, o neruše</w:t>
      </w:r>
      <w:r>
        <w:rPr>
          <w:b/>
          <w:bCs/>
          <w:sz w:val="19"/>
          <w:szCs w:val="19"/>
        </w:rPr>
        <w:softHyphen/>
        <w:t>ném obchodováni a dopravě.</w:t>
      </w:r>
    </w:p>
    <w:p w:rsidR="00500724" w:rsidRDefault="00F30FB8">
      <w:pPr>
        <w:pStyle w:val="Zkladntext100"/>
        <w:shd w:val="clear" w:color="auto" w:fill="auto"/>
        <w:spacing w:after="40" w:line="185" w:lineRule="auto"/>
        <w:ind w:firstLine="260"/>
        <w:rPr>
          <w:sz w:val="19"/>
          <w:szCs w:val="19"/>
        </w:rPr>
      </w:pPr>
      <w:r>
        <w:rPr>
          <w:b/>
          <w:bCs/>
          <w:sz w:val="19"/>
          <w:szCs w:val="19"/>
        </w:rPr>
        <w:t>Díváme-li se na tento problém, kter</w:t>
      </w:r>
      <w:r>
        <w:rPr>
          <w:b/>
          <w:bCs/>
          <w:sz w:val="19"/>
          <w:szCs w:val="19"/>
        </w:rPr>
        <w:t>ý je tak složitý, s obecného hlediska, pak především nutno poznamenat, že je nejpravděpodobnější, že nová úprava sociálně-hospodář- ských poměrů v zemích Protektorátu se bude pohybovat v duchu celkového obdobného uspořádání poměrů v Bíši. To na prvním míst</w:t>
      </w:r>
      <w:r>
        <w:rPr>
          <w:b/>
          <w:bCs/>
          <w:sz w:val="19"/>
          <w:szCs w:val="19"/>
        </w:rPr>
        <w:t>ě tedy znamená odklon od libera</w:t>
      </w:r>
      <w:r>
        <w:rPr>
          <w:b/>
          <w:bCs/>
          <w:sz w:val="19"/>
          <w:szCs w:val="19"/>
        </w:rPr>
        <w:softHyphen/>
        <w:t>lismu. Ten se ovšem projevoval již po léta i v bývalém státě, jak patrno ze sérií opatření, jež bývala obvykle za- řaďována do rámce tak zvaného »řizeného hospodářství*. Nyní však, v nových poměrech, vývoj půjde podstatně dá</w:t>
      </w:r>
      <w:r>
        <w:rPr>
          <w:b/>
          <w:bCs/>
          <w:sz w:val="19"/>
          <w:szCs w:val="19"/>
        </w:rPr>
        <w:t>le než dosud a jde jen o to, aby to byl vývoj rozumný a postupný. Nutno si počínat tak, aby se národnímu hospodářství v ftíši ani v územích Protektorátu nezpůso</w:t>
      </w:r>
      <w:r>
        <w:rPr>
          <w:b/>
          <w:bCs/>
          <w:sz w:val="19"/>
          <w:szCs w:val="19"/>
        </w:rPr>
        <w:softHyphen/>
        <w:t>bily zbytečné škody, nebo, aby nebyly vyvolány, byť i jen dočasné, sociálně-hospodářské poruchy</w:t>
      </w:r>
      <w:r>
        <w:rPr>
          <w:b/>
          <w:bCs/>
          <w:sz w:val="19"/>
          <w:szCs w:val="19"/>
        </w:rPr>
        <w:t>.</w:t>
      </w:r>
    </w:p>
    <w:p w:rsidR="00500724" w:rsidRDefault="00F30FB8">
      <w:pPr>
        <w:pStyle w:val="Zkladntext100"/>
        <w:numPr>
          <w:ilvl w:val="0"/>
          <w:numId w:val="55"/>
        </w:numPr>
        <w:shd w:val="clear" w:color="auto" w:fill="auto"/>
        <w:tabs>
          <w:tab w:val="left" w:pos="510"/>
        </w:tabs>
        <w:spacing w:after="40" w:line="185" w:lineRule="auto"/>
        <w:ind w:firstLine="260"/>
        <w:rPr>
          <w:sz w:val="19"/>
          <w:szCs w:val="19"/>
        </w:rPr>
      </w:pPr>
      <w:r>
        <w:rPr>
          <w:b/>
          <w:bCs/>
          <w:sz w:val="19"/>
          <w:szCs w:val="19"/>
        </w:rPr>
        <w:t>prohlášení výboru Národního souručenství byla pře</w:t>
      </w:r>
      <w:r>
        <w:rPr>
          <w:b/>
          <w:bCs/>
          <w:sz w:val="19"/>
          <w:szCs w:val="19"/>
        </w:rPr>
        <w:softHyphen/>
        <w:t>devším zmínka o zřízení stavovském. Má se zaklá</w:t>
      </w:r>
      <w:r>
        <w:rPr>
          <w:b/>
          <w:bCs/>
          <w:sz w:val="19"/>
          <w:szCs w:val="19"/>
        </w:rPr>
        <w:softHyphen/>
        <w:t>dat na stavech, jež budou tvořit samosprávná tělesa. Po- díváme-li se na zřízení v bývalém státě po této stránce blíže a povšimneme-li si hospodářského smys</w:t>
      </w:r>
      <w:r>
        <w:rPr>
          <w:b/>
          <w:bCs/>
          <w:sz w:val="19"/>
          <w:szCs w:val="19"/>
        </w:rPr>
        <w:t>lu bývalých stran, zejména strany agrární, živnostenské, národně de</w:t>
      </w:r>
      <w:r>
        <w:rPr>
          <w:b/>
          <w:bCs/>
          <w:sz w:val="19"/>
          <w:szCs w:val="19"/>
        </w:rPr>
        <w:softHyphen/>
        <w:t>mokratické a skupiny stran dělnických, pak lze říci, že první základy k vývoji směrem ke stavovskému zřízení byly vlastně také zde již položeny. V programu Národního souručenství je, aby s</w:t>
      </w:r>
      <w:r>
        <w:rPr>
          <w:b/>
          <w:bCs/>
          <w:sz w:val="19"/>
          <w:szCs w:val="19"/>
        </w:rPr>
        <w:t>e prováděly postupné změny k so</w:t>
      </w:r>
      <w:r>
        <w:rPr>
          <w:b/>
          <w:bCs/>
          <w:sz w:val="19"/>
          <w:szCs w:val="19"/>
        </w:rPr>
        <w:softHyphen/>
        <w:t>ciálně-hospodářské spravedlnosti, jinými slovy k mravní</w:t>
      </w:r>
      <w:r>
        <w:rPr>
          <w:b/>
          <w:bCs/>
          <w:sz w:val="19"/>
          <w:szCs w:val="19"/>
        </w:rPr>
        <w:softHyphen/>
        <w:t>mu i hospodářskému povznesení pracujícího lidu.</w:t>
      </w:r>
    </w:p>
    <w:p w:rsidR="00500724" w:rsidRDefault="00F30FB8">
      <w:pPr>
        <w:pStyle w:val="Zkladntext100"/>
        <w:numPr>
          <w:ilvl w:val="0"/>
          <w:numId w:val="55"/>
        </w:numPr>
        <w:shd w:val="clear" w:color="auto" w:fill="auto"/>
        <w:tabs>
          <w:tab w:val="left" w:pos="500"/>
        </w:tabs>
        <w:spacing w:after="40" w:line="185" w:lineRule="auto"/>
        <w:ind w:firstLine="260"/>
        <w:rPr>
          <w:sz w:val="19"/>
          <w:szCs w:val="19"/>
        </w:rPr>
      </w:pPr>
      <w:r>
        <w:rPr>
          <w:b/>
          <w:bCs/>
          <w:sz w:val="19"/>
          <w:szCs w:val="19"/>
        </w:rPr>
        <w:t>oboru zemědělském to bude znamenat takové zákonodárství, jež by prospívalo majitelům pozemků, kteří skutečně na nich pra</w:t>
      </w:r>
      <w:r>
        <w:rPr>
          <w:b/>
          <w:bCs/>
          <w:sz w:val="19"/>
          <w:szCs w:val="19"/>
        </w:rPr>
        <w:t xml:space="preserve">cují, dále, aby se znemožnily spekulační zisky, těžení z nesociálních výhod anebo z ma- jetnických práv, nabytých náhodným nebo nespravedlivým způsobem. To asi bude míti za následek jakousi přestavbu dosavadní pozemkové reformy. To ostatně bude nutné také </w:t>
      </w:r>
      <w:r>
        <w:rPr>
          <w:b/>
          <w:bCs/>
          <w:sz w:val="19"/>
          <w:szCs w:val="19"/>
        </w:rPr>
        <w:t>již proto, že nearijské majetky, nabyté v pozemkové refor</w:t>
      </w:r>
      <w:r>
        <w:rPr>
          <w:b/>
          <w:bCs/>
          <w:sz w:val="19"/>
          <w:szCs w:val="19"/>
        </w:rPr>
        <w:softHyphen/>
        <w:t>mě (a patrně i některé jiné majetky, získané z pozemko</w:t>
      </w:r>
      <w:r>
        <w:rPr>
          <w:b/>
          <w:bCs/>
          <w:sz w:val="19"/>
          <w:szCs w:val="19"/>
        </w:rPr>
        <w:softHyphen/>
        <w:t>vé reformy) budou patrně revidovány ve prospěch pracu</w:t>
      </w:r>
      <w:r>
        <w:rPr>
          <w:b/>
          <w:bCs/>
          <w:sz w:val="19"/>
          <w:szCs w:val="19"/>
        </w:rPr>
        <w:softHyphen/>
        <w:t xml:space="preserve">jícího zemědělce. Obecně má býti podporováno malopodni- kání a vznik nových samostatných </w:t>
      </w:r>
      <w:r>
        <w:rPr>
          <w:b/>
          <w:bCs/>
          <w:sz w:val="19"/>
          <w:szCs w:val="19"/>
        </w:rPr>
        <w:t>živnostenských podni</w:t>
      </w:r>
      <w:r>
        <w:rPr>
          <w:b/>
          <w:bCs/>
          <w:sz w:val="19"/>
          <w:szCs w:val="19"/>
        </w:rPr>
        <w:softHyphen/>
        <w:t>ků, do nichž má býti převáděno dělnictvo. Mají býti vydá</w:t>
      </w:r>
      <w:r>
        <w:rPr>
          <w:b/>
          <w:bCs/>
          <w:sz w:val="19"/>
          <w:szCs w:val="19"/>
        </w:rPr>
        <w:softHyphen/>
        <w:t>ny zákony, usnadňující ročně několika tisícům dělníků osamostatnění. Vývoj tedy nemá býti na prospěch ani průmyslovému, ani zemědělskému, ani živnostenské</w:t>
      </w:r>
      <w:r>
        <w:rPr>
          <w:b/>
          <w:bCs/>
          <w:sz w:val="19"/>
          <w:szCs w:val="19"/>
        </w:rPr>
        <w:softHyphen/>
        <w:t>mu velkopodnikánt To te</w:t>
      </w:r>
      <w:r>
        <w:rPr>
          <w:b/>
          <w:bCs/>
          <w:sz w:val="19"/>
          <w:szCs w:val="19"/>
        </w:rPr>
        <w:t>dy bude platit pravděpo</w:t>
      </w:r>
      <w:r>
        <w:rPr>
          <w:b/>
          <w:bCs/>
          <w:sz w:val="19"/>
          <w:szCs w:val="19"/>
        </w:rPr>
        <w:softHyphen/>
        <w:t>dobně stejnou měrou pro stav zemědělský. Současně má býti pěstován regionalismus, který může napomoci rozkvětu jednotlivých krajů.</w:t>
      </w:r>
    </w:p>
    <w:p w:rsidR="00500724" w:rsidRDefault="00F30FB8">
      <w:pPr>
        <w:pStyle w:val="Zkladntext100"/>
        <w:shd w:val="clear" w:color="auto" w:fill="auto"/>
        <w:spacing w:after="40" w:line="187" w:lineRule="auto"/>
        <w:ind w:firstLine="260"/>
        <w:rPr>
          <w:sz w:val="19"/>
          <w:szCs w:val="19"/>
        </w:rPr>
      </w:pPr>
      <w:r>
        <w:rPr>
          <w:b/>
          <w:bCs/>
          <w:sz w:val="19"/>
          <w:szCs w:val="19"/>
        </w:rPr>
        <w:t>Stav dělnický, pracující lid vůbec, to znamená úředníci i dělníci, mají hlavní zájem především na ods</w:t>
      </w:r>
      <w:r>
        <w:rPr>
          <w:b/>
          <w:bCs/>
          <w:sz w:val="19"/>
          <w:szCs w:val="19"/>
        </w:rPr>
        <w:t>tra</w:t>
      </w:r>
      <w:r>
        <w:rPr>
          <w:b/>
          <w:bCs/>
          <w:sz w:val="19"/>
          <w:szCs w:val="19"/>
        </w:rPr>
        <w:softHyphen/>
        <w:t>nění nezaviněné chudoby. Příčiny tkví hlavně v nepravi</w:t>
      </w:r>
      <w:r>
        <w:rPr>
          <w:b/>
          <w:bCs/>
          <w:sz w:val="19"/>
          <w:szCs w:val="19"/>
        </w:rPr>
        <w:softHyphen/>
        <w:t>delnosti práce a ve špatném placení pracovních výkonů u většiny zaměstnání vůbec. Tomu má býti čeleno veřejnými i soukromými investicemi a reorganisací pracovního po</w:t>
      </w:r>
      <w:r>
        <w:rPr>
          <w:b/>
          <w:bCs/>
          <w:sz w:val="19"/>
          <w:szCs w:val="19"/>
        </w:rPr>
        <w:softHyphen/>
        <w:t>měru. Hmotné povznesení pracují</w:t>
      </w:r>
      <w:r>
        <w:rPr>
          <w:b/>
          <w:bCs/>
          <w:sz w:val="19"/>
          <w:szCs w:val="19"/>
        </w:rPr>
        <w:t>cího stavu by ovšem pak mělo příznivé následky pro celý národ po stránce mravní i populační.</w:t>
      </w:r>
    </w:p>
    <w:p w:rsidR="00500724" w:rsidRDefault="00F30FB8">
      <w:pPr>
        <w:pStyle w:val="Zkladntext100"/>
        <w:shd w:val="clear" w:color="auto" w:fill="auto"/>
        <w:spacing w:after="160" w:line="185" w:lineRule="auto"/>
        <w:ind w:firstLine="0"/>
        <w:jc w:val="center"/>
        <w:rPr>
          <w:sz w:val="19"/>
          <w:szCs w:val="19"/>
        </w:rPr>
      </w:pPr>
      <w:r>
        <w:rPr>
          <w:b/>
          <w:bCs/>
          <w:sz w:val="19"/>
          <w:szCs w:val="19"/>
        </w:rPr>
        <w:t>•</w:t>
      </w:r>
    </w:p>
    <w:p w:rsidR="00500724" w:rsidRDefault="00F30FB8">
      <w:pPr>
        <w:pStyle w:val="Zkladntext100"/>
        <w:shd w:val="clear" w:color="auto" w:fill="auto"/>
        <w:spacing w:after="40" w:line="197" w:lineRule="auto"/>
        <w:ind w:firstLine="260"/>
        <w:rPr>
          <w:sz w:val="19"/>
          <w:szCs w:val="19"/>
        </w:rPr>
      </w:pPr>
      <w:r>
        <w:rPr>
          <w:b/>
          <w:bCs/>
          <w:sz w:val="19"/>
          <w:szCs w:val="19"/>
        </w:rPr>
        <w:t xml:space="preserve">To jsou asi hlavní myšlenky, jež v této souvislosti byly v různých projevech naznačeny. Podrobnosti ovšem bude nutno zpracovati teprve v konkrétně stylisovaném </w:t>
      </w:r>
      <w:r>
        <w:rPr>
          <w:b/>
          <w:bCs/>
          <w:sz w:val="19"/>
          <w:szCs w:val="19"/>
        </w:rPr>
        <w:t>progra</w:t>
      </w:r>
      <w:r>
        <w:rPr>
          <w:b/>
          <w:bCs/>
          <w:sz w:val="19"/>
          <w:szCs w:val="19"/>
        </w:rPr>
        <w:softHyphen/>
        <w:t>mu. Půjde tu především o to, aby nové zákonodárství zne</w:t>
      </w:r>
      <w:r>
        <w:rPr>
          <w:b/>
          <w:bCs/>
          <w:sz w:val="19"/>
          <w:szCs w:val="19"/>
        </w:rPr>
        <w:softHyphen/>
        <w:t>možnilo, aby pracující lid byl bezmocnou obětí chyb pod</w:t>
      </w:r>
      <w:r>
        <w:rPr>
          <w:b/>
          <w:bCs/>
          <w:sz w:val="19"/>
          <w:szCs w:val="19"/>
        </w:rPr>
        <w:softHyphen/>
        <w:t>nikatelů, finančníků (zejména ústavů, jež rozdělují úvěr) a ovšem i veřejné správy</w:t>
      </w:r>
      <w:r>
        <w:rPr>
          <w:b/>
          <w:bCs/>
          <w:sz w:val="19"/>
          <w:szCs w:val="19"/>
          <w:vertAlign w:val="superscript"/>
        </w:rPr>
        <w:t>7</w:t>
      </w:r>
      <w:r>
        <w:rPr>
          <w:b/>
          <w:bCs/>
          <w:sz w:val="19"/>
          <w:szCs w:val="19"/>
        </w:rPr>
        <w:t>. Bude se asi také uvažovat o za</w:t>
      </w:r>
      <w:r>
        <w:rPr>
          <w:b/>
          <w:bCs/>
          <w:sz w:val="19"/>
          <w:szCs w:val="19"/>
        </w:rPr>
        <w:softHyphen/>
        <w:t>vedení sociálních mez</w:t>
      </w:r>
      <w:r>
        <w:rPr>
          <w:b/>
          <w:bCs/>
          <w:sz w:val="19"/>
          <w:szCs w:val="19"/>
        </w:rPr>
        <w:t>d, to jest, aby výdělky pracujících lidí byly stanoveny podle počtu jejich rodinných přísluš</w:t>
      </w:r>
      <w:r>
        <w:rPr>
          <w:b/>
          <w:bCs/>
          <w:sz w:val="19"/>
          <w:szCs w:val="19"/>
        </w:rPr>
        <w:softHyphen/>
        <w:t>níků. To předpokládá ovšem zřízení vyrovnávacího sociál</w:t>
      </w:r>
      <w:r>
        <w:rPr>
          <w:b/>
          <w:bCs/>
          <w:sz w:val="19"/>
          <w:szCs w:val="19"/>
        </w:rPr>
        <w:softHyphen/>
        <w:t>ního fondu, aby totiž zaměstnavatelé nedávali přednost svobodným a bezdětným. S tím se vším souvisí podpora</w:t>
      </w:r>
      <w:r>
        <w:rPr>
          <w:b/>
          <w:bCs/>
          <w:sz w:val="19"/>
          <w:szCs w:val="19"/>
        </w:rPr>
        <w:t xml:space="preserve"> solidního podnikání, ať veřejného či soukromého.</w:t>
      </w:r>
    </w:p>
    <w:p w:rsidR="00500724" w:rsidRDefault="00F30FB8">
      <w:pPr>
        <w:pStyle w:val="Zkladntext100"/>
        <w:shd w:val="clear" w:color="auto" w:fill="auto"/>
        <w:spacing w:after="420" w:line="211" w:lineRule="auto"/>
        <w:ind w:firstLine="260"/>
        <w:rPr>
          <w:sz w:val="19"/>
          <w:szCs w:val="19"/>
        </w:rPr>
      </w:pPr>
      <w:r>
        <w:rPr>
          <w:b/>
          <w:bCs/>
          <w:sz w:val="19"/>
          <w:szCs w:val="19"/>
        </w:rPr>
        <w:t>Konečně byl několikráte v citovaných projevech zmíněn celý blok problémů veřejně administrativních. Je přiroze</w:t>
      </w:r>
      <w:r>
        <w:rPr>
          <w:b/>
          <w:bCs/>
          <w:sz w:val="19"/>
          <w:szCs w:val="19"/>
        </w:rPr>
        <w:softHyphen/>
        <w:t>né, že bude nutno postupně zmenšovat počet úředníků státní a veřejné správy a hledati pro ně vh</w:t>
      </w:r>
      <w:r>
        <w:rPr>
          <w:b/>
          <w:bCs/>
          <w:sz w:val="19"/>
          <w:szCs w:val="19"/>
        </w:rPr>
        <w:t>odné zařáděni do hospodářského života. To je úkol velmi složitý. Veřejná správa má býti reorganisována. Kontrola veřejných dodá</w:t>
      </w:r>
      <w:r>
        <w:rPr>
          <w:b/>
          <w:bCs/>
          <w:sz w:val="19"/>
          <w:szCs w:val="19"/>
        </w:rPr>
        <w:softHyphen/>
      </w:r>
      <w:r>
        <w:rPr>
          <w:b/>
          <w:bCs/>
          <w:sz w:val="19"/>
          <w:szCs w:val="19"/>
        </w:rPr>
        <w:br w:type="page"/>
        <w:t>vek, stejně jako kontrola veřejných finančních instituci, rozdílejících úvěr — jimž má býti bráněno, aby současně byly průmyslo</w:t>
      </w:r>
      <w:r>
        <w:rPr>
          <w:b/>
          <w:bCs/>
          <w:sz w:val="19"/>
          <w:szCs w:val="19"/>
        </w:rPr>
        <w:t>vými a obchodními podnikateli — je v rámci této celkové reorganisace.</w:t>
      </w:r>
    </w:p>
    <w:p w:rsidR="00500724" w:rsidRDefault="00F30FB8">
      <w:pPr>
        <w:pStyle w:val="Zkladntext100"/>
        <w:shd w:val="clear" w:color="auto" w:fill="auto"/>
        <w:spacing w:after="40" w:line="185" w:lineRule="auto"/>
        <w:ind w:firstLine="240"/>
        <w:rPr>
          <w:sz w:val="19"/>
          <w:szCs w:val="19"/>
        </w:rPr>
      </w:pPr>
      <w:r>
        <w:rPr>
          <w:b/>
          <w:bCs/>
          <w:sz w:val="19"/>
          <w:szCs w:val="19"/>
        </w:rPr>
        <w:t>Stěžejními body příprav k hospodářskému programu Národního souručenství tedy jsou na podkladě zásady hos</w:t>
      </w:r>
      <w:r>
        <w:rPr>
          <w:b/>
          <w:bCs/>
          <w:sz w:val="19"/>
          <w:szCs w:val="19"/>
        </w:rPr>
        <w:softHyphen/>
        <w:t>podářské svébytnosti zemi Protektorátu asi tyto věci: po</w:t>
      </w:r>
      <w:r>
        <w:rPr>
          <w:b/>
          <w:bCs/>
          <w:sz w:val="19"/>
          <w:szCs w:val="19"/>
        </w:rPr>
        <w:softHyphen/>
        <w:t>stupný vývoj ke stavovsk</w:t>
      </w:r>
      <w:r>
        <w:rPr>
          <w:b/>
          <w:bCs/>
          <w:sz w:val="19"/>
          <w:szCs w:val="19"/>
        </w:rPr>
        <w:t>ému státu, odklon od liberalismu vůbec, reforma veřejné správy, reforma funkce velkých institucí veřejných i soukromých, podpora malopodnikání, reforma hospodářského systému ve finančnictví, hospodář</w:t>
      </w:r>
      <w:r>
        <w:rPr>
          <w:b/>
          <w:bCs/>
          <w:sz w:val="19"/>
          <w:szCs w:val="19"/>
        </w:rPr>
        <w:softHyphen/>
        <w:t>ství, průmyslu, obchodu a dopravě tak, aby byly znemož</w:t>
      </w:r>
      <w:r>
        <w:rPr>
          <w:b/>
          <w:bCs/>
          <w:sz w:val="19"/>
          <w:szCs w:val="19"/>
        </w:rPr>
        <w:softHyphen/>
        <w:t>n</w:t>
      </w:r>
      <w:r>
        <w:rPr>
          <w:b/>
          <w:bCs/>
          <w:sz w:val="19"/>
          <w:szCs w:val="19"/>
        </w:rPr>
        <w:t>ěny výsady, bezpracné zisky a zabezpečen spravedlivý podíl práce, podpora řegionalismu a konečně soustavné úsilí k udržení a zvýšení životní úrovně pracujícího lidu.</w:t>
      </w:r>
    </w:p>
    <w:p w:rsidR="00500724" w:rsidRDefault="00F30FB8">
      <w:pPr>
        <w:pStyle w:val="Zkladntext100"/>
        <w:shd w:val="clear" w:color="auto" w:fill="auto"/>
        <w:tabs>
          <w:tab w:val="left" w:pos="3610"/>
        </w:tabs>
        <w:spacing w:after="240" w:line="187" w:lineRule="auto"/>
        <w:ind w:firstLine="240"/>
        <w:rPr>
          <w:sz w:val="20"/>
          <w:szCs w:val="20"/>
        </w:rPr>
      </w:pPr>
      <w:r>
        <w:rPr>
          <w:b/>
          <w:bCs/>
          <w:sz w:val="19"/>
          <w:szCs w:val="19"/>
        </w:rPr>
        <w:t xml:space="preserve">Český člověk je rozumně pokrokový a střízlivý. Bude-li tento program důkladně promyšlen a </w:t>
      </w:r>
      <w:r>
        <w:rPr>
          <w:b/>
          <w:bCs/>
          <w:sz w:val="19"/>
          <w:szCs w:val="19"/>
        </w:rPr>
        <w:t>správně stylisován, bude podporován celým národem jako jediný možný reální námět v jeho soudobé situaci.</w:t>
      </w:r>
      <w:r>
        <w:rPr>
          <w:b/>
          <w:bCs/>
          <w:sz w:val="19"/>
          <w:szCs w:val="19"/>
        </w:rPr>
        <w:tab/>
      </w:r>
      <w:r>
        <w:rPr>
          <w:i/>
          <w:iCs/>
          <w:sz w:val="20"/>
          <w:szCs w:val="20"/>
        </w:rPr>
        <w:t>Dr. Jan Skála.</w:t>
      </w:r>
    </w:p>
    <w:p w:rsidR="00500724" w:rsidRDefault="00F30FB8">
      <w:pPr>
        <w:pStyle w:val="Zkladntext20"/>
        <w:shd w:val="clear" w:color="auto" w:fill="auto"/>
        <w:spacing w:after="40" w:line="175" w:lineRule="auto"/>
        <w:ind w:firstLine="0"/>
        <w:jc w:val="center"/>
        <w:rPr>
          <w:sz w:val="20"/>
          <w:szCs w:val="20"/>
        </w:rPr>
      </w:pPr>
      <w:r>
        <w:rPr>
          <w:b/>
          <w:bCs/>
          <w:sz w:val="20"/>
          <w:szCs w:val="20"/>
        </w:rPr>
        <w:t>Národní souručenství aneb sjednocený národ</w:t>
      </w:r>
    </w:p>
    <w:p w:rsidR="00500724" w:rsidRDefault="00F30FB8">
      <w:pPr>
        <w:pStyle w:val="Zkladntext100"/>
        <w:shd w:val="clear" w:color="auto" w:fill="auto"/>
        <w:spacing w:line="185" w:lineRule="auto"/>
        <w:ind w:firstLine="240"/>
        <w:rPr>
          <w:sz w:val="19"/>
          <w:szCs w:val="19"/>
        </w:rPr>
      </w:pPr>
      <w:r>
        <w:rPr>
          <w:b/>
          <w:bCs/>
          <w:sz w:val="19"/>
          <w:szCs w:val="19"/>
        </w:rPr>
        <w:t>Téměř všichni Češi se přihlásili do Národního souru</w:t>
      </w:r>
      <w:r>
        <w:rPr>
          <w:b/>
          <w:bCs/>
          <w:sz w:val="19"/>
          <w:szCs w:val="19"/>
        </w:rPr>
        <w:softHyphen/>
        <w:t xml:space="preserve">čenství. V podstatě to byl manifestační </w:t>
      </w:r>
      <w:r>
        <w:rPr>
          <w:b/>
          <w:bCs/>
          <w:sz w:val="19"/>
          <w:szCs w:val="19"/>
        </w:rPr>
        <w:t xml:space="preserve">plebiscit, spojený se sčítáním Čechů. Národ odpověděl na výzvu — tentokrát to není fráze — jako jeden muž a prokázal tak za prvé, že pochopil svou situaci, za druhé, že politické methody z minulé doby opustil, za třetí, že rozumí přítomné době tak, jak se </w:t>
      </w:r>
      <w:r>
        <w:rPr>
          <w:b/>
          <w:bCs/>
          <w:sz w:val="19"/>
          <w:szCs w:val="19"/>
        </w:rPr>
        <w:t>jí rozumět má, a konečně nadto celému světu podal obraz národnostního rozvrstvení v území Protekto</w:t>
      </w:r>
      <w:r>
        <w:rPr>
          <w:b/>
          <w:bCs/>
          <w:sz w:val="19"/>
          <w:szCs w:val="19"/>
        </w:rPr>
        <w:softHyphen/>
        <w:t>rátu. To jsou vesměs velmi důležité věci. Bylo by si ještě přáti, aby podobná organisace mohla býti zřízena i v úze</w:t>
      </w:r>
      <w:r>
        <w:rPr>
          <w:b/>
          <w:bCs/>
          <w:sz w:val="19"/>
          <w:szCs w:val="19"/>
        </w:rPr>
        <w:softHyphen/>
        <w:t>mích patřících k Říši, analogicky podle o</w:t>
      </w:r>
      <w:r>
        <w:rPr>
          <w:b/>
          <w:bCs/>
          <w:sz w:val="19"/>
          <w:szCs w:val="19"/>
        </w:rPr>
        <w:t>rganisaci říšsko</w:t>
      </w:r>
      <w:r>
        <w:rPr>
          <w:b/>
          <w:bCs/>
          <w:sz w:val="19"/>
          <w:szCs w:val="19"/>
        </w:rPr>
        <w:softHyphen/>
        <w:t>německých, zřízených na území Protektorátu.</w:t>
      </w:r>
    </w:p>
    <w:p w:rsidR="00500724" w:rsidRDefault="00F30FB8">
      <w:pPr>
        <w:pStyle w:val="Zkladntext100"/>
        <w:shd w:val="clear" w:color="auto" w:fill="auto"/>
        <w:spacing w:after="40" w:line="185" w:lineRule="auto"/>
        <w:ind w:firstLine="240"/>
        <w:rPr>
          <w:sz w:val="19"/>
          <w:szCs w:val="19"/>
        </w:rPr>
      </w:pPr>
      <w:r>
        <w:rPr>
          <w:b/>
          <w:bCs/>
          <w:sz w:val="19"/>
          <w:szCs w:val="19"/>
        </w:rPr>
        <w:t>To, co jsme viděli při náboru do Národního souru</w:t>
      </w:r>
      <w:r>
        <w:rPr>
          <w:b/>
          <w:bCs/>
          <w:sz w:val="19"/>
          <w:szCs w:val="19"/>
        </w:rPr>
        <w:softHyphen/>
        <w:t>čenství v týdnu, který se skončil 1. květnem, má skutečně historickou cenu. Je to dokument pro náš národ, pro Éíši i pro celý svět o síle a národ</w:t>
      </w:r>
      <w:r>
        <w:rPr>
          <w:b/>
          <w:bCs/>
          <w:sz w:val="19"/>
          <w:szCs w:val="19"/>
        </w:rPr>
        <w:softHyphen/>
      </w:r>
      <w:r>
        <w:rPr>
          <w:b/>
          <w:bCs/>
          <w:sz w:val="19"/>
          <w:szCs w:val="19"/>
        </w:rPr>
        <w:t xml:space="preserve">ním povědomí českého národa. Od Mnichova prošel český národ vývojem, který nahradil plně bolestné zápasy, jež prožívalo Německo po několik let, než se plně sjednotilo. Utrpení našeho národa nebylo menší onoho utrpení, jež snášel německý národ. Naše bolest </w:t>
      </w:r>
      <w:r>
        <w:rPr>
          <w:b/>
          <w:bCs/>
          <w:sz w:val="19"/>
          <w:szCs w:val="19"/>
        </w:rPr>
        <w:t>získala si proto, jak věříme, právo na uznání a pochopení i ostatního světa.</w:t>
      </w:r>
    </w:p>
    <w:p w:rsidR="00500724" w:rsidRDefault="00F30FB8">
      <w:pPr>
        <w:pStyle w:val="Zkladntext100"/>
        <w:shd w:val="clear" w:color="auto" w:fill="auto"/>
        <w:spacing w:after="40" w:line="182" w:lineRule="auto"/>
        <w:ind w:firstLine="240"/>
        <w:rPr>
          <w:sz w:val="19"/>
          <w:szCs w:val="19"/>
        </w:rPr>
      </w:pPr>
      <w:r>
        <w:rPr>
          <w:b/>
          <w:bCs/>
          <w:sz w:val="19"/>
          <w:szCs w:val="19"/>
        </w:rPr>
        <w:t>Týden náboru do Národního souručenství, jediná prak</w:t>
      </w:r>
      <w:r>
        <w:rPr>
          <w:b/>
          <w:bCs/>
          <w:sz w:val="19"/>
          <w:szCs w:val="19"/>
        </w:rPr>
        <w:softHyphen/>
        <w:t>tická politická možnost, která nám zbývala, je právě proto historickým dokumentem, který může býti kdykoli na podporu našich ná</w:t>
      </w:r>
      <w:r>
        <w:rPr>
          <w:b/>
          <w:bCs/>
          <w:sz w:val="19"/>
          <w:szCs w:val="19"/>
        </w:rPr>
        <w:t>rodních práv citován. Národ smazal všechny politické rozdíly a našel novou cestu. Chceme doufat, že německý národ bude míti pro tuto situaci českého národa i pro politický fakt dobré vůle a opravdové upřímné jednoty, který byl náborem do Národního souručen</w:t>
      </w:r>
      <w:r>
        <w:rPr>
          <w:b/>
          <w:bCs/>
          <w:sz w:val="19"/>
          <w:szCs w:val="19"/>
        </w:rPr>
        <w:t>ství vytvořen, upřímné a trvalé pochopení.</w:t>
      </w:r>
    </w:p>
    <w:p w:rsidR="00500724" w:rsidRDefault="00F30FB8">
      <w:pPr>
        <w:pStyle w:val="Zkladntext100"/>
        <w:shd w:val="clear" w:color="auto" w:fill="auto"/>
        <w:tabs>
          <w:tab w:val="left" w:pos="4618"/>
        </w:tabs>
        <w:spacing w:after="240" w:line="197" w:lineRule="auto"/>
        <w:ind w:firstLine="240"/>
        <w:rPr>
          <w:sz w:val="20"/>
          <w:szCs w:val="20"/>
        </w:rPr>
      </w:pPr>
      <w:r>
        <w:rPr>
          <w:b/>
          <w:bCs/>
          <w:sz w:val="19"/>
          <w:szCs w:val="19"/>
        </w:rPr>
        <w:t>Proto je zapotřebí, aby situace českého ná</w:t>
      </w:r>
      <w:r>
        <w:rPr>
          <w:b/>
          <w:bCs/>
          <w:sz w:val="19"/>
          <w:szCs w:val="19"/>
        </w:rPr>
        <w:softHyphen/>
        <w:t>roda nebyla zatěžována odbojnými skupinkami, jež tvoří sotva několik set hlav. Český národ splnil vše, co mu bylo novou situací uloženo. Chová se rozumně a ve všech směre</w:t>
      </w:r>
      <w:r>
        <w:rPr>
          <w:b/>
          <w:bCs/>
          <w:sz w:val="19"/>
          <w:szCs w:val="19"/>
        </w:rPr>
        <w:t>ch umírněně. Vnitřní klid, pořádek a zá</w:t>
      </w:r>
      <w:r>
        <w:rPr>
          <w:b/>
          <w:bCs/>
          <w:sz w:val="19"/>
          <w:szCs w:val="19"/>
        </w:rPr>
        <w:softHyphen/>
        <w:t>konnost jsou poklady nade vše jiné.</w:t>
      </w:r>
      <w:r>
        <w:rPr>
          <w:b/>
          <w:bCs/>
          <w:sz w:val="19"/>
          <w:szCs w:val="19"/>
        </w:rPr>
        <w:tab/>
      </w:r>
      <w:r>
        <w:rPr>
          <w:i/>
          <w:iCs/>
          <w:sz w:val="20"/>
          <w:szCs w:val="20"/>
        </w:rPr>
        <w:t>Moll.</w:t>
      </w:r>
    </w:p>
    <w:p w:rsidR="00500724" w:rsidRDefault="00F30FB8">
      <w:pPr>
        <w:pStyle w:val="Zkladntext20"/>
        <w:shd w:val="clear" w:color="auto" w:fill="auto"/>
        <w:spacing w:after="40" w:line="175" w:lineRule="auto"/>
        <w:ind w:firstLine="0"/>
        <w:jc w:val="center"/>
        <w:rPr>
          <w:sz w:val="20"/>
          <w:szCs w:val="20"/>
        </w:rPr>
      </w:pPr>
      <w:r>
        <w:rPr>
          <w:b/>
          <w:bCs/>
          <w:sz w:val="20"/>
          <w:szCs w:val="20"/>
        </w:rPr>
        <w:t>Význam exportu pro nás</w:t>
      </w:r>
    </w:p>
    <w:p w:rsidR="00500724" w:rsidRDefault="00F30FB8">
      <w:pPr>
        <w:pStyle w:val="Zkladntext100"/>
        <w:shd w:val="clear" w:color="auto" w:fill="auto"/>
        <w:spacing w:line="209" w:lineRule="auto"/>
        <w:ind w:firstLine="240"/>
        <w:rPr>
          <w:sz w:val="19"/>
          <w:szCs w:val="19"/>
        </w:rPr>
      </w:pPr>
      <w:r>
        <w:rPr>
          <w:b/>
          <w:bCs/>
          <w:sz w:val="19"/>
          <w:szCs w:val="19"/>
        </w:rPr>
        <w:t>Upozornili jsme již v přehledném článku na základní data, jež ukazují životní význam průmyslu pro české ze</w:t>
      </w:r>
      <w:r>
        <w:rPr>
          <w:b/>
          <w:bCs/>
          <w:sz w:val="19"/>
          <w:szCs w:val="19"/>
        </w:rPr>
        <w:softHyphen/>
        <w:t xml:space="preserve">mě. Bez udržení exportu na současné úrovni, </w:t>
      </w:r>
      <w:r>
        <w:rPr>
          <w:b/>
          <w:bCs/>
          <w:sz w:val="19"/>
          <w:szCs w:val="19"/>
        </w:rPr>
        <w:t>resp. na výši alespoň posledních pokrisovýcli let nelze učinit opatřeni, jež by zabránila klesání životního standardu českého ná roda. V těchto dnech se o tomto problému rozepisuje v po</w:t>
      </w:r>
      <w:r>
        <w:rPr>
          <w:b/>
          <w:bCs/>
          <w:sz w:val="19"/>
          <w:szCs w:val="19"/>
        </w:rPr>
        <w:softHyphen/>
        <w:t>dobném smyslu všechen český tisk denní i týdenní a sou</w:t>
      </w:r>
      <w:r>
        <w:rPr>
          <w:b/>
          <w:bCs/>
          <w:sz w:val="19"/>
          <w:szCs w:val="19"/>
        </w:rPr>
        <w:softHyphen/>
        <w:t>časně docházejí</w:t>
      </w:r>
      <w:r>
        <w:rPr>
          <w:b/>
          <w:bCs/>
          <w:sz w:val="19"/>
          <w:szCs w:val="19"/>
        </w:rPr>
        <w:t xml:space="preserve"> zprávy, že se o věci jedná mezi říšskými místy a vládou Protektorátu. Jde skutečně o věc, která ze všeho jednání, jež se v poslední době vedla, je na prvním místě a daleko nejdůležitější. V tom jsou zajedno znalci věci ze všech táborů, a sluší se také upo</w:t>
      </w:r>
      <w:r>
        <w:rPr>
          <w:b/>
          <w:bCs/>
          <w:sz w:val="19"/>
          <w:szCs w:val="19"/>
        </w:rPr>
        <w:t>zornit na inter</w:t>
      </w:r>
      <w:r>
        <w:rPr>
          <w:b/>
          <w:bCs/>
          <w:sz w:val="19"/>
          <w:szCs w:val="19"/>
        </w:rPr>
        <w:softHyphen/>
        <w:t>view, který bývalý generální tajemník svazu průmyslníků dr. F. X. Hodáě poskytl v témže duchu, v jakém se o věci píše dnes u nás obecně, zástupci říšskoněmeckého tisku.</w:t>
      </w:r>
    </w:p>
    <w:p w:rsidR="00500724" w:rsidRDefault="00F30FB8">
      <w:pPr>
        <w:pStyle w:val="Zkladntext100"/>
        <w:shd w:val="clear" w:color="auto" w:fill="auto"/>
        <w:spacing w:line="209" w:lineRule="auto"/>
        <w:ind w:firstLine="240"/>
        <w:rPr>
          <w:sz w:val="19"/>
          <w:szCs w:val="19"/>
        </w:rPr>
      </w:pPr>
      <w:r>
        <w:rPr>
          <w:b/>
          <w:bCs/>
          <w:sz w:val="19"/>
          <w:szCs w:val="19"/>
        </w:rPr>
        <w:t>Lze tak doufat, že pro tento problém bude nalezeno na říšských odpovědn</w:t>
      </w:r>
      <w:r>
        <w:rPr>
          <w:b/>
          <w:bCs/>
          <w:sz w:val="19"/>
          <w:szCs w:val="19"/>
        </w:rPr>
        <w:t>ých místech pochopeni a že se stane vše, aby export z českých zemí do zemi s hod</w:t>
      </w:r>
      <w:r>
        <w:rPr>
          <w:b/>
          <w:bCs/>
          <w:sz w:val="19"/>
          <w:szCs w:val="19"/>
        </w:rPr>
        <w:softHyphen/>
        <w:t>notnou valutou byl udržen. Přiliv devis je nutný jak k nákupu nezbytných surovin, tak i k podpoře dalšího exportu. Jinou část problému představuje export do zemí clearingových</w:t>
      </w:r>
      <w:r>
        <w:rPr>
          <w:b/>
          <w:bCs/>
          <w:sz w:val="19"/>
          <w:szCs w:val="19"/>
        </w:rPr>
        <w:t>, kde česká delegace v obchodně-politických výborech říšských bude již zastoupena.</w:t>
      </w:r>
    </w:p>
    <w:p w:rsidR="00500724" w:rsidRDefault="00F30FB8">
      <w:pPr>
        <w:pStyle w:val="Zkladntext100"/>
        <w:shd w:val="clear" w:color="auto" w:fill="auto"/>
        <w:tabs>
          <w:tab w:val="left" w:pos="3984"/>
        </w:tabs>
        <w:spacing w:after="280" w:line="209" w:lineRule="auto"/>
        <w:ind w:firstLine="240"/>
        <w:rPr>
          <w:sz w:val="20"/>
          <w:szCs w:val="20"/>
        </w:rPr>
      </w:pPr>
      <w:r>
        <w:rPr>
          <w:b/>
          <w:bCs/>
          <w:sz w:val="19"/>
          <w:szCs w:val="19"/>
        </w:rPr>
        <w:t>Znovu však upozorňujeme, že by bylo skutečně velmi důležité, aby byli vysláni do ciziny mladí schopní lidé všech oborů veřejné činnosti, kteří by upozorňovali zahraniční veř</w:t>
      </w:r>
      <w:r>
        <w:rPr>
          <w:b/>
          <w:bCs/>
          <w:sz w:val="19"/>
          <w:szCs w:val="19"/>
        </w:rPr>
        <w:t>ejné mínění, že mluví-li se tam o sympatiích k nám, je kupování českého zboží vhodný způ</w:t>
      </w:r>
      <w:r>
        <w:rPr>
          <w:b/>
          <w:bCs/>
          <w:sz w:val="19"/>
          <w:szCs w:val="19"/>
        </w:rPr>
        <w:softHyphen/>
        <w:t>sob je prakticky prokázat. O tom, že udržení ex</w:t>
      </w:r>
      <w:r>
        <w:rPr>
          <w:b/>
          <w:bCs/>
          <w:sz w:val="19"/>
          <w:szCs w:val="19"/>
        </w:rPr>
        <w:softHyphen/>
        <w:t>portu českých zemí a příliv dobrých devis je věc, která má význam pro celou říši, není třeba znovu vykládat. Konečně se</w:t>
      </w:r>
      <w:r>
        <w:rPr>
          <w:b/>
          <w:bCs/>
          <w:sz w:val="19"/>
          <w:szCs w:val="19"/>
        </w:rPr>
        <w:t xml:space="preserve"> sluší uvážit, zda by zboží, pocházející z čes</w:t>
      </w:r>
      <w:r>
        <w:rPr>
          <w:b/>
          <w:bCs/>
          <w:sz w:val="19"/>
          <w:szCs w:val="19"/>
        </w:rPr>
        <w:softHyphen/>
        <w:t>kých zemí, nemělo nésti vlastní značku a zda by při všech obchodně-politických jednáních se zahraničím, jež povede Říše, neměly býti pravidelně zastoupeny české ze</w:t>
      </w:r>
      <w:r>
        <w:rPr>
          <w:b/>
          <w:bCs/>
          <w:sz w:val="19"/>
          <w:szCs w:val="19"/>
        </w:rPr>
        <w:softHyphen/>
        <w:t>mě a zda by jejich vyjednavači neměli míti zv</w:t>
      </w:r>
      <w:r>
        <w:rPr>
          <w:b/>
          <w:bCs/>
          <w:sz w:val="19"/>
          <w:szCs w:val="19"/>
        </w:rPr>
        <w:t>láštní postat vení, aby se cizině prokázala obchodně-politická svébytnost zemí Protektorátu. Je to věc tak důležitá a tak spěš</w:t>
      </w:r>
      <w:r>
        <w:rPr>
          <w:b/>
          <w:bCs/>
          <w:sz w:val="19"/>
          <w:szCs w:val="19"/>
        </w:rPr>
        <w:softHyphen/>
        <w:t>ná, že se znovu k ní s největším důrazem vracíme pro její obecný význam.</w:t>
      </w:r>
      <w:r>
        <w:rPr>
          <w:b/>
          <w:bCs/>
          <w:sz w:val="19"/>
          <w:szCs w:val="19"/>
        </w:rPr>
        <w:tab/>
      </w:r>
      <w:r>
        <w:rPr>
          <w:b/>
          <w:bCs/>
          <w:i/>
          <w:iCs/>
          <w:sz w:val="20"/>
          <w:szCs w:val="20"/>
        </w:rPr>
        <w:t>Dr. Slcál a.</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politika</w:t>
      </w:r>
    </w:p>
    <w:p w:rsidR="00500724" w:rsidRDefault="00F30FB8">
      <w:pPr>
        <w:pStyle w:val="Zkladntext20"/>
        <w:shd w:val="clear" w:color="auto" w:fill="auto"/>
        <w:spacing w:line="218" w:lineRule="auto"/>
        <w:ind w:firstLine="0"/>
        <w:rPr>
          <w:sz w:val="20"/>
          <w:szCs w:val="20"/>
        </w:rPr>
      </w:pPr>
      <w:r>
        <w:rPr>
          <w:b/>
          <w:bCs/>
          <w:i/>
          <w:iCs/>
          <w:sz w:val="20"/>
          <w:szCs w:val="20"/>
        </w:rPr>
        <w:t>Milena Jesenská:</w:t>
      </w:r>
    </w:p>
    <w:p w:rsidR="00500724" w:rsidRDefault="00F30FB8">
      <w:pPr>
        <w:pStyle w:val="Nadpis100"/>
        <w:shd w:val="clear" w:color="auto" w:fill="auto"/>
        <w:spacing w:after="0" w:line="240" w:lineRule="auto"/>
      </w:pPr>
      <w:bookmarkStart w:id="476" w:name="bookmark475"/>
      <w:r>
        <w:t>Jsem především Če</w:t>
      </w:r>
      <w:r>
        <w:t>ška?</w:t>
      </w:r>
      <w:bookmarkEnd w:id="476"/>
    </w:p>
    <w:p w:rsidR="00500724" w:rsidRDefault="00F30FB8">
      <w:pPr>
        <w:pStyle w:val="Zkladntext100"/>
        <w:shd w:val="clear" w:color="auto" w:fill="auto"/>
        <w:spacing w:line="233" w:lineRule="auto"/>
        <w:ind w:firstLine="240"/>
        <w:rPr>
          <w:sz w:val="19"/>
          <w:szCs w:val="19"/>
        </w:rPr>
      </w:pPr>
      <w:r>
        <w:rPr>
          <w:sz w:val="19"/>
          <w:szCs w:val="19"/>
        </w:rPr>
        <w:t>Pravil mi nedávno jeden muž — ostatně člověk vý</w:t>
      </w:r>
      <w:r>
        <w:rPr>
          <w:sz w:val="19"/>
          <w:szCs w:val="19"/>
        </w:rPr>
        <w:softHyphen/>
        <w:t>tečný, činorodý a výborný národovec — »Af máte ná</w:t>
      </w:r>
      <w:r>
        <w:rPr>
          <w:sz w:val="19"/>
          <w:szCs w:val="19"/>
        </w:rPr>
        <w:softHyphen/>
        <w:t>zory jakékoli, vidím, že jste především Češka. Čtu to z Vašich článků a raduji se z toho.c</w:t>
      </w:r>
    </w:p>
    <w:p w:rsidR="00500724" w:rsidRDefault="00F30FB8">
      <w:pPr>
        <w:pStyle w:val="Zkladntext100"/>
        <w:shd w:val="clear" w:color="auto" w:fill="auto"/>
        <w:spacing w:line="233" w:lineRule="auto"/>
        <w:ind w:firstLine="240"/>
        <w:rPr>
          <w:sz w:val="19"/>
          <w:szCs w:val="19"/>
        </w:rPr>
      </w:pPr>
      <w:r>
        <w:rPr>
          <w:sz w:val="19"/>
          <w:szCs w:val="19"/>
        </w:rPr>
        <w:t xml:space="preserve">Byla to tedy pochvala a sice veliká. Byla bych tedy měla mít </w:t>
      </w:r>
      <w:r>
        <w:rPr>
          <w:sz w:val="19"/>
          <w:szCs w:val="19"/>
        </w:rPr>
        <w:t xml:space="preserve">radost, protože každá pochvala z dobrých úst přináší povzbuzení a odnáší pocit, že pracujete marně a ve vzduch op rázdném prostoru. A poněvadž to řekl člověk, se kterým bych se byla před pouhým rokem určitě velmi rozcházela ve světovém názoru, bylo tedy i </w:t>
      </w:r>
      <w:r>
        <w:rPr>
          <w:sz w:val="19"/>
          <w:szCs w:val="19"/>
        </w:rPr>
        <w:t>to radostné, že jsme oba seděli vedle sebe, naprosto se shodovali v pojetí dnešní práce a upřímně si při roz</w:t>
      </w:r>
      <w:r>
        <w:rPr>
          <w:sz w:val="19"/>
          <w:szCs w:val="19"/>
        </w:rPr>
        <w:softHyphen/>
        <w:t>chodu stiskli ruce.</w:t>
      </w:r>
    </w:p>
    <w:p w:rsidR="00500724" w:rsidRDefault="00F30FB8">
      <w:pPr>
        <w:pStyle w:val="Zkladntext100"/>
        <w:shd w:val="clear" w:color="auto" w:fill="auto"/>
        <w:spacing w:line="240" w:lineRule="auto"/>
        <w:ind w:firstLine="240"/>
        <w:rPr>
          <w:sz w:val="19"/>
          <w:szCs w:val="19"/>
        </w:rPr>
      </w:pPr>
      <w:r>
        <w:rPr>
          <w:sz w:val="19"/>
          <w:szCs w:val="19"/>
        </w:rPr>
        <w:t>A přece ta radost byla zkalena formulací toho uznání: zhruba by se dalo vyjádřit také asi takto: af jste jaká</w:t>
      </w:r>
      <w:r>
        <w:rPr>
          <w:sz w:val="19"/>
          <w:szCs w:val="19"/>
        </w:rPr>
        <w:softHyphen/>
        <w:t>koli, především j</w:t>
      </w:r>
      <w:r>
        <w:rPr>
          <w:sz w:val="19"/>
          <w:szCs w:val="19"/>
        </w:rPr>
        <w:t>ste Češka a to stačí.</w:t>
      </w:r>
    </w:p>
    <w:p w:rsidR="00500724" w:rsidRDefault="00F30FB8">
      <w:pPr>
        <w:pStyle w:val="Zkladntext100"/>
        <w:shd w:val="clear" w:color="auto" w:fill="auto"/>
        <w:spacing w:line="230" w:lineRule="auto"/>
        <w:ind w:firstLine="240"/>
        <w:rPr>
          <w:sz w:val="19"/>
          <w:szCs w:val="19"/>
        </w:rPr>
      </w:pPr>
      <w:r>
        <w:rPr>
          <w:sz w:val="19"/>
          <w:szCs w:val="19"/>
        </w:rPr>
        <w:t>Je tomu už dobrých čtrnáct dnů a kudy chodím, stále s sebou nosím slovíčko: především. Po volných chví</w:t>
      </w:r>
      <w:r>
        <w:rPr>
          <w:sz w:val="19"/>
          <w:szCs w:val="19"/>
        </w:rPr>
        <w:softHyphen/>
        <w:t>lích, po procházkách jarní Prahou — člověka teď na</w:t>
      </w:r>
      <w:r>
        <w:rPr>
          <w:sz w:val="19"/>
          <w:szCs w:val="19"/>
        </w:rPr>
        <w:softHyphen/>
        <w:t xml:space="preserve">jednou popadne v bytě neklid a běží se podívat třeba na jez nebo na Petřín nebo </w:t>
      </w:r>
      <w:r>
        <w:rPr>
          <w:sz w:val="19"/>
          <w:szCs w:val="19"/>
        </w:rPr>
        <w:t>do Strahovské zahrady, aby očima kousek Prahy ohmatal a vracel se domů pokoj</w:t>
      </w:r>
      <w:r>
        <w:rPr>
          <w:sz w:val="19"/>
          <w:szCs w:val="19"/>
        </w:rPr>
        <w:softHyphen/>
        <w:t>nější — po nocích, kdy nemohu spát, v roztrhaných roz</w:t>
      </w:r>
      <w:r>
        <w:rPr>
          <w:sz w:val="19"/>
          <w:szCs w:val="19"/>
        </w:rPr>
        <w:softHyphen/>
        <w:t>hovorech s přáteli, všude se za mnou plíží slovíčko p ř e- d e v š í m. A když jsem to byla všechno přebrala, pře</w:t>
      </w:r>
      <w:r>
        <w:rPr>
          <w:sz w:val="19"/>
          <w:szCs w:val="19"/>
        </w:rPr>
        <w:softHyphen/>
        <w:t>vrátila, př</w:t>
      </w:r>
      <w:r>
        <w:rPr>
          <w:sz w:val="19"/>
          <w:szCs w:val="19"/>
        </w:rPr>
        <w:t>emyslila, musím Vám, pane, Vaši pochvalu vrátit. Jsem samozřejmě Češka, ale především se snažím být slušným člověkem.</w:t>
      </w:r>
    </w:p>
    <w:p w:rsidR="00500724" w:rsidRDefault="00F30FB8">
      <w:pPr>
        <w:pStyle w:val="Zkladntext100"/>
        <w:shd w:val="clear" w:color="auto" w:fill="auto"/>
        <w:spacing w:line="230" w:lineRule="auto"/>
        <w:ind w:firstLine="240"/>
        <w:rPr>
          <w:sz w:val="19"/>
          <w:szCs w:val="19"/>
        </w:rPr>
      </w:pPr>
      <w:r>
        <w:rPr>
          <w:noProof/>
        </w:rPr>
        <mc:AlternateContent>
          <mc:Choice Requires="wps">
            <w:drawing>
              <wp:anchor distT="25400" distB="254000" distL="114300" distR="114300" simplePos="0" relativeHeight="125829852" behindDoc="0" locked="0" layoutInCell="1" allowOverlap="1">
                <wp:simplePos x="0" y="0"/>
                <wp:positionH relativeFrom="page">
                  <wp:posOffset>6829425</wp:posOffset>
                </wp:positionH>
                <wp:positionV relativeFrom="margin">
                  <wp:posOffset>9184005</wp:posOffset>
                </wp:positionV>
                <wp:extent cx="222250" cy="143510"/>
                <wp:effectExtent l="0" t="0" r="0" b="0"/>
                <wp:wrapTopAndBottom/>
                <wp:docPr id="475" name="Shape 475"/>
                <wp:cNvGraphicFramePr/>
                <a:graphic xmlns:a="http://schemas.openxmlformats.org/drawingml/2006/main">
                  <a:graphicData uri="http://schemas.microsoft.com/office/word/2010/wordprocessingShape">
                    <wps:wsp>
                      <wps:cNvSpPr txBox="1"/>
                      <wps:spPr>
                        <a:xfrm>
                          <a:off x="0" y="0"/>
                          <a:ext cx="222250" cy="143510"/>
                        </a:xfrm>
                        <a:prstGeom prst="rect">
                          <a:avLst/>
                        </a:prstGeom>
                        <a:noFill/>
                      </wps:spPr>
                      <wps:txbx>
                        <w:txbxContent>
                          <w:p w:rsidR="00500724" w:rsidRDefault="00F30FB8">
                            <w:pPr>
                              <w:pStyle w:val="Zkladntext40"/>
                              <w:shd w:val="clear" w:color="auto" w:fill="auto"/>
                              <w:spacing w:after="0" w:line="240" w:lineRule="auto"/>
                              <w:jc w:val="left"/>
                            </w:pPr>
                            <w:r>
                              <w:rPr>
                                <w:b/>
                                <w:bCs/>
                                <w:i/>
                                <w:iCs/>
                              </w:rPr>
                              <w:t>z8g</w:t>
                            </w:r>
                          </w:p>
                        </w:txbxContent>
                      </wps:txbx>
                      <wps:bodyPr lIns="0" tIns="0" rIns="0" bIns="0">
                        <a:spAutoFit/>
                      </wps:bodyPr>
                    </wps:wsp>
                  </a:graphicData>
                </a:graphic>
              </wp:anchor>
            </w:drawing>
          </mc:Choice>
          <mc:Fallback>
            <w:pict>
              <v:shape id="_x0000_s1501" type="#_x0000_t202" style="position:absolute;margin-left:537.75pt;margin-top:723.14999999999998pt;width:17.5pt;height:11.300000000000001pt;z-index:-125828901;mso-wrap-distance-left:9.pt;mso-wrap-distance-top:2.pt;mso-wrap-distance-right:9.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z8g</w:t>
                      </w:r>
                    </w:p>
                  </w:txbxContent>
                </v:textbox>
                <w10:wrap type="topAndBottom" anchorx="page" anchory="margin"/>
              </v:shape>
            </w:pict>
          </mc:Fallback>
        </mc:AlternateContent>
      </w:r>
      <w:r>
        <w:rPr>
          <w:sz w:val="19"/>
          <w:szCs w:val="19"/>
        </w:rPr>
        <w:t xml:space="preserve">Dovolte, prosím, abych Vám to vysvětlila: Češi jsme všichni. To dohromady ještě nic neznamená. Viděno střízlivýma očima, je to </w:t>
      </w:r>
      <w:r>
        <w:rPr>
          <w:sz w:val="19"/>
          <w:szCs w:val="19"/>
        </w:rPr>
        <w:t>příslušnost k malému národu který má všelijaké svízele a všelijaká trápení. Podaří-li</w:t>
      </w:r>
    </w:p>
    <w:p w:rsidR="00500724" w:rsidRDefault="00F30FB8">
      <w:pPr>
        <w:pStyle w:val="Zkladntext40"/>
        <w:shd w:val="clear" w:color="auto" w:fill="auto"/>
        <w:spacing w:after="0" w:line="317" w:lineRule="auto"/>
        <w:rPr>
          <w:sz w:val="14"/>
          <w:szCs w:val="14"/>
        </w:rPr>
      </w:pPr>
      <w:r>
        <w:rPr>
          <w:b/>
          <w:bCs/>
          <w:sz w:val="14"/>
          <w:szCs w:val="14"/>
        </w:rPr>
        <w:t>se člověku urvat nějaké visum, může mít za pět let v kapse americký pas a procházet se po světě jako občan americký, který má rozhodně na světě méně potíží. Po</w:t>
      </w:r>
      <w:r>
        <w:rPr>
          <w:b/>
          <w:bCs/>
          <w:sz w:val="14"/>
          <w:szCs w:val="14"/>
        </w:rPr>
        <w:softHyphen/>
        <w:t>kud vím, m</w:t>
      </w:r>
      <w:r>
        <w:rPr>
          <w:b/>
          <w:bCs/>
          <w:sz w:val="14"/>
          <w:szCs w:val="14"/>
        </w:rPr>
        <w:t>nozí mezi námi volili podobné východisko. Ne, skutečnost, že jsme Češi, ještě nic neznamená. Není- li tato skutečnost především vázána na určité vlast</w:t>
      </w:r>
      <w:r>
        <w:rPr>
          <w:b/>
          <w:bCs/>
          <w:sz w:val="14"/>
          <w:szCs w:val="14"/>
        </w:rPr>
        <w:softHyphen/>
        <w:t>nosti, ztrácí svoje hodnoty. Je zajisté krásný a hrdý po</w:t>
      </w:r>
      <w:r>
        <w:rPr>
          <w:b/>
          <w:bCs/>
          <w:sz w:val="14"/>
          <w:szCs w:val="14"/>
        </w:rPr>
        <w:softHyphen/>
        <w:t>cit být Francouzem a je zajisté povznášející naz</w:t>
      </w:r>
      <w:r>
        <w:rPr>
          <w:b/>
          <w:bCs/>
          <w:sz w:val="14"/>
          <w:szCs w:val="14"/>
        </w:rPr>
        <w:t>ývat nejkrásnější píseň na světě svou hymnou. Přes to ztra</w:t>
      </w:r>
      <w:r>
        <w:rPr>
          <w:b/>
          <w:bCs/>
          <w:sz w:val="14"/>
          <w:szCs w:val="14"/>
        </w:rPr>
        <w:softHyphen/>
        <w:t>tili Francouzi za jediný týden úctu světa a být Fran</w:t>
      </w:r>
      <w:r>
        <w:rPr>
          <w:b/>
          <w:bCs/>
          <w:sz w:val="14"/>
          <w:szCs w:val="14"/>
        </w:rPr>
        <w:softHyphen/>
        <w:t>couzem není dnes asi velmi slavné. Můžete mi namít</w:t>
      </w:r>
      <w:r>
        <w:rPr>
          <w:b/>
          <w:bCs/>
          <w:sz w:val="14"/>
          <w:szCs w:val="14"/>
        </w:rPr>
        <w:softHyphen/>
        <w:t>nout, že za francouzský lid jednala pouze francouzská vláda a že tedy jedině tato vláda ztrat</w:t>
      </w:r>
      <w:r>
        <w:rPr>
          <w:b/>
          <w:bCs/>
          <w:sz w:val="14"/>
          <w:szCs w:val="14"/>
        </w:rPr>
        <w:t>ila vážnost světa a nikoli Francie. Nuže, tomu není tak. Byl to francouz</w:t>
      </w:r>
      <w:r>
        <w:rPr>
          <w:b/>
          <w:bCs/>
          <w:sz w:val="14"/>
          <w:szCs w:val="14"/>
        </w:rPr>
        <w:softHyphen/>
        <w:t>ský lid, který jásal na ulicích. Mimo to v září 1938 žila Francie v takovém státním stavu, že prostě nebylo možno — technicky možno — aby vláda jednala proti vůli svého lidu, kdyby by</w:t>
      </w:r>
      <w:r>
        <w:rPr>
          <w:b/>
          <w:bCs/>
          <w:sz w:val="14"/>
          <w:szCs w:val="14"/>
        </w:rPr>
        <w:t>l tento lid jednal rozhodně, statečně a čestně. Tento lid však plakal radostí, že jeho vláda zrušila svoje slovo, a poházel květinami muže, kteří to uěinili.</w:t>
      </w:r>
    </w:p>
    <w:p w:rsidR="00500724" w:rsidRDefault="00F30FB8">
      <w:pPr>
        <w:pStyle w:val="Zkladntext40"/>
        <w:shd w:val="clear" w:color="auto" w:fill="auto"/>
        <w:spacing w:after="0" w:line="314" w:lineRule="auto"/>
        <w:ind w:firstLine="240"/>
        <w:rPr>
          <w:sz w:val="14"/>
          <w:szCs w:val="14"/>
        </w:rPr>
      </w:pPr>
      <w:r>
        <w:rPr>
          <w:b/>
          <w:bCs/>
          <w:sz w:val="14"/>
          <w:szCs w:val="14"/>
        </w:rPr>
        <w:t>Přes všechno, co jsme zažili, mám pevný dojem, že žádný Čech v celém velkém světě úctu ztratit nem</w:t>
      </w:r>
      <w:r>
        <w:rPr>
          <w:b/>
          <w:bCs/>
          <w:sz w:val="14"/>
          <w:szCs w:val="14"/>
        </w:rPr>
        <w:t>ohl. Celý svět se na nás díval a viděl, že se tento malý národ choval obdivuhodně. Když přišla hodina naplnění smlouvy, stál celý národ za svým slovem, i když věděl, co by ho to stálo. Když šlo o to vydržet s klidnou tváří ztráty, vydrželi jsme to výborně.</w:t>
      </w:r>
      <w:r>
        <w:rPr>
          <w:b/>
          <w:bCs/>
          <w:sz w:val="14"/>
          <w:szCs w:val="14"/>
        </w:rPr>
        <w:t xml:space="preserve"> Nikdo na světě nebude moci říci, že Češi nejsou odhodlaní a stateční, poctiví a spolehliví spojenci. Dnes však je situace jiná. Dnes jde o to, udržet v moři národnosti cizí národnost vlastní. V záplavě svobody cizí svobodu svou a přívalu cizího národního </w:t>
      </w:r>
      <w:r>
        <w:rPr>
          <w:b/>
          <w:bCs/>
          <w:sz w:val="14"/>
          <w:szCs w:val="14"/>
        </w:rPr>
        <w:t>výrazu národní výraz vlastní. Dnes jde pře</w:t>
      </w:r>
      <w:r>
        <w:rPr>
          <w:b/>
          <w:bCs/>
          <w:sz w:val="14"/>
          <w:szCs w:val="14"/>
        </w:rPr>
        <w:softHyphen/>
        <w:t>devším o to, abychom byli dobrými Čechy. Nebude</w:t>
      </w:r>
      <w:r>
        <w:rPr>
          <w:b/>
          <w:bCs/>
          <w:sz w:val="14"/>
          <w:szCs w:val="14"/>
        </w:rPr>
        <w:softHyphen/>
        <w:t>me jimi však, nebudeme-li především pevnými lid</w:t>
      </w:r>
      <w:r>
        <w:rPr>
          <w:b/>
          <w:bCs/>
          <w:sz w:val="14"/>
          <w:szCs w:val="14"/>
        </w:rPr>
        <w:softHyphen/>
        <w:t>mi. Teprve totožnost obou pojmů udrží národ v mravní výši, kterou vždycky měl a která mu získávala úctu světa.</w:t>
      </w:r>
    </w:p>
    <w:p w:rsidR="00500724" w:rsidRDefault="00F30FB8">
      <w:pPr>
        <w:pStyle w:val="Zkladntext40"/>
        <w:shd w:val="clear" w:color="auto" w:fill="auto"/>
        <w:spacing w:after="160" w:line="240" w:lineRule="auto"/>
        <w:jc w:val="center"/>
        <w:rPr>
          <w:sz w:val="14"/>
          <w:szCs w:val="14"/>
        </w:rPr>
      </w:pPr>
      <w:r>
        <w:rPr>
          <w:b/>
          <w:bCs/>
          <w:sz w:val="14"/>
          <w:szCs w:val="14"/>
        </w:rPr>
        <w:t>•</w:t>
      </w:r>
    </w:p>
    <w:p w:rsidR="00500724" w:rsidRDefault="00F30FB8">
      <w:pPr>
        <w:pStyle w:val="Zkladntext40"/>
        <w:shd w:val="clear" w:color="auto" w:fill="auto"/>
        <w:spacing w:after="0" w:line="314" w:lineRule="auto"/>
        <w:ind w:firstLine="240"/>
        <w:rPr>
          <w:sz w:val="14"/>
          <w:szCs w:val="14"/>
        </w:rPr>
      </w:pPr>
      <w:r>
        <w:rPr>
          <w:b/>
          <w:bCs/>
          <w:sz w:val="14"/>
          <w:szCs w:val="14"/>
        </w:rPr>
        <w:t>To n</w:t>
      </w:r>
      <w:r>
        <w:rPr>
          <w:b/>
          <w:bCs/>
          <w:sz w:val="14"/>
          <w:szCs w:val="14"/>
        </w:rPr>
        <w:t>ení snadný pojem: být dobrým Čechem. Vysloví se to ovšem velmi jednoduše a ohánět se tím pojmem není obtížué. Ale vědět, co to znamená a očekávat to od sebe i druhých, je už obtížnější. Bylo by osudnou chy</w:t>
      </w:r>
      <w:r>
        <w:rPr>
          <w:b/>
          <w:bCs/>
          <w:sz w:val="14"/>
          <w:szCs w:val="14"/>
        </w:rPr>
        <w:softHyphen/>
        <w:t>bou domnívat se, že bude lid spokojen, bude-li jeh</w:t>
      </w:r>
      <w:r>
        <w:rPr>
          <w:b/>
          <w:bCs/>
          <w:sz w:val="14"/>
          <w:szCs w:val="14"/>
        </w:rPr>
        <w:t>o po</w:t>
      </w:r>
      <w:r>
        <w:rPr>
          <w:b/>
          <w:bCs/>
          <w:sz w:val="14"/>
          <w:szCs w:val="14"/>
        </w:rPr>
        <w:softHyphen/>
        <w:t>jítkem pouhá společná příslušnost národní. Tento šik osmi milionů, který se tvoří, musí mít svou zvláštní náplň, aby něco kladného znamenal. Musí převzít du</w:t>
      </w:r>
      <w:r>
        <w:rPr>
          <w:b/>
          <w:bCs/>
          <w:sz w:val="14"/>
          <w:szCs w:val="14"/>
        </w:rPr>
        <w:softHyphen/>
        <w:t>chovní výraz své pravé podstaty. Musí stát za právem, které si vybudoval. Nesmí se bát — a mus</w:t>
      </w:r>
      <w:r>
        <w:rPr>
          <w:b/>
          <w:bCs/>
          <w:sz w:val="14"/>
          <w:szCs w:val="14"/>
        </w:rPr>
        <w:t>í umět mluvit pravdu.</w:t>
      </w:r>
    </w:p>
    <w:p w:rsidR="00500724" w:rsidRDefault="00F30FB8">
      <w:pPr>
        <w:pStyle w:val="Zkladntext40"/>
        <w:shd w:val="clear" w:color="auto" w:fill="auto"/>
        <w:spacing w:after="0" w:line="312" w:lineRule="auto"/>
        <w:ind w:firstLine="240"/>
        <w:rPr>
          <w:sz w:val="14"/>
          <w:szCs w:val="14"/>
        </w:rPr>
      </w:pPr>
      <w:r>
        <w:rPr>
          <w:b/>
          <w:bCs/>
          <w:sz w:val="14"/>
          <w:szCs w:val="14"/>
        </w:rPr>
        <w:t>Nechceme se vracet k minulosti, ale chceme si udržet svůj tradiční výraz. Pro Němce je samozřejmé, že si to přejeme. Bylo by však dobře, aby v nové jednotě ná</w:t>
      </w:r>
      <w:r>
        <w:rPr>
          <w:b/>
          <w:bCs/>
          <w:sz w:val="14"/>
          <w:szCs w:val="14"/>
        </w:rPr>
        <w:softHyphen/>
        <w:t>roda si to přál i každý Čech. Máme právo na svou vlast</w:t>
      </w:r>
      <w:r>
        <w:rPr>
          <w:b/>
          <w:bCs/>
          <w:sz w:val="14"/>
          <w:szCs w:val="14"/>
        </w:rPr>
        <w:softHyphen/>
        <w:t>ní kulturu, máme prá</w:t>
      </w:r>
      <w:r>
        <w:rPr>
          <w:b/>
          <w:bCs/>
          <w:sz w:val="14"/>
          <w:szCs w:val="14"/>
        </w:rPr>
        <w:t>vo milovat lidi, kteří tu kulturu stvořili, máme právo na vlastní pojmy svobody, cti a práce. Máme právo na vysokou sociální úroveň, kterou náš lid měl, na přístup českého člověka k českým ško</w:t>
      </w:r>
      <w:r>
        <w:rPr>
          <w:b/>
          <w:bCs/>
          <w:sz w:val="14"/>
          <w:szCs w:val="14"/>
        </w:rPr>
        <w:softHyphen/>
        <w:t>lám. Po staletí usiluje český národ právě o toto. Udá</w:t>
      </w:r>
      <w:r>
        <w:rPr>
          <w:b/>
          <w:bCs/>
          <w:sz w:val="14"/>
          <w:szCs w:val="14"/>
        </w:rPr>
        <w:softHyphen/>
        <w:t>losti pos</w:t>
      </w:r>
      <w:r>
        <w:rPr>
          <w:b/>
          <w:bCs/>
          <w:sz w:val="14"/>
          <w:szCs w:val="14"/>
        </w:rPr>
        <w:t>ledního roku nám velmi názorně ukázaly, že je — v důsledku zeměpisné polohy této země — marné, uskutečňovat tento sen, aniž bychom brali Němce na potaz. Af tak či onak, žijeme vedle sebe a jakákoli poli</w:t>
      </w:r>
      <w:r>
        <w:rPr>
          <w:b/>
          <w:bCs/>
          <w:sz w:val="14"/>
          <w:szCs w:val="14"/>
        </w:rPr>
        <w:softHyphen/>
        <w:t>tika, která mhouří oči před touto skutečností, je pol</w:t>
      </w:r>
      <w:r>
        <w:rPr>
          <w:b/>
          <w:bCs/>
          <w:sz w:val="14"/>
          <w:szCs w:val="14"/>
        </w:rPr>
        <w:t>itika nereální. Němci jsou lidé, kteří dovedli vždycky znovu vybudovat stát silný a mocný. Za podmínek těžších, než měl kdokoli jiný, přemohli překážky horší, než druzí. Musíme vždycky počítat s tímto sousedem, jehož vůle k moci je větší, než jakýkoli poci</w:t>
      </w:r>
      <w:r>
        <w:rPr>
          <w:b/>
          <w:bCs/>
          <w:sz w:val="14"/>
          <w:szCs w:val="14"/>
        </w:rPr>
        <w:t>t jiný. Zůstat v tomto pyšném a sebevědomém státě svobodnými a dob</w:t>
      </w:r>
      <w:r>
        <w:rPr>
          <w:b/>
          <w:bCs/>
          <w:sz w:val="14"/>
          <w:szCs w:val="14"/>
        </w:rPr>
        <w:softHyphen/>
        <w:t>rými Čechy, to je naše úloha.</w:t>
      </w:r>
    </w:p>
    <w:p w:rsidR="00500724" w:rsidRDefault="00F30FB8">
      <w:pPr>
        <w:pStyle w:val="Zkladntext40"/>
        <w:shd w:val="clear" w:color="auto" w:fill="auto"/>
        <w:spacing w:line="290" w:lineRule="auto"/>
        <w:jc w:val="center"/>
        <w:rPr>
          <w:sz w:val="14"/>
          <w:szCs w:val="14"/>
        </w:rPr>
      </w:pPr>
      <w:r>
        <w:rPr>
          <w:b/>
          <w:bCs/>
          <w:sz w:val="14"/>
          <w:szCs w:val="14"/>
        </w:rPr>
        <w:t>•</w:t>
      </w:r>
    </w:p>
    <w:p w:rsidR="00500724" w:rsidRDefault="00F30FB8">
      <w:pPr>
        <w:pStyle w:val="Zkladntext40"/>
        <w:shd w:val="clear" w:color="auto" w:fill="auto"/>
        <w:spacing w:after="340" w:line="290" w:lineRule="auto"/>
        <w:ind w:firstLine="240"/>
        <w:rPr>
          <w:sz w:val="14"/>
          <w:szCs w:val="14"/>
        </w:rPr>
      </w:pPr>
      <w:r>
        <w:rPr>
          <w:b/>
          <w:bCs/>
          <w:sz w:val="14"/>
          <w:szCs w:val="14"/>
        </w:rPr>
        <w:t xml:space="preserve">Úloha nemalá. I když dnešním Němcům věřím, že úcta k cizí národnosti je jim právě tak vlastní, jako úcta k národnosti své, mají věci vlastní logiku a váhu a </w:t>
      </w:r>
      <w:r>
        <w:rPr>
          <w:b/>
          <w:bCs/>
          <w:sz w:val="14"/>
          <w:szCs w:val="14"/>
        </w:rPr>
        <w:t>vy</w:t>
      </w:r>
      <w:r>
        <w:rPr>
          <w:b/>
          <w:bCs/>
          <w:sz w:val="14"/>
          <w:szCs w:val="14"/>
        </w:rPr>
        <w:softHyphen/>
        <w:t>vinují se někdy podle jakýchsi zákonů tíže víc, než po</w:t>
      </w:r>
      <w:r>
        <w:rPr>
          <w:b/>
          <w:bCs/>
          <w:sz w:val="14"/>
          <w:szCs w:val="14"/>
        </w:rPr>
        <w:softHyphen/>
        <w:t>dle lidské vůle. Podstatou věci velké je, aby tísnila věc malou. Velký strom zastíní stromeček a velká hora vrhá stín na kopečky. Aniž by chtěli, vrhají dnes Němci stín na maličký národ ve svém stře</w:t>
      </w:r>
      <w:r>
        <w:rPr>
          <w:b/>
          <w:bCs/>
          <w:sz w:val="14"/>
          <w:szCs w:val="14"/>
        </w:rPr>
        <w:t>du; to není jejich vina, to je zeměpisná skutečnost. Podržet a znát své právo, pěstovat drobný stromek s odlišným listím v lese mohut</w:t>
      </w:r>
      <w:r>
        <w:rPr>
          <w:b/>
          <w:bCs/>
          <w:sz w:val="14"/>
          <w:szCs w:val="14"/>
        </w:rPr>
        <w:softHyphen/>
        <w:t>ných kmenů, prosvítit stín velkého národa světlem vlast</w:t>
      </w:r>
      <w:r>
        <w:rPr>
          <w:b/>
          <w:bCs/>
          <w:sz w:val="14"/>
          <w:szCs w:val="14"/>
        </w:rPr>
        <w:softHyphen/>
        <w:t>ního výrazu, není tak snadné. K tomu je třeba pevných, tvrdých lid</w:t>
      </w:r>
      <w:r>
        <w:rPr>
          <w:b/>
          <w:bCs/>
          <w:sz w:val="14"/>
          <w:szCs w:val="14"/>
        </w:rPr>
        <w:t>í, ochotných vzdát se všelijakého pohodlí. K tomu je třeba důkladné a uvědomělé práce. Přede</w:t>
      </w:r>
      <w:r>
        <w:rPr>
          <w:b/>
          <w:bCs/>
          <w:sz w:val="14"/>
          <w:szCs w:val="14"/>
        </w:rPr>
        <w:softHyphen/>
        <w:t>vším solidarity s českým lidem, který si zaslouží, aby nezůstával sám a abychom tu všichni zůstali s ním. Především lásky k tomuto lidu, v jehož každé cha</w:t>
      </w:r>
      <w:r>
        <w:rPr>
          <w:b/>
          <w:bCs/>
          <w:sz w:val="14"/>
          <w:szCs w:val="14"/>
        </w:rPr>
        <w:softHyphen/>
        <w:t>lupě nal</w:t>
      </w:r>
      <w:r>
        <w:rPr>
          <w:b/>
          <w:bCs/>
          <w:sz w:val="14"/>
          <w:szCs w:val="14"/>
        </w:rPr>
        <w:t>eznete vyjádřený výraz české duchovní bytosti. Především pevné vůle k myšlence a spravedlnosti. Především osobní statečnosti trvat na tom, co je moje právo a neskládat je z pilnosti, jak se bohužel často u nás děje. Především osobní poctivosti a sluš</w:t>
      </w:r>
      <w:r>
        <w:rPr>
          <w:b/>
          <w:bCs/>
          <w:sz w:val="14"/>
          <w:szCs w:val="14"/>
        </w:rPr>
        <w:softHyphen/>
        <w:t>nosti</w:t>
      </w:r>
      <w:r>
        <w:rPr>
          <w:b/>
          <w:bCs/>
          <w:sz w:val="14"/>
          <w:szCs w:val="14"/>
        </w:rPr>
        <w:t>, která spočívá v ostychu špinit druhého a hanobit — a i to se bohužel často děje. To všechno dohromady teprve — znamená být dobrým Čechem.</w:t>
      </w:r>
    </w:p>
    <w:p w:rsidR="00500724" w:rsidRDefault="00F30FB8">
      <w:pPr>
        <w:pStyle w:val="Zkladntext40"/>
        <w:shd w:val="clear" w:color="auto" w:fill="auto"/>
        <w:spacing w:after="240" w:line="276" w:lineRule="auto"/>
        <w:ind w:firstLine="240"/>
        <w:rPr>
          <w:sz w:val="14"/>
          <w:szCs w:val="14"/>
        </w:rPr>
      </w:pPr>
      <w:r>
        <w:rPr>
          <w:b/>
          <w:bCs/>
          <w:sz w:val="14"/>
          <w:szCs w:val="14"/>
        </w:rPr>
        <w:t>Vytvoření jedné politické strany bylo politickou nut</w:t>
      </w:r>
      <w:r>
        <w:rPr>
          <w:b/>
          <w:bCs/>
          <w:sz w:val="14"/>
          <w:szCs w:val="14"/>
        </w:rPr>
        <w:softHyphen/>
        <w:t>ností. Dáti této politické nutnosti kladný úkol: to je věcí nás</w:t>
      </w:r>
      <w:r>
        <w:rPr>
          <w:b/>
          <w:bCs/>
          <w:sz w:val="14"/>
          <w:szCs w:val="14"/>
        </w:rPr>
        <w:t xml:space="preserve"> všech. Souruěiti je krásné slovo. Ale souruěiti, že jsme všichni Češi, je málo. Je třeba souruěiti, že jsme dobří Češi.</w:t>
      </w:r>
    </w:p>
    <w:p w:rsidR="00500724" w:rsidRDefault="00F30FB8">
      <w:pPr>
        <w:pStyle w:val="Zkladntext40"/>
        <w:shd w:val="clear" w:color="auto" w:fill="auto"/>
        <w:spacing w:after="0" w:line="276" w:lineRule="auto"/>
        <w:rPr>
          <w:sz w:val="14"/>
          <w:szCs w:val="14"/>
        </w:rPr>
      </w:pPr>
      <w:r>
        <w:rPr>
          <w:b/>
          <w:bCs/>
          <w:sz w:val="14"/>
          <w:szCs w:val="14"/>
        </w:rPr>
        <w:t>Z. S.</w:t>
      </w:r>
    </w:p>
    <w:p w:rsidR="00500724" w:rsidRDefault="00F30FB8">
      <w:pPr>
        <w:pStyle w:val="Nadpis100"/>
        <w:shd w:val="clear" w:color="auto" w:fill="auto"/>
        <w:spacing w:after="100" w:line="221" w:lineRule="auto"/>
      </w:pPr>
      <w:bookmarkStart w:id="477" w:name="bookmark476"/>
      <w:r>
        <w:t>Co se událo od 15. března</w:t>
      </w:r>
      <w:bookmarkEnd w:id="477"/>
    </w:p>
    <w:p w:rsidR="00500724" w:rsidRDefault="00F30FB8">
      <w:pPr>
        <w:pStyle w:val="Zkladntext20"/>
        <w:shd w:val="clear" w:color="auto" w:fill="auto"/>
      </w:pPr>
      <w:r>
        <w:t xml:space="preserve">Když říšské vojsko 15. března obsadilo Čechy </w:t>
      </w:r>
      <w:r>
        <w:rPr>
          <w:b/>
          <w:bCs/>
        </w:rPr>
        <w:t xml:space="preserve">a </w:t>
      </w:r>
      <w:r>
        <w:t xml:space="preserve">Moravu, vyšla v pařížském Le </w:t>
      </w:r>
      <w:r>
        <w:rPr>
          <w:lang w:val="en-US" w:eastAsia="en-US" w:bidi="en-US"/>
        </w:rPr>
        <w:t xml:space="preserve">Temps </w:t>
      </w:r>
      <w:r>
        <w:t xml:space="preserve">poznámka, v níž se </w:t>
      </w:r>
      <w:r>
        <w:t>pravilo, že mezinárodní záruky se nevztahují na stát, který se sám rozpadl a který se úplně podro</w:t>
      </w:r>
      <w:r>
        <w:softHyphen/>
        <w:t xml:space="preserve">bil. Téhož dne odpoledne podal ministerský předseda </w:t>
      </w:r>
      <w:r>
        <w:rPr>
          <w:lang w:val="en-US" w:eastAsia="en-US" w:bidi="en-US"/>
        </w:rPr>
        <w:t xml:space="preserve">Chamberlain </w:t>
      </w:r>
      <w:r>
        <w:t>v dolní sněmovně prohlášení, v němž shrnul události od 10. března, zmínil se o vý</w:t>
      </w:r>
      <w:r>
        <w:softHyphen/>
        <w:t>roku ministr</w:t>
      </w:r>
      <w:r>
        <w:t>a Inskipa ze dne 4. října 1938, že Velká Britanie se cítí morálně vázána svou slíbenou garan</w:t>
      </w:r>
      <w:r>
        <w:softHyphen/>
        <w:t>cií, a řekl, že prohlášením nezávislosti Slovenska se změnily okolnosti; proto se britská vláda už necítí vá</w:t>
      </w:r>
      <w:r>
        <w:softHyphen/>
        <w:t xml:space="preserve">zána svým slibem. </w:t>
      </w:r>
      <w:r>
        <w:rPr>
          <w:lang w:val="en-US" w:eastAsia="en-US" w:bidi="en-US"/>
        </w:rPr>
        <w:t xml:space="preserve">Chamberlain </w:t>
      </w:r>
      <w:r>
        <w:t>připojil, že britská' vl</w:t>
      </w:r>
      <w:r>
        <w:t>áda lituje toho, co se stalo, a že to otřáslo mezi</w:t>
      </w:r>
      <w:r>
        <w:softHyphen/>
        <w:t>národní důvěrou. Polská vláda uznala téhož dne nový slovenský stát. Sovětský velvyslanec v Londýně pro</w:t>
      </w:r>
      <w:r>
        <w:softHyphen/>
        <w:t>hlásil, že mezi Britanií a Sovětským Svazem není ni</w:t>
      </w:r>
      <w:r>
        <w:softHyphen/>
        <w:t>kde ve světě sporných zájmů a že si obě země hospo</w:t>
      </w:r>
      <w:r>
        <w:softHyphen/>
        <w:t>dářsky nikde nekonkurují; že proto očekává rozšíření vzájemného obchodu.</w:t>
      </w:r>
    </w:p>
    <w:p w:rsidR="00500724" w:rsidRDefault="00F30FB8">
      <w:pPr>
        <w:pStyle w:val="Zkladntext40"/>
        <w:shd w:val="clear" w:color="auto" w:fill="auto"/>
        <w:spacing w:line="276" w:lineRule="auto"/>
        <w:jc w:val="center"/>
        <w:rPr>
          <w:sz w:val="14"/>
          <w:szCs w:val="14"/>
        </w:rPr>
      </w:pPr>
      <w:r>
        <w:rPr>
          <w:b/>
          <w:bCs/>
          <w:sz w:val="14"/>
          <w:szCs w:val="14"/>
        </w:rPr>
        <w:t>•</w:t>
      </w:r>
    </w:p>
    <w:p w:rsidR="00500724" w:rsidRDefault="00F30FB8">
      <w:pPr>
        <w:pStyle w:val="Zkladntext20"/>
        <w:shd w:val="clear" w:color="auto" w:fill="auto"/>
        <w:spacing w:line="202" w:lineRule="auto"/>
        <w:sectPr w:rsidR="00500724">
          <w:footnotePr>
            <w:numFmt w:val="chicago"/>
            <w:numRestart w:val="eachPage"/>
          </w:footnotePr>
          <w:type w:val="continuous"/>
          <w:pgSz w:w="11909" w:h="16834"/>
          <w:pgMar w:top="1068" w:right="803" w:bottom="547" w:left="609" w:header="0" w:footer="3" w:gutter="0"/>
          <w:cols w:num="2" w:space="131"/>
          <w:noEndnote/>
          <w:docGrid w:linePitch="360"/>
        </w:sectPr>
      </w:pPr>
      <w:r>
        <w:t xml:space="preserve">Dne 16. března podepsal Vůdce a říšský kancléř na pražském Hradě výnos o zřízení protektorátu nad Čechami a Moravou, jejž ministr </w:t>
      </w:r>
      <w:r>
        <w:rPr>
          <w:lang w:val="en-US" w:eastAsia="en-US" w:bidi="en-US"/>
        </w:rPr>
        <w:t xml:space="preserve">Ribbentrop </w:t>
      </w:r>
      <w:r>
        <w:t>pře</w:t>
      </w:r>
      <w:r>
        <w:softHyphen/>
        <w:t xml:space="preserve">četl </w:t>
      </w:r>
      <w:r>
        <w:t>odpoledne do rozhlasu. Generál Blaskowitz na-</w:t>
      </w:r>
    </w:p>
    <w:p w:rsidR="00500724" w:rsidRDefault="00500724">
      <w:pPr>
        <w:spacing w:line="240" w:lineRule="exact"/>
        <w:rPr>
          <w:sz w:val="19"/>
          <w:szCs w:val="19"/>
        </w:rPr>
      </w:pPr>
    </w:p>
    <w:p w:rsidR="00500724" w:rsidRDefault="00500724">
      <w:pPr>
        <w:spacing w:before="75" w:after="75" w:line="240" w:lineRule="exact"/>
        <w:rPr>
          <w:sz w:val="19"/>
          <w:szCs w:val="19"/>
        </w:rPr>
      </w:pPr>
    </w:p>
    <w:p w:rsidR="00500724" w:rsidRDefault="00500724">
      <w:pPr>
        <w:spacing w:line="14" w:lineRule="exact"/>
        <w:sectPr w:rsidR="00500724">
          <w:footnotePr>
            <w:numFmt w:val="chicago"/>
            <w:numRestart w:val="eachPage"/>
          </w:footnotePr>
          <w:pgSz w:w="11909" w:h="16834"/>
          <w:pgMar w:top="1471" w:right="0" w:bottom="973" w:left="0" w:header="0" w:footer="3" w:gutter="0"/>
          <w:cols w:space="720"/>
          <w:noEndnote/>
          <w:docGrid w:linePitch="360"/>
        </w:sectPr>
      </w:pPr>
    </w:p>
    <w:p w:rsidR="00500724" w:rsidRDefault="00F30FB8">
      <w:pPr>
        <w:pStyle w:val="Zkladntext20"/>
        <w:shd w:val="clear" w:color="auto" w:fill="auto"/>
        <w:spacing w:line="202" w:lineRule="auto"/>
        <w:ind w:firstLine="0"/>
      </w:pPr>
      <w:r>
        <w:t>yštívil v Praze českou vládu a řekl mimo jiné, že chápe dnešní postavení Cechů. Beranova vláda byla ve své funkci potvrzena říšskými vojenskými úřady. Maďar</w:t>
      </w:r>
      <w:r>
        <w:softHyphen/>
        <w:t>ská vláda vyhlásila přip</w:t>
      </w:r>
      <w:r>
        <w:t xml:space="preserve">ojení KarpatskéUkra- </w:t>
      </w:r>
      <w:r>
        <w:rPr>
          <w:b/>
          <w:bCs/>
        </w:rPr>
        <w:t xml:space="preserve">3 </w:t>
      </w:r>
      <w:r>
        <w:t>i n y k Maďarsku. »Giornale d’Italia« napsal, že ať se to zdá jakkoli podivné, shoduje se nynější revise se zásadami politického sebeurčení a hospodářské účel</w:t>
      </w:r>
      <w:r>
        <w:softHyphen/>
        <w:t>nosti. Vološin překročil rumunské hranice a žádal Rumunsko, aby anektovalo</w:t>
      </w:r>
      <w:r>
        <w:t xml:space="preserve"> Karpatskou Ukrajinu.</w:t>
      </w:r>
    </w:p>
    <w:p w:rsidR="00500724" w:rsidRDefault="00F30FB8">
      <w:pPr>
        <w:pStyle w:val="Zkladntext20"/>
        <w:shd w:val="clear" w:color="auto" w:fill="auto"/>
        <w:spacing w:line="202" w:lineRule="auto"/>
        <w:ind w:firstLine="0"/>
        <w:jc w:val="center"/>
      </w:pPr>
      <w:r>
        <w:t>•</w:t>
      </w:r>
    </w:p>
    <w:p w:rsidR="00500724" w:rsidRDefault="00F30FB8">
      <w:pPr>
        <w:pStyle w:val="Zkladntext20"/>
        <w:numPr>
          <w:ilvl w:val="0"/>
          <w:numId w:val="50"/>
        </w:numPr>
        <w:shd w:val="clear" w:color="auto" w:fill="auto"/>
        <w:tabs>
          <w:tab w:val="left" w:pos="634"/>
        </w:tabs>
        <w:spacing w:line="202" w:lineRule="auto"/>
        <w:ind w:firstLine="260"/>
      </w:pPr>
      <w:r>
        <w:t>března oznámil britský velvyslanec zahranič</w:t>
      </w:r>
      <w:r>
        <w:softHyphen/>
        <w:t xml:space="preserve">nímu úřadu v Berlíně, že byl povolán do Londýna </w:t>
      </w:r>
      <w:r>
        <w:rPr>
          <w:b/>
          <w:bCs/>
        </w:rPr>
        <w:t xml:space="preserve">k </w:t>
      </w:r>
      <w:r>
        <w:t>referátu. Bývalý podkarpatský ministr Révay při</w:t>
      </w:r>
      <w:r>
        <w:softHyphen/>
        <w:t>jel do Berlína protestovat proti připojení Karpatské Ukrajiny k Maďarsku. Státní podtajemn</w:t>
      </w:r>
      <w:r>
        <w:t xml:space="preserve">ík Spojených Států </w:t>
      </w:r>
      <w:r>
        <w:rPr>
          <w:lang w:val="en-US" w:eastAsia="en-US" w:bidi="en-US"/>
        </w:rPr>
        <w:t xml:space="preserve">Summer Welles </w:t>
      </w:r>
      <w:r>
        <w:t>mluvil o ^dočasném zá- niku« Cesko-Slovenska. President Roosevelt pro</w:t>
      </w:r>
      <w:r>
        <w:softHyphen/>
        <w:t xml:space="preserve">hlásil na tiskové konferenci, že pro evropské události by bylo třeba revidovat neutralitní zákon. Vláda Spojených Států nařídila, aby zboží </w:t>
      </w:r>
      <w:r>
        <w:rPr>
          <w:b/>
          <w:bCs/>
        </w:rPr>
        <w:t xml:space="preserve">z </w:t>
      </w:r>
      <w:r>
        <w:t>Cech a Mora</w:t>
      </w:r>
      <w:r>
        <w:t xml:space="preserve">vy podléhalo týmž clům jako zboží </w:t>
      </w:r>
      <w:r>
        <w:rPr>
          <w:b/>
          <w:bCs/>
        </w:rPr>
        <w:t xml:space="preserve">z </w:t>
      </w:r>
      <w:r>
        <w:t>ostat</w:t>
      </w:r>
      <w:r>
        <w:softHyphen/>
        <w:t xml:space="preserve">ního Německa. Ministerský předseda </w:t>
      </w:r>
      <w:r>
        <w:rPr>
          <w:lang w:val="en-US" w:eastAsia="en-US" w:bidi="en-US"/>
        </w:rPr>
        <w:t xml:space="preserve">Chamber- lain </w:t>
      </w:r>
      <w:r>
        <w:t>mluvil večer v Birminghamu a dovozoval, že přičlenění Cech a Moravy k Říši odporuje mnichov</w:t>
      </w:r>
      <w:r>
        <w:softHyphen/>
        <w:t>ské dohodě, nadhodil otázku, zdali je to poslední krok Německa v tomto sm</w:t>
      </w:r>
      <w:r>
        <w:t>ěru, a prohlásil, že Anglie mi</w:t>
      </w:r>
      <w:r>
        <w:softHyphen/>
        <w:t>luje mír, ale ještě více svobodu.</w:t>
      </w:r>
    </w:p>
    <w:p w:rsidR="00500724" w:rsidRDefault="00F30FB8">
      <w:pPr>
        <w:pStyle w:val="Zkladntext20"/>
        <w:shd w:val="clear" w:color="auto" w:fill="auto"/>
        <w:spacing w:line="202" w:lineRule="auto"/>
        <w:ind w:firstLine="0"/>
        <w:jc w:val="center"/>
      </w:pPr>
      <w:r>
        <w:t>•</w:t>
      </w:r>
    </w:p>
    <w:p w:rsidR="00500724" w:rsidRDefault="00F30FB8">
      <w:pPr>
        <w:pStyle w:val="Zkladntext20"/>
        <w:numPr>
          <w:ilvl w:val="0"/>
          <w:numId w:val="50"/>
        </w:numPr>
        <w:shd w:val="clear" w:color="auto" w:fill="auto"/>
        <w:tabs>
          <w:tab w:val="left" w:pos="620"/>
        </w:tabs>
        <w:ind w:firstLine="260"/>
      </w:pPr>
      <w:r>
        <w:t xml:space="preserve">března byl svobodný pán N e u r a t h jmenován protektorem a K. H. Frank státním tajemníkem. </w:t>
      </w:r>
      <w:r>
        <w:rPr>
          <w:b/>
          <w:bCs/>
        </w:rPr>
        <w:t xml:space="preserve">V </w:t>
      </w:r>
      <w:r>
        <w:t xml:space="preserve">Berlíně byla uveřejněna úřední zpráva, podle níž Velká Britanie a Francie odevzdaly protestní </w:t>
      </w:r>
      <w:r>
        <w:t>noty proti německému zákroku. Podle téže zprávy bylo velvyslancům řečeno, že říšská vláda nemůže je</w:t>
      </w:r>
      <w:r>
        <w:softHyphen/>
        <w:t>jich noty přijmout, poněvadž nemají žádného po</w:t>
      </w:r>
      <w:r>
        <w:softHyphen/>
        <w:t>litického, morálního ani zákonného podkladu. »Vólkischer Beobachter« poznamenal, že žádný právní ani mravní d</w:t>
      </w:r>
      <w:r>
        <w:t>ůvod nemůže nutiti Německo, aby dále uznávalo britské světové zájmy podle námořní dohody s Velkou Britanií, jestliže Britanie odmítá uznávati omezené zájmy německé a zasahuje do oblasti, kde Britové nikdy neměli ani nebudou míti co pohledávat. Podobné noty</w:t>
      </w:r>
      <w:r>
        <w:t xml:space="preserve"> jako Francie a Anglie poslaly Sovětský Svaz 19. března a Spojené Státy</w:t>
      </w:r>
    </w:p>
    <w:p w:rsidR="00500724" w:rsidRDefault="00F30FB8">
      <w:pPr>
        <w:pStyle w:val="Zkladntext20"/>
        <w:numPr>
          <w:ilvl w:val="0"/>
          <w:numId w:val="56"/>
        </w:numPr>
        <w:shd w:val="clear" w:color="auto" w:fill="auto"/>
        <w:tabs>
          <w:tab w:val="left" w:pos="409"/>
          <w:tab w:val="left" w:pos="562"/>
        </w:tabs>
        <w:ind w:firstLine="0"/>
      </w:pPr>
      <w:r>
        <w:t>března.</w:t>
      </w:r>
    </w:p>
    <w:p w:rsidR="00500724" w:rsidRDefault="00F30FB8">
      <w:pPr>
        <w:pStyle w:val="Zkladntext20"/>
        <w:shd w:val="clear" w:color="auto" w:fill="auto"/>
        <w:spacing w:after="60" w:line="180" w:lineRule="auto"/>
        <w:ind w:firstLine="0"/>
        <w:jc w:val="center"/>
      </w:pPr>
      <w:r>
        <w:t>•</w:t>
      </w:r>
    </w:p>
    <w:p w:rsidR="00500724" w:rsidRDefault="00F30FB8">
      <w:pPr>
        <w:pStyle w:val="Zkladntext20"/>
        <w:shd w:val="clear" w:color="auto" w:fill="auto"/>
        <w:ind w:firstLine="260"/>
      </w:pPr>
      <w:r>
        <w:t>Vůdce a říšský kancléř se vrátil 19. března ze své cesty do Cech a na Moravu do Berlína, kde byl trium</w:t>
      </w:r>
      <w:r>
        <w:softHyphen/>
        <w:t>fálně přijat. Britský velvyslanec v Berlíně přijel do Londýna a německý</w:t>
      </w:r>
      <w:r>
        <w:t xml:space="preserve"> velvyslanec v Londýně opustil Anglii.</w:t>
      </w:r>
    </w:p>
    <w:p w:rsidR="00500724" w:rsidRDefault="00F30FB8">
      <w:pPr>
        <w:pStyle w:val="Zkladntext20"/>
        <w:shd w:val="clear" w:color="auto" w:fill="auto"/>
        <w:ind w:firstLine="0"/>
        <w:jc w:val="center"/>
      </w:pPr>
      <w:r>
        <w:t>•</w:t>
      </w:r>
    </w:p>
    <w:p w:rsidR="00500724" w:rsidRDefault="00F30FB8">
      <w:pPr>
        <w:pStyle w:val="Zkladntext20"/>
        <w:shd w:val="clear" w:color="auto" w:fill="auto"/>
        <w:ind w:firstLine="260"/>
      </w:pPr>
      <w:r>
        <w:t>20. března byl německý velvyslanec v Paříži po</w:t>
      </w:r>
      <w:r>
        <w:softHyphen/>
        <w:t>volán k referátu do Berlína. Ve Francii byl vyhlášen zmocňovací zákon pro Daladierovu vládu. »Deut- sche diplomatisch-politische Korrespondenz« uve</w:t>
      </w:r>
      <w:r>
        <w:softHyphen/>
        <w:t xml:space="preserve">řejnila prohlášení, </w:t>
      </w:r>
      <w:r>
        <w:t>podle něhož odvolání německých vel</w:t>
      </w:r>
      <w:r>
        <w:softHyphen/>
        <w:t>vyslanců z Londýna a Paříže nebylo jen formalitou, nýbrž projevem německé nedůvěry k postupu Velké Britanie a Francie. Prohlášení také podotklo, že Ně</w:t>
      </w:r>
      <w:r>
        <w:softHyphen/>
        <w:t>mecko zakročilo v Cechách a na Moravě na žádost legální československé</w:t>
      </w:r>
      <w:r>
        <w:t xml:space="preserve"> vlády, aby ukončilo nesnesitel</w:t>
      </w:r>
      <w:r>
        <w:softHyphen/>
        <w:t xml:space="preserve">nou situaci. </w:t>
      </w:r>
      <w:r>
        <w:rPr>
          <w:lang w:val="en-US" w:eastAsia="en-US" w:bidi="en-US"/>
        </w:rPr>
        <w:t xml:space="preserve">Chamberlain </w:t>
      </w:r>
      <w:r>
        <w:t>mluvil v dolní sně</w:t>
      </w:r>
      <w:r>
        <w:softHyphen/>
        <w:t xml:space="preserve">movně a ohlásil, že britský zbrojní program bude revidován. Ministr </w:t>
      </w:r>
      <w:r>
        <w:rPr>
          <w:lang w:val="en-US" w:eastAsia="en-US" w:bidi="en-US"/>
        </w:rPr>
        <w:t xml:space="preserve">Halifax </w:t>
      </w:r>
      <w:r>
        <w:t>měl prohlášení v horní sněmovně, kde řekl, že prý Německo porušilo sebe- určovací právo zřízením protektorátu; dále nadhodil otázku, zdali Německo zahajuje nyní novou politiku na základě nových principů, a konečně tvrdil, že »ně- mecký lid jednou možná bud</w:t>
      </w:r>
      <w:r>
        <w:t xml:space="preserve">e litovat činu, který byl jeho jménem namířen.« Francouzský president </w:t>
      </w:r>
      <w:r>
        <w:rPr>
          <w:lang w:val="en-US" w:eastAsia="en-US" w:bidi="en-US"/>
        </w:rPr>
        <w:t xml:space="preserve">Lebrun </w:t>
      </w:r>
      <w:r>
        <w:t>vykonal ve dnech 21. až 24. března státní návštěvu v Londýně.</w:t>
      </w:r>
    </w:p>
    <w:p w:rsidR="00500724" w:rsidRDefault="00F30FB8">
      <w:pPr>
        <w:pStyle w:val="Zkladntext20"/>
        <w:shd w:val="clear" w:color="auto" w:fill="auto"/>
        <w:ind w:firstLine="0"/>
        <w:jc w:val="center"/>
      </w:pPr>
      <w:r>
        <w:t>•</w:t>
      </w:r>
    </w:p>
    <w:p w:rsidR="00500724" w:rsidRDefault="00F30FB8">
      <w:pPr>
        <w:pStyle w:val="Zkladntext20"/>
        <w:shd w:val="clear" w:color="auto" w:fill="auto"/>
      </w:pPr>
      <w:r>
        <w:t>Ve dnech 21. a 22. března pokračovaly Maďarsko a Rumunsko v povolávání záložníků. 23. března začaly přestřelky na h</w:t>
      </w:r>
      <w:r>
        <w:t>ranici slovensko-maďarské. Byla usta</w:t>
      </w:r>
      <w:r>
        <w:softHyphen/>
        <w:t>vena smíšená komise maďarsko-slovenská, která pro</w:t>
      </w:r>
      <w:r>
        <w:softHyphen/>
        <w:t>jednala nové hraniční požadavky maďarské. M a- ď a r s k u se pak dostalo územního pruhu na východ</w:t>
      </w:r>
      <w:r>
        <w:softHyphen/>
        <w:t>ním Slovensku s asi 70.000 obyvateli. 21. března bylo rozpuštěno pražs</w:t>
      </w:r>
      <w:r>
        <w:t>ké Národní shromáždění.</w:t>
      </w:r>
    </w:p>
    <w:p w:rsidR="00500724" w:rsidRDefault="00F30FB8">
      <w:pPr>
        <w:pStyle w:val="Zkladntext20"/>
        <w:shd w:val="clear" w:color="auto" w:fill="auto"/>
        <w:ind w:firstLine="0"/>
        <w:jc w:val="center"/>
      </w:pPr>
      <w:r>
        <w:t>•</w:t>
      </w:r>
    </w:p>
    <w:p w:rsidR="00500724" w:rsidRDefault="00F30FB8">
      <w:pPr>
        <w:pStyle w:val="Zkladntext20"/>
        <w:shd w:val="clear" w:color="auto" w:fill="auto"/>
      </w:pPr>
      <w:r>
        <w:t>Mezi Německem a Slovenskem byla 23. března ujednána smlouva na 25 let, podle níž se Německo ujalo ochrany slovenské nezávislosti a územní nedotknutelnosti. Smlouva opravňuje Ně</w:t>
      </w:r>
      <w:r>
        <w:softHyphen/>
        <w:t>mecko zřizovati vojenská opevnění v oblasti podél výc</w:t>
      </w:r>
      <w:r>
        <w:t>hodního svahu Malých Karpat, Bílých Karpat a Javorníků. Slovenská vláda se zavázala, že k tomu poskytne potřebné pozemky a že povolí volný dovoz zásob z Říše. Německé vojenské velení bude v těchto oblastech svrchované a Němci, pracující tam pro armádu, bud</w:t>
      </w:r>
      <w:r>
        <w:t>ou podléhat německému soudnictví. Slo</w:t>
      </w:r>
      <w:r>
        <w:softHyphen/>
        <w:t>vensko se dále zavázalo organisovat své vojsko v úzké dohodě s Německem a svou zahraniční politiku řídit v úzké shodě s německou vládou.</w:t>
      </w:r>
    </w:p>
    <w:p w:rsidR="00500724" w:rsidRDefault="00F30FB8">
      <w:pPr>
        <w:pStyle w:val="Zkladntext20"/>
        <w:shd w:val="clear" w:color="auto" w:fill="auto"/>
        <w:spacing w:line="202" w:lineRule="auto"/>
      </w:pPr>
      <w:r>
        <w:t>Téhož dne byla podepsána hospodářská smlouva německo-rumunská a Vůdce a říšský ka</w:t>
      </w:r>
      <w:r>
        <w:t xml:space="preserve">ncléř přijel na válečné lodi </w:t>
      </w:r>
      <w:r>
        <w:rPr>
          <w:lang w:val="en-US" w:eastAsia="en-US" w:bidi="en-US"/>
        </w:rPr>
        <w:t xml:space="preserve">Deutschland </w:t>
      </w:r>
      <w:r>
        <w:t>do M e m e 1 u. Jed</w:t>
      </w:r>
      <w:r>
        <w:softHyphen/>
        <w:t xml:space="preserve">nání o tomto dosud litevském území bylo zahájeno 20. března, kdy litevský zahraniční ministr přijel do Berlína. Smlouvu o odstupu území schválila litevská sněmovna 22. března. Státní podtajemník </w:t>
      </w:r>
      <w:r>
        <w:rPr>
          <w:lang w:val="en-US" w:eastAsia="en-US" w:bidi="en-US"/>
        </w:rPr>
        <w:t xml:space="preserve">Summer Welles </w:t>
      </w:r>
      <w:r>
        <w:t>dal ve Washingtoně prohlášení tisku, že Spo</w:t>
      </w:r>
      <w:r>
        <w:softHyphen/>
        <w:t>jené Státy neuznávají odstoupení Memelu. V Londýně prohlásil sir Samuel H o a r e, že prý Německo po</w:t>
      </w:r>
      <w:r>
        <w:softHyphen/>
        <w:t xml:space="preserve">rušilo další smlouvu. Ve Varšavě měl ministr </w:t>
      </w:r>
      <w:r>
        <w:rPr>
          <w:lang w:val="en-US" w:eastAsia="en-US" w:bidi="en-US"/>
        </w:rPr>
        <w:t xml:space="preserve">Beck </w:t>
      </w:r>
      <w:r>
        <w:t>rozmluvy s velvyslanci Francie, Německa, Spojen</w:t>
      </w:r>
      <w:r>
        <w:t>ých Států a s vyslanci Maďarska a Rumunska.</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Zatím se začala rozvíjeti diplomatická jednání, ve</w:t>
      </w:r>
      <w:r>
        <w:softHyphen/>
        <w:t>dená Anglií. Dne 18. března byla dotázána sovět</w:t>
      </w:r>
      <w:r>
        <w:softHyphen/>
        <w:t>ská vláda, co by učinila v případě útoku na Rumun</w:t>
      </w:r>
      <w:r>
        <w:softHyphen/>
        <w:t xml:space="preserve">sko. Komisař pro zahraniční věci </w:t>
      </w:r>
      <w:r>
        <w:rPr>
          <w:lang w:val="en-US" w:eastAsia="en-US" w:bidi="en-US"/>
        </w:rPr>
        <w:t xml:space="preserve">Litvinov </w:t>
      </w:r>
      <w:r>
        <w:t>na to odpověděl pod</w:t>
      </w:r>
      <w:r>
        <w:t>nětem, aby byla svolána mezinárodní konference do některého města v jihovýchodní Evro</w:t>
      </w:r>
      <w:r>
        <w:softHyphen/>
        <w:t>pě. Anglie považovala tento námět za předčasný. Rovněž Polsko a Rumunsko zaujaly zdrželivé stano</w:t>
      </w:r>
      <w:r>
        <w:softHyphen/>
        <w:t>visko. Britská vláda se pak obrátila na Francii, Pol</w:t>
      </w:r>
      <w:r>
        <w:softHyphen/>
        <w:t xml:space="preserve">sko a Sovětský Svaz </w:t>
      </w:r>
      <w:r>
        <w:t>s dotazem, co by říkaly společ</w:t>
      </w:r>
      <w:r>
        <w:softHyphen/>
        <w:t>nému prohlášení o chování jmenovaných států v pří</w:t>
      </w:r>
      <w:r>
        <w:softHyphen/>
        <w:t>padě útoku na některých z nich, a v němž by se za</w:t>
      </w:r>
      <w:r>
        <w:softHyphen/>
        <w:t>vázaly k vzájemným poradám ve chvíli nebezpečí. Podle zprávy z 22. března vyslovily Francie a Sovět</w:t>
      </w:r>
      <w:r>
        <w:softHyphen/>
        <w:t>ský Svaz ochotu k takovém</w:t>
      </w:r>
      <w:r>
        <w:t>u prohlášení, ale Polsko váhalo, pokud se mu nedostane nějaké určité záruky. Odvolávalo se na svůj vztah k Německu, vymezený smlouvou o neútočení z roku 1934. Dne 24. března však Polsko zahájilo částečnou mobilisaci a pol</w:t>
      </w:r>
      <w:r>
        <w:softHyphen/>
        <w:t>ský senát den nato odhlasoval něko</w:t>
      </w:r>
      <w:r>
        <w:t>lik zákonů o obraně státu. Orgán polské armády Polska Zbrojná prohlásil, že Polsko je »připraveno na válku i s nej</w:t>
      </w:r>
      <w:r>
        <w:softHyphen/>
        <w:t>silnějším odpůrcem«. Gazeta Polska k tomu 26. břez</w:t>
      </w:r>
      <w:r>
        <w:softHyphen/>
        <w:t xml:space="preserve">na napsala, že pouhá prohlášení nestačí, poněvadž polská politka je založena na realismu. </w:t>
      </w:r>
      <w:r>
        <w:t>Rumunský ministerský předseda se vyjádřil 27. března v tom smyslu, že Rumunsko, bude-li jeho územní celist</w:t>
      </w:r>
      <w:r>
        <w:softHyphen/>
        <w:t>vost ohrožena, bude bojovat, aniž se bude ohlížet na vyhlídky úspěchu.</w:t>
      </w:r>
    </w:p>
    <w:p w:rsidR="00500724" w:rsidRDefault="00F30FB8">
      <w:pPr>
        <w:pStyle w:val="Zkladntext20"/>
        <w:shd w:val="clear" w:color="auto" w:fill="auto"/>
        <w:spacing w:after="100" w:line="202" w:lineRule="auto"/>
        <w:ind w:firstLine="0"/>
        <w:jc w:val="center"/>
      </w:pPr>
      <w:r>
        <w:t>•</w:t>
      </w:r>
    </w:p>
    <w:p w:rsidR="00500724" w:rsidRDefault="00F30FB8">
      <w:pPr>
        <w:pStyle w:val="Zkladntext20"/>
        <w:shd w:val="clear" w:color="auto" w:fill="auto"/>
        <w:spacing w:after="40"/>
        <w:ind w:firstLine="260"/>
      </w:pPr>
      <w:r>
        <w:t xml:space="preserve">Den před tím, 26. března, pronesl </w:t>
      </w:r>
      <w:r>
        <w:rPr>
          <w:lang w:val="en-US" w:eastAsia="en-US" w:bidi="en-US"/>
        </w:rPr>
        <w:t xml:space="preserve">Mussolini </w:t>
      </w:r>
      <w:r>
        <w:t xml:space="preserve">v Římě řeč u příležitosti </w:t>
      </w:r>
      <w:r>
        <w:t>dvacátého výročí fašistického hnutí. Pravil v podstatě toto: Ačkoli považujeme trva</w:t>
      </w:r>
      <w:r>
        <w:softHyphen/>
        <w:t>lý mír za katastrofu, přece máme za to, že dlouhé údobí míru je nezbytné, má-li býti zachráněna evrop</w:t>
      </w:r>
      <w:r>
        <w:softHyphen/>
        <w:t>ská civilisace; ačkoli jsme byli pobízeni, neujmeme se však iniciativy</w:t>
      </w:r>
      <w:r>
        <w:t>, dokud nebudou uznána naše svato- svatá práva. Pokusy otřásti osou jsou dětinské. Po</w:t>
      </w:r>
      <w:r>
        <w:softHyphen/>
        <w:t>kud jde o někdejší Československo, prohlásil, že nikdo nemá práva hodit první kamenem, vezme-li se věc po stránce morální. Jestliže národ, který měl tolik mužů a tak nesm</w:t>
      </w:r>
      <w:r>
        <w:t>írné zásoby výzbroje, nebyl schopen ani gesta, pak byl více než zralý pro svůj osud. Utvoří-li se koalice proti autoritativním režimům, pak tyto režimy přejdou z defensivy k protiútoku, a to na všech stranách. Dřívější barikádu mezi Francií a Itálií lze už</w:t>
      </w:r>
      <w:r>
        <w:t xml:space="preserve"> považovati za dostatečně sníženou: Fran</w:t>
      </w:r>
      <w:r>
        <w:softHyphen/>
        <w:t>cova vojska vkročí brzy do Madridu. Italské poža</w:t>
      </w:r>
      <w:r>
        <w:softHyphen/>
        <w:t xml:space="preserve">davky vůči Francii jsou povahy koloniální: Tunis, Džibuti </w:t>
      </w:r>
      <w:r>
        <w:rPr>
          <w:lang w:val="en-US" w:eastAsia="en-US" w:bidi="en-US"/>
        </w:rPr>
        <w:t xml:space="preserve">a Suez. </w:t>
      </w:r>
      <w:r>
        <w:t>Středozemní moře je pro Itálii život</w:t>
      </w:r>
      <w:r>
        <w:softHyphen/>
        <w:t>ním prostorem, počítajíc v to i jeho záliv, moře Jader</w:t>
      </w:r>
      <w:r>
        <w:softHyphen/>
        <w:t>ské, kde</w:t>
      </w:r>
      <w:r>
        <w:t xml:space="preserve"> jsou italské zájmy v převaze, ačkoli se ne</w:t>
      </w:r>
      <w:r>
        <w:softHyphen/>
        <w:t>vylučují s tamními zájmy slovanskými. Hlavní věc je zbrojit. Běda bezbranným!</w:t>
      </w:r>
    </w:p>
    <w:p w:rsidR="00500724" w:rsidRDefault="00F30FB8">
      <w:pPr>
        <w:pStyle w:val="Zkladntext20"/>
        <w:shd w:val="clear" w:color="auto" w:fill="auto"/>
        <w:spacing w:line="202" w:lineRule="auto"/>
        <w:ind w:firstLine="260"/>
      </w:pPr>
      <w:r>
        <w:t>Na tuto řeč odpověděl 29. března Daladier roz</w:t>
      </w:r>
      <w:r>
        <w:softHyphen/>
        <w:t xml:space="preserve">hlasovým projevem, v němž řekl, že Francie neustoupí ani píď svého území a ani jedno ze </w:t>
      </w:r>
      <w:r>
        <w:t>svých práv. Bude-li jí válka vnucena nebo nabídnuta, vzchopí se Francie jediným rozmachem na obranu svobody. Daladier po</w:t>
      </w:r>
      <w:r>
        <w:softHyphen/>
        <w:t>přel, že nota ze 17. prosince, jíž Itálie vypověděla franko-italskou smlouvu ze 7. ledna 1935, obsahovala nějaké přesně vymezené italsk</w:t>
      </w:r>
      <w:r>
        <w:t>é požadavky, a oznámil, že francouzská vláda uveřejní italskou notu i fran</w:t>
      </w:r>
      <w:r>
        <w:softHyphen/>
        <w:t>couzskou odpověď na ni. O zřízení protektorátu Da</w:t>
      </w:r>
      <w:r>
        <w:softHyphen/>
        <w:t>ladier řekl, že obsazení Prahy zasadilo těžkou ránu smírčímu úsilí Francie.</w:t>
      </w:r>
    </w:p>
    <w:p w:rsidR="00500724" w:rsidRDefault="00F30FB8">
      <w:pPr>
        <w:pStyle w:val="Zkladntext20"/>
        <w:shd w:val="clear" w:color="auto" w:fill="auto"/>
        <w:spacing w:after="40" w:line="180" w:lineRule="auto"/>
        <w:ind w:firstLine="0"/>
        <w:jc w:val="center"/>
      </w:pPr>
      <w:r>
        <w:t>•</w:t>
      </w:r>
    </w:p>
    <w:p w:rsidR="00500724" w:rsidRDefault="00F30FB8">
      <w:pPr>
        <w:pStyle w:val="Zkladntext20"/>
        <w:shd w:val="clear" w:color="auto" w:fill="auto"/>
        <w:spacing w:after="80" w:line="202" w:lineRule="auto"/>
        <w:ind w:firstLine="260"/>
      </w:pPr>
      <w:r>
        <w:t>»Deutsche diplomatisch-politische Korrespondenz« uveř</w:t>
      </w:r>
      <w:r>
        <w:t>ejnila 28. března článek, v němž komentovala protiněmecké demonstrace v Polsku a při</w:t>
      </w:r>
      <w:r>
        <w:softHyphen/>
        <w:t>pomněla Polsku jeho zeměpisné postavení. Anglická vláda oznámila 29. března, že teritoriální armáda britská bude zdvojnásobena. Britská vláda měla 30. března dvě a 31. bře</w:t>
      </w:r>
      <w:r>
        <w:t xml:space="preserve">zna jednu pilnou schůzi. Téhož dne odpoledne oznámil </w:t>
      </w:r>
      <w:r>
        <w:rPr>
          <w:lang w:val="en-US" w:eastAsia="en-US" w:bidi="en-US"/>
        </w:rPr>
        <w:t xml:space="preserve">Chamberlain </w:t>
      </w:r>
      <w:r>
        <w:t>v dolní sněmovně, že se vláda rozhodla přispěti Polsku na pomoc všemi britskými silami v každém případě, který by Polsko považovalo za ohrožení své nezávislosti a je</w:t>
      </w:r>
      <w:r>
        <w:softHyphen/>
        <w:t>muž by se postavilo brann</w:t>
      </w:r>
      <w:r>
        <w:t>ou mocí na odpor. V de</w:t>
      </w:r>
      <w:r>
        <w:softHyphen/>
        <w:t xml:space="preserve">batě, která se o prohlášení ve sněmovně rozvinula v následujících dnech, odmítl </w:t>
      </w:r>
      <w:r>
        <w:rPr>
          <w:lang w:val="en-US" w:eastAsia="en-US" w:bidi="en-US"/>
        </w:rPr>
        <w:t xml:space="preserve">Chamberlain </w:t>
      </w:r>
      <w:r>
        <w:t>názor, že záruka Polsku znamená pokus o obklíčení Německa. Rumunsko podepsalo 31. března obchodní smlouvu</w:t>
      </w:r>
    </w:p>
    <w:p w:rsidR="00500724" w:rsidRDefault="00F30FB8">
      <w:pPr>
        <w:pStyle w:val="Zkladntext20"/>
        <w:shd w:val="clear" w:color="auto" w:fill="auto"/>
        <w:spacing w:line="204" w:lineRule="auto"/>
      </w:pPr>
      <w:r>
        <w:t>Ve Španělsku vstoupilo dne 28. břez</w:t>
      </w:r>
      <w:r>
        <w:t xml:space="preserve">na vojsko generála </w:t>
      </w:r>
      <w:r>
        <w:rPr>
          <w:lang w:val="en-US" w:eastAsia="en-US" w:bidi="en-US"/>
        </w:rPr>
        <w:t xml:space="preserve">Franca </w:t>
      </w:r>
      <w:r>
        <w:t>do Madridu a v následujících dnech postupně obsadilo zbývající části země. Dne 1. dubna prohlásila Francova vláda, že celé Španělsko je v její moci a že válka je skončena. Francouzský velvyslanec maršál Pétain jednal koncem března</w:t>
      </w:r>
      <w:r>
        <w:t xml:space="preserve"> s ministrem za</w:t>
      </w:r>
      <w:r>
        <w:softHyphen/>
        <w:t>hraničních věcí Jordanou v Burgosu. Francie se 26. března zavázala odevzdat Francovi několik kdysi re</w:t>
      </w:r>
      <w:r>
        <w:softHyphen/>
        <w:t>publikánských lodí, internovaných v Bizertě. 1. dubna uznaly Francovu vládu také Spojené Státy americké.</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Do Moskvy přijela 23. března br</w:t>
      </w:r>
      <w:r>
        <w:t>itskáobchod- n í m i s e, vedená ministrem Hudsonem, která potom jednala s Litvínovem, Potěmkinem a Mikojanem. Mlu</w:t>
      </w:r>
      <w:r>
        <w:softHyphen/>
        <w:t>vilo se při tom také o mezinárodní politice a v úřední moskevské zprávě z 28. března se pravilo, že byly zjištěny styčné body ve stanoviscích</w:t>
      </w:r>
      <w:r>
        <w:t xml:space="preserve"> obou vlád, pokud jde o zajištění míru. Bylo usneseno pokračovat v Lon</w:t>
      </w:r>
      <w:r>
        <w:softHyphen/>
        <w:t>dýně v jednání o novou obchodní smlouvu britsko- sovětskou. V Moskvě byl ukončen 2. dubna vleklý spor s Japonskem o rybolov dohodou, která prodloužila dřívější smlouvu až do prosince 19</w:t>
      </w:r>
      <w:r>
        <w:t>39.</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Jugoslávský ministerský předseda navštívil 2. dub</w:t>
      </w:r>
      <w:r>
        <w:softHyphen/>
        <w:t>na v Záhřebě chorvatského politika dr. Mačka a za</w:t>
      </w:r>
      <w:r>
        <w:softHyphen/>
        <w:t>hájil s ním jednání o úpravu chorvatského po</w:t>
      </w:r>
      <w:r>
        <w:softHyphen/>
        <w:t>stavení. Dr. Maček se před tím, 21. března, vy</w:t>
      </w:r>
      <w:r>
        <w:softHyphen/>
        <w:t>jádřil k zahraničním novinářům, že chorvatská otázka naléh</w:t>
      </w:r>
      <w:r>
        <w:t>avě potřebuje řešení, že Chorvaté chtějí zůstat v Jugoslávii, ale žádají autonomii.</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Polský oposiční politik Witoš, který žil až dotud v emigraci v Cechách, požádal 26. března o dovolení k návratu do Polska, podobně jako o dva dny později Korfanty. Minist</w:t>
      </w:r>
      <w:r>
        <w:t xml:space="preserve">r </w:t>
      </w:r>
      <w:r>
        <w:rPr>
          <w:lang w:val="en-US" w:eastAsia="en-US" w:bidi="en-US"/>
        </w:rPr>
        <w:t xml:space="preserve">Beck </w:t>
      </w:r>
      <w:r>
        <w:t>odjel 2. dubna do Londýna. Při jeho návštěvě byla jednostranná záruka britská pro Polsko změněna v záruku vzájemnou.</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Japonský ministerský předseda prohlásil 29. března k zástupcům tisku, že je blok států totalitních a blok států demokratických, že</w:t>
      </w:r>
      <w:r>
        <w:t xml:space="preserve"> však Japonsko není ani totalitní ani demokratické, pročež nestojí proti ani tomu ani onomu bloku. Dne 31. března anektovalo Japonsko Spratleyovy ostrovy, proti čemuž Francie následujícího dne protestovala.</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 xml:space="preserve">Ministr dr. Goebbels odjel 27. března do Pešti </w:t>
      </w:r>
      <w:r>
        <w:t xml:space="preserve">a Athén. Pokračoval pak v cestě do Kaira a na Rho- dos a 12. dubna dorazil do Istanbulu. Maršál Góring navštívil 9. dubna maršála </w:t>
      </w:r>
      <w:r>
        <w:rPr>
          <w:lang w:val="en-US" w:eastAsia="en-US" w:bidi="en-US"/>
        </w:rPr>
        <w:t xml:space="preserve">Baiba </w:t>
      </w:r>
      <w:r>
        <w:t>v Tripolisu a 12. dubna odjel z Tripolisu do Říma. Vůdceaříšský kancléř byl přítomen 1. dubna ve Wilhelmshavenu spuštění</w:t>
      </w:r>
      <w:r>
        <w:t xml:space="preserve"> nové bitevní lodi Tirpitz na vodu. Pronesl řeč, v níž se zabýval hlavně poměrem Německa k Vel</w:t>
      </w:r>
      <w:r>
        <w:softHyphen/>
        <w:t>ké Britanii. Prohlásil, že námořní smlouva s ní byla založena na touze, aby se Německo už nikdy nedostalo do války s Anglií. Není-li však už v Anglii této touhy,</w:t>
      </w:r>
      <w:r>
        <w:t xml:space="preserve"> pak i smlouva ztrácí důvod své další existence.</w:t>
      </w:r>
    </w:p>
    <w:p w:rsidR="00500724" w:rsidRDefault="00F30FB8">
      <w:pPr>
        <w:pStyle w:val="Zkladntext20"/>
        <w:shd w:val="clear" w:color="auto" w:fill="auto"/>
        <w:spacing w:line="206" w:lineRule="auto"/>
        <w:ind w:firstLine="0"/>
        <w:jc w:val="center"/>
      </w:pPr>
      <w:r>
        <w:t>•</w:t>
      </w:r>
    </w:p>
    <w:p w:rsidR="00500724" w:rsidRDefault="00F30FB8">
      <w:pPr>
        <w:pStyle w:val="Zkladntext20"/>
        <w:shd w:val="clear" w:color="auto" w:fill="auto"/>
        <w:spacing w:line="206" w:lineRule="auto"/>
      </w:pPr>
      <w:r>
        <w:t>President Hácha vyzval 2. dubna Cechy, aby vytvořili jednotnou stranu Národního souručenství, a 9. dubna byly uveřejněny organisační zásady této strany. Dne 5. dubna přijel do Prahy říšský protektor</w:t>
      </w:r>
    </w:p>
    <w:p w:rsidR="00500724" w:rsidRDefault="00F30FB8">
      <w:pPr>
        <w:pStyle w:val="Zkladntext20"/>
        <w:shd w:val="clear" w:color="auto" w:fill="auto"/>
        <w:spacing w:line="202" w:lineRule="auto"/>
      </w:pPr>
      <w:r>
        <w:t>Začátk</w:t>
      </w:r>
      <w:r>
        <w:t>em dubna se začaly v některých zahranič</w:t>
      </w:r>
      <w:r>
        <w:softHyphen/>
        <w:t>ních listech objevovati zprávy o Albánii. Italská vysílačka v Bari oznámila 4. dubna, že na žádost albánského krále jedná Itálie s Albánií o zesílení obranné aliance obou zemí a že italská vláda ne</w:t>
      </w:r>
      <w:r>
        <w:softHyphen/>
        <w:t>zamýšlí učiniti ni</w:t>
      </w:r>
      <w:r>
        <w:t>c proti nezávislosti a celistvosti Albánie. Téhož dne vydala albánská tisková kancelář zprávu, že pověsti o nějakém protektorátě v Albánii jsou nesprávné, poněvadž Albánie nedopustí, aby její nezávislost a celistvost byly porušeny. Den na to opustili Italo</w:t>
      </w:r>
      <w:r>
        <w:t>vé usedlí v Albánii zemi a italské válečné lodi je vzaly 6. dubna na palubu. Dne 7. dubna bylo vyloděno italské vojsko ve čtyřech albánských přísta</w:t>
      </w:r>
      <w:r>
        <w:softHyphen/>
        <w:t>vech. Albánský král a královna uprchli. 8. dubna obsadili Italové Tiranu. Albánský sněm nabídl 12. Hubna kor</w:t>
      </w:r>
      <w:r>
        <w:t xml:space="preserve">unu italskému králi, který ji 14. dubna přijal. Itálie dala 11. dubna ujištění Řecku, že bude respektovat jeho integritu. Maršál </w:t>
      </w:r>
      <w:r>
        <w:rPr>
          <w:lang w:val="en-US" w:eastAsia="en-US" w:bidi="en-US"/>
        </w:rPr>
        <w:t xml:space="preserve">Goring </w:t>
      </w:r>
      <w:r>
        <w:t xml:space="preserve">přijel 14. dubna do Říma a po dvoudenním pobytu odjel Ho Německa. Ministerský předseda </w:t>
      </w:r>
      <w:r>
        <w:rPr>
          <w:lang w:val="en-US" w:eastAsia="en-US" w:bidi="en-US"/>
        </w:rPr>
        <w:t xml:space="preserve">Chamberlain </w:t>
      </w:r>
      <w:r>
        <w:t xml:space="preserve">mluvil 13. dubna v dolní sněmovně o albánských událostech, dovozoval, že italský krok odporuje anglo- italské smlouvě o </w:t>
      </w:r>
      <w:r>
        <w:rPr>
          <w:lang w:val="en-US" w:eastAsia="en-US" w:bidi="en-US"/>
        </w:rPr>
        <w:t xml:space="preserve">statu quo </w:t>
      </w:r>
      <w:r>
        <w:t>ve Středomoří, ale pro</w:t>
      </w:r>
      <w:r>
        <w:softHyphen/>
        <w:t>hlásil, že Anglie proto smlouvu nevypoví a očekává od Itálie splnění jejích zbývajících ustanovení, hla</w:t>
      </w:r>
      <w:r>
        <w:t>vně pokud se týkají odvolání dobrovolníků ze Španělska. Zároveň prohlásil, že britská vláda zaručuje svou pomoc Řecku a Rumunsku, pro případ, že by byla ohrožena jejich nezávislost a že by považovaly za nutné sáhnouti ke zbrani. Obdobné prohlášení podal té</w:t>
      </w:r>
      <w:r>
        <w:t>hož dne ministerský předseda Daladier rozhlasem.</w:t>
      </w:r>
    </w:p>
    <w:p w:rsidR="00500724" w:rsidRDefault="00F30FB8">
      <w:pPr>
        <w:pStyle w:val="Zkladntext20"/>
        <w:shd w:val="clear" w:color="auto" w:fill="auto"/>
        <w:spacing w:after="100" w:line="180" w:lineRule="auto"/>
        <w:ind w:firstLine="0"/>
        <w:jc w:val="center"/>
      </w:pPr>
      <w:r>
        <w:t>•</w:t>
      </w:r>
    </w:p>
    <w:p w:rsidR="00500724" w:rsidRDefault="00F30FB8">
      <w:pPr>
        <w:pStyle w:val="Zkladntext20"/>
        <w:shd w:val="clear" w:color="auto" w:fill="auto"/>
        <w:spacing w:after="60" w:line="194" w:lineRule="auto"/>
      </w:pPr>
      <w:r>
        <w:t xml:space="preserve">V B e 1 g i i byly 3. dubna parlamentní volby, v nichž utržili velkou porážku rexisté, ztrativše 17 mandátů </w:t>
      </w:r>
      <w:r>
        <w:rPr>
          <w:b/>
          <w:bCs/>
          <w:sz w:val="26"/>
          <w:szCs w:val="26"/>
        </w:rPr>
        <w:t xml:space="preserve">a </w:t>
      </w:r>
      <w:r>
        <w:t>obsadivše jen čtyři. 17. dubna se utvořila katolicko- liberální vláda Pierlotova. Téhož dne byl</w:t>
      </w:r>
      <w:r>
        <w:t xml:space="preserve">y volby </w:t>
      </w:r>
      <w:r>
        <w:rPr>
          <w:b/>
          <w:bCs/>
          <w:sz w:val="26"/>
          <w:szCs w:val="26"/>
        </w:rPr>
        <w:t xml:space="preserve">v </w:t>
      </w:r>
      <w:r>
        <w:t>Dánsku, při nichž byla socialisticko-radikální vládní většina nepatrně oslabena. Ministerský před</w:t>
      </w:r>
      <w:r>
        <w:softHyphen/>
        <w:t xml:space="preserve">seda 14. dubna prohlásil, že Dánsko zůstane naprosto neutrální. Francouzský president </w:t>
      </w:r>
      <w:r>
        <w:rPr>
          <w:lang w:val="en-US" w:eastAsia="en-US" w:bidi="en-US"/>
        </w:rPr>
        <w:t xml:space="preserve">Lebrun </w:t>
      </w:r>
      <w:r>
        <w:t xml:space="preserve">byl znovu zvolen dne 5. dubna 506 hlasy (socialistický </w:t>
      </w:r>
      <w:r>
        <w:t>kandidát dostal 151 hlasů a komunistický 74 hlasů).</w:t>
      </w:r>
    </w:p>
    <w:p w:rsidR="00500724" w:rsidRDefault="00F30FB8">
      <w:pPr>
        <w:pStyle w:val="Zkladntext20"/>
        <w:shd w:val="clear" w:color="auto" w:fill="auto"/>
        <w:spacing w:after="60" w:line="202" w:lineRule="auto"/>
        <w:ind w:firstLine="0"/>
        <w:jc w:val="center"/>
      </w:pPr>
      <w:r>
        <w:t>•</w:t>
      </w:r>
    </w:p>
    <w:p w:rsidR="00500724" w:rsidRDefault="00F30FB8">
      <w:pPr>
        <w:pStyle w:val="Zkladntext20"/>
        <w:shd w:val="clear" w:color="auto" w:fill="auto"/>
        <w:spacing w:line="197" w:lineRule="auto"/>
      </w:pPr>
      <w:r>
        <w:t>Španělsko přistoupilo 7. dubna k paktu proti komintemě a Maďarsko vystoupilo 11. dubna ze Společnosti národů. Totéž učinilo Peru 8. dubna. Rumunský ministr zahraničních věcí Gafencu odjel 7. dubna do An</w:t>
      </w:r>
      <w:r>
        <w:t xml:space="preserve">kary. Holandsko odvolalo </w:t>
      </w:r>
      <w:r>
        <w:rPr>
          <w:b/>
          <w:bCs/>
          <w:sz w:val="26"/>
          <w:szCs w:val="26"/>
        </w:rPr>
        <w:t xml:space="preserve">7. </w:t>
      </w:r>
      <w:r>
        <w:t>dubna všechny vojenské dovolené, 10. dubna učinilo na hranicích bezpečnostní opatření a 14. dubna vy</w:t>
      </w:r>
      <w:r>
        <w:softHyphen/>
        <w:t>dalo nařízení, podle něhož vojáci ročníku 1938, kteří měli zakrátko být propuštěni, zůstanou v činné službě.</w:t>
      </w:r>
    </w:p>
    <w:p w:rsidR="00500724" w:rsidRDefault="00F30FB8">
      <w:pPr>
        <w:pStyle w:val="Zkladntext20"/>
        <w:shd w:val="clear" w:color="auto" w:fill="auto"/>
        <w:spacing w:after="60" w:line="202" w:lineRule="auto"/>
        <w:ind w:firstLine="0"/>
        <w:jc w:val="right"/>
      </w:pPr>
      <w:r>
        <w:t>(Pokračování.)</w:t>
      </w:r>
    </w:p>
    <w:p w:rsidR="00500724" w:rsidRDefault="00F30FB8">
      <w:pPr>
        <w:pStyle w:val="Nadpis100"/>
        <w:shd w:val="clear" w:color="auto" w:fill="auto"/>
        <w:spacing w:after="100" w:line="240" w:lineRule="auto"/>
      </w:pPr>
      <w:bookmarkStart w:id="478" w:name="bookmark477"/>
      <w:r>
        <w:t>Česká pevnost</w:t>
      </w:r>
      <w:bookmarkEnd w:id="478"/>
    </w:p>
    <w:p w:rsidR="00500724" w:rsidRDefault="00F30FB8">
      <w:pPr>
        <w:pStyle w:val="Zkladntext100"/>
        <w:shd w:val="clear" w:color="auto" w:fill="auto"/>
        <w:spacing w:after="60" w:line="178" w:lineRule="auto"/>
        <w:ind w:left="540" w:firstLine="160"/>
      </w:pPr>
      <w:r>
        <w:t>Tento článek je obsahem přednášky, kterou měl dr. Kranzel v pražské Uranii. Shrnuje německé názory na roli bývalého Československa a Čech. Protože tento ně</w:t>
      </w:r>
      <w:r>
        <w:softHyphen/>
        <w:t>mecký názor byl hnací sílou posledních událostí, sezna</w:t>
      </w:r>
      <w:r>
        <w:softHyphen/>
        <w:t xml:space="preserve">mujeme s touto přednáškou naše </w:t>
      </w:r>
      <w:r>
        <w:t>čtenáře.</w:t>
      </w:r>
    </w:p>
    <w:p w:rsidR="00500724" w:rsidRDefault="00F30FB8">
      <w:pPr>
        <w:pStyle w:val="Zkladntext20"/>
        <w:shd w:val="clear" w:color="auto" w:fill="auto"/>
        <w:spacing w:line="202" w:lineRule="auto"/>
      </w:pPr>
      <w:r>
        <w:t>Od nejdávnějších dob byly Cechy s přirozenou hranicí pohraničních hor »citadelou« střední Evropy ve všech, vojensko-zeměpisných mapách. Vedle flan- Herské a severoitalské nížiny patřila pevnost Cechy a její předhradí k největším evropským bitevním</w:t>
      </w:r>
      <w:r>
        <w:t xml:space="preserve"> polím. Na severozápadním podhradí Cech, v Lipské rovině, v jihovýchodě na Moravském poli a v slez</w:t>
      </w:r>
      <w:r>
        <w:softHyphen/>
        <w:t xml:space="preserve">ském náspu východočeského pohoří rozhodovalo se vždycky znovu právě tak jako v srdci Cech samých a rozhodnutí mělo vždycky evropský význam a dálo se na poli </w:t>
      </w:r>
      <w:r>
        <w:t>válečném. Německým dějinám stala se po</w:t>
      </w:r>
      <w:r>
        <w:softHyphen/>
        <w:t xml:space="preserve">divuhodná zeměpisná poloha Cech osudnou. Hraje důležitou úlohu v rozloučení německého severního </w:t>
      </w:r>
      <w:r>
        <w:rPr>
          <w:i/>
          <w:iCs/>
        </w:rPr>
        <w:t>a</w:t>
      </w:r>
      <w:r>
        <w:t xml:space="preserve"> jižního prostoru. Stává se předpokladem houževna</w:t>
      </w:r>
      <w:r>
        <w:softHyphen/>
        <w:t>tého života silné slovanské národnosti uprostřed ně</w:t>
      </w:r>
      <w:r>
        <w:softHyphen/>
        <w:t xml:space="preserve">meckého životního </w:t>
      </w:r>
      <w:r>
        <w:t>prostoru. Jako mohutný kýl dělí český masiv proud německé východní kolonisace, kte</w:t>
      </w:r>
      <w:r>
        <w:softHyphen/>
        <w:t>rý se vylévá na jih podél Dunaje směrem k panon- ským rovinám, severovýchodně do nížiny mezi Labem a Odrou nebo Odrou a Vislou (Vyšlou?) až hluboko do Pobaltí, ale české zem</w:t>
      </w:r>
      <w:r>
        <w:t>ě oblévá jako nedotčený polo</w:t>
      </w:r>
      <w:r>
        <w:softHyphen/>
        <w:t>ostrov. V novověku stala se pevnost Cechy pilířem habsburské moci. Jen pod záštitou této mohutné věže, chránící silnici k Vídni proti severu i proti západu, mohlo se Rakousko rozprostříti na jihovýchod a státi se velmocí. Proto</w:t>
      </w:r>
      <w:r>
        <w:t xml:space="preserve"> hrají Cechy v bojích Habsburků s jejich severskými protivníky — ať se Švédy nebo s Prusy — tak důležitou úlohu.</w:t>
      </w:r>
    </w:p>
    <w:p w:rsidR="00500724" w:rsidRDefault="00F30FB8">
      <w:pPr>
        <w:pStyle w:val="Zkladntext20"/>
        <w:shd w:val="clear" w:color="auto" w:fill="auto"/>
        <w:spacing w:line="202" w:lineRule="auto"/>
      </w:pPr>
      <w:r>
        <w:t>Je však třeba spatřovati v pevnosti Cechách nejen sílu, jako to činila česká politika a česká vojenská taktika v posledních dvaceti letech. Nec</w:t>
      </w:r>
      <w:r>
        <w:t>hť byl nátlak české pevnosti na hlavní osy německého životního pro</w:t>
      </w:r>
      <w:r>
        <w:softHyphen/>
        <w:t>storu sebe větší, bylo zde vždycky nebezpečí pro Cechy, jakmile se Německo spojí, právě tak veliké. Cechy mohly uplatňovat panovačné nároky jenom vůči politicky nejednotnému a vojensky osla</w:t>
      </w:r>
      <w:r>
        <w:t xml:space="preserve">benému Německu. Situace Otokara </w:t>
      </w:r>
      <w:r>
        <w:rPr>
          <w:b/>
          <w:bCs/>
          <w:sz w:val="26"/>
          <w:szCs w:val="26"/>
        </w:rPr>
        <w:t xml:space="preserve">n., </w:t>
      </w:r>
      <w:r>
        <w:t>v době německého mezivládí, husitská doba a krátká doba rozmachu po Versailles — byly možný jenom proto, že v téže době bylo Německo ujařmeno. Právě proto však, že Cechy byly pro německý prostor tak důležité, musilo si N</w:t>
      </w:r>
      <w:r>
        <w:t>ě</w:t>
      </w:r>
      <w:r>
        <w:softHyphen/>
        <w:t>mecko tuto pevnost zajistit. Politika českých knížat a králů ve středověku rozpoznala tuto podmínku a Přemyslovci udržovali velmi moudře správnou míru mezi pokušením vládnouti a nátlakem státi se pod</w:t>
      </w:r>
      <w:r>
        <w:softHyphen/>
        <w:t>danými. Stali se — dík přirozené síle své země — mocný</w:t>
      </w:r>
      <w:r>
        <w:t>mi knížaty ve své zemi a právě proto, že po</w:t>
      </w:r>
      <w:r>
        <w:softHyphen/>
        <w:t>chopili zvláštní situaci českého samostatného státu uprostřed německého prostoru, zůstali převážně věr</w:t>
      </w:r>
      <w:r>
        <w:softHyphen/>
        <w:t xml:space="preserve">nými vasaly německého království. V husitské době ztratili Češi toto pochopení pro polohu svého prostoru. Po </w:t>
      </w:r>
      <w:r>
        <w:t>přechodném a úspěšném vojenském vítězství ná</w:t>
      </w:r>
      <w:r>
        <w:softHyphen/>
        <w:t>sleduje nevyhnutelně porážka.</w:t>
      </w:r>
    </w:p>
    <w:p w:rsidR="00500724" w:rsidRDefault="00F30FB8">
      <w:pPr>
        <w:pStyle w:val="Zkladntext20"/>
        <w:shd w:val="clear" w:color="auto" w:fill="auto"/>
        <w:spacing w:line="221" w:lineRule="auto"/>
        <w:rPr>
          <w:sz w:val="15"/>
          <w:szCs w:val="15"/>
        </w:rPr>
      </w:pPr>
      <w:r>
        <w:t>Okolnost, že Cechy připadly Habsburkům, což Češi většinou považují za konec své samostatnosti, osvo</w:t>
      </w:r>
      <w:r>
        <w:softHyphen/>
        <w:t>bozuje — viděno z perspektivy válečných dějin — pevnost Cechy z obklíčení německé</w:t>
      </w:r>
      <w:r>
        <w:t xml:space="preserve"> nadvlády. Cechy sice chrání Vídeň a srdce habsburské monarchie, ale spojení s Vídní je současně i ochrana české pevnosti proti jihovýchodu. Téměř celých 400 let tvořila spolu</w:t>
      </w:r>
      <w:r>
        <w:softHyphen/>
        <w:t>práce Prahy s Vídní základní bod německé historie. R. 1620 a 1742 ztroskotaly po</w:t>
      </w:r>
      <w:r>
        <w:t xml:space="preserve">kusy odloučiti Cechy od Habsburků, nepodařilo se ani protestantskému severu ani katolickému Bavorsku roztříštiti mocnou věž habsburské moci. Tato věž vykonává velkou práci ve všech válkách v německém prostoru. V době Bedřicha </w:t>
      </w:r>
      <w:r>
        <w:rPr>
          <w:b/>
          <w:bCs/>
          <w:sz w:val="26"/>
          <w:szCs w:val="26"/>
        </w:rPr>
        <w:t xml:space="preserve">n. </w:t>
      </w:r>
      <w:r>
        <w:t>kryje pevnost Cechy Vídeň a</w:t>
      </w:r>
      <w:r>
        <w:t xml:space="preserve"> velký král musí r. 1757 především dobývat Prahu </w:t>
      </w:r>
      <w:r>
        <w:rPr>
          <w:b/>
          <w:bCs/>
          <w:sz w:val="26"/>
          <w:szCs w:val="26"/>
        </w:rPr>
        <w:t xml:space="preserve">a </w:t>
      </w:r>
      <w:r>
        <w:t xml:space="preserve">Cechy. Po Kolíně stávají se Cechy pro Rakušany pevností a po- </w:t>
      </w:r>
      <w:r>
        <w:rPr>
          <w:b/>
          <w:bCs/>
          <w:i/>
          <w:iCs/>
          <w:sz w:val="15"/>
          <w:szCs w:val="15"/>
        </w:rPr>
        <w:t>gSr</w:t>
      </w:r>
    </w:p>
    <w:p w:rsidR="00500724" w:rsidRDefault="00F30FB8">
      <w:pPr>
        <w:pStyle w:val="Zkladntext20"/>
        <w:shd w:val="clear" w:color="auto" w:fill="auto"/>
        <w:spacing w:after="40" w:line="206" w:lineRule="auto"/>
        <w:ind w:firstLine="0"/>
      </w:pPr>
      <w:r>
        <w:t>sádkovým táborem, které mohou ohrožovati Sasko, Berlín, Slezsko.</w:t>
      </w:r>
    </w:p>
    <w:p w:rsidR="00500724" w:rsidRDefault="00F30FB8">
      <w:pPr>
        <w:pStyle w:val="Zkladntext20"/>
        <w:shd w:val="clear" w:color="auto" w:fill="auto"/>
        <w:spacing w:after="40" w:line="202" w:lineRule="auto"/>
      </w:pPr>
      <w:r>
        <w:t xml:space="preserve">Podobnou a přece jinou roli hraje pevnost Cechy v napoleonských taženích. </w:t>
      </w:r>
      <w:r>
        <w:t>Korsičan se r. 1805 odvážil nechati Prahu stranou a pochodovat jižně od Dunaje přímo na Vídeň, musil se však přece obrátit zpět k severu, poněvadž se pod ochranou pevnosti Cech sjednocovali na Moravě Rakušané a Rusové. Na mo</w:t>
      </w:r>
      <w:r>
        <w:softHyphen/>
        <w:t>ravském předhradí pevnosti Cech</w:t>
      </w:r>
      <w:r>
        <w:t>, u Slavkova, padlo rozhodnutí bitvy. R. 1809 zabývá se arcikníže Karel plánem útočiti na Rýn z vyčnělé západní bašty Cech. Podnik se nedaří, poněvadž Rakušané přeložili těžisko útoku z Cech do Bavor na jih od Dunaje. Ale pro ústup u Regensburku stávají se</w:t>
      </w:r>
      <w:r>
        <w:t xml:space="preserve"> Cechy nesmírně důle</w:t>
      </w:r>
      <w:r>
        <w:softHyphen/>
        <w:t>žitými a jen velké tvrze na severní straně Dunaje umožňují arciknížeti, aby se po porážce u Regens</w:t>
      </w:r>
      <w:r>
        <w:softHyphen/>
        <w:t xml:space="preserve">burku a po všech porážkách v Bavořích přece znovu hotovil do boje a získal vítězství u Aspern, které bylo morálně tak důležité. Sice po </w:t>
      </w:r>
      <w:r>
        <w:t>něm následovala po</w:t>
      </w:r>
      <w:r>
        <w:softHyphen/>
        <w:t>rážka u Wagramu. Ale i po Wagramu zůstávají Ce</w:t>
      </w:r>
      <w:r>
        <w:softHyphen/>
        <w:t>chy základnou dalšího odporu. I v tažení r. 1806 hrály Cechy úlohu, třebaže byly tehdy neutrálním uzavře</w:t>
      </w:r>
      <w:r>
        <w:softHyphen/>
        <w:t>ným územím. Teprve r. 1813 vyniká jejich plný vý</w:t>
      </w:r>
      <w:r>
        <w:softHyphen/>
        <w:t xml:space="preserve">znam — význam posádkové pevnosti. V </w:t>
      </w:r>
      <w:r>
        <w:t>Cechách se řadí rakouská armáda, později tu začíná pochod spo</w:t>
      </w:r>
      <w:r>
        <w:softHyphen/>
        <w:t>jenecké armády. Boční stanovisko, které Cechy za</w:t>
      </w:r>
      <w:r>
        <w:softHyphen/>
        <w:t>ujímají k střední linii na Labi, umožňují spojencům zatlačiti Napoleona do strategické defensivy a později útočiti na jeho armádu na lipské rovin</w:t>
      </w:r>
      <w:r>
        <w:t>ě.</w:t>
      </w:r>
    </w:p>
    <w:p w:rsidR="00500724" w:rsidRDefault="00F30FB8">
      <w:pPr>
        <w:pStyle w:val="Zkladntext20"/>
        <w:shd w:val="clear" w:color="auto" w:fill="auto"/>
        <w:spacing w:after="40"/>
      </w:pPr>
      <w:r>
        <w:t>V boji o přednostní moc v Německu hrály Cechy od r. 1850 do 1866 ve všech úvahách, plánech a ope</w:t>
      </w:r>
      <w:r>
        <w:softHyphen/>
        <w:t>racích obou generálních štábů rozhodující úlohu. Aby chránil Berlín před útokem z Cech, musí Moltke obcházeti obrovským útokem mezi Labem a Nisou s celou pr</w:t>
      </w:r>
      <w:r>
        <w:t>uskou armádou a je nucen napřed vtrhnouti do Cech, než zamíří na Vídeň. V Cechách u Hradce Králové se bitva rozhoduje a tím také padá jedno z největších rozhodnutí v německých dějinách.</w:t>
      </w:r>
    </w:p>
    <w:p w:rsidR="00500724" w:rsidRDefault="00F30FB8">
      <w:pPr>
        <w:pStyle w:val="Zkladntext20"/>
        <w:shd w:val="clear" w:color="auto" w:fill="auto"/>
        <w:spacing w:line="202" w:lineRule="auto"/>
      </w:pPr>
      <w:r>
        <w:t>Když si ve světové válce západní velmoci vymýšlely prostředky a způsob</w:t>
      </w:r>
      <w:r>
        <w:t>y, jak ochromiti Německo na celé století, kolísaly mezi dvěma plány: konservativní lidé si přáli zachovat Habsburky, ba dokonce je snad i po</w:t>
      </w:r>
      <w:r>
        <w:softHyphen/>
        <w:t>sílit, aby proti militaristickému Prusku stálo Ra</w:t>
      </w:r>
      <w:r>
        <w:softHyphen/>
        <w:t>kousko, mohutně poslovanštělé. Tomuto plánu se vzpí</w:t>
      </w:r>
      <w:r>
        <w:softHyphen/>
        <w:t>ralo panslavi</w:t>
      </w:r>
      <w:r>
        <w:t>stické hnutí, později i italská politika, která si přála vytlačiti Rakousko navždycky ze Stře</w:t>
      </w:r>
      <w:r>
        <w:softHyphen/>
        <w:t>dozemního moře, a konečně demokratický směr, který v Londýně, Paříži a ve Washingtonu zvítězil. Masaryk a Beneš pracovali s těmito názory ruku v ruce a spolu s ni</w:t>
      </w:r>
      <w:r>
        <w:t>mi vymyslili plán zahraditi Německo na východě řadou drobných států a státečků a postaviti tak hráz německému »Drang nach Osten«. Od r. 1917 pracovala česká propaganda horečně, aby přesvědčila Fran</w:t>
      </w:r>
      <w:r>
        <w:softHyphen/>
        <w:t>couze a Angličany. Ještě v říjnu 1918 ovlivnil Masaryk Wil</w:t>
      </w:r>
      <w:r>
        <w:t>sona tímto směrem. Byl to určitě nesprávný rozpočet, který, jak ostatně už Pekař dokazoval, nemá a neměl s »realismem« nic spo</w:t>
      </w:r>
      <w:r>
        <w:softHyphen/>
        <w:t>lečného, poněvadž právě nejreálnější skutečností, jako zeměpisnou polohu, hospodářství atd. prostě pře</w:t>
      </w:r>
      <w:r>
        <w:softHyphen/>
        <w:t>hlížel. Když byli mírotvor</w:t>
      </w:r>
      <w:r>
        <w:t>ci 1918 rozbili Rakousko a svěřili úlohu, na kterou už samo Rakousko bylo slabé, samostatnému Československu, pracovali — byť ne</w:t>
      </w:r>
      <w:r>
        <w:softHyphen/>
        <w:t>vědomky — pro řešení Velkoněmecké říše. Pevnost Cechy byla v nové podobě s počátku ovšem Německu nebezpečná. Ze severních výběž</w:t>
      </w:r>
      <w:r>
        <w:t>ků české bašty je jenom 300 km do Berlína, akce na linii Cheb—Štras</w:t>
      </w:r>
      <w:r>
        <w:softHyphen/>
        <w:t>burk, o které se tolik mluvilo, byla by měla překonat pouhých 350 km, aby oddělila německý sever od jihu, Slezsko mohlo býti odříznuto česko-polskou obkličo- vací ofensivou. Ale právě toto</w:t>
      </w:r>
      <w:r>
        <w:t xml:space="preserve"> bezprostřední ohrožení nejdůležitějších bodů německého prostoru českoslo</w:t>
      </w:r>
      <w:r>
        <w:softHyphen/>
        <w:t>venským spojencem, Francií, musilo silné Německo ponoukati k rychlému rozřešení české otázky.</w:t>
      </w:r>
    </w:p>
    <w:p w:rsidR="00500724" w:rsidRDefault="00F30FB8">
      <w:pPr>
        <w:pStyle w:val="Zkladntext20"/>
        <w:shd w:val="clear" w:color="auto" w:fill="auto"/>
        <w:spacing w:line="202" w:lineRule="auto"/>
      </w:pPr>
      <w:r>
        <w:t>Když byl starý francouzský spojenecký systém r. 1934 oslaben, pokusili se Beneš a Franci</w:t>
      </w:r>
      <w:r>
        <w:t>e dodati mu nových sil spojenectvím se Sovětským Svazem. Česko</w:t>
      </w:r>
      <w:r>
        <w:softHyphen/>
        <w:t>slovensku byla přiřčena jenom úloha nosníku v systé</w:t>
      </w:r>
      <w:r>
        <w:softHyphen/>
        <w:t xml:space="preserve">mu Paříž—Moskva. Pro Německo bylo nyní ovšem Československo jako možný letecký přístav Ruska tím větší nebezpečí a bylo docela přirozené, že </w:t>
      </w:r>
      <w:r>
        <w:t>učinila ně</w:t>
      </w:r>
      <w:r>
        <w:softHyphen/>
        <w:t>mecká politka vše, aby toto ohrožení odstranila co nejdůkladněji. Anšlusem Rakouska se stala strate</w:t>
      </w:r>
      <w:r>
        <w:softHyphen/>
        <w:t xml:space="preserve">gická situace Cech neudržitelnou. Než by byla zasáhla francouzská nebo ruská pomoc — a o nedostatečné ochotě k pomoci ani nemluvím — jistě by se </w:t>
      </w:r>
      <w:r>
        <w:t>byly uzavřely německé kleště na dráze 150 km dlouhé An- naberg—Lundenburg. Cechy samy už nebyly prosto</w:t>
      </w:r>
      <w:r>
        <w:softHyphen/>
        <w:t>rem, který vzdoroval celá století jako přirozená pev</w:t>
      </w:r>
      <w:r>
        <w:softHyphen/>
        <w:t>nost. Odříznuty od ciziny, byly by musily brzy kapi</w:t>
      </w:r>
      <w:r>
        <w:softHyphen/>
        <w:t>tulovat. Především však byl nástup armády v malé</w:t>
      </w:r>
      <w:r>
        <w:t>m uzavřeném prostoru, který ležel skoro celý v dostřelu německých zbraní, problém skoro nevyřešitelný. Němci mohli, aniž by vůbec překročili hranici, ostře- lovati dráhy, silnice, mosty v zázemí české fronty, nemluvě o leteckém útoku, který by byl zasáhl č</w:t>
      </w:r>
      <w:r>
        <w:t>eská města strašlivou silou a zničil je v několika hodinách.</w:t>
      </w:r>
    </w:p>
    <w:p w:rsidR="00500724" w:rsidRDefault="00F30FB8">
      <w:pPr>
        <w:pStyle w:val="Zkladntext20"/>
        <w:shd w:val="clear" w:color="auto" w:fill="auto"/>
      </w:pPr>
      <w:r>
        <w:t xml:space="preserve">Francouzsko-ruští stratégové zapomněli, že jé ovšem možno ve válce obětovati nastrčenou pevnost, že je však nemožno uložiti celému národu, aby se pro druhý a cizí národ cele obětoval. V poslední </w:t>
      </w:r>
      <w:r>
        <w:t>chvíli v září 1938 poznali čeští politikové, oč běží a co je v sázce. Vyvodili ze své neudržitelné situace stříz</w:t>
      </w:r>
      <w:r>
        <w:softHyphen/>
        <w:t>livé důsledky. Jednali jako kapitáni pevnosti, kteří dostali zprávu, že je pevnost podminována, posádka ztracena a vyvěsili bílý prapor, aby za</w:t>
      </w:r>
      <w:r>
        <w:t>bránili obětem naprosto bezúčelným.</w:t>
      </w:r>
    </w:p>
    <w:p w:rsidR="00500724" w:rsidRDefault="00F30FB8">
      <w:pPr>
        <w:pStyle w:val="Zkladntext20"/>
        <w:shd w:val="clear" w:color="auto" w:fill="auto"/>
        <w:spacing w:line="202" w:lineRule="auto"/>
      </w:pPr>
      <w:r>
        <w:t>Prozatímní řešení v měsíci září 1938 neodstranilo však ještě velký problém pevnosti Cech v německém prostoru. V nejbližším sousedství důležitých němec</w:t>
      </w:r>
      <w:r>
        <w:softHyphen/>
        <w:t>kých spojů, měst, průmyslových oblastí zůstal stát, který měl půl dru</w:t>
      </w:r>
      <w:r>
        <w:t>hého milionu vycvičeného mužstva, válečné výzbroje pro dva tucty divisí, těžké zbraně, motory, pancéřová auta a silnou leteckou armádu. I kdyby zůstalo zmenšené Cesko-Slovensko v případě války neutrální, muselo by Německo přece jenom po</w:t>
      </w:r>
      <w:r>
        <w:softHyphen/>
        <w:t>stavit silnou armád</w:t>
      </w:r>
      <w:r>
        <w:t xml:space="preserve">u, aby je hlídalo. Spoje </w:t>
      </w:r>
      <w:r>
        <w:rPr>
          <w:lang w:val="en-US" w:eastAsia="en-US" w:bidi="en-US"/>
        </w:rPr>
        <w:t>Breslau</w:t>
      </w:r>
      <w:r>
        <w:t xml:space="preserve">—• </w:t>
      </w:r>
      <w:r>
        <w:rPr>
          <w:lang w:val="en-US" w:eastAsia="en-US" w:bidi="en-US"/>
        </w:rPr>
        <w:t>Wien, Dresden</w:t>
      </w:r>
      <w:r>
        <w:t>—</w:t>
      </w:r>
      <w:r>
        <w:rPr>
          <w:lang w:val="en-US" w:eastAsia="en-US" w:bidi="en-US"/>
        </w:rPr>
        <w:t xml:space="preserve">Prag—Wien atd. </w:t>
      </w:r>
      <w:r>
        <w:t>byly stále ještě pře</w:t>
      </w:r>
      <w:r>
        <w:softHyphen/>
        <w:t>rušeny českým územím. Naproti tomu tvořila tato ne</w:t>
      </w:r>
      <w:r>
        <w:softHyphen/>
        <w:t>vyřešená situace nová nebezpečí pro český národ. V případě evropského konfliktu musil se připravovat na obsazení německo</w:t>
      </w:r>
      <w:r>
        <w:t>u armádou. Komunistická a na</w:t>
      </w:r>
      <w:r>
        <w:softHyphen/>
        <w:t>cionálně revoluční agitace používala i po září 1938 Cesko-Slovenska jako prostředku k cíli, neodpovědní politikové zneužívali český národ. Už v létě 1938 vy</w:t>
      </w:r>
      <w:r>
        <w:softHyphen/>
        <w:t xml:space="preserve">jádřil se v Praze jakýsi britský korespondent, </w:t>
      </w:r>
      <w:r>
        <w:rPr>
          <w:b/>
          <w:bCs/>
          <w:sz w:val="26"/>
          <w:szCs w:val="26"/>
        </w:rPr>
        <w:t xml:space="preserve">že </w:t>
      </w:r>
      <w:r>
        <w:t>Anglie strpí každé ř</w:t>
      </w:r>
      <w:r>
        <w:t>ešení, při kterém zůstane armáda nedotčena, poněvadž »každý mrtvý Cěch nám ušetří jednoho Angličana«.</w:t>
      </w:r>
    </w:p>
    <w:p w:rsidR="00500724" w:rsidRDefault="00F30FB8">
      <w:pPr>
        <w:pStyle w:val="Zkladntext20"/>
        <w:shd w:val="clear" w:color="auto" w:fill="auto"/>
        <w:spacing w:line="206" w:lineRule="auto"/>
      </w:pPr>
      <w:r>
        <w:t xml:space="preserve">Dohoda presidenta Háchy 15. března v Berlíně s Vůdcem a říšským kancléřem </w:t>
      </w:r>
      <w:r>
        <w:rPr>
          <w:b/>
          <w:bCs/>
          <w:sz w:val="26"/>
          <w:szCs w:val="26"/>
        </w:rPr>
        <w:t xml:space="preserve">a </w:t>
      </w:r>
      <w:r>
        <w:t>rychlé a klidné</w:t>
      </w:r>
    </w:p>
    <w:p w:rsidR="00500724" w:rsidRDefault="00F30FB8">
      <w:pPr>
        <w:pStyle w:val="Zkladntext30"/>
        <w:shd w:val="clear" w:color="auto" w:fill="auto"/>
        <w:spacing w:after="340" w:line="199" w:lineRule="auto"/>
        <w:ind w:firstLine="0"/>
      </w:pPr>
      <w:r>
        <w:t xml:space="preserve">obsazení Cech a Moravy německým vojskem zrušily </w:t>
      </w:r>
      <w:r>
        <w:rPr>
          <w:b/>
          <w:bCs/>
          <w:sz w:val="26"/>
          <w:szCs w:val="26"/>
        </w:rPr>
        <w:t xml:space="preserve">v </w:t>
      </w:r>
      <w:r>
        <w:t xml:space="preserve">zájmu obou </w:t>
      </w:r>
      <w:r>
        <w:t>národů, Němců i Cechů — pevnost Ce</w:t>
      </w:r>
      <w:r>
        <w:softHyphen/>
        <w:t>chy jako možnou bojovnou frontu ve střední Evropě. ,To je pokračování moudré politiky Přemyslovců s no</w:t>
      </w:r>
      <w:r>
        <w:softHyphen/>
        <w:t>vými prostředky a na základě moderních hospodář</w:t>
      </w:r>
      <w:r>
        <w:softHyphen/>
        <w:t>ských a technických zákonů. Pod vojenskou ochranou Velkého Německa bud</w:t>
      </w:r>
      <w:r>
        <w:t>e se český národ těšiti ústřední poloze, jsa vzdálen všech nebezpečných pásem světové politiky. Může se dnes obávati národnostního nepřá</w:t>
      </w:r>
      <w:r>
        <w:softHyphen/>
        <w:t>telství německého právě tak málo, jako Němci ne</w:t>
      </w:r>
      <w:r>
        <w:softHyphen/>
        <w:t>mohou ve slovanském ostrově uprostřed svého pro</w:t>
      </w:r>
      <w:r>
        <w:softHyphen/>
        <w:t>storu spatřovati už neb</w:t>
      </w:r>
      <w:r>
        <w:t>ezpečí.</w:t>
      </w:r>
    </w:p>
    <w:p w:rsidR="00500724" w:rsidRDefault="00F30FB8">
      <w:pPr>
        <w:pStyle w:val="Jin0"/>
        <w:shd w:val="clear" w:color="auto" w:fill="auto"/>
        <w:spacing w:after="240"/>
        <w:ind w:firstLine="0"/>
        <w:jc w:val="left"/>
        <w:rPr>
          <w:sz w:val="44"/>
          <w:szCs w:val="44"/>
        </w:rPr>
      </w:pPr>
      <w:r>
        <w:rPr>
          <w:b/>
          <w:bCs/>
          <w:sz w:val="44"/>
          <w:szCs w:val="44"/>
          <w:u w:val="single"/>
        </w:rPr>
        <w:t>literatura a uměni</w:t>
      </w:r>
    </w:p>
    <w:p w:rsidR="00500724" w:rsidRDefault="00F30FB8">
      <w:pPr>
        <w:pStyle w:val="Zkladntext40"/>
        <w:shd w:val="clear" w:color="auto" w:fill="auto"/>
        <w:spacing w:after="40" w:line="240" w:lineRule="auto"/>
      </w:pPr>
      <w:r>
        <w:rPr>
          <w:b/>
          <w:bCs/>
          <w:i/>
          <w:iCs/>
        </w:rPr>
        <w:t>E. F. Buř i a n:</w:t>
      </w:r>
    </w:p>
    <w:p w:rsidR="00500724" w:rsidRDefault="00F30FB8">
      <w:pPr>
        <w:pStyle w:val="Nadpis100"/>
        <w:shd w:val="clear" w:color="auto" w:fill="auto"/>
        <w:spacing w:line="240" w:lineRule="auto"/>
      </w:pPr>
      <w:bookmarkStart w:id="479" w:name="bookmark478"/>
      <w:r>
        <w:t>Přeorganisovat kulturu</w:t>
      </w:r>
      <w:bookmarkEnd w:id="479"/>
    </w:p>
    <w:p w:rsidR="00500724" w:rsidRDefault="00F30FB8">
      <w:pPr>
        <w:pStyle w:val="Zkladntext100"/>
        <w:shd w:val="clear" w:color="auto" w:fill="auto"/>
        <w:spacing w:after="40" w:line="221" w:lineRule="auto"/>
      </w:pPr>
      <w:r>
        <w:t xml:space="preserve">Břeorganisování českého kulturního života je přede dveřmi. Události, které se přehnaly v závratném tempu přes nás, postavily nás před tento těžký úkol ař chceme nebo nechceme. A přiznejme si, že to může být úkol </w:t>
      </w:r>
      <w:r>
        <w:rPr>
          <w:rFonts w:ascii="Arial" w:eastAsia="Arial" w:hAnsi="Arial" w:cs="Arial"/>
          <w:b/>
          <w:bCs/>
        </w:rPr>
        <w:t xml:space="preserve">v </w:t>
      </w:r>
      <w:r>
        <w:t>mnohém právě lak krásný jako zlý. Záleží j</w:t>
      </w:r>
      <w:r>
        <w:t xml:space="preserve">en na nás, na našem charakteru, na naší pevné vůli, abychom událostem dali lepší směr. Ovšem - budeme-li setrvávat </w:t>
      </w:r>
      <w:r>
        <w:rPr>
          <w:rFonts w:ascii="Arial" w:eastAsia="Arial" w:hAnsi="Arial" w:cs="Arial"/>
          <w:b/>
          <w:bCs/>
        </w:rPr>
        <w:t xml:space="preserve">v </w:t>
      </w:r>
      <w:r>
        <w:t xml:space="preserve">netečnosti a spokojíme-li se rozkazem namísto vlastní vůle, pak se nám lehce může stát, že vývoj naší kultury půjde zlou cestou a navýsost </w:t>
      </w:r>
      <w:r>
        <w:t>pro národní život nebez</w:t>
      </w:r>
      <w:r>
        <w:softHyphen/>
        <w:t>pečnou.</w:t>
      </w:r>
    </w:p>
    <w:p w:rsidR="00500724" w:rsidRDefault="00F30FB8">
      <w:pPr>
        <w:pStyle w:val="Zkladntext100"/>
        <w:shd w:val="clear" w:color="auto" w:fill="auto"/>
        <w:spacing w:after="120" w:line="221" w:lineRule="auto"/>
        <w:ind w:firstLine="0"/>
        <w:jc w:val="center"/>
      </w:pPr>
      <w:r>
        <w:t>•</w:t>
      </w:r>
    </w:p>
    <w:p w:rsidR="00500724" w:rsidRDefault="00F30FB8">
      <w:pPr>
        <w:pStyle w:val="Zkladntext100"/>
        <w:shd w:val="clear" w:color="auto" w:fill="auto"/>
        <w:spacing w:after="40" w:line="221" w:lineRule="auto"/>
      </w:pPr>
      <w:r>
        <w:t>Přeorganisování. — Co to vlastně má znamenat? Jistě ne vyplnění toužebných snů prostředních lidí. Jistě ne výměnu kvality za brak. Prozatím to hrozí ze všech kou</w:t>
      </w:r>
      <w:r>
        <w:softHyphen/>
        <w:t xml:space="preserve">tů, kde pískají krysy. Je nutno přesně rozeznávat, co se má </w:t>
      </w:r>
      <w:r>
        <w:t>dít z dobré vůle, z ukázněnosti a z obětavosti, a co vyvěrá z karierismu a malověrnosti. Přeorganisování českého kulturního života nebude nikdy podlé</w:t>
      </w:r>
      <w:r>
        <w:softHyphen/>
        <w:t>hat záměrům nedovtipů a rádobyinteligentů. Národ, který manifestuje svůj poměr ke kultuře ve jménu K. H. M</w:t>
      </w:r>
      <w:r>
        <w:t xml:space="preserve">áchy, nemůže zaměnit svou inteligentní duši za bez- duchost a podlízavost. Byl to právě Mácha, jehož památce se v těchto dnech poklonily davy českého lidu, který bojoval proti bezduchosíi a malověrné malosti. </w:t>
      </w:r>
      <w:r>
        <w:rPr>
          <w:rFonts w:ascii="Arial" w:eastAsia="Arial" w:hAnsi="Arial" w:cs="Arial"/>
          <w:smallCaps/>
          <w:sz w:val="15"/>
          <w:szCs w:val="15"/>
        </w:rPr>
        <w:t>iA</w:t>
      </w:r>
      <w:r>
        <w:t xml:space="preserve"> n i ž křičte, že vám stavbu bořím, jež by sa</w:t>
      </w:r>
      <w:r>
        <w:t xml:space="preserve">ma v krátkém padla čas e« - hle, to je hlas novatéra, který se dočkává slávy </w:t>
      </w:r>
      <w:r>
        <w:rPr>
          <w:rFonts w:ascii="Arial" w:eastAsia="Arial" w:hAnsi="Arial" w:cs="Arial"/>
          <w:b/>
          <w:bCs/>
        </w:rPr>
        <w:t xml:space="preserve">u </w:t>
      </w:r>
      <w:r>
        <w:t xml:space="preserve">svého lidu, </w:t>
      </w:r>
      <w:r>
        <w:rPr>
          <w:rFonts w:ascii="Arial" w:eastAsia="Arial" w:hAnsi="Arial" w:cs="Arial"/>
          <w:b/>
          <w:bCs/>
        </w:rPr>
        <w:t xml:space="preserve">u </w:t>
      </w:r>
      <w:r>
        <w:t>lidu, který správ</w:t>
      </w:r>
      <w:r>
        <w:softHyphen/>
        <w:t>ně a instinktivně neomylně chápe úkol kultury.</w:t>
      </w:r>
    </w:p>
    <w:p w:rsidR="00500724" w:rsidRDefault="00F30FB8">
      <w:pPr>
        <w:pStyle w:val="Zkladntext100"/>
        <w:shd w:val="clear" w:color="auto" w:fill="auto"/>
        <w:spacing w:after="80" w:line="221" w:lineRule="auto"/>
      </w:pPr>
      <w:r>
        <w:t>Přeorganisování českého kulturního života neznamená tedy, abychom ve jménu K. H. Máchy, Jana Nerud</w:t>
      </w:r>
      <w:r>
        <w:t>y, Bedřicha Smetany, Dvořáka a jiných našich slavných otců českého umění zabíjeli synovské umění dneška. Přeorga</w:t>
      </w:r>
      <w:r>
        <w:softHyphen/>
        <w:t>nisování bezpochyby půjde ve jménu jejich proti chy</w:t>
      </w:r>
      <w:r>
        <w:softHyphen/>
        <w:t>bám, které již za života velikánů našich kulturních dějin tiskly českou kulturu k zemi a br</w:t>
      </w:r>
      <w:r>
        <w:t>ánily jí ve vývoji. Pře</w:t>
      </w:r>
      <w:r>
        <w:softHyphen/>
        <w:t>organisování se bude jistě vyřizovat se schopnými lid</w:t>
      </w:r>
      <w:r>
        <w:softHyphen/>
        <w:t>mi a neznamená to žádnou morální popravu nejlepších talentů. Kdesi jsem četl, že v novém kulturním životě se nebude smět přihlížet ke kvalitám a záslužné práci umělců, ale k jaké</w:t>
      </w:r>
      <w:r>
        <w:t xml:space="preserve">si jejich bývalé politické málepcei. To je nehoráznost. Ne - to je velmi popletený a velmi špatný </w:t>
      </w:r>
      <w:r>
        <w:rPr>
          <w:rFonts w:ascii="Arial" w:eastAsia="Arial" w:hAnsi="Arial" w:cs="Arial"/>
          <w:b/>
          <w:bCs/>
        </w:rPr>
        <w:t xml:space="preserve">a </w:t>
      </w:r>
      <w:r>
        <w:t xml:space="preserve">záměrně osobně zesílený projev. Komu by </w:t>
      </w:r>
      <w:r>
        <w:rPr>
          <w:rFonts w:ascii="Arial" w:eastAsia="Arial" w:hAnsi="Arial" w:cs="Arial"/>
          <w:b/>
          <w:bCs/>
        </w:rPr>
        <w:t xml:space="preserve">se </w:t>
      </w:r>
      <w:r>
        <w:t>chtělo toto vydávat za směrnici pro přeorganisování kulturního života? Kdo by našel odvahu takto vyřizo</w:t>
      </w:r>
      <w:r>
        <w:softHyphen/>
        <w:t>vat staré</w:t>
      </w:r>
      <w:r>
        <w:t xml:space="preserve"> účty? </w:t>
      </w:r>
      <w:r>
        <w:rPr>
          <w:rFonts w:ascii="Arial" w:eastAsia="Arial" w:hAnsi="Arial" w:cs="Arial"/>
          <w:b/>
          <w:bCs/>
        </w:rPr>
        <w:t xml:space="preserve">I </w:t>
      </w:r>
      <w:r>
        <w:t>nejprostší občan Protektorátu rozezná škůdnický úmysl od čestného projevu. Hluboce se sklá</w:t>
      </w:r>
      <w:r>
        <w:softHyphen/>
        <w:t xml:space="preserve">ní před dílem Bedřicha Smetany ne proto, aby honosně </w:t>
      </w:r>
      <w:r>
        <w:rPr>
          <w:rFonts w:ascii="Arial" w:eastAsia="Arial" w:hAnsi="Arial" w:cs="Arial"/>
          <w:b/>
          <w:bCs/>
        </w:rPr>
        <w:t>dával najevo své opovržení k dnešní kultuře, nýbrž</w:t>
      </w:r>
    </w:p>
    <w:p w:rsidR="00500724" w:rsidRDefault="00F30FB8">
      <w:pPr>
        <w:pStyle w:val="Zkladntext100"/>
        <w:shd w:val="clear" w:color="auto" w:fill="auto"/>
        <w:spacing w:line="221" w:lineRule="auto"/>
        <w:ind w:firstLine="0"/>
      </w:pPr>
      <w:r>
        <w:t>proto, že si dobře uvědomuje cenu celého českého kul</w:t>
      </w:r>
      <w:r>
        <w:t>turního díla a význam všech jejich kolek</w:t>
      </w:r>
      <w:r>
        <w:softHyphen/>
        <w:t>tivních budovatelů.</w:t>
      </w:r>
    </w:p>
    <w:p w:rsidR="00500724" w:rsidRDefault="00F30FB8">
      <w:pPr>
        <w:pStyle w:val="Zkladntext100"/>
        <w:shd w:val="clear" w:color="auto" w:fill="auto"/>
        <w:spacing w:after="60" w:line="221" w:lineRule="auto"/>
        <w:ind w:firstLine="260"/>
      </w:pPr>
      <w:r>
        <w:t xml:space="preserve">Prostý Čech neviděl nikdy v budovatelích národního kulturního statku příslušníky politických stran. Měl vždycky pocit, že by se o něco ochuzoval, kdyby se přes takové příliš jednoduché brýle se </w:t>
      </w:r>
      <w:r>
        <w:t>díval na jejich dílo. Chápal, že umění, zrozené v této zemi a z této země, mluví k němu mateřskou řečí a dovedl rozeznat faleš od pravdy a pozlátko od zlata. Jen ti, jejichž pero nedosáhlo nikdy oné skvělosti, kterou se vždy vyznačovali naši velcí básníci,</w:t>
      </w:r>
      <w:r>
        <w:t xml:space="preserve"> mohli přemýšlet o zničení národního díla. Jen ctižádostivci, kteří nedosáhli svého vytouženého cíle, ať již vinou svého nevyspělého talentu, ať již přemírou zlé povahy - jen ti ictižádostivcit mohou nakonec usi</w:t>
      </w:r>
      <w:r>
        <w:softHyphen/>
        <w:t xml:space="preserve">lovat o odstranění nositelů a pokračovatelů </w:t>
      </w:r>
      <w:r>
        <w:t>českého ná</w:t>
      </w:r>
      <w:r>
        <w:softHyphen/>
        <w:t>rodního díla.</w:t>
      </w:r>
    </w:p>
    <w:p w:rsidR="00500724" w:rsidRDefault="00F30FB8">
      <w:pPr>
        <w:pStyle w:val="Zkladntext100"/>
        <w:shd w:val="clear" w:color="auto" w:fill="auto"/>
        <w:spacing w:after="120" w:line="221" w:lineRule="auto"/>
        <w:ind w:firstLine="0"/>
        <w:jc w:val="center"/>
      </w:pPr>
      <w:r>
        <w:t>•</w:t>
      </w:r>
    </w:p>
    <w:p w:rsidR="00500724" w:rsidRDefault="00F30FB8">
      <w:pPr>
        <w:pStyle w:val="Zkladntext100"/>
        <w:shd w:val="clear" w:color="auto" w:fill="auto"/>
        <w:spacing w:after="40" w:line="221" w:lineRule="auto"/>
        <w:ind w:firstLine="260"/>
      </w:pPr>
      <w:r>
        <w:t>Cesty k novému uzpůsobení poměrů, ve kterých se má dále vyvíjet český kulturní život, jeví se nám už narýsovány - jen je stavět. Ti, kteří se domnívali, že zaměníme široké dobře stavěné cesty za hrbolaté a kli</w:t>
      </w:r>
      <w:r>
        <w:softHyphen/>
        <w:t>katé cestičky, af k</w:t>
      </w:r>
      <w:r>
        <w:t>onečně upustí od své podryvné činnosti. Přeorganisování kulturního života je naší životní potře</w:t>
      </w:r>
      <w:r>
        <w:softHyphen/>
        <w:t>bou. Je proto žádoucí, že všichni, jdouce za stejným cílem, cítíme nezpůsobilost dřívějšího rozčlenění a tech</w:t>
      </w:r>
      <w:r>
        <w:softHyphen/>
        <w:t xml:space="preserve">nického zesílení kulturního života. Záměna poměrů </w:t>
      </w:r>
      <w:r>
        <w:t>se stala pro nás podmínkou k vytvoření nového stroje, který má rychleji, účelněji a naléhavěji vyrábět duchov</w:t>
      </w:r>
      <w:r>
        <w:softHyphen/>
        <w:t>ní hodnoty dnes tak potřebné našemu životu. Ne od</w:t>
      </w:r>
      <w:r>
        <w:softHyphen/>
        <w:t>straňováním osob - nýbrž zařáděním jich do procesu vytvoříme předpoklady k správnému základu nov</w:t>
      </w:r>
      <w:r>
        <w:t>é orga</w:t>
      </w:r>
      <w:r>
        <w:softHyphen/>
        <w:t>nisace kulturního života. Ne bezhlavou výměnou rozho</w:t>
      </w:r>
      <w:r>
        <w:softHyphen/>
        <w:t>dujících osob, nýbrž doplněním a vylepšením řad kul</w:t>
      </w:r>
      <w:r>
        <w:softHyphen/>
        <w:t>turních pracovníků dojdeme vytčeného cíle. Ne vyřá</w:t>
      </w:r>
      <w:r>
        <w:softHyphen/>
        <w:t>děním uměleckých odborníků z rozhodujících míst, nýbrž zařáděním jich na místa, jaká mohou za</w:t>
      </w:r>
      <w:r>
        <w:t>stávat, uskuteč</w:t>
      </w:r>
      <w:r>
        <w:softHyphen/>
        <w:t>níme z valné části nový kulturní program. Budeme-li požadovat od každého umělce a vědce, aby odpovědně plnil svůj úkol, který mu dnes jeho rodná země ukládá, pak učiníme pro národní věc daleko více, než dlouhými úvahami o ínárodní fradicia,</w:t>
      </w:r>
      <w:r>
        <w:t xml:space="preserve"> kterou prozatím nedove</w:t>
      </w:r>
      <w:r>
        <w:softHyphen/>
        <w:t>deme dostatečně bez pomoci odborníků doložit a sta</w:t>
      </w:r>
      <w:r>
        <w:softHyphen/>
        <w:t>novit.</w:t>
      </w:r>
    </w:p>
    <w:p w:rsidR="00500724" w:rsidRDefault="00F30FB8">
      <w:pPr>
        <w:pStyle w:val="Zkladntext100"/>
        <w:shd w:val="clear" w:color="auto" w:fill="auto"/>
        <w:spacing w:after="120" w:line="221" w:lineRule="auto"/>
        <w:ind w:firstLine="0"/>
        <w:jc w:val="center"/>
      </w:pPr>
      <w:r>
        <w:t>•</w:t>
      </w:r>
    </w:p>
    <w:p w:rsidR="00500724" w:rsidRDefault="00F30FB8">
      <w:pPr>
        <w:pStyle w:val="Zkladntext100"/>
        <w:shd w:val="clear" w:color="auto" w:fill="auto"/>
        <w:spacing w:line="218" w:lineRule="auto"/>
        <w:ind w:firstLine="260"/>
      </w:pPr>
      <w:r>
        <w:t>Jak bylo vidět z výnosu Vůdce a říšského kancléře, jistě je uvědomení o kultuře toho kterého národa na tako</w:t>
      </w:r>
      <w:r>
        <w:softHyphen/>
        <w:t>vém stupni, že se již ztotožňuje s národním životem sa- mým a že</w:t>
      </w:r>
      <w:r>
        <w:t xml:space="preserve"> representuje národní život v prvé řadě. Nevím, proč my, kterých se tento výnos tak blízko týká, nemáme vědět, že všechno to, jakým způsobem jsme kulturu při</w:t>
      </w:r>
      <w:r>
        <w:softHyphen/>
        <w:t>vedli na svět, musí se dnes v zásadě přizpůsobit tempu, které hýbe světem a musí nabýt plastiky, p</w:t>
      </w:r>
      <w:r>
        <w:t>ružnosti a schopnosti rychle reagovat. Největší chyby v našem kul</w:t>
      </w:r>
      <w:r>
        <w:softHyphen/>
        <w:t>turním životě bychom se dopustili právě svou nedostateč</w:t>
      </w:r>
      <w:r>
        <w:softHyphen/>
        <w:t>nou schopností rychle a včas vyjádřit to, co hýbá Jidem našeho národa. Dnes, kdy od nás očekává náš lid, že mu budeme oporou a nejen t</w:t>
      </w:r>
      <w:r>
        <w:t>o, že mu budeme vytvářet nápln celého jeho národního vyžití, není možno stejnými orga- nisačními prostředky stačit na tento úkol. Je tu spousta věcí, které nás zatěžují. Navykli jsme si úřadovat, po</w:t>
      </w:r>
      <w:r>
        <w:softHyphen/>
        <w:t>píšeme příliš mnoho papíru a hlavně nemluvíme jasně k lid</w:t>
      </w:r>
      <w:r>
        <w:t xml:space="preserve">u. Náš lid dokázal v nejtěžších dobách, že stojí na předním místě mezi inteligentními národy </w:t>
      </w:r>
      <w:r>
        <w:rPr>
          <w:rFonts w:ascii="Arial" w:eastAsia="Arial" w:hAnsi="Arial" w:cs="Arial"/>
          <w:b/>
          <w:bCs/>
        </w:rPr>
        <w:t xml:space="preserve">a </w:t>
      </w:r>
      <w:r>
        <w:t>proto nepo</w:t>
      </w:r>
      <w:r>
        <w:softHyphen/>
        <w:t>třebuje, aby se mu co zakrývalo. Naopak. Jasnost, a třeba velmi smutná pravda, prospěje mu a upevní ho spíše, než chlácholení, obcházení a bázeň proje</w:t>
      </w:r>
      <w:r>
        <w:t>vit to, co se stalo. Nelze hrát pomalou hru. Nelze vymýšlet hesla, která se nedají stanovit činem.</w:t>
      </w:r>
    </w:p>
    <w:p w:rsidR="00500724" w:rsidRDefault="00F30FB8">
      <w:pPr>
        <w:pStyle w:val="Zkladntext50"/>
        <w:shd w:val="clear" w:color="auto" w:fill="auto"/>
        <w:spacing w:line="223" w:lineRule="auto"/>
        <w:ind w:left="0" w:firstLine="260"/>
        <w:rPr>
          <w:sz w:val="18"/>
          <w:szCs w:val="18"/>
        </w:rPr>
      </w:pPr>
      <w:r>
        <w:rPr>
          <w:b/>
          <w:bCs/>
          <w:sz w:val="18"/>
          <w:szCs w:val="18"/>
        </w:rPr>
        <w:t>V našem divadelním, hudebním a výtvarném životě je spousta spolků, společků, rozdrobených společností, které</w:t>
      </w:r>
    </w:p>
    <w:p w:rsidR="00500724" w:rsidRDefault="00F30FB8">
      <w:pPr>
        <w:pStyle w:val="Zkladntext100"/>
        <w:shd w:val="clear" w:color="auto" w:fill="auto"/>
        <w:spacing w:line="216" w:lineRule="auto"/>
        <w:ind w:firstLine="0"/>
      </w:pPr>
      <w:r>
        <w:t>jedna s druhou dodnes ješíš nemluví. To snad moh</w:t>
      </w:r>
      <w:r>
        <w:t>lo pro</w:t>
      </w:r>
      <w:r>
        <w:softHyphen/>
        <w:t>spíval včerejšku, ale dnes je to na škodu. Není soutěže tam, kde není k soutěži vůle. A o soutěž dnes jde, a to o soutěž nejkrásnější, protože má jeden zájem a jeden cíl. Přivést na světlo dílo, hodné těchto dnů, dílo, které nejen obohatí náš život,</w:t>
      </w:r>
      <w:r>
        <w:t xml:space="preserve"> ale bude příslibem do budoucnosti. Není dobrým umělcem a dobrým kulturním pracovníkem ten, který se vyhýbá těžké skutečnosti a který nedovede najít tvůrčího východiska. Jsem přesvědčen, že mezi našimi kulturními pracovníky nenastala tak velká tvůrčí depre</w:t>
      </w:r>
      <w:r>
        <w:t>se, že by se nedalo pomýšlet na organisaci s novými a v mno</w:t>
      </w:r>
      <w:r>
        <w:softHyphen/>
        <w:t>hém obrozenými silami.</w:t>
      </w:r>
    </w:p>
    <w:p w:rsidR="00500724" w:rsidRDefault="00F30FB8">
      <w:pPr>
        <w:pStyle w:val="Zkladntext100"/>
        <w:shd w:val="clear" w:color="auto" w:fill="auto"/>
        <w:spacing w:line="214" w:lineRule="auto"/>
        <w:ind w:firstLine="260"/>
      </w:pPr>
      <w:r>
        <w:t>Přirozeně, že nebude možno počítat do budoucnosti s těmi, kterým je dnešní doba jen novou příležitostí k to</w:t>
      </w:r>
      <w:r>
        <w:softHyphen/>
        <w:t>mu, aby složili ruce v klín. S těmi jsme se potkávali při každá p</w:t>
      </w:r>
      <w:r>
        <w:t xml:space="preserve">říležitosti, v každé době, ať byla jakákoli. A vždy si našli příležitost k tomu, aby mohli říci, že to neb ono nejde, protože je to takové a takové. Dnes, když se k tomu přidruží ještě bázeň, anebo při nejmenším malodušnost, ztratíme ještě několik lidí, s </w:t>
      </w:r>
      <w:r>
        <w:t>kterými jsme najisto počítali v budování naší národní kultury. Ale ti, kteří zbývají, ti, myslím, jsou pevně rozhodnuti uchopit znovu prapor prá</w:t>
      </w:r>
      <w:r>
        <w:softHyphen/>
        <w:t>ce pro takový statečný a krásný lid, jaký je u nás. Ne</w:t>
      </w:r>
      <w:r>
        <w:softHyphen/>
        <w:t xml:space="preserve">smíme si ohraničovat svůj život čarami na mapě. Smetana </w:t>
      </w:r>
      <w:r>
        <w:t>je velkým světovým skladatelem. Jeho národní umění je snad proto tak národní, že dovedlo před celým světem postavit obraz české kultivované duše. Mánes je světo</w:t>
      </w:r>
      <w:r>
        <w:softHyphen/>
        <w:t>vým malířem. Jeho obrazy nebyly a nejsou určeny pro cestu mezi Hradcem a Plzní a nikdo nemůže ř</w:t>
      </w:r>
      <w:r>
        <w:t xml:space="preserve">íci, když se na jeho obrazy podívá, že by vyjadřovaly něco jiného než to, co mu dala jeho rodná země a jeho rodná matka. Olbracht </w:t>
      </w:r>
      <w:r>
        <w:rPr>
          <w:rFonts w:ascii="Arial" w:eastAsia="Arial" w:hAnsi="Arial" w:cs="Arial"/>
          <w:b/>
          <w:bCs/>
        </w:rPr>
        <w:t xml:space="preserve">a </w:t>
      </w:r>
      <w:r>
        <w:t>Čapek jsou světovými romanopisci ne proto, že by se jen duchovně sbližovali s několika spisovateli svého rázu ve světě, nýbr</w:t>
      </w:r>
      <w:r>
        <w:t>ž hlavně proto, že celý jejich styl, celá jejich tvorba, jejich překrásná čeština se může postavit do soutěže světové úrovně.</w:t>
      </w:r>
    </w:p>
    <w:p w:rsidR="00500724" w:rsidRDefault="00F30FB8">
      <w:pPr>
        <w:pStyle w:val="Zkladntext100"/>
        <w:shd w:val="clear" w:color="auto" w:fill="auto"/>
        <w:spacing w:line="214" w:lineRule="auto"/>
        <w:ind w:firstLine="260"/>
      </w:pPr>
      <w:r>
        <w:t>Při nové organisaci kulturního života nesmíme pohazo</w:t>
      </w:r>
      <w:r>
        <w:softHyphen/>
        <w:t>vat svými talenty a svými uměleckými díly, protože by se nám mohlo stát, že b</w:t>
      </w:r>
      <w:r>
        <w:t>ychom zahazovali to, o co se dnes neodborníci, ale přece jen lidé plni dobré vůle, pokoušejí pod heslem národní kultury.</w:t>
      </w:r>
    </w:p>
    <w:p w:rsidR="00500724" w:rsidRDefault="00F30FB8">
      <w:pPr>
        <w:pStyle w:val="Zkladntext100"/>
        <w:shd w:val="clear" w:color="auto" w:fill="auto"/>
        <w:spacing w:line="214" w:lineRule="auto"/>
        <w:ind w:firstLine="260"/>
      </w:pPr>
      <w:r>
        <w:t>Reorganisace našeho kulturního života by se měla dít přibližně toutéž cestou jako reorganisace politická. Přede</w:t>
      </w:r>
      <w:r>
        <w:softHyphen/>
        <w:t>vším musí padnout hrani</w:t>
      </w:r>
      <w:r>
        <w:t>ce, které dělily spisovatele, uměl</w:t>
      </w:r>
      <w:r>
        <w:softHyphen/>
        <w:t>ce, výtvarníky, vědu, hranice vyloženě politické. Je-li zde naprostá ochota a naprostá ukázněnost umělců a kul</w:t>
      </w:r>
      <w:r>
        <w:softHyphen/>
        <w:t>turních pracovníků z bývalé strany levé, nevíme, proč by zde neměla být tatáž ochota a tatáž ukázněnost od kul</w:t>
      </w:r>
      <w:r>
        <w:softHyphen/>
        <w:t>turních pracovníků z bývalé strany pravé. Především to bezvýhradně ode všech požaduje pro</w:t>
      </w:r>
      <w:r>
        <w:softHyphen/>
        <w:t>spěch národní věci.</w:t>
      </w:r>
    </w:p>
    <w:p w:rsidR="00500724" w:rsidRDefault="00F30FB8">
      <w:pPr>
        <w:pStyle w:val="Zkladntext100"/>
        <w:shd w:val="clear" w:color="auto" w:fill="auto"/>
        <w:spacing w:line="209" w:lineRule="auto"/>
        <w:ind w:firstLine="260"/>
      </w:pPr>
      <w:r>
        <w:t>Český lid má plné právo žádat od svých kulturních pra</w:t>
      </w:r>
      <w:r>
        <w:softHyphen/>
        <w:t>covníků, aby odpovědně a naprosto jasně se postavili do jedné národní fronty, která musí za</w:t>
      </w:r>
      <w:r>
        <w:t>ručit zdravý rozvoj kulturní.</w:t>
      </w:r>
    </w:p>
    <w:p w:rsidR="00500724" w:rsidRDefault="00F30FB8">
      <w:pPr>
        <w:pStyle w:val="Zkladntext100"/>
        <w:shd w:val="clear" w:color="auto" w:fill="auto"/>
        <w:spacing w:line="230" w:lineRule="auto"/>
        <w:ind w:firstLine="260"/>
      </w:pPr>
      <w:r>
        <w:t xml:space="preserve">V našich divadlech na příklad musí již jednou přestat systém secesních ředitelských a hereckých manýr, není k tomu času. Tempo z let devadesátých bylo přirozeně jiné, než tempo našeho století, a má-li býti pravdou to, co tak </w:t>
      </w:r>
      <w:r>
        <w:t>krvavé naš lid myslel svým heslem sNárod sobět, pak ti, kteří pod tímto heslem pracují, musí neméně vážně chapat svůj úkol. Vysezená místa a pohodlné úřadování nepatři do Stánku umem. Není možno zatěžovat umělce úředními akty, protože na to jsou ústavy k t</w:t>
      </w:r>
      <w:r>
        <w:t>omu kompe</w:t>
      </w:r>
      <w:r>
        <w:softHyphen/>
        <w:t>tentní a protože to může jenom znemožňovat tvůrčí fanta</w:t>
      </w:r>
      <w:r>
        <w:softHyphen/>
        <w:t>sii, dnes lak důležitého umělce. Každý na své místo, úředník do úřadu a umělec k umění. Bylo by to absurdní, kdybychom chtěli, aby umělci zasedali v mini</w:t>
      </w:r>
      <w:r>
        <w:softHyphen/>
        <w:t>sterstvech a v úřadovnách a úředníci</w:t>
      </w:r>
      <w:r>
        <w:t xml:space="preserve"> hráli v orchestrech, dirigovali nebo hráli. Máme mnoho dramaturgů, ale žádný program. Každý sebe menší dobový otřes může způsobit, že náš vysněný dům kultury se zhroutí jako domeček z karet. Ryba hnije od hlavy a je-li něco shnilého v diva</w:t>
      </w:r>
      <w:r>
        <w:softHyphen/>
        <w:t>delním životě č</w:t>
      </w:r>
      <w:r>
        <w:t xml:space="preserve">eském, pak hledejme nápravu-nahoře. Není </w:t>
      </w:r>
      <w:r>
        <w:rPr>
          <w:rFonts w:ascii="Arial" w:eastAsia="Arial" w:hAnsi="Arial" w:cs="Arial"/>
          <w:b/>
          <w:bCs/>
        </w:rPr>
        <w:t>fl£&gt;0</w:t>
      </w:r>
    </w:p>
    <w:p w:rsidR="00500724" w:rsidRDefault="00F30FB8">
      <w:pPr>
        <w:pStyle w:val="Zkladntext100"/>
        <w:shd w:val="clear" w:color="auto" w:fill="auto"/>
        <w:spacing w:after="40" w:line="240" w:lineRule="auto"/>
        <w:ind w:firstLine="0"/>
      </w:pPr>
      <w:r>
        <w:t>pravda, že by bylo málo vůle mezi umělci. Není pravda, že by bylo málo talentů, není pravda, že by muselo být herecké neb podobné nezaměstnanosti, nýbrž je pravda, že si vedoucí činitelé neví s divadly rady. N</w:t>
      </w:r>
      <w:r>
        <w:t>ení pravda, že by divadlo záleželo hlavně ve špatném hraní a ve vý</w:t>
      </w:r>
      <w:r>
        <w:softHyphen/>
        <w:t>tečném pobírání subvencí, nýbrž je pravda, že divadelní tvorba bude moci rozkvétal teprve tehdy, až celý způ</w:t>
      </w:r>
      <w:r>
        <w:softHyphen/>
        <w:t xml:space="preserve">sob organisační a technický bude k tomu uzpůsoben. Právě tak je tomu v hudebním </w:t>
      </w:r>
      <w:r>
        <w:t>životě a rozhlase. Nikdy se ničeho od našich institucí nedočkáme, dokud jim nedáme organisačně pevnou pá</w:t>
      </w:r>
      <w:r>
        <w:softHyphen/>
        <w:t>teř a dokud nebudou činitelé těchto insti</w:t>
      </w:r>
      <w:r>
        <w:softHyphen/>
        <w:t xml:space="preserve">tucí pohnáni k odpovědnosti co do činů. </w:t>
      </w:r>
      <w:r>
        <w:rPr>
          <w:i/>
          <w:iCs/>
        </w:rPr>
        <w:t>Sydney Horler:</w:t>
      </w:r>
    </w:p>
    <w:p w:rsidR="00500724" w:rsidRDefault="00F30FB8">
      <w:pPr>
        <w:pStyle w:val="Nadpis100"/>
        <w:shd w:val="clear" w:color="auto" w:fill="auto"/>
        <w:spacing w:line="240" w:lineRule="auto"/>
      </w:pPr>
      <w:bookmarkStart w:id="480" w:name="bookmark479"/>
      <w:r>
        <w:t>Literatura na výdělek</w:t>
      </w:r>
      <w:bookmarkEnd w:id="480"/>
    </w:p>
    <w:p w:rsidR="00500724" w:rsidRDefault="00F30FB8">
      <w:pPr>
        <w:pStyle w:val="Zkladntext100"/>
        <w:shd w:val="clear" w:color="auto" w:fill="auto"/>
        <w:spacing w:after="40" w:line="221" w:lineRule="auto"/>
        <w:ind w:firstLine="0"/>
        <w:jc w:val="center"/>
      </w:pPr>
      <w:r>
        <w:t>Přetíženýtrh</w:t>
      </w:r>
    </w:p>
    <w:p w:rsidR="00500724" w:rsidRDefault="00F30FB8">
      <w:pPr>
        <w:pStyle w:val="Zkladntext100"/>
        <w:shd w:val="clear" w:color="auto" w:fill="auto"/>
        <w:spacing w:after="40" w:line="221" w:lineRule="auto"/>
        <w:ind w:firstLine="320"/>
      </w:pPr>
      <w:r>
        <w:t>Nevím, jestli si ně</w:t>
      </w:r>
      <w:r>
        <w:t>kdo uvědomuje, jak je v dnešní době literární trh přetížen. I nejzapadlejší týdeníky do</w:t>
      </w:r>
      <w:r>
        <w:softHyphen/>
        <w:t>stávají týdně hromadu rukopisů, kterou je nemožno pro</w:t>
      </w:r>
      <w:r>
        <w:softHyphen/>
        <w:t>číst. Není obvyklé, že časopis, který jen občas uveřejní krátkou povídku, je bombardován stem podobných na</w:t>
      </w:r>
      <w:r>
        <w:softHyphen/>
        <w:t>bídek t</w:t>
      </w:r>
      <w:r>
        <w:t>ýdně. A šťastný výherce dostane za svou výhru částku tří guineí. často jsem si myslil, že kdyby se pra</w:t>
      </w:r>
      <w:r>
        <w:softHyphen/>
        <w:t>covní síly, vydané na neužitečné psaní, použilo na jiný obor práce, zvýšil by se obdivuhodně obrat tohoto oboru.</w:t>
      </w:r>
    </w:p>
    <w:p w:rsidR="00500724" w:rsidRDefault="00F30FB8">
      <w:pPr>
        <w:pStyle w:val="Zkladntext100"/>
        <w:shd w:val="clear" w:color="auto" w:fill="auto"/>
        <w:spacing w:after="40" w:line="221" w:lineRule="auto"/>
        <w:ind w:firstLine="320"/>
      </w:pPr>
      <w:r>
        <w:t>Měl jsem příležitost nahlédnouti do toho</w:t>
      </w:r>
      <w:r>
        <w:t xml:space="preserve"> návalu, když jsem byl zaměstnán v jedné redakci. Denně jsem probíral hromady zásilek, jejichž jediným účelem bylo zapálit ranní oheň nebo tvořit obal hokynářských balíčků. Tisíce strojem napsaných slov na tisíci archů většinou nečistého papíru. Viděl jsem</w:t>
      </w:r>
      <w:r>
        <w:t xml:space="preserve"> v duchu tu řadu kandidátů literatury, skloněných nad psacími stroji, vyčerpaných únavou, ještě vyčerpanějších nesplněnými nadějemi. Již to bylo dost zlé, ale ještě horší bylo vědomí, že mnoho povídek ne</w:t>
      </w:r>
      <w:r>
        <w:softHyphen/>
        <w:t>pochybné literární ceny nemělo, alespoň pro naši red</w:t>
      </w:r>
      <w:r>
        <w:t>akci, obchodní ceny. Pamatuji se na nepříjemný pocit, když jsem musil vrátit známému spisovateli neméně než osm krátkých povídek najednou. Ani uznávaní spisovatelé dobré pověsti neměli možnosti otevřití tento seznam.</w:t>
      </w:r>
    </w:p>
    <w:p w:rsidR="00500724" w:rsidRDefault="00F30FB8">
      <w:pPr>
        <w:pStyle w:val="Zkladntext100"/>
        <w:shd w:val="clear" w:color="auto" w:fill="auto"/>
        <w:spacing w:after="40" w:line="221" w:lineRule="auto"/>
        <w:ind w:firstLine="320"/>
      </w:pPr>
      <w:r>
        <w:t xml:space="preserve">Tato hrozná soutěž roste každým rokem. </w:t>
      </w:r>
      <w:r>
        <w:t>Spolehlivé statistiky dokazují, že pouze dvě procenta rukopisů za</w:t>
      </w:r>
      <w:r>
        <w:softHyphen/>
        <w:t>slaných časopisům mají naději na přijetí. Procento při</w:t>
      </w:r>
      <w:r>
        <w:softHyphen/>
        <w:t>jatých rukopisů románů je snad o něco vyšší. To však neznamená, že šťastní autoři mohou očekávat přiměřenou odměnu. Známý literární age</w:t>
      </w:r>
      <w:r>
        <w:t xml:space="preserve">nt Michael </w:t>
      </w:r>
      <w:r>
        <w:rPr>
          <w:lang w:val="en-US" w:eastAsia="en-US" w:bidi="en-US"/>
        </w:rPr>
        <w:t xml:space="preserve">Joseph </w:t>
      </w:r>
      <w:r>
        <w:t>z nakla</w:t>
      </w:r>
      <w:r>
        <w:softHyphen/>
        <w:t xml:space="preserve">datelství </w:t>
      </w:r>
      <w:r>
        <w:rPr>
          <w:lang w:val="en-US" w:eastAsia="en-US" w:bidi="en-US"/>
        </w:rPr>
        <w:t xml:space="preserve">Curtis Brown Ltd </w:t>
      </w:r>
      <w:r>
        <w:t>uveřejnil o tom několik čísel:</w:t>
      </w:r>
    </w:p>
    <w:p w:rsidR="00500724" w:rsidRDefault="00F30FB8">
      <w:pPr>
        <w:pStyle w:val="Zkladntext100"/>
        <w:shd w:val="clear" w:color="auto" w:fill="auto"/>
        <w:spacing w:line="194" w:lineRule="auto"/>
        <w:ind w:firstLine="320"/>
      </w:pPr>
      <w:r>
        <w:t xml:space="preserve">^Průměrný honorář, který autor dostane v procentech, je 25 liber. Při délce 90.000 slov to znamená asi 5 shillingů 6 pencí za tisíc slov. Když se odečte vydání za psaní na </w:t>
      </w:r>
      <w:r>
        <w:t>stroji, papír, poštovné a (pravděpodobně) procenta literár</w:t>
      </w:r>
      <w:r>
        <w:softHyphen/>
        <w:t xml:space="preserve">ního agenta, je čistý výtěžek 3 shillingy 6 pencí. Počítejme, že spisovatel potřeboval průměrně tři hodiny na každých tisíc slov (přímo na psaní, k tomu připočtěme přemýšlení a dodatečnou úpravu), </w:t>
      </w:r>
      <w:r>
        <w:t xml:space="preserve">a dojdeme ke konečné částce něco přes </w:t>
      </w:r>
      <w:r>
        <w:rPr>
          <w:lang w:val="en-US" w:eastAsia="en-US" w:bidi="en-US"/>
        </w:rPr>
        <w:t xml:space="preserve">shilling </w:t>
      </w:r>
      <w:r>
        <w:t>za hodinu. To znamená, že průměrná &gt;prvo- tina«, nebo kniha od neznámého spisovatele může vynést něco málo víc než je obvyklý plat posluhovačky. A ani k tomu nedostane nádavkem šálek čaje jako ona.«</w:t>
      </w:r>
    </w:p>
    <w:p w:rsidR="00500724" w:rsidRDefault="00F30FB8">
      <w:pPr>
        <w:pStyle w:val="Zkladntext100"/>
        <w:shd w:val="clear" w:color="auto" w:fill="auto"/>
        <w:spacing w:line="223" w:lineRule="auto"/>
        <w:ind w:firstLine="320"/>
      </w:pPr>
      <w:r>
        <w:t xml:space="preserve">Norman R. </w:t>
      </w:r>
      <w:r>
        <w:rPr>
          <w:lang w:val="en-US" w:eastAsia="en-US" w:bidi="en-US"/>
        </w:rPr>
        <w:t xml:space="preserve">Collins, </w:t>
      </w:r>
      <w:r>
        <w:t xml:space="preserve">literární kritik, se ptá v News </w:t>
      </w:r>
      <w:r>
        <w:rPr>
          <w:lang w:val="en-US" w:eastAsia="en-US" w:bidi="en-US"/>
        </w:rPr>
        <w:t xml:space="preserve">Chronicle: </w:t>
      </w:r>
      <w:r>
        <w:t>íProč všichni ti lidé píší romány?« Drahý Collinsi, lidé páchají romány z těchto důvodů: 1. z ješit</w:t>
      </w:r>
      <w:r>
        <w:softHyphen/>
        <w:t>nosti, 2. protože se chtějí duševně vybít, 3. protože nějaká přítelkyně z bridgeového nebo golfového klu</w:t>
      </w:r>
      <w:r>
        <w:t>bu to také dělá, 4. protože chtějí v tisku vylíčit svého nepřítele,</w:t>
      </w:r>
    </w:p>
    <w:p w:rsidR="00500724" w:rsidRDefault="00F30FB8">
      <w:pPr>
        <w:pStyle w:val="Zkladntext100"/>
        <w:numPr>
          <w:ilvl w:val="0"/>
          <w:numId w:val="57"/>
        </w:numPr>
        <w:shd w:val="clear" w:color="auto" w:fill="auto"/>
        <w:tabs>
          <w:tab w:val="left" w:pos="265"/>
        </w:tabs>
        <w:spacing w:line="223" w:lineRule="auto"/>
        <w:ind w:firstLine="0"/>
      </w:pPr>
      <w:r>
        <w:t>protože nemají nic lepšího na práci, 6. protože je to teď v módě, 7. protože mnozí z nich jsou velmi hloupí a myslí, že z toho koukají peníze, 8. protože pro několik málo z nich je fo sluš</w:t>
      </w:r>
      <w:r>
        <w:t>ný způsob, jak si vydělávat na živobytí.</w:t>
      </w:r>
    </w:p>
    <w:p w:rsidR="00500724" w:rsidRDefault="00F30FB8">
      <w:pPr>
        <w:pStyle w:val="Zkladntext100"/>
        <w:shd w:val="clear" w:color="auto" w:fill="auto"/>
        <w:spacing w:after="40" w:line="223" w:lineRule="auto"/>
        <w:ind w:firstLine="320"/>
        <w:sectPr w:rsidR="00500724">
          <w:footnotePr>
            <w:numFmt w:val="chicago"/>
            <w:numRestart w:val="eachPage"/>
          </w:footnotePr>
          <w:type w:val="continuous"/>
          <w:pgSz w:w="11909" w:h="16834"/>
          <w:pgMar w:top="1471" w:right="829" w:bottom="973" w:left="582" w:header="0" w:footer="3" w:gutter="0"/>
          <w:cols w:num="2" w:space="119"/>
          <w:noEndnote/>
          <w:docGrid w:linePitch="360"/>
        </w:sectPr>
      </w:pPr>
      <w:r>
        <w:t xml:space="preserve">Ale, řekněte, někteří spisovatelé si slušně vydělávají, </w:t>
      </w:r>
      <w:r>
        <w:rPr>
          <w:b/>
          <w:bCs/>
          <w:sz w:val="19"/>
          <w:szCs w:val="19"/>
        </w:rPr>
        <w:t xml:space="preserve">i </w:t>
      </w:r>
      <w:r>
        <w:t xml:space="preserve">kdyžcesta k </w:t>
      </w:r>
      <w:r>
        <w:rPr>
          <w:rFonts w:ascii="Arial" w:eastAsia="Arial" w:hAnsi="Arial" w:cs="Arial"/>
          <w:b/>
          <w:bCs/>
        </w:rPr>
        <w:t xml:space="preserve">tomu </w:t>
      </w:r>
      <w:r>
        <w:t>,je tak dlouhá- Pravda.: a jsa, sán*</w:t>
      </w:r>
    </w:p>
    <w:p w:rsidR="00500724" w:rsidRDefault="00F30FB8">
      <w:pPr>
        <w:pStyle w:val="Zkladntext100"/>
        <w:shd w:val="clear" w:color="auto" w:fill="auto"/>
        <w:spacing w:after="120" w:line="221" w:lineRule="auto"/>
        <w:ind w:firstLine="0"/>
      </w:pPr>
      <w:r>
        <w:t xml:space="preserve">jedním z nich, nepopírám, že lze dnes vydělat slušné peníze perem. V čem </w:t>
      </w:r>
      <w:r>
        <w:t>to tedy vězí? Řekl bych, že první nej důležitější podmínkou je psát poutavě, udržet čtená</w:t>
      </w:r>
      <w:r>
        <w:softHyphen/>
        <w:t>řovu pozornost od začátku až do konce. Můžete mít nej</w:t>
      </w:r>
      <w:r>
        <w:softHyphen/>
        <w:t xml:space="preserve">lepší vzdělání, můžete mít největší dar jazyka, můžete se umět bavit s vyslanci a králi — ale nebudete stát ani </w:t>
      </w:r>
      <w:r>
        <w:t xml:space="preserve">za </w:t>
      </w:r>
      <w:r>
        <w:rPr>
          <w:lang w:val="en-US" w:eastAsia="en-US" w:bidi="en-US"/>
        </w:rPr>
        <w:t xml:space="preserve">shilling </w:t>
      </w:r>
      <w:r>
        <w:t>jako spisovatel, jestliže nemáte vrozenou zruč</w:t>
      </w:r>
      <w:r>
        <w:softHyphen/>
        <w:t>nost vyprávět příběh. Druhou podmínkou je píle. Praco</w:t>
      </w:r>
      <w:r>
        <w:softHyphen/>
        <w:t>vat, pracovat. Moderní názor, že dnešní úspěšný spiso</w:t>
      </w:r>
      <w:r>
        <w:softHyphen/>
        <w:t>vatel žije jako v ráji, je tak směšný, že se jím ani nebudu zabývat. Nejúspěšnější americ</w:t>
      </w:r>
      <w:r>
        <w:t xml:space="preserve">ká spisovatelka Mary </w:t>
      </w:r>
      <w:r>
        <w:rPr>
          <w:lang w:val="en-US" w:eastAsia="en-US" w:bidi="en-US"/>
        </w:rPr>
        <w:t>Ro</w:t>
      </w:r>
      <w:r>
        <w:rPr>
          <w:lang w:val="en-US" w:eastAsia="en-US" w:bidi="en-US"/>
        </w:rPr>
        <w:softHyphen/>
        <w:t xml:space="preserve">berts Rinehart </w:t>
      </w:r>
      <w:r>
        <w:t>prohlásila: » Pracuji tak těžce jako každá posluhovačka - i když jiným způsobem.*</w:t>
      </w:r>
    </w:p>
    <w:p w:rsidR="00500724" w:rsidRDefault="00F30FB8">
      <w:pPr>
        <w:pStyle w:val="Zkladntext100"/>
        <w:shd w:val="clear" w:color="auto" w:fill="auto"/>
        <w:spacing w:after="40" w:line="221" w:lineRule="auto"/>
        <w:ind w:firstLine="0"/>
        <w:jc w:val="center"/>
      </w:pPr>
      <w:r>
        <w:t>Povídky do časopisů nebo romány?</w:t>
      </w:r>
    </w:p>
    <w:p w:rsidR="00500724" w:rsidRDefault="00F30FB8">
      <w:pPr>
        <w:pStyle w:val="Zkladntext100"/>
        <w:shd w:val="clear" w:color="auto" w:fill="auto"/>
        <w:spacing w:line="221" w:lineRule="auto"/>
        <w:ind w:firstLine="320"/>
      </w:pPr>
      <w:r>
        <w:t>Mladý spisovatel, který se rozhodne pro literární dráhu, musí jednoho dne dojít k velmi závažnému roz</w:t>
      </w:r>
      <w:r>
        <w:softHyphen/>
      </w:r>
      <w:r>
        <w:t>hodnutí: má se v budoucnosti proslavit pouze jako spiso</w:t>
      </w:r>
      <w:r>
        <w:softHyphen/>
        <w:t>vatel povídek pro časopisy, což prakticky nevede nikam v očích velké čtenářské obce, nebo se má pustit do psaní seriálů a knih? Musím říci z vlastni zkušenosti, že úspěš</w:t>
      </w:r>
      <w:r>
        <w:softHyphen/>
        <w:t>nému spisovateli prostě nestoj</w:t>
      </w:r>
      <w:r>
        <w:t>í za to soustředit se na psaní krátkých povídek pro časopisy. Krátká povídka obvyklé délky v časopisech, t. j. 4000 až 6000 slov - musí obsahovat celou zápletku. Jinými slovy, musíte soustředit dobrý nápad do velmi malého prostoru. Ale nemáte-li slavné jmé</w:t>
      </w:r>
      <w:r>
        <w:t>no v časopisech, dostanete za tuto povídku nejvýš 30 guineí — a v dnešní době ani nakladatelé ne- mrhají takovými šeky. Spisovatel má štěstí, když prodá osm takových povídek ročně. Výsledek je tedy, že cel</w:t>
      </w:r>
      <w:r>
        <w:softHyphen/>
        <w:t>kový příjem za celoroční práci je 240 guineí, minu</w:t>
      </w:r>
      <w:r>
        <w:t>s 10% lagentovi, jestliže nějakého má - a většina spisovatelů pro časopisy má agenty, kteří je zastupují. 225 liber za celoroční práci — když máte velké štěstí. A tato částka představuje nejvíc, kolik můžete doslat. Nakladatelé cou</w:t>
      </w:r>
      <w:r>
        <w:softHyphen/>
        <w:t>vají, když jim navrhnete</w:t>
      </w:r>
      <w:r>
        <w:t xml:space="preserve"> knihu krátkých povídek. Řeknou vám, že v devíti případech z desíti se prostě taková kniha neprodá.</w:t>
      </w:r>
    </w:p>
    <w:p w:rsidR="00500724" w:rsidRDefault="00F30FB8">
      <w:pPr>
        <w:pStyle w:val="Zkladntext100"/>
        <w:shd w:val="clear" w:color="auto" w:fill="auto"/>
        <w:spacing w:line="221" w:lineRule="auto"/>
        <w:ind w:firstLine="320"/>
      </w:pPr>
      <w:r>
        <w:t>Tolik o spisovateli, který se soustředí na psaní poví</w:t>
      </w:r>
      <w:r>
        <w:softHyphen/>
        <w:t>dek. Podívejte se teď na druhou stránku. Když má dobrý nápad, je mu stejně snadné napsat 75.000 slov k</w:t>
      </w:r>
      <w:r>
        <w:t>olem jednoho námětu, jako 5000. Některé náměty ani nemohou být stlačeny do povídky. Jaký výdělek může očekávat průměrný spisovatel od 75.000 slov, pěkně na stroji na</w:t>
      </w:r>
      <w:r>
        <w:softHyphen/>
        <w:t>ťukaných a připravených pro knižní trh? Předně má velkou naději, že prodá v Anglii autorsk</w:t>
      </w:r>
      <w:r>
        <w:t>é právo na po</w:t>
      </w:r>
      <w:r>
        <w:softHyphen/>
        <w:t>kračování do novin. Co za to dostane? To je různé. Dostal jsem až 500 guineí za seriál, ale dostal jsem také jen 200 guineí. To záleží na šlechetnosti nakladatele, na část</w:t>
      </w:r>
      <w:r>
        <w:softHyphen/>
        <w:t>ce, kterou mu ředitelé dovolí vydat, na proslulosti spiso</w:t>
      </w:r>
      <w:r>
        <w:softHyphen/>
        <w:t>vatele a jin</w:t>
      </w:r>
      <w:r>
        <w:t xml:space="preserve">ých okolnostech. Vezměme však průměr a řekněme, že spisovatel dostane alespoň 250 liber za román, k jehož napsání patrně potřeboval méně času než k napsání osmi krátkých povídek. Pak přijde knižní vydání. Jak jsem již dříve řekl, nemůže spisovatel prvního </w:t>
      </w:r>
      <w:r>
        <w:t xml:space="preserve">románu očekávat více než bídnou částku 25 liber </w:t>
      </w:r>
      <w:r>
        <w:rPr>
          <w:vertAlign w:val="subscript"/>
        </w:rPr>
        <w:t>ř</w:t>
      </w:r>
      <w:r>
        <w:t xml:space="preserve"> ale román má otevřeny ještě jiné možnosti. Na příklad je tu naděje, že jej prodá do Ameriky/ mnohem menší naděje, že jej prodá do amerických novin na pokračování/ a ne</w:t>
      </w:r>
      <w:r>
        <w:softHyphen/>
        <w:t>konečně malá naděje — ačkoli se to stá</w:t>
      </w:r>
      <w:r>
        <w:t>vá — že jej prodá pro film.</w:t>
      </w:r>
    </w:p>
    <w:p w:rsidR="00500724" w:rsidRDefault="00F30FB8">
      <w:pPr>
        <w:pStyle w:val="Zkladntext100"/>
        <w:shd w:val="clear" w:color="auto" w:fill="auto"/>
        <w:spacing w:line="221" w:lineRule="auto"/>
        <w:ind w:firstLine="320"/>
      </w:pPr>
      <w:r>
        <w:t>A co více - a to je snad nej důležitější - spisovatel se mnohem rychleji proslaví románem, než když se jeho jméno objeví v obsahu časopisu, třeba sebe důležitějšího. Vezměte si jen spisovatele, kteří jsou u nás nejznámější. Proč</w:t>
      </w:r>
      <w:r>
        <w:t xml:space="preserve"> jsou nejznámějí? Pro své romány. Několik velmi šťastných dovedlo ovládnout knižní i časopisecký trh — ale kolik jich je?, mohli byste je spočítat na prstech. A i ti šli do časopisů jen proto, že pro úspěch románu jim byl nabídnut velký honorář za krátkou </w:t>
      </w:r>
      <w:r>
        <w:t>povídku. Je-li však autor otiskován pouze v časopisech, pak to znamená, že je na ně úplně odkázán. Nedostane každých šest měsíců procenta, jako spisovatel románů. Každá povídka bude žít jen tu přechodnou dobu, pokud existuje měsíční nebo týdenní časopis. P</w:t>
      </w:r>
      <w:r>
        <w:t>otom - zapomnění.</w:t>
      </w:r>
    </w:p>
    <w:p w:rsidR="00500724" w:rsidRDefault="00F30FB8">
      <w:pPr>
        <w:pStyle w:val="Zkladntext100"/>
        <w:shd w:val="clear" w:color="auto" w:fill="auto"/>
        <w:spacing w:line="218" w:lineRule="auto"/>
        <w:ind w:firstLine="300"/>
      </w:pPr>
      <w:r>
        <w:t xml:space="preserve">Docela jiné je to s románem. Kniha, která se jednou stane populární, žije dál a vynáší autorovi několik let. Neřadím se sám mezi obry, ale je fakt, že všechny knihy, které jsem napsal za posledních deset let, se dosud stále vydávají a </w:t>
      </w:r>
      <w:r>
        <w:t xml:space="preserve">stále mi přinášejí odměnu za dřívější práci. Můj první sensační román iTajemství č. 1« vychází v těchto dnech v devátém vydání. Tento román, dlouhý 90.000 slov, mi již vynesl hodně přes 1.200 liber. Nezdá se to mnoho, ale vyplatil se, když uvážím, že jsem </w:t>
      </w:r>
      <w:r>
        <w:t>na jeho napsání potřeboval jen dva měsíce — bylo to v době, kdy jsem psal všechno rukou — a že jsem k tomu nepřidal ani řádek od chvíle, kdy jsem jej dal z rukou.</w:t>
      </w:r>
    </w:p>
    <w:p w:rsidR="00500724" w:rsidRDefault="00F30FB8">
      <w:pPr>
        <w:pStyle w:val="Zkladntext100"/>
        <w:shd w:val="clear" w:color="auto" w:fill="auto"/>
        <w:spacing w:after="180" w:line="221" w:lineRule="auto"/>
        <w:ind w:firstLine="300"/>
      </w:pPr>
      <w:r>
        <w:t>Mnozí spisovatelé podle mého názoru si vybrali špat</w:t>
      </w:r>
      <w:r>
        <w:softHyphen/>
        <w:t>ně, když se rozhodli pro krátkou formu mí</w:t>
      </w:r>
      <w:r>
        <w:t>sto dlouhé. Vím, že je to vždy lákavé, když dostanou nabídku 50 až 60 guineí za 5000 nebo 6000 slov, ale člověk musí být v těchto věcech prozíravý, když se chce zajistit pro stáří. Kdybych se byl rozhodl pro psaní do časopisů, i kdyby bylo sebe úspěšnější,</w:t>
      </w:r>
      <w:r>
        <w:t xml:space="preserve"> jsem přesvědčen, že by můj roční příjem nebyl ani šestina toho, co mám dnes, a nebyl bych tak známý lidem, kteří dnes kupují mé knihy.</w:t>
      </w:r>
    </w:p>
    <w:p w:rsidR="00500724" w:rsidRDefault="00F30FB8">
      <w:pPr>
        <w:pStyle w:val="Zkladntext100"/>
        <w:shd w:val="clear" w:color="auto" w:fill="auto"/>
        <w:spacing w:after="60" w:line="223" w:lineRule="auto"/>
        <w:ind w:firstLine="0"/>
        <w:jc w:val="center"/>
      </w:pPr>
      <w:r>
        <w:t>Metoda psaní</w:t>
      </w:r>
    </w:p>
    <w:p w:rsidR="00500724" w:rsidRDefault="00F30FB8">
      <w:pPr>
        <w:pStyle w:val="Zkladntext100"/>
        <w:shd w:val="clear" w:color="auto" w:fill="auto"/>
        <w:spacing w:line="223" w:lineRule="auto"/>
        <w:ind w:firstLine="300"/>
      </w:pPr>
      <w:r>
        <w:t>Mnozí spisovatelé si stěžují, že nejobtížnější na psaní není vymýšlení námětů, ale kladení slov na papír. A</w:t>
      </w:r>
      <w:r>
        <w:t>ž dosud nám civilisace nabízí čtyři metody: 1. psát slova rukou, obtížná práce, které však dávají přednost mnozí slavní spisovatelé, na př. myslím H. G. Wells, 2. psát přímo na stroji, 3. diktovat stenografce, 4. diktovat do diktafonu.</w:t>
      </w:r>
    </w:p>
    <w:p w:rsidR="00500724" w:rsidRDefault="00F30FB8">
      <w:pPr>
        <w:pStyle w:val="Zkladntext100"/>
        <w:shd w:val="clear" w:color="auto" w:fill="auto"/>
        <w:spacing w:line="223" w:lineRule="auto"/>
        <w:ind w:firstLine="300"/>
      </w:pPr>
      <w:r>
        <w:t>Druhé metody užívá v</w:t>
      </w:r>
      <w:r>
        <w:t xml:space="preserve">elká většina našich spisovatelů, ple ještě více Američané. Americký Edgar </w:t>
      </w:r>
      <w:r>
        <w:rPr>
          <w:lang w:val="en-US" w:eastAsia="en-US" w:bidi="en-US"/>
        </w:rPr>
        <w:t xml:space="preserve">Wallace, </w:t>
      </w:r>
      <w:r>
        <w:t>spiso</w:t>
      </w:r>
      <w:r>
        <w:softHyphen/>
        <w:t xml:space="preserve">vatel jménem H. </w:t>
      </w:r>
      <w:r>
        <w:rPr>
          <w:lang w:val="en-US" w:eastAsia="en-US" w:bidi="en-US"/>
        </w:rPr>
        <w:t xml:space="preserve">Bedford Jones, </w:t>
      </w:r>
      <w:r>
        <w:t xml:space="preserve">dosáhl rekordu, když »pod nátlakem* naklepal 25.000 slov jedné povídky za den. Já sám jsem vyzkoušel tři z těchto čtyř metod. S počátku </w:t>
      </w:r>
      <w:r>
        <w:t>jsem klepal přímo na stroji. Psal jsem všechno ukazováčkem pravé ruky, protože jsem nikdy neměl trpě</w:t>
      </w:r>
      <w:r>
        <w:softHyphen/>
        <w:t>livost naučit se pořádně psát. Během let mi šel tento postup na nervy. V r. 1923 mne to omrzelo a rozhodl jsem se psát všechno rukou. Tak jsem pokračoval d</w:t>
      </w:r>
      <w:r>
        <w:t>o nedávná — oh, kolik jsem vyplýtval drahocenného času, kolik knih jsem mohl napsat, kolik peněz vydělali, až, zaplaven objednávkami, jsem se rozhodl pro diktát. Bývalo náma</w:t>
      </w:r>
      <w:r>
        <w:softHyphen/>
        <w:t>hou napsat 1800 až 2000 slov denně rukou, kdežto dnes mohu snadno nadiktovat denně</w:t>
      </w:r>
      <w:r>
        <w:t xml:space="preserve"> 5000 slov. Tak jsem na</w:t>
      </w:r>
      <w:r>
        <w:softHyphen/>
        <w:t>diktoval jednu knihu přímo do stroje, průměrně 2000 slov za hodinu.</w:t>
      </w:r>
    </w:p>
    <w:p w:rsidR="00500724" w:rsidRDefault="00F30FB8">
      <w:pPr>
        <w:pStyle w:val="Zkladntext100"/>
        <w:shd w:val="clear" w:color="auto" w:fill="auto"/>
        <w:spacing w:after="180" w:line="223" w:lineRule="auto"/>
        <w:ind w:firstLine="300"/>
      </w:pPr>
      <w:r>
        <w:t>Příliš mnoho se toho dnes namluví o psaní. Každý po</w:t>
      </w:r>
      <w:r>
        <w:softHyphen/>
        <w:t xml:space="preserve">kládá přirozeně svou metodu za nejlepší. Ale je zábavné číst o těch vzácných lidech, kteří ztráví tři hodiny </w:t>
      </w:r>
      <w:r>
        <w:t>psaním jedné kapitoly a pak ji škrtnou. Život je skutečný, život je vážný, a protože neděláme tuto práci pro zábavu, je nutno vytěžit z ní co nejvíc. Psaní je pro nás zaměstná</w:t>
      </w:r>
      <w:r>
        <w:softHyphen/>
        <w:t>ním: musíme si jím vydělávat živobytí, a tak - nejméně 5000 slov denně. Nestarej</w:t>
      </w:r>
      <w:r>
        <w:t>te se o jakost: ta vyplyne z va</w:t>
      </w:r>
      <w:r>
        <w:softHyphen/>
        <w:t>šeho systému. Lehkosti psaní se dosáhne jen praksi. Cím více píšete, tím to bude lepší. Neradím, abyste všechno, co napíšete, dávali do tisku,- ale pište, pište. Jak můžete ovládnout své řemeslo bez cviku? Je to jako lékař s</w:t>
      </w:r>
      <w:r>
        <w:t xml:space="preserve"> pa</w:t>
      </w:r>
      <w:r>
        <w:softHyphen/>
        <w:t>cienty: možná, že jich několik zabije, ale tím se učí. A tak musíte pokračovat — vyrábět mozkem. Cím více vyrábíte, tím více budete musit kritisovat a dělat pokusy a učit se. Písařky na stroji jsou na světě proto, aby psaly- Když si nemůžete dovolit pí</w:t>
      </w:r>
      <w:r>
        <w:t xml:space="preserve">sařku, vypůjčte </w:t>
      </w:r>
      <w:r>
        <w:rPr>
          <w:rFonts w:ascii="Arial" w:eastAsia="Arial" w:hAnsi="Arial" w:cs="Arial"/>
          <w:b/>
          <w:bCs/>
        </w:rPr>
        <w:t xml:space="preserve">si </w:t>
      </w:r>
      <w:r>
        <w:t>tužku. Jen pište.</w:t>
      </w:r>
    </w:p>
    <w:p w:rsidR="00500724" w:rsidRDefault="00F30FB8">
      <w:pPr>
        <w:pStyle w:val="Zkladntext100"/>
        <w:shd w:val="clear" w:color="auto" w:fill="auto"/>
        <w:spacing w:after="60" w:line="223" w:lineRule="auto"/>
        <w:ind w:firstLine="0"/>
        <w:jc w:val="center"/>
      </w:pPr>
      <w:r>
        <w:t xml:space="preserve">Sensační romány a </w:t>
      </w:r>
      <w:r>
        <w:rPr>
          <w:rFonts w:ascii="Arial" w:eastAsia="Arial" w:hAnsi="Arial" w:cs="Arial"/>
          <w:b/>
          <w:bCs/>
        </w:rPr>
        <w:t>detektivky</w:t>
      </w:r>
    </w:p>
    <w:p w:rsidR="00500724" w:rsidRDefault="00F30FB8">
      <w:pPr>
        <w:pStyle w:val="Zkladntext100"/>
        <w:shd w:val="clear" w:color="auto" w:fill="auto"/>
        <w:spacing w:after="180" w:line="223" w:lineRule="auto"/>
        <w:ind w:firstLine="220"/>
      </w:pPr>
      <w:r>
        <w:t>Musím říci, že není na světě více než dvanact žijících autorů, kteří dovedou skvěle napsat sensační. román. .Dě</w:t>
      </w:r>
      <w:r>
        <w:softHyphen/>
        <w:t xml:space="preserve">lalo se tisíce pokusů, ale velmi, velmi málo jich dosáhlo slušného standardu. </w:t>
      </w:r>
      <w:r>
        <w:t>Průměrnost celku je smutným faktem.</w:t>
      </w:r>
    </w:p>
    <w:p w:rsidR="00500724" w:rsidRDefault="00F30FB8">
      <w:pPr>
        <w:pStyle w:val="Zkladntext100"/>
        <w:shd w:val="clear" w:color="auto" w:fill="auto"/>
        <w:spacing w:after="120" w:line="223" w:lineRule="auto"/>
        <w:ind w:firstLine="0"/>
        <w:jc w:val="right"/>
      </w:pPr>
      <w:r>
        <w:t>SÍW</w:t>
      </w:r>
      <w:r>
        <w:br w:type="page"/>
      </w:r>
    </w:p>
    <w:p w:rsidR="00500724" w:rsidRDefault="00F30FB8">
      <w:pPr>
        <w:pStyle w:val="Zkladntext100"/>
        <w:shd w:val="clear" w:color="auto" w:fill="auto"/>
        <w:spacing w:after="40" w:line="223" w:lineRule="auto"/>
        <w:ind w:firstLine="0"/>
      </w:pPr>
      <w:r>
        <w:t>K napsání sensačního románu je třeba zvláštního druhu ducha a zvláštního názoru na život. Nesmíte přistupovat k této práci pohrdavě a posměvačně. Kolikrát jsme viděli nafoukané spisovatele, kteří, patrně rozzuřeni š</w:t>
      </w:r>
      <w:r>
        <w:t>patným prodejem svých íintelektuálních* výplodů, se posadili s pevným rozhodnutím ívyklopii takovou lacinou sen</w:t>
      </w:r>
      <w:r>
        <w:softHyphen/>
        <w:t xml:space="preserve">saci </w:t>
      </w:r>
      <w:r>
        <w:rPr>
          <w:rFonts w:ascii="Arial" w:eastAsia="Arial" w:hAnsi="Arial" w:cs="Arial"/>
          <w:b/>
          <w:bCs/>
        </w:rPr>
        <w:t xml:space="preserve">i? </w:t>
      </w:r>
      <w:r>
        <w:t>Jaký je obvyklý výsledek? Dvě stě hustě po</w:t>
      </w:r>
      <w:r>
        <w:softHyphen/>
        <w:t>psaných stránek a ještě se nic nestalo. Zívání, a kniha se odhodí do kouta... Pokusme se anal</w:t>
      </w:r>
      <w:r>
        <w:t>ysovat, co jest vlastně sensační román. Nejlepší je mistrná definice Johna Buchana: »Je to román, kde se události příčí pravdě</w:t>
      </w:r>
      <w:r>
        <w:softHyphen/>
        <w:t>podobnosti a pohybují se právě tak v mezích možnosti.* Musím zdůraznit, že pravý sensační román není detek</w:t>
      </w:r>
      <w:r>
        <w:softHyphen/>
        <w:t>tivka. To je docela ji</w:t>
      </w:r>
      <w:r>
        <w:t>ný druh.</w:t>
      </w:r>
    </w:p>
    <w:p w:rsidR="00500724" w:rsidRDefault="00F30FB8">
      <w:pPr>
        <w:pStyle w:val="Zkladntext100"/>
        <w:shd w:val="clear" w:color="auto" w:fill="auto"/>
        <w:spacing w:after="40" w:line="221" w:lineRule="auto"/>
      </w:pPr>
      <w:r>
        <w:t>Zní to snadně, napsat takovou knihu, kde »události se příčí pravděpodobnosti*, ale věřte mi, že to není jednoduché. Kdo u nás může spolehlivě napsat opravdu napínavou knihu, která upoutá pozornost od první stránky do poslední — ne jednu takovou kn</w:t>
      </w:r>
      <w:r>
        <w:t>ihu, dodávám, ale celou řadu? Trh je otevřen. Každý nakladatel lidových románů volá toužebně po prvořadém spisovateli sensaci. Ovšem po takovém, který by vydržel: ne po autoru jedné knihy, ale třeba padesáti knih. Proč je sensace tak oblíbena? Z téhož důvo</w:t>
      </w:r>
      <w:r>
        <w:t xml:space="preserve">du jako milostný román: přináší romantiku a vzrušení do nejvšednějších životů. Dnešní průměrný člověk musí žít všedním životem: ale dobrodružný duch není mrtev - jen dříme. Lidé touží milovat život, cítit, že dobrodružství číhá za nejbližším rohem - to je </w:t>
      </w:r>
      <w:r>
        <w:t>duševní stav, nutný pro napsání barvitého, živého tajemného románu, který je dnes tak oblíbený.</w:t>
      </w:r>
    </w:p>
    <w:p w:rsidR="00500724" w:rsidRDefault="00F30FB8">
      <w:pPr>
        <w:pStyle w:val="Zkladntext100"/>
        <w:shd w:val="clear" w:color="auto" w:fill="auto"/>
        <w:spacing w:after="40" w:line="216" w:lineRule="auto"/>
      </w:pPr>
      <w:r>
        <w:t xml:space="preserve">Jakou má sensační román budoucnost? Na to se mne často ptají. Někteří zachmuření lidé se na mne dívají jako lékař, který hodlá vyslovit ortel smrti, a říkají: </w:t>
      </w:r>
      <w:r>
        <w:rPr>
          <w:rFonts w:ascii="Arial" w:eastAsia="Arial" w:hAnsi="Arial" w:cs="Arial"/>
          <w:b/>
          <w:bCs/>
        </w:rPr>
        <w:t>i</w:t>
      </w:r>
      <w:r>
        <w:rPr>
          <w:rFonts w:ascii="Arial" w:eastAsia="Arial" w:hAnsi="Arial" w:cs="Arial"/>
          <w:b/>
          <w:bCs/>
        </w:rPr>
        <w:t xml:space="preserve"> </w:t>
      </w:r>
      <w:r>
        <w:t>Vydělá</w:t>
      </w:r>
      <w:r>
        <w:softHyphen/>
        <w:t>váte hrozně moc peněz, že? ale ovšem, teď je konjunktura. Přece nebudou lidi věčně číst sensační romány?* Nebojím se, že bude můj trh tak brzy vyčerpán. Myslím však, že upadne detektivní román, a to proto: spisovatel detektivek musí pracovat více m</w:t>
      </w:r>
      <w:r>
        <w:t>éně podle přesné formule. Je tu mrtvola, někdo je mrtev, kdo to udělal? Oceňuji vynaléza</w:t>
      </w:r>
      <w:r>
        <w:softHyphen/>
        <w:t xml:space="preserve">vost nejtalentovanějších našich spisovatelů detektivek, ale množství nyní vydávaných detektivek stává se pomalu jejich hrobem. Jak řekl Edward </w:t>
      </w:r>
      <w:r>
        <w:rPr>
          <w:lang w:val="en-US" w:eastAsia="en-US" w:bidi="en-US"/>
        </w:rPr>
        <w:t xml:space="preserve">Shanks </w:t>
      </w:r>
      <w:r>
        <w:t xml:space="preserve">v </w:t>
      </w:r>
      <w:r>
        <w:rPr>
          <w:lang w:val="en-US" w:eastAsia="en-US" w:bidi="en-US"/>
        </w:rPr>
        <w:t xml:space="preserve">John </w:t>
      </w:r>
      <w:r>
        <w:t xml:space="preserve">o' </w:t>
      </w:r>
      <w:r>
        <w:rPr>
          <w:lang w:val="en-US" w:eastAsia="en-US" w:bidi="en-US"/>
        </w:rPr>
        <w:t>London'</w:t>
      </w:r>
      <w:r>
        <w:rPr>
          <w:lang w:val="en-US" w:eastAsia="en-US" w:bidi="en-US"/>
        </w:rPr>
        <w:t xml:space="preserve">s Weekly: </w:t>
      </w:r>
      <w:r>
        <w:t>»Brzy nebude nikoho, kdo by spáchal zločin*. To je důvod, proč detektivky vymírají. Možnosti, které mají, byly rychle vyčerpány. Výsledkem je, že se zavádějí zločiny hraničící s fantasií, a i když se tyto pravděpodob</w:t>
      </w:r>
      <w:r>
        <w:softHyphen/>
        <w:t>nosti hodí pro sensační román</w:t>
      </w:r>
      <w:r>
        <w:t>, nehodí se pro logickou a vědeckou detektivku. Nebof zásadním rozdílem mezi sensačním románem a detektivkou je, že detektivka musí mít užší vztah ke skutečnosti: musí se blížit skutečnému životu.</w:t>
      </w:r>
    </w:p>
    <w:p w:rsidR="00500724" w:rsidRDefault="00F30FB8">
      <w:pPr>
        <w:pStyle w:val="Zkladntext100"/>
        <w:shd w:val="clear" w:color="auto" w:fill="auto"/>
        <w:spacing w:after="180" w:line="216" w:lineRule="auto"/>
      </w:pPr>
      <w:r>
        <w:t xml:space="preserve">Jak je to s metodou zločinu a metodou pátrání, tak je tomu </w:t>
      </w:r>
      <w:r>
        <w:rPr>
          <w:i/>
          <w:iCs/>
        </w:rPr>
        <w:t>i</w:t>
      </w:r>
      <w:r>
        <w:t xml:space="preserve"> s hlavní osobou. Ty typy detektivů, které byly vymyšleny za poslední léta! Někteří jsou zábavní, ale většinou jsou nudní. Je jen několik detektivek, které mohu číst: ty, které napsali na příklad </w:t>
      </w:r>
      <w:r>
        <w:rPr>
          <w:lang w:val="en-US" w:eastAsia="en-US" w:bidi="en-US"/>
        </w:rPr>
        <w:t xml:space="preserve">Agatha Christie a </w:t>
      </w:r>
      <w:r>
        <w:t>S. S. Van Dine, a jen několik málo dalšíc</w:t>
      </w:r>
      <w:r>
        <w:t>h. My spisovatelé sen- sačních románů máme velkou výhodu před spisovateli de</w:t>
      </w:r>
      <w:r>
        <w:softHyphen/>
        <w:t>tektivek. Pokud jsou naše příběhy dost napínavé, aby za</w:t>
      </w:r>
      <w:r>
        <w:softHyphen/>
        <w:t>ujaly čtenáře až do vyhasnutí ohně, není pro nás skutečně hranic, kterých bychom nemohli překročit. Proto bude sensační rom</w:t>
      </w:r>
      <w:r>
        <w:t>án trvat dál a dál. Byl s námi po staletí a zů</w:t>
      </w:r>
      <w:r>
        <w:softHyphen/>
        <w:t>stane s námi do skonání světa.</w:t>
      </w:r>
    </w:p>
    <w:p w:rsidR="00500724" w:rsidRDefault="00F30FB8">
      <w:pPr>
        <w:pStyle w:val="Zkladntext100"/>
        <w:shd w:val="clear" w:color="auto" w:fill="auto"/>
        <w:spacing w:after="40" w:line="218" w:lineRule="auto"/>
        <w:ind w:firstLine="0"/>
        <w:jc w:val="center"/>
      </w:pPr>
      <w:r>
        <w:t>Román napokračování</w:t>
      </w:r>
    </w:p>
    <w:p w:rsidR="00500724" w:rsidRDefault="00F30FB8">
      <w:pPr>
        <w:pStyle w:val="Zkladntext100"/>
        <w:shd w:val="clear" w:color="auto" w:fill="auto"/>
        <w:spacing w:after="60" w:line="218" w:lineRule="auto"/>
      </w:pPr>
      <w:r>
        <w:t>Mnohým spisovatelům představuje román na pokračo</w:t>
      </w:r>
      <w:r>
        <w:softHyphen/>
        <w:t xml:space="preserve">váni hlavni příjem. Znal jsem takové, kteří vydělali až 2C00 liber ročně jen romány na pokračování. Jména </w:t>
      </w:r>
      <w:r>
        <w:t>těchto spisovatelů nevidíte nikdy v nakladatelských seznamech, protože jejich dílo nikdy nevyjde knižně. Vysýpají jej expresní rychlostí (slušný průměr je 40.000 slov za týden) pro laciné časopisy, a je mrtev a pohřben týden po vy</w:t>
      </w:r>
      <w:r>
        <w:softHyphen/>
        <w:t xml:space="preserve">tištění. Ale autorovi to </w:t>
      </w:r>
      <w:r>
        <w:t>nevadí: píše pro široké nekritické obecenstvo a jediná, na čem mu záleží, je šek. Jsou různá stupně literatury, a tento je jedním z nejpříjemnějších. Pro pilného pracovníka často znamená žebříček k vyšším cí</w:t>
      </w:r>
      <w:r>
        <w:softHyphen/>
        <w:t>lům. Ovšem je tu nebezpečí, že když zůstane delš</w:t>
      </w:r>
      <w:r>
        <w:t>í dobu na tomto stupni literatury, nedovede pak již napsat nic lepšího. Zapadne do tak nedbalého způsobu vyjadřování, že je zlepšení vyloučeno. Nechci však mluvit jen o tomto laciném způsobu psaní na pokračování. Nejdůvěrněji jsem obeznámen s románem, kter</w:t>
      </w:r>
      <w:r>
        <w:t>ý vychází v dobrých tý</w:t>
      </w:r>
      <w:r>
        <w:softHyphen/>
        <w:t>denících, ranících a večernících londýnských deníků. Občas, když není o co se v novinách hádat, se vyskytne stará otázka; Stál by za to román na pokračování? Ovšem staromódní seriál, psaný na objednávku a obsahující všechny umělé pro</w:t>
      </w:r>
      <w:r>
        <w:t xml:space="preserve">středky, jaké si bylo lze představit, je odbyt, a je to také dobře: ale tvrdím, že dobře napsaný seriál, když je uveřejňován po rozumně velkých částech, je rozhodně atrakcí pro dnešního průměrného čtenáře. Jeden z nej pokrokovějších listů na světě, Daily </w:t>
      </w:r>
      <w:r>
        <w:rPr>
          <w:lang w:val="en-US" w:eastAsia="en-US" w:bidi="en-US"/>
        </w:rPr>
        <w:t>S</w:t>
      </w:r>
      <w:r>
        <w:rPr>
          <w:lang w:val="en-US" w:eastAsia="en-US" w:bidi="en-US"/>
        </w:rPr>
        <w:t xml:space="preserve">ketch, </w:t>
      </w:r>
      <w:r>
        <w:t>pečlivě vybírá své romány na pokračování, a vím ze zku</w:t>
      </w:r>
      <w:r>
        <w:softHyphen/>
        <w:t>šenosti, jak důležitou atrakcí pro list je denní román.</w:t>
      </w:r>
    </w:p>
    <w:p w:rsidR="00500724" w:rsidRDefault="00F30FB8">
      <w:pPr>
        <w:pStyle w:val="Zkladntext100"/>
        <w:shd w:val="clear" w:color="auto" w:fill="auto"/>
        <w:spacing w:after="60" w:line="216" w:lineRule="auto"/>
      </w:pPr>
      <w:r>
        <w:t xml:space="preserve">Občas si udělá list přestávku </w:t>
      </w:r>
      <w:r>
        <w:rPr>
          <w:rFonts w:ascii="Arial" w:eastAsia="Arial" w:hAnsi="Arial" w:cs="Arial"/>
          <w:b/>
          <w:bCs/>
        </w:rPr>
        <w:t xml:space="preserve">v </w:t>
      </w:r>
      <w:r>
        <w:t>románech a tiskne pro změnu řadu krátkých povídek. Ale mám zkušenost, že ne</w:t>
      </w:r>
      <w:r>
        <w:softHyphen/>
        <w:t xml:space="preserve">jsou u průměrného čtenáře tak </w:t>
      </w:r>
      <w:r>
        <w:t>oblíbené jako román, který zvyšuje zájem ode dne ke dni nebo od týdne k týdni.</w:t>
      </w:r>
    </w:p>
    <w:p w:rsidR="00500724" w:rsidRDefault="00F30FB8">
      <w:pPr>
        <w:pStyle w:val="Zkladntext100"/>
        <w:shd w:val="clear" w:color="auto" w:fill="auto"/>
        <w:spacing w:after="60" w:line="216" w:lineRule="auto"/>
      </w:pPr>
      <w:r>
        <w:t>Psaní na pokračování vyžaduje zvláštní duševní vy</w:t>
      </w:r>
      <w:r>
        <w:softHyphen/>
        <w:t>zbrojení - proto možná tak málo spisovatelů dovede za</w:t>
      </w:r>
      <w:r>
        <w:softHyphen/>
        <w:t>ujmout současně trh knižní i seriálový. Je-li tak šťasten, že se mu to po</w:t>
      </w:r>
      <w:r>
        <w:t>daří, je za to někdy uspokojivě odměněn. Na příklad za svůj poslední román dostanu za vydání na po</w:t>
      </w:r>
      <w:r>
        <w:softHyphen/>
        <w:t>kračování a zálohou na autorisační práva knižního vydání 1000 liber. Román jsem napsal za sedm týdnů.</w:t>
      </w:r>
    </w:p>
    <w:p w:rsidR="00500724" w:rsidRDefault="00F30FB8">
      <w:pPr>
        <w:pStyle w:val="Zkladntext100"/>
        <w:shd w:val="clear" w:color="auto" w:fill="auto"/>
        <w:spacing w:after="180" w:line="216" w:lineRule="auto"/>
      </w:pPr>
      <w:r>
        <w:t xml:space="preserve">Před mnoha lety překvapil Arnold </w:t>
      </w:r>
      <w:r>
        <w:rPr>
          <w:lang w:val="en-US" w:eastAsia="en-US" w:bidi="en-US"/>
        </w:rPr>
        <w:t xml:space="preserve">Bennett, </w:t>
      </w:r>
      <w:r>
        <w:t>arbiter li</w:t>
      </w:r>
      <w:r>
        <w:softHyphen/>
        <w:t>te</w:t>
      </w:r>
      <w:r>
        <w:t>rárního vkusu, celý svět slovy: iNevidím důvodu, proč by sensační román na pokračování neměl být pokládán za legitimní formu literárního umění, a radil bych aspiran</w:t>
      </w:r>
      <w:r>
        <w:softHyphen/>
        <w:t xml:space="preserve">tům kultury, aby si na něm nevylévali zlost.* </w:t>
      </w:r>
      <w:r>
        <w:rPr>
          <w:lang w:val="en-US" w:eastAsia="en-US" w:bidi="en-US"/>
        </w:rPr>
        <w:t xml:space="preserve">Pan Bennett </w:t>
      </w:r>
      <w:r>
        <w:t>vyjádřil velmi potřebný názor, ne</w:t>
      </w:r>
      <w:r>
        <w:t>bof v době, kdy takto vyzval veřejné mínění, byl průměrný román na pokračo</w:t>
      </w:r>
      <w:r>
        <w:softHyphen/>
        <w:t xml:space="preserve">vání pokládán za nejnižší formu literatury. To se dnes úplně změnilo. Snad že si vzpomněli, že takoví mistři jako </w:t>
      </w:r>
      <w:r>
        <w:rPr>
          <w:lang w:val="en-US" w:eastAsia="en-US" w:bidi="en-US"/>
        </w:rPr>
        <w:t xml:space="preserve">Defoe, Dickens, Stevenson </w:t>
      </w:r>
      <w:r>
        <w:t>byli rádi, když mohli svá díla tisknout n</w:t>
      </w:r>
      <w:r>
        <w:t>a pokračování (což nebyl íOstrov pokladů* pů</w:t>
      </w:r>
      <w:r>
        <w:softHyphen/>
        <w:t>vodně otištěn v půlpennyovém plátku, a první vydání •Pickwiků* na pokračování?), nakladatelé časopisů a no</w:t>
      </w:r>
      <w:r>
        <w:softHyphen/>
        <w:t xml:space="preserve">vin dnes velmi vítají takové vynikající řemeslníky jako jsou A. E. W. Mason, </w:t>
      </w:r>
      <w:r>
        <w:rPr>
          <w:lang w:val="en-US" w:eastAsia="en-US" w:bidi="en-US"/>
        </w:rPr>
        <w:t xml:space="preserve">John Buchan, Sapper </w:t>
      </w:r>
      <w:r>
        <w:t>a jiní.</w:t>
      </w:r>
      <w:r>
        <w:t xml:space="preserve"> Pravda je, že román na pokračování v novinách se během posled</w:t>
      </w:r>
      <w:r>
        <w:softHyphen/>
        <w:t>ních let k nepoznání zlepšil. Vzpomeňte si na spisovatele, jejichž jména se tam objevovala asi tak před deseti lety. Kde jsou dnes? Není o nich slyšet. Spisovatelé, jejichž ro</w:t>
      </w:r>
      <w:r>
        <w:softHyphen/>
        <w:t xml:space="preserve">mány vycházejí v </w:t>
      </w:r>
      <w:r>
        <w:t xml:space="preserve">novinách jako je Daily Mail, News </w:t>
      </w:r>
      <w:r>
        <w:rPr>
          <w:lang w:val="en-US" w:eastAsia="en-US" w:bidi="en-US"/>
        </w:rPr>
        <w:t xml:space="preserve">Chronicle, </w:t>
      </w:r>
      <w:r>
        <w:t xml:space="preserve">Daily Express, </w:t>
      </w:r>
      <w:r>
        <w:rPr>
          <w:lang w:val="en-US" w:eastAsia="en-US" w:bidi="en-US"/>
        </w:rPr>
        <w:t xml:space="preserve">Daily Sketch </w:t>
      </w:r>
      <w:r>
        <w:t>a jiných, jsou větši</w:t>
      </w:r>
      <w:r>
        <w:softHyphen/>
        <w:t>nou lidé, kteří získali slávu jako spisovatelé románů. Dnes je pro neznámého spisovatele nesnadné umístit svou práci v nejlepších listech. Ale přijde zase doba, k</w:t>
      </w:r>
      <w:r>
        <w:t>dy s přícho</w:t>
      </w:r>
      <w:r>
        <w:softHyphen/>
        <w:t>dem nových a větších časopisů najde ctižádostivý a slib</w:t>
      </w:r>
      <w:r>
        <w:softHyphen/>
        <w:t>ný začátečník trh pro své romány. Prodával jsem své se</w:t>
      </w:r>
      <w:r>
        <w:softHyphen/>
        <w:t>riály dlouho před tím, než jsem prodal své knihy. Jeden trh pomáhá druhému, neboř seriály dělají cennou popu</w:t>
      </w:r>
      <w:r>
        <w:softHyphen/>
        <w:t>laritu, a když se čtenář</w:t>
      </w:r>
      <w:r>
        <w:t>i líbí román na pokračování, je ochoten si jej koupit, když vyjde knižně.</w:t>
      </w:r>
    </w:p>
    <w:p w:rsidR="00500724" w:rsidRDefault="00F30FB8">
      <w:pPr>
        <w:pStyle w:val="Zkladntext100"/>
        <w:shd w:val="clear" w:color="auto" w:fill="auto"/>
        <w:spacing w:after="60" w:line="216" w:lineRule="auto"/>
        <w:ind w:firstLine="0"/>
        <w:jc w:val="center"/>
      </w:pPr>
      <w:r>
        <w:t>Tragedie humoru</w:t>
      </w:r>
    </w:p>
    <w:p w:rsidR="00500724" w:rsidRDefault="00F30FB8">
      <w:pPr>
        <w:pStyle w:val="Zkladntext100"/>
        <w:shd w:val="clear" w:color="auto" w:fill="auto"/>
        <w:spacing w:line="218" w:lineRule="auto"/>
      </w:pPr>
      <w:r>
        <w:rPr>
          <w:noProof/>
        </w:rPr>
        <mc:AlternateContent>
          <mc:Choice Requires="wps">
            <w:drawing>
              <wp:anchor distT="0" distB="254000" distL="114300" distR="114300" simplePos="0" relativeHeight="125829854" behindDoc="0" locked="0" layoutInCell="1" allowOverlap="1">
                <wp:simplePos x="0" y="0"/>
                <wp:positionH relativeFrom="page">
                  <wp:posOffset>398780</wp:posOffset>
                </wp:positionH>
                <wp:positionV relativeFrom="margin">
                  <wp:posOffset>8970010</wp:posOffset>
                </wp:positionV>
                <wp:extent cx="234950" cy="170815"/>
                <wp:effectExtent l="0" t="0" r="0" b="0"/>
                <wp:wrapTopAndBottom/>
                <wp:docPr id="477" name="Shape 477"/>
                <wp:cNvGraphicFramePr/>
                <a:graphic xmlns:a="http://schemas.openxmlformats.org/drawingml/2006/main">
                  <a:graphicData uri="http://schemas.microsoft.com/office/word/2010/wordprocessingShape">
                    <wps:wsp>
                      <wps:cNvSpPr txBox="1"/>
                      <wps:spPr>
                        <a:xfrm>
                          <a:off x="0" y="0"/>
                          <a:ext cx="234950" cy="170815"/>
                        </a:xfrm>
                        <a:prstGeom prst="rect">
                          <a:avLst/>
                        </a:prstGeom>
                        <a:noFill/>
                      </wps:spPr>
                      <wps:txbx>
                        <w:txbxContent>
                          <w:p w:rsidR="00500724" w:rsidRDefault="00F30FB8">
                            <w:pPr>
                              <w:pStyle w:val="Zkladntext30"/>
                              <w:shd w:val="clear" w:color="auto" w:fill="auto"/>
                              <w:spacing w:after="0" w:line="240" w:lineRule="auto"/>
                              <w:ind w:firstLine="0"/>
                              <w:jc w:val="left"/>
                              <w:rPr>
                                <w:sz w:val="20"/>
                                <w:szCs w:val="20"/>
                              </w:rPr>
                            </w:pPr>
                            <w:r>
                              <w:rPr>
                                <w:i/>
                                <w:iCs/>
                                <w:sz w:val="20"/>
                                <w:szCs w:val="20"/>
                              </w:rPr>
                              <w:t>2Q2</w:t>
                            </w:r>
                          </w:p>
                        </w:txbxContent>
                      </wps:txbx>
                      <wps:bodyPr lIns="0" tIns="0" rIns="0" bIns="0">
                        <a:spAutoFit/>
                      </wps:bodyPr>
                    </wps:wsp>
                  </a:graphicData>
                </a:graphic>
              </wp:anchor>
            </w:drawing>
          </mc:Choice>
          <mc:Fallback>
            <w:pict>
              <v:shape id="_x0000_s1503" type="#_x0000_t202" style="position:absolute;margin-left:31.399999999999999pt;margin-top:706.29999999999995pt;width:18.5pt;height:13.449999999999999pt;z-index:-125828899;mso-wrap-distance-left:9.pt;mso-wrap-distance-right:9.pt;mso-wrap-distance-bottom:20.pt;mso-position-horizontal-relative:page;mso-position-vertical-relative:margin"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2Q2</w:t>
                      </w:r>
                    </w:p>
                  </w:txbxContent>
                </v:textbox>
                <w10:wrap type="topAndBottom" anchorx="page" anchory="margin"/>
              </v:shape>
            </w:pict>
          </mc:Fallback>
        </mc:AlternateContent>
      </w:r>
      <w:r>
        <w:t>Chcete si vydělat jmění? Ta otázka zní směšně, ale my</w:t>
      </w:r>
      <w:r>
        <w:softHyphen/>
        <w:t>slím to docela vážně. Svět potřebuje nového humoristu, a obrovské bohatství očekává muže (nedůvěřuji žens</w:t>
      </w:r>
      <w:r>
        <w:t>kým humoristům), který splní tento požadavek. V dnešní literár</w:t>
      </w:r>
      <w:r>
        <w:softHyphen/>
        <w:t>ní situaci je v naší zemi mnoho podivného, ale nejpodiv</w:t>
      </w:r>
      <w:r>
        <w:softHyphen/>
        <w:t xml:space="preserve">nější okolností ze všech je to, že jediný spisovatel - P. G. </w:t>
      </w:r>
      <w:r>
        <w:rPr>
          <w:lang w:val="en-US" w:eastAsia="en-US" w:bidi="en-US"/>
        </w:rPr>
        <w:t xml:space="preserve">Wodehouse </w:t>
      </w:r>
      <w:r>
        <w:t xml:space="preserve">- musí doslova nésti na svých bedrech sám úkol dodávat látku tomu </w:t>
      </w:r>
      <w:r>
        <w:t>množství lidí, které se chce smát. Skutečně není soutěže pro nového genia, ale přes to není snadné získat vavříny. Musí se překonat jisté obtíže</w:t>
      </w:r>
      <w:r>
        <w:br w:type="page"/>
      </w:r>
      <w:r>
        <w:rPr>
          <w:lang w:val="en-US" w:eastAsia="en-US" w:bidi="en-US"/>
        </w:rPr>
        <w:t xml:space="preserve">- </w:t>
      </w:r>
      <w:r>
        <w:t>z nichž není nejmenší ia, že je humor něco tak indivi</w:t>
      </w:r>
      <w:r>
        <w:softHyphen/>
        <w:t>duálního, že najdete nejrůznější neshody v názorech i o</w:t>
      </w:r>
      <w:r>
        <w:t xml:space="preserve"> tak uznaném mistru, jako je sám </w:t>
      </w:r>
      <w:r>
        <w:rPr>
          <w:lang w:val="en-US" w:eastAsia="en-US" w:bidi="en-US"/>
        </w:rPr>
        <w:t>Wodehouse.</w:t>
      </w:r>
    </w:p>
    <w:p w:rsidR="00500724" w:rsidRDefault="00F30FB8">
      <w:pPr>
        <w:pStyle w:val="Zkladntext100"/>
        <w:shd w:val="clear" w:color="auto" w:fill="auto"/>
        <w:spacing w:line="218" w:lineRule="auto"/>
      </w:pPr>
      <w:r>
        <w:t>Pravda je, že uvedení tak zvaného nového humoristy se skoro vždy setká s nezdarem. Ředitel slavného nakla</w:t>
      </w:r>
      <w:r>
        <w:softHyphen/>
        <w:t xml:space="preserve">datelství Hodder </w:t>
      </w:r>
      <w:r>
        <w:rPr>
          <w:lang w:val="en-US" w:eastAsia="en-US" w:bidi="en-US"/>
        </w:rPr>
        <w:t xml:space="preserve">a Stoughton </w:t>
      </w:r>
      <w:r>
        <w:t>mi jednou řekl, že ztratil víc peněz na knihách, které měly být humoristické,</w:t>
      </w:r>
      <w:r>
        <w:t xml:space="preserve"> než na kterékoli jiné literatuře. Obecenstvo se bojí nového způ</w:t>
      </w:r>
      <w:r>
        <w:softHyphen/>
        <w:t>sobu humoru.</w:t>
      </w:r>
    </w:p>
    <w:p w:rsidR="00500724" w:rsidRDefault="00F30FB8">
      <w:pPr>
        <w:pStyle w:val="Zkladntext100"/>
        <w:shd w:val="clear" w:color="auto" w:fill="auto"/>
        <w:spacing w:after="60" w:line="216" w:lineRule="auto"/>
      </w:pPr>
      <w:r>
        <w:t xml:space="preserve">Ano, humor je něco zrádného. Před mnoha lety jsem obíhal časopisecký trh s řadou humoristických povídek. Většina nakladatelů mi je poslala zpátky s dotazy na můj duševní stav. </w:t>
      </w:r>
      <w:r>
        <w:t>Ale nedal jsem se a nakonec jsem našel vy</w:t>
      </w:r>
      <w:r>
        <w:softHyphen/>
        <w:t>davatele, který se mnou sdílel mou důvěru. Všechno šlo hladce, a pak jsem jednoho měsíce otevřel časopis a shle</w:t>
      </w:r>
      <w:r>
        <w:softHyphen/>
        <w:t>dal jsem, že v poslední povídce byly udělány nějaké změny: věty, které jsem piloval, byly změněny a zn</w:t>
      </w:r>
      <w:r>
        <w:t>etvo</w:t>
      </w:r>
      <w:r>
        <w:softHyphen/>
        <w:t>řeny. Tento nakladatel ve snaze objevit nového humoristu se sám pokládal za humoristu a přepisoval mé povídky. Jeho časopis už zašel. Tragedie humoru I</w:t>
      </w:r>
    </w:p>
    <w:p w:rsidR="00500724" w:rsidRDefault="00F30FB8">
      <w:pPr>
        <w:pStyle w:val="Zkladntext100"/>
        <w:shd w:val="clear" w:color="auto" w:fill="auto"/>
        <w:spacing w:after="60" w:line="216" w:lineRule="auto"/>
        <w:ind w:firstLine="0"/>
        <w:jc w:val="center"/>
      </w:pPr>
      <w:r>
        <w:t>Peníze</w:t>
      </w:r>
    </w:p>
    <w:p w:rsidR="00500724" w:rsidRDefault="00F30FB8">
      <w:pPr>
        <w:pStyle w:val="Titulektabulky0"/>
        <w:shd w:val="clear" w:color="auto" w:fill="auto"/>
        <w:spacing w:line="218" w:lineRule="auto"/>
        <w:ind w:left="10"/>
        <w:jc w:val="left"/>
        <w:rPr>
          <w:sz w:val="18"/>
          <w:szCs w:val="18"/>
        </w:rPr>
      </w:pPr>
      <w:r>
        <w:rPr>
          <w:b w:val="0"/>
          <w:bCs w:val="0"/>
          <w:sz w:val="18"/>
          <w:szCs w:val="18"/>
        </w:rPr>
        <w:t>Sestavil jsem si prameny svých příjmů během roku od 5. dubna 1930 do 5. dubna 1931 takto:</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9"/>
        <w:gridCol w:w="269"/>
        <w:gridCol w:w="581"/>
        <w:gridCol w:w="422"/>
        <w:gridCol w:w="322"/>
      </w:tblGrid>
      <w:tr w:rsidR="00500724">
        <w:tblPrEx>
          <w:tblCellMar>
            <w:top w:w="0" w:type="dxa"/>
            <w:bottom w:w="0" w:type="dxa"/>
          </w:tblCellMar>
        </w:tblPrEx>
        <w:trPr>
          <w:trHeight w:hRule="exact" w:val="187"/>
          <w:jc w:val="center"/>
        </w:trPr>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s.</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d.</w:t>
            </w:r>
          </w:p>
        </w:tc>
      </w:tr>
      <w:tr w:rsidR="00500724">
        <w:tblPrEx>
          <w:tblCellMar>
            <w:top w:w="0" w:type="dxa"/>
            <w:bottom w:w="0" w:type="dxa"/>
          </w:tblCellMar>
        </w:tblPrEx>
        <w:trPr>
          <w:trHeight w:hRule="exact" w:val="202"/>
          <w:jc w:val="center"/>
        </w:trPr>
        <w:tc>
          <w:tcPr>
            <w:tcW w:w="0" w:type="auto"/>
            <w:shd w:val="clear" w:color="auto" w:fill="FFFFFF"/>
            <w:vAlign w:val="bottom"/>
          </w:tcPr>
          <w:p w:rsidR="00500724" w:rsidRDefault="00F30FB8">
            <w:pPr>
              <w:pStyle w:val="Jin0"/>
              <w:shd w:val="clear" w:color="auto" w:fill="auto"/>
              <w:ind w:firstLine="0"/>
              <w:jc w:val="left"/>
              <w:rPr>
                <w:sz w:val="18"/>
                <w:szCs w:val="18"/>
              </w:rPr>
            </w:pPr>
            <w:r>
              <w:rPr>
                <w:sz w:val="18"/>
                <w:szCs w:val="18"/>
              </w:rPr>
              <w:t>Romány na pokračování, kontinentální</w:t>
            </w: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r>
      <w:tr w:rsidR="00500724">
        <w:tblPrEx>
          <w:tblCellMar>
            <w:top w:w="0" w:type="dxa"/>
            <w:bottom w:w="0" w:type="dxa"/>
          </w:tblCellMar>
        </w:tblPrEx>
        <w:trPr>
          <w:trHeight w:hRule="exact" w:val="187"/>
          <w:jc w:val="center"/>
        </w:trPr>
        <w:tc>
          <w:tcPr>
            <w:tcW w:w="0" w:type="auto"/>
            <w:shd w:val="clear" w:color="auto" w:fill="FFFFFF"/>
          </w:tcPr>
          <w:p w:rsidR="00500724" w:rsidRDefault="00F30FB8">
            <w:pPr>
              <w:pStyle w:val="Jin0"/>
              <w:shd w:val="clear" w:color="auto" w:fill="auto"/>
              <w:tabs>
                <w:tab w:val="left" w:leader="dot" w:pos="2993"/>
                <w:tab w:val="left" w:leader="dot" w:pos="3204"/>
              </w:tabs>
              <w:ind w:left="180" w:firstLine="0"/>
              <w:rPr>
                <w:sz w:val="18"/>
                <w:szCs w:val="18"/>
              </w:rPr>
            </w:pPr>
            <w:r>
              <w:rPr>
                <w:sz w:val="18"/>
                <w:szCs w:val="18"/>
              </w:rPr>
              <w:t xml:space="preserve">vydání </w:t>
            </w:r>
            <w:r>
              <w:rPr>
                <w:sz w:val="18"/>
                <w:szCs w:val="18"/>
              </w:rPr>
              <w:tab/>
            </w:r>
            <w:r>
              <w:rPr>
                <w:sz w:val="18"/>
                <w:szCs w:val="18"/>
              </w:rPr>
              <w:tab/>
              <w:t xml:space="preserve"> ,</w:t>
            </w:r>
          </w:p>
        </w:tc>
        <w:tc>
          <w:tcPr>
            <w:tcW w:w="0" w:type="auto"/>
            <w:shd w:val="clear" w:color="auto" w:fill="FFFFFF"/>
            <w:vAlign w:val="bottom"/>
          </w:tcPr>
          <w:p w:rsidR="00500724" w:rsidRDefault="00F30FB8">
            <w:pPr>
              <w:pStyle w:val="Jin0"/>
              <w:shd w:val="clear" w:color="auto" w:fill="auto"/>
              <w:ind w:left="60" w:firstLine="0"/>
              <w:jc w:val="center"/>
              <w:rPr>
                <w:sz w:val="18"/>
                <w:szCs w:val="18"/>
              </w:rPr>
            </w:pPr>
            <w:r>
              <w:rPr>
                <w:sz w:val="18"/>
                <w:szCs w:val="18"/>
              </w:rPr>
              <w:t>■</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105</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6</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6</w:t>
            </w:r>
          </w:p>
        </w:tc>
      </w:tr>
      <w:tr w:rsidR="00500724">
        <w:tblPrEx>
          <w:tblCellMar>
            <w:top w:w="0" w:type="dxa"/>
            <w:bottom w:w="0" w:type="dxa"/>
          </w:tblCellMar>
        </w:tblPrEx>
        <w:trPr>
          <w:trHeight w:hRule="exact" w:val="182"/>
          <w:jc w:val="center"/>
        </w:trPr>
        <w:tc>
          <w:tcPr>
            <w:tcW w:w="0" w:type="auto"/>
            <w:tcBorders>
              <w:top w:val="single" w:sz="4" w:space="0" w:color="auto"/>
            </w:tcBorders>
            <w:shd w:val="clear" w:color="auto" w:fill="FFFFFF"/>
          </w:tcPr>
          <w:p w:rsidR="00500724" w:rsidRDefault="00F30FB8">
            <w:pPr>
              <w:pStyle w:val="Jin0"/>
              <w:shd w:val="clear" w:color="auto" w:fill="auto"/>
              <w:ind w:firstLine="0"/>
              <w:jc w:val="left"/>
              <w:rPr>
                <w:sz w:val="18"/>
                <w:szCs w:val="18"/>
              </w:rPr>
            </w:pPr>
            <w:r>
              <w:rPr>
                <w:sz w:val="18"/>
                <w:szCs w:val="18"/>
              </w:rPr>
              <w:t>Knižní vydání kontinentální . . ■ ■</w:t>
            </w:r>
          </w:p>
        </w:tc>
        <w:tc>
          <w:tcPr>
            <w:tcW w:w="0" w:type="auto"/>
            <w:shd w:val="clear" w:color="auto" w:fill="FFFFFF"/>
            <w:vAlign w:val="bottom"/>
          </w:tcPr>
          <w:p w:rsidR="00500724" w:rsidRDefault="00F30FB8">
            <w:pPr>
              <w:pStyle w:val="Jin0"/>
              <w:shd w:val="clear" w:color="auto" w:fill="auto"/>
              <w:ind w:left="60" w:firstLine="0"/>
              <w:jc w:val="center"/>
              <w:rPr>
                <w:sz w:val="18"/>
                <w:szCs w:val="18"/>
              </w:rPr>
            </w:pPr>
            <w:r>
              <w:rPr>
                <w:sz w:val="18"/>
                <w:szCs w:val="18"/>
              </w:rPr>
              <w:t>a</w:t>
            </w:r>
          </w:p>
        </w:tc>
        <w:tc>
          <w:tcPr>
            <w:tcW w:w="0" w:type="auto"/>
            <w:shd w:val="clear" w:color="auto" w:fill="FFFFFF"/>
          </w:tcPr>
          <w:p w:rsidR="00500724" w:rsidRDefault="00F30FB8">
            <w:pPr>
              <w:pStyle w:val="Jin0"/>
              <w:shd w:val="clear" w:color="auto" w:fill="auto"/>
              <w:ind w:right="60" w:firstLine="0"/>
              <w:jc w:val="center"/>
              <w:rPr>
                <w:sz w:val="18"/>
                <w:szCs w:val="18"/>
              </w:rPr>
            </w:pPr>
            <w:r>
              <w:rPr>
                <w:sz w:val="18"/>
                <w:szCs w:val="18"/>
              </w:rPr>
              <w:t>43</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18</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6</w:t>
            </w:r>
          </w:p>
        </w:tc>
      </w:tr>
      <w:tr w:rsidR="00500724">
        <w:tblPrEx>
          <w:tblCellMar>
            <w:top w:w="0" w:type="dxa"/>
            <w:bottom w:w="0" w:type="dxa"/>
          </w:tblCellMar>
        </w:tblPrEx>
        <w:trPr>
          <w:trHeight w:hRule="exact" w:val="211"/>
          <w:jc w:val="center"/>
        </w:trPr>
        <w:tc>
          <w:tcPr>
            <w:tcW w:w="0" w:type="auto"/>
            <w:shd w:val="clear" w:color="auto" w:fill="FFFFFF"/>
          </w:tcPr>
          <w:p w:rsidR="00500724" w:rsidRDefault="00F30FB8">
            <w:pPr>
              <w:pStyle w:val="Jin0"/>
              <w:shd w:val="clear" w:color="auto" w:fill="auto"/>
              <w:ind w:firstLine="0"/>
              <w:jc w:val="left"/>
              <w:rPr>
                <w:sz w:val="18"/>
                <w:szCs w:val="18"/>
              </w:rPr>
            </w:pPr>
            <w:r>
              <w:rPr>
                <w:sz w:val="18"/>
                <w:szCs w:val="18"/>
              </w:rPr>
              <w:t>Romány na pokračování v Americe , ■</w:t>
            </w:r>
          </w:p>
        </w:tc>
        <w:tc>
          <w:tcPr>
            <w:tcW w:w="0" w:type="auto"/>
            <w:shd w:val="clear" w:color="auto" w:fill="FFFFFF"/>
            <w:vAlign w:val="center"/>
          </w:tcPr>
          <w:p w:rsidR="00500724" w:rsidRDefault="00F30FB8">
            <w:pPr>
              <w:pStyle w:val="Jin0"/>
              <w:shd w:val="clear" w:color="auto" w:fill="auto"/>
              <w:ind w:left="60" w:firstLine="0"/>
              <w:jc w:val="center"/>
              <w:rPr>
                <w:sz w:val="18"/>
                <w:szCs w:val="18"/>
              </w:rPr>
            </w:pPr>
            <w:r>
              <w:rPr>
                <w:sz w:val="18"/>
                <w:szCs w:val="18"/>
              </w:rPr>
              <w:t>■</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368</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17</w:t>
            </w:r>
          </w:p>
        </w:tc>
        <w:tc>
          <w:tcPr>
            <w:tcW w:w="0" w:type="auto"/>
            <w:shd w:val="clear" w:color="auto" w:fill="FFFFFF"/>
            <w:vAlign w:val="center"/>
          </w:tcPr>
          <w:p w:rsidR="00500724" w:rsidRDefault="00F30FB8">
            <w:pPr>
              <w:pStyle w:val="Jin0"/>
              <w:shd w:val="clear" w:color="auto" w:fill="auto"/>
              <w:ind w:firstLine="0"/>
              <w:jc w:val="right"/>
              <w:rPr>
                <w:sz w:val="18"/>
                <w:szCs w:val="18"/>
              </w:rPr>
            </w:pPr>
            <w:r>
              <w:rPr>
                <w:sz w:val="18"/>
                <w:szCs w:val="18"/>
              </w:rPr>
              <w:t>0</w:t>
            </w:r>
          </w:p>
        </w:tc>
      </w:tr>
      <w:tr w:rsidR="00500724">
        <w:tblPrEx>
          <w:tblCellMar>
            <w:top w:w="0" w:type="dxa"/>
            <w:bottom w:w="0" w:type="dxa"/>
          </w:tblCellMar>
        </w:tblPrEx>
        <w:trPr>
          <w:trHeight w:hRule="exact" w:val="226"/>
          <w:jc w:val="center"/>
        </w:trPr>
        <w:tc>
          <w:tcPr>
            <w:tcW w:w="0" w:type="auto"/>
            <w:shd w:val="clear" w:color="auto" w:fill="FFFFFF"/>
            <w:vAlign w:val="bottom"/>
          </w:tcPr>
          <w:p w:rsidR="00500724" w:rsidRDefault="00F30FB8">
            <w:pPr>
              <w:pStyle w:val="Jin0"/>
              <w:shd w:val="clear" w:color="auto" w:fill="auto"/>
              <w:ind w:firstLine="0"/>
              <w:jc w:val="left"/>
              <w:rPr>
                <w:sz w:val="18"/>
                <w:szCs w:val="18"/>
              </w:rPr>
            </w:pPr>
            <w:r>
              <w:rPr>
                <w:sz w:val="18"/>
                <w:szCs w:val="18"/>
              </w:rPr>
              <w:t>Knižní vydání v Americe:</w:t>
            </w: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r>
      <w:tr w:rsidR="00500724">
        <w:tblPrEx>
          <w:tblCellMar>
            <w:top w:w="0" w:type="dxa"/>
            <w:bottom w:w="0" w:type="dxa"/>
          </w:tblCellMar>
        </w:tblPrEx>
        <w:trPr>
          <w:trHeight w:hRule="exact" w:val="202"/>
          <w:jc w:val="center"/>
        </w:trPr>
        <w:tc>
          <w:tcPr>
            <w:tcW w:w="0" w:type="auto"/>
            <w:shd w:val="clear" w:color="auto" w:fill="FFFFFF"/>
            <w:vAlign w:val="bottom"/>
          </w:tcPr>
          <w:p w:rsidR="00500724" w:rsidRDefault="00F30FB8">
            <w:pPr>
              <w:pStyle w:val="Jin0"/>
              <w:shd w:val="clear" w:color="auto" w:fill="auto"/>
              <w:tabs>
                <w:tab w:val="left" w:pos="1082"/>
              </w:tabs>
              <w:ind w:left="180" w:firstLine="0"/>
              <w:rPr>
                <w:sz w:val="18"/>
                <w:szCs w:val="18"/>
              </w:rPr>
            </w:pPr>
            <w:r>
              <w:rPr>
                <w:sz w:val="18"/>
                <w:szCs w:val="18"/>
              </w:rPr>
              <w:t>zálohy</w:t>
            </w:r>
            <w:r>
              <w:rPr>
                <w:sz w:val="18"/>
                <w:szCs w:val="18"/>
              </w:rPr>
              <w:tab/>
              <w:t>na novou knihu . . . &gt; ■</w:t>
            </w:r>
          </w:p>
        </w:tc>
        <w:tc>
          <w:tcPr>
            <w:tcW w:w="0" w:type="auto"/>
            <w:shd w:val="clear" w:color="auto" w:fill="FFFFFF"/>
            <w:vAlign w:val="bottom"/>
          </w:tcPr>
          <w:p w:rsidR="00500724" w:rsidRDefault="00F30FB8">
            <w:pPr>
              <w:pStyle w:val="Jin0"/>
              <w:shd w:val="clear" w:color="auto" w:fill="auto"/>
              <w:ind w:left="60" w:firstLine="0"/>
              <w:jc w:val="center"/>
              <w:rPr>
                <w:sz w:val="18"/>
                <w:szCs w:val="18"/>
              </w:rPr>
            </w:pPr>
            <w:r>
              <w:rPr>
                <w:sz w:val="18"/>
                <w:szCs w:val="18"/>
              </w:rPr>
              <w:t>0</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561</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1</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10</w:t>
            </w:r>
          </w:p>
        </w:tc>
      </w:tr>
      <w:tr w:rsidR="00500724">
        <w:tblPrEx>
          <w:tblCellMar>
            <w:top w:w="0" w:type="dxa"/>
            <w:bottom w:w="0" w:type="dxa"/>
          </w:tblCellMar>
        </w:tblPrEx>
        <w:trPr>
          <w:trHeight w:hRule="exact" w:val="197"/>
          <w:jc w:val="center"/>
        </w:trPr>
        <w:tc>
          <w:tcPr>
            <w:tcW w:w="0" w:type="auto"/>
            <w:shd w:val="clear" w:color="auto" w:fill="FFFFFF"/>
            <w:vAlign w:val="bottom"/>
          </w:tcPr>
          <w:p w:rsidR="00500724" w:rsidRDefault="00F30FB8">
            <w:pPr>
              <w:pStyle w:val="Jin0"/>
              <w:shd w:val="clear" w:color="auto" w:fill="auto"/>
              <w:ind w:left="180" w:firstLine="0"/>
              <w:rPr>
                <w:sz w:val="18"/>
                <w:szCs w:val="18"/>
              </w:rPr>
            </w:pPr>
            <w:r>
              <w:rPr>
                <w:sz w:val="18"/>
                <w:szCs w:val="18"/>
              </w:rPr>
              <w:t xml:space="preserve">procenta z </w:t>
            </w:r>
            <w:r>
              <w:rPr>
                <w:sz w:val="18"/>
                <w:szCs w:val="18"/>
              </w:rPr>
              <w:t>dřívějších knih . . - ■ ■</w:t>
            </w:r>
          </w:p>
        </w:tc>
        <w:tc>
          <w:tcPr>
            <w:tcW w:w="0" w:type="auto"/>
            <w:shd w:val="clear" w:color="auto" w:fill="FFFFFF"/>
            <w:vAlign w:val="bottom"/>
          </w:tcPr>
          <w:p w:rsidR="00500724" w:rsidRDefault="00F30FB8">
            <w:pPr>
              <w:pStyle w:val="Jin0"/>
              <w:shd w:val="clear" w:color="auto" w:fill="auto"/>
              <w:ind w:left="60" w:firstLine="0"/>
              <w:jc w:val="center"/>
              <w:rPr>
                <w:sz w:val="12"/>
                <w:szCs w:val="12"/>
              </w:rPr>
            </w:pPr>
            <w:r>
              <w:rPr>
                <w:smallCaps/>
                <w:sz w:val="12"/>
                <w:szCs w:val="12"/>
              </w:rPr>
              <w:t>k</w:t>
            </w:r>
          </w:p>
        </w:tc>
        <w:tc>
          <w:tcPr>
            <w:tcW w:w="0" w:type="auto"/>
            <w:shd w:val="clear" w:color="auto" w:fill="FFFFFF"/>
            <w:vAlign w:val="bottom"/>
          </w:tcPr>
          <w:p w:rsidR="00500724" w:rsidRDefault="00F30FB8">
            <w:pPr>
              <w:pStyle w:val="Jin0"/>
              <w:shd w:val="clear" w:color="auto" w:fill="auto"/>
              <w:ind w:right="60" w:firstLine="0"/>
              <w:jc w:val="center"/>
              <w:rPr>
                <w:sz w:val="18"/>
                <w:szCs w:val="18"/>
              </w:rPr>
            </w:pPr>
            <w:r>
              <w:rPr>
                <w:sz w:val="18"/>
                <w:szCs w:val="18"/>
              </w:rPr>
              <w:t>67</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5</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6</w:t>
            </w:r>
          </w:p>
        </w:tc>
      </w:tr>
      <w:tr w:rsidR="00500724">
        <w:tblPrEx>
          <w:tblCellMar>
            <w:top w:w="0" w:type="dxa"/>
            <w:bottom w:w="0" w:type="dxa"/>
          </w:tblCellMar>
        </w:tblPrEx>
        <w:trPr>
          <w:trHeight w:hRule="exact" w:val="206"/>
          <w:jc w:val="center"/>
        </w:trPr>
        <w:tc>
          <w:tcPr>
            <w:tcW w:w="0" w:type="auto"/>
            <w:shd w:val="clear" w:color="auto" w:fill="FFFFFF"/>
          </w:tcPr>
          <w:p w:rsidR="00500724" w:rsidRDefault="00F30FB8">
            <w:pPr>
              <w:pStyle w:val="Jin0"/>
              <w:shd w:val="clear" w:color="auto" w:fill="auto"/>
              <w:ind w:firstLine="0"/>
              <w:jc w:val="left"/>
              <w:rPr>
                <w:sz w:val="18"/>
                <w:szCs w:val="18"/>
              </w:rPr>
            </w:pPr>
            <w:r>
              <w:rPr>
                <w:sz w:val="18"/>
                <w:szCs w:val="18"/>
              </w:rPr>
              <w:t>Romány na pokračování v Anglii , ■</w:t>
            </w:r>
          </w:p>
        </w:tc>
        <w:tc>
          <w:tcPr>
            <w:tcW w:w="0" w:type="auto"/>
            <w:shd w:val="clear" w:color="auto" w:fill="FFFFFF"/>
            <w:vAlign w:val="center"/>
          </w:tcPr>
          <w:p w:rsidR="00500724" w:rsidRDefault="00F30FB8">
            <w:pPr>
              <w:pStyle w:val="Jin0"/>
              <w:shd w:val="clear" w:color="auto" w:fill="auto"/>
              <w:ind w:left="60" w:firstLine="0"/>
              <w:jc w:val="center"/>
              <w:rPr>
                <w:sz w:val="12"/>
                <w:szCs w:val="12"/>
              </w:rPr>
            </w:pPr>
            <w:r>
              <w:rPr>
                <w:smallCaps/>
                <w:sz w:val="12"/>
                <w:szCs w:val="12"/>
              </w:rPr>
              <w:t>b</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1758</w:t>
            </w:r>
          </w:p>
        </w:tc>
        <w:tc>
          <w:tcPr>
            <w:tcW w:w="0" w:type="auto"/>
            <w:shd w:val="clear" w:color="auto" w:fill="FFFFFF"/>
            <w:vAlign w:val="center"/>
          </w:tcPr>
          <w:p w:rsidR="00500724" w:rsidRDefault="00F30FB8">
            <w:pPr>
              <w:pStyle w:val="Jin0"/>
              <w:shd w:val="clear" w:color="auto" w:fill="auto"/>
              <w:ind w:firstLine="0"/>
              <w:jc w:val="center"/>
              <w:rPr>
                <w:sz w:val="18"/>
                <w:szCs w:val="18"/>
              </w:rPr>
            </w:pPr>
            <w:r>
              <w:rPr>
                <w:sz w:val="18"/>
                <w:szCs w:val="18"/>
              </w:rPr>
              <w:t>6</w:t>
            </w:r>
          </w:p>
        </w:tc>
        <w:tc>
          <w:tcPr>
            <w:tcW w:w="0" w:type="auto"/>
            <w:shd w:val="clear" w:color="auto" w:fill="FFFFFF"/>
            <w:vAlign w:val="center"/>
          </w:tcPr>
          <w:p w:rsidR="00500724" w:rsidRDefault="00F30FB8">
            <w:pPr>
              <w:pStyle w:val="Jin0"/>
              <w:shd w:val="clear" w:color="auto" w:fill="auto"/>
              <w:ind w:firstLine="0"/>
              <w:jc w:val="right"/>
              <w:rPr>
                <w:sz w:val="18"/>
                <w:szCs w:val="18"/>
              </w:rPr>
            </w:pPr>
            <w:r>
              <w:rPr>
                <w:sz w:val="18"/>
                <w:szCs w:val="18"/>
              </w:rPr>
              <w:t>0</w:t>
            </w:r>
          </w:p>
        </w:tc>
      </w:tr>
      <w:tr w:rsidR="00500724">
        <w:tblPrEx>
          <w:tblCellMar>
            <w:top w:w="0" w:type="dxa"/>
            <w:bottom w:w="0" w:type="dxa"/>
          </w:tblCellMar>
        </w:tblPrEx>
        <w:trPr>
          <w:trHeight w:hRule="exact" w:val="221"/>
          <w:jc w:val="center"/>
        </w:trPr>
        <w:tc>
          <w:tcPr>
            <w:tcW w:w="0" w:type="auto"/>
            <w:shd w:val="clear" w:color="auto" w:fill="FFFFFF"/>
            <w:vAlign w:val="bottom"/>
          </w:tcPr>
          <w:p w:rsidR="00500724" w:rsidRDefault="00F30FB8">
            <w:pPr>
              <w:pStyle w:val="Jin0"/>
              <w:shd w:val="clear" w:color="auto" w:fill="auto"/>
              <w:ind w:firstLine="0"/>
              <w:jc w:val="left"/>
              <w:rPr>
                <w:sz w:val="18"/>
                <w:szCs w:val="18"/>
              </w:rPr>
            </w:pPr>
            <w:r>
              <w:rPr>
                <w:sz w:val="18"/>
                <w:szCs w:val="18"/>
              </w:rPr>
              <w:t>Knižní vydání v Anglii:</w:t>
            </w: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r>
      <w:tr w:rsidR="00500724">
        <w:tblPrEx>
          <w:tblCellMar>
            <w:top w:w="0" w:type="dxa"/>
            <w:bottom w:w="0" w:type="dxa"/>
          </w:tblCellMar>
        </w:tblPrEx>
        <w:trPr>
          <w:trHeight w:hRule="exact" w:val="202"/>
          <w:jc w:val="center"/>
        </w:trPr>
        <w:tc>
          <w:tcPr>
            <w:tcW w:w="0" w:type="auto"/>
            <w:shd w:val="clear" w:color="auto" w:fill="FFFFFF"/>
            <w:vAlign w:val="bottom"/>
          </w:tcPr>
          <w:p w:rsidR="00500724" w:rsidRDefault="00F30FB8">
            <w:pPr>
              <w:pStyle w:val="Jin0"/>
              <w:shd w:val="clear" w:color="auto" w:fill="auto"/>
              <w:ind w:left="180" w:firstLine="0"/>
              <w:rPr>
                <w:sz w:val="18"/>
                <w:szCs w:val="18"/>
              </w:rPr>
            </w:pPr>
            <w:r>
              <w:rPr>
                <w:sz w:val="18"/>
                <w:szCs w:val="18"/>
              </w:rPr>
              <w:t>zálohy na novou knihu .&lt;■■■■</w:t>
            </w:r>
          </w:p>
        </w:tc>
        <w:tc>
          <w:tcPr>
            <w:tcW w:w="0" w:type="auto"/>
            <w:shd w:val="clear" w:color="auto" w:fill="FFFFFF"/>
            <w:vAlign w:val="bottom"/>
          </w:tcPr>
          <w:p w:rsidR="00500724" w:rsidRDefault="00F30FB8">
            <w:pPr>
              <w:pStyle w:val="Jin0"/>
              <w:shd w:val="clear" w:color="auto" w:fill="auto"/>
              <w:ind w:left="60" w:firstLine="0"/>
              <w:jc w:val="center"/>
              <w:rPr>
                <w:sz w:val="18"/>
                <w:szCs w:val="18"/>
              </w:rPr>
            </w:pPr>
            <w:r>
              <w:rPr>
                <w:sz w:val="18"/>
                <w:szCs w:val="18"/>
              </w:rPr>
              <w:t>0</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1110</w:t>
            </w: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0</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0</w:t>
            </w:r>
          </w:p>
        </w:tc>
      </w:tr>
      <w:tr w:rsidR="00500724">
        <w:tblPrEx>
          <w:tblCellMar>
            <w:top w:w="0" w:type="dxa"/>
            <w:bottom w:w="0" w:type="dxa"/>
          </w:tblCellMar>
        </w:tblPrEx>
        <w:trPr>
          <w:trHeight w:hRule="exact" w:val="216"/>
          <w:jc w:val="center"/>
        </w:trPr>
        <w:tc>
          <w:tcPr>
            <w:tcW w:w="0" w:type="auto"/>
            <w:tcBorders>
              <w:bottom w:val="single" w:sz="4" w:space="0" w:color="auto"/>
            </w:tcBorders>
            <w:shd w:val="clear" w:color="auto" w:fill="FFFFFF"/>
          </w:tcPr>
          <w:p w:rsidR="00500724" w:rsidRDefault="00F30FB8">
            <w:pPr>
              <w:pStyle w:val="Jin0"/>
              <w:shd w:val="clear" w:color="auto" w:fill="auto"/>
              <w:ind w:left="180" w:firstLine="0"/>
              <w:rPr>
                <w:sz w:val="18"/>
                <w:szCs w:val="18"/>
              </w:rPr>
            </w:pPr>
            <w:r>
              <w:rPr>
                <w:sz w:val="18"/>
                <w:szCs w:val="18"/>
              </w:rPr>
              <w:t>procenta z dřívějších knih . » &gt; ■ ■</w:t>
            </w:r>
          </w:p>
        </w:tc>
        <w:tc>
          <w:tcPr>
            <w:tcW w:w="0" w:type="auto"/>
            <w:tcBorders>
              <w:bottom w:val="single" w:sz="4" w:space="0" w:color="auto"/>
            </w:tcBorders>
            <w:shd w:val="clear" w:color="auto" w:fill="FFFFFF"/>
          </w:tcPr>
          <w:p w:rsidR="00500724" w:rsidRDefault="00500724">
            <w:pPr>
              <w:rPr>
                <w:sz w:val="10"/>
                <w:szCs w:val="10"/>
              </w:rPr>
            </w:pPr>
          </w:p>
        </w:tc>
        <w:tc>
          <w:tcPr>
            <w:tcW w:w="0" w:type="auto"/>
            <w:shd w:val="clear" w:color="auto" w:fill="FFFFFF"/>
            <w:vAlign w:val="bottom"/>
          </w:tcPr>
          <w:p w:rsidR="00500724" w:rsidRDefault="00F30FB8">
            <w:pPr>
              <w:pStyle w:val="Jin0"/>
              <w:shd w:val="clear" w:color="auto" w:fill="auto"/>
              <w:ind w:firstLine="0"/>
              <w:jc w:val="center"/>
              <w:rPr>
                <w:sz w:val="18"/>
                <w:szCs w:val="18"/>
              </w:rPr>
            </w:pPr>
            <w:r>
              <w:rPr>
                <w:sz w:val="18"/>
                <w:szCs w:val="18"/>
              </w:rPr>
              <w:t>820</w:t>
            </w:r>
          </w:p>
        </w:tc>
        <w:tc>
          <w:tcPr>
            <w:tcW w:w="0" w:type="auto"/>
            <w:shd w:val="clear" w:color="auto" w:fill="FFFFFF"/>
          </w:tcPr>
          <w:p w:rsidR="00500724" w:rsidRDefault="00F30FB8">
            <w:pPr>
              <w:pStyle w:val="Jin0"/>
              <w:shd w:val="clear" w:color="auto" w:fill="auto"/>
              <w:ind w:firstLine="0"/>
              <w:jc w:val="center"/>
              <w:rPr>
                <w:sz w:val="18"/>
                <w:szCs w:val="18"/>
              </w:rPr>
            </w:pPr>
            <w:r>
              <w:rPr>
                <w:sz w:val="18"/>
                <w:szCs w:val="18"/>
              </w:rPr>
              <w:t>19</w:t>
            </w:r>
          </w:p>
        </w:tc>
        <w:tc>
          <w:tcPr>
            <w:tcW w:w="0" w:type="auto"/>
            <w:shd w:val="clear" w:color="auto" w:fill="FFFFFF"/>
            <w:vAlign w:val="bottom"/>
          </w:tcPr>
          <w:p w:rsidR="00500724" w:rsidRDefault="00F30FB8">
            <w:pPr>
              <w:pStyle w:val="Jin0"/>
              <w:shd w:val="clear" w:color="auto" w:fill="auto"/>
              <w:ind w:firstLine="0"/>
              <w:jc w:val="right"/>
              <w:rPr>
                <w:sz w:val="18"/>
                <w:szCs w:val="18"/>
              </w:rPr>
            </w:pPr>
            <w:r>
              <w:rPr>
                <w:sz w:val="18"/>
                <w:szCs w:val="18"/>
              </w:rPr>
              <w:t>0</w:t>
            </w:r>
          </w:p>
        </w:tc>
      </w:tr>
    </w:tbl>
    <w:p w:rsidR="00500724" w:rsidRDefault="00F30FB8">
      <w:pPr>
        <w:pStyle w:val="Zkladntext100"/>
        <w:shd w:val="clear" w:color="auto" w:fill="auto"/>
        <w:spacing w:line="211" w:lineRule="auto"/>
      </w:pPr>
      <w:r>
        <w:t xml:space="preserve">Z toho deset procent agentovi, která jsem platil z </w:t>
      </w:r>
      <w:r>
        <w:t>větši</w:t>
      </w:r>
      <w:r>
        <w:softHyphen/>
        <w:t>ny prací.</w:t>
      </w:r>
    </w:p>
    <w:p w:rsidR="00500724" w:rsidRDefault="00F30FB8">
      <w:pPr>
        <w:pStyle w:val="Zkladntext100"/>
        <w:shd w:val="clear" w:color="auto" w:fill="auto"/>
        <w:spacing w:line="216" w:lineRule="auto"/>
        <w:ind w:firstLine="200"/>
      </w:pPr>
      <w:r>
        <w:t>Má hlavní vydání vedle agenta byla tato:</w:t>
      </w:r>
    </w:p>
    <w:p w:rsidR="00500724" w:rsidRDefault="00F30FB8">
      <w:pPr>
        <w:pStyle w:val="Zkladntext100"/>
        <w:shd w:val="clear" w:color="auto" w:fill="auto"/>
        <w:tabs>
          <w:tab w:val="left" w:pos="3977"/>
        </w:tabs>
        <w:spacing w:line="216" w:lineRule="auto"/>
        <w:ind w:firstLine="0"/>
      </w:pPr>
      <w:r>
        <w:t>Psaní na stroji a sekretářka ■ ■ &gt; ■ ■</w:t>
      </w:r>
      <w:r>
        <w:tab/>
        <w:t xml:space="preserve">255 </w:t>
      </w:r>
      <w:r>
        <w:rPr>
          <w:rFonts w:ascii="Arial" w:eastAsia="Arial" w:hAnsi="Arial" w:cs="Arial"/>
          <w:b/>
          <w:bCs/>
        </w:rPr>
        <w:t>0 10</w:t>
      </w:r>
    </w:p>
    <w:p w:rsidR="00500724" w:rsidRDefault="00F30FB8">
      <w:pPr>
        <w:pStyle w:val="Zkladntext100"/>
        <w:shd w:val="clear" w:color="auto" w:fill="auto"/>
        <w:tabs>
          <w:tab w:val="left" w:leader="dot" w:pos="2986"/>
          <w:tab w:val="left" w:leader="dot" w:pos="3284"/>
          <w:tab w:val="left" w:pos="3977"/>
        </w:tabs>
        <w:spacing w:line="216" w:lineRule="auto"/>
        <w:ind w:firstLine="0"/>
      </w:pPr>
      <w:r>
        <w:t>Papír a poštovné</w:t>
      </w:r>
      <w:r>
        <w:tab/>
      </w:r>
      <w:r>
        <w:tab/>
        <w:t xml:space="preserve"> ■ .</w:t>
      </w:r>
      <w:r>
        <w:tab/>
        <w:t>40 0 0</w:t>
      </w:r>
    </w:p>
    <w:p w:rsidR="00500724" w:rsidRDefault="00F30FB8">
      <w:pPr>
        <w:pStyle w:val="Zkladntext100"/>
        <w:shd w:val="clear" w:color="auto" w:fill="auto"/>
        <w:spacing w:line="218" w:lineRule="auto"/>
      </w:pPr>
      <w:r>
        <w:t>Ovšem knihy a noviny znamenají velké vydání v živo</w:t>
      </w:r>
      <w:r>
        <w:softHyphen/>
        <w:t>tě pilného spisovatele, a během toho roku jsem za ně vy</w:t>
      </w:r>
      <w:r>
        <w:softHyphen/>
        <w:t xml:space="preserve">dal skoro 100 </w:t>
      </w:r>
      <w:r>
        <w:t>liber. Jiná vydání bylo mnoho cest do města z Boumemouthu k rozmluvám s nakladateli a redaktory.</w:t>
      </w:r>
    </w:p>
    <w:p w:rsidR="00500724" w:rsidRDefault="00F30FB8">
      <w:pPr>
        <w:pStyle w:val="Zkladntext100"/>
        <w:shd w:val="clear" w:color="auto" w:fill="auto"/>
        <w:spacing w:line="216" w:lineRule="auto"/>
        <w:ind w:firstLine="200"/>
      </w:pPr>
      <w:r>
        <w:t>Tento roční výdělek, ačkoliv uspokojivý, je malý u po</w:t>
      </w:r>
      <w:r>
        <w:softHyphen/>
        <w:t xml:space="preserve">rovnání s opravdu úspěšnými spisovateli. Na příklad A. A. </w:t>
      </w:r>
      <w:r>
        <w:rPr>
          <w:lang w:val="en-US" w:eastAsia="en-US" w:bidi="en-US"/>
        </w:rPr>
        <w:t xml:space="preserve">Milne </w:t>
      </w:r>
      <w:r>
        <w:t xml:space="preserve">prý vydělal 30.000 liber za rok, </w:t>
      </w:r>
      <w:r>
        <w:rPr>
          <w:lang w:val="en-US" w:eastAsia="en-US" w:bidi="en-US"/>
        </w:rPr>
        <w:t xml:space="preserve">Warwick </w:t>
      </w:r>
      <w:r>
        <w:rPr>
          <w:lang w:val="en-US" w:eastAsia="en-US" w:bidi="en-US"/>
        </w:rPr>
        <w:t xml:space="preserve">Deeping </w:t>
      </w:r>
      <w:r>
        <w:t xml:space="preserve">patrně také tolik vydělá, ne-li víc, příjem Conana </w:t>
      </w:r>
      <w:r>
        <w:rPr>
          <w:lang w:val="en-US" w:eastAsia="en-US" w:bidi="en-US"/>
        </w:rPr>
        <w:t xml:space="preserve">Doyle </w:t>
      </w:r>
      <w:r>
        <w:t xml:space="preserve">v době rozkvětu musil být závratný (myslím, že dostával až 900 guineí za krátkou povídku), a dalšími spisovateli s obrovskými příjmy jsou </w:t>
      </w:r>
      <w:r>
        <w:rPr>
          <w:lang w:val="en-US" w:eastAsia="en-US" w:bidi="en-US"/>
        </w:rPr>
        <w:t xml:space="preserve">Somerset Maugham, J. </w:t>
      </w:r>
      <w:r>
        <w:t xml:space="preserve">B. </w:t>
      </w:r>
      <w:r>
        <w:rPr>
          <w:lang w:val="en-US" w:eastAsia="en-US" w:bidi="en-US"/>
        </w:rPr>
        <w:t>Priest</w:t>
      </w:r>
      <w:r>
        <w:rPr>
          <w:lang w:val="en-US" w:eastAsia="en-US" w:bidi="en-US"/>
        </w:rPr>
        <w:softHyphen/>
        <w:t xml:space="preserve">ley, </w:t>
      </w:r>
      <w:r>
        <w:t xml:space="preserve">P. G. </w:t>
      </w:r>
      <w:r>
        <w:rPr>
          <w:lang w:val="en-US" w:eastAsia="en-US" w:bidi="en-US"/>
        </w:rPr>
        <w:t xml:space="preserve">Wodehouse </w:t>
      </w:r>
      <w:r>
        <w:t>a</w:t>
      </w:r>
      <w:r>
        <w:t xml:space="preserve"> Phillips Oppenheim. Jeden ame</w:t>
      </w:r>
      <w:r>
        <w:softHyphen/>
        <w:t xml:space="preserve">rický autor, u nás neznámý, </w:t>
      </w:r>
      <w:r>
        <w:rPr>
          <w:lang w:val="en-US" w:eastAsia="en-US" w:bidi="en-US"/>
        </w:rPr>
        <w:t xml:space="preserve">Clarence </w:t>
      </w:r>
      <w:r>
        <w:t xml:space="preserve">Budington Kelland, prý vydělává 25.000 liber hlavně romány na pokračování v </w:t>
      </w:r>
      <w:r>
        <w:rPr>
          <w:lang w:val="en-US" w:eastAsia="en-US" w:bidi="en-US"/>
        </w:rPr>
        <w:t>Saturday Evening Post.</w:t>
      </w:r>
    </w:p>
    <w:p w:rsidR="00500724" w:rsidRDefault="00F30FB8">
      <w:pPr>
        <w:pStyle w:val="Zkladntext100"/>
        <w:shd w:val="clear" w:color="auto" w:fill="auto"/>
        <w:spacing w:after="260" w:line="206" w:lineRule="auto"/>
        <w:ind w:firstLine="200"/>
      </w:pPr>
      <w:r>
        <w:t>V psaní jsou opravdu peníze — pro několik málo vyvo</w:t>
      </w:r>
      <w:r>
        <w:softHyphen/>
        <w:t xml:space="preserve">lených. Potřebujete k tomu zdraví, </w:t>
      </w:r>
      <w:r>
        <w:t>optimismus, neomeze</w:t>
      </w:r>
      <w:r>
        <w:softHyphen/>
        <w:t>nu víru v sebe sama — a schopnost donutit lidi, aby kupo</w:t>
      </w:r>
      <w:r>
        <w:softHyphen/>
        <w:t>vali vaše knihy.</w:t>
      </w:r>
    </w:p>
    <w:p w:rsidR="00500724" w:rsidRDefault="00F30FB8">
      <w:pPr>
        <w:pStyle w:val="Jin0"/>
        <w:pBdr>
          <w:bottom w:val="single" w:sz="4" w:space="0" w:color="auto"/>
        </w:pBdr>
        <w:shd w:val="clear" w:color="auto" w:fill="auto"/>
        <w:spacing w:after="140"/>
        <w:ind w:firstLine="0"/>
        <w:jc w:val="left"/>
        <w:rPr>
          <w:sz w:val="44"/>
          <w:szCs w:val="44"/>
        </w:rPr>
      </w:pPr>
      <w:r>
        <w:rPr>
          <w:b/>
          <w:bCs/>
          <w:sz w:val="44"/>
          <w:szCs w:val="44"/>
        </w:rPr>
        <w:t>doba a lidé</w:t>
      </w:r>
    </w:p>
    <w:p w:rsidR="00500724" w:rsidRDefault="00F30FB8">
      <w:pPr>
        <w:pStyle w:val="Zkladntext30"/>
        <w:shd w:val="clear" w:color="auto" w:fill="auto"/>
        <w:spacing w:after="60" w:line="240" w:lineRule="auto"/>
        <w:ind w:firstLine="0"/>
        <w:rPr>
          <w:sz w:val="20"/>
          <w:szCs w:val="20"/>
        </w:rPr>
      </w:pPr>
      <w:r>
        <w:rPr>
          <w:i/>
          <w:iCs/>
          <w:sz w:val="20"/>
          <w:szCs w:val="20"/>
        </w:rPr>
        <w:t>Petr K.:</w:t>
      </w:r>
    </w:p>
    <w:p w:rsidR="00500724" w:rsidRDefault="00F30FB8">
      <w:pPr>
        <w:pStyle w:val="Nadpis100"/>
        <w:shd w:val="clear" w:color="auto" w:fill="auto"/>
        <w:spacing w:after="60" w:line="240" w:lineRule="auto"/>
        <w:jc w:val="left"/>
      </w:pPr>
      <w:bookmarkStart w:id="481" w:name="bookmark480"/>
      <w:r>
        <w:t>„Já jistě nejsem pověrčivý, ale.</w:t>
      </w:r>
      <w:bookmarkEnd w:id="481"/>
    </w:p>
    <w:p w:rsidR="00500724" w:rsidRDefault="00F30FB8">
      <w:pPr>
        <w:pStyle w:val="Zkladntext100"/>
        <w:shd w:val="clear" w:color="auto" w:fill="auto"/>
        <w:spacing w:after="40" w:line="223" w:lineRule="auto"/>
      </w:pPr>
      <w:r>
        <w:t>Je údělem lidstva, — a jistě ještě nějaké to tisíciletí bude - že vleče s sebou, lak říkajíc do salonu civil</w:t>
      </w:r>
      <w:r>
        <w:t>isace, pralesní skořápky, z nichž se vyklubalo. Sem patří známé lekavé sny a padání (se stromů, na kterých bylo kdysi řádné a trvalé bydliště) a spojené s tím zatínání prstů (do matčina přírodního kožichu), stejné zatínání prstů na rukách i nohách, jaké pr</w:t>
      </w:r>
      <w:r>
        <w:t>ovozuje kojené nemluvně &gt;držící« se maminky.</w:t>
      </w:r>
    </w:p>
    <w:p w:rsidR="00500724" w:rsidRDefault="00F30FB8">
      <w:pPr>
        <w:pStyle w:val="Zkladntext100"/>
        <w:shd w:val="clear" w:color="auto" w:fill="auto"/>
        <w:spacing w:after="40" w:line="221" w:lineRule="auto"/>
        <w:ind w:firstLine="240"/>
      </w:pPr>
      <w:r>
        <w:t>Památku na vývoj P. T. lidstva představuje na příklad (viz živočichopis, kapitola Monotremaíae, kloakovití, pta- kopysk australský atd.) určitá svízel s ovládáním svěrače konečníkového a svěrače roury močové. Mí</w:t>
      </w:r>
      <w:r>
        <w:t>níme tím ob</w:t>
      </w:r>
      <w:r>
        <w:softHyphen/>
        <w:t>tížnost či nemožnost, uvolnit buď jen...</w:t>
      </w:r>
    </w:p>
    <w:p w:rsidR="00500724" w:rsidRDefault="00F30FB8">
      <w:pPr>
        <w:pStyle w:val="Zkladntext100"/>
        <w:shd w:val="clear" w:color="auto" w:fill="auto"/>
        <w:spacing w:after="40" w:line="221" w:lineRule="auto"/>
        <w:ind w:firstLine="240"/>
      </w:pPr>
      <w:r>
        <w:t>Pardon. Máte úplnou pravdu, madame, vážený pane. O tom se opravdu ve společnosti nemluví. Máte úplnou pravdu I Ale jak vysvětlíte, že lidé bez protestu a •shockingm poslouchají, když někdo ve společnosti</w:t>
      </w:r>
      <w:r>
        <w:t xml:space="preserve"> vy</w:t>
      </w:r>
      <w:r>
        <w:softHyphen/>
        <w:t>práví: *Já sice nejsem pověrčivý(á), ale vím o kartářce (chiromantovi, jasnovidci atd.), která uhodla a předpově</w:t>
      </w:r>
      <w:r>
        <w:softHyphen/>
        <w:t xml:space="preserve">děla věci, no prostě úžasné </w:t>
      </w:r>
      <w:r>
        <w:rPr>
          <w:i/>
          <w:iCs/>
        </w:rPr>
        <w:t>... .t</w:t>
      </w:r>
    </w:p>
    <w:p w:rsidR="00500724" w:rsidRDefault="00F30FB8">
      <w:pPr>
        <w:pStyle w:val="Zkladntext100"/>
        <w:shd w:val="clear" w:color="auto" w:fill="auto"/>
        <w:spacing w:after="40" w:line="221" w:lineRule="auto"/>
        <w:ind w:firstLine="240"/>
      </w:pPr>
      <w:r>
        <w:t xml:space="preserve">Prosíme, aby bylo vzato za prokázané, že pochvalná řeč o profesionálních jasnovidcích a vykladačkách </w:t>
      </w:r>
      <w:r>
        <w:t>karet, a jakákoliv víra v ně a jejich nynější nebo někdejší pro</w:t>
      </w:r>
      <w:r>
        <w:softHyphen/>
        <w:t>roctví je atavismem mnohem horším, ba - protože nejde o věci přirozené — přímo potupným. Do dvacátého století a jeho vymožeností nepatří věci, jež byly už brakem pro rozumné lidi věku, kdy ble</w:t>
      </w:r>
      <w:r>
        <w:t>sk ještě byl kuchyňským nářa</w:t>
      </w:r>
      <w:r>
        <w:softHyphen/>
        <w:t>dím, kterým si Zeus vyřizoval domácí různice s Herou.</w:t>
      </w:r>
    </w:p>
    <w:p w:rsidR="00500724" w:rsidRDefault="00F30FB8">
      <w:pPr>
        <w:pStyle w:val="Zkladntext100"/>
        <w:shd w:val="clear" w:color="auto" w:fill="auto"/>
        <w:spacing w:after="40" w:line="221" w:lineRule="auto"/>
        <w:ind w:firstLine="240"/>
      </w:pPr>
      <w:r>
        <w:t>Tahle filipika nechce a nemůže řešit otázku, zda exi</w:t>
      </w:r>
      <w:r>
        <w:softHyphen/>
        <w:t>stují nadpřirozené dary, vlohy a věci vůbec. Autor sám věří, že takovéto zjevy existují. Neboř si nedovede — když byl vi</w:t>
      </w:r>
      <w:r>
        <w:t>děl mnoho mozků, srdcí a žláz na pitevním stole — vysvětliti, jak se foto všechno může složit v lid</w:t>
      </w:r>
      <w:r>
        <w:softHyphen/>
        <w:t>ského ducha, v rozum, schopný obsáhnout pojem tisíci</w:t>
      </w:r>
      <w:r>
        <w:softHyphen/>
        <w:t>letí, věří v zázrak věrnosti a statečnosti, v krásu žen a v moc lásky. Věří v čest a vítěznou pravdu. T</w:t>
      </w:r>
      <w:r>
        <w:t>edy věci svým způsobem nad — přirozené.</w:t>
      </w:r>
    </w:p>
    <w:p w:rsidR="00500724" w:rsidRDefault="00F30FB8">
      <w:pPr>
        <w:pStyle w:val="Zkladntext100"/>
        <w:shd w:val="clear" w:color="auto" w:fill="auto"/>
        <w:spacing w:after="40" w:line="221" w:lineRule="auto"/>
        <w:ind w:firstLine="240"/>
      </w:pPr>
      <w:r>
        <w:t>Nic z toho nenalézá u profesionálních jasnovidců.</w:t>
      </w:r>
    </w:p>
    <w:p w:rsidR="00500724" w:rsidRDefault="00F30FB8">
      <w:pPr>
        <w:pStyle w:val="Zkladntext100"/>
        <w:shd w:val="clear" w:color="auto" w:fill="auto"/>
        <w:spacing w:after="40" w:line="221" w:lineRule="auto"/>
        <w:ind w:firstLine="240"/>
      </w:pPr>
      <w:r>
        <w:t>U žádného z nich. Rozdíly jsou jen vnějšího rázu: mezi podnikatelem, jenž chodí v turbanu, má tištěné prospek</w:t>
      </w:r>
      <w:r>
        <w:softHyphen/>
        <w:t>ty a hnědou pastou natřeného sluhu - a mezi babkou, kter</w:t>
      </w:r>
      <w:r>
        <w:t>á si na dveře přilepí cedulku: lUhódnu fšecko jenom 5 K&lt;.</w:t>
      </w:r>
    </w:p>
    <w:p w:rsidR="00500724" w:rsidRDefault="00F30FB8">
      <w:pPr>
        <w:pStyle w:val="Zkladntext100"/>
        <w:shd w:val="clear" w:color="auto" w:fill="auto"/>
        <w:spacing w:after="120" w:line="221" w:lineRule="auto"/>
        <w:ind w:firstLine="0"/>
        <w:jc w:val="center"/>
      </w:pPr>
      <w:r>
        <w:t>•</w:t>
      </w:r>
    </w:p>
    <w:p w:rsidR="00500724" w:rsidRDefault="00F30FB8">
      <w:pPr>
        <w:pStyle w:val="Zkladntext100"/>
        <w:shd w:val="clear" w:color="auto" w:fill="auto"/>
        <w:spacing w:after="40" w:line="221" w:lineRule="auto"/>
        <w:ind w:firstLine="240"/>
      </w:pPr>
      <w:r>
        <w:t>Zejména v poslední době točí se ve společnosti hovor nápadně často kolem sensací s proroctvími — a je mnoho lidí, kteří neprotestují, řídíce se moudrým slovem Eschen- bachové: »Dobře vychovaný nen</w:t>
      </w:r>
      <w:r>
        <w:t>í ten, kdo při jídle ne</w:t>
      </w:r>
      <w:r>
        <w:softHyphen/>
        <w:t>strká nůž do úst, ale ten, kdo nevidí, když tak činí jeho soused.i</w:t>
      </w:r>
    </w:p>
    <w:p w:rsidR="00500724" w:rsidRDefault="00F30FB8">
      <w:pPr>
        <w:pStyle w:val="Zkladntext100"/>
        <w:shd w:val="clear" w:color="auto" w:fill="auto"/>
        <w:spacing w:after="40" w:line="221" w:lineRule="auto"/>
        <w:ind w:firstLine="240"/>
      </w:pPr>
      <w:r>
        <w:t>Máme dojem, že mnoho lidí si přímo vráží nůž do jícnu. Přes vysoký náš názor o lidské svobodě musíme nyní pozvednout svého hlasu a říci, že je to nepří</w:t>
      </w:r>
      <w:r>
        <w:softHyphen/>
        <w:t xml:space="preserve">pustné. </w:t>
      </w:r>
      <w:r>
        <w:t>Dodáváme-li, že je to nepřípustné správě v této d o b ě«, nebereme drtivé slovo nadarmo. Byli jsme svědky mnoha dobře myšlených, ale neúměrných zapří</w:t>
      </w:r>
      <w:r>
        <w:softHyphen/>
        <w:t>sahání touto klatební formulí. Vzpomeňme si jen, jak jed</w:t>
      </w:r>
      <w:r>
        <w:softHyphen/>
        <w:t>nou z prvních reakcí po září bylo volání: zaveďme</w:t>
      </w:r>
      <w:r>
        <w:t xml:space="preserve"> jízdu doprava! Mnohokráte jsme tu i jindy měli dojem, sly</w:t>
      </w:r>
      <w:r>
        <w:softHyphen/>
        <w:t>šíce jako argument odkaz na těžké události, že jde o prů</w:t>
      </w:r>
      <w:r>
        <w:softHyphen/>
        <w:t>vodní reakci na děs, asi jako při požáru, kdy člověk, osu</w:t>
      </w:r>
      <w:r>
        <w:softHyphen/>
        <w:t>dem drcený, vynáší z hořícího domu prázdnou klec po kanárkovi, nechávaje ohni na p</w:t>
      </w:r>
      <w:r>
        <w:t>ospas věci jednak mno</w:t>
      </w:r>
      <w:r>
        <w:softHyphen/>
        <w:t>hem hořlavější, jednak důležitější.</w:t>
      </w:r>
    </w:p>
    <w:p w:rsidR="00500724" w:rsidRDefault="00F30FB8">
      <w:pPr>
        <w:pStyle w:val="Zkladntext100"/>
        <w:shd w:val="clear" w:color="auto" w:fill="auto"/>
        <w:spacing w:after="40" w:line="223" w:lineRule="auto"/>
        <w:ind w:firstLine="240"/>
        <w:jc w:val="left"/>
      </w:pPr>
      <w:r>
        <w:t>Ne. Tentokrát je úpěnlivá prosba spryč s pověrou! dobou velmi odůvodněná, jako je odůvodněný zvýšený strach ze špinavého kapesníku v blízkosti otevřené rány.</w:t>
      </w:r>
    </w:p>
    <w:p w:rsidR="00500724" w:rsidRDefault="00F30FB8">
      <w:pPr>
        <w:pStyle w:val="Zkladntext100"/>
        <w:shd w:val="clear" w:color="auto" w:fill="auto"/>
        <w:spacing w:after="40" w:line="221" w:lineRule="auto"/>
        <w:ind w:firstLine="240"/>
      </w:pPr>
      <w:r>
        <w:rPr>
          <w:noProof/>
        </w:rPr>
        <mc:AlternateContent>
          <mc:Choice Requires="wps">
            <w:drawing>
              <wp:anchor distT="0" distB="254000" distL="114300" distR="114300" simplePos="0" relativeHeight="125829856" behindDoc="0" locked="0" layoutInCell="1" allowOverlap="1">
                <wp:simplePos x="0" y="0"/>
                <wp:positionH relativeFrom="page">
                  <wp:posOffset>6835775</wp:posOffset>
                </wp:positionH>
                <wp:positionV relativeFrom="margin">
                  <wp:posOffset>8973185</wp:posOffset>
                </wp:positionV>
                <wp:extent cx="234950" cy="213360"/>
                <wp:effectExtent l="0" t="0" r="0" b="0"/>
                <wp:wrapTopAndBottom/>
                <wp:docPr id="479" name="Shape 479"/>
                <wp:cNvGraphicFramePr/>
                <a:graphic xmlns:a="http://schemas.openxmlformats.org/drawingml/2006/main">
                  <a:graphicData uri="http://schemas.microsoft.com/office/word/2010/wordprocessingShape">
                    <wps:wsp>
                      <wps:cNvSpPr txBox="1"/>
                      <wps:spPr>
                        <a:xfrm>
                          <a:off x="0" y="0"/>
                          <a:ext cx="23495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S.93</w:t>
                            </w:r>
                          </w:p>
                        </w:txbxContent>
                      </wps:txbx>
                      <wps:bodyPr lIns="0" tIns="0" rIns="0" bIns="0">
                        <a:spAutoFit/>
                      </wps:bodyPr>
                    </wps:wsp>
                  </a:graphicData>
                </a:graphic>
              </wp:anchor>
            </w:drawing>
          </mc:Choice>
          <mc:Fallback>
            <w:pict>
              <v:shape id="_x0000_s1505" type="#_x0000_t202" style="position:absolute;margin-left:538.25pt;margin-top:706.54999999999995pt;width:18.5pt;height:16.800000000000001pt;z-index:-125828897;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S.93</w:t>
                      </w:r>
                    </w:p>
                  </w:txbxContent>
                </v:textbox>
                <w10:wrap type="topAndBottom" anchorx="page" anchory="margin"/>
              </v:shape>
            </w:pict>
          </mc:Fallback>
        </mc:AlternateContent>
      </w:r>
      <w:r>
        <w:t xml:space="preserve">sPříiomnosit měla nedávno sérii </w:t>
      </w:r>
      <w:r>
        <w:t>článků o omamných jedech. Úmyslně či opominutím tam nebyla řeč o sou</w:t>
      </w:r>
      <w:r>
        <w:softHyphen/>
        <w:t>vislosti mezi světovými dějinami a narkotiky. Pravda to</w:t>
      </w:r>
      <w:r>
        <w:softHyphen/>
        <w:t>tiž je, že na místo někdejších bakierijních epidemií a celo</w:t>
      </w:r>
      <w:r>
        <w:softHyphen/>
        <w:t>státních výbuchů kriminality nastoupily dva jiné násled</w:t>
      </w:r>
      <w:r>
        <w:softHyphen/>
        <w:t>né zjevy národn</w:t>
      </w:r>
      <w:r>
        <w:t>ích nebo státních katastrof: jedním z nich</w:t>
      </w:r>
    </w:p>
    <w:p w:rsidR="00500724" w:rsidRDefault="00F30FB8">
      <w:pPr>
        <w:pStyle w:val="Zkladntext100"/>
        <w:shd w:val="clear" w:color="auto" w:fill="auto"/>
        <w:spacing w:line="223" w:lineRule="auto"/>
        <w:ind w:firstLine="0"/>
      </w:pPr>
      <w:r>
        <w:rPr>
          <w:rFonts w:ascii="Arial" w:eastAsia="Arial" w:hAnsi="Arial" w:cs="Arial"/>
          <w:b/>
          <w:bCs/>
        </w:rPr>
        <w:t xml:space="preserve">ja </w:t>
      </w:r>
      <w:r>
        <w:t>epidemická zobecnění narkotik. (Má-li dnes Německo nejméně lidí zničených omamnými jedy, jo to důsledek toho, že policie po roku 1918 vystihla nesmírné nebezpečí a zařídila podle toho sebe a - obchodníky s jedy</w:t>
      </w:r>
      <w:r>
        <w:t>. Vivant sequentesl)</w:t>
      </w:r>
    </w:p>
    <w:p w:rsidR="00500724" w:rsidRDefault="00F30FB8">
      <w:pPr>
        <w:pStyle w:val="Zkladntext100"/>
        <w:shd w:val="clear" w:color="auto" w:fill="auto"/>
        <w:spacing w:line="223" w:lineRule="auto"/>
      </w:pPr>
      <w:r>
        <w:t>A nebezpečí číslo 2? Jednou se jakýsi horal ptal cesto</w:t>
      </w:r>
      <w:r>
        <w:softHyphen/>
        <w:t>vatele, co je to telegraf. Řekl mu: představ si psa, dlouhé</w:t>
      </w:r>
      <w:r>
        <w:softHyphen/>
        <w:t>ho tisíc mil. Zde u tebe má ohon - v hlavním městě hlavu. Když ho zde štípneš do ohonu, zaštěká v hlavním městě. — Dobrá</w:t>
      </w:r>
      <w:r>
        <w:t>, řekl horal, a co je to telegrafie bezdrá</w:t>
      </w:r>
      <w:r>
        <w:softHyphen/>
        <w:t>tová? — To je totéž, řekl cestovatel, jenom bez toho psa.</w:t>
      </w:r>
    </w:p>
    <w:p w:rsidR="00500724" w:rsidRDefault="00F30FB8">
      <w:pPr>
        <w:pStyle w:val="Zkladntext100"/>
        <w:shd w:val="clear" w:color="auto" w:fill="auto"/>
        <w:spacing w:line="228" w:lineRule="auto"/>
      </w:pPr>
      <w:r>
        <w:t xml:space="preserve">Praktické použití: účelem omamných jedů je, přenésti </w:t>
      </w:r>
      <w:r>
        <w:rPr>
          <w:rFonts w:ascii="Arial" w:eastAsia="Arial" w:hAnsi="Arial" w:cs="Arial"/>
          <w:b/>
          <w:bCs/>
        </w:rPr>
        <w:t xml:space="preserve">se </w:t>
      </w:r>
      <w:r>
        <w:t>po způsobu zběha z nepohodlné přítomnosti do po</w:t>
      </w:r>
      <w:r>
        <w:softHyphen/>
        <w:t>hodlné říše snů.</w:t>
      </w:r>
    </w:p>
    <w:p w:rsidR="00500724" w:rsidRDefault="00F30FB8">
      <w:pPr>
        <w:pStyle w:val="Zkladntext100"/>
        <w:shd w:val="clear" w:color="auto" w:fill="auto"/>
        <w:spacing w:after="60" w:line="218" w:lineRule="auto"/>
      </w:pPr>
      <w:r>
        <w:t>Pověra je totéž — jenom bez toho p</w:t>
      </w:r>
      <w:r>
        <w:t>rášku. Ja to nesta- tečný útěk z těžké přítomnosti do vylhanó budoucnosti.</w:t>
      </w:r>
    </w:p>
    <w:p w:rsidR="00500724" w:rsidRDefault="00F30FB8">
      <w:pPr>
        <w:pStyle w:val="Zkladntext100"/>
        <w:shd w:val="clear" w:color="auto" w:fill="auto"/>
        <w:spacing w:after="60" w:line="221" w:lineRule="auto"/>
        <w:ind w:firstLine="0"/>
        <w:jc w:val="center"/>
      </w:pPr>
      <w:r>
        <w:t>•</w:t>
      </w:r>
    </w:p>
    <w:p w:rsidR="00500724" w:rsidRDefault="00F30FB8">
      <w:pPr>
        <w:pStyle w:val="Zkladntext100"/>
        <w:shd w:val="clear" w:color="auto" w:fill="auto"/>
        <w:spacing w:line="223" w:lineRule="auto"/>
      </w:pPr>
      <w:r>
        <w:t>Nebudeme nikoho vyhazovat z národa proto, že byl(a) u kartářky, jasnovidce, chiromanta nebo jiného vrstevní</w:t>
      </w:r>
      <w:r>
        <w:softHyphen/>
        <w:t xml:space="preserve">ka, jenž vede dál chvalně známou živnost kouzelníka. Nebudeme nikoho </w:t>
      </w:r>
      <w:r>
        <w:t>kaceřovat, nebudeme si od. nikoho ostentativně odsedal, nýbrž si naopak spolu sedneme, posadíme se vedle sebe a budeme si povídat tak dlouho, až si řekneme, oč vlastně jde.</w:t>
      </w:r>
    </w:p>
    <w:p w:rsidR="00500724" w:rsidRDefault="00F30FB8">
      <w:pPr>
        <w:pStyle w:val="Zkladntext100"/>
        <w:shd w:val="clear" w:color="auto" w:fill="auto"/>
        <w:spacing w:line="221" w:lineRule="auto"/>
      </w:pPr>
      <w:r>
        <w:t>Výchozím bodem bude asi ujasnění základního problé</w:t>
      </w:r>
      <w:r>
        <w:softHyphen/>
      </w:r>
      <w:r>
        <w:t xml:space="preserve">mu: většina lidí chválí svou kartářku nebo svého věštce, </w:t>
      </w:r>
      <w:r>
        <w:rPr>
          <w:rFonts w:ascii="Arial" w:eastAsia="Arial" w:hAnsi="Arial" w:cs="Arial"/>
          <w:b/>
          <w:bCs/>
        </w:rPr>
        <w:t xml:space="preserve">u </w:t>
      </w:r>
      <w:r>
        <w:t>kterého včera byl, za to, jak »všecko uhodl«. Pardon, příteli 1 Tohle nemá s jasnovidectvím co dělat: nešel jste přece k Ježibabě neb Ježidědovi proto, abyste se dověděl, že platíte tajně už pět le</w:t>
      </w:r>
      <w:r>
        <w:t>t alimenty, ačkoliv... a vůbec. To víte sám. Na ío nepotřebujete udělat z karet tři hro</w:t>
      </w:r>
      <w:r>
        <w:softHyphen/>
        <w:t>mádky a dvakrát obrátit. - Nebuďte nadšen, že »uhodla a těžkou nemoc, kterou jste před lety přečkal. Bylo by vám samotnému těžko najít mezi svými vrstevníky člověka, je</w:t>
      </w:r>
      <w:r>
        <w:t>nž nikdy, ani jako dítě těžce nestonel - a kdyby takový člověk v dobré víře přišel ke kartářce, jistě by byl - ne</w:t>
      </w:r>
      <w:r>
        <w:softHyphen/>
        <w:t xml:space="preserve">věda o tom - trhl záporně hlavou nebo zvedl obočí ve chvíli, kdy jasnovidka po způsobu své profese začala kulatými slovy obcházet horkou kaši </w:t>
      </w:r>
      <w:r>
        <w:t xml:space="preserve">konkrétního údaje. V tom případě by byl následoval pokus, přivést řeč na &gt;jízvu, nebo je to mateřské znaménko?, vidím kousek nové kůže.. .*. Chladně uvažující člověk si řekne, že mezi lidmi mužského rodu od 40 do 60 je dnes mnoho bývalých vojáků </w:t>
      </w:r>
      <w:r>
        <w:rPr>
          <w:lang w:val="en-US" w:eastAsia="en-US" w:bidi="en-US"/>
        </w:rPr>
        <w:t xml:space="preserve">a item </w:t>
      </w:r>
      <w:r>
        <w:t>pat</w:t>
      </w:r>
      <w:r>
        <w:t>rně kdysi raněných, a že 99 procent lidí má mateřské znaménko, a že tudíž risiko není veliké. Člověk kartářce důvěřující přeslechne, že prý byl raněn, nevzpomene si třeba na své mateřské znamén</w:t>
      </w:r>
      <w:r>
        <w:softHyphen/>
        <w:t>ko, ale skloní pokorně hlavu: jasnovidec je ohromný, vidí mi a</w:t>
      </w:r>
      <w:r>
        <w:t>ž na dno duše, uhodl, že jsem byl loni opero</w:t>
      </w:r>
      <w:r>
        <w:softHyphen/>
        <w:t>ván na hemoroidy. — Trefí-li kartářka při tom náhodou na člověka, jenž prodělal transplantaci kůže, je její ka</w:t>
      </w:r>
      <w:r>
        <w:softHyphen/>
        <w:t xml:space="preserve">riéra zajištěna. Neboř člověk je tvor uznalý a vděčný a bude hlásat - ne pouhou mlhavou větu o nové </w:t>
      </w:r>
      <w:r>
        <w:t>kůži, ale už rovnou diagnosu transplantace s dodatkem: »a to ař mi nikdo neříká, že to může povídat nazdařbůh - pan profesor mi řekl, že transplantací je tak málo, že by se spočítaly na prstech ruky ...«</w:t>
      </w:r>
    </w:p>
    <w:p w:rsidR="00500724" w:rsidRDefault="00F30FB8">
      <w:pPr>
        <w:pStyle w:val="Zkladntext100"/>
        <w:shd w:val="clear" w:color="auto" w:fill="auto"/>
        <w:spacing w:line="223" w:lineRule="auto"/>
      </w:pPr>
      <w:r>
        <w:t>Kejkle s uhodnutím věcí minulých slouží jako průpra</w:t>
      </w:r>
      <w:r>
        <w:softHyphen/>
      </w:r>
      <w:r>
        <w:t>va, jako zpracování klienta a k vymýcení skepse, která — chvála bohu — je i v klientu nejdůvěřivějším.</w:t>
      </w:r>
    </w:p>
    <w:p w:rsidR="00500724" w:rsidRDefault="00F30FB8">
      <w:pPr>
        <w:pStyle w:val="Zkladntext100"/>
        <w:shd w:val="clear" w:color="auto" w:fill="auto"/>
        <w:spacing w:line="223" w:lineRule="auto"/>
      </w:pPr>
      <w:r>
        <w:t>Profesor Roxroy (pamatujete se: taky litoval, že umí jen francouzský, německy a vlámsky a posílal proroctví proti přiložení porta na odpověď zdarma jen z</w:t>
      </w:r>
      <w:r>
        <w:t>a úhradu režie za rozsáhlou korespondenci) četl nejen minulost, ale i budoucnost. Inserát je výmluvná věc: při prvních uve</w:t>
      </w:r>
      <w:r>
        <w:softHyphen/>
        <w:t>řejněních typograficky a potom národohospodářsky: člo</w:t>
      </w:r>
      <w:r>
        <w:softHyphen/>
        <w:t>věku, jenž tak dlouho a tak soustavně inseroval, jeho obchod patrně vynáší.</w:t>
      </w:r>
    </w:p>
    <w:p w:rsidR="00500724" w:rsidRDefault="00F30FB8">
      <w:pPr>
        <w:pStyle w:val="Zkladntext100"/>
        <w:shd w:val="clear" w:color="auto" w:fill="auto"/>
        <w:spacing w:line="223" w:lineRule="auto"/>
      </w:pPr>
      <w:r>
        <w:t>»Pr</w:t>
      </w:r>
      <w:r>
        <w:t>ofesoru« Roxroyovi jeho obchod s lidskou inteligen</w:t>
      </w:r>
      <w:r>
        <w:softHyphen/>
        <w:t>cí vynášel. Nevím o něm víc, než že zaměstnával spoustu kancelářských sil, které opisovaly z dotazů adresy na obálky, do nichž jiná kancelářská síly strkaly hektogra- fovaná proroctví.</w:t>
      </w:r>
    </w:p>
    <w:p w:rsidR="00500724" w:rsidRDefault="00F30FB8">
      <w:pPr>
        <w:pStyle w:val="Zkladntext100"/>
        <w:shd w:val="clear" w:color="auto" w:fill="auto"/>
        <w:spacing w:line="223" w:lineRule="auto"/>
        <w:ind w:firstLine="240"/>
      </w:pPr>
      <w:r>
        <w:t>Vnitřní provoz takov</w:t>
      </w:r>
      <w:r>
        <w:t>é kanceláře čeká ještě na svého Jaroslava Haška. Kromě toho však také na psychologa, jenž by vysvětlil záhadu: co přivádí lidi k tomu, aby cizímu člověku, snad lumpovi, jistě však kořistníku lid</w:t>
      </w:r>
      <w:r>
        <w:softHyphen/>
        <w:t>ských tísní, vyjevovali věci skrývané jinak i před osvěd</w:t>
      </w:r>
      <w:r>
        <w:softHyphen/>
        <w:t>čený</w:t>
      </w:r>
      <w:r>
        <w:t>mi přáteli.</w:t>
      </w:r>
    </w:p>
    <w:p w:rsidR="00500724" w:rsidRDefault="00F30FB8">
      <w:pPr>
        <w:pStyle w:val="Zkladntext100"/>
        <w:shd w:val="clear" w:color="auto" w:fill="auto"/>
        <w:spacing w:after="180" w:line="221" w:lineRule="auto"/>
        <w:ind w:firstLine="240"/>
      </w:pPr>
      <w:r>
        <w:t>Skutečně nacházíme nevysvětlitelnou a slepou víru v neznámé šarlatány i u lidí velmi rozumných nebo při nejmenším chytrých. Proto jsme také volili výklad a ta</w:t>
      </w:r>
      <w:r>
        <w:softHyphen/>
        <w:t>ví s m u, pokoušejíce se porozumět.</w:t>
      </w:r>
    </w:p>
    <w:p w:rsidR="00500724" w:rsidRDefault="00F30FB8">
      <w:pPr>
        <w:pStyle w:val="Zkladntext100"/>
        <w:shd w:val="clear" w:color="auto" w:fill="auto"/>
        <w:spacing w:line="223" w:lineRule="auto"/>
        <w:ind w:firstLine="0"/>
        <w:jc w:val="center"/>
      </w:pPr>
      <w:r>
        <w:t>P y t h i a</w:t>
      </w:r>
    </w:p>
    <w:p w:rsidR="00500724" w:rsidRDefault="00F30FB8">
      <w:pPr>
        <w:pStyle w:val="Zkladntext100"/>
        <w:shd w:val="clear" w:color="auto" w:fill="auto"/>
        <w:spacing w:line="223" w:lineRule="auto"/>
        <w:ind w:firstLine="240"/>
      </w:pPr>
      <w:r>
        <w:t>Nejznámější ze starověkých věštíren j</w:t>
      </w:r>
      <w:r>
        <w:t>sou Delfy, kde formálně věštila Pythia, kněžka přivedená pomocí inha- lačních narkotik do exaltace. Po pravdě »prorokovali« kněži, kteří prohlašovali, že jen tlumočí skřeky omámené</w:t>
      </w:r>
      <w:r>
        <w:softHyphen/>
        <w:t>ho děvčete. Ve skutečnosti ovšem vydávali průpovídky předem pečlivě připrav</w:t>
      </w:r>
      <w:r>
        <w:t>ené na základě politických, ko</w:t>
      </w:r>
      <w:r>
        <w:softHyphen/>
        <w:t>rupčních a jiných situací, se zvláštním zřetelem na to, aby nepřišli o krk v případě, že se nestrefí. Nauka ízadních dvířek* byla v Delfách přivedena k znamenitému roz</w:t>
      </w:r>
      <w:r>
        <w:softHyphen/>
        <w:t>květu. Dnešní předpovědi kartářek a jasnovidců nejsou než</w:t>
      </w:r>
      <w:r>
        <w:t xml:space="preserve"> odvarem a obměnami proroctví někdejších, zejména dvou klasických.</w:t>
      </w:r>
    </w:p>
    <w:p w:rsidR="00500724" w:rsidRDefault="00F30FB8">
      <w:pPr>
        <w:pStyle w:val="Zkladntext100"/>
        <w:shd w:val="clear" w:color="auto" w:fill="auto"/>
        <w:spacing w:line="221" w:lineRule="auto"/>
        <w:ind w:firstLine="240"/>
      </w:pPr>
      <w:r>
        <w:t xml:space="preserve">Prvým je odpověď, kterou dostal z Delf lydský král Kroisos (známý příslovečný boháč Kroesus), když se dal zeptat, má-li se pustit do války se sousedním Perskem. Odpověď byla tak znamenitá, </w:t>
      </w:r>
      <w:r>
        <w:t>že Kroisos vytáhl do pole, válka dopadla tak, že se u Kroisova jména ocitl přído</w:t>
      </w:r>
      <w:r>
        <w:softHyphen/>
        <w:t>mek »poslední král. lydský*. Byl u Pterie králem perským bit, zajat a málem upálen. Jeho mohutná říše se stala perskou provincií. »Prosím, prosím,* vzkázali z Delf na reklamac</w:t>
      </w:r>
      <w:r>
        <w:t>i, stěžující si do špatné obsluhy, »my jsme to přesně tak prorokovali: výrok čili orakulum řeklo v bez</w:t>
      </w:r>
      <w:r>
        <w:softHyphen/>
        <w:t>vadném hexametru: Kroisos Halyn diabas megalen dyna- min katalysei. Čili: Překročí-li Kroisos (pohraniční) řeku Halys, zničí velkou říši.*</w:t>
      </w:r>
    </w:p>
    <w:p w:rsidR="00500724" w:rsidRDefault="00F30FB8">
      <w:pPr>
        <w:pStyle w:val="Zkladntext100"/>
        <w:shd w:val="clear" w:color="auto" w:fill="auto"/>
        <w:spacing w:line="223" w:lineRule="auto"/>
        <w:ind w:firstLine="240"/>
      </w:pPr>
      <w:r>
        <w:t>Druhá neméně v</w:t>
      </w:r>
      <w:r>
        <w:t>tipná předpověď je dochována ve znění latinském. Týká se také otázky, zda válčit čili nic. Odpověď z Delf:</w:t>
      </w:r>
    </w:p>
    <w:p w:rsidR="00500724" w:rsidRDefault="00F30FB8">
      <w:pPr>
        <w:pStyle w:val="Zkladntext100"/>
        <w:shd w:val="clear" w:color="auto" w:fill="auto"/>
        <w:spacing w:line="223" w:lineRule="auto"/>
        <w:ind w:firstLine="240"/>
      </w:pPr>
      <w:r>
        <w:t xml:space="preserve">Ibis — redibis — </w:t>
      </w:r>
      <w:r>
        <w:rPr>
          <w:lang w:val="en-US" w:eastAsia="en-US" w:bidi="en-US"/>
        </w:rPr>
        <w:t xml:space="preserve">non </w:t>
      </w:r>
      <w:r>
        <w:t xml:space="preserve">— morieris — </w:t>
      </w:r>
      <w:r>
        <w:rPr>
          <w:lang w:val="en-US" w:eastAsia="en-US" w:bidi="en-US"/>
        </w:rPr>
        <w:t xml:space="preserve">in </w:t>
      </w:r>
      <w:r>
        <w:t>— bello.</w:t>
      </w:r>
    </w:p>
    <w:p w:rsidR="00500724" w:rsidRDefault="00F30FB8">
      <w:pPr>
        <w:pStyle w:val="Zkladntext100"/>
        <w:shd w:val="clear" w:color="auto" w:fill="auto"/>
        <w:spacing w:line="223" w:lineRule="auto"/>
        <w:ind w:firstLine="240"/>
      </w:pPr>
      <w:r>
        <w:t>Pouhou interpunkcí nebo klesnutím hlasu v okolí zá</w:t>
      </w:r>
      <w:r>
        <w:softHyphen/>
        <w:t xml:space="preserve">poru </w:t>
      </w:r>
      <w:r>
        <w:rPr>
          <w:lang w:val="en-US" w:eastAsia="en-US" w:bidi="en-US"/>
        </w:rPr>
        <w:t xml:space="preserve">mom </w:t>
      </w:r>
      <w:r>
        <w:t>lze těmitéž slovy vyjádřit: íPůjdeš, nevrát</w:t>
      </w:r>
      <w:r>
        <w:t>íš se, zemřeš ve válce,« jako: íPůjdeš, vrátíš se, nezemřeš ve válce.*</w:t>
      </w:r>
    </w:p>
    <w:p w:rsidR="00500724" w:rsidRDefault="00F30FB8">
      <w:pPr>
        <w:pStyle w:val="Zkladntext100"/>
        <w:shd w:val="clear" w:color="auto" w:fill="auto"/>
        <w:spacing w:after="320" w:line="223" w:lineRule="auto"/>
        <w:ind w:firstLine="240"/>
      </w:pPr>
      <w:r>
        <w:t>•Vyber si co umíš a zejména co chceš* bylo a je prvním paragrafem všeho věštění na světě. A para</w:t>
      </w:r>
      <w:r>
        <w:softHyphen/>
        <w:t>graf druhý: »N a má slova vždycky dojde.*</w:t>
      </w:r>
    </w:p>
    <w:p w:rsidR="00500724" w:rsidRDefault="00F30FB8">
      <w:pPr>
        <w:pStyle w:val="Zkladntext100"/>
        <w:shd w:val="clear" w:color="auto" w:fill="auto"/>
        <w:spacing w:line="223" w:lineRule="auto"/>
        <w:ind w:firstLine="240"/>
      </w:pPr>
      <w:r>
        <w:t>Tyto dva základní zákony profesionálního jasno</w:t>
      </w:r>
      <w:r>
        <w:t>zření jsou samozřejmé.</w:t>
      </w:r>
    </w:p>
    <w:p w:rsidR="00500724" w:rsidRDefault="00F30FB8">
      <w:pPr>
        <w:pStyle w:val="Zkladntext100"/>
        <w:shd w:val="clear" w:color="auto" w:fill="auto"/>
        <w:spacing w:line="223" w:lineRule="auto"/>
        <w:ind w:firstLine="240"/>
      </w:pPr>
      <w:r>
        <w:t>Karty, křišťálová koule, kávová usazenina, tak zvané indické růžence a podobné věci slouží dnes za naleziště proroctví, ovšem kromě linií dlaně, zabarvení rohovek a jiných, dočasnějších, kartářsky módních atrakcí.</w:t>
      </w:r>
    </w:p>
    <w:p w:rsidR="00500724" w:rsidRDefault="00F30FB8">
      <w:pPr>
        <w:pStyle w:val="Zkladntext100"/>
        <w:shd w:val="clear" w:color="auto" w:fill="auto"/>
        <w:spacing w:line="223" w:lineRule="auto"/>
        <w:ind w:firstLine="240"/>
      </w:pPr>
      <w:r>
        <w:t xml:space="preserve">Nebudeme široce </w:t>
      </w:r>
      <w:r>
        <w:t>rozvádět, že osud je osud,- to zname</w:t>
      </w:r>
      <w:r>
        <w:softHyphen/>
        <w:t>ná, že by musily témuž člověku upadnout* po každé tytéž karty, ačkoliv nás zkušenost učí, že tomu tak není, a ma</w:t>
      </w:r>
      <w:r>
        <w:softHyphen/>
        <w:t>tematika dodává, že by se tak pravděpodobně stalo až po vykládání opakovaném dvacetmiliardkrát, kterýž</w:t>
      </w:r>
      <w:r>
        <w:softHyphen/>
        <w:t xml:space="preserve">to </w:t>
      </w:r>
      <w:r>
        <w:t>úkon by trval — při osmihodinné pracovní době — okrouhle 20 milionů let.</w:t>
      </w:r>
    </w:p>
    <w:p w:rsidR="00500724" w:rsidRDefault="00F30FB8">
      <w:pPr>
        <w:pStyle w:val="Zkladntext100"/>
        <w:shd w:val="clear" w:color="auto" w:fill="auto"/>
        <w:spacing w:line="223" w:lineRule="auto"/>
        <w:ind w:firstLine="240"/>
      </w:pPr>
      <w:r>
        <w:t>Kartářky proti tomu uvádějí, že aholt* přijde na to, kte</w:t>
      </w:r>
      <w:r>
        <w:softHyphen/>
        <w:t>rá je vykládá: ta nejlepší má pravdu, ostatní — jimž vy</w:t>
      </w:r>
      <w:r>
        <w:softHyphen/>
        <w:t>jde něco jiného — že se mýlí. Protože pak zájemce o svou budoucnost se</w:t>
      </w:r>
      <w:r>
        <w:t xml:space="preserve"> nemůže objektivně přesvědčit, která kar</w:t>
      </w:r>
      <w:r>
        <w:softHyphen/>
        <w:t>tářka je nejlepší, zůstává, odcházeje od své Sibyly, na nejistotách o své budoucnosti.</w:t>
      </w:r>
    </w:p>
    <w:p w:rsidR="00500724" w:rsidRDefault="00F30FB8">
      <w:pPr>
        <w:pStyle w:val="Zkladntext100"/>
        <w:shd w:val="clear" w:color="auto" w:fill="auto"/>
        <w:spacing w:line="223" w:lineRule="auto"/>
      </w:pPr>
      <w:r>
        <w:t>V nejlepším případě ledy zase neví nic, v případě po</w:t>
      </w:r>
      <w:r>
        <w:softHyphen/>
        <w:t>vážlivějším myslí, že ví, čili uvěřil: spojil svůj osud ne s Kismelem, ne s</w:t>
      </w:r>
      <w:r>
        <w:t xml:space="preserve"> velkým duchem lidstva, ale s drobným, nebo větším šarlatánem. A nemá výmluvu ani omluvu, že staří Římané a staří Rekové, zakladatelé a tlumočníci naší kultury ...</w:t>
      </w:r>
    </w:p>
    <w:p w:rsidR="00500724" w:rsidRDefault="00F30FB8">
      <w:pPr>
        <w:pStyle w:val="Zkladntext100"/>
        <w:shd w:val="clear" w:color="auto" w:fill="auto"/>
        <w:spacing w:line="221" w:lineRule="auto"/>
      </w:pPr>
      <w:r>
        <w:t>Není tomu tak: za prvé už tehdy brojily hlavy ne nej</w:t>
      </w:r>
      <w:r>
        <w:softHyphen/>
        <w:t>špatnější proti pověrám - především vša</w:t>
      </w:r>
      <w:r>
        <w:t>k byl základ zcela jiný: prorokovalo se z letu ptáků, z běhu dravců a z vnitřností obětních zvířat. Let okřídlených dravců byl posuzován podle jakéhosi konvenčního šifrového klíče: přiletěl-li posel Jupiterův od východu, znamenalo to bo</w:t>
      </w:r>
      <w:r>
        <w:softHyphen/>
        <w:t>hův souhlas, poslal</w:t>
      </w:r>
      <w:r>
        <w:t>-li Jupiter svého posla od západu, zna</w:t>
      </w:r>
      <w:r>
        <w:softHyphen/>
        <w:t xml:space="preserve">menalo to: upusťte od toho, co připravujete. — Už za trvání klasického Říma zvrhlo se auguraculum v nástroj intrik, a bylo - kdyžtě šizení s věcmi tak očividnými </w:t>
      </w:r>
      <w:r>
        <w:rPr>
          <w:rFonts w:ascii="Arial" w:eastAsia="Arial" w:hAnsi="Arial" w:cs="Arial"/>
          <w:b/>
          <w:bCs/>
        </w:rPr>
        <w:t xml:space="preserve">a </w:t>
      </w:r>
      <w:r>
        <w:t>tak těžko ovladatelnými jako je let divokého ptáka, b</w:t>
      </w:r>
      <w:r>
        <w:t>ylo přece jen nepohodlné — nahrazeno věštěním z nálady kuřat. Zásada byla stejná: kuře symbolisovalo posla bohů, zobání jim nabídnuté oběť: dal-li bůh prostřednictvím svého posla oběť přijmout - bylo to znamení, že se válka vyhraje, že výprava dospěje cíle</w:t>
      </w:r>
      <w:r>
        <w:t xml:space="preserve"> atd.</w:t>
      </w:r>
    </w:p>
    <w:p w:rsidR="00500724" w:rsidRDefault="00F30FB8">
      <w:pPr>
        <w:pStyle w:val="Zkladntext100"/>
        <w:shd w:val="clear" w:color="auto" w:fill="auto"/>
        <w:spacing w:line="221" w:lineRule="auto"/>
      </w:pPr>
      <w:r>
        <w:t xml:space="preserve">Nutno podotknout, že auguraculum a podobné bylo podnikem státním, že augurem se mohla stál jen osoba vážená, bohatá, netrestaná, tělesně i duševně zdravá (což v celé šíři nezakládá znamení připadající na </w:t>
      </w:r>
      <w:r>
        <w:rPr>
          <w:lang w:val="en-US" w:eastAsia="en-US" w:bidi="en-US"/>
        </w:rPr>
        <w:t xml:space="preserve">augury </w:t>
      </w:r>
      <w:r>
        <w:t>dnešní, a že přes to známe krásnou větu</w:t>
      </w:r>
      <w:r>
        <w:t>, kterou napsal vrstevník augurů. Zní:</w:t>
      </w:r>
    </w:p>
    <w:p w:rsidR="00500724" w:rsidRDefault="00F30FB8">
      <w:pPr>
        <w:pStyle w:val="Zkladntext100"/>
        <w:shd w:val="clear" w:color="auto" w:fill="auto"/>
        <w:spacing w:after="340" w:line="218" w:lineRule="auto"/>
      </w:pPr>
      <w:r>
        <w:t xml:space="preserve">iDivím se, že </w:t>
      </w:r>
      <w:r>
        <w:rPr>
          <w:lang w:val="en-US" w:eastAsia="en-US" w:bidi="en-US"/>
        </w:rPr>
        <w:t xml:space="preserve">augur, </w:t>
      </w:r>
      <w:r>
        <w:t xml:space="preserve">potká-li </w:t>
      </w:r>
      <w:r>
        <w:rPr>
          <w:lang w:val="en-US" w:eastAsia="en-US" w:bidi="en-US"/>
        </w:rPr>
        <w:t xml:space="preserve">augur </w:t>
      </w:r>
      <w:r>
        <w:t>a, ne- propukne ve smích.. .*</w:t>
      </w:r>
    </w:p>
    <w:p w:rsidR="00500724" w:rsidRDefault="00F30FB8">
      <w:pPr>
        <w:pStyle w:val="Zkladntext100"/>
        <w:shd w:val="clear" w:color="auto" w:fill="auto"/>
        <w:spacing w:after="160" w:line="221" w:lineRule="auto"/>
      </w:pPr>
      <w:r>
        <w:t>Nemá to být jen správná hrdost, co zrazuje normálního vzdělaného člověka od návštěvy augura a jemu podob</w:t>
      </w:r>
      <w:r>
        <w:softHyphen/>
        <w:t xml:space="preserve">ných šejdířů. Proti pokusům s vlastním osudem </w:t>
      </w:r>
      <w:r>
        <w:t>mluví i zdravá obava před sugestivním vlivem předpovědí nutně pošetilých, ale proto občas neméně nebezpečných. K t předpovídání* budoucnosti nestačívá lehkověrnost klientů. Je k ní třeba i chytrosti předpovídajícího, a není nikde »psáno«, abychom mluvili ž</w:t>
      </w:r>
      <w:r>
        <w:t>argonem věštících, že daru svého rozumu užije k prospěchu klienta. Je obava, Že karty nebo křišťál nasadí člověku do kožichu veš, které se snadno nezbaví. Nebezpečí je tím větší, že je stále ještě mnoho lidí, kteří - viz nahoře — se neostýchají velebit své</w:t>
      </w:r>
      <w:r>
        <w:t>ho augura čili ptakopravce.</w:t>
      </w:r>
    </w:p>
    <w:p w:rsidR="00500724" w:rsidRDefault="00F30FB8">
      <w:pPr>
        <w:pStyle w:val="Zkladntext100"/>
        <w:shd w:val="clear" w:color="auto" w:fill="auto"/>
        <w:spacing w:line="266" w:lineRule="auto"/>
        <w:ind w:firstLine="0"/>
        <w:jc w:val="center"/>
      </w:pPr>
      <w:r>
        <w:t>Jak vznikají legendy o »úžasných*</w:t>
      </w:r>
      <w:r>
        <w:br/>
        <w:t>předpovědích</w:t>
      </w:r>
    </w:p>
    <w:p w:rsidR="00500724" w:rsidRDefault="00F30FB8">
      <w:pPr>
        <w:pStyle w:val="Zkladntext100"/>
        <w:shd w:val="clear" w:color="auto" w:fill="auto"/>
        <w:spacing w:line="221" w:lineRule="auto"/>
      </w:pPr>
      <w:r>
        <w:t>Tohle může být anekdota, kterak vyprávěla paní, že Vyhrála v lotynce ambo na 7 a 49, neboť se jí zdálo jednu noc o bělouši, to je sedmička, a druhou noc o bě</w:t>
      </w:r>
      <w:r>
        <w:softHyphen/>
        <w:t>louši (sedmička) a vran</w:t>
      </w:r>
      <w:r>
        <w:t xml:space="preserve">íku (šestka). •Jak jste potom přišla na 49?* - No, to je jednoduché: 7 </w:t>
      </w:r>
      <w:r>
        <w:rPr>
          <w:rFonts w:ascii="Arial" w:eastAsia="Arial" w:hAnsi="Arial" w:cs="Arial"/>
          <w:b/>
          <w:bCs/>
        </w:rPr>
        <w:t xml:space="preserve">X </w:t>
      </w:r>
      <w:r>
        <w:t>6 je 49 a viděj, akorát to vyšlo!</w:t>
      </w:r>
    </w:p>
    <w:p w:rsidR="00500724" w:rsidRDefault="00F30FB8">
      <w:pPr>
        <w:pStyle w:val="Zkladntext100"/>
        <w:shd w:val="clear" w:color="auto" w:fill="auto"/>
        <w:spacing w:line="221" w:lineRule="auto"/>
      </w:pPr>
      <w:r>
        <w:t>Toto však anekdota není, neboť jde o událost přiznanou •viníkem*. Prababička autora tohoto článku platila v ro</w:t>
      </w:r>
      <w:r>
        <w:softHyphen/>
        <w:t>dině za autoritu ve věcech snů. Když u</w:t>
      </w:r>
      <w:r>
        <w:t>mřela, a když pisatel dospěl, vyložil syn staré dámy z vysloveně a zá</w:t>
      </w:r>
      <w:r>
        <w:softHyphen/>
        <w:t>služně pedagogických důvodů příběh, jenž založil • slávu* stařenky. Dobře si to přeříkejme:</w:t>
      </w:r>
    </w:p>
    <w:p w:rsidR="00500724" w:rsidRDefault="00F30FB8">
      <w:pPr>
        <w:pStyle w:val="Zkladntext100"/>
        <w:shd w:val="clear" w:color="auto" w:fill="auto"/>
        <w:spacing w:line="221" w:lineRule="auto"/>
      </w:pPr>
      <w:r>
        <w:t>Jednoho jitra se mladá paní X. probudí a ještě žije ve zřetelném snu; známe to. Na základě snu</w:t>
      </w:r>
      <w:r>
        <w:t xml:space="preserve"> si sestaví tři čísla ina Vídeň!* - nebo to bylo ma Prahu*? Protože sama hned nemůže jít do »kolekíury«, zavolá si svého synka, šestiletého kluka, předříká mu čísla, snad třikrát pro jistotu, nechá si je opakovat, dá kloučkovi celou zlatku (ten sen byl tak</w:t>
      </w:r>
      <w:r>
        <w:t xml:space="preserve"> náramný a zřetelný!, a chlapec běží. Cestou vidí u nějakých domovních dveří hlouček lidí, zastaví se, proplete se mezi čekajícími a najednou se octne v otevřeném průjezdu dětskou svojí tváří v tvář umrlého v rakvi.</w:t>
      </w:r>
    </w:p>
    <w:p w:rsidR="00500724" w:rsidRDefault="00F30FB8">
      <w:pPr>
        <w:pStyle w:val="Zkladntext100"/>
        <w:shd w:val="clear" w:color="auto" w:fill="auto"/>
        <w:spacing w:line="221" w:lineRule="auto"/>
      </w:pPr>
      <w:r>
        <w:t xml:space="preserve">Chlapec se tak lekl, že zapomněl čísla. </w:t>
      </w:r>
      <w:r>
        <w:t>Vrátit domů se styděl - tak šel a vsadil tři čísla, jak mu je náhoda na jazyk přinesla. Na štěstí se maminka na cedulku ne</w:t>
      </w:r>
      <w:r>
        <w:softHyphen/>
        <w:t>podívala hned, nýbrž až nazítří, když přiběhla udýchaná trafikantka zvěstovat výhru na tehdejší časy fantastickou. V příští vteřině b</w:t>
      </w:r>
      <w:r>
        <w:t>yla výherkyně asi už sama přesvědčena, že toto byla čísla, jež dala vsadit. Tak či onak: sláva snu zůstala. Gentlemansky ponechal si syn tajemství výhry pro sebe nějakých čtyřicet let.</w:t>
      </w:r>
    </w:p>
    <w:p w:rsidR="00500724" w:rsidRDefault="00F30FB8">
      <w:pPr>
        <w:pStyle w:val="Zkladntext100"/>
        <w:shd w:val="clear" w:color="auto" w:fill="auto"/>
        <w:spacing w:line="221" w:lineRule="auto"/>
        <w:ind w:firstLine="0"/>
        <w:jc w:val="center"/>
      </w:pPr>
      <w:r>
        <w:t>•</w:t>
      </w:r>
    </w:p>
    <w:p w:rsidR="00500724" w:rsidRDefault="00F30FB8">
      <w:pPr>
        <w:pStyle w:val="Zkladntext100"/>
        <w:shd w:val="clear" w:color="auto" w:fill="auto"/>
        <w:spacing w:line="221" w:lineRule="auto"/>
        <w:ind w:firstLine="260"/>
      </w:pPr>
      <w:r>
        <w:t>O snech v této souvislosti by bylo snad ještě říci, že právě ten zatr</w:t>
      </w:r>
      <w:r>
        <w:t>acený aiavismus to je, jenž nutká snad každého člověka zapomínat s opičí rychlostí na sny, jež se snevyplnily*. Je snad málo lidí na světě, jimž se ještě nikdy v životě nezdály obligátní »tři noci za sebou* zlověstné sny: o vypadlých zubech, o pohřbech živ</w:t>
      </w:r>
      <w:r>
        <w:t>ých známých, o sobě ve smutku — je málo lidí, kterým se jakživ nezastavily hodinky, jimž nikdy nespadl obraz se zdi. Nechť řeknou poctivě sobě a jiným, kolik z těch •znamení* se vyplnilo.</w:t>
      </w:r>
    </w:p>
    <w:p w:rsidR="00500724" w:rsidRDefault="00F30FB8">
      <w:pPr>
        <w:pStyle w:val="Zkladntext100"/>
        <w:shd w:val="clear" w:color="auto" w:fill="auto"/>
        <w:spacing w:line="223" w:lineRule="auto"/>
        <w:ind w:firstLine="260"/>
      </w:pPr>
      <w:r>
        <w:t>A nakonec prozradí i pisatel na sebe příhodu vpravdě otřásající, kdy</w:t>
      </w:r>
      <w:r>
        <w:t xml:space="preserve"> se předpověď jasnovidce splnila hrůzným způsobem:</w:t>
      </w:r>
    </w:p>
    <w:p w:rsidR="00500724" w:rsidRDefault="00F30FB8">
      <w:pPr>
        <w:pStyle w:val="Zkladntext100"/>
        <w:shd w:val="clear" w:color="auto" w:fill="auto"/>
        <w:spacing w:line="221" w:lineRule="auto"/>
        <w:ind w:firstLine="260"/>
      </w:pPr>
      <w:r>
        <w:t xml:space="preserve">V říjnu roku 1938 ztroskotalo na cestě Praha — </w:t>
      </w:r>
      <w:r>
        <w:rPr>
          <w:lang w:val="en-US" w:eastAsia="en-US" w:bidi="en-US"/>
        </w:rPr>
        <w:t xml:space="preserve">Strasburg </w:t>
      </w:r>
      <w:r>
        <w:t>-Paříž v německých Vogésách letadlo OK-BAG: zavadilo v mlze o vrcholek kopce, spadlo a shořelo. Mezi mrtvými byla i sestra slavné filmové herečky (z</w:t>
      </w:r>
      <w:r>
        <w:t>a chvíli uvidíme, proč ji nejmenuji). Nazítří, v den, kdy Landjágři a hasiči dopravovali s nepřístupného místa neštěstí tělesné pozů</w:t>
      </w:r>
      <w:r>
        <w:softHyphen/>
        <w:t>statky do nejbližší márnice, doručila pošta v Praze jedné dámě dopis ženy zatím už mrtvé. • Odpusť, že jsem se nepřišla roz</w:t>
      </w:r>
      <w:r>
        <w:t>loučit,* praví se v dopise, «měla jsem mnoho obsiarávek. Dnes opouštím Prahu, letím do Paříže, ačkoliv mě jasnovidec zrazoval a řekl výslovně, že nemám příští tři dny nastupovat cestu, a že se mám varovat výšek, které znamenají mou smrt...«</w:t>
      </w:r>
    </w:p>
    <w:p w:rsidR="00500724" w:rsidRDefault="00F30FB8">
      <w:pPr>
        <w:pStyle w:val="Zkladntext100"/>
        <w:shd w:val="clear" w:color="auto" w:fill="auto"/>
        <w:spacing w:line="221" w:lineRule="auto"/>
        <w:ind w:firstLine="260"/>
      </w:pPr>
      <w:r>
        <w:t>Dopis ovšem kol</w:t>
      </w:r>
      <w:r>
        <w:t>oval — a šel z něho mráz: zde byla takřka protokolárně ověřena pravdivost předpovědi. I po- depsaný byl jat hrůzou, ne z vyplnění předpovědi, ale z představy, co tahle historie natropí za škody. Na faktech nebylo lze nic měnit: na jedné straně autentické p</w:t>
      </w:r>
      <w:r>
        <w:t>rohlá</w:t>
      </w:r>
      <w:r>
        <w:softHyphen/>
        <w:t>šení mrtvé, na druhé straně nesporná smrt zaviněná jed</w:t>
      </w:r>
      <w:r>
        <w:softHyphen/>
        <w:t>nak cestou, jednak výškou.</w:t>
      </w:r>
    </w:p>
    <w:p w:rsidR="00500724" w:rsidRDefault="00F30FB8">
      <w:pPr>
        <w:pStyle w:val="Zkladntext100"/>
        <w:shd w:val="clear" w:color="auto" w:fill="auto"/>
        <w:spacing w:line="221" w:lineRule="auto"/>
        <w:ind w:firstLine="260"/>
      </w:pPr>
      <w:r>
        <w:t>Rozluštění však přišlo: blízká příbuzná mrtvé se při</w:t>
      </w:r>
      <w:r>
        <w:softHyphen/>
        <w:t>znala, že chtěli milého hosta přimět k prodloužení ná</w:t>
      </w:r>
      <w:r>
        <w:softHyphen/>
        <w:t>vštěvy. Nakonec se příbuzní a známí mezi sebou vsadili, kdo d</w:t>
      </w:r>
      <w:r>
        <w:t>okáže odložení cesty. Jeden, jenž znal zálibu děv</w:t>
      </w:r>
      <w:r>
        <w:softHyphen/>
        <w:t>čete v jasnozření, vyžádal si obvyklá data narození, •šel* k jasnovidci nebo ke kartářce, a vrátil se z před</w:t>
      </w:r>
      <w:r>
        <w:softHyphen/>
        <w:t>povědí přistřiženou proti cestě letadlem.</w:t>
      </w:r>
    </w:p>
    <w:p w:rsidR="00500724" w:rsidRDefault="00F30FB8">
      <w:pPr>
        <w:pStyle w:val="Zkladntext100"/>
        <w:shd w:val="clear" w:color="auto" w:fill="auto"/>
        <w:spacing w:line="223" w:lineRule="auto"/>
        <w:ind w:firstLine="260"/>
      </w:pPr>
      <w:r>
        <w:t>Toto je pravda o jpředpovědi* kolem zká</w:t>
      </w:r>
      <w:r>
        <w:softHyphen/>
        <w:t>zy letadla OK-B</w:t>
      </w:r>
      <w:r>
        <w:t>AG. Přál bych si, aby se toto vysvět</w:t>
      </w:r>
      <w:r>
        <w:softHyphen/>
        <w:t>lení šířilo aspoň polovinou rychlosti, s jakou se rozšířila zvěst o vyplněném proroctví.</w:t>
      </w:r>
    </w:p>
    <w:p w:rsidR="00500724" w:rsidRDefault="00F30FB8">
      <w:pPr>
        <w:pStyle w:val="Zkladntext100"/>
        <w:shd w:val="clear" w:color="auto" w:fill="auto"/>
        <w:spacing w:line="221" w:lineRule="auto"/>
        <w:ind w:firstLine="0"/>
        <w:jc w:val="center"/>
      </w:pPr>
      <w:r>
        <w:t>•</w:t>
      </w:r>
    </w:p>
    <w:p w:rsidR="00500724" w:rsidRDefault="00F30FB8">
      <w:pPr>
        <w:pStyle w:val="Zkladntext100"/>
        <w:shd w:val="clear" w:color="auto" w:fill="auto"/>
        <w:spacing w:line="223" w:lineRule="auto"/>
        <w:ind w:firstLine="260"/>
      </w:pPr>
      <w:r>
        <w:t>Řekli jsme, že si sedneme a povíme si o prorocích a kouzelnících. Snažili jsme se, splnit slib. Nevíme, kdo si však odsedí od ná</w:t>
      </w:r>
      <w:r>
        <w:t>s, kdo nechtěl slyšet do konce... Je to škoda pro nás i pro něho. Protože nakonec jsme chtěli říci a říkáme: Víme velmi dobře, co žene tolik lidí k pátrání po budoucnosti. Na jejich straně jsou skoro všechny, ne-li všechny polehčující okolnosti, a •mnohé j</w:t>
      </w:r>
      <w:r>
        <w:t>im bude odpuštěno, nebof mnoho milují*. Tímto argu</w:t>
      </w:r>
      <w:r>
        <w:softHyphen/>
        <w:t xml:space="preserve">mentem hájí se i pisatel: slova místy tvrdá diktovala obava, aby lásky lidí nebylo zneužito, aby si na plameni lásky neohřívaly kartářky svou kulmovačku </w:t>
      </w:r>
      <w:r>
        <w:rPr>
          <w:rFonts w:ascii="Arial" w:eastAsia="Arial" w:hAnsi="Arial" w:cs="Arial"/>
          <w:b/>
          <w:bCs/>
        </w:rPr>
        <w:t xml:space="preserve">a </w:t>
      </w:r>
      <w:r>
        <w:t>inserující jasnovidci svou výživnou dršťkovou polé</w:t>
      </w:r>
      <w:r>
        <w:t>vku.</w:t>
      </w:r>
    </w:p>
    <w:p w:rsidR="00500724" w:rsidRDefault="00F30FB8">
      <w:pPr>
        <w:pStyle w:val="Zkladntext100"/>
        <w:shd w:val="clear" w:color="auto" w:fill="auto"/>
        <w:spacing w:line="223" w:lineRule="auto"/>
        <w:ind w:firstLine="260"/>
      </w:pPr>
      <w:r>
        <w:t>Nezaměňujme víru v budoucnost s pověrou. Je to hrozný rozdíl. Věřme, ale nebuďme pověrčiví. Neboť máme důvody k víře — a máme jen důvody proti pověře. Jest psáno v Písmě, Genesis, hlava XXII., verš 18.: •Nebudeš živiti čaroděje ve své zemi*.</w:t>
      </w:r>
    </w:p>
    <w:p w:rsidR="00500724" w:rsidRDefault="00F30FB8">
      <w:pPr>
        <w:pStyle w:val="Jin0"/>
        <w:pBdr>
          <w:bottom w:val="single" w:sz="4" w:space="0" w:color="auto"/>
        </w:pBdr>
        <w:shd w:val="clear" w:color="auto" w:fill="auto"/>
        <w:spacing w:after="360"/>
        <w:ind w:firstLine="0"/>
        <w:jc w:val="left"/>
        <w:rPr>
          <w:sz w:val="46"/>
          <w:szCs w:val="46"/>
        </w:rPr>
      </w:pPr>
      <w:r>
        <w:rPr>
          <w:b/>
          <w:bCs/>
          <w:sz w:val="46"/>
          <w:szCs w:val="46"/>
        </w:rPr>
        <w:t>dopisy</w:t>
      </w:r>
    </w:p>
    <w:p w:rsidR="00500724" w:rsidRDefault="00F30FB8">
      <w:pPr>
        <w:pStyle w:val="Zkladntext40"/>
        <w:shd w:val="clear" w:color="auto" w:fill="auto"/>
        <w:spacing w:after="100" w:line="240" w:lineRule="auto"/>
        <w:jc w:val="center"/>
        <w:rPr>
          <w:sz w:val="16"/>
          <w:szCs w:val="16"/>
        </w:rPr>
      </w:pPr>
      <w:r>
        <w:rPr>
          <w:b/>
          <w:bCs/>
          <w:sz w:val="16"/>
          <w:szCs w:val="16"/>
        </w:rPr>
        <w:t>Od</w:t>
      </w:r>
      <w:r>
        <w:rPr>
          <w:b/>
          <w:bCs/>
          <w:sz w:val="16"/>
          <w:szCs w:val="16"/>
        </w:rPr>
        <w:t>povědi Hlinková gardistovi</w:t>
      </w:r>
    </w:p>
    <w:p w:rsidR="00500724" w:rsidRDefault="00F30FB8">
      <w:pPr>
        <w:pStyle w:val="Zkladntext100"/>
        <w:shd w:val="clear" w:color="auto" w:fill="auto"/>
        <w:spacing w:after="120" w:line="175" w:lineRule="auto"/>
        <w:ind w:right="180" w:firstLine="0"/>
        <w:jc w:val="right"/>
      </w:pPr>
      <w:r>
        <w:t>V Praze dne 29. dubna 1939</w:t>
      </w:r>
    </w:p>
    <w:p w:rsidR="00500724" w:rsidRDefault="00F30FB8">
      <w:pPr>
        <w:pStyle w:val="Zkladntext100"/>
        <w:shd w:val="clear" w:color="auto" w:fill="auto"/>
        <w:spacing w:after="60" w:line="175" w:lineRule="auto"/>
        <w:ind w:left="900" w:firstLine="0"/>
        <w:jc w:val="left"/>
      </w:pPr>
      <w:r>
        <w:t>Milý slovenský příteli!</w:t>
      </w:r>
    </w:p>
    <w:p w:rsidR="00500724" w:rsidRDefault="00F30FB8">
      <w:pPr>
        <w:pStyle w:val="Zkladntext100"/>
        <w:shd w:val="clear" w:color="auto" w:fill="auto"/>
        <w:spacing w:line="175" w:lineRule="auto"/>
        <w:ind w:firstLine="300"/>
      </w:pPr>
      <w:r>
        <w:t>Ve svém dopise pravíte, že Češi měli možnost získat jed</w:t>
      </w:r>
      <w:r>
        <w:softHyphen/>
        <w:t xml:space="preserve">notlivé národnosti ku spoluvládě; nedovedli toho. Nuže, již jste zapomněl, že Slováci byli vždy zastoupeni ve vládě </w:t>
      </w:r>
      <w:r>
        <w:t>republi</w:t>
      </w:r>
      <w:r>
        <w:softHyphen/>
        <w:t>ky a dokonce v posledních letech byl ministerským předsedou Slovák? Nebylo to jen náhodou, nebo, jak Vy narážíte, pro</w:t>
      </w:r>
      <w:r>
        <w:softHyphen/>
        <w:t>tekcí, že většina státních zaměstnanců a vedoucích osob v oboru soukromého podnikání, hlavně na počátku republiky, byla Čechy. Kdo</w:t>
      </w:r>
      <w:r>
        <w:t xml:space="preserve"> z Čechů chtěl jít na Slovensko, nepotřeboval pro</w:t>
      </w:r>
      <w:r>
        <w:softHyphen/>
        <w:t>tekci, naopak velké většině Čechů se na Slovensko nechtělo. Nemůžete si přece zakrývat, že Češi měli větší počet inteli</w:t>
      </w:r>
      <w:r>
        <w:softHyphen/>
        <w:t>gence. To je historický fakt. A kdp to byl, kdo pomohl k svo</w:t>
      </w:r>
      <w:r>
        <w:softHyphen/>
        <w:t xml:space="preserve">bodě </w:t>
      </w:r>
      <w:r>
        <w:rPr>
          <w:b/>
          <w:bCs/>
          <w:sz w:val="19"/>
          <w:szCs w:val="19"/>
        </w:rPr>
        <w:t xml:space="preserve">a </w:t>
      </w:r>
      <w:r>
        <w:t>jejímu upevnění? S</w:t>
      </w:r>
      <w:r>
        <w:t>ám přiznáváte, že to byli Češi. Věřte, že to nebyla lehká a laciná práce, ale dělali jsme ji rádi.</w:t>
      </w:r>
    </w:p>
    <w:p w:rsidR="00500724" w:rsidRDefault="00F30FB8">
      <w:pPr>
        <w:pStyle w:val="Zkladntext100"/>
        <w:shd w:val="clear" w:color="auto" w:fill="auto"/>
        <w:spacing w:line="175" w:lineRule="auto"/>
        <w:ind w:firstLine="300"/>
      </w:pPr>
      <w:r>
        <w:t>Slováci byli zaměstnáváni všude, v každém oboru, ovšem, odpusťte, že to připomínám, schopní Slováci. A jsou u nás mnozí zaměstnáni dosud. Jsme se svými vědom</w:t>
      </w:r>
      <w:r>
        <w:t>ostmi poněkud dále, než abychom je bezhlavě vyhazovali z práce, jak jste to dělali Vy Čechům. Máme na to příliš chladné hlavy a dobré srdce.</w:t>
      </w:r>
    </w:p>
    <w:p w:rsidR="00500724" w:rsidRDefault="00F30FB8">
      <w:pPr>
        <w:pStyle w:val="Zkladntext100"/>
        <w:shd w:val="clear" w:color="auto" w:fill="auto"/>
        <w:spacing w:line="178" w:lineRule="auto"/>
        <w:ind w:firstLine="300"/>
      </w:pPr>
      <w:r>
        <w:t>Píšete: »Českí intelektuáli na Slovensku nepočínali si čo státotvorný element, ba opačné. Trefne sa hovořilo o nich</w:t>
      </w:r>
      <w:r>
        <w:t>, že rozbili Rakúsko a rozbijů aj vlastný štát; malí v tom zkú- senosti.«</w:t>
      </w:r>
    </w:p>
    <w:p w:rsidR="00500724" w:rsidRDefault="00F30FB8">
      <w:pPr>
        <w:pStyle w:val="Zkladntext100"/>
        <w:shd w:val="clear" w:color="auto" w:fill="auto"/>
        <w:spacing w:line="175" w:lineRule="auto"/>
        <w:ind w:firstLine="300"/>
      </w:pPr>
      <w:r>
        <w:t xml:space="preserve">Chci být objektivní. Je jisté, že mnozí jedinci se nechovali právě podle bon-tonu, že Vás snad jejich chování a počínání uráželo nebo pobuřovalo. To jsou však jen detaily. Budete se </w:t>
      </w:r>
      <w:r>
        <w:t>však musit naučit dívat se na mnohé věci jako na celek. Měli jsme někdy až příliš mnoho dobré vůle, která byla vykládána jako slabost.</w:t>
      </w:r>
    </w:p>
    <w:p w:rsidR="00500724" w:rsidRDefault="00F30FB8">
      <w:pPr>
        <w:pStyle w:val="Zkladntext100"/>
        <w:shd w:val="clear" w:color="auto" w:fill="auto"/>
        <w:spacing w:line="175" w:lineRule="auto"/>
        <w:ind w:firstLine="300"/>
      </w:pPr>
      <w:r>
        <w:t>Špatná výchova obyvatelstva? Nevím dobře, co tím myslíte. Snad moderní propagandu? Věřte, že se pro člověka vždy vy</w:t>
      </w:r>
      <w:r>
        <w:softHyphen/>
        <w:t>platí</w:t>
      </w:r>
      <w:r>
        <w:t>, udělá-li si o všem svůj vlastní úsudek podle důkazů, bez posloucháni záměrné propagandy. A konečně, měli byste o je</w:t>
      </w:r>
      <w:r>
        <w:softHyphen/>
        <w:t>den důvod více, proč nenávidět Čechy.</w:t>
      </w:r>
    </w:p>
    <w:p w:rsidR="00500724" w:rsidRDefault="00F30FB8">
      <w:pPr>
        <w:pStyle w:val="Zkladntext100"/>
        <w:shd w:val="clear" w:color="auto" w:fill="auto"/>
        <w:spacing w:line="175" w:lineRule="auto"/>
        <w:ind w:firstLine="300"/>
      </w:pPr>
      <w:r>
        <w:t>Rozešli jsme se. Utržili jsme od Vás mnohé rány, které se dosud nezahojily. Jsme však mnohem velkory</w:t>
      </w:r>
      <w:r>
        <w:t>sejší, než abychom Vám nepřáli vše nejlepší.</w:t>
      </w:r>
    </w:p>
    <w:p w:rsidR="00500724" w:rsidRDefault="00F30FB8">
      <w:pPr>
        <w:pStyle w:val="Zkladntext100"/>
        <w:shd w:val="clear" w:color="auto" w:fill="auto"/>
        <w:tabs>
          <w:tab w:val="left" w:pos="3653"/>
        </w:tabs>
        <w:spacing w:after="240" w:line="178" w:lineRule="auto"/>
        <w:ind w:firstLine="300"/>
      </w:pPr>
      <w:r>
        <w:t>Sám pro sebe nevzdávám se přesvědčení, že budete během doby nuceni pochopit, proč Češi dělali některé věci, které se Vám zdály špatné a nespravedlivé a které nám ještě dosud vyčítáte.</w:t>
      </w:r>
      <w:r>
        <w:tab/>
        <w:t>Jaroslav Kolář</w:t>
      </w:r>
    </w:p>
    <w:p w:rsidR="00500724" w:rsidRDefault="00F30FB8">
      <w:pPr>
        <w:pStyle w:val="Zkladntext100"/>
        <w:shd w:val="clear" w:color="auto" w:fill="auto"/>
        <w:spacing w:after="120" w:line="175" w:lineRule="auto"/>
        <w:ind w:left="900" w:firstLine="0"/>
        <w:jc w:val="left"/>
      </w:pPr>
      <w:r>
        <w:t>Milý gardist</w:t>
      </w:r>
      <w:r>
        <w:t>o!</w:t>
      </w:r>
    </w:p>
    <w:p w:rsidR="00500724" w:rsidRDefault="00F30FB8">
      <w:pPr>
        <w:pStyle w:val="Zkladntext100"/>
        <w:shd w:val="clear" w:color="auto" w:fill="auto"/>
        <w:spacing w:line="173" w:lineRule="auto"/>
        <w:ind w:firstLine="300"/>
      </w:pPr>
      <w:r>
        <w:t>Vzhledem k tomu, že jsem dlel delší čas na Slovensku, po</w:t>
      </w:r>
      <w:r>
        <w:softHyphen/>
        <w:t>važuji za svoji povinnost Vám odpovědět. Váš dopis obsahuje nepravdu, propletenou bohužel nenávistí.</w:t>
      </w:r>
    </w:p>
    <w:p w:rsidR="00500724" w:rsidRDefault="00F30FB8">
      <w:pPr>
        <w:pStyle w:val="Zkladntext100"/>
        <w:shd w:val="clear" w:color="auto" w:fill="auto"/>
        <w:spacing w:line="175" w:lineRule="auto"/>
        <w:ind w:firstLine="300"/>
      </w:pPr>
      <w:r>
        <w:t>Byli jsme tak budujícím činitelem státu jako Vy Slováci; Po celou dobu trvání čs. státu všude m</w:t>
      </w:r>
      <w:r>
        <w:t>ěli jste poměrné za</w:t>
      </w:r>
      <w:r>
        <w:softHyphen/>
        <w:t>stoupení. Dokonce příslušník »utlačovaného slovenského náro- da« byl ministerským předsedou a i jiné důležité vládní resorty byly často obsazeny Slovákem. A co diplomatická služba: spočítejte si. Uplatnit jste se mohli v celé oblasti čs</w:t>
      </w:r>
      <w:r>
        <w:t>. státu: od Chebu do Jasiny. Nikdo však za to nemůže, že slovenská inteli</w:t>
      </w:r>
      <w:r>
        <w:softHyphen/>
        <w:t>gence odmítala vstupovat do veřejných služeb a raději volila soukromé povolání. Právě tak málo byla slovenským dorostem vyhledávána vojenská akademie. Ani výzvy ve slovenských časopi</w:t>
      </w:r>
      <w:r>
        <w:t>sech nepomohly.</w:t>
      </w:r>
    </w:p>
    <w:p w:rsidR="00500724" w:rsidRDefault="00F30FB8">
      <w:pPr>
        <w:pStyle w:val="Zkladntext100"/>
        <w:shd w:val="clear" w:color="auto" w:fill="auto"/>
        <w:spacing w:line="175" w:lineRule="auto"/>
        <w:ind w:firstLine="300"/>
      </w:pPr>
      <w:r>
        <w:t>O té nevraživosti české vůči Vám, sdělím s Vámi jeden případ: V Plzni jest hodně Slováků a dosti těch dráteničků. Z těch si jeden český velkoobchodník' se železem oblíbil dva hochy. Dal jim vzdělání, vyučil ve svém závodě a pak jim pomohl z</w:t>
      </w:r>
      <w:r>
        <w:t>aložit podobný obchod. A dnes — dopište na firmu Mácho a Turek, velkoobchod s železem a továrna na stroje v Plzni; aktiva firmy výše 3 mil. K.</w:t>
      </w:r>
    </w:p>
    <w:p w:rsidR="00500724" w:rsidRDefault="00F30FB8">
      <w:pPr>
        <w:pStyle w:val="Zkladntext100"/>
        <w:shd w:val="clear" w:color="auto" w:fill="auto"/>
        <w:spacing w:line="173" w:lineRule="auto"/>
        <w:ind w:firstLine="300"/>
      </w:pPr>
      <w:r>
        <w:t>Podle dr. V. Šrobára, nejen ten dobrý, poctivý slovenský lid, ale ani slovenská inteligence nebyla na převrat při</w:t>
      </w:r>
      <w:r>
        <w:t>pra</w:t>
      </w:r>
      <w:r>
        <w:softHyphen/>
        <w:t xml:space="preserve">vena. Celkem nic divného; v maďarském úředním seznamu z 10. X. 1918 bylo uvedeno 526 slovenských jmen; t. j.. že z 20.000 Slováků bylo as 5 uvědomělých. Z tohoto seznamu byla zvlášť vyjmuta jména 101 Slováka a označena »vlasti nebezpečnýeh«. V seznamu </w:t>
      </w:r>
      <w:r>
        <w:t>byla jména již také mrtvých Slo</w:t>
      </w:r>
      <w:r>
        <w:softHyphen/>
        <w:t>váků.</w:t>
      </w:r>
    </w:p>
    <w:p w:rsidR="00500724" w:rsidRDefault="00F30FB8">
      <w:pPr>
        <w:pStyle w:val="Zkladntext100"/>
        <w:shd w:val="clear" w:color="auto" w:fill="auto"/>
        <w:spacing w:line="173" w:lineRule="auto"/>
        <w:ind w:firstLine="300"/>
      </w:pPr>
      <w:r>
        <w:t>Jelikož dr. V- Šrobár neměl možnost za postupujícím českým vojskem obsadit úřady Slováky, byl nucen požádat v zájmu Slovenska o vyslání Čechů, neb ani na obsazení vyso</w:t>
      </w:r>
      <w:r>
        <w:softHyphen/>
        <w:t>kých státních úřadů neměl dost Slováků. Tak se rod</w:t>
      </w:r>
      <w:r>
        <w:t>ila slo</w:t>
      </w:r>
      <w:r>
        <w:softHyphen/>
        <w:t>venská svoboda!</w:t>
      </w:r>
    </w:p>
    <w:p w:rsidR="00500724" w:rsidRDefault="00F30FB8">
      <w:pPr>
        <w:pStyle w:val="Zkladntext100"/>
        <w:shd w:val="clear" w:color="auto" w:fill="auto"/>
        <w:spacing w:line="173" w:lineRule="auto"/>
        <w:ind w:firstLine="300"/>
      </w:pPr>
      <w:r>
        <w:t xml:space="preserve">Doporučuji Vám pozorně přečíst dr. Vávro Šrobára: »Osvobodené Slovensko« </w:t>
      </w:r>
      <w:r>
        <w:rPr>
          <w:b/>
          <w:bCs/>
          <w:sz w:val="19"/>
          <w:szCs w:val="19"/>
        </w:rPr>
        <w:t xml:space="preserve">a </w:t>
      </w:r>
      <w:r>
        <w:t xml:space="preserve">budete-11 jen trochu objektivní, tak musíte uznat, co jsme pro Slovensko </w:t>
      </w:r>
      <w:r>
        <w:rPr>
          <w:b/>
          <w:bCs/>
          <w:sz w:val="19"/>
          <w:szCs w:val="19"/>
        </w:rPr>
        <w:t xml:space="preserve">za </w:t>
      </w:r>
      <w:r>
        <w:t>Vaší spolupráce vykonali.</w:t>
      </w:r>
    </w:p>
    <w:p w:rsidR="00500724" w:rsidRDefault="00F30FB8">
      <w:pPr>
        <w:pStyle w:val="Zkladntext100"/>
        <w:shd w:val="clear" w:color="auto" w:fill="auto"/>
        <w:spacing w:line="173" w:lineRule="auto"/>
        <w:ind w:firstLine="300"/>
      </w:pPr>
      <w:r>
        <w:t xml:space="preserve">Škoda, že jste nevysvětlil, jak se měli Češi na </w:t>
      </w:r>
      <w:r>
        <w:t>Slovensku chovat »státotvorně«; vím, že děti českých rodičů se úplně poslovenštily - za jejich souhlasu.</w:t>
      </w:r>
    </w:p>
    <w:p w:rsidR="00500724" w:rsidRDefault="00F30FB8">
      <w:pPr>
        <w:pStyle w:val="Zkladntext100"/>
        <w:shd w:val="clear" w:color="auto" w:fill="auto"/>
        <w:spacing w:line="175" w:lineRule="auto"/>
        <w:ind w:firstLine="300"/>
      </w:pPr>
      <w:r>
        <w:t>Co míníte špatnou výchovou obyvatelstva. Že byl vydán kořalečný zákon, zavedeny různé sociální, zdravotní a kulturní instituce. Jaká byla úmrtnost za m</w:t>
      </w:r>
      <w:r>
        <w:t>aďarského režimu a jak klesala »po vpádu« Vámi nenáviděných Čechů. Patrně máte na mysli Sokola a nechcete jmenovat; ten jest uznáván v ce</w:t>
      </w:r>
      <w:r>
        <w:softHyphen/>
        <w:t>lém světě a výjimku děláte Vy s Maďary.</w:t>
      </w:r>
    </w:p>
    <w:p w:rsidR="00500724" w:rsidRDefault="00F30FB8">
      <w:pPr>
        <w:pStyle w:val="Zkladntext100"/>
        <w:shd w:val="clear" w:color="auto" w:fill="auto"/>
        <w:spacing w:line="175" w:lineRule="auto"/>
        <w:ind w:firstLine="300"/>
      </w:pPr>
      <w:r>
        <w:t>Vaše i naše osvobození vzniklo současně. Že hned s počátku Vám nebylo křivděno</w:t>
      </w:r>
      <w:r>
        <w:t>, jest vidno z toho, že jste měli v revo</w:t>
      </w:r>
      <w:r>
        <w:softHyphen/>
        <w:t>lučním Národním Shromáždění 54 zástupce.</w:t>
      </w:r>
    </w:p>
    <w:p w:rsidR="00500724" w:rsidRDefault="00F30FB8">
      <w:pPr>
        <w:pStyle w:val="Zkladntext100"/>
        <w:shd w:val="clear" w:color="auto" w:fill="auto"/>
        <w:spacing w:line="175" w:lineRule="auto"/>
        <w:ind w:firstLine="300"/>
      </w:pPr>
      <w:r>
        <w:t xml:space="preserve">Divím se, že ještě teď vzpomínáte pittsburgské dohody. Vždyť ani tak rozsáhlá autonomie, kterou jste obdrželi a která Vám dávala mnohem </w:t>
      </w:r>
      <w:r>
        <w:rPr>
          <w:lang w:val="en-US" w:eastAsia="en-US" w:bidi="en-US"/>
        </w:rPr>
        <w:t xml:space="preserve">vice </w:t>
      </w:r>
      <w:r>
        <w:t>než pittsburská dohoda. Vám nesta</w:t>
      </w:r>
      <w:r>
        <w:t>čila.</w:t>
      </w:r>
    </w:p>
    <w:p w:rsidR="00500724" w:rsidRDefault="00F30FB8">
      <w:pPr>
        <w:pStyle w:val="Zkladntext100"/>
        <w:shd w:val="clear" w:color="auto" w:fill="auto"/>
        <w:spacing w:line="175" w:lineRule="auto"/>
        <w:ind w:firstLine="300"/>
      </w:pPr>
      <w:r>
        <w:t>Prohlášení slovenské samostatnosti bylo v Čechách i na Moravě přijato klidně, neb vývoj události u Vás to přímo předpovídal. Rozhodnutí jste si učinili pravoplatně. Nenávist k vůli tomu k Vám nemáme. Přejeme Vám, abyste dosáhli co nejdříve to, o co j</w:t>
      </w:r>
      <w:r>
        <w:t>ste nás »20 let prosili«.</w:t>
      </w:r>
    </w:p>
    <w:p w:rsidR="00500724" w:rsidRDefault="00F30FB8">
      <w:pPr>
        <w:pStyle w:val="Zkladntext100"/>
        <w:shd w:val="clear" w:color="auto" w:fill="auto"/>
        <w:tabs>
          <w:tab w:val="left" w:pos="3754"/>
        </w:tabs>
        <w:spacing w:after="200" w:line="175" w:lineRule="auto"/>
        <w:ind w:firstLine="300"/>
      </w:pPr>
      <w:r>
        <w:t>Hraniční sloupy nemusí být překážkou k opětnému navá</w:t>
      </w:r>
      <w:r>
        <w:softHyphen/>
        <w:t>zání bratrských styků. Budoucnost rozhodne, kdo z nás byl větším rušitelem čsl. pospolitosti, a vzpomeňme si na heslo »Pravda vítězí!«</w:t>
      </w:r>
      <w:r>
        <w:tab/>
        <w:t>Václav Holub</w:t>
      </w:r>
    </w:p>
    <w:p w:rsidR="00500724" w:rsidRDefault="00F30FB8">
      <w:pPr>
        <w:pStyle w:val="Zkladntext100"/>
        <w:shd w:val="clear" w:color="auto" w:fill="auto"/>
        <w:spacing w:line="293" w:lineRule="auto"/>
        <w:ind w:left="1020" w:right="1940" w:firstLine="940"/>
        <w:jc w:val="left"/>
        <w:rPr>
          <w:sz w:val="19"/>
          <w:szCs w:val="19"/>
        </w:rPr>
      </w:pPr>
      <w:r>
        <w:rPr>
          <w:b/>
          <w:bCs/>
          <w:sz w:val="16"/>
          <w:szCs w:val="16"/>
        </w:rPr>
        <w:t xml:space="preserve">Na dvě adresy </w:t>
      </w:r>
      <w:r>
        <w:rPr>
          <w:sz w:val="19"/>
          <w:szCs w:val="19"/>
        </w:rPr>
        <w:t xml:space="preserve">Vážený pane </w:t>
      </w:r>
      <w:r>
        <w:rPr>
          <w:sz w:val="19"/>
          <w:szCs w:val="19"/>
        </w:rPr>
        <w:t>redaktore!</w:t>
      </w:r>
    </w:p>
    <w:p w:rsidR="00500724" w:rsidRDefault="00F30FB8">
      <w:pPr>
        <w:pStyle w:val="Zkladntext100"/>
        <w:shd w:val="clear" w:color="auto" w:fill="auto"/>
        <w:spacing w:line="173" w:lineRule="auto"/>
        <w:ind w:firstLine="200"/>
      </w:pPr>
      <w:r>
        <w:t>Promiňte, že Vás okrádám o čas, ale chci Vám něco říci k Vašim článkům Naše ústava a Hrdinové naší doby, které jste uveřejnil v Přítomnosti a v Lidových Novinách.</w:t>
      </w:r>
    </w:p>
    <w:p w:rsidR="00500724" w:rsidRDefault="00F30FB8">
      <w:pPr>
        <w:pStyle w:val="Zkladntext100"/>
        <w:shd w:val="clear" w:color="auto" w:fill="auto"/>
        <w:spacing w:line="173" w:lineRule="auto"/>
        <w:ind w:firstLine="200"/>
      </w:pPr>
      <w:r>
        <w:t xml:space="preserve">V prvém článku jsem si povšiml dvou bodů. Říkáte tam: »musíme se shýbnout a začít </w:t>
      </w:r>
      <w:r>
        <w:t>znovu« a »pravé vlastenectví není dnes ve zpívání...«</w:t>
      </w:r>
    </w:p>
    <w:p w:rsidR="00500724" w:rsidRDefault="00F30FB8">
      <w:pPr>
        <w:pStyle w:val="Zkladntext100"/>
        <w:shd w:val="clear" w:color="auto" w:fill="auto"/>
        <w:spacing w:line="173" w:lineRule="auto"/>
        <w:ind w:firstLine="200"/>
      </w:pPr>
      <w:r>
        <w:t>Přišel jsem v minulých dnech mezi členy jedné bývalé poli</w:t>
      </w:r>
      <w:r>
        <w:softHyphen/>
        <w:t xml:space="preserve">tické mládeže v Praze, o které se říkalo zejména v posledních, letech, že jest mládeží nejlepší a nejaktivnější. Šel jsem tam jako jeden z nich </w:t>
      </w:r>
      <w:r>
        <w:t>se zvědavostí člověka, který mezi nimi již delší dobu nebyl. Abych řekl pravdu, chtěl jsem vidět a slyšet, co dělají. Chtěl jsem vidět a slyšet, jak oni se shýbli a začali znovu. Ale bohužel odcházel jsem zklamán. Viděl jsem a slyšel jsem tam jen a jen zpí</w:t>
      </w:r>
      <w:r>
        <w:t>vání. A když jsem později četl Vaše slova, tázal jsem se v duchu a s obavami, zda jest takovouto všechna naše mládež. Myslím totiž, že ta slova o shýbnutí se a začnutí znova platí v prvé řadě o mladých lidech. Ti přece mají ukázat co nejvíce smyslu pro reá</w:t>
      </w:r>
      <w:r>
        <w:t>lní možnosti. Ti přece mají nastoupiti na místa těch mnohých »hrdinů naší doby« a ukázat jim, že život tohoto národa ještě daleko není prohrán a skončen, protože zde jest schopná a nezlomná mladá gene</w:t>
      </w:r>
      <w:r>
        <w:softHyphen/>
        <w:t>race, která jest si vědoma svých úkolů.</w:t>
      </w:r>
    </w:p>
    <w:p w:rsidR="00500724" w:rsidRDefault="00F30FB8">
      <w:pPr>
        <w:pStyle w:val="Zkladntext100"/>
        <w:shd w:val="clear" w:color="auto" w:fill="auto"/>
        <w:spacing w:line="173" w:lineRule="auto"/>
        <w:ind w:firstLine="200"/>
      </w:pPr>
      <w:r>
        <w:t>Teď se asi v du</w:t>
      </w:r>
      <w:r>
        <w:t xml:space="preserve">chu tážete, proč Vám to píši. Nuže proto, že myslím, že by bylo dobře to mladým nějakým způsobem říci. Bylo by dobře jim říci, že jest přece nutno něco dělat. Říci jim, že v dějinách národa nejsou situace, při kterých by měli mladí oprávnění složit ruce v </w:t>
      </w:r>
      <w:r>
        <w:t>klín, že každá situace jim dává možnost nějaké konstruktivní práce. Dnes není možno dělat politickou práci jako dříve. Nuže, pak jest tu na příklad mož</w:t>
      </w:r>
      <w:r>
        <w:softHyphen/>
        <w:t>nost práce kulturní a sociální. K těm však jest nejvýše třeba chuti a nadšení. Nadšení i chuť v nich byl</w:t>
      </w:r>
      <w:r>
        <w:t>y; snad je poslední události neodvály. Jestli ano, pak jest povinnosti každého, kdo má trochu moc-i a vlivu, obojí v nich opětně vzbudit. Jest to i Vaší povinností. Věřím, že ji splníte.</w:t>
      </w:r>
    </w:p>
    <w:p w:rsidR="00500724" w:rsidRDefault="00F30FB8">
      <w:pPr>
        <w:pStyle w:val="Zkladntext100"/>
        <w:shd w:val="clear" w:color="auto" w:fill="auto"/>
        <w:tabs>
          <w:tab w:val="left" w:pos="4224"/>
          <w:tab w:val="left" w:pos="4987"/>
        </w:tabs>
        <w:spacing w:line="173" w:lineRule="auto"/>
        <w:ind w:firstLine="200"/>
      </w:pPr>
      <w:r>
        <w:t>Člověk až žasne, když pozoruje, jak mnozí z »hrdinů«, kteří byli znám</w:t>
      </w:r>
      <w:r>
        <w:t>i, že třeba již před válkou dovedli zcela neohroženě a opravdu statečně stát v čele všeho toho dění, které nám nakonec dohromady vyneslo samostatnost, dnes dovedou zase naopak činiti vše pro to, aby ze svého zachránili, co se dá. A jsou mezi nimi i lidé, k</w:t>
      </w:r>
      <w:r>
        <w:t xml:space="preserve">teří se nebáli tehdy ani kriminálu, když byli přesvědčeni o své pravdě. Nevím, ale mám dojem, že se to dá vysvětlit jedině snad tímto: tehda byli mladí, většinou chudí, neměli naprosto nic, co by mohli ztratit. Dnes jsou staří, zaopatřeni a bojí se ztráty </w:t>
      </w:r>
      <w:r>
        <w:t>všeho toho hmotného, eo jim dalo minulých 20 let. Zmizeli teď prostě z našeho veřejného života. Není jich. Mluvili mnoho — a teď najednou zmlkli úplně. Hmotně jsou na tom tak, že se většině z nich o tom před válkou ani nesnilo. A proto snad dnes činí vše m</w:t>
      </w:r>
      <w:r>
        <w:t>ožné, aby byli v klidu. Neznám jiného vysvětlení. Je-li pravdivé, pak by jim také mělo být něco řečeno. Mělo by jimbýt řečeno, že všechny budoucí pokusy o to získat opětně případně některé vůdčí postavení jsou předem ztraceny. Lid _v těchto dobách se zvýše</w:t>
      </w:r>
      <w:r>
        <w:t>nou pozornocii sleduje jejich počínání a nezapomene je. Mnohými již i opovrhuje.</w:t>
      </w:r>
      <w:r>
        <w:tab/>
        <w:t>. , . „</w:t>
      </w:r>
      <w:r>
        <w:tab/>
        <w:t>-</w:t>
      </w:r>
    </w:p>
    <w:p w:rsidR="00500724" w:rsidRDefault="00F30FB8">
      <w:pPr>
        <w:pStyle w:val="Zkladntext100"/>
        <w:shd w:val="clear" w:color="auto" w:fill="auto"/>
        <w:spacing w:line="173" w:lineRule="auto"/>
        <w:ind w:firstLine="200"/>
      </w:pPr>
      <w:r>
        <w:t>Řekněte to, pane redaktore, i těmto._ Jest to potřebí. Snad to zachrání mnohé jiné. A to snad stojí za to; či ne?</w:t>
      </w:r>
    </w:p>
    <w:p w:rsidR="00500724" w:rsidRDefault="00F30FB8">
      <w:pPr>
        <w:pStyle w:val="Zkladntext100"/>
        <w:shd w:val="clear" w:color="auto" w:fill="auto"/>
        <w:tabs>
          <w:tab w:val="left" w:pos="4726"/>
        </w:tabs>
        <w:spacing w:line="163" w:lineRule="auto"/>
        <w:ind w:left="1500" w:firstLine="0"/>
        <w:rPr>
          <w:sz w:val="19"/>
          <w:szCs w:val="19"/>
        </w:rPr>
        <w:sectPr w:rsidR="00500724">
          <w:footnotePr>
            <w:numFmt w:val="chicago"/>
            <w:numRestart w:val="eachPage"/>
          </w:footnotePr>
          <w:pgSz w:w="11909" w:h="16834"/>
          <w:pgMar w:top="1532" w:right="779" w:bottom="883" w:left="599" w:header="0" w:footer="3" w:gutter="0"/>
          <w:cols w:num="2" w:space="135"/>
          <w:noEndnote/>
          <w:docGrid w:linePitch="360"/>
        </w:sectPr>
      </w:pPr>
      <w:r>
        <w:rPr>
          <w:sz w:val="19"/>
          <w:szCs w:val="19"/>
        </w:rPr>
        <w:t>S úctou Vám oddaný</w:t>
      </w:r>
      <w:r>
        <w:rPr>
          <w:sz w:val="19"/>
          <w:szCs w:val="19"/>
        </w:rPr>
        <w:tab/>
      </w:r>
      <w:r>
        <w:rPr>
          <w:sz w:val="19"/>
          <w:szCs w:val="19"/>
          <w:lang w:val="en-US" w:eastAsia="en-US" w:bidi="en-US"/>
        </w:rPr>
        <w:t xml:space="preserve">J. </w:t>
      </w:r>
      <w:r>
        <w:rPr>
          <w:sz w:val="19"/>
          <w:szCs w:val="19"/>
        </w:rPr>
        <w:t>S.</w:t>
      </w:r>
    </w:p>
    <w:p w:rsidR="00500724" w:rsidRDefault="00F30FB8">
      <w:pPr>
        <w:pStyle w:val="Nadpis50"/>
        <w:keepNext/>
        <w:keepLines/>
        <w:framePr w:w="7061" w:h="1704" w:wrap="none" w:vAnchor="text" w:hAnchor="page" w:x="3584" w:y="169"/>
        <w:shd w:val="clear" w:color="auto" w:fill="auto"/>
      </w:pPr>
      <w:bookmarkStart w:id="482" w:name="bookmark481"/>
      <w:r>
        <w:t>vět knih</w:t>
      </w:r>
      <w:bookmarkEnd w:id="482"/>
    </w:p>
    <w:p w:rsidR="00500724" w:rsidRDefault="00F30FB8">
      <w:pPr>
        <w:pStyle w:val="Nadpis90"/>
        <w:keepNext/>
        <w:keepLines/>
        <w:framePr w:w="7306" w:h="523" w:wrap="none" w:vAnchor="text" w:hAnchor="page" w:x="3368" w:y="1873"/>
        <w:shd w:val="clear" w:color="auto" w:fill="auto"/>
        <w:spacing w:after="0"/>
        <w:rPr>
          <w:sz w:val="42"/>
          <w:szCs w:val="42"/>
        </w:rPr>
      </w:pPr>
      <w:bookmarkStart w:id="483" w:name="bookmark482"/>
      <w:r>
        <w:rPr>
          <w:b/>
          <w:bCs/>
          <w:sz w:val="34"/>
          <w:szCs w:val="34"/>
        </w:rPr>
        <w:t xml:space="preserve">KULTURNÍ </w:t>
      </w:r>
      <w:r>
        <w:rPr>
          <w:smallCaps/>
          <w:sz w:val="42"/>
          <w:szCs w:val="42"/>
        </w:rPr>
        <w:t>zpravodaj</w:t>
      </w:r>
      <w:bookmarkEnd w:id="483"/>
    </w:p>
    <w:p w:rsidR="00500724" w:rsidRDefault="00F30FB8">
      <w:pPr>
        <w:pStyle w:val="Nadpis110"/>
        <w:framePr w:w="413" w:h="1075" w:wrap="none" w:vAnchor="text" w:hAnchor="page" w:x="10943" w:y="21"/>
        <w:shd w:val="clear" w:color="auto" w:fill="auto"/>
      </w:pPr>
      <w:bookmarkStart w:id="484" w:name="bookmark483"/>
      <w:r>
        <w:t>o</w:t>
      </w:r>
      <w:bookmarkEnd w:id="484"/>
    </w:p>
    <w:p w:rsidR="00500724" w:rsidRDefault="00F30FB8">
      <w:pPr>
        <w:pStyle w:val="Nadpis110"/>
        <w:framePr w:w="413" w:h="1075" w:wrap="none" w:vAnchor="text" w:hAnchor="page" w:x="10943" w:y="21"/>
        <w:shd w:val="clear" w:color="auto" w:fill="auto"/>
        <w:spacing w:line="180" w:lineRule="auto"/>
      </w:pPr>
      <w:bookmarkStart w:id="485" w:name="bookmark484"/>
      <w:r>
        <w:t>rx</w:t>
      </w:r>
      <w:bookmarkEnd w:id="485"/>
    </w:p>
    <w:p w:rsidR="00500724" w:rsidRDefault="00F30FB8">
      <w:pPr>
        <w:pStyle w:val="Nadpis110"/>
        <w:framePr w:w="413" w:h="1075" w:wrap="none" w:vAnchor="text" w:hAnchor="page" w:x="10943" w:y="21"/>
        <w:shd w:val="clear" w:color="auto" w:fill="auto"/>
        <w:spacing w:after="80"/>
      </w:pPr>
      <w:bookmarkStart w:id="486" w:name="bookmark485"/>
      <w:r>
        <w:t>«o</w:t>
      </w:r>
      <w:bookmarkEnd w:id="486"/>
    </w:p>
    <w:p w:rsidR="00500724" w:rsidRDefault="00F30FB8">
      <w:pPr>
        <w:pStyle w:val="Nadpis110"/>
        <w:framePr w:w="413" w:h="1075" w:wrap="none" w:vAnchor="text" w:hAnchor="page" w:x="10943" w:y="21"/>
        <w:shd w:val="clear" w:color="auto" w:fill="auto"/>
        <w:spacing w:after="40"/>
      </w:pPr>
      <w:bookmarkStart w:id="487" w:name="bookmark486"/>
      <w:r>
        <w:t>o&lt;</w:t>
      </w:r>
      <w:bookmarkEnd w:id="487"/>
    </w:p>
    <w:p w:rsidR="00500724" w:rsidRDefault="00500724">
      <w:pPr>
        <w:spacing w:after="83" w:line="14" w:lineRule="exact"/>
      </w:pPr>
    </w:p>
    <w:p w:rsidR="00500724" w:rsidRDefault="00500724">
      <w:pPr>
        <w:spacing w:line="14" w:lineRule="exact"/>
        <w:sectPr w:rsidR="00500724">
          <w:footnotePr>
            <w:numFmt w:val="chicago"/>
            <w:numRestart w:val="eachPage"/>
          </w:footnotePr>
          <w:pgSz w:w="11909" w:h="16834"/>
          <w:pgMar w:top="3271" w:right="554" w:bottom="699" w:left="746" w:header="0" w:footer="3" w:gutter="0"/>
          <w:cols w:space="720"/>
          <w:noEndnote/>
          <w:docGrid w:linePitch="360"/>
        </w:sectPr>
      </w:pPr>
    </w:p>
    <w:p w:rsidR="00500724" w:rsidRDefault="00500724">
      <w:pPr>
        <w:spacing w:line="55" w:lineRule="exact"/>
        <w:rPr>
          <w:sz w:val="4"/>
          <w:szCs w:val="4"/>
        </w:rPr>
      </w:pPr>
    </w:p>
    <w:p w:rsidR="00500724" w:rsidRDefault="00500724">
      <w:pPr>
        <w:spacing w:line="14" w:lineRule="exact"/>
        <w:sectPr w:rsidR="00500724">
          <w:footnotePr>
            <w:numFmt w:val="chicago"/>
            <w:numRestart w:val="eachPage"/>
          </w:footnotePr>
          <w:type w:val="continuous"/>
          <w:pgSz w:w="11909" w:h="16834"/>
          <w:pgMar w:top="1970" w:right="0" w:bottom="0" w:left="0" w:header="0" w:footer="3" w:gutter="0"/>
          <w:cols w:space="720"/>
          <w:noEndnote/>
          <w:docGrid w:linePitch="360"/>
        </w:sectPr>
      </w:pPr>
    </w:p>
    <w:p w:rsidR="00500724" w:rsidRDefault="00F30FB8">
      <w:pPr>
        <w:pStyle w:val="Jin0"/>
        <w:framePr w:w="5117" w:h="4070" w:hSpace="20" w:vSpace="80" w:wrap="notBeside" w:vAnchor="text" w:hAnchor="page" w:x="3479" w:y="21"/>
        <w:shd w:val="clear" w:color="auto" w:fill="auto"/>
        <w:ind w:firstLine="0"/>
        <w:jc w:val="center"/>
        <w:rPr>
          <w:sz w:val="26"/>
          <w:szCs w:val="26"/>
        </w:rPr>
      </w:pPr>
      <w:r>
        <w:rPr>
          <w:b/>
          <w:bCs/>
          <w:sz w:val="26"/>
          <w:szCs w:val="26"/>
        </w:rPr>
        <w:t>Poesie a tragika</w:t>
      </w:r>
    </w:p>
    <w:p w:rsidR="00500724" w:rsidRDefault="00F30FB8">
      <w:pPr>
        <w:pStyle w:val="Zkladntext100"/>
        <w:framePr w:w="5117" w:h="4070" w:hSpace="20" w:vSpace="80" w:wrap="notBeside" w:vAnchor="text" w:hAnchor="page" w:x="3479" w:y="21"/>
        <w:shd w:val="clear" w:color="auto" w:fill="auto"/>
        <w:spacing w:line="254" w:lineRule="auto"/>
        <w:ind w:firstLine="200"/>
        <w:rPr>
          <w:sz w:val="19"/>
          <w:szCs w:val="19"/>
        </w:rPr>
      </w:pPr>
      <w:r>
        <w:rPr>
          <w:b/>
          <w:bCs/>
          <w:sz w:val="19"/>
          <w:szCs w:val="19"/>
        </w:rPr>
        <w:t>Před lety si stěžoval kritik, že česká literatura zná jen střední polohy, že v ní není běsů. Může být uklidněn, bude v ni běsů tolik, že je</w:t>
      </w:r>
      <w:r>
        <w:rPr>
          <w:b/>
          <w:bCs/>
          <w:sz w:val="19"/>
          <w:szCs w:val="19"/>
        </w:rPr>
        <w:t xml:space="preserve"> bude třeba pokrotit. Právě před třiceti lety snil F. X. Salda, v doslovu k »Modemí literatuře české*, že nová poesie česká stvoří novou tragiku. Nyní se zdá, že tomu bude obráceně: nová poesie nestvoří novou tragiku, ale nová tragika novou poesii A tato l</w:t>
      </w:r>
      <w:r>
        <w:rPr>
          <w:b/>
          <w:bCs/>
          <w:sz w:val="19"/>
          <w:szCs w:val="19"/>
        </w:rPr>
        <w:t>iteratura bude, jak odhadoval, snutně pesimistická potud, pokud každý hlubší pohled do života a osudu lidského jest nutně pesimistický*. A tato tragika bude hovořit, jak předpokládal: miluji život, miluji jeho bolestné plameny, protože svití a hoři a okouz</w:t>
      </w:r>
      <w:r>
        <w:rPr>
          <w:b/>
          <w:bCs/>
          <w:sz w:val="19"/>
          <w:szCs w:val="19"/>
        </w:rPr>
        <w:t>luji, miluji je přes to, že mne sežehnou. Všem na vzdory a přece bude milovat! tato nová poesie život, všemu na vzdory a přece bude zpívati jeho slávu a chválu.</w:t>
      </w:r>
    </w:p>
    <w:p w:rsidR="00500724" w:rsidRDefault="00F30FB8">
      <w:pPr>
        <w:pStyle w:val="Zkladntext30"/>
        <w:framePr w:w="5117" w:h="4070" w:hSpace="20" w:vSpace="80" w:wrap="notBeside" w:vAnchor="text" w:hAnchor="page" w:x="3479" w:y="21"/>
        <w:shd w:val="clear" w:color="auto" w:fill="auto"/>
        <w:spacing w:after="0" w:line="240" w:lineRule="auto"/>
        <w:ind w:left="2920" w:firstLine="0"/>
        <w:jc w:val="right"/>
        <w:rPr>
          <w:sz w:val="20"/>
          <w:szCs w:val="20"/>
        </w:rPr>
      </w:pPr>
      <w:r>
        <w:rPr>
          <w:b/>
          <w:bCs/>
          <w:i/>
          <w:iCs/>
          <w:sz w:val="20"/>
          <w:szCs w:val="20"/>
        </w:rPr>
        <w:t>B. Mathesius (v Kritickém měsíčníku)</w:t>
      </w:r>
    </w:p>
    <w:p w:rsidR="00500724" w:rsidRDefault="00500724">
      <w:pPr>
        <w:spacing w:line="14" w:lineRule="exact"/>
      </w:pPr>
    </w:p>
    <w:p w:rsidR="00500724" w:rsidRDefault="00F30FB8">
      <w:pPr>
        <w:pStyle w:val="Zkladntext30"/>
        <w:shd w:val="clear" w:color="auto" w:fill="auto"/>
        <w:spacing w:after="60" w:line="185" w:lineRule="auto"/>
        <w:ind w:firstLine="0"/>
        <w:jc w:val="left"/>
        <w:rPr>
          <w:sz w:val="20"/>
          <w:szCs w:val="20"/>
        </w:rPr>
      </w:pPr>
      <w:r>
        <w:rPr>
          <w:b/>
          <w:bCs/>
          <w:i/>
          <w:iCs/>
          <w:sz w:val="20"/>
          <w:szCs w:val="20"/>
        </w:rPr>
        <w:t>Viktor Dyk:</w:t>
      </w:r>
    </w:p>
    <w:p w:rsidR="00500724" w:rsidRDefault="00F30FB8">
      <w:pPr>
        <w:pStyle w:val="Zkladntext30"/>
        <w:shd w:val="clear" w:color="auto" w:fill="auto"/>
        <w:spacing w:after="80" w:line="240" w:lineRule="auto"/>
        <w:ind w:firstLine="0"/>
        <w:jc w:val="left"/>
        <w:rPr>
          <w:sz w:val="24"/>
          <w:szCs w:val="24"/>
        </w:rPr>
      </w:pPr>
      <w:r>
        <w:rPr>
          <w:b/>
          <w:bCs/>
          <w:sz w:val="24"/>
          <w:szCs w:val="24"/>
        </w:rPr>
        <w:t>PAPRSEK SLUNCE</w:t>
      </w:r>
    </w:p>
    <w:p w:rsidR="00500724" w:rsidRDefault="00F30FB8">
      <w:pPr>
        <w:pStyle w:val="Zkladntext30"/>
        <w:shd w:val="clear" w:color="auto" w:fill="auto"/>
        <w:spacing w:after="80" w:line="185" w:lineRule="auto"/>
        <w:ind w:firstLine="0"/>
        <w:jc w:val="center"/>
        <w:rPr>
          <w:sz w:val="20"/>
          <w:szCs w:val="20"/>
        </w:rPr>
      </w:pPr>
      <w:r>
        <w:rPr>
          <w:b/>
          <w:bCs/>
          <w:i/>
          <w:iCs/>
          <w:sz w:val="20"/>
          <w:szCs w:val="20"/>
        </w:rPr>
        <w:t>i.</w:t>
      </w:r>
    </w:p>
    <w:p w:rsidR="00500724" w:rsidRDefault="00F30FB8">
      <w:pPr>
        <w:pStyle w:val="Zkladntext30"/>
        <w:shd w:val="clear" w:color="auto" w:fill="auto"/>
        <w:spacing w:after="0" w:line="180" w:lineRule="auto"/>
        <w:ind w:firstLine="0"/>
        <w:jc w:val="left"/>
        <w:rPr>
          <w:sz w:val="20"/>
          <w:szCs w:val="20"/>
        </w:rPr>
      </w:pPr>
      <w:r>
        <w:rPr>
          <w:b/>
          <w:bCs/>
          <w:i/>
          <w:iCs/>
          <w:sz w:val="20"/>
          <w:szCs w:val="20"/>
        </w:rPr>
        <w:t>Paprsek slunce hrál si se</w:t>
      </w:r>
    </w:p>
    <w:p w:rsidR="00500724" w:rsidRDefault="00F30FB8">
      <w:pPr>
        <w:pStyle w:val="Zkladntext30"/>
        <w:shd w:val="clear" w:color="auto" w:fill="auto"/>
        <w:spacing w:after="0" w:line="180" w:lineRule="auto"/>
        <w:ind w:firstLine="0"/>
        <w:jc w:val="right"/>
        <w:rPr>
          <w:sz w:val="20"/>
          <w:szCs w:val="20"/>
        </w:rPr>
      </w:pPr>
      <w:r>
        <w:rPr>
          <w:b/>
          <w:bCs/>
          <w:i/>
          <w:iCs/>
          <w:sz w:val="20"/>
          <w:szCs w:val="20"/>
        </w:rPr>
        <w:t>mnou shora,</w:t>
      </w:r>
    </w:p>
    <w:p w:rsidR="00500724" w:rsidRDefault="00F30FB8">
      <w:pPr>
        <w:pStyle w:val="Zkladntext30"/>
        <w:shd w:val="clear" w:color="auto" w:fill="auto"/>
        <w:spacing w:after="0" w:line="180" w:lineRule="auto"/>
        <w:ind w:firstLine="0"/>
        <w:jc w:val="left"/>
        <w:rPr>
          <w:sz w:val="20"/>
          <w:szCs w:val="20"/>
        </w:rPr>
      </w:pPr>
      <w:r>
        <w:rPr>
          <w:b/>
          <w:bCs/>
          <w:i/>
          <w:iCs/>
          <w:sz w:val="20"/>
          <w:szCs w:val="20"/>
        </w:rPr>
        <w:t>řídký to host.</w:t>
      </w:r>
    </w:p>
    <w:p w:rsidR="00500724" w:rsidRDefault="00F30FB8">
      <w:pPr>
        <w:pStyle w:val="Zkladntext30"/>
        <w:shd w:val="clear" w:color="auto" w:fill="auto"/>
        <w:spacing w:after="0" w:line="180" w:lineRule="auto"/>
        <w:ind w:left="2060" w:hanging="2060"/>
        <w:jc w:val="left"/>
        <w:rPr>
          <w:sz w:val="20"/>
          <w:szCs w:val="20"/>
        </w:rPr>
      </w:pPr>
      <w:r>
        <w:rPr>
          <w:b/>
          <w:bCs/>
          <w:i/>
          <w:iCs/>
          <w:sz w:val="20"/>
          <w:szCs w:val="20"/>
        </w:rPr>
        <w:t>Pod kaštany jdu Sopeckého dvora</w:t>
      </w:r>
    </w:p>
    <w:p w:rsidR="00500724" w:rsidRDefault="00F30FB8">
      <w:pPr>
        <w:pStyle w:val="Zkladntext30"/>
        <w:shd w:val="clear" w:color="auto" w:fill="auto"/>
        <w:spacing w:after="160" w:line="190" w:lineRule="auto"/>
        <w:ind w:firstLine="0"/>
        <w:jc w:val="left"/>
        <w:rPr>
          <w:sz w:val="20"/>
          <w:szCs w:val="20"/>
        </w:rPr>
      </w:pPr>
      <w:r>
        <w:rPr>
          <w:b/>
          <w:bCs/>
          <w:sz w:val="19"/>
          <w:szCs w:val="19"/>
        </w:rPr>
        <w:t xml:space="preserve">v </w:t>
      </w:r>
      <w:r>
        <w:rPr>
          <w:i/>
          <w:iCs/>
          <w:sz w:val="20"/>
          <w:szCs w:val="20"/>
        </w:rPr>
        <w:t>minulost.</w:t>
      </w:r>
    </w:p>
    <w:p w:rsidR="00500724" w:rsidRDefault="00F30FB8">
      <w:pPr>
        <w:pStyle w:val="Zkladntext30"/>
        <w:shd w:val="clear" w:color="auto" w:fill="auto"/>
        <w:spacing w:after="0" w:line="185" w:lineRule="auto"/>
        <w:ind w:firstLine="0"/>
        <w:jc w:val="left"/>
        <w:rPr>
          <w:sz w:val="20"/>
          <w:szCs w:val="20"/>
        </w:rPr>
      </w:pPr>
      <w:r>
        <w:rPr>
          <w:b/>
          <w:bCs/>
          <w:i/>
          <w:iCs/>
          <w:sz w:val="20"/>
          <w:szCs w:val="20"/>
        </w:rPr>
        <w:t>Kdo v minulost jde,</w:t>
      </w:r>
    </w:p>
    <w:p w:rsidR="00500724" w:rsidRDefault="00F30FB8">
      <w:pPr>
        <w:pStyle w:val="Zkladntext30"/>
        <w:shd w:val="clear" w:color="auto" w:fill="auto"/>
        <w:spacing w:after="0" w:line="185" w:lineRule="auto"/>
        <w:ind w:firstLine="0"/>
        <w:jc w:val="right"/>
        <w:rPr>
          <w:sz w:val="20"/>
          <w:szCs w:val="20"/>
        </w:rPr>
      </w:pPr>
      <w:r>
        <w:rPr>
          <w:i/>
          <w:iCs/>
          <w:sz w:val="20"/>
          <w:szCs w:val="20"/>
        </w:rPr>
        <w:t>není nikdy chudý.</w:t>
      </w:r>
    </w:p>
    <w:p w:rsidR="00500724" w:rsidRDefault="00F30FB8">
      <w:pPr>
        <w:pStyle w:val="Zkladntext30"/>
        <w:shd w:val="clear" w:color="auto" w:fill="auto"/>
        <w:spacing w:after="0" w:line="185" w:lineRule="auto"/>
        <w:ind w:firstLine="0"/>
        <w:jc w:val="left"/>
        <w:rPr>
          <w:sz w:val="20"/>
          <w:szCs w:val="20"/>
        </w:rPr>
      </w:pPr>
      <w:r>
        <w:rPr>
          <w:b/>
          <w:bCs/>
          <w:i/>
          <w:iCs/>
          <w:sz w:val="20"/>
          <w:szCs w:val="20"/>
        </w:rPr>
        <w:t>VSe možno snít.</w:t>
      </w:r>
    </w:p>
    <w:p w:rsidR="00500724" w:rsidRDefault="00F30FB8">
      <w:pPr>
        <w:pStyle w:val="Zkladntext30"/>
        <w:shd w:val="clear" w:color="auto" w:fill="auto"/>
        <w:spacing w:after="0" w:line="185" w:lineRule="auto"/>
        <w:ind w:firstLine="0"/>
        <w:jc w:val="left"/>
        <w:rPr>
          <w:sz w:val="20"/>
          <w:szCs w:val="20"/>
        </w:rPr>
      </w:pPr>
      <w:r>
        <w:rPr>
          <w:b/>
          <w:bCs/>
          <w:i/>
          <w:iCs/>
          <w:sz w:val="20"/>
          <w:szCs w:val="20"/>
        </w:rPr>
        <w:t>Pod kaStany jsou velké,</w:t>
      </w:r>
    </w:p>
    <w:p w:rsidR="00500724" w:rsidRDefault="00F30FB8">
      <w:pPr>
        <w:pStyle w:val="Zkladntext30"/>
        <w:shd w:val="clear" w:color="auto" w:fill="auto"/>
        <w:spacing w:after="0" w:line="185" w:lineRule="auto"/>
        <w:ind w:firstLine="0"/>
        <w:jc w:val="right"/>
        <w:rPr>
          <w:sz w:val="20"/>
          <w:szCs w:val="20"/>
        </w:rPr>
      </w:pPr>
      <w:r>
        <w:rPr>
          <w:b/>
          <w:bCs/>
          <w:i/>
          <w:iCs/>
          <w:sz w:val="20"/>
          <w:szCs w:val="20"/>
        </w:rPr>
        <w:t>prázdné sudy,</w:t>
      </w:r>
    </w:p>
    <w:p w:rsidR="00500724" w:rsidRDefault="00F30FB8">
      <w:pPr>
        <w:pStyle w:val="Zkladntext30"/>
        <w:shd w:val="clear" w:color="auto" w:fill="auto"/>
        <w:spacing w:after="160" w:line="185" w:lineRule="auto"/>
        <w:ind w:firstLine="0"/>
        <w:jc w:val="left"/>
        <w:rPr>
          <w:sz w:val="20"/>
          <w:szCs w:val="20"/>
        </w:rPr>
      </w:pPr>
      <w:r>
        <w:rPr>
          <w:b/>
          <w:bCs/>
          <w:i/>
          <w:iCs/>
          <w:sz w:val="20"/>
          <w:szCs w:val="20"/>
        </w:rPr>
        <w:t>v něž lze se skrýt.</w:t>
      </w:r>
    </w:p>
    <w:p w:rsidR="00500724" w:rsidRDefault="00F30FB8">
      <w:pPr>
        <w:pStyle w:val="Zkladntext30"/>
        <w:shd w:val="clear" w:color="auto" w:fill="auto"/>
        <w:spacing w:after="0" w:line="175" w:lineRule="auto"/>
        <w:ind w:firstLine="0"/>
        <w:jc w:val="left"/>
        <w:rPr>
          <w:sz w:val="20"/>
          <w:szCs w:val="20"/>
        </w:rPr>
      </w:pPr>
      <w:r>
        <w:rPr>
          <w:b/>
          <w:bCs/>
          <w:i/>
          <w:iCs/>
          <w:sz w:val="20"/>
          <w:szCs w:val="20"/>
        </w:rPr>
        <w:t>Zřím čílko dětské, jarem</w:t>
      </w:r>
    </w:p>
    <w:p w:rsidR="00500724" w:rsidRDefault="00F30FB8">
      <w:pPr>
        <w:pStyle w:val="Zkladntext30"/>
        <w:shd w:val="clear" w:color="auto" w:fill="auto"/>
        <w:spacing w:after="0" w:line="175" w:lineRule="auto"/>
        <w:ind w:firstLine="0"/>
        <w:jc w:val="right"/>
        <w:rPr>
          <w:sz w:val="20"/>
          <w:szCs w:val="20"/>
        </w:rPr>
      </w:pPr>
      <w:r>
        <w:rPr>
          <w:b/>
          <w:bCs/>
          <w:i/>
          <w:iCs/>
          <w:sz w:val="20"/>
          <w:szCs w:val="20"/>
        </w:rPr>
        <w:t>nadechnuté</w:t>
      </w:r>
    </w:p>
    <w:p w:rsidR="00500724" w:rsidRDefault="00F30FB8">
      <w:pPr>
        <w:pStyle w:val="Zkladntext30"/>
        <w:shd w:val="clear" w:color="auto" w:fill="auto"/>
        <w:spacing w:after="0" w:line="175" w:lineRule="auto"/>
        <w:ind w:firstLine="0"/>
        <w:jc w:val="left"/>
        <w:rPr>
          <w:sz w:val="20"/>
          <w:szCs w:val="20"/>
        </w:rPr>
      </w:pPr>
      <w:r>
        <w:rPr>
          <w:b/>
          <w:bCs/>
          <w:i/>
          <w:iCs/>
          <w:sz w:val="20"/>
          <w:szCs w:val="20"/>
        </w:rPr>
        <w:t>jak luční květ.</w:t>
      </w:r>
    </w:p>
    <w:p w:rsidR="00500724" w:rsidRDefault="00F30FB8">
      <w:pPr>
        <w:pStyle w:val="Zkladntext30"/>
        <w:shd w:val="clear" w:color="auto" w:fill="auto"/>
        <w:spacing w:after="160" w:line="175" w:lineRule="auto"/>
        <w:ind w:firstLine="0"/>
        <w:jc w:val="left"/>
        <w:rPr>
          <w:sz w:val="20"/>
          <w:szCs w:val="20"/>
        </w:rPr>
      </w:pPr>
      <w:r>
        <w:rPr>
          <w:b/>
          <w:bCs/>
          <w:i/>
          <w:iCs/>
          <w:sz w:val="20"/>
          <w:szCs w:val="20"/>
        </w:rPr>
        <w:t xml:space="preserve">A kamarády </w:t>
      </w:r>
      <w:r>
        <w:rPr>
          <w:b/>
          <w:bCs/>
          <w:i/>
          <w:iCs/>
          <w:sz w:val="20"/>
          <w:szCs w:val="20"/>
        </w:rPr>
        <w:t>pozapomenuté po třicet let.</w:t>
      </w:r>
    </w:p>
    <w:p w:rsidR="00500724" w:rsidRDefault="00F30FB8">
      <w:pPr>
        <w:pStyle w:val="Zkladntext30"/>
        <w:shd w:val="clear" w:color="auto" w:fill="auto"/>
        <w:spacing w:after="60" w:line="185" w:lineRule="auto"/>
        <w:ind w:firstLine="0"/>
        <w:jc w:val="center"/>
        <w:rPr>
          <w:sz w:val="20"/>
          <w:szCs w:val="20"/>
        </w:rPr>
      </w:pPr>
      <w:r>
        <w:rPr>
          <w:i/>
          <w:iCs/>
          <w:sz w:val="20"/>
          <w:szCs w:val="20"/>
        </w:rPr>
        <w:t>II.</w:t>
      </w:r>
    </w:p>
    <w:p w:rsidR="00500724" w:rsidRDefault="00F30FB8">
      <w:pPr>
        <w:pStyle w:val="Zkladntext30"/>
        <w:shd w:val="clear" w:color="auto" w:fill="auto"/>
        <w:spacing w:after="0" w:line="187" w:lineRule="auto"/>
        <w:ind w:left="1760" w:hanging="1760"/>
        <w:jc w:val="left"/>
        <w:rPr>
          <w:sz w:val="20"/>
          <w:szCs w:val="20"/>
        </w:rPr>
      </w:pPr>
      <w:r>
        <w:rPr>
          <w:b/>
          <w:bCs/>
          <w:i/>
          <w:iCs/>
          <w:sz w:val="20"/>
          <w:szCs w:val="20"/>
        </w:rPr>
        <w:t>Paprsek slunce hrá si shora se mnou,</w:t>
      </w:r>
    </w:p>
    <w:p w:rsidR="00500724" w:rsidRDefault="00F30FB8">
      <w:pPr>
        <w:pStyle w:val="Zkladntext30"/>
        <w:shd w:val="clear" w:color="auto" w:fill="auto"/>
        <w:spacing w:after="0" w:line="187" w:lineRule="auto"/>
        <w:ind w:firstLine="0"/>
        <w:jc w:val="left"/>
        <w:rPr>
          <w:sz w:val="20"/>
          <w:szCs w:val="20"/>
        </w:rPr>
      </w:pPr>
      <w:r>
        <w:rPr>
          <w:b/>
          <w:bCs/>
          <w:i/>
          <w:iCs/>
          <w:sz w:val="20"/>
          <w:szCs w:val="20"/>
        </w:rPr>
        <w:t>řídký to host.</w:t>
      </w:r>
    </w:p>
    <w:p w:rsidR="00500724" w:rsidRDefault="00F30FB8">
      <w:pPr>
        <w:pStyle w:val="Zkladntext30"/>
        <w:shd w:val="clear" w:color="auto" w:fill="auto"/>
        <w:spacing w:after="0" w:line="187" w:lineRule="auto"/>
        <w:ind w:left="1880" w:hanging="1880"/>
        <w:jc w:val="left"/>
        <w:rPr>
          <w:sz w:val="20"/>
          <w:szCs w:val="20"/>
        </w:rPr>
      </w:pPr>
      <w:r>
        <w:rPr>
          <w:b/>
          <w:bCs/>
          <w:i/>
          <w:iCs/>
          <w:sz w:val="20"/>
          <w:szCs w:val="20"/>
        </w:rPr>
        <w:t>A vede celou příliš dlouhou temnou</w:t>
      </w:r>
    </w:p>
    <w:p w:rsidR="00500724" w:rsidRDefault="00F30FB8">
      <w:pPr>
        <w:pStyle w:val="Zkladntext30"/>
        <w:shd w:val="clear" w:color="auto" w:fill="auto"/>
        <w:spacing w:after="160" w:line="187" w:lineRule="auto"/>
        <w:ind w:firstLine="0"/>
        <w:jc w:val="left"/>
        <w:rPr>
          <w:sz w:val="20"/>
          <w:szCs w:val="20"/>
        </w:rPr>
      </w:pPr>
      <w:r>
        <w:rPr>
          <w:b/>
          <w:bCs/>
          <w:i/>
          <w:iCs/>
          <w:sz w:val="20"/>
          <w:szCs w:val="20"/>
        </w:rPr>
        <w:t>v budoucnost.</w:t>
      </w:r>
    </w:p>
    <w:p w:rsidR="00500724" w:rsidRDefault="00F30FB8">
      <w:pPr>
        <w:pStyle w:val="Zkladntext30"/>
        <w:shd w:val="clear" w:color="auto" w:fill="auto"/>
        <w:spacing w:after="0" w:line="190" w:lineRule="auto"/>
        <w:ind w:left="1440" w:hanging="1440"/>
        <w:jc w:val="left"/>
        <w:rPr>
          <w:sz w:val="20"/>
          <w:szCs w:val="20"/>
        </w:rPr>
      </w:pPr>
      <w:r>
        <w:rPr>
          <w:b/>
          <w:bCs/>
          <w:i/>
          <w:iCs/>
          <w:sz w:val="20"/>
          <w:szCs w:val="20"/>
        </w:rPr>
        <w:t>Kdo v budoucnost jde, není nikdy chudý.</w:t>
      </w:r>
    </w:p>
    <w:p w:rsidR="00500724" w:rsidRDefault="00F30FB8">
      <w:pPr>
        <w:pStyle w:val="Zkladntext30"/>
        <w:shd w:val="clear" w:color="auto" w:fill="auto"/>
        <w:spacing w:after="0" w:line="180" w:lineRule="auto"/>
        <w:ind w:firstLine="0"/>
        <w:jc w:val="left"/>
        <w:rPr>
          <w:sz w:val="20"/>
          <w:szCs w:val="20"/>
        </w:rPr>
      </w:pPr>
      <w:r>
        <w:rPr>
          <w:b/>
          <w:bCs/>
          <w:i/>
          <w:iCs/>
          <w:sz w:val="20"/>
          <w:szCs w:val="20"/>
        </w:rPr>
        <w:t>Má vždy svou část.</w:t>
      </w:r>
    </w:p>
    <w:p w:rsidR="00500724" w:rsidRDefault="00F30FB8">
      <w:pPr>
        <w:pStyle w:val="Zkladntext30"/>
        <w:shd w:val="clear" w:color="auto" w:fill="auto"/>
        <w:spacing w:after="0" w:line="185" w:lineRule="auto"/>
        <w:ind w:firstLine="0"/>
        <w:jc w:val="left"/>
        <w:rPr>
          <w:sz w:val="20"/>
          <w:szCs w:val="20"/>
        </w:rPr>
      </w:pPr>
      <w:r>
        <w:rPr>
          <w:b/>
          <w:bCs/>
          <w:i/>
          <w:iCs/>
          <w:sz w:val="20"/>
          <w:szCs w:val="20"/>
        </w:rPr>
        <w:t>Včerejší omyly a dneška</w:t>
      </w:r>
    </w:p>
    <w:p w:rsidR="00500724" w:rsidRDefault="00F30FB8">
      <w:pPr>
        <w:pStyle w:val="Zkladntext30"/>
        <w:shd w:val="clear" w:color="auto" w:fill="auto"/>
        <w:spacing w:after="0" w:line="185" w:lineRule="auto"/>
        <w:ind w:firstLine="0"/>
        <w:jc w:val="right"/>
        <w:rPr>
          <w:sz w:val="20"/>
          <w:szCs w:val="20"/>
        </w:rPr>
      </w:pPr>
      <w:r>
        <w:rPr>
          <w:i/>
          <w:iCs/>
          <w:sz w:val="20"/>
          <w:szCs w:val="20"/>
        </w:rPr>
        <w:t>marné bludy</w:t>
      </w:r>
    </w:p>
    <w:p w:rsidR="00500724" w:rsidRDefault="00F30FB8">
      <w:pPr>
        <w:pStyle w:val="Zkladntext30"/>
        <w:shd w:val="clear" w:color="auto" w:fill="auto"/>
        <w:spacing w:after="160" w:line="185" w:lineRule="auto"/>
        <w:ind w:firstLine="0"/>
        <w:jc w:val="left"/>
        <w:rPr>
          <w:sz w:val="20"/>
          <w:szCs w:val="20"/>
        </w:rPr>
      </w:pPr>
      <w:r>
        <w:rPr>
          <w:b/>
          <w:bCs/>
          <w:i/>
          <w:iCs/>
          <w:sz w:val="20"/>
          <w:szCs w:val="20"/>
        </w:rPr>
        <w:t>nemohou zmást.</w:t>
      </w:r>
    </w:p>
    <w:p w:rsidR="00500724" w:rsidRDefault="00F30FB8">
      <w:pPr>
        <w:pStyle w:val="Zkladntext30"/>
        <w:shd w:val="clear" w:color="auto" w:fill="auto"/>
        <w:spacing w:after="0" w:line="190" w:lineRule="auto"/>
        <w:ind w:left="1880" w:hanging="1880"/>
        <w:jc w:val="left"/>
        <w:rPr>
          <w:sz w:val="20"/>
          <w:szCs w:val="20"/>
        </w:rPr>
      </w:pPr>
      <w:r>
        <w:rPr>
          <w:b/>
          <w:bCs/>
          <w:i/>
          <w:iCs/>
          <w:sz w:val="20"/>
          <w:szCs w:val="20"/>
        </w:rPr>
        <w:t xml:space="preserve">A neuštve ho </w:t>
      </w:r>
      <w:r>
        <w:rPr>
          <w:b/>
          <w:bCs/>
          <w:i/>
          <w:iCs/>
          <w:sz w:val="20"/>
          <w:szCs w:val="20"/>
        </w:rPr>
        <w:t>nikdy pochyb smečka,</w:t>
      </w:r>
    </w:p>
    <w:p w:rsidR="00500724" w:rsidRDefault="00F30FB8">
      <w:pPr>
        <w:pStyle w:val="Zkladntext30"/>
        <w:shd w:val="clear" w:color="auto" w:fill="auto"/>
        <w:spacing w:after="0" w:line="180" w:lineRule="auto"/>
        <w:ind w:firstLine="0"/>
        <w:jc w:val="left"/>
        <w:rPr>
          <w:sz w:val="20"/>
          <w:szCs w:val="20"/>
        </w:rPr>
      </w:pPr>
      <w:r>
        <w:rPr>
          <w:b/>
          <w:bCs/>
          <w:i/>
          <w:iCs/>
          <w:sz w:val="20"/>
          <w:szCs w:val="20"/>
        </w:rPr>
        <w:t>nezbaví sil.</w:t>
      </w:r>
    </w:p>
    <w:p w:rsidR="00500724" w:rsidRDefault="00F30FB8">
      <w:pPr>
        <w:pStyle w:val="Zkladntext30"/>
        <w:shd w:val="clear" w:color="auto" w:fill="auto"/>
        <w:spacing w:after="0" w:line="185" w:lineRule="auto"/>
        <w:ind w:firstLine="0"/>
        <w:jc w:val="left"/>
        <w:rPr>
          <w:sz w:val="20"/>
          <w:szCs w:val="20"/>
        </w:rPr>
      </w:pPr>
      <w:r>
        <w:rPr>
          <w:b/>
          <w:bCs/>
          <w:i/>
          <w:iCs/>
          <w:sz w:val="20"/>
          <w:szCs w:val="20"/>
        </w:rPr>
        <w:t>A zahyne-li, ví, že padlé</w:t>
      </w:r>
    </w:p>
    <w:p w:rsidR="00500724" w:rsidRDefault="00F30FB8">
      <w:pPr>
        <w:pStyle w:val="Zkladntext30"/>
        <w:shd w:val="clear" w:color="auto" w:fill="auto"/>
        <w:spacing w:after="0" w:line="199" w:lineRule="auto"/>
        <w:ind w:firstLine="0"/>
        <w:jc w:val="right"/>
        <w:rPr>
          <w:sz w:val="20"/>
          <w:szCs w:val="20"/>
        </w:rPr>
      </w:pPr>
      <w:r>
        <w:rPr>
          <w:b/>
          <w:bCs/>
          <w:i/>
          <w:iCs/>
          <w:sz w:val="20"/>
          <w:szCs w:val="20"/>
        </w:rPr>
        <w:t>přečká</w:t>
      </w:r>
    </w:p>
    <w:p w:rsidR="00500724" w:rsidRDefault="00F30FB8">
      <w:pPr>
        <w:pStyle w:val="Zkladntext30"/>
        <w:shd w:val="clear" w:color="auto" w:fill="auto"/>
        <w:spacing w:after="60" w:line="180" w:lineRule="auto"/>
        <w:ind w:firstLine="0"/>
        <w:jc w:val="left"/>
        <w:rPr>
          <w:sz w:val="20"/>
          <w:szCs w:val="20"/>
        </w:rPr>
      </w:pPr>
      <w:r>
        <w:rPr>
          <w:b/>
          <w:bCs/>
          <w:i/>
          <w:iCs/>
          <w:sz w:val="20"/>
          <w:szCs w:val="20"/>
        </w:rPr>
        <w:t>veliký cil.</w:t>
      </w:r>
    </w:p>
    <w:p w:rsidR="00500724" w:rsidRDefault="00F30FB8">
      <w:pPr>
        <w:pStyle w:val="Zkladntext40"/>
        <w:shd w:val="clear" w:color="auto" w:fill="auto"/>
        <w:spacing w:after="0" w:line="175" w:lineRule="auto"/>
        <w:ind w:left="340"/>
        <w:jc w:val="left"/>
        <w:rPr>
          <w:sz w:val="14"/>
          <w:szCs w:val="14"/>
        </w:rPr>
      </w:pPr>
      <w:r>
        <w:rPr>
          <w:b/>
          <w:bCs/>
          <w:i/>
          <w:iCs/>
        </w:rPr>
        <w:t>Z</w:t>
      </w:r>
      <w:r>
        <w:rPr>
          <w:b/>
          <w:bCs/>
          <w:sz w:val="14"/>
          <w:szCs w:val="14"/>
        </w:rPr>
        <w:t xml:space="preserve"> knihy</w:t>
      </w:r>
    </w:p>
    <w:p w:rsidR="00500724" w:rsidRDefault="00F30FB8">
      <w:pPr>
        <w:pStyle w:val="Zkladntext40"/>
        <w:shd w:val="clear" w:color="auto" w:fill="auto"/>
        <w:spacing w:after="180" w:line="187" w:lineRule="auto"/>
        <w:ind w:left="340"/>
        <w:jc w:val="left"/>
        <w:rPr>
          <w:sz w:val="14"/>
          <w:szCs w:val="14"/>
        </w:rPr>
      </w:pPr>
      <w:r>
        <w:rPr>
          <w:b/>
          <w:bCs/>
          <w:sz w:val="14"/>
          <w:szCs w:val="14"/>
        </w:rPr>
        <w:t>Okno — Poslední rok</w:t>
      </w:r>
    </w:p>
    <w:p w:rsidR="00500724" w:rsidRDefault="00F30FB8">
      <w:pPr>
        <w:pStyle w:val="Nadpis120"/>
        <w:shd w:val="clear" w:color="auto" w:fill="auto"/>
        <w:spacing w:after="60" w:line="168" w:lineRule="auto"/>
        <w:ind w:left="0"/>
      </w:pPr>
      <w:bookmarkStart w:id="488" w:name="bookmark487"/>
      <w:r>
        <w:rPr>
          <w:rFonts w:ascii="Arial" w:eastAsia="Arial" w:hAnsi="Arial" w:cs="Arial"/>
        </w:rPr>
        <w:t>FEUILLETON</w:t>
      </w:r>
      <w:bookmarkEnd w:id="488"/>
    </w:p>
    <w:p w:rsidR="00500724" w:rsidRDefault="00F30FB8">
      <w:pPr>
        <w:pStyle w:val="Zkladntext40"/>
        <w:shd w:val="clear" w:color="auto" w:fill="auto"/>
        <w:spacing w:after="0" w:line="269" w:lineRule="auto"/>
        <w:jc w:val="left"/>
        <w:rPr>
          <w:sz w:val="16"/>
          <w:szCs w:val="16"/>
        </w:rPr>
      </w:pPr>
      <w:r>
        <w:rPr>
          <w:b/>
          <w:bCs/>
          <w:sz w:val="16"/>
          <w:szCs w:val="16"/>
          <w:lang w:val="en-US" w:eastAsia="en-US" w:bidi="en-US"/>
        </w:rPr>
        <w:t>Elmer Rice:</w:t>
      </w:r>
    </w:p>
    <w:p w:rsidR="00500724" w:rsidRDefault="00F30FB8">
      <w:pPr>
        <w:pStyle w:val="Zkladntext40"/>
        <w:shd w:val="clear" w:color="auto" w:fill="auto"/>
        <w:spacing w:line="269" w:lineRule="auto"/>
        <w:jc w:val="left"/>
        <w:rPr>
          <w:sz w:val="16"/>
          <w:szCs w:val="16"/>
        </w:rPr>
      </w:pPr>
      <w:r>
        <w:rPr>
          <w:b/>
          <w:bCs/>
          <w:sz w:val="16"/>
          <w:szCs w:val="16"/>
        </w:rPr>
        <w:t>POIlftEB MURIETY ANDEBSONOVÉ</w:t>
      </w:r>
    </w:p>
    <w:p w:rsidR="00500724" w:rsidRDefault="00F30FB8">
      <w:pPr>
        <w:pStyle w:val="Zkladntext40"/>
        <w:shd w:val="clear" w:color="auto" w:fill="auto"/>
        <w:spacing w:line="175" w:lineRule="auto"/>
        <w:ind w:left="340" w:firstLine="160"/>
      </w:pPr>
      <w:r>
        <w:t>Ukázka z románu New York vládne, v kterém vynikající americký drama</w:t>
      </w:r>
      <w:r>
        <w:softHyphen/>
        <w:t xml:space="preserve">tik zachytil strhující obraz </w:t>
      </w:r>
      <w:r>
        <w:t>ži</w:t>
      </w:r>
      <w:r>
        <w:softHyphen/>
        <w:t>vota největší americké metro</w:t>
      </w:r>
      <w:r>
        <w:softHyphen/>
        <w:t>pole. zrcadlíc! se v tisíci dob</w:t>
      </w:r>
      <w:r>
        <w:softHyphen/>
        <w:t>rodružstvích a nejpozoruhod</w:t>
      </w:r>
      <w:r>
        <w:softHyphen/>
        <w:t>nějších lidských osudech. Ro</w:t>
      </w:r>
      <w:r>
        <w:softHyphen/>
        <w:t>mán začal právě vycházeti v sešitech.</w:t>
      </w:r>
    </w:p>
    <w:p w:rsidR="00500724" w:rsidRDefault="00F30FB8">
      <w:pPr>
        <w:pStyle w:val="Zkladntext90"/>
        <w:shd w:val="clear" w:color="auto" w:fill="auto"/>
        <w:spacing w:line="204" w:lineRule="auto"/>
        <w:ind w:firstLine="200"/>
      </w:pPr>
      <w:r>
        <w:t xml:space="preserve">Zvoněni telefonu probudilo </w:t>
      </w:r>
      <w:r>
        <w:rPr>
          <w:lang w:val="en-US" w:eastAsia="en-US" w:bidi="en-US"/>
        </w:rPr>
        <w:t>Ter</w:t>
      </w:r>
      <w:r>
        <w:rPr>
          <w:lang w:val="en-US" w:eastAsia="en-US" w:bidi="en-US"/>
        </w:rPr>
        <w:softHyphen/>
        <w:t xml:space="preserve">ry </w:t>
      </w:r>
      <w:r>
        <w:t>z hlubokého spánku. S očima ještě uzavřenýma usedla na po</w:t>
      </w:r>
      <w:r>
        <w:softHyphen/>
        <w:t>steli</w:t>
      </w:r>
      <w:r>
        <w:t xml:space="preserve"> a sáhla po sluchátku.</w:t>
      </w:r>
    </w:p>
    <w:p w:rsidR="00500724" w:rsidRDefault="00F30FB8">
      <w:pPr>
        <w:pStyle w:val="Zkladntext90"/>
        <w:shd w:val="clear" w:color="auto" w:fill="auto"/>
        <w:spacing w:line="194" w:lineRule="auto"/>
        <w:ind w:firstLine="0"/>
        <w:jc w:val="right"/>
      </w:pPr>
      <w:r>
        <w:t>»Haló!« řekla ospalým hlasem.</w:t>
      </w:r>
    </w:p>
    <w:p w:rsidR="00500724" w:rsidRDefault="00F30FB8">
      <w:pPr>
        <w:pStyle w:val="Zkladntext90"/>
        <w:shd w:val="clear" w:color="auto" w:fill="auto"/>
        <w:spacing w:line="187" w:lineRule="auto"/>
        <w:ind w:firstLine="200"/>
        <w:rPr>
          <w:sz w:val="14"/>
          <w:szCs w:val="14"/>
        </w:rPr>
      </w:pPr>
      <w:r>
        <w:t xml:space="preserve">&gt;Zde je </w:t>
      </w:r>
      <w:r>
        <w:rPr>
          <w:lang w:val="en-US" w:eastAsia="en-US" w:bidi="en-US"/>
        </w:rPr>
        <w:t xml:space="preserve">Mack,! </w:t>
      </w:r>
      <w:r>
        <w:t>ozvalo se z te</w:t>
      </w:r>
      <w:r>
        <w:softHyphen/>
      </w:r>
      <w:r>
        <w:rPr>
          <w:rFonts w:ascii="Times New Roman" w:eastAsia="Times New Roman" w:hAnsi="Times New Roman" w:cs="Times New Roman"/>
          <w:sz w:val="14"/>
          <w:szCs w:val="14"/>
        </w:rPr>
        <w:t>lefonu.</w:t>
      </w:r>
    </w:p>
    <w:p w:rsidR="00500724" w:rsidRDefault="00F30FB8">
      <w:pPr>
        <w:pStyle w:val="Zkladntext90"/>
        <w:shd w:val="clear" w:color="auto" w:fill="auto"/>
        <w:spacing w:line="190" w:lineRule="auto"/>
        <w:ind w:firstLine="200"/>
      </w:pPr>
      <w:r>
        <w:t xml:space="preserve">»Pro pána krále,c zvolala. »Vy- cházi slunce nad Pacifikem, či </w:t>
      </w:r>
      <w:r>
        <w:rPr>
          <w:rFonts w:ascii="Times New Roman" w:eastAsia="Times New Roman" w:hAnsi="Times New Roman" w:cs="Times New Roman"/>
          <w:sz w:val="14"/>
          <w:szCs w:val="14"/>
        </w:rPr>
        <w:t xml:space="preserve">co </w:t>
      </w:r>
      <w:r>
        <w:t>to má znamenat?!</w:t>
      </w:r>
    </w:p>
    <w:p w:rsidR="00500724" w:rsidRDefault="00F30FB8">
      <w:pPr>
        <w:pStyle w:val="Zkladntext40"/>
        <w:shd w:val="clear" w:color="auto" w:fill="auto"/>
        <w:spacing w:after="0" w:line="180" w:lineRule="auto"/>
        <w:ind w:firstLine="200"/>
        <w:rPr>
          <w:sz w:val="14"/>
          <w:szCs w:val="14"/>
        </w:rPr>
      </w:pPr>
      <w:r>
        <w:rPr>
          <w:b/>
          <w:bCs/>
          <w:sz w:val="14"/>
          <w:szCs w:val="14"/>
        </w:rPr>
        <w:t>•Jsem v Novém Yorku.!</w:t>
      </w:r>
    </w:p>
    <w:p w:rsidR="00500724" w:rsidRDefault="00F30FB8">
      <w:pPr>
        <w:pStyle w:val="Nadpis120"/>
        <w:shd w:val="clear" w:color="auto" w:fill="auto"/>
        <w:ind w:left="0"/>
        <w:jc w:val="right"/>
      </w:pPr>
      <w:bookmarkStart w:id="489" w:name="bookmark488"/>
      <w:r>
        <w:rPr>
          <w:rFonts w:ascii="Arial" w:eastAsia="Arial" w:hAnsi="Arial" w:cs="Arial"/>
        </w:rPr>
        <w:t>NOVÉ KNIHY</w:t>
      </w:r>
      <w:bookmarkEnd w:id="489"/>
    </w:p>
    <w:p w:rsidR="00500724" w:rsidRDefault="00F30FB8">
      <w:pPr>
        <w:pStyle w:val="Zkladntext90"/>
        <w:shd w:val="clear" w:color="auto" w:fill="auto"/>
        <w:spacing w:line="240" w:lineRule="auto"/>
        <w:ind w:firstLine="0"/>
      </w:pPr>
      <w:r>
        <w:t xml:space="preserve">K. M. ČAPEK-CHOD: OSMERO </w:t>
      </w:r>
      <w:r>
        <w:rPr>
          <w:lang w:val="en-US" w:eastAsia="en-US" w:bidi="en-US"/>
        </w:rPr>
        <w:t>NOVER</w:t>
      </w:r>
    </w:p>
    <w:p w:rsidR="00500724" w:rsidRDefault="00F30FB8">
      <w:pPr>
        <w:pStyle w:val="Zkladntext40"/>
        <w:shd w:val="clear" w:color="auto" w:fill="auto"/>
        <w:spacing w:after="200" w:line="190" w:lineRule="auto"/>
        <w:ind w:firstLine="180"/>
      </w:pPr>
      <w:r>
        <w:t xml:space="preserve">Osmero novel, </w:t>
      </w:r>
      <w:r>
        <w:t>sbírka drobněj</w:t>
      </w:r>
      <w:r>
        <w:softHyphen/>
        <w:t>ších i rozlehlejších novelistických prací K. M. Čapka-Choda, které vznikly v tříletí 1900 až 1903, svědčí dnes stejně jako svědčila před lety o tom, že vyšla z dílny osobitého a nevšedního umělce. Jsou to novely a romanetta, vá</w:t>
      </w:r>
      <w:r>
        <w:softHyphen/>
        <w:t xml:space="preserve">bíc! čtenáře </w:t>
      </w:r>
      <w:r>
        <w:t>intensivní dobrodruž- ností svého děje, romaneskností motivů 1 bizarnosti zalidněni a prozrazujíc! od prvé chvíle svého autora Jako robustního, jadrného vypravěče nevšedních, až grotesk</w:t>
      </w:r>
      <w:r>
        <w:softHyphen/>
        <w:t>ních osudů, J;.ko zvídavého psy</w:t>
      </w:r>
      <w:r>
        <w:softHyphen/>
        <w:t>chologa a nemilosrdného analy</w:t>
      </w:r>
      <w:r>
        <w:softHyphen/>
        <w:t>tika tem</w:t>
      </w:r>
      <w:r>
        <w:t>ných vášní a zvrácených lidských citů, prostě jako umělce vybaveného dravou a odvážnou obrazností a vyspělým smyslem pro dušezkumný experiment. In</w:t>
      </w:r>
      <w:r>
        <w:softHyphen/>
        <w:t>telektuální fantastika těchto po</w:t>
      </w:r>
      <w:r>
        <w:softHyphen/>
        <w:t xml:space="preserve">arbesovských romanett, hýřících bizarností námětů, pitoreskností zalidnění, </w:t>
      </w:r>
      <w:r>
        <w:t>bohatstvím episod, dě</w:t>
      </w:r>
      <w:r>
        <w:softHyphen/>
        <w:t>jem plným nečekaných překvape-</w:t>
      </w:r>
    </w:p>
    <w:p w:rsidR="00500724" w:rsidRDefault="00F30FB8">
      <w:pPr>
        <w:pStyle w:val="Zkladntext90"/>
        <w:shd w:val="clear" w:color="auto" w:fill="auto"/>
      </w:pPr>
      <w:r>
        <w:t>Okamžitě se vzpamatovala a úplně probudila. Jeho napiatý, odměřený hlas jl znepokojil. &gt;Sta- lo se něco nemilého?!</w:t>
      </w:r>
    </w:p>
    <w:p w:rsidR="00500724" w:rsidRDefault="00F30FB8">
      <w:pPr>
        <w:pStyle w:val="Zkladntext90"/>
        <w:shd w:val="clear" w:color="auto" w:fill="auto"/>
      </w:pPr>
      <w:r>
        <w:t xml:space="preserve">Nastal okamžik ticha, než </w:t>
      </w:r>
      <w:r>
        <w:rPr>
          <w:lang w:val="en-US" w:eastAsia="en-US" w:bidi="en-US"/>
        </w:rPr>
        <w:t xml:space="preserve">Mack </w:t>
      </w:r>
      <w:r>
        <w:t>odpověděl. Pak řekl hlasem sotva slyšitelným: xMohu k tob</w:t>
      </w:r>
      <w:r>
        <w:t>ě při</w:t>
      </w:r>
      <w:r>
        <w:softHyphen/>
        <w:t>jít?!</w:t>
      </w:r>
    </w:p>
    <w:p w:rsidR="00500724" w:rsidRDefault="00F30FB8">
      <w:pPr>
        <w:pStyle w:val="Zkladntext90"/>
        <w:shd w:val="clear" w:color="auto" w:fill="auto"/>
      </w:pPr>
      <w:r>
        <w:t>»Ale ovšem. Popřej ml jen de</w:t>
      </w:r>
      <w:r>
        <w:softHyphen/>
        <w:t>set minut, abych se oblékla.!</w:t>
      </w:r>
    </w:p>
    <w:p w:rsidR="00500724" w:rsidRDefault="00F30FB8">
      <w:pPr>
        <w:pStyle w:val="Zkladntext90"/>
        <w:shd w:val="clear" w:color="auto" w:fill="auto"/>
      </w:pPr>
      <w:r>
        <w:t>Vyskočila z postele, pohlédla na hodinky a byla překvapena, že je již skoro poledne. Vytáhla roletu a rychle se umyla a oblék</w:t>
      </w:r>
      <w:r>
        <w:softHyphen/>
        <w:t xml:space="preserve">la. Sotva byla oblečena, ozval se zvonek. </w:t>
      </w:r>
      <w:r>
        <w:rPr>
          <w:lang w:val="en-US" w:eastAsia="en-US" w:bidi="en-US"/>
        </w:rPr>
        <w:t xml:space="preserve">Mack </w:t>
      </w:r>
      <w:r>
        <w:t>měl oči podl</w:t>
      </w:r>
      <w:r>
        <w:t>ité krví a v obličeji byl ustaraný a pope- Iavý. Vypadal o dobrých deset let starší, než když ho viděla po</w:t>
      </w:r>
      <w:r>
        <w:softHyphen/>
        <w:t>sledně.</w:t>
      </w:r>
    </w:p>
    <w:p w:rsidR="00500724" w:rsidRDefault="00F30FB8">
      <w:pPr>
        <w:pStyle w:val="Zkladntext90"/>
        <w:shd w:val="clear" w:color="auto" w:fill="auto"/>
        <w:ind w:firstLine="0"/>
        <w:jc w:val="right"/>
      </w:pPr>
      <w:r>
        <w:t>»To je ale překvapeni!! zvola</w:t>
      </w:r>
      <w:r>
        <w:softHyphen/>
        <w:t>la, snažíc se zakrýti své rozčilení.</w:t>
      </w:r>
    </w:p>
    <w:p w:rsidR="00500724" w:rsidRDefault="00F30FB8">
      <w:pPr>
        <w:pStyle w:val="Zkladntext90"/>
        <w:shd w:val="clear" w:color="auto" w:fill="auto"/>
      </w:pPr>
      <w:r>
        <w:t>»Haló,! pozdravil jl unaveně. Zběžně ji políbil a šel za ni do pokojíku, k</w:t>
      </w:r>
      <w:r>
        <w:t xml:space="preserve">terý kdysi obývala </w:t>
      </w:r>
      <w:r>
        <w:rPr>
          <w:lang w:val="en-US" w:eastAsia="en-US" w:bidi="en-US"/>
        </w:rPr>
        <w:t xml:space="preserve">Hanna </w:t>
      </w:r>
      <w:r>
        <w:t xml:space="preserve">van Nordenová a z něhož </w:t>
      </w:r>
      <w:r>
        <w:rPr>
          <w:lang w:val="en-US" w:eastAsia="en-US" w:bidi="en-US"/>
        </w:rPr>
        <w:t xml:space="preserve">si Terry </w:t>
      </w:r>
      <w:r>
        <w:t xml:space="preserve">udělala jakýsi salonek. Hodil klobouk na pohovku a klesl do lenošky. </w:t>
      </w:r>
      <w:r>
        <w:rPr>
          <w:lang w:val="en-US" w:eastAsia="en-US" w:bidi="en-US"/>
        </w:rPr>
        <w:t xml:space="preserve">Terry </w:t>
      </w:r>
      <w:r>
        <w:t>se ustrašeně</w:t>
      </w:r>
    </w:p>
    <w:p w:rsidR="00500724" w:rsidRDefault="00F30FB8">
      <w:pPr>
        <w:spacing w:line="1" w:lineRule="exact"/>
        <w:rPr>
          <w:sz w:val="2"/>
          <w:szCs w:val="2"/>
        </w:rPr>
      </w:pPr>
      <w:r>
        <w:br w:type="column"/>
      </w:r>
    </w:p>
    <w:p w:rsidR="00500724" w:rsidRDefault="00F30FB8">
      <w:pPr>
        <w:pStyle w:val="Zkladntext40"/>
        <w:shd w:val="clear" w:color="auto" w:fill="auto"/>
        <w:spacing w:after="200" w:line="182" w:lineRule="auto"/>
      </w:pPr>
      <w:r>
        <w:t>ni a zvratů, znásobená Jedineč</w:t>
      </w:r>
      <w:r>
        <w:softHyphen/>
        <w:t>nou vlohou pozorovatelskou a opřená o všestranné poznáni ži</w:t>
      </w:r>
      <w:r>
        <w:softHyphen/>
        <w:t>vota lidi nejrozd</w:t>
      </w:r>
      <w:r>
        <w:t>ílnějších kast i charakterů, lidi, s nimiž si osud zahrál svou krutou hru, aby svý</w:t>
      </w:r>
      <w:r>
        <w:softHyphen/>
        <w:t>mi nepředvídanými úskoky a roz</w:t>
      </w:r>
      <w:r>
        <w:softHyphen/>
        <w:t>mary zkomplikoval jejich život a dal mu vyústitl do grotesky a tragikomedie, vábí vás k těmto pracím moci vskutku neodolatel</w:t>
      </w:r>
      <w:r>
        <w:softHyphen/>
        <w:t>nou. Znova a lépe</w:t>
      </w:r>
      <w:r>
        <w:t>, Snivá Kateři</w:t>
      </w:r>
      <w:r>
        <w:softHyphen/>
        <w:t>na, Konteska Fina, Mates Ho</w:t>
      </w:r>
      <w:r>
        <w:softHyphen/>
        <w:t>lejch a Mendelssohnův koncert jsou právě zvlášť vynikající a pro Čapka-Choda příznačné. Udi</w:t>
      </w:r>
      <w:r>
        <w:softHyphen/>
        <w:t>vuje nás na nich nejen Čapkova virtuosní drobnokresba, jazyko</w:t>
      </w:r>
      <w:r>
        <w:softHyphen/>
        <w:t>vá svéráznost a analytická vlo</w:t>
      </w:r>
      <w:r>
        <w:softHyphen/>
        <w:t>ha, nýbrž i Jeho úžasná znal</w:t>
      </w:r>
      <w:r>
        <w:t>ost světa řemesel a živností 1 jejich praktik a světa učeneckého a uměleckého. Klasickým dokla</w:t>
      </w:r>
      <w:r>
        <w:softHyphen/>
        <w:t>dem takové nevšední znalosti je slavný Mendelssohnův koncert, výsostný to umělecký výraz Čap</w:t>
      </w:r>
      <w:r>
        <w:softHyphen/>
        <w:t>kovy lásky k hudbě a Jedna z nejskvělejších slovenských para</w:t>
      </w:r>
      <w:r>
        <w:softHyphen/>
        <w:t>frází h</w:t>
      </w:r>
      <w:r>
        <w:t>udebních dojmů, jež v čes</w:t>
      </w:r>
      <w:r>
        <w:softHyphen/>
        <w:t>ké literatuře po prvé vyslovila slovem moc a kouzlo hudby. Ce</w:t>
      </w:r>
      <w:r>
        <w:softHyphen/>
        <w:t>na brož. svazku Je 34 K.</w:t>
      </w:r>
    </w:p>
    <w:p w:rsidR="00500724" w:rsidRDefault="00F30FB8">
      <w:pPr>
        <w:pStyle w:val="Zkladntext90"/>
        <w:shd w:val="clear" w:color="auto" w:fill="auto"/>
        <w:spacing w:line="204" w:lineRule="auto"/>
        <w:ind w:firstLine="0"/>
      </w:pPr>
      <w:r>
        <w:t>zadívala na jeho ztrhaný obličej. Nemohla déle snášeti to mlčeni a zeptala se: *Co se to děje. Macku?!</w:t>
      </w:r>
    </w:p>
    <w:p w:rsidR="00500724" w:rsidRDefault="00F30FB8">
      <w:pPr>
        <w:pStyle w:val="Zkladntext90"/>
        <w:shd w:val="clear" w:color="auto" w:fill="auto"/>
        <w:spacing w:line="199" w:lineRule="auto"/>
        <w:ind w:firstLine="200"/>
      </w:pPr>
      <w:r>
        <w:t>sMyslil jsem, že jsi o tom již četla.!</w:t>
      </w:r>
    </w:p>
    <w:p w:rsidR="00500724" w:rsidRDefault="00F30FB8">
      <w:pPr>
        <w:pStyle w:val="Zkladntext90"/>
        <w:shd w:val="clear" w:color="auto" w:fill="auto"/>
        <w:spacing w:line="199" w:lineRule="auto"/>
        <w:ind w:firstLine="200"/>
      </w:pPr>
      <w:r>
        <w:t>»</w:t>
      </w:r>
      <w:r>
        <w:t>Ne. nečetla jsem vůbec nic. Co je?!</w:t>
      </w:r>
    </w:p>
    <w:p w:rsidR="00500724" w:rsidRDefault="00F30FB8">
      <w:pPr>
        <w:pStyle w:val="Zkladntext90"/>
        <w:shd w:val="clear" w:color="auto" w:fill="auto"/>
        <w:spacing w:line="204" w:lineRule="auto"/>
        <w:ind w:firstLine="200"/>
      </w:pPr>
      <w:r>
        <w:t>Sevřel rty a pak řekl tiše: »Muriel byla zabita nákladním autem, předevčírem večer.!</w:t>
      </w:r>
    </w:p>
    <w:p w:rsidR="00500724" w:rsidRDefault="00F30FB8">
      <w:pPr>
        <w:pStyle w:val="Zkladntext90"/>
        <w:shd w:val="clear" w:color="auto" w:fill="auto"/>
        <w:spacing w:line="211" w:lineRule="auto"/>
        <w:ind w:firstLine="200"/>
      </w:pPr>
      <w:r>
        <w:t>»Ó můj Bože!! vykřikla Terrv. »Ó můj Bože!! Slzy ji vyhrkly a rukou si zakryla ústa.</w:t>
      </w:r>
    </w:p>
    <w:p w:rsidR="00500724" w:rsidRDefault="00F30FB8">
      <w:pPr>
        <w:pStyle w:val="Zkladntext90"/>
        <w:shd w:val="clear" w:color="auto" w:fill="auto"/>
        <w:spacing w:line="204" w:lineRule="auto"/>
        <w:ind w:firstLine="200"/>
      </w:pPr>
      <w:r>
        <w:t xml:space="preserve">aPohřeb je ve dvě hodiny,! řekl </w:t>
      </w:r>
      <w:r>
        <w:rPr>
          <w:lang w:val="en-US" w:eastAsia="en-US" w:bidi="en-US"/>
        </w:rPr>
        <w:t xml:space="preserve">Mack </w:t>
      </w:r>
      <w:r>
        <w:t xml:space="preserve">skleslým </w:t>
      </w:r>
      <w:r>
        <w:t>hlasem.</w:t>
      </w:r>
    </w:p>
    <w:p w:rsidR="00500724" w:rsidRDefault="00F30FB8">
      <w:pPr>
        <w:pStyle w:val="Zkladntext90"/>
        <w:shd w:val="clear" w:color="auto" w:fill="auto"/>
        <w:spacing w:line="204" w:lineRule="auto"/>
        <w:ind w:firstLine="200"/>
      </w:pPr>
      <w:r>
        <w:t>»Oh, to neni pravda! Nemohu tomu věřit!!</w:t>
      </w:r>
    </w:p>
    <w:p w:rsidR="00500724" w:rsidRDefault="00F30FB8">
      <w:pPr>
        <w:pStyle w:val="Zkladntext90"/>
        <w:shd w:val="clear" w:color="auto" w:fill="auto"/>
        <w:spacing w:line="204" w:lineRule="auto"/>
        <w:ind w:firstLine="200"/>
      </w:pPr>
      <w:r>
        <w:t>»Ano, je to pravda,« řekl. sílej mi něco pit, buď tak hodná.!</w:t>
      </w:r>
    </w:p>
    <w:p w:rsidR="00500724" w:rsidRDefault="00F30FB8">
      <w:pPr>
        <w:pStyle w:val="Zkladntext90"/>
        <w:shd w:val="clear" w:color="auto" w:fill="auto"/>
        <w:spacing w:line="204" w:lineRule="auto"/>
        <w:ind w:firstLine="200"/>
      </w:pPr>
      <w:r>
        <w:t>Odběhla do kuchyně a přinesla mu brandy. Zapálil si cigaretu, usrkl likéru a pak jí vypravoval, aniž by při tom na ni pohlédl, co se stalo.</w:t>
      </w:r>
    </w:p>
    <w:p w:rsidR="00500724" w:rsidRDefault="00F30FB8">
      <w:pPr>
        <w:pStyle w:val="Zkladntext90"/>
        <w:shd w:val="clear" w:color="auto" w:fill="auto"/>
        <w:spacing w:line="204" w:lineRule="auto"/>
        <w:ind w:firstLine="200"/>
      </w:pPr>
      <w:r>
        <w:rPr>
          <w:lang w:val="en-US" w:eastAsia="en-US" w:bidi="en-US"/>
        </w:rPr>
        <w:t>Murie</w:t>
      </w:r>
      <w:r>
        <w:rPr>
          <w:lang w:val="en-US" w:eastAsia="en-US" w:bidi="en-US"/>
        </w:rPr>
        <w:t xml:space="preserve">l </w:t>
      </w:r>
      <w:r>
        <w:t xml:space="preserve">odešla z pracovny Elle- ryho </w:t>
      </w:r>
      <w:r>
        <w:rPr>
          <w:lang w:val="en-US" w:eastAsia="en-US" w:bidi="en-US"/>
        </w:rPr>
        <w:t xml:space="preserve">Olivera </w:t>
      </w:r>
      <w:r>
        <w:t>a když chtěla pře</w:t>
      </w:r>
      <w:r>
        <w:softHyphen/>
        <w:t>jiti přes Třeti Avenue, vběhla do</w:t>
      </w:r>
    </w:p>
    <w:p w:rsidR="00500724" w:rsidRDefault="00F30FB8">
      <w:pPr>
        <w:spacing w:line="1" w:lineRule="exact"/>
        <w:rPr>
          <w:sz w:val="2"/>
          <w:szCs w:val="2"/>
        </w:rPr>
      </w:pPr>
      <w:r>
        <w:br w:type="column"/>
      </w:r>
    </w:p>
    <w:p w:rsidR="00500724" w:rsidRDefault="00F30FB8">
      <w:pPr>
        <w:pStyle w:val="Zkladntext30"/>
        <w:shd w:val="clear" w:color="auto" w:fill="auto"/>
        <w:spacing w:after="60" w:line="240" w:lineRule="auto"/>
        <w:ind w:firstLine="0"/>
        <w:rPr>
          <w:sz w:val="20"/>
          <w:szCs w:val="20"/>
        </w:rPr>
      </w:pPr>
      <w:r>
        <w:rPr>
          <w:b/>
          <w:bCs/>
          <w:i/>
          <w:iCs/>
          <w:sz w:val="20"/>
          <w:szCs w:val="20"/>
        </w:rPr>
        <w:t>Charles Morgan:</w:t>
      </w:r>
    </w:p>
    <w:p w:rsidR="00500724" w:rsidRDefault="00F30FB8">
      <w:pPr>
        <w:pStyle w:val="Zkladntext30"/>
        <w:shd w:val="clear" w:color="auto" w:fill="auto"/>
        <w:spacing w:after="60" w:line="240" w:lineRule="auto"/>
        <w:ind w:firstLine="0"/>
        <w:rPr>
          <w:sz w:val="24"/>
          <w:szCs w:val="24"/>
        </w:rPr>
      </w:pPr>
      <w:r>
        <w:rPr>
          <w:b/>
          <w:bCs/>
          <w:sz w:val="24"/>
          <w:szCs w:val="24"/>
        </w:rPr>
        <w:t>OBRANA ROMÁNU</w:t>
      </w:r>
    </w:p>
    <w:p w:rsidR="00500724" w:rsidRDefault="00F30FB8">
      <w:pPr>
        <w:pStyle w:val="Zkladntext30"/>
        <w:shd w:val="clear" w:color="auto" w:fill="auto"/>
        <w:spacing w:after="0" w:line="240" w:lineRule="auto"/>
        <w:ind w:firstLine="200"/>
        <w:rPr>
          <w:sz w:val="20"/>
          <w:szCs w:val="20"/>
        </w:rPr>
      </w:pPr>
      <w:r>
        <w:rPr>
          <w:b/>
          <w:bCs/>
          <w:i/>
          <w:iCs/>
          <w:sz w:val="20"/>
          <w:szCs w:val="20"/>
        </w:rPr>
        <w:t>Když píši tak, že čtenář cítí, že je v místnosti, kterou popisuji, když slyší slova, jež jsem napsal na papír, vy</w:t>
      </w:r>
      <w:r>
        <w:rPr>
          <w:b/>
          <w:bCs/>
          <w:i/>
          <w:iCs/>
          <w:sz w:val="20"/>
          <w:szCs w:val="20"/>
        </w:rPr>
        <w:softHyphen/>
        <w:t xml:space="preserve">tvořil jsem jenom </w:t>
      </w:r>
      <w:r>
        <w:rPr>
          <w:b/>
          <w:bCs/>
          <w:i/>
          <w:iCs/>
          <w:sz w:val="20"/>
          <w:szCs w:val="20"/>
        </w:rPr>
        <w:t>dokonalou ilusi. Ale když se mi podaří při vyprávění milostného pří</w:t>
      </w:r>
      <w:r>
        <w:rPr>
          <w:b/>
          <w:bCs/>
          <w:i/>
          <w:iCs/>
          <w:sz w:val="20"/>
          <w:szCs w:val="20"/>
        </w:rPr>
        <w:softHyphen/>
        <w:t>běhu uvolnit čtenářovu obraz</w:t>
      </w:r>
      <w:r>
        <w:rPr>
          <w:b/>
          <w:bCs/>
          <w:i/>
          <w:iCs/>
          <w:sz w:val="20"/>
          <w:szCs w:val="20"/>
        </w:rPr>
        <w:softHyphen/>
        <w:t>nost tak, že po přečteni mé knihy vniká do smyslu látky intensivněji než předtím, když se mi na chvíli podaří způ</w:t>
      </w:r>
      <w:r>
        <w:rPr>
          <w:b/>
          <w:bCs/>
          <w:i/>
          <w:iCs/>
          <w:sz w:val="20"/>
          <w:szCs w:val="20"/>
        </w:rPr>
        <w:softHyphen/>
        <w:t>sobit, že jeho duch se odpou</w:t>
      </w:r>
      <w:r>
        <w:rPr>
          <w:b/>
          <w:bCs/>
          <w:i/>
          <w:iCs/>
          <w:sz w:val="20"/>
          <w:szCs w:val="20"/>
        </w:rPr>
        <w:softHyphen/>
        <w:t>tá od mých strán</w:t>
      </w:r>
      <w:r>
        <w:rPr>
          <w:b/>
          <w:bCs/>
          <w:i/>
          <w:iCs/>
          <w:sz w:val="20"/>
          <w:szCs w:val="20"/>
        </w:rPr>
        <w:t>ek a žije na takové rovině skutečnosti, kterou do té doby znal jenom nejasně, to potom jsem veliký umělec.</w:t>
      </w:r>
    </w:p>
    <w:p w:rsidR="00500724" w:rsidRDefault="00F30FB8">
      <w:pPr>
        <w:pStyle w:val="Zkladntext30"/>
        <w:shd w:val="clear" w:color="auto" w:fill="auto"/>
        <w:spacing w:after="0" w:line="240" w:lineRule="auto"/>
        <w:ind w:firstLine="200"/>
        <w:jc w:val="left"/>
        <w:rPr>
          <w:sz w:val="20"/>
          <w:szCs w:val="20"/>
        </w:rPr>
      </w:pPr>
      <w:r>
        <w:rPr>
          <w:b/>
          <w:bCs/>
          <w:i/>
          <w:iCs/>
          <w:sz w:val="20"/>
          <w:szCs w:val="20"/>
        </w:rPr>
        <w:t>Čili: román nerozptyluje, ani nepoučuje, ani nevzdělává, ačkoli by to všechno mohl dě</w:t>
      </w:r>
      <w:r>
        <w:rPr>
          <w:b/>
          <w:bCs/>
          <w:i/>
          <w:iCs/>
          <w:sz w:val="20"/>
          <w:szCs w:val="20"/>
        </w:rPr>
        <w:softHyphen/>
        <w:t>lat, nýbrž oživuje ve čtenáři vnímání skutečnosti tim, že ho in</w:t>
      </w:r>
      <w:r>
        <w:rPr>
          <w:b/>
          <w:bCs/>
          <w:i/>
          <w:iCs/>
          <w:sz w:val="20"/>
          <w:szCs w:val="20"/>
        </w:rPr>
        <w:t>tuitivně seznamuje s při</w:t>
      </w:r>
      <w:r>
        <w:rPr>
          <w:b/>
          <w:bCs/>
          <w:i/>
          <w:iCs/>
          <w:sz w:val="20"/>
          <w:szCs w:val="20"/>
        </w:rPr>
        <w:softHyphen/>
        <w:t>rozeností věcí.</w:t>
      </w:r>
    </w:p>
    <w:p w:rsidR="00500724" w:rsidRDefault="00F30FB8">
      <w:pPr>
        <w:pStyle w:val="Zkladntext30"/>
        <w:shd w:val="clear" w:color="auto" w:fill="auto"/>
        <w:spacing w:after="200" w:line="240" w:lineRule="auto"/>
        <w:ind w:firstLine="200"/>
        <w:rPr>
          <w:sz w:val="20"/>
          <w:szCs w:val="20"/>
        </w:rPr>
      </w:pPr>
      <w:r>
        <w:rPr>
          <w:b/>
          <w:bCs/>
          <w:i/>
          <w:iCs/>
          <w:sz w:val="20"/>
          <w:szCs w:val="20"/>
        </w:rPr>
        <w:t>Krása je podle mého názo</w:t>
      </w:r>
      <w:r>
        <w:rPr>
          <w:b/>
          <w:bCs/>
          <w:i/>
          <w:iCs/>
          <w:sz w:val="20"/>
          <w:szCs w:val="20"/>
        </w:rPr>
        <w:softHyphen/>
        <w:t>ru absolutní a universální. Umění nevytváří krásu, umě</w:t>
      </w:r>
      <w:r>
        <w:rPr>
          <w:b/>
          <w:bCs/>
          <w:i/>
          <w:iCs/>
          <w:sz w:val="20"/>
          <w:szCs w:val="20"/>
        </w:rPr>
        <w:softHyphen/>
        <w:t>ní krásu jenom odhaluje tím, že tvoří sochy, romány, obra</w:t>
      </w:r>
      <w:r>
        <w:rPr>
          <w:b/>
          <w:bCs/>
          <w:i/>
          <w:iCs/>
          <w:sz w:val="20"/>
          <w:szCs w:val="20"/>
        </w:rPr>
        <w:softHyphen/>
        <w:t>zy, které jako závoj pozdvihu</w:t>
      </w:r>
      <w:r>
        <w:rPr>
          <w:b/>
          <w:bCs/>
          <w:i/>
          <w:iCs/>
          <w:sz w:val="20"/>
          <w:szCs w:val="20"/>
        </w:rPr>
        <w:softHyphen/>
        <w:t>jí temnoty před sklem, kte</w:t>
      </w:r>
      <w:r>
        <w:rPr>
          <w:b/>
          <w:bCs/>
          <w:i/>
          <w:iCs/>
          <w:sz w:val="20"/>
          <w:szCs w:val="20"/>
        </w:rPr>
        <w:softHyphen/>
        <w:t>rým člověk vidí.</w:t>
      </w:r>
    </w:p>
    <w:p w:rsidR="00500724" w:rsidRDefault="00F30FB8">
      <w:pPr>
        <w:pStyle w:val="Zkladntext90"/>
        <w:shd w:val="clear" w:color="auto" w:fill="auto"/>
        <w:ind w:firstLine="0"/>
      </w:pPr>
      <w:r>
        <w:t>ces</w:t>
      </w:r>
      <w:r>
        <w:t xml:space="preserve">ty přijíždějícímu nákladnímu automobilu. Řidič neměl již čas zabrzdit </w:t>
      </w:r>
      <w:r>
        <w:rPr>
          <w:lang w:val="en-US" w:eastAsia="en-US" w:bidi="en-US"/>
        </w:rPr>
        <w:t xml:space="preserve">a Muriel </w:t>
      </w:r>
      <w:r>
        <w:t>byla nárazem odhozena stranou a vržena proti železnému pilíři zvýšené dráhy. V nemocnici shledali, že má roz</w:t>
      </w:r>
      <w:r>
        <w:softHyphen/>
        <w:t>bitou lebečni kost a vedle toho utrpěla vážná vnitřní zranění. Naryc</w:t>
      </w:r>
      <w:r>
        <w:t>hlo jl operovali, ačkoliv lé</w:t>
      </w:r>
      <w:r>
        <w:softHyphen/>
        <w:t>kaři neměli téměř naděje na zá</w:t>
      </w:r>
      <w:r>
        <w:softHyphen/>
        <w:t>chranu. Umřela k ránu, nenabyv</w:t>
      </w:r>
      <w:r>
        <w:softHyphen/>
        <w:t>ši již vědomí. Její totožnost byla zjištěna pouze podle členské le</w:t>
      </w:r>
      <w:r>
        <w:softHyphen/>
        <w:t xml:space="preserve">gitimace sdružení Volné Tribuny při kostele Elleryho </w:t>
      </w:r>
      <w:r>
        <w:rPr>
          <w:lang w:val="en-US" w:eastAsia="en-US" w:bidi="en-US"/>
        </w:rPr>
        <w:t xml:space="preserve">Olivera, </w:t>
      </w:r>
      <w:r>
        <w:t>kte</w:t>
      </w:r>
      <w:r>
        <w:softHyphen/>
        <w:t>rou našli v jeji kabelce. Polici</w:t>
      </w:r>
      <w:r>
        <w:t>e zatelefonovala v noci Ellerymu, jenž se rychle oblékl a spěchal do márnice, kde zjistil totožnost zohavené mrtvoly.</w:t>
      </w:r>
    </w:p>
    <w:p w:rsidR="00500724" w:rsidRDefault="00F30FB8">
      <w:pPr>
        <w:pStyle w:val="Zkladntext90"/>
        <w:shd w:val="clear" w:color="auto" w:fill="auto"/>
        <w:ind w:firstLine="0"/>
        <w:jc w:val="right"/>
      </w:pPr>
      <w:r>
        <w:t>Od Klubu filmových herců do</w:t>
      </w:r>
      <w:r>
        <w:softHyphen/>
        <w:t xml:space="preserve">stal adresu Mackovu, jemuž ihned zatelefonoval </w:t>
      </w:r>
      <w:r>
        <w:rPr>
          <w:lang w:val="en-US" w:eastAsia="en-US" w:bidi="en-US"/>
        </w:rPr>
        <w:t xml:space="preserve">do Beverly Hills </w:t>
      </w:r>
      <w:r>
        <w:t xml:space="preserve">v Kalifornii. </w:t>
      </w:r>
      <w:r>
        <w:rPr>
          <w:lang w:val="en-US" w:eastAsia="en-US" w:bidi="en-US"/>
        </w:rPr>
        <w:t xml:space="preserve">Mack </w:t>
      </w:r>
      <w:r>
        <w:t xml:space="preserve">ho požádal, aby vykonal </w:t>
      </w:r>
      <w:r>
        <w:t>nutné přípravy k pohřbu a prvním letadlem odletěl do No</w:t>
      </w:r>
      <w:r>
        <w:softHyphen/>
        <w:t>vého Yorku. Řidič nákladního auta byl zatčen, ale všichni svěd</w:t>
      </w:r>
      <w:r>
        <w:softHyphen/>
        <w:t>kové neštěstí mu dosvědčili, že</w:t>
      </w:r>
      <w:r>
        <w:br w:type="page"/>
      </w:r>
    </w:p>
    <w:p w:rsidR="00500724" w:rsidRDefault="00F30FB8">
      <w:pPr>
        <w:pStyle w:val="Zkladntext40"/>
        <w:shd w:val="clear" w:color="auto" w:fill="auto"/>
        <w:spacing w:after="200" w:line="187" w:lineRule="auto"/>
        <w:ind w:firstLine="140"/>
      </w:pPr>
      <w:r>
        <w:rPr>
          <w:rFonts w:ascii="Georgia" w:eastAsia="Georgia" w:hAnsi="Georgia" w:cs="Georgia"/>
          <w:b/>
          <w:bCs/>
          <w:sz w:val="13"/>
          <w:szCs w:val="13"/>
        </w:rPr>
        <w:t xml:space="preserve">ORGANISACE ŠKOLSTVÍ A CÍL VÝCHOVY V NĚMECKU. </w:t>
      </w:r>
      <w:r>
        <w:t>Výchov</w:t>
      </w:r>
      <w:r>
        <w:softHyphen/>
        <w:t>ný systém, jak jej devatenácté a začátek dvacátého s</w:t>
      </w:r>
      <w:r>
        <w:t>toletí vybu</w:t>
      </w:r>
      <w:r>
        <w:softHyphen/>
        <w:t>dovaly, stává se důležitou sou</w:t>
      </w:r>
      <w:r>
        <w:softHyphen/>
        <w:t>částí kulturního bytí každého národa a má podstatný vliv na vytváření jeho duchovních, poli</w:t>
      </w:r>
      <w:r>
        <w:softHyphen/>
        <w:t>tických a hospodářských hodnot. Je pochopitelné, že národní socia</w:t>
      </w:r>
      <w:r>
        <w:softHyphen/>
        <w:t>lismus po přebrání politické moci v Německu si zajistil</w:t>
      </w:r>
      <w:r>
        <w:t xml:space="preserve"> rozhodující vliv na výchovu a všechny její složky přizpůsobil svým cílům a své ideologii. Vydáváme studii, jejíž autor doc. dr. Tomáš Krejčí na základě nejnovějších nařízení ukazuje, jak výchova v Německu byla postavena na podklad tota</w:t>
      </w:r>
      <w:r>
        <w:softHyphen/>
      </w:r>
    </w:p>
    <w:p w:rsidR="00500724" w:rsidRDefault="00F30FB8">
      <w:pPr>
        <w:pStyle w:val="Zkladntext40"/>
        <w:shd w:val="clear" w:color="auto" w:fill="auto"/>
        <w:spacing w:after="0" w:line="163" w:lineRule="auto"/>
        <w:rPr>
          <w:sz w:val="16"/>
          <w:szCs w:val="16"/>
        </w:rPr>
      </w:pPr>
      <w:r>
        <w:rPr>
          <w:b/>
          <w:bCs/>
          <w:sz w:val="16"/>
          <w:szCs w:val="16"/>
        </w:rPr>
        <w:t>je bez viny, a pro</w:t>
      </w:r>
      <w:r>
        <w:rPr>
          <w:b/>
          <w:bCs/>
          <w:sz w:val="16"/>
          <w:szCs w:val="16"/>
        </w:rPr>
        <w:t>to byl zase pro- ] puštěn na svobodu.</w:t>
      </w:r>
    </w:p>
    <w:p w:rsidR="00500724" w:rsidRDefault="00F30FB8">
      <w:pPr>
        <w:pStyle w:val="Zkladntext40"/>
        <w:shd w:val="clear" w:color="auto" w:fill="auto"/>
        <w:spacing w:after="0" w:line="163" w:lineRule="auto"/>
        <w:ind w:firstLine="200"/>
        <w:rPr>
          <w:sz w:val="16"/>
          <w:szCs w:val="16"/>
        </w:rPr>
      </w:pPr>
      <w:r>
        <w:rPr>
          <w:b/>
          <w:bCs/>
          <w:sz w:val="16"/>
          <w:szCs w:val="16"/>
        </w:rPr>
        <w:t xml:space="preserve">Když </w:t>
      </w:r>
      <w:r>
        <w:rPr>
          <w:b/>
          <w:bCs/>
          <w:sz w:val="16"/>
          <w:szCs w:val="16"/>
          <w:lang w:val="en-US" w:eastAsia="en-US" w:bidi="en-US"/>
        </w:rPr>
        <w:t xml:space="preserve">Mack </w:t>
      </w:r>
      <w:r>
        <w:rPr>
          <w:b/>
          <w:bCs/>
          <w:sz w:val="16"/>
          <w:szCs w:val="16"/>
        </w:rPr>
        <w:t>skončil své vypra</w:t>
      </w:r>
      <w:r>
        <w:rPr>
          <w:b/>
          <w:bCs/>
          <w:sz w:val="16"/>
          <w:szCs w:val="16"/>
        </w:rPr>
        <w:softHyphen/>
        <w:t xml:space="preserve">vování, oba chvíli mlčeli. </w:t>
      </w:r>
      <w:r>
        <w:rPr>
          <w:b/>
          <w:bCs/>
          <w:sz w:val="16"/>
          <w:szCs w:val="16"/>
          <w:lang w:val="en-US" w:eastAsia="en-US" w:bidi="en-US"/>
        </w:rPr>
        <w:t xml:space="preserve">Terry </w:t>
      </w:r>
      <w:r>
        <w:rPr>
          <w:b/>
          <w:bCs/>
          <w:sz w:val="16"/>
          <w:szCs w:val="16"/>
        </w:rPr>
        <w:t xml:space="preserve">nedovedla nalézti jediné slovo, které by </w:t>
      </w:r>
      <w:r>
        <w:rPr>
          <w:b/>
          <w:bCs/>
          <w:sz w:val="14"/>
          <w:szCs w:val="14"/>
        </w:rPr>
        <w:t xml:space="preserve">v </w:t>
      </w:r>
      <w:r>
        <w:rPr>
          <w:b/>
          <w:bCs/>
          <w:sz w:val="16"/>
          <w:szCs w:val="16"/>
        </w:rPr>
        <w:t>této situaci neznělo banálně. Po chvíli teprve přistou</w:t>
      </w:r>
      <w:r>
        <w:rPr>
          <w:b/>
          <w:bCs/>
          <w:sz w:val="16"/>
          <w:szCs w:val="16"/>
        </w:rPr>
        <w:softHyphen/>
        <w:t>pila k němu a vzala ho za ruku. &gt;Mohu jít s tebou na pohřeb</w:t>
      </w:r>
      <w:r>
        <w:rPr>
          <w:b/>
          <w:bCs/>
          <w:sz w:val="16"/>
          <w:szCs w:val="16"/>
        </w:rPr>
        <w:t xml:space="preserve"> ?« zeptala se plaše.</w:t>
      </w:r>
    </w:p>
    <w:p w:rsidR="00500724" w:rsidRDefault="00F30FB8">
      <w:pPr>
        <w:pStyle w:val="Zkladntext40"/>
        <w:shd w:val="clear" w:color="auto" w:fill="auto"/>
        <w:spacing w:after="0" w:line="163" w:lineRule="auto"/>
        <w:ind w:firstLine="200"/>
        <w:rPr>
          <w:sz w:val="16"/>
          <w:szCs w:val="16"/>
        </w:rPr>
      </w:pPr>
      <w:r>
        <w:rPr>
          <w:b/>
          <w:bCs/>
          <w:sz w:val="16"/>
          <w:szCs w:val="16"/>
        </w:rPr>
        <w:t>»Chceš-li jiti, pojď,* řekl ne</w:t>
      </w:r>
      <w:r>
        <w:rPr>
          <w:b/>
          <w:bCs/>
          <w:sz w:val="16"/>
          <w:szCs w:val="16"/>
        </w:rPr>
        <w:softHyphen/>
        <w:t>tečně. »Ale proč bys měla proží</w:t>
      </w:r>
      <w:r>
        <w:rPr>
          <w:b/>
          <w:bCs/>
          <w:sz w:val="16"/>
          <w:szCs w:val="16"/>
        </w:rPr>
        <w:softHyphen/>
        <w:t>vat se mnou všechny ty bolestné chvíle? To jí nepomůže.*</w:t>
      </w:r>
    </w:p>
    <w:p w:rsidR="00500724" w:rsidRDefault="00F30FB8">
      <w:pPr>
        <w:pStyle w:val="Zkladntext40"/>
        <w:shd w:val="clear" w:color="auto" w:fill="auto"/>
        <w:spacing w:after="0" w:line="163" w:lineRule="auto"/>
        <w:ind w:firstLine="200"/>
        <w:rPr>
          <w:sz w:val="16"/>
          <w:szCs w:val="16"/>
        </w:rPr>
      </w:pPr>
      <w:r>
        <w:rPr>
          <w:b/>
          <w:bCs/>
          <w:sz w:val="16"/>
          <w:szCs w:val="16"/>
        </w:rPr>
        <w:t>»Chci jiti. Nemáš-ii nic proti tomu.*</w:t>
      </w:r>
    </w:p>
    <w:p w:rsidR="00500724" w:rsidRDefault="00F30FB8">
      <w:pPr>
        <w:pStyle w:val="Zkladntext40"/>
        <w:shd w:val="clear" w:color="auto" w:fill="auto"/>
        <w:spacing w:after="0" w:line="163" w:lineRule="auto"/>
        <w:ind w:firstLine="200"/>
        <w:rPr>
          <w:sz w:val="16"/>
          <w:szCs w:val="16"/>
        </w:rPr>
      </w:pPr>
      <w:r>
        <w:rPr>
          <w:b/>
          <w:bCs/>
          <w:sz w:val="16"/>
          <w:szCs w:val="16"/>
        </w:rPr>
        <w:t>»Ne. Pojď se mnou, chceš-li,* řekl, a stiskl jí ruku.</w:t>
      </w:r>
    </w:p>
    <w:p w:rsidR="00500724" w:rsidRDefault="00F30FB8">
      <w:pPr>
        <w:pStyle w:val="Zkladntext40"/>
        <w:shd w:val="clear" w:color="auto" w:fill="auto"/>
        <w:spacing w:after="0" w:line="166" w:lineRule="auto"/>
        <w:ind w:firstLine="200"/>
        <w:rPr>
          <w:sz w:val="16"/>
          <w:szCs w:val="16"/>
        </w:rPr>
      </w:pPr>
      <w:r>
        <w:rPr>
          <w:b/>
          <w:bCs/>
          <w:sz w:val="16"/>
          <w:szCs w:val="16"/>
        </w:rPr>
        <w:t>Vyklouzla z pokoje, ma</w:t>
      </w:r>
      <w:r>
        <w:rPr>
          <w:b/>
          <w:bCs/>
          <w:sz w:val="16"/>
          <w:szCs w:val="16"/>
        </w:rPr>
        <w:t>jíc po</w:t>
      </w:r>
      <w:r>
        <w:rPr>
          <w:b/>
          <w:bCs/>
          <w:sz w:val="16"/>
          <w:szCs w:val="16"/>
        </w:rPr>
        <w:softHyphen/>
        <w:t>cit, že by ho měla nechat chvíli o. samotě. Trvalo jí to dlouho, než se převlékla do černého a za</w:t>
      </w:r>
      <w:r>
        <w:rPr>
          <w:b/>
          <w:bCs/>
          <w:sz w:val="16"/>
          <w:szCs w:val="16"/>
        </w:rPr>
        <w:softHyphen/>
        <w:t>hladila stopy slz. Když se vrá</w:t>
      </w:r>
      <w:r>
        <w:rPr>
          <w:b/>
          <w:bCs/>
          <w:sz w:val="16"/>
          <w:szCs w:val="16"/>
        </w:rPr>
        <w:softHyphen/>
        <w:t xml:space="preserve">tila, seděl </w:t>
      </w:r>
      <w:r>
        <w:rPr>
          <w:b/>
          <w:bCs/>
          <w:sz w:val="16"/>
          <w:szCs w:val="16"/>
          <w:lang w:val="en-US" w:eastAsia="en-US" w:bidi="en-US"/>
        </w:rPr>
        <w:t xml:space="preserve">Mack </w:t>
      </w:r>
      <w:r>
        <w:rPr>
          <w:b/>
          <w:bCs/>
          <w:sz w:val="16"/>
          <w:szCs w:val="16"/>
        </w:rPr>
        <w:t>v lenošce v téže posici, jako když ho opustila, schoulený do lenošky, s očima upřenýma do prázdna. Mlčk</w:t>
      </w:r>
      <w:r>
        <w:rPr>
          <w:b/>
          <w:bCs/>
          <w:sz w:val="16"/>
          <w:szCs w:val="16"/>
        </w:rPr>
        <w:t>y po</w:t>
      </w:r>
      <w:r>
        <w:rPr>
          <w:b/>
          <w:bCs/>
          <w:sz w:val="16"/>
          <w:szCs w:val="16"/>
        </w:rPr>
        <w:softHyphen/>
        <w:t>vstal. potom sešli dolů a vsedli do autodrožky.</w:t>
      </w:r>
    </w:p>
    <w:p w:rsidR="00500724" w:rsidRDefault="00F30FB8">
      <w:pPr>
        <w:pStyle w:val="Zkladntext40"/>
        <w:shd w:val="clear" w:color="auto" w:fill="auto"/>
        <w:spacing w:after="0" w:line="166" w:lineRule="auto"/>
        <w:ind w:firstLine="200"/>
        <w:rPr>
          <w:sz w:val="16"/>
          <w:szCs w:val="16"/>
        </w:rPr>
      </w:pPr>
      <w:r>
        <w:rPr>
          <w:b/>
          <w:bCs/>
          <w:sz w:val="16"/>
          <w:szCs w:val="16"/>
        </w:rPr>
        <w:t xml:space="preserve">Krátce před druhou hodinou dojeli ke hřbitovní kapli. Mezí přítomnými, jichž bylo čtyřicet až padesát, nezahlédla </w:t>
      </w:r>
      <w:r>
        <w:rPr>
          <w:b/>
          <w:bCs/>
          <w:sz w:val="16"/>
          <w:szCs w:val="16"/>
          <w:lang w:val="en-US" w:eastAsia="en-US" w:bidi="en-US"/>
        </w:rPr>
        <w:t xml:space="preserve">Terry </w:t>
      </w:r>
      <w:r>
        <w:rPr>
          <w:b/>
          <w:bCs/>
          <w:sz w:val="16"/>
          <w:szCs w:val="16"/>
        </w:rPr>
        <w:t>je</w:t>
      </w:r>
      <w:r>
        <w:rPr>
          <w:b/>
          <w:bCs/>
          <w:sz w:val="16"/>
          <w:szCs w:val="16"/>
        </w:rPr>
        <w:softHyphen/>
        <w:t>diné známé tváře. Byli to skoro vesměs členové Elleryho kongre</w:t>
      </w:r>
      <w:r>
        <w:rPr>
          <w:b/>
          <w:bCs/>
          <w:sz w:val="16"/>
          <w:szCs w:val="16"/>
        </w:rPr>
        <w:softHyphen/>
        <w:t xml:space="preserve">gace a Murieliny </w:t>
      </w:r>
      <w:r>
        <w:rPr>
          <w:b/>
          <w:bCs/>
          <w:sz w:val="16"/>
          <w:szCs w:val="16"/>
        </w:rPr>
        <w:t>kolegyně ze školy. Nějaký muž v černých ša</w:t>
      </w:r>
      <w:r>
        <w:rPr>
          <w:b/>
          <w:bCs/>
          <w:sz w:val="16"/>
          <w:szCs w:val="16"/>
        </w:rPr>
        <w:softHyphen/>
        <w:t>tech a s černou kravatou přistou</w:t>
      </w:r>
      <w:r>
        <w:rPr>
          <w:b/>
          <w:bCs/>
          <w:sz w:val="16"/>
          <w:szCs w:val="16"/>
        </w:rPr>
        <w:softHyphen/>
        <w:t>pil k Mackovi s otázkou, zda by si přál ještě jednou se podívat na zesnulou, než bude rakev za</w:t>
      </w:r>
      <w:r>
        <w:rPr>
          <w:b/>
          <w:bCs/>
          <w:sz w:val="16"/>
          <w:szCs w:val="16"/>
        </w:rPr>
        <w:softHyphen/>
        <w:t xml:space="preserve">vřena. </w:t>
      </w:r>
      <w:r>
        <w:rPr>
          <w:b/>
          <w:bCs/>
          <w:sz w:val="16"/>
          <w:szCs w:val="16"/>
          <w:lang w:val="en-US" w:eastAsia="en-US" w:bidi="en-US"/>
        </w:rPr>
        <w:t xml:space="preserve">Mack </w:t>
      </w:r>
      <w:r>
        <w:rPr>
          <w:b/>
          <w:bCs/>
          <w:sz w:val="16"/>
          <w:szCs w:val="16"/>
        </w:rPr>
        <w:t xml:space="preserve">šel za ním jako stroj. </w:t>
      </w:r>
      <w:r>
        <w:rPr>
          <w:b/>
          <w:bCs/>
          <w:sz w:val="16"/>
          <w:szCs w:val="16"/>
          <w:lang w:val="en-US" w:eastAsia="en-US" w:bidi="en-US"/>
        </w:rPr>
        <w:t xml:space="preserve">Terry </w:t>
      </w:r>
      <w:r>
        <w:rPr>
          <w:b/>
          <w:bCs/>
          <w:sz w:val="16"/>
          <w:szCs w:val="16"/>
        </w:rPr>
        <w:t>se lekala této zkoušky, ale nezbylo jí nic j</w:t>
      </w:r>
      <w:r>
        <w:rPr>
          <w:b/>
          <w:bCs/>
          <w:sz w:val="16"/>
          <w:szCs w:val="16"/>
        </w:rPr>
        <w:t>iného než jít s Mackem. Stanula s ním před čer</w:t>
      </w:r>
      <w:r>
        <w:rPr>
          <w:b/>
          <w:bCs/>
          <w:sz w:val="16"/>
          <w:szCs w:val="16"/>
        </w:rPr>
        <w:softHyphen/>
        <w:t xml:space="preserve">nou rakví, pokrytou květinami. Oči mrtvé dívky byly zavřeny a její rysy vyzařovaly klid, ale </w:t>
      </w:r>
      <w:r>
        <w:rPr>
          <w:b/>
          <w:bCs/>
          <w:sz w:val="16"/>
          <w:szCs w:val="16"/>
          <w:lang w:val="en-US" w:eastAsia="en-US" w:bidi="en-US"/>
        </w:rPr>
        <w:t xml:space="preserve">Terry </w:t>
      </w:r>
      <w:r>
        <w:rPr>
          <w:b/>
          <w:bCs/>
          <w:sz w:val="16"/>
          <w:szCs w:val="16"/>
        </w:rPr>
        <w:t>s hrůzou si všimla, že umění balsamovačů marně se po</w:t>
      </w:r>
      <w:r>
        <w:rPr>
          <w:b/>
          <w:bCs/>
          <w:sz w:val="16"/>
          <w:szCs w:val="16"/>
        </w:rPr>
        <w:softHyphen/>
        <w:t>kusilo zakrýti úplně stopy krva</w:t>
      </w:r>
      <w:r>
        <w:rPr>
          <w:b/>
          <w:bCs/>
          <w:sz w:val="16"/>
          <w:szCs w:val="16"/>
        </w:rPr>
        <w:softHyphen/>
        <w:t>vých ran v bledém, něžném</w:t>
      </w:r>
      <w:r>
        <w:rPr>
          <w:b/>
          <w:bCs/>
          <w:sz w:val="16"/>
          <w:szCs w:val="16"/>
        </w:rPr>
        <w:t xml:space="preserve"> obli</w:t>
      </w:r>
      <w:r>
        <w:rPr>
          <w:b/>
          <w:bCs/>
          <w:sz w:val="16"/>
          <w:szCs w:val="16"/>
        </w:rPr>
        <w:softHyphen/>
        <w:t>čeji.</w:t>
      </w:r>
    </w:p>
    <w:p w:rsidR="00500724" w:rsidRDefault="00F30FB8">
      <w:pPr>
        <w:pStyle w:val="Zkladntext40"/>
        <w:shd w:val="clear" w:color="auto" w:fill="auto"/>
        <w:spacing w:after="0" w:line="166" w:lineRule="auto"/>
        <w:ind w:firstLine="200"/>
        <w:rPr>
          <w:sz w:val="16"/>
          <w:szCs w:val="16"/>
        </w:rPr>
      </w:pPr>
      <w:r>
        <w:rPr>
          <w:b/>
          <w:bCs/>
          <w:sz w:val="16"/>
          <w:szCs w:val="16"/>
        </w:rPr>
        <w:t xml:space="preserve">Přesně ve dvě hodiny zahrál varhaník píseň »Veď nás, světlo laskavé*. Potom přistoupil ke ka- tafalku </w:t>
      </w:r>
      <w:r>
        <w:rPr>
          <w:b/>
          <w:bCs/>
          <w:sz w:val="16"/>
          <w:szCs w:val="16"/>
          <w:lang w:val="en-US" w:eastAsia="en-US" w:bidi="en-US"/>
        </w:rPr>
        <w:t xml:space="preserve">Ellery Oliver. Mack </w:t>
      </w:r>
      <w:r>
        <w:rPr>
          <w:b/>
          <w:bCs/>
          <w:sz w:val="16"/>
          <w:szCs w:val="16"/>
        </w:rPr>
        <w:t>ho totiž požádal, aby provedl nad zesnulou krátké, necírkevní ob</w:t>
      </w:r>
      <w:r>
        <w:rPr>
          <w:b/>
          <w:bCs/>
          <w:sz w:val="16"/>
          <w:szCs w:val="16"/>
        </w:rPr>
        <w:softHyphen/>
        <w:t xml:space="preserve">řady. Nikdy nestál </w:t>
      </w:r>
      <w:r>
        <w:rPr>
          <w:b/>
          <w:bCs/>
          <w:sz w:val="16"/>
          <w:szCs w:val="16"/>
          <w:lang w:val="en-US" w:eastAsia="en-US" w:bidi="en-US"/>
        </w:rPr>
        <w:t xml:space="preserve">Ellery </w:t>
      </w:r>
      <w:r>
        <w:rPr>
          <w:b/>
          <w:bCs/>
          <w:sz w:val="16"/>
          <w:szCs w:val="16"/>
        </w:rPr>
        <w:t>před těžším úkolem. Mučil se vz</w:t>
      </w:r>
      <w:r>
        <w:rPr>
          <w:b/>
          <w:bCs/>
          <w:sz w:val="16"/>
          <w:szCs w:val="16"/>
        </w:rPr>
        <w:t>po</w:t>
      </w:r>
      <w:r>
        <w:rPr>
          <w:b/>
          <w:bCs/>
          <w:sz w:val="16"/>
          <w:szCs w:val="16"/>
        </w:rPr>
        <w:softHyphen/>
        <w:t xml:space="preserve">mínkou na okolnosti, za jakých ho </w:t>
      </w:r>
      <w:r>
        <w:rPr>
          <w:b/>
          <w:bCs/>
          <w:sz w:val="16"/>
          <w:szCs w:val="16"/>
          <w:lang w:val="en-US" w:eastAsia="en-US" w:bidi="en-US"/>
        </w:rPr>
        <w:t xml:space="preserve">Muriel </w:t>
      </w:r>
      <w:r>
        <w:rPr>
          <w:b/>
          <w:bCs/>
          <w:sz w:val="16"/>
          <w:szCs w:val="16"/>
        </w:rPr>
        <w:t>posledně spatřila pět minut před osudným neštěstím. Věděl, že šla vstříc smrti s hoř</w:t>
      </w:r>
      <w:r>
        <w:rPr>
          <w:b/>
          <w:bCs/>
          <w:sz w:val="16"/>
          <w:szCs w:val="16"/>
        </w:rPr>
        <w:softHyphen/>
        <w:t>kým zklamáním v srdci, rozčaro</w:t>
      </w:r>
      <w:r>
        <w:rPr>
          <w:b/>
          <w:bCs/>
          <w:sz w:val="16"/>
          <w:szCs w:val="16"/>
        </w:rPr>
        <w:softHyphen/>
        <w:t>vaná svým vůdcem a učitelem, jemuž tak nezištně a oddaně sloužila.</w:t>
      </w:r>
    </w:p>
    <w:p w:rsidR="00500724" w:rsidRDefault="00F30FB8">
      <w:pPr>
        <w:pStyle w:val="Zkladntext40"/>
        <w:shd w:val="clear" w:color="auto" w:fill="auto"/>
        <w:spacing w:after="0" w:line="166" w:lineRule="auto"/>
        <w:ind w:firstLine="200"/>
        <w:rPr>
          <w:sz w:val="16"/>
          <w:szCs w:val="16"/>
        </w:rPr>
      </w:pPr>
      <w:r>
        <w:rPr>
          <w:b/>
          <w:bCs/>
          <w:sz w:val="16"/>
          <w:szCs w:val="16"/>
        </w:rPr>
        <w:t>Přítomnost Patricie Ankusové,</w:t>
      </w:r>
      <w:r>
        <w:rPr>
          <w:b/>
          <w:bCs/>
          <w:sz w:val="16"/>
          <w:szCs w:val="16"/>
        </w:rPr>
        <w:t xml:space="preserve"> jež zaujala místo v pozadí kaple, mu nikterak úkol neusnadňova</w:t>
      </w:r>
      <w:r>
        <w:rPr>
          <w:b/>
          <w:bCs/>
          <w:sz w:val="16"/>
          <w:szCs w:val="16"/>
        </w:rPr>
        <w:softHyphen/>
        <w:t>la. Její otec mu ráno vzkázal, že jí není dobře a že nějaký čas ne</w:t>
      </w:r>
      <w:r>
        <w:rPr>
          <w:b/>
          <w:bCs/>
          <w:sz w:val="16"/>
          <w:szCs w:val="16"/>
        </w:rPr>
        <w:softHyphen/>
        <w:t>bude moci chodit do kanceláře. Přemohla se však a přišla vzdáti poslední poctu mrtvé přítelkyni.</w:t>
      </w:r>
    </w:p>
    <w:p w:rsidR="00500724" w:rsidRDefault="00F30FB8">
      <w:pPr>
        <w:pStyle w:val="Zkladntext40"/>
        <w:shd w:val="clear" w:color="auto" w:fill="auto"/>
        <w:spacing w:after="0" w:line="166" w:lineRule="auto"/>
        <w:ind w:firstLine="200"/>
        <w:rPr>
          <w:sz w:val="16"/>
          <w:szCs w:val="16"/>
        </w:rPr>
      </w:pPr>
      <w:r>
        <w:rPr>
          <w:b/>
          <w:bCs/>
          <w:sz w:val="16"/>
          <w:szCs w:val="16"/>
        </w:rPr>
        <w:t xml:space="preserve">S velikou námahou začal </w:t>
      </w:r>
      <w:r>
        <w:rPr>
          <w:b/>
          <w:bCs/>
          <w:sz w:val="16"/>
          <w:szCs w:val="16"/>
          <w:lang w:val="en-US" w:eastAsia="en-US" w:bidi="en-US"/>
        </w:rPr>
        <w:t>Elle</w:t>
      </w:r>
      <w:r>
        <w:rPr>
          <w:b/>
          <w:bCs/>
          <w:sz w:val="16"/>
          <w:szCs w:val="16"/>
          <w:lang w:val="en-US" w:eastAsia="en-US" w:bidi="en-US"/>
        </w:rPr>
        <w:softHyphen/>
        <w:t xml:space="preserve">ry </w:t>
      </w:r>
      <w:r>
        <w:rPr>
          <w:b/>
          <w:bCs/>
          <w:sz w:val="16"/>
          <w:szCs w:val="16"/>
        </w:rPr>
        <w:t>svůj smuteční proslov o cha</w:t>
      </w:r>
      <w:r>
        <w:rPr>
          <w:b/>
          <w:bCs/>
          <w:sz w:val="16"/>
          <w:szCs w:val="16"/>
        </w:rPr>
        <w:softHyphen/>
        <w:t xml:space="preserve">rakteru a životě </w:t>
      </w:r>
      <w:r>
        <w:rPr>
          <w:b/>
          <w:bCs/>
          <w:sz w:val="16"/>
          <w:szCs w:val="16"/>
          <w:lang w:val="en-US" w:eastAsia="en-US" w:bidi="en-US"/>
        </w:rPr>
        <w:t xml:space="preserve">Muriel </w:t>
      </w:r>
      <w:r>
        <w:rPr>
          <w:b/>
          <w:bCs/>
          <w:sz w:val="16"/>
          <w:szCs w:val="16"/>
        </w:rPr>
        <w:t>Anderso- nové. Mluvil o ní jako přítel, ne jako kněz. Vroucími slovy osla</w:t>
      </w:r>
      <w:r>
        <w:rPr>
          <w:b/>
          <w:bCs/>
          <w:sz w:val="16"/>
          <w:szCs w:val="16"/>
        </w:rPr>
        <w:softHyphen/>
        <w:t>vil její dobrotu a ušlechtilou ně</w:t>
      </w:r>
      <w:r>
        <w:rPr>
          <w:b/>
          <w:bCs/>
          <w:sz w:val="16"/>
          <w:szCs w:val="16"/>
        </w:rPr>
        <w:softHyphen/>
        <w:t>hu, její jemné, čisté ženské po</w:t>
      </w:r>
      <w:r>
        <w:rPr>
          <w:b/>
          <w:bCs/>
          <w:sz w:val="16"/>
          <w:szCs w:val="16"/>
        </w:rPr>
        <w:softHyphen/>
        <w:t>chopení pro vše, její ideální smýšlení. Šetrně a nenápadně s</w:t>
      </w:r>
      <w:r>
        <w:rPr>
          <w:b/>
          <w:bCs/>
          <w:sz w:val="16"/>
          <w:szCs w:val="16"/>
        </w:rPr>
        <w:t>e dotkl její tělesné vady. jež jako stín se kladla na její život a otu</w:t>
      </w:r>
      <w:r>
        <w:rPr>
          <w:b/>
          <w:bCs/>
          <w:sz w:val="16"/>
          <w:szCs w:val="16"/>
        </w:rPr>
        <w:softHyphen/>
        <w:t xml:space="preserve">povala ji o štěstí, jehož by si jistě zasluhovala. Dnes vešla do klidu jiného světa, ale bude žiti povždy ve vzpomínkách všech, kdo ji znali. Na konec </w:t>
      </w:r>
      <w:r>
        <w:rPr>
          <w:b/>
          <w:bCs/>
          <w:sz w:val="16"/>
          <w:szCs w:val="16"/>
          <w:lang w:val="en-US" w:eastAsia="en-US" w:bidi="en-US"/>
        </w:rPr>
        <w:t xml:space="preserve">Ellery </w:t>
      </w:r>
      <w:r>
        <w:rPr>
          <w:b/>
          <w:bCs/>
          <w:sz w:val="16"/>
          <w:szCs w:val="16"/>
        </w:rPr>
        <w:t>přečetl 23. žalm.</w:t>
      </w:r>
    </w:p>
    <w:p w:rsidR="00500724" w:rsidRDefault="00F30FB8">
      <w:pPr>
        <w:pStyle w:val="Zkladntext40"/>
        <w:shd w:val="clear" w:color="auto" w:fill="auto"/>
        <w:spacing w:after="0" w:line="166" w:lineRule="auto"/>
        <w:ind w:firstLine="240"/>
        <w:rPr>
          <w:sz w:val="16"/>
          <w:szCs w:val="16"/>
        </w:rPr>
      </w:pPr>
      <w:r>
        <w:rPr>
          <w:b/>
          <w:bCs/>
          <w:sz w:val="16"/>
          <w:szCs w:val="16"/>
        </w:rPr>
        <w:t xml:space="preserve">Zatím co </w:t>
      </w:r>
      <w:r>
        <w:rPr>
          <w:b/>
          <w:bCs/>
          <w:sz w:val="16"/>
          <w:szCs w:val="16"/>
        </w:rPr>
        <w:t xml:space="preserve">z varhan zněl nápěv »Eine feste </w:t>
      </w:r>
      <w:r>
        <w:rPr>
          <w:b/>
          <w:bCs/>
          <w:sz w:val="16"/>
          <w:szCs w:val="16"/>
          <w:lang w:val="en-US" w:eastAsia="en-US" w:bidi="en-US"/>
        </w:rPr>
        <w:t xml:space="preserve">Burg </w:t>
      </w:r>
      <w:r>
        <w:rPr>
          <w:b/>
          <w:bCs/>
          <w:sz w:val="16"/>
          <w:szCs w:val="16"/>
        </w:rPr>
        <w:t xml:space="preserve">ist </w:t>
      </w:r>
      <w:r>
        <w:rPr>
          <w:b/>
          <w:bCs/>
          <w:sz w:val="16"/>
          <w:szCs w:val="16"/>
          <w:lang w:val="en-US" w:eastAsia="en-US" w:bidi="en-US"/>
        </w:rPr>
        <w:t xml:space="preserve">unser Gotta, </w:t>
      </w:r>
      <w:r>
        <w:rPr>
          <w:b/>
          <w:bCs/>
          <w:sz w:val="16"/>
          <w:szCs w:val="16"/>
        </w:rPr>
        <w:t>mizela rakev za bronzovou bra</w:t>
      </w:r>
      <w:r>
        <w:rPr>
          <w:b/>
          <w:bCs/>
          <w:sz w:val="16"/>
          <w:szCs w:val="16"/>
        </w:rPr>
        <w:softHyphen/>
        <w:t>nou, do síně, kde měla být zpo</w:t>
      </w:r>
      <w:r>
        <w:rPr>
          <w:b/>
          <w:bCs/>
          <w:sz w:val="16"/>
          <w:szCs w:val="16"/>
        </w:rPr>
        <w:softHyphen/>
      </w:r>
    </w:p>
    <w:p w:rsidR="00500724" w:rsidRDefault="00F30FB8">
      <w:pPr>
        <w:pStyle w:val="Zkladntext40"/>
        <w:shd w:val="clear" w:color="auto" w:fill="auto"/>
        <w:spacing w:after="200" w:line="175" w:lineRule="auto"/>
      </w:pPr>
      <w:r>
        <w:t>litní a je prostoupena politickými principy, především výchovou k vědomí národního souručenství a tak zvaným principem vůdcov- ským. Výchovn</w:t>
      </w:r>
      <w:r>
        <w:t>ý systém je auto</w:t>
      </w:r>
      <w:r>
        <w:softHyphen/>
        <w:t>rem systematicky roztříštěn v příbuzné skupiny, a to: 1. škol</w:t>
      </w:r>
      <w:r>
        <w:softHyphen/>
        <w:t>ství obecné, střední a vyšší. 2. školství odborné. 3. školství so</w:t>
      </w:r>
      <w:r>
        <w:softHyphen/>
        <w:t>ciálně politické a 4. školství vy</w:t>
      </w:r>
      <w:r>
        <w:softHyphen/>
        <w:t>soké a odborně politické. Podrob</w:t>
      </w:r>
      <w:r>
        <w:softHyphen/>
        <w:t>ně se probírají pedagogicko-poli- tické zása</w:t>
      </w:r>
      <w:r>
        <w:t>dy jednotlivých typů a hodnotí se jejich význam v rám</w:t>
      </w:r>
      <w:r>
        <w:softHyphen/>
        <w:t>ci celkového výchovného systé</w:t>
      </w:r>
      <w:r>
        <w:softHyphen/>
        <w:t>mu. Vyšla v nakladatelství »Orbis* (Praha XII.) a je brož. za K 8.—. Studie je zvláštním otiskem z připravované knihy »Dnešní Německou.</w:t>
      </w:r>
    </w:p>
    <w:p w:rsidR="00500724" w:rsidRDefault="00F30FB8">
      <w:pPr>
        <w:pStyle w:val="Zkladntext40"/>
        <w:shd w:val="clear" w:color="auto" w:fill="auto"/>
        <w:spacing w:after="0" w:line="163" w:lineRule="auto"/>
        <w:rPr>
          <w:sz w:val="16"/>
          <w:szCs w:val="16"/>
        </w:rPr>
      </w:pPr>
      <w:r>
        <w:rPr>
          <w:b/>
          <w:bCs/>
          <w:sz w:val="16"/>
          <w:szCs w:val="16"/>
        </w:rPr>
        <w:t xml:space="preserve">pelněna. Kaplí se ozvalo hlasité štkání a vzlykání. </w:t>
      </w:r>
      <w:r>
        <w:rPr>
          <w:b/>
          <w:bCs/>
          <w:sz w:val="16"/>
          <w:szCs w:val="16"/>
          <w:lang w:val="en-US" w:eastAsia="en-US" w:bidi="en-US"/>
        </w:rPr>
        <w:t xml:space="preserve">Terry </w:t>
      </w:r>
      <w:r>
        <w:rPr>
          <w:b/>
          <w:bCs/>
          <w:sz w:val="16"/>
          <w:szCs w:val="16"/>
        </w:rPr>
        <w:t>si za</w:t>
      </w:r>
      <w:r>
        <w:rPr>
          <w:b/>
          <w:bCs/>
          <w:sz w:val="16"/>
          <w:szCs w:val="16"/>
        </w:rPr>
        <w:softHyphen/>
        <w:t xml:space="preserve">krývala obličej oběma rukama, ale </w:t>
      </w:r>
      <w:r>
        <w:rPr>
          <w:b/>
          <w:bCs/>
          <w:sz w:val="16"/>
          <w:szCs w:val="16"/>
          <w:lang w:val="en-US" w:eastAsia="en-US" w:bidi="en-US"/>
        </w:rPr>
        <w:t xml:space="preserve">Mack </w:t>
      </w:r>
      <w:r>
        <w:rPr>
          <w:b/>
          <w:bCs/>
          <w:sz w:val="16"/>
          <w:szCs w:val="16"/>
        </w:rPr>
        <w:t>tu stál bez jediné slzy a bez hnutí. Nějakou chvíli se ni</w:t>
      </w:r>
      <w:r>
        <w:rPr>
          <w:b/>
          <w:bCs/>
          <w:sz w:val="16"/>
          <w:szCs w:val="16"/>
        </w:rPr>
        <w:softHyphen/>
        <w:t>kdo ani nehnul. Pak se začali truchlící rozcházet. Několik zná</w:t>
      </w:r>
      <w:r>
        <w:rPr>
          <w:b/>
          <w:bCs/>
          <w:sz w:val="16"/>
          <w:szCs w:val="16"/>
        </w:rPr>
        <w:softHyphen/>
        <w:t>mých přistoupilo k Mackovi a ti</w:t>
      </w:r>
      <w:r>
        <w:rPr>
          <w:b/>
          <w:bCs/>
          <w:sz w:val="16"/>
          <w:szCs w:val="16"/>
        </w:rPr>
        <w:softHyphen/>
      </w:r>
      <w:r>
        <w:rPr>
          <w:b/>
          <w:bCs/>
          <w:sz w:val="16"/>
          <w:szCs w:val="16"/>
        </w:rPr>
        <w:t>chými slovy mu vyjadřovali sou</w:t>
      </w:r>
      <w:r>
        <w:rPr>
          <w:b/>
          <w:bCs/>
          <w:sz w:val="16"/>
          <w:szCs w:val="16"/>
        </w:rPr>
        <w:softHyphen/>
        <w:t xml:space="preserve">strast. </w:t>
      </w:r>
      <w:r>
        <w:rPr>
          <w:b/>
          <w:bCs/>
          <w:sz w:val="16"/>
          <w:szCs w:val="16"/>
          <w:lang w:val="en-US" w:eastAsia="en-US" w:bidi="en-US"/>
        </w:rPr>
        <w:t xml:space="preserve">Ellery </w:t>
      </w:r>
      <w:r>
        <w:rPr>
          <w:b/>
          <w:bCs/>
          <w:sz w:val="16"/>
          <w:szCs w:val="16"/>
        </w:rPr>
        <w:t xml:space="preserve">mu vřele tiskl ruku </w:t>
      </w:r>
      <w:r>
        <w:rPr>
          <w:b/>
          <w:bCs/>
          <w:sz w:val="16"/>
          <w:szCs w:val="16"/>
          <w:lang w:val="en-US" w:eastAsia="en-US" w:bidi="en-US"/>
        </w:rPr>
        <w:t xml:space="preserve">a Mack </w:t>
      </w:r>
      <w:r>
        <w:rPr>
          <w:b/>
          <w:bCs/>
          <w:sz w:val="16"/>
          <w:szCs w:val="16"/>
        </w:rPr>
        <w:t>mu děkoval.</w:t>
      </w:r>
    </w:p>
    <w:p w:rsidR="00500724" w:rsidRDefault="00F30FB8">
      <w:pPr>
        <w:pStyle w:val="Zkladntext40"/>
        <w:shd w:val="clear" w:color="auto" w:fill="auto"/>
        <w:spacing w:after="0" w:line="163" w:lineRule="auto"/>
        <w:ind w:firstLine="200"/>
        <w:rPr>
          <w:sz w:val="16"/>
          <w:szCs w:val="16"/>
        </w:rPr>
      </w:pPr>
      <w:r>
        <w:rPr>
          <w:b/>
          <w:bCs/>
          <w:sz w:val="16"/>
          <w:szCs w:val="16"/>
        </w:rPr>
        <w:t>»Chtěl bys jít se mnou ke mně. uvařila bych trochu horké ká</w:t>
      </w:r>
      <w:r>
        <w:rPr>
          <w:b/>
          <w:bCs/>
          <w:sz w:val="16"/>
          <w:szCs w:val="16"/>
        </w:rPr>
        <w:softHyphen/>
        <w:t xml:space="preserve">vy ?« zeptala se </w:t>
      </w:r>
      <w:r>
        <w:rPr>
          <w:b/>
          <w:bCs/>
          <w:sz w:val="16"/>
          <w:szCs w:val="16"/>
          <w:lang w:val="en-US" w:eastAsia="en-US" w:bidi="en-US"/>
        </w:rPr>
        <w:t xml:space="preserve">Terry, </w:t>
      </w:r>
      <w:r>
        <w:rPr>
          <w:b/>
          <w:bCs/>
          <w:sz w:val="16"/>
          <w:szCs w:val="16"/>
        </w:rPr>
        <w:t>když vyšli z kaple. »Nebo chceš zůstat ra</w:t>
      </w:r>
      <w:r>
        <w:rPr>
          <w:b/>
          <w:bCs/>
          <w:sz w:val="16"/>
          <w:szCs w:val="16"/>
        </w:rPr>
        <w:softHyphen/>
        <w:t>ději sám?*</w:t>
      </w:r>
    </w:p>
    <w:p w:rsidR="00500724" w:rsidRDefault="00F30FB8">
      <w:pPr>
        <w:pStyle w:val="Zkladntext40"/>
        <w:shd w:val="clear" w:color="auto" w:fill="auto"/>
        <w:spacing w:after="0" w:line="163" w:lineRule="auto"/>
        <w:ind w:firstLine="200"/>
        <w:rPr>
          <w:sz w:val="16"/>
          <w:szCs w:val="16"/>
        </w:rPr>
      </w:pPr>
      <w:r>
        <w:rPr>
          <w:b/>
          <w:bCs/>
          <w:sz w:val="16"/>
          <w:szCs w:val="16"/>
        </w:rPr>
        <w:t xml:space="preserve">»Ne, rád bych byl s tebou, do- </w:t>
      </w:r>
      <w:r>
        <w:rPr>
          <w:b/>
          <w:bCs/>
          <w:sz w:val="16"/>
          <w:szCs w:val="16"/>
        </w:rPr>
        <w:t>volíš-li.«</w:t>
      </w:r>
    </w:p>
    <w:p w:rsidR="00500724" w:rsidRDefault="00F30FB8">
      <w:pPr>
        <w:pStyle w:val="Zkladntext40"/>
        <w:shd w:val="clear" w:color="auto" w:fill="auto"/>
        <w:spacing w:after="0" w:line="163" w:lineRule="auto"/>
        <w:ind w:firstLine="200"/>
        <w:rPr>
          <w:sz w:val="16"/>
          <w:szCs w:val="16"/>
        </w:rPr>
      </w:pPr>
      <w:r>
        <w:rPr>
          <w:b/>
          <w:bCs/>
          <w:sz w:val="16"/>
          <w:szCs w:val="16"/>
        </w:rPr>
        <w:t xml:space="preserve">V autu seděl mlčky a držel jí za ruku. Vystoupili po schodech nahoru </w:t>
      </w:r>
      <w:r>
        <w:rPr>
          <w:b/>
          <w:bCs/>
          <w:sz w:val="16"/>
          <w:szCs w:val="16"/>
          <w:lang w:val="en-US" w:eastAsia="en-US" w:bidi="en-US"/>
        </w:rPr>
        <w:t xml:space="preserve">do Terry </w:t>
      </w:r>
      <w:r>
        <w:rPr>
          <w:b/>
          <w:bCs/>
          <w:sz w:val="16"/>
          <w:szCs w:val="16"/>
        </w:rPr>
        <w:t xml:space="preserve">ina salonku. »Po- lož se na pohovku a odpočiň si trochu,a řekla </w:t>
      </w:r>
      <w:r>
        <w:rPr>
          <w:b/>
          <w:bCs/>
          <w:sz w:val="16"/>
          <w:szCs w:val="16"/>
          <w:lang w:val="en-US" w:eastAsia="en-US" w:bidi="en-US"/>
        </w:rPr>
        <w:t xml:space="preserve">Terry. </w:t>
      </w:r>
      <w:r>
        <w:rPr>
          <w:b/>
          <w:bCs/>
          <w:sz w:val="16"/>
          <w:szCs w:val="16"/>
        </w:rPr>
        <w:t>— »Půjdu vařit kávu.*</w:t>
      </w:r>
    </w:p>
    <w:p w:rsidR="00500724" w:rsidRDefault="00F30FB8">
      <w:pPr>
        <w:pStyle w:val="Zkladntext40"/>
        <w:shd w:val="clear" w:color="auto" w:fill="auto"/>
        <w:spacing w:after="0" w:line="163" w:lineRule="auto"/>
        <w:ind w:firstLine="200"/>
        <w:rPr>
          <w:sz w:val="16"/>
          <w:szCs w:val="16"/>
        </w:rPr>
      </w:pPr>
      <w:r>
        <w:rPr>
          <w:b/>
          <w:bCs/>
          <w:sz w:val="16"/>
          <w:szCs w:val="16"/>
        </w:rPr>
        <w:t>»Dobrá, děkuji.«</w:t>
      </w:r>
    </w:p>
    <w:p w:rsidR="00500724" w:rsidRDefault="00F30FB8">
      <w:pPr>
        <w:pStyle w:val="Zkladntext40"/>
        <w:shd w:val="clear" w:color="auto" w:fill="auto"/>
        <w:spacing w:after="0" w:line="163" w:lineRule="auto"/>
        <w:ind w:firstLine="200"/>
        <w:rPr>
          <w:sz w:val="16"/>
          <w:szCs w:val="16"/>
        </w:rPr>
      </w:pPr>
      <w:r>
        <w:rPr>
          <w:b/>
          <w:bCs/>
          <w:sz w:val="16"/>
          <w:szCs w:val="16"/>
        </w:rPr>
        <w:t>Ale když se vrátila s kávou, seděl tu zrovna tak. jako př</w:t>
      </w:r>
      <w:r>
        <w:rPr>
          <w:b/>
          <w:bCs/>
          <w:sz w:val="16"/>
          <w:szCs w:val="16"/>
        </w:rPr>
        <w:t>ed</w:t>
      </w:r>
      <w:r>
        <w:rPr>
          <w:b/>
          <w:bCs/>
          <w:sz w:val="16"/>
          <w:szCs w:val="16"/>
        </w:rPr>
        <w:softHyphen/>
        <w:t>tím. »Díky,« řekl, bera od ní šá</w:t>
      </w:r>
      <w:r>
        <w:rPr>
          <w:b/>
          <w:bCs/>
          <w:sz w:val="16"/>
          <w:szCs w:val="16"/>
        </w:rPr>
        <w:softHyphen/>
        <w:t>lek kávy a upíjeje. Pak z ničeho nic postavil šálek na stolek a obrátil se k ní. »Terry, já jsem ji zabil.*</w:t>
      </w:r>
    </w:p>
    <w:p w:rsidR="00500724" w:rsidRDefault="00F30FB8">
      <w:pPr>
        <w:pStyle w:val="Zkladntext40"/>
        <w:shd w:val="clear" w:color="auto" w:fill="auto"/>
        <w:spacing w:after="0" w:line="163" w:lineRule="auto"/>
        <w:ind w:firstLine="200"/>
        <w:rPr>
          <w:sz w:val="16"/>
          <w:szCs w:val="16"/>
        </w:rPr>
      </w:pPr>
      <w:r>
        <w:rPr>
          <w:b/>
          <w:bCs/>
          <w:sz w:val="16"/>
          <w:szCs w:val="16"/>
        </w:rPr>
        <w:t xml:space="preserve">»Ne, nemluv tak. miláčku! a vykřikla </w:t>
      </w:r>
      <w:r>
        <w:rPr>
          <w:b/>
          <w:bCs/>
          <w:sz w:val="16"/>
          <w:szCs w:val="16"/>
          <w:lang w:val="en-US" w:eastAsia="en-US" w:bidi="en-US"/>
        </w:rPr>
        <w:t xml:space="preserve">Terry. </w:t>
      </w:r>
      <w:r>
        <w:rPr>
          <w:b/>
          <w:bCs/>
          <w:sz w:val="16"/>
          <w:szCs w:val="16"/>
        </w:rPr>
        <w:t>»To nesmíš ří</w:t>
      </w:r>
      <w:r>
        <w:rPr>
          <w:b/>
          <w:bCs/>
          <w:sz w:val="16"/>
          <w:szCs w:val="16"/>
        </w:rPr>
        <w:softHyphen/>
        <w:t>kat. To není pravda.*</w:t>
      </w:r>
    </w:p>
    <w:p w:rsidR="00500724" w:rsidRDefault="00F30FB8">
      <w:pPr>
        <w:pStyle w:val="Zkladntext40"/>
        <w:shd w:val="clear" w:color="auto" w:fill="auto"/>
        <w:spacing w:after="0" w:line="163" w:lineRule="auto"/>
        <w:ind w:firstLine="200"/>
        <w:rPr>
          <w:sz w:val="16"/>
          <w:szCs w:val="16"/>
        </w:rPr>
      </w:pPr>
      <w:r>
        <w:rPr>
          <w:b/>
          <w:bCs/>
          <w:sz w:val="16"/>
          <w:szCs w:val="16"/>
        </w:rPr>
        <w:t>»Je to pravda,« řekl. »Zabil jse</w:t>
      </w:r>
      <w:r>
        <w:rPr>
          <w:b/>
          <w:bCs/>
          <w:sz w:val="16"/>
          <w:szCs w:val="16"/>
        </w:rPr>
        <w:t>m ji tím svým prokletým so</w:t>
      </w:r>
      <w:r>
        <w:rPr>
          <w:b/>
          <w:bCs/>
          <w:sz w:val="16"/>
          <w:szCs w:val="16"/>
        </w:rPr>
        <w:softHyphen/>
        <w:t>bectvím a svou necitelností. Mohl jsem jí připravit šťastný život, kdybych byl chtěl — kdybych nebyl takový hnusný, egoistický padouch.*</w:t>
      </w:r>
    </w:p>
    <w:p w:rsidR="00500724" w:rsidRDefault="00F30FB8">
      <w:pPr>
        <w:pStyle w:val="Zkladntext40"/>
        <w:shd w:val="clear" w:color="auto" w:fill="auto"/>
        <w:spacing w:after="0" w:line="163" w:lineRule="auto"/>
        <w:ind w:firstLine="200"/>
        <w:rPr>
          <w:sz w:val="16"/>
          <w:szCs w:val="16"/>
        </w:rPr>
      </w:pPr>
      <w:r>
        <w:rPr>
          <w:b/>
          <w:bCs/>
          <w:sz w:val="16"/>
          <w:szCs w:val="16"/>
        </w:rPr>
        <w:t>»Mlě, Macku, prosím tě, ne</w:t>
      </w:r>
      <w:r>
        <w:rPr>
          <w:b/>
          <w:bCs/>
          <w:sz w:val="16"/>
          <w:szCs w:val="16"/>
        </w:rPr>
        <w:softHyphen/>
        <w:t>mluv tak. Člověk nemůže nikdy nic udělat pro jiného. Každý musí ž</w:t>
      </w:r>
      <w:r>
        <w:rPr>
          <w:b/>
          <w:bCs/>
          <w:sz w:val="16"/>
          <w:szCs w:val="16"/>
        </w:rPr>
        <w:t>iti svůj vlastní život. To ty pře</w:t>
      </w:r>
      <w:r>
        <w:rPr>
          <w:b/>
          <w:bCs/>
          <w:sz w:val="16"/>
          <w:szCs w:val="16"/>
        </w:rPr>
        <w:softHyphen/>
        <w:t>ce víš.*</w:t>
      </w:r>
    </w:p>
    <w:p w:rsidR="00500724" w:rsidRDefault="00F30FB8">
      <w:pPr>
        <w:pStyle w:val="Zkladntext40"/>
        <w:shd w:val="clear" w:color="auto" w:fill="auto"/>
        <w:spacing w:after="0" w:line="163" w:lineRule="auto"/>
        <w:ind w:firstLine="200"/>
        <w:rPr>
          <w:sz w:val="16"/>
          <w:szCs w:val="16"/>
        </w:rPr>
      </w:pPr>
      <w:r>
        <w:rPr>
          <w:b/>
          <w:bCs/>
          <w:sz w:val="16"/>
          <w:szCs w:val="16"/>
        </w:rPr>
        <w:t>Neposlouchal, co mu říkala, a dále zasypával sebe sama výčit</w:t>
      </w:r>
      <w:r>
        <w:rPr>
          <w:b/>
          <w:bCs/>
          <w:sz w:val="16"/>
          <w:szCs w:val="16"/>
        </w:rPr>
        <w:softHyphen/>
        <w:t>kami. Posléze povstal a ohlížel se po svém klobouku. »Myslím, že musím už jiti. a</w:t>
      </w:r>
    </w:p>
    <w:p w:rsidR="00500724" w:rsidRDefault="00F30FB8">
      <w:pPr>
        <w:pStyle w:val="Zkladntext40"/>
        <w:shd w:val="clear" w:color="auto" w:fill="auto"/>
        <w:spacing w:after="0" w:line="163" w:lineRule="auto"/>
        <w:ind w:firstLine="200"/>
        <w:rPr>
          <w:sz w:val="16"/>
          <w:szCs w:val="16"/>
        </w:rPr>
      </w:pPr>
      <w:r>
        <w:rPr>
          <w:b/>
          <w:bCs/>
          <w:sz w:val="16"/>
          <w:szCs w:val="16"/>
        </w:rPr>
        <w:t xml:space="preserve">»Kam půjdeš?* zeptala se </w:t>
      </w:r>
      <w:r>
        <w:rPr>
          <w:b/>
          <w:bCs/>
          <w:sz w:val="16"/>
          <w:szCs w:val="16"/>
          <w:lang w:val="en-US" w:eastAsia="en-US" w:bidi="en-US"/>
        </w:rPr>
        <w:t>Ter</w:t>
      </w:r>
      <w:r>
        <w:rPr>
          <w:b/>
          <w:bCs/>
          <w:sz w:val="16"/>
          <w:szCs w:val="16"/>
          <w:lang w:val="en-US" w:eastAsia="en-US" w:bidi="en-US"/>
        </w:rPr>
        <w:softHyphen/>
        <w:t xml:space="preserve">ry </w:t>
      </w:r>
      <w:r>
        <w:rPr>
          <w:b/>
          <w:bCs/>
          <w:sz w:val="16"/>
          <w:szCs w:val="16"/>
        </w:rPr>
        <w:t>starostlivě.</w:t>
      </w:r>
    </w:p>
    <w:p w:rsidR="00500724" w:rsidRDefault="00F30FB8">
      <w:pPr>
        <w:pStyle w:val="Zkladntext40"/>
        <w:shd w:val="clear" w:color="auto" w:fill="auto"/>
        <w:spacing w:after="0" w:line="163" w:lineRule="auto"/>
        <w:ind w:firstLine="200"/>
        <w:rPr>
          <w:sz w:val="16"/>
          <w:szCs w:val="16"/>
        </w:rPr>
      </w:pPr>
      <w:r>
        <w:rPr>
          <w:b/>
          <w:bCs/>
          <w:sz w:val="16"/>
          <w:szCs w:val="16"/>
        </w:rPr>
        <w:t>»Nevím. Co na tom také zá</w:t>
      </w:r>
      <w:r>
        <w:rPr>
          <w:b/>
          <w:bCs/>
          <w:sz w:val="16"/>
          <w:szCs w:val="16"/>
        </w:rPr>
        <w:softHyphen/>
        <w:t>leží ?«</w:t>
      </w:r>
    </w:p>
    <w:p w:rsidR="00500724" w:rsidRDefault="00F30FB8">
      <w:pPr>
        <w:pStyle w:val="Zkladntext40"/>
        <w:shd w:val="clear" w:color="auto" w:fill="auto"/>
        <w:spacing w:after="0" w:line="163" w:lineRule="auto"/>
        <w:ind w:firstLine="200"/>
        <w:rPr>
          <w:sz w:val="16"/>
          <w:szCs w:val="16"/>
        </w:rPr>
      </w:pPr>
      <w:r>
        <w:rPr>
          <w:b/>
          <w:bCs/>
          <w:sz w:val="16"/>
          <w:szCs w:val="16"/>
        </w:rPr>
        <w:t>»Neříkej to. Macku. Připadám si, že se mnou mluvíš jako se šatnářkou nebo s něčím takovým. Můj bože, jsme spolu přátelé nebo nejsme? Vždyť ty víš docela dob</w:t>
      </w:r>
      <w:r>
        <w:rPr>
          <w:b/>
          <w:bCs/>
          <w:sz w:val="16"/>
          <w:szCs w:val="16"/>
        </w:rPr>
        <w:softHyphen/>
        <w:t>ře, že nechci, abys odešel. Ne- chceš-li ovšem doopravdy odejít.«</w:t>
      </w:r>
    </w:p>
    <w:p w:rsidR="00500724" w:rsidRDefault="00F30FB8">
      <w:pPr>
        <w:pStyle w:val="Zkladntext40"/>
        <w:shd w:val="clear" w:color="auto" w:fill="auto"/>
        <w:spacing w:after="0" w:line="163" w:lineRule="auto"/>
        <w:ind w:firstLine="200"/>
        <w:jc w:val="left"/>
        <w:rPr>
          <w:sz w:val="16"/>
          <w:szCs w:val="16"/>
        </w:rPr>
      </w:pPr>
      <w:r>
        <w:rPr>
          <w:b/>
          <w:bCs/>
          <w:sz w:val="16"/>
          <w:szCs w:val="16"/>
        </w:rPr>
        <w:t>»Nevím. Nevím sám, co ch</w:t>
      </w:r>
      <w:r>
        <w:rPr>
          <w:b/>
          <w:bCs/>
          <w:sz w:val="16"/>
          <w:szCs w:val="16"/>
        </w:rPr>
        <w:t>ci dělat. Taky na tom moc nezá</w:t>
      </w:r>
      <w:r>
        <w:rPr>
          <w:b/>
          <w:bCs/>
          <w:sz w:val="16"/>
          <w:szCs w:val="16"/>
        </w:rPr>
        <w:softHyphen/>
        <w:t>leží.*</w:t>
      </w:r>
    </w:p>
    <w:p w:rsidR="00500724" w:rsidRDefault="00F30FB8">
      <w:pPr>
        <w:pStyle w:val="Zkladntext40"/>
        <w:shd w:val="clear" w:color="auto" w:fill="auto"/>
        <w:spacing w:after="0" w:line="163" w:lineRule="auto"/>
        <w:ind w:firstLine="200"/>
        <w:jc w:val="left"/>
        <w:rPr>
          <w:sz w:val="16"/>
          <w:szCs w:val="16"/>
        </w:rPr>
      </w:pPr>
      <w:r>
        <w:rPr>
          <w:b/>
          <w:bCs/>
          <w:sz w:val="16"/>
          <w:szCs w:val="16"/>
        </w:rPr>
        <w:t>»Tady si sedni a hleď si odpo- činouti. Kde vlastně bydlíš?*</w:t>
      </w:r>
    </w:p>
    <w:p w:rsidR="00500724" w:rsidRDefault="00F30FB8">
      <w:pPr>
        <w:pStyle w:val="Zkladntext40"/>
        <w:shd w:val="clear" w:color="auto" w:fill="auto"/>
        <w:spacing w:after="0" w:line="163" w:lineRule="auto"/>
        <w:ind w:firstLine="200"/>
        <w:rPr>
          <w:sz w:val="16"/>
          <w:szCs w:val="16"/>
        </w:rPr>
      </w:pPr>
      <w:r>
        <w:rPr>
          <w:b/>
          <w:bCs/>
          <w:sz w:val="16"/>
          <w:szCs w:val="16"/>
        </w:rPr>
        <w:t xml:space="preserve">»Vzal jsem si pokoj v hotelu </w:t>
      </w:r>
      <w:r>
        <w:rPr>
          <w:b/>
          <w:bCs/>
          <w:sz w:val="16"/>
          <w:szCs w:val="16"/>
          <w:lang w:val="en-US" w:eastAsia="en-US" w:bidi="en-US"/>
        </w:rPr>
        <w:t xml:space="preserve">Biltmore, </w:t>
      </w:r>
      <w:r>
        <w:rPr>
          <w:b/>
          <w:bCs/>
          <w:sz w:val="16"/>
          <w:szCs w:val="16"/>
        </w:rPr>
        <w:t>když jsem dnes ráno přiletěl.*</w:t>
      </w:r>
    </w:p>
    <w:p w:rsidR="00500724" w:rsidRDefault="00F30FB8">
      <w:pPr>
        <w:pStyle w:val="Zkladntext40"/>
        <w:shd w:val="clear" w:color="auto" w:fill="auto"/>
        <w:spacing w:after="0" w:line="163" w:lineRule="auto"/>
        <w:ind w:firstLine="200"/>
        <w:rPr>
          <w:sz w:val="16"/>
          <w:szCs w:val="16"/>
        </w:rPr>
      </w:pPr>
      <w:r>
        <w:rPr>
          <w:b/>
          <w:bCs/>
          <w:sz w:val="16"/>
          <w:szCs w:val="16"/>
          <w:lang w:val="en-US" w:eastAsia="en-US" w:bidi="en-US"/>
        </w:rPr>
        <w:t xml:space="preserve">Terry </w:t>
      </w:r>
      <w:r>
        <w:rPr>
          <w:b/>
          <w:bCs/>
          <w:sz w:val="16"/>
          <w:szCs w:val="16"/>
        </w:rPr>
        <w:t>ho vzala za ruku. »Po- slyš. Macku, proč se nenastěhu- ješ sem? Tento byt je bezt</w:t>
      </w:r>
      <w:r>
        <w:rPr>
          <w:b/>
          <w:bCs/>
          <w:sz w:val="16"/>
          <w:szCs w:val="16"/>
        </w:rPr>
        <w:t>oho příliš velký pro jednoho, ať se na to díváš jak chceš.*</w:t>
      </w:r>
    </w:p>
    <w:p w:rsidR="00500724" w:rsidRDefault="00F30FB8">
      <w:pPr>
        <w:pStyle w:val="Zkladntext40"/>
        <w:shd w:val="clear" w:color="auto" w:fill="auto"/>
        <w:spacing w:after="0" w:line="166" w:lineRule="auto"/>
        <w:ind w:firstLine="200"/>
        <w:rPr>
          <w:sz w:val="16"/>
          <w:szCs w:val="16"/>
        </w:rPr>
      </w:pPr>
      <w:r>
        <w:rPr>
          <w:b/>
          <w:bCs/>
          <w:sz w:val="16"/>
          <w:szCs w:val="16"/>
        </w:rPr>
        <w:t>Zavrtěl hlavou. »Ne.«</w:t>
      </w:r>
    </w:p>
    <w:p w:rsidR="00500724" w:rsidRDefault="00F30FB8">
      <w:pPr>
        <w:pStyle w:val="Zkladntext40"/>
        <w:shd w:val="clear" w:color="auto" w:fill="auto"/>
        <w:spacing w:after="0" w:line="166" w:lineRule="auto"/>
        <w:ind w:firstLine="200"/>
        <w:rPr>
          <w:sz w:val="16"/>
          <w:szCs w:val="16"/>
        </w:rPr>
      </w:pPr>
      <w:r>
        <w:rPr>
          <w:b/>
          <w:bCs/>
          <w:sz w:val="16"/>
          <w:szCs w:val="16"/>
        </w:rPr>
        <w:t>»Proč ne?«</w:t>
      </w:r>
    </w:p>
    <w:p w:rsidR="00500724" w:rsidRDefault="00F30FB8">
      <w:pPr>
        <w:pStyle w:val="Zkladntext40"/>
        <w:shd w:val="clear" w:color="auto" w:fill="auto"/>
        <w:spacing w:after="0" w:line="166" w:lineRule="auto"/>
        <w:ind w:firstLine="240"/>
        <w:rPr>
          <w:sz w:val="16"/>
          <w:szCs w:val="16"/>
        </w:rPr>
      </w:pPr>
      <w:r>
        <w:rPr>
          <w:b/>
          <w:bCs/>
          <w:sz w:val="16"/>
          <w:szCs w:val="16"/>
        </w:rPr>
        <w:t>»Nestojím o žádný soucit,* od</w:t>
      </w:r>
      <w:r>
        <w:rPr>
          <w:b/>
          <w:bCs/>
          <w:sz w:val="16"/>
          <w:szCs w:val="16"/>
        </w:rPr>
        <w:softHyphen/>
        <w:t>pověděl. »K čertu s tím!*</w:t>
      </w:r>
    </w:p>
    <w:p w:rsidR="00500724" w:rsidRDefault="00F30FB8">
      <w:pPr>
        <w:pStyle w:val="Zkladntext40"/>
        <w:shd w:val="clear" w:color="auto" w:fill="auto"/>
        <w:spacing w:after="0" w:line="166" w:lineRule="auto"/>
        <w:ind w:firstLine="240"/>
        <w:rPr>
          <w:sz w:val="16"/>
          <w:szCs w:val="16"/>
        </w:rPr>
      </w:pPr>
      <w:r>
        <w:rPr>
          <w:b/>
          <w:bCs/>
          <w:sz w:val="16"/>
          <w:szCs w:val="16"/>
        </w:rPr>
        <w:t>Dala se do pláče. »To není sou</w:t>
      </w:r>
      <w:r>
        <w:rPr>
          <w:b/>
          <w:bCs/>
          <w:sz w:val="16"/>
          <w:szCs w:val="16"/>
        </w:rPr>
        <w:softHyphen/>
        <w:t>cit, ty blázínku. To je pouze lás</w:t>
      </w:r>
      <w:r>
        <w:rPr>
          <w:b/>
          <w:bCs/>
          <w:sz w:val="16"/>
          <w:szCs w:val="16"/>
        </w:rPr>
        <w:softHyphen/>
        <w:t>ka a nic jiného.*</w:t>
      </w:r>
    </w:p>
    <w:p w:rsidR="00500724" w:rsidRDefault="00F30FB8">
      <w:pPr>
        <w:pStyle w:val="Zkladntext40"/>
        <w:shd w:val="clear" w:color="auto" w:fill="auto"/>
        <w:spacing w:after="0" w:line="166" w:lineRule="auto"/>
        <w:ind w:firstLine="240"/>
        <w:rPr>
          <w:sz w:val="16"/>
          <w:szCs w:val="16"/>
        </w:rPr>
      </w:pPr>
      <w:r>
        <w:rPr>
          <w:b/>
          <w:bCs/>
          <w:sz w:val="16"/>
          <w:szCs w:val="16"/>
        </w:rPr>
        <w:t xml:space="preserve">Popadl i za ramena a </w:t>
      </w:r>
      <w:r>
        <w:rPr>
          <w:b/>
          <w:bCs/>
          <w:sz w:val="16"/>
          <w:szCs w:val="16"/>
        </w:rPr>
        <w:t>podíval se jí do očí. »Bože,« řekl pak, »ty to říkáš tak, jako bys to myslila doopravdy.*</w:t>
      </w:r>
    </w:p>
    <w:p w:rsidR="00500724" w:rsidRDefault="00F30FB8">
      <w:pPr>
        <w:pStyle w:val="Zkladntext40"/>
        <w:shd w:val="clear" w:color="auto" w:fill="auto"/>
        <w:spacing w:after="0" w:line="166" w:lineRule="auto"/>
        <w:ind w:firstLine="240"/>
        <w:rPr>
          <w:sz w:val="16"/>
          <w:szCs w:val="16"/>
        </w:rPr>
      </w:pPr>
      <w:r>
        <w:rPr>
          <w:b/>
          <w:bCs/>
          <w:sz w:val="16"/>
          <w:szCs w:val="16"/>
        </w:rPr>
        <w:t>»Taky že to myslím dooprav</w:t>
      </w:r>
      <w:r>
        <w:rPr>
          <w:b/>
          <w:bCs/>
          <w:sz w:val="16"/>
          <w:szCs w:val="16"/>
        </w:rPr>
        <w:softHyphen/>
        <w:t>dy,* zavzlykala. »Doopravdy, do</w:t>
      </w:r>
      <w:r>
        <w:rPr>
          <w:b/>
          <w:bCs/>
          <w:sz w:val="16"/>
          <w:szCs w:val="16"/>
        </w:rPr>
        <w:softHyphen/>
        <w:t>opravdy, doopravdy.*</w:t>
      </w:r>
    </w:p>
    <w:p w:rsidR="00500724" w:rsidRDefault="00F30FB8">
      <w:pPr>
        <w:pStyle w:val="Zkladntext40"/>
        <w:shd w:val="clear" w:color="auto" w:fill="auto"/>
        <w:spacing w:after="0" w:line="166" w:lineRule="auto"/>
        <w:ind w:firstLine="240"/>
        <w:rPr>
          <w:sz w:val="16"/>
          <w:szCs w:val="16"/>
        </w:rPr>
      </w:pPr>
      <w:r>
        <w:rPr>
          <w:b/>
          <w:bCs/>
          <w:sz w:val="16"/>
          <w:szCs w:val="16"/>
        </w:rPr>
        <w:t xml:space="preserve">Ustoupil o dva kroky od ní a usedl. </w:t>
      </w:r>
      <w:r>
        <w:rPr>
          <w:b/>
          <w:bCs/>
          <w:sz w:val="16"/>
          <w:szCs w:val="16"/>
          <w:lang w:val="en-US" w:eastAsia="en-US" w:bidi="en-US"/>
        </w:rPr>
        <w:t xml:space="preserve">Terry </w:t>
      </w:r>
      <w:r>
        <w:rPr>
          <w:b/>
          <w:bCs/>
          <w:sz w:val="16"/>
          <w:szCs w:val="16"/>
        </w:rPr>
        <w:t>přistoupila blíže a usedla mu na klín.</w:t>
      </w:r>
    </w:p>
    <w:p w:rsidR="00500724" w:rsidRDefault="00F30FB8">
      <w:pPr>
        <w:pStyle w:val="Zkladntext40"/>
        <w:shd w:val="clear" w:color="auto" w:fill="auto"/>
        <w:spacing w:after="0" w:line="168" w:lineRule="auto"/>
        <w:ind w:firstLine="240"/>
        <w:rPr>
          <w:sz w:val="16"/>
          <w:szCs w:val="16"/>
        </w:rPr>
      </w:pPr>
      <w:r>
        <w:rPr>
          <w:b/>
          <w:bCs/>
          <w:sz w:val="16"/>
          <w:szCs w:val="16"/>
        </w:rPr>
        <w:t>»Ach,</w:t>
      </w:r>
      <w:r>
        <w:rPr>
          <w:b/>
          <w:bCs/>
          <w:sz w:val="16"/>
          <w:szCs w:val="16"/>
        </w:rPr>
        <w:t xml:space="preserve"> Macku, miláčku!* zašep</w:t>
      </w:r>
      <w:r>
        <w:rPr>
          <w:b/>
          <w:bCs/>
          <w:sz w:val="16"/>
          <w:szCs w:val="16"/>
        </w:rPr>
        <w:softHyphen/>
        <w:t>tala. přitisknuvši jeho hlavu k svým prsům. A jemu stékaly slzy po tvářích.</w:t>
      </w:r>
    </w:p>
    <w:p w:rsidR="00500724" w:rsidRDefault="00F30FB8">
      <w:pPr>
        <w:pStyle w:val="Zkladntext40"/>
        <w:shd w:val="clear" w:color="auto" w:fill="auto"/>
        <w:spacing w:after="0" w:line="175" w:lineRule="auto"/>
        <w:ind w:firstLine="160"/>
      </w:pPr>
      <w:r>
        <w:rPr>
          <w:noProof/>
        </w:rPr>
        <mc:AlternateContent>
          <mc:Choice Requires="wps">
            <w:drawing>
              <wp:anchor distT="0" distB="6532245" distL="57150" distR="72390" simplePos="0" relativeHeight="125829858" behindDoc="0" locked="0" layoutInCell="1" allowOverlap="1">
                <wp:simplePos x="0" y="0"/>
                <wp:positionH relativeFrom="page">
                  <wp:posOffset>3900170</wp:posOffset>
                </wp:positionH>
                <wp:positionV relativeFrom="margin">
                  <wp:posOffset>3051175</wp:posOffset>
                </wp:positionV>
                <wp:extent cx="3100070" cy="341630"/>
                <wp:effectExtent l="0" t="0" r="0" b="0"/>
                <wp:wrapTopAndBottom/>
                <wp:docPr id="481" name="Shape 481"/>
                <wp:cNvGraphicFramePr/>
                <a:graphic xmlns:a="http://schemas.openxmlformats.org/drawingml/2006/main">
                  <a:graphicData uri="http://schemas.microsoft.com/office/word/2010/wordprocessingShape">
                    <wps:wsp>
                      <wps:cNvSpPr txBox="1"/>
                      <wps:spPr>
                        <a:xfrm>
                          <a:off x="0" y="0"/>
                          <a:ext cx="3100070" cy="341630"/>
                        </a:xfrm>
                        <a:prstGeom prst="rect">
                          <a:avLst/>
                        </a:prstGeom>
                        <a:solidFill>
                          <a:srgbClr val="56594D"/>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before="100" w:line="240" w:lineRule="auto"/>
                              <w:jc w:val="center"/>
                            </w:pPr>
                            <w:r>
                              <w:rPr>
                                <w:color w:val="FFFFFF"/>
                              </w:rPr>
                              <w:t>VAS VKUS I NÁROKY USPOKOJÍ</w:t>
                            </w:r>
                          </w:p>
                        </w:txbxContent>
                      </wps:txbx>
                      <wps:bodyPr lIns="0" tIns="0" rIns="0" bIns="0">
                        <a:spAutoFit/>
                      </wps:bodyPr>
                    </wps:wsp>
                  </a:graphicData>
                </a:graphic>
              </wp:anchor>
            </w:drawing>
          </mc:Choice>
          <mc:Fallback>
            <w:pict>
              <v:shape id="_x0000_s1507" type="#_x0000_t202" style="position:absolute;margin-left:307.10000000000002pt;margin-top:240.25pt;width:244.09999999999999pt;height:26.899999999999999pt;z-index:-125828895;mso-wrap-distance-left:4.5pt;mso-wrap-distance-right:5.7000000000000002pt;mso-wrap-distance-bottom:514.35000000000002pt;mso-position-horizontal-relative:page;mso-position-vertical-relative:margin" fillcolor="#56594D"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100" w:after="0" w:line="240" w:lineRule="auto"/>
                        <w:ind w:left="0" w:right="0" w:firstLine="0"/>
                        <w:jc w:val="center"/>
                      </w:pPr>
                      <w:r>
                        <w:rPr>
                          <w:color w:val="FFFFFF"/>
                          <w:spacing w:val="0"/>
                          <w:w w:val="100"/>
                          <w:position w:val="0"/>
                          <w:sz w:val="22"/>
                          <w:szCs w:val="22"/>
                          <w:shd w:val="clear" w:color="auto" w:fill="auto"/>
                          <w:lang w:val="cs-CZ" w:eastAsia="cs-CZ" w:bidi="cs-CZ"/>
                        </w:rPr>
                        <w:t>VAS VKUS I NÁROKY USPOKOJÍ</w:t>
                      </w:r>
                    </w:p>
                  </w:txbxContent>
                </v:textbox>
                <w10:wrap type="topAndBottom" anchorx="page" anchory="margin"/>
              </v:shape>
            </w:pict>
          </mc:Fallback>
        </mc:AlternateContent>
      </w:r>
      <w:r>
        <w:rPr>
          <w:noProof/>
        </w:rPr>
        <mc:AlternateContent>
          <mc:Choice Requires="wps">
            <w:drawing>
              <wp:anchor distT="466090" distB="5949950" distL="53975" distR="78105" simplePos="0" relativeHeight="125829860" behindDoc="0" locked="0" layoutInCell="1" allowOverlap="1">
                <wp:simplePos x="0" y="0"/>
                <wp:positionH relativeFrom="page">
                  <wp:posOffset>3896995</wp:posOffset>
                </wp:positionH>
                <wp:positionV relativeFrom="margin">
                  <wp:posOffset>3517265</wp:posOffset>
                </wp:positionV>
                <wp:extent cx="3096895" cy="457200"/>
                <wp:effectExtent l="0" t="0" r="0" b="0"/>
                <wp:wrapTopAndBottom/>
                <wp:docPr id="483" name="Shape 483"/>
                <wp:cNvGraphicFramePr/>
                <a:graphic xmlns:a="http://schemas.openxmlformats.org/drawingml/2006/main">
                  <a:graphicData uri="http://schemas.microsoft.com/office/word/2010/wordprocessingShape">
                    <wps:wsp>
                      <wps:cNvSpPr txBox="1"/>
                      <wps:spPr>
                        <a:xfrm>
                          <a:off x="0" y="0"/>
                          <a:ext cx="3096895" cy="457200"/>
                        </a:xfrm>
                        <a:prstGeom prst="rect">
                          <a:avLst/>
                        </a:prstGeom>
                        <a:noFill/>
                      </wps:spPr>
                      <wps:txbx>
                        <w:txbxContent>
                          <w:p w:rsidR="00500724" w:rsidRDefault="00F30FB8">
                            <w:pPr>
                              <w:pStyle w:val="Zkladntext40"/>
                              <w:shd w:val="clear" w:color="auto" w:fill="auto"/>
                              <w:spacing w:after="0" w:line="240" w:lineRule="auto"/>
                              <w:jc w:val="center"/>
                              <w:rPr>
                                <w:sz w:val="14"/>
                                <w:szCs w:val="14"/>
                              </w:rPr>
                            </w:pPr>
                            <w:r>
                              <w:rPr>
                                <w:b/>
                                <w:bCs/>
                                <w:sz w:val="14"/>
                                <w:szCs w:val="14"/>
                              </w:rPr>
                              <w:t>OBUV PRO VYŠŠÍ NÁROKY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GRAUMANM</w:t>
                            </w:r>
                          </w:p>
                          <w:p w:rsidR="00500724" w:rsidRDefault="00F30FB8">
                            <w:pPr>
                              <w:pStyle w:val="Zkladntext30"/>
                              <w:shd w:val="clear" w:color="auto" w:fill="auto"/>
                              <w:tabs>
                                <w:tab w:val="left" w:pos="3854"/>
                              </w:tabs>
                              <w:spacing w:after="0" w:line="223" w:lineRule="auto"/>
                              <w:ind w:firstLine="0"/>
                              <w:rPr>
                                <w:sz w:val="20"/>
                                <w:szCs w:val="20"/>
                              </w:rPr>
                            </w:pPr>
                            <w:r>
                              <w:rPr>
                                <w:sz w:val="20"/>
                                <w:szCs w:val="20"/>
                              </w:rPr>
                              <w:t>PRAHA I., PŘÍKOPY 35, schodiště A.</w:t>
                            </w:r>
                            <w:r>
                              <w:rPr>
                                <w:sz w:val="20"/>
                                <w:szCs w:val="20"/>
                              </w:rPr>
                              <w:tab/>
                              <w:t>Tel. 315-28.</w:t>
                            </w:r>
                          </w:p>
                        </w:txbxContent>
                      </wps:txbx>
                      <wps:bodyPr lIns="0" tIns="0" rIns="0" bIns="0">
                        <a:spAutoFit/>
                      </wps:bodyPr>
                    </wps:wsp>
                  </a:graphicData>
                </a:graphic>
              </wp:anchor>
            </w:drawing>
          </mc:Choice>
          <mc:Fallback>
            <w:pict>
              <v:shape id="_x0000_s1509" type="#_x0000_t202" style="position:absolute;margin-left:306.85000000000002pt;margin-top:276.94999999999999pt;width:243.84999999999999pt;height:36.pt;z-index:-125828893;mso-wrap-distance-left:4.25pt;mso-wrap-distance-top:36.700000000000003pt;mso-wrap-distance-right:6.1500000000000004pt;mso-wrap-distance-bottom:468.5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shd w:val="clear" w:color="auto" w:fill="auto"/>
                          <w:lang w:val="cs-CZ" w:eastAsia="cs-CZ" w:bidi="cs-CZ"/>
                        </w:rPr>
                        <w:t>OBUV PRO VYŠŠÍ NÁROKY</w:t>
                      </w:r>
                    </w:p>
                    <w:p>
                      <w:pPr>
                        <w:pStyle w:val="Style12"/>
                        <w:keepNext w:val="0"/>
                        <w:keepLines w:val="0"/>
                        <w:widowControl w:val="0"/>
                        <w:shd w:val="clear" w:color="auto" w:fill="auto"/>
                        <w:bidi w:val="0"/>
                        <w:spacing w:before="0" w:after="0" w:line="192" w:lineRule="auto"/>
                        <w:ind w:left="0" w:right="0" w:firstLine="0"/>
                        <w:jc w:val="center"/>
                        <w:rPr>
                          <w:sz w:val="32"/>
                          <w:szCs w:val="32"/>
                        </w:rPr>
                      </w:pPr>
                      <w:r>
                        <w:rPr>
                          <w:rFonts w:ascii="Arial" w:eastAsia="Arial" w:hAnsi="Arial" w:cs="Arial"/>
                          <w:b/>
                          <w:bCs/>
                          <w:color w:val="000000"/>
                          <w:spacing w:val="0"/>
                          <w:w w:val="100"/>
                          <w:position w:val="0"/>
                          <w:sz w:val="32"/>
                          <w:szCs w:val="32"/>
                          <w:shd w:val="clear" w:color="auto" w:fill="auto"/>
                          <w:lang w:val="en-US" w:eastAsia="en-US" w:bidi="en-US"/>
                        </w:rPr>
                        <w:t xml:space="preserve">FERRY </w:t>
                      </w:r>
                      <w:r>
                        <w:rPr>
                          <w:rFonts w:ascii="Arial" w:eastAsia="Arial" w:hAnsi="Arial" w:cs="Arial"/>
                          <w:b/>
                          <w:bCs/>
                          <w:color w:val="000000"/>
                          <w:spacing w:val="0"/>
                          <w:w w:val="100"/>
                          <w:position w:val="0"/>
                          <w:sz w:val="32"/>
                          <w:szCs w:val="32"/>
                          <w:shd w:val="clear" w:color="auto" w:fill="auto"/>
                          <w:lang w:val="cs-CZ" w:eastAsia="cs-CZ" w:bidi="cs-CZ"/>
                        </w:rPr>
                        <w:t>GRAUMANM</w:t>
                      </w:r>
                    </w:p>
                    <w:p>
                      <w:pPr>
                        <w:pStyle w:val="Style22"/>
                        <w:keepNext w:val="0"/>
                        <w:keepLines w:val="0"/>
                        <w:widowControl w:val="0"/>
                        <w:shd w:val="clear" w:color="auto" w:fill="auto"/>
                        <w:tabs>
                          <w:tab w:pos="3854" w:val="left"/>
                        </w:tabs>
                        <w:bidi w:val="0"/>
                        <w:spacing w:before="0" w:after="0" w:line="223" w:lineRule="auto"/>
                        <w:ind w:left="0" w:right="0" w:firstLine="0"/>
                        <w:rPr>
                          <w:sz w:val="20"/>
                          <w:szCs w:val="20"/>
                        </w:rPr>
                      </w:pPr>
                      <w:r>
                        <w:rPr>
                          <w:color w:val="000000"/>
                          <w:spacing w:val="0"/>
                          <w:w w:val="100"/>
                          <w:position w:val="0"/>
                          <w:sz w:val="20"/>
                          <w:szCs w:val="20"/>
                          <w:shd w:val="clear" w:color="auto" w:fill="auto"/>
                          <w:lang w:val="cs-CZ" w:eastAsia="cs-CZ" w:bidi="cs-CZ"/>
                        </w:rPr>
                        <w:t>PRAHA I., PŘÍKOPY 35, schodiště A.</w:t>
                        <w:tab/>
                        <w:t>Tel. 315-28.</w:t>
                      </w:r>
                    </w:p>
                  </w:txbxContent>
                </v:textbox>
                <w10:wrap type="topAndBottom" anchorx="page" anchory="margin"/>
              </v:shape>
            </w:pict>
          </mc:Fallback>
        </mc:AlternateContent>
      </w:r>
      <w:r>
        <w:rPr>
          <w:noProof/>
        </w:rPr>
        <mc:AlternateContent>
          <mc:Choice Requires="wps">
            <w:drawing>
              <wp:anchor distT="1112520" distB="4715510" distL="133350" distR="133350" simplePos="0" relativeHeight="125829862" behindDoc="0" locked="0" layoutInCell="1" allowOverlap="1">
                <wp:simplePos x="0" y="0"/>
                <wp:positionH relativeFrom="page">
                  <wp:posOffset>3976370</wp:posOffset>
                </wp:positionH>
                <wp:positionV relativeFrom="margin">
                  <wp:posOffset>4163695</wp:posOffset>
                </wp:positionV>
                <wp:extent cx="2962910" cy="1045210"/>
                <wp:effectExtent l="0" t="0" r="0" b="0"/>
                <wp:wrapTopAndBottom/>
                <wp:docPr id="485" name="Shape 485"/>
                <wp:cNvGraphicFramePr/>
                <a:graphic xmlns:a="http://schemas.openxmlformats.org/drawingml/2006/main">
                  <a:graphicData uri="http://schemas.microsoft.com/office/word/2010/wordprocessingShape">
                    <wps:wsp>
                      <wps:cNvSpPr txBox="1"/>
                      <wps:spPr>
                        <a:xfrm>
                          <a:off x="0" y="0"/>
                          <a:ext cx="2962910" cy="1045210"/>
                        </a:xfrm>
                        <a:prstGeom prst="rect">
                          <a:avLst/>
                        </a:prstGeom>
                        <a:noFill/>
                      </wps:spPr>
                      <wps:txbx>
                        <w:txbxContent>
                          <w:p w:rsidR="00500724" w:rsidRDefault="00F30FB8">
                            <w:pPr>
                              <w:pStyle w:val="Jin0"/>
                              <w:shd w:val="clear" w:color="auto" w:fill="auto"/>
                              <w:spacing w:before="80" w:after="40"/>
                              <w:ind w:firstLine="0"/>
                              <w:jc w:val="left"/>
                              <w:rPr>
                                <w:sz w:val="28"/>
                                <w:szCs w:val="28"/>
                              </w:rPr>
                            </w:pPr>
                            <w:r>
                              <w:rPr>
                                <w:sz w:val="28"/>
                                <w:szCs w:val="28"/>
                              </w:rPr>
                              <w:t>Používejte aktivního uhlí</w:t>
                            </w:r>
                          </w:p>
                          <w:p w:rsidR="00500724" w:rsidRDefault="00F30FB8">
                            <w:pPr>
                              <w:pStyle w:val="Jin0"/>
                              <w:shd w:val="clear" w:color="auto" w:fill="auto"/>
                              <w:spacing w:after="140" w:line="230" w:lineRule="auto"/>
                              <w:ind w:firstLine="0"/>
                              <w:jc w:val="right"/>
                              <w:rPr>
                                <w:sz w:val="66"/>
                                <w:szCs w:val="66"/>
                              </w:rPr>
                            </w:pPr>
                            <w:r>
                              <w:rPr>
                                <w:rFonts w:ascii="Arial" w:eastAsia="Arial" w:hAnsi="Arial" w:cs="Arial"/>
                                <w:b/>
                                <w:bCs/>
                                <w:sz w:val="66"/>
                                <w:szCs w:val="66"/>
                              </w:rPr>
                              <w:t>OSTACOL!</w:t>
                            </w:r>
                          </w:p>
                          <w:p w:rsidR="00500724" w:rsidRDefault="00F30FB8">
                            <w:pPr>
                              <w:pStyle w:val="Zkladntext30"/>
                              <w:shd w:val="clear" w:color="auto" w:fill="auto"/>
                              <w:spacing w:after="100" w:line="240" w:lineRule="auto"/>
                              <w:ind w:firstLine="0"/>
                              <w:jc w:val="left"/>
                              <w:rPr>
                                <w:sz w:val="20"/>
                                <w:szCs w:val="20"/>
                              </w:rPr>
                            </w:pPr>
                            <w:r>
                              <w:rPr>
                                <w:b/>
                                <w:bCs/>
                                <w:sz w:val="20"/>
                                <w:szCs w:val="20"/>
                              </w:rPr>
                              <w:t>Vyrábí Spolek pro chemickou a kutní výrobu,Praha</w:t>
                            </w:r>
                          </w:p>
                        </w:txbxContent>
                      </wps:txbx>
                      <wps:bodyPr lIns="0" tIns="0" rIns="0" bIns="0">
                        <a:spAutoFit/>
                      </wps:bodyPr>
                    </wps:wsp>
                  </a:graphicData>
                </a:graphic>
              </wp:anchor>
            </w:drawing>
          </mc:Choice>
          <mc:Fallback>
            <w:pict>
              <v:shape id="_x0000_s1511" type="#_x0000_t202" style="position:absolute;margin-left:313.10000000000002pt;margin-top:327.85000000000002pt;width:233.30000000000001pt;height:82.299999999999997pt;z-index:-125828891;mso-wrap-distance-left:10.5pt;mso-wrap-distance-top:87.599999999999994pt;mso-wrap-distance-right:10.5pt;mso-wrap-distance-bottom:371.30000000000001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80" w:after="40" w:line="240" w:lineRule="auto"/>
                        <w:ind w:left="0" w:right="0" w:firstLine="0"/>
                        <w:jc w:val="left"/>
                        <w:rPr>
                          <w:sz w:val="28"/>
                          <w:szCs w:val="28"/>
                        </w:rPr>
                      </w:pPr>
                      <w:r>
                        <w:rPr>
                          <w:color w:val="000000"/>
                          <w:spacing w:val="0"/>
                          <w:w w:val="100"/>
                          <w:position w:val="0"/>
                          <w:sz w:val="28"/>
                          <w:szCs w:val="28"/>
                          <w:shd w:val="clear" w:color="auto" w:fill="auto"/>
                          <w:lang w:val="cs-CZ" w:eastAsia="cs-CZ" w:bidi="cs-CZ"/>
                        </w:rPr>
                        <w:t>Používejte aktivního uhlí</w:t>
                      </w:r>
                    </w:p>
                    <w:p>
                      <w:pPr>
                        <w:pStyle w:val="Style12"/>
                        <w:keepNext w:val="0"/>
                        <w:keepLines w:val="0"/>
                        <w:widowControl w:val="0"/>
                        <w:shd w:val="clear" w:color="auto" w:fill="auto"/>
                        <w:bidi w:val="0"/>
                        <w:spacing w:before="0" w:after="140" w:line="230" w:lineRule="auto"/>
                        <w:ind w:left="0" w:right="0" w:firstLine="0"/>
                        <w:jc w:val="right"/>
                        <w:rPr>
                          <w:sz w:val="66"/>
                          <w:szCs w:val="66"/>
                        </w:rPr>
                      </w:pPr>
                      <w:r>
                        <w:rPr>
                          <w:rFonts w:ascii="Arial" w:eastAsia="Arial" w:hAnsi="Arial" w:cs="Arial"/>
                          <w:b/>
                          <w:bCs/>
                          <w:color w:val="000000"/>
                          <w:spacing w:val="0"/>
                          <w:w w:val="100"/>
                          <w:position w:val="0"/>
                          <w:sz w:val="66"/>
                          <w:szCs w:val="66"/>
                          <w:shd w:val="clear" w:color="auto" w:fill="auto"/>
                          <w:lang w:val="cs-CZ" w:eastAsia="cs-CZ" w:bidi="cs-CZ"/>
                        </w:rPr>
                        <w:t>OSTACOL!</w:t>
                      </w:r>
                    </w:p>
                    <w:p>
                      <w:pPr>
                        <w:pStyle w:val="Style22"/>
                        <w:keepNext w:val="0"/>
                        <w:keepLines w:val="0"/>
                        <w:widowControl w:val="0"/>
                        <w:shd w:val="clear" w:color="auto" w:fill="auto"/>
                        <w:bidi w:val="0"/>
                        <w:spacing w:before="0" w:after="10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Vyrábí Spolek pro chemickou a kutní výrobu,Praha</w:t>
                      </w:r>
                    </w:p>
                  </w:txbxContent>
                </v:textbox>
                <w10:wrap type="topAndBottom" anchorx="page" anchory="margin"/>
              </v:shape>
            </w:pict>
          </mc:Fallback>
        </mc:AlternateContent>
      </w:r>
      <w:r>
        <w:rPr>
          <w:noProof/>
        </w:rPr>
        <mc:AlternateContent>
          <mc:Choice Requires="wps">
            <w:drawing>
              <wp:anchor distT="3986530" distB="393700" distL="157480" distR="93345" simplePos="0" relativeHeight="125829864" behindDoc="0" locked="0" layoutInCell="1" allowOverlap="1">
                <wp:simplePos x="0" y="0"/>
                <wp:positionH relativeFrom="page">
                  <wp:posOffset>4000500</wp:posOffset>
                </wp:positionH>
                <wp:positionV relativeFrom="margin">
                  <wp:posOffset>7037705</wp:posOffset>
                </wp:positionV>
                <wp:extent cx="2978150" cy="2493010"/>
                <wp:effectExtent l="0" t="0" r="0" b="0"/>
                <wp:wrapTopAndBottom/>
                <wp:docPr id="487" name="Shape 487"/>
                <wp:cNvGraphicFramePr/>
                <a:graphic xmlns:a="http://schemas.openxmlformats.org/drawingml/2006/main">
                  <a:graphicData uri="http://schemas.microsoft.com/office/word/2010/wordprocessingShape">
                    <wps:wsp>
                      <wps:cNvSpPr txBox="1"/>
                      <wps:spPr>
                        <a:xfrm>
                          <a:off x="0" y="0"/>
                          <a:ext cx="2978150" cy="2493010"/>
                        </a:xfrm>
                        <a:prstGeom prst="rect">
                          <a:avLst/>
                        </a:prstGeom>
                        <a:noFill/>
                      </wps:spPr>
                      <wps:txbx>
                        <w:txbxContent>
                          <w:p w:rsidR="00500724" w:rsidRDefault="00F30FB8">
                            <w:pPr>
                              <w:pStyle w:val="Zkladntext40"/>
                              <w:shd w:val="clear" w:color="auto" w:fill="auto"/>
                              <w:spacing w:after="0" w:line="166" w:lineRule="auto"/>
                              <w:ind w:left="220" w:firstLine="20"/>
                              <w:jc w:val="left"/>
                              <w:rPr>
                                <w:sz w:val="16"/>
                                <w:szCs w:val="16"/>
                              </w:rPr>
                            </w:pPr>
                            <w:r>
                              <w:rPr>
                                <w:b/>
                                <w:bCs/>
                                <w:sz w:val="16"/>
                                <w:szCs w:val="16"/>
                              </w:rPr>
                              <w:t>důvodu platnosti mezinárodního práva. —</w:t>
                            </w:r>
                          </w:p>
                          <w:p w:rsidR="00500724" w:rsidRDefault="00F30FB8">
                            <w:pPr>
                              <w:pStyle w:val="Zkladntext40"/>
                              <w:shd w:val="clear" w:color="auto" w:fill="auto"/>
                              <w:spacing w:after="0" w:line="166" w:lineRule="auto"/>
                              <w:ind w:left="220" w:firstLine="20"/>
                              <w:jc w:val="left"/>
                              <w:rPr>
                                <w:sz w:val="16"/>
                                <w:szCs w:val="16"/>
                              </w:rPr>
                            </w:pPr>
                            <w:r>
                              <w:rPr>
                                <w:b/>
                                <w:bCs/>
                                <w:sz w:val="16"/>
                                <w:szCs w:val="16"/>
                              </w:rPr>
                              <w:t>24.5x16 cm, 132 stran,</w:t>
                            </w:r>
                          </w:p>
                          <w:p w:rsidR="00500724" w:rsidRDefault="00F30FB8">
                            <w:pPr>
                              <w:pStyle w:val="Zkladntext40"/>
                              <w:shd w:val="clear" w:color="auto" w:fill="auto"/>
                              <w:tabs>
                                <w:tab w:val="left" w:pos="3470"/>
                              </w:tabs>
                              <w:spacing w:after="0" w:line="166" w:lineRule="auto"/>
                              <w:ind w:left="220" w:right="560" w:hanging="220"/>
                              <w:jc w:val="left"/>
                              <w:rPr>
                                <w:sz w:val="16"/>
                                <w:szCs w:val="16"/>
                              </w:rPr>
                            </w:pPr>
                            <w:r>
                              <w:rPr>
                                <w:b/>
                                <w:bCs/>
                                <w:sz w:val="16"/>
                                <w:szCs w:val="16"/>
                              </w:rPr>
                              <w:t>WIRTH František, Návod ku prováděni od</w:t>
                            </w:r>
                            <w:r>
                              <w:rPr>
                                <w:b/>
                                <w:bCs/>
                                <w:sz w:val="16"/>
                                <w:szCs w:val="16"/>
                              </w:rPr>
                              <w:softHyphen/>
                              <w:t>hadů nemovitostí se zvláštním zřetelem k odhadům v řízeni exekučním. 20.5x12.5 cm, 178 stran.</w:t>
                            </w:r>
                            <w:r>
                              <w:rPr>
                                <w:b/>
                                <w:bCs/>
                                <w:sz w:val="16"/>
                                <w:szCs w:val="16"/>
                              </w:rPr>
                              <w:tab/>
                              <w:t>brož. K</w:t>
                            </w:r>
                          </w:p>
                          <w:p w:rsidR="00500724" w:rsidRDefault="00F30FB8">
                            <w:pPr>
                              <w:pStyle w:val="Zkladntext40"/>
                              <w:shd w:val="clear" w:color="auto" w:fill="auto"/>
                              <w:spacing w:after="0" w:line="166" w:lineRule="auto"/>
                              <w:ind w:left="220" w:right="1160" w:hanging="220"/>
                              <w:rPr>
                                <w:sz w:val="16"/>
                                <w:szCs w:val="16"/>
                              </w:rPr>
                            </w:pPr>
                            <w:r>
                              <w:rPr>
                                <w:b/>
                                <w:bCs/>
                                <w:sz w:val="16"/>
                                <w:szCs w:val="16"/>
                                <w:lang w:val="en-US" w:eastAsia="en-US" w:bidi="en-US"/>
                              </w:rPr>
                              <w:t>The Population Problem. The Experts and the Public. T. H. MARSCHALL, A. M. CARR- SAUNDERS, H. D. HENDERSON, R. R.</w:t>
                            </w:r>
                          </w:p>
                          <w:p w:rsidR="00500724" w:rsidRDefault="00F30FB8">
                            <w:pPr>
                              <w:pStyle w:val="Zkladntext40"/>
                              <w:shd w:val="clear" w:color="auto" w:fill="auto"/>
                              <w:spacing w:after="0" w:line="166" w:lineRule="auto"/>
                              <w:ind w:left="220" w:firstLine="20"/>
                              <w:jc w:val="left"/>
                              <w:rPr>
                                <w:sz w:val="16"/>
                                <w:szCs w:val="16"/>
                              </w:rPr>
                            </w:pPr>
                            <w:r>
                              <w:rPr>
                                <w:b/>
                                <w:bCs/>
                                <w:sz w:val="16"/>
                                <w:szCs w:val="16"/>
                                <w:lang w:val="en-US" w:eastAsia="en-US" w:bidi="en-US"/>
                              </w:rPr>
                              <w:t>KUCZYNSKI, Arnold PLANT. 19x12 cm,</w:t>
                            </w:r>
                          </w:p>
                          <w:p w:rsidR="00500724" w:rsidRDefault="00F30FB8">
                            <w:pPr>
                              <w:pStyle w:val="Zkladntext40"/>
                              <w:shd w:val="clear" w:color="auto" w:fill="auto"/>
                              <w:spacing w:after="0" w:line="166" w:lineRule="auto"/>
                              <w:ind w:left="220" w:firstLine="20"/>
                              <w:jc w:val="left"/>
                              <w:rPr>
                                <w:sz w:val="16"/>
                                <w:szCs w:val="16"/>
                              </w:rPr>
                            </w:pPr>
                            <w:r>
                              <w:rPr>
                                <w:b/>
                                <w:bCs/>
                                <w:sz w:val="16"/>
                                <w:szCs w:val="16"/>
                                <w:lang w:val="en-US" w:eastAsia="en-US" w:bidi="en-US"/>
                              </w:rPr>
                              <w:t xml:space="preserve">176 </w:t>
                            </w:r>
                            <w:r>
                              <w:rPr>
                                <w:b/>
                                <w:bCs/>
                                <w:sz w:val="16"/>
                                <w:szCs w:val="16"/>
                              </w:rPr>
                              <w:t>stran,</w:t>
                            </w:r>
                          </w:p>
                          <w:p w:rsidR="00500724" w:rsidRDefault="00F30FB8">
                            <w:pPr>
                              <w:pStyle w:val="Zkladntext40"/>
                              <w:shd w:val="clear" w:color="auto" w:fill="auto"/>
                              <w:spacing w:after="0" w:line="166" w:lineRule="auto"/>
                              <w:ind w:left="220" w:right="1160" w:hanging="220"/>
                              <w:rPr>
                                <w:sz w:val="16"/>
                                <w:szCs w:val="16"/>
                              </w:rPr>
                            </w:pPr>
                            <w:r>
                              <w:rPr>
                                <w:b/>
                                <w:bCs/>
                                <w:sz w:val="16"/>
                                <w:szCs w:val="16"/>
                              </w:rPr>
                              <w:t xml:space="preserve">RADÓ </w:t>
                            </w:r>
                            <w:r>
                              <w:rPr>
                                <w:b/>
                                <w:bCs/>
                                <w:sz w:val="16"/>
                                <w:szCs w:val="16"/>
                                <w:lang w:val="en-US" w:eastAsia="en-US" w:bidi="en-US"/>
                              </w:rPr>
                              <w:t xml:space="preserve">Alexander, The Atlas of To-day and Tomorrow. 21X26 cm, 209 map, 93 </w:t>
                            </w:r>
                            <w:r>
                              <w:rPr>
                                <w:b/>
                                <w:bCs/>
                                <w:sz w:val="16"/>
                                <w:szCs w:val="16"/>
                              </w:rPr>
                              <w:t>stran textu,</w:t>
                            </w:r>
                          </w:p>
                          <w:p w:rsidR="00500724" w:rsidRDefault="00F30FB8">
                            <w:pPr>
                              <w:pStyle w:val="Zkladntext40"/>
                              <w:shd w:val="clear" w:color="auto" w:fill="auto"/>
                              <w:spacing w:after="0" w:line="166" w:lineRule="auto"/>
                              <w:ind w:left="220" w:right="1160" w:hanging="220"/>
                              <w:rPr>
                                <w:sz w:val="16"/>
                                <w:szCs w:val="16"/>
                              </w:rPr>
                            </w:pPr>
                            <w:r>
                              <w:rPr>
                                <w:b/>
                                <w:bCs/>
                                <w:sz w:val="16"/>
                                <w:szCs w:val="16"/>
                                <w:lang w:val="en-US" w:eastAsia="en-US" w:bidi="en-US"/>
                              </w:rPr>
                              <w:t>De La RONCI</w:t>
                            </w:r>
                            <w:r>
                              <w:rPr>
                                <w:b/>
                                <w:bCs/>
                                <w:sz w:val="16"/>
                                <w:szCs w:val="16"/>
                                <w:lang w:val="en-US" w:eastAsia="en-US" w:bidi="en-US"/>
                              </w:rPr>
                              <w:t xml:space="preserve">ERE </w:t>
                            </w:r>
                            <w:r>
                              <w:rPr>
                                <w:b/>
                                <w:bCs/>
                                <w:sz w:val="16"/>
                                <w:szCs w:val="16"/>
                              </w:rPr>
                              <w:t xml:space="preserve">Ch., </w:t>
                            </w:r>
                            <w:r>
                              <w:rPr>
                                <w:b/>
                                <w:bCs/>
                                <w:sz w:val="16"/>
                                <w:szCs w:val="16"/>
                                <w:lang w:val="en-US" w:eastAsia="en-US" w:bidi="en-US"/>
                              </w:rPr>
                              <w:t xml:space="preserve">Hlstoire de la </w:t>
                            </w:r>
                            <w:r>
                              <w:rPr>
                                <w:b/>
                                <w:bCs/>
                                <w:sz w:val="16"/>
                                <w:szCs w:val="16"/>
                              </w:rPr>
                              <w:t xml:space="preserve">Décou- </w:t>
                            </w:r>
                            <w:r>
                              <w:rPr>
                                <w:b/>
                                <w:bCs/>
                                <w:sz w:val="16"/>
                                <w:szCs w:val="16"/>
                                <w:lang w:val="en-US" w:eastAsia="en-US" w:bidi="en-US"/>
                              </w:rPr>
                              <w:t xml:space="preserve">verte de la Terre. Explorateurs et </w:t>
                            </w:r>
                            <w:r>
                              <w:rPr>
                                <w:b/>
                                <w:bCs/>
                                <w:sz w:val="16"/>
                                <w:szCs w:val="16"/>
                              </w:rPr>
                              <w:t xml:space="preserve">Conqué- </w:t>
                            </w:r>
                            <w:r>
                              <w:rPr>
                                <w:b/>
                                <w:bCs/>
                                <w:sz w:val="16"/>
                                <w:szCs w:val="16"/>
                                <w:lang w:val="en-US" w:eastAsia="en-US" w:bidi="en-US"/>
                              </w:rPr>
                              <w:t xml:space="preserve">rants. 32x24 cm, 304 str., 5S6 </w:t>
                            </w:r>
                            <w:r>
                              <w:rPr>
                                <w:b/>
                                <w:bCs/>
                                <w:sz w:val="16"/>
                                <w:szCs w:val="16"/>
                              </w:rPr>
                              <w:t xml:space="preserve">rytin </w:t>
                            </w:r>
                            <w:r>
                              <w:rPr>
                                <w:b/>
                                <w:bCs/>
                                <w:sz w:val="16"/>
                                <w:szCs w:val="16"/>
                                <w:lang w:val="en-US" w:eastAsia="en-US" w:bidi="en-US"/>
                              </w:rPr>
                              <w:t xml:space="preserve">a map a 8 </w:t>
                            </w:r>
                            <w:r>
                              <w:rPr>
                                <w:b/>
                                <w:bCs/>
                                <w:sz w:val="16"/>
                                <w:szCs w:val="16"/>
                              </w:rPr>
                              <w:t xml:space="preserve">barevných tabulí mimo </w:t>
                            </w:r>
                            <w:r>
                              <w:rPr>
                                <w:b/>
                                <w:bCs/>
                                <w:sz w:val="16"/>
                                <w:szCs w:val="16"/>
                                <w:lang w:val="en-US" w:eastAsia="en-US" w:bidi="en-US"/>
                              </w:rPr>
                              <w:t>text,</w:t>
                            </w:r>
                          </w:p>
                          <w:p w:rsidR="00500724" w:rsidRDefault="00F30FB8">
                            <w:pPr>
                              <w:pStyle w:val="Zkladntext40"/>
                              <w:shd w:val="clear" w:color="auto" w:fill="auto"/>
                              <w:spacing w:after="0" w:line="170" w:lineRule="auto"/>
                              <w:ind w:left="220" w:right="1160" w:hanging="220"/>
                              <w:rPr>
                                <w:sz w:val="16"/>
                                <w:szCs w:val="16"/>
                              </w:rPr>
                            </w:pPr>
                            <w:r>
                              <w:rPr>
                                <w:b/>
                                <w:bCs/>
                                <w:sz w:val="16"/>
                                <w:szCs w:val="16"/>
                                <w:lang w:val="en-US" w:eastAsia="en-US" w:bidi="en-US"/>
                              </w:rPr>
                              <w:t xml:space="preserve">TIBERGEN J., XJne Methode et son Application au Monvement des Investissements. 24X16 cm, 178 </w:t>
                            </w:r>
                            <w:r>
                              <w:rPr>
                                <w:b/>
                                <w:bCs/>
                                <w:sz w:val="16"/>
                                <w:szCs w:val="16"/>
                              </w:rPr>
                              <w:t>stran,</w:t>
                            </w:r>
                          </w:p>
                          <w:p w:rsidR="00500724" w:rsidRDefault="00F30FB8">
                            <w:pPr>
                              <w:pStyle w:val="Zkladntext40"/>
                              <w:shd w:val="clear" w:color="auto" w:fill="auto"/>
                              <w:spacing w:after="0" w:line="170" w:lineRule="auto"/>
                              <w:ind w:left="220" w:right="1160" w:hanging="220"/>
                              <w:rPr>
                                <w:sz w:val="16"/>
                                <w:szCs w:val="16"/>
                              </w:rPr>
                            </w:pPr>
                            <w:r>
                              <w:rPr>
                                <w:b/>
                                <w:bCs/>
                                <w:sz w:val="16"/>
                                <w:szCs w:val="16"/>
                                <w:lang w:val="en-US" w:eastAsia="en-US" w:bidi="en-US"/>
                              </w:rPr>
                              <w:t>HUIZING</w:t>
                            </w:r>
                            <w:r>
                              <w:rPr>
                                <w:b/>
                                <w:bCs/>
                                <w:sz w:val="16"/>
                                <w:szCs w:val="16"/>
                                <w:lang w:val="en-US" w:eastAsia="en-US" w:bidi="en-US"/>
                              </w:rPr>
                              <w:t xml:space="preserve">A J., Herbst des Mlttelalters. 23x15 cm, 556 </w:t>
                            </w:r>
                            <w:r>
                              <w:rPr>
                                <w:b/>
                                <w:bCs/>
                                <w:sz w:val="16"/>
                                <w:szCs w:val="16"/>
                              </w:rPr>
                              <w:t>stran,</w:t>
                            </w:r>
                          </w:p>
                          <w:p w:rsidR="00500724" w:rsidRDefault="00F30FB8">
                            <w:pPr>
                              <w:pStyle w:val="Zkladntext40"/>
                              <w:shd w:val="clear" w:color="auto" w:fill="auto"/>
                              <w:spacing w:after="100" w:line="166" w:lineRule="auto"/>
                              <w:ind w:left="220" w:right="1160" w:hanging="220"/>
                              <w:rPr>
                                <w:sz w:val="16"/>
                                <w:szCs w:val="16"/>
                              </w:rPr>
                            </w:pPr>
                            <w:r>
                              <w:rPr>
                                <w:b/>
                                <w:bCs/>
                                <w:sz w:val="16"/>
                                <w:szCs w:val="16"/>
                                <w:lang w:val="en-US" w:eastAsia="en-US" w:bidi="en-US"/>
                              </w:rPr>
                              <w:t xml:space="preserve">RATHEISER L., Bundfunkrohren. Eigenschaf- ten und Anwendung. III. Auflage. 25x18 cm, 275 </w:t>
                            </w:r>
                            <w:r>
                              <w:rPr>
                                <w:b/>
                                <w:bCs/>
                                <w:sz w:val="16"/>
                                <w:szCs w:val="16"/>
                              </w:rPr>
                              <w:t>stran,</w:t>
                            </w:r>
                          </w:p>
                          <w:p w:rsidR="00500724" w:rsidRDefault="00F30FB8">
                            <w:pPr>
                              <w:pStyle w:val="Jin0"/>
                              <w:shd w:val="clear" w:color="auto" w:fill="auto"/>
                              <w:ind w:firstLine="0"/>
                              <w:jc w:val="left"/>
                              <w:rPr>
                                <w:sz w:val="28"/>
                                <w:szCs w:val="28"/>
                              </w:rPr>
                            </w:pPr>
                            <w:r>
                              <w:rPr>
                                <w:rFonts w:ascii="Arial" w:eastAsia="Arial" w:hAnsi="Arial" w:cs="Arial"/>
                                <w:b/>
                                <w:bCs/>
                                <w:w w:val="70"/>
                                <w:sz w:val="28"/>
                                <w:szCs w:val="28"/>
                                <w:lang w:val="en-US" w:eastAsia="en-US" w:bidi="en-US"/>
                              </w:rPr>
                              <w:t xml:space="preserve">E </w:t>
                            </w:r>
                            <w:r>
                              <w:rPr>
                                <w:rFonts w:ascii="Arial" w:eastAsia="Arial" w:hAnsi="Arial" w:cs="Arial"/>
                                <w:b/>
                                <w:bCs/>
                                <w:w w:val="70"/>
                                <w:sz w:val="28"/>
                                <w:szCs w:val="28"/>
                              </w:rPr>
                              <w:t xml:space="preserve">Topič, knihkupectví, </w:t>
                            </w:r>
                            <w:r>
                              <w:rPr>
                                <w:rFonts w:ascii="Arial" w:eastAsia="Arial" w:hAnsi="Arial" w:cs="Arial"/>
                                <w:b/>
                                <w:bCs/>
                                <w:w w:val="70"/>
                                <w:sz w:val="28"/>
                                <w:szCs w:val="28"/>
                                <w:lang w:val="en-US" w:eastAsia="en-US" w:bidi="en-US"/>
                              </w:rPr>
                              <w:t xml:space="preserve">Praha l„ </w:t>
                            </w:r>
                            <w:r>
                              <w:rPr>
                                <w:rFonts w:ascii="Arial" w:eastAsia="Arial" w:hAnsi="Arial" w:cs="Arial"/>
                                <w:b/>
                                <w:bCs/>
                                <w:w w:val="70"/>
                                <w:sz w:val="28"/>
                                <w:szCs w:val="28"/>
                              </w:rPr>
                              <w:t xml:space="preserve">Národní Iř. </w:t>
                            </w:r>
                            <w:r>
                              <w:rPr>
                                <w:rFonts w:ascii="Arial" w:eastAsia="Arial" w:hAnsi="Arial" w:cs="Arial"/>
                                <w:b/>
                                <w:bCs/>
                                <w:w w:val="70"/>
                                <w:sz w:val="28"/>
                                <w:szCs w:val="28"/>
                                <w:lang w:val="en-US" w:eastAsia="en-US" w:bidi="en-US"/>
                              </w:rPr>
                              <w:t>11</w:t>
                            </w:r>
                          </w:p>
                        </w:txbxContent>
                      </wps:txbx>
                      <wps:bodyPr lIns="0" tIns="0" rIns="0" bIns="0">
                        <a:spAutoFit/>
                      </wps:bodyPr>
                    </wps:wsp>
                  </a:graphicData>
                </a:graphic>
              </wp:anchor>
            </w:drawing>
          </mc:Choice>
          <mc:Fallback>
            <w:pict>
              <v:shape id="_x0000_s1513" type="#_x0000_t202" style="position:absolute;margin-left:315.pt;margin-top:554.14999999999998pt;width:234.5pt;height:196.30000000000001pt;z-index:-125828889;mso-wrap-distance-left:12.4pt;mso-wrap-distance-top:313.89999999999998pt;mso-wrap-distance-right:7.3499999999999996pt;mso-wrap-distance-bottom:31.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166" w:lineRule="auto"/>
                        <w:ind w:left="220" w:right="0" w:firstLine="20"/>
                        <w:jc w:val="left"/>
                        <w:rPr>
                          <w:sz w:val="16"/>
                          <w:szCs w:val="16"/>
                        </w:rPr>
                      </w:pPr>
                      <w:r>
                        <w:rPr>
                          <w:b/>
                          <w:bCs/>
                          <w:color w:val="000000"/>
                          <w:spacing w:val="0"/>
                          <w:w w:val="100"/>
                          <w:position w:val="0"/>
                          <w:sz w:val="16"/>
                          <w:szCs w:val="16"/>
                          <w:shd w:val="clear" w:color="auto" w:fill="auto"/>
                          <w:lang w:val="cs-CZ" w:eastAsia="cs-CZ" w:bidi="cs-CZ"/>
                        </w:rPr>
                        <w:t>důvodu platnosti mezinárodního práva. —</w:t>
                      </w:r>
                    </w:p>
                    <w:p>
                      <w:pPr>
                        <w:pStyle w:val="Style42"/>
                        <w:keepNext w:val="0"/>
                        <w:keepLines w:val="0"/>
                        <w:widowControl w:val="0"/>
                        <w:shd w:val="clear" w:color="auto" w:fill="auto"/>
                        <w:bidi w:val="0"/>
                        <w:spacing w:before="0" w:after="0" w:line="166" w:lineRule="auto"/>
                        <w:ind w:left="220" w:right="0" w:firstLine="20"/>
                        <w:jc w:val="left"/>
                        <w:rPr>
                          <w:sz w:val="16"/>
                          <w:szCs w:val="16"/>
                        </w:rPr>
                      </w:pPr>
                      <w:r>
                        <w:rPr>
                          <w:b/>
                          <w:bCs/>
                          <w:color w:val="000000"/>
                          <w:spacing w:val="0"/>
                          <w:w w:val="100"/>
                          <w:position w:val="0"/>
                          <w:sz w:val="16"/>
                          <w:szCs w:val="16"/>
                          <w:shd w:val="clear" w:color="auto" w:fill="auto"/>
                          <w:lang w:val="cs-CZ" w:eastAsia="cs-CZ" w:bidi="cs-CZ"/>
                        </w:rPr>
                        <w:t>24.5x16 cm, 132 stran,</w:t>
                      </w:r>
                    </w:p>
                    <w:p>
                      <w:pPr>
                        <w:pStyle w:val="Style42"/>
                        <w:keepNext w:val="0"/>
                        <w:keepLines w:val="0"/>
                        <w:widowControl w:val="0"/>
                        <w:shd w:val="clear" w:color="auto" w:fill="auto"/>
                        <w:tabs>
                          <w:tab w:pos="3470" w:val="left"/>
                        </w:tabs>
                        <w:bidi w:val="0"/>
                        <w:spacing w:before="0" w:after="0" w:line="166" w:lineRule="auto"/>
                        <w:ind w:left="220" w:right="560" w:hanging="220"/>
                        <w:jc w:val="left"/>
                        <w:rPr>
                          <w:sz w:val="16"/>
                          <w:szCs w:val="16"/>
                        </w:rPr>
                      </w:pPr>
                      <w:r>
                        <w:rPr>
                          <w:b/>
                          <w:bCs/>
                          <w:color w:val="000000"/>
                          <w:spacing w:val="0"/>
                          <w:w w:val="100"/>
                          <w:position w:val="0"/>
                          <w:sz w:val="16"/>
                          <w:szCs w:val="16"/>
                          <w:shd w:val="clear" w:color="auto" w:fill="auto"/>
                          <w:lang w:val="cs-CZ" w:eastAsia="cs-CZ" w:bidi="cs-CZ"/>
                        </w:rPr>
                        <w:t>WIRTH František, Návod ku prováděni od</w:t>
                        <w:softHyphen/>
                        <w:t>hadů nemovitostí se zvláštním zřetelem k odhadům v řízeni exekučním. 20.5x12.5 cm, 178 stran.</w:t>
                        <w:tab/>
                        <w:t>brož. K</w:t>
                      </w:r>
                    </w:p>
                    <w:p>
                      <w:pPr>
                        <w:pStyle w:val="Style42"/>
                        <w:keepNext w:val="0"/>
                        <w:keepLines w:val="0"/>
                        <w:widowControl w:val="0"/>
                        <w:shd w:val="clear" w:color="auto" w:fill="auto"/>
                        <w:bidi w:val="0"/>
                        <w:spacing w:before="0" w:after="0" w:line="166" w:lineRule="auto"/>
                        <w:ind w:left="220" w:right="1160" w:hanging="220"/>
                        <w:rPr>
                          <w:sz w:val="16"/>
                          <w:szCs w:val="16"/>
                        </w:rPr>
                      </w:pPr>
                      <w:r>
                        <w:rPr>
                          <w:b/>
                          <w:bCs/>
                          <w:color w:val="000000"/>
                          <w:spacing w:val="0"/>
                          <w:w w:val="100"/>
                          <w:position w:val="0"/>
                          <w:sz w:val="16"/>
                          <w:szCs w:val="16"/>
                          <w:shd w:val="clear" w:color="auto" w:fill="auto"/>
                          <w:lang w:val="en-US" w:eastAsia="en-US" w:bidi="en-US"/>
                        </w:rPr>
                        <w:t>The Population Problem. The Experts and the Public. T. H. MARSCHALL, A. M. CARR- SAUNDERS, H. D. HENDERSON, R. R.</w:t>
                      </w:r>
                    </w:p>
                    <w:p>
                      <w:pPr>
                        <w:pStyle w:val="Style42"/>
                        <w:keepNext w:val="0"/>
                        <w:keepLines w:val="0"/>
                        <w:widowControl w:val="0"/>
                        <w:shd w:val="clear" w:color="auto" w:fill="auto"/>
                        <w:bidi w:val="0"/>
                        <w:spacing w:before="0" w:after="0" w:line="166" w:lineRule="auto"/>
                        <w:ind w:left="220" w:right="0" w:firstLine="20"/>
                        <w:jc w:val="left"/>
                        <w:rPr>
                          <w:sz w:val="16"/>
                          <w:szCs w:val="16"/>
                        </w:rPr>
                      </w:pPr>
                      <w:r>
                        <w:rPr>
                          <w:b/>
                          <w:bCs/>
                          <w:color w:val="000000"/>
                          <w:spacing w:val="0"/>
                          <w:w w:val="100"/>
                          <w:position w:val="0"/>
                          <w:sz w:val="16"/>
                          <w:szCs w:val="16"/>
                          <w:shd w:val="clear" w:color="auto" w:fill="auto"/>
                          <w:lang w:val="en-US" w:eastAsia="en-US" w:bidi="en-US"/>
                        </w:rPr>
                        <w:t>KUCZYNSKI, Arnold PLANT. 19x12 cm,</w:t>
                      </w:r>
                    </w:p>
                    <w:p>
                      <w:pPr>
                        <w:pStyle w:val="Style42"/>
                        <w:keepNext w:val="0"/>
                        <w:keepLines w:val="0"/>
                        <w:widowControl w:val="0"/>
                        <w:shd w:val="clear" w:color="auto" w:fill="auto"/>
                        <w:bidi w:val="0"/>
                        <w:spacing w:before="0" w:after="0" w:line="166" w:lineRule="auto"/>
                        <w:ind w:left="220" w:right="0" w:firstLine="20"/>
                        <w:jc w:val="left"/>
                        <w:rPr>
                          <w:sz w:val="16"/>
                          <w:szCs w:val="16"/>
                        </w:rPr>
                      </w:pPr>
                      <w:r>
                        <w:rPr>
                          <w:b/>
                          <w:bCs/>
                          <w:color w:val="000000"/>
                          <w:spacing w:val="0"/>
                          <w:w w:val="100"/>
                          <w:position w:val="0"/>
                          <w:sz w:val="16"/>
                          <w:szCs w:val="16"/>
                          <w:shd w:val="clear" w:color="auto" w:fill="auto"/>
                          <w:lang w:val="en-US" w:eastAsia="en-US" w:bidi="en-US"/>
                        </w:rPr>
                        <w:t xml:space="preserve">176 </w:t>
                      </w:r>
                      <w:r>
                        <w:rPr>
                          <w:b/>
                          <w:bCs/>
                          <w:color w:val="000000"/>
                          <w:spacing w:val="0"/>
                          <w:w w:val="100"/>
                          <w:position w:val="0"/>
                          <w:sz w:val="16"/>
                          <w:szCs w:val="16"/>
                          <w:shd w:val="clear" w:color="auto" w:fill="auto"/>
                          <w:lang w:val="cs-CZ" w:eastAsia="cs-CZ" w:bidi="cs-CZ"/>
                        </w:rPr>
                        <w:t>stran,</w:t>
                      </w:r>
                    </w:p>
                    <w:p>
                      <w:pPr>
                        <w:pStyle w:val="Style42"/>
                        <w:keepNext w:val="0"/>
                        <w:keepLines w:val="0"/>
                        <w:widowControl w:val="0"/>
                        <w:shd w:val="clear" w:color="auto" w:fill="auto"/>
                        <w:bidi w:val="0"/>
                        <w:spacing w:before="0" w:after="0" w:line="166" w:lineRule="auto"/>
                        <w:ind w:left="220" w:right="1160" w:hanging="220"/>
                        <w:rPr>
                          <w:sz w:val="16"/>
                          <w:szCs w:val="16"/>
                        </w:rPr>
                      </w:pPr>
                      <w:r>
                        <w:rPr>
                          <w:b/>
                          <w:bCs/>
                          <w:color w:val="000000"/>
                          <w:spacing w:val="0"/>
                          <w:w w:val="100"/>
                          <w:position w:val="0"/>
                          <w:sz w:val="16"/>
                          <w:szCs w:val="16"/>
                          <w:shd w:val="clear" w:color="auto" w:fill="auto"/>
                          <w:lang w:val="cs-CZ" w:eastAsia="cs-CZ" w:bidi="cs-CZ"/>
                        </w:rPr>
                        <w:t xml:space="preserve">RADÓ </w:t>
                      </w:r>
                      <w:r>
                        <w:rPr>
                          <w:b/>
                          <w:bCs/>
                          <w:color w:val="000000"/>
                          <w:spacing w:val="0"/>
                          <w:w w:val="100"/>
                          <w:position w:val="0"/>
                          <w:sz w:val="16"/>
                          <w:szCs w:val="16"/>
                          <w:shd w:val="clear" w:color="auto" w:fill="auto"/>
                          <w:lang w:val="en-US" w:eastAsia="en-US" w:bidi="en-US"/>
                        </w:rPr>
                        <w:t xml:space="preserve">Alexander, The Atlas of To-day and Tomorrow. 21X26 cm, 209 map, 93 </w:t>
                      </w:r>
                      <w:r>
                        <w:rPr>
                          <w:b/>
                          <w:bCs/>
                          <w:color w:val="000000"/>
                          <w:spacing w:val="0"/>
                          <w:w w:val="100"/>
                          <w:position w:val="0"/>
                          <w:sz w:val="16"/>
                          <w:szCs w:val="16"/>
                          <w:shd w:val="clear" w:color="auto" w:fill="auto"/>
                          <w:lang w:val="cs-CZ" w:eastAsia="cs-CZ" w:bidi="cs-CZ"/>
                        </w:rPr>
                        <w:t>stran textu,</w:t>
                      </w:r>
                    </w:p>
                    <w:p>
                      <w:pPr>
                        <w:pStyle w:val="Style42"/>
                        <w:keepNext w:val="0"/>
                        <w:keepLines w:val="0"/>
                        <w:widowControl w:val="0"/>
                        <w:shd w:val="clear" w:color="auto" w:fill="auto"/>
                        <w:bidi w:val="0"/>
                        <w:spacing w:before="0" w:after="0" w:line="166" w:lineRule="auto"/>
                        <w:ind w:left="220" w:right="1160" w:hanging="220"/>
                        <w:rPr>
                          <w:sz w:val="16"/>
                          <w:szCs w:val="16"/>
                        </w:rPr>
                      </w:pPr>
                      <w:r>
                        <w:rPr>
                          <w:b/>
                          <w:bCs/>
                          <w:color w:val="000000"/>
                          <w:spacing w:val="0"/>
                          <w:w w:val="100"/>
                          <w:position w:val="0"/>
                          <w:sz w:val="16"/>
                          <w:szCs w:val="16"/>
                          <w:shd w:val="clear" w:color="auto" w:fill="auto"/>
                          <w:lang w:val="en-US" w:eastAsia="en-US" w:bidi="en-US"/>
                        </w:rPr>
                        <w:t xml:space="preserve">De La RONCIERE </w:t>
                      </w:r>
                      <w:r>
                        <w:rPr>
                          <w:b/>
                          <w:bCs/>
                          <w:color w:val="000000"/>
                          <w:spacing w:val="0"/>
                          <w:w w:val="100"/>
                          <w:position w:val="0"/>
                          <w:sz w:val="16"/>
                          <w:szCs w:val="16"/>
                          <w:shd w:val="clear" w:color="auto" w:fill="auto"/>
                          <w:lang w:val="cs-CZ" w:eastAsia="cs-CZ" w:bidi="cs-CZ"/>
                        </w:rPr>
                        <w:t xml:space="preserve">Ch., </w:t>
                      </w:r>
                      <w:r>
                        <w:rPr>
                          <w:b/>
                          <w:bCs/>
                          <w:color w:val="000000"/>
                          <w:spacing w:val="0"/>
                          <w:w w:val="100"/>
                          <w:position w:val="0"/>
                          <w:sz w:val="16"/>
                          <w:szCs w:val="16"/>
                          <w:shd w:val="clear" w:color="auto" w:fill="auto"/>
                          <w:lang w:val="en-US" w:eastAsia="en-US" w:bidi="en-US"/>
                        </w:rPr>
                        <w:t xml:space="preserve">Hlstoire de la </w:t>
                      </w:r>
                      <w:r>
                        <w:rPr>
                          <w:b/>
                          <w:bCs/>
                          <w:color w:val="000000"/>
                          <w:spacing w:val="0"/>
                          <w:w w:val="100"/>
                          <w:position w:val="0"/>
                          <w:sz w:val="16"/>
                          <w:szCs w:val="16"/>
                          <w:shd w:val="clear" w:color="auto" w:fill="auto"/>
                          <w:lang w:val="cs-CZ" w:eastAsia="cs-CZ" w:bidi="cs-CZ"/>
                        </w:rPr>
                        <w:t xml:space="preserve">Décou- </w:t>
                      </w:r>
                      <w:r>
                        <w:rPr>
                          <w:b/>
                          <w:bCs/>
                          <w:color w:val="000000"/>
                          <w:spacing w:val="0"/>
                          <w:w w:val="100"/>
                          <w:position w:val="0"/>
                          <w:sz w:val="16"/>
                          <w:szCs w:val="16"/>
                          <w:shd w:val="clear" w:color="auto" w:fill="auto"/>
                          <w:lang w:val="en-US" w:eastAsia="en-US" w:bidi="en-US"/>
                        </w:rPr>
                        <w:t xml:space="preserve">verte de la Terre. Explorateurs et </w:t>
                      </w:r>
                      <w:r>
                        <w:rPr>
                          <w:b/>
                          <w:bCs/>
                          <w:color w:val="000000"/>
                          <w:spacing w:val="0"/>
                          <w:w w:val="100"/>
                          <w:position w:val="0"/>
                          <w:sz w:val="16"/>
                          <w:szCs w:val="16"/>
                          <w:shd w:val="clear" w:color="auto" w:fill="auto"/>
                          <w:lang w:val="cs-CZ" w:eastAsia="cs-CZ" w:bidi="cs-CZ"/>
                        </w:rPr>
                        <w:t xml:space="preserve">Conqué- </w:t>
                      </w:r>
                      <w:r>
                        <w:rPr>
                          <w:b/>
                          <w:bCs/>
                          <w:color w:val="000000"/>
                          <w:spacing w:val="0"/>
                          <w:w w:val="100"/>
                          <w:position w:val="0"/>
                          <w:sz w:val="16"/>
                          <w:szCs w:val="16"/>
                          <w:shd w:val="clear" w:color="auto" w:fill="auto"/>
                          <w:lang w:val="en-US" w:eastAsia="en-US" w:bidi="en-US"/>
                        </w:rPr>
                        <w:t xml:space="preserve">rants. 32x24 cm, 304 str., 5S6 </w:t>
                      </w:r>
                      <w:r>
                        <w:rPr>
                          <w:b/>
                          <w:bCs/>
                          <w:color w:val="000000"/>
                          <w:spacing w:val="0"/>
                          <w:w w:val="100"/>
                          <w:position w:val="0"/>
                          <w:sz w:val="16"/>
                          <w:szCs w:val="16"/>
                          <w:shd w:val="clear" w:color="auto" w:fill="auto"/>
                          <w:lang w:val="cs-CZ" w:eastAsia="cs-CZ" w:bidi="cs-CZ"/>
                        </w:rPr>
                        <w:t xml:space="preserve">rytin </w:t>
                      </w:r>
                      <w:r>
                        <w:rPr>
                          <w:b/>
                          <w:bCs/>
                          <w:color w:val="000000"/>
                          <w:spacing w:val="0"/>
                          <w:w w:val="100"/>
                          <w:position w:val="0"/>
                          <w:sz w:val="16"/>
                          <w:szCs w:val="16"/>
                          <w:shd w:val="clear" w:color="auto" w:fill="auto"/>
                          <w:lang w:val="en-US" w:eastAsia="en-US" w:bidi="en-US"/>
                        </w:rPr>
                        <w:t xml:space="preserve">a map a 8 </w:t>
                      </w:r>
                      <w:r>
                        <w:rPr>
                          <w:b/>
                          <w:bCs/>
                          <w:color w:val="000000"/>
                          <w:spacing w:val="0"/>
                          <w:w w:val="100"/>
                          <w:position w:val="0"/>
                          <w:sz w:val="16"/>
                          <w:szCs w:val="16"/>
                          <w:shd w:val="clear" w:color="auto" w:fill="auto"/>
                          <w:lang w:val="cs-CZ" w:eastAsia="cs-CZ" w:bidi="cs-CZ"/>
                        </w:rPr>
                        <w:t xml:space="preserve">barevných tabulí mimo </w:t>
                      </w:r>
                      <w:r>
                        <w:rPr>
                          <w:b/>
                          <w:bCs/>
                          <w:color w:val="000000"/>
                          <w:spacing w:val="0"/>
                          <w:w w:val="100"/>
                          <w:position w:val="0"/>
                          <w:sz w:val="16"/>
                          <w:szCs w:val="16"/>
                          <w:shd w:val="clear" w:color="auto" w:fill="auto"/>
                          <w:lang w:val="en-US" w:eastAsia="en-US" w:bidi="en-US"/>
                        </w:rPr>
                        <w:t>text,</w:t>
                      </w:r>
                    </w:p>
                    <w:p>
                      <w:pPr>
                        <w:pStyle w:val="Style42"/>
                        <w:keepNext w:val="0"/>
                        <w:keepLines w:val="0"/>
                        <w:widowControl w:val="0"/>
                        <w:shd w:val="clear" w:color="auto" w:fill="auto"/>
                        <w:bidi w:val="0"/>
                        <w:spacing w:before="0" w:after="0" w:line="170" w:lineRule="auto"/>
                        <w:ind w:left="220" w:right="1160" w:hanging="220"/>
                        <w:rPr>
                          <w:sz w:val="16"/>
                          <w:szCs w:val="16"/>
                        </w:rPr>
                      </w:pPr>
                      <w:r>
                        <w:rPr>
                          <w:b/>
                          <w:bCs/>
                          <w:color w:val="000000"/>
                          <w:spacing w:val="0"/>
                          <w:w w:val="100"/>
                          <w:position w:val="0"/>
                          <w:sz w:val="16"/>
                          <w:szCs w:val="16"/>
                          <w:shd w:val="clear" w:color="auto" w:fill="auto"/>
                          <w:lang w:val="en-US" w:eastAsia="en-US" w:bidi="en-US"/>
                        </w:rPr>
                        <w:t xml:space="preserve">TIBERGEN J., XJne Methode et son Application au Monvement des Investissements. 24X16 cm, 178 </w:t>
                      </w:r>
                      <w:r>
                        <w:rPr>
                          <w:b/>
                          <w:bCs/>
                          <w:color w:val="000000"/>
                          <w:spacing w:val="0"/>
                          <w:w w:val="100"/>
                          <w:position w:val="0"/>
                          <w:sz w:val="16"/>
                          <w:szCs w:val="16"/>
                          <w:shd w:val="clear" w:color="auto" w:fill="auto"/>
                          <w:lang w:val="cs-CZ" w:eastAsia="cs-CZ" w:bidi="cs-CZ"/>
                        </w:rPr>
                        <w:t>stran,</w:t>
                      </w:r>
                    </w:p>
                    <w:p>
                      <w:pPr>
                        <w:pStyle w:val="Style42"/>
                        <w:keepNext w:val="0"/>
                        <w:keepLines w:val="0"/>
                        <w:widowControl w:val="0"/>
                        <w:shd w:val="clear" w:color="auto" w:fill="auto"/>
                        <w:bidi w:val="0"/>
                        <w:spacing w:before="0" w:after="0" w:line="170" w:lineRule="auto"/>
                        <w:ind w:left="220" w:right="1160" w:hanging="220"/>
                        <w:rPr>
                          <w:sz w:val="16"/>
                          <w:szCs w:val="16"/>
                        </w:rPr>
                      </w:pPr>
                      <w:r>
                        <w:rPr>
                          <w:b/>
                          <w:bCs/>
                          <w:color w:val="000000"/>
                          <w:spacing w:val="0"/>
                          <w:w w:val="100"/>
                          <w:position w:val="0"/>
                          <w:sz w:val="16"/>
                          <w:szCs w:val="16"/>
                          <w:shd w:val="clear" w:color="auto" w:fill="auto"/>
                          <w:lang w:val="en-US" w:eastAsia="en-US" w:bidi="en-US"/>
                        </w:rPr>
                        <w:t xml:space="preserve">HUIZINGA J., Herbst des Mlttelalters. 23x15 cm, 556 </w:t>
                      </w:r>
                      <w:r>
                        <w:rPr>
                          <w:b/>
                          <w:bCs/>
                          <w:color w:val="000000"/>
                          <w:spacing w:val="0"/>
                          <w:w w:val="100"/>
                          <w:position w:val="0"/>
                          <w:sz w:val="16"/>
                          <w:szCs w:val="16"/>
                          <w:shd w:val="clear" w:color="auto" w:fill="auto"/>
                          <w:lang w:val="cs-CZ" w:eastAsia="cs-CZ" w:bidi="cs-CZ"/>
                        </w:rPr>
                        <w:t>stran,</w:t>
                      </w:r>
                    </w:p>
                    <w:p>
                      <w:pPr>
                        <w:pStyle w:val="Style42"/>
                        <w:keepNext w:val="0"/>
                        <w:keepLines w:val="0"/>
                        <w:widowControl w:val="0"/>
                        <w:shd w:val="clear" w:color="auto" w:fill="auto"/>
                        <w:bidi w:val="0"/>
                        <w:spacing w:before="0" w:after="100" w:line="166" w:lineRule="auto"/>
                        <w:ind w:left="220" w:right="1160" w:hanging="220"/>
                        <w:rPr>
                          <w:sz w:val="16"/>
                          <w:szCs w:val="16"/>
                        </w:rPr>
                      </w:pPr>
                      <w:r>
                        <w:rPr>
                          <w:b/>
                          <w:bCs/>
                          <w:color w:val="000000"/>
                          <w:spacing w:val="0"/>
                          <w:w w:val="100"/>
                          <w:position w:val="0"/>
                          <w:sz w:val="16"/>
                          <w:szCs w:val="16"/>
                          <w:shd w:val="clear" w:color="auto" w:fill="auto"/>
                          <w:lang w:val="en-US" w:eastAsia="en-US" w:bidi="en-US"/>
                        </w:rPr>
                        <w:t xml:space="preserve">RATHEISER L., Bundfunkrohren. Eigenschaf- ten und Anwendung. III. Auflage. 25x18 cm, 275 </w:t>
                      </w:r>
                      <w:r>
                        <w:rPr>
                          <w:b/>
                          <w:bCs/>
                          <w:color w:val="000000"/>
                          <w:spacing w:val="0"/>
                          <w:w w:val="100"/>
                          <w:position w:val="0"/>
                          <w:sz w:val="16"/>
                          <w:szCs w:val="16"/>
                          <w:shd w:val="clear" w:color="auto" w:fill="auto"/>
                          <w:lang w:val="cs-CZ" w:eastAsia="cs-CZ" w:bidi="cs-CZ"/>
                        </w:rPr>
                        <w:t>stran,</w:t>
                      </w:r>
                    </w:p>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b/>
                          <w:bCs/>
                          <w:color w:val="000000"/>
                          <w:spacing w:val="0"/>
                          <w:w w:val="70"/>
                          <w:position w:val="0"/>
                          <w:sz w:val="28"/>
                          <w:szCs w:val="28"/>
                          <w:shd w:val="clear" w:color="auto" w:fill="auto"/>
                          <w:lang w:val="en-US" w:eastAsia="en-US" w:bidi="en-US"/>
                        </w:rPr>
                        <w:t xml:space="preserve">E </w:t>
                      </w:r>
                      <w:r>
                        <w:rPr>
                          <w:rFonts w:ascii="Arial" w:eastAsia="Arial" w:hAnsi="Arial" w:cs="Arial"/>
                          <w:b/>
                          <w:bCs/>
                          <w:color w:val="000000"/>
                          <w:spacing w:val="0"/>
                          <w:w w:val="70"/>
                          <w:position w:val="0"/>
                          <w:sz w:val="28"/>
                          <w:szCs w:val="28"/>
                          <w:shd w:val="clear" w:color="auto" w:fill="auto"/>
                          <w:lang w:val="cs-CZ" w:eastAsia="cs-CZ" w:bidi="cs-CZ"/>
                        </w:rPr>
                        <w:t xml:space="preserve">Topič, knihkupectví, </w:t>
                      </w:r>
                      <w:r>
                        <w:rPr>
                          <w:rFonts w:ascii="Arial" w:eastAsia="Arial" w:hAnsi="Arial" w:cs="Arial"/>
                          <w:b/>
                          <w:bCs/>
                          <w:color w:val="000000"/>
                          <w:spacing w:val="0"/>
                          <w:w w:val="70"/>
                          <w:position w:val="0"/>
                          <w:sz w:val="28"/>
                          <w:szCs w:val="28"/>
                          <w:shd w:val="clear" w:color="auto" w:fill="auto"/>
                          <w:lang w:val="en-US" w:eastAsia="en-US" w:bidi="en-US"/>
                        </w:rPr>
                        <w:t xml:space="preserve">Praha l„ </w:t>
                      </w:r>
                      <w:r>
                        <w:rPr>
                          <w:rFonts w:ascii="Arial" w:eastAsia="Arial" w:hAnsi="Arial" w:cs="Arial"/>
                          <w:b/>
                          <w:bCs/>
                          <w:color w:val="000000"/>
                          <w:spacing w:val="0"/>
                          <w:w w:val="70"/>
                          <w:position w:val="0"/>
                          <w:sz w:val="28"/>
                          <w:szCs w:val="28"/>
                          <w:shd w:val="clear" w:color="auto" w:fill="auto"/>
                          <w:lang w:val="cs-CZ" w:eastAsia="cs-CZ" w:bidi="cs-CZ"/>
                        </w:rPr>
                        <w:t xml:space="preserve">Národní Iř. </w:t>
                      </w:r>
                      <w:r>
                        <w:rPr>
                          <w:rFonts w:ascii="Arial" w:eastAsia="Arial" w:hAnsi="Arial" w:cs="Arial"/>
                          <w:b/>
                          <w:bCs/>
                          <w:color w:val="000000"/>
                          <w:spacing w:val="0"/>
                          <w:w w:val="70"/>
                          <w:position w:val="0"/>
                          <w:sz w:val="28"/>
                          <w:szCs w:val="28"/>
                          <w:shd w:val="clear" w:color="auto" w:fill="auto"/>
                          <w:lang w:val="en-US" w:eastAsia="en-US" w:bidi="en-US"/>
                        </w:rPr>
                        <w:t>11</w:t>
                      </w:r>
                    </w:p>
                  </w:txbxContent>
                </v:textbox>
                <w10:wrap type="topAndBottom" anchorx="page" anchory="margin"/>
              </v:shape>
            </w:pict>
          </mc:Fallback>
        </mc:AlternateContent>
      </w:r>
      <w:r>
        <w:rPr>
          <w:noProof/>
        </w:rPr>
        <mc:AlternateContent>
          <mc:Choice Requires="wps">
            <w:drawing>
              <wp:anchor distT="4377055" distB="2356485" distL="2809240" distR="224790" simplePos="0" relativeHeight="125829866" behindDoc="0" locked="0" layoutInCell="1" allowOverlap="1">
                <wp:simplePos x="0" y="0"/>
                <wp:positionH relativeFrom="page">
                  <wp:posOffset>6652260</wp:posOffset>
                </wp:positionH>
                <wp:positionV relativeFrom="margin">
                  <wp:posOffset>7428230</wp:posOffset>
                </wp:positionV>
                <wp:extent cx="194945" cy="140335"/>
                <wp:effectExtent l="0" t="0" r="0" b="0"/>
                <wp:wrapTopAndBottom/>
                <wp:docPr id="489" name="Shape 489"/>
                <wp:cNvGraphicFramePr/>
                <a:graphic xmlns:a="http://schemas.openxmlformats.org/drawingml/2006/main">
                  <a:graphicData uri="http://schemas.microsoft.com/office/word/2010/wordprocessingShape">
                    <wps:wsp>
                      <wps:cNvSpPr txBox="1"/>
                      <wps:spPr>
                        <a:xfrm>
                          <a:off x="0" y="0"/>
                          <a:ext cx="194945" cy="140335"/>
                        </a:xfrm>
                        <a:prstGeom prst="rect">
                          <a:avLst/>
                        </a:prstGeom>
                        <a:noFill/>
                      </wps:spPr>
                      <wps:txbx>
                        <w:txbxContent>
                          <w:p w:rsidR="00500724" w:rsidRDefault="00F30FB8">
                            <w:pPr>
                              <w:pStyle w:val="Zkladntext40"/>
                              <w:shd w:val="clear" w:color="auto" w:fill="auto"/>
                              <w:spacing w:after="0" w:line="240" w:lineRule="auto"/>
                              <w:jc w:val="left"/>
                              <w:rPr>
                                <w:sz w:val="16"/>
                                <w:szCs w:val="16"/>
                              </w:rPr>
                            </w:pPr>
                            <w:r>
                              <w:rPr>
                                <w:b/>
                                <w:bCs/>
                                <w:sz w:val="16"/>
                                <w:szCs w:val="16"/>
                              </w:rPr>
                              <w:t>30.-</w:t>
                            </w:r>
                          </w:p>
                        </w:txbxContent>
                      </wps:txbx>
                      <wps:bodyPr lIns="0" tIns="0" rIns="0" bIns="0">
                        <a:spAutoFit/>
                      </wps:bodyPr>
                    </wps:wsp>
                  </a:graphicData>
                </a:graphic>
              </wp:anchor>
            </w:drawing>
          </mc:Choice>
          <mc:Fallback>
            <w:pict>
              <v:shape id="_x0000_s1515" type="#_x0000_t202" style="position:absolute;margin-left:523.79999999999995pt;margin-top:584.89999999999998pt;width:15.35pt;height:11.050000000000001pt;z-index:-125828887;mso-wrap-distance-left:221.19999999999999pt;mso-wrap-distance-top:344.64999999999998pt;mso-wrap-distance-right:17.699999999999999pt;mso-wrap-distance-bottom:185.55000000000001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30.-</w:t>
                      </w:r>
                    </w:p>
                  </w:txbxContent>
                </v:textbox>
                <w10:wrap type="topAndBottom" anchorx="page" anchory="margin"/>
              </v:shape>
            </w:pict>
          </mc:Fallback>
        </mc:AlternateContent>
      </w:r>
      <w:r>
        <w:rPr>
          <w:noProof/>
        </w:rPr>
        <mc:AlternateContent>
          <mc:Choice Requires="wps">
            <w:drawing>
              <wp:anchor distT="4785360" distB="671195" distL="2373630" distR="120650" simplePos="0" relativeHeight="125829868" behindDoc="0" locked="0" layoutInCell="1" allowOverlap="1">
                <wp:simplePos x="0" y="0"/>
                <wp:positionH relativeFrom="page">
                  <wp:posOffset>6216650</wp:posOffset>
                </wp:positionH>
                <wp:positionV relativeFrom="margin">
                  <wp:posOffset>7836535</wp:posOffset>
                </wp:positionV>
                <wp:extent cx="734695" cy="1417320"/>
                <wp:effectExtent l="0" t="0" r="0" b="0"/>
                <wp:wrapTopAndBottom/>
                <wp:docPr id="491" name="Shape 491"/>
                <wp:cNvGraphicFramePr/>
                <a:graphic xmlns:a="http://schemas.openxmlformats.org/drawingml/2006/main">
                  <a:graphicData uri="http://schemas.microsoft.com/office/word/2010/wordprocessingShape">
                    <wps:wsp>
                      <wps:cNvSpPr txBox="1"/>
                      <wps:spPr>
                        <a:xfrm>
                          <a:off x="0" y="0"/>
                          <a:ext cx="734695" cy="14173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653"/>
                              <w:gridCol w:w="504"/>
                            </w:tblGrid>
                            <w:tr w:rsidR="00500724">
                              <w:tblPrEx>
                                <w:tblCellMar>
                                  <w:top w:w="0" w:type="dxa"/>
                                  <w:bottom w:w="0" w:type="dxa"/>
                                </w:tblCellMar>
                              </w:tblPrEx>
                              <w:trPr>
                                <w:trHeight w:hRule="exact" w:val="326"/>
                                <w:tblHeader/>
                              </w:trPr>
                              <w:tc>
                                <w:tcPr>
                                  <w:tcW w:w="653" w:type="dxa"/>
                                  <w:shd w:val="clear" w:color="auto" w:fill="FFFFFF"/>
                                  <w:vAlign w:val="bottom"/>
                                </w:tcPr>
                                <w:p w:rsidR="00500724" w:rsidRDefault="00F30FB8">
                                  <w:pPr>
                                    <w:pStyle w:val="Jin0"/>
                                    <w:shd w:val="clear" w:color="auto" w:fill="auto"/>
                                    <w:ind w:firstLine="0"/>
                                    <w:jc w:val="left"/>
                                    <w:rPr>
                                      <w:sz w:val="16"/>
                                      <w:szCs w:val="16"/>
                                    </w:rPr>
                                  </w:pPr>
                                  <w:r>
                                    <w:rPr>
                                      <w:b/>
                                      <w:bCs/>
                                      <w:sz w:val="16"/>
                                      <w:szCs w:val="16"/>
                                    </w:rPr>
                                    <w:t xml:space="preserve">váz. </w:t>
                                  </w:r>
                                  <w:r>
                                    <w:rPr>
                                      <w:b/>
                                      <w:bCs/>
                                      <w:sz w:val="16"/>
                                      <w:szCs w:val="16"/>
                                      <w:lang w:val="en-US" w:eastAsia="en-US" w:bidi="en-US"/>
                                    </w:rPr>
                                    <w:t>K</w:t>
                                  </w:r>
                                </w:p>
                                <w:p w:rsidR="00500724" w:rsidRDefault="00F30FB8">
                                  <w:pPr>
                                    <w:pStyle w:val="Jin0"/>
                                    <w:shd w:val="clear" w:color="auto" w:fill="auto"/>
                                    <w:spacing w:line="192" w:lineRule="auto"/>
                                    <w:ind w:firstLine="0"/>
                                    <w:jc w:val="left"/>
                                    <w:rPr>
                                      <w:sz w:val="16"/>
                                      <w:szCs w:val="16"/>
                                    </w:rPr>
                                  </w:pPr>
                                  <w:r>
                                    <w:rPr>
                                      <w:b/>
                                      <w:bCs/>
                                      <w:sz w:val="16"/>
                                      <w:szCs w:val="16"/>
                                      <w:lang w:val="en-US" w:eastAsia="en-US" w:bidi="en-US"/>
                                    </w:rPr>
                                    <w:t>.</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40.—</w:t>
                                  </w:r>
                                </w:p>
                              </w:tc>
                            </w:tr>
                            <w:tr w:rsidR="00500724">
                              <w:tblPrEx>
                                <w:tblCellMar>
                                  <w:top w:w="0" w:type="dxa"/>
                                  <w:bottom w:w="0" w:type="dxa"/>
                                </w:tblCellMar>
                              </w:tblPrEx>
                              <w:trPr>
                                <w:trHeight w:hRule="exact" w:val="461"/>
                              </w:trPr>
                              <w:tc>
                                <w:tcPr>
                                  <w:tcW w:w="653" w:type="dxa"/>
                                  <w:shd w:val="clear" w:color="auto" w:fill="FFFFFF"/>
                                  <w:vAlign w:val="center"/>
                                </w:tcPr>
                                <w:p w:rsidR="00500724" w:rsidRDefault="00F30FB8">
                                  <w:pPr>
                                    <w:pStyle w:val="Jin0"/>
                                    <w:shd w:val="clear" w:color="auto" w:fill="auto"/>
                                    <w:ind w:firstLine="0"/>
                                    <w:jc w:val="left"/>
                                    <w:rPr>
                                      <w:sz w:val="16"/>
                                      <w:szCs w:val="16"/>
                                    </w:rPr>
                                  </w:pPr>
                                  <w:r>
                                    <w:rPr>
                                      <w:b/>
                                      <w:bCs/>
                                      <w:sz w:val="16"/>
                                      <w:szCs w:val="16"/>
                                      <w:lang w:val="en-US" w:eastAsia="en-US" w:bidi="en-US"/>
                                    </w:rPr>
                                    <w:t>1</w:t>
                                  </w:r>
                                </w:p>
                                <w:p w:rsidR="00500724" w:rsidRDefault="00F30FB8">
                                  <w:pPr>
                                    <w:pStyle w:val="Jin0"/>
                                    <w:shd w:val="clear" w:color="auto" w:fill="auto"/>
                                    <w:spacing w:line="180" w:lineRule="auto"/>
                                    <w:ind w:firstLine="0"/>
                                    <w:jc w:val="left"/>
                                    <w:rPr>
                                      <w:sz w:val="16"/>
                                      <w:szCs w:val="16"/>
                                    </w:rPr>
                                  </w:pPr>
                                  <w:r>
                                    <w:rPr>
                                      <w:b/>
                                      <w:bCs/>
                                      <w:sz w:val="16"/>
                                      <w:szCs w:val="16"/>
                                    </w:rPr>
                                    <w:t xml:space="preserve">váz. </w:t>
                                  </w:r>
                                  <w:r>
                                    <w:rPr>
                                      <w:b/>
                                      <w:bCs/>
                                      <w:sz w:val="16"/>
                                      <w:szCs w:val="16"/>
                                      <w:lang w:val="en-US" w:eastAsia="en-US" w:bidi="en-US"/>
                                    </w:rPr>
                                    <w:t>K</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84.—</w:t>
                                  </w:r>
                                </w:p>
                              </w:tc>
                            </w:tr>
                            <w:tr w:rsidR="00500724">
                              <w:tblPrEx>
                                <w:tblCellMar>
                                  <w:top w:w="0" w:type="dxa"/>
                                  <w:bottom w:w="0" w:type="dxa"/>
                                </w:tblCellMar>
                              </w:tblPrEx>
                              <w:trPr>
                                <w:trHeight w:hRule="exact" w:val="470"/>
                              </w:trPr>
                              <w:tc>
                                <w:tcPr>
                                  <w:tcW w:w="653" w:type="dxa"/>
                                  <w:shd w:val="clear" w:color="auto" w:fill="FFFFFF"/>
                                  <w:vAlign w:val="bottom"/>
                                </w:tcPr>
                                <w:p w:rsidR="00500724" w:rsidRDefault="00F30FB8">
                                  <w:pPr>
                                    <w:pStyle w:val="Jin0"/>
                                    <w:shd w:val="clear" w:color="auto" w:fill="auto"/>
                                    <w:ind w:firstLine="0"/>
                                    <w:jc w:val="left"/>
                                    <w:rPr>
                                      <w:sz w:val="16"/>
                                      <w:szCs w:val="16"/>
                                    </w:rPr>
                                  </w:pPr>
                                  <w:r>
                                    <w:rPr>
                                      <w:b/>
                                      <w:bCs/>
                                      <w:sz w:val="16"/>
                                      <w:szCs w:val="16"/>
                                      <w:lang w:val="en-US" w:eastAsia="en-US" w:bidi="en-US"/>
                                    </w:rPr>
                                    <w:t>»</w:t>
                                  </w:r>
                                </w:p>
                                <w:p w:rsidR="00500724" w:rsidRDefault="00F30FB8">
                                  <w:pPr>
                                    <w:pStyle w:val="Jin0"/>
                                    <w:shd w:val="clear" w:color="auto" w:fill="auto"/>
                                    <w:spacing w:line="180" w:lineRule="auto"/>
                                    <w:ind w:firstLine="0"/>
                                    <w:jc w:val="left"/>
                                    <w:rPr>
                                      <w:sz w:val="16"/>
                                      <w:szCs w:val="16"/>
                                    </w:rPr>
                                  </w:pPr>
                                  <w:r>
                                    <w:rPr>
                                      <w:b/>
                                      <w:bCs/>
                                      <w:sz w:val="16"/>
                                      <w:szCs w:val="16"/>
                                    </w:rPr>
                                    <w:t xml:space="preserve">váz. </w:t>
                                  </w:r>
                                  <w:r>
                                    <w:rPr>
                                      <w:b/>
                                      <w:bCs/>
                                      <w:sz w:val="16"/>
                                      <w:szCs w:val="16"/>
                                      <w:lang w:val="en-US" w:eastAsia="en-US" w:bidi="en-US"/>
                                    </w:rPr>
                                    <w:t>K</w:t>
                                  </w:r>
                                </w:p>
                                <w:p w:rsidR="00500724" w:rsidRDefault="00F30FB8">
                                  <w:pPr>
                                    <w:pStyle w:val="Jin0"/>
                                    <w:shd w:val="clear" w:color="auto" w:fill="auto"/>
                                    <w:spacing w:line="206" w:lineRule="auto"/>
                                    <w:ind w:firstLine="0"/>
                                    <w:jc w:val="left"/>
                                    <w:rPr>
                                      <w:sz w:val="16"/>
                                      <w:szCs w:val="16"/>
                                    </w:rPr>
                                  </w:pPr>
                                  <w:r>
                                    <w:rPr>
                                      <w:b/>
                                      <w:bCs/>
                                      <w:sz w:val="16"/>
                                      <w:szCs w:val="16"/>
                                      <w:lang w:val="en-US" w:eastAsia="en-US" w:bidi="en-US"/>
                                    </w:rPr>
                                    <w:t>i</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210.—</w:t>
                                  </w:r>
                                </w:p>
                              </w:tc>
                            </w:tr>
                            <w:tr w:rsidR="00500724">
                              <w:tblPrEx>
                                <w:tblCellMar>
                                  <w:top w:w="0" w:type="dxa"/>
                                  <w:bottom w:w="0" w:type="dxa"/>
                                </w:tblCellMar>
                              </w:tblPrEx>
                              <w:trPr>
                                <w:trHeight w:hRule="exact" w:val="341"/>
                              </w:trPr>
                              <w:tc>
                                <w:tcPr>
                                  <w:tcW w:w="653" w:type="dxa"/>
                                  <w:shd w:val="clear" w:color="auto" w:fill="FFFFFF"/>
                                  <w:vAlign w:val="center"/>
                                </w:tcPr>
                                <w:p w:rsidR="00500724" w:rsidRDefault="00F30FB8">
                                  <w:pPr>
                                    <w:pStyle w:val="Jin0"/>
                                    <w:shd w:val="clear" w:color="auto" w:fill="auto"/>
                                    <w:ind w:firstLine="0"/>
                                    <w:jc w:val="left"/>
                                    <w:rPr>
                                      <w:sz w:val="16"/>
                                      <w:szCs w:val="16"/>
                                    </w:rPr>
                                  </w:pPr>
                                  <w:r>
                                    <w:rPr>
                                      <w:b/>
                                      <w:bCs/>
                                      <w:sz w:val="16"/>
                                      <w:szCs w:val="16"/>
                                    </w:rPr>
                                    <w:t xml:space="preserve">brož. </w:t>
                                  </w:r>
                                  <w:r>
                                    <w:rPr>
                                      <w:b/>
                                      <w:bCs/>
                                      <w:sz w:val="16"/>
                                      <w:szCs w:val="16"/>
                                      <w:lang w:val="en-US" w:eastAsia="en-US" w:bidi="en-US"/>
                                    </w:rPr>
                                    <w:t>K</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26.25</w:t>
                                  </w:r>
                                </w:p>
                              </w:tc>
                            </w:tr>
                            <w:tr w:rsidR="00500724">
                              <w:tblPrEx>
                                <w:tblCellMar>
                                  <w:top w:w="0" w:type="dxa"/>
                                  <w:bottom w:w="0" w:type="dxa"/>
                                </w:tblCellMar>
                              </w:tblPrEx>
                              <w:trPr>
                                <w:trHeight w:hRule="exact" w:val="346"/>
                              </w:trPr>
                              <w:tc>
                                <w:tcPr>
                                  <w:tcW w:w="653" w:type="dxa"/>
                                  <w:shd w:val="clear" w:color="auto" w:fill="FFFFFF"/>
                                </w:tcPr>
                                <w:p w:rsidR="00500724" w:rsidRDefault="00F30FB8">
                                  <w:pPr>
                                    <w:pStyle w:val="Jin0"/>
                                    <w:shd w:val="clear" w:color="auto" w:fill="auto"/>
                                    <w:ind w:firstLine="0"/>
                                    <w:jc w:val="left"/>
                                    <w:rPr>
                                      <w:sz w:val="16"/>
                                      <w:szCs w:val="16"/>
                                    </w:rPr>
                                  </w:pPr>
                                  <w:r>
                                    <w:rPr>
                                      <w:b/>
                                      <w:bCs/>
                                      <w:sz w:val="16"/>
                                      <w:szCs w:val="16"/>
                                      <w:lang w:val="en-US" w:eastAsia="en-US" w:bidi="en-US"/>
                                    </w:rPr>
                                    <w:t>i</w:t>
                                  </w:r>
                                </w:p>
                                <w:p w:rsidR="00500724" w:rsidRDefault="00F30FB8">
                                  <w:pPr>
                                    <w:pStyle w:val="Jin0"/>
                                    <w:shd w:val="clear" w:color="auto" w:fill="auto"/>
                                    <w:spacing w:line="180" w:lineRule="auto"/>
                                    <w:ind w:firstLine="0"/>
                                    <w:jc w:val="left"/>
                                    <w:rPr>
                                      <w:sz w:val="16"/>
                                      <w:szCs w:val="16"/>
                                    </w:rPr>
                                  </w:pPr>
                                  <w:r>
                                    <w:rPr>
                                      <w:b/>
                                      <w:bCs/>
                                      <w:sz w:val="16"/>
                                      <w:szCs w:val="16"/>
                                    </w:rPr>
                                    <w:t xml:space="preserve">váz. </w:t>
                                  </w:r>
                                  <w:r>
                                    <w:rPr>
                                      <w:b/>
                                      <w:bCs/>
                                      <w:sz w:val="16"/>
                                      <w:szCs w:val="16"/>
                                      <w:lang w:val="en-US" w:eastAsia="en-US" w:bidi="en-US"/>
                                    </w:rPr>
                                    <w:t>K</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120.—</w:t>
                                  </w:r>
                                </w:p>
                              </w:tc>
                            </w:tr>
                            <w:tr w:rsidR="00500724">
                              <w:tblPrEx>
                                <w:tblCellMar>
                                  <w:top w:w="0" w:type="dxa"/>
                                  <w:bottom w:w="0" w:type="dxa"/>
                                </w:tblCellMar>
                              </w:tblPrEx>
                              <w:trPr>
                                <w:trHeight w:hRule="exact" w:val="288"/>
                              </w:trPr>
                              <w:tc>
                                <w:tcPr>
                                  <w:tcW w:w="653" w:type="dxa"/>
                                  <w:shd w:val="clear" w:color="auto" w:fill="FFFFFF"/>
                                </w:tcPr>
                                <w:p w:rsidR="00500724" w:rsidRDefault="00F30FB8">
                                  <w:pPr>
                                    <w:pStyle w:val="Jin0"/>
                                    <w:shd w:val="clear" w:color="auto" w:fill="auto"/>
                                    <w:ind w:firstLine="0"/>
                                    <w:jc w:val="left"/>
                                    <w:rPr>
                                      <w:sz w:val="16"/>
                                      <w:szCs w:val="16"/>
                                    </w:rPr>
                                  </w:pPr>
                                  <w:r>
                                    <w:rPr>
                                      <w:b/>
                                      <w:bCs/>
                                      <w:sz w:val="16"/>
                                      <w:szCs w:val="16"/>
                                      <w:lang w:val="en-US" w:eastAsia="en-US" w:bidi="en-US"/>
                                    </w:rPr>
                                    <w:t>5</w:t>
                                  </w:r>
                                </w:p>
                                <w:p w:rsidR="00500724" w:rsidRDefault="00F30FB8">
                                  <w:pPr>
                                    <w:pStyle w:val="Jin0"/>
                                    <w:shd w:val="clear" w:color="auto" w:fill="auto"/>
                                    <w:spacing w:line="180" w:lineRule="auto"/>
                                    <w:ind w:firstLine="0"/>
                                    <w:jc w:val="left"/>
                                    <w:rPr>
                                      <w:sz w:val="16"/>
                                      <w:szCs w:val="16"/>
                                    </w:rPr>
                                  </w:pPr>
                                  <w:r>
                                    <w:rPr>
                                      <w:b/>
                                      <w:bCs/>
                                      <w:sz w:val="16"/>
                                      <w:szCs w:val="16"/>
                                    </w:rPr>
                                    <w:t xml:space="preserve">brož. </w:t>
                                  </w:r>
                                  <w:r>
                                    <w:rPr>
                                      <w:b/>
                                      <w:bCs/>
                                      <w:sz w:val="16"/>
                                      <w:szCs w:val="16"/>
                                      <w:lang w:val="en-US" w:eastAsia="en-US" w:bidi="en-US"/>
                                    </w:rPr>
                                    <w:t>K</w:t>
                                  </w:r>
                                </w:p>
                              </w:tc>
                              <w:tc>
                                <w:tcPr>
                                  <w:tcW w:w="504" w:type="dxa"/>
                                  <w:shd w:val="clear" w:color="auto" w:fill="FFFFFF"/>
                                  <w:vAlign w:val="bottom"/>
                                </w:tcPr>
                                <w:p w:rsidR="00500724" w:rsidRDefault="00F30FB8">
                                  <w:pPr>
                                    <w:pStyle w:val="Jin0"/>
                                    <w:shd w:val="clear" w:color="auto" w:fill="auto"/>
                                    <w:ind w:firstLine="0"/>
                                    <w:jc w:val="right"/>
                                    <w:rPr>
                                      <w:sz w:val="16"/>
                                      <w:szCs w:val="16"/>
                                    </w:rPr>
                                  </w:pPr>
                                  <w:r>
                                    <w:rPr>
                                      <w:b/>
                                      <w:bCs/>
                                      <w:sz w:val="16"/>
                                      <w:szCs w:val="16"/>
                                      <w:lang w:val="en-US" w:eastAsia="en-US" w:bidi="en-US"/>
                                    </w:rPr>
                                    <w:t>40.—</w:t>
                                  </w:r>
                                </w:p>
                              </w:tc>
                            </w:tr>
                          </w:tbl>
                          <w:p w:rsidR="00000000" w:rsidRDefault="00F30FB8"/>
                        </w:txbxContent>
                      </wps:txbx>
                      <wps:bodyPr lIns="0" tIns="0" rIns="0" bIns="0">
                        <a:spAutoFit/>
                      </wps:bodyPr>
                    </wps:wsp>
                  </a:graphicData>
                </a:graphic>
              </wp:anchor>
            </w:drawing>
          </mc:Choice>
          <mc:Fallback>
            <w:pict>
              <v:shape id="Shape 491" o:spid="_x0000_s1271" type="#_x0000_t202" style="position:absolute;left:0;text-align:left;margin-left:489.5pt;margin-top:617.05pt;width:57.85pt;height:111.6pt;z-index:125829868;visibility:visible;mso-wrap-style:square;mso-wrap-distance-left:186.9pt;mso-wrap-distance-top:376.8pt;mso-wrap-distance-right:9.5pt;mso-wrap-distance-bottom:52.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653"/>
                        <w:gridCol w:w="504"/>
                      </w:tblGrid>
                      <w:tr w:rsidR="00500724">
                        <w:tblPrEx>
                          <w:tblCellMar>
                            <w:top w:w="0" w:type="dxa"/>
                            <w:bottom w:w="0" w:type="dxa"/>
                          </w:tblCellMar>
                        </w:tblPrEx>
                        <w:trPr>
                          <w:trHeight w:hRule="exact" w:val="326"/>
                          <w:tblHeader/>
                        </w:trPr>
                        <w:tc>
                          <w:tcPr>
                            <w:tcW w:w="653" w:type="dxa"/>
                            <w:shd w:val="clear" w:color="auto" w:fill="FFFFFF"/>
                            <w:vAlign w:val="bottom"/>
                          </w:tcPr>
                          <w:p w:rsidR="00500724" w:rsidRDefault="00F30FB8">
                            <w:pPr>
                              <w:pStyle w:val="Jin0"/>
                              <w:shd w:val="clear" w:color="auto" w:fill="auto"/>
                              <w:ind w:firstLine="0"/>
                              <w:jc w:val="left"/>
                              <w:rPr>
                                <w:sz w:val="16"/>
                                <w:szCs w:val="16"/>
                              </w:rPr>
                            </w:pPr>
                            <w:r>
                              <w:rPr>
                                <w:b/>
                                <w:bCs/>
                                <w:sz w:val="16"/>
                                <w:szCs w:val="16"/>
                              </w:rPr>
                              <w:t xml:space="preserve">váz. </w:t>
                            </w:r>
                            <w:r>
                              <w:rPr>
                                <w:b/>
                                <w:bCs/>
                                <w:sz w:val="16"/>
                                <w:szCs w:val="16"/>
                                <w:lang w:val="en-US" w:eastAsia="en-US" w:bidi="en-US"/>
                              </w:rPr>
                              <w:t>K</w:t>
                            </w:r>
                          </w:p>
                          <w:p w:rsidR="00500724" w:rsidRDefault="00F30FB8">
                            <w:pPr>
                              <w:pStyle w:val="Jin0"/>
                              <w:shd w:val="clear" w:color="auto" w:fill="auto"/>
                              <w:spacing w:line="192" w:lineRule="auto"/>
                              <w:ind w:firstLine="0"/>
                              <w:jc w:val="left"/>
                              <w:rPr>
                                <w:sz w:val="16"/>
                                <w:szCs w:val="16"/>
                              </w:rPr>
                            </w:pPr>
                            <w:r>
                              <w:rPr>
                                <w:b/>
                                <w:bCs/>
                                <w:sz w:val="16"/>
                                <w:szCs w:val="16"/>
                                <w:lang w:val="en-US" w:eastAsia="en-US" w:bidi="en-US"/>
                              </w:rPr>
                              <w:t>.</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40.—</w:t>
                            </w:r>
                          </w:p>
                        </w:tc>
                      </w:tr>
                      <w:tr w:rsidR="00500724">
                        <w:tblPrEx>
                          <w:tblCellMar>
                            <w:top w:w="0" w:type="dxa"/>
                            <w:bottom w:w="0" w:type="dxa"/>
                          </w:tblCellMar>
                        </w:tblPrEx>
                        <w:trPr>
                          <w:trHeight w:hRule="exact" w:val="461"/>
                        </w:trPr>
                        <w:tc>
                          <w:tcPr>
                            <w:tcW w:w="653" w:type="dxa"/>
                            <w:shd w:val="clear" w:color="auto" w:fill="FFFFFF"/>
                            <w:vAlign w:val="center"/>
                          </w:tcPr>
                          <w:p w:rsidR="00500724" w:rsidRDefault="00F30FB8">
                            <w:pPr>
                              <w:pStyle w:val="Jin0"/>
                              <w:shd w:val="clear" w:color="auto" w:fill="auto"/>
                              <w:ind w:firstLine="0"/>
                              <w:jc w:val="left"/>
                              <w:rPr>
                                <w:sz w:val="16"/>
                                <w:szCs w:val="16"/>
                              </w:rPr>
                            </w:pPr>
                            <w:r>
                              <w:rPr>
                                <w:b/>
                                <w:bCs/>
                                <w:sz w:val="16"/>
                                <w:szCs w:val="16"/>
                                <w:lang w:val="en-US" w:eastAsia="en-US" w:bidi="en-US"/>
                              </w:rPr>
                              <w:t>1</w:t>
                            </w:r>
                          </w:p>
                          <w:p w:rsidR="00500724" w:rsidRDefault="00F30FB8">
                            <w:pPr>
                              <w:pStyle w:val="Jin0"/>
                              <w:shd w:val="clear" w:color="auto" w:fill="auto"/>
                              <w:spacing w:line="180" w:lineRule="auto"/>
                              <w:ind w:firstLine="0"/>
                              <w:jc w:val="left"/>
                              <w:rPr>
                                <w:sz w:val="16"/>
                                <w:szCs w:val="16"/>
                              </w:rPr>
                            </w:pPr>
                            <w:r>
                              <w:rPr>
                                <w:b/>
                                <w:bCs/>
                                <w:sz w:val="16"/>
                                <w:szCs w:val="16"/>
                              </w:rPr>
                              <w:t xml:space="preserve">váz. </w:t>
                            </w:r>
                            <w:r>
                              <w:rPr>
                                <w:b/>
                                <w:bCs/>
                                <w:sz w:val="16"/>
                                <w:szCs w:val="16"/>
                                <w:lang w:val="en-US" w:eastAsia="en-US" w:bidi="en-US"/>
                              </w:rPr>
                              <w:t>K</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84.—</w:t>
                            </w:r>
                          </w:p>
                        </w:tc>
                      </w:tr>
                      <w:tr w:rsidR="00500724">
                        <w:tblPrEx>
                          <w:tblCellMar>
                            <w:top w:w="0" w:type="dxa"/>
                            <w:bottom w:w="0" w:type="dxa"/>
                          </w:tblCellMar>
                        </w:tblPrEx>
                        <w:trPr>
                          <w:trHeight w:hRule="exact" w:val="470"/>
                        </w:trPr>
                        <w:tc>
                          <w:tcPr>
                            <w:tcW w:w="653" w:type="dxa"/>
                            <w:shd w:val="clear" w:color="auto" w:fill="FFFFFF"/>
                            <w:vAlign w:val="bottom"/>
                          </w:tcPr>
                          <w:p w:rsidR="00500724" w:rsidRDefault="00F30FB8">
                            <w:pPr>
                              <w:pStyle w:val="Jin0"/>
                              <w:shd w:val="clear" w:color="auto" w:fill="auto"/>
                              <w:ind w:firstLine="0"/>
                              <w:jc w:val="left"/>
                              <w:rPr>
                                <w:sz w:val="16"/>
                                <w:szCs w:val="16"/>
                              </w:rPr>
                            </w:pPr>
                            <w:r>
                              <w:rPr>
                                <w:b/>
                                <w:bCs/>
                                <w:sz w:val="16"/>
                                <w:szCs w:val="16"/>
                                <w:lang w:val="en-US" w:eastAsia="en-US" w:bidi="en-US"/>
                              </w:rPr>
                              <w:t>»</w:t>
                            </w:r>
                          </w:p>
                          <w:p w:rsidR="00500724" w:rsidRDefault="00F30FB8">
                            <w:pPr>
                              <w:pStyle w:val="Jin0"/>
                              <w:shd w:val="clear" w:color="auto" w:fill="auto"/>
                              <w:spacing w:line="180" w:lineRule="auto"/>
                              <w:ind w:firstLine="0"/>
                              <w:jc w:val="left"/>
                              <w:rPr>
                                <w:sz w:val="16"/>
                                <w:szCs w:val="16"/>
                              </w:rPr>
                            </w:pPr>
                            <w:r>
                              <w:rPr>
                                <w:b/>
                                <w:bCs/>
                                <w:sz w:val="16"/>
                                <w:szCs w:val="16"/>
                              </w:rPr>
                              <w:t xml:space="preserve">váz. </w:t>
                            </w:r>
                            <w:r>
                              <w:rPr>
                                <w:b/>
                                <w:bCs/>
                                <w:sz w:val="16"/>
                                <w:szCs w:val="16"/>
                                <w:lang w:val="en-US" w:eastAsia="en-US" w:bidi="en-US"/>
                              </w:rPr>
                              <w:t>K</w:t>
                            </w:r>
                          </w:p>
                          <w:p w:rsidR="00500724" w:rsidRDefault="00F30FB8">
                            <w:pPr>
                              <w:pStyle w:val="Jin0"/>
                              <w:shd w:val="clear" w:color="auto" w:fill="auto"/>
                              <w:spacing w:line="206" w:lineRule="auto"/>
                              <w:ind w:firstLine="0"/>
                              <w:jc w:val="left"/>
                              <w:rPr>
                                <w:sz w:val="16"/>
                                <w:szCs w:val="16"/>
                              </w:rPr>
                            </w:pPr>
                            <w:r>
                              <w:rPr>
                                <w:b/>
                                <w:bCs/>
                                <w:sz w:val="16"/>
                                <w:szCs w:val="16"/>
                                <w:lang w:val="en-US" w:eastAsia="en-US" w:bidi="en-US"/>
                              </w:rPr>
                              <w:t>i</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210.—</w:t>
                            </w:r>
                          </w:p>
                        </w:tc>
                      </w:tr>
                      <w:tr w:rsidR="00500724">
                        <w:tblPrEx>
                          <w:tblCellMar>
                            <w:top w:w="0" w:type="dxa"/>
                            <w:bottom w:w="0" w:type="dxa"/>
                          </w:tblCellMar>
                        </w:tblPrEx>
                        <w:trPr>
                          <w:trHeight w:hRule="exact" w:val="341"/>
                        </w:trPr>
                        <w:tc>
                          <w:tcPr>
                            <w:tcW w:w="653" w:type="dxa"/>
                            <w:shd w:val="clear" w:color="auto" w:fill="FFFFFF"/>
                            <w:vAlign w:val="center"/>
                          </w:tcPr>
                          <w:p w:rsidR="00500724" w:rsidRDefault="00F30FB8">
                            <w:pPr>
                              <w:pStyle w:val="Jin0"/>
                              <w:shd w:val="clear" w:color="auto" w:fill="auto"/>
                              <w:ind w:firstLine="0"/>
                              <w:jc w:val="left"/>
                              <w:rPr>
                                <w:sz w:val="16"/>
                                <w:szCs w:val="16"/>
                              </w:rPr>
                            </w:pPr>
                            <w:r>
                              <w:rPr>
                                <w:b/>
                                <w:bCs/>
                                <w:sz w:val="16"/>
                                <w:szCs w:val="16"/>
                              </w:rPr>
                              <w:t xml:space="preserve">brož. </w:t>
                            </w:r>
                            <w:r>
                              <w:rPr>
                                <w:b/>
                                <w:bCs/>
                                <w:sz w:val="16"/>
                                <w:szCs w:val="16"/>
                                <w:lang w:val="en-US" w:eastAsia="en-US" w:bidi="en-US"/>
                              </w:rPr>
                              <w:t>K</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26.25</w:t>
                            </w:r>
                          </w:p>
                        </w:tc>
                      </w:tr>
                      <w:tr w:rsidR="00500724">
                        <w:tblPrEx>
                          <w:tblCellMar>
                            <w:top w:w="0" w:type="dxa"/>
                            <w:bottom w:w="0" w:type="dxa"/>
                          </w:tblCellMar>
                        </w:tblPrEx>
                        <w:trPr>
                          <w:trHeight w:hRule="exact" w:val="346"/>
                        </w:trPr>
                        <w:tc>
                          <w:tcPr>
                            <w:tcW w:w="653" w:type="dxa"/>
                            <w:shd w:val="clear" w:color="auto" w:fill="FFFFFF"/>
                          </w:tcPr>
                          <w:p w:rsidR="00500724" w:rsidRDefault="00F30FB8">
                            <w:pPr>
                              <w:pStyle w:val="Jin0"/>
                              <w:shd w:val="clear" w:color="auto" w:fill="auto"/>
                              <w:ind w:firstLine="0"/>
                              <w:jc w:val="left"/>
                              <w:rPr>
                                <w:sz w:val="16"/>
                                <w:szCs w:val="16"/>
                              </w:rPr>
                            </w:pPr>
                            <w:r>
                              <w:rPr>
                                <w:b/>
                                <w:bCs/>
                                <w:sz w:val="16"/>
                                <w:szCs w:val="16"/>
                                <w:lang w:val="en-US" w:eastAsia="en-US" w:bidi="en-US"/>
                              </w:rPr>
                              <w:t>i</w:t>
                            </w:r>
                          </w:p>
                          <w:p w:rsidR="00500724" w:rsidRDefault="00F30FB8">
                            <w:pPr>
                              <w:pStyle w:val="Jin0"/>
                              <w:shd w:val="clear" w:color="auto" w:fill="auto"/>
                              <w:spacing w:line="180" w:lineRule="auto"/>
                              <w:ind w:firstLine="0"/>
                              <w:jc w:val="left"/>
                              <w:rPr>
                                <w:sz w:val="16"/>
                                <w:szCs w:val="16"/>
                              </w:rPr>
                            </w:pPr>
                            <w:r>
                              <w:rPr>
                                <w:b/>
                                <w:bCs/>
                                <w:sz w:val="16"/>
                                <w:szCs w:val="16"/>
                              </w:rPr>
                              <w:t xml:space="preserve">váz. </w:t>
                            </w:r>
                            <w:r>
                              <w:rPr>
                                <w:b/>
                                <w:bCs/>
                                <w:sz w:val="16"/>
                                <w:szCs w:val="16"/>
                                <w:lang w:val="en-US" w:eastAsia="en-US" w:bidi="en-US"/>
                              </w:rPr>
                              <w:t>K</w:t>
                            </w:r>
                          </w:p>
                        </w:tc>
                        <w:tc>
                          <w:tcPr>
                            <w:tcW w:w="504" w:type="dxa"/>
                            <w:shd w:val="clear" w:color="auto" w:fill="FFFFFF"/>
                            <w:vAlign w:val="center"/>
                          </w:tcPr>
                          <w:p w:rsidR="00500724" w:rsidRDefault="00F30FB8">
                            <w:pPr>
                              <w:pStyle w:val="Jin0"/>
                              <w:shd w:val="clear" w:color="auto" w:fill="auto"/>
                              <w:ind w:firstLine="0"/>
                              <w:jc w:val="right"/>
                              <w:rPr>
                                <w:sz w:val="16"/>
                                <w:szCs w:val="16"/>
                              </w:rPr>
                            </w:pPr>
                            <w:r>
                              <w:rPr>
                                <w:b/>
                                <w:bCs/>
                                <w:sz w:val="16"/>
                                <w:szCs w:val="16"/>
                                <w:lang w:val="en-US" w:eastAsia="en-US" w:bidi="en-US"/>
                              </w:rPr>
                              <w:t>120.—</w:t>
                            </w:r>
                          </w:p>
                        </w:tc>
                      </w:tr>
                      <w:tr w:rsidR="00500724">
                        <w:tblPrEx>
                          <w:tblCellMar>
                            <w:top w:w="0" w:type="dxa"/>
                            <w:bottom w:w="0" w:type="dxa"/>
                          </w:tblCellMar>
                        </w:tblPrEx>
                        <w:trPr>
                          <w:trHeight w:hRule="exact" w:val="288"/>
                        </w:trPr>
                        <w:tc>
                          <w:tcPr>
                            <w:tcW w:w="653" w:type="dxa"/>
                            <w:shd w:val="clear" w:color="auto" w:fill="FFFFFF"/>
                          </w:tcPr>
                          <w:p w:rsidR="00500724" w:rsidRDefault="00F30FB8">
                            <w:pPr>
                              <w:pStyle w:val="Jin0"/>
                              <w:shd w:val="clear" w:color="auto" w:fill="auto"/>
                              <w:ind w:firstLine="0"/>
                              <w:jc w:val="left"/>
                              <w:rPr>
                                <w:sz w:val="16"/>
                                <w:szCs w:val="16"/>
                              </w:rPr>
                            </w:pPr>
                            <w:r>
                              <w:rPr>
                                <w:b/>
                                <w:bCs/>
                                <w:sz w:val="16"/>
                                <w:szCs w:val="16"/>
                                <w:lang w:val="en-US" w:eastAsia="en-US" w:bidi="en-US"/>
                              </w:rPr>
                              <w:t>5</w:t>
                            </w:r>
                          </w:p>
                          <w:p w:rsidR="00500724" w:rsidRDefault="00F30FB8">
                            <w:pPr>
                              <w:pStyle w:val="Jin0"/>
                              <w:shd w:val="clear" w:color="auto" w:fill="auto"/>
                              <w:spacing w:line="180" w:lineRule="auto"/>
                              <w:ind w:firstLine="0"/>
                              <w:jc w:val="left"/>
                              <w:rPr>
                                <w:sz w:val="16"/>
                                <w:szCs w:val="16"/>
                              </w:rPr>
                            </w:pPr>
                            <w:r>
                              <w:rPr>
                                <w:b/>
                                <w:bCs/>
                                <w:sz w:val="16"/>
                                <w:szCs w:val="16"/>
                              </w:rPr>
                              <w:t xml:space="preserve">brož. </w:t>
                            </w:r>
                            <w:r>
                              <w:rPr>
                                <w:b/>
                                <w:bCs/>
                                <w:sz w:val="16"/>
                                <w:szCs w:val="16"/>
                                <w:lang w:val="en-US" w:eastAsia="en-US" w:bidi="en-US"/>
                              </w:rPr>
                              <w:t>K</w:t>
                            </w:r>
                          </w:p>
                        </w:tc>
                        <w:tc>
                          <w:tcPr>
                            <w:tcW w:w="504" w:type="dxa"/>
                            <w:shd w:val="clear" w:color="auto" w:fill="FFFFFF"/>
                            <w:vAlign w:val="bottom"/>
                          </w:tcPr>
                          <w:p w:rsidR="00500724" w:rsidRDefault="00F30FB8">
                            <w:pPr>
                              <w:pStyle w:val="Jin0"/>
                              <w:shd w:val="clear" w:color="auto" w:fill="auto"/>
                              <w:ind w:firstLine="0"/>
                              <w:jc w:val="right"/>
                              <w:rPr>
                                <w:sz w:val="16"/>
                                <w:szCs w:val="16"/>
                              </w:rPr>
                            </w:pPr>
                            <w:r>
                              <w:rPr>
                                <w:b/>
                                <w:bCs/>
                                <w:sz w:val="16"/>
                                <w:szCs w:val="16"/>
                                <w:lang w:val="en-US" w:eastAsia="en-US" w:bidi="en-US"/>
                              </w:rPr>
                              <w:t>40.—</w:t>
                            </w:r>
                          </w:p>
                        </w:tc>
                      </w:tr>
                    </w:tbl>
                    <w:p w:rsidR="00000000" w:rsidRDefault="00F30FB8"/>
                  </w:txbxContent>
                </v:textbox>
                <w10:wrap type="topAndBottom" anchorx="page" anchory="margin"/>
              </v:shape>
            </w:pict>
          </mc:Fallback>
        </mc:AlternateContent>
      </w:r>
      <w:r>
        <w:rPr>
          <w:rFonts w:ascii="Georgia" w:eastAsia="Georgia" w:hAnsi="Georgia" w:cs="Georgia"/>
          <w:b/>
          <w:bCs/>
          <w:sz w:val="13"/>
          <w:szCs w:val="13"/>
        </w:rPr>
        <w:t xml:space="preserve">PRŮKOPNÍCI ZDRAVÍ. </w:t>
      </w:r>
      <w:r>
        <w:t>Po slav</w:t>
      </w:r>
      <w:r>
        <w:softHyphen/>
        <w:t>ných knihách Paul de Kruifa vy</w:t>
      </w:r>
      <w:r>
        <w:softHyphen/>
        <w:t>dává Orbis (Praha XII.) knihu dr. V. Mullera, Průkopníci zdraví, která je jasným pohledem do ži</w:t>
      </w:r>
      <w:r>
        <w:softHyphen/>
        <w:t xml:space="preserve">votů těch, kteří vedeni geniem objevitelským, vytrvale </w:t>
      </w:r>
      <w:r>
        <w:t>a obětavě bojovali o spásu a vykoupení lid</w:t>
      </w:r>
      <w:r>
        <w:softHyphen/>
        <w:t>stva od utrpení nemocí a nákaz. Spisovatel-lékař zasvěcuje čtená</w:t>
      </w:r>
      <w:r>
        <w:softHyphen/>
        <w:t>ře do mučednického života slav</w:t>
      </w:r>
      <w:r>
        <w:softHyphen/>
        <w:t>ných mužů, kterým vděčíme za to. že dovedeme dnes zdolat vzteklinu, horečku omladic a mnoho jiných nakažlivých cho</w:t>
      </w:r>
      <w:r>
        <w:softHyphen/>
        <w:t>ro</w:t>
      </w:r>
      <w:r>
        <w:t>b. S neobyčejným pochopením a s oddaností líčí autor bídu, utrpe</w:t>
      </w:r>
      <w:r>
        <w:softHyphen/>
        <w:t>ní, neuznání, což bylo údělem všech, kteří poctivou a neústup</w:t>
      </w:r>
      <w:r>
        <w:softHyphen/>
        <w:t>nou houževnatostí prosazovali své objevy na poli lékařské vědy. Kniha ^Průkopníci zdraví* podá</w:t>
      </w:r>
      <w:r>
        <w:softHyphen/>
        <w:t xml:space="preserve">vá životopisy Jennera, </w:t>
      </w:r>
      <w:r>
        <w:rPr>
          <w:lang w:val="en-US" w:eastAsia="en-US" w:bidi="en-US"/>
        </w:rPr>
        <w:t>Harvey</w:t>
      </w:r>
      <w:r>
        <w:t>e, Pa</w:t>
      </w:r>
      <w:r>
        <w:t>steura, Priessnitze, Semmel- weisse, Kocha. Mečnikova a j. Poutavým způsobem uvádí čte</w:t>
      </w:r>
      <w:r>
        <w:softHyphen/>
        <w:t>náře do prostředí, z něhož pochá</w:t>
      </w:r>
      <w:r>
        <w:softHyphen/>
        <w:t>zeli, v němž pracovali, trpěli a zvítězili obětaví zápasníci o lid</w:t>
      </w:r>
      <w:r>
        <w:softHyphen/>
        <w:t>ské zdraví. Autor poukazuje na náhodné okolnosti, které vnukly mnohým</w:t>
      </w:r>
      <w:r>
        <w:t xml:space="preserve"> z těchto bojovníků myš</w:t>
      </w:r>
      <w:r>
        <w:softHyphen/>
        <w:t>lenku. jež pak vyrostla v geniál</w:t>
      </w:r>
      <w:r>
        <w:softHyphen/>
        <w:t>ní objev. Z obsahu: »Prach jsi a v prach se obrátíš* — Mastičkář — Zázračný motor — První bez</w:t>
      </w:r>
      <w:r>
        <w:softHyphen/>
        <w:t>bolestná operace — Klepající blá</w:t>
      </w:r>
      <w:r>
        <w:softHyphen/>
      </w:r>
    </w:p>
    <w:p w:rsidR="00500724" w:rsidRDefault="00F30FB8">
      <w:pPr>
        <w:pStyle w:val="Zkladntext40"/>
        <w:shd w:val="clear" w:color="auto" w:fill="auto"/>
        <w:spacing w:after="0" w:line="161" w:lineRule="auto"/>
        <w:rPr>
          <w:sz w:val="16"/>
          <w:szCs w:val="16"/>
        </w:rPr>
      </w:pPr>
      <w:r>
        <w:rPr>
          <w:b/>
          <w:bCs/>
          <w:sz w:val="16"/>
          <w:szCs w:val="16"/>
        </w:rPr>
        <w:t xml:space="preserve">zen — Rajský plyn — Maršál </w:t>
      </w:r>
      <w:r>
        <w:rPr>
          <w:sz w:val="18"/>
          <w:szCs w:val="18"/>
        </w:rPr>
        <w:t>vě</w:t>
      </w:r>
      <w:r>
        <w:rPr>
          <w:sz w:val="18"/>
          <w:szCs w:val="18"/>
        </w:rPr>
        <w:softHyphen/>
      </w:r>
      <w:r>
        <w:rPr>
          <w:b/>
          <w:bCs/>
          <w:sz w:val="16"/>
          <w:szCs w:val="16"/>
        </w:rPr>
        <w:t>dy — Otec chirurgie — Uzdravu</w:t>
      </w:r>
      <w:r>
        <w:rPr>
          <w:b/>
          <w:bCs/>
          <w:sz w:val="16"/>
          <w:szCs w:val="16"/>
        </w:rPr>
        <w:softHyphen/>
        <w:t>jící derviš</w:t>
      </w:r>
      <w:r>
        <w:rPr>
          <w:b/>
          <w:bCs/>
          <w:sz w:val="16"/>
          <w:szCs w:val="16"/>
        </w:rPr>
        <w:t xml:space="preserve"> a j. Kniha je brož. za K 18.—, váz. K 28.—.</w:t>
      </w:r>
    </w:p>
    <w:p w:rsidR="00500724" w:rsidRDefault="00F30FB8">
      <w:pPr>
        <w:pStyle w:val="Zkladntext40"/>
        <w:shd w:val="clear" w:color="auto" w:fill="auto"/>
        <w:spacing w:after="0"/>
        <w:ind w:firstLine="180"/>
        <w:sectPr w:rsidR="00500724">
          <w:footnotePr>
            <w:numFmt w:val="chicago"/>
            <w:numRestart w:val="eachPage"/>
          </w:footnotePr>
          <w:type w:val="continuous"/>
          <w:pgSz w:w="11909" w:h="16834"/>
          <w:pgMar w:top="1970" w:right="784" w:bottom="0" w:left="648" w:header="0" w:footer="3" w:gutter="0"/>
          <w:cols w:num="4" w:sep="1" w:space="100"/>
          <w:noEndnote/>
          <w:docGrid w:linePitch="360"/>
        </w:sectPr>
      </w:pPr>
      <w:r>
        <w:rPr>
          <w:rFonts w:ascii="Georgia" w:eastAsia="Georgia" w:hAnsi="Georgia" w:cs="Georgia"/>
          <w:b/>
          <w:bCs/>
          <w:sz w:val="13"/>
          <w:szCs w:val="13"/>
        </w:rPr>
        <w:t xml:space="preserve">NĚMECKY OD A DO Z. V </w:t>
      </w:r>
      <w:r>
        <w:t>rám</w:t>
      </w:r>
      <w:r>
        <w:softHyphen/>
        <w:t>ci budování jazykových edici za</w:t>
      </w:r>
      <w:r>
        <w:softHyphen/>
        <w:t>hájilo nakladatelství Orbis po de- sltisvazkové sérii RycMých jazy</w:t>
      </w:r>
      <w:r>
        <w:softHyphen/>
        <w:t>kových kursů »Brána jazyků* no</w:t>
      </w:r>
      <w:r>
        <w:softHyphen/>
        <w:t>vou sbírku velkých učebni</w:t>
      </w:r>
      <w:r>
        <w:t>c, jíž nazvalo Velká brána jazyků. Prvním svazkem je práce R. H. Knopse, Německy od A do Z. Zá</w:t>
      </w:r>
      <w:r>
        <w:softHyphen/>
        <w:t>kladní myšlenka učebnic: Postup obdobný tomu, jímž se člověk zmocňuje jazyka mateřského: aby si každý osvojil s počátku mluvu hovorovou, jakožto východisko další</w:t>
      </w:r>
      <w:r>
        <w:t xml:space="preserve">ho pronikání do ostatních oblasti jazyka. Výběr látky je zaměřen na praktickou konver- saci. Jako II. sv. vyšla kniha dr. VI. Smoláka, Francouzsky od </w:t>
      </w:r>
      <w:r>
        <w:rPr>
          <w:rFonts w:ascii="Georgia" w:eastAsia="Georgia" w:hAnsi="Georgia" w:cs="Georgia"/>
          <w:b/>
          <w:bCs/>
          <w:sz w:val="13"/>
          <w:szCs w:val="13"/>
        </w:rPr>
        <w:t xml:space="preserve">A </w:t>
      </w:r>
      <w:r>
        <w:t>do Z. Dobře upravené a vázané svazky obsahující 50 lekcí jsou: Německy za K 60.—, Francouzsky za K 56.—.</w:t>
      </w:r>
      <w:r>
        <w:t xml:space="preserve"> V rychlých jazyko</w:t>
      </w:r>
      <w:r>
        <w:softHyphen/>
        <w:t>vých kursech vyšly učebnice: srbsko-charvátská — ruská — bulharská — francouzská — ma</w:t>
      </w:r>
      <w:r>
        <w:softHyphen/>
        <w:t>ďarská — italská — anglická — rumunská — španělská — němec</w:t>
      </w:r>
      <w:r>
        <w:softHyphen/>
        <w:t>ká. Vázané svazečky jsou po K 20.—, mimo španělštinu, která je za 28.—. Zpracovávají látku v</w:t>
      </w:r>
      <w:r>
        <w:t>el</w:t>
      </w:r>
      <w:r>
        <w:softHyphen/>
        <w:t>kých učebnic a slovníků. Kolem 10.000 slov.</w:t>
      </w:r>
    </w:p>
    <w:p w:rsidR="00500724" w:rsidRDefault="00F30FB8">
      <w:pPr>
        <w:pStyle w:val="Nadpis30"/>
        <w:keepNext/>
        <w:keepLines/>
        <w:shd w:val="clear" w:color="auto" w:fill="auto"/>
        <w:spacing w:after="0"/>
        <w:rPr>
          <w:sz w:val="250"/>
          <w:szCs w:val="250"/>
        </w:rPr>
      </w:pPr>
      <w:bookmarkStart w:id="490" w:name="bookmark489"/>
      <w:r>
        <w:rPr>
          <w:sz w:val="250"/>
          <w:szCs w:val="250"/>
        </w:rPr>
        <w:t>Jntonmosó</w:t>
      </w:r>
      <w:bookmarkEnd w:id="490"/>
    </w:p>
    <w:p w:rsidR="00500724" w:rsidRDefault="00F30FB8">
      <w:pPr>
        <w:spacing w:line="14" w:lineRule="exact"/>
        <w:sectPr w:rsidR="00500724">
          <w:footnotePr>
            <w:numFmt w:val="chicago"/>
            <w:numRestart w:val="eachPage"/>
          </w:footnotePr>
          <w:pgSz w:w="11909" w:h="16834"/>
          <w:pgMar w:top="1690" w:right="173" w:bottom="1092" w:left="514" w:header="0" w:footer="3" w:gutter="0"/>
          <w:cols w:space="720"/>
          <w:noEndnote/>
          <w:docGrid w:linePitch="360"/>
        </w:sectPr>
      </w:pPr>
      <w:r>
        <w:rPr>
          <w:noProof/>
        </w:rPr>
        <mc:AlternateContent>
          <mc:Choice Requires="wps">
            <w:drawing>
              <wp:anchor distT="12700" distB="0" distL="114300" distR="5749925" simplePos="0" relativeHeight="125829870" behindDoc="0" locked="0" layoutInCell="1" allowOverlap="1">
                <wp:simplePos x="0" y="0"/>
                <wp:positionH relativeFrom="page">
                  <wp:posOffset>506095</wp:posOffset>
                </wp:positionH>
                <wp:positionV relativeFrom="paragraph">
                  <wp:posOffset>21590</wp:posOffset>
                </wp:positionV>
                <wp:extent cx="1155065" cy="170815"/>
                <wp:effectExtent l="0" t="0" r="0" b="0"/>
                <wp:wrapTopAndBottom/>
                <wp:docPr id="493" name="Shape 493"/>
                <wp:cNvGraphicFramePr/>
                <a:graphic xmlns:a="http://schemas.openxmlformats.org/drawingml/2006/main">
                  <a:graphicData uri="http://schemas.microsoft.com/office/word/2010/wordprocessingShape">
                    <wps:wsp>
                      <wps:cNvSpPr txBox="1"/>
                      <wps:spPr>
                        <a:xfrm>
                          <a:off x="0" y="0"/>
                          <a:ext cx="1155065" cy="170815"/>
                        </a:xfrm>
                        <a:prstGeom prst="rect">
                          <a:avLst/>
                        </a:prstGeom>
                        <a:noFill/>
                      </wps:spPr>
                      <wps:txbx>
                        <w:txbxContent>
                          <w:p w:rsidR="00500724" w:rsidRDefault="00F30FB8">
                            <w:pPr>
                              <w:pStyle w:val="Zkladntext30"/>
                              <w:shd w:val="clear" w:color="auto" w:fill="auto"/>
                              <w:spacing w:after="0" w:line="240" w:lineRule="auto"/>
                              <w:ind w:firstLine="0"/>
                              <w:jc w:val="left"/>
                              <w:rPr>
                                <w:sz w:val="20"/>
                                <w:szCs w:val="20"/>
                              </w:rPr>
                            </w:pPr>
                            <w:r>
                              <w:rPr>
                                <w:b/>
                                <w:bCs/>
                                <w:sz w:val="20"/>
                                <w:szCs w:val="20"/>
                              </w:rPr>
                              <w:t>ROČNÍK XVI.</w:t>
                            </w:r>
                          </w:p>
                        </w:txbxContent>
                      </wps:txbx>
                      <wps:bodyPr lIns="0" tIns="0" rIns="0" bIns="0"/>
                    </wps:wsp>
                  </a:graphicData>
                </a:graphic>
              </wp:anchor>
            </w:drawing>
          </mc:Choice>
          <mc:Fallback>
            <w:pict>
              <v:shape id="_x0000_s1519" type="#_x0000_t202" style="position:absolute;margin-left:39.850000000000001pt;margin-top:1.7pt;width:90.950000000000003pt;height:13.449999999999999pt;z-index:-125828883;mso-wrap-distance-left:9.pt;mso-wrap-distance-top:1.pt;mso-wrap-distance-right:452.75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ROČNÍK XVI.</w:t>
                      </w:r>
                    </w:p>
                  </w:txbxContent>
                </v:textbox>
                <w10:wrap type="topAndBottom" anchorx="page"/>
              </v:shape>
            </w:pict>
          </mc:Fallback>
        </mc:AlternateContent>
      </w:r>
      <w:r>
        <w:rPr>
          <w:noProof/>
        </w:rPr>
        <mc:AlternateContent>
          <mc:Choice Requires="wps">
            <w:drawing>
              <wp:anchor distT="10160" distB="0" distL="2376170" distR="2226310" simplePos="0" relativeHeight="125829872" behindDoc="0" locked="0" layoutInCell="1" allowOverlap="1">
                <wp:simplePos x="0" y="0"/>
                <wp:positionH relativeFrom="page">
                  <wp:posOffset>2767330</wp:posOffset>
                </wp:positionH>
                <wp:positionV relativeFrom="paragraph">
                  <wp:posOffset>19050</wp:posOffset>
                </wp:positionV>
                <wp:extent cx="2416810" cy="170815"/>
                <wp:effectExtent l="0" t="0" r="0" b="0"/>
                <wp:wrapTopAndBottom/>
                <wp:docPr id="495" name="Shape 495"/>
                <wp:cNvGraphicFramePr/>
                <a:graphic xmlns:a="http://schemas.openxmlformats.org/drawingml/2006/main">
                  <a:graphicData uri="http://schemas.microsoft.com/office/word/2010/wordprocessingShape">
                    <wps:wsp>
                      <wps:cNvSpPr txBox="1"/>
                      <wps:spPr>
                        <a:xfrm>
                          <a:off x="0" y="0"/>
                          <a:ext cx="2416810" cy="170815"/>
                        </a:xfrm>
                        <a:prstGeom prst="rect">
                          <a:avLst/>
                        </a:prstGeom>
                        <a:noFill/>
                      </wps:spPr>
                      <wps:txbx>
                        <w:txbxContent>
                          <w:p w:rsidR="00500724" w:rsidRDefault="00F30FB8">
                            <w:pPr>
                              <w:pStyle w:val="Zkladntext30"/>
                              <w:shd w:val="clear" w:color="auto" w:fill="auto"/>
                              <w:spacing w:after="0" w:line="240" w:lineRule="auto"/>
                              <w:ind w:firstLine="0"/>
                              <w:jc w:val="left"/>
                              <w:rPr>
                                <w:sz w:val="20"/>
                                <w:szCs w:val="20"/>
                              </w:rPr>
                            </w:pPr>
                            <w:r>
                              <w:rPr>
                                <w:b/>
                                <w:bCs/>
                                <w:sz w:val="20"/>
                                <w:szCs w:val="20"/>
                              </w:rPr>
                              <w:t>V PRAZE 17. KVĚTNA 1939</w:t>
                            </w:r>
                          </w:p>
                        </w:txbxContent>
                      </wps:txbx>
                      <wps:bodyPr lIns="0" tIns="0" rIns="0" bIns="0"/>
                    </wps:wsp>
                  </a:graphicData>
                </a:graphic>
              </wp:anchor>
            </w:drawing>
          </mc:Choice>
          <mc:Fallback>
            <w:pict>
              <v:shape id="_x0000_s1521" type="#_x0000_t202" style="position:absolute;margin-left:217.90000000000001pt;margin-top:1.5pt;width:190.30000000000001pt;height:13.449999999999999pt;z-index:-125828881;mso-wrap-distance-left:187.09999999999999pt;mso-wrap-distance-top:0.80000000000000004pt;mso-wrap-distance-right:175.30000000000001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V PRAZE 17. KVĚTNA 1939</w:t>
                      </w:r>
                    </w:p>
                  </w:txbxContent>
                </v:textbox>
                <w10:wrap type="topAndBottom" anchorx="page"/>
              </v:shape>
            </w:pict>
          </mc:Fallback>
        </mc:AlternateContent>
      </w:r>
      <w:r>
        <w:rPr>
          <w:noProof/>
        </w:rPr>
        <mc:AlternateContent>
          <mc:Choice Requires="wps">
            <w:drawing>
              <wp:anchor distT="3810" distB="0" distL="6155690" distR="114300" simplePos="0" relativeHeight="125829874" behindDoc="0" locked="0" layoutInCell="1" allowOverlap="1">
                <wp:simplePos x="0" y="0"/>
                <wp:positionH relativeFrom="page">
                  <wp:posOffset>6546850</wp:posOffset>
                </wp:positionH>
                <wp:positionV relativeFrom="paragraph">
                  <wp:posOffset>12700</wp:posOffset>
                </wp:positionV>
                <wp:extent cx="749935" cy="170815"/>
                <wp:effectExtent l="0" t="0" r="0" b="0"/>
                <wp:wrapTopAndBottom/>
                <wp:docPr id="497" name="Shape 497"/>
                <wp:cNvGraphicFramePr/>
                <a:graphic xmlns:a="http://schemas.openxmlformats.org/drawingml/2006/main">
                  <a:graphicData uri="http://schemas.microsoft.com/office/word/2010/wordprocessingShape">
                    <wps:wsp>
                      <wps:cNvSpPr txBox="1"/>
                      <wps:spPr>
                        <a:xfrm>
                          <a:off x="0" y="0"/>
                          <a:ext cx="749935" cy="170815"/>
                        </a:xfrm>
                        <a:prstGeom prst="rect">
                          <a:avLst/>
                        </a:prstGeom>
                        <a:noFill/>
                      </wps:spPr>
                      <wps:txbx>
                        <w:txbxContent>
                          <w:p w:rsidR="00500724" w:rsidRDefault="00F30FB8">
                            <w:pPr>
                              <w:pStyle w:val="Zkladntext30"/>
                              <w:shd w:val="clear" w:color="auto" w:fill="auto"/>
                              <w:spacing w:after="0" w:line="240" w:lineRule="auto"/>
                              <w:ind w:firstLine="0"/>
                              <w:jc w:val="left"/>
                              <w:rPr>
                                <w:sz w:val="20"/>
                                <w:szCs w:val="20"/>
                              </w:rPr>
                            </w:pPr>
                            <w:r>
                              <w:rPr>
                                <w:b/>
                                <w:bCs/>
                                <w:sz w:val="20"/>
                                <w:szCs w:val="20"/>
                              </w:rPr>
                              <w:t>ZA K 2.—</w:t>
                            </w:r>
                          </w:p>
                        </w:txbxContent>
                      </wps:txbx>
                      <wps:bodyPr lIns="0" tIns="0" rIns="0" bIns="0"/>
                    </wps:wsp>
                  </a:graphicData>
                </a:graphic>
              </wp:anchor>
            </w:drawing>
          </mc:Choice>
          <mc:Fallback>
            <w:pict>
              <v:shape id="_x0000_s1523" type="#_x0000_t202" style="position:absolute;margin-left:515.5pt;margin-top:1.pt;width:59.049999999999997pt;height:13.449999999999999pt;z-index:-125828879;mso-wrap-distance-left:484.69999999999999pt;mso-wrap-distance-top:0.2999999999999999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ZA K 2.—</w:t>
                      </w:r>
                    </w:p>
                  </w:txbxContent>
                </v:textbox>
                <w10:wrap type="topAndBottom" anchorx="page"/>
              </v:shape>
            </w:pict>
          </mc:Fallback>
        </mc:AlternateContent>
      </w:r>
    </w:p>
    <w:p w:rsidR="00500724" w:rsidRDefault="00500724">
      <w:pPr>
        <w:spacing w:line="240" w:lineRule="exact"/>
        <w:rPr>
          <w:sz w:val="19"/>
          <w:szCs w:val="19"/>
        </w:rPr>
      </w:pPr>
    </w:p>
    <w:p w:rsidR="00500724" w:rsidRDefault="00500724">
      <w:pPr>
        <w:spacing w:before="14" w:after="14"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690" w:right="0" w:bottom="1092" w:left="0" w:header="0" w:footer="3" w:gutter="0"/>
          <w:cols w:space="720"/>
          <w:noEndnote/>
          <w:docGrid w:linePitch="360"/>
        </w:sectPr>
      </w:pPr>
    </w:p>
    <w:p w:rsidR="00500724" w:rsidRDefault="00F30FB8">
      <w:pPr>
        <w:pStyle w:val="Nadpis70"/>
        <w:keepNext/>
        <w:keepLines/>
        <w:shd w:val="clear" w:color="auto" w:fill="auto"/>
        <w:tabs>
          <w:tab w:val="left" w:pos="8947"/>
        </w:tabs>
        <w:spacing w:after="240"/>
        <w:ind w:left="240"/>
        <w:jc w:val="both"/>
        <w:rPr>
          <w:sz w:val="26"/>
          <w:szCs w:val="26"/>
        </w:rPr>
      </w:pPr>
      <w:bookmarkStart w:id="491" w:name="bookmark490"/>
      <w:r>
        <w:rPr>
          <w:rFonts w:ascii="Times New Roman" w:eastAsia="Times New Roman" w:hAnsi="Times New Roman" w:cs="Times New Roman"/>
          <w:w w:val="100"/>
        </w:rPr>
        <w:t>Tvář českého čtenáře</w:t>
      </w:r>
      <w:r>
        <w:rPr>
          <w:rFonts w:ascii="Times New Roman" w:eastAsia="Times New Roman" w:hAnsi="Times New Roman" w:cs="Times New Roman"/>
          <w:w w:val="100"/>
        </w:rPr>
        <w:tab/>
      </w:r>
      <w:r>
        <w:rPr>
          <w:rFonts w:ascii="Times New Roman" w:eastAsia="Times New Roman" w:hAnsi="Times New Roman" w:cs="Times New Roman"/>
          <w:w w:val="100"/>
          <w:sz w:val="26"/>
          <w:szCs w:val="26"/>
        </w:rPr>
        <w:t>F. PEROUTKA</w:t>
      </w:r>
      <w:bookmarkEnd w:id="491"/>
    </w:p>
    <w:tbl>
      <w:tblPr>
        <w:tblOverlap w:val="never"/>
        <w:tblW w:w="0" w:type="auto"/>
        <w:jc w:val="center"/>
        <w:tblLayout w:type="fixed"/>
        <w:tblCellMar>
          <w:left w:w="10" w:type="dxa"/>
          <w:right w:w="10" w:type="dxa"/>
        </w:tblCellMar>
        <w:tblLook w:val="04A0" w:firstRow="1" w:lastRow="0" w:firstColumn="1" w:lastColumn="0" w:noHBand="0" w:noVBand="1"/>
      </w:tblPr>
      <w:tblGrid>
        <w:gridCol w:w="8050"/>
        <w:gridCol w:w="2568"/>
      </w:tblGrid>
      <w:tr w:rsidR="00500724">
        <w:tblPrEx>
          <w:tblCellMar>
            <w:top w:w="0" w:type="dxa"/>
            <w:bottom w:w="0" w:type="dxa"/>
          </w:tblCellMar>
        </w:tblPrEx>
        <w:trPr>
          <w:trHeight w:hRule="exact" w:val="1238"/>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72"/>
                <w:szCs w:val="72"/>
              </w:rPr>
            </w:pPr>
            <w:r>
              <w:rPr>
                <w:rFonts w:ascii="Arial" w:eastAsia="Arial" w:hAnsi="Arial" w:cs="Arial"/>
                <w:b/>
                <w:bCs/>
                <w:w w:val="50"/>
                <w:sz w:val="72"/>
                <w:szCs w:val="72"/>
              </w:rPr>
              <w:t>Od Rooseveltova doselslvi k milánské smlouvě</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 xml:space="preserve">Z. </w:t>
            </w:r>
            <w:r>
              <w:rPr>
                <w:sz w:val="26"/>
                <w:szCs w:val="26"/>
              </w:rPr>
              <w:t>SMETÁČEK</w:t>
            </w:r>
          </w:p>
        </w:tc>
      </w:tr>
      <w:tr w:rsidR="00500724">
        <w:tblPrEx>
          <w:tblCellMar>
            <w:top w:w="0" w:type="dxa"/>
            <w:bottom w:w="0" w:type="dxa"/>
          </w:tblCellMar>
        </w:tblPrEx>
        <w:trPr>
          <w:trHeight w:hRule="exact" w:val="1219"/>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Londýn a Moskva</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JAN ALBERT</w:t>
            </w:r>
          </w:p>
        </w:tc>
      </w:tr>
      <w:tr w:rsidR="00500724">
        <w:tblPrEx>
          <w:tblCellMar>
            <w:top w:w="0" w:type="dxa"/>
            <w:bottom w:w="0" w:type="dxa"/>
          </w:tblCellMar>
        </w:tblPrEx>
        <w:trPr>
          <w:trHeight w:hRule="exact" w:val="1066"/>
          <w:jc w:val="center"/>
        </w:trPr>
        <w:tc>
          <w:tcPr>
            <w:tcW w:w="0" w:type="auto"/>
            <w:tcBorders>
              <w:top w:val="single" w:sz="4" w:space="0" w:color="auto"/>
            </w:tcBorders>
            <w:shd w:val="clear" w:color="auto" w:fill="FFFFFF"/>
            <w:vAlign w:val="bottom"/>
          </w:tcPr>
          <w:p w:rsidR="00500724" w:rsidRDefault="00F30FB8">
            <w:pPr>
              <w:pStyle w:val="Jin0"/>
              <w:shd w:val="clear" w:color="auto" w:fill="auto"/>
              <w:ind w:firstLine="0"/>
              <w:jc w:val="left"/>
              <w:rPr>
                <w:sz w:val="58"/>
                <w:szCs w:val="58"/>
              </w:rPr>
            </w:pPr>
            <w:r>
              <w:rPr>
                <w:sz w:val="58"/>
                <w:szCs w:val="58"/>
              </w:rPr>
              <w:t>Fata morgana potlesku —-</w:t>
            </w:r>
          </w:p>
        </w:tc>
        <w:tc>
          <w:tcPr>
            <w:tcW w:w="0" w:type="auto"/>
            <w:tcBorders>
              <w:top w:val="single" w:sz="4" w:space="0" w:color="auto"/>
            </w:tcBorders>
            <w:shd w:val="clear" w:color="auto" w:fill="FFFFFF"/>
            <w:vAlign w:val="bottom"/>
          </w:tcPr>
          <w:p w:rsidR="00500724" w:rsidRDefault="00F30FB8">
            <w:pPr>
              <w:pStyle w:val="Jin0"/>
              <w:shd w:val="clear" w:color="auto" w:fill="auto"/>
              <w:ind w:firstLine="0"/>
              <w:jc w:val="right"/>
              <w:rPr>
                <w:sz w:val="26"/>
                <w:szCs w:val="26"/>
              </w:rPr>
            </w:pPr>
            <w:r>
              <w:rPr>
                <w:sz w:val="26"/>
                <w:szCs w:val="26"/>
              </w:rPr>
              <w:t>EDMOND KONRÁD</w:t>
            </w:r>
          </w:p>
        </w:tc>
      </w:tr>
      <w:tr w:rsidR="00500724">
        <w:tblPrEx>
          <w:tblCellMar>
            <w:top w:w="0" w:type="dxa"/>
            <w:bottom w:w="0" w:type="dxa"/>
          </w:tblCellMar>
        </w:tblPrEx>
        <w:trPr>
          <w:trHeight w:hRule="exact" w:val="1354"/>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Jaká četba kazí děti</w:t>
            </w:r>
          </w:p>
        </w:tc>
        <w:tc>
          <w:tcPr>
            <w:tcW w:w="0" w:type="auto"/>
            <w:tcBorders>
              <w:top w:val="single" w:sz="4" w:space="0" w:color="auto"/>
            </w:tcBorders>
            <w:shd w:val="clear" w:color="auto" w:fill="FFFFFF"/>
            <w:vAlign w:val="bottom"/>
          </w:tcPr>
          <w:p w:rsidR="00500724" w:rsidRDefault="00F30FB8">
            <w:pPr>
              <w:pStyle w:val="Jin0"/>
              <w:shd w:val="clear" w:color="auto" w:fill="auto"/>
              <w:ind w:firstLine="0"/>
              <w:jc w:val="right"/>
              <w:rPr>
                <w:sz w:val="26"/>
                <w:szCs w:val="26"/>
              </w:rPr>
            </w:pPr>
            <w:r>
              <w:rPr>
                <w:sz w:val="26"/>
                <w:szCs w:val="26"/>
              </w:rPr>
              <w:t>JlRl SOUMAR</w:t>
            </w:r>
          </w:p>
        </w:tc>
      </w:tr>
      <w:tr w:rsidR="00500724">
        <w:tblPrEx>
          <w:tblCellMar>
            <w:top w:w="0" w:type="dxa"/>
            <w:bottom w:w="0" w:type="dxa"/>
          </w:tblCellMar>
        </w:tblPrEx>
        <w:trPr>
          <w:trHeight w:hRule="exact" w:val="1291"/>
          <w:jc w:val="center"/>
        </w:trPr>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left"/>
              <w:rPr>
                <w:sz w:val="58"/>
                <w:szCs w:val="58"/>
              </w:rPr>
            </w:pPr>
            <w:r>
              <w:rPr>
                <w:sz w:val="58"/>
                <w:szCs w:val="58"/>
              </w:rPr>
              <w:t>Proč celou stránku sportu?</w:t>
            </w:r>
          </w:p>
        </w:tc>
        <w:tc>
          <w:tcPr>
            <w:tcW w:w="0" w:type="auto"/>
            <w:tcBorders>
              <w:bottom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sz w:val="26"/>
                <w:szCs w:val="26"/>
              </w:rPr>
              <w:t>A. MRÁZ</w:t>
            </w:r>
          </w:p>
        </w:tc>
      </w:tr>
    </w:tbl>
    <w:p w:rsidR="00500724" w:rsidRDefault="00500724">
      <w:pPr>
        <w:spacing w:after="586" w:line="14" w:lineRule="exact"/>
      </w:pPr>
    </w:p>
    <w:p w:rsidR="00500724" w:rsidRDefault="00F30FB8">
      <w:pPr>
        <w:pStyle w:val="Jin0"/>
        <w:shd w:val="clear" w:color="auto" w:fill="auto"/>
        <w:spacing w:line="276" w:lineRule="auto"/>
        <w:ind w:right="80" w:firstLine="0"/>
        <w:jc w:val="center"/>
        <w:rPr>
          <w:sz w:val="26"/>
          <w:szCs w:val="26"/>
        </w:rPr>
      </w:pPr>
      <w:r>
        <w:rPr>
          <w:b/>
          <w:bCs/>
          <w:sz w:val="26"/>
          <w:szCs w:val="26"/>
        </w:rPr>
        <w:t>Debata o českém parlamentu. — Oč jde mezi Srby a Chorvaty. — Pěkný pokrok ve spo-</w:t>
      </w:r>
      <w:r>
        <w:rPr>
          <w:b/>
          <w:bCs/>
          <w:sz w:val="26"/>
          <w:szCs w:val="26"/>
        </w:rPr>
        <w:br/>
        <w:t>třebním družstevnictví. —</w:t>
      </w:r>
      <w:r>
        <w:rPr>
          <w:b/>
          <w:bCs/>
          <w:sz w:val="26"/>
          <w:szCs w:val="26"/>
        </w:rPr>
        <w:t xml:space="preserve"> Slovenská kniha a český čtenář. —</w:t>
      </w:r>
    </w:p>
    <w:p w:rsidR="00500724" w:rsidRDefault="00F30FB8">
      <w:pPr>
        <w:pStyle w:val="Jin0"/>
        <w:shd w:val="clear" w:color="auto" w:fill="auto"/>
        <w:spacing w:after="420" w:line="276" w:lineRule="auto"/>
        <w:ind w:right="80" w:firstLine="0"/>
        <w:jc w:val="center"/>
        <w:rPr>
          <w:sz w:val="26"/>
          <w:szCs w:val="26"/>
        </w:rPr>
        <w:sectPr w:rsidR="00500724">
          <w:footnotePr>
            <w:numFmt w:val="chicago"/>
            <w:numRestart w:val="eachPage"/>
          </w:footnotePr>
          <w:type w:val="continuous"/>
          <w:pgSz w:w="11909" w:h="16834"/>
          <w:pgMar w:top="1690" w:right="283" w:bottom="1092" w:left="624" w:header="0" w:footer="3" w:gutter="0"/>
          <w:cols w:space="720"/>
          <w:noEndnote/>
          <w:docGrid w:linePitch="360"/>
        </w:sectPr>
      </w:pPr>
      <w:r>
        <w:rPr>
          <w:b/>
          <w:bCs/>
          <w:sz w:val="26"/>
          <w:szCs w:val="26"/>
        </w:rPr>
        <w:t>Slovenky odpovídají Slovence.</w:t>
      </w:r>
    </w:p>
    <w:p w:rsidR="00500724" w:rsidRDefault="00F30FB8">
      <w:pPr>
        <w:pStyle w:val="Nadpis110"/>
        <w:framePr w:w="4834" w:h="514" w:wrap="none" w:vAnchor="text" w:hAnchor="page" w:x="781" w:y="21"/>
        <w:pBdr>
          <w:top w:val="single" w:sz="0" w:space="0" w:color="000000"/>
          <w:left w:val="single" w:sz="0" w:space="0" w:color="000000"/>
          <w:bottom w:val="single" w:sz="0" w:space="0" w:color="000000"/>
          <w:right w:val="single" w:sz="0" w:space="0" w:color="000000"/>
        </w:pBdr>
        <w:shd w:val="clear" w:color="auto" w:fill="000000"/>
        <w:spacing w:before="100"/>
        <w:jc w:val="center"/>
      </w:pPr>
      <w:bookmarkStart w:id="492" w:name="bookmark491"/>
      <w:r>
        <w:rPr>
          <w:color w:val="FFFFFF"/>
        </w:rPr>
        <w:t>ODBORNÍ LEKAftl</w:t>
      </w:r>
      <w:bookmarkEnd w:id="492"/>
    </w:p>
    <w:p w:rsidR="00500724" w:rsidRDefault="00F30FB8">
      <w:pPr>
        <w:pStyle w:val="Nadpis110"/>
        <w:framePr w:w="5050" w:h="773" w:wrap="none" w:vAnchor="text" w:hAnchor="page" w:x="656" w:y="543"/>
        <w:shd w:val="clear" w:color="auto" w:fill="auto"/>
        <w:spacing w:after="40"/>
        <w:jc w:val="both"/>
      </w:pPr>
      <w:bookmarkStart w:id="493" w:name="bookmark492"/>
      <w:r>
        <w:t>MUDr. ZDENKA NEDVĚDOVÁ-NEJEDLÁ</w:t>
      </w:r>
      <w:bookmarkEnd w:id="493"/>
    </w:p>
    <w:p w:rsidR="00500724" w:rsidRDefault="00F30FB8">
      <w:pPr>
        <w:pStyle w:val="Zkladntext100"/>
        <w:framePr w:w="5050" w:h="773" w:wrap="none" w:vAnchor="text" w:hAnchor="page" w:x="656" w:y="543"/>
        <w:shd w:val="clear" w:color="auto" w:fill="auto"/>
        <w:spacing w:line="228" w:lineRule="auto"/>
        <w:ind w:firstLine="0"/>
      </w:pPr>
      <w:r>
        <w:t xml:space="preserve">odb. dětská lékařka, PODOLÍ, PANKRÁCKÁ 14 (stanice elektr. </w:t>
      </w:r>
      <w:r>
        <w:rPr>
          <w:u w:val="single"/>
        </w:rPr>
        <w:t xml:space="preserve">dráhy </w:t>
      </w:r>
      <w:r>
        <w:rPr>
          <w:rFonts w:ascii="Arial" w:eastAsia="Arial" w:hAnsi="Arial" w:cs="Arial"/>
          <w:b/>
          <w:bCs/>
          <w:u w:val="single"/>
        </w:rPr>
        <w:t xml:space="preserve">za </w:t>
      </w:r>
      <w:r>
        <w:rPr>
          <w:u w:val="single"/>
        </w:rPr>
        <w:t xml:space="preserve">Podol, sanatoriem). Ord. 9—10 a 2—4. Tel. </w:t>
      </w:r>
      <w:r>
        <w:rPr>
          <w:u w:val="single"/>
        </w:rPr>
        <w:t>441-77.</w:t>
      </w:r>
    </w:p>
    <w:p w:rsidR="00500724" w:rsidRDefault="00F30FB8">
      <w:pPr>
        <w:pStyle w:val="Nadpis110"/>
        <w:framePr w:w="5074" w:h="1690" w:wrap="none" w:vAnchor="text" w:hAnchor="page" w:x="632" w:y="1460"/>
        <w:shd w:val="clear" w:color="auto" w:fill="auto"/>
        <w:jc w:val="both"/>
      </w:pPr>
      <w:bookmarkStart w:id="494" w:name="bookmark493"/>
      <w:r>
        <w:t xml:space="preserve">MUDr. </w:t>
      </w:r>
      <w:r>
        <w:rPr>
          <w:lang w:val="en-US" w:eastAsia="en-US" w:bidi="en-US"/>
        </w:rPr>
        <w:t xml:space="preserve">ANTONIN </w:t>
      </w:r>
      <w:r>
        <w:t>NEUMANN</w:t>
      </w:r>
      <w:bookmarkEnd w:id="494"/>
    </w:p>
    <w:p w:rsidR="00500724" w:rsidRDefault="00F30FB8">
      <w:pPr>
        <w:pStyle w:val="Zkladntext40"/>
        <w:framePr w:w="5074" w:h="1690" w:wrap="none" w:vAnchor="text" w:hAnchor="page" w:x="632" w:y="1460"/>
        <w:shd w:val="clear" w:color="auto" w:fill="auto"/>
        <w:spacing w:after="200" w:line="190" w:lineRule="auto"/>
        <w:ind w:firstLine="700"/>
        <w:rPr>
          <w:sz w:val="16"/>
          <w:szCs w:val="16"/>
        </w:rPr>
      </w:pPr>
      <w:r>
        <w:rPr>
          <w:sz w:val="18"/>
          <w:szCs w:val="18"/>
        </w:rPr>
        <w:t xml:space="preserve">odborný lékař nemoci pohlavních, kožních a kosmetiky </w:t>
      </w:r>
      <w:r>
        <w:rPr>
          <w:b/>
          <w:bCs/>
          <w:sz w:val="16"/>
          <w:szCs w:val="16"/>
          <w:lang w:val="en-US" w:eastAsia="en-US" w:bidi="en-US"/>
        </w:rPr>
        <w:t xml:space="preserve">Praha </w:t>
      </w:r>
      <w:r>
        <w:rPr>
          <w:sz w:val="18"/>
          <w:szCs w:val="18"/>
        </w:rPr>
        <w:t xml:space="preserve">II., </w:t>
      </w:r>
      <w:r>
        <w:rPr>
          <w:b/>
          <w:bCs/>
          <w:sz w:val="16"/>
          <w:szCs w:val="16"/>
        </w:rPr>
        <w:t xml:space="preserve">Na Zbořenci 24 — třetí dům od Karlova náměstí. </w:t>
      </w:r>
      <w:r>
        <w:rPr>
          <w:b/>
          <w:bCs/>
          <w:sz w:val="16"/>
          <w:szCs w:val="16"/>
          <w:u w:val="single"/>
        </w:rPr>
        <w:t>Ordinuje celý den. V nedělí a ve svátek dopoledne. Tel. 41.728.</w:t>
      </w:r>
    </w:p>
    <w:p w:rsidR="00500724" w:rsidRDefault="00F30FB8">
      <w:pPr>
        <w:pStyle w:val="Zkladntext100"/>
        <w:framePr w:w="5074" w:h="1690" w:wrap="none" w:vAnchor="text" w:hAnchor="page" w:x="632" w:y="1460"/>
        <w:shd w:val="clear" w:color="auto" w:fill="auto"/>
        <w:spacing w:after="120" w:line="262" w:lineRule="auto"/>
        <w:ind w:firstLine="0"/>
      </w:pPr>
      <w:r>
        <w:t xml:space="preserve">Pro plastickou chirurgii </w:t>
      </w:r>
      <w:r>
        <w:rPr>
          <w:rFonts w:ascii="Arial" w:eastAsia="Arial" w:hAnsi="Arial" w:cs="Arial"/>
          <w:b/>
          <w:bCs/>
          <w:sz w:val="22"/>
          <w:szCs w:val="22"/>
        </w:rPr>
        <w:t xml:space="preserve">Dr. RUDOLF SLUNEČKO </w:t>
      </w:r>
      <w:r>
        <w:t xml:space="preserve">ord. </w:t>
      </w:r>
      <w:r>
        <w:t>3—4 (a podle úmluvy). Telefon 393-79. PRAHA H., VO</w:t>
      </w:r>
      <w:r>
        <w:softHyphen/>
      </w:r>
      <w:r>
        <w:rPr>
          <w:u w:val="single"/>
        </w:rPr>
        <w:t>DIČKOVA 15. (Hlávkův palác.)</w:t>
      </w:r>
    </w:p>
    <w:p w:rsidR="00500724" w:rsidRDefault="00F30FB8">
      <w:pPr>
        <w:pStyle w:val="Zkladntext100"/>
        <w:framePr w:w="5078" w:h="634" w:wrap="none" w:vAnchor="text" w:hAnchor="page" w:x="627" w:y="3279"/>
        <w:shd w:val="clear" w:color="auto" w:fill="auto"/>
        <w:spacing w:line="197" w:lineRule="auto"/>
        <w:ind w:firstLine="0"/>
        <w:rPr>
          <w:sz w:val="19"/>
          <w:szCs w:val="19"/>
        </w:rPr>
      </w:pPr>
      <w:r>
        <w:rPr>
          <w:rFonts w:ascii="Arial" w:eastAsia="Arial" w:hAnsi="Arial" w:cs="Arial"/>
          <w:b/>
          <w:bCs/>
          <w:sz w:val="22"/>
          <w:szCs w:val="22"/>
        </w:rPr>
        <w:t xml:space="preserve">MUDr. STANISLAV TUMPACH </w:t>
      </w:r>
      <w:r>
        <w:rPr>
          <w:b/>
          <w:bCs/>
          <w:sz w:val="19"/>
          <w:szCs w:val="19"/>
        </w:rPr>
        <w:t xml:space="preserve">odborný lékař pro chirurgii a urologii. PRAHA XH., Fochova 84 (Nám. krále </w:t>
      </w:r>
      <w:r>
        <w:rPr>
          <w:b/>
          <w:bCs/>
          <w:sz w:val="19"/>
          <w:szCs w:val="19"/>
          <w:u w:val="single"/>
        </w:rPr>
        <w:t>Jiřího). Ord. 15—17. Tel. 512-86, byt: 513-38.</w:t>
      </w:r>
    </w:p>
    <w:p w:rsidR="00500724" w:rsidRDefault="00F30FB8">
      <w:pPr>
        <w:pStyle w:val="Zkladntext50"/>
        <w:framePr w:w="4493" w:h="552" w:wrap="none" w:vAnchor="text" w:hAnchor="page" w:x="1127" w:y="5262"/>
        <w:shd w:val="clear" w:color="auto" w:fill="auto"/>
        <w:spacing w:after="0" w:line="240" w:lineRule="auto"/>
        <w:ind w:left="0"/>
        <w:jc w:val="left"/>
        <w:rPr>
          <w:sz w:val="18"/>
          <w:szCs w:val="18"/>
        </w:rPr>
      </w:pPr>
      <w:r>
        <w:rPr>
          <w:b/>
          <w:bCs/>
          <w:sz w:val="18"/>
          <w:szCs w:val="18"/>
        </w:rPr>
        <w:t xml:space="preserve">Revma, dna, ischias, nervosy, </w:t>
      </w:r>
      <w:r>
        <w:rPr>
          <w:b/>
          <w:bCs/>
          <w:sz w:val="18"/>
          <w:szCs w:val="18"/>
        </w:rPr>
        <w:t>ženské choroby</w:t>
      </w:r>
    </w:p>
    <w:p w:rsidR="00500724" w:rsidRDefault="00F30FB8">
      <w:pPr>
        <w:pStyle w:val="Jin0"/>
        <w:framePr w:w="4493" w:h="552" w:wrap="none" w:vAnchor="text" w:hAnchor="page" w:x="1127" w:y="5262"/>
        <w:pBdr>
          <w:bottom w:val="single" w:sz="4" w:space="0" w:color="auto"/>
        </w:pBdr>
        <w:shd w:val="clear" w:color="auto" w:fill="auto"/>
        <w:spacing w:line="194" w:lineRule="auto"/>
        <w:ind w:firstLine="0"/>
        <w:jc w:val="left"/>
        <w:rPr>
          <w:sz w:val="26"/>
          <w:szCs w:val="26"/>
        </w:rPr>
      </w:pPr>
      <w:r>
        <w:rPr>
          <w:rFonts w:ascii="Arial" w:eastAsia="Arial" w:hAnsi="Arial" w:cs="Arial"/>
          <w:b/>
          <w:bCs/>
          <w:sz w:val="26"/>
          <w:szCs w:val="26"/>
        </w:rPr>
        <w:t>Levné jarní paušály od K 960*-za 3 týdny</w:t>
      </w:r>
    </w:p>
    <w:p w:rsidR="00500724" w:rsidRDefault="00F30FB8">
      <w:pPr>
        <w:pStyle w:val="Jin0"/>
        <w:framePr w:w="4598" w:h="3437" w:wrap="none" w:vAnchor="text" w:hAnchor="page" w:x="954" w:y="6289"/>
        <w:shd w:val="clear" w:color="auto" w:fill="auto"/>
        <w:spacing w:after="60"/>
        <w:ind w:firstLine="0"/>
        <w:jc w:val="left"/>
        <w:rPr>
          <w:sz w:val="26"/>
          <w:szCs w:val="26"/>
        </w:rPr>
      </w:pPr>
      <w:r>
        <w:rPr>
          <w:i/>
          <w:iCs/>
          <w:sz w:val="26"/>
          <w:szCs w:val="26"/>
        </w:rPr>
        <w:t>Svétovou sensací</w:t>
      </w:r>
    </w:p>
    <w:p w:rsidR="00500724" w:rsidRDefault="00F30FB8">
      <w:pPr>
        <w:pStyle w:val="Nadpis110"/>
        <w:framePr w:w="4598" w:h="3437" w:wrap="none" w:vAnchor="text" w:hAnchor="page" w:x="954" w:y="6289"/>
        <w:shd w:val="clear" w:color="auto" w:fill="auto"/>
        <w:spacing w:after="60"/>
        <w:ind w:left="500" w:firstLine="20"/>
      </w:pPr>
      <w:bookmarkStart w:id="495" w:name="bookmark494"/>
      <w:r>
        <w:t>prvního řádu isou</w:t>
      </w:r>
      <w:bookmarkEnd w:id="495"/>
    </w:p>
    <w:p w:rsidR="00500724" w:rsidRDefault="00F30FB8">
      <w:pPr>
        <w:pStyle w:val="Jin0"/>
        <w:framePr w:w="4598" w:h="3437" w:wrap="none" w:vAnchor="text" w:hAnchor="page" w:x="954" w:y="6289"/>
        <w:shd w:val="clear" w:color="auto" w:fill="auto"/>
        <w:spacing w:after="100"/>
        <w:ind w:firstLine="0"/>
        <w:jc w:val="right"/>
        <w:rPr>
          <w:sz w:val="36"/>
          <w:szCs w:val="36"/>
        </w:rPr>
      </w:pPr>
      <w:r>
        <w:rPr>
          <w:rFonts w:ascii="Arial" w:eastAsia="Arial" w:hAnsi="Arial" w:cs="Arial"/>
          <w:b/>
          <w:bCs/>
          <w:sz w:val="36"/>
          <w:szCs w:val="36"/>
        </w:rPr>
        <w:t>švýcarské psací stroje</w:t>
      </w:r>
    </w:p>
    <w:p w:rsidR="00500724" w:rsidRDefault="00F30FB8">
      <w:pPr>
        <w:pStyle w:val="Zkladntext50"/>
        <w:framePr w:w="4598" w:h="3437" w:wrap="none" w:vAnchor="text" w:hAnchor="page" w:x="954" w:y="6289"/>
        <w:shd w:val="clear" w:color="auto" w:fill="auto"/>
        <w:spacing w:line="230" w:lineRule="auto"/>
        <w:ind w:left="2020" w:firstLine="20"/>
        <w:jc w:val="left"/>
      </w:pPr>
      <w:r>
        <w:t>s automatem pásky, oboustran</w:t>
      </w:r>
      <w:r>
        <w:br/>
        <w:t>ným vypínačem okraje a vel-</w:t>
      </w:r>
      <w:r>
        <w:br/>
        <w:t>kou řádkovou pákou, s ele-</w:t>
      </w:r>
      <w:r>
        <w:br/>
        <w:t>gantním kufříkem</w:t>
      </w:r>
    </w:p>
    <w:p w:rsidR="00500724" w:rsidRDefault="00F30FB8">
      <w:pPr>
        <w:pStyle w:val="Nadpis110"/>
        <w:framePr w:w="4598" w:h="3437" w:wrap="none" w:vAnchor="text" w:hAnchor="page" w:x="954" w:y="6289"/>
        <w:shd w:val="clear" w:color="auto" w:fill="auto"/>
        <w:spacing w:after="120"/>
        <w:jc w:val="right"/>
      </w:pPr>
      <w:bookmarkStart w:id="496" w:name="bookmark495"/>
      <w:r>
        <w:rPr>
          <w:u w:val="single"/>
        </w:rPr>
        <w:t>JEN K 1390’-</w:t>
      </w:r>
      <w:bookmarkEnd w:id="496"/>
    </w:p>
    <w:p w:rsidR="00500724" w:rsidRDefault="00F30FB8">
      <w:pPr>
        <w:pStyle w:val="Zkladntext40"/>
        <w:framePr w:w="4598" w:h="3437" w:wrap="none" w:vAnchor="text" w:hAnchor="page" w:x="954" w:y="6289"/>
        <w:shd w:val="clear" w:color="auto" w:fill="auto"/>
        <w:spacing w:after="160" w:line="240" w:lineRule="auto"/>
        <w:ind w:left="2020" w:firstLine="20"/>
        <w:jc w:val="left"/>
        <w:rPr>
          <w:sz w:val="16"/>
          <w:szCs w:val="16"/>
        </w:rPr>
      </w:pPr>
      <w:r>
        <w:rPr>
          <w:b/>
          <w:bCs/>
          <w:sz w:val="16"/>
          <w:szCs w:val="16"/>
        </w:rPr>
        <w:t xml:space="preserve">Žádejte předvedení dalších </w:t>
      </w:r>
      <w:r>
        <w:rPr>
          <w:b/>
          <w:bCs/>
          <w:sz w:val="16"/>
          <w:szCs w:val="16"/>
        </w:rPr>
        <w:t>modelů.</w:t>
      </w:r>
    </w:p>
    <w:p w:rsidR="00500724" w:rsidRDefault="00F30FB8">
      <w:pPr>
        <w:pStyle w:val="Jin0"/>
        <w:framePr w:w="4598" w:h="3437" w:wrap="none" w:vAnchor="text" w:hAnchor="page" w:x="954" w:y="6289"/>
        <w:shd w:val="clear" w:color="auto" w:fill="auto"/>
        <w:ind w:firstLine="0"/>
        <w:jc w:val="right"/>
        <w:rPr>
          <w:sz w:val="40"/>
          <w:szCs w:val="40"/>
        </w:rPr>
      </w:pPr>
      <w:r>
        <w:rPr>
          <w:rFonts w:ascii="Arial" w:eastAsia="Arial" w:hAnsi="Arial" w:cs="Arial"/>
          <w:b/>
          <w:bCs/>
          <w:w w:val="60"/>
          <w:sz w:val="40"/>
          <w:szCs w:val="40"/>
        </w:rPr>
        <w:t>CHOCHOLA A SPOL,</w:t>
      </w:r>
    </w:p>
    <w:p w:rsidR="00500724" w:rsidRDefault="00F30FB8">
      <w:pPr>
        <w:pStyle w:val="Zkladntext50"/>
        <w:framePr w:w="4598" w:h="3437" w:wrap="none" w:vAnchor="text" w:hAnchor="page" w:x="954" w:y="6289"/>
        <w:shd w:val="clear" w:color="auto" w:fill="auto"/>
        <w:spacing w:after="80" w:line="230" w:lineRule="auto"/>
        <w:ind w:left="0"/>
        <w:jc w:val="right"/>
      </w:pPr>
      <w:r>
        <w:rPr>
          <w:b/>
          <w:bCs/>
        </w:rPr>
        <w:t>PRAHA, Václavské n. 25, v pasáži</w:t>
      </w:r>
    </w:p>
    <w:tbl>
      <w:tblPr>
        <w:tblOverlap w:val="never"/>
        <w:tblW w:w="0" w:type="auto"/>
        <w:tblInd w:w="-3" w:type="dxa"/>
        <w:tblLayout w:type="fixed"/>
        <w:tblCellMar>
          <w:left w:w="10" w:type="dxa"/>
          <w:right w:w="10" w:type="dxa"/>
        </w:tblCellMar>
        <w:tblLook w:val="04A0" w:firstRow="1" w:lastRow="0" w:firstColumn="1" w:lastColumn="0" w:noHBand="0" w:noVBand="1"/>
      </w:tblPr>
      <w:tblGrid>
        <w:gridCol w:w="725"/>
        <w:gridCol w:w="3586"/>
        <w:gridCol w:w="725"/>
      </w:tblGrid>
      <w:tr w:rsidR="00500724">
        <w:tblPrEx>
          <w:tblCellMar>
            <w:top w:w="0" w:type="dxa"/>
            <w:bottom w:w="0" w:type="dxa"/>
          </w:tblCellMar>
        </w:tblPrEx>
        <w:trPr>
          <w:trHeight w:hRule="exact" w:val="1819"/>
        </w:trPr>
        <w:tc>
          <w:tcPr>
            <w:tcW w:w="0" w:type="auto"/>
            <w:vMerge w:val="restart"/>
            <w:tcBorders>
              <w:left w:val="single" w:sz="4" w:space="0" w:color="auto"/>
            </w:tcBorders>
            <w:shd w:val="clear" w:color="auto" w:fill="FFFFFF"/>
          </w:tcPr>
          <w:p w:rsidR="00500724" w:rsidRDefault="00500724">
            <w:pPr>
              <w:framePr w:w="5035" w:h="8832" w:wrap="none" w:vAnchor="text" w:hAnchor="page" w:x="6003" w:y="284"/>
              <w:rPr>
                <w:sz w:val="10"/>
                <w:szCs w:val="10"/>
              </w:rPr>
            </w:pPr>
          </w:p>
        </w:tc>
        <w:tc>
          <w:tcPr>
            <w:tcW w:w="0" w:type="auto"/>
            <w:tcBorders>
              <w:top w:val="single" w:sz="4" w:space="0" w:color="auto"/>
              <w:left w:val="single" w:sz="4" w:space="0" w:color="auto"/>
            </w:tcBorders>
            <w:shd w:val="clear" w:color="auto" w:fill="FFFFFF"/>
            <w:vAlign w:val="center"/>
          </w:tcPr>
          <w:p w:rsidR="00500724" w:rsidRDefault="00F30FB8">
            <w:pPr>
              <w:pStyle w:val="Jin0"/>
              <w:framePr w:w="5035" w:h="8832" w:wrap="none" w:vAnchor="text" w:hAnchor="page" w:x="6003" w:y="284"/>
              <w:shd w:val="clear" w:color="auto" w:fill="auto"/>
              <w:ind w:left="200" w:firstLine="0"/>
              <w:jc w:val="left"/>
              <w:rPr>
                <w:sz w:val="46"/>
                <w:szCs w:val="46"/>
              </w:rPr>
            </w:pPr>
            <w:r>
              <w:rPr>
                <w:rFonts w:ascii="Franklin Gothic Medium Cond" w:eastAsia="Franklin Gothic Medium Cond" w:hAnsi="Franklin Gothic Medium Cond" w:cs="Franklin Gothic Medium Cond"/>
                <w:b/>
                <w:bCs/>
                <w:sz w:val="46"/>
                <w:szCs w:val="46"/>
              </w:rPr>
              <w:t>ČLOVĚK MUSÍ 1ÍST!</w:t>
            </w:r>
          </w:p>
          <w:p w:rsidR="00500724" w:rsidRDefault="00F30FB8">
            <w:pPr>
              <w:pStyle w:val="Jin0"/>
              <w:framePr w:w="5035" w:h="8832" w:wrap="none" w:vAnchor="text" w:hAnchor="page" w:x="6003" w:y="284"/>
              <w:shd w:val="clear" w:color="auto" w:fill="auto"/>
              <w:spacing w:line="221" w:lineRule="auto"/>
              <w:ind w:right="200" w:firstLine="0"/>
              <w:jc w:val="right"/>
              <w:rPr>
                <w:sz w:val="15"/>
                <w:szCs w:val="15"/>
              </w:rPr>
            </w:pPr>
            <w:r>
              <w:rPr>
                <w:rFonts w:ascii="Arial" w:eastAsia="Arial" w:hAnsi="Arial" w:cs="Arial"/>
                <w:sz w:val="15"/>
                <w:szCs w:val="15"/>
              </w:rPr>
              <w:t>To ie sugestivní název důležitá knihy</w:t>
            </w:r>
          </w:p>
          <w:p w:rsidR="00500724" w:rsidRDefault="00F30FB8">
            <w:pPr>
              <w:pStyle w:val="Jin0"/>
              <w:framePr w:w="5035" w:h="8832" w:wrap="none" w:vAnchor="text" w:hAnchor="page" w:x="6003" w:y="284"/>
              <w:shd w:val="clear" w:color="auto" w:fill="auto"/>
              <w:ind w:right="200" w:firstLine="0"/>
              <w:jc w:val="right"/>
              <w:rPr>
                <w:sz w:val="18"/>
                <w:szCs w:val="18"/>
              </w:rPr>
            </w:pPr>
            <w:r>
              <w:rPr>
                <w:rFonts w:ascii="Arial" w:eastAsia="Arial" w:hAnsi="Arial" w:cs="Arial"/>
                <w:b/>
                <w:bCs/>
                <w:w w:val="80"/>
                <w:sz w:val="18"/>
                <w:szCs w:val="18"/>
              </w:rPr>
              <w:t xml:space="preserve">G. C.FURNflSE </w:t>
            </w:r>
            <w:r>
              <w:rPr>
                <w:rFonts w:ascii="Arial" w:eastAsia="Arial" w:hAnsi="Arial" w:cs="Arial"/>
                <w:b/>
                <w:bCs/>
                <w:w w:val="70"/>
                <w:sz w:val="28"/>
                <w:szCs w:val="28"/>
              </w:rPr>
              <w:t xml:space="preserve">a </w:t>
            </w:r>
            <w:r>
              <w:rPr>
                <w:rFonts w:ascii="Arial" w:eastAsia="Arial" w:hAnsi="Arial" w:cs="Arial"/>
                <w:b/>
                <w:bCs/>
                <w:w w:val="80"/>
                <w:sz w:val="18"/>
                <w:szCs w:val="18"/>
              </w:rPr>
              <w:t xml:space="preserve">S. </w:t>
            </w:r>
            <w:r>
              <w:rPr>
                <w:rFonts w:ascii="Arial" w:eastAsia="Arial" w:hAnsi="Arial" w:cs="Arial"/>
                <w:b/>
                <w:bCs/>
                <w:w w:val="70"/>
                <w:sz w:val="28"/>
                <w:szCs w:val="28"/>
              </w:rPr>
              <w:t xml:space="preserve">M. </w:t>
            </w:r>
            <w:r>
              <w:rPr>
                <w:rFonts w:ascii="Arial" w:eastAsia="Arial" w:hAnsi="Arial" w:cs="Arial"/>
                <w:b/>
                <w:bCs/>
                <w:w w:val="80"/>
                <w:sz w:val="18"/>
                <w:szCs w:val="18"/>
              </w:rPr>
              <w:t>FURKOSOVÉ</w:t>
            </w:r>
          </w:p>
          <w:p w:rsidR="00500724" w:rsidRDefault="00F30FB8">
            <w:pPr>
              <w:pStyle w:val="Jin0"/>
              <w:framePr w:w="5035" w:h="8832" w:wrap="none" w:vAnchor="text" w:hAnchor="page" w:x="6003" w:y="284"/>
              <w:shd w:val="clear" w:color="auto" w:fill="auto"/>
              <w:spacing w:line="221" w:lineRule="auto"/>
              <w:ind w:right="200" w:firstLine="0"/>
              <w:jc w:val="right"/>
              <w:rPr>
                <w:sz w:val="15"/>
                <w:szCs w:val="15"/>
              </w:rPr>
            </w:pPr>
            <w:r>
              <w:rPr>
                <w:rFonts w:ascii="Arial" w:eastAsia="Arial" w:hAnsi="Arial" w:cs="Arial"/>
                <w:sz w:val="15"/>
                <w:szCs w:val="15"/>
              </w:rPr>
              <w:t>S nakažlivým nadšením PAUL DE KRUIFA jasně a vtipně zachycují autoři</w:t>
            </w:r>
          </w:p>
          <w:p w:rsidR="00500724" w:rsidRDefault="00F30FB8">
            <w:pPr>
              <w:pStyle w:val="Jin0"/>
              <w:framePr w:w="5035" w:h="8832" w:wrap="none" w:vAnchor="text" w:hAnchor="page" w:x="6003" w:y="284"/>
              <w:shd w:val="clear" w:color="auto" w:fill="auto"/>
              <w:spacing w:line="228" w:lineRule="auto"/>
              <w:ind w:right="200" w:firstLine="0"/>
              <w:jc w:val="right"/>
              <w:rPr>
                <w:sz w:val="24"/>
                <w:szCs w:val="24"/>
              </w:rPr>
            </w:pPr>
            <w:r>
              <w:rPr>
                <w:rFonts w:ascii="Calibri" w:eastAsia="Calibri" w:hAnsi="Calibri" w:cs="Calibri"/>
                <w:b/>
                <w:bCs/>
                <w:w w:val="80"/>
                <w:sz w:val="24"/>
                <w:szCs w:val="24"/>
              </w:rPr>
              <w:t>HISTORII BOld 0 LIDSKOU POTRAVU</w:t>
            </w:r>
          </w:p>
        </w:tc>
        <w:tc>
          <w:tcPr>
            <w:tcW w:w="0" w:type="auto"/>
            <w:vMerge w:val="restart"/>
            <w:tcBorders>
              <w:left w:val="single" w:sz="4" w:space="0" w:color="auto"/>
              <w:right w:val="single" w:sz="4" w:space="0" w:color="auto"/>
            </w:tcBorders>
            <w:shd w:val="clear" w:color="auto" w:fill="FFFFFF"/>
          </w:tcPr>
          <w:p w:rsidR="00500724" w:rsidRDefault="00500724">
            <w:pPr>
              <w:framePr w:w="5035" w:h="8832" w:wrap="none" w:vAnchor="text" w:hAnchor="page" w:x="6003" w:y="284"/>
              <w:rPr>
                <w:sz w:val="10"/>
                <w:szCs w:val="10"/>
              </w:rPr>
            </w:pPr>
          </w:p>
        </w:tc>
      </w:tr>
      <w:tr w:rsidR="00500724">
        <w:tblPrEx>
          <w:tblCellMar>
            <w:top w:w="0" w:type="dxa"/>
            <w:bottom w:w="0" w:type="dxa"/>
          </w:tblCellMar>
        </w:tblPrEx>
        <w:trPr>
          <w:trHeight w:hRule="exact" w:val="907"/>
        </w:trPr>
        <w:tc>
          <w:tcPr>
            <w:tcW w:w="0" w:type="auto"/>
            <w:vMerge/>
            <w:tcBorders>
              <w:left w:val="single" w:sz="4" w:space="0" w:color="auto"/>
            </w:tcBorders>
            <w:shd w:val="clear" w:color="auto" w:fill="FFFFFF"/>
          </w:tcPr>
          <w:p w:rsidR="00500724" w:rsidRDefault="00500724">
            <w:pPr>
              <w:framePr w:w="5035" w:h="8832" w:wrap="none" w:vAnchor="text" w:hAnchor="page" w:x="6003" w:y="284"/>
            </w:pPr>
          </w:p>
        </w:tc>
        <w:tc>
          <w:tcPr>
            <w:tcW w:w="0" w:type="auto"/>
            <w:tcBorders>
              <w:top w:val="single" w:sz="4" w:space="0" w:color="auto"/>
              <w:left w:val="single" w:sz="4" w:space="0" w:color="auto"/>
            </w:tcBorders>
            <w:shd w:val="clear" w:color="auto" w:fill="FFFFFF"/>
          </w:tcPr>
          <w:p w:rsidR="00500724" w:rsidRDefault="00F30FB8">
            <w:pPr>
              <w:pStyle w:val="Jin0"/>
              <w:framePr w:w="5035" w:h="8832" w:wrap="none" w:vAnchor="text" w:hAnchor="page" w:x="6003" w:y="284"/>
              <w:shd w:val="clear" w:color="auto" w:fill="auto"/>
              <w:spacing w:line="276" w:lineRule="auto"/>
              <w:ind w:left="200" w:right="200" w:firstLine="0"/>
              <w:rPr>
                <w:sz w:val="12"/>
                <w:szCs w:val="12"/>
              </w:rPr>
            </w:pPr>
            <w:r>
              <w:rPr>
                <w:rFonts w:ascii="Arial" w:eastAsia="Arial" w:hAnsi="Arial" w:cs="Arial"/>
                <w:b/>
                <w:bCs/>
                <w:sz w:val="12"/>
                <w:szCs w:val="12"/>
              </w:rPr>
              <w:t xml:space="preserve">Z </w:t>
            </w:r>
            <w:r>
              <w:rPr>
                <w:rFonts w:ascii="Arial" w:eastAsia="Arial" w:hAnsi="Arial" w:cs="Arial"/>
                <w:b/>
                <w:bCs/>
                <w:sz w:val="12"/>
                <w:szCs w:val="12"/>
              </w:rPr>
              <w:t>OBSAHU, PRAČLOVĚK-LIDSKÝ STROJ - UHLO- VODANY - TUKY - VITAMINY - KAZIVÉ ZUBY - PRODLOUŽENÍ LIDSKÉHO ŽIVOTA - JAK SPRÁVNÉ JISTI - NAC KUCHAŘKY ZAPOMÍNAJÍ - NEZBYTNÉ ROSTLINY - DIETA - RASOVÁ ZDATNOST A J.</w:t>
            </w:r>
          </w:p>
        </w:tc>
        <w:tc>
          <w:tcPr>
            <w:tcW w:w="0" w:type="auto"/>
            <w:vMerge/>
            <w:tcBorders>
              <w:left w:val="single" w:sz="4" w:space="0" w:color="auto"/>
              <w:right w:val="single" w:sz="4" w:space="0" w:color="auto"/>
            </w:tcBorders>
            <w:shd w:val="clear" w:color="auto" w:fill="FFFFFF"/>
          </w:tcPr>
          <w:p w:rsidR="00500724" w:rsidRDefault="00500724">
            <w:pPr>
              <w:framePr w:w="5035" w:h="8832" w:wrap="none" w:vAnchor="text" w:hAnchor="page" w:x="6003" w:y="284"/>
            </w:pPr>
          </w:p>
        </w:tc>
      </w:tr>
      <w:tr w:rsidR="00500724">
        <w:tblPrEx>
          <w:tblCellMar>
            <w:top w:w="0" w:type="dxa"/>
            <w:bottom w:w="0" w:type="dxa"/>
          </w:tblCellMar>
        </w:tblPrEx>
        <w:trPr>
          <w:trHeight w:hRule="exact" w:val="1536"/>
        </w:trPr>
        <w:tc>
          <w:tcPr>
            <w:tcW w:w="0" w:type="auto"/>
            <w:vMerge/>
            <w:tcBorders>
              <w:left w:val="single" w:sz="4" w:space="0" w:color="auto"/>
            </w:tcBorders>
            <w:shd w:val="clear" w:color="auto" w:fill="FFFFFF"/>
          </w:tcPr>
          <w:p w:rsidR="00500724" w:rsidRDefault="00500724">
            <w:pPr>
              <w:framePr w:w="5035" w:h="8832" w:wrap="none" w:vAnchor="text" w:hAnchor="page" w:x="6003" w:y="284"/>
            </w:pPr>
          </w:p>
        </w:tc>
        <w:tc>
          <w:tcPr>
            <w:tcW w:w="0" w:type="auto"/>
            <w:tcBorders>
              <w:top w:val="single" w:sz="4" w:space="0" w:color="auto"/>
              <w:left w:val="single" w:sz="4" w:space="0" w:color="auto"/>
            </w:tcBorders>
            <w:shd w:val="clear" w:color="auto" w:fill="FFFFFF"/>
          </w:tcPr>
          <w:p w:rsidR="00500724" w:rsidRDefault="00F30FB8">
            <w:pPr>
              <w:pStyle w:val="Jin0"/>
              <w:framePr w:w="5035" w:h="8832" w:wrap="none" w:vAnchor="text" w:hAnchor="page" w:x="6003" w:y="284"/>
              <w:shd w:val="clear" w:color="auto" w:fill="auto"/>
              <w:spacing w:before="80" w:line="288" w:lineRule="auto"/>
              <w:ind w:right="200" w:firstLine="0"/>
              <w:jc w:val="right"/>
              <w:rPr>
                <w:sz w:val="15"/>
                <w:szCs w:val="15"/>
              </w:rPr>
            </w:pPr>
            <w:r>
              <w:rPr>
                <w:rFonts w:ascii="Arial" w:eastAsia="Arial" w:hAnsi="Arial" w:cs="Arial"/>
                <w:sz w:val="15"/>
                <w:szCs w:val="15"/>
              </w:rPr>
              <w:t xml:space="preserve">DŮLEŽITÝ PŘEHLED MODERNÍ VÝŽIVYI PRODLOUŽÍTE Sl </w:t>
            </w:r>
            <w:r>
              <w:rPr>
                <w:rFonts w:ascii="Arial" w:eastAsia="Arial" w:hAnsi="Arial" w:cs="Arial"/>
                <w:sz w:val="15"/>
                <w:szCs w:val="15"/>
              </w:rPr>
              <w:t>ŽIVOT, SEZNÁMITE-U</w:t>
            </w:r>
          </w:p>
          <w:p w:rsidR="00500724" w:rsidRDefault="00F30FB8">
            <w:pPr>
              <w:pStyle w:val="Jin0"/>
              <w:framePr w:w="5035" w:h="8832" w:wrap="none" w:vAnchor="text" w:hAnchor="page" w:x="6003" w:y="284"/>
              <w:shd w:val="clear" w:color="auto" w:fill="auto"/>
              <w:spacing w:line="288" w:lineRule="auto"/>
              <w:ind w:right="200" w:firstLine="0"/>
              <w:jc w:val="right"/>
              <w:rPr>
                <w:sz w:val="15"/>
                <w:szCs w:val="15"/>
              </w:rPr>
            </w:pPr>
            <w:r>
              <w:rPr>
                <w:rFonts w:ascii="Arial" w:eastAsia="Arial" w:hAnsi="Arial" w:cs="Arial"/>
                <w:sz w:val="15"/>
                <w:szCs w:val="15"/>
              </w:rPr>
              <w:t>SE S TÍMTO PRŮKOPNICKÝM DlLEMI</w:t>
            </w:r>
          </w:p>
          <w:p w:rsidR="00500724" w:rsidRDefault="00F30FB8">
            <w:pPr>
              <w:pStyle w:val="Jin0"/>
              <w:framePr w:w="5035" w:h="8832" w:wrap="none" w:vAnchor="text" w:hAnchor="page" w:x="6003" w:y="284"/>
              <w:shd w:val="clear" w:color="auto" w:fill="auto"/>
              <w:ind w:left="1000" w:firstLine="20"/>
              <w:jc w:val="left"/>
              <w:rPr>
                <w:sz w:val="18"/>
                <w:szCs w:val="18"/>
              </w:rPr>
            </w:pPr>
            <w:r>
              <w:rPr>
                <w:rFonts w:ascii="Arial" w:eastAsia="Arial" w:hAnsi="Arial" w:cs="Arial"/>
                <w:b/>
                <w:bCs/>
                <w:w w:val="80"/>
                <w:sz w:val="18"/>
                <w:szCs w:val="18"/>
              </w:rPr>
              <w:t>Brož. K 45-, váz. K 60-</w:t>
            </w:r>
          </w:p>
          <w:p w:rsidR="00500724" w:rsidRDefault="00F30FB8">
            <w:pPr>
              <w:pStyle w:val="Jin0"/>
              <w:framePr w:w="5035" w:h="8832" w:wrap="none" w:vAnchor="text" w:hAnchor="page" w:x="6003" w:y="284"/>
              <w:shd w:val="clear" w:color="auto" w:fill="auto"/>
              <w:tabs>
                <w:tab w:val="left" w:pos="1002"/>
              </w:tabs>
              <w:ind w:left="560" w:firstLine="0"/>
              <w:rPr>
                <w:sz w:val="13"/>
                <w:szCs w:val="13"/>
              </w:rPr>
            </w:pPr>
            <w:r>
              <w:rPr>
                <w:rFonts w:ascii="Arial" w:eastAsia="Arial" w:hAnsi="Arial" w:cs="Arial"/>
                <w:sz w:val="15"/>
                <w:szCs w:val="15"/>
              </w:rPr>
              <w:t>lift$</w:t>
            </w:r>
            <w:r>
              <w:rPr>
                <w:rFonts w:ascii="Arial" w:eastAsia="Arial" w:hAnsi="Arial" w:cs="Arial"/>
                <w:sz w:val="15"/>
                <w:szCs w:val="15"/>
              </w:rPr>
              <w:tab/>
            </w:r>
            <w:r>
              <w:rPr>
                <w:rFonts w:ascii="Arial" w:eastAsia="Arial" w:hAnsi="Arial" w:cs="Arial"/>
                <w:b/>
                <w:bCs/>
                <w:i/>
                <w:iCs/>
                <w:sz w:val="13"/>
                <w:szCs w:val="13"/>
              </w:rPr>
              <w:t xml:space="preserve">°° </w:t>
            </w:r>
            <w:r>
              <w:rPr>
                <w:rFonts w:ascii="Arial" w:eastAsia="Arial" w:hAnsi="Arial" w:cs="Arial"/>
                <w:b/>
                <w:bCs/>
                <w:i/>
                <w:iCs/>
                <w:sz w:val="13"/>
                <w:szCs w:val="13"/>
                <w:vertAlign w:val="superscript"/>
              </w:rPr>
              <w:t>d</w:t>
            </w:r>
            <w:r>
              <w:rPr>
                <w:rFonts w:ascii="Arial" w:eastAsia="Arial" w:hAnsi="Arial" w:cs="Arial"/>
                <w:b/>
                <w:bCs/>
                <w:i/>
                <w:iCs/>
                <w:sz w:val="13"/>
                <w:szCs w:val="13"/>
              </w:rPr>
              <w:t xml:space="preserve"> * </w:t>
            </w:r>
            <w:r>
              <w:rPr>
                <w:rFonts w:ascii="Arial" w:eastAsia="Arial" w:hAnsi="Arial" w:cs="Arial"/>
                <w:b/>
                <w:bCs/>
                <w:i/>
                <w:iCs/>
                <w:sz w:val="13"/>
                <w:szCs w:val="13"/>
                <w:vertAlign w:val="superscript"/>
              </w:rPr>
              <w:t>kaidf</w:t>
            </w:r>
            <w:r>
              <w:rPr>
                <w:rFonts w:ascii="Arial" w:eastAsia="Arial" w:hAnsi="Arial" w:cs="Arial"/>
                <w:b/>
                <w:bCs/>
                <w:i/>
                <w:iCs/>
                <w:sz w:val="13"/>
                <w:szCs w:val="13"/>
              </w:rPr>
              <w:t xml:space="preserve"> knihkupce!</w:t>
            </w:r>
          </w:p>
          <w:p w:rsidR="00500724" w:rsidRDefault="00F30FB8">
            <w:pPr>
              <w:pStyle w:val="Jin0"/>
              <w:framePr w:w="5035" w:h="8832" w:wrap="none" w:vAnchor="text" w:hAnchor="page" w:x="6003" w:y="284"/>
              <w:shd w:val="clear" w:color="auto" w:fill="auto"/>
              <w:spacing w:line="288" w:lineRule="auto"/>
              <w:ind w:right="200" w:firstLine="0"/>
              <w:jc w:val="right"/>
              <w:rPr>
                <w:sz w:val="15"/>
                <w:szCs w:val="15"/>
              </w:rPr>
            </w:pPr>
            <w:r>
              <w:rPr>
                <w:rFonts w:ascii="Arial" w:eastAsia="Arial" w:hAnsi="Arial" w:cs="Arial"/>
                <w:sz w:val="15"/>
                <w:szCs w:val="15"/>
              </w:rPr>
              <w:t>OftBH PRAHA XII, FOCHOVA 62</w:t>
            </w:r>
          </w:p>
        </w:tc>
        <w:tc>
          <w:tcPr>
            <w:tcW w:w="0" w:type="auto"/>
            <w:vMerge/>
            <w:tcBorders>
              <w:left w:val="single" w:sz="4" w:space="0" w:color="auto"/>
              <w:right w:val="single" w:sz="4" w:space="0" w:color="auto"/>
            </w:tcBorders>
            <w:shd w:val="clear" w:color="auto" w:fill="FFFFFF"/>
          </w:tcPr>
          <w:p w:rsidR="00500724" w:rsidRDefault="00500724">
            <w:pPr>
              <w:framePr w:w="5035" w:h="8832" w:wrap="none" w:vAnchor="text" w:hAnchor="page" w:x="6003" w:y="284"/>
            </w:pPr>
          </w:p>
        </w:tc>
      </w:tr>
      <w:tr w:rsidR="00500724">
        <w:tblPrEx>
          <w:tblCellMar>
            <w:top w:w="0" w:type="dxa"/>
            <w:bottom w:w="0" w:type="dxa"/>
          </w:tblCellMar>
        </w:tblPrEx>
        <w:trPr>
          <w:trHeight w:hRule="exact" w:val="288"/>
        </w:trPr>
        <w:tc>
          <w:tcPr>
            <w:tcW w:w="0" w:type="auto"/>
            <w:shd w:val="clear" w:color="auto" w:fill="FFFFFF"/>
          </w:tcPr>
          <w:p w:rsidR="00500724" w:rsidRDefault="00500724">
            <w:pPr>
              <w:framePr w:w="5035" w:h="8832" w:wrap="none" w:vAnchor="text" w:hAnchor="page" w:x="6003" w:y="284"/>
              <w:rPr>
                <w:sz w:val="10"/>
                <w:szCs w:val="10"/>
              </w:rPr>
            </w:pPr>
          </w:p>
        </w:tc>
        <w:tc>
          <w:tcPr>
            <w:tcW w:w="0" w:type="auto"/>
            <w:tcBorders>
              <w:top w:val="single" w:sz="4" w:space="0" w:color="auto"/>
            </w:tcBorders>
            <w:shd w:val="clear" w:color="auto" w:fill="FFFFFF"/>
          </w:tcPr>
          <w:p w:rsidR="00500724" w:rsidRDefault="00500724">
            <w:pPr>
              <w:framePr w:w="5035" w:h="8832" w:wrap="none" w:vAnchor="text" w:hAnchor="page" w:x="6003" w:y="284"/>
              <w:rPr>
                <w:sz w:val="10"/>
                <w:szCs w:val="10"/>
              </w:rPr>
            </w:pPr>
          </w:p>
        </w:tc>
        <w:tc>
          <w:tcPr>
            <w:tcW w:w="0" w:type="auto"/>
            <w:shd w:val="clear" w:color="auto" w:fill="FFFFFF"/>
          </w:tcPr>
          <w:p w:rsidR="00500724" w:rsidRDefault="00500724">
            <w:pPr>
              <w:framePr w:w="5035" w:h="8832" w:wrap="none" w:vAnchor="text" w:hAnchor="page" w:x="6003" w:y="284"/>
              <w:rPr>
                <w:sz w:val="10"/>
                <w:szCs w:val="10"/>
              </w:rPr>
            </w:pPr>
          </w:p>
        </w:tc>
      </w:tr>
      <w:tr w:rsidR="00500724">
        <w:tblPrEx>
          <w:tblCellMar>
            <w:top w:w="0" w:type="dxa"/>
            <w:bottom w:w="0" w:type="dxa"/>
          </w:tblCellMar>
        </w:tblPrEx>
        <w:trPr>
          <w:trHeight w:hRule="exact" w:val="4282"/>
        </w:trPr>
        <w:tc>
          <w:tcPr>
            <w:tcW w:w="0" w:type="auto"/>
            <w:tcBorders>
              <w:left w:val="single" w:sz="4" w:space="0" w:color="auto"/>
            </w:tcBorders>
            <w:shd w:val="clear" w:color="auto" w:fill="FFFFFF"/>
          </w:tcPr>
          <w:p w:rsidR="00500724" w:rsidRDefault="00500724">
            <w:pPr>
              <w:framePr w:w="5035" w:h="8832" w:wrap="none" w:vAnchor="text" w:hAnchor="page" w:x="6003" w:y="284"/>
              <w:rPr>
                <w:sz w:val="10"/>
                <w:szCs w:val="10"/>
              </w:rPr>
            </w:pPr>
          </w:p>
        </w:tc>
        <w:tc>
          <w:tcPr>
            <w:tcW w:w="0" w:type="auto"/>
            <w:tcBorders>
              <w:top w:val="single" w:sz="4" w:space="0" w:color="auto"/>
              <w:left w:val="single" w:sz="4" w:space="0" w:color="auto"/>
              <w:bottom w:val="single" w:sz="4" w:space="0" w:color="auto"/>
            </w:tcBorders>
            <w:shd w:val="clear" w:color="auto" w:fill="FFFFFF"/>
          </w:tcPr>
          <w:p w:rsidR="00500724" w:rsidRDefault="00F30FB8">
            <w:pPr>
              <w:pStyle w:val="Jin0"/>
              <w:framePr w:w="5035" w:h="8832" w:wrap="none" w:vAnchor="text" w:hAnchor="page" w:x="6003" w:y="284"/>
              <w:shd w:val="clear" w:color="auto" w:fill="auto"/>
              <w:ind w:firstLine="0"/>
              <w:jc w:val="left"/>
              <w:rPr>
                <w:sz w:val="28"/>
                <w:szCs w:val="28"/>
              </w:rPr>
            </w:pPr>
            <w:r>
              <w:rPr>
                <w:rFonts w:ascii="Arial" w:eastAsia="Arial" w:hAnsi="Arial" w:cs="Arial"/>
                <w:b/>
                <w:bCs/>
                <w:w w:val="70"/>
                <w:sz w:val="28"/>
                <w:szCs w:val="28"/>
              </w:rPr>
              <w:t>KH 1HH SLÍVY 1 R1DĚIEI</w:t>
            </w:r>
          </w:p>
          <w:p w:rsidR="00500724" w:rsidRDefault="00F30FB8">
            <w:pPr>
              <w:pStyle w:val="Jin0"/>
              <w:framePr w:w="5035" w:h="8832" w:wrap="none" w:vAnchor="text" w:hAnchor="page" w:x="6003" w:y="284"/>
              <w:shd w:val="clear" w:color="auto" w:fill="auto"/>
              <w:spacing w:line="252" w:lineRule="auto"/>
              <w:ind w:firstLine="0"/>
              <w:jc w:val="center"/>
              <w:rPr>
                <w:sz w:val="46"/>
                <w:szCs w:val="46"/>
              </w:rPr>
            </w:pPr>
            <w:r>
              <w:rPr>
                <w:rFonts w:ascii="Franklin Gothic Medium Cond" w:eastAsia="Franklin Gothic Medium Cond" w:hAnsi="Franklin Gothic Medium Cond" w:cs="Franklin Gothic Medium Cond"/>
                <w:b/>
                <w:bCs/>
                <w:sz w:val="46"/>
                <w:szCs w:val="46"/>
              </w:rPr>
              <w:t>POSTAVY ČESKÝCH DĚJIN</w:t>
            </w:r>
          </w:p>
          <w:p w:rsidR="00500724" w:rsidRDefault="00F30FB8">
            <w:pPr>
              <w:pStyle w:val="Jin0"/>
              <w:framePr w:w="5035" w:h="8832" w:wrap="none" w:vAnchor="text" w:hAnchor="page" w:x="6003" w:y="284"/>
              <w:shd w:val="clear" w:color="auto" w:fill="auto"/>
              <w:spacing w:after="80" w:line="223" w:lineRule="auto"/>
              <w:ind w:firstLine="0"/>
              <w:rPr>
                <w:sz w:val="15"/>
                <w:szCs w:val="15"/>
              </w:rPr>
            </w:pPr>
            <w:r>
              <w:rPr>
                <w:rFonts w:ascii="Arial" w:eastAsia="Arial" w:hAnsi="Arial" w:cs="Arial"/>
                <w:i/>
                <w:iCs/>
                <w:sz w:val="15"/>
                <w:szCs w:val="15"/>
              </w:rPr>
              <w:t>Sestavil a úvod napsat VL. NOVOTNÝ</w:t>
            </w:r>
          </w:p>
          <w:p w:rsidR="00500724" w:rsidRDefault="00F30FB8">
            <w:pPr>
              <w:pStyle w:val="Jin0"/>
              <w:framePr w:w="5035" w:h="8832" w:wrap="none" w:vAnchor="text" w:hAnchor="page" w:x="6003" w:y="284"/>
              <w:shd w:val="clear" w:color="auto" w:fill="auto"/>
              <w:spacing w:after="80" w:line="223" w:lineRule="auto"/>
              <w:ind w:firstLine="0"/>
              <w:rPr>
                <w:sz w:val="15"/>
                <w:szCs w:val="15"/>
              </w:rPr>
            </w:pPr>
            <w:r>
              <w:rPr>
                <w:rFonts w:ascii="Arial" w:eastAsia="Arial" w:hAnsi="Arial" w:cs="Arial"/>
                <w:sz w:val="15"/>
                <w:szCs w:val="15"/>
              </w:rPr>
              <w:t xml:space="preserve">Od PŘEMYSLA ORÁČE až po T.G. </w:t>
            </w:r>
            <w:r>
              <w:rPr>
                <w:rFonts w:ascii="Arial" w:eastAsia="Arial" w:hAnsi="Arial" w:cs="Arial"/>
                <w:sz w:val="15"/>
                <w:szCs w:val="15"/>
              </w:rPr>
              <w:t>MASARYKA. Je to přehlídka jednoho sta slavných tváří. Je to řetěz velikých mrtvých ukutý duchem našich dějin. Košatá koruna činů, kterou tito rozkle- nuli před očima světa, plná listů popsaných slávou. Je to alej vedoucí do budoucnosti. Kniha, ve které bud</w:t>
            </w:r>
            <w:r>
              <w:rPr>
                <w:rFonts w:ascii="Arial" w:eastAsia="Arial" w:hAnsi="Arial" w:cs="Arial"/>
                <w:sz w:val="15"/>
                <w:szCs w:val="15"/>
              </w:rPr>
              <w:t>ete listovat s dojetím.</w:t>
            </w:r>
          </w:p>
          <w:p w:rsidR="00500724" w:rsidRDefault="00F30FB8">
            <w:pPr>
              <w:pStyle w:val="Jin0"/>
              <w:framePr w:w="5035" w:h="8832" w:wrap="none" w:vAnchor="text" w:hAnchor="page" w:x="6003" w:y="284"/>
              <w:shd w:val="clear" w:color="auto" w:fill="auto"/>
              <w:spacing w:after="80"/>
              <w:ind w:firstLine="0"/>
              <w:rPr>
                <w:sz w:val="13"/>
                <w:szCs w:val="13"/>
              </w:rPr>
            </w:pPr>
            <w:r>
              <w:rPr>
                <w:rFonts w:ascii="Arial" w:eastAsia="Arial" w:hAnsi="Arial" w:cs="Arial"/>
                <w:b/>
                <w:bCs/>
                <w:w w:val="80"/>
                <w:sz w:val="18"/>
                <w:szCs w:val="18"/>
              </w:rPr>
              <w:t xml:space="preserve">V poloplát. vazbě K 60'-, v polokož. vazbě K 60'- Ve volných listech (arěeno pro Skaly) K 70'* </w:t>
            </w:r>
            <w:r>
              <w:rPr>
                <w:rFonts w:ascii="Arial" w:eastAsia="Arial" w:hAnsi="Arial" w:cs="Arial"/>
                <w:b/>
                <w:bCs/>
                <w:i/>
                <w:iCs/>
                <w:sz w:val="13"/>
                <w:szCs w:val="13"/>
              </w:rPr>
              <w:t>NEMĚLO BY BÝT RODINY A KNIHOVNY, VE KTERÉ BY TOTO D 1 LO NEBYLO!</w:t>
            </w:r>
          </w:p>
          <w:p w:rsidR="00500724" w:rsidRDefault="00F30FB8">
            <w:pPr>
              <w:pStyle w:val="Jin0"/>
              <w:framePr w:w="5035" w:h="8832" w:wrap="none" w:vAnchor="text" w:hAnchor="page" w:x="6003" w:y="284"/>
              <w:shd w:val="clear" w:color="auto" w:fill="auto"/>
              <w:tabs>
                <w:tab w:val="left" w:pos="2413"/>
              </w:tabs>
              <w:ind w:left="1160" w:firstLine="0"/>
              <w:rPr>
                <w:sz w:val="13"/>
                <w:szCs w:val="13"/>
              </w:rPr>
            </w:pPr>
            <w:r>
              <w:rPr>
                <w:rFonts w:ascii="Arial" w:eastAsia="Arial" w:hAnsi="Arial" w:cs="Arial"/>
                <w:b/>
                <w:bCs/>
                <w:i/>
                <w:iCs/>
                <w:sz w:val="13"/>
                <w:szCs w:val="13"/>
                <w:vertAlign w:val="superscript"/>
              </w:rPr>
              <w:t>Dodá</w:t>
            </w:r>
            <w:r>
              <w:rPr>
                <w:rFonts w:ascii="Arial" w:eastAsia="Arial" w:hAnsi="Arial" w:cs="Arial"/>
                <w:b/>
                <w:bCs/>
                <w:i/>
                <w:iCs/>
                <w:sz w:val="13"/>
                <w:szCs w:val="13"/>
              </w:rPr>
              <w:tab/>
              <w:t>knihkupec!</w:t>
            </w:r>
          </w:p>
          <w:p w:rsidR="00500724" w:rsidRDefault="00F30FB8">
            <w:pPr>
              <w:pStyle w:val="Jin0"/>
              <w:framePr w:w="5035" w:h="8832" w:wrap="none" w:vAnchor="text" w:hAnchor="page" w:x="6003" w:y="284"/>
              <w:shd w:val="clear" w:color="auto" w:fill="auto"/>
              <w:spacing w:after="80" w:line="197" w:lineRule="auto"/>
              <w:ind w:firstLine="0"/>
              <w:jc w:val="right"/>
              <w:rPr>
                <w:sz w:val="15"/>
                <w:szCs w:val="15"/>
              </w:rPr>
            </w:pPr>
            <w:r>
              <w:rPr>
                <w:rFonts w:ascii="Arial" w:eastAsia="Arial" w:hAnsi="Arial" w:cs="Arial"/>
                <w:smallCaps/>
                <w:sz w:val="17"/>
                <w:szCs w:val="17"/>
              </w:rPr>
              <w:t>kJbbií</w:t>
            </w:r>
            <w:r>
              <w:rPr>
                <w:rFonts w:ascii="Arial" w:eastAsia="Arial" w:hAnsi="Arial" w:cs="Arial"/>
                <w:sz w:val="15"/>
                <w:szCs w:val="15"/>
              </w:rPr>
              <w:t xml:space="preserve"> PRAHA XII, FOCHOVA 62</w:t>
            </w:r>
          </w:p>
        </w:tc>
        <w:tc>
          <w:tcPr>
            <w:tcW w:w="0" w:type="auto"/>
            <w:tcBorders>
              <w:left w:val="single" w:sz="4" w:space="0" w:color="auto"/>
              <w:right w:val="single" w:sz="4" w:space="0" w:color="auto"/>
            </w:tcBorders>
            <w:shd w:val="clear" w:color="auto" w:fill="FFFFFF"/>
          </w:tcPr>
          <w:p w:rsidR="00500724" w:rsidRDefault="00500724">
            <w:pPr>
              <w:framePr w:w="5035" w:h="8832" w:wrap="none" w:vAnchor="text" w:hAnchor="page" w:x="6003" w:y="284"/>
              <w:rPr>
                <w:sz w:val="10"/>
                <w:szCs w:val="10"/>
              </w:rPr>
            </w:pPr>
          </w:p>
        </w:tc>
      </w:tr>
    </w:tbl>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48" w:line="14" w:lineRule="exact"/>
      </w:pPr>
    </w:p>
    <w:p w:rsidR="00500724" w:rsidRDefault="00500724">
      <w:pPr>
        <w:spacing w:line="14" w:lineRule="exact"/>
        <w:sectPr w:rsidR="00500724">
          <w:footnotePr>
            <w:numFmt w:val="chicago"/>
            <w:numRestart w:val="eachPage"/>
          </w:footnotePr>
          <w:pgSz w:w="11909" w:h="16834"/>
          <w:pgMar w:top="925" w:right="794" w:bottom="735" w:left="602" w:header="0" w:footer="3" w:gutter="0"/>
          <w:cols w:space="720"/>
          <w:noEndnote/>
          <w:docGrid w:linePitch="360"/>
        </w:sectPr>
      </w:pPr>
    </w:p>
    <w:p w:rsidR="00500724" w:rsidRDefault="00F30FB8">
      <w:pPr>
        <w:pStyle w:val="Zkladntext40"/>
        <w:pBdr>
          <w:top w:val="single" w:sz="4" w:space="0" w:color="auto"/>
        </w:pBdr>
        <w:shd w:val="clear" w:color="auto" w:fill="auto"/>
        <w:spacing w:after="0" w:line="240" w:lineRule="auto"/>
        <w:ind w:left="1240"/>
        <w:jc w:val="left"/>
        <w:rPr>
          <w:sz w:val="14"/>
          <w:szCs w:val="14"/>
        </w:rPr>
      </w:pPr>
      <w:r>
        <w:rPr>
          <w:b/>
          <w:bCs/>
          <w:sz w:val="14"/>
          <w:szCs w:val="14"/>
        </w:rPr>
        <w:t>OBUS PRO VYŠŠÍ NÁROKY</w:t>
      </w:r>
    </w:p>
    <w:p w:rsidR="00500724" w:rsidRDefault="00F30FB8">
      <w:pPr>
        <w:pStyle w:val="Jin0"/>
        <w:shd w:val="clear" w:color="auto" w:fill="auto"/>
        <w:spacing w:line="192" w:lineRule="auto"/>
        <w:ind w:left="300"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30"/>
        <w:shd w:val="clear" w:color="auto" w:fill="auto"/>
        <w:spacing w:after="0" w:line="223" w:lineRule="auto"/>
        <w:ind w:firstLine="0"/>
        <w:jc w:val="left"/>
        <w:rPr>
          <w:sz w:val="20"/>
          <w:szCs w:val="20"/>
        </w:rPr>
      </w:pPr>
      <w:r>
        <w:rPr>
          <w:sz w:val="20"/>
          <w:szCs w:val="20"/>
        </w:rPr>
        <w:t>PRAHA I., PŘÍKOPY 35, schodiště A. Tel. 315-28.</w:t>
      </w:r>
    </w:p>
    <w:p w:rsidR="00500724" w:rsidRDefault="00F30FB8">
      <w:pPr>
        <w:spacing w:line="1" w:lineRule="exact"/>
        <w:rPr>
          <w:sz w:val="2"/>
          <w:szCs w:val="2"/>
        </w:rPr>
      </w:pPr>
      <w:r>
        <w:br w:type="column"/>
      </w:r>
    </w:p>
    <w:p w:rsidR="00500724" w:rsidRDefault="00F30FB8">
      <w:pPr>
        <w:pStyle w:val="Jin0"/>
        <w:shd w:val="clear" w:color="auto" w:fill="auto"/>
        <w:ind w:left="260" w:firstLine="0"/>
        <w:jc w:val="left"/>
        <w:rPr>
          <w:sz w:val="42"/>
          <w:szCs w:val="42"/>
        </w:rPr>
        <w:sectPr w:rsidR="00500724">
          <w:footnotePr>
            <w:numFmt w:val="chicago"/>
            <w:numRestart w:val="eachPage"/>
          </w:footnotePr>
          <w:type w:val="continuous"/>
          <w:pgSz w:w="11909" w:h="16834"/>
          <w:pgMar w:top="925" w:right="704" w:bottom="735" w:left="742" w:header="0" w:footer="3" w:gutter="0"/>
          <w:cols w:num="2" w:space="192"/>
          <w:noEndnote/>
          <w:docGrid w:linePitch="360"/>
        </w:sectPr>
      </w:pPr>
      <w:r>
        <w:rPr>
          <w:rFonts w:ascii="Arial" w:eastAsia="Arial" w:hAnsi="Arial" w:cs="Arial"/>
          <w:sz w:val="26"/>
          <w:szCs w:val="26"/>
        </w:rPr>
        <w:t xml:space="preserve">Čtěte </w:t>
      </w:r>
      <w:r>
        <w:rPr>
          <w:rFonts w:ascii="Cambria" w:eastAsia="Cambria" w:hAnsi="Cambria" w:cs="Cambria"/>
          <w:i/>
          <w:iCs/>
          <w:sz w:val="42"/>
          <w:szCs w:val="42"/>
        </w:rPr>
        <w:t>LIDOVÉ NOVINY</w:t>
      </w:r>
    </w:p>
    <w:p w:rsidR="00500724" w:rsidRDefault="00500724">
      <w:pPr>
        <w:spacing w:before="4" w:after="4"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43" w:right="0" w:bottom="750" w:left="0" w:header="0" w:footer="3" w:gutter="0"/>
          <w:cols w:space="720"/>
          <w:noEndnote/>
          <w:docGrid w:linePitch="360"/>
        </w:sectPr>
      </w:pPr>
    </w:p>
    <w:p w:rsidR="00500724" w:rsidRDefault="00F30FB8">
      <w:pPr>
        <w:spacing w:line="14" w:lineRule="exact"/>
      </w:pPr>
      <w:r>
        <w:rPr>
          <w:noProof/>
        </w:rPr>
        <mc:AlternateContent>
          <mc:Choice Requires="wps">
            <w:drawing>
              <wp:anchor distT="0" distB="494030" distL="114300" distR="114300" simplePos="0" relativeHeight="125829876" behindDoc="0" locked="0" layoutInCell="1" allowOverlap="1">
                <wp:simplePos x="0" y="0"/>
                <wp:positionH relativeFrom="page">
                  <wp:posOffset>422275</wp:posOffset>
                </wp:positionH>
                <wp:positionV relativeFrom="paragraph">
                  <wp:posOffset>1066800</wp:posOffset>
                </wp:positionV>
                <wp:extent cx="2764790" cy="737870"/>
                <wp:effectExtent l="0" t="0" r="0" b="0"/>
                <wp:wrapSquare wrapText="right"/>
                <wp:docPr id="499" name="Shape 499"/>
                <wp:cNvGraphicFramePr/>
                <a:graphic xmlns:a="http://schemas.openxmlformats.org/drawingml/2006/main">
                  <a:graphicData uri="http://schemas.microsoft.com/office/word/2010/wordprocessingShape">
                    <wps:wsp>
                      <wps:cNvSpPr txBox="1"/>
                      <wps:spPr>
                        <a:xfrm>
                          <a:off x="0" y="0"/>
                          <a:ext cx="2764790" cy="737870"/>
                        </a:xfrm>
                        <a:prstGeom prst="rect">
                          <a:avLst/>
                        </a:prstGeom>
                        <a:noFill/>
                      </wps:spPr>
                      <wps:txbx>
                        <w:txbxContent>
                          <w:p w:rsidR="00500724" w:rsidRDefault="00F30FB8">
                            <w:pPr>
                              <w:pStyle w:val="Jin0"/>
                              <w:shd w:val="clear" w:color="auto" w:fill="auto"/>
                              <w:spacing w:before="80"/>
                              <w:ind w:firstLine="0"/>
                              <w:jc w:val="left"/>
                              <w:rPr>
                                <w:sz w:val="78"/>
                                <w:szCs w:val="78"/>
                              </w:rPr>
                            </w:pPr>
                            <w:r>
                              <w:rPr>
                                <w:sz w:val="78"/>
                                <w:szCs w:val="78"/>
                              </w:rPr>
                              <w:t>Přítomnost &gt;</w:t>
                            </w:r>
                          </w:p>
                        </w:txbxContent>
                      </wps:txbx>
                      <wps:bodyPr lIns="0" tIns="0" rIns="0" bIns="0">
                        <a:spAutoFit/>
                      </wps:bodyPr>
                    </wps:wsp>
                  </a:graphicData>
                </a:graphic>
              </wp:anchor>
            </w:drawing>
          </mc:Choice>
          <mc:Fallback>
            <w:pict>
              <v:shape id="_x0000_s1525" type="#_x0000_t202" style="position:absolute;margin-left:33.25pt;margin-top:84.pt;width:217.69999999999999pt;height:58.100000000000001pt;z-index:-125828877;mso-wrap-distance-left:9.pt;mso-wrap-distance-right:9.pt;mso-wrap-distance-bottom:38.899999999999999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78"/>
                          <w:szCs w:val="78"/>
                        </w:rPr>
                      </w:pPr>
                      <w:r>
                        <w:rPr>
                          <w:color w:val="000000"/>
                          <w:spacing w:val="0"/>
                          <w:w w:val="100"/>
                          <w:position w:val="0"/>
                          <w:sz w:val="78"/>
                          <w:szCs w:val="78"/>
                          <w:shd w:val="clear" w:color="auto" w:fill="auto"/>
                          <w:lang w:val="cs-CZ" w:eastAsia="cs-CZ" w:bidi="cs-CZ"/>
                        </w:rPr>
                        <w:t>Přítomnost &gt;</w:t>
                      </w:r>
                    </w:p>
                  </w:txbxContent>
                </v:textbox>
                <w10:wrap type="square" side="right" anchorx="page"/>
              </v:shape>
            </w:pict>
          </mc:Fallback>
        </mc:AlternateContent>
      </w:r>
      <w:r>
        <w:rPr>
          <w:noProof/>
        </w:rPr>
        <mc:AlternateContent>
          <mc:Choice Requires="wps">
            <w:drawing>
              <wp:anchor distT="887095" distB="0" distL="129540" distR="114300" simplePos="0" relativeHeight="125829878" behindDoc="0" locked="0" layoutInCell="1" allowOverlap="1">
                <wp:simplePos x="0" y="0"/>
                <wp:positionH relativeFrom="page">
                  <wp:posOffset>437515</wp:posOffset>
                </wp:positionH>
                <wp:positionV relativeFrom="paragraph">
                  <wp:posOffset>1953895</wp:posOffset>
                </wp:positionV>
                <wp:extent cx="2749550" cy="344170"/>
                <wp:effectExtent l="0" t="0" r="0" b="0"/>
                <wp:wrapSquare wrapText="right"/>
                <wp:docPr id="501" name="Shape 501"/>
                <wp:cNvGraphicFramePr/>
                <a:graphic xmlns:a="http://schemas.openxmlformats.org/drawingml/2006/main">
                  <a:graphicData uri="http://schemas.microsoft.com/office/word/2010/wordprocessingShape">
                    <wps:wsp>
                      <wps:cNvSpPr txBox="1"/>
                      <wps:spPr>
                        <a:xfrm>
                          <a:off x="0" y="0"/>
                          <a:ext cx="2749550" cy="34417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527" type="#_x0000_t202" style="position:absolute;margin-left:34.450000000000003pt;margin-top:153.84999999999999pt;width:216.5pt;height:27.100000000000001pt;z-index:-125828875;mso-wrap-distance-left:10.199999999999999pt;mso-wrap-distance-top:69.849999999999994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480" w:line="257" w:lineRule="auto"/>
        <w:ind w:left="600" w:hanging="600"/>
        <w:rPr>
          <w:sz w:val="19"/>
          <w:szCs w:val="19"/>
        </w:rPr>
      </w:pPr>
      <w:r>
        <w:rPr>
          <w:b/>
          <w:bCs/>
          <w:sz w:val="17"/>
          <w:szCs w:val="17"/>
        </w:rPr>
        <w:t xml:space="preserve">OBSAH PŘÍTOMNOSTI 0. </w:t>
      </w:r>
      <w:r>
        <w:rPr>
          <w:b/>
          <w:bCs/>
          <w:sz w:val="19"/>
          <w:szCs w:val="19"/>
        </w:rPr>
        <w:t>19: JAN ALBERT: Litvinovův odchod — MILENA JESENSKÁ: Jsem především Češka? — ZDENĚK SMETÁČEK: Co se událo od 15. března. — E. F. BURIAN: Přeorganisovat kulturu — SYDNEY HOR</w:t>
      </w:r>
      <w:r>
        <w:rPr>
          <w:b/>
          <w:bCs/>
          <w:sz w:val="19"/>
          <w:szCs w:val="19"/>
        </w:rPr>
        <w:softHyphen/>
        <w:t>LER: Literatura na výdělek — DR. E. FRANZEL: Česká pevnost — DR. JAN SKÁLA: Příprav</w:t>
      </w:r>
      <w:r>
        <w:rPr>
          <w:b/>
          <w:bCs/>
          <w:sz w:val="19"/>
          <w:szCs w:val="19"/>
        </w:rPr>
        <w:t>a hospodářského programu — »Já jistě nejsem pověrčivý, ale...« — Národní souručenství aneb sjednocený národ — Význam exportu pro nás — Odpovědi Hlinkovu gardistovi — Na dvě adresy.</w:t>
      </w:r>
    </w:p>
    <w:p w:rsidR="00500724" w:rsidRDefault="00F30FB8">
      <w:pPr>
        <w:pStyle w:val="Nadpis90"/>
        <w:keepNext/>
        <w:keepLines/>
        <w:shd w:val="clear" w:color="auto" w:fill="auto"/>
        <w:spacing w:after="160"/>
        <w:ind w:left="160" w:firstLine="60"/>
      </w:pPr>
      <w:bookmarkStart w:id="497" w:name="bookmark496"/>
      <w:r>
        <w:rPr>
          <w:u w:val="single"/>
        </w:rPr>
        <w:t>nezávislý týdeník</w:t>
      </w:r>
      <w:bookmarkEnd w:id="497"/>
    </w:p>
    <w:p w:rsidR="00500724" w:rsidRDefault="00F30FB8">
      <w:pPr>
        <w:pStyle w:val="Zkladntext30"/>
        <w:shd w:val="clear" w:color="auto" w:fill="auto"/>
        <w:spacing w:after="60" w:line="216" w:lineRule="auto"/>
        <w:ind w:firstLine="0"/>
        <w:jc w:val="center"/>
        <w:rPr>
          <w:sz w:val="20"/>
          <w:szCs w:val="20"/>
        </w:rPr>
      </w:pPr>
      <w:r>
        <w:rPr>
          <w:sz w:val="20"/>
          <w:szCs w:val="20"/>
        </w:rPr>
        <w:t>vychází ve středu v nakladatelství</w:t>
      </w:r>
      <w:r>
        <w:rPr>
          <w:sz w:val="20"/>
          <w:szCs w:val="20"/>
        </w:rPr>
        <w:br/>
        <w:t>FR. BOROVÝ V PRAZÉ I.,</w:t>
      </w:r>
      <w:r>
        <w:rPr>
          <w:sz w:val="20"/>
          <w:szCs w:val="20"/>
        </w:rPr>
        <w:t xml:space="preserve"> NÁRODNÍ TRlDA II.</w:t>
      </w:r>
    </w:p>
    <w:p w:rsidR="00500724" w:rsidRDefault="00F30FB8">
      <w:pPr>
        <w:pStyle w:val="Zkladntext100"/>
        <w:shd w:val="clear" w:color="auto" w:fill="auto"/>
        <w:spacing w:after="60" w:line="154" w:lineRule="auto"/>
        <w:ind w:firstLine="0"/>
      </w:pPr>
      <w:r>
        <w:t>Telefon číslo 390-51 až 54 • Očet poštovní spořitelny číslo 35.622 • Nevy</w:t>
      </w:r>
      <w:r>
        <w:softHyphen/>
        <w:t xml:space="preserve">žádané rukopisy se nevracej!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 xml:space="preserve">Frs </w:t>
      </w:r>
      <w:r>
        <w:t>2.50. • Dohlédací pošt. úřad Brno II. • Novinová sazba povolena v Brně ředitelstvím pošt a telegrafů pod čís. 119.268/ina. • Odpovědný redaktor J. Dlabač.</w:t>
      </w:r>
    </w:p>
    <w:p w:rsidR="00500724" w:rsidRDefault="00F30FB8">
      <w:pPr>
        <w:pStyle w:val="Zkladntext30"/>
        <w:shd w:val="clear" w:color="auto" w:fill="auto"/>
        <w:spacing w:after="120" w:line="216" w:lineRule="auto"/>
        <w:ind w:left="5380" w:firstLine="0"/>
        <w:jc w:val="left"/>
      </w:pPr>
      <w:r>
        <w:rPr>
          <w:sz w:val="20"/>
          <w:szCs w:val="20"/>
        </w:rPr>
        <w:t xml:space="preserve">TISKEM LIDOVÉ TISKÁRNY, BRNO, ČESKÁ </w:t>
      </w:r>
      <w:r>
        <w:t>6.</w:t>
      </w:r>
      <w:r>
        <w:br w:type="page"/>
      </w:r>
    </w:p>
    <w:p w:rsidR="00500724" w:rsidRDefault="00F30FB8">
      <w:pPr>
        <w:pStyle w:val="Jin0"/>
        <w:pBdr>
          <w:bottom w:val="single" w:sz="4" w:space="0" w:color="auto"/>
        </w:pBdr>
        <w:shd w:val="clear" w:color="auto" w:fill="auto"/>
        <w:ind w:firstLine="0"/>
        <w:jc w:val="center"/>
        <w:rPr>
          <w:sz w:val="108"/>
          <w:szCs w:val="108"/>
        </w:rPr>
        <w:sectPr w:rsidR="00500724">
          <w:footnotePr>
            <w:numFmt w:val="chicago"/>
            <w:numRestart w:val="eachPage"/>
          </w:footnotePr>
          <w:type w:val="continuous"/>
          <w:pgSz w:w="11909" w:h="16834"/>
          <w:pgMar w:top="943" w:right="670" w:bottom="750" w:left="636" w:header="0" w:footer="3" w:gutter="0"/>
          <w:cols w:space="720"/>
          <w:noEndnote/>
          <w:docGrid w:linePitch="360"/>
        </w:sectPr>
      </w:pPr>
      <w:r>
        <w:rPr>
          <w:sz w:val="108"/>
          <w:szCs w:val="108"/>
        </w:rPr>
        <w:t>Přítomnosti</w:t>
      </w:r>
    </w:p>
    <w:p w:rsidR="00500724" w:rsidRDefault="00500724">
      <w:pPr>
        <w:spacing w:after="624" w:line="14" w:lineRule="exact"/>
      </w:pPr>
    </w:p>
    <w:p w:rsidR="00500724" w:rsidRDefault="00500724">
      <w:pPr>
        <w:spacing w:line="14" w:lineRule="exact"/>
        <w:sectPr w:rsidR="00500724">
          <w:footnotePr>
            <w:numFmt w:val="chicago"/>
            <w:numRestart w:val="eachPage"/>
          </w:footnotePr>
          <w:type w:val="continuous"/>
          <w:pgSz w:w="11909" w:h="16834"/>
          <w:pgMar w:top="927" w:right="694" w:bottom="857" w:left="727" w:header="0" w:footer="3" w:gutter="0"/>
          <w:cols w:space="720"/>
          <w:noEndnote/>
          <w:docGrid w:linePitch="360"/>
        </w:sectPr>
      </w:pPr>
    </w:p>
    <w:p w:rsidR="00500724" w:rsidRDefault="00F30FB8">
      <w:pPr>
        <w:pStyle w:val="Zkladntext100"/>
        <w:shd w:val="clear" w:color="auto" w:fill="auto"/>
        <w:tabs>
          <w:tab w:val="left" w:pos="3146"/>
        </w:tabs>
        <w:spacing w:line="240" w:lineRule="auto"/>
        <w:ind w:left="880" w:firstLine="20"/>
        <w:rPr>
          <w:sz w:val="16"/>
          <w:szCs w:val="16"/>
        </w:rPr>
      </w:pPr>
      <w:r>
        <w:t xml:space="preserve">rri z-v v </w:t>
      </w:r>
      <w:r>
        <w:rPr>
          <w:b/>
          <w:bCs/>
        </w:rPr>
        <w:t>1^1</w:t>
      </w:r>
      <w:r>
        <w:rPr>
          <w:b/>
          <w:bCs/>
        </w:rPr>
        <w:tab/>
      </w:r>
      <w:r>
        <w:rPr>
          <w:i/>
          <w:iCs/>
          <w:sz w:val="16"/>
          <w:szCs w:val="16"/>
        </w:rPr>
        <w:t>'•'.L</w:t>
      </w:r>
    </w:p>
    <w:p w:rsidR="00500724" w:rsidRDefault="00F30FB8">
      <w:pPr>
        <w:pStyle w:val="Nadpis100"/>
        <w:shd w:val="clear" w:color="auto" w:fill="auto"/>
        <w:spacing w:after="60" w:line="180" w:lineRule="auto"/>
      </w:pPr>
      <w:bookmarkStart w:id="498" w:name="bookmark497"/>
      <w:r>
        <w:t>lvar ceskeho ctenare</w:t>
      </w:r>
      <w:bookmarkEnd w:id="498"/>
    </w:p>
    <w:p w:rsidR="00500724" w:rsidRDefault="00F30FB8">
      <w:pPr>
        <w:pStyle w:val="Zkladntext30"/>
        <w:framePr w:dropCap="drop" w:lines="2" w:hSpace="24" w:vSpace="24" w:wrap="auto" w:vAnchor="text" w:hAnchor="text"/>
        <w:shd w:val="clear" w:color="auto" w:fill="auto"/>
        <w:spacing w:line="305" w:lineRule="exact"/>
        <w:ind w:firstLine="0"/>
      </w:pPr>
      <w:r>
        <w:rPr>
          <w:position w:val="-6"/>
          <w:sz w:val="46"/>
          <w:szCs w:val="46"/>
        </w:rPr>
        <w:t>P</w:t>
      </w:r>
    </w:p>
    <w:p w:rsidR="00500724" w:rsidRDefault="00F30FB8">
      <w:pPr>
        <w:pStyle w:val="Zkladntext30"/>
        <w:shd w:val="clear" w:color="auto" w:fill="auto"/>
        <w:spacing w:after="60" w:line="221" w:lineRule="auto"/>
        <w:ind w:firstLine="0"/>
      </w:pPr>
      <w:r>
        <w:t>ražský německý časopis »Der Neue Tag«, který se k nám Čechům od samého svého začátku slušně choval, jak se na prostředníka také sluší a patří, při</w:t>
      </w:r>
      <w:r>
        <w:softHyphen/>
        <w:t xml:space="preserve">nesl v posledním nedělním čísle </w:t>
      </w:r>
      <w:r>
        <w:t>článek, jenž s na</w:t>
      </w:r>
      <w:r>
        <w:softHyphen/>
        <w:t>šeho českého stanoviska potřebuje doplnění. Pozo- rují-li se, píše »Der Neue Tag«, tváře českých čtenářů novin, snadno se pozná, že poctivě pracující český člověk není »cupidus rerum novarum«. A že je mu vzdálena »chtivost po nových sensa</w:t>
      </w:r>
      <w:r>
        <w:t>cích«; český člověk chce nyní, po tak mnohých rozčileních, mít klid a za</w:t>
      </w:r>
      <w:r>
        <w:softHyphen/>
        <w:t>jištěnou existenci svou a svých dětí; české politické vedení by mělo budit porozumění zejména pro tento prospěch českého národa, který se má klidně věnovat své práci a svým dětem; zdr</w:t>
      </w:r>
      <w:r>
        <w:t>avá láska k vlastnímu ná</w:t>
      </w:r>
      <w:r>
        <w:softHyphen/>
        <w:t>rodu vždy usiluje o to, aby se tomuto národu dobře dařilo; kdyby se české politické vedení oddávalo fa</w:t>
      </w:r>
      <w:r>
        <w:softHyphen/>
        <w:t>lešnému patosu, byla by to chyba; smíření s realitou podaří se vždy na nepatetické cestě.</w:t>
      </w:r>
    </w:p>
    <w:p w:rsidR="00500724" w:rsidRDefault="00F30FB8">
      <w:pPr>
        <w:pStyle w:val="Zkladntext30"/>
        <w:shd w:val="clear" w:color="auto" w:fill="auto"/>
        <w:spacing w:after="60"/>
        <w:ind w:firstLine="240"/>
      </w:pPr>
      <w:r>
        <w:t xml:space="preserve">Redaktor pražského německého časopisu </w:t>
      </w:r>
      <w:r>
        <w:t>pozoroval, jak se zdá, obličeje českých čtenářů novin v tramvaji nebo v kavárně. Nelze popírat správnost jeho pozoro</w:t>
      </w:r>
      <w:r>
        <w:softHyphen/>
        <w:t>vání. Český člověk skutečně by měl rád klid, jehož v poslední době tak málo užil; opravdu by se, jako členové všech národů na světě, rád do</w:t>
      </w:r>
      <w:r>
        <w:t>bře uživil; za</w:t>
      </w:r>
      <w:r>
        <w:softHyphen/>
        <w:t>jisté by, jak jest lidské, chtěl mít svoji existenci za</w:t>
      </w:r>
      <w:r>
        <w:softHyphen/>
        <w:t>jištěnu. Všechny postřehy německého redaktora, které mají vztah k hmotné stránce problému, jsou správné. Přes to mi budiž dovoleno říci, že když jsem článek z »Der Neue Tag« dočetl, měl</w:t>
      </w:r>
      <w:r>
        <w:t xml:space="preserve"> jsem dojem, jako by ně</w:t>
      </w:r>
      <w:r>
        <w:softHyphen/>
        <w:t>kdo na náš národní život právě přikládal velký kus ssacího papíru, který z něho bere všechnu vláhu. To proto, že v článku tom nebyla řeč o mnohém, co tvoří podstatu každého národního života. Jeho obsah, mohlo by se zdát, byl takový:</w:t>
      </w:r>
      <w:r>
        <w:t xml:space="preserve"> Český člověče, pracuj a pak seď doma u kamen, o nic jiného se nestaraje.</w:t>
      </w:r>
    </w:p>
    <w:p w:rsidR="00500724" w:rsidRDefault="00F30FB8">
      <w:pPr>
        <w:pStyle w:val="Zkladntext30"/>
        <w:shd w:val="clear" w:color="auto" w:fill="auto"/>
        <w:spacing w:after="60"/>
        <w:ind w:firstLine="240"/>
      </w:pPr>
      <w:r>
        <w:t>My čeští novináři, kteří českého člověka známe jinak než jenom z pozorování v tramvaji, musíme článek ně</w:t>
      </w:r>
      <w:r>
        <w:softHyphen/>
        <w:t>meckého kolegy po jedné stránce doplniti. Po strán</w:t>
      </w:r>
      <w:r>
        <w:softHyphen/>
        <w:t>ce, abych tak řekl ideální</w:t>
      </w:r>
      <w:r>
        <w:t>. Marxistická nauka, jak zná</w:t>
      </w:r>
      <w:r>
        <w:softHyphen/>
        <w:t>mo, chybovala tím, že na první a snad jediné místo v duši člověka a národů kladla pohnutky hmotné. Majíce nyní vybudovati mezi Čechy a Němci nový po</w:t>
      </w:r>
      <w:r>
        <w:softHyphen/>
        <w:t>měr, nechybujeme tím způsobem, že bychom třeba slušné uspořádání otázky hmotné</w:t>
      </w:r>
      <w:r>
        <w:t xml:space="preserve"> kladli na místo nej</w:t>
      </w:r>
      <w:r>
        <w:softHyphen/>
        <w:t>přednější. V prvním článku, jejž jsem měl příležitost napsati sem po 15. březnu, formuloval jsem již odpo</w:t>
      </w:r>
      <w:r>
        <w:softHyphen/>
        <w:t>věď, nad kterou ani dnes nevím lepší. O národech, řekl jsem, platí jako o jedincích, že ne samým chle</w:t>
      </w:r>
      <w:r>
        <w:softHyphen/>
        <w:t>bem živ jest člověk; naše č</w:t>
      </w:r>
      <w:r>
        <w:t>eská otázka není otázkou hmotnou, nýbrž morální.</w:t>
      </w:r>
    </w:p>
    <w:p w:rsidR="00500724" w:rsidRDefault="00F30FB8">
      <w:pPr>
        <w:pStyle w:val="Zkladntext30"/>
        <w:shd w:val="clear" w:color="auto" w:fill="auto"/>
        <w:spacing w:after="0" w:line="221" w:lineRule="auto"/>
      </w:pPr>
      <w:r>
        <w:t>Teoreticky nemůže býti nikdo lépe připraven, než právě německý nacionální socialista, aby toto naše stanovisko uznal. Neboť, ačkoliv nacionálně sociali</w:t>
      </w:r>
      <w:r>
        <w:softHyphen/>
        <w:t xml:space="preserve">stická nauka mnoho mluví o národním chlebu, přece vždy </w:t>
      </w:r>
      <w:r>
        <w:t>mnohem více mluví o národní duši a národní cti. Právě německý národní socialismus zdůrazňoval, že národ není princip ani zásobovací ani výdělkový, nýbrž duchovní. Máme nepochybně právo jako každý jiný národ, abychom podstatu svého národního života kladli d</w:t>
      </w:r>
      <w:r>
        <w:t>o týchž vyšších oblastí a abychom svému ži</w:t>
      </w:r>
      <w:r>
        <w:softHyphen/>
        <w:t>votu hleděli zachovat všechen vznešený ruch. Poně</w:t>
      </w:r>
      <w:r>
        <w:softHyphen/>
        <w:t>vadž pisatel článku v »Der Neue Tag« o tomto po</w:t>
      </w:r>
      <w:r>
        <w:softHyphen/>
        <w:t>mlčel, měl jsem dojem onoho kusu pijavého papíru, který se na nás snáší.</w:t>
      </w:r>
    </w:p>
    <w:p w:rsidR="00500724" w:rsidRDefault="00F30FB8">
      <w:pPr>
        <w:pStyle w:val="Zkladntext30"/>
        <w:shd w:val="clear" w:color="auto" w:fill="auto"/>
        <w:spacing w:after="0" w:line="221" w:lineRule="auto"/>
      </w:pPr>
      <w:r>
        <w:t>Duševní život českého člověka, jako člověk</w:t>
      </w:r>
      <w:r>
        <w:t>a němec</w:t>
      </w:r>
      <w:r>
        <w:softHyphen/>
        <w:t>kého, francouzského, italského nebo anglického, neni vyčerpán hmotnými starostmi. Uspokojí se zajisté, může-li se slušně živiti. Ale není tak maličký, aby tím jeho národní duše byla zasycena. Maje ruku na pluhu, má přece dost času a zájmu, aby se r</w:t>
      </w:r>
      <w:r>
        <w:t>ozhlédl po národ</w:t>
      </w:r>
      <w:r>
        <w:softHyphen/>
        <w:t>ním obzoru. Čta v novinách zprávy bursovní nebo trhové, není tak tupý, aby už na nic jiného nepo</w:t>
      </w:r>
      <w:r>
        <w:softHyphen/>
        <w:t>mýšlel. Zabezpečiv si existenci osobní, nepřestane se zabývati myšlenkami na existenci národní. Nad ku</w:t>
      </w:r>
      <w:r>
        <w:softHyphen/>
        <w:t>sem chleba nezapomene na čest svého kme</w:t>
      </w:r>
      <w:r>
        <w:t>ne. Nevím, je-li to vše možno zjistit nějakým vnějším pozorová</w:t>
      </w:r>
      <w:r>
        <w:softHyphen/>
        <w:t>ním tváře českého čtenáře, kterýmžto způsobem ně</w:t>
      </w:r>
      <w:r>
        <w:softHyphen/>
        <w:t>mecký novinář vyvodil své závěry. My, čeští novináři, chtějíce poznati duši českého člověka, máme proti ně</w:t>
      </w:r>
      <w:r>
        <w:softHyphen/>
        <w:t>meckému kolegovi výhodu oné metody, k</w:t>
      </w:r>
      <w:r>
        <w:t>teré psycho</w:t>
      </w:r>
      <w:r>
        <w:softHyphen/>
        <w:t>logie říká subjektivní zkušenost: stačí nám nahléd- nouti do vlastního nitra, abychom seznali, co asi český člověk cítí. V dialogu o uspořádání poměrů mezi čes</w:t>
      </w:r>
      <w:r>
        <w:softHyphen/>
        <w:t>kým a německým národem, sotva by bylo ku prospě</w:t>
      </w:r>
      <w:r>
        <w:softHyphen/>
        <w:t>chu, kdybychom německé poznatky nedo</w:t>
      </w:r>
      <w:r>
        <w:t>plnili svými poznatky vlastními.</w:t>
      </w:r>
    </w:p>
    <w:p w:rsidR="00500724" w:rsidRDefault="00F30FB8">
      <w:pPr>
        <w:pStyle w:val="Zkladntext30"/>
        <w:shd w:val="clear" w:color="auto" w:fill="auto"/>
        <w:spacing w:after="0" w:line="240" w:lineRule="auto"/>
        <w:rPr>
          <w:sz w:val="19"/>
          <w:szCs w:val="19"/>
        </w:rPr>
      </w:pPr>
      <w:r>
        <w:t>Můžeme souhlasiti s tím, že z českého veřejného života by měl vymizet falešný patos, pokud v něm vůbec jest. Tím není řečeno, že z našeho národního života může vymizet patos všechen. Jestliže některé</w:t>
      </w:r>
      <w:r>
        <w:softHyphen/>
        <w:t>mu národu, jako našemu,</w:t>
      </w:r>
      <w:r>
        <w:t xml:space="preserve"> bylo tak zblízka podrženo zrcadlo života před tvář, jestliže událostmi byl při</w:t>
      </w:r>
      <w:r>
        <w:softHyphen/>
        <w:t>veden k intensivnějšímu přemýšlení o prvních a po</w:t>
      </w:r>
      <w:r>
        <w:softHyphen/>
        <w:t>sledních věcech národa, než jak se děje u národů vět</w:t>
      </w:r>
      <w:r>
        <w:softHyphen/>
        <w:t>ších, a proto šťastnějších, které mají svou existenci zabezpečenější, jak</w:t>
      </w:r>
      <w:r>
        <w:t>ý div, jestliže jeho slova se někdy snad také zachvějí patosem? Jaký div, že na jedné křižovatce svých dějin se chováme také trochu slav</w:t>
      </w:r>
      <w:r>
        <w:softHyphen/>
        <w:t>nostně? Že, berouce nyní úzkostlivěji než jindy nit národního života do svých rukou, pěstujeme usilov</w:t>
      </w:r>
      <w:r>
        <w:softHyphen/>
        <w:t xml:space="preserve">něji vše, co nás </w:t>
      </w:r>
      <w:r>
        <w:t xml:space="preserve">spojuje s minulými generacemi, chtě- </w:t>
      </w:r>
      <w:r>
        <w:rPr>
          <w:rFonts w:ascii="Arial" w:eastAsia="Arial" w:hAnsi="Arial" w:cs="Arial"/>
          <w:sz w:val="19"/>
          <w:szCs w:val="19"/>
        </w:rPr>
        <w:t>W</w:t>
      </w:r>
    </w:p>
    <w:p w:rsidR="00500724" w:rsidRDefault="00F30FB8">
      <w:pPr>
        <w:pStyle w:val="Zkladntext30"/>
        <w:shd w:val="clear" w:color="auto" w:fill="auto"/>
        <w:spacing w:after="0" w:line="240" w:lineRule="auto"/>
        <w:ind w:firstLine="0"/>
      </w:pPr>
      <w:r>
        <w:t>jíce si připadat věčnější a trvalejší než houf much na podzim? Že s velkou slávou pohřbíváme své mrtvé básníky a vroucně klademe květiny před pomníky svých velkých mrtvých?</w:t>
      </w:r>
    </w:p>
    <w:p w:rsidR="00500724" w:rsidRDefault="00F30FB8">
      <w:pPr>
        <w:pStyle w:val="Zkladntext30"/>
        <w:shd w:val="clear" w:color="auto" w:fill="auto"/>
        <w:spacing w:after="0" w:line="240" w:lineRule="auto"/>
        <w:ind w:firstLine="240"/>
      </w:pPr>
      <w:r>
        <w:t>V poslední řeči Vůdce a říšského kancléře by</w:t>
      </w:r>
      <w:r>
        <w:t>lo při</w:t>
      </w:r>
      <w:r>
        <w:softHyphen/>
        <w:t>pomenuto, že německý národ se cítil ohrožen znač</w:t>
      </w:r>
      <w:r>
        <w:softHyphen/>
        <w:t>ným počtem zbraní, který byl nahromaděn v našem arsenálu. Tato příčina znepokojení byla důkladně odstraněna. Zdá se, že po té stránce mezi českým a německým národem zmizely příčiny konfliktu. Ne</w:t>
      </w:r>
      <w:r>
        <w:softHyphen/>
        <w:t xml:space="preserve">může </w:t>
      </w:r>
      <w:r>
        <w:t>již býti o nás řečeno, že bychom mohli v nyněj</w:t>
      </w:r>
      <w:r>
        <w:softHyphen/>
        <w:t>ším svém stavu někoho ohrožovat. Ty záležitosti, které nám zbyly, mají býti podle výnosu o Protekto</w:t>
      </w:r>
      <w:r>
        <w:softHyphen/>
        <w:t xml:space="preserve">rátu svěřeny naší autonomní péči. Zejména péče </w:t>
      </w:r>
      <w:r>
        <w:rPr>
          <w:b/>
          <w:bCs/>
        </w:rPr>
        <w:t xml:space="preserve">o </w:t>
      </w:r>
      <w:r>
        <w:t>náš duchovní život, na který nikdy nezapomeneme pro svůj živ</w:t>
      </w:r>
      <w:r>
        <w:t>ot hmotný. Můžeme-li mluvit upřímně, jak za</w:t>
      </w:r>
      <w:r>
        <w:softHyphen/>
        <w:t>jisté vždy jest nejlépe, vadí nám v článku pražského německého časopisu, že projevuje jakousi péči o naše tělo, nezmiňuje se o naší duši a o našich otázkách morálních. Národ není jen souborem jedinců, kteří se ch</w:t>
      </w:r>
      <w:r>
        <w:t>tějí co nejlépe uživit. Na svůj národní prapor ne- nanesli jsme si jako hlavní barvu barvu zisku. Žá</w:t>
      </w:r>
      <w:r>
        <w:softHyphen/>
        <w:t>dáme, aby Němci, uvažujíce již o nás, doplnili své úvahy o ohled na naši duchovní a morální národní stránku. Dostávše se do nového uspořádání, nepřeje</w:t>
      </w:r>
      <w:r>
        <w:softHyphen/>
        <w:t>me s</w:t>
      </w:r>
      <w:r>
        <w:t>i zajisté, aby náš prapor vlál chaběji než vlají prapory jiných národů a abychom si musili odpírat některou stránku z bohatosti jejich existence.</w:t>
      </w:r>
    </w:p>
    <w:p w:rsidR="00500724" w:rsidRDefault="00F30FB8">
      <w:pPr>
        <w:pStyle w:val="Zkladntext30"/>
        <w:shd w:val="clear" w:color="auto" w:fill="auto"/>
        <w:spacing w:after="0" w:line="240" w:lineRule="auto"/>
        <w:ind w:firstLine="240"/>
      </w:pPr>
      <w:r>
        <w:t>Proto asi skrývá se ve tváři českého čtenáře novin více, než tam letmým pozorováním objevil úvodníkář německéh</w:t>
      </w:r>
      <w:r>
        <w:t>o pražského listu. Jestliže nyní celý svět duní řečmi o cti národů, jak bychom také my na svou čest nepomýšleli? Nebylo by to dokonce nepřirozené? V té věci jest třeba mluvit otevřeně: nové uspořádání bude jen tehdy dokonalé, jestliže v něm bude zabez</w:t>
      </w:r>
      <w:r>
        <w:softHyphen/>
        <w:t>peče</w:t>
      </w:r>
      <w:r>
        <w:t>na netoliko naše hmotná, nýbrž také naše du</w:t>
      </w:r>
      <w:r>
        <w:softHyphen/>
        <w:t>chovní existence, jak nám to bylo slíbeno. Pouze se uživit, nepovažujeme za problém tak veliký, aby nás to vyčerpalo; dovedli jsme si vždy vyrobit dostatečný počet potravin, kvalitních látek a jiných výrobků, aby</w:t>
      </w:r>
      <w:r>
        <w:t xml:space="preserve"> nás to uživilo a ošatilo, a nikdy nás ještě nena</w:t>
      </w:r>
      <w:r>
        <w:softHyphen/>
        <w:t>padlo v této věci se třásti strachem před budoucností a toto považovati za svůj hlavní problém.</w:t>
      </w:r>
    </w:p>
    <w:p w:rsidR="00500724" w:rsidRDefault="00F30FB8">
      <w:pPr>
        <w:pStyle w:val="Zkladntext30"/>
        <w:shd w:val="clear" w:color="auto" w:fill="auto"/>
        <w:spacing w:after="0" w:line="221" w:lineRule="auto"/>
        <w:ind w:firstLine="240"/>
      </w:pPr>
      <w:r>
        <w:t>To jest tedy naše »na čem záleží«. Není to žádná chtivost nových věcí, nýbrž chtivost věcí velmi staro</w:t>
      </w:r>
      <w:r>
        <w:softHyphen/>
      </w:r>
      <w:r>
        <w:t xml:space="preserve">bylých: naše národní existence, naše svébytnost, náš duchovní život trvají hodně déle než tisíc </w:t>
      </w:r>
      <w:r>
        <w:rPr>
          <w:lang w:val="en-US" w:eastAsia="en-US" w:bidi="en-US"/>
        </w:rPr>
        <w:t xml:space="preserve">let. </w:t>
      </w:r>
      <w:r>
        <w:t>V tváři čtenářů českých novin, pozorují-li se dobře, lze pozo</w:t>
      </w:r>
      <w:r>
        <w:softHyphen/>
        <w:t xml:space="preserve">rovat upřímnou lásku k těmto starým faktům a péči o ně. Starost, aby nebylo oslabeno, co </w:t>
      </w:r>
      <w:r>
        <w:t>minulé gene</w:t>
      </w:r>
      <w:r>
        <w:softHyphen/>
        <w:t>race vybudovaly. To jistě není chtivost nových sen</w:t>
      </w:r>
      <w:r>
        <w:softHyphen/>
        <w:t>sací. V tom svém snažení a toužení jest náš národ podoben všem ostatním národům na světě.</w:t>
      </w:r>
    </w:p>
    <w:p w:rsidR="00500724" w:rsidRDefault="00F30FB8">
      <w:pPr>
        <w:pStyle w:val="Zkladntext30"/>
        <w:shd w:val="clear" w:color="auto" w:fill="auto"/>
        <w:spacing w:after="0" w:line="276" w:lineRule="auto"/>
        <w:ind w:firstLine="240"/>
        <w:rPr>
          <w:sz w:val="20"/>
          <w:szCs w:val="20"/>
        </w:rPr>
      </w:pPr>
      <w:r>
        <w:t>Povím příště, jak čeští čtenáři dávají pozor na nás, české novináře, zda na tyto věčné věci národa práv</w:t>
      </w:r>
      <w:r>
        <w:t xml:space="preserve">ě tak vroucně myslíme jako oni. </w:t>
      </w:r>
      <w:r>
        <w:rPr>
          <w:b/>
          <w:bCs/>
          <w:i/>
          <w:iCs/>
          <w:sz w:val="20"/>
          <w:szCs w:val="20"/>
        </w:rPr>
        <w:t>Ferdinand Peroutka 198</w:t>
      </w:r>
    </w:p>
    <w:p w:rsidR="00500724" w:rsidRDefault="00F30FB8">
      <w:pPr>
        <w:pStyle w:val="Jin0"/>
        <w:pBdr>
          <w:bottom w:val="single" w:sz="4" w:space="0" w:color="auto"/>
        </w:pBdr>
        <w:shd w:val="clear" w:color="auto" w:fill="auto"/>
        <w:spacing w:after="300"/>
        <w:ind w:firstLine="0"/>
        <w:jc w:val="left"/>
        <w:rPr>
          <w:sz w:val="44"/>
          <w:szCs w:val="44"/>
        </w:rPr>
      </w:pPr>
      <w:r>
        <w:rPr>
          <w:b/>
          <w:bCs/>
          <w:sz w:val="44"/>
          <w:szCs w:val="44"/>
        </w:rPr>
        <w:t>poznámky</w:t>
      </w:r>
    </w:p>
    <w:p w:rsidR="00500724" w:rsidRDefault="00F30FB8">
      <w:pPr>
        <w:pStyle w:val="Zkladntext30"/>
        <w:shd w:val="clear" w:color="auto" w:fill="auto"/>
        <w:spacing w:after="80" w:line="204" w:lineRule="auto"/>
        <w:ind w:firstLine="0"/>
        <w:jc w:val="center"/>
        <w:rPr>
          <w:sz w:val="20"/>
          <w:szCs w:val="20"/>
        </w:rPr>
      </w:pPr>
      <w:r>
        <w:rPr>
          <w:b/>
          <w:bCs/>
          <w:sz w:val="20"/>
          <w:szCs w:val="20"/>
        </w:rPr>
        <w:t>Debata o českém parlamentu</w:t>
      </w:r>
    </w:p>
    <w:p w:rsidR="00500724" w:rsidRDefault="00F30FB8">
      <w:pPr>
        <w:pStyle w:val="Zkladntext100"/>
        <w:shd w:val="clear" w:color="auto" w:fill="auto"/>
        <w:spacing w:after="60" w:line="218" w:lineRule="auto"/>
        <w:ind w:firstLine="260"/>
        <w:rPr>
          <w:sz w:val="19"/>
          <w:szCs w:val="19"/>
        </w:rPr>
      </w:pPr>
      <w:r>
        <w:rPr>
          <w:b/>
          <w:bCs/>
          <w:sz w:val="19"/>
          <w:szCs w:val="19"/>
        </w:rPr>
        <w:t>V novinách se začalo psát o tom, co se má státi s prázd</w:t>
      </w:r>
      <w:r>
        <w:rPr>
          <w:b/>
          <w:bCs/>
          <w:sz w:val="19"/>
          <w:szCs w:val="19"/>
        </w:rPr>
        <w:softHyphen/>
        <w:t>notou, která nastala tím, že parlament byl rozpuštěn a nový nebyl ani zvolen, ani jmenován. K rozpuštění naší</w:t>
      </w:r>
      <w:r>
        <w:rPr>
          <w:b/>
          <w:bCs/>
          <w:sz w:val="19"/>
          <w:szCs w:val="19"/>
        </w:rPr>
        <w:t xml:space="preserve"> poslanec</w:t>
      </w:r>
      <w:r>
        <w:rPr>
          <w:b/>
          <w:bCs/>
          <w:sz w:val="19"/>
          <w:szCs w:val="19"/>
        </w:rPr>
        <w:softHyphen/>
        <w:t>ké sněmovny a senátu jsme tehdy zde řekli, že za docela změněných státoprávních podmínek to bylo opatření nevy</w:t>
      </w:r>
      <w:r>
        <w:rPr>
          <w:b/>
          <w:bCs/>
          <w:sz w:val="19"/>
          <w:szCs w:val="19"/>
        </w:rPr>
        <w:softHyphen/>
        <w:t>hnutelné a že sotva by bylo možné vytvořit nějakým práv</w:t>
      </w:r>
      <w:r>
        <w:rPr>
          <w:b/>
          <w:bCs/>
          <w:sz w:val="19"/>
          <w:szCs w:val="19"/>
        </w:rPr>
        <w:softHyphen/>
        <w:t>ním výmyslem ze zbytků bývalého československého parla</w:t>
      </w:r>
      <w:r>
        <w:rPr>
          <w:b/>
          <w:bCs/>
          <w:sz w:val="19"/>
          <w:szCs w:val="19"/>
        </w:rPr>
        <w:softHyphen/>
        <w:t>mentu jakýsi český parla</w:t>
      </w:r>
      <w:r>
        <w:rPr>
          <w:b/>
          <w:bCs/>
          <w:sz w:val="19"/>
          <w:szCs w:val="19"/>
        </w:rPr>
        <w:t>ment, representující jedinou stra</w:t>
      </w:r>
      <w:r>
        <w:rPr>
          <w:b/>
          <w:bCs/>
          <w:sz w:val="19"/>
          <w:szCs w:val="19"/>
        </w:rPr>
        <w:softHyphen/>
        <w:t xml:space="preserve">nu a představující český lid v těchto nových politických a právních poměrech. Spekulace, zda rozpuštění bylo »ústav- ní« anebo ne, je jistě hodna teoretiků, mají-li na ni kdy a nervy, ale prakticky je zbytečná. Situace je </w:t>
      </w:r>
      <w:r>
        <w:rPr>
          <w:b/>
          <w:bCs/>
          <w:sz w:val="19"/>
          <w:szCs w:val="19"/>
        </w:rPr>
        <w:t>taková, jak ji celý národ pochopil a nemá smyslu si dělat jakési iluse. Proto 1 tuto věc nutno chápat reálně.</w:t>
      </w:r>
    </w:p>
    <w:p w:rsidR="00500724" w:rsidRDefault="00F30FB8">
      <w:pPr>
        <w:pStyle w:val="Zkladntext100"/>
        <w:shd w:val="clear" w:color="auto" w:fill="auto"/>
        <w:spacing w:line="216" w:lineRule="auto"/>
        <w:ind w:firstLine="260"/>
        <w:rPr>
          <w:sz w:val="19"/>
          <w:szCs w:val="19"/>
        </w:rPr>
      </w:pPr>
      <w:r>
        <w:rPr>
          <w:b/>
          <w:bCs/>
          <w:sz w:val="19"/>
          <w:szCs w:val="19"/>
        </w:rPr>
        <w:t>Má-li se uvažovat o tom, zda má býti zřízen český parla</w:t>
      </w:r>
      <w:r>
        <w:rPr>
          <w:b/>
          <w:bCs/>
          <w:sz w:val="19"/>
          <w:szCs w:val="19"/>
        </w:rPr>
        <w:softHyphen/>
        <w:t xml:space="preserve">ment anebo zda má zůstat dnešní stav, pak ovšem nezávisí věc jen na vůli českého národa. </w:t>
      </w:r>
      <w:r>
        <w:rPr>
          <w:b/>
          <w:bCs/>
          <w:sz w:val="19"/>
          <w:szCs w:val="19"/>
        </w:rPr>
        <w:t xml:space="preserve">Ale již se ozval s německé strany hlas, že chce-li český národ, že může parlament si vytvořit. O tom, že tedy má býti ustaven český parlament, není sporu. Začalo se pak psát o tom, že prý by parlament měl býti jmenován. Pravděpodobně by jmenování poslanců </w:t>
      </w:r>
      <w:r>
        <w:rPr>
          <w:b/>
          <w:bCs/>
          <w:sz w:val="19"/>
          <w:szCs w:val="19"/>
        </w:rPr>
        <w:t>— druhá komora by asi nebyla zřizována, leda pro ryze hospodářské problémy — provedl státní president. A již se také kdesi řeklo, že třetina parlamentu by byli politikové, třetina hospodářsky vzděláni lidé a třetina představitelé stavů. Toto považujeme sic</w:t>
      </w:r>
      <w:r>
        <w:rPr>
          <w:b/>
          <w:bCs/>
          <w:sz w:val="19"/>
          <w:szCs w:val="19"/>
        </w:rPr>
        <w:t xml:space="preserve">e za poněkud předčasné, ale debatuje-li se již o českém parlamentu a není-li proti jeho existenci odpor říšských činitelů, pak mnoho mluví pro to, aby byl vytvořen parlament volený, nikoliv jmenovaný. Prakticky to nebude velký rozdíl, když bude stejně tak </w:t>
      </w:r>
      <w:r>
        <w:rPr>
          <w:b/>
          <w:bCs/>
          <w:sz w:val="19"/>
          <w:szCs w:val="19"/>
        </w:rPr>
        <w:t>jako tak volena jen jedna jediná listina. Ale parlament i tímto způsobem volený bude přece jen předsta</w:t>
      </w:r>
      <w:r>
        <w:rPr>
          <w:b/>
          <w:bCs/>
          <w:sz w:val="19"/>
          <w:szCs w:val="19"/>
        </w:rPr>
        <w:softHyphen/>
        <w:t>vovat do větší miry vůli národa i v dané, úzce vymezené si</w:t>
      </w:r>
      <w:r>
        <w:rPr>
          <w:b/>
          <w:bCs/>
          <w:sz w:val="19"/>
          <w:szCs w:val="19"/>
        </w:rPr>
        <w:softHyphen/>
        <w:t>tuaci, a bude míti tak větší prestyž, než by měl pouhý se</w:t>
      </w:r>
      <w:r>
        <w:rPr>
          <w:b/>
          <w:bCs/>
          <w:sz w:val="19"/>
          <w:szCs w:val="19"/>
        </w:rPr>
        <w:softHyphen/>
        <w:t xml:space="preserve">znam osob, které by se staly pouhým </w:t>
      </w:r>
      <w:r>
        <w:rPr>
          <w:b/>
          <w:bCs/>
          <w:sz w:val="19"/>
          <w:szCs w:val="19"/>
        </w:rPr>
        <w:t>jmenováním členy no</w:t>
      </w:r>
      <w:r>
        <w:rPr>
          <w:b/>
          <w:bCs/>
          <w:sz w:val="19"/>
          <w:szCs w:val="19"/>
        </w:rPr>
        <w:softHyphen/>
        <w:t>vého českého parlamentu v rámci Říše. Téměř stoprocentní účast všech českých mužů v Národním souručenství je ostatně dokladem, že nejde o žádný experiment. Tento čes</w:t>
      </w:r>
      <w:r>
        <w:rPr>
          <w:b/>
          <w:bCs/>
          <w:sz w:val="19"/>
          <w:szCs w:val="19"/>
        </w:rPr>
        <w:softHyphen/>
        <w:t>ký parlament by byl forem pro vládu, bude jejím podkla</w:t>
      </w:r>
      <w:r>
        <w:rPr>
          <w:b/>
          <w:bCs/>
          <w:sz w:val="19"/>
          <w:szCs w:val="19"/>
        </w:rPr>
        <w:softHyphen/>
        <w:t>dem a tribunou,</w:t>
      </w:r>
      <w:r>
        <w:rPr>
          <w:b/>
          <w:bCs/>
          <w:sz w:val="19"/>
          <w:szCs w:val="19"/>
        </w:rPr>
        <w:t xml:space="preserve"> kde se bude moci leccos říci, i když ovšem s hlediska nových státoprávních poměrů tomu bude jinak, než v bývalých československých parlamentech.</w:t>
      </w:r>
    </w:p>
    <w:p w:rsidR="00500724" w:rsidRDefault="00F30FB8">
      <w:pPr>
        <w:pStyle w:val="Zkladntext100"/>
        <w:shd w:val="clear" w:color="auto" w:fill="auto"/>
        <w:spacing w:line="216" w:lineRule="auto"/>
        <w:ind w:firstLine="260"/>
        <w:rPr>
          <w:sz w:val="19"/>
          <w:szCs w:val="19"/>
        </w:rPr>
      </w:pPr>
      <w:r>
        <w:rPr>
          <w:b/>
          <w:bCs/>
          <w:sz w:val="19"/>
          <w:szCs w:val="19"/>
        </w:rPr>
        <w:t>Soudíme, že tato věc by se měla provésti s urychlením, aby na podkladě výnosu Vůdce a říšského kancléře se sta</w:t>
      </w:r>
      <w:r>
        <w:rPr>
          <w:b/>
          <w:bCs/>
          <w:sz w:val="19"/>
          <w:szCs w:val="19"/>
        </w:rPr>
        <w:t>lo i parlamentní cestou vše ke splnění jeho slov, že česká a moravská země »jsou autonomní a spravují se samy«. Po</w:t>
      </w:r>
      <w:r>
        <w:rPr>
          <w:b/>
          <w:bCs/>
          <w:sz w:val="19"/>
          <w:szCs w:val="19"/>
        </w:rPr>
        <w:softHyphen/>
        <w:t xml:space="preserve">slancům musí </w:t>
      </w:r>
      <w:r>
        <w:rPr>
          <w:b/>
          <w:bCs/>
          <w:i/>
          <w:iCs/>
          <w:sz w:val="20"/>
          <w:szCs w:val="20"/>
        </w:rPr>
        <w:t>se</w:t>
      </w:r>
      <w:r>
        <w:rPr>
          <w:b/>
          <w:bCs/>
          <w:sz w:val="19"/>
          <w:szCs w:val="19"/>
        </w:rPr>
        <w:t xml:space="preserve"> také dostat poslanecké imunity, která v nových poměrech opět nabude smyslu, jehož v bý</w:t>
      </w:r>
      <w:r>
        <w:rPr>
          <w:b/>
          <w:bCs/>
          <w:sz w:val="19"/>
          <w:szCs w:val="19"/>
        </w:rPr>
        <w:softHyphen/>
        <w:t>valé republice vlastně prakticky již p</w:t>
      </w:r>
      <w:r>
        <w:rPr>
          <w:b/>
          <w:bCs/>
          <w:sz w:val="19"/>
          <w:szCs w:val="19"/>
        </w:rPr>
        <w:t>ozbyla. Nyní bude opětně cenným zařízením. Také se spíše v parlamentě uplatní podněty, jež budou vycházet z tohoto tělesa na pod</w:t>
      </w:r>
      <w:r>
        <w:rPr>
          <w:b/>
          <w:bCs/>
          <w:sz w:val="19"/>
          <w:szCs w:val="19"/>
        </w:rPr>
        <w:softHyphen/>
        <w:t>kladě obecné iniciativy a bude možné snáze leckteré věci vyřídit, když budou projednány na parlamentní půdě po řádné veřejné de</w:t>
      </w:r>
      <w:r>
        <w:rPr>
          <w:b/>
          <w:bCs/>
          <w:sz w:val="19"/>
          <w:szCs w:val="19"/>
        </w:rPr>
        <w:t>batě.</w:t>
      </w:r>
    </w:p>
    <w:p w:rsidR="00500724" w:rsidRDefault="00F30FB8">
      <w:pPr>
        <w:pStyle w:val="Zkladntext100"/>
        <w:shd w:val="clear" w:color="auto" w:fill="auto"/>
        <w:tabs>
          <w:tab w:val="left" w:pos="4608"/>
        </w:tabs>
        <w:spacing w:after="80" w:line="206" w:lineRule="auto"/>
        <w:ind w:firstLine="260"/>
        <w:rPr>
          <w:sz w:val="19"/>
          <w:szCs w:val="19"/>
        </w:rPr>
      </w:pPr>
      <w:r>
        <w:rPr>
          <w:b/>
          <w:bCs/>
          <w:sz w:val="19"/>
          <w:szCs w:val="19"/>
        </w:rPr>
        <w:t>Námět »Přítomnosti« na oživení existence Parla</w:t>
      </w:r>
      <w:r>
        <w:rPr>
          <w:b/>
          <w:bCs/>
          <w:sz w:val="19"/>
          <w:szCs w:val="19"/>
        </w:rPr>
        <w:softHyphen/>
        <w:t>mentního kontrolního a úsporného výboru se setkal s obecným porozuměním. Zdá se dokonce, že bude brzy realisován. Bylo by tedy žádoucí, aby oba podněty byly spojeny. Bude pak možno vytvořit novou ústavní</w:t>
      </w:r>
      <w:r>
        <w:rPr>
          <w:b/>
          <w:bCs/>
          <w:sz w:val="19"/>
          <w:szCs w:val="19"/>
        </w:rPr>
        <w:t xml:space="preserve"> listinu a přesně vyjádřit a střežit práva, která byla Protektorátu dána do vínku. Rozumíme, že tento návrh bude přijat se smíšenými pocity. Nebylo by však přes to správné bagateli- sovat i tuto možnost. Ovšem, není to mnoho, ale musíme se držet každého pr</w:t>
      </w:r>
      <w:r>
        <w:rPr>
          <w:b/>
          <w:bCs/>
          <w:sz w:val="19"/>
          <w:szCs w:val="19"/>
        </w:rPr>
        <w:t>áva, které bylo českému národu v jeho soudobé situaci přiznáno,</w:t>
      </w:r>
      <w:r>
        <w:rPr>
          <w:b/>
          <w:bCs/>
          <w:sz w:val="19"/>
          <w:szCs w:val="19"/>
        </w:rPr>
        <w:tab/>
        <w:t>MoZZ,</w:t>
      </w:r>
    </w:p>
    <w:p w:rsidR="00500724" w:rsidRDefault="00F30FB8">
      <w:pPr>
        <w:pStyle w:val="Zkladntext30"/>
        <w:shd w:val="clear" w:color="auto" w:fill="auto"/>
        <w:spacing w:line="202" w:lineRule="auto"/>
        <w:ind w:firstLine="0"/>
        <w:jc w:val="center"/>
        <w:rPr>
          <w:sz w:val="20"/>
          <w:szCs w:val="20"/>
        </w:rPr>
      </w:pPr>
      <w:r>
        <w:rPr>
          <w:b/>
          <w:bCs/>
          <w:sz w:val="20"/>
          <w:szCs w:val="20"/>
        </w:rPr>
        <w:t>Oč jde mezi Srby a Chorvaty</w:t>
      </w:r>
    </w:p>
    <w:p w:rsidR="00500724" w:rsidRDefault="00F30FB8">
      <w:pPr>
        <w:pStyle w:val="Zkladntext100"/>
        <w:shd w:val="clear" w:color="auto" w:fill="auto"/>
        <w:spacing w:after="40" w:line="214" w:lineRule="auto"/>
        <w:ind w:firstLine="200"/>
        <w:rPr>
          <w:sz w:val="19"/>
          <w:szCs w:val="19"/>
        </w:rPr>
      </w:pPr>
      <w:r>
        <w:rPr>
          <w:b/>
          <w:bCs/>
          <w:sz w:val="19"/>
          <w:szCs w:val="19"/>
        </w:rPr>
        <w:t>Po zkušenostech, kterých jsme nabyli s federalisací býva</w:t>
      </w:r>
      <w:r>
        <w:rPr>
          <w:b/>
          <w:bCs/>
          <w:sz w:val="19"/>
          <w:szCs w:val="19"/>
        </w:rPr>
        <w:softHyphen/>
        <w:t>lého československého státu, sledujeme pochopitelně s vel</w:t>
      </w:r>
      <w:r>
        <w:rPr>
          <w:b/>
          <w:bCs/>
          <w:sz w:val="19"/>
          <w:szCs w:val="19"/>
        </w:rPr>
        <w:softHyphen/>
        <w:t xml:space="preserve">kou pozorností a jistou úzkostí vývoj </w:t>
      </w:r>
      <w:r>
        <w:rPr>
          <w:b/>
          <w:bCs/>
          <w:sz w:val="19"/>
          <w:szCs w:val="19"/>
        </w:rPr>
        <w:t>jednání o tak zv. auto</w:t>
      </w:r>
      <w:r>
        <w:rPr>
          <w:b/>
          <w:bCs/>
          <w:sz w:val="19"/>
          <w:szCs w:val="19"/>
        </w:rPr>
        <w:softHyphen/>
        <w:t>nomii Chorvatska v rámci Jugoslávie, která se nyní rovněž má státi federalisovaným státem. Rozpravy mezi dr. Mac</w:t>
      </w:r>
      <w:r>
        <w:rPr>
          <w:b/>
          <w:bCs/>
          <w:sz w:val="19"/>
          <w:szCs w:val="19"/>
        </w:rPr>
        <w:softHyphen/>
        <w:t>kem, jenž v jedné osobě je vůdcem chorvatské sjednocené oposice, předsedou Chorvatské selské strany a současně mluvčím s</w:t>
      </w:r>
      <w:r>
        <w:rPr>
          <w:b/>
          <w:bCs/>
          <w:sz w:val="19"/>
          <w:szCs w:val="19"/>
        </w:rPr>
        <w:t>elské demokratické koalice, zahrnující i důležité skupiny nechorvatské na jedné straně a mezi předsedou jugoslávské vlády Cvetkoviéem na straně druhé, se začaly dnem 2. dubna. I když formálně se skončily 27. dubna, trvají tedy prakticky již bezmála šest ne</w:t>
      </w:r>
      <w:r>
        <w:rPr>
          <w:b/>
          <w:bCs/>
          <w:sz w:val="19"/>
          <w:szCs w:val="19"/>
        </w:rPr>
        <w:t>děl. Vše, co se stalo v krátké době před tím a po tom ve střední Evropě, učinilo z tohoto jednání předmět přímo evropské pozornosti, o němž se píše také ve světovém tisku denně. Správně se rozpo</w:t>
      </w:r>
      <w:r>
        <w:rPr>
          <w:b/>
          <w:bCs/>
          <w:sz w:val="19"/>
          <w:szCs w:val="19"/>
        </w:rPr>
        <w:softHyphen/>
        <w:t>znává, že řešení, ke kterému se dojde, bude v každém pří</w:t>
      </w:r>
      <w:r>
        <w:rPr>
          <w:b/>
          <w:bCs/>
          <w:sz w:val="19"/>
          <w:szCs w:val="19"/>
        </w:rPr>
        <w:softHyphen/>
        <w:t>padě</w:t>
      </w:r>
      <w:r>
        <w:rPr>
          <w:b/>
          <w:bCs/>
          <w:sz w:val="19"/>
          <w:szCs w:val="19"/>
        </w:rPr>
        <w:t>, ať je smírné nebo ať se skončí rozbitím porad, míti nepochybný vliv na vývoj evropských dějin v užším slova smyslu.</w:t>
      </w:r>
    </w:p>
    <w:p w:rsidR="00500724" w:rsidRDefault="00F30FB8">
      <w:pPr>
        <w:pStyle w:val="Zkladntext100"/>
        <w:shd w:val="clear" w:color="auto" w:fill="auto"/>
        <w:spacing w:line="211" w:lineRule="auto"/>
        <w:ind w:firstLine="240"/>
        <w:rPr>
          <w:sz w:val="19"/>
          <w:szCs w:val="19"/>
        </w:rPr>
      </w:pPr>
      <w:r>
        <w:rPr>
          <w:b/>
          <w:bCs/>
          <w:sz w:val="19"/>
          <w:szCs w:val="19"/>
        </w:rPr>
        <w:t>Předseda jugoslávské vlády Cvetkovic je Srb; velmi dobře pochopil, oč jde, a proto si počínal tak rozhodně a při tom smířlivě. Musil překo</w:t>
      </w:r>
      <w:r>
        <w:rPr>
          <w:b/>
          <w:bCs/>
          <w:sz w:val="19"/>
          <w:szCs w:val="19"/>
        </w:rPr>
        <w:t>nat nemalé potíže ve vlastním vládním táboře a v srbském národě a na druhé straně se musil velmi namáhat, aby upozornil Choryaty, že jejich po</w:t>
      </w:r>
      <w:r>
        <w:rPr>
          <w:b/>
          <w:bCs/>
          <w:sz w:val="19"/>
          <w:szCs w:val="19"/>
        </w:rPr>
        <w:softHyphen/>
        <w:t>žadavky nemohou jít dále, než ještě snese existence Jugo</w:t>
      </w:r>
      <w:r>
        <w:rPr>
          <w:b/>
          <w:bCs/>
          <w:sz w:val="19"/>
          <w:szCs w:val="19"/>
        </w:rPr>
        <w:softHyphen/>
        <w:t>slávie jako státu. Jak známé nám to vše připadá! Zejména</w:t>
      </w:r>
      <w:r>
        <w:rPr>
          <w:b/>
          <w:bCs/>
          <w:sz w:val="19"/>
          <w:szCs w:val="19"/>
        </w:rPr>
        <w:t xml:space="preserve"> ovšem, když si připomeneme, že ve Cvetkovicově kabinetu zasedají dva Chorvati, dva Slovinci a dva mohamedánští Bosňáci. Přes vše, co namítala korunní rada a ti zástupci srbského národa, kteří se bojí o jednotu státu, přes pochyb</w:t>
      </w:r>
      <w:r>
        <w:rPr>
          <w:b/>
          <w:bCs/>
          <w:sz w:val="19"/>
          <w:szCs w:val="19"/>
        </w:rPr>
        <w:softHyphen/>
        <w:t>nosti, které měl ovšem tak</w:t>
      </w:r>
      <w:r>
        <w:rPr>
          <w:b/>
          <w:bCs/>
          <w:sz w:val="19"/>
          <w:szCs w:val="19"/>
        </w:rPr>
        <w:t>é generální štáb (mluvilo se také o vlastní chorvatské armádě), přijal ministerský předseda Cvetkovic zásadu federalisace Jugoslávie a prosadil ji na všech stranách. Lze si představit, že to nebylo ani snadné, ani sladké.</w:t>
      </w:r>
    </w:p>
    <w:p w:rsidR="00500724" w:rsidRDefault="00F30FB8">
      <w:pPr>
        <w:pStyle w:val="Zkladntext100"/>
        <w:shd w:val="clear" w:color="auto" w:fill="auto"/>
        <w:spacing w:after="40" w:line="211" w:lineRule="auto"/>
        <w:ind w:firstLine="240"/>
        <w:rPr>
          <w:sz w:val="19"/>
          <w:szCs w:val="19"/>
        </w:rPr>
      </w:pPr>
      <w:r>
        <w:rPr>
          <w:b/>
          <w:bCs/>
          <w:sz w:val="19"/>
          <w:szCs w:val="19"/>
        </w:rPr>
        <w:t xml:space="preserve">Oě nyní jde, jest vymezení hranic </w:t>
      </w:r>
      <w:r>
        <w:rPr>
          <w:b/>
          <w:bCs/>
          <w:sz w:val="19"/>
          <w:szCs w:val="19"/>
        </w:rPr>
        <w:t>jednotli</w:t>
      </w:r>
      <w:r>
        <w:rPr>
          <w:b/>
          <w:bCs/>
          <w:sz w:val="19"/>
          <w:szCs w:val="19"/>
        </w:rPr>
        <w:softHyphen/>
        <w:t>vých federálních území. Chorvaté ovšem chtějí, aby autonomní chorvatský stát v rámci federalisované Jugoslávie byl co největší a chtějí do něho zahrnout vše</w:t>
      </w:r>
      <w:r>
        <w:rPr>
          <w:b/>
          <w:bCs/>
          <w:sz w:val="19"/>
          <w:szCs w:val="19"/>
        </w:rPr>
        <w:softHyphen/>
        <w:t>chna území, kde jsou Chorvati. To tedy je ještě těžší pro</w:t>
      </w:r>
      <w:r>
        <w:rPr>
          <w:b/>
          <w:bCs/>
          <w:sz w:val="19"/>
          <w:szCs w:val="19"/>
        </w:rPr>
        <w:softHyphen/>
        <w:t>blém, než tomu bylo u nás se Slo</w:t>
      </w:r>
      <w:r>
        <w:rPr>
          <w:b/>
          <w:bCs/>
          <w:sz w:val="19"/>
          <w:szCs w:val="19"/>
        </w:rPr>
        <w:t>venskem, protože tam byly alespoň hranice jasné a nesporné, kdežto v chorvatském případu je tomu asi tak, jako tomu bylo u nás se sudetský</w:t>
      </w:r>
      <w:r>
        <w:rPr>
          <w:b/>
          <w:bCs/>
          <w:sz w:val="19"/>
          <w:szCs w:val="19"/>
        </w:rPr>
        <w:softHyphen/>
        <w:t>mi Němci. Chorvatské a srbské oblasti se na několika mí</w:t>
      </w:r>
      <w:r>
        <w:rPr>
          <w:b/>
          <w:bCs/>
          <w:sz w:val="19"/>
          <w:szCs w:val="19"/>
        </w:rPr>
        <w:softHyphen/>
        <w:t>stech prostupují tak, že táhnout mezi nimi čáru je přímo nemo</w:t>
      </w:r>
      <w:r>
        <w:rPr>
          <w:b/>
          <w:bCs/>
          <w:sz w:val="19"/>
          <w:szCs w:val="19"/>
        </w:rPr>
        <w:t>žné a na řadě míst je to alespoň skoro nemožné. Nad</w:t>
      </w:r>
      <w:r>
        <w:rPr>
          <w:b/>
          <w:bCs/>
          <w:sz w:val="19"/>
          <w:szCs w:val="19"/>
        </w:rPr>
        <w:softHyphen/>
        <w:t>to je tu ještě celý systém národnostních ostrůvků a potíž, co s nimi. Snad by tyto problémy odstranila široká a po</w:t>
      </w:r>
      <w:r>
        <w:rPr>
          <w:b/>
          <w:bCs/>
          <w:sz w:val="19"/>
          <w:szCs w:val="19"/>
        </w:rPr>
        <w:softHyphen/>
        <w:t>ctivě upravená federalisovaná demokracie, ale v dnešní Evropě jsou nacionální problémy ta</w:t>
      </w:r>
      <w:r>
        <w:rPr>
          <w:b/>
          <w:bCs/>
          <w:sz w:val="19"/>
          <w:szCs w:val="19"/>
        </w:rPr>
        <w:t>k vy bičovány, že se o tom nedá ani miuvit, nehledíc ani k potížím jiného druhu, plynoucím ze založení srbského i chorvatského lidu.</w:t>
      </w:r>
    </w:p>
    <w:p w:rsidR="00500724" w:rsidRDefault="00F30FB8">
      <w:pPr>
        <w:pStyle w:val="Zkladntext100"/>
        <w:shd w:val="clear" w:color="auto" w:fill="auto"/>
        <w:spacing w:line="214" w:lineRule="auto"/>
        <w:ind w:firstLine="240"/>
        <w:rPr>
          <w:sz w:val="19"/>
          <w:szCs w:val="19"/>
        </w:rPr>
      </w:pPr>
      <w:r>
        <w:rPr>
          <w:b/>
          <w:bCs/>
          <w:sz w:val="19"/>
          <w:szCs w:val="19"/>
        </w:rPr>
        <w:t>Z vytvoření hranic autonomního chorvatského státu v rámci federalisované Jugoslávie mají strach Srbové, jako živel stát udr</w:t>
      </w:r>
      <w:r>
        <w:rPr>
          <w:b/>
          <w:bCs/>
          <w:sz w:val="19"/>
          <w:szCs w:val="19"/>
        </w:rPr>
        <w:t xml:space="preserve">žující, obává se ho stejně také vedení armády, </w:t>
      </w:r>
      <w:r>
        <w:rPr>
          <w:rFonts w:ascii="Arial" w:eastAsia="Arial" w:hAnsi="Arial" w:cs="Arial"/>
          <w:b/>
          <w:bCs/>
          <w:sz w:val="26"/>
          <w:szCs w:val="26"/>
        </w:rPr>
        <w:t xml:space="preserve">i </w:t>
      </w:r>
      <w:r>
        <w:rPr>
          <w:b/>
          <w:bCs/>
          <w:sz w:val="19"/>
          <w:szCs w:val="19"/>
        </w:rPr>
        <w:t>někteří Chorvati a Slovinci a ovšem především koruna. Proto, když se 27. dubna skončilo jednání mezi Mackem a Cvetkoviéem dohodou, kterou po jakýchsi vnitřních těžko</w:t>
      </w:r>
      <w:r>
        <w:rPr>
          <w:b/>
          <w:bCs/>
          <w:sz w:val="19"/>
          <w:szCs w:val="19"/>
        </w:rPr>
        <w:softHyphen/>
        <w:t xml:space="preserve">stech přijala jugoslávská vláda, nastala </w:t>
      </w:r>
      <w:r>
        <w:rPr>
          <w:b/>
          <w:bCs/>
          <w:sz w:val="19"/>
          <w:szCs w:val="19"/>
        </w:rPr>
        <w:t>nečekaná nová krise, jakmile věc byla předložena korunní a vojenské radě. Krise vypukla ostře minulý pátek, když jeden chorvatský list vydal zvláštní vydání, oznamující, že regentská rada odmítla Cvetkovicův a Mackův plán. Časopis byl sice ihned konfisková</w:t>
      </w:r>
      <w:r>
        <w:rPr>
          <w:b/>
          <w:bCs/>
          <w:sz w:val="19"/>
          <w:szCs w:val="19"/>
        </w:rPr>
        <w:t>n, nicméně se zatím již na ulieích shromáždily velké davy. Došlo k obvyklým výtržnostem a dosti nebez</w:t>
      </w:r>
      <w:r>
        <w:rPr>
          <w:b/>
          <w:bCs/>
          <w:sz w:val="19"/>
          <w:szCs w:val="19"/>
        </w:rPr>
        <w:softHyphen/>
        <w:t>pečným srážkám, jež naštěstí neměly žádné vážné následky. Předseda vlády vydal pak týž den úřední komuniké, ve kte</w:t>
      </w:r>
      <w:r>
        <w:rPr>
          <w:b/>
          <w:bCs/>
          <w:sz w:val="19"/>
          <w:szCs w:val="19"/>
        </w:rPr>
        <w:softHyphen/>
        <w:t>rém konstatoval, že o věci se dále jedn</w:t>
      </w:r>
      <w:r>
        <w:rPr>
          <w:b/>
          <w:bCs/>
          <w:sz w:val="19"/>
          <w:szCs w:val="19"/>
        </w:rPr>
        <w:t>á a že návrhy podané oběma stranami se zkoumají. Do sporu zasáhla nakonec, v nebezpečném stadiu, sama hlava regentské rady, princ- vladař Pavel, který ujistil dr. Mačka, že dohoda ze 27. dub</w:t>
      </w:r>
      <w:r>
        <w:rPr>
          <w:b/>
          <w:bCs/>
          <w:sz w:val="19"/>
          <w:szCs w:val="19"/>
        </w:rPr>
        <w:softHyphen/>
        <w:t xml:space="preserve">na byla »v principu přijatae jak vojenskými představiteli, tak i </w:t>
      </w:r>
      <w:r>
        <w:rPr>
          <w:b/>
          <w:bCs/>
          <w:sz w:val="19"/>
          <w:szCs w:val="19"/>
        </w:rPr>
        <w:t>korunní radou, ale že »některé body je nutno ještě vy</w:t>
      </w:r>
      <w:r>
        <w:rPr>
          <w:b/>
          <w:bCs/>
          <w:sz w:val="19"/>
          <w:szCs w:val="19"/>
        </w:rPr>
        <w:softHyphen/>
        <w:t>jasnit^</w:t>
      </w:r>
    </w:p>
    <w:p w:rsidR="00500724" w:rsidRDefault="00F30FB8">
      <w:pPr>
        <w:pStyle w:val="Zkladntext100"/>
        <w:shd w:val="clear" w:color="auto" w:fill="auto"/>
        <w:spacing w:line="206" w:lineRule="auto"/>
        <w:rPr>
          <w:sz w:val="19"/>
          <w:szCs w:val="19"/>
        </w:rPr>
      </w:pPr>
      <w:r>
        <w:rPr>
          <w:b/>
          <w:bCs/>
          <w:sz w:val="19"/>
          <w:szCs w:val="19"/>
        </w:rPr>
        <w:t>A tak zůstávají příčiny, proě jednání dále uvázlo, v pod</w:t>
      </w:r>
      <w:r>
        <w:rPr>
          <w:b/>
          <w:bCs/>
          <w:sz w:val="19"/>
          <w:szCs w:val="19"/>
        </w:rPr>
        <w:softHyphen/>
        <w:t xml:space="preserve">statě v temnotě. Zdá se ovšem, že Chorvati šli přespříliš daleko. Hlavní potíž je pravděpodobně s Bosnou, kterou chtějí Chorvati zařadit </w:t>
      </w:r>
      <w:r>
        <w:rPr>
          <w:b/>
          <w:bCs/>
          <w:sz w:val="19"/>
          <w:szCs w:val="19"/>
        </w:rPr>
        <w:t>do svého autonomního státu v rámci federalisace Jugoslávie, a jdou tak daleko, že je otázka, zda ještě tato federalisace je víc, než pouhé slovo.</w:t>
      </w:r>
    </w:p>
    <w:p w:rsidR="00500724" w:rsidRDefault="00F30FB8">
      <w:pPr>
        <w:pStyle w:val="Zkladntext100"/>
        <w:shd w:val="clear" w:color="auto" w:fill="auto"/>
        <w:spacing w:line="214" w:lineRule="auto"/>
        <w:rPr>
          <w:sz w:val="19"/>
          <w:szCs w:val="19"/>
        </w:rPr>
      </w:pPr>
      <w:r>
        <w:rPr>
          <w:b/>
          <w:bCs/>
          <w:sz w:val="19"/>
          <w:szCs w:val="19"/>
        </w:rPr>
        <w:t xml:space="preserve">B o s n a je totiž přímo typický případ. Je tam pouze 20% Chorvatů a katolíků, a přes to Chorvati žádají, aby </w:t>
      </w:r>
      <w:r>
        <w:rPr>
          <w:b/>
          <w:bCs/>
          <w:sz w:val="19"/>
          <w:szCs w:val="19"/>
        </w:rPr>
        <w:t>byla za</w:t>
      </w:r>
      <w:r>
        <w:rPr>
          <w:b/>
          <w:bCs/>
          <w:sz w:val="19"/>
          <w:szCs w:val="19"/>
        </w:rPr>
        <w:softHyphen/>
        <w:t>hrnuta do Chorvatska. Téměř 48% obyvatel Bosny jsou orthodoxní Srbové a 30% obyvatelstva tvoří mohamedáni. Zbytek obsahuje něco cikánů a židů, vedle různorodé národ</w:t>
      </w:r>
      <w:r>
        <w:rPr>
          <w:b/>
          <w:bCs/>
          <w:sz w:val="19"/>
          <w:szCs w:val="19"/>
        </w:rPr>
        <w:softHyphen/>
        <w:t>nostní tříště. Srbové tvoří tedy téměř většinu a pochopitel</w:t>
      </w:r>
      <w:r>
        <w:rPr>
          <w:b/>
          <w:bCs/>
          <w:sz w:val="19"/>
          <w:szCs w:val="19"/>
        </w:rPr>
        <w:softHyphen/>
        <w:t>ně chtějí, aby Bosna př</w:t>
      </w:r>
      <w:r>
        <w:rPr>
          <w:b/>
          <w:bCs/>
          <w:sz w:val="19"/>
          <w:szCs w:val="19"/>
        </w:rPr>
        <w:t>išla do srbské autonomní části. Mo</w:t>
      </w:r>
      <w:r>
        <w:rPr>
          <w:b/>
          <w:bCs/>
          <w:sz w:val="19"/>
          <w:szCs w:val="19"/>
        </w:rPr>
        <w:softHyphen/>
        <w:t>hamedáni naproti tomu přišli s návrhem, aby byla vytvo</w:t>
      </w:r>
      <w:r>
        <w:rPr>
          <w:b/>
          <w:bCs/>
          <w:sz w:val="19"/>
          <w:szCs w:val="19"/>
        </w:rPr>
        <w:softHyphen/>
        <w:t>řena čtvrtá federalisaění autonomní státní součást, rovno</w:t>
      </w:r>
      <w:r>
        <w:rPr>
          <w:b/>
          <w:bCs/>
          <w:sz w:val="19"/>
          <w:szCs w:val="19"/>
        </w:rPr>
        <w:softHyphen/>
        <w:t>cenná částem srbské, chorvatské a slovinské. Při tom jsou mohamedáni ještě jakousi »vnitřní menšinou«, počít</w:t>
      </w:r>
      <w:r>
        <w:rPr>
          <w:b/>
          <w:bCs/>
          <w:sz w:val="19"/>
          <w:szCs w:val="19"/>
        </w:rPr>
        <w:t>ajíce se totiž zčásti za Srby a zčásti za Chorvaty. Vedle dělítha nacionálního najednou zde tedy ještě vystupuje dělííko ná</w:t>
      </w:r>
      <w:r>
        <w:rPr>
          <w:b/>
          <w:bCs/>
          <w:sz w:val="19"/>
          <w:szCs w:val="19"/>
        </w:rPr>
        <w:softHyphen/>
        <w:t>boženské. Chorvati přišli po tomto požadavku Bosňáků s návrhem na plebiscit a na četné věcné námitky jsou ochot</w:t>
      </w:r>
      <w:r>
        <w:rPr>
          <w:b/>
          <w:bCs/>
          <w:sz w:val="19"/>
          <w:szCs w:val="19"/>
        </w:rPr>
        <w:softHyphen/>
        <w:t xml:space="preserve">ni omezit plebiscit </w:t>
      </w:r>
      <w:r>
        <w:rPr>
          <w:b/>
          <w:bCs/>
          <w:sz w:val="19"/>
          <w:szCs w:val="19"/>
        </w:rPr>
        <w:t>na západní část Bosny, doufajíce, že tam dostanou většinu. Co by ovšem pak zbylo srbskému obyva</w:t>
      </w:r>
      <w:r>
        <w:rPr>
          <w:b/>
          <w:bCs/>
          <w:sz w:val="19"/>
          <w:szCs w:val="19"/>
        </w:rPr>
        <w:softHyphen/>
        <w:t>telstvu, kromě starého Srbska a některých ostrůvků, je ne</w:t>
      </w:r>
      <w:r>
        <w:rPr>
          <w:b/>
          <w:bCs/>
          <w:sz w:val="19"/>
          <w:szCs w:val="19"/>
        </w:rPr>
        <w:softHyphen/>
        <w:t>snadno si představit. Chorvaté prohlásili, že »nemají námi- tek« proti tomu, aby Bosna byla »vůbec aut</w:t>
      </w:r>
      <w:r>
        <w:rPr>
          <w:b/>
          <w:bCs/>
          <w:sz w:val="19"/>
          <w:szCs w:val="19"/>
        </w:rPr>
        <w:t>onomní«, což ovšem uvítali mohamedáni s radostí, aie zato Srbové se ulekli, že atomisace Jugoslávie se pak již ničím nezastaví a že se stane hříčkou v ruce okolních mocných sil.</w:t>
      </w:r>
    </w:p>
    <w:p w:rsidR="00500724" w:rsidRDefault="00F30FB8">
      <w:pPr>
        <w:pStyle w:val="Zkladntext100"/>
        <w:shd w:val="clear" w:color="auto" w:fill="auto"/>
        <w:spacing w:line="214" w:lineRule="auto"/>
        <w:rPr>
          <w:sz w:val="19"/>
          <w:szCs w:val="19"/>
        </w:rPr>
      </w:pPr>
      <w:r>
        <w:rPr>
          <w:b/>
          <w:bCs/>
          <w:sz w:val="19"/>
          <w:szCs w:val="19"/>
        </w:rPr>
        <w:t>Situace tedy vypadá asi tak: Zásada autonomie pro Chorvaty je obecně přijata a</w:t>
      </w:r>
      <w:r>
        <w:rPr>
          <w:b/>
          <w:bCs/>
          <w:sz w:val="19"/>
          <w:szCs w:val="19"/>
        </w:rPr>
        <w:t xml:space="preserve"> proti jejímu provedení se již nikdo v Jugoslávii nepostaví. Jejívěcný rozsah bude veliký, bude to téměř úplná sa</w:t>
      </w:r>
      <w:r>
        <w:rPr>
          <w:b/>
          <w:bCs/>
          <w:sz w:val="19"/>
          <w:szCs w:val="19"/>
        </w:rPr>
        <w:softHyphen/>
        <w:t>mostatnost, stát ve státu. Spor je již jen o rozsah území, které má býti autonomní a zda i ostatní části Jugoslávie mají býti takto nově státo</w:t>
      </w:r>
      <w:r>
        <w:rPr>
          <w:b/>
          <w:bCs/>
          <w:sz w:val="19"/>
          <w:szCs w:val="19"/>
        </w:rPr>
        <w:t>právně vybaveny.</w:t>
      </w:r>
    </w:p>
    <w:p w:rsidR="00500724" w:rsidRDefault="00F30FB8">
      <w:pPr>
        <w:pStyle w:val="Zkladntext100"/>
        <w:shd w:val="clear" w:color="auto" w:fill="auto"/>
        <w:spacing w:line="214" w:lineRule="auto"/>
        <w:rPr>
          <w:sz w:val="19"/>
          <w:szCs w:val="19"/>
        </w:rPr>
      </w:pPr>
      <w:r>
        <w:rPr>
          <w:b/>
          <w:bCs/>
          <w:sz w:val="19"/>
          <w:szCs w:val="19"/>
        </w:rPr>
        <w:t>Napětí a nervosita, které z tohoto vleklého jednání vzni</w:t>
      </w:r>
      <w:r>
        <w:rPr>
          <w:b/>
          <w:bCs/>
          <w:sz w:val="19"/>
          <w:szCs w:val="19"/>
        </w:rPr>
        <w:softHyphen/>
        <w:t>kají, se ještě umocňují pocitem obav, jak se nová Jugo</w:t>
      </w:r>
      <w:r>
        <w:rPr>
          <w:b/>
          <w:bCs/>
          <w:sz w:val="19"/>
          <w:szCs w:val="19"/>
        </w:rPr>
        <w:softHyphen/>
        <w:t>slávie osvědčí a zda se tento proces zastaví, i když Chorvatsko se stane autonomní v mo</w:t>
      </w:r>
      <w:r>
        <w:rPr>
          <w:b/>
          <w:bCs/>
          <w:sz w:val="19"/>
          <w:szCs w:val="19"/>
        </w:rPr>
        <w:softHyphen/>
        <w:t>cenském i územním rozsahu, který dr. Ma</w:t>
      </w:r>
      <w:r>
        <w:rPr>
          <w:b/>
          <w:bCs/>
          <w:sz w:val="19"/>
          <w:szCs w:val="19"/>
        </w:rPr>
        <w:t>ček po</w:t>
      </w:r>
      <w:r>
        <w:rPr>
          <w:b/>
          <w:bCs/>
          <w:sz w:val="19"/>
          <w:szCs w:val="19"/>
        </w:rPr>
        <w:softHyphen/>
        <w:t>žaduje.</w:t>
      </w:r>
    </w:p>
    <w:p w:rsidR="00500724" w:rsidRDefault="00F30FB8">
      <w:pPr>
        <w:pStyle w:val="Zkladntext100"/>
        <w:shd w:val="clear" w:color="auto" w:fill="auto"/>
        <w:tabs>
          <w:tab w:val="left" w:pos="4613"/>
        </w:tabs>
        <w:spacing w:after="180" w:line="214" w:lineRule="auto"/>
        <w:rPr>
          <w:sz w:val="20"/>
          <w:szCs w:val="20"/>
        </w:rPr>
      </w:pPr>
      <w:r>
        <w:rPr>
          <w:b/>
          <w:bCs/>
          <w:sz w:val="19"/>
          <w:szCs w:val="19"/>
        </w:rPr>
        <w:t>Mnozí si připomínají Slovensko; nejenom Srbové, ale i leckteří umírněnější Chorvati. Zdá se dokonce, že problém Jugoslávie se může stát s hlediska evropského naléhavější, než je soudobý problém Polska. Není nemožné, že se pak náhle pozornost</w:t>
      </w:r>
      <w:r>
        <w:rPr>
          <w:b/>
          <w:bCs/>
          <w:sz w:val="19"/>
          <w:szCs w:val="19"/>
        </w:rPr>
        <w:t xml:space="preserve"> od Polska obrátí k Jugoslávii.</w:t>
      </w:r>
      <w:r>
        <w:rPr>
          <w:b/>
          <w:bCs/>
          <w:sz w:val="19"/>
          <w:szCs w:val="19"/>
        </w:rPr>
        <w:tab/>
      </w:r>
      <w:r>
        <w:rPr>
          <w:i/>
          <w:iCs/>
          <w:sz w:val="20"/>
          <w:szCs w:val="20"/>
        </w:rPr>
        <w:t>Moll</w:t>
      </w:r>
    </w:p>
    <w:p w:rsidR="00500724" w:rsidRDefault="00F30FB8">
      <w:pPr>
        <w:pStyle w:val="Nadpis120"/>
        <w:shd w:val="clear" w:color="auto" w:fill="auto"/>
        <w:ind w:left="0"/>
        <w:jc w:val="center"/>
      </w:pPr>
      <w:bookmarkStart w:id="499" w:name="bookmark498"/>
      <w:r>
        <w:t>Slovenská kniha a český čtenář</w:t>
      </w:r>
      <w:bookmarkEnd w:id="499"/>
    </w:p>
    <w:p w:rsidR="00500724" w:rsidRDefault="00F30FB8">
      <w:pPr>
        <w:pStyle w:val="Zkladntext100"/>
        <w:shd w:val="clear" w:color="auto" w:fill="auto"/>
        <w:spacing w:line="206" w:lineRule="auto"/>
        <w:ind w:firstLine="340"/>
        <w:rPr>
          <w:sz w:val="19"/>
          <w:szCs w:val="19"/>
        </w:rPr>
      </w:pPr>
      <w:r>
        <w:rPr>
          <w:b/>
          <w:bCs/>
          <w:sz w:val="19"/>
          <w:szCs w:val="19"/>
        </w:rPr>
        <w:t>Třeba od 14. března 1939, kdy byla vyhlášena samostat</w:t>
      </w:r>
      <w:r>
        <w:rPr>
          <w:b/>
          <w:bCs/>
          <w:sz w:val="19"/>
          <w:szCs w:val="19"/>
        </w:rPr>
        <w:softHyphen/>
        <w:t xml:space="preserve">nost Slovenska, ještě neuplynula dlouhá doba, přece se už v oblasti kulturního dění projevují známky tohoto nového uspořádání </w:t>
      </w:r>
      <w:r>
        <w:rPr>
          <w:b/>
          <w:bCs/>
          <w:sz w:val="19"/>
          <w:szCs w:val="19"/>
        </w:rPr>
        <w:t>politických a státoprávních poměrů. Bohužel, nejsou to známky utěšivé. Známe poměry a dovedeme kri</w:t>
      </w:r>
      <w:r>
        <w:rPr>
          <w:b/>
          <w:bCs/>
          <w:sz w:val="19"/>
          <w:szCs w:val="19"/>
        </w:rPr>
        <w:softHyphen/>
        <w:t>ticky se dívati na vše, co doba přináší. To znamená, že umí</w:t>
      </w:r>
      <w:r>
        <w:rPr>
          <w:b/>
          <w:bCs/>
          <w:sz w:val="19"/>
          <w:szCs w:val="19"/>
        </w:rPr>
        <w:softHyphen/>
        <w:t>me objektivně posuzovali i takové výzvy, jakou publikoval slovenský básník Rudolf Dilong, hledají</w:t>
      </w:r>
      <w:r>
        <w:rPr>
          <w:b/>
          <w:bCs/>
          <w:sz w:val="19"/>
          <w:szCs w:val="19"/>
        </w:rPr>
        <w:t>cí mezi slovenskou veřejností, když už ne nakladatele, tedy aspoň mecenáše pro svou novou sbírku básní. Rudolf Dilong byl z prvnKh slovenských básníků, který v opojení přivítal autonomii Slovenska. Slovenské prostředí však poesii — a to dobrou — tvořilo, ž</w:t>
      </w:r>
      <w:r>
        <w:rPr>
          <w:b/>
          <w:bCs/>
          <w:sz w:val="19"/>
          <w:szCs w:val="19"/>
        </w:rPr>
        <w:t>el však, nekonsumovalo. I když poetické sbírky vycházely v nakladatelství L. Mazáče nákladem až 2000 vý</w:t>
      </w:r>
      <w:r>
        <w:rPr>
          <w:b/>
          <w:bCs/>
          <w:sz w:val="19"/>
          <w:szCs w:val="19"/>
        </w:rPr>
        <w:softHyphen/>
        <w:t>tisků, přece jen odbyt slovenské knihy se musel upírati na prostředí jiné, neslovenské.</w:t>
      </w:r>
    </w:p>
    <w:p w:rsidR="00500724" w:rsidRDefault="00F30FB8">
      <w:pPr>
        <w:pStyle w:val="Zkladntext100"/>
        <w:shd w:val="clear" w:color="auto" w:fill="auto"/>
        <w:spacing w:line="302" w:lineRule="auto"/>
        <w:ind w:firstLine="340"/>
        <w:jc w:val="left"/>
        <w:rPr>
          <w:sz w:val="26"/>
          <w:szCs w:val="26"/>
        </w:rPr>
      </w:pPr>
      <w:r>
        <w:rPr>
          <w:b/>
          <w:bCs/>
          <w:sz w:val="19"/>
          <w:szCs w:val="19"/>
        </w:rPr>
        <w:t xml:space="preserve">Tim jiným prostředím, neslovenským, byl český čtenář. Dobře máme v paměti, jak Slováci se domáhali, aby slo- </w:t>
      </w:r>
      <w:r>
        <w:rPr>
          <w:b/>
          <w:bCs/>
          <w:sz w:val="26"/>
          <w:szCs w:val="26"/>
        </w:rPr>
        <w:t>W</w:t>
      </w:r>
      <w:r>
        <w:br w:type="page"/>
      </w:r>
    </w:p>
    <w:p w:rsidR="00500724" w:rsidRDefault="00F30FB8">
      <w:pPr>
        <w:pStyle w:val="Zkladntext100"/>
        <w:shd w:val="clear" w:color="auto" w:fill="auto"/>
        <w:spacing w:line="204" w:lineRule="auto"/>
        <w:ind w:firstLine="0"/>
        <w:rPr>
          <w:sz w:val="19"/>
          <w:szCs w:val="19"/>
        </w:rPr>
      </w:pPr>
      <w:r>
        <w:rPr>
          <w:b/>
          <w:bCs/>
          <w:sz w:val="19"/>
          <w:szCs w:val="19"/>
        </w:rPr>
        <w:t>venská kniha byla v českých zemích co nejvíce rozšířena, a český čtenář se této povinnosti nevyhýbal. Jeho zásluhou bylo, že na příklad Milo Urb</w:t>
      </w:r>
      <w:r>
        <w:rPr>
          <w:b/>
          <w:bCs/>
          <w:sz w:val="19"/>
          <w:szCs w:val="19"/>
        </w:rPr>
        <w:t>anův »Živý bič« vyšel v Druž</w:t>
      </w:r>
      <w:r>
        <w:rPr>
          <w:b/>
          <w:bCs/>
          <w:sz w:val="19"/>
          <w:szCs w:val="19"/>
        </w:rPr>
        <w:softHyphen/>
        <w:t>stevní práci v prvním vydání hned nákladem přes 4000 vý</w:t>
      </w:r>
      <w:r>
        <w:rPr>
          <w:b/>
          <w:bCs/>
          <w:sz w:val="19"/>
          <w:szCs w:val="19"/>
        </w:rPr>
        <w:softHyphen/>
        <w:t xml:space="preserve">tisků (z toho 1000 exemplářů pro nalCadatelstvi Academia v Bratislavě) a další vydání se od této cifry nevzdalovala. Podobně tomu bylo i u knih </w:t>
      </w:r>
      <w:r>
        <w:rPr>
          <w:b/>
          <w:bCs/>
          <w:sz w:val="19"/>
          <w:szCs w:val="19"/>
          <w:lang w:val="en-US" w:eastAsia="en-US" w:bidi="en-US"/>
        </w:rPr>
        <w:t xml:space="preserve">druh'ch </w:t>
      </w:r>
      <w:r>
        <w:rPr>
          <w:b/>
          <w:bCs/>
          <w:sz w:val="19"/>
          <w:szCs w:val="19"/>
        </w:rPr>
        <w:t>slov. ;kých autorů.</w:t>
      </w:r>
      <w:r>
        <w:rPr>
          <w:b/>
          <w:bCs/>
          <w:sz w:val="19"/>
          <w:szCs w:val="19"/>
        </w:rPr>
        <w:t xml:space="preserve"> Česká nakladatelství a čeští čtenáři reagovali n~ sugestivní pobídky kritiků i propagátorů slovenské poválečné literární tvorby a konsumovali slovenskou literaturu v míře ne</w:t>
      </w:r>
      <w:r>
        <w:rPr>
          <w:b/>
          <w:bCs/>
          <w:sz w:val="19"/>
          <w:szCs w:val="19"/>
        </w:rPr>
        <w:softHyphen/>
        <w:t>čekané.</w:t>
      </w:r>
    </w:p>
    <w:p w:rsidR="00500724" w:rsidRDefault="00F30FB8">
      <w:pPr>
        <w:pStyle w:val="Zkladntext100"/>
        <w:shd w:val="clear" w:color="auto" w:fill="auto"/>
        <w:spacing w:line="204" w:lineRule="auto"/>
        <w:ind w:firstLine="300"/>
        <w:rPr>
          <w:sz w:val="19"/>
          <w:szCs w:val="19"/>
        </w:rPr>
      </w:pPr>
      <w:r>
        <w:rPr>
          <w:b/>
          <w:bCs/>
          <w:sz w:val="19"/>
          <w:szCs w:val="19"/>
        </w:rPr>
        <w:t>Dnes ovšem se situace slovenské literární tvorby — a zejména jejího odbyt</w:t>
      </w:r>
      <w:r>
        <w:rPr>
          <w:b/>
          <w:bCs/>
          <w:sz w:val="19"/>
          <w:szCs w:val="19"/>
        </w:rPr>
        <w:t>u — podstatně mění. Hledají-li slo</w:t>
      </w:r>
      <w:r>
        <w:rPr>
          <w:b/>
          <w:bCs/>
          <w:sz w:val="19"/>
          <w:szCs w:val="19"/>
        </w:rPr>
        <w:softHyphen/>
        <w:t>venští autoři nakladatele či aspoň mecenáše, čteme-Ii vý</w:t>
      </w:r>
      <w:r>
        <w:rPr>
          <w:b/>
          <w:bCs/>
          <w:sz w:val="19"/>
          <w:szCs w:val="19"/>
        </w:rPr>
        <w:softHyphen/>
        <w:t>tky, že sázecí stroje na Slovensku stojí, protože autoři už půl roku nepíši, nebo konstatování, že slovenští autoři ne</w:t>
      </w:r>
      <w:r>
        <w:rPr>
          <w:b/>
          <w:bCs/>
          <w:sz w:val="19"/>
          <w:szCs w:val="19"/>
        </w:rPr>
        <w:softHyphen/>
        <w:t>píší proto, že se bojí, tu vidíme, že slovens</w:t>
      </w:r>
      <w:r>
        <w:rPr>
          <w:b/>
          <w:bCs/>
          <w:sz w:val="19"/>
          <w:szCs w:val="19"/>
        </w:rPr>
        <w:t>ký kulturní život citlivě reaguje i na politické poměry a nové dění, že jmeno</w:t>
      </w:r>
      <w:r>
        <w:rPr>
          <w:b/>
          <w:bCs/>
          <w:sz w:val="19"/>
          <w:szCs w:val="19"/>
        </w:rPr>
        <w:softHyphen/>
        <w:t>vitě nutí slovenské autory k úvaze o účelnosti a užitečnosti literární tvorby. Osamostatněním Slovenska se totiž nezmě</w:t>
      </w:r>
      <w:r>
        <w:rPr>
          <w:b/>
          <w:bCs/>
          <w:sz w:val="19"/>
          <w:szCs w:val="19"/>
        </w:rPr>
        <w:softHyphen/>
        <w:t>nily jen politické poměry, ale i čtenářská obec. Odchodem m</w:t>
      </w:r>
      <w:r>
        <w:rPr>
          <w:b/>
          <w:bCs/>
          <w:sz w:val="19"/>
          <w:szCs w:val="19"/>
        </w:rPr>
        <w:t>nohých tisíců Čechů, zvyklých knihy nejenom čisti, ale 1 kupovali, dostavila se stagnace na knihkupeckém trhu, a tato stagnace se projevila též v nakladatelském podnikání. Až dosud nejvíce slovenských knih, zejména děl mladých autorů, vyšlo v českých nakla</w:t>
      </w:r>
      <w:r>
        <w:rPr>
          <w:b/>
          <w:bCs/>
          <w:sz w:val="19"/>
          <w:szCs w:val="19"/>
        </w:rPr>
        <w:t>datelstvích. U. Mazáč, D. P., Melantrich a Fr. Borový vykonali pro slovenskou knihu i s hlediska uměleckého více, než kterékoliv z toho mála nakladatelství slovenských, protože tato kniha u nich vy</w:t>
      </w:r>
      <w:r>
        <w:rPr>
          <w:b/>
          <w:bCs/>
          <w:sz w:val="19"/>
          <w:szCs w:val="19"/>
        </w:rPr>
        <w:softHyphen/>
        <w:t xml:space="preserve">cházela ne z popudů vnějších, tedy čistě nakladatelských, </w:t>
      </w:r>
      <w:r>
        <w:rPr>
          <w:b/>
          <w:bCs/>
          <w:sz w:val="19"/>
          <w:szCs w:val="19"/>
        </w:rPr>
        <w:t>ale vnitřních. Slovenskou knihu — zejména dobrou — měli čeští nakladatelé rádi a uměli ji propagovali. Kdo na tuto propagaci reagoval, to byl v první řadě český čtenář. DP měla mezi svými více než 20.000 členy necelých 800 členů slovenských, a přece vydáva</w:t>
      </w:r>
      <w:r>
        <w:rPr>
          <w:b/>
          <w:bCs/>
          <w:sz w:val="19"/>
          <w:szCs w:val="19"/>
        </w:rPr>
        <w:t>la slovenské knihy v nejméně třítisícovém nákladu. Náklad konsumovali hlavně slovenští Češi, považující za svoji povinnost sblížiti se se slovenskou kulturou, protože v jejím prostředí žili, a vydatně jim po</w:t>
      </w:r>
      <w:r>
        <w:rPr>
          <w:b/>
          <w:bCs/>
          <w:sz w:val="19"/>
          <w:szCs w:val="19"/>
        </w:rPr>
        <w:softHyphen/>
        <w:t>máhali i čtenáři ze zemí českých, podvědomě touž</w:t>
      </w:r>
      <w:r>
        <w:rPr>
          <w:b/>
          <w:bCs/>
          <w:sz w:val="19"/>
          <w:szCs w:val="19"/>
        </w:rPr>
        <w:t>ící zbavit! se svých romantických představ, a hledající k Slovensku poměr mužný a chlapský.</w:t>
      </w:r>
    </w:p>
    <w:p w:rsidR="00500724" w:rsidRDefault="00F30FB8">
      <w:pPr>
        <w:pStyle w:val="Zkladntext100"/>
        <w:shd w:val="clear" w:color="auto" w:fill="auto"/>
        <w:spacing w:line="204" w:lineRule="auto"/>
        <w:ind w:firstLine="300"/>
        <w:rPr>
          <w:sz w:val="19"/>
          <w:szCs w:val="19"/>
        </w:rPr>
      </w:pPr>
      <w:r>
        <w:rPr>
          <w:b/>
          <w:bCs/>
          <w:sz w:val="19"/>
          <w:szCs w:val="19"/>
        </w:rPr>
        <w:t>Tento kádr čtenářů dnes slovenská literatura z větší čá</w:t>
      </w:r>
      <w:r>
        <w:rPr>
          <w:b/>
          <w:bCs/>
          <w:sz w:val="19"/>
          <w:szCs w:val="19"/>
        </w:rPr>
        <w:softHyphen/>
        <w:t>sti ztratila. Je jen důsledkem toho, co bylo, že český člověk se vrací zase k české knize jako ke zdroji pos</w:t>
      </w:r>
      <w:r>
        <w:rPr>
          <w:b/>
          <w:bCs/>
          <w:sz w:val="19"/>
          <w:szCs w:val="19"/>
        </w:rPr>
        <w:t>ily duše a ví</w:t>
      </w:r>
      <w:r>
        <w:rPr>
          <w:b/>
          <w:bCs/>
          <w:sz w:val="19"/>
          <w:szCs w:val="19"/>
        </w:rPr>
        <w:softHyphen/>
        <w:t>ry. Zájem o slovenskou knihu, tak dlouho a obětavě z české strany propagovaný, na dlouhou dobu opadne. Slovenští autoři, zvyklí na odezvu v tisku českém i slovenském, bu</w:t>
      </w:r>
      <w:r>
        <w:rPr>
          <w:b/>
          <w:bCs/>
          <w:sz w:val="19"/>
          <w:szCs w:val="19"/>
        </w:rPr>
        <w:softHyphen/>
        <w:t>dou se musit spokojiti s odezvou ve čtyřech denících a páru měsíčníků na</w:t>
      </w:r>
      <w:r>
        <w:rPr>
          <w:b/>
          <w:bCs/>
          <w:sz w:val="19"/>
          <w:szCs w:val="19"/>
        </w:rPr>
        <w:t xml:space="preserve"> Slovensku vycházejících. Česká čtenářská obec, zahořklá vzpomínkami, je vypojena ze zájmu o slo</w:t>
      </w:r>
      <w:r>
        <w:rPr>
          <w:b/>
          <w:bCs/>
          <w:sz w:val="19"/>
          <w:szCs w:val="19"/>
        </w:rPr>
        <w:softHyphen/>
        <w:t>venskou knihu, respektive o knihu slovenský psanou. Bu</w:t>
      </w:r>
      <w:r>
        <w:rPr>
          <w:b/>
          <w:bCs/>
          <w:sz w:val="19"/>
          <w:szCs w:val="19"/>
        </w:rPr>
        <w:softHyphen/>
        <w:t xml:space="preserve">dou se muset — a to v oboustranném zájmu — hledat nové cesty a nové způsoby, a budou to jmenovitě muset </w:t>
      </w:r>
      <w:r>
        <w:rPr>
          <w:b/>
          <w:bCs/>
          <w:sz w:val="19"/>
          <w:szCs w:val="19"/>
        </w:rPr>
        <w:t>být jiné formy, jimiž zas bude český čtenář k slovenské knize při</w:t>
      </w:r>
      <w:r>
        <w:rPr>
          <w:b/>
          <w:bCs/>
          <w:sz w:val="19"/>
          <w:szCs w:val="19"/>
        </w:rPr>
        <w:softHyphen/>
        <w:t>váben. Přáli bychom si, aby další události toto porušené dávné kulturní společenství nerozšiřovaly, ale stmelovaly. A viděli bychom rádi, zejména na prostředí českém, aby do</w:t>
      </w:r>
      <w:r>
        <w:rPr>
          <w:b/>
          <w:bCs/>
          <w:sz w:val="19"/>
          <w:szCs w:val="19"/>
        </w:rPr>
        <w:softHyphen/>
        <w:t>vedlo osobní hoř</w:t>
      </w:r>
      <w:r>
        <w:rPr>
          <w:b/>
          <w:bCs/>
          <w:sz w:val="19"/>
          <w:szCs w:val="19"/>
        </w:rPr>
        <w:t>kosti překonávat!. Je mnoho ještě sloven</w:t>
      </w:r>
      <w:r>
        <w:rPr>
          <w:b/>
          <w:bCs/>
          <w:sz w:val="19"/>
          <w:szCs w:val="19"/>
        </w:rPr>
        <w:softHyphen/>
        <w:t>ských knih v českých nakladatelstvích, a z nich mnohá dnes přivede k pochopení toho, co se stalo. Český čtenář je tvor zvídavý. Použije této příležitosti, aby se poučil?</w:t>
      </w:r>
    </w:p>
    <w:p w:rsidR="00500724" w:rsidRDefault="00F30FB8">
      <w:pPr>
        <w:pStyle w:val="Zkladntext30"/>
        <w:shd w:val="clear" w:color="auto" w:fill="auto"/>
        <w:spacing w:after="180" w:line="192" w:lineRule="auto"/>
        <w:ind w:firstLine="0"/>
        <w:jc w:val="right"/>
        <w:rPr>
          <w:sz w:val="20"/>
          <w:szCs w:val="20"/>
        </w:rPr>
      </w:pPr>
      <w:r>
        <w:rPr>
          <w:i/>
          <w:iCs/>
          <w:sz w:val="20"/>
          <w:szCs w:val="20"/>
        </w:rPr>
        <w:t>Josef Dvořák</w:t>
      </w:r>
    </w:p>
    <w:p w:rsidR="00500724" w:rsidRDefault="00F30FB8">
      <w:pPr>
        <w:pStyle w:val="Nadpis120"/>
        <w:shd w:val="clear" w:color="auto" w:fill="auto"/>
        <w:ind w:left="0"/>
        <w:jc w:val="center"/>
      </w:pPr>
      <w:bookmarkStart w:id="500" w:name="bookmark499"/>
      <w:r>
        <w:t>Pěkný pokrok ve spotřebním družs</w:t>
      </w:r>
      <w:r>
        <w:t>tevnictví</w:t>
      </w:r>
      <w:bookmarkEnd w:id="500"/>
    </w:p>
    <w:p w:rsidR="00500724" w:rsidRDefault="00F30FB8">
      <w:pPr>
        <w:pStyle w:val="Zkladntext100"/>
        <w:shd w:val="clear" w:color="auto" w:fill="auto"/>
        <w:spacing w:line="216" w:lineRule="auto"/>
        <w:ind w:firstLine="240"/>
        <w:rPr>
          <w:sz w:val="19"/>
          <w:szCs w:val="19"/>
        </w:rPr>
      </w:pPr>
      <w:r>
        <w:rPr>
          <w:b/>
          <w:bCs/>
          <w:sz w:val="19"/>
          <w:szCs w:val="19"/>
        </w:rPr>
        <w:t>Před několika týdny jsme přišli na tomto místě s pod</w:t>
      </w:r>
      <w:r>
        <w:rPr>
          <w:b/>
          <w:bCs/>
          <w:sz w:val="19"/>
          <w:szCs w:val="19"/>
        </w:rPr>
        <w:softHyphen/>
        <w:t>nětem, aby při chystaném slučování družstev byly postup</w:t>
      </w:r>
      <w:r>
        <w:rPr>
          <w:b/>
          <w:bCs/>
          <w:sz w:val="19"/>
          <w:szCs w:val="19"/>
        </w:rPr>
        <w:softHyphen/>
        <w:t>ně zrušeny filiálky různých splývajících spotřebních druž</w:t>
      </w:r>
      <w:r>
        <w:rPr>
          <w:b/>
          <w:bCs/>
          <w:sz w:val="19"/>
          <w:szCs w:val="19"/>
        </w:rPr>
        <w:softHyphen/>
        <w:t>stev, nacházející se v témže menším městě, anebo ve větších městech v ulicích b</w:t>
      </w:r>
      <w:r>
        <w:rPr>
          <w:b/>
          <w:bCs/>
          <w:sz w:val="19"/>
          <w:szCs w:val="19"/>
        </w:rPr>
        <w:t>lízko sebe. Takto uvolněné pro</w:t>
      </w:r>
      <w:r>
        <w:rPr>
          <w:b/>
          <w:bCs/>
          <w:sz w:val="19"/>
          <w:szCs w:val="19"/>
        </w:rPr>
        <w:softHyphen/>
        <w:t>dejny by byly mohly prospět obchodníkům a živnostní</w:t>
      </w:r>
      <w:r>
        <w:rPr>
          <w:b/>
          <w:bCs/>
          <w:sz w:val="19"/>
          <w:szCs w:val="19"/>
        </w:rPr>
        <w:softHyphen/>
        <w:t>kům, kteři se přestěhovali ze Slovenska, Podkarpatské Bu</w:t>
      </w:r>
      <w:r>
        <w:rPr>
          <w:b/>
          <w:bCs/>
          <w:sz w:val="19"/>
          <w:szCs w:val="19"/>
        </w:rPr>
        <w:softHyphen/>
        <w:t xml:space="preserve">ši anebo ze sudetských zemí do Čech a na Moravu, jako vhodný základ pro novou existenci. Není pochybnosti o tom, že </w:t>
      </w:r>
      <w:r>
        <w:rPr>
          <w:b/>
          <w:bCs/>
          <w:sz w:val="19"/>
          <w:szCs w:val="19"/>
        </w:rPr>
        <w:t>je zapotřebí, aby vznikaly samostatné malé podni</w:t>
      </w:r>
      <w:r>
        <w:rPr>
          <w:b/>
          <w:bCs/>
          <w:sz w:val="19"/>
          <w:szCs w:val="19"/>
        </w:rPr>
        <w:softHyphen/>
        <w:t>ky a aby se hledala možnost obživy nejenom pro zaměst</w:t>
      </w:r>
      <w:r>
        <w:rPr>
          <w:b/>
          <w:bCs/>
          <w:sz w:val="19"/>
          <w:szCs w:val="19"/>
        </w:rPr>
        <w:softHyphen/>
        <w:t>nance, ale také pro ty, kteři se. chtějí postavit na vlastní nohy.</w:t>
      </w:r>
    </w:p>
    <w:p w:rsidR="00500724" w:rsidRDefault="00F30FB8">
      <w:pPr>
        <w:pStyle w:val="Zkladntext100"/>
        <w:shd w:val="clear" w:color="auto" w:fill="auto"/>
        <w:spacing w:line="226" w:lineRule="auto"/>
        <w:ind w:firstLine="220"/>
        <w:rPr>
          <w:sz w:val="19"/>
          <w:szCs w:val="19"/>
        </w:rPr>
      </w:pPr>
      <w:r>
        <w:rPr>
          <w:b/>
          <w:bCs/>
          <w:sz w:val="19"/>
          <w:szCs w:val="19"/>
        </w:rPr>
        <w:t>Tato myšlenka se již uskutečňuje, protože se na š t ě s t i vynořila na několika míste</w:t>
      </w:r>
      <w:r>
        <w:rPr>
          <w:b/>
          <w:bCs/>
          <w:sz w:val="19"/>
          <w:szCs w:val="19"/>
        </w:rPr>
        <w:t>ch. (Pravíme n a štěstf, nebof dosud trvá jakýsi nepochopitelný byrokra</w:t>
      </w:r>
      <w:r>
        <w:rPr>
          <w:b/>
          <w:bCs/>
          <w:sz w:val="19"/>
          <w:szCs w:val="19"/>
        </w:rPr>
        <w:softHyphen/>
        <w:t>tický odpor proti nápadům, s nimiž přijde tisk. To je však kapitola sama pro sebe, kterou se hodláme zabývat při jiné příležitosti.) Uvolní se asi 2S0 až 300 družstevních prode</w:t>
      </w:r>
      <w:r>
        <w:rPr>
          <w:b/>
          <w:bCs/>
          <w:sz w:val="19"/>
          <w:szCs w:val="19"/>
        </w:rPr>
        <w:softHyphen/>
        <w:t>jen, je</w:t>
      </w:r>
      <w:r>
        <w:rPr>
          <w:b/>
          <w:bCs/>
          <w:sz w:val="19"/>
          <w:szCs w:val="19"/>
        </w:rPr>
        <w:t>ž budou postupovány obchodníkům a živnostníkům, aby si v nich otevřeli vlastní malé podniky. K tomuto uvol</w:t>
      </w:r>
      <w:r>
        <w:rPr>
          <w:b/>
          <w:bCs/>
          <w:sz w:val="19"/>
          <w:szCs w:val="19"/>
        </w:rPr>
        <w:softHyphen/>
        <w:t>nění dojde se proto, že do Velkonákupní společ</w:t>
      </w:r>
      <w:r>
        <w:rPr>
          <w:b/>
          <w:bCs/>
          <w:sz w:val="19"/>
          <w:szCs w:val="19"/>
        </w:rPr>
        <w:softHyphen/>
        <w:t>nosti družstev vstoupí ostatní velkonákupny spotřeb</w:t>
      </w:r>
      <w:r>
        <w:rPr>
          <w:b/>
          <w:bCs/>
          <w:sz w:val="19"/>
          <w:szCs w:val="19"/>
        </w:rPr>
        <w:softHyphen/>
        <w:t>ních družstev na území Čech a Moravy, takže vznikn</w:t>
      </w:r>
      <w:r>
        <w:rPr>
          <w:b/>
          <w:bCs/>
          <w:sz w:val="19"/>
          <w:szCs w:val="19"/>
        </w:rPr>
        <w:t>e jedi</w:t>
      </w:r>
      <w:r>
        <w:rPr>
          <w:b/>
          <w:bCs/>
          <w:sz w:val="19"/>
          <w:szCs w:val="19"/>
        </w:rPr>
        <w:softHyphen/>
        <w:t>ná velkonákupna spotřebních družstev. To je nesporně velmi pěkný pokrok ve spotřebním družstevnictví, který mu prospěje po všech stránkách a bude uvítán nejenom drnžstevniky-spotřebiteli, ale všemi přáteli skutečně upřím</w:t>
      </w:r>
      <w:r>
        <w:rPr>
          <w:b/>
          <w:bCs/>
          <w:sz w:val="19"/>
          <w:szCs w:val="19"/>
        </w:rPr>
        <w:softHyphen/>
        <w:t xml:space="preserve">ně myšlené idey spotřebního </w:t>
      </w:r>
      <w:r>
        <w:rPr>
          <w:b/>
          <w:bCs/>
          <w:sz w:val="19"/>
          <w:szCs w:val="19"/>
        </w:rPr>
        <w:t>družstevnictví.</w:t>
      </w:r>
    </w:p>
    <w:p w:rsidR="00500724" w:rsidRDefault="00F30FB8">
      <w:pPr>
        <w:pStyle w:val="Zkladntext100"/>
        <w:shd w:val="clear" w:color="auto" w:fill="auto"/>
        <w:spacing w:line="226" w:lineRule="auto"/>
        <w:ind w:firstLine="220"/>
        <w:rPr>
          <w:sz w:val="19"/>
          <w:szCs w:val="19"/>
        </w:rPr>
      </w:pPr>
      <w:r>
        <w:rPr>
          <w:b/>
          <w:bCs/>
          <w:sz w:val="19"/>
          <w:szCs w:val="19"/>
        </w:rPr>
        <w:t>Velkonákupní společnost družstev v Praze (VDP) byla ze všech velkonákupen spotřebních družstev (musíme je odlišovat! od velkonákupen podnikatelských a obchodnic</w:t>
      </w:r>
      <w:r>
        <w:rPr>
          <w:b/>
          <w:bCs/>
          <w:sz w:val="19"/>
          <w:szCs w:val="19"/>
        </w:rPr>
        <w:softHyphen/>
        <w:t>kých, případně zemědělských) největší a byla jediná s mi- liardovým ročním obra</w:t>
      </w:r>
      <w:r>
        <w:rPr>
          <w:b/>
          <w:bCs/>
          <w:sz w:val="19"/>
          <w:szCs w:val="19"/>
        </w:rPr>
        <w:t>tem. Za let konjunktury 1929/1930 přestoupila tržba VDP 600 milionů K a ještě loni činila přes 560 milionů K, což znamená, že se udržela na úrovni z r. 1937. Jistě to nebylo snadné v- roce tak pohnutém a svědčí to o komerčně velmi schopném a zdravém vedení</w:t>
      </w:r>
      <w:r>
        <w:rPr>
          <w:b/>
          <w:bCs/>
          <w:sz w:val="19"/>
          <w:szCs w:val="19"/>
        </w:rPr>
        <w:t xml:space="preserve"> tohoto do značné míry soběstačného podniku. VDP má řadu továren, na mýdlo, margarin, francovku a cikorku, má vlastní pražímy, mlýny na obilí a koření, továrny na konservy, marmeládu, prádlo, uzeniny a pekárny. Tyto to</w:t>
      </w:r>
      <w:r>
        <w:rPr>
          <w:b/>
          <w:bCs/>
          <w:sz w:val="19"/>
          <w:szCs w:val="19"/>
        </w:rPr>
        <w:softHyphen/>
        <w:t>várny VDP celkem kryjí třetinu její p</w:t>
      </w:r>
      <w:r>
        <w:rPr>
          <w:b/>
          <w:bCs/>
          <w:sz w:val="19"/>
          <w:szCs w:val="19"/>
        </w:rPr>
        <w:t>otřeby zboží.</w:t>
      </w:r>
    </w:p>
    <w:p w:rsidR="00500724" w:rsidRDefault="00F30FB8">
      <w:pPr>
        <w:pStyle w:val="Zkladntext100"/>
        <w:shd w:val="clear" w:color="auto" w:fill="auto"/>
        <w:spacing w:line="226" w:lineRule="auto"/>
        <w:ind w:firstLine="220"/>
        <w:rPr>
          <w:sz w:val="19"/>
          <w:szCs w:val="19"/>
        </w:rPr>
      </w:pPr>
      <w:r>
        <w:rPr>
          <w:b/>
          <w:bCs/>
          <w:sz w:val="19"/>
          <w:szCs w:val="19"/>
        </w:rPr>
        <w:t xml:space="preserve">Ve veřejnosti je to celkem velmi známo, protože vedení Velkonákupní společnosti spotřebních družstev dovedlo si vždy počínat s jistým taktem a skromností, osvědčujíc při tom mimořádné obchodní schopnosti. Ty jsou patrny také v tom, že celkem </w:t>
      </w:r>
      <w:r>
        <w:rPr>
          <w:b/>
          <w:bCs/>
          <w:sz w:val="19"/>
          <w:szCs w:val="19"/>
        </w:rPr>
        <w:t>VDP neinvestovala nic do sudetských území. Také investice VDP na Slovensku byly velmi opa</w:t>
      </w:r>
      <w:r>
        <w:rPr>
          <w:b/>
          <w:bCs/>
          <w:sz w:val="19"/>
          <w:szCs w:val="19"/>
        </w:rPr>
        <w:softHyphen/>
        <w:t>trné a když se k nim VDP odhodlala, podnikala je v ryzo slovenském kraji, takže okrájením Slovenska nebyla po</w:t>
      </w:r>
      <w:r>
        <w:rPr>
          <w:b/>
          <w:bCs/>
          <w:sz w:val="19"/>
          <w:szCs w:val="19"/>
        </w:rPr>
        <w:softHyphen/>
        <w:t>stižena. Dovedla se ubránit i velkému tlaku, konanému na</w:t>
      </w:r>
      <w:r>
        <w:rPr>
          <w:b/>
          <w:bCs/>
          <w:sz w:val="19"/>
          <w:szCs w:val="19"/>
        </w:rPr>
        <w:t xml:space="preserve"> ni za dob republiky z úředních míst, aby převzala železni</w:t>
      </w:r>
      <w:r>
        <w:rPr>
          <w:b/>
          <w:bCs/>
          <w:sz w:val="19"/>
          <w:szCs w:val="19"/>
        </w:rPr>
        <w:softHyphen/>
        <w:t>čářské družstvo v Košicích. Nyní ovšem, po úplném osa</w:t>
      </w:r>
      <w:r>
        <w:rPr>
          <w:b/>
          <w:bCs/>
          <w:sz w:val="19"/>
          <w:szCs w:val="19"/>
        </w:rPr>
        <w:softHyphen/>
        <w:t xml:space="preserve">mostatnění Slovenska, ztrácí sirkárny ve Velké Byíěi a skladiště v Žilině. V sudetských oblastech ztratila jen košfatárnu — kterou ostatně již </w:t>
      </w:r>
      <w:r>
        <w:rPr>
          <w:b/>
          <w:bCs/>
          <w:sz w:val="19"/>
          <w:szCs w:val="19"/>
        </w:rPr>
        <w:t>přeložila do vnitrozemí — v Moravském Šumperku, mísírnu lihohenzinové směsi v Břeclavi a skladiště v Děčíně. Ale v těchto případech byla ovšem všechna chytrost marná, věci takového druhu ne</w:t>
      </w:r>
      <w:r>
        <w:rPr>
          <w:b/>
          <w:bCs/>
          <w:sz w:val="19"/>
          <w:szCs w:val="19"/>
        </w:rPr>
        <w:softHyphen/>
        <w:t>dovedl nikdo předvídat. Továrna na margarin, která patří Velkonáku</w:t>
      </w:r>
      <w:r>
        <w:rPr>
          <w:b/>
          <w:bCs/>
          <w:sz w:val="19"/>
          <w:szCs w:val="19"/>
        </w:rPr>
        <w:t>pně družstev, je největší u nás vůbec a je také nejmodemější. Jeji zařízení je skutečně podivuhodně do</w:t>
      </w:r>
      <w:r>
        <w:rPr>
          <w:b/>
          <w:bCs/>
          <w:sz w:val="19"/>
          <w:szCs w:val="19"/>
        </w:rPr>
        <w:softHyphen/>
        <w:t>konalé, září čistotou a je velmi účelné. Bylo pořízeno ná</w:t>
      </w:r>
      <w:r>
        <w:rPr>
          <w:b/>
          <w:bCs/>
          <w:sz w:val="19"/>
          <w:szCs w:val="19"/>
        </w:rPr>
        <w:softHyphen/>
        <w:t>kladem asi 40 milionů korun; továrna je v Nelahozevsi. Má roční výrobu asi 500 vagonů margarinu</w:t>
      </w:r>
      <w:r>
        <w:rPr>
          <w:b/>
          <w:bCs/>
          <w:sz w:val="19"/>
          <w:szCs w:val="19"/>
        </w:rPr>
        <w:t>, avšak s dvoj</w:t>
      </w:r>
      <w:r>
        <w:rPr>
          <w:b/>
          <w:bCs/>
          <w:sz w:val="19"/>
          <w:szCs w:val="19"/>
        </w:rPr>
        <w:softHyphen/>
        <w:t>násobnou výrobní kapacitou a vyrábí asi 250 vagonů mýdla ročně. Dokonalé zásobení margarinem a mýdlem těch sta</w:t>
      </w:r>
      <w:r>
        <w:rPr>
          <w:b/>
          <w:bCs/>
          <w:sz w:val="19"/>
          <w:szCs w:val="19"/>
        </w:rPr>
        <w:softHyphen/>
        <w:t>tisíců nejchudších spotřebitelů, kteří kupují v družstvech, je záslužným činem této organisace a má také velký vý</w:t>
      </w:r>
      <w:r>
        <w:rPr>
          <w:b/>
          <w:bCs/>
          <w:sz w:val="19"/>
          <w:szCs w:val="19"/>
        </w:rPr>
        <w:softHyphen/>
        <w:t>znam sociáině-ho</w:t>
      </w:r>
      <w:r>
        <w:rPr>
          <w:b/>
          <w:bCs/>
          <w:sz w:val="19"/>
          <w:szCs w:val="19"/>
        </w:rPr>
        <w:t>spodářský.</w:t>
      </w:r>
    </w:p>
    <w:p w:rsidR="00500724" w:rsidRDefault="00F30FB8">
      <w:pPr>
        <w:pStyle w:val="Zkladntext100"/>
        <w:shd w:val="clear" w:color="auto" w:fill="auto"/>
        <w:spacing w:line="226" w:lineRule="auto"/>
        <w:ind w:firstLine="220"/>
        <w:rPr>
          <w:sz w:val="19"/>
          <w:szCs w:val="19"/>
        </w:rPr>
      </w:pPr>
      <w:r>
        <w:rPr>
          <w:noProof/>
        </w:rPr>
        <mc:AlternateContent>
          <mc:Choice Requires="wps">
            <w:drawing>
              <wp:anchor distT="0" distB="254000" distL="114300" distR="114300" simplePos="0" relativeHeight="125829880" behindDoc="0" locked="0" layoutInCell="1" allowOverlap="1">
                <wp:simplePos x="0" y="0"/>
                <wp:positionH relativeFrom="page">
                  <wp:posOffset>377190</wp:posOffset>
                </wp:positionH>
                <wp:positionV relativeFrom="margin">
                  <wp:posOffset>9046845</wp:posOffset>
                </wp:positionV>
                <wp:extent cx="240665" cy="213360"/>
                <wp:effectExtent l="0" t="0" r="0" b="0"/>
                <wp:wrapTopAndBottom/>
                <wp:docPr id="503" name="Shape 503"/>
                <wp:cNvGraphicFramePr/>
                <a:graphic xmlns:a="http://schemas.openxmlformats.org/drawingml/2006/main">
                  <a:graphicData uri="http://schemas.microsoft.com/office/word/2010/wordprocessingShape">
                    <wps:wsp>
                      <wps:cNvSpPr txBox="1"/>
                      <wps:spPr>
                        <a:xfrm>
                          <a:off x="0" y="0"/>
                          <a:ext cx="240665"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Soo</w:t>
                            </w:r>
                          </w:p>
                        </w:txbxContent>
                      </wps:txbx>
                      <wps:bodyPr lIns="0" tIns="0" rIns="0" bIns="0">
                        <a:spAutoFit/>
                      </wps:bodyPr>
                    </wps:wsp>
                  </a:graphicData>
                </a:graphic>
              </wp:anchor>
            </w:drawing>
          </mc:Choice>
          <mc:Fallback>
            <w:pict>
              <v:shape id="_x0000_s1529" type="#_x0000_t202" style="position:absolute;margin-left:29.699999999999999pt;margin-top:712.35000000000002pt;width:18.949999999999999pt;height:16.800000000000001pt;z-index:-125828873;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Soo</w:t>
                      </w:r>
                    </w:p>
                  </w:txbxContent>
                </v:textbox>
                <w10:wrap type="topAndBottom" anchorx="page" anchory="margin"/>
              </v:shape>
            </w:pict>
          </mc:Fallback>
        </mc:AlternateContent>
      </w:r>
      <w:r>
        <w:rPr>
          <w:b/>
          <w:bCs/>
          <w:sz w:val="19"/>
          <w:szCs w:val="19"/>
        </w:rPr>
        <w:t>Nyní vplyne do této dobré a osvědčivší se organisace také pražské »Sdružení«, velkonákupna spotřebních družstev a velkonákupna Moravskoslezské jednoty. Tím se vytvoří jediná velkonákupna spotřebních družstev na našem ná</w:t>
      </w:r>
      <w:r>
        <w:rPr>
          <w:b/>
          <w:bCs/>
          <w:sz w:val="19"/>
          <w:szCs w:val="19"/>
        </w:rPr>
        <w:softHyphen/>
        <w:t xml:space="preserve">rodním území. </w:t>
      </w:r>
      <w:r>
        <w:rPr>
          <w:b/>
          <w:bCs/>
          <w:sz w:val="19"/>
          <w:szCs w:val="19"/>
        </w:rPr>
        <w:t>Čechy a Morava budou rozděleny asi na 120 krajů, v každém bude spotřební družstvo a tím se právě uvolní prodejny, o nichž jsme se vpředu zmínili. VDP tím</w:t>
      </w:r>
      <w:r>
        <w:rPr>
          <w:b/>
          <w:bCs/>
          <w:sz w:val="19"/>
          <w:szCs w:val="19"/>
        </w:rPr>
        <w:br w:type="page"/>
        <w:t xml:space="preserve">ovšem vlastně nevzroste, protože bude zase mít půl milionu členů, jako dosud, ale plně se tím nahradí </w:t>
      </w:r>
      <w:r>
        <w:rPr>
          <w:b/>
          <w:bCs/>
          <w:sz w:val="19"/>
          <w:szCs w:val="19"/>
        </w:rPr>
        <w:t>ztráty, jež utrpě</w:t>
      </w:r>
      <w:r>
        <w:rPr>
          <w:b/>
          <w:bCs/>
          <w:sz w:val="19"/>
          <w:szCs w:val="19"/>
        </w:rPr>
        <w:softHyphen/>
        <w:t>la změněnými státními hranicemi. Její organisace nebude tedy musit býti restringována, ani zvětšována, pokud ovšem toho nebude třeba s ohledem na zaměstnání nad- početného personálu z velkonákupen, které s VDP fušují.</w:t>
      </w:r>
    </w:p>
    <w:p w:rsidR="00500724" w:rsidRDefault="00F30FB8">
      <w:pPr>
        <w:pStyle w:val="Zkladntext100"/>
        <w:shd w:val="clear" w:color="auto" w:fill="auto"/>
        <w:spacing w:line="185" w:lineRule="auto"/>
        <w:ind w:firstLine="240"/>
        <w:rPr>
          <w:sz w:val="19"/>
          <w:szCs w:val="19"/>
        </w:rPr>
      </w:pPr>
      <w:r>
        <w:rPr>
          <w:b/>
          <w:bCs/>
          <w:sz w:val="19"/>
          <w:szCs w:val="19"/>
        </w:rPr>
        <w:t>Současně se reorgani</w:t>
      </w:r>
      <w:r>
        <w:rPr>
          <w:b/>
          <w:bCs/>
          <w:sz w:val="19"/>
          <w:szCs w:val="19"/>
        </w:rPr>
        <w:t>suje sít vlastních spotřebních druž</w:t>
      </w:r>
      <w:r>
        <w:rPr>
          <w:b/>
          <w:bCs/>
          <w:sz w:val="19"/>
          <w:szCs w:val="19"/>
        </w:rPr>
        <w:softHyphen/>
        <w:t>stev, která od Velkonákupny spotřebních družstev odebí</w:t>
      </w:r>
      <w:r>
        <w:rPr>
          <w:b/>
          <w:bCs/>
          <w:sz w:val="19"/>
          <w:szCs w:val="19"/>
        </w:rPr>
        <w:softHyphen/>
        <w:t>rají zboží. »Včela«, která patřila do komunistické sféry, bude vlastně likvidovati a její členstvo bude převedeno do spotřebního družstva »Kovnost«, jež ovšem bude t</w:t>
      </w:r>
      <w:r>
        <w:rPr>
          <w:b/>
          <w:bCs/>
          <w:sz w:val="19"/>
          <w:szCs w:val="19"/>
        </w:rPr>
        <w:t>aké reorganisováno. Tim se splňuje také dávný sen dělníků, aby se spotřební družstevnictví zbytečně netříštilo. »Kov- nost« byla vedena dobře a třebaže do jisté míry patřila do sféry bývalé české sociálnědemokratické strany, byla to organisace naprosto nes</w:t>
      </w:r>
      <w:r>
        <w:rPr>
          <w:b/>
          <w:bCs/>
          <w:sz w:val="19"/>
          <w:szCs w:val="19"/>
        </w:rPr>
        <w:t>tranná a poctivá, proti které ne</w:t>
      </w:r>
      <w:r>
        <w:rPr>
          <w:b/>
          <w:bCs/>
          <w:sz w:val="19"/>
          <w:szCs w:val="19"/>
        </w:rPr>
        <w:softHyphen/>
        <w:t>bylo nikde námitek. Jako nejsilnější a nejlépe fundovaná pražská organisace družstevníků-spotřebitelů byla ovšem povolána, aby tuto akci provedla. Současně do této orgar nísace bude přičleněno několik dalších organisaci spo</w:t>
      </w:r>
      <w:r>
        <w:rPr>
          <w:b/>
          <w:bCs/>
          <w:sz w:val="19"/>
          <w:szCs w:val="19"/>
        </w:rPr>
        <w:t>třeb</w:t>
      </w:r>
      <w:r>
        <w:rPr>
          <w:b/>
          <w:bCs/>
          <w:sz w:val="19"/>
          <w:szCs w:val="19"/>
        </w:rPr>
        <w:softHyphen/>
        <w:t>ních družstev a tím se uskuteční úplné sjednocení. Vzhle</w:t>
      </w:r>
      <w:r>
        <w:rPr>
          <w:b/>
          <w:bCs/>
          <w:sz w:val="19"/>
          <w:szCs w:val="19"/>
        </w:rPr>
        <w:softHyphen/>
        <w:t>dem k tomu, že pro tato spotřební družstva bude napříště jediná velkonákupna, nastává tu žádoucí zjednodušení, jak si ho přál také výbor Národního souručenství. Můžeme proto právem se věcí zabýv</w:t>
      </w:r>
      <w:r>
        <w:rPr>
          <w:b/>
          <w:bCs/>
          <w:sz w:val="19"/>
          <w:szCs w:val="19"/>
        </w:rPr>
        <w:t>at i s hlediska politického a sociálně-hospodářského a označit ji za pěkný úspěch českého družstevnictví.</w:t>
      </w:r>
    </w:p>
    <w:p w:rsidR="00500724" w:rsidRDefault="00F30FB8">
      <w:pPr>
        <w:pStyle w:val="Zkladntext100"/>
        <w:shd w:val="clear" w:color="auto" w:fill="auto"/>
        <w:spacing w:line="185" w:lineRule="auto"/>
        <w:ind w:firstLine="240"/>
        <w:rPr>
          <w:sz w:val="19"/>
          <w:szCs w:val="19"/>
        </w:rPr>
      </w:pPr>
      <w:r>
        <w:rPr>
          <w:b/>
          <w:bCs/>
          <w:sz w:val="19"/>
          <w:szCs w:val="19"/>
        </w:rPr>
        <w:t>V nedělnické veřejnosti se družstevnictví, speciálně spotřební, totiž zhusta posuzuje nespravedlivě a nespráv</w:t>
      </w:r>
      <w:r>
        <w:rPr>
          <w:b/>
          <w:bCs/>
          <w:sz w:val="19"/>
          <w:szCs w:val="19"/>
        </w:rPr>
        <w:softHyphen/>
        <w:t>ně. Nemluvíme nyní o družstvech, která z</w:t>
      </w:r>
      <w:r>
        <w:rPr>
          <w:b/>
          <w:bCs/>
          <w:sz w:val="19"/>
          <w:szCs w:val="19"/>
        </w:rPr>
        <w:t>aložili zemědělci, af pro nákup věcí, které potřebují, nebo pro prodej svých výrobků, či družstva stavitelů pro nákup stavebních hmot, nebo obchodníků (kupecká družstva a kupecké velkoná</w:t>
      </w:r>
      <w:r>
        <w:rPr>
          <w:b/>
          <w:bCs/>
          <w:sz w:val="19"/>
          <w:szCs w:val="19"/>
        </w:rPr>
        <w:softHyphen/>
        <w:t>kupny). Máme na mysli ony drobné společky, jež vyrostly z hrsti korun</w:t>
      </w:r>
      <w:r>
        <w:rPr>
          <w:b/>
          <w:bCs/>
          <w:sz w:val="19"/>
          <w:szCs w:val="19"/>
        </w:rPr>
        <w:t>ek, které přinesly do organisace dělníci a dělnice. Družstvo pro ně neznamenalo jen o několik desí</w:t>
      </w:r>
      <w:r>
        <w:rPr>
          <w:b/>
          <w:bCs/>
          <w:sz w:val="19"/>
          <w:szCs w:val="19"/>
        </w:rPr>
        <w:softHyphen/>
        <w:t xml:space="preserve">tek haléřů levnější zboží, ale mělo také hlavně velký význam mravní Dělníci se učili hospodařit a počali se dívat docela jinak na podnikání. Rozumnost české </w:t>
      </w:r>
      <w:r>
        <w:rPr>
          <w:b/>
          <w:bCs/>
          <w:sz w:val="19"/>
          <w:szCs w:val="19"/>
        </w:rPr>
        <w:t>sociálně-demokratické strany ve státní správě souvisela právě velmi mnoho se zkušenostmi, které nabyli její pře</w:t>
      </w:r>
      <w:r>
        <w:rPr>
          <w:b/>
          <w:bCs/>
          <w:sz w:val="19"/>
          <w:szCs w:val="19"/>
        </w:rPr>
        <w:softHyphen/>
        <w:t>dáci jako funkcionáři spotřebních družstev.</w:t>
      </w:r>
    </w:p>
    <w:p w:rsidR="00500724" w:rsidRDefault="00F30FB8">
      <w:pPr>
        <w:pStyle w:val="Zkladntext100"/>
        <w:shd w:val="clear" w:color="auto" w:fill="auto"/>
        <w:tabs>
          <w:tab w:val="left" w:pos="4781"/>
        </w:tabs>
        <w:spacing w:after="200" w:line="185" w:lineRule="auto"/>
        <w:ind w:firstLine="240"/>
        <w:rPr>
          <w:sz w:val="20"/>
          <w:szCs w:val="20"/>
        </w:rPr>
      </w:pPr>
      <w:r>
        <w:rPr>
          <w:b/>
          <w:bCs/>
          <w:sz w:val="19"/>
          <w:szCs w:val="19"/>
        </w:rPr>
        <w:t>Při tom ruku v ruce s tímto pokrokem šly také morální úspěchy družstevnictví. Spotřební družstva odn</w:t>
      </w:r>
      <w:r>
        <w:rPr>
          <w:b/>
          <w:bCs/>
          <w:sz w:val="19"/>
          <w:szCs w:val="19"/>
        </w:rPr>
        <w:t xml:space="preserve">aučovala lidi vysedávat v hospodách, pít kořalku a utrácet sobotní mzdu, nutila je k tvoření úspor a umožňovala je systémem vkladů, kupováním »na knížky« a rozdílením procent z výročního zisku. Je velmi nespravedlivé, neoceňuje-li se náležitě podíl, který </w:t>
      </w:r>
      <w:r>
        <w:rPr>
          <w:b/>
          <w:bCs/>
          <w:sz w:val="19"/>
          <w:szCs w:val="19"/>
        </w:rPr>
        <w:t>na vzestupu národní mo</w:t>
      </w:r>
      <w:r>
        <w:rPr>
          <w:b/>
          <w:bCs/>
          <w:sz w:val="19"/>
          <w:szCs w:val="19"/>
        </w:rPr>
        <w:softHyphen/>
        <w:t>rálky také po stránce sociální hygieny měla spotřební družstva.</w:t>
      </w:r>
      <w:r>
        <w:rPr>
          <w:b/>
          <w:bCs/>
          <w:sz w:val="19"/>
          <w:szCs w:val="19"/>
        </w:rPr>
        <w:tab/>
      </w:r>
      <w:r>
        <w:rPr>
          <w:i/>
          <w:iCs/>
          <w:sz w:val="20"/>
          <w:szCs w:val="20"/>
        </w:rPr>
        <w:t>Cia</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politika</w:t>
      </w:r>
    </w:p>
    <w:p w:rsidR="00500724" w:rsidRDefault="00F30FB8">
      <w:pPr>
        <w:pStyle w:val="Zkladntext30"/>
        <w:shd w:val="clear" w:color="auto" w:fill="auto"/>
        <w:spacing w:after="0" w:line="182" w:lineRule="auto"/>
        <w:ind w:firstLine="0"/>
        <w:rPr>
          <w:sz w:val="24"/>
          <w:szCs w:val="24"/>
        </w:rPr>
      </w:pPr>
      <w:r>
        <w:rPr>
          <w:sz w:val="24"/>
          <w:szCs w:val="24"/>
        </w:rPr>
        <w:t>z. s..-</w:t>
      </w:r>
    </w:p>
    <w:p w:rsidR="00500724" w:rsidRDefault="00F30FB8">
      <w:pPr>
        <w:pStyle w:val="Nadpis100"/>
        <w:shd w:val="clear" w:color="auto" w:fill="auto"/>
        <w:spacing w:after="100"/>
      </w:pPr>
      <w:bookmarkStart w:id="501" w:name="bookmark500"/>
      <w:r>
        <w:t>Od Rooseveltova poselství</w:t>
      </w:r>
      <w:r>
        <w:br/>
        <w:t>k milánské smlouvě</w:t>
      </w:r>
      <w:bookmarkEnd w:id="501"/>
    </w:p>
    <w:p w:rsidR="00500724" w:rsidRDefault="00F30FB8">
      <w:pPr>
        <w:pStyle w:val="Zkladntext30"/>
        <w:shd w:val="clear" w:color="auto" w:fill="auto"/>
        <w:spacing w:after="80" w:line="199" w:lineRule="auto"/>
        <w:ind w:firstLine="0"/>
        <w:jc w:val="center"/>
        <w:rPr>
          <w:sz w:val="28"/>
          <w:szCs w:val="28"/>
        </w:rPr>
      </w:pPr>
      <w:r>
        <w:t xml:space="preserve">(Co se událo od 15. března, </w:t>
      </w:r>
      <w:r>
        <w:rPr>
          <w:sz w:val="28"/>
          <w:szCs w:val="28"/>
        </w:rPr>
        <w:t>n.)</w:t>
      </w:r>
    </w:p>
    <w:p w:rsidR="00500724" w:rsidRDefault="00F30FB8">
      <w:pPr>
        <w:pStyle w:val="Zkladntext30"/>
        <w:shd w:val="clear" w:color="auto" w:fill="auto"/>
        <w:spacing w:after="80" w:line="199" w:lineRule="auto"/>
        <w:ind w:firstLine="240"/>
      </w:pPr>
      <w:r>
        <w:t xml:space="preserve">Jedna </w:t>
      </w:r>
      <w:r>
        <w:rPr>
          <w:b/>
          <w:bCs/>
        </w:rPr>
        <w:t xml:space="preserve">z </w:t>
      </w:r>
      <w:r>
        <w:t xml:space="preserve">mnohých myšlenkových vln, které se vzedmuly koncem světové </w:t>
      </w:r>
      <w:r>
        <w:t>války a po ní, vynesla na povrch také požadavek, aby byla odstraněna tajná diplomacie, tato domněle nezbytná součást starého státnického umění. Podobně jako ostatní, neuskuteč</w:t>
      </w:r>
      <w:r>
        <w:softHyphen/>
        <w:t>nil se ani tento požadavek docela, ale přece je jisto, že po válce se stala zahr</w:t>
      </w:r>
      <w:r>
        <w:t>aniční politika jednotlivých států daleko více majetkem širokých vrstev než před válkou a že se tedy v tomto ohledu zdemokrati- sovala. Státníci dnes častěji než kdysi považují za nezbytné vykládat a odůvodňovat svou zahraniční po</w:t>
      </w:r>
      <w:r>
        <w:softHyphen/>
        <w:t>litiku před lidovým forem</w:t>
      </w:r>
      <w:r>
        <w:t>. Tyto projevy ovšem zpra</w:t>
      </w:r>
      <w:r>
        <w:softHyphen/>
        <w:t>vidla neprozrazují podrobnosti diplomatické techniky, ale jsou obyčejně mezinárodně politickým programem příslušného státu a proto i hlavním vodítkem pro posuzování mezinárodní situace. Seskupujeme tedy hlavní pásmo událostí kolem</w:t>
      </w:r>
    </w:p>
    <w:p w:rsidR="00500724" w:rsidRDefault="00F30FB8">
      <w:pPr>
        <w:pStyle w:val="Zkladntext30"/>
        <w:shd w:val="clear" w:color="auto" w:fill="auto"/>
        <w:spacing w:after="0" w:line="199" w:lineRule="auto"/>
        <w:ind w:firstLine="0"/>
        <w:jc w:val="center"/>
      </w:pPr>
      <w:r>
        <w:t>dialogu přes oceán,</w:t>
      </w:r>
    </w:p>
    <w:p w:rsidR="00500724" w:rsidRDefault="00F30FB8">
      <w:pPr>
        <w:pStyle w:val="Zkladntext30"/>
        <w:shd w:val="clear" w:color="auto" w:fill="auto"/>
        <w:spacing w:after="0" w:line="199" w:lineRule="auto"/>
        <w:ind w:firstLine="0"/>
      </w:pPr>
      <w:r>
        <w:t>který se rozvinul v druhé polovině dubna mezi americ</w:t>
      </w:r>
      <w:r>
        <w:softHyphen/>
        <w:t xml:space="preserve">kým presidentem a státníky evropskými. Roose- veltůvtelegram můžeme považovati za počátek druhého údobí ve vývoji mezinárodní situace po 15. březnu; minul se sice cílů, které v něm </w:t>
      </w:r>
      <w:r>
        <w:t>byly vy</w:t>
      </w:r>
      <w:r>
        <w:softHyphen/>
        <w:t>značeny a byl proto po této stránce pro svého pů</w:t>
      </w:r>
      <w:r>
        <w:softHyphen/>
        <w:t>vodce politickým neúspěchem, ale jinak byl pro Evro</w:t>
      </w:r>
      <w:r>
        <w:softHyphen/>
        <w:t>pu podnětem k několika zásadním projevům dalším, které vymezily stanoviska mocností a tím i osvětlily nynější mezinárodní situaci.</w:t>
      </w:r>
    </w:p>
    <w:p w:rsidR="00500724" w:rsidRDefault="00F30FB8">
      <w:pPr>
        <w:pStyle w:val="Zkladntext30"/>
        <w:shd w:val="clear" w:color="auto" w:fill="auto"/>
        <w:spacing w:after="0" w:line="199" w:lineRule="auto"/>
        <w:ind w:firstLine="240"/>
      </w:pPr>
      <w:r>
        <w:t>President Roosev</w:t>
      </w:r>
      <w:r>
        <w:t>elt poslal své poselství říšskému kancléři Hitlerovi a ministerskému předsedovi Musso</w:t>
      </w:r>
      <w:r>
        <w:softHyphen/>
        <w:t>linimu telegraficky dne 15. dubna. Navrhoval, aby se jmenovaní dva státníci zaručili za bezpečnost jednatřiceti zemí, které vyjmenoval, a nabízel se, že s těmito zeměmi z</w:t>
      </w:r>
      <w:r>
        <w:t>prostředkuje opačné záruky také pro Německo a Itálii. Až by se toto stalo, měla prý se sejít mezinárodní konference, která by za účasti Spojených Států projednala otázky odzbrojení, mezi</w:t>
      </w:r>
      <w:r>
        <w:softHyphen/>
        <w:t>národního obchodu a přístupu k surovinám a vedle toho, kdyby to evrop</w:t>
      </w:r>
      <w:r>
        <w:t>ští státníci uznali za potřebné, také hlavní věci politické. Tuto politickou část by však Amerika už považovala za věc jen evropskou.</w:t>
      </w:r>
    </w:p>
    <w:p w:rsidR="00500724" w:rsidRDefault="00F30FB8">
      <w:pPr>
        <w:pStyle w:val="Zkladntext30"/>
        <w:shd w:val="clear" w:color="auto" w:fill="auto"/>
        <w:spacing w:after="0" w:line="199" w:lineRule="auto"/>
        <w:ind w:firstLine="240"/>
      </w:pPr>
      <w:r>
        <w:t xml:space="preserve">Hned druhý den blahopřál Rooseveltovi k tomuto zásahu </w:t>
      </w:r>
      <w:r>
        <w:rPr>
          <w:lang w:val="en-US" w:eastAsia="en-US" w:bidi="en-US"/>
        </w:rPr>
        <w:t xml:space="preserve">Kalinin </w:t>
      </w:r>
      <w:r>
        <w:t xml:space="preserve">a rovněž C ha </w:t>
      </w:r>
      <w:r>
        <w:rPr>
          <w:lang w:val="en-US" w:eastAsia="en-US" w:bidi="en-US"/>
        </w:rPr>
        <w:t xml:space="preserve">mb </w:t>
      </w:r>
      <w:r>
        <w:t>e r 1 a i n a Da</w:t>
      </w:r>
      <w:r>
        <w:softHyphen/>
        <w:t>ladier mu poslali telegram</w:t>
      </w:r>
      <w:r>
        <w:t>y, vyjadřující anglický a francouzský souhlas. Říšský kancléř Hitler svolal</w:t>
      </w:r>
    </w:p>
    <w:p w:rsidR="00500724" w:rsidRDefault="00F30FB8">
      <w:pPr>
        <w:pStyle w:val="Zkladntext30"/>
        <w:numPr>
          <w:ilvl w:val="0"/>
          <w:numId w:val="58"/>
        </w:numPr>
        <w:shd w:val="clear" w:color="auto" w:fill="auto"/>
        <w:tabs>
          <w:tab w:val="left" w:pos="404"/>
        </w:tabs>
        <w:spacing w:after="0" w:line="199" w:lineRule="auto"/>
        <w:ind w:firstLine="0"/>
      </w:pPr>
      <w:r>
        <w:t xml:space="preserve">dubna říšský sněm na 28. duben a odjel potom do Východní marky, kde v několika městech přehlédl vojsko. První dal odpověď na Rooseveltův telegram </w:t>
      </w:r>
      <w:r>
        <w:rPr>
          <w:lang w:val="en-US" w:eastAsia="en-US" w:bidi="en-US"/>
        </w:rPr>
        <w:t xml:space="preserve">Mussolini </w:t>
      </w:r>
      <w:r>
        <w:t xml:space="preserve">dne 20. dubna na schůzi </w:t>
      </w:r>
      <w:r>
        <w:t>přípravného výboru pro světovou výstavu v Římě. Řekl asi toto: Ať už Rooseveltovi odpovíme jakkoli, programem Itálie je mir. Kdyby Itálie chystala válku, proč by připravovala tak pilně a několik let napřed světovou výstavu?</w:t>
      </w:r>
    </w:p>
    <w:p w:rsidR="00500724" w:rsidRDefault="00F30FB8">
      <w:pPr>
        <w:pStyle w:val="Zkladntext30"/>
        <w:shd w:val="clear" w:color="auto" w:fill="auto"/>
        <w:spacing w:after="0" w:line="199" w:lineRule="auto"/>
        <w:ind w:firstLine="240"/>
      </w:pPr>
      <w:r>
        <w:rPr>
          <w:noProof/>
        </w:rPr>
        <mc:AlternateContent>
          <mc:Choice Requires="wps">
            <w:drawing>
              <wp:anchor distT="12700" distB="254000" distL="114300" distR="114300" simplePos="0" relativeHeight="125829882" behindDoc="0" locked="0" layoutInCell="1" allowOverlap="1">
                <wp:simplePos x="0" y="0"/>
                <wp:positionH relativeFrom="page">
                  <wp:posOffset>6830060</wp:posOffset>
                </wp:positionH>
                <wp:positionV relativeFrom="margin">
                  <wp:posOffset>9068435</wp:posOffset>
                </wp:positionV>
                <wp:extent cx="210185" cy="161290"/>
                <wp:effectExtent l="0" t="0" r="0" b="0"/>
                <wp:wrapTopAndBottom/>
                <wp:docPr id="505" name="Shape 505"/>
                <wp:cNvGraphicFramePr/>
                <a:graphic xmlns:a="http://schemas.openxmlformats.org/drawingml/2006/main">
                  <a:graphicData uri="http://schemas.microsoft.com/office/word/2010/wordprocessingShape">
                    <wps:wsp>
                      <wps:cNvSpPr txBox="1"/>
                      <wps:spPr>
                        <a:xfrm>
                          <a:off x="0" y="0"/>
                          <a:ext cx="210185" cy="161290"/>
                        </a:xfrm>
                        <a:prstGeom prst="rect">
                          <a:avLst/>
                        </a:prstGeom>
                        <a:noFill/>
                      </wps:spPr>
                      <wps:txbx>
                        <w:txbxContent>
                          <w:p w:rsidR="00500724" w:rsidRDefault="00F30FB8">
                            <w:pPr>
                              <w:pStyle w:val="Jin0"/>
                              <w:shd w:val="clear" w:color="auto" w:fill="auto"/>
                              <w:ind w:firstLine="0"/>
                              <w:jc w:val="left"/>
                            </w:pPr>
                            <w:r>
                              <w:rPr>
                                <w:rFonts w:ascii="Arial" w:eastAsia="Arial" w:hAnsi="Arial" w:cs="Arial"/>
                              </w:rPr>
                              <w:t>JOÍ</w:t>
                            </w:r>
                          </w:p>
                        </w:txbxContent>
                      </wps:txbx>
                      <wps:bodyPr lIns="0" tIns="0" rIns="0" bIns="0">
                        <a:spAutoFit/>
                      </wps:bodyPr>
                    </wps:wsp>
                  </a:graphicData>
                </a:graphic>
              </wp:anchor>
            </w:drawing>
          </mc:Choice>
          <mc:Fallback>
            <w:pict>
              <v:shape id="_x0000_s1531" type="#_x0000_t202" style="position:absolute;margin-left:537.79999999999995pt;margin-top:714.04999999999995pt;width:16.550000000000001pt;height:12.699999999999999pt;z-index:-125828871;mso-wrap-distance-left:9.pt;mso-wrap-distance-top:1.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cs-CZ" w:eastAsia="cs-CZ" w:bidi="cs-CZ"/>
                        </w:rPr>
                        <w:t>JOÍ</w:t>
                      </w:r>
                    </w:p>
                  </w:txbxContent>
                </v:textbox>
                <w10:wrap type="topAndBottom" anchorx="page" anchory="margin"/>
              </v:shape>
            </w:pict>
          </mc:Fallback>
        </mc:AlternateContent>
      </w:r>
      <w:r>
        <w:t xml:space="preserve">Německo se téhož dne </w:t>
      </w:r>
      <w:r>
        <w:t>diplomatickou cestou do</w:t>
      </w:r>
      <w:r>
        <w:softHyphen/>
        <w:t>tázalo některých ze států, jež Roosevelt vypočítal, zdali žádaly o nějakou záruku americkým prostřed</w:t>
      </w:r>
      <w:r>
        <w:softHyphen/>
        <w:t>nictvím, zdali jim byl Rooseveltův zákrok napřed znám a zdali se cítí Německem ohroženy. Dotázané státy, které náležejí hlavně do s</w:t>
      </w:r>
      <w:r>
        <w:t>kupiny neutrálů, od</w:t>
      </w:r>
      <w:r>
        <w:softHyphen/>
        <w:t xml:space="preserve">pověděly na tyto otázky většinou záporně a některé z nich zdůraznily svou neutralitu a odhodlání hájiti ji proti jakémukoli útoku. Pět dní před řečí Vůdce a říšského kancléře vrátil se neočekávaně do Berlína britský velvyslanec </w:t>
      </w:r>
      <w:r>
        <w:rPr>
          <w:lang w:val="en-US" w:eastAsia="en-US" w:bidi="en-US"/>
        </w:rPr>
        <w:t>Henderso</w:t>
      </w:r>
      <w:r>
        <w:rPr>
          <w:lang w:val="en-US" w:eastAsia="en-US" w:bidi="en-US"/>
        </w:rPr>
        <w:t xml:space="preserve">n, </w:t>
      </w:r>
      <w:r>
        <w:t>prý s jakousi vý</w:t>
      </w:r>
      <w:r>
        <w:softHyphen/>
        <w:t>strahou, že Anglie zavede povinnou vojenskou službu. Byl přijat za tři dny po svém příjezdu státním tajem</w:t>
      </w:r>
      <w:r>
        <w:softHyphen/>
        <w:t>níkem von Weizsackrem, dne 26. dubna. Po něm přijel do Berlína také francouzský velvyslanec C o u- 1 o n d r e a později se vrátil</w:t>
      </w:r>
      <w:r>
        <w:t>i na svá působiště také příslušní velvyslanci němečtí. Dne 28. dubna pronesl svou velkou řeč v říšském sněmu, doplněném zatím o pět německých zástupců protektorátu česko-morav- ského a o dva zástupce území memelského, říšský kancléř Adolf Hitler. Soustředi</w:t>
      </w:r>
      <w:r>
        <w:t>l se nejdříve zvláště na německý poměr k Anglii a Polsku a vypověděl námořni smlouvu anglo-německou jakož i pakt o neútočení s Polskem. Odůvodnil tento krok obkličovací politikou anglickou, k níž se přidalo</w:t>
      </w:r>
    </w:p>
    <w:p w:rsidR="00500724" w:rsidRDefault="00F30FB8">
      <w:pPr>
        <w:pStyle w:val="Zkladntext30"/>
        <w:shd w:val="clear" w:color="auto" w:fill="auto"/>
        <w:spacing w:after="0" w:line="202" w:lineRule="auto"/>
        <w:ind w:firstLine="0"/>
      </w:pPr>
      <w:r>
        <w:t>Polsko. Oznámil, jaké požadavky adresovala německ</w:t>
      </w:r>
      <w:r>
        <w:t>á vláda Polsku: návrat Gdanska k Říši a exteritoriální dálnici z Německa do Východních Prus. Anglii i Pol</w:t>
      </w:r>
      <w:r>
        <w:softHyphen/>
        <w:t>sku nabídl nové jednání, kdyby si ho přály. Potom podrobně vyvracel these Rooseveltovy a na jeho konkrétní návrhy odpověděl, že Německo je ochotno uza</w:t>
      </w:r>
      <w:r>
        <w:t xml:space="preserve">vřít dvoustranné smlouvy o neútočení se státy, které by o to přiměřenou formou přímo požádaly, že Německo má nedůvěru k odzbrojovací konferenci, k níž by měly býti nejdříve pozvány jiné velmoci, a že Německo, pokud jde o věci mezinárodně hospodářské, žádá </w:t>
      </w:r>
      <w:r>
        <w:t>vrácení svých někdejších kolonií.</w:t>
      </w:r>
    </w:p>
    <w:p w:rsidR="00500724" w:rsidRDefault="00F30FB8">
      <w:pPr>
        <w:pStyle w:val="Zkladntext30"/>
        <w:shd w:val="clear" w:color="auto" w:fill="auto"/>
        <w:spacing w:after="0" w:line="202" w:lineRule="auto"/>
        <w:ind w:firstLine="240"/>
      </w:pPr>
      <w:r>
        <w:t>Téhož dne večer byla v Anglii rozšířena polo- oficiální zpráva, že britská vláda je ochotna dát Ně</w:t>
      </w:r>
      <w:r>
        <w:softHyphen/>
        <w:t>mecku záruku proti útoku, cítí-li se Německo ohroženo obklíčením. V prvních dnech května uzavřelo Ně</w:t>
      </w:r>
      <w:r>
        <w:softHyphen/>
        <w:t>mecko smlouvu o neútoč</w:t>
      </w:r>
      <w:r>
        <w:t>ení s Lotyšskem a zahájilo jednání o podobnou smlouvu s Estonskem. Také skandinávským státům, Dánsku, Norsku, Švéd- sku a Finsku byla učiněna nabídka. Zahraniční mi</w:t>
      </w:r>
      <w:r>
        <w:softHyphen/>
        <w:t>nistři těchto států se sešli 9. května ve Stockholmu, aby se společně poradili, jak se v té</w:t>
      </w:r>
      <w:r>
        <w:t>to věci zachovati.</w:t>
      </w:r>
    </w:p>
    <w:p w:rsidR="00500724" w:rsidRDefault="00F30FB8">
      <w:pPr>
        <w:pStyle w:val="Zkladntext30"/>
        <w:shd w:val="clear" w:color="auto" w:fill="auto"/>
        <w:spacing w:after="0" w:line="202" w:lineRule="auto"/>
        <w:ind w:firstLine="240"/>
      </w:pPr>
      <w:r>
        <w:t xml:space="preserve">Polský ministr zahraničních věcí </w:t>
      </w:r>
      <w:r>
        <w:rPr>
          <w:lang w:val="en-US" w:eastAsia="en-US" w:bidi="en-US"/>
        </w:rPr>
        <w:t xml:space="preserve">Beck </w:t>
      </w:r>
      <w:r>
        <w:t>odpověděl</w:t>
      </w:r>
    </w:p>
    <w:p w:rsidR="00500724" w:rsidRDefault="00F30FB8">
      <w:pPr>
        <w:pStyle w:val="Zkladntext30"/>
        <w:numPr>
          <w:ilvl w:val="0"/>
          <w:numId w:val="59"/>
        </w:numPr>
        <w:shd w:val="clear" w:color="auto" w:fill="auto"/>
        <w:tabs>
          <w:tab w:val="left" w:pos="298"/>
        </w:tabs>
        <w:spacing w:after="0" w:line="202" w:lineRule="auto"/>
        <w:ind w:firstLine="0"/>
      </w:pPr>
      <w:r>
        <w:t>května v sejmu na řeč Vůdce a říšského kancléře. Pravil, že Gdaňsko je sice město německé, ale že bývalo svobodným městem už v minulosti, že hospo</w:t>
      </w:r>
      <w:r>
        <w:softHyphen/>
        <w:t xml:space="preserve">dářsky závisí na Polsku a že Polsko tu má </w:t>
      </w:r>
      <w:r>
        <w:t>stálé zájmy. Z toho odvozoval polský nesouhlas s jeho připojením k Říši. O koridoru řekl, že je to stará polská země Pomoří, že Polsko je ochotno usnadnit tu Německu dopravu, ale že se tam nehodlá vzdáti žádného ze svých svrchovaných práv. Polsko je ochotn</w:t>
      </w:r>
      <w:r>
        <w:t>o vyjed</w:t>
      </w:r>
      <w:r>
        <w:softHyphen/>
        <w:t>návat, ale jen tehdy, bude-li se jednat mírovými metodami a s mírovými cíli.</w:t>
      </w:r>
    </w:p>
    <w:p w:rsidR="00500724" w:rsidRDefault="00F30FB8">
      <w:pPr>
        <w:pStyle w:val="Zkladntext30"/>
        <w:shd w:val="clear" w:color="auto" w:fill="auto"/>
        <w:spacing w:after="0" w:line="202" w:lineRule="auto"/>
        <w:ind w:firstLine="240"/>
      </w:pPr>
      <w:r>
        <w:t xml:space="preserve">Téhož dne večer odjel říšský ministr zahraničních věcí </w:t>
      </w:r>
      <w:r>
        <w:rPr>
          <w:lang w:val="en-US" w:eastAsia="en-US" w:bidi="en-US"/>
        </w:rPr>
        <w:t xml:space="preserve">Ribbentrop </w:t>
      </w:r>
      <w:r>
        <w:t xml:space="preserve">po zastávce v Berchtesgadenu do Milána, kde 7. května ujednal se svým italským kolegou Cianem politickou </w:t>
      </w:r>
      <w:r>
        <w:t>a vojenskou spojenec</w:t>
      </w:r>
      <w:r>
        <w:softHyphen/>
        <w:t>kou smlouvu mezi Německem a Itálií. V německých a italských komentářích byla smlouva označena jako odpověď na obkličovací politiku, při čemž bylo zdůrazněno, že jejím smyslem je mír a že Německo a Itálie budou ve svých zájmových oblast</w:t>
      </w:r>
      <w:r>
        <w:t>ech sledovat své politické cíle samostatně.</w:t>
      </w:r>
    </w:p>
    <w:p w:rsidR="00500724" w:rsidRDefault="00F30FB8">
      <w:pPr>
        <w:pStyle w:val="Zkladntext30"/>
        <w:shd w:val="clear" w:color="auto" w:fill="auto"/>
        <w:spacing w:after="0" w:line="202" w:lineRule="auto"/>
        <w:ind w:firstLine="240"/>
      </w:pPr>
      <w:r>
        <w:t xml:space="preserve">Od poloviny minulého měsíce oživla jednání anglo-sovětská. </w:t>
      </w:r>
      <w:r>
        <w:rPr>
          <w:lang w:val="en-US" w:eastAsia="en-US" w:bidi="en-US"/>
        </w:rPr>
        <w:t xml:space="preserve">Chamberlain </w:t>
      </w:r>
      <w:r>
        <w:t>se o nich zmínil v dolní sněmovně 13. dubna a potom na rozmanité dotazy ještě několikrát, po každé však jen obecně zdůrazňoval, že britská vl</w:t>
      </w:r>
      <w:r>
        <w:t>áda je ve styku se sověty a že si přeje brzkého úspěchu v jednání.</w:t>
      </w:r>
    </w:p>
    <w:p w:rsidR="00500724" w:rsidRDefault="00F30FB8">
      <w:pPr>
        <w:pStyle w:val="Zkladntext30"/>
        <w:shd w:val="clear" w:color="auto" w:fill="auto"/>
        <w:spacing w:after="80" w:line="202" w:lineRule="auto"/>
        <w:ind w:firstLine="240"/>
      </w:pPr>
      <w:r>
        <w:t>Do toho přišla 3. května překvapující zpráva o o d- stoupení Litvinovově. Místa komisaře zahra</w:t>
      </w:r>
      <w:r>
        <w:softHyphen/>
        <w:t xml:space="preserve">ničních věcí se ujal </w:t>
      </w:r>
      <w:r>
        <w:rPr>
          <w:lang w:val="en-US" w:eastAsia="en-US" w:bidi="en-US"/>
        </w:rPr>
        <w:t xml:space="preserve">Molotov; </w:t>
      </w:r>
      <w:r>
        <w:t>o příčinách této změny není posud spolehlivých zpráv. Převládá d</w:t>
      </w:r>
      <w:r>
        <w:t>omněnka, že Litvinovův odchod souvisí s neúspěchem jeho příliš široké koncepce, která se prý blížila někdejším zása</w:t>
      </w:r>
      <w:r>
        <w:softHyphen/>
        <w:t>dám kolektivní bezpečnosti. Proti tomu sledují Angli</w:t>
      </w:r>
      <w:r>
        <w:softHyphen/>
        <w:t>čané taktiku opačnou a postupují od případu k přípa</w:t>
      </w:r>
      <w:r>
        <w:softHyphen/>
        <w:t xml:space="preserve">du. Podle zpráv zahraničního tisku </w:t>
      </w:r>
      <w:r>
        <w:t>chtějí, aby Sovět</w:t>
      </w:r>
      <w:r>
        <w:softHyphen/>
        <w:t>ský Svaz dal záruky těm státům, kterým je dala také Anglie, především Polsku a Rumunsku. Sovětský návrh však žádal, aby se uzavřela trojčlenná spoje</w:t>
      </w:r>
      <w:r>
        <w:softHyphen/>
        <w:t>necká smlouva anglo-franko-sovětská a aby tento trojspolek společně zaručil bezpečnost me</w:t>
      </w:r>
      <w:r>
        <w:t>nším stá</w:t>
      </w:r>
      <w:r>
        <w:softHyphen/>
        <w:t>tům na západě i na východě. Reuterova kancelář rozšířila 9. května zprávu, že poslední anglický návrh zněl takto: Sovětský Svaz nechť dá každému svému sousedu zvlášť záruku a Anglie se pak zaváže, že bude sověty podporovat, kdyby se pro některou z</w:t>
      </w:r>
      <w:r>
        <w:t xml:space="preserve"> těchto záruk dostaly do války. S touto zprávou však polemisovala sovětská agentura Tass, podle níž má anglický návrh smysl poněkud jiný: aby sověty po</w:t>
      </w:r>
      <w:r>
        <w:softHyphen/>
        <w:t>skytly pomoc Francii a Anglii, kdyby se tyto dvě mocnosti dostaly do války pro své záruky Polsku a Rumun</w:t>
      </w:r>
      <w:r>
        <w:t>sku. Při tom však prý se v anglickém návrhu nemluví o pomoci, kterou by v opačném případě poskytly sovětům Francie a Anglie.</w:t>
      </w:r>
    </w:p>
    <w:p w:rsidR="00500724" w:rsidRDefault="00F30FB8">
      <w:pPr>
        <w:pStyle w:val="Zkladntext30"/>
        <w:shd w:val="clear" w:color="auto" w:fill="auto"/>
        <w:spacing w:after="0" w:line="202" w:lineRule="auto"/>
        <w:ind w:firstLine="0"/>
        <w:jc w:val="center"/>
      </w:pPr>
      <w:r>
        <w:t>Cesty státníků a vojáků</w:t>
      </w:r>
    </w:p>
    <w:p w:rsidR="00500724" w:rsidRDefault="00F30FB8">
      <w:pPr>
        <w:pStyle w:val="Zkladntext30"/>
        <w:shd w:val="clear" w:color="auto" w:fill="auto"/>
        <w:spacing w:after="0" w:line="202" w:lineRule="auto"/>
        <w:ind w:firstLine="240"/>
      </w:pPr>
      <w:r>
        <w:t>Známkou horlivé diplomatické činnosti, která se v posledních týdnech rozvinula, jsou hojné cesty evropských</w:t>
      </w:r>
      <w:r>
        <w:t xml:space="preserve"> státníků a vojáků. Podáváme tu jejich chronologický přehled.</w:t>
      </w:r>
    </w:p>
    <w:p w:rsidR="00500724" w:rsidRDefault="00F30FB8">
      <w:pPr>
        <w:pStyle w:val="Zkladntext30"/>
        <w:shd w:val="clear" w:color="auto" w:fill="auto"/>
        <w:spacing w:after="0" w:line="202" w:lineRule="auto"/>
        <w:ind w:firstLine="240"/>
      </w:pPr>
      <w:r>
        <w:t>Ministr G o e b b e 1 s se 14. dubna na zpáteční cestě z Cařihradu zastavil na hodinu v Bělehradě. Rumun</w:t>
      </w:r>
      <w:r>
        <w:softHyphen/>
        <w:t xml:space="preserve">ský ministr zahraničních věcí Gafencu odjel 16. dubna do Berlína přes Polsko. Cestou měl </w:t>
      </w:r>
      <w:r>
        <w:t>ve vlaku rozmluvu s ministrem Beckem. Po berlínském po</w:t>
      </w:r>
      <w:r>
        <w:softHyphen/>
        <w:t>bytu přijel 21. dubna do Bruselu, kde byl přijat králem, 23. dubna do Londýna, 26. dubna do Paříže, 30. dubna do Říma, odkud se odebral do Bělehradu, jejž opustil 6. května. Sovětský velvyslanec v Lond</w:t>
      </w:r>
      <w:r>
        <w:t>ý</w:t>
      </w:r>
      <w:r>
        <w:softHyphen/>
        <w:t>ně Majskij byl 17. dubna povolán do Moskvy; po návratu na své působiště zajel 27. dubna také do Faříže. Předseda maďarské vlády T e 1 e k i a zahra</w:t>
      </w:r>
      <w:r>
        <w:softHyphen/>
        <w:t>niční ministr Csáky byli 17. dubna v Římě. Jugo</w:t>
      </w:r>
      <w:r>
        <w:softHyphen/>
        <w:t>slávský ministr zahraničních věcí Markovič měl</w:t>
      </w:r>
    </w:p>
    <w:p w:rsidR="00500724" w:rsidRDefault="00F30FB8">
      <w:pPr>
        <w:pStyle w:val="Zkladntext30"/>
        <w:numPr>
          <w:ilvl w:val="0"/>
          <w:numId w:val="60"/>
        </w:numPr>
        <w:shd w:val="clear" w:color="auto" w:fill="auto"/>
        <w:tabs>
          <w:tab w:val="left" w:pos="414"/>
        </w:tabs>
        <w:spacing w:after="0" w:line="202" w:lineRule="auto"/>
        <w:ind w:firstLine="0"/>
      </w:pPr>
      <w:r>
        <w:t>a 23. dubna</w:t>
      </w:r>
      <w:r>
        <w:t xml:space="preserve"> v Benátkách schůzku s hrabětem Cianem, jejímž výsledkem bylo podle úřední zprávy usnesení prohloubiti politické i hospodářské styky Jugoslávie s Itálií. Tentýž ministr nastoupil 25. dubna cestu do Berlína. Zástupce sovětského zahraničního komisaře Potěmki</w:t>
      </w:r>
      <w:r>
        <w:t>n přijel 26. dubna přes Rumun</w:t>
      </w:r>
      <w:r>
        <w:softHyphen/>
        <w:t>sko do Sofie, odkud se odebral do Ankary. Tam pobyl do 5. května, kdy byl povolán do Moskvy ve spojitosti se změnou v zahraničním komisariátu. Vracel se zase přes Sofii, kde jej přijal král Boris, a přes Bukurešť, kde mluvil s</w:t>
      </w:r>
      <w:r>
        <w:t xml:space="preserve"> ministrem Gafencem a některými cizími diplomaty. Odtamtud odbočil 8. května ještě do Varšavy. Francouzský ministr veřejných prací de M o n z i e se vrátil 27. dubna z cesty do Polska, kde se účastnil otevření nové trati, ale měl také rozpravy politické. N</w:t>
      </w:r>
      <w:r>
        <w:t>ový německý velvyslanec v Turecku P a p e n přijel 27. dubna do Ankary. T e 1 e k i a Csáky přibyli 29. dubna do Berlína. Téhož dne přijel vrchní velitel německé branné moci B r a u- chitschdo Říma, kde byl přijat králem. Odtamtud se odebral k maršálu Balb</w:t>
      </w:r>
      <w:r>
        <w:t>ovi do Tripolska. Francouz</w:t>
      </w:r>
      <w:r>
        <w:softHyphen/>
        <w:t>ský generál W e y g a n d byl koncem dubna a za</w:t>
      </w:r>
      <w:r>
        <w:softHyphen/>
        <w:t>čátkem května v Persii a v Turecku. Na zpáteční cestě se zastavil v Bukurešti. Maršál Góring odjel</w:t>
      </w:r>
    </w:p>
    <w:p w:rsidR="00500724" w:rsidRDefault="00F30FB8">
      <w:pPr>
        <w:pStyle w:val="Zkladntext30"/>
        <w:numPr>
          <w:ilvl w:val="0"/>
          <w:numId w:val="61"/>
        </w:numPr>
        <w:shd w:val="clear" w:color="auto" w:fill="auto"/>
        <w:tabs>
          <w:tab w:val="left" w:pos="312"/>
        </w:tabs>
        <w:spacing w:after="0" w:line="202" w:lineRule="auto"/>
        <w:ind w:firstLine="0"/>
      </w:pPr>
      <w:r>
        <w:t>května znovu do San Rema v Itálii a odtud do Španělska. Anglický král a královna n</w:t>
      </w:r>
      <w:r>
        <w:t>astoupili</w:t>
      </w:r>
    </w:p>
    <w:p w:rsidR="00500724" w:rsidRDefault="00F30FB8">
      <w:pPr>
        <w:pStyle w:val="Zkladntext30"/>
        <w:numPr>
          <w:ilvl w:val="0"/>
          <w:numId w:val="59"/>
        </w:numPr>
        <w:shd w:val="clear" w:color="auto" w:fill="auto"/>
        <w:tabs>
          <w:tab w:val="left" w:pos="312"/>
        </w:tabs>
        <w:spacing w:after="60" w:line="202" w:lineRule="auto"/>
        <w:ind w:firstLine="0"/>
      </w:pPr>
      <w:r>
        <w:t>května v Portsmouthu cestu do Kanady a Spoje</w:t>
      </w:r>
      <w:r>
        <w:softHyphen/>
        <w:t xml:space="preserve">ných Států. Vrchní velitel litevské branné moci Raš </w:t>
      </w:r>
      <w:r>
        <w:rPr>
          <w:lang w:val="en-US" w:eastAsia="en-US" w:bidi="en-US"/>
        </w:rPr>
        <w:t xml:space="preserve">tikis </w:t>
      </w:r>
      <w:r>
        <w:t>přijel 9. května do Varšavy. Italský maršál Balbo byl téhož dne v Kairu, kde mimo členy egyptské vlády mluvil také s vojenskými hodno</w:t>
      </w:r>
      <w:r>
        <w:softHyphen/>
        <w:t>stáři bri</w:t>
      </w:r>
      <w:r>
        <w:t>tskými. Konečně jugoslávský princ vladař Pavel nastoupil v tentýž den se svou chotí a s mi</w:t>
      </w:r>
      <w:r>
        <w:softHyphen/>
        <w:t xml:space="preserve">nistrem Markovičem cestu ke státní návštěvě v </w:t>
      </w:r>
      <w:r>
        <w:rPr>
          <w:b/>
          <w:bCs/>
        </w:rPr>
        <w:t>Římě.</w:t>
      </w:r>
    </w:p>
    <w:p w:rsidR="00500724" w:rsidRDefault="00F30FB8">
      <w:pPr>
        <w:pStyle w:val="Zkladntext30"/>
        <w:shd w:val="clear" w:color="auto" w:fill="auto"/>
        <w:spacing w:after="0" w:line="199" w:lineRule="auto"/>
        <w:ind w:right="60" w:firstLine="0"/>
        <w:jc w:val="center"/>
      </w:pPr>
      <w:r>
        <w:t>Vojenská činnost</w:t>
      </w:r>
    </w:p>
    <w:p w:rsidR="00500724" w:rsidRDefault="00F30FB8">
      <w:pPr>
        <w:pStyle w:val="Zkladntext30"/>
        <w:shd w:val="clear" w:color="auto" w:fill="auto"/>
        <w:spacing w:after="0" w:line="202" w:lineRule="auto"/>
        <w:ind w:firstLine="240"/>
      </w:pPr>
      <w:r>
        <w:t xml:space="preserve">Neméně hojné jsou známky usilovných příprav vojenských. Itálie stanovila dekretem z 18. dubna </w:t>
      </w:r>
      <w:r>
        <w:t>dodatečný vojenský úvěr 483 milionů lir. Část ně</w:t>
      </w:r>
      <w:r>
        <w:softHyphen/>
        <w:t>meckého válečného loďstva odplula téhož dne na cvičení do španělských vod a na návštěvu některých španělských přístavů. Jeho cestu pozorně sledovalo loďstvo britské a francouzské. V Gibraltaru se 16. dubna s</w:t>
      </w:r>
      <w:r>
        <w:t>oustředilo asi šestnáct francouzských jedno</w:t>
      </w:r>
      <w:r>
        <w:softHyphen/>
        <w:t>tek. Z Anglie přišla 17. dubna zpráva, že z Indie byly poslány vojenské posily do Egypta.</w:t>
      </w:r>
    </w:p>
    <w:p w:rsidR="00500724" w:rsidRDefault="00F30FB8">
      <w:pPr>
        <w:pStyle w:val="Zkladntext30"/>
        <w:shd w:val="clear" w:color="auto" w:fill="auto"/>
        <w:spacing w:after="0" w:line="199" w:lineRule="auto"/>
        <w:ind w:firstLine="240"/>
      </w:pPr>
      <w:r>
        <w:rPr>
          <w:lang w:val="en-US" w:eastAsia="en-US" w:bidi="en-US"/>
        </w:rPr>
        <w:t xml:space="preserve">Chamberlain </w:t>
      </w:r>
      <w:r>
        <w:t>oznámil 18. dubna v dolní sněmovně, že bude zřízeno ministerstvo pro válečné dodávky, a 21. dubna byl jmenován</w:t>
      </w:r>
      <w:r>
        <w:t xml:space="preserve"> ministrem </w:t>
      </w:r>
      <w:r>
        <w:rPr>
          <w:lang w:val="en-US" w:eastAsia="en-US" w:bidi="en-US"/>
        </w:rPr>
        <w:t xml:space="preserve">Burgin. </w:t>
      </w:r>
      <w:r>
        <w:t>Dne</w:t>
      </w:r>
    </w:p>
    <w:p w:rsidR="00500724" w:rsidRDefault="00F30FB8">
      <w:pPr>
        <w:pStyle w:val="Zkladntext30"/>
        <w:numPr>
          <w:ilvl w:val="0"/>
          <w:numId w:val="58"/>
        </w:numPr>
        <w:shd w:val="clear" w:color="auto" w:fill="auto"/>
        <w:tabs>
          <w:tab w:val="left" w:pos="404"/>
        </w:tabs>
        <w:spacing w:after="0" w:line="199" w:lineRule="auto"/>
        <w:ind w:firstLine="0"/>
      </w:pPr>
      <w:r>
        <w:t>dubna byly skončeny manévry britského vojska v Egyptě. Ministr financí Simon uvedl 25. dubna v dolní sněmovně nový rozpočet, z něhož skoro polo</w:t>
      </w:r>
      <w:r>
        <w:softHyphen/>
        <w:t>vina (630 milionů lir) bylo věnováno na zbrojení. Dne 26. dubna navštívily britské válečn</w:t>
      </w:r>
      <w:r>
        <w:t xml:space="preserve">é lodi po skončeném cvičení ve východní části Středozemního moře dva řecké přístavy. </w:t>
      </w:r>
      <w:r>
        <w:rPr>
          <w:lang w:val="en-US" w:eastAsia="en-US" w:bidi="en-US"/>
        </w:rPr>
        <w:t xml:space="preserve">Chamberlain </w:t>
      </w:r>
      <w:r>
        <w:t>podal 26. dubna v dolní sněmovně osnovu o branné povinnosti pro dva ročníky a sněmovna ji den poté odhlasovala 376 hlasy proti 145.</w:t>
      </w:r>
    </w:p>
    <w:p w:rsidR="00500724" w:rsidRDefault="00F30FB8">
      <w:pPr>
        <w:pStyle w:val="Zkladntext30"/>
        <w:shd w:val="clear" w:color="auto" w:fill="auto"/>
        <w:spacing w:after="0" w:line="199" w:lineRule="auto"/>
        <w:ind w:firstLine="240"/>
      </w:pPr>
      <w:r>
        <w:t>Z Francie přijela 4. května</w:t>
      </w:r>
      <w:r>
        <w:t xml:space="preserve"> do Washingtonu vojenská delegace k nákupu válečných surovin a zbraní. Dne 16. dubna zavedla Francie určitou formu vojenské povinnosti také pro cizince, usedlé ve Francii. Dne 21. dubna vydala tamní vláda finanční dekrety, které zajistily na zbrojení 15 mi</w:t>
      </w:r>
      <w:r>
        <w:t>liard franků, pro</w:t>
      </w:r>
      <w:r>
        <w:softHyphen/>
        <w:t>dloužily týdenní pracovní dobu na 45 hodin a zavedly jednoprocentní obratovou daň.</w:t>
      </w:r>
    </w:p>
    <w:p w:rsidR="00500724" w:rsidRDefault="00F30FB8">
      <w:pPr>
        <w:pStyle w:val="Zkladntext30"/>
        <w:shd w:val="clear" w:color="auto" w:fill="auto"/>
        <w:spacing w:after="0" w:line="199" w:lineRule="auto"/>
        <w:ind w:firstLine="240"/>
      </w:pPr>
      <w:r>
        <w:t>Tichomořské loďstvo Spojených Států, které bylo před tím na manévrech v Karibském moři a mělo se účastnit přehlídky při otevření novoyorské světové výstavy</w:t>
      </w:r>
      <w:r>
        <w:t>, dostalo 16. dubna náhlý rozkaz, aby se vrátilo do Tichého oceánu. Americký senát schválil 25. dubna vojenský rozpočet ve výši 508 milionů dolarů. Roosevelt požádal 1. května ještě O dodatečný úvěr na letectvo 185 milionů dolarů a na obranu Panamského prů</w:t>
      </w:r>
      <w:r>
        <w:t>plavu 21 milionů dolarů. Americký dělový člun »Sacramento« připlul 29. dubna do Gibraltaru. Asi v tutéž dobu kotvil americký křižník »Omaha« u Malty.</w:t>
      </w:r>
    </w:p>
    <w:p w:rsidR="00500724" w:rsidRDefault="00F30FB8">
      <w:pPr>
        <w:pStyle w:val="Zkladntext30"/>
        <w:shd w:val="clear" w:color="auto" w:fill="auto"/>
        <w:spacing w:after="120" w:line="202" w:lineRule="auto"/>
        <w:ind w:firstLine="240"/>
      </w:pPr>
      <w:r>
        <w:t>Polsko vypsalo v dubnu půjčku na leteckou obranu, která však podle pozdějších zpráv nedopadla příliš přízn</w:t>
      </w:r>
      <w:r>
        <w:t>ivě. Sovětský admirál ICuzněcov byl 30. dubna jmenován ministrem námořnictví. Voroši- lov prohlásil v provolání k rudé armádě, že sověty jsou pro podporu národů, které by se staly obětí útoku a bojují za svou nezávislost. Švédsko po</w:t>
      </w:r>
      <w:r>
        <w:softHyphen/>
        <w:t>volalo 19. dubna ročník</w:t>
      </w:r>
      <w:r>
        <w:t xml:space="preserve"> 1935 na zvláštní cvičení. Také z některých jiných států přicházely zprávy o povolávání záložníků.</w:t>
      </w:r>
    </w:p>
    <w:p w:rsidR="00500724" w:rsidRDefault="00F30FB8">
      <w:pPr>
        <w:pStyle w:val="Zkladntext30"/>
        <w:shd w:val="clear" w:color="auto" w:fill="auto"/>
        <w:spacing w:after="0" w:line="199" w:lineRule="auto"/>
        <w:ind w:firstLine="0"/>
        <w:jc w:val="center"/>
      </w:pPr>
      <w:r>
        <w:t>Události v jednotlivých zemích</w:t>
      </w:r>
    </w:p>
    <w:p w:rsidR="00500724" w:rsidRDefault="00F30FB8">
      <w:pPr>
        <w:pStyle w:val="Zkladntext30"/>
        <w:shd w:val="clear" w:color="auto" w:fill="auto"/>
        <w:spacing w:after="0" w:line="202" w:lineRule="auto"/>
        <w:ind w:firstLine="240"/>
      </w:pPr>
      <w:r>
        <w:t>V Cechách a na Moravě byly v druhé polo</w:t>
      </w:r>
      <w:r>
        <w:softHyphen/>
        <w:t>vině dubna zřízeny německé soudy. President Hácha měl 21. dubna ve výboru Národního so</w:t>
      </w:r>
      <w:r>
        <w:t>uručenství úvodní projev k náboru, který pak byl zahájen</w:t>
      </w:r>
    </w:p>
    <w:p w:rsidR="00500724" w:rsidRDefault="00F30FB8">
      <w:pPr>
        <w:pStyle w:val="Zkladntext30"/>
        <w:numPr>
          <w:ilvl w:val="0"/>
          <w:numId w:val="60"/>
        </w:numPr>
        <w:shd w:val="clear" w:color="auto" w:fill="auto"/>
        <w:tabs>
          <w:tab w:val="left" w:pos="414"/>
        </w:tabs>
        <w:spacing w:after="220" w:line="202" w:lineRule="auto"/>
        <w:ind w:firstLine="0"/>
      </w:pPr>
      <w:r>
        <w:t>dubna a skončen za pouhý týden s úspěchem skoro stoprocentním. Dr. Chvalkovský byl 26. dubna jmenován vyslancem Protektorátu v Berlíně. Dne 27. dubna byla jmenována nová vláda generála Eliáše. Na Slo</w:t>
      </w:r>
      <w:r>
        <w:t>vensku odstoupil 18. května ministr vnitra Sidor a odebral se na venkov. V Německu a zvláště v Berlíně byly 20. dubna s velkou okázalostí oslaveny padesáté narozeniny Vůdce a říšského kancléře. Německý rozhlas zahájil 25. dubna vysílání v nářečí afrikánské</w:t>
      </w:r>
      <w:r>
        <w:t>m. Italský zahraniční ministr Ciano odpovídal 15. dubna ve sněmovně Chamber</w:t>
      </w:r>
      <w:r>
        <w:softHyphen/>
        <w:t xml:space="preserve">lainovi na jeho projev o Albánii; mimo polemickou část řeči se zmínil o velkém významu anglo-italské dohody, o pevnosti osy a potvrdil závazek stran návratu italských legionářů ve </w:t>
      </w:r>
      <w:r>
        <w:t xml:space="preserve">Španělsku. </w:t>
      </w:r>
      <w:r>
        <w:rPr>
          <w:lang w:val="en-US" w:eastAsia="en-US" w:bidi="en-US"/>
        </w:rPr>
        <w:t xml:space="preserve">Chamber- lain </w:t>
      </w:r>
      <w:r>
        <w:t>prohlásil 18. dubna v dolní sněmovně, že A n g 1 i e nemá žádných určitých závazků vůči Dánsku, Holand</w:t>
      </w:r>
      <w:r>
        <w:softHyphen/>
        <w:t xml:space="preserve">sku a Švýcarsku, že však netřeba připomínat, jak velice jí záleží na nezávislosti těchto zemí. Z Londýna byl vypovězen </w:t>
      </w:r>
      <w:r>
        <w:t>dopisovatel essenského deníku »Na- tional Zeitung.« V Ha vru ve Francii vyhořel 18. dubna velký dopravní parník »Paris«. 25. dubna tam byly vydány dekrety o tisku, které zejména zakazují šířit rasovou a náboženskou nenávist a bráti podpory pro tisk z cizin</w:t>
      </w:r>
      <w:r>
        <w:t>y. 3. května zakázala Francie dovoz japonského zboží mimo hedvábí a syntetický kafr. V Jugoslávii se 27. dubna dosáhlo v Záhře</w:t>
      </w:r>
      <w:r>
        <w:softHyphen/>
        <w:t xml:space="preserve">bě dohody mezi chorvatským politikem Máčkem a ministerským předsedou Cvetkovičem, která však potom nebyla v Bělehradě schválena. </w:t>
      </w:r>
      <w:r>
        <w:t>V B e 1 g i i od</w:t>
      </w:r>
      <w:r>
        <w:softHyphen/>
        <w:t>hlasovala sněmovna 27. dubna nové vládě Pierlotově plné moci ve věcech finančních a obranných. Dne 3. května byl odtamtud vypovězen po příhodě ve Win- terslagen náčelník německé pracovní fronty Ehlert. Bulharský ministerský předseda Kjosej</w:t>
      </w:r>
      <w:r>
        <w:t>vanov prohlásil ve sněmovně 20. dubna, že jeho země zůsta</w:t>
      </w:r>
      <w:r>
        <w:softHyphen/>
        <w:t>ne neutrální a nepřistoupí k balkánské dohodě, dokud nebudou splněny bulharské legitimní požadavky, které se, jak známo, vztahují na Dobrudžu a přístup k Egej- skému moři. VMaďarsku byla 29. dubna z</w:t>
      </w:r>
      <w:r>
        <w:t>ahájena činnost nově povolené německé organisace »Deutscher Volksbund«. Začátkem května byla rozpuštěna sně</w:t>
      </w:r>
      <w:r>
        <w:softHyphen/>
        <w:t>movna. Ve Španělsku byla madridská slavnostní přehlídka, po níž se mají vrátit italští legionáři do vlasti, stanovena na 15. květen. V Sovětském Sva</w:t>
      </w:r>
      <w:r>
        <w:t>zu byl 6. května svolán nejvyšší sovět na 25. května. Polskému presidentovi byla 9. května udělena mimořádná plná moc.</w:t>
      </w:r>
    </w:p>
    <w:p w:rsidR="00500724" w:rsidRDefault="00F30FB8">
      <w:pPr>
        <w:pStyle w:val="Zkladntext30"/>
        <w:shd w:val="clear" w:color="auto" w:fill="auto"/>
        <w:spacing w:after="0" w:line="221" w:lineRule="auto"/>
        <w:ind w:firstLine="0"/>
        <w:rPr>
          <w:sz w:val="20"/>
          <w:szCs w:val="20"/>
        </w:rPr>
      </w:pPr>
      <w:r>
        <w:rPr>
          <w:i/>
          <w:iCs/>
          <w:sz w:val="20"/>
          <w:szCs w:val="20"/>
        </w:rPr>
        <w:t>Jan Albert:</w:t>
      </w:r>
    </w:p>
    <w:p w:rsidR="00500724" w:rsidRDefault="00F30FB8">
      <w:pPr>
        <w:pStyle w:val="Nadpis100"/>
        <w:shd w:val="clear" w:color="auto" w:fill="auto"/>
        <w:spacing w:after="80" w:line="240" w:lineRule="auto"/>
      </w:pPr>
      <w:bookmarkStart w:id="502" w:name="bookmark501"/>
      <w:r>
        <w:t>Londýn a Moskva</w:t>
      </w:r>
      <w:bookmarkEnd w:id="502"/>
    </w:p>
    <w:p w:rsidR="00500724" w:rsidRDefault="00F30FB8">
      <w:pPr>
        <w:pStyle w:val="Zkladntext100"/>
        <w:shd w:val="clear" w:color="auto" w:fill="auto"/>
        <w:spacing w:line="211" w:lineRule="auto"/>
        <w:ind w:firstLine="220"/>
        <w:rPr>
          <w:sz w:val="19"/>
          <w:szCs w:val="19"/>
        </w:rPr>
      </w:pPr>
      <w:r>
        <w:rPr>
          <w:sz w:val="19"/>
          <w:szCs w:val="19"/>
        </w:rPr>
        <w:t xml:space="preserve">Na mnoho otázek, jež vyvolal náhlý odchod Litvino- vův, daly události zatím aspoň jednu odpověď: </w:t>
      </w:r>
      <w:r>
        <w:rPr>
          <w:sz w:val="19"/>
          <w:szCs w:val="19"/>
          <w:lang w:val="en-US" w:eastAsia="en-US" w:bidi="en-US"/>
        </w:rPr>
        <w:t xml:space="preserve">Molotov </w:t>
      </w:r>
      <w:r>
        <w:rPr>
          <w:sz w:val="19"/>
          <w:szCs w:val="19"/>
        </w:rPr>
        <w:t xml:space="preserve">pokračuje v jednání s Londýnem, kde </w:t>
      </w:r>
      <w:r>
        <w:rPr>
          <w:sz w:val="19"/>
          <w:szCs w:val="19"/>
          <w:lang w:val="en-US" w:eastAsia="en-US" w:bidi="en-US"/>
        </w:rPr>
        <w:t xml:space="preserve">Chamberlain </w:t>
      </w:r>
      <w:r>
        <w:rPr>
          <w:sz w:val="19"/>
          <w:szCs w:val="19"/>
        </w:rPr>
        <w:t>znovu prohlásil, že britská vláda pokládá jeho úspěšné dokončení za »věc největší důležitosti a naléhavosti®. Kronika minulého týdne ukáže, jakými stanicemi se prošlo na této cestě.</w:t>
      </w:r>
    </w:p>
    <w:p w:rsidR="00500724" w:rsidRDefault="00F30FB8">
      <w:pPr>
        <w:pStyle w:val="Zkladntext100"/>
        <w:numPr>
          <w:ilvl w:val="0"/>
          <w:numId w:val="62"/>
        </w:numPr>
        <w:shd w:val="clear" w:color="auto" w:fill="auto"/>
        <w:tabs>
          <w:tab w:val="left" w:pos="471"/>
        </w:tabs>
        <w:spacing w:line="209" w:lineRule="auto"/>
        <w:ind w:firstLine="220"/>
        <w:rPr>
          <w:sz w:val="19"/>
          <w:szCs w:val="19"/>
        </w:rPr>
      </w:pPr>
      <w:r>
        <w:rPr>
          <w:sz w:val="19"/>
          <w:szCs w:val="19"/>
        </w:rPr>
        <w:t xml:space="preserve">pondělí 8. května přijal </w:t>
      </w:r>
      <w:r>
        <w:rPr>
          <w:sz w:val="19"/>
          <w:szCs w:val="19"/>
          <w:lang w:val="en-US" w:eastAsia="en-US" w:bidi="en-US"/>
        </w:rPr>
        <w:t>M</w:t>
      </w:r>
      <w:r>
        <w:rPr>
          <w:sz w:val="19"/>
          <w:szCs w:val="19"/>
          <w:lang w:val="en-US" w:eastAsia="en-US" w:bidi="en-US"/>
        </w:rPr>
        <w:t xml:space="preserve">olotov </w:t>
      </w:r>
      <w:r>
        <w:rPr>
          <w:sz w:val="19"/>
          <w:szCs w:val="19"/>
        </w:rPr>
        <w:t>ve své nové funkci komisaře zahraničních záležitostí britského velvyslance v Moskvě Seedse, který mu přinesl odpověď své vlády na sovětské protinámitky ze 14. dubna. Z jejich roz</w:t>
      </w:r>
      <w:r>
        <w:rPr>
          <w:sz w:val="19"/>
          <w:szCs w:val="19"/>
        </w:rPr>
        <w:softHyphen/>
        <w:t>hovoru pronikl do veřejnosti jen Molotovův podiv nad tím, jak dlouho t</w:t>
      </w:r>
      <w:r>
        <w:rPr>
          <w:sz w:val="19"/>
          <w:szCs w:val="19"/>
        </w:rPr>
        <w:t>rvalo Londýnu, nežli odpověděl Moskvě. Sovětský tisk chtěl tím naznačit, že odpověd</w:t>
      </w:r>
      <w:r>
        <w:rPr>
          <w:sz w:val="19"/>
          <w:szCs w:val="19"/>
        </w:rPr>
        <w:softHyphen/>
        <w:t>nost za průtahy padá jen na Velkou Britanii.</w:t>
      </w:r>
    </w:p>
    <w:p w:rsidR="00500724" w:rsidRDefault="00F30FB8">
      <w:pPr>
        <w:pStyle w:val="Zkladntext100"/>
        <w:numPr>
          <w:ilvl w:val="0"/>
          <w:numId w:val="62"/>
        </w:numPr>
        <w:shd w:val="clear" w:color="auto" w:fill="auto"/>
        <w:tabs>
          <w:tab w:val="left" w:pos="476"/>
        </w:tabs>
        <w:spacing w:after="40" w:line="209" w:lineRule="auto"/>
        <w:ind w:firstLine="220"/>
        <w:rPr>
          <w:sz w:val="19"/>
          <w:szCs w:val="19"/>
        </w:rPr>
      </w:pPr>
      <w:r>
        <w:rPr>
          <w:sz w:val="19"/>
          <w:szCs w:val="19"/>
        </w:rPr>
        <w:t>úterý přinesly Izvěstija článek, jenž je oficiósní odpovědí na memorandum, odevzdané sirem Seedsem. Článek si stěžuje na to, že</w:t>
      </w:r>
      <w:r>
        <w:rPr>
          <w:sz w:val="19"/>
          <w:szCs w:val="19"/>
        </w:rPr>
        <w:t xml:space="preserve"> britským návrhům stále chybí duch poctivé vzájemnosti. Anglie a Francie — píše list — chtějí od Sovětského Svazu pomoc pro</w:t>
      </w:r>
    </w:p>
    <w:p w:rsidR="00500724" w:rsidRDefault="00F30FB8">
      <w:pPr>
        <w:pStyle w:val="Zkladntext100"/>
        <w:shd w:val="clear" w:color="auto" w:fill="auto"/>
        <w:spacing w:line="209" w:lineRule="auto"/>
        <w:ind w:firstLine="0"/>
        <w:rPr>
          <w:sz w:val="19"/>
          <w:szCs w:val="19"/>
        </w:rPr>
      </w:pPr>
      <w:r>
        <w:rPr>
          <w:sz w:val="19"/>
          <w:szCs w:val="19"/>
        </w:rPr>
        <w:t>Polsko a Rumunsko, ale nemluví o své pomoci pro případ, že by se Rusko stalo v důsledku své země</w:t>
      </w:r>
      <w:r>
        <w:rPr>
          <w:sz w:val="19"/>
          <w:szCs w:val="19"/>
        </w:rPr>
        <w:softHyphen/>
        <w:t>pisné polohy jediným předmětem útok</w:t>
      </w:r>
      <w:r>
        <w:rPr>
          <w:sz w:val="19"/>
          <w:szCs w:val="19"/>
        </w:rPr>
        <w:t>u. A pak prý není pravda, že by obrana Polska byla prakticky totožná s obranou SSSR, jak to chtějí vidět v Londýně a Paříži; spíše prý právě naopak je obrana Polska vlastně obranou obou západních velmocí.</w:t>
      </w:r>
    </w:p>
    <w:p w:rsidR="00500724" w:rsidRDefault="00F30FB8">
      <w:pPr>
        <w:pStyle w:val="Zkladntext100"/>
        <w:shd w:val="clear" w:color="auto" w:fill="auto"/>
        <w:spacing w:line="209" w:lineRule="auto"/>
        <w:ind w:firstLine="240"/>
        <w:rPr>
          <w:sz w:val="19"/>
          <w:szCs w:val="19"/>
        </w:rPr>
      </w:pPr>
      <w:r>
        <w:rPr>
          <w:sz w:val="19"/>
          <w:szCs w:val="19"/>
        </w:rPr>
        <w:t>Ještě téhož dne připojili britští dopisovatelé v Mo</w:t>
      </w:r>
      <w:r>
        <w:rPr>
          <w:sz w:val="19"/>
          <w:szCs w:val="19"/>
        </w:rPr>
        <w:t xml:space="preserve">skvě trochu pohoršené komentáře ke svým zprávám o článku Izvěstijí: jak prý už prostě patří k nešťastné povaze Rusů chtít bud’ všecko nebo nic a jak stará bolševická podezřívavost plní ovzduší zbytečnou nedůvěrou. Významnější událostí bylo, že současně </w:t>
      </w:r>
      <w:r>
        <w:rPr>
          <w:sz w:val="19"/>
          <w:szCs w:val="19"/>
          <w:lang w:val="en-US" w:eastAsia="en-US" w:bidi="en-US"/>
        </w:rPr>
        <w:t xml:space="preserve">si </w:t>
      </w:r>
      <w:r>
        <w:rPr>
          <w:sz w:val="19"/>
          <w:szCs w:val="19"/>
          <w:lang w:val="en-US" w:eastAsia="en-US" w:bidi="en-US"/>
        </w:rPr>
        <w:t xml:space="preserve">Halifax </w:t>
      </w:r>
      <w:r>
        <w:rPr>
          <w:sz w:val="19"/>
          <w:szCs w:val="19"/>
        </w:rPr>
        <w:t>ještě jednou pozval Majského, aby se ho vyptal na jpřesné důvody« nedůvěřivosti sovětské vlády; vyslovil při tom přesvědčení, že bude snadno odstranit příčiny této nedůvěry.</w:t>
      </w:r>
    </w:p>
    <w:p w:rsidR="00500724" w:rsidRDefault="00F30FB8">
      <w:pPr>
        <w:pStyle w:val="Zkladntext100"/>
        <w:shd w:val="clear" w:color="auto" w:fill="auto"/>
        <w:spacing w:line="209" w:lineRule="auto"/>
        <w:ind w:firstLine="240"/>
        <w:rPr>
          <w:sz w:val="19"/>
          <w:szCs w:val="19"/>
        </w:rPr>
      </w:pPr>
      <w:r>
        <w:rPr>
          <w:sz w:val="19"/>
          <w:szCs w:val="19"/>
        </w:rPr>
        <w:t xml:space="preserve">Středa pak byla velikým dnem Londýna. Britští ministři se dvakrát sešli k </w:t>
      </w:r>
      <w:r>
        <w:rPr>
          <w:sz w:val="19"/>
          <w:szCs w:val="19"/>
        </w:rPr>
        <w:t>poradám, věnovaným vý</w:t>
      </w:r>
      <w:r>
        <w:rPr>
          <w:sz w:val="19"/>
          <w:szCs w:val="19"/>
        </w:rPr>
        <w:softHyphen/>
        <w:t xml:space="preserve">lučně sovětskému problému. Na to podal </w:t>
      </w:r>
      <w:r>
        <w:rPr>
          <w:sz w:val="19"/>
          <w:szCs w:val="19"/>
          <w:lang w:val="en-US" w:eastAsia="en-US" w:bidi="en-US"/>
        </w:rPr>
        <w:t xml:space="preserve">Chamberlain </w:t>
      </w:r>
      <w:r>
        <w:rPr>
          <w:sz w:val="19"/>
          <w:szCs w:val="19"/>
        </w:rPr>
        <w:t>v dolní sněmovně první oficiální výklad o dosavadním průběhu anglo-ruských vyjednávání, výklad, k němuž jej zřejmě pohnul zmíněný článek Izvěstijí, který podle anglického mínění potře</w:t>
      </w:r>
      <w:r>
        <w:rPr>
          <w:sz w:val="19"/>
          <w:szCs w:val="19"/>
        </w:rPr>
        <w:t>boval vysvětlení. Ministerský předseda konstatoval, že britská vláda se nejprve jen dotázala vlády ruské, zda by Sovětský Svaz mohl ^napadenému* Polsku poskytnout pomoc ihned, jakmile by o to byl požádán Polskem, jemuž Anglie a Francie dala známé záruky; a</w:t>
      </w:r>
      <w:r>
        <w:rPr>
          <w:sz w:val="19"/>
          <w:szCs w:val="19"/>
        </w:rPr>
        <w:t xml:space="preserve"> zda by byl Sovětský Svaz ochoten učinit o tom bezodkladně veřejné prohlášení. Ruská vláda odpověděla na to návrhem plánu mnohem širšího, který by podle Chamberlaina měl snad některé výhody, který by však určitě vyvolal obtíže, jimž se britská politika cht</w:t>
      </w:r>
      <w:r>
        <w:rPr>
          <w:sz w:val="19"/>
          <w:szCs w:val="19"/>
        </w:rPr>
        <w:t>ěla vyhnout. Anglie dala tedy Moskvě najevo, že přeje-li si sovětská vláda učinit svoji vlastní intervenci závislou na intervenci Velké Britanie a Francie, pak proti tomu není v Londýně námitek. Na dotaz labouristy Daltona, zda by v dané situaci ne</w:t>
      </w:r>
      <w:r>
        <w:rPr>
          <w:sz w:val="19"/>
          <w:szCs w:val="19"/>
        </w:rPr>
        <w:softHyphen/>
        <w:t>bylo ne</w:t>
      </w:r>
      <w:r>
        <w:rPr>
          <w:sz w:val="19"/>
          <w:szCs w:val="19"/>
        </w:rPr>
        <w:t xml:space="preserve">jrozumnější, aby </w:t>
      </w:r>
      <w:r>
        <w:rPr>
          <w:sz w:val="19"/>
          <w:szCs w:val="19"/>
          <w:lang w:val="en-US" w:eastAsia="en-US" w:bidi="en-US"/>
        </w:rPr>
        <w:t xml:space="preserve">lord Halifax </w:t>
      </w:r>
      <w:r>
        <w:rPr>
          <w:sz w:val="19"/>
          <w:szCs w:val="19"/>
        </w:rPr>
        <w:t>jel osobně do Moskvy k Molotovovi, odpověděl ministerský předseda v tom smyslu, že to prozatím nepovažuje za účelno.</w:t>
      </w:r>
    </w:p>
    <w:p w:rsidR="00500724" w:rsidRDefault="00F30FB8">
      <w:pPr>
        <w:pStyle w:val="Zkladntext100"/>
        <w:shd w:val="clear" w:color="auto" w:fill="auto"/>
        <w:spacing w:line="209" w:lineRule="auto"/>
        <w:ind w:firstLine="240"/>
        <w:rPr>
          <w:sz w:val="19"/>
          <w:szCs w:val="19"/>
        </w:rPr>
      </w:pPr>
      <w:r>
        <w:rPr>
          <w:sz w:val="19"/>
          <w:szCs w:val="19"/>
        </w:rPr>
        <w:t>Ve čtvrtek přinesl úvodník Timesů oficiosní odpověď na úterní komuniké Izvěstijí. Sdělil v ní zcela ne</w:t>
      </w:r>
      <w:r>
        <w:rPr>
          <w:sz w:val="19"/>
          <w:szCs w:val="19"/>
        </w:rPr>
        <w:softHyphen/>
        <w:t>pokryt</w:t>
      </w:r>
      <w:r>
        <w:rPr>
          <w:sz w:val="19"/>
          <w:szCs w:val="19"/>
        </w:rPr>
        <w:t>ě pravý důvod, proč Anglie odmítá široký ruský plán: protože by ji vtáhl do ideologické fronty, neodpovídající ani světovému názoru, ani bezprostřed</w:t>
      </w:r>
      <w:r>
        <w:rPr>
          <w:sz w:val="19"/>
          <w:szCs w:val="19"/>
        </w:rPr>
        <w:softHyphen/>
        <w:t>ním zájmům Angličanů. Kromě toho polemisoval s tvrzením moskevského listu, že by sovětská pomoc Polsku ve s</w:t>
      </w:r>
      <w:r>
        <w:rPr>
          <w:sz w:val="19"/>
          <w:szCs w:val="19"/>
        </w:rPr>
        <w:t>kutečnosti znamenala jen pomoc Anglii a Francii; uvedl některé citáty z Mein Kampf o tom, kde leží v Evropě ^panenská půda«, aby připomněl Rusku, že ochrana polské integrity není o nic méně jeho zájmem než zájmem ostrovní říše.</w:t>
      </w:r>
    </w:p>
    <w:p w:rsidR="00500724" w:rsidRDefault="00F30FB8">
      <w:pPr>
        <w:pStyle w:val="Zkladntext100"/>
        <w:shd w:val="clear" w:color="auto" w:fill="auto"/>
        <w:spacing w:line="206" w:lineRule="auto"/>
        <w:ind w:firstLine="240"/>
        <w:rPr>
          <w:sz w:val="19"/>
          <w:szCs w:val="19"/>
        </w:rPr>
      </w:pPr>
      <w:r>
        <w:rPr>
          <w:sz w:val="19"/>
          <w:szCs w:val="19"/>
        </w:rPr>
        <w:t>Pátek byl pak ještě dnem, kd</w:t>
      </w:r>
      <w:r>
        <w:rPr>
          <w:sz w:val="19"/>
          <w:szCs w:val="19"/>
        </w:rPr>
        <w:t>y se kongres liberální strany v Scarboroughu vyslovil pro nejtěsnější spolu</w:t>
      </w:r>
      <w:r>
        <w:rPr>
          <w:sz w:val="19"/>
          <w:szCs w:val="19"/>
        </w:rPr>
        <w:softHyphen/>
        <w:t xml:space="preserve">práci Anglie s Ruskem. </w:t>
      </w:r>
      <w:r>
        <w:rPr>
          <w:sz w:val="19"/>
          <w:szCs w:val="19"/>
          <w:lang w:val="en-US" w:eastAsia="en-US" w:bidi="en-US"/>
        </w:rPr>
        <w:t xml:space="preserve">Weekend </w:t>
      </w:r>
      <w:r>
        <w:rPr>
          <w:sz w:val="19"/>
          <w:szCs w:val="19"/>
        </w:rPr>
        <w:t>proběhl tentokráte v nerušeném klidu.</w:t>
      </w:r>
    </w:p>
    <w:p w:rsidR="00500724" w:rsidRDefault="00F30FB8">
      <w:pPr>
        <w:pStyle w:val="Zkladntext100"/>
        <w:shd w:val="clear" w:color="auto" w:fill="auto"/>
        <w:spacing w:after="100" w:line="206" w:lineRule="auto"/>
        <w:ind w:firstLine="0"/>
        <w:jc w:val="center"/>
        <w:rPr>
          <w:sz w:val="19"/>
          <w:szCs w:val="19"/>
        </w:rPr>
      </w:pPr>
      <w:r>
        <w:rPr>
          <w:sz w:val="19"/>
          <w:szCs w:val="19"/>
        </w:rPr>
        <w:t>•</w:t>
      </w:r>
    </w:p>
    <w:p w:rsidR="00500724" w:rsidRDefault="00F30FB8">
      <w:pPr>
        <w:pStyle w:val="Zkladntext100"/>
        <w:shd w:val="clear" w:color="auto" w:fill="auto"/>
        <w:spacing w:line="206" w:lineRule="auto"/>
        <w:ind w:firstLine="240"/>
        <w:rPr>
          <w:sz w:val="19"/>
          <w:szCs w:val="19"/>
        </w:rPr>
      </w:pPr>
      <w:r>
        <w:rPr>
          <w:sz w:val="19"/>
          <w:szCs w:val="19"/>
        </w:rPr>
        <w:t xml:space="preserve">Celý ten týden dokázal, že anglo-ruské jednání se vskutku točí kolem bodu, který jsme zde už minule </w:t>
      </w:r>
      <w:r>
        <w:rPr>
          <w:sz w:val="19"/>
          <w:szCs w:val="19"/>
        </w:rPr>
        <w:t>zdůraznili: kolem otázky striktní vzájemnosti všech sjednávaných závazků. Prozatím je tu však jen vzájem</w:t>
      </w:r>
      <w:r>
        <w:rPr>
          <w:sz w:val="19"/>
          <w:szCs w:val="19"/>
        </w:rPr>
        <w:softHyphen/>
        <w:t>nost v nedůvěře.</w:t>
      </w:r>
    </w:p>
    <w:p w:rsidR="00500724" w:rsidRDefault="00F30FB8">
      <w:pPr>
        <w:pStyle w:val="Zkladntext100"/>
        <w:shd w:val="clear" w:color="auto" w:fill="auto"/>
        <w:spacing w:line="240" w:lineRule="auto"/>
        <w:ind w:firstLine="240"/>
        <w:rPr>
          <w:sz w:val="20"/>
          <w:szCs w:val="20"/>
        </w:rPr>
      </w:pPr>
      <w:r>
        <w:rPr>
          <w:sz w:val="19"/>
          <w:szCs w:val="19"/>
        </w:rPr>
        <w:t>Ta zní až příliš jasně z polemiky Izvěstijí a Timesů. Jejím základním tématem je prostičká otázka, komu vlastně má být anglo-ruská sml</w:t>
      </w:r>
      <w:r>
        <w:rPr>
          <w:sz w:val="19"/>
          <w:szCs w:val="19"/>
        </w:rPr>
        <w:t>ouva na prospěch. Moskva tvrdí, že jen demokratickému západu, Londýn namítá, že také bolševickému východu. Moskva chce říci, že Londýn musí za smlouvu zaplatit Ruskem požadovanou cenu široké vzájemnosti; Londýn odpoví</w:t>
      </w:r>
      <w:r>
        <w:rPr>
          <w:sz w:val="19"/>
          <w:szCs w:val="19"/>
        </w:rPr>
        <w:softHyphen/>
        <w:t>dá, že o placení se nedá vůbec mluvit,</w:t>
      </w:r>
      <w:r>
        <w:rPr>
          <w:sz w:val="19"/>
          <w:szCs w:val="19"/>
        </w:rPr>
        <w:t xml:space="preserve"> protože smlouva má sloužit stejně zájmům ruským jako britským. Bylo </w:t>
      </w:r>
      <w:r>
        <w:rPr>
          <w:rFonts w:ascii="Arial" w:eastAsia="Arial" w:hAnsi="Arial" w:cs="Arial"/>
          <w:b/>
          <w:bCs/>
          <w:i/>
          <w:iCs/>
          <w:sz w:val="20"/>
          <w:szCs w:val="20"/>
        </w:rPr>
        <w:t>Í04</w:t>
      </w:r>
    </w:p>
    <w:p w:rsidR="00500724" w:rsidRDefault="00F30FB8">
      <w:pPr>
        <w:pStyle w:val="Zkladntext100"/>
        <w:shd w:val="clear" w:color="auto" w:fill="auto"/>
        <w:spacing w:line="209" w:lineRule="auto"/>
        <w:ind w:firstLine="0"/>
        <w:rPr>
          <w:sz w:val="19"/>
          <w:szCs w:val="19"/>
        </w:rPr>
      </w:pPr>
      <w:r>
        <w:rPr>
          <w:i/>
          <w:iCs/>
          <w:sz w:val="19"/>
          <w:szCs w:val="19"/>
        </w:rPr>
        <w:t>by</w:t>
      </w:r>
      <w:r>
        <w:rPr>
          <w:sz w:val="19"/>
          <w:szCs w:val="19"/>
        </w:rPr>
        <w:t xml:space="preserve"> snad lze říci, že londýnské stanovisko je v tomto případě logičtější.</w:t>
      </w:r>
    </w:p>
    <w:p w:rsidR="00500724" w:rsidRDefault="00F30FB8">
      <w:pPr>
        <w:pStyle w:val="Zkladntext100"/>
        <w:shd w:val="clear" w:color="auto" w:fill="auto"/>
        <w:spacing w:after="260" w:line="209" w:lineRule="auto"/>
        <w:ind w:firstLine="240"/>
        <w:rPr>
          <w:sz w:val="19"/>
          <w:szCs w:val="19"/>
        </w:rPr>
      </w:pPr>
      <w:r>
        <w:rPr>
          <w:sz w:val="19"/>
          <w:szCs w:val="19"/>
        </w:rPr>
        <w:t xml:space="preserve">Izvěstija přišly </w:t>
      </w:r>
      <w:r>
        <w:rPr>
          <w:sz w:val="20"/>
          <w:szCs w:val="20"/>
        </w:rPr>
        <w:t xml:space="preserve">s </w:t>
      </w:r>
      <w:r>
        <w:rPr>
          <w:sz w:val="19"/>
          <w:szCs w:val="19"/>
        </w:rPr>
        <w:t>argumentem zvlášť nebezpečné zeměpisné polohy sovětského Ruska. Tohoto zřejmě inspirovaného</w:t>
      </w:r>
      <w:r>
        <w:rPr>
          <w:sz w:val="19"/>
          <w:szCs w:val="19"/>
        </w:rPr>
        <w:t xml:space="preserve"> argumentu použil pak </w:t>
      </w:r>
      <w:r>
        <w:rPr>
          <w:sz w:val="19"/>
          <w:szCs w:val="19"/>
          <w:lang w:val="en-US" w:eastAsia="en-US" w:bidi="en-US"/>
        </w:rPr>
        <w:t xml:space="preserve">Molotov </w:t>
      </w:r>
      <w:r>
        <w:rPr>
          <w:sz w:val="19"/>
          <w:szCs w:val="19"/>
        </w:rPr>
        <w:t>k tomu, aby odůvodnil nový požadavek své vlády, týkající se tentokrát okamžitého zahájení porad generálních štábů. Moskva si přeje vědět něco docela konkrétního o tom, kdy, kde a jak by Anglie a Francie dala nastoupit svým voj</w:t>
      </w:r>
      <w:r>
        <w:rPr>
          <w:sz w:val="19"/>
          <w:szCs w:val="19"/>
        </w:rPr>
        <w:t>enským silám. Zdá se, že Rusko teď pokládá takové porady generálních štábů za první předpoklad dalšího úspěšného vyjednávání. Po jeho loňských zku</w:t>
      </w:r>
      <w:r>
        <w:rPr>
          <w:sz w:val="19"/>
          <w:szCs w:val="19"/>
        </w:rPr>
        <w:softHyphen/>
        <w:t>šenostech se tomu nelze divit. Na západě by ovšem mohli namítnout, že podobné průtahy špatně od</w:t>
      </w:r>
      <w:r>
        <w:rPr>
          <w:sz w:val="19"/>
          <w:szCs w:val="19"/>
        </w:rPr>
        <w:softHyphen/>
        <w:t>povídají 3. b</w:t>
      </w:r>
      <w:r>
        <w:rPr>
          <w:sz w:val="19"/>
          <w:szCs w:val="19"/>
        </w:rPr>
        <w:t>odu základních směrnic sovětské zahraniční politiky, jak je vytkl Stalin na březnovém sjezdu bolševické strany, totiž bodu, v němž se slibuje jpomoc státům, jež by se staly obětí útoku ve svém boji za neodvislostc. A této námitce zase nelze upřít logičnost</w:t>
      </w:r>
      <w:r>
        <w:rPr>
          <w:sz w:val="19"/>
          <w:szCs w:val="19"/>
        </w:rPr>
        <w:t>.</w:t>
      </w:r>
    </w:p>
    <w:p w:rsidR="00500724" w:rsidRDefault="00F30FB8">
      <w:pPr>
        <w:pStyle w:val="Jin0"/>
        <w:shd w:val="clear" w:color="auto" w:fill="auto"/>
        <w:spacing w:after="120"/>
        <w:ind w:firstLine="0"/>
        <w:jc w:val="left"/>
        <w:rPr>
          <w:sz w:val="44"/>
          <w:szCs w:val="44"/>
        </w:rPr>
      </w:pPr>
      <w:r>
        <w:rPr>
          <w:b/>
          <w:bCs/>
          <w:sz w:val="44"/>
          <w:szCs w:val="44"/>
          <w:u w:val="single"/>
        </w:rPr>
        <w:t>literatura a uměni</w:t>
      </w:r>
    </w:p>
    <w:p w:rsidR="00500724" w:rsidRDefault="00F30FB8">
      <w:pPr>
        <w:pStyle w:val="Zkladntext30"/>
        <w:shd w:val="clear" w:color="auto" w:fill="auto"/>
        <w:spacing w:after="0" w:line="221" w:lineRule="auto"/>
        <w:ind w:firstLine="0"/>
        <w:jc w:val="right"/>
        <w:rPr>
          <w:sz w:val="20"/>
          <w:szCs w:val="20"/>
        </w:rPr>
      </w:pPr>
      <w:r>
        <w:rPr>
          <w:i/>
          <w:iCs/>
          <w:sz w:val="20"/>
          <w:szCs w:val="20"/>
        </w:rPr>
        <w:t>Edmond Konrád:</w:t>
      </w:r>
    </w:p>
    <w:p w:rsidR="00500724" w:rsidRDefault="00F30FB8">
      <w:pPr>
        <w:pStyle w:val="Nadpis100"/>
        <w:shd w:val="clear" w:color="auto" w:fill="auto"/>
        <w:spacing w:after="0" w:line="240" w:lineRule="auto"/>
      </w:pPr>
      <w:bookmarkStart w:id="503" w:name="bookmark502"/>
      <w:r>
        <w:t>Fata morgana potlesku</w:t>
      </w:r>
      <w:bookmarkEnd w:id="503"/>
    </w:p>
    <w:p w:rsidR="00500724" w:rsidRDefault="00F30FB8">
      <w:pPr>
        <w:pStyle w:val="Zkladntext100"/>
        <w:shd w:val="clear" w:color="auto" w:fill="auto"/>
        <w:spacing w:line="233" w:lineRule="auto"/>
        <w:ind w:firstLine="0"/>
        <w:jc w:val="center"/>
        <w:rPr>
          <w:sz w:val="19"/>
          <w:szCs w:val="19"/>
        </w:rPr>
      </w:pPr>
      <w:r>
        <w:rPr>
          <w:b/>
          <w:bCs/>
          <w:sz w:val="19"/>
          <w:szCs w:val="19"/>
        </w:rPr>
        <w:t>Poznámky k Čapkovu Foltýnovi</w:t>
      </w:r>
    </w:p>
    <w:p w:rsidR="00500724" w:rsidRDefault="00F30FB8">
      <w:pPr>
        <w:pStyle w:val="Zkladntext100"/>
        <w:shd w:val="clear" w:color="auto" w:fill="auto"/>
        <w:spacing w:after="60" w:line="211" w:lineRule="auto"/>
        <w:ind w:firstLine="0"/>
        <w:jc w:val="right"/>
      </w:pPr>
      <w:r>
        <w:t>»Je suis un obyčejný příživník.* Dostojevskij</w:t>
      </w:r>
    </w:p>
    <w:p w:rsidR="00500724" w:rsidRDefault="00F30FB8">
      <w:pPr>
        <w:pStyle w:val="Zkladntext30"/>
        <w:shd w:val="clear" w:color="auto" w:fill="auto"/>
        <w:spacing w:after="80" w:line="202" w:lineRule="auto"/>
        <w:ind w:firstLine="0"/>
        <w:jc w:val="center"/>
      </w:pPr>
      <w:r>
        <w:t>»Autor!«</w:t>
      </w:r>
    </w:p>
    <w:p w:rsidR="00500724" w:rsidRDefault="00F30FB8">
      <w:pPr>
        <w:pStyle w:val="Zkladntext30"/>
        <w:shd w:val="clear" w:color="auto" w:fill="auto"/>
        <w:spacing w:after="0" w:line="202" w:lineRule="auto"/>
        <w:ind w:firstLine="240"/>
      </w:pPr>
      <w:r>
        <w:t xml:space="preserve">Když se jde z úspěšné premiéry, kde byl vyvolán autor — a o které premiéře nebývá autor vyvolán? — leckoho </w:t>
      </w:r>
      <w:r>
        <w:t>napadne, že »by to také dovedl«. Dobré dílo zdá se snadné. A vodopád potlesku, soustředěný na tvůrcovu hlavu, libě svádí. V mysli vznětlivějšího di</w:t>
      </w:r>
      <w:r>
        <w:softHyphen/>
        <w:t>váka se zamění báseň s básníkem, práce s úspěchem. Je-li nahlodán jen krůpějí slovesné pohotovosti, stů- ně-</w:t>
      </w:r>
      <w:r>
        <w:t>li jen stopou polonadání, nebezpečně rychle se ne</w:t>
      </w:r>
      <w:r>
        <w:softHyphen/>
        <w:t>šťastník rozhodne, že napíše kus. Může to docela slušně dopadnout. Je od počátku světa napsáno kusů tolik, že by v tom byl čert, aby k dvaceti tisícům dramatiků nemohl přibýt dvacetitisící a prvý. Nijak net</w:t>
      </w:r>
      <w:r>
        <w:t>řeba skrádat. Pamět plná ozvěn, vzdělání, poučené na bezpočtu nezapomenutelných a zapomenutých mi</w:t>
      </w:r>
      <w:r>
        <w:softHyphen/>
        <w:t>strů, bezpečně pomůže k nové, vlastní a originální obměně. Je kultury tolik, že skoro nelze být původní. A je kultury tolik, že skoro nelze být nepůvodní. Spo</w:t>
      </w:r>
      <w:r>
        <w:t>usta prostředností se rodí z hojné, k nepoznání rozmělněné, osobitě strávené znalosti. Jenom ne- japa bude hrubě plagovat. Je asi dokonce obtížné, nápodobit věrně. Středověcí malíři se prý poctivě o to pokoušeli. Ale bezděky se jim vždy připletla vlastní o</w:t>
      </w:r>
      <w:r>
        <w:t xml:space="preserve">sobnost. Vzdělanec dnešní má nepoměrně větší výběr vzorů. Potřebuje nepoměrně méně vlastní osobnosti. Stačí osoba, a všehochuť několika století, několika dílů světa se plaguje sama s nejčistším svědomím. S tvůrčí rozkoší. Každý věk je plný malých Foltýnů. </w:t>
      </w:r>
      <w:r>
        <w:t>Náš asi nejplnější, neb je nejplnější lidí, nejplnější umění, nejplnější potlesku.</w:t>
      </w:r>
    </w:p>
    <w:p w:rsidR="00500724" w:rsidRDefault="00F30FB8">
      <w:pPr>
        <w:pStyle w:val="Zkladntext30"/>
        <w:shd w:val="clear" w:color="auto" w:fill="auto"/>
        <w:spacing w:after="180" w:line="202" w:lineRule="auto"/>
        <w:ind w:firstLine="240"/>
      </w:pPr>
      <w:r>
        <w:t>Nemusí to být jeviště. Dnes je to ponejvíce film. Ale může to být stejně román, také vynálezy. Čapek pro Foltýna vybral hudbu.</w:t>
      </w:r>
    </w:p>
    <w:p w:rsidR="00500724" w:rsidRDefault="00F30FB8">
      <w:pPr>
        <w:pStyle w:val="Nadpis110"/>
        <w:shd w:val="clear" w:color="auto" w:fill="auto"/>
        <w:spacing w:after="80" w:line="202" w:lineRule="auto"/>
        <w:jc w:val="center"/>
      </w:pPr>
      <w:bookmarkStart w:id="504" w:name="bookmark503"/>
      <w:r>
        <w:rPr>
          <w:rFonts w:ascii="Times New Roman" w:eastAsia="Times New Roman" w:hAnsi="Times New Roman" w:cs="Times New Roman"/>
        </w:rPr>
        <w:t>Název zrcadlem</w:t>
      </w:r>
      <w:bookmarkEnd w:id="504"/>
    </w:p>
    <w:p w:rsidR="00500724" w:rsidRDefault="00F30FB8">
      <w:pPr>
        <w:pStyle w:val="Zkladntext30"/>
        <w:shd w:val="clear" w:color="auto" w:fill="auto"/>
        <w:spacing w:after="80" w:line="206" w:lineRule="auto"/>
        <w:ind w:firstLine="0"/>
      </w:pPr>
      <w:r>
        <w:rPr>
          <w:b/>
          <w:bCs/>
        </w:rPr>
        <w:t xml:space="preserve">V </w:t>
      </w:r>
      <w:r>
        <w:t>jedné kritice byl vysloven úd</w:t>
      </w:r>
      <w:r>
        <w:t>iv, proč se nedo</w:t>
      </w:r>
      <w:r>
        <w:softHyphen/>
        <w:t xml:space="preserve">psaný Čapkův zlomek jmenuje &gt;Život </w:t>
      </w:r>
      <w:r>
        <w:rPr>
          <w:b/>
          <w:bCs/>
          <w:sz w:val="26"/>
          <w:szCs w:val="26"/>
        </w:rPr>
        <w:t xml:space="preserve">a </w:t>
      </w:r>
      <w:r>
        <w:t>dílo skládá-</w:t>
      </w:r>
      <w:r>
        <w:br w:type="page"/>
        <w:t>tele Foltýna«, když přece jde o jedince zcela neob</w:t>
      </w:r>
      <w:r>
        <w:softHyphen/>
        <w:t xml:space="preserve">vyklé trosečnosti, jenž ani skladatelem není, ani díla nestvořil. Je s podivením, že kritikovi unikla teskná ironie toho názvu: tak si </w:t>
      </w:r>
      <w:r>
        <w:t>přec od školských let před</w:t>
      </w:r>
      <w:r>
        <w:softHyphen/>
        <w:t>stavuje Běda Folten svůj budoucí životopis, vydaný nějakým příštím docentem. Je příznačné pro všechny Foltýny, ale i pro mládence v pubertě, že si na za</w:t>
      </w:r>
      <w:r>
        <w:softHyphen/>
        <w:t>čátku představují hned konec. To, co je mezi koncem a začátkem, si představi</w:t>
      </w:r>
      <w:r>
        <w:t>t zapomenou: tak, jako ten vznětlivý divák, jenž viděl autora na rampě a pro úspěch zapomněl práci. Běda Folten je krajní, do holá obnažený případ kulturního foltýnství, libo-li: foltý- nismu par excellence. Běda sám jako sextán hned na stránce čtrnácté př</w:t>
      </w:r>
      <w:r>
        <w:t>esně odhaluje původ své poruchy: B&gt;Před dvěma lety jsem se dostal na koncert,... to ti bylo úžasné! Ten člověk hrál, až mu vlasy spa</w:t>
      </w:r>
      <w:r>
        <w:softHyphen/>
        <w:t>daly na klávesy... Tam jsem to pochopil...«</w:t>
      </w:r>
    </w:p>
    <w:p w:rsidR="00500724" w:rsidRDefault="00F30FB8">
      <w:pPr>
        <w:pStyle w:val="Zkladntext30"/>
        <w:shd w:val="clear" w:color="auto" w:fill="auto"/>
        <w:spacing w:after="80" w:line="202" w:lineRule="auto"/>
        <w:ind w:firstLine="240"/>
      </w:pPr>
      <w:r>
        <w:t>Rollandovu Janu Kryštofovi od dětství zní hudba. Foltýnovi v příznačné záměně m</w:t>
      </w:r>
      <w:r>
        <w:t>ísto hudby uvízl na mysli hudebník. Ne tóny, vlasy. Ne úhoz, ale dohmat prstů. Fialový kabát. Vypouklé spánky. Vázanka. Náramek. Postoje: » ... hrál... s hlavou zvrácenou nazad a s očima zavřenýma; pak se zase sklonil až ke klávesnici, jako by se zlomil...</w:t>
      </w:r>
      <w:r>
        <w:t xml:space="preserve"> napřimoval se... zabouřil... a pohodil hlavou nazad; tak zůstal... s bledýma očima vytřeštěnýma jako do jiného světa ...« a představoval si patrně nápis na svém životo</w:t>
      </w:r>
      <w:r>
        <w:softHyphen/>
        <w:t>pise: »Život a dílo skladatele Foltýna.«</w:t>
      </w:r>
    </w:p>
    <w:p w:rsidR="00500724" w:rsidRDefault="00F30FB8">
      <w:pPr>
        <w:pStyle w:val="Zkladntext30"/>
        <w:shd w:val="clear" w:color="auto" w:fill="auto"/>
        <w:spacing w:after="0" w:line="211" w:lineRule="auto"/>
        <w:ind w:firstLine="240"/>
      </w:pPr>
      <w:r>
        <w:t>Není pochyby o tom, že po hře onoho umělce, je</w:t>
      </w:r>
      <w:r>
        <w:t>muž naslouchal čtrnáctiletý trémista, notoricky neschopný projevu, následoval frenetický potlesk. Umělec se ukláněl. A chlapci uvízly všechny vnější znaky umělcovy nesmazatelně v mysli. Tak jako vznětli</w:t>
      </w:r>
      <w:r>
        <w:softHyphen/>
        <w:t xml:space="preserve">vému diváku v divadle autor, vyvolaný o premiéře. Ne </w:t>
      </w:r>
      <w:r>
        <w:t>to, co hrál: o hudbě není zmínky. Ani jak hrál: ale jak při tom vypadal. Jeho pósa. Ne hudba. Kdyby Běda místo do koncertu byl tenkrát přišel do divadla, byl by se asi dal k divadlu. Mnoho mladých lidí se dalo k divadlu, protože viděli Vojana — a přece ne</w:t>
      </w:r>
      <w:r>
        <w:softHyphen/>
      </w:r>
      <w:r>
        <w:t>pochodili. Spletli si Vojanovu slávu s Vojanovou hrou.</w:t>
      </w:r>
    </w:p>
    <w:p w:rsidR="00500724" w:rsidRDefault="00F30FB8">
      <w:pPr>
        <w:pStyle w:val="Zkladntext30"/>
        <w:shd w:val="clear" w:color="auto" w:fill="auto"/>
        <w:spacing w:after="200" w:line="211" w:lineRule="auto"/>
        <w:ind w:firstLine="240"/>
      </w:pPr>
      <w:r>
        <w:t>Ale přes to, možná, z Foltýna v příznivějších pod</w:t>
      </w:r>
      <w:r>
        <w:softHyphen/>
        <w:t>mínkách mohl být ještě nejspíše herec. Je to herec, zaražený ve vývoji. Nebudiž touto domněnkou ubližo</w:t>
      </w:r>
      <w:r>
        <w:softHyphen/>
        <w:t>váno hercům. Samozřejmě však i mezi nimi jsou Fo</w:t>
      </w:r>
      <w:r>
        <w:t>l- týnové. A v podstatě herectví je cosi — viz Frejkova »Člověka, jenž se stal hercem« — co s Čapkovým ironickým hrdinou souvisí: představovat si někoho, představovat někoho. U skutečného herce se to vy</w:t>
      </w:r>
      <w:r>
        <w:softHyphen/>
        <w:t>tříbí v umění. U Foltýna v životní pósu. Foltýn se ve</w:t>
      </w:r>
      <w:r>
        <w:t xml:space="preserve"> čtrnácti letech zamiloval do hudebníka a nejsa hudebník, vyvinul se v kulturního hochštaplera.</w:t>
      </w:r>
    </w:p>
    <w:p w:rsidR="00500724" w:rsidRDefault="00F30FB8">
      <w:pPr>
        <w:pStyle w:val="Zkladntext30"/>
        <w:shd w:val="clear" w:color="auto" w:fill="auto"/>
        <w:spacing w:after="80" w:line="202" w:lineRule="auto"/>
        <w:ind w:firstLine="0"/>
      </w:pPr>
      <w:r>
        <w:t>Diagnosa kulturního hochštaplerství</w:t>
      </w:r>
    </w:p>
    <w:p w:rsidR="00500724" w:rsidRDefault="00F30FB8">
      <w:pPr>
        <w:pStyle w:val="Zkladntext30"/>
        <w:shd w:val="clear" w:color="auto" w:fill="auto"/>
        <w:spacing w:after="0" w:line="202" w:lineRule="auto"/>
        <w:ind w:firstLine="240"/>
      </w:pPr>
      <w:r>
        <w:t>Smrt nás připravila o většinu vývodů kladných, o závěry a soudy, jež byly v autorově záměru. Ne</w:t>
      </w:r>
      <w:r>
        <w:softHyphen/>
        <w:t xml:space="preserve">chala nám jen zápornou </w:t>
      </w:r>
      <w:r>
        <w:t>exposici a část přechodu k nim. Jan Trojan, Foltýnův přísný protiklad, je hudební asketa, mnišsky zbožný purista. Trochu školomet a v hierarchii umění jen malý ďáček. Ne</w:t>
      </w:r>
      <w:r>
        <w:softHyphen/>
        <w:t>představuje tvůrčí moc. Představuje zákon. Ostal pouhým poctivým korepetitorem. Je teo</w:t>
      </w:r>
      <w:r>
        <w:t>retik řehole. Možno z rozmluv s Čapkem dosvědčit asi tato jeho slova: »Po Trojanovi přijde ještě někdo, ten tu teorii a logiku sloučí s tím, co je v umění nevypočitatelného. Do řehole vtrhne život, krev, skutečnost. Poměr k člověku, srdce, tělo, smysly, du</w:t>
      </w:r>
      <w:r>
        <w:t xml:space="preserve">še, city. A to teprv budu já, moje krédo, můj názor na umění. Řehole, </w:t>
      </w:r>
      <w:r>
        <w:rPr>
          <w:lang w:val="en-US" w:eastAsia="en-US" w:bidi="en-US"/>
        </w:rPr>
        <w:t xml:space="preserve">all right. </w:t>
      </w:r>
      <w:r>
        <w:t>Řád, logika, solidní řemeslo musí být. Ale musí splynout se světem, se vteřinou, s věčností, s trávou a se hvězdami, se vším vezdejším a lidským, čemu konec konců slouží.«</w:t>
      </w:r>
    </w:p>
    <w:p w:rsidR="00500724" w:rsidRDefault="00F30FB8">
      <w:pPr>
        <w:pStyle w:val="Zkladntext30"/>
        <w:shd w:val="clear" w:color="auto" w:fill="auto"/>
        <w:spacing w:after="0" w:line="199" w:lineRule="auto"/>
        <w:ind w:firstLine="240"/>
      </w:pPr>
      <w:r>
        <w:t>Tak</w:t>
      </w:r>
      <w:r>
        <w:t xml:space="preserve"> asi hovořil a zamýšlel Čapek. Až kam Foltýn je dopsán, je v podstatě diagnosou kulturního hoch</w:t>
      </w:r>
      <w:r>
        <w:softHyphen/>
        <w:t>štaplerství, uměleckého žití nad poměry, předstíraných hodnot, příživnictví na cizích myšlenkových světech, umělé úrovně, vydupávaných nároků, duševního po</w:t>
      </w:r>
      <w:r>
        <w:softHyphen/>
        <w:t>zlát</w:t>
      </w:r>
      <w:r>
        <w:t>ka. Není pochyby, že v Čechách posledních dva</w:t>
      </w:r>
      <w:r>
        <w:softHyphen/>
        <w:t>ceti let se ho zatřpytilo dost, byť ne vždy právě tam, kde je někteří vidí dnes. Tvrdí se někdy, že jsme poli</w:t>
      </w:r>
      <w:r>
        <w:softHyphen/>
        <w:t>ticky žili nad poměry. Není pochyby, že jsme tak žili i kulturně: spokojujíce se zde onde zdáním, za</w:t>
      </w:r>
      <w:r>
        <w:t xml:space="preserve"> dosa</w:t>
      </w:r>
      <w:r>
        <w:softHyphen/>
        <w:t>žené majíce cíle, jichž se nedosáhlo.</w:t>
      </w:r>
    </w:p>
    <w:p w:rsidR="00500724" w:rsidRDefault="00F30FB8">
      <w:pPr>
        <w:pStyle w:val="Zkladntext30"/>
        <w:shd w:val="clear" w:color="auto" w:fill="auto"/>
        <w:spacing w:after="0" w:line="199" w:lineRule="auto"/>
        <w:ind w:firstLine="240"/>
      </w:pPr>
      <w:r>
        <w:t>Ve Foltýnovi o tom vypovídá dr. V. B. na stránce čtyřicáté čtvrté výrokem, jenž byl již leckde citován: »Zvláštní, jak se z velkých slov dají snadno dělat velké myšlenky. Zjednodušte některým lidem slovník, a neb</w:t>
      </w:r>
      <w:r>
        <w:t>udou vůbec mít, co říci.« A tak dále, tak i před tím.</w:t>
      </w:r>
    </w:p>
    <w:p w:rsidR="00500724" w:rsidRDefault="00F30FB8">
      <w:pPr>
        <w:pStyle w:val="Zkladntext30"/>
        <w:shd w:val="clear" w:color="auto" w:fill="auto"/>
        <w:spacing w:after="0" w:line="199" w:lineRule="auto"/>
        <w:ind w:firstLine="240"/>
      </w:pPr>
      <w:r>
        <w:t xml:space="preserve">Celý Foltýn je kritika velikých slov, </w:t>
      </w:r>
      <w:r>
        <w:rPr>
          <w:b/>
          <w:bCs/>
        </w:rPr>
        <w:t xml:space="preserve">z </w:t>
      </w:r>
      <w:r>
        <w:t>nichž nic nezbude. Tento zcela výjimečný případ je zaměřen na případy obecné a nevýjimečné, na jeden kaz české kultury.</w:t>
      </w:r>
    </w:p>
    <w:p w:rsidR="00500724" w:rsidRDefault="00F30FB8">
      <w:pPr>
        <w:pStyle w:val="Zkladntext30"/>
        <w:shd w:val="clear" w:color="auto" w:fill="auto"/>
        <w:spacing w:after="200" w:line="199" w:lineRule="auto"/>
        <w:ind w:firstLine="240"/>
      </w:pPr>
      <w:r>
        <w:t>Která však zároveň je tolika jinými postav</w:t>
      </w:r>
      <w:r>
        <w:t>ami vroucně obhajována a velebena.</w:t>
      </w:r>
    </w:p>
    <w:p w:rsidR="00500724" w:rsidRDefault="00F30FB8">
      <w:pPr>
        <w:pStyle w:val="Zkladntext30"/>
        <w:shd w:val="clear" w:color="auto" w:fill="auto"/>
        <w:spacing w:after="80" w:line="199" w:lineRule="auto"/>
        <w:ind w:firstLine="0"/>
        <w:jc w:val="center"/>
      </w:pPr>
      <w:r>
        <w:t>Unum necessarium</w:t>
      </w:r>
    </w:p>
    <w:p w:rsidR="00500724" w:rsidRDefault="00F30FB8">
      <w:pPr>
        <w:pStyle w:val="Zkladntext30"/>
        <w:shd w:val="clear" w:color="auto" w:fill="auto"/>
        <w:spacing w:after="0" w:line="199" w:lineRule="auto"/>
        <w:ind w:firstLine="240"/>
      </w:pPr>
      <w:r>
        <w:t>Těm postavám, v dávkách nestejné míry, totiž ne</w:t>
      </w:r>
      <w:r>
        <w:softHyphen/>
        <w:t>chybí jedno potřebné: láska, tento spolehlivý a přesný ukazatel vlastní životnosti, vlastního plného lidství. Milovat někoho nebo něco, rozuměj: nezištně mi</w:t>
      </w:r>
      <w:r>
        <w:t>lovat lze jen z vlastního přebytku. Kdo je svůj, kdo má v pořádku svá vnitřní aktiva a pasiva, kdo nežije s deficitem, nesní (od sníti, nikoli: snísti) nad svoje poměry, bývá schopen lásky. Zdravý povahový roz</w:t>
      </w:r>
      <w:r>
        <w:softHyphen/>
        <w:t>počet je ten, kde schopnosti a možnosti nepřev</w:t>
      </w:r>
      <w:r>
        <w:t>yšují nárok: ctižádosti, touhy po moci, po penězích, po že</w:t>
      </w:r>
      <w:r>
        <w:softHyphen/>
        <w:t>nách, ješitnosti — zkrátka sebelásky. Kdo má v sobě tolik, že mu to stačí, aby se spokojil sám sebou, kdo zná prostě vlastní meze, tomu obyčejně vybude na něco nebo na někoho jiného. Tuto rovnováhu</w:t>
      </w:r>
      <w:r>
        <w:t xml:space="preserve"> mezi chtěním a dostřelem lze považovat za příznak jedince tak zvaného normálního, citově i rozumově, tedy úhrnem: mravně zdravého. Na čemž nic nemění — ne-li k jeho prospěchu — že taková rovnováha může být těžce vybojována.</w:t>
      </w:r>
    </w:p>
    <w:p w:rsidR="00500724" w:rsidRDefault="00F30FB8">
      <w:pPr>
        <w:pStyle w:val="Zkladntext30"/>
        <w:shd w:val="clear" w:color="auto" w:fill="auto"/>
        <w:tabs>
          <w:tab w:val="left" w:leader="hyphen" w:pos="2414"/>
        </w:tabs>
        <w:spacing w:after="0" w:line="199" w:lineRule="auto"/>
        <w:ind w:firstLine="240"/>
        <w:sectPr w:rsidR="00500724">
          <w:footnotePr>
            <w:numFmt w:val="chicago"/>
            <w:numRestart w:val="eachPage"/>
          </w:footnotePr>
          <w:type w:val="continuous"/>
          <w:pgSz w:w="11909" w:h="16834"/>
          <w:pgMar w:top="1379" w:right="826" w:bottom="605" w:left="594" w:header="0" w:footer="3" w:gutter="0"/>
          <w:cols w:num="2" w:space="110"/>
          <w:noEndnote/>
          <w:docGrid w:linePitch="360"/>
        </w:sectPr>
      </w:pPr>
      <w:r>
        <w:t>V</w:t>
      </w:r>
      <w:r>
        <w:t>ětšina Čapkových postav, jež o Foltýnovi vydá</w:t>
      </w:r>
      <w:r>
        <w:softHyphen/>
        <w:t>vají svědectví, tuto rovnováhu má. Spolužák okresní soudce Simek měl pro něho sextánskou oddanost k prvnímu příteli; tuto první skutečnou oddanost, kterou ve světě potkal a urazil, si Běda brzy — z ne</w:t>
      </w:r>
      <w:r>
        <w:softHyphen/>
        <w:t xml:space="preserve">dostatku </w:t>
      </w:r>
      <w:r>
        <w:t xml:space="preserve">lepšího — přebásní v oddanost ženskou. Je hochštaplerem i tam, kde si nevymýšlí </w:t>
      </w:r>
      <w:r>
        <w:rPr>
          <w:b/>
          <w:bCs/>
        </w:rPr>
        <w:t xml:space="preserve">z </w:t>
      </w:r>
      <w:r>
        <w:t>prázdna. Když se ho Jitka ptá, zda už ho nějaká žena milovala, řekne toseví, že ano. Ale nejsa už tak nedospělý, aby si ještě vymýšlel neexistující kontesy Manuely, vy</w:t>
      </w:r>
      <w:r>
        <w:softHyphen/>
        <w:t xml:space="preserve">mýšlí </w:t>
      </w:r>
      <w:r>
        <w:t xml:space="preserve">si zpola. Na Jitčinu otázku, jak </w:t>
      </w:r>
      <w:r>
        <w:rPr>
          <w:b/>
          <w:bCs/>
        </w:rPr>
        <w:t xml:space="preserve">se </w:t>
      </w:r>
      <w:r>
        <w:t xml:space="preserve">jmenovala, mumlá </w:t>
      </w:r>
      <w:r>
        <w:rPr>
          <w:b/>
          <w:bCs/>
        </w:rPr>
        <w:t>váhavě: »</w:t>
      </w:r>
      <w:r>
        <w:rPr>
          <w:b/>
          <w:bCs/>
        </w:rPr>
        <w:tab/>
        <w:t xml:space="preserve">Simonka.* Mohlo </w:t>
      </w:r>
      <w:r>
        <w:t xml:space="preserve">by to </w:t>
      </w:r>
      <w:r>
        <w:rPr>
          <w:b/>
          <w:bCs/>
        </w:rPr>
        <w:t>na</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1497" w:right="0" w:bottom="869" w:left="0" w:header="0" w:footer="3" w:gutter="0"/>
          <w:cols w:space="720"/>
          <w:noEndnote/>
          <w:docGrid w:linePitch="360"/>
        </w:sectPr>
      </w:pPr>
    </w:p>
    <w:p w:rsidR="00500724" w:rsidRDefault="00F30FB8">
      <w:pPr>
        <w:pStyle w:val="Zkladntext40"/>
        <w:framePr w:w="365" w:h="216" w:wrap="none" w:vAnchor="text" w:hAnchor="page" w:x="10699" w:y="21"/>
        <w:shd w:val="clear" w:color="auto" w:fill="auto"/>
        <w:spacing w:after="0" w:line="240" w:lineRule="auto"/>
        <w:jc w:val="left"/>
      </w:pPr>
      <w:r>
        <w:rPr>
          <w:b/>
          <w:bCs/>
          <w:i/>
          <w:iCs/>
        </w:rPr>
        <w:t>305</w:t>
      </w:r>
    </w:p>
    <w:p w:rsidR="00500724" w:rsidRDefault="00500724">
      <w:pPr>
        <w:spacing w:after="202" w:line="14" w:lineRule="exact"/>
      </w:pPr>
    </w:p>
    <w:p w:rsidR="00500724" w:rsidRDefault="00500724">
      <w:pPr>
        <w:spacing w:line="14" w:lineRule="exact"/>
        <w:sectPr w:rsidR="00500724">
          <w:footnotePr>
            <w:numFmt w:val="chicago"/>
            <w:numRestart w:val="eachPage"/>
          </w:footnotePr>
          <w:type w:val="continuous"/>
          <w:pgSz w:w="11909" w:h="16834"/>
          <w:pgMar w:top="1497" w:right="689" w:bottom="869" w:left="732" w:header="0" w:footer="3" w:gutter="0"/>
          <w:cols w:space="720"/>
          <w:noEndnote/>
          <w:docGrid w:linePitch="360"/>
        </w:sectPr>
      </w:pPr>
    </w:p>
    <w:p w:rsidR="00500724" w:rsidRDefault="00F30FB8">
      <w:pPr>
        <w:pStyle w:val="Nadpis90"/>
        <w:keepNext/>
        <w:keepLines/>
        <w:shd w:val="clear" w:color="auto" w:fill="auto"/>
        <w:spacing w:after="0"/>
        <w:sectPr w:rsidR="00500724">
          <w:footnotePr>
            <w:numFmt w:val="chicago"/>
            <w:numRestart w:val="eachPage"/>
          </w:footnotePr>
          <w:pgSz w:w="11909" w:h="16834"/>
          <w:pgMar w:top="867" w:right="972" w:bottom="643" w:left="449" w:header="0" w:footer="3" w:gutter="0"/>
          <w:cols w:space="720"/>
          <w:noEndnote/>
          <w:docGrid w:linePitch="360"/>
        </w:sectPr>
      </w:pPr>
      <w:bookmarkStart w:id="505" w:name="bookmark504"/>
      <w:r>
        <w:rPr>
          <w:rFonts w:ascii="Times New Roman" w:eastAsia="Times New Roman" w:hAnsi="Times New Roman" w:cs="Times New Roman"/>
        </w:rPr>
        <w:t xml:space="preserve">__________ </w:t>
      </w:r>
      <w:r>
        <w:rPr>
          <w:rFonts w:ascii="Times New Roman" w:eastAsia="Times New Roman" w:hAnsi="Times New Roman" w:cs="Times New Roman"/>
          <w:u w:val="single"/>
        </w:rPr>
        <w:t>Pfítomnoso</w:t>
      </w:r>
      <w:bookmarkEnd w:id="505"/>
    </w:p>
    <w:p w:rsidR="00500724" w:rsidRDefault="00500724">
      <w:pPr>
        <w:spacing w:line="107" w:lineRule="exact"/>
        <w:rPr>
          <w:sz w:val="9"/>
          <w:szCs w:val="9"/>
        </w:rPr>
      </w:pPr>
    </w:p>
    <w:p w:rsidR="00500724" w:rsidRDefault="00500724">
      <w:pPr>
        <w:spacing w:line="14" w:lineRule="exact"/>
        <w:sectPr w:rsidR="00500724">
          <w:footnotePr>
            <w:numFmt w:val="chicago"/>
            <w:numRestart w:val="eachPage"/>
          </w:footnotePr>
          <w:type w:val="continuous"/>
          <w:pgSz w:w="11909" w:h="16834"/>
          <w:pgMar w:top="867" w:right="0" w:bottom="643" w:left="0" w:header="0" w:footer="3" w:gutter="0"/>
          <w:cols w:space="720"/>
          <w:noEndnote/>
          <w:docGrid w:linePitch="360"/>
        </w:sectPr>
      </w:pPr>
    </w:p>
    <w:p w:rsidR="00500724" w:rsidRDefault="00F30FB8">
      <w:pPr>
        <w:spacing w:line="14" w:lineRule="exact"/>
      </w:pPr>
      <w:r>
        <w:rPr>
          <w:noProof/>
        </w:rPr>
        <mc:AlternateContent>
          <mc:Choice Requires="wps">
            <w:drawing>
              <wp:anchor distT="12700" distB="254000" distL="114300" distR="114300" simplePos="0" relativeHeight="125829884" behindDoc="0" locked="0" layoutInCell="1" allowOverlap="1">
                <wp:simplePos x="0" y="0"/>
                <wp:positionH relativeFrom="page">
                  <wp:posOffset>285115</wp:posOffset>
                </wp:positionH>
                <wp:positionV relativeFrom="paragraph">
                  <wp:posOffset>8927465</wp:posOffset>
                </wp:positionV>
                <wp:extent cx="259080" cy="161290"/>
                <wp:effectExtent l="0" t="0" r="0" b="0"/>
                <wp:wrapTopAndBottom/>
                <wp:docPr id="507" name="Shape 507"/>
                <wp:cNvGraphicFramePr/>
                <a:graphic xmlns:a="http://schemas.openxmlformats.org/drawingml/2006/main">
                  <a:graphicData uri="http://schemas.microsoft.com/office/word/2010/wordprocessingShape">
                    <wps:wsp>
                      <wps:cNvSpPr txBox="1"/>
                      <wps:spPr>
                        <a:xfrm>
                          <a:off x="0" y="0"/>
                          <a:ext cx="259080" cy="161290"/>
                        </a:xfrm>
                        <a:prstGeom prst="rect">
                          <a:avLst/>
                        </a:prstGeom>
                        <a:noFill/>
                      </wps:spPr>
                      <wps:txbx>
                        <w:txbxContent>
                          <w:p w:rsidR="00500724" w:rsidRDefault="00F30FB8">
                            <w:pPr>
                              <w:pStyle w:val="Jin0"/>
                              <w:shd w:val="clear" w:color="auto" w:fill="auto"/>
                              <w:ind w:firstLine="0"/>
                              <w:jc w:val="left"/>
                            </w:pPr>
                            <w:r>
                              <w:rPr>
                                <w:rFonts w:ascii="Arial" w:eastAsia="Arial" w:hAnsi="Arial" w:cs="Arial"/>
                              </w:rPr>
                              <w:t>sod</w:t>
                            </w:r>
                          </w:p>
                        </w:txbxContent>
                      </wps:txbx>
                      <wps:bodyPr lIns="0" tIns="0" rIns="0" bIns="0">
                        <a:spAutoFit/>
                      </wps:bodyPr>
                    </wps:wsp>
                  </a:graphicData>
                </a:graphic>
              </wp:anchor>
            </w:drawing>
          </mc:Choice>
          <mc:Fallback>
            <w:pict>
              <v:shape id="_x0000_s1533" type="#_x0000_t202" style="position:absolute;margin-left:22.449999999999999pt;margin-top:702.95000000000005pt;width:20.399999999999999pt;height:12.699999999999999pt;z-index:-125828869;mso-wrap-distance-left:9.pt;mso-wrap-distance-top:1.pt;mso-wrap-distance-right:9.pt;mso-wrap-distance-bottom:20.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cs-CZ" w:eastAsia="cs-CZ" w:bidi="cs-CZ"/>
                        </w:rPr>
                        <w:t>sod</w:t>
                      </w:r>
                    </w:p>
                  </w:txbxContent>
                </v:textbox>
                <w10:wrap type="topAndBottom" anchorx="page"/>
              </v:shape>
            </w:pict>
          </mc:Fallback>
        </mc:AlternateContent>
      </w:r>
    </w:p>
    <w:p w:rsidR="00500724" w:rsidRDefault="00F30FB8">
      <w:pPr>
        <w:pStyle w:val="Zkladntext30"/>
        <w:shd w:val="clear" w:color="auto" w:fill="auto"/>
        <w:spacing w:after="0" w:line="202" w:lineRule="auto"/>
        <w:ind w:firstLine="0"/>
      </w:pPr>
      <w:r>
        <w:t xml:space="preserve">něho jednou </w:t>
      </w:r>
      <w:r>
        <w:t>prasknout, že udělal holku z kamarádaj kterému ze Šimka přezdíval Šimonů. Ale na konec, aby nelhal docela, si ho vypůjčí.</w:t>
      </w:r>
    </w:p>
    <w:p w:rsidR="00500724" w:rsidRDefault="00F30FB8">
      <w:pPr>
        <w:pStyle w:val="Zkladntext30"/>
        <w:shd w:val="clear" w:color="auto" w:fill="auto"/>
        <w:spacing w:after="0" w:line="202" w:lineRule="auto"/>
      </w:pPr>
      <w:r>
        <w:t>Pozdější okresní soudce Šimek totiž Bědu měl opravdu docela rád. Většina těch, kdo Bědu poznali, měla ho s počátku ráda. Skoro všichni</w:t>
      </w:r>
      <w:r>
        <w:t xml:space="preserve"> se o to aspoň pokoušeli, neboť Foltýn, vyslovený citový </w:t>
      </w:r>
      <w:r>
        <w:rPr>
          <w:lang w:val="en-US" w:eastAsia="en-US" w:bidi="en-US"/>
        </w:rPr>
        <w:t xml:space="preserve">impotent, </w:t>
      </w:r>
      <w:r>
        <w:t>uvšecholáskužebral. Je to notorický žebrák lásky, tepla, výsluní — jemu totiž jeho vlastní teplo, vnitřní výsluní, hřivna lásky chybí. Má od přírody citový deficit, žije nad poměry a celý ž</w:t>
      </w:r>
      <w:r>
        <w:t>ivot svůj ne</w:t>
      </w:r>
      <w:r>
        <w:softHyphen/>
        <w:t>vyrovnaný povahový rozpočet kryje něčím, co je mezi půjčkou a podvodem. P r o č se tak narodil, není zná</w:t>
      </w:r>
      <w:r>
        <w:softHyphen/>
        <w:t>mo. Čapek to blíže nevysvětluje. Rodí se prostě tací lidé.</w:t>
      </w:r>
    </w:p>
    <w:p w:rsidR="00500724" w:rsidRDefault="00F30FB8">
      <w:pPr>
        <w:pStyle w:val="Zkladntext30"/>
        <w:shd w:val="clear" w:color="auto" w:fill="auto"/>
        <w:spacing w:after="0" w:line="202" w:lineRule="auto"/>
      </w:pPr>
      <w:r>
        <w:t>Foltýnovi chybí unum necessarium.</w:t>
      </w:r>
    </w:p>
    <w:p w:rsidR="00500724" w:rsidRDefault="00F30FB8">
      <w:pPr>
        <w:pStyle w:val="Zkladntext30"/>
        <w:shd w:val="clear" w:color="auto" w:fill="auto"/>
        <w:spacing w:after="200" w:line="202" w:lineRule="auto"/>
      </w:pPr>
      <w:r>
        <w:t>Má v lásce deficit a zahyne na nepoměr mezi s</w:t>
      </w:r>
      <w:r>
        <w:t xml:space="preserve">vými touhami a svými možnostmi. Více méně všichni okolo něho jsou </w:t>
      </w:r>
      <w:r>
        <w:rPr>
          <w:b/>
          <w:bCs/>
        </w:rPr>
        <w:t xml:space="preserve">v </w:t>
      </w:r>
      <w:r>
        <w:t xml:space="preserve">rovnováze, každý ve svých mezích. Vy- bývá jim aspoň ono minimum lásky k bližnímu, jež je základem lidské </w:t>
      </w:r>
      <w:r>
        <w:rPr>
          <w:lang w:val="en-US" w:eastAsia="en-US" w:bidi="en-US"/>
        </w:rPr>
        <w:t xml:space="preserve">sociability, </w:t>
      </w:r>
      <w:r>
        <w:t>lidské družnosti. Foltýn tohoto minima postrádá. Je tvor naprosto ne-</w:t>
      </w:r>
      <w:r>
        <w:t xml:space="preserve"> sociabilní, nedružný. Je úplný egocentrik. Lidé ho zajímají jen tím, co si od nich lze vydlužit, čím mu mohou pomoci, čím přispějí na jeho deficitní unum necessarium, kolik jim lze ukrást lásky, kolik zpro</w:t>
      </w:r>
      <w:r>
        <w:softHyphen/>
        <w:t>nevěřit životního tepla.</w:t>
      </w:r>
    </w:p>
    <w:p w:rsidR="00500724" w:rsidRDefault="00F30FB8">
      <w:pPr>
        <w:pStyle w:val="Zkladntext30"/>
        <w:shd w:val="clear" w:color="auto" w:fill="auto"/>
        <w:spacing w:after="80" w:line="199" w:lineRule="auto"/>
        <w:ind w:firstLine="0"/>
        <w:jc w:val="center"/>
      </w:pPr>
      <w:r>
        <w:t>Tvůrčí láska</w:t>
      </w:r>
    </w:p>
    <w:p w:rsidR="00500724" w:rsidRDefault="00F30FB8">
      <w:pPr>
        <w:pStyle w:val="Zkladntext30"/>
        <w:shd w:val="clear" w:color="auto" w:fill="auto"/>
        <w:spacing w:line="199" w:lineRule="auto"/>
      </w:pPr>
      <w:r>
        <w:t xml:space="preserve">Na tomto </w:t>
      </w:r>
      <w:r>
        <w:t>místě je vhodno se vyvarovat nedo</w:t>
      </w:r>
      <w:r>
        <w:softHyphen/>
        <w:t>rozumění. Praví-li Čapek o velikých slovech, že se z nich dají dělat (vlastně předstírat) veliké myšlenky, budiž jasně vymezeno veliké a oblé slovo »láska« pro tyto poznámky. Bylo již napsáno, že normální člověk, jehož pov</w:t>
      </w:r>
      <w:r>
        <w:t>ahový rozpočet je v rovnováze, má obyčejně určitý přebytek životnosti (Tieck napsal »Nadbytek života«). Ten přebytek se jevívá jako láska: to jest, schopnost zájmu o někoho či o něco mimo vlastní osobu. V rozšířené podobě koníčků a libůstek je to třebas fi</w:t>
      </w:r>
      <w:r>
        <w:t>latelie, zahrádka, šachy, rybaření, chemie, hetitština, a jde to až do geniality, do Galileiho a Edi- sona. U tak zvaného normálu je to láska pohlavní, láska k dětem, láska k povolání. Netřeba opotřebovat hned Freuda s jeho tvrzením, že veškerá láska pra</w:t>
      </w:r>
      <w:r>
        <w:softHyphen/>
        <w:t>m</w:t>
      </w:r>
      <w:r>
        <w:t>ení z lásky pohlavní, od níž se určitým postupem v určitém věku odštěpí. I bez něho je zřejmo, že láska je činnost. Libo-li: pud k činnosti. Alfred Hock ve své pěkné knížce »Methodische Entwickelung der Talente und des Genies« vymezuje nadání jako »Be- tát</w:t>
      </w:r>
      <w:r>
        <w:t>igungslust«, rozkoš z určité činnosti, lásku k určité činnosti. Totožnost lásky a nadání z tohoto vymezení jasně vysvítá. Na příklad malý Mozart je okouzlen poslechem hudby. Stále na ni myslí a přistihne se, že si i sám hudbu vymýšlí. Zkusí ji napsat a zah</w:t>
      </w:r>
      <w:r>
        <w:t>rát. Lidem se to líbí. K potěšení, jež Mozart měl, když si tu hudbu vymýšlel, přistoupí radost, že to těší i jiné. Takový úspěch zvýší chut, vymyslit si zase něco, ještě hezčího a ještě lepšího. Rozkoš z toho vymýšlení a skládání je ještě libější než po pr</w:t>
      </w:r>
      <w:r>
        <w:t>vé. Nová ckladba vyjde z toho dokonalejší. Lidem se to líbí ještě víc. Větší úspěch stupňuje i radost z další práce, a tak dále, radost stupňuje činnost, činnost stupňuje umění, umění stup</w:t>
      </w:r>
      <w:r>
        <w:softHyphen/>
        <w:t>ňuje úspěch ve šťastném bludném kruhu miláčků Bo</w:t>
      </w:r>
      <w:r>
        <w:softHyphen/>
        <w:t>žích podle slova P</w:t>
      </w:r>
      <w:r>
        <w:t>ísem: »Majícímu bude dáno, nema</w:t>
      </w:r>
      <w:r>
        <w:softHyphen/>
        <w:t>jícímu pak vezmou i to málo, což jeho jest.«</w:t>
      </w:r>
    </w:p>
    <w:p w:rsidR="00500724" w:rsidRDefault="00F30FB8">
      <w:pPr>
        <w:pStyle w:val="Zkladntext30"/>
        <w:shd w:val="clear" w:color="auto" w:fill="auto"/>
        <w:spacing w:after="0" w:line="202" w:lineRule="auto"/>
      </w:pPr>
      <w:r>
        <w:t xml:space="preserve">Tak vypadá půdorys nadání. Najde se i v Paul- hanově »Psychologie de l’invention«. Ovšem, je to ideální půdorys, vyvozený z geniů, z Mozartů a Michelangelů. Jejich boje, pochyby, </w:t>
      </w:r>
      <w:r>
        <w:t>trápení, neúspě</w:t>
      </w:r>
      <w:r>
        <w:softHyphen/>
        <w:t>chy, nepochopení jsou v něm taktéž obsaženy. A na klikatých drahách nadání méně šťastných, menších, podmíněnějších, zajisté se najdou zuby, přeryvy a přelomy, jež tento půdorys málem k nepoznání zne- tvářejí. Přes to je očividné, že nadání,</w:t>
      </w:r>
      <w:r>
        <w:t xml:space="preserve"> láska a činnost jsou tři pohledy na touž věc, tři názvy téže skuteč</w:t>
      </w:r>
      <w:r>
        <w:softHyphen/>
        <w:t>nosti, tři osoby Ducha Svatého, Svatá Trojice.</w:t>
      </w:r>
    </w:p>
    <w:p w:rsidR="00500724" w:rsidRDefault="00F30FB8">
      <w:pPr>
        <w:pStyle w:val="Zkladntext30"/>
        <w:shd w:val="clear" w:color="auto" w:fill="auto"/>
        <w:spacing w:after="180" w:line="202" w:lineRule="auto"/>
      </w:pPr>
      <w:r>
        <w:t>Duch Svatý pak jistě v povahovém rozpočtu smrtel</w:t>
      </w:r>
      <w:r>
        <w:softHyphen/>
        <w:t>níkově je přebytek.</w:t>
      </w:r>
    </w:p>
    <w:p w:rsidR="00500724" w:rsidRDefault="00F30FB8">
      <w:pPr>
        <w:pStyle w:val="Zkladntext30"/>
        <w:shd w:val="clear" w:color="auto" w:fill="auto"/>
        <w:spacing w:after="120" w:line="202" w:lineRule="auto"/>
        <w:ind w:firstLine="0"/>
        <w:jc w:val="center"/>
      </w:pPr>
      <w:r>
        <w:t>Foltýn a láska</w:t>
      </w:r>
    </w:p>
    <w:p w:rsidR="00500724" w:rsidRDefault="00F30FB8">
      <w:pPr>
        <w:pStyle w:val="Zkladntext30"/>
        <w:shd w:val="clear" w:color="auto" w:fill="auto"/>
        <w:spacing w:after="0" w:line="202" w:lineRule="auto"/>
      </w:pPr>
      <w:r>
        <w:t>Sic nejprve se urazí, že mu Simek napovídá, jeho sebelás</w:t>
      </w:r>
      <w:r>
        <w:t>ka tím trpí. Ale v zápětí trpí ještě více, když se jí neslouží: »... urazil se na mne smrtelně, když jsem mu někdy nenapsal úlohu, a vypadal při tom tak nadutě a nešťastně zároveň, že jsem ho div neodprosil...« Oplácí činnou lásku jen tím, že dru</w:t>
      </w:r>
      <w:r>
        <w:softHyphen/>
        <w:t>hovi svěř</w:t>
      </w:r>
      <w:r>
        <w:t>í svou představu o sobě samém, svou životní lež, po ibsenovsku řečeno. Pak mu zpronevěří jeho verše a za to ho urazí.</w:t>
      </w:r>
    </w:p>
    <w:p w:rsidR="00500724" w:rsidRDefault="00F30FB8">
      <w:pPr>
        <w:pStyle w:val="Zkladntext30"/>
        <w:shd w:val="clear" w:color="auto" w:fill="auto"/>
        <w:spacing w:after="0" w:line="202" w:lineRule="auto"/>
      </w:pPr>
      <w:r>
        <w:t>Jitce, pozdější Hudcové, tuto svou prvotní životní lež ozdobí Šimkem, proměněným v Simonku, a ona se zamiluje do této lži na druhou. Ale n</w:t>
      </w:r>
      <w:r>
        <w:t>e do něho: jeho polibkům se uhýbá. A on ani pořádně políbit neumí. Láska jako činnost selže — čtenář si povšimni, že i ve slovese »selže« je lež — neselže báseň, kterou Foltýn Jitce věnoval: je to první jeho krádež, tu báseň zpro</w:t>
      </w:r>
      <w:r>
        <w:softHyphen/>
        <w:t xml:space="preserve">nevěřil Šimkovi. Kdo lže, </w:t>
      </w:r>
      <w:r>
        <w:t>ten krade. Jenže kde nic není, ani smrt nebere. Jitka, zamilovaná ne do Fol- týna, nýbrž do jeho představy o sobě samém, pustí ho posléze k sobě do bytu. Chce jí tam zahrát svou skladbu, o níž stále mluví, svého »Ariela«. Nezahraje ho však. Nikdy nikomu ho</w:t>
      </w:r>
      <w:r>
        <w:t xml:space="preserve"> neza- hraje. Neboť »Ariel« existuje také jen v jeho před</w:t>
      </w:r>
      <w:r>
        <w:softHyphen/>
        <w:t xml:space="preserve">stavách o vlastní osobě, o osobě skladatele Foltýna. Složit ho ve skutečnosti zapomněl. Umí o něm jen říci příznačné slovo: »Ten </w:t>
      </w:r>
      <w:r>
        <w:rPr>
          <w:lang w:val="en-US" w:eastAsia="en-US" w:bidi="en-US"/>
        </w:rPr>
        <w:t>Ariel,</w:t>
      </w:r>
      <w:r>
        <w:t>« začal váhavě, »— abyste věděla, to jsem já sám«. Opět to váhá</w:t>
      </w:r>
      <w:r>
        <w:t>ní: bojí se vlastní lži, ale pokušení je příliš silné. Zde i jinde vplétá se do vzpomínek jiné české dílo o lži, román prostný, ale odposlouchaný s neomylnou čiper- ností pudového nadání, F. X. Svobody »Vlna za vlnou se valí«. Je to týž český druh hochštap</w:t>
      </w:r>
      <w:r>
        <w:t>leříka, unáše</w:t>
      </w:r>
      <w:r>
        <w:softHyphen/>
        <w:t>ného představou o sobě samém.</w:t>
      </w:r>
    </w:p>
    <w:p w:rsidR="00500724" w:rsidRDefault="00F30FB8">
      <w:pPr>
        <w:pStyle w:val="Zkladntext30"/>
        <w:shd w:val="clear" w:color="auto" w:fill="auto"/>
        <w:spacing w:after="0" w:line="202" w:lineRule="auto"/>
      </w:pPr>
      <w:r>
        <w:t>Z Ariela se vyklube nesmělý a nejapný pokus o Jit- čin věneček, vlastně ani ne pokus, jenom náběh. Ne</w:t>
      </w:r>
      <w:r>
        <w:softHyphen/>
        <w:t>boť jak není Ariela, je jen Foltýn, pastorek osudu, je</w:t>
      </w:r>
      <w:r>
        <w:softHyphen/>
        <w:t>muž dar Ducha Svatého je odepřen. Místo Ariela po</w:t>
      </w:r>
      <w:r>
        <w:softHyphen/>
        <w:t xml:space="preserve">mstí </w:t>
      </w:r>
      <w:r>
        <w:t>se ihned Kaliban: »Jsem nevěděl, že jste taková měšťačka ...«</w:t>
      </w:r>
    </w:p>
    <w:p w:rsidR="00500724" w:rsidRDefault="00F30FB8">
      <w:pPr>
        <w:pStyle w:val="Zkladntext30"/>
        <w:shd w:val="clear" w:color="auto" w:fill="auto"/>
        <w:spacing w:after="0" w:line="202" w:lineRule="auto"/>
      </w:pPr>
      <w:r>
        <w:t>Kaliban se mstí za každou převahu. Ariela nesloží, byť to později zkoušel namluvit svému spolubydlícímu doktoru V. B., který ho prokoukne. Jeho hudebnost stačí právě jen oplzlým valčíkem s e - p</w:t>
      </w:r>
      <w:r>
        <w:t>sout jinému představu o dívce.</w:t>
      </w:r>
    </w:p>
    <w:p w:rsidR="00500724" w:rsidRDefault="00F30FB8">
      <w:pPr>
        <w:pStyle w:val="Zkladntext30"/>
        <w:shd w:val="clear" w:color="auto" w:fill="auto"/>
        <w:spacing w:after="60" w:line="202" w:lineRule="auto"/>
      </w:pPr>
      <w:r>
        <w:t>Foltýn, když miluje, Ariela nezahraje. Když ne</w:t>
      </w:r>
      <w:r>
        <w:softHyphen/>
        <w:t>návidí, dovede hudebně slintat. Jeho milostné schop</w:t>
      </w:r>
      <w:r>
        <w:softHyphen/>
        <w:t>nosti jsou schopnosti sňatkového podvodníka, stačí to právě na bohatou husičku, jež mu sňatkem zajistí blahobytnou existenci d</w:t>
      </w:r>
      <w:r>
        <w:t>omnělého umělce — a mece</w:t>
      </w:r>
      <w:r>
        <w:softHyphen/>
        <w:t>náše. Se slavozáří lásky k umění zve muzikanty, jež podporuje štědře. Když Foltýn něco dává, dává z ci</w:t>
      </w:r>
      <w:r>
        <w:softHyphen/>
        <w:t>zího. Za peníze si kupuje duše s veškerým mate</w:t>
      </w:r>
      <w:r>
        <w:softHyphen/>
        <w:t>rialismem zbohatlíka a snoba. Za peníze své ženy, jež jsou prvá nevybájená hodnot</w:t>
      </w:r>
      <w:r>
        <w:t>a v jeho životě, opatřuje si nadání.</w:t>
      </w:r>
    </w:p>
    <w:p w:rsidR="00500724" w:rsidRDefault="00F30FB8">
      <w:pPr>
        <w:pStyle w:val="Zkladntext30"/>
        <w:shd w:val="clear" w:color="auto" w:fill="auto"/>
        <w:spacing w:after="80" w:line="202" w:lineRule="auto"/>
        <w:ind w:firstLine="0"/>
        <w:jc w:val="center"/>
      </w:pPr>
      <w:r>
        <w:t>Foltýn a nadání</w:t>
      </w:r>
    </w:p>
    <w:p w:rsidR="00500724" w:rsidRDefault="00F30FB8">
      <w:pPr>
        <w:pStyle w:val="Zkladntext30"/>
        <w:shd w:val="clear" w:color="auto" w:fill="auto"/>
        <w:spacing w:after="0" w:line="202" w:lineRule="auto"/>
        <w:ind w:firstLine="240"/>
      </w:pPr>
      <w:r>
        <w:t>Kdyby hledal důkaz pro svá velkohubá tvrzení, že umělec musí vášnivě žít, že umění a erotika jdou ruku v ruce — nikde by Foltýn pro to nenašel důkazů pádnějších než u Karla Čapka samého. Čapek ho totiž j</w:t>
      </w:r>
      <w:r>
        <w:t>asnovidné vylíčil jako tvora, jemuž obé je odepřeno. Ženatý Foltýn stále lítá za nějakými zpěvačkami, v nichž vidí zvláštní nadání pro tu neb onu úlohu ve své nenapsané opeře, ve svém nenapsaném filmu. Ale nikdy u nich nepochodí. Lidově řečeno, nemá štěstí</w:t>
      </w:r>
      <w:r>
        <w:t xml:space="preserve"> v lásce ani ve hře — neboť nemá nikomu co dát. Unum necessarium, láska jako činnost, Betátigungs- lust, Svatý Duch, přebytek života — není ho. Není nadání.</w:t>
      </w:r>
    </w:p>
    <w:p w:rsidR="00500724" w:rsidRDefault="00F30FB8">
      <w:pPr>
        <w:pStyle w:val="Zkladntext30"/>
        <w:shd w:val="clear" w:color="auto" w:fill="auto"/>
        <w:spacing w:after="0" w:line="202" w:lineRule="auto"/>
        <w:ind w:firstLine="240"/>
      </w:pPr>
      <w:r>
        <w:t xml:space="preserve">Neboť z koncertu, jenž mu byl tak osudný, si místo hudby pamatoval vlasy. A pěstil vlasy místo </w:t>
      </w:r>
      <w:r>
        <w:t>hudby. Čtenář se postupně dovídá, že Foltýn kromě nějakých běžných klavírních hodin se nikdy neučil hrát a také jen docela diletantský brnká na piano. Pozná se po</w:t>
      </w:r>
      <w:r>
        <w:softHyphen/>
        <w:t>stupem příběhu, že nikdy hudbu nestudoval, nemá zdání o skladbě. Na všecko si musí brát a vyk</w:t>
      </w:r>
      <w:r>
        <w:t>rádat odborníky, pokud se dají.</w:t>
      </w:r>
    </w:p>
    <w:p w:rsidR="00500724" w:rsidRDefault="00F30FB8">
      <w:pPr>
        <w:pStyle w:val="Zkladntext30"/>
        <w:shd w:val="clear" w:color="auto" w:fill="auto"/>
        <w:spacing w:after="0" w:line="202" w:lineRule="auto"/>
        <w:ind w:firstLine="240"/>
      </w:pPr>
      <w:r>
        <w:t>Vůbec nic ho nikdy a nikde neláká k hudební činnosti. Nikde se o ni nepokouší. Jen ji před lidmi předstírá. Tak jako činnost vědeckou předstírá u Do</w:t>
      </w:r>
      <w:r>
        <w:softHyphen/>
        <w:t>stojevského onen přítel generálové Stavroginé, který tajně čte Paul de Kočk</w:t>
      </w:r>
      <w:r>
        <w:t>a, až se jednou po rusku vy</w:t>
      </w:r>
      <w:r>
        <w:softHyphen/>
        <w:t>zná: »Je suis un obyčejný příživník.«</w:t>
      </w:r>
    </w:p>
    <w:p w:rsidR="00500724" w:rsidRDefault="00F30FB8">
      <w:pPr>
        <w:pStyle w:val="Zkladntext30"/>
        <w:shd w:val="clear" w:color="auto" w:fill="auto"/>
        <w:spacing w:after="0" w:line="202" w:lineRule="auto"/>
        <w:ind w:firstLine="240"/>
      </w:pPr>
      <w:r>
        <w:t>Foltýn je příživník dokonce pohlavně. Zblázní se posléze do vyšeptalé padesátileté pěvkyně jen proto, že kdysi v dobách slávy bývala milenkou světoslav- ného hudebníka a jiných veličin. Jako</w:t>
      </w:r>
      <w:r>
        <w:t xml:space="preserve"> by doufal, že v její posteli musí najít něco z geniality dávného před</w:t>
      </w:r>
      <w:r>
        <w:softHyphen/>
        <w:t>chůdce, něco z přebytků vítězů.</w:t>
      </w:r>
    </w:p>
    <w:p w:rsidR="00500724" w:rsidRDefault="00F30FB8">
      <w:pPr>
        <w:pStyle w:val="Zkladntext30"/>
        <w:shd w:val="clear" w:color="auto" w:fill="auto"/>
        <w:spacing w:after="0" w:line="202" w:lineRule="auto"/>
        <w:ind w:firstLine="240"/>
      </w:pPr>
      <w:r>
        <w:t>Přes to několik osob v knize, arci vzdálenějších, po</w:t>
      </w:r>
      <w:r>
        <w:softHyphen/>
        <w:t>sléze podle doslovu autorovy choti sám čapek Foltý</w:t>
      </w:r>
      <w:r>
        <w:softHyphen/>
        <w:t>novi přiznává cosi jako nešťastnou lásku k hudbě.</w:t>
      </w:r>
      <w:r>
        <w:t xml:space="preserve"> »Možná, že v něm někdy něco bylo, co ho tak po</w:t>
      </w:r>
      <w:r>
        <w:softHyphen/>
        <w:t>sedlo ..., ale zabila ho prolhanost, chudáka, vlezl do světa životní lži...«</w:t>
      </w:r>
    </w:p>
    <w:p w:rsidR="00500724" w:rsidRDefault="00F30FB8">
      <w:pPr>
        <w:pStyle w:val="Zkladntext30"/>
        <w:shd w:val="clear" w:color="auto" w:fill="auto"/>
        <w:spacing w:after="0" w:line="202" w:lineRule="auto"/>
        <w:ind w:firstLine="240"/>
      </w:pPr>
      <w:r>
        <w:t>Autor sám naštěstí říká »možná«. Usnadňuje tím vykladači, bez všetečnosti, opravující samého tvůrce a bez ukvapení nad prací nedoko</w:t>
      </w:r>
      <w:r>
        <w:t>nčenou vyslovit po</w:t>
      </w:r>
      <w:r>
        <w:softHyphen/>
        <w:t>chybnost, že ve Foltýnovi »někdy něco bylo ...«</w:t>
      </w:r>
    </w:p>
    <w:p w:rsidR="00500724" w:rsidRDefault="00F30FB8">
      <w:pPr>
        <w:pStyle w:val="Zkladntext30"/>
        <w:shd w:val="clear" w:color="auto" w:fill="auto"/>
        <w:spacing w:after="80" w:line="199" w:lineRule="auto"/>
        <w:ind w:firstLine="240"/>
      </w:pPr>
      <w:r>
        <w:t>Podle toho, co se najde v nedopsané knize, Foltýna posedla jen fata morgana potlesku. Hledat v něm ne</w:t>
      </w:r>
      <w:r>
        <w:softHyphen/>
        <w:t>šťastnou lásku k hudbě, bylo by asi — přes autorovo vlastní »možná« — nedorozumění. Fol</w:t>
      </w:r>
      <w:r>
        <w:t>týnovi byla hudba patrně docela lhostejná. Nenavštívit onen kon</w:t>
      </w:r>
      <w:r>
        <w:softHyphen/>
        <w:t>cert, stal se pravděpodobně úředníkem poplatkového úřadu nebo po sňatku s paní Karlou řádným domácím pánem. Ale to, co ho posedlo, byla vidina úspěchu, halucinace slávy, filmový hašiš, matoucí</w:t>
      </w:r>
      <w:r>
        <w:t xml:space="preserve"> hlavy tolika Jidem, pozlátko výsluní. Umělcův postoj za klavírem učaroval nějaké trhlině v jeho nedospělé duši, ještě nesrostlé, jako jsou hlavičky novorozeňat. Zavadil o nějakou slabinu a utkvěl v ní střepem, jenž vykoná</w:t>
      </w:r>
      <w:r>
        <w:softHyphen/>
        <w:t>val trvalý tlak. Ten časem nabývá</w:t>
      </w:r>
      <w:r>
        <w:t xml:space="preserve"> síly nucené před</w:t>
      </w:r>
      <w:r>
        <w:softHyphen/>
        <w:t xml:space="preserve">stavy. Čtenář si </w:t>
      </w:r>
      <w:r>
        <w:rPr>
          <w:b/>
          <w:bCs/>
          <w:sz w:val="26"/>
          <w:szCs w:val="26"/>
        </w:rPr>
        <w:t xml:space="preserve">v </w:t>
      </w:r>
      <w:r>
        <w:t>doslovu všimni, jaká je to před</w:t>
      </w:r>
      <w:r>
        <w:softHyphen/>
        <w:t>stava: představa premiéry. Sen o potlesku. Halucinace: »Autor!« Představa ta se mu splní jako těžký sen. Jako groteskní výsměch. Jako příšerné roz</w:t>
      </w:r>
      <w:r>
        <w:softHyphen/>
        <w:t>čarování. Čtenář však si povšimni, že se</w:t>
      </w:r>
      <w:r>
        <w:t xml:space="preserve"> Foltýn při tom zblázní. Nebýt tohoto nárazu, zbláznil by se asi o něco později také. Tak, jak mistrně ho Čapek na</w:t>
      </w:r>
      <w:r>
        <w:softHyphen/>
        <w:t>psal, přesvědčuje čtenáře od kapitoly ke kapitole, že je Foltýn vadný lidský exemplář, předurčený ke zká</w:t>
      </w:r>
      <w:r>
        <w:softHyphen/>
        <w:t>ze v každém případě, jakmile silný d</w:t>
      </w:r>
      <w:r>
        <w:t>ojem z výjimeč</w:t>
      </w:r>
      <w:r>
        <w:softHyphen/>
        <w:t>nosti a výsluní dolehl na jeho slabou duši. Je síydno užít obratu přes míru otřepaného a citovat opět jmé</w:t>
      </w:r>
      <w:r>
        <w:softHyphen/>
        <w:t>no Freudovo, na něž se po několik desítiletí vymlou</w:t>
      </w:r>
      <w:r>
        <w:softHyphen/>
        <w:t>valo kdejaké slabošství a nedouctví. Ale kreslí-li sám Čapek Foltýna jako trémistu,</w:t>
      </w:r>
      <w:r>
        <w:t xml:space="preserve"> neschopného projevu, žáka, který koktá a propadá přes to, že se učil a umí ■— pak se přímo vnucuje omšelá fráze: »Úberkompen- sation des Minderwertigkeitskomplexes.« A to pře- kompensace nezdařilá. Foltýn patří mezi lidi, jaké každý už potkal: mezi soukro</w:t>
      </w:r>
      <w:r>
        <w:t>mé úředníky, kteří na</w:t>
      </w:r>
      <w:r>
        <w:softHyphen/>
        <w:t>lítnou na podvodníka, jenž z nich slíbil udělat filmo</w:t>
      </w:r>
      <w:r>
        <w:softHyphen/>
        <w:t>vého režiséra. Mezi prodavače střižného a krátkého zboží, kteří si náhle vezmou do hlavy, že z nich bude ministerský předseda. Mezi radioobchodníky, kteří začnou jednoho dne malova</w:t>
      </w:r>
      <w:r>
        <w:t>t veliká historická plátna. Ovšem mezi dramatické autory, kteří po desetiletí zaplavují svými rukopisy stoly dramaturgů a mezi vynálezce, kteří obtěžují patentní úřad svým novým perpetuem mobile. Foltýn je pouhá, neomylně za</w:t>
      </w:r>
      <w:r>
        <w:softHyphen/>
        <w:t>chycená obměna zneuznaného geni</w:t>
      </w:r>
      <w:r>
        <w:t>a.</w:t>
      </w:r>
    </w:p>
    <w:p w:rsidR="00500724" w:rsidRDefault="00F30FB8">
      <w:pPr>
        <w:pStyle w:val="Zkladntext30"/>
        <w:shd w:val="clear" w:color="auto" w:fill="auto"/>
        <w:spacing w:after="120" w:line="209" w:lineRule="auto"/>
        <w:ind w:firstLine="240"/>
      </w:pPr>
      <w:r>
        <w:t>Ale Foltýn je jen záminka.</w:t>
      </w:r>
    </w:p>
    <w:p w:rsidR="00500724" w:rsidRDefault="00F30FB8">
      <w:pPr>
        <w:pStyle w:val="Zkladntext30"/>
        <w:shd w:val="clear" w:color="auto" w:fill="auto"/>
        <w:spacing w:after="80" w:line="209" w:lineRule="auto"/>
        <w:ind w:firstLine="0"/>
        <w:jc w:val="center"/>
      </w:pPr>
      <w:r>
        <w:t>Foltýn jakokritika</w:t>
      </w:r>
    </w:p>
    <w:p w:rsidR="00500724" w:rsidRDefault="00F30FB8">
      <w:pPr>
        <w:pStyle w:val="Zkladntext30"/>
        <w:shd w:val="clear" w:color="auto" w:fill="auto"/>
        <w:spacing w:after="0" w:line="221" w:lineRule="auto"/>
        <w:ind w:firstLine="240"/>
      </w:pPr>
      <w:r>
        <w:t>Foltýn je krajní případ. Mezi ním a uměním je nekonečná stupnice odstínů a přechodů. Běží o foltýn- ství a o jeho škody. Běží o kulturu, v níž se vždycky percentuálně vyskytuje, o její reakci na jeho toxiny,</w:t>
      </w:r>
      <w:r>
        <w:t xml:space="preserve"> o prostředí, v němž bují. A za tím vším z Čapkova zlomku prosvítá, pro Čapka příznačně, pokus o kriti</w:t>
      </w:r>
      <w:r>
        <w:softHyphen/>
        <w:t>ku tvorby, pokus o noetické dílo: co je to umění? Nebo spíše: jaké má být umění?</w:t>
      </w:r>
    </w:p>
    <w:p w:rsidR="00500724" w:rsidRDefault="00F30FB8">
      <w:pPr>
        <w:pStyle w:val="Zkladntext30"/>
        <w:shd w:val="clear" w:color="auto" w:fill="auto"/>
        <w:spacing w:after="80" w:line="209" w:lineRule="auto"/>
        <w:ind w:firstLine="240"/>
        <w:rPr>
          <w:sz w:val="19"/>
          <w:szCs w:val="19"/>
        </w:rPr>
        <w:sectPr w:rsidR="00500724">
          <w:footnotePr>
            <w:numFmt w:val="chicago"/>
            <w:numRestart w:val="eachPage"/>
          </w:footnotePr>
          <w:type w:val="continuous"/>
          <w:pgSz w:w="11909" w:h="16834"/>
          <w:pgMar w:top="867" w:right="936" w:bottom="643" w:left="494" w:header="0" w:footer="3" w:gutter="0"/>
          <w:cols w:num="2" w:space="141"/>
          <w:noEndnote/>
          <w:docGrid w:linePitch="360"/>
        </w:sectPr>
      </w:pPr>
      <w:r>
        <w:t>Bude účelné, začít od konce Čapkova rukopi</w:t>
      </w:r>
      <w:r>
        <w:t>su. Tam totiž dospívá k prvním z kladů, jež chtěl vyložit. Podle náznaků z rozmluvy, již vzpomenutých, korepe- titor Trojan neměl pronést konečné slovo Čapkovy umělecké věrouky. Zřejmě však říká k ní slovo úvod</w:t>
      </w:r>
      <w:r>
        <w:softHyphen/>
        <w:t xml:space="preserve">ní, tak jako Čapkem citovaný Bůh Písem: »N a </w:t>
      </w:r>
      <w:r>
        <w:t>počátku stvořil Bůh nebe a zemi. Země pak byla nesličná a pustá, a Duch Boží vznášel se nad vodami.« Vykladač je v pokušení hned citovat dále, co k tomu Čapek dodává: »Vznášel se v zoufalství, neboť byla tu jen látka bez tvaru, látka nesličná a pustá.« (Po</w:t>
      </w:r>
      <w:r>
        <w:t>dtrhuje Čapek a pokračuje): »I řekl Bůh: Buď světlo! I bylo světlo.« — »Tomu,« dí Čapek, jest rozumět jako prvnímu sebe poznání: látka si uvědo</w:t>
      </w:r>
      <w:r>
        <w:softHyphen/>
        <w:t>muje sebe samu a dívá se s úžasem na sebe v prvním úsvitu; toto pak je začátek všeho formování.« Bible pokračuje</w:t>
      </w:r>
      <w:r>
        <w:t>: »A viděl Bůh světlo, že bylo dobré; i od</w:t>
      </w:r>
      <w:r>
        <w:softHyphen/>
        <w:t>dělil Bůh světlo od tmy.« Zde pokračuje Čapek: xŘečeno jest: o d d ě 1 i 1. To znamená rozčlenil, omezil a očistil... Jelikož pak řečeno bylo, že n a p o č á t k u stvořil Bůh nebe a zemi, je tím i vysloveno, že n</w:t>
      </w:r>
      <w:r>
        <w:t xml:space="preserve">ikoliv samo vznikání, nýbrž teprve toto oddělování a p o- řádání je tím pravým počátkem a tvůrčím dílem božím... rozumím tomu takto: Na počátku jsi ty </w:t>
      </w:r>
      <w:r>
        <w:rPr>
          <w:rFonts w:ascii="Arial" w:eastAsia="Arial" w:hAnsi="Arial" w:cs="Arial"/>
          <w:sz w:val="19"/>
          <w:szCs w:val="19"/>
        </w:rPr>
        <w:t>io?</w:t>
      </w:r>
    </w:p>
    <w:p w:rsidR="00500724" w:rsidRDefault="00500724">
      <w:pPr>
        <w:spacing w:before="18" w:after="18" w:line="240" w:lineRule="exact"/>
        <w:rPr>
          <w:sz w:val="19"/>
          <w:szCs w:val="19"/>
        </w:rPr>
      </w:pPr>
    </w:p>
    <w:p w:rsidR="00500724" w:rsidRDefault="00500724">
      <w:pPr>
        <w:spacing w:line="14" w:lineRule="exact"/>
        <w:sectPr w:rsidR="00500724">
          <w:footnotePr>
            <w:numFmt w:val="chicago"/>
            <w:numRestart w:val="eachPage"/>
          </w:footnotePr>
          <w:pgSz w:w="11909" w:h="16834"/>
          <w:pgMar w:top="826" w:right="0" w:bottom="1135" w:left="0" w:header="0" w:footer="3" w:gutter="0"/>
          <w:cols w:space="720"/>
          <w:noEndnote/>
          <w:docGrid w:linePitch="360"/>
        </w:sectPr>
      </w:pPr>
    </w:p>
    <w:p w:rsidR="00500724" w:rsidRDefault="00F30FB8">
      <w:pPr>
        <w:spacing w:line="14" w:lineRule="exact"/>
      </w:pPr>
      <w:r>
        <w:rPr>
          <w:noProof/>
        </w:rPr>
        <mc:AlternateContent>
          <mc:Choice Requires="wps">
            <w:drawing>
              <wp:anchor distT="0" distB="76200" distL="114300" distR="1071245" simplePos="0" relativeHeight="125829886" behindDoc="0" locked="0" layoutInCell="1" allowOverlap="1">
                <wp:simplePos x="0" y="0"/>
                <wp:positionH relativeFrom="page">
                  <wp:posOffset>2988310</wp:posOffset>
                </wp:positionH>
                <wp:positionV relativeFrom="paragraph">
                  <wp:posOffset>12700</wp:posOffset>
                </wp:positionV>
                <wp:extent cx="402590" cy="372110"/>
                <wp:effectExtent l="0" t="0" r="0" b="0"/>
                <wp:wrapTopAndBottom/>
                <wp:docPr id="509" name="Shape 509"/>
                <wp:cNvGraphicFramePr/>
                <a:graphic xmlns:a="http://schemas.openxmlformats.org/drawingml/2006/main">
                  <a:graphicData uri="http://schemas.microsoft.com/office/word/2010/wordprocessingShape">
                    <wps:wsp>
                      <wps:cNvSpPr txBox="1"/>
                      <wps:spPr>
                        <a:xfrm>
                          <a:off x="0" y="0"/>
                          <a:ext cx="402590" cy="372110"/>
                        </a:xfrm>
                        <a:prstGeom prst="rect">
                          <a:avLst/>
                        </a:prstGeom>
                        <a:noFill/>
                      </wps:spPr>
                      <wps:txbx>
                        <w:txbxContent>
                          <w:p w:rsidR="00500724" w:rsidRDefault="00F30FB8">
                            <w:pPr>
                              <w:pStyle w:val="Nadpis90"/>
                              <w:keepNext/>
                              <w:keepLines/>
                              <w:shd w:val="clear" w:color="auto" w:fill="auto"/>
                              <w:spacing w:after="0"/>
                            </w:pPr>
                            <w:bookmarkStart w:id="506" w:name="bookmark505"/>
                            <w:r>
                              <w:rPr>
                                <w:rFonts w:ascii="Times New Roman" w:eastAsia="Times New Roman" w:hAnsi="Times New Roman" w:cs="Times New Roman"/>
                              </w:rPr>
                              <w:t>Pfít</w:t>
                            </w:r>
                            <w:bookmarkEnd w:id="506"/>
                          </w:p>
                        </w:txbxContent>
                      </wps:txbx>
                      <wps:bodyPr lIns="0" tIns="0" rIns="0" bIns="0">
                        <a:spAutoFit/>
                      </wps:bodyPr>
                    </wps:wsp>
                  </a:graphicData>
                </a:graphic>
              </wp:anchor>
            </w:drawing>
          </mc:Choice>
          <mc:Fallback>
            <w:pict>
              <v:shape id="_x0000_s1535" type="#_x0000_t202" style="position:absolute;margin-left:235.30000000000001pt;margin-top:1.pt;width:31.699999999999999pt;height:29.300000000000001pt;z-index:-125828867;mso-wrap-distance-left:9.pt;mso-wrap-distance-right:84.349999999999994pt;mso-wrap-distance-bottom:6.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505" w:name="bookmark505"/>
                      <w:r>
                        <w:rPr>
                          <w:rFonts w:ascii="Times New Roman" w:eastAsia="Times New Roman" w:hAnsi="Times New Roman" w:cs="Times New Roman"/>
                          <w:color w:val="000000"/>
                          <w:spacing w:val="0"/>
                          <w:w w:val="100"/>
                          <w:position w:val="0"/>
                          <w:shd w:val="clear" w:color="auto" w:fill="auto"/>
                          <w:lang w:val="cs-CZ" w:eastAsia="cs-CZ" w:bidi="cs-CZ"/>
                        </w:rPr>
                        <w:t>Pfít</w:t>
                      </w:r>
                      <w:bookmarkEnd w:id="505"/>
                    </w:p>
                  </w:txbxContent>
                </v:textbox>
                <w10:wrap type="topAndBottom" anchorx="page"/>
              </v:shape>
            </w:pict>
          </mc:Fallback>
        </mc:AlternateContent>
      </w:r>
      <w:r>
        <w:rPr>
          <w:noProof/>
        </w:rPr>
        <mc:AlternateContent>
          <mc:Choice Requires="wps">
            <w:drawing>
              <wp:anchor distT="161290" distB="100330" distL="528955" distR="553085" simplePos="0" relativeHeight="125829888" behindDoc="0" locked="0" layoutInCell="1" allowOverlap="1">
                <wp:simplePos x="0" y="0"/>
                <wp:positionH relativeFrom="page">
                  <wp:posOffset>3402330</wp:posOffset>
                </wp:positionH>
                <wp:positionV relativeFrom="paragraph">
                  <wp:posOffset>173990</wp:posOffset>
                </wp:positionV>
                <wp:extent cx="506095" cy="186055"/>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506095" cy="186055"/>
                        </a:xfrm>
                        <a:prstGeom prst="rect">
                          <a:avLst/>
                        </a:prstGeom>
                        <a:noFill/>
                      </wps:spPr>
                      <wps:txbx>
                        <w:txbxContent>
                          <w:p w:rsidR="00500724" w:rsidRDefault="00F30FB8">
                            <w:pPr>
                              <w:pStyle w:val="Zkladntext30"/>
                              <w:pBdr>
                                <w:top w:val="single" w:sz="0" w:space="0" w:color="000000"/>
                                <w:left w:val="single" w:sz="0" w:space="0" w:color="000000"/>
                                <w:bottom w:val="single" w:sz="0" w:space="0" w:color="000000"/>
                                <w:right w:val="single" w:sz="0" w:space="0" w:color="000000"/>
                              </w:pBdr>
                              <w:shd w:val="clear" w:color="auto" w:fill="000000"/>
                              <w:spacing w:after="0" w:line="240" w:lineRule="auto"/>
                              <w:ind w:firstLine="0"/>
                              <w:jc w:val="left"/>
                            </w:pPr>
                            <w:r>
                              <w:rPr>
                                <w:color w:val="FFFFFF"/>
                              </w:rPr>
                              <w:t>•JIIh •</w:t>
                            </w:r>
                          </w:p>
                        </w:txbxContent>
                      </wps:txbx>
                      <wps:bodyPr lIns="0" tIns="0" rIns="0" bIns="0">
                        <a:spAutoFit/>
                      </wps:bodyPr>
                    </wps:wsp>
                  </a:graphicData>
                </a:graphic>
              </wp:anchor>
            </w:drawing>
          </mc:Choice>
          <mc:Fallback>
            <w:pict>
              <v:shape id="_x0000_s1537" type="#_x0000_t202" style="position:absolute;margin-left:267.89999999999998pt;margin-top:13.699999999999999pt;width:39.850000000000001pt;height:14.65pt;z-index:-125828865;mso-wrap-distance-left:41.649999999999999pt;mso-wrap-distance-top:12.699999999999999pt;mso-wrap-distance-right:43.549999999999997pt;mso-wrap-distance-bottom:7.9000000000000004pt;mso-position-horizontal-relative:page" filled="f" stroked="f">
                <v:textbox style="mso-fit-shape-to-text:t" inset="0,0,0,0">
                  <w:txbxContent>
                    <w:p>
                      <w:pPr>
                        <w:pStyle w:val="Style2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r>
                        <w:rPr>
                          <w:color w:val="FFFFFF"/>
                          <w:spacing w:val="0"/>
                          <w:w w:val="100"/>
                          <w:position w:val="0"/>
                          <w:shd w:val="clear" w:color="auto" w:fill="auto"/>
                          <w:lang w:val="cs-CZ" w:eastAsia="cs-CZ" w:bidi="cs-CZ"/>
                        </w:rPr>
                        <w:t>•JIIh •</w:t>
                      </w:r>
                    </w:p>
                  </w:txbxContent>
                </v:textbox>
                <w10:wrap type="topAndBottom" anchorx="page"/>
              </v:shape>
            </w:pict>
          </mc:Fallback>
        </mc:AlternateContent>
      </w:r>
      <w:r>
        <w:rPr>
          <w:noProof/>
        </w:rPr>
        <mc:AlternateContent>
          <mc:Choice Requires="wps">
            <w:drawing>
              <wp:anchor distT="97790" distB="82550" distL="1047115" distR="114300" simplePos="0" relativeHeight="125829890" behindDoc="0" locked="0" layoutInCell="1" allowOverlap="1">
                <wp:simplePos x="0" y="0"/>
                <wp:positionH relativeFrom="page">
                  <wp:posOffset>3920490</wp:posOffset>
                </wp:positionH>
                <wp:positionV relativeFrom="paragraph">
                  <wp:posOffset>110490</wp:posOffset>
                </wp:positionV>
                <wp:extent cx="426720" cy="26797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426720" cy="267970"/>
                        </a:xfrm>
                        <a:prstGeom prst="rect">
                          <a:avLst/>
                        </a:prstGeom>
                        <a:noFill/>
                      </wps:spPr>
                      <wps:txbx>
                        <w:txbxContent>
                          <w:p w:rsidR="00500724" w:rsidRDefault="00F30FB8">
                            <w:pPr>
                              <w:pStyle w:val="Nadpis100"/>
                              <w:shd w:val="clear" w:color="auto" w:fill="auto"/>
                              <w:spacing w:after="0" w:line="240" w:lineRule="auto"/>
                              <w:jc w:val="left"/>
                            </w:pPr>
                            <w:bookmarkStart w:id="507" w:name="bookmark506"/>
                            <w:r>
                              <w:rPr>
                                <w:rFonts w:ascii="Arial" w:eastAsia="Arial" w:hAnsi="Arial" w:cs="Arial"/>
                              </w:rPr>
                              <w:t>StLz</w:t>
                            </w:r>
                            <w:bookmarkEnd w:id="507"/>
                          </w:p>
                        </w:txbxContent>
                      </wps:txbx>
                      <wps:bodyPr lIns="0" tIns="0" rIns="0" bIns="0">
                        <a:spAutoFit/>
                      </wps:bodyPr>
                    </wps:wsp>
                  </a:graphicData>
                </a:graphic>
              </wp:anchor>
            </w:drawing>
          </mc:Choice>
          <mc:Fallback>
            <w:pict>
              <v:shape id="_x0000_s1539" type="#_x0000_t202" style="position:absolute;margin-left:308.69999999999999pt;margin-top:8.6999999999999993pt;width:33.600000000000001pt;height:21.100000000000001pt;z-index:-125828863;mso-wrap-distance-left:82.450000000000003pt;mso-wrap-distance-top:7.7000000000000002pt;mso-wrap-distance-right:9.pt;mso-wrap-distance-bottom:6.5pt;mso-position-horizontal-relative:page"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bookmarkStart w:id="506" w:name="bookmark506"/>
                      <w:r>
                        <w:rPr>
                          <w:rFonts w:ascii="Arial" w:eastAsia="Arial" w:hAnsi="Arial" w:cs="Arial"/>
                          <w:color w:val="000000"/>
                          <w:spacing w:val="0"/>
                          <w:w w:val="100"/>
                          <w:position w:val="0"/>
                          <w:shd w:val="clear" w:color="auto" w:fill="auto"/>
                          <w:lang w:val="cs-CZ" w:eastAsia="cs-CZ" w:bidi="cs-CZ"/>
                        </w:rPr>
                        <w:t>StLz</w:t>
                      </w:r>
                      <w:bookmarkEnd w:id="506"/>
                    </w:p>
                  </w:txbxContent>
                </v:textbox>
                <w10:wrap type="topAndBottom" anchorx="page"/>
              </v:shape>
            </w:pict>
          </mc:Fallback>
        </mc:AlternateContent>
      </w:r>
    </w:p>
    <w:p w:rsidR="00500724" w:rsidRDefault="00F30FB8">
      <w:pPr>
        <w:pStyle w:val="Zkladntext30"/>
        <w:shd w:val="clear" w:color="auto" w:fill="auto"/>
        <w:spacing w:after="60" w:line="202" w:lineRule="auto"/>
        <w:ind w:firstLine="0"/>
      </w:pPr>
      <w:r>
        <w:t xml:space="preserve">sám, látka nesličná a pustá; ty sám, tvé já, </w:t>
      </w:r>
      <w:r>
        <w:t>tvůj život, tvé nadání, to vše je jenom látka: nikoliv tvoření, nýbrž pouhá stvořenost. A kdybys jakkoliv rozepnul své já a naplnil svůj život, nejsi nic než látka pustá a chaotická, nad níž se Duch Boží vznáší v zoufalství, nemaje nač se snést. Musíš oddě</w:t>
      </w:r>
      <w:r>
        <w:t>lit světlo od tmy, aby se látka stala tvarem; musíš oddělovat a omezo</w:t>
      </w:r>
      <w:r>
        <w:softHyphen/>
        <w:t xml:space="preserve">vat, aby vznikly jasné obrysy a věci stály před tebou v plném světle... Tvoříš jen potud, pokud dáváš látce tvar... Odděluj, odděluj! I když tvé dílo je z tebe, musí se začínat i končit </w:t>
      </w:r>
      <w:r>
        <w:t>samo v sobě; jeho tvar musí být tak dokonale uzavřen, že už v něm není místa pro nic jiného, ani pro tebe ne; ani pro tvou osobitost, ani pro tvou ctižádost, pro nic z toho, v čem sebe samo nalézá a v čem si libuje tvoje já. Ne v tobě, ale samo v sobě musí</w:t>
      </w:r>
      <w:r>
        <w:t xml:space="preserve"> mít stvořené dílo svou osu. Všechno špatné a nečisté umění pochází z toho, že v něm zůstalo něco osobního, co se nestalo tvarem, a věcí od</w:t>
      </w:r>
      <w:r>
        <w:softHyphen/>
        <w:t>dělenou; není to ani místo suché, jež Bůh nazval zemí, ani shromáždění vod, jež nazval mořem, nýbrž bláto, látka ner</w:t>
      </w:r>
      <w:r>
        <w:t>ozdělená a pustá. Většina uměl</w:t>
      </w:r>
      <w:r>
        <w:softHyphen/>
        <w:t>ců... jenom do nekonečna rozmnožuje látku, místo, aby jí dávali tvar; jedni ji chrlí jako pekelnou lávu, jiní ji naplavu jí jako slizké bahno... Neboť i ďábel se míchá a fušuje do umě</w:t>
      </w:r>
      <w:r>
        <w:softHyphen/>
        <w:t>ní; můžete ho dobře poznat podle toho, že</w:t>
      </w:r>
      <w:r>
        <w:t xml:space="preserve"> je od přírody ctižádostivý a ješitný. Honosí se látkou, originalitou nebo siláctvím; každá přemíra, každé bujení... všechno velikášství a veške</w:t>
      </w:r>
      <w:r>
        <w:softHyphen/>
        <w:t>rá okázalost... všechno, co v umění je laci</w:t>
      </w:r>
      <w:r>
        <w:softHyphen/>
        <w:t>né, lesklé a líbivé, jsou nakradené cetky jeho opičí chlubivosti; v</w:t>
      </w:r>
      <w:r>
        <w:t>šechno, co je ne</w:t>
      </w:r>
      <w:r>
        <w:softHyphen/>
        <w:t>hotové a nedotvořené, jsou chvatné stopy jeho horeč</w:t>
      </w:r>
      <w:r>
        <w:softHyphen/>
        <w:t xml:space="preserve">né netrpělivosti a věčného lajdáctví; veškerá falešná a honosná forma je vypůjčená m a s k a, jíž marně zakrývá svou zoufalou pustotu ... Aby tě oklamal ...vydávásezatebesama... »To jsem </w:t>
      </w:r>
      <w:r>
        <w:t>já,« šeptá ti, »tvé daimonion; já jsem tvé geniální a ctižádostivé já. Pokud máš mne, jsi veliký a svrchovaný...* Neboť ďábel nikdy nežádá, aby se sloužilo jemu, nýbrž sobě samotnému; on dobře ví, proč to dělá a čím si může osedlat lidské duše a činy...« A</w:t>
      </w:r>
      <w:r>
        <w:t xml:space="preserve"> tak dále.</w:t>
      </w:r>
    </w:p>
    <w:p w:rsidR="00500724" w:rsidRDefault="00F30FB8">
      <w:pPr>
        <w:pStyle w:val="Zkladntext30"/>
        <w:shd w:val="clear" w:color="auto" w:fill="auto"/>
        <w:spacing w:after="60" w:line="216" w:lineRule="auto"/>
        <w:ind w:firstLine="240"/>
      </w:pPr>
      <w:r>
        <w:t>Podnícen k tomuto vyznání víry pak je korepetitor Trojan dojmem, »že si s panem Foltýnem nebudu nikdy dobře rozumět. Patřil zřejmě k těm umělcům, kteří považují umění za jakési sebevyjádření a sebeuplatnění, za prostředek, kterým neomezeně proje</w:t>
      </w:r>
      <w:r>
        <w:t>vují své vlastní já ....«</w:t>
      </w:r>
    </w:p>
    <w:p w:rsidR="00500724" w:rsidRDefault="00F30FB8">
      <w:pPr>
        <w:pStyle w:val="Zkladntext30"/>
        <w:shd w:val="clear" w:color="auto" w:fill="auto"/>
        <w:spacing w:after="60" w:line="199" w:lineRule="auto"/>
        <w:ind w:firstLine="240"/>
      </w:pPr>
      <w:r>
        <w:t>Tak Trojan. Byť Čapek podle vlastních slov se s ním neztotožňoval bez výhrady, horoucí a ryzí pathos jeho vyznání přec nepřipouští pochyby o tom, že je v něm obsažen základ a východisko vlastní víry Čapkovy. Takto čten, potom Folt</w:t>
      </w:r>
      <w:r>
        <w:t xml:space="preserve">ýn se stává kritikou a polemikou autorovou proti všemu, co v </w:t>
      </w:r>
      <w:r>
        <w:rPr>
          <w:b/>
          <w:bCs/>
          <w:sz w:val="18"/>
          <w:szCs w:val="18"/>
          <w:u w:val="single"/>
        </w:rPr>
        <w:t>um</w:t>
      </w:r>
      <w:r>
        <w:rPr>
          <w:b/>
          <w:bCs/>
          <w:sz w:val="18"/>
          <w:szCs w:val="18"/>
        </w:rPr>
        <w:t xml:space="preserve">ění </w:t>
      </w:r>
      <w:r>
        <w:t>ne</w:t>
      </w:r>
      <w:r>
        <w:softHyphen/>
        <w:t>čistého a nekalého. Foltýn je krajní případ této ne</w:t>
      </w:r>
      <w:r>
        <w:softHyphen/>
        <w:t>kalé nečistoty. A je-li Čapkův zlomek tedy polemika proti ďáblu v umění, Foltýn je jeho klasické a příšer</w:t>
      </w:r>
      <w:r>
        <w:softHyphen/>
        <w:t xml:space="preserve">né vtělení. Je to, jako u </w:t>
      </w:r>
      <w:r>
        <w:t>Dostojevského, »malý, krtičnatý ďábel s rýmou«, nebo, libo-li: je to Čapkův umělecký Smerďakov.</w:t>
      </w:r>
    </w:p>
    <w:p w:rsidR="00500724" w:rsidRDefault="00F30FB8">
      <w:pPr>
        <w:pStyle w:val="Zkladntext30"/>
        <w:shd w:val="clear" w:color="auto" w:fill="auto"/>
        <w:spacing w:after="80" w:line="240" w:lineRule="auto"/>
        <w:ind w:firstLine="0"/>
        <w:jc w:val="center"/>
      </w:pPr>
      <w:r>
        <w:rPr>
          <w:lang w:val="en-US" w:eastAsia="en-US" w:bidi="en-US"/>
        </w:rPr>
        <w:t>Advocatus Dei</w:t>
      </w:r>
    </w:p>
    <w:p w:rsidR="00500724" w:rsidRDefault="00F30FB8">
      <w:pPr>
        <w:pStyle w:val="Zkladntext30"/>
        <w:shd w:val="clear" w:color="auto" w:fill="auto"/>
        <w:spacing w:after="80" w:line="202" w:lineRule="auto"/>
        <w:ind w:firstLine="240"/>
      </w:pPr>
      <w:r>
        <w:t>Následován všemi umělecky počestnými postavami knihy, od universitám V. B. až ke slepému Kannerovi, je tedy Trojan v této při o svatořečení tvorby</w:t>
      </w:r>
      <w:r>
        <w:t xml:space="preserve"> — jak je to blízké Bernarda Shawa i G. K. Chestertom zároveň! — advokátem božím proti všemu, co ďábel i jeho advokáti vložili do Bědy Foltena, počínajíc hned tímto jeho afektovaným pseudonymem. Je vůdce vyznavačů, kteří s ním a s Čapkem se modlí: »... Nen</w:t>
      </w:r>
      <w:r>
        <w:t>í ti uloženo tvé dílo, aby ses jím projevil, ale aby ses jím očistil, aby ses odpoutal od sebe sama; netvoříš ze sebe, ale nad sebe; hrozně a trpělivě se domáháš lepšího vidění a slyšení, jasnějšího porozumění, větší lásky a hlubšího po</w:t>
      </w:r>
      <w:r>
        <w:softHyphen/>
        <w:t>znání ... Tvoříš pr</w:t>
      </w:r>
      <w:r>
        <w:t>oto, abys na svém díle poznal tvar a dokonalost věci. Tvá služba věcem je boho</w:t>
      </w:r>
      <w:r>
        <w:softHyphen/>
        <w:t>služba.«</w:t>
      </w:r>
    </w:p>
    <w:p w:rsidR="00500724" w:rsidRDefault="00F30FB8">
      <w:pPr>
        <w:pStyle w:val="Zkladntext30"/>
        <w:shd w:val="clear" w:color="auto" w:fill="auto"/>
        <w:spacing w:after="80" w:line="199" w:lineRule="auto"/>
        <w:ind w:firstLine="240"/>
      </w:pPr>
      <w:r>
        <w:t>Tak zní předposlední věta Čapkova rukopisu. Stojí za povšimnutí, jak obdobná je její formulace k ně</w:t>
      </w:r>
      <w:r>
        <w:softHyphen/>
        <w:t>kterým formulacím kritika, jejž Čapek nejednou potíral: k formulacím</w:t>
      </w:r>
      <w:r>
        <w:t xml:space="preserve"> F. X. Saldy. Očividně pak tento a předchozí názory Jana Trojana jsou klíč ke smyslu postavy Foltýnovy. V jejich jméně vede se stálá vojna s foltýnismem vůbec. Je to nepřetržité přistiho- vání a usvědčování: když mně ďábel: milost, já jemu: spravedlnost, p</w:t>
      </w:r>
      <w:r>
        <w:t>raví Ignác z Loyoly. Jestliže Folten jde na Trojana od lesa (on vždycky od lesa): »... Přece jenom mi chybí jisté technické, řekl bych řemeslné znalosti...« hned mu Trojan jede po hubě: »Promiňte, pane, v umění není nic řemeslného. Celé umění musí být doko</w:t>
      </w:r>
      <w:r>
        <w:t>nalým řemeslem; a celé musí být uměním. Takhle se nesmí mluvit, pane... Orchestrace není žádné řemeslo. Podívejte se na Berlioze, pane. Nebo si přečtěte partituru Dona Giovanniho, jaké je to řemeslo. To nejde, prosím; takhle bychom spolu vůbec nemohli mluv</w:t>
      </w:r>
      <w:r>
        <w:t>it...« A dále Foltýn: »... je-li v mém díle ten pravý a čistý řád ...« Trojan: »... Ten musíte mít v sobě... nemohu vás naučit něčemu, co vé vás není...« I v zápětí: »... za</w:t>
      </w:r>
      <w:r>
        <w:softHyphen/>
        <w:t>čal mi hovořit o celkové koncepci své Judity. — To ne, prosím... nejdřív děj, a pa</w:t>
      </w:r>
      <w:r>
        <w:t>k to hned račte pře</w:t>
      </w:r>
      <w:r>
        <w:softHyphen/>
        <w:t xml:space="preserve">hrát ... Co není v řádkách, není v koncepci...« Načež, když Judita jde před bránu pro vodu, míní: »Tak to je chyba. V opevněných městech musely být studny uvnitř hradeb, pane. To nejde.« A později: »Umění je práce. Tvoření je jen a jen </w:t>
      </w:r>
      <w:r>
        <w:t>práce.« Na Foltýnův povzdech, že dnes nemá tu pravou inspiraci, odsekne: »Vy nesmíte mít žádnou inspiraci... Hudba, pane, musí být tak přesná jako vědění. Vy musíte vědět, co tam má být. Přemýšlet, rozumíte? Žádná inspirace. Jen práce.«</w:t>
      </w:r>
    </w:p>
    <w:p w:rsidR="00500724" w:rsidRDefault="00F30FB8">
      <w:pPr>
        <w:pStyle w:val="Zkladntext30"/>
        <w:shd w:val="clear" w:color="auto" w:fill="auto"/>
        <w:spacing w:after="80" w:line="199" w:lineRule="auto"/>
        <w:ind w:firstLine="240"/>
        <w:sectPr w:rsidR="00500724">
          <w:footnotePr>
            <w:numFmt w:val="chicago"/>
            <w:numRestart w:val="eachPage"/>
          </w:footnotePr>
          <w:type w:val="continuous"/>
          <w:pgSz w:w="11909" w:h="16834"/>
          <w:pgMar w:top="826" w:right="821" w:bottom="1135" w:left="634" w:header="0" w:footer="3" w:gutter="0"/>
          <w:cols w:num="2" w:space="163"/>
          <w:noEndnote/>
          <w:docGrid w:linePitch="360"/>
        </w:sectPr>
      </w:pPr>
      <w:r>
        <w:t>Studna před branou, jindy rokokový pastýř místo poušťového kočovníka a jiné věci prozrazují Čapkův názor na umění, jemuž by přibližně slušel název realismu (byť s názvukem platónským) nebo verismu (bez příhany, s důrazem na v</w:t>
      </w:r>
      <w:r>
        <w:t>eritas). Ale na Trojano</w:t>
      </w:r>
      <w:r>
        <w:softHyphen/>
        <w:t xml:space="preserve">vě kritice koncepce, inspirace a řádu dlužno rozlišit dvojí: jednak skutečně mluví z Trojana duše kantor- ská, suchý, zbožný theoretik. A zde je asi místo, kde se Čapek od něho odloučí cestou k nevypočitatelné milosti vnuknutí. Ale </w:t>
      </w:r>
      <w:r>
        <w:t>zároveň je s ním solidární v jedné zásadní věci: v neúprosném stihání všech velikých, mlhavých a snadno zneužitých slov jako: »Inspirace,« »Koncepce,« »Dionysský,« »Prapodsta-</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881" w:right="799" w:bottom="955" w:left="564" w:header="0" w:footer="3" w:gutter="0"/>
          <w:cols w:space="720"/>
          <w:noEndnote/>
          <w:docGrid w:linePitch="360"/>
        </w:sectPr>
      </w:pPr>
      <w:bookmarkStart w:id="508" w:name="bookmark507"/>
      <w:r>
        <w:rPr>
          <w:lang w:val="en-US" w:eastAsia="en-US" w:bidi="en-US"/>
        </w:rPr>
        <w:t>PffBamnosO</w:t>
      </w:r>
      <w:bookmarkEnd w:id="508"/>
    </w:p>
    <w:p w:rsidR="00500724" w:rsidRDefault="00500724">
      <w:pPr>
        <w:spacing w:line="9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833" w:right="0" w:bottom="1003" w:left="0" w:header="0" w:footer="3" w:gutter="0"/>
          <w:cols w:space="720"/>
          <w:noEndnote/>
          <w:docGrid w:linePitch="360"/>
        </w:sectPr>
      </w:pPr>
    </w:p>
    <w:p w:rsidR="00500724" w:rsidRDefault="00F30FB8">
      <w:pPr>
        <w:pStyle w:val="Zkladntext30"/>
        <w:shd w:val="clear" w:color="auto" w:fill="auto"/>
        <w:spacing w:after="0" w:line="202" w:lineRule="auto"/>
        <w:ind w:firstLine="0"/>
      </w:pPr>
      <w:r>
        <w:t>ta,« »Běs,« »</w:t>
      </w:r>
      <w:r>
        <w:t>Propastné ženství,« ^Umělec musí vášni</w:t>
      </w:r>
      <w:r>
        <w:softHyphen/>
        <w:t xml:space="preserve">vě žít« — a tak dále. Foltýn od prvních stránek až do konce rukopisu vytváří si z takových slov a jejich postojů španělskou stěnu, za niž skrývá svou úplnou neplodnost a nemohoucnost. Pláštěm z těchto frásí předstírá </w:t>
      </w:r>
      <w:r>
        <w:t>po celý život svou uměleckou existenci. Advokáti boží tento laciný blýskavý plášť slov s něho trhají.</w:t>
      </w:r>
    </w:p>
    <w:p w:rsidR="00500724" w:rsidRDefault="00F30FB8">
      <w:pPr>
        <w:pStyle w:val="Zkladntext30"/>
        <w:shd w:val="clear" w:color="auto" w:fill="auto"/>
        <w:spacing w:after="0" w:line="202" w:lineRule="auto"/>
        <w:ind w:firstLine="240"/>
      </w:pPr>
      <w:r>
        <w:t>Ale Foltýn všechna ta slova a ty theorie nemá ze sebe. Tak jako nemá ze sebe ani slůvko svého libreta, ani notu své partitury. Před Foltýnem již mnoho pov</w:t>
      </w:r>
      <w:r>
        <w:t>olaných a nevyvolených nejednou i úspěšně zne</w:t>
      </w:r>
      <w:r>
        <w:softHyphen/>
        <w:t>užilo těchto slov, frásí a theorií. Kritiky a nakladatel</w:t>
      </w:r>
      <w:r>
        <w:softHyphen/>
        <w:t>ské reklamy je dávno opotřebovaly v konvenci, jež dodnes klame věřící laiky, amatéry, diletanty a polo- vzdělance.</w:t>
      </w:r>
    </w:p>
    <w:p w:rsidR="00500724" w:rsidRDefault="00F30FB8">
      <w:pPr>
        <w:pStyle w:val="Zkladntext30"/>
        <w:shd w:val="clear" w:color="auto" w:fill="auto"/>
        <w:spacing w:after="0" w:line="202" w:lineRule="auto"/>
        <w:ind w:firstLine="240"/>
      </w:pPr>
      <w:r>
        <w:t>Není pochyby, že Čapek míří na tyto th</w:t>
      </w:r>
      <w:r>
        <w:t xml:space="preserve">eorie. Ale míří především na jejich veliká slova a fráse, na jejich zneužití, na konvenci lži, klamu a zdání, kterou tolik a tolik uměleckých Smerďakovů uvedlo veřejnost </w:t>
      </w:r>
      <w:r>
        <w:rPr>
          <w:b/>
          <w:bCs/>
        </w:rPr>
        <w:t xml:space="preserve">a </w:t>
      </w:r>
      <w:r>
        <w:t>kulturu v blud.</w:t>
      </w:r>
    </w:p>
    <w:p w:rsidR="00500724" w:rsidRDefault="00F30FB8">
      <w:pPr>
        <w:pStyle w:val="Zkladntext30"/>
        <w:shd w:val="clear" w:color="auto" w:fill="auto"/>
        <w:spacing w:after="0" w:line="202" w:lineRule="auto"/>
        <w:ind w:firstLine="240"/>
      </w:pPr>
      <w:r>
        <w:t>Foltýn v tomto světle se jeví jako tak zvaná oběť poměrů.</w:t>
      </w:r>
    </w:p>
    <w:p w:rsidR="00500724" w:rsidRDefault="00F30FB8">
      <w:pPr>
        <w:pStyle w:val="Zkladntext30"/>
        <w:shd w:val="clear" w:color="auto" w:fill="auto"/>
        <w:spacing w:after="80" w:line="199" w:lineRule="auto"/>
        <w:ind w:firstLine="240"/>
      </w:pPr>
      <w:r>
        <w:t>Na tyto po</w:t>
      </w:r>
      <w:r>
        <w:t>měry, bludy, bludaře, lži a lháře je Čapkova kniha útokem do té míry vysloveným, že sahá za meze beletristické, a do té míry ostrým, že je tu tam v diskrétní masce téměř klíčová a málem polemicky osobní. Čtenář zasvěcený a pozorný, mohl by na některých mís</w:t>
      </w:r>
      <w:r>
        <w:t xml:space="preserve">tech takřka prstem označit modely: slohů, prostředí, příběhů, postav. Jenže Čapek byl tak naskrze proniklý vírou Trojanovou </w:t>
      </w:r>
      <w:r>
        <w:rPr>
          <w:b/>
          <w:bCs/>
          <w:sz w:val="26"/>
          <w:szCs w:val="26"/>
        </w:rPr>
        <w:t xml:space="preserve">v </w:t>
      </w:r>
      <w:r>
        <w:t xml:space="preserve">umění, v němž nesmí zbýt nic osobního, že žádná z těchto dokladových skutečností nezanechala v knize více, než svou věcnou </w:t>
      </w:r>
      <w:r>
        <w:t>podstatu a její tvar.</w:t>
      </w:r>
    </w:p>
    <w:p w:rsidR="00500724" w:rsidRDefault="00F30FB8">
      <w:pPr>
        <w:pStyle w:val="Zkladntext30"/>
        <w:shd w:val="clear" w:color="auto" w:fill="auto"/>
        <w:spacing w:after="80" w:line="202" w:lineRule="auto"/>
        <w:ind w:firstLine="0"/>
        <w:jc w:val="center"/>
      </w:pPr>
      <w:r>
        <w:t>Proč krajní případ</w:t>
      </w:r>
    </w:p>
    <w:p w:rsidR="00500724" w:rsidRDefault="00F30FB8">
      <w:pPr>
        <w:pStyle w:val="Zkladntext30"/>
        <w:shd w:val="clear" w:color="auto" w:fill="auto"/>
        <w:spacing w:after="0" w:line="202" w:lineRule="auto"/>
        <w:ind w:firstLine="240"/>
      </w:pPr>
      <w:r>
        <w:t>Ač nedopsán, Foltýn je tedy ve svém záměru jasný. Je to krajní případ uměleckého padělku ve službě vlastního já místo v bohoslužbě umění. Bylo by tuze nesnadné, zbásnit průkazně padělek v umění na jiném případě, než</w:t>
      </w:r>
      <w:r>
        <w:t xml:space="preserve"> na krajním. Foltýn neumí vůbec nic, ani pořádně přepsat všehochuť skradených veršů a skladeb. Nezná ani instrumentaci, aby sloučil jaks taks hudbu Fattyho s Ladíčkovou. Nenaučil se abecedě umění. Ale je mnoho Foltýnů, kteří se vyučili tomu, co on zve řeme</w:t>
      </w:r>
      <w:r>
        <w:t>slem. Naučili se zhruba všemu, čemu se lze ve škole naučit. Mají ono minimum nízkého, druhotného nadání, jež Foltýnovi je odepře</w:t>
      </w:r>
      <w:r>
        <w:softHyphen/>
        <w:t>no. Nemusejí po hospodách uplácet básníky, mecenit konservatoristům. Umějí si pro svou originalitu dojít ke klasikům, k moderní</w:t>
      </w:r>
      <w:r>
        <w:t>m a módním velikánům, za</w:t>
      </w:r>
      <w:r>
        <w:softHyphen/>
        <w:t>kladatelům směrů a ismů. Umějí si, co Foltýn neumí, dokonce mezi nimi vybrat. Vědí, jak je přeinstrumen- tovat a oklamou svou současnost nejenom na sezónu. Někdy na celá desetiletí, na celou generaci, na celý svůj život. Mezi nešťa</w:t>
      </w:r>
      <w:r>
        <w:t>stným Foltenem a uměním oni jsou to, kteří tvoří onu nekonečnou stupnici odstínů a přechodů. Proti nim a jejich bezděčným či vědo</w:t>
      </w:r>
      <w:r>
        <w:softHyphen/>
        <w:t xml:space="preserve">mým advokátům je namířen Foltýn. Je v tomto smysle namířen i proti určitým druhům kritiky — neboť i kritika, ba právě kritika </w:t>
      </w:r>
      <w:r>
        <w:t>má, a to v hojné míře, své Foltýny. Je pak proti nim namířen s urči</w:t>
      </w:r>
      <w:r>
        <w:softHyphen/>
        <w:t>tým osobním zahrocením Čapkova vlastního umělec</w:t>
      </w:r>
      <w:r>
        <w:softHyphen/>
        <w:t>kého názoru.</w:t>
      </w:r>
    </w:p>
    <w:p w:rsidR="00500724" w:rsidRDefault="00F30FB8">
      <w:pPr>
        <w:pStyle w:val="Zkladntext30"/>
        <w:shd w:val="clear" w:color="auto" w:fill="auto"/>
        <w:spacing w:after="80" w:line="202" w:lineRule="auto"/>
        <w:ind w:firstLine="240"/>
      </w:pPr>
      <w:r>
        <w:t>Slušelo by teď rozebrat, jak se jeví onen Čapkův umělecký názor. To by, s přibráním všeho díla</w:t>
      </w:r>
    </w:p>
    <w:p w:rsidR="00500724" w:rsidRDefault="00F30FB8">
      <w:pPr>
        <w:pStyle w:val="Zkladntext30"/>
        <w:shd w:val="clear" w:color="auto" w:fill="auto"/>
        <w:spacing w:after="380" w:line="202" w:lineRule="auto"/>
        <w:ind w:firstLine="0"/>
      </w:pPr>
      <w:r>
        <w:t>Čapkova, vydalo nemalou knihu, v</w:t>
      </w:r>
      <w:r>
        <w:t xml:space="preserve"> každém případě místa mnohokrát více, než je dáno tomuto, i tak velmi kusému hloubání. Slušelo by dále prohlédnout si, jakým způsobem si Čapek ve Foltýnovi počíná. Jak prolíná umění s filosofií a kritikou. V jaké </w:t>
      </w:r>
      <w:r>
        <w:rPr>
          <w:u w:val="single"/>
        </w:rPr>
        <w:t>míř</w:t>
      </w:r>
      <w:r>
        <w:t>^ má převahu toto či ony. Kam patří v je</w:t>
      </w:r>
      <w:r>
        <w:t>ho díle zařadit tento carlyleovský román á la »Sartor Resartus«, jemuž se Čapek nejvíce přiblížil »Válkou s mloky«. Smysl toho, co zde psáno, omezil se však pouze na pokus, vystopovat, proč byl Foltýn napsán. Zjistit, že byl napsán za uměleckou pravdu prot</w:t>
      </w:r>
      <w:r>
        <w:t>i umělecké lži. Jako vyznání víry, že služba pravdě je umělcovo mravní poslání. Neboť Čapek věřil, že pravda vítězí.</w:t>
      </w:r>
    </w:p>
    <w:p w:rsidR="00500724" w:rsidRDefault="00F30FB8">
      <w:pPr>
        <w:pStyle w:val="Jin0"/>
        <w:pBdr>
          <w:bottom w:val="single" w:sz="4" w:space="0" w:color="auto"/>
        </w:pBdr>
        <w:shd w:val="clear" w:color="auto" w:fill="auto"/>
        <w:spacing w:after="140"/>
        <w:ind w:firstLine="0"/>
        <w:jc w:val="left"/>
        <w:rPr>
          <w:sz w:val="44"/>
          <w:szCs w:val="44"/>
        </w:rPr>
      </w:pPr>
      <w:r>
        <w:rPr>
          <w:b/>
          <w:bCs/>
          <w:sz w:val="44"/>
          <w:szCs w:val="44"/>
        </w:rPr>
        <w:t>doba a lidé</w:t>
      </w:r>
    </w:p>
    <w:p w:rsidR="00500724" w:rsidRDefault="00F30FB8">
      <w:pPr>
        <w:pStyle w:val="Zkladntext30"/>
        <w:shd w:val="clear" w:color="auto" w:fill="auto"/>
        <w:spacing w:after="0" w:line="240" w:lineRule="auto"/>
        <w:ind w:firstLine="0"/>
        <w:rPr>
          <w:sz w:val="20"/>
          <w:szCs w:val="20"/>
        </w:rPr>
      </w:pPr>
      <w:r>
        <w:rPr>
          <w:b/>
          <w:bCs/>
          <w:i/>
          <w:iCs/>
          <w:sz w:val="20"/>
          <w:szCs w:val="20"/>
        </w:rPr>
        <w:t>Jiří Soumar:</w:t>
      </w:r>
    </w:p>
    <w:p w:rsidR="00500724" w:rsidRDefault="00F30FB8">
      <w:pPr>
        <w:pStyle w:val="Nadpis100"/>
        <w:shd w:val="clear" w:color="auto" w:fill="auto"/>
        <w:spacing w:after="60" w:line="230" w:lineRule="auto"/>
      </w:pPr>
      <w:bookmarkStart w:id="509" w:name="bookmark508"/>
      <w:r>
        <w:t>Jaká četba kazí děti</w:t>
      </w:r>
      <w:bookmarkEnd w:id="509"/>
    </w:p>
    <w:p w:rsidR="00500724" w:rsidRDefault="00F30FB8">
      <w:pPr>
        <w:pStyle w:val="Zkladntext100"/>
        <w:shd w:val="clear" w:color="auto" w:fill="auto"/>
        <w:spacing w:after="260" w:line="216" w:lineRule="auto"/>
        <w:ind w:firstLine="320"/>
      </w:pPr>
      <w:r>
        <w:t>Ctli jsme teď v novinách o procesu, kterým se hájí na</w:t>
      </w:r>
      <w:r>
        <w:softHyphen/>
        <w:t>kladatelství tak zvaných lidových román</w:t>
      </w:r>
      <w:r>
        <w:t>ů proti ostré kri</w:t>
      </w:r>
      <w:r>
        <w:softHyphen/>
        <w:t>tice mladého spisovatele v ohledu mravním. A skoro sou</w:t>
      </w:r>
      <w:r>
        <w:softHyphen/>
        <w:t>časně stojí před porotou dva mladíci, kteří přepadli ně</w:t>
      </w:r>
      <w:r>
        <w:softHyphen/>
        <w:t>kolik lidí s maskami na tvářích. Jako učebnici pro své lupičské kousky označili právě ony levné romány, které dostanete v každé</w:t>
      </w:r>
      <w:r>
        <w:t>m novinovém slánku a na každém ná</w:t>
      </w:r>
      <w:r>
        <w:softHyphen/>
        <w:t>draží. Byl učiněn závěr: Tato románová četba kazí hochy a svádí je ke zločinu. Obsah těchto románů je dobrodruž</w:t>
      </w:r>
      <w:r>
        <w:softHyphen/>
        <w:t>ný, všímá si podrobně lupičů, zlodějů a vrahů. Nešetří se tu lidskou krví ani životem. Namnoze jde o romány er</w:t>
      </w:r>
      <w:r>
        <w:t>o</w:t>
      </w:r>
      <w:r>
        <w:softHyphen/>
        <w:t>tické, které vzněcují mladou fantasii čtenářů. A konečně: tyto romány jsou psány hanebnou češtinou, bez jakékoliv psychologické a mravní hloubky, takže i po této stránce kazí vkus čtenářů.</w:t>
      </w:r>
    </w:p>
    <w:p w:rsidR="00500724" w:rsidRDefault="00F30FB8">
      <w:pPr>
        <w:pStyle w:val="Zkladntext100"/>
        <w:shd w:val="clear" w:color="auto" w:fill="auto"/>
        <w:spacing w:line="216" w:lineRule="auto"/>
        <w:ind w:firstLine="320"/>
      </w:pPr>
      <w:r>
        <w:t xml:space="preserve">Podíváme-li se po podobné literatuře v cizině, vidíme, že to s </w:t>
      </w:r>
      <w:r>
        <w:t>námi není tak zlé. Jsme národem celkem dobrých mravů. Proto u nás nevznikla doupata neřestí, kterými se mohou pochlubit všechna velká evropská města, a obje- ví-li se u nás hostinec, kde je možno dostat kokain, nebo kde se shromáždí několik sexuálně vychýl</w:t>
      </w:r>
      <w:r>
        <w:t>ených lidí, záhy si šeptá celé město o této sensaci. lidé se tam chodí dívat jako do cirkusu, a policie bez velké námahy tento výstře</w:t>
      </w:r>
      <w:r>
        <w:softHyphen/>
        <w:t>lek zlikviduje. Není také pochyby, že i naše censura je přísnější než v mnohých státech jiných. U nás byly zaká</w:t>
      </w:r>
      <w:r>
        <w:softHyphen/>
        <w:t>zány filmy</w:t>
      </w:r>
      <w:r>
        <w:t>, protože prý kazily dobré mravy, ačkoliv je propustilo i přísné Haysovo síto v Americe. A byla to díla namnoze po stránce technické i umělecké velmi zajímavá. Vždyť je známo, že i anglický film Šest žen Jindřicha VIII. měl u nás jisté obtíže z úzkostlivéh</w:t>
      </w:r>
      <w:r>
        <w:t>o ostychu před Anglií a její historií. Stejně tak i censura novinářská byla v ohle</w:t>
      </w:r>
      <w:r>
        <w:softHyphen/>
        <w:t xml:space="preserve">du mravním značně přísná, jak si pamatují i </w:t>
      </w:r>
      <w:r>
        <w:rPr>
          <w:b/>
          <w:bCs/>
          <w:sz w:val="19"/>
          <w:szCs w:val="19"/>
        </w:rPr>
        <w:t xml:space="preserve">v </w:t>
      </w:r>
      <w:r>
        <w:t>iPoledním Listěs, kde před lety nějaký erotický román byl jistě z po</w:t>
      </w:r>
      <w:r>
        <w:softHyphen/>
        <w:t xml:space="preserve">lovice zabaven. A s knižní nebo divadelní censurou tomu </w:t>
      </w:r>
      <w:r>
        <w:t>bylo podobně. Ale nikdo se pro to celkem nerozčilil.</w:t>
      </w:r>
    </w:p>
    <w:p w:rsidR="00500724" w:rsidRDefault="00F30FB8">
      <w:pPr>
        <w:pStyle w:val="Zkladntext100"/>
        <w:shd w:val="clear" w:color="auto" w:fill="auto"/>
        <w:spacing w:line="216" w:lineRule="auto"/>
        <w:ind w:firstLine="0"/>
      </w:pPr>
      <w:r>
        <w:t>I u nás Karel Hašler se kdysi pokusil založit revui, v níž hlavní úlohu hrála ne slovo nebo myšlenka, ale především exhibice neoblečených žen. Neměl valného úspěchu. Sou</w:t>
      </w:r>
      <w:r>
        <w:softHyphen/>
        <w:t>kromé tisky pornografických román</w:t>
      </w:r>
      <w:r>
        <w:t>ů nejdou pravděpo</w:t>
      </w:r>
      <w:r>
        <w:softHyphen/>
        <w:t>dobně na odbyt. A nemravné fotografie stále ještě jsou většinou novými positivy předválečných či válečných ne</w:t>
      </w:r>
      <w:r>
        <w:softHyphen/>
        <w:t>gativů. Censura je přísná a lid v tomto ohledu proti ní ne</w:t>
      </w:r>
      <w:r>
        <w:softHyphen/>
        <w:t>má námitek. Lid netouží po zvláštních sensacích, které by trhaly nerv</w:t>
      </w:r>
      <w:r>
        <w:t>y, ať už v ohledu sexuálním nebo dobro</w:t>
      </w:r>
      <w:r>
        <w:softHyphen/>
        <w:t>družném.</w:t>
      </w:r>
    </w:p>
    <w:p w:rsidR="00500724" w:rsidRDefault="00F30FB8">
      <w:pPr>
        <w:pStyle w:val="Zkladntext100"/>
        <w:shd w:val="clear" w:color="auto" w:fill="auto"/>
        <w:spacing w:after="100" w:line="216" w:lineRule="auto"/>
        <w:ind w:firstLine="320"/>
      </w:pPr>
      <w:r>
        <w:t xml:space="preserve">Tak je to </w:t>
      </w:r>
      <w:r>
        <w:rPr>
          <w:b/>
          <w:bCs/>
          <w:sz w:val="19"/>
          <w:szCs w:val="19"/>
        </w:rPr>
        <w:t xml:space="preserve">i </w:t>
      </w:r>
      <w:r>
        <w:t>s tou bulvární literaturou-. Je špatná, o^íom není pochyby, ale není to zřídlo obzvláštní naší neřesti. Objevuje se jako průvodní zjev civilisace, ale ve svých důsledcích je daleko mírnější než ji</w:t>
      </w:r>
      <w:r>
        <w:t>nde.</w:t>
      </w:r>
    </w:p>
    <w:p w:rsidR="00500724" w:rsidRDefault="00F30FB8">
      <w:pPr>
        <w:pStyle w:val="Zkladntext100"/>
        <w:shd w:val="clear" w:color="auto" w:fill="auto"/>
        <w:spacing w:after="100" w:line="223" w:lineRule="auto"/>
        <w:ind w:firstLine="300"/>
      </w:pPr>
      <w:r>
        <w:t xml:space="preserve">Jak působí tato četba na děti? Faktu, že si člověk může dát na obličej černou látku, aby nebyl poznán, a </w:t>
      </w:r>
      <w:r>
        <w:rPr>
          <w:b/>
          <w:bCs/>
          <w:sz w:val="19"/>
          <w:szCs w:val="19"/>
        </w:rPr>
        <w:t xml:space="preserve">s </w:t>
      </w:r>
      <w:r>
        <w:t>revol</w:t>
      </w:r>
      <w:r>
        <w:softHyphen/>
        <w:t>verem přepadnout jiného člověka, nemusí se mladý člověk učit na těchto románech. To je tak notoricky známý způsob lupičství, že už za naši</w:t>
      </w:r>
      <w:r>
        <w:t>ch dob jsme měli masky a hráli jsme si na lupiče. Zrovna u ruky mi leží počestná učebnice ně</w:t>
      </w:r>
      <w:r>
        <w:softHyphen/>
        <w:t xml:space="preserve">mecké řeči </w:t>
      </w:r>
      <w:r>
        <w:rPr>
          <w:b/>
          <w:bCs/>
          <w:sz w:val="19"/>
          <w:szCs w:val="19"/>
        </w:rPr>
        <w:t xml:space="preserve">a v </w:t>
      </w:r>
      <w:r>
        <w:t>ní stojí poučná věta: ijungen springen Bock oder spielen Ráuber und Gendarm.i Teoretická zna</w:t>
      </w:r>
      <w:r>
        <w:softHyphen/>
        <w:t>lost lupičského řemesla je ukryta v každém řádném klu</w:t>
      </w:r>
      <w:r>
        <w:softHyphen/>
        <w:t>k</w:t>
      </w:r>
      <w:r>
        <w:t>ovi, který holduje romantice.</w:t>
      </w:r>
    </w:p>
    <w:p w:rsidR="00500724" w:rsidRDefault="00F30FB8">
      <w:pPr>
        <w:pStyle w:val="Zkladntext100"/>
        <w:shd w:val="clear" w:color="auto" w:fill="auto"/>
        <w:spacing w:after="100" w:line="216" w:lineRule="auto"/>
        <w:ind w:firstLine="0"/>
        <w:jc w:val="center"/>
      </w:pPr>
      <w:r>
        <w:t>Nebezpečný je podnět,</w:t>
      </w:r>
    </w:p>
    <w:p w:rsidR="00500724" w:rsidRDefault="00F30FB8">
      <w:pPr>
        <w:pStyle w:val="Zkladntext100"/>
        <w:shd w:val="clear" w:color="auto" w:fill="auto"/>
        <w:spacing w:after="40" w:line="216" w:lineRule="auto"/>
        <w:ind w:firstLine="0"/>
      </w:pPr>
      <w:r>
        <w:t>který ho nutí, aby praktickým vyzkoušením svých znalostí získal peníze. A tento podnět je skoro vždycky sexuální. Hoch se dočte o rozkoších, jeho fantasie podnítí myšlenky na funkci sexuálního ústrojí, kt</w:t>
      </w:r>
      <w:r>
        <w:t>eré se pak dožaduje čin</w:t>
      </w:r>
      <w:r>
        <w:softHyphen/>
        <w:t>nosti. Naplní-li se hlava mladého muže touhou, t&gt;ak už nic jiného pro něho nemá význam. Proto jsou nebezpečné knížky, které učí sexuální touze, ukazují příjemnost roz</w:t>
      </w:r>
      <w:r>
        <w:softHyphen/>
        <w:t>koše a dělají z mladíka dobyvatele. Normální sportovec tomu ovšem</w:t>
      </w:r>
      <w:r>
        <w:t xml:space="preserve"> odolá, ale dítě, živené nesprávným způsobem a rádo se povalující, může podlehnout. Proto každá knížka, která nerozumným způsobem vykládá o pohlaví a zahaluje je ve zvláštní tajemný závoj, proměňujíc největší štěstí lidí v ohavné svinstvo, je výrostkům neb</w:t>
      </w:r>
      <w:r>
        <w:t>ezpečná. Nutí je, aby si opatřili jakýmkoliv způsobem peníze a zkusili to. V baru mladíkům nalijí. Je to přece kšeft a nikdo je za to dosud nestíhá.</w:t>
      </w:r>
    </w:p>
    <w:p w:rsidR="00500724" w:rsidRDefault="00F30FB8">
      <w:pPr>
        <w:pStyle w:val="Zkladntext100"/>
        <w:shd w:val="clear" w:color="auto" w:fill="auto"/>
        <w:spacing w:after="40" w:line="216" w:lineRule="auto"/>
        <w:ind w:firstLine="300"/>
      </w:pPr>
      <w:r>
        <w:t>Čtením o zločinech se ještě snad nikdo zločincem ne</w:t>
      </w:r>
      <w:r>
        <w:softHyphen/>
        <w:t>stal, nedostal-li chuť, aby výtěžek zločinu nějakým pří</w:t>
      </w:r>
      <w:r>
        <w:softHyphen/>
        <w:t>jemným způsobem užil. Kdybychom se báli dávat mla</w:t>
      </w:r>
      <w:r>
        <w:softHyphen/>
        <w:t>dým lidem do ruky knížky, které jsou závadné tímto způ</w:t>
      </w:r>
      <w:r>
        <w:softHyphen/>
        <w:t>sobem, pak bychom patrně musili spálit polovinu světové literatury. Když jsem byl v septimě, sehráli jsme školní představení Sofoklova »Oidipa«. Myslí</w:t>
      </w:r>
      <w:r>
        <w:t>te, že tento krvák, jehož zápletka je až děsivě nemravná, by se dobře vyjí</w:t>
      </w:r>
      <w:r>
        <w:softHyphen/>
        <w:t>mal jako román do tramvaje za 1.50 K? Dokonce ani Bible, jak známo, není četba pro mladé lidi. Shakespeare? Ne, ten je vůbec nemožný. Spisovatelé mají svobodu, aby si vy</w:t>
      </w:r>
      <w:r>
        <w:softHyphen/>
        <w:t>brali takov</w:t>
      </w:r>
      <w:r>
        <w:t>ou látku, která jim vyhovuje, pokud ovšem ne- překročují nejprimitivnější zákony mravnosti. A pokud to ovšem jsou umělci. Spisovatelé obyčejně nemají zájmu jen na tom, aby bílé zvítězilo nad černým. Líčí mravní kon</w:t>
      </w:r>
      <w:r>
        <w:softHyphen/>
        <w:t>flikty, v nichž bohužel dobro vždycky nez</w:t>
      </w:r>
      <w:r>
        <w:t>vítězí. Naopak tento povznášející obraz obyčejně ponechávají kýčařům. A při tom často zločin (Dostojevský) líčí s překvapují po</w:t>
      </w:r>
      <w:r>
        <w:softHyphen/>
        <w:t>drobností, neboř na dobrém spisovateli se žádá, aby znal detaily. A nebude to lepší. Spisovatel je povolán, aby pátral po motiva</w:t>
      </w:r>
      <w:r>
        <w:t>ci lidských činů. Ve freudismu a adlerismu dostal nové mohutné přístroje, jimiž se hrouží do lidského podvědomí. A že odtamtud nic pěkného nevytáhne, je na bíle dni. Na dně člověka je rmut, který jinak usilovně po</w:t>
      </w:r>
      <w:r>
        <w:softHyphen/>
        <w:t>tlačujeme.</w:t>
      </w:r>
    </w:p>
    <w:p w:rsidR="00500724" w:rsidRDefault="00F30FB8">
      <w:pPr>
        <w:pStyle w:val="Zkladntext100"/>
        <w:shd w:val="clear" w:color="auto" w:fill="auto"/>
        <w:spacing w:after="100" w:line="218" w:lineRule="auto"/>
        <w:ind w:firstLine="300"/>
      </w:pPr>
      <w:r>
        <w:t>Spisovatelé lidových románů nem</w:t>
      </w:r>
      <w:r>
        <w:t>ají ctižádosti po hloubkách. Zůstávají na povrchu a obyčejně se postarají, aby dobro zvítězilo a bylo odměněno. Ženské romány při tom zdůrazní procesy srdce, mužské vylíčí sílu pěstí a prů</w:t>
      </w:r>
      <w:r>
        <w:softHyphen/>
        <w:t>raznost revolverových nábojů. Musí to dělat: neboť</w:t>
      </w:r>
    </w:p>
    <w:p w:rsidR="00500724" w:rsidRDefault="00F30FB8">
      <w:pPr>
        <w:pStyle w:val="Zkladntext100"/>
        <w:shd w:val="clear" w:color="auto" w:fill="auto"/>
        <w:spacing w:after="100" w:line="216" w:lineRule="auto"/>
        <w:ind w:firstLine="0"/>
        <w:jc w:val="center"/>
      </w:pPr>
      <w:r>
        <w:t>většina lidí žíz</w:t>
      </w:r>
      <w:r>
        <w:t>ní po spravedlnosti.</w:t>
      </w:r>
    </w:p>
    <w:p w:rsidR="00500724" w:rsidRDefault="00F30FB8">
      <w:pPr>
        <w:pStyle w:val="Zkladntext100"/>
        <w:shd w:val="clear" w:color="auto" w:fill="auto"/>
        <w:spacing w:after="40" w:line="216" w:lineRule="auto"/>
        <w:ind w:firstLine="300"/>
      </w:pPr>
      <w:r>
        <w:t>Když se jí v životě nedočkají, chtějí o ní aspoň číst. Klasiky a dobré romanopisce dneška by patrně s nezájmem odložili. Proto lidové četbě ještě poměrně nejblíže jsou romány anglické a americké, kde čtení není pokládáno za kulturní pr</w:t>
      </w:r>
      <w:r>
        <w:t>áci, ale příjemnou výplň volných hodin, a spi</w:t>
      </w:r>
      <w:r>
        <w:softHyphen/>
        <w:t>sovatelé se tímto aspektem musí řídit.</w:t>
      </w:r>
    </w:p>
    <w:p w:rsidR="00500724" w:rsidRDefault="00F30FB8">
      <w:pPr>
        <w:pStyle w:val="Zkladntext100"/>
        <w:shd w:val="clear" w:color="auto" w:fill="auto"/>
        <w:spacing w:after="40" w:line="218" w:lineRule="auto"/>
        <w:ind w:firstLine="300"/>
      </w:pPr>
      <w:r>
        <w:t xml:space="preserve">Lidé čtou, aby utekli z nepěkné skutečnosti do iluse. Proto knížka musí být dost napínavá, aby jejich mysl plně zaujala. U žen stačí zdůraznění citového akcentu. Muži, </w:t>
      </w:r>
      <w:r>
        <w:t>mladí i starci, touží po akci, dobrodružství, hrdinství. Lido</w:t>
      </w:r>
      <w:r>
        <w:softHyphen/>
        <w:t>vá četba musí tyto prvky obsahovat. Bez nich to nejde.</w:t>
      </w:r>
    </w:p>
    <w:p w:rsidR="00500724" w:rsidRDefault="00F30FB8">
      <w:pPr>
        <w:pStyle w:val="Zkladntext100"/>
        <w:shd w:val="clear" w:color="auto" w:fill="auto"/>
        <w:spacing w:line="223" w:lineRule="auto"/>
        <w:ind w:firstLine="300"/>
      </w:pPr>
      <w:r>
        <w:t>A při tom dosti lidí věří tomu, co čte. Události, která spisovatel popsal, se skutečně staly. Nad mrtvým sluší za</w:t>
      </w:r>
      <w:r>
        <w:softHyphen/>
        <w:t xml:space="preserve">plakat, o šťastná svatbě </w:t>
      </w:r>
      <w:r>
        <w:t>je třeba vypravovat sousedům. Patrně by bylo správná naučit lidi číst. Říci jim, že ro</w:t>
      </w:r>
      <w:r>
        <w:softHyphen/>
        <w:t>mány nejsou učitelem života, ale jenom obrazem o něm, kte</w:t>
      </w:r>
      <w:r>
        <w:softHyphen/>
        <w:t xml:space="preserve">rý si vytvořil nějaký docela soukromý spisovatel. Řekněte jim, aby milovali vyprávění pro vyprávění </w:t>
      </w:r>
      <w:r>
        <w:rPr>
          <w:b/>
          <w:bCs/>
          <w:sz w:val="19"/>
          <w:szCs w:val="19"/>
        </w:rPr>
        <w:t xml:space="preserve">a </w:t>
      </w:r>
      <w:r>
        <w:t>pro krásu</w:t>
      </w:r>
      <w:r>
        <w:t xml:space="preserve"> jazyka. Žádejte na nich, aby četli autory kriticky. Zbavte je iluse, že to, co čtou, je pravda. Budou potom šťastnější? Utíkali se ke knihám, aby zapomněli na skutečnost a po</w:t>
      </w:r>
      <w:r>
        <w:softHyphen/>
        <w:t>znali krajiny, kde vládne spravedlnost a každé zlo je po</w:t>
      </w:r>
      <w:r>
        <w:softHyphen/>
        <w:t xml:space="preserve">trestáno a každé dobro </w:t>
      </w:r>
      <w:r>
        <w:t>odměněno. Vy jste jim správně vy</w:t>
      </w:r>
      <w:r>
        <w:softHyphen/>
        <w:t>světlili, že to je výmysl. Šťastnějšími se proto nestanou. Naopak, nabudou temného dojmu, že na světě žije skupina profesionálních lhářů, kteří si říkají spisovatelé. A budou se zlobit.</w:t>
      </w:r>
    </w:p>
    <w:p w:rsidR="00500724" w:rsidRDefault="00F30FB8">
      <w:pPr>
        <w:pStyle w:val="Zkladntext100"/>
        <w:shd w:val="clear" w:color="auto" w:fill="auto"/>
        <w:spacing w:line="216" w:lineRule="auto"/>
      </w:pPr>
      <w:r>
        <w:t>Ne, romantická, prostá četba musí zůs</w:t>
      </w:r>
      <w:r>
        <w:t>tat; a bude prav</w:t>
      </w:r>
      <w:r>
        <w:softHyphen/>
        <w:t>děpodobně tak dlouho špatná, pokud se dobří spisovatelé nenaučí psát tak, aby vyhovovali touze prostých čtenářů, jejichž duševní obzor, jak známo, většinou nepřesahuje chápání čtrnáctiletých chlapců; ale tím by ovšem umělec</w:t>
      </w:r>
      <w:r>
        <w:softHyphen/>
        <w:t>ký vývoj litera</w:t>
      </w:r>
      <w:r>
        <w:t>tury byl značně zpomalen. Spisovatelé značně a právem předbíhají dobu a nechtějí na své poma</w:t>
      </w:r>
      <w:r>
        <w:softHyphen/>
        <w:t>lu chápající čtenáře čekat. Až teprve příští generace je snad budou s chutí číst.</w:t>
      </w:r>
    </w:p>
    <w:p w:rsidR="00500724" w:rsidRDefault="00F30FB8">
      <w:pPr>
        <w:pStyle w:val="Zkladntext100"/>
        <w:shd w:val="clear" w:color="auto" w:fill="auto"/>
        <w:spacing w:line="216" w:lineRule="auto"/>
      </w:pPr>
      <w:r>
        <w:t>A tak nezbývá než aby obyčejní, často i anonymní pi</w:t>
      </w:r>
      <w:r>
        <w:softHyphen/>
        <w:t>satelé vyráběli konfekční rom</w:t>
      </w:r>
      <w:r>
        <w:t>ány pro lid. Bohužel tyto romány jsou velmi špatně dělány. Jejich jazyk bývá chatr</w:t>
      </w:r>
      <w:r>
        <w:softHyphen/>
        <w:t xml:space="preserve">ný. Zápletky neumělé a odbyté. </w:t>
      </w:r>
      <w:r>
        <w:rPr>
          <w:lang w:val="en-US" w:eastAsia="en-US" w:bidi="en-US"/>
        </w:rPr>
        <w:t xml:space="preserve">I pro to </w:t>
      </w:r>
      <w:r>
        <w:t>je vysvětlení: Píší je lidé, kteří za kus dostanou osm set korun, nejvýš tři tisíce. Nemají čas přemýšlet, neboť musí psát.</w:t>
      </w:r>
    </w:p>
    <w:p w:rsidR="00500724" w:rsidRDefault="00F30FB8">
      <w:pPr>
        <w:pStyle w:val="Zkladntext100"/>
        <w:shd w:val="clear" w:color="auto" w:fill="auto"/>
        <w:spacing w:after="100" w:line="216" w:lineRule="auto"/>
      </w:pPr>
      <w:r>
        <w:t>A proto s</w:t>
      </w:r>
      <w:r>
        <w:t>e také zvolna mění</w:t>
      </w:r>
    </w:p>
    <w:p w:rsidR="00500724" w:rsidRDefault="00F30FB8">
      <w:pPr>
        <w:pStyle w:val="Zkladntext100"/>
        <w:shd w:val="clear" w:color="auto" w:fill="auto"/>
        <w:spacing w:after="100" w:line="216" w:lineRule="auto"/>
        <w:ind w:firstLine="0"/>
        <w:jc w:val="center"/>
      </w:pPr>
      <w:r>
        <w:t>tendence této četby.</w:t>
      </w:r>
    </w:p>
    <w:p w:rsidR="00500724" w:rsidRDefault="00F30FB8">
      <w:pPr>
        <w:pStyle w:val="Zkladntext100"/>
        <w:shd w:val="clear" w:color="auto" w:fill="auto"/>
        <w:spacing w:line="214" w:lineRule="auto"/>
        <w:ind w:firstLine="0"/>
      </w:pPr>
      <w:r>
        <w:t>V dobách našeho mládí, v indiánkách, v mayovkách byla ukryta vždycky všelidská tendence. Hrdina bojoval proti zlým rudochům, kteří ubližovali bílému plemeni. Nebo hrdina bojoval spolu s rudým proti ostatním zlým lide</w:t>
      </w:r>
      <w:r>
        <w:t>m. Ale vždycky jejich boj měl všeobecnou platnost. Usi</w:t>
      </w:r>
      <w:r>
        <w:softHyphen/>
        <w:t>lovali o vítězství nějaké ideje. A tuto četbu jsme si doplňo</w:t>
      </w:r>
      <w:r>
        <w:softHyphen/>
        <w:t>vali ještě historickými knížkami. Obyčejně — jako v těch příbězích o burské válce — jsme se naučili sympatisovat se slabšími. Četli jsme tak</w:t>
      </w:r>
      <w:r>
        <w:t>é lidové historické romány od domácích spisovatelů. A všude vystupovala ta hlavní myšlenka: Hrdina nebojoval za své osobní štěstí, ale za něco nebo někoho jiného. Učili jsme se tam nesobec</w:t>
      </w:r>
      <w:r>
        <w:softHyphen/>
        <w:t>kosti. Chápali jsme, že jsou nějaké vyšší ideje, za něž je nutno bo</w:t>
      </w:r>
      <w:r>
        <w:t>jovat. Při tom jsme ovšem věděli, že pro nás bu</w:t>
      </w:r>
      <w:r>
        <w:softHyphen/>
        <w:t>dou platit jiné ideje než ty, které byly v indiánkách. Vi</w:t>
      </w:r>
      <w:r>
        <w:softHyphen/>
        <w:t>děli jsme, že člověk nemá žít jen pro svůj osobní prospěch. Nevím, jak jiné národy to cítí, ale u nás tenhle smysl pro mravní, neosobní boj byl vždyck</w:t>
      </w:r>
      <w:r>
        <w:t>y silně vyvinut. Vždycky jsme cítili, že podstata té historie není v revolveru, ale v myšlence, za kterou se pistolník bil.</w:t>
      </w:r>
    </w:p>
    <w:p w:rsidR="00500724" w:rsidRDefault="00F30FB8">
      <w:pPr>
        <w:pStyle w:val="Zkladntext100"/>
        <w:shd w:val="clear" w:color="auto" w:fill="auto"/>
        <w:spacing w:line="214" w:lineRule="auto"/>
      </w:pPr>
      <w:r>
        <w:t>Tohle mravní zamíření z dobrodružných románů, bohužel, zmizelo. Teď se v nich bojuje jen o sobecký prospěch. O dceru farmáře, o zlat</w:t>
      </w:r>
      <w:r>
        <w:t>ý důl. Hrdina nezastupuje lidskou společnost, ale sebe. Bije se za sebe. Za svou kapsu, nejvýš za své srdce. A to je ta jedovatá s s e d- 1 i n a na dně románů. Učí se tu sobectví. Ovšem sobectví se nikdo učit nemusí, každý je sobcem od přirozenosti. Vý</w:t>
      </w:r>
      <w:r>
        <w:softHyphen/>
        <w:t>ch</w:t>
      </w:r>
      <w:r>
        <w:t>ova má sobectví potlačovat. Proto nás maminky učily, abychom se rozdělili s bratříčkem o koláč, což jsme s vnitř</w:t>
      </w:r>
      <w:r>
        <w:softHyphen/>
        <w:t>ním odporem udělali. Proto ve škole musil poslouchat bo</w:t>
      </w:r>
      <w:r>
        <w:softHyphen/>
        <w:t>hatý jako chudý a každá nespravedlnost v tomto ohledu hrozně bolela. Proto jsme hledali</w:t>
      </w:r>
      <w:r>
        <w:t xml:space="preserve"> později politické hnutí, které mělo nejradikálnější ideové základy v zájmu neso</w:t>
      </w:r>
      <w:r>
        <w:softHyphen/>
        <w:t>becké spravedlnosti.</w:t>
      </w:r>
    </w:p>
    <w:p w:rsidR="00500724" w:rsidRDefault="00F30FB8">
      <w:pPr>
        <w:pStyle w:val="Zkladntext100"/>
        <w:shd w:val="clear" w:color="auto" w:fill="auto"/>
        <w:spacing w:line="218" w:lineRule="auto"/>
      </w:pPr>
      <w:r>
        <w:t>A tohle najednou mizelo. Děti už se nemusí dělit, pro</w:t>
      </w:r>
      <w:r>
        <w:softHyphen/>
        <w:t>tože v době systému jednoho dítěte obyčejně bratříčků není. Do politických stran i mladí lidé vstupo</w:t>
      </w:r>
      <w:r>
        <w:t>vali ze so</w:t>
      </w:r>
      <w:r>
        <w:softHyphen/>
        <w:t>beckého prospěchu. Říká se tomu praktický smysl pro ži</w:t>
      </w:r>
      <w:r>
        <w:softHyphen/>
        <w:t>vot. Je to snad trochu americký způsob života. Obráží sa i v lidové četbě, která je odtamtud importována anebo podle ní napodobována.</w:t>
      </w:r>
    </w:p>
    <w:p w:rsidR="00500724" w:rsidRDefault="00F30FB8">
      <w:pPr>
        <w:pStyle w:val="Zkladntext100"/>
        <w:shd w:val="clear" w:color="auto" w:fill="auto"/>
        <w:spacing w:line="216" w:lineRule="auto"/>
        <w:sectPr w:rsidR="00500724">
          <w:footnotePr>
            <w:numFmt w:val="chicago"/>
            <w:numRestart w:val="eachPage"/>
          </w:footnotePr>
          <w:type w:val="continuous"/>
          <w:pgSz w:w="11909" w:h="16834"/>
          <w:pgMar w:top="833" w:right="727" w:bottom="1003" w:left="638" w:header="0" w:footer="3" w:gutter="0"/>
          <w:cols w:num="2" w:space="100"/>
          <w:noEndnote/>
          <w:docGrid w:linePitch="360"/>
        </w:sectPr>
      </w:pPr>
      <w:r>
        <w:t>Myslím, že dobrodružná čet</w:t>
      </w:r>
      <w:r>
        <w:t>ba, ve které se střílí a třeba</w:t>
      </w:r>
    </w:p>
    <w:p w:rsidR="00500724" w:rsidRDefault="00F30FB8">
      <w:pPr>
        <w:pStyle w:val="Nadpis90"/>
        <w:keepNext/>
        <w:keepLines/>
        <w:pBdr>
          <w:bottom w:val="single" w:sz="4" w:space="0" w:color="auto"/>
        </w:pBdr>
        <w:shd w:val="clear" w:color="auto" w:fill="auto"/>
        <w:spacing w:after="0"/>
        <w:ind w:right="100"/>
        <w:jc w:val="center"/>
        <w:sectPr w:rsidR="00500724">
          <w:footnotePr>
            <w:numFmt w:val="chicago"/>
            <w:numRestart w:val="eachPage"/>
          </w:footnotePr>
          <w:pgSz w:w="11909" w:h="16834"/>
          <w:pgMar w:top="829" w:right="744" w:bottom="644" w:left="686" w:header="0" w:footer="3" w:gutter="0"/>
          <w:cols w:space="720"/>
          <w:noEndnote/>
          <w:docGrid w:linePitch="360"/>
        </w:sectPr>
      </w:pPr>
      <w:bookmarkStart w:id="510" w:name="bookmark509"/>
      <w:r>
        <w:rPr>
          <w:rFonts w:ascii="Times New Roman" w:eastAsia="Times New Roman" w:hAnsi="Times New Roman" w:cs="Times New Roman"/>
        </w:rPr>
        <w:t>PřítomnosO</w:t>
      </w:r>
      <w:bookmarkEnd w:id="510"/>
    </w:p>
    <w:p w:rsidR="00500724" w:rsidRDefault="00500724">
      <w:pPr>
        <w:spacing w:line="74" w:lineRule="exact"/>
        <w:rPr>
          <w:sz w:val="6"/>
          <w:szCs w:val="6"/>
        </w:rPr>
      </w:pPr>
    </w:p>
    <w:p w:rsidR="00500724" w:rsidRDefault="00500724">
      <w:pPr>
        <w:spacing w:line="14" w:lineRule="exact"/>
        <w:sectPr w:rsidR="00500724">
          <w:footnotePr>
            <w:numFmt w:val="chicago"/>
            <w:numRestart w:val="eachPage"/>
          </w:footnotePr>
          <w:type w:val="continuous"/>
          <w:pgSz w:w="11909" w:h="16834"/>
          <w:pgMar w:top="829" w:right="0" w:bottom="644" w:left="0" w:header="0" w:footer="3" w:gutter="0"/>
          <w:cols w:space="720"/>
          <w:noEndnote/>
          <w:docGrid w:linePitch="360"/>
        </w:sectPr>
      </w:pPr>
    </w:p>
    <w:p w:rsidR="00500724" w:rsidRDefault="00F30FB8">
      <w:pPr>
        <w:pStyle w:val="Zkladntext100"/>
        <w:shd w:val="clear" w:color="auto" w:fill="auto"/>
        <w:spacing w:line="214" w:lineRule="auto"/>
        <w:ind w:firstLine="0"/>
      </w:pPr>
      <w:r>
        <w:t>zabíjí, nemusí vždycky kazit děti. Především- je důležité, pioč se střílí a proč se zabíjí.</w:t>
      </w:r>
    </w:p>
    <w:p w:rsidR="00500724" w:rsidRDefault="00F30FB8">
      <w:pPr>
        <w:pStyle w:val="Zkladntext100"/>
        <w:shd w:val="clear" w:color="auto" w:fill="auto"/>
        <w:spacing w:line="214" w:lineRule="auto"/>
        <w:ind w:firstLine="300"/>
      </w:pPr>
      <w:r>
        <w:t xml:space="preserve">Soud vysloví s konečnou platností názor, měl-li pravdu autor, </w:t>
      </w:r>
      <w:r>
        <w:t>který detektivní romány-týdeníky odsoudil přísný</w:t>
      </w:r>
      <w:r>
        <w:softHyphen/>
        <w:t xml:space="preserve">mi slovy. Není pochyby — což nebylo žalováno — že měl pravdu, vytýkal-li rodičům, že se nepodívají, co děti čtou, </w:t>
      </w:r>
      <w:r>
        <w:rPr>
          <w:b/>
          <w:bCs/>
        </w:rPr>
        <w:t xml:space="preserve">a </w:t>
      </w:r>
      <w:r>
        <w:t>teprve dodatečně pláčí nad jejich nerozumem. Není také pochyby — což opět není žalováno — ž</w:t>
      </w:r>
      <w:r>
        <w:t>e obsahem těchto románů je vraždění, lupičství, vykrádání nedobytných po</w:t>
      </w:r>
      <w:r>
        <w:softHyphen/>
        <w:t>kladen, vykolejování vlaků, podvodné vyděračství, kupo</w:t>
      </w:r>
      <w:r>
        <w:softHyphen/>
        <w:t>vání žen, i pornografie. Není také pochyby, že ze školních knihoven jsou nyní s úzkostlivou péčí vyžadovány i ro</w:t>
      </w:r>
      <w:r>
        <w:softHyphen/>
        <w:t xml:space="preserve">mány literárně </w:t>
      </w:r>
      <w:r>
        <w:t>nikoliv bezcenné, zatím co každý šestiletý kluk si může v trafice koupit romány daleko závadnější.</w:t>
      </w:r>
    </w:p>
    <w:p w:rsidR="00500724" w:rsidRDefault="00F30FB8">
      <w:pPr>
        <w:pStyle w:val="Zkladntext100"/>
        <w:shd w:val="clear" w:color="auto" w:fill="auto"/>
        <w:spacing w:line="214" w:lineRule="auto"/>
        <w:ind w:firstLine="300"/>
      </w:pPr>
      <w:r>
        <w:t>Bylo by třeba zlepšení, i když máme dojem, že dobře vychovaného chlapce špatná knížka nemusí zkazit, jenom mravně porušené přivede na nesprávnou cestu.</w:t>
      </w:r>
    </w:p>
    <w:p w:rsidR="00500724" w:rsidRDefault="00F30FB8">
      <w:pPr>
        <w:pStyle w:val="Zkladntext100"/>
        <w:shd w:val="clear" w:color="auto" w:fill="auto"/>
        <w:spacing w:after="220" w:line="214" w:lineRule="auto"/>
        <w:ind w:firstLine="300"/>
      </w:pPr>
      <w:r>
        <w:t xml:space="preserve">Bylo </w:t>
      </w:r>
      <w:r>
        <w:t>by třeba zlepšení ne jen v negativním smyslu, že totiž podobné romány budou potlačeny. To by bylo málo. Hoši chtějí číst dobrodružné knihy. Ani nejpřísnější dozor tuto přirozenou touhu nevyplení. Je třeba tedy tuto dobro</w:t>
      </w:r>
      <w:r>
        <w:softHyphen/>
        <w:t>družnou četbu nějakým způsobem vydu</w:t>
      </w:r>
      <w:r>
        <w:t>pat ze země. Aby zůstala dobrodružná, aby podporovala cit pro statečnost, hrdinství, obětavost. Ale aby zároveň učila, že těmito úcty</w:t>
      </w:r>
      <w:r>
        <w:softHyphen/>
        <w:t>hodnými ctnostmi nelze plýtvat pro malé cíle a pro osobní potěšení. Že jsou na světě hodnoty, národní i všelidské, pro kte</w:t>
      </w:r>
      <w:r>
        <w:t>ré se má a musí člověk obětovat. A této řeči mladí lidé rádi porozumějí.</w:t>
      </w:r>
    </w:p>
    <w:p w:rsidR="00500724" w:rsidRDefault="00F30FB8">
      <w:pPr>
        <w:pStyle w:val="Jin0"/>
        <w:pBdr>
          <w:bottom w:val="single" w:sz="4" w:space="0" w:color="auto"/>
        </w:pBdr>
        <w:shd w:val="clear" w:color="auto" w:fill="auto"/>
        <w:spacing w:after="160"/>
        <w:ind w:firstLine="0"/>
        <w:jc w:val="left"/>
        <w:rPr>
          <w:sz w:val="36"/>
          <w:szCs w:val="36"/>
        </w:rPr>
      </w:pPr>
      <w:r>
        <w:rPr>
          <w:sz w:val="36"/>
          <w:szCs w:val="36"/>
        </w:rPr>
        <w:t>feuilleíon</w:t>
      </w:r>
    </w:p>
    <w:p w:rsidR="00500724" w:rsidRDefault="00F30FB8">
      <w:pPr>
        <w:pStyle w:val="Zkladntext30"/>
        <w:shd w:val="clear" w:color="auto" w:fill="auto"/>
        <w:spacing w:after="0" w:line="197" w:lineRule="auto"/>
        <w:ind w:firstLine="0"/>
        <w:rPr>
          <w:sz w:val="20"/>
          <w:szCs w:val="20"/>
        </w:rPr>
      </w:pPr>
      <w:r>
        <w:rPr>
          <w:i/>
          <w:iCs/>
          <w:sz w:val="20"/>
          <w:szCs w:val="20"/>
        </w:rPr>
        <w:t>A. M r á z:</w:t>
      </w:r>
    </w:p>
    <w:p w:rsidR="00500724" w:rsidRDefault="00F30FB8">
      <w:pPr>
        <w:pStyle w:val="Nadpis100"/>
        <w:shd w:val="clear" w:color="auto" w:fill="auto"/>
        <w:spacing w:after="0" w:line="228" w:lineRule="auto"/>
        <w:ind w:left="440"/>
        <w:jc w:val="left"/>
      </w:pPr>
      <w:bookmarkStart w:id="511" w:name="bookmark510"/>
      <w:r>
        <w:t>Proč celou stránku sportu?</w:t>
      </w:r>
      <w:bookmarkEnd w:id="511"/>
    </w:p>
    <w:p w:rsidR="00500724" w:rsidRDefault="00F30FB8">
      <w:pPr>
        <w:pStyle w:val="Zkladntext30"/>
        <w:shd w:val="clear" w:color="auto" w:fill="auto"/>
        <w:spacing w:after="0" w:line="197" w:lineRule="auto"/>
        <w:ind w:firstLine="220"/>
        <w:rPr>
          <w:sz w:val="20"/>
          <w:szCs w:val="20"/>
        </w:rPr>
      </w:pPr>
      <w:r>
        <w:rPr>
          <w:i/>
          <w:iCs/>
          <w:sz w:val="20"/>
          <w:szCs w:val="20"/>
        </w:rPr>
        <w:t>Tuto otázku položil před 14 dny v ^Přítomnosti^ člen České filharmonie. Proč celou stránku sportu v novi</w:t>
      </w:r>
      <w:r>
        <w:rPr>
          <w:i/>
          <w:iCs/>
          <w:sz w:val="20"/>
          <w:szCs w:val="20"/>
        </w:rPr>
        <w:softHyphen/>
        <w:t xml:space="preserve">nách a večernících, když </w:t>
      </w:r>
      <w:r>
        <w:rPr>
          <w:i/>
          <w:iCs/>
          <w:sz w:val="20"/>
          <w:szCs w:val="20"/>
        </w:rPr>
        <w:t>kulturní rubrice je vyhrazeno poslední místo, znení-li ovšem vůbec vyřáděná^?</w:t>
      </w:r>
    </w:p>
    <w:p w:rsidR="00500724" w:rsidRDefault="00F30FB8">
      <w:pPr>
        <w:pStyle w:val="Zkladntext30"/>
        <w:shd w:val="clear" w:color="auto" w:fill="auto"/>
        <w:spacing w:after="0" w:line="197" w:lineRule="auto"/>
        <w:ind w:firstLine="220"/>
        <w:rPr>
          <w:sz w:val="20"/>
          <w:szCs w:val="20"/>
        </w:rPr>
      </w:pPr>
      <w:r>
        <w:rPr>
          <w:i/>
          <w:iCs/>
          <w:sz w:val="20"/>
          <w:szCs w:val="20"/>
        </w:rPr>
        <w:t>Mám za to, že tato otázka je dnes, jako každá otázka po přidělení spravedlivého sousta z celkového koláče národní svébytnosti, dosti závažná, abychom se k ní znova vrátili. A pro</w:t>
      </w:r>
      <w:r>
        <w:rPr>
          <w:i/>
          <w:iCs/>
          <w:sz w:val="20"/>
          <w:szCs w:val="20"/>
        </w:rPr>
        <w:t>tože neexistuje dnes jediný český týdeník pro tělesnou kulturu (kolik takových týdeníků, měsíčníků, revuí, magazínů má však kultura duševní), ve kterém by bylo možno věc zhodnotit poněkud zásad</w:t>
      </w:r>
      <w:r>
        <w:rPr>
          <w:i/>
          <w:iCs/>
          <w:sz w:val="20"/>
          <w:szCs w:val="20"/>
        </w:rPr>
        <w:softHyphen/>
        <w:t>nějším způsobem — omezím se zde na čistě tiskovou stránku otáz</w:t>
      </w:r>
      <w:r>
        <w:rPr>
          <w:i/>
          <w:iCs/>
          <w:sz w:val="20"/>
          <w:szCs w:val="20"/>
        </w:rPr>
        <w:t>ky, přenechávaje problém přibližně stejné důležitosti »Proč ne také celá stránka kultury v našem denním tisku?« k řešení osobám povolanějším.</w:t>
      </w:r>
    </w:p>
    <w:p w:rsidR="00500724" w:rsidRDefault="00F30FB8">
      <w:pPr>
        <w:pStyle w:val="Zkladntext50"/>
        <w:shd w:val="clear" w:color="auto" w:fill="auto"/>
        <w:spacing w:after="0" w:line="240" w:lineRule="auto"/>
        <w:ind w:left="0"/>
        <w:jc w:val="center"/>
      </w:pPr>
      <w:r>
        <w:t>Proč celou stránku sportu?</w:t>
      </w:r>
    </w:p>
    <w:p w:rsidR="00500724" w:rsidRDefault="00F30FB8">
      <w:pPr>
        <w:pStyle w:val="Zkladntext30"/>
        <w:numPr>
          <w:ilvl w:val="0"/>
          <w:numId w:val="63"/>
        </w:numPr>
        <w:shd w:val="clear" w:color="auto" w:fill="auto"/>
        <w:tabs>
          <w:tab w:val="left" w:pos="490"/>
        </w:tabs>
        <w:spacing w:after="0" w:line="194" w:lineRule="auto"/>
        <w:ind w:firstLine="220"/>
        <w:rPr>
          <w:sz w:val="20"/>
          <w:szCs w:val="20"/>
        </w:rPr>
      </w:pPr>
      <w:r>
        <w:rPr>
          <w:i/>
          <w:iCs/>
          <w:sz w:val="20"/>
          <w:szCs w:val="20"/>
        </w:rPr>
        <w:t>Protože sport čtenáře zajímá.</w:t>
      </w:r>
    </w:p>
    <w:p w:rsidR="00500724" w:rsidRDefault="00F30FB8">
      <w:pPr>
        <w:pStyle w:val="Zkladntext30"/>
        <w:numPr>
          <w:ilvl w:val="0"/>
          <w:numId w:val="63"/>
        </w:numPr>
        <w:shd w:val="clear" w:color="auto" w:fill="auto"/>
        <w:tabs>
          <w:tab w:val="left" w:pos="447"/>
        </w:tabs>
        <w:spacing w:after="0" w:line="194" w:lineRule="auto"/>
        <w:ind w:firstLine="220"/>
        <w:rPr>
          <w:sz w:val="20"/>
          <w:szCs w:val="20"/>
        </w:rPr>
      </w:pPr>
      <w:r>
        <w:rPr>
          <w:i/>
          <w:iCs/>
          <w:sz w:val="20"/>
          <w:szCs w:val="20"/>
        </w:rPr>
        <w:t>Protože existuje sportovní zpravodajství české tiskové ka</w:t>
      </w:r>
      <w:r>
        <w:rPr>
          <w:i/>
          <w:iCs/>
          <w:sz w:val="20"/>
          <w:szCs w:val="20"/>
        </w:rPr>
        <w:t>nceláře (ČTK).</w:t>
      </w:r>
    </w:p>
    <w:p w:rsidR="00500724" w:rsidRDefault="00F30FB8">
      <w:pPr>
        <w:pStyle w:val="Zkladntext30"/>
        <w:numPr>
          <w:ilvl w:val="0"/>
          <w:numId w:val="63"/>
        </w:numPr>
        <w:shd w:val="clear" w:color="auto" w:fill="auto"/>
        <w:tabs>
          <w:tab w:val="left" w:pos="471"/>
        </w:tabs>
        <w:spacing w:after="0" w:line="194" w:lineRule="auto"/>
        <w:ind w:firstLine="220"/>
        <w:rPr>
          <w:sz w:val="20"/>
          <w:szCs w:val="20"/>
        </w:rPr>
      </w:pPr>
      <w:r>
        <w:rPr>
          <w:i/>
          <w:iCs/>
          <w:sz w:val="20"/>
          <w:szCs w:val="20"/>
        </w:rPr>
        <w:t>Protože každá redakce periodického tiskopisu za</w:t>
      </w:r>
      <w:r>
        <w:rPr>
          <w:i/>
          <w:iCs/>
          <w:sz w:val="20"/>
          <w:szCs w:val="20"/>
        </w:rPr>
        <w:softHyphen/>
        <w:t>městnává dvakrát až třikrát tolik sportovních referentů, kteří píší nadto ještě stylem mnohem srozumitelnějším a přístupnějším, než referenti kulturní.</w:t>
      </w:r>
    </w:p>
    <w:p w:rsidR="00500724" w:rsidRDefault="00F30FB8">
      <w:pPr>
        <w:pStyle w:val="Zkladntext50"/>
        <w:shd w:val="clear" w:color="auto" w:fill="auto"/>
        <w:spacing w:after="0" w:line="240" w:lineRule="auto"/>
        <w:ind w:left="0"/>
        <w:jc w:val="center"/>
      </w:pPr>
      <w:r>
        <w:t>Proč sport zajímá?</w:t>
      </w:r>
    </w:p>
    <w:p w:rsidR="00500724" w:rsidRDefault="00F30FB8">
      <w:pPr>
        <w:pStyle w:val="Zkladntext30"/>
        <w:shd w:val="clear" w:color="auto" w:fill="auto"/>
        <w:spacing w:after="0" w:line="199" w:lineRule="auto"/>
        <w:ind w:firstLine="220"/>
        <w:rPr>
          <w:sz w:val="20"/>
          <w:szCs w:val="20"/>
        </w:rPr>
      </w:pPr>
      <w:r>
        <w:rPr>
          <w:i/>
          <w:iCs/>
          <w:sz w:val="20"/>
          <w:szCs w:val="20"/>
        </w:rPr>
        <w:t>Protože, za prvé: spor</w:t>
      </w:r>
      <w:r>
        <w:rPr>
          <w:i/>
          <w:iCs/>
          <w:sz w:val="20"/>
          <w:szCs w:val="20"/>
        </w:rPr>
        <w:t>t je absolutní, obecně platný. Protože sport je věda exaktní jako matematika či geo</w:t>
      </w:r>
      <w:r>
        <w:rPr>
          <w:i/>
          <w:iCs/>
          <w:sz w:val="20"/>
          <w:szCs w:val="20"/>
        </w:rPr>
        <w:softHyphen/>
        <w:t xml:space="preserve">metrie. Protože sport, na </w:t>
      </w:r>
      <w:r>
        <w:rPr>
          <w:i/>
          <w:iCs/>
          <w:sz w:val="20"/>
          <w:szCs w:val="20"/>
          <w:lang w:val="en-US" w:eastAsia="en-US" w:bidi="en-US"/>
        </w:rPr>
        <w:t xml:space="preserve">goal, </w:t>
      </w:r>
      <w:r>
        <w:rPr>
          <w:i/>
          <w:iCs/>
          <w:sz w:val="20"/>
          <w:szCs w:val="20"/>
        </w:rPr>
        <w:t>na vteřinu, na bod přesně určí: tu vítěz — tu poražený.</w:t>
      </w:r>
    </w:p>
    <w:p w:rsidR="00500724" w:rsidRDefault="00F30FB8">
      <w:pPr>
        <w:pStyle w:val="Zkladntext30"/>
        <w:shd w:val="clear" w:color="auto" w:fill="auto"/>
        <w:spacing w:after="0" w:line="199" w:lineRule="auto"/>
        <w:ind w:firstLine="220"/>
        <w:rPr>
          <w:sz w:val="20"/>
          <w:szCs w:val="20"/>
        </w:rPr>
      </w:pPr>
      <w:r>
        <w:rPr>
          <w:i/>
          <w:iCs/>
          <w:sz w:val="20"/>
          <w:szCs w:val="20"/>
        </w:rPr>
        <w:t xml:space="preserve">Dočtete se na příklad, že Slavia porazila Kladno 10:0. V té chvíli víte už také </w:t>
      </w:r>
      <w:r>
        <w:rPr>
          <w:i/>
          <w:iCs/>
          <w:sz w:val="20"/>
          <w:szCs w:val="20"/>
        </w:rPr>
        <w:t>zcela určitě, že žádný rozhlas, žádná tisková kancelář, žádná soukromá agentura na celém světě nemůže napsat, že Slavia porazila Kladno 9:0, či snad dokonce, že Kladno Slavií ani poraženo ne</w:t>
      </w:r>
      <w:r>
        <w:rPr>
          <w:i/>
          <w:iCs/>
          <w:sz w:val="20"/>
          <w:szCs w:val="20"/>
        </w:rPr>
        <w:softHyphen/>
        <w:t>bylo. Ubezpečuji vás, že takováto hrozná věc se také v dějinách c</w:t>
      </w:r>
      <w:r>
        <w:rPr>
          <w:i/>
          <w:iCs/>
          <w:sz w:val="20"/>
          <w:szCs w:val="20"/>
        </w:rPr>
        <w:t>elého sportovního hnutí dosud ještě nepři</w:t>
      </w:r>
      <w:r>
        <w:rPr>
          <w:i/>
          <w:iCs/>
          <w:sz w:val="20"/>
          <w:szCs w:val="20"/>
        </w:rPr>
        <w:softHyphen/>
        <w:t xml:space="preserve">hodila. Jediné, co by mohlo uvést čtenáře v omyl </w:t>
      </w:r>
      <w:r>
        <w:rPr>
          <w:i/>
          <w:iCs/>
          <w:sz w:val="18"/>
          <w:szCs w:val="18"/>
        </w:rPr>
        <w:t xml:space="preserve">a </w:t>
      </w:r>
      <w:r>
        <w:rPr>
          <w:i/>
          <w:iCs/>
          <w:sz w:val="20"/>
          <w:szCs w:val="20"/>
        </w:rPr>
        <w:t>otřást jeho důvěrou o hodnověrnost zpráv o sportovních výsledcích, byla by ještě tisková chyba v ručně sázeném titulku. Ale tu si čtenář opraví sám, protože si spo</w:t>
      </w:r>
      <w:r>
        <w:rPr>
          <w:i/>
          <w:iCs/>
          <w:sz w:val="20"/>
          <w:szCs w:val="20"/>
        </w:rPr>
        <w:t>čítá podle referátu na prstech: v 5. minutě proběhl nezadrži</w:t>
      </w:r>
      <w:r>
        <w:rPr>
          <w:i/>
          <w:iCs/>
          <w:sz w:val="20"/>
          <w:szCs w:val="20"/>
        </w:rPr>
        <w:softHyphen/>
        <w:t>telně Bican... 1:0, v 10. minutě opakoval úspěch Ko</w:t>
      </w:r>
      <w:r>
        <w:rPr>
          <w:i/>
          <w:iCs/>
          <w:sz w:val="20"/>
          <w:szCs w:val="20"/>
        </w:rPr>
        <w:softHyphen/>
        <w:t xml:space="preserve">pecký ... 2:0 atd., až konečně v 43. minutě druhého poločasu nádherným sólem uzavřel </w:t>
      </w:r>
      <w:r>
        <w:rPr>
          <w:i/>
          <w:iCs/>
          <w:sz w:val="20"/>
          <w:szCs w:val="20"/>
          <w:lang w:val="en-US" w:eastAsia="en-US" w:bidi="en-US"/>
        </w:rPr>
        <w:t xml:space="preserve">score </w:t>
      </w:r>
      <w:r>
        <w:rPr>
          <w:i/>
          <w:iCs/>
          <w:sz w:val="20"/>
          <w:szCs w:val="20"/>
        </w:rPr>
        <w:t>Horák. Což činí souhrnem 10:0. Pravda, v nejkrajnějš</w:t>
      </w:r>
      <w:r>
        <w:rPr>
          <w:i/>
          <w:iCs/>
          <w:sz w:val="20"/>
          <w:szCs w:val="20"/>
        </w:rPr>
        <w:t>ím případě mohl by snad sekretář Kladna ve své výroční zprávě, předkládané bouřlivé oposici na valné schůzi klubu, poznamenat, že morální vítězství náleželo ?. května 1939 SK Kladno, protože nastoupilo s rekonvalescen</w:t>
      </w:r>
      <w:r>
        <w:rPr>
          <w:i/>
          <w:iCs/>
          <w:sz w:val="20"/>
          <w:szCs w:val="20"/>
        </w:rPr>
        <w:softHyphen/>
        <w:t>tem Klocem na pravé spojce, protože hr</w:t>
      </w:r>
      <w:r>
        <w:rPr>
          <w:i/>
          <w:iCs/>
          <w:sz w:val="20"/>
          <w:szCs w:val="20"/>
        </w:rPr>
        <w:t>álo po oba polo</w:t>
      </w:r>
      <w:r>
        <w:rPr>
          <w:i/>
          <w:iCs/>
          <w:sz w:val="20"/>
          <w:szCs w:val="20"/>
        </w:rPr>
        <w:softHyphen/>
        <w:t>časy proti slunci, větru a soudci, nemluvě ani o nepřízni štěstěny a třech ranách, odražených od břevna centr- formarda Rašpličky.</w:t>
      </w:r>
    </w:p>
    <w:p w:rsidR="00500724" w:rsidRDefault="00F30FB8">
      <w:pPr>
        <w:pStyle w:val="Zkladntext30"/>
        <w:shd w:val="clear" w:color="auto" w:fill="auto"/>
        <w:spacing w:after="0" w:line="197" w:lineRule="auto"/>
        <w:ind w:firstLine="220"/>
        <w:rPr>
          <w:sz w:val="20"/>
          <w:szCs w:val="20"/>
        </w:rPr>
      </w:pPr>
      <w:r>
        <w:rPr>
          <w:i/>
          <w:iCs/>
          <w:sz w:val="20"/>
          <w:szCs w:val="20"/>
        </w:rPr>
        <w:t>Ale ani tento, zajisté velmi zaujatý muž, neodpoví na vaši otázku po konečném výsledku onoho morálního ^vítěz</w:t>
      </w:r>
      <w:r>
        <w:rPr>
          <w:i/>
          <w:iCs/>
          <w:sz w:val="20"/>
          <w:szCs w:val="20"/>
        </w:rPr>
        <w:t>ství* Kladna jinak, než lakonickým 10:0 pro Slavii. Jest tedy zcela jisté a nevyvratitelné: SK Slavia byla ?. května 1939 v 18 hodin na hřišti SK Kladno lep</w:t>
      </w:r>
      <w:r>
        <w:rPr>
          <w:i/>
          <w:iCs/>
          <w:sz w:val="20"/>
          <w:szCs w:val="20"/>
        </w:rPr>
        <w:softHyphen/>
        <w:t>ším a vítězným mužstvem.</w:t>
      </w:r>
    </w:p>
    <w:p w:rsidR="00500724" w:rsidRDefault="00F30FB8">
      <w:pPr>
        <w:pStyle w:val="Zkladntext30"/>
        <w:shd w:val="clear" w:color="auto" w:fill="auto"/>
        <w:spacing w:after="0" w:line="197" w:lineRule="auto"/>
        <w:ind w:firstLine="220"/>
        <w:rPr>
          <w:sz w:val="20"/>
          <w:szCs w:val="20"/>
        </w:rPr>
      </w:pPr>
      <w:r>
        <w:rPr>
          <w:i/>
          <w:iCs/>
          <w:sz w:val="20"/>
          <w:szCs w:val="20"/>
        </w:rPr>
        <w:t>Vidíte: to je, co chtějí lidé vědět. To je, co chtějí lidé číst. To přesné</w:t>
      </w:r>
      <w:r>
        <w:rPr>
          <w:i/>
          <w:iCs/>
          <w:sz w:val="20"/>
          <w:szCs w:val="20"/>
        </w:rPr>
        <w:t>, nesmlouvavé, za všech okolností jedno</w:t>
      </w:r>
      <w:r>
        <w:rPr>
          <w:i/>
          <w:iCs/>
          <w:sz w:val="20"/>
          <w:szCs w:val="20"/>
        </w:rPr>
        <w:softHyphen/>
        <w:t>stejné, žádnou propagandou nezvratitelné: ten fakt, tu skutečnost, tu pravdu. Těch ... 10:0!</w:t>
      </w:r>
    </w:p>
    <w:p w:rsidR="00500724" w:rsidRDefault="00F30FB8">
      <w:pPr>
        <w:pStyle w:val="Zkladntext30"/>
        <w:shd w:val="clear" w:color="auto" w:fill="auto"/>
        <w:spacing w:after="0" w:line="197" w:lineRule="auto"/>
        <w:ind w:firstLine="220"/>
        <w:rPr>
          <w:sz w:val="20"/>
          <w:szCs w:val="20"/>
        </w:rPr>
      </w:pPr>
      <w:r>
        <w:rPr>
          <w:i/>
          <w:iCs/>
          <w:sz w:val="20"/>
          <w:szCs w:val="20"/>
        </w:rPr>
        <w:t>Porozuměli-li jste výše uvedenému, porozuměli jste a to lépe, než leckterý dnešní vydavatel periodických tiskopisů, tajemst</w:t>
      </w:r>
      <w:r>
        <w:rPr>
          <w:i/>
          <w:iCs/>
          <w:sz w:val="20"/>
          <w:szCs w:val="20"/>
        </w:rPr>
        <w:t>ví úspěchu nejen sportovní rubriky.</w:t>
      </w:r>
    </w:p>
    <w:p w:rsidR="00500724" w:rsidRDefault="00F30FB8">
      <w:pPr>
        <w:pStyle w:val="Zkladntext30"/>
        <w:shd w:val="clear" w:color="auto" w:fill="auto"/>
        <w:spacing w:after="0" w:line="197" w:lineRule="auto"/>
        <w:ind w:firstLine="220"/>
        <w:rPr>
          <w:sz w:val="20"/>
          <w:szCs w:val="20"/>
        </w:rPr>
      </w:pPr>
      <w:r>
        <w:rPr>
          <w:i/>
          <w:iCs/>
          <w:sz w:val="20"/>
          <w:szCs w:val="20"/>
        </w:rPr>
        <w:t>Za druhé: sport zajímá proto, že je krásný i zdravý zároveň (což na příklad o České filharmonii tak bez dalšího tvrdit nelze). Sport spadá pod estetickou i prak</w:t>
      </w:r>
      <w:r>
        <w:rPr>
          <w:i/>
          <w:iCs/>
          <w:sz w:val="20"/>
          <w:szCs w:val="20"/>
        </w:rPr>
        <w:softHyphen/>
        <w:t>tickou kategorii. Pohled na footballové utkání skýtá předev</w:t>
      </w:r>
      <w:r>
        <w:rPr>
          <w:i/>
          <w:iCs/>
          <w:sz w:val="20"/>
          <w:szCs w:val="20"/>
        </w:rPr>
        <w:t>ším požitek umělecký. Mluvili a psali jsme do</w:t>
      </w:r>
      <w:r>
        <w:rPr>
          <w:i/>
          <w:iCs/>
          <w:sz w:val="20"/>
          <w:szCs w:val="20"/>
        </w:rPr>
        <w:softHyphen/>
        <w:t>posud o hercích divadelních, rozhlasových, filmových. Domnívám se, že bude načase začít mluvit a psát s při</w:t>
      </w:r>
      <w:r>
        <w:rPr>
          <w:i/>
          <w:iCs/>
          <w:sz w:val="20"/>
          <w:szCs w:val="20"/>
        </w:rPr>
        <w:softHyphen/>
        <w:t>bližně stejným oprávněním o hercích sportovních.</w:t>
      </w:r>
    </w:p>
    <w:p w:rsidR="00500724" w:rsidRDefault="00F30FB8">
      <w:pPr>
        <w:pStyle w:val="Zkladntext30"/>
        <w:shd w:val="clear" w:color="auto" w:fill="auto"/>
        <w:spacing w:after="0" w:line="197" w:lineRule="auto"/>
        <w:ind w:firstLine="220"/>
        <w:rPr>
          <w:sz w:val="20"/>
          <w:szCs w:val="20"/>
        </w:rPr>
      </w:pPr>
      <w:r>
        <w:rPr>
          <w:i/>
          <w:iCs/>
          <w:sz w:val="20"/>
          <w:szCs w:val="20"/>
        </w:rPr>
        <w:t>Či nebyli jste snad ještě nikdy svědky nezapomenu</w:t>
      </w:r>
      <w:r>
        <w:rPr>
          <w:i/>
          <w:iCs/>
          <w:sz w:val="20"/>
          <w:szCs w:val="20"/>
        </w:rPr>
        <w:softHyphen/>
      </w:r>
      <w:r>
        <w:rPr>
          <w:i/>
          <w:iCs/>
          <w:sz w:val="20"/>
          <w:szCs w:val="20"/>
        </w:rPr>
        <w:t>telného výkonu našeho internacionála Antonína Puče, který předstíraje k smrti raněného, snaží se upadnout v protivníkově malém trestném území, vynucuje tak na soudci i obecenstvu diktování jedenáctimetrového trest</w:t>
      </w:r>
      <w:r>
        <w:rPr>
          <w:i/>
          <w:iCs/>
          <w:sz w:val="20"/>
          <w:szCs w:val="20"/>
        </w:rPr>
        <w:softHyphen/>
        <w:t>ného kopu pro Československo?</w:t>
      </w:r>
    </w:p>
    <w:p w:rsidR="00500724" w:rsidRDefault="00F30FB8">
      <w:pPr>
        <w:pStyle w:val="Zkladntext30"/>
        <w:shd w:val="clear" w:color="auto" w:fill="auto"/>
        <w:spacing w:after="0" w:line="197" w:lineRule="auto"/>
        <w:ind w:firstLine="220"/>
        <w:rPr>
          <w:sz w:val="20"/>
          <w:szCs w:val="20"/>
        </w:rPr>
      </w:pPr>
      <w:r>
        <w:rPr>
          <w:i/>
          <w:iCs/>
          <w:sz w:val="20"/>
          <w:szCs w:val="20"/>
        </w:rPr>
        <w:t>Či neutkvěla</w:t>
      </w:r>
      <w:r>
        <w:rPr>
          <w:i/>
          <w:iCs/>
          <w:sz w:val="20"/>
          <w:szCs w:val="20"/>
        </w:rPr>
        <w:t xml:space="preserve"> vám v paměti jedinečná, protivníka, soudce, obecenstvo, sběrače dokonale denervující hra Rodericha Menzla, dnes daviscupového representanta Německa? Jest skutečně třeba vrátit se, pro vaši nevíru, až k mimickým schopnostem kata Mydláře českého fil</w:t>
      </w:r>
      <w:r>
        <w:rPr>
          <w:i/>
          <w:iCs/>
          <w:sz w:val="20"/>
          <w:szCs w:val="20"/>
        </w:rPr>
        <w:softHyphen/>
        <w:t>mu — ře</w:t>
      </w:r>
      <w:r>
        <w:rPr>
          <w:i/>
          <w:iCs/>
          <w:sz w:val="20"/>
          <w:szCs w:val="20"/>
        </w:rPr>
        <w:t>cko-římského zápasníka Gustava Frištenského?</w:t>
      </w:r>
    </w:p>
    <w:p w:rsidR="00500724" w:rsidRDefault="00F30FB8">
      <w:pPr>
        <w:pStyle w:val="Zkladntext30"/>
        <w:shd w:val="clear" w:color="auto" w:fill="auto"/>
        <w:spacing w:after="0" w:line="197" w:lineRule="auto"/>
        <w:ind w:firstLine="220"/>
        <w:rPr>
          <w:sz w:val="20"/>
          <w:szCs w:val="20"/>
        </w:rPr>
      </w:pPr>
      <w:r>
        <w:rPr>
          <w:i/>
          <w:iCs/>
          <w:sz w:val="20"/>
          <w:szCs w:val="20"/>
        </w:rPr>
        <w:t>Ad 2.: jest tento pohled na footballové utkání zdravý. A zase ad 2. a): tělesně. Především pro oněch</w:t>
      </w:r>
      <w:r>
        <w:rPr>
          <w:rFonts w:ascii="Arial" w:eastAsia="Arial" w:hAnsi="Arial" w:cs="Arial"/>
          <w:sz w:val="17"/>
          <w:szCs w:val="17"/>
        </w:rPr>
        <w:t xml:space="preserve"> 22 </w:t>
      </w:r>
      <w:r>
        <w:rPr>
          <w:i/>
          <w:iCs/>
          <w:sz w:val="20"/>
          <w:szCs w:val="20"/>
        </w:rPr>
        <w:t xml:space="preserve">hráčů, uvolňujících svůj pud hravosti za nedělního odpoledne na zeleném trávníku v boží volné přírodě. Což </w:t>
      </w:r>
      <w:r>
        <w:rPr>
          <w:i/>
          <w:iCs/>
          <w:sz w:val="20"/>
          <w:szCs w:val="20"/>
        </w:rPr>
        <w:t xml:space="preserve">mimo jiné, poskytuje jim i dnes, po zrušení </w:t>
      </w:r>
      <w:r>
        <w:rPr>
          <w:i/>
          <w:iCs/>
          <w:sz w:val="20"/>
          <w:szCs w:val="20"/>
          <w:lang w:val="en-US" w:eastAsia="en-US" w:bidi="en-US"/>
        </w:rPr>
        <w:t>prof</w:t>
      </w:r>
      <w:r>
        <w:rPr>
          <w:i/>
          <w:iCs/>
          <w:sz w:val="20"/>
          <w:szCs w:val="20"/>
        </w:rPr>
        <w:t>esionalismu u nás, existenční minimum v tak přiměřené míře, že činí dvojnásobek existenčního minima svobodného účet</w:t>
      </w:r>
      <w:r>
        <w:rPr>
          <w:i/>
          <w:iCs/>
          <w:sz w:val="20"/>
          <w:szCs w:val="20"/>
        </w:rPr>
        <w:softHyphen/>
        <w:t>ního adjunkta v ministerstvu školství a národní osvěty s vysokoškolským vzděláním a téměř še</w:t>
      </w:r>
      <w:r>
        <w:rPr>
          <w:i/>
          <w:iCs/>
          <w:sz w:val="20"/>
          <w:szCs w:val="20"/>
        </w:rPr>
        <w:t>stinásobek existenčního minima nesvobodného živitele pětičlenné dělnické rodiny.</w:t>
      </w:r>
    </w:p>
    <w:p w:rsidR="00500724" w:rsidRDefault="00F30FB8">
      <w:pPr>
        <w:pStyle w:val="Zkladntext30"/>
        <w:shd w:val="clear" w:color="auto" w:fill="auto"/>
        <w:spacing w:after="0" w:line="197" w:lineRule="auto"/>
        <w:ind w:firstLine="220"/>
        <w:rPr>
          <w:sz w:val="20"/>
          <w:szCs w:val="20"/>
        </w:rPr>
      </w:pPr>
      <w:r>
        <w:rPr>
          <w:i/>
          <w:iCs/>
          <w:sz w:val="20"/>
          <w:szCs w:val="20"/>
        </w:rPr>
        <w:t>Ad</w:t>
      </w:r>
      <w:r>
        <w:rPr>
          <w:rFonts w:ascii="Arial" w:eastAsia="Arial" w:hAnsi="Arial" w:cs="Arial"/>
          <w:sz w:val="17"/>
          <w:szCs w:val="17"/>
        </w:rPr>
        <w:t xml:space="preserve"> 2. </w:t>
      </w:r>
      <w:r>
        <w:rPr>
          <w:i/>
          <w:iCs/>
          <w:sz w:val="20"/>
          <w:szCs w:val="20"/>
        </w:rPr>
        <w:t>b): jest tento pohled na footballové utkání zdra</w:t>
      </w:r>
      <w:r>
        <w:rPr>
          <w:i/>
          <w:iCs/>
          <w:sz w:val="20"/>
          <w:szCs w:val="20"/>
        </w:rPr>
        <w:softHyphen/>
        <w:t>vý duševně. Především pro všechny osoby na něm zúčastněné, vyjma snad oněch</w:t>
      </w:r>
      <w:r>
        <w:rPr>
          <w:rFonts w:ascii="Arial" w:eastAsia="Arial" w:hAnsi="Arial" w:cs="Arial"/>
          <w:sz w:val="17"/>
          <w:szCs w:val="17"/>
        </w:rPr>
        <w:t xml:space="preserve"> 22 </w:t>
      </w:r>
      <w:r>
        <w:rPr>
          <w:i/>
          <w:iCs/>
          <w:sz w:val="20"/>
          <w:szCs w:val="20"/>
        </w:rPr>
        <w:t>hráčů. Zde na stadionu uskutečňuje se tot</w:t>
      </w:r>
      <w:r>
        <w:rPr>
          <w:i/>
          <w:iCs/>
          <w:sz w:val="20"/>
          <w:szCs w:val="20"/>
        </w:rPr>
        <w:t>iž onen divadelní avantgardou tak marně vytoužený ideál. Odstranění předělu mezi je</w:t>
      </w:r>
      <w:r>
        <w:rPr>
          <w:i/>
          <w:iCs/>
          <w:sz w:val="20"/>
          <w:szCs w:val="20"/>
        </w:rPr>
        <w:softHyphen/>
        <w:t>vištěm a hledištěm! Divadlo, velkolepé sportovní di</w:t>
      </w:r>
      <w:r>
        <w:rPr>
          <w:i/>
          <w:iCs/>
          <w:sz w:val="20"/>
          <w:szCs w:val="20"/>
        </w:rPr>
        <w:softHyphen/>
        <w:t>vadlo, hru extatických radostí, nenávistí a vášní hraje celé stadion. Čímž jest konečně pohled na footballové utkání.</w:t>
      </w:r>
    </w:p>
    <w:p w:rsidR="00500724" w:rsidRDefault="00F30FB8">
      <w:pPr>
        <w:pStyle w:val="Zkladntext40"/>
        <w:shd w:val="clear" w:color="auto" w:fill="auto"/>
        <w:spacing w:after="0" w:line="295" w:lineRule="auto"/>
        <w:ind w:firstLine="220"/>
      </w:pPr>
      <w:r>
        <w:rPr>
          <w:b/>
          <w:bCs/>
          <w:i/>
          <w:iCs/>
        </w:rPr>
        <w:t>Ad</w:t>
      </w:r>
      <w:r>
        <w:rPr>
          <w:b/>
          <w:bCs/>
          <w:i/>
          <w:iCs/>
        </w:rPr>
        <w:t xml:space="preserve"> 2. c): zdravý mocensky jako bezpečnostní zá</w:t>
      </w:r>
      <w:r>
        <w:rPr>
          <w:b/>
          <w:bCs/>
          <w:i/>
          <w:iCs/>
        </w:rPr>
        <w:softHyphen/>
        <w:t>klopka.</w:t>
      </w:r>
    </w:p>
    <w:p w:rsidR="00500724" w:rsidRDefault="00F30FB8">
      <w:pPr>
        <w:pStyle w:val="Zkladntext40"/>
        <w:shd w:val="clear" w:color="auto" w:fill="auto"/>
        <w:spacing w:after="0" w:line="372" w:lineRule="auto"/>
        <w:ind w:firstLine="220"/>
        <w:jc w:val="left"/>
        <w:sectPr w:rsidR="00500724">
          <w:footnotePr>
            <w:numFmt w:val="chicago"/>
            <w:numRestart w:val="eachPage"/>
          </w:footnotePr>
          <w:type w:val="continuous"/>
          <w:pgSz w:w="11909" w:h="16834"/>
          <w:pgMar w:top="829" w:right="744" w:bottom="644" w:left="686" w:header="0" w:footer="3" w:gutter="0"/>
          <w:cols w:num="2" w:space="139"/>
          <w:noEndnote/>
          <w:docGrid w:linePitch="360"/>
        </w:sectPr>
      </w:pPr>
      <w:r>
        <w:rPr>
          <w:b/>
          <w:bCs/>
          <w:i/>
          <w:iCs/>
        </w:rPr>
        <w:t>Před třemi či pěti lety, pamatuji, fotografoval repor</w:t>
      </w:r>
      <w:r>
        <w:rPr>
          <w:b/>
          <w:bCs/>
          <w:i/>
          <w:iCs/>
        </w:rPr>
        <w:softHyphen/>
        <w:t>tér A-Zetu v poločasu diváky. Obrázky, opatřené bílým křížkem, uveřejňoval pak na sportovní stránce. Kdo se 8u</w:t>
      </w:r>
    </w:p>
    <w:p w:rsidR="00500724" w:rsidRDefault="00F30FB8">
      <w:pPr>
        <w:pStyle w:val="Nadpis90"/>
        <w:keepNext/>
        <w:keepLines/>
        <w:pBdr>
          <w:bottom w:val="single" w:sz="4" w:space="0" w:color="auto"/>
        </w:pBdr>
        <w:shd w:val="clear" w:color="auto" w:fill="auto"/>
        <w:spacing w:after="0"/>
        <w:ind w:right="60"/>
        <w:jc w:val="center"/>
        <w:rPr>
          <w:sz w:val="42"/>
          <w:szCs w:val="42"/>
        </w:rPr>
        <w:sectPr w:rsidR="00500724">
          <w:footnotePr>
            <w:numFmt w:val="chicago"/>
            <w:numRestart w:val="eachPage"/>
          </w:footnotePr>
          <w:pgSz w:w="11909" w:h="16834"/>
          <w:pgMar w:top="759" w:right="886" w:bottom="1159" w:left="564" w:header="0" w:footer="3" w:gutter="0"/>
          <w:cols w:space="720"/>
          <w:noEndnote/>
          <w:docGrid w:linePitch="360"/>
        </w:sectPr>
      </w:pPr>
      <w:bookmarkStart w:id="512" w:name="bookmark511"/>
      <w:r>
        <w:rPr>
          <w:rFonts w:ascii="Times New Roman" w:eastAsia="Times New Roman" w:hAnsi="Times New Roman" w:cs="Times New Roman"/>
          <w:w w:val="80"/>
          <w:sz w:val="42"/>
          <w:szCs w:val="42"/>
        </w:rPr>
        <w:t>Přítomnosti</w:t>
      </w:r>
      <w:bookmarkEnd w:id="512"/>
    </w:p>
    <w:p w:rsidR="00500724" w:rsidRDefault="00500724">
      <w:pPr>
        <w:spacing w:line="119"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759" w:right="0" w:bottom="1134" w:left="0" w:header="0" w:footer="3" w:gutter="0"/>
          <w:cols w:space="720"/>
          <w:noEndnote/>
          <w:docGrid w:linePitch="360"/>
        </w:sectPr>
      </w:pPr>
    </w:p>
    <w:p w:rsidR="00500724" w:rsidRDefault="00F30FB8">
      <w:pPr>
        <w:pStyle w:val="Zkladntext20"/>
        <w:shd w:val="clear" w:color="auto" w:fill="auto"/>
        <w:ind w:firstLine="0"/>
        <w:rPr>
          <w:sz w:val="20"/>
          <w:szCs w:val="20"/>
        </w:rPr>
      </w:pPr>
      <w:r>
        <w:rPr>
          <w:rFonts w:ascii="Arial" w:eastAsia="Arial" w:hAnsi="Arial" w:cs="Arial"/>
          <w:sz w:val="17"/>
          <w:szCs w:val="17"/>
        </w:rPr>
        <w:t xml:space="preserve">z </w:t>
      </w:r>
      <w:r>
        <w:rPr>
          <w:i/>
          <w:iCs/>
          <w:sz w:val="20"/>
          <w:szCs w:val="20"/>
        </w:rPr>
        <w:t>dioáků poznal pod křížkem, dostal 50 K. To byla akce vedena za tím účelem, aby se diváci poznávali v A-Zetu a nikoliv v Poledním listě. Jenže v léto své fotoreportérské konkurenční horl</w:t>
      </w:r>
      <w:r>
        <w:rPr>
          <w:i/>
          <w:iCs/>
          <w:sz w:val="20"/>
          <w:szCs w:val="20"/>
        </w:rPr>
        <w:t xml:space="preserve">ivosti zcela zapomněli, že divák se </w:t>
      </w:r>
      <w:r>
        <w:rPr>
          <w:i/>
          <w:iCs/>
          <w:sz w:val="18"/>
          <w:szCs w:val="18"/>
        </w:rPr>
        <w:t xml:space="preserve">v </w:t>
      </w:r>
      <w:r>
        <w:rPr>
          <w:i/>
          <w:iCs/>
          <w:sz w:val="20"/>
          <w:szCs w:val="20"/>
        </w:rPr>
        <w:t>každém sportovním referátě i bez bílého křížku na klobouku nezbytně a bezvýhradně pozná.</w:t>
      </w:r>
    </w:p>
    <w:p w:rsidR="00500724" w:rsidRDefault="00F30FB8">
      <w:pPr>
        <w:pStyle w:val="Zkladntext20"/>
        <w:shd w:val="clear" w:color="auto" w:fill="auto"/>
        <w:rPr>
          <w:sz w:val="20"/>
          <w:szCs w:val="20"/>
        </w:rPr>
      </w:pPr>
      <w:r>
        <w:rPr>
          <w:i/>
          <w:iCs/>
          <w:sz w:val="20"/>
          <w:szCs w:val="20"/>
        </w:rPr>
        <w:t>Copak nechystal se Nejedlý v 20. minutě druhého poločasu užuž přihrát Zemanovi, když vtom kdosi z dru</w:t>
      </w:r>
      <w:r>
        <w:rPr>
          <w:i/>
          <w:iCs/>
          <w:sz w:val="20"/>
          <w:szCs w:val="20"/>
        </w:rPr>
        <w:softHyphen/>
        <w:t xml:space="preserve">hého ochozu vzkřikl: »Jseš </w:t>
      </w:r>
      <w:r>
        <w:rPr>
          <w:i/>
          <w:iCs/>
          <w:sz w:val="20"/>
          <w:szCs w:val="20"/>
        </w:rPr>
        <w:t>sám! Oldo! Jesusmarja, piš!?</w:t>
      </w:r>
    </w:p>
    <w:p w:rsidR="00500724" w:rsidRDefault="00F30FB8">
      <w:pPr>
        <w:pStyle w:val="Zkladntext20"/>
        <w:shd w:val="clear" w:color="auto" w:fill="auto"/>
        <w:rPr>
          <w:sz w:val="20"/>
          <w:szCs w:val="20"/>
        </w:rPr>
      </w:pPr>
      <w:r>
        <w:rPr>
          <w:i/>
          <w:iCs/>
          <w:sz w:val="20"/>
          <w:szCs w:val="20"/>
        </w:rPr>
        <w:t>Vidíte. Nikoliv Nejedlý. Kolektiv obecenstva, nezná</w:t>
      </w:r>
      <w:r>
        <w:rPr>
          <w:i/>
          <w:iCs/>
          <w:sz w:val="20"/>
          <w:szCs w:val="20"/>
        </w:rPr>
        <w:softHyphen/>
        <w:t>mý divák, docílil Nejedlým v 20. minutě druhého polo</w:t>
      </w:r>
      <w:r>
        <w:rPr>
          <w:i/>
          <w:iCs/>
          <w:sz w:val="20"/>
          <w:szCs w:val="20"/>
        </w:rPr>
        <w:softHyphen/>
        <w:t>času branky. Celé stadion to tu tak zahrálo.</w:t>
      </w:r>
    </w:p>
    <w:p w:rsidR="00500724" w:rsidRDefault="00F30FB8">
      <w:pPr>
        <w:pStyle w:val="Zkladntext20"/>
        <w:shd w:val="clear" w:color="auto" w:fill="auto"/>
        <w:rPr>
          <w:sz w:val="20"/>
          <w:szCs w:val="20"/>
        </w:rPr>
      </w:pPr>
      <w:r>
        <w:rPr>
          <w:i/>
          <w:iCs/>
          <w:sz w:val="20"/>
          <w:szCs w:val="20"/>
        </w:rPr>
        <w:t>Celé stadion pocituje pýchu a uspokojení nad svým výkonem. Celé stadion si po</w:t>
      </w:r>
      <w:r>
        <w:rPr>
          <w:i/>
          <w:iCs/>
          <w:sz w:val="20"/>
          <w:szCs w:val="20"/>
        </w:rPr>
        <w:t>sudek své hry rádo přečte v novinách.</w:t>
      </w:r>
    </w:p>
    <w:p w:rsidR="00500724" w:rsidRDefault="00F30FB8">
      <w:pPr>
        <w:pStyle w:val="Zkladntext20"/>
        <w:shd w:val="clear" w:color="auto" w:fill="auto"/>
        <w:rPr>
          <w:sz w:val="20"/>
          <w:szCs w:val="20"/>
        </w:rPr>
      </w:pPr>
      <w:r>
        <w:rPr>
          <w:i/>
          <w:iCs/>
          <w:sz w:val="20"/>
          <w:szCs w:val="20"/>
        </w:rPr>
        <w:t>Snad vás bude v té souvislosti zajímat ještě jedna okolnost. Kolektiv obecenstva nevnímá sport jen svými pěti smysly. Kolektiv obecenstva vnímá události na hřišti jakýmsi duševním zrakem solidárně se radujících a rozho</w:t>
      </w:r>
      <w:r>
        <w:rPr>
          <w:i/>
          <w:iCs/>
          <w:sz w:val="20"/>
          <w:szCs w:val="20"/>
        </w:rPr>
        <w:t>řčujících, zmoženým ještě u většiny společnými vzpomínkami na vlastní hráčské zkušenosti, kteréžto vzpomínky nesou s sebou vlivem časového odstupu ne</w:t>
      </w:r>
      <w:r>
        <w:rPr>
          <w:i/>
          <w:iCs/>
          <w:sz w:val="20"/>
          <w:szCs w:val="20"/>
        </w:rPr>
        <w:softHyphen/>
        <w:t>zbytný znak dodatečné heroičnosti. A tento kolektivní pocit libosti ze stadionu si obecenstvo doma nad spo</w:t>
      </w:r>
      <w:r>
        <w:rPr>
          <w:i/>
          <w:iCs/>
          <w:sz w:val="20"/>
          <w:szCs w:val="20"/>
        </w:rPr>
        <w:t>r</w:t>
      </w:r>
      <w:r>
        <w:rPr>
          <w:i/>
          <w:iCs/>
          <w:sz w:val="20"/>
          <w:szCs w:val="20"/>
        </w:rPr>
        <w:softHyphen/>
        <w:t>tovní rubrikou rádo znovu připomene.</w:t>
      </w:r>
    </w:p>
    <w:p w:rsidR="00500724" w:rsidRDefault="00F30FB8">
      <w:pPr>
        <w:pStyle w:val="Zkladntext50"/>
        <w:shd w:val="clear" w:color="auto" w:fill="auto"/>
        <w:spacing w:after="0" w:line="240" w:lineRule="auto"/>
        <w:ind w:left="0"/>
        <w:jc w:val="center"/>
      </w:pPr>
      <w:r>
        <w:t>Protože existuje sportovní ČTK</w:t>
      </w:r>
    </w:p>
    <w:p w:rsidR="00500724" w:rsidRDefault="00F30FB8">
      <w:pPr>
        <w:pStyle w:val="Zkladntext20"/>
        <w:shd w:val="clear" w:color="auto" w:fill="auto"/>
        <w:spacing w:line="197" w:lineRule="auto"/>
        <w:rPr>
          <w:sz w:val="20"/>
          <w:szCs w:val="20"/>
        </w:rPr>
      </w:pPr>
      <w:r>
        <w:rPr>
          <w:i/>
          <w:iCs/>
          <w:sz w:val="20"/>
          <w:szCs w:val="20"/>
        </w:rPr>
        <w:t xml:space="preserve">Každá sportovní redakce dostává několikrát denně z ČTK referáty o všech možných sportovních událostech z celého světa. To jest základ oné světovosti sportovních rubrik, která tu před 14 </w:t>
      </w:r>
      <w:r>
        <w:rPr>
          <w:i/>
          <w:iCs/>
          <w:sz w:val="20"/>
          <w:szCs w:val="20"/>
        </w:rPr>
        <w:t>dny tak zle pohoršila člena České filharmonie. Po sportovní neděli je toho pak sku</w:t>
      </w:r>
      <w:r>
        <w:rPr>
          <w:i/>
          <w:iCs/>
          <w:sz w:val="20"/>
          <w:szCs w:val="20"/>
        </w:rPr>
        <w:softHyphen/>
        <w:t>tečně tolik, že v pondělí, jak praví člen České filhar</w:t>
      </w:r>
      <w:r>
        <w:rPr>
          <w:i/>
          <w:iCs/>
          <w:sz w:val="20"/>
          <w:szCs w:val="20"/>
        </w:rPr>
        <w:softHyphen/>
        <w:t>monie,</w:t>
      </w:r>
      <w:r>
        <w:rPr>
          <w:rFonts w:ascii="Arial" w:eastAsia="Arial" w:hAnsi="Arial" w:cs="Arial"/>
          <w:sz w:val="17"/>
          <w:szCs w:val="17"/>
        </w:rPr>
        <w:t xml:space="preserve"> »i </w:t>
      </w:r>
      <w:r>
        <w:rPr>
          <w:i/>
          <w:iCs/>
          <w:sz w:val="20"/>
          <w:szCs w:val="20"/>
        </w:rPr>
        <w:t>ta poslední stránka nestačí a sportovní rubrika se plným právem rozšíří i na stránku předcházejícím.</w:t>
      </w:r>
    </w:p>
    <w:p w:rsidR="00500724" w:rsidRDefault="00F30FB8">
      <w:pPr>
        <w:pStyle w:val="Zkladntext20"/>
        <w:shd w:val="clear" w:color="auto" w:fill="auto"/>
        <w:spacing w:line="197" w:lineRule="auto"/>
        <w:rPr>
          <w:sz w:val="20"/>
          <w:szCs w:val="20"/>
        </w:rPr>
      </w:pPr>
      <w:r>
        <w:rPr>
          <w:i/>
          <w:iCs/>
          <w:sz w:val="20"/>
          <w:szCs w:val="20"/>
        </w:rPr>
        <w:t>Je mi l</w:t>
      </w:r>
      <w:r>
        <w:rPr>
          <w:i/>
          <w:iCs/>
          <w:sz w:val="20"/>
          <w:szCs w:val="20"/>
        </w:rPr>
        <w:t>íto, že ani v té věci nemohu souhlasit s členem České filharmonie. Nepřihlížíme-li právě k olympij</w:t>
      </w:r>
      <w:r>
        <w:rPr>
          <w:i/>
          <w:iCs/>
          <w:sz w:val="20"/>
          <w:szCs w:val="20"/>
        </w:rPr>
        <w:softHyphen/>
        <w:t>ským hrám, světovým mistrovstvím a podobným vý</w:t>
      </w:r>
      <w:r>
        <w:rPr>
          <w:i/>
          <w:iCs/>
          <w:sz w:val="20"/>
          <w:szCs w:val="20"/>
        </w:rPr>
        <w:softHyphen/>
        <w:t>jimečným sportovním událostem, nejsem o nutnosti »rozšíření sportovních rubrik plným právem? nikterak přesvědč</w:t>
      </w:r>
      <w:r>
        <w:rPr>
          <w:i/>
          <w:iCs/>
          <w:sz w:val="20"/>
          <w:szCs w:val="20"/>
        </w:rPr>
        <w:t>en. Naopak. Naprosto nenahlížím zákonitou pravidelnost, se kterou je česká veřejnost Protektorátu seznamována s výsledkem utkání SK Česká Skalice— Novokrčínský SK (bývalý SK Krčin).</w:t>
      </w:r>
    </w:p>
    <w:p w:rsidR="00500724" w:rsidRDefault="00F30FB8">
      <w:pPr>
        <w:pStyle w:val="Zkladntext20"/>
        <w:shd w:val="clear" w:color="auto" w:fill="auto"/>
        <w:spacing w:line="197" w:lineRule="auto"/>
        <w:rPr>
          <w:sz w:val="20"/>
          <w:szCs w:val="20"/>
        </w:rPr>
      </w:pPr>
      <w:r>
        <w:rPr>
          <w:i/>
          <w:iCs/>
          <w:sz w:val="20"/>
          <w:szCs w:val="20"/>
        </w:rPr>
        <w:t>Ale aí už tak či onak. Faktem zůstává, že z každého sportovního podniku do</w:t>
      </w:r>
      <w:r>
        <w:rPr>
          <w:i/>
          <w:iCs/>
          <w:sz w:val="20"/>
          <w:szCs w:val="20"/>
        </w:rPr>
        <w:t>stává sportovní redakce v neděli v noci podrobný referát z ČTK. Sportovním referentům vděčíme za to, že při výkonu svého neutěšeného povo</w:t>
      </w:r>
      <w:r>
        <w:rPr>
          <w:i/>
          <w:iCs/>
          <w:sz w:val="20"/>
          <w:szCs w:val="20"/>
        </w:rPr>
        <w:softHyphen/>
        <w:t>lání a při návalu práce leckterý z těchto referátů za</w:t>
      </w:r>
      <w:r>
        <w:rPr>
          <w:i/>
          <w:iCs/>
          <w:sz w:val="20"/>
          <w:szCs w:val="20"/>
        </w:rPr>
        <w:softHyphen/>
        <w:t>šantročí či poztrácí na cestě do tiskárny.</w:t>
      </w:r>
    </w:p>
    <w:p w:rsidR="00500724" w:rsidRDefault="00F30FB8">
      <w:pPr>
        <w:pStyle w:val="Zkladntext20"/>
        <w:shd w:val="clear" w:color="auto" w:fill="auto"/>
        <w:spacing w:line="197" w:lineRule="auto"/>
        <w:rPr>
          <w:sz w:val="20"/>
          <w:szCs w:val="20"/>
        </w:rPr>
      </w:pPr>
      <w:r>
        <w:rPr>
          <w:i/>
          <w:iCs/>
          <w:sz w:val="20"/>
          <w:szCs w:val="20"/>
        </w:rPr>
        <w:t xml:space="preserve">Nevím přesně, jak se </w:t>
      </w:r>
      <w:r>
        <w:rPr>
          <w:i/>
          <w:iCs/>
          <w:sz w:val="20"/>
          <w:szCs w:val="20"/>
        </w:rPr>
        <w:t>věci mají s kulturním zpravo</w:t>
      </w:r>
      <w:r>
        <w:rPr>
          <w:i/>
          <w:iCs/>
          <w:sz w:val="20"/>
          <w:szCs w:val="20"/>
        </w:rPr>
        <w:softHyphen/>
        <w:t>dajstvím ČTK. Vím jen, že tak, jako se sportovním, se nemají. Ostatně rozšíří tu pouhý pohled do telefonní knihy značně naše vědojnosti. V telefonní knize najdete pod heslem »Čs. tisková kancelář? šest, se soukromým bytem p. sp</w:t>
      </w:r>
      <w:r>
        <w:rPr>
          <w:i/>
          <w:iCs/>
          <w:sz w:val="20"/>
          <w:szCs w:val="20"/>
        </w:rPr>
        <w:t>ortovního redaktora Maršáka dokonce sedm čísel sportovní redakce. Telefonní číslo své kulturní redakce čs. tisková kancelář tají. V telefonní knize je nenajdete a také si nepamatuji, že bych kdy byl o něm něco slyšel. Krátce řečeno: co se v neděli bude hrá</w:t>
      </w:r>
      <w:r>
        <w:rPr>
          <w:i/>
          <w:iCs/>
          <w:sz w:val="20"/>
          <w:szCs w:val="20"/>
        </w:rPr>
        <w:t>t na Spartě, můžete se dovědět sedmerý způsoby ze sedmero pramenů. Co se bude v neděli hrát o Národním divadle, ani z jediného. Ale, což je snad ještě zvrácenější. Do</w:t>
      </w:r>
      <w:r>
        <w:rPr>
          <w:i/>
          <w:iCs/>
          <w:sz w:val="20"/>
          <w:szCs w:val="20"/>
        </w:rPr>
        <w:softHyphen/>
        <w:t>konce bez jakéhokoliv vašeho dotazu zahrnuje vás těchto sedm pramenů od pondělka do sobot</w:t>
      </w:r>
      <w:r>
        <w:rPr>
          <w:i/>
          <w:iCs/>
          <w:sz w:val="20"/>
          <w:szCs w:val="20"/>
        </w:rPr>
        <w:t>y přesnými, pro tisk upravenými informacemi nejen o tom, co se v neděli na Spartě hraje, ale i o tom, kdo, co a jak hraje.</w:t>
      </w:r>
    </w:p>
    <w:p w:rsidR="00500724" w:rsidRDefault="00F30FB8">
      <w:pPr>
        <w:pStyle w:val="Zkladntext20"/>
        <w:shd w:val="clear" w:color="auto" w:fill="auto"/>
        <w:spacing w:line="204" w:lineRule="auto"/>
        <w:rPr>
          <w:sz w:val="20"/>
          <w:szCs w:val="20"/>
        </w:rPr>
      </w:pPr>
      <w:r>
        <w:rPr>
          <w:rFonts w:ascii="Arial" w:eastAsia="Arial" w:hAnsi="Arial" w:cs="Arial"/>
          <w:sz w:val="17"/>
          <w:szCs w:val="17"/>
        </w:rPr>
        <w:t xml:space="preserve">že </w:t>
      </w:r>
      <w:r>
        <w:rPr>
          <w:i/>
          <w:iCs/>
          <w:sz w:val="20"/>
          <w:szCs w:val="20"/>
        </w:rPr>
        <w:t xml:space="preserve">to či ono divadlo (o vernisáži a pod. ani nemluvě) chystá premiéru, doví se kulturní referent z volného lístku na představení, ke </w:t>
      </w:r>
      <w:r>
        <w:rPr>
          <w:i/>
          <w:iCs/>
          <w:sz w:val="20"/>
          <w:szCs w:val="20"/>
        </w:rPr>
        <w:t>kterému je v obálce přiložena krátká noticka s prosbou o laskavé uveřejnění v kul</w:t>
      </w:r>
      <w:r>
        <w:rPr>
          <w:i/>
          <w:iCs/>
          <w:sz w:val="20"/>
          <w:szCs w:val="20"/>
        </w:rPr>
        <w:softHyphen/>
      </w:r>
    </w:p>
    <w:p w:rsidR="00500724" w:rsidRDefault="00F30FB8">
      <w:pPr>
        <w:pStyle w:val="Zkladntext40"/>
        <w:shd w:val="clear" w:color="auto" w:fill="auto"/>
        <w:spacing w:after="0" w:line="240" w:lineRule="auto"/>
      </w:pPr>
      <w:r>
        <w:rPr>
          <w:b/>
          <w:bCs/>
          <w:i/>
          <w:iCs/>
        </w:rPr>
        <w:t>turní rubrice ct, listu.</w:t>
      </w:r>
    </w:p>
    <w:p w:rsidR="00500724" w:rsidRDefault="00F30FB8">
      <w:pPr>
        <w:spacing w:line="1" w:lineRule="exact"/>
        <w:rPr>
          <w:sz w:val="2"/>
          <w:szCs w:val="2"/>
        </w:rPr>
      </w:pPr>
      <w:r>
        <w:br w:type="column"/>
      </w:r>
    </w:p>
    <w:p w:rsidR="00500724" w:rsidRDefault="00F30FB8">
      <w:pPr>
        <w:pStyle w:val="Zkladntext20"/>
        <w:shd w:val="clear" w:color="auto" w:fill="auto"/>
        <w:spacing w:line="190" w:lineRule="auto"/>
        <w:ind w:firstLine="0"/>
        <w:jc w:val="center"/>
        <w:rPr>
          <w:sz w:val="20"/>
          <w:szCs w:val="20"/>
        </w:rPr>
      </w:pPr>
      <w:r>
        <w:rPr>
          <w:b/>
          <w:bCs/>
          <w:sz w:val="20"/>
          <w:szCs w:val="20"/>
        </w:rPr>
        <w:t>Protože je více sportovních než kultur*</w:t>
      </w:r>
      <w:r>
        <w:rPr>
          <w:b/>
          <w:bCs/>
          <w:sz w:val="20"/>
          <w:szCs w:val="20"/>
        </w:rPr>
        <w:br/>
        <w:t>nich referentů</w:t>
      </w:r>
    </w:p>
    <w:p w:rsidR="00500724" w:rsidRDefault="00F30FB8">
      <w:pPr>
        <w:pStyle w:val="Zkladntext20"/>
        <w:shd w:val="clear" w:color="auto" w:fill="auto"/>
        <w:spacing w:line="197" w:lineRule="auto"/>
        <w:ind w:firstLine="220"/>
        <w:rPr>
          <w:sz w:val="20"/>
          <w:szCs w:val="20"/>
        </w:rPr>
      </w:pPr>
      <w:r>
        <w:rPr>
          <w:i/>
          <w:iCs/>
          <w:sz w:val="20"/>
          <w:szCs w:val="20"/>
        </w:rPr>
        <w:t>Wíte? K čemu, proboha?c tážete se, *spočívají-li ovšem, jak doufáme, vaše informace o sport</w:t>
      </w:r>
      <w:r>
        <w:rPr>
          <w:i/>
          <w:iCs/>
          <w:sz w:val="20"/>
          <w:szCs w:val="20"/>
        </w:rPr>
        <w:t>ovním zpra</w:t>
      </w:r>
      <w:r>
        <w:rPr>
          <w:i/>
          <w:iCs/>
          <w:sz w:val="20"/>
          <w:szCs w:val="20"/>
        </w:rPr>
        <w:softHyphen/>
        <w:t>vodajství ČTK na pravdě.? Nu, každá sportovní redak</w:t>
      </w:r>
      <w:r>
        <w:rPr>
          <w:i/>
          <w:iCs/>
          <w:sz w:val="20"/>
          <w:szCs w:val="20"/>
        </w:rPr>
        <w:softHyphen/>
        <w:t>ce, ba lze říci, že dnes už takřka žádná, nespokojí se s přenášením břemene sportovního zpravodajství na oficiální ČTK. A čtete-li v čele referátu utkání SK Kladno—SK Slavia »psáno na tribuně S</w:t>
      </w:r>
      <w:r>
        <w:rPr>
          <w:i/>
          <w:iCs/>
          <w:sz w:val="20"/>
          <w:szCs w:val="20"/>
        </w:rPr>
        <w:t>K Kladno?, ne</w:t>
      </w:r>
      <w:r>
        <w:rPr>
          <w:i/>
          <w:iCs/>
          <w:sz w:val="20"/>
          <w:szCs w:val="20"/>
        </w:rPr>
        <w:softHyphen/>
        <w:t>znamená to sice, že by dotyčný publicista na tribuně SK Kladno byl skutečně něco psal, ale zaručuje vám to, že dotyčný publicista v době utkání na tribuně SK Kladno skutečně byl.</w:t>
      </w:r>
    </w:p>
    <w:p w:rsidR="00500724" w:rsidRDefault="00F30FB8">
      <w:pPr>
        <w:pStyle w:val="Zkladntext20"/>
        <w:shd w:val="clear" w:color="auto" w:fill="auto"/>
        <w:spacing w:line="197" w:lineRule="auto"/>
        <w:ind w:firstLine="220"/>
        <w:rPr>
          <w:sz w:val="20"/>
          <w:szCs w:val="20"/>
        </w:rPr>
      </w:pPr>
      <w:r>
        <w:rPr>
          <w:i/>
          <w:iCs/>
          <w:sz w:val="20"/>
          <w:szCs w:val="20"/>
        </w:rPr>
        <w:t>A má-li nyní sportovní redakce, dejme tomu šest spor</w:t>
      </w:r>
      <w:r>
        <w:rPr>
          <w:i/>
          <w:iCs/>
          <w:sz w:val="20"/>
          <w:szCs w:val="20"/>
        </w:rPr>
        <w:softHyphen/>
        <w:t>tovních re</w:t>
      </w:r>
      <w:r>
        <w:rPr>
          <w:i/>
          <w:iCs/>
          <w:sz w:val="20"/>
          <w:szCs w:val="20"/>
        </w:rPr>
        <w:t>ferentů, jest takováto jejich šestinásobná pří</w:t>
      </w:r>
      <w:r>
        <w:rPr>
          <w:i/>
          <w:iCs/>
          <w:sz w:val="20"/>
          <w:szCs w:val="20"/>
        </w:rPr>
        <w:softHyphen/>
        <w:t>tomnost na tribunách zárukou pro náplň celostránkové sportovní rubriky do doby, do které nenastane čas je</w:t>
      </w:r>
      <w:r>
        <w:rPr>
          <w:i/>
          <w:iCs/>
          <w:sz w:val="20"/>
          <w:szCs w:val="20"/>
        </w:rPr>
        <w:softHyphen/>
        <w:t xml:space="preserve">jich nové přítomnosti na nové tribuně. Čímž ovšem nemá být řečeno, že činnost sportovních referentů se </w:t>
      </w:r>
      <w:r>
        <w:rPr>
          <w:i/>
          <w:iCs/>
          <w:sz w:val="20"/>
          <w:szCs w:val="20"/>
        </w:rPr>
        <w:t>tímto zcela vyčerpala. Sportovní referent má ještě tisíc a jednu redakční funkci. A tisíc a jeden komplex. Po výtce, dík předpojatosti veřejnosti — a svých pánů redakčních kolegů — méněcennosti.</w:t>
      </w:r>
    </w:p>
    <w:p w:rsidR="00500724" w:rsidRDefault="00F30FB8">
      <w:pPr>
        <w:pStyle w:val="Zkladntext20"/>
        <w:shd w:val="clear" w:color="auto" w:fill="auto"/>
        <w:spacing w:line="197" w:lineRule="auto"/>
        <w:ind w:firstLine="220"/>
        <w:rPr>
          <w:sz w:val="20"/>
          <w:szCs w:val="20"/>
        </w:rPr>
      </w:pPr>
      <w:r>
        <w:rPr>
          <w:i/>
          <w:iCs/>
          <w:sz w:val="20"/>
          <w:szCs w:val="20"/>
        </w:rPr>
        <w:t>Ale kdyby dnes či zítra dostavila se ke mně dobrá víla s dota</w:t>
      </w:r>
      <w:r>
        <w:rPr>
          <w:i/>
          <w:iCs/>
          <w:sz w:val="20"/>
          <w:szCs w:val="20"/>
        </w:rPr>
        <w:t>zníkem »Čím bys chtěl být? A tempo! Ne</w:t>
      </w:r>
      <w:r>
        <w:rPr>
          <w:i/>
          <w:iCs/>
          <w:sz w:val="20"/>
          <w:szCs w:val="20"/>
        </w:rPr>
        <w:softHyphen/>
        <w:t>zdržuj!?, odpověděl bych bez rozmýšlení: ^Kdybych ne</w:t>
      </w:r>
      <w:r>
        <w:rPr>
          <w:i/>
          <w:iCs/>
          <w:sz w:val="20"/>
          <w:szCs w:val="20"/>
        </w:rPr>
        <w:softHyphen/>
        <w:t>byl tím, čím jsem! — Sportovním redaktorem!?</w:t>
      </w:r>
    </w:p>
    <w:p w:rsidR="00500724" w:rsidRDefault="00F30FB8">
      <w:pPr>
        <w:pStyle w:val="Zkladntext50"/>
        <w:shd w:val="clear" w:color="auto" w:fill="auto"/>
        <w:spacing w:after="0" w:line="240" w:lineRule="auto"/>
        <w:ind w:left="0"/>
        <w:jc w:val="center"/>
      </w:pPr>
      <w:r>
        <w:t xml:space="preserve">A nakonec: o </w:t>
      </w:r>
      <w:r>
        <w:rPr>
          <w:lang w:val="en-US" w:eastAsia="en-US" w:bidi="en-US"/>
        </w:rPr>
        <w:t>fair play</w:t>
      </w:r>
    </w:p>
    <w:p w:rsidR="00500724" w:rsidRDefault="00F30FB8">
      <w:pPr>
        <w:pStyle w:val="Zkladntext20"/>
        <w:shd w:val="clear" w:color="auto" w:fill="auto"/>
        <w:ind w:firstLine="220"/>
        <w:rPr>
          <w:sz w:val="20"/>
          <w:szCs w:val="20"/>
        </w:rPr>
      </w:pPr>
      <w:r>
        <w:rPr>
          <w:i/>
          <w:iCs/>
          <w:sz w:val="20"/>
          <w:szCs w:val="20"/>
        </w:rPr>
        <w:t xml:space="preserve">Na vojně měl jsem rozepsané »O ideálech humanity </w:t>
      </w:r>
      <w:r>
        <w:rPr>
          <w:i/>
          <w:iCs/>
          <w:sz w:val="20"/>
          <w:szCs w:val="20"/>
          <w:lang w:val="en-US" w:eastAsia="en-US" w:bidi="en-US"/>
        </w:rPr>
        <w:t xml:space="preserve">a fair play!? </w:t>
      </w:r>
      <w:r>
        <w:rPr>
          <w:i/>
          <w:iCs/>
          <w:sz w:val="20"/>
          <w:szCs w:val="20"/>
        </w:rPr>
        <w:t xml:space="preserve">Stálo tam, že </w:t>
      </w:r>
      <w:r>
        <w:rPr>
          <w:i/>
          <w:iCs/>
          <w:sz w:val="20"/>
          <w:szCs w:val="20"/>
          <w:lang w:val="en-US" w:eastAsia="en-US" w:bidi="en-US"/>
        </w:rPr>
        <w:t xml:space="preserve">at </w:t>
      </w:r>
      <w:r>
        <w:rPr>
          <w:i/>
          <w:iCs/>
          <w:sz w:val="20"/>
          <w:szCs w:val="20"/>
        </w:rPr>
        <w:t xml:space="preserve">už humanita </w:t>
      </w:r>
      <w:r>
        <w:rPr>
          <w:i/>
          <w:iCs/>
          <w:sz w:val="20"/>
          <w:szCs w:val="20"/>
        </w:rPr>
        <w:t>odpírá zlu či neodpírá zlu, je vždycky nějak humanitní. Rozhodně víc, než jsou lidé. Kteří chtějí soutěžit, svářet se, kteří chtějí vítězit, porážet. Kteří chtějí mít svoji 5. minutu s nezadržitelným proběhnutím, svoji 10. minutu s opa</w:t>
      </w:r>
      <w:r>
        <w:rPr>
          <w:i/>
          <w:iCs/>
          <w:sz w:val="20"/>
          <w:szCs w:val="20"/>
        </w:rPr>
        <w:softHyphen/>
        <w:t>kovaným úspěchem a s</w:t>
      </w:r>
      <w:r>
        <w:rPr>
          <w:i/>
          <w:iCs/>
          <w:sz w:val="20"/>
          <w:szCs w:val="20"/>
        </w:rPr>
        <w:t>voji 45. minutu s nádherným sólem. Což tylo jejich snahy nějak usměrnit, nějak obe</w:t>
      </w:r>
      <w:r>
        <w:rPr>
          <w:i/>
          <w:iCs/>
          <w:sz w:val="20"/>
          <w:szCs w:val="20"/>
        </w:rPr>
        <w:softHyphen/>
        <w:t xml:space="preserve">hnat pevnými zákony a pravidly o </w:t>
      </w:r>
      <w:r>
        <w:rPr>
          <w:i/>
          <w:iCs/>
          <w:sz w:val="20"/>
          <w:szCs w:val="20"/>
          <w:lang w:val="en-US" w:eastAsia="en-US" w:bidi="en-US"/>
        </w:rPr>
        <w:t xml:space="preserve">fair play, </w:t>
      </w:r>
      <w:r>
        <w:rPr>
          <w:i/>
          <w:iCs/>
          <w:sz w:val="20"/>
          <w:szCs w:val="20"/>
        </w:rPr>
        <w:t>vycházeje z poznání, že lidé mají větší odpor ke svobodě konat dobro, než k tomu, dát si naporučit nekonat zlo. Ostatně: chtějí-l</w:t>
      </w:r>
      <w:r>
        <w:rPr>
          <w:i/>
          <w:iCs/>
          <w:sz w:val="20"/>
          <w:szCs w:val="20"/>
        </w:rPr>
        <w:t xml:space="preserve">i už být »tvrdí?. </w:t>
      </w:r>
      <w:r>
        <w:rPr>
          <w:i/>
          <w:iCs/>
          <w:sz w:val="20"/>
          <w:szCs w:val="20"/>
          <w:lang w:val="en-US" w:eastAsia="en-US" w:bidi="en-US"/>
        </w:rPr>
        <w:t xml:space="preserve">Fair play </w:t>
      </w:r>
      <w:r>
        <w:rPr>
          <w:i/>
          <w:iCs/>
          <w:sz w:val="20"/>
          <w:szCs w:val="20"/>
        </w:rPr>
        <w:t xml:space="preserve">bdí nad tím, aby nebyli tvrdí bez míry a aby nebyli tvrdí životu nebezpečně. </w:t>
      </w:r>
      <w:r>
        <w:rPr>
          <w:i/>
          <w:iCs/>
          <w:sz w:val="20"/>
          <w:szCs w:val="20"/>
          <w:lang w:val="en-US" w:eastAsia="en-US" w:bidi="en-US"/>
        </w:rPr>
        <w:t xml:space="preserve">Fair play </w:t>
      </w:r>
      <w:r>
        <w:rPr>
          <w:i/>
          <w:iCs/>
          <w:sz w:val="20"/>
          <w:szCs w:val="20"/>
        </w:rPr>
        <w:t>bdí nad tím, aby byli tvrdí pře</w:t>
      </w:r>
      <w:r>
        <w:rPr>
          <w:i/>
          <w:iCs/>
          <w:sz w:val="20"/>
          <w:szCs w:val="20"/>
        </w:rPr>
        <w:softHyphen/>
        <w:t>devším tam, kde být měkkým bylo by bezohledné a surové.</w:t>
      </w:r>
    </w:p>
    <w:p w:rsidR="00500724" w:rsidRDefault="00F30FB8">
      <w:pPr>
        <w:pStyle w:val="Zkladntext20"/>
        <w:shd w:val="clear" w:color="auto" w:fill="auto"/>
        <w:spacing w:after="120"/>
        <w:ind w:firstLine="220"/>
        <w:rPr>
          <w:sz w:val="20"/>
          <w:szCs w:val="20"/>
        </w:rPr>
      </w:pPr>
      <w:r>
        <w:rPr>
          <w:i/>
          <w:iCs/>
          <w:sz w:val="20"/>
          <w:szCs w:val="20"/>
        </w:rPr>
        <w:t xml:space="preserve">A když už pro nic, alespoň pro toto poslání </w:t>
      </w:r>
      <w:r>
        <w:rPr>
          <w:i/>
          <w:iCs/>
          <w:sz w:val="20"/>
          <w:szCs w:val="20"/>
          <w:lang w:val="en-US" w:eastAsia="en-US" w:bidi="en-US"/>
        </w:rPr>
        <w:t xml:space="preserve">fair play, </w:t>
      </w:r>
      <w:r>
        <w:rPr>
          <w:i/>
          <w:iCs/>
          <w:sz w:val="20"/>
          <w:szCs w:val="20"/>
        </w:rPr>
        <w:t>pro tuto hudbu budoucnosti nezatratíme celostránkové sportovní rubriky.</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dopisy</w:t>
      </w:r>
    </w:p>
    <w:p w:rsidR="00500724" w:rsidRDefault="00F30FB8">
      <w:pPr>
        <w:pStyle w:val="Zkladntext100"/>
        <w:shd w:val="clear" w:color="auto" w:fill="auto"/>
        <w:spacing w:line="262" w:lineRule="auto"/>
        <w:ind w:left="1020" w:right="1320" w:firstLine="300"/>
        <w:jc w:val="left"/>
      </w:pPr>
      <w:r>
        <w:rPr>
          <w:b/>
          <w:bCs/>
        </w:rPr>
        <w:t xml:space="preserve">Slovenky odpovídají Slovence </w:t>
      </w:r>
      <w:r>
        <w:t>Vážený Pan Redaktor,</w:t>
      </w:r>
    </w:p>
    <w:p w:rsidR="00500724" w:rsidRDefault="00F30FB8">
      <w:pPr>
        <w:pStyle w:val="Zkladntext100"/>
        <w:shd w:val="clear" w:color="auto" w:fill="auto"/>
        <w:spacing w:line="173" w:lineRule="auto"/>
        <w:ind w:firstLine="0"/>
      </w:pPr>
      <w:r>
        <w:t>velmi rada čitam Vás tyždenik »Přítomnost« najma články pí. Jesenské. Člověk priamo oživí po každej prenesenej alebo</w:t>
      </w:r>
      <w:r>
        <w:t xml:space="preserve"> na- pisanej vete, ktorá nám připomíná tiež naše práva, nielen povinosti.</w:t>
      </w:r>
    </w:p>
    <w:p w:rsidR="00500724" w:rsidRDefault="00F30FB8">
      <w:pPr>
        <w:pStyle w:val="Zkladntext100"/>
        <w:shd w:val="clear" w:color="auto" w:fill="auto"/>
        <w:spacing w:line="170" w:lineRule="auto"/>
        <w:ind w:firstLine="220"/>
      </w:pPr>
      <w:r>
        <w:t>Přežili sme velmi tažké chvilky a verte prosím, že my Slováci aspoň vátšina z nás přežívali sme to všetko dvojmo. Preto z článku v ktorém dáváte odpoved Slovenke, vysvietá jaký asi ten jej list bol a to, člověka velmi zarazí a zabolí. Boli sme snad za naši</w:t>
      </w:r>
      <w:r>
        <w:t xml:space="preserve">ch čias vychováváni v tak málo láske jeden k druhému, že ešte po přežitých zkušenostiach je medzi námi teto zlej </w:t>
      </w:r>
      <w:r>
        <w:rPr>
          <w:i/>
          <w:iCs/>
        </w:rPr>
        <w:t>vole?</w:t>
      </w:r>
      <w:r>
        <w:t xml:space="preserve"> Ked už nie srdco aspoň rozum by mal zvíťazit, ale věru, kde je len trocha srdca, neni možno teto nenávisti, jako bolo medzi námi.</w:t>
      </w:r>
    </w:p>
    <w:p w:rsidR="00500724" w:rsidRDefault="00F30FB8">
      <w:pPr>
        <w:pStyle w:val="Zkladntext100"/>
        <w:shd w:val="clear" w:color="auto" w:fill="auto"/>
        <w:spacing w:line="173" w:lineRule="auto"/>
        <w:ind w:firstLine="220"/>
      </w:pPr>
      <w:r>
        <w:t xml:space="preserve">Já ale </w:t>
      </w:r>
      <w:r>
        <w:t>mám za svoju milu povinost, podakovat všetkým dobrým řudom ktorý k nám Slovákom, presto všetko su ohladuplni, ba prejavuju ešte zájem a porozumenie pře naše starosti.</w:t>
      </w:r>
    </w:p>
    <w:p w:rsidR="00500724" w:rsidRDefault="00F30FB8">
      <w:pPr>
        <w:pStyle w:val="Zkladntext100"/>
        <w:shd w:val="clear" w:color="auto" w:fill="auto"/>
        <w:spacing w:line="173" w:lineRule="auto"/>
        <w:ind w:firstLine="220"/>
      </w:pPr>
      <w:r>
        <w:t>A tak my Slovenky, ktoré vychováváme svoje děti v láske ktorá nezná rozdielu medzi Čechom</w:t>
      </w:r>
      <w:r>
        <w:t xml:space="preserve"> a Slovákom, máme len tu vrúcnú prosbu aby ich buduce spolužitia bolo štastnejšie a bolo ušetrene tak tažkých zkúšek, jaké my přežíváme.</w:t>
      </w:r>
    </w:p>
    <w:p w:rsidR="00500724" w:rsidRDefault="00F30FB8">
      <w:pPr>
        <w:pStyle w:val="Zkladntext100"/>
        <w:shd w:val="clear" w:color="auto" w:fill="auto"/>
        <w:tabs>
          <w:tab w:val="left" w:pos="4625"/>
        </w:tabs>
        <w:spacing w:line="173" w:lineRule="auto"/>
        <w:ind w:left="1600" w:firstLine="20"/>
        <w:sectPr w:rsidR="00500724">
          <w:footnotePr>
            <w:numFmt w:val="chicago"/>
            <w:numRestart w:val="eachPage"/>
          </w:footnotePr>
          <w:type w:val="continuous"/>
          <w:pgSz w:w="11909" w:h="16834"/>
          <w:pgMar w:top="759" w:right="886" w:bottom="1134" w:left="564" w:header="0" w:footer="3" w:gutter="0"/>
          <w:cols w:num="2" w:space="182"/>
          <w:noEndnote/>
          <w:docGrid w:linePitch="360"/>
        </w:sectPr>
      </w:pPr>
      <w:r>
        <w:t>Poručám sa Vám</w:t>
      </w:r>
      <w:r>
        <w:tab/>
        <w:t>N. P.</w:t>
      </w:r>
    </w:p>
    <w:p w:rsidR="00500724" w:rsidRDefault="00F30FB8">
      <w:pPr>
        <w:pStyle w:val="Nadpis50"/>
        <w:keepNext/>
        <w:keepLines/>
        <w:framePr w:w="7032" w:h="1704" w:wrap="none" w:vAnchor="text" w:hAnchor="page" w:x="3771" w:y="337"/>
        <w:shd w:val="clear" w:color="auto" w:fill="auto"/>
      </w:pPr>
      <w:bookmarkStart w:id="513" w:name="bookmark512"/>
      <w:r>
        <w:t>vět knih</w:t>
      </w:r>
      <w:bookmarkEnd w:id="513"/>
    </w:p>
    <w:p w:rsidR="00500724" w:rsidRDefault="00F30FB8">
      <w:pPr>
        <w:pStyle w:val="Nadpis90"/>
        <w:keepNext/>
        <w:keepLines/>
        <w:framePr w:w="7277" w:h="523" w:wrap="none" w:vAnchor="text" w:hAnchor="page" w:x="3555" w:y="2041"/>
        <w:shd w:val="clear" w:color="auto" w:fill="auto"/>
        <w:spacing w:after="0"/>
        <w:rPr>
          <w:sz w:val="42"/>
          <w:szCs w:val="42"/>
        </w:rPr>
      </w:pPr>
      <w:bookmarkStart w:id="514" w:name="bookmark513"/>
      <w:r>
        <w:rPr>
          <w:b/>
          <w:bCs/>
          <w:sz w:val="34"/>
          <w:szCs w:val="34"/>
        </w:rPr>
        <w:t xml:space="preserve">KULTURNÍ </w:t>
      </w:r>
      <w:r>
        <w:rPr>
          <w:smallCaps/>
          <w:sz w:val="42"/>
          <w:szCs w:val="42"/>
        </w:rPr>
        <w:t>zpravodaj</w:t>
      </w:r>
      <w:bookmarkEnd w:id="514"/>
    </w:p>
    <w:p w:rsidR="00500724" w:rsidRDefault="00F30FB8">
      <w:pPr>
        <w:pStyle w:val="Jin0"/>
        <w:framePr w:w="403" w:h="1248" w:wrap="none" w:vAnchor="text" w:hAnchor="page" w:x="11111" w:y="21"/>
        <w:shd w:val="clear" w:color="auto" w:fill="auto"/>
        <w:ind w:firstLine="0"/>
        <w:jc w:val="left"/>
        <w:rPr>
          <w:sz w:val="26"/>
          <w:szCs w:val="26"/>
        </w:rPr>
      </w:pPr>
      <w:r>
        <w:rPr>
          <w:rFonts w:ascii="Arial" w:eastAsia="Arial" w:hAnsi="Arial" w:cs="Arial"/>
          <w:b/>
          <w:bCs/>
          <w:sz w:val="26"/>
          <w:szCs w:val="26"/>
        </w:rPr>
        <w:t>30</w:t>
      </w:r>
    </w:p>
    <w:p w:rsidR="00500724" w:rsidRDefault="00F30FB8">
      <w:pPr>
        <w:pStyle w:val="Jin0"/>
        <w:framePr w:w="403" w:h="1248" w:wrap="none" w:vAnchor="text" w:hAnchor="page" w:x="11111" w:y="21"/>
        <w:shd w:val="clear" w:color="auto" w:fill="auto"/>
        <w:spacing w:line="180" w:lineRule="auto"/>
        <w:ind w:firstLine="0"/>
        <w:jc w:val="left"/>
        <w:rPr>
          <w:sz w:val="26"/>
          <w:szCs w:val="26"/>
        </w:rPr>
      </w:pPr>
      <w:r>
        <w:rPr>
          <w:rFonts w:ascii="Arial" w:eastAsia="Arial" w:hAnsi="Arial" w:cs="Arial"/>
          <w:b/>
          <w:bCs/>
          <w:sz w:val="26"/>
          <w:szCs w:val="26"/>
        </w:rPr>
        <w:t>O</w:t>
      </w:r>
    </w:p>
    <w:p w:rsidR="00500724" w:rsidRDefault="00F30FB8">
      <w:pPr>
        <w:pStyle w:val="Jin0"/>
        <w:framePr w:w="403" w:h="1248" w:wrap="none" w:vAnchor="text" w:hAnchor="page" w:x="11111" w:y="21"/>
        <w:shd w:val="clear" w:color="auto" w:fill="auto"/>
        <w:spacing w:line="180" w:lineRule="auto"/>
        <w:ind w:firstLine="0"/>
        <w:jc w:val="left"/>
        <w:rPr>
          <w:sz w:val="26"/>
          <w:szCs w:val="26"/>
        </w:rPr>
      </w:pPr>
      <w:r>
        <w:rPr>
          <w:rFonts w:ascii="Arial" w:eastAsia="Arial" w:hAnsi="Arial" w:cs="Arial"/>
          <w:b/>
          <w:bCs/>
          <w:sz w:val="26"/>
          <w:szCs w:val="26"/>
        </w:rPr>
        <w:t>O</w:t>
      </w:r>
    </w:p>
    <w:p w:rsidR="00500724" w:rsidRDefault="00F30FB8">
      <w:pPr>
        <w:pStyle w:val="Zkladntext40"/>
        <w:framePr w:w="403" w:h="1248" w:wrap="none" w:vAnchor="text" w:hAnchor="page" w:x="11111" w:y="21"/>
        <w:shd w:val="clear" w:color="auto" w:fill="auto"/>
        <w:spacing w:after="0" w:line="180" w:lineRule="auto"/>
        <w:jc w:val="left"/>
        <w:rPr>
          <w:sz w:val="16"/>
          <w:szCs w:val="16"/>
        </w:rPr>
      </w:pPr>
      <w:r>
        <w:rPr>
          <w:b/>
          <w:bCs/>
          <w:sz w:val="16"/>
          <w:szCs w:val="16"/>
        </w:rPr>
        <w:t>•</w:t>
      </w:r>
    </w:p>
    <w:p w:rsidR="00500724" w:rsidRDefault="00F30FB8">
      <w:pPr>
        <w:pStyle w:val="Jin0"/>
        <w:framePr w:w="403" w:h="1248" w:wrap="none" w:vAnchor="text" w:hAnchor="page" w:x="11111" w:y="21"/>
        <w:shd w:val="clear" w:color="auto" w:fill="auto"/>
        <w:spacing w:after="40" w:line="180" w:lineRule="auto"/>
        <w:ind w:firstLine="0"/>
        <w:jc w:val="left"/>
        <w:rPr>
          <w:sz w:val="26"/>
          <w:szCs w:val="26"/>
        </w:rPr>
      </w:pPr>
      <w:r>
        <w:rPr>
          <w:rFonts w:ascii="Arial" w:eastAsia="Arial" w:hAnsi="Arial" w:cs="Arial"/>
          <w:b/>
          <w:bCs/>
          <w:sz w:val="26"/>
          <w:szCs w:val="26"/>
        </w:rPr>
        <w:t>&gt;©</w:t>
      </w:r>
    </w:p>
    <w:p w:rsidR="00500724" w:rsidRDefault="00F30FB8">
      <w:pPr>
        <w:pStyle w:val="Jin0"/>
        <w:framePr w:w="403" w:h="1248" w:wrap="none" w:vAnchor="text" w:hAnchor="page" w:x="11111" w:y="21"/>
        <w:shd w:val="clear" w:color="auto" w:fill="auto"/>
        <w:ind w:firstLine="0"/>
        <w:jc w:val="left"/>
        <w:rPr>
          <w:sz w:val="26"/>
          <w:szCs w:val="26"/>
        </w:rPr>
      </w:pPr>
      <w:r>
        <w:rPr>
          <w:rFonts w:ascii="Arial" w:eastAsia="Arial" w:hAnsi="Arial" w:cs="Arial"/>
          <w:b/>
          <w:bCs/>
          <w:sz w:val="26"/>
          <w:szCs w:val="26"/>
        </w:rPr>
        <w:t>o«</w:t>
      </w:r>
    </w:p>
    <w:p w:rsidR="00500724" w:rsidRDefault="00500724">
      <w:pPr>
        <w:spacing w:after="92" w:line="14" w:lineRule="exact"/>
      </w:pPr>
    </w:p>
    <w:p w:rsidR="00500724" w:rsidRDefault="00500724">
      <w:pPr>
        <w:spacing w:line="14" w:lineRule="exact"/>
        <w:sectPr w:rsidR="00500724">
          <w:footnotePr>
            <w:numFmt w:val="chicago"/>
            <w:numRestart w:val="eachPage"/>
          </w:footnotePr>
          <w:pgSz w:w="11909" w:h="16834"/>
          <w:pgMar w:top="3187" w:right="397" w:bottom="860" w:left="934"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892" behindDoc="0" locked="0" layoutInCell="1" allowOverlap="1">
                <wp:simplePos x="0" y="0"/>
                <wp:positionH relativeFrom="page">
                  <wp:posOffset>2324100</wp:posOffset>
                </wp:positionH>
                <wp:positionV relativeFrom="paragraph">
                  <wp:posOffset>12700</wp:posOffset>
                </wp:positionV>
                <wp:extent cx="3230880" cy="1009015"/>
                <wp:effectExtent l="0" t="0" r="0" b="0"/>
                <wp:wrapSquare wrapText="right"/>
                <wp:docPr id="515" name="Shape 515"/>
                <wp:cNvGraphicFramePr/>
                <a:graphic xmlns:a="http://schemas.openxmlformats.org/drawingml/2006/main">
                  <a:graphicData uri="http://schemas.microsoft.com/office/word/2010/wordprocessingShape">
                    <wps:wsp>
                      <wps:cNvSpPr txBox="1"/>
                      <wps:spPr>
                        <a:xfrm>
                          <a:off x="0" y="0"/>
                          <a:ext cx="3230880" cy="1009015"/>
                        </a:xfrm>
                        <a:prstGeom prst="rect">
                          <a:avLst/>
                        </a:prstGeom>
                        <a:noFill/>
                      </wps:spPr>
                      <wps:txbx>
                        <w:txbxContent>
                          <w:p w:rsidR="00500724" w:rsidRDefault="00F30FB8">
                            <w:pPr>
                              <w:pStyle w:val="Jin0"/>
                              <w:shd w:val="clear" w:color="auto" w:fill="auto"/>
                              <w:spacing w:after="40"/>
                              <w:ind w:right="140" w:firstLine="0"/>
                              <w:jc w:val="center"/>
                              <w:rPr>
                                <w:sz w:val="26"/>
                                <w:szCs w:val="26"/>
                              </w:rPr>
                            </w:pPr>
                            <w:r>
                              <w:rPr>
                                <w:b/>
                                <w:bCs/>
                                <w:sz w:val="26"/>
                                <w:szCs w:val="26"/>
                              </w:rPr>
                              <w:t>Autobiografické romány</w:t>
                            </w:r>
                          </w:p>
                          <w:p w:rsidR="00500724" w:rsidRDefault="00F30FB8">
                            <w:pPr>
                              <w:pStyle w:val="Zkladntext100"/>
                              <w:shd w:val="clear" w:color="auto" w:fill="auto"/>
                              <w:spacing w:after="40" w:line="209" w:lineRule="auto"/>
                              <w:ind w:firstLine="200"/>
                              <w:rPr>
                                <w:sz w:val="19"/>
                                <w:szCs w:val="19"/>
                              </w:rPr>
                            </w:pPr>
                            <w:r>
                              <w:rPr>
                                <w:b/>
                                <w:bCs/>
                                <w:sz w:val="19"/>
                                <w:szCs w:val="19"/>
                              </w:rPr>
                              <w:t>Autor, který je zajímavý člověk, nemůže udělat nic lep</w:t>
                            </w:r>
                            <w:r>
                              <w:rPr>
                                <w:b/>
                                <w:bCs/>
                                <w:sz w:val="19"/>
                                <w:szCs w:val="19"/>
                              </w:rPr>
                              <w:softHyphen/>
                              <w:t xml:space="preserve">šího, než vkládat do svých románů sebe. Co jiného hledáme v románech Rousseauových, Stendhalových, ba i Tolstého než autora? Po každé, když se nám </w:t>
                            </w:r>
                            <w:r>
                              <w:rPr>
                                <w:b/>
                                <w:bCs/>
                                <w:sz w:val="19"/>
                                <w:szCs w:val="19"/>
                              </w:rPr>
                              <w:t>v nich autor ztrácí, hrozí veliké nebezpečí, že nás začnou nudit.</w:t>
                            </w:r>
                          </w:p>
                          <w:p w:rsidR="00500724" w:rsidRDefault="00F30FB8">
                            <w:pPr>
                              <w:pStyle w:val="Zkladntext20"/>
                              <w:shd w:val="clear" w:color="auto" w:fill="auto"/>
                              <w:spacing w:after="40"/>
                              <w:ind w:firstLine="0"/>
                              <w:jc w:val="right"/>
                              <w:rPr>
                                <w:sz w:val="20"/>
                                <w:szCs w:val="20"/>
                              </w:rPr>
                            </w:pPr>
                            <w:r>
                              <w:rPr>
                                <w:i/>
                                <w:iCs/>
                                <w:sz w:val="20"/>
                                <w:szCs w:val="20"/>
                              </w:rPr>
                              <w:t xml:space="preserve">H. de </w:t>
                            </w:r>
                            <w:r>
                              <w:rPr>
                                <w:i/>
                                <w:iCs/>
                                <w:sz w:val="20"/>
                                <w:szCs w:val="20"/>
                                <w:lang w:val="en-US" w:eastAsia="en-US" w:bidi="en-US"/>
                              </w:rPr>
                              <w:t>Montherlant</w:t>
                            </w:r>
                          </w:p>
                        </w:txbxContent>
                      </wps:txbx>
                      <wps:bodyPr lIns="0" tIns="0" rIns="0" bIns="0">
                        <a:spAutoFit/>
                      </wps:bodyPr>
                    </wps:wsp>
                  </a:graphicData>
                </a:graphic>
              </wp:anchor>
            </w:drawing>
          </mc:Choice>
          <mc:Fallback>
            <w:pict>
              <v:shape id="_x0000_s1541" type="#_x0000_t202" style="position:absolute;margin-left:183.pt;margin-top:1.pt;width:254.40000000000001pt;height:79.450000000000003pt;z-index:-125828861;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140" w:firstLine="0"/>
                        <w:jc w:val="center"/>
                        <w:rPr>
                          <w:sz w:val="26"/>
                          <w:szCs w:val="26"/>
                        </w:rPr>
                      </w:pPr>
                      <w:r>
                        <w:rPr>
                          <w:b/>
                          <w:bCs/>
                          <w:color w:val="000000"/>
                          <w:spacing w:val="0"/>
                          <w:w w:val="100"/>
                          <w:position w:val="0"/>
                          <w:sz w:val="26"/>
                          <w:szCs w:val="26"/>
                          <w:shd w:val="clear" w:color="auto" w:fill="auto"/>
                          <w:lang w:val="cs-CZ" w:eastAsia="cs-CZ" w:bidi="cs-CZ"/>
                        </w:rPr>
                        <w:t>Autobiografické romány</w:t>
                      </w:r>
                    </w:p>
                    <w:p>
                      <w:pPr>
                        <w:pStyle w:val="Style344"/>
                        <w:keepNext w:val="0"/>
                        <w:keepLines w:val="0"/>
                        <w:widowControl w:val="0"/>
                        <w:shd w:val="clear" w:color="auto" w:fill="auto"/>
                        <w:bidi w:val="0"/>
                        <w:spacing w:before="0" w:after="40" w:line="209" w:lineRule="auto"/>
                        <w:ind w:left="0" w:right="0" w:firstLine="200"/>
                        <w:rPr>
                          <w:sz w:val="19"/>
                          <w:szCs w:val="19"/>
                        </w:rPr>
                      </w:pPr>
                      <w:r>
                        <w:rPr>
                          <w:b/>
                          <w:bCs/>
                          <w:color w:val="000000"/>
                          <w:spacing w:val="0"/>
                          <w:w w:val="100"/>
                          <w:position w:val="0"/>
                          <w:sz w:val="19"/>
                          <w:szCs w:val="19"/>
                          <w:shd w:val="clear" w:color="auto" w:fill="auto"/>
                          <w:lang w:val="cs-CZ" w:eastAsia="cs-CZ" w:bidi="cs-CZ"/>
                        </w:rPr>
                        <w:t>Autor, který je zajímavý člověk, nemůže udělat nic lep</w:t>
                        <w:softHyphen/>
                        <w:t>šího, než vkládat do svých románů sebe. Co jiného hledáme v románech Rousseauových, Stendhalových, ba i Tolstého než autora? Po každé, když se nám v nich autor ztrácí, hrozí veliké nebezpečí, že nás začnou nudit.</w:t>
                      </w:r>
                    </w:p>
                    <w:p>
                      <w:pPr>
                        <w:pStyle w:val="Style67"/>
                        <w:keepNext w:val="0"/>
                        <w:keepLines w:val="0"/>
                        <w:widowControl w:val="0"/>
                        <w:shd w:val="clear" w:color="auto" w:fill="auto"/>
                        <w:bidi w:val="0"/>
                        <w:spacing w:before="0" w:after="40"/>
                        <w:ind w:left="0" w:right="0" w:firstLine="0"/>
                        <w:jc w:val="right"/>
                        <w:rPr>
                          <w:sz w:val="20"/>
                          <w:szCs w:val="20"/>
                        </w:rPr>
                      </w:pPr>
                      <w:r>
                        <w:rPr>
                          <w:i/>
                          <w:iCs/>
                          <w:color w:val="000000"/>
                          <w:spacing w:val="0"/>
                          <w:w w:val="100"/>
                          <w:position w:val="0"/>
                          <w:sz w:val="20"/>
                          <w:szCs w:val="20"/>
                          <w:shd w:val="clear" w:color="auto" w:fill="auto"/>
                          <w:lang w:val="cs-CZ" w:eastAsia="cs-CZ" w:bidi="cs-CZ"/>
                        </w:rPr>
                        <w:t xml:space="preserve">H. de </w:t>
                      </w:r>
                      <w:r>
                        <w:rPr>
                          <w:i/>
                          <w:iCs/>
                          <w:color w:val="000000"/>
                          <w:spacing w:val="0"/>
                          <w:w w:val="100"/>
                          <w:position w:val="0"/>
                          <w:sz w:val="20"/>
                          <w:szCs w:val="20"/>
                          <w:shd w:val="clear" w:color="auto" w:fill="auto"/>
                          <w:lang w:val="en-US" w:eastAsia="en-US" w:bidi="en-US"/>
                        </w:rPr>
                        <w:t>Montherlant</w:t>
                      </w:r>
                    </w:p>
                  </w:txbxContent>
                </v:textbox>
                <w10:wrap type="square" side="right" anchorx="page"/>
              </v:shape>
            </w:pict>
          </mc:Fallback>
        </mc:AlternateContent>
      </w:r>
    </w:p>
    <w:p w:rsidR="00500724" w:rsidRDefault="00F30FB8">
      <w:pPr>
        <w:pStyle w:val="Zkladntext20"/>
        <w:shd w:val="clear" w:color="auto" w:fill="auto"/>
        <w:spacing w:line="283" w:lineRule="auto"/>
        <w:ind w:left="1580" w:hanging="1580"/>
        <w:jc w:val="left"/>
        <w:rPr>
          <w:sz w:val="20"/>
          <w:szCs w:val="20"/>
        </w:rPr>
      </w:pPr>
      <w:r>
        <w:rPr>
          <w:i/>
          <w:iCs/>
          <w:sz w:val="20"/>
          <w:szCs w:val="20"/>
        </w:rPr>
        <w:t>Jaroslav Seifert:</w:t>
      </w:r>
    </w:p>
    <w:p w:rsidR="00500724" w:rsidRDefault="00F30FB8">
      <w:pPr>
        <w:pStyle w:val="Zkladntext20"/>
        <w:shd w:val="clear" w:color="auto" w:fill="auto"/>
        <w:spacing w:line="283" w:lineRule="auto"/>
        <w:ind w:left="1580" w:hanging="1580"/>
        <w:jc w:val="left"/>
        <w:rPr>
          <w:sz w:val="24"/>
          <w:szCs w:val="24"/>
        </w:rPr>
      </w:pPr>
      <w:r>
        <w:rPr>
          <w:b/>
          <w:bCs/>
          <w:sz w:val="24"/>
          <w:szCs w:val="24"/>
        </w:rPr>
        <w:t>KVĚTEN</w:t>
      </w:r>
    </w:p>
    <w:p w:rsidR="00500724" w:rsidRDefault="00F30FB8">
      <w:pPr>
        <w:pStyle w:val="Zkladntext20"/>
        <w:shd w:val="clear" w:color="auto" w:fill="auto"/>
        <w:spacing w:after="160"/>
        <w:ind w:firstLine="0"/>
        <w:jc w:val="left"/>
        <w:rPr>
          <w:sz w:val="20"/>
          <w:szCs w:val="20"/>
        </w:rPr>
      </w:pPr>
      <w:r>
        <w:rPr>
          <w:b/>
          <w:bCs/>
          <w:sz w:val="19"/>
          <w:szCs w:val="19"/>
        </w:rPr>
        <w:t xml:space="preserve">&lt;3 </w:t>
      </w:r>
      <w:r>
        <w:rPr>
          <w:i/>
          <w:iCs/>
          <w:sz w:val="20"/>
          <w:szCs w:val="20"/>
        </w:rPr>
        <w:t>stromy v rozechvěném háji, už do vás nožem vyrývají srdíčka, data, monogramy chlapci se svými milenkami.</w:t>
      </w:r>
    </w:p>
    <w:p w:rsidR="00500724" w:rsidRDefault="00F30FB8">
      <w:pPr>
        <w:pStyle w:val="Zkladntext20"/>
        <w:shd w:val="clear" w:color="auto" w:fill="auto"/>
        <w:spacing w:after="160" w:line="202" w:lineRule="auto"/>
        <w:ind w:firstLine="0"/>
        <w:rPr>
          <w:sz w:val="20"/>
          <w:szCs w:val="20"/>
        </w:rPr>
      </w:pPr>
      <w:r>
        <w:rPr>
          <w:i/>
          <w:iCs/>
          <w:sz w:val="20"/>
          <w:szCs w:val="20"/>
        </w:rPr>
        <w:t xml:space="preserve">Zelenou krvi opláčete tu ránu v koře. </w:t>
      </w:r>
      <w:r>
        <w:rPr>
          <w:i/>
          <w:iCs/>
          <w:sz w:val="20"/>
          <w:szCs w:val="20"/>
        </w:rPr>
        <w:t>Všechno kvete i láska, jak se v písni zpívá. Ach lásko, lásko proměnlivá, jak býváš někdy přeukrutná.</w:t>
      </w:r>
    </w:p>
    <w:p w:rsidR="00500724" w:rsidRDefault="00F30FB8">
      <w:pPr>
        <w:pStyle w:val="Zkladntext20"/>
        <w:shd w:val="clear" w:color="auto" w:fill="auto"/>
        <w:spacing w:after="160" w:line="175" w:lineRule="auto"/>
        <w:ind w:left="1580" w:hanging="1580"/>
        <w:jc w:val="left"/>
        <w:rPr>
          <w:sz w:val="20"/>
          <w:szCs w:val="20"/>
        </w:rPr>
      </w:pPr>
      <w:r>
        <w:rPr>
          <w:i/>
          <w:iCs/>
          <w:sz w:val="20"/>
          <w:szCs w:val="20"/>
        </w:rPr>
        <w:t>Já vím, mé stromy, pomsta chutná!</w:t>
      </w:r>
    </w:p>
    <w:p w:rsidR="00500724" w:rsidRDefault="00F30FB8">
      <w:pPr>
        <w:pStyle w:val="Zkladntext40"/>
        <w:shd w:val="clear" w:color="auto" w:fill="auto"/>
        <w:spacing w:after="220" w:line="202" w:lineRule="auto"/>
        <w:ind w:firstLine="360"/>
      </w:pPr>
      <w:r>
        <w:t>Ze sbírky »Zbasněte světla«, Jež právě vychází ve 3. vydáni jako 33. sv. Českých básní.</w:t>
      </w:r>
    </w:p>
    <w:p w:rsidR="00500724" w:rsidRDefault="00F30FB8">
      <w:pPr>
        <w:pStyle w:val="Nadpis120"/>
        <w:pBdr>
          <w:top w:val="single" w:sz="4" w:space="0" w:color="auto"/>
        </w:pBdr>
        <w:shd w:val="clear" w:color="auto" w:fill="auto"/>
        <w:spacing w:after="60"/>
        <w:ind w:left="1580" w:hanging="1580"/>
      </w:pPr>
      <w:bookmarkStart w:id="515" w:name="bookmark514"/>
      <w:r>
        <w:rPr>
          <w:rFonts w:ascii="Arial" w:eastAsia="Arial" w:hAnsi="Arial" w:cs="Arial"/>
        </w:rPr>
        <w:t>FEUILLETON</w:t>
      </w:r>
      <w:bookmarkEnd w:id="515"/>
    </w:p>
    <w:p w:rsidR="00500724" w:rsidRDefault="00F30FB8">
      <w:pPr>
        <w:pStyle w:val="Zkladntext40"/>
        <w:shd w:val="clear" w:color="auto" w:fill="auto"/>
        <w:spacing w:after="40" w:line="163" w:lineRule="auto"/>
        <w:ind w:left="1580" w:hanging="1580"/>
        <w:jc w:val="left"/>
        <w:rPr>
          <w:sz w:val="16"/>
          <w:szCs w:val="16"/>
        </w:rPr>
      </w:pPr>
      <w:r>
        <w:rPr>
          <w:b/>
          <w:bCs/>
          <w:sz w:val="16"/>
          <w:szCs w:val="16"/>
        </w:rPr>
        <w:t>Frank Thiess:</w:t>
      </w:r>
    </w:p>
    <w:p w:rsidR="00500724" w:rsidRDefault="00F30FB8">
      <w:pPr>
        <w:pStyle w:val="Zkladntext40"/>
        <w:shd w:val="clear" w:color="auto" w:fill="auto"/>
        <w:spacing w:line="163" w:lineRule="auto"/>
        <w:ind w:left="1580" w:hanging="1580"/>
        <w:jc w:val="left"/>
        <w:rPr>
          <w:sz w:val="16"/>
          <w:szCs w:val="16"/>
        </w:rPr>
      </w:pPr>
      <w:r>
        <w:rPr>
          <w:b/>
          <w:bCs/>
          <w:sz w:val="16"/>
          <w:szCs w:val="16"/>
          <w:lang w:val="en-US" w:eastAsia="en-US" w:bidi="en-US"/>
        </w:rPr>
        <w:t>MAKAROV</w:t>
      </w:r>
    </w:p>
    <w:p w:rsidR="00500724" w:rsidRDefault="00F30FB8">
      <w:pPr>
        <w:pStyle w:val="Zkladntext40"/>
        <w:shd w:val="clear" w:color="auto" w:fill="auto"/>
        <w:spacing w:after="0" w:line="163" w:lineRule="auto"/>
        <w:ind w:firstLine="180"/>
        <w:rPr>
          <w:sz w:val="16"/>
          <w:szCs w:val="16"/>
        </w:rPr>
      </w:pPr>
      <w:r>
        <w:rPr>
          <w:b/>
          <w:bCs/>
          <w:sz w:val="16"/>
          <w:szCs w:val="16"/>
        </w:rPr>
        <w:t>Úryvek z románového díla Tragedie n Cušimy, které vychází v sešitech u Fr. Borové</w:t>
      </w:r>
      <w:r>
        <w:rPr>
          <w:b/>
          <w:bCs/>
          <w:sz w:val="16"/>
          <w:szCs w:val="16"/>
        </w:rPr>
        <w:softHyphen/>
        <w:t>ho a v němž německý spisovatel Frank Thiess nejen dramaticky vylíčil historii rusko - japonské války z r. 1904—05, nýbrž osvětlil i její příčiny a důsledky. Je to velká epop</w:t>
      </w:r>
      <w:r>
        <w:rPr>
          <w:b/>
          <w:bCs/>
          <w:sz w:val="16"/>
          <w:szCs w:val="16"/>
        </w:rPr>
        <w:t>ej, která nás pronikavě obeznamuje s poměry na Dálném východě na počátku století a od</w:t>
      </w:r>
      <w:r>
        <w:rPr>
          <w:b/>
          <w:bCs/>
          <w:sz w:val="16"/>
          <w:szCs w:val="16"/>
        </w:rPr>
        <w:softHyphen/>
        <w:t>haluje roušku světového politic</w:t>
      </w:r>
      <w:r>
        <w:rPr>
          <w:b/>
          <w:bCs/>
          <w:sz w:val="16"/>
          <w:szCs w:val="16"/>
        </w:rPr>
        <w:softHyphen/>
        <w:t>kého dění i zápolení o moc, z kterého na počátku století výše vítězné až dosud neznámý ostrov</w:t>
      </w:r>
      <w:r>
        <w:rPr>
          <w:b/>
          <w:bCs/>
          <w:sz w:val="16"/>
          <w:szCs w:val="16"/>
        </w:rPr>
        <w:softHyphen/>
        <w:t>ní národ Japonci a nikoli velké, avšak prohn</w:t>
      </w:r>
      <w:r>
        <w:rPr>
          <w:b/>
          <w:bCs/>
          <w:sz w:val="16"/>
          <w:szCs w:val="16"/>
        </w:rPr>
        <w:t xml:space="preserve">ilé </w:t>
      </w:r>
      <w:r>
        <w:rPr>
          <w:b/>
          <w:bCs/>
          <w:sz w:val="16"/>
          <w:szCs w:val="16"/>
          <w:lang w:val="en-US" w:eastAsia="en-US" w:bidi="en-US"/>
        </w:rPr>
        <w:t xml:space="preserve">Busko, </w:t>
      </w:r>
      <w:r>
        <w:rPr>
          <w:b/>
          <w:bCs/>
          <w:sz w:val="16"/>
          <w:szCs w:val="16"/>
        </w:rPr>
        <w:t>stojící na pokraji revoluce. Dnes, kdy se Dálný východ opět stává důleži</w:t>
      </w:r>
      <w:r>
        <w:rPr>
          <w:b/>
          <w:bCs/>
          <w:sz w:val="16"/>
          <w:szCs w:val="16"/>
        </w:rPr>
        <w:softHyphen/>
        <w:t>tým ohniskem světové politiky, je četba Thiessovy Tragedie u Cušimy zvlášť poučná a za</w:t>
      </w:r>
      <w:r>
        <w:rPr>
          <w:b/>
          <w:bCs/>
          <w:sz w:val="16"/>
          <w:szCs w:val="16"/>
        </w:rPr>
        <w:softHyphen/>
        <w:t>jímavá.</w:t>
      </w:r>
    </w:p>
    <w:p w:rsidR="00500724" w:rsidRDefault="00F30FB8">
      <w:pPr>
        <w:pStyle w:val="Zkladntext40"/>
        <w:shd w:val="clear" w:color="auto" w:fill="auto"/>
        <w:spacing w:after="0" w:line="163" w:lineRule="auto"/>
        <w:ind w:firstLine="180"/>
        <w:rPr>
          <w:sz w:val="16"/>
          <w:szCs w:val="16"/>
        </w:rPr>
      </w:pPr>
      <w:r>
        <w:rPr>
          <w:b/>
          <w:bCs/>
          <w:sz w:val="16"/>
          <w:szCs w:val="16"/>
        </w:rPr>
        <w:t xml:space="preserve">Krátká episoda, která se upíná ke jménu ruského viceadmirála </w:t>
      </w:r>
      <w:r>
        <w:rPr>
          <w:b/>
          <w:bCs/>
          <w:sz w:val="16"/>
          <w:szCs w:val="16"/>
          <w:lang w:val="en-US" w:eastAsia="en-US" w:bidi="en-US"/>
        </w:rPr>
        <w:t xml:space="preserve">Makarova, </w:t>
      </w:r>
      <w:r>
        <w:rPr>
          <w:b/>
          <w:bCs/>
          <w:sz w:val="16"/>
          <w:szCs w:val="16"/>
        </w:rPr>
        <w:t xml:space="preserve">který </w:t>
      </w:r>
      <w:r>
        <w:rPr>
          <w:b/>
          <w:bCs/>
          <w:sz w:val="16"/>
          <w:szCs w:val="16"/>
        </w:rPr>
        <w:t>byl v únoru 1904 jmenován velitelem námoř</w:t>
      </w:r>
      <w:r>
        <w:rPr>
          <w:b/>
          <w:bCs/>
          <w:sz w:val="16"/>
          <w:szCs w:val="16"/>
        </w:rPr>
        <w:softHyphen/>
        <w:t>ních branných sil ve Východní Asii, dává rusko-japonské válce jinou, novou tvářnost. Jeho vy</w:t>
      </w:r>
      <w:r>
        <w:rPr>
          <w:b/>
          <w:bCs/>
          <w:sz w:val="16"/>
          <w:szCs w:val="16"/>
        </w:rPr>
        <w:softHyphen/>
        <w:t>stoupení ukazuje, co zmůže silná osobnost, a zároveň, že i jednotli</w:t>
      </w:r>
      <w:r>
        <w:rPr>
          <w:b/>
          <w:bCs/>
          <w:sz w:val="16"/>
          <w:szCs w:val="16"/>
        </w:rPr>
        <w:softHyphen/>
        <w:t xml:space="preserve">vec je podřízen nezměnitelnému osudu svého národa. </w:t>
      </w:r>
      <w:r>
        <w:rPr>
          <w:sz w:val="18"/>
          <w:szCs w:val="18"/>
        </w:rPr>
        <w:t xml:space="preserve">I </w:t>
      </w:r>
      <w:r>
        <w:rPr>
          <w:b/>
          <w:bCs/>
          <w:sz w:val="16"/>
          <w:szCs w:val="16"/>
        </w:rPr>
        <w:t>v jeho pří</w:t>
      </w:r>
      <w:r>
        <w:rPr>
          <w:b/>
          <w:bCs/>
          <w:sz w:val="16"/>
          <w:szCs w:val="16"/>
        </w:rPr>
        <w:softHyphen/>
        <w:t>padě je jako v celé té válce mož</w:t>
      </w:r>
      <w:r>
        <w:rPr>
          <w:b/>
          <w:bCs/>
          <w:sz w:val="16"/>
          <w:szCs w:val="16"/>
        </w:rPr>
        <w:softHyphen/>
        <w:t>no najít náhodné příhody, šťast</w:t>
      </w:r>
      <w:r>
        <w:rPr>
          <w:b/>
          <w:bCs/>
          <w:sz w:val="16"/>
          <w:szCs w:val="16"/>
        </w:rPr>
        <w:softHyphen/>
        <w:t>né i nešťastné, ale již nyní se nad nimi rozestírá neúprosnost historické sudby, která se musí vyplnit, ať proti tomu podnikají lidé cokoli.</w:t>
      </w:r>
    </w:p>
    <w:p w:rsidR="00500724" w:rsidRDefault="00F30FB8">
      <w:pPr>
        <w:pStyle w:val="Zkladntext40"/>
        <w:shd w:val="clear" w:color="auto" w:fill="auto"/>
        <w:spacing w:after="0" w:line="163" w:lineRule="auto"/>
        <w:ind w:firstLine="180"/>
        <w:rPr>
          <w:sz w:val="16"/>
          <w:szCs w:val="16"/>
        </w:rPr>
      </w:pPr>
      <w:r>
        <w:rPr>
          <w:b/>
          <w:bCs/>
          <w:sz w:val="16"/>
          <w:szCs w:val="16"/>
        </w:rPr>
        <w:t xml:space="preserve">Jednotlivec nebo národ — život obou se </w:t>
      </w:r>
      <w:r>
        <w:rPr>
          <w:b/>
          <w:bCs/>
          <w:sz w:val="16"/>
          <w:szCs w:val="16"/>
        </w:rPr>
        <w:t>naplňuje podle týchž zá</w:t>
      </w:r>
      <w:r>
        <w:rPr>
          <w:b/>
          <w:bCs/>
          <w:sz w:val="16"/>
          <w:szCs w:val="16"/>
        </w:rPr>
        <w:softHyphen/>
        <w:t>konů. Dá-li se jednou člověk po nepravé cestě, bude proň neplod</w:t>
      </w:r>
      <w:r>
        <w:rPr>
          <w:b/>
          <w:bCs/>
          <w:sz w:val="16"/>
          <w:szCs w:val="16"/>
        </w:rPr>
        <w:softHyphen/>
        <w:t xml:space="preserve">né i vše to. co učiní rozumného a dobrého. Rusové začali válku s Japonci, aniž v ni doopravdy věřili. Japonci do ní šli v plném vědomí její vážnosti a neodvrat- nosti. </w:t>
      </w:r>
      <w:r>
        <w:rPr>
          <w:b/>
          <w:bCs/>
          <w:sz w:val="16"/>
          <w:szCs w:val="16"/>
        </w:rPr>
        <w:t>Vyrazili k útoku nikoli na obranu své cti. nýbrž k boji za život svého národa, který mohl být zajištěn jen vítězným taže</w:t>
      </w:r>
      <w:r>
        <w:rPr>
          <w:b/>
          <w:bCs/>
          <w:sz w:val="16"/>
          <w:szCs w:val="16"/>
        </w:rPr>
        <w:softHyphen/>
        <w:t xml:space="preserve">ním. Rusko vklopýtalo do této války nerozhodně a neodpovědně. </w:t>
      </w:r>
      <w:r>
        <w:rPr>
          <w:b/>
          <w:bCs/>
          <w:sz w:val="16"/>
          <w:szCs w:val="16"/>
          <w:lang w:val="en-US" w:eastAsia="en-US" w:bidi="en-US"/>
        </w:rPr>
        <w:t xml:space="preserve">Did </w:t>
      </w:r>
      <w:r>
        <w:rPr>
          <w:b/>
          <w:bCs/>
          <w:sz w:val="16"/>
          <w:szCs w:val="16"/>
        </w:rPr>
        <w:t>ji nechtěl, car si jí nepřál; rozhodly o ní otázky hospodářské a pres</w:t>
      </w:r>
      <w:r>
        <w:rPr>
          <w:b/>
          <w:bCs/>
          <w:sz w:val="16"/>
          <w:szCs w:val="16"/>
        </w:rPr>
        <w:t>tižní.</w:t>
      </w:r>
    </w:p>
    <w:p w:rsidR="00500724" w:rsidRDefault="00F30FB8">
      <w:pPr>
        <w:pStyle w:val="Zkladntext40"/>
        <w:shd w:val="clear" w:color="auto" w:fill="auto"/>
        <w:spacing w:line="163" w:lineRule="auto"/>
        <w:ind w:firstLine="180"/>
        <w:rPr>
          <w:sz w:val="16"/>
          <w:szCs w:val="16"/>
        </w:rPr>
      </w:pPr>
      <w:r>
        <w:rPr>
          <w:b/>
          <w:bCs/>
          <w:sz w:val="16"/>
          <w:szCs w:val="16"/>
        </w:rPr>
        <w:t>A tak stíhalo neštěstí vše, co Rusko na válečné stezce podniklo.</w:t>
      </w:r>
    </w:p>
    <w:p w:rsidR="00500724" w:rsidRDefault="00F30FB8">
      <w:pPr>
        <w:pStyle w:val="Nadpis120"/>
        <w:shd w:val="clear" w:color="auto" w:fill="auto"/>
        <w:spacing w:after="80"/>
        <w:ind w:left="0"/>
        <w:jc w:val="both"/>
      </w:pPr>
      <w:bookmarkStart w:id="516" w:name="bookmark515"/>
      <w:r>
        <w:rPr>
          <w:rFonts w:ascii="Arial" w:eastAsia="Arial" w:hAnsi="Arial" w:cs="Arial"/>
        </w:rPr>
        <w:t>NOVÉ KNIHY</w:t>
      </w:r>
      <w:bookmarkEnd w:id="516"/>
    </w:p>
    <w:p w:rsidR="00500724" w:rsidRDefault="00F30FB8">
      <w:pPr>
        <w:pStyle w:val="Zkladntext40"/>
        <w:shd w:val="clear" w:color="auto" w:fill="auto"/>
        <w:spacing w:after="240" w:line="192" w:lineRule="auto"/>
        <w:ind w:firstLine="180"/>
      </w:pPr>
      <w:r>
        <w:rPr>
          <w:b/>
          <w:bCs/>
          <w:sz w:val="14"/>
          <w:szCs w:val="14"/>
        </w:rPr>
        <w:t>NOVÝ ROMAN KNIHOVNY LI</w:t>
      </w:r>
      <w:r>
        <w:rPr>
          <w:b/>
          <w:bCs/>
          <w:sz w:val="14"/>
          <w:szCs w:val="14"/>
        </w:rPr>
        <w:softHyphen/>
      </w:r>
      <w:r>
        <w:t>DOVÝCH NOVTN. Knihovna Li</w:t>
      </w:r>
      <w:r>
        <w:softHyphen/>
        <w:t>dových Novin pokračuje ve svém třetím ročníku novým původním románem Olgy Scheinpflugové Přežitá smrt. Je to dílo, okouzlu</w:t>
      </w:r>
      <w:r>
        <w:softHyphen/>
      </w:r>
      <w:r>
        <w:t>jící pestrým a bohatým dějem dobrodružného přízvuku i ladě</w:t>
      </w:r>
      <w:r>
        <w:softHyphen/>
        <w:t>ní i samotným podáním. Vypráví se v něm o člověku, který vsadí</w:t>
      </w:r>
    </w:p>
    <w:p w:rsidR="00500724" w:rsidRDefault="00F30FB8">
      <w:pPr>
        <w:pStyle w:val="Zkladntext40"/>
        <w:shd w:val="clear" w:color="auto" w:fill="auto"/>
        <w:spacing w:after="0" w:line="166" w:lineRule="auto"/>
        <w:rPr>
          <w:sz w:val="16"/>
          <w:szCs w:val="16"/>
        </w:rPr>
      </w:pPr>
      <w:r>
        <w:rPr>
          <w:b/>
          <w:bCs/>
          <w:sz w:val="16"/>
          <w:szCs w:val="16"/>
        </w:rPr>
        <w:t>Nic se mu nedařilo, nic mu ne</w:t>
      </w:r>
      <w:r>
        <w:rPr>
          <w:b/>
          <w:bCs/>
          <w:sz w:val="16"/>
          <w:szCs w:val="16"/>
        </w:rPr>
        <w:softHyphen/>
        <w:t>bylo k prospěchu, a když se pře</w:t>
      </w:r>
      <w:r>
        <w:rPr>
          <w:b/>
          <w:bCs/>
          <w:sz w:val="16"/>
          <w:szCs w:val="16"/>
        </w:rPr>
        <w:softHyphen/>
        <w:t>ce stalo něco dobrého, obrátilo se to nakonec vniveč.</w:t>
      </w:r>
    </w:p>
    <w:p w:rsidR="00500724" w:rsidRDefault="00F30FB8">
      <w:pPr>
        <w:pStyle w:val="Zkladntext40"/>
        <w:shd w:val="clear" w:color="auto" w:fill="auto"/>
        <w:spacing w:after="0" w:line="166" w:lineRule="auto"/>
        <w:ind w:firstLine="180"/>
        <w:rPr>
          <w:sz w:val="16"/>
          <w:szCs w:val="16"/>
        </w:rPr>
      </w:pPr>
      <w:r>
        <w:rPr>
          <w:b/>
          <w:bCs/>
          <w:sz w:val="16"/>
          <w:szCs w:val="16"/>
        </w:rPr>
        <w:t xml:space="preserve">Rožděstvenskij </w:t>
      </w:r>
      <w:r>
        <w:rPr>
          <w:b/>
          <w:bCs/>
          <w:sz w:val="16"/>
          <w:szCs w:val="16"/>
        </w:rPr>
        <w:t>znal od samého počátku sudbu Ruska, která byla zároveň sudbou ruské povahy. Když vyplouval se svou eskádrou z Libavy, věděl, že vládu na moři již nelze pro Rusko vybojovat. Jeho mlčení, jeho osamělost, jeho nesmlouvavá tvrdost, jíž bylo slo</w:t>
      </w:r>
      <w:r>
        <w:rPr>
          <w:b/>
          <w:bCs/>
          <w:sz w:val="16"/>
          <w:szCs w:val="16"/>
        </w:rPr>
        <w:softHyphen/>
        <w:t>víčko anemožnos</w:t>
      </w:r>
      <w:r>
        <w:rPr>
          <w:b/>
          <w:bCs/>
          <w:sz w:val="16"/>
          <w:szCs w:val="16"/>
        </w:rPr>
        <w:t xml:space="preserve">ta neznámé — vše to ukazuje smrtelně vážnou odhodlanost hrdiny, který jako </w:t>
      </w:r>
      <w:r>
        <w:rPr>
          <w:b/>
          <w:bCs/>
          <w:sz w:val="16"/>
          <w:szCs w:val="16"/>
          <w:lang w:val="en-US" w:eastAsia="en-US" w:bidi="en-US"/>
        </w:rPr>
        <w:t xml:space="preserve">Hagen </w:t>
      </w:r>
      <w:r>
        <w:rPr>
          <w:b/>
          <w:bCs/>
          <w:sz w:val="16"/>
          <w:szCs w:val="16"/>
        </w:rPr>
        <w:t>bude hájit posici předem ztracenou až do posledního dechu.</w:t>
      </w:r>
    </w:p>
    <w:p w:rsidR="00500724" w:rsidRDefault="00F30FB8">
      <w:pPr>
        <w:pStyle w:val="Zkladntext40"/>
        <w:shd w:val="clear" w:color="auto" w:fill="auto"/>
        <w:spacing w:after="0" w:line="166" w:lineRule="auto"/>
        <w:ind w:firstLine="180"/>
        <w:rPr>
          <w:sz w:val="16"/>
          <w:szCs w:val="16"/>
        </w:rPr>
      </w:pPr>
      <w:r>
        <w:rPr>
          <w:b/>
          <w:bCs/>
          <w:sz w:val="16"/>
          <w:szCs w:val="16"/>
        </w:rPr>
        <w:t xml:space="preserve">Jinak </w:t>
      </w:r>
      <w:r>
        <w:rPr>
          <w:b/>
          <w:bCs/>
          <w:sz w:val="16"/>
          <w:szCs w:val="16"/>
          <w:lang w:val="en-US" w:eastAsia="en-US" w:bidi="en-US"/>
        </w:rPr>
        <w:t xml:space="preserve">Makarov. </w:t>
      </w:r>
      <w:r>
        <w:rPr>
          <w:b/>
          <w:bCs/>
          <w:sz w:val="16"/>
          <w:szCs w:val="16"/>
        </w:rPr>
        <w:t xml:space="preserve">Jeho zjev má v sobě cosi z jasné postavy Siegfriedovy. Jeho víra v úspěch byla nezlomena. Byl veliký </w:t>
      </w:r>
      <w:r>
        <w:rPr>
          <w:b/>
          <w:bCs/>
          <w:sz w:val="16"/>
          <w:szCs w:val="16"/>
        </w:rPr>
        <w:t>svou silou, kterou dovedl za několik hodin udělat z malomyslných, pochybujících mužů sbor váleční</w:t>
      </w:r>
      <w:r>
        <w:rPr>
          <w:b/>
          <w:bCs/>
          <w:sz w:val="16"/>
          <w:szCs w:val="16"/>
        </w:rPr>
        <w:softHyphen/>
        <w:t>ků, naplněných až do posledního muže neslýchanou bojovností, o které před tím nebylo ani zdání.</w:t>
      </w:r>
    </w:p>
    <w:p w:rsidR="00500724" w:rsidRDefault="00F30FB8">
      <w:pPr>
        <w:pStyle w:val="Zkladntext40"/>
        <w:shd w:val="clear" w:color="auto" w:fill="auto"/>
        <w:spacing w:after="0" w:line="166" w:lineRule="auto"/>
        <w:ind w:firstLine="180"/>
        <w:rPr>
          <w:sz w:val="16"/>
          <w:szCs w:val="16"/>
        </w:rPr>
      </w:pPr>
      <w:r>
        <w:rPr>
          <w:b/>
          <w:bCs/>
          <w:sz w:val="16"/>
          <w:szCs w:val="16"/>
        </w:rPr>
        <w:t>Tento urostlý voják s plno</w:t>
      </w:r>
      <w:r>
        <w:rPr>
          <w:b/>
          <w:bCs/>
          <w:sz w:val="16"/>
          <w:szCs w:val="16"/>
        </w:rPr>
        <w:softHyphen/>
        <w:t>vousem — jeho vojáci mu říkali »vou</w:t>
      </w:r>
      <w:r>
        <w:rPr>
          <w:b/>
          <w:bCs/>
          <w:sz w:val="16"/>
          <w:szCs w:val="16"/>
        </w:rPr>
        <w:t>sáč« — tento muž mocného hlasu, hlučný v hněvu i v smí</w:t>
      </w:r>
      <w:r>
        <w:rPr>
          <w:b/>
          <w:bCs/>
          <w:sz w:val="16"/>
          <w:szCs w:val="16"/>
        </w:rPr>
        <w:softHyphen/>
        <w:t>chu. chytrý a zároveň nebojác</w:t>
      </w:r>
      <w:r>
        <w:rPr>
          <w:b/>
          <w:bCs/>
          <w:sz w:val="16"/>
          <w:szCs w:val="16"/>
        </w:rPr>
        <w:softHyphen/>
        <w:t>ný. úporný dříč v práci a odváž</w:t>
      </w:r>
      <w:r>
        <w:rPr>
          <w:b/>
          <w:bCs/>
          <w:sz w:val="16"/>
          <w:szCs w:val="16"/>
        </w:rPr>
        <w:softHyphen/>
        <w:t>ný hazardér v boji, jemuž se jeho vlastní život nezdál důležitějším než život posledního z jeho vojá</w:t>
      </w:r>
      <w:r>
        <w:rPr>
          <w:b/>
          <w:bCs/>
          <w:sz w:val="16"/>
          <w:szCs w:val="16"/>
        </w:rPr>
        <w:softHyphen/>
        <w:t>ků, tento skvělý typ není nijak řídkým</w:t>
      </w:r>
      <w:r>
        <w:rPr>
          <w:b/>
          <w:bCs/>
          <w:sz w:val="16"/>
          <w:szCs w:val="16"/>
        </w:rPr>
        <w:t xml:space="preserve"> zjevem v ruské historii. Z téhož dřeva byli uděláni mar</w:t>
      </w:r>
      <w:r>
        <w:rPr>
          <w:b/>
          <w:bCs/>
          <w:sz w:val="16"/>
          <w:szCs w:val="16"/>
        </w:rPr>
        <w:softHyphen/>
        <w:t xml:space="preserve">šálové </w:t>
      </w:r>
      <w:r>
        <w:rPr>
          <w:b/>
          <w:bCs/>
          <w:sz w:val="16"/>
          <w:szCs w:val="16"/>
          <w:lang w:val="en-US" w:eastAsia="en-US" w:bidi="en-US"/>
        </w:rPr>
        <w:t xml:space="preserve">Kutuzov a Suvorov, </w:t>
      </w:r>
      <w:r>
        <w:rPr>
          <w:b/>
          <w:bCs/>
          <w:sz w:val="16"/>
          <w:szCs w:val="16"/>
        </w:rPr>
        <w:t>admi</w:t>
      </w:r>
      <w:r>
        <w:rPr>
          <w:b/>
          <w:bCs/>
          <w:sz w:val="16"/>
          <w:szCs w:val="16"/>
        </w:rPr>
        <w:softHyphen/>
        <w:t xml:space="preserve">rál Senjavin a obránce </w:t>
      </w:r>
      <w:r>
        <w:rPr>
          <w:b/>
          <w:bCs/>
          <w:sz w:val="16"/>
          <w:szCs w:val="16"/>
          <w:lang w:val="en-US" w:eastAsia="en-US" w:bidi="en-US"/>
        </w:rPr>
        <w:t>Sevasto</w:t>
      </w:r>
      <w:r>
        <w:rPr>
          <w:b/>
          <w:bCs/>
          <w:sz w:val="16"/>
          <w:szCs w:val="16"/>
          <w:lang w:val="en-US" w:eastAsia="en-US" w:bidi="en-US"/>
        </w:rPr>
        <w:softHyphen/>
        <w:t xml:space="preserve">pol^ </w:t>
      </w:r>
      <w:r>
        <w:rPr>
          <w:b/>
          <w:bCs/>
          <w:sz w:val="16"/>
          <w:szCs w:val="16"/>
        </w:rPr>
        <w:t>generál Todieben. Většinou to byli mužové spíše stateční než opatrní, ale válečníci do morku kostí, vojáci, kteří v rozhodném okamži</w:t>
      </w:r>
      <w:r>
        <w:rPr>
          <w:b/>
          <w:bCs/>
          <w:sz w:val="16"/>
          <w:szCs w:val="16"/>
        </w:rPr>
        <w:t>ku učinili instinktivně vždy to pravé a vždy našli vý</w:t>
      </w:r>
      <w:r>
        <w:rPr>
          <w:b/>
          <w:bCs/>
          <w:sz w:val="16"/>
          <w:szCs w:val="16"/>
        </w:rPr>
        <w:softHyphen/>
        <w:t>chodisko z obtížné situace.</w:t>
      </w:r>
    </w:p>
    <w:p w:rsidR="00500724" w:rsidRDefault="00F30FB8">
      <w:pPr>
        <w:pStyle w:val="Zkladntext40"/>
        <w:shd w:val="clear" w:color="auto" w:fill="auto"/>
        <w:spacing w:after="0" w:line="166" w:lineRule="auto"/>
        <w:ind w:firstLine="180"/>
        <w:rPr>
          <w:sz w:val="16"/>
          <w:szCs w:val="16"/>
        </w:rPr>
      </w:pPr>
      <w:r>
        <w:rPr>
          <w:b/>
          <w:bCs/>
          <w:sz w:val="16"/>
          <w:szCs w:val="16"/>
        </w:rPr>
        <w:t xml:space="preserve">Japonský admirál </w:t>
      </w:r>
      <w:r>
        <w:rPr>
          <w:b/>
          <w:bCs/>
          <w:sz w:val="16"/>
          <w:szCs w:val="16"/>
          <w:lang w:val="en-US" w:eastAsia="en-US" w:bidi="en-US"/>
        </w:rPr>
        <w:t xml:space="preserve">Togo </w:t>
      </w:r>
      <w:r>
        <w:rPr>
          <w:b/>
          <w:bCs/>
          <w:sz w:val="16"/>
          <w:szCs w:val="16"/>
        </w:rPr>
        <w:t>si dal již dávno před válkou přeložit Makarovovy spisy do japonštiny a prostudoval je velmi pečlivě. Jakmile se v Tokiu dověděli o jeho příchodu na boji</w:t>
      </w:r>
      <w:r>
        <w:rPr>
          <w:b/>
          <w:bCs/>
          <w:sz w:val="16"/>
          <w:szCs w:val="16"/>
        </w:rPr>
        <w:t>ště, byli přesvědčeni, že jde nyní do tuhé</w:t>
      </w:r>
      <w:r>
        <w:rPr>
          <w:b/>
          <w:bCs/>
          <w:sz w:val="16"/>
          <w:szCs w:val="16"/>
        </w:rPr>
        <w:softHyphen/>
        <w:t>ho. Maršál Ojama mohl vésti po</w:t>
      </w:r>
      <w:r>
        <w:rPr>
          <w:b/>
          <w:bCs/>
          <w:sz w:val="16"/>
          <w:szCs w:val="16"/>
        </w:rPr>
        <w:softHyphen/>
        <w:t>zemní válku jen tehdy, bylo-li zabezpečeno námořní spojení s ostrovní domovinou. V Fort Artu</w:t>
      </w:r>
      <w:r>
        <w:rPr>
          <w:b/>
          <w:bCs/>
          <w:sz w:val="16"/>
          <w:szCs w:val="16"/>
        </w:rPr>
        <w:softHyphen/>
        <w:t>ru pracovali horečně na opravách havarovaných lodí. Až bude loď</w:t>
      </w:r>
      <w:r>
        <w:rPr>
          <w:b/>
          <w:bCs/>
          <w:sz w:val="16"/>
          <w:szCs w:val="16"/>
        </w:rPr>
        <w:softHyphen/>
        <w:t>stvo zase v pořádku, nech</w:t>
      </w:r>
      <w:r>
        <w:rPr>
          <w:b/>
          <w:bCs/>
          <w:sz w:val="16"/>
          <w:szCs w:val="16"/>
        </w:rPr>
        <w:t xml:space="preserve">á je člověk druhu </w:t>
      </w:r>
      <w:r>
        <w:rPr>
          <w:b/>
          <w:bCs/>
          <w:sz w:val="16"/>
          <w:szCs w:val="16"/>
          <w:lang w:val="en-US" w:eastAsia="en-US" w:bidi="en-US"/>
        </w:rPr>
        <w:t xml:space="preserve">Makar </w:t>
      </w:r>
      <w:r>
        <w:rPr>
          <w:b/>
          <w:bCs/>
          <w:sz w:val="16"/>
          <w:szCs w:val="16"/>
        </w:rPr>
        <w:t>ono va ležet nečinně v přístavu? Jistě ne....</w:t>
      </w:r>
    </w:p>
    <w:p w:rsidR="00500724" w:rsidRDefault="00F30FB8">
      <w:pPr>
        <w:pStyle w:val="Zkladntext40"/>
        <w:shd w:val="clear" w:color="auto" w:fill="auto"/>
        <w:spacing w:after="160" w:line="166" w:lineRule="auto"/>
        <w:ind w:firstLine="180"/>
        <w:rPr>
          <w:sz w:val="16"/>
          <w:szCs w:val="16"/>
        </w:rPr>
      </w:pPr>
      <w:r>
        <w:rPr>
          <w:b/>
          <w:bCs/>
          <w:sz w:val="16"/>
          <w:szCs w:val="16"/>
        </w:rPr>
        <w:t xml:space="preserve">Ale </w:t>
      </w:r>
      <w:r>
        <w:rPr>
          <w:b/>
          <w:bCs/>
          <w:sz w:val="16"/>
          <w:szCs w:val="16"/>
          <w:lang w:val="en-US" w:eastAsia="en-US" w:bidi="en-US"/>
        </w:rPr>
        <w:t xml:space="preserve">Makarov </w:t>
      </w:r>
      <w:r>
        <w:rPr>
          <w:b/>
          <w:bCs/>
          <w:sz w:val="16"/>
          <w:szCs w:val="16"/>
        </w:rPr>
        <w:t>zastihl v Fort Arturu loďstvo, které si neosvo</w:t>
      </w:r>
      <w:r>
        <w:rPr>
          <w:b/>
          <w:bCs/>
          <w:sz w:val="16"/>
          <w:szCs w:val="16"/>
        </w:rPr>
        <w:softHyphen/>
        <w:t>jilo ani nejzákladnější taktické</w:t>
      </w:r>
    </w:p>
    <w:p w:rsidR="00500724" w:rsidRDefault="00F30FB8">
      <w:pPr>
        <w:spacing w:line="1" w:lineRule="exact"/>
        <w:rPr>
          <w:sz w:val="2"/>
          <w:szCs w:val="2"/>
        </w:rPr>
      </w:pPr>
      <w:r>
        <w:br w:type="column"/>
      </w:r>
    </w:p>
    <w:p w:rsidR="00500724" w:rsidRDefault="00F30FB8">
      <w:pPr>
        <w:pStyle w:val="Zkladntext40"/>
        <w:shd w:val="clear" w:color="auto" w:fill="auto"/>
        <w:spacing w:after="240"/>
      </w:pPr>
      <w:r>
        <w:t>celý svůj život na kartu smrti a zařídí jej v duchu tragické věšt</w:t>
      </w:r>
      <w:r>
        <w:softHyphen/>
        <w:t xml:space="preserve">by, předpovídající mu, že </w:t>
      </w:r>
      <w:r>
        <w:t>ve tři</w:t>
      </w:r>
      <w:r>
        <w:softHyphen/>
        <w:t>ceti letech zemře. Román, který má všecky předpoklady k tomu, aby okouzlil čtenářovu obraznost a upokojil jeho dychtivost, je však něčím více než pouhým ro</w:t>
      </w:r>
      <w:r>
        <w:softHyphen/>
        <w:t>mánem; vyznívá!’ ve svém závě</w:t>
      </w:r>
      <w:r>
        <w:softHyphen/>
        <w:t>ru jako poselství životního opti</w:t>
      </w:r>
      <w:r>
        <w:softHyphen/>
        <w:t>mismu, kterého právě dnes lid</w:t>
      </w:r>
      <w:r>
        <w:softHyphen/>
      </w:r>
      <w:r>
        <w:t>stvo nejvíc potřebuje. Nepochy</w:t>
      </w:r>
      <w:r>
        <w:softHyphen/>
        <w:t>bujeme, že čtenáři a odběratelé KLN jej uvítají s radostí.</w:t>
      </w:r>
    </w:p>
    <w:p w:rsidR="00500724" w:rsidRDefault="00F30FB8">
      <w:pPr>
        <w:pStyle w:val="Zkladntext40"/>
        <w:shd w:val="clear" w:color="auto" w:fill="auto"/>
        <w:spacing w:after="0" w:line="166" w:lineRule="auto"/>
        <w:rPr>
          <w:sz w:val="16"/>
          <w:szCs w:val="16"/>
        </w:rPr>
      </w:pPr>
      <w:r>
        <w:rPr>
          <w:b/>
          <w:bCs/>
          <w:sz w:val="16"/>
          <w:szCs w:val="16"/>
        </w:rPr>
        <w:t>obraty. Vždyť mělo za sebou sedm let vlády Aleksějevovy, vlá</w:t>
      </w:r>
      <w:r>
        <w:rPr>
          <w:b/>
          <w:bCs/>
          <w:sz w:val="16"/>
          <w:szCs w:val="16"/>
        </w:rPr>
        <w:softHyphen/>
        <w:t>dy ochromivého ducha politika, jenž jakživ nebyl vojákem! Špat</w:t>
      </w:r>
      <w:r>
        <w:rPr>
          <w:b/>
          <w:bCs/>
          <w:sz w:val="16"/>
          <w:szCs w:val="16"/>
        </w:rPr>
        <w:softHyphen/>
        <w:t>nou to zbraň dali Makarovovi do ruky! Nezb</w:t>
      </w:r>
      <w:r>
        <w:rPr>
          <w:b/>
          <w:bCs/>
          <w:sz w:val="16"/>
          <w:szCs w:val="16"/>
        </w:rPr>
        <w:t>ylo mu nic, než ji zno</w:t>
      </w:r>
      <w:r>
        <w:rPr>
          <w:b/>
          <w:bCs/>
          <w:sz w:val="16"/>
          <w:szCs w:val="16"/>
        </w:rPr>
        <w:softHyphen/>
        <w:t>vu nabrousit k boji.</w:t>
      </w:r>
    </w:p>
    <w:p w:rsidR="00500724" w:rsidRDefault="00F30FB8">
      <w:pPr>
        <w:pStyle w:val="Zkladntext40"/>
        <w:shd w:val="clear" w:color="auto" w:fill="auto"/>
        <w:spacing w:after="0" w:line="166" w:lineRule="auto"/>
        <w:ind w:firstLine="180"/>
        <w:rPr>
          <w:sz w:val="16"/>
          <w:szCs w:val="16"/>
        </w:rPr>
      </w:pPr>
      <w:r>
        <w:rPr>
          <w:b/>
          <w:bCs/>
          <w:sz w:val="16"/>
          <w:szCs w:val="16"/>
        </w:rPr>
        <w:t>O Makarovových taktických schopnostech bylo mnoho sporů. Se stanoviska válečné vědy byl jeho výjezd z přístavu 13. dubna chybný. Ale taktické chyby, kte</w:t>
      </w:r>
      <w:r>
        <w:rPr>
          <w:b/>
          <w:bCs/>
          <w:sz w:val="16"/>
          <w:szCs w:val="16"/>
        </w:rPr>
        <w:softHyphen/>
        <w:t>rých protivník nevyužije, neměly by nikdy rozhodovat při po</w:t>
      </w:r>
      <w:r>
        <w:rPr>
          <w:b/>
          <w:bCs/>
          <w:sz w:val="16"/>
          <w:szCs w:val="16"/>
        </w:rPr>
        <w:t>suzo</w:t>
      </w:r>
      <w:r>
        <w:rPr>
          <w:b/>
          <w:bCs/>
          <w:sz w:val="16"/>
          <w:szCs w:val="16"/>
        </w:rPr>
        <w:softHyphen/>
        <w:t>vání vůdcovské osobnosti.</w:t>
      </w:r>
    </w:p>
    <w:p w:rsidR="00500724" w:rsidRDefault="00F30FB8">
      <w:pPr>
        <w:pStyle w:val="Zkladntext40"/>
        <w:shd w:val="clear" w:color="auto" w:fill="auto"/>
        <w:spacing w:after="0" w:line="166" w:lineRule="auto"/>
        <w:ind w:firstLine="180"/>
        <w:rPr>
          <w:sz w:val="16"/>
          <w:szCs w:val="16"/>
        </w:rPr>
      </w:pPr>
      <w:r>
        <w:rPr>
          <w:b/>
          <w:bCs/>
          <w:sz w:val="16"/>
          <w:szCs w:val="16"/>
          <w:lang w:val="en-US" w:eastAsia="en-US" w:bidi="en-US"/>
        </w:rPr>
        <w:t xml:space="preserve">Makarov </w:t>
      </w:r>
      <w:r>
        <w:rPr>
          <w:b/>
          <w:bCs/>
          <w:sz w:val="16"/>
          <w:szCs w:val="16"/>
        </w:rPr>
        <w:t>však byl naprosto ne</w:t>
      </w:r>
      <w:r>
        <w:rPr>
          <w:b/>
          <w:bCs/>
          <w:sz w:val="16"/>
          <w:szCs w:val="16"/>
        </w:rPr>
        <w:softHyphen/>
        <w:t>nahraditelný. Výchova japonské armády a japonského námoř</w:t>
      </w:r>
      <w:r>
        <w:rPr>
          <w:b/>
          <w:bCs/>
          <w:sz w:val="16"/>
          <w:szCs w:val="16"/>
        </w:rPr>
        <w:softHyphen/>
        <w:t xml:space="preserve">nictva si vzala za vzor vojenskou výchovu pruskou a anglickou i v tom, že vůdce neisolovala. nýbrž z něho učinila jen typický výraz celku. </w:t>
      </w:r>
      <w:r>
        <w:rPr>
          <w:b/>
          <w:bCs/>
          <w:sz w:val="16"/>
          <w:szCs w:val="16"/>
        </w:rPr>
        <w:t>Fadne-li generál, nepadá proto ještě armáda. Na místo padlého vstoupí jiný, jenž je mu v podstatě roven.</w:t>
      </w:r>
    </w:p>
    <w:p w:rsidR="00500724" w:rsidRDefault="00F30FB8">
      <w:pPr>
        <w:pStyle w:val="Zkladntext40"/>
        <w:shd w:val="clear" w:color="auto" w:fill="auto"/>
        <w:tabs>
          <w:tab w:val="left" w:pos="557"/>
        </w:tabs>
        <w:spacing w:after="0" w:line="166" w:lineRule="auto"/>
        <w:ind w:firstLine="180"/>
        <w:rPr>
          <w:sz w:val="16"/>
          <w:szCs w:val="16"/>
        </w:rPr>
      </w:pPr>
      <w:r>
        <w:rPr>
          <w:b/>
          <w:bCs/>
          <w:sz w:val="16"/>
          <w:szCs w:val="16"/>
          <w:lang w:val="en-US" w:eastAsia="en-US" w:bidi="en-US"/>
        </w:rPr>
        <w:t xml:space="preserve">Makarov </w:t>
      </w:r>
      <w:r>
        <w:rPr>
          <w:b/>
          <w:bCs/>
          <w:sz w:val="16"/>
          <w:szCs w:val="16"/>
        </w:rPr>
        <w:t>si vzal do svého štá</w:t>
      </w:r>
      <w:r>
        <w:rPr>
          <w:b/>
          <w:bCs/>
          <w:sz w:val="16"/>
          <w:szCs w:val="16"/>
        </w:rPr>
        <w:softHyphen/>
        <w:t>bu nejlepší lidi a snažil se je na</w:t>
      </w:r>
      <w:r>
        <w:rPr>
          <w:b/>
          <w:bCs/>
          <w:sz w:val="16"/>
          <w:szCs w:val="16"/>
        </w:rPr>
        <w:softHyphen/>
        <w:t>plnit svým duchem. V několika letech to mohlo mít pro ruské loďstvo značný význam — v n</w:t>
      </w:r>
      <w:r>
        <w:rPr>
          <w:b/>
          <w:bCs/>
          <w:sz w:val="16"/>
          <w:szCs w:val="16"/>
        </w:rPr>
        <w:t>ě</w:t>
      </w:r>
      <w:r>
        <w:rPr>
          <w:b/>
          <w:bCs/>
          <w:sz w:val="16"/>
          <w:szCs w:val="16"/>
        </w:rPr>
        <w:softHyphen/>
        <w:t xml:space="preserve">kolika nedělích to zůstalo bez účinku. </w:t>
      </w:r>
      <w:r>
        <w:rPr>
          <w:b/>
          <w:bCs/>
          <w:sz w:val="16"/>
          <w:szCs w:val="16"/>
          <w:lang w:val="en-US" w:eastAsia="en-US" w:bidi="en-US"/>
        </w:rPr>
        <w:t xml:space="preserve">Makarov </w:t>
      </w:r>
      <w:r>
        <w:rPr>
          <w:b/>
          <w:bCs/>
          <w:sz w:val="16"/>
          <w:szCs w:val="16"/>
        </w:rPr>
        <w:t>byl muž smělé</w:t>
      </w:r>
      <w:r>
        <w:rPr>
          <w:b/>
          <w:bCs/>
          <w:sz w:val="16"/>
          <w:szCs w:val="16"/>
        </w:rPr>
        <w:softHyphen/>
        <w:t>ho ducha, činný a praktický. Prá</w:t>
      </w:r>
      <w:r>
        <w:rPr>
          <w:b/>
          <w:bCs/>
          <w:sz w:val="16"/>
          <w:szCs w:val="16"/>
        </w:rPr>
        <w:softHyphen/>
        <w:t>vě takového bylo v Port Arturu potřeba jako soli. Nač sáhl, to se mu dařilo. Zavedl nová. velmi prozíravá obranná opatření, dal se horlivě do taktického školení</w:t>
      </w:r>
      <w:r>
        <w:rPr>
          <w:b/>
          <w:bCs/>
          <w:sz w:val="16"/>
          <w:szCs w:val="16"/>
        </w:rPr>
        <w:t xml:space="preserve"> mužstva a k tomu ještě uplatnil svůj vliv při budování portartur- ských pevností — vše to svědčilo o duchu, který strhává jiné s sebou, o šťastné ruce. »Námoř- ní kadet, který jedná s rozvahou, prospívá státu více než vlajkový důstojník, který provádí for</w:t>
      </w:r>
      <w:r>
        <w:rPr>
          <w:b/>
          <w:bCs/>
          <w:sz w:val="16"/>
          <w:szCs w:val="16"/>
        </w:rPr>
        <w:t>mál</w:t>
      </w:r>
      <w:r>
        <w:rPr>
          <w:b/>
          <w:bCs/>
          <w:sz w:val="16"/>
          <w:szCs w:val="16"/>
        </w:rPr>
        <w:softHyphen/>
        <w:t xml:space="preserve">ně správně rozkaz, jemuž dobře nerozumu </w:t>
      </w:r>
      <w:r>
        <w:rPr>
          <w:b/>
          <w:bCs/>
          <w:sz w:val="16"/>
          <w:szCs w:val="16"/>
          <w:lang w:val="en-US" w:eastAsia="en-US" w:bidi="en-US"/>
        </w:rPr>
        <w:t xml:space="preserve">Makarov </w:t>
      </w:r>
      <w:r>
        <w:rPr>
          <w:b/>
          <w:bCs/>
          <w:sz w:val="16"/>
          <w:szCs w:val="16"/>
        </w:rPr>
        <w:t>sám jednal podle tohoto svého výroku a vo</w:t>
      </w:r>
      <w:r>
        <w:rPr>
          <w:b/>
          <w:bCs/>
          <w:sz w:val="16"/>
          <w:szCs w:val="16"/>
        </w:rPr>
        <w:softHyphen/>
        <w:t>jáci mu byli vděčni. Především však rázně skoncoval se zásadou: »Nic neriskovat.« Věděl dobře, že základním zákonem války je věta:</w:t>
      </w:r>
      <w:r>
        <w:rPr>
          <w:b/>
          <w:bCs/>
          <w:sz w:val="16"/>
          <w:szCs w:val="16"/>
        </w:rPr>
        <w:tab/>
        <w:t>»Musím nasadit život,</w:t>
      </w:r>
    </w:p>
    <w:p w:rsidR="00500724" w:rsidRDefault="00F30FB8">
      <w:pPr>
        <w:pStyle w:val="Zkladntext40"/>
        <w:shd w:val="clear" w:color="auto" w:fill="auto"/>
        <w:spacing w:after="120" w:line="166" w:lineRule="auto"/>
        <w:rPr>
          <w:sz w:val="16"/>
          <w:szCs w:val="16"/>
        </w:rPr>
      </w:pPr>
      <w:r>
        <w:rPr>
          <w:b/>
          <w:bCs/>
          <w:sz w:val="16"/>
          <w:szCs w:val="16"/>
        </w:rPr>
        <w:t>abych živ</w:t>
      </w:r>
      <w:r>
        <w:rPr>
          <w:b/>
          <w:bCs/>
          <w:sz w:val="16"/>
          <w:szCs w:val="16"/>
        </w:rPr>
        <w:t>ot zachránila — a kdy</w:t>
      </w:r>
      <w:r>
        <w:rPr>
          <w:b/>
          <w:bCs/>
          <w:sz w:val="16"/>
          <w:szCs w:val="16"/>
        </w:rPr>
        <w:softHyphen/>
        <w:t>koli to okolnosti jen trochu dovo</w:t>
      </w:r>
      <w:r>
        <w:rPr>
          <w:b/>
          <w:bCs/>
          <w:sz w:val="16"/>
          <w:szCs w:val="16"/>
        </w:rPr>
        <w:softHyphen/>
        <w:t xml:space="preserve">lovaly, vedl své lodi k útoku na nepřítele. Dne 8. března přijel do Port Arturu a již v noci z 9. na na 10. března se bily jeho torpe- dovky s Japonci a způsobily jim citelné ztráty. A konečně: </w:t>
      </w:r>
      <w:r>
        <w:rPr>
          <w:b/>
          <w:bCs/>
          <w:sz w:val="16"/>
          <w:szCs w:val="16"/>
          <w:lang w:val="en-US" w:eastAsia="en-US" w:bidi="en-US"/>
        </w:rPr>
        <w:t>Maka</w:t>
      </w:r>
      <w:r>
        <w:rPr>
          <w:b/>
          <w:bCs/>
          <w:sz w:val="16"/>
          <w:szCs w:val="16"/>
          <w:lang w:val="en-US" w:eastAsia="en-US" w:bidi="en-US"/>
        </w:rPr>
        <w:softHyphen/>
        <w:t>r</w:t>
      </w:r>
      <w:r>
        <w:rPr>
          <w:b/>
          <w:bCs/>
          <w:sz w:val="16"/>
          <w:szCs w:val="16"/>
          <w:lang w:val="en-US" w:eastAsia="en-US" w:bidi="en-US"/>
        </w:rPr>
        <w:t xml:space="preserve">ov </w:t>
      </w:r>
      <w:r>
        <w:rPr>
          <w:b/>
          <w:bCs/>
          <w:sz w:val="16"/>
          <w:szCs w:val="16"/>
        </w:rPr>
        <w:t>byl znamenitý psycholog. Ne</w:t>
      </w:r>
      <w:r>
        <w:rPr>
          <w:b/>
          <w:bCs/>
          <w:sz w:val="16"/>
          <w:szCs w:val="16"/>
        </w:rPr>
        <w:softHyphen/>
        <w:t>záleží tolik na tom, abychom vždy jednali správně, jako spíše na tom, abychom v rozhodující</w:t>
      </w:r>
    </w:p>
    <w:p w:rsidR="00500724" w:rsidRDefault="00F30FB8">
      <w:pPr>
        <w:spacing w:line="1" w:lineRule="exact"/>
        <w:rPr>
          <w:sz w:val="2"/>
          <w:szCs w:val="2"/>
        </w:rPr>
      </w:pPr>
      <w:r>
        <w:br w:type="column"/>
      </w:r>
    </w:p>
    <w:p w:rsidR="00500724" w:rsidRDefault="00F30FB8">
      <w:pPr>
        <w:pStyle w:val="Zkladntext20"/>
        <w:shd w:val="clear" w:color="auto" w:fill="auto"/>
        <w:spacing w:after="40" w:line="180" w:lineRule="auto"/>
        <w:ind w:firstLine="0"/>
        <w:jc w:val="left"/>
        <w:rPr>
          <w:sz w:val="20"/>
          <w:szCs w:val="20"/>
        </w:rPr>
      </w:pPr>
      <w:r>
        <w:rPr>
          <w:i/>
          <w:iCs/>
          <w:sz w:val="20"/>
          <w:szCs w:val="20"/>
        </w:rPr>
        <w:t>Vladimír G r oh:</w:t>
      </w:r>
    </w:p>
    <w:p w:rsidR="00500724" w:rsidRDefault="00F30FB8">
      <w:pPr>
        <w:pStyle w:val="Jin0"/>
        <w:shd w:val="clear" w:color="auto" w:fill="auto"/>
        <w:spacing w:after="100"/>
        <w:ind w:firstLine="0"/>
        <w:jc w:val="left"/>
        <w:rPr>
          <w:sz w:val="26"/>
          <w:szCs w:val="26"/>
        </w:rPr>
      </w:pPr>
      <w:r>
        <w:rPr>
          <w:b/>
          <w:bCs/>
          <w:sz w:val="26"/>
          <w:szCs w:val="26"/>
        </w:rPr>
        <w:t>MALÝ NÁROD</w:t>
      </w:r>
    </w:p>
    <w:p w:rsidR="00500724" w:rsidRDefault="00F30FB8">
      <w:pPr>
        <w:pStyle w:val="Zkladntext20"/>
        <w:shd w:val="clear" w:color="auto" w:fill="auto"/>
        <w:spacing w:after="40" w:line="180" w:lineRule="auto"/>
        <w:rPr>
          <w:sz w:val="20"/>
          <w:szCs w:val="20"/>
        </w:rPr>
      </w:pPr>
      <w:r>
        <w:rPr>
          <w:i/>
          <w:iCs/>
          <w:sz w:val="20"/>
          <w:szCs w:val="20"/>
        </w:rPr>
        <w:t>Z dlouhé zkušenosti lidské</w:t>
      </w:r>
      <w:r>
        <w:rPr>
          <w:i/>
          <w:iCs/>
          <w:sz w:val="20"/>
          <w:szCs w:val="20"/>
        </w:rPr>
        <w:softHyphen/>
        <w:t>ho vývoje jest si třeba uvě</w:t>
      </w:r>
      <w:r>
        <w:rPr>
          <w:i/>
          <w:iCs/>
          <w:sz w:val="20"/>
          <w:szCs w:val="20"/>
        </w:rPr>
        <w:softHyphen/>
        <w:t>domiti a stále znovu připo</w:t>
      </w:r>
      <w:r>
        <w:rPr>
          <w:i/>
          <w:iCs/>
          <w:sz w:val="20"/>
          <w:szCs w:val="20"/>
        </w:rPr>
        <w:softHyphen/>
        <w:t xml:space="preserve">mínati, Se vedle </w:t>
      </w:r>
      <w:r>
        <w:rPr>
          <w:i/>
          <w:iCs/>
          <w:sz w:val="20"/>
          <w:szCs w:val="20"/>
        </w:rPr>
        <w:t>biologických zákonů života jsou také zá</w:t>
      </w:r>
      <w:r>
        <w:rPr>
          <w:i/>
          <w:iCs/>
          <w:sz w:val="20"/>
          <w:szCs w:val="20"/>
        </w:rPr>
        <w:softHyphen/>
        <w:t>kony pospolitého lidského vý</w:t>
      </w:r>
      <w:r>
        <w:rPr>
          <w:i/>
          <w:iCs/>
          <w:sz w:val="20"/>
          <w:szCs w:val="20"/>
        </w:rPr>
        <w:softHyphen/>
        <w:t>voje. Ze všech pouček totiž, které byly abstrahovány z poznatků o životě člověka, je nejdůležitější a základní ona, kterou Aristoteles vtělil v klasický výrok o člověku, tvoru pospolitém.</w:t>
      </w:r>
      <w:r>
        <w:rPr>
          <w:i/>
          <w:iCs/>
          <w:sz w:val="20"/>
          <w:szCs w:val="20"/>
        </w:rPr>
        <w:t xml:space="preserve"> Řády toho</w:t>
      </w:r>
      <w:r>
        <w:rPr>
          <w:i/>
          <w:iCs/>
          <w:sz w:val="20"/>
          <w:szCs w:val="20"/>
        </w:rPr>
        <w:softHyphen/>
        <w:t>to pospolitého lidského živo</w:t>
      </w:r>
      <w:r>
        <w:rPr>
          <w:i/>
          <w:iCs/>
          <w:sz w:val="20"/>
          <w:szCs w:val="20"/>
        </w:rPr>
        <w:softHyphen/>
        <w:t>ta nepochybně závisí velmi podstatně na životním pro</w:t>
      </w:r>
      <w:r>
        <w:rPr>
          <w:i/>
          <w:iCs/>
          <w:sz w:val="20"/>
          <w:szCs w:val="20"/>
        </w:rPr>
        <w:softHyphen/>
        <w:t>středí a na biologických vlastnostech člověka, ale pře</w:t>
      </w:r>
      <w:r>
        <w:rPr>
          <w:i/>
          <w:iCs/>
          <w:sz w:val="20"/>
          <w:szCs w:val="20"/>
        </w:rPr>
        <w:softHyphen/>
        <w:t>devším a daleko nejvíce na ně působí jeho rozumové a citové zdroje, tedy vlastnosti duchové, kterými se člov</w:t>
      </w:r>
      <w:r>
        <w:rPr>
          <w:i/>
          <w:iCs/>
          <w:sz w:val="20"/>
          <w:szCs w:val="20"/>
        </w:rPr>
        <w:t>ěk jako přírodní tvor liší od všech ostatních tvorů. Gím složitější organismus, tím mnohotvárnější jeho býti, tím větší možnost úchylek a zásahů.</w:t>
      </w:r>
    </w:p>
    <w:p w:rsidR="00500724" w:rsidRDefault="00F30FB8">
      <w:pPr>
        <w:pStyle w:val="Zkladntext20"/>
        <w:shd w:val="clear" w:color="auto" w:fill="auto"/>
        <w:spacing w:after="40" w:line="178" w:lineRule="auto"/>
        <w:rPr>
          <w:sz w:val="20"/>
          <w:szCs w:val="20"/>
        </w:rPr>
      </w:pPr>
      <w:r>
        <w:rPr>
          <w:i/>
          <w:iCs/>
          <w:sz w:val="20"/>
          <w:szCs w:val="20"/>
        </w:rPr>
        <w:t>Pospolitost lidí je nejsloži</w:t>
      </w:r>
      <w:r>
        <w:rPr>
          <w:i/>
          <w:iCs/>
          <w:sz w:val="20"/>
          <w:szCs w:val="20"/>
        </w:rPr>
        <w:softHyphen/>
        <w:t>tějším organismem sama o sobě a jestliže se v ní ještě uplatňují těžko poznatelné</w:t>
      </w:r>
      <w:r>
        <w:rPr>
          <w:i/>
          <w:iCs/>
          <w:sz w:val="20"/>
          <w:szCs w:val="20"/>
        </w:rPr>
        <w:t xml:space="preserve"> a ještě tíže regulovatelné slož</w:t>
      </w:r>
      <w:r>
        <w:rPr>
          <w:i/>
          <w:iCs/>
          <w:sz w:val="20"/>
          <w:szCs w:val="20"/>
        </w:rPr>
        <w:softHyphen/>
        <w:t>ky duchové, je pochopitelno, proč nedovedem vynajiti snadný a lehce proveditelný plán na dokonalé zařízeni lidské společnosti.</w:t>
      </w:r>
    </w:p>
    <w:p w:rsidR="00500724" w:rsidRDefault="00F30FB8">
      <w:pPr>
        <w:pStyle w:val="Zkladntext20"/>
        <w:shd w:val="clear" w:color="auto" w:fill="auto"/>
        <w:spacing w:after="40" w:line="180" w:lineRule="auto"/>
        <w:rPr>
          <w:sz w:val="20"/>
          <w:szCs w:val="20"/>
        </w:rPr>
      </w:pPr>
      <w:r>
        <w:rPr>
          <w:i/>
          <w:iCs/>
          <w:sz w:val="20"/>
          <w:szCs w:val="20"/>
        </w:rPr>
        <w:t>Ona jediná, ničím nevy</w:t>
      </w:r>
      <w:r>
        <w:rPr>
          <w:i/>
          <w:iCs/>
          <w:sz w:val="20"/>
          <w:szCs w:val="20"/>
        </w:rPr>
        <w:softHyphen/>
        <w:t>vrácená a trvale, bezpodmí</w:t>
      </w:r>
      <w:r>
        <w:rPr>
          <w:i/>
          <w:iCs/>
          <w:sz w:val="20"/>
          <w:szCs w:val="20"/>
        </w:rPr>
        <w:softHyphen/>
        <w:t>nečně platná zásada o pospo</w:t>
      </w:r>
      <w:r>
        <w:rPr>
          <w:i/>
          <w:iCs/>
          <w:sz w:val="20"/>
          <w:szCs w:val="20"/>
        </w:rPr>
        <w:softHyphen/>
        <w:t>litém založení člo</w:t>
      </w:r>
      <w:r>
        <w:rPr>
          <w:i/>
          <w:iCs/>
          <w:sz w:val="20"/>
          <w:szCs w:val="20"/>
        </w:rPr>
        <w:t>věka, má ovšem také své praktické meze: jsou totiž určité hra</w:t>
      </w:r>
      <w:r>
        <w:rPr>
          <w:i/>
          <w:iCs/>
          <w:sz w:val="20"/>
          <w:szCs w:val="20"/>
        </w:rPr>
        <w:softHyphen/>
        <w:t>nice rozsahu společenských útvarů. Nejsou sice absolut</w:t>
      </w:r>
      <w:r>
        <w:rPr>
          <w:i/>
          <w:iCs/>
          <w:sz w:val="20"/>
          <w:szCs w:val="20"/>
        </w:rPr>
        <w:softHyphen/>
        <w:t>ní, nýbrž relativní, což zna</w:t>
      </w:r>
      <w:r>
        <w:rPr>
          <w:i/>
          <w:iCs/>
          <w:sz w:val="20"/>
          <w:szCs w:val="20"/>
        </w:rPr>
        <w:softHyphen/>
        <w:t>mená, že bez určitých před</w:t>
      </w:r>
      <w:r>
        <w:rPr>
          <w:i/>
          <w:iCs/>
          <w:sz w:val="20"/>
          <w:szCs w:val="20"/>
        </w:rPr>
        <w:softHyphen/>
        <w:t>pokladů vnitřní souvislosti a vzájemnosti nemůže se po</w:t>
      </w:r>
      <w:r>
        <w:rPr>
          <w:i/>
          <w:iCs/>
          <w:sz w:val="20"/>
          <w:szCs w:val="20"/>
        </w:rPr>
        <w:softHyphen/>
        <w:t>spolitý útvar udržeti, třeba</w:t>
      </w:r>
      <w:r>
        <w:rPr>
          <w:i/>
          <w:iCs/>
          <w:sz w:val="20"/>
          <w:szCs w:val="20"/>
        </w:rPr>
        <w:t xml:space="preserve"> byl vytvořen jakkoliv ener</w:t>
      </w:r>
      <w:r>
        <w:rPr>
          <w:i/>
          <w:iCs/>
          <w:sz w:val="20"/>
          <w:szCs w:val="20"/>
        </w:rPr>
        <w:softHyphen/>
        <w:t>gickým zásahem sebe geniál</w:t>
      </w:r>
      <w:r>
        <w:rPr>
          <w:i/>
          <w:iCs/>
          <w:sz w:val="20"/>
          <w:szCs w:val="20"/>
        </w:rPr>
        <w:softHyphen/>
        <w:t>nějšího jednotlivce. Proto se rozpadlo panství Sarukinovo, Chamurapiho, Kyrovo, Alex</w:t>
      </w:r>
      <w:r>
        <w:rPr>
          <w:i/>
          <w:iCs/>
          <w:sz w:val="20"/>
          <w:szCs w:val="20"/>
        </w:rPr>
        <w:softHyphen/>
        <w:t xml:space="preserve">androvo, Napoleonovo, proto měly tak přechodné trvání říše nájezdníků, </w:t>
      </w:r>
      <w:r>
        <w:rPr>
          <w:i/>
          <w:iCs/>
          <w:sz w:val="20"/>
          <w:szCs w:val="20"/>
          <w:lang w:val="en-US" w:eastAsia="en-US" w:bidi="en-US"/>
        </w:rPr>
        <w:t xml:space="preserve">at </w:t>
      </w:r>
      <w:r>
        <w:rPr>
          <w:i/>
          <w:iCs/>
          <w:sz w:val="20"/>
          <w:szCs w:val="20"/>
        </w:rPr>
        <w:t>šlo o Hyk- sy či Huny nebo kohokoliv jinéh</w:t>
      </w:r>
      <w:r>
        <w:rPr>
          <w:i/>
          <w:iCs/>
          <w:sz w:val="20"/>
          <w:szCs w:val="20"/>
        </w:rPr>
        <w:t>o, a proto se často ještě dříve než jejich tvůrcové ztrácely umělé mocenské sle</w:t>
      </w:r>
      <w:r>
        <w:rPr>
          <w:i/>
          <w:iCs/>
          <w:sz w:val="20"/>
          <w:szCs w:val="20"/>
        </w:rPr>
        <w:softHyphen/>
        <w:t>pence středověkých panovní</w:t>
      </w:r>
      <w:r>
        <w:rPr>
          <w:i/>
          <w:iCs/>
          <w:sz w:val="20"/>
          <w:szCs w:val="20"/>
        </w:rPr>
        <w:softHyphen/>
        <w:t>ků. Naproti tomu, přes všech</w:t>
      </w:r>
      <w:r>
        <w:rPr>
          <w:i/>
          <w:iCs/>
          <w:sz w:val="20"/>
          <w:szCs w:val="20"/>
        </w:rPr>
        <w:softHyphen/>
        <w:t>nu původní a nikdy nezahla- zenou rozdílnost svých složek</w:t>
      </w:r>
      <w:r>
        <w:br w:type="page"/>
      </w:r>
    </w:p>
    <w:p w:rsidR="00500724" w:rsidRDefault="00F30FB8">
      <w:pPr>
        <w:pStyle w:val="Zkladntext40"/>
        <w:framePr w:w="2626" w:h="12379" w:vSpace="400" w:wrap="around" w:hAnchor="page" w:x="591" w:y="2756"/>
        <w:shd w:val="clear" w:color="auto" w:fill="auto"/>
        <w:spacing w:after="80" w:line="163" w:lineRule="auto"/>
        <w:rPr>
          <w:sz w:val="16"/>
          <w:szCs w:val="16"/>
        </w:rPr>
      </w:pPr>
      <w:r>
        <w:rPr>
          <w:b/>
          <w:bCs/>
          <w:sz w:val="16"/>
          <w:szCs w:val="16"/>
        </w:rPr>
        <w:t xml:space="preserve">chvíli vůbec jednali. </w:t>
      </w:r>
      <w:r>
        <w:rPr>
          <w:b/>
          <w:bCs/>
          <w:sz w:val="16"/>
          <w:szCs w:val="16"/>
          <w:lang w:val="en-US" w:eastAsia="en-US" w:bidi="en-US"/>
        </w:rPr>
        <w:t xml:space="preserve">Makarov </w:t>
      </w:r>
      <w:r>
        <w:rPr>
          <w:b/>
          <w:bCs/>
          <w:sz w:val="16"/>
          <w:szCs w:val="16"/>
        </w:rPr>
        <w:t>ne</w:t>
      </w:r>
      <w:r>
        <w:rPr>
          <w:b/>
          <w:bCs/>
          <w:sz w:val="16"/>
          <w:szCs w:val="16"/>
        </w:rPr>
        <w:softHyphen/>
        <w:t>byl n Port Arturu ani celých</w:t>
      </w:r>
      <w:r>
        <w:rPr>
          <w:b/>
          <w:bCs/>
          <w:sz w:val="16"/>
          <w:szCs w:val="16"/>
        </w:rPr>
        <w:t xml:space="preserve"> osm</w:t>
      </w:r>
      <w:r>
        <w:rPr>
          <w:b/>
          <w:bCs/>
          <w:sz w:val="16"/>
          <w:szCs w:val="16"/>
        </w:rPr>
        <w:softHyphen/>
        <w:t>ačtyřicet hodin a již si zjednal dvěma smělými podniky lásko mužstva a zároveň neslýchanou popularitu po celé Rusi.</w:t>
      </w:r>
    </w:p>
    <w:p w:rsidR="00500724" w:rsidRDefault="00F30FB8">
      <w:pPr>
        <w:pStyle w:val="Zkladntext40"/>
        <w:framePr w:w="2626" w:h="12379" w:vSpace="400" w:wrap="around" w:hAnchor="page" w:x="591" w:y="2756"/>
        <w:shd w:val="clear" w:color="auto" w:fill="auto"/>
        <w:spacing w:after="100" w:line="180" w:lineRule="auto"/>
        <w:jc w:val="center"/>
      </w:pPr>
      <w:r>
        <w:t>X</w:t>
      </w:r>
    </w:p>
    <w:p w:rsidR="00500724" w:rsidRDefault="00F30FB8">
      <w:pPr>
        <w:pStyle w:val="Zkladntext40"/>
        <w:framePr w:w="2626" w:h="12379" w:vSpace="400" w:wrap="around" w:hAnchor="page" w:x="591" w:y="2756"/>
        <w:shd w:val="clear" w:color="auto" w:fill="auto"/>
        <w:spacing w:after="0" w:line="168" w:lineRule="auto"/>
        <w:ind w:firstLine="200"/>
        <w:rPr>
          <w:sz w:val="16"/>
          <w:szCs w:val="16"/>
        </w:rPr>
      </w:pPr>
      <w:r>
        <w:rPr>
          <w:b/>
          <w:bCs/>
          <w:sz w:val="16"/>
          <w:szCs w:val="16"/>
        </w:rPr>
        <w:t xml:space="preserve">Bylo dne 10. března. Za svítání došlo k útoku ruských </w:t>
      </w:r>
      <w:r>
        <w:rPr>
          <w:b/>
          <w:bCs/>
          <w:sz w:val="16"/>
          <w:szCs w:val="16"/>
          <w:lang w:val="en-US" w:eastAsia="en-US" w:bidi="en-US"/>
        </w:rPr>
        <w:t xml:space="preserve">torpedo- </w:t>
      </w:r>
      <w:r>
        <w:rPr>
          <w:b/>
          <w:bCs/>
          <w:sz w:val="16"/>
          <w:szCs w:val="16"/>
        </w:rPr>
        <w:t>vek na první japonskou divisi torpédoborců a k boji mezi dru</w:t>
      </w:r>
      <w:r>
        <w:rPr>
          <w:b/>
          <w:bCs/>
          <w:sz w:val="16"/>
          <w:szCs w:val="16"/>
        </w:rPr>
        <w:softHyphen/>
        <w:t xml:space="preserve">hou </w:t>
      </w:r>
      <w:r>
        <w:rPr>
          <w:b/>
          <w:bCs/>
          <w:sz w:val="16"/>
          <w:szCs w:val="16"/>
        </w:rPr>
        <w:t>japonskou divisí a ruskými torpedovkamí »Stěregušěij&lt;c a »Rěšitělnyj«. »Rěšitělnému« se podařilo dostihnout v boji přísta</w:t>
      </w:r>
      <w:r>
        <w:rPr>
          <w:b/>
          <w:bCs/>
          <w:sz w:val="16"/>
          <w:szCs w:val="16"/>
        </w:rPr>
        <w:softHyphen/>
        <w:t>vu. »Stěreguščij« byl poškozen trefou do stroje, obklíčen japon</w:t>
      </w:r>
      <w:r>
        <w:rPr>
          <w:b/>
          <w:bCs/>
          <w:sz w:val="16"/>
          <w:szCs w:val="16"/>
        </w:rPr>
        <w:softHyphen/>
        <w:t>skou přesilou a zapleten do bez</w:t>
      </w:r>
      <w:r>
        <w:rPr>
          <w:b/>
          <w:bCs/>
          <w:sz w:val="16"/>
          <w:szCs w:val="16"/>
        </w:rPr>
        <w:softHyphen/>
        <w:t xml:space="preserve">nadějného boje. Ze širého moře se již </w:t>
      </w:r>
      <w:r>
        <w:rPr>
          <w:b/>
          <w:bCs/>
          <w:sz w:val="16"/>
          <w:szCs w:val="16"/>
        </w:rPr>
        <w:t>blížil japonský admirál Dewa s třetí divisí. V Port Artu</w:t>
      </w:r>
      <w:r>
        <w:rPr>
          <w:b/>
          <w:bCs/>
          <w:sz w:val="16"/>
          <w:szCs w:val="16"/>
        </w:rPr>
        <w:softHyphen/>
        <w:t>ru byl pohotově k boji jen lehký křižník »Novik«. těžký křižník »Askold« teprve zatápěl pod kotly. Měl-li být »Stěregušcij« zachráněn, byla každá vteřina drahá. »Novik« vyplul ihned plnou parou z pří</w:t>
      </w:r>
      <w:r>
        <w:rPr>
          <w:b/>
          <w:bCs/>
          <w:sz w:val="16"/>
          <w:szCs w:val="16"/>
        </w:rPr>
        <w:t>stavu a náhle spatřili všichni ■— pobřežní bate</w:t>
      </w:r>
      <w:r>
        <w:rPr>
          <w:b/>
          <w:bCs/>
          <w:sz w:val="16"/>
          <w:szCs w:val="16"/>
        </w:rPr>
        <w:softHyphen/>
        <w:t xml:space="preserve">rie, obrněnci, </w:t>
      </w:r>
      <w:r>
        <w:rPr>
          <w:b/>
          <w:bCs/>
          <w:sz w:val="16"/>
          <w:szCs w:val="16"/>
          <w:lang w:val="en-US" w:eastAsia="en-US" w:bidi="en-US"/>
        </w:rPr>
        <w:t>torpedo</w:t>
      </w:r>
      <w:r>
        <w:rPr>
          <w:b/>
          <w:bCs/>
          <w:sz w:val="16"/>
          <w:szCs w:val="16"/>
        </w:rPr>
        <w:t>vky —, že na hlavním stěžni neobrněného křižníku zavlála admirálská vlaj</w:t>
      </w:r>
      <w:r>
        <w:rPr>
          <w:b/>
          <w:bCs/>
          <w:sz w:val="16"/>
          <w:szCs w:val="16"/>
        </w:rPr>
        <w:softHyphen/>
        <w:t xml:space="preserve">ka. </w:t>
      </w:r>
      <w:r>
        <w:rPr>
          <w:b/>
          <w:bCs/>
          <w:sz w:val="16"/>
          <w:szCs w:val="16"/>
          <w:lang w:val="en-US" w:eastAsia="en-US" w:bidi="en-US"/>
        </w:rPr>
        <w:t xml:space="preserve">Makarov </w:t>
      </w:r>
      <w:r>
        <w:rPr>
          <w:b/>
          <w:bCs/>
          <w:sz w:val="16"/>
          <w:szCs w:val="16"/>
        </w:rPr>
        <w:t>nevyčkal, až bude mít »Askold&lt;t páru, ale vyjel na »Noviku« sám vstříc nepříteli. Semjonov líčí ve sv</w:t>
      </w:r>
      <w:r>
        <w:rPr>
          <w:b/>
          <w:bCs/>
          <w:sz w:val="16"/>
          <w:szCs w:val="16"/>
        </w:rPr>
        <w:t xml:space="preserve">é knize »Rasplata« nadšení námořníků, když viděli, jak vrchní velitel bez ohledu na postavení, hodnost a opatrnost vyjíždí na malé. rychlé lodi osobně do boje. Před přemoci Dewovy divise se musil </w:t>
      </w:r>
      <w:r>
        <w:rPr>
          <w:b/>
          <w:bCs/>
          <w:sz w:val="16"/>
          <w:szCs w:val="16"/>
          <w:lang w:val="en-US" w:eastAsia="en-US" w:bidi="en-US"/>
        </w:rPr>
        <w:t xml:space="preserve">Makarov </w:t>
      </w:r>
      <w:r>
        <w:rPr>
          <w:b/>
          <w:bCs/>
          <w:sz w:val="16"/>
          <w:szCs w:val="16"/>
        </w:rPr>
        <w:t>ovšem stáhnout zpátky, ale hned nato vyrazil ještě j</w:t>
      </w:r>
      <w:r>
        <w:rPr>
          <w:b/>
          <w:bCs/>
          <w:sz w:val="16"/>
          <w:szCs w:val="16"/>
        </w:rPr>
        <w:t>ednou s »Askoldem«. pobřežní baterie za</w:t>
      </w:r>
      <w:r>
        <w:rPr>
          <w:b/>
          <w:bCs/>
          <w:sz w:val="16"/>
          <w:szCs w:val="16"/>
        </w:rPr>
        <w:softHyphen/>
        <w:t>sáhly také do hoje a tak bylo možno alespoň zabránit, aby se tonoucí torpedovka dostala ne</w:t>
      </w:r>
      <w:r>
        <w:rPr>
          <w:b/>
          <w:bCs/>
          <w:sz w:val="16"/>
          <w:szCs w:val="16"/>
        </w:rPr>
        <w:softHyphen/>
        <w:t>příteli do rukou.</w:t>
      </w:r>
    </w:p>
    <w:p w:rsidR="00500724" w:rsidRDefault="00F30FB8">
      <w:pPr>
        <w:pStyle w:val="Zkladntext40"/>
        <w:framePr w:w="2626" w:h="12379" w:vSpace="400" w:wrap="around" w:hAnchor="page" w:x="591" w:y="2756"/>
        <w:shd w:val="clear" w:color="auto" w:fill="auto"/>
        <w:spacing w:after="0" w:line="170" w:lineRule="auto"/>
        <w:ind w:firstLine="200"/>
        <w:rPr>
          <w:sz w:val="16"/>
          <w:szCs w:val="16"/>
        </w:rPr>
      </w:pPr>
      <w:r>
        <w:rPr>
          <w:b/>
          <w:bCs/>
          <w:sz w:val="16"/>
          <w:szCs w:val="16"/>
        </w:rPr>
        <w:t>»V nerovném utkání, kdy dvě ruské torpedovky bojovaly nej</w:t>
      </w:r>
      <w:r>
        <w:rPr>
          <w:b/>
          <w:bCs/>
          <w:sz w:val="16"/>
          <w:szCs w:val="16"/>
        </w:rPr>
        <w:softHyphen/>
        <w:t xml:space="preserve">prve s jednou japonskou a potom stál </w:t>
      </w:r>
      <w:r>
        <w:rPr>
          <w:b/>
          <w:bCs/>
          <w:sz w:val="16"/>
          <w:szCs w:val="16"/>
        </w:rPr>
        <w:t>.Stěreguščij* sám proti obrov</w:t>
      </w:r>
      <w:r>
        <w:rPr>
          <w:b/>
          <w:bCs/>
          <w:sz w:val="16"/>
          <w:szCs w:val="16"/>
        </w:rPr>
        <w:softHyphen/>
        <w:t>ské přesile, utrpěli Japonci těžké ztráty. Torpedovka .Akebono* byla sedmadvacetkrát zasažena střelami a byla těžce poškozena. Dvě jiné japonské torpedovky havarovaly. Na ,Stěregušěím‘ padla téměř všechna posádka i s kapitánem</w:t>
      </w:r>
      <w:r>
        <w:rPr>
          <w:b/>
          <w:bCs/>
          <w:sz w:val="16"/>
          <w:szCs w:val="16"/>
        </w:rPr>
        <w:t>.</w:t>
      </w:r>
    </w:p>
    <w:p w:rsidR="00500724" w:rsidRDefault="00F30FB8">
      <w:pPr>
        <w:pStyle w:val="Zkladntext40"/>
        <w:framePr w:w="2626" w:h="12379" w:vSpace="400" w:wrap="around" w:hAnchor="page" w:x="591" w:y="2756"/>
        <w:shd w:val="clear" w:color="auto" w:fill="auto"/>
        <w:spacing w:after="0" w:line="163" w:lineRule="auto"/>
        <w:ind w:firstLine="200"/>
        <w:rPr>
          <w:sz w:val="16"/>
          <w:szCs w:val="16"/>
        </w:rPr>
      </w:pPr>
      <w:r>
        <w:rPr>
          <w:b/>
          <w:bCs/>
          <w:sz w:val="16"/>
          <w:szCs w:val="16"/>
        </w:rPr>
        <w:t xml:space="preserve">Následující dni přinesly ještě docela jiné novoty. A nyní se také ukázalo, že </w:t>
      </w:r>
      <w:r>
        <w:rPr>
          <w:b/>
          <w:bCs/>
          <w:sz w:val="16"/>
          <w:szCs w:val="16"/>
          <w:lang w:val="en-US" w:eastAsia="en-US" w:bidi="en-US"/>
        </w:rPr>
        <w:t xml:space="preserve">Makarov </w:t>
      </w:r>
      <w:r>
        <w:rPr>
          <w:b/>
          <w:bCs/>
          <w:sz w:val="16"/>
          <w:szCs w:val="16"/>
        </w:rPr>
        <w:t>je něco víc než dobrý psycholog a statečný voják — že je to vůdce, který do</w:t>
      </w:r>
      <w:r>
        <w:rPr>
          <w:b/>
          <w:bCs/>
          <w:sz w:val="16"/>
          <w:szCs w:val="16"/>
        </w:rPr>
        <w:softHyphen/>
        <w:t>vede v rozhodujících chvílích rázně jednat.</w:t>
      </w:r>
    </w:p>
    <w:p w:rsidR="00500724" w:rsidRDefault="00F30FB8">
      <w:pPr>
        <w:pStyle w:val="Zkladntext40"/>
        <w:framePr w:w="2626" w:h="12379" w:vSpace="400" w:wrap="around" w:hAnchor="page" w:x="591" w:y="2756"/>
        <w:shd w:val="clear" w:color="auto" w:fill="auto"/>
        <w:spacing w:after="0" w:line="166" w:lineRule="auto"/>
        <w:ind w:firstLine="200"/>
        <w:rPr>
          <w:sz w:val="16"/>
          <w:szCs w:val="16"/>
        </w:rPr>
      </w:pPr>
      <w:r>
        <w:rPr>
          <w:b/>
          <w:bCs/>
          <w:sz w:val="16"/>
          <w:szCs w:val="16"/>
        </w:rPr>
        <w:t>Port Artur nebyl vhodný váleč</w:t>
      </w:r>
      <w:r>
        <w:rPr>
          <w:b/>
          <w:bCs/>
          <w:sz w:val="16"/>
          <w:szCs w:val="16"/>
        </w:rPr>
        <w:softHyphen/>
        <w:t>ný přístav. Jeho v</w:t>
      </w:r>
      <w:r>
        <w:rPr>
          <w:b/>
          <w:bCs/>
          <w:sz w:val="16"/>
          <w:szCs w:val="16"/>
        </w:rPr>
        <w:t>jezd byl úzký a nepohodlný a byl při nízkém stavu vody jen devět metrů hlu</w:t>
      </w:r>
      <w:r>
        <w:rPr>
          <w:b/>
          <w:bCs/>
          <w:sz w:val="16"/>
          <w:szCs w:val="16"/>
        </w:rPr>
        <w:softHyphen/>
        <w:t>boký. Ze čtyřiadvaceti hodin dne mohly velcí obrněnci použít jen krátké doby k výjezdu, totiž doby přílivu, kdy se hladina zvedla o tři metry. V úzkém vjezdu byl kromě toho silný pr</w:t>
      </w:r>
      <w:r>
        <w:rPr>
          <w:b/>
          <w:bCs/>
          <w:sz w:val="16"/>
          <w:szCs w:val="16"/>
        </w:rPr>
        <w:t>oud. Proto bylo nutno, aby byly obrněnce vytaženy z přístavu vlečnými parníky. &gt;Za odlivu blokoval nízký stav vody válečné loďstvo v Port Arturu lépe než nejsilnější nepřítel.«</w:t>
      </w:r>
    </w:p>
    <w:p w:rsidR="00500724" w:rsidRDefault="00F30FB8">
      <w:pPr>
        <w:pStyle w:val="Zkladntext40"/>
        <w:framePr w:w="2626" w:h="12379" w:vSpace="400" w:wrap="around" w:hAnchor="page" w:x="591" w:y="2756"/>
        <w:shd w:val="clear" w:color="auto" w:fill="auto"/>
        <w:spacing w:after="0" w:line="163" w:lineRule="auto"/>
        <w:ind w:firstLine="200"/>
        <w:rPr>
          <w:sz w:val="16"/>
          <w:szCs w:val="16"/>
        </w:rPr>
      </w:pPr>
      <w:r>
        <w:rPr>
          <w:b/>
          <w:bCs/>
          <w:sz w:val="16"/>
          <w:szCs w:val="16"/>
          <w:lang w:val="en-US" w:eastAsia="en-US" w:bidi="en-US"/>
        </w:rPr>
        <w:t xml:space="preserve">Togo </w:t>
      </w:r>
      <w:r>
        <w:rPr>
          <w:b/>
          <w:bCs/>
          <w:sz w:val="16"/>
          <w:szCs w:val="16"/>
        </w:rPr>
        <w:t>využil pro sebe této ne</w:t>
      </w:r>
      <w:r>
        <w:rPr>
          <w:b/>
          <w:bCs/>
          <w:sz w:val="16"/>
          <w:szCs w:val="16"/>
        </w:rPr>
        <w:softHyphen/>
        <w:t>výhody s přílivem a odlivem. Jed</w:t>
      </w:r>
      <w:r>
        <w:rPr>
          <w:b/>
          <w:bCs/>
          <w:sz w:val="16"/>
          <w:szCs w:val="16"/>
        </w:rPr>
        <w:softHyphen/>
        <w:t>nou zrána připlul</w:t>
      </w:r>
      <w:r>
        <w:rPr>
          <w:b/>
          <w:bCs/>
          <w:sz w:val="16"/>
          <w:szCs w:val="16"/>
        </w:rPr>
        <w:t xml:space="preserve"> za odlivu do Holubí zátoky západně od Port Arturu a zahájil nepřímé bom</w:t>
      </w:r>
      <w:r>
        <w:rPr>
          <w:b/>
          <w:bCs/>
          <w:sz w:val="16"/>
          <w:szCs w:val="16"/>
        </w:rPr>
        <w:softHyphen/>
        <w:t>bardování města a přístavu přes výšiny u Ljaotešanu. Jeho 30.5- centimetrové granáty, jejichž dél</w:t>
      </w:r>
      <w:r>
        <w:rPr>
          <w:b/>
          <w:bCs/>
          <w:sz w:val="16"/>
          <w:szCs w:val="16"/>
        </w:rPr>
        <w:softHyphen/>
        <w:t>ka činila čtyři ráže — tak zvané » kufry « — létaly s jekotem přes</w:t>
      </w:r>
    </w:p>
    <w:p w:rsidR="00500724" w:rsidRDefault="00F30FB8">
      <w:pPr>
        <w:pStyle w:val="Zkladntext20"/>
        <w:shd w:val="clear" w:color="auto" w:fill="auto"/>
        <w:spacing w:line="180" w:lineRule="auto"/>
        <w:ind w:firstLine="0"/>
        <w:rPr>
          <w:sz w:val="20"/>
          <w:szCs w:val="20"/>
        </w:rPr>
      </w:pPr>
      <w:r>
        <w:rPr>
          <w:i/>
          <w:iCs/>
          <w:sz w:val="20"/>
          <w:szCs w:val="20"/>
        </w:rPr>
        <w:t>mělo úctyhodně dlo</w:t>
      </w:r>
      <w:r>
        <w:rPr>
          <w:i/>
          <w:iCs/>
          <w:sz w:val="20"/>
          <w:szCs w:val="20"/>
        </w:rPr>
        <w:t>uhé trvá</w:t>
      </w:r>
      <w:r>
        <w:rPr>
          <w:i/>
          <w:iCs/>
          <w:sz w:val="20"/>
          <w:szCs w:val="20"/>
        </w:rPr>
        <w:softHyphen/>
        <w:t>ni římské impérium. protože spojovalo své příslušníky kladnými hodnotami; podob</w:t>
      </w:r>
      <w:r>
        <w:rPr>
          <w:i/>
          <w:iCs/>
          <w:sz w:val="20"/>
          <w:szCs w:val="20"/>
        </w:rPr>
        <w:softHyphen/>
        <w:t>ně pak zasahuje do světo</w:t>
      </w:r>
      <w:r>
        <w:rPr>
          <w:i/>
          <w:iCs/>
          <w:sz w:val="20"/>
          <w:szCs w:val="20"/>
        </w:rPr>
        <w:softHyphen/>
        <w:t>vých dějin dnešní britské im</w:t>
      </w:r>
      <w:r>
        <w:rPr>
          <w:i/>
          <w:iCs/>
          <w:sz w:val="20"/>
          <w:szCs w:val="20"/>
        </w:rPr>
        <w:softHyphen/>
        <w:t>périum, svým životem a ustrojením tak nápadně se v mnohém podobající staré římské říši. Patří ovšem k vrcholům st</w:t>
      </w:r>
      <w:r>
        <w:rPr>
          <w:i/>
          <w:iCs/>
          <w:sz w:val="20"/>
          <w:szCs w:val="20"/>
        </w:rPr>
        <w:t>átnického umění dáti velikému a růsnotvár- nému celku takovou míru společných zájmů, aby byly překonány jiné rozdíly a jiní činitelé. Na dokonalou stát</w:t>
      </w:r>
      <w:r>
        <w:rPr>
          <w:i/>
          <w:iCs/>
          <w:sz w:val="20"/>
          <w:szCs w:val="20"/>
        </w:rPr>
        <w:softHyphen/>
        <w:t>nickou neschopnost zahynula habsburská říše.</w:t>
      </w:r>
    </w:p>
    <w:p w:rsidR="00500724" w:rsidRDefault="00F30FB8">
      <w:pPr>
        <w:pStyle w:val="Zkladntext20"/>
        <w:shd w:val="clear" w:color="auto" w:fill="auto"/>
        <w:spacing w:line="182" w:lineRule="auto"/>
        <w:ind w:firstLine="220"/>
        <w:rPr>
          <w:sz w:val="20"/>
          <w:szCs w:val="20"/>
        </w:rPr>
      </w:pPr>
      <w:r>
        <w:rPr>
          <w:i/>
          <w:iCs/>
          <w:sz w:val="20"/>
          <w:szCs w:val="20"/>
        </w:rPr>
        <w:t>Zkušebním kamenem stát</w:t>
      </w:r>
      <w:r>
        <w:rPr>
          <w:i/>
          <w:iCs/>
          <w:sz w:val="20"/>
          <w:szCs w:val="20"/>
        </w:rPr>
        <w:softHyphen/>
        <w:t>nického umění byla, je a pa</w:t>
      </w:r>
      <w:r>
        <w:rPr>
          <w:i/>
          <w:iCs/>
          <w:sz w:val="20"/>
          <w:szCs w:val="20"/>
        </w:rPr>
        <w:softHyphen/>
        <w:t>trně ješ</w:t>
      </w:r>
      <w:r>
        <w:rPr>
          <w:i/>
          <w:iCs/>
          <w:sz w:val="20"/>
          <w:szCs w:val="20"/>
        </w:rPr>
        <w:t>tě dlouho bude otáz</w:t>
      </w:r>
      <w:r>
        <w:rPr>
          <w:i/>
          <w:iCs/>
          <w:sz w:val="20"/>
          <w:szCs w:val="20"/>
        </w:rPr>
        <w:softHyphen/>
        <w:t>ka národní, to jest způsob, jakým uvésti v soulad s po</w:t>
      </w:r>
      <w:r>
        <w:rPr>
          <w:i/>
          <w:iCs/>
          <w:sz w:val="20"/>
          <w:szCs w:val="20"/>
        </w:rPr>
        <w:softHyphen/>
        <w:t>třebami nebo přáními státně politického rázu národní své</w:t>
      </w:r>
      <w:r>
        <w:rPr>
          <w:i/>
          <w:iCs/>
          <w:sz w:val="20"/>
          <w:szCs w:val="20"/>
        </w:rPr>
        <w:softHyphen/>
        <w:t>bytnost a z ní vyplývající touhy.</w:t>
      </w:r>
    </w:p>
    <w:p w:rsidR="00500724" w:rsidRDefault="00F30FB8">
      <w:pPr>
        <w:pStyle w:val="Zkladntext40"/>
        <w:shd w:val="clear" w:color="auto" w:fill="auto"/>
        <w:spacing w:after="280" w:line="226" w:lineRule="auto"/>
        <w:jc w:val="right"/>
      </w:pPr>
      <w:r>
        <w:t>(Revue »Věda a život« č. 8.)</w:t>
      </w:r>
    </w:p>
    <w:p w:rsidR="00500724" w:rsidRDefault="00F30FB8">
      <w:pPr>
        <w:pStyle w:val="Zkladntext40"/>
        <w:shd w:val="clear" w:color="auto" w:fill="auto"/>
        <w:spacing w:after="0" w:line="166" w:lineRule="auto"/>
        <w:rPr>
          <w:sz w:val="16"/>
          <w:szCs w:val="16"/>
        </w:rPr>
      </w:pPr>
      <w:r>
        <w:rPr>
          <w:b/>
          <w:bCs/>
          <w:sz w:val="16"/>
          <w:szCs w:val="16"/>
        </w:rPr>
        <w:t>pahorky a dopadaly do přístavu, na skladiště, do ulic a na lo</w:t>
      </w:r>
      <w:r>
        <w:rPr>
          <w:b/>
          <w:bCs/>
          <w:sz w:val="16"/>
          <w:szCs w:val="16"/>
        </w:rPr>
        <w:t>di. Toto střílení do terče se konalo I dne 10. března. Rusové si připa</w:t>
      </w:r>
      <w:r>
        <w:rPr>
          <w:b/>
          <w:bCs/>
          <w:sz w:val="16"/>
          <w:szCs w:val="16"/>
        </w:rPr>
        <w:softHyphen/>
        <w:t xml:space="preserve">dali, jako by je někdo svázal a fackoval. </w:t>
      </w:r>
      <w:r>
        <w:rPr>
          <w:b/>
          <w:bCs/>
          <w:sz w:val="16"/>
          <w:szCs w:val="16"/>
          <w:lang w:val="en-US" w:eastAsia="en-US" w:bidi="en-US"/>
        </w:rPr>
        <w:t xml:space="preserve">Togo </w:t>
      </w:r>
      <w:r>
        <w:rPr>
          <w:b/>
          <w:bCs/>
          <w:sz w:val="16"/>
          <w:szCs w:val="16"/>
        </w:rPr>
        <w:t>neměl při tom na mysli praktické výsledky, spíše morální účinek. Ale nepočítal s Makarovem. Až dosud trval celý ten obtížný manévr s vyplu</w:t>
      </w:r>
      <w:r>
        <w:rPr>
          <w:b/>
          <w:bCs/>
          <w:sz w:val="16"/>
          <w:szCs w:val="16"/>
        </w:rPr>
        <w:t>tím loďstva za přílivu vždy aspoň čtyřiadvacet hodin. Dne 11. března vyjelo náhle celé ruské loďstvo v době přílivu za dvě a půl hodiny z přístavu, manévro</w:t>
      </w:r>
      <w:r>
        <w:rPr>
          <w:b/>
          <w:bCs/>
          <w:sz w:val="16"/>
          <w:szCs w:val="16"/>
        </w:rPr>
        <w:softHyphen/>
        <w:t>valo na širém moři a vrátilo se mezi pátou a sedmou zase zpát</w:t>
      </w:r>
      <w:r>
        <w:rPr>
          <w:b/>
          <w:bCs/>
          <w:sz w:val="16"/>
          <w:szCs w:val="16"/>
        </w:rPr>
        <w:softHyphen/>
        <w:t>ky. ^Nevěřili jsme svým očím,« píše Se</w:t>
      </w:r>
      <w:r>
        <w:rPr>
          <w:b/>
          <w:bCs/>
          <w:sz w:val="16"/>
          <w:szCs w:val="16"/>
        </w:rPr>
        <w:t>mjonov ve své knize, »naši mladí důstojníci byli bez sebe radostí.«</w:t>
      </w:r>
    </w:p>
    <w:p w:rsidR="00500724" w:rsidRDefault="00F30FB8">
      <w:pPr>
        <w:pStyle w:val="Zkladntext40"/>
        <w:shd w:val="clear" w:color="auto" w:fill="auto"/>
        <w:spacing w:after="0" w:line="163" w:lineRule="auto"/>
        <w:ind w:firstLine="220"/>
        <w:rPr>
          <w:sz w:val="16"/>
          <w:szCs w:val="16"/>
        </w:rPr>
      </w:pPr>
      <w:r>
        <w:rPr>
          <w:b/>
          <w:bCs/>
          <w:sz w:val="16"/>
          <w:szCs w:val="16"/>
        </w:rPr>
        <w:t xml:space="preserve">Nepřímé ostřelování začalo hned po odlivu a bylo ukončeno v polovině přílivu. </w:t>
      </w:r>
      <w:r>
        <w:rPr>
          <w:b/>
          <w:bCs/>
          <w:sz w:val="16"/>
          <w:szCs w:val="16"/>
          <w:lang w:val="en-US" w:eastAsia="en-US" w:bidi="en-US"/>
        </w:rPr>
        <w:t xml:space="preserve">Makarov </w:t>
      </w:r>
      <w:r>
        <w:rPr>
          <w:b/>
          <w:bCs/>
          <w:sz w:val="16"/>
          <w:szCs w:val="16"/>
        </w:rPr>
        <w:t>po</w:t>
      </w:r>
      <w:r>
        <w:rPr>
          <w:b/>
          <w:bCs/>
          <w:sz w:val="16"/>
          <w:szCs w:val="16"/>
        </w:rPr>
        <w:softHyphen/>
        <w:t>mýšlel již na příští. Když pak dne 22. března bitevní lodi »Fudži« a »Jašima« znovu za</w:t>
      </w:r>
      <w:r>
        <w:rPr>
          <w:b/>
          <w:bCs/>
          <w:sz w:val="16"/>
          <w:szCs w:val="16"/>
        </w:rPr>
        <w:softHyphen/>
        <w:t xml:space="preserve">hájily </w:t>
      </w:r>
      <w:r>
        <w:rPr>
          <w:b/>
          <w:bCs/>
          <w:sz w:val="16"/>
          <w:szCs w:val="16"/>
        </w:rPr>
        <w:t>nepřímé bombardování, vraceli svázaní Rusové k největ</w:t>
      </w:r>
      <w:r>
        <w:rPr>
          <w:b/>
          <w:bCs/>
          <w:sz w:val="16"/>
          <w:szCs w:val="16"/>
        </w:rPr>
        <w:softHyphen/>
        <w:t>šímu překvapení Japonců všech</w:t>
      </w:r>
      <w:r>
        <w:rPr>
          <w:b/>
          <w:bCs/>
          <w:sz w:val="16"/>
          <w:szCs w:val="16"/>
        </w:rPr>
        <w:softHyphen/>
        <w:t>ny facky i s úroky. Nová pobřež</w:t>
      </w:r>
      <w:r>
        <w:rPr>
          <w:b/>
          <w:bCs/>
          <w:sz w:val="16"/>
          <w:szCs w:val="16"/>
        </w:rPr>
        <w:softHyphen/>
        <w:t>ní baterie na Rjaotešanu začala střílet granáty po japonských obrněncích. »Poběda« a poškoze</w:t>
      </w:r>
      <w:r>
        <w:rPr>
          <w:b/>
          <w:bCs/>
          <w:sz w:val="16"/>
          <w:szCs w:val="16"/>
        </w:rPr>
        <w:softHyphen/>
        <w:t>ný »Retvizan« zahájily současně z vnitřního pří</w:t>
      </w:r>
      <w:r>
        <w:rPr>
          <w:b/>
          <w:bCs/>
          <w:sz w:val="16"/>
          <w:szCs w:val="16"/>
        </w:rPr>
        <w:t>stavu palbu, která byla řízena telefonickou pozoro</w:t>
      </w:r>
      <w:r>
        <w:rPr>
          <w:b/>
          <w:bCs/>
          <w:sz w:val="16"/>
          <w:szCs w:val="16"/>
        </w:rPr>
        <w:softHyphen/>
        <w:t xml:space="preserve">vací stanicí tak úspěšně, že »Fudži« byla pro havarii nucena zastavit palbu po dvou hodinách. Za hodinu potom končil odliv. </w:t>
      </w:r>
      <w:r>
        <w:rPr>
          <w:b/>
          <w:bCs/>
          <w:sz w:val="16"/>
          <w:szCs w:val="16"/>
          <w:lang w:val="en-US" w:eastAsia="en-US" w:bidi="en-US"/>
        </w:rPr>
        <w:t xml:space="preserve">Makarov </w:t>
      </w:r>
      <w:r>
        <w:rPr>
          <w:b/>
          <w:bCs/>
          <w:sz w:val="16"/>
          <w:szCs w:val="16"/>
        </w:rPr>
        <w:t>vyjel z přístavu na »Petropavlovsku«. čtyři nepoško</w:t>
      </w:r>
      <w:r>
        <w:rPr>
          <w:b/>
          <w:bCs/>
          <w:sz w:val="16"/>
          <w:szCs w:val="16"/>
        </w:rPr>
        <w:softHyphen/>
        <w:t>zené bitevní lodi plu</w:t>
      </w:r>
      <w:r>
        <w:rPr>
          <w:b/>
          <w:bCs/>
          <w:sz w:val="16"/>
          <w:szCs w:val="16"/>
        </w:rPr>
        <w:t>ly za nám, na</w:t>
      </w:r>
      <w:r>
        <w:rPr>
          <w:b/>
          <w:bCs/>
          <w:sz w:val="16"/>
          <w:szCs w:val="16"/>
        </w:rPr>
        <w:softHyphen/>
        <w:t>padly divisi japonských křižníků, kotvících v zálivu, a donutily je k ústupu. Daleko za obzorem dý- mály komíny hlavního japonské</w:t>
      </w:r>
      <w:r>
        <w:rPr>
          <w:b/>
          <w:bCs/>
          <w:sz w:val="16"/>
          <w:szCs w:val="16"/>
        </w:rPr>
        <w:softHyphen/>
        <w:t xml:space="preserve">ho loďstva. </w:t>
      </w:r>
      <w:r>
        <w:rPr>
          <w:b/>
          <w:bCs/>
          <w:sz w:val="16"/>
          <w:szCs w:val="16"/>
          <w:lang w:val="en-US" w:eastAsia="en-US" w:bidi="en-US"/>
        </w:rPr>
        <w:t xml:space="preserve">Togo </w:t>
      </w:r>
      <w:r>
        <w:rPr>
          <w:b/>
          <w:bCs/>
          <w:sz w:val="16"/>
          <w:szCs w:val="16"/>
        </w:rPr>
        <w:t xml:space="preserve">nabízel bitvu. Ale </w:t>
      </w:r>
      <w:r>
        <w:rPr>
          <w:b/>
          <w:bCs/>
          <w:sz w:val="16"/>
          <w:szCs w:val="16"/>
          <w:lang w:val="en-US" w:eastAsia="en-US" w:bidi="en-US"/>
        </w:rPr>
        <w:t xml:space="preserve">Makarov </w:t>
      </w:r>
      <w:r>
        <w:rPr>
          <w:b/>
          <w:bCs/>
          <w:sz w:val="16"/>
          <w:szCs w:val="16"/>
        </w:rPr>
        <w:t xml:space="preserve">věděl, k tomu že ještě nepřišel čas — že musí být napřed »Pallada«, </w:t>
      </w:r>
      <w:r>
        <w:rPr>
          <w:b/>
          <w:bCs/>
          <w:sz w:val="16"/>
          <w:szCs w:val="16"/>
        </w:rPr>
        <w:t xml:space="preserve">»Retvizan« a »Cesarevič« schopny boje. Držel se poblíž přístavu, pod ochranou pobřežních baterií — sám také připraven k uvítání Japonců. </w:t>
      </w:r>
      <w:r>
        <w:rPr>
          <w:b/>
          <w:bCs/>
          <w:sz w:val="16"/>
          <w:szCs w:val="16"/>
          <w:lang w:val="en-US" w:eastAsia="en-US" w:bidi="en-US"/>
        </w:rPr>
        <w:t xml:space="preserve">Togo </w:t>
      </w:r>
      <w:r>
        <w:rPr>
          <w:b/>
          <w:bCs/>
          <w:sz w:val="16"/>
          <w:szCs w:val="16"/>
        </w:rPr>
        <w:t>však byl příliš opatrný, aby^ se odvážil bitvy v dostřelu pobřežních baterií Port Arturu. Měl nakázáno, aby šetřil</w:t>
      </w:r>
      <w:r>
        <w:rPr>
          <w:b/>
          <w:bCs/>
          <w:sz w:val="16"/>
          <w:szCs w:val="16"/>
        </w:rPr>
        <w:t xml:space="preserve"> lodi pro rozhodující chvíli, kdy bude vy</w:t>
      </w:r>
      <w:r>
        <w:rPr>
          <w:b/>
          <w:bCs/>
          <w:sz w:val="16"/>
          <w:szCs w:val="16"/>
        </w:rPr>
        <w:softHyphen/>
        <w:t>hlídka na vítězství větší. Mohl Čekat — štěstí mu hrálo do rukou!</w:t>
      </w:r>
    </w:p>
    <w:p w:rsidR="00500724" w:rsidRDefault="00F30FB8">
      <w:pPr>
        <w:pStyle w:val="Zkladntext40"/>
        <w:shd w:val="clear" w:color="auto" w:fill="auto"/>
        <w:spacing w:after="0" w:line="163" w:lineRule="auto"/>
        <w:ind w:firstLine="220"/>
        <w:rPr>
          <w:sz w:val="16"/>
          <w:szCs w:val="16"/>
        </w:rPr>
      </w:pPr>
      <w:r>
        <w:rPr>
          <w:b/>
          <w:bCs/>
          <w:sz w:val="16"/>
          <w:szCs w:val="16"/>
        </w:rPr>
        <w:t>Pod Makarovovým vedením se domohla portarturská eskadra strategického významu. Rušilo volnost protivníkových pohybů, neboť vyjíždělo skoro každý den</w:t>
      </w:r>
      <w:r>
        <w:rPr>
          <w:b/>
          <w:bCs/>
          <w:sz w:val="16"/>
          <w:szCs w:val="16"/>
        </w:rPr>
        <w:t xml:space="preserve"> a manévrovalo daleko v širém moři; stalo se tak stálým nebez</w:t>
      </w:r>
      <w:r>
        <w:rPr>
          <w:b/>
          <w:bCs/>
          <w:sz w:val="16"/>
          <w:szCs w:val="16"/>
        </w:rPr>
        <w:softHyphen/>
        <w:t>pečím pro japonskou námořní plavbu. Ale ta potřebovala vzhle</w:t>
      </w:r>
      <w:r>
        <w:rPr>
          <w:b/>
          <w:bCs/>
          <w:sz w:val="16"/>
          <w:szCs w:val="16"/>
        </w:rPr>
        <w:softHyphen/>
        <w:t>dem k dopravě vojáků na Koreu právě nyní více bezpečnosti než kdy jindy. Aleksějev, který po</w:t>
      </w:r>
      <w:r>
        <w:rPr>
          <w:b/>
          <w:bCs/>
          <w:sz w:val="16"/>
          <w:szCs w:val="16"/>
        </w:rPr>
        <w:softHyphen/>
        <w:t>nechal Makarovovl úplně volnou ruku. pos</w:t>
      </w:r>
      <w:r>
        <w:rPr>
          <w:b/>
          <w:bCs/>
          <w:sz w:val="16"/>
          <w:szCs w:val="16"/>
        </w:rPr>
        <w:t>taral se o to, aby byli do Port Arturu povoláni výtečně vyškolení dělníci baltských lodě</w:t>
      </w:r>
      <w:r>
        <w:rPr>
          <w:b/>
          <w:bCs/>
          <w:sz w:val="16"/>
          <w:szCs w:val="16"/>
        </w:rPr>
        <w:softHyphen/>
        <w:t>nic, kteři za okolností nepředsta</w:t>
      </w:r>
      <w:r>
        <w:rPr>
          <w:b/>
          <w:bCs/>
          <w:sz w:val="16"/>
          <w:szCs w:val="16"/>
        </w:rPr>
        <w:softHyphen/>
        <w:t>vitelně obtížných provedli opravu poškozených lodí v rekordním čase a tak bezpečnost japonské námořní dopravy byla den ode dne menší.</w:t>
      </w:r>
    </w:p>
    <w:p w:rsidR="00500724" w:rsidRDefault="00F30FB8">
      <w:pPr>
        <w:pStyle w:val="Zkladntext40"/>
        <w:shd w:val="clear" w:color="auto" w:fill="auto"/>
        <w:spacing w:after="0" w:line="168" w:lineRule="auto"/>
        <w:ind w:firstLine="220"/>
        <w:rPr>
          <w:sz w:val="16"/>
          <w:szCs w:val="16"/>
        </w:rPr>
      </w:pPr>
      <w:r>
        <w:rPr>
          <w:b/>
          <w:bCs/>
          <w:sz w:val="16"/>
          <w:szCs w:val="16"/>
        </w:rPr>
        <w:t>Po prvním, nezdařeném pokusil o zatarasení portarturského pří</w:t>
      </w:r>
      <w:r>
        <w:rPr>
          <w:b/>
          <w:bCs/>
          <w:sz w:val="16"/>
          <w:szCs w:val="16"/>
        </w:rPr>
        <w:softHyphen/>
        <w:t xml:space="preserve">stavu odvážil se </w:t>
      </w:r>
      <w:r>
        <w:rPr>
          <w:b/>
          <w:bCs/>
          <w:sz w:val="16"/>
          <w:szCs w:val="16"/>
          <w:lang w:val="en-US" w:eastAsia="en-US" w:bidi="en-US"/>
        </w:rPr>
        <w:t xml:space="preserve">Togo </w:t>
      </w:r>
      <w:r>
        <w:rPr>
          <w:b/>
          <w:bCs/>
          <w:sz w:val="16"/>
          <w:szCs w:val="16"/>
        </w:rPr>
        <w:t>v noci z 26. na 27. března nového. Tento pokus ztroskotal pro bdělost ruských námořníků a na obran</w:t>
      </w:r>
      <w:r>
        <w:rPr>
          <w:b/>
          <w:bCs/>
          <w:sz w:val="16"/>
          <w:szCs w:val="16"/>
        </w:rPr>
        <w:softHyphen/>
        <w:t xml:space="preserve">ných opatřeních </w:t>
      </w:r>
      <w:r>
        <w:rPr>
          <w:b/>
          <w:bCs/>
          <w:sz w:val="16"/>
          <w:szCs w:val="16"/>
          <w:lang w:val="en-US" w:eastAsia="en-US" w:bidi="en-US"/>
        </w:rPr>
        <w:t xml:space="preserve">Makarov </w:t>
      </w:r>
      <w:r>
        <w:rPr>
          <w:b/>
          <w:bCs/>
          <w:sz w:val="16"/>
          <w:szCs w:val="16"/>
        </w:rPr>
        <w:t>ových. Ruská flotila, místo aby byla za</w:t>
      </w:r>
      <w:r>
        <w:rPr>
          <w:b/>
          <w:bCs/>
          <w:sz w:val="16"/>
          <w:szCs w:val="16"/>
        </w:rPr>
        <w:softHyphen/>
      </w:r>
      <w:r>
        <w:rPr>
          <w:b/>
          <w:bCs/>
          <w:sz w:val="16"/>
          <w:szCs w:val="16"/>
        </w:rPr>
        <w:t xml:space="preserve">blokována, vyplula druhého dne ráno v plné síle na širé moře. </w:t>
      </w:r>
      <w:r>
        <w:rPr>
          <w:b/>
          <w:bCs/>
          <w:sz w:val="16"/>
          <w:szCs w:val="16"/>
          <w:lang w:val="en-US" w:eastAsia="en-US" w:bidi="en-US"/>
        </w:rPr>
        <w:t xml:space="preserve">Togo </w:t>
      </w:r>
      <w:r>
        <w:rPr>
          <w:b/>
          <w:bCs/>
          <w:sz w:val="16"/>
          <w:szCs w:val="16"/>
        </w:rPr>
        <w:t>ustoupil.</w:t>
      </w:r>
    </w:p>
    <w:p w:rsidR="00500724" w:rsidRDefault="00F30FB8">
      <w:pPr>
        <w:pStyle w:val="Zkladntext40"/>
        <w:shd w:val="clear" w:color="auto" w:fill="auto"/>
        <w:spacing w:after="0" w:line="166" w:lineRule="auto"/>
        <w:rPr>
          <w:sz w:val="16"/>
          <w:szCs w:val="16"/>
        </w:rPr>
      </w:pPr>
      <w:r>
        <w:rPr>
          <w:noProof/>
        </w:rPr>
        <mc:AlternateContent>
          <mc:Choice Requires="wps">
            <w:drawing>
              <wp:anchor distT="0" distB="0" distL="0" distR="0" simplePos="0" relativeHeight="125829894" behindDoc="0" locked="0" layoutInCell="1" allowOverlap="1">
                <wp:simplePos x="0" y="0"/>
                <wp:positionH relativeFrom="page">
                  <wp:posOffset>3730625</wp:posOffset>
                </wp:positionH>
                <wp:positionV relativeFrom="margin">
                  <wp:posOffset>3175</wp:posOffset>
                </wp:positionV>
                <wp:extent cx="1673225" cy="7733030"/>
                <wp:effectExtent l="0" t="0" r="0" b="0"/>
                <wp:wrapSquare wrapText="bothSides"/>
                <wp:docPr id="517" name="Shape 517"/>
                <wp:cNvGraphicFramePr/>
                <a:graphic xmlns:a="http://schemas.openxmlformats.org/drawingml/2006/main">
                  <a:graphicData uri="http://schemas.microsoft.com/office/word/2010/wordprocessingShape">
                    <wps:wsp>
                      <wps:cNvSpPr txBox="1"/>
                      <wps:spPr>
                        <a:xfrm>
                          <a:off x="0" y="0"/>
                          <a:ext cx="1673225" cy="7733030"/>
                        </a:xfrm>
                        <a:prstGeom prst="rect">
                          <a:avLst/>
                        </a:prstGeom>
                        <a:noFill/>
                      </wps:spPr>
                      <wps:txbx>
                        <w:txbxContent>
                          <w:p w:rsidR="00500724" w:rsidRDefault="00F30FB8">
                            <w:pPr>
                              <w:pStyle w:val="Zkladntext40"/>
                              <w:shd w:val="clear" w:color="auto" w:fill="auto"/>
                              <w:spacing w:after="0" w:line="166" w:lineRule="auto"/>
                              <w:ind w:firstLine="180"/>
                              <w:rPr>
                                <w:sz w:val="16"/>
                                <w:szCs w:val="16"/>
                              </w:rPr>
                            </w:pPr>
                            <w:r>
                              <w:rPr>
                                <w:b/>
                                <w:bCs/>
                                <w:sz w:val="16"/>
                                <w:szCs w:val="16"/>
                              </w:rPr>
                              <w:t>Potom nadešla aosudná noc« — noc z 12. na 13. duben. To, co po ní následovalo, znamenalo na</w:t>
                            </w:r>
                            <w:r>
                              <w:rPr>
                                <w:b/>
                                <w:bCs/>
                                <w:sz w:val="16"/>
                                <w:szCs w:val="16"/>
                              </w:rPr>
                              <w:softHyphen/>
                              <w:t>prostý obrat v průběhu války.</w:t>
                            </w:r>
                          </w:p>
                          <w:p w:rsidR="00500724" w:rsidRDefault="00F30FB8">
                            <w:pPr>
                              <w:pStyle w:val="Zkladntext40"/>
                              <w:shd w:val="clear" w:color="auto" w:fill="auto"/>
                              <w:spacing w:after="0" w:line="166" w:lineRule="auto"/>
                              <w:ind w:firstLine="180"/>
                              <w:rPr>
                                <w:sz w:val="16"/>
                                <w:szCs w:val="16"/>
                              </w:rPr>
                            </w:pPr>
                            <w:r>
                              <w:rPr>
                                <w:b/>
                                <w:bCs/>
                                <w:sz w:val="16"/>
                                <w:szCs w:val="16"/>
                              </w:rPr>
                              <w:t>V šest hodin odpoledne za sněhové vánice a vlnobití se</w:t>
                            </w:r>
                            <w:r>
                              <w:rPr>
                                <w:b/>
                                <w:bCs/>
                                <w:sz w:val="16"/>
                                <w:szCs w:val="16"/>
                              </w:rPr>
                              <w:t xml:space="preserve"> od</w:t>
                            </w:r>
                            <w:r>
                              <w:rPr>
                                <w:b/>
                                <w:bCs/>
                                <w:sz w:val="16"/>
                                <w:szCs w:val="16"/>
                              </w:rPr>
                              <w:softHyphen/>
                              <w:t xml:space="preserve">dělily japonské torpédové divise, pověřené kladením min. od jádra japonského loďstva. </w:t>
                            </w:r>
                            <w:r>
                              <w:rPr>
                                <w:b/>
                                <w:bCs/>
                                <w:sz w:val="16"/>
                                <w:szCs w:val="16"/>
                                <w:lang w:val="en-US" w:eastAsia="en-US" w:bidi="en-US"/>
                              </w:rPr>
                              <w:t xml:space="preserve">Togo </w:t>
                            </w:r>
                            <w:r>
                              <w:rPr>
                                <w:b/>
                                <w:bCs/>
                                <w:sz w:val="16"/>
                                <w:szCs w:val="16"/>
                              </w:rPr>
                              <w:t>jim signalisuje se své vlajkové lodi »Mikaza«: »Přeji vám mnoho zdaru.« Pomocný křižník »Koriu- Maru« odpovídá: »Za takového příznivého počasí musíme mít úspěch.</w:t>
                            </w:r>
                            <w:r>
                              <w:rPr>
                                <w:b/>
                                <w:bCs/>
                                <w:sz w:val="16"/>
                                <w:szCs w:val="16"/>
                              </w:rPr>
                              <w:t>« V několika minutách zmizela divise na západě v husté chumelenici. Kolem jedenácté v noci dorazila k Port Arturu a za</w:t>
                            </w:r>
                            <w:r>
                              <w:rPr>
                                <w:b/>
                                <w:bCs/>
                                <w:sz w:val="16"/>
                                <w:szCs w:val="16"/>
                              </w:rPr>
                              <w:softHyphen/>
                              <w:t>čala svou práci. Pobřežní baterie uvedly v činnost světlometů, če</w:t>
                            </w:r>
                            <w:r>
                              <w:rPr>
                                <w:b/>
                                <w:bCs/>
                                <w:sz w:val="16"/>
                                <w:szCs w:val="16"/>
                              </w:rPr>
                              <w:softHyphen/>
                              <w:t>hož použili Japonci k určení vlastní posice. Mléčné bílé světlo reflekt</w:t>
                            </w:r>
                            <w:r>
                              <w:rPr>
                                <w:b/>
                                <w:bCs/>
                                <w:sz w:val="16"/>
                                <w:szCs w:val="16"/>
                              </w:rPr>
                              <w:t>orů však proniklo noční sněhovou vánicí jen na velmi ma</w:t>
                            </w:r>
                            <w:r>
                              <w:rPr>
                                <w:b/>
                                <w:bCs/>
                                <w:sz w:val="16"/>
                                <w:szCs w:val="16"/>
                              </w:rPr>
                              <w:softHyphen/>
                              <w:t>lou vzdálenost. Pokladači min nebyli objeveni.</w:t>
                            </w:r>
                          </w:p>
                          <w:p w:rsidR="00500724" w:rsidRDefault="00F30FB8">
                            <w:pPr>
                              <w:pStyle w:val="Zkladntext40"/>
                              <w:shd w:val="clear" w:color="auto" w:fill="auto"/>
                              <w:spacing w:after="0" w:line="163" w:lineRule="auto"/>
                              <w:ind w:firstLine="180"/>
                              <w:rPr>
                                <w:sz w:val="16"/>
                                <w:szCs w:val="16"/>
                              </w:rPr>
                            </w:pPr>
                            <w:r>
                              <w:rPr>
                                <w:b/>
                                <w:bCs/>
                                <w:sz w:val="16"/>
                                <w:szCs w:val="16"/>
                              </w:rPr>
                              <w:t xml:space="preserve">Ne tak docela! </w:t>
                            </w:r>
                            <w:r>
                              <w:rPr>
                                <w:b/>
                                <w:bCs/>
                                <w:sz w:val="16"/>
                                <w:szCs w:val="16"/>
                                <w:lang w:val="en-US" w:eastAsia="en-US" w:bidi="en-US"/>
                              </w:rPr>
                              <w:t xml:space="preserve">Makarov </w:t>
                            </w:r>
                            <w:r>
                              <w:rPr>
                                <w:b/>
                                <w:bCs/>
                                <w:sz w:val="16"/>
                                <w:szCs w:val="16"/>
                              </w:rPr>
                              <w:t>nařídil, aby každou noc hlídal u vjezdu do přístavu za ruskou hradbou opoutaných min jeden křižník s několika torpedovkamí. Ojeví-</w:t>
                            </w:r>
                            <w:r>
                              <w:rPr>
                                <w:b/>
                                <w:bCs/>
                                <w:sz w:val="16"/>
                                <w:szCs w:val="16"/>
                              </w:rPr>
                              <w:t>li se nepřátelské torpedovky nebo lodi. určené k zatarasení vjezdu do přístavu, měly strážné lodi přejít na jisté znamení k útoku. Admirál sám ztrávil skoro každou noc na křižníku, který měl hlíd</w:t>
                            </w:r>
                            <w:r>
                              <w:rPr>
                                <w:b/>
                                <w:bCs/>
                                <w:sz w:val="16"/>
                                <w:szCs w:val="16"/>
                              </w:rPr>
                              <w:softHyphen/>
                              <w:t>kovou službu. V neprůhledné vá</w:t>
                            </w:r>
                            <w:r>
                              <w:rPr>
                                <w:b/>
                                <w:bCs/>
                                <w:sz w:val="16"/>
                                <w:szCs w:val="16"/>
                              </w:rPr>
                              <w:softHyphen/>
                              <w:t>nici této noci z 12. dubna zp</w:t>
                            </w:r>
                            <w:r>
                              <w:rPr>
                                <w:b/>
                                <w:bCs/>
                                <w:sz w:val="16"/>
                                <w:szCs w:val="16"/>
                              </w:rPr>
                              <w:t>ozo</w:t>
                            </w:r>
                            <w:r>
                              <w:rPr>
                                <w:b/>
                                <w:bCs/>
                                <w:sz w:val="16"/>
                                <w:szCs w:val="16"/>
                              </w:rPr>
                              <w:softHyphen/>
                              <w:t>roval se svého stanoviště »po- dezřelé stíny a záblesky světel«, dal zjistit jejich přibližnou polo</w:t>
                            </w:r>
                            <w:r>
                              <w:rPr>
                                <w:b/>
                                <w:bCs/>
                                <w:sz w:val="16"/>
                                <w:szCs w:val="16"/>
                              </w:rPr>
                              <w:softHyphen/>
                              <w:t>hu a rozhodl se, že dá nazítří prozkoumat tuto oblast hledači min.</w:t>
                            </w:r>
                          </w:p>
                          <w:p w:rsidR="00500724" w:rsidRDefault="00F30FB8">
                            <w:pPr>
                              <w:pStyle w:val="Zkladntext40"/>
                              <w:shd w:val="clear" w:color="auto" w:fill="auto"/>
                              <w:spacing w:after="0" w:line="163" w:lineRule="auto"/>
                              <w:ind w:firstLine="180"/>
                              <w:rPr>
                                <w:sz w:val="16"/>
                                <w:szCs w:val="16"/>
                              </w:rPr>
                            </w:pPr>
                            <w:r>
                              <w:rPr>
                                <w:b/>
                                <w:bCs/>
                                <w:sz w:val="16"/>
                                <w:szCs w:val="16"/>
                              </w:rPr>
                              <w:t xml:space="preserve">Téže noci vyslal </w:t>
                            </w:r>
                            <w:r>
                              <w:rPr>
                                <w:b/>
                                <w:bCs/>
                                <w:sz w:val="16"/>
                                <w:szCs w:val="16"/>
                                <w:lang w:val="en-US" w:eastAsia="en-US" w:bidi="en-US"/>
                              </w:rPr>
                              <w:t xml:space="preserve">Makarov </w:t>
                            </w:r>
                            <w:r>
                              <w:rPr>
                                <w:b/>
                                <w:bCs/>
                                <w:sz w:val="16"/>
                                <w:szCs w:val="16"/>
                              </w:rPr>
                              <w:t>divisi torpedovek ke vzdáleným Ellio- tovým ostrovům, aby vy</w:t>
                            </w:r>
                            <w:r>
                              <w:rPr>
                                <w:b/>
                                <w:bCs/>
                                <w:sz w:val="16"/>
                                <w:szCs w:val="16"/>
                              </w:rPr>
                              <w:t>šetřila | pravděpodobnou polohu vlastního jádra japonského loďstva. V sně</w:t>
                            </w:r>
                            <w:r>
                              <w:rPr>
                                <w:b/>
                                <w:bCs/>
                                <w:sz w:val="16"/>
                                <w:szCs w:val="16"/>
                              </w:rPr>
                              <w:softHyphen/>
                              <w:t>hové vánici se dvě lodi — »Strašnyj« a »Smělyj« — vzdálily od ostatních. »Strašnyj« za chvíli spatřil ve směru své plavby flo</w:t>
                            </w:r>
                            <w:r>
                              <w:rPr>
                                <w:b/>
                                <w:bCs/>
                                <w:sz w:val="16"/>
                                <w:szCs w:val="16"/>
                              </w:rPr>
                              <w:softHyphen/>
                              <w:t>tilu torpedovek, zařadil se do ní a plul s ní celou noc.</w:t>
                            </w:r>
                            <w:r>
                              <w:rPr>
                                <w:b/>
                                <w:bCs/>
                                <w:sz w:val="16"/>
                                <w:szCs w:val="16"/>
                              </w:rPr>
                              <w:t xml:space="preserve"> Když se rozbřesklo, zpozoroval velitel, že je uprostřed Japonců — nebyla to totiž ruská flotila, nýbrž dru</w:t>
                            </w:r>
                            <w:r>
                              <w:rPr>
                                <w:b/>
                                <w:bCs/>
                                <w:sz w:val="16"/>
                                <w:szCs w:val="16"/>
                              </w:rPr>
                              <w:softHyphen/>
                              <w:t>há japonská divise torpédoborců, která měla za úkol krýt odchod japonských pokiadačů min. Ja</w:t>
                            </w:r>
                            <w:r>
                              <w:rPr>
                                <w:b/>
                                <w:bCs/>
                                <w:sz w:val="16"/>
                                <w:szCs w:val="16"/>
                              </w:rPr>
                              <w:softHyphen/>
                              <w:t>ponci zpozorovali ovšem omyl stejně rychle, vrhli se na</w:t>
                            </w:r>
                            <w:r>
                              <w:rPr>
                                <w:b/>
                                <w:bCs/>
                                <w:sz w:val="16"/>
                                <w:szCs w:val="16"/>
                              </w:rPr>
                              <w:t xml:space="preserve"> » Straš - ného« a brzy jej přemohli. Stroj byl zničen, slabé stěny proděra</w:t>
                            </w:r>
                            <w:r>
                              <w:rPr>
                                <w:b/>
                                <w:bCs/>
                                <w:sz w:val="16"/>
                                <w:szCs w:val="16"/>
                              </w:rPr>
                              <w:softHyphen/>
                              <w:t>věny jako řešeto, roura na vrhá</w:t>
                            </w:r>
                            <w:r>
                              <w:rPr>
                                <w:b/>
                                <w:bCs/>
                                <w:sz w:val="16"/>
                                <w:szCs w:val="16"/>
                              </w:rPr>
                              <w:softHyphen/>
                              <w:t>ní torpéd rozbita, mužstvo mrtvo nebo těžce raněno. Nakonec střílel na tonoucí lodi jen její velitel, poručík Malějev. ještě &amp; jedním námořníkem z k</w:t>
                            </w:r>
                            <w:r>
                              <w:rPr>
                                <w:b/>
                                <w:bCs/>
                                <w:sz w:val="16"/>
                                <w:szCs w:val="16"/>
                              </w:rPr>
                              <w:t>ulometu na ne</w:t>
                            </w:r>
                            <w:r>
                              <w:rPr>
                                <w:b/>
                                <w:bCs/>
                                <w:sz w:val="16"/>
                                <w:szCs w:val="16"/>
                              </w:rPr>
                              <w:softHyphen/>
                              <w:t>přítele. Než se zavřely vlny nad »Strašným«, skočil Malějev do vody. sám také zraněn. Vtom se vynořilo na obzoru pět komínů ruského obrněného křižníku »Ba~ jana«.</w:t>
                            </w:r>
                          </w:p>
                          <w:p w:rsidR="00500724" w:rsidRDefault="00F30FB8">
                            <w:pPr>
                              <w:pStyle w:val="Zkladntext40"/>
                              <w:shd w:val="clear" w:color="auto" w:fill="auto"/>
                              <w:spacing w:after="0" w:line="166" w:lineRule="auto"/>
                              <w:ind w:firstLine="220"/>
                              <w:rPr>
                                <w:sz w:val="16"/>
                                <w:szCs w:val="16"/>
                              </w:rPr>
                            </w:pPr>
                            <w:r>
                              <w:rPr>
                                <w:b/>
                                <w:bCs/>
                                <w:sz w:val="16"/>
                                <w:szCs w:val="16"/>
                              </w:rPr>
                              <w:t>»Smělyj« unikl Japoncům a po</w:t>
                            </w:r>
                            <w:r>
                              <w:rPr>
                                <w:b/>
                                <w:bCs/>
                                <w:sz w:val="16"/>
                                <w:szCs w:val="16"/>
                              </w:rPr>
                              <w:softHyphen/>
                              <w:t xml:space="preserve">dal admirálovi zprávu o boji. </w:t>
                            </w:r>
                            <w:r>
                              <w:rPr>
                                <w:b/>
                                <w:bCs/>
                                <w:sz w:val="16"/>
                                <w:szCs w:val="16"/>
                                <w:lang w:val="en-US" w:eastAsia="en-US" w:bidi="en-US"/>
                              </w:rPr>
                              <w:t xml:space="preserve">Makarov </w:t>
                            </w:r>
                            <w:r>
                              <w:rPr>
                                <w:b/>
                                <w:bCs/>
                                <w:sz w:val="16"/>
                                <w:szCs w:val="16"/>
                              </w:rPr>
                              <w:t>poslal »Baja</w:t>
                            </w:r>
                            <w:r>
                              <w:rPr>
                                <w:b/>
                                <w:bCs/>
                                <w:sz w:val="16"/>
                                <w:szCs w:val="16"/>
                              </w:rPr>
                              <w:t>na« na po</w:t>
                            </w:r>
                            <w:r>
                              <w:rPr>
                                <w:b/>
                                <w:bCs/>
                                <w:sz w:val="16"/>
                                <w:szCs w:val="16"/>
                              </w:rPr>
                              <w:softHyphen/>
                              <w:t>moc »Strašnému«. V zlosti nad tím, že se »Strašnyj« ztratil své divisi. zapomněl admirál, že v předešlé noci zahlédl » podezřelé stíny« jihozápadně od majáku na Rutin Rocku. V té chvíli se staral jen o to, že »Bajan« je v záchran</w:t>
                            </w:r>
                            <w:r>
                              <w:rPr>
                                <w:b/>
                                <w:bCs/>
                                <w:sz w:val="16"/>
                                <w:szCs w:val="16"/>
                              </w:rPr>
                              <w:softHyphen/>
                              <w:t>ném díle rušen k</w:t>
                            </w:r>
                            <w:r>
                              <w:rPr>
                                <w:b/>
                                <w:bCs/>
                                <w:sz w:val="16"/>
                                <w:szCs w:val="16"/>
                              </w:rPr>
                              <w:t>řižníky třetí ja</w:t>
                            </w:r>
                            <w:r>
                              <w:rPr>
                                <w:b/>
                                <w:bCs/>
                                <w:sz w:val="16"/>
                                <w:szCs w:val="16"/>
                              </w:rPr>
                              <w:softHyphen/>
                              <w:t xml:space="preserve">ponské divise admirála </w:t>
                            </w:r>
                            <w:r>
                              <w:rPr>
                                <w:b/>
                                <w:bCs/>
                                <w:sz w:val="16"/>
                                <w:szCs w:val="16"/>
                                <w:lang w:val="en-US" w:eastAsia="en-US" w:bidi="en-US"/>
                              </w:rPr>
                              <w:t xml:space="preserve">Dewy, </w:t>
                            </w:r>
                            <w:r>
                              <w:rPr>
                                <w:b/>
                                <w:bCs/>
                                <w:sz w:val="16"/>
                                <w:szCs w:val="16"/>
                              </w:rPr>
                              <w:t xml:space="preserve">jenž přešel k útoku. Obrněný křižník vysadil z pravého boku záchranné čluny a pálil z levého na Japonce. </w:t>
                            </w:r>
                            <w:r>
                              <w:rPr>
                                <w:b/>
                                <w:bCs/>
                                <w:sz w:val="16"/>
                                <w:szCs w:val="16"/>
                                <w:lang w:val="en-US" w:eastAsia="en-US" w:bidi="en-US"/>
                              </w:rPr>
                              <w:t xml:space="preserve">Makarov </w:t>
                            </w:r>
                            <w:r>
                              <w:rPr>
                                <w:b/>
                                <w:bCs/>
                                <w:sz w:val="16"/>
                                <w:szCs w:val="16"/>
                              </w:rPr>
                              <w:t>dal ihned rozkaz k výjezdu. Vpředu plul</w:t>
                            </w:r>
                          </w:p>
                        </w:txbxContent>
                      </wps:txbx>
                      <wps:bodyPr lIns="0" tIns="0" rIns="0" bIns="0">
                        <a:spAutoFit/>
                      </wps:bodyPr>
                    </wps:wsp>
                  </a:graphicData>
                </a:graphic>
              </wp:anchor>
            </w:drawing>
          </mc:Choice>
          <mc:Fallback>
            <w:pict>
              <v:shape id="_x0000_s1543" type="#_x0000_t202" style="position:absolute;margin-left:293.75pt;margin-top:0.25pt;width:131.75pt;height:608.89999999999998pt;z-index:-125828859;mso-wrap-distance-left:0;mso-wrap-distance-right:0;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166" w:lineRule="auto"/>
                        <w:ind w:left="0" w:right="0" w:firstLine="180"/>
                        <w:rPr>
                          <w:sz w:val="16"/>
                          <w:szCs w:val="16"/>
                        </w:rPr>
                      </w:pPr>
                      <w:r>
                        <w:rPr>
                          <w:b/>
                          <w:bCs/>
                          <w:color w:val="000000"/>
                          <w:spacing w:val="0"/>
                          <w:w w:val="100"/>
                          <w:position w:val="0"/>
                          <w:sz w:val="16"/>
                          <w:szCs w:val="16"/>
                          <w:shd w:val="clear" w:color="auto" w:fill="auto"/>
                          <w:lang w:val="cs-CZ" w:eastAsia="cs-CZ" w:bidi="cs-CZ"/>
                        </w:rPr>
                        <w:t>Potom nadešla aosudná noc« — noc z 12. na 13. duben. To, co po ní následovalo, znamenalo na</w:t>
                        <w:softHyphen/>
                        <w:t>prostý obrat v průběhu války.</w:t>
                      </w:r>
                    </w:p>
                    <w:p>
                      <w:pPr>
                        <w:pStyle w:val="Style42"/>
                        <w:keepNext w:val="0"/>
                        <w:keepLines w:val="0"/>
                        <w:widowControl w:val="0"/>
                        <w:shd w:val="clear" w:color="auto" w:fill="auto"/>
                        <w:bidi w:val="0"/>
                        <w:spacing w:before="0" w:after="0" w:line="166" w:lineRule="auto"/>
                        <w:ind w:left="0" w:right="0" w:firstLine="180"/>
                        <w:rPr>
                          <w:sz w:val="16"/>
                          <w:szCs w:val="16"/>
                        </w:rPr>
                      </w:pPr>
                      <w:r>
                        <w:rPr>
                          <w:b/>
                          <w:bCs/>
                          <w:color w:val="000000"/>
                          <w:spacing w:val="0"/>
                          <w:w w:val="100"/>
                          <w:position w:val="0"/>
                          <w:sz w:val="16"/>
                          <w:szCs w:val="16"/>
                          <w:shd w:val="clear" w:color="auto" w:fill="auto"/>
                          <w:lang w:val="cs-CZ" w:eastAsia="cs-CZ" w:bidi="cs-CZ"/>
                        </w:rPr>
                        <w:t>V šest hodin odpoledne za sněhové vánice a vlnobití se od</w:t>
                        <w:softHyphen/>
                        <w:t xml:space="preserve">dělily japonské torpédové divise, pověřené kladením min. od jádra japonského loďstva. </w:t>
                      </w:r>
                      <w:r>
                        <w:rPr>
                          <w:b/>
                          <w:bCs/>
                          <w:color w:val="000000"/>
                          <w:spacing w:val="0"/>
                          <w:w w:val="100"/>
                          <w:position w:val="0"/>
                          <w:sz w:val="16"/>
                          <w:szCs w:val="16"/>
                          <w:shd w:val="clear" w:color="auto" w:fill="auto"/>
                          <w:lang w:val="en-US" w:eastAsia="en-US" w:bidi="en-US"/>
                        </w:rPr>
                        <w:t xml:space="preserve">Togo </w:t>
                      </w:r>
                      <w:r>
                        <w:rPr>
                          <w:b/>
                          <w:bCs/>
                          <w:color w:val="000000"/>
                          <w:spacing w:val="0"/>
                          <w:w w:val="100"/>
                          <w:position w:val="0"/>
                          <w:sz w:val="16"/>
                          <w:szCs w:val="16"/>
                          <w:shd w:val="clear" w:color="auto" w:fill="auto"/>
                          <w:lang w:val="cs-CZ" w:eastAsia="cs-CZ" w:bidi="cs-CZ"/>
                        </w:rPr>
                        <w:t>jim signalisuje se své vlajkové lodi »Mikaza«: »Přeji vám mnoho zdaru.« Pomocný křižník »Koriu- Maru« odpovídá: »Za takového příznivého počasí musíme mít úspěch.« V několika minutách zmizela divise na západě v husté chumelenici. Kolem jedenácté v noci dorazila k Port Arturu a za</w:t>
                        <w:softHyphen/>
                        <w:t>čala svou práci. Pobřežní baterie uvedly v činnost světlometů, če</w:t>
                        <w:softHyphen/>
                        <w:t>hož použili Japonci k určení vlastní posice. Mléčné bílé světlo reflektorů však proniklo noční sněhovou vánicí jen na velmi ma</w:t>
                        <w:softHyphen/>
                        <w:t>lou vzdálenost. Pokladači min nebyli objeveni.</w:t>
                      </w:r>
                    </w:p>
                    <w:p>
                      <w:pPr>
                        <w:pStyle w:val="Style42"/>
                        <w:keepNext w:val="0"/>
                        <w:keepLines w:val="0"/>
                        <w:widowControl w:val="0"/>
                        <w:shd w:val="clear" w:color="auto" w:fill="auto"/>
                        <w:bidi w:val="0"/>
                        <w:spacing w:before="0" w:after="0" w:line="163" w:lineRule="auto"/>
                        <w:ind w:left="0" w:right="0" w:firstLine="180"/>
                        <w:rPr>
                          <w:sz w:val="16"/>
                          <w:szCs w:val="16"/>
                        </w:rPr>
                      </w:pPr>
                      <w:r>
                        <w:rPr>
                          <w:b/>
                          <w:bCs/>
                          <w:color w:val="000000"/>
                          <w:spacing w:val="0"/>
                          <w:w w:val="100"/>
                          <w:position w:val="0"/>
                          <w:sz w:val="16"/>
                          <w:szCs w:val="16"/>
                          <w:shd w:val="clear" w:color="auto" w:fill="auto"/>
                          <w:lang w:val="cs-CZ" w:eastAsia="cs-CZ" w:bidi="cs-CZ"/>
                        </w:rPr>
                        <w:t xml:space="preserve">Ne tak docela! </w:t>
                      </w:r>
                      <w:r>
                        <w:rPr>
                          <w:b/>
                          <w:bCs/>
                          <w:color w:val="000000"/>
                          <w:spacing w:val="0"/>
                          <w:w w:val="100"/>
                          <w:position w:val="0"/>
                          <w:sz w:val="16"/>
                          <w:szCs w:val="16"/>
                          <w:shd w:val="clear" w:color="auto" w:fill="auto"/>
                          <w:lang w:val="en-US" w:eastAsia="en-US" w:bidi="en-US"/>
                        </w:rPr>
                        <w:t xml:space="preserve">Makarov </w:t>
                      </w:r>
                      <w:r>
                        <w:rPr>
                          <w:b/>
                          <w:bCs/>
                          <w:color w:val="000000"/>
                          <w:spacing w:val="0"/>
                          <w:w w:val="100"/>
                          <w:position w:val="0"/>
                          <w:sz w:val="16"/>
                          <w:szCs w:val="16"/>
                          <w:shd w:val="clear" w:color="auto" w:fill="auto"/>
                          <w:lang w:val="cs-CZ" w:eastAsia="cs-CZ" w:bidi="cs-CZ"/>
                        </w:rPr>
                        <w:t>nařídil, aby každou noc hlídal u vjezdu do přístavu za ruskou hradbou opoutaných min jeden křižník s několika torpedovkamí. Ojeví-li se nepřátelské torpedovky nebo lodi. určené k zatarasení vjezdu do přístavu, měly strážné lodi přejít na jisté znamení k útoku. Admirál sám ztrávil skoro každou noc na křižníku, který měl hlíd</w:t>
                        <w:softHyphen/>
                        <w:t>kovou službu. V neprůhledné vá</w:t>
                        <w:softHyphen/>
                        <w:t>nici této noci z 12. dubna zpozo</w:t>
                        <w:softHyphen/>
                        <w:t>roval se svého stanoviště »po- dezřelé stíny a záblesky světel«, dal zjistit jejich přibližnou polo</w:t>
                        <w:softHyphen/>
                        <w:t>hu a rozhodl se, že dá nazítří prozkoumat tuto oblast hledači min.</w:t>
                      </w:r>
                    </w:p>
                    <w:p>
                      <w:pPr>
                        <w:pStyle w:val="Style42"/>
                        <w:keepNext w:val="0"/>
                        <w:keepLines w:val="0"/>
                        <w:widowControl w:val="0"/>
                        <w:shd w:val="clear" w:color="auto" w:fill="auto"/>
                        <w:bidi w:val="0"/>
                        <w:spacing w:before="0" w:after="0" w:line="163" w:lineRule="auto"/>
                        <w:ind w:left="0" w:right="0" w:firstLine="180"/>
                        <w:rPr>
                          <w:sz w:val="16"/>
                          <w:szCs w:val="16"/>
                        </w:rPr>
                      </w:pPr>
                      <w:r>
                        <w:rPr>
                          <w:b/>
                          <w:bCs/>
                          <w:color w:val="000000"/>
                          <w:spacing w:val="0"/>
                          <w:w w:val="100"/>
                          <w:position w:val="0"/>
                          <w:sz w:val="16"/>
                          <w:szCs w:val="16"/>
                          <w:shd w:val="clear" w:color="auto" w:fill="auto"/>
                          <w:lang w:val="cs-CZ" w:eastAsia="cs-CZ" w:bidi="cs-CZ"/>
                        </w:rPr>
                        <w:t xml:space="preserve">Téže noci vyslal </w:t>
                      </w:r>
                      <w:r>
                        <w:rPr>
                          <w:b/>
                          <w:bCs/>
                          <w:color w:val="000000"/>
                          <w:spacing w:val="0"/>
                          <w:w w:val="100"/>
                          <w:position w:val="0"/>
                          <w:sz w:val="16"/>
                          <w:szCs w:val="16"/>
                          <w:shd w:val="clear" w:color="auto" w:fill="auto"/>
                          <w:lang w:val="en-US" w:eastAsia="en-US" w:bidi="en-US"/>
                        </w:rPr>
                        <w:t xml:space="preserve">Makarov </w:t>
                      </w:r>
                      <w:r>
                        <w:rPr>
                          <w:b/>
                          <w:bCs/>
                          <w:color w:val="000000"/>
                          <w:spacing w:val="0"/>
                          <w:w w:val="100"/>
                          <w:position w:val="0"/>
                          <w:sz w:val="16"/>
                          <w:szCs w:val="16"/>
                          <w:shd w:val="clear" w:color="auto" w:fill="auto"/>
                          <w:lang w:val="cs-CZ" w:eastAsia="cs-CZ" w:bidi="cs-CZ"/>
                        </w:rPr>
                        <w:t>divisi torpedovek ke vzdáleným Ellio- tovým ostrovům, aby vyšetřila | pravděpodobnou polohu vlastního jádra japonského loďstva. V sně</w:t>
                        <w:softHyphen/>
                        <w:t>hové vánici se dvě lodi — »Strašnyj« a »Smělyj« — vzdálily od ostatních. »Strašnyj« za chvíli spatřil ve směru své plavby flo</w:t>
                        <w:softHyphen/>
                        <w:t>tilu torpedovek, zařadil se do ní a plul s ní celou noc. Když se rozbřesklo, zpozoroval velitel, že je uprostřed Japonců — nebyla to totiž ruská flotila, nýbrž dru</w:t>
                        <w:softHyphen/>
                        <w:t>há japonská divise torpédoborců, která měla za úkol krýt odchod japonských pokiadačů min. Ja</w:t>
                        <w:softHyphen/>
                        <w:t>ponci zpozorovali ovšem omyl stejně rychle, vrhli se na » Straš - ného« a brzy jej přemohli. Stroj byl zničen, slabé stěny proděra</w:t>
                        <w:softHyphen/>
                        <w:t>věny jako řešeto, roura na vrhá</w:t>
                        <w:softHyphen/>
                        <w:t>ní torpéd rozbita, mužstvo mrtvo nebo těžce raněno. Nakonec střílel na tonoucí lodi jen její velitel, poručík Malějev. ještě &amp; jedním námořníkem z kulometu na ne</w:t>
                        <w:softHyphen/>
                        <w:t>přítele. Než se zavřely vlny nad »Strašným«, skočil Malějev do vody. sám také zraněn. Vtom se vynořilo na obzoru pět komínů ruského obrněného křižníku »Ba~ jana«.</w:t>
                      </w:r>
                    </w:p>
                    <w:p>
                      <w:pPr>
                        <w:pStyle w:val="Style42"/>
                        <w:keepNext w:val="0"/>
                        <w:keepLines w:val="0"/>
                        <w:widowControl w:val="0"/>
                        <w:shd w:val="clear" w:color="auto" w:fill="auto"/>
                        <w:bidi w:val="0"/>
                        <w:spacing w:before="0" w:after="0" w:line="166" w:lineRule="auto"/>
                        <w:ind w:left="0" w:right="0" w:firstLine="220"/>
                        <w:rPr>
                          <w:sz w:val="16"/>
                          <w:szCs w:val="16"/>
                        </w:rPr>
                      </w:pPr>
                      <w:r>
                        <w:rPr>
                          <w:b/>
                          <w:bCs/>
                          <w:color w:val="000000"/>
                          <w:spacing w:val="0"/>
                          <w:w w:val="100"/>
                          <w:position w:val="0"/>
                          <w:sz w:val="16"/>
                          <w:szCs w:val="16"/>
                          <w:shd w:val="clear" w:color="auto" w:fill="auto"/>
                          <w:lang w:val="cs-CZ" w:eastAsia="cs-CZ" w:bidi="cs-CZ"/>
                        </w:rPr>
                        <w:t>»Smělyj« unikl Japoncům a po</w:t>
                        <w:softHyphen/>
                        <w:t xml:space="preserve">dal admirálovi zprávu o boji. </w:t>
                      </w:r>
                      <w:r>
                        <w:rPr>
                          <w:b/>
                          <w:bCs/>
                          <w:color w:val="000000"/>
                          <w:spacing w:val="0"/>
                          <w:w w:val="100"/>
                          <w:position w:val="0"/>
                          <w:sz w:val="16"/>
                          <w:szCs w:val="16"/>
                          <w:shd w:val="clear" w:color="auto" w:fill="auto"/>
                          <w:lang w:val="en-US" w:eastAsia="en-US" w:bidi="en-US"/>
                        </w:rPr>
                        <w:t xml:space="preserve">Makarov </w:t>
                      </w:r>
                      <w:r>
                        <w:rPr>
                          <w:b/>
                          <w:bCs/>
                          <w:color w:val="000000"/>
                          <w:spacing w:val="0"/>
                          <w:w w:val="100"/>
                          <w:position w:val="0"/>
                          <w:sz w:val="16"/>
                          <w:szCs w:val="16"/>
                          <w:shd w:val="clear" w:color="auto" w:fill="auto"/>
                          <w:lang w:val="cs-CZ" w:eastAsia="cs-CZ" w:bidi="cs-CZ"/>
                        </w:rPr>
                        <w:t>poslal »Bajana« na po</w:t>
                        <w:softHyphen/>
                        <w:t>moc »Strašnému«. V zlosti nad tím, že se »Strašnyj« ztratil své divisi. zapomněl admirál, že v předešlé noci zahlédl » podezřelé stíny« jihozápadně od majáku na Rutin Rocku. V té chvíli se staral jen o to, že »Bajan« je v záchran</w:t>
                        <w:softHyphen/>
                        <w:t>ném díle rušen křižníky třetí ja</w:t>
                        <w:softHyphen/>
                        <w:t xml:space="preserve">ponské divise admirála </w:t>
                      </w:r>
                      <w:r>
                        <w:rPr>
                          <w:b/>
                          <w:bCs/>
                          <w:color w:val="000000"/>
                          <w:spacing w:val="0"/>
                          <w:w w:val="100"/>
                          <w:position w:val="0"/>
                          <w:sz w:val="16"/>
                          <w:szCs w:val="16"/>
                          <w:shd w:val="clear" w:color="auto" w:fill="auto"/>
                          <w:lang w:val="en-US" w:eastAsia="en-US" w:bidi="en-US"/>
                        </w:rPr>
                        <w:t xml:space="preserve">Dewy, </w:t>
                      </w:r>
                      <w:r>
                        <w:rPr>
                          <w:b/>
                          <w:bCs/>
                          <w:color w:val="000000"/>
                          <w:spacing w:val="0"/>
                          <w:w w:val="100"/>
                          <w:position w:val="0"/>
                          <w:sz w:val="16"/>
                          <w:szCs w:val="16"/>
                          <w:shd w:val="clear" w:color="auto" w:fill="auto"/>
                          <w:lang w:val="cs-CZ" w:eastAsia="cs-CZ" w:bidi="cs-CZ"/>
                        </w:rPr>
                        <w:t xml:space="preserve">jenž přešel k útoku. Obrněný křižník vysadil z pravého boku záchranné čluny a pálil z levého na Japonce. </w:t>
                      </w:r>
                      <w:r>
                        <w:rPr>
                          <w:b/>
                          <w:bCs/>
                          <w:color w:val="000000"/>
                          <w:spacing w:val="0"/>
                          <w:w w:val="100"/>
                          <w:position w:val="0"/>
                          <w:sz w:val="16"/>
                          <w:szCs w:val="16"/>
                          <w:shd w:val="clear" w:color="auto" w:fill="auto"/>
                          <w:lang w:val="en-US" w:eastAsia="en-US" w:bidi="en-US"/>
                        </w:rPr>
                        <w:t xml:space="preserve">Makarov </w:t>
                      </w:r>
                      <w:r>
                        <w:rPr>
                          <w:b/>
                          <w:bCs/>
                          <w:color w:val="000000"/>
                          <w:spacing w:val="0"/>
                          <w:w w:val="100"/>
                          <w:position w:val="0"/>
                          <w:sz w:val="16"/>
                          <w:szCs w:val="16"/>
                          <w:shd w:val="clear" w:color="auto" w:fill="auto"/>
                          <w:lang w:val="cs-CZ" w:eastAsia="cs-CZ" w:bidi="cs-CZ"/>
                        </w:rPr>
                        <w:t>dal ihned rozkaz k výjezdu. Vpředu plul</w:t>
                      </w:r>
                    </w:p>
                  </w:txbxContent>
                </v:textbox>
                <w10:wrap type="square" anchorx="page" anchory="margin"/>
              </v:shape>
            </w:pict>
          </mc:Fallback>
        </mc:AlternateContent>
      </w:r>
      <w:r>
        <w:rPr>
          <w:noProof/>
        </w:rPr>
        <mc:AlternateContent>
          <mc:Choice Requires="wps">
            <w:drawing>
              <wp:anchor distT="114300" distB="469900" distL="114300" distR="114300" simplePos="0" relativeHeight="125829896" behindDoc="0" locked="0" layoutInCell="1" allowOverlap="1">
                <wp:simplePos x="0" y="0"/>
                <wp:positionH relativeFrom="page">
                  <wp:posOffset>3947160</wp:posOffset>
                </wp:positionH>
                <wp:positionV relativeFrom="margin">
                  <wp:posOffset>7927975</wp:posOffset>
                </wp:positionV>
                <wp:extent cx="2914015" cy="1456690"/>
                <wp:effectExtent l="0" t="0" r="0" b="0"/>
                <wp:wrapTopAndBottom/>
                <wp:docPr id="519" name="Shape 519"/>
                <wp:cNvGraphicFramePr/>
                <a:graphic xmlns:a="http://schemas.openxmlformats.org/drawingml/2006/main">
                  <a:graphicData uri="http://schemas.microsoft.com/office/word/2010/wordprocessingShape">
                    <wps:wsp>
                      <wps:cNvSpPr txBox="1"/>
                      <wps:spPr>
                        <a:xfrm>
                          <a:off x="0" y="0"/>
                          <a:ext cx="2914015" cy="1456690"/>
                        </a:xfrm>
                        <a:prstGeom prst="rect">
                          <a:avLst/>
                        </a:prstGeom>
                        <a:noFill/>
                      </wps:spPr>
                      <wps:txbx>
                        <w:txbxContent>
                          <w:p w:rsidR="00500724" w:rsidRDefault="00F30FB8">
                            <w:pPr>
                              <w:pStyle w:val="Jin0"/>
                              <w:shd w:val="clear" w:color="auto" w:fill="auto"/>
                              <w:ind w:firstLine="0"/>
                              <w:rPr>
                                <w:sz w:val="26"/>
                                <w:szCs w:val="26"/>
                              </w:rPr>
                            </w:pPr>
                            <w:r>
                              <w:rPr>
                                <w:rFonts w:ascii="Arial" w:eastAsia="Arial" w:hAnsi="Arial" w:cs="Arial"/>
                                <w:b/>
                                <w:bCs/>
                                <w:sz w:val="26"/>
                                <w:szCs w:val="26"/>
                              </w:rPr>
                              <w:t>PŘÍTOMNOST</w:t>
                            </w:r>
                          </w:p>
                          <w:p w:rsidR="00500724" w:rsidRDefault="00F30FB8">
                            <w:pPr>
                              <w:pStyle w:val="Zkladntext40"/>
                              <w:shd w:val="clear" w:color="auto" w:fill="auto"/>
                              <w:spacing w:after="0" w:line="240" w:lineRule="auto"/>
                            </w:pPr>
                            <w:r>
                              <w:t>ukládá starati se pečlivému otci o</w:t>
                            </w:r>
                          </w:p>
                          <w:p w:rsidR="00500724" w:rsidRDefault="00F30FB8">
                            <w:pPr>
                              <w:pStyle w:val="Jin0"/>
                              <w:shd w:val="clear" w:color="auto" w:fill="auto"/>
                              <w:ind w:firstLine="0"/>
                              <w:rPr>
                                <w:sz w:val="26"/>
                                <w:szCs w:val="26"/>
                              </w:rPr>
                            </w:pPr>
                            <w:r>
                              <w:rPr>
                                <w:rFonts w:ascii="Arial" w:eastAsia="Arial" w:hAnsi="Arial" w:cs="Arial"/>
                                <w:b/>
                                <w:bCs/>
                                <w:sz w:val="26"/>
                                <w:szCs w:val="26"/>
                              </w:rPr>
                              <w:t>BUDOUCNOST</w:t>
                            </w:r>
                          </w:p>
                          <w:p w:rsidR="00500724" w:rsidRDefault="00F30FB8">
                            <w:pPr>
                              <w:pStyle w:val="Zkladntext40"/>
                              <w:shd w:val="clear" w:color="auto" w:fill="auto"/>
                              <w:tabs>
                                <w:tab w:val="left" w:pos="2141"/>
                              </w:tabs>
                              <w:spacing w:after="0" w:line="240" w:lineRule="auto"/>
                            </w:pPr>
                            <w:r>
                              <w:t>rodiny</w:t>
                            </w:r>
                            <w:r>
                              <w:tab/>
                              <w:t>Vhedný i p ů s o b této péče</w:t>
                            </w:r>
                          </w:p>
                          <w:p w:rsidR="00500724" w:rsidRDefault="00F30FB8">
                            <w:pPr>
                              <w:pStyle w:val="Jin0"/>
                              <w:shd w:val="clear" w:color="auto" w:fill="auto"/>
                              <w:ind w:firstLine="0"/>
                              <w:jc w:val="right"/>
                              <w:rPr>
                                <w:sz w:val="26"/>
                                <w:szCs w:val="26"/>
                              </w:rPr>
                            </w:pPr>
                            <w:r>
                              <w:rPr>
                                <w:rFonts w:ascii="Arial" w:eastAsia="Arial" w:hAnsi="Arial" w:cs="Arial"/>
                                <w:b/>
                                <w:bCs/>
                                <w:sz w:val="26"/>
                                <w:szCs w:val="26"/>
                              </w:rPr>
                              <w:t>životní pojistkou</w:t>
                            </w:r>
                          </w:p>
                          <w:p w:rsidR="00500724" w:rsidRDefault="00F30FB8">
                            <w:pPr>
                              <w:pStyle w:val="Zkladntext40"/>
                              <w:shd w:val="clear" w:color="auto" w:fill="auto"/>
                              <w:spacing w:after="0" w:line="240" w:lineRule="auto"/>
                              <w:ind w:left="660"/>
                              <w:jc w:val="left"/>
                              <w:rPr>
                                <w:sz w:val="14"/>
                                <w:szCs w:val="14"/>
                              </w:rPr>
                            </w:pPr>
                            <w:r>
                              <w:rPr>
                                <w:b/>
                                <w:bCs/>
                                <w:sz w:val="14"/>
                                <w:szCs w:val="14"/>
                              </w:rPr>
                              <w:t>poradí Vám</w:t>
                            </w:r>
                          </w:p>
                          <w:p w:rsidR="00500724" w:rsidRDefault="00F30FB8">
                            <w:pPr>
                              <w:pStyle w:val="Jin0"/>
                              <w:shd w:val="clear" w:color="auto" w:fill="auto"/>
                              <w:spacing w:line="192" w:lineRule="auto"/>
                              <w:ind w:firstLine="0"/>
                              <w:jc w:val="right"/>
                              <w:rPr>
                                <w:sz w:val="42"/>
                                <w:szCs w:val="42"/>
                              </w:rPr>
                            </w:pPr>
                            <w:r>
                              <w:rPr>
                                <w:rFonts w:ascii="Calibri" w:eastAsia="Calibri" w:hAnsi="Calibri" w:cs="Calibri"/>
                                <w:b/>
                                <w:bCs/>
                                <w:w w:val="70"/>
                                <w:sz w:val="42"/>
                                <w:szCs w:val="42"/>
                              </w:rPr>
                              <w:t>Čs. akciová pojišťovna</w:t>
                            </w:r>
                          </w:p>
                          <w:p w:rsidR="00500724" w:rsidRDefault="00F30FB8">
                            <w:pPr>
                              <w:pStyle w:val="Zkladntext100"/>
                              <w:shd w:val="clear" w:color="auto" w:fill="auto"/>
                              <w:spacing w:line="240" w:lineRule="auto"/>
                              <w:ind w:firstLine="0"/>
                            </w:pPr>
                            <w:r>
                              <w:rPr>
                                <w:rFonts w:ascii="Arial" w:eastAsia="Arial" w:hAnsi="Arial" w:cs="Arial"/>
                                <w:sz w:val="16"/>
                                <w:szCs w:val="16"/>
                              </w:rPr>
                              <w:t xml:space="preserve">Praha </w:t>
                            </w:r>
                            <w:r>
                              <w:t>II., Spálená. 49 - Telefony 344-41/4</w:t>
                            </w:r>
                          </w:p>
                        </w:txbxContent>
                      </wps:txbx>
                      <wps:bodyPr lIns="0" tIns="0" rIns="0" bIns="0">
                        <a:spAutoFit/>
                      </wps:bodyPr>
                    </wps:wsp>
                  </a:graphicData>
                </a:graphic>
              </wp:anchor>
            </w:drawing>
          </mc:Choice>
          <mc:Fallback>
            <w:pict>
              <v:shape id="_x0000_s1545" type="#_x0000_t202" style="position:absolute;margin-left:310.80000000000001pt;margin-top:624.25pt;width:229.44999999999999pt;height:114.7pt;z-index:-125828857;mso-wrap-distance-left:9.pt;mso-wrap-distance-top:9.pt;mso-wrap-distance-right:9.pt;mso-wrap-distance-bottom:37.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rPr>
                          <w:sz w:val="26"/>
                          <w:szCs w:val="26"/>
                        </w:rPr>
                      </w:pPr>
                      <w:r>
                        <w:rPr>
                          <w:rFonts w:ascii="Arial" w:eastAsia="Arial" w:hAnsi="Arial" w:cs="Arial"/>
                          <w:b/>
                          <w:bCs/>
                          <w:color w:val="000000"/>
                          <w:spacing w:val="0"/>
                          <w:w w:val="100"/>
                          <w:position w:val="0"/>
                          <w:sz w:val="26"/>
                          <w:szCs w:val="26"/>
                          <w:shd w:val="clear" w:color="auto" w:fill="auto"/>
                          <w:lang w:val="cs-CZ" w:eastAsia="cs-CZ" w:bidi="cs-CZ"/>
                        </w:rPr>
                        <w:t>PŘÍTOMNOST</w:t>
                      </w:r>
                    </w:p>
                    <w:p>
                      <w:pPr>
                        <w:pStyle w:val="Style42"/>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ukládá starati se pečlivému otci o</w:t>
                      </w:r>
                    </w:p>
                    <w:p>
                      <w:pPr>
                        <w:pStyle w:val="Style12"/>
                        <w:keepNext w:val="0"/>
                        <w:keepLines w:val="0"/>
                        <w:widowControl w:val="0"/>
                        <w:shd w:val="clear" w:color="auto" w:fill="auto"/>
                        <w:bidi w:val="0"/>
                        <w:spacing w:before="0" w:after="0" w:line="240" w:lineRule="auto"/>
                        <w:ind w:left="0" w:right="0" w:firstLine="0"/>
                        <w:rPr>
                          <w:sz w:val="26"/>
                          <w:szCs w:val="26"/>
                        </w:rPr>
                      </w:pPr>
                      <w:r>
                        <w:rPr>
                          <w:rFonts w:ascii="Arial" w:eastAsia="Arial" w:hAnsi="Arial" w:cs="Arial"/>
                          <w:b/>
                          <w:bCs/>
                          <w:color w:val="000000"/>
                          <w:spacing w:val="0"/>
                          <w:w w:val="100"/>
                          <w:position w:val="0"/>
                          <w:sz w:val="26"/>
                          <w:szCs w:val="26"/>
                          <w:shd w:val="clear" w:color="auto" w:fill="auto"/>
                          <w:lang w:val="cs-CZ" w:eastAsia="cs-CZ" w:bidi="cs-CZ"/>
                        </w:rPr>
                        <w:t>BUDOUCNOST</w:t>
                      </w:r>
                    </w:p>
                    <w:p>
                      <w:pPr>
                        <w:pStyle w:val="Style42"/>
                        <w:keepNext w:val="0"/>
                        <w:keepLines w:val="0"/>
                        <w:widowControl w:val="0"/>
                        <w:shd w:val="clear" w:color="auto" w:fill="auto"/>
                        <w:tabs>
                          <w:tab w:pos="2141" w:val="left"/>
                        </w:tabs>
                        <w:bidi w:val="0"/>
                        <w:spacing w:before="0" w:after="0" w:line="240" w:lineRule="auto"/>
                        <w:ind w:left="0" w:right="0" w:firstLine="0"/>
                      </w:pPr>
                      <w:r>
                        <w:rPr>
                          <w:color w:val="000000"/>
                          <w:spacing w:val="0"/>
                          <w:w w:val="100"/>
                          <w:position w:val="0"/>
                          <w:shd w:val="clear" w:color="auto" w:fill="auto"/>
                          <w:lang w:val="cs-CZ" w:eastAsia="cs-CZ" w:bidi="cs-CZ"/>
                        </w:rPr>
                        <w:t>rodiny</w:t>
                        <w:tab/>
                        <w:t>Vhedný i p ů s o b této péče</w:t>
                      </w:r>
                    </w:p>
                    <w:p>
                      <w:pPr>
                        <w:pStyle w:val="Style12"/>
                        <w:keepNext w:val="0"/>
                        <w:keepLines w:val="0"/>
                        <w:widowControl w:val="0"/>
                        <w:shd w:val="clear" w:color="auto" w:fill="auto"/>
                        <w:bidi w:val="0"/>
                        <w:spacing w:before="0" w:after="0" w:line="240" w:lineRule="auto"/>
                        <w:ind w:left="0" w:right="0" w:firstLine="0"/>
                        <w:jc w:val="right"/>
                        <w:rPr>
                          <w:sz w:val="26"/>
                          <w:szCs w:val="26"/>
                        </w:rPr>
                      </w:pPr>
                      <w:r>
                        <w:rPr>
                          <w:rFonts w:ascii="Arial" w:eastAsia="Arial" w:hAnsi="Arial" w:cs="Arial"/>
                          <w:b/>
                          <w:bCs/>
                          <w:color w:val="000000"/>
                          <w:spacing w:val="0"/>
                          <w:w w:val="100"/>
                          <w:position w:val="0"/>
                          <w:sz w:val="26"/>
                          <w:szCs w:val="26"/>
                          <w:shd w:val="clear" w:color="auto" w:fill="auto"/>
                          <w:lang w:val="cs-CZ" w:eastAsia="cs-CZ" w:bidi="cs-CZ"/>
                        </w:rPr>
                        <w:t>životní pojistkou</w:t>
                      </w:r>
                    </w:p>
                    <w:p>
                      <w:pPr>
                        <w:pStyle w:val="Style42"/>
                        <w:keepNext w:val="0"/>
                        <w:keepLines w:val="0"/>
                        <w:widowControl w:val="0"/>
                        <w:shd w:val="clear" w:color="auto" w:fill="auto"/>
                        <w:bidi w:val="0"/>
                        <w:spacing w:before="0" w:after="0" w:line="240" w:lineRule="auto"/>
                        <w:ind w:left="660" w:right="0" w:firstLine="0"/>
                        <w:jc w:val="left"/>
                        <w:rPr>
                          <w:sz w:val="14"/>
                          <w:szCs w:val="14"/>
                        </w:rPr>
                      </w:pPr>
                      <w:r>
                        <w:rPr>
                          <w:b/>
                          <w:bCs/>
                          <w:color w:val="000000"/>
                          <w:spacing w:val="0"/>
                          <w:w w:val="100"/>
                          <w:position w:val="0"/>
                          <w:sz w:val="14"/>
                          <w:szCs w:val="14"/>
                          <w:shd w:val="clear" w:color="auto" w:fill="auto"/>
                          <w:lang w:val="cs-CZ" w:eastAsia="cs-CZ" w:bidi="cs-CZ"/>
                        </w:rPr>
                        <w:t>poradí Vám</w:t>
                      </w:r>
                    </w:p>
                    <w:p>
                      <w:pPr>
                        <w:pStyle w:val="Style12"/>
                        <w:keepNext w:val="0"/>
                        <w:keepLines w:val="0"/>
                        <w:widowControl w:val="0"/>
                        <w:shd w:val="clear" w:color="auto" w:fill="auto"/>
                        <w:bidi w:val="0"/>
                        <w:spacing w:before="0" w:after="0" w:line="192" w:lineRule="auto"/>
                        <w:ind w:left="0" w:right="0" w:firstLine="0"/>
                        <w:jc w:val="right"/>
                        <w:rPr>
                          <w:sz w:val="42"/>
                          <w:szCs w:val="42"/>
                        </w:rPr>
                      </w:pPr>
                      <w:r>
                        <w:rPr>
                          <w:rFonts w:ascii="Calibri" w:eastAsia="Calibri" w:hAnsi="Calibri" w:cs="Calibri"/>
                          <w:b/>
                          <w:bCs/>
                          <w:color w:val="000000"/>
                          <w:spacing w:val="0"/>
                          <w:w w:val="70"/>
                          <w:position w:val="0"/>
                          <w:sz w:val="42"/>
                          <w:szCs w:val="42"/>
                          <w:shd w:val="clear" w:color="auto" w:fill="auto"/>
                          <w:lang w:val="cs-CZ" w:eastAsia="cs-CZ" w:bidi="cs-CZ"/>
                        </w:rPr>
                        <w:t>Čs. akciová pojišťovna</w:t>
                      </w:r>
                    </w:p>
                    <w:p>
                      <w:pPr>
                        <w:pStyle w:val="Style344"/>
                        <w:keepNext w:val="0"/>
                        <w:keepLines w:val="0"/>
                        <w:widowControl w:val="0"/>
                        <w:shd w:val="clear" w:color="auto" w:fill="auto"/>
                        <w:bidi w:val="0"/>
                        <w:spacing w:before="0" w:after="0" w:line="240" w:lineRule="auto"/>
                        <w:ind w:left="0" w:right="0" w:firstLine="0"/>
                      </w:pPr>
                      <w:r>
                        <w:rPr>
                          <w:rFonts w:ascii="Arial" w:eastAsia="Arial" w:hAnsi="Arial" w:cs="Arial"/>
                          <w:color w:val="000000"/>
                          <w:spacing w:val="0"/>
                          <w:w w:val="100"/>
                          <w:position w:val="0"/>
                          <w:sz w:val="16"/>
                          <w:szCs w:val="16"/>
                          <w:shd w:val="clear" w:color="auto" w:fill="auto"/>
                          <w:lang w:val="cs-CZ" w:eastAsia="cs-CZ" w:bidi="cs-CZ"/>
                        </w:rPr>
                        <w:t xml:space="preserve">Praha </w:t>
                      </w:r>
                      <w:r>
                        <w:rPr>
                          <w:color w:val="000000"/>
                          <w:spacing w:val="0"/>
                          <w:w w:val="100"/>
                          <w:position w:val="0"/>
                          <w:sz w:val="18"/>
                          <w:szCs w:val="18"/>
                          <w:shd w:val="clear" w:color="auto" w:fill="auto"/>
                          <w:lang w:val="cs-CZ" w:eastAsia="cs-CZ" w:bidi="cs-CZ"/>
                        </w:rPr>
                        <w:t>II., Spálená. 49 - Telefony 344-41/4</w:t>
                      </w:r>
                    </w:p>
                  </w:txbxContent>
                </v:textbox>
                <w10:wrap type="topAndBottom" anchorx="page" anchory="margin"/>
              </v:shape>
            </w:pict>
          </mc:Fallback>
        </mc:AlternateContent>
      </w:r>
      <w:r>
        <w:rPr>
          <w:b/>
          <w:bCs/>
          <w:sz w:val="16"/>
          <w:szCs w:val="16"/>
        </w:rPr>
        <w:t xml:space="preserve">»Petropavlovsk«, za ním dýmaly »Poltava«, »Askold«, »Diana«x a »Novik« — přímo na nepřítele! »Bajanu« se podařilo </w:t>
      </w:r>
      <w:r>
        <w:rPr>
          <w:b/>
          <w:bCs/>
          <w:sz w:val="16"/>
          <w:szCs w:val="16"/>
        </w:rPr>
        <w:t>zachránit jen pět námořníků; pak se za</w:t>
      </w:r>
      <w:r>
        <w:rPr>
          <w:b/>
          <w:bCs/>
          <w:sz w:val="16"/>
          <w:szCs w:val="16"/>
        </w:rPr>
        <w:softHyphen/>
        <w:t>řadil do bitevní čáry a boj začal na vzdálenost padesáti kabelů (asi devět kilometrů).</w:t>
      </w:r>
    </w:p>
    <w:p w:rsidR="00500724" w:rsidRDefault="00F30FB8">
      <w:pPr>
        <w:pStyle w:val="Zkladntext40"/>
        <w:shd w:val="clear" w:color="auto" w:fill="auto"/>
        <w:spacing w:after="0" w:line="166" w:lineRule="auto"/>
        <w:ind w:firstLine="200"/>
        <w:rPr>
          <w:sz w:val="16"/>
          <w:szCs w:val="16"/>
        </w:rPr>
      </w:pPr>
      <w:r>
        <w:rPr>
          <w:b/>
          <w:bCs/>
          <w:sz w:val="16"/>
          <w:szCs w:val="16"/>
        </w:rPr>
        <w:t>Admirál Dewa pomalu ustupo</w:t>
      </w:r>
      <w:r>
        <w:rPr>
          <w:b/>
          <w:bCs/>
          <w:sz w:val="16"/>
          <w:szCs w:val="16"/>
        </w:rPr>
        <w:softHyphen/>
        <w:t xml:space="preserve">val. </w:t>
      </w:r>
      <w:r>
        <w:rPr>
          <w:b/>
          <w:bCs/>
          <w:sz w:val="16"/>
          <w:szCs w:val="16"/>
          <w:lang w:val="en-US" w:eastAsia="en-US" w:bidi="en-US"/>
        </w:rPr>
        <w:t xml:space="preserve">Makarov </w:t>
      </w:r>
      <w:r>
        <w:rPr>
          <w:b/>
          <w:bCs/>
          <w:sz w:val="16"/>
          <w:szCs w:val="16"/>
        </w:rPr>
        <w:t>se hnal za ním. Vtom se vyvalily nad obzorem sloupy dýmu — to byla první di</w:t>
      </w:r>
      <w:r>
        <w:rPr>
          <w:b/>
          <w:bCs/>
          <w:sz w:val="16"/>
          <w:szCs w:val="16"/>
        </w:rPr>
        <w:softHyphen/>
        <w:t xml:space="preserve">vise admirála </w:t>
      </w:r>
      <w:r>
        <w:rPr>
          <w:b/>
          <w:bCs/>
          <w:sz w:val="16"/>
          <w:szCs w:val="16"/>
          <w:lang w:val="en-US" w:eastAsia="en-US" w:bidi="en-US"/>
        </w:rPr>
        <w:t xml:space="preserve">Toga: </w:t>
      </w:r>
      <w:r>
        <w:rPr>
          <w:b/>
          <w:bCs/>
          <w:sz w:val="16"/>
          <w:szCs w:val="16"/>
        </w:rPr>
        <w:t>sedni bitev</w:t>
      </w:r>
      <w:r>
        <w:rPr>
          <w:b/>
          <w:bCs/>
          <w:sz w:val="16"/>
          <w:szCs w:val="16"/>
        </w:rPr>
        <w:softHyphen/>
        <w:t>ních lodí a dva nové obrněné křižníky, právě došlé z Evropy — »Nišin« a Kasuga«.</w:t>
      </w:r>
    </w:p>
    <w:p w:rsidR="00500724" w:rsidRDefault="00F30FB8">
      <w:pPr>
        <w:pStyle w:val="Zkladntext40"/>
        <w:shd w:val="clear" w:color="auto" w:fill="auto"/>
        <w:spacing w:after="0" w:line="166" w:lineRule="auto"/>
        <w:ind w:firstLine="200"/>
        <w:rPr>
          <w:sz w:val="16"/>
          <w:szCs w:val="16"/>
        </w:rPr>
      </w:pPr>
      <w:r>
        <w:rPr>
          <w:b/>
          <w:bCs/>
          <w:sz w:val="16"/>
          <w:szCs w:val="16"/>
        </w:rPr>
        <w:t xml:space="preserve">Teď se obrátil na ústup </w:t>
      </w:r>
      <w:r>
        <w:rPr>
          <w:b/>
          <w:bCs/>
          <w:sz w:val="16"/>
          <w:szCs w:val="16"/>
          <w:lang w:val="en-US" w:eastAsia="en-US" w:bidi="en-US"/>
        </w:rPr>
        <w:t>Maka</w:t>
      </w:r>
      <w:r>
        <w:rPr>
          <w:b/>
          <w:bCs/>
          <w:sz w:val="16"/>
          <w:szCs w:val="16"/>
          <w:lang w:val="en-US" w:eastAsia="en-US" w:bidi="en-US"/>
        </w:rPr>
        <w:softHyphen/>
        <w:t xml:space="preserve">rov a Togo </w:t>
      </w:r>
      <w:r>
        <w:rPr>
          <w:b/>
          <w:bCs/>
          <w:sz w:val="16"/>
          <w:szCs w:val="16"/>
        </w:rPr>
        <w:t>pronásledoval. Vzdá</w:t>
      </w:r>
      <w:r>
        <w:rPr>
          <w:b/>
          <w:bCs/>
          <w:sz w:val="16"/>
          <w:szCs w:val="16"/>
        </w:rPr>
        <w:softHyphen/>
        <w:t xml:space="preserve">lenost mezi soupeři se rychle zmenšovala, protože Japonci pluli nejvyšší rychlostí a jejich lodi </w:t>
      </w:r>
      <w:r>
        <w:rPr>
          <w:b/>
          <w:bCs/>
          <w:sz w:val="16"/>
          <w:szCs w:val="16"/>
        </w:rPr>
        <w:t>byly rychlejší než ruské pancéř - níky. Ruský voj uzavíral křižník »Diana«. Vzdálenost »Diany« od »Mikazy« činila již jen 38 kabelů (7 km). Mužstvo u děl na zádi »Diany« očekávalo, že Togova vlajková loď začne každou chvílí střílet na »Dianu«. Ticho působi</w:t>
      </w:r>
      <w:r>
        <w:rPr>
          <w:b/>
          <w:bCs/>
          <w:sz w:val="16"/>
          <w:szCs w:val="16"/>
        </w:rPr>
        <w:softHyphen/>
        <w:t xml:space="preserve">lo zlověstně. Proč mlčí </w:t>
      </w:r>
      <w:r>
        <w:rPr>
          <w:b/>
          <w:bCs/>
          <w:sz w:val="16"/>
          <w:szCs w:val="16"/>
          <w:lang w:val="en-US" w:eastAsia="en-US" w:bidi="en-US"/>
        </w:rPr>
        <w:t>Togo?</w:t>
      </w:r>
    </w:p>
    <w:p w:rsidR="00500724" w:rsidRDefault="00F30FB8">
      <w:pPr>
        <w:pStyle w:val="Zkladntext40"/>
        <w:shd w:val="clear" w:color="auto" w:fill="auto"/>
        <w:spacing w:after="0" w:line="166" w:lineRule="auto"/>
        <w:ind w:firstLine="200"/>
        <w:rPr>
          <w:sz w:val="16"/>
          <w:szCs w:val="16"/>
        </w:rPr>
      </w:pPr>
      <w:r>
        <w:rPr>
          <w:b/>
          <w:bCs/>
          <w:sz w:val="16"/>
          <w:szCs w:val="16"/>
        </w:rPr>
        <w:t>Zatím vyjely z přístavu bitevní lodi »Peresvět«, »Poběda« a »Se- vastopol« a připojily se k hlav</w:t>
      </w:r>
      <w:r>
        <w:rPr>
          <w:b/>
          <w:bCs/>
          <w:sz w:val="16"/>
          <w:szCs w:val="16"/>
        </w:rPr>
        <w:softHyphen/>
        <w:t>nímu ruskému loďstvu. Hodiny ukazovaly 9 hodin 30 minut do</w:t>
      </w:r>
      <w:r>
        <w:rPr>
          <w:b/>
          <w:bCs/>
          <w:sz w:val="16"/>
          <w:szCs w:val="16"/>
        </w:rPr>
        <w:softHyphen/>
        <w:t>poledne. Makarovova vlajková loď se blížila oblasti pevnostnícli děl.</w:t>
      </w:r>
    </w:p>
    <w:p w:rsidR="00500724" w:rsidRDefault="00F30FB8">
      <w:pPr>
        <w:pStyle w:val="Zkladntext40"/>
        <w:shd w:val="clear" w:color="auto" w:fill="auto"/>
        <w:spacing w:after="0" w:line="166" w:lineRule="auto"/>
        <w:ind w:firstLine="200"/>
        <w:rPr>
          <w:sz w:val="16"/>
          <w:szCs w:val="16"/>
        </w:rPr>
      </w:pPr>
      <w:r>
        <w:rPr>
          <w:b/>
          <w:bCs/>
          <w:sz w:val="16"/>
          <w:szCs w:val="16"/>
        </w:rPr>
        <w:t>»V 9 hodin 40 minut se nepřítel vzdal pronásledování, aniž vypálil jedinou ránu, a vzal kurs na zá- pad.« Třináct minut později, když chtěl »Petropavlovsk« zatočit, aby zahájil nový manévr, došlo rychle za sebou ke čtyřem ohlu</w:t>
      </w:r>
      <w:r>
        <w:rPr>
          <w:b/>
          <w:bCs/>
          <w:sz w:val="16"/>
          <w:szCs w:val="16"/>
        </w:rPr>
        <w:softHyphen/>
        <w:t>šujícím výbuchům: vlajková l</w:t>
      </w:r>
      <w:r>
        <w:rPr>
          <w:b/>
          <w:bCs/>
          <w:sz w:val="16"/>
          <w:szCs w:val="16"/>
        </w:rPr>
        <w:t>oď najela na minu, která prorazila spodek lodi; osmnáct torpéd ve I skladišti obrněnce vybuchlo, praskly všechny kotly a hned nato vyletělo do povětří skladiště střeliva. Bitevní loď se rozlomila v půli, přední stěžeň se zlomil, záď se zvedla do výše. lodn</w:t>
      </w:r>
      <w:r>
        <w:rPr>
          <w:b/>
          <w:bCs/>
          <w:sz w:val="16"/>
          <w:szCs w:val="16"/>
        </w:rPr>
        <w:t>í šrou</w:t>
      </w:r>
      <w:r>
        <w:rPr>
          <w:b/>
          <w:bCs/>
          <w:sz w:val="16"/>
          <w:szCs w:val="16"/>
        </w:rPr>
        <w:softHyphen/>
        <w:t>by se šíleně otáčely ve vzduchu, plném dýmu. Za několik vteřin zmizel »Petropavlovsk« ve vlnách.</w:t>
      </w:r>
    </w:p>
    <w:p w:rsidR="00500724" w:rsidRDefault="00F30FB8">
      <w:pPr>
        <w:pStyle w:val="Zkladntext40"/>
        <w:shd w:val="clear" w:color="auto" w:fill="auto"/>
        <w:spacing w:after="0" w:line="166" w:lineRule="auto"/>
        <w:ind w:firstLine="200"/>
        <w:rPr>
          <w:sz w:val="16"/>
          <w:szCs w:val="16"/>
        </w:rPr>
      </w:pPr>
      <w:r>
        <w:rPr>
          <w:b/>
          <w:bCs/>
          <w:sz w:val="16"/>
          <w:szCs w:val="16"/>
        </w:rPr>
        <w:t>Kontradmirál kníže Uchtom- skij dal na »Peresvětu« ihned signál: »V kýlové čáře za mnou!« Eskádra se zatočila na západ směrem k Bílé Vlčí hoře. Torpe</w:t>
      </w:r>
      <w:r>
        <w:rPr>
          <w:b/>
          <w:bCs/>
          <w:sz w:val="16"/>
          <w:szCs w:val="16"/>
        </w:rPr>
        <w:softHyphen/>
        <w:t>do</w:t>
      </w:r>
      <w:r>
        <w:rPr>
          <w:b/>
          <w:bCs/>
          <w:sz w:val="16"/>
          <w:szCs w:val="16"/>
        </w:rPr>
        <w:t>vky spěchaly zachraňovat. Tři</w:t>
      </w:r>
      <w:r>
        <w:rPr>
          <w:b/>
          <w:bCs/>
          <w:sz w:val="16"/>
          <w:szCs w:val="16"/>
        </w:rPr>
        <w:softHyphen/>
        <w:t>cet minut po tom obrátil kníže Uchtomskij opět kurs, aby vplul do přístavu. Tu bylo slyšet nový výbuch. Bitevní loď »Poběda« najela na minu jiného pole a na</w:t>
      </w:r>
      <w:r>
        <w:rPr>
          <w:b/>
          <w:bCs/>
          <w:sz w:val="16"/>
          <w:szCs w:val="16"/>
        </w:rPr>
        <w:softHyphen/>
        <w:t>klonila se o 11 stupňů na pravý bok, ale mohla se ještě dovléci do př</w:t>
      </w:r>
      <w:r>
        <w:rPr>
          <w:b/>
          <w:bCs/>
          <w:sz w:val="16"/>
          <w:szCs w:val="16"/>
        </w:rPr>
        <w:t>ístavu.</w:t>
      </w:r>
    </w:p>
    <w:p w:rsidR="00500724" w:rsidRDefault="00F30FB8">
      <w:pPr>
        <w:pStyle w:val="Zkladntext40"/>
        <w:shd w:val="clear" w:color="auto" w:fill="auto"/>
        <w:spacing w:after="0" w:line="166" w:lineRule="auto"/>
        <w:ind w:firstLine="200"/>
        <w:rPr>
          <w:sz w:val="16"/>
          <w:szCs w:val="16"/>
        </w:rPr>
      </w:pPr>
      <w:r>
        <w:rPr>
          <w:b/>
          <w:bCs/>
          <w:sz w:val="16"/>
          <w:szCs w:val="16"/>
        </w:rPr>
        <w:t>Japonci se na to dívali jako zkamenělí. Jejich miny a duše předků bojovaly za ně.</w:t>
      </w:r>
    </w:p>
    <w:p w:rsidR="00500724" w:rsidRDefault="00F30FB8">
      <w:pPr>
        <w:pStyle w:val="Zkladntext40"/>
        <w:shd w:val="clear" w:color="auto" w:fill="auto"/>
        <w:spacing w:after="0" w:line="166" w:lineRule="auto"/>
        <w:ind w:firstLine="200"/>
        <w:rPr>
          <w:sz w:val="16"/>
          <w:szCs w:val="16"/>
        </w:rPr>
      </w:pPr>
      <w:r>
        <w:rPr>
          <w:b/>
          <w:bCs/>
          <w:sz w:val="16"/>
          <w:szCs w:val="16"/>
        </w:rPr>
        <w:t xml:space="preserve">Z </w:t>
      </w:r>
      <w:r>
        <w:rPr>
          <w:b/>
          <w:bCs/>
          <w:sz w:val="16"/>
          <w:szCs w:val="16"/>
          <w:lang w:val="en-US" w:eastAsia="en-US" w:bidi="en-US"/>
        </w:rPr>
        <w:t xml:space="preserve">»Petropavlovsku« </w:t>
      </w:r>
      <w:r>
        <w:rPr>
          <w:b/>
          <w:bCs/>
          <w:sz w:val="16"/>
          <w:szCs w:val="16"/>
        </w:rPr>
        <w:t>se zachráni</w:t>
      </w:r>
      <w:r>
        <w:rPr>
          <w:b/>
          <w:bCs/>
          <w:sz w:val="16"/>
          <w:szCs w:val="16"/>
        </w:rPr>
        <w:softHyphen/>
        <w:t xml:space="preserve">lo 7 důstojníků a 73 mužů, mezi nimi velkokníže Cyril, dnešní »car« emigrantů. S vlajkovou lodí zmizelo ve vlnách 600 mužů, 31 </w:t>
      </w:r>
      <w:r>
        <w:rPr>
          <w:b/>
          <w:bCs/>
          <w:sz w:val="16"/>
          <w:szCs w:val="16"/>
        </w:rPr>
        <w:t>důstojníků, šéf námořního štábu kontradmirál Molas. slavný malíř bitev Verešěagin a velitel ruských námořních sil na Dálném výcho</w:t>
      </w:r>
      <w:r>
        <w:rPr>
          <w:b/>
          <w:bCs/>
          <w:sz w:val="16"/>
          <w:szCs w:val="16"/>
        </w:rPr>
        <w:softHyphen/>
        <w:t xml:space="preserve">dě, </w:t>
      </w:r>
      <w:r>
        <w:rPr>
          <w:b/>
          <w:bCs/>
          <w:sz w:val="16"/>
          <w:szCs w:val="16"/>
          <w:lang w:val="en-US" w:eastAsia="en-US" w:bidi="en-US"/>
        </w:rPr>
        <w:t>Makarov.</w:t>
      </w:r>
    </w:p>
    <w:p w:rsidR="00500724" w:rsidRDefault="00F30FB8">
      <w:pPr>
        <w:pStyle w:val="Zkladntext40"/>
        <w:shd w:val="clear" w:color="auto" w:fill="auto"/>
        <w:spacing w:after="0" w:line="166" w:lineRule="auto"/>
        <w:ind w:firstLine="200"/>
        <w:rPr>
          <w:sz w:val="16"/>
          <w:szCs w:val="16"/>
        </w:rPr>
      </w:pPr>
      <w:r>
        <w:rPr>
          <w:b/>
          <w:bCs/>
          <w:sz w:val="16"/>
          <w:szCs w:val="16"/>
        </w:rPr>
        <w:t xml:space="preserve">Zbožný </w:t>
      </w:r>
      <w:r>
        <w:rPr>
          <w:b/>
          <w:bCs/>
          <w:sz w:val="16"/>
          <w:szCs w:val="16"/>
          <w:lang w:val="en-US" w:eastAsia="en-US" w:bidi="en-US"/>
        </w:rPr>
        <w:t xml:space="preserve">Togo, </w:t>
      </w:r>
      <w:r>
        <w:rPr>
          <w:b/>
          <w:bCs/>
          <w:sz w:val="16"/>
          <w:szCs w:val="16"/>
        </w:rPr>
        <w:t>který o tom véděl víc než císař a který chápal lépe než kdo jiný, jak si zde Štěstěna zahrála, odpov</w:t>
      </w:r>
      <w:r>
        <w:rPr>
          <w:b/>
          <w:bCs/>
          <w:sz w:val="16"/>
          <w:szCs w:val="16"/>
        </w:rPr>
        <w:t>ěděl takto:</w:t>
      </w:r>
    </w:p>
    <w:p w:rsidR="00500724" w:rsidRDefault="00F30FB8">
      <w:pPr>
        <w:pStyle w:val="Zkladntext40"/>
        <w:shd w:val="clear" w:color="auto" w:fill="auto"/>
        <w:spacing w:after="0" w:line="166" w:lineRule="auto"/>
        <w:ind w:firstLine="200"/>
        <w:rPr>
          <w:sz w:val="16"/>
          <w:szCs w:val="16"/>
        </w:rPr>
      </w:pPr>
      <w:r>
        <w:rPr>
          <w:b/>
          <w:bCs/>
          <w:sz w:val="16"/>
          <w:szCs w:val="16"/>
        </w:rPr>
        <w:t>»IJspěch, kterého bylo tentokrát dosaženo při útoku na Port Artur, byl přiveden především velkou mocí a ctnostmi Vašeho Veličen-</w:t>
      </w:r>
    </w:p>
    <w:p w:rsidR="00500724" w:rsidRDefault="00F30FB8">
      <w:pPr>
        <w:pStyle w:val="Zkladntext40"/>
        <w:framePr w:dropCap="drop" w:lines="4" w:hSpace="58" w:vSpace="58" w:wrap="auto" w:vAnchor="text" w:hAnchor="text"/>
        <w:shd w:val="clear" w:color="auto" w:fill="auto"/>
        <w:spacing w:line="451" w:lineRule="exact"/>
        <w:rPr>
          <w:sz w:val="16"/>
          <w:szCs w:val="16"/>
        </w:rPr>
      </w:pPr>
      <w:r>
        <w:rPr>
          <w:rFonts w:ascii="Arial" w:eastAsia="Arial" w:hAnsi="Arial" w:cs="Arial"/>
          <w:b/>
          <w:bCs/>
          <w:position w:val="-10"/>
          <w:sz w:val="66"/>
          <w:szCs w:val="66"/>
        </w:rPr>
        <w:t>I</w:t>
      </w:r>
    </w:p>
    <w:p w:rsidR="00500724" w:rsidRDefault="00F30FB8">
      <w:pPr>
        <w:pStyle w:val="Zkladntext40"/>
        <w:shd w:val="clear" w:color="auto" w:fill="auto"/>
        <w:spacing w:after="0" w:line="166" w:lineRule="auto"/>
        <w:rPr>
          <w:sz w:val="16"/>
          <w:szCs w:val="16"/>
        </w:rPr>
        <w:sectPr w:rsidR="00500724">
          <w:footnotePr>
            <w:numFmt w:val="chicago"/>
            <w:numRestart w:val="eachPage"/>
          </w:footnotePr>
          <w:type w:val="continuous"/>
          <w:pgSz w:w="11909" w:h="16834"/>
          <w:pgMar w:top="2079" w:right="911" w:bottom="0" w:left="581" w:header="0" w:footer="3" w:gutter="0"/>
          <w:cols w:num="4" w:sep="1" w:space="100"/>
          <w:noEndnote/>
          <w:docGrid w:linePitch="360"/>
        </w:sectPr>
      </w:pPr>
      <w:r>
        <w:rPr>
          <w:b/>
          <w:bCs/>
          <w:sz w:val="16"/>
          <w:szCs w:val="16"/>
        </w:rPr>
        <w:t>stva, neboť lidská síla by nic takového nesvedla. Milostivá slo</w:t>
      </w:r>
      <w:r>
        <w:rPr>
          <w:b/>
          <w:bCs/>
          <w:sz w:val="16"/>
          <w:szCs w:val="16"/>
        </w:rPr>
        <w:softHyphen/>
        <w:t>va Vašeho Veličens</w:t>
      </w:r>
      <w:r>
        <w:rPr>
          <w:b/>
          <w:bCs/>
          <w:sz w:val="16"/>
          <w:szCs w:val="16"/>
        </w:rPr>
        <w:t>tva oceňují proto naše zásluhy příliš vysoko.«</w:t>
      </w:r>
    </w:p>
    <w:p w:rsidR="00500724" w:rsidRDefault="00F30FB8">
      <w:pPr>
        <w:pStyle w:val="Nadpis30"/>
        <w:keepNext/>
        <w:keepLines/>
        <w:shd w:val="clear" w:color="auto" w:fill="auto"/>
        <w:spacing w:after="0"/>
      </w:pPr>
      <w:bookmarkStart w:id="517" w:name="bookmark516"/>
      <w:r>
        <w:t>ĚítomnosO</w:t>
      </w:r>
      <w:bookmarkEnd w:id="517"/>
    </w:p>
    <w:tbl>
      <w:tblPr>
        <w:tblOverlap w:val="never"/>
        <w:tblW w:w="0" w:type="auto"/>
        <w:jc w:val="center"/>
        <w:tblLayout w:type="fixed"/>
        <w:tblCellMar>
          <w:left w:w="10" w:type="dxa"/>
          <w:right w:w="10" w:type="dxa"/>
        </w:tblCellMar>
        <w:tblLook w:val="04A0" w:firstRow="1" w:lastRow="0" w:firstColumn="1" w:lastColumn="0" w:noHBand="0" w:noVBand="1"/>
      </w:tblPr>
      <w:tblGrid>
        <w:gridCol w:w="8621"/>
        <w:gridCol w:w="2539"/>
      </w:tblGrid>
      <w:tr w:rsidR="00500724">
        <w:tblPrEx>
          <w:tblCellMar>
            <w:top w:w="0" w:type="dxa"/>
            <w:bottom w:w="0" w:type="dxa"/>
          </w:tblCellMar>
        </w:tblPrEx>
        <w:trPr>
          <w:trHeight w:hRule="exact" w:val="816"/>
          <w:jc w:val="center"/>
        </w:trPr>
        <w:tc>
          <w:tcPr>
            <w:tcW w:w="0" w:type="auto"/>
            <w:tcBorders>
              <w:left w:val="single" w:sz="4" w:space="0" w:color="auto"/>
            </w:tcBorders>
            <w:shd w:val="clear" w:color="auto" w:fill="FFFFFF"/>
            <w:vAlign w:val="center"/>
          </w:tcPr>
          <w:p w:rsidR="00500724" w:rsidRDefault="00F30FB8">
            <w:pPr>
              <w:pStyle w:val="Jin0"/>
              <w:shd w:val="clear" w:color="auto" w:fill="auto"/>
              <w:tabs>
                <w:tab w:val="left" w:pos="3886"/>
              </w:tabs>
              <w:ind w:left="260" w:firstLine="60"/>
              <w:rPr>
                <w:sz w:val="22"/>
                <w:szCs w:val="22"/>
              </w:rPr>
            </w:pPr>
            <w:r>
              <w:rPr>
                <w:b/>
                <w:bCs/>
                <w:sz w:val="22"/>
                <w:szCs w:val="22"/>
              </w:rPr>
              <w:t>ROCNlK XVL</w:t>
            </w:r>
            <w:r>
              <w:rPr>
                <w:b/>
                <w:bCs/>
                <w:sz w:val="22"/>
                <w:szCs w:val="22"/>
              </w:rPr>
              <w:tab/>
              <w:t>V PRAZE 24. KVĚTNA 1939</w:t>
            </w:r>
          </w:p>
        </w:tc>
        <w:tc>
          <w:tcPr>
            <w:tcW w:w="0" w:type="auto"/>
            <w:tcBorders>
              <w:right w:val="single" w:sz="4" w:space="0" w:color="auto"/>
            </w:tcBorders>
            <w:shd w:val="clear" w:color="auto" w:fill="FFFFFF"/>
            <w:vAlign w:val="center"/>
          </w:tcPr>
          <w:p w:rsidR="00500724" w:rsidRDefault="00F30FB8">
            <w:pPr>
              <w:pStyle w:val="Jin0"/>
              <w:shd w:val="clear" w:color="auto" w:fill="auto"/>
              <w:ind w:right="220" w:firstLine="0"/>
              <w:jc w:val="right"/>
              <w:rPr>
                <w:sz w:val="22"/>
                <w:szCs w:val="22"/>
              </w:rPr>
            </w:pPr>
            <w:r>
              <w:rPr>
                <w:b/>
                <w:bCs/>
                <w:sz w:val="22"/>
                <w:szCs w:val="22"/>
              </w:rPr>
              <w:t>ZA K 2.—</w:t>
            </w:r>
          </w:p>
        </w:tc>
      </w:tr>
      <w:tr w:rsidR="00500724">
        <w:tblPrEx>
          <w:tblCellMar>
            <w:top w:w="0" w:type="dxa"/>
            <w:bottom w:w="0" w:type="dxa"/>
          </w:tblCellMar>
        </w:tblPrEx>
        <w:trPr>
          <w:trHeight w:hRule="exact" w:val="2016"/>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60"/>
              <w:jc w:val="left"/>
              <w:rPr>
                <w:sz w:val="56"/>
                <w:szCs w:val="56"/>
              </w:rPr>
            </w:pPr>
            <w:r>
              <w:rPr>
                <w:sz w:val="56"/>
                <w:szCs w:val="56"/>
              </w:rPr>
              <w:t>Když všechno se mění...</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b/>
                <w:bCs/>
                <w:sz w:val="26"/>
                <w:szCs w:val="26"/>
              </w:rPr>
              <w:t>F. PEROUTKA</w:t>
            </w:r>
          </w:p>
        </w:tc>
      </w:tr>
      <w:tr w:rsidR="00500724">
        <w:tblPrEx>
          <w:tblCellMar>
            <w:top w:w="0" w:type="dxa"/>
            <w:bottom w:w="0" w:type="dxa"/>
          </w:tblCellMar>
        </w:tblPrEx>
        <w:trPr>
          <w:trHeight w:hRule="exact" w:val="1162"/>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tabs>
                <w:tab w:val="left" w:pos="8234"/>
              </w:tabs>
              <w:ind w:left="300" w:firstLine="0"/>
              <w:rPr>
                <w:sz w:val="34"/>
                <w:szCs w:val="34"/>
              </w:rPr>
            </w:pPr>
            <w:r>
              <w:rPr>
                <w:sz w:val="56"/>
                <w:szCs w:val="56"/>
              </w:rPr>
              <w:t>Promiňte, že nešeptám</w:t>
            </w:r>
            <w:r>
              <w:rPr>
                <w:sz w:val="56"/>
                <w:szCs w:val="56"/>
              </w:rPr>
              <w:tab/>
            </w:r>
            <w:r>
              <w:rPr>
                <w:smallCaps/>
                <w:sz w:val="34"/>
                <w:szCs w:val="34"/>
              </w:rPr>
              <w:t>milená jesenska</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60"/>
              <w:jc w:val="left"/>
              <w:rPr>
                <w:sz w:val="70"/>
                <w:szCs w:val="70"/>
              </w:rPr>
            </w:pPr>
            <w:r>
              <w:rPr>
                <w:rFonts w:ascii="Calibri" w:eastAsia="Calibri" w:hAnsi="Calibri" w:cs="Calibri"/>
                <w:b/>
                <w:bCs/>
                <w:w w:val="70"/>
                <w:sz w:val="70"/>
                <w:szCs w:val="70"/>
              </w:rPr>
              <w:t>Anglie a Rusko neboli zájmy a ideologie</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b/>
                <w:bCs/>
                <w:sz w:val="26"/>
                <w:szCs w:val="26"/>
              </w:rPr>
              <w:t>V. STRNAD</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60"/>
              <w:jc w:val="left"/>
              <w:rPr>
                <w:sz w:val="56"/>
                <w:szCs w:val="56"/>
              </w:rPr>
            </w:pPr>
            <w:r>
              <w:rPr>
                <w:sz w:val="56"/>
                <w:szCs w:val="56"/>
              </w:rPr>
              <w:t>Rozchod armády</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b/>
                <w:bCs/>
                <w:sz w:val="26"/>
                <w:szCs w:val="26"/>
              </w:rPr>
              <w:t>JAN FRANK</w:t>
            </w:r>
          </w:p>
        </w:tc>
      </w:tr>
      <w:tr w:rsidR="00500724">
        <w:tblPrEx>
          <w:tblCellMar>
            <w:top w:w="0" w:type="dxa"/>
            <w:bottom w:w="0" w:type="dxa"/>
          </w:tblCellMar>
        </w:tblPrEx>
        <w:trPr>
          <w:trHeight w:hRule="exact" w:val="1176"/>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60"/>
              <w:jc w:val="left"/>
              <w:rPr>
                <w:sz w:val="56"/>
                <w:szCs w:val="56"/>
              </w:rPr>
            </w:pPr>
            <w:r>
              <w:rPr>
                <w:sz w:val="56"/>
                <w:szCs w:val="56"/>
              </w:rPr>
              <w:t>Gdaňsko nečasové</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b/>
                <w:bCs/>
                <w:sz w:val="26"/>
                <w:szCs w:val="26"/>
              </w:rPr>
              <w:t>JAN ALBERT</w:t>
            </w:r>
          </w:p>
        </w:tc>
      </w:tr>
      <w:tr w:rsidR="00500724">
        <w:tblPrEx>
          <w:tblCellMar>
            <w:top w:w="0" w:type="dxa"/>
            <w:bottom w:w="0" w:type="dxa"/>
          </w:tblCellMar>
        </w:tblPrEx>
        <w:trPr>
          <w:trHeight w:hRule="exact" w:val="1498"/>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60"/>
              <w:jc w:val="left"/>
              <w:rPr>
                <w:sz w:val="56"/>
                <w:szCs w:val="56"/>
              </w:rPr>
            </w:pPr>
            <w:r>
              <w:rPr>
                <w:sz w:val="56"/>
                <w:szCs w:val="56"/>
              </w:rPr>
              <w:t>Muži pod Prahou</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b/>
                <w:bCs/>
                <w:sz w:val="26"/>
                <w:szCs w:val="26"/>
              </w:rPr>
              <w:t>FRED TECHNIK</w:t>
            </w:r>
          </w:p>
        </w:tc>
      </w:tr>
    </w:tbl>
    <w:p w:rsidR="00500724" w:rsidRDefault="00500724">
      <w:pPr>
        <w:spacing w:after="346" w:line="14" w:lineRule="exact"/>
      </w:pPr>
    </w:p>
    <w:p w:rsidR="00500724" w:rsidRDefault="00F30FB8">
      <w:pPr>
        <w:pStyle w:val="Jin0"/>
        <w:shd w:val="clear" w:color="auto" w:fill="auto"/>
        <w:spacing w:line="209" w:lineRule="auto"/>
        <w:ind w:left="560" w:right="480" w:firstLine="20"/>
        <w:rPr>
          <w:sz w:val="26"/>
          <w:szCs w:val="26"/>
        </w:rPr>
        <w:sectPr w:rsidR="00500724">
          <w:footnotePr>
            <w:numFmt w:val="chicago"/>
            <w:numRestart w:val="eachPage"/>
          </w:footnotePr>
          <w:pgSz w:w="11909" w:h="16834"/>
          <w:pgMar w:top="1028" w:right="0" w:bottom="876" w:left="541" w:header="0" w:footer="3" w:gutter="0"/>
          <w:cols w:space="720"/>
          <w:noEndnote/>
          <w:docGrid w:linePitch="360"/>
        </w:sectPr>
      </w:pPr>
      <w:r>
        <w:rPr>
          <w:b/>
          <w:bCs/>
          <w:sz w:val="26"/>
          <w:szCs w:val="26"/>
        </w:rPr>
        <w:t xml:space="preserve">Reorganisace výboru Národního souručenství.—Politické pozadí anglo-turecké smlouvy. Význam Genového úřadu. — Nesnáze v Palestině. — Zemřel vzorný starosta. — Ještě o </w:t>
      </w:r>
      <w:r>
        <w:rPr>
          <w:b/>
          <w:bCs/>
          <w:sz w:val="26"/>
          <w:szCs w:val="26"/>
        </w:rPr>
        <w:t>britsko-rumunské obchodní smlouvě. — Stávka za padesát milionů dolarů. — O té persekuci slovenských studentů. — Zasmějte se s námi! — Stačí být Cechem? — Slovenky odpovídají Slovence. — Odpověď Hlihkovu gardistovi.</w:t>
      </w:r>
    </w:p>
    <w:p w:rsidR="00500724" w:rsidRDefault="00F30FB8">
      <w:pPr>
        <w:spacing w:line="14" w:lineRule="exact"/>
      </w:pPr>
      <w:r>
        <w:rPr>
          <w:noProof/>
        </w:rPr>
        <mc:AlternateContent>
          <mc:Choice Requires="wps">
            <w:drawing>
              <wp:anchor distT="0" distB="0" distL="114300" distR="114300" simplePos="0" relativeHeight="125829898" behindDoc="0" locked="0" layoutInCell="1" allowOverlap="1">
                <wp:simplePos x="0" y="0"/>
                <wp:positionH relativeFrom="page">
                  <wp:posOffset>379730</wp:posOffset>
                </wp:positionH>
                <wp:positionV relativeFrom="paragraph">
                  <wp:posOffset>2338070</wp:posOffset>
                </wp:positionV>
                <wp:extent cx="2380615" cy="247015"/>
                <wp:effectExtent l="0" t="0" r="0" b="0"/>
                <wp:wrapTopAndBottom/>
                <wp:docPr id="521" name="Shape 521"/>
                <wp:cNvGraphicFramePr/>
                <a:graphic xmlns:a="http://schemas.openxmlformats.org/drawingml/2006/main">
                  <a:graphicData uri="http://schemas.microsoft.com/office/word/2010/wordprocessingShape">
                    <wps:wsp>
                      <wps:cNvSpPr txBox="1"/>
                      <wps:spPr>
                        <a:xfrm>
                          <a:off x="0" y="0"/>
                          <a:ext cx="2380615" cy="24701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IAZNE VELIC1OVKY</w:t>
                            </w:r>
                          </w:p>
                        </w:txbxContent>
                      </wps:txbx>
                      <wps:bodyPr lIns="0" tIns="0" rIns="0" bIns="0">
                        <a:spAutoFit/>
                      </wps:bodyPr>
                    </wps:wsp>
                  </a:graphicData>
                </a:graphic>
              </wp:anchor>
            </w:drawing>
          </mc:Choice>
          <mc:Fallback>
            <w:pict>
              <v:shape id="_x0000_s1547" type="#_x0000_t202" style="position:absolute;margin-left:29.899999999999999pt;margin-top:184.09999999999999pt;width:187.44999999999999pt;height:19.449999999999999pt;z-index:-125828855;mso-wrap-distance-left:9.pt;mso-wrap-distance-right:9.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IAZNE VELIC1OVKY</w:t>
                      </w:r>
                    </w:p>
                  </w:txbxContent>
                </v:textbox>
                <w10:wrap type="topAndBottom" anchorx="page"/>
              </v:shape>
            </w:pict>
          </mc:Fallback>
        </mc:AlternateContent>
      </w:r>
      <w:r>
        <w:rPr>
          <w:noProof/>
        </w:rPr>
        <mc:AlternateContent>
          <mc:Choice Requires="wps">
            <w:drawing>
              <wp:anchor distT="0" distB="0" distL="12700" distR="12700" simplePos="0" relativeHeight="125829900" behindDoc="0" locked="0" layoutInCell="1" allowOverlap="1">
                <wp:simplePos x="0" y="0"/>
                <wp:positionH relativeFrom="page">
                  <wp:posOffset>2790190</wp:posOffset>
                </wp:positionH>
                <wp:positionV relativeFrom="paragraph">
                  <wp:posOffset>2426335</wp:posOffset>
                </wp:positionV>
                <wp:extent cx="624840" cy="201295"/>
                <wp:effectExtent l="0" t="0" r="0" b="0"/>
                <wp:wrapSquare wrapText="left"/>
                <wp:docPr id="523" name="Shape 523"/>
                <wp:cNvGraphicFramePr/>
                <a:graphic xmlns:a="http://schemas.openxmlformats.org/drawingml/2006/main">
                  <a:graphicData uri="http://schemas.microsoft.com/office/word/2010/wordprocessingShape">
                    <wps:wsp>
                      <wps:cNvSpPr txBox="1"/>
                      <wps:spPr>
                        <a:xfrm>
                          <a:off x="0" y="0"/>
                          <a:ext cx="624840" cy="201295"/>
                        </a:xfrm>
                        <a:prstGeom prst="rect">
                          <a:avLst/>
                        </a:prstGeom>
                        <a:noFill/>
                      </wps:spPr>
                      <wps:txbx>
                        <w:txbxContent>
                          <w:p w:rsidR="00500724" w:rsidRDefault="00F30FB8">
                            <w:pPr>
                              <w:pStyle w:val="Jin0"/>
                              <w:shd w:val="clear" w:color="auto" w:fill="auto"/>
                              <w:ind w:firstLine="0"/>
                              <w:jc w:val="left"/>
                              <w:rPr>
                                <w:sz w:val="24"/>
                                <w:szCs w:val="24"/>
                              </w:rPr>
                            </w:pPr>
                            <w:r>
                              <w:rPr>
                                <w:rFonts w:ascii="Arial" w:eastAsia="Arial" w:hAnsi="Arial" w:cs="Arial"/>
                                <w:b/>
                                <w:bCs/>
                                <w:w w:val="70"/>
                                <w:sz w:val="24"/>
                                <w:szCs w:val="24"/>
                              </w:rPr>
                              <w:t>u Jaroměře</w:t>
                            </w:r>
                          </w:p>
                        </w:txbxContent>
                      </wps:txbx>
                      <wps:bodyPr lIns="0" tIns="0" rIns="0" bIns="0">
                        <a:spAutoFit/>
                      </wps:bodyPr>
                    </wps:wsp>
                  </a:graphicData>
                </a:graphic>
              </wp:anchor>
            </w:drawing>
          </mc:Choice>
          <mc:Fallback>
            <w:pict>
              <v:shape id="_x0000_s1549" type="#_x0000_t202" style="position:absolute;margin-left:219.69999999999999pt;margin-top:191.05000000000001pt;width:49.200000000000003pt;height:15.85pt;z-index:-125828853;mso-wrap-distance-left:1.pt;mso-wrap-distance-right:1.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000000"/>
                          <w:spacing w:val="0"/>
                          <w:w w:val="70"/>
                          <w:position w:val="0"/>
                          <w:sz w:val="24"/>
                          <w:szCs w:val="24"/>
                          <w:shd w:val="clear" w:color="auto" w:fill="auto"/>
                          <w:lang w:val="cs-CZ" w:eastAsia="cs-CZ" w:bidi="cs-CZ"/>
                        </w:rPr>
                        <w:t>u Jaroměře</w:t>
                      </w:r>
                    </w:p>
                  </w:txbxContent>
                </v:textbox>
                <w10:wrap type="square" side="left" anchorx="page"/>
              </v:shape>
            </w:pict>
          </mc:Fallback>
        </mc:AlternateContent>
      </w:r>
      <w:r>
        <w:rPr>
          <w:noProof/>
        </w:rPr>
        <mc:AlternateContent>
          <mc:Choice Requires="wps">
            <w:drawing>
              <wp:anchor distT="0" distB="0" distL="12700" distR="12700" simplePos="0" relativeHeight="125829902" behindDoc="0" locked="0" layoutInCell="1" allowOverlap="1">
                <wp:simplePos x="0" y="0"/>
                <wp:positionH relativeFrom="page">
                  <wp:posOffset>6042660</wp:posOffset>
                </wp:positionH>
                <wp:positionV relativeFrom="paragraph">
                  <wp:posOffset>2810510</wp:posOffset>
                </wp:positionV>
                <wp:extent cx="670560" cy="1588135"/>
                <wp:effectExtent l="0" t="0" r="0" b="0"/>
                <wp:wrapSquare wrapText="left"/>
                <wp:docPr id="525" name="Shape 525"/>
                <wp:cNvGraphicFramePr/>
                <a:graphic xmlns:a="http://schemas.openxmlformats.org/drawingml/2006/main">
                  <a:graphicData uri="http://schemas.microsoft.com/office/word/2010/wordprocessingShape">
                    <wps:wsp>
                      <wps:cNvSpPr txBox="1"/>
                      <wps:spPr>
                        <a:xfrm>
                          <a:off x="0" y="0"/>
                          <a:ext cx="670560" cy="1588135"/>
                        </a:xfrm>
                        <a:prstGeom prst="rect">
                          <a:avLst/>
                        </a:prstGeom>
                        <a:noFill/>
                      </wps:spPr>
                      <wps:txbx>
                        <w:txbxContent>
                          <w:p w:rsidR="00500724" w:rsidRDefault="00F30FB8">
                            <w:pPr>
                              <w:pStyle w:val="Zkladntext100"/>
                              <w:shd w:val="clear" w:color="auto" w:fill="auto"/>
                              <w:spacing w:after="240" w:line="144" w:lineRule="auto"/>
                              <w:ind w:firstLine="0"/>
                              <w:jc w:val="right"/>
                            </w:pPr>
                            <w:r>
                              <w:t>brož. K 24.— váz. K 34.—</w:t>
                            </w:r>
                          </w:p>
                          <w:p w:rsidR="00500724" w:rsidRDefault="00F30FB8">
                            <w:pPr>
                              <w:pStyle w:val="Zkladntext100"/>
                              <w:shd w:val="clear" w:color="auto" w:fill="auto"/>
                              <w:spacing w:after="380" w:line="168" w:lineRule="auto"/>
                              <w:ind w:firstLine="0"/>
                              <w:jc w:val="right"/>
                            </w:pPr>
                            <w:r>
                              <w:t>brož K 30.—</w:t>
                            </w:r>
                          </w:p>
                          <w:p w:rsidR="00500724" w:rsidRDefault="00F30FB8">
                            <w:pPr>
                              <w:pStyle w:val="Zkladntext100"/>
                              <w:shd w:val="clear" w:color="auto" w:fill="auto"/>
                              <w:spacing w:after="520" w:line="190" w:lineRule="auto"/>
                              <w:ind w:firstLine="0"/>
                              <w:jc w:val="right"/>
                            </w:pPr>
                            <w:r>
                              <w:t>brož. K 30.— váz. K 42.—</w:t>
                            </w:r>
                          </w:p>
                          <w:p w:rsidR="00500724" w:rsidRDefault="00F30FB8">
                            <w:pPr>
                              <w:pStyle w:val="Zkladntext100"/>
                              <w:shd w:val="clear" w:color="auto" w:fill="auto"/>
                              <w:spacing w:after="240" w:line="168" w:lineRule="auto"/>
                              <w:ind w:firstLine="0"/>
                              <w:jc w:val="right"/>
                            </w:pPr>
                            <w:r>
                              <w:t>brož. K 10.—</w:t>
                            </w:r>
                          </w:p>
                          <w:p w:rsidR="00500724" w:rsidRDefault="00F30FB8">
                            <w:pPr>
                              <w:pStyle w:val="Zkladntext100"/>
                              <w:shd w:val="clear" w:color="auto" w:fill="auto"/>
                              <w:spacing w:line="168" w:lineRule="auto"/>
                              <w:ind w:firstLine="0"/>
                              <w:jc w:val="right"/>
                            </w:pPr>
                            <w:r>
                              <w:t>brož. K 12.—</w:t>
                            </w:r>
                          </w:p>
                        </w:txbxContent>
                      </wps:txbx>
                      <wps:bodyPr lIns="0" tIns="0" rIns="0" bIns="0">
                        <a:spAutoFit/>
                      </wps:bodyPr>
                    </wps:wsp>
                  </a:graphicData>
                </a:graphic>
              </wp:anchor>
            </w:drawing>
          </mc:Choice>
          <mc:Fallback>
            <w:pict>
              <v:shape id="_x0000_s1551" type="#_x0000_t202" style="position:absolute;margin-left:475.80000000000001pt;margin-top:221.30000000000001pt;width:52.799999999999997pt;height:125.05pt;z-index:-125828851;mso-wrap-distance-left:1.pt;mso-wrap-distance-right:1.pt;mso-position-horizontal-relative:page" filled="f" stroked="f">
                <v:textbox style="mso-fit-shape-to-text:t" inset="0,0,0,0">
                  <w:txbxContent>
                    <w:p>
                      <w:pPr>
                        <w:pStyle w:val="Style344"/>
                        <w:keepNext w:val="0"/>
                        <w:keepLines w:val="0"/>
                        <w:widowControl w:val="0"/>
                        <w:shd w:val="clear" w:color="auto" w:fill="auto"/>
                        <w:bidi w:val="0"/>
                        <w:spacing w:before="0" w:after="240" w:line="144" w:lineRule="auto"/>
                        <w:ind w:left="0" w:right="0" w:firstLine="0"/>
                        <w:jc w:val="right"/>
                      </w:pPr>
                      <w:r>
                        <w:rPr>
                          <w:color w:val="000000"/>
                          <w:spacing w:val="0"/>
                          <w:w w:val="100"/>
                          <w:position w:val="0"/>
                          <w:sz w:val="18"/>
                          <w:szCs w:val="18"/>
                          <w:shd w:val="clear" w:color="auto" w:fill="auto"/>
                          <w:lang w:val="cs-CZ" w:eastAsia="cs-CZ" w:bidi="cs-CZ"/>
                        </w:rPr>
                        <w:t>brož. K 24.— váz. K 34.—</w:t>
                      </w:r>
                    </w:p>
                    <w:p>
                      <w:pPr>
                        <w:pStyle w:val="Style344"/>
                        <w:keepNext w:val="0"/>
                        <w:keepLines w:val="0"/>
                        <w:widowControl w:val="0"/>
                        <w:shd w:val="clear" w:color="auto" w:fill="auto"/>
                        <w:bidi w:val="0"/>
                        <w:spacing w:before="0" w:after="380" w:line="168" w:lineRule="auto"/>
                        <w:ind w:left="0" w:right="0" w:firstLine="0"/>
                        <w:jc w:val="right"/>
                      </w:pPr>
                      <w:r>
                        <w:rPr>
                          <w:color w:val="000000"/>
                          <w:spacing w:val="0"/>
                          <w:w w:val="100"/>
                          <w:position w:val="0"/>
                          <w:sz w:val="18"/>
                          <w:szCs w:val="18"/>
                          <w:shd w:val="clear" w:color="auto" w:fill="auto"/>
                          <w:lang w:val="cs-CZ" w:eastAsia="cs-CZ" w:bidi="cs-CZ"/>
                        </w:rPr>
                        <w:t>brož K 30.—</w:t>
                      </w:r>
                    </w:p>
                    <w:p>
                      <w:pPr>
                        <w:pStyle w:val="Style344"/>
                        <w:keepNext w:val="0"/>
                        <w:keepLines w:val="0"/>
                        <w:widowControl w:val="0"/>
                        <w:shd w:val="clear" w:color="auto" w:fill="auto"/>
                        <w:bidi w:val="0"/>
                        <w:spacing w:before="0" w:after="520" w:line="190" w:lineRule="auto"/>
                        <w:ind w:left="0" w:right="0" w:firstLine="0"/>
                        <w:jc w:val="right"/>
                      </w:pPr>
                      <w:r>
                        <w:rPr>
                          <w:color w:val="000000"/>
                          <w:spacing w:val="0"/>
                          <w:w w:val="100"/>
                          <w:position w:val="0"/>
                          <w:sz w:val="18"/>
                          <w:szCs w:val="18"/>
                          <w:shd w:val="clear" w:color="auto" w:fill="auto"/>
                          <w:lang w:val="cs-CZ" w:eastAsia="cs-CZ" w:bidi="cs-CZ"/>
                        </w:rPr>
                        <w:t>brož. K 30.— váz. K 42.—</w:t>
                      </w:r>
                    </w:p>
                    <w:p>
                      <w:pPr>
                        <w:pStyle w:val="Style344"/>
                        <w:keepNext w:val="0"/>
                        <w:keepLines w:val="0"/>
                        <w:widowControl w:val="0"/>
                        <w:shd w:val="clear" w:color="auto" w:fill="auto"/>
                        <w:bidi w:val="0"/>
                        <w:spacing w:before="0" w:after="240" w:line="168" w:lineRule="auto"/>
                        <w:ind w:left="0" w:right="0" w:firstLine="0"/>
                        <w:jc w:val="right"/>
                      </w:pPr>
                      <w:r>
                        <w:rPr>
                          <w:color w:val="000000"/>
                          <w:spacing w:val="0"/>
                          <w:w w:val="100"/>
                          <w:position w:val="0"/>
                          <w:sz w:val="18"/>
                          <w:szCs w:val="18"/>
                          <w:shd w:val="clear" w:color="auto" w:fill="auto"/>
                          <w:lang w:val="cs-CZ" w:eastAsia="cs-CZ" w:bidi="cs-CZ"/>
                        </w:rPr>
                        <w:t>brož. K 10.—</w:t>
                      </w:r>
                    </w:p>
                    <w:p>
                      <w:pPr>
                        <w:pStyle w:val="Style344"/>
                        <w:keepNext w:val="0"/>
                        <w:keepLines w:val="0"/>
                        <w:widowControl w:val="0"/>
                        <w:shd w:val="clear" w:color="auto" w:fill="auto"/>
                        <w:bidi w:val="0"/>
                        <w:spacing w:before="0" w:after="0" w:line="168" w:lineRule="auto"/>
                        <w:ind w:left="0" w:right="0" w:firstLine="0"/>
                        <w:jc w:val="right"/>
                      </w:pPr>
                      <w:r>
                        <w:rPr>
                          <w:color w:val="000000"/>
                          <w:spacing w:val="0"/>
                          <w:w w:val="100"/>
                          <w:position w:val="0"/>
                          <w:sz w:val="18"/>
                          <w:szCs w:val="18"/>
                          <w:shd w:val="clear" w:color="auto" w:fill="auto"/>
                          <w:lang w:val="cs-CZ" w:eastAsia="cs-CZ" w:bidi="cs-CZ"/>
                        </w:rPr>
                        <w:t>brož. K 12.—</w:t>
                      </w:r>
                    </w:p>
                  </w:txbxContent>
                </v:textbox>
                <w10:wrap type="square" side="left" anchorx="page"/>
              </v:shape>
            </w:pict>
          </mc:Fallback>
        </mc:AlternateConten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jc w:val="center"/>
      </w:pPr>
      <w:bookmarkStart w:id="518" w:name="bookmark517"/>
      <w:r>
        <w:rPr>
          <w:color w:val="FFFFFF"/>
        </w:rPr>
        <w:t>ODBORNÍ LÉKAŘI</w:t>
      </w:r>
      <w:bookmarkEnd w:id="518"/>
    </w:p>
    <w:p w:rsidR="00500724" w:rsidRDefault="00F30FB8">
      <w:pPr>
        <w:pStyle w:val="Nadpis110"/>
        <w:shd w:val="clear" w:color="auto" w:fill="auto"/>
        <w:spacing w:after="60"/>
        <w:jc w:val="both"/>
      </w:pPr>
      <w:bookmarkStart w:id="519" w:name="bookmark518"/>
      <w:r>
        <w:t>MUDr. ZDENKA NEDVĚDOVA-NEJEDLA</w:t>
      </w:r>
      <w:bookmarkEnd w:id="519"/>
    </w:p>
    <w:p w:rsidR="00500724" w:rsidRDefault="00F30FB8">
      <w:pPr>
        <w:pStyle w:val="Zkladntext100"/>
        <w:shd w:val="clear" w:color="auto" w:fill="auto"/>
        <w:spacing w:after="180" w:line="223" w:lineRule="auto"/>
        <w:ind w:firstLine="0"/>
      </w:pPr>
      <w:r>
        <w:rPr>
          <w:b/>
          <w:bCs/>
        </w:rPr>
        <w:t xml:space="preserve">odb. dětská lékařka, PODOLÍ, PANKRÁCKÁ 14 (stanice elektr. </w:t>
      </w:r>
      <w:r>
        <w:rPr>
          <w:b/>
          <w:bCs/>
          <w:u w:val="single"/>
        </w:rPr>
        <w:t>dráhy za Podol, sanatoriem). Ord. 9—10 a 2—4. Tel. 441-77.</w:t>
      </w:r>
    </w:p>
    <w:p w:rsidR="00500724" w:rsidRDefault="00F30FB8">
      <w:pPr>
        <w:pStyle w:val="Nadpis110"/>
        <w:shd w:val="clear" w:color="auto" w:fill="auto"/>
        <w:spacing w:after="60"/>
        <w:jc w:val="both"/>
      </w:pPr>
      <w:bookmarkStart w:id="520" w:name="bookmark519"/>
      <w:r>
        <w:t>MUDr. ANTONÍN NEUMANN</w:t>
      </w:r>
      <w:bookmarkEnd w:id="520"/>
    </w:p>
    <w:p w:rsidR="00500724" w:rsidRDefault="00F30FB8">
      <w:pPr>
        <w:pStyle w:val="Zkladntext40"/>
        <w:shd w:val="clear" w:color="auto" w:fill="auto"/>
        <w:spacing w:after="140" w:line="190" w:lineRule="auto"/>
        <w:ind w:firstLine="700"/>
        <w:rPr>
          <w:sz w:val="16"/>
          <w:szCs w:val="16"/>
        </w:rPr>
      </w:pPr>
      <w:r>
        <w:rPr>
          <w:sz w:val="18"/>
          <w:szCs w:val="18"/>
        </w:rPr>
        <w:t xml:space="preserve">odborný lékař nemocí pohlavních, kožních a kosmetiky </w:t>
      </w:r>
      <w:r>
        <w:rPr>
          <w:b/>
          <w:bCs/>
          <w:sz w:val="16"/>
          <w:szCs w:val="16"/>
        </w:rPr>
        <w:t xml:space="preserve">Praha II., Na Zbořenci 24 — třetí dům od Karlova náměstí. </w:t>
      </w:r>
      <w:r>
        <w:rPr>
          <w:b/>
          <w:bCs/>
          <w:sz w:val="16"/>
          <w:szCs w:val="16"/>
          <w:u w:val="single"/>
        </w:rPr>
        <w:t xml:space="preserve">Ordinuje celý den. </w:t>
      </w:r>
      <w:r>
        <w:rPr>
          <w:sz w:val="18"/>
          <w:szCs w:val="18"/>
          <w:u w:val="single"/>
        </w:rPr>
        <w:t xml:space="preserve">V </w:t>
      </w:r>
      <w:r>
        <w:rPr>
          <w:b/>
          <w:bCs/>
          <w:sz w:val="16"/>
          <w:szCs w:val="16"/>
          <w:u w:val="single"/>
        </w:rPr>
        <w:t>neděli a ve svátek dopoledne. Tel. 41.728.</w:t>
      </w:r>
    </w:p>
    <w:p w:rsidR="00500724" w:rsidRDefault="00F30FB8">
      <w:pPr>
        <w:pStyle w:val="Zkladntext100"/>
        <w:shd w:val="clear" w:color="auto" w:fill="auto"/>
        <w:spacing w:after="60" w:line="182"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180" w:line="211" w:lineRule="auto"/>
        <w:ind w:firstLine="0"/>
        <w:rPr>
          <w:sz w:val="19"/>
          <w:szCs w:val="19"/>
        </w:rPr>
      </w:pPr>
      <w:r>
        <w:rPr>
          <w:b/>
          <w:bCs/>
          <w:sz w:val="19"/>
          <w:szCs w:val="19"/>
        </w:rPr>
        <w:t xml:space="preserve">ord. 3—4 (a </w:t>
      </w:r>
      <w:r>
        <w:rPr>
          <w:b/>
          <w:bCs/>
          <w:sz w:val="19"/>
          <w:szCs w:val="19"/>
        </w:rPr>
        <w:t>podle úmluvy). Telefon 393-79. PRAHA IL, VO</w:t>
      </w:r>
      <w:r>
        <w:rPr>
          <w:b/>
          <w:bCs/>
          <w:sz w:val="19"/>
          <w:szCs w:val="19"/>
        </w:rPr>
        <w:softHyphen/>
      </w:r>
      <w:r>
        <w:rPr>
          <w:b/>
          <w:bCs/>
          <w:sz w:val="19"/>
          <w:szCs w:val="19"/>
          <w:u w:val="single"/>
        </w:rPr>
        <w:t>DIČKOVA 15. (Hlávkův nalác.)</w:t>
      </w:r>
    </w:p>
    <w:p w:rsidR="00500724" w:rsidRDefault="00F30FB8">
      <w:pPr>
        <w:pStyle w:val="Zkladntext100"/>
        <w:shd w:val="clear" w:color="auto" w:fill="auto"/>
        <w:spacing w:after="60" w:line="240" w:lineRule="auto"/>
        <w:ind w:left="180" w:firstLine="20"/>
        <w:jc w:val="left"/>
      </w:pPr>
      <w:r>
        <w:t>Sezóna od 1. března</w:t>
      </w:r>
    </w:p>
    <w:p w:rsidR="00500724" w:rsidRDefault="00F30FB8">
      <w:pPr>
        <w:pStyle w:val="Zkladntext50"/>
        <w:shd w:val="clear" w:color="auto" w:fill="auto"/>
        <w:spacing w:after="0" w:line="240" w:lineRule="auto"/>
        <w:ind w:left="0"/>
        <w:jc w:val="right"/>
        <w:rPr>
          <w:sz w:val="18"/>
          <w:szCs w:val="18"/>
        </w:rPr>
      </w:pPr>
      <w:r>
        <w:rPr>
          <w:b/>
          <w:bCs/>
          <w:sz w:val="18"/>
          <w:szCs w:val="18"/>
        </w:rPr>
        <w:t>Revma, dna, ischias, nervosy, ženské choroby</w:t>
      </w:r>
    </w:p>
    <w:p w:rsidR="00500724" w:rsidRDefault="00F30FB8">
      <w:pPr>
        <w:pStyle w:val="Jin0"/>
        <w:pBdr>
          <w:bottom w:val="single" w:sz="4" w:space="0" w:color="auto"/>
        </w:pBdr>
        <w:shd w:val="clear" w:color="auto" w:fill="auto"/>
        <w:spacing w:after="560" w:line="194" w:lineRule="auto"/>
        <w:ind w:firstLine="0"/>
        <w:jc w:val="right"/>
        <w:rPr>
          <w:sz w:val="26"/>
          <w:szCs w:val="26"/>
        </w:rPr>
      </w:pPr>
      <w:r>
        <w:rPr>
          <w:rFonts w:ascii="Arial" w:eastAsia="Arial" w:hAnsi="Arial" w:cs="Arial"/>
          <w:b/>
          <w:bCs/>
          <w:sz w:val="26"/>
          <w:szCs w:val="26"/>
        </w:rPr>
        <w:t>Levné jarní paušály od K 960*-za 3 týdny</w:t>
      </w:r>
    </w:p>
    <w:p w:rsidR="00500724" w:rsidRDefault="00F30FB8">
      <w:pPr>
        <w:pStyle w:val="Jin0"/>
        <w:shd w:val="clear" w:color="auto" w:fill="auto"/>
        <w:spacing w:after="60"/>
        <w:ind w:left="340" w:firstLine="0"/>
        <w:jc w:val="left"/>
        <w:rPr>
          <w:sz w:val="26"/>
          <w:szCs w:val="26"/>
        </w:rPr>
      </w:pPr>
      <w:r>
        <w:rPr>
          <w:i/>
          <w:iCs/>
          <w:sz w:val="26"/>
          <w:szCs w:val="26"/>
        </w:rPr>
        <w:t>Světovou sensaci</w:t>
      </w:r>
    </w:p>
    <w:p w:rsidR="00500724" w:rsidRDefault="00F30FB8">
      <w:pPr>
        <w:pStyle w:val="Nadpis110"/>
        <w:shd w:val="clear" w:color="auto" w:fill="auto"/>
        <w:spacing w:after="60"/>
        <w:ind w:left="840"/>
      </w:pPr>
      <w:bookmarkStart w:id="521" w:name="bookmark520"/>
      <w:r>
        <w:t>prvního řádu jsou</w:t>
      </w:r>
      <w:bookmarkEnd w:id="521"/>
    </w:p>
    <w:p w:rsidR="00500724" w:rsidRDefault="00F30FB8">
      <w:pPr>
        <w:pStyle w:val="Jin0"/>
        <w:shd w:val="clear" w:color="auto" w:fill="auto"/>
        <w:spacing w:after="60"/>
        <w:ind w:firstLine="0"/>
        <w:jc w:val="right"/>
        <w:rPr>
          <w:sz w:val="38"/>
          <w:szCs w:val="38"/>
        </w:rPr>
      </w:pPr>
      <w:r>
        <w:rPr>
          <w:rFonts w:ascii="Arial" w:eastAsia="Arial" w:hAnsi="Arial" w:cs="Arial"/>
          <w:b/>
          <w:bCs/>
          <w:sz w:val="38"/>
          <w:szCs w:val="38"/>
        </w:rPr>
        <w:t>švýcarské psaci ftroie</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20"/>
        <w:jc w:val="center"/>
      </w:pPr>
      <w:bookmarkStart w:id="522" w:name="bookmark521"/>
      <w:r>
        <w:rPr>
          <w:color w:val="FFFFFF"/>
        </w:rPr>
        <w:t xml:space="preserve">VAS VKUS I NÁROKY </w:t>
      </w:r>
      <w:r>
        <w:rPr>
          <w:color w:val="FFFFFF"/>
        </w:rPr>
        <w:t>USPOKOJÍ</w:t>
      </w:r>
      <w:bookmarkEnd w:id="522"/>
    </w:p>
    <w:p w:rsidR="00500724" w:rsidRDefault="00F30FB8">
      <w:pPr>
        <w:pStyle w:val="Zkladntext40"/>
        <w:pBdr>
          <w:top w:val="single" w:sz="4" w:space="0" w:color="auto"/>
          <w:left w:val="single" w:sz="4" w:space="0" w:color="auto"/>
          <w:bottom w:val="single" w:sz="4" w:space="0" w:color="auto"/>
          <w:right w:val="single" w:sz="4" w:space="0" w:color="auto"/>
        </w:pBdr>
        <w:shd w:val="clear" w:color="auto" w:fill="auto"/>
        <w:spacing w:line="240" w:lineRule="auto"/>
        <w:jc w:val="center"/>
        <w:rPr>
          <w:sz w:val="14"/>
          <w:szCs w:val="14"/>
        </w:rPr>
      </w:pPr>
      <w:r>
        <w:rPr>
          <w:b/>
          <w:bCs/>
          <w:sz w:val="14"/>
          <w:szCs w:val="14"/>
        </w:rPr>
        <w:t>OBUV PRO VYŠŠÍ NÁROKY</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GRAUMANM</w:t>
      </w:r>
    </w:p>
    <w:p w:rsidR="00500724" w:rsidRDefault="00F30FB8">
      <w:pPr>
        <w:pStyle w:val="Zkladntext100"/>
        <w:pBdr>
          <w:top w:val="single" w:sz="4" w:space="0" w:color="auto"/>
          <w:left w:val="single" w:sz="4" w:space="0" w:color="auto"/>
          <w:bottom w:val="single" w:sz="4" w:space="0" w:color="auto"/>
          <w:right w:val="single" w:sz="4" w:space="0" w:color="auto"/>
        </w:pBdr>
        <w:shd w:val="clear" w:color="auto" w:fill="auto"/>
        <w:spacing w:line="230" w:lineRule="auto"/>
        <w:ind w:firstLine="0"/>
        <w:jc w:val="right"/>
        <w:rPr>
          <w:sz w:val="19"/>
          <w:szCs w:val="19"/>
        </w:rPr>
      </w:pPr>
      <w:r>
        <w:rPr>
          <w:b/>
          <w:bCs/>
          <w:sz w:val="19"/>
          <w:szCs w:val="19"/>
        </w:rPr>
        <w:t>PRAHA I., PŘÍKOPY 35, schodiště A. TeL 315-28,</w:t>
      </w:r>
    </w:p>
    <w:p w:rsidR="00500724" w:rsidRDefault="00F30FB8">
      <w:pPr>
        <w:spacing w:line="1" w:lineRule="exact"/>
        <w:rPr>
          <w:sz w:val="2"/>
          <w:szCs w:val="2"/>
        </w:rPr>
      </w:pPr>
      <w:r>
        <w:br w:type="column"/>
      </w:r>
    </w:p>
    <w:p w:rsidR="00500724" w:rsidRDefault="00F30FB8">
      <w:pPr>
        <w:pStyle w:val="Jin0"/>
        <w:shd w:val="clear" w:color="auto" w:fill="auto"/>
        <w:spacing w:after="40"/>
        <w:ind w:left="460" w:firstLine="0"/>
        <w:jc w:val="left"/>
        <w:rPr>
          <w:sz w:val="42"/>
          <w:szCs w:val="42"/>
        </w:rPr>
      </w:pPr>
      <w:r>
        <w:rPr>
          <w:rFonts w:ascii="Arial" w:eastAsia="Arial" w:hAnsi="Arial" w:cs="Arial"/>
          <w:sz w:val="34"/>
          <w:szCs w:val="34"/>
          <w:lang w:val="en-US" w:eastAsia="en-US" w:bidi="en-US"/>
        </w:rPr>
        <w:t xml:space="preserve">Cast </w:t>
      </w:r>
      <w:r>
        <w:rPr>
          <w:b/>
          <w:bCs/>
          <w:i/>
          <w:iCs/>
          <w:sz w:val="42"/>
          <w:szCs w:val="42"/>
        </w:rPr>
        <w:t>Ant&amp;áky odhaluje</w:t>
      </w:r>
    </w:p>
    <w:p w:rsidR="00500724" w:rsidRDefault="00F30FB8">
      <w:pPr>
        <w:pStyle w:val="Zkladntext100"/>
        <w:shd w:val="clear" w:color="auto" w:fill="auto"/>
        <w:spacing w:after="40" w:line="173" w:lineRule="auto"/>
        <w:ind w:firstLine="0"/>
        <w:jc w:val="center"/>
      </w:pPr>
      <w:r>
        <w:rPr>
          <w:b/>
          <w:bCs/>
        </w:rPr>
        <w:t>veliký román MICHAELA FOSTERA</w:t>
      </w:r>
    </w:p>
    <w:p w:rsidR="00500724" w:rsidRDefault="00F30FB8">
      <w:pPr>
        <w:pStyle w:val="Jin0"/>
        <w:shd w:val="clear" w:color="auto" w:fill="auto"/>
        <w:spacing w:after="40" w:line="180" w:lineRule="auto"/>
        <w:ind w:firstLine="0"/>
        <w:jc w:val="left"/>
        <w:rPr>
          <w:sz w:val="66"/>
          <w:szCs w:val="66"/>
        </w:rPr>
      </w:pPr>
      <w:r>
        <w:rPr>
          <w:rFonts w:ascii="Arial" w:eastAsia="Arial" w:hAnsi="Arial" w:cs="Arial"/>
          <w:b/>
          <w:bCs/>
          <w:sz w:val="66"/>
          <w:szCs w:val="66"/>
        </w:rPr>
        <w:t>AMERICKÝ SEN</w:t>
      </w:r>
    </w:p>
    <w:p w:rsidR="00500724" w:rsidRDefault="00F30FB8">
      <w:pPr>
        <w:pStyle w:val="Zkladntext100"/>
        <w:shd w:val="clear" w:color="auto" w:fill="auto"/>
        <w:spacing w:after="140" w:line="173" w:lineRule="auto"/>
        <w:ind w:firstLine="0"/>
      </w:pPr>
      <w:r>
        <w:rPr>
          <w:b/>
          <w:bCs/>
        </w:rPr>
        <w:t xml:space="preserve">Liči život tři pokolení, dobu jednoho století amerického života. • Nesmírně živý děj, autorovo </w:t>
      </w:r>
      <w:r>
        <w:rPr>
          <w:b/>
          <w:bCs/>
        </w:rPr>
        <w:t>barvité podání, jeho velké umění charakteristiky a hluboké porozumění pro lidské vztahy, to vše vytváří dílo velkých hodnot a při tom knihu, která se čte jedním dechem.</w:t>
      </w:r>
    </w:p>
    <w:p w:rsidR="00500724" w:rsidRDefault="00F30FB8">
      <w:pPr>
        <w:pStyle w:val="Zkladntext100"/>
        <w:shd w:val="clear" w:color="auto" w:fill="auto"/>
        <w:spacing w:after="40" w:line="163" w:lineRule="auto"/>
        <w:ind w:firstLine="0"/>
        <w:jc w:val="center"/>
        <w:rPr>
          <w:sz w:val="19"/>
          <w:szCs w:val="19"/>
        </w:rPr>
      </w:pPr>
      <w:r>
        <w:rPr>
          <w:b/>
          <w:bCs/>
          <w:sz w:val="19"/>
          <w:szCs w:val="19"/>
        </w:rPr>
        <w:t xml:space="preserve">452 stran, brož. 38 </w:t>
      </w:r>
      <w:r>
        <w:rPr>
          <w:b/>
          <w:bCs/>
        </w:rPr>
        <w:t xml:space="preserve">K, váz. </w:t>
      </w:r>
      <w:r>
        <w:rPr>
          <w:b/>
          <w:bCs/>
          <w:sz w:val="19"/>
          <w:szCs w:val="19"/>
        </w:rPr>
        <w:t>48 K.</w:t>
      </w:r>
    </w:p>
    <w:p w:rsidR="00500724" w:rsidRDefault="00F30FB8">
      <w:pPr>
        <w:pStyle w:val="Zkladntext100"/>
        <w:shd w:val="clear" w:color="auto" w:fill="auto"/>
        <w:spacing w:after="40" w:line="173" w:lineRule="auto"/>
        <w:ind w:firstLine="0"/>
        <w:jc w:val="center"/>
      </w:pPr>
      <w:r>
        <w:rPr>
          <w:b/>
          <w:bCs/>
        </w:rPr>
        <w:t>U všech knihkupců</w:t>
      </w:r>
    </w:p>
    <w:p w:rsidR="00500724" w:rsidRDefault="00F30FB8">
      <w:pPr>
        <w:pStyle w:val="Jin0"/>
        <w:shd w:val="clear" w:color="auto" w:fill="auto"/>
        <w:spacing w:after="40" w:line="221" w:lineRule="auto"/>
        <w:ind w:firstLine="0"/>
        <w:jc w:val="center"/>
        <w:rPr>
          <w:sz w:val="32"/>
          <w:szCs w:val="32"/>
        </w:rPr>
      </w:pPr>
      <w:r>
        <w:rPr>
          <w:rFonts w:ascii="Arial" w:eastAsia="Arial" w:hAnsi="Arial" w:cs="Arial"/>
          <w:b/>
          <w:bCs/>
          <w:sz w:val="32"/>
          <w:szCs w:val="32"/>
        </w:rPr>
        <w:t>DRUŽSTEVNÍ PRAČE</w:t>
      </w:r>
    </w:p>
    <w:p w:rsidR="00500724" w:rsidRDefault="00F30FB8">
      <w:pPr>
        <w:pStyle w:val="Zkladntext100"/>
        <w:shd w:val="clear" w:color="auto" w:fill="auto"/>
        <w:spacing w:after="480" w:line="173" w:lineRule="auto"/>
        <w:ind w:firstLine="0"/>
        <w:jc w:val="center"/>
      </w:pPr>
      <w:r>
        <w:rPr>
          <w:b/>
          <w:bCs/>
        </w:rPr>
        <w:t xml:space="preserve">Praha H., Národní </w:t>
      </w:r>
      <w:r>
        <w:rPr>
          <w:b/>
          <w:bCs/>
        </w:rPr>
        <w:t>36.</w:t>
      </w:r>
    </w:p>
    <w:p w:rsidR="00500724" w:rsidRDefault="00F30FB8">
      <w:pPr>
        <w:pStyle w:val="Jin0"/>
        <w:pBdr>
          <w:top w:val="single" w:sz="4" w:space="0" w:color="auto"/>
        </w:pBdr>
        <w:shd w:val="clear" w:color="auto" w:fill="auto"/>
        <w:spacing w:after="80"/>
        <w:ind w:firstLine="0"/>
        <w:jc w:val="left"/>
        <w:rPr>
          <w:sz w:val="42"/>
          <w:szCs w:val="42"/>
        </w:rPr>
      </w:pPr>
      <w:r>
        <w:rPr>
          <w:rFonts w:ascii="Calibri" w:eastAsia="Calibri" w:hAnsi="Calibri" w:cs="Calibri"/>
          <w:b/>
          <w:bCs/>
          <w:w w:val="70"/>
          <w:sz w:val="42"/>
          <w:szCs w:val="42"/>
        </w:rPr>
        <w:t>Nové knihy hospodářské, politické atd.</w:t>
      </w:r>
    </w:p>
    <w:p w:rsidR="00500724" w:rsidRDefault="00F30FB8">
      <w:pPr>
        <w:pStyle w:val="Zkladntext40"/>
        <w:shd w:val="clear" w:color="auto" w:fill="auto"/>
        <w:spacing w:after="120" w:line="163" w:lineRule="auto"/>
        <w:ind w:left="200" w:hanging="200"/>
        <w:rPr>
          <w:sz w:val="16"/>
          <w:szCs w:val="16"/>
        </w:rPr>
      </w:pPr>
      <w:r>
        <w:rPr>
          <w:b/>
          <w:bCs/>
          <w:sz w:val="16"/>
          <w:szCs w:val="16"/>
        </w:rPr>
        <w:t xml:space="preserve">PARANDOWSKI Jan, Král života Oskar </w:t>
      </w:r>
      <w:r>
        <w:rPr>
          <w:b/>
          <w:bCs/>
          <w:sz w:val="16"/>
          <w:szCs w:val="16"/>
          <w:lang w:val="en-US" w:eastAsia="en-US" w:bidi="en-US"/>
        </w:rPr>
        <w:t xml:space="preserve">WILDE. </w:t>
      </w:r>
      <w:r>
        <w:rPr>
          <w:b/>
          <w:bCs/>
          <w:sz w:val="16"/>
          <w:szCs w:val="16"/>
        </w:rPr>
        <w:t>22.5 V 14.5 cm, 163 stran,</w:t>
      </w:r>
    </w:p>
    <w:p w:rsidR="00500724" w:rsidRDefault="00F30FB8">
      <w:pPr>
        <w:pStyle w:val="Zkladntext40"/>
        <w:shd w:val="clear" w:color="auto" w:fill="auto"/>
        <w:spacing w:after="0" w:line="163" w:lineRule="auto"/>
        <w:ind w:left="200" w:hanging="200"/>
        <w:rPr>
          <w:sz w:val="16"/>
          <w:szCs w:val="16"/>
        </w:rPr>
      </w:pPr>
      <w:r>
        <w:rPr>
          <w:b/>
          <w:bCs/>
          <w:sz w:val="16"/>
          <w:szCs w:val="16"/>
        </w:rPr>
        <w:t>ŠTAFL Adolf JUDr., Vyvlastnění nemovitosti.</w:t>
      </w:r>
    </w:p>
    <w:p w:rsidR="00500724" w:rsidRDefault="00F30FB8">
      <w:pPr>
        <w:pStyle w:val="Zkladntext40"/>
        <w:shd w:val="clear" w:color="auto" w:fill="auto"/>
        <w:spacing w:after="40" w:line="163" w:lineRule="auto"/>
        <w:ind w:left="200" w:firstLine="20"/>
        <w:rPr>
          <w:sz w:val="16"/>
          <w:szCs w:val="16"/>
        </w:rPr>
      </w:pPr>
      <w:r>
        <w:rPr>
          <w:b/>
          <w:bCs/>
          <w:sz w:val="16"/>
          <w:szCs w:val="16"/>
        </w:rPr>
        <w:t>Odstraňování stavebních a komunikačních závad v obcích. 18.5x12 cm, 163 stran,</w:t>
      </w:r>
    </w:p>
    <w:p w:rsidR="00500724" w:rsidRDefault="00F30FB8">
      <w:pPr>
        <w:pStyle w:val="Zkladntext40"/>
        <w:shd w:val="clear" w:color="auto" w:fill="auto"/>
        <w:spacing w:after="40" w:line="166" w:lineRule="auto"/>
        <w:ind w:left="200" w:hanging="200"/>
        <w:rPr>
          <w:sz w:val="16"/>
          <w:szCs w:val="16"/>
        </w:rPr>
      </w:pPr>
      <w:r>
        <w:rPr>
          <w:b/>
          <w:bCs/>
          <w:sz w:val="16"/>
          <w:szCs w:val="16"/>
        </w:rPr>
        <w:t xml:space="preserve">WIRTH František, </w:t>
      </w:r>
      <w:r>
        <w:rPr>
          <w:b/>
          <w:bCs/>
          <w:sz w:val="16"/>
          <w:szCs w:val="16"/>
        </w:rPr>
        <w:t>Návod ku provádění od</w:t>
      </w:r>
      <w:r>
        <w:rPr>
          <w:b/>
          <w:bCs/>
          <w:sz w:val="16"/>
          <w:szCs w:val="16"/>
        </w:rPr>
        <w:softHyphen/>
        <w:t>hadů nemovitosti se zvláštním zřetelem k odhadům v řízeni exekučním. 20.5X12.5 cm, 179 stran.</w:t>
      </w:r>
    </w:p>
    <w:p w:rsidR="00500724" w:rsidRDefault="00F30FB8">
      <w:pPr>
        <w:pStyle w:val="Zkladntext40"/>
        <w:shd w:val="clear" w:color="auto" w:fill="auto"/>
        <w:spacing w:after="40" w:line="166" w:lineRule="auto"/>
        <w:ind w:left="200" w:hanging="200"/>
        <w:rPr>
          <w:sz w:val="16"/>
          <w:szCs w:val="16"/>
        </w:rPr>
      </w:pPr>
      <w:r>
        <w:rPr>
          <w:b/>
          <w:bCs/>
          <w:sz w:val="16"/>
          <w:szCs w:val="16"/>
        </w:rPr>
        <w:t>ZISCHKA A.. Itálie a svět. 22x14 cm, 285 str.,</w:t>
      </w:r>
    </w:p>
    <w:p w:rsidR="00500724" w:rsidRDefault="00F30FB8">
      <w:pPr>
        <w:pStyle w:val="Zkladntext40"/>
        <w:shd w:val="clear" w:color="auto" w:fill="auto"/>
        <w:spacing w:after="40" w:line="166" w:lineRule="auto"/>
        <w:ind w:left="200" w:hanging="200"/>
        <w:rPr>
          <w:sz w:val="16"/>
          <w:szCs w:val="16"/>
        </w:rPr>
      </w:pPr>
      <w:r>
        <w:rPr>
          <w:b/>
          <w:bCs/>
          <w:sz w:val="16"/>
          <w:szCs w:val="16"/>
        </w:rPr>
        <w:t>Norimberské zákony z 15. záři 1935. (Zákon o říšských vlajkách, zákon o říšském ob</w:t>
      </w:r>
      <w:r>
        <w:rPr>
          <w:b/>
          <w:bCs/>
          <w:sz w:val="16"/>
          <w:szCs w:val="16"/>
        </w:rPr>
        <w:softHyphen/>
        <w:t>čanství. z</w:t>
      </w:r>
      <w:r>
        <w:rPr>
          <w:b/>
          <w:bCs/>
          <w:sz w:val="16"/>
          <w:szCs w:val="16"/>
        </w:rPr>
        <w:t>ákon na ochranu německé krve a německé cti a zákon o zdravém manžel</w:t>
      </w:r>
      <w:r>
        <w:rPr>
          <w:b/>
          <w:bCs/>
          <w:sz w:val="16"/>
          <w:szCs w:val="16"/>
        </w:rPr>
        <w:softHyphen/>
        <w:t>ství z 18. října 1935.) 18.5x12 cm, 90 stran,</w:t>
      </w:r>
    </w:p>
    <w:p w:rsidR="00500724" w:rsidRDefault="00F30FB8">
      <w:pPr>
        <w:pStyle w:val="Zkladntext40"/>
        <w:shd w:val="clear" w:color="auto" w:fill="auto"/>
        <w:spacing w:after="80" w:line="166" w:lineRule="auto"/>
        <w:ind w:left="200" w:hanging="200"/>
        <w:rPr>
          <w:sz w:val="16"/>
          <w:szCs w:val="16"/>
        </w:rPr>
      </w:pPr>
      <w:r>
        <w:rPr>
          <w:b/>
          <w:bCs/>
          <w:sz w:val="16"/>
          <w:szCs w:val="16"/>
        </w:rPr>
        <w:t>Nové uspořádáni soudnictví v Protektorátu Čechy a Morava. Textové vydání české a německé. 24x16 cm, 41 stran,</w:t>
      </w:r>
    </w:p>
    <w:p w:rsidR="00500724" w:rsidRDefault="00F30FB8">
      <w:pPr>
        <w:pStyle w:val="Jin0"/>
        <w:pBdr>
          <w:bottom w:val="single" w:sz="4" w:space="0" w:color="auto"/>
        </w:pBdr>
        <w:shd w:val="clear" w:color="auto" w:fill="auto"/>
        <w:spacing w:after="620" w:line="206" w:lineRule="auto"/>
        <w:ind w:firstLine="0"/>
        <w:jc w:val="left"/>
        <w:rPr>
          <w:sz w:val="42"/>
          <w:szCs w:val="42"/>
        </w:rPr>
      </w:pPr>
      <w:r>
        <w:rPr>
          <w:rFonts w:ascii="Calibri" w:eastAsia="Calibri" w:hAnsi="Calibri" w:cs="Calibri"/>
          <w:b/>
          <w:bCs/>
          <w:w w:val="70"/>
          <w:sz w:val="42"/>
          <w:szCs w:val="42"/>
        </w:rPr>
        <w:t>F. Topič, knihkupectví, Praha I.</w:t>
      </w:r>
      <w:r>
        <w:rPr>
          <w:rFonts w:ascii="Calibri" w:eastAsia="Calibri" w:hAnsi="Calibri" w:cs="Calibri"/>
          <w:b/>
          <w:bCs/>
          <w:w w:val="70"/>
          <w:sz w:val="42"/>
          <w:szCs w:val="42"/>
        </w:rPr>
        <w:t>, Národní 11</w:t>
      </w:r>
    </w:p>
    <w:p w:rsidR="00500724" w:rsidRDefault="00F30FB8">
      <w:pPr>
        <w:pStyle w:val="Jin0"/>
        <w:shd w:val="clear" w:color="auto" w:fill="auto"/>
        <w:spacing w:after="40"/>
        <w:ind w:left="200" w:hanging="200"/>
        <w:rPr>
          <w:sz w:val="26"/>
          <w:szCs w:val="26"/>
        </w:rPr>
      </w:pPr>
      <w:r>
        <w:rPr>
          <w:rFonts w:ascii="Arial" w:eastAsia="Arial" w:hAnsi="Arial" w:cs="Arial"/>
          <w:b/>
          <w:bCs/>
          <w:sz w:val="26"/>
          <w:szCs w:val="26"/>
        </w:rPr>
        <w:t>PŘÍTOMNOST</w:t>
      </w:r>
    </w:p>
    <w:p w:rsidR="00500724" w:rsidRDefault="00F30FB8">
      <w:pPr>
        <w:pStyle w:val="Zkladntext40"/>
        <w:shd w:val="clear" w:color="auto" w:fill="auto"/>
        <w:spacing w:after="40" w:line="240" w:lineRule="auto"/>
        <w:ind w:left="200" w:hanging="200"/>
        <w:rPr>
          <w:sz w:val="16"/>
          <w:szCs w:val="16"/>
        </w:rPr>
      </w:pPr>
      <w:r>
        <w:t xml:space="preserve">ukládá starati se pečlivému otci </w:t>
      </w:r>
      <w:r>
        <w:rPr>
          <w:b/>
          <w:bCs/>
          <w:sz w:val="16"/>
          <w:szCs w:val="16"/>
        </w:rPr>
        <w:t>o</w:t>
      </w:r>
    </w:p>
    <w:p w:rsidR="00500724" w:rsidRDefault="00F30FB8">
      <w:pPr>
        <w:pStyle w:val="Jin0"/>
        <w:shd w:val="clear" w:color="auto" w:fill="auto"/>
        <w:spacing w:after="40"/>
        <w:ind w:left="200" w:hanging="200"/>
        <w:rPr>
          <w:sz w:val="26"/>
          <w:szCs w:val="26"/>
        </w:rPr>
      </w:pPr>
      <w:r>
        <w:rPr>
          <w:rFonts w:ascii="Arial" w:eastAsia="Arial" w:hAnsi="Arial" w:cs="Arial"/>
          <w:b/>
          <w:bCs/>
          <w:sz w:val="26"/>
          <w:szCs w:val="26"/>
        </w:rPr>
        <w:t>BUDOUCNOST</w:t>
      </w:r>
    </w:p>
    <w:p w:rsidR="00500724" w:rsidRDefault="00F30FB8">
      <w:pPr>
        <w:pStyle w:val="Zkladntext40"/>
        <w:shd w:val="clear" w:color="auto" w:fill="auto"/>
        <w:tabs>
          <w:tab w:val="left" w:pos="2150"/>
        </w:tabs>
        <w:spacing w:after="80" w:line="240" w:lineRule="auto"/>
        <w:ind w:left="200" w:hanging="200"/>
        <w:rPr>
          <w:sz w:val="14"/>
          <w:szCs w:val="14"/>
        </w:rPr>
      </w:pPr>
      <w:r>
        <w:rPr>
          <w:b/>
          <w:bCs/>
          <w:sz w:val="14"/>
          <w:szCs w:val="14"/>
        </w:rPr>
        <w:t>rodiny</w:t>
      </w:r>
      <w:r>
        <w:rPr>
          <w:b/>
          <w:bCs/>
          <w:sz w:val="14"/>
          <w:szCs w:val="14"/>
        </w:rPr>
        <w:tab/>
        <w:t>Vhodný zpflaob této péže</w:t>
      </w:r>
    </w:p>
    <w:p w:rsidR="00500724" w:rsidRDefault="00F30FB8">
      <w:pPr>
        <w:pStyle w:val="Jin0"/>
        <w:shd w:val="clear" w:color="auto" w:fill="auto"/>
        <w:spacing w:line="305" w:lineRule="auto"/>
        <w:ind w:firstLine="0"/>
        <w:jc w:val="right"/>
        <w:rPr>
          <w:sz w:val="26"/>
          <w:szCs w:val="26"/>
        </w:rPr>
      </w:pPr>
      <w:r>
        <w:rPr>
          <w:rFonts w:ascii="Arial" w:eastAsia="Arial" w:hAnsi="Arial" w:cs="Arial"/>
          <w:b/>
          <w:bCs/>
          <w:sz w:val="26"/>
          <w:szCs w:val="26"/>
        </w:rPr>
        <w:t>životní pojistkou</w:t>
      </w:r>
    </w:p>
    <w:p w:rsidR="00500724" w:rsidRDefault="00F30FB8">
      <w:pPr>
        <w:pStyle w:val="Jin0"/>
        <w:shd w:val="clear" w:color="auto" w:fill="auto"/>
        <w:spacing w:line="305" w:lineRule="auto"/>
        <w:ind w:left="200" w:firstLine="20"/>
        <w:jc w:val="left"/>
        <w:rPr>
          <w:sz w:val="42"/>
          <w:szCs w:val="42"/>
        </w:rPr>
      </w:pPr>
      <w:r>
        <w:rPr>
          <w:rFonts w:ascii="Calibri" w:eastAsia="Calibri" w:hAnsi="Calibri" w:cs="Calibri"/>
          <w:b/>
          <w:bCs/>
          <w:w w:val="70"/>
          <w:sz w:val="42"/>
          <w:szCs w:val="42"/>
        </w:rPr>
        <w:t>poradí Vám Čs. akciová pojišťovna</w:t>
      </w:r>
    </w:p>
    <w:p w:rsidR="00500724" w:rsidRDefault="00F30FB8">
      <w:pPr>
        <w:pStyle w:val="Zkladntext100"/>
        <w:shd w:val="clear" w:color="auto" w:fill="auto"/>
        <w:spacing w:line="240" w:lineRule="auto"/>
        <w:ind w:left="200" w:hanging="200"/>
        <w:rPr>
          <w:sz w:val="17"/>
          <w:szCs w:val="17"/>
        </w:rPr>
        <w:sectPr w:rsidR="00500724">
          <w:footnotePr>
            <w:numFmt w:val="chicago"/>
            <w:numRestart w:val="eachPage"/>
          </w:footnotePr>
          <w:pgSz w:w="11909" w:h="16834"/>
          <w:pgMar w:top="841" w:right="1332" w:bottom="800" w:left="367" w:header="0" w:footer="3" w:gutter="0"/>
          <w:cols w:num="2" w:sep="1" w:space="469"/>
          <w:noEndnote/>
          <w:docGrid w:linePitch="360"/>
        </w:sectPr>
      </w:pPr>
      <w:r>
        <w:rPr>
          <w:sz w:val="17"/>
          <w:szCs w:val="17"/>
        </w:rPr>
        <w:t>Praha IL, Spálená 49 - Telefony 344&gt;41&gt;4</w:t>
      </w:r>
    </w:p>
    <w:p w:rsidR="00500724" w:rsidRDefault="00500724">
      <w:pPr>
        <w:spacing w:before="93" w:after="9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841" w:right="0" w:bottom="800" w:left="0" w:header="0" w:footer="3" w:gutter="0"/>
          <w:cols w:space="720"/>
          <w:noEndnote/>
          <w:docGrid w:linePitch="360"/>
        </w:sectPr>
      </w:pPr>
    </w:p>
    <w:p w:rsidR="00500724" w:rsidRDefault="00F30FB8">
      <w:pPr>
        <w:pStyle w:val="Zkladntext100"/>
        <w:shd w:val="clear" w:color="auto" w:fill="auto"/>
        <w:spacing w:line="240" w:lineRule="auto"/>
        <w:ind w:left="600" w:hanging="600"/>
        <w:rPr>
          <w:sz w:val="19"/>
          <w:szCs w:val="19"/>
        </w:rPr>
        <w:sectPr w:rsidR="00500724">
          <w:footnotePr>
            <w:numFmt w:val="chicago"/>
            <w:numRestart w:val="eachPage"/>
          </w:footnotePr>
          <w:type w:val="continuous"/>
          <w:pgSz w:w="11909" w:h="16834"/>
          <w:pgMar w:top="841" w:right="1029" w:bottom="800" w:left="338" w:header="0" w:footer="3" w:gutter="0"/>
          <w:cols w:space="720"/>
          <w:noEndnote/>
          <w:docGrid w:linePitch="360"/>
        </w:sectPr>
      </w:pPr>
      <w:r>
        <w:rPr>
          <w:b/>
          <w:bCs/>
          <w:sz w:val="20"/>
          <w:szCs w:val="20"/>
        </w:rPr>
        <w:t xml:space="preserve">OBSAH PŘÍTOMNOSTI C. 20. </w:t>
      </w:r>
      <w:r>
        <w:rPr>
          <w:b/>
          <w:bCs/>
          <w:sz w:val="19"/>
          <w:szCs w:val="19"/>
        </w:rPr>
        <w:t>F. PEROUTKA: Tvář českého čtenáře — Z. SMETÁČEK: Od Rooseveltova poselství k milánské smlouvě — JAN ALBERT: Londýn a Moskva — EDMOND KONRÁD: Fata morgana potlesku — JIŘÍ SOUMAR: Jaká četba kazí děti — A. MRÁZ: Proč celou stránku sportu? — JOSEF DVOŘÁK: Slo</w:t>
      </w:r>
      <w:r>
        <w:rPr>
          <w:b/>
          <w:bCs/>
          <w:sz w:val="19"/>
          <w:szCs w:val="19"/>
        </w:rPr>
        <w:t xml:space="preserve">venská </w:t>
      </w:r>
      <w:r>
        <w:rPr>
          <w:b/>
          <w:bCs/>
          <w:sz w:val="19"/>
          <w:szCs w:val="19"/>
          <w:u w:val="single"/>
        </w:rPr>
        <w:t>knih</w:t>
      </w:r>
      <w:r>
        <w:rPr>
          <w:b/>
          <w:bCs/>
          <w:sz w:val="19"/>
          <w:szCs w:val="19"/>
        </w:rPr>
        <w:t>a a český čtenář — Debata o českém parlamentu — Oč jde mezi Srby a Chorvaty — Pěkný pokrok ve spotřebním družstevnictví — Slovenky odpovídají Slovence</w:t>
      </w:r>
    </w:p>
    <w:p w:rsidR="00500724" w:rsidRDefault="00500724">
      <w:pPr>
        <w:spacing w:line="240" w:lineRule="exact"/>
        <w:rPr>
          <w:sz w:val="19"/>
          <w:szCs w:val="19"/>
        </w:rPr>
      </w:pPr>
    </w:p>
    <w:p w:rsidR="00500724" w:rsidRDefault="00500724">
      <w:pPr>
        <w:spacing w:before="3" w:after="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841" w:right="0" w:bottom="800" w:left="0" w:header="0" w:footer="3" w:gutter="0"/>
          <w:cols w:space="720"/>
          <w:noEndnote/>
          <w:docGrid w:linePitch="360"/>
        </w:sectPr>
      </w:pPr>
    </w:p>
    <w:p w:rsidR="00500724" w:rsidRDefault="00F30FB8">
      <w:pPr>
        <w:pStyle w:val="Nadpis60"/>
        <w:keepNext/>
        <w:keepLines/>
        <w:framePr w:w="4344" w:h="1056" w:wrap="none" w:vAnchor="text" w:hAnchor="page" w:x="407" w:y="21"/>
        <w:shd w:val="clear" w:color="auto" w:fill="auto"/>
        <w:jc w:val="left"/>
        <w:rPr>
          <w:sz w:val="88"/>
          <w:szCs w:val="88"/>
        </w:rPr>
      </w:pPr>
      <w:bookmarkStart w:id="523" w:name="bookmark522"/>
      <w:r>
        <w:rPr>
          <w:sz w:val="88"/>
          <w:szCs w:val="88"/>
        </w:rPr>
        <w:t>Přítomnost,</w:t>
      </w:r>
      <w:bookmarkEnd w:id="523"/>
    </w:p>
    <w:p w:rsidR="00500724" w:rsidRDefault="00F30FB8">
      <w:pPr>
        <w:pStyle w:val="Nadpis90"/>
        <w:keepNext/>
        <w:keepLines/>
        <w:framePr w:w="5750" w:h="1075" w:wrap="none" w:vAnchor="text" w:hAnchor="page" w:x="5067" w:y="21"/>
        <w:shd w:val="clear" w:color="auto" w:fill="auto"/>
        <w:spacing w:after="140"/>
      </w:pPr>
      <w:bookmarkStart w:id="524" w:name="bookmark523"/>
      <w:r>
        <w:rPr>
          <w:u w:val="single"/>
        </w:rPr>
        <w:t>nezávislý týdeník</w:t>
      </w:r>
      <w:bookmarkEnd w:id="524"/>
    </w:p>
    <w:p w:rsidR="00500724" w:rsidRDefault="00F30FB8">
      <w:pPr>
        <w:pStyle w:val="Zkladntext20"/>
        <w:framePr w:w="5750" w:h="1075" w:wrap="none" w:vAnchor="text" w:hAnchor="page" w:x="5067" w:y="21"/>
        <w:shd w:val="clear" w:color="auto" w:fill="auto"/>
        <w:spacing w:line="216" w:lineRule="auto"/>
        <w:ind w:firstLine="0"/>
        <w:jc w:val="center"/>
        <w:rPr>
          <w:sz w:val="20"/>
          <w:szCs w:val="20"/>
        </w:rPr>
      </w:pPr>
      <w:r>
        <w:rPr>
          <w:sz w:val="20"/>
          <w:szCs w:val="20"/>
        </w:rPr>
        <w:t xml:space="preserve">vychází ve středu v </w:t>
      </w:r>
      <w:r>
        <w:rPr>
          <w:sz w:val="20"/>
          <w:szCs w:val="20"/>
        </w:rPr>
        <w:t>nakladatelství</w:t>
      </w:r>
      <w:r>
        <w:rPr>
          <w:sz w:val="20"/>
          <w:szCs w:val="20"/>
        </w:rPr>
        <w:br/>
        <w:t>FR. BOROVÝ V PRAZE I.. NÁRODNÍ TŘÍDA IL</w:t>
      </w:r>
    </w:p>
    <w:p w:rsidR="00500724" w:rsidRDefault="00F30FB8">
      <w:pPr>
        <w:pStyle w:val="Nadpis90"/>
        <w:keepNext/>
        <w:keepLines/>
        <w:framePr w:w="4344" w:h="542" w:wrap="none" w:vAnchor="text" w:hAnchor="page" w:x="411" w:y="1383"/>
        <w:shd w:val="clear" w:color="auto" w:fill="auto"/>
        <w:spacing w:after="0"/>
      </w:pPr>
      <w:bookmarkStart w:id="525" w:name="bookmark524"/>
      <w:r>
        <w:rPr>
          <w:u w:val="single"/>
        </w:rPr>
        <w:t>řídí Ferd. Peroutka</w:t>
      </w:r>
      <w:bookmarkEnd w:id="525"/>
    </w:p>
    <w:p w:rsidR="00500724" w:rsidRDefault="00F30FB8">
      <w:pPr>
        <w:pStyle w:val="Zkladntext100"/>
        <w:framePr w:w="5914" w:h="1152" w:wrap="none" w:vAnchor="text" w:hAnchor="page" w:x="4981" w:y="1067"/>
        <w:shd w:val="clear" w:color="auto" w:fill="auto"/>
        <w:spacing w:line="149" w:lineRule="auto"/>
        <w:ind w:firstLine="680"/>
      </w:pPr>
      <w:r>
        <w:rPr>
          <w:vertAlign w:val="superscript"/>
        </w:rPr>
        <w:t>eI</w:t>
      </w:r>
      <w:r>
        <w:t>?</w:t>
      </w:r>
      <w:r>
        <w:rPr>
          <w:vertAlign w:val="superscript"/>
        </w:rPr>
        <w:t>10</w:t>
      </w:r>
      <w:r>
        <w:t xml:space="preserve"> ?</w:t>
      </w:r>
      <w:r>
        <w:rPr>
          <w:vertAlign w:val="superscript"/>
        </w:rPr>
        <w:t>90</w:t>
      </w:r>
      <w:r>
        <w:t>'</w:t>
      </w:r>
      <w:r>
        <w:rPr>
          <w:vertAlign w:val="superscript"/>
        </w:rPr>
        <w:t>51</w:t>
      </w:r>
      <w:r>
        <w:t xml:space="preserve"> až 54 • Cčet poštovní spořitelny číslo 35.622 • Nevy</w:t>
      </w:r>
      <w:r>
        <w:softHyphen/>
      </w:r>
      <w:r>
        <w:t xml:space="preserve">žádané rukopisy se nevracejí. Předplatné na rok K 100.-, na půl roku K 50.—. na čtvrt roku K 25.—. Jednotlivé čísla K 2.—. </w:t>
      </w:r>
      <w:r>
        <w:rPr>
          <w:lang w:val="en-US" w:eastAsia="en-US" w:bidi="en-US"/>
        </w:rPr>
        <w:t xml:space="preserve">Pour </w:t>
      </w:r>
      <w:r>
        <w:t>la Fran-</w:t>
      </w:r>
    </w:p>
    <w:p w:rsidR="00500724" w:rsidRDefault="00F30FB8">
      <w:pPr>
        <w:pStyle w:val="Zkladntext100"/>
        <w:framePr w:w="5914" w:h="1152" w:wrap="none" w:vAnchor="text" w:hAnchor="page" w:x="4981" w:y="1067"/>
        <w:shd w:val="clear" w:color="auto" w:fill="auto"/>
        <w:spacing w:line="0" w:lineRule="atLeast"/>
        <w:ind w:firstLine="0"/>
        <w:jc w:val="right"/>
      </w:pPr>
      <w:r>
        <w:rPr>
          <w:b/>
          <w:bCs/>
        </w:rPr>
        <w:t xml:space="preserve">A </w:t>
      </w:r>
      <w:r>
        <w:t>V</w:t>
      </w:r>
      <w:r>
        <w:rPr>
          <w:vertAlign w:val="superscript"/>
        </w:rPr>
        <w:t>ohlédac! poSt</w:t>
      </w:r>
      <w:r>
        <w:t xml:space="preserve">- </w:t>
      </w:r>
      <w:r>
        <w:rPr>
          <w:vertAlign w:val="superscript"/>
        </w:rPr>
        <w:t>úřad Brno n</w:t>
      </w:r>
      <w:r>
        <w:t>- • Novinová sazba povolena v Brně ředitelstvím pošt a telegrafů pod čls. 119.268/HIa. •</w:t>
      </w:r>
    </w:p>
    <w:p w:rsidR="00500724" w:rsidRDefault="00F30FB8">
      <w:pPr>
        <w:pStyle w:val="Zkladntext100"/>
        <w:framePr w:w="5914" w:h="1152" w:wrap="none" w:vAnchor="text" w:hAnchor="page" w:x="4981" w:y="1067"/>
        <w:shd w:val="clear" w:color="auto" w:fill="auto"/>
        <w:spacing w:after="40" w:line="149" w:lineRule="auto"/>
        <w:ind w:firstLine="0"/>
        <w:jc w:val="center"/>
      </w:pPr>
      <w:r>
        <w:t>Odpovědný redaktor J. Dlabač.</w:t>
      </w:r>
    </w:p>
    <w:p w:rsidR="00500724" w:rsidRDefault="00F30FB8">
      <w:pPr>
        <w:pStyle w:val="Zkladntext20"/>
        <w:framePr w:w="5914" w:h="1152" w:wrap="none" w:vAnchor="text" w:hAnchor="page" w:x="4981" w:y="1067"/>
        <w:shd w:val="clear" w:color="auto" w:fill="auto"/>
        <w:spacing w:line="240" w:lineRule="auto"/>
        <w:ind w:firstLine="0"/>
        <w:jc w:val="center"/>
        <w:rPr>
          <w:sz w:val="20"/>
          <w:szCs w:val="20"/>
        </w:rPr>
      </w:pPr>
      <w:r>
        <w:rPr>
          <w:sz w:val="20"/>
          <w:szCs w:val="20"/>
        </w:rPr>
        <w:t>TISKEM LIDOVÉ TISKÁRNY, BRNO. ČESKÁ 6.</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04" w:line="14" w:lineRule="exact"/>
      </w:pPr>
    </w:p>
    <w:p w:rsidR="00500724" w:rsidRDefault="00500724">
      <w:pPr>
        <w:spacing w:line="14" w:lineRule="exact"/>
        <w:sectPr w:rsidR="00500724">
          <w:footnotePr>
            <w:numFmt w:val="chicago"/>
            <w:numRestart w:val="eachPage"/>
          </w:footnotePr>
          <w:type w:val="continuous"/>
          <w:pgSz w:w="11909" w:h="16834"/>
          <w:pgMar w:top="841" w:right="1015" w:bottom="800" w:left="338" w:header="0" w:footer="3" w:gutter="0"/>
          <w:cols w:space="720"/>
          <w:noEndnote/>
          <w:docGrid w:linePitch="360"/>
        </w:sectPr>
      </w:pPr>
    </w:p>
    <w:p w:rsidR="00500724" w:rsidRDefault="00500724">
      <w:pPr>
        <w:spacing w:after="332" w:line="14" w:lineRule="exact"/>
      </w:pPr>
    </w:p>
    <w:p w:rsidR="00500724" w:rsidRDefault="00500724">
      <w:pPr>
        <w:spacing w:line="14" w:lineRule="exact"/>
        <w:sectPr w:rsidR="00500724">
          <w:footnotePr>
            <w:numFmt w:val="chicago"/>
            <w:numRestart w:val="eachPage"/>
          </w:footnotePr>
          <w:pgSz w:w="11909" w:h="16834"/>
          <w:pgMar w:top="2777" w:right="881" w:bottom="781" w:left="660" w:header="0" w:footer="3" w:gutter="0"/>
          <w:cols w:space="720"/>
          <w:noEndnote/>
          <w:docGrid w:linePitch="360"/>
        </w:sectPr>
      </w:pPr>
    </w:p>
    <w:p w:rsidR="00500724" w:rsidRDefault="00F30FB8">
      <w:pPr>
        <w:pStyle w:val="Nadpis100"/>
        <w:shd w:val="clear" w:color="auto" w:fill="auto"/>
        <w:spacing w:after="100" w:line="240" w:lineRule="auto"/>
      </w:pPr>
      <w:bookmarkStart w:id="526" w:name="bookmark525"/>
      <w:r>
        <w:t>Když všechno se mění...</w:t>
      </w:r>
      <w:bookmarkEnd w:id="526"/>
    </w:p>
    <w:p w:rsidR="00500724" w:rsidRDefault="00F30FB8">
      <w:pPr>
        <w:pStyle w:val="Zkladntext20"/>
        <w:framePr w:dropCap="drop" w:lines="2" w:hSpace="5" w:vSpace="5" w:wrap="auto" w:vAnchor="text" w:hAnchor="text"/>
        <w:shd w:val="clear" w:color="auto" w:fill="auto"/>
        <w:spacing w:line="315" w:lineRule="exact"/>
        <w:ind w:firstLine="0"/>
      </w:pPr>
      <w:r>
        <w:rPr>
          <w:position w:val="-7"/>
          <w:sz w:val="46"/>
          <w:szCs w:val="46"/>
        </w:rPr>
        <w:t>V</w:t>
      </w:r>
    </w:p>
    <w:p w:rsidR="00500724" w:rsidRDefault="00F30FB8">
      <w:pPr>
        <w:pStyle w:val="Zkladntext20"/>
        <w:shd w:val="clear" w:color="auto" w:fill="auto"/>
        <w:spacing w:after="40" w:line="221" w:lineRule="auto"/>
        <w:ind w:firstLine="0"/>
      </w:pPr>
      <w:r>
        <w:t xml:space="preserve"> úvodníku Der </w:t>
      </w:r>
      <w:r>
        <w:rPr>
          <w:lang w:val="en-US" w:eastAsia="en-US" w:bidi="en-US"/>
        </w:rPr>
        <w:t xml:space="preserve">Neue Tag, </w:t>
      </w:r>
      <w:r>
        <w:t xml:space="preserve">jímž jsme se zde posledně zabývali, byl vylíčen český čtenář jako bytost </w:t>
      </w:r>
      <w:r>
        <w:rPr>
          <w:b/>
          <w:bCs/>
          <w:sz w:val="26"/>
          <w:szCs w:val="26"/>
        </w:rPr>
        <w:t xml:space="preserve">v </w:t>
      </w:r>
      <w:r>
        <w:t xml:space="preserve">podstatě unavená, která nechce nic jiného než klid; marně se proto prý před tímto českým čtenářem bije do bubnu národního pathosu; nevyláká ho to od jeho kamen; skoro byl tu český čtenář vylíčen jako člověk, který nemá žádného zájmu o věci veřejné. Řekl </w:t>
      </w:r>
      <w:r>
        <w:t>jsem, že také my, čeští novináři, jsme povoláni k tomu, abychom pověděli, jak známe českého čtenáře. Po pravdě řečeno, připadá nám hodně jinak, než jak se jevil letmému pohledu německého redaktora.</w:t>
      </w:r>
    </w:p>
    <w:p w:rsidR="00500724" w:rsidRDefault="00F30FB8">
      <w:pPr>
        <w:pStyle w:val="Zkladntext20"/>
        <w:shd w:val="clear" w:color="auto" w:fill="auto"/>
        <w:spacing w:after="40" w:line="221" w:lineRule="auto"/>
      </w:pPr>
      <w:r>
        <w:t>Je pravda, že po událostech posledního půl druhého roku js</w:t>
      </w:r>
      <w:r>
        <w:t>me my všichni čeští lidé trochu unaveni a vy</w:t>
      </w:r>
      <w:r>
        <w:softHyphen/>
        <w:t>hublí; jistě nevyhledáváme zbytečné vzruchy a sen- sace; je naprosto správné, že český člověk, který je totožný s českým čtenářem, by potřeboval pro své nervy odpočinutí; dospěl by, abych tak řekl, rád k ně</w:t>
      </w:r>
      <w:r>
        <w:softHyphen/>
        <w:t>jaké</w:t>
      </w:r>
      <w:r>
        <w:t xml:space="preserve"> definitivě; jako národ měli bychom rádi něco jistého. Zůstal tak vášnivým Čechem, jako dnešní Němec je vášnivým Němcem. Jako každý sluš</w:t>
      </w:r>
      <w:r>
        <w:softHyphen/>
        <w:t>ný člen kterékoliv národa na světě staví národní zá</w:t>
      </w:r>
      <w:r>
        <w:softHyphen/>
        <w:t xml:space="preserve">jem nad osobní klid a pohodlí. Bude-li třeba, vydrží ještě nějakou </w:t>
      </w:r>
      <w:r>
        <w:t xml:space="preserve">dobu rozčilování a nebude si stěžovat na útrapy. Skoro bych řekl, jak dopisy čtenářů čtu, že národního pathosu je více v českých čtenářích než </w:t>
      </w:r>
      <w:r>
        <w:rPr>
          <w:b/>
          <w:bCs/>
          <w:sz w:val="26"/>
          <w:szCs w:val="26"/>
        </w:rPr>
        <w:t xml:space="preserve">v </w:t>
      </w:r>
      <w:r>
        <w:t>českých redaktorech. Každodenní naše zkušenost jest, že český čtenář na nás dává bedlivý pozor, zda na česká pr</w:t>
      </w:r>
      <w:r>
        <w:t>áva nezapomínáme, zda české důstojnosti hájíme, zda nemluvíme s neslušnou ponížeností. Ne, my čeští novináři nepíšeme ve vzduchoprázdném pro</w:t>
      </w:r>
      <w:r>
        <w:softHyphen/>
        <w:t>storu, my nebyli opuštěni národem, který by toužil zejména po tupém klidu. Jestliže čtenáři se na našem chování něc</w:t>
      </w:r>
      <w:r>
        <w:t>o nelíbí, dovede energicky vymáhat ná</w:t>
      </w:r>
      <w:r>
        <w:softHyphen/>
        <w:t>pravu. Někdy i hrubě a nespravedlivě. Mnohem spíše dostaneme vynadáno, než abychom se potkali s ne</w:t>
      </w:r>
      <w:r>
        <w:softHyphen/>
        <w:t>zájmem o věci veřejné.</w:t>
      </w:r>
    </w:p>
    <w:p w:rsidR="00500724" w:rsidRDefault="00F30FB8">
      <w:pPr>
        <w:pStyle w:val="Zkladntext20"/>
        <w:shd w:val="clear" w:color="auto" w:fill="auto"/>
        <w:spacing w:after="40" w:line="221" w:lineRule="auto"/>
      </w:pPr>
      <w:r>
        <w:t>Tato kapitola budiž věnována dohovoru českého no</w:t>
      </w:r>
      <w:r>
        <w:softHyphen/>
        <w:t>vináře s českým čtenářem. Rozmýšlel jsem se tro</w:t>
      </w:r>
      <w:r>
        <w:t>chu, mám-li se k tomu přiznati.</w:t>
      </w:r>
    </w:p>
    <w:p w:rsidR="00500724" w:rsidRDefault="00F30FB8">
      <w:pPr>
        <w:pStyle w:val="Zkladntext20"/>
        <w:shd w:val="clear" w:color="auto" w:fill="auto"/>
        <w:spacing w:after="40" w:line="211" w:lineRule="auto"/>
      </w:pPr>
      <w:r>
        <w:t>Ale konec konců vždy jsem věřil, že jest jaksi nejlépe býka chytit za rohy. Nuže, dostal jsem už dva nebo tři dopisy, které končily tímto ponižujícím způ</w:t>
      </w:r>
      <w:r>
        <w:softHyphen/>
        <w:t>sobem: »Pochopíte zajisté, proč se nepodepíši; člověk, který zradil ná</w:t>
      </w:r>
      <w:r>
        <w:t xml:space="preserve">rod, by byl schopen zradit také mne.« Proč to uveřejňuji? Abych se utekl k českému čtenáři </w:t>
      </w:r>
      <w:r>
        <w:rPr>
          <w:b/>
          <w:bCs/>
          <w:sz w:val="26"/>
          <w:szCs w:val="26"/>
        </w:rPr>
        <w:t xml:space="preserve">o </w:t>
      </w:r>
      <w:r>
        <w:t xml:space="preserve">ochranu před českým čtenářem. Abych požádal rozumné, aby nerozumným mnohé vysvětlili. A abych ukázal, že český čtenář vypadá jinak, než jak vyšlo </w:t>
      </w:r>
      <w:r>
        <w:rPr>
          <w:b/>
          <w:bCs/>
          <w:sz w:val="26"/>
          <w:szCs w:val="26"/>
        </w:rPr>
        <w:t xml:space="preserve">v </w:t>
      </w:r>
      <w:r>
        <w:t xml:space="preserve">Der Neue </w:t>
      </w:r>
      <w:r>
        <w:rPr>
          <w:lang w:val="en-US" w:eastAsia="en-US" w:bidi="en-US"/>
        </w:rPr>
        <w:t>Tag.</w:t>
      </w:r>
    </w:p>
    <w:p w:rsidR="00500724" w:rsidRDefault="00F30FB8">
      <w:pPr>
        <w:pStyle w:val="Zkladntext20"/>
        <w:shd w:val="clear" w:color="auto" w:fill="auto"/>
        <w:spacing w:line="223" w:lineRule="auto"/>
        <w:ind w:firstLine="0"/>
      </w:pPr>
      <w:r>
        <w:rPr>
          <w:b/>
          <w:bCs/>
        </w:rPr>
        <w:t>.</w:t>
      </w:r>
      <w:r>
        <w:rPr>
          <w:b/>
          <w:bCs/>
        </w:rPr>
        <w:t xml:space="preserve"> Osobně řeknu jen tolik, že veřejně působící člověk </w:t>
      </w:r>
      <w:r>
        <w:t>vždy musí být připraven vydržet nějakou ránu od člověka nerozumného a snést bez velkého rozechvění kritiku od někoho, kdo vyniká tím, že nedovede uvážit okolnosti a kdo pokládá politiku nikoliv za skromné</w:t>
      </w:r>
      <w:r>
        <w:t xml:space="preserve"> umění možného, jímž jest, nýbrž za stahování modré</w:t>
      </w:r>
      <w:r>
        <w:softHyphen/>
        <w:t>ho s nebe. Vždycky konec konců snášelo se na realistic</w:t>
      </w:r>
      <w:r>
        <w:softHyphen/>
        <w:t>ké politiky velké trápení od těch, kteří si nedovedou rozmyslit situaci a kteří, nevidíce si sice na špičku nosu, hrdě se domnívají, že vidí dobře, c</w:t>
      </w:r>
      <w:r>
        <w:t xml:space="preserve">o se děje, v modré dálce před nimi. Vždycky také ještě se mísili do politiky lidé, jejichž místo by bylo v nějaké plátěné věštecké boudě. </w:t>
      </w:r>
      <w:r>
        <w:rPr>
          <w:b/>
          <w:bCs/>
          <w:sz w:val="26"/>
          <w:szCs w:val="26"/>
        </w:rPr>
        <w:t xml:space="preserve">O </w:t>
      </w:r>
      <w:r>
        <w:t>osobní křivdu tedy nejde. Ale o to jde, aby tak nerozumný poměr českého čtenáře k českému novináři byl potlačen hned</w:t>
      </w:r>
      <w:r>
        <w:t xml:space="preserve"> v začátcích, A aby čtenáři si sami mezi sebou udělali nějaký po</w:t>
      </w:r>
      <w:r>
        <w:softHyphen/>
        <w:t>řádek, tak, aby se nestávalo, že za článek, za který vám jedni jménem národa děkují, druzí vás prohlašují za zrádce národa.</w:t>
      </w:r>
    </w:p>
    <w:p w:rsidR="00500724" w:rsidRDefault="00F30FB8">
      <w:pPr>
        <w:pStyle w:val="Zkladntext20"/>
        <w:shd w:val="clear" w:color="auto" w:fill="auto"/>
        <w:spacing w:line="223" w:lineRule="auto"/>
      </w:pPr>
      <w:r>
        <w:t xml:space="preserve">Nejdříve, jestliže se má dojít k dorozumění, jest ovšem třeba, aby </w:t>
      </w:r>
      <w:r>
        <w:t>čtenáři si rozvážili novou posici tisku a aby nepokládali za něčí osobní vadu, co samo sebou vyplývá z okolností. Jistě čtenáři cítí správně, že se ve způsobu psaní českých novin za posledních devět měsíců mnoho změnilo. Že leckteré staré názory nejsou pro</w:t>
      </w:r>
      <w:r>
        <w:t>pagovány, že mnohá jiná taktika jest do</w:t>
      </w:r>
      <w:r>
        <w:softHyphen/>
        <w:t>poručována. Ze také tón k tomu či onomu se změnit; Kdo se tomu diví, počíná si jako ten, kdo by se divil, že když jede vůz, jede také ten, kdo na něm sedí. Poli</w:t>
      </w:r>
      <w:r>
        <w:softHyphen/>
        <w:t xml:space="preserve">tické zřízení bylo od základů změněno; stará vůdcovské </w:t>
      </w:r>
      <w:r>
        <w:t>vrstva byla smetena, jak tomu není příkladu; celá střední Evropa vešla do nových poměrů; zkrátka, byli jsme svědky proměny epochální. Avšak někteří lidé, kteří celkem berou na vědomost, že všechno ostatní se pohybuje a mění, diví se, že to noviny nepřečkal</w:t>
      </w:r>
      <w:r>
        <w:t>y beze změny; předpokládají, že v této obecné změně měly české noviny zůstat přesně tím, čím byly a vyjadřovat se přesně tak jako dříve. Většího zázraku zatím nežádají.</w:t>
      </w:r>
    </w:p>
    <w:p w:rsidR="00500724" w:rsidRDefault="00F30FB8">
      <w:pPr>
        <w:pStyle w:val="Zkladntext20"/>
        <w:shd w:val="clear" w:color="auto" w:fill="auto"/>
        <w:spacing w:line="223" w:lineRule="auto"/>
      </w:pPr>
      <w:r>
        <w:t>Každý novinář, který se stal centrem čtenářské ko</w:t>
      </w:r>
      <w:r>
        <w:softHyphen/>
        <w:t>respondence, zvykl si zajisté na výbu</w:t>
      </w:r>
      <w:r>
        <w:t>chy hněvu od určité skupiny radikálních frázistů, která už za re</w:t>
      </w:r>
      <w:r>
        <w:softHyphen/>
        <w:t>publiky s ničím nebyla spokojena a která už tehdy vypadala, jako by stenala utrpením pod nedůstojný</w:t>
      </w:r>
      <w:r>
        <w:softHyphen/>
        <w:t>mi poměry. Na to si člověk nakonec zvykne jako na; komáry. Horší jest, dostane-li zcela des</w:t>
      </w:r>
      <w:r>
        <w:t>orientovaný projev od muže zřejmě solidního, a zřejmě s nejlepší vůlí, jehož bolest není dělána.</w:t>
      </w:r>
    </w:p>
    <w:p w:rsidR="00500724" w:rsidRDefault="00F30FB8">
      <w:pPr>
        <w:pStyle w:val="Zkladntext20"/>
        <w:shd w:val="clear" w:color="auto" w:fill="auto"/>
        <w:spacing w:line="216" w:lineRule="auto"/>
        <w:sectPr w:rsidR="00500724">
          <w:footnotePr>
            <w:numFmt w:val="chicago"/>
            <w:numRestart w:val="eachPage"/>
          </w:footnotePr>
          <w:type w:val="continuous"/>
          <w:pgSz w:w="11909" w:h="16834"/>
          <w:pgMar w:top="2753" w:right="891" w:bottom="780" w:left="660" w:header="0" w:footer="3" w:gutter="0"/>
          <w:cols w:num="2" w:space="154"/>
          <w:noEndnote/>
          <w:docGrid w:linePitch="360"/>
        </w:sectPr>
      </w:pPr>
      <w:r>
        <w:rPr>
          <w:b/>
          <w:bCs/>
          <w:sz w:val="26"/>
          <w:szCs w:val="26"/>
        </w:rPr>
        <w:t xml:space="preserve">O </w:t>
      </w:r>
      <w:r>
        <w:t>tom se tedy novináři se čtenáři musí otevřeně dohodnout: do loňského podzimu panovala u nás svo</w:t>
      </w:r>
      <w:r>
        <w:softHyphen/>
        <w:t>boda tisku, ničím celkem neomez</w:t>
      </w:r>
      <w:r>
        <w:t>ovaná; tento bývalý stav byl podroben důkladným změnám, jako všechno ostatní, a kdo to neráčil vzít na vědomost, ten ovšem</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2777" w:right="0" w:bottom="781" w:left="0" w:header="0" w:footer="3" w:gutter="0"/>
          <w:cols w:space="720"/>
          <w:noEndnote/>
          <w:docGrid w:linePitch="360"/>
        </w:sectPr>
      </w:pPr>
    </w:p>
    <w:p w:rsidR="00500724" w:rsidRDefault="00F30FB8">
      <w:pPr>
        <w:pStyle w:val="Zkladntext100"/>
        <w:framePr w:w="312" w:h="259" w:wrap="none" w:vAnchor="text" w:hAnchor="page" w:x="10717" w:y="21"/>
        <w:shd w:val="clear" w:color="auto" w:fill="auto"/>
        <w:spacing w:line="240" w:lineRule="auto"/>
        <w:ind w:firstLine="0"/>
        <w:jc w:val="left"/>
        <w:rPr>
          <w:sz w:val="19"/>
          <w:szCs w:val="19"/>
        </w:rPr>
      </w:pPr>
      <w:r>
        <w:rPr>
          <w:b/>
          <w:bCs/>
          <w:i/>
          <w:iCs/>
          <w:sz w:val="19"/>
          <w:szCs w:val="19"/>
        </w:rPr>
        <w:t>3&lt;3</w:t>
      </w:r>
    </w:p>
    <w:p w:rsidR="00500724" w:rsidRDefault="00500724">
      <w:pPr>
        <w:spacing w:after="245" w:line="14" w:lineRule="exact"/>
      </w:pPr>
    </w:p>
    <w:p w:rsidR="00500724" w:rsidRDefault="00500724">
      <w:pPr>
        <w:spacing w:line="14" w:lineRule="exact"/>
        <w:sectPr w:rsidR="00500724">
          <w:footnotePr>
            <w:numFmt w:val="chicago"/>
            <w:numRestart w:val="eachPage"/>
          </w:footnotePr>
          <w:type w:val="continuous"/>
          <w:pgSz w:w="11909" w:h="16834"/>
          <w:pgMar w:top="2777" w:right="881" w:bottom="781" w:left="660" w:header="0" w:footer="3" w:gutter="0"/>
          <w:cols w:space="720"/>
          <w:noEndnote/>
          <w:docGrid w:linePitch="360"/>
        </w:sectPr>
      </w:pPr>
    </w:p>
    <w:p w:rsidR="00500724" w:rsidRDefault="00F30FB8">
      <w:pPr>
        <w:pStyle w:val="Jin0"/>
        <w:pBdr>
          <w:bottom w:val="single" w:sz="4" w:space="0" w:color="auto"/>
        </w:pBdr>
        <w:shd w:val="clear" w:color="auto" w:fill="auto"/>
        <w:ind w:firstLine="0"/>
        <w:jc w:val="center"/>
        <w:rPr>
          <w:sz w:val="36"/>
          <w:szCs w:val="36"/>
        </w:rPr>
        <w:sectPr w:rsidR="00500724">
          <w:footnotePr>
            <w:numFmt w:val="chicago"/>
            <w:numRestart w:val="eachPage"/>
          </w:footnotePr>
          <w:pgSz w:w="11909" w:h="16834"/>
          <w:pgMar w:top="701" w:right="1008" w:bottom="616" w:left="590" w:header="0" w:footer="3" w:gutter="0"/>
          <w:cols w:space="720"/>
          <w:noEndnote/>
          <w:docGrid w:linePitch="360"/>
        </w:sectPr>
      </w:pPr>
      <w:r>
        <w:rPr>
          <w:sz w:val="36"/>
          <w:szCs w:val="36"/>
        </w:rPr>
        <w:t>Přítomnosti</w:t>
      </w:r>
    </w:p>
    <w:p w:rsidR="00500724" w:rsidRDefault="00500724">
      <w:pPr>
        <w:spacing w:line="38" w:lineRule="exact"/>
        <w:rPr>
          <w:sz w:val="3"/>
          <w:szCs w:val="3"/>
        </w:rPr>
      </w:pPr>
    </w:p>
    <w:p w:rsidR="00500724" w:rsidRDefault="00500724">
      <w:pPr>
        <w:spacing w:line="14" w:lineRule="exact"/>
        <w:sectPr w:rsidR="00500724">
          <w:footnotePr>
            <w:numFmt w:val="chicago"/>
            <w:numRestart w:val="eachPage"/>
          </w:footnotePr>
          <w:type w:val="continuous"/>
          <w:pgSz w:w="11909" w:h="16834"/>
          <w:pgMar w:top="1217" w:right="0" w:bottom="302" w:left="0" w:header="0" w:footer="3" w:gutter="0"/>
          <w:cols w:space="720"/>
          <w:noEndnote/>
          <w:docGrid w:linePitch="360"/>
        </w:sectPr>
      </w:pPr>
    </w:p>
    <w:p w:rsidR="00500724" w:rsidRDefault="00F30FB8">
      <w:pPr>
        <w:pStyle w:val="Zkladntext20"/>
        <w:shd w:val="clear" w:color="auto" w:fill="auto"/>
        <w:spacing w:line="240" w:lineRule="auto"/>
        <w:ind w:firstLine="0"/>
      </w:pPr>
      <w:r>
        <w:t>se všeličemus může nerozumně divit. Výnos o Pro</w:t>
      </w:r>
      <w:r>
        <w:softHyphen/>
        <w:t>tektorátu poskytuje Čechám a Moravě autonomii za toho předpokladu, že přizpůsobí svůj život celkovým zájmům Říše. Zajisté se vymáhá, aby i tisk se postavil na tuto základnu. To jest velká změna proti dřívějšk</w:t>
      </w:r>
      <w:r>
        <w:t>u. Na druhé straně existuje také důkladná proměna vlastní: na místě dřívějšího demokratického českého systému byl nastolen český režim totalitní. A tak novinář v tomto prostoru, jehož duch dříve celkem vlál kde chtěl, jest nyní postaven před nutnost vy</w:t>
      </w:r>
      <w:r>
        <w:softHyphen/>
        <w:t>rov</w:t>
      </w:r>
      <w:r>
        <w:t>nati se s těmito dvěma totalitami.</w:t>
      </w:r>
    </w:p>
    <w:p w:rsidR="00500724" w:rsidRDefault="00F30FB8">
      <w:pPr>
        <w:pStyle w:val="Zkladntext20"/>
        <w:shd w:val="clear" w:color="auto" w:fill="auto"/>
        <w:tabs>
          <w:tab w:val="left" w:pos="3787"/>
        </w:tabs>
        <w:spacing w:line="240" w:lineRule="auto"/>
      </w:pPr>
      <w:r>
        <w:t>Zkusím povědět, co český čtenář může v této době od svých novin rozumně očekávat a co nikoliv. Zá</w:t>
      </w:r>
      <w:r>
        <w:softHyphen/>
        <w:t>kladní zásadu však vyslovím již nyní: nepotřebujeme od nikoho rad, jak český tisk zahubit; kdybychom to považovali za ideál</w:t>
      </w:r>
      <w:r>
        <w:t>ní stav, sami bychom dovedli na něco přijít; podle našeho názoru, chce-li český tisk nyní pracovat ku prospěchu národa, musí se pevně postaviti na legální základnu, již poskytuje výnos o Protektorátu, musí zjišťovati veřejná práva, jež z onoho výnosu buď p</w:t>
      </w:r>
      <w:r>
        <w:t>ocházejí a pak se jich zastávat vším způsobem, třebas odvážným, ukáže-li se potřeba; musí nabádati k tomu, aby řádnou a usilovnou práci byla posilována a udržována ta posice češství, na niž jsme odkázáni, ať se ve světě stane cokoliv; musí apelovati na stř</w:t>
      </w:r>
      <w:r>
        <w:t>ízlivou českou energii, která nás po</w:t>
      </w:r>
      <w:r>
        <w:softHyphen/>
        <w:t>zdvihla z nicoty již za vlády rakouské a která naše posice i teď rozumným působením může zachovat, né na nějaké historické konstelace, které jsou dnes takové a zítra jiné a které, jak přece víme, včera vy</w:t>
      </w:r>
      <w:r>
        <w:softHyphen/>
        <w:t xml:space="preserve">padaly jinak, </w:t>
      </w:r>
      <w:r>
        <w:t>než jak ve skutečnosti byly; český tisk musí býti nyní především rádcem v práci a v přiroze</w:t>
      </w:r>
      <w:r>
        <w:softHyphen/>
        <w:t>ném působení na té základně, jež nám byla ponechá</w:t>
      </w:r>
      <w:r>
        <w:softHyphen/>
        <w:t>na; nezapomínat, že svítí hvězdy, ale dát pozor, abychom na zemi nezakopli nebo se neprobořili. Musí</w:t>
      </w:r>
      <w:r>
        <w:softHyphen/>
        <w:t>me uměti v rá</w:t>
      </w:r>
      <w:r>
        <w:t>mci zákonů protektorátních tak praco</w:t>
      </w:r>
      <w:r>
        <w:softHyphen/>
        <w:t>vati, jako jsme to uměli v rámci zákonů rakouských. Víme, že v devatenáctém století se český národ více povznesl politikou nepolitickou než politickou. Jest mu opakovat tento starý a úctyhodný výkon. Proto český tisk, a</w:t>
      </w:r>
      <w:r>
        <w:t>by byl vhodným nástrojem tohoto ne</w:t>
      </w:r>
      <w:r>
        <w:softHyphen/>
        <w:t>zbytného a pro všechny případy platného úsilí, se musí chovat jako střízlivý zákonný činitel, ne se tvářit nej</w:t>
      </w:r>
      <w:r>
        <w:softHyphen/>
        <w:t>dříve romanticky. Musíme nyní pěstovat zejména to, nač dosáhneme. Vše ostatní je nespolehlivá hra historie.</w:t>
      </w:r>
      <w:r>
        <w:tab/>
        <w:t>(D</w:t>
      </w:r>
      <w:r>
        <w:t>okončení.)</w:t>
      </w:r>
    </w:p>
    <w:p w:rsidR="00500724" w:rsidRDefault="00F30FB8">
      <w:pPr>
        <w:pStyle w:val="Zkladntext20"/>
        <w:shd w:val="clear" w:color="auto" w:fill="auto"/>
        <w:spacing w:after="120" w:line="266" w:lineRule="auto"/>
        <w:ind w:firstLine="0"/>
        <w:jc w:val="right"/>
        <w:rPr>
          <w:sz w:val="20"/>
          <w:szCs w:val="20"/>
        </w:rPr>
      </w:pPr>
      <w:r>
        <w:rPr>
          <w:i/>
          <w:iCs/>
          <w:sz w:val="20"/>
          <w:szCs w:val="20"/>
        </w:rPr>
        <w:t>F. Peroutka</w:t>
      </w:r>
    </w:p>
    <w:p w:rsidR="00500724" w:rsidRDefault="00F30FB8">
      <w:pPr>
        <w:pStyle w:val="Jin0"/>
        <w:pBdr>
          <w:bottom w:val="single" w:sz="4" w:space="0" w:color="auto"/>
        </w:pBdr>
        <w:shd w:val="clear" w:color="auto" w:fill="auto"/>
        <w:spacing w:after="280"/>
        <w:ind w:firstLine="0"/>
        <w:jc w:val="left"/>
        <w:rPr>
          <w:sz w:val="44"/>
          <w:szCs w:val="44"/>
        </w:rPr>
      </w:pPr>
      <w:r>
        <w:rPr>
          <w:b/>
          <w:bCs/>
          <w:sz w:val="44"/>
          <w:szCs w:val="44"/>
        </w:rPr>
        <w:t>poznámky</w:t>
      </w:r>
    </w:p>
    <w:p w:rsidR="00500724" w:rsidRDefault="00F30FB8">
      <w:pPr>
        <w:pStyle w:val="Zkladntext20"/>
        <w:shd w:val="clear" w:color="auto" w:fill="auto"/>
        <w:spacing w:after="120"/>
        <w:ind w:firstLine="0"/>
        <w:jc w:val="center"/>
        <w:rPr>
          <w:sz w:val="20"/>
          <w:szCs w:val="20"/>
        </w:rPr>
      </w:pPr>
      <w:r>
        <w:rPr>
          <w:b/>
          <w:bCs/>
          <w:sz w:val="20"/>
          <w:szCs w:val="20"/>
        </w:rPr>
        <w:t>Reorganisace výboru Národního souručenství</w:t>
      </w:r>
    </w:p>
    <w:p w:rsidR="00500724" w:rsidRDefault="00F30FB8">
      <w:pPr>
        <w:pStyle w:val="Zkladntext100"/>
        <w:shd w:val="clear" w:color="auto" w:fill="auto"/>
        <w:spacing w:after="220" w:line="209" w:lineRule="auto"/>
        <w:ind w:firstLine="300"/>
        <w:rPr>
          <w:sz w:val="19"/>
          <w:szCs w:val="19"/>
        </w:rPr>
      </w:pPr>
      <w:r>
        <w:rPr>
          <w:b/>
          <w:bCs/>
          <w:sz w:val="19"/>
          <w:szCs w:val="19"/>
        </w:rPr>
        <w:t>Nový výbor Národního souručenství, který byl v minu</w:t>
      </w:r>
      <w:r>
        <w:rPr>
          <w:b/>
          <w:bCs/>
          <w:sz w:val="19"/>
          <w:szCs w:val="19"/>
        </w:rPr>
        <w:softHyphen/>
        <w:t xml:space="preserve">lém týdnu jmenován státním presidentem, vyznačuje se Jistou reorganisací ve prospěch středních a výrobních vrstev, při čemž </w:t>
      </w:r>
      <w:r>
        <w:rPr>
          <w:b/>
          <w:bCs/>
          <w:sz w:val="19"/>
          <w:szCs w:val="19"/>
        </w:rPr>
        <w:t>zastoupení pracujícího lidu, zejména děl-</w:t>
      </w:r>
    </w:p>
    <w:p w:rsidR="00500724" w:rsidRDefault="00F30FB8">
      <w:pPr>
        <w:pStyle w:val="Jin0"/>
        <w:shd w:val="clear" w:color="auto" w:fill="auto"/>
        <w:spacing w:after="180" w:line="209" w:lineRule="auto"/>
        <w:ind w:firstLine="0"/>
      </w:pPr>
      <w:r>
        <w:rPr>
          <w:rFonts w:ascii="Arial" w:eastAsia="Arial" w:hAnsi="Arial" w:cs="Arial"/>
          <w:i/>
          <w:iCs/>
        </w:rPr>
        <w:t>IV</w:t>
      </w:r>
    </w:p>
    <w:p w:rsidR="00500724" w:rsidRDefault="00F30FB8">
      <w:pPr>
        <w:pStyle w:val="Zkladntext100"/>
        <w:shd w:val="clear" w:color="auto" w:fill="auto"/>
        <w:spacing w:line="211" w:lineRule="auto"/>
        <w:ind w:firstLine="0"/>
        <w:rPr>
          <w:sz w:val="19"/>
          <w:szCs w:val="19"/>
        </w:rPr>
      </w:pPr>
      <w:r>
        <w:rPr>
          <w:b/>
          <w:bCs/>
          <w:sz w:val="19"/>
          <w:szCs w:val="19"/>
        </w:rPr>
        <w:t xml:space="preserve">nictva, zůstává zachováno. Tato reorganisace byla nutná z různých vnitřních důvodů, také proto, že úkol dosavad- ního výboru byl již skončen. Důležité jest, že se ukázala chvályhodná pružnost, která potvrzuje, </w:t>
      </w:r>
      <w:r>
        <w:rPr>
          <w:b/>
          <w:bCs/>
          <w:sz w:val="19"/>
          <w:szCs w:val="19"/>
        </w:rPr>
        <w:t>že žádný člen tohoto výboru, zastupujícího v jistém smyslu bývalý parlament, není v něm navždy. Záleží na tom, jak se osvědčí, a na tom, jaká je potřeba dané chvíle. Nyní jde o to, aby se za</w:t>
      </w:r>
      <w:r>
        <w:rPr>
          <w:b/>
          <w:bCs/>
          <w:sz w:val="19"/>
          <w:szCs w:val="19"/>
        </w:rPr>
        <w:softHyphen/>
        <w:t>bránilo všemi silami pokusům o rozvrat v českém národě, který pře</w:t>
      </w:r>
      <w:r>
        <w:rPr>
          <w:b/>
          <w:bCs/>
          <w:sz w:val="19"/>
          <w:szCs w:val="19"/>
        </w:rPr>
        <w:t>ce právě spontánně uká</w:t>
      </w:r>
      <w:r>
        <w:rPr>
          <w:b/>
          <w:bCs/>
          <w:sz w:val="19"/>
          <w:szCs w:val="19"/>
        </w:rPr>
        <w:softHyphen/>
        <w:t>zal, že mu nejde o žádné strany, ale o myšlenku národa jako pevné jednotky, která musí tím více držeti pohromadě, čím větším nesnázím je vydána. Proto bylo také nutno tuto reorganisací provésti.</w:t>
      </w:r>
    </w:p>
    <w:p w:rsidR="00500724" w:rsidRDefault="00F30FB8">
      <w:pPr>
        <w:pStyle w:val="Zkladntext100"/>
        <w:shd w:val="clear" w:color="auto" w:fill="auto"/>
        <w:spacing w:line="211" w:lineRule="auto"/>
        <w:rPr>
          <w:sz w:val="19"/>
          <w:szCs w:val="19"/>
        </w:rPr>
      </w:pPr>
      <w:r>
        <w:rPr>
          <w:b/>
          <w:bCs/>
          <w:sz w:val="19"/>
          <w:szCs w:val="19"/>
        </w:rPr>
        <w:t>Nepatrné skupinky, jež se o tento rozv</w:t>
      </w:r>
      <w:r>
        <w:rPr>
          <w:b/>
          <w:bCs/>
          <w:sz w:val="19"/>
          <w:szCs w:val="19"/>
        </w:rPr>
        <w:t>rat pokoušejí, činí tak z důvodů nepřátelských a nebezpečných českému ná</w:t>
      </w:r>
      <w:r>
        <w:rPr>
          <w:b/>
          <w:bCs/>
          <w:sz w:val="19"/>
          <w:szCs w:val="19"/>
        </w:rPr>
        <w:softHyphen/>
        <w:t>rodu v situaci, v níž se ocitl. Není snadno tomu čelit, ačko</w:t>
      </w:r>
      <w:r>
        <w:rPr>
          <w:b/>
          <w:bCs/>
          <w:sz w:val="19"/>
          <w:szCs w:val="19"/>
        </w:rPr>
        <w:softHyphen/>
        <w:t>liv český národ by se s nimi dovedl rychle a důkladně vy</w:t>
      </w:r>
      <w:r>
        <w:rPr>
          <w:b/>
          <w:bCs/>
          <w:sz w:val="19"/>
          <w:szCs w:val="19"/>
        </w:rPr>
        <w:softHyphen/>
        <w:t>pořádat, kdyby měl zcela volné ruce. O tom, že by tyto co do počt</w:t>
      </w:r>
      <w:r>
        <w:rPr>
          <w:b/>
          <w:bCs/>
          <w:sz w:val="19"/>
          <w:szCs w:val="19"/>
        </w:rPr>
        <w:t>u směšně maličké skupinky začínaly svou práci z důvodů národních a ve službách národa, se nedá vůbec mluvit.</w:t>
      </w:r>
    </w:p>
    <w:p w:rsidR="00500724" w:rsidRDefault="00F30FB8">
      <w:pPr>
        <w:pStyle w:val="Zkladntext100"/>
        <w:shd w:val="clear" w:color="auto" w:fill="auto"/>
        <w:spacing w:line="211" w:lineRule="auto"/>
        <w:rPr>
          <w:sz w:val="19"/>
          <w:szCs w:val="19"/>
        </w:rPr>
      </w:pPr>
      <w:r>
        <w:rPr>
          <w:b/>
          <w:bCs/>
          <w:sz w:val="19"/>
          <w:szCs w:val="19"/>
        </w:rPr>
        <w:t>Bylo by si přáti, aby říšskoněmecká politická místa, která jsou si vědoma své odpovědnosti, prozkoumala situaci přímo, a sama. Český národ nemá záj</w:t>
      </w:r>
      <w:r>
        <w:rPr>
          <w:b/>
          <w:bCs/>
          <w:sz w:val="19"/>
          <w:szCs w:val="19"/>
        </w:rPr>
        <w:t>mu na zbytečném rozčilování, nechce žádné třenice s německým národem a nechce dělat žádné potíže, ani žádnou oposici. Tomu se také rozumělo na vedoucích říšskoněmeckých místech do</w:t>
      </w:r>
      <w:r>
        <w:rPr>
          <w:b/>
          <w:bCs/>
          <w:sz w:val="19"/>
          <w:szCs w:val="19"/>
        </w:rPr>
        <w:softHyphen/>
        <w:t>cela dobře, protože to je společný zájem Říše. Nesmí býti tedy svěřován pros</w:t>
      </w:r>
      <w:r>
        <w:rPr>
          <w:b/>
          <w:bCs/>
          <w:sz w:val="19"/>
          <w:szCs w:val="19"/>
        </w:rPr>
        <w:t>tředníkům, zaujatým minulými zájmy, anebo pomstami či prospěchy.</w:t>
      </w:r>
    </w:p>
    <w:p w:rsidR="00500724" w:rsidRDefault="00F30FB8">
      <w:pPr>
        <w:pStyle w:val="Zkladntext100"/>
        <w:shd w:val="clear" w:color="auto" w:fill="auto"/>
        <w:tabs>
          <w:tab w:val="left" w:pos="4570"/>
        </w:tabs>
        <w:spacing w:after="240" w:line="211" w:lineRule="auto"/>
        <w:rPr>
          <w:sz w:val="20"/>
          <w:szCs w:val="20"/>
        </w:rPr>
      </w:pPr>
      <w:r>
        <w:rPr>
          <w:b/>
          <w:bCs/>
          <w:sz w:val="19"/>
          <w:szCs w:val="19"/>
        </w:rPr>
        <w:t>Jde o věc nejen říšského, ale přímo evropského význa</w:t>
      </w:r>
      <w:r>
        <w:rPr>
          <w:b/>
          <w:bCs/>
          <w:sz w:val="19"/>
          <w:szCs w:val="19"/>
        </w:rPr>
        <w:softHyphen/>
        <w:t>mu, protože osmi milionový národ takové vy</w:t>
      </w:r>
      <w:r>
        <w:rPr>
          <w:b/>
          <w:bCs/>
          <w:sz w:val="19"/>
          <w:szCs w:val="19"/>
        </w:rPr>
        <w:softHyphen/>
        <w:t>spělosti a s takovými politickými zkuše</w:t>
      </w:r>
      <w:r>
        <w:rPr>
          <w:b/>
          <w:bCs/>
          <w:sz w:val="19"/>
          <w:szCs w:val="19"/>
        </w:rPr>
        <w:softHyphen/>
        <w:t xml:space="preserve">nostmi jako je český národ, je povinen há- jiti práva, </w:t>
      </w:r>
      <w:r>
        <w:rPr>
          <w:b/>
          <w:bCs/>
          <w:sz w:val="19"/>
          <w:szCs w:val="19"/>
        </w:rPr>
        <w:t>jež mu byla dána formou tak slavnostní, a nemůže připustit, aby uzounké skupinky je rušily.</w:t>
      </w:r>
      <w:r>
        <w:rPr>
          <w:b/>
          <w:bCs/>
          <w:sz w:val="19"/>
          <w:szCs w:val="19"/>
        </w:rPr>
        <w:tab/>
      </w:r>
      <w:r>
        <w:rPr>
          <w:i/>
          <w:iCs/>
          <w:sz w:val="20"/>
          <w:szCs w:val="20"/>
        </w:rPr>
        <w:t>Moll</w:t>
      </w:r>
    </w:p>
    <w:p w:rsidR="00500724" w:rsidRDefault="00F30FB8">
      <w:pPr>
        <w:pStyle w:val="Zkladntext20"/>
        <w:shd w:val="clear" w:color="auto" w:fill="auto"/>
        <w:spacing w:after="60" w:line="202" w:lineRule="auto"/>
        <w:ind w:firstLine="0"/>
        <w:jc w:val="center"/>
        <w:rPr>
          <w:sz w:val="20"/>
          <w:szCs w:val="20"/>
        </w:rPr>
      </w:pPr>
      <w:r>
        <w:rPr>
          <w:b/>
          <w:bCs/>
          <w:sz w:val="20"/>
          <w:szCs w:val="20"/>
        </w:rPr>
        <w:t>Politické pozadí anglo-turecké smlouvy</w:t>
      </w:r>
    </w:p>
    <w:p w:rsidR="00500724" w:rsidRDefault="00F30FB8">
      <w:pPr>
        <w:pStyle w:val="Zkladntext100"/>
        <w:shd w:val="clear" w:color="auto" w:fill="auto"/>
        <w:spacing w:line="214" w:lineRule="auto"/>
        <w:rPr>
          <w:sz w:val="19"/>
          <w:szCs w:val="19"/>
        </w:rPr>
      </w:pPr>
      <w:r>
        <w:rPr>
          <w:b/>
          <w:bCs/>
          <w:sz w:val="19"/>
          <w:szCs w:val="19"/>
        </w:rPr>
        <w:t>Uzavření politicko-vojenské smlouvy -mezi Velkou Bri</w:t>
      </w:r>
      <w:r>
        <w:rPr>
          <w:b/>
          <w:bCs/>
          <w:sz w:val="19"/>
          <w:szCs w:val="19"/>
        </w:rPr>
        <w:softHyphen/>
        <w:t>tanií a Tureckem se chystalo ve vší tajnosti již delší čas. V posle</w:t>
      </w:r>
      <w:r>
        <w:rPr>
          <w:b/>
          <w:bCs/>
          <w:sz w:val="19"/>
          <w:szCs w:val="19"/>
        </w:rPr>
        <w:t>dních týdnech, kdy zprávy o tom pronikly i do ve</w:t>
      </w:r>
      <w:r>
        <w:rPr>
          <w:b/>
          <w:bCs/>
          <w:sz w:val="19"/>
          <w:szCs w:val="19"/>
        </w:rPr>
        <w:softHyphen/>
        <w:t>řejnosti, bylo patrno, že jednání je velmi dobře připraveno a že má významné politické pozadí.</w:t>
      </w:r>
    </w:p>
    <w:p w:rsidR="00500724" w:rsidRDefault="00F30FB8">
      <w:pPr>
        <w:pStyle w:val="Zkladntext100"/>
        <w:shd w:val="clear" w:color="auto" w:fill="auto"/>
        <w:spacing w:line="209" w:lineRule="auto"/>
        <w:rPr>
          <w:sz w:val="19"/>
          <w:szCs w:val="19"/>
        </w:rPr>
      </w:pPr>
      <w:r>
        <w:rPr>
          <w:b/>
          <w:bCs/>
          <w:sz w:val="19"/>
          <w:szCs w:val="19"/>
        </w:rPr>
        <w:t>Prohlášení, které ve stejný den učinili o uzavření poiitic- ko-vojenské smlouvy mezi Anglií a Tureckem britský m</w:t>
      </w:r>
      <w:r>
        <w:rPr>
          <w:b/>
          <w:bCs/>
          <w:sz w:val="19"/>
          <w:szCs w:val="19"/>
        </w:rPr>
        <w:t>ini</w:t>
      </w:r>
      <w:r>
        <w:rPr>
          <w:b/>
          <w:bCs/>
          <w:sz w:val="19"/>
          <w:szCs w:val="19"/>
        </w:rPr>
        <w:softHyphen/>
        <w:t>sterský předseda v poslanecké sněmovně v Londýně a tu</w:t>
      </w:r>
      <w:r>
        <w:rPr>
          <w:b/>
          <w:bCs/>
          <w:sz w:val="19"/>
          <w:szCs w:val="19"/>
        </w:rPr>
        <w:softHyphen/>
        <w:t>recký předseda vlády v parlamentním zasedáni v Ankaře, jsou jen docela stručná. Praví se, že »úmluva je dlouhodobá* a na vysvětlenou se dodává, že »pro případ války ve Středo</w:t>
      </w:r>
      <w:r>
        <w:rPr>
          <w:b/>
          <w:bCs/>
          <w:sz w:val="19"/>
          <w:szCs w:val="19"/>
        </w:rPr>
        <w:softHyphen/>
        <w:t>zemním moři se zavazují</w:t>
      </w:r>
      <w:r>
        <w:rPr>
          <w:b/>
          <w:bCs/>
          <w:sz w:val="19"/>
          <w:szCs w:val="19"/>
        </w:rPr>
        <w:t xml:space="preserve"> Velká Britanie a Turecko poskyt</w:t>
      </w:r>
      <w:r>
        <w:rPr>
          <w:b/>
          <w:bCs/>
          <w:sz w:val="19"/>
          <w:szCs w:val="19"/>
        </w:rPr>
        <w:softHyphen/>
        <w:t>nout si ze všech sil veškerou vzájemnou pomoc«. To je cel</w:t>
      </w:r>
      <w:r>
        <w:rPr>
          <w:b/>
          <w:bCs/>
          <w:sz w:val="19"/>
          <w:szCs w:val="19"/>
        </w:rPr>
        <w:softHyphen/>
        <w:t>kem vše, co bylo o věci veřejně smluvními stranami řečeno, ale o jejím významu a mimořádném politickém pozadí svěd</w:t>
      </w:r>
      <w:r>
        <w:rPr>
          <w:b/>
          <w:bCs/>
          <w:sz w:val="19"/>
          <w:szCs w:val="19"/>
        </w:rPr>
        <w:softHyphen/>
        <w:t>čí světový ohlas tisku a zejména velká radost, pro</w:t>
      </w:r>
      <w:r>
        <w:rPr>
          <w:b/>
          <w:bCs/>
          <w:sz w:val="19"/>
          <w:szCs w:val="19"/>
        </w:rPr>
        <w:t>jevovaná tiskem smluvních stran a současně tiskem ruským a fran</w:t>
      </w:r>
      <w:r>
        <w:rPr>
          <w:b/>
          <w:bCs/>
          <w:sz w:val="19"/>
          <w:szCs w:val="19"/>
        </w:rPr>
        <w:softHyphen/>
        <w:t>couzským.</w:t>
      </w:r>
    </w:p>
    <w:p w:rsidR="00500724" w:rsidRDefault="00F30FB8">
      <w:pPr>
        <w:pStyle w:val="Zkladntext100"/>
        <w:shd w:val="clear" w:color="auto" w:fill="auto"/>
        <w:spacing w:line="209" w:lineRule="auto"/>
        <w:rPr>
          <w:sz w:val="19"/>
          <w:szCs w:val="19"/>
        </w:rPr>
      </w:pPr>
      <w:r>
        <w:rPr>
          <w:b/>
          <w:bCs/>
          <w:sz w:val="19"/>
          <w:szCs w:val="19"/>
        </w:rPr>
        <w:t xml:space="preserve">Středozemní moře má tři východy a vstupy: </w:t>
      </w:r>
      <w:r>
        <w:rPr>
          <w:b/>
          <w:bCs/>
          <w:sz w:val="19"/>
          <w:szCs w:val="19"/>
          <w:lang w:val="en-US" w:eastAsia="en-US" w:bidi="en-US"/>
        </w:rPr>
        <w:t xml:space="preserve">Suez, </w:t>
      </w:r>
      <w:r>
        <w:rPr>
          <w:b/>
          <w:bCs/>
          <w:sz w:val="19"/>
          <w:szCs w:val="19"/>
        </w:rPr>
        <w:t>Gibral</w:t>
      </w:r>
      <w:r>
        <w:rPr>
          <w:b/>
          <w:bCs/>
          <w:sz w:val="19"/>
          <w:szCs w:val="19"/>
        </w:rPr>
        <w:softHyphen/>
        <w:t>tar a Dardanelly. První dva jsou nejdůležitější pro Vel</w:t>
      </w:r>
      <w:r>
        <w:rPr>
          <w:b/>
          <w:bCs/>
          <w:sz w:val="19"/>
          <w:szCs w:val="19"/>
        </w:rPr>
        <w:softHyphen/>
        <w:t>kou Britanii a Francii, protože znamenají pro válečné lodi cestu z Atla</w:t>
      </w:r>
      <w:r>
        <w:rPr>
          <w:b/>
          <w:bCs/>
          <w:sz w:val="19"/>
          <w:szCs w:val="19"/>
        </w:rPr>
        <w:t>ntiku do Středozemního moře a pro Anglii spo</w:t>
      </w:r>
      <w:r>
        <w:rPr>
          <w:b/>
          <w:bCs/>
          <w:sz w:val="19"/>
          <w:szCs w:val="19"/>
        </w:rPr>
        <w:softHyphen/>
        <w:t xml:space="preserve">jení přes </w:t>
      </w:r>
      <w:r>
        <w:rPr>
          <w:b/>
          <w:bCs/>
          <w:sz w:val="19"/>
          <w:szCs w:val="19"/>
          <w:lang w:val="en-US" w:eastAsia="en-US" w:bidi="en-US"/>
        </w:rPr>
        <w:t xml:space="preserve">Suez </w:t>
      </w:r>
      <w:r>
        <w:rPr>
          <w:b/>
          <w:bCs/>
          <w:sz w:val="19"/>
          <w:szCs w:val="19"/>
        </w:rPr>
        <w:t>s Indií, Austrálií, Indickým a Tichým oceá- nem. Od té nedávné doby ovšem, co technickému pokroku se zdařilo zvýšit rychlost lodní dopravy tak. že i obeplutí jiho</w:t>
      </w:r>
      <w:r>
        <w:rPr>
          <w:b/>
          <w:bCs/>
          <w:sz w:val="19"/>
          <w:szCs w:val="19"/>
        </w:rPr>
        <w:softHyphen/>
        <w:t>afrického mysu neznamená při dlou</w:t>
      </w:r>
      <w:r>
        <w:rPr>
          <w:b/>
          <w:bCs/>
          <w:sz w:val="19"/>
          <w:szCs w:val="19"/>
        </w:rPr>
        <w:t xml:space="preserve">hých námořních cestách z Anglie do Indického oceánu větší zdrženi než asi tři dny — </w:t>
      </w:r>
      <w:r>
        <w:rPr>
          <w:b/>
          <w:bCs/>
          <w:sz w:val="19"/>
          <w:szCs w:val="19"/>
          <w:lang w:val="en-US" w:eastAsia="en-US" w:bidi="en-US"/>
        </w:rPr>
        <w:t xml:space="preserve">Suez </w:t>
      </w:r>
      <w:r>
        <w:rPr>
          <w:b/>
          <w:bCs/>
          <w:sz w:val="19"/>
          <w:szCs w:val="19"/>
        </w:rPr>
        <w:t>je vystavěn v pisku a lodi nemohou jím tak rychle plouti, protože nárazy lodních šroubů vyvolávají pak zvý</w:t>
      </w:r>
      <w:r>
        <w:rPr>
          <w:b/>
          <w:bCs/>
          <w:sz w:val="19"/>
          <w:szCs w:val="19"/>
        </w:rPr>
        <w:softHyphen/>
        <w:t>šené vlnobití, jež vede k sesouvání stěn průplavu — význam S</w:t>
      </w:r>
      <w:r>
        <w:rPr>
          <w:b/>
          <w:bCs/>
          <w:sz w:val="19"/>
          <w:szCs w:val="19"/>
        </w:rPr>
        <w:t>uezu není s hlediska aktivně-vojenského takový, jako před několika lety ještě byl. Pro spojeni hlavni země anglického impéria s jeho koloniemi ovšem to platí plně, ale důležitost</w:t>
      </w:r>
    </w:p>
    <w:p w:rsidR="00500724" w:rsidRDefault="00F30FB8">
      <w:pPr>
        <w:pStyle w:val="Zkladntext100"/>
        <w:shd w:val="clear" w:color="auto" w:fill="auto"/>
        <w:spacing w:line="211" w:lineRule="auto"/>
        <w:ind w:firstLine="0"/>
        <w:rPr>
          <w:sz w:val="19"/>
          <w:szCs w:val="19"/>
        </w:rPr>
      </w:pPr>
      <w:r>
        <w:rPr>
          <w:b/>
          <w:bCs/>
          <w:sz w:val="19"/>
          <w:szCs w:val="19"/>
        </w:rPr>
        <w:t>Suezu jako uzávěry (pasivně vojenské) Středozemního mo</w:t>
      </w:r>
      <w:r>
        <w:rPr>
          <w:b/>
          <w:bCs/>
          <w:sz w:val="19"/>
          <w:szCs w:val="19"/>
        </w:rPr>
        <w:softHyphen/>
        <w:t>ře se tím nikterak nez</w:t>
      </w:r>
      <w:r>
        <w:rPr>
          <w:b/>
          <w:bCs/>
          <w:sz w:val="19"/>
          <w:szCs w:val="19"/>
        </w:rPr>
        <w:t xml:space="preserve">měnila. Jak Gibraltar, tak </w:t>
      </w:r>
      <w:r>
        <w:rPr>
          <w:b/>
          <w:bCs/>
          <w:sz w:val="19"/>
          <w:szCs w:val="19"/>
          <w:lang w:val="en-US" w:eastAsia="en-US" w:bidi="en-US"/>
        </w:rPr>
        <w:t xml:space="preserve">Suez </w:t>
      </w:r>
      <w:r>
        <w:rPr>
          <w:b/>
          <w:bCs/>
          <w:sz w:val="19"/>
          <w:szCs w:val="19"/>
        </w:rPr>
        <w:t>jo v britských rukou a jsou ovšem také k disposici Francii.</w:t>
      </w:r>
    </w:p>
    <w:p w:rsidR="00500724" w:rsidRDefault="00F30FB8">
      <w:pPr>
        <w:pStyle w:val="Zkladntext100"/>
        <w:shd w:val="clear" w:color="auto" w:fill="auto"/>
        <w:spacing w:line="211" w:lineRule="auto"/>
        <w:ind w:firstLine="300"/>
        <w:rPr>
          <w:sz w:val="19"/>
          <w:szCs w:val="19"/>
        </w:rPr>
      </w:pPr>
      <w:r>
        <w:rPr>
          <w:b/>
          <w:bCs/>
          <w:sz w:val="19"/>
          <w:szCs w:val="19"/>
        </w:rPr>
        <w:t>Vojenský význam Dardaneil je poněkud jiného druhu, ale nikterak menší. Kdo drží Dardanelly, může vpouštět válečné loďstvo do ruských vod a usnadnit ěi znemožnit tak</w:t>
      </w:r>
      <w:r>
        <w:rPr>
          <w:b/>
          <w:bCs/>
          <w:sz w:val="19"/>
          <w:szCs w:val="19"/>
        </w:rPr>
        <w:t xml:space="preserve"> napadení Ruska z jihu; současně může vypouštět ruské válečné loďstvo do Středozemního moře nebo mu v tom zabránit. Pro Rusko znamenají tedy Dardanelly pevnostní vrata k výpadu i k obraně. Už za světové války se ukázalo, Se Dardanelly nelze násilím dobýt, </w:t>
      </w:r>
      <w:r>
        <w:rPr>
          <w:b/>
          <w:bCs/>
          <w:sz w:val="19"/>
          <w:szCs w:val="19"/>
        </w:rPr>
        <w:t>a Francouzi i Angličané při pokusu o dobytí vrat pohřbili před nimi krásnou a dra</w:t>
      </w:r>
      <w:r>
        <w:rPr>
          <w:b/>
          <w:bCs/>
          <w:sz w:val="19"/>
          <w:szCs w:val="19"/>
        </w:rPr>
        <w:softHyphen/>
        <w:t>hocennou flottu. To bylo tehdy, když Turecko bylo spojen- cem Německa a Rakousko-Uherska a nepřítelem Ruska a Itálie. Dnes se tedy situace mění: Turecko zůstává odpůrcem Itál</w:t>
      </w:r>
      <w:r>
        <w:rPr>
          <w:b/>
          <w:bCs/>
          <w:sz w:val="19"/>
          <w:szCs w:val="19"/>
        </w:rPr>
        <w:t>ie, avšak dávno již uzavřelo spolek s Ruskem a nyní také s Anglií. Protože Francii neobyčejně záleží na obdob</w:t>
      </w:r>
      <w:r>
        <w:rPr>
          <w:b/>
          <w:bCs/>
          <w:sz w:val="19"/>
          <w:szCs w:val="19"/>
        </w:rPr>
        <w:softHyphen/>
        <w:t>ném vojensko-politickém spolku s Tureckem, dá se čekat, že Francie postoupí co nejdříve Turecku alexandret- ský sandžak, o který s ním vedla dlouh</w:t>
      </w:r>
      <w:r>
        <w:rPr>
          <w:b/>
          <w:bCs/>
          <w:sz w:val="19"/>
          <w:szCs w:val="19"/>
        </w:rPr>
        <w:t>ý spor, a Tu</w:t>
      </w:r>
      <w:r>
        <w:rPr>
          <w:b/>
          <w:bCs/>
          <w:sz w:val="19"/>
          <w:szCs w:val="19"/>
        </w:rPr>
        <w:softHyphen/>
        <w:t>recko vstoupí do aliančního systému britské obkličovací politiky. Ohlášená turecko-anglická smlouva je k tomu prvním krokem.</w:t>
      </w:r>
    </w:p>
    <w:p w:rsidR="00500724" w:rsidRDefault="00F30FB8">
      <w:pPr>
        <w:pStyle w:val="Zkladntext100"/>
        <w:shd w:val="clear" w:color="auto" w:fill="auto"/>
        <w:spacing w:line="211" w:lineRule="auto"/>
        <w:ind w:firstLine="220"/>
        <w:rPr>
          <w:sz w:val="19"/>
          <w:szCs w:val="19"/>
        </w:rPr>
      </w:pPr>
      <w:r>
        <w:rPr>
          <w:b/>
          <w:bCs/>
          <w:sz w:val="19"/>
          <w:szCs w:val="19"/>
        </w:rPr>
        <w:t>Turecko nevládne pouze Dardanellami. Má ještě velký přistav ve Smyrně s velkým obchodním významem a sérii velmi dobrýc</w:t>
      </w:r>
      <w:r>
        <w:rPr>
          <w:b/>
          <w:bCs/>
          <w:sz w:val="19"/>
          <w:szCs w:val="19"/>
        </w:rPr>
        <w:t>h přístavů v Egejském moři na pobřeží Malé Asie. Protože Turecko má již několik let smlouvu s Řeckem, která v podstatě znamená vojenskou alianci, je nyní Egejské moře se všemi svými členitými ostrovy a dů</w:t>
      </w:r>
      <w:r>
        <w:rPr>
          <w:b/>
          <w:bCs/>
          <w:sz w:val="19"/>
          <w:szCs w:val="19"/>
        </w:rPr>
        <w:softHyphen/>
        <w:t>ležitými přístavy v rukou angio-franko-turecko-rusk</w:t>
      </w:r>
      <w:r>
        <w:rPr>
          <w:b/>
          <w:bCs/>
          <w:sz w:val="19"/>
          <w:szCs w:val="19"/>
        </w:rPr>
        <w:t>ých. Proto také Velká Britanie nabídla v těchto dnech Řecku spo</w:t>
      </w:r>
      <w:r>
        <w:rPr>
          <w:b/>
          <w:bCs/>
          <w:sz w:val="19"/>
          <w:szCs w:val="19"/>
        </w:rPr>
        <w:softHyphen/>
        <w:t>jenectví, které Řecko dokumentovalo mobilisaci tří ročníků, především námořní pěchoty.</w:t>
      </w:r>
    </w:p>
    <w:p w:rsidR="00500724" w:rsidRDefault="00F30FB8">
      <w:pPr>
        <w:pStyle w:val="Zkladntext100"/>
        <w:shd w:val="clear" w:color="auto" w:fill="auto"/>
        <w:spacing w:line="211" w:lineRule="auto"/>
        <w:ind w:firstLine="220"/>
        <w:rPr>
          <w:sz w:val="19"/>
          <w:szCs w:val="19"/>
        </w:rPr>
      </w:pPr>
      <w:r>
        <w:rPr>
          <w:b/>
          <w:bCs/>
          <w:sz w:val="19"/>
          <w:szCs w:val="19"/>
        </w:rPr>
        <w:t xml:space="preserve">Tim však ještě není určen celý význam Turecka. Tato země, která se rozpadá na část evropskou s plochou </w:t>
      </w:r>
      <w:r>
        <w:rPr>
          <w:b/>
          <w:bCs/>
          <w:sz w:val="19"/>
          <w:szCs w:val="19"/>
        </w:rPr>
        <w:t>asi 24.000 km' a pěti miliony obyvatel a na část asijskou s plo</w:t>
      </w:r>
      <w:r>
        <w:rPr>
          <w:b/>
          <w:bCs/>
          <w:sz w:val="19"/>
          <w:szCs w:val="19"/>
        </w:rPr>
        <w:softHyphen/>
        <w:t>chou téměř 740.000 km' a 15 miliony obyvatel, je nyní velmi dobře vojensky organisována a má důležité sousedy, kteři v britské politice vždy hráli velkou roli. Se všemi těmito sousedy má Turec</w:t>
      </w:r>
      <w:r>
        <w:rPr>
          <w:b/>
          <w:bCs/>
          <w:sz w:val="19"/>
          <w:szCs w:val="19"/>
        </w:rPr>
        <w:t>ko jakési alianční smlouvy. Nejdůleži</w:t>
      </w:r>
      <w:r>
        <w:rPr>
          <w:b/>
          <w:bCs/>
          <w:sz w:val="19"/>
          <w:szCs w:val="19"/>
        </w:rPr>
        <w:softHyphen/>
        <w:t>tější úmluvy vojensko-politické má s Iránem (bývalou Persii) a s Afganistanem, jejichž klíčová poloha a zvláštní strategický význam na rusko-indických hranicích hrály již tolikrát zvláštní roli. Podobnou smlouvu má Tur</w:t>
      </w:r>
      <w:r>
        <w:rPr>
          <w:b/>
          <w:bCs/>
          <w:sz w:val="19"/>
          <w:szCs w:val="19"/>
        </w:rPr>
        <w:t>ecko také s Irákem, který je pod britským vlivem. Ale to není vše. Turecko je členem Balkánské dohody spolu s Rumunskem, Jugoslávií a se svým spojencem Řeckem. Právě teď vyvíjí velké úsilí o získání Bulharska a nabízí se prostředkovat mezi ním a jeho souse</w:t>
      </w:r>
      <w:r>
        <w:rPr>
          <w:b/>
          <w:bCs/>
          <w:sz w:val="19"/>
          <w:szCs w:val="19"/>
        </w:rPr>
        <w:t>dy, aby mu postoupili nějaké části území a tak Bulharsko získali do spolku.</w:t>
      </w:r>
    </w:p>
    <w:p w:rsidR="00500724" w:rsidRDefault="00F30FB8">
      <w:pPr>
        <w:pStyle w:val="Zkladntext100"/>
        <w:shd w:val="clear" w:color="auto" w:fill="auto"/>
        <w:spacing w:line="211" w:lineRule="auto"/>
        <w:ind w:firstLine="300"/>
        <w:rPr>
          <w:sz w:val="19"/>
          <w:szCs w:val="19"/>
        </w:rPr>
      </w:pPr>
      <w:r>
        <w:rPr>
          <w:b/>
          <w:bCs/>
          <w:sz w:val="19"/>
          <w:szCs w:val="19"/>
        </w:rPr>
        <w:t>K tomu třeba připočisti naprostou změnu orientace no</w:t>
      </w:r>
      <w:r>
        <w:rPr>
          <w:b/>
          <w:bCs/>
          <w:sz w:val="19"/>
          <w:szCs w:val="19"/>
        </w:rPr>
        <w:softHyphen/>
        <w:t>vodobého Turecka k Rusku. Z nepřátelství vyvinulo se přá</w:t>
      </w:r>
      <w:r>
        <w:rPr>
          <w:b/>
          <w:bCs/>
          <w:sz w:val="19"/>
          <w:szCs w:val="19"/>
        </w:rPr>
        <w:softHyphen/>
        <w:t>telství, které již trvá dosti dlouhou řadu let. Turecké vo</w:t>
      </w:r>
      <w:r>
        <w:rPr>
          <w:b/>
          <w:bCs/>
          <w:sz w:val="19"/>
          <w:szCs w:val="19"/>
        </w:rPr>
        <w:softHyphen/>
        <w:t>jenské a di</w:t>
      </w:r>
      <w:r>
        <w:rPr>
          <w:b/>
          <w:bCs/>
          <w:sz w:val="19"/>
          <w:szCs w:val="19"/>
        </w:rPr>
        <w:t>plomatické schopnosti se neopíraji tedy o zemi co do počtu obyvatel velikou, ale dobře organisovanou a zeměpisně položenou na významném místě, které je těžko ohrozit, ale jež představuje cenný přínos pro každého spo</w:t>
      </w:r>
      <w:r>
        <w:rPr>
          <w:b/>
          <w:bCs/>
          <w:sz w:val="19"/>
          <w:szCs w:val="19"/>
        </w:rPr>
        <w:softHyphen/>
        <w:t>jence, který má světově-mocenské cíle.</w:t>
      </w:r>
    </w:p>
    <w:p w:rsidR="00500724" w:rsidRDefault="00F30FB8">
      <w:pPr>
        <w:pStyle w:val="Zkladntext100"/>
        <w:shd w:val="clear" w:color="auto" w:fill="auto"/>
        <w:tabs>
          <w:tab w:val="left" w:pos="4291"/>
        </w:tabs>
        <w:spacing w:after="120" w:line="211" w:lineRule="auto"/>
        <w:ind w:firstLine="360"/>
        <w:rPr>
          <w:sz w:val="19"/>
          <w:szCs w:val="19"/>
        </w:rPr>
      </w:pPr>
      <w:r>
        <w:rPr>
          <w:b/>
          <w:bCs/>
          <w:sz w:val="19"/>
          <w:szCs w:val="19"/>
        </w:rPr>
        <w:t>Z</w:t>
      </w:r>
      <w:r>
        <w:rPr>
          <w:b/>
          <w:bCs/>
          <w:sz w:val="19"/>
          <w:szCs w:val="19"/>
        </w:rPr>
        <w:t>dá se tedy, že tato smlouva mezi Velkou Britanii a Tu</w:t>
      </w:r>
      <w:r>
        <w:rPr>
          <w:b/>
          <w:bCs/>
          <w:sz w:val="19"/>
          <w:szCs w:val="19"/>
        </w:rPr>
        <w:softHyphen/>
        <w:t xml:space="preserve">reckem, která má mimořádný význam sama o sobě, souvisí ^aké úzce s novou britskou politikou na Balkáně a může být současně považována za předehru k chystané smlouvě britsko-ruské. Rozumí se samo sebou, </w:t>
      </w:r>
      <w:r>
        <w:rPr>
          <w:b/>
          <w:bCs/>
          <w:sz w:val="19"/>
          <w:szCs w:val="19"/>
        </w:rPr>
        <w:t>že Francie bude dělat totéž, co dělá Anglie. Proto je právě vy</w:t>
      </w:r>
      <w:r>
        <w:rPr>
          <w:b/>
          <w:bCs/>
          <w:sz w:val="19"/>
          <w:szCs w:val="19"/>
        </w:rPr>
        <w:softHyphen/>
        <w:t>hlášená britsko-turecká smlouva akt, jehož politická důleži</w:t>
      </w:r>
      <w:r>
        <w:rPr>
          <w:b/>
          <w:bCs/>
          <w:sz w:val="19"/>
          <w:szCs w:val="19"/>
        </w:rPr>
        <w:softHyphen/>
        <w:t>tost se v dané chvíli jasně ukáže.</w:t>
      </w:r>
      <w:r>
        <w:rPr>
          <w:b/>
          <w:bCs/>
          <w:sz w:val="19"/>
          <w:szCs w:val="19"/>
        </w:rPr>
        <w:tab/>
      </w:r>
      <w:r>
        <w:rPr>
          <w:b/>
          <w:bCs/>
          <w:i/>
          <w:iCs/>
          <w:sz w:val="19"/>
          <w:szCs w:val="19"/>
        </w:rPr>
        <w:t>Dr. Moll</w:t>
      </w:r>
    </w:p>
    <w:p w:rsidR="00500724" w:rsidRDefault="00F30FB8">
      <w:pPr>
        <w:pStyle w:val="Zkladntext20"/>
        <w:shd w:val="clear" w:color="auto" w:fill="auto"/>
        <w:spacing w:after="80"/>
        <w:ind w:firstLine="0"/>
        <w:jc w:val="center"/>
        <w:rPr>
          <w:sz w:val="20"/>
          <w:szCs w:val="20"/>
        </w:rPr>
      </w:pPr>
      <w:r>
        <w:rPr>
          <w:b/>
          <w:bCs/>
          <w:sz w:val="20"/>
          <w:szCs w:val="20"/>
        </w:rPr>
        <w:t>Význam Cenového úřadu</w:t>
      </w:r>
    </w:p>
    <w:p w:rsidR="00500724" w:rsidRDefault="00F30FB8">
      <w:pPr>
        <w:pStyle w:val="Zkladntext100"/>
        <w:shd w:val="clear" w:color="auto" w:fill="auto"/>
        <w:spacing w:line="211" w:lineRule="auto"/>
        <w:ind w:firstLine="300"/>
        <w:rPr>
          <w:sz w:val="19"/>
          <w:szCs w:val="19"/>
        </w:rPr>
      </w:pPr>
      <w:r>
        <w:rPr>
          <w:b/>
          <w:bCs/>
          <w:sz w:val="19"/>
          <w:szCs w:val="19"/>
        </w:rPr>
        <w:t>Nejvyšší cenový úřad (»NUC«), který byl právě zřízen zvláštním záko</w:t>
      </w:r>
      <w:r>
        <w:rPr>
          <w:b/>
          <w:bCs/>
          <w:sz w:val="19"/>
          <w:szCs w:val="19"/>
        </w:rPr>
        <w:t xml:space="preserve">nem, má daleko větší význam, než se mu zatím ve veřejnosti přikládá. Obsah jeho pravomoci ovšem Je mimořádný, protože je nadán výsadou zasahovat všude </w:t>
      </w:r>
      <w:r>
        <w:rPr>
          <w:b/>
          <w:bCs/>
          <w:sz w:val="20"/>
          <w:szCs w:val="20"/>
        </w:rPr>
        <w:t xml:space="preserve">a </w:t>
      </w:r>
      <w:r>
        <w:rPr>
          <w:b/>
          <w:bCs/>
          <w:sz w:val="19"/>
          <w:szCs w:val="19"/>
        </w:rPr>
        <w:t xml:space="preserve">ve všem, </w:t>
      </w:r>
      <w:r>
        <w:rPr>
          <w:b/>
          <w:bCs/>
          <w:sz w:val="20"/>
          <w:szCs w:val="20"/>
        </w:rPr>
        <w:t xml:space="preserve">kde </w:t>
      </w:r>
      <w:r>
        <w:rPr>
          <w:b/>
          <w:bCs/>
          <w:sz w:val="19"/>
          <w:szCs w:val="19"/>
        </w:rPr>
        <w:t xml:space="preserve">jde o stanoveni cen, </w:t>
      </w:r>
      <w:r>
        <w:rPr>
          <w:b/>
          <w:bCs/>
          <w:sz w:val="20"/>
          <w:szCs w:val="20"/>
        </w:rPr>
        <w:t xml:space="preserve">s </w:t>
      </w:r>
      <w:r>
        <w:rPr>
          <w:b/>
          <w:bCs/>
          <w:sz w:val="19"/>
          <w:szCs w:val="19"/>
        </w:rPr>
        <w:t>jedinou výjimkou, týkající se mezd a platů. Do této pravomoci patří</w:t>
      </w:r>
      <w:r>
        <w:rPr>
          <w:b/>
          <w:bCs/>
          <w:sz w:val="19"/>
          <w:szCs w:val="19"/>
        </w:rPr>
        <w:t xml:space="preserve"> také zjišťování zásob všeho druhu a kdekoliv. Myšlenka insti</w:t>
      </w:r>
      <w:r>
        <w:rPr>
          <w:b/>
          <w:bCs/>
          <w:sz w:val="19"/>
          <w:szCs w:val="19"/>
        </w:rPr>
        <w:softHyphen/>
        <w:t>tuce tohoto druhu neni sice u nás nová a do jisté míry se vládní nařízení, které má ovšem povahu zákona, skládá z četných dosud již platných anebo do nedávná ještě plat</w:t>
      </w:r>
      <w:r>
        <w:rPr>
          <w:b/>
          <w:bCs/>
          <w:sz w:val="19"/>
          <w:szCs w:val="19"/>
        </w:rPr>
        <w:softHyphen/>
        <w:t xml:space="preserve">ných zákonných předpisů, </w:t>
      </w:r>
      <w:r>
        <w:rPr>
          <w:b/>
          <w:bCs/>
          <w:sz w:val="19"/>
          <w:szCs w:val="19"/>
        </w:rPr>
        <w:t>kde byla řeč o stanovení cen. Představuje tedy po této stránce zákon o NUC souhrn dosavadních předpisů a jejich sjednoceni. Ale tyto před</w:t>
      </w:r>
      <w:r>
        <w:rPr>
          <w:b/>
          <w:bCs/>
          <w:sz w:val="19"/>
          <w:szCs w:val="19"/>
        </w:rPr>
        <w:softHyphen/>
        <w:t>pisy jdou leckde již o hodně dále, než dosavadní, a nadto zde vzniká zvláštní aparát s velmi silnou výkonnou mocí.</w:t>
      </w:r>
    </w:p>
    <w:p w:rsidR="00500724" w:rsidRDefault="00F30FB8">
      <w:pPr>
        <w:pStyle w:val="Zkladntext100"/>
        <w:shd w:val="clear" w:color="auto" w:fill="auto"/>
        <w:spacing w:after="60" w:line="209" w:lineRule="auto"/>
        <w:ind w:firstLine="240"/>
        <w:rPr>
          <w:sz w:val="19"/>
          <w:szCs w:val="19"/>
        </w:rPr>
      </w:pPr>
      <w:r>
        <w:rPr>
          <w:b/>
          <w:bCs/>
          <w:sz w:val="19"/>
          <w:szCs w:val="19"/>
        </w:rPr>
        <w:t>Ačk</w:t>
      </w:r>
      <w:r>
        <w:rPr>
          <w:b/>
          <w:bCs/>
          <w:sz w:val="19"/>
          <w:szCs w:val="19"/>
        </w:rPr>
        <w:t>oliv NUC není zřizován jako ministerstvo, byl přece jen označen jako instituce postavená při nejmenší na roveň ostatním ministerstvům. Za vzor má obdobnou instituci říšskoněmeckou a také předpisy, které jsou nové, jsou převzaty z tohoto vzoru. Kompetence j</w:t>
      </w:r>
      <w:r>
        <w:rPr>
          <w:b/>
          <w:bCs/>
          <w:sz w:val="19"/>
          <w:szCs w:val="19"/>
        </w:rPr>
        <w:t>e tedy obrovská. Ve skutečnosti jde tu teprve o prvni krok a o první zákon toho druhu. Budou vydány ještě dva podobné zákony, z nichž jeden upraví personální stránku NUC a dru</w:t>
      </w:r>
      <w:r>
        <w:rPr>
          <w:b/>
          <w:bCs/>
          <w:sz w:val="19"/>
          <w:szCs w:val="19"/>
        </w:rPr>
        <w:softHyphen/>
        <w:t>hý kompetenci ministerstva vnitra, pokud jde o zásobování obyvatelstva. Bude asi</w:t>
      </w:r>
      <w:r>
        <w:rPr>
          <w:b/>
          <w:bCs/>
          <w:sz w:val="19"/>
          <w:szCs w:val="19"/>
        </w:rPr>
        <w:t xml:space="preserve"> též zří</w:t>
      </w:r>
      <w:r>
        <w:rPr>
          <w:b/>
          <w:bCs/>
          <w:sz w:val="19"/>
          <w:szCs w:val="19"/>
        </w:rPr>
        <w:softHyphen/>
        <w:t>zena zvláštní nová kategorie úředníků s ná</w:t>
      </w:r>
      <w:r>
        <w:rPr>
          <w:b/>
          <w:bCs/>
          <w:sz w:val="19"/>
          <w:szCs w:val="19"/>
        </w:rPr>
        <w:softHyphen/>
        <w:t>rodohospodářským a komerčním vzdělá</w:t>
      </w:r>
      <w:r>
        <w:rPr>
          <w:b/>
          <w:bCs/>
          <w:sz w:val="19"/>
          <w:szCs w:val="19"/>
        </w:rPr>
        <w:softHyphen/>
        <w:t>ním, do níž budou zařáděni jednak převzatí vzdělaní dů</w:t>
      </w:r>
      <w:r>
        <w:rPr>
          <w:b/>
          <w:bCs/>
          <w:sz w:val="19"/>
          <w:szCs w:val="19"/>
        </w:rPr>
        <w:softHyphen/>
        <w:t>stojníci, jednak úředníci z jiných oborů státní služby, kteří se zabývali cenovými věcmi. Předsedou úřadu byl jme</w:t>
      </w:r>
      <w:r>
        <w:rPr>
          <w:b/>
          <w:bCs/>
          <w:sz w:val="19"/>
          <w:szCs w:val="19"/>
        </w:rPr>
        <w:t>no</w:t>
      </w:r>
      <w:r>
        <w:rPr>
          <w:b/>
          <w:bCs/>
          <w:sz w:val="19"/>
          <w:szCs w:val="19"/>
        </w:rPr>
        <w:softHyphen/>
        <w:t>ván sekční šéf ministerstva financí Tománek a dá se před</w:t>
      </w:r>
      <w:r>
        <w:rPr>
          <w:b/>
          <w:bCs/>
          <w:sz w:val="19"/>
          <w:szCs w:val="19"/>
        </w:rPr>
        <w:softHyphen/>
        <w:t>pokládat, že nová instituce začne fungovat velmi brzy, tím spíše, že říšskoněmecké úřady mají zájem na tom, aby i u nás byly v tomto směru věci upraveny jednotícím způ</w:t>
      </w:r>
      <w:r>
        <w:rPr>
          <w:b/>
          <w:bCs/>
          <w:sz w:val="19"/>
          <w:szCs w:val="19"/>
        </w:rPr>
        <w:softHyphen/>
        <w:t>sobem podle německého vzoru.</w:t>
      </w:r>
    </w:p>
    <w:p w:rsidR="00500724" w:rsidRDefault="00F30FB8">
      <w:pPr>
        <w:pStyle w:val="Zkladntext100"/>
        <w:shd w:val="clear" w:color="auto" w:fill="auto"/>
        <w:tabs>
          <w:tab w:val="left" w:pos="4171"/>
        </w:tabs>
        <w:spacing w:after="160" w:line="209" w:lineRule="auto"/>
        <w:ind w:firstLine="240"/>
        <w:rPr>
          <w:sz w:val="20"/>
          <w:szCs w:val="20"/>
        </w:rPr>
      </w:pPr>
      <w:r>
        <w:rPr>
          <w:b/>
          <w:bCs/>
          <w:sz w:val="19"/>
          <w:szCs w:val="19"/>
        </w:rPr>
        <w:t>Již proto lze soudit, že NUC bude se vyznačovat rychlou akcí a užíváním velkého vlivu, který mu byl dán do vínku. Je ovšem nutné, aby se tak dělo se zvláštním ohledem na poněkud odlišné sociálně-hospodářské poměry na česko</w:t>
      </w:r>
      <w:r>
        <w:rPr>
          <w:b/>
          <w:bCs/>
          <w:sz w:val="19"/>
          <w:szCs w:val="19"/>
        </w:rPr>
        <w:softHyphen/>
        <w:t>moravském území a se zvláštním z</w:t>
      </w:r>
      <w:r>
        <w:rPr>
          <w:b/>
          <w:bCs/>
          <w:sz w:val="19"/>
          <w:szCs w:val="19"/>
        </w:rPr>
        <w:t>řetelem k obecným zájmům jeho občanů.</w:t>
      </w:r>
      <w:r>
        <w:rPr>
          <w:b/>
          <w:bCs/>
          <w:sz w:val="19"/>
          <w:szCs w:val="19"/>
        </w:rPr>
        <w:tab/>
      </w:r>
      <w:r>
        <w:rPr>
          <w:i/>
          <w:iCs/>
          <w:sz w:val="20"/>
          <w:szCs w:val="20"/>
        </w:rPr>
        <w:t>Dr. Skála</w:t>
      </w:r>
    </w:p>
    <w:p w:rsidR="00500724" w:rsidRDefault="00F30FB8">
      <w:pPr>
        <w:pStyle w:val="Zkladntext20"/>
        <w:shd w:val="clear" w:color="auto" w:fill="auto"/>
        <w:spacing w:after="80"/>
        <w:ind w:firstLine="0"/>
        <w:jc w:val="center"/>
        <w:rPr>
          <w:sz w:val="20"/>
          <w:szCs w:val="20"/>
        </w:rPr>
      </w:pPr>
      <w:r>
        <w:rPr>
          <w:b/>
          <w:bCs/>
          <w:sz w:val="20"/>
          <w:szCs w:val="20"/>
        </w:rPr>
        <w:t>Nesnáze v Palestině</w:t>
      </w:r>
    </w:p>
    <w:p w:rsidR="00500724" w:rsidRDefault="00F30FB8">
      <w:pPr>
        <w:pStyle w:val="Zkladntext100"/>
        <w:shd w:val="clear" w:color="auto" w:fill="auto"/>
        <w:spacing w:line="190" w:lineRule="auto"/>
        <w:ind w:firstLine="240"/>
        <w:rPr>
          <w:sz w:val="19"/>
          <w:szCs w:val="19"/>
        </w:rPr>
      </w:pPr>
      <w:r>
        <w:rPr>
          <w:b/>
          <w:bCs/>
          <w:sz w:val="19"/>
          <w:szCs w:val="19"/>
        </w:rPr>
        <w:t>Britská vláda se rozhodla rozřešit vleklý spor mezi arab</w:t>
      </w:r>
      <w:r>
        <w:rPr>
          <w:b/>
          <w:bCs/>
          <w:sz w:val="19"/>
          <w:szCs w:val="19"/>
        </w:rPr>
        <w:softHyphen/>
        <w:t>ským a židovským obyvatelstvem Palestiny tím způsobem, že připustí napříště jen omezené přistěhovalectví nepales- tinských občanů ž</w:t>
      </w:r>
      <w:r>
        <w:rPr>
          <w:b/>
          <w:bCs/>
          <w:sz w:val="19"/>
          <w:szCs w:val="19"/>
        </w:rPr>
        <w:t>idovského vyznání, případně židovské ná</w:t>
      </w:r>
      <w:r>
        <w:rPr>
          <w:b/>
          <w:bCs/>
          <w:sz w:val="19"/>
          <w:szCs w:val="19"/>
        </w:rPr>
        <w:softHyphen/>
        <w:t>rodnosti tak, aby židé tvořili nejvýše třetinu palestinského obyvatelstva a byli také v tomto poměru účastni v palestin</w:t>
      </w:r>
      <w:r>
        <w:rPr>
          <w:b/>
          <w:bCs/>
          <w:sz w:val="19"/>
          <w:szCs w:val="19"/>
        </w:rPr>
        <w:softHyphen/>
        <w:t>ské vládě, která se má ustavit do deseti let jako hlava pak již suverénního státu Palestiny, váz</w:t>
      </w:r>
      <w:r>
        <w:rPr>
          <w:b/>
          <w:bCs/>
          <w:sz w:val="19"/>
          <w:szCs w:val="19"/>
        </w:rPr>
        <w:t>ané ovšem zvláštní smlouvou k Anglii. Proto do nejbližších pěti let se povoluje ročně přistěhování jen deseti tisíc židů a k tomu navíc pro persekvované židy další kvóta ve výši 25 tisíc osob, celkem tedy 75 tisíc židů. Jenom tomuto počtu se povolí legální</w:t>
      </w:r>
      <w:r>
        <w:rPr>
          <w:b/>
          <w:bCs/>
          <w:sz w:val="19"/>
          <w:szCs w:val="19"/>
        </w:rPr>
        <w:t xml:space="preserve"> přistup a usazení v Palestině. Po této době by se směli židé do Palestiny přistěhovávat jen se svolením arabského oby</w:t>
      </w:r>
      <w:r>
        <w:rPr>
          <w:b/>
          <w:bCs/>
          <w:sz w:val="19"/>
          <w:szCs w:val="19"/>
        </w:rPr>
        <w:softHyphen/>
        <w:t>vatelstva.</w:t>
      </w:r>
    </w:p>
    <w:p w:rsidR="00500724" w:rsidRDefault="00F30FB8">
      <w:pPr>
        <w:pStyle w:val="Zkladntext100"/>
        <w:shd w:val="clear" w:color="auto" w:fill="auto"/>
        <w:spacing w:line="211" w:lineRule="auto"/>
        <w:ind w:firstLine="300"/>
        <w:rPr>
          <w:sz w:val="19"/>
          <w:szCs w:val="19"/>
        </w:rPr>
      </w:pPr>
      <w:r>
        <w:rPr>
          <w:b/>
          <w:bCs/>
          <w:sz w:val="19"/>
          <w:szCs w:val="19"/>
        </w:rPr>
        <w:t>Dalo se očekávat, že židovstvo celého světa, zatím ohro</w:t>
      </w:r>
      <w:r>
        <w:rPr>
          <w:b/>
          <w:bCs/>
          <w:sz w:val="19"/>
          <w:szCs w:val="19"/>
        </w:rPr>
        <w:softHyphen/>
        <w:t xml:space="preserve">žené jen v Evropě, ale cítící již nad sebou hrozbu po celém světě, se </w:t>
      </w:r>
      <w:r>
        <w:rPr>
          <w:b/>
          <w:bCs/>
          <w:sz w:val="19"/>
          <w:szCs w:val="19"/>
        </w:rPr>
        <w:t>bouří proti tomuto rozhodnutí, které je právě publikováno v úřední anglické »Bilé knize «. Ve Spojených Státech nařídily židovské organisace jakousi »mobiiisaci« za tím účelem, aby byl vykonán tlak na americkou vládu, aby zakročila u britské vlády. V Pales</w:t>
      </w:r>
      <w:r>
        <w:rPr>
          <w:b/>
          <w:bCs/>
          <w:sz w:val="19"/>
          <w:szCs w:val="19"/>
        </w:rPr>
        <w:t xml:space="preserve">tině vypukly dosti vážné nepokoje a vrchní rabín </w:t>
      </w:r>
      <w:r>
        <w:rPr>
          <w:b/>
          <w:bCs/>
          <w:sz w:val="19"/>
          <w:szCs w:val="19"/>
          <w:lang w:val="en-US" w:eastAsia="en-US" w:bidi="en-US"/>
        </w:rPr>
        <w:t xml:space="preserve">Isaac Herzog, </w:t>
      </w:r>
      <w:r>
        <w:rPr>
          <w:b/>
          <w:bCs/>
          <w:sz w:val="19"/>
          <w:szCs w:val="19"/>
        </w:rPr>
        <w:t>duchovní hla</w:t>
      </w:r>
      <w:r>
        <w:rPr>
          <w:b/>
          <w:bCs/>
          <w:sz w:val="19"/>
          <w:szCs w:val="19"/>
        </w:rPr>
        <w:softHyphen/>
        <w:t>va sionistických židů v Palestině, prohlásil zpravodaji »Times«, že se židé nepodrobi, že toto jednání anglické vlá</w:t>
      </w:r>
      <w:r>
        <w:rPr>
          <w:b/>
          <w:bCs/>
          <w:sz w:val="19"/>
          <w:szCs w:val="19"/>
        </w:rPr>
        <w:softHyphen/>
        <w:t>dy považují za věrolomnost a za porušení Balfourovy de</w:t>
      </w:r>
      <w:r>
        <w:rPr>
          <w:b/>
          <w:bCs/>
          <w:sz w:val="19"/>
          <w:szCs w:val="19"/>
        </w:rPr>
        <w:softHyphen/>
        <w:t>klarace z</w:t>
      </w:r>
      <w:r>
        <w:rPr>
          <w:b/>
          <w:bCs/>
          <w:sz w:val="19"/>
          <w:szCs w:val="19"/>
        </w:rPr>
        <w:t xml:space="preserve"> r. 1916 o svobodném židovském domově v Palesti</w:t>
      </w:r>
      <w:r>
        <w:rPr>
          <w:b/>
          <w:bCs/>
          <w:sz w:val="19"/>
          <w:szCs w:val="19"/>
        </w:rPr>
        <w:softHyphen/>
        <w:t>ně. Není pochyby, že tento odpor židů po celém světě bude míti následky, ale sotva asi již podstatně změní rozhodnutí britské vlády, zdá se totiž, že anglické vládě jde nyní velmi mnoho o to, aby si spolehliv</w:t>
      </w:r>
      <w:r>
        <w:rPr>
          <w:b/>
          <w:bCs/>
          <w:sz w:val="19"/>
          <w:szCs w:val="19"/>
        </w:rPr>
        <w:t>ěji nějakým činem získala Araby a vůbec mohamedánský svět.</w:t>
      </w:r>
    </w:p>
    <w:p w:rsidR="00500724" w:rsidRDefault="00F30FB8">
      <w:pPr>
        <w:pStyle w:val="Zkladntext100"/>
        <w:shd w:val="clear" w:color="auto" w:fill="auto"/>
        <w:spacing w:after="40" w:line="214" w:lineRule="auto"/>
        <w:ind w:firstLine="300"/>
        <w:rPr>
          <w:sz w:val="19"/>
          <w:szCs w:val="19"/>
        </w:rPr>
      </w:pPr>
      <w:r>
        <w:rPr>
          <w:b/>
          <w:bCs/>
          <w:sz w:val="19"/>
          <w:szCs w:val="19"/>
        </w:rPr>
        <w:t>Pro osvětlení naléhavosti, kterou má pro židy palestin</w:t>
      </w:r>
      <w:r>
        <w:rPr>
          <w:b/>
          <w:bCs/>
          <w:sz w:val="19"/>
          <w:szCs w:val="19"/>
        </w:rPr>
        <w:softHyphen/>
        <w:t>ský problém, jo možno uvésti podle vídeňského vydání sVóIkischer Beobachteru«, že ze 180.000 židů v bývalém Rakousku emigrovalo až dosud od an</w:t>
      </w:r>
      <w:r>
        <w:rPr>
          <w:b/>
          <w:bCs/>
          <w:sz w:val="19"/>
          <w:szCs w:val="19"/>
        </w:rPr>
        <w:t>šlusu 100.000 židů.</w:t>
      </w:r>
    </w:p>
    <w:p w:rsidR="00500724" w:rsidRDefault="00F30FB8">
      <w:pPr>
        <w:pStyle w:val="Zkladntext100"/>
        <w:shd w:val="clear" w:color="auto" w:fill="auto"/>
        <w:spacing w:after="60" w:line="187" w:lineRule="auto"/>
        <w:ind w:firstLine="0"/>
        <w:rPr>
          <w:sz w:val="19"/>
          <w:szCs w:val="19"/>
        </w:rPr>
      </w:pPr>
      <w:r>
        <w:rPr>
          <w:b/>
          <w:bCs/>
          <w:sz w:val="19"/>
          <w:szCs w:val="19"/>
        </w:rPr>
        <w:t>Kromě těchto židů, kteří byli ěleny náboženských obci, je v Kakousku ještě asi 120.000 židů, kteří nebyli v žádné ná</w:t>
      </w:r>
      <w:r>
        <w:rPr>
          <w:b/>
          <w:bCs/>
          <w:sz w:val="19"/>
          <w:szCs w:val="19"/>
        </w:rPr>
        <w:softHyphen/>
        <w:t>boženské obci. O'těch není dat. Nyní nastalo též vystěho</w:t>
      </w:r>
      <w:r>
        <w:rPr>
          <w:b/>
          <w:bCs/>
          <w:sz w:val="19"/>
          <w:szCs w:val="19"/>
        </w:rPr>
        <w:softHyphen/>
        <w:t xml:space="preserve">vání židů z Memelu, kde na příklad bylo právě židům na- </w:t>
      </w:r>
      <w:r>
        <w:rPr>
          <w:b/>
          <w:bCs/>
          <w:sz w:val="19"/>
          <w:szCs w:val="19"/>
        </w:rPr>
        <w:t>řízeno, že na jednu židovskou osobu nesmí připadnout více než jedny stříbrné hodinky, jedna lžíce, jedna vidlička, jeden nůž a určitá menší částka peněz. Při vystěhovávání židů z bývalého československého území, kde žilo asi 150.000 židů, hlásících se k si</w:t>
      </w:r>
      <w:r>
        <w:rPr>
          <w:b/>
          <w:bCs/>
          <w:sz w:val="19"/>
          <w:szCs w:val="19"/>
        </w:rPr>
        <w:t>onismu (dohromady asi 350.000 židů) a při počínajícím útěku židů z Jugoslávie, odkud se prý již vystěhovalo od března na padesát tisíc zámožných židů, představuje ovšem rozhodnutí britské vlády novou nesnáz. K tomu nutno připočíst, že anglická veřejnost po</w:t>
      </w:r>
      <w:r>
        <w:rPr>
          <w:b/>
          <w:bCs/>
          <w:sz w:val="19"/>
          <w:szCs w:val="19"/>
        </w:rPr>
        <w:t>číná sle</w:t>
      </w:r>
      <w:r>
        <w:rPr>
          <w:b/>
          <w:bCs/>
          <w:sz w:val="19"/>
          <w:szCs w:val="19"/>
        </w:rPr>
        <w:softHyphen/>
        <w:t xml:space="preserve">dovat příliv židů s jistou netrpělivostí a že ve Spojených Státech amerických, kam většina židů se snaží dostat ať na emigrantské, či na turistické visum, hrozí nebezpečí, že antisemitismu bude využito jako hesla při nejbližší </w:t>
      </w:r>
      <w:r>
        <w:rPr>
          <w:b/>
          <w:bCs/>
          <w:sz w:val="19"/>
          <w:szCs w:val="19"/>
          <w:lang w:val="en-US" w:eastAsia="en-US" w:bidi="en-US"/>
        </w:rPr>
        <w:t xml:space="preserve">pre- </w:t>
      </w:r>
      <w:r>
        <w:rPr>
          <w:b/>
          <w:bCs/>
          <w:sz w:val="19"/>
          <w:szCs w:val="19"/>
        </w:rPr>
        <w:t>sidentské kampa</w:t>
      </w:r>
      <w:r>
        <w:rPr>
          <w:b/>
          <w:bCs/>
          <w:sz w:val="19"/>
          <w:szCs w:val="19"/>
        </w:rPr>
        <w:t>ni proti presidentu Rooseveltovi, jehož presidentské údobí se skončí v příštím roce na jaře.</w:t>
      </w:r>
    </w:p>
    <w:p w:rsidR="00500724" w:rsidRDefault="00F30FB8">
      <w:pPr>
        <w:pStyle w:val="Zkladntext100"/>
        <w:shd w:val="clear" w:color="auto" w:fill="auto"/>
        <w:spacing w:after="60" w:line="187" w:lineRule="auto"/>
        <w:rPr>
          <w:sz w:val="19"/>
          <w:szCs w:val="19"/>
        </w:rPr>
      </w:pPr>
      <w:r>
        <w:rPr>
          <w:b/>
          <w:bCs/>
          <w:sz w:val="19"/>
          <w:szCs w:val="19"/>
        </w:rPr>
        <w:t>Židé svolávají proto do Ženevy na srpen světovou kon</w:t>
      </w:r>
      <w:r>
        <w:rPr>
          <w:b/>
          <w:bCs/>
          <w:sz w:val="19"/>
          <w:szCs w:val="19"/>
        </w:rPr>
        <w:softHyphen/>
        <w:t>ferenci, které se mají účastnit sionisté z celého světa. Ačkoliv jde o sionistický kongres — má být zahájen 16</w:t>
      </w:r>
      <w:r>
        <w:rPr>
          <w:b/>
          <w:bCs/>
          <w:sz w:val="19"/>
          <w:szCs w:val="19"/>
        </w:rPr>
        <w:t>. srpna — hodlají se ho účastnit i některé židovské organi</w:t>
      </w:r>
      <w:r>
        <w:rPr>
          <w:b/>
          <w:bCs/>
          <w:sz w:val="19"/>
          <w:szCs w:val="19"/>
        </w:rPr>
        <w:softHyphen/>
        <w:t xml:space="preserve">sace těch židů, kteří až dosud byli stoupenci myšlenky assimilace, totiž splynutí s národem, ve kterém žili či ještě žijí. Na celém světě je dnes asi patnáct milionů židů, z nichž tři miliony žijí </w:t>
      </w:r>
      <w:r>
        <w:rPr>
          <w:b/>
          <w:bCs/>
          <w:sz w:val="19"/>
          <w:szCs w:val="19"/>
        </w:rPr>
        <w:t>v Polsku, asi půl milionu v Palestině » přes pět milionů ve Spojených Státech. Při židovském problému ovšem jde také o velké majetkové přesuny, jež jsou nesnadné hlavně proto, že židé nedovedli včas uvěřit nebezpečí, které jim hrozí a obyčejně se nedovedli</w:t>
      </w:r>
      <w:r>
        <w:rPr>
          <w:b/>
          <w:bCs/>
          <w:sz w:val="19"/>
          <w:szCs w:val="19"/>
        </w:rPr>
        <w:t xml:space="preserve"> odhodlat převésti své vlivy a majetky alespoň z větší části do rukou národa, v němž žili. Nyní ovšem budou věci tím složitější a jejich oběti tim větši, jali je patrno z nového židovského Zákona, který byl již českou vládou přijat a předložen říšskoněmeck</w:t>
      </w:r>
      <w:r>
        <w:rPr>
          <w:b/>
          <w:bCs/>
          <w:sz w:val="19"/>
          <w:szCs w:val="19"/>
        </w:rPr>
        <w:t>ým místům ke schválení. Jde nyní o to, aby majetky českých židů byly alespoň nyní převedeny do českých rukou s pokud možná nejmenšimi národními ztrá</w:t>
      </w:r>
      <w:r>
        <w:rPr>
          <w:b/>
          <w:bCs/>
          <w:sz w:val="19"/>
          <w:szCs w:val="19"/>
        </w:rPr>
        <w:softHyphen/>
        <w:t xml:space="preserve">tami. Toť se rozumí, že při tom jde o mnoho bolestných věcí, ale situace se vytvořila tak, že nezbývá, než </w:t>
      </w:r>
      <w:r>
        <w:rPr>
          <w:b/>
          <w:bCs/>
          <w:sz w:val="19"/>
          <w:szCs w:val="19"/>
        </w:rPr>
        <w:t>ji reálně a střízlivě přijmout.</w:t>
      </w:r>
    </w:p>
    <w:p w:rsidR="00500724" w:rsidRDefault="00F30FB8">
      <w:pPr>
        <w:pStyle w:val="Zkladntext100"/>
        <w:shd w:val="clear" w:color="auto" w:fill="auto"/>
        <w:tabs>
          <w:tab w:val="left" w:pos="4550"/>
        </w:tabs>
        <w:spacing w:after="200" w:line="187" w:lineRule="auto"/>
        <w:rPr>
          <w:sz w:val="19"/>
          <w:szCs w:val="19"/>
        </w:rPr>
      </w:pPr>
      <w:r>
        <w:rPr>
          <w:b/>
          <w:bCs/>
          <w:sz w:val="19"/>
          <w:szCs w:val="19"/>
        </w:rPr>
        <w:t>Akce britské vlády ji s obecného hlediska ovšem ještě podstatně zhoršuje, což je tím pozoruhodnější, že Anglie se až dosud vždy chovala k židům velmi blahovolně. Mění-li nyní konservativní strana svou politiku v tomto směru,</w:t>
      </w:r>
      <w:r>
        <w:rPr>
          <w:b/>
          <w:bCs/>
          <w:sz w:val="19"/>
          <w:szCs w:val="19"/>
        </w:rPr>
        <w:t xml:space="preserve"> je to pod tlakem evropských poměrů a zejména pro britské zájmy v mohamedánském světě.</w:t>
      </w:r>
      <w:r>
        <w:rPr>
          <w:b/>
          <w:bCs/>
          <w:sz w:val="19"/>
          <w:szCs w:val="19"/>
        </w:rPr>
        <w:tab/>
      </w:r>
      <w:r>
        <w:rPr>
          <w:b/>
          <w:bCs/>
          <w:i/>
          <w:iCs/>
          <w:sz w:val="19"/>
          <w:szCs w:val="19"/>
        </w:rPr>
        <w:t>Moll</w:t>
      </w:r>
    </w:p>
    <w:p w:rsidR="00500724" w:rsidRDefault="00F30FB8">
      <w:pPr>
        <w:pStyle w:val="Zkladntext20"/>
        <w:shd w:val="clear" w:color="auto" w:fill="auto"/>
        <w:spacing w:after="60" w:line="178" w:lineRule="auto"/>
        <w:ind w:firstLine="0"/>
        <w:jc w:val="center"/>
        <w:rPr>
          <w:sz w:val="20"/>
          <w:szCs w:val="20"/>
        </w:rPr>
      </w:pPr>
      <w:r>
        <w:rPr>
          <w:b/>
          <w:bCs/>
          <w:sz w:val="20"/>
          <w:szCs w:val="20"/>
        </w:rPr>
        <w:t>Zemřel vzorný starosta</w:t>
      </w:r>
    </w:p>
    <w:p w:rsidR="00500724" w:rsidRDefault="00F30FB8">
      <w:pPr>
        <w:pStyle w:val="Zkladntext100"/>
        <w:shd w:val="clear" w:color="auto" w:fill="auto"/>
        <w:spacing w:after="60" w:line="202" w:lineRule="auto"/>
        <w:rPr>
          <w:sz w:val="19"/>
          <w:szCs w:val="19"/>
        </w:rPr>
      </w:pPr>
      <w:r>
        <w:rPr>
          <w:b/>
          <w:bCs/>
          <w:sz w:val="19"/>
          <w:szCs w:val="19"/>
        </w:rPr>
        <w:t xml:space="preserve">Dr. František </w:t>
      </w:r>
      <w:r>
        <w:rPr>
          <w:b/>
          <w:bCs/>
          <w:sz w:val="19"/>
          <w:szCs w:val="19"/>
          <w:lang w:val="en-US" w:eastAsia="en-US" w:bidi="en-US"/>
        </w:rPr>
        <w:t xml:space="preserve">Ulrich, </w:t>
      </w:r>
      <w:r>
        <w:rPr>
          <w:b/>
          <w:bCs/>
          <w:sz w:val="19"/>
          <w:szCs w:val="19"/>
        </w:rPr>
        <w:t>který právě zemřel v osmdesátém roce svého věku, zůstane asi nadlouho zářícím příkladem pro všechny české starosty. Byl</w:t>
      </w:r>
      <w:r>
        <w:rPr>
          <w:b/>
          <w:bCs/>
          <w:sz w:val="19"/>
          <w:szCs w:val="19"/>
        </w:rPr>
        <w:t xml:space="preserve"> to muž, který obětoval lásce k rodnému městu své vynikající schopnosti, které by mu byly jako advokátu zajistily milionové příjmy a skvě- dou kariéru v kterémkoliv oboru. Je karakteristické, že se stal starostou svého rodného města, Hradce Králové, když m</w:t>
      </w:r>
      <w:r>
        <w:rPr>
          <w:b/>
          <w:bCs/>
          <w:sz w:val="19"/>
          <w:szCs w:val="19"/>
        </w:rPr>
        <w:t>u bylo teprve 86 let. Jakým zázrakem se přihodilo, že tehdy, před celou generací, bylo možné, aby tak mladý člověk dostal do rukou město, Jehož význam již tehdy byl značný?</w:t>
      </w:r>
    </w:p>
    <w:p w:rsidR="00500724" w:rsidRDefault="00F30FB8">
      <w:pPr>
        <w:pStyle w:val="Zkladntext100"/>
        <w:shd w:val="clear" w:color="auto" w:fill="auto"/>
        <w:spacing w:after="60" w:line="187" w:lineRule="auto"/>
        <w:rPr>
          <w:sz w:val="19"/>
          <w:szCs w:val="19"/>
        </w:rPr>
      </w:pPr>
      <w:r>
        <w:rPr>
          <w:b/>
          <w:bCs/>
          <w:sz w:val="19"/>
          <w:szCs w:val="19"/>
        </w:rPr>
        <w:t xml:space="preserve">Dr. </w:t>
      </w:r>
      <w:r>
        <w:rPr>
          <w:b/>
          <w:bCs/>
          <w:sz w:val="19"/>
          <w:szCs w:val="19"/>
          <w:lang w:val="en-US" w:eastAsia="en-US" w:bidi="en-US"/>
        </w:rPr>
        <w:t xml:space="preserve">Ulrich, </w:t>
      </w:r>
      <w:r>
        <w:rPr>
          <w:b/>
          <w:bCs/>
          <w:sz w:val="19"/>
          <w:szCs w:val="19"/>
        </w:rPr>
        <w:t>tenkrát ještě mladý právník, který měl za sebou pěknou knížku básní, je</w:t>
      </w:r>
      <w:r>
        <w:rPr>
          <w:b/>
          <w:bCs/>
          <w:sz w:val="19"/>
          <w:szCs w:val="19"/>
        </w:rPr>
        <w:t>ž dokonce stržila i pochvala Vrchlického, byl člověk příjemný, bystrý a při tom ener</w:t>
      </w:r>
      <w:r>
        <w:rPr>
          <w:b/>
          <w:bCs/>
          <w:sz w:val="19"/>
          <w:szCs w:val="19"/>
        </w:rPr>
        <w:softHyphen/>
        <w:t>gický a neústupný. První začal provádět praktický regio</w:t>
      </w:r>
      <w:r>
        <w:rPr>
          <w:b/>
          <w:bCs/>
          <w:sz w:val="19"/>
          <w:szCs w:val="19"/>
        </w:rPr>
        <w:softHyphen/>
        <w:t>nalismus, první ocenil, co znamená moderní výstavba měs</w:t>
      </w:r>
      <w:r>
        <w:rPr>
          <w:b/>
          <w:bCs/>
          <w:sz w:val="19"/>
          <w:szCs w:val="19"/>
        </w:rPr>
        <w:softHyphen/>
        <w:t xml:space="preserve">ta. Jakmile byly stiženy pevnostní zdi, jež škrtily Hradec </w:t>
      </w:r>
      <w:r>
        <w:rPr>
          <w:b/>
          <w:bCs/>
          <w:sz w:val="19"/>
          <w:szCs w:val="19"/>
        </w:rPr>
        <w:t>Králové, zahájil stavbu školních budov, jež dodnes jsou pomníkem jeho činnosti, která trvala po celou generaci, celých 34 let. Výsledek této práce není třeba popisovat, nej</w:t>
      </w:r>
      <w:r>
        <w:rPr>
          <w:b/>
          <w:bCs/>
          <w:sz w:val="19"/>
          <w:szCs w:val="19"/>
        </w:rPr>
        <w:softHyphen/>
        <w:t>lépe ho ocení každý, kdo se jede do Ulrichova města po</w:t>
      </w:r>
      <w:r>
        <w:rPr>
          <w:b/>
          <w:bCs/>
          <w:sz w:val="19"/>
          <w:szCs w:val="19"/>
        </w:rPr>
        <w:softHyphen/>
        <w:t>dívat. Tento muž dovedl pros</w:t>
      </w:r>
      <w:r>
        <w:rPr>
          <w:b/>
          <w:bCs/>
          <w:sz w:val="19"/>
          <w:szCs w:val="19"/>
        </w:rPr>
        <w:t>adit, že stavby veřejných bu</w:t>
      </w:r>
      <w:r>
        <w:rPr>
          <w:b/>
          <w:bCs/>
          <w:sz w:val="19"/>
          <w:szCs w:val="19"/>
        </w:rPr>
        <w:softHyphen/>
        <w:t>dov byly zadávány</w:t>
      </w:r>
      <w:r>
        <w:rPr>
          <w:b/>
          <w:bCs/>
          <w:sz w:val="19"/>
          <w:szCs w:val="19"/>
          <w:vertAlign w:val="subscript"/>
        </w:rPr>
        <w:t>z</w:t>
      </w:r>
      <w:r>
        <w:rPr>
          <w:b/>
          <w:bCs/>
          <w:sz w:val="19"/>
          <w:szCs w:val="19"/>
        </w:rPr>
        <w:t xml:space="preserve"> mladým architektům, jejichž vkus a schopnosti ihned pochopil.</w:t>
      </w:r>
    </w:p>
    <w:p w:rsidR="00500724" w:rsidRDefault="00F30FB8">
      <w:pPr>
        <w:pStyle w:val="Zkladntext100"/>
        <w:shd w:val="clear" w:color="auto" w:fill="auto"/>
        <w:spacing w:after="220" w:line="187" w:lineRule="auto"/>
        <w:ind w:firstLine="220"/>
        <w:rPr>
          <w:sz w:val="19"/>
          <w:szCs w:val="19"/>
        </w:rPr>
      </w:pPr>
      <w:r>
        <w:rPr>
          <w:b/>
          <w:bCs/>
          <w:sz w:val="19"/>
          <w:szCs w:val="19"/>
        </w:rPr>
        <w:t xml:space="preserve">A tak toto město, na rozdíl od přečetných jiných českých měst, kde se také za miliony stavělo, ale bez plánu a zhusta </w:t>
      </w:r>
      <w:r>
        <w:rPr>
          <w:b/>
          <w:bCs/>
          <w:sz w:val="20"/>
          <w:szCs w:val="20"/>
        </w:rPr>
        <w:t xml:space="preserve">i </w:t>
      </w:r>
      <w:r>
        <w:rPr>
          <w:b/>
          <w:bCs/>
          <w:sz w:val="19"/>
          <w:szCs w:val="19"/>
        </w:rPr>
        <w:t>nevzhledně — viz novou čás</w:t>
      </w:r>
      <w:r>
        <w:rPr>
          <w:b/>
          <w:bCs/>
          <w:sz w:val="19"/>
          <w:szCs w:val="19"/>
        </w:rPr>
        <w:t>t Kutné Hory na příklad — je dnes nejpěknějším venkovským městem, v němž se pří</w:t>
      </w:r>
      <w:r>
        <w:rPr>
          <w:b/>
          <w:bCs/>
          <w:sz w:val="19"/>
          <w:szCs w:val="19"/>
        </w:rPr>
        <w:softHyphen/>
        <w:t>jemně žije každému, byť i předtím ztrávil dlouhá léta ve velkoměstě. O sociálně-hospodářské, estetické, kulturní a</w:t>
      </w:r>
    </w:p>
    <w:p w:rsidR="00500724" w:rsidRDefault="00F30FB8">
      <w:pPr>
        <w:pStyle w:val="Zkladntext20"/>
        <w:shd w:val="clear" w:color="auto" w:fill="auto"/>
        <w:spacing w:after="60" w:line="178" w:lineRule="auto"/>
        <w:ind w:firstLine="0"/>
        <w:rPr>
          <w:sz w:val="20"/>
          <w:szCs w:val="20"/>
        </w:rPr>
      </w:pPr>
      <w:r>
        <w:rPr>
          <w:sz w:val="20"/>
          <w:szCs w:val="20"/>
        </w:rPr>
        <w:t>&lt;S/Ó</w:t>
      </w:r>
    </w:p>
    <w:p w:rsidR="00500724" w:rsidRDefault="00F30FB8">
      <w:pPr>
        <w:pStyle w:val="Zkladntext100"/>
        <w:shd w:val="clear" w:color="auto" w:fill="auto"/>
        <w:tabs>
          <w:tab w:val="left" w:pos="4728"/>
        </w:tabs>
        <w:spacing w:after="220" w:line="192" w:lineRule="auto"/>
        <w:ind w:firstLine="0"/>
        <w:rPr>
          <w:sz w:val="19"/>
          <w:szCs w:val="19"/>
        </w:rPr>
      </w:pPr>
      <w:r>
        <w:rPr>
          <w:b/>
          <w:bCs/>
          <w:sz w:val="19"/>
          <w:szCs w:val="19"/>
        </w:rPr>
        <w:t xml:space="preserve">politické stránce této Ulrichovy činnosti jistě není třeba psát. Dovedl také odejít se svého místa, jakmile cítil, </w:t>
      </w:r>
      <w:r>
        <w:rPr>
          <w:b/>
          <w:bCs/>
          <w:sz w:val="20"/>
          <w:szCs w:val="20"/>
        </w:rPr>
        <w:t xml:space="preserve">že </w:t>
      </w:r>
      <w:r>
        <w:rPr>
          <w:b/>
          <w:bCs/>
          <w:sz w:val="19"/>
          <w:szCs w:val="19"/>
        </w:rPr>
        <w:t xml:space="preserve">by se jeho funkce stala vzhledem k vysokému věku jen formální poctou, a přijal raději nezvyklý titul »čestnéhd starosty«. Dr. František </w:t>
      </w:r>
      <w:r>
        <w:rPr>
          <w:b/>
          <w:bCs/>
          <w:sz w:val="19"/>
          <w:szCs w:val="19"/>
          <w:lang w:val="en-US" w:eastAsia="en-US" w:bidi="en-US"/>
        </w:rPr>
        <w:t>Ul</w:t>
      </w:r>
      <w:r>
        <w:rPr>
          <w:b/>
          <w:bCs/>
          <w:sz w:val="19"/>
          <w:szCs w:val="19"/>
          <w:lang w:val="en-US" w:eastAsia="en-US" w:bidi="en-US"/>
        </w:rPr>
        <w:t xml:space="preserve">rich </w:t>
      </w:r>
      <w:r>
        <w:rPr>
          <w:b/>
          <w:bCs/>
          <w:sz w:val="19"/>
          <w:szCs w:val="19"/>
        </w:rPr>
        <w:t>byl opravdu starosta? staral se o své město znamenitě, ze všech svých sil. Není mu třeba stavět pomník, i když se tak stane právem. Věru, jedinečný případ starosty. Páni starostové českých městi vezměte si tohoto muže za vzor.</w:t>
      </w:r>
      <w:r>
        <w:rPr>
          <w:b/>
          <w:bCs/>
          <w:sz w:val="19"/>
          <w:szCs w:val="19"/>
        </w:rPr>
        <w:tab/>
        <w:t>Ciá</w:t>
      </w:r>
    </w:p>
    <w:p w:rsidR="00500724" w:rsidRDefault="00F30FB8">
      <w:pPr>
        <w:pStyle w:val="Zkladntext20"/>
        <w:shd w:val="clear" w:color="auto" w:fill="auto"/>
        <w:spacing w:after="80" w:line="178" w:lineRule="auto"/>
        <w:ind w:firstLine="0"/>
        <w:jc w:val="center"/>
        <w:rPr>
          <w:sz w:val="20"/>
          <w:szCs w:val="20"/>
        </w:rPr>
      </w:pPr>
      <w:r>
        <w:rPr>
          <w:b/>
          <w:bCs/>
          <w:sz w:val="20"/>
          <w:szCs w:val="20"/>
        </w:rPr>
        <w:t xml:space="preserve">Ještě o </w:t>
      </w:r>
      <w:r>
        <w:rPr>
          <w:b/>
          <w:bCs/>
          <w:sz w:val="20"/>
          <w:szCs w:val="20"/>
        </w:rPr>
        <w:t>britsko-rumunské obchodní smlouvě</w:t>
      </w:r>
    </w:p>
    <w:p w:rsidR="00500724" w:rsidRDefault="00F30FB8">
      <w:pPr>
        <w:pStyle w:val="Zkladntext100"/>
        <w:shd w:val="clear" w:color="auto" w:fill="auto"/>
        <w:tabs>
          <w:tab w:val="left" w:pos="3749"/>
        </w:tabs>
        <w:spacing w:after="160" w:line="187" w:lineRule="auto"/>
        <w:ind w:firstLine="240"/>
        <w:rPr>
          <w:sz w:val="19"/>
          <w:szCs w:val="19"/>
        </w:rPr>
      </w:pPr>
      <w:r>
        <w:rPr>
          <w:b/>
          <w:bCs/>
          <w:sz w:val="19"/>
          <w:szCs w:val="19"/>
        </w:rPr>
        <w:t>Psali jsme zde již o významu dvou velkých obchodních smluv, které v posledních týdnech uzavřelo Rumunsko, první z nich s Německem, druhou s Velkou Britanií. Je sice pravda, že německo-rumunská smlouva je v podstatě dalekos</w:t>
      </w:r>
      <w:r>
        <w:rPr>
          <w:b/>
          <w:bCs/>
          <w:sz w:val="19"/>
          <w:szCs w:val="19"/>
        </w:rPr>
        <w:t xml:space="preserve">áhlejší a že anglická obchodní misse přijela do Bu- kurešti pozdě, kdy už tato smlouva byla podepsána. Nyní se však zdá, že Angličané dělají politiku, i obchodní, pomoci svého zlata. </w:t>
      </w:r>
      <w:r>
        <w:rPr>
          <w:b/>
          <w:bCs/>
          <w:sz w:val="19"/>
          <w:szCs w:val="19"/>
          <w:lang w:val="en-US" w:eastAsia="en-US" w:bidi="en-US"/>
        </w:rPr>
        <w:t xml:space="preserve">Sir Frederic Leith Ross, </w:t>
      </w:r>
      <w:r>
        <w:rPr>
          <w:b/>
          <w:bCs/>
          <w:sz w:val="19"/>
          <w:szCs w:val="19"/>
        </w:rPr>
        <w:t>šéf komerční misse, která nyní objíždí balkánská</w:t>
      </w:r>
      <w:r>
        <w:rPr>
          <w:b/>
          <w:bCs/>
          <w:sz w:val="19"/>
          <w:szCs w:val="19"/>
        </w:rPr>
        <w:t xml:space="preserve"> hlavní města, dal Rumunsku půjčku 5 milionů anglických liber v hotovosti, zařídil vý</w:t>
      </w:r>
      <w:r>
        <w:rPr>
          <w:b/>
          <w:bCs/>
          <w:sz w:val="19"/>
          <w:szCs w:val="19"/>
        </w:rPr>
        <w:softHyphen/>
        <w:t>měnu zboží mezí Anglií (spolu s britským impériem) a Rumunskem tak, aby měnový kurs byl pro Rumunsko pří</w:t>
      </w:r>
      <w:r>
        <w:rPr>
          <w:b/>
          <w:bCs/>
          <w:sz w:val="19"/>
          <w:szCs w:val="19"/>
        </w:rPr>
        <w:softHyphen/>
        <w:t xml:space="preserve">znivý a nadto jednoduše koupil všechny obilní přebytky, rumunské </w:t>
      </w:r>
      <w:r>
        <w:rPr>
          <w:b/>
          <w:bCs/>
          <w:sz w:val="19"/>
          <w:szCs w:val="19"/>
        </w:rPr>
        <w:t>a z letošní žně. Uzávěrka zní na 200.000 tuU pšenice a může býti zvětšena tak, aby všechny případné rumunské přebytky byly vykoupeny anglickými librami, Co se stane ovšem za těchto okolností s německo-rumun- skou smlouvou, není zatím ještě dosti jasné, kdy</w:t>
      </w:r>
      <w:r>
        <w:rPr>
          <w:b/>
          <w:bCs/>
          <w:sz w:val="19"/>
          <w:szCs w:val="19"/>
        </w:rPr>
        <w:t>ž nadto Francie chce vykoupit všechny petrolejové přebytky Ru</w:t>
      </w:r>
      <w:r>
        <w:rPr>
          <w:b/>
          <w:bCs/>
          <w:sz w:val="19"/>
          <w:szCs w:val="19"/>
        </w:rPr>
        <w:softHyphen/>
        <w:t>munska. Lze očekávat, že Německo do věci zasáhne, proto</w:t>
      </w:r>
      <w:r>
        <w:rPr>
          <w:b/>
          <w:bCs/>
          <w:sz w:val="19"/>
          <w:szCs w:val="19"/>
        </w:rPr>
        <w:softHyphen/>
        <w:t xml:space="preserve">že takto by obchodně-politická ujednání, která dovedlo uzavřít tak rychle, nepřinesla předpokládaný rozmach vzájemného obchodu, na kterém </w:t>
      </w:r>
      <w:r>
        <w:rPr>
          <w:b/>
          <w:bCs/>
          <w:sz w:val="19"/>
          <w:szCs w:val="19"/>
        </w:rPr>
        <w:t>i Čechy a Morava v ny</w:t>
      </w:r>
      <w:r>
        <w:rPr>
          <w:b/>
          <w:bCs/>
          <w:sz w:val="19"/>
          <w:szCs w:val="19"/>
        </w:rPr>
        <w:softHyphen/>
        <w:t>nějším svém položení mají zájem.</w:t>
      </w:r>
      <w:r>
        <w:rPr>
          <w:b/>
          <w:bCs/>
          <w:sz w:val="19"/>
          <w:szCs w:val="19"/>
        </w:rPr>
        <w:tab/>
      </w:r>
      <w:r>
        <w:rPr>
          <w:b/>
          <w:bCs/>
          <w:i/>
          <w:iCs/>
          <w:sz w:val="19"/>
          <w:szCs w:val="19"/>
        </w:rPr>
        <w:t>Dr. Jan Skála</w:t>
      </w:r>
    </w:p>
    <w:p w:rsidR="00500724" w:rsidRDefault="00F30FB8">
      <w:pPr>
        <w:pStyle w:val="Zkladntext20"/>
        <w:shd w:val="clear" w:color="auto" w:fill="auto"/>
        <w:spacing w:after="80" w:line="178" w:lineRule="auto"/>
        <w:ind w:firstLine="0"/>
        <w:jc w:val="center"/>
        <w:rPr>
          <w:sz w:val="20"/>
          <w:szCs w:val="20"/>
        </w:rPr>
      </w:pPr>
      <w:r>
        <w:rPr>
          <w:b/>
          <w:bCs/>
          <w:sz w:val="20"/>
          <w:szCs w:val="20"/>
        </w:rPr>
        <w:t>Stávka za padesát milionů dolarů</w:t>
      </w:r>
    </w:p>
    <w:p w:rsidR="00500724" w:rsidRDefault="00F30FB8">
      <w:pPr>
        <w:pStyle w:val="Zkladntext100"/>
        <w:shd w:val="clear" w:color="auto" w:fill="auto"/>
        <w:spacing w:line="187" w:lineRule="auto"/>
        <w:ind w:firstLine="240"/>
        <w:rPr>
          <w:sz w:val="19"/>
          <w:szCs w:val="19"/>
        </w:rPr>
      </w:pPr>
      <w:r>
        <w:rPr>
          <w:b/>
          <w:bCs/>
          <w:sz w:val="19"/>
          <w:szCs w:val="19"/>
        </w:rPr>
        <w:t xml:space="preserve">Ve Spojených Státech amerických stávkovalo po šest neděl téměř půl milionu horníků, kteří na mzdách ztratili asi 50 milionů dolarů. Tato stávka, která se </w:t>
      </w:r>
      <w:r>
        <w:rPr>
          <w:b/>
          <w:bCs/>
          <w:sz w:val="19"/>
          <w:szCs w:val="19"/>
        </w:rPr>
        <w:t>v Evropě ne</w:t>
      </w:r>
      <w:r>
        <w:rPr>
          <w:b/>
          <w:bCs/>
          <w:sz w:val="19"/>
          <w:szCs w:val="19"/>
        </w:rPr>
        <w:softHyphen/>
        <w:t>sledovala příliš pozorně, měla přece jen zvláštní politický význam. Nešlo v ní totiž ani o mzdy, ani o z 1 e p- šení pracovních podmínek, a přece do ní zasáhl president Roosevelt a celé americké veřejné minění bylo značně rozčileno.</w:t>
      </w:r>
    </w:p>
    <w:p w:rsidR="00500724" w:rsidRDefault="00F30FB8">
      <w:pPr>
        <w:pStyle w:val="Zkladntext100"/>
        <w:shd w:val="clear" w:color="auto" w:fill="auto"/>
        <w:spacing w:after="380" w:line="187" w:lineRule="auto"/>
        <w:ind w:firstLine="240"/>
        <w:rPr>
          <w:sz w:val="19"/>
          <w:szCs w:val="19"/>
        </w:rPr>
      </w:pPr>
      <w:r>
        <w:rPr>
          <w:b/>
          <w:bCs/>
          <w:sz w:val="19"/>
          <w:szCs w:val="19"/>
        </w:rPr>
        <w:t>Tato stávka</w:t>
      </w:r>
      <w:r>
        <w:rPr>
          <w:b/>
          <w:bCs/>
          <w:sz w:val="19"/>
          <w:szCs w:val="19"/>
        </w:rPr>
        <w:t xml:space="preserve"> vypukla, protože ji chtěl </w:t>
      </w:r>
      <w:r>
        <w:rPr>
          <w:b/>
          <w:bCs/>
          <w:sz w:val="19"/>
          <w:szCs w:val="19"/>
          <w:lang w:val="en-US" w:eastAsia="en-US" w:bidi="en-US"/>
        </w:rPr>
        <w:t xml:space="preserve">Mr. John </w:t>
      </w:r>
      <w:r>
        <w:rPr>
          <w:b/>
          <w:bCs/>
          <w:sz w:val="19"/>
          <w:szCs w:val="19"/>
        </w:rPr>
        <w:t xml:space="preserve">L. </w:t>
      </w:r>
      <w:r>
        <w:rPr>
          <w:b/>
          <w:bCs/>
          <w:sz w:val="19"/>
          <w:szCs w:val="19"/>
          <w:lang w:val="en-US" w:eastAsia="en-US" w:bidi="en-US"/>
        </w:rPr>
        <w:t xml:space="preserve">Lewis, </w:t>
      </w:r>
      <w:r>
        <w:rPr>
          <w:b/>
          <w:bCs/>
          <w:sz w:val="19"/>
          <w:szCs w:val="19"/>
        </w:rPr>
        <w:t xml:space="preserve">předseda odborové organisace dělnické, hlava </w:t>
      </w:r>
      <w:r>
        <w:rPr>
          <w:b/>
          <w:bCs/>
          <w:sz w:val="19"/>
          <w:szCs w:val="19"/>
          <w:lang w:val="en-US" w:eastAsia="en-US" w:bidi="en-US"/>
        </w:rPr>
        <w:t xml:space="preserve">Committed for Industrial Organization, </w:t>
      </w:r>
      <w:r>
        <w:rPr>
          <w:b/>
          <w:bCs/>
          <w:sz w:val="19"/>
          <w:szCs w:val="19"/>
        </w:rPr>
        <w:t>který založil nedávno hornic</w:t>
      </w:r>
      <w:r>
        <w:rPr>
          <w:b/>
          <w:bCs/>
          <w:sz w:val="19"/>
          <w:szCs w:val="19"/>
        </w:rPr>
        <w:softHyphen/>
        <w:t xml:space="preserve">kou organisaci Progressive </w:t>
      </w:r>
      <w:r>
        <w:rPr>
          <w:b/>
          <w:bCs/>
          <w:sz w:val="19"/>
          <w:szCs w:val="19"/>
          <w:lang w:val="en-US" w:eastAsia="en-US" w:bidi="en-US"/>
        </w:rPr>
        <w:t xml:space="preserve">Miners’ </w:t>
      </w:r>
      <w:r>
        <w:rPr>
          <w:b/>
          <w:bCs/>
          <w:sz w:val="19"/>
          <w:szCs w:val="19"/>
        </w:rPr>
        <w:t xml:space="preserve">Union, Tato organisace prohlásila, že jedině ona je oprávněna </w:t>
      </w:r>
      <w:r>
        <w:rPr>
          <w:b/>
          <w:bCs/>
          <w:sz w:val="19"/>
          <w:szCs w:val="19"/>
        </w:rPr>
        <w:t>uzavírat hromadné smlouvy jménem horníků s těžaři a trvala na tom, že ne</w:t>
      </w:r>
      <w:r>
        <w:rPr>
          <w:b/>
          <w:bCs/>
          <w:sz w:val="19"/>
          <w:szCs w:val="19"/>
        </w:rPr>
        <w:softHyphen/>
        <w:t xml:space="preserve">uzná žádné smlouvy, které by byly uzavřeny </w:t>
      </w:r>
      <w:r>
        <w:rPr>
          <w:b/>
          <w:bCs/>
          <w:sz w:val="20"/>
          <w:szCs w:val="20"/>
        </w:rPr>
        <w:t xml:space="preserve">s </w:t>
      </w:r>
      <w:r>
        <w:rPr>
          <w:b/>
          <w:bCs/>
          <w:sz w:val="19"/>
          <w:szCs w:val="19"/>
        </w:rPr>
        <w:t xml:space="preserve">organisaci </w:t>
      </w:r>
      <w:r>
        <w:rPr>
          <w:b/>
          <w:bCs/>
          <w:sz w:val="19"/>
          <w:szCs w:val="19"/>
          <w:lang w:val="en-US" w:eastAsia="en-US" w:bidi="en-US"/>
        </w:rPr>
        <w:t xml:space="preserve">Mr. </w:t>
      </w:r>
      <w:r>
        <w:rPr>
          <w:b/>
          <w:bCs/>
          <w:sz w:val="19"/>
          <w:szCs w:val="19"/>
        </w:rPr>
        <w:t xml:space="preserve">Greena, hlavou American Feredation </w:t>
      </w:r>
      <w:r>
        <w:rPr>
          <w:b/>
          <w:bCs/>
          <w:sz w:val="19"/>
          <w:szCs w:val="19"/>
          <w:lang w:val="en-US" w:eastAsia="en-US" w:bidi="en-US"/>
        </w:rPr>
        <w:t xml:space="preserve">of Labour. </w:t>
      </w:r>
      <w:r>
        <w:rPr>
          <w:b/>
          <w:bCs/>
          <w:sz w:val="19"/>
          <w:szCs w:val="19"/>
        </w:rPr>
        <w:t>Když stávka trvala tak dlouho, že dráhy, železárny a elektrárny musily omezit</w:t>
      </w:r>
      <w:r>
        <w:rPr>
          <w:b/>
          <w:bCs/>
          <w:sz w:val="19"/>
          <w:szCs w:val="19"/>
        </w:rPr>
        <w:t xml:space="preserve"> provoz, zasáhl do ní president Spojených Států Roosevelt a pomohl silně Lewisovi, který také hlavně díky této pomoci stávku vyhrál a Greenovu organisaci docela porazil. Velká většina těžařů se poddala, uznala — s odporem ovšem — monopolní postavení organi</w:t>
      </w:r>
      <w:r>
        <w:rPr>
          <w:b/>
          <w:bCs/>
          <w:sz w:val="19"/>
          <w:szCs w:val="19"/>
        </w:rPr>
        <w:t>sace Le</w:t>
      </w:r>
      <w:r>
        <w:rPr>
          <w:b/>
          <w:bCs/>
          <w:sz w:val="19"/>
          <w:szCs w:val="19"/>
        </w:rPr>
        <w:softHyphen/>
        <w:t xml:space="preserve">wisovy a smlouvy s ní uzavřela. Malá část těžařů ještě zápasí, pokud to mohou vydržet. S tímto zbytkem souvisi nepokoje v </w:t>
      </w:r>
      <w:r>
        <w:rPr>
          <w:b/>
          <w:bCs/>
          <w:sz w:val="19"/>
          <w:szCs w:val="19"/>
          <w:lang w:val="en-US" w:eastAsia="en-US" w:bidi="en-US"/>
        </w:rPr>
        <w:t xml:space="preserve">Kentucky. </w:t>
      </w:r>
      <w:r>
        <w:rPr>
          <w:b/>
          <w:bCs/>
          <w:sz w:val="19"/>
          <w:szCs w:val="19"/>
        </w:rPr>
        <w:t xml:space="preserve">Nová standardní smlouva, kterou těžaři přijali, uznává tedy jen Lewisovy organisace, tak zv. C. I. O. </w:t>
      </w:r>
      <w:r>
        <w:rPr>
          <w:b/>
          <w:bCs/>
          <w:sz w:val="19"/>
          <w:szCs w:val="19"/>
          <w:lang w:val="en-US" w:eastAsia="en-US" w:bidi="en-US"/>
        </w:rPr>
        <w:t xml:space="preserve">(Committee for Industrial Organization) a Gree- novy F. </w:t>
      </w:r>
      <w:r>
        <w:rPr>
          <w:b/>
          <w:bCs/>
          <w:sz w:val="19"/>
          <w:szCs w:val="19"/>
        </w:rPr>
        <w:t xml:space="preserve">O. </w:t>
      </w:r>
      <w:r>
        <w:rPr>
          <w:b/>
          <w:bCs/>
          <w:sz w:val="19"/>
          <w:szCs w:val="19"/>
          <w:lang w:val="en-US" w:eastAsia="en-US" w:bidi="en-US"/>
        </w:rPr>
        <w:t xml:space="preserve">L. (American Federation of Labour) </w:t>
      </w:r>
      <w:r>
        <w:rPr>
          <w:b/>
          <w:bCs/>
          <w:sz w:val="19"/>
          <w:szCs w:val="19"/>
        </w:rPr>
        <w:t xml:space="preserve">vyřazuje. Rozumí se ovšem, že </w:t>
      </w:r>
      <w:r>
        <w:rPr>
          <w:b/>
          <w:bCs/>
          <w:sz w:val="19"/>
          <w:szCs w:val="19"/>
          <w:lang w:val="en-US" w:eastAsia="en-US" w:bidi="en-US"/>
        </w:rPr>
        <w:t xml:space="preserve">Green </w:t>
      </w:r>
      <w:r>
        <w:rPr>
          <w:b/>
          <w:bCs/>
          <w:sz w:val="19"/>
          <w:szCs w:val="19"/>
        </w:rPr>
        <w:t>se asi připravuje k nějaké protiakci, ale toto vše neni tak důležité.</w:t>
      </w:r>
    </w:p>
    <w:p w:rsidR="00500724" w:rsidRDefault="00F30FB8">
      <w:pPr>
        <w:pStyle w:val="Zkladntext100"/>
        <w:shd w:val="clear" w:color="auto" w:fill="auto"/>
        <w:spacing w:after="180" w:line="190" w:lineRule="auto"/>
        <w:ind w:firstLine="240"/>
        <w:rPr>
          <w:sz w:val="19"/>
          <w:szCs w:val="19"/>
        </w:rPr>
      </w:pPr>
      <w:r>
        <w:rPr>
          <w:b/>
          <w:bCs/>
          <w:sz w:val="19"/>
          <w:szCs w:val="19"/>
        </w:rPr>
        <w:t>Proč president Roosevelt se do věci vmísil, souvisí jedn</w:t>
      </w:r>
      <w:r>
        <w:rPr>
          <w:b/>
          <w:bCs/>
          <w:sz w:val="19"/>
          <w:szCs w:val="19"/>
        </w:rPr>
        <w:t>ak s celou jeho politikou, jednak s blížícími se presi- dentskými volbami. Rozhodl se podporovat mocnou odbo</w:t>
      </w:r>
      <w:r>
        <w:rPr>
          <w:b/>
          <w:bCs/>
          <w:sz w:val="19"/>
          <w:szCs w:val="19"/>
        </w:rPr>
        <w:softHyphen/>
        <w:t>rovou dělnickou organisaci a očekává ovšem od ní podporu při presidentské kampani, k níž dojde koncem roku a nai jaře. Nebyla proto tato příhoda ne</w:t>
      </w:r>
      <w:r>
        <w:rPr>
          <w:b/>
          <w:bCs/>
          <w:sz w:val="19"/>
          <w:szCs w:val="19"/>
        </w:rPr>
        <w:t>významná a svědčí asi o tom, že Roosevelt bude po třetí kandidovat. Dosud od dob Washingtonových sice nebyl nikdo třikrát presidentem, ale není zákona, který to zakazuje. Proř- rokovat výsledek voleb je ovšem vzhledem k americkými poměrům naprosto nemožné.</w:t>
      </w:r>
      <w:r>
        <w:rPr>
          <w:b/>
          <w:bCs/>
          <w:sz w:val="19"/>
          <w:szCs w:val="19"/>
        </w:rPr>
        <w:t xml:space="preserve"> Vůdce oposice a pravděpo-</w:t>
      </w:r>
    </w:p>
    <w:p w:rsidR="00500724" w:rsidRDefault="00F30FB8">
      <w:pPr>
        <w:pStyle w:val="Zkladntext100"/>
        <w:shd w:val="clear" w:color="auto" w:fill="auto"/>
        <w:tabs>
          <w:tab w:val="left" w:pos="4738"/>
        </w:tabs>
        <w:spacing w:after="240" w:line="192" w:lineRule="auto"/>
        <w:ind w:firstLine="0"/>
        <w:rPr>
          <w:sz w:val="20"/>
          <w:szCs w:val="20"/>
        </w:rPr>
      </w:pPr>
      <w:r>
        <w:rPr>
          <w:b/>
          <w:bCs/>
          <w:sz w:val="19"/>
          <w:szCs w:val="19"/>
        </w:rPr>
        <w:t>dobný prottkandidát Rooseveltův, představitel republikán</w:t>
      </w:r>
      <w:r>
        <w:rPr>
          <w:b/>
          <w:bCs/>
          <w:sz w:val="19"/>
          <w:szCs w:val="19"/>
        </w:rPr>
        <w:softHyphen/>
        <w:t xml:space="preserve">ské strany, guvernér </w:t>
      </w:r>
      <w:r>
        <w:rPr>
          <w:b/>
          <w:bCs/>
          <w:sz w:val="19"/>
          <w:szCs w:val="19"/>
          <w:lang w:val="en-US" w:eastAsia="en-US" w:bidi="en-US"/>
        </w:rPr>
        <w:t xml:space="preserve">Landon, </w:t>
      </w:r>
      <w:r>
        <w:rPr>
          <w:b/>
          <w:bCs/>
          <w:sz w:val="19"/>
          <w:szCs w:val="19"/>
        </w:rPr>
        <w:t>však nedávno prohlásil, žo ve věcech zahraniční politiky je v celku s Rooseveltem zajedno.</w:t>
      </w:r>
      <w:r>
        <w:rPr>
          <w:b/>
          <w:bCs/>
          <w:sz w:val="19"/>
          <w:szCs w:val="19"/>
        </w:rPr>
        <w:tab/>
      </w:r>
      <w:r>
        <w:rPr>
          <w:i/>
          <w:iCs/>
          <w:sz w:val="20"/>
          <w:szCs w:val="20"/>
        </w:rPr>
        <w:t>Cis</w:t>
      </w:r>
    </w:p>
    <w:p w:rsidR="00500724" w:rsidRDefault="00F30FB8">
      <w:pPr>
        <w:pStyle w:val="Zkladntext20"/>
        <w:shd w:val="clear" w:color="auto" w:fill="auto"/>
        <w:spacing w:after="80" w:line="180" w:lineRule="auto"/>
        <w:ind w:firstLine="0"/>
        <w:jc w:val="center"/>
        <w:rPr>
          <w:sz w:val="20"/>
          <w:szCs w:val="20"/>
        </w:rPr>
      </w:pPr>
      <w:r>
        <w:rPr>
          <w:b/>
          <w:bCs/>
          <w:sz w:val="20"/>
          <w:szCs w:val="20"/>
        </w:rPr>
        <w:t>O té persekuci slovenských studentů</w:t>
      </w:r>
    </w:p>
    <w:p w:rsidR="00500724" w:rsidRDefault="00F30FB8">
      <w:pPr>
        <w:pStyle w:val="Zkladntext20"/>
        <w:shd w:val="clear" w:color="auto" w:fill="auto"/>
        <w:spacing w:line="204" w:lineRule="auto"/>
        <w:ind w:left="820" w:firstLine="260"/>
        <w:rPr>
          <w:sz w:val="20"/>
          <w:szCs w:val="20"/>
        </w:rPr>
      </w:pPr>
      <w:r>
        <w:rPr>
          <w:sz w:val="20"/>
          <w:szCs w:val="20"/>
        </w:rPr>
        <w:t>»Čo je to za</w:t>
      </w:r>
      <w:r>
        <w:rPr>
          <w:sz w:val="20"/>
          <w:szCs w:val="20"/>
        </w:rPr>
        <w:t xml:space="preserve"> demokracia, kde desiatky študen- tov nemohlo dokončit štúdiá preto, lebo si zaspie- vali pieseň „Slováci sme od rodu” ...«</w:t>
      </w:r>
    </w:p>
    <w:p w:rsidR="00500724" w:rsidRDefault="00F30FB8">
      <w:pPr>
        <w:pStyle w:val="Zkladntext20"/>
        <w:shd w:val="clear" w:color="auto" w:fill="auto"/>
        <w:spacing w:after="80" w:line="204" w:lineRule="auto"/>
        <w:ind w:firstLine="0"/>
        <w:jc w:val="right"/>
        <w:rPr>
          <w:sz w:val="20"/>
          <w:szCs w:val="20"/>
        </w:rPr>
      </w:pPr>
      <w:r>
        <w:rPr>
          <w:sz w:val="20"/>
          <w:szCs w:val="20"/>
        </w:rPr>
        <w:t>Konšt. Čulen v »Slováku« 11. V. 1939,</w:t>
      </w:r>
    </w:p>
    <w:p w:rsidR="00500724" w:rsidRDefault="00F30FB8">
      <w:pPr>
        <w:pStyle w:val="Zkladntext100"/>
        <w:shd w:val="clear" w:color="auto" w:fill="auto"/>
        <w:spacing w:after="80" w:line="211" w:lineRule="auto"/>
        <w:ind w:firstLine="300"/>
        <w:rPr>
          <w:sz w:val="19"/>
          <w:szCs w:val="19"/>
        </w:rPr>
      </w:pPr>
      <w:r>
        <w:rPr>
          <w:b/>
          <w:bCs/>
          <w:sz w:val="19"/>
          <w:szCs w:val="19"/>
        </w:rPr>
        <w:t xml:space="preserve">O bratislavské universitě Komenského se namluvilo a napsalo za krátkou dobu jejího trvání </w:t>
      </w:r>
      <w:r>
        <w:rPr>
          <w:b/>
          <w:bCs/>
          <w:sz w:val="19"/>
          <w:szCs w:val="19"/>
        </w:rPr>
        <w:t>mnoho pravd, ne</w:t>
      </w:r>
      <w:r>
        <w:rPr>
          <w:b/>
          <w:bCs/>
          <w:sz w:val="19"/>
          <w:szCs w:val="19"/>
        </w:rPr>
        <w:softHyphen/>
        <w:t>pravd i polopravd, jež historie jednou, doufejme, spraved</w:t>
      </w:r>
      <w:r>
        <w:rPr>
          <w:b/>
          <w:bCs/>
          <w:sz w:val="19"/>
          <w:szCs w:val="19"/>
        </w:rPr>
        <w:softHyphen/>
        <w:t>livě rozliší a zhodnotí. Dnes je už z technických příčin ne</w:t>
      </w:r>
      <w:r>
        <w:rPr>
          <w:b/>
          <w:bCs/>
          <w:sz w:val="19"/>
          <w:szCs w:val="19"/>
        </w:rPr>
        <w:softHyphen/>
        <w:t xml:space="preserve">možné provést poctivou diskusi o tom, zda čeští profesoři měli či neměli na mysli prospěch slovenského kulturního života, </w:t>
      </w:r>
      <w:r>
        <w:rPr>
          <w:b/>
          <w:bCs/>
          <w:sz w:val="19"/>
          <w:szCs w:val="19"/>
        </w:rPr>
        <w:t>zda vhodně či nevhodně užívali (ne všichni) češtiny v přednáškách, zda se starali o slovenský dorost vědecký atd. Stejně nevčasné je příti se o to, pokud bylo odůvod</w:t>
      </w:r>
      <w:r>
        <w:rPr>
          <w:b/>
          <w:bCs/>
          <w:sz w:val="19"/>
          <w:szCs w:val="19"/>
        </w:rPr>
        <w:softHyphen/>
        <w:t>něno, že autonomní a potom samostatné Slovensko dalo Praze k disposici velkou většinu česk</w:t>
      </w:r>
      <w:r>
        <w:rPr>
          <w:b/>
          <w:bCs/>
          <w:sz w:val="19"/>
          <w:szCs w:val="19"/>
        </w:rPr>
        <w:t>ých profesorů z titulu křivd páchaných na slovenském národě a že nedávno poli</w:t>
      </w:r>
      <w:r>
        <w:rPr>
          <w:b/>
          <w:bCs/>
          <w:sz w:val="19"/>
          <w:szCs w:val="19"/>
        </w:rPr>
        <w:softHyphen/>
        <w:t>cejně rozpustilo i Učenou Společnost Šafaříkovu.</w:t>
      </w:r>
    </w:p>
    <w:p w:rsidR="00500724" w:rsidRDefault="00F30FB8">
      <w:pPr>
        <w:pStyle w:val="Zkladntext100"/>
        <w:shd w:val="clear" w:color="auto" w:fill="auto"/>
        <w:spacing w:line="190" w:lineRule="auto"/>
        <w:ind w:firstLine="300"/>
        <w:rPr>
          <w:sz w:val="19"/>
          <w:szCs w:val="19"/>
        </w:rPr>
      </w:pPr>
      <w:r>
        <w:rPr>
          <w:b/>
          <w:bCs/>
          <w:sz w:val="19"/>
          <w:szCs w:val="19"/>
        </w:rPr>
        <w:t>Ukázněné mlčení, jímž pomíjel český tisk po celé mě</w:t>
      </w:r>
      <w:r>
        <w:rPr>
          <w:b/>
          <w:bCs/>
          <w:sz w:val="19"/>
          <w:szCs w:val="19"/>
        </w:rPr>
        <w:softHyphen/>
        <w:t>síce všecky výtky (eufemisticky řečeno), kterými zahrno</w:t>
      </w:r>
      <w:r>
        <w:rPr>
          <w:b/>
          <w:bCs/>
          <w:sz w:val="19"/>
          <w:szCs w:val="19"/>
        </w:rPr>
        <w:softHyphen/>
        <w:t>vali Čechy vůdcové no</w:t>
      </w:r>
      <w:r>
        <w:rPr>
          <w:b/>
          <w:bCs/>
          <w:sz w:val="19"/>
          <w:szCs w:val="19"/>
        </w:rPr>
        <w:t>vého Slovenska, bylo i podle mého soudu nejrozumnější a nejčestnější odpovědí. Ponenáhlu však bude třeba, s rostoucím vyjasňováním vývoje věcí na Slovensku, mluviti, pokud to poměry dovolují, aspoň tam, kde mlčet! by znamenalo stát se spoluvinníkem. Hořejš</w:t>
      </w:r>
      <w:r>
        <w:rPr>
          <w:b/>
          <w:bCs/>
          <w:sz w:val="19"/>
          <w:szCs w:val="19"/>
        </w:rPr>
        <w:t>í citát z amerického dopisu Čulenova je z toho počtu frází, jimiž byl a patrně má být i v budoucnosti otravován poměr mezi Cechy a Slováky. Je dost pravděpodobné, že pan</w:t>
      </w:r>
    </w:p>
    <w:p w:rsidR="00500724" w:rsidRDefault="00F30FB8">
      <w:pPr>
        <w:pStyle w:val="Zkladntext100"/>
        <w:shd w:val="clear" w:color="auto" w:fill="auto"/>
        <w:tabs>
          <w:tab w:val="left" w:pos="322"/>
        </w:tabs>
        <w:spacing w:after="80" w:line="190" w:lineRule="auto"/>
        <w:ind w:firstLine="0"/>
        <w:rPr>
          <w:sz w:val="19"/>
          <w:szCs w:val="19"/>
        </w:rPr>
      </w:pPr>
      <w:r>
        <w:rPr>
          <w:b/>
          <w:bCs/>
          <w:sz w:val="19"/>
          <w:szCs w:val="19"/>
        </w:rPr>
        <w:t>K.</w:t>
      </w:r>
      <w:r>
        <w:rPr>
          <w:b/>
          <w:bCs/>
          <w:sz w:val="19"/>
          <w:szCs w:val="19"/>
        </w:rPr>
        <w:tab/>
        <w:t>Čulen vydatně užívá jmenovaného argumentu v obraně nového Slovenska proti americkým</w:t>
      </w:r>
      <w:r>
        <w:rPr>
          <w:b/>
          <w:bCs/>
          <w:sz w:val="19"/>
          <w:szCs w:val="19"/>
        </w:rPr>
        <w:t xml:space="preserve"> krajanům, citlivým k pojmu svobody. Kdybychom nebyli čítali v »Slováku« a v »Slovenské pravdě« články o krveprolití při student</w:t>
      </w:r>
      <w:r>
        <w:rPr>
          <w:b/>
          <w:bCs/>
          <w:sz w:val="19"/>
          <w:szCs w:val="19"/>
        </w:rPr>
        <w:softHyphen/>
        <w:t>ských demonstracích v Bratislavě na podzim 1937, o stu</w:t>
      </w:r>
      <w:r>
        <w:rPr>
          <w:b/>
          <w:bCs/>
          <w:sz w:val="19"/>
          <w:szCs w:val="19"/>
        </w:rPr>
        <w:softHyphen/>
        <w:t>dentském Alcazaru, o žalářování studentů, nemluvě o ji</w:t>
      </w:r>
      <w:r>
        <w:rPr>
          <w:b/>
          <w:bCs/>
          <w:sz w:val="19"/>
          <w:szCs w:val="19"/>
        </w:rPr>
        <w:softHyphen/>
        <w:t>ných fantastickýc</w:t>
      </w:r>
      <w:r>
        <w:rPr>
          <w:b/>
          <w:bCs/>
          <w:sz w:val="19"/>
          <w:szCs w:val="19"/>
        </w:rPr>
        <w:t>h zprávách v tisku slovenském, němec</w:t>
      </w:r>
      <w:r>
        <w:rPr>
          <w:b/>
          <w:bCs/>
          <w:sz w:val="19"/>
          <w:szCs w:val="19"/>
        </w:rPr>
        <w:softHyphen/>
        <w:t>kém, polském, maďarském a italském, kdybychom nebyli slyšeli po říjnovém převratu o krvavém režimu na univer</w:t>
      </w:r>
      <w:r>
        <w:rPr>
          <w:b/>
          <w:bCs/>
          <w:sz w:val="19"/>
          <w:szCs w:val="19"/>
        </w:rPr>
        <w:softHyphen/>
        <w:t>sitě a pod., mohli bychom Čulenovu otázku bagatelisovati. Takto však budiž dovoleno jednomu z posledních děkan</w:t>
      </w:r>
      <w:r>
        <w:rPr>
          <w:b/>
          <w:bCs/>
          <w:sz w:val="19"/>
          <w:szCs w:val="19"/>
        </w:rPr>
        <w:t>ů a členů akademického senátu university Komenského kon</w:t>
      </w:r>
      <w:r>
        <w:rPr>
          <w:b/>
          <w:bCs/>
          <w:sz w:val="19"/>
          <w:szCs w:val="19"/>
        </w:rPr>
        <w:softHyphen/>
        <w:t>statovati podle pravdy, že za celý rok 1937/38, rok student</w:t>
      </w:r>
      <w:r>
        <w:rPr>
          <w:b/>
          <w:bCs/>
          <w:sz w:val="19"/>
          <w:szCs w:val="19"/>
        </w:rPr>
        <w:softHyphen/>
        <w:t>ských demonstrací a příprav na říjen 1938, resp. březen 1939, nebyl ani jedinému slovenskému posluchači university Komenského zkřiven, tak ř</w:t>
      </w:r>
      <w:r>
        <w:rPr>
          <w:b/>
          <w:bCs/>
          <w:sz w:val="19"/>
          <w:szCs w:val="19"/>
        </w:rPr>
        <w:t>íkajíc, vlas na hlavě.</w:t>
      </w:r>
    </w:p>
    <w:p w:rsidR="00500724" w:rsidRDefault="00F30FB8">
      <w:pPr>
        <w:pStyle w:val="Zkladntext100"/>
        <w:shd w:val="clear" w:color="auto" w:fill="auto"/>
        <w:spacing w:after="60" w:line="187" w:lineRule="auto"/>
        <w:ind w:firstLine="360"/>
        <w:rPr>
          <w:sz w:val="19"/>
          <w:szCs w:val="19"/>
        </w:rPr>
      </w:pPr>
      <w:r>
        <w:rPr>
          <w:b/>
          <w:bCs/>
          <w:sz w:val="19"/>
          <w:szCs w:val="19"/>
        </w:rPr>
        <w:t xml:space="preserve">Žádný posluchač nebyl vyloučen, nikomu tedy nebylo zabráněno pokračovat! v studiích, </w:t>
      </w:r>
      <w:r>
        <w:rPr>
          <w:b/>
          <w:bCs/>
          <w:sz w:val="19"/>
          <w:szCs w:val="19"/>
          <w:lang w:val="en-US" w:eastAsia="en-US" w:bidi="en-US"/>
        </w:rPr>
        <w:t xml:space="preserve">event, </w:t>
      </w:r>
      <w:r>
        <w:rPr>
          <w:b/>
          <w:bCs/>
          <w:sz w:val="19"/>
          <w:szCs w:val="19"/>
        </w:rPr>
        <w:t>je dokončit!. Žád</w:t>
      </w:r>
      <w:r>
        <w:rPr>
          <w:b/>
          <w:bCs/>
          <w:sz w:val="19"/>
          <w:szCs w:val="19"/>
        </w:rPr>
        <w:softHyphen/>
        <w:t>nému posluchači nebylo odňato stipendium, ba oni osvobo</w:t>
      </w:r>
      <w:r>
        <w:rPr>
          <w:b/>
          <w:bCs/>
          <w:sz w:val="19"/>
          <w:szCs w:val="19"/>
        </w:rPr>
        <w:softHyphen/>
        <w:t>zení od kolejného, k čemuž stačí škrtnutí pera. Jediný absolvent pr</w:t>
      </w:r>
      <w:r>
        <w:rPr>
          <w:b/>
          <w:bCs/>
          <w:sz w:val="19"/>
          <w:szCs w:val="19"/>
        </w:rPr>
        <w:t>áv, jenž složil těsně před prázdninami poslední rigorosum (úspěšně, ač byl oslavovaný a ovšem »persekvo- vaný« vůdce odboje), byl promován z důvodů disciplinár</w:t>
      </w:r>
      <w:r>
        <w:rPr>
          <w:b/>
          <w:bCs/>
          <w:sz w:val="19"/>
          <w:szCs w:val="19"/>
        </w:rPr>
        <w:softHyphen/>
        <w:t>ních až po prázdninách. Je nyní, tuším, generálním tajem</w:t>
      </w:r>
      <w:r>
        <w:rPr>
          <w:b/>
          <w:bCs/>
          <w:sz w:val="19"/>
          <w:szCs w:val="19"/>
        </w:rPr>
        <w:softHyphen/>
        <w:t>níkem Hlinkový strany. Kde vzala protič</w:t>
      </w:r>
      <w:r>
        <w:rPr>
          <w:b/>
          <w:bCs/>
          <w:sz w:val="19"/>
          <w:szCs w:val="19"/>
        </w:rPr>
        <w:t xml:space="preserve">eská agitace celé desítky studentů, kteří nemohli dokončit! studia a patrně i jinak trpěli, je opravdu záhadou. Je ovšem pravda, že při podzimních demonstracích r. 1937, vedených pod heslem »na Slovensku po slovenský®, předvedla policie několik posluchačů </w:t>
      </w:r>
      <w:r>
        <w:rPr>
          <w:b/>
          <w:bCs/>
          <w:sz w:val="19"/>
          <w:szCs w:val="19"/>
        </w:rPr>
        <w:t>a oznámila jejich jména rektorátu. Jim všem bylo automaticky oznámeno podle universitních předpisů, že se jim »zastavuje vydání absolutoria« (dokud nebude jejich věc disciplinárně vybavena). Je to běžné formální opatření, směřující k tomu, aby obviněný neo</w:t>
      </w:r>
      <w:r>
        <w:rPr>
          <w:b/>
          <w:bCs/>
          <w:sz w:val="19"/>
          <w:szCs w:val="19"/>
        </w:rPr>
        <w:t>dešel z obavy před trestem na jinou vysokou školu, opatření, jež nemělo v žádném z daných případů praktického významu. Ostatně přišla zanedlouho politická amnestie a s ní i amnestie uni</w:t>
      </w:r>
      <w:r>
        <w:rPr>
          <w:b/>
          <w:bCs/>
          <w:sz w:val="19"/>
          <w:szCs w:val="19"/>
        </w:rPr>
        <w:softHyphen/>
        <w:t>versitní. A tak, byla-li snad některému z postižených na některé fakul</w:t>
      </w:r>
      <w:r>
        <w:rPr>
          <w:b/>
          <w:bCs/>
          <w:sz w:val="19"/>
          <w:szCs w:val="19"/>
        </w:rPr>
        <w:t>tě odložena nějaká zkouška, nemohl tento odklad trvati déle než několik neděl. Sám o žádném tako</w:t>
      </w:r>
      <w:r>
        <w:rPr>
          <w:b/>
          <w:bCs/>
          <w:sz w:val="19"/>
          <w:szCs w:val="19"/>
        </w:rPr>
        <w:softHyphen/>
        <w:t>vém případě nevím. Historie se potom opakovala namnoze s týmiž účastníky, takřka bez výjimky obyvateli katolic</w:t>
      </w:r>
      <w:r>
        <w:rPr>
          <w:b/>
          <w:bCs/>
          <w:sz w:val="19"/>
          <w:szCs w:val="19"/>
        </w:rPr>
        <w:softHyphen/>
        <w:t>kého internátu Svoradova, když rušili velkou Hod</w:t>
      </w:r>
      <w:r>
        <w:rPr>
          <w:b/>
          <w:bCs/>
          <w:sz w:val="19"/>
          <w:szCs w:val="19"/>
        </w:rPr>
        <w:t>žovu ma</w:t>
      </w:r>
      <w:r>
        <w:rPr>
          <w:b/>
          <w:bCs/>
          <w:sz w:val="19"/>
          <w:szCs w:val="19"/>
        </w:rPr>
        <w:softHyphen/>
        <w:t>nifestaci svatodušní, Prakticky se nestalo zase nikomu nio a nic se nestalo ani funkcionářům spolku filosofů a mediků, kteří podepsali a podali jakousi divokou resoluci.</w:t>
      </w:r>
    </w:p>
    <w:p w:rsidR="00500724" w:rsidRDefault="00F30FB8">
      <w:pPr>
        <w:pStyle w:val="Zkladntext100"/>
        <w:shd w:val="clear" w:color="auto" w:fill="auto"/>
        <w:spacing w:after="60" w:line="187" w:lineRule="auto"/>
        <w:rPr>
          <w:sz w:val="19"/>
          <w:szCs w:val="19"/>
        </w:rPr>
      </w:pPr>
      <w:r>
        <w:rPr>
          <w:b/>
          <w:bCs/>
          <w:sz w:val="19"/>
          <w:szCs w:val="19"/>
        </w:rPr>
        <w:t>Opakuji, že nebyl žádný z posluchačů zbaven ani sti</w:t>
      </w:r>
      <w:r>
        <w:rPr>
          <w:b/>
          <w:bCs/>
          <w:sz w:val="19"/>
          <w:szCs w:val="19"/>
        </w:rPr>
        <w:softHyphen/>
        <w:t>pendia ani osvobození od k</w:t>
      </w:r>
      <w:r>
        <w:rPr>
          <w:b/>
          <w:bCs/>
          <w:sz w:val="19"/>
          <w:szCs w:val="19"/>
        </w:rPr>
        <w:t>olejného, o jakékoli jiné perse</w:t>
      </w:r>
      <w:r>
        <w:rPr>
          <w:b/>
          <w:bCs/>
          <w:sz w:val="19"/>
          <w:szCs w:val="19"/>
        </w:rPr>
        <w:softHyphen/>
        <w:t>kuci ani nemluvě, zejména ne o persekuci při zkouškách. Znám naopak českého profesora — také ovšem cejchova</w:t>
      </w:r>
      <w:r>
        <w:rPr>
          <w:b/>
          <w:bCs/>
          <w:sz w:val="19"/>
          <w:szCs w:val="19"/>
        </w:rPr>
        <w:softHyphen/>
        <w:t xml:space="preserve">ného »nepříteie Slováků® —, který šetřil v úzkostlivé péči o nestrannost a v tolstojovské víře v dobro »persekvova- </w:t>
      </w:r>
      <w:r>
        <w:rPr>
          <w:b/>
          <w:bCs/>
          <w:sz w:val="19"/>
          <w:szCs w:val="19"/>
        </w:rPr>
        <w:t xml:space="preserve">ných« víc, než měl podle jejich skutečných vědomostí. Ne- konstatuji úplnou beztrestnost studentských demonstrantů (z nichž ostatně velká většina netušila nebo nevěřila, oč vskutku jde) jako něčí zásluhu nebo zvláštní českou ctnost. Mínění o tomto postupu </w:t>
      </w:r>
      <w:r>
        <w:rPr>
          <w:b/>
          <w:bCs/>
          <w:sz w:val="19"/>
          <w:szCs w:val="19"/>
        </w:rPr>
        <w:t>mohou býti rozličná a pak, proč to nepřiznat, uplatnily se tu také vlivy mimouniversitní. Za</w:t>
      </w:r>
      <w:r>
        <w:rPr>
          <w:b/>
          <w:bCs/>
          <w:sz w:val="19"/>
          <w:szCs w:val="19"/>
        </w:rPr>
        <w:softHyphen/>
        <w:t>znamenávám pouze fakta, v jejichž světle se legenda o per</w:t>
      </w:r>
      <w:r>
        <w:rPr>
          <w:b/>
          <w:bCs/>
          <w:sz w:val="19"/>
          <w:szCs w:val="19"/>
        </w:rPr>
        <w:softHyphen/>
        <w:t>sekuci autonomistických posluchačů v Bratislavě rozplývá.</w:t>
      </w:r>
    </w:p>
    <w:p w:rsidR="00500724" w:rsidRDefault="00F30FB8">
      <w:pPr>
        <w:pStyle w:val="Zkladntext100"/>
        <w:shd w:val="clear" w:color="auto" w:fill="auto"/>
        <w:spacing w:after="60" w:line="190" w:lineRule="auto"/>
        <w:rPr>
          <w:sz w:val="19"/>
          <w:szCs w:val="19"/>
        </w:rPr>
      </w:pPr>
      <w:r>
        <w:rPr>
          <w:b/>
          <w:bCs/>
          <w:sz w:val="19"/>
          <w:szCs w:val="19"/>
        </w:rPr>
        <w:t xml:space="preserve">Nebylo zkrátka studentských martyrů na </w:t>
      </w:r>
      <w:r>
        <w:rPr>
          <w:b/>
          <w:bCs/>
          <w:sz w:val="19"/>
          <w:szCs w:val="19"/>
        </w:rPr>
        <w:t>universitě Ko</w:t>
      </w:r>
      <w:r>
        <w:rPr>
          <w:b/>
          <w:bCs/>
          <w:sz w:val="19"/>
          <w:szCs w:val="19"/>
        </w:rPr>
        <w:softHyphen/>
        <w:t>menského. Bylo ovšem trochu vyšetřování, trochu nepří</w:t>
      </w:r>
      <w:r>
        <w:rPr>
          <w:b/>
          <w:bCs/>
          <w:sz w:val="19"/>
          <w:szCs w:val="19"/>
        </w:rPr>
        <w:softHyphen/>
        <w:t>jemností na policií, s nimiž neměla universita co dělat. Snad se někdo z profesorů na některého posluchače mrzutě za</w:t>
      </w:r>
      <w:r>
        <w:rPr>
          <w:b/>
          <w:bCs/>
          <w:sz w:val="19"/>
          <w:szCs w:val="19"/>
        </w:rPr>
        <w:softHyphen/>
        <w:t>tvářil a řekl mu nevlídné slovo. Sám jsem se tím provinil, když mi zást</w:t>
      </w:r>
      <w:r>
        <w:rPr>
          <w:b/>
          <w:bCs/>
          <w:sz w:val="19"/>
          <w:szCs w:val="19"/>
        </w:rPr>
        <w:t>upci fakultního spolku oznámili, že výbor odmítl navrhnouti čestné členství M. Hodžovi k 60. naroze</w:t>
      </w:r>
      <w:r>
        <w:rPr>
          <w:b/>
          <w:bCs/>
          <w:sz w:val="19"/>
          <w:szCs w:val="19"/>
        </w:rPr>
        <w:softHyphen/>
        <w:t>ninám (tomuto stálému příznivci a ochránci slovenských studentů, i těch »persekvovaných), protože prý spisem »Československý rozkol® potupil památku Štúrovu</w:t>
      </w:r>
      <w:r>
        <w:rPr>
          <w:b/>
          <w:bCs/>
          <w:sz w:val="19"/>
          <w:szCs w:val="19"/>
        </w:rPr>
        <w:t>. Dva čelní funkcionáři tohoto spolku byli potom na konci studij</w:t>
      </w:r>
      <w:r>
        <w:rPr>
          <w:b/>
          <w:bCs/>
          <w:sz w:val="19"/>
          <w:szCs w:val="19"/>
        </w:rPr>
        <w:softHyphen/>
        <w:t>ního roku postiženi vyšetřovací vazbou — ovšem ne pro svou činnost universitní, nýbrž jen proto, že podnikli indi</w:t>
      </w:r>
      <w:r>
        <w:rPr>
          <w:b/>
          <w:bCs/>
          <w:sz w:val="19"/>
          <w:szCs w:val="19"/>
        </w:rPr>
        <w:softHyphen/>
        <w:t>viduální akci protižidovskou a se dostali do brachiálního konfliktu s policií</w:t>
      </w:r>
      <w:r>
        <w:rPr>
          <w:b/>
          <w:bCs/>
          <w:sz w:val="19"/>
          <w:szCs w:val="19"/>
        </w:rPr>
        <w:t>.</w:t>
      </w:r>
    </w:p>
    <w:p w:rsidR="00500724" w:rsidRDefault="00F30FB8">
      <w:pPr>
        <w:pStyle w:val="Zkladntext100"/>
        <w:shd w:val="clear" w:color="auto" w:fill="auto"/>
        <w:spacing w:after="60" w:line="187" w:lineRule="auto"/>
        <w:rPr>
          <w:sz w:val="19"/>
          <w:szCs w:val="19"/>
        </w:rPr>
      </w:pPr>
      <w:r>
        <w:rPr>
          <w:b/>
          <w:bCs/>
          <w:sz w:val="19"/>
          <w:szCs w:val="19"/>
        </w:rPr>
        <w:t>Bude-li tedy slovenská vláda udělovali, jak bylo před časem ohlášeno, čestné odznaky těm, kteří trpěli za sta</w:t>
      </w:r>
      <w:r>
        <w:rPr>
          <w:b/>
          <w:bCs/>
          <w:sz w:val="19"/>
          <w:szCs w:val="19"/>
        </w:rPr>
        <w:softHyphen/>
        <w:t>rého režimu, nemohl bych jí doporučiti pro toto vyzname</w:t>
      </w:r>
      <w:r>
        <w:rPr>
          <w:b/>
          <w:bCs/>
          <w:sz w:val="19"/>
          <w:szCs w:val="19"/>
        </w:rPr>
        <w:softHyphen/>
        <w:t>náni nikoho z posluchačů bratislavské university. Nechci tím popírati, že si slovenští k</w:t>
      </w:r>
      <w:r>
        <w:rPr>
          <w:b/>
          <w:bCs/>
          <w:sz w:val="19"/>
          <w:szCs w:val="19"/>
        </w:rPr>
        <w:t>atoličtí studenti, ubytovaní v Svoradově, získali dík cílevědomému vedení značnou zá</w:t>
      </w:r>
      <w:r>
        <w:rPr>
          <w:b/>
          <w:bCs/>
          <w:sz w:val="19"/>
          <w:szCs w:val="19"/>
        </w:rPr>
        <w:softHyphen/>
        <w:t>sluhu o samostatné Slovensko. Titul martyra si však ne</w:t>
      </w:r>
      <w:r>
        <w:rPr>
          <w:b/>
          <w:bCs/>
          <w:sz w:val="19"/>
          <w:szCs w:val="19"/>
        </w:rPr>
        <w:softHyphen/>
        <w:t>vysloužil nikdo z nich, aspoň ne na Komenského universitě.</w:t>
      </w:r>
    </w:p>
    <w:p w:rsidR="00500724" w:rsidRDefault="00F30FB8">
      <w:pPr>
        <w:pStyle w:val="Zkladntext100"/>
        <w:shd w:val="clear" w:color="auto" w:fill="auto"/>
        <w:tabs>
          <w:tab w:val="left" w:pos="3096"/>
        </w:tabs>
        <w:spacing w:after="240" w:line="190" w:lineRule="auto"/>
        <w:rPr>
          <w:sz w:val="20"/>
          <w:szCs w:val="20"/>
        </w:rPr>
      </w:pPr>
      <w:r>
        <w:rPr>
          <w:b/>
          <w:bCs/>
          <w:sz w:val="19"/>
          <w:szCs w:val="19"/>
        </w:rPr>
        <w:t>Ba musím poznamenat!, aniž bych se chtěl dopustili de- nu</w:t>
      </w:r>
      <w:r>
        <w:rPr>
          <w:b/>
          <w:bCs/>
          <w:sz w:val="19"/>
          <w:szCs w:val="19"/>
        </w:rPr>
        <w:t>nciace, že ani slovenští studenti, usměrňovaní Svorado- vem, neměli tušení, že cílem cesty, kterou jsou vedeni, je 14. březen. Jakoukoli narážku v tom smyslu odmítali i nej</w:t>
      </w:r>
      <w:r>
        <w:rPr>
          <w:b/>
          <w:bCs/>
          <w:sz w:val="19"/>
          <w:szCs w:val="19"/>
        </w:rPr>
        <w:softHyphen/>
        <w:t>radikálnější z nich s rozhořčením, myslím, zcela upřím- ným. Vztah slovenských stud</w:t>
      </w:r>
      <w:r>
        <w:rPr>
          <w:b/>
          <w:bCs/>
          <w:sz w:val="19"/>
          <w:szCs w:val="19"/>
        </w:rPr>
        <w:t>entů k českým profesorům byl takřka bez výjimky kladný, ba často přátelsky srdečný. Když měli posluchači po říjnovém převratu dokázati mani- festačním odchodem z přednášek potřebu odstranění čes</w:t>
      </w:r>
      <w:r>
        <w:rPr>
          <w:b/>
          <w:bCs/>
          <w:sz w:val="19"/>
          <w:szCs w:val="19"/>
        </w:rPr>
        <w:softHyphen/>
        <w:t>kých profesorů, »provinívších se na slovenském národě®, fungo</w:t>
      </w:r>
      <w:r>
        <w:rPr>
          <w:b/>
          <w:bCs/>
          <w:sz w:val="19"/>
          <w:szCs w:val="19"/>
        </w:rPr>
        <w:t>valy sice neviditelná režie a tisková služba navenek bezvadně, ale nikdo z odsouzených profesorů nespatřil svých posluchačů. Místo nich kontrolovali vchod do po</w:t>
      </w:r>
      <w:r>
        <w:rPr>
          <w:b/>
          <w:bCs/>
          <w:sz w:val="19"/>
          <w:szCs w:val="19"/>
        </w:rPr>
        <w:softHyphen/>
        <w:t>slucháren a zasedali v lavicích lidé neznámých tváří. Od skutečných našich posluchačů (laických</w:t>
      </w:r>
      <w:r>
        <w:rPr>
          <w:b/>
          <w:bCs/>
          <w:sz w:val="19"/>
          <w:szCs w:val="19"/>
        </w:rPr>
        <w:t xml:space="preserve"> i řeholních!) do</w:t>
      </w:r>
      <w:r>
        <w:rPr>
          <w:b/>
          <w:bCs/>
          <w:sz w:val="19"/>
          <w:szCs w:val="19"/>
        </w:rPr>
        <w:softHyphen/>
        <w:t>stávalo se nám dojemných projevů příchylnosti. V někte</w:t>
      </w:r>
      <w:r>
        <w:rPr>
          <w:b/>
          <w:bCs/>
          <w:sz w:val="19"/>
          <w:szCs w:val="19"/>
        </w:rPr>
        <w:softHyphen/>
        <w:t>rých případech bylo mezi posluchači hotové pobouření pro odstranění oblíbeného učitele. Na slovenské studentstvo, nebo aspoň na jeho převážnou většinu nemohou bývalí pro</w:t>
      </w:r>
      <w:r>
        <w:rPr>
          <w:b/>
          <w:bCs/>
          <w:sz w:val="19"/>
          <w:szCs w:val="19"/>
        </w:rPr>
        <w:softHyphen/>
        <w:t>fesoři univer</w:t>
      </w:r>
      <w:r>
        <w:rPr>
          <w:b/>
          <w:bCs/>
          <w:sz w:val="19"/>
          <w:szCs w:val="19"/>
        </w:rPr>
        <w:t>sity Komenského vzpomínat! jinak než se sympatiemi, jimž nové hranice nejsou a nebudou překáž</w:t>
      </w:r>
      <w:r>
        <w:rPr>
          <w:b/>
          <w:bCs/>
          <w:sz w:val="19"/>
          <w:szCs w:val="19"/>
        </w:rPr>
        <w:softHyphen/>
        <w:t>kou.</w:t>
      </w:r>
      <w:r>
        <w:rPr>
          <w:b/>
          <w:bCs/>
          <w:sz w:val="19"/>
          <w:szCs w:val="19"/>
        </w:rPr>
        <w:tab/>
      </w:r>
      <w:r>
        <w:rPr>
          <w:i/>
          <w:iCs/>
          <w:sz w:val="20"/>
          <w:szCs w:val="20"/>
        </w:rPr>
        <w:t>Jaroslav Ludvíkovský</w:t>
      </w:r>
    </w:p>
    <w:p w:rsidR="00500724" w:rsidRDefault="00F30FB8">
      <w:pPr>
        <w:pStyle w:val="Zkladntext20"/>
        <w:shd w:val="clear" w:color="auto" w:fill="auto"/>
        <w:spacing w:after="60" w:line="180" w:lineRule="auto"/>
        <w:ind w:firstLine="0"/>
        <w:jc w:val="center"/>
        <w:rPr>
          <w:sz w:val="20"/>
          <w:szCs w:val="20"/>
        </w:rPr>
      </w:pPr>
      <w:r>
        <w:rPr>
          <w:b/>
          <w:bCs/>
          <w:sz w:val="20"/>
          <w:szCs w:val="20"/>
        </w:rPr>
        <w:t>Zasmějte se s námi!</w:t>
      </w:r>
    </w:p>
    <w:p w:rsidR="00500724" w:rsidRDefault="00F30FB8">
      <w:pPr>
        <w:pStyle w:val="Zkladntext100"/>
        <w:shd w:val="clear" w:color="auto" w:fill="auto"/>
        <w:spacing w:after="40" w:line="206" w:lineRule="auto"/>
        <w:ind w:firstLine="340"/>
        <w:rPr>
          <w:sz w:val="19"/>
          <w:szCs w:val="19"/>
        </w:rPr>
      </w:pPr>
      <w:r>
        <w:rPr>
          <w:b/>
          <w:bCs/>
          <w:sz w:val="19"/>
          <w:szCs w:val="19"/>
        </w:rPr>
        <w:t>Tvrdí se, že je na světě celkem 490 vtipů, které se v růz</w:t>
      </w:r>
      <w:r>
        <w:rPr>
          <w:b/>
          <w:bCs/>
          <w:sz w:val="19"/>
          <w:szCs w:val="19"/>
        </w:rPr>
        <w:softHyphen/>
        <w:t xml:space="preserve">ných obměnách, úpravách a s aktualisujícími apreturami </w:t>
      </w:r>
      <w:r>
        <w:rPr>
          <w:b/>
          <w:bCs/>
          <w:sz w:val="19"/>
          <w:szCs w:val="19"/>
        </w:rPr>
        <w:t>omílají do nekonečna na posledních stránkách humoru v týdenících, mezi textem deníků nebo ve zvláštních listech, věnovaných výlučně tak zvanému humoru. Přínos oprav i nového vtipu se vítá s takovým nadšením ve světě humo</w:t>
      </w:r>
      <w:r>
        <w:rPr>
          <w:b/>
          <w:bCs/>
          <w:sz w:val="19"/>
          <w:szCs w:val="19"/>
        </w:rPr>
        <w:softHyphen/>
        <w:t>ristů asi jako objev nového prvku m</w:t>
      </w:r>
      <w:r>
        <w:rPr>
          <w:b/>
          <w:bCs/>
          <w:sz w:val="19"/>
          <w:szCs w:val="19"/>
        </w:rPr>
        <w:t>ezi chemiky a přece se zpravidla dodatečně zjisti, že »nový« vtip otiskly v roce 1859 »Fliegende« nebo před šedesáti lety naše »Humory«. Zdá se, že lidská fantasie se po této stránce vyčerpala dříve než zá</w:t>
      </w:r>
      <w:r>
        <w:rPr>
          <w:b/>
          <w:bCs/>
          <w:sz w:val="19"/>
          <w:szCs w:val="19"/>
        </w:rPr>
        <w:softHyphen/>
        <w:t xml:space="preserve">soby uhlí nebo nafty. Jsou ovšem pesimisté, kteří </w:t>
      </w:r>
      <w:r>
        <w:rPr>
          <w:b/>
          <w:bCs/>
          <w:sz w:val="19"/>
          <w:szCs w:val="19"/>
        </w:rPr>
        <w:t>zmíněný počet čtyři sta považují za značně přemrštěnýma odhaduji »Witzschatz« mnohem skromněji, a sledujeme-li jen očima laika stále se opakující vtipy o kloh&amp;nních vacíc.i, tatíčcích, hrajících si se stavebnicemi darovanými dětem, či dokonce o nesmrtelnýc</w:t>
      </w:r>
      <w:r>
        <w:rPr>
          <w:b/>
          <w:bCs/>
          <w:sz w:val="19"/>
          <w:szCs w:val="19"/>
        </w:rPr>
        <w:t>h profesorských deštnících, jsme věru ochot</w:t>
      </w:r>
      <w:r>
        <w:rPr>
          <w:b/>
          <w:bCs/>
          <w:sz w:val="19"/>
          <w:szCs w:val="19"/>
        </w:rPr>
        <w:softHyphen/>
        <w:t>ni se přihlásili pod prapory střízlivých pesimistů. Ježto úpa</w:t>
      </w:r>
      <w:r>
        <w:rPr>
          <w:b/>
          <w:bCs/>
          <w:sz w:val="19"/>
          <w:szCs w:val="19"/>
        </w:rPr>
        <w:softHyphen/>
        <w:t>dek respektive impotence vtipu nemá dalších škodlivých ná</w:t>
      </w:r>
      <w:r>
        <w:rPr>
          <w:b/>
          <w:bCs/>
          <w:sz w:val="19"/>
          <w:szCs w:val="19"/>
        </w:rPr>
        <w:softHyphen/>
        <w:t>sledků na vývoj národa ani lidstva, a to ani po stránce kul</w:t>
      </w:r>
      <w:r>
        <w:rPr>
          <w:b/>
          <w:bCs/>
          <w:sz w:val="19"/>
          <w:szCs w:val="19"/>
        </w:rPr>
        <w:softHyphen/>
        <w:t xml:space="preserve">turní ani zdravotní, ěi dokonce </w:t>
      </w:r>
      <w:r>
        <w:rPr>
          <w:b/>
          <w:bCs/>
          <w:sz w:val="19"/>
          <w:szCs w:val="19"/>
        </w:rPr>
        <w:t>hospodářské, konstatujeme to prostě a nepřiěiňujeme poznámek, vyjadřujících lítost nad tragedií vtipu nebo dávajících dobré rady v podobě jakýchsi hormonů, jež by oživily tvůrěí schopnost našich i světo</w:t>
      </w:r>
      <w:r>
        <w:rPr>
          <w:b/>
          <w:bCs/>
          <w:sz w:val="19"/>
          <w:szCs w:val="19"/>
        </w:rPr>
        <w:softHyphen/>
        <w:t>vých anekdotistů. Smířili jsme se s tím, že budeme ji</w:t>
      </w:r>
      <w:r>
        <w:rPr>
          <w:b/>
          <w:bCs/>
          <w:sz w:val="19"/>
          <w:szCs w:val="19"/>
        </w:rPr>
        <w:t>ž stále jen ěísti a slyšeti staré vtipy, a budeme si nanejvýš všímali, podivovati nebo snad i smáti jejich nové versi, přizpůsobení a hlavně omlazujícímu emailu, který zakrývá nelítostné vrásky starobylosti. Není nových myšlenek, jen se staré opakují a pře</w:t>
      </w:r>
      <w:r>
        <w:rPr>
          <w:b/>
          <w:bCs/>
          <w:sz w:val="19"/>
          <w:szCs w:val="19"/>
        </w:rPr>
        <w:t>dělávají. Je to obdobné jako u módy.</w:t>
      </w:r>
    </w:p>
    <w:p w:rsidR="00500724" w:rsidRDefault="00F30FB8">
      <w:pPr>
        <w:pStyle w:val="Zkladntext100"/>
        <w:shd w:val="clear" w:color="auto" w:fill="auto"/>
        <w:spacing w:after="40" w:line="185" w:lineRule="auto"/>
        <w:ind w:firstLine="320"/>
        <w:rPr>
          <w:sz w:val="19"/>
          <w:szCs w:val="19"/>
        </w:rPr>
      </w:pPr>
      <w:r>
        <w:rPr>
          <w:b/>
          <w:bCs/>
          <w:sz w:val="19"/>
          <w:szCs w:val="19"/>
        </w:rPr>
        <w:t xml:space="preserve">Jednou po letech budou naši potomci ěísti s údivem naše vtipy a budou nás podezírali, že jsme se jim snad i smáli. To by nás koneěně nemuselo bolet. Horší však je pomyšlení, že si oni lidé z příštího tisíciletí učiní o </w:t>
      </w:r>
      <w:r>
        <w:rPr>
          <w:b/>
          <w:bCs/>
          <w:sz w:val="19"/>
          <w:szCs w:val="19"/>
        </w:rPr>
        <w:t xml:space="preserve">svých ctihodných předcích představu jako o surových cynicích, jimž je smrt něco tak všedního jako denní jídlo, o níž lze vtipkovat jako o přesolené polévce nebo spálených buchtách. Zde aspoň dvě ukázky. První je trochu starší: Dostaveníčko ve Španělsku. — </w:t>
      </w:r>
      <w:r>
        <w:rPr>
          <w:b/>
          <w:bCs/>
          <w:sz w:val="19"/>
          <w:szCs w:val="19"/>
        </w:rPr>
        <w:t>Seňore, neviděl jste tu mladého muže S kytarou? Smluvili jsme si schůzku u vaší trafiky. — Vi</w:t>
      </w:r>
      <w:r>
        <w:rPr>
          <w:b/>
          <w:bCs/>
          <w:sz w:val="19"/>
          <w:szCs w:val="19"/>
        </w:rPr>
        <w:softHyphen/>
        <w:t>děl, krásná seňorito. Stál tu ještě před leteckým útokem, ale zbyl z něho jenom tamhleten mastný flek.</w:t>
      </w:r>
    </w:p>
    <w:p w:rsidR="00500724" w:rsidRDefault="00F30FB8">
      <w:pPr>
        <w:pStyle w:val="Zkladntext100"/>
        <w:shd w:val="clear" w:color="auto" w:fill="auto"/>
        <w:spacing w:after="40" w:line="180" w:lineRule="auto"/>
        <w:ind w:firstLine="320"/>
        <w:rPr>
          <w:sz w:val="19"/>
          <w:szCs w:val="19"/>
        </w:rPr>
      </w:pPr>
      <w:r>
        <w:rPr>
          <w:b/>
          <w:bCs/>
          <w:sz w:val="19"/>
          <w:szCs w:val="19"/>
        </w:rPr>
        <w:t>Druhá je nejnovějšího ražení: U Kanibalů: — Proč pak náš ná</w:t>
      </w:r>
      <w:r>
        <w:rPr>
          <w:b/>
          <w:bCs/>
          <w:sz w:val="19"/>
          <w:szCs w:val="19"/>
        </w:rPr>
        <w:t>čelník odfukuje ve.spaní bublinky? — Ale to je od toho, že měl k obědu agenta s mejdlem.</w:t>
      </w:r>
    </w:p>
    <w:p w:rsidR="00500724" w:rsidRDefault="00F30FB8">
      <w:pPr>
        <w:pStyle w:val="Zkladntext100"/>
        <w:shd w:val="clear" w:color="auto" w:fill="auto"/>
        <w:spacing w:after="40" w:line="185" w:lineRule="auto"/>
        <w:ind w:firstLine="320"/>
        <w:rPr>
          <w:sz w:val="19"/>
          <w:szCs w:val="19"/>
        </w:rPr>
      </w:pPr>
      <w:r>
        <w:rPr>
          <w:b/>
          <w:bCs/>
          <w:sz w:val="19"/>
          <w:szCs w:val="19"/>
        </w:rPr>
        <w:t>Oba »vtipy« jsou citovány zpaměti, proto souhlasí s ori</w:t>
      </w:r>
      <w:r>
        <w:rPr>
          <w:b/>
          <w:bCs/>
          <w:sz w:val="19"/>
          <w:szCs w:val="19"/>
        </w:rPr>
        <w:softHyphen/>
        <w:t>ginály, jež byly otištěny v českém časopise, ne snad doslo</w:t>
      </w:r>
      <w:r>
        <w:rPr>
          <w:b/>
          <w:bCs/>
          <w:sz w:val="19"/>
          <w:szCs w:val="19"/>
        </w:rPr>
        <w:softHyphen/>
        <w:t>va, nýbrž jen obsahem, ale jistě stačí i tak.</w:t>
      </w:r>
    </w:p>
    <w:p w:rsidR="00500724" w:rsidRDefault="00F30FB8">
      <w:pPr>
        <w:pStyle w:val="Zkladntext100"/>
        <w:shd w:val="clear" w:color="auto" w:fill="auto"/>
        <w:tabs>
          <w:tab w:val="left" w:pos="4445"/>
        </w:tabs>
        <w:spacing w:after="300" w:line="185" w:lineRule="auto"/>
        <w:ind w:firstLine="320"/>
        <w:rPr>
          <w:sz w:val="20"/>
          <w:szCs w:val="20"/>
        </w:rPr>
      </w:pPr>
      <w:r>
        <w:rPr>
          <w:b/>
          <w:bCs/>
          <w:sz w:val="19"/>
          <w:szCs w:val="19"/>
        </w:rPr>
        <w:t>Je sic</w:t>
      </w:r>
      <w:r>
        <w:rPr>
          <w:b/>
          <w:bCs/>
          <w:sz w:val="19"/>
          <w:szCs w:val="19"/>
        </w:rPr>
        <w:t>e pravda, že smoderní doba« se svými nezbytnými přídavky modernosti, jako je válka, atentáty, sebevraždy, po</w:t>
      </w:r>
      <w:r>
        <w:rPr>
          <w:b/>
          <w:bCs/>
          <w:sz w:val="19"/>
          <w:szCs w:val="19"/>
        </w:rPr>
        <w:softHyphen/>
        <w:t>uliční, silniční, letecká, tovární i jiná neštěstí, odnaučila nás důkladně přecitlivělosti a slabosti »in puncto mortis«, ale přece jen z nás neudě</w:t>
      </w:r>
      <w:r>
        <w:rPr>
          <w:b/>
          <w:bCs/>
          <w:sz w:val="19"/>
          <w:szCs w:val="19"/>
        </w:rPr>
        <w:t>lala takové surovce, aby nám násilná smrt měla být námětem »fóru«, za nějž autor dostane pět až deset korun. Rčení o »majestátu smrti« je hodně otřepa</w:t>
      </w:r>
      <w:r>
        <w:rPr>
          <w:b/>
          <w:bCs/>
          <w:sz w:val="19"/>
          <w:szCs w:val="19"/>
        </w:rPr>
        <w:softHyphen/>
        <w:t>né, přes to však zůstává stále pravdivé. I před mrtvým ne</w:t>
      </w:r>
      <w:r>
        <w:rPr>
          <w:b/>
          <w:bCs/>
          <w:sz w:val="19"/>
          <w:szCs w:val="19"/>
        </w:rPr>
        <w:softHyphen/>
        <w:t>přítelem skláníme hlavu a dělá-li někdo vtipy n</w:t>
      </w:r>
      <w:r>
        <w:rPr>
          <w:b/>
          <w:bCs/>
          <w:sz w:val="19"/>
          <w:szCs w:val="19"/>
        </w:rPr>
        <w:t>a smrt a mrtvé, páše násilí na své lidské přirozenosti. Stačí, že si »ulejváme« z choromysiných, koktavých, hrbatých, šilha</w:t>
      </w:r>
      <w:r>
        <w:rPr>
          <w:b/>
          <w:bCs/>
          <w:sz w:val="19"/>
          <w:szCs w:val="19"/>
        </w:rPr>
        <w:softHyphen/>
        <w:t>vých, hluchých a jiných jim podobných nešťastníků, mrtvé je však nechati na pokoji. Kdybych byl členem zákonodár</w:t>
      </w:r>
      <w:r>
        <w:rPr>
          <w:b/>
          <w:bCs/>
          <w:sz w:val="19"/>
          <w:szCs w:val="19"/>
        </w:rPr>
        <w:softHyphen/>
        <w:t xml:space="preserve">ného sborn, učinil </w:t>
      </w:r>
      <w:r>
        <w:rPr>
          <w:b/>
          <w:bCs/>
          <w:sz w:val="19"/>
          <w:szCs w:val="19"/>
        </w:rPr>
        <w:t>bych návrh, aby každý vtin na mrtvé byl trestán. Takto jen musíme apelovat! na vtipkáře slovem i kresbou, aby nás ušetřili podobných nevkusiřpstí a nama</w:t>
      </w:r>
      <w:r>
        <w:rPr>
          <w:b/>
          <w:bCs/>
          <w:sz w:val="19"/>
          <w:szCs w:val="19"/>
        </w:rPr>
        <w:softHyphen/>
        <w:t>lovali zásady: De mortuis...</w:t>
      </w:r>
      <w:r>
        <w:rPr>
          <w:b/>
          <w:bCs/>
          <w:sz w:val="19"/>
          <w:szCs w:val="19"/>
        </w:rPr>
        <w:tab/>
      </w:r>
      <w:r>
        <w:rPr>
          <w:i/>
          <w:iCs/>
          <w:sz w:val="20"/>
          <w:szCs w:val="20"/>
        </w:rPr>
        <w:t>&amp; K</w:t>
      </w:r>
    </w:p>
    <w:p w:rsidR="00500724" w:rsidRDefault="00F30FB8">
      <w:pPr>
        <w:pStyle w:val="Jin0"/>
        <w:pBdr>
          <w:bottom w:val="single" w:sz="4" w:space="0" w:color="auto"/>
        </w:pBdr>
        <w:shd w:val="clear" w:color="auto" w:fill="auto"/>
        <w:spacing w:after="220"/>
        <w:ind w:firstLine="0"/>
        <w:jc w:val="left"/>
        <w:rPr>
          <w:sz w:val="44"/>
          <w:szCs w:val="44"/>
        </w:rPr>
      </w:pPr>
      <w:r>
        <w:rPr>
          <w:b/>
          <w:bCs/>
          <w:sz w:val="44"/>
          <w:szCs w:val="44"/>
        </w:rPr>
        <w:t>politika</w:t>
      </w:r>
    </w:p>
    <w:p w:rsidR="00500724" w:rsidRDefault="00F30FB8">
      <w:pPr>
        <w:pStyle w:val="Zkladntext100"/>
        <w:shd w:val="clear" w:color="auto" w:fill="auto"/>
        <w:spacing w:after="40" w:line="240" w:lineRule="auto"/>
        <w:ind w:firstLine="0"/>
        <w:rPr>
          <w:sz w:val="19"/>
          <w:szCs w:val="19"/>
        </w:rPr>
      </w:pPr>
      <w:r>
        <w:rPr>
          <w:i/>
          <w:iCs/>
          <w:sz w:val="19"/>
          <w:szCs w:val="19"/>
        </w:rPr>
        <w:t>Milena Jesenská:</w:t>
      </w:r>
    </w:p>
    <w:p w:rsidR="00500724" w:rsidRDefault="00F30FB8">
      <w:pPr>
        <w:pStyle w:val="Nadpis100"/>
        <w:shd w:val="clear" w:color="auto" w:fill="auto"/>
        <w:spacing w:line="240" w:lineRule="auto"/>
      </w:pPr>
      <w:bookmarkStart w:id="527" w:name="bookmark526"/>
      <w:r>
        <w:t>Promiňte, že nešeptám</w:t>
      </w:r>
      <w:bookmarkEnd w:id="527"/>
    </w:p>
    <w:p w:rsidR="00500724" w:rsidRDefault="00F30FB8">
      <w:pPr>
        <w:pStyle w:val="Zkladntext100"/>
        <w:shd w:val="clear" w:color="auto" w:fill="auto"/>
        <w:spacing w:after="40" w:line="240" w:lineRule="auto"/>
        <w:ind w:firstLine="220"/>
        <w:rPr>
          <w:sz w:val="20"/>
          <w:szCs w:val="20"/>
        </w:rPr>
      </w:pPr>
      <w:r>
        <w:rPr>
          <w:sz w:val="19"/>
          <w:szCs w:val="19"/>
        </w:rPr>
        <w:t xml:space="preserve">Stalo se u nás zvykem </w:t>
      </w:r>
      <w:r>
        <w:rPr>
          <w:sz w:val="19"/>
          <w:szCs w:val="19"/>
        </w:rPr>
        <w:t>šeptati, místo mluviti nahlas. Lidé tlumí hlas, chtějí-li vyjádřiti svoje názory a na</w:t>
      </w:r>
      <w:r>
        <w:rPr>
          <w:sz w:val="19"/>
          <w:szCs w:val="19"/>
        </w:rPr>
        <w:softHyphen/>
        <w:t>děje. Není skoro člověka, který by něco ^naprosto jisté</w:t>
      </w:r>
      <w:r>
        <w:rPr>
          <w:sz w:val="19"/>
          <w:szCs w:val="19"/>
        </w:rPr>
        <w:softHyphen/>
        <w:t>ho* nevěděl. Jeden ví, že Rusko dalo tajný návrh Anglii? Druhý, že Francie donutila Rusko, aby... .? Třetí, že dne</w:t>
      </w:r>
      <w:r>
        <w:rPr>
          <w:sz w:val="19"/>
          <w:szCs w:val="19"/>
        </w:rPr>
        <w:t xml:space="preserve"> 15. července bude zabráno Maďarsko? Čtvrtý, že sedmého září vypukne válka? Pátý, že je veliké napětí mezi Itálií a Německem? Šestý, že jsou nejlepšími přáteli? Každý to ví docela jistě a nepochyb</w:t>
      </w:r>
      <w:r>
        <w:rPr>
          <w:sz w:val="19"/>
          <w:szCs w:val="19"/>
        </w:rPr>
        <w:softHyphen/>
        <w:t>ně. Jedna fantastická zpráva stihá druhou. Jedno ro</w:t>
      </w:r>
      <w:r>
        <w:rPr>
          <w:sz w:val="19"/>
          <w:szCs w:val="19"/>
        </w:rPr>
        <w:softHyphen/>
        <w:t>mantick</w:t>
      </w:r>
      <w:r>
        <w:rPr>
          <w:sz w:val="19"/>
          <w:szCs w:val="19"/>
        </w:rPr>
        <w:t>é proroctví předstihuje druhé. Zůstanou-li dva lidé o samotě, začínají šeptat. A šepot mnoha lidí není už šepotem, nýbrž hlasitou sykavkou. Jeho bzučivý tón doléhá i k Němcům a dotýká se nepříjemně jejich ucha. Nerozumějíce, co šeptáme, představují si to p</w:t>
      </w:r>
      <w:r>
        <w:rPr>
          <w:sz w:val="19"/>
          <w:szCs w:val="19"/>
        </w:rPr>
        <w:t>ouze. A nechápajíce, proč vlastně šeptáme, stávají se po</w:t>
      </w:r>
      <w:r>
        <w:rPr>
          <w:sz w:val="19"/>
          <w:szCs w:val="19"/>
        </w:rPr>
        <w:softHyphen/>
        <w:t xml:space="preserve">drážděnými. Hledají i v našich hlasitých a saino- </w:t>
      </w:r>
      <w:r>
        <w:rPr>
          <w:rFonts w:ascii="Arial" w:eastAsia="Arial" w:hAnsi="Arial" w:cs="Arial"/>
          <w:b/>
          <w:bCs/>
          <w:i/>
          <w:iCs/>
          <w:sz w:val="20"/>
          <w:szCs w:val="20"/>
        </w:rPr>
        <w:t>SíS</w:t>
      </w:r>
    </w:p>
    <w:p w:rsidR="00500724" w:rsidRDefault="00F30FB8">
      <w:pPr>
        <w:pStyle w:val="Zkladntext100"/>
        <w:shd w:val="clear" w:color="auto" w:fill="auto"/>
        <w:spacing w:line="228" w:lineRule="auto"/>
        <w:ind w:firstLine="0"/>
        <w:rPr>
          <w:sz w:val="19"/>
          <w:szCs w:val="19"/>
        </w:rPr>
      </w:pPr>
      <w:r>
        <w:rPr>
          <w:sz w:val="19"/>
          <w:szCs w:val="19"/>
        </w:rPr>
        <w:t xml:space="preserve">zřejmých projevech cosi šeptaného, symbolického </w:t>
      </w:r>
      <w:r>
        <w:rPr>
          <w:b/>
          <w:bCs/>
          <w:sz w:val="14"/>
          <w:szCs w:val="14"/>
        </w:rPr>
        <w:t xml:space="preserve">a </w:t>
      </w:r>
      <w:r>
        <w:rPr>
          <w:sz w:val="19"/>
          <w:szCs w:val="19"/>
        </w:rPr>
        <w:t>hovoří o falešném patosu.</w:t>
      </w:r>
    </w:p>
    <w:p w:rsidR="00500724" w:rsidRDefault="00F30FB8">
      <w:pPr>
        <w:pStyle w:val="Zkladntext100"/>
        <w:shd w:val="clear" w:color="auto" w:fill="auto"/>
        <w:spacing w:line="240" w:lineRule="auto"/>
        <w:ind w:firstLine="240"/>
        <w:rPr>
          <w:sz w:val="19"/>
          <w:szCs w:val="19"/>
        </w:rPr>
      </w:pPr>
      <w:r>
        <w:rPr>
          <w:sz w:val="19"/>
          <w:szCs w:val="19"/>
        </w:rPr>
        <w:t>Někdy na počátku druhé polovice března napsaly o nás německé noviny a</w:t>
      </w:r>
      <w:r>
        <w:rPr>
          <w:sz w:val="19"/>
          <w:szCs w:val="19"/>
        </w:rPr>
        <w:t xml:space="preserve">si toto: chápeme, že nás Češi vítají chladně. Není to ani jinak možné. Vztah mezi námi musí se vyvinout a je zapotřebí, abychom měli trpělivost s lidem, který v poslední době tolik zkusil. Od </w:t>
      </w:r>
      <w:r>
        <w:rPr>
          <w:i/>
          <w:iCs/>
          <w:sz w:val="19"/>
          <w:szCs w:val="19"/>
        </w:rPr>
        <w:t>15.</w:t>
      </w:r>
      <w:r>
        <w:rPr>
          <w:sz w:val="19"/>
          <w:szCs w:val="19"/>
        </w:rPr>
        <w:t xml:space="preserve"> března uplynuly dva měsíce a mezi Němci se snad jeví známky </w:t>
      </w:r>
      <w:r>
        <w:rPr>
          <w:sz w:val="19"/>
          <w:szCs w:val="19"/>
        </w:rPr>
        <w:t xml:space="preserve">netrpělivosti. Domnívají se, že naše intensivní národní cítění, dnes tak soustředěné a mocné, vyjadřuje něco, co bychom měli tajiti. Z úst muže, který je Němec, slyšíme, že jsme falešně patetičtí: klademe-lí kytičky k sochám svých velikých představitelů a </w:t>
      </w:r>
      <w:r>
        <w:rPr>
          <w:sz w:val="19"/>
          <w:szCs w:val="19"/>
        </w:rPr>
        <w:t>pohřbí- váme-li své slavné dojatěji a okázaleji, než jsme činili dříve.</w:t>
      </w:r>
    </w:p>
    <w:p w:rsidR="00500724" w:rsidRDefault="00F30FB8">
      <w:pPr>
        <w:pStyle w:val="Zkladntext100"/>
        <w:shd w:val="clear" w:color="auto" w:fill="auto"/>
        <w:spacing w:line="211" w:lineRule="auto"/>
        <w:ind w:firstLine="240"/>
        <w:rPr>
          <w:sz w:val="19"/>
          <w:szCs w:val="19"/>
        </w:rPr>
      </w:pPr>
      <w:r>
        <w:rPr>
          <w:sz w:val="19"/>
          <w:szCs w:val="19"/>
        </w:rPr>
        <w:t>Domníváme se, že právě Němec pochopí, co národu a jeho posilnění znamená patos. Mohu říci, že mi je toho našeho patosu málo. Jsme národ tak skromný a nepatetický, že je třeba pěstiti p</w:t>
      </w:r>
      <w:r>
        <w:rPr>
          <w:sz w:val="19"/>
          <w:szCs w:val="19"/>
        </w:rPr>
        <w:t>atos mezi námi, jako je třeba budovati všechny pilíře národního cítění. Máme tak pranepatrný smysl pro patos a tak vyslovený stud řed patetickým slovem, že je nám vždycky bližší rvavý, bolestný a ve svém pojetí velkorysý vtip, než patos. Právě této vlastno</w:t>
      </w:r>
      <w:r>
        <w:rPr>
          <w:sz w:val="19"/>
          <w:szCs w:val="19"/>
        </w:rPr>
        <w:t>sti jsem se nejvíc obávala. Ačkoli miluji český smysl pro humor, jsou dny, kdy je dobře, aby bylo humoru méně, než více. Nejlepší vtipy a nejhlubší, mají, jak známo židé. Z rozedranosti bídného osudu pramení vtip, který přetéká krví. Jsou vtipy mezi českým</w:t>
      </w:r>
      <w:r>
        <w:rPr>
          <w:sz w:val="19"/>
          <w:szCs w:val="19"/>
        </w:rPr>
        <w:t xml:space="preserve"> lidem, které se podobají svou filosofickou hloubkou a beznadějnou ironií židovským. Nemohu se smát, když je slyším, třebaže je shledávám úžasné. Nepřála bych svému národu této mentální a osudové rozeklanosti, která je tak úrodná pro skep</w:t>
      </w:r>
      <w:r>
        <w:rPr>
          <w:sz w:val="19"/>
          <w:szCs w:val="19"/>
        </w:rPr>
        <w:softHyphen/>
        <w:t>tickou ironii. Kd</w:t>
      </w:r>
      <w:r>
        <w:rPr>
          <w:sz w:val="19"/>
          <w:szCs w:val="19"/>
        </w:rPr>
        <w:t>yž jsem viděla sněženky u hrobu Ne</w:t>
      </w:r>
      <w:r>
        <w:rPr>
          <w:sz w:val="19"/>
          <w:szCs w:val="19"/>
        </w:rPr>
        <w:softHyphen/>
        <w:t xml:space="preserve">známého vojína, u sv. Václava, u Husa, když jsem viděla Máchův pohřeb a pietní vzpomínky na Smetanovu smrt, věděla jsem: to je zdravé, jasné a správné. Kdo dovede udělat vtip, i sebe vznešenější, jedná jako člověk, který </w:t>
      </w:r>
      <w:r>
        <w:rPr>
          <w:sz w:val="19"/>
          <w:szCs w:val="19"/>
        </w:rPr>
        <w:t>něco od sebe odhání a něco zlehčuje. Kdo dovede klást květiny a nebojí se patetických' slov, váží v nitru váhu svého úkolu. Nemáme dnes větší úkol, než je naše národní svébytnost, a nacházíme-M nový patos vůči tomuto úkolu, je vidět, že nám ten úkol dnes l</w:t>
      </w:r>
      <w:r>
        <w:rPr>
          <w:sz w:val="19"/>
          <w:szCs w:val="19"/>
        </w:rPr>
        <w:t>eží na srdci právě tak, jako Němcům jejich. A protože je v zájmu obou národů, aby stáli proti sobě jako přímí a čestní sousedi, nevím, proč by tento vroucí, vznešený, zdravý a krásný český patos měl být</w:t>
      </w:r>
    </w:p>
    <w:p w:rsidR="00500724" w:rsidRDefault="00F30FB8">
      <w:pPr>
        <w:pStyle w:val="Zkladntext100"/>
        <w:shd w:val="clear" w:color="auto" w:fill="auto"/>
        <w:spacing w:line="211" w:lineRule="auto"/>
        <w:ind w:firstLine="0"/>
        <w:rPr>
          <w:sz w:val="19"/>
          <w:szCs w:val="19"/>
        </w:rPr>
      </w:pPr>
      <w:r>
        <w:rPr>
          <w:sz w:val="19"/>
          <w:szCs w:val="19"/>
        </w:rPr>
        <w:t>zlehčován.</w:t>
      </w:r>
    </w:p>
    <w:p w:rsidR="00500724" w:rsidRDefault="00F30FB8">
      <w:pPr>
        <w:pStyle w:val="Nadpis80"/>
        <w:keepNext/>
        <w:keepLines/>
        <w:shd w:val="clear" w:color="auto" w:fill="auto"/>
        <w:spacing w:after="0" w:line="180" w:lineRule="auto"/>
        <w:jc w:val="center"/>
      </w:pPr>
      <w:bookmarkStart w:id="528" w:name="bookmark527"/>
      <w:r>
        <w:rPr>
          <w:u w:val="none"/>
        </w:rPr>
        <w:t>0</w:t>
      </w:r>
      <w:bookmarkEnd w:id="528"/>
    </w:p>
    <w:p w:rsidR="00500724" w:rsidRDefault="00F30FB8">
      <w:pPr>
        <w:pStyle w:val="Zkladntext100"/>
        <w:shd w:val="clear" w:color="auto" w:fill="auto"/>
        <w:spacing w:line="233" w:lineRule="auto"/>
        <w:ind w:firstLine="240"/>
        <w:rPr>
          <w:sz w:val="19"/>
          <w:szCs w:val="19"/>
        </w:rPr>
      </w:pPr>
      <w:r>
        <w:rPr>
          <w:sz w:val="19"/>
          <w:szCs w:val="19"/>
        </w:rPr>
        <w:t xml:space="preserve">»... es </w:t>
      </w:r>
      <w:r>
        <w:rPr>
          <w:sz w:val="19"/>
          <w:szCs w:val="19"/>
          <w:lang w:val="en-US" w:eastAsia="en-US" w:bidi="en-US"/>
        </w:rPr>
        <w:t xml:space="preserve">gilt </w:t>
      </w:r>
      <w:r>
        <w:rPr>
          <w:sz w:val="19"/>
          <w:szCs w:val="19"/>
        </w:rPr>
        <w:t>ja gerade Verstandnis dafúr</w:t>
      </w:r>
      <w:r>
        <w:rPr>
          <w:sz w:val="19"/>
          <w:szCs w:val="19"/>
        </w:rPr>
        <w:t xml:space="preserve"> zu wecken, dass es nie mehr eine kámpferische Sendung des tschechischen Volkes geben wird....« napsal pan Wannemacher, šéfredaktor j&gt;Der Neue Tag«. Pan re</w:t>
      </w:r>
      <w:r>
        <w:rPr>
          <w:sz w:val="19"/>
          <w:szCs w:val="19"/>
        </w:rPr>
        <w:softHyphen/>
        <w:t>daktor Wannemacher žije už dlouho mezi námi. Jako dlouholetý redaktor »Prager Tagblattu«, jako šéf</w:t>
      </w:r>
      <w:r>
        <w:rPr>
          <w:sz w:val="19"/>
          <w:szCs w:val="19"/>
        </w:rPr>
        <w:softHyphen/>
        <w:t>r</w:t>
      </w:r>
      <w:r>
        <w:rPr>
          <w:sz w:val="19"/>
          <w:szCs w:val="19"/>
        </w:rPr>
        <w:t>edaktor »Zeitu« napřed v Praze, potom — v napjatých dnech — v Liberci — poznal Čechy jistě velmi důklad</w:t>
      </w:r>
      <w:r>
        <w:rPr>
          <w:sz w:val="19"/>
          <w:szCs w:val="19"/>
        </w:rPr>
        <w:softHyphen/>
        <w:t xml:space="preserve">ně. V jeho článku je mezi řádky šeptem odpověděno na to, o čem se pan redaktor Wannemacher domnívá, že šeptáme my. Dvojnásobný šepot jasnosti nepřidá a </w:t>
      </w:r>
      <w:r>
        <w:rPr>
          <w:sz w:val="19"/>
          <w:szCs w:val="19"/>
        </w:rPr>
        <w:t>budiž mi dovoleno nešeptati.</w:t>
      </w:r>
    </w:p>
    <w:p w:rsidR="00500724" w:rsidRDefault="00F30FB8">
      <w:pPr>
        <w:pStyle w:val="Zkladntext100"/>
        <w:shd w:val="clear" w:color="auto" w:fill="auto"/>
        <w:spacing w:after="60" w:line="233" w:lineRule="auto"/>
        <w:ind w:firstLine="240"/>
        <w:rPr>
          <w:sz w:val="19"/>
          <w:szCs w:val="19"/>
        </w:rPr>
      </w:pPr>
      <w:r>
        <w:rPr>
          <w:sz w:val="19"/>
          <w:szCs w:val="19"/>
        </w:rPr>
        <w:t xml:space="preserve">Je pravda, že celý český národ stojí jednak beze zbraně a bez vojáků a jednak v nové situaci, kdy mu nebude bojovati s puškou v ruce. To všichni víme. Přes to však považuji za mylné domnívati se, že český národ nebude už nikdy </w:t>
      </w:r>
      <w:r>
        <w:rPr>
          <w:sz w:val="19"/>
          <w:szCs w:val="19"/>
        </w:rPr>
        <w:t>bojovati. Naopak, mně se zdá, že český národ právě bojovati začíná. Což nebojuje sadař, aby vychoval pevné a zdravé stromy? Což ne</w:t>
      </w:r>
      <w:r>
        <w:rPr>
          <w:sz w:val="19"/>
          <w:szCs w:val="19"/>
        </w:rPr>
        <w:softHyphen/>
        <w:t>bojuje učitel, aby vychoval bystré a duševně schopné děti? Což nebojuje novinář, aby vybudoval pevný styk s čtenáři? Což nebo</w:t>
      </w:r>
      <w:r>
        <w:rPr>
          <w:sz w:val="19"/>
          <w:szCs w:val="19"/>
        </w:rPr>
        <w:t>juje spisovatel, hudebník, aby sdělil svoji myšlenku? Což nebojuje vůdce národa, aby scelil svůj národ a dal mu odvahu znát se ku své věci? Což se bojuje pouze kulomety? Nebojoval vůdce německého národa s holými dlaněmi a pouhou myšlénkou a slovem, když vy</w:t>
      </w:r>
      <w:r>
        <w:rPr>
          <w:sz w:val="19"/>
          <w:szCs w:val="19"/>
        </w:rPr>
        <w:t>váděl německý národ ze stavu roztříštění ve stav jednotný? Není myšlenka zbraň, která předčí ostrost a hrozivost všech zbraní? A není národní myšlenka naše právě tak únosná jako národní myšlenka kteréhokoli národa?</w:t>
      </w:r>
    </w:p>
    <w:p w:rsidR="00500724" w:rsidRDefault="00F30FB8">
      <w:pPr>
        <w:pStyle w:val="Zkladntext100"/>
        <w:shd w:val="clear" w:color="auto" w:fill="auto"/>
        <w:spacing w:after="280" w:line="211" w:lineRule="auto"/>
        <w:ind w:firstLine="220"/>
        <w:rPr>
          <w:sz w:val="19"/>
          <w:szCs w:val="19"/>
        </w:rPr>
      </w:pPr>
      <w:r>
        <w:rPr>
          <w:sz w:val="19"/>
          <w:szCs w:val="19"/>
        </w:rPr>
        <w:t>Pravda, bojuje jen ten, kdo se cítí ohrož</w:t>
      </w:r>
      <w:r>
        <w:rPr>
          <w:sz w:val="19"/>
          <w:szCs w:val="19"/>
        </w:rPr>
        <w:t>en. My Češi chceme věřit, že nemáme příčiny, cítit se ohroženi, po</w:t>
      </w:r>
      <w:r>
        <w:rPr>
          <w:sz w:val="19"/>
          <w:szCs w:val="19"/>
        </w:rPr>
        <w:softHyphen/>
        <w:t>něvadž máme slib a slovo, které nám zaručuje národní autonomii a svébytnost. Není však malý národ vždycky ohrožen, jako je ohrožena věc útlá a křehká ve vichřici života? Nemusíme více než k</w:t>
      </w:r>
      <w:r>
        <w:rPr>
          <w:sz w:val="19"/>
          <w:szCs w:val="19"/>
        </w:rPr>
        <w:t xml:space="preserve">dy jindy bojovali právě </w:t>
      </w:r>
      <w:r>
        <w:rPr>
          <w:b/>
          <w:bCs/>
          <w:sz w:val="19"/>
          <w:szCs w:val="19"/>
        </w:rPr>
        <w:t xml:space="preserve">o </w:t>
      </w:r>
      <w:r>
        <w:rPr>
          <w:sz w:val="19"/>
          <w:szCs w:val="19"/>
        </w:rPr>
        <w:t>to, aby útlý a křehký život našeho národa zapustil kořeny nejhlubší? A nemusíme bojovat právě proto, že nemáme už, jako jsme měli dříve, zbraní? Ve své řeči řekl německý Vůdce a říšský kancléř několik slov o Češích. Nazval je stat</w:t>
      </w:r>
      <w:r>
        <w:rPr>
          <w:sz w:val="19"/>
          <w:szCs w:val="19"/>
        </w:rPr>
        <w:t>ečným národem. Poslouchajíc tato slova, byla jsem si vědoma, že chtějí být vlídná. Právě tak jsem si byla vědoma, že jsme si jich plně nezasloužili. Byli jsme odhodlaným národem. Ku sta</w:t>
      </w:r>
      <w:r>
        <w:rPr>
          <w:sz w:val="19"/>
          <w:szCs w:val="19"/>
        </w:rPr>
        <w:softHyphen/>
        <w:t>tečnosti nám nebyla dána příležitost. Teprve budoucí měsíce a léta uká</w:t>
      </w:r>
      <w:r>
        <w:rPr>
          <w:sz w:val="19"/>
          <w:szCs w:val="19"/>
        </w:rPr>
        <w:t>ží, jsme-li statečný národ. V našem případě to znamená toto: dovedeme-íi udržet svůj ná</w:t>
      </w:r>
      <w:r>
        <w:rPr>
          <w:sz w:val="19"/>
          <w:szCs w:val="19"/>
        </w:rPr>
        <w:softHyphen/>
        <w:t>rodní výraz a svoji národní hrdost přes to, že jsme jako ostrov omýváni příbojem a mocnými vlnami národu jinélío.</w:t>
      </w:r>
    </w:p>
    <w:p w:rsidR="00500724" w:rsidRDefault="00F30FB8">
      <w:pPr>
        <w:pStyle w:val="Zkladntext100"/>
        <w:shd w:val="clear" w:color="auto" w:fill="auto"/>
        <w:spacing w:after="60" w:line="211" w:lineRule="auto"/>
        <w:ind w:firstLine="220"/>
        <w:rPr>
          <w:sz w:val="19"/>
          <w:szCs w:val="19"/>
        </w:rPr>
      </w:pPr>
      <w:r>
        <w:rPr>
          <w:sz w:val="19"/>
          <w:szCs w:val="19"/>
        </w:rPr>
        <w:t xml:space="preserve">K věcem, které se horlivě šeptají, patří pověsti o </w:t>
      </w:r>
      <w:r>
        <w:rPr>
          <w:sz w:val="19"/>
          <w:szCs w:val="19"/>
        </w:rPr>
        <w:t>tom, co o nás mluví a soudí cizina. Nevím, je-li mezi námi člověk, který by po událostech minulého roku kladl velkou váhu na to, co o nás soudí Francie. Nemyslím, že by se našel mezi námi člověk, který by nebyl pře</w:t>
      </w:r>
      <w:r>
        <w:rPr>
          <w:sz w:val="19"/>
          <w:szCs w:val="19"/>
        </w:rPr>
        <w:softHyphen/>
        <w:t>mýšlel o tom, proč se vlastně na světě uz</w:t>
      </w:r>
      <w:r>
        <w:rPr>
          <w:sz w:val="19"/>
          <w:szCs w:val="19"/>
        </w:rPr>
        <w:t>avírají smlou</w:t>
      </w:r>
      <w:r>
        <w:rPr>
          <w:sz w:val="19"/>
          <w:szCs w:val="19"/>
        </w:rPr>
        <w:softHyphen/>
        <w:t>vy. Pochybuji, že by nějaké sliby nebo smlouvy mohly kdykoli v budoucnosti uspati srdce českého lidu v bezpečí. Domnívá-li se cizina, že jsme výteční lidé a našli-li se lidé, kteří cítí potřebu ji o tom přesvědčo</w:t>
      </w:r>
      <w:r>
        <w:rPr>
          <w:sz w:val="19"/>
          <w:szCs w:val="19"/>
        </w:rPr>
        <w:softHyphen/>
        <w:t>vat, je to pro pocity člověka</w:t>
      </w:r>
      <w:r>
        <w:rPr>
          <w:sz w:val="19"/>
          <w:szCs w:val="19"/>
        </w:rPr>
        <w:t>, který prožil poslední rok, asi tak důležité, jako propagace cestovního ruchu a našich lázní. Jisto je, že je třeba, abychom dokázali především sobě a potom německému ná</w:t>
      </w:r>
      <w:r>
        <w:rPr>
          <w:sz w:val="19"/>
          <w:szCs w:val="19"/>
        </w:rPr>
        <w:softHyphen/>
        <w:t>rodu, že jsme výteční lidé. Jisto je, že náš budoucí život je třeba vybudovat na tom,</w:t>
      </w:r>
      <w:r>
        <w:rPr>
          <w:sz w:val="19"/>
          <w:szCs w:val="19"/>
        </w:rPr>
        <w:t xml:space="preserve"> jak se nám toto podaří. Je tedy jedna cesta — a to je zřejmě cesta celé střední Evropy — hledat takový poměr </w:t>
      </w:r>
      <w:r>
        <w:rPr>
          <w:sz w:val="20"/>
          <w:szCs w:val="20"/>
        </w:rPr>
        <w:t xml:space="preserve">k </w:t>
      </w:r>
      <w:r>
        <w:rPr>
          <w:sz w:val="19"/>
          <w:szCs w:val="19"/>
        </w:rPr>
        <w:t>německému národu, který by dovolil upravit vzájemné spolužití.</w:t>
      </w:r>
    </w:p>
    <w:p w:rsidR="00500724" w:rsidRDefault="00F30FB8">
      <w:pPr>
        <w:pStyle w:val="Zkladntext100"/>
        <w:shd w:val="clear" w:color="auto" w:fill="auto"/>
        <w:spacing w:after="180" w:line="211" w:lineRule="auto"/>
        <w:ind w:firstLine="220"/>
        <w:rPr>
          <w:sz w:val="19"/>
          <w:szCs w:val="19"/>
        </w:rPr>
      </w:pPr>
      <w:r>
        <w:rPr>
          <w:sz w:val="19"/>
          <w:szCs w:val="19"/>
        </w:rPr>
        <w:t>Nedovedu se zbavit dojmu, že to záleží víc na Němcích, než na Češích. Ve skutečno</w:t>
      </w:r>
      <w:r>
        <w:rPr>
          <w:sz w:val="19"/>
          <w:szCs w:val="19"/>
        </w:rPr>
        <w:t xml:space="preserve">sti jsou Češi ta strana, která vyčkává. Prosím, nedivte se: člověk, který dostane třikrát ránu — a to hned z několika různých stran — čeká chvíli, co se bude dít, než si oddychne. Potřebuje trochu času, než uvěří, že už ho žádná další rána nečeká. Snad se </w:t>
      </w:r>
      <w:r>
        <w:rPr>
          <w:sz w:val="19"/>
          <w:szCs w:val="19"/>
        </w:rPr>
        <w:t>i v duchu hotoví na obranu proti nové ráně. Shledávaje se v docela nové situaci, je třeba, aby se po ní rozhlédl. Reálně se smiřuje s touto situaci a to velmi nepateticky — ale začíná si v zápětí budovat situaci novou se vším patosem, na který má právo: sh</w:t>
      </w:r>
      <w:r>
        <w:rPr>
          <w:sz w:val="19"/>
          <w:szCs w:val="19"/>
        </w:rPr>
        <w:t xml:space="preserve">ledává kořeny své národní existence, jeho duchovní znaky, jeho sebevědomí </w:t>
      </w:r>
      <w:r>
        <w:rPr>
          <w:i/>
          <w:iCs/>
          <w:sz w:val="19"/>
          <w:szCs w:val="19"/>
        </w:rPr>
        <w:t>a</w:t>
      </w:r>
      <w:r>
        <w:rPr>
          <w:sz w:val="19"/>
          <w:szCs w:val="19"/>
        </w:rPr>
        <w:t xml:space="preserve"> výraznost. Septá-li při tom, tedy proto, že po posledním roku mimoděk cítí obavy při každém slově a při každém kroku. Je-li naším úkolem smířiti se se skutečností, je úkolem Němců </w:t>
      </w:r>
      <w:r>
        <w:rPr>
          <w:sz w:val="19"/>
          <w:szCs w:val="19"/>
        </w:rPr>
        <w:t>rozptýliti naše obavy. To ovšem není věc, která může uzrát ve dvou měsících. To je naopak věc, která bude a musí zrát a krystalisovat dlouho. Pokud je na nás: přestaňte šeptat a mluvte nahlas. Není čeho se bát.</w:t>
      </w:r>
    </w:p>
    <w:p w:rsidR="00500724" w:rsidRDefault="00F30FB8">
      <w:pPr>
        <w:pStyle w:val="Zkladntext20"/>
        <w:shd w:val="clear" w:color="auto" w:fill="auto"/>
        <w:spacing w:after="40" w:line="182" w:lineRule="auto"/>
        <w:ind w:firstLine="0"/>
        <w:jc w:val="left"/>
        <w:rPr>
          <w:sz w:val="20"/>
          <w:szCs w:val="20"/>
        </w:rPr>
      </w:pPr>
      <w:r>
        <w:rPr>
          <w:i/>
          <w:iCs/>
          <w:sz w:val="20"/>
          <w:szCs w:val="20"/>
        </w:rPr>
        <w:t>r. S Ér nad:</w:t>
      </w:r>
    </w:p>
    <w:p w:rsidR="00500724" w:rsidRDefault="00F30FB8">
      <w:pPr>
        <w:pStyle w:val="Nadpis100"/>
        <w:shd w:val="clear" w:color="auto" w:fill="auto"/>
        <w:spacing w:after="0" w:line="240" w:lineRule="auto"/>
      </w:pPr>
      <w:bookmarkStart w:id="529" w:name="bookmark528"/>
      <w:r>
        <w:t>Anglie a Rusko</w:t>
      </w:r>
      <w:bookmarkEnd w:id="529"/>
    </w:p>
    <w:p w:rsidR="00500724" w:rsidRDefault="00F30FB8">
      <w:pPr>
        <w:pStyle w:val="Nadpis100"/>
        <w:shd w:val="clear" w:color="auto" w:fill="auto"/>
        <w:spacing w:line="218" w:lineRule="auto"/>
      </w:pPr>
      <w:bookmarkStart w:id="530" w:name="bookmark529"/>
      <w:r>
        <w:t xml:space="preserve">neboli zájmy a </w:t>
      </w:r>
      <w:r>
        <w:t>ideologie</w:t>
      </w:r>
      <w:bookmarkEnd w:id="530"/>
    </w:p>
    <w:p w:rsidR="00500724" w:rsidRDefault="00F30FB8">
      <w:pPr>
        <w:pStyle w:val="Zkladntext20"/>
        <w:shd w:val="clear" w:color="auto" w:fill="auto"/>
        <w:spacing w:after="80" w:line="221" w:lineRule="auto"/>
      </w:pPr>
      <w:r>
        <w:t xml:space="preserve">Je patrně málo lidí na světě, ke kterým by britský ministerský předseda </w:t>
      </w:r>
      <w:r>
        <w:rPr>
          <w:lang w:val="en-US" w:eastAsia="en-US" w:bidi="en-US"/>
        </w:rPr>
        <w:t xml:space="preserve">Chamberlain </w:t>
      </w:r>
      <w:r>
        <w:t xml:space="preserve">pociťoval větší antipatii, než k starému šedovlasému Walesanovi, k jeho temperamentu </w:t>
      </w:r>
      <w:r>
        <w:rPr>
          <w:lang w:val="en-US" w:eastAsia="en-US" w:bidi="en-US"/>
        </w:rPr>
        <w:t xml:space="preserve">a </w:t>
      </w:r>
      <w:r>
        <w:t xml:space="preserve">ostrovtipu. </w:t>
      </w:r>
      <w:r>
        <w:rPr>
          <w:lang w:val="en-US" w:eastAsia="en-US" w:bidi="en-US"/>
        </w:rPr>
        <w:t xml:space="preserve">Lloyd George </w:t>
      </w:r>
      <w:r>
        <w:t>už dávno patří k největším Chamberlainovým odpůrců</w:t>
      </w:r>
      <w:r>
        <w:t xml:space="preserve">m. Ale zdálo by se, že v poslední době, kdy </w:t>
      </w:r>
      <w:r>
        <w:rPr>
          <w:lang w:val="en-US" w:eastAsia="en-US" w:bidi="en-US"/>
        </w:rPr>
        <w:t xml:space="preserve">Chamberlain </w:t>
      </w:r>
      <w:r>
        <w:t>zahájil politiku, která byla v Berlíně a v Římě ozna</w:t>
      </w:r>
      <w:r>
        <w:softHyphen/>
        <w:t xml:space="preserve">čena za politiku obkličování, by se jejich nepřátelství mělo mírnit, neboť </w:t>
      </w:r>
      <w:r>
        <w:rPr>
          <w:lang w:val="en-US" w:eastAsia="en-US" w:bidi="en-US"/>
        </w:rPr>
        <w:t xml:space="preserve">Lloyd George </w:t>
      </w:r>
      <w:r>
        <w:t>už odedávna byl jed</w:t>
      </w:r>
      <w:r>
        <w:softHyphen/>
        <w:t>ním z nejnesmiřitelnějších odpůrců Něme</w:t>
      </w:r>
      <w:r>
        <w:t>cka v An</w:t>
      </w:r>
      <w:r>
        <w:softHyphen/>
        <w:t xml:space="preserve">glii. Jiní Chamberlainovi odpůrci z řad jeho vlastní strany už se s ním smířili a okázale podporují jeho novou protiněmeckou politiku. Eden, </w:t>
      </w:r>
      <w:r>
        <w:rPr>
          <w:lang w:val="en-US" w:eastAsia="en-US" w:bidi="en-US"/>
        </w:rPr>
        <w:t xml:space="preserve">Churchil, Duff Cooper </w:t>
      </w:r>
      <w:r>
        <w:t xml:space="preserve">— lidé, které říšský kancléř už několik dní po Mnichově nazval největšími válečnými </w:t>
      </w:r>
      <w:r>
        <w:t>štváči — snaží se nyní nezmeškat žádné příležitosti, aby si hlasitě po</w:t>
      </w:r>
      <w:r>
        <w:softHyphen/>
        <w:t xml:space="preserve">chvalovali Chamberlaina. Jen starý liberál </w:t>
      </w:r>
      <w:r>
        <w:rPr>
          <w:lang w:val="en-US" w:eastAsia="en-US" w:bidi="en-US"/>
        </w:rPr>
        <w:t xml:space="preserve">Lloyd George </w:t>
      </w:r>
      <w:r>
        <w:t>zůstal neoblomný. Nepřestává obviňovat Chamberlaina z kličkování, neupřímnosti, poloviča</w:t>
      </w:r>
      <w:r>
        <w:softHyphen/>
        <w:t>tosti a neschopnosti. A je třeba říci, ž</w:t>
      </w:r>
      <w:r>
        <w:t>e s hlediska dů</w:t>
      </w:r>
      <w:r>
        <w:softHyphen/>
        <w:t>sledné protiněmecké obkličovací politiky, kterou za</w:t>
      </w:r>
      <w:r>
        <w:softHyphen/>
        <w:t xml:space="preserve">stupuje, má </w:t>
      </w:r>
      <w:r>
        <w:rPr>
          <w:lang w:val="en-US" w:eastAsia="en-US" w:bidi="en-US"/>
        </w:rPr>
        <w:t xml:space="preserve">Lloyd George </w:t>
      </w:r>
      <w:r>
        <w:t>pravdu. Poslechněme, ja</w:t>
      </w:r>
      <w:r>
        <w:softHyphen/>
        <w:t>kými slovy charakterisoval Chamberlainem honosně provozovanou politiku »budování fronty proti útoč- níkovi« ve své řeči ve sněmovně 8. květ</w:t>
      </w:r>
      <w:r>
        <w:t>na.</w:t>
      </w:r>
    </w:p>
    <w:p w:rsidR="00500724" w:rsidRDefault="00F30FB8">
      <w:pPr>
        <w:pStyle w:val="Zkladntext20"/>
        <w:shd w:val="clear" w:color="auto" w:fill="auto"/>
        <w:spacing w:after="40" w:line="178" w:lineRule="auto"/>
        <w:rPr>
          <w:sz w:val="20"/>
          <w:szCs w:val="20"/>
        </w:rPr>
      </w:pPr>
      <w:r>
        <w:rPr>
          <w:sz w:val="20"/>
          <w:szCs w:val="20"/>
        </w:rPr>
        <w:t>»Žádám sněmovnu, aby se vší vážností uvažovala o tom, co se stane, vypukne-li válka zítra. Budeme míti Francii s výbornou armádou, připravenou, výtečně vycvičenou, dobře vyzbrojenou, skvěle vedenou. Nechci zlehěovati Pol</w:t>
      </w:r>
      <w:r>
        <w:rPr>
          <w:sz w:val="20"/>
          <w:szCs w:val="20"/>
        </w:rPr>
        <w:softHyphen/>
        <w:t>sko. ale nikdo nemůže tvrdit, ž</w:t>
      </w:r>
      <w:r>
        <w:rPr>
          <w:sz w:val="20"/>
          <w:szCs w:val="20"/>
        </w:rPr>
        <w:t>e má právě tak dobrou armá</w:t>
      </w:r>
      <w:r>
        <w:rPr>
          <w:sz w:val="20"/>
          <w:szCs w:val="20"/>
        </w:rPr>
        <w:softHyphen/>
        <w:t>du jako Francie. Jeho výzbroj se zdaleka nevyrovná fran</w:t>
      </w:r>
      <w:r>
        <w:rPr>
          <w:sz w:val="20"/>
          <w:szCs w:val="20"/>
        </w:rPr>
        <w:softHyphen/>
        <w:t>couzské. To je vše, co budeme mít. Pochybuji, zda budeme moci poslat na pevninu stejnou sílu jako v roce 1914, když uvážíme reservy, které budeme musit mít doma. Na druhé st</w:t>
      </w:r>
      <w:r>
        <w:rPr>
          <w:sz w:val="20"/>
          <w:szCs w:val="20"/>
        </w:rPr>
        <w:t>raně je obrovská armáda Německa a armáda Itálie, které podle všech zpráv jsou dvakrát silnější, než byly roku 1915. Jsou početnější, disciplinovanější, lépe vycvičené, jsou zku</w:t>
      </w:r>
      <w:r>
        <w:rPr>
          <w:sz w:val="20"/>
          <w:szCs w:val="20"/>
        </w:rPr>
        <w:softHyphen/>
        <w:t>šenější a mají lepší výzbroj. Nyní Německo a Itálie ozná</w:t>
      </w:r>
      <w:r>
        <w:rPr>
          <w:sz w:val="20"/>
          <w:szCs w:val="20"/>
        </w:rPr>
        <w:softHyphen/>
        <w:t>mily utvoření vojenské</w:t>
      </w:r>
      <w:r>
        <w:rPr>
          <w:sz w:val="20"/>
          <w:szCs w:val="20"/>
        </w:rPr>
        <w:t>ho spolku. Konají se už porady je</w:t>
      </w:r>
      <w:r>
        <w:rPr>
          <w:sz w:val="20"/>
          <w:szCs w:val="20"/>
        </w:rPr>
        <w:softHyphen/>
        <w:t>jich generálních štábů. Mají už své plány.</w:t>
      </w:r>
    </w:p>
    <w:p w:rsidR="00500724" w:rsidRDefault="00F30FB8">
      <w:pPr>
        <w:pStyle w:val="Zkladntext20"/>
        <w:shd w:val="clear" w:color="auto" w:fill="auto"/>
        <w:spacing w:after="40" w:line="182" w:lineRule="auto"/>
        <w:ind w:firstLine="340"/>
        <w:rPr>
          <w:sz w:val="20"/>
          <w:szCs w:val="20"/>
        </w:rPr>
      </w:pPr>
      <w:r>
        <w:rPr>
          <w:sz w:val="20"/>
          <w:szCs w:val="20"/>
        </w:rPr>
        <w:t>Španělsko se připojilo k ose. Počet mužstva a možnosti Německa a Itálie jsou dvakrát větší než počet, který Francie a Polsko a my můžeme poslat do pole.</w:t>
      </w:r>
    </w:p>
    <w:p w:rsidR="00500724" w:rsidRDefault="00F30FB8">
      <w:pPr>
        <w:pStyle w:val="Zkladntext20"/>
        <w:shd w:val="clear" w:color="auto" w:fill="auto"/>
        <w:spacing w:after="40" w:line="180" w:lineRule="auto"/>
        <w:ind w:firstLine="340"/>
        <w:rPr>
          <w:sz w:val="20"/>
          <w:szCs w:val="20"/>
        </w:rPr>
      </w:pPr>
      <w:r>
        <w:rPr>
          <w:sz w:val="20"/>
          <w:szCs w:val="20"/>
        </w:rPr>
        <w:t>I kdyby Španělsko nevystou</w:t>
      </w:r>
      <w:r>
        <w:rPr>
          <w:sz w:val="20"/>
          <w:szCs w:val="20"/>
        </w:rPr>
        <w:t>pilo aktivně, najde se ve Francii ministr, který se odváží považovat je za přítele nebo alespoň za neutrála? Najde se francouzský generál, který by při rozdělování sil nevzal v úvahu, že za Pyrenejemi je možný nepřítel? Francie bude musit bránit italskou h</w:t>
      </w:r>
      <w:r>
        <w:rPr>
          <w:sz w:val="20"/>
          <w:szCs w:val="20"/>
        </w:rPr>
        <w:t>ranici a udržovat značné síly na svém jižním křídle, a co bude míti k provedení útoku na Německo k podpoře Polska?</w:t>
      </w:r>
    </w:p>
    <w:p w:rsidR="00500724" w:rsidRDefault="00F30FB8">
      <w:pPr>
        <w:pStyle w:val="Zkladntext20"/>
        <w:shd w:val="clear" w:color="auto" w:fill="auto"/>
        <w:spacing w:after="40" w:line="178" w:lineRule="auto"/>
        <w:ind w:firstLine="340"/>
        <w:rPr>
          <w:sz w:val="20"/>
          <w:szCs w:val="20"/>
        </w:rPr>
      </w:pPr>
      <w:r>
        <w:rPr>
          <w:sz w:val="20"/>
          <w:szCs w:val="20"/>
        </w:rPr>
        <w:t>Bez Ruska jsou naše záruky Polsku, Rumunsku a Řecku nejneodpovědnějšími závazky, které kdy na sebe vzala ně</w:t>
      </w:r>
      <w:r>
        <w:rPr>
          <w:sz w:val="20"/>
          <w:szCs w:val="20"/>
        </w:rPr>
        <w:softHyphen/>
        <w:t xml:space="preserve">jaká země. Jsou to sliby, které </w:t>
      </w:r>
      <w:r>
        <w:rPr>
          <w:sz w:val="20"/>
          <w:szCs w:val="20"/>
        </w:rPr>
        <w:t>nemohou být splněny, když je takový nepoměr mezi silami nahromaděnými na druhé straně a silami, které můžeme v tomto okamžiku nasadit my. Co jsme nabídli? Vyrábět více zbraní, 200 000 nováčků v pomalých skupinách 50.000? Je to šílenství!</w:t>
      </w:r>
    </w:p>
    <w:p w:rsidR="00500724" w:rsidRDefault="00F30FB8">
      <w:pPr>
        <w:pStyle w:val="Zkladntext20"/>
        <w:shd w:val="clear" w:color="auto" w:fill="auto"/>
        <w:spacing w:after="40" w:line="182" w:lineRule="auto"/>
        <w:ind w:firstLine="460"/>
        <w:rPr>
          <w:sz w:val="20"/>
          <w:szCs w:val="20"/>
        </w:rPr>
      </w:pPr>
      <w:r>
        <w:rPr>
          <w:sz w:val="20"/>
          <w:szCs w:val="20"/>
        </w:rPr>
        <w:t>Žádám ministra vál</w:t>
      </w:r>
      <w:r>
        <w:rPr>
          <w:sz w:val="20"/>
          <w:szCs w:val="20"/>
        </w:rPr>
        <w:t>ky, aby řekl sněmovně, zda generál</w:t>
      </w:r>
      <w:r>
        <w:rPr>
          <w:sz w:val="20"/>
          <w:szCs w:val="20"/>
        </w:rPr>
        <w:softHyphen/>
        <w:t>ní štáb radil vládě před převzetím těchto závazků, že tyto závazky jsou správné, jsou opravdu proveditelné a že je tu alespoň néj nepatrnější šance k vydobytí vítězství. Učinil-li to generální štáb, pak musí být propuštěn</w:t>
      </w:r>
      <w:r>
        <w:rPr>
          <w:sz w:val="20"/>
          <w:szCs w:val="20"/>
        </w:rPr>
        <w:t xml:space="preserve"> z válečného mini</w:t>
      </w:r>
      <w:r>
        <w:rPr>
          <w:sz w:val="20"/>
          <w:szCs w:val="20"/>
        </w:rPr>
        <w:softHyphen/>
        <w:t>sterstva a uzavřen v útulku pro náměsíčníky. Vždyť jsme bez Ruska naprosto nemožní!</w:t>
      </w:r>
    </w:p>
    <w:p w:rsidR="00500724" w:rsidRDefault="00F30FB8">
      <w:pPr>
        <w:pStyle w:val="Zkladntext20"/>
        <w:shd w:val="clear" w:color="auto" w:fill="auto"/>
        <w:spacing w:after="40" w:line="182" w:lineRule="auto"/>
        <w:ind w:firstLine="0"/>
        <w:jc w:val="right"/>
        <w:rPr>
          <w:sz w:val="20"/>
          <w:szCs w:val="20"/>
        </w:rPr>
      </w:pPr>
      <w:r>
        <w:rPr>
          <w:sz w:val="20"/>
          <w:szCs w:val="20"/>
        </w:rPr>
        <w:t>Japonsko prý prohlásilo, že nebude zasahovat do Evropy</w:t>
      </w:r>
    </w:p>
    <w:p w:rsidR="00500724" w:rsidRDefault="00F30FB8">
      <w:pPr>
        <w:pStyle w:val="Zkladntext20"/>
        <w:shd w:val="clear" w:color="auto" w:fill="auto"/>
        <w:spacing w:after="60" w:line="180" w:lineRule="auto"/>
        <w:ind w:firstLine="0"/>
        <w:rPr>
          <w:sz w:val="20"/>
          <w:szCs w:val="20"/>
        </w:rPr>
      </w:pPr>
      <w:r>
        <w:rPr>
          <w:sz w:val="20"/>
          <w:szCs w:val="20"/>
        </w:rPr>
        <w:t>a že nepošle síly na pomoc ose. Lidé, kterým myšlení způ</w:t>
      </w:r>
      <w:r>
        <w:rPr>
          <w:sz w:val="20"/>
          <w:szCs w:val="20"/>
        </w:rPr>
        <w:softHyphen/>
        <w:t>sobuje velké těžkosti, propukli proto ve v</w:t>
      </w:r>
      <w:r>
        <w:rPr>
          <w:sz w:val="20"/>
          <w:szCs w:val="20"/>
        </w:rPr>
        <w:t>elký jásot. A Ja</w:t>
      </w:r>
      <w:r>
        <w:rPr>
          <w:sz w:val="20"/>
          <w:szCs w:val="20"/>
        </w:rPr>
        <w:softHyphen/>
        <w:t xml:space="preserve">ponci zatím vnikají ze severu jako oštěp blíž a blíž naším hranicím. Mají za sebou už asi 2000 mil vstříc k hranicím Indie. V posledním údobí války jsme dostali posilu milion mužů z Indie. Jak teď vyplníme mezery, vzniklá odpadnutim Ruska </w:t>
      </w:r>
      <w:r>
        <w:rPr>
          <w:sz w:val="20"/>
          <w:szCs w:val="20"/>
        </w:rPr>
        <w:t>a Japonska, s nepřítelem pohybujícím se k naším hranicím? Je to největší nebezpečí, které kdy ohrožovalo naši říši na východě!...</w:t>
      </w:r>
    </w:p>
    <w:p w:rsidR="00500724" w:rsidRDefault="00F30FB8">
      <w:pPr>
        <w:pStyle w:val="Zkladntext20"/>
        <w:shd w:val="clear" w:color="auto" w:fill="auto"/>
        <w:spacing w:after="60" w:line="180" w:lineRule="auto"/>
        <w:ind w:firstLine="260"/>
        <w:rPr>
          <w:sz w:val="20"/>
          <w:szCs w:val="20"/>
        </w:rPr>
      </w:pPr>
      <w:r>
        <w:rPr>
          <w:sz w:val="20"/>
          <w:szCs w:val="20"/>
        </w:rPr>
        <w:t>Potřebujeme Rusko, ale vláda si Ruska nepřeje! Bude- me-li povoláni, abychom plnili své závazky, snad za něko</w:t>
      </w:r>
      <w:r>
        <w:rPr>
          <w:sz w:val="20"/>
          <w:szCs w:val="20"/>
        </w:rPr>
        <w:softHyphen/>
        <w:t>lik dní, snad za</w:t>
      </w:r>
      <w:r>
        <w:rPr>
          <w:sz w:val="20"/>
          <w:szCs w:val="20"/>
        </w:rPr>
        <w:t xml:space="preserve"> několik týdnů, budeme mít před sebou dvě alternativy: připravit se na katastrofu, anebo se vy</w:t>
      </w:r>
      <w:r>
        <w:rPr>
          <w:sz w:val="20"/>
          <w:szCs w:val="20"/>
        </w:rPr>
        <w:softHyphen/>
        <w:t>hnout plnění závazků — jak jsme to už udělali dříve. Proč tedy toto otálení, když každým okamžikem může udeřit ho</w:t>
      </w:r>
      <w:r>
        <w:rPr>
          <w:sz w:val="20"/>
          <w:szCs w:val="20"/>
        </w:rPr>
        <w:softHyphen/>
        <w:t>dina? Proč váháme? Proč zahálíme? Proč tlacháme</w:t>
      </w:r>
      <w:r>
        <w:rPr>
          <w:sz w:val="20"/>
          <w:szCs w:val="20"/>
        </w:rPr>
        <w:t>, jako bychom byli na trhu, když nebezpečí je tak naléhavé? Vláda však lelkuje. Lelkovala s vybudováním letectva a se zbroje</w:t>
      </w:r>
      <w:r>
        <w:rPr>
          <w:sz w:val="20"/>
          <w:szCs w:val="20"/>
        </w:rPr>
        <w:softHyphen/>
        <w:t>ním. Lelkovala se zřízením ministerstva koordinace váleč</w:t>
      </w:r>
      <w:r>
        <w:rPr>
          <w:sz w:val="20"/>
          <w:szCs w:val="20"/>
        </w:rPr>
        <w:softHyphen/>
        <w:t>ných příprav, ačkoliv jeho zřízení bylo základní částí velké</w:t>
      </w:r>
      <w:r>
        <w:rPr>
          <w:sz w:val="20"/>
          <w:szCs w:val="20"/>
        </w:rPr>
        <w:softHyphen/>
        <w:t>ho ozbrojovac</w:t>
      </w:r>
      <w:r>
        <w:rPr>
          <w:sz w:val="20"/>
          <w:szCs w:val="20"/>
        </w:rPr>
        <w:t>ího plánu. Tři roky lelkovala vláda, než toto ministerstvo zřídila. Nyní lelkuje s Ruskem a neposlouchá hlasů zkušených mužů, kteří jí loyálně podporují při plnění ozbrojovacího programu!«</w:t>
      </w:r>
    </w:p>
    <w:p w:rsidR="00500724" w:rsidRDefault="00F30FB8">
      <w:pPr>
        <w:pStyle w:val="Zkladntext20"/>
        <w:shd w:val="clear" w:color="auto" w:fill="auto"/>
        <w:spacing w:after="320" w:line="202" w:lineRule="auto"/>
        <w:ind w:firstLine="260"/>
      </w:pPr>
      <w:r>
        <w:t xml:space="preserve">Nikdo z vládních lavic neodpověděl </w:t>
      </w:r>
      <w:r>
        <w:rPr>
          <w:lang w:val="en-US" w:eastAsia="en-US" w:bidi="en-US"/>
        </w:rPr>
        <w:t xml:space="preserve">Lloyd </w:t>
      </w:r>
      <w:r>
        <w:t>Georgeovi na jeho filipiku</w:t>
      </w:r>
      <w:r>
        <w:t xml:space="preserve">. Jen Sir R. </w:t>
      </w:r>
      <w:r>
        <w:rPr>
          <w:lang w:val="en-US" w:eastAsia="en-US" w:bidi="en-US"/>
        </w:rPr>
        <w:t xml:space="preserve">Keyes, </w:t>
      </w:r>
      <w:r>
        <w:t>konservativec, na</w:t>
      </w:r>
      <w:r>
        <w:softHyphen/>
        <w:t xml:space="preserve">zval jeho řeč smutným divadlem a nejnebezpečnějším projevem kdykoliv proneseným v britské sněmovně. Neboť v hloubi své duše vědí všichni členové vlády Jeho britského veličenstva, že </w:t>
      </w:r>
      <w:r>
        <w:rPr>
          <w:lang w:val="en-US" w:eastAsia="en-US" w:bidi="en-US"/>
        </w:rPr>
        <w:t xml:space="preserve">Lloyd George </w:t>
      </w:r>
      <w:r>
        <w:t>má prav</w:t>
      </w:r>
      <w:r>
        <w:softHyphen/>
        <w:t>du, jestliže se</w:t>
      </w:r>
      <w:r>
        <w:t xml:space="preserve"> Anglie dala na cestu tvoření koalice proti ose; bez Ruska, ať už o jeho armádě nebo o jeho vnitřní síle si myslí kdo chce co chce, není pomyšlení na nějakou válku proti ose.</w:t>
      </w:r>
    </w:p>
    <w:p w:rsidR="00500724" w:rsidRDefault="00F30FB8">
      <w:pPr>
        <w:pStyle w:val="Zkladntext20"/>
        <w:shd w:val="clear" w:color="auto" w:fill="auto"/>
        <w:spacing w:after="60" w:line="202" w:lineRule="auto"/>
        <w:ind w:firstLine="260"/>
      </w:pPr>
      <w:r>
        <w:t xml:space="preserve">Kdyby vypukla válka pro polskou neústupnost </w:t>
      </w:r>
      <w:r>
        <w:rPr>
          <w:b/>
          <w:bCs/>
          <w:sz w:val="26"/>
          <w:szCs w:val="26"/>
        </w:rPr>
        <w:t xml:space="preserve">v </w:t>
      </w:r>
      <w:r>
        <w:t xml:space="preserve">otázce Gdanska a koridoru, a kdyby </w:t>
      </w:r>
      <w:r>
        <w:t>při tom Rusko zůstalo mimo bojiště, byl by výsledek pro protiněmec- kou koalici pravděpodobně už v prvních týdnech ža</w:t>
      </w:r>
      <w:r>
        <w:softHyphen/>
        <w:t>lostný. Francie by musila rozdělit své síly na trojí hranice, její spojení s její koloniální říší a tudíž příliv koloniálních vojsk by byl</w:t>
      </w:r>
      <w:r>
        <w:t>o ohroženo, ne-li zcela pod</w:t>
      </w:r>
      <w:r>
        <w:softHyphen/>
        <w:t>vázáno. Anglie by mohla poslat na pevninu jen zcela nepatrné množství špatně vycvičených vojáků. A co by mohlo Polsko postavit samo proti těžkému beranu německé branné moci, chráněnému ze západu systé</w:t>
      </w:r>
      <w:r>
        <w:softHyphen/>
        <w:t>mem velkých opevnění od hol</w:t>
      </w:r>
      <w:r>
        <w:t>andské až k švýcarské hranici? Jeden švýcarský list, »Neue Basler Zeitung«, domnívá se, že Polsko může povolat do zbraně 3,600.000 mužů, ale v prvních dnech války pouze mi</w:t>
      </w:r>
      <w:r>
        <w:softHyphen/>
        <w:t>lion vojáků. Pokud jde o technickou výzbroj, má prý Polsko 12.000 kulometů, 100 těžk</w:t>
      </w:r>
      <w:r>
        <w:t>ých baterií, 350 leh</w:t>
      </w:r>
      <w:r>
        <w:softHyphen/>
        <w:t>kých a asi 800 bojových letadel. Srovnejme tyto čísli</w:t>
      </w:r>
      <w:r>
        <w:softHyphen/>
        <w:t>ce s těmi, které ohlásil říšský kancléř, když vypočítá</w:t>
      </w:r>
      <w:r>
        <w:softHyphen/>
        <w:t>val, co všechno zabavila říšská branná moc na území bývalé československé republiky! A to ještě mělo ně</w:t>
      </w:r>
      <w:r>
        <w:softHyphen/>
        <w:t xml:space="preserve">kdejší Československo </w:t>
      </w:r>
      <w:r>
        <w:t>linii mohutných opevnění, kdežto ještě nikdo neslyšel nic o nějakých zvláštních opevněních na polské západní hranici!</w:t>
      </w:r>
    </w:p>
    <w:p w:rsidR="00500724" w:rsidRDefault="00F30FB8">
      <w:pPr>
        <w:pStyle w:val="Zkladntext20"/>
        <w:shd w:val="clear" w:color="auto" w:fill="auto"/>
        <w:spacing w:line="204" w:lineRule="auto"/>
        <w:ind w:firstLine="260"/>
      </w:pPr>
      <w:r>
        <w:t>Nejde ovšem jen o převahu na souši a ve vzduchu. I na moři, kde převaha Anglie a Francie zdá se být zřejmou, není to tak jednoduché. Zkuše</w:t>
      </w:r>
      <w:r>
        <w:t>nosti světové války dokázaly, že o nějakém vylodění anglické armá</w:t>
      </w:r>
      <w:r>
        <w:softHyphen/>
        <w:t>dy v německých přístavech nemůže být ani řeči, když tyto přístavy jsou hájeny vlastním loďstvem a po</w:t>
      </w:r>
      <w:r>
        <w:softHyphen/>
        <w:t>břežní obranou. Převaha na moři může mít jenom vý</w:t>
      </w:r>
      <w:r>
        <w:softHyphen/>
        <w:t>znam při organisování námořní blokády p</w:t>
      </w:r>
      <w:r>
        <w:t>ro vyhlado</w:t>
      </w:r>
      <w:r>
        <w:softHyphen/>
        <w:t>vění odpůrce a znemožnění jeho zásobování surovi</w:t>
      </w:r>
      <w:r>
        <w:softHyphen/>
        <w:t>nami. Ale blokáda — a právě v blokádě se ve světové válce uplatnila britská námořní moc — předpokládá válku trvající delší dobu a může se projevit teprve po delší době, neboť pro první válečnou do</w:t>
      </w:r>
      <w:r>
        <w:t>bu má každý stát své nahromaděné zásoby. Všechno však svědčí o tom, že strategie států osy právě záleží na válce bleskové, na rychlé převaze, na strašné ráně, vedené všemi silami a nenechávající odpůrci času, aby se vzpamatoval.</w:t>
      </w:r>
    </w:p>
    <w:p w:rsidR="00500724" w:rsidRDefault="00F30FB8">
      <w:pPr>
        <w:pStyle w:val="Zkladntext20"/>
        <w:shd w:val="clear" w:color="auto" w:fill="auto"/>
        <w:spacing w:after="100" w:line="180" w:lineRule="auto"/>
        <w:ind w:firstLine="0"/>
        <w:jc w:val="center"/>
      </w:pPr>
      <w:r>
        <w:t>•</w:t>
      </w:r>
    </w:p>
    <w:p w:rsidR="00500724" w:rsidRDefault="00F30FB8">
      <w:pPr>
        <w:pStyle w:val="Zkladntext20"/>
        <w:shd w:val="clear" w:color="auto" w:fill="auto"/>
        <w:spacing w:line="204" w:lineRule="auto"/>
      </w:pPr>
      <w:r>
        <w:t xml:space="preserve">Když se Itálie v roce </w:t>
      </w:r>
      <w:r>
        <w:t>1915 rozhodovala, ke které z válčících stran má přistoupit — nároky měla vůči Rakousku i vůči Francii — hrála velký význam v je</w:t>
      </w:r>
      <w:r>
        <w:softHyphen/>
        <w:t>jím konečném rozhodnutí přítomnost anglického středozemního loďstva u jejích neopevněných břehů. Námořní strategická poloha Itál</w:t>
      </w:r>
      <w:r>
        <w:t>ie je totiž velmi ne</w:t>
      </w:r>
      <w:r>
        <w:softHyphen/>
        <w:t>výhodná. Proti anglickému loďstvu byla tehdy Itálie bezbranná. Nyní značně dohonila to, co zmeškala tehdy. Obsazení Albánie uzavřelo Jaderské moře a za</w:t>
      </w:r>
      <w:r>
        <w:softHyphen/>
        <w:t>bezpečilo celou východní polovinu Itálie proti útoku z moře. Jižní část Itálie témě</w:t>
      </w:r>
      <w:r>
        <w:t>ř nemá průmyslových měst a je kromě toho rovněž chráněna opevněními na Sicílii. Zbývá tedy západní část Itálie od Janova do Neapole, která má obrovský význam pro italskou obranu. Itálie sice vybudovala velkou a silnou ná</w:t>
      </w:r>
      <w:r>
        <w:softHyphen/>
        <w:t>mořní moc a pobřežní obranu — ale p</w:t>
      </w:r>
      <w:r>
        <w:t>roti spojenému anglo-francouzskému loďstvu je tu zřejmě v nevýho</w:t>
      </w:r>
      <w:r>
        <w:softHyphen/>
        <w:t>dě. Dokud existovala anglo-německá námořní smlou</w:t>
      </w:r>
      <w:r>
        <w:softHyphen/>
        <w:t>va, která stanovila velikost německého loďstva na 35 procent loďstva anglického, a která vlastně zname</w:t>
      </w:r>
      <w:r>
        <w:softHyphen/>
        <w:t>nala, že Anglie a Německo nehodlají spo</w:t>
      </w:r>
      <w:r>
        <w:t>lu válčit, mohla se Itálie obávat útoku na svou nejdůležitější průmyslovou oblast. Nyní, když tato smlouva už ne</w:t>
      </w:r>
      <w:r>
        <w:softHyphen/>
        <w:t>platí, musí Anglie vázat v Severním moři nejméně 50 procent svého loďstva nebo ještě více, zesílí-li Ně</w:t>
      </w:r>
      <w:r>
        <w:softHyphen/>
        <w:t>mecko svou námořní moc, nemá-li se obáv</w:t>
      </w:r>
      <w:r>
        <w:t>at němec</w:t>
      </w:r>
      <w:r>
        <w:softHyphen/>
        <w:t>kého útoku na své přístavy. Ale Anglie má obrovskou říši, pro kterou sotva stačí zbývajících 50 procent loď</w:t>
      </w:r>
      <w:r>
        <w:softHyphen/>
        <w:t>stva — ještě je nebezpečí japonského útoku na Austrálii nebo Singapúr. Když si ještě uvědomime ne</w:t>
      </w:r>
      <w:r>
        <w:softHyphen/>
        <w:t>bezpečí, které číhá na Anglii u Gibraltar</w:t>
      </w:r>
      <w:r>
        <w:t>u, jenž je zra- nitělný se souše, a u Suezu, bude nám jasno, že v pří</w:t>
      </w:r>
      <w:r>
        <w:softHyphen/>
        <w:t>padné válce by se mohlo snadno stát, že by Ajnglie mu</w:t>
      </w:r>
      <w:r>
        <w:softHyphen/>
        <w:t>sila odvolat své středomořské loďstvo jinam a Itálie by měla proti sobě jen loďstvo francouzské, jemuž, pokud jde o množství, o toná</w:t>
      </w:r>
      <w:r>
        <w:t>ž a výzbroj, se italské loďstvo vyrovná už dnes.</w:t>
      </w:r>
    </w:p>
    <w:p w:rsidR="00500724" w:rsidRDefault="00F30FB8">
      <w:pPr>
        <w:pStyle w:val="Zkladntext20"/>
        <w:shd w:val="clear" w:color="auto" w:fill="auto"/>
        <w:spacing w:after="100" w:line="182" w:lineRule="auto"/>
        <w:ind w:firstLine="0"/>
        <w:jc w:val="center"/>
      </w:pPr>
      <w:r>
        <w:t>•</w:t>
      </w:r>
    </w:p>
    <w:p w:rsidR="00500724" w:rsidRDefault="00F30FB8">
      <w:pPr>
        <w:pStyle w:val="Zkladntext20"/>
        <w:shd w:val="clear" w:color="auto" w:fill="auto"/>
        <w:spacing w:line="216" w:lineRule="auto"/>
      </w:pPr>
      <w:r>
        <w:t>Jestliže tedy Anglie opravdu míní vážně svůj plán vybudování »fronty proti útočníkovi«, pak musí býti anglickým státníkům jasno, že přišli s touto věcí hod</w:t>
      </w:r>
      <w:r>
        <w:softHyphen/>
        <w:t xml:space="preserve">ně pozdě, že rok 1939 není rokem 1933 ani ne </w:t>
      </w:r>
      <w:r>
        <w:t>dokonce rokem 1938, a že bez Ruska není asi naděje na úspěch.</w:t>
      </w:r>
    </w:p>
    <w:p w:rsidR="00500724" w:rsidRDefault="00F30FB8">
      <w:pPr>
        <w:pStyle w:val="Zkladntext20"/>
        <w:shd w:val="clear" w:color="auto" w:fill="auto"/>
        <w:spacing w:line="216" w:lineRule="auto"/>
      </w:pPr>
      <w:r>
        <w:t>Ale Rusko? Snadno se to říká Lloydu Georgeovi, ale velmi nesnadno se to dělá Chamberlainovi. Jsou tu především příčiny rázu mezinárodního. Ve francouz</w:t>
      </w:r>
      <w:r>
        <w:softHyphen/>
        <w:t>ském tisku se na příklad psalo, prý španěls</w:t>
      </w:r>
      <w:r>
        <w:t>ký vysla</w:t>
      </w:r>
      <w:r>
        <w:softHyphen/>
        <w:t>nec několikrát ujišťoval Halifaxe, že přece snad Špa</w:t>
      </w:r>
      <w:r>
        <w:softHyphen/>
        <w:t>nělsko zůstane neutrální, jen nepůjde-li Anglie s Rus</w:t>
      </w:r>
      <w:r>
        <w:softHyphen/>
        <w:t xml:space="preserve">kem, a že </w:t>
      </w:r>
      <w:r>
        <w:rPr>
          <w:lang w:val="en-US" w:eastAsia="en-US" w:bidi="en-US"/>
        </w:rPr>
        <w:t xml:space="preserve">Halifax </w:t>
      </w:r>
      <w:r>
        <w:t>tomu uvěřil. Právě tak se proslý</w:t>
      </w:r>
      <w:r>
        <w:softHyphen/>
        <w:t>chalo, že Japonsko nechce podepsat vojenskou smlou</w:t>
      </w:r>
      <w:r>
        <w:softHyphen/>
        <w:t>vu s Německem a s Itálií, leda prý pro</w:t>
      </w:r>
      <w:r>
        <w:t>ti Rusku, a že by tak ovšem učinilo, jakmile by vznikla stará Troj- dohoda. A podobné věci se vyprávěly i o Portugalsku, Jugoslávii a podobně. Nevíme, zda to všechno je prav</w:t>
      </w:r>
      <w:r>
        <w:softHyphen/>
        <w:t>da. Ale rozhodně i z vnitropolitických důvodů nemůže se anglická vláda tak hned od</w:t>
      </w:r>
      <w:r>
        <w:t>hodlat k vojenskému spojenectví s Ruskem. Je mnoho mužů v anglické kon</w:t>
      </w:r>
      <w:r>
        <w:softHyphen/>
        <w:t xml:space="preserve">servativní straně, v anglické aristokracii, které i ve spánku děsí přízrak spojenectví s bolševismem. Jen dva charakteristické příklady. Anglický generál ve výslužbě </w:t>
      </w:r>
      <w:r>
        <w:rPr>
          <w:lang w:val="en-US" w:eastAsia="en-US" w:bidi="en-US"/>
        </w:rPr>
        <w:t xml:space="preserve">Fuller, </w:t>
      </w:r>
      <w:r>
        <w:t>tvůrce teor</w:t>
      </w:r>
      <w:r>
        <w:t>ie o mechanisované armá</w:t>
      </w:r>
      <w:r>
        <w:softHyphen/>
        <w:t>dě, napsal do »Timesů« dopis, ve kterém vedle svého opovržení nad demokracií a obdivu nad totalitními státy prohlásil, že spojenectví s bezbožeckým Ruskem dožene mnohé Angličany k vypovědění poslušnosti králi a parlamentu. A v angli</w:t>
      </w:r>
      <w:r>
        <w:t>cké sněmovně se roz- předl tento rozhovor:</w:t>
      </w:r>
    </w:p>
    <w:p w:rsidR="00500724" w:rsidRDefault="00F30FB8">
      <w:pPr>
        <w:pStyle w:val="Zkladntext20"/>
        <w:shd w:val="clear" w:color="auto" w:fill="auto"/>
        <w:spacing w:line="180" w:lineRule="auto"/>
        <w:ind w:firstLine="320"/>
        <w:rPr>
          <w:sz w:val="20"/>
          <w:szCs w:val="20"/>
        </w:rPr>
      </w:pPr>
      <w:r>
        <w:rPr>
          <w:sz w:val="20"/>
          <w:szCs w:val="20"/>
        </w:rPr>
        <w:t>»Miss Rathbone (nezávislá poslankyně za university) sa táže ministerského předsedy, zda je ochoten upravit instruk</w:t>
      </w:r>
      <w:r>
        <w:rPr>
          <w:sz w:val="20"/>
          <w:szCs w:val="20"/>
        </w:rPr>
        <w:softHyphen/>
        <w:t>ce, které dal britskému velvyslanci v Moskvě s ohledem na mohutnou manifestaci veřejného mínění, p</w:t>
      </w:r>
      <w:r>
        <w:rPr>
          <w:sz w:val="20"/>
          <w:szCs w:val="20"/>
        </w:rPr>
        <w:t>rojevenou v anketě Ústavu pro výzkum veřejného mínění ve prospěch vojenské aliance mezi. Velkou Britanií, Francií a SSSR?</w:t>
      </w:r>
    </w:p>
    <w:p w:rsidR="00500724" w:rsidRDefault="00F30FB8">
      <w:pPr>
        <w:pStyle w:val="Zkladntext20"/>
        <w:shd w:val="clear" w:color="auto" w:fill="auto"/>
        <w:spacing w:line="175" w:lineRule="auto"/>
        <w:rPr>
          <w:sz w:val="20"/>
          <w:szCs w:val="20"/>
        </w:rPr>
      </w:pPr>
      <w:r>
        <w:rPr>
          <w:sz w:val="20"/>
          <w:szCs w:val="20"/>
          <w:lang w:val="en-US" w:eastAsia="en-US" w:bidi="en-US"/>
        </w:rPr>
        <w:t xml:space="preserve">Mr. Butler: </w:t>
      </w:r>
      <w:r>
        <w:rPr>
          <w:sz w:val="20"/>
          <w:szCs w:val="20"/>
        </w:rPr>
        <w:t>Odpověď je záporná, ale chtěl bych prosit ctihodnou dámu, aby vyčkala odpověď, kterou ministerský předseda poskytne ku kon</w:t>
      </w:r>
      <w:r>
        <w:rPr>
          <w:sz w:val="20"/>
          <w:szCs w:val="20"/>
        </w:rPr>
        <w:t>ci debaty.</w:t>
      </w:r>
    </w:p>
    <w:p w:rsidR="00500724" w:rsidRDefault="00F30FB8">
      <w:pPr>
        <w:pStyle w:val="Zkladntext20"/>
        <w:shd w:val="clear" w:color="auto" w:fill="auto"/>
        <w:spacing w:line="185" w:lineRule="auto"/>
        <w:rPr>
          <w:sz w:val="20"/>
          <w:szCs w:val="20"/>
        </w:rPr>
      </w:pPr>
      <w:r>
        <w:rPr>
          <w:sz w:val="20"/>
          <w:szCs w:val="20"/>
        </w:rPr>
        <w:t>Miss Rathbone: Je ctihodnému pánu známo, že tato dů</w:t>
      </w:r>
      <w:r>
        <w:rPr>
          <w:sz w:val="20"/>
          <w:szCs w:val="20"/>
        </w:rPr>
        <w:softHyphen/>
        <w:t xml:space="preserve">ležitá a vědeckým způsobem provedená anketa prokázala, že 87 procent odpovědělo »ano«, 6 procent bylo proti a 7 procent neodpovědělo? Je nějaký důvod k pochybnostem </w:t>
      </w:r>
      <w:r>
        <w:rPr>
          <w:rFonts w:ascii="Arial" w:eastAsia="Arial" w:hAnsi="Arial" w:cs="Arial"/>
          <w:sz w:val="17"/>
          <w:szCs w:val="17"/>
        </w:rPr>
        <w:t xml:space="preserve">o </w:t>
      </w:r>
      <w:r>
        <w:rPr>
          <w:sz w:val="20"/>
          <w:szCs w:val="20"/>
        </w:rPr>
        <w:t>významu této ankety?</w:t>
      </w:r>
    </w:p>
    <w:p w:rsidR="00500724" w:rsidRDefault="00F30FB8">
      <w:pPr>
        <w:pStyle w:val="Zkladntext20"/>
        <w:shd w:val="clear" w:color="auto" w:fill="auto"/>
        <w:spacing w:line="178" w:lineRule="auto"/>
        <w:rPr>
          <w:sz w:val="20"/>
          <w:szCs w:val="20"/>
        </w:rPr>
      </w:pPr>
      <w:r>
        <w:rPr>
          <w:sz w:val="20"/>
          <w:szCs w:val="20"/>
        </w:rPr>
        <w:t>Sir H</w:t>
      </w:r>
      <w:r>
        <w:rPr>
          <w:sz w:val="20"/>
          <w:szCs w:val="20"/>
        </w:rPr>
        <w:t xml:space="preserve">. </w:t>
      </w:r>
      <w:r>
        <w:rPr>
          <w:sz w:val="20"/>
          <w:szCs w:val="20"/>
          <w:lang w:val="en-US" w:eastAsia="en-US" w:bidi="en-US"/>
        </w:rPr>
        <w:t xml:space="preserve">Page Croft </w:t>
      </w:r>
      <w:r>
        <w:rPr>
          <w:sz w:val="20"/>
          <w:szCs w:val="20"/>
        </w:rPr>
        <w:t>(konservativec): Je ctihodnému pánu známo, že ačkoli obecně existuje národní jednota ve věci spolupráce proti útokům, každý nápad o trvalé vojenské alianci našeho národa s jiným státem než s Francií by mohl vzbudit největší nespokojenost? (Sly</w:t>
      </w:r>
      <w:r>
        <w:rPr>
          <w:sz w:val="20"/>
          <w:szCs w:val="20"/>
        </w:rPr>
        <w:t>šte, slyšte!)</w:t>
      </w:r>
    </w:p>
    <w:p w:rsidR="00500724" w:rsidRDefault="00F30FB8">
      <w:pPr>
        <w:pStyle w:val="Zkladntext20"/>
        <w:shd w:val="clear" w:color="auto" w:fill="auto"/>
        <w:spacing w:line="180" w:lineRule="auto"/>
        <w:rPr>
          <w:sz w:val="20"/>
          <w:szCs w:val="20"/>
        </w:rPr>
      </w:pPr>
      <w:r>
        <w:rPr>
          <w:sz w:val="20"/>
          <w:szCs w:val="20"/>
          <w:lang w:val="en-US" w:eastAsia="en-US" w:bidi="en-US"/>
        </w:rPr>
        <w:t xml:space="preserve">Mr. </w:t>
      </w:r>
      <w:r>
        <w:rPr>
          <w:sz w:val="20"/>
          <w:szCs w:val="20"/>
        </w:rPr>
        <w:t>Boothby (konservativec): Je ctihodnému pánu známo, že k tvrzení, které právě učinil, chybí jakýkoliv důvod? (Potlesk oposice.)«</w:t>
      </w:r>
    </w:p>
    <w:p w:rsidR="00500724" w:rsidRDefault="00F30FB8">
      <w:pPr>
        <w:pStyle w:val="Zkladntext20"/>
        <w:shd w:val="clear" w:color="auto" w:fill="auto"/>
        <w:spacing w:line="204" w:lineRule="auto"/>
      </w:pPr>
      <w:r>
        <w:t>Právě těmito okolnostmi se vysvětluje diplomatic</w:t>
      </w:r>
      <w:r>
        <w:softHyphen/>
        <w:t>ká tahanice mezi Anglií a Ruskem, tahanice, která pravděpodob</w:t>
      </w:r>
      <w:r>
        <w:t xml:space="preserve">ně stála </w:t>
      </w:r>
      <w:r>
        <w:rPr>
          <w:lang w:val="en-US" w:eastAsia="en-US" w:bidi="en-US"/>
        </w:rPr>
        <w:t xml:space="preserve">Litvinova </w:t>
      </w:r>
      <w:r>
        <w:t>jeho ministerské křeslo. Neboť druhý partner, Moskva, právě tak sly</w:t>
      </w:r>
      <w:r>
        <w:softHyphen/>
        <w:t>šela vývody Lloyda Georgea, a je si vědoma své velké ceny pro Anglii. S hlediska velmocenského prestyže má Rusko všechny důvody, aby oplatilo Chamberlai- novi zářijové u</w:t>
      </w:r>
      <w:r>
        <w:t>dálosti, kdy se britskému ministerské</w:t>
      </w:r>
      <w:r>
        <w:softHyphen/>
        <w:t>mu předsedovi podařilo zcela vyřadit Rusko z evrop</w:t>
      </w:r>
      <w:r>
        <w:softHyphen/>
        <w:t>ské politiky. V Moskvě si patrně tehdy řekli, že ještě přijde pro ně doba, a že budou mít možnost odplaty. Teď tato chvíle přišla. Ruský bolševismus, o jehož nectnoste</w:t>
      </w:r>
      <w:r>
        <w:t xml:space="preserve">ch dovedli angličtí lordové pronést a napsat tolik vznešených slov, se náhle stal »salonfáhig«. Když se Anglie rozhodla dát dohromady frontu proti Německu a Itálii, vzpomněla si na Moskvu. A Moskva si tedy může diktovat. Neboť Kreml uvažuje asi takto: buď </w:t>
      </w:r>
      <w:r>
        <w:t>Anglie pokračuje ve staré politice, a vše</w:t>
      </w:r>
      <w:r>
        <w:softHyphen/>
        <w:t>chny záruky, které poskytuje, a všechno mluvení o &gt;; frontě proti útočníkovi« je pouhý bluf, který má uchlácholit oposici, nebo snad chce nahnat někomu strach, kdežto v rozhodném okamžiku znovu bude vzkří</w:t>
      </w:r>
      <w:r>
        <w:softHyphen/>
        <w:t>šena poli</w:t>
      </w:r>
      <w:r>
        <w:t>tika, která vyvrcholí v nové konferenci—a pak nebude si Moskva pálit prsty, nevydá se nebezpečí, »aby tahala kaštany pro jiné z ohně«. Anebo Anglie má vážné důvody, aby tuto novou politiku dělala upřímně a doopravdy — a pak nemůže ji dělat bez Ruska, a pro</w:t>
      </w:r>
      <w:r>
        <w:t>to musí ruskou pomoc patřičně zaplatit, anebo alespoň poskytnout dostatečné záruky.</w:t>
      </w:r>
    </w:p>
    <w:p w:rsidR="00500724" w:rsidRDefault="00F30FB8">
      <w:pPr>
        <w:pStyle w:val="Zkladntext20"/>
        <w:shd w:val="clear" w:color="auto" w:fill="auto"/>
        <w:spacing w:line="206" w:lineRule="auto"/>
      </w:pPr>
      <w:r>
        <w:t xml:space="preserve">A věru ruské obavy nejsou tak zcela bezpodstatné. Vzpomínáte na dny loňské krise, kdy najednou se objevil </w:t>
      </w:r>
      <w:r>
        <w:rPr>
          <w:b/>
          <w:bCs/>
        </w:rPr>
        <w:t xml:space="preserve">v </w:t>
      </w:r>
      <w:r>
        <w:t xml:space="preserve">»Tempsu« článek profesora Barthélemyho, který dokazoval, že </w:t>
      </w:r>
      <w:r>
        <w:t>Francie není vázána spojenectvím s Československem?. Tento článek byl tehdy »s po</w:t>
      </w:r>
      <w:r>
        <w:softHyphen/>
        <w:t xml:space="preserve">bouřením« odmítnut téměř celou píšící a mluvící Francií — a za několik týdnů tleskali Daladierovi tíž lidé, kteří se horšili na Barthélemyho. Nyní převzal úlohu </w:t>
      </w:r>
      <w:r>
        <w:rPr>
          <w:lang w:val="en-US" w:eastAsia="en-US" w:bidi="en-US"/>
        </w:rPr>
        <w:t xml:space="preserve">prof. </w:t>
      </w:r>
      <w:r>
        <w:t>Barthél</w:t>
      </w:r>
      <w:r>
        <w:t>emyho bývalý socialista a ministr Marcel Déat a napsal tentokrát ne v »Tempsu«, nýbrž v »Oeuvru« článek: »Zemřít za Gdaňsko? Nikdy!« Ano, tento článek je s pobouřením odmítán celou francouzskou veřejností — ale my, Češi, máme jaksi už své zkušenosti.</w:t>
      </w:r>
    </w:p>
    <w:p w:rsidR="00500724" w:rsidRDefault="00F30FB8">
      <w:pPr>
        <w:pStyle w:val="Zkladntext20"/>
        <w:shd w:val="clear" w:color="auto" w:fill="auto"/>
        <w:spacing w:line="204" w:lineRule="auto"/>
      </w:pPr>
      <w:r>
        <w:t>Anebo</w:t>
      </w:r>
      <w:r>
        <w:t xml:space="preserve"> vzpomínáte na článek v »Times« ze dne</w:t>
      </w:r>
    </w:p>
    <w:p w:rsidR="00500724" w:rsidRDefault="00F30FB8">
      <w:pPr>
        <w:pStyle w:val="Zkladntext20"/>
        <w:numPr>
          <w:ilvl w:val="0"/>
          <w:numId w:val="64"/>
        </w:numPr>
        <w:shd w:val="clear" w:color="auto" w:fill="auto"/>
        <w:tabs>
          <w:tab w:val="left" w:pos="294"/>
        </w:tabs>
        <w:spacing w:line="204" w:lineRule="auto"/>
        <w:ind w:firstLine="0"/>
      </w:pPr>
      <w:r>
        <w:t xml:space="preserve">září, kde se po prvé v anglickém tisku řeklo, že Sudety mají býti postoupeny Německu? Tento článek byl nejen s pobouřením odmítnut, ale dokonce bylo vydáno úřední oznámení, že </w:t>
      </w:r>
      <w:r>
        <w:rPr>
          <w:lang w:val="en-US" w:eastAsia="en-US" w:bidi="en-US"/>
        </w:rPr>
        <w:t xml:space="preserve">Foreign </w:t>
      </w:r>
      <w:r>
        <w:t xml:space="preserve">Office s tímto článkem nemá nic společného, že lituje, že se takový článek mohl objevit atd., atd. Týden poté letěl </w:t>
      </w:r>
      <w:r>
        <w:rPr>
          <w:lang w:val="en-US" w:eastAsia="en-US" w:bidi="en-US"/>
        </w:rPr>
        <w:t>Cham</w:t>
      </w:r>
      <w:r>
        <w:rPr>
          <w:lang w:val="en-US" w:eastAsia="en-US" w:bidi="en-US"/>
        </w:rPr>
        <w:softHyphen/>
        <w:t xml:space="preserve">berlain </w:t>
      </w:r>
      <w:r>
        <w:t>do Berchtesgadenu... A teď zase napsal do »Timesů« zcela soukromý dopis lord Ruthcliff, osob</w:t>
      </w:r>
      <w:r>
        <w:softHyphen/>
        <w:t>nost velmi blízká vládě (je předse</w:t>
      </w:r>
      <w:r>
        <w:t>dou vládního vý</w:t>
      </w:r>
      <w:r>
        <w:softHyphen/>
        <w:t>boru pro potírání nezaměstnanosti), v němž jaksi prohlašuje, že není ještě všechno ztraceno, že by se mělo vyjednávat, že jak otázka Gdanska, tak i otázka italských nároků vůči Francii mohou být rozumně rozřešeny na nějaké nové konferenci č</w:t>
      </w:r>
      <w:r>
        <w:t>tyř atd., atd.</w:t>
      </w:r>
    </w:p>
    <w:p w:rsidR="00500724" w:rsidRDefault="00F30FB8">
      <w:pPr>
        <w:pStyle w:val="Zkladntext20"/>
        <w:shd w:val="clear" w:color="auto" w:fill="auto"/>
        <w:spacing w:line="204" w:lineRule="auto"/>
      </w:pPr>
      <w:r>
        <w:t>Ať už diplomatická jednání dopadnou jakkoliv, ať už Evropu očekává válka či ozbrojený mir, jedna věc je jistá: mocnosti osy mají před svými odpůrci jednu velmi velkou výhodu. Vedení obou říší, německé a italské, jsou si vědoma, co chtějí. Js</w:t>
      </w:r>
      <w:r>
        <w:t>ou spjata po</w:t>
      </w:r>
      <w:r>
        <w:softHyphen/>
        <w:t>znáním příbuzenství a společenství osudů nacionál</w:t>
      </w:r>
      <w:r>
        <w:softHyphen/>
        <w:t>ního socialismu a fašismu. Vědí, že oba, nacionální socialismus a fašismus, mohou buď spolu zvítězit, nebo spolu zahynout. Státy, které spojují své osudy s mocnostmi osy, navazují rovněž na tot</w:t>
      </w:r>
      <w:r>
        <w:t>o společenství ideologií. V Berlíně a v Římě, a právě tak v Pešti a v Tokiu, se nebojí slůvka ideologie.</w:t>
      </w:r>
    </w:p>
    <w:p w:rsidR="00500724" w:rsidRDefault="00F30FB8">
      <w:pPr>
        <w:pStyle w:val="Zkladntext20"/>
        <w:shd w:val="clear" w:color="auto" w:fill="auto"/>
        <w:spacing w:line="204" w:lineRule="auto"/>
      </w:pPr>
      <w:r>
        <w:t>Kdežto odpůrčí strana, chce-li se postavit opravdu na odpor, musí se rovněž dostat do ideologického pří</w:t>
      </w:r>
      <w:r>
        <w:softHyphen/>
        <w:t>buzenství. Déat má v tomto smyslu pravdu: Sotva</w:t>
      </w:r>
      <w:r>
        <w:t xml:space="preserve"> je Gdaňsko s to vzbudit ve francouzském rolníkovi nebo v anglickém horníkovi takové zanícení, aby chtěl pro ně umírat. Snad by byl ochoten umírat, kdyby měl před očima nějaký vznešenější cíl, kdyby se mu snad vysvětlilo, že Gdaňsko, nebo nějaký jiný zeměp</w:t>
      </w:r>
      <w:r>
        <w:t>isný pojem je pouze symbolem něčeho jiného. Kdyby do</w:t>
      </w:r>
      <w:r>
        <w:softHyphen/>
        <w:t>vedli státníci »protiosových« zemí takový ideologický cíl vytyčit, snad by se jim podařilo umlčet ve svých řadách malomyslnost a defaitismus. Achillovou patou »demokratického bloku« je však právě okolnos</w:t>
      </w:r>
      <w:r>
        <w:t>t, že se jako čert kříže bojí slova ideologie.</w:t>
      </w:r>
    </w:p>
    <w:p w:rsidR="00500724" w:rsidRDefault="00F30FB8">
      <w:pPr>
        <w:pStyle w:val="Zkladntext20"/>
        <w:shd w:val="clear" w:color="auto" w:fill="auto"/>
        <w:spacing w:after="300" w:line="204" w:lineRule="auto"/>
      </w:pPr>
      <w:r>
        <w:t>Podle toho, dovede-li se Anglie opravdu dohodnout s Ruskem, poznáme, zda chce hnáti věci k válce, nebo zda přijdou zase pouhé diplomatické noty a protesty.</w:t>
      </w:r>
    </w:p>
    <w:p w:rsidR="00500724" w:rsidRDefault="00F30FB8">
      <w:pPr>
        <w:pStyle w:val="Jin0"/>
        <w:shd w:val="clear" w:color="auto" w:fill="auto"/>
        <w:spacing w:after="220"/>
        <w:ind w:firstLine="0"/>
        <w:jc w:val="left"/>
        <w:rPr>
          <w:sz w:val="44"/>
          <w:szCs w:val="44"/>
        </w:rPr>
      </w:pPr>
      <w:r>
        <w:rPr>
          <w:b/>
          <w:bCs/>
          <w:sz w:val="44"/>
          <w:szCs w:val="44"/>
          <w:u w:val="single"/>
        </w:rPr>
        <w:t>život a 1n sti1 u c e</w:t>
      </w:r>
    </w:p>
    <w:p w:rsidR="00500724" w:rsidRDefault="00F30FB8">
      <w:pPr>
        <w:pStyle w:val="Zkladntext40"/>
        <w:shd w:val="clear" w:color="auto" w:fill="auto"/>
        <w:spacing w:after="0" w:line="240" w:lineRule="auto"/>
      </w:pPr>
      <w:r>
        <w:rPr>
          <w:b/>
          <w:bCs/>
          <w:i/>
          <w:iCs/>
        </w:rPr>
        <w:t>Jan Frank:</w:t>
      </w:r>
    </w:p>
    <w:p w:rsidR="00500724" w:rsidRDefault="00F30FB8">
      <w:pPr>
        <w:pStyle w:val="Jin0"/>
        <w:shd w:val="clear" w:color="auto" w:fill="auto"/>
        <w:spacing w:after="80"/>
        <w:ind w:firstLine="0"/>
        <w:jc w:val="center"/>
        <w:rPr>
          <w:sz w:val="34"/>
          <w:szCs w:val="34"/>
        </w:rPr>
      </w:pPr>
      <w:r>
        <w:rPr>
          <w:b/>
          <w:bCs/>
          <w:sz w:val="34"/>
          <w:szCs w:val="34"/>
        </w:rPr>
        <w:t>Rozchod armády</w:t>
      </w:r>
    </w:p>
    <w:p w:rsidR="00500724" w:rsidRDefault="00F30FB8">
      <w:pPr>
        <w:pStyle w:val="Zkladntext20"/>
        <w:shd w:val="clear" w:color="auto" w:fill="auto"/>
        <w:spacing w:line="206" w:lineRule="auto"/>
      </w:pPr>
      <w:r>
        <w:t>Koneč</w:t>
      </w:r>
      <w:r>
        <w:t xml:space="preserve">nou likvidací ministerstva národní obrany je zahájena poslední etapa likvidace předchozí státní struktury naší země. I když změny, jež budou pro- vázeti náš pozdější život hospodářský </w:t>
      </w:r>
      <w:r>
        <w:rPr>
          <w:b/>
          <w:bCs/>
        </w:rPr>
        <w:t>a kulturní, bu</w:t>
      </w:r>
      <w:r>
        <w:rPr>
          <w:b/>
          <w:bCs/>
        </w:rPr>
        <w:softHyphen/>
      </w:r>
      <w:r>
        <w:t>dou ještě pronikavější, budou přece jen méně ná</w:t>
      </w:r>
      <w:r>
        <w:softHyphen/>
        <w:t xml:space="preserve">padné, </w:t>
      </w:r>
      <w:r>
        <w:t>než odchod posledního vojáka od praporu. Uni</w:t>
      </w:r>
      <w:r>
        <w:softHyphen/>
        <w:t>forma, již jsme jeden déle a druhý kratčeji nosili, zmizí tedy z pražských ulic, kaváren, divadel a bio</w:t>
      </w:r>
      <w:r>
        <w:softHyphen/>
        <w:t>grafů, nebude se objevovat na místech slavností ra</w:t>
      </w:r>
      <w:r>
        <w:softHyphen/>
        <w:t>dosti i smutku, a vyznamenání nebo pocty, jichž lec</w:t>
      </w:r>
      <w:r>
        <w:softHyphen/>
        <w:t xml:space="preserve">kdo </w:t>
      </w:r>
      <w:r>
        <w:t>z nás dosáhl pod záštitou svého plukovního pra</w:t>
      </w:r>
      <w:r>
        <w:softHyphen/>
        <w:t>poru, budou uschovány jako památky na naše prvá léta mužnosti nebo mužného probuzení k celonárodní solidaritě, jež nezná rozdílů stavů a tříd a jež hodnotí a je hodnocena vlastními měřítky podle toho, jaký jsi</w:t>
      </w:r>
      <w:r>
        <w:t xml:space="preserve"> nebo jaký jsi byl voják.</w:t>
      </w:r>
    </w:p>
    <w:p w:rsidR="00500724" w:rsidRDefault="00F30FB8">
      <w:pPr>
        <w:pStyle w:val="Zkladntext20"/>
        <w:shd w:val="clear" w:color="auto" w:fill="auto"/>
        <w:spacing w:after="40" w:line="204" w:lineRule="auto"/>
        <w:ind w:firstLine="280"/>
      </w:pPr>
      <w:r>
        <w:t>Nechrne přehlídky vzniku, vývoje a mravních hod</w:t>
      </w:r>
      <w:r>
        <w:softHyphen/>
        <w:t>not vojenským historikům. Pozastavme se jen nad několika obecnými, namnoze známými zjevy. Stát dnešní stejně jako státy dřívější žily po všechna léta své existence nejen svým bohatst</w:t>
      </w:r>
      <w:r>
        <w:t>vím, svými básníky, svými malíři a vynálezci, ale především svými armá</w:t>
      </w:r>
      <w:r>
        <w:softHyphen/>
        <w:t>dami. I bývalý stát československý si budoval a vybu</w:t>
      </w:r>
      <w:r>
        <w:softHyphen/>
        <w:t>doval svou vlastní armádu. A bylo by bláhové zapo- menouti, že při zrodu této armády nebylo myšleno na válku, tím méně válku výbojno</w:t>
      </w:r>
      <w:r>
        <w:t>u.</w:t>
      </w:r>
    </w:p>
    <w:p w:rsidR="00500724" w:rsidRDefault="00F30FB8">
      <w:pPr>
        <w:pStyle w:val="Zkladntext20"/>
        <w:shd w:val="clear" w:color="auto" w:fill="auto"/>
        <w:spacing w:after="60" w:line="202" w:lineRule="auto"/>
        <w:ind w:firstLine="0"/>
        <w:jc w:val="center"/>
      </w:pPr>
      <w:r>
        <w:t>•</w:t>
      </w:r>
    </w:p>
    <w:p w:rsidR="00500724" w:rsidRDefault="00F30FB8">
      <w:pPr>
        <w:pStyle w:val="Zkladntext20"/>
        <w:shd w:val="clear" w:color="auto" w:fill="auto"/>
        <w:spacing w:line="202" w:lineRule="auto"/>
        <w:ind w:firstLine="280"/>
      </w:pPr>
      <w:r>
        <w:t xml:space="preserve">Není tajemstvím, že armády států píší jejich dějiny. Je však méně známo, že armády tvoří ducha národů, Není rozhodující, jsou-li to armády, jež prošly krví, nebo jsou-li to armády, které nosí své pečlivě ošetřené zbraně na řemeni a procházejí městy </w:t>
      </w:r>
      <w:r>
        <w:t>jen o slavnost</w:t>
      </w:r>
      <w:r>
        <w:softHyphen/>
        <w:t>ních příležitostech. Ítíká-li se, že jaký je národ, tako</w:t>
      </w:r>
      <w:r>
        <w:softHyphen/>
        <w:t>vou má armádu, dá se tato věta stejně dobře obrátit.</w:t>
      </w:r>
    </w:p>
    <w:p w:rsidR="00500724" w:rsidRDefault="00F30FB8">
      <w:pPr>
        <w:pStyle w:val="Zkladntext20"/>
        <w:shd w:val="clear" w:color="auto" w:fill="auto"/>
        <w:spacing w:line="202" w:lineRule="auto"/>
        <w:ind w:firstLine="280"/>
      </w:pPr>
      <w:r>
        <w:t>Poměr českého občana k armádě byl odevždy málo pochopitelný cizímu pozorovateli a budil obavy, že národ svou armádu nemiluje a že j</w:t>
      </w:r>
      <w:r>
        <w:t xml:space="preserve">i neceni. Pramenilo to </w:t>
      </w:r>
      <w:r>
        <w:rPr>
          <w:b/>
          <w:bCs/>
          <w:sz w:val="26"/>
          <w:szCs w:val="26"/>
        </w:rPr>
        <w:t xml:space="preserve">z </w:t>
      </w:r>
      <w:r>
        <w:t>jednoduchého pozorování drobných událostí, z jednání v parlamentě, z rozhovorů vojáků i nevojá- ků. Branná povinnost se zdála mnohým tou nejtěžší daní, již měli odvádět svému státu. Parlamentní bou</w:t>
      </w:r>
      <w:r>
        <w:softHyphen/>
        <w:t>ře, k nimž docházelo při projedná</w:t>
      </w:r>
      <w:r>
        <w:t>vání vojenského roz</w:t>
      </w:r>
      <w:r>
        <w:softHyphen/>
        <w:t>počtu, novinové zprávy, jež pranýřovaly každého, kdo nechoval vojáka v bavlnce, vliv politických mi</w:t>
      </w:r>
      <w:r>
        <w:softHyphen/>
        <w:t>nistrů i ve věcech vojenských, jdoucí tak daleko, že generál byl v osobní věci kmána odsunut na vedlejší kolej, to všecko vnukalo cizímu</w:t>
      </w:r>
      <w:r>
        <w:t xml:space="preserve"> pozorovateli, že český člověk vojenskou povinnost nemiluje. Tato pozorování byla doplněna i tím, že tisk i ostatní veřejné mínění chránilo nižšího před vyšším, vyciťujíc, že není sluči- telno se státním zřízením utiskovat bezbranného pro</w:t>
      </w:r>
      <w:r>
        <w:softHyphen/>
        <w:t>stého vojáka a do</w:t>
      </w:r>
      <w:r>
        <w:t>volovat jeho veliteli, aby jej týral. A přece nedocházelo ani k jednomu ani ke druhému. Přes to Češi i Slováci svou armádu milovali. Přes to, podle slov Vůdce a říšského kancléře byla to armáda dobrá a statečná. Proto také tato armáda vykonala bez boje dos</w:t>
      </w:r>
      <w:r>
        <w:t>ti. Přinesla do českého a slovenského ži</w:t>
      </w:r>
      <w:r>
        <w:softHyphen/>
        <w:t>vota něco, co se snad nejprve zdálo překonaným: po</w:t>
      </w:r>
      <w:r>
        <w:softHyphen/>
        <w:t>jem mužnosti a cti. Po prvých letech tápání přišel v armádě ke slovu duch mužného rytířství, odvaha, síla a vědomí kázně. Služební řád československé ar</w:t>
      </w:r>
      <w:r>
        <w:softHyphen/>
        <w:t>mády charak</w:t>
      </w:r>
      <w:r>
        <w:t>terisoval tuto kázeň slovy: »Kázeň je hrdé vědomí vojáka, že se podřizuje vůli vyšší, vůli odpovědné.«</w:t>
      </w:r>
    </w:p>
    <w:p w:rsidR="00500724" w:rsidRDefault="00F30FB8">
      <w:pPr>
        <w:pStyle w:val="Zkladntext20"/>
        <w:shd w:val="clear" w:color="auto" w:fill="auto"/>
        <w:spacing w:line="240" w:lineRule="auto"/>
        <w:ind w:firstLine="280"/>
      </w:pPr>
      <w:r>
        <w:t xml:space="preserve">Tato vyšší, odpovědná vůle podmaňovala i ty, kteří přicházeli v prvých týdnech podzimu na kasárenský dvůr se svými nově natřenými kufříky, nevědoucí nic </w:t>
      </w:r>
      <w:r>
        <w:t>z toho, co je čeká, neznající tváře těch, kteří od dneš</w:t>
      </w:r>
      <w:r>
        <w:softHyphen/>
        <w:t>ního dne jim nebudou radit, ale rozkazovat, kteří je 522 budou chválit a trestat. Je proto samozřejmo, že snad každý, kdo nenosil v sobě trochu vojáctví, zdědě</w:t>
      </w:r>
      <w:r>
        <w:softHyphen/>
        <w:t>ného po tátovi, nebo kdo sem nešel za bu</w:t>
      </w:r>
      <w:r>
        <w:t>doucím po</w:t>
      </w:r>
      <w:r>
        <w:softHyphen/>
        <w:t>voláním, nastupoval svou vojenskou povinnost s vět</w:t>
      </w:r>
      <w:r>
        <w:softHyphen/>
        <w:t>ším nebo menším pocitem vzdoru, s touhou vyzrát na velitele i na systém. A je známo nám všem, kterým se dostalo cti být vojáky, jak pomalu roztával tento od</w:t>
      </w:r>
      <w:r>
        <w:softHyphen/>
        <w:t xml:space="preserve">por, jak pomalu nás začalo zajímat to </w:t>
      </w:r>
      <w:r>
        <w:t>i ono a jak jsme se snažili vycházet svým velitelům vstříc, jak jsme si pamatovali jejich tváře, že jsme je v důstojnické škole nebo v akademii kreslili po lavicích (a byli to oni), jak jsme poznávali jejich sklony a slabůstky, když u večerního rozkazu dos</w:t>
      </w:r>
      <w:r>
        <w:t>tal leckdo z nás svou míru, jak jsme si své odseděli a milovali je dál, jak jsme jim zpívali jejich nejmilejší písničky a jak jsme byli ško</w:t>
      </w:r>
      <w:r>
        <w:softHyphen/>
        <w:t>lácky šťastni, když za námi někdy při slavnostní pří</w:t>
      </w:r>
      <w:r>
        <w:softHyphen/>
        <w:t>ležitosti přišli do hospody. A říká-li se, že je vojna ško</w:t>
      </w:r>
      <w:r>
        <w:softHyphen/>
        <w:t xml:space="preserve">lou </w:t>
      </w:r>
      <w:r>
        <w:t>života, je to polopravda, protože vojna je víc. Od obecné školy až po universitu byli jsme se svými uči</w:t>
      </w:r>
      <w:r>
        <w:softHyphen/>
        <w:t>teli stále ve styku tenčím a tenčím. Těch několik ho</w:t>
      </w:r>
      <w:r>
        <w:softHyphen/>
        <w:t>din, jež jsme je v týdnu poslouchali, bylo příliš málo, než abychom se s nimi sžili jako se svými v</w:t>
      </w:r>
      <w:r>
        <w:t>ojenskými veliteli. Tehdy jsme měli své domovy, měli jsme svá přátelství, ale na vojně jsme s nimi měli jeden domov, ať to bylo v kasárnách nebo ve vsi nebo pod zemí.</w:t>
      </w:r>
    </w:p>
    <w:p w:rsidR="00500724" w:rsidRDefault="00F30FB8">
      <w:pPr>
        <w:pStyle w:val="Zkladntext20"/>
        <w:shd w:val="clear" w:color="auto" w:fill="auto"/>
        <w:spacing w:after="80" w:line="223" w:lineRule="auto"/>
        <w:ind w:firstLine="0"/>
        <w:jc w:val="center"/>
      </w:pPr>
      <w:r>
        <w:t>•</w:t>
      </w:r>
    </w:p>
    <w:p w:rsidR="00500724" w:rsidRDefault="00F30FB8">
      <w:pPr>
        <w:pStyle w:val="Zkladntext20"/>
        <w:shd w:val="clear" w:color="auto" w:fill="auto"/>
        <w:spacing w:line="223" w:lineRule="auto"/>
      </w:pPr>
      <w:r>
        <w:t>Prvé nepříjemné pocity se změnily v mužnou odda</w:t>
      </w:r>
      <w:r>
        <w:softHyphen/>
        <w:t>nost. A prvým přáním nás všech bylo, bý</w:t>
      </w:r>
      <w:r>
        <w:t>t jednou dů</w:t>
      </w:r>
      <w:r>
        <w:softHyphen/>
        <w:t>stojníky jako je tento a za nic na světě nebýt tako</w:t>
      </w:r>
      <w:r>
        <w:softHyphen/>
        <w:t>vým jako je onen. A nakonec se poznalo, že leckdo z nás byl právě takovým, jakým při svém vstupu do kasáren nechtěl být. Bylo to skoro vždy proto, že te</w:t>
      </w:r>
      <w:r>
        <w:softHyphen/>
        <w:t>prve delším pobytem v kasárnách jsme po</w:t>
      </w:r>
      <w:r>
        <w:t>znali cenu přísnosti a nesmlouvavosti, že jsme pochopili, jak je to veliký dar a vzácné bohatství moci plnit cizí vůli a vyžadovat plnění vůle své.</w:t>
      </w:r>
    </w:p>
    <w:p w:rsidR="00500724" w:rsidRDefault="00F30FB8">
      <w:pPr>
        <w:pStyle w:val="Zkladntext20"/>
        <w:shd w:val="clear" w:color="auto" w:fill="auto"/>
        <w:spacing w:line="223" w:lineRule="auto"/>
      </w:pPr>
      <w:r>
        <w:t>Rekl-Ii jsem, že armády tvoří ducha národů, mám tím na mysli jejich mravní sílu. Ta nebyla v bývalé českoslo</w:t>
      </w:r>
      <w:r>
        <w:t>venské armádě malá. A protože hodnoty mravní jsou neproměnné, bude tato mravní síla dlou</w:t>
      </w:r>
      <w:r>
        <w:softHyphen/>
        <w:t>hou dobu páteří našeho vnitřního života. Kázeň, kte</w:t>
      </w:r>
      <w:r>
        <w:softHyphen/>
        <w:t xml:space="preserve">rou jsme přijímali a rozsévali, si podmanila české srdce i mysl. A je-li národ dnes tak pevně jednotný a ukázněný, </w:t>
      </w:r>
      <w:r>
        <w:t>bylo by nespravedlností nepřiznat armádě její podíl.</w:t>
      </w:r>
    </w:p>
    <w:p w:rsidR="00500724" w:rsidRDefault="00F30FB8">
      <w:pPr>
        <w:pStyle w:val="Zkladntext20"/>
        <w:shd w:val="clear" w:color="auto" w:fill="auto"/>
        <w:spacing w:after="100" w:line="180" w:lineRule="auto"/>
        <w:ind w:firstLine="0"/>
        <w:jc w:val="center"/>
      </w:pPr>
      <w:r>
        <w:t>•</w:t>
      </w:r>
    </w:p>
    <w:p w:rsidR="00500724" w:rsidRDefault="00F30FB8">
      <w:pPr>
        <w:pStyle w:val="Zkladntext20"/>
        <w:shd w:val="clear" w:color="auto" w:fill="auto"/>
        <w:spacing w:line="223" w:lineRule="auto"/>
      </w:pPr>
      <w:r>
        <w:t>V pohledu nevojáka na armádu bylo u nás dlouho mnoho rozporů. Když už někdo miloval armádu, ne</w:t>
      </w:r>
      <w:r>
        <w:softHyphen/>
        <w:t>miloval uniformu. Jiný naopak. A přece, i když tyto dva pojmy mají zcela rozdílný obsah, jsou nerozluči- t</w:t>
      </w:r>
      <w:r>
        <w:t>elné. Dnes vidíme ostřeji, než jsme viděli před časem, a vidíme také, že uniforma není jenom paráda a vnější znak jednoty, tím méně racionální oblek. Je to asi tak, jako podáme-li někomu legitimaci nebo jen fotografii. Na obojím jsme to my, ale v legitimac</w:t>
      </w:r>
      <w:r>
        <w:t>i jsme úplnější. Bylo proto mylné odsuzovat uniformu, chtěli-li jsme se světu představovat, jací skutečně jsme. V armádě tato zdánlivě vnější věc hraje svou nesmírnou roli a hrála ji také u nás.</w:t>
      </w:r>
    </w:p>
    <w:p w:rsidR="00500724" w:rsidRDefault="00F30FB8">
      <w:pPr>
        <w:pStyle w:val="Zkladntext20"/>
        <w:shd w:val="clear" w:color="auto" w:fill="auto"/>
        <w:spacing w:after="40" w:line="240" w:lineRule="auto"/>
      </w:pPr>
      <w:r>
        <w:t>Povýšený postoj k uniformám byl povýšeným od</w:t>
      </w:r>
      <w:r>
        <w:softHyphen/>
        <w:t xml:space="preserve">souzením vnější </w:t>
      </w:r>
      <w:r>
        <w:t>representace. Representace, která je tím krásnější, protože nedovoluje, aby se lidé strojili na slavnosti jako na operetní jeviště.</w:t>
      </w:r>
    </w:p>
    <w:p w:rsidR="00500724" w:rsidRDefault="00F30FB8">
      <w:pPr>
        <w:pStyle w:val="Zkladntext20"/>
        <w:shd w:val="clear" w:color="auto" w:fill="auto"/>
        <w:spacing w:after="40" w:line="206" w:lineRule="auto"/>
      </w:pPr>
      <w:r>
        <w:t>Proto také cizí pozorovatelé psali v zahraničním tisku glosy o československé armádě jako o armádě skromných, tichých vojáčk</w:t>
      </w:r>
      <w:r>
        <w:t>ů, spíše fysicky slabších a menších, kteří se plaše procházejí hlavním městem státu a trochu apaticky si prohlížejí jeho staletou krásu.</w:t>
      </w:r>
    </w:p>
    <w:p w:rsidR="00500724" w:rsidRDefault="00F30FB8">
      <w:pPr>
        <w:pStyle w:val="Zkladntext20"/>
        <w:shd w:val="clear" w:color="auto" w:fill="auto"/>
        <w:spacing w:after="40" w:line="204" w:lineRule="auto"/>
      </w:pPr>
      <w:r>
        <w:t>I tyto maličkosti mají svůj význam. A přecházeli jsme je bez komentáře, aniž bychom řekli pravdu: po</w:t>
      </w:r>
      <w:r>
        <w:softHyphen/>
        <w:t>sádka hlavního měs</w:t>
      </w:r>
      <w:r>
        <w:t>ta se skládá z tolika a tolika pro</w:t>
      </w:r>
      <w:r>
        <w:softHyphen/>
        <w:t>cent Maďarů a Rusínů, kteří tu neměli známých, kteří rozuměli česky jen svým velitelům, kteří jako primi</w:t>
      </w:r>
      <w:r>
        <w:softHyphen/>
        <w:t>tivní venkované měli nejprimitivnější zájmy a neděli co neděli proseděli v kasárnách, zpívali si své smutné písničky</w:t>
      </w:r>
      <w:r>
        <w:t xml:space="preserve"> a v nejlepším případě splétali z barevných stužek dečky a polštářky. A aspiranti? Synáčkové politických a majetkových horních deseti tisíc, kteří si svou vojenskou službu odsloužili pod maminčiným slunečníkem a tatínkovými známostmi.</w:t>
      </w:r>
    </w:p>
    <w:p w:rsidR="00500724" w:rsidRDefault="00F30FB8">
      <w:pPr>
        <w:pStyle w:val="Zkladntext100"/>
        <w:shd w:val="clear" w:color="auto" w:fill="auto"/>
        <w:spacing w:after="40" w:line="240" w:lineRule="auto"/>
        <w:ind w:firstLine="0"/>
        <w:jc w:val="center"/>
        <w:rPr>
          <w:sz w:val="19"/>
          <w:szCs w:val="19"/>
        </w:rPr>
      </w:pPr>
      <w:r>
        <w:rPr>
          <w:sz w:val="19"/>
          <w:szCs w:val="19"/>
        </w:rPr>
        <w:t>•</w:t>
      </w:r>
    </w:p>
    <w:p w:rsidR="00500724" w:rsidRDefault="00F30FB8">
      <w:pPr>
        <w:pStyle w:val="Zkladntext20"/>
        <w:shd w:val="clear" w:color="auto" w:fill="auto"/>
        <w:spacing w:after="40" w:line="202" w:lineRule="auto"/>
      </w:pPr>
      <w:r>
        <w:t xml:space="preserve">Kdo jel kdy po pražském dláždění na koni, ví, že to nepatří k životním slastem. Kdo se při tom mezi tramvajemi a automobily proplétal s rotou vojáků, ví, že musil procházet uzoučkými uličkami a kdo při tom někam šel, a toto někam je důležité, protože se </w:t>
      </w:r>
      <w:r>
        <w:rPr>
          <w:b/>
          <w:bCs/>
          <w:sz w:val="26"/>
          <w:szCs w:val="26"/>
        </w:rPr>
        <w:t xml:space="preserve">v </w:t>
      </w:r>
      <w:r>
        <w:t>plné polní výstroji nechodí na výlet, ten ví, kolik jej po cestě potkalo nesnází. Kdyby chtěl počítat strážní</w:t>
      </w:r>
      <w:r>
        <w:softHyphen/>
        <w:t>ky, kteří jednotku pozdravili, nemusil by někdy zvednout ani jeden prst. A chodci? Klidně stojí na chodníku a čekají až se jednotka přiblíží. Proh</w:t>
      </w:r>
      <w:r>
        <w:t>lédnou si velitele, ověří si jeho hodnost a chvíli se dívají na vojáky. Potom mají tak naspěch, že nemohou počkat až jednotka přejde a cpou se mezi jednotlivé čety, protože se teď, právě teď musí dostat na druhou stra</w:t>
      </w:r>
      <w:r>
        <w:softHyphen/>
        <w:t>nu ulice. Při tom je jim tak trochu je</w:t>
      </w:r>
      <w:r>
        <w:t>dno, jdou-li vojáci ze cvičení a šlapou-li právě svůj čtyřicátý kilometr.</w:t>
      </w:r>
    </w:p>
    <w:p w:rsidR="00500724" w:rsidRDefault="00F30FB8">
      <w:pPr>
        <w:pStyle w:val="Zkladntext20"/>
        <w:shd w:val="clear" w:color="auto" w:fill="auto"/>
        <w:spacing w:after="40" w:line="202" w:lineRule="auto"/>
      </w:pPr>
      <w:r>
        <w:t>A přece měli také svou armádu rádi. Tak nějak prostě a neokázale, že by pokládali za svou slabost, kdyby jí popřáli pohodlí mechanického unaveného kroku postranní ulicí.</w:t>
      </w:r>
    </w:p>
    <w:p w:rsidR="00500724" w:rsidRDefault="00F30FB8">
      <w:pPr>
        <w:pStyle w:val="Zkladntext20"/>
        <w:shd w:val="clear" w:color="auto" w:fill="auto"/>
        <w:spacing w:after="40" w:line="206" w:lineRule="auto"/>
      </w:pPr>
      <w:r>
        <w:t>A lekl-li se</w:t>
      </w:r>
      <w:r>
        <w:t xml:space="preserve"> dragounovi kůň, byla to málem příleži</w:t>
      </w:r>
      <w:r>
        <w:softHyphen/>
        <w:t>tost, abychom odsoudili bojovou schopnost svého jezdectva. A nakonec: i v tom byla láska.</w:t>
      </w:r>
    </w:p>
    <w:p w:rsidR="00500724" w:rsidRDefault="00F30FB8">
      <w:pPr>
        <w:pStyle w:val="Zkladntext100"/>
        <w:shd w:val="clear" w:color="auto" w:fill="auto"/>
        <w:spacing w:after="40" w:line="240" w:lineRule="auto"/>
        <w:ind w:firstLine="0"/>
        <w:jc w:val="center"/>
        <w:rPr>
          <w:sz w:val="19"/>
          <w:szCs w:val="19"/>
        </w:rPr>
      </w:pPr>
      <w:r>
        <w:rPr>
          <w:sz w:val="19"/>
          <w:szCs w:val="19"/>
        </w:rPr>
        <w:t>•</w:t>
      </w:r>
    </w:p>
    <w:p w:rsidR="00500724" w:rsidRDefault="00F30FB8">
      <w:pPr>
        <w:pStyle w:val="Zkladntext20"/>
        <w:shd w:val="clear" w:color="auto" w:fill="auto"/>
        <w:spacing w:after="40" w:line="202" w:lineRule="auto"/>
      </w:pPr>
      <w:r>
        <w:t>Proč to říkám? Proto, že bylo rozhodnuto po</w:t>
      </w:r>
      <w:r>
        <w:softHyphen/>
        <w:t>nechat Protektorátu Čechy a Morava ochranný sbor v síle sedmi tisíc mužů. Bude sl</w:t>
      </w:r>
      <w:r>
        <w:t xml:space="preserve">ožen z bývalých vojáků. Bude to asi patnáctá část mírového stavu bývalé československé armády. Budou v něm Češi. Zdraví, krásní chlapci. Nebude v nich žít bývalá armáda, bude v nich nový duch. I jejich úkoly budou jiné. Jedno však, co v nich zůstane, bude </w:t>
      </w:r>
      <w:r>
        <w:t>vojenská výchova, tra</w:t>
      </w:r>
      <w:r>
        <w:softHyphen/>
        <w:t>dice zdraví a kázně, bratrství a láska, odhodlanost sloužiti věrně a oddaně své krásné zemi. Mizí-li tedy bývalá československá armáda, protože na jejím místě stojí armáda daleko početnější, nemusíme pro</w:t>
      </w:r>
      <w:r>
        <w:softHyphen/>
        <w:t xml:space="preserve">padat sentimentalitě, že mizí </w:t>
      </w:r>
      <w:r>
        <w:t>s ní vše, co je na vojně krásného. Vybavíme proto svůj ochranný sbor vším, co potřebuje. Nebudeme mu fanaticky holdovat, ale nebudeme mu také překážet. Budeme v něm vidět pokračovatele českých vojenských tradic, starých mnoho staletí.</w:t>
      </w:r>
    </w:p>
    <w:p w:rsidR="00500724" w:rsidRDefault="00F30FB8">
      <w:pPr>
        <w:pStyle w:val="Jin0"/>
        <w:shd w:val="clear" w:color="auto" w:fill="auto"/>
        <w:spacing w:after="220"/>
        <w:ind w:firstLine="0"/>
        <w:jc w:val="left"/>
        <w:rPr>
          <w:sz w:val="46"/>
          <w:szCs w:val="46"/>
        </w:rPr>
      </w:pPr>
      <w:r>
        <w:rPr>
          <w:b/>
          <w:bCs/>
          <w:sz w:val="46"/>
          <w:szCs w:val="46"/>
          <w:u w:val="single"/>
        </w:rPr>
        <w:t>dokumenty a vzpomínky</w:t>
      </w:r>
    </w:p>
    <w:p w:rsidR="00500724" w:rsidRDefault="00F30FB8">
      <w:pPr>
        <w:pStyle w:val="Zkladntext20"/>
        <w:shd w:val="clear" w:color="auto" w:fill="auto"/>
        <w:spacing w:line="202" w:lineRule="auto"/>
        <w:ind w:firstLine="0"/>
        <w:jc w:val="left"/>
        <w:rPr>
          <w:sz w:val="20"/>
          <w:szCs w:val="20"/>
        </w:rPr>
      </w:pPr>
      <w:r>
        <w:rPr>
          <w:i/>
          <w:iCs/>
          <w:sz w:val="20"/>
          <w:szCs w:val="20"/>
        </w:rPr>
        <w:t>Jan Albert:</w:t>
      </w:r>
    </w:p>
    <w:p w:rsidR="00500724" w:rsidRDefault="00F30FB8">
      <w:pPr>
        <w:pStyle w:val="Nadpis100"/>
        <w:shd w:val="clear" w:color="auto" w:fill="auto"/>
        <w:spacing w:after="80" w:line="240" w:lineRule="auto"/>
      </w:pPr>
      <w:bookmarkStart w:id="531" w:name="bookmark530"/>
      <w:r>
        <w:t>Gdaňsko nečasové</w:t>
      </w:r>
      <w:bookmarkEnd w:id="531"/>
    </w:p>
    <w:p w:rsidR="00500724" w:rsidRDefault="00F30FB8">
      <w:pPr>
        <w:pStyle w:val="Zkladntext100"/>
        <w:shd w:val="clear" w:color="auto" w:fill="auto"/>
        <w:spacing w:line="211" w:lineRule="auto"/>
        <w:ind w:firstLine="220"/>
        <w:rPr>
          <w:sz w:val="19"/>
          <w:szCs w:val="19"/>
        </w:rPr>
      </w:pPr>
      <w:r>
        <w:rPr>
          <w:sz w:val="19"/>
          <w:szCs w:val="19"/>
        </w:rPr>
        <w:t>íOn pak nejprve přišel do města jménem Gy d da- nyzc v místech, kde se rozsáhlá území knížete do</w:t>
      </w:r>
      <w:r>
        <w:rPr>
          <w:sz w:val="19"/>
          <w:szCs w:val="19"/>
        </w:rPr>
        <w:softHyphen/>
        <w:t>týkají mořského břehu.« — To je první historická zmínka o městě, o němž se dnes píše snad více než o kterémkoli jiném; nebof »Gyd</w:t>
      </w:r>
      <w:r>
        <w:rPr>
          <w:sz w:val="19"/>
          <w:szCs w:val="19"/>
        </w:rPr>
        <w:t>danyzc« není nic jiného než Gdaňsko v tvaru, poškozeném neohebným jazy</w:t>
      </w:r>
      <w:r>
        <w:rPr>
          <w:sz w:val="19"/>
          <w:szCs w:val="19"/>
        </w:rPr>
        <w:softHyphen/>
        <w:t>kem italského legendisty; a příležitostí, při níž se o něm po prvé psalo, byl příchod našeho sv. Vojtěcha v r. 997. V dalších staletích mluví listiny, týkající se Gdanska, o takřka mode</w:t>
      </w:r>
      <w:r>
        <w:rPr>
          <w:sz w:val="19"/>
          <w:szCs w:val="19"/>
        </w:rPr>
        <w:t>rní historii celní politiky, celních unií, celních hradeb a celních válek. Nebof středověké Gdaň</w:t>
      </w:r>
      <w:r>
        <w:rPr>
          <w:sz w:val="19"/>
          <w:szCs w:val="19"/>
        </w:rPr>
        <w:softHyphen/>
        <w:t>sko bylo i jinde obvyklým soužitím přístavu a hradu. Dole v přístavu žili kupci, nahoře na hradě žili rytíři. Rytíři se vysmívali bohatým kupcům, z nichž každý</w:t>
      </w:r>
      <w:r>
        <w:rPr>
          <w:sz w:val="19"/>
          <w:szCs w:val="19"/>
        </w:rPr>
        <w:t xml:space="preserve"> prahl po přívlastcích šlechtického stavu:</w:t>
      </w:r>
    </w:p>
    <w:p w:rsidR="00500724" w:rsidRDefault="00F30FB8">
      <w:pPr>
        <w:pStyle w:val="Zkladntext20"/>
        <w:shd w:val="clear" w:color="auto" w:fill="auto"/>
        <w:spacing w:line="175" w:lineRule="auto"/>
        <w:ind w:left="1340" w:right="1360" w:firstLine="0"/>
        <w:jc w:val="left"/>
        <w:rPr>
          <w:sz w:val="20"/>
          <w:szCs w:val="20"/>
        </w:rPr>
      </w:pPr>
      <w:r>
        <w:rPr>
          <w:sz w:val="20"/>
          <w:szCs w:val="20"/>
        </w:rPr>
        <w:t>Ta jeho pečeť lehká není, erb jeho celý zlatý je, a jeho urození mu přišlo od koření přes moře a z Indie.</w:t>
      </w:r>
    </w:p>
    <w:p w:rsidR="00500724" w:rsidRDefault="00F30FB8">
      <w:pPr>
        <w:pStyle w:val="Zkladntext100"/>
        <w:shd w:val="clear" w:color="auto" w:fill="auto"/>
        <w:spacing w:line="211" w:lineRule="auto"/>
        <w:ind w:firstLine="220"/>
        <w:rPr>
          <w:sz w:val="19"/>
          <w:szCs w:val="19"/>
        </w:rPr>
      </w:pPr>
      <w:r>
        <w:rPr>
          <w:sz w:val="19"/>
          <w:szCs w:val="19"/>
        </w:rPr>
        <w:t>A kupci se vysmívali rytířům, věčně lačnícím po šubách z jejich garderob a po stříbře z jejich truhlic. Kup</w:t>
      </w:r>
      <w:r>
        <w:rPr>
          <w:sz w:val="19"/>
          <w:szCs w:val="19"/>
        </w:rPr>
        <w:t>ci chtěli volnost obchodu a rušili cla, rytíři chtěli brát obchod pod svoji ochranu a ukládat cla co nej</w:t>
      </w:r>
      <w:r>
        <w:rPr>
          <w:sz w:val="19"/>
          <w:szCs w:val="19"/>
        </w:rPr>
        <w:softHyphen/>
        <w:t>vyšší. Tak se v dějinách Gdanska střídají údobí svobod</w:t>
      </w:r>
      <w:r>
        <w:rPr>
          <w:sz w:val="19"/>
          <w:szCs w:val="19"/>
        </w:rPr>
        <w:softHyphen/>
        <w:t>ného města a údobí protektorátu, časem polského, časem německého a za napoleonských dob na někol</w:t>
      </w:r>
      <w:r>
        <w:rPr>
          <w:sz w:val="19"/>
          <w:szCs w:val="19"/>
        </w:rPr>
        <w:t>ik let i francouzského. O tom všem však zde nechceme mluvit; z celé historie Gdanska se chceme podívat jen na krátký úsek půl století, zajímavý pro nás zejména tím, že se tu osudy města na Baltu proplétají s českými dějinami.</w:t>
      </w:r>
    </w:p>
    <w:p w:rsidR="00500724" w:rsidRDefault="00F30FB8">
      <w:pPr>
        <w:pStyle w:val="Zkladntext100"/>
        <w:shd w:val="clear" w:color="auto" w:fill="auto"/>
        <w:spacing w:line="211" w:lineRule="auto"/>
        <w:ind w:firstLine="220"/>
        <w:rPr>
          <w:sz w:val="19"/>
          <w:szCs w:val="19"/>
        </w:rPr>
      </w:pPr>
      <w:r>
        <w:rPr>
          <w:sz w:val="19"/>
          <w:szCs w:val="19"/>
        </w:rPr>
        <w:t xml:space="preserve">Naše nečasová historie musí </w:t>
      </w:r>
      <w:r>
        <w:rPr>
          <w:sz w:val="19"/>
          <w:szCs w:val="19"/>
        </w:rPr>
        <w:t>začít daleko od ústí Visly, má-li jí být náležitě porozuměno. Musí začít pod hradbami syrské Akky v roce 1190, kdy tam saracénské šavle a morové epidemie kosily křižáckou armádu. Pro ni tam tehdy založili kupci z Lůbeku a Brém, skoro stejně zbožní jako boh</w:t>
      </w:r>
      <w:r>
        <w:rPr>
          <w:sz w:val="19"/>
          <w:szCs w:val="19"/>
        </w:rPr>
        <w:t>atí, špitál a řád špitálních bratří, kteří se oficiálně pojmenovali Řádem němec</w:t>
      </w:r>
      <w:r>
        <w:rPr>
          <w:sz w:val="19"/>
          <w:szCs w:val="19"/>
        </w:rPr>
        <w:softHyphen/>
        <w:t>kých bratří jeruzalémského špitálu Panny Marie a byli později známější jako Německý řád nebo prostě Křižáci.</w:t>
      </w:r>
    </w:p>
    <w:p w:rsidR="00500724" w:rsidRDefault="00F30FB8">
      <w:pPr>
        <w:pStyle w:val="Zkladntext100"/>
        <w:shd w:val="clear" w:color="auto" w:fill="auto"/>
        <w:spacing w:line="211" w:lineRule="auto"/>
        <w:ind w:firstLine="220"/>
        <w:rPr>
          <w:sz w:val="19"/>
          <w:szCs w:val="19"/>
        </w:rPr>
      </w:pPr>
      <w:r>
        <w:rPr>
          <w:sz w:val="19"/>
          <w:szCs w:val="19"/>
        </w:rPr>
        <w:t>Nějakou dobu se vskutku věnovali svým sanitním úkolům. Ale pak se z</w:t>
      </w:r>
      <w:r>
        <w:rPr>
          <w:sz w:val="19"/>
          <w:szCs w:val="19"/>
        </w:rPr>
        <w:t>bytky křižáků vrátily ze Svaté země a v civilisované Evropě nebylo práce pro Červe</w:t>
      </w:r>
      <w:r>
        <w:rPr>
          <w:sz w:val="19"/>
          <w:szCs w:val="19"/>
        </w:rPr>
        <w:softHyphen/>
        <w:t>ný kříž. Co tedy měli dělat rytíři, tvořící kdysi ozbroje</w:t>
      </w:r>
      <w:r>
        <w:rPr>
          <w:sz w:val="19"/>
          <w:szCs w:val="19"/>
        </w:rPr>
        <w:softHyphen/>
        <w:t xml:space="preserve">ný průvod mariánského lazaretu? Dali se naverbovat do služeb knížat, kteří jich zrovna mohli potřebovat při šíření </w:t>
      </w:r>
      <w:r>
        <w:rPr>
          <w:sz w:val="19"/>
          <w:szCs w:val="19"/>
        </w:rPr>
        <w:t>křesťanské kultury a co s tím tenkrát ještě souviselo.</w:t>
      </w:r>
    </w:p>
    <w:p w:rsidR="00500724" w:rsidRDefault="00F30FB8">
      <w:pPr>
        <w:pStyle w:val="Zkladntext100"/>
        <w:shd w:val="clear" w:color="auto" w:fill="auto"/>
        <w:spacing w:line="211" w:lineRule="auto"/>
        <w:ind w:firstLine="220"/>
        <w:rPr>
          <w:sz w:val="19"/>
          <w:szCs w:val="19"/>
        </w:rPr>
      </w:pPr>
      <w:r>
        <w:rPr>
          <w:sz w:val="19"/>
          <w:szCs w:val="19"/>
        </w:rPr>
        <w:t>Nejprve — od r. 1211 — ji šířili v Sedmihradsku, kam přišli na pozvání jeho knížete. Čtrnáct let úspesně osvobozovali zemi od východních barbarů a s nemenším úspěchem se tu zařizovali co možná nejsamos</w:t>
      </w:r>
      <w:r>
        <w:rPr>
          <w:sz w:val="19"/>
          <w:szCs w:val="19"/>
        </w:rPr>
        <w:t>tatněji. Na konci oné doby je sedmihradská knížata vypověděla ze své země — nechtěla patrně pochopit, že plnění od</w:t>
      </w:r>
      <w:r>
        <w:rPr>
          <w:sz w:val="19"/>
          <w:szCs w:val="19"/>
        </w:rPr>
        <w:softHyphen/>
        <w:t>povědných kulturních úkolů zajisté předpokládá určitý podíl na výkonu vládní moci.</w:t>
      </w:r>
    </w:p>
    <w:p w:rsidR="00500724" w:rsidRDefault="00F30FB8">
      <w:pPr>
        <w:pStyle w:val="Zkladntext100"/>
        <w:shd w:val="clear" w:color="auto" w:fill="auto"/>
        <w:spacing w:line="211" w:lineRule="auto"/>
        <w:ind w:firstLine="220"/>
        <w:rPr>
          <w:sz w:val="19"/>
          <w:szCs w:val="19"/>
        </w:rPr>
        <w:sectPr w:rsidR="00500724">
          <w:footnotePr>
            <w:numFmt w:val="chicago"/>
            <w:numRestart w:val="eachPage"/>
          </w:footnotePr>
          <w:type w:val="continuous"/>
          <w:pgSz w:w="11909" w:h="16834"/>
          <w:pgMar w:top="1217" w:right="875" w:bottom="302" w:left="607" w:header="0" w:footer="3" w:gutter="0"/>
          <w:cols w:num="2" w:space="100"/>
          <w:noEndnote/>
          <w:docGrid w:linePitch="360"/>
        </w:sectPr>
      </w:pPr>
      <w:r>
        <w:rPr>
          <w:sz w:val="19"/>
          <w:szCs w:val="19"/>
        </w:rPr>
        <w:t xml:space="preserve">Zdá se, že si křižáci vzali </w:t>
      </w:r>
      <w:r>
        <w:rPr>
          <w:sz w:val="19"/>
          <w:szCs w:val="19"/>
        </w:rPr>
        <w:t>z toho poučení. Ve svéna dalším působišti se už dovedli zaříditi trvaleji. V r. 1226 se dali pozvat do Východních Prus, aby zase tam chránili vyšší křesťanskou kulturu a osvobozovali zemi od loupeživých nájezdníků. Mazovská knížata, která je k sobě pozvala</w:t>
      </w:r>
      <w:r>
        <w:rPr>
          <w:sz w:val="19"/>
          <w:szCs w:val="19"/>
        </w:rPr>
        <w:t>, dala jim v léno území chelmske; a křižáci postupovali tentokrát už tak obratně, ze za nedlouho se z vasalů sami stali lemrimi pány a učinili svým lénem celou zemi svých hostitelů.</w:t>
      </w:r>
    </w:p>
    <w:p w:rsidR="00500724" w:rsidRDefault="00F30FB8">
      <w:pPr>
        <w:pStyle w:val="Zkladntext100"/>
        <w:shd w:val="clear" w:color="auto" w:fill="auto"/>
        <w:spacing w:line="211" w:lineRule="auto"/>
        <w:ind w:firstLine="220"/>
        <w:rPr>
          <w:sz w:val="19"/>
          <w:szCs w:val="19"/>
        </w:rPr>
      </w:pPr>
      <w:r>
        <w:rPr>
          <w:sz w:val="19"/>
          <w:szCs w:val="19"/>
        </w:rPr>
        <w:t>V nových poměrech nebylo ovšem pomyšlení na ně</w:t>
      </w:r>
      <w:r>
        <w:rPr>
          <w:sz w:val="19"/>
          <w:szCs w:val="19"/>
        </w:rPr>
        <w:softHyphen/>
        <w:t>jakou léčebnou praksi; řád,</w:t>
      </w:r>
      <w:r>
        <w:rPr>
          <w:sz w:val="19"/>
          <w:szCs w:val="19"/>
        </w:rPr>
        <w:t xml:space="preserve"> jenž kdysi organisoval Červený kříž, organisoval nyní velkoobchod. Spolčil se s Hansou a toužil po tom nej důležitějším: po vhod</w:t>
      </w:r>
      <w:r>
        <w:rPr>
          <w:sz w:val="19"/>
          <w:szCs w:val="19"/>
        </w:rPr>
        <w:softHyphen/>
        <w:t>ném přístavu. V oblasti jeho působení mohlo jím být jenom Gdaňsko, kde se rok před příchodem křižáků do Mazovska usadili první</w:t>
      </w:r>
      <w:r>
        <w:rPr>
          <w:sz w:val="19"/>
          <w:szCs w:val="19"/>
        </w:rPr>
        <w:t xml:space="preserve"> němečtí kupci.</w:t>
      </w:r>
    </w:p>
    <w:p w:rsidR="00500724" w:rsidRDefault="00F30FB8">
      <w:pPr>
        <w:pStyle w:val="Zkladntext100"/>
        <w:shd w:val="clear" w:color="auto" w:fill="auto"/>
        <w:spacing w:after="220" w:line="211" w:lineRule="auto"/>
        <w:ind w:firstLine="220"/>
        <w:rPr>
          <w:sz w:val="19"/>
          <w:szCs w:val="19"/>
        </w:rPr>
      </w:pPr>
      <w:r>
        <w:rPr>
          <w:sz w:val="19"/>
          <w:szCs w:val="19"/>
        </w:rPr>
        <w:t>A nyní se tedy chceme pokusit vypsati historii jejich úsilí o baltické město, jemuž konečně nebyl odepřen úspěch.</w:t>
      </w:r>
    </w:p>
    <w:p w:rsidR="00500724" w:rsidRDefault="00F30FB8">
      <w:pPr>
        <w:pStyle w:val="Zkladntext100"/>
        <w:shd w:val="clear" w:color="auto" w:fill="auto"/>
        <w:spacing w:line="211" w:lineRule="auto"/>
        <w:ind w:firstLine="220"/>
        <w:rPr>
          <w:sz w:val="19"/>
          <w:szCs w:val="19"/>
        </w:rPr>
      </w:pPr>
      <w:r>
        <w:rPr>
          <w:sz w:val="19"/>
          <w:szCs w:val="19"/>
        </w:rPr>
        <w:t>Kolem r. 1250 vedli křižáci válku s pomořanským knížetem Svatoplukem. Skončili ji vítězně a r. 1253 diktovali mírové podmínky.</w:t>
      </w:r>
      <w:r>
        <w:rPr>
          <w:sz w:val="19"/>
          <w:szCs w:val="19"/>
        </w:rPr>
        <w:t xml:space="preserve"> Nebyly lehké, přece však ještě zcela neodpovídaly legitimním potřebám rytíř</w:t>
      </w:r>
      <w:r>
        <w:rPr>
          <w:sz w:val="19"/>
          <w:szCs w:val="19"/>
        </w:rPr>
        <w:softHyphen/>
        <w:t xml:space="preserve">ského řádu, který se na trvalo nemohl vzdát nároků na svůj životní prostor při ústí Visly. Jejich moudrá diplomacie si proto smluvně zajistila Gdaňsko jako záruku za respektování </w:t>
      </w:r>
      <w:r>
        <w:rPr>
          <w:sz w:val="19"/>
          <w:szCs w:val="19"/>
        </w:rPr>
        <w:t>nových hranic se strany po- mořanského knižetství a za udržení klidu v celé této oblasti. V oněch dobách, kdy severovýchodní Evropa byla jevištěm neustálých konfliktů, se dalo očekávat, že brzy dojde k jednostrannému porušení tohoto zá</w:t>
      </w:r>
      <w:r>
        <w:rPr>
          <w:sz w:val="19"/>
          <w:szCs w:val="19"/>
        </w:rPr>
        <w:softHyphen/>
        <w:t xml:space="preserve">vazku. Mohlo stačit </w:t>
      </w:r>
      <w:r>
        <w:rPr>
          <w:sz w:val="19"/>
          <w:szCs w:val="19"/>
        </w:rPr>
        <w:t xml:space="preserve">několik rytířů, kteří by si ve své akci nedali překážet novými hranicemi a s trochou diplomatické obratnosti nebylo nesnadno konstruovat </w:t>
      </w:r>
      <w:r>
        <w:rPr>
          <w:sz w:val="19"/>
          <w:szCs w:val="19"/>
          <w:lang w:val="en-US" w:eastAsia="en-US" w:bidi="en-US"/>
        </w:rPr>
        <w:t xml:space="preserve">casus foederis: </w:t>
      </w:r>
      <w:r>
        <w:rPr>
          <w:sz w:val="19"/>
          <w:szCs w:val="19"/>
        </w:rPr>
        <w:t>okupace Gdanska by se tak stala jen otázkou času.</w:t>
      </w:r>
    </w:p>
    <w:p w:rsidR="00500724" w:rsidRDefault="00F30FB8">
      <w:pPr>
        <w:pStyle w:val="Zkladntext100"/>
        <w:shd w:val="clear" w:color="auto" w:fill="auto"/>
        <w:spacing w:line="211" w:lineRule="auto"/>
        <w:ind w:firstLine="220"/>
        <w:rPr>
          <w:sz w:val="19"/>
          <w:szCs w:val="19"/>
        </w:rPr>
      </w:pPr>
      <w:r>
        <w:rPr>
          <w:sz w:val="19"/>
          <w:szCs w:val="19"/>
        </w:rPr>
        <w:t>Zdá se ovšem, že na slovanské straně se něco podob</w:t>
      </w:r>
      <w:r>
        <w:rPr>
          <w:sz w:val="19"/>
          <w:szCs w:val="19"/>
        </w:rPr>
        <w:softHyphen/>
      </w:r>
      <w:r>
        <w:rPr>
          <w:sz w:val="19"/>
          <w:szCs w:val="19"/>
        </w:rPr>
        <w:t>ného předvídalo; prozrazuje to text smlouvy, do níž pomořanští vyjednavači dovedli vpravit omezující formulku: ^kdybychom napříště vpadli do země řeče</w:t>
      </w:r>
      <w:r>
        <w:rPr>
          <w:sz w:val="19"/>
          <w:szCs w:val="19"/>
        </w:rPr>
        <w:softHyphen/>
        <w:t>ného mistra a bratří se stem nebo více jezdců...« Menší incidenty tedy neměly být posuzovány jako po</w:t>
      </w:r>
      <w:r>
        <w:rPr>
          <w:sz w:val="19"/>
          <w:szCs w:val="19"/>
        </w:rPr>
        <w:softHyphen/>
        <w:t>ruše</w:t>
      </w:r>
      <w:r>
        <w:rPr>
          <w:sz w:val="19"/>
          <w:szCs w:val="19"/>
        </w:rPr>
        <w:t>ní smlouvy. Ve hře byla sázka příliš vysoká, setnina pomořanské kavalerie nikdy nepřekročila novou de- markační čáru, křižácká diplomacie pro tentokrát zklamala, Gdaňsko zůstalo Svatoplukovi.</w:t>
      </w:r>
    </w:p>
    <w:p w:rsidR="00500724" w:rsidRDefault="00F30FB8">
      <w:pPr>
        <w:pStyle w:val="Zkladntext100"/>
        <w:shd w:val="clear" w:color="auto" w:fill="auto"/>
        <w:spacing w:line="211" w:lineRule="auto"/>
        <w:ind w:firstLine="220"/>
        <w:rPr>
          <w:sz w:val="19"/>
          <w:szCs w:val="19"/>
        </w:rPr>
      </w:pPr>
      <w:r>
        <w:rPr>
          <w:sz w:val="19"/>
          <w:szCs w:val="19"/>
        </w:rPr>
        <w:t>Po 18 letech mohl je pomořauský kníže Mestvín znovu vsadit do vy</w:t>
      </w:r>
      <w:r>
        <w:rPr>
          <w:sz w:val="19"/>
          <w:szCs w:val="19"/>
        </w:rPr>
        <w:t>soké liry. Nabídl je svým spojencům a protektorům, markrabatům braniborským, jako cenu za pomoc proti útočníku. Ve svém listu z r. 1271 jim píše:</w:t>
      </w:r>
    </w:p>
    <w:p w:rsidR="00500724" w:rsidRDefault="00F30FB8">
      <w:pPr>
        <w:pStyle w:val="Zkladntext20"/>
        <w:shd w:val="clear" w:color="auto" w:fill="auto"/>
        <w:spacing w:line="178" w:lineRule="auto"/>
        <w:ind w:firstLine="320"/>
        <w:rPr>
          <w:sz w:val="20"/>
          <w:szCs w:val="20"/>
        </w:rPr>
      </w:pPr>
      <w:r>
        <w:rPr>
          <w:sz w:val="20"/>
          <w:szCs w:val="20"/>
        </w:rPr>
        <w:t>»Když jsme k zabezpečení svého života a k prospěchu našeho bytu vyvolili si vás za pány a ochránce, majíce k v</w:t>
      </w:r>
      <w:r>
        <w:rPr>
          <w:sz w:val="20"/>
          <w:szCs w:val="20"/>
        </w:rPr>
        <w:t xml:space="preserve">ám největší důvěru, je na vás, abyste nám ohroženým přišli v našich potřebách co nejrychleji na pomoc. Proto se nabízíme, že předáme do vašeho vlastnictví město Gdaňsko </w:t>
      </w:r>
      <w:r>
        <w:rPr>
          <w:rFonts w:ascii="Arial" w:eastAsia="Arial" w:hAnsi="Arial" w:cs="Arial"/>
          <w:sz w:val="17"/>
          <w:szCs w:val="17"/>
        </w:rPr>
        <w:t xml:space="preserve">i </w:t>
      </w:r>
      <w:r>
        <w:rPr>
          <w:sz w:val="20"/>
          <w:szCs w:val="20"/>
        </w:rPr>
        <w:t>jeho hrad a příslušné k němu území...«</w:t>
      </w:r>
    </w:p>
    <w:p w:rsidR="00500724" w:rsidRDefault="00F30FB8">
      <w:pPr>
        <w:pStyle w:val="Zkladntext100"/>
        <w:shd w:val="clear" w:color="auto" w:fill="auto"/>
        <w:spacing w:line="221" w:lineRule="auto"/>
        <w:ind w:firstLine="220"/>
        <w:rPr>
          <w:sz w:val="19"/>
          <w:szCs w:val="19"/>
        </w:rPr>
      </w:pPr>
      <w:r>
        <w:rPr>
          <w:sz w:val="19"/>
          <w:szCs w:val="19"/>
        </w:rPr>
        <w:t>Protektoři rádi přijali, braniborská marka měl</w:t>
      </w:r>
      <w:r>
        <w:rPr>
          <w:sz w:val="19"/>
          <w:szCs w:val="19"/>
        </w:rPr>
        <w:t>a při</w:t>
      </w:r>
      <w:r>
        <w:rPr>
          <w:sz w:val="19"/>
          <w:szCs w:val="19"/>
        </w:rPr>
        <w:softHyphen/>
        <w:t>rozený zájem na přístavu, ovládajícím tok Visly. Tak se stalo, že křižáci musili na nějakou dobu odložit svoje aspirace na Gdaňsko a to tím spíše, že jejich vlastní protektor, český král Přemysl Otakar II. měl tehdy jinde velké starosti, jeho cesia s</w:t>
      </w:r>
      <w:r>
        <w:rPr>
          <w:sz w:val="19"/>
          <w:szCs w:val="19"/>
        </w:rPr>
        <w:t>e již svažovala k Moravskému poli. Nové šance rytířského řádu byiy pak spojeny teprve s novým vzrůstem české moci za Václava II. a zcela konkrétně se objevily hned po jeho tažení do Hnězdna, kde byl r. 1300 korunován na krále polského.</w:t>
      </w:r>
    </w:p>
    <w:p w:rsidR="00500724" w:rsidRDefault="00F30FB8">
      <w:pPr>
        <w:pStyle w:val="Zkladntext100"/>
        <w:shd w:val="clear" w:color="auto" w:fill="auto"/>
        <w:spacing w:line="221" w:lineRule="auto"/>
        <w:ind w:firstLine="220"/>
        <w:rPr>
          <w:sz w:val="19"/>
          <w:szCs w:val="19"/>
        </w:rPr>
      </w:pPr>
      <w:r>
        <w:rPr>
          <w:sz w:val="19"/>
          <w:szCs w:val="19"/>
        </w:rPr>
        <w:t>Český král, »pod stí</w:t>
      </w:r>
      <w:r>
        <w:rPr>
          <w:sz w:val="19"/>
          <w:szCs w:val="19"/>
        </w:rPr>
        <w:t>nem jehož moci — jak napsal polský kronikář — se království polské ve všech dílech svých těšilo dokonalému dobrodiní míru«, ponechal Gdaňsku statut svobodného města, v jehož čele stál jako jeho palatin a kapitán pomořauský velmož Svenca. Svenca sám byl věr</w:t>
      </w:r>
      <w:r>
        <w:rPr>
          <w:sz w:val="19"/>
          <w:szCs w:val="19"/>
        </w:rPr>
        <w:t>ným vasalem Václava IL, jehož za svého nejvyššího pána uznávali i křižáci. Avšak v území na východ od Gdanska vyrostlo separatistické hnutí, hledající oporu u rujanského knížete Sambora — a zde se brzy naskytla vhodná záminka k zákroku. Vskutku, jaká příle</w:t>
      </w:r>
      <w:r>
        <w:rPr>
          <w:sz w:val="19"/>
          <w:szCs w:val="19"/>
        </w:rPr>
        <w:t>žitost! Bylo možno sáhnout po městě, přístavu i hradu bez prolití jediné kapky krve; kombinované akci vojenského tlaku a diplomatického umění se mohlo v dané situaci podařit upraviti spád událostí tak, aby 524 se gdaňští občané sami z vlastního usnesení, z</w:t>
      </w:r>
      <w:r>
        <w:rPr>
          <w:sz w:val="19"/>
          <w:szCs w:val="19"/>
        </w:rPr>
        <w:t>cela dobrovolně rozhodli přijmout vládu křižáků.</w:t>
      </w:r>
    </w:p>
    <w:p w:rsidR="00500724" w:rsidRDefault="00F30FB8">
      <w:pPr>
        <w:pStyle w:val="Zkladntext100"/>
        <w:shd w:val="clear" w:color="auto" w:fill="auto"/>
        <w:spacing w:line="211" w:lineRule="auto"/>
        <w:ind w:firstLine="220"/>
        <w:rPr>
          <w:sz w:val="19"/>
          <w:szCs w:val="19"/>
        </w:rPr>
      </w:pPr>
      <w:r>
        <w:rPr>
          <w:sz w:val="19"/>
          <w:szCs w:val="19"/>
        </w:rPr>
        <w:t>Podařilo se to opravdu; významná listina z 29. května 1301 je už datována v Gdaňsku, zachráněném před rozvratem a anarchií. V jediné nestvůrně latinské periodě zachycuje tu Helwig z Goltbachu, řádový mistr p</w:t>
      </w:r>
      <w:r>
        <w:rPr>
          <w:sz w:val="19"/>
          <w:szCs w:val="19"/>
        </w:rPr>
        <w:t>ruské provincie, průběh a výsledek křižácké akce:</w:t>
      </w:r>
    </w:p>
    <w:p w:rsidR="00500724" w:rsidRDefault="00F30FB8">
      <w:pPr>
        <w:pStyle w:val="Zkladntext20"/>
        <w:shd w:val="clear" w:color="auto" w:fill="auto"/>
        <w:spacing w:line="173" w:lineRule="auto"/>
        <w:ind w:firstLine="320"/>
        <w:rPr>
          <w:sz w:val="20"/>
          <w:szCs w:val="20"/>
        </w:rPr>
      </w:pPr>
      <w:r>
        <w:rPr>
          <w:sz w:val="20"/>
          <w:szCs w:val="20"/>
        </w:rPr>
        <w:t xml:space="preserve">»Přejeme si, aby došlo na vědomost všeeh, že kdyžtě od našeho pána nejjasnějšího krále českého a polského jsme měli a máme z jeho nařízení a na jeho žádost vrchní správu země Pomořanské, takže ctihodný pan </w:t>
      </w:r>
      <w:r>
        <w:rPr>
          <w:sz w:val="20"/>
          <w:szCs w:val="20"/>
        </w:rPr>
        <w:t>Svenca, palatin a ka</w:t>
      </w:r>
      <w:r>
        <w:rPr>
          <w:sz w:val="20"/>
          <w:szCs w:val="20"/>
        </w:rPr>
        <w:softHyphen/>
        <w:t>pitán téže země, by měl rozhodovati o všech záležitostech téhož Pomořanska v souhlase s radou naší a našich bratří, kdežto zatím někteří rytíři a obyvatelé oné země porušili svátý slib věrnosti, jímž byli zavázáni řečenému panu své- mu</w:t>
      </w:r>
      <w:r>
        <w:rPr>
          <w:sz w:val="20"/>
          <w:szCs w:val="20"/>
        </w:rPr>
        <w:t xml:space="preserve"> králi, s hrady Stolpe, Slawen, Rugenwalde, Belgarde a jinými i s jejich územím přešli k panu knížeti rujanské- mu, tu my v obavě, aby něco podobného neudělali i rytíři a obyvatelé Gdanska s jeho hradem a územím i s jinými blízkými hrady, jakož jsme byli v</w:t>
      </w:r>
      <w:r>
        <w:rPr>
          <w:sz w:val="20"/>
          <w:szCs w:val="20"/>
        </w:rPr>
        <w:t xml:space="preserve"> tom směru už varováni, přišlí jsme s bratry a lidmi svými ke Gdaňsku, přejíce si míti jistotu, aby se nic takového nestalo, a povolavše k sobě řečeného pana Svencu a pana Bogušu, provinčního soudce gdaňského, vyjevili jsme jim své úmysly a ti pak s ostat</w:t>
      </w:r>
      <w:r>
        <w:rPr>
          <w:sz w:val="20"/>
          <w:szCs w:val="20"/>
        </w:rPr>
        <w:softHyphen/>
      </w:r>
      <w:r>
        <w:rPr>
          <w:sz w:val="20"/>
          <w:szCs w:val="20"/>
        </w:rPr>
        <w:t>ními pány a obyvateli a staršími i občany a rybáři města a hradu Gdanska měli poradu, kde učinili správné usnesení, podle něhož dobrovolně předali nám a našim bratřím do ru</w:t>
      </w:r>
      <w:r>
        <w:rPr>
          <w:sz w:val="20"/>
          <w:szCs w:val="20"/>
        </w:rPr>
        <w:softHyphen/>
        <w:t>kou řečeného pána našeho krále, aby mu s naší pomocí lépe zachovali věrnost, řečené</w:t>
      </w:r>
      <w:r>
        <w:rPr>
          <w:sz w:val="20"/>
          <w:szCs w:val="20"/>
        </w:rPr>
        <w:t xml:space="preserve"> město i hrad na naše jim učiněné sliby a za podmínek níže uvedených a my z usnesení našich bratří jsme se ujali vlády nad řečeným městem i hradem, zaručujíce zmíněným pánům, rytířům, občanům, rybářům a všem obyvatelům území gdaňského, kteří věrně stáli př</w:t>
      </w:r>
      <w:r>
        <w:rPr>
          <w:sz w:val="20"/>
          <w:szCs w:val="20"/>
        </w:rPr>
        <w:t>i řečeném panu našem králi, že kdyby se toto převzetí moci bylo stalo proti jeho vůli a kdyby je neschválil a s ním ne</w:t>
      </w:r>
      <w:r>
        <w:rPr>
          <w:sz w:val="20"/>
          <w:szCs w:val="20"/>
        </w:rPr>
        <w:softHyphen/>
        <w:t>souhlasil, tu my bychom znovu svobodně se zřekli řečeného města i hradu...«</w:t>
      </w:r>
    </w:p>
    <w:p w:rsidR="00500724" w:rsidRDefault="00F30FB8">
      <w:pPr>
        <w:pStyle w:val="Zkladntext100"/>
        <w:shd w:val="clear" w:color="auto" w:fill="auto"/>
        <w:spacing w:line="211" w:lineRule="auto"/>
        <w:ind w:firstLine="220"/>
        <w:rPr>
          <w:sz w:val="19"/>
          <w:szCs w:val="19"/>
        </w:rPr>
      </w:pPr>
      <w:r>
        <w:rPr>
          <w:sz w:val="19"/>
          <w:szCs w:val="19"/>
        </w:rPr>
        <w:t>Metoda této úspěšné akce měla tedy tyto hlavní mo</w:t>
      </w:r>
      <w:r>
        <w:rPr>
          <w:sz w:val="19"/>
          <w:szCs w:val="19"/>
        </w:rPr>
        <w:softHyphen/>
        <w:t>menty: 1. r</w:t>
      </w:r>
      <w:r>
        <w:rPr>
          <w:sz w:val="19"/>
          <w:szCs w:val="19"/>
        </w:rPr>
        <w:t>ozvinutí vojenského manévru; 2. pozvání gdaňského palatina a soudce k vyjednávání; 3. sdělení, že město bude napadeno, nebude-li dobrovolně kapitulo</w:t>
      </w:r>
      <w:r>
        <w:rPr>
          <w:sz w:val="19"/>
          <w:szCs w:val="19"/>
        </w:rPr>
        <w:softHyphen/>
        <w:t>vat; 4. jako odměna za kapitulaci, usnesenou pány a obyvateli města, slib ponechání starých práv. Ovšem, ce</w:t>
      </w:r>
      <w:r>
        <w:rPr>
          <w:sz w:val="19"/>
          <w:szCs w:val="19"/>
        </w:rPr>
        <w:t>lá akce byla vedena jakoby ve jménu Václava II., legitimního pána Gdanska, a bylo výslovně stanoveno, že potřebuje jeho sankce. Avšak v téže listině je už věta, z níž dosti jasně vysvítá, že to bylo míněno jen jako první etapa. »I kdyby se — praví se tu to</w:t>
      </w:r>
      <w:r>
        <w:rPr>
          <w:sz w:val="19"/>
          <w:szCs w:val="19"/>
        </w:rPr>
        <w:t>tiž — řízením božím stalo, že často jmenovaný pán náš král dal by město s jeho územím našemu řádu jako odměnu ve věčné vlastnictví ...«; také pro ten případ se kři</w:t>
      </w:r>
      <w:r>
        <w:rPr>
          <w:sz w:val="19"/>
          <w:szCs w:val="19"/>
        </w:rPr>
        <w:softHyphen/>
        <w:t xml:space="preserve">žáci zavazovali zachovat Gdaňsko při jeho starých právech. Byli by tedy chtěli si je nechat </w:t>
      </w:r>
      <w:r>
        <w:rPr>
          <w:sz w:val="19"/>
          <w:szCs w:val="19"/>
        </w:rPr>
        <w:t>dát od čes</w:t>
      </w:r>
      <w:r>
        <w:rPr>
          <w:sz w:val="19"/>
          <w:szCs w:val="19"/>
        </w:rPr>
        <w:softHyphen/>
        <w:t>kého krále darem za svoje služby — jenže Václav II. nerozdával rád hrady a města. V tomto bodě zažili kři</w:t>
      </w:r>
      <w:r>
        <w:rPr>
          <w:sz w:val="19"/>
          <w:szCs w:val="19"/>
        </w:rPr>
        <w:softHyphen/>
        <w:t>žáci ještě jedno zklamání, když už si mohli myslet, že došli svého cíle prostředky zajisté mírumilovnými. Český král jim Gdaňsko nikdy neda</w:t>
      </w:r>
      <w:r>
        <w:rPr>
          <w:sz w:val="19"/>
          <w:szCs w:val="19"/>
        </w:rPr>
        <w:t>roval.</w:t>
      </w:r>
    </w:p>
    <w:p w:rsidR="00500724" w:rsidRDefault="00F30FB8">
      <w:pPr>
        <w:pStyle w:val="Zkladntext100"/>
        <w:shd w:val="clear" w:color="auto" w:fill="auto"/>
        <w:spacing w:line="211" w:lineRule="auto"/>
        <w:ind w:firstLine="220"/>
        <w:rPr>
          <w:sz w:val="19"/>
          <w:szCs w:val="19"/>
        </w:rPr>
      </w:pPr>
      <w:r>
        <w:rPr>
          <w:sz w:val="19"/>
          <w:szCs w:val="19"/>
        </w:rPr>
        <w:t>Nezbývalo než ještě vyčkat. Tentokrát už nemuseli čekat dlouho; r. 1506 byl zavražděn Václav III. na po</w:t>
      </w:r>
      <w:r>
        <w:rPr>
          <w:sz w:val="19"/>
          <w:szCs w:val="19"/>
        </w:rPr>
        <w:softHyphen/>
        <w:t>čátku tažení do svého polského království, rod Pře</w:t>
      </w:r>
      <w:r>
        <w:rPr>
          <w:sz w:val="19"/>
          <w:szCs w:val="19"/>
        </w:rPr>
        <w:softHyphen/>
        <w:t>myslovců vyhynul, v Polsku se vrátila stará anarchie. O tři léta později byli křižáci pány Gda</w:t>
      </w:r>
      <w:r>
        <w:rPr>
          <w:sz w:val="19"/>
          <w:szCs w:val="19"/>
        </w:rPr>
        <w:t>nska.</w:t>
      </w:r>
    </w:p>
    <w:p w:rsidR="00500724" w:rsidRDefault="00F30FB8">
      <w:pPr>
        <w:pStyle w:val="Zkladntext100"/>
        <w:shd w:val="clear" w:color="auto" w:fill="auto"/>
        <w:spacing w:line="211" w:lineRule="auto"/>
        <w:ind w:firstLine="220"/>
        <w:rPr>
          <w:sz w:val="19"/>
          <w:szCs w:val="19"/>
        </w:rPr>
      </w:pPr>
      <w:r>
        <w:rPr>
          <w:sz w:val="19"/>
          <w:szCs w:val="19"/>
        </w:rPr>
        <w:t>Za jakých okolností se to stalo, není přesně známo. Jisto je jen, že nakonec se přece uplatnil německý meč. Jakou měrou se uplatnil, není rovněž zcela jasno, zprá</w:t>
      </w:r>
      <w:r>
        <w:rPr>
          <w:sz w:val="19"/>
          <w:szCs w:val="19"/>
        </w:rPr>
        <w:softHyphen/>
        <w:t>vy o tom se značně rozcházejí.</w:t>
      </w:r>
    </w:p>
    <w:p w:rsidR="00500724" w:rsidRDefault="00F30FB8">
      <w:pPr>
        <w:pStyle w:val="Zkladntext100"/>
        <w:shd w:val="clear" w:color="auto" w:fill="auto"/>
        <w:spacing w:line="211" w:lineRule="auto"/>
        <w:ind w:firstLine="220"/>
        <w:rPr>
          <w:sz w:val="19"/>
          <w:szCs w:val="19"/>
        </w:rPr>
        <w:sectPr w:rsidR="00500724">
          <w:footnotePr>
            <w:numFmt w:val="chicago"/>
            <w:numRestart w:val="eachPage"/>
          </w:footnotePr>
          <w:pgSz w:w="11909" w:h="16834"/>
          <w:pgMar w:top="1649" w:right="776" w:bottom="465" w:left="814" w:header="0" w:footer="3" w:gutter="0"/>
          <w:cols w:num="2" w:space="163"/>
          <w:noEndnote/>
          <w:docGrid w:linePitch="360"/>
        </w:sectPr>
      </w:pPr>
      <w:r>
        <w:rPr>
          <w:sz w:val="19"/>
          <w:szCs w:val="19"/>
        </w:rPr>
        <w:t xml:space="preserve">Papež </w:t>
      </w:r>
      <w:r>
        <w:rPr>
          <w:sz w:val="19"/>
          <w:szCs w:val="19"/>
          <w:lang w:val="en-US" w:eastAsia="en-US" w:bidi="en-US"/>
        </w:rPr>
        <w:t xml:space="preserve">Clemens </w:t>
      </w:r>
      <w:r>
        <w:rPr>
          <w:sz w:val="19"/>
          <w:szCs w:val="19"/>
        </w:rPr>
        <w:t>V. nařídil rok</w:t>
      </w:r>
      <w:r>
        <w:rPr>
          <w:sz w:val="19"/>
          <w:szCs w:val="19"/>
        </w:rPr>
        <w:t xml:space="preserve"> po okupaci Gdanska vyšetřování o jejích bližších okolnostech. »Právě jsme se dověděli — píše — že zmínění mistři a bratři špitální vpadnuvše nepřátelsky do země milovaného syna na</w:t>
      </w:r>
      <w:r>
        <w:rPr>
          <w:sz w:val="19"/>
          <w:szCs w:val="19"/>
        </w:rPr>
        <w:softHyphen/>
        <w:t>šeho vznešeného pana Vladislava, knížete krakovského a sandoměřského, v měs</w:t>
      </w:r>
      <w:r>
        <w:rPr>
          <w:sz w:val="19"/>
          <w:szCs w:val="19"/>
        </w:rPr>
        <w:t>tě Gdaňsku přes deset tisíc osob mečem zhubili, přinášejíce smrtelný konec i dě</w:t>
      </w:r>
      <w:r>
        <w:rPr>
          <w:sz w:val="19"/>
          <w:szCs w:val="19"/>
        </w:rPr>
        <w:softHyphen/>
        <w:t>ťátkům v lůně mateřském, jichž by byl zajisté i nepřítel ušetřil.«</w:t>
      </w:r>
    </w:p>
    <w:p w:rsidR="00500724" w:rsidRDefault="00F30FB8">
      <w:pPr>
        <w:pStyle w:val="Zkladntext100"/>
        <w:shd w:val="clear" w:color="auto" w:fill="auto"/>
        <w:spacing w:line="211" w:lineRule="auto"/>
        <w:ind w:firstLine="220"/>
        <w:rPr>
          <w:sz w:val="19"/>
          <w:szCs w:val="19"/>
        </w:rPr>
      </w:pPr>
      <w:r>
        <w:rPr>
          <w:sz w:val="19"/>
          <w:szCs w:val="19"/>
        </w:rPr>
        <w:t>Ale papež byl tehdy avignonským zajatcem Francie a nelze od něho očekávat objektivitu zcela nestrannou. Od je</w:t>
      </w:r>
      <w:r>
        <w:rPr>
          <w:sz w:val="19"/>
          <w:szCs w:val="19"/>
        </w:rPr>
        <w:t>ho strašidelných pohádek se velmi liší vylíčení, jež o té věci zaslali papežské kanceláři biskupové chelmský, ermlandský a samlandský: sPročež my vy</w:t>
      </w:r>
      <w:r>
        <w:rPr>
          <w:sz w:val="19"/>
          <w:szCs w:val="19"/>
        </w:rPr>
        <w:softHyphen/>
        <w:t xml:space="preserve">dáváme svědectví pravdě, že (křižáci) ani v Gdaňsku ani nikde jinde neprolili krve křesťanských dítek nebo </w:t>
      </w:r>
      <w:r>
        <w:rPr>
          <w:sz w:val="19"/>
          <w:szCs w:val="19"/>
        </w:rPr>
        <w:t>nespočetných žen, leda že několik osob, které dopadli jako své zrádce a nepřátelé, dali mečem stíti v počtu 17.«</w:t>
      </w:r>
    </w:p>
    <w:p w:rsidR="00500724" w:rsidRDefault="00F30FB8">
      <w:pPr>
        <w:pStyle w:val="Zkladntext100"/>
        <w:shd w:val="clear" w:color="auto" w:fill="auto"/>
        <w:spacing w:line="211" w:lineRule="auto"/>
        <w:ind w:firstLine="220"/>
        <w:rPr>
          <w:sz w:val="19"/>
          <w:szCs w:val="19"/>
        </w:rPr>
      </w:pPr>
      <w:r>
        <w:rPr>
          <w:sz w:val="19"/>
          <w:szCs w:val="19"/>
        </w:rPr>
        <w:t xml:space="preserve">Jenže tito biskupové byli členy křižáckého řádu, jejich nestrannost není tedy rovněž nepochybná. A tak tu zůstává historická věda v </w:t>
      </w:r>
      <w:r>
        <w:rPr>
          <w:sz w:val="19"/>
          <w:szCs w:val="19"/>
        </w:rPr>
        <w:t>nejistotách, blížil-li se skutečný počet obětí v Gdaňsku r. 1309 spíše číslici 17 nebo 10.000.</w:t>
      </w:r>
    </w:p>
    <w:p w:rsidR="00500724" w:rsidRDefault="00F30FB8">
      <w:pPr>
        <w:pStyle w:val="Zkladntext100"/>
        <w:shd w:val="clear" w:color="auto" w:fill="auto"/>
        <w:spacing w:line="211" w:lineRule="auto"/>
        <w:ind w:firstLine="220"/>
        <w:rPr>
          <w:sz w:val="19"/>
          <w:szCs w:val="19"/>
        </w:rPr>
      </w:pPr>
      <w:r>
        <w:rPr>
          <w:sz w:val="19"/>
          <w:szCs w:val="19"/>
        </w:rPr>
        <w:t>Uvedli jsme dosud dvě zprávy z r. 1310, tedy z data ještě zcela blízkého oněm událostem; nejzajímavější zpráva o nich je však asi o dva roky pozdější. Je to zápi</w:t>
      </w:r>
      <w:r>
        <w:rPr>
          <w:sz w:val="19"/>
          <w:szCs w:val="19"/>
        </w:rPr>
        <w:t>s o svědectví, jež o obsazení Gdanska vydal někdy v roce 1312 sám prokurátor křižáckého řádu.</w:t>
      </w:r>
    </w:p>
    <w:p w:rsidR="00500724" w:rsidRDefault="00F30FB8">
      <w:pPr>
        <w:pStyle w:val="Zkladntext100"/>
        <w:shd w:val="clear" w:color="auto" w:fill="auto"/>
        <w:spacing w:line="211" w:lineRule="auto"/>
        <w:ind w:firstLine="220"/>
        <w:rPr>
          <w:sz w:val="19"/>
          <w:szCs w:val="19"/>
        </w:rPr>
      </w:pPr>
      <w:r>
        <w:rPr>
          <w:sz w:val="19"/>
          <w:szCs w:val="19"/>
        </w:rPr>
        <w:t>Jeho svědecká výpověď je vskutku po mnoha strán</w:t>
      </w:r>
      <w:r>
        <w:rPr>
          <w:sz w:val="19"/>
          <w:szCs w:val="19"/>
        </w:rPr>
        <w:softHyphen/>
        <w:t>kách zajímavá. Především z ní zmizely jakékoliv oběti vůbec — pan prokurátor se nezmiňuje ani o jediné kapce krve,</w:t>
      </w:r>
      <w:r>
        <w:rPr>
          <w:sz w:val="19"/>
          <w:szCs w:val="19"/>
        </w:rPr>
        <w:t xml:space="preserve"> kterou by bylo bývalo třeba proliti. Pak není bez zajímavosti sledovat prokurátorovo líčení, podle něhož tu šlo vlastně jen o policejní akci, jejímž účelem bylo osvoboditi Gdaňsko z moci dobře ozbroje</w:t>
      </w:r>
      <w:r>
        <w:rPr>
          <w:sz w:val="19"/>
          <w:szCs w:val="19"/>
        </w:rPr>
        <w:softHyphen/>
        <w:t>ných lupičů, kteří uvnitř jeho opevnění vytvořili ohni</w:t>
      </w:r>
      <w:r>
        <w:rPr>
          <w:sz w:val="19"/>
          <w:szCs w:val="19"/>
        </w:rPr>
        <w:t>sko věčného nebezpečí a neklidu pro celý okolní svět — ohnisko, jež bylo nutno odstranit, af tak či tak. Stojí opravdu za to přečíst si zápis jako dokument, ne-li objektivně historický, tedy aspoň psychologický:</w:t>
      </w:r>
    </w:p>
    <w:p w:rsidR="00500724" w:rsidRDefault="00F30FB8">
      <w:pPr>
        <w:pStyle w:val="Zkladntext20"/>
        <w:shd w:val="clear" w:color="auto" w:fill="auto"/>
        <w:spacing w:line="175" w:lineRule="auto"/>
        <w:ind w:firstLine="320"/>
        <w:rPr>
          <w:sz w:val="20"/>
          <w:szCs w:val="20"/>
        </w:rPr>
      </w:pPr>
      <w:r>
        <w:rPr>
          <w:sz w:val="20"/>
          <w:szCs w:val="20"/>
        </w:rPr>
        <w:t>»Item tvrdí a dokázali míní řečený prokuráto</w:t>
      </w:r>
      <w:r>
        <w:rPr>
          <w:sz w:val="20"/>
          <w:szCs w:val="20"/>
        </w:rPr>
        <w:t>r, že obča</w:t>
      </w:r>
      <w:r>
        <w:rPr>
          <w:sz w:val="20"/>
          <w:szCs w:val="20"/>
        </w:rPr>
        <w:softHyphen/>
        <w:t>né gdaňští ukrývali lupiče, loupežníky a zloděje a že pře</w:t>
      </w:r>
      <w:r>
        <w:rPr>
          <w:sz w:val="20"/>
          <w:szCs w:val="20"/>
        </w:rPr>
        <w:softHyphen/>
        <w:t>chovávali, co bylo uloupeno a ukradeno křesťanským oby</w:t>
      </w:r>
      <w:r>
        <w:rPr>
          <w:sz w:val="20"/>
          <w:szCs w:val="20"/>
        </w:rPr>
        <w:softHyphen/>
        <w:t xml:space="preserve">vatelům oněch končin. </w:t>
      </w:r>
      <w:r>
        <w:rPr>
          <w:sz w:val="20"/>
          <w:szCs w:val="20"/>
          <w:lang w:val="en-US" w:eastAsia="en-US" w:bidi="en-US"/>
        </w:rPr>
        <w:t xml:space="preserve">Item, </w:t>
      </w:r>
      <w:r>
        <w:rPr>
          <w:sz w:val="20"/>
          <w:szCs w:val="20"/>
        </w:rPr>
        <w:t xml:space="preserve">že země Pomořanská, v níž leží město Gdaňsko, patřila panu králi českému. </w:t>
      </w:r>
      <w:r>
        <w:rPr>
          <w:sz w:val="20"/>
          <w:szCs w:val="20"/>
          <w:lang w:val="en-US" w:eastAsia="en-US" w:bidi="en-US"/>
        </w:rPr>
        <w:t xml:space="preserve">Item, </w:t>
      </w:r>
      <w:r>
        <w:rPr>
          <w:sz w:val="20"/>
          <w:szCs w:val="20"/>
        </w:rPr>
        <w:t>že řečená země přešla na</w:t>
      </w:r>
      <w:r>
        <w:rPr>
          <w:sz w:val="20"/>
          <w:szCs w:val="20"/>
        </w:rPr>
        <w:t xml:space="preserve"> krále římského smrtí řečeného krále české</w:t>
      </w:r>
      <w:r>
        <w:rPr>
          <w:sz w:val="20"/>
          <w:szCs w:val="20"/>
        </w:rPr>
        <w:softHyphen/>
        <w:t xml:space="preserve">ho, jenž zahynul bez mužských potomků. </w:t>
      </w:r>
      <w:r>
        <w:rPr>
          <w:sz w:val="20"/>
          <w:szCs w:val="20"/>
          <w:lang w:val="en-US" w:eastAsia="en-US" w:bidi="en-US"/>
        </w:rPr>
        <w:t xml:space="preserve">Item, </w:t>
      </w:r>
      <w:r>
        <w:rPr>
          <w:sz w:val="20"/>
          <w:szCs w:val="20"/>
        </w:rPr>
        <w:t xml:space="preserve">že řečený pan Albert, král římský, dal onu zemi v léno markraběti braniborskému. </w:t>
      </w:r>
      <w:r>
        <w:rPr>
          <w:sz w:val="20"/>
          <w:szCs w:val="20"/>
          <w:lang w:val="en-US" w:eastAsia="en-US" w:bidi="en-US"/>
        </w:rPr>
        <w:t xml:space="preserve">Item, </w:t>
      </w:r>
      <w:r>
        <w:rPr>
          <w:sz w:val="20"/>
          <w:szCs w:val="20"/>
        </w:rPr>
        <w:t>že řečený markrabě a obyvatelé ono</w:t>
      </w:r>
      <w:r>
        <w:rPr>
          <w:sz w:val="20"/>
          <w:szCs w:val="20"/>
        </w:rPr>
        <w:softHyphen/>
        <w:t>ho města přechovávali ve zmíněném městě Gdaňsk</w:t>
      </w:r>
      <w:r>
        <w:rPr>
          <w:sz w:val="20"/>
          <w:szCs w:val="20"/>
        </w:rPr>
        <w:t xml:space="preserve">u lotry, lupiče a loupežníky lidí křesťanských. </w:t>
      </w:r>
      <w:r>
        <w:rPr>
          <w:sz w:val="20"/>
          <w:szCs w:val="20"/>
          <w:lang w:val="en-US" w:eastAsia="en-US" w:bidi="en-US"/>
        </w:rPr>
        <w:t xml:space="preserve">Item, </w:t>
      </w:r>
      <w:r>
        <w:rPr>
          <w:sz w:val="20"/>
          <w:szCs w:val="20"/>
        </w:rPr>
        <w:t>že řečení lupiči a loupežníci vedli válku se zmíněnými řádovými bratry a pobili vasaly oněch bratří i uloupili jejich zboží a odnesli je do zmíněného města, a že ohněm zničili mnoho vesnic řečených brat</w:t>
      </w:r>
      <w:r>
        <w:rPr>
          <w:sz w:val="20"/>
          <w:szCs w:val="20"/>
        </w:rPr>
        <w:t xml:space="preserve">ří. </w:t>
      </w:r>
      <w:r>
        <w:rPr>
          <w:sz w:val="20"/>
          <w:szCs w:val="20"/>
          <w:lang w:val="en-US" w:eastAsia="en-US" w:bidi="en-US"/>
        </w:rPr>
        <w:t xml:space="preserve">Item, </w:t>
      </w:r>
      <w:r>
        <w:rPr>
          <w:sz w:val="20"/>
          <w:szCs w:val="20"/>
        </w:rPr>
        <w:t xml:space="preserve">že mistr a bratří řečeného řádu v Prusku mnohokráte napomínali obyvatele onoho města, aby z něho vyhnali řečené lupiče a loupežníky, jinak že by řádoví bratři sami zničili zmíněné město. </w:t>
      </w:r>
      <w:r>
        <w:rPr>
          <w:sz w:val="20"/>
          <w:szCs w:val="20"/>
          <w:lang w:val="en-US" w:eastAsia="en-US" w:bidi="en-US"/>
        </w:rPr>
        <w:t xml:space="preserve">Item, </w:t>
      </w:r>
      <w:r>
        <w:rPr>
          <w:sz w:val="20"/>
          <w:szCs w:val="20"/>
        </w:rPr>
        <w:t>že řečení obvvatelé přechovávali lupiče i po oněch vý</w:t>
      </w:r>
      <w:r>
        <w:rPr>
          <w:sz w:val="20"/>
          <w:szCs w:val="20"/>
        </w:rPr>
        <w:t>strahách a ti. že učinili mnoho škod řečeným bratřím na lidech i na majet</w:t>
      </w:r>
      <w:r>
        <w:rPr>
          <w:sz w:val="20"/>
          <w:szCs w:val="20"/>
        </w:rPr>
        <w:softHyphen/>
        <w:t xml:space="preserve">ku a pak se jako dříve vrátili do onoho města. </w:t>
      </w:r>
      <w:r>
        <w:rPr>
          <w:sz w:val="20"/>
          <w:szCs w:val="20"/>
          <w:lang w:val="en-US" w:eastAsia="en-US" w:bidi="en-US"/>
        </w:rPr>
        <w:t xml:space="preserve">Item, </w:t>
      </w:r>
      <w:r>
        <w:rPr>
          <w:sz w:val="20"/>
          <w:szCs w:val="20"/>
        </w:rPr>
        <w:t>že mistr a bratří řekli oněm občanům, že se zmocní jejich města a je pobijí, nevydají-li jim zmíněné lupiče a loupež</w:t>
      </w:r>
      <w:r>
        <w:rPr>
          <w:sz w:val="20"/>
          <w:szCs w:val="20"/>
        </w:rPr>
        <w:softHyphen/>
        <w:t xml:space="preserve">níky. </w:t>
      </w:r>
      <w:r>
        <w:rPr>
          <w:sz w:val="20"/>
          <w:szCs w:val="20"/>
          <w:lang w:val="en-US" w:eastAsia="en-US" w:bidi="en-US"/>
        </w:rPr>
        <w:t xml:space="preserve">Item, </w:t>
      </w:r>
      <w:r>
        <w:rPr>
          <w:sz w:val="20"/>
          <w:szCs w:val="20"/>
        </w:rPr>
        <w:t>že zmínění občané, bojíce se, aby je řečení bratří a jejich vojsko nezahubilo, vydali ony luDiče a lou</w:t>
      </w:r>
      <w:r>
        <w:rPr>
          <w:sz w:val="20"/>
          <w:szCs w:val="20"/>
        </w:rPr>
        <w:softHyphen/>
        <w:t xml:space="preserve">pežníky v počtu sedmnácti zmíněným bratřím. </w:t>
      </w:r>
      <w:r>
        <w:rPr>
          <w:sz w:val="20"/>
          <w:szCs w:val="20"/>
          <w:lang w:val="en-US" w:eastAsia="en-US" w:bidi="en-US"/>
        </w:rPr>
        <w:t xml:space="preserve">Item, </w:t>
      </w:r>
      <w:r>
        <w:rPr>
          <w:sz w:val="20"/>
          <w:szCs w:val="20"/>
        </w:rPr>
        <w:t>že ře</w:t>
      </w:r>
      <w:r>
        <w:rPr>
          <w:sz w:val="20"/>
          <w:szCs w:val="20"/>
        </w:rPr>
        <w:softHyphen/>
        <w:t>čený mistr a bratří s celým svým vojskem odešli do své ze</w:t>
      </w:r>
      <w:r>
        <w:rPr>
          <w:sz w:val="20"/>
          <w:szCs w:val="20"/>
        </w:rPr>
        <w:softHyphen/>
        <w:t xml:space="preserve">mě aniž jakkoli ublížili občanům onoho </w:t>
      </w:r>
      <w:r>
        <w:rPr>
          <w:sz w:val="20"/>
          <w:szCs w:val="20"/>
        </w:rPr>
        <w:t xml:space="preserve">města. </w:t>
      </w:r>
      <w:r>
        <w:rPr>
          <w:sz w:val="20"/>
          <w:szCs w:val="20"/>
          <w:lang w:val="en-US" w:eastAsia="en-US" w:bidi="en-US"/>
        </w:rPr>
        <w:t xml:space="preserve">Item, </w:t>
      </w:r>
      <w:r>
        <w:rPr>
          <w:sz w:val="20"/>
          <w:szCs w:val="20"/>
        </w:rPr>
        <w:t>že oni občané sami od sebe zničili domy řečeného města a odešli bydlet do jiných končin.«</w:t>
      </w:r>
    </w:p>
    <w:p w:rsidR="00500724" w:rsidRDefault="00F30FB8">
      <w:pPr>
        <w:pStyle w:val="Zkladntext100"/>
        <w:shd w:val="clear" w:color="auto" w:fill="auto"/>
        <w:spacing w:line="211" w:lineRule="auto"/>
        <w:ind w:firstLine="220"/>
        <w:rPr>
          <w:sz w:val="19"/>
          <w:szCs w:val="19"/>
        </w:rPr>
      </w:pPr>
      <w:r>
        <w:rPr>
          <w:sz w:val="19"/>
          <w:szCs w:val="19"/>
        </w:rPr>
        <w:t xml:space="preserve">Podle této jaksi dodatečné verse se tedy i v r. 1309 </w:t>
      </w:r>
      <w:r>
        <w:rPr>
          <w:sz w:val="20"/>
          <w:szCs w:val="20"/>
        </w:rPr>
        <w:t xml:space="preserve">V </w:t>
      </w:r>
      <w:r>
        <w:rPr>
          <w:sz w:val="19"/>
          <w:szCs w:val="19"/>
        </w:rPr>
        <w:t>podstatě opakovala historie z r. 1301. Nejprve zase vojenský nástup, pak oznámení gdaňským občanům</w:t>
      </w:r>
      <w:r>
        <w:rPr>
          <w:sz w:val="19"/>
          <w:szCs w:val="19"/>
        </w:rPr>
        <w:t>, co ie čeká, kdyby nechtěli vyhovět oprávněnému přání řádu, a konečně dosažení cíle bez nejmenšího krve</w:t>
      </w:r>
      <w:r>
        <w:rPr>
          <w:sz w:val="19"/>
          <w:szCs w:val="19"/>
        </w:rPr>
        <w:softHyphen/>
        <w:t>prolití. 17 lupičů se tu sice znovu objevuje, ale už beze zmínky o jejich osudu — tři biskupové ještě nepopírali, že byli vydáni katu. Oni biskupové za</w:t>
      </w:r>
      <w:r>
        <w:rPr>
          <w:sz w:val="19"/>
          <w:szCs w:val="19"/>
        </w:rPr>
        <w:t>se naopak ještě nic nevěděli o nějaké secesi gdaňských obyvatel ani o pokojném odchodu křižácké armády. Najnápadnější je však prokurátorovo hluboké mlčení o tom, kdo tehdy vlastně zůstal pánem Gdanska. Z jeho výpovědi se o tom nedovídáme ani slova; histori</w:t>
      </w:r>
      <w:r>
        <w:rPr>
          <w:sz w:val="19"/>
          <w:szCs w:val="19"/>
        </w:rPr>
        <w:t>e ovšem ví, že ánv města nad ústím Visly byli v té době rytíři řižáekého řádu. A že jimi zůstali až do bitvy u Tannen-</w:t>
      </w:r>
    </w:p>
    <w:p w:rsidR="00500724" w:rsidRDefault="00F30FB8">
      <w:pPr>
        <w:pStyle w:val="Zkladntext100"/>
        <w:shd w:val="clear" w:color="auto" w:fill="auto"/>
        <w:spacing w:line="211" w:lineRule="auto"/>
        <w:ind w:firstLine="0"/>
        <w:jc w:val="left"/>
        <w:rPr>
          <w:sz w:val="19"/>
          <w:szCs w:val="19"/>
        </w:rPr>
      </w:pPr>
      <w:r>
        <w:rPr>
          <w:sz w:val="19"/>
          <w:szCs w:val="19"/>
        </w:rPr>
        <w:t>berku.</w:t>
      </w:r>
    </w:p>
    <w:p w:rsidR="00500724" w:rsidRDefault="00F30FB8">
      <w:pPr>
        <w:pStyle w:val="Nadpis90"/>
        <w:keepNext/>
        <w:keepLines/>
        <w:pBdr>
          <w:bottom w:val="single" w:sz="4" w:space="0" w:color="auto"/>
        </w:pBdr>
        <w:shd w:val="clear" w:color="auto" w:fill="auto"/>
        <w:spacing w:after="160"/>
      </w:pPr>
      <w:bookmarkStart w:id="532" w:name="bookmark531"/>
      <w:r>
        <w:rPr>
          <w:rFonts w:ascii="Times New Roman" w:eastAsia="Times New Roman" w:hAnsi="Times New Roman" w:cs="Times New Roman"/>
        </w:rPr>
        <w:t>doba a lidé</w:t>
      </w:r>
      <w:bookmarkEnd w:id="532"/>
    </w:p>
    <w:p w:rsidR="00500724" w:rsidRDefault="00F30FB8">
      <w:pPr>
        <w:pStyle w:val="Zkladntext20"/>
        <w:shd w:val="clear" w:color="auto" w:fill="auto"/>
        <w:spacing w:after="40" w:line="202" w:lineRule="auto"/>
        <w:ind w:firstLine="0"/>
        <w:jc w:val="left"/>
        <w:rPr>
          <w:sz w:val="20"/>
          <w:szCs w:val="20"/>
        </w:rPr>
      </w:pPr>
      <w:r>
        <w:rPr>
          <w:i/>
          <w:iCs/>
          <w:sz w:val="20"/>
          <w:szCs w:val="20"/>
        </w:rPr>
        <w:t>Fred. Technik:</w:t>
      </w:r>
    </w:p>
    <w:p w:rsidR="00500724" w:rsidRDefault="00F30FB8">
      <w:pPr>
        <w:pStyle w:val="Nadpis100"/>
        <w:shd w:val="clear" w:color="auto" w:fill="auto"/>
        <w:spacing w:after="60" w:line="240" w:lineRule="auto"/>
        <w:ind w:left="60"/>
      </w:pPr>
      <w:bookmarkStart w:id="533" w:name="bookmark532"/>
      <w:r>
        <w:t>Muži pod Prahou</w:t>
      </w:r>
      <w:bookmarkEnd w:id="533"/>
    </w:p>
    <w:p w:rsidR="00500724" w:rsidRDefault="00F30FB8">
      <w:pPr>
        <w:pStyle w:val="Zkladntext100"/>
        <w:shd w:val="clear" w:color="auto" w:fill="auto"/>
        <w:spacing w:line="209" w:lineRule="auto"/>
        <w:ind w:firstLine="220"/>
        <w:rPr>
          <w:sz w:val="19"/>
          <w:szCs w:val="19"/>
        </w:rPr>
      </w:pPr>
      <w:r>
        <w:rPr>
          <w:sz w:val="19"/>
          <w:szCs w:val="19"/>
        </w:rPr>
        <w:t>»Tak vy chcete doopravdy s námi dolů?«</w:t>
      </w:r>
    </w:p>
    <w:p w:rsidR="00500724" w:rsidRDefault="00F30FB8">
      <w:pPr>
        <w:pStyle w:val="Zkladntext100"/>
        <w:shd w:val="clear" w:color="auto" w:fill="auto"/>
        <w:spacing w:line="209" w:lineRule="auto"/>
        <w:ind w:firstLine="220"/>
        <w:rPr>
          <w:sz w:val="19"/>
          <w:szCs w:val="19"/>
        </w:rPr>
      </w:pPr>
      <w:r>
        <w:rPr>
          <w:sz w:val="19"/>
          <w:szCs w:val="19"/>
        </w:rPr>
        <w:t>»Ovšem!«</w:t>
      </w:r>
    </w:p>
    <w:p w:rsidR="00500724" w:rsidRDefault="00F30FB8">
      <w:pPr>
        <w:pStyle w:val="Zkladntext100"/>
        <w:shd w:val="clear" w:color="auto" w:fill="auto"/>
        <w:spacing w:line="209" w:lineRule="auto"/>
        <w:ind w:firstLine="220"/>
        <w:rPr>
          <w:sz w:val="19"/>
          <w:szCs w:val="19"/>
        </w:rPr>
      </w:pPr>
      <w:r>
        <w:rPr>
          <w:sz w:val="19"/>
          <w:szCs w:val="19"/>
        </w:rPr>
        <w:t>^Rozmyslete si to!?«</w:t>
      </w:r>
    </w:p>
    <w:p w:rsidR="00500724" w:rsidRDefault="00F30FB8">
      <w:pPr>
        <w:pStyle w:val="Zkladntext100"/>
        <w:shd w:val="clear" w:color="auto" w:fill="auto"/>
        <w:spacing w:line="209" w:lineRule="auto"/>
        <w:ind w:firstLine="220"/>
        <w:rPr>
          <w:sz w:val="19"/>
          <w:szCs w:val="19"/>
        </w:rPr>
      </w:pPr>
      <w:r>
        <w:rPr>
          <w:sz w:val="19"/>
          <w:szCs w:val="19"/>
        </w:rPr>
        <w:t xml:space="preserve">»Dobře </w:t>
      </w:r>
      <w:r>
        <w:rPr>
          <w:sz w:val="19"/>
          <w:szCs w:val="19"/>
        </w:rPr>
        <w:t>rozmyšleno.«</w:t>
      </w:r>
    </w:p>
    <w:p w:rsidR="00500724" w:rsidRDefault="00F30FB8">
      <w:pPr>
        <w:pStyle w:val="Zkladntext100"/>
        <w:shd w:val="clear" w:color="auto" w:fill="auto"/>
        <w:spacing w:line="209" w:lineRule="auto"/>
        <w:ind w:firstLine="220"/>
        <w:rPr>
          <w:sz w:val="19"/>
          <w:szCs w:val="19"/>
        </w:rPr>
      </w:pPr>
      <w:r>
        <w:rPr>
          <w:sz w:val="19"/>
          <w:szCs w:val="19"/>
        </w:rPr>
        <w:t>Pokrčil rameny. Jednou rukou mi podal vysoké, až po pás sahající boty; ve druhé držel kombinézu a laci</w:t>
      </w:r>
      <w:r>
        <w:rPr>
          <w:sz w:val="19"/>
          <w:szCs w:val="19"/>
        </w:rPr>
        <w:softHyphen/>
        <w:t>nou cigaretu.</w:t>
      </w:r>
    </w:p>
    <w:p w:rsidR="00500724" w:rsidRDefault="00F30FB8">
      <w:pPr>
        <w:pStyle w:val="Zkladntext100"/>
        <w:shd w:val="clear" w:color="auto" w:fill="auto"/>
        <w:spacing w:line="209" w:lineRule="auto"/>
        <w:ind w:firstLine="220"/>
        <w:rPr>
          <w:sz w:val="19"/>
          <w:szCs w:val="19"/>
        </w:rPr>
      </w:pPr>
      <w:r>
        <w:rPr>
          <w:sz w:val="19"/>
          <w:szCs w:val="19"/>
        </w:rPr>
        <w:t>Než jsem se do toho oblékl, otevřeli dvěma zkříženými krumpáči poklop nad vstupem.</w:t>
      </w:r>
    </w:p>
    <w:p w:rsidR="00500724" w:rsidRDefault="00F30FB8">
      <w:pPr>
        <w:pStyle w:val="Zkladntext100"/>
        <w:shd w:val="clear" w:color="auto" w:fill="auto"/>
        <w:spacing w:line="209" w:lineRule="auto"/>
        <w:ind w:firstLine="220"/>
        <w:rPr>
          <w:sz w:val="19"/>
          <w:szCs w:val="19"/>
        </w:rPr>
      </w:pPr>
      <w:r>
        <w:rPr>
          <w:sz w:val="19"/>
          <w:szCs w:val="19"/>
        </w:rPr>
        <w:t xml:space="preserve">» Jen aby nesprchlo,« řekl, než mu zmizela </w:t>
      </w:r>
      <w:r>
        <w:rPr>
          <w:sz w:val="19"/>
          <w:szCs w:val="19"/>
        </w:rPr>
        <w:t>hlava v ko</w:t>
      </w:r>
      <w:r>
        <w:rPr>
          <w:sz w:val="19"/>
          <w:szCs w:val="19"/>
        </w:rPr>
        <w:softHyphen/>
        <w:t>mínu. Díval jsem se za ním. Nebylo vidět vlastně docela nic, jen tma, a v ní mizel ten ělověk.</w:t>
      </w:r>
    </w:p>
    <w:p w:rsidR="00500724" w:rsidRDefault="00F30FB8">
      <w:pPr>
        <w:pStyle w:val="Zkladntext100"/>
        <w:shd w:val="clear" w:color="auto" w:fill="auto"/>
        <w:spacing w:after="300" w:line="211" w:lineRule="auto"/>
        <w:ind w:firstLine="220"/>
        <w:rPr>
          <w:sz w:val="19"/>
          <w:szCs w:val="19"/>
        </w:rPr>
      </w:pPr>
      <w:r>
        <w:rPr>
          <w:sz w:val="19"/>
          <w:szCs w:val="19"/>
        </w:rPr>
        <w:t>»Tak už polezte,« zavolal po chvíli, &gt;já jsem už dole!« — Ani vteřinu jsem se nerozmýšlel.</w:t>
      </w:r>
    </w:p>
    <w:p w:rsidR="00500724" w:rsidRDefault="00F30FB8">
      <w:pPr>
        <w:pStyle w:val="Zkladntext100"/>
        <w:shd w:val="clear" w:color="auto" w:fill="auto"/>
        <w:spacing w:line="211" w:lineRule="auto"/>
        <w:ind w:firstLine="220"/>
        <w:rPr>
          <w:sz w:val="19"/>
          <w:szCs w:val="19"/>
        </w:rPr>
      </w:pPr>
      <w:r>
        <w:rPr>
          <w:sz w:val="19"/>
          <w:szCs w:val="19"/>
        </w:rPr>
        <w:t>Karbidová lampa osvětluje docela spoře prostor. Na betonové</w:t>
      </w:r>
      <w:r>
        <w:rPr>
          <w:sz w:val="19"/>
          <w:szCs w:val="19"/>
        </w:rPr>
        <w:t xml:space="preserve"> stěně kanálu je usazena silná vrstva kalu ve stavu rozkladu a hniloby, zbarvená plísní. Místy roste i houba. Nohy, po kolena ponořeny ve vodě, nám klou- zají po hladkém dně. Před námi i za námi je bezedná tma. Z ní vytéká a do ní mizí dravým proudem stoko</w:t>
      </w:r>
      <w:r>
        <w:rPr>
          <w:sz w:val="19"/>
          <w:szCs w:val="19"/>
        </w:rPr>
        <w:t>vá voda, plná animálních odpadků. Tu není žádného místa pro pocit odporu a ošklivosti. Pro toto prostředí je slovo zápach příliš shovívavé, je tu k zalknutí a teplo, byf byl nahoře na ulici sebe větší mráz. Opíráme se holýma rukama o nečisté stěny kanálu.</w:t>
      </w:r>
    </w:p>
    <w:p w:rsidR="00500724" w:rsidRDefault="00F30FB8">
      <w:pPr>
        <w:pStyle w:val="Zkladntext100"/>
        <w:numPr>
          <w:ilvl w:val="0"/>
          <w:numId w:val="65"/>
        </w:numPr>
        <w:shd w:val="clear" w:color="auto" w:fill="auto"/>
        <w:tabs>
          <w:tab w:val="left" w:pos="462"/>
        </w:tabs>
        <w:spacing w:line="211" w:lineRule="auto"/>
        <w:ind w:firstLine="220"/>
        <w:rPr>
          <w:sz w:val="19"/>
          <w:szCs w:val="19"/>
        </w:rPr>
      </w:pPr>
      <w:r>
        <w:rPr>
          <w:sz w:val="19"/>
          <w:szCs w:val="19"/>
        </w:rPr>
        <w:t>tomto prostředí, bohatém na methanové plyny a těžko dýchatelném, pracují v potu tváře lidé ve dne i v noci, aby si zasloužili chléb, protože chléb je možno zasloužit si jen prací, bez bližšího určení, jak těžká ta práce musí být. Táhnou ěi tlačí dvoukolový</w:t>
      </w:r>
      <w:r>
        <w:rPr>
          <w:sz w:val="19"/>
          <w:szCs w:val="19"/>
        </w:rPr>
        <w:t xml:space="preserve"> vozík, na</w:t>
      </w:r>
      <w:r>
        <w:rPr>
          <w:sz w:val="19"/>
          <w:szCs w:val="19"/>
        </w:rPr>
        <w:softHyphen/>
        <w:t>ložený vrchovatě blátem, až pod vstup, kterým se vy</w:t>
      </w:r>
      <w:r>
        <w:rPr>
          <w:sz w:val="19"/>
          <w:szCs w:val="19"/>
        </w:rPr>
        <w:softHyphen/>
        <w:t>tahuje kal v plechových kbelících vzhůru, na ulici. Lid</w:t>
      </w:r>
      <w:r>
        <w:rPr>
          <w:sz w:val="19"/>
          <w:szCs w:val="19"/>
        </w:rPr>
        <w:softHyphen/>
        <w:t>ská ruka tu je nejschopnějším nástrojem, nebof odstra</w:t>
      </w:r>
      <w:r>
        <w:rPr>
          <w:sz w:val="19"/>
          <w:szCs w:val="19"/>
        </w:rPr>
        <w:softHyphen/>
        <w:t>ňuje naprosto spolehlivě všechno, co se ve stokách za</w:t>
      </w:r>
      <w:r>
        <w:rPr>
          <w:sz w:val="19"/>
          <w:szCs w:val="19"/>
        </w:rPr>
        <w:softHyphen/>
        <w:t>chytilo a co se odstranit a o</w:t>
      </w:r>
      <w:r>
        <w:rPr>
          <w:sz w:val="19"/>
          <w:szCs w:val="19"/>
        </w:rPr>
        <w:t>čistit musí. Jako by ti lidé tady vůbec nevěřili na otravu krve!</w:t>
      </w:r>
    </w:p>
    <w:p w:rsidR="00500724" w:rsidRDefault="00F30FB8">
      <w:pPr>
        <w:pStyle w:val="Zkladntext100"/>
        <w:shd w:val="clear" w:color="auto" w:fill="auto"/>
        <w:spacing w:line="211" w:lineRule="auto"/>
        <w:ind w:firstLine="220"/>
        <w:rPr>
          <w:sz w:val="19"/>
          <w:szCs w:val="19"/>
        </w:rPr>
      </w:pPr>
      <w:r>
        <w:rPr>
          <w:sz w:val="19"/>
          <w:szCs w:val="19"/>
        </w:rPr>
        <w:t>»Jen aby nesprchlo,« prohodil znovu. Znělo to sta</w:t>
      </w:r>
      <w:r>
        <w:rPr>
          <w:sz w:val="19"/>
          <w:szCs w:val="19"/>
        </w:rPr>
        <w:softHyphen/>
        <w:t>rostlivě.</w:t>
      </w:r>
    </w:p>
    <w:p w:rsidR="00500724" w:rsidRDefault="00F30FB8">
      <w:pPr>
        <w:pStyle w:val="Zkladntext100"/>
        <w:shd w:val="clear" w:color="auto" w:fill="auto"/>
        <w:spacing w:line="211" w:lineRule="auto"/>
        <w:ind w:firstLine="220"/>
        <w:rPr>
          <w:sz w:val="19"/>
          <w:szCs w:val="19"/>
        </w:rPr>
      </w:pPr>
      <w:r>
        <w:rPr>
          <w:sz w:val="19"/>
          <w:szCs w:val="19"/>
        </w:rPr>
        <w:t>»Proě?« — vyzvídám. A připojuji naivní výklad: &gt;V kanálu přece nezmoknem!«</w:t>
      </w:r>
    </w:p>
    <w:p w:rsidR="00500724" w:rsidRDefault="00F30FB8">
      <w:pPr>
        <w:pStyle w:val="Zkladntext100"/>
        <w:shd w:val="clear" w:color="auto" w:fill="auto"/>
        <w:spacing w:line="214" w:lineRule="auto"/>
        <w:ind w:firstLine="220"/>
        <w:rPr>
          <w:sz w:val="19"/>
          <w:szCs w:val="19"/>
        </w:rPr>
      </w:pPr>
      <w:r>
        <w:rPr>
          <w:sz w:val="19"/>
          <w:szCs w:val="19"/>
        </w:rPr>
        <w:t>»To ne, ale nepřeju vám, abyste uviděl, co dokáže trhák.</w:t>
      </w:r>
      <w:r>
        <w:rPr>
          <w:sz w:val="19"/>
          <w:szCs w:val="19"/>
        </w:rPr>
        <w:t>« Rozehřál se. Je ve svém živlu. Vypravuje. — Do</w:t>
      </w:r>
      <w:r>
        <w:rPr>
          <w:sz w:val="19"/>
          <w:szCs w:val="19"/>
        </w:rPr>
        <w:softHyphen/>
        <w:t xml:space="preserve">vídám se, že »trhák« je mocná vlna dešťové vody, která proběhne potrubím kanálu jako ničící blesk po každé </w:t>
      </w:r>
      <w:r>
        <w:rPr>
          <w:b/>
          <w:bCs/>
          <w:sz w:val="14"/>
          <w:szCs w:val="14"/>
        </w:rPr>
        <w:t xml:space="preserve">i </w:t>
      </w:r>
      <w:r>
        <w:rPr>
          <w:sz w:val="19"/>
          <w:szCs w:val="19"/>
        </w:rPr>
        <w:t>té sebe menší spršce.</w:t>
      </w:r>
    </w:p>
    <w:p w:rsidR="00500724" w:rsidRDefault="00F30FB8">
      <w:pPr>
        <w:pStyle w:val="Zkladntext100"/>
        <w:shd w:val="clear" w:color="auto" w:fill="auto"/>
        <w:spacing w:line="214" w:lineRule="auto"/>
        <w:ind w:firstLine="220"/>
        <w:rPr>
          <w:sz w:val="19"/>
          <w:szCs w:val="19"/>
        </w:rPr>
      </w:pPr>
      <w:r>
        <w:rPr>
          <w:sz w:val="19"/>
          <w:szCs w:val="19"/>
        </w:rPr>
        <w:t>»To jednou,« pokračuje, 3&gt;byli hoši dole ve stoce. Já jsem nahoře hlídal. Za</w:t>
      </w:r>
      <w:r>
        <w:rPr>
          <w:sz w:val="19"/>
          <w:szCs w:val="19"/>
        </w:rPr>
        <w:t>čalo nám tenkrát jen tak docela drobně mrholit, aby se řeklo, žádný déšf to nebyl. Vo</w:t>
      </w:r>
      <w:r>
        <w:rPr>
          <w:sz w:val="19"/>
          <w:szCs w:val="19"/>
        </w:rPr>
        <w:softHyphen/>
        <w:t xml:space="preserve">lám do vstupu: — Hoši, pojďte honem nahoru, </w:t>
      </w:r>
      <w:r>
        <w:rPr>
          <w:b/>
          <w:bCs/>
          <w:sz w:val="19"/>
          <w:szCs w:val="19"/>
        </w:rPr>
        <w:t>prší!«</w:t>
      </w:r>
    </w:p>
    <w:p w:rsidR="00500724" w:rsidRDefault="00F30FB8">
      <w:pPr>
        <w:pStyle w:val="Zkladntext100"/>
        <w:shd w:val="clear" w:color="auto" w:fill="auto"/>
        <w:spacing w:line="211" w:lineRule="auto"/>
        <w:ind w:firstLine="220"/>
        <w:rPr>
          <w:sz w:val="19"/>
          <w:szCs w:val="19"/>
        </w:rPr>
      </w:pPr>
      <w:r>
        <w:rPr>
          <w:sz w:val="19"/>
          <w:szCs w:val="19"/>
        </w:rPr>
        <w:t>»Hned,« křičeli vzhůru. Zedník tam byl po prvé. Hlídal ho, jak říkáme, jeden náš, — Dlab to tenkrát, tuším, byl. Po mém</w:t>
      </w:r>
      <w:r>
        <w:rPr>
          <w:sz w:val="19"/>
          <w:szCs w:val="19"/>
        </w:rPr>
        <w:t xml:space="preserve"> volání měl zedníka hned k odchodu, ale ten si nedal nic říct. Veď pořád svou: — Jen co to zamáznu! Ale než to zamáznul, už tam byl trhák a už v tom byli po krk! Dlab tenkrát vzal dědu na ramena a — panečku, taktak, že se z toho dostali! Niť na nich, to se</w:t>
      </w:r>
      <w:r>
        <w:rPr>
          <w:sz w:val="19"/>
          <w:szCs w:val="19"/>
        </w:rPr>
        <w:t xml:space="preserve"> ví, nebyla suchá, když vylezli nahoru. Boty měli taky plný vody, až po pás, těžký, sotva je nesli, a jak za tu chvíli vypadali — hanba povídat!</w:t>
      </w:r>
    </w:p>
    <w:p w:rsidR="00500724" w:rsidRDefault="00F30FB8">
      <w:pPr>
        <w:pStyle w:val="Zkladntext100"/>
        <w:shd w:val="clear" w:color="auto" w:fill="auto"/>
        <w:spacing w:after="40" w:line="211" w:lineRule="auto"/>
        <w:ind w:left="60" w:firstLine="0"/>
        <w:jc w:val="center"/>
        <w:rPr>
          <w:sz w:val="19"/>
          <w:szCs w:val="19"/>
        </w:rPr>
      </w:pPr>
      <w:r>
        <w:rPr>
          <w:sz w:val="19"/>
          <w:szCs w:val="19"/>
        </w:rPr>
        <w:t>•</w:t>
      </w:r>
    </w:p>
    <w:p w:rsidR="00500724" w:rsidRDefault="00F30FB8">
      <w:pPr>
        <w:pStyle w:val="Zkladntext100"/>
        <w:numPr>
          <w:ilvl w:val="0"/>
          <w:numId w:val="65"/>
        </w:numPr>
        <w:shd w:val="clear" w:color="auto" w:fill="auto"/>
        <w:tabs>
          <w:tab w:val="left" w:pos="466"/>
        </w:tabs>
        <w:spacing w:line="211" w:lineRule="auto"/>
        <w:ind w:firstLine="220"/>
        <w:rPr>
          <w:sz w:val="19"/>
          <w:szCs w:val="19"/>
        </w:rPr>
      </w:pPr>
      <w:r>
        <w:rPr>
          <w:sz w:val="19"/>
          <w:szCs w:val="19"/>
        </w:rPr>
        <w:t>kanalisačním úřadě v Cihelné ulici na Malé straně drnčí telefon. Je slyšet rozčilený hlas z mušle .a inže</w:t>
      </w:r>
      <w:r>
        <w:rPr>
          <w:sz w:val="19"/>
          <w:szCs w:val="19"/>
        </w:rPr>
        <w:softHyphen/>
      </w:r>
      <w:r>
        <w:rPr>
          <w:sz w:val="19"/>
          <w:szCs w:val="19"/>
        </w:rPr>
        <w:t>nýrovo klidné: &gt;No, dobře, dobře — hned na to jedem!&lt;</w:t>
      </w:r>
    </w:p>
    <w:p w:rsidR="00500724" w:rsidRDefault="00F30FB8">
      <w:pPr>
        <w:pStyle w:val="Zkladntext100"/>
        <w:shd w:val="clear" w:color="auto" w:fill="auto"/>
        <w:spacing w:line="214" w:lineRule="auto"/>
        <w:ind w:firstLine="220"/>
        <w:rPr>
          <w:sz w:val="19"/>
          <w:szCs w:val="19"/>
        </w:rPr>
      </w:pPr>
      <w:r>
        <w:rPr>
          <w:sz w:val="19"/>
          <w:szCs w:val="19"/>
        </w:rPr>
        <w:t>»Hoši, máte tu ucpávku.*</w:t>
      </w:r>
    </w:p>
    <w:p w:rsidR="00500724" w:rsidRDefault="00F30FB8">
      <w:pPr>
        <w:pStyle w:val="Zkladntext100"/>
        <w:shd w:val="clear" w:color="auto" w:fill="auto"/>
        <w:spacing w:line="214" w:lineRule="auto"/>
        <w:ind w:firstLine="220"/>
        <w:rPr>
          <w:sz w:val="19"/>
          <w:szCs w:val="19"/>
        </w:rPr>
      </w:pPr>
      <w:r>
        <w:rPr>
          <w:sz w:val="19"/>
          <w:szCs w:val="19"/>
        </w:rPr>
        <w:t>»Kde?«</w:t>
      </w:r>
    </w:p>
    <w:p w:rsidR="00500724" w:rsidRDefault="00F30FB8">
      <w:pPr>
        <w:pStyle w:val="Zkladntext100"/>
        <w:shd w:val="clear" w:color="auto" w:fill="auto"/>
        <w:spacing w:line="214" w:lineRule="auto"/>
        <w:ind w:firstLine="220"/>
        <w:rPr>
          <w:sz w:val="19"/>
          <w:szCs w:val="19"/>
        </w:rPr>
      </w:pPr>
      <w:r>
        <w:rPr>
          <w:sz w:val="19"/>
          <w:szCs w:val="19"/>
        </w:rPr>
        <w:t>»U Milosrdných, teče jim to tam už po schodech. Vemte si auto a pospěšte si.«</w:t>
      </w:r>
    </w:p>
    <w:p w:rsidR="00500724" w:rsidRDefault="00F30FB8">
      <w:pPr>
        <w:pStyle w:val="Zkladntext100"/>
        <w:shd w:val="clear" w:color="auto" w:fill="auto"/>
        <w:spacing w:line="214" w:lineRule="auto"/>
        <w:ind w:firstLine="220"/>
        <w:rPr>
          <w:sz w:val="19"/>
          <w:szCs w:val="19"/>
        </w:rPr>
      </w:pPr>
      <w:r>
        <w:rPr>
          <w:sz w:val="19"/>
          <w:szCs w:val="19"/>
        </w:rPr>
        <w:t>Ucpávka — to je samo o sobě pěkné nadělení, a v ne</w:t>
      </w:r>
      <w:r>
        <w:rPr>
          <w:sz w:val="19"/>
          <w:szCs w:val="19"/>
        </w:rPr>
        <w:softHyphen/>
        <w:t>mocnici — to je jako přídavek.</w:t>
      </w:r>
    </w:p>
    <w:p w:rsidR="00500724" w:rsidRDefault="00F30FB8">
      <w:pPr>
        <w:pStyle w:val="Zkladntext100"/>
        <w:shd w:val="clear" w:color="auto" w:fill="auto"/>
        <w:spacing w:line="214" w:lineRule="auto"/>
        <w:ind w:firstLine="220"/>
        <w:rPr>
          <w:sz w:val="19"/>
          <w:szCs w:val="19"/>
        </w:rPr>
      </w:pPr>
      <w:r>
        <w:rPr>
          <w:sz w:val="19"/>
          <w:szCs w:val="19"/>
        </w:rPr>
        <w:t>Stocký měl</w:t>
      </w:r>
      <w:r>
        <w:rPr>
          <w:sz w:val="19"/>
          <w:szCs w:val="19"/>
        </w:rPr>
        <w:t xml:space="preserve"> na tváři památku z jedné takové, ještě před měsícem. Nachytal to někde pod klinikou. Stříklo mu tam tenkrát něco do tváře. Tři roky s tím chodil, lišej jako pěst. A aby se řeklo, nic nezanedbal, šel s tím k doktorovi hned druhý den, jak zpozoroval, že se </w:t>
      </w:r>
      <w:r>
        <w:rPr>
          <w:sz w:val="19"/>
          <w:szCs w:val="19"/>
        </w:rPr>
        <w:t>mu zapaluje tvář. S tím si na kanalisačním úřadě totiž nikdy dlouho nehrají. Jakmile kdokoliv na sobě něco zpozoruje, musí hned na prohlídku.</w:t>
      </w:r>
    </w:p>
    <w:p w:rsidR="00500724" w:rsidRDefault="00F30FB8">
      <w:pPr>
        <w:pStyle w:val="Zkladntext100"/>
        <w:shd w:val="clear" w:color="auto" w:fill="auto"/>
        <w:spacing w:line="211" w:lineRule="auto"/>
        <w:ind w:firstLine="220"/>
        <w:rPr>
          <w:sz w:val="19"/>
          <w:szCs w:val="19"/>
        </w:rPr>
      </w:pPr>
      <w:r>
        <w:rPr>
          <w:sz w:val="19"/>
          <w:szCs w:val="19"/>
        </w:rPr>
        <w:t>Ale už jedou. Čert ví, co si dnes přivezou zpátky.</w:t>
      </w:r>
    </w:p>
    <w:p w:rsidR="00500724" w:rsidRDefault="00F30FB8">
      <w:pPr>
        <w:pStyle w:val="Zkladntext100"/>
        <w:shd w:val="clear" w:color="auto" w:fill="auto"/>
        <w:spacing w:line="211" w:lineRule="auto"/>
        <w:ind w:firstLine="220"/>
        <w:rPr>
          <w:sz w:val="19"/>
          <w:szCs w:val="19"/>
        </w:rPr>
      </w:pPr>
      <w:r>
        <w:rPr>
          <w:sz w:val="19"/>
          <w:szCs w:val="19"/>
        </w:rPr>
        <w:t>&gt;To jednou Dlab,« vypravuje Solnar, »se v tom hra</w:t>
      </w:r>
      <w:r>
        <w:rPr>
          <w:sz w:val="19"/>
          <w:szCs w:val="19"/>
        </w:rPr>
        <w:softHyphen/>
        <w:t xml:space="preserve">bal rukama a </w:t>
      </w:r>
      <w:r>
        <w:rPr>
          <w:sz w:val="19"/>
          <w:szCs w:val="19"/>
        </w:rPr>
        <w:t>kdoví, co ho to tenkrát napadlo — sáhnul si dozadu na týl. A druhý den, to byste neřekli, jen se probudil, měl krk jako konev!*</w:t>
      </w:r>
    </w:p>
    <w:p w:rsidR="00500724" w:rsidRDefault="00F30FB8">
      <w:pPr>
        <w:pStyle w:val="Zkladntext100"/>
        <w:shd w:val="clear" w:color="auto" w:fill="auto"/>
        <w:spacing w:line="211" w:lineRule="auto"/>
        <w:ind w:firstLine="220"/>
        <w:rPr>
          <w:sz w:val="19"/>
          <w:szCs w:val="19"/>
        </w:rPr>
      </w:pPr>
      <w:r>
        <w:rPr>
          <w:sz w:val="19"/>
          <w:szCs w:val="19"/>
        </w:rPr>
        <w:t xml:space="preserve">»Jen o děti se bojím,« povídal Louda cestou. »Kdyby se tak člověk někdy pořádně neumyl, darmo povídat — už jsem nepohladil </w:t>
      </w:r>
      <w:r>
        <w:rPr>
          <w:sz w:val="19"/>
          <w:szCs w:val="19"/>
        </w:rPr>
        <w:t>kluka, ani nepamatuji!*</w:t>
      </w:r>
    </w:p>
    <w:p w:rsidR="00500724" w:rsidRDefault="00F30FB8">
      <w:pPr>
        <w:pStyle w:val="Zkladntext100"/>
        <w:shd w:val="clear" w:color="auto" w:fill="auto"/>
        <w:spacing w:after="300" w:line="211" w:lineRule="auto"/>
        <w:ind w:firstLine="220"/>
        <w:rPr>
          <w:sz w:val="19"/>
          <w:szCs w:val="19"/>
        </w:rPr>
      </w:pPr>
      <w:r>
        <w:rPr>
          <w:sz w:val="19"/>
          <w:szCs w:val="19"/>
        </w:rPr>
        <w:t>»Mejt se — to je ti něco platný,* dělal oposici jen pro oposici parťák Brych. »Seš toho stejně plnej, říkej si, co chceš — navrchu i uvnitř. Dejcháme tím sajrajtem, je to v nás, toho se nezbavíš, i kdyby ses koupal třebas každej den</w:t>
      </w:r>
      <w:r>
        <w:rPr>
          <w:sz w:val="19"/>
          <w:szCs w:val="19"/>
        </w:rPr>
        <w:t xml:space="preserve"> a třeba v karbuli!*</w:t>
      </w:r>
    </w:p>
    <w:p w:rsidR="00500724" w:rsidRDefault="00F30FB8">
      <w:pPr>
        <w:pStyle w:val="Zkladntext100"/>
        <w:shd w:val="clear" w:color="auto" w:fill="auto"/>
        <w:spacing w:line="211" w:lineRule="auto"/>
        <w:ind w:firstLine="220"/>
        <w:rPr>
          <w:sz w:val="19"/>
          <w:szCs w:val="19"/>
        </w:rPr>
      </w:pPr>
      <w:r>
        <w:rPr>
          <w:sz w:val="19"/>
          <w:szCs w:val="19"/>
        </w:rPr>
        <w:t>Do nulky se leze po břiše. Je široká jako ramena. Hodíš si do ní lopatku, k noze přivážeš pevný provázek a — »hej rup, hoši, s kozou na trakař!* — Zmizelal hlava, ruce i trup, je vidět jen nohy, jak se střídavě krčí, klouzají, mizí — j</w:t>
      </w:r>
      <w:r>
        <w:rPr>
          <w:sz w:val="19"/>
          <w:szCs w:val="19"/>
        </w:rPr>
        <w:t>en hekání je slyšet a vzdálený cinkot lopatky. Provázek prozrazuje, jak dlouho, jak rychle a jak daleko Dlab leze. Už se zastavil.</w:t>
      </w:r>
    </w:p>
    <w:p w:rsidR="00500724" w:rsidRDefault="00F30FB8">
      <w:pPr>
        <w:pStyle w:val="Zkladntext100"/>
        <w:shd w:val="clear" w:color="auto" w:fill="auto"/>
        <w:spacing w:line="211" w:lineRule="auto"/>
        <w:ind w:firstLine="220"/>
        <w:rPr>
          <w:sz w:val="19"/>
          <w:szCs w:val="19"/>
        </w:rPr>
      </w:pPr>
      <w:r>
        <w:rPr>
          <w:sz w:val="19"/>
          <w:szCs w:val="19"/>
        </w:rPr>
        <w:t>Dloubat se v tom a mít to před očima, bát se, aby ne</w:t>
      </w:r>
      <w:r>
        <w:rPr>
          <w:sz w:val="19"/>
          <w:szCs w:val="19"/>
        </w:rPr>
        <w:softHyphen/>
        <w:t>stříklo nic do tváře a nehnout se při tom, ani když chytne do okončiny k</w:t>
      </w:r>
      <w:r>
        <w:rPr>
          <w:sz w:val="19"/>
          <w:szCs w:val="19"/>
        </w:rPr>
        <w:t>řeč, házet materiál za sebe, na záda, znamená uhodit se pokaždé rukojetí řádně do ramene, aby to letělo co možná nejdál — to je ucpávka.</w:t>
      </w:r>
    </w:p>
    <w:p w:rsidR="00500724" w:rsidRDefault="00F30FB8">
      <w:pPr>
        <w:pStyle w:val="Zkladntext100"/>
        <w:shd w:val="clear" w:color="auto" w:fill="auto"/>
        <w:spacing w:after="240" w:line="211" w:lineRule="auto"/>
        <w:ind w:firstLine="220"/>
        <w:rPr>
          <w:sz w:val="19"/>
          <w:szCs w:val="19"/>
        </w:rPr>
      </w:pPr>
      <w:r>
        <w:rPr>
          <w:sz w:val="19"/>
          <w:szCs w:val="19"/>
        </w:rPr>
        <w:t>» Zpátky!* Chlapi táhnou docela mírně za provaz, jen tak, aby mu nohu neutrhli. »Počkejte!* křičí, &gt;já se otočím!* Všic</w:t>
      </w:r>
      <w:r>
        <w:rPr>
          <w:sz w:val="19"/>
          <w:szCs w:val="19"/>
        </w:rPr>
        <w:t>hni vědí proč a jak se to dělá. Vzepře se rameny, aby si mohl přehodit nohu přes druhou, potom zaklesne obě kolena pevně do stěny a otočí trupem. A znova: »Zpátky!« — Vytáhli ho. Zbytek se dodělá dlou</w:t>
      </w:r>
      <w:r>
        <w:rPr>
          <w:sz w:val="19"/>
          <w:szCs w:val="19"/>
        </w:rPr>
        <w:softHyphen/>
        <w:t>hým, ocelovým drátem.</w:t>
      </w:r>
    </w:p>
    <w:p w:rsidR="00500724" w:rsidRDefault="00F30FB8">
      <w:pPr>
        <w:pStyle w:val="Zkladntext100"/>
        <w:shd w:val="clear" w:color="auto" w:fill="auto"/>
        <w:spacing w:line="209" w:lineRule="auto"/>
        <w:ind w:firstLine="220"/>
        <w:rPr>
          <w:sz w:val="19"/>
          <w:szCs w:val="19"/>
        </w:rPr>
      </w:pPr>
      <w:r>
        <w:rPr>
          <w:sz w:val="19"/>
          <w:szCs w:val="19"/>
        </w:rPr>
        <w:t>»Hoši, máte toho dnes sice už dos</w:t>
      </w:r>
      <w:r>
        <w:rPr>
          <w:sz w:val="19"/>
          <w:szCs w:val="19"/>
        </w:rPr>
        <w:t>t, ale je potřeba ote</w:t>
      </w:r>
      <w:r>
        <w:rPr>
          <w:sz w:val="19"/>
          <w:szCs w:val="19"/>
        </w:rPr>
        <w:softHyphen/>
        <w:t>vřít v noci šoupátka, propláchneme stoku. Kdo z vás by chtěl přijít? — To se ví, jsou to hodiny přes čas ...« »Já přijdu,« hlásí se Louda. »Kluk potřebuje botky do školy — a dnes je každá koruna dobrá.« Všichni při</w:t>
      </w:r>
      <w:r>
        <w:rPr>
          <w:sz w:val="19"/>
          <w:szCs w:val="19"/>
        </w:rPr>
        <w:softHyphen/>
        <w:t>zvukují.</w:t>
      </w:r>
    </w:p>
    <w:p w:rsidR="00500724" w:rsidRDefault="00F30FB8">
      <w:pPr>
        <w:pStyle w:val="Zkladntext100"/>
        <w:shd w:val="clear" w:color="auto" w:fill="auto"/>
        <w:spacing w:line="209" w:lineRule="auto"/>
        <w:ind w:firstLine="220"/>
        <w:rPr>
          <w:sz w:val="19"/>
          <w:szCs w:val="19"/>
        </w:rPr>
      </w:pPr>
      <w:r>
        <w:rPr>
          <w:sz w:val="19"/>
          <w:szCs w:val="19"/>
        </w:rPr>
        <w:t>Nevím dobř</w:t>
      </w:r>
      <w:r>
        <w:rPr>
          <w:sz w:val="19"/>
          <w:szCs w:val="19"/>
        </w:rPr>
        <w:t>e proč, snad proto, že je to tak samo</w:t>
      </w:r>
      <w:r>
        <w:rPr>
          <w:sz w:val="19"/>
          <w:szCs w:val="19"/>
        </w:rPr>
        <w:softHyphen/>
        <w:t xml:space="preserve">zřejmé — zní to však divně na dně Prahy, kde je tma, smrduté teplo a kde teče pod nohama hustý kal, kde se spikly proti člověku živly ze všech nejkrutější a kde jsou jen oči těch drsných mužů teplé a lidské. Lidské tu </w:t>
      </w:r>
      <w:r>
        <w:rPr>
          <w:sz w:val="19"/>
          <w:szCs w:val="19"/>
        </w:rPr>
        <w:t>jsou však i ruce — tátovy ruce! — které se právě přihlásily, že se dnes, v noci, navzdory únavě, přičiní, protože kluk potřebuje do školy botky.</w:t>
      </w:r>
    </w:p>
    <w:p w:rsidR="00500724" w:rsidRDefault="00F30FB8">
      <w:pPr>
        <w:pStyle w:val="Zkladntext100"/>
        <w:shd w:val="clear" w:color="auto" w:fill="auto"/>
        <w:spacing w:after="60" w:line="209" w:lineRule="auto"/>
        <w:ind w:firstLine="0"/>
        <w:jc w:val="center"/>
        <w:rPr>
          <w:sz w:val="19"/>
          <w:szCs w:val="19"/>
        </w:rPr>
      </w:pPr>
      <w:r>
        <w:rPr>
          <w:sz w:val="19"/>
          <w:szCs w:val="19"/>
        </w:rPr>
        <w:t>•</w:t>
      </w:r>
    </w:p>
    <w:p w:rsidR="00500724" w:rsidRDefault="00F30FB8">
      <w:pPr>
        <w:pStyle w:val="Zkladntext100"/>
        <w:shd w:val="clear" w:color="auto" w:fill="auto"/>
        <w:spacing w:line="211" w:lineRule="auto"/>
        <w:ind w:firstLine="220"/>
        <w:rPr>
          <w:sz w:val="19"/>
          <w:szCs w:val="19"/>
        </w:rPr>
      </w:pPr>
      <w:r>
        <w:rPr>
          <w:sz w:val="19"/>
          <w:szCs w:val="19"/>
        </w:rPr>
        <w:t xml:space="preserve">»Zítra je neděle,« povídá chlapům Brych. Všichni vědí, že to znamená vykolejit ze všedních dnů, lehnout si </w:t>
      </w:r>
      <w:r>
        <w:rPr>
          <w:sz w:val="19"/>
          <w:szCs w:val="19"/>
        </w:rPr>
        <w:t>někde do trávy a zhluboka dýchat, marnotratně dý</w:t>
      </w:r>
      <w:r>
        <w:rPr>
          <w:sz w:val="19"/>
          <w:szCs w:val="19"/>
        </w:rPr>
        <w:softHyphen/>
        <w:t xml:space="preserve">chat a obdivovat vysoké, obdivuhodně klenuté nebe. Obdivovat? Ne. Brych na příklad ztratil už dávno smysl, který by ho uvědomoval o kráse. Brych je po celotýdenní práci k smrti unaven a proto každou neděli, </w:t>
      </w:r>
      <w:r>
        <w:rPr>
          <w:sz w:val="19"/>
          <w:szCs w:val="19"/>
        </w:rPr>
        <w:t>když nemá službu, pokud možno nejdéle spí.</w:t>
      </w:r>
    </w:p>
    <w:p w:rsidR="00500724" w:rsidRDefault="00F30FB8">
      <w:pPr>
        <w:pStyle w:val="Zkladntext100"/>
        <w:shd w:val="clear" w:color="auto" w:fill="auto"/>
        <w:spacing w:line="211" w:lineRule="auto"/>
        <w:ind w:firstLine="220"/>
        <w:rPr>
          <w:sz w:val="19"/>
          <w:szCs w:val="19"/>
        </w:rPr>
      </w:pPr>
      <w:r>
        <w:rPr>
          <w:sz w:val="19"/>
          <w:szCs w:val="19"/>
        </w:rPr>
        <w:t>U oběda si stěžuje už po několik let: ^Ztratil jsem čuch i chuť. Vepřové maso mi voní právě tak jako knedlík. Největší radost, mámo, věř mi to nebo ne, mám z toho, že to tak pěkně na tom talíři vypadá!*</w:t>
      </w:r>
    </w:p>
    <w:p w:rsidR="00500724" w:rsidRDefault="00F30FB8">
      <w:pPr>
        <w:pStyle w:val="Zkladntext100"/>
        <w:shd w:val="clear" w:color="auto" w:fill="auto"/>
        <w:spacing w:line="211" w:lineRule="auto"/>
        <w:ind w:firstLine="0"/>
        <w:jc w:val="center"/>
        <w:rPr>
          <w:sz w:val="19"/>
          <w:szCs w:val="19"/>
        </w:rPr>
      </w:pPr>
      <w:r>
        <w:rPr>
          <w:sz w:val="19"/>
          <w:szCs w:val="19"/>
        </w:rPr>
        <w:t>•</w:t>
      </w:r>
    </w:p>
    <w:p w:rsidR="00500724" w:rsidRDefault="00F30FB8">
      <w:pPr>
        <w:pStyle w:val="Zkladntext100"/>
        <w:shd w:val="clear" w:color="auto" w:fill="auto"/>
        <w:spacing w:after="260" w:line="211" w:lineRule="auto"/>
        <w:ind w:firstLine="220"/>
        <w:rPr>
          <w:sz w:val="19"/>
          <w:szCs w:val="19"/>
        </w:rPr>
      </w:pPr>
      <w:r>
        <w:rPr>
          <w:sz w:val="19"/>
          <w:szCs w:val="19"/>
        </w:rPr>
        <w:t xml:space="preserve">U Loudů </w:t>
      </w:r>
      <w:r>
        <w:rPr>
          <w:sz w:val="19"/>
          <w:szCs w:val="19"/>
        </w:rPr>
        <w:t>si hraje kluk v nových botkách na zemi. Táta mu přinesl z noční směny lesklý kamínek. »Svítí jako drahokam,* povídala matka, a kluk to dovede oce</w:t>
      </w:r>
      <w:r>
        <w:rPr>
          <w:sz w:val="19"/>
          <w:szCs w:val="19"/>
        </w:rPr>
        <w:softHyphen/>
        <w:t xml:space="preserve">nit. ^Musíme se někoho zeptat, co to je.« — »Co by to bylo, někdo to zahodil. Leželo to tam v bahně. Vymáchal </w:t>
      </w:r>
      <w:r>
        <w:rPr>
          <w:sz w:val="19"/>
          <w:szCs w:val="19"/>
        </w:rPr>
        <w:t>jsem to ve vodě. Je to čistý, jen af si s tím hraje.* Kluk neví: Matčina řeč se mu nelíbí — kdyby to něco bylo, myslí si, přišel bych o kamínek. A přece — táta nemá beztoho pravdu. Ten kámen něco je! V maličké hlavě se zrodilo rozhodnutí: Schová jej. Až se</w:t>
      </w:r>
      <w:r>
        <w:rPr>
          <w:sz w:val="19"/>
          <w:szCs w:val="19"/>
        </w:rPr>
        <w:t xml:space="preserve"> nebude nikdo dívat, strčí jej k psovi do boudy.</w:t>
      </w:r>
    </w:p>
    <w:p w:rsidR="00500724" w:rsidRDefault="00F30FB8">
      <w:pPr>
        <w:pStyle w:val="Zkladntext100"/>
        <w:shd w:val="clear" w:color="auto" w:fill="auto"/>
        <w:spacing w:line="209" w:lineRule="auto"/>
        <w:ind w:firstLine="220"/>
        <w:rPr>
          <w:sz w:val="19"/>
          <w:szCs w:val="19"/>
        </w:rPr>
      </w:pPr>
      <w:r>
        <w:rPr>
          <w:sz w:val="19"/>
          <w:szCs w:val="19"/>
        </w:rPr>
        <w:t>»Dlab umřel.* »To je rána, a na co?* »To víš, měl toho víc. Byl to statný chlap, byl ho pořádný kus, dost dlouho se tomu vzpíral. Ale přišlo toho moc najednou: tyfus, žaludeční vředy a rozedma plic. A taky h</w:t>
      </w:r>
      <w:r>
        <w:rPr>
          <w:sz w:val="19"/>
          <w:szCs w:val="19"/>
        </w:rPr>
        <w:t>odně pil, no, — není divu!*</w:t>
      </w:r>
    </w:p>
    <w:p w:rsidR="00500724" w:rsidRDefault="00F30FB8">
      <w:pPr>
        <w:pStyle w:val="Zkladntext100"/>
        <w:shd w:val="clear" w:color="auto" w:fill="auto"/>
        <w:spacing w:line="211" w:lineRule="auto"/>
        <w:ind w:firstLine="220"/>
        <w:rPr>
          <w:sz w:val="19"/>
          <w:szCs w:val="19"/>
        </w:rPr>
      </w:pPr>
      <w:r>
        <w:rPr>
          <w:sz w:val="19"/>
          <w:szCs w:val="19"/>
        </w:rPr>
        <w:t>Chvíli je ticho. Jen lžíce zvoní, vidlička a nůž.</w:t>
      </w:r>
    </w:p>
    <w:p w:rsidR="00500724" w:rsidRDefault="00F30FB8">
      <w:pPr>
        <w:pStyle w:val="Zkladntext100"/>
        <w:shd w:val="clear" w:color="auto" w:fill="auto"/>
        <w:spacing w:line="211" w:lineRule="auto"/>
        <w:ind w:firstLine="220"/>
        <w:rPr>
          <w:sz w:val="19"/>
          <w:szCs w:val="19"/>
        </w:rPr>
      </w:pPr>
      <w:r>
        <w:rPr>
          <w:sz w:val="19"/>
          <w:szCs w:val="19"/>
        </w:rPr>
        <w:t>»I Kučera v tom lítá.* 2 Kučera? Ten, co byl s tebou na stoce B?« »Ten!« »A co se jemu stalo?* »Šel s ote</w:t>
      </w:r>
      <w:r>
        <w:rPr>
          <w:sz w:val="19"/>
          <w:szCs w:val="19"/>
        </w:rPr>
        <w:softHyphen/>
        <w:t xml:space="preserve">vřeným světlem do stoky. Vzňaly se tam plyny a to nepřeju nikomu vidět, </w:t>
      </w:r>
      <w:r>
        <w:rPr>
          <w:sz w:val="19"/>
          <w:szCs w:val="19"/>
        </w:rPr>
        <w:t>jak na něm shořely šaty. Jako papír! Ten už do kanálu s lampou bepoleze.* &gt;Já to povídala — proč nemáte lampy podle předpisu, co se na vás už pan rada nahuboval!*</w:t>
      </w:r>
    </w:p>
    <w:p w:rsidR="00500724" w:rsidRDefault="00F30FB8">
      <w:pPr>
        <w:pStyle w:val="Zkladntext100"/>
        <w:shd w:val="clear" w:color="auto" w:fill="auto"/>
        <w:spacing w:after="220" w:line="211" w:lineRule="auto"/>
        <w:ind w:firstLine="220"/>
        <w:rPr>
          <w:sz w:val="19"/>
          <w:szCs w:val="19"/>
        </w:rPr>
      </w:pPr>
      <w:r>
        <w:rPr>
          <w:sz w:val="19"/>
          <w:szCs w:val="19"/>
        </w:rPr>
        <w:t>»Podle předpisu!« — a Louda vložil do těch dvou slov tolik pohrdání, kolik unesla. &gt;Není s tí</w:t>
      </w:r>
      <w:r>
        <w:rPr>
          <w:sz w:val="19"/>
          <w:szCs w:val="19"/>
        </w:rPr>
        <w:t>m vidět pořádně ani na krok, člověk s tím ani nepozná, do čeho leze! Kampak s kahanem do kanálu! A elektrická lampička? Taky s tím není nic vidět, vlhne to a je to každou chvíli k nepotřebě!*</w:t>
      </w:r>
    </w:p>
    <w:p w:rsidR="00500724" w:rsidRDefault="00F30FB8">
      <w:pPr>
        <w:pStyle w:val="Zkladntext100"/>
        <w:shd w:val="clear" w:color="auto" w:fill="auto"/>
        <w:spacing w:line="209" w:lineRule="auto"/>
        <w:ind w:firstLine="220"/>
        <w:rPr>
          <w:sz w:val="19"/>
          <w:szCs w:val="19"/>
        </w:rPr>
      </w:pPr>
      <w:r>
        <w:rPr>
          <w:sz w:val="19"/>
          <w:szCs w:val="19"/>
        </w:rPr>
        <w:t>Praha má asi milion krys. Odpusťte, ale dá se to spo</w:t>
      </w:r>
      <w:r>
        <w:rPr>
          <w:sz w:val="19"/>
          <w:szCs w:val="19"/>
        </w:rPr>
        <w:softHyphen/>
        <w:t>čítat z hla</w:t>
      </w:r>
      <w:r>
        <w:rPr>
          <w:sz w:val="19"/>
          <w:szCs w:val="19"/>
        </w:rPr>
        <w:t>vy: Na každého z nás připadá jedna. Každý z nás jednu živí a když se ráno probudíte, je jistější toto minus ve vašem denním rozpočtu, než ono plus, které svým přičiněním hodláte toho dne vydělat.</w:t>
      </w:r>
    </w:p>
    <w:p w:rsidR="00500724" w:rsidRDefault="00F30FB8">
      <w:pPr>
        <w:pStyle w:val="Zkladntext100"/>
        <w:shd w:val="clear" w:color="auto" w:fill="auto"/>
        <w:spacing w:line="216" w:lineRule="auto"/>
        <w:ind w:firstLine="220"/>
        <w:rPr>
          <w:sz w:val="19"/>
          <w:szCs w:val="19"/>
        </w:rPr>
      </w:pPr>
      <w:r>
        <w:rPr>
          <w:sz w:val="19"/>
          <w:szCs w:val="19"/>
        </w:rPr>
        <w:t>Potkan rozhlodá všechno, na co přijde. Je i nositelem různýc</w:t>
      </w:r>
      <w:r>
        <w:rPr>
          <w:sz w:val="19"/>
          <w:szCs w:val="19"/>
        </w:rPr>
        <w:t>h nemocí: moru, cholery, tyfu.</w:t>
      </w:r>
    </w:p>
    <w:p w:rsidR="00500724" w:rsidRDefault="00F30FB8">
      <w:pPr>
        <w:pStyle w:val="Zkladntext100"/>
        <w:shd w:val="clear" w:color="auto" w:fill="auto"/>
        <w:spacing w:line="211" w:lineRule="auto"/>
        <w:ind w:firstLine="220"/>
        <w:rPr>
          <w:sz w:val="19"/>
          <w:szCs w:val="19"/>
        </w:rPr>
      </w:pPr>
      <w:r>
        <w:rPr>
          <w:sz w:val="19"/>
          <w:szCs w:val="19"/>
        </w:rPr>
        <w:t>Ročně natropí krysy pražské obci za 20 až 50 milionů korun škod. Počítejme s přibližným průměrem: 56.5 mil. K (36,500.000 K) vydělíme 365 dny. Denní škoda: 100.000 K. Každý den nám tedy zničí krysy jeden pěkný nový dům, ovšem</w:t>
      </w:r>
      <w:r>
        <w:rPr>
          <w:sz w:val="19"/>
          <w:szCs w:val="19"/>
        </w:rPr>
        <w:t xml:space="preserve"> — za předpokladu, že počet krys ani neklesá ani ne vzrůstá. Ale: je známá úžasná rozplozovací síla krys. Za tři roky se rozmnoží jeden pár potkanů na dvacet milionů potomků!</w:t>
      </w:r>
    </w:p>
    <w:p w:rsidR="00500724" w:rsidRDefault="00F30FB8">
      <w:pPr>
        <w:pStyle w:val="Zkladntext100"/>
        <w:shd w:val="clear" w:color="auto" w:fill="auto"/>
        <w:spacing w:line="211" w:lineRule="auto"/>
        <w:ind w:firstLine="220"/>
        <w:rPr>
          <w:sz w:val="19"/>
          <w:szCs w:val="19"/>
        </w:rPr>
      </w:pPr>
      <w:r>
        <w:rPr>
          <w:sz w:val="19"/>
          <w:szCs w:val="19"/>
        </w:rPr>
        <w:t>Muži pod Prahou vypověděli krysám boj. Je to samo</w:t>
      </w:r>
      <w:r>
        <w:rPr>
          <w:sz w:val="19"/>
          <w:szCs w:val="19"/>
        </w:rPr>
        <w:softHyphen/>
        <w:t>zřejmé: bud’ my nebo ony.</w:t>
      </w:r>
    </w:p>
    <w:p w:rsidR="00500724" w:rsidRDefault="00F30FB8">
      <w:pPr>
        <w:pStyle w:val="Zkladntext100"/>
        <w:shd w:val="clear" w:color="auto" w:fill="auto"/>
        <w:spacing w:line="211" w:lineRule="auto"/>
        <w:ind w:firstLine="220"/>
        <w:rPr>
          <w:sz w:val="19"/>
          <w:szCs w:val="19"/>
        </w:rPr>
        <w:sectPr w:rsidR="00500724">
          <w:footnotePr>
            <w:numFmt w:val="chicago"/>
            <w:numRestart w:val="eachPage"/>
          </w:footnotePr>
          <w:pgSz w:w="11909" w:h="16834"/>
          <w:pgMar w:top="1628" w:right="853" w:bottom="1062" w:left="625" w:header="0" w:footer="3" w:gutter="0"/>
          <w:cols w:num="2" w:space="100"/>
          <w:noEndnote/>
          <w:docGrid w:linePitch="360"/>
        </w:sectPr>
      </w:pPr>
      <w:r>
        <w:rPr>
          <w:sz w:val="19"/>
          <w:szCs w:val="19"/>
        </w:rPr>
        <w:t>Krysy jsou všude. Nejsou jen v moderních, dravých, živých stokách, které jsou vlastně hučícími vodopády, protože v nich letí odpadní voda po hladkých skružích jako blesk, strhujíc s sebou všechno, co jí přijde do cesty. Vedle t</w:t>
      </w:r>
      <w:r>
        <w:rPr>
          <w:sz w:val="19"/>
          <w:szCs w:val="19"/>
        </w:rPr>
        <w:t>ěchto podzemních prostor s báječnou architekturou klenutí má však Praha i kanály staré, polozbořené, zapadlé, nepotřebné, vyschlé i zapome</w:t>
      </w:r>
      <w:r>
        <w:rPr>
          <w:sz w:val="19"/>
          <w:szCs w:val="19"/>
        </w:rPr>
        <w:softHyphen/>
        <w:t>nuté, zanesené rmutem i černým bahnem, do něhož se noří noha v gumové botě, která sahá už po pás, tolik, že bahno div</w:t>
      </w:r>
      <w:r>
        <w:rPr>
          <w:sz w:val="19"/>
          <w:szCs w:val="19"/>
        </w:rPr>
        <w:t xml:space="preserve"> do bot nenateče. Každý vratký krok je vykupován velikou námahou fysickou, nebof tu jsou kladeny nemalé požadavky na ústrojí dýchací i na ža</w:t>
      </w:r>
      <w:r>
        <w:rPr>
          <w:sz w:val="19"/>
          <w:szCs w:val="19"/>
        </w:rPr>
        <w:softHyphen/>
        <w:t>ludek. A cesty neubývá. — Ale i námaha duševní tu platí svoji daň. Jsou místa, kudy lze jít vzpřímen, jinde je nutn</w:t>
      </w:r>
      <w:r>
        <w:rPr>
          <w:sz w:val="19"/>
          <w:szCs w:val="19"/>
        </w:rPr>
        <w:t>o shrbit hřbet nebo lézt po kolenou. Nikoliv píšťalkou, jedem v nejodpornějších kanálech hubí kry- saři potkana, to strašné zvíře s živýma očima, o němž</w:t>
      </w:r>
    </w:p>
    <w:p w:rsidR="00500724" w:rsidRDefault="00F30FB8">
      <w:pPr>
        <w:pStyle w:val="Zkladntext20"/>
        <w:framePr w:h="269" w:hSpace="180" w:vSpace="60" w:wrap="notBeside" w:vAnchor="text" w:hAnchor="page" w:x="10634" w:y="14295"/>
        <w:shd w:val="clear" w:color="auto" w:fill="auto"/>
        <w:spacing w:line="240" w:lineRule="auto"/>
        <w:ind w:firstLine="0"/>
        <w:jc w:val="left"/>
        <w:rPr>
          <w:sz w:val="20"/>
          <w:szCs w:val="20"/>
        </w:rPr>
      </w:pPr>
      <w:r>
        <w:rPr>
          <w:i/>
          <w:iCs/>
          <w:sz w:val="20"/>
          <w:szCs w:val="20"/>
        </w:rPr>
        <w:t>8*7</w:t>
      </w:r>
    </w:p>
    <w:p w:rsidR="00500724" w:rsidRDefault="00500724">
      <w:pPr>
        <w:spacing w:line="14" w:lineRule="exact"/>
      </w:pPr>
    </w:p>
    <w:p w:rsidR="00500724" w:rsidRDefault="00F30FB8">
      <w:pPr>
        <w:pStyle w:val="Zkladntext100"/>
        <w:shd w:val="clear" w:color="auto" w:fill="auto"/>
        <w:spacing w:line="211" w:lineRule="auto"/>
        <w:ind w:firstLine="0"/>
        <w:rPr>
          <w:sz w:val="19"/>
          <w:szCs w:val="19"/>
        </w:rPr>
      </w:pPr>
      <w:r>
        <w:rPr>
          <w:sz w:val="19"/>
          <w:szCs w:val="19"/>
        </w:rPr>
        <w:t xml:space="preserve">přírodopisec Brehm napsal, že kdyby měl velikost psa, vyhladil by se světa všechno živoucí </w:t>
      </w:r>
      <w:r>
        <w:rPr>
          <w:sz w:val="19"/>
          <w:szCs w:val="19"/>
        </w:rPr>
        <w:t>tvorstvo i s lidmi.</w:t>
      </w:r>
    </w:p>
    <w:p w:rsidR="00500724" w:rsidRDefault="00F30FB8">
      <w:pPr>
        <w:pStyle w:val="Zkladntext100"/>
        <w:shd w:val="clear" w:color="auto" w:fill="auto"/>
        <w:spacing w:line="211" w:lineRule="auto"/>
        <w:ind w:firstLine="220"/>
        <w:rPr>
          <w:sz w:val="19"/>
          <w:szCs w:val="19"/>
        </w:rPr>
      </w:pPr>
      <w:r>
        <w:rPr>
          <w:sz w:val="19"/>
          <w:szCs w:val="19"/>
        </w:rPr>
        <w:t>Krysaři sestupují s trpělivostí jen silným lidem vlastní každý den, neustále, do všech koutů pražského pod</w:t>
      </w:r>
      <w:r>
        <w:rPr>
          <w:sz w:val="19"/>
          <w:szCs w:val="19"/>
        </w:rPr>
        <w:softHyphen/>
        <w:t>světí a vystupují utrmácení, zničení. To se musí na vlastní oči vidět, nebof je k nevíře, co všechno vy</w:t>
      </w:r>
      <w:r>
        <w:rPr>
          <w:sz w:val="19"/>
          <w:szCs w:val="19"/>
        </w:rPr>
        <w:softHyphen/>
        <w:t>právějí.</w:t>
      </w:r>
    </w:p>
    <w:p w:rsidR="00500724" w:rsidRDefault="00F30FB8">
      <w:pPr>
        <w:pStyle w:val="Zkladntext100"/>
        <w:shd w:val="clear" w:color="auto" w:fill="auto"/>
        <w:spacing w:line="211" w:lineRule="auto"/>
        <w:ind w:firstLine="220"/>
        <w:rPr>
          <w:sz w:val="19"/>
          <w:szCs w:val="19"/>
        </w:rPr>
      </w:pPr>
      <w:r>
        <w:rPr>
          <w:sz w:val="19"/>
          <w:szCs w:val="19"/>
        </w:rPr>
        <w:t>j&gt;Šel jsem z Hol</w:t>
      </w:r>
      <w:r>
        <w:rPr>
          <w:sz w:val="19"/>
          <w:szCs w:val="19"/>
        </w:rPr>
        <w:t>ešovic. Bylo ráno, svítalo, bledly hvěz</w:t>
      </w:r>
      <w:r>
        <w:rPr>
          <w:sz w:val="19"/>
          <w:szCs w:val="19"/>
        </w:rPr>
        <w:softHyphen/>
        <w:t>dy. Bylo to časně na jaře. Nad Vltavou stála studená mlha. Byl skoro mrazík. Elektriky dosud nejezdily. Rozhodl jsem se dojít až domů pěšky. Bydlím v Břev</w:t>
      </w:r>
      <w:r>
        <w:rPr>
          <w:sz w:val="19"/>
          <w:szCs w:val="19"/>
        </w:rPr>
        <w:softHyphen/>
        <w:t>nově. Vysoké boty mi vadily v chůzi. To nikdo nepo</w:t>
      </w:r>
      <w:r>
        <w:rPr>
          <w:sz w:val="19"/>
          <w:szCs w:val="19"/>
        </w:rPr>
        <w:softHyphen/>
        <w:t>chopí, jak</w:t>
      </w:r>
      <w:r>
        <w:rPr>
          <w:sz w:val="19"/>
          <w:szCs w:val="19"/>
        </w:rPr>
        <w:t xml:space="preserve"> je to namáhavé. Přes most Svatopluka Čecha jela k nám nahoru první elektrika. Byla prázdná. Svezu se, pomyslil jsem si. Ale moje radost netrvala dlouho. Nevzali mne, protože jsem, řekněme — nevoněl.«</w:t>
      </w:r>
    </w:p>
    <w:p w:rsidR="00500724" w:rsidRDefault="00F30FB8">
      <w:pPr>
        <w:pStyle w:val="Zkladntext100"/>
        <w:shd w:val="clear" w:color="auto" w:fill="auto"/>
        <w:spacing w:after="220" w:line="209" w:lineRule="auto"/>
        <w:ind w:firstLine="220"/>
        <w:rPr>
          <w:sz w:val="19"/>
          <w:szCs w:val="19"/>
        </w:rPr>
      </w:pPr>
      <w:r>
        <w:rPr>
          <w:sz w:val="19"/>
          <w:szCs w:val="19"/>
        </w:rPr>
        <w:t>Tři hodiny mu trvala cesta domů. Konečně mohl za</w:t>
      </w:r>
      <w:r>
        <w:rPr>
          <w:sz w:val="19"/>
          <w:szCs w:val="19"/>
        </w:rPr>
        <w:softHyphen/>
        <w:t xml:space="preserve">ťukat </w:t>
      </w:r>
      <w:r>
        <w:rPr>
          <w:sz w:val="19"/>
          <w:szCs w:val="19"/>
        </w:rPr>
        <w:t>na okno. Probudil opatrně mámu: sQhřej mi vodu do necek, ale tiše, ať neprobudíš děti!« A sotva se posadil venku na práh, usnul.</w:t>
      </w:r>
    </w:p>
    <w:p w:rsidR="00500724" w:rsidRDefault="00F30FB8">
      <w:pPr>
        <w:pStyle w:val="Jin0"/>
        <w:shd w:val="clear" w:color="auto" w:fill="auto"/>
        <w:spacing w:after="180"/>
        <w:ind w:firstLine="0"/>
        <w:jc w:val="left"/>
        <w:rPr>
          <w:sz w:val="46"/>
          <w:szCs w:val="46"/>
        </w:rPr>
      </w:pPr>
      <w:r>
        <w:rPr>
          <w:b/>
          <w:bCs/>
          <w:sz w:val="46"/>
          <w:szCs w:val="46"/>
          <w:u w:val="single"/>
        </w:rPr>
        <w:t>otázky a odpovědi</w:t>
      </w:r>
    </w:p>
    <w:p w:rsidR="00500724" w:rsidRDefault="00F30FB8">
      <w:pPr>
        <w:pStyle w:val="Nadpis100"/>
        <w:shd w:val="clear" w:color="auto" w:fill="auto"/>
        <w:spacing w:after="0" w:line="240" w:lineRule="auto"/>
      </w:pPr>
      <w:bookmarkStart w:id="534" w:name="bookmark533"/>
      <w:r>
        <w:t>Stačí být Čechem ?</w:t>
      </w:r>
      <w:bookmarkEnd w:id="534"/>
    </w:p>
    <w:p w:rsidR="00500724" w:rsidRDefault="00F30FB8">
      <w:pPr>
        <w:pStyle w:val="Zkladntext100"/>
        <w:shd w:val="clear" w:color="auto" w:fill="auto"/>
        <w:spacing w:line="317" w:lineRule="auto"/>
        <w:ind w:firstLine="0"/>
        <w:jc w:val="center"/>
      </w:pPr>
      <w:r>
        <w:t>I.</w:t>
      </w:r>
    </w:p>
    <w:p w:rsidR="00500724" w:rsidRDefault="00F30FB8">
      <w:pPr>
        <w:pStyle w:val="Zkladntext100"/>
        <w:shd w:val="clear" w:color="auto" w:fill="auto"/>
        <w:spacing w:line="317" w:lineRule="auto"/>
        <w:ind w:left="1280" w:right="1280" w:firstLine="20"/>
        <w:jc w:val="left"/>
      </w:pPr>
      <w:r>
        <w:t>Paní Mileně Jesenské Vážená paní,</w:t>
      </w:r>
    </w:p>
    <w:p w:rsidR="00500724" w:rsidRDefault="00F30FB8">
      <w:pPr>
        <w:pStyle w:val="Zkladntext100"/>
        <w:shd w:val="clear" w:color="auto" w:fill="auto"/>
        <w:spacing w:line="218" w:lineRule="auto"/>
        <w:ind w:firstLine="220"/>
      </w:pPr>
      <w:r>
        <w:t xml:space="preserve">Vaše články čtu již dlouhou dobu rád, zvlášiě od íé </w:t>
      </w:r>
      <w:r>
        <w:t>doby, kdy mne zaujaly Vaše výstižné referáty o situaci v Sudetech, články, v nichž jako byste již tušila běh udá</w:t>
      </w:r>
      <w:r>
        <w:softHyphen/>
        <w:t>lostí, jež se brzy počnou řítit. Dnes bych však rád řekl ně</w:t>
      </w:r>
      <w:r>
        <w:softHyphen/>
        <w:t>kolik slov proti Vám — když jsem si byl totiž přečetl Váš nejnovější článek v »Přít</w:t>
      </w:r>
      <w:r>
        <w:t>omnosíi« iJsem především Češka?®. Překvapil mne totiž i zarmoutil. Snad to byla jen Vaše nešťastná formulace, s níž nejsem spokojen, po</w:t>
      </w:r>
      <w:r>
        <w:softHyphen/>
        <w:t>dobně asi jako Vy jste nebyla spokojena s výrokem svého přítele, jehož chvála Vás nepotěšila. Pročítám znovu ze</w:t>
      </w:r>
      <w:r>
        <w:softHyphen/>
        <w:t>jména dv</w:t>
      </w:r>
      <w:r>
        <w:t>ě věty, jež jste zdůraznila: sJsem samozřejmě Češka, ale především se snažím být slušným člověkem. - Češi jsme všichni, to dohromady však ještě nic neznamená.# Domnívám se, že, i když jste sledo</w:t>
      </w:r>
      <w:r>
        <w:softHyphen/>
        <w:t>vala úmysl dobrý a ušlechtilý, neměla jste této formulace uží</w:t>
      </w:r>
      <w:r>
        <w:t>t. Domnívám se, že v dnešní době nám tento způsob myšlení nemůže prospět.</w:t>
      </w:r>
    </w:p>
    <w:p w:rsidR="00500724" w:rsidRDefault="00F30FB8">
      <w:pPr>
        <w:pStyle w:val="Zkladntext100"/>
        <w:shd w:val="clear" w:color="auto" w:fill="auto"/>
        <w:spacing w:line="216" w:lineRule="auto"/>
        <w:ind w:firstLine="220"/>
      </w:pPr>
      <w:r>
        <w:t>Tedy pro Vás fakt, že jste Češka, dohromady ještě nic neznamená? Nanejvýše jen to, že Vám nese s sebou jen svízele a všelijaké trápení? Nevěřím tomu, ale neměla by</w:t>
      </w:r>
      <w:r>
        <w:softHyphen/>
        <w:t>ste po druhé takov</w:t>
      </w:r>
      <w:r>
        <w:t>é ošemetné výroky psát. Vždyť pro nás teď naopak musí víc než kdy jindy znamenat tolik již jen ío pouhé, že jsme Češi. Jest ovšem samozřejmé, že máme na mysli dobré a slušné Čechy, ale tuto samozřejmost není třeba podle mého mínění zeslabovat protikladem p</w:t>
      </w:r>
      <w:r>
        <w:t>ojmů: Čech - slušný člověk. Myslím, že stejně jako sadař, mlu</w:t>
      </w:r>
      <w:r>
        <w:softHyphen/>
        <w:t>ví-li o svých jabloních nebo lipách, má na mysli zdravé stromy, které se zazelenají, zazáří svými květy a vydají plody, stejně i Vy, uvažujete-li o pojmu Čech a češství, máte mít na mysli ono zd</w:t>
      </w:r>
      <w:r>
        <w:t>ravé, silné a plodné češství, která nadto není vysněno, nýbrž existuje kolem nás a v nás odjakživa. Být především osobně poctivý a slušný, statečný a spravedlivý, dobrý a liberální - to vše jsou krásná předsevzetí a úkoly. Ale dnešní doba a dnešní naše sit</w:t>
      </w:r>
      <w:r>
        <w:t>uace myslím vyžaduje, abychom především byli Čechy. Rozumějte mně, nejde mi o prázdné heslo, šovini</w:t>
      </w:r>
      <w:r>
        <w:softHyphen/>
        <w:t>stickou nálepku, nýbrž o plný obsah, chcete-li ideální, toho pojmu.</w:t>
      </w:r>
    </w:p>
    <w:p w:rsidR="00500724" w:rsidRDefault="00F30FB8">
      <w:pPr>
        <w:pStyle w:val="Zkladntext100"/>
        <w:shd w:val="clear" w:color="auto" w:fill="auto"/>
        <w:spacing w:line="216" w:lineRule="auto"/>
        <w:ind w:firstLine="220"/>
      </w:pPr>
      <w:r>
        <w:t>Což Vám není jasno, že dnes jen touto vroucností, tímto hlubokým prolnutím a citovým sou</w:t>
      </w:r>
      <w:r>
        <w:t>středěním se ke skuteč</w:t>
      </w:r>
      <w:r>
        <w:softHyphen/>
        <w:t>nosti svého češství, jen tímto vyostřeným uvědomením si své národní příslušnosti, své národní kulturní podstaty, jen tim vším zdaří se nám najít sílu a vzbudit v sobě život</w:t>
      </w:r>
      <w:r>
        <w:softHyphen/>
        <w:t>nou chuť a nadšení do dalších plánů? Což Vám není jas</w:t>
      </w:r>
      <w:r>
        <w:softHyphen/>
        <w:t>no, že</w:t>
      </w:r>
      <w:r>
        <w:t xml:space="preserve"> dnes potřebujeme víc než kdy jindy inspiraci, a tou nám jest skutečnost: Jsem Čech, v České zemi jsem se na</w:t>
      </w:r>
      <w:r>
        <w:softHyphen/>
        <w:t>rodil, v klínu těchto českých hor byla kolébka mých před</w:t>
      </w:r>
      <w:r>
        <w:softHyphen/>
        <w:t>ků abudedále. Tato skutečnost sama přece je tak silná a mocná, tak povznášející, že je člo</w:t>
      </w:r>
      <w:r>
        <w:t>věk Čechem rád, že to stojí za to žít, že hrdě se k svému původu přiznávajíce ne</w:t>
      </w:r>
      <w:r>
        <w:softHyphen/>
        <w:t>vyměnili bychom jej za žádný jiný, za příslušnost žádnou jinou, i kdyby skýtala sebe lákavější výhody a méně toho trápení! Snad kdysi byl čas uvažovat chladně a nezúčast- ně o</w:t>
      </w:r>
      <w:r>
        <w:t xml:space="preserve"> pojmech národ a lidstvo. Dnes však, kdy je tolik nové práce před námi, tolik svízelů a trápení, nevystačíme s touto střízlivostí. Střízlivost tu není na místě. Zde musí planout zápal, zde musí bušit statečné srdce a svítit rozzá</w:t>
      </w:r>
      <w:r>
        <w:softHyphen/>
        <w:t>řené oči jen pro to jediné</w:t>
      </w:r>
      <w:r>
        <w:t>: Jsem Cech a zůstanu jím na věky!</w:t>
      </w:r>
    </w:p>
    <w:p w:rsidR="00500724" w:rsidRDefault="00F30FB8">
      <w:pPr>
        <w:pStyle w:val="Zkladntext100"/>
        <w:shd w:val="clear" w:color="auto" w:fill="auto"/>
        <w:spacing w:line="218" w:lineRule="auto"/>
        <w:ind w:firstLine="0"/>
        <w:jc w:val="center"/>
      </w:pPr>
      <w:r>
        <w:t>Váš</w:t>
      </w:r>
    </w:p>
    <w:p w:rsidR="00500724" w:rsidRDefault="00F30FB8">
      <w:pPr>
        <w:pStyle w:val="Zkladntext20"/>
        <w:shd w:val="clear" w:color="auto" w:fill="auto"/>
        <w:spacing w:line="276" w:lineRule="auto"/>
        <w:ind w:left="2460" w:firstLine="1660"/>
        <w:jc w:val="left"/>
        <w:rPr>
          <w:sz w:val="20"/>
          <w:szCs w:val="20"/>
        </w:rPr>
      </w:pPr>
      <w:r>
        <w:rPr>
          <w:sz w:val="20"/>
          <w:szCs w:val="20"/>
        </w:rPr>
        <w:t xml:space="preserve">Jiří </w:t>
      </w:r>
      <w:r>
        <w:rPr>
          <w:i/>
          <w:iCs/>
          <w:sz w:val="20"/>
          <w:szCs w:val="20"/>
        </w:rPr>
        <w:t xml:space="preserve">Dostál </w:t>
      </w:r>
      <w:r>
        <w:rPr>
          <w:sz w:val="20"/>
          <w:szCs w:val="20"/>
        </w:rPr>
        <w:t>II.</w:t>
      </w:r>
    </w:p>
    <w:p w:rsidR="00500724" w:rsidRDefault="00F30FB8">
      <w:pPr>
        <w:pStyle w:val="Zkladntext100"/>
        <w:shd w:val="clear" w:color="auto" w:fill="auto"/>
        <w:spacing w:line="307" w:lineRule="auto"/>
        <w:ind w:left="1300" w:firstLine="0"/>
        <w:jc w:val="left"/>
      </w:pPr>
      <w:r>
        <w:t>Vážený pane,</w:t>
      </w:r>
    </w:p>
    <w:p w:rsidR="00500724" w:rsidRDefault="00F30FB8">
      <w:pPr>
        <w:pStyle w:val="Zkladntext100"/>
        <w:shd w:val="clear" w:color="auto" w:fill="auto"/>
        <w:spacing w:line="218" w:lineRule="auto"/>
        <w:ind w:firstLine="0"/>
      </w:pPr>
      <w:r>
        <w:t>jsem velmi ráda, že jste mi napsal. Dáváte mi svým dopi</w:t>
      </w:r>
      <w:r>
        <w:softHyphen/>
        <w:t>sem příležitost vysvětlit nedorozumění ve věci velmi váž</w:t>
      </w:r>
      <w:r>
        <w:softHyphen/>
        <w:t>né. Myslím, že tato věc nezajímá dnes pouze nás dva* nýbrž celý národ. Píše</w:t>
      </w:r>
      <w:r>
        <w:t>te, zdali mi není jasno... atd. Ale ovšem, že je mi jasno. Neboť v meritu věci jsme zajedno, to jste neshledal? Vy snad jste optimista a já trochu pesi</w:t>
      </w:r>
      <w:r>
        <w:softHyphen/>
        <w:t>mističtější. Mluví-li sadař o svých stromech, nemá na mysli jenom zdravé stromky, pokud je to dobrý sa</w:t>
      </w:r>
      <w:r>
        <w:softHyphen/>
        <w:t>d</w:t>
      </w:r>
      <w:r>
        <w:t>ař. Nýbrž chvěje se o všechny své stromky a protože zná nebezpečí různých pohrom, mnišek, plísní a chorob, pečuje a dbá, aby se každý z jeho stromků nějaké po</w:t>
      </w:r>
      <w:r>
        <w:softHyphen/>
        <w:t>hromě vyhnul. Samozřejmě jsou to všechny jeho stromky, ale touží především, aby byly zdravé, pevn</w:t>
      </w:r>
      <w:r>
        <w:t>é a užitečné.</w:t>
      </w:r>
    </w:p>
    <w:p w:rsidR="00500724" w:rsidRDefault="00F30FB8">
      <w:pPr>
        <w:pStyle w:val="Zkladntext100"/>
        <w:shd w:val="clear" w:color="auto" w:fill="auto"/>
        <w:spacing w:line="218" w:lineRule="auto"/>
        <w:ind w:firstLine="240"/>
      </w:pPr>
      <w:r>
        <w:t>Každá maminka, myslí-li na svoje děti, nemyslí jenom na jejich dobré vlastnosti, pokud je to dobrá maminka. Na</w:t>
      </w:r>
      <w:r>
        <w:softHyphen/>
        <w:t xml:space="preserve">opak, chvěje se před všemi nebezpečími, kterým je dítě vysazeno. Zkoumá děti cizí, s nimiž se stýká, dává pozor na každý oběd, aby </w:t>
      </w:r>
      <w:r>
        <w:t>byl výživný, sklání se nad každou úlohou, aby byla pečlivě upravena, a sleduje tiše a pozor</w:t>
      </w:r>
      <w:r>
        <w:softHyphen/>
        <w:t>ně každý záchvěv jednání svého dítěte, poslouchajíc ně</w:t>
      </w:r>
      <w:r>
        <w:softHyphen/>
        <w:t>jakým šestým smyslem tlukotu jeho srdce, aby mohla při</w:t>
      </w:r>
      <w:r>
        <w:softHyphen/>
        <w:t>spěchat na pomoc, kdyby trpělo. Samozřejmě jsou to jej</w:t>
      </w:r>
      <w:r>
        <w:t>í děti. Ale především se sn; “í, aby to byly dobré děti.</w:t>
      </w:r>
    </w:p>
    <w:p w:rsidR="00500724" w:rsidRDefault="00F30FB8">
      <w:pPr>
        <w:pStyle w:val="Zkladntext100"/>
        <w:shd w:val="clear" w:color="auto" w:fill="auto"/>
        <w:spacing w:line="218" w:lineRule="auto"/>
        <w:ind w:firstLine="240"/>
      </w:pPr>
      <w:r>
        <w:t>Ovšem, že potřebujeme tuto krásnou inspiraci: Jsem Čech, v české zemi jsem se narodil, v klínu těchto hor byla kolébka mých předků a bude dále. Jsem však neskromná. Mně toto nestačí. To je mi samozře</w:t>
      </w:r>
      <w:r>
        <w:t>jmé. Tuto skuteč</w:t>
      </w:r>
      <w:r>
        <w:softHyphen/>
        <w:t>nost: jJsem Čech a zůstanu jím na věky# považuji za samozřejmou. To není žádný výkon, to je naprostá,, holá a jasná povinnost nás všech. Žádám k tomu ještě něco navíc: abychom naplnili pojem svého češství tím nejčest</w:t>
      </w:r>
      <w:r>
        <w:softHyphen/>
        <w:t xml:space="preserve">nějším, nejkrásnějším </w:t>
      </w:r>
      <w:r>
        <w:t>a nejryzejším obsahem. Tvrdím, že Češi po sta let tento výraz mají. Je vypracován v jejich kultuře i v jejich soukromém chápání života. Je pod sou</w:t>
      </w:r>
      <w:r>
        <w:softHyphen/>
        <w:t>hrnným názvem &gt;česká povaha# krásným majetkem nás všech. Naše dějiny a lidé v nich vykrysfalisovali v tomto k</w:t>
      </w:r>
      <w:r>
        <w:t>outě střední Evropy v něco nesmírně líbezného, svébytné</w:t>
      </w:r>
      <w:r>
        <w:softHyphen/>
        <w:t>ho a samorostlého. Tvrdím a nikdy to tvrdit nepřestanu: především tuto úlohu máme: zachovat se.</w:t>
      </w:r>
    </w:p>
    <w:p w:rsidR="00500724" w:rsidRDefault="00F30FB8">
      <w:pPr>
        <w:pStyle w:val="Zkladntext100"/>
        <w:shd w:val="clear" w:color="auto" w:fill="auto"/>
        <w:spacing w:line="218" w:lineRule="auto"/>
        <w:ind w:firstLine="240"/>
      </w:pPr>
      <w:r>
        <w:t xml:space="preserve">Možná, že se vám zdá, že kladu důraz na věc podřadnou a nevšímám si dosti věci důležitější ve svém hodnocení hodnot. Dělám to proto, že jsem přesvědčena o tom, </w:t>
      </w:r>
      <w:r>
        <w:rPr>
          <w:b/>
          <w:bCs/>
          <w:sz w:val="19"/>
          <w:szCs w:val="19"/>
        </w:rPr>
        <w:t xml:space="preserve">že tyto </w:t>
      </w:r>
      <w:r>
        <w:t xml:space="preserve">dvě vlastnosti: být Cechem a být slušným člověkem, jsou nerozlučně spojeny právě v </w:t>
      </w:r>
      <w:r>
        <w:t>dnešní době. Považuji to druhé za obtížnější, proto za důležitější. To snad je celý rozpor mezi námi.</w:t>
      </w:r>
    </w:p>
    <w:p w:rsidR="00500724" w:rsidRDefault="00F30FB8">
      <w:pPr>
        <w:pStyle w:val="Zkladntext100"/>
        <w:shd w:val="clear" w:color="auto" w:fill="auto"/>
        <w:spacing w:line="218" w:lineRule="auto"/>
        <w:ind w:firstLine="240"/>
        <w:sectPr w:rsidR="00500724">
          <w:footnotePr>
            <w:numFmt w:val="chicago"/>
            <w:numRestart w:val="eachPage"/>
          </w:footnotePr>
          <w:pgSz w:w="11909" w:h="16834"/>
          <w:pgMar w:top="1573" w:right="1106" w:bottom="700" w:left="439" w:header="0" w:footer="3" w:gutter="0"/>
          <w:cols w:num="2" w:space="130"/>
          <w:noEndnote/>
          <w:docGrid w:linePitch="360"/>
        </w:sectPr>
      </w:pPr>
      <w:r>
        <w:t>Snad jste se dobře kolem sebe nerozhlédl. A možná také, že se mýlím já. Zdá se mi však, že jsou mezi námi lidé, kteří si předs</w:t>
      </w:r>
      <w:r>
        <w:t>tavují, že se staneme dobrými Čechy, bude</w:t>
      </w:r>
      <w:r>
        <w:softHyphen/>
        <w:t>me-li cizí povahu překládat do češtiny, abych tak řekla.</w:t>
      </w:r>
    </w:p>
    <w:p w:rsidR="00500724" w:rsidRDefault="00F30FB8">
      <w:pPr>
        <w:pStyle w:val="Zkladntext20"/>
        <w:shd w:val="clear" w:color="auto" w:fill="auto"/>
        <w:spacing w:line="194" w:lineRule="auto"/>
        <w:ind w:firstLine="0"/>
        <w:rPr>
          <w:sz w:val="20"/>
          <w:szCs w:val="20"/>
        </w:rPr>
      </w:pPr>
      <w:r>
        <w:rPr>
          <w:b/>
          <w:bCs/>
          <w:sz w:val="20"/>
          <w:szCs w:val="20"/>
        </w:rPr>
        <w:t>2a je třeba v tomto národu vypěstovat vlastnosti, kterých nemá. To považuji za neslušné vůči Čechům i vůči Něm</w:t>
      </w:r>
      <w:r>
        <w:rPr>
          <w:b/>
          <w:bCs/>
          <w:sz w:val="20"/>
          <w:szCs w:val="20"/>
        </w:rPr>
        <w:softHyphen/>
        <w:t>cům. Mimo to se mi zdá, že to je dokonale zbyt</w:t>
      </w:r>
      <w:r>
        <w:rPr>
          <w:b/>
          <w:bCs/>
          <w:sz w:val="20"/>
          <w:szCs w:val="20"/>
        </w:rPr>
        <w:t>ečné, proto</w:t>
      </w:r>
      <w:r>
        <w:rPr>
          <w:b/>
          <w:bCs/>
          <w:sz w:val="20"/>
          <w:szCs w:val="20"/>
        </w:rPr>
        <w:softHyphen/>
        <w:t>že naše minulost nám dává dosti ukazovadel ke zdroji dobrá české povahy. Tady se jenom vznáší několik ne</w:t>
      </w:r>
      <w:r>
        <w:rPr>
          <w:b/>
          <w:bCs/>
          <w:sz w:val="20"/>
          <w:szCs w:val="20"/>
        </w:rPr>
        <w:softHyphen/>
        <w:t>zdravých nedorozumění: mezi Čechy a Němci. Kdykoli my češi hovoříme o své minulosti, tradici a národní po</w:t>
      </w:r>
      <w:r>
        <w:rPr>
          <w:b/>
          <w:bCs/>
          <w:sz w:val="20"/>
          <w:szCs w:val="20"/>
        </w:rPr>
        <w:softHyphen/>
        <w:t xml:space="preserve">vaze, zdá se Němcům, že narážíme </w:t>
      </w:r>
      <w:r>
        <w:rPr>
          <w:b/>
          <w:bCs/>
          <w:sz w:val="20"/>
          <w:szCs w:val="20"/>
        </w:rPr>
        <w:t>na svoji bezprostřední minulost v jakémsi tajuplném spiklenectví. Je to nedoroz</w:t>
      </w:r>
      <w:r>
        <w:rPr>
          <w:b/>
          <w:bCs/>
          <w:sz w:val="20"/>
          <w:szCs w:val="20"/>
        </w:rPr>
        <w:softHyphen/>
        <w:t xml:space="preserve">umění, které, jak se mi zdá, kalí jasný vzduch mezi námi, jejž potřebujeme jako soli. Naše minulost je daleká, slavná minulost krásného národa, a dovoláváme-li se jí, nečiníme </w:t>
      </w:r>
      <w:r>
        <w:rPr>
          <w:b/>
          <w:bCs/>
          <w:sz w:val="20"/>
          <w:szCs w:val="20"/>
        </w:rPr>
        <w:t>íak, abychom se vraceli, nýbrž abychom šli po své národ</w:t>
      </w:r>
      <w:r>
        <w:rPr>
          <w:b/>
          <w:bCs/>
          <w:sz w:val="20"/>
          <w:szCs w:val="20"/>
        </w:rPr>
        <w:softHyphen/>
      </w:r>
      <w:r>
        <w:rPr>
          <w:b/>
          <w:bCs/>
        </w:rPr>
        <w:t xml:space="preserve">ní </w:t>
      </w:r>
      <w:r>
        <w:rPr>
          <w:b/>
          <w:bCs/>
          <w:sz w:val="20"/>
          <w:szCs w:val="20"/>
        </w:rPr>
        <w:t>cestě kupředu. Zachovat a klestit si tuto národní cestu mi připadá samozřejmým úkolem každého Čecha. Za</w:t>
      </w:r>
      <w:r>
        <w:rPr>
          <w:b/>
          <w:bCs/>
          <w:sz w:val="20"/>
          <w:szCs w:val="20"/>
        </w:rPr>
        <w:softHyphen/>
        <w:t>chovávat při tom vlastní výraz a vlastního národ</w:t>
      </w:r>
      <w:r>
        <w:rPr>
          <w:b/>
          <w:bCs/>
          <w:sz w:val="20"/>
          <w:szCs w:val="20"/>
        </w:rPr>
        <w:softHyphen/>
        <w:t>ního ducha, vlastní povahové zákony a vlastn</w:t>
      </w:r>
      <w:r>
        <w:rPr>
          <w:b/>
          <w:bCs/>
          <w:sz w:val="20"/>
          <w:szCs w:val="20"/>
        </w:rPr>
        <w:t>í mravní zákon: to považuji za nejpřednější povinnost každého Čecha.</w:t>
      </w:r>
    </w:p>
    <w:p w:rsidR="00500724" w:rsidRDefault="00F30FB8">
      <w:pPr>
        <w:pStyle w:val="Zkladntext20"/>
        <w:shd w:val="clear" w:color="auto" w:fill="auto"/>
        <w:spacing w:after="80" w:line="197" w:lineRule="auto"/>
        <w:ind w:firstLine="220"/>
        <w:rPr>
          <w:sz w:val="20"/>
          <w:szCs w:val="20"/>
        </w:rPr>
      </w:pPr>
      <w:r>
        <w:rPr>
          <w:b/>
          <w:bCs/>
          <w:sz w:val="20"/>
          <w:szCs w:val="20"/>
        </w:rPr>
        <w:t>Naše nedorozumění není tedy, jak je vidět, vlastně žád</w:t>
      </w:r>
      <w:r>
        <w:rPr>
          <w:b/>
          <w:bCs/>
          <w:sz w:val="20"/>
          <w:szCs w:val="20"/>
        </w:rPr>
        <w:softHyphen/>
        <w:t>né nedorozumění. Trochu viny za ně beru na sebe, protože snad neumím jasně psát, a trochu viny, prosím, vezměte i vy, protože snad n</w:t>
      </w:r>
      <w:r>
        <w:rPr>
          <w:b/>
          <w:bCs/>
          <w:sz w:val="20"/>
          <w:szCs w:val="20"/>
        </w:rPr>
        <w:t>eumíte jasně číst. Ostatek připočteme letopočtu, který píšeme. Děkuji Vám za zájem a účast i za to, že jste opravil nejasnosti mé formulace.</w:t>
      </w:r>
    </w:p>
    <w:p w:rsidR="00500724" w:rsidRDefault="00F30FB8">
      <w:pPr>
        <w:pStyle w:val="Zkladntext20"/>
        <w:shd w:val="clear" w:color="auto" w:fill="auto"/>
        <w:spacing w:line="197" w:lineRule="auto"/>
        <w:ind w:firstLine="0"/>
        <w:jc w:val="center"/>
        <w:rPr>
          <w:sz w:val="20"/>
          <w:szCs w:val="20"/>
        </w:rPr>
      </w:pPr>
      <w:r>
        <w:rPr>
          <w:b/>
          <w:bCs/>
          <w:sz w:val="20"/>
          <w:szCs w:val="20"/>
        </w:rPr>
        <w:t>Vaše</w:t>
      </w:r>
    </w:p>
    <w:p w:rsidR="00500724" w:rsidRDefault="00F30FB8">
      <w:pPr>
        <w:pStyle w:val="Zkladntext100"/>
        <w:shd w:val="clear" w:color="auto" w:fill="auto"/>
        <w:spacing w:after="160" w:line="206" w:lineRule="auto"/>
        <w:ind w:firstLine="0"/>
        <w:jc w:val="right"/>
        <w:rPr>
          <w:sz w:val="19"/>
          <w:szCs w:val="19"/>
        </w:rPr>
      </w:pPr>
      <w:r>
        <w:rPr>
          <w:b/>
          <w:bCs/>
          <w:i/>
          <w:iCs/>
          <w:sz w:val="19"/>
          <w:szCs w:val="19"/>
        </w:rPr>
        <w:t>Milena Jesenská</w:t>
      </w:r>
    </w:p>
    <w:p w:rsidR="00500724" w:rsidRDefault="00F30FB8">
      <w:pPr>
        <w:pStyle w:val="Jin0"/>
        <w:pBdr>
          <w:bottom w:val="single" w:sz="4" w:space="0" w:color="auto"/>
        </w:pBdr>
        <w:shd w:val="clear" w:color="auto" w:fill="auto"/>
        <w:spacing w:after="280"/>
        <w:ind w:firstLine="0"/>
        <w:jc w:val="left"/>
        <w:rPr>
          <w:sz w:val="46"/>
          <w:szCs w:val="46"/>
        </w:rPr>
      </w:pPr>
      <w:r>
        <w:rPr>
          <w:b/>
          <w:bCs/>
          <w:sz w:val="46"/>
          <w:szCs w:val="46"/>
        </w:rPr>
        <w:t>dopisy</w:t>
      </w:r>
    </w:p>
    <w:p w:rsidR="00500724" w:rsidRDefault="00F30FB8">
      <w:pPr>
        <w:pStyle w:val="Zkladntext100"/>
        <w:shd w:val="clear" w:color="auto" w:fill="auto"/>
        <w:spacing w:line="312" w:lineRule="auto"/>
        <w:ind w:left="1200" w:right="1300" w:firstLine="200"/>
        <w:jc w:val="left"/>
      </w:pPr>
      <w:r>
        <w:rPr>
          <w:b/>
          <w:bCs/>
        </w:rPr>
        <w:t xml:space="preserve">Slovenky odpovídají Slovence </w:t>
      </w:r>
      <w:r>
        <w:t>Redakcii Přítomnosti.</w:t>
      </w:r>
    </w:p>
    <w:p w:rsidR="00500724" w:rsidRDefault="00F30FB8">
      <w:pPr>
        <w:pStyle w:val="Zkladntext100"/>
        <w:shd w:val="clear" w:color="auto" w:fill="auto"/>
        <w:spacing w:after="60" w:line="173" w:lineRule="auto"/>
        <w:ind w:firstLine="0"/>
      </w:pPr>
      <w:r>
        <w:t>. V čísle Vášho časopisu uveřejňujete »Odpověď Slovence*. Už podřa tej odpovědi dá sa vytušit’, jaký bol obsah dopisu. Verte, že i mňa zabolelo srdce nad tým, že ešte i teraz, keď nas už delia Státně hranice, trvá nenávist k Čechom. Věru sa z tej nenávisti</w:t>
      </w:r>
      <w:r>
        <w:t xml:space="preserve"> ani jeden Slovák nenajie, ani jedna slovenská škola nepostaví, ani jedna cesta nespraví. Namiesto, aby sa starali, ako pomoct slovenskému národu, starajú sa len o to, čím by mohli český národ potupit. </w:t>
      </w:r>
      <w:r>
        <w:rPr>
          <w:lang w:val="en-US" w:eastAsia="en-US" w:bidi="en-US"/>
        </w:rPr>
        <w:t xml:space="preserve">Tie </w:t>
      </w:r>
      <w:r>
        <w:t xml:space="preserve">urážky nemajú konca — kraja. Trebárs som Slovenka </w:t>
      </w:r>
      <w:r>
        <w:t>a k tomu z Turca, ctím si vysoká kultúrnu vyspělost’ Čechov a keď počujem urážlivé vyroky na český národ, bolí ma to vermi. Tým viac, keď vidím, že urážky odplácate prianím šťastnej budúcnosti slovenskému národu. Vaša šřachetná odpověď Slovenke ma prinútil</w:t>
      </w:r>
      <w:r>
        <w:t>a, aby som prejavila svoje sympatie k drahému národu českému.</w:t>
      </w:r>
    </w:p>
    <w:p w:rsidR="00500724" w:rsidRDefault="00F30FB8">
      <w:pPr>
        <w:pStyle w:val="Zkladntext100"/>
        <w:shd w:val="clear" w:color="auto" w:fill="auto"/>
        <w:tabs>
          <w:tab w:val="left" w:pos="2596"/>
        </w:tabs>
        <w:spacing w:after="160" w:line="163" w:lineRule="auto"/>
        <w:ind w:left="940" w:firstLine="0"/>
        <w:rPr>
          <w:sz w:val="19"/>
          <w:szCs w:val="19"/>
        </w:rPr>
      </w:pPr>
      <w:r>
        <w:rPr>
          <w:b/>
          <w:bCs/>
          <w:sz w:val="19"/>
          <w:szCs w:val="19"/>
        </w:rPr>
        <w:t>S úctou</w:t>
      </w:r>
      <w:r>
        <w:rPr>
          <w:b/>
          <w:bCs/>
          <w:sz w:val="19"/>
          <w:szCs w:val="19"/>
        </w:rPr>
        <w:tab/>
        <w:t>M. Ch., učitelka zo Slovenska,</w:t>
      </w:r>
    </w:p>
    <w:p w:rsidR="00500724" w:rsidRDefault="00F30FB8">
      <w:pPr>
        <w:pStyle w:val="Zkladntext100"/>
        <w:shd w:val="clear" w:color="auto" w:fill="auto"/>
        <w:spacing w:line="295" w:lineRule="auto"/>
        <w:ind w:left="1380" w:right="1300" w:hanging="80"/>
        <w:jc w:val="left"/>
      </w:pPr>
      <w:r>
        <w:rPr>
          <w:b/>
          <w:bCs/>
        </w:rPr>
        <w:t xml:space="preserve">Odpověď Hlínkovu gardistovi </w:t>
      </w:r>
      <w:r>
        <w:t>P. T. Redakcii »Přítomnosti«</w:t>
      </w:r>
    </w:p>
    <w:p w:rsidR="00500724" w:rsidRDefault="00F30FB8">
      <w:pPr>
        <w:pStyle w:val="Zkladntext100"/>
        <w:shd w:val="clear" w:color="auto" w:fill="auto"/>
        <w:spacing w:line="173" w:lineRule="auto"/>
        <w:ind w:firstLine="220"/>
      </w:pPr>
      <w:r>
        <w:t>Vo Vašom časopise sa rozvinula akási politická debata medzi Hlinkovým gardistom a Cechmi. Nie som politikom a ako každý mladý člověk posudzujem všetko skór citom než roz- umom a preto prosím, aby ste aj tomuto citu dovolili slovo vo svojom rámci, ktorým do</w:t>
      </w:r>
      <w:r>
        <w:t>končujete obraz bývalého spolu- nažívania Čechov a Slovákov. Statistiky z tej či onej strany nie sú účelom mojich úvah. Boly chyby. A azda nikto, ani rozumný Slovák neverí, že boly úmyselné. Neveríme ani tomu, že dnešně Slovensko postupuje bez chýb. Kto má</w:t>
      </w:r>
      <w:r>
        <w:t xml:space="preserve"> tú odvahu tvrdit’, že budúce Slovensko bude stopercentne spokojné s tým, čo sa dnes robí? Dnešné Slovensko bude za 20 rokov staré, </w:t>
      </w:r>
      <w:r>
        <w:rPr>
          <w:lang w:val="en-US" w:eastAsia="en-US" w:bidi="en-US"/>
        </w:rPr>
        <w:t xml:space="preserve">pride </w:t>
      </w:r>
      <w:r>
        <w:t>mladá generácia a vlnenie názorov sa bude opakovať. My všetci, ktorí máme rádi Slovensko, túto malú prírodnú zem, tvor</w:t>
      </w:r>
      <w:r>
        <w:t>iacu přechod medzi Západom a Orientom, túto zem protikladov a kvasenia (a máme ju rádi najma pře tieto vlast</w:t>
      </w:r>
      <w:r>
        <w:softHyphen/>
        <w:t xml:space="preserve">nosti!) prajeme mu, aby volilo v dnešnej ťažkej době </w:t>
      </w:r>
      <w:r>
        <w:rPr>
          <w:b/>
          <w:bCs/>
        </w:rPr>
        <w:t xml:space="preserve">to </w:t>
      </w:r>
      <w:r>
        <w:t>najlepšie.</w:t>
      </w:r>
    </w:p>
    <w:p w:rsidR="00500724" w:rsidRDefault="00F30FB8">
      <w:pPr>
        <w:pStyle w:val="Zkladntext100"/>
        <w:shd w:val="clear" w:color="auto" w:fill="auto"/>
        <w:spacing w:line="180" w:lineRule="auto"/>
        <w:ind w:firstLine="200"/>
      </w:pPr>
      <w:r>
        <w:t>Je veta Čechov, ktorým sa na Slovensku bezdůvodné veTmi ukřivdilo. Mám tu na mys</w:t>
      </w:r>
      <w:r>
        <w:t>li tých najnevinnéjších zo všetkých nevinných: děti tých prvých exponovaných úradní- kov, ktorí ako prvá etapa přišli r. 1918 a na jar 1919 na Slo</w:t>
      </w:r>
      <w:r>
        <w:softHyphen/>
        <w:t xml:space="preserve">vensko. Tieto děti, ktoré s rodičmi přišly ako 4—5 ročné </w:t>
      </w:r>
      <w:r>
        <w:rPr>
          <w:b/>
          <w:bCs/>
        </w:rPr>
        <w:t xml:space="preserve">a </w:t>
      </w:r>
      <w:r>
        <w:t>majú všetky školy i ostatně štúdium len slovenské,</w:t>
      </w:r>
      <w:r>
        <w:t xml:space="preserve"> takže ma- terinskú (českú) řeč vóbec neovládajú, boly teraz po 20 rokoch, ako dospělí řudia takrečeno vyhodení zo Slovenska preto, že sú rodom Češi.</w:t>
      </w:r>
    </w:p>
    <w:p w:rsidR="00500724" w:rsidRDefault="00F30FB8">
      <w:pPr>
        <w:pStyle w:val="Zkladntext100"/>
        <w:shd w:val="clear" w:color="auto" w:fill="auto"/>
        <w:spacing w:line="175" w:lineRule="auto"/>
        <w:ind w:firstLine="200"/>
      </w:pPr>
      <w:r>
        <w:t>Patřím medzi tých Čechov, ktorí nevedia po česky. A v mo- jom obore je věru nedostatok kvalifikovaných sil</w:t>
      </w:r>
      <w:r>
        <w:t xml:space="preserve"> na Sloven</w:t>
      </w:r>
      <w:r>
        <w:softHyphen/>
        <w:t>sku. My, děti vychované Slovenskom, nie sme politicky vinné. V 4—5 rokoch sme preca nemohli mať nějaké protislovenské smýšranie a postupné tak ako je každé dečko vždy spravodlivé vo svojom cite, boli sme najúprimnejšími autonomistami. My, děti p</w:t>
      </w:r>
      <w:r>
        <w:t>rvých exponovaných úradníkov sme sa cítili byť Slo- vákmi proti tým, ktorí přišli s rodičmi v pozdéjšej době. Tvořili sme blok, ktorý hovořil po slovenský nielen v škole, tež aj doma, na rozdiel od mnohých kolegov rodených Slo</w:t>
      </w:r>
      <w:r>
        <w:softHyphen/>
        <w:t>vákov, ktorí po Slovensky hov</w:t>
      </w:r>
      <w:r>
        <w:t xml:space="preserve">ořili len v škole a doma sa cvičili v maďarčine </w:t>
      </w:r>
      <w:r>
        <w:rPr>
          <w:lang w:val="en-US" w:eastAsia="en-US" w:bidi="en-US"/>
        </w:rPr>
        <w:t xml:space="preserve">(pre </w:t>
      </w:r>
      <w:r>
        <w:t>všetky případy!). Uvádzam jeden z príkladov, kde oktavánka p.. .ho reál. gymnasia kúpila si (z prinútenia!) od Matice Slovenskej Kukučinove spisy a hněď po maturitě ich pod cenou předávala. (Dnes je slov</w:t>
      </w:r>
      <w:r>
        <w:t>. učitelkou.), Vnútorná reč u nich je pravda maďarská. Maďarské sú i knihy v ich knižnici a bez časopisov »Kassai Ujság« a »Szinházi élet« nemohly existovat’. — Napokon Statistika by mohla ukázat’, či slovenský knižný trh stúpol či poklesol odchodom Čechov</w:t>
      </w:r>
      <w:r>
        <w:t xml:space="preserve"> zo Slovenska (viď výstavu: »20 rokov slov. knihy«),</w:t>
      </w:r>
    </w:p>
    <w:p w:rsidR="00500724" w:rsidRDefault="00F30FB8">
      <w:pPr>
        <w:pStyle w:val="Zkladntext100"/>
        <w:shd w:val="clear" w:color="auto" w:fill="auto"/>
        <w:spacing w:line="175" w:lineRule="auto"/>
        <w:ind w:firstLine="200"/>
      </w:pPr>
      <w:r>
        <w:t xml:space="preserve">V odpovediach, ktoré doposiaf došly na adresu člena HG sa zdórazňuje, že Češi sa vóbec nehnevajú. Už aj to, že »Přítomnost« vytlačila list gardistov, je dókazom křudného </w:t>
      </w:r>
      <w:r>
        <w:rPr>
          <w:b/>
          <w:bCs/>
        </w:rPr>
        <w:t xml:space="preserve">a </w:t>
      </w:r>
      <w:r>
        <w:t>pokojného stanoviska Čechov. Da</w:t>
      </w:r>
      <w:r>
        <w:t>lší dókaz rozumného názoru na všetko zbadáme pri porovnaní obsahu článku -fp- Roz</w:t>
      </w:r>
      <w:r>
        <w:softHyphen/>
        <w:t>loučení se Slovenskem* z čísla 14. a článku: »Na rozlúčku s Čechmi« uverejnenom minulý mesiac v časopise »Nástup«, Porovnanie týchto dvoch článkov hovoří samo. — Aj túto prip</w:t>
      </w:r>
      <w:r>
        <w:t xml:space="preserve">omienku adresujem Slovákom. A nie je azda dókazom nášho nezměněného priatefstva i to, že ešte aj dnes v. Kun- cířovej revui »Rád« najdeme slovenskú stať od </w:t>
      </w:r>
      <w:r>
        <w:rPr>
          <w:lang w:val="en-US" w:eastAsia="en-US" w:bidi="en-US"/>
        </w:rPr>
        <w:t xml:space="preserve">J. </w:t>
      </w:r>
      <w:r>
        <w:t>K. Smálova? Od toho Smálova, ktorý ako žurnalista (»Slov. Pravda* a pod.), řečník, z káncřa a vša</w:t>
      </w:r>
      <w:r>
        <w:t>de inde hlásal tak smělo, nekompromisně stanovisko protičeské!</w:t>
      </w:r>
    </w:p>
    <w:p w:rsidR="00500724" w:rsidRDefault="00F30FB8">
      <w:pPr>
        <w:pStyle w:val="Zkladntext100"/>
        <w:shd w:val="clear" w:color="auto" w:fill="auto"/>
        <w:spacing w:line="180" w:lineRule="auto"/>
        <w:ind w:firstLine="200"/>
      </w:pPr>
      <w:r>
        <w:t xml:space="preserve">Z týchto niekoťkých úryvkov vidíme, že sa nehnevá nilč </w:t>
      </w:r>
      <w:r>
        <w:rPr>
          <w:b/>
          <w:bCs/>
        </w:rPr>
        <w:t xml:space="preserve">v </w:t>
      </w:r>
      <w:r>
        <w:t>Cechách a nehneváme sa ani my — mladí — ktorých Slo</w:t>
      </w:r>
      <w:r>
        <w:softHyphen/>
        <w:t>vensko vychovalo a potom vyhostilo.</w:t>
      </w:r>
    </w:p>
    <w:p w:rsidR="00500724" w:rsidRDefault="00F30FB8">
      <w:pPr>
        <w:pStyle w:val="Zkladntext100"/>
        <w:shd w:val="clear" w:color="auto" w:fill="auto"/>
        <w:tabs>
          <w:tab w:val="left" w:pos="3398"/>
        </w:tabs>
        <w:spacing w:line="173" w:lineRule="auto"/>
        <w:ind w:firstLine="200"/>
        <w:sectPr w:rsidR="00500724">
          <w:footnotePr>
            <w:numFmt w:val="chicago"/>
            <w:numRestart w:val="eachPage"/>
          </w:footnotePr>
          <w:pgSz w:w="11909" w:h="16834"/>
          <w:pgMar w:top="1616" w:right="792" w:bottom="1482" w:left="744" w:header="0" w:footer="3" w:gutter="0"/>
          <w:cols w:num="2" w:space="149"/>
          <w:noEndnote/>
          <w:docGrid w:linePitch="360"/>
        </w:sectPr>
      </w:pPr>
      <w:r>
        <w:t>My, děti prvých úrad</w:t>
      </w:r>
      <w:r>
        <w:t xml:space="preserve">níkov, ktorí přišli Slovensku pomoct! </w:t>
      </w:r>
      <w:r>
        <w:rPr>
          <w:b/>
          <w:bCs/>
        </w:rPr>
        <w:t xml:space="preserve">v </w:t>
      </w:r>
      <w:r>
        <w:t>době jeho rekonvalescencie v r. 1918—1919, máme na všetko svoj vlastný názor, pretože všetko poznáme, pretože poznáme až do základov psychu slovenského národa a pretože — ju milujeme.</w:t>
      </w:r>
      <w:r>
        <w:tab/>
        <w:t>Zénon Kremešnický</w:t>
      </w:r>
    </w:p>
    <w:p w:rsidR="00500724" w:rsidRDefault="00500724">
      <w:pPr>
        <w:spacing w:before="105" w:after="105"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616" w:right="0" w:bottom="1482" w:left="0" w:header="0" w:footer="3" w:gutter="0"/>
          <w:cols w:space="720"/>
          <w:noEndnote/>
          <w:docGrid w:linePitch="360"/>
        </w:sectPr>
      </w:pP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260"/>
        <w:ind w:left="440" w:firstLine="0"/>
        <w:jc w:val="left"/>
        <w:rPr>
          <w:sz w:val="66"/>
          <w:szCs w:val="66"/>
        </w:rPr>
      </w:pPr>
      <w:r>
        <w:rPr>
          <w:rFonts w:ascii="Arial" w:eastAsia="Arial" w:hAnsi="Arial" w:cs="Arial"/>
          <w:sz w:val="66"/>
          <w:szCs w:val="66"/>
        </w:rPr>
        <w:t>POSTAVY ČESKÝCH DĚJIN</w:t>
      </w:r>
    </w:p>
    <w:p w:rsidR="00500724" w:rsidRDefault="00F30FB8">
      <w:pPr>
        <w:pStyle w:val="Zkladntext20"/>
        <w:pBdr>
          <w:top w:val="single" w:sz="4" w:space="0" w:color="auto"/>
          <w:left w:val="single" w:sz="4" w:space="0" w:color="auto"/>
          <w:bottom w:val="single" w:sz="4" w:space="0" w:color="auto"/>
          <w:right w:val="single" w:sz="4" w:space="0" w:color="auto"/>
        </w:pBdr>
        <w:shd w:val="clear" w:color="auto" w:fill="auto"/>
        <w:spacing w:after="60" w:line="336" w:lineRule="auto"/>
        <w:ind w:left="440" w:right="380" w:firstLine="0"/>
        <w:rPr>
          <w:sz w:val="20"/>
          <w:szCs w:val="20"/>
        </w:rPr>
      </w:pPr>
      <w:r>
        <w:rPr>
          <w:b/>
          <w:bCs/>
          <w:sz w:val="20"/>
          <w:szCs w:val="20"/>
        </w:rPr>
        <w:t>PŘEHLÍDKA JEDNOHO STA TVÁŘÍ, OD PSEM YSIA ORÁČE AŽ PO T. G. MASARYKA, KTERÁ NAPLŇUJE RADOSTÍ A SEBEVĚDOMÍM • KNIHA SLÁVY A NADĚJE!</w:t>
      </w:r>
    </w:p>
    <w:p w:rsidR="00500724" w:rsidRDefault="00F30FB8">
      <w:pPr>
        <w:pStyle w:val="Zkladntext20"/>
        <w:pBdr>
          <w:top w:val="single" w:sz="4" w:space="0" w:color="auto"/>
          <w:left w:val="single" w:sz="4" w:space="0" w:color="auto"/>
          <w:bottom w:val="single" w:sz="4" w:space="0" w:color="auto"/>
          <w:right w:val="single" w:sz="4" w:space="0" w:color="auto"/>
        </w:pBdr>
        <w:shd w:val="clear" w:color="auto" w:fill="auto"/>
        <w:spacing w:after="160" w:line="398" w:lineRule="auto"/>
        <w:ind w:left="440" w:right="380" w:firstLine="0"/>
        <w:rPr>
          <w:sz w:val="20"/>
          <w:szCs w:val="20"/>
        </w:rPr>
        <w:sectPr w:rsidR="00500724">
          <w:footnotePr>
            <w:numFmt w:val="chicago"/>
            <w:numRestart w:val="eachPage"/>
          </w:footnotePr>
          <w:type w:val="continuous"/>
          <w:pgSz w:w="11909" w:h="16834"/>
          <w:pgMar w:top="1616" w:right="792" w:bottom="1482" w:left="744" w:header="0" w:footer="3" w:gutter="0"/>
          <w:cols w:space="720"/>
          <w:noEndnote/>
          <w:docGrid w:linePitch="360"/>
        </w:sectPr>
      </w:pPr>
      <w:r>
        <w:rPr>
          <w:b/>
          <w:bCs/>
          <w:sz w:val="16"/>
          <w:szCs w:val="16"/>
        </w:rPr>
        <w:t xml:space="preserve">Kniha, ve které budete listovat g dojetím. Patří do každé české rodiny a knihovny. V dobách úzkosti, studnice posily a víry, </w:t>
      </w:r>
      <w:r>
        <w:rPr>
          <w:b/>
          <w:bCs/>
        </w:rPr>
        <w:t xml:space="preserve">V </w:t>
      </w:r>
      <w:r>
        <w:rPr>
          <w:b/>
          <w:bCs/>
          <w:sz w:val="20"/>
          <w:szCs w:val="20"/>
        </w:rPr>
        <w:t xml:space="preserve">poloplátěné vazbě K 60.- • V polokožené vazbě K 80.- • Školní vydání ve volných listech v krabici K 7O.« </w:t>
      </w:r>
      <w:r>
        <w:rPr>
          <w:sz w:val="20"/>
          <w:szCs w:val="20"/>
        </w:rPr>
        <w:t xml:space="preserve">DODÁ KAZDY KNIHKUPEC • </w:t>
      </w:r>
      <w:r>
        <w:rPr>
          <w:b/>
          <w:bCs/>
          <w:sz w:val="20"/>
          <w:szCs w:val="20"/>
        </w:rPr>
        <w:t>N</w:t>
      </w:r>
      <w:r>
        <w:rPr>
          <w:b/>
          <w:bCs/>
          <w:sz w:val="20"/>
          <w:szCs w:val="20"/>
        </w:rPr>
        <w:t>AKLADATELSTVÍ ORBIS • PRAHA XII. • FOCHOVA 62</w:t>
      </w:r>
    </w:p>
    <w:p w:rsidR="00500724" w:rsidRDefault="00F30FB8">
      <w:pPr>
        <w:pStyle w:val="Jin0"/>
        <w:framePr w:w="6950" w:h="1747" w:wrap="none" w:vAnchor="text" w:hAnchor="page" w:x="3666" w:y="299"/>
        <w:shd w:val="clear" w:color="auto" w:fill="auto"/>
        <w:ind w:firstLine="0"/>
        <w:jc w:val="left"/>
        <w:rPr>
          <w:sz w:val="150"/>
          <w:szCs w:val="150"/>
        </w:rPr>
      </w:pPr>
      <w:r>
        <w:rPr>
          <w:sz w:val="166"/>
          <w:szCs w:val="166"/>
        </w:rPr>
        <w:t xml:space="preserve">vět </w:t>
      </w:r>
      <w:r>
        <w:rPr>
          <w:rFonts w:ascii="Arial" w:eastAsia="Arial" w:hAnsi="Arial" w:cs="Arial"/>
          <w:sz w:val="150"/>
          <w:szCs w:val="150"/>
        </w:rPr>
        <w:t>knih</w:t>
      </w:r>
    </w:p>
    <w:p w:rsidR="00500724" w:rsidRDefault="00F30FB8">
      <w:pPr>
        <w:pStyle w:val="Jin0"/>
        <w:framePr w:w="7200" w:h="446" w:wrap="none" w:vAnchor="text" w:hAnchor="page" w:x="3455" w:y="2046"/>
        <w:shd w:val="clear" w:color="auto" w:fill="auto"/>
        <w:ind w:firstLine="0"/>
        <w:jc w:val="left"/>
        <w:rPr>
          <w:sz w:val="34"/>
          <w:szCs w:val="34"/>
        </w:rPr>
      </w:pPr>
      <w:r>
        <w:rPr>
          <w:rFonts w:ascii="Arial" w:eastAsia="Arial" w:hAnsi="Arial" w:cs="Arial"/>
          <w:b/>
          <w:bCs/>
          <w:sz w:val="34"/>
          <w:szCs w:val="34"/>
        </w:rPr>
        <w:t>KULTURNÍ ZPRAVODAJ</w:t>
      </w:r>
    </w:p>
    <w:p w:rsidR="00500724" w:rsidRDefault="00F30FB8">
      <w:pPr>
        <w:pStyle w:val="Jin0"/>
        <w:framePr w:w="336" w:h="1805" w:wrap="none" w:vAnchor="text" w:hAnchor="page" w:x="10923" w:y="21"/>
        <w:shd w:val="clear" w:color="auto" w:fill="auto"/>
        <w:ind w:firstLine="0"/>
        <w:jc w:val="left"/>
        <w:rPr>
          <w:sz w:val="26"/>
          <w:szCs w:val="26"/>
        </w:rPr>
      </w:pPr>
      <w:r>
        <w:rPr>
          <w:rFonts w:ascii="Arial" w:eastAsia="Arial" w:hAnsi="Arial" w:cs="Arial"/>
          <w:b/>
          <w:bCs/>
          <w:sz w:val="26"/>
          <w:szCs w:val="26"/>
        </w:rPr>
        <w:t>30</w:t>
      </w:r>
    </w:p>
    <w:p w:rsidR="00500724" w:rsidRDefault="00F30FB8">
      <w:pPr>
        <w:pStyle w:val="Jin0"/>
        <w:framePr w:w="336" w:h="1805" w:wrap="none" w:vAnchor="text" w:hAnchor="page" w:x="10923" w:y="21"/>
        <w:shd w:val="clear" w:color="auto" w:fill="auto"/>
        <w:spacing w:line="180" w:lineRule="auto"/>
        <w:ind w:firstLine="0"/>
        <w:jc w:val="left"/>
        <w:rPr>
          <w:sz w:val="26"/>
          <w:szCs w:val="26"/>
        </w:rPr>
      </w:pPr>
      <w:r>
        <w:rPr>
          <w:rFonts w:ascii="Arial" w:eastAsia="Arial" w:hAnsi="Arial" w:cs="Arial"/>
          <w:b/>
          <w:bCs/>
          <w:sz w:val="26"/>
          <w:szCs w:val="26"/>
        </w:rPr>
        <w:t>o</w:t>
      </w:r>
    </w:p>
    <w:p w:rsidR="00500724" w:rsidRDefault="00F30FB8">
      <w:pPr>
        <w:pStyle w:val="Jin0"/>
        <w:framePr w:w="336" w:h="1805" w:wrap="none" w:vAnchor="text" w:hAnchor="page" w:x="10923" w:y="21"/>
        <w:shd w:val="clear" w:color="auto" w:fill="auto"/>
        <w:spacing w:line="180" w:lineRule="auto"/>
        <w:ind w:firstLine="0"/>
        <w:jc w:val="left"/>
        <w:rPr>
          <w:sz w:val="26"/>
          <w:szCs w:val="26"/>
        </w:rPr>
      </w:pPr>
      <w:r>
        <w:rPr>
          <w:rFonts w:ascii="Arial" w:eastAsia="Arial" w:hAnsi="Arial" w:cs="Arial"/>
          <w:b/>
          <w:bCs/>
          <w:sz w:val="26"/>
          <w:szCs w:val="26"/>
        </w:rPr>
        <w:t>o&lt;</w:t>
      </w:r>
    </w:p>
    <w:p w:rsidR="00500724" w:rsidRDefault="00F30FB8">
      <w:pPr>
        <w:pStyle w:val="Jin0"/>
        <w:framePr w:w="336" w:h="1805" w:wrap="none" w:vAnchor="text" w:hAnchor="page" w:x="10923" w:y="21"/>
        <w:shd w:val="clear" w:color="auto" w:fill="auto"/>
        <w:spacing w:after="420" w:line="214" w:lineRule="auto"/>
        <w:ind w:firstLine="0"/>
        <w:jc w:val="left"/>
        <w:rPr>
          <w:sz w:val="26"/>
          <w:szCs w:val="26"/>
        </w:rPr>
      </w:pPr>
      <w:r>
        <w:rPr>
          <w:rFonts w:ascii="Arial" w:eastAsia="Arial" w:hAnsi="Arial" w:cs="Arial"/>
          <w:b/>
          <w:bCs/>
          <w:sz w:val="26"/>
          <w:szCs w:val="26"/>
        </w:rPr>
        <w:t>«o</w:t>
      </w:r>
    </w:p>
    <w:p w:rsidR="00500724" w:rsidRDefault="00F30FB8">
      <w:pPr>
        <w:pStyle w:val="Zkladntext40"/>
        <w:framePr w:w="336" w:h="1805" w:wrap="none" w:vAnchor="text" w:hAnchor="page" w:x="10923" w:y="21"/>
        <w:shd w:val="clear" w:color="auto" w:fill="auto"/>
        <w:spacing w:after="0" w:line="240" w:lineRule="auto"/>
        <w:jc w:val="left"/>
        <w:rPr>
          <w:sz w:val="16"/>
          <w:szCs w:val="16"/>
        </w:rPr>
      </w:pPr>
      <w:r>
        <w:rPr>
          <w:b/>
          <w:bCs/>
          <w:sz w:val="16"/>
          <w:szCs w:val="16"/>
        </w:rPr>
        <w:t>•*</w:t>
      </w:r>
    </w:p>
    <w:p w:rsidR="00500724" w:rsidRDefault="00F30FB8">
      <w:pPr>
        <w:pStyle w:val="Jin0"/>
        <w:framePr w:w="336" w:h="1805" w:wrap="none" w:vAnchor="text" w:hAnchor="page" w:x="10923" w:y="21"/>
        <w:shd w:val="clear" w:color="auto" w:fill="auto"/>
        <w:spacing w:after="220" w:line="197" w:lineRule="auto"/>
        <w:ind w:firstLine="0"/>
        <w:jc w:val="left"/>
        <w:rPr>
          <w:sz w:val="28"/>
          <w:szCs w:val="28"/>
        </w:rPr>
      </w:pPr>
      <w:r>
        <w:rPr>
          <w:rFonts w:ascii="Arial" w:eastAsia="Arial" w:hAnsi="Arial" w:cs="Arial"/>
          <w:sz w:val="28"/>
          <w:szCs w:val="28"/>
        </w:rPr>
        <w:t>5"</w:t>
      </w:r>
    </w:p>
    <w:p w:rsidR="00500724" w:rsidRDefault="00F30FB8">
      <w:pPr>
        <w:pStyle w:val="Jin0"/>
        <w:framePr w:w="365" w:h="403" w:wrap="none" w:vAnchor="text" w:hAnchor="page" w:x="10943" w:y="2060"/>
        <w:shd w:val="clear" w:color="auto" w:fill="auto"/>
        <w:ind w:firstLine="0"/>
        <w:jc w:val="left"/>
        <w:rPr>
          <w:sz w:val="32"/>
          <w:szCs w:val="32"/>
        </w:rPr>
      </w:pPr>
      <w:r>
        <w:rPr>
          <w:sz w:val="32"/>
          <w:szCs w:val="32"/>
        </w:rPr>
        <w:t>21</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77" w:line="14" w:lineRule="exact"/>
      </w:pPr>
    </w:p>
    <w:p w:rsidR="00500724" w:rsidRDefault="00500724">
      <w:pPr>
        <w:spacing w:line="14" w:lineRule="exact"/>
        <w:sectPr w:rsidR="00500724">
          <w:footnotePr>
            <w:numFmt w:val="chicago"/>
            <w:numRestart w:val="eachPage"/>
          </w:footnotePr>
          <w:pgSz w:w="11909" w:h="16834"/>
          <w:pgMar w:top="565" w:right="598" w:bottom="687" w:left="862" w:header="0" w:footer="3" w:gutter="0"/>
          <w:cols w:space="720"/>
          <w:noEndnote/>
          <w:docGrid w:linePitch="360"/>
        </w:sectPr>
      </w:pPr>
    </w:p>
    <w:p w:rsidR="00500724" w:rsidRDefault="00500724">
      <w:pPr>
        <w:spacing w:line="133" w:lineRule="exact"/>
        <w:rPr>
          <w:sz w:val="11"/>
          <w:szCs w:val="11"/>
        </w:rPr>
      </w:pPr>
    </w:p>
    <w:p w:rsidR="00500724" w:rsidRDefault="00500724">
      <w:pPr>
        <w:spacing w:line="14" w:lineRule="exact"/>
        <w:sectPr w:rsidR="00500724">
          <w:footnotePr>
            <w:numFmt w:val="chicago"/>
            <w:numRestart w:val="eachPage"/>
          </w:footnotePr>
          <w:type w:val="continuous"/>
          <w:pgSz w:w="11909" w:h="16834"/>
          <w:pgMar w:top="565" w:right="0" w:bottom="565" w:left="0" w:header="0" w:footer="3" w:gutter="0"/>
          <w:cols w:space="720"/>
          <w:noEndnote/>
          <w:docGrid w:linePitch="360"/>
        </w:sectPr>
      </w:pPr>
    </w:p>
    <w:p w:rsidR="00500724" w:rsidRDefault="00F30FB8">
      <w:pPr>
        <w:spacing w:line="14" w:lineRule="exact"/>
      </w:pPr>
      <w:r>
        <w:rPr>
          <w:noProof/>
        </w:rPr>
        <mc:AlternateContent>
          <mc:Choice Requires="wps">
            <w:drawing>
              <wp:anchor distT="0" distB="101600" distL="12700" distR="12700" simplePos="0" relativeHeight="125829904" behindDoc="0" locked="0" layoutInCell="1" allowOverlap="1">
                <wp:simplePos x="0" y="0"/>
                <wp:positionH relativeFrom="page">
                  <wp:posOffset>2256790</wp:posOffset>
                </wp:positionH>
                <wp:positionV relativeFrom="paragraph">
                  <wp:posOffset>27305</wp:posOffset>
                </wp:positionV>
                <wp:extent cx="3203575" cy="1896110"/>
                <wp:effectExtent l="0" t="0" r="0" b="0"/>
                <wp:wrapTopAndBottom/>
                <wp:docPr id="527" name="Shape 527"/>
                <wp:cNvGraphicFramePr/>
                <a:graphic xmlns:a="http://schemas.openxmlformats.org/drawingml/2006/main">
                  <a:graphicData uri="http://schemas.microsoft.com/office/word/2010/wordprocessingShape">
                    <wps:wsp>
                      <wps:cNvSpPr txBox="1"/>
                      <wps:spPr>
                        <a:xfrm>
                          <a:off x="0" y="0"/>
                          <a:ext cx="3203575" cy="1896110"/>
                        </a:xfrm>
                        <a:prstGeom prst="rect">
                          <a:avLst/>
                        </a:prstGeom>
                        <a:noFill/>
                      </wps:spPr>
                      <wps:txbx>
                        <w:txbxContent>
                          <w:p w:rsidR="00500724" w:rsidRDefault="00F30FB8">
                            <w:pPr>
                              <w:pStyle w:val="Jin0"/>
                              <w:shd w:val="clear" w:color="auto" w:fill="auto"/>
                              <w:spacing w:after="40"/>
                              <w:ind w:firstLine="0"/>
                              <w:jc w:val="center"/>
                              <w:rPr>
                                <w:sz w:val="26"/>
                                <w:szCs w:val="26"/>
                              </w:rPr>
                            </w:pPr>
                            <w:r>
                              <w:rPr>
                                <w:sz w:val="26"/>
                                <w:szCs w:val="26"/>
                              </w:rPr>
                              <w:t>Kde jste, hrdinové?</w:t>
                            </w:r>
                          </w:p>
                          <w:p w:rsidR="00500724" w:rsidRDefault="00F30FB8">
                            <w:pPr>
                              <w:pStyle w:val="Zkladntext100"/>
                              <w:shd w:val="clear" w:color="auto" w:fill="auto"/>
                              <w:spacing w:after="40" w:line="257" w:lineRule="auto"/>
                              <w:ind w:firstLine="200"/>
                              <w:rPr>
                                <w:sz w:val="19"/>
                                <w:szCs w:val="19"/>
                              </w:rPr>
                            </w:pPr>
                            <w:r>
                              <w:rPr>
                                <w:b/>
                                <w:bCs/>
                                <w:sz w:val="19"/>
                                <w:szCs w:val="19"/>
                              </w:rPr>
                              <w:t>Netoužíme po vavřínech mučedníků, nebof nejsme hyste</w:t>
                            </w:r>
                            <w:r>
                              <w:rPr>
                                <w:b/>
                                <w:bCs/>
                                <w:sz w:val="19"/>
                                <w:szCs w:val="19"/>
                              </w:rPr>
                              <w:softHyphen/>
                              <w:t xml:space="preserve">ričtí: naše vlast </w:t>
                            </w:r>
                            <w:r>
                              <w:rPr>
                                <w:b/>
                                <w:bCs/>
                                <w:sz w:val="19"/>
                                <w:szCs w:val="19"/>
                              </w:rPr>
                              <w:t>potřebuje všeho jiného spíše než prozatím toho. Nemáme onu blahou a přesnadnou pýchu. Ale ještě méně se chceme podobat oněm znamenitým xmistrům kul- tury«, kteří měli před desíti měsíci ještě tolik řečí a tak statečných, reformovali svět a kdekoho v něm, n</w:t>
                            </w:r>
                            <w:r>
                              <w:rPr>
                                <w:b/>
                                <w:bCs/>
                                <w:sz w:val="19"/>
                                <w:szCs w:val="19"/>
                              </w:rPr>
                              <w:t>apadali le- pohodlné a bouřili zemi a nebesa a jimž vypadlo z ruky pero, ačjimjeznínikdonevyrazil! Kde jste uliti, hrdinové? Čekáte, až vaše osoby nebo alespoň vaše jména vytáhne z vašich úkrytů budoucnost a oslaví je?</w:t>
                            </w:r>
                          </w:p>
                          <w:p w:rsidR="00500724" w:rsidRDefault="00F30FB8">
                            <w:pPr>
                              <w:pStyle w:val="Zkladntext20"/>
                              <w:shd w:val="clear" w:color="auto" w:fill="auto"/>
                              <w:spacing w:after="40" w:line="240" w:lineRule="auto"/>
                              <w:ind w:firstLine="0"/>
                              <w:jc w:val="right"/>
                              <w:rPr>
                                <w:sz w:val="20"/>
                                <w:szCs w:val="20"/>
                              </w:rPr>
                            </w:pPr>
                            <w:r>
                              <w:rPr>
                                <w:b/>
                                <w:bCs/>
                                <w:i/>
                                <w:iCs/>
                                <w:sz w:val="20"/>
                                <w:szCs w:val="20"/>
                              </w:rPr>
                              <w:t>Václav Černý (v Kritickém měsíčníku)</w:t>
                            </w:r>
                          </w:p>
                        </w:txbxContent>
                      </wps:txbx>
                      <wps:bodyPr lIns="0" tIns="0" rIns="0" bIns="0">
                        <a:spAutoFit/>
                      </wps:bodyPr>
                    </wps:wsp>
                  </a:graphicData>
                </a:graphic>
              </wp:anchor>
            </w:drawing>
          </mc:Choice>
          <mc:Fallback>
            <w:pict>
              <v:shape id="_x0000_s1553" type="#_x0000_t202" style="position:absolute;margin-left:177.69999999999999pt;margin-top:2.1499999999999999pt;width:252.25pt;height:149.30000000000001pt;z-index:-125828849;mso-wrap-distance-left:1.pt;mso-wrap-distance-right:1.pt;mso-wrap-distance-bottom:8.pt;mso-position-horizontal-relative:page" filled="f" stroked="f">
                <v:textbox style="mso-fit-shape-to-text:t" inset="0,0,0,0">
                  <w:txbxContent>
                    <w:p>
                      <w:pPr>
                        <w:pStyle w:val="Style12"/>
                        <w:keepNext w:val="0"/>
                        <w:keepLines w:val="0"/>
                        <w:widowControl w:val="0"/>
                        <w:shd w:val="clear" w:color="auto" w:fill="auto"/>
                        <w:bidi w:val="0"/>
                        <w:spacing w:before="0" w:after="40" w:line="240" w:lineRule="auto"/>
                        <w:ind w:left="0" w:right="0" w:firstLine="0"/>
                        <w:jc w:val="center"/>
                        <w:rPr>
                          <w:sz w:val="26"/>
                          <w:szCs w:val="26"/>
                        </w:rPr>
                      </w:pPr>
                      <w:r>
                        <w:rPr>
                          <w:color w:val="000000"/>
                          <w:spacing w:val="0"/>
                          <w:w w:val="100"/>
                          <w:position w:val="0"/>
                          <w:sz w:val="26"/>
                          <w:szCs w:val="26"/>
                          <w:shd w:val="clear" w:color="auto" w:fill="auto"/>
                          <w:lang w:val="cs-CZ" w:eastAsia="cs-CZ" w:bidi="cs-CZ"/>
                        </w:rPr>
                        <w:t>Kde jste, hrdinové?</w:t>
                      </w:r>
                    </w:p>
                    <w:p>
                      <w:pPr>
                        <w:pStyle w:val="Style344"/>
                        <w:keepNext w:val="0"/>
                        <w:keepLines w:val="0"/>
                        <w:widowControl w:val="0"/>
                        <w:shd w:val="clear" w:color="auto" w:fill="auto"/>
                        <w:bidi w:val="0"/>
                        <w:spacing w:before="0" w:after="40" w:line="257" w:lineRule="auto"/>
                        <w:ind w:left="0" w:right="0" w:firstLine="200"/>
                        <w:rPr>
                          <w:sz w:val="19"/>
                          <w:szCs w:val="19"/>
                        </w:rPr>
                      </w:pPr>
                      <w:r>
                        <w:rPr>
                          <w:b/>
                          <w:bCs/>
                          <w:color w:val="000000"/>
                          <w:spacing w:val="0"/>
                          <w:w w:val="100"/>
                          <w:position w:val="0"/>
                          <w:sz w:val="19"/>
                          <w:szCs w:val="19"/>
                          <w:shd w:val="clear" w:color="auto" w:fill="auto"/>
                          <w:lang w:val="cs-CZ" w:eastAsia="cs-CZ" w:bidi="cs-CZ"/>
                        </w:rPr>
                        <w:t>Netoužíme po vavřínech mučedníků, nebof nejsme hyste</w:t>
                        <w:softHyphen/>
                        <w:t>ričtí: naše vlast potřebuje všeho jiného spíše než prozatím toho. Nemáme onu blahou a přesnadnou pýchu. Ale ještě méně se chceme podobat oněm znamenitým xmistrům kul- tury«, kteří měli před desíti měsíci ještě tolik řečí a tak statečných, reformovali svět a kdekoho v něm, napadali le- pohodlné a bouřili zemi a nebesa a jimž vypadlo z ruky pero, ačjimjeznínikdonevyrazil! Kde jste uliti, hrdinové? Čekáte, až vaše osoby nebo alespoň vaše jména vytáhne z vašich úkrytů budoucnost a oslaví je?</w:t>
                      </w:r>
                    </w:p>
                    <w:p>
                      <w:pPr>
                        <w:pStyle w:val="Style67"/>
                        <w:keepNext w:val="0"/>
                        <w:keepLines w:val="0"/>
                        <w:widowControl w:val="0"/>
                        <w:shd w:val="clear" w:color="auto" w:fill="auto"/>
                        <w:bidi w:val="0"/>
                        <w:spacing w:before="0" w:after="40" w:line="240" w:lineRule="auto"/>
                        <w:ind w:left="0" w:right="0" w:firstLine="0"/>
                        <w:jc w:val="right"/>
                        <w:rPr>
                          <w:sz w:val="20"/>
                          <w:szCs w:val="20"/>
                        </w:rPr>
                      </w:pPr>
                      <w:r>
                        <w:rPr>
                          <w:b/>
                          <w:bCs/>
                          <w:i/>
                          <w:iCs/>
                          <w:color w:val="000000"/>
                          <w:spacing w:val="0"/>
                          <w:w w:val="100"/>
                          <w:position w:val="0"/>
                          <w:sz w:val="20"/>
                          <w:szCs w:val="20"/>
                          <w:shd w:val="clear" w:color="auto" w:fill="auto"/>
                          <w:lang w:val="cs-CZ" w:eastAsia="cs-CZ" w:bidi="cs-CZ"/>
                        </w:rPr>
                        <w:t>Václav Černý (v Kritickém měsíčníku)</w:t>
                      </w:r>
                    </w:p>
                  </w:txbxContent>
                </v:textbox>
                <w10:wrap type="topAndBottom" anchorx="page"/>
              </v:shape>
            </w:pict>
          </mc:Fallback>
        </mc:AlternateContent>
      </w:r>
    </w:p>
    <w:p w:rsidR="00500724" w:rsidRDefault="00F30FB8">
      <w:pPr>
        <w:pStyle w:val="Zkladntext100"/>
        <w:shd w:val="clear" w:color="auto" w:fill="auto"/>
        <w:tabs>
          <w:tab w:val="left" w:pos="313"/>
        </w:tabs>
        <w:spacing w:line="240" w:lineRule="auto"/>
        <w:ind w:firstLine="0"/>
        <w:rPr>
          <w:sz w:val="19"/>
          <w:szCs w:val="19"/>
        </w:rPr>
      </w:pPr>
      <w:r>
        <w:rPr>
          <w:b/>
          <w:bCs/>
          <w:i/>
          <w:iCs/>
          <w:sz w:val="19"/>
          <w:szCs w:val="19"/>
        </w:rPr>
        <w:t>K.</w:t>
      </w:r>
      <w:r>
        <w:rPr>
          <w:b/>
          <w:bCs/>
          <w:i/>
          <w:iCs/>
          <w:sz w:val="19"/>
          <w:szCs w:val="19"/>
        </w:rPr>
        <w:tab/>
        <w:t>KAJA:</w:t>
      </w:r>
    </w:p>
    <w:p w:rsidR="00500724" w:rsidRDefault="00F30FB8">
      <w:pPr>
        <w:pStyle w:val="Zkladntext20"/>
        <w:shd w:val="clear" w:color="auto" w:fill="auto"/>
        <w:spacing w:after="60" w:line="240" w:lineRule="auto"/>
        <w:ind w:firstLine="0"/>
        <w:rPr>
          <w:sz w:val="24"/>
          <w:szCs w:val="24"/>
        </w:rPr>
      </w:pPr>
      <w:r>
        <w:rPr>
          <w:b/>
          <w:bCs/>
          <w:sz w:val="24"/>
          <w:szCs w:val="24"/>
          <w:lang w:val="en-US" w:eastAsia="en-US" w:bidi="en-US"/>
        </w:rPr>
        <w:t xml:space="preserve">IN </w:t>
      </w:r>
      <w:r>
        <w:rPr>
          <w:b/>
          <w:bCs/>
          <w:sz w:val="24"/>
          <w:szCs w:val="24"/>
        </w:rPr>
        <w:t>MEMORIAM K. Č.</w:t>
      </w:r>
    </w:p>
    <w:p w:rsidR="00500724" w:rsidRDefault="00F30FB8">
      <w:pPr>
        <w:pStyle w:val="Zkladntext20"/>
        <w:shd w:val="clear" w:color="auto" w:fill="auto"/>
        <w:spacing w:line="226" w:lineRule="auto"/>
        <w:ind w:firstLine="0"/>
        <w:rPr>
          <w:sz w:val="20"/>
          <w:szCs w:val="20"/>
        </w:rPr>
      </w:pPr>
      <w:r>
        <w:rPr>
          <w:b/>
          <w:bCs/>
          <w:i/>
          <w:iCs/>
          <w:sz w:val="20"/>
          <w:szCs w:val="20"/>
        </w:rPr>
        <w:t>Nemohu přísným prstem</w:t>
      </w:r>
    </w:p>
    <w:p w:rsidR="00500724" w:rsidRDefault="00F30FB8">
      <w:pPr>
        <w:pStyle w:val="Zkladntext20"/>
        <w:shd w:val="clear" w:color="auto" w:fill="auto"/>
        <w:spacing w:line="226" w:lineRule="auto"/>
        <w:ind w:firstLine="0"/>
        <w:jc w:val="right"/>
        <w:rPr>
          <w:sz w:val="20"/>
          <w:szCs w:val="20"/>
        </w:rPr>
      </w:pPr>
      <w:r>
        <w:rPr>
          <w:b/>
          <w:bCs/>
          <w:i/>
          <w:iCs/>
          <w:sz w:val="20"/>
          <w:szCs w:val="20"/>
        </w:rPr>
        <w:t>ukazovat</w:t>
      </w:r>
    </w:p>
    <w:p w:rsidR="00500724" w:rsidRDefault="00F30FB8">
      <w:pPr>
        <w:pStyle w:val="Zkladntext20"/>
        <w:shd w:val="clear" w:color="auto" w:fill="auto"/>
        <w:spacing w:after="180" w:line="226" w:lineRule="auto"/>
        <w:ind w:firstLine="0"/>
        <w:jc w:val="left"/>
        <w:rPr>
          <w:sz w:val="20"/>
          <w:szCs w:val="20"/>
        </w:rPr>
      </w:pPr>
      <w:r>
        <w:rPr>
          <w:b/>
          <w:bCs/>
          <w:i/>
          <w:iCs/>
          <w:sz w:val="20"/>
          <w:szCs w:val="20"/>
        </w:rPr>
        <w:t>(snad nechtěl bych to ani) vím jen: je snadné odsuzovat vím jen: je lehké přitakání —</w:t>
      </w:r>
    </w:p>
    <w:p w:rsidR="00500724" w:rsidRDefault="00F30FB8">
      <w:pPr>
        <w:pStyle w:val="Zkladntext20"/>
        <w:shd w:val="clear" w:color="auto" w:fill="auto"/>
        <w:spacing w:after="180" w:line="223" w:lineRule="auto"/>
        <w:ind w:firstLine="0"/>
        <w:jc w:val="left"/>
        <w:rPr>
          <w:sz w:val="20"/>
          <w:szCs w:val="20"/>
        </w:rPr>
      </w:pPr>
      <w:r>
        <w:rPr>
          <w:b/>
          <w:bCs/>
          <w:i/>
          <w:iCs/>
          <w:sz w:val="20"/>
          <w:szCs w:val="20"/>
        </w:rPr>
        <w:t>Nechci svou velkou Víru zničit (jsem snad proto malý) vím jen: je těžké zahradničit</w:t>
      </w:r>
    </w:p>
    <w:p w:rsidR="00500724" w:rsidRDefault="00F30FB8">
      <w:pPr>
        <w:pStyle w:val="Zkladntext20"/>
        <w:shd w:val="clear" w:color="auto" w:fill="auto"/>
        <w:spacing w:line="226" w:lineRule="auto"/>
        <w:ind w:firstLine="0"/>
        <w:jc w:val="right"/>
        <w:rPr>
          <w:sz w:val="20"/>
          <w:szCs w:val="20"/>
        </w:rPr>
      </w:pPr>
      <w:r>
        <w:rPr>
          <w:b/>
          <w:bCs/>
          <w:i/>
          <w:iCs/>
          <w:sz w:val="20"/>
          <w:szCs w:val="20"/>
        </w:rPr>
        <w:t xml:space="preserve">Jen k svému srdci pro </w:t>
      </w:r>
      <w:r>
        <w:rPr>
          <w:b/>
          <w:bCs/>
          <w:i/>
          <w:iCs/>
          <w:sz w:val="20"/>
          <w:szCs w:val="20"/>
        </w:rPr>
        <w:t>útěchu sahám</w:t>
      </w:r>
    </w:p>
    <w:p w:rsidR="00500724" w:rsidRDefault="00F30FB8">
      <w:pPr>
        <w:pStyle w:val="Zkladntext20"/>
        <w:shd w:val="clear" w:color="auto" w:fill="auto"/>
        <w:spacing w:line="226" w:lineRule="auto"/>
        <w:ind w:firstLine="0"/>
        <w:rPr>
          <w:sz w:val="20"/>
          <w:szCs w:val="20"/>
        </w:rPr>
      </w:pPr>
      <w:r>
        <w:rPr>
          <w:b/>
          <w:bCs/>
          <w:i/>
          <w:iCs/>
          <w:sz w:val="20"/>
          <w:szCs w:val="20"/>
        </w:rPr>
        <w:t>(je to můj starodávný zvyk) vím jen: nebude konec</w:t>
      </w:r>
    </w:p>
    <w:p w:rsidR="00500724" w:rsidRDefault="00F30FB8">
      <w:pPr>
        <w:pStyle w:val="Zkladntext20"/>
        <w:shd w:val="clear" w:color="auto" w:fill="auto"/>
        <w:spacing w:line="226" w:lineRule="auto"/>
        <w:ind w:firstLine="0"/>
        <w:jc w:val="right"/>
        <w:rPr>
          <w:sz w:val="20"/>
          <w:szCs w:val="20"/>
        </w:rPr>
      </w:pPr>
      <w:r>
        <w:rPr>
          <w:b/>
          <w:bCs/>
          <w:i/>
          <w:iCs/>
          <w:sz w:val="20"/>
          <w:szCs w:val="20"/>
        </w:rPr>
        <w:t>snahám</w:t>
      </w:r>
    </w:p>
    <w:p w:rsidR="00500724" w:rsidRDefault="00F30FB8">
      <w:pPr>
        <w:pStyle w:val="Zkladntext20"/>
        <w:shd w:val="clear" w:color="auto" w:fill="auto"/>
        <w:spacing w:after="180" w:line="226" w:lineRule="auto"/>
        <w:ind w:firstLine="0"/>
        <w:jc w:val="right"/>
        <w:rPr>
          <w:sz w:val="20"/>
          <w:szCs w:val="20"/>
        </w:rPr>
      </w:pPr>
      <w:r>
        <w:rPr>
          <w:b/>
          <w:bCs/>
          <w:i/>
          <w:iCs/>
          <w:sz w:val="20"/>
          <w:szCs w:val="20"/>
        </w:rPr>
        <w:t xml:space="preserve">vím jen: sil dobře zahradník- </w:t>
      </w:r>
      <w:r>
        <w:rPr>
          <w:b/>
          <w:bCs/>
          <w:i/>
          <w:iCs/>
          <w:sz w:val="20"/>
          <w:szCs w:val="20"/>
          <w:u w:val="single"/>
        </w:rPr>
        <w:t>(Studentský časopis.)</w:t>
      </w:r>
    </w:p>
    <w:p w:rsidR="00500724" w:rsidRDefault="00F30FB8">
      <w:pPr>
        <w:pStyle w:val="Nadpis120"/>
        <w:shd w:val="clear" w:color="auto" w:fill="auto"/>
        <w:spacing w:after="80"/>
        <w:ind w:left="0"/>
        <w:jc w:val="both"/>
      </w:pPr>
      <w:bookmarkStart w:id="535" w:name="bookmark534"/>
      <w:r>
        <w:rPr>
          <w:rFonts w:ascii="Arial" w:eastAsia="Arial" w:hAnsi="Arial" w:cs="Arial"/>
        </w:rPr>
        <w:t>NOVÉ KNIHY</w:t>
      </w:r>
      <w:bookmarkEnd w:id="535"/>
    </w:p>
    <w:p w:rsidR="00500724" w:rsidRDefault="00F30FB8">
      <w:pPr>
        <w:pStyle w:val="Zkladntext40"/>
        <w:shd w:val="clear" w:color="auto" w:fill="auto"/>
        <w:spacing w:after="0" w:line="187" w:lineRule="auto"/>
        <w:jc w:val="left"/>
        <w:rPr>
          <w:sz w:val="16"/>
          <w:szCs w:val="16"/>
        </w:rPr>
      </w:pPr>
      <w:r>
        <w:rPr>
          <w:b/>
          <w:bCs/>
          <w:sz w:val="16"/>
          <w:szCs w:val="16"/>
        </w:rPr>
        <w:t>Jaroslav Seifert: ZHASNĚTE SVĚTLA</w:t>
      </w:r>
    </w:p>
    <w:p w:rsidR="00500724" w:rsidRDefault="00F30FB8">
      <w:pPr>
        <w:pStyle w:val="Zkladntext40"/>
        <w:shd w:val="clear" w:color="auto" w:fill="auto"/>
        <w:spacing w:after="300" w:line="204" w:lineRule="auto"/>
        <w:ind w:firstLine="180"/>
      </w:pPr>
      <w:r>
        <w:t>Básnická sbírka Jaroslava Sei</w:t>
      </w:r>
      <w:r>
        <w:softHyphen/>
        <w:t>ferta Zhasněte světla, která vy</w:t>
      </w:r>
      <w:r>
        <w:softHyphen/>
        <w:t xml:space="preserve">cházi již v třetím vydáni, </w:t>
      </w:r>
      <w:r>
        <w:t>jako 33. svazek Českých básni, je z těch, které byly inspirovány udá</w:t>
      </w:r>
      <w:r>
        <w:softHyphen/>
        <w:t>lostmi loňského podzimu. Upro</w:t>
      </w:r>
      <w:r>
        <w:softHyphen/>
        <w:t>střed řady takových básnických děl, jež vznikaly v osudových a vzrušujících dnech, tyčí se však Seifertovy verše nesmírně vyso</w:t>
      </w:r>
      <w:r>
        <w:softHyphen/>
        <w:t xml:space="preserve">ko, zaujímajlce místo hned po </w:t>
      </w:r>
      <w:r>
        <w:t>boku monumentální a jako do</w:t>
      </w:r>
    </w:p>
    <w:p w:rsidR="00500724" w:rsidRDefault="00F30FB8">
      <w:pPr>
        <w:pStyle w:val="Nadpis120"/>
        <w:pBdr>
          <w:top w:val="single" w:sz="4" w:space="0" w:color="auto"/>
        </w:pBdr>
        <w:shd w:val="clear" w:color="auto" w:fill="auto"/>
        <w:spacing w:after="60"/>
        <w:ind w:left="0"/>
        <w:jc w:val="both"/>
      </w:pPr>
      <w:bookmarkStart w:id="536" w:name="bookmark535"/>
      <w:r>
        <w:rPr>
          <w:rFonts w:ascii="Arial" w:eastAsia="Arial" w:hAnsi="Arial" w:cs="Arial"/>
        </w:rPr>
        <w:t>FEUILLETON</w:t>
      </w:r>
      <w:bookmarkEnd w:id="536"/>
    </w:p>
    <w:p w:rsidR="00500724" w:rsidRDefault="00F30FB8">
      <w:pPr>
        <w:pStyle w:val="Zkladntext40"/>
        <w:shd w:val="clear" w:color="auto" w:fill="auto"/>
        <w:spacing w:after="0" w:line="168" w:lineRule="auto"/>
        <w:rPr>
          <w:sz w:val="16"/>
          <w:szCs w:val="16"/>
        </w:rPr>
      </w:pPr>
      <w:r>
        <w:rPr>
          <w:b/>
          <w:bCs/>
          <w:sz w:val="16"/>
          <w:szCs w:val="16"/>
        </w:rPr>
        <w:t>Bohumil Novák:</w:t>
      </w:r>
    </w:p>
    <w:p w:rsidR="00500724" w:rsidRDefault="00F30FB8">
      <w:pPr>
        <w:pStyle w:val="Zkladntext100"/>
        <w:shd w:val="clear" w:color="auto" w:fill="auto"/>
        <w:spacing w:line="240" w:lineRule="auto"/>
        <w:ind w:firstLine="0"/>
      </w:pPr>
      <w:r>
        <w:rPr>
          <w:b/>
          <w:bCs/>
          <w:smallCaps/>
        </w:rPr>
        <w:t>božena němcova</w:t>
      </w:r>
    </w:p>
    <w:p w:rsidR="00500724" w:rsidRDefault="00F30FB8">
      <w:pPr>
        <w:pStyle w:val="Zkladntext100"/>
        <w:shd w:val="clear" w:color="auto" w:fill="auto"/>
        <w:spacing w:after="60"/>
        <w:ind w:firstLine="0"/>
      </w:pPr>
      <w:r>
        <w:rPr>
          <w:b/>
          <w:bCs/>
          <w:smallCaps/>
        </w:rPr>
        <w:t>pohAdkAďka</w:t>
      </w:r>
    </w:p>
    <w:p w:rsidR="00500724" w:rsidRDefault="00F30FB8">
      <w:pPr>
        <w:pStyle w:val="Zkladntext40"/>
        <w:shd w:val="clear" w:color="auto" w:fill="auto"/>
        <w:spacing w:line="168" w:lineRule="auto"/>
        <w:ind w:firstLine="180"/>
        <w:rPr>
          <w:sz w:val="16"/>
          <w:szCs w:val="16"/>
        </w:rPr>
      </w:pPr>
      <w:r>
        <w:rPr>
          <w:b/>
          <w:bCs/>
          <w:sz w:val="16"/>
          <w:szCs w:val="16"/>
        </w:rPr>
        <w:t>Ještě dříve než se proslavila svou Babičkou a neskonale svě</w:t>
      </w:r>
      <w:r>
        <w:rPr>
          <w:b/>
          <w:bCs/>
          <w:sz w:val="16"/>
          <w:szCs w:val="16"/>
        </w:rPr>
        <w:softHyphen/>
        <w:t>žími povídkovými obrázky, které patří k vrcholům toho. co bylo vytvořeno v oblasti ěeské prózy povídkové, napsala ne</w:t>
      </w:r>
      <w:r>
        <w:rPr>
          <w:b/>
          <w:bCs/>
          <w:sz w:val="16"/>
          <w:szCs w:val="16"/>
        </w:rPr>
        <w:t>zapomenu</w:t>
      </w:r>
      <w:r>
        <w:rPr>
          <w:b/>
          <w:bCs/>
          <w:sz w:val="16"/>
          <w:szCs w:val="16"/>
        </w:rPr>
        <w:softHyphen/>
        <w:t>telná umělkyně, vypravěěka a básnířka Božena Němcová řadu pohádek a pověstí, čerpaných z lidových tradic krajů, do kterých ona, již uvědomělá Češka, pro</w:t>
      </w:r>
      <w:r>
        <w:rPr>
          <w:b/>
          <w:bCs/>
          <w:sz w:val="16"/>
          <w:szCs w:val="16"/>
        </w:rPr>
        <w:softHyphen/>
        <w:t xml:space="preserve">vázela svého muže Josefa Němce na jeho služební pouti. A sotva by její výpravné umění dospělo </w:t>
      </w:r>
      <w:r>
        <w:rPr>
          <w:b/>
          <w:bCs/>
          <w:sz w:val="16"/>
          <w:szCs w:val="16"/>
        </w:rPr>
        <w:t>té nevšední, vskutku klasické doko</w:t>
      </w:r>
      <w:r>
        <w:rPr>
          <w:b/>
          <w:bCs/>
          <w:sz w:val="16"/>
          <w:szCs w:val="16"/>
        </w:rPr>
        <w:softHyphen/>
        <w:t>nalosti a výše, té nebývalé plas- tičnosti a svěžesti větné, té vzác</w:t>
      </w:r>
      <w:r>
        <w:rPr>
          <w:b/>
          <w:bCs/>
          <w:sz w:val="16"/>
          <w:szCs w:val="16"/>
        </w:rPr>
        <w:softHyphen/>
        <w:t>né slovné jadrnosti i živosti, ma</w:t>
      </w:r>
      <w:r>
        <w:rPr>
          <w:b/>
          <w:bCs/>
          <w:sz w:val="16"/>
          <w:szCs w:val="16"/>
        </w:rPr>
        <w:softHyphen/>
        <w:t>lebnosti a prostoty, kdyby se vy</w:t>
      </w:r>
      <w:r>
        <w:rPr>
          <w:b/>
          <w:bCs/>
          <w:sz w:val="16"/>
          <w:szCs w:val="16"/>
        </w:rPr>
        <w:softHyphen/>
        <w:t>pravěčsky, jazykově a umělecky neškolila zpracováváním pohád</w:t>
      </w:r>
      <w:r>
        <w:rPr>
          <w:b/>
          <w:bCs/>
          <w:sz w:val="16"/>
          <w:szCs w:val="16"/>
        </w:rPr>
        <w:softHyphen/>
        <w:t xml:space="preserve">kových motivů a tradic, </w:t>
      </w:r>
      <w:r>
        <w:rPr>
          <w:b/>
          <w:bCs/>
          <w:sz w:val="16"/>
          <w:szCs w:val="16"/>
        </w:rPr>
        <w:t>nasbíra</w:t>
      </w:r>
      <w:r>
        <w:rPr>
          <w:b/>
          <w:bCs/>
          <w:sz w:val="16"/>
          <w:szCs w:val="16"/>
        </w:rPr>
        <w:softHyphen/>
        <w:t>ných mezi lidmi, k nimž přilnula celým svým vroucím srdcem ro</w:t>
      </w:r>
      <w:r>
        <w:rPr>
          <w:b/>
          <w:bCs/>
          <w:sz w:val="16"/>
          <w:szCs w:val="16"/>
        </w:rPr>
        <w:softHyphen/>
        <w:t>mantické básnířky, těžce zkou</w:t>
      </w:r>
      <w:r>
        <w:rPr>
          <w:b/>
          <w:bCs/>
          <w:sz w:val="16"/>
          <w:szCs w:val="16"/>
        </w:rPr>
        <w:softHyphen/>
        <w:t>šené životem. Avšak bylo by ne</w:t>
      </w:r>
      <w:r>
        <w:rPr>
          <w:b/>
          <w:bCs/>
          <w:sz w:val="16"/>
          <w:szCs w:val="16"/>
        </w:rPr>
        <w:softHyphen/>
        <w:t>spravedlivé domnívati se, že za</w:t>
      </w:r>
      <w:r>
        <w:rPr>
          <w:b/>
          <w:bCs/>
          <w:sz w:val="16"/>
          <w:szCs w:val="16"/>
        </w:rPr>
        <w:softHyphen/>
        <w:t>pisování a zpracování pohádek znamenalo pro Boženu Němco</w:t>
      </w:r>
      <w:r>
        <w:rPr>
          <w:b/>
          <w:bCs/>
          <w:sz w:val="16"/>
          <w:szCs w:val="16"/>
        </w:rPr>
        <w:softHyphen/>
        <w:t>vou jako vypravěče a slovesného uměl</w:t>
      </w:r>
      <w:r>
        <w:rPr>
          <w:b/>
          <w:bCs/>
          <w:sz w:val="16"/>
          <w:szCs w:val="16"/>
        </w:rPr>
        <w:t>ce něco na způsob let učed- nických, kdy umělec je teprve žákem neznámého mistra, kdy teprve zkouší své první kroky a</w:t>
      </w:r>
    </w:p>
    <w:p w:rsidR="00500724" w:rsidRDefault="00F30FB8">
      <w:pPr>
        <w:pStyle w:val="Zkladntext40"/>
        <w:shd w:val="clear" w:color="auto" w:fill="auto"/>
        <w:spacing w:after="320" w:line="204" w:lineRule="auto"/>
      </w:pPr>
      <w:r>
        <w:t xml:space="preserve">mramoru tesané poesie Halaso- vy, mužných veršů Cassiových a fantomatíckých básní Vladimíra Holana. Jsou to křehké, citově vroucí </w:t>
      </w:r>
      <w:r>
        <w:rPr>
          <w:lang w:val="en-US" w:eastAsia="en-US" w:bidi="en-US"/>
        </w:rPr>
        <w:t xml:space="preserve">glossy, </w:t>
      </w:r>
      <w:r>
        <w:t>v kterých se dění loňského podzimu, síla víry i od</w:t>
      </w:r>
      <w:r>
        <w:softHyphen/>
        <w:t>hodlání, bezednost hoře i zkla</w:t>
      </w:r>
      <w:r>
        <w:softHyphen/>
        <w:t>mání nad zradou zrcadlí chvějivě a jímavě jako slza, vytrysklá z očí muže v nestřežené chvíli. To nejsou jen příležitostné verše nebo snad náhodné lyrické mar</w:t>
      </w:r>
      <w:r>
        <w:softHyphen/>
        <w:t>ginálie na okra</w:t>
      </w:r>
      <w:r>
        <w:t>j dějinného vlno</w:t>
      </w:r>
      <w:r>
        <w:softHyphen/>
        <w:t>bití, jak by se nám snad v prvé chvíli mohlo zdát nad básněmi první poloviny svazku, kde jsme okouzlováni křehkou krajinomal- bou a náladovými popěvky, nýbrž básnická svědectví a výpovědi, jež prostým veršem a slovem měří hloubku národní b</w:t>
      </w:r>
      <w:r>
        <w:t>olesti v osudových dnech, kdy jako nikdy před tím jsme si v jednotě myslí a srdcí uvědomovali, čím je nám</w:t>
      </w:r>
    </w:p>
    <w:p w:rsidR="00500724" w:rsidRDefault="00F30FB8">
      <w:pPr>
        <w:pStyle w:val="Zkladntext40"/>
        <w:shd w:val="clear" w:color="auto" w:fill="auto"/>
        <w:spacing w:after="0" w:line="168" w:lineRule="auto"/>
        <w:rPr>
          <w:sz w:val="16"/>
          <w:szCs w:val="16"/>
        </w:rPr>
      </w:pPr>
      <w:r>
        <w:rPr>
          <w:b/>
          <w:bCs/>
          <w:sz w:val="16"/>
          <w:szCs w:val="16"/>
        </w:rPr>
        <w:t>tříbí svůj vkus i jazyk, kdy se obohacuje o první umělecké zku</w:t>
      </w:r>
      <w:r>
        <w:rPr>
          <w:b/>
          <w:bCs/>
          <w:sz w:val="16"/>
          <w:szCs w:val="16"/>
        </w:rPr>
        <w:softHyphen/>
        <w:t>šenosti, aby teprve poté se vydal samostatně do světa. Božena Němcová čerpala k svým po</w:t>
      </w:r>
      <w:r>
        <w:rPr>
          <w:b/>
          <w:bCs/>
          <w:sz w:val="16"/>
          <w:szCs w:val="16"/>
        </w:rPr>
        <w:t>hád</w:t>
      </w:r>
      <w:r>
        <w:rPr>
          <w:b/>
          <w:bCs/>
          <w:sz w:val="16"/>
          <w:szCs w:val="16"/>
        </w:rPr>
        <w:softHyphen/>
        <w:t>kám a pověstem sice hojně z dět</w:t>
      </w:r>
      <w:r>
        <w:rPr>
          <w:b/>
          <w:bCs/>
          <w:sz w:val="16"/>
          <w:szCs w:val="16"/>
        </w:rPr>
        <w:softHyphen/>
        <w:t>ských vzpomínek a z lidových tradic, opírala se sice o ústní po</w:t>
      </w:r>
      <w:r>
        <w:rPr>
          <w:b/>
          <w:bCs/>
          <w:sz w:val="16"/>
          <w:szCs w:val="16"/>
        </w:rPr>
        <w:softHyphen/>
        <w:t>dání jednotlivých zkazek, naslou</w:t>
      </w:r>
      <w:r>
        <w:rPr>
          <w:b/>
          <w:bCs/>
          <w:sz w:val="16"/>
          <w:szCs w:val="16"/>
        </w:rPr>
        <w:softHyphen/>
        <w:t>chajíc se zanícením a unešením lidovým vypravěčům, kteří ve své paměti uchovali celý pohád</w:t>
      </w:r>
      <w:r>
        <w:rPr>
          <w:b/>
          <w:bCs/>
          <w:sz w:val="16"/>
          <w:szCs w:val="16"/>
        </w:rPr>
        <w:softHyphen/>
        <w:t>kový poklad nejroztodivnějších d</w:t>
      </w:r>
      <w:r>
        <w:rPr>
          <w:b/>
          <w:bCs/>
          <w:sz w:val="16"/>
          <w:szCs w:val="16"/>
        </w:rPr>
        <w:t>ějů, ale nepřepisovala je otroc</w:t>
      </w:r>
      <w:r>
        <w:rPr>
          <w:b/>
          <w:bCs/>
          <w:sz w:val="16"/>
          <w:szCs w:val="16"/>
        </w:rPr>
        <w:softHyphen/>
        <w:t>ky a mechanicky, nýbrž přetvá</w:t>
      </w:r>
      <w:r>
        <w:rPr>
          <w:b/>
          <w:bCs/>
          <w:sz w:val="16"/>
          <w:szCs w:val="16"/>
        </w:rPr>
        <w:softHyphen/>
        <w:t>řela a dotvářela je jako skuteč</w:t>
      </w:r>
      <w:r>
        <w:rPr>
          <w:b/>
          <w:bCs/>
          <w:sz w:val="16"/>
          <w:szCs w:val="16"/>
        </w:rPr>
        <w:softHyphen/>
        <w:t>ný tvůrčí umělec, po zákonech své živé a zanícené fantasie, jíž tolik hověl tento čarovný a kou</w:t>
      </w:r>
      <w:r>
        <w:rPr>
          <w:b/>
          <w:bCs/>
          <w:sz w:val="16"/>
          <w:szCs w:val="16"/>
        </w:rPr>
        <w:softHyphen/>
        <w:t>zelný svět. Ani její velký před</w:t>
      </w:r>
      <w:r>
        <w:rPr>
          <w:b/>
          <w:bCs/>
          <w:sz w:val="16"/>
          <w:szCs w:val="16"/>
        </w:rPr>
        <w:softHyphen/>
        <w:t>chůdce Karel Jaromír Erben, je</w:t>
      </w:r>
      <w:r>
        <w:rPr>
          <w:b/>
          <w:bCs/>
          <w:sz w:val="16"/>
          <w:szCs w:val="16"/>
        </w:rPr>
        <w:softHyphen/>
        <w:t>hož</w:t>
      </w:r>
      <w:r>
        <w:rPr>
          <w:b/>
          <w:bCs/>
          <w:sz w:val="16"/>
          <w:szCs w:val="16"/>
        </w:rPr>
        <w:t xml:space="preserve"> České pohádky právem po</w:t>
      </w:r>
      <w:r>
        <w:rPr>
          <w:b/>
          <w:bCs/>
          <w:sz w:val="16"/>
          <w:szCs w:val="16"/>
        </w:rPr>
        <w:softHyphen/>
        <w:t>stavila naše moderní literární historie a kritika po bok jeho Kytici, nepočínal si jinak. I u ně</w:t>
      </w:r>
      <w:r>
        <w:rPr>
          <w:b/>
          <w:bCs/>
          <w:sz w:val="16"/>
          <w:szCs w:val="16"/>
        </w:rPr>
        <w:softHyphen/>
        <w:t>ho folkloristu a mytologa, dba</w:t>
      </w:r>
      <w:r>
        <w:rPr>
          <w:b/>
          <w:bCs/>
          <w:sz w:val="16"/>
          <w:szCs w:val="16"/>
        </w:rPr>
        <w:softHyphen/>
        <w:t>jícího osobitosti a zákonů lido</w:t>
      </w:r>
      <w:r>
        <w:rPr>
          <w:b/>
          <w:bCs/>
          <w:sz w:val="16"/>
          <w:szCs w:val="16"/>
        </w:rPr>
        <w:softHyphen/>
        <w:t>vých pohádkových tradic, dopl</w:t>
      </w:r>
      <w:r>
        <w:rPr>
          <w:b/>
          <w:bCs/>
          <w:sz w:val="16"/>
          <w:szCs w:val="16"/>
        </w:rPr>
        <w:softHyphen/>
        <w:t xml:space="preserve">ňoval tvůrčí slovesný umělec. Nejinak je </w:t>
      </w:r>
      <w:r>
        <w:rPr>
          <w:b/>
          <w:bCs/>
          <w:sz w:val="16"/>
          <w:szCs w:val="16"/>
        </w:rPr>
        <w:t>tomu u Boženy Něm</w:t>
      </w:r>
      <w:r>
        <w:rPr>
          <w:b/>
          <w:bCs/>
          <w:sz w:val="16"/>
          <w:szCs w:val="16"/>
        </w:rPr>
        <w:softHyphen/>
        <w:t>cové; i ona v nejzdařilejších ku</w:t>
      </w:r>
      <w:r>
        <w:rPr>
          <w:b/>
          <w:bCs/>
          <w:sz w:val="16"/>
          <w:szCs w:val="16"/>
        </w:rPr>
        <w:softHyphen/>
        <w:t>sech své umělecké tvorby, zabý</w:t>
      </w:r>
      <w:r>
        <w:rPr>
          <w:b/>
          <w:bCs/>
          <w:sz w:val="16"/>
          <w:szCs w:val="16"/>
        </w:rPr>
        <w:softHyphen/>
        <w:t>vající se pohádkovými motivy nebo zpracováním jednotlivých dějů, které lid oblékal od ne- paměti do skvostného pohádko</w:t>
      </w:r>
      <w:r>
        <w:rPr>
          <w:b/>
          <w:bCs/>
          <w:sz w:val="16"/>
          <w:szCs w:val="16"/>
        </w:rPr>
        <w:softHyphen/>
        <w:t xml:space="preserve">vého roucha, jeví se nám jako básnířka z milosti boží. </w:t>
      </w:r>
      <w:r>
        <w:rPr>
          <w:b/>
          <w:bCs/>
          <w:sz w:val="16"/>
          <w:szCs w:val="16"/>
        </w:rPr>
        <w:t>Vyprá</w:t>
      </w:r>
      <w:r>
        <w:rPr>
          <w:b/>
          <w:bCs/>
          <w:sz w:val="16"/>
          <w:szCs w:val="16"/>
        </w:rPr>
        <w:softHyphen/>
        <w:t>vějíc to, co slyšela a do paměti zapsala jako Barunka ze Staré</w:t>
      </w:r>
      <w:r>
        <w:rPr>
          <w:b/>
          <w:bCs/>
          <w:sz w:val="16"/>
          <w:szCs w:val="16"/>
        </w:rPr>
        <w:softHyphen/>
        <w:t>ho bělidla, před kterou se v ba</w:t>
      </w:r>
      <w:r>
        <w:rPr>
          <w:b/>
          <w:bCs/>
          <w:sz w:val="16"/>
          <w:szCs w:val="16"/>
        </w:rPr>
        <w:softHyphen/>
      </w:r>
    </w:p>
    <w:p w:rsidR="00500724" w:rsidRDefault="00F30FB8">
      <w:pPr>
        <w:pStyle w:val="Zkladntext40"/>
        <w:shd w:val="clear" w:color="auto" w:fill="auto"/>
        <w:spacing w:after="320" w:line="206" w:lineRule="auto"/>
      </w:pPr>
      <w:r>
        <w:t>tato země. »krásná jako kvítka na modřanském džbánku«. k níž se vracíme po bludných poutích stokrát zklamaní a bezradní a jejíž hořká hlína, mluveno s bá</w:t>
      </w:r>
      <w:r>
        <w:softHyphen/>
      </w:r>
      <w:r>
        <w:t>sníkem, padne naposledy prudce kolem našich spánků, čím jsou nám její údolí i hory, prameny jejích řek a květná něha jejích luk, polí i strání. Zde je Jaro</w:t>
      </w:r>
      <w:r>
        <w:softHyphen/>
        <w:t>slav Seifert básníkem, který se citovou opravdovostí i vrouc</w:t>
      </w:r>
      <w:r>
        <w:softHyphen/>
        <w:t>ností lyrického prožitku, ryzostí i pro</w:t>
      </w:r>
      <w:r>
        <w:t>stotou svého slova a verše, z něhož přímo vane dech domova a zpívá duše českého lidu, blíží trojici umělců zvlášť drahých a blízkých našemu srdci, k mužně resignovanému Janu Nerudovi, k zpěvnému Václavu Sládkovi a k svérázně českému malíři Miko</w:t>
      </w:r>
      <w:r>
        <w:softHyphen/>
        <w:t>láši Alšovi</w:t>
      </w:r>
      <w:r>
        <w:t>. Jinými slovy je lyri</w:t>
      </w:r>
      <w:r>
        <w:softHyphen/>
        <w:t>kem našeho srdce. Cena sbírky je 12 K.</w:t>
      </w:r>
    </w:p>
    <w:p w:rsidR="00500724" w:rsidRDefault="00F30FB8">
      <w:pPr>
        <w:pStyle w:val="Zkladntext40"/>
        <w:shd w:val="clear" w:color="auto" w:fill="auto"/>
        <w:spacing w:after="0" w:line="168" w:lineRule="auto"/>
        <w:rPr>
          <w:sz w:val="16"/>
          <w:szCs w:val="16"/>
        </w:rPr>
        <w:sectPr w:rsidR="00500724">
          <w:footnotePr>
            <w:numFmt w:val="chicago"/>
            <w:numRestart w:val="eachPage"/>
          </w:footnotePr>
          <w:type w:val="continuous"/>
          <w:pgSz w:w="11909" w:h="16834"/>
          <w:pgMar w:top="565" w:right="655" w:bottom="565" w:left="871" w:header="0" w:footer="3" w:gutter="0"/>
          <w:cols w:num="4" w:sep="1" w:space="100"/>
          <w:noEndnote/>
          <w:docGrid w:linePitch="360"/>
        </w:sectPr>
      </w:pPr>
      <w:r>
        <w:rPr>
          <w:b/>
          <w:bCs/>
          <w:sz w:val="16"/>
          <w:szCs w:val="16"/>
        </w:rPr>
        <w:t>biččiných pohádkách otevíral da</w:t>
      </w:r>
      <w:r>
        <w:rPr>
          <w:b/>
          <w:bCs/>
          <w:sz w:val="16"/>
          <w:szCs w:val="16"/>
        </w:rPr>
        <w:softHyphen/>
        <w:t>leký zázračný svět princezen a loupežníků, vil a divoženek. vod</w:t>
      </w:r>
      <w:r>
        <w:rPr>
          <w:b/>
          <w:bCs/>
          <w:sz w:val="16"/>
          <w:szCs w:val="16"/>
        </w:rPr>
        <w:softHyphen/>
        <w:t>ních paní a lesních žínek, nad</w:t>
      </w:r>
      <w:r>
        <w:rPr>
          <w:b/>
          <w:bCs/>
          <w:sz w:val="16"/>
          <w:szCs w:val="16"/>
        </w:rPr>
        <w:softHyphen/>
        <w:t>přirozených bytostí a kouzelní</w:t>
      </w:r>
      <w:r>
        <w:rPr>
          <w:b/>
          <w:bCs/>
          <w:sz w:val="16"/>
          <w:szCs w:val="16"/>
        </w:rPr>
        <w:softHyphen/>
        <w:t>ků, l</w:t>
      </w:r>
      <w:r>
        <w:rPr>
          <w:b/>
          <w:bCs/>
          <w:sz w:val="16"/>
          <w:szCs w:val="16"/>
        </w:rPr>
        <w:t>askavých sudiček a ježibab, to, co uchovala v svém nitru jako okouzlený posluchač a ná</w:t>
      </w:r>
      <w:r>
        <w:rPr>
          <w:b/>
          <w:bCs/>
          <w:sz w:val="16"/>
          <w:szCs w:val="16"/>
        </w:rPr>
        <w:softHyphen/>
        <w:t>vštěvník vesnických draček a přástek, dotvářela to svou ne</w:t>
      </w:r>
      <w:r>
        <w:rPr>
          <w:b/>
          <w:bCs/>
          <w:sz w:val="16"/>
          <w:szCs w:val="16"/>
        </w:rPr>
        <w:softHyphen/>
        <w:t>spoutanou planoucí fantasií, uno</w:t>
      </w:r>
      <w:r>
        <w:rPr>
          <w:b/>
          <w:bCs/>
          <w:sz w:val="16"/>
          <w:szCs w:val="16"/>
        </w:rPr>
        <w:softHyphen/>
        <w:t>šeného a okouzleného tvůrčího umělce, který v ní vítězil stále víc a více nad</w:t>
      </w:r>
      <w:r>
        <w:rPr>
          <w:b/>
          <w:bCs/>
          <w:sz w:val="16"/>
          <w:szCs w:val="16"/>
        </w:rPr>
        <w:t xml:space="preserve"> sběratelem. A tak její České národní báchorky a pověsti, shrnuté dnes do dvou úhledných svazků edice Pan</w:t>
      </w:r>
      <w:r>
        <w:rPr>
          <w:b/>
          <w:bCs/>
          <w:sz w:val="16"/>
          <w:szCs w:val="16"/>
        </w:rPr>
        <w:softHyphen/>
        <w:t xml:space="preserve">theon, která přinesla celé dílo Boženy Němcové, ji představují především jako básníka. A tvrdí- li se o jejím díle, že je české jak tématem a lidovým </w:t>
      </w:r>
      <w:r>
        <w:rPr>
          <w:b/>
          <w:bCs/>
          <w:sz w:val="16"/>
          <w:szCs w:val="16"/>
        </w:rPr>
        <w:t>svérázem, tak zabydlením a jazykem, lze to právem vztahovali i na její pohádky. Ty jsou z jejího díla neodmyslitelné, zapadajíce do ně</w:t>
      </w:r>
      <w:r>
        <w:rPr>
          <w:b/>
          <w:bCs/>
          <w:sz w:val="16"/>
          <w:szCs w:val="16"/>
        </w:rPr>
        <w:softHyphen/>
        <w:t>ho zcela zákonitě a osvědčujíce, stejně jako povídkové obrázky národopisně popisné (Domácí ne</w:t>
      </w:r>
      <w:r>
        <w:rPr>
          <w:b/>
          <w:bCs/>
          <w:sz w:val="16"/>
          <w:szCs w:val="16"/>
        </w:rPr>
        <w:softHyphen/>
        <w:t>moc), jako sevřené novely v</w:t>
      </w:r>
      <w:r>
        <w:rPr>
          <w:b/>
          <w:bCs/>
          <w:sz w:val="16"/>
          <w:szCs w:val="16"/>
        </w:rPr>
        <w:t>ášni</w:t>
      </w:r>
      <w:r>
        <w:rPr>
          <w:b/>
          <w:bCs/>
          <w:sz w:val="16"/>
          <w:szCs w:val="16"/>
        </w:rPr>
        <w:softHyphen/>
        <w:t>vě milostných osudů a tragedií Babička nebo líbezný zlomek (Karla. Sestry), jako nesmrtelná Cesta z pouti, její živou svěží fantasii, její vroucí lásku k pří</w:t>
      </w:r>
      <w:r>
        <w:rPr>
          <w:b/>
          <w:bCs/>
          <w:sz w:val="16"/>
          <w:szCs w:val="16"/>
        </w:rPr>
        <w:softHyphen/>
        <w:t>rodě i lidem, čistotu i ryzost je</w:t>
      </w:r>
      <w:r>
        <w:rPr>
          <w:b/>
          <w:bCs/>
          <w:sz w:val="16"/>
          <w:szCs w:val="16"/>
        </w:rPr>
        <w:softHyphen/>
        <w:t>jího, až marnotratně se rozdáva</w:t>
      </w:r>
      <w:r>
        <w:rPr>
          <w:b/>
          <w:bCs/>
          <w:sz w:val="16"/>
          <w:szCs w:val="16"/>
        </w:rPr>
        <w:softHyphen/>
        <w:t>jícího srdce, její schopnos</w:t>
      </w:r>
      <w:r>
        <w:rPr>
          <w:b/>
          <w:bCs/>
          <w:sz w:val="16"/>
          <w:szCs w:val="16"/>
        </w:rPr>
        <w:t>t bar</w:t>
      </w:r>
      <w:r>
        <w:rPr>
          <w:b/>
          <w:bCs/>
          <w:sz w:val="16"/>
          <w:szCs w:val="16"/>
        </w:rPr>
        <w:softHyphen/>
        <w:t>vitého a malebného líčení, její romantické zaujetí, zkouzlující věci do přeludů a vidin, její vy</w:t>
      </w:r>
      <w:r>
        <w:rPr>
          <w:b/>
          <w:bCs/>
          <w:sz w:val="16"/>
          <w:szCs w:val="16"/>
        </w:rPr>
        <w:softHyphen/>
        <w:t>právěčskou pohotovost a jadr- nost, její dar výrazné charakte</w:t>
      </w:r>
      <w:r>
        <w:rPr>
          <w:b/>
          <w:bCs/>
          <w:sz w:val="16"/>
          <w:szCs w:val="16"/>
        </w:rPr>
        <w:softHyphen/>
        <w:t>ristiky a prosté, avšak pramenitě svěží řeči, jímající spanilostí slo</w:t>
      </w:r>
      <w:r>
        <w:rPr>
          <w:b/>
          <w:bCs/>
          <w:sz w:val="16"/>
          <w:szCs w:val="16"/>
        </w:rPr>
        <w:softHyphen/>
        <w:t>va, hovorovou intonac</w:t>
      </w:r>
      <w:r>
        <w:rPr>
          <w:b/>
          <w:bCs/>
          <w:sz w:val="16"/>
          <w:szCs w:val="16"/>
        </w:rPr>
        <w:t>í věty. li</w:t>
      </w:r>
      <w:r>
        <w:rPr>
          <w:b/>
          <w:bCs/>
          <w:sz w:val="16"/>
          <w:szCs w:val="16"/>
        </w:rPr>
        <w:softHyphen/>
        <w:t>dovou. názorností příměru a me</w:t>
      </w:r>
      <w:r>
        <w:rPr>
          <w:b/>
          <w:bCs/>
          <w:sz w:val="16"/>
          <w:szCs w:val="16"/>
        </w:rPr>
        <w:softHyphen/>
        <w:t>tafory, rozvitostí věty epicky plastické i dramatické a básnic</w:t>
      </w:r>
      <w:r>
        <w:rPr>
          <w:b/>
          <w:bCs/>
          <w:sz w:val="16"/>
          <w:szCs w:val="16"/>
        </w:rPr>
        <w:softHyphen/>
        <w:t>ky intensivní. Zázrak a tajemství její tvorby je především v tom, jak její slovo zůstalo prosté a ži</w:t>
      </w:r>
      <w:r>
        <w:rPr>
          <w:b/>
          <w:bCs/>
          <w:sz w:val="16"/>
          <w:szCs w:val="16"/>
        </w:rPr>
        <w:softHyphen/>
        <w:t>vé, jak se ani v nejmenším ne- odcizilo svému venk</w:t>
      </w:r>
      <w:r>
        <w:rPr>
          <w:b/>
          <w:bCs/>
          <w:sz w:val="16"/>
          <w:szCs w:val="16"/>
        </w:rPr>
        <w:t>ovskému pů</w:t>
      </w:r>
      <w:r>
        <w:rPr>
          <w:b/>
          <w:bCs/>
          <w:sz w:val="16"/>
          <w:szCs w:val="16"/>
        </w:rPr>
        <w:softHyphen/>
        <w:t>vodu. Voníc po zemi a mateří</w:t>
      </w:r>
      <w:r>
        <w:rPr>
          <w:b/>
          <w:bCs/>
          <w:sz w:val="16"/>
          <w:szCs w:val="16"/>
        </w:rPr>
        <w:softHyphen/>
        <w:t>doušce, rozeznělé zpěvem vrbo</w:t>
      </w:r>
      <w:r>
        <w:rPr>
          <w:b/>
          <w:bCs/>
          <w:sz w:val="16"/>
          <w:szCs w:val="16"/>
        </w:rPr>
        <w:softHyphen/>
        <w:t>vých píšťalek, melodií pramenů a mocné jako kouzelná léčivá bylina, utržená za noci filipo- jakubské. zůstává silné právě plachou neokázalostí. aby se mu v pravé chvíli po zásluze dostal</w:t>
      </w:r>
      <w:r>
        <w:rPr>
          <w:b/>
          <w:bCs/>
          <w:sz w:val="16"/>
          <w:szCs w:val="16"/>
        </w:rPr>
        <w:t>o Popelčina šatu z pohádkového oříšku. Ano v tom je zázrak a tajemství pohádkové tvorby Bo</w:t>
      </w:r>
      <w:r>
        <w:rPr>
          <w:b/>
          <w:bCs/>
          <w:sz w:val="16"/>
          <w:szCs w:val="16"/>
        </w:rPr>
        <w:softHyphen/>
        <w:t>ženy Němcové, že jí sudičky svě</w:t>
      </w:r>
      <w:r>
        <w:rPr>
          <w:b/>
          <w:bCs/>
          <w:sz w:val="16"/>
          <w:szCs w:val="16"/>
        </w:rPr>
        <w:softHyphen/>
        <w:t>řily dar řeči se všemi jejími ta</w:t>
      </w:r>
      <w:r>
        <w:rPr>
          <w:b/>
          <w:bCs/>
          <w:sz w:val="16"/>
          <w:szCs w:val="16"/>
        </w:rPr>
        <w:softHyphen/>
        <w:t xml:space="preserve">jemstvími, </w:t>
      </w:r>
      <w:r>
        <w:rPr>
          <w:sz w:val="18"/>
          <w:szCs w:val="18"/>
        </w:rPr>
        <w:t xml:space="preserve">že </w:t>
      </w:r>
      <w:r>
        <w:rPr>
          <w:b/>
          <w:bCs/>
          <w:sz w:val="16"/>
          <w:szCs w:val="16"/>
        </w:rPr>
        <w:t>jí přes všecka utr</w:t>
      </w:r>
      <w:r>
        <w:rPr>
          <w:b/>
          <w:bCs/>
          <w:sz w:val="16"/>
          <w:szCs w:val="16"/>
        </w:rPr>
        <w:softHyphen/>
        <w:t>pení, pleníci srdce 1 krásu, po</w:t>
      </w:r>
      <w:r>
        <w:rPr>
          <w:b/>
          <w:bCs/>
          <w:sz w:val="16"/>
          <w:szCs w:val="16"/>
        </w:rPr>
        <w:softHyphen/>
        <w:t>nechaly nerušený poklad vzpomí</w:t>
      </w:r>
      <w:r>
        <w:rPr>
          <w:b/>
          <w:bCs/>
          <w:sz w:val="16"/>
          <w:szCs w:val="16"/>
        </w:rPr>
        <w:softHyphen/>
        <w:t xml:space="preserve">nek </w:t>
      </w:r>
      <w:r>
        <w:rPr>
          <w:b/>
          <w:bCs/>
          <w:sz w:val="16"/>
          <w:szCs w:val="16"/>
        </w:rPr>
        <w:t>a dětský zrak, vidoucí vše</w:t>
      </w:r>
      <w:r>
        <w:rPr>
          <w:b/>
          <w:bCs/>
          <w:sz w:val="16"/>
          <w:szCs w:val="16"/>
        </w:rPr>
        <w:softHyphen/>
        <w:t>cko v té nevinné, panenské bian- kytnosti, že Jí svěřily do vínku obraznost, která ji neustále me</w:t>
      </w:r>
      <w:r>
        <w:rPr>
          <w:b/>
          <w:bCs/>
          <w:sz w:val="16"/>
          <w:szCs w:val="16"/>
        </w:rPr>
        <w:softHyphen/>
        <w:t xml:space="preserve">diem vzpomínky vracela do děb- ství, nedovolujíc ji odcizit se mu ani na chvíli. A dětství, toť svět pohádek, toť doba, kdy srdce, </w:t>
      </w:r>
      <w:r>
        <w:rPr>
          <w:b/>
          <w:bCs/>
          <w:sz w:val="16"/>
          <w:szCs w:val="16"/>
        </w:rPr>
        <w:t>snad právě proto, že ústa tolik nedovedou říci, žije v důvěrné blízkosti všech tajemství, roz</w:t>
      </w:r>
      <w:r>
        <w:rPr>
          <w:b/>
          <w:bCs/>
          <w:sz w:val="16"/>
          <w:szCs w:val="16"/>
        </w:rPr>
        <w:softHyphen/>
        <w:t>umějíc mluvě ptáků a květin, živlů a nebes, větrů a hvězd. Hle. lesní mýtiny, na nichž tančí za nocí víly v šatě ze stříbra mě</w:t>
      </w:r>
      <w:r>
        <w:rPr>
          <w:b/>
          <w:bCs/>
          <w:sz w:val="16"/>
          <w:szCs w:val="16"/>
        </w:rPr>
        <w:softHyphen/>
        <w:t>síčních paprsků a za dne útlo- boké</w:t>
      </w:r>
      <w:r>
        <w:rPr>
          <w:b/>
          <w:bCs/>
          <w:sz w:val="16"/>
          <w:szCs w:val="16"/>
        </w:rPr>
        <w:t xml:space="preserve"> lesní žínky, hle svět, za</w:t>
      </w:r>
      <w:r>
        <w:rPr>
          <w:b/>
          <w:bCs/>
          <w:sz w:val="16"/>
          <w:szCs w:val="16"/>
        </w:rPr>
        <w:softHyphen/>
        <w:t>bydlený vílami a skřítky, hlída</w:t>
      </w:r>
      <w:r>
        <w:rPr>
          <w:b/>
          <w:bCs/>
          <w:sz w:val="16"/>
          <w:szCs w:val="16"/>
        </w:rPr>
        <w:softHyphen/>
        <w:t>jícími prameny života a země, loupežníky a rytíři, princeznami se zlatými hvězdami na čele, pla</w:t>
      </w:r>
      <w:r>
        <w:rPr>
          <w:b/>
          <w:bCs/>
          <w:sz w:val="16"/>
          <w:szCs w:val="16"/>
        </w:rPr>
        <w:softHyphen/>
        <w:t>chými dívkami, nad jejichž krá</w:t>
      </w:r>
      <w:r>
        <w:rPr>
          <w:b/>
          <w:bCs/>
          <w:sz w:val="16"/>
          <w:szCs w:val="16"/>
        </w:rPr>
        <w:softHyphen/>
        <w:t>sou přechází zrak a bolí u srdce, chlapci tak štíhlými a urostlý</w:t>
      </w:r>
      <w:r>
        <w:rPr>
          <w:b/>
          <w:bCs/>
          <w:sz w:val="16"/>
          <w:szCs w:val="16"/>
        </w:rPr>
        <w:softHyphen/>
        <w:t>mi, ž</w:t>
      </w:r>
      <w:r>
        <w:rPr>
          <w:b/>
          <w:bCs/>
          <w:sz w:val="16"/>
          <w:szCs w:val="16"/>
        </w:rPr>
        <w:t>e připomínají mladé doubky, hle svět, ukrývající živou vodu, k niž se putuje přes sedmero stří</w:t>
      </w:r>
      <w:r>
        <w:rPr>
          <w:b/>
          <w:bCs/>
          <w:sz w:val="16"/>
          <w:szCs w:val="16"/>
        </w:rPr>
        <w:softHyphen/>
        <w:t>brných řek a hor, zatím co pout</w:t>
      </w:r>
      <w:r>
        <w:rPr>
          <w:b/>
          <w:bCs/>
          <w:sz w:val="16"/>
          <w:szCs w:val="16"/>
        </w:rPr>
        <w:softHyphen/>
        <w:t>níka svádějí s cesty vidiny větr</w:t>
      </w:r>
      <w:r>
        <w:rPr>
          <w:b/>
          <w:bCs/>
          <w:sz w:val="16"/>
          <w:szCs w:val="16"/>
        </w:rPr>
        <w:softHyphen/>
        <w:t>ných zámků, svítících zlatém a drahým kamením, hle úklady ča</w:t>
      </w:r>
      <w:r>
        <w:rPr>
          <w:b/>
          <w:bCs/>
          <w:sz w:val="16"/>
          <w:szCs w:val="16"/>
        </w:rPr>
        <w:softHyphen/>
        <w:t>rodějníků, střežících tajemství, ži</w:t>
      </w:r>
      <w:r>
        <w:rPr>
          <w:b/>
          <w:bCs/>
          <w:sz w:val="16"/>
          <w:szCs w:val="16"/>
        </w:rPr>
        <w:t>vota a smrti, zlatohřívé koně. a jabloně, plodící zlaté ovoce. Můj Bože, to poklady se otevírají za zpěvu a tance, a oči až přechá</w:t>
      </w:r>
      <w:r>
        <w:rPr>
          <w:b/>
          <w:bCs/>
          <w:sz w:val="16"/>
          <w:szCs w:val="16"/>
        </w:rPr>
        <w:softHyphen/>
        <w:t>zejí nad tou skvoucí září, a srdce až přestává bít, zmámené zpěvem a líbezností hlasu slov, vedou</w:t>
      </w:r>
      <w:r>
        <w:rPr>
          <w:b/>
          <w:bCs/>
          <w:sz w:val="16"/>
          <w:szCs w:val="16"/>
        </w:rPr>
        <w:softHyphen/>
        <w:t>cích nás do ráje dětství. V</w:t>
      </w:r>
      <w:r>
        <w:rPr>
          <w:b/>
          <w:bCs/>
          <w:sz w:val="16"/>
          <w:szCs w:val="16"/>
        </w:rPr>
        <w:t xml:space="preserve"> té zpěvnosti, melodie a hovorové výraznosti mluvy pohádek Bože</w:t>
      </w:r>
      <w:r>
        <w:rPr>
          <w:b/>
          <w:bCs/>
          <w:sz w:val="16"/>
          <w:szCs w:val="16"/>
        </w:rPr>
        <w:softHyphen/>
        <w:t>ny Němcové, v té kráse, a pro</w:t>
      </w:r>
      <w:r>
        <w:rPr>
          <w:b/>
          <w:bCs/>
          <w:sz w:val="16"/>
          <w:szCs w:val="16"/>
        </w:rPr>
        <w:softHyphen/>
        <w:t>stotě vět patriarchálně a staro</w:t>
      </w:r>
      <w:r>
        <w:rPr>
          <w:b/>
          <w:bCs/>
          <w:sz w:val="16"/>
          <w:szCs w:val="16"/>
        </w:rPr>
        <w:softHyphen/>
        <w:t>byle moudrých, v přirozené krá</w:t>
      </w:r>
      <w:r>
        <w:rPr>
          <w:b/>
          <w:bCs/>
          <w:sz w:val="16"/>
          <w:szCs w:val="16"/>
        </w:rPr>
        <w:softHyphen/>
        <w:t>se rozvitých, tkvících svými ko</w:t>
      </w:r>
      <w:r>
        <w:rPr>
          <w:b/>
          <w:bCs/>
          <w:sz w:val="16"/>
          <w:szCs w:val="16"/>
        </w:rPr>
        <w:softHyphen/>
        <w:t>řeny v tradici lidu tak hluboko a prostě, jako starý košatý strom v</w:t>
      </w:r>
      <w:r>
        <w:rPr>
          <w:b/>
          <w:bCs/>
          <w:sz w:val="16"/>
          <w:szCs w:val="16"/>
        </w:rPr>
        <w:t xml:space="preserve"> rodné zemi, </w:t>
      </w:r>
      <w:r>
        <w:rPr>
          <w:b/>
          <w:bCs/>
          <w:sz w:val="14"/>
          <w:szCs w:val="14"/>
        </w:rPr>
        <w:t xml:space="preserve">v </w:t>
      </w:r>
      <w:r>
        <w:rPr>
          <w:b/>
          <w:bCs/>
          <w:sz w:val="16"/>
          <w:szCs w:val="16"/>
        </w:rPr>
        <w:t>tom pestrém a výrazném zabydlení, v té dějové plastice a proměnlivosti, jsou je</w:t>
      </w:r>
      <w:r>
        <w:rPr>
          <w:b/>
          <w:bCs/>
          <w:sz w:val="16"/>
          <w:szCs w:val="16"/>
        </w:rPr>
        <w:softHyphen/>
        <w:t>dinečné přímo předpoklady pro jevištní realisaci těchto pohádek. A v duchu již slyším hlas vy</w:t>
      </w:r>
      <w:r>
        <w:rPr>
          <w:b/>
          <w:bCs/>
          <w:sz w:val="16"/>
          <w:szCs w:val="16"/>
        </w:rPr>
        <w:softHyphen/>
        <w:t>pravěčky v roli babičky, jež ob</w:t>
      </w:r>
      <w:r>
        <w:rPr>
          <w:b/>
          <w:bCs/>
          <w:sz w:val="16"/>
          <w:szCs w:val="16"/>
        </w:rPr>
        <w:softHyphen/>
        <w:t>klopena vnoučaty vypráví pohád</w:t>
      </w:r>
      <w:r>
        <w:rPr>
          <w:b/>
          <w:bCs/>
          <w:sz w:val="16"/>
          <w:szCs w:val="16"/>
        </w:rPr>
        <w:softHyphen/>
        <w:t>kově</w:t>
      </w:r>
      <w:r>
        <w:rPr>
          <w:b/>
          <w:bCs/>
          <w:sz w:val="16"/>
          <w:szCs w:val="16"/>
        </w:rPr>
        <w:t xml:space="preserve"> kouzelné a dobrodružné děje, zatím co pozadím jeviště vidí posluchačova fantasie prcha- ti za zpěvu a v tanci víly. a ne</w:t>
      </w:r>
      <w:r>
        <w:rPr>
          <w:b/>
          <w:bCs/>
          <w:sz w:val="16"/>
          <w:szCs w:val="16"/>
        </w:rPr>
        <w:softHyphen/>
        <w:t>návratně uplývati přeludy vzduš</w:t>
      </w:r>
      <w:r>
        <w:rPr>
          <w:b/>
          <w:bCs/>
          <w:sz w:val="16"/>
          <w:szCs w:val="16"/>
        </w:rPr>
        <w:softHyphen/>
        <w:t>ných zámků a vidiny dalekých zemí. do kterých vcházíme zla</w:t>
      </w:r>
      <w:r>
        <w:rPr>
          <w:b/>
          <w:bCs/>
          <w:sz w:val="16"/>
          <w:szCs w:val="16"/>
        </w:rPr>
        <w:softHyphen/>
        <w:t>tou branou nohádky.</w:t>
      </w:r>
    </w:p>
    <w:p w:rsidR="00500724" w:rsidRDefault="00500724">
      <w:pPr>
        <w:framePr w:w="8160" w:h="2035" w:wrap="none" w:vAnchor="text" w:hAnchor="page" w:x="2338" w:y="21"/>
      </w:pPr>
    </w:p>
    <w:p w:rsidR="00500724" w:rsidRDefault="00500724">
      <w:pPr>
        <w:framePr w:w="182" w:h="182" w:wrap="none" w:vAnchor="text" w:hAnchor="page" w:x="4782" w:y="11060"/>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576" w:line="14" w:lineRule="exact"/>
      </w:pPr>
    </w:p>
    <w:p w:rsidR="00500724" w:rsidRDefault="00500724">
      <w:pPr>
        <w:spacing w:line="14" w:lineRule="exact"/>
        <w:sectPr w:rsidR="00500724">
          <w:footnotePr>
            <w:numFmt w:val="chicago"/>
            <w:numRestart w:val="eachPage"/>
          </w:footnotePr>
          <w:pgSz w:w="11909" w:h="16834"/>
          <w:pgMar w:top="1132" w:right="546" w:bottom="872" w:left="465" w:header="0" w:footer="3" w:gutter="0"/>
          <w:cols w:space="720"/>
          <w:noEndnote/>
          <w:docGrid w:linePitch="360"/>
        </w:sectPr>
      </w:pPr>
    </w:p>
    <w:p w:rsidR="00500724" w:rsidRDefault="00F30FB8">
      <w:pPr>
        <w:pStyle w:val="Nadpis30"/>
        <w:keepNext/>
        <w:keepLines/>
        <w:shd w:val="clear" w:color="auto" w:fill="auto"/>
        <w:spacing w:after="0"/>
        <w:ind w:left="640"/>
        <w:rPr>
          <w:sz w:val="250"/>
          <w:szCs w:val="250"/>
        </w:rPr>
      </w:pPr>
      <w:bookmarkStart w:id="537" w:name="bookmark536"/>
      <w:r>
        <w:rPr>
          <w:sz w:val="250"/>
          <w:szCs w:val="250"/>
        </w:rPr>
        <w:t>řítomnosG</w:t>
      </w:r>
      <w:bookmarkEnd w:id="537"/>
    </w:p>
    <w:tbl>
      <w:tblPr>
        <w:tblOverlap w:val="never"/>
        <w:tblW w:w="0" w:type="auto"/>
        <w:jc w:val="center"/>
        <w:tblLayout w:type="fixed"/>
        <w:tblCellMar>
          <w:left w:w="10" w:type="dxa"/>
          <w:right w:w="10" w:type="dxa"/>
        </w:tblCellMar>
        <w:tblLook w:val="04A0" w:firstRow="1" w:lastRow="0" w:firstColumn="1" w:lastColumn="0" w:noHBand="0" w:noVBand="1"/>
      </w:tblPr>
      <w:tblGrid>
        <w:gridCol w:w="8189"/>
        <w:gridCol w:w="3168"/>
      </w:tblGrid>
      <w:tr w:rsidR="00500724">
        <w:tblPrEx>
          <w:tblCellMar>
            <w:top w:w="0" w:type="dxa"/>
            <w:bottom w:w="0" w:type="dxa"/>
          </w:tblCellMar>
        </w:tblPrEx>
        <w:trPr>
          <w:trHeight w:hRule="exact" w:val="874"/>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tabs>
                <w:tab w:val="left" w:pos="4024"/>
              </w:tabs>
              <w:ind w:left="340" w:firstLine="60"/>
              <w:rPr>
                <w:sz w:val="20"/>
                <w:szCs w:val="20"/>
              </w:rPr>
            </w:pPr>
            <w:r>
              <w:rPr>
                <w:b/>
                <w:bCs/>
                <w:sz w:val="20"/>
                <w:szCs w:val="20"/>
              </w:rPr>
              <w:t>ROCNlK XVI.</w:t>
            </w:r>
            <w:r>
              <w:rPr>
                <w:b/>
                <w:bCs/>
                <w:sz w:val="20"/>
                <w:szCs w:val="20"/>
              </w:rPr>
              <w:tab/>
              <w:t>V PRAZE 31. KVÉTNA 1939</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0"/>
                <w:szCs w:val="20"/>
              </w:rPr>
            </w:pPr>
            <w:r>
              <w:rPr>
                <w:b/>
                <w:bCs/>
                <w:sz w:val="20"/>
                <w:szCs w:val="20"/>
              </w:rPr>
              <w:t>ZA K 2.-~</w:t>
            </w:r>
          </w:p>
        </w:tc>
      </w:tr>
      <w:tr w:rsidR="00500724">
        <w:tblPrEx>
          <w:tblCellMar>
            <w:top w:w="0" w:type="dxa"/>
            <w:bottom w:w="0" w:type="dxa"/>
          </w:tblCellMar>
        </w:tblPrEx>
        <w:trPr>
          <w:trHeight w:hRule="exact" w:val="204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60"/>
              <w:jc w:val="left"/>
              <w:rPr>
                <w:sz w:val="58"/>
                <w:szCs w:val="58"/>
              </w:rPr>
            </w:pPr>
            <w:r>
              <w:rPr>
                <w:sz w:val="58"/>
                <w:szCs w:val="58"/>
              </w:rPr>
              <w:t>Lidé v Národním souručenství</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MILENA JESENSKÁ</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60"/>
              <w:jc w:val="left"/>
              <w:rPr>
                <w:sz w:val="58"/>
                <w:szCs w:val="58"/>
              </w:rPr>
            </w:pPr>
            <w:r>
              <w:rPr>
                <w:sz w:val="58"/>
                <w:szCs w:val="58"/>
              </w:rPr>
              <w:t>Příklad Václava Talicha</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sz w:val="26"/>
                <w:szCs w:val="26"/>
              </w:rPr>
              <w:t>E. F. BURIAN</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60"/>
              <w:jc w:val="left"/>
              <w:rPr>
                <w:sz w:val="58"/>
                <w:szCs w:val="58"/>
              </w:rPr>
            </w:pPr>
            <w:r>
              <w:rPr>
                <w:sz w:val="58"/>
                <w:szCs w:val="58"/>
              </w:rPr>
              <w:t>Zachraňme český tisk</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sz w:val="26"/>
                <w:szCs w:val="26"/>
              </w:rPr>
              <w:t>JAN SKÁLA</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60"/>
              <w:jc w:val="left"/>
              <w:rPr>
                <w:sz w:val="58"/>
                <w:szCs w:val="58"/>
              </w:rPr>
            </w:pPr>
            <w:r>
              <w:rPr>
                <w:sz w:val="58"/>
                <w:szCs w:val="58"/>
              </w:rPr>
              <w:t>Gibraltarský klíč</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PAVEL HOFMAN</w:t>
            </w:r>
          </w:p>
        </w:tc>
      </w:tr>
      <w:tr w:rsidR="00500724">
        <w:tblPrEx>
          <w:tblCellMar>
            <w:top w:w="0" w:type="dxa"/>
            <w:bottom w:w="0" w:type="dxa"/>
          </w:tblCellMar>
        </w:tblPrEx>
        <w:trPr>
          <w:trHeight w:hRule="exact" w:val="121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440" w:firstLine="0"/>
              <w:jc w:val="left"/>
              <w:rPr>
                <w:sz w:val="58"/>
                <w:szCs w:val="58"/>
              </w:rPr>
            </w:pPr>
            <w:r>
              <w:rPr>
                <w:sz w:val="58"/>
                <w:szCs w:val="58"/>
              </w:rPr>
              <w:t>Praha</w:t>
            </w:r>
            <w:r>
              <w:rPr>
                <w:sz w:val="58"/>
                <w:szCs w:val="58"/>
              </w:rPr>
              <w:t xml:space="preserve"> jako středisko německé kultury</w:t>
            </w:r>
          </w:p>
        </w:tc>
      </w:tr>
      <w:tr w:rsidR="00500724">
        <w:tblPrEx>
          <w:tblCellMar>
            <w:top w:w="0" w:type="dxa"/>
            <w:bottom w:w="0" w:type="dxa"/>
          </w:tblCellMar>
        </w:tblPrEx>
        <w:trPr>
          <w:trHeight w:hRule="exact" w:val="1205"/>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440" w:firstLine="0"/>
              <w:jc w:val="left"/>
              <w:rPr>
                <w:sz w:val="32"/>
                <w:szCs w:val="32"/>
              </w:rPr>
            </w:pPr>
            <w:r>
              <w:rPr>
                <w:rFonts w:ascii="Calibri" w:eastAsia="Calibri" w:hAnsi="Calibri" w:cs="Calibri"/>
                <w:b/>
                <w:bCs/>
                <w:w w:val="70"/>
                <w:sz w:val="70"/>
                <w:szCs w:val="70"/>
              </w:rPr>
              <w:t xml:space="preserve">Ke zrušení footballového profesionalismu u nás </w:t>
            </w:r>
            <w:r>
              <w:rPr>
                <w:smallCaps/>
                <w:sz w:val="32"/>
                <w:szCs w:val="32"/>
              </w:rPr>
              <w:t>a. mraz</w:t>
            </w:r>
          </w:p>
        </w:tc>
      </w:tr>
      <w:tr w:rsidR="00500724">
        <w:tblPrEx>
          <w:tblCellMar>
            <w:top w:w="0" w:type="dxa"/>
            <w:bottom w:w="0" w:type="dxa"/>
          </w:tblCellMar>
        </w:tblPrEx>
        <w:trPr>
          <w:trHeight w:hRule="exact" w:val="24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shd w:val="clear" w:color="auto" w:fill="auto"/>
              <w:spacing w:line="209" w:lineRule="auto"/>
              <w:ind w:left="560" w:right="480" w:firstLine="20"/>
              <w:rPr>
                <w:sz w:val="26"/>
                <w:szCs w:val="26"/>
              </w:rPr>
            </w:pPr>
            <w:r>
              <w:rPr>
                <w:b/>
                <w:bCs/>
                <w:sz w:val="26"/>
                <w:szCs w:val="26"/>
              </w:rPr>
              <w:t>Když všechno se mění — Pokles českého exportu — Francouzské finance — Spor o čínské koncese a japonská politika — Palestina roste opět v problém — Anglo-řecká obchodní</w:t>
            </w:r>
            <w:r>
              <w:rPr>
                <w:b/>
                <w:bCs/>
                <w:sz w:val="26"/>
                <w:szCs w:val="26"/>
              </w:rPr>
              <w:t xml:space="preserve"> smlouva — Opevnění Aalandských ostrovů — Školství samostatného Slovenska — Co je svatováclavská tradice — Družstevnictví — Odpověď Hlinkovu gardistovi — Odpověď Slovence — ČTK a sport — Americký filmový průmysl před krisí</w:t>
            </w:r>
          </w:p>
        </w:tc>
      </w:tr>
    </w:tbl>
    <w:p w:rsidR="00500724" w:rsidRDefault="00500724">
      <w:pPr>
        <w:spacing w:line="14" w:lineRule="exact"/>
        <w:sectPr w:rsidR="00500724">
          <w:footnotePr>
            <w:numFmt w:val="chicago"/>
            <w:numRestart w:val="eachPage"/>
          </w:footnotePr>
          <w:pgSz w:w="11909" w:h="16834"/>
          <w:pgMar w:top="2161" w:right="0" w:bottom="603" w:left="595"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906" behindDoc="0" locked="0" layoutInCell="1" allowOverlap="1">
                <wp:simplePos x="0" y="0"/>
                <wp:positionH relativeFrom="page">
                  <wp:posOffset>2650490</wp:posOffset>
                </wp:positionH>
                <wp:positionV relativeFrom="paragraph">
                  <wp:posOffset>3636010</wp:posOffset>
                </wp:positionV>
                <wp:extent cx="646430" cy="182880"/>
                <wp:effectExtent l="0" t="0" r="0" b="0"/>
                <wp:wrapSquare wrapText="left"/>
                <wp:docPr id="529" name="Shape 529"/>
                <wp:cNvGraphicFramePr/>
                <a:graphic xmlns:a="http://schemas.openxmlformats.org/drawingml/2006/main">
                  <a:graphicData uri="http://schemas.microsoft.com/office/word/2010/wordprocessingShape">
                    <wps:wsp>
                      <wps:cNvSpPr txBox="1"/>
                      <wps:spPr>
                        <a:xfrm>
                          <a:off x="0" y="0"/>
                          <a:ext cx="646430" cy="182880"/>
                        </a:xfrm>
                        <a:prstGeom prst="rect">
                          <a:avLst/>
                        </a:prstGeom>
                        <a:solidFill>
                          <a:srgbClr val="E6D1A7"/>
                        </a:solidFill>
                      </wps:spPr>
                      <wps:txbx>
                        <w:txbxContent>
                          <w:p w:rsidR="00500724" w:rsidRDefault="00F30FB8">
                            <w:pPr>
                              <w:pStyle w:val="Zkladntext80"/>
                              <w:shd w:val="clear" w:color="auto" w:fill="auto"/>
                              <w:spacing w:line="240" w:lineRule="auto"/>
                            </w:pPr>
                            <w:r>
                              <w:rPr>
                                <w:b w:val="0"/>
                                <w:bCs w:val="0"/>
                              </w:rPr>
                              <w:t xml:space="preserve">u </w:t>
                            </w:r>
                            <w:r>
                              <w:rPr>
                                <w:b w:val="0"/>
                                <w:bCs w:val="0"/>
                              </w:rPr>
                              <w:t>Jaroměře</w:t>
                            </w:r>
                          </w:p>
                        </w:txbxContent>
                      </wps:txbx>
                      <wps:bodyPr lIns="0" tIns="0" rIns="0" bIns="0">
                        <a:spAutoFit/>
                      </wps:bodyPr>
                    </wps:wsp>
                  </a:graphicData>
                </a:graphic>
              </wp:anchor>
            </w:drawing>
          </mc:Choice>
          <mc:Fallback>
            <w:pict>
              <v:shape id="_x0000_s1555" type="#_x0000_t202" style="position:absolute;margin-left:208.69999999999999pt;margin-top:286.30000000000001pt;width:50.899999999999999pt;height:14.4pt;z-index:-125828847;mso-wrap-distance-left:9.pt;mso-wrap-distance-right:9.pt;mso-position-horizontal-relative:page" fillcolor="#E6D1A7"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22"/>
                          <w:szCs w:val="22"/>
                          <w:shd w:val="clear" w:color="auto" w:fill="auto"/>
                          <w:lang w:val="cs-CZ" w:eastAsia="cs-CZ" w:bidi="cs-CZ"/>
                        </w:rPr>
                        <w:t>u Jaroměře</w:t>
                      </w:r>
                    </w:p>
                  </w:txbxContent>
                </v:textbox>
                <w10:wrap type="square" side="left" anchorx="page"/>
              </v:shape>
            </w:pict>
          </mc:Fallback>
        </mc:AlternateContent>
      </w:r>
      <w:r>
        <w:rPr>
          <w:noProof/>
        </w:rPr>
        <mc:AlternateContent>
          <mc:Choice Requires="wps">
            <w:drawing>
              <wp:anchor distT="0" distB="0" distL="50800" distR="50800" simplePos="0" relativeHeight="125829908" behindDoc="0" locked="0" layoutInCell="1" allowOverlap="1">
                <wp:simplePos x="0" y="0"/>
                <wp:positionH relativeFrom="page">
                  <wp:posOffset>205740</wp:posOffset>
                </wp:positionH>
                <wp:positionV relativeFrom="paragraph">
                  <wp:posOffset>5379720</wp:posOffset>
                </wp:positionV>
                <wp:extent cx="1322705" cy="304800"/>
                <wp:effectExtent l="0" t="0" r="0" b="0"/>
                <wp:wrapSquare wrapText="right"/>
                <wp:docPr id="531" name="Shape 531"/>
                <wp:cNvGraphicFramePr/>
                <a:graphic xmlns:a="http://schemas.openxmlformats.org/drawingml/2006/main">
                  <a:graphicData uri="http://schemas.microsoft.com/office/word/2010/wordprocessingShape">
                    <wps:wsp>
                      <wps:cNvSpPr txBox="1"/>
                      <wps:spPr>
                        <a:xfrm>
                          <a:off x="0" y="0"/>
                          <a:ext cx="1322705" cy="304800"/>
                        </a:xfrm>
                        <a:prstGeom prst="rect">
                          <a:avLst/>
                        </a:prstGeom>
                        <a:solidFill>
                          <a:srgbClr val="E6D1A7"/>
                        </a:solid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HERMES</w:t>
                            </w:r>
                          </w:p>
                        </w:txbxContent>
                      </wps:txbx>
                      <wps:bodyPr lIns="0" tIns="0" rIns="0" bIns="0">
                        <a:spAutoFit/>
                      </wps:bodyPr>
                    </wps:wsp>
                  </a:graphicData>
                </a:graphic>
              </wp:anchor>
            </w:drawing>
          </mc:Choice>
          <mc:Fallback>
            <w:pict>
              <v:shape id="_x0000_s1557" type="#_x0000_t202" style="position:absolute;margin-left:16.199999999999999pt;margin-top:423.60000000000002pt;width:104.15000000000001pt;height:24.pt;z-index:-125828845;mso-wrap-distance-left:4.pt;mso-wrap-distance-right:4.pt;mso-position-horizontal-relative:page" fillcolor="#E6D1A7"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HERMES</w:t>
                      </w:r>
                    </w:p>
                  </w:txbxContent>
                </v:textbox>
                <w10:wrap type="square" side="right" anchorx="page"/>
              </v:shape>
            </w:pict>
          </mc:Fallback>
        </mc:AlternateConten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120"/>
        <w:jc w:val="center"/>
      </w:pPr>
      <w:bookmarkStart w:id="538" w:name="bookmark537"/>
      <w:r>
        <w:rPr>
          <w:color w:val="FFFFFF"/>
        </w:rPr>
        <w:t>ODBORNÍ LCKAftl</w:t>
      </w:r>
      <w:bookmarkEnd w:id="538"/>
    </w:p>
    <w:p w:rsidR="00500724" w:rsidRDefault="00F30FB8">
      <w:pPr>
        <w:pStyle w:val="Jin0"/>
        <w:shd w:val="clear" w:color="auto" w:fill="auto"/>
        <w:spacing w:after="40"/>
        <w:ind w:firstLine="0"/>
        <w:jc w:val="left"/>
        <w:rPr>
          <w:sz w:val="50"/>
          <w:szCs w:val="50"/>
        </w:rPr>
      </w:pPr>
      <w:r>
        <w:rPr>
          <w:sz w:val="50"/>
          <w:szCs w:val="50"/>
        </w:rPr>
        <w:t>Sanatorium Dr. Borůvka</w:t>
      </w:r>
    </w:p>
    <w:p w:rsidR="00500724" w:rsidRDefault="00F30FB8">
      <w:pPr>
        <w:pStyle w:val="Zkladntext100"/>
        <w:shd w:val="clear" w:color="auto" w:fill="auto"/>
        <w:spacing w:after="140" w:line="185" w:lineRule="auto"/>
        <w:ind w:firstLine="0"/>
      </w:pPr>
      <w:r>
        <w:t xml:space="preserve">Ústav pro choroby chirurgické, ženské a porody. </w:t>
      </w:r>
      <w:r>
        <w:rPr>
          <w:b/>
          <w:bCs/>
        </w:rPr>
        <w:t xml:space="preserve">PRAHA IL, LEGEROVA </w:t>
      </w:r>
      <w:r>
        <w:t>61/63. Telefony 212-37. 379-06. 332-38.</w:t>
      </w:r>
    </w:p>
    <w:p w:rsidR="00500724" w:rsidRDefault="00F30FB8">
      <w:pPr>
        <w:pStyle w:val="Jin0"/>
        <w:shd w:val="clear" w:color="auto" w:fill="auto"/>
        <w:spacing w:after="40"/>
        <w:ind w:firstLine="0"/>
        <w:rPr>
          <w:sz w:val="26"/>
          <w:szCs w:val="26"/>
        </w:rPr>
      </w:pPr>
      <w:r>
        <w:rPr>
          <w:rFonts w:ascii="Arial" w:eastAsia="Arial" w:hAnsi="Arial" w:cs="Arial"/>
          <w:b/>
          <w:bCs/>
          <w:sz w:val="26"/>
          <w:szCs w:val="26"/>
        </w:rPr>
        <w:t>MUDr. ZDEŇKA NEDVĚDOVA-NEJEDLA</w:t>
      </w:r>
    </w:p>
    <w:p w:rsidR="00500724" w:rsidRDefault="00F30FB8">
      <w:pPr>
        <w:pStyle w:val="Zkladntext100"/>
        <w:shd w:val="clear" w:color="auto" w:fill="auto"/>
        <w:spacing w:after="140" w:line="233" w:lineRule="auto"/>
        <w:ind w:firstLine="0"/>
      </w:pPr>
      <w:r>
        <w:t xml:space="preserve">odb. dětská lékařka, PODOLÍ, PANKRÁCKÁ 14 (stanice elektr. </w:t>
      </w:r>
      <w:r>
        <w:t>dráhy za Podol, sanatoriem). Ord. 9—10 a 2—4. Tel. 441-77.</w:t>
      </w:r>
    </w:p>
    <w:p w:rsidR="00500724" w:rsidRDefault="00F30FB8">
      <w:pPr>
        <w:pStyle w:val="Jin0"/>
        <w:shd w:val="clear" w:color="auto" w:fill="auto"/>
        <w:spacing w:after="40"/>
        <w:ind w:firstLine="0"/>
        <w:rPr>
          <w:sz w:val="26"/>
          <w:szCs w:val="26"/>
        </w:rPr>
      </w:pPr>
      <w:r>
        <w:rPr>
          <w:rFonts w:ascii="Arial" w:eastAsia="Arial" w:hAnsi="Arial" w:cs="Arial"/>
          <w:b/>
          <w:bCs/>
          <w:sz w:val="26"/>
          <w:szCs w:val="26"/>
        </w:rPr>
        <w:t>MUDr. ANTONÍN NEUMANN</w:t>
      </w:r>
    </w:p>
    <w:p w:rsidR="00500724" w:rsidRDefault="00F30FB8">
      <w:pPr>
        <w:pStyle w:val="Zkladntext90"/>
        <w:shd w:val="clear" w:color="auto" w:fill="auto"/>
        <w:spacing w:after="160" w:line="240" w:lineRule="auto"/>
        <w:ind w:firstLine="700"/>
      </w:pPr>
      <w:r>
        <w:t xml:space="preserve">odborný lékař nemoci pohlavních, kožních a kosmetiky Praha </w:t>
      </w:r>
      <w:r>
        <w:rPr>
          <w:rFonts w:ascii="Times New Roman" w:eastAsia="Times New Roman" w:hAnsi="Times New Roman" w:cs="Times New Roman"/>
          <w:sz w:val="20"/>
          <w:szCs w:val="20"/>
        </w:rPr>
        <w:t xml:space="preserve">n„ Na </w:t>
      </w:r>
      <w:r>
        <w:t>Zbořenci 24 — třetí dům od Karlova náměstí. Ordinuje celý den. V neděli a ve svátek dopoledne. Tel. 41.728.</w:t>
      </w:r>
    </w:p>
    <w:p w:rsidR="00500724" w:rsidRDefault="00F30FB8">
      <w:pPr>
        <w:pStyle w:val="Zkladntext40"/>
        <w:shd w:val="clear" w:color="auto" w:fill="auto"/>
        <w:spacing w:after="160" w:line="240" w:lineRule="auto"/>
        <w:rPr>
          <w:sz w:val="16"/>
          <w:szCs w:val="16"/>
        </w:rPr>
      </w:pPr>
      <w:r>
        <w:rPr>
          <w:sz w:val="18"/>
          <w:szCs w:val="18"/>
        </w:rPr>
        <w:t xml:space="preserve">Pro plastickou chirurgii </w:t>
      </w:r>
      <w:r>
        <w:rPr>
          <w:rFonts w:ascii="Arial" w:eastAsia="Arial" w:hAnsi="Arial" w:cs="Arial"/>
          <w:b/>
          <w:bCs/>
          <w:sz w:val="24"/>
          <w:szCs w:val="24"/>
        </w:rPr>
        <w:t xml:space="preserve">Dr. RUDOLF SLUNEČKO </w:t>
      </w:r>
      <w:r>
        <w:rPr>
          <w:sz w:val="18"/>
          <w:szCs w:val="18"/>
        </w:rPr>
        <w:t xml:space="preserve">ord. 3—4 </w:t>
      </w:r>
      <w:r>
        <w:rPr>
          <w:sz w:val="16"/>
          <w:szCs w:val="16"/>
        </w:rPr>
        <w:t xml:space="preserve">(a podle úmluvy). Telefon 393-79. PRAHA </w:t>
      </w:r>
      <w:r>
        <w:rPr>
          <w:sz w:val="18"/>
          <w:szCs w:val="18"/>
        </w:rPr>
        <w:t>II., VO</w:t>
      </w:r>
      <w:r>
        <w:rPr>
          <w:sz w:val="18"/>
          <w:szCs w:val="18"/>
        </w:rPr>
        <w:softHyphen/>
        <w:t xml:space="preserve">DIČKOVA </w:t>
      </w:r>
      <w:r>
        <w:rPr>
          <w:sz w:val="16"/>
          <w:szCs w:val="16"/>
        </w:rPr>
        <w:t>15. (Hlávkův palác.)</w:t>
      </w:r>
    </w:p>
    <w:p w:rsidR="00500724" w:rsidRDefault="00F30FB8">
      <w:pPr>
        <w:pStyle w:val="Zkladntext100"/>
        <w:shd w:val="clear" w:color="auto" w:fill="auto"/>
        <w:spacing w:after="660" w:line="228" w:lineRule="auto"/>
        <w:ind w:firstLine="0"/>
      </w:pPr>
      <w:r>
        <w:rPr>
          <w:rFonts w:ascii="Arial" w:eastAsia="Arial" w:hAnsi="Arial" w:cs="Arial"/>
          <w:b/>
          <w:bCs/>
          <w:sz w:val="22"/>
          <w:szCs w:val="22"/>
        </w:rPr>
        <w:t xml:space="preserve">MUDr. STANISLAV TUMPACH </w:t>
      </w:r>
      <w:r>
        <w:t xml:space="preserve">odborný lékař pro chirurgii a urologii. PRAHA XH., Fochova 84 (Nám. krále Jiřího). Ord. 15—17. Tel. </w:t>
      </w:r>
      <w:r>
        <w:t>512-86, byt: 513-38.</w:t>
      </w:r>
    </w:p>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left="220" w:firstLine="20"/>
        <w:jc w:val="left"/>
        <w:rPr>
          <w:sz w:val="42"/>
          <w:szCs w:val="42"/>
        </w:rPr>
      </w:pPr>
      <w:r>
        <w:rPr>
          <w:rFonts w:ascii="Arial" w:eastAsia="Arial" w:hAnsi="Arial" w:cs="Arial"/>
          <w:smallCaps/>
          <w:color w:val="FFFFFF"/>
          <w:sz w:val="42"/>
          <w:szCs w:val="42"/>
        </w:rPr>
        <w:t>lwhe</w:t>
      </w:r>
    </w:p>
    <w:p w:rsidR="00500724" w:rsidRDefault="00F30FB8">
      <w:pPr>
        <w:pStyle w:val="Zkladntext100"/>
        <w:shd w:val="clear" w:color="auto" w:fill="auto"/>
        <w:spacing w:after="40" w:line="240" w:lineRule="auto"/>
        <w:ind w:left="220" w:firstLine="20"/>
        <w:jc w:val="left"/>
      </w:pPr>
      <w:r>
        <w:t>Sezóna od 1. března</w:t>
      </w:r>
    </w:p>
    <w:p w:rsidR="00500724" w:rsidRDefault="00F30FB8">
      <w:pPr>
        <w:pStyle w:val="Jin0"/>
        <w:shd w:val="clear" w:color="auto" w:fill="auto"/>
        <w:ind w:firstLine="0"/>
        <w:jc w:val="right"/>
      </w:pPr>
      <w:r>
        <w:rPr>
          <w:rFonts w:ascii="Arial" w:eastAsia="Arial" w:hAnsi="Arial" w:cs="Arial"/>
        </w:rPr>
        <w:t>Revma, dna, ischias, nervosy, ženské choroby</w:t>
      </w:r>
    </w:p>
    <w:p w:rsidR="00500724" w:rsidRDefault="00F30FB8">
      <w:pPr>
        <w:pStyle w:val="Jin0"/>
        <w:shd w:val="clear" w:color="auto" w:fill="auto"/>
        <w:spacing w:after="500" w:line="199" w:lineRule="auto"/>
        <w:ind w:firstLine="0"/>
        <w:jc w:val="right"/>
        <w:rPr>
          <w:sz w:val="26"/>
          <w:szCs w:val="26"/>
        </w:rPr>
      </w:pPr>
      <w:r>
        <w:rPr>
          <w:rFonts w:ascii="Arial" w:eastAsia="Arial" w:hAnsi="Arial" w:cs="Arial"/>
          <w:b/>
          <w:bCs/>
          <w:sz w:val="26"/>
          <w:szCs w:val="26"/>
        </w:rPr>
        <w:t>Levné jarní paušály od K 960*-za 3 týdny</w:t>
      </w:r>
    </w:p>
    <w:p w:rsidR="00500724" w:rsidRDefault="00F30FB8">
      <w:pPr>
        <w:pStyle w:val="Jin0"/>
        <w:shd w:val="clear" w:color="auto" w:fill="auto"/>
        <w:spacing w:after="80"/>
        <w:ind w:left="340" w:firstLine="0"/>
        <w:jc w:val="left"/>
        <w:rPr>
          <w:sz w:val="26"/>
          <w:szCs w:val="26"/>
        </w:rPr>
      </w:pPr>
      <w:r>
        <w:rPr>
          <w:i/>
          <w:iCs/>
          <w:sz w:val="26"/>
          <w:szCs w:val="26"/>
        </w:rPr>
        <w:t>Světovou sensaci</w:t>
      </w:r>
    </w:p>
    <w:p w:rsidR="00500724" w:rsidRDefault="00F30FB8">
      <w:pPr>
        <w:pStyle w:val="Nadpis110"/>
        <w:shd w:val="clear" w:color="auto" w:fill="auto"/>
        <w:spacing w:after="80"/>
        <w:ind w:left="840"/>
      </w:pPr>
      <w:bookmarkStart w:id="539" w:name="bookmark538"/>
      <w:r>
        <w:t>prvního řádu Jsou</w:t>
      </w:r>
      <w:bookmarkEnd w:id="539"/>
    </w:p>
    <w:p w:rsidR="00500724" w:rsidRDefault="00F30FB8">
      <w:pPr>
        <w:pStyle w:val="Jin0"/>
        <w:shd w:val="clear" w:color="auto" w:fill="auto"/>
        <w:spacing w:after="100"/>
        <w:ind w:right="180" w:firstLine="0"/>
        <w:jc w:val="right"/>
        <w:rPr>
          <w:sz w:val="36"/>
          <w:szCs w:val="36"/>
        </w:rPr>
      </w:pPr>
      <w:r>
        <w:rPr>
          <w:rFonts w:ascii="Arial" w:eastAsia="Arial" w:hAnsi="Arial" w:cs="Arial"/>
          <w:b/>
          <w:bCs/>
          <w:sz w:val="36"/>
          <w:szCs w:val="36"/>
        </w:rPr>
        <w:t>švýcarské ptáci ftroie</w:t>
      </w:r>
    </w:p>
    <w:p w:rsidR="00500724" w:rsidRDefault="00F30FB8">
      <w:pPr>
        <w:pStyle w:val="Zkladntext50"/>
        <w:shd w:val="clear" w:color="auto" w:fill="auto"/>
        <w:spacing w:after="40" w:line="240" w:lineRule="auto"/>
        <w:ind w:left="0" w:right="180"/>
      </w:pPr>
      <w:r>
        <w:t>s automatem pásky, oboustran</w:t>
      </w:r>
      <w:r>
        <w:softHyphen/>
        <w:t xml:space="preserve">ným vypínačem okraje </w:t>
      </w:r>
      <w:r>
        <w:rPr>
          <w:b/>
          <w:bCs/>
          <w:sz w:val="16"/>
          <w:szCs w:val="16"/>
        </w:rPr>
        <w:t xml:space="preserve">a </w:t>
      </w:r>
      <w:r>
        <w:t>vel-</w:t>
      </w:r>
    </w:p>
    <w:p w:rsidR="00500724" w:rsidRDefault="00F30FB8">
      <w:pPr>
        <w:pStyle w:val="Zkladntext50"/>
        <w:shd w:val="clear" w:color="auto" w:fill="auto"/>
        <w:spacing w:after="40" w:line="190" w:lineRule="auto"/>
        <w:ind w:left="1640" w:right="180" w:firstLine="20"/>
      </w:pPr>
      <w:r>
        <w:t xml:space="preserve">babu </w:t>
      </w:r>
      <w:r>
        <w:rPr>
          <w:vertAlign w:val="superscript"/>
        </w:rPr>
        <w:t xml:space="preserve">kou </w:t>
      </w:r>
      <w:r>
        <w:rPr>
          <w:vertAlign w:val="superscript"/>
        </w:rPr>
        <w:t>fádl&lt;ovou</w:t>
      </w:r>
      <w:r>
        <w:t xml:space="preserve"> Pákou, s ele- íP</w:t>
      </w:r>
      <w:r>
        <w:rPr>
          <w:vertAlign w:val="superscript"/>
        </w:rPr>
        <w:t>a</w:t>
      </w:r>
      <w:r>
        <w:t xml:space="preserve"> gantním kufříkem</w:t>
      </w:r>
    </w:p>
    <w:p w:rsidR="00500724" w:rsidRDefault="00F30FB8">
      <w:pPr>
        <w:pStyle w:val="Nadpis110"/>
        <w:shd w:val="clear" w:color="auto" w:fill="auto"/>
        <w:ind w:right="180"/>
        <w:jc w:val="right"/>
      </w:pPr>
      <w:bookmarkStart w:id="540" w:name="bookmark539"/>
      <w:r>
        <w:rPr>
          <w:u w:val="single"/>
        </w:rPr>
        <w:t>JEN K 1390*-</w:t>
      </w:r>
      <w:bookmarkEnd w:id="540"/>
    </w:p>
    <w:p w:rsidR="00500724" w:rsidRDefault="00F30FB8">
      <w:pPr>
        <w:spacing w:line="1" w:lineRule="exact"/>
        <w:rPr>
          <w:sz w:val="2"/>
          <w:szCs w:val="2"/>
        </w:rPr>
      </w:pPr>
      <w:r>
        <w:br w:type="column"/>
      </w:r>
    </w:p>
    <w:p w:rsidR="00500724" w:rsidRDefault="00F30FB8">
      <w:pPr>
        <w:pStyle w:val="Zkladntext50"/>
        <w:shd w:val="clear" w:color="auto" w:fill="auto"/>
        <w:spacing w:after="180" w:line="206" w:lineRule="auto"/>
        <w:ind w:left="500" w:right="420"/>
        <w:jc w:val="left"/>
      </w:pPr>
      <w:r>
        <w:t>»O osudu národa rozhoduje nakonec plodnost Jeho žen a počet Jeho koíébekla</w:t>
      </w:r>
    </w:p>
    <w:p w:rsidR="00500724" w:rsidRDefault="00F30FB8">
      <w:pPr>
        <w:pStyle w:val="Zkladntext50"/>
        <w:shd w:val="clear" w:color="auto" w:fill="auto"/>
        <w:spacing w:after="0" w:line="312" w:lineRule="auto"/>
        <w:ind w:left="0"/>
        <w:jc w:val="center"/>
      </w:pPr>
      <w:r>
        <w:rPr>
          <w:b/>
          <w:bCs/>
        </w:rPr>
        <w:t>NeJaktuálnélBl kniha dneška</w:t>
      </w:r>
      <w:r>
        <w:rPr>
          <w:b/>
          <w:bCs/>
        </w:rPr>
        <w:br/>
        <w:t xml:space="preserve">Dr. OnO </w:t>
      </w:r>
      <w:r>
        <w:rPr>
          <w:b/>
          <w:bCs/>
          <w:lang w:val="en-US" w:eastAsia="en-US" w:bidi="en-US"/>
        </w:rPr>
        <w:t>SCHMIDT</w:t>
      </w:r>
    </w:p>
    <w:p w:rsidR="00500724" w:rsidRDefault="00F30FB8">
      <w:pPr>
        <w:pStyle w:val="Jin0"/>
        <w:shd w:val="clear" w:color="auto" w:fill="auto"/>
        <w:spacing w:line="180" w:lineRule="auto"/>
        <w:ind w:firstLine="0"/>
        <w:jc w:val="left"/>
        <w:rPr>
          <w:sz w:val="46"/>
          <w:szCs w:val="46"/>
        </w:rPr>
      </w:pPr>
      <w:r>
        <w:rPr>
          <w:rFonts w:ascii="Arial" w:eastAsia="Arial" w:hAnsi="Arial" w:cs="Arial"/>
          <w:b/>
          <w:bCs/>
          <w:smallCaps/>
          <w:sz w:val="46"/>
          <w:szCs w:val="46"/>
        </w:rPr>
        <w:t>nArody na rozcestí</w:t>
      </w:r>
    </w:p>
    <w:p w:rsidR="00500724" w:rsidRDefault="00F30FB8">
      <w:pPr>
        <w:pStyle w:val="Zkladntext50"/>
        <w:shd w:val="clear" w:color="auto" w:fill="auto"/>
        <w:spacing w:after="0" w:line="259" w:lineRule="auto"/>
        <w:ind w:left="0"/>
        <w:jc w:val="center"/>
      </w:pPr>
      <w:r>
        <w:t>Populační perspektivy . Populace a národní</w:t>
      </w:r>
      <w:r>
        <w:br/>
        <w:t xml:space="preserve">hospodářství - </w:t>
      </w:r>
      <w:r>
        <w:t>Německý boj o populaci -</w:t>
      </w:r>
      <w:r>
        <w:br/>
        <w:t>Francie se brání vylidnění - O příčinách</w:t>
      </w:r>
      <w:r>
        <w:br/>
        <w:t>úbytu obyvatelstva atd.</w:t>
      </w:r>
    </w:p>
    <w:p w:rsidR="00500724" w:rsidRDefault="00F30FB8">
      <w:pPr>
        <w:pStyle w:val="Zkladntext50"/>
        <w:shd w:val="clear" w:color="auto" w:fill="auto"/>
        <w:spacing w:after="0" w:line="254" w:lineRule="auto"/>
        <w:ind w:left="0"/>
        <w:jc w:val="center"/>
      </w:pPr>
      <w:r>
        <w:t>Osudová váha populačních otázek leží na</w:t>
      </w:r>
      <w:r>
        <w:br/>
        <w:t>nás celou tíhou. Informujte se o nich!</w:t>
      </w:r>
    </w:p>
    <w:p w:rsidR="00500724" w:rsidRDefault="00F30FB8">
      <w:pPr>
        <w:pStyle w:val="Zkladntext100"/>
        <w:shd w:val="clear" w:color="auto" w:fill="auto"/>
        <w:spacing w:after="120" w:line="228" w:lineRule="auto"/>
        <w:ind w:firstLine="0"/>
        <w:jc w:val="center"/>
        <w:rPr>
          <w:sz w:val="19"/>
          <w:szCs w:val="19"/>
        </w:rPr>
      </w:pPr>
      <w:r>
        <w:rPr>
          <w:b/>
          <w:bCs/>
          <w:sz w:val="19"/>
          <w:szCs w:val="19"/>
        </w:rPr>
        <w:t>K 55.—.</w:t>
      </w:r>
    </w:p>
    <w:p w:rsidR="00500724" w:rsidRDefault="00F30FB8">
      <w:pPr>
        <w:pStyle w:val="Zkladntext50"/>
        <w:shd w:val="clear" w:color="auto" w:fill="auto"/>
        <w:spacing w:after="0" w:line="240" w:lineRule="auto"/>
        <w:ind w:left="2100"/>
        <w:jc w:val="left"/>
        <w:rPr>
          <w:sz w:val="18"/>
          <w:szCs w:val="18"/>
        </w:rPr>
      </w:pPr>
      <w:r>
        <w:rPr>
          <w:i/>
          <w:iCs/>
          <w:sz w:val="18"/>
          <w:szCs w:val="18"/>
          <w:vertAlign w:val="superscript"/>
        </w:rPr>
        <w:t>l,aŽdt</w:t>
      </w:r>
      <w:r>
        <w:rPr>
          <w:i/>
          <w:iCs/>
          <w:sz w:val="18"/>
          <w:szCs w:val="18"/>
        </w:rPr>
        <w:t xml:space="preserve"> xo^kup.c,</w:t>
      </w:r>
    </w:p>
    <w:p w:rsidR="00500724" w:rsidRDefault="00F30FB8">
      <w:pPr>
        <w:pStyle w:val="Zkladntext50"/>
        <w:shd w:val="clear" w:color="auto" w:fill="auto"/>
        <w:spacing w:after="600" w:line="259" w:lineRule="auto"/>
        <w:ind w:left="60"/>
        <w:jc w:val="center"/>
      </w:pPr>
      <w:r>
        <w:t>V-/&amp;BU PRAHA Xll, FOCHOVA 62</w:t>
      </w:r>
    </w:p>
    <w:p w:rsidR="00500724" w:rsidRDefault="00F30FB8">
      <w:pPr>
        <w:pStyle w:val="Jin0"/>
        <w:pBdr>
          <w:top w:val="single" w:sz="4" w:space="0" w:color="auto"/>
        </w:pBdr>
        <w:shd w:val="clear" w:color="auto" w:fill="auto"/>
        <w:spacing w:after="80"/>
        <w:ind w:firstLine="0"/>
        <w:jc w:val="left"/>
        <w:rPr>
          <w:sz w:val="42"/>
          <w:szCs w:val="42"/>
        </w:rPr>
      </w:pPr>
      <w:r>
        <w:rPr>
          <w:rFonts w:ascii="Calibri" w:eastAsia="Calibri" w:hAnsi="Calibri" w:cs="Calibri"/>
          <w:b/>
          <w:bCs/>
          <w:w w:val="70"/>
          <w:sz w:val="42"/>
          <w:szCs w:val="42"/>
        </w:rPr>
        <w:t>Nové knihy hospodářské, politické</w:t>
      </w:r>
      <w:r>
        <w:rPr>
          <w:rFonts w:ascii="Calibri" w:eastAsia="Calibri" w:hAnsi="Calibri" w:cs="Calibri"/>
          <w:b/>
          <w:bCs/>
          <w:w w:val="70"/>
          <w:sz w:val="42"/>
          <w:szCs w:val="42"/>
        </w:rPr>
        <w:t xml:space="preserve"> atd.</w:t>
      </w:r>
    </w:p>
    <w:p w:rsidR="00500724" w:rsidRDefault="00F30FB8">
      <w:pPr>
        <w:pStyle w:val="Zkladntext90"/>
        <w:shd w:val="clear" w:color="auto" w:fill="auto"/>
        <w:spacing w:line="211" w:lineRule="auto"/>
        <w:ind w:left="180" w:hanging="180"/>
        <w:jc w:val="left"/>
      </w:pPr>
      <w:r>
        <w:t>SVOBODA Emil Dr.. Výbor prací z práva občan</w:t>
      </w:r>
      <w:r>
        <w:softHyphen/>
        <w:t>ského a z právní filosofie 24 X17 cm, 311 str., váz. K 100.—</w:t>
      </w:r>
    </w:p>
    <w:p w:rsidR="00500724" w:rsidRDefault="00F30FB8">
      <w:pPr>
        <w:pStyle w:val="Zkladntext90"/>
        <w:shd w:val="clear" w:color="auto" w:fill="auto"/>
        <w:spacing w:line="226" w:lineRule="auto"/>
        <w:ind w:left="180" w:hanging="180"/>
        <w:jc w:val="left"/>
      </w:pPr>
      <w:r>
        <w:t>SCKMIDT Otto Dr., Národy na rozcestí. Populační</w:t>
      </w:r>
    </w:p>
    <w:p w:rsidR="00500724" w:rsidRDefault="00F30FB8">
      <w:pPr>
        <w:pStyle w:val="Zkladntext90"/>
        <w:shd w:val="clear" w:color="auto" w:fill="auto"/>
        <w:tabs>
          <w:tab w:val="left" w:pos="3451"/>
        </w:tabs>
        <w:spacing w:line="226" w:lineRule="auto"/>
        <w:ind w:left="180" w:firstLine="20"/>
      </w:pPr>
      <w:r>
        <w:t>studie. 20X14 cm, 248 str.,</w:t>
      </w:r>
      <w:r>
        <w:tab/>
        <w:t>brož. K 35.—</w:t>
      </w:r>
    </w:p>
    <w:p w:rsidR="00500724" w:rsidRDefault="00F30FB8">
      <w:pPr>
        <w:pStyle w:val="Zkladntext90"/>
        <w:shd w:val="clear" w:color="auto" w:fill="auto"/>
        <w:tabs>
          <w:tab w:val="left" w:pos="3451"/>
        </w:tabs>
        <w:spacing w:line="204" w:lineRule="auto"/>
        <w:ind w:left="180" w:hanging="180"/>
        <w:jc w:val="left"/>
      </w:pPr>
      <w:r>
        <w:t xml:space="preserve">Sborník prací k poctě šedsátých narozenin Františka </w:t>
      </w:r>
      <w:r>
        <w:t>Wey.a. 25.5X19 cm, 300 str.,</w:t>
      </w:r>
      <w:r>
        <w:tab/>
        <w:t>brož. K 50.—</w:t>
      </w:r>
    </w:p>
    <w:p w:rsidR="00500724" w:rsidRDefault="00F30FB8">
      <w:pPr>
        <w:pStyle w:val="Zkladntext90"/>
        <w:shd w:val="clear" w:color="auto" w:fill="auto"/>
        <w:tabs>
          <w:tab w:val="left" w:pos="3451"/>
        </w:tabs>
        <w:spacing w:line="226" w:lineRule="auto"/>
        <w:ind w:left="180" w:hanging="180"/>
        <w:jc w:val="left"/>
      </w:pPr>
      <w:r>
        <w:t xml:space="preserve">RUDIN </w:t>
      </w:r>
      <w:r>
        <w:rPr>
          <w:lang w:val="en-US" w:eastAsia="en-US" w:bidi="en-US"/>
        </w:rPr>
        <w:t xml:space="preserve">Harry </w:t>
      </w:r>
      <w:r>
        <w:t xml:space="preserve">R.. </w:t>
      </w:r>
      <w:r>
        <w:rPr>
          <w:lang w:val="en-US" w:eastAsia="en-US" w:bidi="en-US"/>
        </w:rPr>
        <w:t xml:space="preserve">Germans In the </w:t>
      </w:r>
      <w:r>
        <w:t xml:space="preserve">Cameroons 1814- 1914. </w:t>
      </w:r>
      <w:r>
        <w:rPr>
          <w:lang w:val="en-US" w:eastAsia="en-US" w:bidi="en-US"/>
        </w:rPr>
        <w:t>A Case Study In Modern Imperialism. 23X15 cm, 455 str.,</w:t>
      </w:r>
      <w:r>
        <w:rPr>
          <w:lang w:val="en-US" w:eastAsia="en-US" w:bidi="en-US"/>
        </w:rPr>
        <w:tab/>
      </w:r>
      <w:r>
        <w:t xml:space="preserve">váz. </w:t>
      </w:r>
      <w:r>
        <w:rPr>
          <w:lang w:val="en-US" w:eastAsia="en-US" w:bidi="en-US"/>
        </w:rPr>
        <w:t>K 120.—</w:t>
      </w:r>
    </w:p>
    <w:p w:rsidR="00500724" w:rsidRDefault="00F30FB8">
      <w:pPr>
        <w:pStyle w:val="Zkladntext90"/>
        <w:shd w:val="clear" w:color="auto" w:fill="auto"/>
        <w:spacing w:line="226" w:lineRule="auto"/>
        <w:ind w:left="180" w:hanging="180"/>
        <w:jc w:val="left"/>
      </w:pPr>
      <w:r>
        <w:rPr>
          <w:lang w:val="en-US" w:eastAsia="en-US" w:bidi="en-US"/>
        </w:rPr>
        <w:t xml:space="preserve">MERLAT-GUITARD </w:t>
      </w:r>
      <w:r>
        <w:t xml:space="preserve">O., Louls-Napoléon </w:t>
      </w:r>
      <w:r>
        <w:rPr>
          <w:lang w:val="en-US" w:eastAsia="en-US" w:bidi="en-US"/>
        </w:rPr>
        <w:t>Bonaparte</w:t>
      </w:r>
    </w:p>
    <w:p w:rsidR="00500724" w:rsidRDefault="00F30FB8">
      <w:pPr>
        <w:pStyle w:val="Zkladntext90"/>
        <w:shd w:val="clear" w:color="auto" w:fill="auto"/>
        <w:spacing w:line="226" w:lineRule="auto"/>
        <w:ind w:left="180" w:firstLine="20"/>
      </w:pPr>
      <w:r>
        <w:rPr>
          <w:lang w:val="en-US" w:eastAsia="en-US" w:bidi="en-US"/>
        </w:rPr>
        <w:t xml:space="preserve">de I'exll </w:t>
      </w:r>
      <w:r>
        <w:t xml:space="preserve">á TÉlysée. </w:t>
      </w:r>
      <w:r>
        <w:rPr>
          <w:lang w:val="en-US" w:eastAsia="en-US" w:bidi="en-US"/>
        </w:rPr>
        <w:t xml:space="preserve">19 X12 cm, 284 str., </w:t>
      </w:r>
      <w:r>
        <w:t xml:space="preserve">brož. </w:t>
      </w:r>
      <w:r>
        <w:rPr>
          <w:lang w:val="en-US" w:eastAsia="en-US" w:bidi="en-US"/>
        </w:rPr>
        <w:t>K 18.—</w:t>
      </w:r>
    </w:p>
    <w:p w:rsidR="00500724" w:rsidRDefault="00F30FB8">
      <w:pPr>
        <w:pStyle w:val="Zkladntext90"/>
        <w:shd w:val="clear" w:color="auto" w:fill="auto"/>
        <w:spacing w:line="240" w:lineRule="auto"/>
        <w:ind w:left="180" w:hanging="180"/>
        <w:jc w:val="left"/>
      </w:pPr>
      <w:r>
        <w:rPr>
          <w:lang w:val="en-US" w:eastAsia="en-US" w:bidi="en-US"/>
        </w:rPr>
        <w:t xml:space="preserve">Etndlants </w:t>
      </w:r>
      <w:r>
        <w:t xml:space="preserve">á </w:t>
      </w:r>
      <w:r>
        <w:rPr>
          <w:lang w:val="en-US" w:eastAsia="en-US" w:bidi="en-US"/>
        </w:rPr>
        <w:t xml:space="preserve">la recherche de leur </w:t>
      </w:r>
      <w:r>
        <w:t xml:space="preserve">universitě. </w:t>
      </w:r>
      <w:r>
        <w:rPr>
          <w:lang w:val="en-US" w:eastAsia="en-US" w:bidi="en-US"/>
        </w:rPr>
        <w:t>22.5 X16</w:t>
      </w:r>
    </w:p>
    <w:p w:rsidR="00500724" w:rsidRDefault="00F30FB8">
      <w:pPr>
        <w:pStyle w:val="Zkladntext90"/>
        <w:shd w:val="clear" w:color="auto" w:fill="auto"/>
        <w:tabs>
          <w:tab w:val="left" w:pos="3451"/>
        </w:tabs>
        <w:spacing w:line="202" w:lineRule="auto"/>
        <w:ind w:firstLine="0"/>
      </w:pPr>
      <w:r>
        <w:rPr>
          <w:lang w:val="en-US" w:eastAsia="en-US" w:bidi="en-US"/>
        </w:rPr>
        <w:t>cm, 175 str.,</w:t>
      </w:r>
      <w:r>
        <w:rPr>
          <w:lang w:val="en-US" w:eastAsia="en-US" w:bidi="en-US"/>
        </w:rPr>
        <w:tab/>
      </w:r>
      <w:r>
        <w:t xml:space="preserve">brož. </w:t>
      </w:r>
      <w:r>
        <w:rPr>
          <w:lang w:val="en-US" w:eastAsia="en-US" w:bidi="en-US"/>
        </w:rPr>
        <w:t>K 25.—</w:t>
      </w:r>
    </w:p>
    <w:p w:rsidR="00500724" w:rsidRDefault="00F30FB8">
      <w:pPr>
        <w:pStyle w:val="Zkladntext90"/>
        <w:shd w:val="clear" w:color="auto" w:fill="auto"/>
        <w:spacing w:line="226" w:lineRule="auto"/>
        <w:ind w:firstLine="0"/>
      </w:pPr>
      <w:r>
        <w:rPr>
          <w:lang w:val="en-US" w:eastAsia="en-US" w:bidi="en-US"/>
        </w:rPr>
        <w:t>BLEY Wolf, Napoleon Bonaparte. Lebensroman</w:t>
      </w:r>
    </w:p>
    <w:p w:rsidR="00500724" w:rsidRDefault="00F30FB8">
      <w:pPr>
        <w:pStyle w:val="Zkladntext90"/>
        <w:shd w:val="clear" w:color="auto" w:fill="auto"/>
        <w:tabs>
          <w:tab w:val="left" w:pos="3451"/>
        </w:tabs>
        <w:spacing w:after="100" w:line="226" w:lineRule="auto"/>
        <w:ind w:left="180" w:firstLine="20"/>
      </w:pPr>
      <w:r>
        <w:rPr>
          <w:lang w:val="en-US" w:eastAsia="en-US" w:bidi="en-US"/>
        </w:rPr>
        <w:t>eines Genies. 21X13 em, 357 str.,</w:t>
      </w:r>
      <w:r>
        <w:rPr>
          <w:lang w:val="en-US" w:eastAsia="en-US" w:bidi="en-US"/>
        </w:rPr>
        <w:tab/>
      </w:r>
      <w:r>
        <w:t xml:space="preserve">váz. </w:t>
      </w:r>
      <w:r>
        <w:rPr>
          <w:lang w:val="en-US" w:eastAsia="en-US" w:bidi="en-US"/>
        </w:rPr>
        <w:t>K 25.—</w:t>
      </w:r>
    </w:p>
    <w:p w:rsidR="00500724" w:rsidRDefault="00F30FB8">
      <w:pPr>
        <w:pStyle w:val="Jin0"/>
        <w:shd w:val="clear" w:color="auto" w:fill="auto"/>
        <w:spacing w:after="620"/>
        <w:ind w:firstLine="0"/>
        <w:jc w:val="left"/>
        <w:rPr>
          <w:sz w:val="42"/>
          <w:szCs w:val="42"/>
        </w:rPr>
      </w:pPr>
      <w:r>
        <w:rPr>
          <w:rFonts w:ascii="Calibri" w:eastAsia="Calibri" w:hAnsi="Calibri" w:cs="Calibri"/>
          <w:b/>
          <w:bCs/>
          <w:w w:val="70"/>
          <w:sz w:val="42"/>
          <w:szCs w:val="42"/>
          <w:lang w:val="en-US" w:eastAsia="en-US" w:bidi="en-US"/>
        </w:rPr>
        <w:t xml:space="preserve">F. </w:t>
      </w:r>
      <w:r>
        <w:rPr>
          <w:rFonts w:ascii="Calibri" w:eastAsia="Calibri" w:hAnsi="Calibri" w:cs="Calibri"/>
          <w:b/>
          <w:bCs/>
          <w:w w:val="70"/>
          <w:sz w:val="42"/>
          <w:szCs w:val="42"/>
        </w:rPr>
        <w:t xml:space="preserve">Topič, knihkupectví, </w:t>
      </w:r>
      <w:r>
        <w:rPr>
          <w:rFonts w:ascii="Calibri" w:eastAsia="Calibri" w:hAnsi="Calibri" w:cs="Calibri"/>
          <w:b/>
          <w:bCs/>
          <w:w w:val="70"/>
          <w:sz w:val="42"/>
          <w:szCs w:val="42"/>
          <w:lang w:val="en-US" w:eastAsia="en-US" w:bidi="en-US"/>
        </w:rPr>
        <w:t xml:space="preserve">Praha L, </w:t>
      </w:r>
      <w:r>
        <w:rPr>
          <w:rFonts w:ascii="Calibri" w:eastAsia="Calibri" w:hAnsi="Calibri" w:cs="Calibri"/>
          <w:b/>
          <w:bCs/>
          <w:w w:val="70"/>
          <w:sz w:val="42"/>
          <w:szCs w:val="42"/>
        </w:rPr>
        <w:t xml:space="preserve">Národní </w:t>
      </w:r>
      <w:r>
        <w:rPr>
          <w:rFonts w:ascii="Calibri" w:eastAsia="Calibri" w:hAnsi="Calibri" w:cs="Calibri"/>
          <w:b/>
          <w:bCs/>
          <w:w w:val="70"/>
          <w:sz w:val="42"/>
          <w:szCs w:val="42"/>
          <w:lang w:val="en-US" w:eastAsia="en-US" w:bidi="en-US"/>
        </w:rPr>
        <w:t>11</w:t>
      </w:r>
    </w:p>
    <w:p w:rsidR="00500724" w:rsidRDefault="00F30FB8">
      <w:pPr>
        <w:pStyle w:val="Jin0"/>
        <w:shd w:val="clear" w:color="auto" w:fill="auto"/>
        <w:ind w:firstLine="0"/>
        <w:rPr>
          <w:sz w:val="26"/>
          <w:szCs w:val="26"/>
        </w:rPr>
      </w:pPr>
      <w:r>
        <w:rPr>
          <w:rFonts w:ascii="Arial" w:eastAsia="Arial" w:hAnsi="Arial" w:cs="Arial"/>
          <w:b/>
          <w:bCs/>
          <w:sz w:val="26"/>
          <w:szCs w:val="26"/>
        </w:rPr>
        <w:t>PŘÍTOMNOST</w:t>
      </w:r>
    </w:p>
    <w:p w:rsidR="00500724" w:rsidRDefault="00F30FB8">
      <w:pPr>
        <w:pStyle w:val="Zkladntext40"/>
        <w:shd w:val="clear" w:color="auto" w:fill="auto"/>
        <w:spacing w:after="0" w:line="240" w:lineRule="auto"/>
        <w:rPr>
          <w:sz w:val="14"/>
          <w:szCs w:val="14"/>
        </w:rPr>
      </w:pPr>
      <w:r>
        <w:rPr>
          <w:sz w:val="14"/>
          <w:szCs w:val="14"/>
        </w:rPr>
        <w:t xml:space="preserve">ukládá </w:t>
      </w:r>
      <w:r>
        <w:rPr>
          <w:sz w:val="14"/>
          <w:szCs w:val="14"/>
          <w:lang w:val="en-US" w:eastAsia="en-US" w:bidi="en-US"/>
        </w:rPr>
        <w:t xml:space="preserve">starati </w:t>
      </w:r>
      <w:r>
        <w:rPr>
          <w:sz w:val="14"/>
          <w:szCs w:val="14"/>
        </w:rPr>
        <w:t xml:space="preserve">se pečlivému otci </w:t>
      </w:r>
      <w:r>
        <w:rPr>
          <w:b/>
          <w:bCs/>
          <w:sz w:val="14"/>
          <w:szCs w:val="14"/>
        </w:rPr>
        <w:t>o</w:t>
      </w:r>
    </w:p>
    <w:p w:rsidR="00500724" w:rsidRDefault="00F30FB8">
      <w:pPr>
        <w:pStyle w:val="Jin0"/>
        <w:shd w:val="clear" w:color="auto" w:fill="auto"/>
        <w:ind w:firstLine="0"/>
        <w:rPr>
          <w:sz w:val="26"/>
          <w:szCs w:val="26"/>
        </w:rPr>
      </w:pPr>
      <w:r>
        <w:rPr>
          <w:rFonts w:ascii="Arial" w:eastAsia="Arial" w:hAnsi="Arial" w:cs="Arial"/>
          <w:b/>
          <w:bCs/>
          <w:sz w:val="26"/>
          <w:szCs w:val="26"/>
        </w:rPr>
        <w:t>BUDOUCNOST</w:t>
      </w:r>
    </w:p>
    <w:p w:rsidR="00500724" w:rsidRDefault="00F30FB8">
      <w:pPr>
        <w:pStyle w:val="Zkladntext40"/>
        <w:shd w:val="clear" w:color="auto" w:fill="auto"/>
        <w:tabs>
          <w:tab w:val="left" w:pos="2126"/>
        </w:tabs>
        <w:spacing w:after="100" w:line="240" w:lineRule="auto"/>
        <w:rPr>
          <w:sz w:val="14"/>
          <w:szCs w:val="14"/>
        </w:rPr>
      </w:pPr>
      <w:r>
        <w:rPr>
          <w:b/>
          <w:bCs/>
          <w:sz w:val="14"/>
          <w:szCs w:val="14"/>
        </w:rPr>
        <w:t>rodiny</w:t>
      </w:r>
      <w:r>
        <w:rPr>
          <w:b/>
          <w:bCs/>
          <w:sz w:val="14"/>
          <w:szCs w:val="14"/>
        </w:rPr>
        <w:tab/>
        <w:t>Vhodný způsob této péče</w:t>
      </w:r>
    </w:p>
    <w:p w:rsidR="00500724" w:rsidRDefault="00F30FB8">
      <w:pPr>
        <w:pStyle w:val="Jin0"/>
        <w:shd w:val="clear" w:color="auto" w:fill="auto"/>
        <w:spacing w:line="305" w:lineRule="auto"/>
        <w:ind w:left="2100" w:firstLine="0"/>
        <w:jc w:val="left"/>
        <w:rPr>
          <w:sz w:val="26"/>
          <w:szCs w:val="26"/>
        </w:rPr>
      </w:pPr>
      <w:r>
        <w:rPr>
          <w:rFonts w:ascii="Arial" w:eastAsia="Arial" w:hAnsi="Arial" w:cs="Arial"/>
          <w:b/>
          <w:bCs/>
          <w:sz w:val="26"/>
          <w:szCs w:val="26"/>
        </w:rPr>
        <w:t>životní pojistkou</w:t>
      </w:r>
    </w:p>
    <w:p w:rsidR="00500724" w:rsidRDefault="00F30FB8">
      <w:pPr>
        <w:pStyle w:val="Jin0"/>
        <w:shd w:val="clear" w:color="auto" w:fill="auto"/>
        <w:spacing w:line="305" w:lineRule="auto"/>
        <w:ind w:left="180" w:firstLine="20"/>
        <w:jc w:val="left"/>
        <w:rPr>
          <w:sz w:val="42"/>
          <w:szCs w:val="42"/>
        </w:rPr>
      </w:pPr>
      <w:r>
        <w:rPr>
          <w:rFonts w:ascii="Calibri" w:eastAsia="Calibri" w:hAnsi="Calibri" w:cs="Calibri"/>
          <w:b/>
          <w:bCs/>
          <w:w w:val="70"/>
          <w:sz w:val="42"/>
          <w:szCs w:val="42"/>
        </w:rPr>
        <w:t>poradí Vám ís. akciová pojišťovna</w:t>
      </w:r>
    </w:p>
    <w:p w:rsidR="00500724" w:rsidRDefault="00F30FB8">
      <w:pPr>
        <w:pStyle w:val="Zkladntext100"/>
        <w:shd w:val="clear" w:color="auto" w:fill="auto"/>
        <w:spacing w:line="240" w:lineRule="auto"/>
        <w:ind w:firstLine="0"/>
        <w:sectPr w:rsidR="00500724">
          <w:footnotePr>
            <w:numFmt w:val="chicago"/>
            <w:numRestart w:val="eachPage"/>
          </w:footnotePr>
          <w:pgSz w:w="11909" w:h="16834"/>
          <w:pgMar w:top="829" w:right="1586" w:bottom="591" w:left="170" w:header="0" w:footer="3" w:gutter="0"/>
          <w:cols w:num="2" w:sep="1" w:space="720" w:equalWidth="0">
            <w:col w:w="5083" w:space="470"/>
            <w:col w:w="4598"/>
          </w:cols>
          <w:noEndnote/>
          <w:docGrid w:linePitch="360"/>
        </w:sectPr>
      </w:pPr>
      <w:r>
        <w:t>Praha II., Spálená 49 - Telefony 344-41-4</w:t>
      </w:r>
    </w:p>
    <w:p w:rsidR="00500724" w:rsidRDefault="00500724">
      <w:pPr>
        <w:spacing w:before="93" w:after="9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601" w:right="0" w:bottom="819" w:left="0" w:header="0" w:footer="3" w:gutter="0"/>
          <w:cols w:space="720"/>
          <w:noEndnote/>
          <w:docGrid w:linePitch="360"/>
        </w:sectPr>
      </w:pPr>
    </w:p>
    <w:p w:rsidR="00500724" w:rsidRDefault="00F30FB8">
      <w:pPr>
        <w:spacing w:line="14" w:lineRule="exact"/>
      </w:pPr>
      <w:r>
        <w:rPr>
          <w:noProof/>
        </w:rPr>
        <mc:AlternateContent>
          <mc:Choice Requires="wps">
            <w:drawing>
              <wp:anchor distT="0" distB="511810" distL="165100" distR="186690" simplePos="0" relativeHeight="125829910" behindDoc="0" locked="0" layoutInCell="1" allowOverlap="1">
                <wp:simplePos x="0" y="0"/>
                <wp:positionH relativeFrom="page">
                  <wp:posOffset>168910</wp:posOffset>
                </wp:positionH>
                <wp:positionV relativeFrom="paragraph">
                  <wp:posOffset>1136650</wp:posOffset>
                </wp:positionV>
                <wp:extent cx="2691130" cy="697865"/>
                <wp:effectExtent l="0" t="0" r="0" b="0"/>
                <wp:wrapSquare wrapText="right"/>
                <wp:docPr id="533" name="Shape 533"/>
                <wp:cNvGraphicFramePr/>
                <a:graphic xmlns:a="http://schemas.openxmlformats.org/drawingml/2006/main">
                  <a:graphicData uri="http://schemas.microsoft.com/office/word/2010/wordprocessingShape">
                    <wps:wsp>
                      <wps:cNvSpPr txBox="1"/>
                      <wps:spPr>
                        <a:xfrm>
                          <a:off x="0" y="0"/>
                          <a:ext cx="2691130" cy="697865"/>
                        </a:xfrm>
                        <a:prstGeom prst="rect">
                          <a:avLst/>
                        </a:prstGeom>
                        <a:solidFill>
                          <a:srgbClr val="E6D1A7"/>
                        </a:solidFill>
                      </wps:spPr>
                      <wps:txbx>
                        <w:txbxContent>
                          <w:p w:rsidR="00500724" w:rsidRDefault="00F30FB8">
                            <w:pPr>
                              <w:pStyle w:val="Jin0"/>
                              <w:shd w:val="clear" w:color="auto" w:fill="auto"/>
                              <w:ind w:firstLine="0"/>
                              <w:jc w:val="left"/>
                              <w:rPr>
                                <w:sz w:val="82"/>
                                <w:szCs w:val="82"/>
                              </w:rPr>
                            </w:pPr>
                            <w:r>
                              <w:rPr>
                                <w:rFonts w:ascii="Arial" w:eastAsia="Arial" w:hAnsi="Arial" w:cs="Arial"/>
                                <w:sz w:val="82"/>
                                <w:szCs w:val="82"/>
                              </w:rPr>
                              <w:t>Přítomnosti</w:t>
                            </w:r>
                          </w:p>
                        </w:txbxContent>
                      </wps:txbx>
                      <wps:bodyPr lIns="0" tIns="0" rIns="0" bIns="0">
                        <a:spAutoFit/>
                      </wps:bodyPr>
                    </wps:wsp>
                  </a:graphicData>
                </a:graphic>
              </wp:anchor>
            </w:drawing>
          </mc:Choice>
          <mc:Fallback>
            <w:pict>
              <v:shape id="_x0000_s1559" type="#_x0000_t202" style="position:absolute;margin-left:13.300000000000001pt;margin-top:89.5pt;width:211.90000000000001pt;height:54.950000000000003pt;z-index:-125828843;mso-wrap-distance-left:13.pt;mso-wrap-distance-right:14.699999999999999pt;mso-wrap-distance-bottom:40.299999999999997pt;mso-position-horizontal-relative:page" fillcolor="#E6D1A7"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2"/>
                          <w:szCs w:val="82"/>
                        </w:rPr>
                      </w:pPr>
                      <w:r>
                        <w:rPr>
                          <w:rFonts w:ascii="Arial" w:eastAsia="Arial" w:hAnsi="Arial" w:cs="Arial"/>
                          <w:color w:val="000000"/>
                          <w:spacing w:val="0"/>
                          <w:w w:val="100"/>
                          <w:position w:val="0"/>
                          <w:sz w:val="82"/>
                          <w:szCs w:val="82"/>
                          <w:shd w:val="clear" w:color="auto" w:fill="auto"/>
                          <w:lang w:val="cs-CZ" w:eastAsia="cs-CZ" w:bidi="cs-CZ"/>
                        </w:rPr>
                        <w:t>Přítomnosti</w:t>
                      </w:r>
                    </w:p>
                  </w:txbxContent>
                </v:textbox>
                <w10:wrap type="square" side="right" anchorx="page"/>
              </v:shape>
            </w:pict>
          </mc:Fallback>
        </mc:AlternateContent>
      </w:r>
      <w:r>
        <w:rPr>
          <w:noProof/>
        </w:rPr>
        <mc:AlternateContent>
          <mc:Choice Requires="wps">
            <w:drawing>
              <wp:anchor distT="892810" distB="0" distL="171450" distR="165100" simplePos="0" relativeHeight="125829912" behindDoc="0" locked="0" layoutInCell="1" allowOverlap="1">
                <wp:simplePos x="0" y="0"/>
                <wp:positionH relativeFrom="page">
                  <wp:posOffset>175260</wp:posOffset>
                </wp:positionH>
                <wp:positionV relativeFrom="paragraph">
                  <wp:posOffset>2030095</wp:posOffset>
                </wp:positionV>
                <wp:extent cx="2706370" cy="316865"/>
                <wp:effectExtent l="0" t="0" r="0" b="0"/>
                <wp:wrapSquare wrapText="right"/>
                <wp:docPr id="535" name="Shape 535"/>
                <wp:cNvGraphicFramePr/>
                <a:graphic xmlns:a="http://schemas.openxmlformats.org/drawingml/2006/main">
                  <a:graphicData uri="http://schemas.microsoft.com/office/word/2010/wordprocessingShape">
                    <wps:wsp>
                      <wps:cNvSpPr txBox="1"/>
                      <wps:spPr>
                        <a:xfrm>
                          <a:off x="0" y="0"/>
                          <a:ext cx="2706370" cy="316865"/>
                        </a:xfrm>
                        <a:prstGeom prst="rect">
                          <a:avLst/>
                        </a:prstGeom>
                        <a:solidFill>
                          <a:srgbClr val="E6D1A7"/>
                        </a:solid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u w:val="single"/>
                              </w:rPr>
                              <w:t>ř í d í Ferd.</w:t>
                            </w:r>
                            <w:r>
                              <w:rPr>
                                <w:rFonts w:ascii="Arial" w:eastAsia="Arial" w:hAnsi="Arial" w:cs="Arial"/>
                                <w:sz w:val="40"/>
                                <w:szCs w:val="40"/>
                                <w:u w:val="single"/>
                              </w:rPr>
                              <w:t xml:space="preserve"> Peroutka</w:t>
                            </w:r>
                          </w:p>
                        </w:txbxContent>
                      </wps:txbx>
                      <wps:bodyPr lIns="0" tIns="0" rIns="0" bIns="0">
                        <a:spAutoFit/>
                      </wps:bodyPr>
                    </wps:wsp>
                  </a:graphicData>
                </a:graphic>
              </wp:anchor>
            </w:drawing>
          </mc:Choice>
          <mc:Fallback>
            <w:pict>
              <v:shape id="_x0000_s1561" type="#_x0000_t202" style="position:absolute;margin-left:13.800000000000001pt;margin-top:159.84999999999999pt;width:213.09999999999999pt;height:24.949999999999999pt;z-index:-125828841;mso-wrap-distance-left:13.5pt;mso-wrap-distance-top:70.299999999999997pt;mso-wrap-distance-right:13.pt;mso-position-horizontal-relative:page" fillcolor="#E6D1A7"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u w:val="single"/>
                          <w:shd w:val="clear" w:color="auto" w:fill="auto"/>
                          <w:lang w:val="cs-CZ" w:eastAsia="cs-CZ" w:bidi="cs-CZ"/>
                        </w:rPr>
                        <w:t>ř í d í Ferd. Peroutka</w:t>
                      </w:r>
                    </w:p>
                  </w:txbxContent>
                </v:textbox>
                <w10:wrap type="square" side="right" anchorx="page"/>
              </v:shape>
            </w:pict>
          </mc:Fallback>
        </mc:AlternateContent>
      </w:r>
    </w:p>
    <w:p w:rsidR="00500724" w:rsidRDefault="00F30FB8">
      <w:pPr>
        <w:pStyle w:val="Zkladntext100"/>
        <w:shd w:val="clear" w:color="auto" w:fill="auto"/>
        <w:spacing w:after="320" w:line="211" w:lineRule="auto"/>
        <w:ind w:left="580" w:hanging="580"/>
        <w:rPr>
          <w:sz w:val="19"/>
          <w:szCs w:val="19"/>
        </w:rPr>
      </w:pPr>
      <w:r>
        <w:rPr>
          <w:b/>
          <w:bCs/>
          <w:sz w:val="20"/>
          <w:szCs w:val="20"/>
        </w:rPr>
        <w:t xml:space="preserve">OBSAH PŘÍTOMNOSTI C. </w:t>
      </w:r>
      <w:r>
        <w:rPr>
          <w:b/>
          <w:bCs/>
          <w:sz w:val="19"/>
          <w:szCs w:val="19"/>
        </w:rPr>
        <w:t>21: F. PEROUTKA: Když všechno se mění... — MILENA JESENSKÁ: Promiňte, že nešeptám. — V. STRNAD: Anglie a Rusko neboli zájmy a ideologie. — JAN FRANK: Rozchod armády. — JAN ALBERT: Gdaňsko nečasové. — FRED TECHNIK: Muži pod P</w:t>
      </w:r>
      <w:r>
        <w:rPr>
          <w:b/>
          <w:bCs/>
          <w:sz w:val="19"/>
          <w:szCs w:val="19"/>
        </w:rPr>
        <w:t>rahou. — JAROSLAV LUDVÍKOVSKÝ: O té perse</w:t>
      </w:r>
      <w:r>
        <w:rPr>
          <w:b/>
          <w:bCs/>
          <w:sz w:val="19"/>
          <w:szCs w:val="19"/>
        </w:rPr>
        <w:softHyphen/>
        <w:t>kuci slovenských studentů. — JIŘÍ DOSTÁL—MILENA JESENSKÁ: Stačí být Cechem? — Reorganisace výboru Národního souručenství. — Politické pozadí anglo-turecké smlouvy. — Význam Cenového úřadu. — Nesnáze v lestině. — Ze</w:t>
      </w:r>
      <w:r>
        <w:rPr>
          <w:b/>
          <w:bCs/>
          <w:sz w:val="19"/>
          <w:szCs w:val="19"/>
        </w:rPr>
        <w:t xml:space="preserve">mřel vzorný starosta. — Ještě o britsko-rumunské obchodní smlouvě. — Stávka za padesát milionů </w:t>
      </w:r>
      <w:r>
        <w:rPr>
          <w:b/>
          <w:bCs/>
          <w:sz w:val="19"/>
          <w:szCs w:val="19"/>
          <w:u w:val="single"/>
        </w:rPr>
        <w:t>dolarů. — Zasmějte se s námi. — Slovenky odpovídají Slovence. — Odpověď Hlínkovu gardistovi.</w:t>
      </w:r>
    </w:p>
    <w:p w:rsidR="00500724" w:rsidRDefault="00F30FB8">
      <w:pPr>
        <w:pStyle w:val="Nadpis90"/>
        <w:keepNext/>
        <w:keepLines/>
        <w:shd w:val="clear" w:color="auto" w:fill="auto"/>
        <w:spacing w:after="160"/>
      </w:pPr>
      <w:bookmarkStart w:id="541" w:name="bookmark540"/>
      <w:r>
        <w:rPr>
          <w:u w:val="single"/>
        </w:rPr>
        <w:t>nezávislý týdeník</w:t>
      </w:r>
      <w:bookmarkEnd w:id="541"/>
    </w:p>
    <w:p w:rsidR="00500724" w:rsidRDefault="00F30FB8">
      <w:pPr>
        <w:pStyle w:val="Zkladntext20"/>
        <w:shd w:val="clear" w:color="auto" w:fill="auto"/>
        <w:spacing w:after="60" w:line="221" w:lineRule="auto"/>
        <w:ind w:firstLine="0"/>
        <w:jc w:val="center"/>
        <w:rPr>
          <w:sz w:val="20"/>
          <w:szCs w:val="20"/>
        </w:rPr>
      </w:pPr>
      <w:r>
        <w:rPr>
          <w:sz w:val="20"/>
          <w:szCs w:val="20"/>
        </w:rPr>
        <w:t xml:space="preserve">vychází ve středu </w:t>
      </w:r>
      <w:r>
        <w:rPr>
          <w:b/>
          <w:bCs/>
          <w:sz w:val="19"/>
          <w:szCs w:val="19"/>
        </w:rPr>
        <w:t xml:space="preserve">v </w:t>
      </w:r>
      <w:r>
        <w:rPr>
          <w:sz w:val="20"/>
          <w:szCs w:val="20"/>
        </w:rPr>
        <w:t>nakladatelství</w:t>
      </w:r>
      <w:r>
        <w:rPr>
          <w:sz w:val="20"/>
          <w:szCs w:val="20"/>
        </w:rPr>
        <w:br/>
        <w:t xml:space="preserve">FR. BOROVÝ V </w:t>
      </w:r>
      <w:r>
        <w:rPr>
          <w:sz w:val="20"/>
          <w:szCs w:val="20"/>
        </w:rPr>
        <w:t>PRAZE I., NÁRODNÍ TŘÍDA IL</w:t>
      </w:r>
    </w:p>
    <w:p w:rsidR="00500724" w:rsidRDefault="00F30FB8">
      <w:pPr>
        <w:pStyle w:val="Zkladntext100"/>
        <w:shd w:val="clear" w:color="auto" w:fill="auto"/>
        <w:spacing w:after="60" w:line="156" w:lineRule="auto"/>
        <w:ind w:firstLine="0"/>
      </w:pPr>
      <w:r>
        <w:t>Telefon Clslo 390-51 až 54 • Učet poštovní spořitelny číslo 35.622 • Nevy</w:t>
      </w:r>
      <w:r>
        <w:softHyphen/>
        <w:t xml:space="preserve">žádané rukopisy se nevracej!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Colonies</w:t>
      </w:r>
      <w:r>
        <w:rPr>
          <w:lang w:val="en-US" w:eastAsia="en-US" w:bidi="en-US"/>
        </w:rPr>
        <w:t xml:space="preserve"> </w:t>
      </w:r>
      <w:r>
        <w:t>Frs 2.50. • DohlédacI pošt. úřad Brno II. • Novinová sazba povolena v Brně ředitelstvím pošt a telegrafů pod čís. 119.268/IIIa. • Odpovědný redaktor J. Dlabač.</w:t>
      </w:r>
    </w:p>
    <w:p w:rsidR="00500724" w:rsidRDefault="00F30FB8">
      <w:pPr>
        <w:pStyle w:val="Zkladntext20"/>
        <w:shd w:val="clear" w:color="auto" w:fill="auto"/>
        <w:spacing w:after="100" w:line="221" w:lineRule="auto"/>
        <w:ind w:left="5360" w:firstLine="0"/>
        <w:jc w:val="left"/>
        <w:rPr>
          <w:sz w:val="20"/>
          <w:szCs w:val="20"/>
        </w:rPr>
      </w:pPr>
      <w:r>
        <w:rPr>
          <w:sz w:val="20"/>
          <w:szCs w:val="20"/>
        </w:rPr>
        <w:t>TISKEM LIDOVÉ TISKÁRNY, BRNO. ČESKÁ 6,</w:t>
      </w:r>
      <w:r>
        <w:br w:type="page"/>
      </w:r>
    </w:p>
    <w:p w:rsidR="00500724" w:rsidRDefault="00F30FB8">
      <w:pPr>
        <w:pStyle w:val="Nadpis60"/>
        <w:keepNext/>
        <w:keepLines/>
        <w:pBdr>
          <w:bottom w:val="single" w:sz="4" w:space="0" w:color="auto"/>
        </w:pBdr>
        <w:shd w:val="clear" w:color="auto" w:fill="auto"/>
        <w:sectPr w:rsidR="00500724">
          <w:footnotePr>
            <w:numFmt w:val="chicago"/>
            <w:numRestart w:val="eachPage"/>
          </w:footnotePr>
          <w:type w:val="continuous"/>
          <w:pgSz w:w="11909" w:h="16834"/>
          <w:pgMar w:top="601" w:right="1035" w:bottom="819" w:left="444" w:header="0" w:footer="3" w:gutter="0"/>
          <w:cols w:space="720"/>
          <w:noEndnote/>
          <w:docGrid w:linePitch="360"/>
        </w:sectPr>
      </w:pPr>
      <w:bookmarkStart w:id="542" w:name="bookmark541"/>
      <w:r>
        <w:t>Přítomnosti</w:t>
      </w:r>
      <w:bookmarkEnd w:id="542"/>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999" w:right="0" w:bottom="846" w:left="0" w:header="0" w:footer="3" w:gutter="0"/>
          <w:cols w:space="720"/>
          <w:noEndnote/>
          <w:docGrid w:linePitch="360"/>
        </w:sectPr>
      </w:pPr>
    </w:p>
    <w:p w:rsidR="00500724" w:rsidRDefault="00500724">
      <w:pPr>
        <w:spacing w:after="624" w:line="14" w:lineRule="exact"/>
      </w:pPr>
    </w:p>
    <w:p w:rsidR="00500724" w:rsidRDefault="00500724">
      <w:pPr>
        <w:spacing w:line="14" w:lineRule="exact"/>
        <w:sectPr w:rsidR="00500724">
          <w:footnotePr>
            <w:numFmt w:val="chicago"/>
            <w:numRestart w:val="eachPage"/>
          </w:footnotePr>
          <w:type w:val="continuous"/>
          <w:pgSz w:w="11909" w:h="16834"/>
          <w:pgMar w:top="999" w:right="773" w:bottom="846" w:left="730" w:header="0" w:footer="3" w:gutter="0"/>
          <w:cols w:space="720"/>
          <w:noEndnote/>
          <w:docGrid w:linePitch="360"/>
        </w:sectPr>
      </w:pPr>
    </w:p>
    <w:p w:rsidR="00500724" w:rsidRDefault="00F30FB8">
      <w:pPr>
        <w:pStyle w:val="Jin0"/>
        <w:shd w:val="clear" w:color="auto" w:fill="auto"/>
        <w:spacing w:after="40"/>
        <w:ind w:left="160" w:firstLine="0"/>
        <w:jc w:val="left"/>
        <w:rPr>
          <w:sz w:val="34"/>
          <w:szCs w:val="34"/>
        </w:rPr>
      </w:pPr>
      <w:r>
        <w:rPr>
          <w:b/>
          <w:bCs/>
          <w:sz w:val="34"/>
          <w:szCs w:val="34"/>
        </w:rPr>
        <w:t>Lidé v Národním souručenství</w:t>
      </w:r>
    </w:p>
    <w:p w:rsidR="00500724" w:rsidRDefault="00F30FB8">
      <w:pPr>
        <w:pStyle w:val="Zkladntext20"/>
        <w:shd w:val="clear" w:color="auto" w:fill="auto"/>
        <w:spacing w:after="40" w:line="204" w:lineRule="auto"/>
        <w:ind w:firstLine="0"/>
      </w:pPr>
      <w:r>
        <w:t xml:space="preserve">TVlemeckým tiskem prošla při příležitosti posledních' i ’ událostí kritika našich státních poměrů. Národní souručenství, pravily německé noviny, je útvar jednak </w:t>
      </w:r>
      <w:r>
        <w:t>mechanický, jednak postrádá ideologického podkladu. Na první polovině tohoto tvrzení je jistě něco pravdi</w:t>
      </w:r>
      <w:r>
        <w:softHyphen/>
        <w:t>vého. Je to pravda asi taková, jako že déšť je mokrý a saze černé. Zajisté je Národní souručenství do jisté míry útvar mechanický, jenomže nic — vůbec</w:t>
      </w:r>
      <w:r>
        <w:t xml:space="preserve"> nic — co by stálo dnes v čele naší vlády, nepostrádalo by jisté mechaničnosti. Tato mechaničnost vyplývá pro</w:t>
      </w:r>
      <w:r>
        <w:softHyphen/>
        <w:t>zatím z podstaty věci. Řízení našich státních záleži</w:t>
      </w:r>
      <w:r>
        <w:softHyphen/>
        <w:t>tostí nezhroutilo se z příčin vnitřních, nýbrž bylo rázem přerušeno. Byvše přes noc postaveni</w:t>
      </w:r>
      <w:r>
        <w:t xml:space="preserve"> před nové skutečnosti, musili jsme zaříditi se v nich v dobré vůli a čestně na základně, která nám byla dána. Je při</w:t>
      </w:r>
      <w:r>
        <w:softHyphen/>
        <w:t>rozené, že se tady projevila jakási mechaničnost v za</w:t>
      </w:r>
      <w:r>
        <w:softHyphen/>
        <w:t>řizování věd organisačních a správních, naopak je však naprosto spontánní jednotná a</w:t>
      </w:r>
      <w:r>
        <w:t xml:space="preserve"> jednotící myšlen</w:t>
      </w:r>
      <w:r>
        <w:softHyphen/>
        <w:t>ka, která nám vládne.</w:t>
      </w:r>
    </w:p>
    <w:p w:rsidR="00500724" w:rsidRDefault="00F30FB8">
      <w:pPr>
        <w:pStyle w:val="Zkladntext20"/>
        <w:shd w:val="clear" w:color="auto" w:fill="auto"/>
        <w:spacing w:after="80" w:line="204" w:lineRule="auto"/>
        <w:ind w:firstLine="260"/>
      </w:pPr>
      <w:r>
        <w:t>Před naléhavostí národní myšlenky ustoupilo zatím všechno do pozadí. Nenajdete dnes mezi námi člověka, který by si toho nebyl vědom. Národní souručenství je lidu právě tak nové a náhlé, jako všechno, co vy</w:t>
      </w:r>
      <w:r>
        <w:softHyphen/>
        <w:t xml:space="preserve">rostlo za </w:t>
      </w:r>
      <w:r>
        <w:t>poslední dva měsíce. To neznamená, že by lidé měli k němu poměr nedůvěřivý. Naopak, všichni hledáme nové cesty, uvědomujíce si, že není času na podrobné kritiky, nýbrž na práci, že není čas na úva</w:t>
      </w:r>
      <w:r>
        <w:softHyphen/>
        <w:t>hy, nýbrž k jednání a že tato vláda je právě pro svou vnějš</w:t>
      </w:r>
      <w:r>
        <w:t>kovou mechaničnost v situad svízelné a očekává ukázněnost svého lidu. Lidé hledají cestu k ní a ona hledá cestu k lidem. Obojí se děje v dobré vůli a v řeči české. Není důvodu, proč by se tato dohoda ne</w:t>
      </w:r>
      <w:r>
        <w:softHyphen/>
        <w:t>podařila, pochopí-li národ, jak velmi je nutná.</w:t>
      </w:r>
    </w:p>
    <w:p w:rsidR="00500724" w:rsidRDefault="00F30FB8">
      <w:pPr>
        <w:pStyle w:val="Zkladntext20"/>
        <w:shd w:val="clear" w:color="auto" w:fill="auto"/>
        <w:spacing w:after="140" w:line="204" w:lineRule="auto"/>
        <w:ind w:firstLine="260"/>
      </w:pPr>
      <w:r>
        <w:t>Lze s</w:t>
      </w:r>
      <w:r>
        <w:t>i ovšem přáti větší trpělivosti u pozorovatelů. Sjednocování německého lidu v jedinou stranu poli</w:t>
      </w:r>
      <w:r>
        <w:softHyphen/>
        <w:t>tickou trvalo plných dvacet let, rostlo svízelně a setká</w:t>
      </w:r>
      <w:r>
        <w:softHyphen/>
        <w:t>valo se s mnoha překážkami. I když je nás mnohem méně, je doba pouhých dvou měsíců krátká pro pře</w:t>
      </w:r>
      <w:r>
        <w:softHyphen/>
        <w:t>sku</w:t>
      </w:r>
      <w:r>
        <w:t>pení politická, hospodářská a organisační. Není vůbec třeba, abychom byli zednáři, kulturbolševici, lžihumanisté a liberálové s tajnou vůlí k moci, aby</w:t>
      </w:r>
      <w:r>
        <w:softHyphen/>
        <w:t>chom se nebáli otevřeně prohlásit: jenámtřeba klidu a času k vyřízeni svých záleži</w:t>
      </w:r>
      <w:r>
        <w:softHyphen/>
        <w:t>tostí. Nejsouce zastá</w:t>
      </w:r>
      <w:r>
        <w:t>nci žádné minulosti, starajíce se o pouhopouhou přítomnost, nejsme přece jenom kouzelníky. To mechanické v našich státních věcech musí teprve vrůst do českého života a zapustit kořeny. A lid musí pochopit, že toto je vláda, které jest mu poslouchat, poněva</w:t>
      </w:r>
      <w:r>
        <w:t>dž tato vláda ve svém složení zaručuje pouhou svou existencí, že pečuje o svůj ná</w:t>
      </w:r>
      <w:r>
        <w:softHyphen/>
        <w:t>rod, o naše autonomní práva a o národní svébytnost.</w:t>
      </w:r>
    </w:p>
    <w:p w:rsidR="00500724" w:rsidRDefault="00F30FB8">
      <w:pPr>
        <w:pStyle w:val="Zkladntext20"/>
        <w:shd w:val="clear" w:color="auto" w:fill="auto"/>
        <w:spacing w:after="80" w:line="204" w:lineRule="auto"/>
        <w:ind w:firstLine="0"/>
        <w:jc w:val="center"/>
      </w:pPr>
      <w:r>
        <w:t>Kdejevůdce?</w:t>
      </w:r>
    </w:p>
    <w:p w:rsidR="00500724" w:rsidRDefault="00F30FB8">
      <w:pPr>
        <w:pStyle w:val="Zkladntext20"/>
        <w:shd w:val="clear" w:color="auto" w:fill="auto"/>
        <w:spacing w:line="206" w:lineRule="auto"/>
        <w:ind w:firstLine="260"/>
      </w:pPr>
      <w:r>
        <w:t>Z úst nejrůznějších lidí slyšela jsem v poslední době jakousi stížnost: je tady sice sbor vedoucích, ale ne</w:t>
      </w:r>
      <w:r>
        <w:softHyphen/>
      </w:r>
      <w:r>
        <w:t>máme vlastně jedinou osobu, která by se rýsovala, jako osoba vůdčí.</w:t>
      </w:r>
    </w:p>
    <w:p w:rsidR="00500724" w:rsidRDefault="00F30FB8">
      <w:pPr>
        <w:pStyle w:val="Zkladntext20"/>
        <w:shd w:val="clear" w:color="auto" w:fill="auto"/>
        <w:spacing w:line="204" w:lineRule="auto"/>
        <w:ind w:firstLine="260"/>
      </w:pPr>
      <w:r>
        <w:t>Nemohu se ubránit vzpomínce na rozhovor s mla</w:t>
      </w:r>
      <w:r>
        <w:softHyphen/>
        <w:t xml:space="preserve">dým českým studentem, který jsem vedla už před mnoha léty. Hovořili jsme o systému vůdcovském a o myšlence vůdčí vůbec a tu v jakési obhajobě </w:t>
      </w:r>
      <w:r>
        <w:t>své oblíbené představy mně zaníceně řekl: A vy si myslíte, že by český národ nemohl mít diktátora? To se velmi mýlíte. I my bychom mohli mít diktátory — ale oni si netroufají!</w:t>
      </w:r>
    </w:p>
    <w:p w:rsidR="00500724" w:rsidRDefault="00F30FB8">
      <w:pPr>
        <w:pStyle w:val="Zkladntext20"/>
        <w:shd w:val="clear" w:color="auto" w:fill="auto"/>
        <w:spacing w:after="100" w:line="204" w:lineRule="auto"/>
        <w:ind w:firstLine="260"/>
      </w:pPr>
      <w:r>
        <w:t>Vidíte, představa, že máme kdesi diktátory, kteří si netroufají diktovat, byla i</w:t>
      </w:r>
      <w:r>
        <w:t xml:space="preserve"> v hlavě mladého, zanícené</w:t>
      </w:r>
      <w:r>
        <w:softHyphen/>
        <w:t>ho českého fašisty, a tato představa přesně vystihuje stav tohoto národa a jeho dobrovolnou a uvědomělou kázeň. Myšlenka totálního vedení je nám vzdálena, poněvadž jsme usilovali o vedení netotální a byli jsme v této myšlence vyc</w:t>
      </w:r>
      <w:r>
        <w:t>hováni. Majíce však dnes vedení totální, nezbývá, než žádati je, aby vládlo. Musíme se dnes smířiti s vládou rozhodnou i tehdy, budou-li nám některá její nařízení hořká, i tehdy, má-li někdo z nás jiné názory na správu věcí státních. Máme-li vědomí, že nám</w:t>
      </w:r>
      <w:r>
        <w:t xml:space="preserve"> v čele stojí muži, jimž je myšlenka národní svébytnosti a jejího výrazu právě tak drahá, jako nám, budeme je prosit, aby vládli. Mohlo by se snad při</w:t>
      </w:r>
      <w:r>
        <w:softHyphen/>
        <w:t>hodit, že by je vystřídala skupina mužů, ochotnějších k poroučení, ale méně oddaná statku, který nám zbýv</w:t>
      </w:r>
      <w:r>
        <w:t>á. Poněvadž pak přirozeně je vláda území Protek</w:t>
      </w:r>
      <w:r>
        <w:softHyphen/>
        <w:t>torátu jakýmsi prostřednictvím mezi zájmy Říše a zájmy českého lidu, poněvadž tato vláda má povinností na dvě strany a to povinnost vůči Říši a povinnost vůči nám, je v našem zájmu, abychom věděli bezpeč</w:t>
      </w:r>
      <w:r>
        <w:softHyphen/>
        <w:t xml:space="preserve">ně, </w:t>
      </w:r>
      <w:r>
        <w:t>že nemáme ruce poctivější, které by tento úkol plnily. Jsouce ubezpečeni, že se to děje, hodláme pod jejím vedením pracovati.</w:t>
      </w:r>
    </w:p>
    <w:p w:rsidR="00500724" w:rsidRDefault="00F30FB8">
      <w:pPr>
        <w:pStyle w:val="Zkladntext20"/>
        <w:shd w:val="clear" w:color="auto" w:fill="auto"/>
        <w:spacing w:after="80" w:line="204" w:lineRule="auto"/>
        <w:ind w:firstLine="0"/>
        <w:jc w:val="center"/>
      </w:pPr>
      <w:r>
        <w:t>Mladí...</w:t>
      </w:r>
    </w:p>
    <w:p w:rsidR="00500724" w:rsidRDefault="00F30FB8">
      <w:pPr>
        <w:pStyle w:val="Zkladntext20"/>
        <w:shd w:val="clear" w:color="auto" w:fill="auto"/>
        <w:spacing w:line="204" w:lineRule="auto"/>
        <w:ind w:firstLine="260"/>
      </w:pPr>
      <w:r>
        <w:t>Přede mnou sedí několik mladých lidí. Usadili se v mé mansardě, uvařili si čaj a rozpovídali se. Mívám, přiznám se, jakou</w:t>
      </w:r>
      <w:r>
        <w:t>si ostýchavou nedůvěru k mladým. Neznajíce nic, domnívají se, že rozumí všemu. Tato mláďata mne však zahanbují. Znají mnohem více, než znám sama. Mají nejrůznější zájmy a ty zájmy nejsou povrchní. Mají výborně fundovaný základ k všeobec</w:t>
      </w:r>
      <w:r>
        <w:softHyphen/>
        <w:t>nému vzděláni a při</w:t>
      </w:r>
      <w:r>
        <w:t xml:space="preserve"> tom — a to je vůbec nejkrás</w:t>
      </w:r>
      <w:r>
        <w:softHyphen/>
        <w:t>nější — pracují a učí se. Na klinikách, na vysokoškol</w:t>
      </w:r>
      <w:r>
        <w:softHyphen/>
        <w:t>ských ústavech. Jsou to přímí a nefrázovití lidé, ne- zaslepení žádným stranickým urputnictvím. Jsou vážní, prostí, samostatní, chytří a proto velmi krásní. Mám po prvé před</w:t>
      </w:r>
      <w:r>
        <w:t xml:space="preserve"> mladými lidmi radostný pocit, že se musím mnohému od nich učit, že musím být mno</w:t>
      </w:r>
      <w:r>
        <w:softHyphen/>
        <w:t>hem pilnější, abych s nimi udržela krok. Smutné hodi</w:t>
      </w:r>
      <w:r>
        <w:softHyphen/>
        <w:t>ny nedůvěry a pochyb prchají z mého pokoje: národ, který má mezi mládeží tak výborné lidi, má také výborné naděje.</w:t>
      </w:r>
    </w:p>
    <w:p w:rsidR="00500724" w:rsidRDefault="00F30FB8">
      <w:pPr>
        <w:pStyle w:val="Zkladntext20"/>
        <w:shd w:val="clear" w:color="auto" w:fill="auto"/>
        <w:spacing w:line="209" w:lineRule="auto"/>
        <w:ind w:firstLine="260"/>
      </w:pPr>
      <w:r>
        <w:t>Co ček</w:t>
      </w:r>
      <w:r>
        <w:t>áte od Národního souručenství? ptám se jich. Je velmi zajímavé, co odpovídají:</w:t>
      </w:r>
    </w:p>
    <w:p w:rsidR="00500724" w:rsidRDefault="00F30FB8">
      <w:pPr>
        <w:pStyle w:val="Zkladntext20"/>
        <w:shd w:val="clear" w:color="auto" w:fill="auto"/>
        <w:spacing w:after="40" w:line="204" w:lineRule="auto"/>
        <w:ind w:firstLine="260"/>
        <w:sectPr w:rsidR="00500724">
          <w:footnotePr>
            <w:numFmt w:val="chicago"/>
            <w:numRestart w:val="eachPage"/>
          </w:footnotePr>
          <w:type w:val="continuous"/>
          <w:pgSz w:w="11909" w:h="16834"/>
          <w:pgMar w:top="999" w:right="773" w:bottom="953" w:left="730" w:header="0" w:footer="3" w:gutter="0"/>
          <w:cols w:num="2" w:space="106"/>
          <w:noEndnote/>
          <w:docGrid w:linePitch="360"/>
        </w:sectPr>
      </w:pPr>
      <w:r>
        <w:t>Nedělte národ uměle na mladé a staré, říká ml</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800" w:right="1035" w:bottom="480" w:left="492" w:header="0" w:footer="3" w:gutter="0"/>
          <w:cols w:space="720"/>
          <w:noEndnote/>
          <w:docGrid w:linePitch="360"/>
        </w:sectPr>
      </w:pPr>
      <w:bookmarkStart w:id="543" w:name="bookmark542"/>
      <w:r>
        <w:rPr>
          <w:rFonts w:ascii="Times New Roman" w:eastAsia="Times New Roman" w:hAnsi="Times New Roman" w:cs="Times New Roman"/>
        </w:rPr>
        <w:t>Přítomnosti</w:t>
      </w:r>
      <w:bookmarkEnd w:id="543"/>
    </w:p>
    <w:p w:rsidR="00500724" w:rsidRDefault="00500724">
      <w:pPr>
        <w:spacing w:line="110" w:lineRule="exact"/>
        <w:rPr>
          <w:sz w:val="9"/>
          <w:szCs w:val="9"/>
        </w:rPr>
      </w:pPr>
    </w:p>
    <w:p w:rsidR="00500724" w:rsidRDefault="00500724">
      <w:pPr>
        <w:spacing w:line="14" w:lineRule="exact"/>
        <w:sectPr w:rsidR="00500724">
          <w:footnotePr>
            <w:numFmt w:val="chicago"/>
            <w:numRestart w:val="eachPage"/>
          </w:footnotePr>
          <w:type w:val="continuous"/>
          <w:pgSz w:w="11909" w:h="16834"/>
          <w:pgMar w:top="861" w:right="0" w:bottom="420" w:left="0" w:header="0" w:footer="3" w:gutter="0"/>
          <w:cols w:space="720"/>
          <w:noEndnote/>
          <w:docGrid w:linePitch="360"/>
        </w:sectPr>
      </w:pPr>
    </w:p>
    <w:p w:rsidR="00500724" w:rsidRDefault="00F30FB8">
      <w:pPr>
        <w:spacing w:line="14" w:lineRule="exact"/>
      </w:pPr>
      <w:r>
        <w:rPr>
          <w:noProof/>
        </w:rPr>
        <mc:AlternateContent>
          <mc:Choice Requires="wps">
            <w:drawing>
              <wp:anchor distT="12700" distB="254000" distL="114300" distR="114300" simplePos="0" relativeHeight="125829914" behindDoc="0" locked="0" layoutInCell="1" allowOverlap="1">
                <wp:simplePos x="0" y="0"/>
                <wp:positionH relativeFrom="page">
                  <wp:posOffset>312420</wp:posOffset>
                </wp:positionH>
                <wp:positionV relativeFrom="paragraph">
                  <wp:posOffset>9030970</wp:posOffset>
                </wp:positionV>
                <wp:extent cx="228600" cy="170815"/>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228600" cy="170815"/>
                        </a:xfrm>
                        <a:prstGeom prst="rect">
                          <a:avLst/>
                        </a:prstGeom>
                        <a:noFill/>
                      </wps:spPr>
                      <wps:txbx>
                        <w:txbxContent>
                          <w:p w:rsidR="00500724" w:rsidRDefault="00F30FB8">
                            <w:pPr>
                              <w:pStyle w:val="Zkladntext80"/>
                              <w:shd w:val="clear" w:color="auto" w:fill="auto"/>
                              <w:spacing w:line="240" w:lineRule="auto"/>
                              <w:rPr>
                                <w:sz w:val="20"/>
                                <w:szCs w:val="20"/>
                              </w:rPr>
                            </w:pPr>
                            <w:r>
                              <w:rPr>
                                <w:b w:val="0"/>
                                <w:bCs w:val="0"/>
                                <w:i/>
                                <w:iCs/>
                                <w:sz w:val="20"/>
                                <w:szCs w:val="20"/>
                              </w:rPr>
                              <w:t>tso</w:t>
                            </w:r>
                          </w:p>
                        </w:txbxContent>
                      </wps:txbx>
                      <wps:bodyPr lIns="0" tIns="0" rIns="0" bIns="0">
                        <a:spAutoFit/>
                      </wps:bodyPr>
                    </wps:wsp>
                  </a:graphicData>
                </a:graphic>
              </wp:anchor>
            </w:drawing>
          </mc:Choice>
          <mc:Fallback>
            <w:pict>
              <v:shape id="_x0000_s1563" type="#_x0000_t202" style="position:absolute;margin-left:24.600000000000001pt;margin-top:711.10000000000002pt;width:18.pt;height:13.449999999999999pt;z-index:-125828839;mso-wrap-distance-left:9.pt;mso-wrap-distance-top:1.pt;mso-wrap-distance-right:9.pt;mso-wrap-distance-bottom:20.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0"/>
                          <w:szCs w:val="20"/>
                        </w:rPr>
                      </w:pPr>
                      <w:r>
                        <w:rPr>
                          <w:b w:val="0"/>
                          <w:bCs w:val="0"/>
                          <w:i/>
                          <w:iCs/>
                          <w:color w:val="000000"/>
                          <w:spacing w:val="0"/>
                          <w:w w:val="100"/>
                          <w:position w:val="0"/>
                          <w:sz w:val="20"/>
                          <w:szCs w:val="20"/>
                          <w:shd w:val="clear" w:color="auto" w:fill="auto"/>
                          <w:lang w:val="cs-CZ" w:eastAsia="cs-CZ" w:bidi="cs-CZ"/>
                        </w:rPr>
                        <w:t>tso</w:t>
                      </w:r>
                    </w:p>
                  </w:txbxContent>
                </v:textbox>
                <w10:wrap type="topAndBottom" anchorx="page"/>
              </v:shape>
            </w:pict>
          </mc:Fallback>
        </mc:AlternateContent>
      </w:r>
    </w:p>
    <w:p w:rsidR="00500724" w:rsidRDefault="00F30FB8">
      <w:pPr>
        <w:pStyle w:val="Zkladntext20"/>
        <w:shd w:val="clear" w:color="auto" w:fill="auto"/>
        <w:spacing w:line="204" w:lineRule="auto"/>
        <w:ind w:firstLine="0"/>
      </w:pPr>
      <w:r>
        <w:t xml:space="preserve">dvacetileté děvče. Je to </w:t>
      </w:r>
      <w:r>
        <w:t>násilné. Jsme ovšem rádi mezi sebou a máme ovšem mnoho společných zájmů, ale nechceme s vámi ztratit kontakt. Nechceme, aby bylo rázem přerváno, co je v národě kulturního a aby bylo svěřeno vedení nám na úkor vašeho vyřazování. Víme dobře, že je to lákavé,</w:t>
      </w:r>
      <w:r>
        <w:t xml:space="preserve"> přikládá-li se tolik dů</w:t>
      </w:r>
      <w:r>
        <w:softHyphen/>
        <w:t>ležitosti mladým a je nejvyšší čas, že se tak děje. Mluvívali jste s námi vždycky jako s nemluvňaty. Pro novou dobu zřejmě přicházíme v úvahu. Jsme si toho vědomi, jsme na to hrdi — ale pojďte s námi. Je jenom jedna řeč na světě: ř</w:t>
      </w:r>
      <w:r>
        <w:t>eč slušných lidí. Na stáří nezáleží. Dáváte-li nás mladé dohromady, dobrá: ale nezapo</w:t>
      </w:r>
      <w:r>
        <w:softHyphen/>
        <w:t>meňte přijít mezi nás a umožněte nám, abychom my přicházeli k vám. Nedávejte neprodyšné hranice mezi nás — chceme jít společně.</w:t>
      </w:r>
    </w:p>
    <w:p w:rsidR="00500724" w:rsidRDefault="00F30FB8">
      <w:pPr>
        <w:pStyle w:val="Zkladntext20"/>
        <w:shd w:val="clear" w:color="auto" w:fill="auto"/>
        <w:spacing w:line="204" w:lineRule="auto"/>
      </w:pPr>
      <w:r>
        <w:t>Jak si představuji Národní souručenství? D</w:t>
      </w:r>
      <w:r>
        <w:t xml:space="preserve">ovolte, abych užila přirovnání: venku je nepohoda a liják, vichřice a nečas. A tady stojí dům. Je pevný, </w:t>
      </w:r>
      <w:r>
        <w:rPr>
          <w:b/>
          <w:bCs/>
          <w:sz w:val="20"/>
          <w:szCs w:val="20"/>
        </w:rPr>
        <w:t xml:space="preserve">i </w:t>
      </w:r>
      <w:r>
        <w:t xml:space="preserve">když snad není zcela zařízený. Máme na vybranou: zůstat sami v nepohodě, zmoknout a mračit se na svět, nebo vejít, skrýt se před vichřicí a současně </w:t>
      </w:r>
      <w:r>
        <w:t>přiložit ruce k dílu a zařizovat si ten barák, jak nejlépe dovedeme. Ovšem, že se o to pokusíme ze všech sil a těch není málo. Každý z nás něco dovede, něčemu se naučí, něco umí. Chceme mimo svoje osobní vzdělání pracovat ýeště všichni na zařizování tohoto</w:t>
      </w:r>
      <w:r>
        <w:t xml:space="preserve"> krytu před nepoho</w:t>
      </w:r>
      <w:r>
        <w:softHyphen/>
        <w:t>dou. Uděláme, co dovedeme. Víme velmi dobře, že dnes záleží na vás, starších. Za pět let však už bude záležet na nás, mladých. Právě proto nesmíte nikdy přervat souvislost mezi námi. Musíme pracovat v dohodě a dorozumění.</w:t>
      </w:r>
    </w:p>
    <w:p w:rsidR="00500724" w:rsidRDefault="00F30FB8">
      <w:pPr>
        <w:pStyle w:val="Zkladntext20"/>
        <w:shd w:val="clear" w:color="auto" w:fill="auto"/>
        <w:spacing w:after="100" w:line="204" w:lineRule="auto"/>
      </w:pPr>
      <w:r>
        <w:t>O i“'’no vás vš</w:t>
      </w:r>
      <w:r>
        <w:t>ak prosíme: nepodceňujte nás. Po</w:t>
      </w:r>
      <w:r>
        <w:softHyphen/>
        <w:t>hleďte, dostala jsem s přihláškou do Národního sou</w:t>
      </w:r>
      <w:r>
        <w:softHyphen/>
        <w:t>ručenství, kterou jsem vyplnila, tento leták. Je třeba, aby byl tak nicotný? Je třeba, abyste toto předkládali mladým dívkám? Co si máme představit pod větami, jako: vy pak</w:t>
      </w:r>
      <w:r>
        <w:t xml:space="preserve"> máte bílý šátek v rukách, když vaši mih odcházejí z domova? Národ staví muže do jedné řady, vy však buďte rozkvetlými jabloněmi atd.? Je nutný ten úpadek jakostí, který se na nás odevšud řítí? Není možno zachovati si právě dnes jakost, to nejvyšší a nejry</w:t>
      </w:r>
      <w:r>
        <w:t>zejší, co jsme měli? Nestojíme my mladí za zvlášť pečlivý výběr slov? A nemáte dost skutečných básníků a spisovatelů, které všechny známe a milujeme, jejichž slovo už pro nás znamená povzbuzení a které poslech</w:t>
      </w:r>
      <w:r>
        <w:softHyphen/>
        <w:t>neme rádi? — Tolik mladí.</w:t>
      </w:r>
    </w:p>
    <w:p w:rsidR="00500724" w:rsidRDefault="00F30FB8">
      <w:pPr>
        <w:pStyle w:val="Zkladntext20"/>
        <w:shd w:val="clear" w:color="auto" w:fill="auto"/>
        <w:spacing w:after="60" w:line="204" w:lineRule="auto"/>
        <w:ind w:firstLine="0"/>
        <w:jc w:val="center"/>
      </w:pPr>
      <w:r>
        <w:rPr>
          <w:b/>
          <w:bCs/>
        </w:rPr>
        <w:t>Kolektiv a anonymita</w:t>
      </w:r>
    </w:p>
    <w:p w:rsidR="00500724" w:rsidRDefault="00F30FB8">
      <w:pPr>
        <w:pStyle w:val="Zkladntext20"/>
        <w:shd w:val="clear" w:color="auto" w:fill="auto"/>
        <w:spacing w:line="202" w:lineRule="auto"/>
      </w:pPr>
      <w:r>
        <w:t>Má-li stát celý národ v jedné řadě a jedné frontě, tvoří kolektiv osmi milionů a to je kolektiv veliký. Jsou lidé, kteří se necítí v kolektivu dobře, protože jsou příliš skromní a nehluční. Asi tak: věc dobrou po</w:t>
      </w:r>
      <w:r>
        <w:softHyphen/>
        <w:t>važují za samozřejmou a ostýchali by se tr</w:t>
      </w:r>
      <w:r>
        <w:t>opit mnoho povyku pro ni. Nepatří vůbec mezi výtržníky; tropit vý</w:t>
      </w:r>
      <w:r>
        <w:softHyphen/>
        <w:t>tržnosti přenechává jí jiným povahám. Odjakživa bylo v českém národě málo velkohubců a to je jedna z jeho ctností, které se mohou v dnešních dobách nevyplácet. Nedovedu to vyjádřit lépe, než</w:t>
      </w:r>
      <w:r>
        <w:t xml:space="preserve"> učinila jedna žena, která mi napsala tento dopis:</w:t>
      </w:r>
    </w:p>
    <w:p w:rsidR="00500724" w:rsidRDefault="00F30FB8">
      <w:pPr>
        <w:pStyle w:val="Zkladntext100"/>
        <w:shd w:val="clear" w:color="auto" w:fill="auto"/>
        <w:spacing w:after="40" w:line="187" w:lineRule="auto"/>
        <w:ind w:firstLine="240"/>
        <w:rPr>
          <w:sz w:val="19"/>
          <w:szCs w:val="19"/>
        </w:rPr>
      </w:pPr>
      <w:r>
        <w:rPr>
          <w:b/>
          <w:bCs/>
          <w:sz w:val="19"/>
          <w:szCs w:val="19"/>
        </w:rPr>
        <w:t>»... Je mezi námi Jistě mnoho lidí dobré vůle, kteří se nikdy nesníží. k zbytečnému naříkání, naopak, ztichnou ještě více, ale napřímí se pevněji a pracují tím houžev</w:t>
      </w:r>
      <w:r>
        <w:rPr>
          <w:b/>
          <w:bCs/>
          <w:sz w:val="19"/>
          <w:szCs w:val="19"/>
        </w:rPr>
        <w:softHyphen/>
        <w:t>natěji a cílevědoměji. Ale o těchto li</w:t>
      </w:r>
      <w:r>
        <w:rPr>
          <w:b/>
          <w:bCs/>
          <w:sz w:val="19"/>
          <w:szCs w:val="19"/>
        </w:rPr>
        <w:t>dech se poměrně málo ví. Jsou schováni v zástupech těch ostatních, takže jejich existence je skoro nepostřehnutelná a projeví se obyčejně až když je pozdě. Když zemřel Karel Čapek, umučen níz</w:t>
      </w:r>
      <w:r>
        <w:rPr>
          <w:b/>
          <w:bCs/>
          <w:sz w:val="19"/>
          <w:szCs w:val="19"/>
        </w:rPr>
        <w:softHyphen/>
        <w:t xml:space="preserve">kými, ale úžasně čilými a činnými Bvly, měla jsem po prvé pocit </w:t>
      </w:r>
      <w:r>
        <w:rPr>
          <w:b/>
          <w:bCs/>
          <w:sz w:val="19"/>
          <w:szCs w:val="19"/>
        </w:rPr>
        <w:t>vlny. Proč jsme se my, jeho přátelé a ctitelé, dovedli projevit teprve, když bylo pozdě? Bylo nás přece tisíce a tisíce! Kdybychom byli včas spojili své hlasy k jeho útěše, snad by mu byla víra v člověka dala víru k životu? Nebo by byl alespoň umíral s věd</w:t>
      </w:r>
      <w:r>
        <w:rPr>
          <w:b/>
          <w:bCs/>
          <w:sz w:val="19"/>
          <w:szCs w:val="19"/>
        </w:rPr>
        <w:t>omím, že celý svět »ne- zhruble,</w:t>
      </w:r>
    </w:p>
    <w:p w:rsidR="00500724" w:rsidRDefault="00F30FB8">
      <w:pPr>
        <w:pStyle w:val="Zkladntext100"/>
        <w:shd w:val="clear" w:color="auto" w:fill="auto"/>
        <w:spacing w:after="40" w:line="187" w:lineRule="auto"/>
        <w:ind w:firstLine="240"/>
        <w:rPr>
          <w:sz w:val="19"/>
          <w:szCs w:val="19"/>
        </w:rPr>
      </w:pPr>
      <w:r>
        <w:rPr>
          <w:b/>
          <w:bCs/>
          <w:sz w:val="19"/>
          <w:szCs w:val="19"/>
        </w:rPr>
        <w:t>Aktivnost hrubých lidi je obrovská a nepotřebuje po</w:t>
      </w:r>
      <w:r>
        <w:rPr>
          <w:b/>
          <w:bCs/>
          <w:sz w:val="19"/>
          <w:szCs w:val="19"/>
        </w:rPr>
        <w:softHyphen/>
        <w:t>vzbuzení. Naproti tomu lidé dobré vůle Jsou plaší a neroz</w:t>
      </w:r>
      <w:r>
        <w:rPr>
          <w:b/>
          <w:bCs/>
          <w:sz w:val="19"/>
          <w:szCs w:val="19"/>
        </w:rPr>
        <w:softHyphen/>
        <w:t>hodní. Nikdy nemají pocit, že na nich záleží, že by měli promluvit a zpravidla se nepřidají ani k žádnému celků,</w:t>
      </w:r>
    </w:p>
    <w:p w:rsidR="00500724" w:rsidRDefault="00F30FB8">
      <w:pPr>
        <w:pStyle w:val="Zkladntext100"/>
        <w:shd w:val="clear" w:color="auto" w:fill="auto"/>
        <w:spacing w:after="40" w:line="185" w:lineRule="auto"/>
        <w:ind w:firstLine="240"/>
        <w:rPr>
          <w:sz w:val="19"/>
          <w:szCs w:val="19"/>
        </w:rPr>
      </w:pPr>
      <w:r>
        <w:rPr>
          <w:b/>
          <w:bCs/>
          <w:sz w:val="19"/>
          <w:szCs w:val="19"/>
        </w:rPr>
        <w:t>A to Je důvod, pro který jsem tento dopis napsala: při</w:t>
      </w:r>
      <w:r>
        <w:rPr>
          <w:b/>
          <w:bCs/>
          <w:sz w:val="19"/>
          <w:szCs w:val="19"/>
        </w:rPr>
        <w:softHyphen/>
        <w:t>hlásit se k celku! Vyjít ze svého soukromí a všemi schop</w:t>
      </w:r>
      <w:r>
        <w:rPr>
          <w:b/>
          <w:bCs/>
          <w:sz w:val="19"/>
          <w:szCs w:val="19"/>
        </w:rPr>
        <w:softHyphen/>
        <w:t xml:space="preserve">nostmi a vůlí dát se k disposici dobré věci a vědět, že již nejsem sama a bezmocná svou anonymitou, ale že vědí jiní, kteří smýšlejí jako já, o </w:t>
      </w:r>
      <w:r>
        <w:rPr>
          <w:b/>
          <w:bCs/>
          <w:sz w:val="19"/>
          <w:szCs w:val="19"/>
        </w:rPr>
        <w:t>mé existenci a že se mnou budou počítat, bude-li třeba. Snad mi rozumíte: přála bych si, abychom se nějakým způsobem všichni dověděli, že nejsme bezvýznamnými jedinci, ale příslušníky velké armády, která znásobuje všechno, co cítíme a chceme dobrého..,*</w:t>
      </w:r>
    </w:p>
    <w:p w:rsidR="00500724" w:rsidRDefault="00F30FB8">
      <w:pPr>
        <w:pStyle w:val="Zkladntext20"/>
        <w:shd w:val="clear" w:color="auto" w:fill="auto"/>
        <w:spacing w:after="160" w:line="202" w:lineRule="auto"/>
      </w:pPr>
      <w:r>
        <w:t>Ta</w:t>
      </w:r>
      <w:r>
        <w:t>dy je skvěle vyjádřen problém našich dnů vůbec: jak dosáhnout, aby v obrovském kolektivu neztrácel se jedinec jako kapka v moři buď v beznaději nebo v myšlenkové pohodlnosti, a jak zařídit, aby přes ukázněnost kolektivu zůstalo jedinci vědomí, že na něm zá</w:t>
      </w:r>
      <w:r>
        <w:t>leží, čili, že mu zůstává iniciativa jednání? Je třeba chodit od člověka k člověku, od dělníka k úřed</w:t>
      </w:r>
      <w:r>
        <w:softHyphen/>
        <w:t>níku, od studenta k řemeslníku, od umělce k učenci, od příštípkáře k hodnostáři a opakovat znovu a zno</w:t>
      </w:r>
      <w:r>
        <w:softHyphen/>
        <w:t>vu: Na tobě záleží. Je důležité, co děláš. Nic není</w:t>
      </w:r>
      <w:r>
        <w:t xml:space="preserve"> lho</w:t>
      </w:r>
      <w:r>
        <w:softHyphen/>
        <w:t>stejné. Jsi právě tak nepostradatelný, jako každý z nás. Jsi člen kolektiva, ale na mravní a politické ná</w:t>
      </w:r>
      <w:r>
        <w:softHyphen/>
        <w:t>rodní i kulturní úrovni tohoto kolektiva rozhoduje úroveň každého jeho jedince. Fakt, že jsi v kolektivu, nezbavuje tě odpovědnosti ani povinnost</w:t>
      </w:r>
      <w:r>
        <w:t>í; naopak: tvá práce ať je větší, tvoje úsilí zvýšené. Mate před sebou velkou povinnost: chránit národ před lidmi ^nízkými, ale úžasně čilými a činnými*.</w:t>
      </w:r>
    </w:p>
    <w:p w:rsidR="00500724" w:rsidRDefault="00F30FB8">
      <w:pPr>
        <w:pStyle w:val="Nadpis110"/>
        <w:shd w:val="clear" w:color="auto" w:fill="auto"/>
        <w:spacing w:after="40" w:line="202" w:lineRule="auto"/>
        <w:ind w:left="60"/>
        <w:jc w:val="center"/>
      </w:pPr>
      <w:bookmarkStart w:id="544" w:name="bookmark543"/>
      <w:r>
        <w:rPr>
          <w:rFonts w:ascii="Times New Roman" w:eastAsia="Times New Roman" w:hAnsi="Times New Roman" w:cs="Times New Roman"/>
        </w:rPr>
        <w:t>Representovat</w:t>
      </w:r>
      <w:bookmarkEnd w:id="544"/>
    </w:p>
    <w:p w:rsidR="00500724" w:rsidRDefault="00F30FB8">
      <w:pPr>
        <w:pStyle w:val="Zkladntext20"/>
        <w:shd w:val="clear" w:color="auto" w:fill="auto"/>
        <w:spacing w:after="40" w:line="202" w:lineRule="auto"/>
      </w:pPr>
      <w:r>
        <w:t xml:space="preserve">Inu, oo čekám od Národního souručenství, povídá dělník Alois Mrázek. Pravda, že čekáme práci </w:t>
      </w:r>
      <w:r>
        <w:rPr>
          <w:b/>
          <w:bCs/>
          <w:sz w:val="20"/>
          <w:szCs w:val="20"/>
        </w:rPr>
        <w:t xml:space="preserve">a </w:t>
      </w:r>
      <w:r>
        <w:t>dobrou sociální politiku. Pravda, že čekáme všechno, co lid může čekat od vlády. Nemohu celkem nic no</w:t>
      </w:r>
      <w:r>
        <w:softHyphen/>
        <w:t>vého a nic zvláštního povídat. Jenom jedno čekáme dnes jina</w:t>
      </w:r>
      <w:r>
        <w:t>čí, než jsme čekali vždycky: aby nás, české lidi, důstojně representovalo. Víte, tohle je vláda, kte</w:t>
      </w:r>
      <w:r>
        <w:softHyphen/>
        <w:t xml:space="preserve">rou jsme </w:t>
      </w:r>
      <w:r>
        <w:rPr>
          <w:b/>
          <w:bCs/>
          <w:sz w:val="20"/>
          <w:szCs w:val="20"/>
        </w:rPr>
        <w:t xml:space="preserve">si </w:t>
      </w:r>
      <w:r>
        <w:t>nezvolili a přece jsme se jí podvolili* Uznejte, že to je čin. Máme právo za něj něco žádat. Kromě samozřejmých požadavků pracujících lidí má</w:t>
      </w:r>
      <w:r>
        <w:softHyphen/>
        <w:t>m</w:t>
      </w:r>
      <w:r>
        <w:t>e žádost novou: representujte násl Ba ne, nemyslím tím, že mají členové Národního souručenství chodit bezvadně oblečeni, že se mají uhlazeně chovat, jezdit v drahých automobilech a úřadovat v drahých sálech. Mám na mysli duchovní representaci. Nechť tato v</w:t>
      </w:r>
      <w:r>
        <w:t>lá</w:t>
      </w:r>
      <w:r>
        <w:softHyphen/>
        <w:t>da jedná v každé chvíli a v každém okamžiku tak, jak čestnému a sebevědomému Cechu náleží. Nechť si uvědomí, že za ní stojí osm milionů lidí, kteří si své národnosti váží a kteří ji milují. Máme jasně na mysli, co to je, být dobrým Cechem. Vládnete-li n</w:t>
      </w:r>
      <w:r>
        <w:t>ám, repre</w:t>
      </w:r>
      <w:r>
        <w:softHyphen/>
        <w:t>sentujte to, co je v nás nejlepšího. My budeme konat své nové povinnosti, ale vy důstojně hajte naše práva. Tak bych to asi řekl. Nedopusťte nikdy, aby někdo z vás jednal tak, jak by bezejmenný člen národa nikdy nejednal. To je nejvyšší represent</w:t>
      </w:r>
      <w:r>
        <w:t>ace a očekáváme ji od vás. Nedomnívejte se, že jste osamělí, postavil-li vás osud v čelo milionům nejrůznějších lidí. Jsme všichni tady.</w:t>
      </w:r>
    </w:p>
    <w:p w:rsidR="00500724" w:rsidRDefault="00F30FB8">
      <w:pPr>
        <w:pStyle w:val="Zkladntext20"/>
        <w:shd w:val="clear" w:color="auto" w:fill="auto"/>
        <w:spacing w:after="320" w:line="202" w:lineRule="auto"/>
        <w:rPr>
          <w:sz w:val="20"/>
          <w:szCs w:val="20"/>
        </w:rPr>
      </w:pPr>
      <w:r>
        <w:t>Aloisi Mrázku, muži téměř anonymní, postav se před mikrofon a řekni, co jsi řekl mně: Vzdali jsme se mnohých snů, tužeb</w:t>
      </w:r>
      <w:r>
        <w:t xml:space="preserve"> a představ. Očekáváme, kam nás zavede nová práce. Ale tolik víme: nevzdáme se nikdy svého národního výrazu a své duchovní, kulturní a ci</w:t>
      </w:r>
      <w:r>
        <w:softHyphen/>
        <w:t>tové úrovně, své české statečnosti a svého smyslu pro právo a spravedlnost, svého slušného chování a toho, čemu říkáme</w:t>
      </w:r>
      <w:r>
        <w:t xml:space="preserve"> česká povaha. Očekáváme od Národ</w:t>
      </w:r>
      <w:r>
        <w:softHyphen/>
        <w:t xml:space="preserve">ního souručenství, že bude v tomto smyslu </w:t>
      </w:r>
      <w:r>
        <w:rPr>
          <w:b/>
          <w:bCs/>
          <w:sz w:val="20"/>
          <w:szCs w:val="20"/>
        </w:rPr>
        <w:t xml:space="preserve">s </w:t>
      </w:r>
      <w:r>
        <w:t xml:space="preserve">námi všemi — osmi miliony — počítat. </w:t>
      </w:r>
      <w:r>
        <w:rPr>
          <w:i/>
          <w:iCs/>
          <w:sz w:val="20"/>
          <w:szCs w:val="20"/>
        </w:rPr>
        <w:t>Milena Jesenská</w:t>
      </w:r>
    </w:p>
    <w:p w:rsidR="00500724" w:rsidRDefault="00F30FB8">
      <w:pPr>
        <w:pStyle w:val="Jin0"/>
        <w:pBdr>
          <w:bottom w:val="single" w:sz="4" w:space="0" w:color="auto"/>
        </w:pBdr>
        <w:shd w:val="clear" w:color="auto" w:fill="auto"/>
        <w:spacing w:after="300"/>
        <w:ind w:firstLine="0"/>
        <w:jc w:val="left"/>
        <w:rPr>
          <w:sz w:val="44"/>
          <w:szCs w:val="44"/>
        </w:rPr>
      </w:pPr>
      <w:r>
        <w:rPr>
          <w:b/>
          <w:bCs/>
          <w:sz w:val="44"/>
          <w:szCs w:val="44"/>
        </w:rPr>
        <w:t>poznámky</w:t>
      </w:r>
    </w:p>
    <w:p w:rsidR="00500724" w:rsidRDefault="00F30FB8">
      <w:pPr>
        <w:pStyle w:val="Zkladntext20"/>
        <w:shd w:val="clear" w:color="auto" w:fill="auto"/>
        <w:spacing w:after="100" w:line="178" w:lineRule="auto"/>
        <w:ind w:firstLine="0"/>
        <w:jc w:val="center"/>
        <w:rPr>
          <w:sz w:val="20"/>
          <w:szCs w:val="20"/>
        </w:rPr>
      </w:pPr>
      <w:r>
        <w:rPr>
          <w:b/>
          <w:bCs/>
          <w:sz w:val="20"/>
          <w:szCs w:val="20"/>
        </w:rPr>
        <w:t>Pokles českého exportu</w:t>
      </w:r>
    </w:p>
    <w:p w:rsidR="00500724" w:rsidRDefault="00F30FB8">
      <w:pPr>
        <w:pStyle w:val="Zkladntext100"/>
        <w:shd w:val="clear" w:color="auto" w:fill="auto"/>
        <w:spacing w:after="40" w:line="187" w:lineRule="auto"/>
        <w:ind w:firstLine="220"/>
        <w:rPr>
          <w:sz w:val="19"/>
          <w:szCs w:val="19"/>
        </w:rPr>
      </w:pPr>
      <w:r>
        <w:rPr>
          <w:b/>
          <w:bCs/>
          <w:sz w:val="19"/>
          <w:szCs w:val="19"/>
        </w:rPr>
        <w:t xml:space="preserve">Novinami nedávno proběhla zpráva, že do mezinárodni soutěže houslistů, která se konala v </w:t>
      </w:r>
      <w:r>
        <w:rPr>
          <w:b/>
          <w:bCs/>
          <w:sz w:val="19"/>
          <w:szCs w:val="19"/>
        </w:rPr>
        <w:t>těchto dnech v Anglii, nebyl povolán český houslista, ačkoliv jeho přihláška byla již dávno před mnoha měsíci řádně přijata. To je ovšem jen detail, ale charakteristický pro situaci. Ze »Zpráv České Národní Banky« za měsíc duben je vidět, že právě tak se d</w:t>
      </w:r>
      <w:r>
        <w:rPr>
          <w:b/>
          <w:bCs/>
          <w:sz w:val="19"/>
          <w:szCs w:val="19"/>
        </w:rPr>
        <w:t>ěje českému zboží v anglosaských zemích. Pokles českého exportu je již patrný i z těchto dosud sporých dat a lze předpokládat, že se projeví mocněji teprve ze zpráv za měsíc květen.</w:t>
      </w:r>
    </w:p>
    <w:p w:rsidR="00500724" w:rsidRDefault="00F30FB8">
      <w:pPr>
        <w:pStyle w:val="Zkladntext100"/>
        <w:shd w:val="clear" w:color="auto" w:fill="auto"/>
        <w:spacing w:after="40" w:line="187" w:lineRule="auto"/>
        <w:ind w:firstLine="220"/>
        <w:rPr>
          <w:sz w:val="19"/>
          <w:szCs w:val="19"/>
        </w:rPr>
      </w:pPr>
      <w:r>
        <w:rPr>
          <w:b/>
          <w:bCs/>
          <w:sz w:val="19"/>
          <w:szCs w:val="19"/>
        </w:rPr>
        <w:t>Obecně lze hospodářskou situaci v českých zemích označit jako vyčkávání. P</w:t>
      </w:r>
      <w:r>
        <w:rPr>
          <w:b/>
          <w:bCs/>
          <w:sz w:val="19"/>
          <w:szCs w:val="19"/>
        </w:rPr>
        <w:t>rodává se ovšem pro domácí trh všechno možné, protože lidé se zásobí, ale tato situace nepotrvá dlouho. Nezaměstnanosti neni se přirozeně třeba obávat, protože všeobec</w:t>
      </w:r>
      <w:r>
        <w:rPr>
          <w:b/>
          <w:bCs/>
          <w:sz w:val="19"/>
          <w:szCs w:val="19"/>
        </w:rPr>
        <w:softHyphen/>
        <w:t>né ozbrojováni uvedlo motory v činnost všude. U nás po</w:t>
      </w:r>
      <w:r>
        <w:rPr>
          <w:b/>
          <w:bCs/>
          <w:sz w:val="19"/>
          <w:szCs w:val="19"/>
        </w:rPr>
        <w:softHyphen/>
        <w:t>klesla nezaměstnanost proti březn</w:t>
      </w:r>
      <w:r>
        <w:rPr>
          <w:b/>
          <w:bCs/>
          <w:sz w:val="19"/>
          <w:szCs w:val="19"/>
        </w:rPr>
        <w:t>u r. 1933 o více než tři čtvrtiny a proti .loňskému březnu o třetinu. Máme asi 90 tisíc nezaměstnaných, z nichž přes deset tisíc je v pracov</w:t>
      </w:r>
      <w:r>
        <w:rPr>
          <w:b/>
          <w:bCs/>
          <w:sz w:val="19"/>
          <w:szCs w:val="19"/>
        </w:rPr>
        <w:softHyphen/>
        <w:t>ních táborech. Nezaměstnanost nyní bude v letních měsí</w:t>
      </w:r>
      <w:r>
        <w:rPr>
          <w:b/>
          <w:bCs/>
          <w:sz w:val="19"/>
          <w:szCs w:val="19"/>
        </w:rPr>
        <w:softHyphen/>
        <w:t>cích klesat dále, protože stavební ruch se rozviji neobyčejn</w:t>
      </w:r>
      <w:r>
        <w:rPr>
          <w:b/>
          <w:bCs/>
          <w:sz w:val="19"/>
          <w:szCs w:val="19"/>
        </w:rPr>
        <w:t>ě silně. Souvisí přirozeně s útěkem peněz do nemovitostí, letos bylo vydáno v posledních týdnech jen v Praze o po</w:t>
      </w:r>
      <w:r>
        <w:rPr>
          <w:b/>
          <w:bCs/>
          <w:sz w:val="19"/>
          <w:szCs w:val="19"/>
        </w:rPr>
        <w:softHyphen/>
        <w:t>lovinu více stavebních povolení než loni. Z toho si lze učinit obraz o budoucí zaměstnanosti stavebního průmyslu a všech oborů, které s ním so</w:t>
      </w:r>
      <w:r>
        <w:rPr>
          <w:b/>
          <w:bCs/>
          <w:sz w:val="19"/>
          <w:szCs w:val="19"/>
        </w:rPr>
        <w:t>uvisí.</w:t>
      </w:r>
    </w:p>
    <w:p w:rsidR="00500724" w:rsidRDefault="00F30FB8">
      <w:pPr>
        <w:pStyle w:val="Zkladntext100"/>
        <w:shd w:val="clear" w:color="auto" w:fill="auto"/>
        <w:spacing w:after="40" w:line="187" w:lineRule="auto"/>
        <w:ind w:firstLine="220"/>
        <w:rPr>
          <w:sz w:val="19"/>
          <w:szCs w:val="19"/>
        </w:rPr>
      </w:pPr>
      <w:r>
        <w:rPr>
          <w:b/>
          <w:bCs/>
          <w:sz w:val="19"/>
          <w:szCs w:val="19"/>
        </w:rPr>
        <w:t>Je zajímavé, že přes všechnu poptávku po zásobách jsou světové zásoby stále ještě tak velké, že se nijak zvláště zatím nezmenšily. Ovšem, to jsou zásoby, které jsou pře</w:t>
      </w:r>
      <w:r>
        <w:rPr>
          <w:b/>
          <w:bCs/>
          <w:sz w:val="19"/>
          <w:szCs w:val="19"/>
        </w:rPr>
        <w:softHyphen/>
        <w:t>vážnou většinou uloženy na mimoevropských pevninách. Surovin je stále dost, nouz</w:t>
      </w:r>
      <w:r>
        <w:rPr>
          <w:b/>
          <w:bCs/>
          <w:sz w:val="19"/>
          <w:szCs w:val="19"/>
        </w:rPr>
        <w:t>i má o ně jenom Střední Evropa, která je anglosaským světem záměrně bojkotována. Velká Britanie přebírá kdejaké zásoby i na evropské pevnině, směňuje svou bavlnu s Amerikou za kaučuk, zajišťuje si obilí, suroviny všeho druhu, zejména pohonné látky a že</w:t>
      </w:r>
      <w:r>
        <w:rPr>
          <w:b/>
          <w:bCs/>
          <w:sz w:val="19"/>
          <w:szCs w:val="19"/>
        </w:rPr>
        <w:softHyphen/>
        <w:t>lez</w:t>
      </w:r>
      <w:r>
        <w:rPr>
          <w:b/>
          <w:bCs/>
          <w:sz w:val="19"/>
          <w:szCs w:val="19"/>
        </w:rPr>
        <w:t>né i neželezné kovy. Britský textil po mnohaleté pře</w:t>
      </w:r>
      <w:r>
        <w:rPr>
          <w:b/>
          <w:bCs/>
          <w:sz w:val="19"/>
          <w:szCs w:val="19"/>
        </w:rPr>
        <w:softHyphen/>
        <w:t>stávce jde do konjunktury, nebof britská armáda objedna</w:t>
      </w:r>
      <w:r>
        <w:rPr>
          <w:b/>
          <w:bCs/>
          <w:sz w:val="19"/>
          <w:szCs w:val="19"/>
        </w:rPr>
        <w:softHyphen/>
        <w:t>la jeden milion uniforem pro stálou armádu, kterou nyni zřizuje, a připravuje zadávky dalších dvou milionů unifo</w:t>
      </w:r>
      <w:r>
        <w:rPr>
          <w:b/>
          <w:bCs/>
          <w:sz w:val="19"/>
          <w:szCs w:val="19"/>
        </w:rPr>
        <w:softHyphen/>
        <w:t>rem, přes půl milionu stanů a různ</w:t>
      </w:r>
      <w:r>
        <w:rPr>
          <w:b/>
          <w:bCs/>
          <w:sz w:val="19"/>
          <w:szCs w:val="19"/>
        </w:rPr>
        <w:t>ých textilních potřeb pro pozemní i námořní armádu a pro letectvo. Objednávky se hrnou britskému průmyslu denně.</w:t>
      </w:r>
    </w:p>
    <w:p w:rsidR="00500724" w:rsidRDefault="00F30FB8">
      <w:pPr>
        <w:pStyle w:val="Zkladntext100"/>
        <w:shd w:val="clear" w:color="auto" w:fill="auto"/>
        <w:spacing w:after="40" w:line="190" w:lineRule="auto"/>
        <w:ind w:firstLine="320"/>
        <w:rPr>
          <w:sz w:val="19"/>
          <w:szCs w:val="19"/>
        </w:rPr>
      </w:pPr>
      <w:r>
        <w:rPr>
          <w:b/>
          <w:bCs/>
          <w:sz w:val="19"/>
          <w:szCs w:val="19"/>
        </w:rPr>
        <w:t>Zahraniční obchod Čech a Moravy ovšem na tomto vývoji již nemá podíl. Od 15. března 1939 nastává pochopitelně v důsledku státoprávních změn tak</w:t>
      </w:r>
      <w:r>
        <w:rPr>
          <w:b/>
          <w:bCs/>
          <w:sz w:val="19"/>
          <w:szCs w:val="19"/>
        </w:rPr>
        <w:t>é změna našeho zahraničního obchodu, která se prozatím projevuje jen v prvních náznacích. Později budou daleko jasnější ten</w:t>
      </w:r>
      <w:r>
        <w:rPr>
          <w:b/>
          <w:bCs/>
          <w:sz w:val="19"/>
          <w:szCs w:val="19"/>
        </w:rPr>
        <w:softHyphen/>
        <w:t xml:space="preserve">dence, kterými se napříště bude český vývoz a dovoz řídit. Ve zmíněném údobí byl český zahraniční obchod při exportu za dvanáct set </w:t>
      </w:r>
      <w:r>
        <w:rPr>
          <w:b/>
          <w:bCs/>
          <w:sz w:val="19"/>
          <w:szCs w:val="19"/>
        </w:rPr>
        <w:t>milionů korun aktivní 350 miliony korun. Z exportu připadlo na vývoz hotových výrobků téměř 950 milionů korun a skoro půl miliardy korun tvoři v celkové exportní částce výrobky ze železa anebo železo samo. V do</w:t>
      </w:r>
      <w:r>
        <w:rPr>
          <w:b/>
          <w:bCs/>
          <w:sz w:val="19"/>
          <w:szCs w:val="19"/>
        </w:rPr>
        <w:softHyphen/>
        <w:t>vozu je největší položka, přes čtyři sta mili</w:t>
      </w:r>
      <w:r>
        <w:rPr>
          <w:b/>
          <w:bCs/>
          <w:sz w:val="19"/>
          <w:szCs w:val="19"/>
        </w:rPr>
        <w:t>onů, věnována platům za hotové výrobky, téměř tři sta milionů za suro</w:t>
      </w:r>
      <w:r>
        <w:rPr>
          <w:b/>
          <w:bCs/>
          <w:sz w:val="19"/>
          <w:szCs w:val="19"/>
        </w:rPr>
        <w:softHyphen/>
        <w:t>viny a skoro 130 milionů za potraviny. Zajímavé je, že hlav</w:t>
      </w:r>
      <w:r>
        <w:rPr>
          <w:b/>
          <w:bCs/>
          <w:sz w:val="19"/>
          <w:szCs w:val="19"/>
        </w:rPr>
        <w:softHyphen/>
        <w:t>ním odbytištěm jsou Sudety, kam bylo vyvezeno zboží od nás skoro za 390 milionů korun a dovezeno za více než 300 milionů korun</w:t>
      </w:r>
      <w:r>
        <w:rPr>
          <w:b/>
          <w:bCs/>
          <w:sz w:val="19"/>
          <w:szCs w:val="19"/>
        </w:rPr>
        <w:t>; v dovozu jde ovšem hlavně o uhlí. Do ftíše samé jsme vyvezli poměrně málo, jen za 120 milionů korun a dovezli za necelých sto milionů. Ovšem, tento obchod se teprve rozroste. Celkem máme s ÉíSÍ přes třetinu (3 5 proč.) všeho našeho zahra</w:t>
      </w:r>
      <w:r>
        <w:rPr>
          <w:b/>
          <w:bCs/>
          <w:sz w:val="19"/>
          <w:szCs w:val="19"/>
        </w:rPr>
        <w:softHyphen/>
        <w:t>ničního obchodu.</w:t>
      </w:r>
    </w:p>
    <w:p w:rsidR="00500724" w:rsidRDefault="00F30FB8">
      <w:pPr>
        <w:pStyle w:val="Zkladntext100"/>
        <w:shd w:val="clear" w:color="auto" w:fill="auto"/>
        <w:spacing w:line="190" w:lineRule="auto"/>
        <w:rPr>
          <w:sz w:val="19"/>
          <w:szCs w:val="19"/>
        </w:rPr>
      </w:pPr>
      <w:r>
        <w:rPr>
          <w:b/>
          <w:bCs/>
          <w:sz w:val="19"/>
          <w:szCs w:val="19"/>
        </w:rPr>
        <w:t>Po prvé figuruje v českém zahraničním obchodu nový obchodní přítel, starý známý z vnitřního obchodu. Sloven, sko. Vývoz tam se rovnal dovozu — vzhledem k nesnad</w:t>
      </w:r>
      <w:r>
        <w:rPr>
          <w:b/>
          <w:bCs/>
          <w:sz w:val="19"/>
          <w:szCs w:val="19"/>
        </w:rPr>
        <w:softHyphen/>
        <w:t>nému získání úhrady ze Slovenska — a dosáhl 65 milionů korun. Na Těšínsko jsme vyvezli zboží z</w:t>
      </w:r>
      <w:r>
        <w:rPr>
          <w:b/>
          <w:bCs/>
          <w:sz w:val="19"/>
          <w:szCs w:val="19"/>
        </w:rPr>
        <w:t>a pouhé dva mi</w:t>
      </w:r>
      <w:r>
        <w:rPr>
          <w:b/>
          <w:bCs/>
          <w:sz w:val="19"/>
          <w:szCs w:val="19"/>
        </w:rPr>
        <w:softHyphen/>
        <w:t>liony korun a dovezli za 27 milionů — převážně uhlí. Do samého Polska jsme vyvezli za 15 milionů a dovezli za dva miliony. Export do tak zvaných volných zemí je ještě stále značný a při tom aktivní, ale již lze pozorovat, že se zmen</w:t>
      </w:r>
      <w:r>
        <w:rPr>
          <w:b/>
          <w:bCs/>
          <w:sz w:val="19"/>
          <w:szCs w:val="19"/>
        </w:rPr>
        <w:softHyphen/>
        <w:t>šuje. Po</w:t>
      </w:r>
      <w:r>
        <w:rPr>
          <w:b/>
          <w:bCs/>
          <w:sz w:val="19"/>
          <w:szCs w:val="19"/>
        </w:rPr>
        <w:t>klesl na 28 proč. se 34 proč. a vynesl asi 100 milionů korun. Zato ovšem stoupl obchod do zemí clearingových (s nimiž se zboží jen vyměňuje) se 17.7 proč. na 24 proč.</w:t>
      </w:r>
    </w:p>
    <w:p w:rsidR="00500724" w:rsidRDefault="00F30FB8">
      <w:pPr>
        <w:pStyle w:val="Zkladntext100"/>
        <w:shd w:val="clear" w:color="auto" w:fill="auto"/>
        <w:spacing w:line="190" w:lineRule="auto"/>
        <w:rPr>
          <w:sz w:val="19"/>
          <w:szCs w:val="19"/>
        </w:rPr>
      </w:pPr>
      <w:r>
        <w:rPr>
          <w:b/>
          <w:bCs/>
          <w:sz w:val="19"/>
          <w:szCs w:val="19"/>
        </w:rPr>
        <w:t xml:space="preserve">Tak asi zhruba vypadá situace českého zahraničního obchodu dnes. Velmi naléhavě jsme zde </w:t>
      </w:r>
      <w:r>
        <w:rPr>
          <w:b/>
          <w:bCs/>
          <w:sz w:val="19"/>
          <w:szCs w:val="19"/>
        </w:rPr>
        <w:t>doporučovali, aby byli vysláni mladí schopní lidé všech oborů podnikání i ze státní správy, aby zejména v anglosaských zemích propa</w:t>
      </w:r>
      <w:r>
        <w:rPr>
          <w:b/>
          <w:bCs/>
          <w:sz w:val="19"/>
          <w:szCs w:val="19"/>
        </w:rPr>
        <w:softHyphen/>
        <w:t>govali naše zboží a brzdili odpor proti němu. Když tam říkají, že mají k nám sympatie, af je prakticky dokazují tím, že kupu</w:t>
      </w:r>
      <w:r>
        <w:rPr>
          <w:b/>
          <w:bCs/>
          <w:sz w:val="19"/>
          <w:szCs w:val="19"/>
        </w:rPr>
        <w:t>jí výrobky českých rukou. Pohříchu se ve věci pro různé překážky nestalo skoro nic.</w:t>
      </w:r>
    </w:p>
    <w:p w:rsidR="00500724" w:rsidRDefault="00F30FB8">
      <w:pPr>
        <w:pStyle w:val="Zkladntext100"/>
        <w:shd w:val="clear" w:color="auto" w:fill="auto"/>
        <w:tabs>
          <w:tab w:val="left" w:pos="4747"/>
        </w:tabs>
        <w:spacing w:after="260" w:line="190" w:lineRule="auto"/>
        <w:rPr>
          <w:sz w:val="20"/>
          <w:szCs w:val="20"/>
        </w:rPr>
      </w:pPr>
      <w:r>
        <w:rPr>
          <w:b/>
          <w:bCs/>
          <w:sz w:val="19"/>
          <w:szCs w:val="19"/>
        </w:rPr>
        <w:t>Pokles zahraničního obchodu a vyčkávací taktika podni</w:t>
      </w:r>
      <w:r>
        <w:rPr>
          <w:b/>
          <w:bCs/>
          <w:sz w:val="19"/>
          <w:szCs w:val="19"/>
        </w:rPr>
        <w:softHyphen/>
        <w:t>katelů, spolu s nouzí o suroviny, jež je stále nesnadnější si z ciziny opatřit, se projevuje značným poklesem ná</w:t>
      </w:r>
      <w:r>
        <w:rPr>
          <w:b/>
          <w:bCs/>
          <w:sz w:val="19"/>
          <w:szCs w:val="19"/>
        </w:rPr>
        <w:softHyphen/>
      </w:r>
      <w:r>
        <w:rPr>
          <w:b/>
          <w:bCs/>
          <w:sz w:val="19"/>
          <w:szCs w:val="19"/>
        </w:rPr>
        <w:t>kladní dopravy na železnicích. Počet nalože</w:t>
      </w:r>
      <w:r>
        <w:rPr>
          <w:b/>
          <w:bCs/>
          <w:sz w:val="19"/>
          <w:szCs w:val="19"/>
        </w:rPr>
        <w:softHyphen/>
        <w:t xml:space="preserve">ných vagonů klesl asi o osminu, z některých oblastí se hlásí poklesy až o čtvrtinu a zdá se, že tento vývoj dosud není ukončen. Poněkud se asi zlepší situace nákladní dopravy zvýšenou těžbou uhlí a zaměstnaností </w:t>
      </w:r>
      <w:r>
        <w:rPr>
          <w:b/>
          <w:bCs/>
          <w:sz w:val="19"/>
          <w:szCs w:val="19"/>
        </w:rPr>
        <w:t>kovoprů</w:t>
      </w:r>
      <w:r>
        <w:rPr>
          <w:b/>
          <w:bCs/>
          <w:sz w:val="19"/>
          <w:szCs w:val="19"/>
        </w:rPr>
        <w:softHyphen/>
        <w:t>myslu a strojního průmyslu, který má velké množství objednávek ze Sudet a z ftíše, takže jeho zaměstnanost je zaručena. U strojíren panuje ovšem, pokud jde o ostatní export, nejistota. Podnikatelské úvěry se u Národní banky a u ostatních bank zatím</w:t>
      </w:r>
      <w:r>
        <w:rPr>
          <w:b/>
          <w:bCs/>
          <w:sz w:val="19"/>
          <w:szCs w:val="19"/>
        </w:rPr>
        <w:t xml:space="preserve"> nežádají, pod</w:t>
      </w:r>
      <w:r>
        <w:rPr>
          <w:b/>
          <w:bCs/>
          <w:sz w:val="19"/>
          <w:szCs w:val="19"/>
        </w:rPr>
        <w:softHyphen/>
        <w:t>nikatelé vyčkávají, co bude dál. Předpovědět to ovšem ni</w:t>
      </w:r>
      <w:r>
        <w:rPr>
          <w:b/>
          <w:bCs/>
          <w:sz w:val="19"/>
          <w:szCs w:val="19"/>
        </w:rPr>
        <w:softHyphen/>
        <w:t>kdo dnes na světě nedovede. V průmyslu kamene a ze</w:t>
      </w:r>
      <w:r>
        <w:rPr>
          <w:b/>
          <w:bCs/>
          <w:sz w:val="19"/>
          <w:szCs w:val="19"/>
        </w:rPr>
        <w:softHyphen/>
        <w:t>min jsou nejisté vyhlídky, papírenský průmysl ztratil skoro všechen export, nemá dnes v českém území surovinu a je o ni nouze. Nezamě</w:t>
      </w:r>
      <w:r>
        <w:rPr>
          <w:b/>
          <w:bCs/>
          <w:sz w:val="19"/>
          <w:szCs w:val="19"/>
        </w:rPr>
        <w:t>stnanost v papírenském a tiskařském průmyslu roste a činí asi 40 až 50 proč. úhrn- něho stavu. Oděvní průmysl je velmi dobře zaměst</w:t>
      </w:r>
      <w:r>
        <w:rPr>
          <w:b/>
          <w:bCs/>
          <w:sz w:val="19"/>
          <w:szCs w:val="19"/>
        </w:rPr>
        <w:softHyphen/>
        <w:t>nán pro vnitřní trh, protože lidé se zásobí, export je změn- šený a nejistý. Neví se, zda se podaří opatřit novou suro</w:t>
      </w:r>
      <w:r>
        <w:rPr>
          <w:b/>
          <w:bCs/>
          <w:sz w:val="19"/>
          <w:szCs w:val="19"/>
        </w:rPr>
        <w:softHyphen/>
        <w:t>vinu,</w:t>
      </w:r>
      <w:r>
        <w:rPr>
          <w:b/>
          <w:bCs/>
          <w:sz w:val="19"/>
          <w:szCs w:val="19"/>
        </w:rPr>
        <w:t xml:space="preserve"> speciálně vlnu a bavlnu. (Jak známo, Američané sice mají bavlny nadbytek, ale než by ji prodali do střední Evropy, raději ji páli. Podobně tomu je i s vlnou; o kávě a podobných produktech ani nemluvě.) Kožedělný průmysl má značné zakázky doma, export však</w:t>
      </w:r>
      <w:r>
        <w:rPr>
          <w:b/>
          <w:bCs/>
          <w:sz w:val="19"/>
          <w:szCs w:val="19"/>
        </w:rPr>
        <w:t xml:space="preserve"> ustává. Sklářský průmysl je postižen značně, protože i již vypravené zboží bylo z ciziny vráceno, objednávky storno</w:t>
      </w:r>
      <w:r>
        <w:rPr>
          <w:b/>
          <w:bCs/>
          <w:sz w:val="19"/>
          <w:szCs w:val="19"/>
        </w:rPr>
        <w:softHyphen/>
        <w:t xml:space="preserve">vány skoro všechny vůbec. Do ftíše sotva bude náš sklářský průmysl moci více vyvážet, protože v sudetských zemích získala ftíše sklářského </w:t>
      </w:r>
      <w:r>
        <w:rPr>
          <w:b/>
          <w:bCs/>
          <w:sz w:val="19"/>
          <w:szCs w:val="19"/>
        </w:rPr>
        <w:t xml:space="preserve">průmyslu dost. Zbývá snad něco nadějí do clearingových zemí. Anglosaské země jsou zřejmě skoro úplně ztraceny. V textilu, který má okamžitě značné množství objednávek pro domácí trh, zá- visí vývoj další zaměstnanosti, podobně jako u oděvního průmyslu, na </w:t>
      </w:r>
      <w:r>
        <w:rPr>
          <w:b/>
          <w:bCs/>
          <w:sz w:val="19"/>
          <w:szCs w:val="19"/>
        </w:rPr>
        <w:t>dovozu surovin.</w:t>
      </w:r>
      <w:r>
        <w:rPr>
          <w:b/>
          <w:bCs/>
          <w:sz w:val="19"/>
          <w:szCs w:val="19"/>
        </w:rPr>
        <w:tab/>
      </w:r>
      <w:r>
        <w:rPr>
          <w:i/>
          <w:iCs/>
          <w:sz w:val="20"/>
          <w:szCs w:val="20"/>
        </w:rPr>
        <w:t>Gis</w:t>
      </w:r>
    </w:p>
    <w:p w:rsidR="00500724" w:rsidRDefault="00F30FB8">
      <w:pPr>
        <w:pStyle w:val="Zkladntext20"/>
        <w:shd w:val="clear" w:color="auto" w:fill="auto"/>
        <w:spacing w:after="40" w:line="180" w:lineRule="auto"/>
        <w:ind w:firstLine="0"/>
        <w:jc w:val="center"/>
        <w:rPr>
          <w:sz w:val="20"/>
          <w:szCs w:val="20"/>
        </w:rPr>
      </w:pPr>
      <w:r>
        <w:rPr>
          <w:b/>
          <w:bCs/>
          <w:sz w:val="20"/>
          <w:szCs w:val="20"/>
        </w:rPr>
        <w:t>Zachraňme český tisk</w:t>
      </w:r>
    </w:p>
    <w:p w:rsidR="00500724" w:rsidRDefault="00F30FB8">
      <w:pPr>
        <w:pStyle w:val="Zkladntext100"/>
        <w:shd w:val="clear" w:color="auto" w:fill="auto"/>
        <w:spacing w:line="190" w:lineRule="auto"/>
        <w:rPr>
          <w:sz w:val="19"/>
          <w:szCs w:val="19"/>
        </w:rPr>
      </w:pPr>
      <w:r>
        <w:rPr>
          <w:b/>
          <w:bCs/>
          <w:sz w:val="19"/>
          <w:szCs w:val="19"/>
        </w:rPr>
        <w:t>Situace v českém grafickém průmyslu, v podnicích novi</w:t>
      </w:r>
      <w:r>
        <w:rPr>
          <w:b/>
          <w:bCs/>
          <w:sz w:val="19"/>
          <w:szCs w:val="19"/>
        </w:rPr>
        <w:softHyphen/>
        <w:t>nářských a knihtiskařských, je tak vážná, jako ještě snad nikdy nebyla. Nejde jen o existence tisíců lidí, redaktorů, zaměstnanců v kancelářích tiskáren a redakc</w:t>
      </w:r>
      <w:r>
        <w:rPr>
          <w:b/>
          <w:bCs/>
          <w:sz w:val="19"/>
          <w:szCs w:val="19"/>
        </w:rPr>
        <w:t>í, typografů a pomocného personálu všeho druhu, se všemi důsledky pro další tisíce lidí, kteří závisí na jakés takés prosperitě tohoto význačného průmyslového odvětví. Jde v pravém slova smyslu také o velmi vážné zájmy národní. Český tisk je ohrožen, údery</w:t>
      </w:r>
      <w:r>
        <w:rPr>
          <w:b/>
          <w:bCs/>
          <w:sz w:val="19"/>
          <w:szCs w:val="19"/>
        </w:rPr>
        <w:t xml:space="preserve"> doby ho zasáhly přímo do srdce. Nejprve vyslechněte fakta.</w:t>
      </w:r>
    </w:p>
    <w:p w:rsidR="00500724" w:rsidRDefault="00F30FB8">
      <w:pPr>
        <w:pStyle w:val="Zkladntext100"/>
        <w:shd w:val="clear" w:color="auto" w:fill="auto"/>
        <w:spacing w:after="140" w:line="209" w:lineRule="auto"/>
        <w:rPr>
          <w:sz w:val="26"/>
          <w:szCs w:val="26"/>
        </w:rPr>
      </w:pPr>
      <w:r>
        <w:rPr>
          <w:b/>
          <w:bCs/>
          <w:sz w:val="19"/>
          <w:szCs w:val="19"/>
        </w:rPr>
        <w:t>Změna státoprávního postavení českého národa zmenšila odbytiště pro česky psané noviny o více než o třetinu a sou</w:t>
      </w:r>
      <w:r>
        <w:rPr>
          <w:b/>
          <w:bCs/>
          <w:sz w:val="19"/>
          <w:szCs w:val="19"/>
        </w:rPr>
        <w:softHyphen/>
        <w:t>časně způsobila obrat ve zpravodajství, vlastně v celém stylu, kterým byly až do n</w:t>
      </w:r>
      <w:r>
        <w:rPr>
          <w:b/>
          <w:bCs/>
          <w:sz w:val="19"/>
          <w:szCs w:val="19"/>
        </w:rPr>
        <w:t>edávná české noviny dělány. Velké listy měly zahraniční korespondenty, kteří byli již všichni propuštěni. Nejen proto, že telefonování, telegrafo</w:t>
      </w:r>
      <w:r>
        <w:rPr>
          <w:b/>
          <w:bCs/>
          <w:sz w:val="19"/>
          <w:szCs w:val="19"/>
        </w:rPr>
        <w:softHyphen/>
        <w:t>vání ze vzdálených zahraničních měst je nyní již přespříliš drahé pro české noviny, ale především proto, že no</w:t>
      </w:r>
      <w:r>
        <w:rPr>
          <w:b/>
          <w:bCs/>
          <w:sz w:val="19"/>
          <w:szCs w:val="19"/>
        </w:rPr>
        <w:t xml:space="preserve">viny otiskují o zahraničních událostech v důsledku změněných poměrů censurních a státoprávních jen ty zprávy, které </w:t>
      </w:r>
      <w:r>
        <w:rPr>
          <w:rFonts w:ascii="Arial" w:eastAsia="Arial" w:hAnsi="Arial" w:cs="Arial"/>
          <w:b/>
          <w:bCs/>
          <w:i/>
          <w:iCs/>
          <w:sz w:val="26"/>
          <w:szCs w:val="26"/>
        </w:rPr>
        <w:t>33i</w:t>
      </w:r>
    </w:p>
    <w:p w:rsidR="00500724" w:rsidRDefault="00F30FB8">
      <w:pPr>
        <w:pStyle w:val="Zkladntext1"/>
        <w:shd w:val="clear" w:color="auto" w:fill="auto"/>
        <w:spacing w:line="187" w:lineRule="auto"/>
        <w:ind w:firstLine="0"/>
      </w:pPr>
      <w:r>
        <w:rPr>
          <w:b/>
          <w:bCs/>
        </w:rPr>
        <w:t>jim byly dodány úřední cestou. Je pochopitelné, že Jiné zprávy otiskovat nemohou a proto tedy o né nemají zájem. Jinými slovy nemají ani</w:t>
      </w:r>
      <w:r>
        <w:rPr>
          <w:b/>
          <w:bCs/>
        </w:rPr>
        <w:t xml:space="preserve"> prostředky, ani další zájem na tom, aby takové zpravodajství platily, když je nemohou pro noviny užít. To vedlo ovšem také k poklesu zájmu o noviny.</w:t>
      </w:r>
    </w:p>
    <w:p w:rsidR="00500724" w:rsidRDefault="00F30FB8">
      <w:pPr>
        <w:pStyle w:val="Zkladntext1"/>
        <w:shd w:val="clear" w:color="auto" w:fill="auto"/>
        <w:spacing w:line="187" w:lineRule="auto"/>
        <w:ind w:firstLine="240"/>
      </w:pPr>
      <w:r>
        <w:rPr>
          <w:b/>
          <w:bCs/>
        </w:rPr>
        <w:t>Poklesly proto znaéné příjmy časopisů z před- platného 1 z volného prodeje. Poklesy jsou ne</w:t>
      </w:r>
      <w:r>
        <w:rPr>
          <w:b/>
          <w:bCs/>
        </w:rPr>
        <w:softHyphen/>
        <w:t>stejné a pohyb</w:t>
      </w:r>
      <w:r>
        <w:rPr>
          <w:b/>
          <w:bCs/>
        </w:rPr>
        <w:t>ují se mezi čtvrtinou až polovinou dosavad</w:t>
      </w:r>
      <w:r>
        <w:rPr>
          <w:b/>
          <w:bCs/>
        </w:rPr>
        <w:softHyphen/>
        <w:t>ních příjmů. Současně poklesla inserce přímo kata</w:t>
      </w:r>
      <w:r>
        <w:rPr>
          <w:b/>
          <w:bCs/>
        </w:rPr>
        <w:softHyphen/>
        <w:t>strofálním způsobem. Obchod nemá dnes zájmu na tom, aby nabízel své zboží, protože lidé mu přímo zboží rvou z rukou a platí hotově, ba předem. Některé továrny mají</w:t>
      </w:r>
      <w:r>
        <w:rPr>
          <w:b/>
          <w:bCs/>
        </w:rPr>
        <w:t xml:space="preserve"> dnes zaplaceny dodávky zboží — látek, nábytku a různých předmětů denní potřeby — na více než na rok předem. Za</w:t>
      </w:r>
      <w:r>
        <w:rPr>
          <w:b/>
          <w:bCs/>
        </w:rPr>
        <w:softHyphen/>
        <w:t xml:space="preserve">hraniční inserce, jež nebyla ovšem nikdy příliš významná zmizela docela. Pokles příjmů za inserci dělá asi 40—50%, u některých časopisů inserce </w:t>
      </w:r>
      <w:r>
        <w:rPr>
          <w:b/>
          <w:bCs/>
        </w:rPr>
        <w:t>je dnes již téměř bezvýznam</w:t>
      </w:r>
      <w:r>
        <w:rPr>
          <w:b/>
          <w:bCs/>
        </w:rPr>
        <w:softHyphen/>
        <w:t>ným »zdrojem« příjmů. I velmi známé a rozšířené časo</w:t>
      </w:r>
      <w:r>
        <w:rPr>
          <w:b/>
          <w:bCs/>
        </w:rPr>
        <w:softHyphen/>
        <w:t>pisy, jež měly do nedávná náklad mnoho desítek tisíc vý</w:t>
      </w:r>
      <w:r>
        <w:rPr>
          <w:b/>
          <w:bCs/>
        </w:rPr>
        <w:softHyphen/>
        <w:t>tisků, *a náklady přímo statisícové, prodělávají, a jejích komerční ředitelé s obavami hledí vstříc okamžiku, kdy všech</w:t>
      </w:r>
      <w:r>
        <w:rPr>
          <w:b/>
          <w:bCs/>
        </w:rPr>
        <w:t>ny reservy budou vyčerpány a kdy jim prostě dojde dech.</w:t>
      </w:r>
    </w:p>
    <w:p w:rsidR="00500724" w:rsidRDefault="00F30FB8">
      <w:pPr>
        <w:pStyle w:val="Zkladntext1"/>
        <w:shd w:val="clear" w:color="auto" w:fill="auto"/>
        <w:spacing w:line="187" w:lineRule="auto"/>
        <w:ind w:firstLine="240"/>
      </w:pPr>
      <w:r>
        <w:rPr>
          <w:b/>
          <w:bCs/>
        </w:rPr>
        <w:t>Až dosud pomáhaly deníkům hradit jejich nedostatečné příjmy knihtiskárny a tiskárny vůbec, nájemné z domů . a obchodů a jiné průmyslové podnikání, jež bylo zařazo</w:t>
      </w:r>
      <w:r>
        <w:rPr>
          <w:b/>
          <w:bCs/>
        </w:rPr>
        <w:softHyphen/>
        <w:t>váno obvykle do stejného novinářského</w:t>
      </w:r>
      <w:r>
        <w:rPr>
          <w:b/>
          <w:bCs/>
        </w:rPr>
        <w:t xml:space="preserve"> koncernu, aby hradilo ztráty časopisů, anebo alespoň Jim usnadňovalo slušnou existenci. Příjmy tiskáren klesly však rovněž asi o polovinu a budou velmi pravděpodobně klesat dále. Nových knih se tiskne málo, propagační ko</w:t>
      </w:r>
      <w:r>
        <w:rPr>
          <w:b/>
          <w:bCs/>
        </w:rPr>
        <w:softHyphen/>
        <w:t>merční tiskopisy, jež mívaly stati</w:t>
      </w:r>
      <w:r>
        <w:rPr>
          <w:b/>
          <w:bCs/>
        </w:rPr>
        <w:t>sícové náklady, stávají se v tiskárnách již skoro neznámou věcí. Nač propagovat odbyt zboží, když lidé se o ně rvou a jsou rádi, ba vděčni, když jim je průmyslník nebo obchodník prodá? Tiskárny měly také pěkné přímý z tisku různých časopisů, vydávaných odb</w:t>
      </w:r>
      <w:r>
        <w:rPr>
          <w:b/>
          <w:bCs/>
        </w:rPr>
        <w:t>orovými organisace mi děl</w:t>
      </w:r>
      <w:r>
        <w:rPr>
          <w:b/>
          <w:bCs/>
        </w:rPr>
        <w:softHyphen/>
        <w:t>nickými a úřednickými, anebo spolky a institucemi úředními, veřejnými i soukromými. Odborové organisace se nyní slučují a tím se slučují jejich časopisy, čili namísto několika dosavadních časopisů (jejichž náklad tak jako tak kles</w:t>
      </w:r>
      <w:r>
        <w:rPr>
          <w:b/>
          <w:bCs/>
        </w:rPr>
        <w:t>l v posledních týdnech průměrně pod polovinu), bude napříště časopis jeden. Tisky úředních publikací, nemo</w:t>
      </w:r>
      <w:r>
        <w:rPr>
          <w:b/>
          <w:bCs/>
        </w:rPr>
        <w:softHyphen/>
        <w:t>cenských pojišťoven, odborových organisaci, spolků, veřej</w:t>
      </w:r>
      <w:r>
        <w:rPr>
          <w:b/>
          <w:bCs/>
        </w:rPr>
        <w:softHyphen/>
        <w:t>ných i poloveřejnýeh institucí s desítkami tisíc, někdy stovkami tisíc členů, kteří povinně</w:t>
      </w:r>
      <w:r>
        <w:rPr>
          <w:b/>
          <w:bCs/>
        </w:rPr>
        <w:t xml:space="preserve"> odebírali po výtisku časopisu nebo publikace, byly skoro úplně zastaveny. Jedna tiskárna hlásí, že za pouhé dva měsíce ztratila tisk 33 časo</w:t>
      </w:r>
      <w:r>
        <w:rPr>
          <w:b/>
          <w:bCs/>
        </w:rPr>
        <w:softHyphen/>
        <w:t>pisů, z toho dvou deníků, které zanikly.</w:t>
      </w:r>
    </w:p>
    <w:p w:rsidR="00500724" w:rsidRDefault="00F30FB8">
      <w:pPr>
        <w:pStyle w:val="Zkladntext1"/>
        <w:shd w:val="clear" w:color="auto" w:fill="auto"/>
        <w:spacing w:line="187" w:lineRule="auto"/>
        <w:ind w:firstLine="240"/>
      </w:pPr>
      <w:r>
        <w:rPr>
          <w:b/>
          <w:bCs/>
        </w:rPr>
        <w:t>Jaké jsou důsledky? Počet typografů, kteří ztratili práci, dosahuje již 3</w:t>
      </w:r>
      <w:r>
        <w:rPr>
          <w:b/>
          <w:bCs/>
        </w:rPr>
        <w:t>5% všech typografů, kteří loni byli zaměstnáni. Tiskárny propustily ve stejném měřítku po</w:t>
      </w:r>
      <w:r>
        <w:rPr>
          <w:b/>
          <w:bCs/>
        </w:rPr>
        <w:softHyphen/>
        <w:t>mocný personál, také některé redakce omezily počet red</w:t>
      </w:r>
      <w:r>
        <w:rPr>
          <w:b/>
          <w:bCs/>
        </w:rPr>
        <w:softHyphen/>
        <w:t>aktorů a kanceláře tiskáren počet kancelářského personálu. Ovšem, zatím ještě na redaktory a kancelářský tiskař</w:t>
      </w:r>
      <w:r>
        <w:rPr>
          <w:b/>
          <w:bCs/>
        </w:rPr>
        <w:softHyphen/>
        <w:t xml:space="preserve">ský personál nepřišla pohroma v tom rozsahu, jako na sazeče, ale nestane-li se v nejkratší době vše, co je možné učinit pro zvýšení příjmů tiskáren a novinářských podniků, nepostačí dosavadní systém snižováni redaktorských platů. Již dnes je nezaměstnáno </w:t>
      </w:r>
      <w:r>
        <w:rPr>
          <w:b/>
          <w:bCs/>
        </w:rPr>
        <w:t xml:space="preserve">asi 70 redaktorů z povolání, na 170 redaktorů je ve stavn výpovědi a lze předpokládat, </w:t>
      </w:r>
      <w:r>
        <w:rPr>
          <w:b/>
          <w:bCs/>
          <w:i/>
          <w:iCs/>
          <w:sz w:val="20"/>
          <w:szCs w:val="20"/>
        </w:rPr>
        <w:t xml:space="preserve">ie </w:t>
      </w:r>
      <w:r>
        <w:rPr>
          <w:b/>
          <w:bCs/>
        </w:rPr>
        <w:t>do konce roku se ocitne buď přímo bez zaměstnání, anebo ve stavu výpovědí asi 200 redaktorů z povolání.</w:t>
      </w:r>
    </w:p>
    <w:p w:rsidR="00500724" w:rsidRDefault="00F30FB8">
      <w:pPr>
        <w:pStyle w:val="Zkladntext1"/>
        <w:shd w:val="clear" w:color="auto" w:fill="auto"/>
        <w:spacing w:after="220" w:line="187" w:lineRule="auto"/>
        <w:ind w:firstLine="240"/>
      </w:pPr>
      <w:r>
        <w:rPr>
          <w:b/>
          <w:bCs/>
        </w:rPr>
        <w:t xml:space="preserve">Jak bylo již řečeno, sazečů je bez práce asi 85%, což znamená </w:t>
      </w:r>
      <w:r>
        <w:rPr>
          <w:b/>
          <w:bCs/>
        </w:rPr>
        <w:t>celkem 2800 nezaměstnaných typogra- f ů. Cifra 50%, která se tu a tam uvádí, je přehnaná. Ujednáním mezi tiskárnami, Jež bylo podporováno úředním nařízením, bylo nezaměstnanosti typografů — alespoň do budoucna — čeleno tím, že bylo zaslaveno přijímání saze</w:t>
      </w:r>
      <w:r>
        <w:rPr>
          <w:b/>
          <w:bCs/>
        </w:rPr>
        <w:t>ě- ských učňů do 13. května 1940. Ovšem, učňové se prakticky v poslední době skoro nepřijímali. Dále byla zkrácena pra</w:t>
      </w:r>
      <w:r>
        <w:rPr>
          <w:b/>
          <w:bCs/>
        </w:rPr>
        <w:softHyphen/>
        <w:t>covní doba v tiskárnách ze 47’/ hodiny na 40 hodin a bylo zakázáno dávati sazečům a tiskařskému personálu výpo</w:t>
      </w:r>
      <w:r>
        <w:rPr>
          <w:b/>
          <w:bCs/>
        </w:rPr>
        <w:softHyphen/>
        <w:t>vědi. Na Moravě byla zásah</w:t>
      </w:r>
      <w:r>
        <w:rPr>
          <w:b/>
          <w:bCs/>
        </w:rPr>
        <w:t>em německých úřadů zkrácena pracovní doba koncem března dokonce na 84 hodiny týdně. To ovšem není úleva pro tiskárny, protože mají pak nad</w:t>
      </w:r>
      <w:r>
        <w:rPr>
          <w:b/>
          <w:bCs/>
        </w:rPr>
        <w:softHyphen/>
        <w:t>bytek personálu, který počnou propouštět, jakmile tyto zákazy budou uvolněny. Do nekonečna ovšem nelze také platit de</w:t>
      </w:r>
      <w:r>
        <w:rPr>
          <w:b/>
          <w:bCs/>
        </w:rPr>
        <w:t>ficity a tak lze předpokládat, že nejprve počnou zanikat malé tiskárny anebo ty podniky, které nemají dosti reservních fondů. Na dlouho však nevydrží tuto situaci ani</w:t>
      </w:r>
    </w:p>
    <w:p w:rsidR="00500724" w:rsidRDefault="00F30FB8">
      <w:pPr>
        <w:pStyle w:val="Zkladntext1"/>
        <w:shd w:val="clear" w:color="auto" w:fill="auto"/>
        <w:spacing w:line="187" w:lineRule="auto"/>
        <w:ind w:firstLine="0"/>
        <w:jc w:val="left"/>
      </w:pPr>
      <w:r>
        <w:rPr>
          <w:b/>
          <w:bCs/>
        </w:rPr>
        <w:t>Jáá</w:t>
      </w:r>
    </w:p>
    <w:p w:rsidR="00500724" w:rsidRDefault="00F30FB8">
      <w:pPr>
        <w:pStyle w:val="Zkladntext1"/>
        <w:shd w:val="clear" w:color="auto" w:fill="auto"/>
        <w:spacing w:line="180" w:lineRule="auto"/>
        <w:ind w:firstLine="0"/>
      </w:pPr>
      <w:r>
        <w:rPr>
          <w:b/>
          <w:bCs/>
        </w:rPr>
        <w:t>velmi dobře fundované a přímo do nedávná za »mamutt« označované velkotiskámy.</w:t>
      </w:r>
    </w:p>
    <w:p w:rsidR="00500724" w:rsidRDefault="00F30FB8">
      <w:pPr>
        <w:pStyle w:val="Zkladntext1"/>
        <w:shd w:val="clear" w:color="auto" w:fill="auto"/>
        <w:spacing w:line="187" w:lineRule="auto"/>
        <w:ind w:firstLine="200"/>
      </w:pPr>
      <w:r>
        <w:rPr>
          <w:b/>
          <w:bCs/>
        </w:rPr>
        <w:t xml:space="preserve">Eychlá </w:t>
      </w:r>
      <w:r>
        <w:rPr>
          <w:b/>
          <w:bCs/>
        </w:rPr>
        <w:t>pomoc Je nutná. Záchrana může přijití Jediné od české vlády, která však nemusí sahali k zdlouhavé cestě vládních nařízení nebo zákonů, nýbrž prostě může si představitele tiskařského průmyslu povolat a dát jim ústní nařízeni. Bohužel totiž spekulují dva vel</w:t>
      </w:r>
      <w:r>
        <w:rPr>
          <w:b/>
          <w:bCs/>
        </w:rPr>
        <w:t>ké tiskařské koncerny s tím, že »vydrží s dechem« déle než ti ostatní a že, až ostatní noviny zaniknou, si pak tyto dva koncerny vynutí zvýšení cen a takovou úpravu, aby jimi vydávané noviny byly rentabilní. Tím ovšem padne většina českého tisku a s ním zt</w:t>
      </w:r>
      <w:r>
        <w:rPr>
          <w:b/>
          <w:bCs/>
        </w:rPr>
        <w:t>ratí existenci tisíce sazečů, tiskař</w:t>
      </w:r>
      <w:r>
        <w:rPr>
          <w:b/>
          <w:bCs/>
        </w:rPr>
        <w:softHyphen/>
        <w:t>ského a kancelářského personálu, příbuzných odvětví a ně</w:t>
      </w:r>
      <w:r>
        <w:rPr>
          <w:b/>
          <w:bCs/>
        </w:rPr>
        <w:softHyphen/>
        <w:t>kolik set redaktorů z povolání.</w:t>
      </w:r>
    </w:p>
    <w:p w:rsidR="00500724" w:rsidRDefault="00F30FB8">
      <w:pPr>
        <w:pStyle w:val="Zkladntext1"/>
        <w:shd w:val="clear" w:color="auto" w:fill="auto"/>
        <w:spacing w:line="190" w:lineRule="auto"/>
        <w:ind w:firstLine="300"/>
      </w:pPr>
      <w:r>
        <w:rPr>
          <w:b/>
          <w:bCs/>
        </w:rPr>
        <w:t>Není možné vydávat večerníky po 20 až 30 haléřích, když již není z čeho na ně doplácet. Svéstojná cena tako</w:t>
      </w:r>
      <w:r>
        <w:rPr>
          <w:b/>
          <w:bCs/>
        </w:rPr>
        <w:softHyphen/>
        <w:t>vého večerníku, když v</w:t>
      </w:r>
      <w:r>
        <w:rPr>
          <w:b/>
          <w:bCs/>
        </w:rPr>
        <w:t>ychází z tiskárny, je asi 13 haléřů. Kde však je provise prodavačů, kamelotů, obchodníků, kde jsou daně, dávky, poštovné, režie administrační a redakční? To nelze prostě unést, když zmizela rentabilita přidružených podniků, když zanikla inserce a velká čás</w:t>
      </w:r>
      <w:r>
        <w:rPr>
          <w:b/>
          <w:bCs/>
        </w:rPr>
        <w:t>t ostatních příjmů, z nichž bylo na noviny dopláceno v minulých letech. O rar nících, jejichž cena se pohybuje mezi 30 až 80 haléři, platí skoro totéž.</w:t>
      </w:r>
    </w:p>
    <w:p w:rsidR="00500724" w:rsidRDefault="00F30FB8">
      <w:pPr>
        <w:pStyle w:val="Zkladntext1"/>
        <w:shd w:val="clear" w:color="auto" w:fill="auto"/>
        <w:spacing w:line="190" w:lineRule="auto"/>
        <w:ind w:firstLine="300"/>
      </w:pPr>
      <w:r>
        <w:rPr>
          <w:b/>
          <w:bCs/>
        </w:rPr>
        <w:t>Jediná pomoc je tedy v tom, že by vláda prostě nařídila dohodu všem vydavatelstvům no</w:t>
      </w:r>
      <w:r>
        <w:rPr>
          <w:b/>
          <w:bCs/>
        </w:rPr>
        <w:softHyphen/>
        <w:t>vin, která by usta</w:t>
      </w:r>
      <w:r>
        <w:rPr>
          <w:b/>
          <w:bCs/>
        </w:rPr>
        <w:t>novovala, že tak z v. »v e čer</w:t>
      </w:r>
      <w:r>
        <w:rPr>
          <w:b/>
          <w:bCs/>
        </w:rPr>
        <w:softHyphen/>
        <w:t>ní k« musi miti nejméně 4 strany a musi stát 50 haléřů, tak z v. iraníla pak musí míti nej</w:t>
      </w:r>
      <w:r>
        <w:rPr>
          <w:b/>
          <w:bCs/>
        </w:rPr>
        <w:softHyphen/>
        <w:t xml:space="preserve">méně 8 stran a musí státi nejméně 80 haléřů až 1 K. Současně by bylo možno naříditi, že večerníkjj smějí býti vydávány nejdříve až ve </w:t>
      </w:r>
      <w:r>
        <w:rPr>
          <w:b/>
          <w:bCs/>
        </w:rPr>
        <w:t>dvanáct hodin v poledne a raníky nejdříve až v deset hodin večer. Tímto jednodu</w:t>
      </w:r>
      <w:r>
        <w:rPr>
          <w:b/>
          <w:bCs/>
        </w:rPr>
        <w:softHyphen/>
        <w:t>chým ustanovením by se také konečně udělal v českém novinářstvi pořádek. Německé noviny si jak po stránce cenové, tak i vydavatelské, to ovšem zařídily v Ítíši I u nás samy.</w:t>
      </w:r>
    </w:p>
    <w:p w:rsidR="00500724" w:rsidRDefault="00F30FB8">
      <w:pPr>
        <w:pStyle w:val="Nadpis80"/>
        <w:keepNext/>
        <w:keepLines/>
        <w:shd w:val="clear" w:color="auto" w:fill="auto"/>
        <w:spacing w:after="0" w:line="180" w:lineRule="auto"/>
        <w:jc w:val="center"/>
      </w:pPr>
      <w:bookmarkStart w:id="545" w:name="bookmark544"/>
      <w:r>
        <w:rPr>
          <w:u w:val="none"/>
        </w:rPr>
        <w:t>0</w:t>
      </w:r>
      <w:bookmarkEnd w:id="545"/>
    </w:p>
    <w:p w:rsidR="00500724" w:rsidRDefault="00F30FB8">
      <w:pPr>
        <w:pStyle w:val="Zkladntext1"/>
        <w:shd w:val="clear" w:color="auto" w:fill="auto"/>
        <w:spacing w:line="190" w:lineRule="auto"/>
        <w:ind w:firstLine="300"/>
      </w:pPr>
      <w:r>
        <w:rPr>
          <w:b/>
          <w:bCs/>
        </w:rPr>
        <w:t>Neni Jistě potřebí se příliš rozpisovat o významu čes</w:t>
      </w:r>
      <w:r>
        <w:rPr>
          <w:b/>
          <w:bCs/>
        </w:rPr>
        <w:softHyphen/>
        <w:t>kého tisku a o tom. co znamená a bude znamenat právě dnes. Není také třeba vykládat, že nelze připustit zánik všech novin, že zde musí býti zachován štáb školených sa- sečů, tiskařů a redaktorů. To všec</w:t>
      </w:r>
      <w:r>
        <w:rPr>
          <w:b/>
          <w:bCs/>
        </w:rPr>
        <w:t>hno dovede si každý pro</w:t>
      </w:r>
      <w:r>
        <w:rPr>
          <w:b/>
          <w:bCs/>
        </w:rPr>
        <w:softHyphen/>
        <w:t>myslit sám. Uvážíme-li však, že již nyni zaniklo té</w:t>
      </w:r>
      <w:r>
        <w:rPr>
          <w:b/>
          <w:bCs/>
        </w:rPr>
        <w:softHyphen/>
        <w:t>měř 3000 periodických časopisů a že dosud vychází asi celkem 1400 periodických časopisů, v čemž je zahrnuto asi 50 deníků (ovšem včetně hlavičkových listů), dále 170 týdeníků a čtr</w:t>
      </w:r>
      <w:r>
        <w:rPr>
          <w:b/>
          <w:bCs/>
        </w:rPr>
        <w:t>náctideníků a 1200 odborných a od</w:t>
      </w:r>
      <w:r>
        <w:rPr>
          <w:b/>
          <w:bCs/>
        </w:rPr>
        <w:softHyphen/>
        <w:t>borových časopisů, pak jistě není třeba mnoha dalších slov- I přes všechna opatření zanikne ještě tak jako tak mnoho set časopisů v důsledku sloučení tělocvičných organisaci a následkem spojování spolků a odborových organi</w:t>
      </w:r>
      <w:r>
        <w:rPr>
          <w:b/>
          <w:bCs/>
        </w:rPr>
        <w:t>saci</w:t>
      </w:r>
    </w:p>
    <w:p w:rsidR="00500724" w:rsidRDefault="00F30FB8">
      <w:pPr>
        <w:pStyle w:val="Zkladntext1"/>
        <w:shd w:val="clear" w:color="auto" w:fill="auto"/>
        <w:tabs>
          <w:tab w:val="left" w:pos="3739"/>
        </w:tabs>
        <w:spacing w:after="200" w:line="190" w:lineRule="auto"/>
        <w:ind w:firstLine="300"/>
      </w:pPr>
      <w:r>
        <w:rPr>
          <w:b/>
          <w:bCs/>
        </w:rPr>
        <w:t>Nelze nařídit zvýšení inserce, ani vyšší zaměstnanost tiskáren. Lze však nařídit, aby za noviny byly pla</w:t>
      </w:r>
      <w:r>
        <w:rPr>
          <w:b/>
          <w:bCs/>
        </w:rPr>
        <w:softHyphen/>
        <w:t>ceny spravedlivé ceny. To však spěchá. Je ta velmi vážné nebezpečí v prodlení.</w:t>
      </w:r>
      <w:r>
        <w:rPr>
          <w:b/>
          <w:bCs/>
        </w:rPr>
        <w:tab/>
      </w:r>
      <w:r>
        <w:rPr>
          <w:b/>
          <w:bCs/>
          <w:i/>
          <w:iCs/>
        </w:rPr>
        <w:t>Dr. lan Skála</w:t>
      </w:r>
    </w:p>
    <w:p w:rsidR="00500724" w:rsidRDefault="00F30FB8">
      <w:pPr>
        <w:pStyle w:val="Zkladntext1"/>
        <w:shd w:val="clear" w:color="auto" w:fill="auto"/>
        <w:spacing w:after="100" w:line="180" w:lineRule="auto"/>
        <w:ind w:firstLine="0"/>
        <w:jc w:val="center"/>
        <w:rPr>
          <w:sz w:val="20"/>
          <w:szCs w:val="20"/>
        </w:rPr>
      </w:pPr>
      <w:r>
        <w:rPr>
          <w:b/>
          <w:bCs/>
          <w:sz w:val="20"/>
          <w:szCs w:val="20"/>
        </w:rPr>
        <w:t>Francouzské finance</w:t>
      </w:r>
    </w:p>
    <w:p w:rsidR="00500724" w:rsidRDefault="00F30FB8">
      <w:pPr>
        <w:pStyle w:val="Zkladntext1"/>
        <w:shd w:val="clear" w:color="auto" w:fill="auto"/>
        <w:spacing w:line="187" w:lineRule="auto"/>
        <w:ind w:firstLine="200"/>
        <w:sectPr w:rsidR="00500724">
          <w:footnotePr>
            <w:numFmt w:val="chicago"/>
            <w:numRestart w:val="eachPage"/>
          </w:footnotePr>
          <w:type w:val="continuous"/>
          <w:pgSz w:w="11909" w:h="16834"/>
          <w:pgMar w:top="861" w:right="964" w:bottom="420" w:left="534" w:header="0" w:footer="3" w:gutter="0"/>
          <w:cols w:num="2" w:space="130"/>
          <w:noEndnote/>
          <w:docGrid w:linePitch="360"/>
        </w:sectPr>
      </w:pPr>
      <w:r>
        <w:rPr>
          <w:b/>
          <w:bCs/>
        </w:rPr>
        <w:t>Podle posledních úředních publikací vydaných francouz</w:t>
      </w:r>
      <w:r>
        <w:rPr>
          <w:b/>
          <w:bCs/>
        </w:rPr>
        <w:softHyphen/>
        <w:t>skou vládou se dá soudit, že situace francouzských financi se letos proti loňsku zlepšila. Příznakem toho mimo jiné jest, že zmizelo podhodnocování franku v ne</w:t>
      </w:r>
      <w:r>
        <w:rPr>
          <w:b/>
          <w:bCs/>
        </w:rPr>
        <w:softHyphen/>
        <w:t xml:space="preserve">úřední výměně valut. </w:t>
      </w:r>
      <w:r>
        <w:rPr>
          <w:b/>
          <w:bCs/>
          <w:lang w:val="en-US" w:eastAsia="en-US" w:bidi="en-US"/>
        </w:rPr>
        <w:t xml:space="preserve">Disagio </w:t>
      </w:r>
      <w:r>
        <w:rPr>
          <w:b/>
          <w:bCs/>
        </w:rPr>
        <w:t xml:space="preserve">v neprospěch </w:t>
      </w:r>
      <w:r>
        <w:rPr>
          <w:b/>
          <w:bCs/>
        </w:rPr>
        <w:t>franku ze</w:t>
      </w:r>
      <w:r>
        <w:rPr>
          <w:b/>
          <w:bCs/>
        </w:rPr>
        <w:softHyphen/>
        <w:t>jména v poměru k libře a dolaru bylo totiž ještě do ne dávna dosti vysoké. Od loňského listopadu však se začal návrat zlato do Francie a toto repatriace uprchlých kapi</w:t>
      </w:r>
      <w:r>
        <w:rPr>
          <w:b/>
          <w:bCs/>
        </w:rPr>
        <w:softHyphen/>
        <w:t>tálových reserv stále trvá. Vyrovnávací měnový fond, který byi vládou určen sp</w:t>
      </w:r>
      <w:r>
        <w:rPr>
          <w:b/>
          <w:bCs/>
        </w:rPr>
        <w:t>eciálně k ochraně franku proti disagiu a kursovým výkyvům, neutrpěl již žádné další ztráty a vzrostl v únoru na 15 miliard franků. Také vnitřní důvěra se patrně upevnila, jak lze pozorovat na opětovném přírůstku na vkladech, které jen u bank za březen stou</w:t>
      </w:r>
      <w:r>
        <w:rPr>
          <w:b/>
          <w:bCs/>
        </w:rPr>
        <w:t>ply o 4.6 miliardy franků. Celková situace státních finaneí Je rovněž snazší, peněz je dosti, takže úrok za hotové peníze klesl ze 3% na 1%. Kursy rent stoupají a částečná kou- verse některých státních papírů, jež byla provedena na zkoušku, se zdařila, tak</w:t>
      </w:r>
      <w:r>
        <w:rPr>
          <w:b/>
          <w:bCs/>
        </w:rPr>
        <w:t>že v jednom bloku obligací klesla úrokovací sazba ze 7% na 5%, což již je dnes téměř evropský normál. Nezaměstnanost proti loňsku je menši, avšak ceny životních potřeb stouply asi o 13% proti stejné-</w:t>
      </w:r>
    </w:p>
    <w:p w:rsidR="00500724" w:rsidRDefault="00F30FB8">
      <w:pPr>
        <w:pStyle w:val="Jin0"/>
        <w:pBdr>
          <w:bottom w:val="single" w:sz="4" w:space="0" w:color="auto"/>
        </w:pBdr>
        <w:shd w:val="clear" w:color="auto" w:fill="auto"/>
        <w:ind w:firstLine="0"/>
        <w:jc w:val="center"/>
        <w:rPr>
          <w:sz w:val="44"/>
          <w:szCs w:val="44"/>
        </w:rPr>
        <w:sectPr w:rsidR="00500724">
          <w:footnotePr>
            <w:numFmt w:val="chicago"/>
            <w:numRestart w:val="eachPage"/>
          </w:footnotePr>
          <w:pgSz w:w="11909" w:h="16834"/>
          <w:pgMar w:top="598" w:right="797" w:bottom="1075" w:left="744" w:header="0" w:footer="3" w:gutter="0"/>
          <w:cols w:space="720"/>
          <w:noEndnote/>
          <w:docGrid w:linePitch="360"/>
        </w:sectPr>
      </w:pPr>
      <w:r>
        <w:rPr>
          <w:rFonts w:ascii="Calibri" w:eastAsia="Calibri" w:hAnsi="Calibri" w:cs="Calibri"/>
          <w:b/>
          <w:bCs/>
          <w:w w:val="70"/>
          <w:sz w:val="44"/>
          <w:szCs w:val="44"/>
        </w:rPr>
        <w:t>Přítomnosti</w:t>
      </w:r>
    </w:p>
    <w:p w:rsidR="00500724" w:rsidRDefault="00500724">
      <w:pPr>
        <w:spacing w:line="59" w:lineRule="exact"/>
        <w:rPr>
          <w:sz w:val="5"/>
          <w:szCs w:val="5"/>
        </w:rPr>
      </w:pPr>
    </w:p>
    <w:p w:rsidR="00500724" w:rsidRDefault="00500724">
      <w:pPr>
        <w:spacing w:line="14" w:lineRule="exact"/>
        <w:sectPr w:rsidR="00500724">
          <w:footnotePr>
            <w:numFmt w:val="chicago"/>
            <w:numRestart w:val="eachPage"/>
          </w:footnotePr>
          <w:type w:val="continuous"/>
          <w:pgSz w:w="11909" w:h="16834"/>
          <w:pgMar w:top="642" w:right="0" w:bottom="1031" w:left="0" w:header="0" w:footer="3" w:gutter="0"/>
          <w:cols w:space="720"/>
          <w:noEndnote/>
          <w:docGrid w:linePitch="360"/>
        </w:sectPr>
      </w:pPr>
    </w:p>
    <w:p w:rsidR="00500724" w:rsidRDefault="00F30FB8">
      <w:pPr>
        <w:pStyle w:val="Zkladntext1"/>
        <w:shd w:val="clear" w:color="auto" w:fill="auto"/>
        <w:tabs>
          <w:tab w:val="left" w:pos="4742"/>
        </w:tabs>
        <w:spacing w:after="240" w:line="187" w:lineRule="auto"/>
        <w:ind w:firstLine="0"/>
      </w:pPr>
      <w:r>
        <w:rPr>
          <w:b/>
          <w:bCs/>
        </w:rPr>
        <w:t>mu údobí lont To souvisí ovšem především se zvýšeným zbrojením, které se také projevuje stoupáním produkce oceli. V březnu vyrobila Francie 668 tisíc tun oceli v srov</w:t>
      </w:r>
      <w:r>
        <w:rPr>
          <w:b/>
          <w:bCs/>
        </w:rPr>
        <w:softHyphen/>
        <w:t xml:space="preserve">nání s 511 tisící tun před rokem. Objednávky pro armády </w:t>
      </w:r>
      <w:r>
        <w:rPr>
          <w:b/>
          <w:bCs/>
        </w:rPr>
        <w:t>projevují se ve zvýšené výrobě textilu, jejíž objem se roz</w:t>
      </w:r>
      <w:r>
        <w:rPr>
          <w:b/>
          <w:bCs/>
        </w:rPr>
        <w:softHyphen/>
        <w:t>vířil o 16% proti minulému roku a ve stoupající produkci automobilů, která se proti loňsku zvýšila o 20%. Toto zlepšení přišlo také k dobru státní pokladně, jejíž příjmy z nepřímých daní za duben s</w:t>
      </w:r>
      <w:r>
        <w:rPr>
          <w:b/>
          <w:bCs/>
        </w:rPr>
        <w:t>touply v porovnání s rokem 1938 o 21%. Celkem lze ovšem říci, že nejde o žádné zlepšení všeobecné hospodářské situace, protože francouz</w:t>
      </w:r>
      <w:r>
        <w:rPr>
          <w:b/>
          <w:bCs/>
        </w:rPr>
        <w:softHyphen/>
        <w:t>ský export se podstatněji nezvýšil, zůstává pasivní, čili že l tento vývoj francouzských financí souvisí především se zv</w:t>
      </w:r>
      <w:r>
        <w:rPr>
          <w:b/>
          <w:bCs/>
        </w:rPr>
        <w:t>ýšeným zbrojním tempem.</w:t>
      </w:r>
      <w:r>
        <w:rPr>
          <w:b/>
          <w:bCs/>
        </w:rPr>
        <w:tab/>
        <w:t>Cis</w:t>
      </w:r>
    </w:p>
    <w:p w:rsidR="00500724" w:rsidRDefault="00F30FB8">
      <w:pPr>
        <w:pStyle w:val="Zkladntext1"/>
        <w:shd w:val="clear" w:color="auto" w:fill="auto"/>
        <w:spacing w:after="60" w:line="178" w:lineRule="auto"/>
        <w:ind w:firstLine="0"/>
        <w:jc w:val="center"/>
        <w:rPr>
          <w:sz w:val="20"/>
          <w:szCs w:val="20"/>
        </w:rPr>
      </w:pPr>
      <w:r>
        <w:rPr>
          <w:b/>
          <w:bCs/>
          <w:sz w:val="20"/>
          <w:szCs w:val="20"/>
        </w:rPr>
        <w:t>Spor o čínské koncese a japonská politika</w:t>
      </w:r>
    </w:p>
    <w:p w:rsidR="00500724" w:rsidRDefault="00F30FB8">
      <w:pPr>
        <w:pStyle w:val="Zkladntext1"/>
        <w:shd w:val="clear" w:color="auto" w:fill="auto"/>
        <w:spacing w:line="187" w:lineRule="auto"/>
        <w:ind w:firstLine="300"/>
      </w:pPr>
      <w:r>
        <w:rPr>
          <w:b/>
          <w:bCs/>
        </w:rPr>
        <w:t>Za nynějšího evropského napětí přiostřoval se také spor mezi Japonskem na jedné straně a Anglií, Francií a Spoje</w:t>
      </w:r>
      <w:r>
        <w:rPr>
          <w:b/>
          <w:bCs/>
        </w:rPr>
        <w:softHyphen/>
        <w:t>nými Státy na druhé straně o mezinárodní koncese v ně</w:t>
      </w:r>
      <w:r>
        <w:rPr>
          <w:b/>
          <w:bCs/>
        </w:rPr>
        <w:softHyphen/>
        <w:t>kterých čínských mě</w:t>
      </w:r>
      <w:r>
        <w:rPr>
          <w:b/>
          <w:bCs/>
        </w:rPr>
        <w:t>stech. Je to vleklý průvodní zjev ja- ponsko-čínské války a nyní snad i odraz poměrů evrop</w:t>
      </w:r>
      <w:r>
        <w:rPr>
          <w:b/>
          <w:bCs/>
        </w:rPr>
        <w:softHyphen/>
        <w:t>ských. Japonsko si stěžuje hlavně na to, že v těchto konce</w:t>
      </w:r>
      <w:r>
        <w:rPr>
          <w:b/>
          <w:bCs/>
        </w:rPr>
        <w:softHyphen/>
        <w:t>sích bují protijaponská činnost, a pokouší se čeliti tomu jednak diplomaticky, jednak i vojenskými zásahy.</w:t>
      </w:r>
      <w:r>
        <w:rPr>
          <w:b/>
          <w:bCs/>
        </w:rPr>
        <w:t xml:space="preserve"> Nejváž</w:t>
      </w:r>
      <w:r>
        <w:rPr>
          <w:b/>
          <w:bCs/>
        </w:rPr>
        <w:softHyphen/>
        <w:t>nější krok v tomto směru učinilo 12, května na ostrově Kulangsu, poblíž pobřežního města Amoy. Tento ostrov je mezinárodní koncesí; den před japonským zákrokem byl tam zastřelen Číňan, který byl v japonských službách, a tímto činem odůvodnili Japon</w:t>
      </w:r>
      <w:r>
        <w:rPr>
          <w:b/>
          <w:bCs/>
        </w:rPr>
        <w:t>ci svůj zákrok. Mluvčí japonského námořnictva v Šanhaji potom prohlásil, že podle jeho mínění je obsazení Kulangsu jen dočasné, ale že potrvá tak dlouho, dokud místní úřady *nerozšíří svou součinnosti s japonským loďstvem. Dne 15. května ohlásil japonský g</w:t>
      </w:r>
      <w:r>
        <w:rPr>
          <w:b/>
          <w:bCs/>
        </w:rPr>
        <w:t>enerální konsul v Amoy pět požadavků, které musí být splněny, než bude případ urovnán, mezi nimi požadavek, aby japonská policie mohla na ostrově kontro</w:t>
      </w:r>
      <w:r>
        <w:rPr>
          <w:b/>
          <w:bCs/>
        </w:rPr>
        <w:softHyphen/>
        <w:t>lovat nepřátelské živly. Anglie, Francie a Spojené Státy odpověděly na tento krok mimo diplomatický pro</w:t>
      </w:r>
      <w:r>
        <w:rPr>
          <w:b/>
          <w:bCs/>
        </w:rPr>
        <w:t>test také námořní demonstrací; vylodily na ostrově tři námořní od</w:t>
      </w:r>
      <w:r>
        <w:rPr>
          <w:b/>
          <w:bCs/>
        </w:rPr>
        <w:softHyphen/>
        <w:t>díly asi po čtyřiceti mužích. Podle zprávy z Kantonu z 18. května Japonci pak ostrov vyklidili. Tato informace však asi nebyla pravdivá, nebof podle pozdějších zpráv jednali námořní velitelé</w:t>
      </w:r>
      <w:r>
        <w:rPr>
          <w:b/>
          <w:bCs/>
        </w:rPr>
        <w:t xml:space="preserve"> anglický, francouzský, americký a japon</w:t>
      </w:r>
      <w:r>
        <w:rPr>
          <w:b/>
          <w:bCs/>
        </w:rPr>
        <w:softHyphen/>
        <w:t>ský o likvidaci případu, při čemž se vyskytl návrh, aby všechny čtyři mocnosti odvolaly své námořníky zároveň. Z toho je vidět, že aspoň část sil, které Japonci vylodili, je ještě na ostrově. Při vyjednávání Angliča</w:t>
      </w:r>
      <w:r>
        <w:rPr>
          <w:b/>
          <w:bCs/>
        </w:rPr>
        <w:t>né žádali, aby Japonci odvolali z ostrova všechny své sily, čemuž se Ja</w:t>
      </w:r>
      <w:r>
        <w:rPr>
          <w:b/>
          <w:bCs/>
        </w:rPr>
        <w:softHyphen/>
        <w:t>ponci vzpírají. Japonské loďstvo zahájilo blokádu ostrova a snad i jiných části čínského pobřeží. K tomu se přidružila příhoda s anglickým dopravním parníkem Banpura, který byl zadržen</w:t>
      </w:r>
      <w:r>
        <w:rPr>
          <w:b/>
          <w:bCs/>
        </w:rPr>
        <w:t xml:space="preserve"> poblíž Honkonu japonskou torpedovkou. Ja</w:t>
      </w:r>
      <w:r>
        <w:rPr>
          <w:b/>
          <w:bCs/>
        </w:rPr>
        <w:softHyphen/>
        <w:t>ponští důstojnici vstoupili na palubu a žádali kapitána o lodní průkazy. Vzdálili se teprve, když dvě britské torpe</w:t>
      </w:r>
      <w:r>
        <w:rPr>
          <w:b/>
          <w:bCs/>
        </w:rPr>
        <w:softHyphen/>
        <w:t>dovky z Honkonu přijely anglickému parníku na pomoc.</w:t>
      </w:r>
    </w:p>
    <w:p w:rsidR="00500724" w:rsidRDefault="00F30FB8">
      <w:pPr>
        <w:pStyle w:val="Zkladntext1"/>
        <w:shd w:val="clear" w:color="auto" w:fill="auto"/>
        <w:spacing w:line="187" w:lineRule="auto"/>
        <w:ind w:firstLine="300"/>
      </w:pPr>
      <w:r>
        <w:rPr>
          <w:b/>
          <w:bCs/>
        </w:rPr>
        <w:t>Japonské stanovisko vyložil 24. května úřední</w:t>
      </w:r>
      <w:r>
        <w:rPr>
          <w:b/>
          <w:bCs/>
        </w:rPr>
        <w:t>k tokij</w:t>
      </w:r>
      <w:r>
        <w:rPr>
          <w:b/>
          <w:bCs/>
        </w:rPr>
        <w:softHyphen/>
        <w:t>ského ministerstva zahraničních věci; řekl, že koncese nejsou výsostným územím svých držitelů, nýbrž že v nich jen někdejší čínská správa byla nahrazena správou cizí. Tim však nebyla čínská výsostná práva dotčena a Japonsko se domáhá dozoru nad těm</w:t>
      </w:r>
      <w:r>
        <w:rPr>
          <w:b/>
          <w:bCs/>
        </w:rPr>
        <w:t>ito oblastmi týmž právem, jakým dozírá na ostatní čínská území, která vojensky obsadilo. Protijaponské činnosti na koncesních územich zabrání Ja</w:t>
      </w:r>
      <w:r>
        <w:rPr>
          <w:b/>
          <w:bCs/>
        </w:rPr>
        <w:softHyphen/>
        <w:t>ponsko v případě potřeby i vojensky.</w:t>
      </w:r>
    </w:p>
    <w:p w:rsidR="00500724" w:rsidRDefault="00F30FB8">
      <w:pPr>
        <w:pStyle w:val="Zkladntext1"/>
        <w:shd w:val="clear" w:color="auto" w:fill="auto"/>
        <w:spacing w:after="280" w:line="187" w:lineRule="auto"/>
        <w:ind w:firstLine="300"/>
      </w:pPr>
      <w:r>
        <w:rPr>
          <w:b/>
          <w:bCs/>
        </w:rPr>
        <w:t xml:space="preserve">Konflikt v Kulangsu je zatím největší tohoto druhu, ale nebyl jediný. Tak </w:t>
      </w:r>
      <w:r>
        <w:rPr>
          <w:b/>
          <w:bCs/>
        </w:rPr>
        <w:t>na přiklad už předtím, 9. května, zakro</w:t>
      </w:r>
      <w:r>
        <w:rPr>
          <w:b/>
          <w:bCs/>
        </w:rPr>
        <w:softHyphen/>
        <w:t>čila japonská policie v mezinárodní koncesi v Šanhaji, kde zatkla a odvezla několik Číňanů. Úřady v koncesi mezi</w:t>
      </w:r>
      <w:r>
        <w:rPr>
          <w:b/>
          <w:bCs/>
        </w:rPr>
        <w:softHyphen/>
        <w:t>národní, jakož i v koncesí francouzské, za dva dny na to, IL května, vydaly vyhlášku, v níž varují obyv</w:t>
      </w:r>
      <w:r>
        <w:rPr>
          <w:b/>
          <w:bCs/>
        </w:rPr>
        <w:t>atelstvo před politickou činností. Japonsko se také domáhá reformy obecních správ v koncesích, t. j. japonského zastoupení v těchto správách. Vyslovilo tento požadavek, pokud jde O Šanhaj, v memorandu britskému a americkému vel</w:t>
      </w:r>
      <w:r>
        <w:rPr>
          <w:b/>
          <w:bCs/>
        </w:rPr>
        <w:softHyphen/>
        <w:t>vyslanci v Tokiu ze dne 3. k</w:t>
      </w:r>
      <w:r>
        <w:rPr>
          <w:b/>
          <w:bCs/>
        </w:rPr>
        <w:t>větna.</w:t>
      </w:r>
    </w:p>
    <w:p w:rsidR="00500724" w:rsidRDefault="00F30FB8">
      <w:pPr>
        <w:pStyle w:val="Zkladntext1"/>
        <w:shd w:val="clear" w:color="auto" w:fill="auto"/>
        <w:spacing w:line="187" w:lineRule="auto"/>
        <w:ind w:firstLine="300"/>
      </w:pPr>
      <w:r>
        <w:rPr>
          <w:b/>
          <w:bCs/>
        </w:rPr>
        <w:t>Japonské stanovisko k událostem evropským zatím neni, Jak se zdá, ustáleno. Japonsko je vázáno k Německu a k Itálii paktem proti komintemě, který však mluvi jen o politické součinnosti proti komunismu, nikoli o politické a tím méně vojenské součinno</w:t>
      </w:r>
      <w:r>
        <w:rPr>
          <w:b/>
          <w:bCs/>
        </w:rPr>
        <w:t>sti ve věcech jiných. Zvláště od německo-italského vojenského spojenectví, stvrzeného v Berlině 22. května, se tedy zcela přirozeně naskýtá otázka, jak se zachová Japonsko. V zahraničním tisku se psalo, že v tomto ohledu není v japonské vládě jednoty: stra</w:t>
      </w:r>
      <w:r>
        <w:rPr>
          <w:b/>
          <w:bCs/>
        </w:rPr>
        <w:t>na vo</w:t>
      </w:r>
      <w:r>
        <w:rPr>
          <w:b/>
          <w:bCs/>
        </w:rPr>
        <w:softHyphen/>
        <w:t>jenská prý si přeje přímého vojenského spojenectví s Ně</w:t>
      </w:r>
      <w:r>
        <w:rPr>
          <w:b/>
          <w:bCs/>
        </w:rPr>
        <w:softHyphen/>
        <w:t>meckem a Itálii, kdežto strana starších politiků a diplo</w:t>
      </w:r>
      <w:r>
        <w:rPr>
          <w:b/>
          <w:bCs/>
        </w:rPr>
        <w:softHyphen/>
        <w:t>matů, k níž prý náleží i ministerský předseda Hiranuma, není pro tak úzký svazek. Dne 20. května zasedala v Tokiu kabinetní rada, která p</w:t>
      </w:r>
      <w:r>
        <w:rPr>
          <w:b/>
          <w:bCs/>
        </w:rPr>
        <w:t>odle úřední zprávy učinila v této věci zásadní usneseni, ale jaké to usnesení jest, nebylo oznámeno. O japonských názorech mluví tedy zatím jen několik sporých oficiálních nebo polooficiáiních projevů z poslední doby.</w:t>
      </w:r>
    </w:p>
    <w:p w:rsidR="00500724" w:rsidRDefault="00F30FB8">
      <w:pPr>
        <w:pStyle w:val="Zkladntext1"/>
        <w:shd w:val="clear" w:color="auto" w:fill="auto"/>
        <w:spacing w:line="190" w:lineRule="auto"/>
        <w:ind w:firstLine="300"/>
      </w:pPr>
      <w:r>
        <w:rPr>
          <w:b/>
          <w:bCs/>
        </w:rPr>
        <w:t>Ministr zahraničních věci Arita prohlá</w:t>
      </w:r>
      <w:r>
        <w:rPr>
          <w:b/>
          <w:bCs/>
        </w:rPr>
        <w:t xml:space="preserve">sil 5. května na přednášce v Tokiu, že japonské vztahy k Německu a Itálii se stále víc a více zesilují v oblasti kulturní a hospodářské, ale připojil, že cesta japonského impéria je zvláštní a že se liší jak od totalismu, </w:t>
      </w:r>
      <w:r>
        <w:rPr>
          <w:b/>
          <w:bCs/>
          <w:lang w:val="en-US" w:eastAsia="en-US" w:bidi="en-US"/>
        </w:rPr>
        <w:t xml:space="preserve">talc </w:t>
      </w:r>
      <w:r>
        <w:rPr>
          <w:b/>
          <w:bCs/>
        </w:rPr>
        <w:t>od demokracie. Japonsko se ho</w:t>
      </w:r>
      <w:r>
        <w:rPr>
          <w:b/>
          <w:bCs/>
        </w:rPr>
        <w:t>dlá věnovat! zajištění míru a prosperity v Asii podle směrnic své nezávislé politiky a v duchu paktu proti kominterně, který však nevidí nepřítele v žádné zemi. Téhož dne řekl zástupce ministerstva zahraničních věcí novinářům, že Ja</w:t>
      </w:r>
      <w:r>
        <w:rPr>
          <w:b/>
          <w:bCs/>
        </w:rPr>
        <w:softHyphen/>
        <w:t>ponsko iná svou, nezávi</w:t>
      </w:r>
      <w:r>
        <w:rPr>
          <w:b/>
          <w:bCs/>
        </w:rPr>
        <w:t>slou zahraniční politiku, která neni namířena ani proti táboru demokratickému, ani proti bloku totalitnímu.</w:t>
      </w:r>
    </w:p>
    <w:p w:rsidR="00500724" w:rsidRDefault="00F30FB8">
      <w:pPr>
        <w:pStyle w:val="Zkladntext1"/>
        <w:shd w:val="clear" w:color="auto" w:fill="auto"/>
        <w:spacing w:line="190" w:lineRule="auto"/>
        <w:ind w:firstLine="300"/>
      </w:pPr>
      <w:r>
        <w:rPr>
          <w:b/>
          <w:bCs/>
        </w:rPr>
        <w:t>Po milánské schůzce Ribbentropově s Cianem mluvil</w:t>
      </w:r>
    </w:p>
    <w:p w:rsidR="00500724" w:rsidRDefault="00F30FB8">
      <w:pPr>
        <w:pStyle w:val="Zkladntext1"/>
        <w:numPr>
          <w:ilvl w:val="0"/>
          <w:numId w:val="66"/>
        </w:numPr>
        <w:shd w:val="clear" w:color="auto" w:fill="auto"/>
        <w:tabs>
          <w:tab w:val="left" w:pos="265"/>
        </w:tabs>
        <w:spacing w:line="190" w:lineRule="auto"/>
        <w:ind w:firstLine="0"/>
      </w:pPr>
      <w:r>
        <w:rPr>
          <w:b/>
          <w:bCs/>
        </w:rPr>
        <w:t>kvétna před novináři o německo-italské smlouvě ministr války Itagaki a řekl, že duch, který vedl k</w:t>
      </w:r>
      <w:r>
        <w:rPr>
          <w:b/>
          <w:bCs/>
        </w:rPr>
        <w:t xml:space="preserve"> uzavření paktu proti kominterně, má kořeny velmi hluboké. Proto, jestliže si Německo a Itálie budou přát, není vyloučeno, že Japon</w:t>
      </w:r>
      <w:r>
        <w:rPr>
          <w:b/>
          <w:bCs/>
        </w:rPr>
        <w:softHyphen/>
        <w:t xml:space="preserve">sko uzavře vojenskou smlouvu s mocnostmi osy. Mluvčí ministerstva zahraničních věcí při téže příležitosti řekl, že japonská </w:t>
      </w:r>
      <w:r>
        <w:rPr>
          <w:b/>
          <w:bCs/>
        </w:rPr>
        <w:t>politika se nemění v tom, že chce posílit pakt proti kominterně, ale neodpověděl na otázku, zdali tato po</w:t>
      </w:r>
      <w:r>
        <w:rPr>
          <w:b/>
          <w:bCs/>
        </w:rPr>
        <w:softHyphen/>
        <w:t xml:space="preserve">litika nějak souvisí s vojenskou smlouvou. Konečně mluvil téhož dne i ministr zahraničních věcí Arita k zástupcům provinčních správ a rovněž řeld, že </w:t>
      </w:r>
      <w:r>
        <w:rPr>
          <w:b/>
          <w:bCs/>
        </w:rPr>
        <w:t>Japonsko zamýšlí ze</w:t>
      </w:r>
      <w:r>
        <w:rPr>
          <w:b/>
          <w:bCs/>
        </w:rPr>
        <w:softHyphen/>
        <w:t>sílit! pakt proti kominterně a čeliti mezinárodnímu napětí se svého autonomního stanovisko. Ačkoli soupeřeni Anglie a Francie s Německem a Itálií je velmi vážné, nemůže si prý ministr představiti, že by se nyní akutně zhoršilo. Dodal vš</w:t>
      </w:r>
      <w:r>
        <w:rPr>
          <w:b/>
          <w:bCs/>
        </w:rPr>
        <w:t>ak, že Japonsko by nemohlo brát na lehkou váhu dohodu mezí Anglií a Ruskem, ani kdyby se nevztahovala na Dálný východ.</w:t>
      </w:r>
    </w:p>
    <w:p w:rsidR="00500724" w:rsidRDefault="00F30FB8">
      <w:pPr>
        <w:pStyle w:val="Zkladntext1"/>
        <w:shd w:val="clear" w:color="auto" w:fill="auto"/>
        <w:spacing w:after="260" w:line="190" w:lineRule="auto"/>
        <w:ind w:firstLine="300"/>
        <w:rPr>
          <w:sz w:val="20"/>
          <w:szCs w:val="20"/>
        </w:rPr>
      </w:pPr>
      <w:r>
        <w:rPr>
          <w:b/>
          <w:bCs/>
        </w:rPr>
        <w:t>List, který je považován za tlumočníka názorů armády, »Kokumin Šimbune, napsal 10. května, že Japonsko není vasalem ani Německa, ani Itál</w:t>
      </w:r>
      <w:r>
        <w:rPr>
          <w:b/>
          <w:bCs/>
        </w:rPr>
        <w:t>ie a že by proto vítalo do</w:t>
      </w:r>
      <w:r>
        <w:rPr>
          <w:b/>
          <w:bCs/>
        </w:rPr>
        <w:softHyphen/>
        <w:t>rozuměni s Anglii, kdyby si jen Anglie neosobovala posta</w:t>
      </w:r>
      <w:r>
        <w:rPr>
          <w:b/>
          <w:bCs/>
        </w:rPr>
        <w:softHyphen/>
        <w:t>vení ochránce starého řádu a spolupracovala na vybudo</w:t>
      </w:r>
      <w:r>
        <w:rPr>
          <w:b/>
          <w:bCs/>
        </w:rPr>
        <w:softHyphen/>
        <w:t>váni řádu nového. Nová a nezávislá diplomacie Japonsku velí spolupracovat s těmi mocnostmi, které s nim chtějí budovat</w:t>
      </w:r>
      <w:r>
        <w:rPr>
          <w:b/>
          <w:bCs/>
        </w:rPr>
        <w:t xml:space="preserve">i nový řád ve východní Asii. Týž list se 12. května zmínil o německých a italských dodávkách do Činy. </w:t>
      </w:r>
      <w:r>
        <w:rPr>
          <w:i/>
          <w:iCs/>
          <w:sz w:val="20"/>
          <w:szCs w:val="20"/>
        </w:rPr>
        <w:t>Z. 8.</w:t>
      </w:r>
    </w:p>
    <w:p w:rsidR="00500724" w:rsidRDefault="00F30FB8">
      <w:pPr>
        <w:pStyle w:val="Zkladntext1"/>
        <w:shd w:val="clear" w:color="auto" w:fill="auto"/>
        <w:spacing w:after="80" w:line="180" w:lineRule="auto"/>
        <w:ind w:firstLine="0"/>
        <w:jc w:val="center"/>
        <w:rPr>
          <w:sz w:val="20"/>
          <w:szCs w:val="20"/>
        </w:rPr>
      </w:pPr>
      <w:r>
        <w:rPr>
          <w:b/>
          <w:bCs/>
          <w:sz w:val="20"/>
          <w:szCs w:val="20"/>
        </w:rPr>
        <w:t>Palestina roste opět v problém</w:t>
      </w:r>
    </w:p>
    <w:p w:rsidR="00500724" w:rsidRDefault="00F30FB8">
      <w:pPr>
        <w:pStyle w:val="Zkladntext1"/>
        <w:shd w:val="clear" w:color="auto" w:fill="auto"/>
        <w:spacing w:line="185" w:lineRule="auto"/>
        <w:ind w:firstLine="300"/>
      </w:pPr>
      <w:r>
        <w:rPr>
          <w:b/>
          <w:bCs/>
        </w:rPr>
        <w:t>Není již pochybnosti o tom, že pobouření, které bylo vy</w:t>
      </w:r>
      <w:r>
        <w:rPr>
          <w:b/>
          <w:bCs/>
        </w:rPr>
        <w:softHyphen/>
        <w:t>voláno mezi židy po celém světě pro obsah Bílé knihy, o které</w:t>
      </w:r>
      <w:r>
        <w:rPr>
          <w:b/>
          <w:bCs/>
        </w:rPr>
        <w:t xml:space="preserve"> jsme zde minule referovali, povede k politickým důsledkům. Znepokojeni však není jen mezi židy, ale také mezi Araby, kteří by v celku byli ochotni přijmout statut, navrhovaný Bílou knihou, ale obávají se, že Velká Britanie, jako se to stalo již několikrát</w:t>
      </w:r>
      <w:r>
        <w:rPr>
          <w:b/>
          <w:bCs/>
        </w:rPr>
        <w:t>e, opětně své návrhy změní. Palestina tedy znovu roste v problém, který nebude míti význam jen pro židy, nebo v širším slova smyslu politický vý</w:t>
      </w:r>
      <w:r>
        <w:rPr>
          <w:b/>
          <w:bCs/>
        </w:rPr>
        <w:softHyphen/>
        <w:t>znam v britské vnitřní politice, ale do jisté míry se projeví také v politice světové. Jde tu o věč, která se m</w:t>
      </w:r>
      <w:r>
        <w:rPr>
          <w:b/>
          <w:bCs/>
        </w:rPr>
        <w:t>ůže státi velmi nepříjemným kamenem úrazu v britských snahách po získání sympatií v arabském světě a mezi mohamedány vůbec. A že toto právě je smysl velkých ústupků, jež chce učiniti v neprospěch židů a ve prospěch Arabů britská, vlá</w:t>
      </w:r>
      <w:r>
        <w:rPr>
          <w:b/>
          <w:bCs/>
        </w:rPr>
        <w:softHyphen/>
        <w:t>da, není již po tom vš</w:t>
      </w:r>
      <w:r>
        <w:rPr>
          <w:b/>
          <w:bCs/>
        </w:rPr>
        <w:t>em, co o věci bylo řečeno v britské sněmovně lordů i v dolní sněmovně a po obsáhlé diskusi v tisku, pouhá domněnka.</w:t>
      </w:r>
    </w:p>
    <w:p w:rsidR="00500724" w:rsidRDefault="00F30FB8">
      <w:pPr>
        <w:pStyle w:val="Zkladntext1"/>
        <w:shd w:val="clear" w:color="auto" w:fill="auto"/>
        <w:spacing w:line="185" w:lineRule="auto"/>
        <w:ind w:firstLine="300"/>
      </w:pPr>
      <w:r>
        <w:rPr>
          <w:b/>
          <w:bCs/>
        </w:rPr>
        <w:t xml:space="preserve">»Prohlášení příští politiky britské vlády v Palestině! </w:t>
      </w:r>
      <w:r>
        <w:rPr>
          <w:b/>
          <w:bCs/>
          <w:lang w:val="en-US" w:eastAsia="en-US" w:bidi="en-US"/>
        </w:rPr>
        <w:t xml:space="preserve">(Statement of the </w:t>
      </w:r>
      <w:r>
        <w:rPr>
          <w:b/>
          <w:bCs/>
        </w:rPr>
        <w:t xml:space="preserve">Government </w:t>
      </w:r>
      <w:r>
        <w:rPr>
          <w:b/>
          <w:bCs/>
          <w:lang w:val="en-US" w:eastAsia="en-US" w:bidi="en-US"/>
        </w:rPr>
        <w:t xml:space="preserve">future Policy in Palestine), </w:t>
      </w:r>
      <w:r>
        <w:rPr>
          <w:b/>
          <w:bCs/>
        </w:rPr>
        <w:t>jak se oficiálně jmenuje ta</w:t>
      </w:r>
      <w:r>
        <w:rPr>
          <w:b/>
          <w:bCs/>
        </w:rPr>
        <w:t>to Bílá kniha, která již byla roze</w:t>
      </w:r>
      <w:r>
        <w:rPr>
          <w:b/>
          <w:bCs/>
        </w:rPr>
        <w:softHyphen/>
        <w:t>slána po celém světě, je velmi zajímavé i se všeobecného hlediska. Tato úřední publikace je založena na třech hle</w:t>
      </w:r>
      <w:r>
        <w:rPr>
          <w:b/>
          <w:bCs/>
        </w:rPr>
        <w:softHyphen/>
        <w:t>discích: ústava, přistěhovalectví, půda. Na za</w:t>
      </w:r>
      <w:r>
        <w:rPr>
          <w:b/>
          <w:bCs/>
        </w:rPr>
        <w:softHyphen/>
        <w:t>čátku se prohlašuje, že nikdy — ani za časů Balfourovy dekla</w:t>
      </w:r>
      <w:r>
        <w:rPr>
          <w:b/>
          <w:bCs/>
        </w:rPr>
        <w:t>race z roku 1016 o zřízeni židovského národního domo</w:t>
      </w:r>
      <w:r>
        <w:rPr>
          <w:b/>
          <w:bCs/>
        </w:rPr>
        <w:softHyphen/>
        <w:t xml:space="preserve">va v Palestině — nebyloúmyslembritsképoliti- ky zřídit ryze židovský nezávislý stát. Ihned se však dodává, že také arabský požadavek, aby Palestina se stala ústavně arabským státem, není oprávněný. Nová </w:t>
      </w:r>
      <w:r>
        <w:rPr>
          <w:b/>
          <w:bCs/>
        </w:rPr>
        <w:t>ústavní situace se má vytvořit tak, že do pěti let by židé a Arabové postupně nahrazovali britské úředníky v jednot</w:t>
      </w:r>
      <w:r>
        <w:rPr>
          <w:b/>
          <w:bCs/>
        </w:rPr>
        <w:softHyphen/>
        <w:t>livých departementech dosavadní palestinské administrati</w:t>
      </w:r>
      <w:r>
        <w:rPr>
          <w:b/>
          <w:bCs/>
        </w:rPr>
        <w:softHyphen/>
        <w:t>vy a vytvořili pak radu, které nakonec může býti přiznán charakter vlády palestinsk</w:t>
      </w:r>
      <w:r>
        <w:rPr>
          <w:b/>
          <w:bCs/>
        </w:rPr>
        <w:t>ého státu. Tato rada by postupně z britských rukou v tomto pětiletém údobí přebírala výkon</w:t>
      </w:r>
      <w:r>
        <w:rPr>
          <w:b/>
          <w:bCs/>
        </w:rPr>
        <w:softHyphen/>
        <w:t>ná práva, při ěemž mají býti chráněna »britská obchodní a strategická práva«.</w:t>
      </w:r>
    </w:p>
    <w:p w:rsidR="00500724" w:rsidRDefault="00F30FB8">
      <w:pPr>
        <w:pStyle w:val="Zkladntext1"/>
        <w:shd w:val="clear" w:color="auto" w:fill="auto"/>
        <w:spacing w:line="185" w:lineRule="auto"/>
        <w:ind w:firstLine="320"/>
      </w:pPr>
      <w:r>
        <w:rPr>
          <w:b/>
          <w:bCs/>
        </w:rPr>
        <w:t>Přistěhovalectví židů se omezuje na deset tisíc osob roč</w:t>
      </w:r>
      <w:r>
        <w:rPr>
          <w:b/>
          <w:bCs/>
        </w:rPr>
        <w:softHyphen/>
        <w:t>ně a dodatečnou kvótu pětadvac</w:t>
      </w:r>
      <w:r>
        <w:rPr>
          <w:b/>
          <w:bCs/>
        </w:rPr>
        <w:t>et tisíc, celkem tedy pěta</w:t>
      </w:r>
      <w:r>
        <w:rPr>
          <w:b/>
          <w:bCs/>
        </w:rPr>
        <w:softHyphen/>
        <w:t>sedmdesát tisíc osob, další přistěhovalectví židů je možné jen po souhlasu arabských představitelů v administrativě palestinského státu. Poměr mezi židovskými a arabskými představiteli se určuje na základě poměru 1:2. Vysoký ko</w:t>
      </w:r>
      <w:r>
        <w:rPr>
          <w:b/>
          <w:bCs/>
        </w:rPr>
        <w:softHyphen/>
        <w:t>m</w:t>
      </w:r>
      <w:r>
        <w:rPr>
          <w:b/>
          <w:bCs/>
        </w:rPr>
        <w:t>isař britskou vládou jmenovaný má jediný právo dávat! souhlas k převodu nemovitého majetku z arab</w:t>
      </w:r>
      <w:r>
        <w:rPr>
          <w:b/>
          <w:bCs/>
        </w:rPr>
        <w:softHyphen/>
        <w:t xml:space="preserve">ských či jiných rukou do židovských rukou a může veškeré přesuny v majetku půdy, </w:t>
      </w:r>
      <w:r>
        <w:rPr>
          <w:b/>
          <w:bCs/>
          <w:lang w:val="en-US" w:eastAsia="en-US" w:bidi="en-US"/>
        </w:rPr>
        <w:t xml:space="preserve">at </w:t>
      </w:r>
      <w:r>
        <w:rPr>
          <w:b/>
          <w:bCs/>
        </w:rPr>
        <w:t>zemědělské, ať jiné, zakázat anebo upravit.</w:t>
      </w:r>
    </w:p>
    <w:p w:rsidR="00500724" w:rsidRDefault="00F30FB8">
      <w:pPr>
        <w:pStyle w:val="Zkladntext1"/>
        <w:shd w:val="clear" w:color="auto" w:fill="auto"/>
        <w:spacing w:line="185" w:lineRule="auto"/>
        <w:ind w:firstLine="320"/>
      </w:pPr>
      <w:r>
        <w:rPr>
          <w:b/>
          <w:bCs/>
        </w:rPr>
        <w:t>Bílá kniha podává pak neoficiá</w:t>
      </w:r>
      <w:r>
        <w:rPr>
          <w:b/>
          <w:bCs/>
        </w:rPr>
        <w:t>lní přehled vývoje si</w:t>
      </w:r>
      <w:r>
        <w:rPr>
          <w:b/>
          <w:bCs/>
        </w:rPr>
        <w:softHyphen/>
        <w:t xml:space="preserve">tuace. Balfourovou deklarací z roku 1916 na základě služeb, které byly prokázány Dohodě při vedení války vynikajícími židovskými osobnostmi (zejména </w:t>
      </w:r>
      <w:r>
        <w:rPr>
          <w:b/>
          <w:bCs/>
          <w:lang w:val="en-US" w:eastAsia="en-US" w:bidi="en-US"/>
        </w:rPr>
        <w:t xml:space="preserve">prof. </w:t>
      </w:r>
      <w:r>
        <w:rPr>
          <w:b/>
          <w:bCs/>
        </w:rPr>
        <w:t>Brodetzkim a jiný</w:t>
      </w:r>
      <w:r>
        <w:rPr>
          <w:b/>
          <w:bCs/>
        </w:rPr>
        <w:softHyphen/>
        <w:t>mi), byl zřízen xžidovský národní domova v Palestině ve formě</w:t>
      </w:r>
      <w:r>
        <w:rPr>
          <w:b/>
          <w:bCs/>
        </w:rPr>
        <w:t xml:space="preserve"> teritoriálního mandátu pod britskou administrativou. Významu nabylo toto zvláštní zřízení teprve tehdy, když na</w:t>
      </w:r>
      <w:r>
        <w:rPr>
          <w:b/>
          <w:bCs/>
        </w:rPr>
        <w:softHyphen/>
        <w:t>místo jediného impulsu, sionismu, který vedl židy k přistě</w:t>
      </w:r>
      <w:r>
        <w:rPr>
          <w:b/>
          <w:bCs/>
        </w:rPr>
        <w:softHyphen/>
        <w:t>hovalectví do Palestiny, nastal protižidovský tlak v někte</w:t>
      </w:r>
      <w:r>
        <w:rPr>
          <w:b/>
          <w:bCs/>
        </w:rPr>
        <w:softHyphen/>
        <w:t>rých evropskýeh státech p</w:t>
      </w:r>
      <w:r>
        <w:rPr>
          <w:b/>
          <w:bCs/>
        </w:rPr>
        <w:t xml:space="preserve">o roce 1933, který se od té doby stále zostřuje. Již v květnu roku 1936 si toho byli Arabové vědomi, protože počet židovských přistěhovalců rychle rostl a jerusalemský velký </w:t>
      </w:r>
      <w:r>
        <w:rPr>
          <w:b/>
          <w:bCs/>
          <w:lang w:val="en-US" w:eastAsia="en-US" w:bidi="en-US"/>
        </w:rPr>
        <w:t xml:space="preserve">mufti </w:t>
      </w:r>
      <w:r>
        <w:rPr>
          <w:b/>
          <w:bCs/>
        </w:rPr>
        <w:t>— hlava mohamedánského ná</w:t>
      </w:r>
      <w:r>
        <w:rPr>
          <w:b/>
          <w:bCs/>
        </w:rPr>
        <w:softHyphen/>
        <w:t>boženského světa v Palestině se sídlem v Jerusalem</w:t>
      </w:r>
      <w:r>
        <w:rPr>
          <w:b/>
          <w:bCs/>
        </w:rPr>
        <w:t>ě — za</w:t>
      </w:r>
      <w:r>
        <w:rPr>
          <w:b/>
          <w:bCs/>
        </w:rPr>
        <w:softHyphen/>
        <w:t>hájil akci proti židovskému přistěhovalectví. Akce nabyla rychle divokých a násilných forem.</w:t>
      </w:r>
    </w:p>
    <w:p w:rsidR="00500724" w:rsidRDefault="00F30FB8">
      <w:pPr>
        <w:pStyle w:val="Zkladntext1"/>
        <w:shd w:val="clear" w:color="auto" w:fill="auto"/>
        <w:spacing w:line="185" w:lineRule="auto"/>
        <w:ind w:firstLine="320"/>
      </w:pPr>
      <w:r>
        <w:rPr>
          <w:b/>
          <w:bCs/>
        </w:rPr>
        <w:t>Britská vláda hledala řešení v tom, že poslala do Pale</w:t>
      </w:r>
      <w:r>
        <w:rPr>
          <w:b/>
          <w:bCs/>
        </w:rPr>
        <w:softHyphen/>
        <w:t>stiny královskou komisi s lordem Peelem v ěele.</w:t>
      </w:r>
    </w:p>
    <w:p w:rsidR="00500724" w:rsidRDefault="00F30FB8">
      <w:pPr>
        <w:pStyle w:val="Zkladntext1"/>
        <w:shd w:val="clear" w:color="auto" w:fill="auto"/>
        <w:spacing w:line="185" w:lineRule="auto"/>
      </w:pPr>
      <w:r>
        <w:rPr>
          <w:b/>
          <w:bCs/>
        </w:rPr>
        <w:t>Tato komise podala tak zvaný &gt;;Pee 1 Report«, vel</w:t>
      </w:r>
      <w:r>
        <w:rPr>
          <w:b/>
          <w:bCs/>
        </w:rPr>
        <w:softHyphen/>
        <w:t xml:space="preserve">mi </w:t>
      </w:r>
      <w:r>
        <w:rPr>
          <w:b/>
          <w:bCs/>
        </w:rPr>
        <w:t>obsáhlou studii, která se koněí návrhem na rozdě</w:t>
      </w:r>
      <w:r>
        <w:rPr>
          <w:b/>
          <w:bCs/>
        </w:rPr>
        <w:softHyphen/>
        <w:t>lení Palestiny na stát židovský, na stát palestinský a na pásmo britského zájmu, jež by obsahovalo svátá místa, pruh země k moři, Haifu a několik míst ke zbudování stra</w:t>
      </w:r>
      <w:r>
        <w:rPr>
          <w:b/>
          <w:bCs/>
        </w:rPr>
        <w:softHyphen/>
        <w:t>tegických opěrných bodů pro válečnou m</w:t>
      </w:r>
      <w:r>
        <w:rPr>
          <w:b/>
          <w:bCs/>
        </w:rPr>
        <w:t>oc Velké Britanie. Tento návrh na »partition« (opětně obdoba návrhu Runci- manova) byl odmítnut jako nepřijatelný oběma zúčastně</w:t>
      </w:r>
      <w:r>
        <w:rPr>
          <w:b/>
          <w:bCs/>
        </w:rPr>
        <w:softHyphen/>
        <w:t>nými stranami a přijat jen britskou vládou. Po prudké akci, kterou po celém světě začali židé proti britské vládě, po arabských</w:t>
      </w:r>
      <w:r>
        <w:rPr>
          <w:b/>
          <w:bCs/>
        </w:rPr>
        <w:t xml:space="preserve"> výtržnostech a projevech krajního odporu s obou stran, počala britská vláda váhat s provedením tohoto roz</w:t>
      </w:r>
      <w:r>
        <w:rPr>
          <w:b/>
          <w:bCs/>
        </w:rPr>
        <w:softHyphen/>
        <w:t xml:space="preserve">dělení. Povolila a poslala ještě jednu komisi, která měla shánět »fakta« </w:t>
      </w:r>
      <w:r>
        <w:rPr>
          <w:b/>
          <w:bCs/>
          <w:lang w:val="en-US" w:eastAsia="en-US" w:bidi="en-US"/>
        </w:rPr>
        <w:t xml:space="preserve">(Fact-finding Commission) </w:t>
      </w:r>
      <w:r>
        <w:rPr>
          <w:b/>
          <w:bCs/>
        </w:rPr>
        <w:t>a nato byla svo</w:t>
      </w:r>
      <w:r>
        <w:rPr>
          <w:b/>
          <w:bCs/>
        </w:rPr>
        <w:softHyphen/>
        <w:t xml:space="preserve">lána letos — s velkým zpožděním — </w:t>
      </w:r>
      <w:r>
        <w:rPr>
          <w:b/>
          <w:bCs/>
        </w:rPr>
        <w:t>palestinská konference do Londýna, která se skončila neúspěchem pro odpor Ara</w:t>
      </w:r>
      <w:r>
        <w:rPr>
          <w:b/>
          <w:bCs/>
        </w:rPr>
        <w:softHyphen/>
        <w:t>bů i židů.</w:t>
      </w:r>
    </w:p>
    <w:p w:rsidR="00500724" w:rsidRDefault="00F30FB8">
      <w:pPr>
        <w:pStyle w:val="Zkladntext1"/>
        <w:shd w:val="clear" w:color="auto" w:fill="auto"/>
        <w:spacing w:line="185" w:lineRule="auto"/>
        <w:ind w:firstLine="320"/>
      </w:pPr>
      <w:r>
        <w:rPr>
          <w:b/>
          <w:bCs/>
        </w:rPr>
        <w:t>Židé nyní vytýkají britské vládě, že úplně postavila na hlavu smysl Balfourovy deklarace a práv, jimiž bylo vybar véno palestinské mandátní území, a že tim se židé ods</w:t>
      </w:r>
      <w:r>
        <w:rPr>
          <w:b/>
          <w:bCs/>
        </w:rPr>
        <w:t>u</w:t>
      </w:r>
      <w:r>
        <w:rPr>
          <w:b/>
          <w:bCs/>
        </w:rPr>
        <w:softHyphen/>
        <w:t>zují, aby na věky zůstali v Palestině menši</w:t>
      </w:r>
      <w:r>
        <w:rPr>
          <w:b/>
          <w:bCs/>
        </w:rPr>
        <w:softHyphen/>
        <w:t>nou. Trpce st stěžují, že britská vláda zaručuje Arabům, že nikdy nebudou poddanými židovského státu, ale praktic</w:t>
      </w:r>
      <w:r>
        <w:rPr>
          <w:b/>
          <w:bCs/>
        </w:rPr>
        <w:softHyphen/>
        <w:t>ky vlastně ze židů dělá občany arabského státu, ačkoliv ži</w:t>
      </w:r>
      <w:r>
        <w:rPr>
          <w:b/>
          <w:bCs/>
        </w:rPr>
        <w:softHyphen/>
        <w:t xml:space="preserve">dé nikdy nechtěli nad Araby panovat, </w:t>
      </w:r>
      <w:r>
        <w:rPr>
          <w:b/>
          <w:bCs/>
        </w:rPr>
        <w:t>a jde o židovskou ze</w:t>
      </w:r>
      <w:r>
        <w:rPr>
          <w:b/>
          <w:bCs/>
        </w:rPr>
        <w:softHyphen/>
        <w:t>mi. Hlavní židovská kritika se soustřeďuje asi do těchto tří bodů: 1. Židům se znemožňuje právo svobodného návratu do Palestiny, 2. zakazuje se jim, aby se usadili kdekoliv v Palestině a 8. znemožňuje se jim svobodný vývoj národ</w:t>
      </w:r>
      <w:r>
        <w:rPr>
          <w:b/>
          <w:bCs/>
        </w:rPr>
        <w:softHyphen/>
        <w:t>ního ž</w:t>
      </w:r>
      <w:r>
        <w:rPr>
          <w:b/>
          <w:bCs/>
        </w:rPr>
        <w:t>ivota.</w:t>
      </w:r>
    </w:p>
    <w:p w:rsidR="00500724" w:rsidRDefault="00F30FB8">
      <w:pPr>
        <w:pStyle w:val="Zkladntext1"/>
        <w:shd w:val="clear" w:color="auto" w:fill="auto"/>
        <w:spacing w:line="185" w:lineRule="auto"/>
        <w:ind w:firstLine="320"/>
      </w:pPr>
      <w:r>
        <w:rPr>
          <w:b/>
          <w:bCs/>
        </w:rPr>
        <w:t>Arabové Jsou, jak se zdá, ochotni toto řešení nři jmout, protože Jim je ostatně prospěšné, ale nemají dosti důvěry k britské vládě, že opětně nezmění svůj názor a že nena</w:t>
      </w:r>
      <w:r>
        <w:rPr>
          <w:b/>
          <w:bCs/>
        </w:rPr>
        <w:softHyphen/>
        <w:t>hradí Bílou knihu jiným plánem. Podkladem arabského odooru vůči židům ovšem je</w:t>
      </w:r>
      <w:r>
        <w:rPr>
          <w:b/>
          <w:bCs/>
        </w:rPr>
        <w:t>, že Arabové zvykli si za sta</w:t>
      </w:r>
      <w:r>
        <w:rPr>
          <w:b/>
          <w:bCs/>
        </w:rPr>
        <w:softHyphen/>
        <w:t>letí považovat Palestinn za arabskou zemi a jsou ovšem proti židům zaujati jednak z důvodů rasového odporu, ná</w:t>
      </w:r>
      <w:r>
        <w:rPr>
          <w:b/>
          <w:bCs/>
        </w:rPr>
        <w:softHyphen/>
        <w:t>boženské nesnášeiivosti a fanatismu. Kromě toho nacionál- ni a totální myšlenky pronikly silně do arabského světa p</w:t>
      </w:r>
      <w:r>
        <w:rPr>
          <w:b/>
          <w:bCs/>
        </w:rPr>
        <w:t xml:space="preserve">od vlivem současné rozhlasové a jiné propagandy a to také vede k odporu proti Velké Britanii </w:t>
      </w:r>
      <w:r>
        <w:rPr>
          <w:b/>
          <w:bCs/>
          <w:sz w:val="20"/>
          <w:szCs w:val="20"/>
        </w:rPr>
        <w:t xml:space="preserve">a </w:t>
      </w:r>
      <w:r>
        <w:rPr>
          <w:b/>
          <w:bCs/>
        </w:rPr>
        <w:t>speciálně ovšem proti židovským přistěhovalcům, valnou většinou uprchlí</w:t>
      </w:r>
      <w:r>
        <w:rPr>
          <w:b/>
          <w:bCs/>
        </w:rPr>
        <w:softHyphen/>
        <w:t>kům z totalitních států. Arabové ani nepopirají, že na ži</w:t>
      </w:r>
      <w:r>
        <w:rPr>
          <w:b/>
          <w:bCs/>
        </w:rPr>
        <w:softHyphen/>
        <w:t>dovské kolonisaci země také hos</w:t>
      </w:r>
      <w:r>
        <w:rPr>
          <w:b/>
          <w:bCs/>
        </w:rPr>
        <w:t>podářsky profitovali, ale chtějí, aby Palestina byla zemí pod arabským panstvím, nikoli aby se stala židovským státem.</w:t>
      </w:r>
    </w:p>
    <w:p w:rsidR="00500724" w:rsidRDefault="00F30FB8">
      <w:pPr>
        <w:pStyle w:val="Zkladntext1"/>
        <w:shd w:val="clear" w:color="auto" w:fill="auto"/>
        <w:tabs>
          <w:tab w:val="left" w:pos="4214"/>
        </w:tabs>
        <w:spacing w:after="220" w:line="185" w:lineRule="auto"/>
        <w:rPr>
          <w:sz w:val="20"/>
          <w:szCs w:val="20"/>
        </w:rPr>
      </w:pPr>
      <w:r>
        <w:rPr>
          <w:b/>
          <w:bCs/>
        </w:rPr>
        <w:t>Nejde o maličkost, nejenom proto, že židovská akce Je britské vládě již nyní nepříjemná, ale hlavně proto, že mo- bamedánský svět sleduje</w:t>
      </w:r>
      <w:r>
        <w:rPr>
          <w:b/>
          <w:bCs/>
        </w:rPr>
        <w:t xml:space="preserve"> tuto věc se zvláštním zájmem a velmi kriticky k Velké Britanii. Přes pozměňovací návrhy, které byly jak v domě lordů, tak v poslanecké sněmovně k návrhům, jež obsahuje Bílá kniha, již ve velkém množ</w:t>
      </w:r>
      <w:r>
        <w:rPr>
          <w:b/>
          <w:bCs/>
        </w:rPr>
        <w:softHyphen/>
        <w:t>ství podány zástupci oposice, dá se očekávat, že vláda s</w:t>
      </w:r>
      <w:r>
        <w:rPr>
          <w:b/>
          <w:bCs/>
        </w:rPr>
        <w:t>e sotva odhodlá tentokráte alespoň pokud jde o literu zákona k novým změnám. Souhlas obou sněmoven již obdržela. Za dané evropské situace jsou britské zájmy na kladném cho</w:t>
      </w:r>
      <w:r>
        <w:rPr>
          <w:b/>
          <w:bCs/>
        </w:rPr>
        <w:softHyphen/>
        <w:t>váni mohamedánského světa k britské politice mimořád</w:t>
      </w:r>
      <w:r>
        <w:rPr>
          <w:b/>
          <w:bCs/>
        </w:rPr>
        <w:softHyphen/>
        <w:t>ně mocné.</w:t>
      </w:r>
      <w:r>
        <w:rPr>
          <w:b/>
          <w:bCs/>
        </w:rPr>
        <w:tab/>
      </w:r>
      <w:r>
        <w:rPr>
          <w:i/>
          <w:iCs/>
          <w:sz w:val="20"/>
          <w:szCs w:val="20"/>
        </w:rPr>
        <w:t>Dr. Moll.</w:t>
      </w:r>
    </w:p>
    <w:p w:rsidR="00500724" w:rsidRDefault="00F30FB8">
      <w:pPr>
        <w:pStyle w:val="Zkladntext1"/>
        <w:shd w:val="clear" w:color="auto" w:fill="auto"/>
        <w:spacing w:after="80" w:line="175" w:lineRule="auto"/>
        <w:ind w:firstLine="0"/>
        <w:jc w:val="center"/>
        <w:rPr>
          <w:sz w:val="20"/>
          <w:szCs w:val="20"/>
        </w:rPr>
      </w:pPr>
      <w:r>
        <w:rPr>
          <w:b/>
          <w:bCs/>
          <w:sz w:val="20"/>
          <w:szCs w:val="20"/>
        </w:rPr>
        <w:t>Anglo-řecká</w:t>
      </w:r>
      <w:r>
        <w:rPr>
          <w:b/>
          <w:bCs/>
          <w:sz w:val="20"/>
          <w:szCs w:val="20"/>
        </w:rPr>
        <w:t xml:space="preserve"> obchodní smlouva</w:t>
      </w:r>
    </w:p>
    <w:p w:rsidR="00500724" w:rsidRDefault="00F30FB8">
      <w:pPr>
        <w:pStyle w:val="Zkladntext1"/>
        <w:shd w:val="clear" w:color="auto" w:fill="auto"/>
        <w:tabs>
          <w:tab w:val="left" w:pos="4541"/>
        </w:tabs>
        <w:spacing w:after="260" w:line="185" w:lineRule="auto"/>
        <w:ind w:firstLine="300"/>
        <w:rPr>
          <w:sz w:val="20"/>
          <w:szCs w:val="20"/>
        </w:rPr>
      </w:pPr>
      <w:r>
        <w:rPr>
          <w:b/>
          <w:bCs/>
        </w:rPr>
        <w:t xml:space="preserve">Velká Britanie pokračuje ve své tak zvané ^obkličovací politice« rychlým tempem také na poli obchodně-poiitickém. Po zájezdu britské obchodní mise do Rumunska je nyní na cestě balkánskými státy předmětem britské pozornosti Řecko. </w:t>
      </w:r>
      <w:r>
        <w:rPr>
          <w:b/>
          <w:bCs/>
          <w:lang w:val="en-US" w:eastAsia="en-US" w:bidi="en-US"/>
        </w:rPr>
        <w:t>Sir Fred</w:t>
      </w:r>
      <w:r>
        <w:rPr>
          <w:b/>
          <w:bCs/>
          <w:lang w:val="en-US" w:eastAsia="en-US" w:bidi="en-US"/>
        </w:rPr>
        <w:t xml:space="preserve">eric Leith-Ross </w:t>
      </w:r>
      <w:r>
        <w:rPr>
          <w:b/>
          <w:bCs/>
        </w:rPr>
        <w:t xml:space="preserve">je právě v Athénách s touže misí, která úspěšně jednala s rumunskou vládou, a zahájil již porady s řeckým ministerským předsedou Metaxasem, s řeckým guvernérem Národní banky a s ministrem financí. Jak se zdá, poskytne Velká Britanie půjčku </w:t>
      </w:r>
      <w:r>
        <w:rPr>
          <w:b/>
          <w:bCs/>
        </w:rPr>
        <w:t>(v librách) také Řecku, aby mu umožnila financovat import britského zboží a kromě toho byla uzavřena dohoda o měnovém poměru, která je pro Řecko výhodná. K podrobnému ujednání zatím ještě nedošlo, ale připravuje se nová obchodně-politická smlouva s Řeckem,</w:t>
      </w:r>
      <w:r>
        <w:rPr>
          <w:b/>
          <w:bCs/>
        </w:rPr>
        <w:t xml:space="preserve"> k jejímuž dojednání byli již pozváni řečtí experti do Londýna. Tato cesta Leith-Rossova je také charakteristickým příspěvkem k poznání britské politiky a k hodnocení současné mezinárodni situace.</w:t>
      </w:r>
      <w:r>
        <w:rPr>
          <w:b/>
          <w:bCs/>
        </w:rPr>
        <w:tab/>
      </w:r>
      <w:r>
        <w:rPr>
          <w:i/>
          <w:iCs/>
          <w:sz w:val="20"/>
          <w:szCs w:val="20"/>
        </w:rPr>
        <w:t>Moll.</w:t>
      </w:r>
    </w:p>
    <w:p w:rsidR="00500724" w:rsidRDefault="00F30FB8">
      <w:pPr>
        <w:pStyle w:val="Zkladntext1"/>
        <w:shd w:val="clear" w:color="auto" w:fill="auto"/>
        <w:spacing w:line="185" w:lineRule="auto"/>
        <w:ind w:firstLine="0"/>
        <w:jc w:val="center"/>
        <w:rPr>
          <w:sz w:val="20"/>
          <w:szCs w:val="20"/>
        </w:rPr>
      </w:pPr>
      <w:r>
        <w:rPr>
          <w:b/>
          <w:bCs/>
          <w:sz w:val="20"/>
          <w:szCs w:val="20"/>
        </w:rPr>
        <w:t>Opevnění Aalandskýeh ostrovů</w:t>
      </w:r>
    </w:p>
    <w:p w:rsidR="00500724" w:rsidRDefault="00F30FB8">
      <w:pPr>
        <w:pStyle w:val="Zkladntext1"/>
        <w:shd w:val="clear" w:color="auto" w:fill="auto"/>
        <w:spacing w:line="194" w:lineRule="auto"/>
        <w:ind w:firstLine="300"/>
      </w:pPr>
      <w:r>
        <w:rPr>
          <w:b/>
          <w:bCs/>
        </w:rPr>
        <w:t xml:space="preserve">Finsko se počátkem </w:t>
      </w:r>
      <w:r>
        <w:rPr>
          <w:b/>
          <w:bCs/>
        </w:rPr>
        <w:t>letošního roku dohodlo se Švédském, že opevní několik ostrovů v Aalandském souostroví, které leží v Baltickém moři a ovládá vstup do Eotnického zálivu. Aaiandské ostrovy náležely původně Švédsku, které je roku 1809 postoupilo Rusku. Po válce připadly Finsk</w:t>
      </w:r>
      <w:r>
        <w:rPr>
          <w:b/>
          <w:bCs/>
        </w:rPr>
        <w:t>u, ačkoli se jejich obyvatelstvo domáhalo návratu pod švédskou svrchovanost. Tato žádost byla roku 1920 postoupena Spo. lečnosti národů, která však rozhodla ve prospěch Finska. Až do letoška zůstaly ostrovy vojensky nechráněny. Finsko a Švédsko si pro svůj</w:t>
      </w:r>
      <w:r>
        <w:rPr>
          <w:b/>
          <w:bCs/>
        </w:rPr>
        <w:t xml:space="preserve"> plán předevšim zajistily souhlas států, které se roku 1920 účastnily jednáni o aaiandské otázce, jakož i souhlas Německa. Německo svolilo s pod</w:t>
      </w:r>
      <w:r>
        <w:rPr>
          <w:b/>
          <w:bCs/>
        </w:rPr>
        <w:softHyphen/>
        <w:t>mínkou, že Finsko i Švédsko zůstanou v jakémkoli kon</w:t>
      </w:r>
      <w:r>
        <w:rPr>
          <w:b/>
          <w:bCs/>
        </w:rPr>
        <w:softHyphen/>
        <w:t>fliktu přísně neutrální. Věc byla pak předložena květno</w:t>
      </w:r>
      <w:r>
        <w:rPr>
          <w:b/>
          <w:bCs/>
        </w:rPr>
        <w:softHyphen/>
        <w:t>vé</w:t>
      </w:r>
      <w:r>
        <w:rPr>
          <w:b/>
          <w:bCs/>
        </w:rPr>
        <w:t>mu zasedání rady Společnosti národů v Ženevě, kde však do ní zasáhl Sovětský Svaz a žádal, aby jednání bylo odlo</w:t>
      </w:r>
      <w:r>
        <w:rPr>
          <w:b/>
          <w:bCs/>
        </w:rPr>
        <w:softHyphen/>
        <w:t>ženo. Odůvodnil svůj návrh tím, že Finsko neodpovědělo přesně na jeho dotaz, jakého druhu má být opevněni a ko</w:t>
      </w:r>
      <w:r>
        <w:rPr>
          <w:b/>
          <w:bCs/>
        </w:rPr>
        <w:softHyphen/>
        <w:t>lik vojska má být příště na ostr</w:t>
      </w:r>
      <w:r>
        <w:rPr>
          <w:b/>
          <w:bCs/>
        </w:rPr>
        <w:t>ovech umístěno, odvolávajíc se na to, že jde o vojenská tajemství. Ve švédském tisku se při této příležitosti ukazovalo na to, že Sovětský Svaz do</w:t>
      </w:r>
      <w:r>
        <w:rPr>
          <w:b/>
          <w:bCs/>
        </w:rPr>
        <w:softHyphen/>
        <w:t>stal nž v lednu, podobně Jako jiné státy, vyrozuměni o fin- skošvédském úmyslu, ale nereagoval a teprve 19. k</w:t>
      </w:r>
      <w:r>
        <w:rPr>
          <w:b/>
          <w:bCs/>
        </w:rPr>
        <w:t>větna se dotazoval na podrobnosti. Obrat v sovětském postupu nepochybně souvisí se změněnou evropskou situací. Vy</w:t>
      </w:r>
      <w:r>
        <w:rPr>
          <w:b/>
          <w:bCs/>
        </w:rPr>
        <w:softHyphen/>
        <w:t>nořila se domněnka, že Rusko chce v případě války na těchto ostrovech zřídit ponorkovou základnu. Sovětské zpravodajství zase ukazuje na strat</w:t>
      </w:r>
      <w:r>
        <w:rPr>
          <w:b/>
          <w:bCs/>
        </w:rPr>
        <w:t>egický význam ostrovů pro Rusko a na to, že s opevněných Aalandskýeh ostrovů by bylo možno působit velké nesnáze sovětskému loďstvu.</w:t>
      </w:r>
    </w:p>
    <w:p w:rsidR="00500724" w:rsidRDefault="00F30FB8">
      <w:pPr>
        <w:pStyle w:val="Zkladntext1"/>
        <w:shd w:val="clear" w:color="auto" w:fill="auto"/>
        <w:spacing w:after="100" w:line="194" w:lineRule="auto"/>
        <w:ind w:firstLine="0"/>
        <w:jc w:val="right"/>
      </w:pPr>
      <w:r>
        <w:rPr>
          <w:b/>
          <w:bCs/>
          <w:i/>
          <w:iCs/>
        </w:rPr>
        <w:t>Z. S.</w:t>
      </w:r>
    </w:p>
    <w:p w:rsidR="00500724" w:rsidRDefault="00F30FB8">
      <w:pPr>
        <w:pStyle w:val="Zkladntext1"/>
        <w:shd w:val="clear" w:color="auto" w:fill="auto"/>
        <w:spacing w:line="266" w:lineRule="auto"/>
        <w:ind w:left="200" w:firstLine="740"/>
        <w:jc w:val="left"/>
      </w:pPr>
      <w:r>
        <w:rPr>
          <w:b/>
          <w:bCs/>
          <w:sz w:val="20"/>
          <w:szCs w:val="20"/>
        </w:rPr>
        <w:t xml:space="preserve">Školství samostatného Slovenska </w:t>
      </w:r>
      <w:r>
        <w:rPr>
          <w:b/>
          <w:bCs/>
        </w:rPr>
        <w:t>Všechny obory veřejné správy na Slovensku se dostaly</w:t>
      </w:r>
    </w:p>
    <w:p w:rsidR="00500724" w:rsidRDefault="00F30FB8">
      <w:pPr>
        <w:pStyle w:val="Zkladntext1"/>
        <w:numPr>
          <w:ilvl w:val="0"/>
          <w:numId w:val="67"/>
        </w:numPr>
        <w:shd w:val="clear" w:color="auto" w:fill="auto"/>
        <w:tabs>
          <w:tab w:val="left" w:pos="265"/>
        </w:tabs>
        <w:spacing w:line="214" w:lineRule="auto"/>
        <w:ind w:firstLine="0"/>
      </w:pPr>
      <w:r>
        <w:rPr>
          <w:b/>
          <w:bCs/>
        </w:rPr>
        <w:t>října a ještě citelněji ovšem 14</w:t>
      </w:r>
      <w:r>
        <w:rPr>
          <w:b/>
          <w:bCs/>
        </w:rPr>
        <w:t>. března na rozcestí. Opou</w:t>
      </w:r>
      <w:r>
        <w:rPr>
          <w:b/>
          <w:bCs/>
        </w:rPr>
        <w:softHyphen/>
        <w:t>štěla se společná cesta československá * nastoupen pochod vysloveně slovenský. Stovky českých učitelů a profesorů opustily zemi, které věnovaly dvacet let poctivé práce. Choř maďarského panství byl touto prací změněn na nejplodně</w:t>
      </w:r>
      <w:r>
        <w:rPr>
          <w:b/>
          <w:bCs/>
        </w:rPr>
        <w:t>jši půdu, ze které má vyrůstali budoucnost národa a jeho vůdčí postavy.</w:t>
      </w:r>
    </w:p>
    <w:p w:rsidR="00500724" w:rsidRDefault="00F30FB8">
      <w:pPr>
        <w:pStyle w:val="Zkladntext1"/>
        <w:shd w:val="clear" w:color="auto" w:fill="auto"/>
        <w:spacing w:line="187" w:lineRule="auto"/>
        <w:ind w:firstLine="300"/>
      </w:pPr>
      <w:r>
        <w:rPr>
          <w:b/>
          <w:bCs/>
        </w:rPr>
        <w:t>Původní radikalismus na Slovensku po «. říjnu ustoupil obavám o další rozvoj slovenského školství Velmi rychle proniklo poznáni, že je třeba hledati náhradní síly a že jich neni doma d</w:t>
      </w:r>
      <w:r>
        <w:rPr>
          <w:b/>
          <w:bCs/>
        </w:rPr>
        <w:t>ostatek. Zůstala otázka, jak tomu bude po prázdninách, nebof koncem školního roku odejdou poslední češti učitelé a profesoři.</w:t>
      </w:r>
    </w:p>
    <w:p w:rsidR="00500724" w:rsidRDefault="00F30FB8">
      <w:pPr>
        <w:pStyle w:val="Zkladntext1"/>
        <w:shd w:val="clear" w:color="auto" w:fill="auto"/>
        <w:spacing w:line="187" w:lineRule="auto"/>
        <w:ind w:firstLine="300"/>
      </w:pPr>
      <w:r>
        <w:rPr>
          <w:b/>
          <w:bCs/>
        </w:rPr>
        <w:t>Je pravda, že tento nedostatek bude zmírněn uvolněním mnoha učitelů národních a středních škol, které budou buď zrušeny pro malý p</w:t>
      </w:r>
      <w:r>
        <w:rPr>
          <w:b/>
          <w:bCs/>
        </w:rPr>
        <w:t>očet žáků nebo podstatně zredukovány rušením poboček. Koncem školního roku totiž odejdou žáci české národnosti a židé. V samotné Bratislavě se počí</w:t>
      </w:r>
      <w:r>
        <w:rPr>
          <w:b/>
          <w:bCs/>
        </w:rPr>
        <w:softHyphen/>
        <w:t>tá, že místo dosavadních tří gymnasii, jednoho dívčího gy</w:t>
      </w:r>
      <w:r>
        <w:rPr>
          <w:b/>
          <w:bCs/>
        </w:rPr>
        <w:softHyphen/>
        <w:t>mnasia a reálky postačí jedno, totiž bývalé Masary</w:t>
      </w:r>
      <w:r>
        <w:rPr>
          <w:b/>
          <w:bCs/>
        </w:rPr>
        <w:t>kovo gymnasium, jedna reáíka a dívčí řádové gymnasium Uršu- linek. Kromě toho tu je slovenské gymnasium Jesuitů. Avšak ani takto uvolněné síly nestačí nahradit! úbytek čes</w:t>
      </w:r>
      <w:r>
        <w:rPr>
          <w:b/>
          <w:bCs/>
        </w:rPr>
        <w:softHyphen/>
        <w:t>kých učitelů. Proto zamýšlí slovenská školní správa zřídit prázdninové kursy pro abs</w:t>
      </w:r>
      <w:r>
        <w:rPr>
          <w:b/>
          <w:bCs/>
        </w:rPr>
        <w:t>olventy, středních škol, kteří by se stali výpomocnými učiteli na školách obecných. Jiný kurs má připravit! dobře kvalifikované učitele obecných škol pro vyučováni na školách měšťanských. Konečně vy</w:t>
      </w:r>
      <w:r>
        <w:rPr>
          <w:b/>
          <w:bCs/>
        </w:rPr>
        <w:softHyphen/>
        <w:t>braní učitelé s odbornými zkouškami pro školy měšťanské p</w:t>
      </w:r>
      <w:r>
        <w:rPr>
          <w:b/>
          <w:bCs/>
        </w:rPr>
        <w:t>o absolvováni kursu zaujmou učitelská místa na nižších středních školách. Tu má býti tato výpomoc usnadněna re</w:t>
      </w:r>
      <w:r>
        <w:rPr>
          <w:b/>
          <w:bCs/>
        </w:rPr>
        <w:softHyphen/>
        <w:t xml:space="preserve">formou středního školství, ve kterém by byl jednotný typ čtyř nižších tříd a teprve pátou třídou má nastat! tříděni na ústavy klasické a reálni. </w:t>
      </w:r>
      <w:r>
        <w:rPr>
          <w:b/>
          <w:bCs/>
        </w:rPr>
        <w:t>Konečně se uvažuje o zatímním zařádění kněží jako učitelů latiny a slovenštiny na středních Školách. To vše jsou nesporně odvážné pokusy, ale má-li býti udrženo školství v řádném běhu, je to jediné možné východisko.</w:t>
      </w:r>
    </w:p>
    <w:p w:rsidR="00500724" w:rsidRDefault="00F30FB8">
      <w:pPr>
        <w:pStyle w:val="Zkladntext1"/>
        <w:shd w:val="clear" w:color="auto" w:fill="auto"/>
        <w:spacing w:line="187" w:lineRule="auto"/>
        <w:ind w:firstLine="300"/>
      </w:pPr>
      <w:r>
        <w:rPr>
          <w:b/>
          <w:bCs/>
        </w:rPr>
        <w:t xml:space="preserve">Mluvilo se v převratných dnech mnoho o </w:t>
      </w:r>
      <w:r>
        <w:rPr>
          <w:b/>
          <w:bCs/>
        </w:rPr>
        <w:t>navrácení řady škol církvím. Zdá se, že z tohoto plánu bude uskutečněno jen málo. Jednak je křesťanský ráz škol zaručen složením vlády, jednak byly územními změnami oslabeny zdroje, z nichž byly dříve vydržovány církevní školy. Dojde však určitě ke znovuzř</w:t>
      </w:r>
      <w:r>
        <w:rPr>
          <w:b/>
          <w:bCs/>
        </w:rPr>
        <w:t>izení katolických gymnasii v biskupských sídlech v Trnavě, Nitře a Banské Bystrici. Stát a církev budou přispívat! rovným dílem na jejich udržováni. Otevře</w:t>
      </w:r>
      <w:r>
        <w:rPr>
          <w:b/>
          <w:bCs/>
        </w:rPr>
        <w:softHyphen/>
        <w:t>nou zůstává otázka učitelských sil na školách průmyslo</w:t>
      </w:r>
      <w:r>
        <w:rPr>
          <w:b/>
          <w:bCs/>
        </w:rPr>
        <w:softHyphen/>
        <w:t>vých, hlavně v odboru strojním a stavitelském</w:t>
      </w:r>
      <w:r>
        <w:rPr>
          <w:b/>
          <w:bCs/>
        </w:rPr>
        <w:t>. Tu pro ne</w:t>
      </w:r>
      <w:r>
        <w:rPr>
          <w:b/>
          <w:bCs/>
        </w:rPr>
        <w:softHyphen/>
        <w:t>dostatek inženýrů bude skoro nemožné nalézti náhradu na Slovensku. Podobně torna bude asi také na obchodních akademiích.</w:t>
      </w:r>
    </w:p>
    <w:p w:rsidR="00500724" w:rsidRDefault="00F30FB8">
      <w:pPr>
        <w:pStyle w:val="Zkladntext1"/>
        <w:shd w:val="clear" w:color="auto" w:fill="auto"/>
        <w:spacing w:line="187" w:lineRule="auto"/>
        <w:ind w:firstLine="300"/>
      </w:pPr>
      <w:r>
        <w:rPr>
          <w:b/>
          <w:bCs/>
        </w:rPr>
        <w:t>Zároveň s těmito změnami se přikročilo k řešeni otázky učebnic. Autonomistický režim se spokojil s revisi dosud po</w:t>
      </w:r>
      <w:r>
        <w:rPr>
          <w:b/>
          <w:bCs/>
        </w:rPr>
        <w:softHyphen/>
        <w:t>užívanýc</w:t>
      </w:r>
      <w:r>
        <w:rPr>
          <w:b/>
          <w:bCs/>
        </w:rPr>
        <w:t>h učebnic pro dějepis, zeměpis a slovenštinu. Mini</w:t>
      </w:r>
      <w:r>
        <w:rPr>
          <w:b/>
          <w:bCs/>
        </w:rPr>
        <w:softHyphen/>
        <w:t>sterstvo školství samostatného Slovenska se rozhodlo pro vydání úplně nových učebnic.</w:t>
      </w:r>
    </w:p>
    <w:p w:rsidR="00500724" w:rsidRDefault="00F30FB8">
      <w:pPr>
        <w:pStyle w:val="Zkladntext1"/>
        <w:shd w:val="clear" w:color="auto" w:fill="auto"/>
        <w:tabs>
          <w:tab w:val="left" w:pos="4838"/>
        </w:tabs>
        <w:spacing w:after="180" w:line="187" w:lineRule="auto"/>
        <w:ind w:firstLine="300"/>
        <w:rPr>
          <w:sz w:val="20"/>
          <w:szCs w:val="20"/>
        </w:rPr>
      </w:pPr>
      <w:r>
        <w:rPr>
          <w:b/>
          <w:bCs/>
        </w:rPr>
        <w:t>To vše nejsou malé a snadné úkoly. Také Ihůta zdá se krátká. Nesmí se také zapomínat!, že mnoho učebnic pro slovenské š</w:t>
      </w:r>
      <w:r>
        <w:rPr>
          <w:b/>
          <w:bCs/>
        </w:rPr>
        <w:t>koly bylo napsáno českými odborníky anebo za jejich rozhodující spolupráce. Úprava učebnic a tím i for</w:t>
      </w:r>
      <w:r>
        <w:rPr>
          <w:b/>
          <w:bCs/>
        </w:rPr>
        <w:softHyphen/>
        <w:t>mování mladých duší bude snadnější, jestli se bude vychá</w:t>
      </w:r>
      <w:r>
        <w:rPr>
          <w:b/>
          <w:bCs/>
        </w:rPr>
        <w:softHyphen/>
        <w:t>zeti z tradice příbuznosti národní a osudové s Cechy, než kdyby měla býti nesena duchem naprosté</w:t>
      </w:r>
      <w:r>
        <w:rPr>
          <w:b/>
          <w:bCs/>
        </w:rPr>
        <w:t>ho přervánf do</w:t>
      </w:r>
      <w:r>
        <w:rPr>
          <w:b/>
          <w:bCs/>
        </w:rPr>
        <w:softHyphen/>
        <w:t>savadních svazků. Stížnosti, že dosavadní učebnice byly příliš české, byly snad oprávněny. Vady lze však odstraniti bez ohrožení vědomí kmenové souvislostí.</w:t>
      </w:r>
      <w:r>
        <w:rPr>
          <w:b/>
          <w:bCs/>
        </w:rPr>
        <w:tab/>
      </w:r>
      <w:r>
        <w:rPr>
          <w:b/>
          <w:bCs/>
          <w:i/>
          <w:iCs/>
          <w:sz w:val="20"/>
          <w:szCs w:val="20"/>
        </w:rPr>
        <w:t>Jel</w:t>
      </w:r>
    </w:p>
    <w:p w:rsidR="00500724" w:rsidRDefault="00F30FB8">
      <w:pPr>
        <w:pStyle w:val="Zkladntext1"/>
        <w:shd w:val="clear" w:color="auto" w:fill="auto"/>
        <w:spacing w:after="80" w:line="178" w:lineRule="auto"/>
        <w:ind w:firstLine="0"/>
        <w:jc w:val="center"/>
        <w:rPr>
          <w:sz w:val="20"/>
          <w:szCs w:val="20"/>
        </w:rPr>
      </w:pPr>
      <w:r>
        <w:rPr>
          <w:b/>
          <w:bCs/>
          <w:sz w:val="20"/>
          <w:szCs w:val="20"/>
        </w:rPr>
        <w:t>Družstevnictví</w:t>
      </w:r>
    </w:p>
    <w:p w:rsidR="00500724" w:rsidRDefault="00F30FB8">
      <w:pPr>
        <w:pStyle w:val="Zkladntext1"/>
        <w:shd w:val="clear" w:color="auto" w:fill="auto"/>
        <w:spacing w:line="190" w:lineRule="auto"/>
      </w:pPr>
      <w:r>
        <w:rPr>
          <w:b/>
          <w:bCs/>
        </w:rPr>
        <w:t>Bylí u nás lidé, kteří se nemohli smířiti s družstevnic</w:t>
      </w:r>
      <w:r>
        <w:rPr>
          <w:b/>
          <w:bCs/>
        </w:rPr>
        <w:softHyphen/>
        <w:t>tvím a na</w:t>
      </w:r>
      <w:r>
        <w:rPr>
          <w:b/>
          <w:bCs/>
        </w:rPr>
        <w:t xml:space="preserve"> boji proti družstevní myšlence založili kus své stranicko-politické agitace. Domnívají se snad teď, že přišla doba, kdy by mohli jít proti družstevnictví zostra.</w:t>
      </w:r>
    </w:p>
    <w:p w:rsidR="00500724" w:rsidRDefault="00F30FB8">
      <w:pPr>
        <w:pStyle w:val="Zkladntext1"/>
        <w:shd w:val="clear" w:color="auto" w:fill="auto"/>
        <w:spacing w:line="190" w:lineRule="auto"/>
      </w:pPr>
      <w:r>
        <w:rPr>
          <w:b/>
          <w:bCs/>
        </w:rPr>
        <w:t>Snad je v družstevnictví mnohé, co potřebuje nápravy. Jistě je rozumné sloučení řady družstev</w:t>
      </w:r>
      <w:r>
        <w:rPr>
          <w:b/>
          <w:bCs/>
        </w:rPr>
        <w:t>ních prodejen a organisaci, zejména tam, kde k rozrůznění došlo z důvodů stranicko-politických. Ale pro některé chyby družstevnictví nelze přehlédnout! jeho výhody. Vyrostlo ze svépomoci spo</w:t>
      </w:r>
      <w:r>
        <w:rPr>
          <w:b/>
          <w:bCs/>
        </w:rPr>
        <w:softHyphen/>
        <w:t>třebitelů a sociálně slabých. To je dosti pádný důvod, aby zdravé</w:t>
      </w:r>
      <w:r>
        <w:rPr>
          <w:b/>
          <w:bCs/>
        </w:rPr>
        <w:t xml:space="preserve"> družstevnictví bylo udrženo i na dále. Družstevnictví je a bylo velkou hospodářskou výchovou drobných lidí. Každý konsum byl maličkou, ale dobrou školou společného podnikání, školou o tom, jak se prodává, co se musí prodá</w:t>
      </w:r>
      <w:r>
        <w:rPr>
          <w:b/>
          <w:bCs/>
        </w:rPr>
        <w:softHyphen/>
        <w:t>vat, jak se dělá inventura atd. T</w:t>
      </w:r>
      <w:r>
        <w:rPr>
          <w:b/>
          <w:bCs/>
        </w:rPr>
        <w:t>ady se nereformoval svět slovy; tady stí lidé učili počítat, střízlivě myslet, společně podnikat. Družstevnictví vyrostlo z opravdového zájmu drobných Udí. Nebyly to jen ty daňově výhody —o kterých</w:t>
      </w:r>
    </w:p>
    <w:p w:rsidR="00500724" w:rsidRDefault="00F30FB8">
      <w:pPr>
        <w:pStyle w:val="Zkladntext1"/>
        <w:shd w:val="clear" w:color="auto" w:fill="auto"/>
        <w:tabs>
          <w:tab w:val="left" w:pos="4565"/>
        </w:tabs>
        <w:spacing w:after="140" w:line="187" w:lineRule="auto"/>
        <w:ind w:firstLine="0"/>
      </w:pPr>
      <w:r>
        <w:rPr>
          <w:b/>
          <w:bCs/>
        </w:rPr>
        <w:t>so často píše a no vždy správně — ani protekce velkých pol</w:t>
      </w:r>
      <w:r>
        <w:rPr>
          <w:b/>
          <w:bCs/>
        </w:rPr>
        <w:t>itických stran, které mu pomohly na nohy. Dalo by so u nás ukázat, že na př. družstevní hnutí před válkou nemě</w:t>
      </w:r>
      <w:r>
        <w:rPr>
          <w:b/>
          <w:bCs/>
        </w:rPr>
        <w:softHyphen/>
        <w:t>lo v politickém hnutí sociální demokracie na růžích ustláno. Vytýkalo se mu ve straně, že odvádí pozornost jinam, žo není dosti bojovné atd. V to</w:t>
      </w:r>
      <w:r>
        <w:rPr>
          <w:b/>
          <w:bCs/>
        </w:rPr>
        <w:t>m byla právě jeho přednost. Družstevnictví je důležitou hospodářskou školou malých lidí. To má velkou cenu dnes, kdy do popředí přicházejí otázky hospodářské. Rozhodně nelze tu dát volné pole těm, kteří z důvodů čistě stranických proti družstevnictví bou</w:t>
      </w:r>
      <w:r>
        <w:rPr>
          <w:b/>
          <w:bCs/>
        </w:rPr>
        <w:softHyphen/>
        <w:t>ř</w:t>
      </w:r>
      <w:r>
        <w:rPr>
          <w:b/>
          <w:bCs/>
        </w:rPr>
        <w:t>ili.</w:t>
      </w:r>
      <w:r>
        <w:rPr>
          <w:b/>
          <w:bCs/>
        </w:rPr>
        <w:tab/>
        <w:t>y. o.</w:t>
      </w:r>
    </w:p>
    <w:p w:rsidR="00500724" w:rsidRDefault="00F30FB8">
      <w:pPr>
        <w:pStyle w:val="Zkladntext1"/>
        <w:shd w:val="clear" w:color="auto" w:fill="auto"/>
        <w:spacing w:after="80" w:line="178" w:lineRule="auto"/>
        <w:ind w:firstLine="0"/>
        <w:jc w:val="center"/>
        <w:rPr>
          <w:sz w:val="20"/>
          <w:szCs w:val="20"/>
        </w:rPr>
      </w:pPr>
      <w:r>
        <w:rPr>
          <w:b/>
          <w:bCs/>
          <w:sz w:val="20"/>
          <w:szCs w:val="20"/>
        </w:rPr>
        <w:t>Americký filmový průmysl před krisí</w:t>
      </w:r>
    </w:p>
    <w:p w:rsidR="00500724" w:rsidRDefault="00F30FB8">
      <w:pPr>
        <w:pStyle w:val="Zkladntext1"/>
        <w:shd w:val="clear" w:color="auto" w:fill="auto"/>
        <w:spacing w:line="187" w:lineRule="auto"/>
        <w:ind w:firstLine="200"/>
      </w:pPr>
      <w:r>
        <w:rPr>
          <w:b/>
          <w:bCs/>
        </w:rPr>
        <w:t>Letos vstupuje americký filmový průmysl do jubilejního padesátého roku. Přes všechny úspěchy a nepopiratelně nej. vyšší stupeň dokonalosti jak v produkci filmů, tak i peněz, kterého tento moderní průmyslový ob</w:t>
      </w:r>
      <w:r>
        <w:rPr>
          <w:b/>
          <w:bCs/>
        </w:rPr>
        <w:t>or dosáhl ve Spoje- ných Státech, dívá se do budoucnosti s obavami. Očekává se, že Jde do prvního roku těžké krise, jejíž hlavní příči</w:t>
      </w:r>
      <w:r>
        <w:rPr>
          <w:b/>
          <w:bCs/>
        </w:rPr>
        <w:softHyphen/>
        <w:t>nou je vedle rostoucí drahoty produkce zmenšující se roz</w:t>
      </w:r>
      <w:r>
        <w:rPr>
          <w:b/>
          <w:bCs/>
        </w:rPr>
        <w:softHyphen/>
        <w:t>sah odbytiště v neamerickém světě. Omezování odbytišť je dvojího</w:t>
      </w:r>
      <w:r>
        <w:rPr>
          <w:b/>
          <w:bCs/>
        </w:rPr>
        <w:t xml:space="preserve"> druhu, přímé i nepřímé. Některé státy buď pří- mo zakazují dovoz amerických filmů, jiné jej sice nezaka</w:t>
      </w:r>
      <w:r>
        <w:rPr>
          <w:b/>
          <w:bCs/>
        </w:rPr>
        <w:softHyphen/>
        <w:t>zují, ale nemají dost volných dolarů, aby mohly půjčováni filmů zaplatit, či konečně brzdi dovoz našeho zboží (a v tom i filmů) systémem celních povole</w:t>
      </w:r>
      <w:r>
        <w:rPr>
          <w:b/>
          <w:bCs/>
        </w:rPr>
        <w:t>ni, kvót, kontingentů, cly, měnovými nesnázemi a někdy také I censurními opatře</w:t>
      </w:r>
      <w:r>
        <w:rPr>
          <w:b/>
          <w:bCs/>
        </w:rPr>
        <w:softHyphen/>
        <w:t>ními, jež stíhají filmy, knihy, časopisy a gramofonové des</w:t>
      </w:r>
      <w:r>
        <w:rPr>
          <w:b/>
          <w:bCs/>
        </w:rPr>
        <w:softHyphen/>
        <w:t>ky. Německo, Rusko a Itálie jsou americkým filmům prak</w:t>
      </w:r>
      <w:r>
        <w:rPr>
          <w:b/>
          <w:bCs/>
        </w:rPr>
        <w:softHyphen/>
        <w:t xml:space="preserve">ticky skoro úplně zavřeny a řada dalších drobnějších zemí buď </w:t>
      </w:r>
      <w:r>
        <w:rPr>
          <w:b/>
          <w:bCs/>
        </w:rPr>
        <w:t>americké filmy stihá ostrou censurou anebo si prostě nemůže z důvodů měnových a hmotných dopřát většího jejich dovozu.</w:t>
      </w:r>
    </w:p>
    <w:p w:rsidR="00500724" w:rsidRDefault="00F30FB8">
      <w:pPr>
        <w:pStyle w:val="Zkladntext1"/>
        <w:shd w:val="clear" w:color="auto" w:fill="auto"/>
        <w:spacing w:line="187" w:lineRule="auto"/>
        <w:ind w:firstLine="200"/>
      </w:pPr>
      <w:r>
        <w:rPr>
          <w:b/>
          <w:bCs/>
        </w:rPr>
        <w:t>Američtí filmoví magnáti sice vždy pyšně prohlašovali, žo se ^nezajímajíc nijak příliš o evropské země, ale ve sku</w:t>
      </w:r>
      <w:r>
        <w:rPr>
          <w:b/>
          <w:bCs/>
        </w:rPr>
        <w:softHyphen/>
        <w:t>tečnosti, jak je patrn</w:t>
      </w:r>
      <w:r>
        <w:rPr>
          <w:b/>
          <w:bCs/>
        </w:rPr>
        <w:t>o ze statistik, vydaných federálními americkými úřady před několika týdny, pozůstávaly příjmy amerického filmového průmyslu z plnépoiovinyzexportufilmů. Nyni klesá export stále více a více a tvoří již jen zlomek úhrnných příjmů. Při tom byla americká filmo</w:t>
      </w:r>
      <w:r>
        <w:rPr>
          <w:b/>
          <w:bCs/>
        </w:rPr>
        <w:t>vá industrie nucena zakládat pobočné výrobny filmů po celém světě, ale ty vyrábějí fil</w:t>
      </w:r>
      <w:r>
        <w:rPr>
          <w:b/>
          <w:bCs/>
        </w:rPr>
        <w:softHyphen/>
        <w:t>my, jež jsou určeny jen pro nejbližší okolí států, v nichž vznikly, protože jsou řízeny jiným duchem a jiným vku</w:t>
      </w:r>
      <w:r>
        <w:rPr>
          <w:b/>
          <w:bCs/>
        </w:rPr>
        <w:softHyphen/>
        <w:t>sem. To sice znamená určitou náhradu za export, ale zdal</w:t>
      </w:r>
      <w:r>
        <w:rPr>
          <w:b/>
          <w:bCs/>
        </w:rPr>
        <w:t>e</w:t>
      </w:r>
      <w:r>
        <w:rPr>
          <w:b/>
          <w:bCs/>
        </w:rPr>
        <w:softHyphen/>
        <w:t>ka to nepostačí uhradit úbytky. Anglické filmy amerických filmových společností, vyráběné v Londýně, nejdou do Ame</w:t>
      </w:r>
      <w:r>
        <w:rPr>
          <w:b/>
          <w:bCs/>
        </w:rPr>
        <w:softHyphen/>
        <w:t>riky vůbec a tim značně klesá jejich výnosnost. Krom toho s počátku tyto kontinentální výrobky byly do značné míry pasivní.</w:t>
      </w:r>
    </w:p>
    <w:p w:rsidR="00500724" w:rsidRDefault="00F30FB8">
      <w:pPr>
        <w:pStyle w:val="Zkladntext1"/>
        <w:shd w:val="clear" w:color="auto" w:fill="auto"/>
        <w:spacing w:line="190" w:lineRule="auto"/>
        <w:ind w:firstLine="200"/>
      </w:pPr>
      <w:r>
        <w:rPr>
          <w:b/>
          <w:bCs/>
        </w:rPr>
        <w:t>Současně však s</w:t>
      </w:r>
      <w:r>
        <w:rPr>
          <w:b/>
          <w:bCs/>
        </w:rPr>
        <w:t>toupá nákladnost filmů, vyro</w:t>
      </w:r>
      <w:r>
        <w:rPr>
          <w:b/>
          <w:bCs/>
        </w:rPr>
        <w:softHyphen/>
        <w:t>bených ve Spojených Státech. Důvodů je mnoho. V Ame</w:t>
      </w:r>
      <w:r>
        <w:rPr>
          <w:b/>
          <w:bCs/>
        </w:rPr>
        <w:softHyphen/>
        <w:t>rice sice není censury, ale tato instituce je víc než nahra</w:t>
      </w:r>
      <w:r>
        <w:rPr>
          <w:b/>
          <w:bCs/>
        </w:rPr>
        <w:softHyphen/>
        <w:t>zena působením nejrůznějších společností, které mají velký veřejný vliv. Kromě toho zasahují do výroby filmů i mocn</w:t>
      </w:r>
      <w:r>
        <w:rPr>
          <w:b/>
          <w:bCs/>
        </w:rPr>
        <w:t>é zahraniční vlivy. Je-li ve filmu líčen nesympaticky přísluš</w:t>
      </w:r>
      <w:r>
        <w:rPr>
          <w:b/>
          <w:bCs/>
        </w:rPr>
        <w:softHyphen/>
        <w:t>ník některého neamerického národa, Polák, Španěl nebo Jihoameriěan, může filmová společnost očekávat určitě diplomatické zákroky a protesty. Nejmírnčjší následek ta</w:t>
      </w:r>
      <w:r>
        <w:rPr>
          <w:b/>
          <w:bCs/>
        </w:rPr>
        <w:softHyphen/>
        <w:t>kových intervencí je, že film</w:t>
      </w:r>
      <w:r>
        <w:rPr>
          <w:b/>
          <w:bCs/>
        </w:rPr>
        <w:t xml:space="preserve"> musí býti vzat z oběhu alespoň tam, kde tyto viivy zasahuji. Ani černoši již nesmi být ka- rikováni ěi nepříznivě líčeni, protože ihned mocně zasáhne vlivná společnost pro ochranu barevných ras, v níž hraji svou ůloiiu staré, sentimentální, ale bohaté a m</w:t>
      </w:r>
      <w:r>
        <w:rPr>
          <w:b/>
          <w:bCs/>
        </w:rPr>
        <w:t>ocné ame</w:t>
      </w:r>
      <w:r>
        <w:rPr>
          <w:b/>
          <w:bCs/>
        </w:rPr>
        <w:softHyphen/>
        <w:t xml:space="preserve">rické milionářky. Tato společnost »Society </w:t>
      </w:r>
      <w:r>
        <w:rPr>
          <w:b/>
          <w:bCs/>
          <w:lang w:val="en-US" w:eastAsia="en-US" w:bidi="en-US"/>
        </w:rPr>
        <w:t xml:space="preserve">for the </w:t>
      </w:r>
      <w:r>
        <w:rPr>
          <w:b/>
          <w:bCs/>
        </w:rPr>
        <w:t xml:space="preserve">Advan- cement </w:t>
      </w:r>
      <w:r>
        <w:rPr>
          <w:b/>
          <w:bCs/>
          <w:lang w:val="en-US" w:eastAsia="en-US" w:bidi="en-US"/>
        </w:rPr>
        <w:t xml:space="preserve">of Contoured Races </w:t>
      </w:r>
      <w:r>
        <w:rPr>
          <w:b/>
          <w:bCs/>
        </w:rPr>
        <w:t xml:space="preserve">si vynutila, aby filmy, kde se jedná o domorodcích, byly jejímu komitétu předváděny zpravidla dříve, než přijdou na veřejnost. Mocnou brzdu představuje také </w:t>
      </w:r>
      <w:r>
        <w:rPr>
          <w:b/>
          <w:bCs/>
          <w:lang w:val="en-US" w:eastAsia="en-US" w:bidi="en-US"/>
        </w:rPr>
        <w:t>Mr. Jo</w:t>
      </w:r>
      <w:r>
        <w:rPr>
          <w:b/>
          <w:bCs/>
          <w:lang w:val="en-US" w:eastAsia="en-US" w:bidi="en-US"/>
        </w:rPr>
        <w:t xml:space="preserve">seph I. Bren, </w:t>
      </w:r>
      <w:r>
        <w:rPr>
          <w:b/>
          <w:bCs/>
        </w:rPr>
        <w:t>který zasahuje do fil</w:t>
      </w:r>
      <w:r>
        <w:rPr>
          <w:b/>
          <w:bCs/>
        </w:rPr>
        <w:softHyphen/>
        <w:t xml:space="preserve">mového průmyslu jménem své funkce jako »Productton </w:t>
      </w:r>
      <w:r>
        <w:rPr>
          <w:b/>
          <w:bCs/>
          <w:lang w:val="en-US" w:eastAsia="en-US" w:bidi="en-US"/>
        </w:rPr>
        <w:t xml:space="preserve">Code Administrators, </w:t>
      </w:r>
      <w:r>
        <w:rPr>
          <w:b/>
          <w:bCs/>
        </w:rPr>
        <w:t>která má poloúřední povahu. Katolíci, kteří ve Spojených Státech jsou stále vlivnější, protože mi</w:t>
      </w:r>
      <w:r>
        <w:rPr>
          <w:b/>
          <w:bCs/>
        </w:rPr>
        <w:softHyphen/>
        <w:t>mo jiné tam představují nejmodemější náboženství s</w:t>
      </w:r>
      <w:r>
        <w:rPr>
          <w:b/>
          <w:bCs/>
        </w:rPr>
        <w:t>oučas</w:t>
      </w:r>
      <w:r>
        <w:rPr>
          <w:b/>
          <w:bCs/>
        </w:rPr>
        <w:softHyphen/>
        <w:t xml:space="preserve">né doby, mají »ligu slušnostis (»Legion </w:t>
      </w:r>
      <w:r>
        <w:rPr>
          <w:b/>
          <w:bCs/>
          <w:lang w:val="en-US" w:eastAsia="en-US" w:bidi="en-US"/>
        </w:rPr>
        <w:t xml:space="preserve">of </w:t>
      </w:r>
      <w:r>
        <w:rPr>
          <w:b/>
          <w:bCs/>
        </w:rPr>
        <w:t>Decencyc), jejíž vliv dal docela jiný směr americkým filmům a proti níž ni</w:t>
      </w:r>
      <w:r>
        <w:rPr>
          <w:b/>
          <w:bCs/>
        </w:rPr>
        <w:softHyphen/>
        <w:t>kdo se neodváží již vystoupit, natož aby se odvážil riskovat výrobu fiknu, který by pobouřil katolickoa veřejnost ně</w:t>
      </w:r>
      <w:r>
        <w:rPr>
          <w:b/>
          <w:bCs/>
        </w:rPr>
        <w:softHyphen/>
        <w:t>čím nemravným n</w:t>
      </w:r>
      <w:r>
        <w:rPr>
          <w:b/>
          <w:bCs/>
        </w:rPr>
        <w:t>ebo neslušným. Novodobé puritánství jde ovšem, jak už je to v Americe zvykem, do groteskních roz</w:t>
      </w:r>
      <w:r>
        <w:rPr>
          <w:b/>
          <w:bCs/>
        </w:rPr>
        <w:softHyphen/>
        <w:t>měrů. Filmaři nesmí tedy užívat jmen cizích řečí pro své hrdiny, nesmí si dělat legraci z makaronů a vůbec už na zesměšnit nebo nepříznivě vylíčit historické p</w:t>
      </w:r>
      <w:r>
        <w:rPr>
          <w:b/>
          <w:bCs/>
        </w:rPr>
        <w:t>ostavy ze ži</w:t>
      </w:r>
      <w:r>
        <w:rPr>
          <w:b/>
          <w:bCs/>
        </w:rPr>
        <w:softHyphen/>
        <w:t>vota některého národa, i kdyby to byla věrná historická pravda, kterou v obrazech předvádějí.</w:t>
      </w:r>
    </w:p>
    <w:p w:rsidR="00500724" w:rsidRDefault="00F30FB8">
      <w:pPr>
        <w:pStyle w:val="Zkladntext1"/>
        <w:shd w:val="clear" w:color="auto" w:fill="auto"/>
        <w:spacing w:after="40" w:line="187" w:lineRule="auto"/>
      </w:pPr>
      <w:r>
        <w:rPr>
          <w:b/>
          <w:bCs/>
        </w:rPr>
        <w:t>Následek toho všeho je, že je nouze o scenaria. Proto cena námětů na film stoupla neuvěřitelným způso</w:t>
      </w:r>
      <w:r>
        <w:rPr>
          <w:b/>
          <w:bCs/>
        </w:rPr>
        <w:softHyphen/>
        <w:t>bem. Proto také filmy jsou založeny na hrdinech</w:t>
      </w:r>
      <w:r>
        <w:rPr>
          <w:b/>
          <w:bCs/>
        </w:rPr>
        <w:t xml:space="preserve"> a hrdin</w:t>
      </w:r>
      <w:r>
        <w:rPr>
          <w:b/>
          <w:bCs/>
        </w:rPr>
        <w:softHyphen/>
        <w:t xml:space="preserve">kách a hledá se plytký nezávadný </w:t>
      </w:r>
      <w:r>
        <w:rPr>
          <w:b/>
          <w:bCs/>
          <w:i/>
          <w:iCs/>
          <w:sz w:val="20"/>
          <w:szCs w:val="20"/>
        </w:rPr>
        <w:t>a</w:t>
      </w:r>
      <w:r>
        <w:rPr>
          <w:b/>
          <w:bCs/>
        </w:rPr>
        <w:t xml:space="preserve"> vtipný příběh, který musí býti nesen populárním hercem ěi herečkou. To vše vede ke stoupání požadavků hvězd. Do nedávná dostávala filmová hvězda ženského či mužského pohlaví za film asi 35.000 až 75.000 dolarů, d</w:t>
      </w:r>
      <w:r>
        <w:rPr>
          <w:b/>
          <w:bCs/>
        </w:rPr>
        <w:t>nes dostává sto až dvě stě tisíc. Guildy a spolky herců, dokonce i hvězd, vynucují stále vyšší gáže a nejnemožnější příplatky. Dnes stojí nor</w:t>
      </w:r>
      <w:r>
        <w:rPr>
          <w:b/>
          <w:bCs/>
        </w:rPr>
        <w:softHyphen/>
        <w:t>mální film, který může jít do premiérových kin, asi 500.000 až 750.000 dolarů, kdežto ještě nedávno stál čtvrt mil</w:t>
      </w:r>
      <w:r>
        <w:rPr>
          <w:b/>
          <w:bCs/>
        </w:rPr>
        <w:t>ionu. Film za 150 až 250.000 dolarů se »nehodí« již dnes pro luxus</w:t>
      </w:r>
      <w:r>
        <w:rPr>
          <w:b/>
          <w:bCs/>
        </w:rPr>
        <w:softHyphen/>
        <w:t>ní premiérové biografy, které ovšem dávají vzhledem k drahým sedadlům nejlepší honoráře za půjčování filmů. Srovnáme-li při tom tyto výrobní náklady s evropskými, je to závratný rozdíl, i k</w:t>
      </w:r>
      <w:r>
        <w:rPr>
          <w:b/>
          <w:bCs/>
        </w:rPr>
        <w:t>dyž bereme jen nejkvalitnější fil</w:t>
      </w:r>
      <w:r>
        <w:rPr>
          <w:b/>
          <w:bCs/>
        </w:rPr>
        <w:softHyphen/>
        <w:t>my. Tak na př. »Pépé le Moko« stál pouze 68.000 dolarů a dosáhl světového úspěchu, kdežto americká verse tohoto filmu, natočená (vlastně doslovně jen přepsaná) podle toho</w:t>
      </w:r>
      <w:r>
        <w:rPr>
          <w:b/>
          <w:bCs/>
        </w:rPr>
        <w:softHyphen/>
        <w:t>to výnosného francouzského filmu, stála americké pr</w:t>
      </w:r>
      <w:r>
        <w:rPr>
          <w:b/>
          <w:bCs/>
        </w:rPr>
        <w:t>odu</w:t>
      </w:r>
      <w:r>
        <w:rPr>
          <w:b/>
          <w:bCs/>
        </w:rPr>
        <w:softHyphen/>
        <w:t xml:space="preserve">centy 800.000 dolarů. Při tom ještě </w:t>
      </w:r>
      <w:r>
        <w:rPr>
          <w:b/>
          <w:bCs/>
          <w:lang w:val="en-US" w:eastAsia="en-US" w:bidi="en-US"/>
        </w:rPr>
        <w:t xml:space="preserve">Mr. </w:t>
      </w:r>
      <w:r>
        <w:rPr>
          <w:b/>
          <w:bCs/>
        </w:rPr>
        <w:t xml:space="preserve">Wanger, který tento přepis dělal, prohlásil, že jen díky tomu, že měl k disposici francouzská práva a hotový film, pořídil americký přepis tak »Ievně«. Slovem, platí se inspirace stále dráže a dráže, jen proto, </w:t>
      </w:r>
      <w:r>
        <w:rPr>
          <w:b/>
          <w:bCs/>
        </w:rPr>
        <w:t>že překážek je stále více a více.</w:t>
      </w:r>
    </w:p>
    <w:p w:rsidR="00500724" w:rsidRDefault="00F30FB8">
      <w:pPr>
        <w:pStyle w:val="Zkladntext1"/>
        <w:shd w:val="clear" w:color="auto" w:fill="auto"/>
        <w:tabs>
          <w:tab w:val="left" w:pos="4733"/>
        </w:tabs>
        <w:spacing w:after="180" w:line="187" w:lineRule="auto"/>
        <w:rPr>
          <w:sz w:val="20"/>
          <w:szCs w:val="20"/>
        </w:rPr>
      </w:pPr>
      <w:r>
        <w:rPr>
          <w:b/>
          <w:bCs/>
        </w:rPr>
        <w:t xml:space="preserve">Proto se obává americká filmová industrie, že jubilejní padesátý rok bude současně počátkem nové těžké krise amerického filmového průmyslu. Nelze však předpokládat, že tato krise by byla trvalá anebo nepřekonatelná, nebof </w:t>
      </w:r>
      <w:r>
        <w:rPr>
          <w:b/>
          <w:bCs/>
        </w:rPr>
        <w:t>při tom všem, co bylo právě řečeno, má americká filmová industrie jednu mimořádnou vlastnost, která ji pomůže pře</w:t>
      </w:r>
      <w:r>
        <w:rPr>
          <w:b/>
          <w:bCs/>
        </w:rPr>
        <w:softHyphen/>
        <w:t>nést se přes každou nesnáz: americkou přizpůsobivost. Tato přizpůsobivost a při tom nesporná zábavnost americ</w:t>
      </w:r>
      <w:r>
        <w:rPr>
          <w:b/>
          <w:bCs/>
        </w:rPr>
        <w:softHyphen/>
        <w:t>kých filmů zachrání americký fil</w:t>
      </w:r>
      <w:r>
        <w:rPr>
          <w:b/>
          <w:bCs/>
        </w:rPr>
        <w:t>mový průmysl. Nebof zejména dnes lidé chtějí zapomínat na skutečný život a chtějí se bavit.</w:t>
      </w:r>
      <w:r>
        <w:rPr>
          <w:b/>
          <w:bCs/>
        </w:rPr>
        <w:tab/>
      </w:r>
      <w:r>
        <w:rPr>
          <w:b/>
          <w:bCs/>
          <w:i/>
          <w:iCs/>
          <w:sz w:val="20"/>
          <w:szCs w:val="20"/>
        </w:rPr>
        <w:t>Cis</w:t>
      </w:r>
    </w:p>
    <w:p w:rsidR="00500724" w:rsidRDefault="00F30FB8">
      <w:pPr>
        <w:pStyle w:val="Jin0"/>
        <w:pBdr>
          <w:bottom w:val="single" w:sz="4" w:space="0" w:color="auto"/>
        </w:pBdr>
        <w:shd w:val="clear" w:color="auto" w:fill="auto"/>
        <w:spacing w:after="180"/>
        <w:ind w:firstLine="0"/>
        <w:jc w:val="left"/>
        <w:rPr>
          <w:sz w:val="46"/>
          <w:szCs w:val="46"/>
        </w:rPr>
      </w:pPr>
      <w:r>
        <w:rPr>
          <w:b/>
          <w:bCs/>
          <w:sz w:val="46"/>
          <w:szCs w:val="46"/>
        </w:rPr>
        <w:t>politika</w:t>
      </w:r>
    </w:p>
    <w:p w:rsidR="00500724" w:rsidRDefault="00F30FB8">
      <w:pPr>
        <w:pStyle w:val="Zkladntext1"/>
        <w:shd w:val="clear" w:color="auto" w:fill="auto"/>
        <w:spacing w:after="40"/>
        <w:ind w:firstLine="0"/>
        <w:rPr>
          <w:sz w:val="20"/>
          <w:szCs w:val="20"/>
        </w:rPr>
      </w:pPr>
      <w:r>
        <w:rPr>
          <w:b/>
          <w:bCs/>
          <w:i/>
          <w:iCs/>
          <w:sz w:val="20"/>
          <w:szCs w:val="20"/>
        </w:rPr>
        <w:t>{'.Peroutka:</w:t>
      </w:r>
    </w:p>
    <w:p w:rsidR="00500724" w:rsidRDefault="00F30FB8">
      <w:pPr>
        <w:pStyle w:val="Jin0"/>
        <w:shd w:val="clear" w:color="auto" w:fill="auto"/>
        <w:spacing w:after="40"/>
        <w:ind w:firstLine="0"/>
        <w:jc w:val="center"/>
        <w:rPr>
          <w:sz w:val="34"/>
          <w:szCs w:val="34"/>
        </w:rPr>
      </w:pPr>
      <w:r>
        <w:rPr>
          <w:b/>
          <w:bCs/>
          <w:sz w:val="34"/>
          <w:szCs w:val="34"/>
        </w:rPr>
        <w:t>Když všechno se mění...</w:t>
      </w:r>
    </w:p>
    <w:p w:rsidR="00500724" w:rsidRDefault="00F30FB8">
      <w:pPr>
        <w:pStyle w:val="Zkladntext80"/>
        <w:shd w:val="clear" w:color="auto" w:fill="auto"/>
        <w:spacing w:after="40" w:line="240" w:lineRule="auto"/>
        <w:jc w:val="center"/>
      </w:pPr>
      <w:r>
        <w:rPr>
          <w:b w:val="0"/>
          <w:bCs w:val="0"/>
          <w:smallCaps/>
        </w:rPr>
        <w:t>ii.</w:t>
      </w:r>
    </w:p>
    <w:p w:rsidR="00500724" w:rsidRDefault="00F30FB8">
      <w:pPr>
        <w:pStyle w:val="Zkladntext40"/>
        <w:shd w:val="clear" w:color="auto" w:fill="auto"/>
        <w:spacing w:after="0" w:line="298" w:lineRule="auto"/>
        <w:ind w:firstLine="220"/>
        <w:rPr>
          <w:sz w:val="14"/>
          <w:szCs w:val="14"/>
        </w:rPr>
      </w:pPr>
      <w:r>
        <w:rPr>
          <w:b/>
          <w:bCs/>
          <w:sz w:val="14"/>
          <w:szCs w:val="14"/>
        </w:rPr>
        <w:t xml:space="preserve">Vylíčil jsem zde, pokud to bylo možno, Jilubokou změnu v situaci českého tisku v rámci proměny obecné. Ale </w:t>
      </w:r>
      <w:r>
        <w:rPr>
          <w:b/>
          <w:bCs/>
          <w:sz w:val="14"/>
          <w:szCs w:val="14"/>
        </w:rPr>
        <w:t>jsou lidé, kteří, dovedouce celkem ještě pochopit onu proměnu obecnou, naprosto se ukazují neschopnými po</w:t>
      </w:r>
      <w:r>
        <w:rPr>
          <w:b/>
          <w:bCs/>
          <w:sz w:val="14"/>
          <w:szCs w:val="14"/>
        </w:rPr>
        <w:softHyphen/>
        <w:t>chopit, že ani noviny nezůstaly přesně tím, čím byly. To na příklad pochopí, že armáda byla rozpuštěna, že nové poměry přivodily důkladné změny v naši</w:t>
      </w:r>
      <w:r>
        <w:rPr>
          <w:b/>
          <w:bCs/>
          <w:sz w:val="14"/>
          <w:szCs w:val="14"/>
        </w:rPr>
        <w:t>ch úřa</w:t>
      </w:r>
      <w:r>
        <w:rPr>
          <w:b/>
          <w:bCs/>
          <w:sz w:val="14"/>
          <w:szCs w:val="14"/>
        </w:rPr>
        <w:softHyphen/>
        <w:t>dech, že při slavnostních příležitostech visí na státních budovách říšská vlajka vedle naší národní, že... Ale co bychom si pořizovali soupis všech nových okolností, který beztak se nám vryl do mysli. Ale s tím se jaksi nedovedou smířit, že také čes</w:t>
      </w:r>
      <w:r>
        <w:rPr>
          <w:b/>
          <w:bCs/>
          <w:sz w:val="14"/>
          <w:szCs w:val="14"/>
        </w:rPr>
        <w:t>ký novinář počítá s někte</w:t>
      </w:r>
      <w:r>
        <w:rPr>
          <w:b/>
          <w:bCs/>
          <w:sz w:val="14"/>
          <w:szCs w:val="14"/>
        </w:rPr>
        <w:softHyphen/>
        <w:t>rými novými fakty, jako s nimi počítá celý náš ostatní život veřejný. Němci mají přísloví: Když padá vévoda, padá také plášf. Avšak, pokud se českého novináře týká, tu někteří žádají, aby i když vévoda padl, plášf zůstal nehybně t</w:t>
      </w:r>
      <w:r>
        <w:rPr>
          <w:b/>
          <w:bCs/>
          <w:sz w:val="14"/>
          <w:szCs w:val="14"/>
        </w:rPr>
        <w:t>rčet ve vzduchu mezi nebem a zemí. Vědouce dobře, že na nástroji českého novináře zbyla už jen jediná struna, přece žádají, aby na ni zahrál celý kon</w:t>
      </w:r>
      <w:r>
        <w:rPr>
          <w:b/>
          <w:bCs/>
          <w:sz w:val="14"/>
          <w:szCs w:val="14"/>
        </w:rPr>
        <w:softHyphen/>
        <w:t>cert, jak dřív bývalo.</w:t>
      </w:r>
    </w:p>
    <w:p w:rsidR="00500724" w:rsidRDefault="00F30FB8">
      <w:pPr>
        <w:pStyle w:val="Zkladntext40"/>
        <w:shd w:val="clear" w:color="auto" w:fill="auto"/>
        <w:spacing w:after="0" w:line="298" w:lineRule="auto"/>
        <w:ind w:firstLine="220"/>
        <w:rPr>
          <w:sz w:val="14"/>
          <w:szCs w:val="14"/>
        </w:rPr>
      </w:pPr>
      <w:r>
        <w:rPr>
          <w:b/>
          <w:bCs/>
          <w:sz w:val="14"/>
          <w:szCs w:val="14"/>
        </w:rPr>
        <w:t xml:space="preserve">Také ruské </w:t>
      </w:r>
      <w:r>
        <w:rPr>
          <w:b/>
          <w:bCs/>
          <w:sz w:val="14"/>
          <w:szCs w:val="14"/>
          <w:lang w:val="en-US" w:eastAsia="en-US" w:bidi="en-US"/>
        </w:rPr>
        <w:t xml:space="preserve">radio, </w:t>
      </w:r>
      <w:r>
        <w:rPr>
          <w:b/>
          <w:bCs/>
          <w:sz w:val="14"/>
          <w:szCs w:val="14"/>
        </w:rPr>
        <w:t>jak slyším, je s námi českými novi</w:t>
      </w:r>
      <w:r>
        <w:rPr>
          <w:b/>
          <w:bCs/>
          <w:sz w:val="14"/>
          <w:szCs w:val="14"/>
        </w:rPr>
        <w:softHyphen/>
        <w:t>náři občas nespokojeno, což ov</w:t>
      </w:r>
      <w:r>
        <w:rPr>
          <w:b/>
          <w:bCs/>
          <w:sz w:val="14"/>
          <w:szCs w:val="14"/>
        </w:rPr>
        <w:t>šem ihned znamená, že nám vynadá svým pádným stylem.</w:t>
      </w:r>
    </w:p>
    <w:p w:rsidR="00500724" w:rsidRDefault="00F30FB8">
      <w:pPr>
        <w:pStyle w:val="Zkladntext40"/>
        <w:shd w:val="clear" w:color="auto" w:fill="auto"/>
        <w:spacing w:after="0" w:line="298" w:lineRule="auto"/>
        <w:ind w:firstLine="220"/>
        <w:rPr>
          <w:sz w:val="14"/>
          <w:szCs w:val="14"/>
        </w:rPr>
      </w:pPr>
      <w:r>
        <w:rPr>
          <w:b/>
          <w:bCs/>
          <w:sz w:val="14"/>
          <w:szCs w:val="14"/>
        </w:rPr>
        <w:t xml:space="preserve">V tom vůbec jest určitá nesnáz, že některým lidem se ústa pohybují mnohem rychleji než ruce a že se dovedou opiti vlastními slovy. Jestliže se nemýlím, obsluhují nyní ruské </w:t>
      </w:r>
      <w:r>
        <w:rPr>
          <w:b/>
          <w:bCs/>
          <w:sz w:val="14"/>
          <w:szCs w:val="14"/>
          <w:lang w:val="en-US" w:eastAsia="en-US" w:bidi="en-US"/>
        </w:rPr>
        <w:t xml:space="preserve">radio, </w:t>
      </w:r>
      <w:r>
        <w:rPr>
          <w:b/>
          <w:bCs/>
          <w:sz w:val="14"/>
          <w:szCs w:val="14"/>
        </w:rPr>
        <w:t>aspoň pokud našich věcí</w:t>
      </w:r>
      <w:r>
        <w:rPr>
          <w:b/>
          <w:bCs/>
          <w:sz w:val="14"/>
          <w:szCs w:val="14"/>
        </w:rPr>
        <w:t xml:space="preserve"> se týká, lidé, kteří nás spěšně opustili v březnu nebo už v říjnu. Ještě se neusadil prach, zvířený jejich patami. Jak milé, že na nás nezapomněli a že nám nyní </w:t>
      </w:r>
      <w:r>
        <w:rPr>
          <w:b/>
          <w:bCs/>
          <w:sz w:val="16"/>
          <w:szCs w:val="16"/>
        </w:rPr>
        <w:t xml:space="preserve">z </w:t>
      </w:r>
      <w:r>
        <w:rPr>
          <w:b/>
          <w:bCs/>
          <w:sz w:val="14"/>
          <w:szCs w:val="14"/>
        </w:rPr>
        <w:t>bezpečné vzdále- nosti dvou tisíc kilometrů posílají své rady... Je to málo vznešené divadlo</w:t>
      </w:r>
      <w:r>
        <w:rPr>
          <w:b/>
          <w:bCs/>
          <w:sz w:val="14"/>
          <w:szCs w:val="14"/>
        </w:rPr>
        <w:t>, kterak muži, kteří místo opustili, po</w:t>
      </w:r>
      <w:r>
        <w:rPr>
          <w:b/>
          <w:bCs/>
          <w:sz w:val="14"/>
          <w:szCs w:val="14"/>
        </w:rPr>
        <w:softHyphen/>
        <w:t>koušejí se volat k raportu muže, kteří na místě zůstali. Je to opravdu už hodně dávno, co tito nás opustivší muži se naposled báli: naposled se chvěli, když ještě dleli v našich hranicích. Od té doby nikoliv. Opustiv</w:t>
      </w:r>
      <w:r>
        <w:rPr>
          <w:b/>
          <w:bCs/>
          <w:sz w:val="14"/>
          <w:szCs w:val="14"/>
        </w:rPr>
        <w:t>še záměrně Rhodus, nicméně si tvoří pevné názory o tom, jak jest třeba na Rhodu skákati. Řeknu jen, že dovedu vyslechnouti jakoukoliv jejich kritiku s hlavou vztyče</w:t>
      </w:r>
      <w:r>
        <w:rPr>
          <w:b/>
          <w:bCs/>
          <w:sz w:val="14"/>
          <w:szCs w:val="14"/>
        </w:rPr>
        <w:softHyphen/>
        <w:t>nou. Vůbec by měli pochopit, že mezi námi, kteří jsme neuznali za rozumnější národ nyní ryc</w:t>
      </w:r>
      <w:r>
        <w:rPr>
          <w:b/>
          <w:bCs/>
          <w:sz w:val="14"/>
          <w:szCs w:val="14"/>
        </w:rPr>
        <w:t>hle opustit, vy</w:t>
      </w:r>
      <w:r>
        <w:rPr>
          <w:b/>
          <w:bCs/>
          <w:sz w:val="14"/>
          <w:szCs w:val="14"/>
        </w:rPr>
        <w:softHyphen/>
        <w:t>tváří se jakási zvláštní a společná hrdost, rovnající se hrdosti vojáků, kteří byli v první linii.</w:t>
      </w:r>
    </w:p>
    <w:p w:rsidR="00500724" w:rsidRDefault="00F30FB8">
      <w:pPr>
        <w:pStyle w:val="Zkladntext40"/>
        <w:shd w:val="clear" w:color="auto" w:fill="auto"/>
        <w:spacing w:after="0" w:line="300" w:lineRule="auto"/>
        <w:ind w:firstLine="240"/>
        <w:rPr>
          <w:sz w:val="14"/>
          <w:szCs w:val="14"/>
        </w:rPr>
      </w:pPr>
      <w:r>
        <w:rPr>
          <w:b/>
          <w:bCs/>
          <w:sz w:val="14"/>
          <w:szCs w:val="14"/>
        </w:rPr>
        <w:t>Ne, český tisk si nebude počínat tak, jako emigranti do Ruska nebo jako ti pisatelé, kteří se vyjadřují z beto</w:t>
      </w:r>
      <w:r>
        <w:rPr>
          <w:b/>
          <w:bCs/>
          <w:sz w:val="14"/>
          <w:szCs w:val="14"/>
        </w:rPr>
        <w:softHyphen/>
        <w:t>nového úkrytu své anonymity. A</w:t>
      </w:r>
      <w:r>
        <w:rPr>
          <w:b/>
          <w:bCs/>
          <w:sz w:val="14"/>
          <w:szCs w:val="14"/>
        </w:rPr>
        <w:t>čkoliv jsem zde na otázku odvahy již narazil, řeknu otevřeně, že to vše ne</w:t>
      </w:r>
      <w:r>
        <w:rPr>
          <w:b/>
          <w:bCs/>
          <w:sz w:val="14"/>
          <w:szCs w:val="14"/>
        </w:rPr>
        <w:softHyphen/>
        <w:t>pokládám za pouhou otázku odvahy, nýbrž především za otázku politického rozumu a úvahy , který směr jest za této situace českému národu nejprospěšnější. Výnos o Protektorátu poskytl</w:t>
      </w:r>
      <w:r>
        <w:rPr>
          <w:b/>
          <w:bCs/>
          <w:sz w:val="14"/>
          <w:szCs w:val="14"/>
        </w:rPr>
        <w:t xml:space="preserve"> nám legální základnu, na které se můžeme zastávati práv českého národa a udržovati tu posici, která nám zbyla pro všechny časy a pro všechny případy. Vědouce, jak český národ v devatenáctém sto</w:t>
      </w:r>
      <w:r>
        <w:rPr>
          <w:b/>
          <w:bCs/>
          <w:sz w:val="14"/>
          <w:szCs w:val="14"/>
        </w:rPr>
        <w:softHyphen/>
        <w:t>letí se povznesl zejména prací, nebudeme stále nervosně mícha</w:t>
      </w:r>
      <w:r>
        <w:rPr>
          <w:b/>
          <w:bCs/>
          <w:sz w:val="14"/>
          <w:szCs w:val="14"/>
        </w:rPr>
        <w:t xml:space="preserve">ti ony karty, na kterých jest namalován </w:t>
      </w:r>
      <w:r>
        <w:rPr>
          <w:b/>
          <w:bCs/>
          <w:sz w:val="14"/>
          <w:szCs w:val="14"/>
          <w:lang w:val="en-US" w:eastAsia="en-US" w:bidi="en-US"/>
        </w:rPr>
        <w:t xml:space="preserve">Chamber- lain, </w:t>
      </w:r>
      <w:r>
        <w:rPr>
          <w:b/>
          <w:bCs/>
          <w:sz w:val="14"/>
          <w:szCs w:val="14"/>
        </w:rPr>
        <w:t>Roosevelt, Stalin nebo Daladier, nýbrž budeme, jak nejlépe můžeme, pečovati o to, aby legální základna pro práci českého národa byla zachována a rozšiřována. Soutěžení mezi českým a německým národem po</w:t>
      </w:r>
      <w:r>
        <w:rPr>
          <w:b/>
          <w:bCs/>
          <w:sz w:val="14"/>
          <w:szCs w:val="14"/>
        </w:rPr>
        <w:t>stavíme nyní ne na závodní dráhu čisté politiky, kde, jak snadno jest vypozorovati, potkali bychom se s velkou přesilou, nýbrž na závodní dráhu hospodářské práce a kulturní tvořivosti, která základní statky národa zachová, i když ostatní formy jeho činnost</w:t>
      </w:r>
      <w:r>
        <w:rPr>
          <w:b/>
          <w:bCs/>
          <w:sz w:val="14"/>
          <w:szCs w:val="14"/>
        </w:rPr>
        <w:t>i byly ořezány. Budeme se vždy radovati, najdeme-li Čecha, jenž na svém místě dovede tak dobře nebo dokonce lépe pracovat než Ně</w:t>
      </w:r>
      <w:r>
        <w:rPr>
          <w:b/>
          <w:bCs/>
          <w:sz w:val="14"/>
          <w:szCs w:val="14"/>
        </w:rPr>
        <w:softHyphen/>
        <w:t>mec. I nejodvážnější mezi námi měli by nyní přijmouti tu zásadu, že větší pole pro vlastenectví je nyní v práci než v čistém po</w:t>
      </w:r>
      <w:r>
        <w:rPr>
          <w:b/>
          <w:bCs/>
          <w:sz w:val="14"/>
          <w:szCs w:val="14"/>
        </w:rPr>
        <w:t>litisování.</w:t>
      </w:r>
    </w:p>
    <w:p w:rsidR="00500724" w:rsidRDefault="00F30FB8">
      <w:pPr>
        <w:pStyle w:val="Zkladntext40"/>
        <w:shd w:val="clear" w:color="auto" w:fill="auto"/>
        <w:tabs>
          <w:tab w:val="left" w:pos="4963"/>
        </w:tabs>
        <w:spacing w:after="0" w:line="300" w:lineRule="auto"/>
        <w:ind w:firstLine="240"/>
        <w:rPr>
          <w:sz w:val="14"/>
          <w:szCs w:val="14"/>
        </w:rPr>
      </w:pPr>
      <w:r>
        <w:rPr>
          <w:b/>
          <w:bCs/>
          <w:sz w:val="14"/>
          <w:szCs w:val="14"/>
        </w:rPr>
        <w:t>Nebudeme vyvolávat půtky, ve kterých bychom snad</w:t>
      </w:r>
      <w:r>
        <w:rPr>
          <w:b/>
          <w:bCs/>
          <w:sz w:val="14"/>
          <w:szCs w:val="14"/>
        </w:rPr>
        <w:softHyphen/>
        <w:t>no mohli býti rozdrceni. Jak každý by měl vidět, po</w:t>
      </w:r>
      <w:r>
        <w:rPr>
          <w:b/>
          <w:bCs/>
          <w:sz w:val="14"/>
          <w:szCs w:val="14"/>
        </w:rPr>
        <w:softHyphen/>
        <w:t>slední zbraní, která nám zůstala v ruce, jsou zákonná privilegia v rámci Říše, vyplývající z výnosu o Protek</w:t>
      </w:r>
      <w:r>
        <w:rPr>
          <w:b/>
          <w:bCs/>
          <w:sz w:val="14"/>
          <w:szCs w:val="14"/>
        </w:rPr>
        <w:softHyphen/>
        <w:t>torátu. Je na nás, co jsme zde zůs</w:t>
      </w:r>
      <w:r>
        <w:rPr>
          <w:b/>
          <w:bCs/>
          <w:sz w:val="14"/>
          <w:szCs w:val="14"/>
        </w:rPr>
        <w:t xml:space="preserve">tali, abychom s tímto nástrojem dovedli zaeházeti co nejlépe, ponechávajíce jinak historii, která nás tolikrát zklamala, aby dělala, co umí. Nebudeme čekat, až nám někdo podstrčí trumf do rukávu; budeme co nejlépe hrát s kartami, které máme v ruce. Budeme </w:t>
      </w:r>
      <w:r>
        <w:rPr>
          <w:b/>
          <w:bCs/>
          <w:sz w:val="14"/>
          <w:szCs w:val="14"/>
        </w:rPr>
        <w:t>se především spoléhat na to, co umíme sami, ne na to, co snad dovedou jiní. Naší povin</w:t>
      </w:r>
      <w:r>
        <w:rPr>
          <w:b/>
          <w:bCs/>
          <w:sz w:val="14"/>
          <w:szCs w:val="14"/>
        </w:rPr>
        <w:softHyphen/>
        <w:t>ností jest tak se zařídit, abychom nezašli, ať se ve svě</w:t>
      </w:r>
      <w:r>
        <w:rPr>
          <w:b/>
          <w:bCs/>
          <w:sz w:val="14"/>
          <w:szCs w:val="14"/>
        </w:rPr>
        <w:softHyphen/>
        <w:t>tové loterii děje to, či ono.</w:t>
      </w:r>
      <w:r>
        <w:rPr>
          <w:b/>
          <w:bCs/>
          <w:sz w:val="14"/>
          <w:szCs w:val="14"/>
        </w:rPr>
        <w:tab/>
        <w:t>«</w:t>
      </w:r>
    </w:p>
    <w:p w:rsidR="00500724" w:rsidRDefault="00F30FB8">
      <w:pPr>
        <w:pStyle w:val="Zkladntext40"/>
        <w:shd w:val="clear" w:color="auto" w:fill="auto"/>
        <w:spacing w:after="0" w:line="290" w:lineRule="auto"/>
        <w:ind w:firstLine="240"/>
        <w:rPr>
          <w:sz w:val="14"/>
          <w:szCs w:val="14"/>
        </w:rPr>
      </w:pPr>
      <w:r>
        <w:rPr>
          <w:b/>
          <w:bCs/>
          <w:sz w:val="14"/>
          <w:szCs w:val="14"/>
        </w:rPr>
        <w:t>Proto jediným a přirozeným a národně prospěšným postojem pro český tisk je posta</w:t>
      </w:r>
      <w:r>
        <w:rPr>
          <w:b/>
          <w:bCs/>
          <w:sz w:val="14"/>
          <w:szCs w:val="14"/>
        </w:rPr>
        <w:t>vit se pevně na legální základnu a na ní bez velkých gest působit. Tak jako tak, zbude dosti místa pro osvědčování odvahy, jestliže ně</w:t>
      </w:r>
      <w:r>
        <w:rPr>
          <w:b/>
          <w:bCs/>
          <w:sz w:val="14"/>
          <w:szCs w:val="14"/>
        </w:rPr>
        <w:softHyphen/>
        <w:t>komu zejména na tom záleží. Neumím-li tuto věc lépe vysvětlit, jest vina na mně, ne na věci samé a nerad bych, aby pro mo</w:t>
      </w:r>
      <w:r>
        <w:rPr>
          <w:b/>
          <w:bCs/>
          <w:sz w:val="14"/>
          <w:szCs w:val="14"/>
        </w:rPr>
        <w:t>u neumělost trpěla hlavní dnes ná</w:t>
      </w:r>
      <w:r>
        <w:rPr>
          <w:b/>
          <w:bCs/>
          <w:sz w:val="14"/>
          <w:szCs w:val="14"/>
        </w:rPr>
        <w:softHyphen/>
        <w:t>rodní potřeba, jíž je nutno nalézti v zákonných mezích co největší možnosti působení.</w:t>
      </w:r>
    </w:p>
    <w:p w:rsidR="00500724" w:rsidRDefault="00F30FB8">
      <w:pPr>
        <w:pStyle w:val="Zkladntext40"/>
        <w:shd w:val="clear" w:color="auto" w:fill="auto"/>
        <w:spacing w:after="0" w:line="293" w:lineRule="auto"/>
        <w:ind w:firstLine="240"/>
        <w:rPr>
          <w:sz w:val="14"/>
          <w:szCs w:val="14"/>
        </w:rPr>
        <w:sectPr w:rsidR="00500724">
          <w:footnotePr>
            <w:numFmt w:val="chicago"/>
            <w:numRestart w:val="eachPage"/>
          </w:footnotePr>
          <w:type w:val="continuous"/>
          <w:pgSz w:w="11909" w:h="16834"/>
          <w:pgMar w:top="642" w:right="868" w:bottom="1031" w:left="658" w:header="0" w:footer="3" w:gutter="0"/>
          <w:cols w:num="2" w:space="140"/>
          <w:noEndnote/>
          <w:docGrid w:linePitch="360"/>
        </w:sectPr>
      </w:pPr>
      <w:r>
        <w:rPr>
          <w:b/>
          <w:bCs/>
          <w:sz w:val="14"/>
          <w:szCs w:val="14"/>
        </w:rPr>
        <w:t>V burcování českého národa sotva jest dnes hlavní úkol českého tisku. Tento národ žádného burcování ne</w:t>
      </w:r>
      <w:r>
        <w:rPr>
          <w:b/>
          <w:bCs/>
          <w:sz w:val="14"/>
          <w:szCs w:val="14"/>
        </w:rPr>
        <w:softHyphen/>
        <w:t>pot</w:t>
      </w:r>
      <w:r>
        <w:rPr>
          <w:b/>
          <w:bCs/>
          <w:sz w:val="14"/>
          <w:szCs w:val="14"/>
        </w:rPr>
        <w:t>řebuje. Český člověk ví naprosto přesně, jak má</w:t>
      </w:r>
    </w:p>
    <w:p w:rsidR="00500724" w:rsidRDefault="00F30FB8">
      <w:pPr>
        <w:pStyle w:val="Zkladntext40"/>
        <w:shd w:val="clear" w:color="auto" w:fill="auto"/>
        <w:spacing w:after="0" w:line="322" w:lineRule="auto"/>
        <w:jc w:val="left"/>
        <w:rPr>
          <w:sz w:val="14"/>
          <w:szCs w:val="14"/>
        </w:rPr>
      </w:pPr>
      <w:r>
        <w:rPr>
          <w:b/>
          <w:bCs/>
          <w:sz w:val="14"/>
          <w:szCs w:val="14"/>
        </w:rPr>
        <w:t>jnyslit a cítit, a jeho národní vědomí jest ve stavu vý</w:t>
      </w:r>
      <w:r>
        <w:rPr>
          <w:b/>
          <w:bCs/>
          <w:sz w:val="14"/>
          <w:szCs w:val="14"/>
        </w:rPr>
        <w:softHyphen/>
        <w:t xml:space="preserve">tečném. Není třeba zařizovat české noviny na vyrábění něčeho, co tu jest v takovém množství a takové jakosti, ako české národní vědomí. S kterýmikoliv </w:t>
      </w:r>
      <w:r>
        <w:rPr>
          <w:b/>
          <w:bCs/>
          <w:sz w:val="14"/>
          <w:szCs w:val="14"/>
        </w:rPr>
        <w:t>českými idmi jsem mluvil, na všecb bylo viděti, že nepotřebují národního burcování, jaké bývalo zvykem v letech osm</w:t>
      </w:r>
      <w:r>
        <w:rPr>
          <w:b/>
          <w:bCs/>
          <w:sz w:val="14"/>
          <w:szCs w:val="14"/>
        </w:rPr>
        <w:softHyphen/>
        <w:t>desátých.</w:t>
      </w:r>
    </w:p>
    <w:p w:rsidR="00500724" w:rsidRDefault="00F30FB8">
      <w:pPr>
        <w:pStyle w:val="Zkladntext40"/>
        <w:shd w:val="clear" w:color="auto" w:fill="auto"/>
        <w:spacing w:after="0" w:line="322" w:lineRule="auto"/>
        <w:ind w:firstLine="220"/>
        <w:rPr>
          <w:sz w:val="14"/>
          <w:szCs w:val="14"/>
        </w:rPr>
      </w:pPr>
      <w:r>
        <w:rPr>
          <w:b/>
          <w:bCs/>
          <w:sz w:val="14"/>
          <w:szCs w:val="14"/>
        </w:rPr>
        <w:t>Jest snad ještě třeba podotknouti pro ty, kteří toho sami nepochopili, že metody českého tisku v určitých .věcech samy sebou se mu</w:t>
      </w:r>
      <w:r>
        <w:rPr>
          <w:b/>
          <w:bCs/>
          <w:sz w:val="14"/>
          <w:szCs w:val="14"/>
        </w:rPr>
        <w:t>sily změnit. Co český politický tisk dříve dělal a co si čtenář od něho zvykl zejména přijímat, byla agitace. Mnoho plamenných výzev vy</w:t>
      </w:r>
      <w:r>
        <w:rPr>
          <w:b/>
          <w:bCs/>
          <w:sz w:val="14"/>
          <w:szCs w:val="14"/>
        </w:rPr>
        <w:softHyphen/>
        <w:t>cházelo zejména za tím účelem, aby ta nebo ona strana .vyhrála volby. Poněvadž nyní máme jedinou stranu a poněvadž voleb</w:t>
      </w:r>
      <w:r>
        <w:rPr>
          <w:b/>
          <w:bCs/>
          <w:sz w:val="14"/>
          <w:szCs w:val="14"/>
        </w:rPr>
        <w:t>ního zápasu už nebude, zmizel starý agi</w:t>
      </w:r>
      <w:r>
        <w:rPr>
          <w:b/>
          <w:bCs/>
          <w:sz w:val="14"/>
          <w:szCs w:val="14"/>
        </w:rPr>
        <w:softHyphen/>
        <w:t>tační tón z českých novin většinou sám sebou a to jest 'to, co některé lidi udivuje, jako zaráží ticho toho, kdo byl zvyklý na hluk.</w:t>
      </w:r>
    </w:p>
    <w:p w:rsidR="00500724" w:rsidRDefault="00F30FB8">
      <w:pPr>
        <w:pStyle w:val="Zkladntext40"/>
        <w:shd w:val="clear" w:color="auto" w:fill="auto"/>
        <w:spacing w:after="0" w:line="322" w:lineRule="auto"/>
        <w:ind w:firstLine="220"/>
        <w:rPr>
          <w:sz w:val="14"/>
          <w:szCs w:val="14"/>
        </w:rPr>
      </w:pPr>
      <w:r>
        <w:rPr>
          <w:b/>
          <w:bCs/>
          <w:sz w:val="14"/>
          <w:szCs w:val="14"/>
        </w:rPr>
        <w:t>Druhé potřebné podotknutí jest toho obsahu, že nyni mnohem méně věcí než dříve se b</w:t>
      </w:r>
      <w:r>
        <w:rPr>
          <w:b/>
          <w:bCs/>
          <w:sz w:val="14"/>
          <w:szCs w:val="14"/>
        </w:rPr>
        <w:t>ude vybojovávati ve</w:t>
      </w:r>
      <w:r>
        <w:rPr>
          <w:b/>
          <w:bCs/>
          <w:sz w:val="14"/>
          <w:szCs w:val="14"/>
        </w:rPr>
        <w:softHyphen/>
        <w:t>řejným bojem v novinách, jak v nynějším režimu ostatně jest samozřejmo. Jestliže některá otázka mezi 'dvěma národy jest příliš ohnivě projednávána v novi</w:t>
      </w:r>
      <w:r>
        <w:rPr>
          <w:b/>
          <w:bCs/>
          <w:sz w:val="14"/>
          <w:szCs w:val="14"/>
        </w:rPr>
        <w:softHyphen/>
        <w:t xml:space="preserve">nách, hrozí vždy nebezpečí, aby se z ní nestala otázka prestyžní, aby se nezdálo, </w:t>
      </w:r>
      <w:r>
        <w:rPr>
          <w:b/>
          <w:bCs/>
          <w:sz w:val="14"/>
          <w:szCs w:val="14"/>
        </w:rPr>
        <w:t>že jeden byl nucen povolit druhému, aby někdo z pouhé hrdosti se nestavěl na od</w:t>
      </w:r>
      <w:r>
        <w:rPr>
          <w:b/>
          <w:bCs/>
          <w:sz w:val="14"/>
          <w:szCs w:val="14"/>
        </w:rPr>
        <w:softHyphen/>
        <w:t>por. V politice bylo už natropeno mnoho škod jen proto, že veřejné projednávání nějaké věci postavilo do po</w:t>
      </w:r>
      <w:r>
        <w:rPr>
          <w:b/>
          <w:bCs/>
          <w:sz w:val="14"/>
          <w:szCs w:val="14"/>
        </w:rPr>
        <w:softHyphen/>
        <w:t>předí otázku prestyže obou stran. Poněvadž vždy nám půjde více o to,</w:t>
      </w:r>
      <w:r>
        <w:rPr>
          <w:b/>
          <w:bCs/>
          <w:sz w:val="14"/>
          <w:szCs w:val="14"/>
        </w:rPr>
        <w:t xml:space="preserve"> aby věc dobře dopadla, než o to, jakou formou se tak stane, je i možno, že se někdy zřekneme toho, aby některé naše národní usilování mělo svou obvyklou ozvěnu v novinách.</w:t>
      </w:r>
    </w:p>
    <w:p w:rsidR="00500724" w:rsidRDefault="00F30FB8">
      <w:pPr>
        <w:pStyle w:val="Zkladntext40"/>
        <w:shd w:val="clear" w:color="auto" w:fill="auto"/>
        <w:spacing w:after="160" w:line="322" w:lineRule="auto"/>
        <w:ind w:firstLine="220"/>
        <w:rPr>
          <w:sz w:val="14"/>
          <w:szCs w:val="14"/>
        </w:rPr>
      </w:pPr>
      <w:r>
        <w:rPr>
          <w:b/>
          <w:bCs/>
          <w:sz w:val="14"/>
          <w:szCs w:val="14"/>
        </w:rPr>
        <w:t>Netalentovaní čtenáři — nebof nejsou jen netalento</w:t>
      </w:r>
      <w:r>
        <w:rPr>
          <w:b/>
          <w:bCs/>
          <w:sz w:val="14"/>
          <w:szCs w:val="14"/>
        </w:rPr>
        <w:softHyphen/>
        <w:t>vaní novináři — budou pak zase p</w:t>
      </w:r>
      <w:r>
        <w:rPr>
          <w:b/>
          <w:bCs/>
          <w:sz w:val="14"/>
          <w:szCs w:val="14"/>
        </w:rPr>
        <w:t>sát stížnosti do redakcí. Ale to je třeba vydržet.</w:t>
      </w:r>
    </w:p>
    <w:p w:rsidR="00500724" w:rsidRDefault="00F30FB8">
      <w:pPr>
        <w:pStyle w:val="Zkladntext40"/>
        <w:shd w:val="clear" w:color="auto" w:fill="auto"/>
        <w:spacing w:after="0" w:line="300" w:lineRule="auto"/>
        <w:jc w:val="left"/>
      </w:pPr>
      <w:r>
        <w:rPr>
          <w:b/>
          <w:bCs/>
          <w:i/>
          <w:iCs/>
        </w:rPr>
        <w:t>Pavel Hofman:</w:t>
      </w:r>
    </w:p>
    <w:p w:rsidR="00500724" w:rsidRDefault="00F30FB8">
      <w:pPr>
        <w:pStyle w:val="Jin0"/>
        <w:shd w:val="clear" w:color="auto" w:fill="auto"/>
        <w:spacing w:after="80"/>
        <w:ind w:firstLine="0"/>
        <w:jc w:val="center"/>
        <w:rPr>
          <w:sz w:val="34"/>
          <w:szCs w:val="34"/>
        </w:rPr>
      </w:pPr>
      <w:r>
        <w:rPr>
          <w:b/>
          <w:bCs/>
          <w:sz w:val="34"/>
          <w:szCs w:val="34"/>
        </w:rPr>
        <w:t>Gibraltarský klíč</w:t>
      </w:r>
    </w:p>
    <w:p w:rsidR="00500724" w:rsidRDefault="00F30FB8">
      <w:pPr>
        <w:pStyle w:val="Zkladntext40"/>
        <w:shd w:val="clear" w:color="auto" w:fill="auto"/>
        <w:spacing w:after="0" w:line="319" w:lineRule="auto"/>
        <w:ind w:firstLine="220"/>
        <w:rPr>
          <w:sz w:val="14"/>
          <w:szCs w:val="14"/>
        </w:rPr>
      </w:pPr>
      <w:r>
        <w:rPr>
          <w:b/>
          <w:bCs/>
          <w:sz w:val="14"/>
          <w:szCs w:val="14"/>
        </w:rPr>
        <w:t>&gt;Dardanely se nyní otvírají jen anglickým klíčem* »— napsal teď kterýsi polský žurnalista po uzavření anglo-turecké smlouvy. Dardanelami vede cesta k ukra</w:t>
      </w:r>
      <w:r>
        <w:rPr>
          <w:b/>
          <w:bCs/>
          <w:sz w:val="14"/>
          <w:szCs w:val="14"/>
        </w:rPr>
        <w:softHyphen/>
        <w:t xml:space="preserve">jinské pšenici a </w:t>
      </w:r>
      <w:r>
        <w:rPr>
          <w:b/>
          <w:bCs/>
          <w:sz w:val="14"/>
          <w:szCs w:val="14"/>
        </w:rPr>
        <w:t>ke kavkazské naftě, zde leží propusť pro ruské černomořské loďstvo s jeho slušným počtem ponorek.</w:t>
      </w:r>
    </w:p>
    <w:p w:rsidR="00500724" w:rsidRDefault="00F30FB8">
      <w:pPr>
        <w:pStyle w:val="Zkladntext40"/>
        <w:shd w:val="clear" w:color="auto" w:fill="auto"/>
        <w:spacing w:after="0" w:line="319" w:lineRule="auto"/>
        <w:ind w:firstLine="220"/>
        <w:rPr>
          <w:sz w:val="14"/>
          <w:szCs w:val="14"/>
        </w:rPr>
      </w:pPr>
      <w:r>
        <w:rPr>
          <w:b/>
          <w:bCs/>
          <w:sz w:val="14"/>
          <w:szCs w:val="14"/>
          <w:lang w:val="en-US" w:eastAsia="en-US" w:bidi="en-US"/>
        </w:rPr>
        <w:t xml:space="preserve">Suez, </w:t>
      </w:r>
      <w:r>
        <w:rPr>
          <w:b/>
          <w:bCs/>
          <w:sz w:val="14"/>
          <w:szCs w:val="14"/>
        </w:rPr>
        <w:t xml:space="preserve">druhá brána Středozemního moře, je de </w:t>
      </w:r>
      <w:r>
        <w:rPr>
          <w:b/>
          <w:bCs/>
          <w:sz w:val="14"/>
          <w:szCs w:val="14"/>
          <w:lang w:val="en-US" w:eastAsia="en-US" w:bidi="en-US"/>
        </w:rPr>
        <w:t xml:space="preserve">jure </w:t>
      </w:r>
      <w:r>
        <w:rPr>
          <w:b/>
          <w:bCs/>
          <w:sz w:val="14"/>
          <w:szCs w:val="14"/>
        </w:rPr>
        <w:t xml:space="preserve">neustále otevřena pro každého v míru i ve válce; de </w:t>
      </w:r>
      <w:r>
        <w:rPr>
          <w:b/>
          <w:bCs/>
          <w:sz w:val="14"/>
          <w:szCs w:val="14"/>
          <w:lang w:val="en-US" w:eastAsia="en-US" w:bidi="en-US"/>
        </w:rPr>
        <w:t xml:space="preserve">facto </w:t>
      </w:r>
      <w:r>
        <w:rPr>
          <w:b/>
          <w:bCs/>
          <w:sz w:val="14"/>
          <w:szCs w:val="14"/>
        </w:rPr>
        <w:t>má k ní klíč rovněž Velká Britanie. Pro ni jde tudy</w:t>
      </w:r>
      <w:r>
        <w:rPr>
          <w:b/>
          <w:bCs/>
          <w:sz w:val="14"/>
          <w:szCs w:val="14"/>
        </w:rPr>
        <w:t xml:space="preserve"> cesta — ostatně ne jediná — do Indie, Austrálie a Číny; pro Itálii vede tudy prakticky jediné spojení s Erytreí a Habeši. Řím se tedy domáhá podílu na smoci klíčů* ,ve správní radě Suezského průplavu a jeho libyjská armáda nestojí jen na hranicích francou</w:t>
      </w:r>
      <w:r>
        <w:rPr>
          <w:b/>
          <w:bCs/>
          <w:sz w:val="14"/>
          <w:szCs w:val="14"/>
        </w:rPr>
        <w:t>zského Tunisu, nýbrž i na hranicích Egypta a na dosah Suezu — v Lon</w:t>
      </w:r>
      <w:r>
        <w:rPr>
          <w:b/>
          <w:bCs/>
          <w:sz w:val="14"/>
          <w:szCs w:val="14"/>
        </w:rPr>
        <w:softHyphen/>
        <w:t>dýně jsou si toho dobře vědomi.</w:t>
      </w:r>
    </w:p>
    <w:p w:rsidR="00500724" w:rsidRDefault="00F30FB8">
      <w:pPr>
        <w:pStyle w:val="Zkladntext40"/>
        <w:shd w:val="clear" w:color="auto" w:fill="auto"/>
        <w:spacing w:after="80" w:line="319" w:lineRule="auto"/>
        <w:ind w:firstLine="220"/>
        <w:rPr>
          <w:sz w:val="14"/>
          <w:szCs w:val="14"/>
        </w:rPr>
      </w:pPr>
      <w:r>
        <w:rPr>
          <w:b/>
          <w:bCs/>
          <w:sz w:val="14"/>
          <w:szCs w:val="14"/>
        </w:rPr>
        <w:t>Třetí zámek Středomoří otvírá a zavírá gibraltarský klíč. Kdo jím vládne, vládne přístupem k svobodnému oceánu, kde je možno zkřížit všechny světové cesty a</w:t>
      </w:r>
      <w:r>
        <w:rPr>
          <w:b/>
          <w:bCs/>
          <w:sz w:val="14"/>
          <w:szCs w:val="14"/>
        </w:rPr>
        <w:t xml:space="preserve"> ohrozit všechna světová pobřeží; patří k bráně, jež může dovolit nebo zamezit spojení válečných loďstev evrop</w:t>
      </w:r>
      <w:r>
        <w:rPr>
          <w:b/>
          <w:bCs/>
          <w:sz w:val="14"/>
          <w:szCs w:val="14"/>
        </w:rPr>
        <w:softHyphen/>
        <w:t>ského severu a evropského jihu. Právě tento její význam byl nedávno zdůrazněn návštěvou německé flotily ve Španělských vodách i soustředěním brit</w:t>
      </w:r>
      <w:r>
        <w:rPr>
          <w:b/>
          <w:bCs/>
          <w:sz w:val="14"/>
          <w:szCs w:val="14"/>
        </w:rPr>
        <w:t>ských a fran</w:t>
      </w:r>
      <w:r>
        <w:rPr>
          <w:b/>
          <w:bCs/>
          <w:sz w:val="14"/>
          <w:szCs w:val="14"/>
        </w:rPr>
        <w:softHyphen/>
        <w:t>couzských námořních jednotek v gibraltarském pří</w:t>
      </w:r>
      <w:r>
        <w:rPr>
          <w:b/>
          <w:bCs/>
          <w:sz w:val="14"/>
          <w:szCs w:val="14"/>
        </w:rPr>
        <w:softHyphen/>
      </w:r>
    </w:p>
    <w:p w:rsidR="00500724" w:rsidRDefault="00F30FB8">
      <w:pPr>
        <w:pStyle w:val="Zkladntext40"/>
        <w:shd w:val="clear" w:color="auto" w:fill="auto"/>
        <w:spacing w:after="0" w:line="314" w:lineRule="auto"/>
        <w:ind w:right="240"/>
        <w:rPr>
          <w:sz w:val="14"/>
          <w:szCs w:val="14"/>
        </w:rPr>
      </w:pPr>
      <w:r>
        <w:rPr>
          <w:b/>
          <w:bCs/>
          <w:sz w:val="14"/>
          <w:szCs w:val="14"/>
        </w:rPr>
        <w:t>stavu. A není tomu tak dávno, co se v dolní sněmovní strhl poplach na první zprávy o dalekonosných bate</w:t>
      </w:r>
      <w:r>
        <w:rPr>
          <w:b/>
          <w:bCs/>
          <w:sz w:val="14"/>
          <w:szCs w:val="14"/>
        </w:rPr>
        <w:softHyphen/>
        <w:t>riích nešpanělského původu, umístěných v Ceutě, Alge- cirasu, na Punto Carnero a za La Li</w:t>
      </w:r>
      <w:r>
        <w:rPr>
          <w:b/>
          <w:bCs/>
          <w:sz w:val="14"/>
          <w:szCs w:val="14"/>
        </w:rPr>
        <w:t>neou — všude na dostřel gibraltarské skály. Britská admiralita, v mlčení dokonalá sfinx, neřekla tehdy ani slova; ale na Gibral</w:t>
      </w:r>
      <w:r>
        <w:rPr>
          <w:b/>
          <w:bCs/>
          <w:sz w:val="14"/>
          <w:szCs w:val="14"/>
        </w:rPr>
        <w:softHyphen/>
        <w:t xml:space="preserve">tar byl vypraven </w:t>
      </w:r>
      <w:r>
        <w:rPr>
          <w:b/>
          <w:bCs/>
          <w:sz w:val="14"/>
          <w:szCs w:val="14"/>
          <w:lang w:val="en-US" w:eastAsia="en-US" w:bidi="en-US"/>
        </w:rPr>
        <w:t xml:space="preserve">lord Ironside </w:t>
      </w:r>
      <w:r>
        <w:rPr>
          <w:b/>
          <w:bCs/>
          <w:sz w:val="14"/>
          <w:szCs w:val="14"/>
        </w:rPr>
        <w:t>jako nový velitel, po</w:t>
      </w:r>
      <w:r>
        <w:rPr>
          <w:b/>
          <w:bCs/>
          <w:sz w:val="14"/>
          <w:szCs w:val="14"/>
        </w:rPr>
        <w:softHyphen/>
        <w:t>věřený novými úkoly.</w:t>
      </w:r>
    </w:p>
    <w:p w:rsidR="00500724" w:rsidRDefault="00F30FB8">
      <w:pPr>
        <w:pStyle w:val="Zkladntext40"/>
        <w:shd w:val="clear" w:color="auto" w:fill="auto"/>
        <w:spacing w:after="0" w:line="314" w:lineRule="auto"/>
        <w:ind w:right="240" w:firstLine="200"/>
        <w:rPr>
          <w:sz w:val="14"/>
          <w:szCs w:val="14"/>
        </w:rPr>
      </w:pPr>
      <w:r>
        <w:rPr>
          <w:b/>
          <w:bCs/>
          <w:sz w:val="14"/>
          <w:szCs w:val="14"/>
        </w:rPr>
        <w:t>Od té doby se na Gibraltaru mnoho změnilo. Přede</w:t>
      </w:r>
      <w:r>
        <w:rPr>
          <w:b/>
          <w:bCs/>
          <w:sz w:val="14"/>
          <w:szCs w:val="14"/>
        </w:rPr>
        <w:softHyphen/>
        <w:t xml:space="preserve">vším </w:t>
      </w:r>
      <w:r>
        <w:rPr>
          <w:b/>
          <w:bCs/>
          <w:sz w:val="14"/>
          <w:szCs w:val="14"/>
        </w:rPr>
        <w:t>utichl turistický ruch — lépe řečeno, byl zastaven: k »turistům&lt; je nyní nedůvěra po celé Evropě. Tak zva</w:t>
      </w:r>
      <w:r>
        <w:rPr>
          <w:b/>
          <w:bCs/>
          <w:sz w:val="14"/>
          <w:szCs w:val="14"/>
        </w:rPr>
        <w:softHyphen/>
        <w:t>ná »Střední galerie*, chodby, vytesané vysoko ve skále už v 18. století, bývala ve všech Baedeckrech označena třemi hvězdičkami jako něco, co &gt;se musí</w:t>
      </w:r>
      <w:r>
        <w:rPr>
          <w:b/>
          <w:bCs/>
          <w:sz w:val="14"/>
          <w:szCs w:val="14"/>
        </w:rPr>
        <w:t xml:space="preserve"> vidět*; nový velitel ji dal okamžitě uzavřít pro zvědavé návštěvníky a nastěhoval do ní znovu vojáky.</w:t>
      </w:r>
    </w:p>
    <w:p w:rsidR="00500724" w:rsidRDefault="00F30FB8">
      <w:pPr>
        <w:pStyle w:val="Zkladntext40"/>
        <w:shd w:val="clear" w:color="auto" w:fill="auto"/>
        <w:spacing w:after="0" w:line="314" w:lineRule="auto"/>
        <w:ind w:right="240" w:firstLine="200"/>
        <w:rPr>
          <w:sz w:val="14"/>
          <w:szCs w:val="14"/>
        </w:rPr>
      </w:pPr>
      <w:r>
        <w:rPr>
          <w:b/>
          <w:bCs/>
          <w:sz w:val="14"/>
          <w:szCs w:val="14"/>
        </w:rPr>
        <w:t>Ruch turistický byl vystřídán ruchem pracovním. Ve dne v noci, ve všední den i ve svátek se z přístavu ozývá hlomoz beranů a jeřábů: lodní doky se rozšiř</w:t>
      </w:r>
      <w:r>
        <w:rPr>
          <w:b/>
          <w:bCs/>
          <w:sz w:val="14"/>
          <w:szCs w:val="14"/>
        </w:rPr>
        <w:t>ují tak, aby v nich mohly být v případě potřeby prováděny najednou opravy celého malého loďstva. Skála duní ozvěnami výbuchů dynamitových patron, trhajících její boky pro stále nové a nové kryty. Do pracovního procesu je vtažena téměř polovina dvacetitisíc</w:t>
      </w:r>
      <w:r>
        <w:rPr>
          <w:b/>
          <w:bCs/>
          <w:sz w:val="14"/>
          <w:szCs w:val="14"/>
        </w:rPr>
        <w:t>ového obyvatelstva Gibraltaru, tisíce dělníků ze španělské La Liney se tu střídají ve třech směnách, trestanecká kolo</w:t>
      </w:r>
      <w:r>
        <w:rPr>
          <w:b/>
          <w:bCs/>
          <w:sz w:val="14"/>
          <w:szCs w:val="14"/>
        </w:rPr>
        <w:softHyphen/>
        <w:t xml:space="preserve">nie nemá chvíli oddechu při plnění tisíců pytlů pískem. Pracovní tempo je horečné — neboť důstojníci lorda Ironsidea mohou s výše Střední </w:t>
      </w:r>
      <w:r>
        <w:rPr>
          <w:b/>
          <w:bCs/>
          <w:sz w:val="14"/>
          <w:szCs w:val="14"/>
        </w:rPr>
        <w:t>galerie pozorovat svými triedry stejně horečné hemžení na svazích Sierry Car- bonery, kde rostou nové silnice, o jejichž významu není V Gibraltaru nikdo na pochybách.</w:t>
      </w:r>
    </w:p>
    <w:p w:rsidR="00500724" w:rsidRDefault="00F30FB8">
      <w:pPr>
        <w:pStyle w:val="Zkladntext40"/>
        <w:shd w:val="clear" w:color="auto" w:fill="auto"/>
        <w:spacing w:after="220" w:line="314" w:lineRule="auto"/>
        <w:ind w:right="240" w:firstLine="200"/>
        <w:rPr>
          <w:sz w:val="14"/>
          <w:szCs w:val="14"/>
        </w:rPr>
      </w:pPr>
      <w:r>
        <w:rPr>
          <w:b/>
          <w:bCs/>
          <w:sz w:val="14"/>
          <w:szCs w:val="14"/>
        </w:rPr>
        <w:t>K pluku pevnostního dělostřelectva a ke třem pra</w:t>
      </w:r>
      <w:r>
        <w:rPr>
          <w:b/>
          <w:bCs/>
          <w:sz w:val="14"/>
          <w:szCs w:val="14"/>
        </w:rPr>
        <w:softHyphen/>
        <w:t>porům pěchoty přibyl v minulých dnech el</w:t>
      </w:r>
      <w:r>
        <w:rPr>
          <w:b/>
          <w:bCs/>
          <w:sz w:val="14"/>
          <w:szCs w:val="14"/>
        </w:rPr>
        <w:t>itní prapor waleské gardy a další posily čekají jen na zprávu, že jsou pro ně připraveny ubikace. Zdá se, že brzy bude dosaženo maxima posádky, jež se vůbec může směstnat na tom minimu půdy, které tvoří britskou korunní ko</w:t>
      </w:r>
      <w:r>
        <w:rPr>
          <w:b/>
          <w:bCs/>
          <w:sz w:val="14"/>
          <w:szCs w:val="14"/>
        </w:rPr>
        <w:softHyphen/>
        <w:t>lonii Gibraltar: bude pak dosažen</w:t>
      </w:r>
      <w:r>
        <w:rPr>
          <w:b/>
          <w:bCs/>
          <w:sz w:val="14"/>
          <w:szCs w:val="14"/>
        </w:rPr>
        <w:t>o maxima její bez</w:t>
      </w:r>
      <w:r>
        <w:rPr>
          <w:b/>
          <w:bCs/>
          <w:sz w:val="14"/>
          <w:szCs w:val="14"/>
        </w:rPr>
        <w:softHyphen/>
        <w:t>pečnosti?</w:t>
      </w:r>
    </w:p>
    <w:p w:rsidR="00500724" w:rsidRDefault="00F30FB8">
      <w:pPr>
        <w:pStyle w:val="Zkladntext40"/>
        <w:shd w:val="clear" w:color="auto" w:fill="auto"/>
        <w:spacing w:after="0" w:line="290" w:lineRule="auto"/>
        <w:ind w:right="240" w:firstLine="200"/>
        <w:rPr>
          <w:sz w:val="14"/>
          <w:szCs w:val="14"/>
        </w:rPr>
      </w:pPr>
      <w:r>
        <w:rPr>
          <w:b/>
          <w:bCs/>
          <w:sz w:val="14"/>
          <w:szCs w:val="14"/>
        </w:rPr>
        <w:t>Nedobytnost Gibraltaru se v posledních dvou letech stala problematickou. Dlouho měl právem pověst ne</w:t>
      </w:r>
      <w:r>
        <w:rPr>
          <w:b/>
          <w:bCs/>
          <w:sz w:val="14"/>
          <w:szCs w:val="14"/>
        </w:rPr>
        <w:softHyphen/>
        <w:t xml:space="preserve">dobytné pevnosti. Od té doby, co na něm vystavěl maur- ský vojevůdce </w:t>
      </w:r>
      <w:r>
        <w:rPr>
          <w:b/>
          <w:bCs/>
          <w:sz w:val="14"/>
          <w:szCs w:val="14"/>
          <w:lang w:val="en-US" w:eastAsia="en-US" w:bidi="en-US"/>
        </w:rPr>
        <w:t xml:space="preserve">Tariq </w:t>
      </w:r>
      <w:r>
        <w:rPr>
          <w:b/>
          <w:bCs/>
          <w:sz w:val="14"/>
          <w:szCs w:val="14"/>
        </w:rPr>
        <w:t>první tvrz, byla sice jeho skála dvakrát ztečena Špa</w:t>
      </w:r>
      <w:r>
        <w:rPr>
          <w:b/>
          <w:bCs/>
          <w:sz w:val="14"/>
          <w:szCs w:val="14"/>
        </w:rPr>
        <w:t>něly a dvakrát Maury, avšak an</w:t>
      </w:r>
      <w:r>
        <w:rPr>
          <w:b/>
          <w:bCs/>
          <w:sz w:val="14"/>
          <w:szCs w:val="14"/>
        </w:rPr>
        <w:softHyphen/>
        <w:t>glická vlajka, vztýčená tu v r. 1704, nebyla nikdy sta</w:t>
      </w:r>
      <w:r>
        <w:rPr>
          <w:b/>
          <w:bCs/>
          <w:sz w:val="14"/>
          <w:szCs w:val="14"/>
        </w:rPr>
        <w:softHyphen/>
        <w:t>žena vítězným nepřítelem. Několikrát byl o to učiněn okus, nejznámější z nich v letech 1779—83 při oblé- ání, které je snad nejslavnější v dějinách novověkého válečnictví</w:t>
      </w:r>
      <w:r>
        <w:rPr>
          <w:b/>
          <w:bCs/>
          <w:sz w:val="14"/>
          <w:szCs w:val="14"/>
        </w:rPr>
        <w:t>. Tenkrát tu proti lordu Heathfieldovi řídili válečné operace francouzští technici a Španělsko stálo v táboře nepřátel Velké Britanie. Jeho základny ve Vnitrozemí i na pobřeží byly k disposici útočníkům. U La Liney byla šíje gibraltarského poloostrůvku pře</w:t>
      </w:r>
      <w:r>
        <w:rPr>
          <w:b/>
          <w:bCs/>
          <w:sz w:val="14"/>
          <w:szCs w:val="14"/>
        </w:rPr>
        <w:t>ťata šancemi a zákopy, odkud mohly francouzsko-španělské baterie zasypávat svými střelami přístav i pevnost.</w:t>
      </w:r>
    </w:p>
    <w:p w:rsidR="00500724" w:rsidRDefault="00F30FB8">
      <w:pPr>
        <w:pStyle w:val="Zkladntext40"/>
        <w:shd w:val="clear" w:color="auto" w:fill="auto"/>
        <w:spacing w:after="0" w:line="290" w:lineRule="auto"/>
        <w:rPr>
          <w:sz w:val="14"/>
          <w:szCs w:val="14"/>
        </w:rPr>
      </w:pPr>
      <w:r>
        <w:rPr>
          <w:b/>
          <w:bCs/>
          <w:sz w:val="14"/>
          <w:szCs w:val="14"/>
        </w:rPr>
        <w:t>Z protějšího Algecirasu vyplula jednoho dne celé flotila</w:t>
      </w:r>
    </w:p>
    <w:p w:rsidR="00500724" w:rsidRDefault="00F30FB8">
      <w:pPr>
        <w:pStyle w:val="Zkladntext40"/>
        <w:shd w:val="clear" w:color="auto" w:fill="auto"/>
        <w:spacing w:after="0" w:line="290" w:lineRule="auto"/>
        <w:jc w:val="left"/>
        <w:rPr>
          <w:sz w:val="14"/>
          <w:szCs w:val="14"/>
        </w:rPr>
      </w:pPr>
      <w:r>
        <w:rPr>
          <w:b/>
          <w:bCs/>
          <w:sz w:val="14"/>
          <w:szCs w:val="14"/>
        </w:rPr>
        <w:t>lodí, zbudovaných speciálně k tomu, aby zničila deštěm » zápalných pum všechna povrchová o</w:t>
      </w:r>
      <w:r>
        <w:rPr>
          <w:b/>
          <w:bCs/>
          <w:sz w:val="14"/>
          <w:szCs w:val="14"/>
        </w:rPr>
        <w:t>pevnění Angli</w:t>
      </w:r>
      <w:r>
        <w:rPr>
          <w:b/>
          <w:bCs/>
          <w:sz w:val="14"/>
          <w:szCs w:val="14"/>
        </w:rPr>
        <w:softHyphen/>
        <w:t>čanů. Lord Heathfield odrážel s napětím všech sil úto</w:t>
      </w:r>
      <w:r>
        <w:rPr>
          <w:b/>
          <w:bCs/>
          <w:sz w:val="14"/>
          <w:szCs w:val="14"/>
        </w:rPr>
        <w:softHyphen/>
        <w:t>ky, jejichž prudkost rostla po dlouhé čtyři roky — a Gibraltar vydržel.</w:t>
      </w:r>
    </w:p>
    <w:p w:rsidR="00500724" w:rsidRDefault="00F30FB8">
      <w:pPr>
        <w:pStyle w:val="Zkladntext40"/>
        <w:shd w:val="clear" w:color="auto" w:fill="auto"/>
        <w:spacing w:after="120" w:line="334" w:lineRule="auto"/>
        <w:ind w:right="220" w:firstLine="200"/>
        <w:rPr>
          <w:sz w:val="20"/>
          <w:szCs w:val="20"/>
        </w:rPr>
      </w:pPr>
      <w:r>
        <w:rPr>
          <w:b/>
          <w:bCs/>
          <w:sz w:val="14"/>
          <w:szCs w:val="14"/>
        </w:rPr>
        <w:t>Ale tenkrát ještě nebylo děl, která by mohla dostřelit pa gibraltarskou skálu až z Algecirasu, o marocké Ceutě ani n</w:t>
      </w:r>
      <w:r>
        <w:rPr>
          <w:b/>
          <w:bCs/>
          <w:sz w:val="14"/>
          <w:szCs w:val="14"/>
        </w:rPr>
        <w:t>emluvě; a letecký útok nebyl ještě ani přízrakem utopistických fantasií. Dnes může být na Gibraltar sou</w:t>
      </w:r>
      <w:r>
        <w:rPr>
          <w:b/>
          <w:bCs/>
          <w:sz w:val="14"/>
          <w:szCs w:val="14"/>
        </w:rPr>
        <w:softHyphen/>
        <w:t xml:space="preserve">středěna dělostřelecká palba z celého půlkruhu pahorků </w:t>
      </w:r>
      <w:r>
        <w:rPr>
          <w:rFonts w:ascii="Arial" w:eastAsia="Arial" w:hAnsi="Arial" w:cs="Arial"/>
          <w:i/>
          <w:iCs/>
          <w:sz w:val="20"/>
          <w:szCs w:val="20"/>
        </w:rPr>
        <w:t>887</w:t>
      </w:r>
    </w:p>
    <w:p w:rsidR="00500724" w:rsidRDefault="00F30FB8">
      <w:pPr>
        <w:pStyle w:val="Zkladntext40"/>
        <w:shd w:val="clear" w:color="auto" w:fill="auto"/>
        <w:spacing w:after="0" w:line="290" w:lineRule="auto"/>
        <w:rPr>
          <w:sz w:val="14"/>
          <w:szCs w:val="14"/>
        </w:rPr>
      </w:pPr>
      <w:r>
        <w:rPr>
          <w:b/>
          <w:bCs/>
          <w:sz w:val="14"/>
          <w:szCs w:val="14"/>
        </w:rPr>
        <w:t xml:space="preserve">od </w:t>
      </w:r>
      <w:r>
        <w:rPr>
          <w:b/>
          <w:bCs/>
          <w:sz w:val="14"/>
          <w:szCs w:val="14"/>
          <w:lang w:val="en-US" w:eastAsia="en-US" w:bidi="en-US"/>
        </w:rPr>
        <w:t xml:space="preserve">Punta Camera </w:t>
      </w:r>
      <w:r>
        <w:rPr>
          <w:b/>
          <w:bCs/>
          <w:sz w:val="14"/>
          <w:szCs w:val="14"/>
        </w:rPr>
        <w:t xml:space="preserve">přes </w:t>
      </w:r>
      <w:r>
        <w:rPr>
          <w:b/>
          <w:bCs/>
          <w:sz w:val="14"/>
          <w:szCs w:val="14"/>
          <w:lang w:val="en-US" w:eastAsia="en-US" w:bidi="en-US"/>
        </w:rPr>
        <w:t xml:space="preserve">Algeciras </w:t>
      </w:r>
      <w:r>
        <w:rPr>
          <w:b/>
          <w:bCs/>
          <w:sz w:val="14"/>
          <w:szCs w:val="14"/>
        </w:rPr>
        <w:t xml:space="preserve">až </w:t>
      </w:r>
      <w:r>
        <w:rPr>
          <w:b/>
          <w:bCs/>
          <w:sz w:val="14"/>
          <w:szCs w:val="14"/>
          <w:lang w:val="en-US" w:eastAsia="en-US" w:bidi="en-US"/>
        </w:rPr>
        <w:t xml:space="preserve">k </w:t>
      </w:r>
      <w:r>
        <w:rPr>
          <w:b/>
          <w:bCs/>
          <w:sz w:val="14"/>
          <w:szCs w:val="14"/>
        </w:rPr>
        <w:t>pobřeží na vý</w:t>
      </w:r>
      <w:r>
        <w:rPr>
          <w:b/>
          <w:bCs/>
          <w:sz w:val="14"/>
          <w:szCs w:val="14"/>
        </w:rPr>
        <w:softHyphen/>
        <w:t xml:space="preserve">chod od San </w:t>
      </w:r>
      <w:r>
        <w:rPr>
          <w:b/>
          <w:bCs/>
          <w:sz w:val="14"/>
          <w:szCs w:val="14"/>
          <w:lang w:val="en-US" w:eastAsia="en-US" w:bidi="en-US"/>
        </w:rPr>
        <w:t xml:space="preserve">Roque </w:t>
      </w:r>
      <w:r>
        <w:rPr>
          <w:b/>
          <w:bCs/>
          <w:sz w:val="14"/>
          <w:szCs w:val="14"/>
        </w:rPr>
        <w:t xml:space="preserve">a čtyřiceticentimetrové </w:t>
      </w:r>
      <w:r>
        <w:rPr>
          <w:b/>
          <w:bCs/>
          <w:sz w:val="14"/>
          <w:szCs w:val="14"/>
        </w:rPr>
        <w:t>granáty hmoždířů, zapuštěných do betonu palebných posic na marockém břehu, jsou v kterémkoliv okamžiku připra</w:t>
      </w:r>
      <w:r>
        <w:rPr>
          <w:b/>
          <w:bCs/>
          <w:sz w:val="14"/>
          <w:szCs w:val="14"/>
        </w:rPr>
        <w:softHyphen/>
        <w:t>veny ke střelbě. Objekty, jež by snad byly ukryty před dosahem děl, jsou dobrým terčem leteckých pum.</w:t>
      </w:r>
    </w:p>
    <w:p w:rsidR="00500724" w:rsidRDefault="00F30FB8">
      <w:pPr>
        <w:pStyle w:val="Zkladntext40"/>
        <w:shd w:val="clear" w:color="auto" w:fill="auto"/>
        <w:spacing w:after="0" w:line="286" w:lineRule="auto"/>
        <w:ind w:firstLine="240"/>
        <w:rPr>
          <w:sz w:val="14"/>
          <w:szCs w:val="14"/>
        </w:rPr>
      </w:pPr>
      <w:r>
        <w:rPr>
          <w:b/>
          <w:bCs/>
          <w:sz w:val="14"/>
          <w:szCs w:val="14"/>
          <w:lang w:val="en-US" w:eastAsia="en-US" w:bidi="en-US"/>
        </w:rPr>
        <w:t xml:space="preserve">Lord Ironside </w:t>
      </w:r>
      <w:r>
        <w:rPr>
          <w:b/>
          <w:bCs/>
          <w:sz w:val="14"/>
          <w:szCs w:val="14"/>
        </w:rPr>
        <w:t>je však přesvědčen, že by mohl</w:t>
      </w:r>
      <w:r>
        <w:rPr>
          <w:b/>
          <w:bCs/>
          <w:sz w:val="14"/>
          <w:szCs w:val="14"/>
        </w:rPr>
        <w:t xml:space="preserve"> udržet Gibraltar proti všem útokům a proti každému obležení. V hlubinách skály dává připravit deset obrovských krytů, z nichž každý může pojmout ÍOOO až 1500 lidí. První </w:t>
      </w:r>
      <w:r>
        <w:rPr>
          <w:b/>
          <w:bCs/>
          <w:sz w:val="16"/>
          <w:szCs w:val="16"/>
        </w:rPr>
        <w:t xml:space="preserve">z </w:t>
      </w:r>
      <w:r>
        <w:rPr>
          <w:b/>
          <w:bCs/>
          <w:sz w:val="14"/>
          <w:szCs w:val="14"/>
        </w:rPr>
        <w:t>nich je už hotov, ostatní budou ukončeny počát</w:t>
      </w:r>
      <w:r>
        <w:rPr>
          <w:b/>
          <w:bCs/>
          <w:sz w:val="14"/>
          <w:szCs w:val="14"/>
        </w:rPr>
        <w:softHyphen/>
        <w:t xml:space="preserve">kem července; celkový náklad jejich </w:t>
      </w:r>
      <w:r>
        <w:rPr>
          <w:b/>
          <w:bCs/>
          <w:sz w:val="14"/>
          <w:szCs w:val="14"/>
        </w:rPr>
        <w:t>stavby činí přes 10 milionů K. Jsou vyhloubeny na samém úpatí skály, aby je mohlo obyvatelstvo co nejrychleji dosáhnout, pro</w:t>
      </w:r>
      <w:r>
        <w:rPr>
          <w:b/>
          <w:bCs/>
          <w:sz w:val="14"/>
          <w:szCs w:val="14"/>
        </w:rPr>
        <w:softHyphen/>
        <w:t>tože nepřátelské letecké základny jsou tak blízko, že varovné signály mohou zaznít teprve v posledním oka</w:t>
      </w:r>
      <w:r>
        <w:rPr>
          <w:b/>
          <w:bCs/>
          <w:sz w:val="14"/>
          <w:szCs w:val="14"/>
        </w:rPr>
        <w:softHyphen/>
        <w:t>mžiku před příletem bomba</w:t>
      </w:r>
      <w:r>
        <w:rPr>
          <w:b/>
          <w:bCs/>
          <w:sz w:val="14"/>
          <w:szCs w:val="14"/>
        </w:rPr>
        <w:t>rdovacích strojů. Kryty mají elektrické osvětlení, lazaret, protiplynovou ochranu a dostatek pitné vody.</w:t>
      </w:r>
    </w:p>
    <w:p w:rsidR="00500724" w:rsidRDefault="00F30FB8">
      <w:pPr>
        <w:pStyle w:val="Zkladntext40"/>
        <w:shd w:val="clear" w:color="auto" w:fill="auto"/>
        <w:spacing w:after="0" w:line="286" w:lineRule="auto"/>
        <w:ind w:firstLine="240"/>
        <w:rPr>
          <w:sz w:val="14"/>
          <w:szCs w:val="14"/>
        </w:rPr>
      </w:pPr>
      <w:r>
        <w:rPr>
          <w:b/>
          <w:bCs/>
          <w:sz w:val="14"/>
          <w:szCs w:val="14"/>
        </w:rPr>
        <w:t>Ta je na Gibraltaru problémem-pro sebe. Její zásoby se zachycují do devíti podzemních cisteren, dostatečně chráněných před nejtěžšími pumami i před vni</w:t>
      </w:r>
      <w:r>
        <w:rPr>
          <w:b/>
          <w:bCs/>
          <w:sz w:val="14"/>
          <w:szCs w:val="14"/>
        </w:rPr>
        <w:t>knutím otravných plynů; desátá cisterna se ještě buduje. Dnes je v nich už naschráněno na 140 milionů galonů pitné vody. Velitelství pevnosti bylo letos značně znepoko</w:t>
      </w:r>
      <w:r>
        <w:rPr>
          <w:b/>
          <w:bCs/>
          <w:sz w:val="14"/>
          <w:szCs w:val="14"/>
        </w:rPr>
        <w:softHyphen/>
        <w:t>jeno nedostatkem dešťů; kdežto normálním ročním prů</w:t>
      </w:r>
      <w:r>
        <w:rPr>
          <w:b/>
          <w:bCs/>
          <w:sz w:val="14"/>
          <w:szCs w:val="14"/>
        </w:rPr>
        <w:softHyphen/>
        <w:t>měrem srážek je 35 palců, napršelo v</w:t>
      </w:r>
      <w:r>
        <w:rPr>
          <w:b/>
          <w:bCs/>
          <w:sz w:val="14"/>
          <w:szCs w:val="14"/>
        </w:rPr>
        <w:t xml:space="preserve"> letošní době dešťů jen 12 palců.</w:t>
      </w:r>
    </w:p>
    <w:p w:rsidR="00500724" w:rsidRDefault="00F30FB8">
      <w:pPr>
        <w:pStyle w:val="Zkladntext40"/>
        <w:shd w:val="clear" w:color="auto" w:fill="auto"/>
        <w:spacing w:after="0" w:line="286" w:lineRule="auto"/>
        <w:ind w:firstLine="240"/>
        <w:rPr>
          <w:sz w:val="14"/>
          <w:szCs w:val="14"/>
        </w:rPr>
      </w:pPr>
      <w:r>
        <w:rPr>
          <w:b/>
          <w:bCs/>
          <w:sz w:val="14"/>
          <w:szCs w:val="14"/>
        </w:rPr>
        <w:t>Defensivní opatření bez prostředků aktivní obrany by musela zůstat téměř neúčinná. Prostředky aktivní obrany, jež má dnes Gibraltar k disposici, jsou ve své kvalitě i kvantitě tajemstvím britské admirality. Ví se jen, že t</w:t>
      </w:r>
      <w:r>
        <w:rPr>
          <w:b/>
          <w:bCs/>
          <w:sz w:val="14"/>
          <w:szCs w:val="14"/>
        </w:rPr>
        <w:t>u byly umístěny baterie protileteckých děl po</w:t>
      </w:r>
      <w:r>
        <w:rPr>
          <w:b/>
          <w:bCs/>
          <w:sz w:val="14"/>
          <w:szCs w:val="14"/>
        </w:rPr>
        <w:softHyphen/>
        <w:t xml:space="preserve">sledního typu a že tu má být soustředěna flotila proti- ponorkových lodí, jež jsou už ve stavbě a od nichž se v Anglií očekává, že úplně změní podmínky ponorkové války. Nashromážděné zásoby střeliva a potravin </w:t>
      </w:r>
      <w:r>
        <w:rPr>
          <w:b/>
          <w:bCs/>
          <w:sz w:val="14"/>
          <w:szCs w:val="14"/>
        </w:rPr>
        <w:t>stačí už dnes na šest měsíců.</w:t>
      </w:r>
    </w:p>
    <w:p w:rsidR="00500724" w:rsidRDefault="00F30FB8">
      <w:pPr>
        <w:pStyle w:val="Zkladntext30"/>
        <w:shd w:val="clear" w:color="auto" w:fill="auto"/>
        <w:spacing w:after="120" w:line="185" w:lineRule="auto"/>
        <w:ind w:firstLine="0"/>
        <w:jc w:val="center"/>
      </w:pPr>
      <w:r>
        <w:t>•</w:t>
      </w:r>
    </w:p>
    <w:p w:rsidR="00500724" w:rsidRDefault="00F30FB8">
      <w:pPr>
        <w:pStyle w:val="Zkladntext40"/>
        <w:shd w:val="clear" w:color="auto" w:fill="auto"/>
        <w:spacing w:after="0" w:line="286" w:lineRule="auto"/>
        <w:ind w:firstLine="240"/>
        <w:rPr>
          <w:sz w:val="14"/>
          <w:szCs w:val="14"/>
        </w:rPr>
      </w:pPr>
      <w:r>
        <w:rPr>
          <w:b/>
          <w:bCs/>
          <w:sz w:val="14"/>
          <w:szCs w:val="14"/>
        </w:rPr>
        <w:t xml:space="preserve">Ani tak si však v Londýně nedělají iluse o tom, co by očekávalo Gibraltar, kdyby vypukla evropská válka. Jeho přístav by mohl být poměrně snadno zničen, jeho význam jako námořní základny by mohl poklesnout téměř až k nule. </w:t>
      </w:r>
      <w:r>
        <w:rPr>
          <w:b/>
          <w:bCs/>
          <w:sz w:val="14"/>
          <w:szCs w:val="14"/>
        </w:rPr>
        <w:t>»Aspoň pro začátek* — dodávají tajuplně znalci z admirality: zdá se, že v dalším prů</w:t>
      </w:r>
      <w:r>
        <w:rPr>
          <w:b/>
          <w:bCs/>
          <w:sz w:val="14"/>
          <w:szCs w:val="14"/>
        </w:rPr>
        <w:softHyphen/>
        <w:t>běhu válečných událostí chtějí očekávat jakési obraty.</w:t>
      </w:r>
    </w:p>
    <w:p w:rsidR="00500724" w:rsidRDefault="00F30FB8">
      <w:pPr>
        <w:pStyle w:val="Zkladntext40"/>
        <w:shd w:val="clear" w:color="auto" w:fill="auto"/>
        <w:spacing w:after="300" w:line="286" w:lineRule="auto"/>
        <w:ind w:firstLine="240"/>
        <w:rPr>
          <w:sz w:val="14"/>
          <w:szCs w:val="14"/>
        </w:rPr>
      </w:pPr>
      <w:r>
        <w:rPr>
          <w:b/>
          <w:bCs/>
          <w:sz w:val="14"/>
          <w:szCs w:val="14"/>
        </w:rPr>
        <w:t xml:space="preserve">Jejich přátelé z </w:t>
      </w:r>
      <w:r>
        <w:rPr>
          <w:b/>
          <w:bCs/>
          <w:sz w:val="14"/>
          <w:szCs w:val="14"/>
          <w:lang w:val="en-US" w:eastAsia="en-US" w:bidi="en-US"/>
        </w:rPr>
        <w:t xml:space="preserve">Downing </w:t>
      </w:r>
      <w:r>
        <w:rPr>
          <w:b/>
          <w:bCs/>
          <w:sz w:val="14"/>
          <w:szCs w:val="14"/>
        </w:rPr>
        <w:t>Streetu se zatím snaží za</w:t>
      </w:r>
      <w:r>
        <w:rPr>
          <w:b/>
          <w:bCs/>
          <w:sz w:val="14"/>
          <w:szCs w:val="14"/>
        </w:rPr>
        <w:softHyphen/>
        <w:t>bezpečit Gibraltar diplomatickými prostředky. Proto přikládají ta</w:t>
      </w:r>
      <w:r>
        <w:rPr>
          <w:b/>
          <w:bCs/>
          <w:sz w:val="14"/>
          <w:szCs w:val="14"/>
        </w:rPr>
        <w:t>kový význam své smlouvě s Itálií, proto tak trpělivě vyčkávají na odchod dobrovolníků ze Špa</w:t>
      </w:r>
      <w:r>
        <w:rPr>
          <w:b/>
          <w:bCs/>
          <w:sz w:val="14"/>
          <w:szCs w:val="14"/>
        </w:rPr>
        <w:softHyphen/>
        <w:t xml:space="preserve">nělska, proto se snaží získat si přátelství generála </w:t>
      </w:r>
      <w:r>
        <w:rPr>
          <w:b/>
          <w:bCs/>
          <w:sz w:val="14"/>
          <w:szCs w:val="14"/>
          <w:lang w:val="en-US" w:eastAsia="en-US" w:bidi="en-US"/>
        </w:rPr>
        <w:t xml:space="preserve">Franca. </w:t>
      </w:r>
      <w:r>
        <w:rPr>
          <w:b/>
          <w:bCs/>
          <w:sz w:val="14"/>
          <w:szCs w:val="14"/>
        </w:rPr>
        <w:t>Cítí-li se dnes Francie ohrožována na severní španělské hranici, cítí se Velká Britanie nejistá na špa</w:t>
      </w:r>
      <w:r>
        <w:rPr>
          <w:b/>
          <w:bCs/>
          <w:sz w:val="14"/>
          <w:szCs w:val="14"/>
        </w:rPr>
        <w:softHyphen/>
        <w:t>nělském jihu: a gibraltarský klíč, který tu má ve své moci už přes dvě století, chce si stoprocentně zabezpečit za všech okolností.</w:t>
      </w:r>
    </w:p>
    <w:p w:rsidR="00500724" w:rsidRDefault="00F30FB8">
      <w:pPr>
        <w:pStyle w:val="Jin0"/>
        <w:shd w:val="clear" w:color="auto" w:fill="auto"/>
        <w:spacing w:after="120"/>
        <w:ind w:firstLine="0"/>
        <w:jc w:val="left"/>
        <w:rPr>
          <w:sz w:val="44"/>
          <w:szCs w:val="44"/>
        </w:rPr>
      </w:pPr>
      <w:r>
        <w:rPr>
          <w:b/>
          <w:bCs/>
          <w:sz w:val="44"/>
          <w:szCs w:val="44"/>
          <w:u w:val="single"/>
        </w:rPr>
        <w:t>literatura a uměni</w:t>
      </w:r>
    </w:p>
    <w:p w:rsidR="00500724" w:rsidRDefault="00F30FB8">
      <w:pPr>
        <w:pStyle w:val="Zkladntext1"/>
        <w:shd w:val="clear" w:color="auto" w:fill="auto"/>
        <w:spacing w:line="266" w:lineRule="auto"/>
        <w:ind w:firstLine="0"/>
        <w:rPr>
          <w:sz w:val="20"/>
          <w:szCs w:val="20"/>
        </w:rPr>
      </w:pPr>
      <w:r>
        <w:rPr>
          <w:b/>
          <w:bCs/>
          <w:sz w:val="22"/>
          <w:szCs w:val="22"/>
        </w:rPr>
        <w:t xml:space="preserve">E. </w:t>
      </w:r>
      <w:r>
        <w:rPr>
          <w:b/>
          <w:bCs/>
          <w:i/>
          <w:iCs/>
          <w:sz w:val="20"/>
          <w:szCs w:val="20"/>
        </w:rPr>
        <w:t>F. Burian:</w:t>
      </w:r>
    </w:p>
    <w:p w:rsidR="00500724" w:rsidRDefault="00F30FB8">
      <w:pPr>
        <w:pStyle w:val="Nadpis100"/>
        <w:shd w:val="clear" w:color="auto" w:fill="auto"/>
        <w:spacing w:after="80" w:line="240" w:lineRule="auto"/>
      </w:pPr>
      <w:bookmarkStart w:id="546" w:name="bookmark545"/>
      <w:r>
        <w:t>Příklad Václava Talicha</w:t>
      </w:r>
      <w:bookmarkEnd w:id="546"/>
    </w:p>
    <w:p w:rsidR="00500724" w:rsidRDefault="00F30FB8">
      <w:pPr>
        <w:pStyle w:val="Zkladntext1"/>
        <w:shd w:val="clear" w:color="auto" w:fill="auto"/>
        <w:spacing w:line="178" w:lineRule="auto"/>
        <w:ind w:left="1300" w:firstLine="180"/>
        <w:rPr>
          <w:sz w:val="18"/>
          <w:szCs w:val="18"/>
        </w:rPr>
      </w:pPr>
      <w:r>
        <w:rPr>
          <w:sz w:val="18"/>
          <w:szCs w:val="18"/>
        </w:rPr>
        <w:t xml:space="preserve">Po úspěchu pražského hudebního máje. který se ukázal tvůrčím </w:t>
      </w:r>
      <w:r>
        <w:rPr>
          <w:sz w:val="18"/>
          <w:szCs w:val="18"/>
        </w:rPr>
        <w:t>kulturním činem v pra</w:t>
      </w:r>
      <w:r>
        <w:rPr>
          <w:sz w:val="18"/>
          <w:szCs w:val="18"/>
        </w:rPr>
        <w:softHyphen/>
        <w:t>vý čas, požádali jsme E. F. Buriana o článek o Václavu Talichovi.</w:t>
      </w:r>
    </w:p>
    <w:p w:rsidR="00500724" w:rsidRDefault="00F30FB8">
      <w:pPr>
        <w:pStyle w:val="Zkladntext30"/>
        <w:shd w:val="clear" w:color="auto" w:fill="auto"/>
        <w:spacing w:line="276" w:lineRule="auto"/>
        <w:ind w:firstLine="240"/>
        <w:rPr>
          <w:sz w:val="19"/>
          <w:szCs w:val="19"/>
        </w:rPr>
      </w:pPr>
      <w:r>
        <w:t>Jeden z nás uvil našemu národnímu pomníku ky</w:t>
      </w:r>
      <w:r>
        <w:softHyphen/>
        <w:t xml:space="preserve">tici, která je souhrnem našich citů, visitkou, kterou předkládáme v těchto měsících všem, kdož se domní- </w:t>
      </w:r>
      <w:r>
        <w:rPr>
          <w:b/>
          <w:bCs/>
          <w:i/>
          <w:iCs/>
          <w:sz w:val="19"/>
          <w:szCs w:val="19"/>
        </w:rPr>
        <w:t>338</w:t>
      </w:r>
    </w:p>
    <w:p w:rsidR="00500724" w:rsidRDefault="00F30FB8">
      <w:pPr>
        <w:pStyle w:val="Zkladntext30"/>
        <w:shd w:val="clear" w:color="auto" w:fill="auto"/>
        <w:spacing w:after="0" w:line="233" w:lineRule="auto"/>
        <w:ind w:firstLine="0"/>
      </w:pPr>
      <w:r>
        <w:t>vajl vidět v n</w:t>
      </w:r>
      <w:r>
        <w:t>ás primitivy. Jeden z nás, dirigent-tvůrce Václav Talich, promluvil tak, jak to od něho čekala celá země. Stvořil zcela neoficiálně, jakoby sám za sebe, pražské hudební jaro. Opřel se o Sme</w:t>
      </w:r>
      <w:r>
        <w:softHyphen/>
        <w:t>tanu, o Dvořáka a o Suka, ukázal českého Mozarta a Beethovena a vy</w:t>
      </w:r>
      <w:r>
        <w:t>zvedl svůj ensemble na štít, za nějž se postavila jednotně galerie i parter. Stvořil umělec</w:t>
      </w:r>
      <w:r>
        <w:softHyphen/>
        <w:t>ky večery dokonalé jednoty v hledišti i na jevišti. Drásal srdce vzpomínkami, aby je v zápětí pozvedal akordy lepší budoucnosti. Pod jeho taktovkou jako by se rovna</w:t>
      </w:r>
      <w:r>
        <w:t>ly páteře a ocelily mysli. Piští občané, zdali</w:t>
      </w:r>
      <w:r>
        <w:softHyphen/>
        <w:t>pak jste slyšeli takového Beethovena tak podaného a provedeného a s takovou kulturou, objektivitou a úctou k velkému německému kulturnímu dílu? Ríští občané, zdalipak jste si všimli, jak se v této vy</w:t>
      </w:r>
      <w:r>
        <w:softHyphen/>
        <w:t>spělé kul</w:t>
      </w:r>
      <w:r>
        <w:t>turní zemi dovede sklonit český člověk před geniem jiného národa?</w:t>
      </w:r>
    </w:p>
    <w:p w:rsidR="00500724" w:rsidRDefault="00F30FB8">
      <w:pPr>
        <w:pStyle w:val="Zkladntext30"/>
        <w:shd w:val="clear" w:color="auto" w:fill="auto"/>
        <w:spacing w:after="0" w:line="233" w:lineRule="auto"/>
        <w:ind w:firstLine="240"/>
      </w:pPr>
      <w:r>
        <w:t>Za Talichova tvůrčího podání nezněla v Beethove</w:t>
      </w:r>
      <w:r>
        <w:softHyphen/>
        <w:t xml:space="preserve">novi jen reprodukovaná symfonie. Byla to symfonie* v níž Velký Syn Německého národa ruku v ruce s Velkým Synem Českého národa manifestovali </w:t>
      </w:r>
      <w:r>
        <w:t>sílu věčného ducha, sílu nekonečné kultury, krásy, radosti, odvahy a práce pro lepší věk. Ve Smetanovi pod Tali- chovou taktovkou spatřovali všichni, kdo byli pří</w:t>
      </w:r>
      <w:r>
        <w:softHyphen/>
        <w:t>tomni při tomto slavném díle ať již v divadle či u při</w:t>
      </w:r>
      <w:r>
        <w:softHyphen/>
        <w:t>jímačů, manifest národa, kterému nikdo</w:t>
      </w:r>
      <w:r>
        <w:t xml:space="preserve"> nemůže dát právo kulturně žít, protože on je už od věků m á a ni</w:t>
      </w:r>
      <w:r>
        <w:softHyphen/>
        <w:t>kdy je ztratit nemůže. Smetanův lid se nedívá na své umělce jako na artisty, kteří více či méně za peníze dělají do umění. Smetanův lid srostl s uměním bez ohledu k osobám a osobičkám. Umění</w:t>
      </w:r>
      <w:r>
        <w:t xml:space="preserve"> je v něm od věků, jinak by byl nemohl pře</w:t>
      </w:r>
      <w:r>
        <w:softHyphen/>
        <w:t>stát všecko, co od Bílé hory musil vytrpět. Lidové umění, náš nejdražší poklad, je v kvalitě na prvním místě mezi národy. A to vše jako by Talich silou své taktovky podával svým Smetanou. Zdálo se, že všechno zmiz</w:t>
      </w:r>
      <w:r>
        <w:t>elo.</w:t>
      </w:r>
    </w:p>
    <w:p w:rsidR="00500724" w:rsidRDefault="00F30FB8">
      <w:pPr>
        <w:pStyle w:val="Zkladntext30"/>
        <w:shd w:val="clear" w:color="auto" w:fill="auto"/>
        <w:spacing w:after="0" w:line="233" w:lineRule="auto"/>
        <w:ind w:firstLine="240"/>
      </w:pPr>
      <w:r>
        <w:t>To nebyl orchestr, to nebyli zpěváci..., to nebyl dirigent. To bylo dílo, v němž všichni měli účast a žádný nevynikal — jen Země — Domovina zpívala a všechna srdce s ní. Rytmus Dvořáka se vléval do ochablých myslí ne jako potěšující lék, ale jako elix</w:t>
      </w:r>
      <w:r>
        <w:t>ír života. To nebyly slovanské tance — to byl tep všech nás — tep, který nikdy v nás nepřestane tlouci, do</w:t>
      </w:r>
      <w:r>
        <w:softHyphen/>
        <w:t>kud živi budem. Jakým úchvatným prostředníkem všech se může stát jedinec! Všelijaké cykly už jsme slyšeli za života. Ale toto už nebyl cyklus. Být sv</w:t>
      </w:r>
      <w:r>
        <w:t>ěd</w:t>
      </w:r>
      <w:r>
        <w:softHyphen/>
        <w:t>kem sladkého koncertu, v němž zazní vedle smyčco</w:t>
      </w:r>
      <w:r>
        <w:softHyphen/>
        <w:t>vých a dechových harmonií i harmonie lidu! Být svěd</w:t>
      </w:r>
      <w:r>
        <w:softHyphen/>
        <w:t>kem slávy — kdy partitura — ona mlčelivá kráska, promlouvající jen ústy množství — stává se pro</w:t>
      </w:r>
      <w:r>
        <w:softHyphen/>
        <w:t>gramem! Být svědkem uskutečněné jednoty, ve které není s</w:t>
      </w:r>
      <w:r>
        <w:t>labých a poražených, ale kde jsou silní a duchem genia vítězící! Ó, moci být svědkem této krásy a síly, Talichu — to je Tvůj příklad.</w:t>
      </w:r>
    </w:p>
    <w:p w:rsidR="00500724" w:rsidRDefault="00F30FB8">
      <w:pPr>
        <w:pStyle w:val="Zkladntext1"/>
        <w:shd w:val="clear" w:color="auto" w:fill="auto"/>
        <w:ind w:firstLine="0"/>
        <w:jc w:val="center"/>
      </w:pPr>
      <w:r>
        <w:rPr>
          <w:b/>
          <w:bCs/>
        </w:rPr>
        <w:t>9</w:t>
      </w:r>
    </w:p>
    <w:p w:rsidR="00500724" w:rsidRDefault="00F30FB8">
      <w:pPr>
        <w:pStyle w:val="Zkladntext30"/>
        <w:shd w:val="clear" w:color="auto" w:fill="auto"/>
        <w:spacing w:line="233" w:lineRule="auto"/>
        <w:ind w:firstLine="240"/>
      </w:pPr>
      <w:r>
        <w:t>Pomalu už by byl člověk myslil, že se mezi námi ne</w:t>
      </w:r>
      <w:r>
        <w:softHyphen/>
        <w:t xml:space="preserve">najdou lidé, kteří by se pyšně přiznali ke kvalitě svého ducha. </w:t>
      </w:r>
      <w:r>
        <w:t>Pomalu bychom byli uvěřili, že jsme malým národem... Jakou zásluhu mají všichni ti, kteří d í - lemmnožství, dílem uměleckým, otvírají obzory! Zde je cesta pro všechny Čechy! Zde vidíme příklad pro ty, kteří se svěšenou hlavou a s mozkem uschova</w:t>
      </w:r>
      <w:r>
        <w:softHyphen/>
        <w:t>ným v přih</w:t>
      </w:r>
      <w:r>
        <w:t>rádkách mají opět jen výmluvu pro své pohodlí. Jak rád bych se byl vrátil do svých stu</w:t>
      </w:r>
      <w:r>
        <w:softHyphen/>
        <w:t>dentských let a někde tam v koutě vypomáhal u bi</w:t>
      </w:r>
      <w:r>
        <w:softHyphen/>
        <w:t>cích nástrojů, když Talich zvedl taktovku nad pocho</w:t>
      </w:r>
      <w:r>
        <w:softHyphen/>
        <w:t>dem »V nový život«. Chápete to, vy, kdož jste vždycky ochotni počíta</w:t>
      </w:r>
      <w:r>
        <w:t>t svá léta a dělat z toho zbytečné uzá</w:t>
      </w:r>
      <w:r>
        <w:softHyphen/>
        <w:t>věry »pro všechny časy«? Kolektivní dílo, jaké vy</w:t>
      </w:r>
      <w:r>
        <w:softHyphen/>
        <w:t>tváří orchestr, kolektivní dílo, v němž každý — od koncertního mistra až po činelistu, který napiatě če</w:t>
      </w:r>
      <w:r>
        <w:softHyphen/>
        <w:t>ká, až bude moci právě na tom svém místě udeřit (ne příliš siln</w:t>
      </w:r>
      <w:r>
        <w:t>ě ani ne příliš slabě — jen právě tak, j a k s e t o p o t ř e b u j e) — ať je vzorem ná</w:t>
      </w:r>
      <w:r>
        <w:softHyphen/>
        <w:t>rodní práci. Pohled důvěry, jímž sleduje každý zúčast</w:t>
      </w:r>
      <w:r>
        <w:softHyphen/>
        <w:t>něný Talicha, v němž vidí nejen zástupce tvůrce parti</w:t>
      </w:r>
      <w:r>
        <w:softHyphen/>
        <w:t>tury, ale především silnouvůliaplán, tento po</w:t>
      </w:r>
      <w:r>
        <w:softHyphen/>
        <w:t xml:space="preserve">hled důvěry </w:t>
      </w:r>
      <w:r>
        <w:t>zasluhuje následování ve všem. Tempo, v němž armáda umělců vypíná své nejlepší síly dyna</w:t>
      </w:r>
      <w:r>
        <w:softHyphen/>
        <w:t>micky k největšímu účinu — hle, to je t e m p o, které tu není jen pro obdiv. To je t e m p o, kterému bychom se měli oddat všichni a bezvýhradně. Souzvuk i těch nejod</w:t>
      </w:r>
      <w:r>
        <w:t>vážnějších harmonických nebo polyfonických kombinací, který z Talichovy taktovky zněl jako by všichni autoři v něm byli a promítali se jeho taktov</w:t>
      </w:r>
      <w:r>
        <w:softHyphen/>
        <w:t>kou do živých nástrojů a do úst zpěváků. V celém tom hudebním máji rozkvetly kytičky nejprostších lidí. Kytič</w:t>
      </w:r>
      <w:r>
        <w:t>ky ze srdce ... Rozkvetly v nich slzičky Pan</w:t>
      </w:r>
      <w:r>
        <w:softHyphen/>
        <w:t>ny Marie právě tak jako ohnivé máky, chrpy jako ka- rafiáty, vonící lány jetele jako trsy něžných pomněnek.</w:t>
      </w:r>
    </w:p>
    <w:p w:rsidR="00500724" w:rsidRDefault="00F30FB8">
      <w:pPr>
        <w:pStyle w:val="Zkladntext30"/>
        <w:shd w:val="clear" w:color="auto" w:fill="auto"/>
        <w:spacing w:line="209" w:lineRule="auto"/>
      </w:pPr>
      <w:r>
        <w:t>Talichův příklad by měl být následován ve všech ostatních oborech umění a kultury. Pánové, ko</w:t>
      </w:r>
      <w:r>
        <w:softHyphen/>
        <w:t>legové, m</w:t>
      </w:r>
      <w:r>
        <w:t>istři, kamarádi — jde to, jak vidíte! Jak to, že se takováto událost může přihodit v hudebním světě a jak to, že ne v činoherním? Přemýšlejte tro</w:t>
      </w:r>
      <w:r>
        <w:softHyphen/>
        <w:t>chu. Jak to, že postrádáme tuto odvahu na poli vý</w:t>
      </w:r>
      <w:r>
        <w:softHyphen/>
        <w:t>tvarném? Copak Slavíček, Mánes, Aleš a jiní už ne</w:t>
      </w:r>
      <w:r>
        <w:softHyphen/>
        <w:t xml:space="preserve">existují? </w:t>
      </w:r>
      <w:r>
        <w:t>Copak neexistuje v českém umění už nic tak opravdového jako Smetana, Dvořák a Suk? Nebo bu</w:t>
      </w:r>
      <w:r>
        <w:softHyphen/>
        <w:t>dete všichni čekat na inspiraci, až bude mít Talich za sebou další cyklus nejlepších jmen? Až bude Talich s publikem vyznávat lásku Janáčkovi, Novákovi a Vy- cpálkov</w:t>
      </w:r>
      <w:r>
        <w:t>i, pak také ještě se budete bát ukázat v sou</w:t>
      </w:r>
      <w:r>
        <w:softHyphen/>
        <w:t>hrnu živé syny mrtvých velkých otců-umělců? Tali</w:t>
      </w:r>
      <w:r>
        <w:softHyphen/>
        <w:t>chův příklad musíme následovat!</w:t>
      </w:r>
    </w:p>
    <w:p w:rsidR="00500724" w:rsidRDefault="00F30FB8">
      <w:pPr>
        <w:pStyle w:val="Zkladntext30"/>
        <w:shd w:val="clear" w:color="auto" w:fill="auto"/>
        <w:spacing w:after="60" w:line="209" w:lineRule="auto"/>
      </w:pPr>
      <w:r>
        <w:t>Pražský hudební máj by měl mít reprisu v Berlíně. Dovídáme-li se kuse sem a tam, že říšská divadla bu</w:t>
      </w:r>
      <w:r>
        <w:softHyphen/>
        <w:t>dou hrát ve Stavovském, v No</w:t>
      </w:r>
      <w:r>
        <w:t>vém německém, v Klei</w:t>
      </w:r>
      <w:r>
        <w:softHyphen/>
        <w:t>ne Búhne, dovídáme-li se tu a tam, že budou říšské orchestry hrát ve Smetanově síni, pak nevím, proč by Talich s Českou Filharmonií a s Národním divadlem neměl předvést berlínskému obecenstvu českou hudební kulturu. Smetana, Dvořák, Su</w:t>
      </w:r>
      <w:r>
        <w:t>k, Janáček, Mozart, Beethoven — to by byl pro</w:t>
      </w:r>
      <w:r>
        <w:softHyphen/>
        <w:t>gram, v němž by říští občané dostatečně poznali kul</w:t>
      </w:r>
      <w:r>
        <w:softHyphen/>
        <w:t xml:space="preserve">turu Protektorátu. Poznali by ji jak </w:t>
      </w:r>
      <w:r>
        <w:rPr>
          <w:b/>
          <w:bCs/>
        </w:rPr>
        <w:t xml:space="preserve">z </w:t>
      </w:r>
      <w:r>
        <w:t xml:space="preserve">obsahu tak </w:t>
      </w:r>
      <w:r>
        <w:rPr>
          <w:b/>
          <w:bCs/>
        </w:rPr>
        <w:t xml:space="preserve">z </w:t>
      </w:r>
      <w:r>
        <w:t>provedení, protože je na světě málo tak vzácných těles, jako jsou naše.</w:t>
      </w:r>
    </w:p>
    <w:p w:rsidR="00500724" w:rsidRDefault="00F30FB8">
      <w:pPr>
        <w:pStyle w:val="Zkladntext30"/>
        <w:shd w:val="clear" w:color="auto" w:fill="auto"/>
        <w:spacing w:after="380" w:line="223" w:lineRule="auto"/>
      </w:pPr>
      <w:r>
        <w:t>Rádi si poslechneme — co nám říšsk</w:t>
      </w:r>
      <w:r>
        <w:t xml:space="preserve">á divadla </w:t>
      </w:r>
      <w:r>
        <w:rPr>
          <w:b/>
          <w:bCs/>
        </w:rPr>
        <w:t xml:space="preserve">a </w:t>
      </w:r>
      <w:r>
        <w:t>říšské koncerty v Praze ukáží. Ale bez výměny, myslím jako Cech, který si je vědom kulturní síly své domoviny — bezvýměny bylo by to poněkud jednostranné.</w:t>
      </w:r>
    </w:p>
    <w:p w:rsidR="00500724" w:rsidRDefault="00F30FB8">
      <w:pPr>
        <w:pStyle w:val="Jin0"/>
        <w:shd w:val="clear" w:color="auto" w:fill="auto"/>
        <w:spacing w:after="260"/>
        <w:ind w:firstLine="0"/>
        <w:jc w:val="left"/>
        <w:rPr>
          <w:sz w:val="46"/>
          <w:szCs w:val="46"/>
        </w:rPr>
      </w:pPr>
      <w:r>
        <w:rPr>
          <w:b/>
          <w:bCs/>
          <w:sz w:val="46"/>
          <w:szCs w:val="46"/>
          <w:u w:val="single"/>
        </w:rPr>
        <w:t>život a instituce</w:t>
      </w:r>
    </w:p>
    <w:p w:rsidR="00500724" w:rsidRDefault="00F30FB8">
      <w:pPr>
        <w:pStyle w:val="Nadpis100"/>
        <w:shd w:val="clear" w:color="auto" w:fill="auto"/>
        <w:spacing w:after="60"/>
      </w:pPr>
      <w:bookmarkStart w:id="547" w:name="bookmark546"/>
      <w:r>
        <w:t>Praha jako středisko německé</w:t>
      </w:r>
      <w:r>
        <w:br/>
        <w:t>kultury</w:t>
      </w:r>
      <w:bookmarkEnd w:id="547"/>
    </w:p>
    <w:p w:rsidR="00500724" w:rsidRDefault="00F30FB8">
      <w:pPr>
        <w:pStyle w:val="Zkladntext30"/>
        <w:shd w:val="clear" w:color="auto" w:fill="auto"/>
        <w:spacing w:after="60" w:line="214" w:lineRule="auto"/>
        <w:ind w:left="820" w:firstLine="220"/>
        <w:rPr>
          <w:sz w:val="20"/>
          <w:szCs w:val="20"/>
        </w:rPr>
      </w:pPr>
      <w:r>
        <w:rPr>
          <w:sz w:val="20"/>
          <w:szCs w:val="20"/>
        </w:rPr>
        <w:t>Požádali jsme svého příležitostnéh</w:t>
      </w:r>
      <w:r>
        <w:rPr>
          <w:sz w:val="20"/>
          <w:szCs w:val="20"/>
        </w:rPr>
        <w:t>o německého spolupracovníka, aby nám řekl něco věcného o ně</w:t>
      </w:r>
      <w:r>
        <w:rPr>
          <w:sz w:val="20"/>
          <w:szCs w:val="20"/>
        </w:rPr>
        <w:softHyphen/>
        <w:t>meckých úmyslech učiniti z Prahy středisko ně</w:t>
      </w:r>
      <w:r>
        <w:rPr>
          <w:sz w:val="20"/>
          <w:szCs w:val="20"/>
        </w:rPr>
        <w:softHyphen/>
        <w:t>mecké kultury. Přinášíme článek proto, abychom na něj v příštím čísle odpověděli a abychom dali příležitost představitelům české kultury jasně, objekt</w:t>
      </w:r>
      <w:r>
        <w:rPr>
          <w:sz w:val="20"/>
          <w:szCs w:val="20"/>
        </w:rPr>
        <w:t>ivně a nezaujatě říci i svoje mínění.</w:t>
      </w:r>
    </w:p>
    <w:p w:rsidR="00500724" w:rsidRDefault="00F30FB8">
      <w:pPr>
        <w:pStyle w:val="Zkladntext30"/>
        <w:shd w:val="clear" w:color="auto" w:fill="auto"/>
        <w:spacing w:after="60" w:line="216" w:lineRule="auto"/>
        <w:ind w:firstLine="240"/>
      </w:pPr>
      <w:r>
        <w:t xml:space="preserve">Při kulturně-politickém projevu pražských Němců ve velkém sále Lucerny dne 16. května prohlásil su- detský vůdce propagandy, </w:t>
      </w:r>
      <w:r>
        <w:rPr>
          <w:lang w:val="en-US" w:eastAsia="en-US" w:bidi="en-US"/>
        </w:rPr>
        <w:t xml:space="preserve">Franz Holler, </w:t>
      </w:r>
      <w:r>
        <w:t>že měl tento</w:t>
      </w:r>
      <w:r>
        <w:softHyphen/>
        <w:t xml:space="preserve">krát, když jel z Chebu do Prahy, pocit, jako by jel »domů«, do </w:t>
      </w:r>
      <w:r>
        <w:t>města, které jsme my Němci vždycky po</w:t>
      </w:r>
      <w:r>
        <w:softHyphen/>
        <w:t xml:space="preserve">važovali za svůj domov, kde se však </w:t>
      </w:r>
      <w:r>
        <w:rPr>
          <w:b/>
          <w:bCs/>
        </w:rPr>
        <w:t xml:space="preserve">s </w:t>
      </w:r>
      <w:r>
        <w:t xml:space="preserve">námi dlouhá léta zacházelo jako s cizáky, jako s lidmi, kteří mají menší právo a jako s obtížnými dotěry. </w:t>
      </w:r>
      <w:r>
        <w:rPr>
          <w:lang w:val="en-US" w:eastAsia="en-US" w:bidi="en-US"/>
        </w:rPr>
        <w:t xml:space="preserve">A Holler </w:t>
      </w:r>
      <w:r>
        <w:t>pra</w:t>
      </w:r>
      <w:r>
        <w:softHyphen/>
        <w:t>vil dále: Když se ho po 15. březnu tázal český politik na Hra</w:t>
      </w:r>
      <w:r>
        <w:t>dčanech, jaký kulturní program mají Němci v Praze, tu ukázal na město, ležící u nohou jich obou, a řekl: Toto je náš zkamenělý kulturní program!</w:t>
      </w:r>
    </w:p>
    <w:p w:rsidR="00500724" w:rsidRDefault="00F30FB8">
      <w:pPr>
        <w:pStyle w:val="Zkladntext30"/>
        <w:shd w:val="clear" w:color="auto" w:fill="auto"/>
        <w:spacing w:after="60" w:line="223" w:lineRule="auto"/>
        <w:ind w:firstLine="240"/>
      </w:pPr>
      <w:r>
        <w:t>Pro Čecha 20. století, který spatřuje v Praze nej</w:t>
      </w:r>
      <w:r>
        <w:softHyphen/>
        <w:t>větší slovanské město na západě, ba jediné velkoměsto skutečn</w:t>
      </w:r>
      <w:r>
        <w:t xml:space="preserve">ého západu a současně největší město české, hlavní město svého národa, kde byli korunováni </w:t>
      </w:r>
      <w:r>
        <w:rPr>
          <w:b/>
          <w:bCs/>
        </w:rPr>
        <w:t xml:space="preserve">a </w:t>
      </w:r>
      <w:r>
        <w:t>kde jsou pohřbeni čeští králové, hlavní město první české republiky — pro tohoto Čecha, který byl od roku 1918 odříznut od rakouské a německé tradice vším, co za</w:t>
      </w:r>
      <w:r>
        <w:softHyphen/>
        <w:t>ž</w:t>
      </w:r>
      <w:r>
        <w:t>il, celou politikou a výchovou — pro toho je zajisté těžké vmyslit se do pocitw Němce a do představy, kte</w:t>
      </w:r>
      <w:r>
        <w:softHyphen/>
        <w:t xml:space="preserve">rou Němec spojuje s obrazem a jménem Prahy </w:t>
      </w:r>
      <w:r>
        <w:rPr>
          <w:b/>
          <w:bCs/>
        </w:rPr>
        <w:t xml:space="preserve">a </w:t>
      </w:r>
      <w:r>
        <w:t>co je ve slovech Franze Hóllera tak jasně vyjádřeno.</w:t>
      </w:r>
    </w:p>
    <w:p w:rsidR="00500724" w:rsidRDefault="00F30FB8">
      <w:pPr>
        <w:pStyle w:val="Zkladntext30"/>
        <w:shd w:val="clear" w:color="auto" w:fill="auto"/>
        <w:spacing w:line="221" w:lineRule="auto"/>
      </w:pPr>
      <w:r>
        <w:t>Ano, my se cítíme v Praze doma. A tento cit vzně- cu</w:t>
      </w:r>
      <w:r>
        <w:t>je se stále znovu historickou minulostí tohoto města, kamenným obrazem staré Prahy. V německém tisku se stále uvádí, že nejkrásnější a nejpříznačnějši, nej</w:t>
      </w:r>
      <w:r>
        <w:softHyphen/>
        <w:t>větší a nejvýraznější budovy pražské zbudovali Němci. Jména Peter Parléř, Kilián Ignaz Dienzenhofer,</w:t>
      </w:r>
      <w:r>
        <w:t xml:space="preserve"> </w:t>
      </w:r>
      <w:r>
        <w:rPr>
          <w:lang w:val="en-US" w:eastAsia="en-US" w:bidi="en-US"/>
        </w:rPr>
        <w:t xml:space="preserve">Mathias </w:t>
      </w:r>
      <w:r>
        <w:t>Braun opakovala se v německém tisku velmi zhusta. Ale snad není právě rozhodující, že tito muži přišli z větší říše, není důležité, zda tu byli hosty, zda rodilými Němci či Čechy — což byl před rokem 1789 pojem národní, vázaný na krajinu. Rozhoduj</w:t>
      </w:r>
      <w:r>
        <w:t>ící je, že město a jeho budovy vypadaly vskutku německy. Dnešní Němec, procházející se Prahou, nezná vždycky jména, tím méně historii německých pražských stavi</w:t>
      </w:r>
      <w:r>
        <w:softHyphen/>
        <w:t>telů, sochařů a malířů. Ale každý Němec na první po</w:t>
      </w:r>
      <w:r>
        <w:softHyphen/>
        <w:t>hled vidí a cítí, že to je město hluboce zak</w:t>
      </w:r>
      <w:r>
        <w:t>ořeněné ve století západnických dějin, kdy Němci stvořili »říši«, ji formovali a budovali. Každý Němec cítí, že Praha je svým stylem město německé, němečtější než Dráž</w:t>
      </w:r>
      <w:r>
        <w:softHyphen/>
        <w:t xml:space="preserve">ďany, než Berlín, než Hannover, než </w:t>
      </w:r>
      <w:r>
        <w:rPr>
          <w:lang w:val="en-US" w:eastAsia="en-US" w:bidi="en-US"/>
        </w:rPr>
        <w:t xml:space="preserve">Karlsruhe, </w:t>
      </w:r>
      <w:r>
        <w:t xml:space="preserve">než kterékoli z mladších a novějších německých měst, že je německé spíše jako Frankfurt nebo Kolín, </w:t>
      </w:r>
      <w:r>
        <w:rPr>
          <w:lang w:val="en-US" w:eastAsia="en-US" w:bidi="en-US"/>
        </w:rPr>
        <w:t>Augs</w:t>
      </w:r>
      <w:r>
        <w:rPr>
          <w:lang w:val="en-US" w:eastAsia="en-US" w:bidi="en-US"/>
        </w:rPr>
        <w:softHyphen/>
        <w:t xml:space="preserve">burg </w:t>
      </w:r>
      <w:r>
        <w:t>nebo Vídeň a téměř tak německé jako Norim</w:t>
      </w:r>
      <w:r>
        <w:softHyphen/>
        <w:t>berk nebo Rothenburg nebo Nórdlingen. I když byli pražští stavitelé Češi a i když ve staré Praze vězí vě</w:t>
      </w:r>
      <w:r>
        <w:t>tšina české práce, i když Praha vypadá, jak právě vypadá, je to pro nás stále město, které my pociťu</w:t>
      </w:r>
      <w:r>
        <w:softHyphen/>
        <w:t xml:space="preserve">jeme jako město německé. Právě tak, jak nás Němce v Salcpurku ovívá italský vzduch, právě tak, jako víme, že Vídeň byla formována — přes Fischera von </w:t>
      </w:r>
      <w:r>
        <w:rPr>
          <w:lang w:val="en-US" w:eastAsia="en-US" w:bidi="en-US"/>
        </w:rPr>
        <w:t>Erlac</w:t>
      </w:r>
      <w:r>
        <w:rPr>
          <w:lang w:val="en-US" w:eastAsia="en-US" w:bidi="en-US"/>
        </w:rPr>
        <w:t xml:space="preserve">h </w:t>
      </w:r>
      <w:r>
        <w:t xml:space="preserve">a Hildebrandta a ostatní německé stavitele — zčásti duchem italským, španělským a rozhodně jihorománským, právě tak jako pociťujeme vídeňskou </w:t>
      </w:r>
      <w:r>
        <w:rPr>
          <w:b/>
          <w:bCs/>
        </w:rPr>
        <w:t xml:space="preserve">hudbu </w:t>
      </w:r>
      <w:r>
        <w:t>jako něco zvláštního uprostřed hudby německé, jako něco, na čem spolupůsobili Slované, Italové a Ro- máni,</w:t>
      </w:r>
      <w:r>
        <w:t xml:space="preserve"> právě tak cítíme v Praze: je německá. K tomuto pocitu se řadí dějinné události. Toto město bylo hlav</w:t>
      </w:r>
      <w:r>
        <w:softHyphen/>
        <w:t>ním městem římské říše »německého národa«, zde panovali němečtí císaři, jejichž kosti leží v chrámu sv. Víta. Zde se cítil Mozart doma, zde se v napoleons</w:t>
      </w:r>
      <w:r>
        <w:t>kých dobách shromažďovali němečtí romantikové a bojov</w:t>
      </w:r>
      <w:r>
        <w:softHyphen/>
        <w:t>níci za svobodu, toto město považovali naši největší básníci za město říšské a město německé. Chtěli-li jsme se seznámit s českým lidem, nehledali jsme jej nikdy v Praze, nýbrž na vesnici. Snad je to př</w:t>
      </w:r>
      <w:r>
        <w:t>edsudek, ale my Němci máme buď vysloveně nebo nevysloveně dojem, že právě tu složku lidské kultury, která se vy</w:t>
      </w:r>
      <w:r>
        <w:softHyphen/>
        <w:t>jadřuje v životě městském, representují ve velkém prostoru západním Němci, zatím co Slované zůstávají lidmi venkovskými, srostlí s vesnicí, sbra</w:t>
      </w:r>
      <w:r>
        <w:t>třilí s dála</w:t>
      </w:r>
      <w:r>
        <w:softHyphen/>
        <w:t>vou a se zemí, na které se nestaví — a to od bran Cech po nekonečnou ruskou step. Neboť kdekoli v tomto prostoru byla města a státy, vznikaly vždycky ve stopách »cizáků«, Germánů, Němců, Wi- klngft, Waragů, Baltů, Tatarů, Mongolů, Turků. Stará</w:t>
      </w:r>
      <w:r>
        <w:t xml:space="preserve"> Rus na příklad — jako stát — byla dílem šlechtické, povětšině cizorasové baltsko-německé vrstvy. A nové </w:t>
      </w:r>
      <w:r>
        <w:rPr>
          <w:b/>
          <w:bCs/>
        </w:rPr>
        <w:t xml:space="preserve">Rusko? </w:t>
      </w:r>
      <w:r>
        <w:t>Leninova mongolská tvář, Trockého rabínská hlava a postava Gruzince Stalina hovoří jasnou řečí. Slovanskou bytost, bytost ruskou, nalezneme práv</w:t>
      </w:r>
      <w:r>
        <w:t>ě tak málo ve státním a městském životě, jako naopak cizota nikdy nepronikla do hlubin ruské duše a do dálav šarmatského prostoru.</w:t>
      </w:r>
    </w:p>
    <w:p w:rsidR="00500724" w:rsidRDefault="00F30FB8">
      <w:pPr>
        <w:pStyle w:val="Zkladntext30"/>
        <w:shd w:val="clear" w:color="auto" w:fill="auto"/>
        <w:spacing w:line="209" w:lineRule="auto"/>
      </w:pPr>
      <w:r>
        <w:t>I vůči Čechům máme pocit, že jejich bytost se po</w:t>
      </w:r>
      <w:r>
        <w:softHyphen/>
        <w:t>hybuje vlastně ve sférách, které mají s městem a se státem, se všemi »mužský</w:t>
      </w:r>
      <w:r>
        <w:t>mi« nadáními a uměním, tedy především s architekturou, málo společného.</w:t>
      </w:r>
    </w:p>
    <w:p w:rsidR="00500724" w:rsidRDefault="00F30FB8">
      <w:pPr>
        <w:pStyle w:val="Zkladntext30"/>
        <w:shd w:val="clear" w:color="auto" w:fill="auto"/>
        <w:spacing w:line="204" w:lineRule="auto"/>
      </w:pPr>
      <w:r>
        <w:t>Poznáváme ji spíše v oblasti pocitové, v rozvlátých a rozeznělých formách, v nedozírnosti a měkké odda</w:t>
      </w:r>
      <w:r>
        <w:softHyphen/>
        <w:t>nosti venkovské krajiny, nacházíme ji v hudbě a v ly</w:t>
      </w:r>
      <w:r>
        <w:softHyphen/>
        <w:t xml:space="preserve">rice. Nám připadají Slované </w:t>
      </w:r>
      <w:r>
        <w:t>— s hlediska kulturně- morfologického — jako »ženský« národ (což ovšem vůbec není zženštilý), a jak samo češství pociťuje tento rozdíl bytosti, ukazuje teorie Palackého dějin o válečných Germánech a mírumilovných Slovanech. Aniž bych se chtěl dotknout tout</w:t>
      </w:r>
      <w:r>
        <w:t>o formulací, řekl bych přece rád, že považujeme všechno městské v Čechách — a především Prahu — jako podstatně německý příspěvek k vytvoření českého prostoru a že právě proto máme zde dojem, že jsme tu »doma«.</w:t>
      </w:r>
    </w:p>
    <w:p w:rsidR="00500724" w:rsidRDefault="00F30FB8">
      <w:pPr>
        <w:pStyle w:val="Zkladntext30"/>
        <w:shd w:val="clear" w:color="auto" w:fill="auto"/>
        <w:spacing w:after="100" w:line="204" w:lineRule="auto"/>
        <w:ind w:firstLine="240"/>
      </w:pPr>
      <w:r>
        <w:t>Chceme-li v nových poměrech vytvořit z Prahy s</w:t>
      </w:r>
      <w:r>
        <w:t>tředisko německé kultury, neznamená to, že má být Praha germanisována a Češi odnárodněni. Zásady Říše a Protektorátu kladou odnárodněni meze od sa</w:t>
      </w:r>
      <w:r>
        <w:softHyphen/>
        <w:t>mých počátků. Rozeznávají mezi občanem Říše a ob</w:t>
      </w:r>
      <w:r>
        <w:softHyphen/>
        <w:t>čanem Protektorátu. Onen byl 16. března národním Němcem (Vol</w:t>
      </w:r>
      <w:r>
        <w:t>ksdeutscher), tento je totožný s národ</w:t>
      </w:r>
      <w:r>
        <w:softHyphen/>
        <w:t>ním pojmem Čecha. Zákonitě nebyla vůbec stanovena změna státní příslušnosti právě proto, že se nepočítá se žádnou změnou národnosti. My Němci jsme od 1918 do 1938 bojovali, abychom byli uznáni jako rovný před zákonem,</w:t>
      </w:r>
      <w:r>
        <w:t xml:space="preserve"> jako národní individualita, jako sku</w:t>
      </w:r>
      <w:r>
        <w:softHyphen/>
        <w:t>pina, a nikdy jsme se nespokojili s útěchou liberálních mocnářů, že máme jako jednotlivci tatáž občanská práva jako Češi. Příliš zřetelně jsme pocítili, že indivi</w:t>
      </w:r>
      <w:r>
        <w:softHyphen/>
        <w:t>duální občanská práva nikoho nechrání před odnárod- něn</w:t>
      </w:r>
      <w:r>
        <w:t>ím a nikomu nezaručují právo na práci. Dnes se to provádí jinak. Čechům, národu Protektorátu, byla předem zákonem zaručena jako skupině všechna prá</w:t>
      </w:r>
      <w:r>
        <w:softHyphen/>
        <w:t>va na každého jednotlivého národního příslušníka. Protektorát tedy nebude germanisován a ani v Praze nemá bý</w:t>
      </w:r>
      <w:r>
        <w:t>t ani jeden Čech odcizen svému národu. Je samozřejmé, že Praha zůstane sídlem a střediskem českého kulturního života a že nyní jako taková roz</w:t>
      </w:r>
      <w:r>
        <w:softHyphen/>
        <w:t>kvete. Doufáme, že Češi právě za nových poměrů na</w:t>
      </w:r>
      <w:r>
        <w:softHyphen/>
        <w:t xml:space="preserve">leznou sebe a svoje poslání. Neutěšená směsice ameri- kanismu, </w:t>
      </w:r>
      <w:r>
        <w:t>francouzského hautgout, kulturně-bolševic- kých experimentů, která byla v posledních letech vy</w:t>
      </w:r>
      <w:r>
        <w:softHyphen/>
        <w:t>dávána za českou kulturu, ustoupí — doufejme — skutečnému národnímu kulturnímu životu.</w:t>
      </w:r>
    </w:p>
    <w:p w:rsidR="00500724" w:rsidRDefault="00F30FB8">
      <w:pPr>
        <w:pStyle w:val="Zkladntext30"/>
        <w:shd w:val="clear" w:color="auto" w:fill="auto"/>
        <w:spacing w:line="204" w:lineRule="auto"/>
        <w:ind w:firstLine="240"/>
      </w:pPr>
      <w:r>
        <w:t>Přes to zbude Němcům v Praze úkolů dost a dost. Ve výstavbě města bude zál</w:t>
      </w:r>
      <w:r>
        <w:t>ežeti na tom, abychom za</w:t>
      </w:r>
      <w:r>
        <w:softHyphen/>
        <w:t>chovali dědictví, které je nám drahé, a abychom je rozvinuli. Německo se dnes nachází v údobí staveb</w:t>
      </w:r>
      <w:r>
        <w:softHyphen/>
        <w:t>ního rozmachu. Praze se dostane podílu na této nové výstavbě. Němečtí architekti budou smět pro Prahu navrhovat jenom to nejlepší,</w:t>
      </w:r>
      <w:r>
        <w:t xml:space="preserve"> neboť zde vejdou do sou</w:t>
      </w:r>
      <w:r>
        <w:softHyphen/>
        <w:t>těže s českými staviteli. Rozhodovat bude jakost vý</w:t>
      </w:r>
      <w:r>
        <w:softHyphen/>
        <w:t>konu. Bude-li nová Praha postavena převážně Němci nebo Čechy, o tom nebude rozhodovat politická moc, nýbrž umělecký výkon. Protektorát otevřel jediné cestu německému stavebnímu ře</w:t>
      </w:r>
      <w:r>
        <w:t>meslu k volné soutěži, ale nezaručil mu žádný monopol. Praha se stane městem, na němž se projeví německá výtvarná schop</w:t>
      </w:r>
      <w:r>
        <w:softHyphen/>
        <w:t>nost, důstojná vlastní minulosti — což v mnoha jiných německých městech nebyla tak nesnadná úloha, po</w:t>
      </w:r>
      <w:r>
        <w:softHyphen/>
        <w:t>něvadž tam nebyla dána tak pevná h</w:t>
      </w:r>
      <w:r>
        <w:t>istorická forma — nýbrž kde musí vejiti v soutěž i s výtvarnou tvoři</w:t>
      </w:r>
      <w:r>
        <w:softHyphen/>
        <w:t>vostí národa cizího.</w:t>
      </w:r>
    </w:p>
    <w:p w:rsidR="00500724" w:rsidRDefault="00F30FB8">
      <w:pPr>
        <w:pStyle w:val="Zkladntext30"/>
        <w:shd w:val="clear" w:color="auto" w:fill="auto"/>
        <w:spacing w:after="200" w:line="204" w:lineRule="auto"/>
        <w:ind w:firstLine="0"/>
        <w:jc w:val="center"/>
      </w:pPr>
      <w:r>
        <w:t>•</w:t>
      </w:r>
    </w:p>
    <w:p w:rsidR="00500724" w:rsidRDefault="00F30FB8">
      <w:pPr>
        <w:pStyle w:val="Zkladntext30"/>
        <w:shd w:val="clear" w:color="auto" w:fill="auto"/>
        <w:spacing w:line="202" w:lineRule="auto"/>
        <w:ind w:firstLine="240"/>
      </w:pPr>
      <w:r>
        <w:t>I v jiných oblastech se stane Praha dějištěm míru</w:t>
      </w:r>
      <w:r>
        <w:softHyphen/>
        <w:t>milovného, ale vášnivého zápolení. V hudbě jsmef vždycky bez závisti a s obdivem uznávali veliké, ve své oblasti n</w:t>
      </w:r>
      <w:r>
        <w:t>edosažitelné výkony Čechů. Nehledíc k vrchol</w:t>
      </w:r>
      <w:r>
        <w:softHyphen/>
        <w:t>ným výtvorům německé hudby v německém hudeb</w:t>
      </w:r>
      <w:r>
        <w:softHyphen/>
        <w:t>ním dramatu Wagnerově a v symfonické hudbě Beethovenově, namáháme se vytvořiti lidovou operní hudbu a lidovou hudbu vůbec v takové čistotě citové, bezprostřednosti výr</w:t>
      </w:r>
      <w:r>
        <w:t xml:space="preserve">azové a při tom hloubce </w:t>
      </w:r>
      <w:r>
        <w:rPr>
          <w:b/>
          <w:bCs/>
        </w:rPr>
        <w:t xml:space="preserve">a </w:t>
      </w:r>
      <w:r>
        <w:t>srozumitelnosti, jako to dovedou Češi. Chystáme-li sa zříditi v Praze německé divadlo, německou operu, sál německé komorní hudby, nespatřujte v tom pokus za- tlačiti českou tvorbu do pozadí, nýbrž naši upřímnou vůli soutěžiti se S</w:t>
      </w:r>
      <w:r>
        <w:t>lovany v oblasti, kde jsme vždycky uznávali originalitu a velikost českého výkonu. Pokud vůbec může jeden národ plodně ovlivnit druhý, nechť nás hudebnost českého národa usměrní právě tak, jako německá výtvarná tvořivost pomůže snad zame- ziti českému sklo</w:t>
      </w:r>
      <w:r>
        <w:t>nu k mnohosti a k rozvlátosti (v architektuře na příklad).</w:t>
      </w:r>
    </w:p>
    <w:p w:rsidR="00500724" w:rsidRDefault="00F30FB8">
      <w:pPr>
        <w:pStyle w:val="Zkladntext30"/>
        <w:shd w:val="clear" w:color="auto" w:fill="auto"/>
        <w:spacing w:line="204" w:lineRule="auto"/>
      </w:pPr>
      <w:r>
        <w:t>Německá universita v Praze promění se především v říšskou školu vysokého učení. Je to nejstarší němec</w:t>
      </w:r>
      <w:r>
        <w:softHyphen/>
        <w:t>ká universita, ale to je čestný titul, kterého je třeba stále znovu dobývat. Píše proto klade n</w:t>
      </w:r>
      <w:r>
        <w:t>a německou universitu v Praze zvláštní požadavky. Musí se stát elitním ústavem nejen po stránce výkonné, ale i po</w:t>
      </w:r>
      <w:r>
        <w:softHyphen/>
        <w:t>kud jde o morální stav učitelů a posluchačů. I zde cítí</w:t>
      </w:r>
      <w:r>
        <w:softHyphen/>
        <w:t>me potřebu ukázat českému národu, jak se dnes vy</w:t>
      </w:r>
      <w:r>
        <w:softHyphen/>
        <w:t>vinuje německá věda a akademický živo</w:t>
      </w:r>
      <w:r>
        <w:t>t, ale právě tak podrobiti vlastní výkony soutěži jiného národa, je</w:t>
      </w:r>
      <w:r>
        <w:softHyphen/>
        <w:t>hož píli a učelivost jsme vždycky uznávali.</w:t>
      </w:r>
    </w:p>
    <w:p w:rsidR="00500724" w:rsidRDefault="00F30FB8">
      <w:pPr>
        <w:pStyle w:val="Zkladntext30"/>
        <w:shd w:val="clear" w:color="auto" w:fill="auto"/>
        <w:spacing w:line="202" w:lineRule="auto"/>
      </w:pPr>
      <w:r>
        <w:t>Praha bude míti mezi městy velkoněmecké říše vždycky výjimečné postavení. Zůstane městem, kde bude německý živel obyvatelstvem vždycky v menši</w:t>
      </w:r>
      <w:r>
        <w:softHyphen/>
      </w:r>
      <w:r>
        <w:t>ně, tedy vždycky na stráži, vždycky pod kontrolou silnější cizí národnosti. Z této situace vyrůstají Něm</w:t>
      </w:r>
      <w:r>
        <w:softHyphen/>
        <w:t>cům zvláštní úkoly. Zde se bude německá kulturní práce měřit s cizím příkladem a cizím výkonem. Zá</w:t>
      </w:r>
      <w:r>
        <w:softHyphen/>
        <w:t>roveň má býti národu, který se dvě desetiletí vědomě</w:t>
      </w:r>
      <w:r>
        <w:t xml:space="preserve"> a z mocí politického diktátu uzavíral před národem německým, ukázána nová tvář německé kultury </w:t>
      </w:r>
      <w:r>
        <w:rPr>
          <w:b/>
          <w:bCs/>
        </w:rPr>
        <w:t xml:space="preserve">z </w:t>
      </w:r>
      <w:r>
        <w:t>blízka. Nemá být tomuto cizímu národu, který stojí pod ochranou Píše, ani diktována, ani vnucována. Kdyby Němci měli podobné úmysly, nebyli by stvořili autono</w:t>
      </w:r>
      <w:r>
        <w:t>mní statut, nebyli by vybrali Němce z Čechů a učinili je říšskými občany, nýbrž byli by oba národy spravovali územně pod společnými úřady.</w:t>
      </w:r>
    </w:p>
    <w:p w:rsidR="00500724" w:rsidRDefault="00F30FB8">
      <w:pPr>
        <w:pStyle w:val="Zkladntext30"/>
        <w:shd w:val="clear" w:color="auto" w:fill="auto"/>
        <w:spacing w:line="204" w:lineRule="auto"/>
      </w:pPr>
      <w:r>
        <w:t>Praha je dále první velké město, kde němectví nové říše naráží na cizí národnost, a kde jde o to dokázati, že lze dos</w:t>
      </w:r>
      <w:r>
        <w:t>áhnouti kulturní a duchovní spolužití růz</w:t>
      </w:r>
      <w:r>
        <w:softHyphen/>
        <w:t>ných národů ve společném velkém východním pro</w:t>
      </w:r>
      <w:r>
        <w:softHyphen/>
        <w:t>storu. Nemůže býti pochyby, že po mezihře versaillské, která měla v zápětí balkanisování jižní Evropy, vy</w:t>
      </w:r>
      <w:r>
        <w:softHyphen/>
        <w:t>růstá nový hospodářský prostor, který strhává umělé hranice, z</w:t>
      </w:r>
      <w:r>
        <w:t>abezpečuje však hranice národní a zabezpe</w:t>
      </w:r>
      <w:r>
        <w:softHyphen/>
        <w:t>čuje politickou jednotnost jižní Evropy. Vlastně ne</w:t>
      </w:r>
      <w:r>
        <w:softHyphen/>
        <w:t>bylo nikdy sporné, že k takovému řešení jednou dojde. Sporné jenom bylo, stane-li se to pod vedením Němec</w:t>
      </w:r>
      <w:r>
        <w:softHyphen/>
        <w:t xml:space="preserve">ka nebo Ruska. Kulturní složka není nijak vedlejší, pro </w:t>
      </w:r>
      <w:r>
        <w:t>mírumilovné spolužití národů je dokonce rozho</w:t>
      </w:r>
      <w:r>
        <w:softHyphen/>
        <w:t>dující. Zde se musí nová tvář německého člověka, kte</w:t>
      </w:r>
      <w:r>
        <w:softHyphen/>
        <w:t>rý vychází z mohutných proměn po 1914, teprve osvědčiti. Tento úkol začíná v Praze a dnes zatím ne</w:t>
      </w:r>
      <w:r>
        <w:softHyphen/>
        <w:t>víme, kde končí.</w:t>
      </w:r>
    </w:p>
    <w:p w:rsidR="00500724" w:rsidRDefault="00F30FB8">
      <w:pPr>
        <w:pStyle w:val="Zkladntext30"/>
        <w:shd w:val="clear" w:color="auto" w:fill="auto"/>
        <w:spacing w:after="360" w:line="204" w:lineRule="auto"/>
      </w:pPr>
      <w:r>
        <w:t>Tvrdíme-li tedy, že se má Praha státi něm</w:t>
      </w:r>
      <w:r>
        <w:t>eckým kulturním střediskem, neznamená to, že má ustati býti kulturním střediskem českým. Neznamená to ani, že německá a česká práce kulturní má zde stejné úko</w:t>
      </w:r>
      <w:r>
        <w:softHyphen/>
        <w:t>ly. Praha se pro veškeré Němectvo nikdy nestane centrem, jako je jím Berlín. Mnichov, Vídeň. Prah</w:t>
      </w:r>
      <w:r>
        <w:t xml:space="preserve">a dostane zvláštní úkol, jako třeba Stuttgart </w:t>
      </w:r>
      <w:r>
        <w:rPr>
          <w:lang w:val="en-US" w:eastAsia="en-US" w:bidi="en-US"/>
        </w:rPr>
        <w:t xml:space="preserve">a Breslau, </w:t>
      </w:r>
      <w:r>
        <w:t>jako Kolín a Frankfurt. A tento zvláštní úkol je před</w:t>
      </w:r>
      <w:r>
        <w:softHyphen/>
        <w:t>určen spolužitím s Čechy, postavením pražských Němců ve slovanském prostředí, pražským výrazem k tomu, aby se stal prahem k východním národům. Ch</w:t>
      </w:r>
      <w:r>
        <w:t xml:space="preserve">ystáme se získávat! národy pro svou myšlenku, pro svou kulturní vůli, </w:t>
      </w:r>
      <w:r>
        <w:rPr>
          <w:b/>
          <w:bCs/>
        </w:rPr>
        <w:t xml:space="preserve">a </w:t>
      </w:r>
      <w:r>
        <w:t>chystáme se vejiti v soutě</w:t>
      </w:r>
      <w:r>
        <w:softHyphen/>
        <w:t>žení se slovanskou kulturou, nechceme ji však ani po</w:t>
      </w:r>
      <w:r>
        <w:softHyphen/>
        <w:t xml:space="preserve">tlačovat! ani oloupit! </w:t>
      </w:r>
      <w:r>
        <w:rPr>
          <w:b/>
          <w:bCs/>
        </w:rPr>
        <w:t xml:space="preserve">o </w:t>
      </w:r>
      <w:r>
        <w:t xml:space="preserve">její svéráz. Právě tak, </w:t>
      </w:r>
      <w:r>
        <w:rPr>
          <w:b/>
          <w:bCs/>
        </w:rPr>
        <w:t xml:space="preserve">jako se </w:t>
      </w:r>
      <w:r>
        <w:t>ve starém císařském městě Praze vyvinovala něme</w:t>
      </w:r>
      <w:r>
        <w:t>cká kultura vedle slovanské, a jako ve zdech města tak na venkově zůstala po staletí zachována silná národ</w:t>
      </w:r>
      <w:r>
        <w:softHyphen/>
        <w:t>nost, právě tak, doufáme, vyvine se v nové říši míru</w:t>
      </w:r>
      <w:r>
        <w:softHyphen/>
        <w:t xml:space="preserve">milovný a po prvních třenicích — šťastný společný </w:t>
      </w:r>
      <w:r>
        <w:rPr>
          <w:i/>
          <w:iCs/>
        </w:rPr>
        <w:t>ži</w:t>
      </w:r>
      <w:r>
        <w:rPr>
          <w:i/>
          <w:iCs/>
        </w:rPr>
        <w:softHyphen/>
        <w:t>vot</w:t>
      </w:r>
      <w:r>
        <w:t xml:space="preserve"> obou národů.</w:t>
      </w:r>
    </w:p>
    <w:p w:rsidR="00500724" w:rsidRDefault="00F30FB8">
      <w:pPr>
        <w:pStyle w:val="Nadpis90"/>
        <w:keepNext/>
        <w:keepLines/>
        <w:pBdr>
          <w:bottom w:val="single" w:sz="4" w:space="0" w:color="auto"/>
        </w:pBdr>
        <w:shd w:val="clear" w:color="auto" w:fill="auto"/>
        <w:spacing w:after="300"/>
      </w:pPr>
      <w:bookmarkStart w:id="548" w:name="bookmark547"/>
      <w:r>
        <w:rPr>
          <w:rFonts w:ascii="Times New Roman" w:eastAsia="Times New Roman" w:hAnsi="Times New Roman" w:cs="Times New Roman"/>
        </w:rPr>
        <w:t>sport a hry</w:t>
      </w:r>
      <w:bookmarkEnd w:id="548"/>
    </w:p>
    <w:p w:rsidR="00500724" w:rsidRDefault="00F30FB8">
      <w:pPr>
        <w:pStyle w:val="Zkladntext40"/>
        <w:shd w:val="clear" w:color="auto" w:fill="auto"/>
        <w:spacing w:line="269" w:lineRule="auto"/>
      </w:pPr>
      <w:r>
        <w:rPr>
          <w:b/>
          <w:bCs/>
          <w:i/>
          <w:iCs/>
          <w:lang w:val="en-US" w:eastAsia="en-US" w:bidi="en-US"/>
        </w:rPr>
        <w:t xml:space="preserve">A. Mr </w:t>
      </w:r>
      <w:r>
        <w:rPr>
          <w:b/>
          <w:bCs/>
          <w:i/>
          <w:iCs/>
        </w:rPr>
        <w:t>á z:</w:t>
      </w:r>
    </w:p>
    <w:p w:rsidR="00500724" w:rsidRDefault="00F30FB8">
      <w:pPr>
        <w:pStyle w:val="Nadpis100"/>
        <w:shd w:val="clear" w:color="auto" w:fill="auto"/>
        <w:spacing w:after="60" w:line="214" w:lineRule="auto"/>
      </w:pPr>
      <w:bookmarkStart w:id="549" w:name="bookmark548"/>
      <w:r>
        <w:t xml:space="preserve">Ke </w:t>
      </w:r>
      <w:r>
        <w:t>zrušení fooťballového</w:t>
      </w:r>
      <w:r>
        <w:br/>
        <w:t>profesionalismu u nás</w:t>
      </w:r>
      <w:bookmarkEnd w:id="549"/>
    </w:p>
    <w:p w:rsidR="00500724" w:rsidRDefault="00F30FB8">
      <w:pPr>
        <w:pStyle w:val="Zkladntext40"/>
        <w:shd w:val="clear" w:color="auto" w:fill="auto"/>
        <w:spacing w:after="0" w:line="288" w:lineRule="auto"/>
        <w:ind w:firstLine="220"/>
        <w:rPr>
          <w:sz w:val="14"/>
          <w:szCs w:val="14"/>
        </w:rPr>
      </w:pPr>
      <w:r>
        <w:rPr>
          <w:b/>
          <w:bCs/>
          <w:sz w:val="14"/>
          <w:szCs w:val="14"/>
        </w:rPr>
        <w:t xml:space="preserve">Do 31. května 1939 bude v Protektorátu rozvázána </w:t>
      </w:r>
      <w:r>
        <w:rPr>
          <w:b/>
          <w:bCs/>
          <w:sz w:val="16"/>
          <w:szCs w:val="16"/>
        </w:rPr>
        <w:t xml:space="preserve">po* </w:t>
      </w:r>
      <w:r>
        <w:rPr>
          <w:b/>
          <w:bCs/>
          <w:sz w:val="14"/>
          <w:szCs w:val="14"/>
        </w:rPr>
        <w:t>slední smlouva s posledním českým a moravským prO* fesionálem.</w:t>
      </w:r>
    </w:p>
    <w:p w:rsidR="00500724" w:rsidRDefault="00F30FB8">
      <w:pPr>
        <w:pStyle w:val="Zkladntext40"/>
        <w:shd w:val="clear" w:color="auto" w:fill="auto"/>
        <w:spacing w:line="288" w:lineRule="auto"/>
        <w:ind w:firstLine="220"/>
        <w:rPr>
          <w:sz w:val="14"/>
          <w:szCs w:val="14"/>
        </w:rPr>
      </w:pPr>
      <w:r>
        <w:rPr>
          <w:b/>
          <w:bCs/>
          <w:sz w:val="14"/>
          <w:szCs w:val="14"/>
        </w:rPr>
        <w:t xml:space="preserve">Pro každé jiné sportovní hnutí byla by taková </w:t>
      </w:r>
      <w:r>
        <w:rPr>
          <w:b/>
          <w:bCs/>
          <w:sz w:val="16"/>
          <w:szCs w:val="16"/>
        </w:rPr>
        <w:t xml:space="preserve">udá* </w:t>
      </w:r>
      <w:r>
        <w:rPr>
          <w:b/>
          <w:bCs/>
          <w:sz w:val="14"/>
          <w:szCs w:val="14"/>
          <w:lang w:val="en-US" w:eastAsia="en-US" w:bidi="en-US"/>
        </w:rPr>
        <w:t xml:space="preserve">lost </w:t>
      </w:r>
      <w:r>
        <w:rPr>
          <w:b/>
          <w:bCs/>
          <w:sz w:val="14"/>
          <w:szCs w:val="14"/>
        </w:rPr>
        <w:t>mezníkem nového vývoje, věc dějinného vý</w:t>
      </w:r>
      <w:r>
        <w:rPr>
          <w:b/>
          <w:bCs/>
          <w:sz w:val="14"/>
          <w:szCs w:val="14"/>
        </w:rPr>
        <w:t xml:space="preserve">znamy. Český </w:t>
      </w:r>
      <w:r>
        <w:rPr>
          <w:b/>
          <w:bCs/>
          <w:sz w:val="14"/>
          <w:szCs w:val="14"/>
          <w:lang w:val="en-US" w:eastAsia="en-US" w:bidi="en-US"/>
        </w:rPr>
        <w:t xml:space="preserve">football, </w:t>
      </w:r>
      <w:r>
        <w:rPr>
          <w:b/>
          <w:bCs/>
          <w:sz w:val="14"/>
          <w:szCs w:val="14"/>
        </w:rPr>
        <w:t xml:space="preserve">ěeské sportovní hnutí bere zrušení pro* fesionalismu na vědomost bez nadějných úvodníku^ v rozpačitém mlčení a s kyselou tváří, jak bereme </w:t>
      </w:r>
      <w:r>
        <w:rPr>
          <w:b/>
          <w:bCs/>
          <w:sz w:val="16"/>
          <w:szCs w:val="16"/>
        </w:rPr>
        <w:t xml:space="preserve">na </w:t>
      </w:r>
      <w:r>
        <w:rPr>
          <w:b/>
          <w:bCs/>
          <w:sz w:val="14"/>
          <w:szCs w:val="14"/>
        </w:rPr>
        <w:t xml:space="preserve">vědomost zprávu o nenadálém vyhoštění půvabné </w:t>
      </w:r>
      <w:r>
        <w:rPr>
          <w:b/>
          <w:bCs/>
          <w:sz w:val="16"/>
          <w:szCs w:val="16"/>
        </w:rPr>
        <w:t>sleč</w:t>
      </w:r>
      <w:r>
        <w:rPr>
          <w:b/>
          <w:bCs/>
          <w:sz w:val="16"/>
          <w:szCs w:val="16"/>
        </w:rPr>
        <w:softHyphen/>
      </w:r>
      <w:r>
        <w:rPr>
          <w:b/>
          <w:bCs/>
          <w:sz w:val="14"/>
          <w:szCs w:val="14"/>
        </w:rPr>
        <w:t>ny, která nám po dobu své působnosti při</w:t>
      </w:r>
      <w:r>
        <w:rPr>
          <w:b/>
          <w:bCs/>
          <w:sz w:val="14"/>
          <w:szCs w:val="14"/>
        </w:rPr>
        <w:t>pravila lec</w:t>
      </w:r>
      <w:r>
        <w:rPr>
          <w:b/>
          <w:bCs/>
          <w:sz w:val="14"/>
          <w:szCs w:val="14"/>
        </w:rPr>
        <w:softHyphen/>
        <w:t>kterou zábavu, poskytla leckterou kratochvíli, pro kte</w:t>
      </w:r>
      <w:r>
        <w:rPr>
          <w:b/>
          <w:bCs/>
          <w:sz w:val="14"/>
          <w:szCs w:val="14"/>
        </w:rPr>
        <w:softHyphen/>
        <w:t xml:space="preserve">rou jsme ji sice stejně velmi milovali jak, pravda, </w:t>
      </w:r>
      <w:r>
        <w:rPr>
          <w:b/>
          <w:bCs/>
          <w:sz w:val="16"/>
          <w:szCs w:val="16"/>
        </w:rPr>
        <w:t xml:space="preserve">málo </w:t>
      </w:r>
      <w:r>
        <w:rPr>
          <w:b/>
          <w:bCs/>
          <w:sz w:val="14"/>
          <w:szCs w:val="14"/>
        </w:rPr>
        <w:t xml:space="preserve">si jí vážili a pro kteroužto kratochvíli jsme přece </w:t>
      </w:r>
      <w:r>
        <w:rPr>
          <w:b/>
          <w:bCs/>
          <w:sz w:val="16"/>
          <w:szCs w:val="16"/>
        </w:rPr>
        <w:t xml:space="preserve">jeB </w:t>
      </w:r>
      <w:r>
        <w:rPr>
          <w:b/>
          <w:bCs/>
          <w:sz w:val="14"/>
          <w:szCs w:val="14"/>
        </w:rPr>
        <w:t>ochotni nahradit půvabnou slečnu nikoliv snad odříká</w:t>
      </w:r>
      <w:r>
        <w:rPr>
          <w:b/>
          <w:bCs/>
          <w:sz w:val="14"/>
          <w:szCs w:val="14"/>
        </w:rPr>
        <w:softHyphen/>
        <w:t>ním ěi legálním svazkem</w:t>
      </w:r>
      <w:r>
        <w:rPr>
          <w:b/>
          <w:bCs/>
          <w:sz w:val="14"/>
          <w:szCs w:val="14"/>
        </w:rPr>
        <w:t xml:space="preserve"> manželským, ale půvabnou slečnou novou, i když snad o něco málo méně profe</w:t>
      </w:r>
      <w:r>
        <w:rPr>
          <w:b/>
          <w:bCs/>
          <w:sz w:val="14"/>
          <w:szCs w:val="14"/>
        </w:rPr>
        <w:softHyphen/>
        <w:t>sionální a o něco málo méně nákladnou.</w:t>
      </w:r>
    </w:p>
    <w:p w:rsidR="00500724" w:rsidRDefault="00F30FB8">
      <w:pPr>
        <w:pStyle w:val="Zkladntext40"/>
        <w:shd w:val="clear" w:color="auto" w:fill="auto"/>
        <w:spacing w:after="0" w:line="288" w:lineRule="auto"/>
        <w:jc w:val="center"/>
        <w:rPr>
          <w:sz w:val="14"/>
          <w:szCs w:val="14"/>
        </w:rPr>
      </w:pPr>
      <w:r>
        <w:rPr>
          <w:b/>
          <w:bCs/>
          <w:sz w:val="14"/>
          <w:szCs w:val="14"/>
        </w:rPr>
        <w:t>Kdo je footballovým profesionálem?</w:t>
      </w:r>
    </w:p>
    <w:p w:rsidR="00500724" w:rsidRDefault="00F30FB8">
      <w:pPr>
        <w:pStyle w:val="Zkladntext40"/>
        <w:shd w:val="clear" w:color="auto" w:fill="auto"/>
        <w:spacing w:after="0" w:line="288" w:lineRule="auto"/>
        <w:ind w:firstLine="220"/>
        <w:rPr>
          <w:sz w:val="14"/>
          <w:szCs w:val="14"/>
        </w:rPr>
      </w:pPr>
      <w:r>
        <w:rPr>
          <w:b/>
          <w:bCs/>
          <w:sz w:val="14"/>
          <w:szCs w:val="14"/>
        </w:rPr>
        <w:t>Podle pravidel a zvyklostí nejvyššího světového foot- ballového ústředí Fi de Fa jest profesionálem osoba,</w:t>
      </w:r>
      <w:r>
        <w:rPr>
          <w:b/>
          <w:bCs/>
          <w:sz w:val="14"/>
          <w:szCs w:val="14"/>
        </w:rPr>
        <w:t xml:space="preserve"> která si sportovní činností zaopatřuje hmotné existenční prostředky.</w:t>
      </w:r>
    </w:p>
    <w:p w:rsidR="00500724" w:rsidRDefault="00F30FB8">
      <w:pPr>
        <w:pStyle w:val="Zkladntext40"/>
        <w:shd w:val="clear" w:color="auto" w:fill="auto"/>
        <w:spacing w:after="0" w:line="288" w:lineRule="auto"/>
        <w:ind w:firstLine="220"/>
        <w:rPr>
          <w:sz w:val="14"/>
          <w:szCs w:val="14"/>
        </w:rPr>
      </w:pPr>
      <w:r>
        <w:rPr>
          <w:b/>
          <w:bCs/>
          <w:sz w:val="14"/>
          <w:szCs w:val="14"/>
        </w:rPr>
        <w:t xml:space="preserve">Amatérem jest osoba, která si hmotné existenční </w:t>
      </w:r>
      <w:r>
        <w:rPr>
          <w:b/>
          <w:bCs/>
          <w:sz w:val="16"/>
          <w:szCs w:val="16"/>
        </w:rPr>
        <w:t>pro</w:t>
      </w:r>
      <w:r>
        <w:rPr>
          <w:b/>
          <w:bCs/>
          <w:sz w:val="16"/>
          <w:szCs w:val="16"/>
        </w:rPr>
        <w:softHyphen/>
      </w:r>
      <w:r>
        <w:rPr>
          <w:b/>
          <w:bCs/>
          <w:sz w:val="14"/>
          <w:szCs w:val="14"/>
        </w:rPr>
        <w:t>středky sportovní činností nezaopatřuje.</w:t>
      </w:r>
    </w:p>
    <w:p w:rsidR="00500724" w:rsidRDefault="00F30FB8">
      <w:pPr>
        <w:pStyle w:val="Zkladntext40"/>
        <w:shd w:val="clear" w:color="auto" w:fill="auto"/>
        <w:spacing w:after="0" w:line="288" w:lineRule="auto"/>
        <w:ind w:firstLine="220"/>
        <w:rPr>
          <w:sz w:val="14"/>
          <w:szCs w:val="14"/>
        </w:rPr>
      </w:pPr>
      <w:r>
        <w:rPr>
          <w:b/>
          <w:bCs/>
          <w:sz w:val="14"/>
          <w:szCs w:val="14"/>
        </w:rPr>
        <w:t>Tak byl na příklad profesionálem ěs. mezinárodni brankář Kaliba, člen žižkovského periferního</w:t>
      </w:r>
      <w:r>
        <w:rPr>
          <w:b/>
          <w:bCs/>
          <w:sz w:val="14"/>
          <w:szCs w:val="14"/>
        </w:rPr>
        <w:t xml:space="preserve"> klubu, který svou sportovní činností zaopatřoval </w:t>
      </w:r>
      <w:r>
        <w:rPr>
          <w:b/>
          <w:bCs/>
          <w:sz w:val="16"/>
          <w:szCs w:val="16"/>
        </w:rPr>
        <w:t xml:space="preserve">hmotné </w:t>
      </w:r>
      <w:r>
        <w:rPr>
          <w:b/>
          <w:bCs/>
          <w:sz w:val="14"/>
          <w:szCs w:val="14"/>
        </w:rPr>
        <w:t xml:space="preserve">existenční prostředky majiteli footballové zábavné </w:t>
      </w:r>
      <w:r>
        <w:rPr>
          <w:b/>
          <w:bCs/>
          <w:sz w:val="16"/>
          <w:szCs w:val="16"/>
        </w:rPr>
        <w:t>aré</w:t>
      </w:r>
      <w:r>
        <w:rPr>
          <w:b/>
          <w:bCs/>
          <w:sz w:val="16"/>
          <w:szCs w:val="16"/>
        </w:rPr>
        <w:softHyphen/>
      </w:r>
      <w:r>
        <w:rPr>
          <w:b/>
          <w:bCs/>
          <w:sz w:val="14"/>
          <w:szCs w:val="14"/>
        </w:rPr>
        <w:t>ny v Edenu.</w:t>
      </w:r>
    </w:p>
    <w:p w:rsidR="00500724" w:rsidRDefault="00F30FB8">
      <w:pPr>
        <w:pStyle w:val="Zkladntext40"/>
        <w:shd w:val="clear" w:color="auto" w:fill="auto"/>
        <w:spacing w:after="0" w:line="288" w:lineRule="auto"/>
        <w:ind w:firstLine="220"/>
        <w:rPr>
          <w:sz w:val="14"/>
          <w:szCs w:val="14"/>
        </w:rPr>
      </w:pPr>
      <w:r>
        <w:rPr>
          <w:b/>
          <w:bCs/>
          <w:sz w:val="14"/>
          <w:szCs w:val="14"/>
        </w:rPr>
        <w:t xml:space="preserve">Tak byl na příklad amatérem Sobotka, bývalý centr* forward ěs. národního mužstva, syn presidiálního </w:t>
      </w:r>
      <w:r>
        <w:rPr>
          <w:b/>
          <w:bCs/>
          <w:sz w:val="16"/>
          <w:szCs w:val="16"/>
        </w:rPr>
        <w:t xml:space="preserve">šéfa, </w:t>
      </w:r>
      <w:r>
        <w:rPr>
          <w:b/>
          <w:bCs/>
          <w:sz w:val="14"/>
          <w:szCs w:val="14"/>
        </w:rPr>
        <w:t xml:space="preserve">který svou sportovní činností hmotné, existenční </w:t>
      </w:r>
      <w:r>
        <w:rPr>
          <w:b/>
          <w:bCs/>
          <w:sz w:val="16"/>
          <w:szCs w:val="16"/>
        </w:rPr>
        <w:t>pro</w:t>
      </w:r>
      <w:r>
        <w:rPr>
          <w:b/>
          <w:bCs/>
          <w:sz w:val="16"/>
          <w:szCs w:val="16"/>
        </w:rPr>
        <w:softHyphen/>
      </w:r>
      <w:r>
        <w:rPr>
          <w:b/>
          <w:bCs/>
          <w:sz w:val="14"/>
          <w:szCs w:val="14"/>
        </w:rPr>
        <w:t>středky nikomu nezaopatřoval.</w:t>
      </w:r>
    </w:p>
    <w:p w:rsidR="00500724" w:rsidRDefault="00F30FB8">
      <w:pPr>
        <w:pStyle w:val="Zkladntext40"/>
        <w:shd w:val="clear" w:color="auto" w:fill="auto"/>
        <w:spacing w:after="0" w:line="288" w:lineRule="auto"/>
        <w:ind w:firstLine="220"/>
        <w:rPr>
          <w:sz w:val="14"/>
          <w:szCs w:val="14"/>
        </w:rPr>
      </w:pPr>
      <w:r>
        <w:rPr>
          <w:b/>
          <w:bCs/>
          <w:sz w:val="14"/>
          <w:szCs w:val="14"/>
        </w:rPr>
        <w:t xml:space="preserve">Nevím, co dnes amatér Sobotka podniká. Vím jen, </w:t>
      </w:r>
      <w:r>
        <w:rPr>
          <w:b/>
          <w:bCs/>
          <w:sz w:val="16"/>
          <w:szCs w:val="16"/>
        </w:rPr>
        <w:t xml:space="preserve">že </w:t>
      </w:r>
      <w:r>
        <w:rPr>
          <w:b/>
          <w:bCs/>
          <w:sz w:val="14"/>
          <w:szCs w:val="14"/>
        </w:rPr>
        <w:t>1 když nepodniká nic, nevede se mu nikterak neutěšené.</w:t>
      </w:r>
    </w:p>
    <w:p w:rsidR="00500724" w:rsidRDefault="00F30FB8">
      <w:pPr>
        <w:pStyle w:val="Zkladntext40"/>
        <w:shd w:val="clear" w:color="auto" w:fill="auto"/>
        <w:spacing w:line="288" w:lineRule="auto"/>
        <w:ind w:firstLine="220"/>
        <w:rPr>
          <w:sz w:val="14"/>
          <w:szCs w:val="14"/>
        </w:rPr>
      </w:pPr>
      <w:r>
        <w:rPr>
          <w:b/>
          <w:bCs/>
          <w:sz w:val="14"/>
          <w:szCs w:val="14"/>
        </w:rPr>
        <w:t>Stejně nevím, co by dnes podnikal profesionál Kaliba, kdyby jen neb</w:t>
      </w:r>
      <w:r>
        <w:rPr>
          <w:b/>
          <w:bCs/>
          <w:sz w:val="14"/>
          <w:szCs w:val="14"/>
        </w:rPr>
        <w:t xml:space="preserve">yl před třemi roky umřel na tuberkulosu, nezanechav po sobě ani tolik, aby mohl být slušně, </w:t>
      </w:r>
      <w:r>
        <w:rPr>
          <w:b/>
          <w:bCs/>
          <w:sz w:val="16"/>
          <w:szCs w:val="16"/>
        </w:rPr>
        <w:t>lid</w:t>
      </w:r>
      <w:r>
        <w:rPr>
          <w:b/>
          <w:bCs/>
          <w:sz w:val="16"/>
          <w:szCs w:val="16"/>
        </w:rPr>
        <w:softHyphen/>
      </w:r>
      <w:r>
        <w:rPr>
          <w:b/>
          <w:bCs/>
          <w:sz w:val="14"/>
          <w:szCs w:val="14"/>
        </w:rPr>
        <w:t>sky pohřben. Vím jen, že vše, co podnikal, od nosiče zavazadel na Masarykově nádraží až po jarmarečního vyvolávaěe v Edenu, podnikal velmi neutěšeně.</w:t>
      </w:r>
    </w:p>
    <w:p w:rsidR="00500724" w:rsidRDefault="00F30FB8">
      <w:pPr>
        <w:pStyle w:val="Zkladntext40"/>
        <w:shd w:val="clear" w:color="auto" w:fill="auto"/>
        <w:spacing w:after="0" w:line="288" w:lineRule="auto"/>
        <w:jc w:val="center"/>
        <w:rPr>
          <w:sz w:val="14"/>
          <w:szCs w:val="14"/>
        </w:rPr>
      </w:pPr>
      <w:r>
        <w:rPr>
          <w:b/>
          <w:bCs/>
          <w:sz w:val="14"/>
          <w:szCs w:val="14"/>
        </w:rPr>
        <w:t>Není vše z</w:t>
      </w:r>
      <w:r>
        <w:rPr>
          <w:b/>
          <w:bCs/>
          <w:sz w:val="14"/>
          <w:szCs w:val="14"/>
        </w:rPr>
        <w:t>lato...</w:t>
      </w:r>
    </w:p>
    <w:p w:rsidR="00500724" w:rsidRDefault="00F30FB8">
      <w:pPr>
        <w:pStyle w:val="Zkladntext40"/>
        <w:shd w:val="clear" w:color="auto" w:fill="auto"/>
        <w:spacing w:after="0" w:line="276" w:lineRule="auto"/>
        <w:ind w:firstLine="220"/>
        <w:rPr>
          <w:sz w:val="14"/>
          <w:szCs w:val="14"/>
        </w:rPr>
      </w:pPr>
      <w:r>
        <w:rPr>
          <w:b/>
          <w:bCs/>
          <w:sz w:val="14"/>
          <w:szCs w:val="14"/>
        </w:rPr>
        <w:t>Tolik jen úvodem, abyste nahlédli, že být footballo</w:t>
      </w:r>
      <w:r>
        <w:rPr>
          <w:b/>
          <w:bCs/>
          <w:sz w:val="14"/>
          <w:szCs w:val="14"/>
        </w:rPr>
        <w:softHyphen/>
        <w:t xml:space="preserve">vým profesionálem neznamená ještě samo o sobě — jak </w:t>
      </w:r>
      <w:r>
        <w:rPr>
          <w:b/>
          <w:bCs/>
          <w:sz w:val="16"/>
          <w:szCs w:val="16"/>
        </w:rPr>
        <w:t xml:space="preserve">by </w:t>
      </w:r>
      <w:r>
        <w:rPr>
          <w:b/>
          <w:bCs/>
          <w:sz w:val="14"/>
          <w:szCs w:val="14"/>
        </w:rPr>
        <w:t xml:space="preserve">se vám snad snažili namluvit poctiví, ale poněkud přehorliví amatéři — bohatství, slávu,, zajištěnou existenci, společenské postavení, zatím </w:t>
      </w:r>
      <w:r>
        <w:rPr>
          <w:b/>
          <w:bCs/>
          <w:sz w:val="14"/>
          <w:szCs w:val="14"/>
        </w:rPr>
        <w:t>co být amatérem znamená pravý opak: bídu a hlad.</w:t>
      </w:r>
    </w:p>
    <w:p w:rsidR="00500724" w:rsidRDefault="00F30FB8">
      <w:pPr>
        <w:pStyle w:val="Zkladntext40"/>
        <w:shd w:val="clear" w:color="auto" w:fill="auto"/>
        <w:spacing w:line="288" w:lineRule="auto"/>
        <w:ind w:firstLine="220"/>
        <w:rPr>
          <w:sz w:val="14"/>
          <w:szCs w:val="14"/>
        </w:rPr>
      </w:pPr>
      <w:r>
        <w:rPr>
          <w:b/>
          <w:bCs/>
          <w:sz w:val="14"/>
          <w:szCs w:val="14"/>
        </w:rPr>
        <w:t>Otázka sportovního profesionalismu a amatérství je příliš složitá, než aby se dala vyřešit pouhým rovnítkem a příliš důležitá, než aby zůstala nerozřešená vůbec. Ba domnívám se dokonce, že zdravě rozřešená o</w:t>
      </w:r>
      <w:r>
        <w:rPr>
          <w:b/>
          <w:bCs/>
          <w:sz w:val="14"/>
          <w:szCs w:val="14"/>
        </w:rPr>
        <w:t>tázka pro</w:t>
      </w:r>
      <w:r>
        <w:rPr>
          <w:b/>
          <w:bCs/>
          <w:sz w:val="14"/>
          <w:szCs w:val="14"/>
        </w:rPr>
        <w:softHyphen/>
        <w:t>fesionalismu a amatérství je nezbytným základem kaž</w:t>
      </w:r>
      <w:r>
        <w:rPr>
          <w:b/>
          <w:bCs/>
          <w:sz w:val="14"/>
          <w:szCs w:val="14"/>
        </w:rPr>
        <w:softHyphen/>
        <w:t>dého mravně zdravého rozvoje sportovního hnutí.</w:t>
      </w:r>
    </w:p>
    <w:p w:rsidR="00500724" w:rsidRDefault="00F30FB8">
      <w:pPr>
        <w:pStyle w:val="Zkladntext1"/>
        <w:shd w:val="clear" w:color="auto" w:fill="auto"/>
        <w:spacing w:after="60" w:line="211" w:lineRule="auto"/>
        <w:ind w:firstLine="0"/>
        <w:jc w:val="center"/>
      </w:pPr>
      <w:r>
        <w:t>Profesionál pracuje, amatér se baví</w:t>
      </w:r>
    </w:p>
    <w:p w:rsidR="00500724" w:rsidRDefault="00F30FB8">
      <w:pPr>
        <w:pStyle w:val="Zkladntext1"/>
        <w:shd w:val="clear" w:color="auto" w:fill="auto"/>
        <w:spacing w:line="211" w:lineRule="auto"/>
      </w:pPr>
      <w:r>
        <w:t xml:space="preserve">Profesionál Braine, mezinárodní střední útočník </w:t>
      </w:r>
      <w:r>
        <w:rPr>
          <w:lang w:val="en-US" w:eastAsia="en-US" w:bidi="en-US"/>
        </w:rPr>
        <w:t xml:space="preserve">AC </w:t>
      </w:r>
      <w:r>
        <w:t>Sparty, považoval svých šest až osm za jediné nedělní utkán</w:t>
      </w:r>
      <w:r>
        <w:t>í v potu tváře naběhaných kilometrů, včetně 60 až 90 kopů do míče a do protivníkových končetin, přede</w:t>
      </w:r>
      <w:r>
        <w:softHyphen/>
        <w:t>vším za úmornou dřinu, zčásti pak za následek dědič</w:t>
      </w:r>
      <w:r>
        <w:softHyphen/>
        <w:t xml:space="preserve">ného hříchu, zčásti za neocenitelnou oběť, přinášenou footballovému odboru </w:t>
      </w:r>
      <w:r>
        <w:rPr>
          <w:lang w:val="en-US" w:eastAsia="en-US" w:bidi="en-US"/>
        </w:rPr>
        <w:t xml:space="preserve">AC </w:t>
      </w:r>
      <w:r>
        <w:t>Sparty.</w:t>
      </w:r>
    </w:p>
    <w:p w:rsidR="00500724" w:rsidRDefault="00F30FB8">
      <w:pPr>
        <w:pStyle w:val="Zkladntext1"/>
        <w:shd w:val="clear" w:color="auto" w:fill="auto"/>
        <w:spacing w:line="211" w:lineRule="auto"/>
      </w:pPr>
      <w:r>
        <w:t>Amatér Vaník, me</w:t>
      </w:r>
      <w:r>
        <w:t>zinárodní střední útočník čs. ná</w:t>
      </w:r>
      <w:r>
        <w:softHyphen/>
        <w:t>rodního mužstva, který skončil svoji sportovní kariéru dříve, než mohl být přistižen footballovým profesiona- lismem, považoval tentýž výkon za tělesnou rekreaci a zábavu.</w:t>
      </w:r>
    </w:p>
    <w:p w:rsidR="00500724" w:rsidRDefault="00F30FB8">
      <w:pPr>
        <w:pStyle w:val="Zkladntext1"/>
        <w:shd w:val="clear" w:color="auto" w:fill="auto"/>
        <w:spacing w:line="211" w:lineRule="auto"/>
      </w:pPr>
      <w:r>
        <w:t xml:space="preserve">Braine, stručně řečeno, odpracoval si svůj smluvní </w:t>
      </w:r>
      <w:r>
        <w:t>pracovní úkon.</w:t>
      </w:r>
    </w:p>
    <w:p w:rsidR="00500724" w:rsidRDefault="00F30FB8">
      <w:pPr>
        <w:pStyle w:val="Zkladntext1"/>
        <w:shd w:val="clear" w:color="auto" w:fill="auto"/>
        <w:spacing w:after="60" w:line="211" w:lineRule="auto"/>
      </w:pPr>
      <w:r>
        <w:t>Vaník si zahrál.</w:t>
      </w:r>
    </w:p>
    <w:p w:rsidR="00500724" w:rsidRDefault="00F30FB8">
      <w:pPr>
        <w:pStyle w:val="Zkladntext40"/>
        <w:shd w:val="clear" w:color="auto" w:fill="auto"/>
        <w:spacing w:line="240" w:lineRule="auto"/>
        <w:jc w:val="center"/>
        <w:rPr>
          <w:sz w:val="14"/>
          <w:szCs w:val="14"/>
        </w:rPr>
      </w:pPr>
      <w:r>
        <w:rPr>
          <w:b/>
          <w:bCs/>
          <w:sz w:val="14"/>
          <w:szCs w:val="14"/>
        </w:rPr>
        <w:t>Amatér pracuje, profesionál se baví</w:t>
      </w:r>
    </w:p>
    <w:p w:rsidR="00500724" w:rsidRDefault="00F30FB8">
      <w:pPr>
        <w:pStyle w:val="Zkladntext1"/>
        <w:shd w:val="clear" w:color="auto" w:fill="auto"/>
        <w:spacing w:line="211" w:lineRule="auto"/>
      </w:pPr>
      <w:r>
        <w:t xml:space="preserve">Ale i dvacetiletý </w:t>
      </w:r>
      <w:r>
        <w:rPr>
          <w:lang w:val="en-US" w:eastAsia="en-US" w:bidi="en-US"/>
        </w:rPr>
        <w:t xml:space="preserve">Raymond </w:t>
      </w:r>
      <w:r>
        <w:t>Braine byl v Belgii ama</w:t>
      </w:r>
      <w:r>
        <w:softHyphen/>
        <w:t xml:space="preserve">térem s občanským zaměstnáním. Jenže </w:t>
      </w:r>
      <w:r>
        <w:rPr>
          <w:lang w:val="en-US" w:eastAsia="en-US" w:bidi="en-US"/>
        </w:rPr>
        <w:t xml:space="preserve">Raymond </w:t>
      </w:r>
      <w:r>
        <w:t xml:space="preserve">Braine, amatér, který byl zvyklý po celý týden v ant- verpské kavárně pracovat (byl totiž náhodou číšníkem), naučil se jako </w:t>
      </w:r>
      <w:r>
        <w:rPr>
          <w:lang w:val="en-US" w:eastAsia="en-US" w:bidi="en-US"/>
        </w:rPr>
        <w:t xml:space="preserve">Raymond </w:t>
      </w:r>
      <w:r>
        <w:t>Braine, profesionál, po celý týden v pražské kavárně zahálet.</w:t>
      </w:r>
    </w:p>
    <w:p w:rsidR="00500724" w:rsidRDefault="00F30FB8">
      <w:pPr>
        <w:pStyle w:val="Zkladntext1"/>
        <w:shd w:val="clear" w:color="auto" w:fill="auto"/>
        <w:spacing w:line="211" w:lineRule="auto"/>
      </w:pPr>
      <w:r>
        <w:t xml:space="preserve">A tuto svoji zahálku provozoval pak spolu s ostatními českými </w:t>
      </w:r>
      <w:r>
        <w:t>profesionály záhy tak důkladně a mistrně — počínaje dopolední hrou v karty a kulečník a konče nočním tanečním lokálem — že se stalo pravidelně nutné unášet před důležitějšími zápasy celá kompletní naše footballová mužstva včetně náhradníků z Prahy a inter</w:t>
      </w:r>
      <w:r>
        <w:softHyphen/>
      </w:r>
      <w:r>
        <w:t>novat je na odlehlých místech v lesních samotách, kde jim bylo přísně, pod dozorem klubových funkcionářů uloženo odpočinout si, nikoliv od své práce, ale od své zahálky a od svých zábav.</w:t>
      </w:r>
    </w:p>
    <w:p w:rsidR="00500724" w:rsidRDefault="00F30FB8">
      <w:pPr>
        <w:pStyle w:val="Zkladntext1"/>
        <w:shd w:val="clear" w:color="auto" w:fill="auto"/>
        <w:spacing w:after="60" w:line="211" w:lineRule="auto"/>
      </w:pPr>
      <w:r>
        <w:t>Slovem: rozdíl, nepřeklenutelná propast mezi sportov</w:t>
      </w:r>
      <w:r>
        <w:softHyphen/>
        <w:t>ním amatérem a s</w:t>
      </w:r>
      <w:r>
        <w:t>portovním profesionálem tkví v tom, že zatím a po čas, co amatér pracuje, profesionál se baví a že zatím a po čas, co amatér se baví, profesionál pracuje.</w:t>
      </w:r>
    </w:p>
    <w:p w:rsidR="00500724" w:rsidRDefault="00F30FB8">
      <w:pPr>
        <w:pStyle w:val="Zkladntext1"/>
        <w:shd w:val="clear" w:color="auto" w:fill="auto"/>
        <w:spacing w:after="60" w:line="211" w:lineRule="auto"/>
        <w:ind w:firstLine="0"/>
        <w:jc w:val="center"/>
      </w:pPr>
      <w:r>
        <w:t>Trh na moderní gladiátory</w:t>
      </w:r>
    </w:p>
    <w:p w:rsidR="00500724" w:rsidRDefault="00F30FB8">
      <w:pPr>
        <w:pStyle w:val="Zkladntext1"/>
        <w:shd w:val="clear" w:color="auto" w:fill="auto"/>
        <w:spacing w:line="209" w:lineRule="auto"/>
      </w:pPr>
      <w:r>
        <w:t>K tomu nutno přiznat, že Braine, a to dříve než jej ještě mohl stihnout osu</w:t>
      </w:r>
      <w:r>
        <w:t>d Kalibův, našel přece jen svoji cestu zpátky a jeho případ, ač byl zakončen nechutnou policejní aférou, není daleko ještě ten nejpohoršlivější.</w:t>
      </w:r>
    </w:p>
    <w:p w:rsidR="00500724" w:rsidRDefault="00F30FB8">
      <w:pPr>
        <w:pStyle w:val="Zkladntext1"/>
        <w:shd w:val="clear" w:color="auto" w:fill="auto"/>
        <w:spacing w:after="60" w:line="209" w:lineRule="auto"/>
      </w:pPr>
      <w:r>
        <w:t>Vždyť není tomu ještě tak příliš dávno, co v jedné vídeňské kavárně pravidelně zasedala černá bursa, jakýsi trh</w:t>
      </w:r>
      <w:r>
        <w:t xml:space="preserve"> na moderní gladiátory, na kterém maďarští a rakouští profesionální footballisté byli efektováui jako zboží podle nabídky a poptávky mezinárodních spor</w:t>
      </w:r>
      <w:r>
        <w:softHyphen/>
        <w:t>tovních makléřů a podnikatelů.</w:t>
      </w:r>
    </w:p>
    <w:p w:rsidR="00500724" w:rsidRDefault="00F30FB8">
      <w:pPr>
        <w:pStyle w:val="Zkladntext1"/>
        <w:shd w:val="clear" w:color="auto" w:fill="auto"/>
        <w:spacing w:after="60" w:line="209" w:lineRule="auto"/>
      </w:pPr>
      <w:r>
        <w:t>A mnohým z vás zajisté ještě nevymizelo z pamětí, jak náhle, přes noc a t</w:t>
      </w:r>
      <w:r>
        <w:t>akřka k snídani, bez stanov, bez klubové tradice, bez členstva vznikl v Brně profesionální klub »Blue Start, který dokonce ohrozil primát pražské Slavie.</w:t>
      </w:r>
    </w:p>
    <w:p w:rsidR="00500724" w:rsidRDefault="00F30FB8">
      <w:pPr>
        <w:pStyle w:val="Zkladntext1"/>
        <w:shd w:val="clear" w:color="auto" w:fill="auto"/>
        <w:spacing w:after="60" w:line="218" w:lineRule="auto"/>
      </w:pPr>
      <w:r>
        <w:t>Stačilo tu prostě několik finančně silných jedinců, kteří se o pravé poslání sportu starali stejně mál</w:t>
      </w:r>
      <w:r>
        <w:t xml:space="preserve">o jako </w:t>
      </w:r>
      <w:r>
        <w:rPr>
          <w:b/>
          <w:bCs/>
          <w:sz w:val="14"/>
          <w:szCs w:val="14"/>
        </w:rPr>
        <w:t xml:space="preserve">se </w:t>
      </w:r>
      <w:r>
        <w:t>starali o své sportovní zboží, jakmile jen pro zranění či nemoc ztratilo trhovou cenu a muselo být vzato 3 oběhu.</w:t>
      </w:r>
    </w:p>
    <w:p w:rsidR="00500724" w:rsidRDefault="00F30FB8">
      <w:pPr>
        <w:pStyle w:val="Zkladntext1"/>
        <w:shd w:val="clear" w:color="auto" w:fill="auto"/>
        <w:spacing w:after="60" w:line="211" w:lineRule="auto"/>
        <w:ind w:firstLine="0"/>
        <w:jc w:val="center"/>
      </w:pPr>
      <w:r>
        <w:t>Není-li amatérem váš krejčí?</w:t>
      </w:r>
    </w:p>
    <w:p w:rsidR="00500724" w:rsidRDefault="00F30FB8">
      <w:pPr>
        <w:pStyle w:val="Zkladntext1"/>
        <w:shd w:val="clear" w:color="auto" w:fill="auto"/>
        <w:spacing w:line="211" w:lineRule="auto"/>
      </w:pPr>
      <w:r>
        <w:t>Nemělo by smyslu zapírat, že přes všechno, co jsme si zde řekli — a o čemž mnozí nevědí či nechtějí věd</w:t>
      </w:r>
      <w:r>
        <w:t>ět jsou footballoví nadšenci, kteří prohlašují, že profe</w:t>
      </w:r>
      <w:r>
        <w:softHyphen/>
        <w:t>sionalismus ve sportu je věc stejně přirozená jako pro</w:t>
      </w:r>
      <w:r>
        <w:softHyphen/>
        <w:t>fesionalismus v řemesle, živnosti, obchodu či svobodném povolání. »Není-li amatérem,« namítají, »váš krejčí, vaše kuchařka, váš lékař, není na m</w:t>
      </w:r>
      <w:r>
        <w:t>ístě požadovat, aby</w:t>
      </w:r>
    </w:p>
    <w:p w:rsidR="00500724" w:rsidRDefault="00F30FB8">
      <w:pPr>
        <w:pStyle w:val="Zkladntext1"/>
        <w:shd w:val="clear" w:color="auto" w:fill="auto"/>
        <w:spacing w:line="211" w:lineRule="auto"/>
        <w:ind w:firstLine="0"/>
        <w:jc w:val="left"/>
      </w:pPr>
      <w:r>
        <w:t>byl amatérem váš centrforward.í</w:t>
      </w:r>
    </w:p>
    <w:p w:rsidR="00500724" w:rsidRDefault="00F30FB8">
      <w:pPr>
        <w:pStyle w:val="Zkladntext1"/>
        <w:shd w:val="clear" w:color="auto" w:fill="auto"/>
        <w:spacing w:line="211" w:lineRule="auto"/>
      </w:pPr>
      <w:r>
        <w:t>I kdyby se vám tato argumentace zdála na prvý po</w:t>
      </w:r>
      <w:r>
        <w:softHyphen/>
        <w:t>hled skutečně přijatelnou, a takovou se zdá většině činovníků naší footballové asociace, neukvapujte se, prosím, se svým úsudkem.</w:t>
      </w:r>
    </w:p>
    <w:p w:rsidR="00500724" w:rsidRDefault="00F30FB8">
      <w:pPr>
        <w:pStyle w:val="Zkladntext1"/>
        <w:shd w:val="clear" w:color="auto" w:fill="auto"/>
        <w:spacing w:line="211" w:lineRule="auto"/>
        <w:ind w:firstLine="240"/>
      </w:pPr>
      <w:r>
        <w:t>Váš krejčí ušije vám kalh</w:t>
      </w:r>
      <w:r>
        <w:t>oty, bez kterých byste musel chodit zahalen v ložní prádlo jako Beduín, vaše ku</w:t>
      </w:r>
      <w:r>
        <w:softHyphen/>
        <w:t>chařka uvaří vám oběd (nemylte se — i v restauracích a v bufetech vaří kuchařky), bez kterého byste umřel hlady, váš lékař vyoperuje vám slepé střevo, bez kte</w:t>
      </w:r>
      <w:r>
        <w:softHyphen/>
        <w:t>réžto operace bys</w:t>
      </w:r>
      <w:r>
        <w:t>te umřel na zánět slepého střeva jako divoch a nikoliv na následky operace a trombosu jako mladý civilisovaný muž a jako mladá civilisovaná žena.</w:t>
      </w:r>
    </w:p>
    <w:p w:rsidR="00500724" w:rsidRDefault="00F30FB8">
      <w:pPr>
        <w:pStyle w:val="Zkladntext1"/>
        <w:shd w:val="clear" w:color="auto" w:fill="auto"/>
        <w:spacing w:line="211" w:lineRule="auto"/>
        <w:ind w:firstLine="240"/>
      </w:pPr>
      <w:r>
        <w:t xml:space="preserve">Potřebujete prostě existenci krejčího, kuchařky </w:t>
      </w:r>
      <w:r>
        <w:rPr>
          <w:b/>
          <w:bCs/>
          <w:sz w:val="14"/>
          <w:szCs w:val="14"/>
        </w:rPr>
        <w:t xml:space="preserve">a </w:t>
      </w:r>
      <w:r>
        <w:t>lékaře nezbytně pro svoji existenci. K čemu však je vám exis</w:t>
      </w:r>
      <w:r>
        <w:t>tence vašeho profesionálního centrforwarda?</w:t>
      </w:r>
    </w:p>
    <w:p w:rsidR="00500724" w:rsidRDefault="00F30FB8">
      <w:pPr>
        <w:pStyle w:val="Zkladntext1"/>
        <w:shd w:val="clear" w:color="auto" w:fill="auto"/>
        <w:spacing w:after="100" w:line="211" w:lineRule="auto"/>
        <w:ind w:firstLine="240"/>
      </w:pPr>
      <w:r>
        <w:t>»Ah!« odpovíte. » Podívaná na sportovní výkon centr</w:t>
      </w:r>
      <w:r>
        <w:softHyphen/>
        <w:t>forwarda Bicana poskytuje mi bezmála stejné vzrušení a stejnou zábavu jako pohled na herecký výkon paní Antonie Nedošínské.c</w:t>
      </w:r>
    </w:p>
    <w:p w:rsidR="00500724" w:rsidRDefault="00F30FB8">
      <w:pPr>
        <w:pStyle w:val="Zkladntext1"/>
        <w:shd w:val="clear" w:color="auto" w:fill="auto"/>
        <w:spacing w:after="100" w:line="211" w:lineRule="auto"/>
        <w:ind w:firstLine="0"/>
        <w:jc w:val="center"/>
      </w:pPr>
      <w:r>
        <w:t>Přebytečné povolání</w:t>
      </w:r>
    </w:p>
    <w:p w:rsidR="00500724" w:rsidRDefault="00F30FB8">
      <w:pPr>
        <w:pStyle w:val="Zkladntext1"/>
        <w:shd w:val="clear" w:color="auto" w:fill="auto"/>
        <w:spacing w:line="211" w:lineRule="auto"/>
        <w:ind w:firstLine="240"/>
      </w:pPr>
      <w:r>
        <w:t xml:space="preserve">Nuže budiž! </w:t>
      </w:r>
      <w:r>
        <w:t>Přesvědčili jsme se už, doufám, o tom, že povolání profesionálního sportovce je povolání na</w:t>
      </w:r>
      <w:r>
        <w:softHyphen/>
        <w:t>prosto znemravňující, které ubíjí nejen tělesně i duševně profesionála, ale jest s to nakazit svým byť i velmi do</w:t>
      </w:r>
      <w:r>
        <w:softHyphen/>
        <w:t>časným životem zahaleče a lenocha i dosud zdravě s</w:t>
      </w:r>
      <w:r>
        <w:t>mýšlející rozum a cit sportovce amatéra.</w:t>
      </w:r>
    </w:p>
    <w:p w:rsidR="00500724" w:rsidRDefault="00F30FB8">
      <w:pPr>
        <w:pStyle w:val="Zkladntext1"/>
        <w:shd w:val="clear" w:color="auto" w:fill="auto"/>
        <w:spacing w:line="211" w:lineRule="auto"/>
        <w:ind w:firstLine="240"/>
      </w:pPr>
      <w:r>
        <w:t>Zbývá nám už jen dokázat, že zatím co krejčí, ku</w:t>
      </w:r>
      <w:r>
        <w:softHyphen/>
        <w:t>chařka, lékař, herečka mají — o čemž snad nikdo ne</w:t>
      </w:r>
      <w:r>
        <w:softHyphen/>
        <w:t>pochybuje — svoji důležitou funkci společenskou, foot- Lallísta profesionál této společenské funkce naprosto postrá</w:t>
      </w:r>
      <w:r>
        <w:t>dá. Zbývá nám už jen dokázat, že povolání foot- ballisty profesionála je naprosto přebytečným povolá</w:t>
      </w:r>
      <w:r>
        <w:softHyphen/>
        <w:t>ním. (Řekl bych povoláním trubce, kdyby jen trubec neměl svůj důležitý úkol populační, kterému se footbal- lový profesionál s oblibou vyhýbá.)</w:t>
      </w:r>
    </w:p>
    <w:p w:rsidR="00500724" w:rsidRDefault="00F30FB8">
      <w:pPr>
        <w:pStyle w:val="Zkladntext1"/>
        <w:shd w:val="clear" w:color="auto" w:fill="auto"/>
        <w:spacing w:line="211" w:lineRule="auto"/>
        <w:ind w:firstLine="240"/>
      </w:pPr>
      <w:r>
        <w:t>Vidíte: Jest</w:t>
      </w:r>
      <w:r>
        <w:t xml:space="preserve"> vyloučené, aby váš krejčí vám ušil kal</w:t>
      </w:r>
      <w:r>
        <w:softHyphen/>
        <w:t>hoty a současně uvařil váš oběd. Není však nikterak vy</w:t>
      </w:r>
      <w:r>
        <w:softHyphen/>
        <w:t>loučené, aby váš lékař vám vyoperoval vaše slepé střevo a půl hodiny poté zaujal místo vašeho centrforwarda. Ubezpečuji vás, že dr. Pušbauer, dlouholetý člen naš</w:t>
      </w:r>
      <w:r>
        <w:t>eho národního hockeyového mužstva, něco podobného k veškeré spokojenosti české sportovní veřejnosti sku</w:t>
      </w:r>
      <w:r>
        <w:softHyphen/>
        <w:t>tečně provádí.</w:t>
      </w:r>
    </w:p>
    <w:p w:rsidR="00500724" w:rsidRDefault="00F30FB8">
      <w:pPr>
        <w:pStyle w:val="Zkladntext1"/>
        <w:shd w:val="clear" w:color="auto" w:fill="auto"/>
        <w:spacing w:line="211" w:lineRule="auto"/>
        <w:ind w:firstLine="240"/>
      </w:pPr>
      <w:r>
        <w:t>Krátce: občanské povolání krejčího a lékaře, ač se vy</w:t>
      </w:r>
      <w:r>
        <w:softHyphen/>
        <w:t>lučuje navzájem, nikterak nevylučuje činnost výkon</w:t>
      </w:r>
      <w:r>
        <w:softHyphen/>
        <w:t>ného sportovce. A dáte-li nám za</w:t>
      </w:r>
      <w:r>
        <w:t xml:space="preserve"> pravdu i v této věci, pak padl už poslední důvod pro vydržování výhradního profesionálního zahaleče bez občanského zaměstnání. (Pokud si ovšem jsme zajedno, že návštěva kavárny, bio</w:t>
      </w:r>
      <w:r>
        <w:softHyphen/>
        <w:t>grafu a vinárny občanským zaměstnáním není.)</w:t>
      </w:r>
    </w:p>
    <w:p w:rsidR="00500724" w:rsidRDefault="00F30FB8">
      <w:pPr>
        <w:pStyle w:val="Zkladntext1"/>
        <w:shd w:val="clear" w:color="auto" w:fill="auto"/>
        <w:spacing w:after="100" w:line="211" w:lineRule="auto"/>
        <w:ind w:firstLine="240"/>
      </w:pPr>
      <w:r>
        <w:t>A nadto lékař dr. Pušbauer p</w:t>
      </w:r>
      <w:r>
        <w:t>odává ještě mnohem lepší sportovní výkon, než leckterý kanadský profe</w:t>
      </w:r>
      <w:r>
        <w:softHyphen/>
        <w:t>sionál, kterého místo, aby jej pojila láska ke klubové vlajce, odděluje od klubu protiklad zájmů zaměstnance k zaměstnavateli, onen neradostný vztah profesionála, který neustále podezřív</w:t>
      </w:r>
      <w:r>
        <w:t>á direktorium, že mu nevyplácí onu gáži, která mu vším právem přísluší. Takový hráč jest pak kdykoliv ochoten místo poctivého hráčského výkonu zahájit podvratnou záškodnickou resistenci. Není přece nikterak vzácný případ, že celé profesionální mužstvo muse</w:t>
      </w:r>
      <w:r>
        <w:t>lo být direktoriem pro vlažný výkon na hřišti potrestáno citelnou peněžitou pokutou.</w:t>
      </w:r>
    </w:p>
    <w:p w:rsidR="00500724" w:rsidRDefault="00F30FB8">
      <w:pPr>
        <w:pStyle w:val="Zkladntext1"/>
        <w:shd w:val="clear" w:color="auto" w:fill="auto"/>
        <w:spacing w:after="100" w:line="211" w:lineRule="auto"/>
        <w:ind w:firstLine="0"/>
        <w:jc w:val="center"/>
      </w:pPr>
      <w:r>
        <w:t>Nikomu už ani haléře!</w:t>
      </w:r>
    </w:p>
    <w:p w:rsidR="00500724" w:rsidRDefault="00F30FB8">
      <w:pPr>
        <w:pStyle w:val="Zkladntext1"/>
        <w:shd w:val="clear" w:color="auto" w:fill="auto"/>
        <w:spacing w:line="211" w:lineRule="auto"/>
        <w:ind w:firstLine="240"/>
      </w:pPr>
      <w:r>
        <w:t>»Už dost!« slyším, jak voláte. »Takový zlořád, tako</w:t>
      </w:r>
      <w:r>
        <w:softHyphen/>
        <w:t>vou hanebnost jsme tedy trpěli. Pro takovou ohavnost snášeli jsme naše ostudné mezinárodní porážk</w:t>
      </w:r>
      <w:r>
        <w:t>y doma i v zahraničí? Bohu dík, že byl zrušen profesionalismus. Nedáme už ani haléře za vstupné na zápas. Nezaplatíme nikomu už ani haléře členských příspěvků. Af hraje pan Bican ze záliby a z lásky ke klubové vlajce !&lt;</w:t>
      </w:r>
    </w:p>
    <w:p w:rsidR="00500724" w:rsidRDefault="00F30FB8">
      <w:pPr>
        <w:pStyle w:val="Zkladntext1"/>
        <w:shd w:val="clear" w:color="auto" w:fill="auto"/>
        <w:spacing w:line="211" w:lineRule="auto"/>
        <w:ind w:firstLine="240"/>
      </w:pPr>
      <w:r>
        <w:t>Je mi líto, musím-li vás znova upozo</w:t>
      </w:r>
      <w:r>
        <w:t>rnit, že jste se va svém pochopitelném rozhořčení opět poněkud ukvapili.</w:t>
      </w:r>
    </w:p>
    <w:p w:rsidR="00500724" w:rsidRDefault="00F30FB8">
      <w:pPr>
        <w:pStyle w:val="Zkladntext40"/>
        <w:shd w:val="clear" w:color="auto" w:fill="auto"/>
        <w:spacing w:after="100" w:line="240" w:lineRule="auto"/>
        <w:ind w:firstLine="240"/>
        <w:rPr>
          <w:sz w:val="14"/>
          <w:szCs w:val="14"/>
        </w:rPr>
        <w:sectPr w:rsidR="00500724">
          <w:footnotePr>
            <w:numFmt w:val="chicago"/>
            <w:numRestart w:val="eachPage"/>
          </w:footnotePr>
          <w:pgSz w:w="11909" w:h="16834"/>
          <w:pgMar w:top="1420" w:right="915" w:bottom="814" w:left="556" w:header="0" w:footer="3" w:gutter="0"/>
          <w:cols w:num="2" w:space="100"/>
          <w:noEndnote/>
          <w:docGrid w:linePitch="360"/>
        </w:sectPr>
      </w:pPr>
      <w:r>
        <w:rPr>
          <w:b/>
          <w:bCs/>
          <w:sz w:val="14"/>
          <w:szCs w:val="14"/>
        </w:rPr>
        <w:t>O tom, že Bican — po vzoru mnohých jiných našich</w:t>
      </w:r>
    </w:p>
    <w:p w:rsidR="00500724" w:rsidRDefault="00F30FB8">
      <w:pPr>
        <w:spacing w:line="14" w:lineRule="exact"/>
      </w:pPr>
      <w:r>
        <w:rPr>
          <w:noProof/>
        </w:rPr>
        <mc:AlternateContent>
          <mc:Choice Requires="wps">
            <w:drawing>
              <wp:anchor distT="0" distB="76200" distL="114300" distR="1028700" simplePos="0" relativeHeight="125829916" behindDoc="0" locked="0" layoutInCell="1" allowOverlap="1">
                <wp:simplePos x="0" y="0"/>
                <wp:positionH relativeFrom="page">
                  <wp:posOffset>3072765</wp:posOffset>
                </wp:positionH>
                <wp:positionV relativeFrom="paragraph">
                  <wp:posOffset>12700</wp:posOffset>
                </wp:positionV>
                <wp:extent cx="372110" cy="389890"/>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372110" cy="389890"/>
                        </a:xfrm>
                        <a:prstGeom prst="rect">
                          <a:avLst/>
                        </a:prstGeom>
                        <a:noFill/>
                      </wps:spPr>
                      <wps:txbx>
                        <w:txbxContent>
                          <w:p w:rsidR="00500724" w:rsidRDefault="00F30FB8">
                            <w:pPr>
                              <w:pStyle w:val="Jin0"/>
                              <w:shd w:val="clear" w:color="auto" w:fill="auto"/>
                              <w:ind w:firstLine="0"/>
                              <w:jc w:val="left"/>
                              <w:rPr>
                                <w:sz w:val="44"/>
                                <w:szCs w:val="44"/>
                              </w:rPr>
                            </w:pPr>
                            <w:r>
                              <w:rPr>
                                <w:rFonts w:ascii="Calibri" w:eastAsia="Calibri" w:hAnsi="Calibri" w:cs="Calibri"/>
                                <w:b/>
                                <w:bCs/>
                                <w:w w:val="70"/>
                                <w:sz w:val="44"/>
                                <w:szCs w:val="44"/>
                              </w:rPr>
                              <w:t>Pfft</w:t>
                            </w:r>
                          </w:p>
                        </w:txbxContent>
                      </wps:txbx>
                      <wps:bodyPr lIns="0" tIns="0" rIns="0" bIns="0">
                        <a:spAutoFit/>
                      </wps:bodyPr>
                    </wps:wsp>
                  </a:graphicData>
                </a:graphic>
              </wp:anchor>
            </w:drawing>
          </mc:Choice>
          <mc:Fallback>
            <w:pict>
              <v:shape id="_x0000_s1565" type="#_x0000_t202" style="position:absolute;margin-left:241.94999999999999pt;margin-top:1.pt;width:29.300000000000001pt;height:30.699999999999999pt;z-index:-125828837;mso-wrap-distance-left:9.pt;mso-wrap-distance-right:81.pt;mso-wrap-distance-bottom:6.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r>
                        <w:rPr>
                          <w:rFonts w:ascii="Calibri" w:eastAsia="Calibri" w:hAnsi="Calibri" w:cs="Calibri"/>
                          <w:b/>
                          <w:bCs/>
                          <w:color w:val="000000"/>
                          <w:spacing w:val="0"/>
                          <w:w w:val="70"/>
                          <w:position w:val="0"/>
                          <w:sz w:val="44"/>
                          <w:szCs w:val="44"/>
                          <w:shd w:val="clear" w:color="auto" w:fill="auto"/>
                          <w:lang w:val="cs-CZ" w:eastAsia="cs-CZ" w:bidi="cs-CZ"/>
                        </w:rPr>
                        <w:t>Pfft</w:t>
                      </w:r>
                    </w:p>
                  </w:txbxContent>
                </v:textbox>
                <w10:wrap type="topAndBottom" anchorx="page"/>
              </v:shape>
            </w:pict>
          </mc:Fallback>
        </mc:AlternateContent>
      </w:r>
      <w:r>
        <w:rPr>
          <w:noProof/>
        </w:rPr>
        <mc:AlternateContent>
          <mc:Choice Requires="wps">
            <w:drawing>
              <wp:anchor distT="152400" distB="113030" distL="492125" distR="516890" simplePos="0" relativeHeight="125829918" behindDoc="0" locked="0" layoutInCell="1" allowOverlap="1">
                <wp:simplePos x="0" y="0"/>
                <wp:positionH relativeFrom="page">
                  <wp:posOffset>3450590</wp:posOffset>
                </wp:positionH>
                <wp:positionV relativeFrom="paragraph">
                  <wp:posOffset>165100</wp:posOffset>
                </wp:positionV>
                <wp:extent cx="506095" cy="201295"/>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506095" cy="201295"/>
                        </a:xfrm>
                        <a:prstGeom prst="rect">
                          <a:avLst/>
                        </a:prstGeom>
                        <a:no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line="240" w:lineRule="auto"/>
                              <w:rPr>
                                <w:sz w:val="24"/>
                                <w:szCs w:val="24"/>
                              </w:rPr>
                            </w:pPr>
                            <w:r>
                              <w:rPr>
                                <w:b w:val="0"/>
                                <w:bCs w:val="0"/>
                                <w:color w:val="FFFFFF"/>
                                <w:sz w:val="24"/>
                                <w:szCs w:val="24"/>
                              </w:rPr>
                              <w:t>•jitu •</w:t>
                            </w:r>
                          </w:p>
                        </w:txbxContent>
                      </wps:txbx>
                      <wps:bodyPr lIns="0" tIns="0" rIns="0" bIns="0">
                        <a:spAutoFit/>
                      </wps:bodyPr>
                    </wps:wsp>
                  </a:graphicData>
                </a:graphic>
              </wp:anchor>
            </w:drawing>
          </mc:Choice>
          <mc:Fallback>
            <w:pict>
              <v:shape id="_x0000_s1567" type="#_x0000_t202" style="position:absolute;margin-left:271.69999999999999pt;margin-top:13.pt;width:39.850000000000001pt;height:15.85pt;z-index:-125828835;mso-wrap-distance-left:38.75pt;mso-wrap-distance-top:12.pt;mso-wrap-distance-right:40.700000000000003pt;mso-wrap-distance-bottom:8.9000000000000004pt;mso-position-horizontal-relative:page" filled="f"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4"/>
                          <w:szCs w:val="24"/>
                        </w:rPr>
                      </w:pPr>
                      <w:r>
                        <w:rPr>
                          <w:b w:val="0"/>
                          <w:bCs w:val="0"/>
                          <w:color w:val="FFFFFF"/>
                          <w:spacing w:val="0"/>
                          <w:w w:val="100"/>
                          <w:position w:val="0"/>
                          <w:sz w:val="24"/>
                          <w:szCs w:val="24"/>
                          <w:shd w:val="clear" w:color="auto" w:fill="auto"/>
                          <w:lang w:val="cs-CZ" w:eastAsia="cs-CZ" w:bidi="cs-CZ"/>
                        </w:rPr>
                        <w:t>•jitu •</w:t>
                      </w:r>
                    </w:p>
                  </w:txbxContent>
                </v:textbox>
                <w10:wrap type="topAndBottom" anchorx="page"/>
              </v:shape>
            </w:pict>
          </mc:Fallback>
        </mc:AlternateContent>
      </w:r>
      <w:r>
        <w:rPr>
          <w:noProof/>
        </w:rPr>
        <mc:AlternateContent>
          <mc:Choice Requires="wps">
            <w:drawing>
              <wp:anchor distT="106680" distB="79375" distL="1004570" distR="114300" simplePos="0" relativeHeight="125829920" behindDoc="0" locked="0" layoutInCell="1" allowOverlap="1">
                <wp:simplePos x="0" y="0"/>
                <wp:positionH relativeFrom="page">
                  <wp:posOffset>3963035</wp:posOffset>
                </wp:positionH>
                <wp:positionV relativeFrom="paragraph">
                  <wp:posOffset>119380</wp:posOffset>
                </wp:positionV>
                <wp:extent cx="396240" cy="280670"/>
                <wp:effectExtent l="0" t="0" r="0" b="0"/>
                <wp:wrapTopAndBottom/>
                <wp:docPr id="543" name="Shape 543"/>
                <wp:cNvGraphicFramePr/>
                <a:graphic xmlns:a="http://schemas.openxmlformats.org/drawingml/2006/main">
                  <a:graphicData uri="http://schemas.microsoft.com/office/word/2010/wordprocessingShape">
                    <wps:wsp>
                      <wps:cNvSpPr txBox="1"/>
                      <wps:spPr>
                        <a:xfrm>
                          <a:off x="0" y="0"/>
                          <a:ext cx="396240" cy="280670"/>
                        </a:xfrm>
                        <a:prstGeom prst="rect">
                          <a:avLst/>
                        </a:prstGeom>
                        <a:noFill/>
                      </wps:spPr>
                      <wps:txbx>
                        <w:txbxContent>
                          <w:p w:rsidR="00500724" w:rsidRDefault="00F30FB8">
                            <w:pPr>
                              <w:pStyle w:val="Jin0"/>
                              <w:shd w:val="clear" w:color="auto" w:fill="auto"/>
                              <w:ind w:firstLine="0"/>
                              <w:jc w:val="left"/>
                              <w:rPr>
                                <w:sz w:val="34"/>
                                <w:szCs w:val="34"/>
                              </w:rPr>
                            </w:pPr>
                            <w:r>
                              <w:rPr>
                                <w:rFonts w:ascii="Arial" w:eastAsia="Arial" w:hAnsi="Arial" w:cs="Arial"/>
                                <w:sz w:val="34"/>
                                <w:szCs w:val="34"/>
                              </w:rPr>
                              <w:t>ISO</w:t>
                            </w:r>
                          </w:p>
                        </w:txbxContent>
                      </wps:txbx>
                      <wps:bodyPr lIns="0" tIns="0" rIns="0" bIns="0">
                        <a:spAutoFit/>
                      </wps:bodyPr>
                    </wps:wsp>
                  </a:graphicData>
                </a:graphic>
              </wp:anchor>
            </w:drawing>
          </mc:Choice>
          <mc:Fallback>
            <w:pict>
              <v:shape id="_x0000_s1569" type="#_x0000_t202" style="position:absolute;margin-left:312.05000000000001pt;margin-top:9.4000000000000004pt;width:31.199999999999999pt;height:22.100000000000001pt;z-index:-125828833;mso-wrap-distance-left:79.099999999999994pt;mso-wrap-distance-top:8.4000000000000004pt;mso-wrap-distance-right:9.pt;mso-wrap-distance-bottom:6.2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ISO</w:t>
                      </w:r>
                    </w:p>
                  </w:txbxContent>
                </v:textbox>
                <w10:wrap type="topAndBottom" anchorx="page"/>
              </v:shape>
            </w:pict>
          </mc:Fallback>
        </mc:AlternateContent>
      </w:r>
    </w:p>
    <w:p w:rsidR="00500724" w:rsidRDefault="00F30FB8">
      <w:pPr>
        <w:pStyle w:val="Zkladntext1"/>
        <w:shd w:val="clear" w:color="auto" w:fill="auto"/>
        <w:spacing w:line="211" w:lineRule="auto"/>
        <w:ind w:firstLine="0"/>
      </w:pPr>
      <w:r>
        <w:t>profesionálů — vymění spíše dres a příslušnost než pev</w:t>
      </w:r>
      <w:r>
        <w:softHyphen/>
        <w:t xml:space="preserve">nou gáži za lásku ke </w:t>
      </w:r>
      <w:r>
        <w:t>klubové vlajce, poučí nás, obávám se, blízká budoucnost.</w:t>
      </w:r>
    </w:p>
    <w:p w:rsidR="00500724" w:rsidRDefault="00F30FB8">
      <w:pPr>
        <w:pStyle w:val="Zkladntext1"/>
        <w:shd w:val="clear" w:color="auto" w:fill="auto"/>
        <w:spacing w:after="80" w:line="211" w:lineRule="auto"/>
      </w:pPr>
      <w:r>
        <w:t>A o tom, že svým voláním: »Nikomu už ani haléře!* upadl jste, jak mnoho jiných přehorlivých amatérů, do druhého, bezmála stejně zhoubného pochybení, poučí vás, doufám, odstavec další.</w:t>
      </w:r>
    </w:p>
    <w:p w:rsidR="00500724" w:rsidRDefault="00F30FB8">
      <w:pPr>
        <w:pStyle w:val="Zkladntext1"/>
        <w:shd w:val="clear" w:color="auto" w:fill="auto"/>
        <w:spacing w:line="211" w:lineRule="auto"/>
        <w:ind w:firstLine="0"/>
        <w:jc w:val="center"/>
      </w:pPr>
      <w:r>
        <w:t>Poslíček versus</w:t>
      </w:r>
      <w:r>
        <w:t xml:space="preserve"> lord</w:t>
      </w:r>
    </w:p>
    <w:p w:rsidR="00500724" w:rsidRDefault="00F30FB8">
      <w:pPr>
        <w:pStyle w:val="Zkladntext1"/>
        <w:shd w:val="clear" w:color="auto" w:fill="auto"/>
        <w:spacing w:line="211" w:lineRule="auto"/>
      </w:pPr>
      <w:r>
        <w:t>Abychom nahlédli, k jakým nemravnostem by nás mohlo dovést naše mravní rozhořčení nad výstřelky sportovního profesionalismu, vraťme se k prvopočátkům moderního sportovního hnutí.</w:t>
      </w:r>
    </w:p>
    <w:p w:rsidR="00500724" w:rsidRDefault="00F30FB8">
      <w:pPr>
        <w:pStyle w:val="Zkladntext1"/>
        <w:shd w:val="clear" w:color="auto" w:fill="auto"/>
        <w:spacing w:after="80" w:line="211" w:lineRule="auto"/>
      </w:pPr>
      <w:r>
        <w:t>To bylo v londýnském Hydeparku. Závodili tam mladí angličtí šlechtici o</w:t>
      </w:r>
      <w:r>
        <w:t xml:space="preserve"> cenu nejrychlejšího muže Albionu. Pohříchu připletl se mezi závodníky malý, neznámý poslíček. A milý poslíček závodil a závodil, až poporážel všechna Jejich lordstva o celou třídu. Uznejte! To byla věc naprosto nesnesitelná. Obyčejný poslíček mistrem Angl</w:t>
      </w:r>
      <w:r>
        <w:t>ie! Bylo nutné bezodkladně podniknout vše po</w:t>
      </w:r>
      <w:r>
        <w:softHyphen/>
        <w:t>třebné, aby takováto spíš společenská než sportovní svatokrádež se vícekráte a už nikdy neopakovala. Je</w:t>
      </w:r>
      <w:r>
        <w:softHyphen/>
        <w:t>diné, pro sportovce správné a čestné řešení, aby se mladí lordové dali mezi poslíčky a nabyli tak služebním</w:t>
      </w:r>
      <w:r>
        <w:t>i po</w:t>
      </w:r>
      <w:r>
        <w:softHyphen/>
        <w:t xml:space="preserve">chůzkami potřebné tělesné průpravy, nikomu, přes chvalně známé anglické </w:t>
      </w:r>
      <w:r>
        <w:rPr>
          <w:lang w:val="en-US" w:eastAsia="en-US" w:bidi="en-US"/>
        </w:rPr>
        <w:t xml:space="preserve">fair play, </w:t>
      </w:r>
      <w:r>
        <w:t>ani na mysl nepřišlo. Ale bez této tělesné průpravy nedalo se s poslíčky zá</w:t>
      </w:r>
      <w:r>
        <w:softHyphen/>
        <w:t>vodit. Poslíčkové byli lepší! Nezbývalo tedy než poslíčky vykázat ze závodů. Jenže jak? Kdyb</w:t>
      </w:r>
      <w:r>
        <w:t>y se jen mladí šlechtici byli spokojili titulem nejrychlejšího lorda Anglie, bývala by byla věc velmi jednoduchá. Po</w:t>
      </w:r>
      <w:r>
        <w:softHyphen/>
        <w:t>slíčkové nebyli lordi. Ale poslíčkové byli — ať už to bylo komu vhod či nic — anglickými občany. Ze závodů o cenu nejhbitějšího muže Albion</w:t>
      </w:r>
      <w:r>
        <w:t>u museli být vyloučeni jako... profesionálové. Tady to tedy začalo. A později, dík ješitnosti a moci mladých anglických lordů, dospěla otázka profesionalismu a amatérství tak daleko, že pro</w:t>
      </w:r>
      <w:r>
        <w:softHyphen/>
        <w:t>fesionálem byl prohlášen každý, kdo se jen živil prací svých rukou</w:t>
      </w:r>
      <w:r>
        <w:t>.</w:t>
      </w:r>
    </w:p>
    <w:p w:rsidR="00500724" w:rsidRDefault="00F30FB8">
      <w:pPr>
        <w:pStyle w:val="Zkladntext1"/>
        <w:shd w:val="clear" w:color="auto" w:fill="auto"/>
        <w:spacing w:line="211" w:lineRule="auto"/>
        <w:ind w:firstLine="0"/>
      </w:pPr>
      <w:r>
        <w:t>Sport jen pro Rothschildy a železničáře?</w:t>
      </w:r>
    </w:p>
    <w:p w:rsidR="00500724" w:rsidRDefault="00F30FB8">
      <w:pPr>
        <w:pStyle w:val="Zkladntext1"/>
        <w:shd w:val="clear" w:color="auto" w:fill="auto"/>
        <w:spacing w:line="211" w:lineRule="auto"/>
      </w:pPr>
      <w:r>
        <w:t>Takovýmto způsobem se u nás — snad pro nedostatek sport provozujících lordů — otázka profesionalismu a amatérství přece jen nikdy neřešila.</w:t>
      </w:r>
    </w:p>
    <w:p w:rsidR="00500724" w:rsidRDefault="00F30FB8">
      <w:pPr>
        <w:pStyle w:val="Zkladntext1"/>
        <w:shd w:val="clear" w:color="auto" w:fill="auto"/>
        <w:spacing w:line="211" w:lineRule="auto"/>
      </w:pPr>
      <w:r>
        <w:t>Ale vidíte: Zasadíte-li se nyní svou platební stávkou o to, aby se na Věc</w:t>
      </w:r>
      <w:r>
        <w:t>heta, Burgra, Daučíka atd. nemohl vynaložit už ani haléř, jak je pak proboha dopravíte na příklad — pokud ovšem nejsou spřízněni se železničá</w:t>
      </w:r>
      <w:r>
        <w:softHyphen/>
        <w:t>řem a mají režii — na mezinárodní utkání do štutgartu, Vídně, Dortmundu, dáte-li mi za pravdu, že dotyční ne</w:t>
      </w:r>
      <w:r>
        <w:softHyphen/>
        <w:t xml:space="preserve">mají </w:t>
      </w:r>
      <w:r>
        <w:t>ani dost soukromých prostředků na drahé jízdné, ani že je nelze dosti dobře, včetně náhradníků a vůdců výpravy, vtěsnat jako slepé pasažéry do jednomístných vagónových zátiší.</w:t>
      </w:r>
    </w:p>
    <w:p w:rsidR="00500724" w:rsidRDefault="00F30FB8">
      <w:pPr>
        <w:pStyle w:val="Zkladntext1"/>
        <w:shd w:val="clear" w:color="auto" w:fill="auto"/>
        <w:spacing w:line="211" w:lineRule="auto"/>
      </w:pPr>
      <w:r>
        <w:t>A i kdyby to snad bylo možné, &gt;jde o sportovce*, řek</w:t>
      </w:r>
      <w:r>
        <w:softHyphen/>
        <w:t xml:space="preserve">nete — pokud jste ještě </w:t>
      </w:r>
      <w:r>
        <w:t>popuzeni jejich nedávnými ne</w:t>
      </w:r>
      <w:r>
        <w:softHyphen/>
        <w:t>úspěchy v ftíši — &gt;ať se dopravují po střeše či po ose pod vagonem!*, pochybuji, že by byli s to podat alespoň přijatelný sportovní výkon (a ten přece po nich žádáte), kdyby konečně na místě byli nuceni přespávat místo v drahém</w:t>
      </w:r>
      <w:r>
        <w:t xml:space="preserve"> hotelu na lavičce v městském parčíku a kdyby místo teplého oběda živili se jako obecná škola na vý</w:t>
      </w:r>
      <w:r>
        <w:softHyphen/>
        <w:t>letě, chlebíčky s máslem a natvrdo uvařenými vajíčky.</w:t>
      </w:r>
    </w:p>
    <w:p w:rsidR="00500724" w:rsidRDefault="00F30FB8">
      <w:pPr>
        <w:pStyle w:val="Zkladntext1"/>
        <w:shd w:val="clear" w:color="auto" w:fill="auto"/>
        <w:spacing w:line="211" w:lineRule="auto"/>
      </w:pPr>
      <w:r>
        <w:t>Kdybyste nedovolili vynaložit peníze na skutečně ne</w:t>
      </w:r>
      <w:r>
        <w:softHyphen/>
        <w:t xml:space="preserve">zbytné výdaje pro výkonné sportovce, a ubezpečuji </w:t>
      </w:r>
      <w:r>
        <w:t>vás, že členové olympijského výboru to do dnešního dne ne</w:t>
      </w:r>
      <w:r>
        <w:softHyphen/>
        <w:t>dovolují — pro tuto věc byl nejlepší sportovec světa Nnrmi prohlášen profesionálem a vyloučen z řad spor</w:t>
      </w:r>
      <w:r>
        <w:softHyphen/>
        <w:t>tovců — pak zasloužili byste se o to, že by se náš sport stal záležitostí vyšších deseti tisí</w:t>
      </w:r>
      <w:r>
        <w:t>c a těch, kteří si po</w:t>
      </w:r>
      <w:r>
        <w:softHyphen/>
        <w:t xml:space="preserve">dobné nákladné cestování, pobyt </w:t>
      </w:r>
      <w:r>
        <w:rPr>
          <w:b/>
          <w:bCs/>
        </w:rPr>
        <w:t xml:space="preserve">v </w:t>
      </w:r>
      <w:r>
        <w:t>cizině atd. mohou dovolit.</w:t>
      </w:r>
    </w:p>
    <w:p w:rsidR="00500724" w:rsidRDefault="00F30FB8">
      <w:pPr>
        <w:pStyle w:val="Zkladntext1"/>
        <w:shd w:val="clear" w:color="auto" w:fill="auto"/>
        <w:spacing w:after="40" w:line="211" w:lineRule="auto"/>
      </w:pPr>
      <w:r>
        <w:t>Přiznejte, že to je tak přibližně to, co jsme zrušením profesionalismu dosáhnout nechtěli.</w:t>
      </w:r>
    </w:p>
    <w:p w:rsidR="00500724" w:rsidRDefault="00F30FB8">
      <w:pPr>
        <w:pStyle w:val="Zkladntext1"/>
        <w:shd w:val="clear" w:color="auto" w:fill="auto"/>
        <w:spacing w:after="60" w:line="211" w:lineRule="auto"/>
        <w:ind w:firstLine="0"/>
        <w:jc w:val="center"/>
      </w:pPr>
      <w:r>
        <w:t>Jaktedynato?</w:t>
      </w:r>
    </w:p>
    <w:p w:rsidR="00500724" w:rsidRDefault="00F30FB8">
      <w:pPr>
        <w:pStyle w:val="Zkladntext1"/>
        <w:shd w:val="clear" w:color="auto" w:fill="auto"/>
        <w:spacing w:after="60" w:line="211" w:lineRule="auto"/>
        <w:ind w:firstLine="200"/>
      </w:pPr>
      <w:r>
        <w:t>Především: Zrušení smluv klubu s hráči nesmí zna</w:t>
      </w:r>
      <w:r>
        <w:softHyphen/>
        <w:t xml:space="preserve">menat nahrazení </w:t>
      </w:r>
      <w:r>
        <w:t>profesionalismu pseudoamatérstvím. Nesmí znamenat, že místo gáže 4500 K dostane Bican prémie ve výši 2500 K. Nesmí znamenat snížení, ale zru</w:t>
      </w:r>
      <w:r>
        <w:softHyphen/>
        <w:t>šení úplat. A musí znamenat bezpodmínečné včleněni dosavadních profesionálů do pracovního procesu. Nebof spokojený,</w:t>
      </w:r>
      <w:r>
        <w:t xml:space="preserve"> slušně zaopatřený krejčí, mající dost práce i dost volné chvíle, bude hrát lepší </w:t>
      </w:r>
      <w:r>
        <w:rPr>
          <w:lang w:val="en-US" w:eastAsia="en-US" w:bidi="en-US"/>
        </w:rPr>
        <w:t xml:space="preserve">football, </w:t>
      </w:r>
      <w:r>
        <w:t>než nespo</w:t>
      </w:r>
      <w:r>
        <w:softHyphen/>
        <w:t>kojený, protože vždy jen dočasný, byf i okamžitě lépe honorovaný profesionál.</w:t>
      </w:r>
    </w:p>
    <w:p w:rsidR="00500724" w:rsidRDefault="00F30FB8">
      <w:pPr>
        <w:pStyle w:val="Zkladntext1"/>
        <w:shd w:val="clear" w:color="auto" w:fill="auto"/>
        <w:spacing w:after="60" w:line="211" w:lineRule="auto"/>
        <w:ind w:firstLine="0"/>
        <w:jc w:val="center"/>
      </w:pPr>
      <w:r>
        <w:t>A nakonec: o pravém poslání &gt;lokálního</w:t>
      </w:r>
      <w:r>
        <w:br/>
        <w:t>derby*</w:t>
      </w:r>
    </w:p>
    <w:p w:rsidR="00500724" w:rsidRDefault="00F30FB8">
      <w:pPr>
        <w:pStyle w:val="Zkladntext1"/>
        <w:shd w:val="clear" w:color="auto" w:fill="auto"/>
        <w:spacing w:after="60" w:line="214" w:lineRule="auto"/>
        <w:ind w:firstLine="200"/>
      </w:pPr>
      <w:r>
        <w:t>Sport vidí svůj nejpřednější c</w:t>
      </w:r>
      <w:r>
        <w:t xml:space="preserve">íl... </w:t>
      </w:r>
      <w:r>
        <w:rPr>
          <w:lang w:val="en-US" w:eastAsia="en-US" w:bidi="en-US"/>
        </w:rPr>
        <w:t xml:space="preserve">in </w:t>
      </w:r>
      <w:r>
        <w:t>corpore sáno. Ve zdravém těle. Nedělní lokální derby Sparta—Slavia není ničím jiným než psychotechnickou zkouškou, zda tělesná kondice atletů Sparty předčí tělesnou kondici atletů Slavie. Tato zkouška sportovní zdatnosti neztra</w:t>
      </w:r>
      <w:r>
        <w:softHyphen/>
        <w:t xml:space="preserve">tila by ani za mák </w:t>
      </w:r>
      <w:r>
        <w:t>na ceně, kdyby se odehrávala — jak se to také někdy děje při důležitějších treningových utkáních, které slouží k výběru hráčů pro representační mužstvo — s vyloučením veřejnosti.</w:t>
      </w:r>
    </w:p>
    <w:p w:rsidR="00500724" w:rsidRDefault="00F30FB8">
      <w:pPr>
        <w:pStyle w:val="Zkladntext1"/>
        <w:shd w:val="clear" w:color="auto" w:fill="auto"/>
        <w:spacing w:after="320" w:line="211" w:lineRule="auto"/>
        <w:ind w:firstLine="200"/>
      </w:pPr>
      <w:r>
        <w:t>A osm korun,- které platíte za své místo k stáni v ocho</w:t>
      </w:r>
      <w:r>
        <w:softHyphen/>
        <w:t>zu na Letné, není nik</w:t>
      </w:r>
      <w:r>
        <w:t xml:space="preserve">terak příspěvkem na Bicanovu gáži. K 8.— krát 20 až 30.000 tvoří díl oné částky, které je třeba k vybudování hřišť, plováren, courtů, cvičitelů, sportovního nářadí, slovem je to díl </w:t>
      </w:r>
      <w:r>
        <w:rPr>
          <w:b/>
          <w:bCs/>
        </w:rPr>
        <w:t xml:space="preserve">oné </w:t>
      </w:r>
      <w:r>
        <w:t>částky, které je třeba k veliké sociální službě, pro- kázané zdraví, z</w:t>
      </w:r>
      <w:r>
        <w:t>datnosti, tělesné kultuře a harmonické- mu vývoji české mládeže — budoucnosti národa.</w:t>
      </w:r>
    </w:p>
    <w:p w:rsidR="00500724" w:rsidRDefault="00F30FB8">
      <w:pPr>
        <w:pStyle w:val="Jin0"/>
        <w:pBdr>
          <w:bottom w:val="single" w:sz="4" w:space="0" w:color="auto"/>
        </w:pBdr>
        <w:shd w:val="clear" w:color="auto" w:fill="auto"/>
        <w:spacing w:after="360"/>
        <w:ind w:firstLine="0"/>
        <w:jc w:val="left"/>
        <w:rPr>
          <w:sz w:val="44"/>
          <w:szCs w:val="44"/>
        </w:rPr>
      </w:pPr>
      <w:r>
        <w:rPr>
          <w:b/>
          <w:bCs/>
          <w:sz w:val="44"/>
          <w:szCs w:val="44"/>
        </w:rPr>
        <w:t>dopisy</w:t>
      </w:r>
    </w:p>
    <w:p w:rsidR="00500724" w:rsidRDefault="00F30FB8">
      <w:pPr>
        <w:pStyle w:val="Zkladntext1"/>
        <w:shd w:val="clear" w:color="auto" w:fill="auto"/>
        <w:spacing w:after="60" w:line="170" w:lineRule="auto"/>
        <w:ind w:firstLine="0"/>
        <w:jc w:val="center"/>
      </w:pPr>
      <w:r>
        <w:rPr>
          <w:b/>
          <w:bCs/>
        </w:rPr>
        <w:t>Odpověď Minkovu gardistovi</w:t>
      </w:r>
    </w:p>
    <w:p w:rsidR="00500724" w:rsidRDefault="00F30FB8">
      <w:pPr>
        <w:pStyle w:val="Zkladntext1"/>
        <w:shd w:val="clear" w:color="auto" w:fill="auto"/>
        <w:spacing w:after="60" w:line="180" w:lineRule="auto"/>
        <w:ind w:left="1280" w:firstLine="0"/>
        <w:jc w:val="left"/>
        <w:rPr>
          <w:sz w:val="18"/>
          <w:szCs w:val="18"/>
        </w:rPr>
      </w:pPr>
      <w:r>
        <w:rPr>
          <w:sz w:val="18"/>
          <w:szCs w:val="18"/>
        </w:rPr>
        <w:t>Vážený pane redaktore,</w:t>
      </w:r>
    </w:p>
    <w:p w:rsidR="00500724" w:rsidRDefault="00F30FB8">
      <w:pPr>
        <w:pStyle w:val="Zkladntext1"/>
        <w:shd w:val="clear" w:color="auto" w:fill="auto"/>
        <w:spacing w:line="180" w:lineRule="auto"/>
        <w:ind w:firstLine="0"/>
        <w:rPr>
          <w:sz w:val="18"/>
          <w:szCs w:val="18"/>
        </w:rPr>
      </w:pPr>
      <w:r>
        <w:rPr>
          <w:sz w:val="18"/>
          <w:szCs w:val="18"/>
        </w:rPr>
        <w:t xml:space="preserve">rád bych se připojil k těm, kteří pomoci Vašeho týdeníku} ^Přítomnost* spojují se se Slováky. Nehodlám psáti o </w:t>
      </w:r>
      <w:r>
        <w:rPr>
          <w:b/>
          <w:bCs/>
        </w:rPr>
        <w:t xml:space="preserve">tom. </w:t>
      </w:r>
      <w:r>
        <w:rPr>
          <w:sz w:val="18"/>
          <w:szCs w:val="18"/>
        </w:rPr>
        <w:t xml:space="preserve">co dobrého Češi na Slovensku učinili, neb </w:t>
      </w:r>
      <w:r>
        <w:rPr>
          <w:b/>
          <w:bCs/>
        </w:rPr>
        <w:t xml:space="preserve">v </w:t>
      </w:r>
      <w:r>
        <w:rPr>
          <w:sz w:val="18"/>
          <w:szCs w:val="18"/>
        </w:rPr>
        <w:t xml:space="preserve">čem chybili — to se ukáže v době pozdější — chtěl bych však. aby někteří mládi roduverní Slováci, bojující za znovuzrození své země. nestaho- vali se před Čechy do ulity a nepovažovali všechno, co je </w:t>
      </w:r>
      <w:r>
        <w:rPr>
          <w:b/>
          <w:bCs/>
        </w:rPr>
        <w:t xml:space="preserve">z Cech, </w:t>
      </w:r>
      <w:r>
        <w:rPr>
          <w:sz w:val="18"/>
          <w:szCs w:val="18"/>
        </w:rPr>
        <w:t xml:space="preserve">Moravy a Slezska u nich za nepřijatelné! Naopak, měli bychom spolupracovat tak, jako tomu bylo do nedávná. »V práci a </w:t>
      </w:r>
      <w:r>
        <w:rPr>
          <w:b/>
          <w:bCs/>
        </w:rPr>
        <w:t>vě</w:t>
      </w:r>
      <w:r>
        <w:rPr>
          <w:b/>
          <w:bCs/>
        </w:rPr>
        <w:softHyphen/>
      </w:r>
      <w:r>
        <w:rPr>
          <w:sz w:val="18"/>
          <w:szCs w:val="18"/>
        </w:rPr>
        <w:t>dění je naše spasení!« Přál bych si. aby se upustilo od neplod</w:t>
      </w:r>
      <w:r>
        <w:rPr>
          <w:sz w:val="18"/>
          <w:szCs w:val="18"/>
        </w:rPr>
        <w:softHyphen/>
        <w:t>ných debat »o státotvorném elementě po 20 roků«, ale, abychom šl</w:t>
      </w:r>
      <w:r>
        <w:rPr>
          <w:sz w:val="18"/>
          <w:szCs w:val="18"/>
        </w:rPr>
        <w:t>i ruka v ruce jako Slované, avšak bez nesvornosti a zrady!</w:t>
      </w:r>
    </w:p>
    <w:p w:rsidR="00500724" w:rsidRDefault="00F30FB8">
      <w:pPr>
        <w:pStyle w:val="Zkladntext1"/>
        <w:shd w:val="clear" w:color="auto" w:fill="auto"/>
        <w:spacing w:after="60" w:line="180" w:lineRule="auto"/>
        <w:ind w:firstLine="300"/>
        <w:rPr>
          <w:sz w:val="18"/>
          <w:szCs w:val="18"/>
        </w:rPr>
      </w:pPr>
      <w:r>
        <w:rPr>
          <w:sz w:val="18"/>
          <w:szCs w:val="18"/>
        </w:rPr>
        <w:t xml:space="preserve">Niektorí z Vás si nechcú přiznat v svojej neprajúcnosti určité faktá, ktoré nás ako před 20-mi rokmi, tak aj po 20 rokov spojovaly a budú nás spojovat i pres </w:t>
      </w:r>
      <w:r>
        <w:rPr>
          <w:sz w:val="18"/>
          <w:szCs w:val="18"/>
          <w:lang w:val="en-US" w:eastAsia="en-US" w:bidi="en-US"/>
        </w:rPr>
        <w:t xml:space="preserve">tie </w:t>
      </w:r>
      <w:r>
        <w:rPr>
          <w:sz w:val="18"/>
          <w:szCs w:val="18"/>
        </w:rPr>
        <w:t xml:space="preserve">hraničně štípy, ktoré nebudu </w:t>
      </w:r>
      <w:r>
        <w:rPr>
          <w:sz w:val="18"/>
          <w:szCs w:val="18"/>
          <w:lang w:val="en-US" w:eastAsia="en-US" w:bidi="en-US"/>
        </w:rPr>
        <w:t xml:space="preserve">pre </w:t>
      </w:r>
      <w:r>
        <w:rPr>
          <w:sz w:val="18"/>
          <w:szCs w:val="18"/>
        </w:rPr>
        <w:t>ná</w:t>
      </w:r>
      <w:r>
        <w:rPr>
          <w:sz w:val="18"/>
          <w:szCs w:val="18"/>
        </w:rPr>
        <w:t xml:space="preserve">s překážkou, ale pojítkem. Niektorí z Vás odsuzujú a kamenujú všetko, čo vraj lm Češi pri- niesli na Slovensko. Má to byt aj kultůra? Myslím však na tú kultúru, ktorá sa nesmie a nemůže zaměňovat za »inteligentnú bezduehosť*. — Avšak kultúru, ktorá nám dá </w:t>
      </w:r>
      <w:r>
        <w:rPr>
          <w:sz w:val="18"/>
          <w:szCs w:val="18"/>
        </w:rPr>
        <w:t>jasnejšie, v Hv- ších farbách nahliadnúf do duší a sřde. Nič to, že nie sú teraz mecenáši, nakíadateístvá a kupujúci. Budú! Veď na všetko to potřebujeme čas, určitý odstup, aby sme my i Vy mohli tažiť z toho, čo bolo dobré alebo čo nám kazilo dohrú vóíu. P</w:t>
      </w:r>
      <w:r>
        <w:rPr>
          <w:sz w:val="18"/>
          <w:szCs w:val="18"/>
        </w:rPr>
        <w:t>reca však verim, dúfam a je to túžbou mnohých Čechov a snáď 1 Slovákov, aby sme si išli v útrety i pres to, čo nás ootkalo a rozdvojilo ako syny Svatopluka, a aby sme vychovávali k vzájemnému porozumění aj tých, ktorí budú budúcou oporou národa slovenského</w:t>
      </w:r>
      <w:r>
        <w:rPr>
          <w:sz w:val="18"/>
          <w:szCs w:val="18"/>
        </w:rPr>
        <w:t xml:space="preserve"> i českého, i pres to, keď niekdo usiluje o to, aby boly pruty rozvi. zané a znivočené! Nemáme chrbáty stvořené na ohýbanie, ale na to, aby sme s hlavou vztýčenou bránili sa všetkému, čo by nás mohlo ohrozit a otriasť v na</w:t>
      </w:r>
      <w:r>
        <w:rPr>
          <w:sz w:val="18"/>
          <w:szCs w:val="18"/>
        </w:rPr>
        <w:softHyphen/>
        <w:t>ších národných citoch a v našej s</w:t>
      </w:r>
      <w:r>
        <w:rPr>
          <w:sz w:val="18"/>
          <w:szCs w:val="18"/>
        </w:rPr>
        <w:t>polupatřičnosti.</w:t>
      </w:r>
    </w:p>
    <w:p w:rsidR="00500724" w:rsidRDefault="00F30FB8">
      <w:pPr>
        <w:pStyle w:val="Zkladntext1"/>
        <w:shd w:val="clear" w:color="auto" w:fill="auto"/>
        <w:spacing w:line="178" w:lineRule="auto"/>
        <w:ind w:firstLine="300"/>
        <w:rPr>
          <w:sz w:val="18"/>
          <w:szCs w:val="18"/>
        </w:rPr>
      </w:pPr>
      <w:r>
        <w:rPr>
          <w:sz w:val="18"/>
          <w:szCs w:val="18"/>
        </w:rPr>
        <w:t>Mali by své důvěřovat jeden druhému a nepodceňovat dobrú vořu druhého, lebo nie je tomu dávno, kedy sme sl boli blízki i pri meči. Musia nás spoločné záujmy spojit a odu- sevňovat k vačším činom! Mladý život bol schopný učit sa — mužský vy</w:t>
      </w:r>
      <w:r>
        <w:rPr>
          <w:sz w:val="18"/>
          <w:szCs w:val="18"/>
        </w:rPr>
        <w:t xml:space="preserve">užit toho, čo získal — ale nevyužil. — Pri dobrej vůli sa to může napravit, Len si snomenůt na slova gen. </w:t>
      </w:r>
      <w:r>
        <w:rPr>
          <w:b/>
          <w:bCs/>
        </w:rPr>
        <w:t xml:space="preserve">M. R. </w:t>
      </w:r>
      <w:r>
        <w:rPr>
          <w:sz w:val="18"/>
          <w:szCs w:val="18"/>
        </w:rPr>
        <w:t>Štefánika!</w:t>
      </w:r>
    </w:p>
    <w:p w:rsidR="00500724" w:rsidRDefault="00F30FB8">
      <w:pPr>
        <w:pStyle w:val="Zkladntext1"/>
        <w:shd w:val="clear" w:color="auto" w:fill="auto"/>
        <w:spacing w:after="60" w:line="170" w:lineRule="auto"/>
        <w:ind w:firstLine="0"/>
        <w:jc w:val="right"/>
      </w:pPr>
      <w:r>
        <w:rPr>
          <w:b/>
          <w:bCs/>
        </w:rPr>
        <w:t>S pozdravem: VI. Svárovský</w:t>
      </w:r>
    </w:p>
    <w:p w:rsidR="00500724" w:rsidRDefault="00F30FB8">
      <w:pPr>
        <w:pStyle w:val="Zkladntext1"/>
        <w:shd w:val="clear" w:color="auto" w:fill="auto"/>
        <w:spacing w:after="80" w:line="166" w:lineRule="auto"/>
        <w:ind w:firstLine="0"/>
        <w:jc w:val="center"/>
      </w:pPr>
      <w:r>
        <w:rPr>
          <w:b/>
          <w:bCs/>
        </w:rPr>
        <w:t xml:space="preserve">Odpověď </w:t>
      </w:r>
      <w:r>
        <w:rPr>
          <w:b/>
          <w:bCs/>
          <w:lang w:val="en-US" w:eastAsia="en-US" w:bidi="en-US"/>
        </w:rPr>
        <w:t>Slovene^</w:t>
      </w:r>
    </w:p>
    <w:p w:rsidR="00500724" w:rsidRDefault="00F30FB8">
      <w:pPr>
        <w:pStyle w:val="Zkladntext1"/>
        <w:shd w:val="clear" w:color="auto" w:fill="auto"/>
        <w:spacing w:after="80" w:line="166" w:lineRule="auto"/>
        <w:ind w:left="1280" w:firstLine="20"/>
        <w:jc w:val="left"/>
        <w:rPr>
          <w:sz w:val="18"/>
          <w:szCs w:val="18"/>
        </w:rPr>
      </w:pPr>
      <w:r>
        <w:rPr>
          <w:b/>
          <w:bCs/>
          <w:lang w:val="en-US" w:eastAsia="en-US" w:bidi="en-US"/>
        </w:rPr>
        <w:t xml:space="preserve">Fans </w:t>
      </w:r>
      <w:r>
        <w:rPr>
          <w:sz w:val="18"/>
          <w:szCs w:val="18"/>
        </w:rPr>
        <w:t>redaktore!</w:t>
      </w:r>
    </w:p>
    <w:p w:rsidR="00500724" w:rsidRDefault="00F30FB8">
      <w:pPr>
        <w:pStyle w:val="Zkladntext1"/>
        <w:shd w:val="clear" w:color="auto" w:fill="auto"/>
        <w:spacing w:line="175" w:lineRule="auto"/>
        <w:ind w:firstLine="320"/>
        <w:rPr>
          <w:sz w:val="18"/>
          <w:szCs w:val="18"/>
        </w:rPr>
      </w:pPr>
      <w:r>
        <w:rPr>
          <w:sz w:val="18"/>
          <w:szCs w:val="18"/>
        </w:rPr>
        <w:t>Dovolte, aby k dopisům v tomto časopise uveřejněným po</w:t>
      </w:r>
      <w:r>
        <w:rPr>
          <w:sz w:val="18"/>
          <w:szCs w:val="18"/>
        </w:rPr>
        <w:softHyphen/>
        <w:t>věděla svůj úsudek</w:t>
      </w:r>
      <w:r>
        <w:rPr>
          <w:sz w:val="18"/>
          <w:szCs w:val="18"/>
        </w:rPr>
        <w:t xml:space="preserve"> také česká žena. Jsme my, české ženy, teď sice odkázány v soukromí, abychom do politických otázek ne</w:t>
      </w:r>
      <w:r>
        <w:rPr>
          <w:sz w:val="18"/>
          <w:szCs w:val="18"/>
        </w:rPr>
        <w:softHyphen/>
        <w:t>mluvily, ale v tomto případě snad bude dovolena výjimka.</w:t>
      </w:r>
    </w:p>
    <w:p w:rsidR="00500724" w:rsidRDefault="00F30FB8">
      <w:pPr>
        <w:pStyle w:val="Zkladntext1"/>
        <w:shd w:val="clear" w:color="auto" w:fill="auto"/>
        <w:spacing w:line="175" w:lineRule="auto"/>
        <w:ind w:firstLine="320"/>
        <w:rPr>
          <w:sz w:val="18"/>
          <w:szCs w:val="18"/>
        </w:rPr>
      </w:pPr>
      <w:r>
        <w:rPr>
          <w:sz w:val="18"/>
          <w:szCs w:val="18"/>
        </w:rPr>
        <w:t>Můžeme tvrditi, že právě Slováci, kteří nás nenávidí, duše českého lidu neznají.</w:t>
      </w:r>
    </w:p>
    <w:p w:rsidR="00500724" w:rsidRDefault="00F30FB8">
      <w:pPr>
        <w:pStyle w:val="Zkladntext1"/>
        <w:shd w:val="clear" w:color="auto" w:fill="auto"/>
        <w:spacing w:line="175" w:lineRule="auto"/>
        <w:ind w:firstLine="320"/>
        <w:rPr>
          <w:sz w:val="18"/>
          <w:szCs w:val="18"/>
        </w:rPr>
      </w:pPr>
      <w:r>
        <w:rPr>
          <w:sz w:val="18"/>
          <w:szCs w:val="18"/>
        </w:rPr>
        <w:t>Znali sice Čechy</w:t>
      </w:r>
      <w:r>
        <w:rPr>
          <w:sz w:val="18"/>
          <w:szCs w:val="18"/>
        </w:rPr>
        <w:t xml:space="preserve"> zaměstnané na Slovensku, ale i to po</w:t>
      </w:r>
      <w:r>
        <w:rPr>
          <w:sz w:val="18"/>
          <w:szCs w:val="18"/>
        </w:rPr>
        <w:softHyphen/>
        <w:t xml:space="preserve">vrchně, neboť většinou viděli v nich — snad právem — své konkurenty, </w:t>
      </w:r>
      <w:r>
        <w:rPr>
          <w:b/>
          <w:bCs/>
        </w:rPr>
        <w:t xml:space="preserve">s </w:t>
      </w:r>
      <w:r>
        <w:rPr>
          <w:sz w:val="18"/>
          <w:szCs w:val="18"/>
        </w:rPr>
        <w:t>kterými velkých styků neudržovali. Překvapo</w:t>
      </w:r>
      <w:r>
        <w:rPr>
          <w:sz w:val="18"/>
          <w:szCs w:val="18"/>
        </w:rPr>
        <w:softHyphen/>
        <w:t>valo na př. v Bratislavě, kterak — Češi a Slováci žili vedle sebe příliš se společensky nestýkajíce, po</w:t>
      </w:r>
      <w:r>
        <w:rPr>
          <w:sz w:val="18"/>
          <w:szCs w:val="18"/>
        </w:rPr>
        <w:t xml:space="preserve">kud ml bylo možno </w:t>
      </w:r>
      <w:r>
        <w:rPr>
          <w:i/>
          <w:iCs/>
          <w:sz w:val="18"/>
          <w:szCs w:val="18"/>
        </w:rPr>
        <w:t>s</w:t>
      </w:r>
      <w:r>
        <w:rPr>
          <w:sz w:val="18"/>
          <w:szCs w:val="18"/>
        </w:rPr>
        <w:t xml:space="preserve"> krátkých návštěv tohoto města posoudit!. Podobné poměry byly podle svědectví slovenských spisovatelů v Praze, kde slovenské studentstvo žilo odkázáno samo na sebe, tvoříc své uzavřené kroužky, o které se zase nestarali Češi.</w:t>
      </w:r>
    </w:p>
    <w:p w:rsidR="00500724" w:rsidRDefault="00F30FB8">
      <w:pPr>
        <w:pStyle w:val="Zkladntext1"/>
        <w:shd w:val="clear" w:color="auto" w:fill="auto"/>
        <w:spacing w:line="175" w:lineRule="auto"/>
        <w:ind w:firstLine="320"/>
        <w:rPr>
          <w:sz w:val="18"/>
          <w:szCs w:val="18"/>
        </w:rPr>
      </w:pPr>
      <w:r>
        <w:rPr>
          <w:sz w:val="18"/>
          <w:szCs w:val="18"/>
        </w:rPr>
        <w:t xml:space="preserve">Není potom </w:t>
      </w:r>
      <w:r>
        <w:rPr>
          <w:sz w:val="18"/>
          <w:szCs w:val="18"/>
        </w:rPr>
        <w:t>divu, že dosud objeví se v slov. časopisech přívlastek židobolševická Praha a ne slovanská Praha, jak jistě psali předkové nynějších Slováků, kteří význam Prahv pro západní Slovanstvo ještě uznávali.</w:t>
      </w:r>
    </w:p>
    <w:p w:rsidR="00500724" w:rsidRDefault="00F30FB8">
      <w:pPr>
        <w:pStyle w:val="Zkladntext1"/>
        <w:shd w:val="clear" w:color="auto" w:fill="auto"/>
        <w:spacing w:line="175" w:lineRule="auto"/>
        <w:ind w:firstLine="320"/>
        <w:rPr>
          <w:sz w:val="18"/>
          <w:szCs w:val="18"/>
        </w:rPr>
      </w:pPr>
      <w:r>
        <w:rPr>
          <w:sz w:val="18"/>
          <w:szCs w:val="18"/>
        </w:rPr>
        <w:t>Český národ ve svém jádru nikdy bolševickým nebyl. To ne</w:t>
      </w:r>
      <w:r>
        <w:rPr>
          <w:sz w:val="18"/>
          <w:szCs w:val="18"/>
        </w:rPr>
        <w:t>bezpečí snad bylo jen v prvních letech po světové válce, kdy celé okolí bylo revoluční —• Německo, Rakousko 1 Ma</w:t>
      </w:r>
      <w:r>
        <w:rPr>
          <w:sz w:val="18"/>
          <w:szCs w:val="18"/>
        </w:rPr>
        <w:softHyphen/>
        <w:t>ďarsko. V posledních letech našli byste mnohé naše komunisty 1 ve straně lidové nebo u fašistů. Cizí ideologie nemají vůbec u našeho lidu štěst</w:t>
      </w:r>
      <w:r>
        <w:rPr>
          <w:sz w:val="18"/>
          <w:szCs w:val="18"/>
        </w:rPr>
        <w:t>í. Jest zvyklý, zvláště na venkově, pomalu usuzovati, všecko důkladně prozkoumat! a málo z toho přijmouti.</w:t>
      </w:r>
    </w:p>
    <w:p w:rsidR="00500724" w:rsidRDefault="00F30FB8">
      <w:pPr>
        <w:pStyle w:val="Zkladntext1"/>
        <w:shd w:val="clear" w:color="auto" w:fill="auto"/>
        <w:spacing w:line="178" w:lineRule="auto"/>
        <w:ind w:firstLine="320"/>
        <w:rPr>
          <w:sz w:val="18"/>
          <w:szCs w:val="18"/>
        </w:rPr>
      </w:pPr>
      <w:r>
        <w:rPr>
          <w:sz w:val="18"/>
          <w:szCs w:val="18"/>
        </w:rPr>
        <w:t>Teprve poslední rok dal i nám samým poznati, že základní ctnosti našich lidí jsou láska k rodné zemí a upřímná touha po spravedlnosti.</w:t>
      </w:r>
    </w:p>
    <w:p w:rsidR="00500724" w:rsidRDefault="00F30FB8">
      <w:pPr>
        <w:pStyle w:val="Zkladntext1"/>
        <w:shd w:val="clear" w:color="auto" w:fill="auto"/>
        <w:spacing w:line="175" w:lineRule="auto"/>
        <w:ind w:firstLine="320"/>
        <w:rPr>
          <w:sz w:val="18"/>
          <w:szCs w:val="18"/>
        </w:rPr>
      </w:pPr>
      <w:r>
        <w:rPr>
          <w:sz w:val="18"/>
          <w:szCs w:val="18"/>
        </w:rPr>
        <w:t xml:space="preserve">Dobrých </w:t>
      </w:r>
      <w:r>
        <w:rPr>
          <w:sz w:val="18"/>
          <w:szCs w:val="18"/>
        </w:rPr>
        <w:t>stránek povahy české nemohli však viděti Slováci, kterým jsme ukazovali jen povrch — stranickou rozeklanost, politické aféry a štvanice. Při hluku, který naše strany na</w:t>
      </w:r>
      <w:r>
        <w:rPr>
          <w:sz w:val="18"/>
          <w:szCs w:val="18"/>
        </w:rPr>
        <w:softHyphen/>
        <w:t>dělaly, překvapilo nedávno zjištění, že většina našich lidí byla mimo strany. Politické</w:t>
      </w:r>
      <w:r>
        <w:rPr>
          <w:sz w:val="18"/>
          <w:szCs w:val="18"/>
        </w:rPr>
        <w:t xml:space="preserve"> boje ve venkovských okresích byly nevášnivé, nepamatuji v našem kraji krvavých událostí na politické schůzi snad od roku 1906.</w:t>
      </w:r>
    </w:p>
    <w:p w:rsidR="00500724" w:rsidRDefault="00F30FB8">
      <w:pPr>
        <w:pStyle w:val="Zkladntext1"/>
        <w:shd w:val="clear" w:color="auto" w:fill="auto"/>
        <w:spacing w:line="175" w:lineRule="auto"/>
        <w:ind w:firstLine="320"/>
        <w:rPr>
          <w:sz w:val="18"/>
          <w:szCs w:val="18"/>
        </w:rPr>
      </w:pPr>
      <w:r>
        <w:rPr>
          <w:sz w:val="18"/>
          <w:szCs w:val="18"/>
        </w:rPr>
        <w:t>Pří této nevášnivosti překvapil nás vír politických vášní, který se v r. 1938-39 kolem nás rozbouřil. Nebyli jsme při</w:t>
      </w:r>
      <w:r>
        <w:rPr>
          <w:sz w:val="18"/>
          <w:szCs w:val="18"/>
        </w:rPr>
        <w:softHyphen/>
        <w:t>praveni op</w:t>
      </w:r>
      <w:r>
        <w:rPr>
          <w:sz w:val="18"/>
          <w:szCs w:val="18"/>
        </w:rPr>
        <w:t>lácet ránu ranou a snad jsme ani nechtěli. A jest to u národů jako u jednotlivců. Člověk vznětlivý povolí svému hněvu, vykřičí sa, vyzuří a už jest hned hotov k smíru. Kdo však jest povahy klidnější, u toho zloba zanechá hlubší změny duševní.</w:t>
      </w:r>
    </w:p>
    <w:p w:rsidR="00500724" w:rsidRDefault="00F30FB8">
      <w:pPr>
        <w:pStyle w:val="Zkladntext1"/>
        <w:shd w:val="clear" w:color="auto" w:fill="auto"/>
        <w:spacing w:line="175" w:lineRule="auto"/>
        <w:ind w:firstLine="320"/>
        <w:rPr>
          <w:sz w:val="18"/>
          <w:szCs w:val="18"/>
        </w:rPr>
      </w:pPr>
      <w:r>
        <w:rPr>
          <w:sz w:val="18"/>
          <w:szCs w:val="18"/>
        </w:rPr>
        <w:t>Když se teď p</w:t>
      </w:r>
      <w:r>
        <w:rPr>
          <w:sz w:val="18"/>
          <w:szCs w:val="18"/>
        </w:rPr>
        <w:t>íše o novém navázáni kulturních a j. styků se Slovenskem nestačí, jak zde v některých dopisech bylo ujišťováno, říci, že se na Slováky nezlobíme a podobně. Musí</w:t>
      </w:r>
      <w:r>
        <w:rPr>
          <w:sz w:val="18"/>
          <w:szCs w:val="18"/>
        </w:rPr>
        <w:softHyphen/>
        <w:t xml:space="preserve">me říci pravdu. S tou naší starou generací, tak od čtyřiceti let budou míti všichni, kdož se k </w:t>
      </w:r>
      <w:r>
        <w:rPr>
          <w:sz w:val="18"/>
          <w:szCs w:val="18"/>
        </w:rPr>
        <w:t xml:space="preserve">ní přiblíží i s dobrými úmysly, veliké obtiže. Jako těžký balvan leží na ní zkušenosti poslední doby </w:t>
      </w:r>
      <w:r>
        <w:rPr>
          <w:b/>
          <w:bCs/>
        </w:rPr>
        <w:t xml:space="preserve">a </w:t>
      </w:r>
      <w:r>
        <w:rPr>
          <w:sz w:val="18"/>
          <w:szCs w:val="18"/>
        </w:rPr>
        <w:t>velká, velká nedůvěra ke všemu a ke všem. Hledíme na svět a zdá se nám cizinou.</w:t>
      </w:r>
    </w:p>
    <w:p w:rsidR="00500724" w:rsidRDefault="00F30FB8">
      <w:pPr>
        <w:pStyle w:val="Zkladntext1"/>
        <w:shd w:val="clear" w:color="auto" w:fill="auto"/>
        <w:spacing w:line="178" w:lineRule="auto"/>
        <w:ind w:firstLine="320"/>
        <w:rPr>
          <w:sz w:val="18"/>
          <w:szCs w:val="18"/>
        </w:rPr>
      </w:pPr>
      <w:r>
        <w:rPr>
          <w:sz w:val="18"/>
          <w:szCs w:val="18"/>
        </w:rPr>
        <w:t xml:space="preserve">Mladší generace Čechů a Slováků budou schopny i přes hranice dojiti </w:t>
      </w:r>
      <w:r>
        <w:rPr>
          <w:b/>
          <w:bCs/>
        </w:rPr>
        <w:t xml:space="preserve">k </w:t>
      </w:r>
      <w:r>
        <w:rPr>
          <w:sz w:val="18"/>
          <w:szCs w:val="18"/>
        </w:rPr>
        <w:t>vzá</w:t>
      </w:r>
      <w:r>
        <w:rPr>
          <w:sz w:val="18"/>
          <w:szCs w:val="18"/>
        </w:rPr>
        <w:t>jemnému dorozumění a přátelství. My starší jim toho upřímně přejeme. Matky a učitelky musí vésti mládež k poznání, jak nebezpečnou silou jest nenávist.</w:t>
      </w:r>
    </w:p>
    <w:p w:rsidR="00500724" w:rsidRDefault="00F30FB8">
      <w:pPr>
        <w:pStyle w:val="Zkladntext100"/>
        <w:shd w:val="clear" w:color="auto" w:fill="auto"/>
        <w:spacing w:after="200" w:line="228" w:lineRule="auto"/>
        <w:ind w:firstLine="0"/>
        <w:jc w:val="right"/>
        <w:rPr>
          <w:sz w:val="17"/>
          <w:szCs w:val="17"/>
        </w:rPr>
      </w:pPr>
      <w:r>
        <w:rPr>
          <w:sz w:val="17"/>
          <w:szCs w:val="17"/>
        </w:rPr>
        <w:t>A. J,</w:t>
      </w:r>
    </w:p>
    <w:p w:rsidR="00500724" w:rsidRDefault="00F30FB8">
      <w:pPr>
        <w:pStyle w:val="Zkladntext1"/>
        <w:shd w:val="clear" w:color="auto" w:fill="auto"/>
        <w:spacing w:after="120" w:line="168" w:lineRule="auto"/>
        <w:ind w:firstLine="0"/>
        <w:jc w:val="center"/>
      </w:pPr>
      <w:r>
        <w:rPr>
          <w:b/>
          <w:bCs/>
        </w:rPr>
        <w:t>Co Jo svatováclavská tradice?</w:t>
      </w:r>
    </w:p>
    <w:p w:rsidR="00500724" w:rsidRDefault="00F30FB8">
      <w:pPr>
        <w:pStyle w:val="Zkladntext1"/>
        <w:shd w:val="clear" w:color="auto" w:fill="auto"/>
        <w:spacing w:after="100" w:line="178" w:lineRule="auto"/>
        <w:ind w:left="1280" w:firstLine="20"/>
        <w:jc w:val="left"/>
        <w:rPr>
          <w:sz w:val="18"/>
          <w:szCs w:val="18"/>
        </w:rPr>
      </w:pPr>
      <w:r>
        <w:rPr>
          <w:sz w:val="18"/>
          <w:szCs w:val="18"/>
        </w:rPr>
        <w:t>Vážená redakce!</w:t>
      </w:r>
    </w:p>
    <w:p w:rsidR="00500724" w:rsidRDefault="00F30FB8">
      <w:pPr>
        <w:pStyle w:val="Zkladntext1"/>
        <w:shd w:val="clear" w:color="auto" w:fill="auto"/>
        <w:spacing w:line="178" w:lineRule="auto"/>
        <w:ind w:firstLine="280"/>
        <w:rPr>
          <w:sz w:val="18"/>
          <w:szCs w:val="18"/>
        </w:rPr>
      </w:pPr>
      <w:r>
        <w:rPr>
          <w:sz w:val="18"/>
          <w:szCs w:val="18"/>
        </w:rPr>
        <w:t>Dovolte mně, abych mohl uvésti svůj náhled na uveřej</w:t>
      </w:r>
      <w:r>
        <w:rPr>
          <w:sz w:val="18"/>
          <w:szCs w:val="18"/>
        </w:rPr>
        <w:t>něný dopis v »Přítomnosti« č. 18 napsaný Vám p. dr. O. K.</w:t>
      </w:r>
    </w:p>
    <w:p w:rsidR="00500724" w:rsidRDefault="00F30FB8">
      <w:pPr>
        <w:pStyle w:val="Zkladntext1"/>
        <w:shd w:val="clear" w:color="auto" w:fill="auto"/>
        <w:spacing w:line="178" w:lineRule="auto"/>
        <w:ind w:firstLine="280"/>
        <w:rPr>
          <w:sz w:val="18"/>
          <w:szCs w:val="18"/>
        </w:rPr>
      </w:pPr>
      <w:r>
        <w:rPr>
          <w:sz w:val="18"/>
          <w:szCs w:val="18"/>
        </w:rPr>
        <w:t>Bezesporně pisatel podává ve svém dopise výklad »svato- václavské tradice* tak, že žádný z nás Čechů nebude podce</w:t>
      </w:r>
      <w:r>
        <w:rPr>
          <w:sz w:val="18"/>
          <w:szCs w:val="18"/>
        </w:rPr>
        <w:softHyphen/>
        <w:t>ňovat! snahy, které v tehdejší době kníže Václav vynaložil ku prospěchu našeho národ</w:t>
      </w:r>
      <w:r>
        <w:rPr>
          <w:sz w:val="18"/>
          <w:szCs w:val="18"/>
        </w:rPr>
        <w:t>a. Přečteme-li si v našich dějinách po</w:t>
      </w:r>
      <w:r>
        <w:rPr>
          <w:sz w:val="18"/>
          <w:szCs w:val="18"/>
        </w:rPr>
        <w:softHyphen/>
        <w:t>jednávající stať o této době, plně pochopíme, proč doporučují nám Němci, abychom dávali přednost tradici svatováclav</w:t>
      </w:r>
      <w:r>
        <w:rPr>
          <w:sz w:val="18"/>
          <w:szCs w:val="18"/>
        </w:rPr>
        <w:softHyphen/>
        <w:t>ské před tradicí husitskou.</w:t>
      </w:r>
    </w:p>
    <w:p w:rsidR="00500724" w:rsidRDefault="00F30FB8">
      <w:pPr>
        <w:pStyle w:val="Zkladntext1"/>
        <w:shd w:val="clear" w:color="auto" w:fill="auto"/>
        <w:spacing w:line="178" w:lineRule="auto"/>
        <w:ind w:firstLine="280"/>
        <w:rPr>
          <w:sz w:val="18"/>
          <w:szCs w:val="18"/>
        </w:rPr>
      </w:pPr>
      <w:r>
        <w:rPr>
          <w:sz w:val="18"/>
          <w:szCs w:val="18"/>
        </w:rPr>
        <w:t xml:space="preserve">Jistě však Němci pochopí a nebudou nám zazlívat!, budeme-li míti úctu k </w:t>
      </w:r>
      <w:r>
        <w:rPr>
          <w:sz w:val="18"/>
          <w:szCs w:val="18"/>
        </w:rPr>
        <w:t>oběma tradicím stejnou. A proč?</w:t>
      </w:r>
    </w:p>
    <w:p w:rsidR="00500724" w:rsidRDefault="00F30FB8">
      <w:pPr>
        <w:pStyle w:val="Zkladntext1"/>
        <w:shd w:val="clear" w:color="auto" w:fill="auto"/>
        <w:spacing w:line="178" w:lineRule="auto"/>
        <w:ind w:firstLine="280"/>
        <w:rPr>
          <w:sz w:val="18"/>
          <w:szCs w:val="18"/>
        </w:rPr>
      </w:pPr>
      <w:r>
        <w:rPr>
          <w:sz w:val="18"/>
          <w:szCs w:val="18"/>
        </w:rPr>
        <w:t>Kníže Václav, až po násilné smrti s přídomkem Svatý, jistě s dobrými úmysly vynasnažil se zavěsti k nám kulturu kře</w:t>
      </w:r>
      <w:r>
        <w:rPr>
          <w:sz w:val="18"/>
          <w:szCs w:val="18"/>
        </w:rPr>
        <w:softHyphen/>
        <w:t>sťanství a vše to dobré s tímto souvisící. Přirozeně, že tímto zrovnoprávnil náš národ se západními národy a</w:t>
      </w:r>
      <w:r>
        <w:rPr>
          <w:sz w:val="18"/>
          <w:szCs w:val="18"/>
        </w:rPr>
        <w:t xml:space="preserve"> tak omezil vý</w:t>
      </w:r>
      <w:r>
        <w:rPr>
          <w:sz w:val="18"/>
          <w:szCs w:val="18"/>
        </w:rPr>
        <w:softHyphen/>
        <w:t>roky jako »Čechy zuřivější než šelmy« a pod. Kníže Václav však nepředvídal, že z této ideální kultury povstanou nábožen</w:t>
      </w:r>
      <w:r>
        <w:rPr>
          <w:sz w:val="18"/>
          <w:szCs w:val="18"/>
        </w:rPr>
        <w:softHyphen/>
        <w:t>ské třenice, nám jen ku škodě, které vlastně to, co dokázal kníže Václav, měly přivésti ku pravému opaku. A tak po něko</w:t>
      </w:r>
      <w:r>
        <w:rPr>
          <w:sz w:val="18"/>
          <w:szCs w:val="18"/>
        </w:rPr>
        <w:softHyphen/>
        <w:t>l</w:t>
      </w:r>
      <w:r>
        <w:rPr>
          <w:sz w:val="18"/>
          <w:szCs w:val="18"/>
        </w:rPr>
        <w:t>ika stoletích přichází v našich dějinách Mistr Jan Hus, poctivý a pravdymilovný český kněz. Bylo již osudem, že právě tento náš velikán skončil svůj ušlechtilý život násilnou a potupnou smrtí v cizí zemi. A tak po těchto událostech nastupuje husit</w:t>
      </w:r>
      <w:r>
        <w:rPr>
          <w:sz w:val="18"/>
          <w:szCs w:val="18"/>
        </w:rPr>
        <w:softHyphen/>
        <w:t>ská trad</w:t>
      </w:r>
      <w:r>
        <w:rPr>
          <w:sz w:val="18"/>
          <w:szCs w:val="18"/>
        </w:rPr>
        <w:t>ice. Čeští Husité v čele vojevůdce Jana Žižky z Troc</w:t>
      </w:r>
      <w:r>
        <w:rPr>
          <w:sz w:val="18"/>
          <w:szCs w:val="18"/>
        </w:rPr>
        <w:softHyphen/>
        <w:t xml:space="preserve">nova, vyznačují se svojí udatností před celým světem, o čemž jest </w:t>
      </w:r>
      <w:r>
        <w:rPr>
          <w:b/>
          <w:bCs/>
        </w:rPr>
        <w:t xml:space="preserve">v </w:t>
      </w:r>
      <w:r>
        <w:rPr>
          <w:sz w:val="18"/>
          <w:szCs w:val="18"/>
        </w:rPr>
        <w:t xml:space="preserve">našich dějinách mnoho a mnoho napsáno. A to již nejsou »legendy« a ^pověsti*. Konec této slávě byl učiněn u Lipan </w:t>
      </w:r>
      <w:r>
        <w:rPr>
          <w:b/>
          <w:bCs/>
        </w:rPr>
        <w:t xml:space="preserve">V to </w:t>
      </w:r>
      <w:r>
        <w:rPr>
          <w:sz w:val="18"/>
          <w:szCs w:val="18"/>
        </w:rPr>
        <w:t>ještě »tradiční«</w:t>
      </w:r>
      <w:r>
        <w:rPr>
          <w:sz w:val="18"/>
          <w:szCs w:val="18"/>
        </w:rPr>
        <w:t xml:space="preserve"> zradou.</w:t>
      </w:r>
    </w:p>
    <w:p w:rsidR="00500724" w:rsidRDefault="00F30FB8">
      <w:pPr>
        <w:pStyle w:val="Zkladntext1"/>
        <w:shd w:val="clear" w:color="auto" w:fill="auto"/>
        <w:spacing w:line="180" w:lineRule="auto"/>
        <w:ind w:firstLine="180"/>
        <w:rPr>
          <w:sz w:val="18"/>
          <w:szCs w:val="18"/>
        </w:rPr>
      </w:pPr>
      <w:r>
        <w:rPr>
          <w:sz w:val="18"/>
          <w:szCs w:val="18"/>
        </w:rPr>
        <w:t xml:space="preserve">Jistě postačí pro pochopení, proS </w:t>
      </w:r>
      <w:r>
        <w:rPr>
          <w:b/>
          <w:bCs/>
        </w:rPr>
        <w:t xml:space="preserve">my Češi neodhodláme se </w:t>
      </w:r>
      <w:r>
        <w:rPr>
          <w:sz w:val="18"/>
          <w:szCs w:val="18"/>
        </w:rPr>
        <w:t xml:space="preserve">přijmouti výklad našich dějin jednostranný </w:t>
      </w:r>
      <w:r>
        <w:rPr>
          <w:b/>
          <w:bCs/>
        </w:rPr>
        <w:t xml:space="preserve">a </w:t>
      </w:r>
      <w:r>
        <w:rPr>
          <w:sz w:val="18"/>
          <w:szCs w:val="18"/>
        </w:rPr>
        <w:t>pro jednu dob</w:t>
      </w:r>
      <w:r>
        <w:rPr>
          <w:sz w:val="18"/>
          <w:szCs w:val="18"/>
        </w:rPr>
        <w:softHyphen/>
        <w:t>rou tradici nebudeme opomíjetl tradici druhou, ne-li vlc, jisté stejně významnou.</w:t>
      </w:r>
    </w:p>
    <w:p w:rsidR="00500724" w:rsidRDefault="00F30FB8">
      <w:pPr>
        <w:pStyle w:val="Zkladntext1"/>
        <w:shd w:val="clear" w:color="auto" w:fill="auto"/>
        <w:spacing w:line="178" w:lineRule="auto"/>
        <w:ind w:firstLine="180"/>
        <w:rPr>
          <w:sz w:val="18"/>
          <w:szCs w:val="18"/>
        </w:rPr>
      </w:pPr>
      <w:r>
        <w:rPr>
          <w:sz w:val="18"/>
          <w:szCs w:val="18"/>
        </w:rPr>
        <w:t xml:space="preserve">A Němci jistě nás budou míti ve vážnosti, </w:t>
      </w:r>
      <w:r>
        <w:rPr>
          <w:sz w:val="18"/>
          <w:szCs w:val="18"/>
        </w:rPr>
        <w:t>budeme-li ctíti obě naše tradice s tím vědomím, že každý národ se rád prokazuje svým bohatýrstvím a na takovouto tradici jest hrdý. Přirozeně, že Palackého a Masarykův výklad dějin bude nám bližší, jeli</w:t>
      </w:r>
      <w:r>
        <w:rPr>
          <w:sz w:val="18"/>
          <w:szCs w:val="18"/>
        </w:rPr>
        <w:softHyphen/>
        <w:t>kož je realističtější a on sám po třech stoletích naš</w:t>
      </w:r>
      <w:r>
        <w:rPr>
          <w:sz w:val="18"/>
          <w:szCs w:val="18"/>
        </w:rPr>
        <w:t>eho ujařmeni Habsburky zvítězil nad těmito a to zase v duchu »tradice hu</w:t>
      </w:r>
      <w:r>
        <w:rPr>
          <w:sz w:val="18"/>
          <w:szCs w:val="18"/>
        </w:rPr>
        <w:softHyphen/>
        <w:t>sitské*. Byl si vědom toho, že ne »legendární Blaničtí rytíři*, ale bojovníci v Husově pravdě povznesení, husitskou bojov</w:t>
      </w:r>
      <w:r>
        <w:rPr>
          <w:sz w:val="18"/>
          <w:szCs w:val="18"/>
        </w:rPr>
        <w:softHyphen/>
        <w:t>nosti prodchnutí, dokáží to, co v tyto skládal při své osvobo</w:t>
      </w:r>
      <w:r>
        <w:rPr>
          <w:sz w:val="18"/>
          <w:szCs w:val="18"/>
        </w:rPr>
        <w:t>zo</w:t>
      </w:r>
      <w:r>
        <w:rPr>
          <w:sz w:val="18"/>
          <w:szCs w:val="18"/>
        </w:rPr>
        <w:softHyphen/>
        <w:t>vací práci z našeho habsburského ujařmení.</w:t>
      </w:r>
    </w:p>
    <w:p w:rsidR="00500724" w:rsidRDefault="00F30FB8">
      <w:pPr>
        <w:pStyle w:val="Zkladntext1"/>
        <w:shd w:val="clear" w:color="auto" w:fill="auto"/>
        <w:spacing w:line="178" w:lineRule="auto"/>
        <w:ind w:firstLine="180"/>
        <w:rPr>
          <w:sz w:val="18"/>
          <w:szCs w:val="18"/>
        </w:rPr>
      </w:pPr>
      <w:r>
        <w:rPr>
          <w:sz w:val="18"/>
          <w:szCs w:val="18"/>
        </w:rPr>
        <w:t>Budeme německému národu vděčni, když nebudou nám ani sobě vykládatl husitskou tradici jako něco špatného a nepřá</w:t>
      </w:r>
      <w:r>
        <w:rPr>
          <w:sz w:val="18"/>
          <w:szCs w:val="18"/>
        </w:rPr>
        <w:softHyphen/>
        <w:t xml:space="preserve">telského. Byly to naše slavné doby a k takovýmto každý národ více lne. My Čechové máme v povaze, </w:t>
      </w:r>
      <w:r>
        <w:rPr>
          <w:sz w:val="18"/>
          <w:szCs w:val="18"/>
        </w:rPr>
        <w:t xml:space="preserve">že </w:t>
      </w:r>
      <w:r>
        <w:rPr>
          <w:b/>
          <w:bCs/>
        </w:rPr>
        <w:t xml:space="preserve">s </w:t>
      </w:r>
      <w:r>
        <w:rPr>
          <w:sz w:val="18"/>
          <w:szCs w:val="18"/>
        </w:rPr>
        <w:t>úctou pohlížíme na takovéto slavné a úspěšné doby 1 jiných národů. Naši vůd</w:t>
      </w:r>
      <w:r>
        <w:rPr>
          <w:sz w:val="18"/>
          <w:szCs w:val="18"/>
        </w:rPr>
        <w:softHyphen/>
        <w:t>cové v minulosti našich dějin dokázali pro náš národ mnoho a uznáváme, že vůdcové národa německého a obzvláště Vůdce národa německého v době přítomné, dokázali ještě více.</w:t>
      </w:r>
    </w:p>
    <w:p w:rsidR="00500724" w:rsidRDefault="00F30FB8">
      <w:pPr>
        <w:pStyle w:val="Zkladntext1"/>
        <w:shd w:val="clear" w:color="auto" w:fill="auto"/>
        <w:spacing w:after="120" w:line="168" w:lineRule="auto"/>
        <w:ind w:firstLine="0"/>
        <w:jc w:val="right"/>
      </w:pPr>
      <w:r>
        <w:rPr>
          <w:b/>
          <w:bCs/>
        </w:rPr>
        <w:t>Evs</w:t>
      </w:r>
      <w:r>
        <w:rPr>
          <w:b/>
          <w:bCs/>
        </w:rPr>
        <w:t>ký</w:t>
      </w:r>
    </w:p>
    <w:p w:rsidR="00500724" w:rsidRDefault="00F30FB8">
      <w:pPr>
        <w:pStyle w:val="Zkladntext1"/>
        <w:shd w:val="clear" w:color="auto" w:fill="auto"/>
        <w:spacing w:after="80" w:line="170" w:lineRule="auto"/>
        <w:ind w:firstLine="0"/>
        <w:jc w:val="center"/>
      </w:pPr>
      <w:r>
        <w:rPr>
          <w:b/>
          <w:bCs/>
        </w:rPr>
        <w:t>ČTK a sport</w:t>
      </w:r>
    </w:p>
    <w:p w:rsidR="00500724" w:rsidRDefault="00F30FB8">
      <w:pPr>
        <w:pStyle w:val="Zkladntext1"/>
        <w:shd w:val="clear" w:color="auto" w:fill="auto"/>
        <w:spacing w:line="178" w:lineRule="auto"/>
        <w:ind w:right="200" w:firstLine="0"/>
        <w:jc w:val="right"/>
        <w:rPr>
          <w:sz w:val="18"/>
          <w:szCs w:val="18"/>
        </w:rPr>
      </w:pPr>
      <w:r>
        <w:rPr>
          <w:sz w:val="18"/>
          <w:szCs w:val="18"/>
        </w:rPr>
        <w:t>Praha 24. května</w:t>
      </w:r>
    </w:p>
    <w:p w:rsidR="00500724" w:rsidRDefault="00F30FB8">
      <w:pPr>
        <w:pStyle w:val="Zkladntext1"/>
        <w:shd w:val="clear" w:color="auto" w:fill="auto"/>
        <w:spacing w:after="120" w:line="178" w:lineRule="auto"/>
        <w:ind w:left="1280" w:firstLine="0"/>
        <w:jc w:val="left"/>
        <w:rPr>
          <w:sz w:val="18"/>
          <w:szCs w:val="18"/>
        </w:rPr>
      </w:pPr>
      <w:r>
        <w:rPr>
          <w:sz w:val="18"/>
          <w:szCs w:val="18"/>
        </w:rPr>
        <w:t>Pane redaktore!</w:t>
      </w:r>
    </w:p>
    <w:p w:rsidR="00500724" w:rsidRDefault="00F30FB8">
      <w:pPr>
        <w:pStyle w:val="Zkladntext1"/>
        <w:shd w:val="clear" w:color="auto" w:fill="auto"/>
        <w:spacing w:line="178" w:lineRule="auto"/>
        <w:ind w:firstLine="300"/>
        <w:rPr>
          <w:sz w:val="18"/>
          <w:szCs w:val="18"/>
        </w:rPr>
      </w:pPr>
      <w:r>
        <w:rPr>
          <w:sz w:val="18"/>
          <w:szCs w:val="18"/>
        </w:rPr>
        <w:t xml:space="preserve">K článku »Proč celou stránku sportu* </w:t>
      </w:r>
      <w:r>
        <w:rPr>
          <w:b/>
          <w:bCs/>
        </w:rPr>
        <w:t xml:space="preserve">v </w:t>
      </w:r>
      <w:r>
        <w:rPr>
          <w:sz w:val="18"/>
          <w:szCs w:val="18"/>
        </w:rPr>
        <w:t>Přítomnosti ze dne</w:t>
      </w:r>
    </w:p>
    <w:p w:rsidR="00500724" w:rsidRDefault="00F30FB8">
      <w:pPr>
        <w:pStyle w:val="Zkladntext1"/>
        <w:numPr>
          <w:ilvl w:val="0"/>
          <w:numId w:val="68"/>
        </w:numPr>
        <w:shd w:val="clear" w:color="auto" w:fill="auto"/>
        <w:tabs>
          <w:tab w:val="left" w:pos="351"/>
        </w:tabs>
        <w:spacing w:line="178" w:lineRule="auto"/>
        <w:ind w:firstLine="0"/>
        <w:rPr>
          <w:sz w:val="18"/>
          <w:szCs w:val="18"/>
        </w:rPr>
      </w:pPr>
      <w:r>
        <w:rPr>
          <w:sz w:val="18"/>
          <w:szCs w:val="18"/>
        </w:rPr>
        <w:t xml:space="preserve">května čís. 20 dovolujeme si Vám </w:t>
      </w:r>
      <w:r>
        <w:rPr>
          <w:b/>
          <w:bCs/>
        </w:rPr>
        <w:t xml:space="preserve">v </w:t>
      </w:r>
      <w:r>
        <w:rPr>
          <w:sz w:val="18"/>
          <w:szCs w:val="18"/>
        </w:rPr>
        <w:t>prvé řadě poděkovati za uznání práce a činnosti naši sportovní redakce, pokud se týče pohotovosti a obsažnosti refe</w:t>
      </w:r>
      <w:r>
        <w:rPr>
          <w:sz w:val="18"/>
          <w:szCs w:val="18"/>
        </w:rPr>
        <w:t>rátů o sportovních podnicích' u nás i v cizině. Je to uznáni, které nás opravdu těší.</w:t>
      </w:r>
    </w:p>
    <w:p w:rsidR="00500724" w:rsidRDefault="00F30FB8">
      <w:pPr>
        <w:pStyle w:val="Zkladntext1"/>
        <w:shd w:val="clear" w:color="auto" w:fill="auto"/>
        <w:spacing w:line="178" w:lineRule="auto"/>
        <w:ind w:firstLine="300"/>
        <w:rPr>
          <w:sz w:val="18"/>
          <w:szCs w:val="18"/>
        </w:rPr>
      </w:pPr>
      <w:r>
        <w:rPr>
          <w:sz w:val="18"/>
          <w:szCs w:val="18"/>
        </w:rPr>
        <w:t>Z obsahu článku však usuzujeme, že v zájmu věci bylo by záhodno uvésti alespoň stručně několik dat o sportu ČTK a to aspoň k Vaší informaci.</w:t>
      </w:r>
    </w:p>
    <w:p w:rsidR="00500724" w:rsidRDefault="00F30FB8">
      <w:pPr>
        <w:pStyle w:val="Zkladntext1"/>
        <w:shd w:val="clear" w:color="auto" w:fill="auto"/>
        <w:spacing w:line="178" w:lineRule="auto"/>
        <w:ind w:firstLine="300"/>
        <w:rPr>
          <w:sz w:val="18"/>
          <w:szCs w:val="18"/>
        </w:rPr>
      </w:pPr>
      <w:r>
        <w:rPr>
          <w:sz w:val="18"/>
          <w:szCs w:val="18"/>
        </w:rPr>
        <w:t>Otázku »Proč celou stránku sp</w:t>
      </w:r>
      <w:r>
        <w:rPr>
          <w:sz w:val="18"/>
          <w:szCs w:val="18"/>
        </w:rPr>
        <w:t>ortu*, tak, jak byla v úvaze p. A. Mráze skutečně objektivně rozebrána, je třeba s našeho</w:t>
      </w:r>
      <w:r>
        <w:rPr>
          <w:sz w:val="18"/>
          <w:szCs w:val="18"/>
          <w:vertAlign w:val="superscript"/>
        </w:rPr>
        <w:t xml:space="preserve">1 </w:t>
      </w:r>
      <w:r>
        <w:rPr>
          <w:sz w:val="18"/>
          <w:szCs w:val="18"/>
        </w:rPr>
        <w:t>hlediska rozděliti na část týkající se denních listů a na část, týkající se sportovního zpravodajství ČTK ve vlastním slova’ smyslu. Po této stránce nepřísluší ČTK z</w:t>
      </w:r>
      <w:r>
        <w:rPr>
          <w:sz w:val="18"/>
          <w:szCs w:val="18"/>
        </w:rPr>
        <w:t>aujati stanovisko k názoru vydavatelstev listů, proč je věnováno tolik místa sportu a nikoliv také umění a kultuře.</w:t>
      </w:r>
    </w:p>
    <w:p w:rsidR="00500724" w:rsidRDefault="00F30FB8">
      <w:pPr>
        <w:pStyle w:val="Zkladntext1"/>
        <w:shd w:val="clear" w:color="auto" w:fill="auto"/>
        <w:spacing w:line="178" w:lineRule="auto"/>
        <w:ind w:firstLine="300"/>
        <w:rPr>
          <w:sz w:val="18"/>
          <w:szCs w:val="18"/>
        </w:rPr>
      </w:pPr>
      <w:r>
        <w:rPr>
          <w:sz w:val="18"/>
          <w:szCs w:val="18"/>
        </w:rPr>
        <w:t>Česká tisková kancelář nevěnovala se před lety zpravodajství o sportovních událostech vůbec a omezovala se jen na infor</w:t>
      </w:r>
      <w:r>
        <w:rPr>
          <w:sz w:val="18"/>
          <w:szCs w:val="18"/>
        </w:rPr>
        <w:softHyphen/>
        <w:t>mování tisku o událo</w:t>
      </w:r>
      <w:r>
        <w:rPr>
          <w:sz w:val="18"/>
          <w:szCs w:val="18"/>
        </w:rPr>
        <w:t>stech politických a všeobecných. Na žá</w:t>
      </w:r>
      <w:r>
        <w:rPr>
          <w:sz w:val="18"/>
          <w:szCs w:val="18"/>
        </w:rPr>
        <w:softHyphen/>
        <w:t>dost denních listů však bylo nutno v roce 1924 vybudovati sportovní redakci, která s počátku referovala jen o nejvýznam</w:t>
      </w:r>
      <w:r>
        <w:rPr>
          <w:sz w:val="18"/>
          <w:szCs w:val="18"/>
        </w:rPr>
        <w:softHyphen/>
        <w:t>nějších podnicích pražských a později i venkovských. To však ani zdaleka nestačilo rostoucímu záj</w:t>
      </w:r>
      <w:r>
        <w:rPr>
          <w:sz w:val="18"/>
          <w:szCs w:val="18"/>
        </w:rPr>
        <w:t>mu o sport v denních listech a zejména mezi čtenáři. Tento zájem rostl úměrně roz</w:t>
      </w:r>
      <w:r>
        <w:rPr>
          <w:sz w:val="18"/>
          <w:szCs w:val="18"/>
        </w:rPr>
        <w:softHyphen/>
        <w:t>šiřováním rozhlasu v nejširších vrstvách lidových. Nezbylo tedy ČTK nic jiného, než věnovati sportovnímu zpravodajství takovou pozornost, jakou na ČTK požadovaly samy listy j</w:t>
      </w:r>
      <w:r>
        <w:rPr>
          <w:sz w:val="18"/>
          <w:szCs w:val="18"/>
        </w:rPr>
        <w:t>ako naši předplatitelé.</w:t>
      </w:r>
    </w:p>
    <w:p w:rsidR="00500724" w:rsidRDefault="00F30FB8">
      <w:pPr>
        <w:pStyle w:val="Zkladntext1"/>
        <w:shd w:val="clear" w:color="auto" w:fill="auto"/>
        <w:spacing w:line="178" w:lineRule="auto"/>
        <w:ind w:firstLine="300"/>
        <w:rPr>
          <w:sz w:val="18"/>
          <w:szCs w:val="18"/>
        </w:rPr>
      </w:pPr>
      <w:r>
        <w:rPr>
          <w:sz w:val="18"/>
          <w:szCs w:val="18"/>
        </w:rPr>
        <w:t>Při této příležitosti však musíme upozornit!, že ani zpravo</w:t>
      </w:r>
      <w:r>
        <w:rPr>
          <w:sz w:val="18"/>
          <w:szCs w:val="18"/>
        </w:rPr>
        <w:softHyphen/>
        <w:t xml:space="preserve">dajství kulturní v ČTK nebylo nikdy odstrkováno, jak by so mohlo z Vašeho článku usuzovati. Věnuje se mu plný zřetel, jak také vidno z přečetných poděkování jednotlivých </w:t>
      </w:r>
      <w:r>
        <w:rPr>
          <w:sz w:val="18"/>
          <w:szCs w:val="18"/>
        </w:rPr>
        <w:t>kultur</w:t>
      </w:r>
      <w:r>
        <w:rPr>
          <w:sz w:val="18"/>
          <w:szCs w:val="18"/>
        </w:rPr>
        <w:softHyphen/>
        <w:t>ních institucí. Pan autor Vašeho článku neměl asi příležitost zhlédnouti, jak značné místo zaujímají kulturní zprávy v ma</w:t>
      </w:r>
      <w:r>
        <w:rPr>
          <w:sz w:val="18"/>
          <w:szCs w:val="18"/>
        </w:rPr>
        <w:softHyphen/>
        <w:t>teriálu ČT-K. Nezdá se nám také oprávněnou výtka jeho, kterou! činí kulturním referentům jednotlivých listů, že se dovídají o p</w:t>
      </w:r>
      <w:r>
        <w:rPr>
          <w:sz w:val="18"/>
          <w:szCs w:val="18"/>
        </w:rPr>
        <w:t>remiérách divadelních teprve z volného lístku, který dosta</w:t>
      </w:r>
      <w:r>
        <w:rPr>
          <w:sz w:val="18"/>
          <w:szCs w:val="18"/>
        </w:rPr>
        <w:softHyphen/>
        <w:t>nou na představení.</w:t>
      </w:r>
    </w:p>
    <w:p w:rsidR="00500724" w:rsidRDefault="00F30FB8">
      <w:pPr>
        <w:pStyle w:val="Zkladntext1"/>
        <w:shd w:val="clear" w:color="auto" w:fill="auto"/>
        <w:spacing w:line="178" w:lineRule="auto"/>
        <w:ind w:firstLine="300"/>
        <w:rPr>
          <w:sz w:val="18"/>
          <w:szCs w:val="18"/>
        </w:rPr>
      </w:pPr>
      <w:r>
        <w:rPr>
          <w:sz w:val="18"/>
          <w:szCs w:val="18"/>
        </w:rPr>
        <w:t>Pokud naopak my víme, je u příslušných referentů časo</w:t>
      </w:r>
      <w:r>
        <w:rPr>
          <w:sz w:val="18"/>
          <w:szCs w:val="18"/>
        </w:rPr>
        <w:softHyphen/>
        <w:t>piseckých mnohem větší zájem nejen o to, co se v divadle děje, ale i co se bude dít. A ČTK sama může ne ze sedmi, ale sedmn</w:t>
      </w:r>
      <w:r>
        <w:rPr>
          <w:sz w:val="18"/>
          <w:szCs w:val="18"/>
        </w:rPr>
        <w:t>ácti svých telefonních čísel kdykoliv zájemci říci nejen, »co se bude v neděli hrát v Národním divadle*, ale i ve Sta</w:t>
      </w:r>
      <w:r>
        <w:rPr>
          <w:sz w:val="18"/>
          <w:szCs w:val="18"/>
        </w:rPr>
        <w:softHyphen/>
        <w:t>vovském, Vinohradském, Komorním, v Burianově atd., atd., poněvadž ředitelství jednotlivých divadel netoliko vydávají předem divadelní týde</w:t>
      </w:r>
      <w:r>
        <w:rPr>
          <w:sz w:val="18"/>
          <w:szCs w:val="18"/>
        </w:rPr>
        <w:t>nní program repertoární, ale právě prostřednictvím ČTK oznamují případné změny v tomto pro</w:t>
      </w:r>
      <w:r>
        <w:rPr>
          <w:sz w:val="18"/>
          <w:szCs w:val="18"/>
        </w:rPr>
        <w:softHyphen/>
        <w:t>gramu.</w:t>
      </w:r>
    </w:p>
    <w:p w:rsidR="00500724" w:rsidRDefault="00F30FB8">
      <w:pPr>
        <w:pStyle w:val="Zkladntext1"/>
        <w:shd w:val="clear" w:color="auto" w:fill="auto"/>
        <w:spacing w:line="178" w:lineRule="auto"/>
        <w:ind w:firstLine="300"/>
        <w:rPr>
          <w:sz w:val="18"/>
          <w:szCs w:val="18"/>
        </w:rPr>
      </w:pPr>
      <w:r>
        <w:rPr>
          <w:sz w:val="18"/>
          <w:szCs w:val="18"/>
        </w:rPr>
        <w:t>A ČTK neopomíjí ani všech významných vernisáží, a to ne</w:t>
      </w:r>
      <w:r>
        <w:rPr>
          <w:sz w:val="18"/>
          <w:szCs w:val="18"/>
        </w:rPr>
        <w:softHyphen/>
        <w:t>toliko slovem, ale i obrazem.</w:t>
      </w:r>
    </w:p>
    <w:p w:rsidR="00500724" w:rsidRDefault="00F30FB8">
      <w:pPr>
        <w:pStyle w:val="Zkladntext1"/>
        <w:shd w:val="clear" w:color="auto" w:fill="auto"/>
        <w:spacing w:line="178" w:lineRule="auto"/>
        <w:ind w:firstLine="300"/>
        <w:rPr>
          <w:sz w:val="18"/>
          <w:szCs w:val="18"/>
        </w:rPr>
      </w:pPr>
      <w:r>
        <w:rPr>
          <w:sz w:val="18"/>
          <w:szCs w:val="18"/>
        </w:rPr>
        <w:t xml:space="preserve">Zkrátka: že Česká tisková kancelář věnovala vždy a stále věnuje </w:t>
      </w:r>
      <w:r>
        <w:rPr>
          <w:sz w:val="18"/>
          <w:szCs w:val="18"/>
        </w:rPr>
        <w:t>kulturním věcem plný zájem, svědčí o tom i obšírné zpravodajství na přiklad ze zájezdu České filharmonie do ci</w:t>
      </w:r>
      <w:r>
        <w:rPr>
          <w:sz w:val="18"/>
          <w:szCs w:val="18"/>
        </w:rPr>
        <w:softHyphen/>
        <w:t>ziny, o výstavách našich malířů za hranicemi a pod., při čemž ČTK nikdy nešetřila ani na transmisních nákladech,, Jen aby její zpravodajství i po</w:t>
      </w:r>
      <w:r>
        <w:rPr>
          <w:sz w:val="18"/>
          <w:szCs w:val="18"/>
        </w:rPr>
        <w:t xml:space="preserve"> této stránce bylo nejpohotovější.</w:t>
      </w:r>
    </w:p>
    <w:p w:rsidR="00500724" w:rsidRDefault="00F30FB8">
      <w:pPr>
        <w:pStyle w:val="Zkladntext1"/>
        <w:shd w:val="clear" w:color="auto" w:fill="auto"/>
        <w:spacing w:line="178" w:lineRule="auto"/>
        <w:ind w:firstLine="300"/>
        <w:rPr>
          <w:sz w:val="18"/>
          <w:szCs w:val="18"/>
        </w:rPr>
      </w:pPr>
      <w:r>
        <w:rPr>
          <w:sz w:val="18"/>
          <w:szCs w:val="18"/>
        </w:rPr>
        <w:t>Tedy jen těchto několik nejpodstatnějších poznámek chtěli jsme uvésti ke článku p. Mráze a prosíme, abyste je vzal laska</w:t>
      </w:r>
      <w:r>
        <w:rPr>
          <w:sz w:val="18"/>
          <w:szCs w:val="18"/>
        </w:rPr>
        <w:softHyphen/>
        <w:t>vě na vědomost.</w:t>
      </w:r>
    </w:p>
    <w:p w:rsidR="00500724" w:rsidRDefault="00F30FB8">
      <w:pPr>
        <w:pStyle w:val="Zkladntext1"/>
        <w:shd w:val="clear" w:color="auto" w:fill="auto"/>
        <w:spacing w:after="40" w:line="228" w:lineRule="auto"/>
        <w:ind w:left="2720" w:hanging="680"/>
        <w:jc w:val="left"/>
        <w:sectPr w:rsidR="00500724">
          <w:footnotePr>
            <w:numFmt w:val="chicago"/>
            <w:numRestart w:val="eachPage"/>
          </w:footnotePr>
          <w:pgSz w:w="11909" w:h="16834"/>
          <w:pgMar w:top="802" w:right="858" w:bottom="909" w:left="628" w:header="0" w:footer="3" w:gutter="0"/>
          <w:cols w:num="2" w:space="100"/>
          <w:noEndnote/>
          <w:docGrid w:linePitch="360"/>
        </w:sectPr>
      </w:pPr>
      <w:r>
        <w:rPr>
          <w:sz w:val="18"/>
          <w:szCs w:val="18"/>
        </w:rPr>
        <w:t xml:space="preserve">Ředitelství České tiskové kanceláře </w:t>
      </w:r>
      <w:r>
        <w:rPr>
          <w:b/>
          <w:bCs/>
        </w:rPr>
        <w:t>Lad. Tvarůžek</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48" w:line="14" w:lineRule="exact"/>
      </w:pPr>
    </w:p>
    <w:p w:rsidR="00500724" w:rsidRDefault="00500724">
      <w:pPr>
        <w:spacing w:line="14" w:lineRule="exact"/>
        <w:sectPr w:rsidR="00500724">
          <w:footnotePr>
            <w:numFmt w:val="chicago"/>
            <w:numRestart w:val="eachPage"/>
          </w:footnotePr>
          <w:pgSz w:w="11909" w:h="16834"/>
          <w:pgMar w:top="790" w:right="574" w:bottom="509" w:left="823" w:header="0" w:footer="3" w:gutter="0"/>
          <w:cols w:space="720"/>
          <w:noEndnote/>
          <w:docGrid w:linePitch="360"/>
        </w:sectPr>
      </w:pPr>
    </w:p>
    <w:p w:rsidR="00500724" w:rsidRDefault="00F30FB8">
      <w:pPr>
        <w:spacing w:line="14" w:lineRule="exact"/>
      </w:pPr>
      <w:r>
        <w:rPr>
          <w:noProof/>
        </w:rPr>
        <mc:AlternateContent>
          <mc:Choice Requires="wps">
            <w:drawing>
              <wp:anchor distT="0" distB="12700" distL="0" distR="0" simplePos="0" relativeHeight="125829922" behindDoc="0" locked="0" layoutInCell="1" allowOverlap="1">
                <wp:simplePos x="0" y="0"/>
                <wp:positionH relativeFrom="page">
                  <wp:posOffset>2256790</wp:posOffset>
                </wp:positionH>
                <wp:positionV relativeFrom="paragraph">
                  <wp:posOffset>12700</wp:posOffset>
                </wp:positionV>
                <wp:extent cx="3203575" cy="1929130"/>
                <wp:effectExtent l="0" t="0" r="0" b="0"/>
                <wp:wrapTopAndBottom/>
                <wp:docPr id="545" name="Shape 545"/>
                <wp:cNvGraphicFramePr/>
                <a:graphic xmlns:a="http://schemas.openxmlformats.org/drawingml/2006/main">
                  <a:graphicData uri="http://schemas.microsoft.com/office/word/2010/wordprocessingShape">
                    <wps:wsp>
                      <wps:cNvSpPr txBox="1"/>
                      <wps:spPr>
                        <a:xfrm>
                          <a:off x="0" y="0"/>
                          <a:ext cx="3203575" cy="1929130"/>
                        </a:xfrm>
                        <a:prstGeom prst="rect">
                          <a:avLst/>
                        </a:prstGeom>
                        <a:noFill/>
                      </wps:spPr>
                      <wps:txbx>
                        <w:txbxContent>
                          <w:p w:rsidR="00500724" w:rsidRDefault="00F30FB8">
                            <w:pPr>
                              <w:pStyle w:val="Zkladntext1"/>
                              <w:shd w:val="clear" w:color="auto" w:fill="auto"/>
                              <w:spacing w:line="233" w:lineRule="auto"/>
                              <w:ind w:left="180" w:firstLine="1040"/>
                              <w:jc w:val="left"/>
                            </w:pPr>
                            <w:r>
                              <w:rPr>
                                <w:b/>
                                <w:bCs/>
                                <w:sz w:val="24"/>
                                <w:szCs w:val="24"/>
                              </w:rPr>
                              <w:t xml:space="preserve">Národ jako dílo a úkol </w:t>
                            </w:r>
                            <w:r>
                              <w:rPr>
                                <w:b/>
                                <w:bCs/>
                              </w:rPr>
                              <w:t>Teprve národ zralý a vyvinutý vyvíjí se a dotváří sám</w:t>
                            </w:r>
                          </w:p>
                          <w:p w:rsidR="00500724" w:rsidRDefault="00F30FB8">
                            <w:pPr>
                              <w:pStyle w:val="Zkladntext1"/>
                              <w:shd w:val="clear" w:color="auto" w:fill="auto"/>
                              <w:tabs>
                                <w:tab w:val="left" w:pos="2165"/>
                              </w:tabs>
                              <w:spacing w:line="211" w:lineRule="auto"/>
                              <w:ind w:firstLine="0"/>
                              <w:rPr>
                                <w:sz w:val="18"/>
                                <w:szCs w:val="18"/>
                              </w:rPr>
                            </w:pPr>
                            <w:r>
                              <w:rPr>
                                <w:b/>
                                <w:bCs/>
                              </w:rPr>
                              <w:t xml:space="preserve">jako kolektivní dilo. Nejsi-li spisovatelem, jsi čtenářem; nejsi-li mluvčím nebo umělcem, jsi posluchačem, divákem; nejsi-li vůdcem, dáváš se vésti </w:t>
                            </w:r>
                            <w:r>
                              <w:rPr>
                                <w:b/>
                                <w:bCs/>
                              </w:rPr>
                              <w:t>a chceš věděti, proč a kam jsi veden. Jde o život a růst. Vniká-li do našeho života někde nová síla, přináši-li překvapující myšlenkové a citové fondy, nepřipravujme ji trpkého zneuznáni, jaké bylo krátko</w:t>
                            </w:r>
                            <w:r>
                              <w:rPr>
                                <w:b/>
                                <w:bCs/>
                              </w:rPr>
                              <w:softHyphen/>
                              <w:t>zrakými vlastenci připraveno Smetanovi. Ale vedle d</w:t>
                            </w:r>
                            <w:r>
                              <w:rPr>
                                <w:b/>
                                <w:bCs/>
                              </w:rPr>
                              <w:t>u</w:t>
                            </w:r>
                            <w:r>
                              <w:rPr>
                                <w:b/>
                                <w:bCs/>
                              </w:rPr>
                              <w:softHyphen/>
                              <w:t>chovních sil národního sjednocování působí i síly odstře</w:t>
                            </w:r>
                            <w:r>
                              <w:rPr>
                                <w:b/>
                                <w:bCs/>
                              </w:rPr>
                              <w:softHyphen/>
                              <w:t>divé a každý národ má úkol, aby se jim bránil. Ztratili jsme nedávno Slováky z národního společenství. Malí ná</w:t>
                            </w:r>
                            <w:r>
                              <w:rPr>
                                <w:b/>
                                <w:bCs/>
                              </w:rPr>
                              <w:softHyphen/>
                              <w:t>rodové jsou silami rozkladu zejména ohroženi, zevnitř i zvenčí. Ba jest otázkou, nejso</w:t>
                            </w:r>
                            <w:r>
                              <w:rPr>
                                <w:b/>
                                <w:bCs/>
                              </w:rPr>
                              <w:t>u-li malí právě proto, že se jim dosti nebránili.</w:t>
                            </w:r>
                            <w:r>
                              <w:rPr>
                                <w:b/>
                                <w:bCs/>
                              </w:rPr>
                              <w:tab/>
                            </w:r>
                            <w:r>
                              <w:rPr>
                                <w:sz w:val="18"/>
                                <w:szCs w:val="18"/>
                                <w:lang w:val="en-US" w:eastAsia="en-US" w:bidi="en-US"/>
                              </w:rPr>
                              <w:t xml:space="preserve">J. </w:t>
                            </w:r>
                            <w:r>
                              <w:rPr>
                                <w:sz w:val="18"/>
                                <w:szCs w:val="18"/>
                              </w:rPr>
                              <w:t>B. K ozák (ve Vědě a životě).</w:t>
                            </w:r>
                          </w:p>
                        </w:txbxContent>
                      </wps:txbx>
                      <wps:bodyPr lIns="0" tIns="0" rIns="0" bIns="0">
                        <a:spAutoFit/>
                      </wps:bodyPr>
                    </wps:wsp>
                  </a:graphicData>
                </a:graphic>
              </wp:anchor>
            </w:drawing>
          </mc:Choice>
          <mc:Fallback>
            <w:pict>
              <v:shape id="_x0000_s1571" type="#_x0000_t202" style="position:absolute;margin-left:177.69999999999999pt;margin-top:1.pt;width:252.25pt;height:151.90000000000001pt;z-index:-125828831;mso-wrap-distance-left:0;mso-wrap-distance-right:0;mso-wrap-distance-bottom:1.pt;mso-position-horizontal-relative:page" filled="f" stroked="f">
                <v:textbox style="mso-fit-shape-to-text:t" inset="0,0,0,0">
                  <w:txbxContent>
                    <w:p>
                      <w:pPr>
                        <w:pStyle w:val="Style18"/>
                        <w:keepNext w:val="0"/>
                        <w:keepLines w:val="0"/>
                        <w:widowControl w:val="0"/>
                        <w:shd w:val="clear" w:color="auto" w:fill="auto"/>
                        <w:bidi w:val="0"/>
                        <w:spacing w:before="0" w:after="0" w:line="233" w:lineRule="auto"/>
                        <w:ind w:left="180" w:right="0" w:firstLine="1040"/>
                        <w:jc w:val="left"/>
                      </w:pPr>
                      <w:r>
                        <w:rPr>
                          <w:b/>
                          <w:bCs/>
                          <w:color w:val="000000"/>
                          <w:spacing w:val="0"/>
                          <w:w w:val="100"/>
                          <w:position w:val="0"/>
                          <w:sz w:val="24"/>
                          <w:szCs w:val="24"/>
                          <w:shd w:val="clear" w:color="auto" w:fill="auto"/>
                          <w:lang w:val="cs-CZ" w:eastAsia="cs-CZ" w:bidi="cs-CZ"/>
                        </w:rPr>
                        <w:t xml:space="preserve">Národ jako dílo a úkol </w:t>
                      </w:r>
                      <w:r>
                        <w:rPr>
                          <w:b/>
                          <w:bCs/>
                          <w:color w:val="000000"/>
                          <w:spacing w:val="0"/>
                          <w:w w:val="100"/>
                          <w:position w:val="0"/>
                          <w:shd w:val="clear" w:color="auto" w:fill="auto"/>
                          <w:lang w:val="cs-CZ" w:eastAsia="cs-CZ" w:bidi="cs-CZ"/>
                        </w:rPr>
                        <w:t>Teprve národ zralý a vyvinutý vyvíjí se a dotváří sám</w:t>
                      </w:r>
                    </w:p>
                    <w:p>
                      <w:pPr>
                        <w:pStyle w:val="Style18"/>
                        <w:keepNext w:val="0"/>
                        <w:keepLines w:val="0"/>
                        <w:widowControl w:val="0"/>
                        <w:shd w:val="clear" w:color="auto" w:fill="auto"/>
                        <w:tabs>
                          <w:tab w:pos="2165" w:val="left"/>
                        </w:tabs>
                        <w:bidi w:val="0"/>
                        <w:spacing w:before="0" w:after="0" w:line="211" w:lineRule="auto"/>
                        <w:ind w:left="0" w:right="0" w:firstLine="0"/>
                        <w:rPr>
                          <w:sz w:val="18"/>
                          <w:szCs w:val="18"/>
                        </w:rPr>
                      </w:pPr>
                      <w:r>
                        <w:rPr>
                          <w:b/>
                          <w:bCs/>
                          <w:color w:val="000000"/>
                          <w:spacing w:val="0"/>
                          <w:w w:val="100"/>
                          <w:position w:val="0"/>
                          <w:sz w:val="19"/>
                          <w:szCs w:val="19"/>
                          <w:shd w:val="clear" w:color="auto" w:fill="auto"/>
                          <w:lang w:val="cs-CZ" w:eastAsia="cs-CZ" w:bidi="cs-CZ"/>
                        </w:rPr>
                        <w:t>jako kolektivní dilo. Nejsi-li spisovatelem, jsi čtenářem; nejsi-li mluvčím nebo umělcem, jsi posluchačem, divákem; nejsi-li vůdcem, dáváš se vésti a chceš věděti, proč a kam jsi veden. Jde o život a růst. Vniká-li do našeho života někde nová síla, přináši-li překvapující myšlenkové a citové fondy, nepřipravujme ji trpkého zneuznáni, jaké bylo krátko</w:t>
                        <w:softHyphen/>
                        <w:t>zrakými vlastenci připraveno Smetanovi. Ale vedle du</w:t>
                        <w:softHyphen/>
                        <w:t>chovních sil národního sjednocování působí i síly odstře</w:t>
                        <w:softHyphen/>
                        <w:t>divé a každý národ má úkol, aby se jim bránil. Ztratili jsme nedávno Slováky z národního společenství. Malí ná</w:t>
                        <w:softHyphen/>
                        <w:t>rodové jsou silami rozkladu zejména ohroženi, zevnitř i zvenčí. Ba jest otázkou, nejsou-li malí právě proto, že se jim dosti nebránili.</w:t>
                        <w:tab/>
                      </w:r>
                      <w:r>
                        <w:rPr>
                          <w:color w:val="000000"/>
                          <w:spacing w:val="0"/>
                          <w:w w:val="100"/>
                          <w:position w:val="0"/>
                          <w:sz w:val="18"/>
                          <w:szCs w:val="18"/>
                          <w:shd w:val="clear" w:color="auto" w:fill="auto"/>
                          <w:lang w:val="en-US" w:eastAsia="en-US" w:bidi="en-US"/>
                        </w:rPr>
                        <w:t xml:space="preserve">J. </w:t>
                      </w:r>
                      <w:r>
                        <w:rPr>
                          <w:color w:val="000000"/>
                          <w:spacing w:val="0"/>
                          <w:w w:val="100"/>
                          <w:position w:val="0"/>
                          <w:sz w:val="18"/>
                          <w:szCs w:val="18"/>
                          <w:shd w:val="clear" w:color="auto" w:fill="auto"/>
                          <w:lang w:val="cs-CZ" w:eastAsia="cs-CZ" w:bidi="cs-CZ"/>
                        </w:rPr>
                        <w:t>B. K ozák (ve Vědě a životě).</w:t>
                      </w:r>
                    </w:p>
                  </w:txbxContent>
                </v:textbox>
                <w10:wrap type="topAndBottom" anchorx="page"/>
              </v:shape>
            </w:pict>
          </mc:Fallback>
        </mc:AlternateContent>
      </w:r>
    </w:p>
    <w:p w:rsidR="00500724" w:rsidRDefault="00F30FB8">
      <w:pPr>
        <w:pStyle w:val="Zkladntext1"/>
        <w:shd w:val="clear" w:color="auto" w:fill="auto"/>
        <w:spacing w:after="140" w:line="326" w:lineRule="auto"/>
        <w:ind w:firstLine="0"/>
        <w:jc w:val="left"/>
        <w:rPr>
          <w:sz w:val="18"/>
          <w:szCs w:val="18"/>
        </w:rPr>
      </w:pPr>
      <w:r>
        <w:rPr>
          <w:i/>
          <w:iCs/>
          <w:sz w:val="20"/>
          <w:szCs w:val="20"/>
        </w:rPr>
        <w:t xml:space="preserve">Jaroslav Seifert: </w:t>
      </w:r>
      <w:r>
        <w:rPr>
          <w:rFonts w:ascii="Arial" w:eastAsia="Arial" w:hAnsi="Arial" w:cs="Arial"/>
          <w:b/>
          <w:bCs/>
          <w:sz w:val="18"/>
          <w:szCs w:val="18"/>
        </w:rPr>
        <w:t>STARÁ KNÍŽKA*</w:t>
      </w:r>
    </w:p>
    <w:p w:rsidR="00500724" w:rsidRDefault="00F30FB8">
      <w:pPr>
        <w:pStyle w:val="Zkladntext1"/>
        <w:shd w:val="clear" w:color="auto" w:fill="auto"/>
        <w:spacing w:after="140" w:line="180" w:lineRule="auto"/>
        <w:ind w:firstLine="0"/>
        <w:jc w:val="left"/>
        <w:rPr>
          <w:sz w:val="20"/>
          <w:szCs w:val="20"/>
        </w:rPr>
      </w:pPr>
      <w:r>
        <w:rPr>
          <w:i/>
          <w:iCs/>
          <w:sz w:val="20"/>
          <w:szCs w:val="20"/>
        </w:rPr>
        <w:t>A byla bitva tam a tam, ještě mám pamět bdělou a ještě v duchu nahmatám tu knížku ošumělou.</w:t>
      </w:r>
    </w:p>
    <w:p w:rsidR="00500724" w:rsidRDefault="00F30FB8">
      <w:pPr>
        <w:pStyle w:val="Zkladntext1"/>
        <w:shd w:val="clear" w:color="auto" w:fill="auto"/>
        <w:spacing w:after="140" w:line="182" w:lineRule="auto"/>
        <w:ind w:firstLine="0"/>
        <w:jc w:val="left"/>
        <w:rPr>
          <w:sz w:val="20"/>
          <w:szCs w:val="20"/>
        </w:rPr>
      </w:pPr>
      <w:r>
        <w:rPr>
          <w:i/>
          <w:iCs/>
          <w:sz w:val="20"/>
          <w:szCs w:val="20"/>
        </w:rPr>
        <w:t>Tu knížku s jmény césarů ještě</w:t>
      </w:r>
      <w:r>
        <w:rPr>
          <w:sz w:val="18"/>
          <w:szCs w:val="18"/>
        </w:rPr>
        <w:t xml:space="preserve"> si </w:t>
      </w:r>
      <w:r>
        <w:rPr>
          <w:i/>
          <w:iCs/>
          <w:sz w:val="20"/>
          <w:szCs w:val="20"/>
        </w:rPr>
        <w:t>v duchu počtu;</w:t>
      </w:r>
      <w:r>
        <w:rPr>
          <w:i/>
          <w:iCs/>
          <w:sz w:val="20"/>
          <w:szCs w:val="20"/>
        </w:rPr>
        <w:t xml:space="preserve"> psal jsem v ní verše o jaru nad řádky letopočtů.</w:t>
      </w:r>
    </w:p>
    <w:p w:rsidR="00500724" w:rsidRDefault="00F30FB8">
      <w:pPr>
        <w:pStyle w:val="Zkladntext1"/>
        <w:shd w:val="clear" w:color="auto" w:fill="auto"/>
        <w:spacing w:line="180" w:lineRule="auto"/>
        <w:ind w:firstLine="0"/>
        <w:jc w:val="left"/>
        <w:rPr>
          <w:sz w:val="20"/>
          <w:szCs w:val="20"/>
        </w:rPr>
      </w:pPr>
      <w:r>
        <w:rPr>
          <w:i/>
          <w:iCs/>
          <w:sz w:val="20"/>
          <w:szCs w:val="20"/>
        </w:rPr>
        <w:t>Kolik tam padlo? Bezpočet! Zmírali s jménem vlasti.</w:t>
      </w:r>
    </w:p>
    <w:p w:rsidR="00500724" w:rsidRDefault="00F30FB8">
      <w:pPr>
        <w:pStyle w:val="Zkladntext1"/>
        <w:shd w:val="clear" w:color="auto" w:fill="auto"/>
        <w:spacing w:after="140" w:line="180" w:lineRule="auto"/>
        <w:ind w:firstLine="0"/>
        <w:jc w:val="left"/>
        <w:rPr>
          <w:sz w:val="20"/>
          <w:szCs w:val="20"/>
        </w:rPr>
      </w:pPr>
      <w:r>
        <w:rPr>
          <w:i/>
          <w:iCs/>
          <w:sz w:val="20"/>
          <w:szCs w:val="20"/>
        </w:rPr>
        <w:t>A každý z nás to tenkrát čet studeně, bez účasti.</w:t>
      </w:r>
    </w:p>
    <w:p w:rsidR="00500724" w:rsidRDefault="00F30FB8">
      <w:pPr>
        <w:pStyle w:val="Zkladntext1"/>
        <w:shd w:val="clear" w:color="auto" w:fill="auto"/>
        <w:spacing w:line="185" w:lineRule="auto"/>
        <w:ind w:firstLine="0"/>
        <w:jc w:val="left"/>
        <w:rPr>
          <w:sz w:val="20"/>
          <w:szCs w:val="20"/>
        </w:rPr>
      </w:pPr>
      <w:r>
        <w:rPr>
          <w:i/>
          <w:iCs/>
          <w:sz w:val="20"/>
          <w:szCs w:val="20"/>
        </w:rPr>
        <w:t>Král přišel, válčil a král pod, na hlavě péra pštrosí.</w:t>
      </w:r>
    </w:p>
    <w:p w:rsidR="00500724" w:rsidRDefault="00F30FB8">
      <w:pPr>
        <w:pStyle w:val="Zkladntext1"/>
        <w:numPr>
          <w:ilvl w:val="0"/>
          <w:numId w:val="69"/>
        </w:numPr>
        <w:shd w:val="clear" w:color="auto" w:fill="auto"/>
        <w:tabs>
          <w:tab w:val="left" w:pos="318"/>
        </w:tabs>
        <w:spacing w:after="140" w:line="185" w:lineRule="auto"/>
        <w:ind w:firstLine="0"/>
        <w:jc w:val="left"/>
        <w:rPr>
          <w:sz w:val="20"/>
          <w:szCs w:val="20"/>
        </w:rPr>
      </w:pPr>
      <w:r>
        <w:rPr>
          <w:i/>
          <w:iCs/>
          <w:sz w:val="20"/>
          <w:szCs w:val="20"/>
        </w:rPr>
        <w:t>A venku květy voněl sad, čekals tam na kohosi.</w:t>
      </w:r>
    </w:p>
    <w:p w:rsidR="00500724" w:rsidRDefault="00F30FB8">
      <w:pPr>
        <w:pStyle w:val="Zkladntext1"/>
        <w:shd w:val="clear" w:color="auto" w:fill="auto"/>
        <w:spacing w:line="185" w:lineRule="auto"/>
        <w:ind w:firstLine="0"/>
        <w:jc w:val="left"/>
        <w:rPr>
          <w:sz w:val="20"/>
          <w:szCs w:val="20"/>
        </w:rPr>
      </w:pPr>
      <w:r>
        <w:rPr>
          <w:i/>
          <w:iCs/>
          <w:sz w:val="20"/>
          <w:szCs w:val="20"/>
        </w:rPr>
        <w:t>Vá</w:t>
      </w:r>
      <w:r>
        <w:rPr>
          <w:i/>
          <w:iCs/>
          <w:sz w:val="20"/>
          <w:szCs w:val="20"/>
        </w:rPr>
        <w:t>lka a bitvy, mrtvý král toho a toho roku!</w:t>
      </w:r>
    </w:p>
    <w:p w:rsidR="00500724" w:rsidRDefault="00F30FB8">
      <w:pPr>
        <w:pStyle w:val="Zkladntext1"/>
        <w:numPr>
          <w:ilvl w:val="0"/>
          <w:numId w:val="69"/>
        </w:numPr>
        <w:shd w:val="clear" w:color="auto" w:fill="auto"/>
        <w:tabs>
          <w:tab w:val="left" w:pos="318"/>
        </w:tabs>
        <w:spacing w:line="185" w:lineRule="auto"/>
        <w:ind w:firstLine="0"/>
        <w:jc w:val="left"/>
        <w:rPr>
          <w:sz w:val="20"/>
          <w:szCs w:val="20"/>
        </w:rPr>
      </w:pPr>
      <w:r>
        <w:rPr>
          <w:i/>
          <w:iCs/>
          <w:sz w:val="20"/>
          <w:szCs w:val="20"/>
        </w:rPr>
        <w:t>s tím-jsem si hlavu</w:t>
      </w:r>
    </w:p>
    <w:p w:rsidR="00500724" w:rsidRDefault="00F30FB8">
      <w:pPr>
        <w:pStyle w:val="Zkladntext1"/>
        <w:shd w:val="clear" w:color="auto" w:fill="auto"/>
        <w:spacing w:line="185" w:lineRule="auto"/>
        <w:ind w:firstLine="0"/>
        <w:jc w:val="right"/>
        <w:rPr>
          <w:sz w:val="20"/>
          <w:szCs w:val="20"/>
        </w:rPr>
      </w:pPr>
      <w:r>
        <w:rPr>
          <w:i/>
          <w:iCs/>
          <w:sz w:val="20"/>
          <w:szCs w:val="20"/>
        </w:rPr>
        <w:t>nelámal,</w:t>
      </w:r>
    </w:p>
    <w:p w:rsidR="00500724" w:rsidRDefault="00F30FB8">
      <w:pPr>
        <w:pStyle w:val="Zkladntext1"/>
        <w:shd w:val="clear" w:color="auto" w:fill="auto"/>
        <w:spacing w:after="140" w:line="185" w:lineRule="auto"/>
        <w:ind w:firstLine="0"/>
        <w:jc w:val="left"/>
        <w:rPr>
          <w:sz w:val="20"/>
          <w:szCs w:val="20"/>
        </w:rPr>
      </w:pPr>
      <w:r>
        <w:rPr>
          <w:i/>
          <w:iCs/>
          <w:sz w:val="20"/>
          <w:szCs w:val="20"/>
        </w:rPr>
        <w:t>kráčeje po dívčím boku.</w:t>
      </w:r>
    </w:p>
    <w:p w:rsidR="00500724" w:rsidRDefault="00F30FB8">
      <w:pPr>
        <w:pStyle w:val="Zkladntext1"/>
        <w:shd w:val="clear" w:color="auto" w:fill="auto"/>
        <w:spacing w:after="140" w:line="185" w:lineRule="auto"/>
        <w:ind w:firstLine="0"/>
        <w:jc w:val="left"/>
        <w:rPr>
          <w:sz w:val="20"/>
          <w:szCs w:val="20"/>
        </w:rPr>
      </w:pPr>
      <w:r>
        <w:rPr>
          <w:i/>
          <w:iCs/>
          <w:sz w:val="20"/>
          <w:szCs w:val="20"/>
        </w:rPr>
        <w:t>Tu lásku čas už rozmetal, dávno mi nenáleží, však běda, mrtvý český král ještě tam dodnes leží.</w:t>
      </w:r>
    </w:p>
    <w:p w:rsidR="00500724" w:rsidRDefault="00F30FB8">
      <w:pPr>
        <w:pStyle w:val="Zkladntext1"/>
        <w:shd w:val="clear" w:color="auto" w:fill="auto"/>
        <w:spacing w:after="60" w:line="182" w:lineRule="auto"/>
        <w:ind w:firstLine="0"/>
        <w:rPr>
          <w:sz w:val="20"/>
          <w:szCs w:val="20"/>
        </w:rPr>
      </w:pPr>
      <w:r>
        <w:rPr>
          <w:i/>
          <w:iCs/>
          <w:sz w:val="20"/>
          <w:szCs w:val="20"/>
        </w:rPr>
        <w:t>Dnes je tak blízký, jak by mi před zrakem ležel i s koněm, jak by</w:t>
      </w:r>
      <w:r>
        <w:rPr>
          <w:i/>
          <w:iCs/>
          <w:sz w:val="20"/>
          <w:szCs w:val="20"/>
        </w:rPr>
        <w:t xml:space="preserve"> krev padala na rýmy, Jcteré tu plši dnes o něm.</w:t>
      </w:r>
    </w:p>
    <w:p w:rsidR="00500724" w:rsidRDefault="00F30FB8">
      <w:pPr>
        <w:pStyle w:val="Zkladntext40"/>
        <w:shd w:val="clear" w:color="auto" w:fill="auto"/>
        <w:spacing w:after="140" w:line="180" w:lineRule="auto"/>
        <w:ind w:firstLine="200"/>
      </w:pPr>
      <w:r>
        <w:t>•) Ze sbírky ^Zhasněte světlat, která právě vySla ve 3. vydáni.</w:t>
      </w:r>
    </w:p>
    <w:p w:rsidR="00500724" w:rsidRDefault="00F30FB8">
      <w:pPr>
        <w:pStyle w:val="Nadpis120"/>
        <w:shd w:val="clear" w:color="auto" w:fill="auto"/>
        <w:spacing w:after="60" w:line="166" w:lineRule="auto"/>
        <w:ind w:left="0"/>
      </w:pPr>
      <w:bookmarkStart w:id="550" w:name="bookmark549"/>
      <w:r>
        <w:rPr>
          <w:rFonts w:ascii="Arial" w:eastAsia="Arial" w:hAnsi="Arial" w:cs="Arial"/>
        </w:rPr>
        <w:t>NOVÉ KNIHY</w:t>
      </w:r>
      <w:bookmarkEnd w:id="550"/>
    </w:p>
    <w:p w:rsidR="00500724" w:rsidRDefault="00F30FB8">
      <w:pPr>
        <w:pStyle w:val="Zkladntext40"/>
        <w:shd w:val="clear" w:color="auto" w:fill="auto"/>
        <w:spacing w:after="0" w:line="194" w:lineRule="auto"/>
        <w:jc w:val="left"/>
        <w:rPr>
          <w:sz w:val="19"/>
          <w:szCs w:val="19"/>
        </w:rPr>
      </w:pPr>
      <w:r>
        <w:rPr>
          <w:b/>
          <w:bCs/>
          <w:sz w:val="14"/>
          <w:szCs w:val="14"/>
        </w:rPr>
        <w:t xml:space="preserve">OWA </w:t>
      </w:r>
      <w:r>
        <w:rPr>
          <w:b/>
          <w:bCs/>
          <w:sz w:val="14"/>
          <w:szCs w:val="14"/>
          <w:lang w:val="en-US" w:eastAsia="en-US" w:bidi="en-US"/>
        </w:rPr>
        <w:t xml:space="preserve">SCHEINFFLUGOVA: </w:t>
      </w:r>
      <w:r>
        <w:rPr>
          <w:b/>
          <w:bCs/>
          <w:sz w:val="14"/>
          <w:szCs w:val="14"/>
        </w:rPr>
        <w:t>PŘE</w:t>
      </w:r>
      <w:r>
        <w:rPr>
          <w:b/>
          <w:bCs/>
          <w:sz w:val="14"/>
          <w:szCs w:val="14"/>
        </w:rPr>
        <w:softHyphen/>
      </w:r>
      <w:r>
        <w:t xml:space="preserve">ŽITA </w:t>
      </w:r>
      <w:r>
        <w:rPr>
          <w:b/>
          <w:bCs/>
          <w:smallCaps/>
          <w:sz w:val="19"/>
          <w:szCs w:val="19"/>
        </w:rPr>
        <w:t>smrt</w:t>
      </w:r>
    </w:p>
    <w:p w:rsidR="00500724" w:rsidRDefault="00F30FB8">
      <w:pPr>
        <w:pStyle w:val="Zkladntext40"/>
        <w:shd w:val="clear" w:color="auto" w:fill="auto"/>
        <w:spacing w:after="140"/>
        <w:ind w:firstLine="200"/>
      </w:pPr>
      <w:r>
        <w:t>Pro Čtenáře dvou předcházejí</w:t>
      </w:r>
      <w:r>
        <w:softHyphen/>
        <w:t>cích realistlcko-psychologlckých románů Olgy Scheinpflugové, Ba</w:t>
      </w:r>
      <w:r>
        <w:softHyphen/>
        <w:t xml:space="preserve">lady </w:t>
      </w:r>
      <w:r>
        <w:t>z Karlina a Sester, bude Její nová románová práce Přežitá smrt nečekaným překvapením. Dějem, psychologii, zpracováním 1 námětem, který autorce dala doba. který se svým nihlllsmem a hrůzou z příští války neustále konfrontuje člověka s pocitem vlastni smrti,</w:t>
      </w:r>
      <w:r>
        <w:t xml:space="preserve"> Je Přežitá smrt úplné novum. Vypráví se tu o člo</w:t>
      </w:r>
      <w:r>
        <w:softHyphen/>
        <w:t>věku, který přežije svou vlastni smrt, na jejíž kartu vSecko vsa</w:t>
      </w:r>
      <w:r>
        <w:softHyphen/>
        <w:t>dil v předpokladu, že zemře ve třiceti letech, Jak mu předpově</w:t>
      </w:r>
      <w:r>
        <w:softHyphen/>
        <w:t>děli astrologové a chlromantl. Už toto osobité vyprávěni, plné Jaké</w:t>
      </w:r>
      <w:r>
        <w:softHyphen/>
        <w:t>hosi novor</w:t>
      </w:r>
      <w:r>
        <w:t>omantlckého kouzla a sugesce samo o sobě stačilo, aby byl román považován za Jedno z nejzajlmavějšlch děl poslední do</w:t>
      </w:r>
      <w:r>
        <w:softHyphen/>
        <w:t>by. Ale autorka dala vyznít to</w:t>
      </w:r>
      <w:r>
        <w:softHyphen/>
        <w:t>mu příběhu v jakési morální po</w:t>
      </w:r>
      <w:r>
        <w:softHyphen/>
        <w:t>dobenství a pohádku, která lid</w:t>
      </w:r>
      <w:r>
        <w:softHyphen/>
        <w:t>stvo posiluje v Jeho otřesené víře v život, d</w:t>
      </w:r>
      <w:r>
        <w:t>ovozujíc zároveň ne</w:t>
      </w:r>
      <w:r>
        <w:softHyphen/>
        <w:t>zbytnost této viry, má-11 se cele naplnit lidský život i osud. A tímto krásným vnitřním smyslem je Přežitá smrt něčím vic než pouhým románem, byt okouz</w:t>
      </w:r>
      <w:r>
        <w:softHyphen/>
        <w:t>lujícím čtenáře dobrodružnosti švé</w:t>
      </w:r>
      <w:r>
        <w:softHyphen/>
      </w:r>
      <w:r>
        <w:rPr>
          <w:b/>
          <w:bCs/>
          <w:sz w:val="16"/>
          <w:szCs w:val="16"/>
        </w:rPr>
        <w:t xml:space="preserve">do děje. </w:t>
      </w:r>
      <w:r>
        <w:t>romantikou přízvuku a</w:t>
      </w:r>
    </w:p>
    <w:p w:rsidR="00500724" w:rsidRDefault="00F30FB8">
      <w:pPr>
        <w:pStyle w:val="Zkladntext40"/>
        <w:shd w:val="clear" w:color="auto" w:fill="auto"/>
        <w:spacing w:after="100"/>
      </w:pPr>
      <w:r>
        <w:t xml:space="preserve">přednesu, </w:t>
      </w:r>
      <w:r>
        <w:t>osobitosti formy a Jedi</w:t>
      </w:r>
      <w:r>
        <w:softHyphen/>
        <w:t>nečností námětu. Je poselství ži</w:t>
      </w:r>
      <w:r>
        <w:softHyphen/>
        <w:t>vota a civilisace v krásném a vel</w:t>
      </w:r>
      <w:r>
        <w:softHyphen/>
        <w:t>kém smyslu toho slova. Cena ro</w:t>
      </w:r>
      <w:r>
        <w:softHyphen/>
        <w:t>mánu, který vychází Jako 25. svazek sbírky hodnotné prózy Žatva, Je 28 K.</w:t>
      </w:r>
    </w:p>
    <w:p w:rsidR="00500724" w:rsidRDefault="00F30FB8">
      <w:pPr>
        <w:pStyle w:val="Zkladntext40"/>
        <w:shd w:val="clear" w:color="auto" w:fill="auto"/>
        <w:spacing w:after="40" w:line="173" w:lineRule="auto"/>
      </w:pPr>
      <w:r>
        <w:t>ÚSPÉCH VAŽOVY KNIHY POD RlPEM.</w:t>
      </w:r>
    </w:p>
    <w:p w:rsidR="00500724" w:rsidRDefault="00F30FB8">
      <w:pPr>
        <w:pStyle w:val="Zkladntext40"/>
        <w:shd w:val="clear" w:color="auto" w:fill="auto"/>
        <w:spacing w:after="160"/>
        <w:ind w:firstLine="180"/>
      </w:pPr>
      <w:r>
        <w:t>Svazek ušlechtilých a zajíma</w:t>
      </w:r>
      <w:r>
        <w:softHyphen/>
      </w:r>
      <w:r>
        <w:t>vých vzpomínek Pavla Váši &gt;Pod ftipem« byl během tří týdnů roze</w:t>
      </w:r>
      <w:r>
        <w:softHyphen/>
        <w:t>brán. Tento fakt, svědčíc! o nové orientaci českých čtenářů, obra</w:t>
      </w:r>
      <w:r>
        <w:softHyphen/>
        <w:t>cejících se ve vážných chvílích ke knihám, které zrcadlí minulost a objevuji zapomínané a opomíjené prameny životadárných a ži</w:t>
      </w:r>
      <w:r>
        <w:t>vota- tvárných sil národního býti, by! také krásným zadostiučiněním, Jehož se tu dostává knihovně Pa</w:t>
      </w:r>
      <w:r>
        <w:softHyphen/>
        <w:t>měti, kde Vášova kniha vyšla. Tato knihovna vzala si totiž za úkol právě to, co shrnujeme dnes do prostého a stručného hesla, vyznívajícího kategorickým im</w:t>
      </w:r>
      <w:r>
        <w:t>pe</w:t>
      </w:r>
      <w:r>
        <w:softHyphen/>
        <w:t>rativem: Ke kořenům! Kniha Vá</w:t>
      </w:r>
      <w:r>
        <w:softHyphen/>
        <w:t>šových vzpomínek z děstvl evo</w:t>
      </w:r>
      <w:r>
        <w:softHyphen/>
        <w:t>kuje a poutavě liči život Jedné z typických vsi podřipských, evan</w:t>
      </w:r>
      <w:r>
        <w:softHyphen/>
        <w:t>gelických Krábčic a je jednou z takových knih české tradice, di</w:t>
      </w:r>
      <w:r>
        <w:softHyphen/>
        <w:t xml:space="preserve">lem posily </w:t>
      </w:r>
      <w:r>
        <w:rPr>
          <w:b/>
          <w:bCs/>
          <w:sz w:val="16"/>
          <w:szCs w:val="16"/>
        </w:rPr>
        <w:t xml:space="preserve">a </w:t>
      </w:r>
      <w:r>
        <w:t>potěchy. Jeji druhé</w:t>
      </w:r>
    </w:p>
    <w:p w:rsidR="00500724" w:rsidRDefault="00F30FB8">
      <w:pPr>
        <w:pStyle w:val="Zkladntext80"/>
        <w:shd w:val="clear" w:color="auto" w:fill="auto"/>
        <w:spacing w:after="40" w:line="240" w:lineRule="auto"/>
        <w:jc w:val="both"/>
        <w:rPr>
          <w:sz w:val="20"/>
          <w:szCs w:val="20"/>
        </w:rPr>
      </w:pPr>
      <w:r>
        <w:rPr>
          <w:b w:val="0"/>
          <w:bCs w:val="0"/>
          <w:sz w:val="20"/>
          <w:szCs w:val="20"/>
        </w:rPr>
        <w:t>FEUILLETON</w:t>
      </w:r>
    </w:p>
    <w:p w:rsidR="00500724" w:rsidRDefault="00F30FB8">
      <w:pPr>
        <w:pStyle w:val="Zkladntext40"/>
        <w:shd w:val="clear" w:color="auto" w:fill="auto"/>
        <w:spacing w:after="40" w:line="240" w:lineRule="auto"/>
        <w:jc w:val="left"/>
        <w:rPr>
          <w:sz w:val="16"/>
          <w:szCs w:val="16"/>
        </w:rPr>
      </w:pPr>
      <w:r>
        <w:rPr>
          <w:b/>
          <w:bCs/>
          <w:sz w:val="16"/>
          <w:szCs w:val="16"/>
        </w:rPr>
        <w:t xml:space="preserve">OLGA </w:t>
      </w:r>
      <w:r>
        <w:rPr>
          <w:b/>
          <w:bCs/>
          <w:sz w:val="16"/>
          <w:szCs w:val="16"/>
        </w:rPr>
        <w:t>SCHEINPFLUGOVÁ: Přežitá smrt*)</w:t>
      </w:r>
    </w:p>
    <w:p w:rsidR="00500724" w:rsidRDefault="00F30FB8">
      <w:pPr>
        <w:pStyle w:val="Zkladntext40"/>
        <w:shd w:val="clear" w:color="auto" w:fill="auto"/>
        <w:spacing w:after="40" w:line="168" w:lineRule="auto"/>
        <w:ind w:firstLine="180"/>
        <w:rPr>
          <w:sz w:val="16"/>
          <w:szCs w:val="16"/>
        </w:rPr>
      </w:pPr>
      <w:r>
        <w:rPr>
          <w:b/>
          <w:bCs/>
          <w:sz w:val="16"/>
          <w:szCs w:val="16"/>
        </w:rPr>
        <w:t>V létě skládali maturity. Byl to čas kvetoucí více než všechny za</w:t>
      </w:r>
      <w:r>
        <w:rPr>
          <w:b/>
          <w:bCs/>
          <w:sz w:val="16"/>
          <w:szCs w:val="16"/>
        </w:rPr>
        <w:softHyphen/>
        <w:t>hrady ve snech dětí. Celá zem rozkvetla nádherným plevelem: hospodáři neměli radost, ale oči přišly na své, kamkoli se zatou</w:t>
      </w:r>
      <w:r>
        <w:rPr>
          <w:b/>
          <w:bCs/>
          <w:sz w:val="16"/>
          <w:szCs w:val="16"/>
        </w:rPr>
        <w:softHyphen/>
        <w:t>laly. Pole hořela vlčím mákem a po</w:t>
      </w:r>
      <w:r>
        <w:rPr>
          <w:b/>
          <w:bCs/>
          <w:sz w:val="16"/>
          <w:szCs w:val="16"/>
        </w:rPr>
        <w:t>dle pšenice tekly celé struhy chrp tak modrých jako večerní nebe Adamovo a Janovo. Na su</w:t>
      </w:r>
      <w:r>
        <w:rPr>
          <w:b/>
          <w:bCs/>
          <w:sz w:val="16"/>
          <w:szCs w:val="16"/>
        </w:rPr>
        <w:softHyphen/>
        <w:t>chopárech začínaly kvést měkké a obrněné palice nádherných bod</w:t>
      </w:r>
      <w:r>
        <w:rPr>
          <w:b/>
          <w:bCs/>
          <w:sz w:val="16"/>
          <w:szCs w:val="16"/>
        </w:rPr>
        <w:softHyphen/>
        <w:t>láků a v parku přetékaly popína</w:t>
      </w:r>
      <w:r>
        <w:rPr>
          <w:b/>
          <w:bCs/>
          <w:sz w:val="16"/>
          <w:szCs w:val="16"/>
        </w:rPr>
        <w:softHyphen/>
        <w:t>vé růže nevídaným množstvím bílých a růžových hroznů, štíhlé větve spire</w:t>
      </w:r>
      <w:r>
        <w:rPr>
          <w:b/>
          <w:bCs/>
          <w:sz w:val="16"/>
          <w:szCs w:val="16"/>
        </w:rPr>
        <w:t>í se skláněly tíhou vlastni krásy. Městem chodili děti a Btudenti s čistýma rukama a s vysvědčením v kapse sváteč</w:t>
      </w:r>
      <w:r>
        <w:rPr>
          <w:b/>
          <w:bCs/>
          <w:sz w:val="16"/>
          <w:szCs w:val="16"/>
        </w:rPr>
        <w:softHyphen/>
        <w:t>ních šatů.</w:t>
      </w:r>
    </w:p>
    <w:p w:rsidR="00500724" w:rsidRDefault="00F30FB8">
      <w:pPr>
        <w:pStyle w:val="Zkladntext40"/>
        <w:shd w:val="clear" w:color="auto" w:fill="auto"/>
        <w:spacing w:after="40" w:line="168" w:lineRule="auto"/>
        <w:ind w:firstLine="180"/>
        <w:rPr>
          <w:sz w:val="16"/>
          <w:szCs w:val="16"/>
        </w:rPr>
      </w:pPr>
      <w:r>
        <w:rPr>
          <w:b/>
          <w:bCs/>
          <w:sz w:val="16"/>
          <w:szCs w:val="16"/>
        </w:rPr>
        <w:t>Adam a Jan šli na výlet, nějak se přece musilo oslavit, že se dve</w:t>
      </w:r>
      <w:r>
        <w:rPr>
          <w:b/>
          <w:bCs/>
          <w:sz w:val="16"/>
          <w:szCs w:val="16"/>
        </w:rPr>
        <w:softHyphen/>
        <w:t>ře gymnasia zavřely za jejich no</w:t>
      </w:r>
      <w:r>
        <w:rPr>
          <w:b/>
          <w:bCs/>
          <w:sz w:val="16"/>
          <w:szCs w:val="16"/>
        </w:rPr>
        <w:softHyphen/>
        <w:t>hatými těly. Matka seděla chvíli</w:t>
      </w:r>
      <w:r>
        <w:rPr>
          <w:b/>
          <w:bCs/>
          <w:sz w:val="16"/>
          <w:szCs w:val="16"/>
        </w:rPr>
        <w:t xml:space="preserve"> v Adamově pokoji a pomáhala mu šťastnýma rukama při oblé</w:t>
      </w:r>
      <w:r>
        <w:rPr>
          <w:b/>
          <w:bCs/>
          <w:sz w:val="16"/>
          <w:szCs w:val="16"/>
        </w:rPr>
        <w:softHyphen/>
        <w:t>kání.</w:t>
      </w:r>
    </w:p>
    <w:p w:rsidR="00500724" w:rsidRDefault="00F30FB8">
      <w:pPr>
        <w:pStyle w:val="Zkladntext40"/>
        <w:shd w:val="clear" w:color="auto" w:fill="auto"/>
        <w:spacing w:after="120" w:line="168" w:lineRule="auto"/>
        <w:ind w:firstLine="180"/>
        <w:rPr>
          <w:sz w:val="16"/>
          <w:szCs w:val="16"/>
        </w:rPr>
      </w:pPr>
      <w:r>
        <w:rPr>
          <w:b/>
          <w:bCs/>
          <w:sz w:val="16"/>
          <w:szCs w:val="16"/>
        </w:rPr>
        <w:t>xTak teď už jsi mužem, Ado,</w:t>
      </w:r>
    </w:p>
    <w:p w:rsidR="00500724" w:rsidRDefault="00F30FB8">
      <w:pPr>
        <w:pStyle w:val="Zkladntext40"/>
        <w:shd w:val="clear" w:color="auto" w:fill="auto"/>
        <w:spacing w:after="40" w:line="175" w:lineRule="auto"/>
        <w:ind w:firstLine="180"/>
        <w:rPr>
          <w:sz w:val="16"/>
          <w:szCs w:val="16"/>
        </w:rPr>
      </w:pPr>
      <w:r>
        <w:t xml:space="preserve">•) Výňatek ze stejnojmenného </w:t>
      </w:r>
      <w:r>
        <w:rPr>
          <w:b/>
          <w:bCs/>
          <w:sz w:val="16"/>
          <w:szCs w:val="16"/>
        </w:rPr>
        <w:t>románu, který právě vychází.</w:t>
      </w:r>
    </w:p>
    <w:p w:rsidR="00500724" w:rsidRDefault="00F30FB8">
      <w:pPr>
        <w:spacing w:line="1" w:lineRule="exact"/>
        <w:rPr>
          <w:sz w:val="2"/>
          <w:szCs w:val="2"/>
        </w:rPr>
      </w:pPr>
      <w:r>
        <w:br w:type="column"/>
      </w:r>
    </w:p>
    <w:p w:rsidR="00500724" w:rsidRDefault="00F30FB8">
      <w:pPr>
        <w:pStyle w:val="Zkladntext40"/>
        <w:shd w:val="clear" w:color="auto" w:fill="auto"/>
        <w:spacing w:after="100"/>
      </w:pPr>
      <w:r>
        <w:t>vydání nelze tudíž než vítat s největší radostí. Cena brož. svaz</w:t>
      </w:r>
      <w:r>
        <w:softHyphen/>
        <w:t>ku Je 16 K.</w:t>
      </w:r>
    </w:p>
    <w:p w:rsidR="00500724" w:rsidRDefault="00F30FB8">
      <w:pPr>
        <w:pStyle w:val="Zkladntext40"/>
        <w:shd w:val="clear" w:color="auto" w:fill="auto"/>
        <w:spacing w:after="0" w:line="180" w:lineRule="auto"/>
        <w:jc w:val="left"/>
      </w:pPr>
      <w:r>
        <w:t xml:space="preserve">NOVÉ ClSLO VĚDY A ŽIVOTA </w:t>
      </w:r>
      <w:r>
        <w:t>Nové, deváté číslo letošního ročníku Vědy a života přiná</w:t>
      </w:r>
      <w:r>
        <w:softHyphen/>
        <w:t>ší vedle řady odborných statí, glos a poznámek k současnému</w:t>
      </w:r>
    </w:p>
    <w:p w:rsidR="00500724" w:rsidRDefault="00F30FB8">
      <w:pPr>
        <w:pStyle w:val="Zkladntext40"/>
        <w:shd w:val="clear" w:color="auto" w:fill="auto"/>
        <w:spacing w:after="160" w:line="180" w:lineRule="auto"/>
      </w:pPr>
      <w:r>
        <w:t>Vědeckému badáni a děni několik vysoce poutavých, závažných a v obsahu ušlechtilých statí. Upo</w:t>
      </w:r>
      <w:r>
        <w:softHyphen/>
        <w:t>zorňujeme tu především na filo</w:t>
      </w:r>
      <w:r>
        <w:softHyphen/>
        <w:t>soficky prohl</w:t>
      </w:r>
      <w:r>
        <w:t>oubenou a historic</w:t>
      </w:r>
      <w:r>
        <w:softHyphen/>
        <w:t xml:space="preserve">ky založenou úvodní stať </w:t>
      </w:r>
      <w:r>
        <w:rPr>
          <w:lang w:val="en-US" w:eastAsia="en-US" w:bidi="en-US"/>
        </w:rPr>
        <w:t xml:space="preserve">J. </w:t>
      </w:r>
      <w:r>
        <w:t>B. Kozáka Národ Jako dílo a úkol, na článek R. Součka, pojednáva</w:t>
      </w:r>
      <w:r>
        <w:softHyphen/>
        <w:t>jíc! zajímavě i srozumitelně o du</w:t>
      </w:r>
      <w:r>
        <w:softHyphen/>
        <w:t>ševních bolestech na studii Bohu</w:t>
      </w:r>
      <w:r>
        <w:softHyphen/>
        <w:t>míra Stědroně O moderní hudbě a Josefa Skutila o počátcích prae- historie u n</w:t>
      </w:r>
      <w:r>
        <w:t>ás. Zajímavý je také feuilleton Jiřího Stefla, výmluvně nazvaný Od vrby k aspirinu. Čís</w:t>
      </w:r>
      <w:r>
        <w:softHyphen/>
        <w:t>lo, bohatě ilustrované a v oddíle Barevné střepy, kde čteme mar</w:t>
      </w:r>
      <w:r>
        <w:softHyphen/>
        <w:t>ginálie k dějinám střelného pra</w:t>
      </w:r>
      <w:r>
        <w:softHyphen/>
        <w:t>chu, o rasových poměrech na Ha</w:t>
      </w:r>
      <w:r>
        <w:softHyphen/>
        <w:t>vaji, o atletickém srdci, o Jedova</w:t>
      </w:r>
      <w:r>
        <w:softHyphen/>
        <w:t>tých l</w:t>
      </w:r>
      <w:r>
        <w:t>écích, zvláště poučné, při</w:t>
      </w:r>
      <w:r>
        <w:softHyphen/>
        <w:t>náší další pokračováni Základů biologie, kde se tentokrát pojed</w:t>
      </w:r>
      <w:r>
        <w:softHyphen/>
        <w:t>nává o íysiologii buňky. Jeho cena Je 5 K.</w:t>
      </w:r>
    </w:p>
    <w:p w:rsidR="00500724" w:rsidRDefault="00F30FB8">
      <w:pPr>
        <w:pStyle w:val="Zkladntext40"/>
        <w:shd w:val="clear" w:color="auto" w:fill="auto"/>
        <w:spacing w:after="0" w:line="166" w:lineRule="auto"/>
        <w:rPr>
          <w:sz w:val="16"/>
          <w:szCs w:val="16"/>
        </w:rPr>
      </w:pPr>
      <w:r>
        <w:rPr>
          <w:b/>
          <w:bCs/>
          <w:sz w:val="16"/>
          <w:szCs w:val="16"/>
        </w:rPr>
        <w:t>teď už tl nastanou trochu sta</w:t>
      </w:r>
      <w:r>
        <w:rPr>
          <w:b/>
          <w:bCs/>
          <w:sz w:val="16"/>
          <w:szCs w:val="16"/>
        </w:rPr>
        <w:softHyphen/>
        <w:t>rosti!®</w:t>
      </w:r>
    </w:p>
    <w:p w:rsidR="00500724" w:rsidRDefault="00F30FB8">
      <w:pPr>
        <w:pStyle w:val="Zkladntext40"/>
        <w:shd w:val="clear" w:color="auto" w:fill="auto"/>
        <w:spacing w:after="0" w:line="166" w:lineRule="auto"/>
        <w:ind w:firstLine="200"/>
        <w:rPr>
          <w:sz w:val="16"/>
          <w:szCs w:val="16"/>
        </w:rPr>
      </w:pPr>
      <w:r>
        <w:rPr>
          <w:b/>
          <w:bCs/>
          <w:sz w:val="16"/>
          <w:szCs w:val="16"/>
        </w:rPr>
        <w:t>Divala se při tom výmluvně oknem na hučící přádelnu. Otec promluvil docela jasně, be</w:t>
      </w:r>
      <w:r>
        <w:rPr>
          <w:b/>
          <w:bCs/>
          <w:sz w:val="16"/>
          <w:szCs w:val="16"/>
        </w:rPr>
        <w:t>z zdvo</w:t>
      </w:r>
      <w:r>
        <w:rPr>
          <w:b/>
          <w:bCs/>
          <w:sz w:val="16"/>
          <w:szCs w:val="16"/>
        </w:rPr>
        <w:softHyphen/>
        <w:t>řilých skrývaček: »Jsem rád, že už nám začneš pomáhat, Adame!®</w:t>
      </w:r>
    </w:p>
    <w:p w:rsidR="00500724" w:rsidRDefault="00F30FB8">
      <w:pPr>
        <w:pStyle w:val="Zkladntext40"/>
        <w:shd w:val="clear" w:color="auto" w:fill="auto"/>
        <w:spacing w:after="0" w:line="166" w:lineRule="auto"/>
        <w:ind w:firstLine="200"/>
        <w:rPr>
          <w:sz w:val="16"/>
          <w:szCs w:val="16"/>
        </w:rPr>
      </w:pPr>
      <w:r>
        <w:rPr>
          <w:b/>
          <w:bCs/>
          <w:sz w:val="16"/>
          <w:szCs w:val="16"/>
        </w:rPr>
        <w:t>Neodpověděl, ale přemýšlel o Jejich plánech až teď, kdy šel vedle přítele.</w:t>
      </w:r>
    </w:p>
    <w:p w:rsidR="00500724" w:rsidRDefault="00F30FB8">
      <w:pPr>
        <w:pStyle w:val="Zkladntext40"/>
        <w:shd w:val="clear" w:color="auto" w:fill="auto"/>
        <w:spacing w:after="0" w:line="168" w:lineRule="auto"/>
        <w:ind w:firstLine="200"/>
        <w:rPr>
          <w:sz w:val="16"/>
          <w:szCs w:val="16"/>
        </w:rPr>
      </w:pPr>
      <w:r>
        <w:rPr>
          <w:b/>
          <w:bCs/>
          <w:sz w:val="16"/>
          <w:szCs w:val="16"/>
        </w:rPr>
        <w:t>Svět kvetl na všech stranách, na všech teplých plodech poli a mezí. na korunách rozpěněných stromů, na všech ka</w:t>
      </w:r>
      <w:r>
        <w:rPr>
          <w:b/>
          <w:bCs/>
          <w:sz w:val="16"/>
          <w:szCs w:val="16"/>
        </w:rPr>
        <w:t>menech obsa</w:t>
      </w:r>
      <w:r>
        <w:rPr>
          <w:b/>
          <w:bCs/>
          <w:sz w:val="16"/>
          <w:szCs w:val="16"/>
        </w:rPr>
        <w:softHyphen/>
        <w:t>zených netřesky, na' vodách s bílým pryskyřníkem. orobincem a řasou. Zdánlivým plotem, vyso</w:t>
      </w:r>
      <w:r>
        <w:rPr>
          <w:b/>
          <w:bCs/>
          <w:sz w:val="16"/>
          <w:szCs w:val="16"/>
        </w:rPr>
        <w:softHyphen/>
        <w:t>kou ohradou této zahrady bylo nebe. namodralá zeď oblohy kolem dokola, ale kdybys šel, uskočila by zase zpátky a dokázala 1 nejvytrvalejšímu chod</w:t>
      </w:r>
      <w:r>
        <w:rPr>
          <w:b/>
          <w:bCs/>
          <w:sz w:val="16"/>
          <w:szCs w:val="16"/>
        </w:rPr>
        <w:softHyphen/>
        <w:t>ci, že</w:t>
      </w:r>
      <w:r>
        <w:rPr>
          <w:b/>
          <w:bCs/>
          <w:sz w:val="16"/>
          <w:szCs w:val="16"/>
        </w:rPr>
        <w:t xml:space="preserve"> se mýli, že Bůh neohranlču- je jako člověk.</w:t>
      </w:r>
    </w:p>
    <w:p w:rsidR="00500724" w:rsidRDefault="00F30FB8">
      <w:pPr>
        <w:pStyle w:val="Zkladntext40"/>
        <w:shd w:val="clear" w:color="auto" w:fill="auto"/>
        <w:spacing w:after="0" w:line="168" w:lineRule="auto"/>
        <w:ind w:firstLine="200"/>
        <w:rPr>
          <w:sz w:val="16"/>
          <w:szCs w:val="16"/>
        </w:rPr>
      </w:pPr>
      <w:r>
        <w:rPr>
          <w:b/>
          <w:bCs/>
          <w:sz w:val="16"/>
          <w:szCs w:val="16"/>
        </w:rPr>
        <w:t>Cvrčel a kobylky oživovali roz</w:t>
      </w:r>
      <w:r>
        <w:rPr>
          <w:b/>
          <w:bCs/>
          <w:sz w:val="16"/>
          <w:szCs w:val="16"/>
        </w:rPr>
        <w:softHyphen/>
        <w:t>kvetlé ticho stráni s dozrálou tra</w:t>
      </w:r>
      <w:r>
        <w:rPr>
          <w:b/>
          <w:bCs/>
          <w:sz w:val="16"/>
          <w:szCs w:val="16"/>
        </w:rPr>
        <w:softHyphen/>
        <w:t>vou, a matčin měkký hlas se teď přihlásil, aby opakoval, co už řekl ráno:</w:t>
      </w:r>
    </w:p>
    <w:p w:rsidR="00500724" w:rsidRDefault="00F30FB8">
      <w:pPr>
        <w:pStyle w:val="Zkladntext40"/>
        <w:shd w:val="clear" w:color="auto" w:fill="auto"/>
        <w:spacing w:after="0" w:line="163" w:lineRule="auto"/>
        <w:ind w:firstLine="200"/>
        <w:rPr>
          <w:sz w:val="16"/>
          <w:szCs w:val="16"/>
        </w:rPr>
      </w:pPr>
      <w:r>
        <w:rPr>
          <w:b/>
          <w:bCs/>
          <w:sz w:val="16"/>
          <w:szCs w:val="16"/>
        </w:rPr>
        <w:t>»Teď už jsi mužem, Adame, teď už ti nastanou starosti!®</w:t>
      </w:r>
    </w:p>
    <w:p w:rsidR="00500724" w:rsidRDefault="00F30FB8">
      <w:pPr>
        <w:pStyle w:val="Zkladntext40"/>
        <w:shd w:val="clear" w:color="auto" w:fill="auto"/>
        <w:spacing w:after="0" w:line="175" w:lineRule="auto"/>
        <w:ind w:firstLine="200"/>
        <w:rPr>
          <w:sz w:val="16"/>
          <w:szCs w:val="16"/>
        </w:rPr>
      </w:pPr>
      <w:r>
        <w:rPr>
          <w:b/>
          <w:bCs/>
          <w:sz w:val="16"/>
          <w:szCs w:val="16"/>
        </w:rPr>
        <w:t>Nevděčný syn, k</w:t>
      </w:r>
      <w:r>
        <w:rPr>
          <w:b/>
          <w:bCs/>
          <w:sz w:val="16"/>
          <w:szCs w:val="16"/>
        </w:rPr>
        <w:t>terý ji zůstal dlužen své plány, odpověděl nyní ochotně a sdílně Janovi:</w:t>
      </w:r>
    </w:p>
    <w:p w:rsidR="00500724" w:rsidRDefault="00F30FB8">
      <w:pPr>
        <w:pStyle w:val="Zkladntext40"/>
        <w:shd w:val="clear" w:color="auto" w:fill="auto"/>
        <w:spacing w:after="0" w:line="175" w:lineRule="auto"/>
        <w:ind w:firstLine="200"/>
        <w:rPr>
          <w:sz w:val="16"/>
          <w:szCs w:val="16"/>
        </w:rPr>
      </w:pPr>
      <w:r>
        <w:rPr>
          <w:b/>
          <w:bCs/>
          <w:sz w:val="16"/>
          <w:szCs w:val="16"/>
        </w:rPr>
        <w:t>xPůjdu studovat do hlavního města, budu lékařem.®</w:t>
      </w:r>
    </w:p>
    <w:p w:rsidR="00500724" w:rsidRDefault="00F30FB8">
      <w:pPr>
        <w:spacing w:line="1" w:lineRule="exact"/>
        <w:rPr>
          <w:sz w:val="2"/>
          <w:szCs w:val="2"/>
        </w:rPr>
      </w:pPr>
      <w:r>
        <w:br w:type="column"/>
      </w:r>
    </w:p>
    <w:p w:rsidR="00500724" w:rsidRDefault="00F30FB8">
      <w:pPr>
        <w:pStyle w:val="Zkladntext1"/>
        <w:shd w:val="clear" w:color="auto" w:fill="auto"/>
        <w:spacing w:after="60" w:line="204" w:lineRule="auto"/>
        <w:ind w:firstLine="0"/>
        <w:jc w:val="left"/>
        <w:rPr>
          <w:sz w:val="20"/>
          <w:szCs w:val="20"/>
        </w:rPr>
      </w:pPr>
      <w:r>
        <w:rPr>
          <w:i/>
          <w:iCs/>
          <w:sz w:val="20"/>
          <w:szCs w:val="20"/>
        </w:rPr>
        <w:t xml:space="preserve">O. Ker </w:t>
      </w:r>
      <w:r>
        <w:rPr>
          <w:i/>
          <w:iCs/>
          <w:sz w:val="20"/>
          <w:szCs w:val="20"/>
          <w:lang w:val="en-US" w:eastAsia="en-US" w:bidi="en-US"/>
        </w:rPr>
        <w:t>hart:</w:t>
      </w:r>
    </w:p>
    <w:p w:rsidR="00500724" w:rsidRDefault="00F30FB8">
      <w:pPr>
        <w:pStyle w:val="Zkladntext1"/>
        <w:shd w:val="clear" w:color="auto" w:fill="auto"/>
        <w:spacing w:after="60" w:line="214" w:lineRule="auto"/>
        <w:ind w:firstLine="0"/>
        <w:jc w:val="left"/>
      </w:pPr>
      <w:r>
        <w:rPr>
          <w:b/>
          <w:bCs/>
        </w:rPr>
        <w:t>Chceme pravé české umění</w:t>
      </w:r>
    </w:p>
    <w:p w:rsidR="00500724" w:rsidRDefault="00F30FB8">
      <w:pPr>
        <w:pStyle w:val="Zkladntext1"/>
        <w:shd w:val="clear" w:color="auto" w:fill="auto"/>
        <w:spacing w:line="204" w:lineRule="auto"/>
        <w:ind w:firstLine="200"/>
        <w:rPr>
          <w:sz w:val="20"/>
          <w:szCs w:val="20"/>
        </w:rPr>
      </w:pPr>
      <w:r>
        <w:rPr>
          <w:i/>
          <w:iCs/>
          <w:sz w:val="20"/>
          <w:szCs w:val="20"/>
        </w:rPr>
        <w:t>O důležité úloze a potřebě dobrého českého umění v těž</w:t>
      </w:r>
      <w:r>
        <w:rPr>
          <w:i/>
          <w:iCs/>
          <w:sz w:val="20"/>
          <w:szCs w:val="20"/>
        </w:rPr>
        <w:softHyphen/>
        <w:t>kých dobách našeho národa promluvil po</w:t>
      </w:r>
      <w:r>
        <w:rPr>
          <w:i/>
          <w:iCs/>
          <w:sz w:val="20"/>
          <w:szCs w:val="20"/>
        </w:rPr>
        <w:t xml:space="preserve"> prvé ministr školství dr. Bukovský. Před</w:t>
      </w:r>
      <w:r>
        <w:rPr>
          <w:i/>
          <w:iCs/>
          <w:sz w:val="20"/>
          <w:szCs w:val="20"/>
        </w:rPr>
        <w:softHyphen/>
        <w:t>pokládal, že se vláda bude starat o vývoj našeho umění pečlivěji, než tomu bylo do</w:t>
      </w:r>
      <w:r>
        <w:rPr>
          <w:i/>
          <w:iCs/>
          <w:sz w:val="20"/>
          <w:szCs w:val="20"/>
        </w:rPr>
        <w:softHyphen/>
        <w:t>sud, nebot národ bude da</w:t>
      </w:r>
      <w:r>
        <w:rPr>
          <w:i/>
          <w:iCs/>
          <w:sz w:val="20"/>
          <w:szCs w:val="20"/>
        </w:rPr>
        <w:softHyphen/>
        <w:t>leko více potřebovat bla</w:t>
      </w:r>
      <w:r>
        <w:rPr>
          <w:i/>
          <w:iCs/>
          <w:sz w:val="20"/>
          <w:szCs w:val="20"/>
        </w:rPr>
        <w:softHyphen/>
        <w:t>hodárný vliv umění a kultury pro udržení svého charakteru a sebevědomí. O tom, co</w:t>
      </w:r>
      <w:r>
        <w:rPr>
          <w:i/>
          <w:iCs/>
          <w:sz w:val="20"/>
          <w:szCs w:val="20"/>
        </w:rPr>
        <w:t xml:space="preserve"> se rozumí pravým českým uměním a jak má no</w:t>
      </w:r>
      <w:r>
        <w:rPr>
          <w:i/>
          <w:iCs/>
          <w:sz w:val="20"/>
          <w:szCs w:val="20"/>
        </w:rPr>
        <w:softHyphen/>
        <w:t>vé české umění v budoucnosti vyhlížeti, napsalo se od té doby mnoho pokynů a rad. Bylo by dobře uvědomit si včas, jak to české umění vlastně rostlo, abychom jeho vývoj a podmínky chápali a nechali je i nadále růs</w:t>
      </w:r>
      <w:r>
        <w:rPr>
          <w:i/>
          <w:iCs/>
          <w:sz w:val="20"/>
          <w:szCs w:val="20"/>
        </w:rPr>
        <w:t>ti způ</w:t>
      </w:r>
      <w:r>
        <w:rPr>
          <w:i/>
          <w:iCs/>
          <w:sz w:val="20"/>
          <w:szCs w:val="20"/>
        </w:rPr>
        <w:softHyphen/>
        <w:t>sobem jemu vlastním. Jiné a nové podmínky způsobily by vývoj úplně jiného umění, než jsme doposud měli a na na které jsme právem hrdi.</w:t>
      </w:r>
    </w:p>
    <w:p w:rsidR="00500724" w:rsidRDefault="00F30FB8">
      <w:pPr>
        <w:pStyle w:val="Zkladntext1"/>
        <w:shd w:val="clear" w:color="auto" w:fill="auto"/>
        <w:spacing w:after="160" w:line="204" w:lineRule="auto"/>
        <w:ind w:firstLine="200"/>
        <w:rPr>
          <w:sz w:val="20"/>
          <w:szCs w:val="20"/>
        </w:rPr>
      </w:pPr>
      <w:r>
        <w:rPr>
          <w:i/>
          <w:iCs/>
          <w:sz w:val="20"/>
          <w:szCs w:val="20"/>
        </w:rPr>
        <w:t>Podívejme se, jaké vlast</w:t>
      </w:r>
      <w:r>
        <w:rPr>
          <w:i/>
          <w:iCs/>
          <w:sz w:val="20"/>
          <w:szCs w:val="20"/>
        </w:rPr>
        <w:softHyphen/>
        <w:t>nosti mělo naše umění: Ne</w:t>
      </w:r>
      <w:r>
        <w:rPr>
          <w:i/>
          <w:iCs/>
          <w:sz w:val="20"/>
          <w:szCs w:val="20"/>
        </w:rPr>
        <w:softHyphen/>
        <w:t>bylo nikdy oficiální a proto jako umění malého, přehlí</w:t>
      </w:r>
      <w:r>
        <w:rPr>
          <w:i/>
          <w:iCs/>
          <w:sz w:val="20"/>
          <w:szCs w:val="20"/>
        </w:rPr>
        <w:softHyphen/>
        <w:t>ženého n</w:t>
      </w:r>
      <w:r>
        <w:rPr>
          <w:i/>
          <w:iCs/>
          <w:sz w:val="20"/>
          <w:szCs w:val="20"/>
        </w:rPr>
        <w:t>ároda těžce bojovalo o své životní podmínky. Umě</w:t>
      </w:r>
      <w:r>
        <w:rPr>
          <w:i/>
          <w:iCs/>
          <w:sz w:val="20"/>
          <w:szCs w:val="20"/>
        </w:rPr>
        <w:softHyphen/>
        <w:t>lecká beseda se stala prvním samosprávným činitelem</w:t>
      </w:r>
    </w:p>
    <w:p w:rsidR="00500724" w:rsidRDefault="00F30FB8">
      <w:pPr>
        <w:pStyle w:val="Zkladntext40"/>
        <w:shd w:val="clear" w:color="auto" w:fill="auto"/>
        <w:spacing w:after="0" w:line="166" w:lineRule="auto"/>
        <w:ind w:firstLine="200"/>
        <w:rPr>
          <w:sz w:val="16"/>
          <w:szCs w:val="16"/>
        </w:rPr>
      </w:pPr>
      <w:r>
        <w:rPr>
          <w:b/>
          <w:bCs/>
          <w:sz w:val="16"/>
          <w:szCs w:val="16"/>
        </w:rPr>
        <w:t>Jan svou budoucnost neměl tak jistou, protože tetě, která ho ži</w:t>
      </w:r>
      <w:r>
        <w:rPr>
          <w:b/>
          <w:bCs/>
          <w:sz w:val="16"/>
          <w:szCs w:val="16"/>
        </w:rPr>
        <w:softHyphen/>
        <w:t>vila, docházela síla ku praní prádla.</w:t>
      </w:r>
    </w:p>
    <w:p w:rsidR="00500724" w:rsidRDefault="00F30FB8">
      <w:pPr>
        <w:pStyle w:val="Zkladntext40"/>
        <w:shd w:val="clear" w:color="auto" w:fill="auto"/>
        <w:spacing w:after="0" w:line="166" w:lineRule="auto"/>
        <w:ind w:firstLine="200"/>
        <w:rPr>
          <w:sz w:val="16"/>
          <w:szCs w:val="16"/>
        </w:rPr>
      </w:pPr>
      <w:r>
        <w:rPr>
          <w:b/>
          <w:bCs/>
          <w:sz w:val="16"/>
          <w:szCs w:val="16"/>
        </w:rPr>
        <w:t>sLékařem!® opakoval zádumči</w:t>
      </w:r>
      <w:r>
        <w:rPr>
          <w:b/>
          <w:bCs/>
          <w:sz w:val="16"/>
          <w:szCs w:val="16"/>
        </w:rPr>
        <w:softHyphen/>
        <w:t>vé, ale bez závisti, nebo</w:t>
      </w:r>
      <w:r>
        <w:rPr>
          <w:b/>
          <w:bCs/>
          <w:sz w:val="16"/>
          <w:szCs w:val="16"/>
        </w:rPr>
        <w:t>ť mu tato vlastnost nebyla dána; ostatně sám toužil po filosofii. Adam se na chvíli zastavil, byl kolem pří</w:t>
      </w:r>
      <w:r>
        <w:rPr>
          <w:b/>
          <w:bCs/>
          <w:sz w:val="16"/>
          <w:szCs w:val="16"/>
        </w:rPr>
        <w:softHyphen/>
        <w:t>liš krásný den.</w:t>
      </w:r>
    </w:p>
    <w:p w:rsidR="00500724" w:rsidRDefault="00F30FB8">
      <w:pPr>
        <w:pStyle w:val="Zkladntext40"/>
        <w:shd w:val="clear" w:color="auto" w:fill="auto"/>
        <w:spacing w:after="0" w:line="166" w:lineRule="auto"/>
        <w:ind w:firstLine="200"/>
        <w:rPr>
          <w:sz w:val="16"/>
          <w:szCs w:val="16"/>
        </w:rPr>
      </w:pPr>
      <w:r>
        <w:rPr>
          <w:b/>
          <w:bCs/>
          <w:sz w:val="16"/>
          <w:szCs w:val="16"/>
        </w:rPr>
        <w:t>»Ten je nejblil tajemství ži</w:t>
      </w:r>
      <w:r>
        <w:rPr>
          <w:b/>
          <w:bCs/>
          <w:sz w:val="16"/>
          <w:szCs w:val="16"/>
        </w:rPr>
        <w:softHyphen/>
        <w:t>vota!</w:t>
      </w:r>
    </w:p>
    <w:p w:rsidR="00500724" w:rsidRDefault="00F30FB8">
      <w:pPr>
        <w:pStyle w:val="Zkladntext40"/>
        <w:shd w:val="clear" w:color="auto" w:fill="auto"/>
        <w:spacing w:after="0" w:line="170" w:lineRule="auto"/>
        <w:ind w:firstLine="200"/>
        <w:rPr>
          <w:sz w:val="16"/>
          <w:szCs w:val="16"/>
        </w:rPr>
      </w:pPr>
      <w:r>
        <w:rPr>
          <w:b/>
          <w:bCs/>
          <w:sz w:val="16"/>
          <w:szCs w:val="16"/>
        </w:rPr>
        <w:t>»AIe ne tajemství smrti,® řekl Jan a vyhnul se tělu přeseknuté</w:t>
      </w:r>
      <w:r>
        <w:rPr>
          <w:b/>
          <w:bCs/>
          <w:sz w:val="16"/>
          <w:szCs w:val="16"/>
        </w:rPr>
        <w:softHyphen/>
        <w:t>ho slepýše.</w:t>
      </w:r>
    </w:p>
    <w:p w:rsidR="00500724" w:rsidRDefault="00F30FB8">
      <w:pPr>
        <w:pStyle w:val="Zkladntext40"/>
        <w:shd w:val="clear" w:color="auto" w:fill="auto"/>
        <w:spacing w:after="0" w:line="166" w:lineRule="auto"/>
        <w:ind w:firstLine="200"/>
        <w:rPr>
          <w:sz w:val="16"/>
          <w:szCs w:val="16"/>
        </w:rPr>
      </w:pPr>
      <w:r>
        <w:rPr>
          <w:b/>
          <w:bCs/>
          <w:sz w:val="16"/>
          <w:szCs w:val="16"/>
        </w:rPr>
        <w:t>Starý člověk by se nes</w:t>
      </w:r>
      <w:r>
        <w:rPr>
          <w:b/>
          <w:bCs/>
          <w:sz w:val="16"/>
          <w:szCs w:val="16"/>
        </w:rPr>
        <w:t>taral o tajemství smrti, kdyby ráno do</w:t>
      </w:r>
      <w:r>
        <w:rPr>
          <w:b/>
          <w:bCs/>
          <w:sz w:val="16"/>
          <w:szCs w:val="16"/>
        </w:rPr>
        <w:softHyphen/>
        <w:t>stal maturitní vysvědčeni, a mě</w:t>
      </w:r>
      <w:r>
        <w:rPr>
          <w:b/>
          <w:bCs/>
          <w:sz w:val="16"/>
          <w:szCs w:val="16"/>
        </w:rPr>
        <w:softHyphen/>
        <w:t>řil by šťastně velikost života, ale mladost shledává poetickými pís</w:t>
      </w:r>
      <w:r>
        <w:rPr>
          <w:b/>
          <w:bCs/>
          <w:sz w:val="16"/>
          <w:szCs w:val="16"/>
        </w:rPr>
        <w:softHyphen/>
        <w:t>kové pěšiny hřbitovů.</w:t>
      </w:r>
    </w:p>
    <w:p w:rsidR="00500724" w:rsidRDefault="00F30FB8">
      <w:pPr>
        <w:pStyle w:val="Zkladntext40"/>
        <w:shd w:val="clear" w:color="auto" w:fill="auto"/>
        <w:spacing w:after="0" w:line="168" w:lineRule="auto"/>
        <w:ind w:firstLine="200"/>
        <w:rPr>
          <w:sz w:val="16"/>
          <w:szCs w:val="16"/>
        </w:rPr>
      </w:pPr>
      <w:r>
        <w:rPr>
          <w:b/>
          <w:bCs/>
          <w:sz w:val="16"/>
          <w:szCs w:val="16"/>
        </w:rPr>
        <w:t>Na jedné louce oslavovali stu</w:t>
      </w:r>
      <w:r>
        <w:rPr>
          <w:b/>
          <w:bCs/>
          <w:sz w:val="16"/>
          <w:szCs w:val="16"/>
        </w:rPr>
        <w:softHyphen/>
        <w:t>denti a dívky začátek prázdnin, bylo to hned jiné, když se jich v</w:t>
      </w:r>
      <w:r>
        <w:rPr>
          <w:b/>
          <w:bCs/>
          <w:sz w:val="16"/>
          <w:szCs w:val="16"/>
        </w:rPr>
        <w:t>šech osm přidalo ke dvěma váž</w:t>
      </w:r>
      <w:r>
        <w:rPr>
          <w:b/>
          <w:bCs/>
          <w:sz w:val="16"/>
          <w:szCs w:val="16"/>
        </w:rPr>
        <w:softHyphen/>
        <w:t>ným samotářům. Měli kytary a zpívali, kytary s fábory, hudební nástroje osmnácti let. Na dívkách bylo vidět, že jsou po prvé daleko od varovných hlasů svých úzkost</w:t>
      </w:r>
      <w:r>
        <w:rPr>
          <w:b/>
          <w:bCs/>
          <w:sz w:val="16"/>
          <w:szCs w:val="16"/>
        </w:rPr>
        <w:softHyphen/>
        <w:t>livých matek a ještě dále od přís</w:t>
      </w:r>
      <w:r>
        <w:rPr>
          <w:b/>
          <w:bCs/>
          <w:sz w:val="16"/>
          <w:szCs w:val="16"/>
        </w:rPr>
        <w:softHyphen/>
        <w:t>ných otcovských očí, na každ</w:t>
      </w:r>
      <w:r>
        <w:rPr>
          <w:b/>
          <w:bCs/>
          <w:sz w:val="16"/>
          <w:szCs w:val="16"/>
        </w:rPr>
        <w:t>é bylo znát, že už dlouho nevydrží číst knihy a zavařovat angrešt, že se asi dnes nebo zítra bláznivě zamiluje. Jan se bavil a křičel za</w:t>
      </w:r>
      <w:r>
        <w:br w:type="page"/>
      </w:r>
    </w:p>
    <w:p w:rsidR="00500724" w:rsidRDefault="00F30FB8">
      <w:pPr>
        <w:pStyle w:val="Zkladntext1"/>
        <w:shd w:val="clear" w:color="auto" w:fill="auto"/>
        <w:spacing w:line="204" w:lineRule="auto"/>
        <w:ind w:firstLine="0"/>
        <w:rPr>
          <w:sz w:val="20"/>
          <w:szCs w:val="20"/>
        </w:rPr>
      </w:pPr>
      <w:r>
        <w:rPr>
          <w:i/>
          <w:iCs/>
          <w:sz w:val="20"/>
          <w:szCs w:val="20"/>
        </w:rPr>
        <w:t xml:space="preserve">uměleckým </w:t>
      </w:r>
      <w:r>
        <w:rPr>
          <w:b/>
          <w:bCs/>
          <w:i/>
          <w:iCs/>
        </w:rPr>
        <w:t xml:space="preserve">a </w:t>
      </w:r>
      <w:r>
        <w:rPr>
          <w:i/>
          <w:iCs/>
          <w:sz w:val="20"/>
          <w:szCs w:val="20"/>
        </w:rPr>
        <w:t xml:space="preserve">soustředila při svém založení před 75 lety všechny tvůrčí umělce. Jeji první předsedové, Mánes, Smetana a </w:t>
      </w:r>
      <w:r>
        <w:rPr>
          <w:i/>
          <w:iCs/>
          <w:sz w:val="20"/>
          <w:szCs w:val="20"/>
        </w:rPr>
        <w:t>Hálek, dali jí pro</w:t>
      </w:r>
      <w:r>
        <w:rPr>
          <w:i/>
          <w:iCs/>
          <w:sz w:val="20"/>
          <w:szCs w:val="20"/>
        </w:rPr>
        <w:softHyphen/>
        <w:t>gram a heslo:</w:t>
      </w:r>
      <w:r>
        <w:rPr>
          <w:b/>
          <w:bCs/>
          <w:sz w:val="18"/>
          <w:szCs w:val="18"/>
        </w:rPr>
        <w:t xml:space="preserve"> »V </w:t>
      </w:r>
      <w:r>
        <w:rPr>
          <w:i/>
          <w:iCs/>
          <w:sz w:val="20"/>
          <w:szCs w:val="20"/>
        </w:rPr>
        <w:t>umění vol</w:t>
      </w:r>
      <w:r>
        <w:rPr>
          <w:i/>
          <w:iCs/>
          <w:sz w:val="20"/>
          <w:szCs w:val="20"/>
        </w:rPr>
        <w:softHyphen/>
        <w:t>nosti. Bylo tenkrát opravdu zapotřebí bojovat o ^volnosti, totiž o svobodu uměleckého projevu a uznání českého umění alespoň mezi nejbliž- šími, neboř málo vyspělý ná</w:t>
      </w:r>
      <w:r>
        <w:rPr>
          <w:i/>
          <w:iCs/>
          <w:sz w:val="20"/>
          <w:szCs w:val="20"/>
        </w:rPr>
        <w:softHyphen/>
        <w:t>rod byl těžce ohrožen a cha</w:t>
      </w:r>
      <w:r>
        <w:rPr>
          <w:i/>
          <w:iCs/>
          <w:sz w:val="20"/>
          <w:szCs w:val="20"/>
        </w:rPr>
        <w:softHyphen/>
        <w:t xml:space="preserve">bě připraven k </w:t>
      </w:r>
      <w:r>
        <w:rPr>
          <w:i/>
          <w:iCs/>
          <w:sz w:val="20"/>
          <w:szCs w:val="20"/>
        </w:rPr>
        <w:t>odporu. Bylo zapotřebí nejen primitivnímu lidu, ale i jeho vůdcům dávat injekce sebevědomí, rozohnit a obohacovat uměním jejich fantasii, aby dovedli chápat nové, nehmatatelné pojmy, přicházející z pokročilé cizi</w:t>
      </w:r>
      <w:r>
        <w:rPr>
          <w:i/>
          <w:iCs/>
          <w:sz w:val="20"/>
          <w:szCs w:val="20"/>
        </w:rPr>
        <w:softHyphen/>
        <w:t>ny. Nová slova, tenkrát v do</w:t>
      </w:r>
      <w:r>
        <w:rPr>
          <w:i/>
          <w:iCs/>
          <w:sz w:val="20"/>
          <w:szCs w:val="20"/>
        </w:rPr>
        <w:softHyphen/>
        <w:t xml:space="preserve">bě romantismu </w:t>
      </w:r>
      <w:r>
        <w:rPr>
          <w:i/>
          <w:iCs/>
          <w:sz w:val="20"/>
          <w:szCs w:val="20"/>
        </w:rPr>
        <w:t>často užívaná, jako Svoboda, Vlast, Národ, potřebovala uměním ožít v duši lidu, potřebovala se stát vírou a duševním majetkem každého. J edinou záštitou umění byly kulturní spolky. Sokolské a zpěvácké jednoty objednávaly prapory, střelci vesele prostřelova</w:t>
      </w:r>
      <w:r>
        <w:rPr>
          <w:i/>
          <w:iCs/>
          <w:sz w:val="20"/>
          <w:szCs w:val="20"/>
        </w:rPr>
        <w:t>li terče ma</w:t>
      </w:r>
      <w:r>
        <w:rPr>
          <w:i/>
          <w:iCs/>
          <w:sz w:val="20"/>
          <w:szCs w:val="20"/>
        </w:rPr>
        <w:softHyphen/>
        <w:t>lované Josefem Mánesem a některé vlastenecké městské rady se staly členy Umělecké besedy, aby nepřímo podpo</w:t>
      </w:r>
      <w:r>
        <w:rPr>
          <w:i/>
          <w:iCs/>
          <w:sz w:val="20"/>
          <w:szCs w:val="20"/>
        </w:rPr>
        <w:softHyphen/>
        <w:t xml:space="preserve">rovaly umění. To bylo asi vše! Tak se stalo, že naše umění nebylo nikdy nikým přímo ovlivňováno a vedeno. Jeho síla spočívala v tom, že </w:t>
      </w:r>
      <w:r>
        <w:rPr>
          <w:i/>
          <w:iCs/>
          <w:sz w:val="20"/>
          <w:szCs w:val="20"/>
        </w:rPr>
        <w:t>bylo v svém celku samostat</w:t>
      </w:r>
      <w:r>
        <w:rPr>
          <w:i/>
          <w:iCs/>
          <w:sz w:val="20"/>
          <w:szCs w:val="20"/>
        </w:rPr>
        <w:softHyphen/>
        <w:t xml:space="preserve">né a stranou běžných </w:t>
      </w:r>
      <w:r>
        <w:rPr>
          <w:i/>
          <w:iCs/>
          <w:sz w:val="20"/>
          <w:szCs w:val="20"/>
          <w:lang w:val="en-US" w:eastAsia="en-US" w:bidi="en-US"/>
        </w:rPr>
        <w:t>politic-</w:t>
      </w:r>
      <w:r>
        <w:rPr>
          <w:i/>
          <w:iCs/>
          <w:sz w:val="20"/>
          <w:szCs w:val="20"/>
          <w:lang w:val="en-US" w:eastAsia="en-US" w:bidi="en-US"/>
        </w:rPr>
        <w:br w:type="column"/>
      </w:r>
      <w:r>
        <w:rPr>
          <w:i/>
          <w:iCs/>
          <w:sz w:val="20"/>
          <w:szCs w:val="20"/>
        </w:rPr>
        <w:t>kých událostí. Neneslo odpo</w:t>
      </w:r>
      <w:r>
        <w:rPr>
          <w:i/>
          <w:iCs/>
          <w:sz w:val="20"/>
          <w:szCs w:val="20"/>
        </w:rPr>
        <w:softHyphen/>
        <w:t>vědnost za naši politiku, dě</w:t>
      </w:r>
      <w:r>
        <w:rPr>
          <w:i/>
          <w:iCs/>
          <w:sz w:val="20"/>
          <w:szCs w:val="20"/>
        </w:rPr>
        <w:softHyphen/>
        <w:t>lanou ze dne na den, a pro</w:t>
      </w:r>
      <w:r>
        <w:rPr>
          <w:i/>
          <w:iCs/>
          <w:sz w:val="20"/>
          <w:szCs w:val="20"/>
        </w:rPr>
        <w:softHyphen/>
        <w:t>mluvilo k národu jen v době příhodné a to samo, bez vyzvání oficiálních míst, tře</w:t>
      </w:r>
      <w:r>
        <w:rPr>
          <w:i/>
          <w:iCs/>
          <w:sz w:val="20"/>
          <w:szCs w:val="20"/>
        </w:rPr>
        <w:softHyphen/>
        <w:t>ba proti nim. Umění v zlých dobác</w:t>
      </w:r>
      <w:r>
        <w:rPr>
          <w:i/>
          <w:iCs/>
          <w:sz w:val="20"/>
          <w:szCs w:val="20"/>
        </w:rPr>
        <w:t>h bylo často jedinou pravoplatnou instancí náro</w:t>
      </w:r>
      <w:r>
        <w:rPr>
          <w:i/>
          <w:iCs/>
          <w:sz w:val="20"/>
          <w:szCs w:val="20"/>
        </w:rPr>
        <w:softHyphen/>
        <w:t>da. Umělci, když nemohli počítat s podporou oficiálních míst, snažili se sami vésti kulturní hodnoty národa k dalšímu rozkvětu. Tak vznik</w:t>
      </w:r>
      <w:r>
        <w:rPr>
          <w:i/>
          <w:iCs/>
          <w:sz w:val="20"/>
          <w:szCs w:val="20"/>
        </w:rPr>
        <w:softHyphen/>
        <w:t>la v Umělecké besedě my</w:t>
      </w:r>
      <w:r>
        <w:rPr>
          <w:i/>
          <w:iCs/>
          <w:sz w:val="20"/>
          <w:szCs w:val="20"/>
        </w:rPr>
        <w:softHyphen/>
        <w:t>šlenka postaviti ^Národní di</w:t>
      </w:r>
      <w:r>
        <w:rPr>
          <w:i/>
          <w:iCs/>
          <w:sz w:val="20"/>
          <w:szCs w:val="20"/>
        </w:rPr>
        <w:softHyphen/>
        <w:t>vadlo^ z prostřed</w:t>
      </w:r>
      <w:r>
        <w:rPr>
          <w:i/>
          <w:iCs/>
          <w:sz w:val="20"/>
          <w:szCs w:val="20"/>
        </w:rPr>
        <w:t>ků vlast</w:t>
      </w:r>
      <w:r>
        <w:rPr>
          <w:i/>
          <w:iCs/>
          <w:sz w:val="20"/>
          <w:szCs w:val="20"/>
        </w:rPr>
        <w:softHyphen/>
        <w:t>ních, z národní sbírky.</w:t>
      </w:r>
    </w:p>
    <w:p w:rsidR="00500724" w:rsidRDefault="00F30FB8">
      <w:pPr>
        <w:pStyle w:val="Zkladntext1"/>
        <w:shd w:val="clear" w:color="auto" w:fill="auto"/>
        <w:spacing w:line="204" w:lineRule="auto"/>
        <w:ind w:firstLine="200"/>
        <w:rPr>
          <w:sz w:val="20"/>
          <w:szCs w:val="20"/>
        </w:rPr>
      </w:pPr>
      <w:r>
        <w:rPr>
          <w:i/>
          <w:iCs/>
          <w:sz w:val="20"/>
          <w:szCs w:val="20"/>
        </w:rPr>
        <w:t>Zde začínají pokusy o vliv na naše umění, bitvy a pro</w:t>
      </w:r>
      <w:r>
        <w:rPr>
          <w:i/>
          <w:iCs/>
          <w:sz w:val="20"/>
          <w:szCs w:val="20"/>
        </w:rPr>
        <w:softHyphen/>
        <w:t>hry mezi umělci a oficiálními vůdci národa na poli ryze uměleckém. Bylo to tragické. Mladému Mikuláši Alešovi nebylo dovoleno, aby po vy</w:t>
      </w:r>
      <w:r>
        <w:rPr>
          <w:i/>
          <w:iCs/>
          <w:sz w:val="20"/>
          <w:szCs w:val="20"/>
        </w:rPr>
        <w:softHyphen/>
        <w:t>hrané soutěži sám maloval své ná</w:t>
      </w:r>
      <w:r>
        <w:rPr>
          <w:i/>
          <w:iCs/>
          <w:sz w:val="20"/>
          <w:szCs w:val="20"/>
        </w:rPr>
        <w:t>vrhy na výzdobu Ná</w:t>
      </w:r>
      <w:r>
        <w:rPr>
          <w:i/>
          <w:iCs/>
          <w:sz w:val="20"/>
          <w:szCs w:val="20"/>
        </w:rPr>
        <w:softHyphen/>
        <w:t>rodního divadla, a nikdy již nebyl povolán, aby vytvořil národu větší monumentální dílo, ke kterému byl předur</w:t>
      </w:r>
      <w:r>
        <w:rPr>
          <w:i/>
          <w:iCs/>
          <w:sz w:val="20"/>
          <w:szCs w:val="20"/>
        </w:rPr>
        <w:softHyphen/>
        <w:t>čen. Jan Neruda, otec my</w:t>
      </w:r>
      <w:r>
        <w:rPr>
          <w:i/>
          <w:iCs/>
          <w:sz w:val="20"/>
          <w:szCs w:val="20"/>
        </w:rPr>
        <w:softHyphen/>
        <w:t>šlenky ^Národního divadla*, vysmívaný Heineovec, reali</w:t>
      </w:r>
      <w:r>
        <w:rPr>
          <w:i/>
          <w:iCs/>
          <w:sz w:val="20"/>
          <w:szCs w:val="20"/>
        </w:rPr>
        <w:softHyphen/>
        <w:t>sta a kosmopolita, znepřáte</w:t>
      </w:r>
      <w:r>
        <w:rPr>
          <w:i/>
          <w:iCs/>
          <w:sz w:val="20"/>
          <w:szCs w:val="20"/>
        </w:rPr>
        <w:softHyphen/>
        <w:t>lil se s oficiální</w:t>
      </w:r>
      <w:r>
        <w:rPr>
          <w:i/>
          <w:iCs/>
          <w:sz w:val="20"/>
          <w:szCs w:val="20"/>
        </w:rPr>
        <w:t>mi vůdci náro</w:t>
      </w:r>
      <w:r>
        <w:rPr>
          <w:i/>
          <w:iCs/>
          <w:sz w:val="20"/>
          <w:szCs w:val="20"/>
        </w:rPr>
        <w:softHyphen/>
        <w:t>da a nebyl pozván ani k otevření »Zlaté kapličky*. Začínal boj politiků a nároč</w:t>
      </w:r>
      <w:r>
        <w:rPr>
          <w:i/>
          <w:iCs/>
          <w:sz w:val="20"/>
          <w:szCs w:val="20"/>
        </w:rPr>
        <w:softHyphen/>
        <w:t>ných vlastenců proti Bedřichu Smetanovi. Byl mu vytýkán moderní německý vliv Wagnerův a žádáno na něm,</w:t>
      </w:r>
    </w:p>
    <w:p w:rsidR="00500724" w:rsidRDefault="00F30FB8">
      <w:pPr>
        <w:spacing w:line="1" w:lineRule="exact"/>
        <w:rPr>
          <w:sz w:val="2"/>
          <w:szCs w:val="2"/>
        </w:rPr>
      </w:pPr>
      <w:r>
        <w:br w:type="column"/>
      </w:r>
    </w:p>
    <w:p w:rsidR="00500724" w:rsidRDefault="00F30FB8">
      <w:pPr>
        <w:pStyle w:val="Zkladntext1"/>
        <w:shd w:val="clear" w:color="auto" w:fill="auto"/>
        <w:spacing w:line="204" w:lineRule="auto"/>
        <w:ind w:firstLine="0"/>
        <w:rPr>
          <w:sz w:val="20"/>
          <w:szCs w:val="20"/>
        </w:rPr>
      </w:pPr>
      <w:r>
        <w:rPr>
          <w:noProof/>
        </w:rPr>
        <mc:AlternateContent>
          <mc:Choice Requires="wps">
            <w:drawing>
              <wp:anchor distT="495300" distB="228600" distL="114300" distR="114300" simplePos="0" relativeHeight="125829924" behindDoc="0" locked="0" layoutInCell="1" allowOverlap="1">
                <wp:simplePos x="0" y="0"/>
                <wp:positionH relativeFrom="page">
                  <wp:posOffset>4058285</wp:posOffset>
                </wp:positionH>
                <wp:positionV relativeFrom="margin">
                  <wp:posOffset>3234055</wp:posOffset>
                </wp:positionV>
                <wp:extent cx="2548255" cy="1862455"/>
                <wp:effectExtent l="0" t="0" r="0" b="0"/>
                <wp:wrapTopAndBottom/>
                <wp:docPr id="547" name="Shape 547"/>
                <wp:cNvGraphicFramePr/>
                <a:graphic xmlns:a="http://schemas.openxmlformats.org/drawingml/2006/main">
                  <a:graphicData uri="http://schemas.microsoft.com/office/word/2010/wordprocessingShape">
                    <wps:wsp>
                      <wps:cNvSpPr txBox="1"/>
                      <wps:spPr>
                        <a:xfrm>
                          <a:off x="0" y="0"/>
                          <a:ext cx="2548255" cy="1862455"/>
                        </a:xfrm>
                        <a:prstGeom prst="rect">
                          <a:avLst/>
                        </a:prstGeom>
                        <a:noFill/>
                      </wps:spPr>
                      <wps:txbx>
                        <w:txbxContent>
                          <w:p w:rsidR="00500724" w:rsidRDefault="00F30FB8">
                            <w:pPr>
                              <w:pStyle w:val="Jin0"/>
                              <w:shd w:val="clear" w:color="auto" w:fill="auto"/>
                              <w:spacing w:line="360" w:lineRule="auto"/>
                              <w:ind w:firstLine="0"/>
                              <w:jc w:val="left"/>
                              <w:rPr>
                                <w:sz w:val="66"/>
                                <w:szCs w:val="66"/>
                              </w:rPr>
                            </w:pPr>
                            <w:r>
                              <w:rPr>
                                <w:rFonts w:ascii="Arial" w:eastAsia="Arial" w:hAnsi="Arial" w:cs="Arial"/>
                                <w:sz w:val="66"/>
                                <w:szCs w:val="66"/>
                              </w:rPr>
                              <w:t>BUDUJTE A POSILUJTE</w:t>
                            </w:r>
                          </w:p>
                          <w:p w:rsidR="00500724" w:rsidRDefault="00F30FB8">
                            <w:pPr>
                              <w:pStyle w:val="Jin0"/>
                              <w:shd w:val="clear" w:color="auto" w:fill="auto"/>
                              <w:ind w:firstLine="0"/>
                              <w:jc w:val="left"/>
                              <w:rPr>
                                <w:sz w:val="46"/>
                                <w:szCs w:val="46"/>
                              </w:rPr>
                            </w:pPr>
                            <w:r>
                              <w:rPr>
                                <w:rFonts w:ascii="Arial" w:eastAsia="Arial" w:hAnsi="Arial" w:cs="Arial"/>
                                <w:b/>
                                <w:bCs/>
                                <w:sz w:val="46"/>
                                <w:szCs w:val="46"/>
                              </w:rPr>
                              <w:t>spotřební družstva</w:t>
                            </w:r>
                          </w:p>
                        </w:txbxContent>
                      </wps:txbx>
                      <wps:bodyPr lIns="0" tIns="0" rIns="0" bIns="0">
                        <a:spAutoFit/>
                      </wps:bodyPr>
                    </wps:wsp>
                  </a:graphicData>
                </a:graphic>
              </wp:anchor>
            </w:drawing>
          </mc:Choice>
          <mc:Fallback>
            <w:pict>
              <v:shape id="_x0000_s1573" type="#_x0000_t202" style="position:absolute;margin-left:319.55000000000001pt;margin-top:254.65000000000001pt;width:200.65000000000001pt;height:146.65000000000001pt;z-index:-125828829;mso-wrap-distance-left:9.pt;mso-wrap-distance-top:39.pt;mso-wrap-distance-right:9.pt;mso-wrap-distance-bottom:18.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360" w:lineRule="auto"/>
                        <w:ind w:left="0" w:right="0" w:firstLine="0"/>
                        <w:jc w:val="left"/>
                        <w:rPr>
                          <w:sz w:val="66"/>
                          <w:szCs w:val="66"/>
                        </w:rPr>
                      </w:pPr>
                      <w:r>
                        <w:rPr>
                          <w:rFonts w:ascii="Arial" w:eastAsia="Arial" w:hAnsi="Arial" w:cs="Arial"/>
                          <w:color w:val="000000"/>
                          <w:spacing w:val="0"/>
                          <w:w w:val="100"/>
                          <w:position w:val="0"/>
                          <w:sz w:val="66"/>
                          <w:szCs w:val="66"/>
                          <w:shd w:val="clear" w:color="auto" w:fill="auto"/>
                          <w:lang w:val="cs-CZ" w:eastAsia="cs-CZ" w:bidi="cs-CZ"/>
                        </w:rPr>
                        <w:t>BUDUJTE A POSILUJTE</w:t>
                      </w:r>
                    </w:p>
                    <w:p>
                      <w:pPr>
                        <w:pStyle w:val="Style12"/>
                        <w:keepNext w:val="0"/>
                        <w:keepLines w:val="0"/>
                        <w:widowControl w:val="0"/>
                        <w:shd w:val="clear" w:color="auto" w:fill="auto"/>
                        <w:bidi w:val="0"/>
                        <w:spacing w:before="0" w:after="0" w:line="240" w:lineRule="auto"/>
                        <w:ind w:left="0" w:right="0" w:firstLine="0"/>
                        <w:jc w:val="left"/>
                        <w:rPr>
                          <w:sz w:val="46"/>
                          <w:szCs w:val="46"/>
                        </w:rPr>
                      </w:pPr>
                      <w:r>
                        <w:rPr>
                          <w:rFonts w:ascii="Arial" w:eastAsia="Arial" w:hAnsi="Arial" w:cs="Arial"/>
                          <w:b/>
                          <w:bCs/>
                          <w:color w:val="000000"/>
                          <w:spacing w:val="0"/>
                          <w:w w:val="100"/>
                          <w:position w:val="0"/>
                          <w:sz w:val="46"/>
                          <w:szCs w:val="46"/>
                          <w:shd w:val="clear" w:color="auto" w:fill="auto"/>
                          <w:lang w:val="cs-CZ" w:eastAsia="cs-CZ" w:bidi="cs-CZ"/>
                        </w:rPr>
                        <w:t>spotřební družstva</w:t>
                      </w:r>
                    </w:p>
                  </w:txbxContent>
                </v:textbox>
                <w10:wrap type="topAndBottom" anchorx="page" anchory="margin"/>
              </v:shape>
            </w:pict>
          </mc:Fallback>
        </mc:AlternateContent>
      </w:r>
      <w:r>
        <w:rPr>
          <w:i/>
          <w:iCs/>
          <w:sz w:val="20"/>
          <w:szCs w:val="20"/>
        </w:rPr>
        <w:t xml:space="preserve">aby komponoval české opery </w:t>
      </w:r>
      <w:r>
        <w:rPr>
          <w:b/>
          <w:bCs/>
          <w:i/>
          <w:iCs/>
          <w:sz w:val="20"/>
          <w:szCs w:val="20"/>
        </w:rPr>
        <w:t xml:space="preserve">z </w:t>
      </w:r>
      <w:r>
        <w:rPr>
          <w:i/>
          <w:iCs/>
          <w:sz w:val="20"/>
          <w:szCs w:val="20"/>
        </w:rPr>
        <w:t>nápěvů českých písni. Naši staří vlastenci nemohli ovšem tenkrát vědět, že Smetanovo ■»Proč bychom se netěšili* bu</w:t>
      </w:r>
      <w:r>
        <w:rPr>
          <w:i/>
          <w:iCs/>
          <w:sz w:val="20"/>
          <w:szCs w:val="20"/>
        </w:rPr>
        <w:softHyphen/>
        <w:t>de jednou českou národní písní a jeho hudba národním evangeliem. Tak se stalo, že politikové mu znemožnili kon</w:t>
      </w:r>
      <w:r>
        <w:rPr>
          <w:i/>
          <w:iCs/>
          <w:sz w:val="20"/>
          <w:szCs w:val="20"/>
        </w:rPr>
        <w:softHyphen/>
      </w:r>
      <w:r>
        <w:rPr>
          <w:i/>
          <w:iCs/>
          <w:sz w:val="20"/>
          <w:szCs w:val="20"/>
        </w:rPr>
        <w:t>cert, který měl přispět na cestu k vyléčení jeho pokro</w:t>
      </w:r>
      <w:r>
        <w:rPr>
          <w:i/>
          <w:iCs/>
          <w:sz w:val="20"/>
          <w:szCs w:val="20"/>
        </w:rPr>
        <w:softHyphen/>
        <w:t>čilé hluchoty. Nesplnila se jeho touha, nestal se kapelní</w:t>
      </w:r>
      <w:r>
        <w:rPr>
          <w:i/>
          <w:iCs/>
          <w:sz w:val="20"/>
          <w:szCs w:val="20"/>
        </w:rPr>
        <w:softHyphen/>
        <w:t>kem ^Národního divadla*, ne</w:t>
      </w:r>
      <w:r>
        <w:rPr>
          <w:i/>
          <w:iCs/>
          <w:sz w:val="20"/>
          <w:szCs w:val="20"/>
        </w:rPr>
        <w:softHyphen/>
        <w:t>boř byl nenáviděn pro své časné mladočešství jako Ne</w:t>
      </w:r>
      <w:r>
        <w:rPr>
          <w:i/>
          <w:iCs/>
          <w:sz w:val="20"/>
          <w:szCs w:val="20"/>
        </w:rPr>
        <w:softHyphen/>
        <w:t>ruda pro svůj kosmopolitis</w:t>
      </w:r>
      <w:r>
        <w:rPr>
          <w:i/>
          <w:iCs/>
          <w:sz w:val="20"/>
          <w:szCs w:val="20"/>
        </w:rPr>
        <w:softHyphen/>
        <w:t xml:space="preserve">mus. Vždyř již Máchovi byl vytýkán </w:t>
      </w:r>
      <w:r>
        <w:rPr>
          <w:i/>
          <w:iCs/>
          <w:sz w:val="20"/>
          <w:szCs w:val="20"/>
        </w:rPr>
        <w:t>cizácký romantismus, byronská bezobsažnost a ne</w:t>
      </w:r>
      <w:r>
        <w:rPr>
          <w:i/>
          <w:iCs/>
          <w:sz w:val="20"/>
          <w:szCs w:val="20"/>
        </w:rPr>
        <w:softHyphen/>
        <w:t>dostatek smyslu pro současné</w:t>
      </w:r>
      <w:r>
        <w:rPr>
          <w:i/>
          <w:iCs/>
          <w:sz w:val="20"/>
          <w:szCs w:val="20"/>
        </w:rPr>
        <w:br w:type="column"/>
        <w:t>národní otázky — tvořil pou</w:t>
      </w:r>
      <w:r>
        <w:rPr>
          <w:i/>
          <w:iCs/>
          <w:sz w:val="20"/>
          <w:szCs w:val="20"/>
        </w:rPr>
        <w:softHyphen/>
        <w:t>hé umění! Máchův »Máj* se opravdu nehodil ani nej</w:t>
      </w:r>
      <w:r>
        <w:rPr>
          <w:i/>
          <w:iCs/>
          <w:sz w:val="20"/>
          <w:szCs w:val="20"/>
        </w:rPr>
        <w:softHyphen/>
        <w:t>úspěšnějším politikům, aby byl citován na táboru lidu. Jaký užitek z toho národ mohl mítt OvSem, náro</w:t>
      </w:r>
      <w:r>
        <w:rPr>
          <w:i/>
          <w:iCs/>
          <w:sz w:val="20"/>
          <w:szCs w:val="20"/>
        </w:rPr>
        <w:t>d neznal zákulisí kulturního ži</w:t>
      </w:r>
      <w:r>
        <w:rPr>
          <w:i/>
          <w:iCs/>
          <w:sz w:val="20"/>
          <w:szCs w:val="20"/>
        </w:rPr>
        <w:softHyphen/>
        <w:t>vota, národ se samozřejmě nestaral o to, vozí-li se české umění z ciziny, třeba Máne</w:t>
      </w:r>
      <w:r>
        <w:rPr>
          <w:i/>
          <w:iCs/>
          <w:sz w:val="20"/>
          <w:szCs w:val="20"/>
        </w:rPr>
        <w:softHyphen/>
        <w:t>sovo z Mnichova, Purkyňovo a Pinkasovo z Paříže, národ nevěděl, že bratři Mánesové a Božena Němcová žijí v bí</w:t>
      </w:r>
      <w:r>
        <w:rPr>
          <w:i/>
          <w:iCs/>
          <w:sz w:val="20"/>
          <w:szCs w:val="20"/>
        </w:rPr>
        <w:softHyphen/>
        <w:t>dě. Nikdo z těchto velkých li</w:t>
      </w:r>
      <w:r>
        <w:rPr>
          <w:i/>
          <w:iCs/>
          <w:sz w:val="20"/>
          <w:szCs w:val="20"/>
        </w:rPr>
        <w:t xml:space="preserve">dí se nestal vychovatelem další generace. (Jediný </w:t>
      </w:r>
      <w:r>
        <w:rPr>
          <w:i/>
          <w:iCs/>
          <w:sz w:val="20"/>
          <w:szCs w:val="20"/>
          <w:lang w:val="en-US" w:eastAsia="en-US" w:bidi="en-US"/>
        </w:rPr>
        <w:t xml:space="preserve">Pin </w:t>
      </w:r>
      <w:r>
        <w:rPr>
          <w:i/>
          <w:iCs/>
          <w:sz w:val="20"/>
          <w:szCs w:val="20"/>
        </w:rPr>
        <w:t>kas učil dlouhá léta na vyšší</w:t>
      </w:r>
    </w:p>
    <w:p w:rsidR="00500724" w:rsidRDefault="00F30FB8">
      <w:pPr>
        <w:pStyle w:val="Zkladntext1"/>
        <w:shd w:val="clear" w:color="auto" w:fill="auto"/>
        <w:ind w:firstLine="0"/>
        <w:jc w:val="left"/>
        <w:rPr>
          <w:sz w:val="20"/>
          <w:szCs w:val="20"/>
        </w:rPr>
      </w:pPr>
      <w:r>
        <w:rPr>
          <w:i/>
          <w:iCs/>
          <w:sz w:val="20"/>
          <w:szCs w:val="20"/>
        </w:rPr>
        <w:t>dívčí škole!)</w:t>
      </w:r>
    </w:p>
    <w:p w:rsidR="00500724" w:rsidRDefault="00F30FB8">
      <w:pPr>
        <w:pStyle w:val="Zkladntext1"/>
        <w:shd w:val="clear" w:color="auto" w:fill="auto"/>
        <w:spacing w:line="218" w:lineRule="auto"/>
        <w:ind w:firstLine="0"/>
        <w:jc w:val="right"/>
        <w:rPr>
          <w:sz w:val="20"/>
          <w:szCs w:val="20"/>
        </w:rPr>
        <w:sectPr w:rsidR="00500724">
          <w:footnotePr>
            <w:numFmt w:val="chicago"/>
            <w:numRestart w:val="eachPage"/>
          </w:footnotePr>
          <w:type w:val="continuous"/>
          <w:pgSz w:w="11909" w:h="16834"/>
          <w:pgMar w:top="851" w:right="895" w:bottom="385" w:left="602" w:header="0" w:footer="3" w:gutter="0"/>
          <w:cols w:num="4" w:sep="1" w:space="100"/>
          <w:noEndnote/>
          <w:docGrid w:linePitch="360"/>
        </w:sectPr>
      </w:pPr>
      <w:r>
        <w:rPr>
          <w:i/>
          <w:iCs/>
          <w:sz w:val="20"/>
          <w:szCs w:val="20"/>
        </w:rPr>
        <w:t>Dokončení příště</w:t>
      </w:r>
    </w:p>
    <w:p w:rsidR="00500724" w:rsidRDefault="00500724">
      <w:pPr>
        <w:spacing w:line="105" w:lineRule="exact"/>
        <w:rPr>
          <w:sz w:val="8"/>
          <w:szCs w:val="8"/>
        </w:rPr>
      </w:pPr>
    </w:p>
    <w:p w:rsidR="00500724" w:rsidRDefault="00500724">
      <w:pPr>
        <w:spacing w:line="14" w:lineRule="exact"/>
        <w:sectPr w:rsidR="00500724">
          <w:footnotePr>
            <w:numFmt w:val="chicago"/>
            <w:numRestart w:val="eachPage"/>
          </w:footnotePr>
          <w:type w:val="continuous"/>
          <w:pgSz w:w="11909" w:h="16834"/>
          <w:pgMar w:top="836" w:right="0" w:bottom="401" w:left="0" w:header="0" w:footer="3" w:gutter="0"/>
          <w:cols w:space="720"/>
          <w:noEndnote/>
          <w:docGrid w:linePitch="360"/>
        </w:sectPr>
      </w:pPr>
    </w:p>
    <w:p w:rsidR="00500724" w:rsidRDefault="00F30FB8">
      <w:pPr>
        <w:spacing w:line="14" w:lineRule="exact"/>
      </w:pPr>
      <w:r>
        <w:rPr>
          <w:noProof/>
        </w:rPr>
        <mc:AlternateContent>
          <mc:Choice Requires="wps">
            <w:drawing>
              <wp:anchor distT="0" distB="254000" distL="0" distR="0" simplePos="0" relativeHeight="125829926" behindDoc="0" locked="0" layoutInCell="1" allowOverlap="1">
                <wp:simplePos x="0" y="0"/>
                <wp:positionH relativeFrom="page">
                  <wp:posOffset>2061845</wp:posOffset>
                </wp:positionH>
                <wp:positionV relativeFrom="paragraph">
                  <wp:posOffset>12700</wp:posOffset>
                </wp:positionV>
                <wp:extent cx="1621790" cy="4291330"/>
                <wp:effectExtent l="0" t="0" r="0" b="0"/>
                <wp:wrapSquare wrapText="bothSides"/>
                <wp:docPr id="549" name="Shape 549"/>
                <wp:cNvGraphicFramePr/>
                <a:graphic xmlns:a="http://schemas.openxmlformats.org/drawingml/2006/main">
                  <a:graphicData uri="http://schemas.microsoft.com/office/word/2010/wordprocessingShape">
                    <wps:wsp>
                      <wps:cNvSpPr txBox="1"/>
                      <wps:spPr>
                        <a:xfrm>
                          <a:off x="0" y="0"/>
                          <a:ext cx="1621790" cy="4291330"/>
                        </a:xfrm>
                        <a:prstGeom prst="rect">
                          <a:avLst/>
                        </a:prstGeom>
                        <a:noFill/>
                      </wps:spPr>
                      <wps:txbx>
                        <w:txbxContent>
                          <w:p w:rsidR="00500724" w:rsidRDefault="00F30FB8">
                            <w:pPr>
                              <w:pStyle w:val="Zkladntext40"/>
                              <w:shd w:val="clear" w:color="auto" w:fill="auto"/>
                              <w:spacing w:after="0" w:line="166" w:lineRule="auto"/>
                              <w:rPr>
                                <w:sz w:val="16"/>
                                <w:szCs w:val="16"/>
                              </w:rPr>
                            </w:pPr>
                            <w:r>
                              <w:rPr>
                                <w:b/>
                                <w:bCs/>
                                <w:sz w:val="16"/>
                                <w:szCs w:val="16"/>
                              </w:rPr>
                              <w:t>tý, než aby byl znesvěcen špina</w:t>
                            </w:r>
                            <w:r>
                              <w:rPr>
                                <w:b/>
                                <w:bCs/>
                                <w:sz w:val="16"/>
                                <w:szCs w:val="16"/>
                              </w:rPr>
                              <w:softHyphen/>
                              <w:t>vou dryáčnicí, která neví nic o je</w:t>
                            </w:r>
                            <w:r>
                              <w:rPr>
                                <w:b/>
                                <w:bCs/>
                                <w:sz w:val="16"/>
                                <w:szCs w:val="16"/>
                              </w:rPr>
                              <w:softHyphen/>
                              <w:t>jich smysl</w:t>
                            </w:r>
                            <w:r>
                              <w:rPr>
                                <w:b/>
                                <w:bCs/>
                                <w:sz w:val="16"/>
                                <w:szCs w:val="16"/>
                              </w:rPr>
                              <w:t>ech, touhách a srdci.</w:t>
                            </w:r>
                          </w:p>
                          <w:p w:rsidR="00500724" w:rsidRDefault="00F30FB8">
                            <w:pPr>
                              <w:pStyle w:val="Zkladntext40"/>
                              <w:shd w:val="clear" w:color="auto" w:fill="auto"/>
                              <w:spacing w:after="0" w:line="168" w:lineRule="auto"/>
                              <w:ind w:firstLine="180"/>
                              <w:rPr>
                                <w:sz w:val="16"/>
                                <w:szCs w:val="16"/>
                              </w:rPr>
                            </w:pPr>
                            <w:r>
                              <w:rPr>
                                <w:b/>
                                <w:bCs/>
                                <w:sz w:val="16"/>
                                <w:szCs w:val="16"/>
                              </w:rPr>
                              <w:t>Jana a Adama chytla ta nej</w:t>
                            </w:r>
                            <w:r>
                              <w:rPr>
                                <w:b/>
                                <w:bCs/>
                                <w:sz w:val="16"/>
                                <w:szCs w:val="16"/>
                              </w:rPr>
                              <w:softHyphen/>
                              <w:t>mladší, těžko ji odstrčit a urazit, stojí na tenkých nohou jako na pružných perech a očima blýská jako dravá šelma. Byla by krás</w:t>
                            </w:r>
                            <w:r>
                              <w:rPr>
                                <w:b/>
                                <w:bCs/>
                                <w:sz w:val="16"/>
                                <w:szCs w:val="16"/>
                              </w:rPr>
                              <w:softHyphen/>
                              <w:t>ná, kdyby smyla prach s obliče</w:t>
                            </w:r>
                            <w:r>
                              <w:rPr>
                                <w:b/>
                                <w:bCs/>
                                <w:sz w:val="16"/>
                                <w:szCs w:val="16"/>
                              </w:rPr>
                              <w:softHyphen/>
                              <w:t>je a celý obal nečistoty na zloděj</w:t>
                            </w:r>
                            <w:r>
                              <w:rPr>
                                <w:b/>
                                <w:bCs/>
                                <w:sz w:val="16"/>
                                <w:szCs w:val="16"/>
                              </w:rPr>
                              <w:softHyphen/>
                              <w:t>ské ruce, vl</w:t>
                            </w:r>
                            <w:r>
                              <w:rPr>
                                <w:b/>
                                <w:bCs/>
                                <w:sz w:val="16"/>
                                <w:szCs w:val="16"/>
                              </w:rPr>
                              <w:t>asy má jako ďábel a pod špinavou halenkou se poha</w:t>
                            </w:r>
                            <w:r>
                              <w:rPr>
                                <w:b/>
                                <w:bCs/>
                                <w:sz w:val="16"/>
                                <w:szCs w:val="16"/>
                              </w:rPr>
                              <w:softHyphen/>
                              <w:t>zují necudné hrozny prsou. Dus</w:t>
                            </w:r>
                            <w:r>
                              <w:rPr>
                                <w:b/>
                                <w:bCs/>
                                <w:sz w:val="16"/>
                                <w:szCs w:val="16"/>
                              </w:rPr>
                              <w:softHyphen/>
                              <w:t>no je zní, z té krásy a ošklivosti, Adam si dovede představit, že by ji uškrtil a nechal ležet mrtvou jako zabitou lasičku. Drží je lep</w:t>
                            </w:r>
                            <w:r>
                              <w:rPr>
                                <w:b/>
                                <w:bCs/>
                                <w:sz w:val="16"/>
                                <w:szCs w:val="16"/>
                              </w:rPr>
                              <w:softHyphen/>
                              <w:t>kavými prsty. Jana i Adama, aby neutekl</w:t>
                            </w:r>
                            <w:r>
                              <w:rPr>
                                <w:b/>
                                <w:bCs/>
                                <w:sz w:val="16"/>
                                <w:szCs w:val="16"/>
                              </w:rPr>
                              <w:t>i, protože už je zvyklá na projev hnusu a strachu vymydle</w:t>
                            </w:r>
                            <w:r>
                              <w:rPr>
                                <w:b/>
                                <w:bCs/>
                                <w:sz w:val="16"/>
                                <w:szCs w:val="16"/>
                              </w:rPr>
                              <w:softHyphen/>
                              <w:t>ných panáků.</w:t>
                            </w:r>
                          </w:p>
                          <w:p w:rsidR="00500724" w:rsidRDefault="00F30FB8">
                            <w:pPr>
                              <w:pStyle w:val="Zkladntext40"/>
                              <w:shd w:val="clear" w:color="auto" w:fill="auto"/>
                              <w:spacing w:after="0" w:line="166" w:lineRule="auto"/>
                              <w:ind w:firstLine="180"/>
                              <w:rPr>
                                <w:sz w:val="16"/>
                                <w:szCs w:val="16"/>
                              </w:rPr>
                            </w:pPr>
                            <w:r>
                              <w:rPr>
                                <w:b/>
                                <w:bCs/>
                                <w:sz w:val="16"/>
                                <w:szCs w:val="16"/>
                              </w:rPr>
                              <w:t>»Bohatý, pěkný pán,« kváká ře</w:t>
                            </w:r>
                            <w:r>
                              <w:rPr>
                                <w:b/>
                                <w:bCs/>
                                <w:sz w:val="16"/>
                                <w:szCs w:val="16"/>
                              </w:rPr>
                              <w:softHyphen/>
                              <w:t>meslně s primitivní tajemností v rozkřáplém hlase divocha, a čer</w:t>
                            </w:r>
                            <w:r>
                              <w:rPr>
                                <w:b/>
                                <w:bCs/>
                                <w:sz w:val="16"/>
                                <w:szCs w:val="16"/>
                              </w:rPr>
                              <w:softHyphen/>
                              <w:t>né uhlíky očí hlídají Adamovy krotké zorničky.</w:t>
                            </w:r>
                          </w:p>
                          <w:p w:rsidR="00500724" w:rsidRDefault="00F30FB8">
                            <w:pPr>
                              <w:pStyle w:val="Zkladntext40"/>
                              <w:shd w:val="clear" w:color="auto" w:fill="auto"/>
                              <w:spacing w:after="0" w:line="166" w:lineRule="auto"/>
                              <w:ind w:firstLine="180"/>
                              <w:rPr>
                                <w:sz w:val="16"/>
                                <w:szCs w:val="16"/>
                              </w:rPr>
                            </w:pPr>
                            <w:r>
                              <w:rPr>
                                <w:b/>
                                <w:bCs/>
                                <w:sz w:val="16"/>
                                <w:szCs w:val="16"/>
                              </w:rPr>
                              <w:t xml:space="preserve">»Nedobré lásky pán prožije a ode všeho </w:t>
                            </w:r>
                            <w:r>
                              <w:rPr>
                                <w:b/>
                                <w:bCs/>
                                <w:sz w:val="16"/>
                                <w:szCs w:val="16"/>
                              </w:rPr>
                              <w:t>okusí, nikde dlouho ne</w:t>
                            </w:r>
                            <w:r>
                              <w:rPr>
                                <w:b/>
                                <w:bCs/>
                                <w:sz w:val="16"/>
                                <w:szCs w:val="16"/>
                              </w:rPr>
                              <w:softHyphen/>
                              <w:t>zůstane, s místa na místo utíkat pán bude. jako by ho četník ho</w:t>
                            </w:r>
                            <w:r>
                              <w:rPr>
                                <w:b/>
                                <w:bCs/>
                                <w:sz w:val="16"/>
                                <w:szCs w:val="16"/>
                              </w:rPr>
                              <w:softHyphen/>
                              <w:t>nila</w:t>
                            </w:r>
                          </w:p>
                          <w:p w:rsidR="00500724" w:rsidRDefault="00F30FB8">
                            <w:pPr>
                              <w:pStyle w:val="Zkladntext40"/>
                              <w:shd w:val="clear" w:color="auto" w:fill="auto"/>
                              <w:spacing w:after="0" w:line="170" w:lineRule="auto"/>
                              <w:ind w:firstLine="180"/>
                              <w:rPr>
                                <w:sz w:val="16"/>
                                <w:szCs w:val="16"/>
                              </w:rPr>
                            </w:pPr>
                            <w:r>
                              <w:rPr>
                                <w:b/>
                                <w:bCs/>
                                <w:sz w:val="16"/>
                                <w:szCs w:val="16"/>
                              </w:rPr>
                              <w:t xml:space="preserve">Jan se hlasitě a směle zachichtl </w:t>
                            </w:r>
                            <w:r>
                              <w:rPr>
                                <w:b/>
                                <w:bCs/>
                                <w:sz w:val="14"/>
                                <w:szCs w:val="14"/>
                              </w:rPr>
                              <w:t xml:space="preserve">a </w:t>
                            </w:r>
                            <w:r>
                              <w:rPr>
                                <w:b/>
                                <w:bCs/>
                                <w:sz w:val="16"/>
                                <w:szCs w:val="16"/>
                              </w:rPr>
                              <w:t>vytrhl svou ruku ze zajetí, teď už jen aby se vysvobodil taky Adam, ten trpělivý a nesmělý hlupák. Ale cikánka už o Janovu ruku n</w:t>
                            </w:r>
                            <w:r>
                              <w:rPr>
                                <w:b/>
                                <w:bCs/>
                                <w:sz w:val="16"/>
                                <w:szCs w:val="16"/>
                              </w:rPr>
                              <w:t>estojí, stačí jí bílá Adamo</w:t>
                            </w:r>
                            <w:r>
                              <w:rPr>
                                <w:b/>
                                <w:bCs/>
                                <w:sz w:val="16"/>
                                <w:szCs w:val="16"/>
                              </w:rPr>
                              <w:softHyphen/>
                              <w:t>va dlaň, zvedá ji k palčivým očím a zase dolů a hlas divocha jako by podlehl věštecké extasi:</w:t>
                            </w:r>
                          </w:p>
                          <w:p w:rsidR="00500724" w:rsidRDefault="00F30FB8">
                            <w:pPr>
                              <w:pStyle w:val="Zkladntext40"/>
                              <w:shd w:val="clear" w:color="auto" w:fill="auto"/>
                              <w:spacing w:after="0" w:line="168" w:lineRule="auto"/>
                              <w:ind w:firstLine="180"/>
                              <w:rPr>
                                <w:sz w:val="16"/>
                                <w:szCs w:val="16"/>
                              </w:rPr>
                            </w:pPr>
                            <w:r>
                              <w:rPr>
                                <w:b/>
                                <w:bCs/>
                                <w:sz w:val="16"/>
                                <w:szCs w:val="16"/>
                              </w:rPr>
                              <w:t>»Ať si pán s životem popili, ne</w:t>
                            </w:r>
                            <w:r>
                              <w:rPr>
                                <w:b/>
                                <w:bCs/>
                                <w:sz w:val="16"/>
                                <w:szCs w:val="16"/>
                              </w:rPr>
                              <w:softHyphen/>
                              <w:t>boť věku nedožije, jeho čára ži</w:t>
                            </w:r>
                            <w:r>
                              <w:rPr>
                                <w:b/>
                                <w:bCs/>
                                <w:sz w:val="16"/>
                                <w:szCs w:val="16"/>
                              </w:rPr>
                              <w:softHyphen/>
                              <w:t>votní končí uprostřed dlaně, jako by ji ustřihl.«</w:t>
                            </w:r>
                          </w:p>
                          <w:p w:rsidR="00500724" w:rsidRDefault="00F30FB8">
                            <w:pPr>
                              <w:pStyle w:val="Zkladntext40"/>
                              <w:shd w:val="clear" w:color="auto" w:fill="auto"/>
                              <w:spacing w:after="0" w:line="168" w:lineRule="auto"/>
                              <w:ind w:firstLine="180"/>
                              <w:rPr>
                                <w:sz w:val="16"/>
                                <w:szCs w:val="16"/>
                              </w:rPr>
                            </w:pPr>
                            <w:r>
                              <w:rPr>
                                <w:b/>
                                <w:bCs/>
                                <w:sz w:val="16"/>
                                <w:szCs w:val="16"/>
                              </w:rPr>
                              <w:t>Teď sama pouští chla</w:t>
                            </w:r>
                            <w:r>
                              <w:rPr>
                                <w:b/>
                                <w:bCs/>
                                <w:sz w:val="16"/>
                                <w:szCs w:val="16"/>
                              </w:rPr>
                              <w:t>pcovu ru</w:t>
                            </w:r>
                            <w:r>
                              <w:rPr>
                                <w:b/>
                                <w:bCs/>
                                <w:sz w:val="16"/>
                                <w:szCs w:val="16"/>
                              </w:rPr>
                              <w:softHyphen/>
                              <w:t>ku ze svých lepkavých prstů a stojí před ním rozžehlá v snědém obličeji a spaluje ho pohledem, z kterého je člověku nedobře.</w:t>
                            </w:r>
                          </w:p>
                          <w:p w:rsidR="00500724" w:rsidRDefault="00F30FB8">
                            <w:pPr>
                              <w:pStyle w:val="Zkladntext40"/>
                              <w:shd w:val="clear" w:color="auto" w:fill="auto"/>
                              <w:spacing w:after="0" w:line="163" w:lineRule="auto"/>
                              <w:ind w:firstLine="180"/>
                              <w:rPr>
                                <w:sz w:val="16"/>
                                <w:szCs w:val="16"/>
                              </w:rPr>
                            </w:pPr>
                            <w:r>
                              <w:rPr>
                                <w:b/>
                                <w:bCs/>
                                <w:sz w:val="16"/>
                                <w:szCs w:val="16"/>
                              </w:rPr>
                              <w:t>»Takový pěkný pán,« skřehotá, »takový pěkný a bohatý pán!a</w:t>
                            </w:r>
                          </w:p>
                        </w:txbxContent>
                      </wps:txbx>
                      <wps:bodyPr lIns="0" tIns="0" rIns="0" bIns="0">
                        <a:spAutoFit/>
                      </wps:bodyPr>
                    </wps:wsp>
                  </a:graphicData>
                </a:graphic>
              </wp:anchor>
            </w:drawing>
          </mc:Choice>
          <mc:Fallback>
            <w:pict>
              <v:shape id="_x0000_s1575" type="#_x0000_t202" style="position:absolute;margin-left:162.34999999999999pt;margin-top:1.pt;width:127.7pt;height:337.89999999999998pt;z-index:-125828827;mso-wrap-distance-left:0;mso-wrap-distance-right:0;mso-wrap-distance-bottom:20.pt;mso-position-horizontal-relative:page" filled="f" stroked="f">
                <v:textbox style="mso-fit-shape-to-text:t" inset="0,0,0,0">
                  <w:txbxContent>
                    <w:p>
                      <w:pPr>
                        <w:pStyle w:val="Style42"/>
                        <w:keepNext w:val="0"/>
                        <w:keepLines w:val="0"/>
                        <w:widowControl w:val="0"/>
                        <w:shd w:val="clear" w:color="auto" w:fill="auto"/>
                        <w:bidi w:val="0"/>
                        <w:spacing w:before="0" w:after="0" w:line="166" w:lineRule="auto"/>
                        <w:ind w:left="0" w:right="0" w:firstLine="0"/>
                        <w:rPr>
                          <w:sz w:val="16"/>
                          <w:szCs w:val="16"/>
                        </w:rPr>
                      </w:pPr>
                      <w:r>
                        <w:rPr>
                          <w:b/>
                          <w:bCs/>
                          <w:color w:val="000000"/>
                          <w:spacing w:val="0"/>
                          <w:w w:val="100"/>
                          <w:position w:val="0"/>
                          <w:sz w:val="16"/>
                          <w:szCs w:val="16"/>
                          <w:shd w:val="clear" w:color="auto" w:fill="auto"/>
                          <w:lang w:val="cs-CZ" w:eastAsia="cs-CZ" w:bidi="cs-CZ"/>
                        </w:rPr>
                        <w:t>tý, než aby byl znesvěcen špina</w:t>
                        <w:softHyphen/>
                        <w:t>vou dryáčnicí, která neví nic o je</w:t>
                        <w:softHyphen/>
                        <w:t>jich smyslech, touhách a srdci.</w:t>
                      </w:r>
                    </w:p>
                    <w:p>
                      <w:pPr>
                        <w:pStyle w:val="Style42"/>
                        <w:keepNext w:val="0"/>
                        <w:keepLines w:val="0"/>
                        <w:widowControl w:val="0"/>
                        <w:shd w:val="clear" w:color="auto" w:fill="auto"/>
                        <w:bidi w:val="0"/>
                        <w:spacing w:before="0" w:after="0" w:line="168" w:lineRule="auto"/>
                        <w:ind w:left="0" w:right="0" w:firstLine="180"/>
                        <w:rPr>
                          <w:sz w:val="16"/>
                          <w:szCs w:val="16"/>
                        </w:rPr>
                      </w:pPr>
                      <w:r>
                        <w:rPr>
                          <w:b/>
                          <w:bCs/>
                          <w:color w:val="000000"/>
                          <w:spacing w:val="0"/>
                          <w:w w:val="100"/>
                          <w:position w:val="0"/>
                          <w:sz w:val="16"/>
                          <w:szCs w:val="16"/>
                          <w:shd w:val="clear" w:color="auto" w:fill="auto"/>
                          <w:lang w:val="cs-CZ" w:eastAsia="cs-CZ" w:bidi="cs-CZ"/>
                        </w:rPr>
                        <w:t>Jana a Adama chytla ta nej</w:t>
                        <w:softHyphen/>
                        <w:t>mladší, těžko ji odstrčit a urazit, stojí na tenkých nohou jako na pružných perech a očima blýská jako dravá šelma. Byla by krás</w:t>
                        <w:softHyphen/>
                        <w:t>ná, kdyby smyla prach s obliče</w:t>
                        <w:softHyphen/>
                        <w:t>je a celý obal nečistoty na zloděj</w:t>
                        <w:softHyphen/>
                        <w:t>ské ruce, vlasy má jako ďábel a pod špinavou halenkou se poha</w:t>
                        <w:softHyphen/>
                        <w:t>zují necudné hrozny prsou. Dus</w:t>
                        <w:softHyphen/>
                        <w:t>no je zní, z té krásy a ošklivosti, Adam si dovede představit, že by ji uškrtil a nechal ležet mrtvou jako zabitou lasičku. Drží je lep</w:t>
                        <w:softHyphen/>
                        <w:t>kavými prsty. Jana i Adama, aby neutekli, protože už je zvyklá na projev hnusu a strachu vymydle</w:t>
                        <w:softHyphen/>
                        <w:t>ných panáků.</w:t>
                      </w:r>
                    </w:p>
                    <w:p>
                      <w:pPr>
                        <w:pStyle w:val="Style42"/>
                        <w:keepNext w:val="0"/>
                        <w:keepLines w:val="0"/>
                        <w:widowControl w:val="0"/>
                        <w:shd w:val="clear" w:color="auto" w:fill="auto"/>
                        <w:bidi w:val="0"/>
                        <w:spacing w:before="0" w:after="0" w:line="166" w:lineRule="auto"/>
                        <w:ind w:left="0" w:right="0" w:firstLine="180"/>
                        <w:rPr>
                          <w:sz w:val="16"/>
                          <w:szCs w:val="16"/>
                        </w:rPr>
                      </w:pPr>
                      <w:r>
                        <w:rPr>
                          <w:b/>
                          <w:bCs/>
                          <w:color w:val="000000"/>
                          <w:spacing w:val="0"/>
                          <w:w w:val="100"/>
                          <w:position w:val="0"/>
                          <w:sz w:val="16"/>
                          <w:szCs w:val="16"/>
                          <w:shd w:val="clear" w:color="auto" w:fill="auto"/>
                          <w:lang w:val="cs-CZ" w:eastAsia="cs-CZ" w:bidi="cs-CZ"/>
                        </w:rPr>
                        <w:t>»Bohatý, pěkný pán,« kváká ře</w:t>
                        <w:softHyphen/>
                        <w:t>meslně s primitivní tajemností v rozkřáplém hlase divocha, a čer</w:t>
                        <w:softHyphen/>
                        <w:t>né uhlíky očí hlídají Adamovy krotké zorničky.</w:t>
                      </w:r>
                    </w:p>
                    <w:p>
                      <w:pPr>
                        <w:pStyle w:val="Style42"/>
                        <w:keepNext w:val="0"/>
                        <w:keepLines w:val="0"/>
                        <w:widowControl w:val="0"/>
                        <w:shd w:val="clear" w:color="auto" w:fill="auto"/>
                        <w:bidi w:val="0"/>
                        <w:spacing w:before="0" w:after="0" w:line="166" w:lineRule="auto"/>
                        <w:ind w:left="0" w:right="0" w:firstLine="180"/>
                        <w:rPr>
                          <w:sz w:val="16"/>
                          <w:szCs w:val="16"/>
                        </w:rPr>
                      </w:pPr>
                      <w:r>
                        <w:rPr>
                          <w:b/>
                          <w:bCs/>
                          <w:color w:val="000000"/>
                          <w:spacing w:val="0"/>
                          <w:w w:val="100"/>
                          <w:position w:val="0"/>
                          <w:sz w:val="16"/>
                          <w:szCs w:val="16"/>
                          <w:shd w:val="clear" w:color="auto" w:fill="auto"/>
                          <w:lang w:val="cs-CZ" w:eastAsia="cs-CZ" w:bidi="cs-CZ"/>
                        </w:rPr>
                        <w:t>»Nedobré lásky pán prožije a ode všeho okusí, nikde dlouho ne</w:t>
                        <w:softHyphen/>
                        <w:t>zůstane, s místa na místo utíkat pán bude. jako by ho četník ho</w:t>
                        <w:softHyphen/>
                        <w:t>nila</w:t>
                      </w:r>
                    </w:p>
                    <w:p>
                      <w:pPr>
                        <w:pStyle w:val="Style42"/>
                        <w:keepNext w:val="0"/>
                        <w:keepLines w:val="0"/>
                        <w:widowControl w:val="0"/>
                        <w:shd w:val="clear" w:color="auto" w:fill="auto"/>
                        <w:bidi w:val="0"/>
                        <w:spacing w:before="0" w:after="0" w:line="170" w:lineRule="auto"/>
                        <w:ind w:left="0" w:right="0" w:firstLine="180"/>
                        <w:rPr>
                          <w:sz w:val="16"/>
                          <w:szCs w:val="16"/>
                        </w:rPr>
                      </w:pPr>
                      <w:r>
                        <w:rPr>
                          <w:b/>
                          <w:bCs/>
                          <w:color w:val="000000"/>
                          <w:spacing w:val="0"/>
                          <w:w w:val="100"/>
                          <w:position w:val="0"/>
                          <w:sz w:val="16"/>
                          <w:szCs w:val="16"/>
                          <w:shd w:val="clear" w:color="auto" w:fill="auto"/>
                          <w:lang w:val="cs-CZ" w:eastAsia="cs-CZ" w:bidi="cs-CZ"/>
                        </w:rPr>
                        <w:t xml:space="preserve">Jan se hlasitě a směle zachichtl </w:t>
                      </w:r>
                      <w:r>
                        <w:rPr>
                          <w:b/>
                          <w:bCs/>
                          <w:color w:val="000000"/>
                          <w:spacing w:val="0"/>
                          <w:w w:val="100"/>
                          <w:position w:val="0"/>
                          <w:sz w:val="14"/>
                          <w:szCs w:val="14"/>
                          <w:shd w:val="clear" w:color="auto" w:fill="auto"/>
                          <w:lang w:val="cs-CZ" w:eastAsia="cs-CZ" w:bidi="cs-CZ"/>
                        </w:rPr>
                        <w:t xml:space="preserve">a </w:t>
                      </w:r>
                      <w:r>
                        <w:rPr>
                          <w:b/>
                          <w:bCs/>
                          <w:color w:val="000000"/>
                          <w:spacing w:val="0"/>
                          <w:w w:val="100"/>
                          <w:position w:val="0"/>
                          <w:sz w:val="16"/>
                          <w:szCs w:val="16"/>
                          <w:shd w:val="clear" w:color="auto" w:fill="auto"/>
                          <w:lang w:val="cs-CZ" w:eastAsia="cs-CZ" w:bidi="cs-CZ"/>
                        </w:rPr>
                        <w:t>vytrhl svou ruku ze zajetí, teď už jen aby se vysvobodil taky Adam, ten trpělivý a nesmělý hlupák. Ale cikánka už o Janovu ruku nestojí, stačí jí bílá Adamo</w:t>
                        <w:softHyphen/>
                        <w:t>va dlaň, zvedá ji k palčivým očím a zase dolů a hlas divocha jako by podlehl věštecké extasi:</w:t>
                      </w:r>
                    </w:p>
                    <w:p>
                      <w:pPr>
                        <w:pStyle w:val="Style42"/>
                        <w:keepNext w:val="0"/>
                        <w:keepLines w:val="0"/>
                        <w:widowControl w:val="0"/>
                        <w:shd w:val="clear" w:color="auto" w:fill="auto"/>
                        <w:bidi w:val="0"/>
                        <w:spacing w:before="0" w:after="0" w:line="168" w:lineRule="auto"/>
                        <w:ind w:left="0" w:right="0" w:firstLine="180"/>
                        <w:rPr>
                          <w:sz w:val="16"/>
                          <w:szCs w:val="16"/>
                        </w:rPr>
                      </w:pPr>
                      <w:r>
                        <w:rPr>
                          <w:b/>
                          <w:bCs/>
                          <w:color w:val="000000"/>
                          <w:spacing w:val="0"/>
                          <w:w w:val="100"/>
                          <w:position w:val="0"/>
                          <w:sz w:val="16"/>
                          <w:szCs w:val="16"/>
                          <w:shd w:val="clear" w:color="auto" w:fill="auto"/>
                          <w:lang w:val="cs-CZ" w:eastAsia="cs-CZ" w:bidi="cs-CZ"/>
                        </w:rPr>
                        <w:t>»Ať si pán s životem popili, ne</w:t>
                        <w:softHyphen/>
                        <w:t>boť věku nedožije, jeho čára ži</w:t>
                        <w:softHyphen/>
                        <w:t>votní končí uprostřed dlaně, jako by ji ustřihl.«</w:t>
                      </w:r>
                    </w:p>
                    <w:p>
                      <w:pPr>
                        <w:pStyle w:val="Style42"/>
                        <w:keepNext w:val="0"/>
                        <w:keepLines w:val="0"/>
                        <w:widowControl w:val="0"/>
                        <w:shd w:val="clear" w:color="auto" w:fill="auto"/>
                        <w:bidi w:val="0"/>
                        <w:spacing w:before="0" w:after="0" w:line="168" w:lineRule="auto"/>
                        <w:ind w:left="0" w:right="0" w:firstLine="180"/>
                        <w:rPr>
                          <w:sz w:val="16"/>
                          <w:szCs w:val="16"/>
                        </w:rPr>
                      </w:pPr>
                      <w:r>
                        <w:rPr>
                          <w:b/>
                          <w:bCs/>
                          <w:color w:val="000000"/>
                          <w:spacing w:val="0"/>
                          <w:w w:val="100"/>
                          <w:position w:val="0"/>
                          <w:sz w:val="16"/>
                          <w:szCs w:val="16"/>
                          <w:shd w:val="clear" w:color="auto" w:fill="auto"/>
                          <w:lang w:val="cs-CZ" w:eastAsia="cs-CZ" w:bidi="cs-CZ"/>
                        </w:rPr>
                        <w:t>Teď sama pouští chlapcovu ru</w:t>
                        <w:softHyphen/>
                        <w:t>ku ze svých lepkavých prstů a stojí před ním rozžehlá v snědém obličeji a spaluje ho pohledem, z kterého je člověku nedobře.</w:t>
                      </w:r>
                    </w:p>
                    <w:p>
                      <w:pPr>
                        <w:pStyle w:val="Style42"/>
                        <w:keepNext w:val="0"/>
                        <w:keepLines w:val="0"/>
                        <w:widowControl w:val="0"/>
                        <w:shd w:val="clear" w:color="auto" w:fill="auto"/>
                        <w:bidi w:val="0"/>
                        <w:spacing w:before="0" w:after="0" w:line="163" w:lineRule="auto"/>
                        <w:ind w:left="0" w:right="0" w:firstLine="180"/>
                        <w:rPr>
                          <w:sz w:val="16"/>
                          <w:szCs w:val="16"/>
                        </w:rPr>
                      </w:pPr>
                      <w:r>
                        <w:rPr>
                          <w:b/>
                          <w:bCs/>
                          <w:color w:val="000000"/>
                          <w:spacing w:val="0"/>
                          <w:w w:val="100"/>
                          <w:position w:val="0"/>
                          <w:sz w:val="16"/>
                          <w:szCs w:val="16"/>
                          <w:shd w:val="clear" w:color="auto" w:fill="auto"/>
                          <w:lang w:val="cs-CZ" w:eastAsia="cs-CZ" w:bidi="cs-CZ"/>
                        </w:rPr>
                        <w:t>»Takový pěkný pán,« skřehotá, »takový pěkný a bohatý pán!a</w:t>
                      </w:r>
                    </w:p>
                  </w:txbxContent>
                </v:textbox>
                <w10:wrap type="square" anchorx="page"/>
              </v:shape>
            </w:pict>
          </mc:Fallback>
        </mc:AlternateContent>
      </w:r>
      <w:r>
        <w:rPr>
          <w:noProof/>
        </w:rPr>
        <mc:AlternateContent>
          <mc:Choice Requires="wps">
            <w:drawing>
              <wp:anchor distT="342900" distB="558800" distL="114300" distR="114300" simplePos="0" relativeHeight="125829928" behindDoc="0" locked="0" layoutInCell="1" allowOverlap="1">
                <wp:simplePos x="0" y="0"/>
                <wp:positionH relativeFrom="page">
                  <wp:posOffset>3978910</wp:posOffset>
                </wp:positionH>
                <wp:positionV relativeFrom="paragraph">
                  <wp:posOffset>3660775</wp:posOffset>
                </wp:positionV>
                <wp:extent cx="2508250" cy="335280"/>
                <wp:effectExtent l="0" t="0" r="0" b="0"/>
                <wp:wrapTopAndBottom/>
                <wp:docPr id="551" name="Shape 551"/>
                <wp:cNvGraphicFramePr/>
                <a:graphic xmlns:a="http://schemas.openxmlformats.org/drawingml/2006/main">
                  <a:graphicData uri="http://schemas.microsoft.com/office/word/2010/wordprocessingShape">
                    <wps:wsp>
                      <wps:cNvSpPr txBox="1"/>
                      <wps:spPr>
                        <a:xfrm>
                          <a:off x="0" y="0"/>
                          <a:ext cx="2508250" cy="335280"/>
                        </a:xfrm>
                        <a:prstGeom prst="rect">
                          <a:avLst/>
                        </a:prstGeom>
                        <a:noFill/>
                      </wps:spPr>
                      <wps:txbx>
                        <w:txbxContent>
                          <w:p w:rsidR="00500724" w:rsidRDefault="00F30FB8">
                            <w:pPr>
                              <w:pStyle w:val="Jin0"/>
                              <w:shd w:val="clear" w:color="auto" w:fill="auto"/>
                              <w:ind w:firstLine="0"/>
                              <w:jc w:val="left"/>
                              <w:rPr>
                                <w:sz w:val="42"/>
                                <w:szCs w:val="42"/>
                              </w:rPr>
                            </w:pPr>
                            <w:r>
                              <w:rPr>
                                <w:rFonts w:ascii="Arial" w:eastAsia="Arial" w:hAnsi="Arial" w:cs="Arial"/>
                                <w:sz w:val="26"/>
                                <w:szCs w:val="26"/>
                              </w:rPr>
                              <w:t xml:space="preserve">Čtěte </w:t>
                            </w:r>
                            <w:r>
                              <w:rPr>
                                <w:rFonts w:ascii="Cambria" w:eastAsia="Cambria" w:hAnsi="Cambria" w:cs="Cambria"/>
                                <w:i/>
                                <w:iCs/>
                                <w:sz w:val="42"/>
                                <w:szCs w:val="42"/>
                              </w:rPr>
                              <w:t>LIDOVÉ NOVINY</w:t>
                            </w:r>
                          </w:p>
                        </w:txbxContent>
                      </wps:txbx>
                      <wps:bodyPr lIns="0" tIns="0" rIns="0" bIns="0">
                        <a:spAutoFit/>
                      </wps:bodyPr>
                    </wps:wsp>
                  </a:graphicData>
                </a:graphic>
              </wp:anchor>
            </w:drawing>
          </mc:Choice>
          <mc:Fallback>
            <w:pict>
              <v:shape id="_x0000_s1577" type="#_x0000_t202" style="position:absolute;margin-left:313.30000000000001pt;margin-top:288.25pt;width:197.5pt;height:26.399999999999999pt;z-index:-125828825;mso-wrap-distance-left:9.pt;mso-wrap-distance-top:27.pt;mso-wrap-distance-right:9.pt;mso-wrap-distance-bottom:44.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color w:val="000000"/>
                          <w:spacing w:val="0"/>
                          <w:w w:val="100"/>
                          <w:position w:val="0"/>
                          <w:sz w:val="26"/>
                          <w:szCs w:val="26"/>
                          <w:shd w:val="clear" w:color="auto" w:fill="auto"/>
                          <w:lang w:val="cs-CZ" w:eastAsia="cs-CZ" w:bidi="cs-CZ"/>
                        </w:rPr>
                        <w:t xml:space="preserve">Čtěte </w:t>
                      </w:r>
                      <w:r>
                        <w:rPr>
                          <w:rFonts w:ascii="Cambria" w:eastAsia="Cambria" w:hAnsi="Cambria" w:cs="Cambria"/>
                          <w:i/>
                          <w:iCs/>
                          <w:color w:val="000000"/>
                          <w:spacing w:val="0"/>
                          <w:w w:val="100"/>
                          <w:position w:val="0"/>
                          <w:sz w:val="42"/>
                          <w:szCs w:val="42"/>
                          <w:shd w:val="clear" w:color="auto" w:fill="auto"/>
                          <w:lang w:val="cs-CZ" w:eastAsia="cs-CZ" w:bidi="cs-CZ"/>
                        </w:rPr>
                        <w:t>LIDOVÉ NOVINY</w:t>
                      </w:r>
                    </w:p>
                  </w:txbxContent>
                </v:textbox>
                <w10:wrap type="topAndBottom" anchorx="page"/>
              </v:shape>
            </w:pict>
          </mc:Fallback>
        </mc:AlternateContent>
      </w:r>
    </w:p>
    <w:p w:rsidR="00500724" w:rsidRDefault="00F30FB8">
      <w:pPr>
        <w:pStyle w:val="Zkladntext40"/>
        <w:shd w:val="clear" w:color="auto" w:fill="auto"/>
        <w:spacing w:after="0" w:line="170" w:lineRule="auto"/>
        <w:rPr>
          <w:sz w:val="16"/>
          <w:szCs w:val="16"/>
        </w:rPr>
      </w:pPr>
      <w:r>
        <w:rPr>
          <w:b/>
          <w:bCs/>
          <w:sz w:val="16"/>
          <w:szCs w:val="16"/>
        </w:rPr>
        <w:t xml:space="preserve">chvíli s ostatními, ale Adam se tiše a </w:t>
      </w:r>
      <w:r>
        <w:rPr>
          <w:b/>
          <w:bCs/>
          <w:sz w:val="16"/>
          <w:szCs w:val="16"/>
        </w:rPr>
        <w:t>shovívavě usmíval, tento svět se mu zdál nějak příliš mla</w:t>
      </w:r>
      <w:r>
        <w:rPr>
          <w:b/>
          <w:bCs/>
          <w:sz w:val="16"/>
          <w:szCs w:val="16"/>
        </w:rPr>
        <w:softHyphen/>
        <w:t>dý a bezstarostný. Cosi ho divně tížilo a uvádělo v roztržitost, asi to byl pocit a vědomí, že se cosi musí změnit, že musí něco začít, protože je jedna životní doba skončena.</w:t>
      </w:r>
    </w:p>
    <w:p w:rsidR="00500724" w:rsidRDefault="00F30FB8">
      <w:pPr>
        <w:pStyle w:val="Zkladntext40"/>
        <w:shd w:val="clear" w:color="auto" w:fill="auto"/>
        <w:spacing w:after="0" w:line="168" w:lineRule="auto"/>
        <w:ind w:firstLine="180"/>
        <w:rPr>
          <w:sz w:val="16"/>
          <w:szCs w:val="16"/>
        </w:rPr>
      </w:pPr>
      <w:r>
        <w:rPr>
          <w:b/>
          <w:bCs/>
          <w:sz w:val="16"/>
          <w:szCs w:val="16"/>
        </w:rPr>
        <w:t>Když je deset lidí poh</w:t>
      </w:r>
      <w:r>
        <w:rPr>
          <w:b/>
          <w:bCs/>
          <w:sz w:val="16"/>
          <w:szCs w:val="16"/>
        </w:rPr>
        <w:t>romadě, ne</w:t>
      </w:r>
      <w:r>
        <w:rPr>
          <w:b/>
          <w:bCs/>
          <w:sz w:val="16"/>
          <w:szCs w:val="16"/>
        </w:rPr>
        <w:softHyphen/>
        <w:t>ní třeba se bát cikánů, jenom dív</w:t>
      </w:r>
      <w:r>
        <w:rPr>
          <w:b/>
          <w:bCs/>
          <w:sz w:val="16"/>
          <w:szCs w:val="16"/>
        </w:rPr>
        <w:softHyphen/>
        <w:t>ky ztišily hlasy, když se přiblížili k špinavému vozu. Polonahé ženy nejsou dráždivě ani pro oči mlá</w:t>
      </w:r>
      <w:r>
        <w:rPr>
          <w:b/>
          <w:bCs/>
          <w:sz w:val="16"/>
          <w:szCs w:val="16"/>
        </w:rPr>
        <w:softHyphen/>
        <w:t>denců, vyšlých ráno ze školní la</w:t>
      </w:r>
      <w:r>
        <w:rPr>
          <w:b/>
          <w:bCs/>
          <w:sz w:val="16"/>
          <w:szCs w:val="16"/>
        </w:rPr>
        <w:softHyphen/>
        <w:t>vice, protože jejich nahota je^ di</w:t>
      </w:r>
      <w:r>
        <w:rPr>
          <w:b/>
          <w:bCs/>
          <w:sz w:val="16"/>
          <w:szCs w:val="16"/>
        </w:rPr>
        <w:softHyphen/>
        <w:t>voká a špinavá. Přepadly je. žen</w:t>
      </w:r>
      <w:r>
        <w:rPr>
          <w:b/>
          <w:bCs/>
          <w:sz w:val="16"/>
          <w:szCs w:val="16"/>
        </w:rPr>
        <w:softHyphen/>
        <w:t>ské i dět</w:t>
      </w:r>
      <w:r>
        <w:rPr>
          <w:b/>
          <w:bCs/>
          <w:sz w:val="16"/>
          <w:szCs w:val="16"/>
        </w:rPr>
        <w:t>i, podobné dotěrným psí</w:t>
      </w:r>
      <w:r>
        <w:rPr>
          <w:b/>
          <w:bCs/>
          <w:sz w:val="16"/>
          <w:szCs w:val="16"/>
        </w:rPr>
        <w:softHyphen/>
        <w:t>kům, které neodkopneš ani neza- ženeš kamenem.</w:t>
      </w:r>
    </w:p>
    <w:p w:rsidR="00500724" w:rsidRDefault="00F30FB8">
      <w:pPr>
        <w:pStyle w:val="Zkladntext40"/>
        <w:shd w:val="clear" w:color="auto" w:fill="auto"/>
        <w:spacing w:after="0" w:line="175" w:lineRule="auto"/>
        <w:ind w:firstLine="180"/>
        <w:rPr>
          <w:sz w:val="16"/>
          <w:szCs w:val="16"/>
        </w:rPr>
      </w:pPr>
      <w:r>
        <w:rPr>
          <w:b/>
          <w:bCs/>
          <w:sz w:val="16"/>
          <w:szCs w:val="16"/>
        </w:rPr>
        <w:t>»Z ruky vám budeme hádat, mladí páni!«</w:t>
      </w:r>
    </w:p>
    <w:p w:rsidR="00500724" w:rsidRDefault="00F30FB8">
      <w:pPr>
        <w:pStyle w:val="Zkladntext40"/>
        <w:shd w:val="clear" w:color="auto" w:fill="auto"/>
        <w:spacing w:after="0" w:line="168" w:lineRule="auto"/>
        <w:ind w:firstLine="180"/>
        <w:rPr>
          <w:sz w:val="16"/>
          <w:szCs w:val="16"/>
        </w:rPr>
      </w:pPr>
      <w:r>
        <w:rPr>
          <w:b/>
          <w:bCs/>
          <w:sz w:val="16"/>
          <w:szCs w:val="16"/>
        </w:rPr>
        <w:t>Nikdo nechtěl, ale nemožno se zbavit cikánů, nemáš-li pušku a hůl a četníky na pomoc. Chlapci dali dohromady nikl a stříbro, které ráno dostali za</w:t>
      </w:r>
      <w:r>
        <w:rPr>
          <w:b/>
          <w:bCs/>
          <w:sz w:val="16"/>
          <w:szCs w:val="16"/>
        </w:rPr>
        <w:t xml:space="preserve"> vysvědčení, ale to nestačí, černá tlupa nemá nikdy dost sebe větší almužny, ci</w:t>
      </w:r>
      <w:r>
        <w:rPr>
          <w:b/>
          <w:bCs/>
          <w:sz w:val="16"/>
          <w:szCs w:val="16"/>
        </w:rPr>
        <w:softHyphen/>
        <w:t>kán vždycky doufá, že se mu po</w:t>
      </w:r>
      <w:r>
        <w:rPr>
          <w:b/>
          <w:bCs/>
          <w:sz w:val="16"/>
          <w:szCs w:val="16"/>
        </w:rPr>
        <w:softHyphen/>
        <w:t>daří ještě něco ukrást.</w:t>
      </w:r>
    </w:p>
    <w:p w:rsidR="00500724" w:rsidRDefault="00F30FB8">
      <w:pPr>
        <w:pStyle w:val="Zkladntext40"/>
        <w:shd w:val="clear" w:color="auto" w:fill="auto"/>
        <w:spacing w:after="0" w:line="175" w:lineRule="auto"/>
        <w:ind w:firstLine="180"/>
        <w:rPr>
          <w:sz w:val="16"/>
          <w:szCs w:val="16"/>
        </w:rPr>
      </w:pPr>
      <w:r>
        <w:rPr>
          <w:b/>
          <w:bCs/>
          <w:sz w:val="16"/>
          <w:szCs w:val="16"/>
        </w:rPr>
        <w:t>»Osud — vám uhádneme, sle</w:t>
      </w:r>
      <w:r>
        <w:rPr>
          <w:b/>
          <w:bCs/>
          <w:sz w:val="16"/>
          <w:szCs w:val="16"/>
        </w:rPr>
        <w:softHyphen/>
        <w:t>činky i páni!a</w:t>
      </w:r>
    </w:p>
    <w:p w:rsidR="00500724" w:rsidRDefault="00F30FB8">
      <w:pPr>
        <w:pStyle w:val="Zkladntext40"/>
        <w:shd w:val="clear" w:color="auto" w:fill="auto"/>
        <w:spacing w:after="0" w:line="170" w:lineRule="auto"/>
        <w:ind w:firstLine="180"/>
        <w:rPr>
          <w:sz w:val="16"/>
          <w:szCs w:val="16"/>
        </w:rPr>
      </w:pPr>
      <w:r>
        <w:rPr>
          <w:b/>
          <w:bCs/>
          <w:sz w:val="16"/>
          <w:szCs w:val="16"/>
        </w:rPr>
        <w:t>»Kdepak!« Děvčata pískala strachem i vzrušením i odporem k černé dotěrnosti. »My</w:t>
      </w:r>
      <w:r>
        <w:rPr>
          <w:b/>
          <w:bCs/>
          <w:sz w:val="16"/>
          <w:szCs w:val="16"/>
        </w:rPr>
        <w:t xml:space="preserve"> nechce</w:t>
      </w:r>
      <w:r>
        <w:rPr>
          <w:b/>
          <w:bCs/>
          <w:sz w:val="16"/>
          <w:szCs w:val="16"/>
        </w:rPr>
        <w:softHyphen/>
        <w:t>me, dostali jste. jděte už!«</w:t>
      </w:r>
    </w:p>
    <w:p w:rsidR="00500724" w:rsidRDefault="00F30FB8">
      <w:pPr>
        <w:pStyle w:val="Zkladntext40"/>
        <w:shd w:val="clear" w:color="auto" w:fill="auto"/>
        <w:spacing w:after="0" w:line="168" w:lineRule="auto"/>
        <w:ind w:firstLine="180"/>
        <w:rPr>
          <w:sz w:val="16"/>
          <w:szCs w:val="16"/>
        </w:rPr>
      </w:pPr>
      <w:r>
        <w:rPr>
          <w:b/>
          <w:bCs/>
          <w:sz w:val="16"/>
          <w:szCs w:val="16"/>
        </w:rPr>
        <w:t>Ale za chvíli stojí všichni ko</w:t>
      </w:r>
      <w:r>
        <w:rPr>
          <w:b/>
          <w:bCs/>
          <w:sz w:val="16"/>
          <w:szCs w:val="16"/>
        </w:rPr>
        <w:softHyphen/>
        <w:t>lem špinavého vozu. z něhož to páchne odporně mršinou, močí a čoudem, padl bys, jak je z toho špatně, ale každý se bojí utéci, aby druzí nemysleli, že má strach z té drzé a vřeštící smečky</w:t>
      </w:r>
      <w:r>
        <w:rPr>
          <w:b/>
          <w:bCs/>
          <w:sz w:val="16"/>
          <w:szCs w:val="16"/>
        </w:rPr>
        <w:t xml:space="preserve"> čer</w:t>
      </w:r>
      <w:r>
        <w:rPr>
          <w:b/>
          <w:bCs/>
          <w:sz w:val="16"/>
          <w:szCs w:val="16"/>
        </w:rPr>
        <w:softHyphen/>
        <w:t>ných zlodějů.</w:t>
      </w:r>
    </w:p>
    <w:p w:rsidR="00500724" w:rsidRDefault="00F30FB8">
      <w:pPr>
        <w:pStyle w:val="Zkladntext40"/>
        <w:shd w:val="clear" w:color="auto" w:fill="auto"/>
        <w:spacing w:after="0" w:line="166" w:lineRule="auto"/>
        <w:ind w:firstLine="180"/>
        <w:rPr>
          <w:sz w:val="16"/>
          <w:szCs w:val="16"/>
        </w:rPr>
      </w:pPr>
      <w:r>
        <w:rPr>
          <w:b/>
          <w:bCs/>
          <w:sz w:val="16"/>
          <w:szCs w:val="16"/>
        </w:rPr>
        <w:t>Osud je tu hrubě urážen ne</w:t>
      </w:r>
      <w:r>
        <w:rPr>
          <w:b/>
          <w:bCs/>
          <w:sz w:val="16"/>
          <w:szCs w:val="16"/>
        </w:rPr>
        <w:softHyphen/>
        <w:t>čistými rty, plnými ohavné vy</w:t>
      </w:r>
      <w:r>
        <w:rPr>
          <w:b/>
          <w:bCs/>
          <w:sz w:val="16"/>
          <w:szCs w:val="16"/>
        </w:rPr>
        <w:softHyphen/>
        <w:t>rážky. Děvčata rudnou až do ko- řínků vlasů, neboť jejich pojem budoucnosti je příliš krásný a čis-</w:t>
      </w:r>
    </w:p>
    <w:p w:rsidR="00500724" w:rsidRDefault="00F30FB8">
      <w:pPr>
        <w:spacing w:line="1" w:lineRule="exact"/>
        <w:rPr>
          <w:sz w:val="2"/>
          <w:szCs w:val="2"/>
        </w:rPr>
      </w:pPr>
      <w:r>
        <w:br w:type="column"/>
      </w:r>
    </w:p>
    <w:p w:rsidR="00500724" w:rsidRDefault="00F30FB8">
      <w:pPr>
        <w:pStyle w:val="Nadpis80"/>
        <w:keepNext/>
        <w:keepLines/>
        <w:shd w:val="clear" w:color="auto" w:fill="auto"/>
        <w:spacing w:after="600" w:line="403" w:lineRule="auto"/>
        <w:ind w:left="500" w:right="600" w:firstLine="20"/>
        <w:jc w:val="both"/>
      </w:pPr>
      <w:bookmarkStart w:id="551" w:name="bookmark550"/>
      <w:r>
        <w:rPr>
          <w:rFonts w:ascii="Arial" w:eastAsia="Arial" w:hAnsi="Arial" w:cs="Arial"/>
          <w:u w:val="none"/>
        </w:rPr>
        <w:t>Požadujte výrobky vlastní družstevní výroby</w:t>
      </w:r>
      <w:bookmarkEnd w:id="551"/>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00"/>
        <w:ind w:left="100"/>
        <w:jc w:val="center"/>
      </w:pPr>
      <w:bookmarkStart w:id="552" w:name="bookmark551"/>
      <w:r>
        <w:rPr>
          <w:color w:val="FFFFFF"/>
        </w:rPr>
        <w:t>VAS VKUS I NÁROKY USPOKOJÍ</w:t>
      </w:r>
      <w:bookmarkEnd w:id="552"/>
    </w:p>
    <w:p w:rsidR="00500724" w:rsidRDefault="00F30FB8">
      <w:pPr>
        <w:pStyle w:val="Zkladntext40"/>
        <w:shd w:val="clear" w:color="auto" w:fill="auto"/>
        <w:spacing w:after="0" w:line="240" w:lineRule="auto"/>
        <w:ind w:left="100"/>
        <w:jc w:val="center"/>
        <w:rPr>
          <w:sz w:val="14"/>
          <w:szCs w:val="14"/>
        </w:rPr>
      </w:pPr>
      <w:r>
        <w:rPr>
          <w:b/>
          <w:bCs/>
          <w:sz w:val="14"/>
          <w:szCs w:val="14"/>
        </w:rPr>
        <w:t xml:space="preserve">OBUV </w:t>
      </w:r>
      <w:r>
        <w:rPr>
          <w:b/>
          <w:bCs/>
          <w:sz w:val="14"/>
          <w:szCs w:val="14"/>
        </w:rPr>
        <w:t>PRO VYŠSI NÁROKY</w:t>
      </w:r>
    </w:p>
    <w:p w:rsidR="00500724" w:rsidRDefault="00F30FB8">
      <w:pPr>
        <w:pStyle w:val="Jin0"/>
        <w:shd w:val="clear" w:color="auto" w:fill="auto"/>
        <w:spacing w:line="206" w:lineRule="auto"/>
        <w:ind w:left="100" w:firstLine="0"/>
        <w:jc w:val="center"/>
        <w:rPr>
          <w:sz w:val="30"/>
          <w:szCs w:val="30"/>
        </w:rPr>
      </w:pPr>
      <w:r>
        <w:rPr>
          <w:rFonts w:ascii="Arial" w:eastAsia="Arial" w:hAnsi="Arial" w:cs="Arial"/>
          <w:b/>
          <w:bCs/>
          <w:sz w:val="30"/>
          <w:szCs w:val="30"/>
          <w:lang w:val="en-US" w:eastAsia="en-US" w:bidi="en-US"/>
        </w:rPr>
        <w:t xml:space="preserve">FERRY </w:t>
      </w:r>
      <w:r>
        <w:rPr>
          <w:rFonts w:ascii="Arial" w:eastAsia="Arial" w:hAnsi="Arial" w:cs="Arial"/>
          <w:b/>
          <w:bCs/>
          <w:sz w:val="30"/>
          <w:szCs w:val="30"/>
        </w:rPr>
        <w:t>GRAUMANM</w:t>
      </w:r>
    </w:p>
    <w:p w:rsidR="00500724" w:rsidRDefault="00F30FB8">
      <w:pPr>
        <w:pStyle w:val="Zkladntext1"/>
        <w:shd w:val="clear" w:color="auto" w:fill="auto"/>
        <w:spacing w:after="300" w:line="223" w:lineRule="auto"/>
        <w:ind w:left="140" w:firstLine="0"/>
        <w:jc w:val="left"/>
        <w:rPr>
          <w:sz w:val="20"/>
          <w:szCs w:val="20"/>
        </w:rPr>
        <w:sectPr w:rsidR="00500724">
          <w:footnotePr>
            <w:numFmt w:val="chicago"/>
            <w:numRestart w:val="eachPage"/>
          </w:footnotePr>
          <w:type w:val="continuous"/>
          <w:pgSz w:w="11909" w:h="16834"/>
          <w:pgMar w:top="836" w:right="1162" w:bottom="401" w:left="370" w:header="0" w:footer="3" w:gutter="0"/>
          <w:cols w:num="2" w:space="163"/>
          <w:noEndnote/>
          <w:docGrid w:linePitch="360"/>
        </w:sectPr>
      </w:pPr>
      <w:r>
        <w:rPr>
          <w:sz w:val="20"/>
          <w:szCs w:val="20"/>
        </w:rPr>
        <w:t xml:space="preserve">PRAHA </w:t>
      </w:r>
      <w:r>
        <w:rPr>
          <w:sz w:val="20"/>
          <w:szCs w:val="20"/>
          <w:lang w:val="en-US" w:eastAsia="en-US" w:bidi="en-US"/>
        </w:rPr>
        <w:t xml:space="preserve">I., </w:t>
      </w:r>
      <w:r>
        <w:rPr>
          <w:sz w:val="20"/>
          <w:szCs w:val="20"/>
        </w:rPr>
        <w:t>PMKOPY 35, schodiStě A, Tel. 315-28.</w:t>
      </w:r>
    </w:p>
    <w:p w:rsidR="00500724" w:rsidRDefault="00F30FB8">
      <w:pPr>
        <w:pStyle w:val="Nadpis30"/>
        <w:keepNext/>
        <w:keepLines/>
        <w:shd w:val="clear" w:color="auto" w:fill="auto"/>
        <w:spacing w:before="80" w:after="0"/>
        <w:rPr>
          <w:sz w:val="258"/>
          <w:szCs w:val="258"/>
        </w:rPr>
      </w:pPr>
      <w:bookmarkStart w:id="553" w:name="bookmark552"/>
      <w:r>
        <w:rPr>
          <w:sz w:val="258"/>
          <w:szCs w:val="258"/>
        </w:rPr>
        <w:t>řřtomnosO</w:t>
      </w:r>
      <w:bookmarkEnd w:id="553"/>
    </w:p>
    <w:tbl>
      <w:tblPr>
        <w:tblOverlap w:val="never"/>
        <w:tblW w:w="0" w:type="auto"/>
        <w:jc w:val="center"/>
        <w:tblLayout w:type="fixed"/>
        <w:tblCellMar>
          <w:left w:w="10" w:type="dxa"/>
          <w:right w:w="10" w:type="dxa"/>
        </w:tblCellMar>
        <w:tblLook w:val="04A0" w:firstRow="1" w:lastRow="0" w:firstColumn="1" w:lastColumn="0" w:noHBand="0" w:noVBand="1"/>
      </w:tblPr>
      <w:tblGrid>
        <w:gridCol w:w="8510"/>
        <w:gridCol w:w="2578"/>
      </w:tblGrid>
      <w:tr w:rsidR="00500724">
        <w:tblPrEx>
          <w:tblCellMar>
            <w:top w:w="0" w:type="dxa"/>
            <w:bottom w:w="0" w:type="dxa"/>
          </w:tblCellMar>
        </w:tblPrEx>
        <w:trPr>
          <w:trHeight w:hRule="exact" w:val="63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3990"/>
              </w:tabs>
              <w:ind w:left="220" w:firstLine="60"/>
              <w:rPr>
                <w:sz w:val="20"/>
                <w:szCs w:val="20"/>
              </w:rPr>
            </w:pPr>
            <w:r>
              <w:rPr>
                <w:b/>
                <w:bCs/>
                <w:sz w:val="20"/>
                <w:szCs w:val="20"/>
              </w:rPr>
              <w:t>BOONlKXVL</w:t>
            </w:r>
            <w:r>
              <w:rPr>
                <w:b/>
                <w:bCs/>
                <w:sz w:val="20"/>
                <w:szCs w:val="20"/>
              </w:rPr>
              <w:tab/>
              <w:t>V PRAZE 7. ČERVNA 1939</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00" w:firstLine="0"/>
              <w:jc w:val="right"/>
              <w:rPr>
                <w:sz w:val="20"/>
                <w:szCs w:val="20"/>
              </w:rPr>
            </w:pPr>
            <w:r>
              <w:rPr>
                <w:b/>
                <w:bCs/>
                <w:sz w:val="20"/>
                <w:szCs w:val="20"/>
              </w:rPr>
              <w:t>ZA K 2.—</w:t>
            </w:r>
          </w:p>
        </w:tc>
      </w:tr>
      <w:tr w:rsidR="00500724">
        <w:tblPrEx>
          <w:tblCellMar>
            <w:top w:w="0" w:type="dxa"/>
            <w:bottom w:w="0" w:type="dxa"/>
          </w:tblCellMar>
        </w:tblPrEx>
        <w:trPr>
          <w:trHeight w:hRule="exact" w:val="2026"/>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20" w:firstLine="60"/>
              <w:jc w:val="left"/>
              <w:rPr>
                <w:sz w:val="58"/>
                <w:szCs w:val="58"/>
              </w:rPr>
            </w:pPr>
            <w:r>
              <w:rPr>
                <w:sz w:val="58"/>
                <w:szCs w:val="58"/>
              </w:rPr>
              <w:t>Říšskoněmecká vlajka na MNO</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00" w:firstLine="0"/>
              <w:jc w:val="right"/>
              <w:rPr>
                <w:sz w:val="20"/>
                <w:szCs w:val="20"/>
              </w:rPr>
            </w:pPr>
            <w:r>
              <w:rPr>
                <w:b/>
                <w:bCs/>
                <w:sz w:val="20"/>
                <w:szCs w:val="20"/>
              </w:rPr>
              <w:t>JOSEF TEICHMAN</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70"/>
                <w:szCs w:val="70"/>
              </w:rPr>
            </w:pPr>
            <w:r>
              <w:rPr>
                <w:rFonts w:ascii="Calibri" w:eastAsia="Calibri" w:hAnsi="Calibri" w:cs="Calibri"/>
                <w:b/>
                <w:bCs/>
                <w:w w:val="70"/>
                <w:sz w:val="70"/>
                <w:szCs w:val="70"/>
              </w:rPr>
              <w:t>Úvaha nad patnácti porody na tisíc obyvatel</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00" w:firstLine="0"/>
              <w:jc w:val="right"/>
              <w:rPr>
                <w:sz w:val="20"/>
                <w:szCs w:val="20"/>
              </w:rPr>
            </w:pPr>
            <w:r>
              <w:rPr>
                <w:b/>
                <w:bCs/>
                <w:sz w:val="20"/>
                <w:szCs w:val="20"/>
              </w:rPr>
              <w:t>ANTONÍN BOHÁČ</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8"/>
                <w:szCs w:val="58"/>
              </w:rPr>
            </w:pPr>
            <w:r>
              <w:rPr>
                <w:sz w:val="58"/>
                <w:szCs w:val="58"/>
              </w:rPr>
              <w:t>Konservativci a bolševici</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spacing w:after="520"/>
              <w:ind w:firstLine="0"/>
              <w:jc w:val="right"/>
              <w:rPr>
                <w:sz w:val="20"/>
                <w:szCs w:val="20"/>
              </w:rPr>
            </w:pPr>
            <w:r>
              <w:rPr>
                <w:b/>
                <w:bCs/>
                <w:sz w:val="20"/>
                <w:szCs w:val="20"/>
              </w:rPr>
              <w:t>1</w:t>
            </w:r>
          </w:p>
          <w:p w:rsidR="00500724" w:rsidRDefault="00F30FB8">
            <w:pPr>
              <w:pStyle w:val="Jin0"/>
              <w:shd w:val="clear" w:color="auto" w:fill="auto"/>
              <w:ind w:right="200" w:firstLine="0"/>
              <w:jc w:val="right"/>
              <w:rPr>
                <w:sz w:val="20"/>
                <w:szCs w:val="20"/>
              </w:rPr>
            </w:pPr>
            <w:r>
              <w:rPr>
                <w:b/>
                <w:bCs/>
                <w:sz w:val="20"/>
                <w:szCs w:val="20"/>
              </w:rPr>
              <w:t>ZDENEK SMETÁČEK</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8"/>
                <w:szCs w:val="58"/>
              </w:rPr>
            </w:pPr>
            <w:r>
              <w:rPr>
                <w:sz w:val="58"/>
                <w:szCs w:val="58"/>
              </w:rPr>
              <w:t>Humor v rozhlase</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00" w:firstLine="0"/>
              <w:jc w:val="right"/>
              <w:rPr>
                <w:sz w:val="20"/>
                <w:szCs w:val="20"/>
              </w:rPr>
            </w:pPr>
            <w:r>
              <w:rPr>
                <w:b/>
                <w:bCs/>
                <w:sz w:val="20"/>
                <w:szCs w:val="20"/>
              </w:rPr>
              <w:t>FRANTIŠEK KOŽÍK</w:t>
            </w:r>
          </w:p>
        </w:tc>
      </w:tr>
      <w:tr w:rsidR="00500724">
        <w:tblPrEx>
          <w:tblCellMar>
            <w:top w:w="0" w:type="dxa"/>
            <w:bottom w:w="0" w:type="dxa"/>
          </w:tblCellMar>
        </w:tblPrEx>
        <w:trPr>
          <w:trHeight w:hRule="exact" w:val="121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300" w:firstLine="0"/>
              <w:rPr>
                <w:sz w:val="58"/>
                <w:szCs w:val="58"/>
              </w:rPr>
            </w:pPr>
            <w:r>
              <w:rPr>
                <w:sz w:val="58"/>
                <w:szCs w:val="58"/>
              </w:rPr>
              <w:t>Rozhovor se skutečností</w:t>
            </w:r>
          </w:p>
        </w:tc>
      </w:tr>
      <w:tr w:rsidR="00500724">
        <w:tblPrEx>
          <w:tblCellMar>
            <w:top w:w="0" w:type="dxa"/>
            <w:bottom w:w="0" w:type="dxa"/>
          </w:tblCellMar>
        </w:tblPrEx>
        <w:trPr>
          <w:trHeight w:hRule="exact" w:val="128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00724" w:rsidRDefault="00F30FB8">
            <w:pPr>
              <w:pStyle w:val="Jin0"/>
              <w:shd w:val="clear" w:color="auto" w:fill="auto"/>
              <w:tabs>
                <w:tab w:val="left" w:pos="8038"/>
              </w:tabs>
              <w:ind w:left="300" w:firstLine="0"/>
              <w:rPr>
                <w:sz w:val="34"/>
                <w:szCs w:val="34"/>
              </w:rPr>
            </w:pPr>
            <w:r>
              <w:rPr>
                <w:sz w:val="58"/>
                <w:szCs w:val="58"/>
              </w:rPr>
              <w:t>Halo, halo, zde mluví...!</w:t>
            </w:r>
            <w:r>
              <w:rPr>
                <w:sz w:val="58"/>
                <w:szCs w:val="58"/>
              </w:rPr>
              <w:tab/>
            </w:r>
            <w:r>
              <w:rPr>
                <w:smallCaps/>
                <w:sz w:val="34"/>
                <w:szCs w:val="34"/>
              </w:rPr>
              <w:t>l. pavuk a v. strnad</w:t>
            </w:r>
          </w:p>
        </w:tc>
      </w:tr>
    </w:tbl>
    <w:p w:rsidR="00500724" w:rsidRDefault="00500724">
      <w:pPr>
        <w:spacing w:after="766" w:line="14" w:lineRule="exact"/>
      </w:pPr>
    </w:p>
    <w:p w:rsidR="00500724" w:rsidRDefault="00F30FB8">
      <w:pPr>
        <w:pStyle w:val="Jin0"/>
        <w:shd w:val="clear" w:color="auto" w:fill="auto"/>
        <w:ind w:left="440" w:firstLine="0"/>
        <w:rPr>
          <w:sz w:val="30"/>
          <w:szCs w:val="30"/>
        </w:rPr>
        <w:sectPr w:rsidR="00500724">
          <w:footnotePr>
            <w:numFmt w:val="chicago"/>
            <w:numRestart w:val="eachPage"/>
          </w:footnotePr>
          <w:pgSz w:w="11909" w:h="16834"/>
          <w:pgMar w:top="927" w:right="218" w:bottom="927" w:left="338" w:header="0" w:footer="3" w:gutter="0"/>
          <w:cols w:space="720"/>
          <w:noEndnote/>
          <w:docGrid w:linePitch="360"/>
        </w:sectPr>
      </w:pPr>
      <w:r>
        <w:rPr>
          <w:b/>
          <w:bCs/>
          <w:sz w:val="30"/>
          <w:szCs w:val="30"/>
        </w:rPr>
        <w:t>Válečný potenciál Ruska. - Organisovaná česká mládež. - Volání</w:t>
      </w:r>
      <w:r>
        <w:rPr>
          <w:b/>
          <w:bCs/>
          <w:sz w:val="30"/>
          <w:szCs w:val="30"/>
        </w:rPr>
        <w:t xml:space="preserve"> po doroz</w:t>
      </w:r>
      <w:r>
        <w:rPr>
          <w:b/>
          <w:bCs/>
          <w:sz w:val="30"/>
          <w:szCs w:val="30"/>
        </w:rPr>
        <w:softHyphen/>
        <w:t>umění? - Oposice proti Chamberlainovi. - Klidné volby v Maďarsku. - Co je svatováclavská tradice? - Katastrofa českého tisku. - Jazykové rekordy?</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1480"/>
        <w:sectPr w:rsidR="00500724">
          <w:footnotePr>
            <w:numFmt w:val="chicago"/>
            <w:numRestart w:val="eachPage"/>
          </w:footnotePr>
          <w:pgSz w:w="11909" w:h="16834"/>
          <w:pgMar w:top="771" w:right="541" w:bottom="691" w:left="238" w:header="0" w:footer="3" w:gutter="0"/>
          <w:cols w:space="720"/>
          <w:noEndnote/>
          <w:docGrid w:linePitch="360"/>
        </w:sectPr>
      </w:pPr>
      <w:bookmarkStart w:id="554" w:name="bookmark553"/>
      <w:r>
        <w:rPr>
          <w:color w:val="FFFFFF"/>
        </w:rPr>
        <w:t xml:space="preserve">ODBORNÍ </w:t>
      </w:r>
      <w:r>
        <w:rPr>
          <w:color w:val="FFFFFF"/>
          <w:lang w:val="en-US" w:eastAsia="en-US" w:bidi="en-US"/>
        </w:rPr>
        <w:t>LEKAftl</w:t>
      </w:r>
      <w:bookmarkEnd w:id="554"/>
    </w:p>
    <w:p w:rsidR="00500724" w:rsidRDefault="00500724">
      <w:pPr>
        <w:spacing w:line="179" w:lineRule="exact"/>
        <w:rPr>
          <w:sz w:val="14"/>
          <w:szCs w:val="14"/>
        </w:rPr>
      </w:pPr>
    </w:p>
    <w:p w:rsidR="00500724" w:rsidRDefault="00500724">
      <w:pPr>
        <w:spacing w:line="14" w:lineRule="exact"/>
        <w:sectPr w:rsidR="00500724">
          <w:footnotePr>
            <w:numFmt w:val="chicago"/>
            <w:numRestart w:val="eachPage"/>
          </w:footnotePr>
          <w:type w:val="continuous"/>
          <w:pgSz w:w="11909" w:h="16834"/>
          <w:pgMar w:top="771" w:right="0" w:bottom="691" w:left="0" w:header="0" w:footer="3" w:gutter="0"/>
          <w:cols w:space="720"/>
          <w:noEndnote/>
          <w:docGrid w:linePitch="360"/>
        </w:sectPr>
      </w:pPr>
    </w:p>
    <w:p w:rsidR="00500724" w:rsidRDefault="00F30FB8">
      <w:pPr>
        <w:pStyle w:val="Nadpis110"/>
        <w:shd w:val="clear" w:color="auto" w:fill="auto"/>
        <w:spacing w:line="192" w:lineRule="auto"/>
        <w:jc w:val="both"/>
      </w:pPr>
      <w:bookmarkStart w:id="555" w:name="bookmark554"/>
      <w:r>
        <w:t>MUDr. ZDENKA NEDVĚDOVÁ-NEJED</w:t>
      </w:r>
      <w:r>
        <w:t>LÁ</w:t>
      </w:r>
      <w:bookmarkEnd w:id="555"/>
    </w:p>
    <w:p w:rsidR="00500724" w:rsidRDefault="00F30FB8">
      <w:pPr>
        <w:pStyle w:val="Zkladntext1"/>
        <w:shd w:val="clear" w:color="auto" w:fill="auto"/>
        <w:spacing w:after="260" w:line="233" w:lineRule="auto"/>
        <w:ind w:firstLine="0"/>
        <w:rPr>
          <w:sz w:val="18"/>
          <w:szCs w:val="18"/>
        </w:rPr>
      </w:pPr>
      <w:r>
        <w:rPr>
          <w:sz w:val="18"/>
          <w:szCs w:val="18"/>
        </w:rPr>
        <w:t xml:space="preserve">odb. dětská lékařka, PODOLÍ, PANKRACKA 14 (stanice elektr. </w:t>
      </w:r>
      <w:r>
        <w:rPr>
          <w:sz w:val="18"/>
          <w:szCs w:val="18"/>
          <w:u w:val="single"/>
        </w:rPr>
        <w:t>dráhy za Podol, sanatoriem). Ord. 9—10 a 2—4. Tel. 441-77.</w:t>
      </w:r>
    </w:p>
    <w:p w:rsidR="00500724" w:rsidRDefault="00F30FB8">
      <w:pPr>
        <w:pStyle w:val="Nadpis110"/>
        <w:shd w:val="clear" w:color="auto" w:fill="auto"/>
        <w:jc w:val="both"/>
      </w:pPr>
      <w:bookmarkStart w:id="556" w:name="bookmark555"/>
      <w:r>
        <w:t>MUDr. ANTONÍN NEUMANN</w:t>
      </w:r>
      <w:bookmarkEnd w:id="556"/>
    </w:p>
    <w:p w:rsidR="00500724" w:rsidRDefault="00F30FB8">
      <w:pPr>
        <w:pStyle w:val="Zkladntext40"/>
        <w:shd w:val="clear" w:color="auto" w:fill="auto"/>
        <w:spacing w:after="260" w:line="190" w:lineRule="auto"/>
        <w:ind w:firstLine="700"/>
        <w:rPr>
          <w:sz w:val="16"/>
          <w:szCs w:val="16"/>
        </w:rPr>
      </w:pPr>
      <w:r>
        <w:rPr>
          <w:sz w:val="18"/>
          <w:szCs w:val="18"/>
        </w:rPr>
        <w:t xml:space="preserve">odborný lékař nemoci pohlavních, kožních a kosmetiky. </w:t>
      </w:r>
      <w:r>
        <w:rPr>
          <w:b/>
          <w:bCs/>
          <w:sz w:val="16"/>
          <w:szCs w:val="16"/>
        </w:rPr>
        <w:t xml:space="preserve">Praha IL. Na Zbořenci 24 — třetí dům od Karlova náměitl. </w:t>
      </w:r>
      <w:r>
        <w:rPr>
          <w:b/>
          <w:bCs/>
          <w:sz w:val="16"/>
          <w:szCs w:val="16"/>
          <w:u w:val="single"/>
        </w:rPr>
        <w:t>Ordinuje celý den. V neděli a ve svátek dopoledne. Tel. 41.728.</w:t>
      </w:r>
    </w:p>
    <w:p w:rsidR="00500724" w:rsidRDefault="00F30FB8">
      <w:pPr>
        <w:pStyle w:val="Zkladntext1"/>
        <w:shd w:val="clear" w:color="auto" w:fill="auto"/>
        <w:ind w:firstLine="0"/>
      </w:pPr>
      <w:r>
        <w:rPr>
          <w:b/>
          <w:bCs/>
        </w:rPr>
        <w:t xml:space="preserve">Pro plastickou chirurgii </w:t>
      </w:r>
      <w:r>
        <w:rPr>
          <w:rFonts w:ascii="Arial" w:eastAsia="Arial" w:hAnsi="Arial" w:cs="Arial"/>
          <w:b/>
          <w:bCs/>
          <w:sz w:val="22"/>
          <w:szCs w:val="22"/>
        </w:rPr>
        <w:t xml:space="preserve">Dr. RUDOLF SLUNEČKO </w:t>
      </w:r>
      <w:r>
        <w:rPr>
          <w:b/>
          <w:bCs/>
        </w:rPr>
        <w:t>ord. 3—4 (a podle úmluvy). Telefon 393-79. PRAHA IL, VO</w:t>
      </w:r>
      <w:r>
        <w:rPr>
          <w:b/>
          <w:bCs/>
        </w:rPr>
        <w:softHyphen/>
      </w:r>
      <w:r>
        <w:rPr>
          <w:b/>
          <w:bCs/>
          <w:u w:val="single"/>
        </w:rPr>
        <w:t>DIČKOVA 16. (Hlávkův palác.)</w:t>
      </w:r>
    </w:p>
    <w:p w:rsidR="00500724" w:rsidRDefault="00F30FB8">
      <w:pPr>
        <w:spacing w:line="1" w:lineRule="exact"/>
        <w:rPr>
          <w:sz w:val="2"/>
          <w:szCs w:val="2"/>
        </w:rPr>
      </w:pPr>
      <w:r>
        <w:br w:type="column"/>
      </w:r>
    </w:p>
    <w:p w:rsidR="00500724" w:rsidRDefault="00F30FB8">
      <w:pPr>
        <w:pStyle w:val="Jin0"/>
        <w:shd w:val="clear" w:color="auto" w:fill="auto"/>
        <w:spacing w:line="360" w:lineRule="auto"/>
        <w:ind w:left="600" w:firstLine="0"/>
        <w:jc w:val="left"/>
        <w:rPr>
          <w:sz w:val="66"/>
          <w:szCs w:val="66"/>
        </w:rPr>
      </w:pPr>
      <w:r>
        <w:rPr>
          <w:rFonts w:ascii="Arial" w:eastAsia="Arial" w:hAnsi="Arial" w:cs="Arial"/>
          <w:sz w:val="66"/>
          <w:szCs w:val="66"/>
        </w:rPr>
        <w:t>BUDUJTE A POSILUJTE</w:t>
      </w:r>
    </w:p>
    <w:p w:rsidR="00500724" w:rsidRDefault="00F30FB8">
      <w:pPr>
        <w:pStyle w:val="Jin0"/>
        <w:shd w:val="clear" w:color="auto" w:fill="auto"/>
        <w:ind w:left="600" w:firstLine="0"/>
        <w:jc w:val="left"/>
        <w:rPr>
          <w:sz w:val="46"/>
          <w:szCs w:val="46"/>
        </w:rPr>
        <w:sectPr w:rsidR="00500724">
          <w:footnotePr>
            <w:numFmt w:val="chicago"/>
            <w:numRestart w:val="eachPage"/>
          </w:footnotePr>
          <w:type w:val="continuous"/>
          <w:pgSz w:w="11909" w:h="16834"/>
          <w:pgMar w:top="771" w:right="1246" w:bottom="691" w:left="238" w:header="0" w:footer="3" w:gutter="0"/>
          <w:cols w:num="2" w:space="134"/>
          <w:noEndnote/>
          <w:docGrid w:linePitch="360"/>
        </w:sectPr>
      </w:pPr>
      <w:r>
        <w:rPr>
          <w:rFonts w:ascii="Arial" w:eastAsia="Arial" w:hAnsi="Arial" w:cs="Arial"/>
          <w:b/>
          <w:bCs/>
          <w:sz w:val="46"/>
          <w:szCs w:val="46"/>
        </w:rPr>
        <w:t xml:space="preserve">spotřební </w:t>
      </w:r>
      <w:r>
        <w:rPr>
          <w:rFonts w:ascii="Arial" w:eastAsia="Arial" w:hAnsi="Arial" w:cs="Arial"/>
          <w:b/>
          <w:bCs/>
          <w:sz w:val="46"/>
          <w:szCs w:val="46"/>
        </w:rPr>
        <w:t>družstva</w:t>
      </w:r>
    </w:p>
    <w:p w:rsidR="00500724" w:rsidRDefault="00500724">
      <w:pPr>
        <w:spacing w:before="54" w:after="54"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771" w:right="0" w:bottom="691" w:left="0" w:header="0" w:footer="3" w:gutter="0"/>
          <w:cols w:space="720"/>
          <w:noEndnote/>
          <w:docGrid w:linePitch="360"/>
        </w:sectPr>
      </w:pPr>
    </w:p>
    <w:tbl>
      <w:tblPr>
        <w:tblpPr w:vertAnchor="text" w:horzAnchor="page" w:tblpX="9238" w:tblpY="4637"/>
        <w:tblW w:w="0" w:type="auto"/>
        <w:tblLayout w:type="fixed"/>
        <w:tblCellMar>
          <w:left w:w="10" w:type="dxa"/>
          <w:right w:w="10" w:type="dxa"/>
        </w:tblCellMar>
        <w:tblLook w:val="04A0" w:firstRow="1" w:lastRow="0" w:firstColumn="1" w:lastColumn="0" w:noHBand="0" w:noVBand="1"/>
      </w:tblPr>
      <w:tblGrid>
        <w:gridCol w:w="427"/>
        <w:gridCol w:w="211"/>
        <w:gridCol w:w="485"/>
      </w:tblGrid>
      <w:tr w:rsidR="00500724">
        <w:tblPrEx>
          <w:tblCellMar>
            <w:top w:w="0" w:type="dxa"/>
            <w:bottom w:w="0" w:type="dxa"/>
          </w:tblCellMar>
        </w:tblPrEx>
        <w:trPr>
          <w:trHeight w:hRule="exact" w:val="226"/>
          <w:tblHeader/>
        </w:trPr>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váz.</w:t>
            </w:r>
          </w:p>
        </w:tc>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K</w:t>
            </w:r>
          </w:p>
        </w:tc>
        <w:tc>
          <w:tcPr>
            <w:tcW w:w="0" w:type="auto"/>
            <w:shd w:val="clear" w:color="auto" w:fill="FFFFFF"/>
            <w:vAlign w:val="center"/>
          </w:tcPr>
          <w:p w:rsidR="00500724" w:rsidRDefault="00F30FB8">
            <w:pPr>
              <w:pStyle w:val="Jin0"/>
              <w:shd w:val="clear" w:color="auto" w:fill="auto"/>
              <w:ind w:firstLine="0"/>
              <w:jc w:val="right"/>
              <w:rPr>
                <w:sz w:val="15"/>
                <w:szCs w:val="15"/>
              </w:rPr>
            </w:pPr>
            <w:r>
              <w:rPr>
                <w:b/>
                <w:bCs/>
                <w:sz w:val="15"/>
                <w:szCs w:val="15"/>
              </w:rPr>
              <w:t>100.—</w:t>
            </w:r>
          </w:p>
        </w:tc>
      </w:tr>
      <w:tr w:rsidR="00500724">
        <w:tblPrEx>
          <w:tblCellMar>
            <w:top w:w="0" w:type="dxa"/>
            <w:bottom w:w="0" w:type="dxa"/>
          </w:tblCellMar>
        </w:tblPrEx>
        <w:trPr>
          <w:trHeight w:hRule="exact" w:val="278"/>
        </w:trPr>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brož.</w:t>
            </w:r>
          </w:p>
        </w:tc>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K</w:t>
            </w:r>
          </w:p>
        </w:tc>
        <w:tc>
          <w:tcPr>
            <w:tcW w:w="0" w:type="auto"/>
            <w:shd w:val="clear" w:color="auto" w:fill="FFFFFF"/>
            <w:vAlign w:val="center"/>
          </w:tcPr>
          <w:p w:rsidR="00500724" w:rsidRDefault="00F30FB8">
            <w:pPr>
              <w:pStyle w:val="Jin0"/>
              <w:shd w:val="clear" w:color="auto" w:fill="auto"/>
              <w:ind w:firstLine="0"/>
              <w:jc w:val="right"/>
              <w:rPr>
                <w:sz w:val="15"/>
                <w:szCs w:val="15"/>
              </w:rPr>
            </w:pPr>
            <w:r>
              <w:rPr>
                <w:b/>
                <w:bCs/>
                <w:sz w:val="15"/>
                <w:szCs w:val="15"/>
              </w:rPr>
              <w:t>85.—</w:t>
            </w:r>
          </w:p>
        </w:tc>
      </w:tr>
      <w:tr w:rsidR="00500724">
        <w:tblPrEx>
          <w:tblCellMar>
            <w:top w:w="0" w:type="dxa"/>
            <w:bottom w:w="0" w:type="dxa"/>
          </w:tblCellMar>
        </w:tblPrEx>
        <w:trPr>
          <w:trHeight w:hRule="exact" w:val="278"/>
        </w:trPr>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brož.</w:t>
            </w:r>
          </w:p>
        </w:tc>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K</w:t>
            </w:r>
          </w:p>
        </w:tc>
        <w:tc>
          <w:tcPr>
            <w:tcW w:w="0" w:type="auto"/>
            <w:shd w:val="clear" w:color="auto" w:fill="FFFFFF"/>
            <w:vAlign w:val="center"/>
          </w:tcPr>
          <w:p w:rsidR="00500724" w:rsidRDefault="00F30FB8">
            <w:pPr>
              <w:pStyle w:val="Jin0"/>
              <w:shd w:val="clear" w:color="auto" w:fill="auto"/>
              <w:ind w:firstLine="0"/>
              <w:jc w:val="right"/>
              <w:rPr>
                <w:sz w:val="15"/>
                <w:szCs w:val="15"/>
              </w:rPr>
            </w:pPr>
            <w:r>
              <w:rPr>
                <w:b/>
                <w:bCs/>
                <w:sz w:val="15"/>
                <w:szCs w:val="15"/>
              </w:rPr>
              <w:t>50.—</w:t>
            </w:r>
          </w:p>
        </w:tc>
      </w:tr>
      <w:tr w:rsidR="00500724">
        <w:tblPrEx>
          <w:tblCellMar>
            <w:top w:w="0" w:type="dxa"/>
            <w:bottom w:w="0" w:type="dxa"/>
          </w:tblCellMar>
        </w:tblPrEx>
        <w:trPr>
          <w:trHeight w:hRule="exact" w:val="274"/>
        </w:trPr>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brož.</w:t>
            </w:r>
          </w:p>
        </w:tc>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K</w:t>
            </w:r>
          </w:p>
        </w:tc>
        <w:tc>
          <w:tcPr>
            <w:tcW w:w="0" w:type="auto"/>
            <w:shd w:val="clear" w:color="auto" w:fill="FFFFFF"/>
            <w:vAlign w:val="center"/>
          </w:tcPr>
          <w:p w:rsidR="00500724" w:rsidRDefault="00F30FB8">
            <w:pPr>
              <w:pStyle w:val="Jin0"/>
              <w:shd w:val="clear" w:color="auto" w:fill="auto"/>
              <w:ind w:firstLine="0"/>
              <w:jc w:val="right"/>
              <w:rPr>
                <w:sz w:val="15"/>
                <w:szCs w:val="15"/>
              </w:rPr>
            </w:pPr>
            <w:r>
              <w:rPr>
                <w:b/>
                <w:bCs/>
                <w:sz w:val="15"/>
                <w:szCs w:val="15"/>
              </w:rPr>
              <w:t>80.—</w:t>
            </w:r>
          </w:p>
        </w:tc>
      </w:tr>
      <w:tr w:rsidR="00500724">
        <w:tblPrEx>
          <w:tblCellMar>
            <w:top w:w="0" w:type="dxa"/>
            <w:bottom w:w="0" w:type="dxa"/>
          </w:tblCellMar>
        </w:tblPrEx>
        <w:trPr>
          <w:trHeight w:hRule="exact" w:val="413"/>
        </w:trPr>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váz.</w:t>
            </w:r>
          </w:p>
        </w:tc>
        <w:tc>
          <w:tcPr>
            <w:tcW w:w="0" w:type="auto"/>
            <w:shd w:val="clear" w:color="auto" w:fill="FFFFFF"/>
            <w:vAlign w:val="center"/>
          </w:tcPr>
          <w:p w:rsidR="00500724" w:rsidRDefault="00F30FB8">
            <w:pPr>
              <w:pStyle w:val="Jin0"/>
              <w:shd w:val="clear" w:color="auto" w:fill="auto"/>
              <w:ind w:firstLine="0"/>
              <w:jc w:val="left"/>
              <w:rPr>
                <w:sz w:val="15"/>
                <w:szCs w:val="15"/>
              </w:rPr>
            </w:pPr>
            <w:r>
              <w:rPr>
                <w:b/>
                <w:bCs/>
                <w:sz w:val="15"/>
                <w:szCs w:val="15"/>
              </w:rPr>
              <w:t>K</w:t>
            </w:r>
          </w:p>
        </w:tc>
        <w:tc>
          <w:tcPr>
            <w:tcW w:w="0" w:type="auto"/>
            <w:shd w:val="clear" w:color="auto" w:fill="FFFFFF"/>
            <w:vAlign w:val="center"/>
          </w:tcPr>
          <w:p w:rsidR="00500724" w:rsidRDefault="00F30FB8">
            <w:pPr>
              <w:pStyle w:val="Jin0"/>
              <w:shd w:val="clear" w:color="auto" w:fill="auto"/>
              <w:ind w:firstLine="0"/>
              <w:jc w:val="right"/>
              <w:rPr>
                <w:sz w:val="15"/>
                <w:szCs w:val="15"/>
              </w:rPr>
            </w:pPr>
            <w:r>
              <w:rPr>
                <w:b/>
                <w:bCs/>
                <w:sz w:val="15"/>
                <w:szCs w:val="15"/>
              </w:rPr>
              <w:t>86.—</w:t>
            </w:r>
          </w:p>
        </w:tc>
      </w:tr>
      <w:tr w:rsidR="00500724">
        <w:tblPrEx>
          <w:tblCellMar>
            <w:top w:w="0" w:type="dxa"/>
            <w:bottom w:w="0" w:type="dxa"/>
          </w:tblCellMar>
        </w:tblPrEx>
        <w:trPr>
          <w:trHeight w:hRule="exact" w:val="355"/>
        </w:trPr>
        <w:tc>
          <w:tcPr>
            <w:tcW w:w="0" w:type="auto"/>
            <w:shd w:val="clear" w:color="auto" w:fill="FFFFFF"/>
            <w:vAlign w:val="bottom"/>
          </w:tcPr>
          <w:p w:rsidR="00500724" w:rsidRDefault="00F30FB8">
            <w:pPr>
              <w:pStyle w:val="Jin0"/>
              <w:shd w:val="clear" w:color="auto" w:fill="auto"/>
              <w:ind w:firstLine="0"/>
              <w:jc w:val="left"/>
              <w:rPr>
                <w:sz w:val="15"/>
                <w:szCs w:val="15"/>
              </w:rPr>
            </w:pPr>
            <w:r>
              <w:rPr>
                <w:b/>
                <w:bCs/>
                <w:sz w:val="15"/>
                <w:szCs w:val="15"/>
              </w:rPr>
              <w:t>kari.</w:t>
            </w:r>
          </w:p>
        </w:tc>
        <w:tc>
          <w:tcPr>
            <w:tcW w:w="0" w:type="auto"/>
            <w:shd w:val="clear" w:color="auto" w:fill="FFFFFF"/>
            <w:vAlign w:val="bottom"/>
          </w:tcPr>
          <w:p w:rsidR="00500724" w:rsidRDefault="00F30FB8">
            <w:pPr>
              <w:pStyle w:val="Jin0"/>
              <w:shd w:val="clear" w:color="auto" w:fill="auto"/>
              <w:ind w:firstLine="0"/>
              <w:jc w:val="left"/>
              <w:rPr>
                <w:sz w:val="15"/>
                <w:szCs w:val="15"/>
              </w:rPr>
            </w:pPr>
            <w:r>
              <w:rPr>
                <w:b/>
                <w:bCs/>
                <w:sz w:val="15"/>
                <w:szCs w:val="15"/>
              </w:rPr>
              <w:t>K</w:t>
            </w:r>
          </w:p>
        </w:tc>
        <w:tc>
          <w:tcPr>
            <w:tcW w:w="0" w:type="auto"/>
            <w:shd w:val="clear" w:color="auto" w:fill="FFFFFF"/>
            <w:vAlign w:val="bottom"/>
          </w:tcPr>
          <w:p w:rsidR="00500724" w:rsidRDefault="00F30FB8">
            <w:pPr>
              <w:pStyle w:val="Jin0"/>
              <w:shd w:val="clear" w:color="auto" w:fill="auto"/>
              <w:ind w:firstLine="0"/>
              <w:jc w:val="right"/>
              <w:rPr>
                <w:sz w:val="15"/>
                <w:szCs w:val="15"/>
              </w:rPr>
            </w:pPr>
            <w:r>
              <w:rPr>
                <w:b/>
                <w:bCs/>
                <w:sz w:val="15"/>
                <w:szCs w:val="15"/>
              </w:rPr>
              <w:t>80.—</w:t>
            </w:r>
          </w:p>
        </w:tc>
      </w:tr>
    </w:tbl>
    <w:p w:rsidR="00500724" w:rsidRDefault="00F30FB8">
      <w:pPr>
        <w:spacing w:line="14" w:lineRule="exact"/>
      </w:pPr>
      <w:r>
        <w:rPr>
          <w:noProof/>
        </w:rPr>
        <mc:AlternateContent>
          <mc:Choice Requires="wps">
            <w:drawing>
              <wp:anchor distT="0" distB="0" distL="50800" distR="50800" simplePos="0" relativeHeight="125829930" behindDoc="0" locked="0" layoutInCell="1" allowOverlap="1">
                <wp:simplePos x="0" y="0"/>
                <wp:positionH relativeFrom="page">
                  <wp:posOffset>254635</wp:posOffset>
                </wp:positionH>
                <wp:positionV relativeFrom="paragraph">
                  <wp:posOffset>12700</wp:posOffset>
                </wp:positionV>
                <wp:extent cx="2353310" cy="271145"/>
                <wp:effectExtent l="0" t="0" r="0" b="0"/>
                <wp:wrapSquare wrapText="right"/>
                <wp:docPr id="553" name="Shape 553"/>
                <wp:cNvGraphicFramePr/>
                <a:graphic xmlns:a="http://schemas.openxmlformats.org/drawingml/2006/main">
                  <a:graphicData uri="http://schemas.microsoft.com/office/word/2010/wordprocessingShape">
                    <wps:wsp>
                      <wps:cNvSpPr txBox="1"/>
                      <wps:spPr>
                        <a:xfrm>
                          <a:off x="0" y="0"/>
                          <a:ext cx="2353310"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lang w:val="en-US" w:eastAsia="en-US" w:bidi="en-US"/>
                              </w:rPr>
                              <w:t>IffliVELICNOVKY</w:t>
                            </w:r>
                          </w:p>
                        </w:txbxContent>
                      </wps:txbx>
                      <wps:bodyPr lIns="0" tIns="0" rIns="0" bIns="0">
                        <a:spAutoFit/>
                      </wps:bodyPr>
                    </wps:wsp>
                  </a:graphicData>
                </a:graphic>
              </wp:anchor>
            </w:drawing>
          </mc:Choice>
          <mc:Fallback>
            <w:pict>
              <v:shape id="_x0000_s1579" type="#_x0000_t202" style="position:absolute;margin-left:20.050000000000001pt;margin-top:1.pt;width:185.30000000000001pt;height:21.350000000000001pt;z-index:-125828823;mso-wrap-distance-left:4.pt;mso-wrap-distance-right:4.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en-US" w:eastAsia="en-US" w:bidi="en-US"/>
                        </w:rPr>
                        <w:t>IffliVELICNOVKY</w:t>
                      </w:r>
                    </w:p>
                  </w:txbxContent>
                </v:textbox>
                <w10:wrap type="square" side="right" anchorx="page"/>
              </v:shape>
            </w:pict>
          </mc:Fallback>
        </mc:AlternateContent>
      </w:r>
      <w:r>
        <w:rPr>
          <w:noProof/>
        </w:rPr>
        <mc:AlternateContent>
          <mc:Choice Requires="wps">
            <w:drawing>
              <wp:anchor distT="419100" distB="0" distL="0" distR="0" simplePos="0" relativeHeight="125829932" behindDoc="0" locked="0" layoutInCell="1" allowOverlap="1">
                <wp:simplePos x="0" y="0"/>
                <wp:positionH relativeFrom="page">
                  <wp:posOffset>3851275</wp:posOffset>
                </wp:positionH>
                <wp:positionV relativeFrom="paragraph">
                  <wp:posOffset>448310</wp:posOffset>
                </wp:positionV>
                <wp:extent cx="1210310" cy="396240"/>
                <wp:effectExtent l="0" t="0" r="0" b="0"/>
                <wp:wrapSquare wrapText="right"/>
                <wp:docPr id="555" name="Shape 555"/>
                <wp:cNvGraphicFramePr/>
                <a:graphic xmlns:a="http://schemas.openxmlformats.org/drawingml/2006/main">
                  <a:graphicData uri="http://schemas.microsoft.com/office/word/2010/wordprocessingShape">
                    <wps:wsp>
                      <wps:cNvSpPr txBox="1"/>
                      <wps:spPr>
                        <a:xfrm>
                          <a:off x="0" y="0"/>
                          <a:ext cx="1210310" cy="396240"/>
                        </a:xfrm>
                        <a:prstGeom prst="rect">
                          <a:avLst/>
                        </a:prstGeom>
                        <a:noFill/>
                      </wps:spPr>
                      <wps:txbx>
                        <w:txbxContent>
                          <w:p w:rsidR="00500724" w:rsidRDefault="00F30FB8">
                            <w:pPr>
                              <w:pStyle w:val="Jin0"/>
                              <w:shd w:val="clear" w:color="auto" w:fill="auto"/>
                              <w:ind w:firstLine="0"/>
                              <w:jc w:val="left"/>
                              <w:rPr>
                                <w:sz w:val="46"/>
                                <w:szCs w:val="46"/>
                              </w:rPr>
                            </w:pPr>
                            <w:r>
                              <w:rPr>
                                <w:rFonts w:ascii="Arial" w:eastAsia="Arial" w:hAnsi="Arial" w:cs="Arial"/>
                                <w:sz w:val="46"/>
                                <w:szCs w:val="46"/>
                              </w:rPr>
                              <w:t>Požadujt</w:t>
                            </w:r>
                          </w:p>
                        </w:txbxContent>
                      </wps:txbx>
                      <wps:bodyPr lIns="0" tIns="0" rIns="0" bIns="0">
                        <a:spAutoFit/>
                      </wps:bodyPr>
                    </wps:wsp>
                  </a:graphicData>
                </a:graphic>
              </wp:anchor>
            </w:drawing>
          </mc:Choice>
          <mc:Fallback>
            <w:pict>
              <v:shape id="_x0000_s1581" type="#_x0000_t202" style="position:absolute;margin-left:303.25pt;margin-top:35.299999999999997pt;width:95.299999999999997pt;height:31.199999999999999pt;z-index:-125828821;mso-wrap-distance-left:0;mso-wrap-distance-top:33.pt;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6"/>
                          <w:szCs w:val="46"/>
                        </w:rPr>
                      </w:pPr>
                      <w:r>
                        <w:rPr>
                          <w:rFonts w:ascii="Arial" w:eastAsia="Arial" w:hAnsi="Arial" w:cs="Arial"/>
                          <w:color w:val="000000"/>
                          <w:spacing w:val="0"/>
                          <w:w w:val="100"/>
                          <w:position w:val="0"/>
                          <w:sz w:val="46"/>
                          <w:szCs w:val="46"/>
                          <w:shd w:val="clear" w:color="auto" w:fill="auto"/>
                          <w:lang w:val="cs-CZ" w:eastAsia="cs-CZ" w:bidi="cs-CZ"/>
                        </w:rPr>
                        <w:t>Požadujt</w:t>
                      </w:r>
                    </w:p>
                  </w:txbxContent>
                </v:textbox>
                <w10:wrap type="square" side="right" anchorx="page"/>
              </v:shape>
            </w:pict>
          </mc:Fallback>
        </mc:AlternateContent>
      </w:r>
    </w:p>
    <w:p w:rsidR="00500724" w:rsidRDefault="00F30FB8">
      <w:pPr>
        <w:pStyle w:val="Zkladntext80"/>
        <w:shd w:val="clear" w:color="auto" w:fill="auto"/>
        <w:spacing w:line="228" w:lineRule="auto"/>
        <w:rPr>
          <w:sz w:val="24"/>
          <w:szCs w:val="24"/>
        </w:rPr>
      </w:pPr>
      <w:r>
        <w:rPr>
          <w:w w:val="70"/>
          <w:sz w:val="24"/>
          <w:szCs w:val="24"/>
        </w:rPr>
        <w:t>u Jaroměře</w:t>
      </w:r>
    </w:p>
    <w:p w:rsidR="00500724" w:rsidRDefault="00F30FB8">
      <w:pPr>
        <w:pStyle w:val="Nadpis120"/>
        <w:shd w:val="clear" w:color="auto" w:fill="auto"/>
        <w:spacing w:after="520"/>
        <w:ind w:left="480"/>
        <w:jc w:val="both"/>
      </w:pPr>
      <w:bookmarkStart w:id="557" w:name="bookmark556"/>
      <w:r>
        <w:t xml:space="preserve">poskytují komfort velkých lázní za mírné ceny. S úspěchem léčí: revma, dnu, ischias, </w:t>
      </w:r>
      <w:r>
        <w:t>nervosu, ženské choroby.</w:t>
      </w:r>
      <w:bookmarkEnd w:id="557"/>
    </w:p>
    <w:p w:rsidR="00500724" w:rsidRDefault="00F30FB8">
      <w:pPr>
        <w:pStyle w:val="Jin0"/>
        <w:shd w:val="clear" w:color="auto" w:fill="auto"/>
        <w:spacing w:after="60"/>
        <w:ind w:left="320" w:firstLine="0"/>
        <w:jc w:val="left"/>
        <w:rPr>
          <w:sz w:val="26"/>
          <w:szCs w:val="26"/>
        </w:rPr>
      </w:pPr>
      <w:r>
        <w:rPr>
          <w:b/>
          <w:bCs/>
          <w:i/>
          <w:iCs/>
          <w:sz w:val="26"/>
          <w:szCs w:val="26"/>
        </w:rPr>
        <w:t>Svétovou sensací</w:t>
      </w:r>
    </w:p>
    <w:p w:rsidR="00500724" w:rsidRDefault="00F30FB8">
      <w:pPr>
        <w:pStyle w:val="Nadpis110"/>
        <w:shd w:val="clear" w:color="auto" w:fill="auto"/>
        <w:spacing w:after="60"/>
        <w:ind w:left="820"/>
      </w:pPr>
      <w:bookmarkStart w:id="558" w:name="bookmark557"/>
      <w:r>
        <w:t>prvního řádu Jsou</w:t>
      </w:r>
      <w:bookmarkEnd w:id="558"/>
    </w:p>
    <w:p w:rsidR="00500724" w:rsidRDefault="00F30FB8">
      <w:pPr>
        <w:pStyle w:val="Jin0"/>
        <w:shd w:val="clear" w:color="auto" w:fill="auto"/>
        <w:spacing w:after="100"/>
        <w:ind w:right="200" w:firstLine="0"/>
        <w:jc w:val="right"/>
        <w:rPr>
          <w:sz w:val="38"/>
          <w:szCs w:val="38"/>
        </w:rPr>
      </w:pPr>
      <w:r>
        <w:rPr>
          <w:rFonts w:ascii="Arial" w:eastAsia="Arial" w:hAnsi="Arial" w:cs="Arial"/>
          <w:b/>
          <w:bCs/>
          <w:sz w:val="38"/>
          <w:szCs w:val="38"/>
        </w:rPr>
        <w:t>švýcarské ptačí stroje</w:t>
      </w:r>
    </w:p>
    <w:p w:rsidR="00500724" w:rsidRDefault="00F30FB8">
      <w:pPr>
        <w:pStyle w:val="Zkladntext50"/>
        <w:shd w:val="clear" w:color="auto" w:fill="auto"/>
        <w:spacing w:line="240" w:lineRule="auto"/>
        <w:ind w:left="0" w:right="200"/>
        <w:rPr>
          <w:sz w:val="16"/>
          <w:szCs w:val="16"/>
        </w:rPr>
      </w:pPr>
      <w:r>
        <w:rPr>
          <w:b/>
          <w:bCs/>
          <w:sz w:val="16"/>
          <w:szCs w:val="16"/>
        </w:rPr>
        <w:t>s automatem pásky, oboustran</w:t>
      </w:r>
      <w:r>
        <w:rPr>
          <w:b/>
          <w:bCs/>
          <w:sz w:val="16"/>
          <w:szCs w:val="16"/>
        </w:rPr>
        <w:softHyphen/>
        <w:t>ným vypínačem okraje a vel</w:t>
      </w:r>
      <w:r>
        <w:rPr>
          <w:b/>
          <w:bCs/>
          <w:sz w:val="16"/>
          <w:szCs w:val="16"/>
        </w:rPr>
        <w:softHyphen/>
        <w:t>kou řádkovou pákou, s ele</w:t>
      </w:r>
      <w:r>
        <w:rPr>
          <w:b/>
          <w:bCs/>
          <w:sz w:val="16"/>
          <w:szCs w:val="16"/>
        </w:rPr>
        <w:softHyphen/>
        <w:t>gantním kufříkem</w:t>
      </w:r>
    </w:p>
    <w:p w:rsidR="00500724" w:rsidRDefault="00F30FB8">
      <w:pPr>
        <w:pStyle w:val="Nadpis110"/>
        <w:shd w:val="clear" w:color="auto" w:fill="auto"/>
        <w:spacing w:after="140"/>
        <w:ind w:right="200"/>
        <w:jc w:val="right"/>
      </w:pPr>
      <w:bookmarkStart w:id="559" w:name="bookmark558"/>
      <w:r>
        <w:rPr>
          <w:u w:val="single"/>
        </w:rPr>
        <w:t>JEN K 1390-</w:t>
      </w:r>
      <w:bookmarkEnd w:id="559"/>
    </w:p>
    <w:p w:rsidR="00500724" w:rsidRDefault="00F30FB8">
      <w:pPr>
        <w:pStyle w:val="Zkladntext40"/>
        <w:shd w:val="clear" w:color="auto" w:fill="auto"/>
        <w:spacing w:after="140" w:line="262" w:lineRule="auto"/>
        <w:ind w:right="200"/>
        <w:jc w:val="right"/>
      </w:pPr>
      <w:r>
        <w:rPr>
          <w:b/>
          <w:bCs/>
        </w:rPr>
        <w:t>Žádejte předvedeni dalších modelů.</w:t>
      </w:r>
    </w:p>
    <w:p w:rsidR="00500724" w:rsidRDefault="00F30FB8">
      <w:pPr>
        <w:pStyle w:val="Jin0"/>
        <w:shd w:val="clear" w:color="auto" w:fill="auto"/>
        <w:ind w:right="200" w:firstLine="0"/>
        <w:jc w:val="right"/>
        <w:rPr>
          <w:sz w:val="40"/>
          <w:szCs w:val="40"/>
        </w:rPr>
      </w:pPr>
      <w:r>
        <w:rPr>
          <w:rFonts w:ascii="Arial" w:eastAsia="Arial" w:hAnsi="Arial" w:cs="Arial"/>
          <w:b/>
          <w:bCs/>
          <w:w w:val="60"/>
          <w:sz w:val="40"/>
          <w:szCs w:val="40"/>
        </w:rPr>
        <w:t>CHOCHOLA A SPOL.,</w:t>
      </w:r>
    </w:p>
    <w:p w:rsidR="00500724" w:rsidRDefault="00F30FB8">
      <w:pPr>
        <w:pStyle w:val="Zkladntext50"/>
        <w:shd w:val="clear" w:color="auto" w:fill="auto"/>
        <w:spacing w:after="440" w:line="240" w:lineRule="auto"/>
        <w:ind w:left="0" w:right="200"/>
        <w:jc w:val="right"/>
        <w:rPr>
          <w:sz w:val="16"/>
          <w:szCs w:val="16"/>
        </w:rPr>
      </w:pPr>
      <w:r>
        <w:rPr>
          <w:b/>
          <w:bCs/>
          <w:sz w:val="16"/>
          <w:szCs w:val="16"/>
        </w:rPr>
        <w:t xml:space="preserve">PRAHA, </w:t>
      </w:r>
      <w:r>
        <w:rPr>
          <w:b/>
          <w:bCs/>
          <w:sz w:val="16"/>
          <w:szCs w:val="16"/>
        </w:rPr>
        <w:t>Václavská n. 25, v pasáži</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60"/>
        <w:jc w:val="center"/>
      </w:pPr>
      <w:bookmarkStart w:id="560" w:name="bookmark559"/>
      <w:r>
        <w:rPr>
          <w:color w:val="FFFFFF"/>
        </w:rPr>
        <w:t>VAS VKUS I NÁROKY USPOKOJÍ</w:t>
      </w:r>
      <w:bookmarkEnd w:id="560"/>
    </w:p>
    <w:p w:rsidR="00500724" w:rsidRDefault="00F30FB8">
      <w:pPr>
        <w:spacing w:line="1" w:lineRule="exact"/>
        <w:rPr>
          <w:sz w:val="2"/>
          <w:szCs w:val="2"/>
        </w:rPr>
      </w:pPr>
      <w:r>
        <w:br w:type="column"/>
      </w:r>
    </w:p>
    <w:p w:rsidR="00500724" w:rsidRDefault="00F30FB8">
      <w:pPr>
        <w:pStyle w:val="Nadpis80"/>
        <w:keepNext/>
        <w:keepLines/>
        <w:pBdr>
          <w:bottom w:val="single" w:sz="4" w:space="0" w:color="auto"/>
        </w:pBdr>
        <w:shd w:val="clear" w:color="auto" w:fill="auto"/>
        <w:spacing w:after="420" w:line="401" w:lineRule="auto"/>
        <w:ind w:left="260" w:right="260" w:hanging="260"/>
        <w:jc w:val="both"/>
      </w:pPr>
      <w:bookmarkStart w:id="561" w:name="bookmark560"/>
      <w:r>
        <w:rPr>
          <w:rFonts w:ascii="Arial" w:eastAsia="Arial" w:hAnsi="Arial" w:cs="Arial"/>
          <w:u w:val="none"/>
        </w:rPr>
        <w:t>e výrobky vlastní družstevní výroby</w:t>
      </w:r>
      <w:bookmarkEnd w:id="561"/>
    </w:p>
    <w:p w:rsidR="00500724" w:rsidRDefault="00F30FB8">
      <w:pPr>
        <w:pStyle w:val="Jin0"/>
        <w:shd w:val="clear" w:color="auto" w:fill="auto"/>
        <w:ind w:firstLine="0"/>
        <w:jc w:val="left"/>
        <w:rPr>
          <w:sz w:val="46"/>
          <w:szCs w:val="46"/>
        </w:rPr>
      </w:pPr>
      <w:r>
        <w:rPr>
          <w:rFonts w:ascii="Arial" w:eastAsia="Arial" w:hAnsi="Arial" w:cs="Arial"/>
          <w:b/>
          <w:bCs/>
          <w:smallCaps/>
          <w:sz w:val="46"/>
          <w:szCs w:val="46"/>
        </w:rPr>
        <w:t>Nové</w:t>
      </w:r>
      <w:r>
        <w:rPr>
          <w:rFonts w:ascii="Arial" w:eastAsia="Arial" w:hAnsi="Arial" w:cs="Arial"/>
          <w:b/>
          <w:bCs/>
          <w:sz w:val="46"/>
          <w:szCs w:val="46"/>
        </w:rPr>
        <w:t xml:space="preserve"> knihy politické, hospodářské atd.</w:t>
      </w:r>
    </w:p>
    <w:p w:rsidR="00500724" w:rsidRDefault="00F30FB8">
      <w:pPr>
        <w:pStyle w:val="Zkladntext40"/>
        <w:shd w:val="clear" w:color="auto" w:fill="auto"/>
        <w:spacing w:after="0" w:line="161" w:lineRule="auto"/>
        <w:ind w:left="180" w:right="1180" w:hanging="180"/>
        <w:rPr>
          <w:sz w:val="16"/>
          <w:szCs w:val="16"/>
        </w:rPr>
      </w:pPr>
      <w:r>
        <w:rPr>
          <w:b/>
          <w:bCs/>
        </w:rPr>
        <w:t xml:space="preserve">SVOBODA Emil dr.. </w:t>
      </w:r>
      <w:r>
        <w:rPr>
          <w:b/>
          <w:bCs/>
          <w:sz w:val="16"/>
          <w:szCs w:val="16"/>
        </w:rPr>
        <w:t>Výbor prací z práva ob</w:t>
      </w:r>
      <w:r>
        <w:rPr>
          <w:b/>
          <w:bCs/>
          <w:sz w:val="16"/>
          <w:szCs w:val="16"/>
        </w:rPr>
        <w:softHyphen/>
        <w:t xml:space="preserve">čanského </w:t>
      </w:r>
      <w:r>
        <w:rPr>
          <w:b/>
          <w:bCs/>
        </w:rPr>
        <w:t xml:space="preserve">a </w:t>
      </w:r>
      <w:r>
        <w:rPr>
          <w:b/>
          <w:bCs/>
          <w:sz w:val="16"/>
          <w:szCs w:val="16"/>
        </w:rPr>
        <w:t>z právní filosofie. 24x17 cm, 312 stran</w:t>
      </w:r>
    </w:p>
    <w:p w:rsidR="00500724" w:rsidRDefault="00F30FB8">
      <w:pPr>
        <w:pStyle w:val="Zkladntext40"/>
        <w:shd w:val="clear" w:color="auto" w:fill="auto"/>
        <w:spacing w:after="0" w:line="163" w:lineRule="auto"/>
        <w:ind w:left="180" w:hanging="180"/>
        <w:rPr>
          <w:sz w:val="16"/>
          <w:szCs w:val="16"/>
        </w:rPr>
      </w:pPr>
      <w:r>
        <w:rPr>
          <w:b/>
          <w:bCs/>
          <w:sz w:val="16"/>
          <w:szCs w:val="16"/>
          <w:lang w:val="en-US" w:eastAsia="en-US" w:bidi="en-US"/>
        </w:rPr>
        <w:t xml:space="preserve">SCHMIDT </w:t>
      </w:r>
      <w:r>
        <w:rPr>
          <w:b/>
          <w:bCs/>
          <w:sz w:val="16"/>
          <w:szCs w:val="16"/>
        </w:rPr>
        <w:t xml:space="preserve">Otto dr.. Národy na rozcestí. </w:t>
      </w:r>
      <w:r>
        <w:rPr>
          <w:b/>
          <w:bCs/>
        </w:rPr>
        <w:t>Po</w:t>
      </w:r>
      <w:r>
        <w:rPr>
          <w:b/>
          <w:bCs/>
        </w:rPr>
        <w:softHyphen/>
      </w:r>
      <w:r>
        <w:rPr>
          <w:b/>
          <w:bCs/>
          <w:sz w:val="16"/>
          <w:szCs w:val="16"/>
        </w:rPr>
        <w:t>pulační studie. 20X14 cm, 248 stran</w:t>
      </w:r>
    </w:p>
    <w:p w:rsidR="00500724" w:rsidRDefault="00F30FB8">
      <w:pPr>
        <w:pStyle w:val="Zkladntext40"/>
        <w:shd w:val="clear" w:color="auto" w:fill="auto"/>
        <w:spacing w:after="0" w:line="170" w:lineRule="auto"/>
        <w:ind w:left="180" w:hanging="180"/>
        <w:rPr>
          <w:sz w:val="16"/>
          <w:szCs w:val="16"/>
        </w:rPr>
      </w:pPr>
      <w:r>
        <w:rPr>
          <w:b/>
          <w:bCs/>
          <w:sz w:val="16"/>
          <w:szCs w:val="16"/>
        </w:rPr>
        <w:t>Sborník prací k poctě Šedesátých narozenin Františka Weyra. 26x19 cm, 300 stran</w:t>
      </w:r>
    </w:p>
    <w:p w:rsidR="00500724" w:rsidRDefault="00F30FB8">
      <w:pPr>
        <w:pStyle w:val="Zkladntext40"/>
        <w:shd w:val="clear" w:color="auto" w:fill="auto"/>
        <w:spacing w:after="0" w:line="163" w:lineRule="auto"/>
        <w:ind w:left="180" w:hanging="180"/>
        <w:rPr>
          <w:sz w:val="16"/>
          <w:szCs w:val="16"/>
        </w:rPr>
      </w:pPr>
      <w:r>
        <w:rPr>
          <w:b/>
          <w:bCs/>
          <w:sz w:val="16"/>
          <w:szCs w:val="16"/>
        </w:rPr>
        <w:t>AMICUCCI Ermanno, Nizza e 1’Italla. 24.5X17 cm, 305 stran</w:t>
      </w:r>
    </w:p>
    <w:p w:rsidR="00500724" w:rsidRDefault="00F30FB8">
      <w:pPr>
        <w:pStyle w:val="Zkladntext40"/>
        <w:shd w:val="clear" w:color="auto" w:fill="auto"/>
        <w:spacing w:after="0" w:line="156" w:lineRule="auto"/>
        <w:ind w:left="180" w:hanging="180"/>
        <w:rPr>
          <w:sz w:val="16"/>
          <w:szCs w:val="16"/>
        </w:rPr>
      </w:pPr>
      <w:r>
        <w:rPr>
          <w:b/>
          <w:bCs/>
          <w:sz w:val="16"/>
          <w:szCs w:val="16"/>
        </w:rPr>
        <w:t xml:space="preserve">PANZINI </w:t>
      </w:r>
      <w:r>
        <w:rPr>
          <w:b/>
          <w:bCs/>
          <w:sz w:val="16"/>
          <w:szCs w:val="16"/>
          <w:lang w:val="en-US" w:eastAsia="en-US" w:bidi="en-US"/>
        </w:rPr>
        <w:t xml:space="preserve">Alfredo, </w:t>
      </w:r>
      <w:r>
        <w:rPr>
          <w:b/>
          <w:bCs/>
          <w:sz w:val="16"/>
          <w:szCs w:val="16"/>
        </w:rPr>
        <w:t xml:space="preserve">H eonte dl </w:t>
      </w:r>
      <w:r>
        <w:rPr>
          <w:b/>
          <w:bCs/>
          <w:sz w:val="16"/>
          <w:szCs w:val="16"/>
          <w:lang w:val="en-US" w:eastAsia="en-US" w:bidi="en-US"/>
        </w:rPr>
        <w:t xml:space="preserve">Cavour. </w:t>
      </w:r>
      <w:r>
        <w:rPr>
          <w:b/>
          <w:bCs/>
          <w:sz w:val="16"/>
          <w:szCs w:val="16"/>
        </w:rPr>
        <w:t>19.5X 12.5 cm</w:t>
      </w:r>
      <w:r>
        <w:rPr>
          <w:b/>
          <w:bCs/>
          <w:sz w:val="16"/>
          <w:szCs w:val="16"/>
        </w:rPr>
        <w:t>, 378 stran</w:t>
      </w:r>
    </w:p>
    <w:p w:rsidR="00500724" w:rsidRDefault="00F30FB8">
      <w:pPr>
        <w:pStyle w:val="Zkladntext40"/>
        <w:shd w:val="clear" w:color="auto" w:fill="auto"/>
        <w:spacing w:after="0" w:line="166" w:lineRule="auto"/>
        <w:ind w:left="180" w:hanging="180"/>
        <w:rPr>
          <w:sz w:val="16"/>
          <w:szCs w:val="16"/>
        </w:rPr>
      </w:pPr>
      <w:r>
        <w:rPr>
          <w:b/>
          <w:bCs/>
          <w:lang w:val="en-US" w:eastAsia="en-US" w:bidi="en-US"/>
        </w:rPr>
        <w:t xml:space="preserve">Oil </w:t>
      </w:r>
      <w:r>
        <w:rPr>
          <w:b/>
          <w:bCs/>
        </w:rPr>
        <w:t xml:space="preserve">Annall </w:t>
      </w:r>
      <w:r>
        <w:rPr>
          <w:b/>
          <w:bCs/>
          <w:lang w:val="en-US" w:eastAsia="en-US" w:bidi="en-US"/>
        </w:rPr>
        <w:t xml:space="preserve">del </w:t>
      </w:r>
      <w:r>
        <w:rPr>
          <w:b/>
          <w:bCs/>
        </w:rPr>
        <w:t xml:space="preserve">V </w:t>
      </w:r>
      <w:r>
        <w:rPr>
          <w:b/>
          <w:bCs/>
          <w:lang w:val="en-US" w:eastAsia="en-US" w:bidi="en-US"/>
        </w:rPr>
        <w:t xml:space="preserve">Africa </w:t>
      </w:r>
      <w:r>
        <w:rPr>
          <w:b/>
          <w:bCs/>
        </w:rPr>
        <w:t xml:space="preserve">Italtana. 26X19 cm, </w:t>
      </w:r>
      <w:r>
        <w:rPr>
          <w:b/>
          <w:bCs/>
          <w:sz w:val="16"/>
          <w:szCs w:val="16"/>
        </w:rPr>
        <w:t>414 stran, s mapami, reprodukcemi a dia</w:t>
      </w:r>
      <w:r>
        <w:rPr>
          <w:b/>
          <w:bCs/>
          <w:sz w:val="16"/>
          <w:szCs w:val="16"/>
        </w:rPr>
        <w:softHyphen/>
        <w:t>gramy v textu a se 4 velkými mapami v příloze</w:t>
      </w:r>
    </w:p>
    <w:p w:rsidR="00500724" w:rsidRDefault="00F30FB8">
      <w:pPr>
        <w:pStyle w:val="Nadpis110"/>
        <w:pBdr>
          <w:bottom w:val="single" w:sz="4" w:space="0" w:color="auto"/>
        </w:pBdr>
        <w:shd w:val="clear" w:color="auto" w:fill="auto"/>
        <w:ind w:left="180" w:hanging="180"/>
        <w:jc w:val="both"/>
        <w:sectPr w:rsidR="00500724">
          <w:footnotePr>
            <w:numFmt w:val="chicago"/>
            <w:numRestart w:val="eachPage"/>
          </w:footnotePr>
          <w:type w:val="continuous"/>
          <w:pgSz w:w="11909" w:h="16834"/>
          <w:pgMar w:top="771" w:right="1549" w:bottom="691" w:left="262" w:header="0" w:footer="3" w:gutter="0"/>
          <w:cols w:num="2" w:sep="1" w:space="720" w:equalWidth="0">
            <w:col w:w="5030" w:space="542"/>
            <w:col w:w="4526"/>
          </w:cols>
          <w:noEndnote/>
          <w:docGrid w:linePitch="360"/>
        </w:sectPr>
      </w:pPr>
      <w:bookmarkStart w:id="562" w:name="bookmark561"/>
      <w:r>
        <w:t>F. Topič, knihkupectví, Praha I, Národní 11</w:t>
      </w:r>
      <w:bookmarkEnd w:id="562"/>
    </w:p>
    <w:p w:rsidR="00500724" w:rsidRDefault="00500724">
      <w:pPr>
        <w:spacing w:before="1" w:after="1"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571" w:right="0" w:bottom="892"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934" behindDoc="0" locked="0" layoutInCell="1" allowOverlap="1">
                <wp:simplePos x="0" y="0"/>
                <wp:positionH relativeFrom="page">
                  <wp:posOffset>199390</wp:posOffset>
                </wp:positionH>
                <wp:positionV relativeFrom="paragraph">
                  <wp:posOffset>1261745</wp:posOffset>
                </wp:positionV>
                <wp:extent cx="2719070" cy="1136650"/>
                <wp:effectExtent l="0" t="0" r="0" b="0"/>
                <wp:wrapSquare wrapText="right"/>
                <wp:docPr id="557" name="Shape 557"/>
                <wp:cNvGraphicFramePr/>
                <a:graphic xmlns:a="http://schemas.openxmlformats.org/drawingml/2006/main">
                  <a:graphicData uri="http://schemas.microsoft.com/office/word/2010/wordprocessingShape">
                    <wps:wsp>
                      <wps:cNvSpPr txBox="1"/>
                      <wps:spPr>
                        <a:xfrm>
                          <a:off x="0" y="0"/>
                          <a:ext cx="2719070" cy="1136650"/>
                        </a:xfrm>
                        <a:prstGeom prst="rect">
                          <a:avLst/>
                        </a:prstGeom>
                        <a:noFill/>
                      </wps:spPr>
                      <wps:txbx>
                        <w:txbxContent>
                          <w:p w:rsidR="00500724" w:rsidRDefault="00F30FB8">
                            <w:pPr>
                              <w:pStyle w:val="Jin0"/>
                              <w:shd w:val="clear" w:color="auto" w:fill="auto"/>
                              <w:spacing w:after="260"/>
                              <w:ind w:left="340" w:firstLine="0"/>
                              <w:jc w:val="left"/>
                              <w:rPr>
                                <w:sz w:val="88"/>
                                <w:szCs w:val="88"/>
                              </w:rPr>
                            </w:pPr>
                            <w:r>
                              <w:rPr>
                                <w:sz w:val="88"/>
                                <w:szCs w:val="88"/>
                              </w:rPr>
                              <w:t>ŤflomnosC</w:t>
                            </w:r>
                          </w:p>
                          <w:p w:rsidR="00500724" w:rsidRDefault="00F30FB8">
                            <w:pPr>
                              <w:pStyle w:val="Jin0"/>
                              <w:shd w:val="clear" w:color="auto" w:fill="auto"/>
                              <w:ind w:firstLine="0"/>
                              <w:jc w:val="left"/>
                              <w:rPr>
                                <w:sz w:val="40"/>
                                <w:szCs w:val="40"/>
                              </w:rPr>
                            </w:pPr>
                            <w:r>
                              <w:rPr>
                                <w:rFonts w:ascii="Arial" w:eastAsia="Arial" w:hAnsi="Arial" w:cs="Arial"/>
                                <w:sz w:val="40"/>
                                <w:szCs w:val="40"/>
                              </w:rPr>
                              <w:t>ř í d í Ferd. Peroutka</w:t>
                            </w:r>
                          </w:p>
                        </w:txbxContent>
                      </wps:txbx>
                      <wps:bodyPr lIns="0" tIns="0" rIns="0" bIns="0">
                        <a:spAutoFit/>
                      </wps:bodyPr>
                    </wps:wsp>
                  </a:graphicData>
                </a:graphic>
              </wp:anchor>
            </w:drawing>
          </mc:Choice>
          <mc:Fallback>
            <w:pict>
              <v:shape id="_x0000_s1583" type="#_x0000_t202" style="position:absolute;margin-left:15.699999999999999pt;margin-top:99.349999999999994pt;width:214.09999999999999pt;height:89.5pt;z-index:-125828819;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260" w:line="240" w:lineRule="auto"/>
                        <w:ind w:left="340" w:right="0" w:firstLine="0"/>
                        <w:jc w:val="left"/>
                        <w:rPr>
                          <w:sz w:val="88"/>
                          <w:szCs w:val="88"/>
                        </w:rPr>
                      </w:pPr>
                      <w:r>
                        <w:rPr>
                          <w:color w:val="000000"/>
                          <w:spacing w:val="0"/>
                          <w:w w:val="100"/>
                          <w:position w:val="0"/>
                          <w:sz w:val="88"/>
                          <w:szCs w:val="88"/>
                          <w:shd w:val="clear" w:color="auto" w:fill="auto"/>
                          <w:lang w:val="cs-CZ" w:eastAsia="cs-CZ" w:bidi="cs-CZ"/>
                        </w:rPr>
                        <w:t>ŤflomnosC</w:t>
                      </w:r>
                    </w:p>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 í d í Ferd. Peroutka</w:t>
                      </w:r>
                    </w:p>
                  </w:txbxContent>
                </v:textbox>
                <w10:wrap type="square" side="right" anchorx="page"/>
              </v:shape>
            </w:pict>
          </mc:Fallback>
        </mc:AlternateContent>
      </w:r>
    </w:p>
    <w:p w:rsidR="00500724" w:rsidRDefault="00F30FB8">
      <w:pPr>
        <w:pStyle w:val="Zkladntext1"/>
        <w:shd w:val="clear" w:color="auto" w:fill="auto"/>
        <w:spacing w:after="280" w:line="211" w:lineRule="auto"/>
        <w:ind w:left="560" w:hanging="560"/>
      </w:pPr>
      <w:r>
        <w:rPr>
          <w:b/>
          <w:bCs/>
          <w:sz w:val="20"/>
          <w:szCs w:val="20"/>
        </w:rPr>
        <w:t>P</w:t>
      </w:r>
      <w:r>
        <w:rPr>
          <w:b/>
          <w:bCs/>
          <w:sz w:val="20"/>
          <w:szCs w:val="20"/>
          <w:u w:val="single"/>
        </w:rPr>
        <w:t>RSATÍ</w:t>
      </w:r>
      <w:r>
        <w:rPr>
          <w:b/>
          <w:bCs/>
          <w:sz w:val="20"/>
          <w:szCs w:val="20"/>
        </w:rPr>
        <w:t xml:space="preserve"> PŘÍTOMNOSTI Č. </w:t>
      </w:r>
      <w:r>
        <w:rPr>
          <w:b/>
          <w:bCs/>
        </w:rPr>
        <w:t xml:space="preserve">22: F. PEROUTKA: Když všechno se mění (dokončeni) — MILENA JESENSKÁ: Lidé v Národním souručenství — E. F. Burian: Přiklad Václava Talicha — JAN SKÁLA: Zachraňme český tisk — PAVEL HOFMAN: </w:t>
      </w:r>
      <w:r>
        <w:rPr>
          <w:b/>
          <w:bCs/>
        </w:rPr>
        <w:t xml:space="preserve">Gibraltarský klíč — A. MRÁZ: Ke zrušeni footballového profesionalismu u nás — ZDENĚK SMETÁČEK: Spor o čínské koncese a japonská politika — Praha jako středisko německé kultury — Pokles českého exportu — Francouzské finance — Palestina roste opět v problém </w:t>
      </w:r>
      <w:r>
        <w:rPr>
          <w:b/>
          <w:bCs/>
        </w:rPr>
        <w:t>— Anglo-řecká obchodní smlouva — Opevněni Aalandských ostrovů — Školství samostatného Slovenska — Co je svatováclavská tradice — Družstevnictví — Od</w:t>
      </w:r>
      <w:r>
        <w:rPr>
          <w:b/>
          <w:bCs/>
        </w:rPr>
        <w:softHyphen/>
        <w:t>pověď Hlinkovu gardistovi — Odpověď Slovence — ČTK a sport — Americký filmový průmysl před krisi.</w:t>
      </w:r>
    </w:p>
    <w:p w:rsidR="00500724" w:rsidRDefault="00F30FB8">
      <w:pPr>
        <w:pStyle w:val="Nadpis90"/>
        <w:keepNext/>
        <w:keepLines/>
        <w:shd w:val="clear" w:color="auto" w:fill="auto"/>
        <w:spacing w:after="180"/>
      </w:pPr>
      <w:bookmarkStart w:id="563" w:name="bookmark562"/>
      <w:r>
        <w:rPr>
          <w:u w:val="single"/>
        </w:rPr>
        <w:t>nezávislý</w:t>
      </w:r>
      <w:r>
        <w:rPr>
          <w:u w:val="single"/>
        </w:rPr>
        <w:t xml:space="preserve"> týdeník</w:t>
      </w:r>
      <w:bookmarkEnd w:id="563"/>
    </w:p>
    <w:p w:rsidR="00500724" w:rsidRDefault="00F30FB8">
      <w:pPr>
        <w:pStyle w:val="Zkladntext1"/>
        <w:shd w:val="clear" w:color="auto" w:fill="auto"/>
        <w:spacing w:after="60"/>
        <w:ind w:firstLine="0"/>
        <w:jc w:val="center"/>
        <w:rPr>
          <w:sz w:val="18"/>
          <w:szCs w:val="18"/>
        </w:rPr>
      </w:pPr>
      <w:r>
        <w:rPr>
          <w:b/>
          <w:bCs/>
          <w:sz w:val="18"/>
          <w:szCs w:val="18"/>
        </w:rPr>
        <w:t>vychází ve středu v nakladatelství</w:t>
      </w:r>
      <w:r>
        <w:rPr>
          <w:b/>
          <w:bCs/>
          <w:sz w:val="18"/>
          <w:szCs w:val="18"/>
        </w:rPr>
        <w:br/>
        <w:t>FR. BOROVÝ V PRAZE L, NÁRODNÍ TftlDA IL</w:t>
      </w:r>
    </w:p>
    <w:p w:rsidR="00500724" w:rsidRDefault="00F30FB8">
      <w:pPr>
        <w:pStyle w:val="Zkladntext40"/>
        <w:shd w:val="clear" w:color="auto" w:fill="auto"/>
        <w:spacing w:line="175" w:lineRule="auto"/>
        <w:rPr>
          <w:sz w:val="16"/>
          <w:szCs w:val="16"/>
        </w:rPr>
      </w:pPr>
      <w:r>
        <w:rPr>
          <w:b/>
          <w:bCs/>
          <w:sz w:val="16"/>
          <w:szCs w:val="16"/>
        </w:rPr>
        <w:t>Telefon číslo 390-51 až 54 • Očet poštovní spořitelny číslo 35.622 • Nevy</w:t>
      </w:r>
      <w:r>
        <w:rPr>
          <w:b/>
          <w:bCs/>
          <w:sz w:val="16"/>
          <w:szCs w:val="16"/>
        </w:rPr>
        <w:softHyphen/>
        <w:t>žádané rukopisy se nevracejí • Předplatné na rok K 100.—, na púl roku K 50.—. na čtvrt roku K 25.—</w:t>
      </w:r>
      <w:r>
        <w:rPr>
          <w:b/>
          <w:bCs/>
          <w:sz w:val="16"/>
          <w:szCs w:val="16"/>
        </w:rPr>
        <w:t xml:space="preserve">, lednotlivá čísla K 2.—. </w:t>
      </w:r>
      <w:r>
        <w:rPr>
          <w:b/>
          <w:bCs/>
          <w:sz w:val="16"/>
          <w:szCs w:val="16"/>
          <w:lang w:val="en-US" w:eastAsia="en-US" w:bidi="en-US"/>
        </w:rPr>
        <w:t xml:space="preserve">Pour </w:t>
      </w:r>
      <w:r>
        <w:rPr>
          <w:b/>
          <w:bCs/>
          <w:sz w:val="16"/>
          <w:szCs w:val="16"/>
        </w:rPr>
        <w:t>la Fran</w:t>
      </w:r>
      <w:r>
        <w:rPr>
          <w:b/>
          <w:bCs/>
          <w:sz w:val="16"/>
          <w:szCs w:val="16"/>
        </w:rPr>
        <w:softHyphen/>
        <w:t xml:space="preserve">ce et ses </w:t>
      </w:r>
      <w:r>
        <w:rPr>
          <w:b/>
          <w:bCs/>
          <w:sz w:val="16"/>
          <w:szCs w:val="16"/>
          <w:lang w:val="en-US" w:eastAsia="en-US" w:bidi="en-US"/>
        </w:rPr>
        <w:t xml:space="preserve">Colonies </w:t>
      </w:r>
      <w:r>
        <w:rPr>
          <w:b/>
          <w:bCs/>
          <w:sz w:val="16"/>
          <w:szCs w:val="16"/>
        </w:rPr>
        <w:t>Frs 2.50. • Dohlédací pošt. úřad Brno IL • Novinová sazba povolena v Brně ředitelstvím pošt a telegrafů pod čls. 119.268/nia. • Odpovědný redaktor J. Dlabač.</w:t>
      </w:r>
    </w:p>
    <w:p w:rsidR="00500724" w:rsidRDefault="00F30FB8">
      <w:pPr>
        <w:pStyle w:val="Zkladntext1"/>
        <w:shd w:val="clear" w:color="auto" w:fill="auto"/>
        <w:spacing w:after="120"/>
        <w:ind w:firstLine="0"/>
        <w:jc w:val="center"/>
        <w:rPr>
          <w:sz w:val="18"/>
          <w:szCs w:val="18"/>
        </w:rPr>
      </w:pPr>
      <w:r>
        <w:rPr>
          <w:b/>
          <w:bCs/>
          <w:sz w:val="18"/>
          <w:szCs w:val="18"/>
        </w:rPr>
        <w:t>TISKEM LIDOVÉ TISKÁRNY, BRNO, ČESKÁ 6.</w:t>
      </w:r>
      <w:r>
        <w:br w:type="page"/>
      </w:r>
    </w:p>
    <w:p w:rsidR="00500724" w:rsidRDefault="00F30FB8">
      <w:pPr>
        <w:pStyle w:val="Nadpis60"/>
        <w:keepNext/>
        <w:keepLines/>
        <w:pBdr>
          <w:bottom w:val="single" w:sz="4" w:space="0" w:color="auto"/>
        </w:pBdr>
        <w:shd w:val="clear" w:color="auto" w:fill="auto"/>
        <w:sectPr w:rsidR="00500724">
          <w:footnotePr>
            <w:numFmt w:val="chicago"/>
            <w:numRestart w:val="eachPage"/>
          </w:footnotePr>
          <w:type w:val="continuous"/>
          <w:pgSz w:w="11909" w:h="16834"/>
          <w:pgMar w:top="571" w:right="1038" w:bottom="892" w:left="445" w:header="0" w:footer="3" w:gutter="0"/>
          <w:cols w:space="720"/>
          <w:noEndnote/>
          <w:docGrid w:linePitch="360"/>
        </w:sectPr>
      </w:pPr>
      <w:bookmarkStart w:id="564" w:name="bookmark563"/>
      <w:r>
        <w:t>Přítomnosti</w:t>
      </w:r>
      <w:bookmarkEnd w:id="564"/>
    </w:p>
    <w:p w:rsidR="00500724" w:rsidRDefault="00500724">
      <w:pPr>
        <w:spacing w:line="106" w:lineRule="exact"/>
        <w:rPr>
          <w:sz w:val="9"/>
          <w:szCs w:val="9"/>
        </w:rPr>
      </w:pPr>
    </w:p>
    <w:p w:rsidR="00500724" w:rsidRDefault="00500724">
      <w:pPr>
        <w:spacing w:line="14" w:lineRule="exact"/>
        <w:sectPr w:rsidR="00500724">
          <w:footnotePr>
            <w:numFmt w:val="chicago"/>
            <w:numRestart w:val="eachPage"/>
          </w:footnotePr>
          <w:type w:val="continuous"/>
          <w:pgSz w:w="11909" w:h="16834"/>
          <w:pgMar w:top="1030" w:right="0" w:bottom="892" w:left="0" w:header="0" w:footer="3" w:gutter="0"/>
          <w:cols w:space="720"/>
          <w:noEndnote/>
          <w:docGrid w:linePitch="360"/>
        </w:sectPr>
      </w:pPr>
    </w:p>
    <w:p w:rsidR="00500724" w:rsidRDefault="00500724">
      <w:pPr>
        <w:spacing w:after="644" w:line="14" w:lineRule="exact"/>
      </w:pPr>
    </w:p>
    <w:p w:rsidR="00500724" w:rsidRDefault="00500724">
      <w:pPr>
        <w:spacing w:line="14" w:lineRule="exact"/>
        <w:sectPr w:rsidR="00500724">
          <w:footnotePr>
            <w:numFmt w:val="chicago"/>
            <w:numRestart w:val="eachPage"/>
          </w:footnotePr>
          <w:type w:val="continuous"/>
          <w:pgSz w:w="11909" w:h="16834"/>
          <w:pgMar w:top="1030" w:right="891" w:bottom="892" w:left="713" w:header="0" w:footer="3" w:gutter="0"/>
          <w:cols w:space="720"/>
          <w:noEndnote/>
          <w:docGrid w:linePitch="360"/>
        </w:sectPr>
      </w:pPr>
    </w:p>
    <w:p w:rsidR="00500724" w:rsidRDefault="00F30FB8">
      <w:pPr>
        <w:spacing w:line="14" w:lineRule="exact"/>
      </w:pPr>
      <w:r>
        <w:rPr>
          <w:noProof/>
        </w:rPr>
        <mc:AlternateContent>
          <mc:Choice Requires="wps">
            <w:drawing>
              <wp:anchor distT="0" distB="0" distL="12700" distR="12700" simplePos="0" relativeHeight="125829936" behindDoc="0" locked="0" layoutInCell="1" allowOverlap="1">
                <wp:simplePos x="0" y="0"/>
                <wp:positionH relativeFrom="page">
                  <wp:posOffset>3630930</wp:posOffset>
                </wp:positionH>
                <wp:positionV relativeFrom="paragraph">
                  <wp:posOffset>4815840</wp:posOffset>
                </wp:positionV>
                <wp:extent cx="3212465" cy="582295"/>
                <wp:effectExtent l="0" t="0" r="0" b="0"/>
                <wp:wrapTopAndBottom/>
                <wp:docPr id="559" name="Shape 559"/>
                <wp:cNvGraphicFramePr/>
                <a:graphic xmlns:a="http://schemas.openxmlformats.org/drawingml/2006/main">
                  <a:graphicData uri="http://schemas.microsoft.com/office/word/2010/wordprocessingShape">
                    <wps:wsp>
                      <wps:cNvSpPr txBox="1"/>
                      <wps:spPr>
                        <a:xfrm>
                          <a:off x="0" y="0"/>
                          <a:ext cx="3212465" cy="582295"/>
                        </a:xfrm>
                        <a:prstGeom prst="rect">
                          <a:avLst/>
                        </a:prstGeom>
                        <a:noFill/>
                      </wps:spPr>
                      <wps:txbx>
                        <w:txbxContent>
                          <w:p w:rsidR="00500724" w:rsidRDefault="00F30FB8">
                            <w:pPr>
                              <w:pStyle w:val="Zkladntext30"/>
                              <w:shd w:val="clear" w:color="auto" w:fill="auto"/>
                              <w:spacing w:after="0" w:line="202" w:lineRule="auto"/>
                            </w:pPr>
                            <w:r>
                              <w:t>Kdyby byla německá střední Evropa zůstala země</w:t>
                            </w:r>
                            <w:r>
                              <w:softHyphen/>
                              <w:t xml:space="preserve">dělská, jako Rusko, a nepustila se s Anglií do zápasu o světové trhy a o světová moře, nikdo by si byl </w:t>
                            </w:r>
                            <w:r>
                              <w:rPr>
                                <w:b/>
                                <w:bCs/>
                              </w:rPr>
                              <w:t xml:space="preserve">v </w:t>
                            </w:r>
                            <w:r>
                              <w:t>Anglii nevzpomenul na »potlačované národy«.</w:t>
                            </w:r>
                          </w:p>
                        </w:txbxContent>
                      </wps:txbx>
                      <wps:bodyPr lIns="0" tIns="0" rIns="0" bIns="0">
                        <a:spAutoFit/>
                      </wps:bodyPr>
                    </wps:wsp>
                  </a:graphicData>
                </a:graphic>
              </wp:anchor>
            </w:drawing>
          </mc:Choice>
          <mc:Fallback>
            <w:pict>
              <v:shape id="_x0000_s1585" type="#_x0000_t202" style="position:absolute;margin-left:285.89999999999998pt;margin-top:379.19999999999999pt;width:252.94999999999999pt;height:45.850000000000001pt;z-index:-125828817;mso-wrap-distance-left:1.pt;mso-wrap-distance-right:1.pt;mso-position-horizontal-relative:page" filled="f" stroked="f">
                <v:textbox style="mso-fit-shape-to-text:t" inset="0,0,0,0">
                  <w:txbxContent>
                    <w:p>
                      <w:pPr>
                        <w:pStyle w:val="Style22"/>
                        <w:keepNext w:val="0"/>
                        <w:keepLines w:val="0"/>
                        <w:widowControl w:val="0"/>
                        <w:shd w:val="clear" w:color="auto" w:fill="auto"/>
                        <w:bidi w:val="0"/>
                        <w:spacing w:before="0" w:after="0" w:line="202" w:lineRule="auto"/>
                        <w:ind w:left="0" w:right="0"/>
                      </w:pPr>
                      <w:r>
                        <w:rPr>
                          <w:color w:val="000000"/>
                          <w:spacing w:val="0"/>
                          <w:w w:val="100"/>
                          <w:position w:val="0"/>
                          <w:shd w:val="clear" w:color="auto" w:fill="auto"/>
                          <w:lang w:val="cs-CZ" w:eastAsia="cs-CZ" w:bidi="cs-CZ"/>
                        </w:rPr>
                        <w:t>Kdyby byla německá střední Evropa zůstala země</w:t>
                        <w:softHyphen/>
                        <w:t xml:space="preserve">dělská, jako Rusko, a nepustila se s Anglií do zápasu o světové trhy a o světová moře, nikdo by si byl </w:t>
                      </w:r>
                      <w:r>
                        <w:rPr>
                          <w:b/>
                          <w:bCs/>
                          <w:color w:val="000000"/>
                          <w:spacing w:val="0"/>
                          <w:w w:val="100"/>
                          <w:position w:val="0"/>
                          <w:shd w:val="clear" w:color="auto" w:fill="auto"/>
                          <w:lang w:val="cs-CZ" w:eastAsia="cs-CZ" w:bidi="cs-CZ"/>
                        </w:rPr>
                        <w:t xml:space="preserve">v </w:t>
                      </w:r>
                      <w:r>
                        <w:rPr>
                          <w:color w:val="000000"/>
                          <w:spacing w:val="0"/>
                          <w:w w:val="100"/>
                          <w:position w:val="0"/>
                          <w:shd w:val="clear" w:color="auto" w:fill="auto"/>
                          <w:lang w:val="cs-CZ" w:eastAsia="cs-CZ" w:bidi="cs-CZ"/>
                        </w:rPr>
                        <w:t>Anglii nevzpomenul na »potlačované národy«.</w:t>
                      </w:r>
                    </w:p>
                  </w:txbxContent>
                </v:textbox>
                <w10:wrap type="topAndBottom" anchorx="page"/>
              </v:shape>
            </w:pict>
          </mc:Fallback>
        </mc:AlternateContent>
      </w:r>
      <w:r>
        <w:rPr>
          <w:noProof/>
        </w:rPr>
        <mc:AlternateContent>
          <mc:Choice Requires="wps">
            <w:drawing>
              <wp:anchor distT="0" distB="0" distL="63500" distR="63500" simplePos="0" relativeHeight="125829938" behindDoc="0" locked="0" layoutInCell="1" allowOverlap="1">
                <wp:simplePos x="0" y="0"/>
                <wp:positionH relativeFrom="page">
                  <wp:posOffset>3670300</wp:posOffset>
                </wp:positionH>
                <wp:positionV relativeFrom="paragraph">
                  <wp:posOffset>6422390</wp:posOffset>
                </wp:positionV>
                <wp:extent cx="944880" cy="389890"/>
                <wp:effectExtent l="0" t="0" r="0" b="0"/>
                <wp:wrapSquare wrapText="right"/>
                <wp:docPr id="561" name="Shape 561"/>
                <wp:cNvGraphicFramePr/>
                <a:graphic xmlns:a="http://schemas.openxmlformats.org/drawingml/2006/main">
                  <a:graphicData uri="http://schemas.microsoft.com/office/word/2010/wordprocessingShape">
                    <wps:wsp>
                      <wps:cNvSpPr txBox="1"/>
                      <wps:spPr>
                        <a:xfrm>
                          <a:off x="0" y="0"/>
                          <a:ext cx="944880" cy="389890"/>
                        </a:xfrm>
                        <a:prstGeom prst="rect">
                          <a:avLst/>
                        </a:prstGeom>
                        <a:noFill/>
                      </wps:spPr>
                      <wps:txbx>
                        <w:txbxContent>
                          <w:p w:rsidR="00500724" w:rsidRDefault="00F30FB8">
                            <w:pPr>
                              <w:pStyle w:val="Zkladntext30"/>
                              <w:shd w:val="clear" w:color="auto" w:fill="auto"/>
                              <w:spacing w:after="0" w:line="202" w:lineRule="auto"/>
                              <w:ind w:firstLine="0"/>
                              <w:rPr>
                                <w:sz w:val="20"/>
                                <w:szCs w:val="20"/>
                              </w:rPr>
                            </w:pPr>
                            <w:r>
                              <w:rPr>
                                <w:sz w:val="20"/>
                                <w:szCs w:val="20"/>
                              </w:rPr>
                              <w:t>železné rudy . , surového železa</w:t>
                            </w:r>
                          </w:p>
                          <w:p w:rsidR="00500724" w:rsidRDefault="00F30FB8">
                            <w:pPr>
                              <w:pStyle w:val="Zkladntext30"/>
                              <w:shd w:val="clear" w:color="auto" w:fill="auto"/>
                              <w:spacing w:after="0" w:line="202" w:lineRule="auto"/>
                              <w:ind w:firstLine="0"/>
                              <w:rPr>
                                <w:sz w:val="20"/>
                                <w:szCs w:val="20"/>
                              </w:rPr>
                            </w:pPr>
                            <w:r>
                              <w:rPr>
                                <w:sz w:val="20"/>
                                <w:szCs w:val="20"/>
                              </w:rPr>
                              <w:t>oceli . . . . .</w:t>
                            </w:r>
                          </w:p>
                        </w:txbxContent>
                      </wps:txbx>
                      <wps:bodyPr lIns="0" tIns="0" rIns="0" bIns="0">
                        <a:spAutoFit/>
                      </wps:bodyPr>
                    </wps:wsp>
                  </a:graphicData>
                </a:graphic>
              </wp:anchor>
            </w:drawing>
          </mc:Choice>
          <mc:Fallback>
            <w:pict>
              <v:shape id="_x0000_s1587" type="#_x0000_t202" style="position:absolute;margin-left:289.pt;margin-top:505.69999999999999pt;width:74.400000000000006pt;height:30.699999999999999pt;z-index:-125828815;mso-wrap-distance-left:5.pt;mso-wrap-distance-right:5.pt;mso-position-horizontal-relative:page" filled="f" stroked="f">
                <v:textbox style="mso-fit-shape-to-text:t" inset="0,0,0,0">
                  <w:txbxContent>
                    <w:p>
                      <w:pPr>
                        <w:pStyle w:val="Style22"/>
                        <w:keepNext w:val="0"/>
                        <w:keepLines w:val="0"/>
                        <w:widowControl w:val="0"/>
                        <w:shd w:val="clear" w:color="auto" w:fill="auto"/>
                        <w:bidi w:val="0"/>
                        <w:spacing w:before="0" w:after="0" w:line="202" w:lineRule="auto"/>
                        <w:ind w:left="0" w:right="0" w:firstLine="0"/>
                        <w:rPr>
                          <w:sz w:val="20"/>
                          <w:szCs w:val="20"/>
                        </w:rPr>
                      </w:pPr>
                      <w:r>
                        <w:rPr>
                          <w:color w:val="000000"/>
                          <w:spacing w:val="0"/>
                          <w:w w:val="100"/>
                          <w:position w:val="0"/>
                          <w:sz w:val="20"/>
                          <w:szCs w:val="20"/>
                          <w:shd w:val="clear" w:color="auto" w:fill="auto"/>
                          <w:lang w:val="cs-CZ" w:eastAsia="cs-CZ" w:bidi="cs-CZ"/>
                        </w:rPr>
                        <w:t>železné rudy . , surového železa</w:t>
                      </w:r>
                    </w:p>
                    <w:p>
                      <w:pPr>
                        <w:pStyle w:val="Style22"/>
                        <w:keepNext w:val="0"/>
                        <w:keepLines w:val="0"/>
                        <w:widowControl w:val="0"/>
                        <w:shd w:val="clear" w:color="auto" w:fill="auto"/>
                        <w:bidi w:val="0"/>
                        <w:spacing w:before="0" w:after="0" w:line="202" w:lineRule="auto"/>
                        <w:ind w:left="0" w:right="0" w:firstLine="0"/>
                        <w:rPr>
                          <w:sz w:val="20"/>
                          <w:szCs w:val="20"/>
                        </w:rPr>
                      </w:pPr>
                      <w:r>
                        <w:rPr>
                          <w:color w:val="000000"/>
                          <w:spacing w:val="0"/>
                          <w:w w:val="100"/>
                          <w:position w:val="0"/>
                          <w:sz w:val="20"/>
                          <w:szCs w:val="20"/>
                          <w:shd w:val="clear" w:color="auto" w:fill="auto"/>
                          <w:lang w:val="cs-CZ" w:eastAsia="cs-CZ" w:bidi="cs-CZ"/>
                        </w:rPr>
                        <w:t>oceli . . . . .</w:t>
                      </w:r>
                    </w:p>
                  </w:txbxContent>
                </v:textbox>
                <w10:wrap type="square" side="right" anchorx="page"/>
              </v:shape>
            </w:pict>
          </mc:Fallback>
        </mc:AlternateContent>
      </w:r>
      <w:r>
        <w:rPr>
          <w:noProof/>
        </w:rPr>
        <mc:AlternateContent>
          <mc:Choice Requires="wps">
            <w:drawing>
              <wp:anchor distT="0" distB="0" distL="114300" distR="114300" simplePos="0" relativeHeight="125829940" behindDoc="0" locked="0" layoutInCell="1" allowOverlap="1">
                <wp:simplePos x="0" y="0"/>
                <wp:positionH relativeFrom="page">
                  <wp:posOffset>6090920</wp:posOffset>
                </wp:positionH>
                <wp:positionV relativeFrom="paragraph">
                  <wp:posOffset>6400800</wp:posOffset>
                </wp:positionV>
                <wp:extent cx="768350" cy="387350"/>
                <wp:effectExtent l="0" t="0" r="0" b="0"/>
                <wp:wrapSquare wrapText="left"/>
                <wp:docPr id="563" name="Shape 563"/>
                <wp:cNvGraphicFramePr/>
                <a:graphic xmlns:a="http://schemas.openxmlformats.org/drawingml/2006/main">
                  <a:graphicData uri="http://schemas.microsoft.com/office/word/2010/wordprocessingShape">
                    <wps:wsp>
                      <wps:cNvSpPr txBox="1"/>
                      <wps:spPr>
                        <a:xfrm>
                          <a:off x="0" y="0"/>
                          <a:ext cx="768350" cy="387350"/>
                        </a:xfrm>
                        <a:prstGeom prst="rect">
                          <a:avLst/>
                        </a:prstGeom>
                        <a:noFill/>
                      </wps:spPr>
                      <wps:txbx>
                        <w:txbxContent>
                          <w:p w:rsidR="00500724" w:rsidRDefault="00F30FB8">
                            <w:pPr>
                              <w:pStyle w:val="Zkladntext1"/>
                              <w:shd w:val="clear" w:color="auto" w:fill="auto"/>
                              <w:spacing w:line="194" w:lineRule="auto"/>
                              <w:ind w:firstLine="0"/>
                              <w:jc w:val="left"/>
                              <w:rPr>
                                <w:sz w:val="20"/>
                                <w:szCs w:val="20"/>
                              </w:rPr>
                            </w:pPr>
                            <w:r>
                              <w:rPr>
                                <w:sz w:val="20"/>
                                <w:szCs w:val="20"/>
                              </w:rPr>
                              <w:t>21,918.000 tun</w:t>
                            </w:r>
                          </w:p>
                          <w:p w:rsidR="00500724" w:rsidRDefault="00F30FB8">
                            <w:pPr>
                              <w:pStyle w:val="Zkladntext1"/>
                              <w:shd w:val="clear" w:color="auto" w:fill="auto"/>
                              <w:spacing w:line="194" w:lineRule="auto"/>
                              <w:ind w:firstLine="0"/>
                              <w:rPr>
                                <w:sz w:val="20"/>
                                <w:szCs w:val="20"/>
                              </w:rPr>
                            </w:pPr>
                            <w:r>
                              <w:rPr>
                                <w:sz w:val="20"/>
                                <w:szCs w:val="20"/>
                              </w:rPr>
                              <w:t>5,207.000 tun 4,687.000 tun</w:t>
                            </w:r>
                          </w:p>
                        </w:txbxContent>
                      </wps:txbx>
                      <wps:bodyPr lIns="0" tIns="0" rIns="0" bIns="0">
                        <a:spAutoFit/>
                      </wps:bodyPr>
                    </wps:wsp>
                  </a:graphicData>
                </a:graphic>
              </wp:anchor>
            </w:drawing>
          </mc:Choice>
          <mc:Fallback>
            <w:pict>
              <v:shape id="_x0000_s1589" type="#_x0000_t202" style="position:absolute;margin-left:479.60000000000002pt;margin-top:504.pt;width:60.5pt;height:30.5pt;z-index:-125828813;mso-wrap-distance-left:9.pt;mso-wrap-distance-right:9.pt;mso-position-horizontal-relative:page" filled="f" stroked="f">
                <v:textbox style="mso-fit-shape-to-text:t" inset="0,0,0,0">
                  <w:txbxContent>
                    <w:p>
                      <w:pPr>
                        <w:pStyle w:val="Style18"/>
                        <w:keepNext w:val="0"/>
                        <w:keepLines w:val="0"/>
                        <w:widowControl w:val="0"/>
                        <w:shd w:val="clear" w:color="auto" w:fill="auto"/>
                        <w:bidi w:val="0"/>
                        <w:spacing w:before="0" w:after="0" w:line="194" w:lineRule="auto"/>
                        <w:ind w:left="0" w:right="0" w:firstLine="0"/>
                        <w:jc w:val="left"/>
                        <w:rPr>
                          <w:sz w:val="20"/>
                          <w:szCs w:val="20"/>
                        </w:rPr>
                      </w:pPr>
                      <w:r>
                        <w:rPr>
                          <w:color w:val="000000"/>
                          <w:spacing w:val="0"/>
                          <w:w w:val="100"/>
                          <w:position w:val="0"/>
                          <w:sz w:val="20"/>
                          <w:szCs w:val="20"/>
                          <w:shd w:val="clear" w:color="auto" w:fill="auto"/>
                          <w:lang w:val="cs-CZ" w:eastAsia="cs-CZ" w:bidi="cs-CZ"/>
                        </w:rPr>
                        <w:t>21,918.000 tun</w:t>
                      </w:r>
                    </w:p>
                    <w:p>
                      <w:pPr>
                        <w:pStyle w:val="Style18"/>
                        <w:keepNext w:val="0"/>
                        <w:keepLines w:val="0"/>
                        <w:widowControl w:val="0"/>
                        <w:shd w:val="clear" w:color="auto" w:fill="auto"/>
                        <w:bidi w:val="0"/>
                        <w:spacing w:before="0" w:after="0" w:line="194" w:lineRule="auto"/>
                        <w:ind w:left="0" w:right="0" w:firstLine="0"/>
                        <w:rPr>
                          <w:sz w:val="20"/>
                          <w:szCs w:val="20"/>
                        </w:rPr>
                      </w:pPr>
                      <w:r>
                        <w:rPr>
                          <w:color w:val="000000"/>
                          <w:spacing w:val="0"/>
                          <w:w w:val="100"/>
                          <w:position w:val="0"/>
                          <w:sz w:val="20"/>
                          <w:szCs w:val="20"/>
                          <w:shd w:val="clear" w:color="auto" w:fill="auto"/>
                          <w:lang w:val="cs-CZ" w:eastAsia="cs-CZ" w:bidi="cs-CZ"/>
                        </w:rPr>
                        <w:t>5,207.000 tun 4,687.000 tun</w:t>
                      </w:r>
                    </w:p>
                  </w:txbxContent>
                </v:textbox>
                <w10:wrap type="square" side="left" anchorx="page"/>
              </v:shape>
            </w:pict>
          </mc:Fallback>
        </mc:AlternateContent>
      </w:r>
    </w:p>
    <w:p w:rsidR="00500724" w:rsidRDefault="00F30FB8">
      <w:pPr>
        <w:pStyle w:val="Nadpis100"/>
        <w:shd w:val="clear" w:color="auto" w:fill="auto"/>
        <w:spacing w:line="240" w:lineRule="auto"/>
      </w:pPr>
      <w:bookmarkStart w:id="565" w:name="bookmark564"/>
      <w:r>
        <w:t>Rozhovor se skutečností</w:t>
      </w:r>
      <w:bookmarkEnd w:id="565"/>
    </w:p>
    <w:p w:rsidR="00500724" w:rsidRDefault="00F30FB8">
      <w:pPr>
        <w:pStyle w:val="Zkladntext30"/>
        <w:shd w:val="clear" w:color="auto" w:fill="auto"/>
        <w:spacing w:line="202" w:lineRule="auto"/>
        <w:ind w:firstLine="0"/>
      </w:pPr>
      <w:r>
        <w:t>Naskládané cihly místo novostavby</w:t>
      </w:r>
    </w:p>
    <w:p w:rsidR="00500724" w:rsidRDefault="00F30FB8">
      <w:pPr>
        <w:pStyle w:val="Zkladntext30"/>
        <w:framePr w:dropCap="drop" w:lines="2" w:hSpace="24" w:vSpace="24" w:wrap="auto" w:vAnchor="text" w:hAnchor="text"/>
        <w:shd w:val="clear" w:color="auto" w:fill="auto"/>
        <w:spacing w:line="311" w:lineRule="exact"/>
        <w:ind w:firstLine="0"/>
      </w:pPr>
      <w:r>
        <w:rPr>
          <w:position w:val="-7"/>
          <w:sz w:val="46"/>
          <w:szCs w:val="46"/>
        </w:rPr>
        <w:t>N</w:t>
      </w:r>
    </w:p>
    <w:p w:rsidR="00500724" w:rsidRDefault="00F30FB8">
      <w:pPr>
        <w:pStyle w:val="Zkladntext30"/>
        <w:shd w:val="clear" w:color="auto" w:fill="auto"/>
        <w:spacing w:after="0" w:line="202" w:lineRule="auto"/>
        <w:ind w:firstLine="0"/>
      </w:pPr>
      <w:r>
        <w:t xml:space="preserve">ení to lehké sednout nyní za stroj k rozprávce sa </w:t>
      </w:r>
      <w:r>
        <w:t>čtenářem. Znáte ty nekonečné procházky poko</w:t>
      </w:r>
      <w:r>
        <w:softHyphen/>
        <w:t>jem, listování v knihách, kroucení knoflíkem při</w:t>
      </w:r>
      <w:r>
        <w:softHyphen/>
        <w:t>jímače a ty hovory bez konce, hovory do šera úsvitu. Den za dnem se kolébá. Měsíc se plouží za měsícem.</w:t>
      </w:r>
    </w:p>
    <w:p w:rsidR="00500724" w:rsidRDefault="00F30FB8">
      <w:pPr>
        <w:pStyle w:val="Zkladntext30"/>
        <w:shd w:val="clear" w:color="auto" w:fill="auto"/>
        <w:spacing w:after="0" w:line="202" w:lineRule="auto"/>
      </w:pPr>
      <w:r>
        <w:t>A tu je třeba odpovědět jednou jasně a bez vytáček , . . na</w:t>
      </w:r>
      <w:r>
        <w:t xml:space="preserve"> co čekáme a kam míří budouc</w:t>
      </w:r>
      <w:r>
        <w:softHyphen/>
        <w:t>nost. Tento lid nemůže, chce-li žít zdravě a být při tom mocnou pákou středoevropského rozvoje, čekat nic jiného, než co opravdu vývoj slibuje. To všechno, co jsme v posledních letech prožili a co námi tak di</w:t>
      </w:r>
      <w:r>
        <w:softHyphen/>
        <w:t>voce zalomcovalo v</w:t>
      </w:r>
      <w:r>
        <w:t xml:space="preserve"> roce posledním, pocházelo z toho, že jsme žili něčemu, co odporovalo vývoji světa. Když světová válka rozbourala tři staré, ne</w:t>
      </w:r>
      <w:r>
        <w:softHyphen/>
        <w:t>živé monarchie, Rakousko-Uhersko, Rusko a Turecko, a když značně oslabila Německo, zdálo se nám, že bylo vykonáno veliké dílo.</w:t>
      </w:r>
    </w:p>
    <w:p w:rsidR="00500724" w:rsidRDefault="00F30FB8">
      <w:pPr>
        <w:pStyle w:val="Zkladntext30"/>
        <w:shd w:val="clear" w:color="auto" w:fill="auto"/>
        <w:spacing w:after="80" w:line="202" w:lineRule="auto"/>
      </w:pPr>
      <w:r>
        <w:t>S</w:t>
      </w:r>
      <w:r>
        <w:t>kutečnost byla jiná. Rozbourání starých, nepouži- vatelných staveb — to nebyla ani polovina práce, kte</w:t>
      </w:r>
      <w:r>
        <w:softHyphen/>
        <w:t>rá střed a východ Evropy čekala. Radovali jsme se, že cihly od staré malty oklepané a složené pěkně na sebe do vyrovnaných hromad, představují dovršení d</w:t>
      </w:r>
      <w:r>
        <w:t>íla. Takových od staré malty oklepaných cihel bylo na rakouském, ruském a tureckém území pořádná řádka. Každá z těch cihel měla svou státní barvu. Jedna se jmenovala Československo, druhá Sýrie, třetí Turkmenie. Na území carského Ruska vzniklo sedm sovětsk</w:t>
      </w:r>
      <w:r>
        <w:t>ých republik a pět republik středoevrop</w:t>
      </w:r>
      <w:r>
        <w:softHyphen/>
        <w:t>ských (sovětské republiky: ruská, ukrajinská, bělo</w:t>
      </w:r>
      <w:r>
        <w:softHyphen/>
        <w:t xml:space="preserve">ruská, zakavkazská, uzbecká, turkmenská a tadži- kistanská; středoevropské republiky: polská, finská, estonská, lotyšská </w:t>
      </w:r>
      <w:r>
        <w:rPr>
          <w:i/>
          <w:iCs/>
        </w:rPr>
        <w:t>a</w:t>
      </w:r>
      <w:r>
        <w:t xml:space="preserve"> litevská). Na území rakousko- uherském vzn</w:t>
      </w:r>
      <w:r>
        <w:t>ikly tři samostatné státy (Českosloven</w:t>
      </w:r>
      <w:r>
        <w:softHyphen/>
        <w:t>sko, Rakousko a Maďarsko) a zbytek území se při</w:t>
      </w:r>
      <w:r>
        <w:softHyphen/>
        <w:t>pojil k Polsku, Jugoslávii, Itálii a Rumunsku. Z Tu</w:t>
      </w:r>
      <w:r>
        <w:softHyphen/>
        <w:t xml:space="preserve">recka bylo šest samostatných států (Turecko, Sýrie, </w:t>
      </w:r>
      <w:r>
        <w:rPr>
          <w:lang w:val="en-US" w:eastAsia="en-US" w:bidi="en-US"/>
        </w:rPr>
        <w:t xml:space="preserve">Irak, </w:t>
      </w:r>
      <w:r>
        <w:t>Zajordání, Palestina, Arábie). Na území býva</w:t>
      </w:r>
      <w:r>
        <w:softHyphen/>
        <w:t>lého Ruska, Ra</w:t>
      </w:r>
      <w:r>
        <w:t>kousko-Uherska a Turecka v roce 1920 vzniklo tedy jednadvacet samostatných států. Při- počítáme-li k tomu staré státy balkánské: Jugoslávii, Rumunsko, Albánii, Bulharsko a Řecko, bylo to cel</w:t>
      </w:r>
      <w:r>
        <w:softHyphen/>
        <w:t>kem dvacet šest států, z nichž sedm bylo sloučeno ve Svaz sovětsk</w:t>
      </w:r>
      <w:r>
        <w:t>ých socialistických republik. Zbývalo devatenáct států od Severního mysu po Perský záliv, hospodářsky velmi slabých, politicky nevyrovnaných a zcela závislých na svých západních otčímech: Fran</w:t>
      </w:r>
      <w:r>
        <w:softHyphen/>
        <w:t>cii a Anglii. Těchto devatenáct cihel, srovnaných na hromádce o</w:t>
      </w:r>
      <w:r>
        <w:t>d roku 1920, představovalo pou</w:t>
      </w:r>
      <w:r>
        <w:softHyphen/>
        <w:t>ze stavební materiál, ale to nebyla ž á d n á b u d o v a, v níž by se mohl zrodit nový evropský život.</w:t>
      </w:r>
    </w:p>
    <w:p w:rsidR="00500724" w:rsidRDefault="00F30FB8">
      <w:pPr>
        <w:pStyle w:val="Zkladntext30"/>
        <w:shd w:val="clear" w:color="auto" w:fill="auto"/>
        <w:spacing w:line="202" w:lineRule="auto"/>
        <w:ind w:firstLine="0"/>
      </w:pPr>
      <w:r>
        <w:t>Německá střední Evropa už tu byla</w:t>
      </w:r>
    </w:p>
    <w:p w:rsidR="00500724" w:rsidRDefault="00F30FB8">
      <w:pPr>
        <w:pStyle w:val="Zkladntext30"/>
        <w:shd w:val="clear" w:color="auto" w:fill="auto"/>
        <w:spacing w:after="60" w:line="206" w:lineRule="auto"/>
      </w:pPr>
      <w:r>
        <w:t>Před stoletím situace ve střední Evropě byla obrá</w:t>
      </w:r>
      <w:r>
        <w:softHyphen/>
        <w:t>cená. Veliké staveniště představovaly</w:t>
      </w:r>
      <w:r>
        <w:t xml:space="preserve"> dnešní Němec</w:t>
      </w:r>
      <w:r>
        <w:softHyphen/>
        <w:t>ko s Itálií, rozdrobené na desítky samostatných krá</w:t>
      </w:r>
      <w:r>
        <w:softHyphen/>
        <w:t>lovství, vévodství, knižetství a svobodných měst. Ve východní části střední Evropy byly dvě velmoci: Ra</w:t>
      </w:r>
      <w:r>
        <w:softHyphen/>
        <w:t>kousko s Tureckem. Staré staveniště stále udržované v nepořádku francouzskou politikou</w:t>
      </w:r>
      <w:r>
        <w:t xml:space="preserve"> v západní části střední Evropy odstranili </w:t>
      </w:r>
      <w:r>
        <w:rPr>
          <w:lang w:val="en-US" w:eastAsia="en-US" w:bidi="en-US"/>
        </w:rPr>
        <w:t xml:space="preserve">Bismarck </w:t>
      </w:r>
      <w:r>
        <w:t>s Cavourem. Vznikly dvě velmoci: Německo s Itálií, když Prusko, spojené se Sardinií roku 1866 (prvá osa Berlín—Rím) porazily Rakousko a tím se zbavily jeho politického vlivu nad územím německým a italským</w:t>
      </w:r>
      <w:r>
        <w:t>. Z bývalého ředitele středoevropské politiky stala se Vídeň pod</w:t>
      </w:r>
      <w:r>
        <w:softHyphen/>
        <w:t>řízeným německo-italským spojencem. Trojspolek Německo, Rakousko-Uhersko a Itálie, utvořený Bis- marckem roku 1882, těšil se přízni Anglie i Ruska. Neměl žádné loďstvo a proto neohrožoval pan</w:t>
      </w:r>
      <w:r>
        <w:t>ství britské, nepronikal na Balkán a do Malé Asie a proto neznepokojoval Rusko. Brzdil Francii, to bylo příjem</w:t>
      </w:r>
      <w:r>
        <w:softHyphen/>
        <w:t>né Anglii. Na dvacet let vytvořil se tak stav, nazývaný »evropskou rovnováhou«.</w:t>
      </w:r>
    </w:p>
    <w:p w:rsidR="00500724" w:rsidRDefault="00F30FB8">
      <w:pPr>
        <w:pStyle w:val="Zkladntext30"/>
        <w:shd w:val="clear" w:color="auto" w:fill="auto"/>
        <w:spacing w:after="0" w:line="202" w:lineRule="auto"/>
      </w:pPr>
      <w:r>
        <w:t>Střední Evropa pod německým patronátem začala být nepříjemná Angl</w:t>
      </w:r>
      <w:r>
        <w:t>ii, až když k sobě připoutala Tu</w:t>
      </w:r>
      <w:r>
        <w:softHyphen/>
        <w:t>recko a když začala se upevňovat na Balkáně, což ne</w:t>
      </w:r>
      <w:r>
        <w:softHyphen/>
        <w:t xml:space="preserve">rado vidělo také Rusko. Ostře nepřátelsky se však proti ní postavila Anglie, když hrozilo, že v několika letech (do roku 1917) Německo, Rakousko-Uhersko a Itálie mohly na </w:t>
      </w:r>
      <w:r>
        <w:t>moři vážně ohrozit Anglii, která také velmi těžce nesla úspěšnou soutěž německého průmyslu a obchodu nasvětovýchtrzích. Když v Anglii roku 1895 začali studovat příčiny poklesu britského obchodu, komise k tomu účelu sestavená ve své zprávě hlásila: »Německá</w:t>
      </w:r>
      <w:r>
        <w:t xml:space="preserve"> konkurence je stále ci</w:t>
      </w:r>
      <w:r>
        <w:softHyphen/>
        <w:t xml:space="preserve">telnější. Dovedou prodávat a udržet trhy.« V roce 1898 psala </w:t>
      </w:r>
      <w:r>
        <w:rPr>
          <w:lang w:val="en-US" w:eastAsia="en-US" w:bidi="en-US"/>
        </w:rPr>
        <w:t xml:space="preserve">Saturday Review: </w:t>
      </w:r>
      <w:r>
        <w:t>»Národové léta bojovali za jedno město. Nejsme povinni bojovati za roční ob</w:t>
      </w:r>
      <w:r>
        <w:softHyphen/>
        <w:t>chodní obrat 200 milionů liber ?«</w:t>
      </w:r>
    </w:p>
    <w:p w:rsidR="00500724" w:rsidRDefault="00F30FB8">
      <w:pPr>
        <w:pStyle w:val="Zkladntext30"/>
        <w:shd w:val="clear" w:color="auto" w:fill="auto"/>
        <w:spacing w:after="60" w:line="202" w:lineRule="auto"/>
        <w:jc w:val="left"/>
      </w:pPr>
      <w:r>
        <w:t>Poměr Francie k Německu byl dán ztrátou, kte</w:t>
      </w:r>
      <w:r>
        <w:t>rou utrpěla odstoupením Alsaska-Lotrinska Německu. Ne</w:t>
      </w:r>
      <w:r>
        <w:softHyphen/>
        <w:t>šlo tu jen o území velikosti čtvrtiny bývalých Čech, s necelými dvěma miliony obyvatel, nýbrž o v e 1 i k o u ránuhospodářskou. To ukazují číslice.</w:t>
      </w:r>
    </w:p>
    <w:p w:rsidR="00500724" w:rsidRDefault="00F30FB8">
      <w:pPr>
        <w:pStyle w:val="Zkladntext30"/>
        <w:shd w:val="clear" w:color="auto" w:fill="auto"/>
        <w:spacing w:after="0" w:line="202" w:lineRule="auto"/>
      </w:pPr>
      <w:r>
        <w:t>V roce 1913 se vytěžilo a vyrobilo:</w:t>
      </w:r>
    </w:p>
    <w:p w:rsidR="00500724" w:rsidRDefault="00F30FB8">
      <w:pPr>
        <w:pStyle w:val="Zkladntext1"/>
        <w:shd w:val="clear" w:color="auto" w:fill="auto"/>
        <w:spacing w:after="60" w:line="228" w:lineRule="auto"/>
        <w:ind w:firstLine="0"/>
        <w:jc w:val="right"/>
        <w:rPr>
          <w:sz w:val="18"/>
          <w:szCs w:val="18"/>
        </w:rPr>
      </w:pPr>
      <w:r>
        <w:rPr>
          <w:sz w:val="18"/>
          <w:szCs w:val="18"/>
        </w:rPr>
        <w:t xml:space="preserve">V celé Francii </w:t>
      </w:r>
      <w:r>
        <w:rPr>
          <w:sz w:val="18"/>
          <w:szCs w:val="18"/>
        </w:rPr>
        <w:t>pouze v Lotrinsku</w:t>
      </w:r>
    </w:p>
    <w:p w:rsidR="00500724" w:rsidRDefault="00F30FB8">
      <w:pPr>
        <w:pStyle w:val="Zkladntext1"/>
        <w:shd w:val="clear" w:color="auto" w:fill="auto"/>
        <w:tabs>
          <w:tab w:val="left" w:pos="761"/>
        </w:tabs>
        <w:spacing w:line="194" w:lineRule="auto"/>
        <w:ind w:left="240" w:right="200" w:firstLine="20"/>
        <w:rPr>
          <w:sz w:val="20"/>
          <w:szCs w:val="20"/>
        </w:rPr>
      </w:pPr>
      <w:r>
        <w:rPr>
          <w:sz w:val="20"/>
          <w:szCs w:val="20"/>
        </w:rPr>
        <w:t>i , 21,136.000 tun , ,</w:t>
      </w:r>
      <w:r>
        <w:rPr>
          <w:sz w:val="20"/>
          <w:szCs w:val="20"/>
        </w:rPr>
        <w:tab/>
        <w:t>3,864.000 tun</w:t>
      </w:r>
    </w:p>
    <w:p w:rsidR="00500724" w:rsidRDefault="00F30FB8">
      <w:pPr>
        <w:pStyle w:val="Zkladntext1"/>
        <w:shd w:val="clear" w:color="auto" w:fill="auto"/>
        <w:tabs>
          <w:tab w:val="left" w:pos="761"/>
        </w:tabs>
        <w:spacing w:after="60" w:line="194" w:lineRule="auto"/>
        <w:ind w:firstLine="260"/>
        <w:rPr>
          <w:sz w:val="20"/>
          <w:szCs w:val="20"/>
        </w:rPr>
      </w:pPr>
      <w:r>
        <w:rPr>
          <w:sz w:val="20"/>
          <w:szCs w:val="20"/>
        </w:rPr>
        <w:t>, ,</w:t>
      </w:r>
      <w:r>
        <w:rPr>
          <w:sz w:val="20"/>
          <w:szCs w:val="20"/>
        </w:rPr>
        <w:tab/>
        <w:t>2,289.000 tun</w:t>
      </w:r>
    </w:p>
    <w:p w:rsidR="00500724" w:rsidRDefault="00F30FB8">
      <w:pPr>
        <w:pStyle w:val="Zkladntext30"/>
        <w:shd w:val="clear" w:color="auto" w:fill="auto"/>
        <w:spacing w:after="0" w:line="209" w:lineRule="auto"/>
      </w:pPr>
      <w:r>
        <w:t>Návratem Lotrinska k Francii roku 1918 získala tato, vedle Švédská, evropský monopol kvalitní železné rudy.</w:t>
      </w:r>
    </w:p>
    <w:p w:rsidR="00500724" w:rsidRDefault="00F30FB8">
      <w:pPr>
        <w:pStyle w:val="Zkladntext30"/>
        <w:shd w:val="clear" w:color="auto" w:fill="auto"/>
        <w:spacing w:after="0" w:line="209" w:lineRule="auto"/>
      </w:pPr>
      <w:r>
        <w:t xml:space="preserve">Na začátku dvacátého století Anglie tedy nechtěla připustit, aby se Německo stalo světovou velmocí, Francie je nesnášela ani jako vedoucí </w:t>
      </w:r>
      <w:r>
        <w:rPr>
          <w:b/>
          <w:bCs/>
        </w:rPr>
        <w:t>velmoc evropskou.</w:t>
      </w:r>
    </w:p>
    <w:p w:rsidR="00500724" w:rsidRDefault="00F30FB8">
      <w:pPr>
        <w:pStyle w:val="Nadpis110"/>
        <w:shd w:val="clear" w:color="auto" w:fill="auto"/>
        <w:spacing w:line="202" w:lineRule="auto"/>
        <w:jc w:val="center"/>
      </w:pPr>
      <w:bookmarkStart w:id="566" w:name="bookmark565"/>
      <w:r>
        <w:rPr>
          <w:rFonts w:ascii="Times New Roman" w:eastAsia="Times New Roman" w:hAnsi="Times New Roman" w:cs="Times New Roman"/>
        </w:rPr>
        <w:t>Proti ruské pěsti nad Kalkutou</w:t>
      </w:r>
      <w:r>
        <w:rPr>
          <w:rFonts w:ascii="Times New Roman" w:eastAsia="Times New Roman" w:hAnsi="Times New Roman" w:cs="Times New Roman"/>
        </w:rPr>
        <w:br/>
        <w:t>německou pěst</w:t>
      </w:r>
      <w:bookmarkEnd w:id="566"/>
    </w:p>
    <w:p w:rsidR="00500724" w:rsidRDefault="00F30FB8">
      <w:pPr>
        <w:pStyle w:val="Zkladntext30"/>
        <w:shd w:val="clear" w:color="auto" w:fill="auto"/>
        <w:spacing w:after="0" w:line="202" w:lineRule="auto"/>
      </w:pPr>
      <w:r>
        <w:t>Poněvadž Německo bylo ve svém hospodářském a námořním p</w:t>
      </w:r>
      <w:r>
        <w:t>rogramu neústupné, začaly Francie s Anglií jevit zájem o jeho spojence: Rakousko- Uhersko a Itálii. Poněvadž Rakousko-Uhersko odolalo a za světové války nemohlo se odhodlat ani k se</w:t>
      </w:r>
      <w:r>
        <w:softHyphen/>
        <w:t>parátnímu míru, proto v posledních dvou letech vál</w:t>
      </w:r>
      <w:r>
        <w:softHyphen/>
        <w:t xml:space="preserve">ky bylo rozhodnuto, že </w:t>
      </w:r>
      <w:r>
        <w:t>tento státní útvar se zlikviduje, Německo přijde tím o spojence a o most k východu. Poněvadž osamocené a okleštěné Německo nepřed</w:t>
      </w:r>
      <w:r>
        <w:softHyphen/>
        <w:t>stavovalo hlavní evropskou velmoc, byla s tím velmi spokojena Francie. Poněvadž po likvidaci německého válečného loďstva a obs</w:t>
      </w:r>
      <w:r>
        <w:t>azení německých kolonií Ně</w:t>
      </w:r>
      <w:r>
        <w:softHyphen/>
        <w:t>mecko přestalo být mocí koloniální a přišlo o prvky, které by jednou mohly být základem pro jeho moc světovou, Anglie se stala k němu shovívavější, aby ji Francie nakonec nepřerostla v Evropě přes hlavu. Vzrůst moci sovětského Ru</w:t>
      </w:r>
      <w:r>
        <w:t>ska přinutil Anglii k ještě větší toleranci vůči Německu. Potřebovala protiváhu na neutralisaci ruského tlaku do jižní Asie. Tu ne</w:t>
      </w:r>
      <w:r>
        <w:softHyphen/>
        <w:t>mohly obstarat společně Polsko s Rumunskem. Aby Rusové neohrožovali Kalkutu, bylo třeba ohrožovat Moskvu. Na to nestačily síl</w:t>
      </w:r>
      <w:r>
        <w:t>y rumunsko-polské.</w:t>
      </w:r>
    </w:p>
    <w:p w:rsidR="00500724" w:rsidRDefault="00F30FB8">
      <w:pPr>
        <w:pStyle w:val="Zkladntext30"/>
        <w:shd w:val="clear" w:color="auto" w:fill="auto"/>
        <w:spacing w:after="0" w:line="202" w:lineRule="auto"/>
      </w:pPr>
      <w:r>
        <w:t>Když Německo nebude stavět veliké oceánské loď</w:t>
      </w:r>
      <w:r>
        <w:softHyphen/>
        <w:t>stvo, když nebude prahnout po svých koloniích (hlavně těch, co si přisvojili Angličané), když se ne</w:t>
      </w:r>
      <w:r>
        <w:softHyphen/>
        <w:t>bude tlačit do Malé Asie, pak Anglie by nic proti tomu neměla, kdyby se začalo trochu rozp</w:t>
      </w:r>
      <w:r>
        <w:t>ínat ve vý</w:t>
      </w:r>
      <w:r>
        <w:softHyphen/>
        <w:t>chodní části střední Evropy. Prokáže tím Anglii dvě služby rázem: 1. Přinutí Rusko, aby věnovalo větší strategickou pozornost svému evropskému území a přestalo šilhat do jižní Asie, kde Angličané chtějí dále v klidu vybírat daně od třistapadesát</w:t>
      </w:r>
      <w:r>
        <w:t>i milionů Indů. 2. Přinutí Francii, aby hledala oporu u Anglie a vzdala se hegemonie nad západní a střední Evro</w:t>
      </w:r>
      <w:r>
        <w:softHyphen/>
        <w:t>pou. Společná dlouhá hranice německo-ruská připoutá na sebe tři čtvrtiny sil německých a ruských. Tím se značně uvolní tlaky na Rýně, kde zavlád</w:t>
      </w:r>
      <w:r>
        <w:t>ne pak takové strategické bezvětří, jaké bylo na začátku dvacátého století na Pyrenejích. Poměr francouzsko- německý bude se podobat poměru španělsko-fran- couzskému před světovou válkou. Francie se tak ocitne na evropské periferii a Anglie, majíc osláblou</w:t>
      </w:r>
      <w:r>
        <w:t>, všemi opuštěnou Francii v náručí, bude pak vlastně vlád</w:t>
      </w:r>
      <w:r>
        <w:softHyphen/>
        <w:t>nout celé Africe.</w:t>
      </w:r>
    </w:p>
    <w:p w:rsidR="00500724" w:rsidRDefault="00F30FB8">
      <w:pPr>
        <w:pStyle w:val="Zkladntext30"/>
        <w:shd w:val="clear" w:color="auto" w:fill="auto"/>
        <w:spacing w:after="0" w:line="202" w:lineRule="auto"/>
      </w:pPr>
      <w:r>
        <w:t>Tento plán však předpokládal, ževzrůstněmec- kých sil bude provázen současně stou</w:t>
      </w:r>
      <w:r>
        <w:softHyphen/>
        <w:t>páním sil ruských a udržením sil fran</w:t>
      </w:r>
      <w:r>
        <w:softHyphen/>
        <w:t>couzských. Náhlý pokles sil francouzských mohl způsobit obra</w:t>
      </w:r>
      <w:r>
        <w:t>t rostoucího Německa tváří k západu. Stejně nepříjemné mohlo být, kdyby se náhle zhrou</w:t>
      </w:r>
      <w:r>
        <w:softHyphen/>
        <w:t>tily síly Ruska. Aby Anglie nebyla závislá na dobré vůli Německa a Francie, musila si zajistit pomoc Ame</w:t>
      </w:r>
      <w:r>
        <w:softHyphen/>
        <w:t>riky a aby nebyla závislá na Rusku, potřebovala udržet dobré sty</w:t>
      </w:r>
      <w:r>
        <w:t>ky s Japonskem. Kdyby se zcela zhroutilo Německo, znamenalo to pro Anglii Francou</w:t>
      </w:r>
      <w:r>
        <w:softHyphen/>
        <w:t>ze v Egyptě a Rusy v Indii. Kdyby se zhroutilo Rusko, znamenalo to Němcé v Iráku a Japonce v Indii.</w:t>
      </w:r>
    </w:p>
    <w:p w:rsidR="00500724" w:rsidRDefault="00F30FB8">
      <w:pPr>
        <w:pStyle w:val="Zkladntext30"/>
        <w:shd w:val="clear" w:color="auto" w:fill="auto"/>
        <w:spacing w:after="0" w:line="202" w:lineRule="auto"/>
      </w:pPr>
      <w:r>
        <w:t>Tak jako Anglie začala na začátku dvacátého sto</w:t>
      </w:r>
      <w:r>
        <w:softHyphen/>
        <w:t>letí pracovat na nové rovn</w:t>
      </w:r>
      <w:r>
        <w:t>ováze evropské, tak počátkem let třicátých dala se do budování nové rovnováhysvětové, kterou porušilo nepříjemně v Asii svými pětiletkami sovětské Rusko. Nové vzepětí německého národa, které přivodila národně sociální revoluce, přišlo také proto britské po</w:t>
      </w:r>
      <w:r>
        <w:t>litice velmi vhod.</w:t>
      </w:r>
    </w:p>
    <w:p w:rsidR="00500724" w:rsidRDefault="00F30FB8">
      <w:pPr>
        <w:pStyle w:val="Nadpis110"/>
        <w:shd w:val="clear" w:color="auto" w:fill="auto"/>
        <w:spacing w:line="204" w:lineRule="auto"/>
        <w:jc w:val="center"/>
      </w:pPr>
      <w:bookmarkStart w:id="567" w:name="bookmark566"/>
      <w:r>
        <w:rPr>
          <w:rFonts w:ascii="Times New Roman" w:eastAsia="Times New Roman" w:hAnsi="Times New Roman" w:cs="Times New Roman"/>
        </w:rPr>
        <w:t>V Habeši prohrála Francie</w:t>
      </w:r>
      <w:bookmarkEnd w:id="567"/>
    </w:p>
    <w:p w:rsidR="00500724" w:rsidRDefault="00F30FB8">
      <w:pPr>
        <w:pStyle w:val="Zkladntext30"/>
        <w:shd w:val="clear" w:color="auto" w:fill="auto"/>
        <w:spacing w:after="0" w:line="202" w:lineRule="auto"/>
      </w:pPr>
      <w:r>
        <w:t>Nejnepříjemnější by bylo bývalo britské politice, kdyby se střední Evropa rozdělila na jih a sever a postavila Němce proti Italům. To vyhovovalo Francii, která se tím uvolňovala na Rýně. To vyhovovalo Rusku, kte</w:t>
      </w:r>
      <w:r>
        <w:t>ré se tím uvolňovalo v Evropě. To vyhovo</w:t>
      </w:r>
      <w:r>
        <w:softHyphen/>
        <w:t>valo také bývalému Československu, ale nevyhovo</w:t>
      </w:r>
      <w:r>
        <w:softHyphen/>
        <w:t>valo to Anglii, které se pak stávala Francie nepříjem</w:t>
      </w:r>
      <w:r>
        <w:softHyphen/>
        <w:t>nou v západní Evropě (Španělsko) a v Africe a Rusko v Přední a jižní Asii.</w:t>
      </w:r>
    </w:p>
    <w:p w:rsidR="00500724" w:rsidRDefault="00F30FB8">
      <w:pPr>
        <w:pStyle w:val="Zkladntext30"/>
        <w:shd w:val="clear" w:color="auto" w:fill="auto"/>
        <w:spacing w:after="0" w:line="202" w:lineRule="auto"/>
      </w:pPr>
      <w:r>
        <w:t>Pokud svět představoval Evropu, tvrzen</w:t>
      </w:r>
      <w:r>
        <w:t>í Bismar- ckovo, že kdo je pánem Čech, je pánem Evropy, mohlo velmi působit na světovou politiku. Po veliké válce 1914—1918 Evropa přestala být světem. Národ, kte</w:t>
      </w:r>
      <w:r>
        <w:softHyphen/>
        <w:t>rý byl nucen dělat světovou politiku, velmi by pro- hloupil, kdyby se při tom díval jen na ma</w:t>
      </w:r>
      <w:r>
        <w:t>pu Evropy.</w:t>
      </w:r>
    </w:p>
    <w:p w:rsidR="00500724" w:rsidRDefault="00F30FB8">
      <w:pPr>
        <w:pStyle w:val="Zkladntext30"/>
        <w:shd w:val="clear" w:color="auto" w:fill="auto"/>
        <w:spacing w:after="0" w:line="204" w:lineRule="auto"/>
      </w:pPr>
      <w:r>
        <w:t xml:space="preserve">Nejobratnějšími evropskými politiky na rozhraní století devatenáctého </w:t>
      </w:r>
      <w:r>
        <w:rPr>
          <w:i/>
          <w:iCs/>
        </w:rPr>
        <w:t>a</w:t>
      </w:r>
      <w:r>
        <w:t xml:space="preserve"> dvacátého ukázali se Francou</w:t>
      </w:r>
      <w:r>
        <w:softHyphen/>
        <w:t>zové. Francie do války světové byla evropskou vel</w:t>
      </w:r>
      <w:r>
        <w:softHyphen/>
      </w:r>
      <w:r>
        <w:t>mocí. Světovou velmocí se stala na krátko po míru versailleském. Toto své přechodné postavení si však politicky neuvědomovala a proto se dnes také octla na evropské periferii, jak jí to bylo předpověděno roku 1936 v brožuře La valeur stratégique de la Tsch</w:t>
      </w:r>
      <w:r>
        <w:t xml:space="preserve">échoslovaquie </w:t>
      </w:r>
      <w:r>
        <w:rPr>
          <w:lang w:val="en-US" w:eastAsia="en-US" w:bidi="en-US"/>
        </w:rPr>
        <w:t xml:space="preserve">pour </w:t>
      </w:r>
      <w:r>
        <w:t>1’Europe occidentale.</w:t>
      </w:r>
    </w:p>
    <w:p w:rsidR="00500724" w:rsidRDefault="00F30FB8">
      <w:pPr>
        <w:pStyle w:val="Zkladntext30"/>
        <w:shd w:val="clear" w:color="auto" w:fill="auto"/>
        <w:spacing w:after="0" w:line="204" w:lineRule="auto"/>
      </w:pPr>
      <w:r>
        <w:t>Francie vyšla celkem neotřesena ze světové hospo</w:t>
      </w:r>
      <w:r>
        <w:softHyphen/>
        <w:t>dářské krise, která začala roku 1929. Chtěla proto přechodné slabosti Anglie využít, aby se ujala bez britského poručníkování řízení Evropy. Byl to pokus, provedený m</w:t>
      </w:r>
      <w:r>
        <w:t>nohem jemnější formou, než jaké užilo před třiceti léty vilémovské Německo. Tato francouz</w:t>
      </w:r>
      <w:r>
        <w:softHyphen/>
        <w:t>ská politika v roce 1935 vyvrcholila. Evropa byla řízena z Paříže, která měla přátelské a spojenecké smlouvy s republikánským Španělskem, s Itálií, s Ma</w:t>
      </w:r>
      <w:r>
        <w:softHyphen/>
        <w:t>lou dohodou a</w:t>
      </w:r>
      <w:r>
        <w:t xml:space="preserve"> se Sovětským Svazem. Spojené síly francouzsko-italsko-ruské šachovaly Anglii (prozatím zcela diskrétně) na mořích Středozemním a Černém. Proto Anglie okamžitě povolila Německu budování většího loďstva, které by připoutalo loďstvo francouz</w:t>
      </w:r>
      <w:r>
        <w:softHyphen/>
        <w:t>ské v Severním m</w:t>
      </w:r>
      <w:r>
        <w:t>oři a které by vzalo Rusku vládu nad Baltem.</w:t>
      </w:r>
    </w:p>
    <w:p w:rsidR="00500724" w:rsidRDefault="00F30FB8">
      <w:pPr>
        <w:pStyle w:val="Zkladntext30"/>
        <w:shd w:val="clear" w:color="auto" w:fill="auto"/>
        <w:spacing w:after="0" w:line="204" w:lineRule="auto"/>
      </w:pPr>
      <w:r>
        <w:t xml:space="preserve">V té době vojenští spisovatelé britští ukazovali na nebezpečí, které hrozí Londýnu od francouzského letectva, jež do roku 1935 bylo ještě nejmocnějším letectvem světa. Angličané zásadně nikomu nevěří, poněvadž </w:t>
      </w:r>
      <w:r>
        <w:t>příležitost svádí i dobré přátele. Francie za hospodářské krise a za slabé vlády labouristů v Anglii, pokusila se tedy pod svým vedením zorganisovat Evropu. Byl to podnik nad její síly, poněvadž na to nestačily jen poklady z podzemí Francouzské banky.</w:t>
      </w:r>
    </w:p>
    <w:p w:rsidR="00500724" w:rsidRDefault="00F30FB8">
      <w:pPr>
        <w:pStyle w:val="Zkladntext30"/>
        <w:shd w:val="clear" w:color="auto" w:fill="auto"/>
        <w:spacing w:after="0" w:line="204" w:lineRule="auto"/>
      </w:pPr>
      <w:r>
        <w:t>Výpr</w:t>
      </w:r>
      <w:r>
        <w:t>ava Itálie proti Habeši byla vlastně prvým nepřátelským činem francouzské Evropy proti Anglii, která se náhle octla v isolaci, z níž se snažila dostat pomocí Společností národů. Boj Společnosti národů s Itálií byl současně bojem Anglie proti Francii i so</w:t>
      </w:r>
      <w:r>
        <w:softHyphen/>
        <w:t>v</w:t>
      </w:r>
      <w:r>
        <w:t>ětskému Rusku, s nimiž Itálie měla přátelské smlou</w:t>
      </w:r>
      <w:r>
        <w:softHyphen/>
        <w:t>vy (s Ruskem pětiletou smlouvu od roku 1933 a s Francií z ledna 1935).</w:t>
      </w:r>
    </w:p>
    <w:p w:rsidR="00500724" w:rsidRDefault="00F30FB8">
      <w:pPr>
        <w:pStyle w:val="Zkladntext30"/>
        <w:shd w:val="clear" w:color="auto" w:fill="auto"/>
        <w:spacing w:after="0" w:line="228" w:lineRule="auto"/>
      </w:pPr>
      <w:r>
        <w:t>Francie byla naším spojencem, zaručovala nám svou brannou mocí hranice versailleské. Síla Francie byla silou naší, jako její slabost b</w:t>
      </w:r>
      <w:r>
        <w:t>yla také naší slabostí.</w:t>
      </w:r>
    </w:p>
    <w:p w:rsidR="00500724" w:rsidRDefault="00F30FB8">
      <w:pPr>
        <w:pStyle w:val="Zkladntext30"/>
        <w:shd w:val="clear" w:color="auto" w:fill="auto"/>
        <w:spacing w:after="0" w:line="228" w:lineRule="auto"/>
      </w:pPr>
      <w:r>
        <w:rPr>
          <w:b/>
          <w:bCs/>
        </w:rPr>
        <w:t>Boj Anglie s Itálií skončil roku 1936 po</w:t>
      </w:r>
      <w:r>
        <w:rPr>
          <w:b/>
          <w:bCs/>
        </w:rPr>
        <w:softHyphen/>
        <w:t>rážkou Francie, kde na dovršení všeho přišla k veslu vláda Blumová.</w:t>
      </w:r>
    </w:p>
    <w:p w:rsidR="00500724" w:rsidRDefault="00F30FB8">
      <w:pPr>
        <w:pStyle w:val="Nadpis110"/>
        <w:shd w:val="clear" w:color="auto" w:fill="auto"/>
        <w:spacing w:after="40" w:line="202" w:lineRule="auto"/>
        <w:jc w:val="center"/>
      </w:pPr>
      <w:bookmarkStart w:id="568" w:name="bookmark567"/>
      <w:r>
        <w:rPr>
          <w:rFonts w:ascii="Times New Roman" w:eastAsia="Times New Roman" w:hAnsi="Times New Roman" w:cs="Times New Roman"/>
        </w:rPr>
        <w:t>»Nikdy proti Anglii*</w:t>
      </w:r>
      <w:bookmarkEnd w:id="568"/>
    </w:p>
    <w:p w:rsidR="00500724" w:rsidRDefault="00F30FB8">
      <w:pPr>
        <w:pStyle w:val="Zkladntext30"/>
        <w:shd w:val="clear" w:color="auto" w:fill="auto"/>
        <w:spacing w:after="0" w:line="202" w:lineRule="auto"/>
        <w:ind w:firstLine="240"/>
      </w:pPr>
      <w:r>
        <w:t>Vláda lidové fronty představovala řadu protikladů. Postavila Francii ostře proti Itálii a po bok Angli</w:t>
      </w:r>
      <w:r>
        <w:t>e, která se však zatím vyrovnala s Itálií a tak ta Blumo</w:t>
      </w:r>
      <w:r>
        <w:softHyphen/>
        <w:t xml:space="preserve">vá dobrá vůle přišla do Londýna s křížkem po funuse. Francouzská vláda levice však začala nepříjemně svědit Anglii ve Španělsku, kde republikáni, velmi levě zabarvení, pomýšleli na těsné spojenectví </w:t>
      </w:r>
      <w:r>
        <w:t>s Fran</w:t>
      </w:r>
      <w:r>
        <w:softHyphen/>
        <w:t>cií. Zatím Německo obsadilo západní břeh Rýna. Tím vehnalo Francii těsněji k Anglii. Za záruky na Rýně žádala Anglie od Francie »spolupráci« ve věci Špa</w:t>
      </w:r>
      <w:r>
        <w:softHyphen/>
        <w:t>nělska, odkud Anglie potřebovala vyprovodit republi</w:t>
      </w:r>
      <w:r>
        <w:softHyphen/>
        <w:t>kány velmi zavánějící komunismem.</w:t>
      </w:r>
    </w:p>
    <w:p w:rsidR="00500724" w:rsidRDefault="00F30FB8">
      <w:pPr>
        <w:pStyle w:val="Zkladntext30"/>
        <w:shd w:val="clear" w:color="auto" w:fill="auto"/>
        <w:spacing w:after="0" w:line="194" w:lineRule="auto"/>
        <w:ind w:firstLine="240"/>
      </w:pPr>
      <w:r>
        <w:t xml:space="preserve">Poválečná </w:t>
      </w:r>
      <w:r>
        <w:t xml:space="preserve">politika Francie utrpěla prvou porážku </w:t>
      </w:r>
      <w:r>
        <w:rPr>
          <w:b/>
          <w:bCs/>
          <w:sz w:val="26"/>
          <w:szCs w:val="26"/>
        </w:rPr>
        <w:t xml:space="preserve">v </w:t>
      </w:r>
      <w:r>
        <w:t>Habeši roku 1936, druhou roku 1937 ve Španělsku a třetí roku 1938 v Československu. Byla to tři vítěz</w:t>
      </w:r>
      <w:r>
        <w:softHyphen/>
        <w:t>ství Anglie.</w:t>
      </w:r>
    </w:p>
    <w:p w:rsidR="00500724" w:rsidRDefault="00F30FB8">
      <w:pPr>
        <w:pStyle w:val="Zkladntext30"/>
        <w:shd w:val="clear" w:color="auto" w:fill="auto"/>
        <w:spacing w:after="0" w:line="202" w:lineRule="auto"/>
        <w:ind w:firstLine="240"/>
      </w:pPr>
      <w:r>
        <w:t>Předbíhám. Na prvé francouzské porážce v Habeši jsme trochu spoluvinníky. Proti Německu měli jsme za</w:t>
      </w:r>
      <w:r>
        <w:t>jištěnu jedině pomoc od Francie, která se roku 1935 octla ve velké politické tísni. Nikdo tehdy nebil do Itálie tak jako my, ač tato Itálie v lednu 1935 mnoho nám slíbila v přátelské smlouvě s Francií, kde se pa</w:t>
      </w:r>
      <w:r>
        <w:softHyphen/>
        <w:t xml:space="preserve">matovalo na střední Evropu. My tehdy byli v </w:t>
      </w:r>
      <w:r>
        <w:t>prvé řadě protifašisty a v druhé teprve spojenci Francie.</w:t>
      </w:r>
    </w:p>
    <w:p w:rsidR="00500724" w:rsidRDefault="00F30FB8">
      <w:pPr>
        <w:pStyle w:val="Zkladntext30"/>
        <w:shd w:val="clear" w:color="auto" w:fill="auto"/>
        <w:spacing w:after="0" w:line="202" w:lineRule="auto"/>
        <w:ind w:firstLine="240"/>
      </w:pPr>
      <w:r>
        <w:t>Československá republika měla dva intimní pomě</w:t>
      </w:r>
      <w:r>
        <w:softHyphen/>
        <w:t>ry: půvabnou, trochu dobrodružnou a zhýčkanou Francii a kyselou, chytrou, ale bohatou Anglii. S brit</w:t>
      </w:r>
      <w:r>
        <w:softHyphen/>
        <w:t>skou bohatou tetkou jsme se nechali tajně oddat, a</w:t>
      </w:r>
      <w:r>
        <w:t>le francouzské komorné jsme slibovali veřejně věčnou vroucí lásku.</w:t>
      </w:r>
    </w:p>
    <w:p w:rsidR="00500724" w:rsidRDefault="00F30FB8">
      <w:pPr>
        <w:pStyle w:val="Zkladntext30"/>
        <w:shd w:val="clear" w:color="auto" w:fill="auto"/>
        <w:spacing w:after="0" w:line="194" w:lineRule="auto"/>
        <w:ind w:firstLine="240"/>
      </w:pPr>
      <w:r>
        <w:t xml:space="preserve">To byl také kus našeho osudu. Pro Francii jako evropskou velmoc jsme představovali jeden z trumfů </w:t>
      </w:r>
      <w:r>
        <w:rPr>
          <w:b/>
          <w:bCs/>
          <w:sz w:val="26"/>
          <w:szCs w:val="26"/>
        </w:rPr>
        <w:t xml:space="preserve">v </w:t>
      </w:r>
      <w:r>
        <w:t>evropském mariáši. Pro Velkou Britanii, jako vel</w:t>
      </w:r>
      <w:r>
        <w:softHyphen/>
        <w:t>moc světovou, jsme byli jednou z mnoha k</w:t>
      </w:r>
      <w:r>
        <w:t>aret, kte</w:t>
      </w:r>
      <w:r>
        <w:softHyphen/>
        <w:t>rými se pouze cizí trumfy vyhánějí.</w:t>
      </w:r>
    </w:p>
    <w:p w:rsidR="00500724" w:rsidRDefault="00F30FB8">
      <w:pPr>
        <w:pStyle w:val="Zkladntext30"/>
        <w:shd w:val="clear" w:color="auto" w:fill="auto"/>
        <w:tabs>
          <w:tab w:val="left" w:pos="4387"/>
        </w:tabs>
        <w:spacing w:after="180" w:line="202" w:lineRule="auto"/>
        <w:ind w:firstLine="240"/>
      </w:pPr>
      <w:r>
        <w:t>Řekli jsme, že východní část střední Evropy po roce 1920 představovala velké staveniště, kde byly srov</w:t>
      </w:r>
      <w:r>
        <w:softHyphen/>
        <w:t>nány cihly ze starých zbořených budov. Francie, ač bezmála dvacet let měla toto středoevropské stave</w:t>
      </w:r>
      <w:r>
        <w:softHyphen/>
        <w:t xml:space="preserve">niště </w:t>
      </w:r>
      <w:r>
        <w:t>pod svou správou, do žádné stavby se tu ne</w:t>
      </w:r>
      <w:r>
        <w:softHyphen/>
        <w:t>pustila. Když Anglie se rozhodla roku 1935 zlikvidovat francouzskou hegemonii nad Evropou, která jí začala být nebezpečná, a která jí ani jako přítel nijak ne</w:t>
      </w:r>
      <w:r>
        <w:softHyphen/>
        <w:t>sloužila proti Rusku v Asii, bylo zřejmé, že středo</w:t>
      </w:r>
      <w:r>
        <w:softHyphen/>
        <w:t>ev</w:t>
      </w:r>
      <w:r>
        <w:t>ropské staveniště oslabená Francie v prvé řadě vy</w:t>
      </w:r>
      <w:r>
        <w:softHyphen/>
        <w:t>klidí. Místo ní mohly nastoupit jako stavitelé buď sama Anglie, Rusko anebo Německo. Rusko, které</w:t>
      </w:r>
      <w:r>
        <w:softHyphen/>
        <w:t>mu oslabená Francie by byla dala ve střední Evropě přirozeně přednost, nebylo v žádném případě přija</w:t>
      </w:r>
      <w:r>
        <w:softHyphen/>
        <w:t>telné p</w:t>
      </w:r>
      <w:r>
        <w:t>ro Anglii, když ona sama se zde nechtěla expo</w:t>
      </w:r>
      <w:r>
        <w:softHyphen/>
        <w:t>novat. Zbývalo tedy pouze Německo. Tím také Anglie řešila náš osud. Zda zle nebo dobře, to se pokusíme jindy rozebrat. Otázkou je, zda Anglie také odvrátila nepříjemné od osudu svého.</w:t>
      </w:r>
      <w:r>
        <w:tab/>
        <w:t xml:space="preserve">S. </w:t>
      </w:r>
      <w:r>
        <w:rPr>
          <w:i/>
          <w:iCs/>
        </w:rPr>
        <w:t>Y.</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poznámky</w:t>
      </w:r>
    </w:p>
    <w:p w:rsidR="00500724" w:rsidRDefault="00F30FB8">
      <w:pPr>
        <w:pStyle w:val="Zkladntext30"/>
        <w:shd w:val="clear" w:color="auto" w:fill="auto"/>
        <w:spacing w:line="180" w:lineRule="auto"/>
        <w:ind w:firstLine="0"/>
        <w:jc w:val="center"/>
        <w:rPr>
          <w:sz w:val="20"/>
          <w:szCs w:val="20"/>
        </w:rPr>
      </w:pPr>
      <w:r>
        <w:rPr>
          <w:b/>
          <w:bCs/>
          <w:sz w:val="20"/>
          <w:szCs w:val="20"/>
        </w:rPr>
        <w:t>Konservativci a bolševici</w:t>
      </w:r>
    </w:p>
    <w:p w:rsidR="00500724" w:rsidRDefault="00F30FB8">
      <w:pPr>
        <w:pStyle w:val="Zkladntext1"/>
        <w:shd w:val="clear" w:color="auto" w:fill="auto"/>
        <w:spacing w:line="190" w:lineRule="auto"/>
        <w:ind w:firstLine="340"/>
      </w:pPr>
      <w:r>
        <w:rPr>
          <w:b/>
          <w:bCs/>
        </w:rPr>
        <w:t>První zpráva, svědčící o snaze Chamberlainovy konserva</w:t>
      </w:r>
      <w:r>
        <w:rPr>
          <w:b/>
          <w:bCs/>
        </w:rPr>
        <w:softHyphen/>
        <w:t>tivní vlády získat sovětskou podporu pro novou britskou politiku, pochází z 21. března a je původu sovětského. Toho dne bylo v Moskvě vydáno oficiální sdělení, že britská vlád</w:t>
      </w:r>
      <w:r>
        <w:rPr>
          <w:b/>
          <w:bCs/>
        </w:rPr>
        <w:t>a se 18. března dotázala Moskvy, jaké stanovisko by zaujaly sověty, kdyby se Rumunsko stalo obětí nezaviněného útoku. Moskva odpověděla návrhem, aby byla svolána mezinárodní konference. Anglie návrh odmítla s odůvodněním, že je předčasný. Pokud je známo, p</w:t>
      </w:r>
      <w:r>
        <w:rPr>
          <w:b/>
          <w:bCs/>
        </w:rPr>
        <w:t>omýšlela britská diplomacie původně na společné prohlášení Anglie, Francie, Polska a Ruska o společném odporu těchto států proti even</w:t>
      </w:r>
      <w:r>
        <w:rPr>
          <w:b/>
          <w:bCs/>
        </w:rPr>
        <w:softHyphen/>
        <w:t>tuálnímu útoku. Nehledíc na stanovisko sovětské, neusku</w:t>
      </w:r>
      <w:r>
        <w:rPr>
          <w:b/>
          <w:bCs/>
        </w:rPr>
        <w:softHyphen/>
        <w:t xml:space="preserve">tečnila se tato myšlenka také pro odpor Polska, které mělo za to, </w:t>
      </w:r>
      <w:r>
        <w:rPr>
          <w:b/>
          <w:bCs/>
        </w:rPr>
        <w:t>že pouhé prohlášení bez nějakých hmatatelných záruk pro ně nemá valné ceny. Anglie tedy dala záruky nejdříve Polsku, potom Řecku a Rumunsku a jednání se sověty na čas ustoupilo po pozadí. Nový pokus byl učiněn asi v polo</w:t>
      </w:r>
      <w:r>
        <w:rPr>
          <w:b/>
          <w:bCs/>
        </w:rPr>
        <w:softHyphen/>
        <w:t>vici dubna. Dne 15. dubna přijal te</w:t>
      </w:r>
      <w:r>
        <w:rPr>
          <w:b/>
          <w:bCs/>
        </w:rPr>
        <w:t>hdejší sovětský zahranič</w:t>
      </w:r>
      <w:r>
        <w:rPr>
          <w:b/>
          <w:bCs/>
        </w:rPr>
        <w:softHyphen/>
        <w:t xml:space="preserve">ní komisař </w:t>
      </w:r>
      <w:r>
        <w:rPr>
          <w:b/>
          <w:bCs/>
          <w:lang w:val="en-US" w:eastAsia="en-US" w:bidi="en-US"/>
        </w:rPr>
        <w:t xml:space="preserve">Litvinov </w:t>
      </w:r>
      <w:r>
        <w:rPr>
          <w:b/>
          <w:bCs/>
        </w:rPr>
        <w:t>britského velvyslance v Moskvě; krátce na to, 18. dubna, odjel sovětský velvyslanec v Lon</w:t>
      </w:r>
      <w:r>
        <w:rPr>
          <w:b/>
          <w:bCs/>
        </w:rPr>
        <w:softHyphen/>
        <w:t>dýně Majskij do Ruska a zůstal tam až do 24. Tlumočil své vládě nepochybně nové britské návrhy a přivezl do Lon</w:t>
      </w:r>
      <w:r>
        <w:rPr>
          <w:b/>
          <w:bCs/>
        </w:rPr>
        <w:softHyphen/>
        <w:t>dýna a do</w:t>
      </w:r>
      <w:r>
        <w:rPr>
          <w:b/>
          <w:bCs/>
        </w:rPr>
        <w:t xml:space="preserve"> Paříže její odpověď. Dne 3. května odstoupil Litví</w:t>
      </w:r>
      <w:r>
        <w:rPr>
          <w:b/>
          <w:bCs/>
        </w:rPr>
        <w:softHyphen/>
        <w:t>nov a za dva dny na to šla do Moskvy opět nová redakce britských návrhů, kterou doručil britský velvyslanec so</w:t>
      </w:r>
      <w:r>
        <w:rPr>
          <w:b/>
          <w:bCs/>
        </w:rPr>
        <w:softHyphen/>
        <w:t>větské vládě 7. května, a to už novému zahraničnímu ko</w:t>
      </w:r>
      <w:r>
        <w:rPr>
          <w:b/>
          <w:bCs/>
        </w:rPr>
        <w:softHyphen/>
        <w:t>misaři Molotovu.</w:t>
      </w:r>
    </w:p>
    <w:p w:rsidR="00500724" w:rsidRDefault="00F30FB8">
      <w:pPr>
        <w:pStyle w:val="Zkladntext1"/>
        <w:shd w:val="clear" w:color="auto" w:fill="auto"/>
        <w:spacing w:after="40" w:line="187" w:lineRule="auto"/>
      </w:pPr>
      <w:r>
        <w:rPr>
          <w:b/>
          <w:bCs/>
        </w:rPr>
        <w:t>Podle tehdejší zprávy</w:t>
      </w:r>
      <w:r>
        <w:rPr>
          <w:b/>
          <w:bCs/>
        </w:rPr>
        <w:t xml:space="preserve"> Reuterovy kanceláře zněly britské návrhy ze 7. května asi takto: 1. sovětská vláda dá svým sousedním státům každému zvlášť podobné záruky, jaké daly Anglie a Francie Polsku a Rumunsku (o tyto dva státy Anglii nepochybně nejvíce šlo); 2. Anglie se zaváže, </w:t>
      </w:r>
      <w:r>
        <w:rPr>
          <w:b/>
          <w:bCs/>
        </w:rPr>
        <w:t>že přijde Rusku na pomoc, zaplete-li se Rusko do války pro záruky, které poskytlo. Dne 9. května vyšla v Moskvě zprá</w:t>
      </w:r>
      <w:r>
        <w:rPr>
          <w:b/>
          <w:bCs/>
        </w:rPr>
        <w:softHyphen/>
        <w:t>va oficiální agentury TASS, která tvrdila, že Reuterova ver</w:t>
      </w:r>
      <w:r>
        <w:rPr>
          <w:b/>
          <w:bCs/>
        </w:rPr>
        <w:softHyphen/>
        <w:t>se není docela přesná. V britském návrhu prý nebylo řeče</w:t>
      </w:r>
      <w:r>
        <w:rPr>
          <w:b/>
          <w:bCs/>
        </w:rPr>
        <w:softHyphen/>
        <w:t>no, že Sovětský Svaz m</w:t>
      </w:r>
      <w:r>
        <w:rPr>
          <w:b/>
          <w:bCs/>
        </w:rPr>
        <w:t>á dáti záruku každému ze svých sou</w:t>
      </w:r>
      <w:r>
        <w:rPr>
          <w:b/>
          <w:bCs/>
        </w:rPr>
        <w:softHyphen/>
        <w:t>sedů zvlášť, nýbrž jen tolik, že sověty mají hned poskytnout vojenskou pomoc Anglii a Francii, dostanou-li se tyto dva státy do války pro své záruky Polsku a Rumunsku. V brit</w:t>
      </w:r>
      <w:r>
        <w:rPr>
          <w:b/>
          <w:bCs/>
        </w:rPr>
        <w:softHyphen/>
        <w:t>ském návrhu však prý nic nebylo o pomoci, kter</w:t>
      </w:r>
      <w:r>
        <w:rPr>
          <w:b/>
          <w:bCs/>
        </w:rPr>
        <w:t>ou by</w:t>
      </w:r>
      <w:r>
        <w:rPr>
          <w:b/>
          <w:bCs/>
          <w:vertAlign w:val="subscript"/>
        </w:rPr>
        <w:t xml:space="preserve">( </w:t>
      </w:r>
      <w:r>
        <w:rPr>
          <w:b/>
          <w:bCs/>
        </w:rPr>
        <w:t>měl dostat Sovětský Svaz podle zásady vzájemnosti od An</w:t>
      </w:r>
      <w:r>
        <w:rPr>
          <w:b/>
          <w:bCs/>
        </w:rPr>
        <w:softHyphen/>
        <w:t>glie a Francie, kdyby se dostal on sám do vojenských akcí při plnění svých záruk vůči některým jiným státům ve východní Evropě.</w:t>
      </w:r>
    </w:p>
    <w:p w:rsidR="00500724" w:rsidRDefault="00F30FB8">
      <w:pPr>
        <w:pStyle w:val="Zkladntext1"/>
        <w:shd w:val="clear" w:color="auto" w:fill="auto"/>
        <w:spacing w:after="40" w:line="187" w:lineRule="auto"/>
        <w:ind w:firstLine="300"/>
      </w:pPr>
      <w:r>
        <w:rPr>
          <w:b/>
          <w:bCs/>
        </w:rPr>
        <w:t>Z této poznámky TASSu už je dobře vidět jádro anglosovětskéhospor</w:t>
      </w:r>
      <w:r>
        <w:rPr>
          <w:b/>
          <w:bCs/>
        </w:rPr>
        <w:t>u, kolem něhož se od té doby jednání mezi oběma velmocemi točí: Anglie se snažila zís</w:t>
      </w:r>
      <w:r>
        <w:rPr>
          <w:b/>
          <w:bCs/>
        </w:rPr>
        <w:softHyphen/>
        <w:t>kat ruskou pomoc jen pro ty státy, které ona sama (spolu s Francií) zaručila, totiž pro Polsko a Rumunsko, kdežto Sovětský Svaz, třebas jevil v tomto směru ochotu, myslil</w:t>
      </w:r>
      <w:r>
        <w:rPr>
          <w:b/>
          <w:bCs/>
        </w:rPr>
        <w:t xml:space="preserve"> také a snad hlavně na státy baltické. Anglická snaha je dost pochopitelná: Chamberlainova vláda dala záruky dvě</w:t>
      </w:r>
      <w:r>
        <w:rPr>
          <w:b/>
          <w:bCs/>
        </w:rPr>
        <w:softHyphen/>
        <w:t>ma státům, k nimž má velmi nesnadný přistup, a proto jí nesmírně záleží na tom, aby tu pomoc za ni vykonal ně</w:t>
      </w:r>
      <w:r>
        <w:rPr>
          <w:b/>
          <w:bCs/>
        </w:rPr>
        <w:softHyphen/>
        <w:t>kdo jiný, totiž Rusko. Později se</w:t>
      </w:r>
      <w:r>
        <w:rPr>
          <w:b/>
          <w:bCs/>
        </w:rPr>
        <w:t xml:space="preserve"> v anglickém tisku objevila zpráva, že britský generální štáb vládu na tuto okolnost velmi naléhavě upozornil a otevřeně jí řekl, že bez ruské pomoci nemají její záruky ceny. Jeho názor se zřetelně obráží v jedné ze sněmovních řečí </w:t>
      </w:r>
      <w:r>
        <w:rPr>
          <w:b/>
          <w:bCs/>
          <w:lang w:val="en-US" w:eastAsia="en-US" w:bidi="en-US"/>
        </w:rPr>
        <w:t xml:space="preserve">Lloyda George, </w:t>
      </w:r>
      <w:r>
        <w:rPr>
          <w:b/>
          <w:bCs/>
        </w:rPr>
        <w:t>který vlá</w:t>
      </w:r>
      <w:r>
        <w:rPr>
          <w:b/>
          <w:bCs/>
        </w:rPr>
        <w:t>dě se svou známou otevřeností pověděl, že nezíská-li Rus</w:t>
      </w:r>
      <w:r>
        <w:rPr>
          <w:b/>
          <w:bCs/>
        </w:rPr>
        <w:softHyphen/>
        <w:t>ko, jsou její záruky nejlehkomyslnější skutek, jaký kdy která vláda učinila. Sovětské stanovisko k těmto anglickým snahám by se dalo vyjádřit asi takto: Vy Angličané chcete naši pomoc pro své klienty</w:t>
      </w:r>
      <w:r>
        <w:rPr>
          <w:b/>
          <w:bCs/>
        </w:rPr>
        <w:t>, my tedy zase chceme na oplátku vaši pomoc pro své klienty; a protože žádat pomoc pro své klienty vlastně znamená žádat ji pro sebe, žádáte tedy vy Angličané sovětskou pomoc pro sebe; proto zase my žádá</w:t>
      </w:r>
      <w:r>
        <w:rPr>
          <w:b/>
          <w:bCs/>
        </w:rPr>
        <w:softHyphen/>
        <w:t>me vaši pomoc pro sebe. — Už tedy v tomto stadiu jed</w:t>
      </w:r>
      <w:r>
        <w:rPr>
          <w:b/>
          <w:bCs/>
        </w:rPr>
        <w:t>nání se ukázalo, že hlavním problémem je tu vzájemnost nebo rovnost v povinnostech.</w:t>
      </w:r>
    </w:p>
    <w:p w:rsidR="00500724" w:rsidRDefault="00F30FB8">
      <w:pPr>
        <w:pStyle w:val="Zkladntext1"/>
        <w:shd w:val="clear" w:color="auto" w:fill="auto"/>
        <w:spacing w:after="40" w:line="187" w:lineRule="auto"/>
        <w:sectPr w:rsidR="00500724">
          <w:footnotePr>
            <w:numFmt w:val="chicago"/>
            <w:numRestart w:val="eachPage"/>
          </w:footnotePr>
          <w:type w:val="continuous"/>
          <w:pgSz w:w="11909" w:h="16834"/>
          <w:pgMar w:top="1258" w:right="951" w:bottom="966" w:left="623" w:header="0" w:footer="3" w:gutter="0"/>
          <w:cols w:num="2" w:space="126"/>
          <w:noEndnote/>
          <w:docGrid w:linePitch="360"/>
        </w:sectPr>
      </w:pPr>
      <w:r>
        <w:rPr>
          <w:b/>
          <w:bCs/>
          <w:lang w:val="en-US" w:eastAsia="en-US" w:bidi="en-US"/>
        </w:rPr>
        <w:t xml:space="preserve">Chamberlain </w:t>
      </w:r>
      <w:r>
        <w:rPr>
          <w:b/>
          <w:bCs/>
        </w:rPr>
        <w:t>pak 10. května vykládal v dolní sně</w:t>
      </w:r>
      <w:r>
        <w:rPr>
          <w:b/>
          <w:bCs/>
        </w:rPr>
        <w:softHyphen/>
        <w:t>movně, že výklad TASSu se asi zakládá na nedorozumění, ale celkem proti němu nemohl uvésti nic</w:t>
      </w:r>
      <w:r>
        <w:rPr>
          <w:b/>
          <w:bCs/>
        </w:rPr>
        <w:t xml:space="preserve"> podstatného. Odvo</w:t>
      </w:r>
      <w:r>
        <w:rPr>
          <w:b/>
          <w:bCs/>
        </w:rPr>
        <w:softHyphen/>
        <w:t>lával se jen na to, že sovětský požadavek, který je »jak obsáhlejší, tak také méně pružný, je podle názoru vlády Jeho Veličenstva spojen právě s těmi nesnázemi — ať už bv byly jakékoli jeho výhody — kterým se její návrh chtěl vyhnout. Vl</w:t>
      </w:r>
      <w:r>
        <w:rPr>
          <w:b/>
          <w:bCs/>
        </w:rPr>
        <w:t>áda Jeho Veličenstva proto upozornila sovětskou vládu na jsoucnost těchto nesnází a zároveň učinila některé změny ve svém původním návrhu.« Tato poslední věta je charakteristická pro postup Chamberlainovy vlády, která vůbec během jednání pilně ukazovala na</w:t>
      </w:r>
      <w:r>
        <w:rPr>
          <w:b/>
          <w:bCs/>
        </w:rPr>
        <w:t xml:space="preserve"> rozmanité nesná- ze, ale při tom vždycky v něčem o kousek povolila. Hlavní nesnáz, již měl </w:t>
      </w:r>
      <w:r>
        <w:rPr>
          <w:b/>
          <w:bCs/>
          <w:lang w:val="en-US" w:eastAsia="en-US" w:bidi="en-US"/>
        </w:rPr>
        <w:t xml:space="preserve">Chamberlain </w:t>
      </w:r>
      <w:r>
        <w:rPr>
          <w:b/>
          <w:bCs/>
        </w:rPr>
        <w:t>tenkrát na mysli, bylo asi pol</w:t>
      </w:r>
      <w:r>
        <w:rPr>
          <w:b/>
          <w:bCs/>
        </w:rPr>
        <w:softHyphen/>
        <w:t xml:space="preserve">ské a rumunské váhání, přijmout v plném rozsahu pomoc sovětského vojska. Konečně se </w:t>
      </w:r>
      <w:r>
        <w:rPr>
          <w:b/>
          <w:bCs/>
          <w:lang w:val="en-US" w:eastAsia="en-US" w:bidi="en-US"/>
        </w:rPr>
        <w:t xml:space="preserve">Chamberlain </w:t>
      </w:r>
      <w:r>
        <w:rPr>
          <w:b/>
          <w:bCs/>
        </w:rPr>
        <w:t>zmínil o roz-</w:t>
      </w:r>
    </w:p>
    <w:p w:rsidR="00500724" w:rsidRDefault="00F30FB8">
      <w:pPr>
        <w:pStyle w:val="Nadpis90"/>
        <w:keepNext/>
        <w:keepLines/>
        <w:shd w:val="clear" w:color="auto" w:fill="auto"/>
        <w:spacing w:after="0"/>
        <w:ind w:right="140"/>
        <w:jc w:val="center"/>
        <w:rPr>
          <w:sz w:val="42"/>
          <w:szCs w:val="42"/>
        </w:rPr>
        <w:sectPr w:rsidR="00500724">
          <w:footnotePr>
            <w:numFmt w:val="chicago"/>
            <w:numRestart w:val="eachPage"/>
          </w:footnotePr>
          <w:pgSz w:w="11909" w:h="16834"/>
          <w:pgMar w:top="1033" w:right="910" w:bottom="675" w:left="660" w:header="0" w:footer="3" w:gutter="0"/>
          <w:cols w:space="720"/>
          <w:noEndnote/>
          <w:docGrid w:linePitch="360"/>
        </w:sectPr>
      </w:pPr>
      <w:bookmarkStart w:id="569" w:name="bookmark568"/>
      <w:r>
        <w:rPr>
          <w:rFonts w:ascii="Times New Roman" w:eastAsia="Times New Roman" w:hAnsi="Times New Roman" w:cs="Times New Roman"/>
          <w:w w:val="80"/>
          <w:sz w:val="42"/>
          <w:szCs w:val="42"/>
        </w:rPr>
        <w:t>PfflomnosLx</w:t>
      </w:r>
      <w:bookmarkEnd w:id="569"/>
    </w:p>
    <w:p w:rsidR="00500724" w:rsidRDefault="00500724">
      <w:pPr>
        <w:spacing w:line="9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1033" w:right="0" w:bottom="675" w:left="0" w:header="0" w:footer="3" w:gutter="0"/>
          <w:cols w:space="720"/>
          <w:noEndnote/>
          <w:docGrid w:linePitch="360"/>
        </w:sectPr>
      </w:pPr>
    </w:p>
    <w:p w:rsidR="00500724" w:rsidRDefault="00F30FB8">
      <w:pPr>
        <w:pStyle w:val="Zkladntext1"/>
        <w:shd w:val="clear" w:color="auto" w:fill="auto"/>
        <w:spacing w:line="187" w:lineRule="auto"/>
        <w:ind w:firstLine="0"/>
      </w:pPr>
      <w:r>
        <w:rPr>
          <w:b/>
          <w:bCs/>
        </w:rPr>
        <w:t xml:space="preserve">mluvě, kterou měl </w:t>
      </w:r>
      <w:r>
        <w:rPr>
          <w:b/>
          <w:bCs/>
          <w:lang w:val="en-US" w:eastAsia="en-US" w:bidi="en-US"/>
        </w:rPr>
        <w:t xml:space="preserve">lord Halifax </w:t>
      </w:r>
      <w:r>
        <w:rPr>
          <w:b/>
          <w:bCs/>
        </w:rPr>
        <w:t>s Majským 9. května a při níž sovětského velvyslance ujistil, že nikterak není an</w:t>
      </w:r>
      <w:r>
        <w:rPr>
          <w:b/>
          <w:bCs/>
        </w:rPr>
        <w:softHyphen/>
      </w:r>
      <w:r>
        <w:rPr>
          <w:b/>
          <w:bCs/>
        </w:rPr>
        <w:t>glickým úmyslem zavléci Sovětský Svaz do nějakého sporu, do něhož by Anglie sama pak nezasáhla; má-li sovětská vláda nějaké pochybnosti v tomto ohledu, nechť oznámí, na jakých přesných důvodech se zakládají, sLondýn oěekává nyní sovětskou odpověď,« skončil</w:t>
      </w:r>
      <w:r>
        <w:rPr>
          <w:b/>
          <w:bCs/>
        </w:rPr>
        <w:t xml:space="preserve"> </w:t>
      </w:r>
      <w:r>
        <w:rPr>
          <w:b/>
          <w:bCs/>
          <w:lang w:val="en-US" w:eastAsia="en-US" w:bidi="en-US"/>
        </w:rPr>
        <w:t xml:space="preserve">Chamberlain </w:t>
      </w:r>
      <w:r>
        <w:rPr>
          <w:b/>
          <w:bCs/>
        </w:rPr>
        <w:t>svůj výklad.</w:t>
      </w:r>
    </w:p>
    <w:p w:rsidR="00500724" w:rsidRDefault="00F30FB8">
      <w:pPr>
        <w:pStyle w:val="Zkladntext1"/>
        <w:shd w:val="clear" w:color="auto" w:fill="auto"/>
        <w:spacing w:line="187" w:lineRule="auto"/>
        <w:ind w:firstLine="320"/>
      </w:pPr>
      <w:r>
        <w:rPr>
          <w:b/>
          <w:bCs/>
        </w:rPr>
        <w:t>Odpověď, na kterou čekal, přišla do Londýna a do Paříže 15. května. Co asi obsahovala, lze si domysliti podle článku, jejž uveřejnily 11. května »Izvěstija«. Chce-li Anglie a Fran</w:t>
      </w:r>
      <w:r>
        <w:rPr>
          <w:b/>
          <w:bCs/>
        </w:rPr>
        <w:softHyphen/>
        <w:t xml:space="preserve">cie skutečně vybudovat hradbu proti dalším útokům </w:t>
      </w:r>
      <w:r>
        <w:rPr>
          <w:b/>
          <w:bCs/>
        </w:rPr>
        <w:t>v Evro</w:t>
      </w:r>
      <w:r>
        <w:rPr>
          <w:b/>
          <w:bCs/>
        </w:rPr>
        <w:softHyphen/>
        <w:t>pě psalo se tam, musí se aspoň tři velmoci, Anglie, Francie a Sovětský Svaz, spojití smlouvou o vzájemné pomoci a za</w:t>
      </w:r>
      <w:r>
        <w:rPr>
          <w:b/>
          <w:bCs/>
        </w:rPr>
        <w:softHyphen/>
        <w:t>ručiti pak společně ostatní státy ve východní a střední Evro</w:t>
      </w:r>
      <w:r>
        <w:rPr>
          <w:b/>
          <w:bCs/>
        </w:rPr>
        <w:softHyphen/>
        <w:t>pě. ohrožené útokem. Poslední anglický plán sovětům ne</w:t>
      </w:r>
      <w:r>
        <w:rPr>
          <w:b/>
          <w:bCs/>
        </w:rPr>
        <w:softHyphen/>
        <w:t>vyhovuje, poněva</w:t>
      </w:r>
      <w:r>
        <w:rPr>
          <w:b/>
          <w:bCs/>
        </w:rPr>
        <w:t>dž by podle něho neměly smlouvu o vzá</w:t>
      </w:r>
      <w:r>
        <w:rPr>
          <w:b/>
          <w:bCs/>
        </w:rPr>
        <w:softHyphen/>
        <w:t>jemné pomoci ani s Anglií, ani s Francií, ani s Polskem, ačkoli samy se měly zavázat těmto státům pomoci. Kdyby však přišel útok přimo na Sovětský Svaz, nemohla by prý Moskva počítat najisto s pomocí žádného ze jmenova</w:t>
      </w:r>
      <w:r>
        <w:rPr>
          <w:b/>
          <w:bCs/>
        </w:rPr>
        <w:t>ných tří států, což znamená nerovnost.</w:t>
      </w:r>
    </w:p>
    <w:p w:rsidR="00500724" w:rsidRDefault="00F30FB8">
      <w:pPr>
        <w:pStyle w:val="Zkladntext1"/>
        <w:shd w:val="clear" w:color="auto" w:fill="auto"/>
        <w:spacing w:line="187" w:lineRule="auto"/>
        <w:ind w:firstLine="320"/>
      </w:pPr>
      <w:r>
        <w:rPr>
          <w:b/>
          <w:bCs/>
        </w:rPr>
        <w:t>Za tohoto stavu věcí Angličané doufali, že se rozpor vy</w:t>
      </w:r>
      <w:r>
        <w:rPr>
          <w:b/>
          <w:bCs/>
        </w:rPr>
        <w:softHyphen/>
        <w:t>jasní v Ženevě, kam byla na 22. května svolána rada Spo</w:t>
      </w:r>
      <w:r>
        <w:rPr>
          <w:b/>
          <w:bCs/>
        </w:rPr>
        <w:softHyphen/>
        <w:t xml:space="preserve">lečnosti národů. Její schůze se měla původně konat o týden dříve, ale byla odložena na sovětskou žádost, </w:t>
      </w:r>
      <w:r>
        <w:rPr>
          <w:b/>
          <w:bCs/>
        </w:rPr>
        <w:t>aby se jí prý mohl zúčastnit náměstek zahraničního komisaře Potěm- k i n. Potom však sovětská vláda k anglickému zklamání oznámila, že Potěmkin nepřijede a že ji bude v Ženevě za</w:t>
      </w:r>
      <w:r>
        <w:rPr>
          <w:b/>
          <w:bCs/>
        </w:rPr>
        <w:softHyphen/>
        <w:t xml:space="preserve">stupovat M a j s k i j. Anglickým delegátem byl </w:t>
      </w:r>
      <w:r>
        <w:rPr>
          <w:b/>
          <w:bCs/>
          <w:lang w:val="en-US" w:eastAsia="en-US" w:bidi="en-US"/>
        </w:rPr>
        <w:t xml:space="preserve">Halifax </w:t>
      </w:r>
      <w:r>
        <w:rPr>
          <w:b/>
          <w:bCs/>
        </w:rPr>
        <w:t xml:space="preserve">a francouzským </w:t>
      </w:r>
      <w:r>
        <w:rPr>
          <w:b/>
          <w:bCs/>
          <w:lang w:val="en-US" w:eastAsia="en-US" w:bidi="en-US"/>
        </w:rPr>
        <w:t>Bonnet</w:t>
      </w:r>
      <w:r>
        <w:rPr>
          <w:b/>
          <w:bCs/>
          <w:lang w:val="en-US" w:eastAsia="en-US" w:bidi="en-US"/>
        </w:rPr>
        <w:t xml:space="preserve">. Halifax </w:t>
      </w:r>
      <w:r>
        <w:rPr>
          <w:b/>
          <w:bCs/>
        </w:rPr>
        <w:t>se na cestě do Ženevy za</w:t>
      </w:r>
      <w:r>
        <w:rPr>
          <w:b/>
          <w:bCs/>
        </w:rPr>
        <w:softHyphen/>
        <w:t>stavil v sobotu 20. května v Paříži, kde se radil sDaladie- rom a Bonnetem. Tato sehůzka potvrdila zprávy, které se v těch dnech vyskytly, že Francie bude mezi Anglií a Buskem prostředkovat.</w:t>
      </w:r>
    </w:p>
    <w:p w:rsidR="00500724" w:rsidRDefault="00F30FB8">
      <w:pPr>
        <w:pStyle w:val="Zkladntext1"/>
        <w:shd w:val="clear" w:color="auto" w:fill="auto"/>
        <w:spacing w:line="187" w:lineRule="auto"/>
        <w:ind w:firstLine="320"/>
      </w:pPr>
      <w:r>
        <w:rPr>
          <w:b/>
          <w:bCs/>
        </w:rPr>
        <w:t>Zdá se, že Francouzi se hlavně</w:t>
      </w:r>
      <w:r>
        <w:rPr>
          <w:b/>
          <w:bCs/>
        </w:rPr>
        <w:t xml:space="preserve"> snažili přimět Angličany k tomu, aby přijali hlavní sovětský požadavek úplné vzá</w:t>
      </w:r>
      <w:r>
        <w:rPr>
          <w:b/>
          <w:bCs/>
        </w:rPr>
        <w:softHyphen/>
        <w:t>jemnosti, což jinými slovy znamenalo přímou alianci mezi Anglií a Sovětským Svazem. Také oposice v dolní sně</w:t>
      </w:r>
      <w:r>
        <w:rPr>
          <w:b/>
          <w:bCs/>
        </w:rPr>
        <w:softHyphen/>
        <w:t>movně naléhala před Halifaxovým odjezdem na vládu v tom</w:t>
      </w:r>
      <w:r>
        <w:rPr>
          <w:b/>
          <w:bCs/>
        </w:rPr>
        <w:softHyphen/>
        <w:t>to smyslu</w:t>
      </w:r>
      <w:r>
        <w:rPr>
          <w:b/>
          <w:bCs/>
        </w:rPr>
        <w:t xml:space="preserve">. Dne 19. května tam byla rozprava o zahraniční politice, kterou zahájil </w:t>
      </w:r>
      <w:r>
        <w:rPr>
          <w:b/>
          <w:bCs/>
          <w:lang w:val="en-US" w:eastAsia="en-US" w:bidi="en-US"/>
        </w:rPr>
        <w:t xml:space="preserve">Lloyd George. </w:t>
      </w:r>
      <w:r>
        <w:rPr>
          <w:b/>
          <w:bCs/>
        </w:rPr>
        <w:t xml:space="preserve">»Konec konců,« prohlásil, »je ve vládě přání, obejiti se pokud možno bez Ruska. Několik měsíců nám </w:t>
      </w:r>
      <w:r>
        <w:rPr>
          <w:b/>
          <w:bCs/>
          <w:lang w:val="en-US" w:eastAsia="en-US" w:bidi="en-US"/>
        </w:rPr>
        <w:t xml:space="preserve">Busko </w:t>
      </w:r>
      <w:r>
        <w:rPr>
          <w:b/>
          <w:bCs/>
        </w:rPr>
        <w:t xml:space="preserve">nabízí, že se k nám připojí, a my měsíce prohlížíme tomuto koni </w:t>
      </w:r>
      <w:r>
        <w:rPr>
          <w:b/>
          <w:bCs/>
        </w:rPr>
        <w:t xml:space="preserve">zuby. Vláda nemá důvěry v </w:t>
      </w:r>
      <w:r>
        <w:rPr>
          <w:b/>
          <w:bCs/>
          <w:lang w:val="en-US" w:eastAsia="en-US" w:bidi="en-US"/>
        </w:rPr>
        <w:t xml:space="preserve">Busko. </w:t>
      </w:r>
      <w:r>
        <w:rPr>
          <w:b/>
          <w:bCs/>
        </w:rPr>
        <w:t xml:space="preserve">Není pak </w:t>
      </w:r>
      <w:r>
        <w:rPr>
          <w:b/>
          <w:bCs/>
          <w:lang w:val="en-US" w:eastAsia="en-US" w:bidi="en-US"/>
        </w:rPr>
        <w:t xml:space="preserve">Busko </w:t>
      </w:r>
      <w:r>
        <w:rPr>
          <w:b/>
          <w:bCs/>
        </w:rPr>
        <w:t>v právu, když nedů</w:t>
      </w:r>
      <w:r>
        <w:rPr>
          <w:b/>
          <w:bCs/>
        </w:rPr>
        <w:softHyphen/>
        <w:t>věřuje nám? Co žádá? Aby se s nim nakládalo jako s rov</w:t>
      </w:r>
      <w:r>
        <w:rPr>
          <w:b/>
          <w:bCs/>
        </w:rPr>
        <w:softHyphen/>
        <w:t xml:space="preserve">nýma Mluvil pak </w:t>
      </w:r>
      <w:r>
        <w:rPr>
          <w:b/>
          <w:bCs/>
          <w:lang w:val="en-US" w:eastAsia="en-US" w:bidi="en-US"/>
        </w:rPr>
        <w:t xml:space="preserve">Attlee: </w:t>
      </w:r>
      <w:r>
        <w:rPr>
          <w:b/>
          <w:bCs/>
        </w:rPr>
        <w:t>»Byla nám odňata iniciativa. Neni tu konstruktivního úsilí o mir, nýbrž nervosní čekání a pokus, zároveň nedba</w:t>
      </w:r>
      <w:r>
        <w:rPr>
          <w:b/>
          <w:bCs/>
        </w:rPr>
        <w:t>lý a rozčilený, vybudovat nějakou umě</w:t>
      </w:r>
      <w:r>
        <w:rPr>
          <w:b/>
          <w:bCs/>
        </w:rPr>
        <w:softHyphen/>
        <w:t xml:space="preserve">lou mírovou frontu.« Po těchto útocích </w:t>
      </w:r>
      <w:r>
        <w:rPr>
          <w:b/>
          <w:bCs/>
          <w:lang w:val="en-US" w:eastAsia="en-US" w:bidi="en-US"/>
        </w:rPr>
        <w:t xml:space="preserve">Chamberlain </w:t>
      </w:r>
      <w:r>
        <w:rPr>
          <w:b/>
          <w:bCs/>
        </w:rPr>
        <w:t>vykládal a hájil svou politiku:</w:t>
      </w:r>
    </w:p>
    <w:p w:rsidR="00500724" w:rsidRDefault="00F30FB8">
      <w:pPr>
        <w:pStyle w:val="Zkladntext1"/>
        <w:shd w:val="clear" w:color="auto" w:fill="auto"/>
        <w:spacing w:after="40" w:line="187" w:lineRule="auto"/>
      </w:pPr>
      <w:r>
        <w:rPr>
          <w:b/>
          <w:bCs/>
        </w:rPr>
        <w:t>»Zdálo se nám (po březnových událostech), že nebude-li uveden do evropské politiky nějaký stabilisaěni činitel, na</w:t>
      </w:r>
      <w:r>
        <w:rPr>
          <w:b/>
          <w:bCs/>
        </w:rPr>
        <w:softHyphen/>
        <w:t xml:space="preserve">dejde rozklad velké </w:t>
      </w:r>
      <w:r>
        <w:rPr>
          <w:b/>
          <w:bCs/>
        </w:rPr>
        <w:t>části Evropy. Spolu s Francii jsme se pokusili najít takového činitele. Záruky Polsku, Bumunsku, Bečku jsou jakousi první pomocí. Zbývá je podepřiti trva</w:t>
      </w:r>
      <w:r>
        <w:rPr>
          <w:b/>
          <w:bCs/>
        </w:rPr>
        <w:softHyphen/>
        <w:t>lejšími úpravami a zajistit si dostatečnou pomoc všeeh, kteří ji chtějí poskytnout. Nejde o politiku n</w:t>
      </w:r>
      <w:r>
        <w:rPr>
          <w:b/>
          <w:bCs/>
        </w:rPr>
        <w:t>epřátelských bloků... Stále se pokoušíme vyhnout se této politice, pro</w:t>
      </w:r>
      <w:r>
        <w:rPr>
          <w:b/>
          <w:bCs/>
        </w:rPr>
        <w:softHyphen/>
        <w:t>tože se nám zdá nestálá a nebezpečná... Naše politika je politika opatrnosti, rozvine se jen za určitých okolnosti a je v moci jiných, aby tyto okolnosti zmizely nebo nezmizely. Je to p</w:t>
      </w:r>
      <w:r>
        <w:rPr>
          <w:b/>
          <w:bCs/>
        </w:rPr>
        <w:t>ojistka proti útoku.«</w:t>
      </w:r>
    </w:p>
    <w:p w:rsidR="00500724" w:rsidRDefault="00F30FB8">
      <w:pPr>
        <w:pStyle w:val="Zkladntext1"/>
        <w:shd w:val="clear" w:color="auto" w:fill="auto"/>
        <w:spacing w:line="187" w:lineRule="auto"/>
        <w:ind w:firstLine="320"/>
      </w:pPr>
      <w:r>
        <w:rPr>
          <w:b/>
          <w:bCs/>
        </w:rPr>
        <w:t xml:space="preserve">O jednání s Buskem </w:t>
      </w:r>
      <w:r>
        <w:rPr>
          <w:b/>
          <w:bCs/>
          <w:lang w:val="en-US" w:eastAsia="en-US" w:bidi="en-US"/>
        </w:rPr>
        <w:t xml:space="preserve">Chamberlain </w:t>
      </w:r>
      <w:r>
        <w:rPr>
          <w:b/>
          <w:bCs/>
        </w:rPr>
        <w:t xml:space="preserve">řekl, že nemá žádnou aversi proti ruské ideologii. Nikdo prý není takový blázen, aby si myslil, že tato ohromná země se svým obyvatelstvem a se svými zdroji by nic neznamenala v situaci, před níž </w:t>
      </w:r>
      <w:r>
        <w:rPr>
          <w:b/>
          <w:bCs/>
        </w:rPr>
        <w:t>stojíme. xNesmíme však zapominati, že sovětská účast snad neodpovídá přáním zemi, vůěi nimž jsme se zavázali. Ne</w:t>
      </w:r>
      <w:r>
        <w:rPr>
          <w:b/>
          <w:bCs/>
        </w:rPr>
        <w:softHyphen/>
        <w:t>chceme je od sebe odděliti. Navrhli jsme proto Busku, aby prohlásilo, že je ochotno pomoci Polsku a Bumunsku v té míře, jak bude jeho pomoc žád</w:t>
      </w:r>
      <w:r>
        <w:rPr>
          <w:b/>
          <w:bCs/>
        </w:rPr>
        <w:t>ána, jestliže Velká Britanie a Francie před tím vstoupily do války, aby splnily své zá</w:t>
      </w:r>
      <w:r>
        <w:rPr>
          <w:b/>
          <w:bCs/>
        </w:rPr>
        <w:softHyphen/>
        <w:t xml:space="preserve">vazky.® </w:t>
      </w:r>
      <w:r>
        <w:rPr>
          <w:b/>
          <w:bCs/>
          <w:lang w:val="en-US" w:eastAsia="en-US" w:bidi="en-US"/>
        </w:rPr>
        <w:t xml:space="preserve">Chamberlain </w:t>
      </w:r>
      <w:r>
        <w:rPr>
          <w:b/>
          <w:bCs/>
        </w:rPr>
        <w:t>pak dovozoval, že tento návrh nebyl proti zásadě rovnosti, protože, nepamatoval-Ii na případ pří</w:t>
      </w:r>
      <w:r>
        <w:rPr>
          <w:b/>
          <w:bCs/>
        </w:rPr>
        <w:softHyphen/>
        <w:t xml:space="preserve">mého útoku na Sovětský Svaz, nepamatoval naopak ani </w:t>
      </w:r>
      <w:r>
        <w:rPr>
          <w:b/>
          <w:bCs/>
        </w:rPr>
        <w:t xml:space="preserve">na případ přímého útoku na Anglii. Anglie nechce, aby </w:t>
      </w:r>
      <w:r>
        <w:rPr>
          <w:b/>
          <w:bCs/>
          <w:lang w:val="en-US" w:eastAsia="en-US" w:bidi="en-US"/>
        </w:rPr>
        <w:t xml:space="preserve">Busko </w:t>
      </w:r>
      <w:r>
        <w:rPr>
          <w:b/>
          <w:bCs/>
        </w:rPr>
        <w:t>zasáhlo, nezasáhne-ii ona sama, naopak, ona sama by za</w:t>
      </w:r>
      <w:r>
        <w:rPr>
          <w:b/>
          <w:bCs/>
        </w:rPr>
        <w:softHyphen/>
        <w:t xml:space="preserve">sáhla, aniž- by čekala na to, co učiní </w:t>
      </w:r>
      <w:r>
        <w:rPr>
          <w:b/>
          <w:bCs/>
          <w:lang w:val="en-US" w:eastAsia="en-US" w:bidi="en-US"/>
        </w:rPr>
        <w:t xml:space="preserve">Busko. </w:t>
      </w:r>
      <w:r>
        <w:rPr>
          <w:b/>
          <w:bCs/>
        </w:rPr>
        <w:t>Tedy žádné nerovnosti tu není, anebo je-li nějaká, je ve prospěch Sovět</w:t>
      </w:r>
      <w:r>
        <w:rPr>
          <w:b/>
          <w:bCs/>
        </w:rPr>
        <w:softHyphen/>
        <w:t>ského Svazu. Anglie nec</w:t>
      </w:r>
      <w:r>
        <w:rPr>
          <w:b/>
          <w:bCs/>
        </w:rPr>
        <w:t>hce získat jednu zemi a při tom od</w:t>
      </w:r>
      <w:r>
        <w:rPr>
          <w:b/>
          <w:bCs/>
        </w:rPr>
        <w:softHyphen/>
        <w:t>razit druhou, xNemohu si pomoci, ale zdá se mi, že nějaký závoj nebo zeď dělí obě vlády, jejž je těžko proniknouti, a že — kdybychom k tomu byli měli příležitost — byli by- chom mohli v Ženevě proraziti otvor a podat si r</w:t>
      </w:r>
      <w:r>
        <w:rPr>
          <w:b/>
          <w:bCs/>
        </w:rPr>
        <w:t xml:space="preserve">uce.® Chur- chilla a Edena tato obrana neuspokojila. </w:t>
      </w:r>
      <w:r>
        <w:rPr>
          <w:b/>
          <w:bCs/>
          <w:lang w:val="en-US" w:eastAsia="en-US" w:bidi="en-US"/>
        </w:rPr>
        <w:t xml:space="preserve">Churchill </w:t>
      </w:r>
      <w:r>
        <w:rPr>
          <w:b/>
          <w:bCs/>
        </w:rPr>
        <w:t xml:space="preserve">vy. týkal, že </w:t>
      </w:r>
      <w:r>
        <w:rPr>
          <w:b/>
          <w:bCs/>
          <w:lang w:val="en-US" w:eastAsia="en-US" w:bidi="en-US"/>
        </w:rPr>
        <w:t xml:space="preserve">Chamberlain </w:t>
      </w:r>
      <w:r>
        <w:rPr>
          <w:b/>
          <w:bCs/>
        </w:rPr>
        <w:t>rozpory sněmovně nevysvětlil, a rov. nou se přimlouval za trojdohodu s Buskem a za záruky bal. tickým státům. A E d e n doporučoval »eo nejúplnější a nej- širší® dohod</w:t>
      </w:r>
      <w:r>
        <w:rPr>
          <w:b/>
          <w:bCs/>
        </w:rPr>
        <w:t>u s Buskem.</w:t>
      </w:r>
    </w:p>
    <w:p w:rsidR="00500724" w:rsidRDefault="00F30FB8">
      <w:pPr>
        <w:pStyle w:val="Zkladntext1"/>
        <w:shd w:val="clear" w:color="auto" w:fill="auto"/>
        <w:spacing w:line="187" w:lineRule="auto"/>
        <w:ind w:firstLine="320"/>
      </w:pPr>
      <w:r>
        <w:rPr>
          <w:b/>
          <w:bCs/>
        </w:rPr>
        <w:t xml:space="preserve">Pod dojmem této debaty jel tedy </w:t>
      </w:r>
      <w:r>
        <w:rPr>
          <w:b/>
          <w:bCs/>
          <w:lang w:val="en-US" w:eastAsia="en-US" w:bidi="en-US"/>
        </w:rPr>
        <w:t xml:space="preserve">Halifax </w:t>
      </w:r>
      <w:r>
        <w:rPr>
          <w:b/>
          <w:bCs/>
        </w:rPr>
        <w:t xml:space="preserve">do Ženevy. Optimistické zprávy anglického a francouzského tisku o je- ho jednání pak vypadaly tak, že »závoj nebo zeď« bylý opravdu proraženy a že si partneři podali ruce. </w:t>
      </w:r>
      <w:r>
        <w:rPr>
          <w:b/>
          <w:bCs/>
          <w:lang w:val="en-US" w:eastAsia="en-US" w:bidi="en-US"/>
        </w:rPr>
        <w:t xml:space="preserve">Halifax </w:t>
      </w:r>
      <w:r>
        <w:rPr>
          <w:b/>
          <w:bCs/>
        </w:rPr>
        <w:t>se vrátil ze Ženevy s no</w:t>
      </w:r>
      <w:r>
        <w:rPr>
          <w:b/>
          <w:bCs/>
        </w:rPr>
        <w:t>vým návrhem, jejž ve středu 24. května přednesl v britské ministerské řadě. A ministerská rada jej přijala. Zásada anglické aliance s Buskem byla schválena. Nový návrh tedy zase putoval do Moskvy a zase nastalo veliké čekáni, jak Moskva odpoví. Podle zpráv</w:t>
      </w:r>
      <w:r>
        <w:rPr>
          <w:b/>
          <w:bCs/>
        </w:rPr>
        <w:t xml:space="preserve">, které o něm pronikly do tisku, vypadal asi takto: Anglie, Francie </w:t>
      </w:r>
      <w:r>
        <w:rPr>
          <w:b/>
          <w:bCs/>
          <w:lang w:val="en-US" w:eastAsia="en-US" w:bidi="en-US"/>
        </w:rPr>
        <w:t xml:space="preserve">a Busko </w:t>
      </w:r>
      <w:r>
        <w:rPr>
          <w:b/>
          <w:bCs/>
        </w:rPr>
        <w:t>uzavrou mezi sebou pakt o vzájemné pomoci, a to » v duchu 16. článku smlouvy Společností národů«. Jméno- vaně tři státy se zaváži, že společně poskytnou pomoc jiným státům, které b</w:t>
      </w:r>
      <w:r>
        <w:rPr>
          <w:b/>
          <w:bCs/>
        </w:rPr>
        <w:t>y byly napadeny a o pomoc požádaly. V, případě válečného nebezpečí v Evropě sejdou se smluvní vel</w:t>
      </w:r>
      <w:r>
        <w:rPr>
          <w:b/>
          <w:bCs/>
        </w:rPr>
        <w:softHyphen/>
        <w:t>moci hned k poradě. Domluví se také, jakým způsobem by poskytly svou pomoc tomu ěi onomu státu, při čemž vez</w:t>
      </w:r>
      <w:r>
        <w:rPr>
          <w:b/>
          <w:bCs/>
        </w:rPr>
        <w:softHyphen/>
        <w:t>mou ohled na přáni dotyčného státu. Jak patrno, j</w:t>
      </w:r>
      <w:r>
        <w:rPr>
          <w:b/>
          <w:bCs/>
        </w:rPr>
        <w:t>e to kom</w:t>
      </w:r>
      <w:r>
        <w:rPr>
          <w:b/>
          <w:bCs/>
        </w:rPr>
        <w:softHyphen/>
        <w:t xml:space="preserve">promis mezi stanoviskem anglickým a sovětským. Podle francouzského tisku je jeho hlavním autorem </w:t>
      </w:r>
      <w:r>
        <w:rPr>
          <w:b/>
          <w:bCs/>
          <w:lang w:val="en-US" w:eastAsia="en-US" w:bidi="en-US"/>
        </w:rPr>
        <w:t>Bonnet.</w:t>
      </w:r>
    </w:p>
    <w:p w:rsidR="00500724" w:rsidRDefault="00F30FB8">
      <w:pPr>
        <w:pStyle w:val="Zkladntext1"/>
        <w:shd w:val="clear" w:color="auto" w:fill="auto"/>
        <w:spacing w:after="60" w:line="187" w:lineRule="auto"/>
        <w:ind w:firstLine="320"/>
      </w:pPr>
      <w:r>
        <w:rPr>
          <w:b/>
          <w:bCs/>
        </w:rPr>
        <w:t xml:space="preserve">V Moskvě zasedal od 25. května nejvyšší sovět a bylo ohlášeno, že na něm promluví </w:t>
      </w:r>
      <w:r>
        <w:rPr>
          <w:b/>
          <w:bCs/>
          <w:lang w:val="en-US" w:eastAsia="en-US" w:bidi="en-US"/>
        </w:rPr>
        <w:t xml:space="preserve">Molotov </w:t>
      </w:r>
      <w:r>
        <w:rPr>
          <w:b/>
          <w:bCs/>
        </w:rPr>
        <w:t>o zahraniční si</w:t>
      </w:r>
      <w:r>
        <w:rPr>
          <w:b/>
          <w:bCs/>
        </w:rPr>
        <w:softHyphen/>
        <w:t xml:space="preserve">tuaci. Na západě čekali, že </w:t>
      </w:r>
      <w:r>
        <w:rPr>
          <w:b/>
          <w:bCs/>
          <w:lang w:val="en-US" w:eastAsia="en-US" w:bidi="en-US"/>
        </w:rPr>
        <w:t xml:space="preserve">Molotov </w:t>
      </w:r>
      <w:r>
        <w:rPr>
          <w:b/>
          <w:bCs/>
        </w:rPr>
        <w:t>slavnostně ohlásí sovět</w:t>
      </w:r>
      <w:r>
        <w:rPr>
          <w:b/>
          <w:bCs/>
        </w:rPr>
        <w:softHyphen/>
        <w:t>ský souhlas s posledním anglo-francousským návrhem, a zá</w:t>
      </w:r>
      <w:r>
        <w:rPr>
          <w:b/>
          <w:bCs/>
        </w:rPr>
        <w:softHyphen/>
        <w:t>padní tisk ohlašoval tuto událost trochu neopatrně už na</w:t>
      </w:r>
      <w:r>
        <w:rPr>
          <w:b/>
          <w:bCs/>
        </w:rPr>
        <w:softHyphen/>
        <w:t xml:space="preserve">před. Událost nenastala. </w:t>
      </w:r>
      <w:r>
        <w:rPr>
          <w:b/>
          <w:bCs/>
          <w:lang w:val="en-US" w:eastAsia="en-US" w:bidi="en-US"/>
        </w:rPr>
        <w:t xml:space="preserve">Molotov </w:t>
      </w:r>
      <w:r>
        <w:rPr>
          <w:b/>
          <w:bCs/>
        </w:rPr>
        <w:t>sice dal najevo sovětskou ochotu uzavřít s Anglií a Francií spolek, ale stejně zřetel</w:t>
      </w:r>
      <w:r>
        <w:rPr>
          <w:b/>
          <w:bCs/>
        </w:rPr>
        <w:t>ně pověděl, že poslední návrhy ještě nestačí. Zdály se mu příliš zakiausulovány, nelíbila se mu zmínka o 16. článku s m 1 o u- vy Společnosti národů, který by podle sovětského názoru mohl být záminkou k odkladu rychlé vojenské vzá</w:t>
      </w:r>
      <w:r>
        <w:rPr>
          <w:b/>
          <w:bCs/>
        </w:rPr>
        <w:softHyphen/>
        <w:t xml:space="preserve">jemné pomoci, a konečně </w:t>
      </w:r>
      <w:r>
        <w:rPr>
          <w:b/>
          <w:bCs/>
          <w:lang w:val="en-US" w:eastAsia="en-US" w:bidi="en-US"/>
        </w:rPr>
        <w:t>M</w:t>
      </w:r>
      <w:r>
        <w:rPr>
          <w:b/>
          <w:bCs/>
          <w:lang w:val="en-US" w:eastAsia="en-US" w:bidi="en-US"/>
        </w:rPr>
        <w:t xml:space="preserve">olotov </w:t>
      </w:r>
      <w:r>
        <w:rPr>
          <w:b/>
          <w:bCs/>
        </w:rPr>
        <w:t>postrádal výslovnou zmín</w:t>
      </w:r>
      <w:r>
        <w:rPr>
          <w:b/>
          <w:bCs/>
        </w:rPr>
        <w:softHyphen/>
        <w:t>ku o baltických státech. Sovětské stanovisko, od něhož se Moskva podle jeho slov nehodlá odchýliti, je tedy toto: úplná a vzájemná aliance anglo-franko-sovětská, která by společně zaručila ostatní středoevropské a východoevr</w:t>
      </w:r>
      <w:r>
        <w:rPr>
          <w:b/>
          <w:bCs/>
        </w:rPr>
        <w:t>op</w:t>
      </w:r>
      <w:r>
        <w:rPr>
          <w:b/>
          <w:bCs/>
        </w:rPr>
        <w:softHyphen/>
        <w:t xml:space="preserve">ské státy, včetně všech, které sousedí s Buskem; a rychlé porady o tom, jak tuto pomoc technicky provést. Z. </w:t>
      </w:r>
      <w:r>
        <w:rPr>
          <w:b/>
          <w:bCs/>
          <w:lang w:val="en-US" w:eastAsia="en-US" w:bidi="en-US"/>
        </w:rPr>
        <w:t>S'.</w:t>
      </w:r>
    </w:p>
    <w:p w:rsidR="00500724" w:rsidRDefault="00F30FB8">
      <w:pPr>
        <w:pStyle w:val="Nadpis120"/>
        <w:shd w:val="clear" w:color="auto" w:fill="auto"/>
        <w:spacing w:after="60"/>
        <w:ind w:left="0"/>
        <w:jc w:val="center"/>
      </w:pPr>
      <w:bookmarkStart w:id="570" w:name="bookmark569"/>
      <w:r>
        <w:t>Oposice proti Chamberlainovi</w:t>
      </w:r>
      <w:bookmarkEnd w:id="570"/>
    </w:p>
    <w:p w:rsidR="00500724" w:rsidRDefault="00F30FB8">
      <w:pPr>
        <w:pStyle w:val="Zkladntext1"/>
        <w:shd w:val="clear" w:color="auto" w:fill="auto"/>
        <w:spacing w:after="60" w:line="185" w:lineRule="auto"/>
        <w:ind w:firstLine="320"/>
        <w:sectPr w:rsidR="00500724">
          <w:footnotePr>
            <w:numFmt w:val="chicago"/>
            <w:numRestart w:val="eachPage"/>
          </w:footnotePr>
          <w:type w:val="continuous"/>
          <w:pgSz w:w="11909" w:h="16834"/>
          <w:pgMar w:top="1033" w:right="910" w:bottom="675" w:left="660" w:header="0" w:footer="3" w:gutter="0"/>
          <w:cols w:num="2" w:space="144"/>
          <w:noEndnote/>
          <w:docGrid w:linePitch="360"/>
        </w:sectPr>
      </w:pPr>
      <w:r>
        <w:rPr>
          <w:b/>
          <w:bCs/>
        </w:rPr>
        <w:t xml:space="preserve">Po dvacetiměsíční přestávce sešel se k několikadennímu zasedání sjezd anglické </w:t>
      </w:r>
      <w:r>
        <w:rPr>
          <w:b/>
          <w:bCs/>
          <w:lang w:val="en-US" w:eastAsia="en-US" w:bidi="en-US"/>
        </w:rPr>
        <w:t>La</w:t>
      </w:r>
      <w:r>
        <w:rPr>
          <w:b/>
          <w:bCs/>
          <w:lang w:val="en-US" w:eastAsia="en-US" w:bidi="en-US"/>
        </w:rPr>
        <w:t xml:space="preserve">bour </w:t>
      </w:r>
      <w:r>
        <w:rPr>
          <w:b/>
          <w:bCs/>
        </w:rPr>
        <w:t xml:space="preserve">Party. Neúčastnil se ho vůdce oposice a šéf strany major </w:t>
      </w:r>
      <w:r>
        <w:rPr>
          <w:b/>
          <w:bCs/>
          <w:lang w:val="en-US" w:eastAsia="en-US" w:bidi="en-US"/>
        </w:rPr>
        <w:t xml:space="preserve">Attlee, </w:t>
      </w:r>
      <w:r>
        <w:rPr>
          <w:b/>
          <w:bCs/>
        </w:rPr>
        <w:t>který onemoc</w:t>
      </w:r>
      <w:r>
        <w:rPr>
          <w:b/>
          <w:bCs/>
        </w:rPr>
        <w:softHyphen/>
        <w:t>něl. Poslal však sjezdu významný písemný projev. Praví v něm, že není vyloučeno, že letos dojde k parlamentním volbám ve Velké Britanii a vybízí stranu, aby učinila k nhn .v</w:t>
      </w:r>
      <w:r>
        <w:rPr>
          <w:b/>
          <w:bCs/>
        </w:rPr>
        <w:t>šechny přípravy. Napadá ostře vládu, která nedovedla přes obrovské zbrojní objednávky dáti práci všem nezaměstna</w:t>
      </w:r>
      <w:r>
        <w:rPr>
          <w:b/>
          <w:bCs/>
        </w:rPr>
        <w:softHyphen/>
        <w:t xml:space="preserve">ným. Velmi zajímavé bylo, že ve svém dopise </w:t>
      </w:r>
      <w:r>
        <w:rPr>
          <w:b/>
          <w:bCs/>
          <w:lang w:val="en-US" w:eastAsia="en-US" w:bidi="en-US"/>
        </w:rPr>
        <w:t xml:space="preserve">Attlee </w:t>
      </w:r>
      <w:r>
        <w:rPr>
          <w:b/>
          <w:bCs/>
        </w:rPr>
        <w:t>sice kritisnje nedávné zavedení částečné branné povinnosti a vy</w:t>
      </w:r>
      <w:r>
        <w:rPr>
          <w:b/>
          <w:bCs/>
        </w:rPr>
        <w:softHyphen/>
        <w:t>slovuje se stále ještě pro p</w:t>
      </w:r>
      <w:r>
        <w:rPr>
          <w:b/>
          <w:bCs/>
        </w:rPr>
        <w:t>rincip dobrovolné vojenské služ</w:t>
      </w:r>
      <w:r>
        <w:rPr>
          <w:b/>
          <w:bCs/>
        </w:rPr>
        <w:softHyphen/>
        <w:t>by, ale když sjezd o této věci hlasoval, byla povinná vojen</w:t>
      </w:r>
      <w:r>
        <w:rPr>
          <w:b/>
          <w:bCs/>
        </w:rPr>
        <w:softHyphen/>
        <w:t xml:space="preserve">ská presenění služba (nehledíme-li k obvyklým zaklausulo- váným formulacím) schválena velkou většinou. Profesor </w:t>
      </w:r>
      <w:r>
        <w:rPr>
          <w:b/>
          <w:bCs/>
          <w:lang w:val="en-US" w:eastAsia="en-US" w:bidi="en-US"/>
        </w:rPr>
        <w:t xml:space="preserve">Hugh Dalton </w:t>
      </w:r>
      <w:r>
        <w:rPr>
          <w:b/>
          <w:bCs/>
        </w:rPr>
        <w:t>učinil rovněž písemný projev, prudce nap</w:t>
      </w:r>
      <w:r>
        <w:rPr>
          <w:b/>
          <w:bCs/>
        </w:rPr>
        <w:t>a</w:t>
      </w:r>
      <w:r>
        <w:rPr>
          <w:b/>
          <w:bCs/>
        </w:rPr>
        <w:softHyphen/>
        <w:t xml:space="preserve">dající Chamberlainovu vládu. Praví v něm, že kandidáti konservativní strany nemohou již při volebních schůzích vztyčit s hrdostí britskou vlajku, že »starý muž z Mnichova (rozuměj </w:t>
      </w:r>
      <w:r>
        <w:rPr>
          <w:b/>
          <w:bCs/>
          <w:lang w:val="en-US" w:eastAsia="en-US" w:bidi="en-US"/>
        </w:rPr>
        <w:t xml:space="preserve">Chamberlain) </w:t>
      </w:r>
      <w:r>
        <w:rPr>
          <w:b/>
          <w:bCs/>
        </w:rPr>
        <w:t>a jeho pomahači mohou vztyčit jen bílou vlajku zbabělců a čer</w:t>
      </w:r>
      <w:r>
        <w:rPr>
          <w:b/>
          <w:bCs/>
        </w:rPr>
        <w:t xml:space="preserve">nou vlajku zrádců.« V podobně ostrém tónu, na britské poměry nezvyklém, pokračoval </w:t>
      </w:r>
      <w:r>
        <w:rPr>
          <w:b/>
          <w:bCs/>
          <w:i/>
          <w:iCs/>
          <w:sz w:val="20"/>
          <w:szCs w:val="20"/>
        </w:rPr>
        <w:t>ta</w:t>
      </w:r>
      <w:r>
        <w:rPr>
          <w:b/>
          <w:bCs/>
          <w:i/>
          <w:iCs/>
          <w:sz w:val="20"/>
          <w:szCs w:val="20"/>
        </w:rPr>
        <w:softHyphen/>
      </w:r>
      <w:r>
        <w:rPr>
          <w:b/>
          <w:bCs/>
          <w:i/>
          <w:iCs/>
        </w:rPr>
        <w:t>ké</w:t>
      </w:r>
      <w:r>
        <w:rPr>
          <w:b/>
          <w:bCs/>
        </w:rPr>
        <w:t xml:space="preserve"> předseda sjezdu Dallas ve své zahajovací řeči, v níž vykládal zahraniční situaci. Prohlásil, že »země je ohrože</w:t>
      </w:r>
      <w:r>
        <w:rPr>
          <w:b/>
          <w:bCs/>
        </w:rPr>
        <w:softHyphen/>
        <w:t>na jako nikdy. Jsme na počátku částečné mobilisace. Usm</w:t>
      </w:r>
      <w:r>
        <w:rPr>
          <w:b/>
          <w:bCs/>
        </w:rPr>
        <w:t>í</w:t>
      </w:r>
      <w:r>
        <w:rPr>
          <w:b/>
          <w:bCs/>
        </w:rPr>
        <w:softHyphen/>
        <w:t>ření v Evropě se ukázalo jako iluse. Vítáme pakty s Pol</w:t>
      </w:r>
      <w:r>
        <w:rPr>
          <w:b/>
          <w:bCs/>
        </w:rPr>
        <w:softHyphen/>
        <w:t>skem, Bumunskem a Řeckem, ale jsou nebezpečně neúplné bez Ruska. Vláda se ukázala jako neschopná, všechno po</w:t>
      </w:r>
      <w:r>
        <w:rPr>
          <w:b/>
          <w:bCs/>
        </w:rPr>
        <w:softHyphen/>
        <w:t>pletla, poškodila britskou prestiž a ohrozila britskou bez</w:t>
      </w:r>
      <w:r>
        <w:rPr>
          <w:b/>
          <w:bCs/>
        </w:rPr>
        <w:softHyphen/>
        <w:t>pečnost. Neukázala ani předvíd</w:t>
      </w:r>
      <w:r>
        <w:rPr>
          <w:b/>
          <w:bCs/>
        </w:rPr>
        <w:t>avost, ani opatrnost, ani sta</w:t>
      </w:r>
      <w:r>
        <w:rPr>
          <w:b/>
          <w:bCs/>
        </w:rPr>
        <w:softHyphen/>
        <w:t>tečnost, ani představivost.® Pak kritisoval nemilosrdně za</w:t>
      </w:r>
      <w:r>
        <w:rPr>
          <w:b/>
          <w:bCs/>
        </w:rPr>
        <w:softHyphen/>
        <w:t>nedbané letectví, nedostatečný stav protiletecké ochrany, »groíeskni náhražku« za ministerstvo municí a zejména vy</w:t>
      </w:r>
      <w:r>
        <w:rPr>
          <w:b/>
          <w:bCs/>
        </w:rPr>
        <w:softHyphen/>
        <w:t>týkal, že válečné dodávky byly dány do rukou »kořist</w:t>
      </w:r>
      <w:r>
        <w:rPr>
          <w:b/>
          <w:bCs/>
        </w:rPr>
        <w:t>ní- kům®. Vyslovil se pro obnovu světového obchodu a pro do</w:t>
      </w:r>
      <w:r>
        <w:rPr>
          <w:b/>
          <w:bCs/>
        </w:rPr>
        <w:softHyphen/>
        <w:t>rozuměni národů na podkladě obecné svobody všech.</w:t>
      </w:r>
    </w:p>
    <w:p w:rsidR="00500724" w:rsidRDefault="00F30FB8">
      <w:pPr>
        <w:pStyle w:val="Zkladntext1"/>
        <w:shd w:val="clear" w:color="auto" w:fill="auto"/>
        <w:spacing w:line="185" w:lineRule="auto"/>
        <w:ind w:firstLine="300"/>
      </w:pPr>
      <w:r>
        <w:rPr>
          <w:b/>
          <w:bCs/>
        </w:rPr>
        <w:t>Současně možno pozorovat, že i liberální strana, která počítá sice s jistým oslabením v severoanglických okresech, ale přece jen doufá, že své pos</w:t>
      </w:r>
      <w:r>
        <w:rPr>
          <w:b/>
          <w:bCs/>
        </w:rPr>
        <w:t>ice zejména na jihu udrží, zostřuje jak v parlamentě, tak i na venkově kampaň proti vládě. S když není zatím pravděpodobné, že za této meziná</w:t>
      </w:r>
      <w:r>
        <w:rPr>
          <w:b/>
          <w:bCs/>
        </w:rPr>
        <w:softHyphen/>
        <w:t xml:space="preserve">rodní i domácí situace by Chamberlainova vláda měla chuť do parlamentních voleb, je tato zvýšená aktivita oposice </w:t>
      </w:r>
      <w:r>
        <w:rPr>
          <w:b/>
          <w:bCs/>
        </w:rPr>
        <w:t>charakteristická. Souvisí to patrně s tim, že také známá Clivedenská klika (lady Astorová, šéfredaktor »Times« plu</w:t>
      </w:r>
      <w:r>
        <w:rPr>
          <w:b/>
          <w:bCs/>
        </w:rPr>
        <w:softHyphen/>
        <w:t xml:space="preserve">kovník </w:t>
      </w:r>
      <w:r>
        <w:rPr>
          <w:b/>
          <w:bCs/>
          <w:lang w:val="en-US" w:eastAsia="en-US" w:bidi="en-US"/>
        </w:rPr>
        <w:t xml:space="preserve">Dawson, </w:t>
      </w:r>
      <w:r>
        <w:rPr>
          <w:b/>
          <w:bCs/>
        </w:rPr>
        <w:t xml:space="preserve">spolumajitelé »Times« Walterovi, lord </w:t>
      </w:r>
      <w:r>
        <w:rPr>
          <w:b/>
          <w:bCs/>
          <w:lang w:val="en-US" w:eastAsia="en-US" w:bidi="en-US"/>
        </w:rPr>
        <w:t xml:space="preserve">Londonderry </w:t>
      </w:r>
      <w:r>
        <w:rPr>
          <w:b/>
          <w:bCs/>
        </w:rPr>
        <w:t>a jiní) již Chamberlaina nepodporuje tak, ja</w:t>
      </w:r>
      <w:r>
        <w:rPr>
          <w:b/>
          <w:bCs/>
        </w:rPr>
        <w:softHyphen/>
        <w:t>ko dříve.</w:t>
      </w:r>
    </w:p>
    <w:p w:rsidR="00500724" w:rsidRDefault="00F30FB8">
      <w:pPr>
        <w:pStyle w:val="Zkladntext1"/>
        <w:shd w:val="clear" w:color="auto" w:fill="auto"/>
        <w:tabs>
          <w:tab w:val="left" w:pos="4690"/>
        </w:tabs>
        <w:spacing w:after="120" w:line="185" w:lineRule="auto"/>
        <w:ind w:firstLine="300"/>
        <w:rPr>
          <w:sz w:val="20"/>
          <w:szCs w:val="20"/>
        </w:rPr>
      </w:pPr>
      <w:r>
        <w:rPr>
          <w:b/>
          <w:bCs/>
        </w:rPr>
        <w:t>Ostatně tyto věci maj</w:t>
      </w:r>
      <w:r>
        <w:rPr>
          <w:b/>
          <w:bCs/>
        </w:rPr>
        <w:t>í vesměs ještě asi hlubší meziná- rodní souvislosti. Jednání s balkánskými státy, které ne</w:t>
      </w:r>
      <w:r>
        <w:rPr>
          <w:b/>
          <w:bCs/>
        </w:rPr>
        <w:softHyphen/>
        <w:t>chovají valné důvěry k Chamberlainově vládě po zkušeno</w:t>
      </w:r>
      <w:r>
        <w:rPr>
          <w:b/>
          <w:bCs/>
        </w:rPr>
        <w:softHyphen/>
        <w:t>stech ostatních malých zemí s ní, úspěšně se končící rozho</w:t>
      </w:r>
      <w:r>
        <w:rPr>
          <w:b/>
          <w:bCs/>
        </w:rPr>
        <w:softHyphen/>
        <w:t>vory s Ruskem a stálé sbližování se Spojenými Státy</w:t>
      </w:r>
      <w:r>
        <w:rPr>
          <w:b/>
          <w:bCs/>
        </w:rPr>
        <w:t xml:space="preserve"> ame</w:t>
      </w:r>
      <w:r>
        <w:rPr>
          <w:b/>
          <w:bCs/>
        </w:rPr>
        <w:softHyphen/>
        <w:t>rickými, zkrátka celý systém tak zvané obkličovací politiky povede patrně ke změně vlády v Anglii. A tento směr poli</w:t>
      </w:r>
      <w:r>
        <w:rPr>
          <w:b/>
          <w:bCs/>
        </w:rPr>
        <w:softHyphen/>
        <w:t>tiky byl vynucován po dlouhé měsíce právě oposici, jejíž politiku vlastně Chamberlainova vláda, byf váhavě, přece jenom vlastně přijal</w:t>
      </w:r>
      <w:r>
        <w:rPr>
          <w:b/>
          <w:bCs/>
        </w:rPr>
        <w:t>a. Nesmí se také zapomínat! že Spoje</w:t>
      </w:r>
      <w:r>
        <w:rPr>
          <w:b/>
          <w:bCs/>
        </w:rPr>
        <w:softHyphen/>
        <w:t>né Státy americké několikráte projevily po Mnichovu kraj</w:t>
      </w:r>
      <w:r>
        <w:rPr>
          <w:b/>
          <w:bCs/>
        </w:rPr>
        <w:softHyphen/>
        <w:t>ní nedůvěru k Chamberlainovi.</w:t>
      </w:r>
      <w:r>
        <w:rPr>
          <w:b/>
          <w:bCs/>
        </w:rPr>
        <w:tab/>
      </w:r>
      <w:r>
        <w:rPr>
          <w:i/>
          <w:iCs/>
          <w:sz w:val="20"/>
          <w:szCs w:val="20"/>
        </w:rPr>
        <w:t>Cis</w:t>
      </w:r>
    </w:p>
    <w:p w:rsidR="00500724" w:rsidRDefault="00F30FB8">
      <w:pPr>
        <w:pStyle w:val="Zkladntext1"/>
        <w:shd w:val="clear" w:color="auto" w:fill="auto"/>
        <w:spacing w:after="40" w:line="175" w:lineRule="auto"/>
        <w:ind w:firstLine="0"/>
        <w:jc w:val="center"/>
        <w:rPr>
          <w:sz w:val="20"/>
          <w:szCs w:val="20"/>
        </w:rPr>
      </w:pPr>
      <w:r>
        <w:rPr>
          <w:b/>
          <w:bCs/>
          <w:sz w:val="20"/>
          <w:szCs w:val="20"/>
        </w:rPr>
        <w:t>Organisovaná česká mládež</w:t>
      </w:r>
    </w:p>
    <w:p w:rsidR="00500724" w:rsidRDefault="00F30FB8">
      <w:pPr>
        <w:pStyle w:val="Zkladntext1"/>
        <w:shd w:val="clear" w:color="auto" w:fill="auto"/>
        <w:spacing w:line="185" w:lineRule="auto"/>
      </w:pPr>
      <w:r>
        <w:rPr>
          <w:b/>
          <w:bCs/>
        </w:rPr>
        <w:t xml:space="preserve">Přes půl milionu mladých lidí věku od 17 do 24 let přihlásilo se v rekordně krátké době do organisace </w:t>
      </w:r>
      <w:r>
        <w:rPr>
          <w:b/>
          <w:bCs/>
        </w:rPr>
        <w:t>mlá</w:t>
      </w:r>
      <w:r>
        <w:rPr>
          <w:b/>
          <w:bCs/>
        </w:rPr>
        <w:softHyphen/>
        <w:t>deže Národního souručenství. A jako dosud vždy, tak se také to stalo bez nátlaku, prostým pochopením, dík poli</w:t>
      </w:r>
      <w:r>
        <w:rPr>
          <w:b/>
          <w:bCs/>
        </w:rPr>
        <w:softHyphen/>
        <w:t xml:space="preserve">tickému rozumu našeho národa. Také tato mládež viděla, že jde o to, sečíst všechny Čechy na našem dnešním území, sečíst je nejenom ve smyslu </w:t>
      </w:r>
      <w:r>
        <w:rPr>
          <w:b/>
          <w:bCs/>
        </w:rPr>
        <w:t>matematickém, ale organisačním, polit i c- ko-psychologickém. Sečíst proto, aby nemohli býti děleni, rozdělováni, aby se z jejich síly nemohlo nic Odečítat, naopak, aby se tímto organisačním sjedno</w:t>
      </w:r>
      <w:r>
        <w:rPr>
          <w:b/>
          <w:bCs/>
        </w:rPr>
        <w:softHyphen/>
        <w:t>cením sila mládeže českého národa a tím nás všech zná</w:t>
      </w:r>
      <w:r>
        <w:rPr>
          <w:b/>
          <w:bCs/>
        </w:rPr>
        <w:softHyphen/>
        <w:t>sobi</w:t>
      </w:r>
      <w:r>
        <w:rPr>
          <w:b/>
          <w:bCs/>
        </w:rPr>
        <w:t>la.</w:t>
      </w:r>
    </w:p>
    <w:p w:rsidR="00500724" w:rsidRDefault="00F30FB8">
      <w:pPr>
        <w:pStyle w:val="Zkladntext1"/>
        <w:shd w:val="clear" w:color="auto" w:fill="auto"/>
        <w:spacing w:line="185" w:lineRule="auto"/>
      </w:pPr>
      <w:r>
        <w:rPr>
          <w:b/>
          <w:bCs/>
        </w:rPr>
        <w:t>Téměř sto procent české mládeže — sotva jedno procento chybí — se na první ráz přihlásilo do řad Národního sou</w:t>
      </w:r>
      <w:r>
        <w:rPr>
          <w:b/>
          <w:bCs/>
        </w:rPr>
        <w:softHyphen/>
        <w:t>ručenství. Půl milionu mladých Udí, to je již síla, která i v dnešních poměrech znamená mnoho. Také morálně mnoho.</w:t>
      </w:r>
    </w:p>
    <w:p w:rsidR="00500724" w:rsidRDefault="00F30FB8">
      <w:pPr>
        <w:pStyle w:val="Zkladntext1"/>
        <w:shd w:val="clear" w:color="auto" w:fill="auto"/>
        <w:spacing w:line="185" w:lineRule="auto"/>
      </w:pPr>
      <w:r>
        <w:rPr>
          <w:b/>
          <w:bCs/>
        </w:rPr>
        <w:t>Jejich přední úkoly jsou d</w:t>
      </w:r>
      <w:r>
        <w:rPr>
          <w:b/>
          <w:bCs/>
        </w:rPr>
        <w:t>va: Za prvé: Držet národní jednotu. Pomáhat, aby nikým a ničím nemohla býti jednota českého národa rozbíjena. Aby se netvořila uměle z bídných důvodů atmosféra, v niž by se čeští lidé prali a snad dokonce vzájemně vraždili. Druhý úkol: kon</w:t>
      </w:r>
      <w:r>
        <w:rPr>
          <w:b/>
          <w:bCs/>
        </w:rPr>
        <w:softHyphen/>
        <w:t>struktivně budov</w:t>
      </w:r>
      <w:r>
        <w:rPr>
          <w:b/>
          <w:bCs/>
        </w:rPr>
        <w:t>at optimismus v národě a udržovat jeho silu pro budoucnost.</w:t>
      </w:r>
    </w:p>
    <w:p w:rsidR="00500724" w:rsidRDefault="00F30FB8">
      <w:pPr>
        <w:pStyle w:val="Zkladntext1"/>
        <w:shd w:val="clear" w:color="auto" w:fill="auto"/>
        <w:spacing w:after="40" w:line="185" w:lineRule="auto"/>
        <w:rPr>
          <w:sz w:val="20"/>
          <w:szCs w:val="20"/>
        </w:rPr>
      </w:pPr>
      <w:r>
        <w:rPr>
          <w:b/>
          <w:bCs/>
        </w:rPr>
        <w:t>Mužská mládež ovšem je romantická a tento úkol není příliš romantický. Je však potřebí ho udělat. A na roman</w:t>
      </w:r>
      <w:r>
        <w:rPr>
          <w:b/>
          <w:bCs/>
        </w:rPr>
        <w:softHyphen/>
        <w:t xml:space="preserve">tiku také zase dojde. Stísněnost pomine a budou tu velké budovatelské úkoly, které </w:t>
      </w:r>
      <w:r>
        <w:rPr>
          <w:b/>
          <w:bCs/>
        </w:rPr>
        <w:t>vždycky jsou romantické. Nuže, připravit se na ně. Ted’ však držet národní jed</w:t>
      </w:r>
      <w:r>
        <w:rPr>
          <w:b/>
          <w:bCs/>
        </w:rPr>
        <w:softHyphen/>
        <w:t xml:space="preserve">notu, pomáhat ničit zrádce a rozvratníky a klást zase budovatelské kameny. </w:t>
      </w:r>
      <w:r>
        <w:rPr>
          <w:i/>
          <w:iCs/>
          <w:sz w:val="20"/>
          <w:szCs w:val="20"/>
        </w:rPr>
        <w:t>Cis.</w:t>
      </w:r>
    </w:p>
    <w:p w:rsidR="00500724" w:rsidRDefault="00F30FB8">
      <w:pPr>
        <w:pStyle w:val="Zkladntext1"/>
        <w:shd w:val="clear" w:color="auto" w:fill="auto"/>
        <w:ind w:left="280" w:firstLine="1060"/>
        <w:jc w:val="left"/>
      </w:pPr>
      <w:r>
        <w:rPr>
          <w:b/>
          <w:bCs/>
          <w:sz w:val="20"/>
          <w:szCs w:val="20"/>
        </w:rPr>
        <w:t xml:space="preserve">Klidné volby v Maďarsku </w:t>
      </w:r>
      <w:r>
        <w:rPr>
          <w:b/>
          <w:bCs/>
        </w:rPr>
        <w:t>Parlamentní volby, které se začaly v Maďarsku 28. květ</w:t>
      </w:r>
      <w:r>
        <w:rPr>
          <w:b/>
          <w:bCs/>
        </w:rPr>
        <w:softHyphen/>
      </w:r>
    </w:p>
    <w:p w:rsidR="00500724" w:rsidRDefault="00F30FB8">
      <w:pPr>
        <w:pStyle w:val="Zkladntext1"/>
        <w:shd w:val="clear" w:color="auto" w:fill="auto"/>
        <w:spacing w:line="185" w:lineRule="auto"/>
        <w:ind w:firstLine="0"/>
      </w:pPr>
      <w:r>
        <w:rPr>
          <w:b/>
          <w:bCs/>
        </w:rPr>
        <w:t>na, lišily se dos</w:t>
      </w:r>
      <w:r>
        <w:rPr>
          <w:b/>
          <w:bCs/>
        </w:rPr>
        <w:t>ti podstatně od dřívějších voleb. Po prvé V širším měřítku na základě zákona o volební reformě bylo užito tajného hlasování. Ovšem, mnoho set tisíc lidí z něho bylo vyloučeno na základě úředních posudků o tom, kdo je nedostatečně vzdělán, ěi příliš radikál</w:t>
      </w:r>
      <w:r>
        <w:rPr>
          <w:b/>
          <w:bCs/>
        </w:rPr>
        <w:t>ní, anebo nedosti od</w:t>
      </w:r>
      <w:r>
        <w:rPr>
          <w:b/>
          <w:bCs/>
        </w:rPr>
        <w:softHyphen/>
        <w:t>povědný, aby byl připuštěn k tajným volbám. Nicméně po</w:t>
      </w:r>
      <w:r>
        <w:rPr>
          <w:b/>
          <w:bCs/>
        </w:rPr>
        <w:softHyphen/>
        <w:t>zoruhodné bylo, že tato opatření nevedla k žádným bouřli</w:t>
      </w:r>
      <w:r>
        <w:rPr>
          <w:b/>
          <w:bCs/>
        </w:rPr>
        <w:softHyphen/>
        <w:t>vým výjevům, jako se to stávalo dříve. Vůbec bylo v těchto maďarských volbách relativně užito daleko méně násilí, než dosud</w:t>
      </w:r>
      <w:r>
        <w:rPr>
          <w:b/>
          <w:bCs/>
        </w:rPr>
        <w:t>. Volební kampaň byla krátká, celkem byla vedena Slušně, byla také chudá na násilné činy.</w:t>
      </w:r>
    </w:p>
    <w:p w:rsidR="00500724" w:rsidRDefault="00F30FB8">
      <w:pPr>
        <w:pStyle w:val="Zkladntext1"/>
        <w:shd w:val="clear" w:color="auto" w:fill="auto"/>
        <w:spacing w:line="185" w:lineRule="auto"/>
        <w:ind w:firstLine="180"/>
      </w:pPr>
      <w:r>
        <w:rPr>
          <w:b/>
          <w:bCs/>
        </w:rPr>
        <w:t>_ Nadto posledních sedm dní před nynějšími volbami na Základě zvláštního přísného zákona byl nařízen »týden ticha«, totiž nebylo dovoleno v tomto údobí konati vo</w:t>
      </w:r>
      <w:r>
        <w:rPr>
          <w:b/>
          <w:bCs/>
        </w:rPr>
        <w:softHyphen/>
        <w:t>ličs</w:t>
      </w:r>
      <w:r>
        <w:rPr>
          <w:b/>
          <w:bCs/>
        </w:rPr>
        <w:t>ké schůze a vylepovat volební plakáty. Ostatně i v době agitaee bylo možno pozorovat neobvyklý klid, téměř jakousi únavu a skoro lhostejnost. To souvisí ovšem jak s vnitřní, tak i mezinárodní situaci. Schůzí bylo málo, fantastických Slibů voličům také dale</w:t>
      </w:r>
      <w:r>
        <w:rPr>
          <w:b/>
          <w:bCs/>
        </w:rPr>
        <w:t>ko méně. K urnám se dostavilo asi devět desetin všech voličů z těch, kterým bylo přiznáno vo</w:t>
      </w:r>
      <w:r>
        <w:rPr>
          <w:b/>
          <w:bCs/>
        </w:rPr>
        <w:softHyphen/>
        <w:t>lební právo, čili účast byla značná. Počet vyloučených, kteří se nesměli k volbám dostavit!, ač dosud měli volební právo, není ovšem zatím znám. Z 841 kandidátů by</w:t>
      </w:r>
      <w:r>
        <w:rPr>
          <w:b/>
          <w:bCs/>
        </w:rPr>
        <w:t>lo zvoleno 260 poslanců. Oposice sama postavila 547 kandidátů.</w:t>
      </w:r>
    </w:p>
    <w:p w:rsidR="00500724" w:rsidRDefault="00F30FB8">
      <w:pPr>
        <w:pStyle w:val="Zkladntext1"/>
        <w:shd w:val="clear" w:color="auto" w:fill="auto"/>
        <w:spacing w:line="182" w:lineRule="auto"/>
        <w:ind w:firstLine="280"/>
      </w:pPr>
      <w:r>
        <w:rPr>
          <w:b/>
          <w:bCs/>
        </w:rPr>
        <w:t>Strany v Maďarsku však vlastně se již prakticky nyní nedělí podle bývalých hledisek, nýbrž hlavním dělítkem bylo ve všech stranách, i ve vládnoucí straně, zda je kdo buď pro nacionální socialis</w:t>
      </w:r>
      <w:r>
        <w:rPr>
          <w:b/>
          <w:bCs/>
        </w:rPr>
        <w:t>mus anebo proti. Všechny maďarské stra</w:t>
      </w:r>
      <w:r>
        <w:rPr>
          <w:b/>
          <w:bCs/>
        </w:rPr>
        <w:softHyphen/>
        <w:t>ny se dnes rozdělují zhruba asi do tří skupin, totiž pravou oposici, vládní stranu a levou oposici.</w:t>
      </w:r>
    </w:p>
    <w:p w:rsidR="00500724" w:rsidRDefault="00F30FB8">
      <w:pPr>
        <w:pStyle w:val="Zkladntext1"/>
        <w:shd w:val="clear" w:color="auto" w:fill="auto"/>
        <w:spacing w:line="182" w:lineRule="auto"/>
        <w:ind w:firstLine="280"/>
      </w:pPr>
      <w:r>
        <w:rPr>
          <w:b/>
          <w:bCs/>
        </w:rPr>
        <w:t>Dělítko, o kterém jsme mluvili, prostupuje však jak pra</w:t>
      </w:r>
      <w:r>
        <w:rPr>
          <w:b/>
          <w:bCs/>
        </w:rPr>
        <w:softHyphen/>
        <w:t xml:space="preserve">vou oposici, tak i vládní stranu; stanovisko levé oposice je </w:t>
      </w:r>
      <w:r>
        <w:rPr>
          <w:b/>
          <w:bCs/>
        </w:rPr>
        <w:t>ovšem jasné. Vládnoucí strana získala 180 poslanců, šípové kříže 38 (dosavadní nacionálně-socialistická strana měla šest mandátů), Eckhardtova nepříliš početná, ale přes to vlivná malozemědělská pokroková strana klesla z 21 man</w:t>
      </w:r>
      <w:r>
        <w:rPr>
          <w:b/>
          <w:bCs/>
        </w:rPr>
        <w:softHyphen/>
        <w:t>dátů na 14. Pak následují dr</w:t>
      </w:r>
      <w:r>
        <w:rPr>
          <w:b/>
          <w:bCs/>
        </w:rPr>
        <w:t>obné strany, svobodomyslná, sociálně demokratická a nezávislí, z nichž každá má po pěti až šesti mandátech, strana »národní vůle« získala jen jeden mandát. Osm míst ještě má býti obsazeno.</w:t>
      </w:r>
    </w:p>
    <w:p w:rsidR="00500724" w:rsidRDefault="00F30FB8">
      <w:pPr>
        <w:pStyle w:val="Zkladntext1"/>
        <w:shd w:val="clear" w:color="auto" w:fill="auto"/>
        <w:spacing w:after="140" w:line="182" w:lineRule="auto"/>
        <w:ind w:firstLine="280"/>
        <w:rPr>
          <w:sz w:val="20"/>
          <w:szCs w:val="20"/>
        </w:rPr>
      </w:pPr>
      <w:r>
        <w:rPr>
          <w:b/>
          <w:bCs/>
        </w:rPr>
        <w:t>Volby tedy nepřinesly vyjasnění, což souvisí také s vše</w:t>
      </w:r>
      <w:r>
        <w:rPr>
          <w:b/>
          <w:bCs/>
        </w:rPr>
        <w:softHyphen/>
        <w:t>obecnou neu</w:t>
      </w:r>
      <w:r>
        <w:rPr>
          <w:b/>
          <w:bCs/>
        </w:rPr>
        <w:t xml:space="preserve">rčitou politikou Maďarska, jež zřejmě ještě neskončilo své vnitřní, neveřejné úvahy o tom, se kterou mocenskou skupinou v Evropě má definitivně jít. </w:t>
      </w:r>
      <w:r>
        <w:rPr>
          <w:i/>
          <w:iCs/>
          <w:sz w:val="20"/>
          <w:szCs w:val="20"/>
        </w:rPr>
        <w:t>Moll.</w:t>
      </w:r>
    </w:p>
    <w:p w:rsidR="00500724" w:rsidRDefault="00F30FB8">
      <w:pPr>
        <w:pStyle w:val="Zkladntext1"/>
        <w:shd w:val="clear" w:color="auto" w:fill="auto"/>
        <w:spacing w:after="60" w:line="175" w:lineRule="auto"/>
        <w:ind w:firstLine="0"/>
        <w:jc w:val="center"/>
        <w:rPr>
          <w:sz w:val="20"/>
          <w:szCs w:val="20"/>
        </w:rPr>
      </w:pPr>
      <w:r>
        <w:rPr>
          <w:b/>
          <w:bCs/>
          <w:sz w:val="20"/>
          <w:szCs w:val="20"/>
        </w:rPr>
        <w:t>Volání po dorozumění?</w:t>
      </w:r>
    </w:p>
    <w:p w:rsidR="00500724" w:rsidRDefault="00F30FB8">
      <w:pPr>
        <w:pStyle w:val="Zkladntext1"/>
        <w:shd w:val="clear" w:color="auto" w:fill="auto"/>
        <w:spacing w:line="185" w:lineRule="auto"/>
        <w:ind w:firstLine="280"/>
      </w:pPr>
      <w:r>
        <w:rPr>
          <w:b/>
          <w:bCs/>
        </w:rPr>
        <w:t>Oficiální orgán slovenské vlády, »Slovák«, uveřejnil ve svém ěísle ze 24. květn</w:t>
      </w:r>
      <w:r>
        <w:rPr>
          <w:b/>
          <w:bCs/>
        </w:rPr>
        <w:t>a na úvodním místě článek »Medzi Čechmí a Slovákmi®, který měl velkou ode</w:t>
      </w:r>
      <w:r>
        <w:rPr>
          <w:b/>
          <w:bCs/>
        </w:rPr>
        <w:softHyphen/>
        <w:t>zvu v ěeském tisku. Citovaly se jeho podstatné částí, nebof to byl hlas a tón, který se ještě nikdy před tím v antono- mistickém tisku neozval, a byly vyslovovány domněnky, že dnešní</w:t>
      </w:r>
      <w:r>
        <w:rPr>
          <w:b/>
          <w:bCs/>
        </w:rPr>
        <w:t>m představitelům Slovenska přece jen záleží na do</w:t>
      </w:r>
      <w:r>
        <w:rPr>
          <w:b/>
          <w:bCs/>
        </w:rPr>
        <w:softHyphen/>
        <w:t>rozumění s Čechy. K těmto názorům skutečně některé pa</w:t>
      </w:r>
      <w:r>
        <w:rPr>
          <w:b/>
          <w:bCs/>
        </w:rPr>
        <w:softHyphen/>
        <w:t>sáže článku sváděly. »S Čechmi sme žili 20 rokov v spoloč- nom štáte, i keď za tento čas sme stáli na krajných politic</w:t>
      </w:r>
      <w:r>
        <w:rPr>
          <w:b/>
          <w:bCs/>
        </w:rPr>
        <w:softHyphen/>
        <w:t>kých póloch, predsa čas spolužiti</w:t>
      </w:r>
      <w:r>
        <w:rPr>
          <w:b/>
          <w:bCs/>
        </w:rPr>
        <w:t xml:space="preserve">a nás </w:t>
      </w:r>
      <w:r>
        <w:rPr>
          <w:b/>
          <w:bCs/>
          <w:lang w:val="en-US" w:eastAsia="en-US" w:bidi="en-US"/>
        </w:rPr>
        <w:t xml:space="preserve">vei'mi </w:t>
      </w:r>
      <w:r>
        <w:rPr>
          <w:b/>
          <w:bCs/>
        </w:rPr>
        <w:t>sblížil. Čeština stala sa nám najznámejšou rečou vedla našej materčiny, z českých knih sme sa mnohému učili a české noviny sme denne čítávali. V politiko sme sa fažko dorozumievali, zato tým viac sme prehlbovali naše styky kultůrne. Ako sloven</w:t>
      </w:r>
      <w:r>
        <w:rPr>
          <w:b/>
          <w:bCs/>
        </w:rPr>
        <w:softHyphen/>
        <w:t>ská kniha našla porozumenie u značnej čiastky českého čitateřstva, tak českú knihu s rovnakým porozuměním čítá</w:t>
      </w:r>
      <w:r>
        <w:rPr>
          <w:b/>
          <w:bCs/>
        </w:rPr>
        <w:softHyphen/>
        <w:t>vali Slováci.« Takto se hodnotí kulturní styky mezi Čechy a Slováky v minulém dvacetiletí a vyslovuje se dále, že »zmenou v štátoprávnom postave</w:t>
      </w:r>
      <w:r>
        <w:rPr>
          <w:b/>
          <w:bCs/>
        </w:rPr>
        <w:t>ní oboch národov otupil sa tiež politický hrot a preto by bolo škoda, híadaf ešte aj teraz to, čo nás podněcuje, alebo čo vzbuzuje nevólu u jed- ného, připadne druhého národa«. Proto prý už »nemá žiad- neho smyslu dnes rečnif alebo písaf o tom, že Češi dak</w:t>
      </w:r>
      <w:r>
        <w:rPr>
          <w:b/>
          <w:bCs/>
        </w:rPr>
        <w:t>oho provokovali, pretože spievali u nás svoju pieseň. Tým men</w:t>
      </w:r>
      <w:r>
        <w:rPr>
          <w:b/>
          <w:bCs/>
        </w:rPr>
        <w:softHyphen/>
        <w:t>šíc oprávnenie má táto výčitka, ak ide o hostí, ktorí přišli do našich kúpelov®. »Naše priateřstvo musí byf o to vačšie, o ěo sú srozumiteřnejšie řeči obom národom a o čo sú vzá- jomne bližšie n</w:t>
      </w:r>
      <w:r>
        <w:rPr>
          <w:b/>
          <w:bCs/>
        </w:rPr>
        <w:t>aše prejavy knitúrne.«</w:t>
      </w:r>
    </w:p>
    <w:p w:rsidR="00500724" w:rsidRDefault="00F30FB8">
      <w:pPr>
        <w:pStyle w:val="Zkladntext1"/>
        <w:shd w:val="clear" w:color="auto" w:fill="auto"/>
        <w:spacing w:line="185" w:lineRule="auto"/>
        <w:ind w:firstLine="280"/>
      </w:pPr>
      <w:r>
        <w:rPr>
          <w:b/>
          <w:bCs/>
        </w:rPr>
        <w:t>Český tisk — as nim i českou veřejnost — tato kapka uznání do nesouladu zřejmě potěšila a proto byl článek ve svých podstatných partiích citován. Citace však nebyly čteny jen českou veřejností, nýbrž i na Slovensku. A tam patrně se n</w:t>
      </w:r>
      <w:r>
        <w:rPr>
          <w:b/>
          <w:bCs/>
        </w:rPr>
        <w:t>elibě nesla ozvěna, kterou v ěeském tisku článek vyvolal, a proto deník »SIovenská pravda« přispěchal, aby české nadšení ochladil. Učinil tak v ě. 122 dne 27. května v glose »Naivnosf českej tlaěe«. Vytýká se v ní českému tisku, že všelijaké bezvýznamné dr</w:t>
      </w:r>
      <w:r>
        <w:rPr>
          <w:b/>
          <w:bCs/>
        </w:rPr>
        <w:t>obnosti vyzdvihuje, avšak velké a důležité věci unikají jeho pozornosti. Ze</w:t>
      </w:r>
      <w:r>
        <w:rPr>
          <w:b/>
          <w:bCs/>
        </w:rPr>
        <w:softHyphen/>
        <w:t>jména se nelibě nese, že prý české veřejnosti je článek »SIo- váka® servírován tak, »aby sa jej zdálo, že Slováci dnes pri- znávajú, že len s Čechmi im bolo dobré žif, že Čechom ma</w:t>
      </w:r>
      <w:r>
        <w:rPr>
          <w:b/>
          <w:bCs/>
        </w:rPr>
        <w:t>jú čo ďakovať za svoju kultúrnu a politickú vyspelosf«. A za</w:t>
      </w:r>
      <w:r>
        <w:rPr>
          <w:b/>
          <w:bCs/>
        </w:rPr>
        <w:softHyphen/>
        <w:t>končuje se: »Teda Češi zas svojím českým spósobom idú vysvětlovat tento slovenský přejav. Zabúdaju na to, že úvodník »Medzi Slovákmi a Čechmi® je uverejnený v novi</w:t>
      </w:r>
      <w:r>
        <w:rPr>
          <w:b/>
          <w:bCs/>
        </w:rPr>
        <w:softHyphen/>
        <w:t>nách, ktoré vychádzajú v samost</w:t>
      </w:r>
      <w:r>
        <w:rPr>
          <w:b/>
          <w:bCs/>
        </w:rPr>
        <w:t xml:space="preserve">atnom Slovenskom štáte a že tedy celý úvodník vychádza z tejto skutečností a že z tohto zorného ulila třeba ho aj ponímat. škoda naivností českej tlače, </w:t>
      </w:r>
      <w:r>
        <w:rPr>
          <w:b/>
          <w:bCs/>
          <w:lang w:val="en-US" w:eastAsia="en-US" w:bidi="en-US"/>
        </w:rPr>
        <w:t xml:space="preserve">mala </w:t>
      </w:r>
      <w:r>
        <w:rPr>
          <w:b/>
          <w:bCs/>
        </w:rPr>
        <w:t xml:space="preserve">by sa jej čím skór zbavit, lebo takáte naivnosf móže českej veřejnosti, ktorá verí českej tlačí, </w:t>
      </w:r>
      <w:r>
        <w:rPr>
          <w:b/>
          <w:bCs/>
          <w:lang w:val="en-US" w:eastAsia="en-US" w:bidi="en-US"/>
        </w:rPr>
        <w:t>v</w:t>
      </w:r>
      <w:r>
        <w:rPr>
          <w:b/>
          <w:bCs/>
          <w:lang w:val="en-US" w:eastAsia="en-US" w:bidi="en-US"/>
        </w:rPr>
        <w:t xml:space="preserve">ei’mi </w:t>
      </w:r>
      <w:r>
        <w:rPr>
          <w:b/>
          <w:bCs/>
        </w:rPr>
        <w:t>uškodit.«</w:t>
      </w:r>
    </w:p>
    <w:p w:rsidR="00500724" w:rsidRDefault="00F30FB8">
      <w:pPr>
        <w:pStyle w:val="Zkladntext1"/>
        <w:shd w:val="clear" w:color="auto" w:fill="auto"/>
        <w:spacing w:after="60" w:line="185" w:lineRule="auto"/>
        <w:ind w:firstLine="280"/>
        <w:rPr>
          <w:sz w:val="20"/>
          <w:szCs w:val="20"/>
        </w:rPr>
        <w:sectPr w:rsidR="00500724">
          <w:footnotePr>
            <w:numFmt w:val="chicago"/>
            <w:numRestart w:val="eachPage"/>
          </w:footnotePr>
          <w:pgSz w:w="11909" w:h="16834"/>
          <w:pgMar w:top="1405" w:right="1001" w:bottom="1162" w:left="564" w:header="0" w:footer="3" w:gutter="0"/>
          <w:cols w:num="2" w:space="139"/>
          <w:noEndnote/>
          <w:docGrid w:linePitch="360"/>
        </w:sectPr>
      </w:pPr>
      <w:r>
        <w:rPr>
          <w:b/>
          <w:bCs/>
        </w:rPr>
        <w:t>Odpověď »Slovenské pravdy« tedy dává úvodníku »Slo- váka« trochu jiný smysl. Zřejmě větší důraz se klade na slovo styky než na kulturní. Jsme před létem, v samém začátku lázeňské sezóny. V úvodníku »Slováka« je o</w:t>
      </w:r>
      <w:r>
        <w:rPr>
          <w:b/>
          <w:bCs/>
        </w:rPr>
        <w:t xml:space="preserve"> tom jen letmá, na pohled nepostižitelná zmínka o tom, že se Ce</w:t>
      </w:r>
      <w:r>
        <w:rPr>
          <w:b/>
          <w:bCs/>
        </w:rPr>
        <w:softHyphen/>
        <w:t xml:space="preserve">chům nemá bránit ve zpívání jejich nísní, zvtešf jstou-uto hosté, kteří přišli do slovenských lázní. </w:t>
      </w:r>
      <w:r>
        <w:rPr>
          <w:i/>
          <w:iCs/>
          <w:sz w:val="20"/>
          <w:szCs w:val="20"/>
        </w:rPr>
        <w:t>Josef Dvořák</w:t>
      </w:r>
    </w:p>
    <w:p w:rsidR="00500724" w:rsidRDefault="00F30FB8">
      <w:pPr>
        <w:pStyle w:val="Jin0"/>
        <w:pBdr>
          <w:bottom w:val="single" w:sz="4" w:space="0" w:color="auto"/>
        </w:pBdr>
        <w:shd w:val="clear" w:color="auto" w:fill="auto"/>
        <w:spacing w:after="180"/>
        <w:ind w:firstLine="0"/>
        <w:jc w:val="left"/>
        <w:rPr>
          <w:sz w:val="44"/>
          <w:szCs w:val="44"/>
        </w:rPr>
      </w:pPr>
      <w:r>
        <w:rPr>
          <w:b/>
          <w:bCs/>
          <w:sz w:val="44"/>
          <w:szCs w:val="44"/>
        </w:rPr>
        <w:t>politika</w:t>
      </w:r>
    </w:p>
    <w:p w:rsidR="00500724" w:rsidRDefault="00F30FB8">
      <w:pPr>
        <w:pStyle w:val="Zkladntext1"/>
        <w:shd w:val="clear" w:color="auto" w:fill="auto"/>
        <w:spacing w:after="40" w:line="221" w:lineRule="auto"/>
        <w:ind w:firstLine="0"/>
        <w:jc w:val="left"/>
        <w:rPr>
          <w:sz w:val="20"/>
          <w:szCs w:val="20"/>
        </w:rPr>
      </w:pPr>
      <w:r>
        <w:rPr>
          <w:i/>
          <w:iCs/>
          <w:sz w:val="20"/>
          <w:szCs w:val="20"/>
        </w:rPr>
        <w:t>Josef T eichman:</w:t>
      </w:r>
    </w:p>
    <w:p w:rsidR="00500724" w:rsidRDefault="00F30FB8">
      <w:pPr>
        <w:pStyle w:val="Nadpis100"/>
        <w:shd w:val="clear" w:color="auto" w:fill="auto"/>
        <w:spacing w:after="80" w:line="240" w:lineRule="auto"/>
        <w:jc w:val="left"/>
      </w:pPr>
      <w:bookmarkStart w:id="571" w:name="bookmark570"/>
      <w:r>
        <w:t>Říšskoněmecká vlajka na MNO</w:t>
      </w:r>
      <w:bookmarkEnd w:id="571"/>
    </w:p>
    <w:p w:rsidR="00500724" w:rsidRDefault="00F30FB8">
      <w:pPr>
        <w:pStyle w:val="Zkladntext30"/>
        <w:shd w:val="clear" w:color="auto" w:fill="auto"/>
        <w:spacing w:after="0" w:line="202" w:lineRule="auto"/>
      </w:pPr>
      <w:r>
        <w:t>Když jsem před jedenácti</w:t>
      </w:r>
      <w:r>
        <w:t xml:space="preserve"> lety v tomto listě vzpo</w:t>
      </w:r>
      <w:r>
        <w:softHyphen/>
        <w:t>mínal prvních začátků ministerstva národní obrany, sotva jsem mohl tušit, že jednou budu o něm psát i nekrolog. Ale stalo se. Patnáctý březen rozhodl o existenci naší branné moci. Likvidace se stejnou mě</w:t>
      </w:r>
      <w:r>
        <w:softHyphen/>
        <w:t>rou dotkla srdcí příslušník</w:t>
      </w:r>
      <w:r>
        <w:t>ů armády jako ostatní čes</w:t>
      </w:r>
      <w:r>
        <w:softHyphen/>
        <w:t>ké veřejnosti, neboť armáda tvořila v životě našeho národa a státu zvláště pevný a vyspělý celek, a co by</w:t>
      </w:r>
      <w:r>
        <w:softHyphen/>
        <w:t>chom si zapírali: byla naší pýchou. Dobře jsme věděli, že na tomto místě, přes všechen občasný politický a národnostní nekli</w:t>
      </w:r>
      <w:r>
        <w:t>d ve státě, se neobráží nic z toho, co bychom mohli bráti v pochybnost v rozhodujících chvílích.</w:t>
      </w:r>
    </w:p>
    <w:p w:rsidR="00500724" w:rsidRDefault="00F30FB8">
      <w:pPr>
        <w:pStyle w:val="Zkladntext30"/>
        <w:shd w:val="clear" w:color="auto" w:fill="auto"/>
        <w:spacing w:line="202" w:lineRule="auto"/>
      </w:pPr>
      <w:r>
        <w:t>Náš voják už předtím nejednou prokázal, že je oproštěn od víru a zátočin stranických potyček; že v jeho mysli není náklonnosti pro politické rozdíly. Na naši b</w:t>
      </w:r>
      <w:r>
        <w:t>rannou moc bylo spolehnutí právě pro tu její so</w:t>
      </w:r>
      <w:r>
        <w:softHyphen/>
        <w:t>lidnost, kterou se vědomě podřizovala ústavním záko</w:t>
      </w:r>
      <w:r>
        <w:softHyphen/>
        <w:t>nům, jsouc tak pevnou oporou všem vládám republi</w:t>
      </w:r>
      <w:r>
        <w:softHyphen/>
        <w:t>ky bez ohledu na osoby a směry. V svém středu ne</w:t>
      </w:r>
      <w:r>
        <w:softHyphen/>
        <w:t>trpěla nikoho, kdo se nemínil podřídit těmto zásadám.</w:t>
      </w:r>
    </w:p>
    <w:p w:rsidR="00500724" w:rsidRDefault="00F30FB8">
      <w:pPr>
        <w:pStyle w:val="Zkladntext30"/>
        <w:shd w:val="clear" w:color="auto" w:fill="auto"/>
        <w:spacing w:after="0" w:line="199" w:lineRule="auto"/>
      </w:pPr>
      <w:r>
        <w:t>Nelz</w:t>
      </w:r>
      <w:r>
        <w:t xml:space="preserve">e zapomenout na doby, kdy jsme formovali svou armádu se zvýšenou pozorností vytvořit typ československého důstojníka, poddůstojníka a vojáka. </w:t>
      </w:r>
      <w:r>
        <w:rPr>
          <w:b/>
          <w:bCs/>
          <w:sz w:val="26"/>
          <w:szCs w:val="26"/>
        </w:rPr>
        <w:t xml:space="preserve">I </w:t>
      </w:r>
      <w:r>
        <w:t>v tom bylo mnoho z naší ctižádosti, neboť j a k ý má býti náš voják, to se po neblahých zkušenostech z mon</w:t>
      </w:r>
      <w:r>
        <w:softHyphen/>
        <w:t>archi</w:t>
      </w:r>
      <w:r>
        <w:t>e přesně vědělo. Ale tato, byť sebe určitější před</w:t>
      </w:r>
      <w:r>
        <w:softHyphen/>
        <w:t>stava, sotva by byla schopna se vtělit v čin, kdyby k jejímu uskutečnění nebylo napomáhalo i vědomí sa</w:t>
      </w:r>
      <w:r>
        <w:softHyphen/>
        <w:t>mých vojáků, že armáda se v ničem nesmí odchýlit od způsobů života československého lidu. Jen tak se s</w:t>
      </w:r>
      <w:r>
        <w:t>talo, že jsme nevytvořili kastu vojáků, kteří by žili svým vlastním a odlišným životem na okraji života státu, jemuž měli sloužit. Naši vojáci také nikdy ne</w:t>
      </w:r>
      <w:r>
        <w:softHyphen/>
        <w:t>propadli falešnému domnění o své výjimečnosti nebo nadřazenosti: armáda a národ se vzájemně doplňov</w:t>
      </w:r>
      <w:r>
        <w:t>aly a podpíraly.</w:t>
      </w:r>
    </w:p>
    <w:p w:rsidR="00500724" w:rsidRDefault="00F30FB8">
      <w:pPr>
        <w:pStyle w:val="Zkladntext30"/>
        <w:shd w:val="clear" w:color="auto" w:fill="auto"/>
        <w:spacing w:after="100" w:line="202" w:lineRule="auto"/>
        <w:ind w:firstLine="0"/>
        <w:jc w:val="center"/>
      </w:pPr>
      <w:r>
        <w:t>•</w:t>
      </w:r>
    </w:p>
    <w:p w:rsidR="00500724" w:rsidRDefault="00F30FB8">
      <w:pPr>
        <w:pStyle w:val="Zkladntext30"/>
        <w:shd w:val="clear" w:color="auto" w:fill="auto"/>
        <w:spacing w:line="202" w:lineRule="auto"/>
      </w:pPr>
      <w:r>
        <w:t>V Bubenči zatím vyrůstal a pracoval mohutný vo</w:t>
      </w:r>
      <w:r>
        <w:softHyphen/>
        <w:t>jenský aparát, který řídil a spravoval mnohostranný život armády. Organisace tohoto úřadu byla právě tak složitá a podivuhodná, jako organisace celé armá</w:t>
      </w:r>
      <w:r>
        <w:softHyphen/>
        <w:t>dy. To nebyl jen nějaký úřad, minist</w:t>
      </w:r>
      <w:r>
        <w:t>erstvo, v ob</w:t>
      </w:r>
      <w:r>
        <w:softHyphen/>
        <w:t>vyklém slova smyslu. V bubenečské centrále vojenské správy bylo vždycky mnoho skutečného života, který převážil byrokratické hnidaření. Stroj vojenské orga</w:t>
      </w:r>
      <w:r>
        <w:softHyphen/>
        <w:t>nisace byl zde bedlivě kontrolován v každé své obrát</w:t>
      </w:r>
      <w:r>
        <w:softHyphen/>
        <w:t>ce, protože život armády se ani na</w:t>
      </w:r>
      <w:r>
        <w:t xml:space="preserve"> okamžik nemohl zastavit. Měl své potřeby dotované miliardami národ</w:t>
      </w:r>
      <w:r>
        <w:softHyphen/>
        <w:t>ního jmění, měl i své těžkosti, s nimiž se ihned a bez prodlení vyrovnávat bylo hlavní povinností MNO a hlavního štábu.</w:t>
      </w:r>
    </w:p>
    <w:p w:rsidR="00500724" w:rsidRDefault="00F30FB8">
      <w:pPr>
        <w:pStyle w:val="Zkladntext30"/>
        <w:shd w:val="clear" w:color="auto" w:fill="auto"/>
        <w:spacing w:line="202" w:lineRule="auto"/>
        <w:ind w:firstLine="0"/>
        <w:jc w:val="center"/>
      </w:pPr>
      <w:r>
        <w:t>•</w:t>
      </w:r>
    </w:p>
    <w:p w:rsidR="00500724" w:rsidRDefault="00F30FB8">
      <w:pPr>
        <w:pStyle w:val="Zkladntext30"/>
        <w:shd w:val="clear" w:color="auto" w:fill="auto"/>
        <w:spacing w:after="200" w:line="204" w:lineRule="auto"/>
      </w:pPr>
      <w:r>
        <w:t xml:space="preserve">Patnáctý březen smrtelně ochromil tlukot tohoto armádního srdce, </w:t>
      </w:r>
      <w:r>
        <w:t>neboť rázem přeťal všechny cévy, jimiž bylo spojeno s živoucím tělem armády. Po 30. září minulého roku to byl konečný úder, jehož ná</w:t>
      </w:r>
      <w:r>
        <w:softHyphen/>
        <w:t>sledky byly pro každého příslušníka armády na dosah</w:t>
      </w:r>
    </w:p>
    <w:p w:rsidR="00500724" w:rsidRDefault="00F30FB8">
      <w:pPr>
        <w:pStyle w:val="Zkladntext1"/>
        <w:shd w:val="clear" w:color="auto" w:fill="auto"/>
        <w:spacing w:after="60" w:line="233" w:lineRule="auto"/>
        <w:ind w:firstLine="0"/>
        <w:jc w:val="left"/>
      </w:pPr>
      <w:r>
        <w:rPr>
          <w:b/>
          <w:bCs/>
          <w:i/>
          <w:iCs/>
        </w:rPr>
        <w:t>S&amp;o</w:t>
      </w:r>
    </w:p>
    <w:p w:rsidR="00500724" w:rsidRDefault="00F30FB8">
      <w:pPr>
        <w:spacing w:line="1" w:lineRule="exact"/>
        <w:rPr>
          <w:sz w:val="2"/>
          <w:szCs w:val="2"/>
        </w:rPr>
      </w:pPr>
      <w:r>
        <w:br w:type="column"/>
      </w:r>
    </w:p>
    <w:p w:rsidR="00500724" w:rsidRDefault="00F30FB8">
      <w:pPr>
        <w:pStyle w:val="Zkladntext30"/>
        <w:shd w:val="clear" w:color="auto" w:fill="auto"/>
        <w:spacing w:after="0" w:line="202" w:lineRule="auto"/>
        <w:ind w:firstLine="0"/>
      </w:pPr>
      <w:r>
        <w:t>ruky. Československé armádě byl vyhrazen osud, kte</w:t>
      </w:r>
      <w:r>
        <w:softHyphen/>
        <w:t>rý nemá obdoby</w:t>
      </w:r>
      <w:r>
        <w:t xml:space="preserve"> v dějinách všech armád světa.</w:t>
      </w:r>
    </w:p>
    <w:p w:rsidR="00500724" w:rsidRDefault="00F30FB8">
      <w:pPr>
        <w:pStyle w:val="Zkladntext30"/>
        <w:shd w:val="clear" w:color="auto" w:fill="auto"/>
        <w:spacing w:after="100" w:line="204" w:lineRule="auto"/>
        <w:ind w:firstLine="0"/>
        <w:jc w:val="center"/>
      </w:pPr>
      <w:r>
        <w:t>•</w:t>
      </w:r>
    </w:p>
    <w:p w:rsidR="00500724" w:rsidRDefault="00F30FB8">
      <w:pPr>
        <w:pStyle w:val="Zkladntext30"/>
        <w:shd w:val="clear" w:color="auto" w:fill="auto"/>
        <w:spacing w:after="0" w:line="202" w:lineRule="auto"/>
        <w:ind w:firstLine="240"/>
      </w:pPr>
      <w:r>
        <w:t>Podivný vzduch naplnil budovu MNO a hlavního štábu ráno 15. března. Chlapi ze železa zde stáli bledí a neschopni slova. Vidět je slzet, to byla neobvyklá po</w:t>
      </w:r>
      <w:r>
        <w:softHyphen/>
        <w:t>dívaná, ale v t u t o chvíli to bylo tak lidské, ach, příliš lidsk</w:t>
      </w:r>
      <w:r>
        <w:t>é, aby se tomu mohl někdo podivovat. Vždyť tito lidé nesměli bojovat, nesměli se bránit, jsouce poslušní vyššího rozkazu. Jejich úkol byl přes noc zúžen v roli bezmocných statistů.</w:t>
      </w:r>
    </w:p>
    <w:p w:rsidR="00500724" w:rsidRDefault="00F30FB8">
      <w:pPr>
        <w:pStyle w:val="Zkladntext30"/>
        <w:shd w:val="clear" w:color="auto" w:fill="auto"/>
        <w:spacing w:after="0" w:line="202" w:lineRule="auto"/>
        <w:ind w:firstLine="240"/>
      </w:pPr>
      <w:r>
        <w:t>Co se děje v srdci našich vojáků, bylo jasné i před</w:t>
      </w:r>
      <w:r>
        <w:softHyphen/>
        <w:t>stavitelům říšské obran</w:t>
      </w:r>
      <w:r>
        <w:t>y, když se o polednách dosta</w:t>
      </w:r>
      <w:r>
        <w:softHyphen/>
        <w:t>vili do MNO. Byl to dramatický okamžik, chvíle, na kterou se nezapomíná. Český a německý voják se po</w:t>
      </w:r>
      <w:r>
        <w:softHyphen/>
        <w:t>zdravují. Zdvořile, klidně. Ti, kdo přicházejí, nemusí se dlouze rozhlížet. V každé tváři těch, kteří je zde očekávali, je nap</w:t>
      </w:r>
      <w:r>
        <w:t>sáno všechno to, co prožili od tohoto sychravého jitra, když rozhlasová vlna oznámila světu noční rozhodnutí v Berlíně. Vojáci všech národů jako by měli jednu společnou řeč. Proto se tato chvíle setkání obešla bez pathosu a zbytečných slov. V stisku ruky p</w:t>
      </w:r>
      <w:r>
        <w:t>ředstavitelů říšské obrany bylo však i mnoho z toho, co si vojáci nikdy neřeknou, ale tím víc to cítí . . .</w:t>
      </w:r>
    </w:p>
    <w:p w:rsidR="00500724" w:rsidRDefault="00F30FB8">
      <w:pPr>
        <w:pStyle w:val="Zkladntext30"/>
        <w:shd w:val="clear" w:color="auto" w:fill="auto"/>
        <w:spacing w:after="60" w:line="182" w:lineRule="auto"/>
        <w:ind w:firstLine="0"/>
        <w:jc w:val="center"/>
      </w:pPr>
      <w:r>
        <w:t>•</w:t>
      </w:r>
    </w:p>
    <w:p w:rsidR="00500724" w:rsidRDefault="00F30FB8">
      <w:pPr>
        <w:pStyle w:val="Zkladntext30"/>
        <w:shd w:val="clear" w:color="auto" w:fill="auto"/>
        <w:spacing w:after="0" w:line="204" w:lineRule="auto"/>
        <w:ind w:firstLine="240"/>
      </w:pPr>
      <w:r>
        <w:t>Od tohoto dne MNO likviduje, aby ustoupilo jiné or</w:t>
      </w:r>
      <w:r>
        <w:softHyphen/>
        <w:t xml:space="preserve">ganisaci a správě. Procházíte-li dnes budovou MNO v Bubenči, nemusíte být ani naladěni zvláště </w:t>
      </w:r>
      <w:r>
        <w:t>elegicky, abyste pocítili smutek nad tím, co zde odumírá. Říšskoněmecká služební vlajka nahoře na stožáru vám řekne, že naše armáda již patří minulosti. U hlavního vchodu do budovy uvidíte vojáky říšské obrany, kteří s přísnou bedlivostí kontrolují každého</w:t>
      </w:r>
      <w:r>
        <w:t>, kdo do budo</w:t>
      </w:r>
      <w:r>
        <w:softHyphen/>
        <w:t>vy vchází. Dříve před MNO nestáli vojáci ve zbrani — jaksi se na to u nás nedbalo. Nyní říšskoněmečtí vo</w:t>
      </w:r>
      <w:r>
        <w:softHyphen/>
        <w:t>jáci v nacvičených postojích vzdávají čest přicházejí</w:t>
      </w:r>
      <w:r>
        <w:softHyphen/>
        <w:t>cím důstojníkům, vzájemně se upozorňujíce ostrým syknutím. V jejich pozdravech jsou</w:t>
      </w:r>
      <w:r>
        <w:t xml:space="preserve"> odlišeny pozdravy důstojníkům říšské obrany a důstojníkům naší bývalé armády. Důstojník říšské obrany je zdraven před- pažením pušky, bývalý československý důstojník vzty</w:t>
      </w:r>
      <w:r>
        <w:softHyphen/>
        <w:t>čením pušky.</w:t>
      </w:r>
    </w:p>
    <w:p w:rsidR="00500724" w:rsidRDefault="00F30FB8">
      <w:pPr>
        <w:pStyle w:val="Zkladntext30"/>
        <w:shd w:val="clear" w:color="auto" w:fill="auto"/>
        <w:spacing w:after="340" w:line="204" w:lineRule="auto"/>
        <w:ind w:firstLine="240"/>
      </w:pPr>
      <w:r>
        <w:t>MNO je dnes vzrušený úl, v němž se pomalu ne</w:t>
      </w:r>
      <w:r>
        <w:softHyphen/>
        <w:t xml:space="preserve">vyzná ani zasvěcený </w:t>
      </w:r>
      <w:r>
        <w:t>návštěvník. Protože bylo na</w:t>
      </w:r>
      <w:r>
        <w:softHyphen/>
        <w:t>řízeno vyklidit novou budovu hlavního štábu pro po</w:t>
      </w:r>
      <w:r>
        <w:softHyphen/>
        <w:t>třeby říšské obrany, jsou dnes v MNO natlačeny všechny odbory a oddělení.</w:t>
      </w:r>
    </w:p>
    <w:p w:rsidR="00500724" w:rsidRDefault="00F30FB8">
      <w:pPr>
        <w:pStyle w:val="Zkladntext30"/>
        <w:shd w:val="clear" w:color="auto" w:fill="auto"/>
        <w:spacing w:after="0" w:line="204" w:lineRule="auto"/>
        <w:ind w:firstLine="240"/>
      </w:pPr>
      <w:r>
        <w:t>Provést likvidaci tak rozsáhlého správního aparátu není malá věc. Neboť teď, když se má náhle zrušit to</w:t>
      </w:r>
      <w:r>
        <w:t xml:space="preserve"> všecko, co se po dvacet let budovalo, teprve se vidí, že MNO nebyl jen obyčejný správní úřad, nýbrž slo</w:t>
      </w:r>
      <w:r>
        <w:softHyphen/>
        <w:t>žitý organismus, který zasahoval skoro do všech obo</w:t>
      </w:r>
      <w:r>
        <w:softHyphen/>
        <w:t>rů našeho veřejného života. Je proto pochopitelné, že náhlé vytržení této životné složky je prováze</w:t>
      </w:r>
      <w:r>
        <w:t>no mnoha otřesy, které vyrovnat a smířit je skoro nad síly lidí, kteří byli likvidací MNO pověřeni.</w:t>
      </w:r>
    </w:p>
    <w:p w:rsidR="00500724" w:rsidRDefault="00F30FB8">
      <w:pPr>
        <w:pStyle w:val="Zkladntext30"/>
        <w:shd w:val="clear" w:color="auto" w:fill="auto"/>
        <w:spacing w:after="80" w:line="204" w:lineRule="auto"/>
        <w:ind w:firstLine="240"/>
        <w:sectPr w:rsidR="00500724">
          <w:footnotePr>
            <w:numFmt w:val="chicago"/>
            <w:numRestart w:val="eachPage"/>
          </w:footnotePr>
          <w:pgSz w:w="11909" w:h="16834"/>
          <w:pgMar w:top="1477" w:right="876" w:bottom="701" w:left="698" w:header="0" w:footer="3" w:gutter="0"/>
          <w:cols w:num="2" w:space="178"/>
          <w:noEndnote/>
          <w:docGrid w:linePitch="360"/>
        </w:sectPr>
      </w:pPr>
      <w:r>
        <w:t>Konkrétně posuzováno stojí likvidace MNO před dvěma úkoly: likvidací miliardového majetku bývalé armády a zajistit budoucnost mn</w:t>
      </w:r>
      <w:r>
        <w:t>oha set důstojníků, poddůstojníků a občanských zaměstnanců vojenské správy jejich umístěním v jiných oborech veřejného nebo soukromého podnikání.</w:t>
      </w:r>
    </w:p>
    <w:p w:rsidR="00500724" w:rsidRDefault="00F30FB8">
      <w:pPr>
        <w:pStyle w:val="Nadpis90"/>
        <w:keepNext/>
        <w:keepLines/>
        <w:pBdr>
          <w:bottom w:val="single" w:sz="4" w:space="0" w:color="auto"/>
        </w:pBdr>
        <w:shd w:val="clear" w:color="auto" w:fill="auto"/>
        <w:spacing w:after="0"/>
        <w:ind w:right="60"/>
        <w:jc w:val="center"/>
        <w:rPr>
          <w:sz w:val="42"/>
          <w:szCs w:val="42"/>
        </w:rPr>
        <w:sectPr w:rsidR="00500724">
          <w:footnotePr>
            <w:numFmt w:val="chicago"/>
            <w:numRestart w:val="eachPage"/>
          </w:footnotePr>
          <w:pgSz w:w="11909" w:h="16834"/>
          <w:pgMar w:top="716" w:right="951" w:bottom="473" w:left="610" w:header="0" w:footer="3" w:gutter="0"/>
          <w:cols w:space="720"/>
          <w:noEndnote/>
          <w:docGrid w:linePitch="360"/>
        </w:sectPr>
      </w:pPr>
      <w:bookmarkStart w:id="572" w:name="bookmark571"/>
      <w:r>
        <w:rPr>
          <w:rFonts w:ascii="Times New Roman" w:eastAsia="Times New Roman" w:hAnsi="Times New Roman" w:cs="Times New Roman"/>
          <w:w w:val="80"/>
          <w:sz w:val="42"/>
          <w:szCs w:val="42"/>
        </w:rPr>
        <w:t>PřítomnosU</w:t>
      </w:r>
      <w:bookmarkEnd w:id="572"/>
    </w:p>
    <w:p w:rsidR="00500724" w:rsidRDefault="00500724">
      <w:pPr>
        <w:spacing w:line="61" w:lineRule="exact"/>
        <w:rPr>
          <w:sz w:val="5"/>
          <w:szCs w:val="5"/>
        </w:rPr>
      </w:pPr>
    </w:p>
    <w:p w:rsidR="00500724" w:rsidRDefault="00500724">
      <w:pPr>
        <w:spacing w:line="14" w:lineRule="exact"/>
        <w:sectPr w:rsidR="00500724">
          <w:footnotePr>
            <w:numFmt w:val="chicago"/>
            <w:numRestart w:val="eachPage"/>
          </w:footnotePr>
          <w:type w:val="continuous"/>
          <w:pgSz w:w="11909" w:h="16834"/>
          <w:pgMar w:top="724" w:right="0" w:bottom="465" w:left="0" w:header="0" w:footer="3" w:gutter="0"/>
          <w:cols w:space="720"/>
          <w:noEndnote/>
          <w:docGrid w:linePitch="360"/>
        </w:sectPr>
      </w:pPr>
    </w:p>
    <w:p w:rsidR="00500724" w:rsidRDefault="00F30FB8">
      <w:pPr>
        <w:pStyle w:val="Zkladntext30"/>
        <w:shd w:val="clear" w:color="auto" w:fill="auto"/>
        <w:spacing w:line="204" w:lineRule="auto"/>
      </w:pPr>
      <w:r>
        <w:t>Hmotná likvidace, jak dnes věci stojí, je v</w:t>
      </w:r>
      <w:r>
        <w:t>íc povahy právně-hospodářské a účetní, a lze ji přovádět v sta</w:t>
      </w:r>
      <w:r>
        <w:softHyphen/>
        <w:t>novených směrnicích. Není zde větších potíží, pokud lze přesně odhadnout náklad a finanční závazky bý</w:t>
      </w:r>
      <w:r>
        <w:softHyphen/>
        <w:t>valé vojenské správy k podnikům, které zásobovaly armádu. Hmotná likvidace má zatím dvě str</w:t>
      </w:r>
      <w:r>
        <w:t>any: na jedné je inventární počet věcí, které byly vydány do správy říšské obrany, na druhé straně je faktická nebo ideální cena, kterou je tento odvedený vojenský materiál číselně zhodnocen.</w:t>
      </w:r>
    </w:p>
    <w:p w:rsidR="00500724" w:rsidRDefault="00F30FB8">
      <w:pPr>
        <w:pStyle w:val="Zkladntext30"/>
        <w:shd w:val="clear" w:color="auto" w:fill="auto"/>
        <w:spacing w:line="202" w:lineRule="auto"/>
      </w:pPr>
      <w:r>
        <w:t>Není třeba zvláště dokládat, že to je materiál ve</w:t>
      </w:r>
      <w:r>
        <w:softHyphen/>
        <w:t xml:space="preserve">směs kvalitní </w:t>
      </w:r>
      <w:r>
        <w:t>výroby. Vojenská správa po neblahých zkušenostech se jednou provždy pojistila, aby ji nikdo z dodavatelů nemohl šidit nebo okrádat. Byla zde od</w:t>
      </w:r>
      <w:r>
        <w:softHyphen/>
        <w:t>povědnost za miliardový náklad, který stát, poplat- nictvo, na potřeby armády vynaložilo a který musil být účeln</w:t>
      </w:r>
      <w:r>
        <w:t>ě a hospodárně využit. Nemenší odpověd</w:t>
      </w:r>
      <w:r>
        <w:softHyphen/>
        <w:t>ností se vojenská správa řídila i k těm, kteří měli to</w:t>
      </w:r>
      <w:r>
        <w:softHyphen/>
        <w:t>hoto materiálu používat. Vojenský technický a letec</w:t>
      </w:r>
      <w:r>
        <w:softHyphen/>
        <w:t>ký ústav při ministerstvu národní obrany byl vybaven rozsáhlou kompetencí, aby přísně zkoumal každou do</w:t>
      </w:r>
      <w:r>
        <w:softHyphen/>
        <w:t xml:space="preserve">dávku </w:t>
      </w:r>
      <w:r>
        <w:t>pro armádu. Rozhodnutí tohoto ústavu o kva</w:t>
      </w:r>
      <w:r>
        <w:softHyphen/>
        <w:t>litě a ceně dodaných výrobků bylo neodvolatelné. Je málo armád na celém světě, které by se mohly po</w:t>
      </w:r>
      <w:r>
        <w:softHyphen/>
        <w:t>chlubit tak vysokou vědeckou úrovní svého výzkum</w:t>
      </w:r>
      <w:r>
        <w:softHyphen/>
        <w:t>nictví a zkušebnictví, jako tomu bylo u nás. Od tka</w:t>
      </w:r>
      <w:r>
        <w:softHyphen/>
        <w:t>nice až po n</w:t>
      </w:r>
      <w:r>
        <w:t>ejvětší válečné stroje, všechno nejdříve procházelo zkoumáním a zkoušením VTLÚ, této skoro anonymní instituce vojenské správy, o jejíž práci a zá</w:t>
      </w:r>
      <w:r>
        <w:softHyphen/>
        <w:t>sluhách o záchranu milionového národního majetku věděl jen úzký kruh zasvěcenců. Je proto spravedlivé, když zd</w:t>
      </w:r>
      <w:r>
        <w:t>e vzpomínáme i tohoto spolehlivého síta, jímž se vojenská správa chránila proti zahnízdění korupce a zlořádů ve výrobě válečného materiálu.</w:t>
      </w:r>
    </w:p>
    <w:p w:rsidR="00500724" w:rsidRDefault="00F30FB8">
      <w:pPr>
        <w:pStyle w:val="Zkladntext30"/>
        <w:shd w:val="clear" w:color="auto" w:fill="auto"/>
        <w:spacing w:line="202" w:lineRule="auto"/>
        <w:ind w:firstLine="0"/>
        <w:jc w:val="center"/>
      </w:pPr>
      <w:r>
        <w:t>•</w:t>
      </w:r>
    </w:p>
    <w:p w:rsidR="00500724" w:rsidRDefault="00F30FB8">
      <w:pPr>
        <w:pStyle w:val="Zkladntext30"/>
        <w:shd w:val="clear" w:color="auto" w:fill="auto"/>
        <w:spacing w:line="202" w:lineRule="auto"/>
      </w:pPr>
      <w:r>
        <w:t>Mnohem složitější je otázka, kam umístit všechny zaměstnance bývalé vojenské správy s náležitým vy</w:t>
      </w:r>
      <w:r>
        <w:softHyphen/>
        <w:t>užitím jejich s</w:t>
      </w:r>
      <w:r>
        <w:t>chopností i v jiném výdělečném povo</w:t>
      </w:r>
      <w:r>
        <w:softHyphen/>
        <w:t>lání. Bylo by jistě nad síly těch, kteří jsou pověřeni zápasit s tímto problémem, kdyby se jim nedostalo vydatné pomoci odjinud. Vojenská správa zatím uči</w:t>
      </w:r>
      <w:r>
        <w:softHyphen/>
        <w:t>nila vše, co bylo v její moci. V několika místech již zřídila kur</w:t>
      </w:r>
      <w:r>
        <w:t>sy, které mají sloužit k přeškolení důstoj</w:t>
      </w:r>
      <w:r>
        <w:softHyphen/>
        <w:t xml:space="preserve">níků a poddůstojníků k jinému povolání. Ale to samo o sobě nestačí, nemůže stačit. Tímto způsobem bude možné umístit jen určité procento zejména mladších lidí, kteří by bez risika zproletarisování mohli začínat — </w:t>
      </w:r>
      <w:r>
        <w:t>znova. Ale je zde mnoho těch, kteří ve vojenské službě zestárli a o jejichž sociálním zajištění je třeba uvažovat jako o národní povinnosti. Nejsou to přece lidé všelijací, nad nimiž by se mohlo mávnout rukou. Nejsme v takové situaci, abychom se mohli zříc</w:t>
      </w:r>
      <w:r>
        <w:t>i spolu</w:t>
      </w:r>
      <w:r>
        <w:softHyphen/>
        <w:t>práce našich bývalých důstojníků a poddůstojníků, lidi, jejichž pracovní i charakterové vlastnosti byly tolikrát vyzkoušeny v tuhém a odpovědném životě naší armády.</w:t>
      </w:r>
    </w:p>
    <w:p w:rsidR="00500724" w:rsidRDefault="00F30FB8">
      <w:pPr>
        <w:pStyle w:val="Zkladntext30"/>
        <w:shd w:val="clear" w:color="auto" w:fill="auto"/>
        <w:spacing w:after="0" w:line="202" w:lineRule="auto"/>
      </w:pPr>
      <w:r>
        <w:t>Naše hospodářství, průmysl a obchod mají nyní možnost získat muže, které vojenská s</w:t>
      </w:r>
      <w:r>
        <w:t>lužba vychovala k přísné odpovědnosti a pracovitosti i na místech, kde se nesmělo váhat a kde osobní iniciativa byla nejvyšší kvalifikací. Ale jsou i jiné obory lidského podnikání, kde naši vojáci se mohou stát platnými spolupracov</w:t>
      </w:r>
      <w:r>
        <w:softHyphen/>
        <w:t>níky, dá-li se jim k tom</w:t>
      </w:r>
      <w:r>
        <w:t>u možnost. V dnešní době bylo by jistě trapné, kdybychom dopustili, aby ti, kteří s nadlidským úsilím se podrobili rozkazu své vlády nepodnikat nic, co by národ vehnalo do katastrofy, chodili mezi námi jako zbyteční nebo — přebyteční.</w:t>
      </w:r>
    </w:p>
    <w:p w:rsidR="00500724" w:rsidRDefault="00F30FB8">
      <w:pPr>
        <w:pStyle w:val="Zkladntext30"/>
        <w:shd w:val="clear" w:color="auto" w:fill="auto"/>
        <w:spacing w:after="80" w:line="202" w:lineRule="auto"/>
        <w:ind w:firstLine="220"/>
      </w:pPr>
      <w:r>
        <w:t xml:space="preserve">Na budově MNO dnes </w:t>
      </w:r>
      <w:r>
        <w:t>vlaje říšskoněmecká služební vlajka. Každé její mávnutí jako by odválo i něco z to</w:t>
      </w:r>
      <w:r>
        <w:softHyphen/>
        <w:t>ho, co bylo dříve, nač musíme vzpomínat, nechť by to bylo jen pouhé vzpomínání. Ale je to skutečnost, kte</w:t>
      </w:r>
      <w:r>
        <w:softHyphen/>
        <w:t>rou nutno brát tak, jaká je: mužně, rozumně — neboť úkoly, které ná</w:t>
      </w:r>
      <w:r>
        <w:t>s čekají, vyžadují muže silných nervů a silných srdcí. Nechtějme proto ztratit ani jednoho z těch mužů v bolestném rozlomu vědomí, že jeho ru</w:t>
      </w:r>
      <w:r>
        <w:softHyphen/>
        <w:t>kou a práce není už třeba. Tím bychom se proti nim nejvíc provinili.</w:t>
      </w:r>
    </w:p>
    <w:p w:rsidR="00500724" w:rsidRDefault="00F30FB8">
      <w:pPr>
        <w:pStyle w:val="Jin0"/>
        <w:shd w:val="clear" w:color="auto" w:fill="auto"/>
        <w:spacing w:after="80"/>
        <w:ind w:firstLine="0"/>
        <w:jc w:val="center"/>
        <w:rPr>
          <w:sz w:val="34"/>
          <w:szCs w:val="34"/>
        </w:rPr>
      </w:pPr>
      <w:r>
        <w:rPr>
          <w:b/>
          <w:bCs/>
          <w:sz w:val="34"/>
          <w:szCs w:val="34"/>
        </w:rPr>
        <w:t>Válečný potenciál Ruska</w:t>
      </w:r>
    </w:p>
    <w:p w:rsidR="00500724" w:rsidRDefault="00F30FB8">
      <w:pPr>
        <w:pStyle w:val="Zkladntext30"/>
        <w:shd w:val="clear" w:color="auto" w:fill="auto"/>
        <w:spacing w:after="0" w:line="180" w:lineRule="auto"/>
        <w:ind w:left="560" w:firstLine="220"/>
        <w:rPr>
          <w:sz w:val="20"/>
          <w:szCs w:val="20"/>
        </w:rPr>
      </w:pPr>
      <w:r>
        <w:rPr>
          <w:sz w:val="20"/>
          <w:szCs w:val="20"/>
        </w:rPr>
        <w:t xml:space="preserve">Známá anglická národohospodářská revue »The </w:t>
      </w:r>
      <w:r>
        <w:rPr>
          <w:sz w:val="20"/>
          <w:szCs w:val="20"/>
          <w:lang w:val="en-US" w:eastAsia="en-US" w:bidi="en-US"/>
        </w:rPr>
        <w:t xml:space="preserve">Economist* </w:t>
      </w:r>
      <w:r>
        <w:rPr>
          <w:sz w:val="20"/>
          <w:szCs w:val="20"/>
        </w:rPr>
        <w:t>přinesla nedávno článek, který zde v pře</w:t>
      </w:r>
      <w:r>
        <w:rPr>
          <w:sz w:val="20"/>
          <w:szCs w:val="20"/>
        </w:rPr>
        <w:softHyphen/>
        <w:t>kladu otiskujeme. Je v těchto dnech zvláště zajímavý proto, že informuje o tom, jaký obraz si dělají rozho</w:t>
      </w:r>
      <w:r>
        <w:rPr>
          <w:sz w:val="20"/>
          <w:szCs w:val="20"/>
        </w:rPr>
        <w:softHyphen/>
        <w:t>dující britská místa o válečné síle sovětského Ruska,</w:t>
      </w:r>
    </w:p>
    <w:p w:rsidR="00500724" w:rsidRDefault="00F30FB8">
      <w:pPr>
        <w:pStyle w:val="Zkladntext40"/>
        <w:shd w:val="clear" w:color="auto" w:fill="auto"/>
        <w:spacing w:after="0" w:line="286" w:lineRule="auto"/>
        <w:ind w:firstLine="220"/>
        <w:rPr>
          <w:sz w:val="14"/>
          <w:szCs w:val="14"/>
        </w:rPr>
      </w:pPr>
      <w:r>
        <w:rPr>
          <w:b/>
          <w:bCs/>
          <w:sz w:val="14"/>
          <w:szCs w:val="14"/>
        </w:rPr>
        <w:t>Při hodnocení vojenské síly kteréhokoli státu je nutno počítati s řadou činitelů, jako je sociální morálka ozbro</w:t>
      </w:r>
      <w:r>
        <w:rPr>
          <w:b/>
          <w:bCs/>
          <w:sz w:val="14"/>
          <w:szCs w:val="14"/>
        </w:rPr>
        <w:softHyphen/>
        <w:t>jených sil a civilního obyvatelstva, o nichž mohou existo</w:t>
      </w:r>
      <w:r>
        <w:rPr>
          <w:b/>
          <w:bCs/>
          <w:sz w:val="14"/>
          <w:szCs w:val="14"/>
        </w:rPr>
        <w:softHyphen/>
        <w:t>vat vlastně jen dohady. Tak je tomu zejména u sovět</w:t>
      </w:r>
      <w:r>
        <w:rPr>
          <w:b/>
          <w:bCs/>
          <w:sz w:val="14"/>
          <w:szCs w:val="14"/>
        </w:rPr>
        <w:softHyphen/>
        <w:t>ského Ruska, země hlubokých soci</w:t>
      </w:r>
      <w:r>
        <w:rPr>
          <w:b/>
          <w:bCs/>
          <w:sz w:val="14"/>
          <w:szCs w:val="14"/>
        </w:rPr>
        <w:t>álních změn a veli</w:t>
      </w:r>
      <w:r>
        <w:rPr>
          <w:b/>
          <w:bCs/>
          <w:sz w:val="14"/>
          <w:szCs w:val="14"/>
        </w:rPr>
        <w:softHyphen/>
        <w:t>kých překvapení. Přesnější informace je však možno získati o čistě hospodářských věcech, jež v moderní válce hrají značnou úlohu. Dnes musí být naftové cister</w:t>
      </w:r>
      <w:r>
        <w:rPr>
          <w:b/>
          <w:bCs/>
          <w:sz w:val="14"/>
          <w:szCs w:val="14"/>
        </w:rPr>
        <w:softHyphen/>
        <w:t>ny armád stejně dobře živeny jako jejich žaludky a jejich bojová síla do velké</w:t>
      </w:r>
      <w:r>
        <w:rPr>
          <w:b/>
          <w:bCs/>
          <w:sz w:val="14"/>
          <w:szCs w:val="14"/>
        </w:rPr>
        <w:t xml:space="preserve"> míry závisí na továrnách, které jsou jim k disposici.</w:t>
      </w:r>
    </w:p>
    <w:p w:rsidR="00500724" w:rsidRDefault="00F30FB8">
      <w:pPr>
        <w:pStyle w:val="Zkladntext40"/>
        <w:shd w:val="clear" w:color="auto" w:fill="auto"/>
        <w:spacing w:after="0" w:line="286" w:lineRule="auto"/>
        <w:ind w:firstLine="220"/>
        <w:rPr>
          <w:sz w:val="14"/>
          <w:szCs w:val="14"/>
        </w:rPr>
      </w:pPr>
      <w:r>
        <w:rPr>
          <w:b/>
          <w:bCs/>
          <w:sz w:val="14"/>
          <w:szCs w:val="14"/>
        </w:rPr>
        <w:t>Bolševici se nikdy nepřestali bát úplného hospodář</w:t>
      </w:r>
      <w:r>
        <w:rPr>
          <w:b/>
          <w:bCs/>
          <w:sz w:val="14"/>
          <w:szCs w:val="14"/>
        </w:rPr>
        <w:softHyphen/>
        <w:t>ského bojkotu či dokonce kombinovaného vojenského útoku celého ostatního světa; a právě na obranu proti takovému útoku se připravovali psychologicky i</w:t>
      </w:r>
      <w:r>
        <w:rPr>
          <w:b/>
          <w:bCs/>
          <w:sz w:val="14"/>
          <w:szCs w:val="14"/>
        </w:rPr>
        <w:t xml:space="preserve"> fysicky, ne k své vlastní ofensivě ani k obraně jiných států. Chtěli-li zajistit společenský řád, který vytvořili, museli se rozhodnout pro jedno z dvojího: bud revolucionisoval průmyslový Západ nebo industrialisovat Rusko v tem</w:t>
      </w:r>
      <w:r>
        <w:rPr>
          <w:b/>
          <w:bCs/>
          <w:sz w:val="14"/>
          <w:szCs w:val="14"/>
        </w:rPr>
        <w:softHyphen/>
        <w:t>pu, jaké svět dosud nepozn</w:t>
      </w:r>
      <w:r>
        <w:rPr>
          <w:b/>
          <w:bCs/>
          <w:sz w:val="14"/>
          <w:szCs w:val="14"/>
        </w:rPr>
        <w:t>al. Naštěstí pro světový miř rozhodli se pro tento druhý kurs.</w:t>
      </w:r>
    </w:p>
    <w:p w:rsidR="00500724" w:rsidRDefault="00F30FB8">
      <w:pPr>
        <w:pStyle w:val="Zkladntext40"/>
        <w:shd w:val="clear" w:color="auto" w:fill="auto"/>
        <w:spacing w:after="0" w:line="286" w:lineRule="auto"/>
        <w:ind w:firstLine="220"/>
        <w:rPr>
          <w:sz w:val="14"/>
          <w:szCs w:val="14"/>
        </w:rPr>
      </w:pPr>
      <w:r>
        <w:rPr>
          <w:b/>
          <w:bCs/>
          <w:sz w:val="14"/>
          <w:szCs w:val="14"/>
        </w:rPr>
        <w:t>Údaje sovětských statistik o průmyslové výrobě, uda</w:t>
      </w:r>
      <w:r>
        <w:rPr>
          <w:b/>
          <w:bCs/>
          <w:sz w:val="14"/>
          <w:szCs w:val="14"/>
        </w:rPr>
        <w:softHyphen/>
        <w:t>né v peněžních jednotkách, svědčí o tom, že už v r. 1926 bylo znovu dosaženo čísel z r. 1913 a že do r. 1936 tato výroba vzrostla sedmkrát. T</w:t>
      </w:r>
      <w:r>
        <w:rPr>
          <w:b/>
          <w:bCs/>
          <w:sz w:val="14"/>
          <w:szCs w:val="14"/>
        </w:rPr>
        <w:t>yto údaje je však nutno při</w:t>
      </w:r>
      <w:r>
        <w:rPr>
          <w:b/>
          <w:bCs/>
          <w:sz w:val="14"/>
          <w:szCs w:val="14"/>
        </w:rPr>
        <w:softHyphen/>
        <w:t>jímat s určitou reservou; spolehlivější jsou níže uvedená čísla, udávající fysické množství určitých druhů vý</w:t>
      </w:r>
      <w:r>
        <w:rPr>
          <w:b/>
          <w:bCs/>
          <w:sz w:val="14"/>
          <w:szCs w:val="14"/>
        </w:rPr>
        <w:softHyphen/>
        <w:t>robků, třebaže v nich zase chybí průkazy o jejich kva</w:t>
      </w:r>
      <w:r>
        <w:rPr>
          <w:b/>
          <w:bCs/>
          <w:sz w:val="14"/>
          <w:szCs w:val="14"/>
        </w:rPr>
        <w:softHyphen/>
        <w:t>litě a o množství braku, jehož je v Rusku stále ještě mnohem víc</w:t>
      </w:r>
      <w:r>
        <w:rPr>
          <w:b/>
          <w:bCs/>
          <w:sz w:val="14"/>
          <w:szCs w:val="14"/>
        </w:rPr>
        <w:t>e než v ostatních průmyslových zemích. Ne- dovídáme se z nich rovněž nic o špatném stavu výrob</w:t>
      </w:r>
      <w:r>
        <w:rPr>
          <w:b/>
          <w:bCs/>
          <w:sz w:val="14"/>
          <w:szCs w:val="14"/>
        </w:rPr>
        <w:softHyphen/>
        <w:t>ních prostředků, který byl chronický až do nedávná, kdy byl v průmyslu ztlumen systém čistě politické kontroly.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47"/>
        <w:gridCol w:w="768"/>
        <w:gridCol w:w="653"/>
        <w:gridCol w:w="725"/>
        <w:gridCol w:w="557"/>
      </w:tblGrid>
      <w:tr w:rsidR="00500724">
        <w:tblPrEx>
          <w:tblCellMar>
            <w:top w:w="0" w:type="dxa"/>
            <w:bottom w:w="0" w:type="dxa"/>
          </w:tblCellMar>
        </w:tblPrEx>
        <w:trPr>
          <w:trHeight w:hRule="exact" w:val="187"/>
          <w:jc w:val="center"/>
        </w:trPr>
        <w:tc>
          <w:tcPr>
            <w:tcW w:w="0" w:type="auto"/>
            <w:shd w:val="clear" w:color="auto" w:fill="FFFFFF"/>
          </w:tcPr>
          <w:p w:rsidR="00500724" w:rsidRDefault="00500724">
            <w:pPr>
              <w:rPr>
                <w:sz w:val="10"/>
                <w:szCs w:val="10"/>
              </w:rPr>
            </w:pPr>
          </w:p>
        </w:tc>
        <w:tc>
          <w:tcPr>
            <w:tcW w:w="0" w:type="auto"/>
            <w:shd w:val="clear" w:color="auto" w:fill="FFFFFF"/>
            <w:vAlign w:val="bottom"/>
          </w:tcPr>
          <w:p w:rsidR="00500724" w:rsidRDefault="00F30FB8">
            <w:pPr>
              <w:pStyle w:val="Jin0"/>
              <w:shd w:val="clear" w:color="auto" w:fill="auto"/>
              <w:ind w:firstLine="0"/>
              <w:jc w:val="right"/>
              <w:rPr>
                <w:sz w:val="20"/>
                <w:szCs w:val="20"/>
              </w:rPr>
            </w:pPr>
            <w:r>
              <w:rPr>
                <w:sz w:val="20"/>
                <w:szCs w:val="20"/>
              </w:rPr>
              <w:t>1913</w:t>
            </w:r>
          </w:p>
        </w:tc>
        <w:tc>
          <w:tcPr>
            <w:tcW w:w="0" w:type="auto"/>
            <w:shd w:val="clear" w:color="auto" w:fill="FFFFFF"/>
            <w:vAlign w:val="bottom"/>
          </w:tcPr>
          <w:p w:rsidR="00500724" w:rsidRDefault="00F30FB8">
            <w:pPr>
              <w:pStyle w:val="Jin0"/>
              <w:shd w:val="clear" w:color="auto" w:fill="auto"/>
              <w:ind w:firstLine="0"/>
              <w:jc w:val="center"/>
              <w:rPr>
                <w:sz w:val="20"/>
                <w:szCs w:val="20"/>
              </w:rPr>
            </w:pPr>
            <w:r>
              <w:rPr>
                <w:sz w:val="20"/>
                <w:szCs w:val="20"/>
              </w:rPr>
              <w:t>1928</w:t>
            </w:r>
          </w:p>
        </w:tc>
        <w:tc>
          <w:tcPr>
            <w:tcW w:w="0" w:type="auto"/>
            <w:shd w:val="clear" w:color="auto" w:fill="FFFFFF"/>
            <w:vAlign w:val="bottom"/>
          </w:tcPr>
          <w:p w:rsidR="00500724" w:rsidRDefault="00F30FB8">
            <w:pPr>
              <w:pStyle w:val="Jin0"/>
              <w:shd w:val="clear" w:color="auto" w:fill="auto"/>
              <w:ind w:firstLine="0"/>
              <w:jc w:val="center"/>
              <w:rPr>
                <w:sz w:val="20"/>
                <w:szCs w:val="20"/>
              </w:rPr>
            </w:pPr>
            <w:r>
              <w:rPr>
                <w:sz w:val="20"/>
                <w:szCs w:val="20"/>
              </w:rPr>
              <w:t>1932</w:t>
            </w:r>
          </w:p>
        </w:tc>
        <w:tc>
          <w:tcPr>
            <w:tcW w:w="0" w:type="auto"/>
            <w:shd w:val="clear" w:color="auto" w:fill="FFFFFF"/>
            <w:vAlign w:val="bottom"/>
          </w:tcPr>
          <w:p w:rsidR="00500724" w:rsidRDefault="00F30FB8">
            <w:pPr>
              <w:pStyle w:val="Jin0"/>
              <w:shd w:val="clear" w:color="auto" w:fill="auto"/>
              <w:ind w:firstLine="0"/>
              <w:jc w:val="right"/>
              <w:rPr>
                <w:sz w:val="20"/>
                <w:szCs w:val="20"/>
              </w:rPr>
            </w:pPr>
            <w:r>
              <w:rPr>
                <w:sz w:val="20"/>
                <w:szCs w:val="20"/>
              </w:rPr>
              <w:t>1937</w:t>
            </w:r>
          </w:p>
        </w:tc>
      </w:tr>
      <w:tr w:rsidR="00500724">
        <w:tblPrEx>
          <w:tblCellMar>
            <w:top w:w="0" w:type="dxa"/>
            <w:bottom w:w="0" w:type="dxa"/>
          </w:tblCellMar>
        </w:tblPrEx>
        <w:trPr>
          <w:trHeight w:hRule="exact" w:val="178"/>
          <w:jc w:val="center"/>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Uhlí (v mil. tun)</w:t>
            </w:r>
          </w:p>
        </w:tc>
        <w:tc>
          <w:tcPr>
            <w:tcW w:w="0" w:type="auto"/>
            <w:shd w:val="clear" w:color="auto" w:fill="FFFFFF"/>
          </w:tcPr>
          <w:p w:rsidR="00500724" w:rsidRDefault="00F30FB8">
            <w:pPr>
              <w:pStyle w:val="Jin0"/>
              <w:shd w:val="clear" w:color="auto" w:fill="auto"/>
              <w:ind w:firstLine="0"/>
              <w:jc w:val="right"/>
              <w:rPr>
                <w:sz w:val="20"/>
                <w:szCs w:val="20"/>
              </w:rPr>
            </w:pPr>
            <w:r>
              <w:rPr>
                <w:sz w:val="20"/>
                <w:szCs w:val="20"/>
              </w:rPr>
              <w:t>29.1</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35.5</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64.7</w:t>
            </w:r>
          </w:p>
        </w:tc>
        <w:tc>
          <w:tcPr>
            <w:tcW w:w="0" w:type="auto"/>
            <w:shd w:val="clear" w:color="auto" w:fill="FFFFFF"/>
            <w:vAlign w:val="bottom"/>
          </w:tcPr>
          <w:p w:rsidR="00500724" w:rsidRDefault="00F30FB8">
            <w:pPr>
              <w:pStyle w:val="Jin0"/>
              <w:shd w:val="clear" w:color="auto" w:fill="auto"/>
              <w:ind w:firstLine="0"/>
              <w:jc w:val="right"/>
              <w:rPr>
                <w:sz w:val="20"/>
                <w:szCs w:val="20"/>
              </w:rPr>
            </w:pPr>
            <w:r>
              <w:rPr>
                <w:sz w:val="20"/>
                <w:szCs w:val="20"/>
              </w:rPr>
              <w:t>128</w:t>
            </w:r>
          </w:p>
        </w:tc>
      </w:tr>
      <w:tr w:rsidR="00500724">
        <w:tblPrEx>
          <w:tblCellMar>
            <w:top w:w="0" w:type="dxa"/>
            <w:bottom w:w="0" w:type="dxa"/>
          </w:tblCellMar>
        </w:tblPrEx>
        <w:trPr>
          <w:trHeight w:hRule="exact" w:val="173"/>
          <w:jc w:val="center"/>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Nafta (v mil. tun)</w:t>
            </w:r>
          </w:p>
        </w:tc>
        <w:tc>
          <w:tcPr>
            <w:tcW w:w="0" w:type="auto"/>
            <w:shd w:val="clear" w:color="auto" w:fill="FFFFFF"/>
          </w:tcPr>
          <w:p w:rsidR="00500724" w:rsidRDefault="00F30FB8">
            <w:pPr>
              <w:pStyle w:val="Jin0"/>
              <w:shd w:val="clear" w:color="auto" w:fill="auto"/>
              <w:ind w:firstLine="0"/>
              <w:jc w:val="right"/>
              <w:rPr>
                <w:sz w:val="20"/>
                <w:szCs w:val="20"/>
              </w:rPr>
            </w:pPr>
            <w:r>
              <w:rPr>
                <w:sz w:val="20"/>
                <w:szCs w:val="20"/>
              </w:rPr>
              <w:t>9.2</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11.5</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22.3</w:t>
            </w:r>
          </w:p>
        </w:tc>
        <w:tc>
          <w:tcPr>
            <w:tcW w:w="0" w:type="auto"/>
            <w:shd w:val="clear" w:color="auto" w:fill="FFFFFF"/>
          </w:tcPr>
          <w:p w:rsidR="00500724" w:rsidRDefault="00F30FB8">
            <w:pPr>
              <w:pStyle w:val="Jin0"/>
              <w:shd w:val="clear" w:color="auto" w:fill="auto"/>
              <w:ind w:firstLine="0"/>
              <w:jc w:val="right"/>
              <w:rPr>
                <w:sz w:val="20"/>
                <w:szCs w:val="20"/>
              </w:rPr>
            </w:pPr>
            <w:r>
              <w:rPr>
                <w:sz w:val="20"/>
                <w:szCs w:val="20"/>
              </w:rPr>
              <w:t>31</w:t>
            </w:r>
          </w:p>
        </w:tc>
      </w:tr>
      <w:tr w:rsidR="00500724">
        <w:tblPrEx>
          <w:tblCellMar>
            <w:top w:w="0" w:type="dxa"/>
            <w:bottom w:w="0" w:type="dxa"/>
          </w:tblCellMar>
        </w:tblPrEx>
        <w:trPr>
          <w:trHeight w:hRule="exact" w:val="168"/>
          <w:jc w:val="center"/>
        </w:trPr>
        <w:tc>
          <w:tcPr>
            <w:tcW w:w="0" w:type="auto"/>
            <w:shd w:val="clear" w:color="auto" w:fill="FFFFFF"/>
            <w:vAlign w:val="bottom"/>
          </w:tcPr>
          <w:p w:rsidR="00500724" w:rsidRDefault="00F30FB8">
            <w:pPr>
              <w:pStyle w:val="Jin0"/>
              <w:shd w:val="clear" w:color="auto" w:fill="auto"/>
              <w:ind w:firstLine="0"/>
              <w:jc w:val="left"/>
              <w:rPr>
                <w:sz w:val="20"/>
                <w:szCs w:val="20"/>
              </w:rPr>
            </w:pPr>
            <w:r>
              <w:rPr>
                <w:sz w:val="20"/>
                <w:szCs w:val="20"/>
              </w:rPr>
              <w:t>Elektřina (v miliardách</w:t>
            </w: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c>
          <w:tcPr>
            <w:tcW w:w="0" w:type="auto"/>
            <w:shd w:val="clear" w:color="auto" w:fill="FFFFFF"/>
          </w:tcPr>
          <w:p w:rsidR="00500724" w:rsidRDefault="00500724">
            <w:pPr>
              <w:rPr>
                <w:sz w:val="10"/>
                <w:szCs w:val="10"/>
              </w:rPr>
            </w:pPr>
          </w:p>
        </w:tc>
      </w:tr>
      <w:tr w:rsidR="00500724">
        <w:tblPrEx>
          <w:tblCellMar>
            <w:top w:w="0" w:type="dxa"/>
            <w:bottom w:w="0" w:type="dxa"/>
          </w:tblCellMar>
        </w:tblPrEx>
        <w:trPr>
          <w:trHeight w:hRule="exact" w:val="192"/>
          <w:jc w:val="center"/>
        </w:trPr>
        <w:tc>
          <w:tcPr>
            <w:tcW w:w="0" w:type="auto"/>
            <w:shd w:val="clear" w:color="auto" w:fill="FFFFFF"/>
          </w:tcPr>
          <w:p w:rsidR="00500724" w:rsidRDefault="00F30FB8">
            <w:pPr>
              <w:pStyle w:val="Jin0"/>
              <w:shd w:val="clear" w:color="auto" w:fill="auto"/>
              <w:ind w:left="200" w:firstLine="0"/>
              <w:jc w:val="left"/>
              <w:rPr>
                <w:sz w:val="20"/>
                <w:szCs w:val="20"/>
              </w:rPr>
            </w:pPr>
            <w:r>
              <w:rPr>
                <w:sz w:val="20"/>
                <w:szCs w:val="20"/>
              </w:rPr>
              <w:t>kw/hod.)</w:t>
            </w:r>
          </w:p>
        </w:tc>
        <w:tc>
          <w:tcPr>
            <w:tcW w:w="0" w:type="auto"/>
            <w:shd w:val="clear" w:color="auto" w:fill="FFFFFF"/>
            <w:vAlign w:val="bottom"/>
          </w:tcPr>
          <w:p w:rsidR="00500724" w:rsidRDefault="00F30FB8">
            <w:pPr>
              <w:pStyle w:val="Jin0"/>
              <w:shd w:val="clear" w:color="auto" w:fill="auto"/>
              <w:ind w:right="180" w:firstLine="0"/>
              <w:jc w:val="right"/>
              <w:rPr>
                <w:sz w:val="20"/>
                <w:szCs w:val="20"/>
              </w:rPr>
            </w:pPr>
            <w:r>
              <w:rPr>
                <w:sz w:val="20"/>
                <w:szCs w:val="20"/>
              </w:rPr>
              <w:t>2</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5</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13.6</w:t>
            </w:r>
          </w:p>
        </w:tc>
        <w:tc>
          <w:tcPr>
            <w:tcW w:w="0" w:type="auto"/>
            <w:shd w:val="clear" w:color="auto" w:fill="FFFFFF"/>
          </w:tcPr>
          <w:p w:rsidR="00500724" w:rsidRDefault="00F30FB8">
            <w:pPr>
              <w:pStyle w:val="Jin0"/>
              <w:shd w:val="clear" w:color="auto" w:fill="auto"/>
              <w:ind w:firstLine="0"/>
              <w:jc w:val="right"/>
              <w:rPr>
                <w:sz w:val="20"/>
                <w:szCs w:val="20"/>
              </w:rPr>
            </w:pPr>
            <w:r>
              <w:rPr>
                <w:sz w:val="20"/>
                <w:szCs w:val="20"/>
              </w:rPr>
              <w:t>36.5</w:t>
            </w:r>
          </w:p>
        </w:tc>
      </w:tr>
    </w:tbl>
    <w:p w:rsidR="00500724" w:rsidRDefault="00F30FB8">
      <w:pPr>
        <w:pStyle w:val="Titulektabulky0"/>
        <w:shd w:val="clear" w:color="auto" w:fill="auto"/>
        <w:jc w:val="left"/>
        <w:rPr>
          <w:sz w:val="20"/>
          <w:szCs w:val="20"/>
        </w:rPr>
      </w:pPr>
      <w:r>
        <w:rPr>
          <w:b w:val="0"/>
          <w:bCs w:val="0"/>
          <w:sz w:val="20"/>
          <w:szCs w:val="20"/>
        </w:rPr>
        <w:t>Traktory (v tisících, převedeno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571"/>
        <w:gridCol w:w="638"/>
        <w:gridCol w:w="739"/>
        <w:gridCol w:w="557"/>
      </w:tblGrid>
      <w:tr w:rsidR="00500724">
        <w:tblPrEx>
          <w:tblCellMar>
            <w:top w:w="0" w:type="dxa"/>
            <w:bottom w:w="0" w:type="dxa"/>
          </w:tblCellMar>
        </w:tblPrEx>
        <w:trPr>
          <w:trHeight w:hRule="exact" w:val="202"/>
          <w:jc w:val="center"/>
        </w:trPr>
        <w:tc>
          <w:tcPr>
            <w:tcW w:w="0" w:type="auto"/>
            <w:shd w:val="clear" w:color="auto" w:fill="FFFFFF"/>
            <w:vAlign w:val="bottom"/>
          </w:tcPr>
          <w:p w:rsidR="00500724" w:rsidRDefault="00F30FB8">
            <w:pPr>
              <w:pStyle w:val="Jin0"/>
              <w:shd w:val="clear" w:color="auto" w:fill="auto"/>
              <w:ind w:left="20" w:firstLine="0"/>
              <w:jc w:val="center"/>
              <w:rPr>
                <w:sz w:val="20"/>
                <w:szCs w:val="20"/>
              </w:rPr>
            </w:pPr>
            <w:r>
              <w:rPr>
                <w:sz w:val="20"/>
                <w:szCs w:val="20"/>
              </w:rPr>
              <w:t>na jednotky o 15 k. s.)</w:t>
            </w:r>
          </w:p>
        </w:tc>
        <w:tc>
          <w:tcPr>
            <w:tcW w:w="0" w:type="auto"/>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0</w:t>
            </w:r>
          </w:p>
        </w:tc>
        <w:tc>
          <w:tcPr>
            <w:tcW w:w="0" w:type="auto"/>
            <w:shd w:val="clear" w:color="auto" w:fill="FFFFFF"/>
            <w:vAlign w:val="bottom"/>
          </w:tcPr>
          <w:p w:rsidR="00500724" w:rsidRDefault="00F30FB8">
            <w:pPr>
              <w:pStyle w:val="Jin0"/>
              <w:shd w:val="clear" w:color="auto" w:fill="auto"/>
              <w:ind w:firstLine="0"/>
              <w:jc w:val="center"/>
              <w:rPr>
                <w:sz w:val="20"/>
                <w:szCs w:val="20"/>
              </w:rPr>
            </w:pPr>
            <w:r>
              <w:rPr>
                <w:sz w:val="20"/>
                <w:szCs w:val="20"/>
              </w:rPr>
              <w:t>1.3</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50.6</w:t>
            </w:r>
          </w:p>
        </w:tc>
        <w:tc>
          <w:tcPr>
            <w:tcW w:w="0" w:type="auto"/>
            <w:shd w:val="clear" w:color="auto" w:fill="FFFFFF"/>
            <w:vAlign w:val="bottom"/>
          </w:tcPr>
          <w:p w:rsidR="00500724" w:rsidRDefault="00F30FB8">
            <w:pPr>
              <w:pStyle w:val="Jin0"/>
              <w:shd w:val="clear" w:color="auto" w:fill="auto"/>
              <w:ind w:firstLine="0"/>
              <w:jc w:val="right"/>
              <w:rPr>
                <w:sz w:val="20"/>
                <w:szCs w:val="20"/>
              </w:rPr>
            </w:pPr>
            <w:r>
              <w:rPr>
                <w:sz w:val="20"/>
                <w:szCs w:val="20"/>
              </w:rPr>
              <w:t>115</w:t>
            </w:r>
          </w:p>
        </w:tc>
      </w:tr>
      <w:tr w:rsidR="00500724">
        <w:tblPrEx>
          <w:tblCellMar>
            <w:top w:w="0" w:type="dxa"/>
            <w:bottom w:w="0" w:type="dxa"/>
          </w:tblCellMar>
        </w:tblPrEx>
        <w:trPr>
          <w:trHeight w:hRule="exact" w:val="173"/>
          <w:jc w:val="center"/>
        </w:trPr>
        <w:tc>
          <w:tcPr>
            <w:tcW w:w="0" w:type="auto"/>
            <w:shd w:val="clear" w:color="auto" w:fill="FFFFFF"/>
          </w:tcPr>
          <w:p w:rsidR="00500724" w:rsidRDefault="00F30FB8">
            <w:pPr>
              <w:pStyle w:val="Jin0"/>
              <w:shd w:val="clear" w:color="auto" w:fill="auto"/>
              <w:ind w:firstLine="0"/>
              <w:jc w:val="left"/>
              <w:rPr>
                <w:sz w:val="20"/>
                <w:szCs w:val="20"/>
              </w:rPr>
            </w:pPr>
            <w:r>
              <w:rPr>
                <w:sz w:val="20"/>
                <w:szCs w:val="20"/>
              </w:rPr>
              <w:t>Automobily (v tisících)</w:t>
            </w:r>
          </w:p>
        </w:tc>
        <w:tc>
          <w:tcPr>
            <w:tcW w:w="0" w:type="auto"/>
            <w:shd w:val="clear" w:color="auto" w:fill="FFFFFF"/>
            <w:vAlign w:val="bottom"/>
          </w:tcPr>
          <w:p w:rsidR="00500724" w:rsidRDefault="00F30FB8">
            <w:pPr>
              <w:pStyle w:val="Jin0"/>
              <w:shd w:val="clear" w:color="auto" w:fill="auto"/>
              <w:ind w:right="80" w:firstLine="0"/>
              <w:jc w:val="center"/>
              <w:rPr>
                <w:sz w:val="20"/>
                <w:szCs w:val="20"/>
              </w:rPr>
            </w:pPr>
            <w:r>
              <w:rPr>
                <w:sz w:val="20"/>
                <w:szCs w:val="20"/>
              </w:rPr>
              <w:t>0</w:t>
            </w:r>
          </w:p>
        </w:tc>
        <w:tc>
          <w:tcPr>
            <w:tcW w:w="0" w:type="auto"/>
            <w:shd w:val="clear" w:color="auto" w:fill="FFFFFF"/>
          </w:tcPr>
          <w:p w:rsidR="00500724" w:rsidRDefault="00F30FB8">
            <w:pPr>
              <w:pStyle w:val="Jin0"/>
              <w:shd w:val="clear" w:color="auto" w:fill="auto"/>
              <w:ind w:left="60" w:firstLine="0"/>
              <w:jc w:val="center"/>
              <w:rPr>
                <w:sz w:val="20"/>
                <w:szCs w:val="20"/>
              </w:rPr>
            </w:pPr>
            <w:r>
              <w:rPr>
                <w:sz w:val="20"/>
                <w:szCs w:val="20"/>
              </w:rPr>
              <w:t>7</w:t>
            </w:r>
          </w:p>
        </w:tc>
        <w:tc>
          <w:tcPr>
            <w:tcW w:w="0" w:type="auto"/>
            <w:shd w:val="clear" w:color="auto" w:fill="FFFFFF"/>
          </w:tcPr>
          <w:p w:rsidR="00500724" w:rsidRDefault="00F30FB8">
            <w:pPr>
              <w:pStyle w:val="Jin0"/>
              <w:shd w:val="clear" w:color="auto" w:fill="auto"/>
              <w:ind w:firstLine="0"/>
              <w:jc w:val="center"/>
              <w:rPr>
                <w:sz w:val="20"/>
                <w:szCs w:val="20"/>
              </w:rPr>
            </w:pPr>
            <w:r>
              <w:rPr>
                <w:sz w:val="20"/>
                <w:szCs w:val="20"/>
              </w:rPr>
              <w:t>24</w:t>
            </w:r>
          </w:p>
        </w:tc>
        <w:tc>
          <w:tcPr>
            <w:tcW w:w="0" w:type="auto"/>
            <w:shd w:val="clear" w:color="auto" w:fill="FFFFFF"/>
            <w:vAlign w:val="bottom"/>
          </w:tcPr>
          <w:p w:rsidR="00500724" w:rsidRDefault="00F30FB8">
            <w:pPr>
              <w:pStyle w:val="Jin0"/>
              <w:shd w:val="clear" w:color="auto" w:fill="auto"/>
              <w:ind w:firstLine="0"/>
              <w:jc w:val="right"/>
              <w:rPr>
                <w:sz w:val="20"/>
                <w:szCs w:val="20"/>
              </w:rPr>
            </w:pPr>
            <w:r>
              <w:rPr>
                <w:sz w:val="20"/>
                <w:szCs w:val="20"/>
              </w:rPr>
              <w:t>200</w:t>
            </w:r>
          </w:p>
        </w:tc>
      </w:tr>
      <w:tr w:rsidR="00500724">
        <w:tblPrEx>
          <w:tblCellMar>
            <w:top w:w="0" w:type="dxa"/>
            <w:bottom w:w="0" w:type="dxa"/>
          </w:tblCellMar>
        </w:tblPrEx>
        <w:trPr>
          <w:trHeight w:hRule="exact" w:val="168"/>
          <w:jc w:val="center"/>
        </w:trPr>
        <w:tc>
          <w:tcPr>
            <w:tcW w:w="0" w:type="auto"/>
            <w:shd w:val="clear" w:color="auto" w:fill="FFFFFF"/>
          </w:tcPr>
          <w:p w:rsidR="00500724" w:rsidRDefault="00F30FB8">
            <w:pPr>
              <w:pStyle w:val="Jin0"/>
              <w:shd w:val="clear" w:color="auto" w:fill="auto"/>
              <w:ind w:left="20" w:firstLine="0"/>
              <w:jc w:val="center"/>
              <w:rPr>
                <w:sz w:val="20"/>
                <w:szCs w:val="20"/>
              </w:rPr>
            </w:pPr>
            <w:r>
              <w:rPr>
                <w:sz w:val="20"/>
                <w:szCs w:val="20"/>
              </w:rPr>
              <w:t>Kovodělné stroje (v tisících)</w:t>
            </w:r>
          </w:p>
        </w:tc>
        <w:tc>
          <w:tcPr>
            <w:tcW w:w="0" w:type="auto"/>
            <w:shd w:val="clear" w:color="auto" w:fill="FFFFFF"/>
          </w:tcPr>
          <w:p w:rsidR="00500724" w:rsidRDefault="00F30FB8">
            <w:pPr>
              <w:pStyle w:val="Jin0"/>
              <w:shd w:val="clear" w:color="auto" w:fill="auto"/>
              <w:ind w:firstLine="0"/>
              <w:jc w:val="right"/>
              <w:rPr>
                <w:sz w:val="20"/>
                <w:szCs w:val="20"/>
              </w:rPr>
            </w:pPr>
            <w:r>
              <w:rPr>
                <w:sz w:val="20"/>
                <w:szCs w:val="20"/>
              </w:rPr>
              <w:t>1.5</w:t>
            </w:r>
          </w:p>
        </w:tc>
        <w:tc>
          <w:tcPr>
            <w:tcW w:w="0" w:type="auto"/>
            <w:shd w:val="clear" w:color="auto" w:fill="FFFFFF"/>
            <w:vAlign w:val="bottom"/>
          </w:tcPr>
          <w:p w:rsidR="00500724" w:rsidRDefault="00F30FB8">
            <w:pPr>
              <w:pStyle w:val="Jin0"/>
              <w:shd w:val="clear" w:color="auto" w:fill="auto"/>
              <w:ind w:firstLine="0"/>
              <w:jc w:val="center"/>
              <w:rPr>
                <w:sz w:val="20"/>
                <w:szCs w:val="20"/>
              </w:rPr>
            </w:pPr>
            <w:r>
              <w:rPr>
                <w:sz w:val="20"/>
                <w:szCs w:val="20"/>
              </w:rPr>
              <w:t>1.8</w:t>
            </w:r>
          </w:p>
        </w:tc>
        <w:tc>
          <w:tcPr>
            <w:tcW w:w="0" w:type="auto"/>
            <w:shd w:val="clear" w:color="auto" w:fill="FFFFFF"/>
            <w:vAlign w:val="bottom"/>
          </w:tcPr>
          <w:p w:rsidR="00500724" w:rsidRDefault="00F30FB8">
            <w:pPr>
              <w:pStyle w:val="Jin0"/>
              <w:shd w:val="clear" w:color="auto" w:fill="auto"/>
              <w:ind w:right="60" w:firstLine="0"/>
              <w:jc w:val="center"/>
              <w:rPr>
                <w:sz w:val="20"/>
                <w:szCs w:val="20"/>
              </w:rPr>
            </w:pPr>
            <w:r>
              <w:rPr>
                <w:sz w:val="20"/>
                <w:szCs w:val="20"/>
              </w:rPr>
              <w:t>18.1</w:t>
            </w:r>
          </w:p>
        </w:tc>
        <w:tc>
          <w:tcPr>
            <w:tcW w:w="0" w:type="auto"/>
            <w:shd w:val="clear" w:color="auto" w:fill="FFFFFF"/>
          </w:tcPr>
          <w:p w:rsidR="00500724" w:rsidRDefault="00F30FB8">
            <w:pPr>
              <w:pStyle w:val="Jin0"/>
              <w:shd w:val="clear" w:color="auto" w:fill="auto"/>
              <w:ind w:firstLine="0"/>
              <w:jc w:val="right"/>
              <w:rPr>
                <w:sz w:val="20"/>
                <w:szCs w:val="20"/>
              </w:rPr>
            </w:pPr>
            <w:r>
              <w:rPr>
                <w:sz w:val="20"/>
                <w:szCs w:val="20"/>
              </w:rPr>
              <w:t>36</w:t>
            </w:r>
          </w:p>
        </w:tc>
      </w:tr>
      <w:tr w:rsidR="00500724">
        <w:tblPrEx>
          <w:tblCellMar>
            <w:top w:w="0" w:type="dxa"/>
            <w:bottom w:w="0" w:type="dxa"/>
          </w:tblCellMar>
        </w:tblPrEx>
        <w:trPr>
          <w:trHeight w:hRule="exact" w:val="197"/>
          <w:jc w:val="center"/>
        </w:trPr>
        <w:tc>
          <w:tcPr>
            <w:tcW w:w="0" w:type="auto"/>
            <w:shd w:val="clear" w:color="auto" w:fill="FFFFFF"/>
          </w:tcPr>
          <w:p w:rsidR="00500724" w:rsidRDefault="00F30FB8">
            <w:pPr>
              <w:pStyle w:val="Jin0"/>
              <w:shd w:val="clear" w:color="auto" w:fill="auto"/>
              <w:ind w:left="20" w:firstLine="0"/>
              <w:jc w:val="center"/>
              <w:rPr>
                <w:sz w:val="20"/>
                <w:szCs w:val="20"/>
              </w:rPr>
            </w:pPr>
            <w:r>
              <w:rPr>
                <w:sz w:val="20"/>
                <w:szCs w:val="20"/>
              </w:rPr>
              <w:t>Kyselina sírová (v tis. tun)</w:t>
            </w:r>
          </w:p>
        </w:tc>
        <w:tc>
          <w:tcPr>
            <w:tcW w:w="0" w:type="auto"/>
            <w:shd w:val="clear" w:color="auto" w:fill="FFFFFF"/>
            <w:vAlign w:val="center"/>
          </w:tcPr>
          <w:p w:rsidR="00500724" w:rsidRDefault="00F30FB8">
            <w:pPr>
              <w:pStyle w:val="Jin0"/>
              <w:shd w:val="clear" w:color="auto" w:fill="auto"/>
              <w:ind w:left="60" w:firstLine="0"/>
              <w:jc w:val="center"/>
              <w:rPr>
                <w:sz w:val="20"/>
                <w:szCs w:val="20"/>
              </w:rPr>
            </w:pPr>
            <w:r>
              <w:rPr>
                <w:sz w:val="20"/>
                <w:szCs w:val="20"/>
              </w:rPr>
              <w:t>121</w:t>
            </w:r>
          </w:p>
        </w:tc>
        <w:tc>
          <w:tcPr>
            <w:tcW w:w="0" w:type="auto"/>
            <w:shd w:val="clear" w:color="auto" w:fill="FFFFFF"/>
            <w:vAlign w:val="center"/>
          </w:tcPr>
          <w:p w:rsidR="00500724" w:rsidRDefault="00F30FB8">
            <w:pPr>
              <w:pStyle w:val="Jin0"/>
              <w:shd w:val="clear" w:color="auto" w:fill="auto"/>
              <w:ind w:firstLine="0"/>
              <w:jc w:val="left"/>
              <w:rPr>
                <w:sz w:val="20"/>
                <w:szCs w:val="20"/>
              </w:rPr>
            </w:pPr>
            <w:r>
              <w:rPr>
                <w:sz w:val="20"/>
                <w:szCs w:val="20"/>
              </w:rPr>
              <w:t>211</w:t>
            </w:r>
          </w:p>
        </w:tc>
        <w:tc>
          <w:tcPr>
            <w:tcW w:w="0" w:type="auto"/>
            <w:shd w:val="clear" w:color="auto" w:fill="FFFFFF"/>
          </w:tcPr>
          <w:p w:rsidR="00500724" w:rsidRDefault="00F30FB8">
            <w:pPr>
              <w:pStyle w:val="Jin0"/>
              <w:shd w:val="clear" w:color="auto" w:fill="auto"/>
              <w:ind w:left="80" w:firstLine="0"/>
              <w:jc w:val="center"/>
              <w:rPr>
                <w:sz w:val="20"/>
                <w:szCs w:val="20"/>
              </w:rPr>
            </w:pPr>
            <w:r>
              <w:rPr>
                <w:sz w:val="20"/>
                <w:szCs w:val="20"/>
              </w:rPr>
              <w:t>552</w:t>
            </w:r>
          </w:p>
        </w:tc>
        <w:tc>
          <w:tcPr>
            <w:tcW w:w="0" w:type="auto"/>
            <w:shd w:val="clear" w:color="auto" w:fill="FFFFFF"/>
            <w:vAlign w:val="center"/>
          </w:tcPr>
          <w:p w:rsidR="00500724" w:rsidRDefault="00F30FB8">
            <w:pPr>
              <w:pStyle w:val="Jin0"/>
              <w:shd w:val="clear" w:color="auto" w:fill="auto"/>
              <w:ind w:firstLine="0"/>
              <w:jc w:val="right"/>
              <w:rPr>
                <w:sz w:val="20"/>
                <w:szCs w:val="20"/>
              </w:rPr>
            </w:pPr>
            <w:r>
              <w:rPr>
                <w:sz w:val="20"/>
                <w:szCs w:val="20"/>
              </w:rPr>
              <w:t>1208</w:t>
            </w:r>
          </w:p>
        </w:tc>
      </w:tr>
    </w:tbl>
    <w:p w:rsidR="00500724" w:rsidRDefault="00F30FB8">
      <w:pPr>
        <w:pStyle w:val="Titulektabulky0"/>
        <w:shd w:val="clear" w:color="auto" w:fill="auto"/>
        <w:spacing w:line="293" w:lineRule="auto"/>
      </w:pPr>
      <w:r>
        <w:t>Sovětští statistikové vypočítali, že podíl Ruska na svě</w:t>
      </w:r>
      <w:r>
        <w:softHyphen/>
        <w:t>tové průmyslové výrobě činil v r. 1913 a v r. 1928 jen asi 3 procenta, v r. 1936 už 13,2 proč.</w:t>
      </w:r>
    </w:p>
    <w:p w:rsidR="00500724" w:rsidRDefault="00F30FB8">
      <w:pPr>
        <w:pStyle w:val="Titulektabulky0"/>
        <w:shd w:val="clear" w:color="auto" w:fill="auto"/>
        <w:spacing w:line="341" w:lineRule="auto"/>
        <w:rPr>
          <w:sz w:val="17"/>
          <w:szCs w:val="17"/>
        </w:rPr>
      </w:pPr>
      <w:r>
        <w:t>Procento sovětského průmyslu, pracujícího přímo pro válečné potřeby, je pravděpodobně aspoň tak veliké, jako v Německu. Z jedenácti komisariátů, organisujících průmyslovou výrobu, jsou teď čtyři v přímých službách obrany země; a Státní plánová komise jim^o</w:t>
      </w:r>
      <w:r>
        <w:t xml:space="preserve">bvykle dává přednost při přídělu surovin. Válečný průmysl dostává </w:t>
      </w:r>
      <w:r>
        <w:rPr>
          <w:i/>
          <w:iCs/>
          <w:sz w:val="17"/>
          <w:szCs w:val="17"/>
        </w:rPr>
        <w:t>'351</w:t>
      </w:r>
    </w:p>
    <w:p w:rsidR="00500724" w:rsidRDefault="00F30FB8">
      <w:pPr>
        <w:pStyle w:val="Zkladntext40"/>
        <w:shd w:val="clear" w:color="auto" w:fill="auto"/>
        <w:spacing w:after="0" w:line="283" w:lineRule="auto"/>
        <w:rPr>
          <w:sz w:val="14"/>
          <w:szCs w:val="14"/>
        </w:rPr>
      </w:pPr>
      <w:r>
        <w:rPr>
          <w:b/>
          <w:bCs/>
          <w:sz w:val="14"/>
          <w:szCs w:val="14"/>
        </w:rPr>
        <w:t>též nejlepší materiál a snaží se získati nejlepší techniky a dělníky. Sovětský průmysl je ve stálém stavu »mobi- lisaění pohotovosti«, abychom užili ruského termínu. Při srovnávání vále</w:t>
      </w:r>
      <w:r>
        <w:rPr>
          <w:b/>
          <w:bCs/>
          <w:sz w:val="14"/>
          <w:szCs w:val="14"/>
        </w:rPr>
        <w:t>čného potenciálu sovětského průmyslu s průmyslem jiných zemí je třeba též počítati s tako</w:t>
      </w:r>
      <w:r>
        <w:rPr>
          <w:b/>
          <w:bCs/>
          <w:sz w:val="14"/>
          <w:szCs w:val="14"/>
        </w:rPr>
        <w:softHyphen/>
        <w:t>vými specifickými činiteli, jakými je úsilí sovětského hospodářství o velké kapitálové investice, poměrně malá ruská spotřeba průmyslových výrobků a okolnost, že tu n</w:t>
      </w:r>
      <w:r>
        <w:rPr>
          <w:b/>
          <w:bCs/>
          <w:sz w:val="14"/>
          <w:szCs w:val="14"/>
        </w:rPr>
        <w:t>ení bohaté vrstvy, jež by svou poptávkou po přepycho</w:t>
      </w:r>
      <w:r>
        <w:rPr>
          <w:b/>
          <w:bCs/>
          <w:sz w:val="14"/>
          <w:szCs w:val="14"/>
        </w:rPr>
        <w:softHyphen/>
        <w:t>vém zboží omezovala přísně užitkový ráz výroby. Tak je na příklad ze všech vyrobených automobilů 80 pro</w:t>
      </w:r>
      <w:r>
        <w:rPr>
          <w:b/>
          <w:bCs/>
          <w:sz w:val="14"/>
          <w:szCs w:val="14"/>
        </w:rPr>
        <w:softHyphen/>
        <w:t>cent vozů nákladních a jen desetina všech prováděných staveb slouží soukromým potřebám. Na druhé st</w:t>
      </w:r>
      <w:r>
        <w:rPr>
          <w:b/>
          <w:bCs/>
          <w:sz w:val="14"/>
          <w:szCs w:val="14"/>
        </w:rPr>
        <w:t>raně je však jakost hotových výrobků horší než ve starších prů</w:t>
      </w:r>
      <w:r>
        <w:rPr>
          <w:b/>
          <w:bCs/>
          <w:sz w:val="14"/>
          <w:szCs w:val="14"/>
        </w:rPr>
        <w:softHyphen/>
        <w:t>myslových zemích, ačkoliv, pokud jde o průmysl váleč</w:t>
      </w:r>
      <w:r>
        <w:rPr>
          <w:b/>
          <w:bCs/>
          <w:sz w:val="14"/>
          <w:szCs w:val="14"/>
        </w:rPr>
        <w:softHyphen/>
        <w:t>ný a strojní, není kvalita tak špatná, jak se často myslí. Sovětská letadla a děla se, jak se zdá, osvědčila ve Špa</w:t>
      </w:r>
      <w:r>
        <w:rPr>
          <w:b/>
          <w:bCs/>
          <w:sz w:val="14"/>
          <w:szCs w:val="14"/>
        </w:rPr>
        <w:softHyphen/>
        <w:t>nělsku. Braku je zde ovš</w:t>
      </w:r>
      <w:r>
        <w:rPr>
          <w:b/>
          <w:bCs/>
          <w:sz w:val="14"/>
          <w:szCs w:val="14"/>
        </w:rPr>
        <w:t>em v celku mnohem více než jinde; a tolik oceli i jiných surovin a polotovarů slouží prostě k ucpání děr v už hotovém parku, že objem nové produkce hotových výrobků se nikdy nekryje s objemem nové produkce materiálu.</w:t>
      </w:r>
    </w:p>
    <w:p w:rsidR="00500724" w:rsidRDefault="00F30FB8">
      <w:pPr>
        <w:pStyle w:val="Zkladntext40"/>
        <w:shd w:val="clear" w:color="auto" w:fill="auto"/>
        <w:spacing w:after="0" w:line="283" w:lineRule="auto"/>
        <w:ind w:firstLine="220"/>
        <w:rPr>
          <w:sz w:val="14"/>
          <w:szCs w:val="14"/>
        </w:rPr>
      </w:pPr>
      <w:r>
        <w:rPr>
          <w:b/>
          <w:bCs/>
          <w:sz w:val="14"/>
          <w:szCs w:val="14"/>
        </w:rPr>
        <w:t xml:space="preserve">Rusko nemá pracovních sil, jež by nyní </w:t>
      </w:r>
      <w:r>
        <w:rPr>
          <w:b/>
          <w:bCs/>
          <w:sz w:val="14"/>
          <w:szCs w:val="14"/>
        </w:rPr>
        <w:t>stály mimo pracovní proces a jichž by bylo lze použít v době války; je jich už v míru využito maximálně. Jistých pracov</w:t>
      </w:r>
      <w:r>
        <w:rPr>
          <w:b/>
          <w:bCs/>
          <w:sz w:val="14"/>
          <w:szCs w:val="14"/>
        </w:rPr>
        <w:softHyphen/>
        <w:t xml:space="preserve">ních zásob by však bylo možno získati prodloužením pracovní doby, která dnes činí v průmyslu většinou sedm hodin denně; a nová opatření </w:t>
      </w:r>
      <w:r>
        <w:rPr>
          <w:b/>
          <w:bCs/>
          <w:sz w:val="14"/>
          <w:szCs w:val="14"/>
        </w:rPr>
        <w:t>pro zvýšení pra</w:t>
      </w:r>
      <w:r>
        <w:rPr>
          <w:b/>
          <w:bCs/>
          <w:sz w:val="14"/>
          <w:szCs w:val="14"/>
        </w:rPr>
        <w:softHyphen/>
        <w:t>covní discipliny snad již působí v témže směru.</w:t>
      </w:r>
    </w:p>
    <w:p w:rsidR="00500724" w:rsidRDefault="00F30FB8">
      <w:pPr>
        <w:pStyle w:val="Zkladntext40"/>
        <w:shd w:val="clear" w:color="auto" w:fill="auto"/>
        <w:spacing w:after="0" w:line="283" w:lineRule="auto"/>
        <w:jc w:val="center"/>
        <w:rPr>
          <w:sz w:val="14"/>
          <w:szCs w:val="14"/>
        </w:rPr>
      </w:pPr>
      <w:r>
        <w:rPr>
          <w:b/>
          <w:bCs/>
          <w:sz w:val="14"/>
          <w:szCs w:val="14"/>
        </w:rPr>
        <w:t>•</w:t>
      </w:r>
    </w:p>
    <w:p w:rsidR="00500724" w:rsidRDefault="00F30FB8">
      <w:pPr>
        <w:pStyle w:val="Zkladntext40"/>
        <w:shd w:val="clear" w:color="auto" w:fill="auto"/>
        <w:spacing w:after="0" w:line="283" w:lineRule="auto"/>
        <w:ind w:firstLine="220"/>
        <w:rPr>
          <w:sz w:val="14"/>
          <w:szCs w:val="14"/>
        </w:rPr>
      </w:pPr>
      <w:r>
        <w:rPr>
          <w:b/>
          <w:bCs/>
          <w:sz w:val="14"/>
          <w:szCs w:val="14"/>
        </w:rPr>
        <w:t>Významným činitelem u válečného potenciálu Ruska je rychlé tempo jeho průmyslového rozvoje. Třetí pětiletka předpokládá, že sovětská výroba bude v r. 1942 přibliž</w:t>
      </w:r>
      <w:r>
        <w:rPr>
          <w:b/>
          <w:bCs/>
          <w:sz w:val="14"/>
          <w:szCs w:val="14"/>
        </w:rPr>
        <w:softHyphen/>
        <w:t>ně činit dvě třetiny výroby</w:t>
      </w:r>
      <w:r>
        <w:rPr>
          <w:b/>
          <w:bCs/>
          <w:sz w:val="14"/>
          <w:szCs w:val="14"/>
        </w:rPr>
        <w:t xml:space="preserve"> Spojených Států. Dosáhnouti tohoto cíle, znamenajícího zdvojnásobení výroby v šesti letech, není tak zhola nemožno, uvážíme-li, že pracovní výkonnost stále a rychle vzrůstá a že sovětská vláda je odhodlána udržet nynější vysokou úroveň kapitálových invest</w:t>
      </w:r>
      <w:r>
        <w:rPr>
          <w:b/>
          <w:bCs/>
          <w:sz w:val="14"/>
          <w:szCs w:val="14"/>
        </w:rPr>
        <w:t>ic až do té doby, kdy hrozící válka opravdu . v- pukne nebo kdy bude odvrácena. Není vyloučeno, že výroba snad poklesne zpolitických důvodů; avšak hospodářsky jsou dány předpoklady pro stálý vzrůst průmyslové výroby.</w:t>
      </w:r>
    </w:p>
    <w:p w:rsidR="00500724" w:rsidRDefault="00F30FB8">
      <w:pPr>
        <w:pStyle w:val="Zkladntext40"/>
        <w:shd w:val="clear" w:color="auto" w:fill="auto"/>
        <w:spacing w:after="0" w:line="283" w:lineRule="auto"/>
        <w:ind w:firstLine="220"/>
        <w:rPr>
          <w:sz w:val="14"/>
          <w:szCs w:val="14"/>
        </w:rPr>
      </w:pPr>
      <w:r>
        <w:rPr>
          <w:b/>
          <w:bCs/>
          <w:sz w:val="14"/>
          <w:szCs w:val="14"/>
        </w:rPr>
        <w:t xml:space="preserve">Industrialisace je jen jednou stránkou </w:t>
      </w:r>
      <w:r>
        <w:rPr>
          <w:b/>
          <w:bCs/>
          <w:sz w:val="14"/>
          <w:szCs w:val="14"/>
        </w:rPr>
        <w:t>úsilí o sobě</w:t>
      </w:r>
      <w:r>
        <w:rPr>
          <w:b/>
          <w:bCs/>
          <w:sz w:val="14"/>
          <w:szCs w:val="14"/>
        </w:rPr>
        <w:softHyphen/>
        <w:t>stačnost v míru i ve válce, a jeho výsledky nejsou méně významné. Předválečné Rusko bylo stejně závislé na dovozu strojů a jejich součástek, jako je Velká Britanie závislá na dovozu potravin; a světová válka ukázala veliké nedostatky tehdejšíh</w:t>
      </w:r>
      <w:r>
        <w:rPr>
          <w:b/>
          <w:bCs/>
          <w:sz w:val="14"/>
          <w:szCs w:val="14"/>
        </w:rPr>
        <w:t>o Ruska ve výrobě válečných potřeb. V r. 1937 činil však dovoz strojů už jen asi tři procenta domácí výroby. Jedinečné nerostné bohatství Ruska a mohutné tempo jeho dnešní těžby bylo pro</w:t>
      </w:r>
      <w:r>
        <w:rPr>
          <w:b/>
          <w:bCs/>
          <w:sz w:val="14"/>
          <w:szCs w:val="14"/>
        </w:rPr>
        <w:softHyphen/>
        <w:t>kázáno na nedávném Světovém geologickém kongresu v Moskvě. V potravin</w:t>
      </w:r>
      <w:r>
        <w:rPr>
          <w:b/>
          <w:bCs/>
          <w:sz w:val="14"/>
          <w:szCs w:val="14"/>
        </w:rPr>
        <w:t>ách, dříví a zemědělských surovi</w:t>
      </w:r>
      <w:r>
        <w:rPr>
          <w:b/>
          <w:bCs/>
          <w:sz w:val="14"/>
          <w:szCs w:val="14"/>
        </w:rPr>
        <w:softHyphen/>
        <w:t>nách je soběstačnost naprostá, aspoň při nynější nízké životní úrovni, s výjimkou čaje, vlněných výrobků a ně</w:t>
      </w:r>
      <w:r>
        <w:rPr>
          <w:b/>
          <w:bCs/>
          <w:sz w:val="14"/>
          <w:szCs w:val="14"/>
        </w:rPr>
        <w:softHyphen/>
        <w:t>kterých méně důležitých tropických plodin. Rusko už nemusí dováželi bavlnu a výroba syntetického kaučuku byla tak</w:t>
      </w:r>
      <w:r>
        <w:rPr>
          <w:b/>
          <w:bCs/>
          <w:sz w:val="14"/>
          <w:szCs w:val="14"/>
        </w:rPr>
        <w:t xml:space="preserve"> účinně podporována, že v r. 1937 kryla už 70 procent celkové spotřeby. Zásoby zlata stále rostou; v r. 1936 dosáhla těžba zlata hodnoty asi 50 milionů liber šterlinků.</w:t>
      </w:r>
    </w:p>
    <w:p w:rsidR="00500724" w:rsidRDefault="00F30FB8">
      <w:pPr>
        <w:pStyle w:val="Zkladntext40"/>
        <w:shd w:val="clear" w:color="auto" w:fill="auto"/>
        <w:spacing w:after="240" w:line="286" w:lineRule="auto"/>
        <w:ind w:firstLine="220"/>
        <w:rPr>
          <w:sz w:val="14"/>
          <w:szCs w:val="14"/>
        </w:rPr>
      </w:pPr>
      <w:r>
        <w:rPr>
          <w:b/>
          <w:bCs/>
          <w:sz w:val="14"/>
          <w:szCs w:val="14"/>
        </w:rPr>
        <w:t>Bolševici dovedli využiti zeměpisných výhod své země ke strategickým účelům. Urálsko-ku</w:t>
      </w:r>
      <w:r>
        <w:rPr>
          <w:b/>
          <w:bCs/>
          <w:sz w:val="14"/>
          <w:szCs w:val="14"/>
        </w:rPr>
        <w:t>zněcký kombinát, jehož výroba dosahuje už téměř výroby celého Japon</w:t>
      </w:r>
      <w:r>
        <w:rPr>
          <w:b/>
          <w:bCs/>
          <w:sz w:val="14"/>
          <w:szCs w:val="14"/>
        </w:rPr>
        <w:softHyphen/>
        <w:t>ska, leží v polovině cesty mezi Německem a Mandžu- kuem. Třetí pětiletý plán chce ještě zvýšit urálskou vý</w:t>
      </w:r>
      <w:r>
        <w:rPr>
          <w:b/>
          <w:bCs/>
          <w:sz w:val="14"/>
          <w:szCs w:val="14"/>
        </w:rPr>
        <w:softHyphen/>
        <w:t>robu. Na Dálném východě (Komsomolsk) a v arktické oblasti byly zbudovány nové vel</w:t>
      </w:r>
      <w:r>
        <w:rPr>
          <w:b/>
          <w:bCs/>
          <w:sz w:val="14"/>
          <w:szCs w:val="14"/>
        </w:rPr>
        <w:t>iké loděnice.</w:t>
      </w:r>
    </w:p>
    <w:p w:rsidR="00500724" w:rsidRDefault="00F30FB8">
      <w:pPr>
        <w:pStyle w:val="Zkladntext30"/>
        <w:shd w:val="clear" w:color="auto" w:fill="auto"/>
        <w:spacing w:after="240" w:line="206" w:lineRule="auto"/>
        <w:ind w:firstLine="220"/>
        <w:rPr>
          <w:sz w:val="20"/>
          <w:szCs w:val="20"/>
        </w:rPr>
      </w:pPr>
      <w:r>
        <w:rPr>
          <w:b/>
          <w:bCs/>
          <w:sz w:val="20"/>
          <w:szCs w:val="20"/>
        </w:rPr>
        <w:t>Největší slabinou Ruska je posud jeho transport. Délka železnic je zoufale nepřiměřená rozloze země,</w:t>
      </w:r>
    </w:p>
    <w:p w:rsidR="00500724" w:rsidRDefault="00F30FB8">
      <w:pPr>
        <w:pStyle w:val="Zkladntext80"/>
        <w:shd w:val="clear" w:color="auto" w:fill="auto"/>
        <w:spacing w:line="206" w:lineRule="auto"/>
        <w:jc w:val="both"/>
        <w:rPr>
          <w:sz w:val="20"/>
          <w:szCs w:val="20"/>
        </w:rPr>
      </w:pPr>
      <w:r>
        <w:rPr>
          <w:b w:val="0"/>
          <w:bCs w:val="0"/>
          <w:i/>
          <w:iCs/>
          <w:sz w:val="20"/>
          <w:szCs w:val="20"/>
        </w:rPr>
        <w:t>SSi</w:t>
      </w:r>
    </w:p>
    <w:p w:rsidR="00500724" w:rsidRDefault="00F30FB8">
      <w:pPr>
        <w:pStyle w:val="Zkladntext40"/>
        <w:shd w:val="clear" w:color="auto" w:fill="auto"/>
        <w:spacing w:after="180" w:line="286" w:lineRule="auto"/>
        <w:rPr>
          <w:sz w:val="14"/>
          <w:szCs w:val="14"/>
        </w:rPr>
      </w:pPr>
      <w:r>
        <w:rPr>
          <w:b/>
          <w:bCs/>
          <w:sz w:val="14"/>
          <w:szCs w:val="14"/>
        </w:rPr>
        <w:t>třebaže jejich provozní kapacita značně vzrostla od r. 1934. Sibiřská magistrála dostala druhou kolej a její nová odbočka na Dálném výcho</w:t>
      </w:r>
      <w:r>
        <w:rPr>
          <w:b/>
          <w:bCs/>
          <w:sz w:val="14"/>
          <w:szCs w:val="14"/>
        </w:rPr>
        <w:t>dě, spojující v délce 2000 mil Krasnojarsk s Japonským mořem, vede na někte</w:t>
      </w:r>
      <w:r>
        <w:rPr>
          <w:b/>
          <w:bCs/>
          <w:sz w:val="14"/>
          <w:szCs w:val="14"/>
        </w:rPr>
        <w:softHyphen/>
        <w:t>rých úsecích až 30 mil severně od hlavní trati a je tedy dostatečně vzdálena od mandžuských hranic. Urychleně se budují dálnice, spojující Moskvu a Ukrajinu se zá- padni hranicí st</w:t>
      </w:r>
      <w:r>
        <w:rPr>
          <w:b/>
          <w:bCs/>
          <w:sz w:val="14"/>
          <w:szCs w:val="14"/>
        </w:rPr>
        <w:t>átu. Jako už před 25 lety, tak i tento-* krát zdrží nedostatek cest průběh mobilisace na ven</w:t>
      </w:r>
      <w:r>
        <w:rPr>
          <w:b/>
          <w:bCs/>
          <w:sz w:val="14"/>
          <w:szCs w:val="14"/>
        </w:rPr>
        <w:softHyphen/>
        <w:t>kově; je však třeba uvážiti, že od té doby dvojnásobně vzrostl počet městského obyvatelstva, jež má železniční spojení. Avšak dopravní obtíže i tak zpomalí válečný</w:t>
      </w:r>
      <w:r>
        <w:rPr>
          <w:b/>
          <w:bCs/>
          <w:sz w:val="14"/>
          <w:szCs w:val="14"/>
        </w:rPr>
        <w:t xml:space="preserve"> nástup Ruska, zdraží jej a budou působit k jeho des- organisaci.</w:t>
      </w:r>
    </w:p>
    <w:p w:rsidR="00500724" w:rsidRDefault="00F30FB8">
      <w:pPr>
        <w:pStyle w:val="Zkladntext40"/>
        <w:shd w:val="clear" w:color="auto" w:fill="auto"/>
        <w:spacing w:after="0" w:line="283" w:lineRule="auto"/>
        <w:ind w:firstLine="260"/>
        <w:rPr>
          <w:sz w:val="14"/>
          <w:szCs w:val="14"/>
        </w:rPr>
      </w:pPr>
      <w:r>
        <w:rPr>
          <w:b/>
          <w:bCs/>
          <w:sz w:val="14"/>
          <w:szCs w:val="14"/>
        </w:rPr>
        <w:t>Nepřepjali snad bolševici svoje válečné přípravy? Není pro jejich stát příliš těžké břímě obrovských po</w:t>
      </w:r>
      <w:r>
        <w:rPr>
          <w:b/>
          <w:bCs/>
          <w:sz w:val="14"/>
          <w:szCs w:val="14"/>
        </w:rPr>
        <w:softHyphen/>
        <w:t>zemních i vzdušných sil, kombinované s úsilím státi se velkou námořní mocností a prová</w:t>
      </w:r>
      <w:r>
        <w:rPr>
          <w:b/>
          <w:bCs/>
          <w:sz w:val="14"/>
          <w:szCs w:val="14"/>
        </w:rPr>
        <w:t>zené rozsáhlými kapi</w:t>
      </w:r>
      <w:r>
        <w:rPr>
          <w:b/>
          <w:bCs/>
          <w:sz w:val="14"/>
          <w:szCs w:val="14"/>
        </w:rPr>
        <w:softHyphen/>
        <w:t>tálovými investicemi i nákladnou snahou po soběstač</w:t>
      </w:r>
      <w:r>
        <w:rPr>
          <w:b/>
          <w:bCs/>
          <w:sz w:val="14"/>
          <w:szCs w:val="14"/>
        </w:rPr>
        <w:softHyphen/>
        <w:t>nosti? Dosud bylo toto břímě vyvažováno rychlým a siálým vzrůstem pracovní výkonnosti. Tím bylo dokonce umožněno zvýšit spotřebu značných částí městského a venkovského obyvatelstva od</w:t>
      </w:r>
      <w:r>
        <w:rPr>
          <w:b/>
          <w:bCs/>
          <w:sz w:val="14"/>
          <w:szCs w:val="14"/>
        </w:rPr>
        <w:t xml:space="preserve"> r. 1935, kdy byl zrušen: systém úředních přídělů. Změřiti tento vzrůst je ne</w:t>
      </w:r>
      <w:r>
        <w:rPr>
          <w:b/>
          <w:bCs/>
          <w:sz w:val="14"/>
          <w:szCs w:val="14"/>
        </w:rPr>
        <w:softHyphen/>
        <w:t>snadno. Je menší než se očekávalo, je tu však — zvláště u mladých lidí — důvěra ve skvělou budoucnost, jakmile už nebude třeba válečných opatření na obranu sociali</w:t>
      </w:r>
      <w:r>
        <w:rPr>
          <w:b/>
          <w:bCs/>
          <w:sz w:val="14"/>
          <w:szCs w:val="14"/>
        </w:rPr>
        <w:softHyphen/>
        <w:t>stické vlasti«</w:t>
      </w:r>
      <w:r>
        <w:rPr>
          <w:b/>
          <w:bCs/>
          <w:sz w:val="14"/>
          <w:szCs w:val="14"/>
        </w:rPr>
        <w:t xml:space="preserve">. Stupeň důvěry k režimu a k vůdcům </w:t>
      </w:r>
      <w:r>
        <w:rPr>
          <w:b/>
          <w:bCs/>
          <w:sz w:val="16"/>
          <w:szCs w:val="16"/>
        </w:rPr>
        <w:t xml:space="preserve">je </w:t>
      </w:r>
      <w:r>
        <w:rPr>
          <w:b/>
          <w:bCs/>
          <w:sz w:val="14"/>
          <w:szCs w:val="14"/>
        </w:rPr>
        <w:t xml:space="preserve">těžko odhadnout, lze jen tvrdit, že je vyšší v městech než na venkově. Je však málo důkazů o aktivní masové nespokojenosti a nacionální separatistická hnutí na Ukrajině, Kavkazu a ve střední Asii nemají opory v </w:t>
      </w:r>
      <w:r>
        <w:rPr>
          <w:b/>
          <w:bCs/>
          <w:sz w:val="14"/>
          <w:szCs w:val="14"/>
        </w:rPr>
        <w:t>lidových vrstvách.</w:t>
      </w:r>
    </w:p>
    <w:p w:rsidR="00500724" w:rsidRDefault="00F30FB8">
      <w:pPr>
        <w:pStyle w:val="Zkladntext40"/>
        <w:shd w:val="clear" w:color="auto" w:fill="auto"/>
        <w:spacing w:after="180" w:line="283" w:lineRule="auto"/>
        <w:ind w:firstLine="260"/>
        <w:rPr>
          <w:sz w:val="14"/>
          <w:szCs w:val="14"/>
        </w:rPr>
      </w:pPr>
      <w:r>
        <w:rPr>
          <w:b/>
          <w:bCs/>
          <w:sz w:val="14"/>
          <w:szCs w:val="14"/>
        </w:rPr>
        <w:t>Je tu však jiná vážná slabina. Za fasádou vynucené jednoty doutná mnoho politických rozporů, jež mohou nebezpečně vzplanout kdykoliv, zejména pak za války. Nedávné moskevské pře a rozsáhlá zatýkání úředních osob, obviněných ze zrady a sa</w:t>
      </w:r>
      <w:r>
        <w:rPr>
          <w:b/>
          <w:bCs/>
          <w:sz w:val="14"/>
          <w:szCs w:val="14"/>
        </w:rPr>
        <w:t>botáže, mohou snad být dobrým znamením pro vzrůst síly tím, že odstraňují onu potenciální slabost. Je pravda, spiklenci patrně neměli významnější opory v lidu. Avšak široký rozsah zrady a nutnost jejího fysického zničení nejsou znamením po</w:t>
      </w:r>
      <w:r>
        <w:rPr>
          <w:b/>
          <w:bCs/>
          <w:sz w:val="14"/>
          <w:szCs w:val="14"/>
        </w:rPr>
        <w:softHyphen/>
        <w:t>litického zdraví</w:t>
      </w:r>
      <w:r>
        <w:rPr>
          <w:b/>
          <w:bCs/>
          <w:sz w:val="14"/>
          <w:szCs w:val="14"/>
        </w:rPr>
        <w:t>. Ovzduší servilní j&gt;jednotnosti« vládne dál, ba je ještě těžší. Pro budoucnost je v tom nebezpečí vážného oslabení. Bezprostřední oslabení státu, vzniklé nahrazením mnoha hospodářských, politických a vojen</w:t>
      </w:r>
      <w:r>
        <w:rPr>
          <w:b/>
          <w:bCs/>
          <w:sz w:val="14"/>
          <w:szCs w:val="14"/>
        </w:rPr>
        <w:softHyphen/>
        <w:t xml:space="preserve">ských znalců rychle povýšenými dělníky, techniky </w:t>
      </w:r>
      <w:r>
        <w:rPr>
          <w:b/>
          <w:bCs/>
          <w:sz w:val="14"/>
          <w:szCs w:val="14"/>
        </w:rPr>
        <w:t>a vo</w:t>
      </w:r>
      <w:r>
        <w:rPr>
          <w:b/>
          <w:bCs/>
          <w:sz w:val="14"/>
          <w:szCs w:val="14"/>
        </w:rPr>
        <w:softHyphen/>
        <w:t>jáky, dosáhlo svého vrcholu v r. 1937. Aspoň v průmyslu byl snad už tento vrchol překonán, smíme-li souditi podle číslic průmyslové výroby na r. 1938, jež ukazují vzrůst o 11 procent proti předchozímu roku. Zůstává dosud otázkou, lze-li to říci i o vo</w:t>
      </w:r>
      <w:r>
        <w:rPr>
          <w:b/>
          <w:bCs/>
          <w:sz w:val="14"/>
          <w:szCs w:val="14"/>
        </w:rPr>
        <w:t>jenských silách. Obecně se zdá, že — i když čistky zatím ustaly — technika osobní »likvidace«, tak škodlivá pro klidný chod hospo</w:t>
      </w:r>
      <w:r>
        <w:rPr>
          <w:b/>
          <w:bCs/>
          <w:sz w:val="14"/>
          <w:szCs w:val="14"/>
        </w:rPr>
        <w:softHyphen/>
        <w:t>dářství a průmyslu, je dosud neodlučitelná od ruského vládního systému.</w:t>
      </w:r>
    </w:p>
    <w:p w:rsidR="00500724" w:rsidRDefault="00F30FB8">
      <w:pPr>
        <w:pStyle w:val="Zkladntext40"/>
        <w:shd w:val="clear" w:color="auto" w:fill="auto"/>
        <w:spacing w:after="0" w:line="286" w:lineRule="auto"/>
        <w:ind w:firstLine="260"/>
        <w:rPr>
          <w:sz w:val="14"/>
          <w:szCs w:val="14"/>
        </w:rPr>
      </w:pPr>
      <w:r>
        <w:rPr>
          <w:b/>
          <w:bCs/>
          <w:sz w:val="14"/>
          <w:szCs w:val="14"/>
        </w:rPr>
        <w:t>Je-li možno se odvážiti nějakého závěru ve věci tak ob</w:t>
      </w:r>
      <w:r>
        <w:rPr>
          <w:b/>
          <w:bCs/>
          <w:sz w:val="14"/>
          <w:szCs w:val="14"/>
        </w:rPr>
        <w:t>tížné a temné, pak lze říci, že Rusko z roku 1939 je materielně a výrobně silnější než Rusko z roku 1914. Největší jeho technickou slabinu působí potíže rozvi</w:t>
      </w:r>
      <w:r>
        <w:rPr>
          <w:b/>
          <w:bCs/>
          <w:sz w:val="14"/>
          <w:szCs w:val="14"/>
        </w:rPr>
        <w:softHyphen/>
        <w:t>nouti tuto sílu na bitevní frontě. A otevřenou otázkou zůstává stav morálky vojenských sil i celé</w:t>
      </w:r>
      <w:r>
        <w:rPr>
          <w:b/>
          <w:bCs/>
          <w:sz w:val="14"/>
          <w:szCs w:val="14"/>
        </w:rPr>
        <w:t>ho obyvatel</w:t>
      </w:r>
      <w:r>
        <w:rPr>
          <w:b/>
          <w:bCs/>
          <w:sz w:val="14"/>
          <w:szCs w:val="14"/>
        </w:rPr>
        <w:softHyphen/>
        <w:t>stva. Lze se dohadovat aspoň toho, že dobrá morálka, jako dobrá strava, se najde spíše v městech než na ven</w:t>
      </w:r>
      <w:r>
        <w:rPr>
          <w:b/>
          <w:bCs/>
          <w:sz w:val="14"/>
          <w:szCs w:val="14"/>
        </w:rPr>
        <w:softHyphen/>
        <w:t>kově a že je lepší u stachanovců nežli u prostých děl</w:t>
      </w:r>
      <w:r>
        <w:rPr>
          <w:b/>
          <w:bCs/>
          <w:sz w:val="14"/>
          <w:szCs w:val="14"/>
        </w:rPr>
        <w:softHyphen/>
        <w:t>níků. Pokud jde o ruského vojáka speciálně, má ve svých osobních potřebách tradičn</w:t>
      </w:r>
      <w:r>
        <w:rPr>
          <w:b/>
          <w:bCs/>
          <w:sz w:val="14"/>
          <w:szCs w:val="14"/>
        </w:rPr>
        <w:t>í stoicismus.</w:t>
      </w:r>
    </w:p>
    <w:p w:rsidR="00500724" w:rsidRDefault="00F30FB8">
      <w:pPr>
        <w:pStyle w:val="Zkladntext40"/>
        <w:shd w:val="clear" w:color="auto" w:fill="auto"/>
        <w:spacing w:after="180" w:line="286" w:lineRule="auto"/>
        <w:ind w:firstLine="260"/>
        <w:rPr>
          <w:sz w:val="14"/>
          <w:szCs w:val="14"/>
        </w:rPr>
      </w:pPr>
      <w:r>
        <w:rPr>
          <w:b/>
          <w:bCs/>
          <w:sz w:val="14"/>
          <w:szCs w:val="14"/>
        </w:rPr>
        <w:t>Je tedy jasno, že Sovětský Svaz může mít ve válcel velký význam. Méně jasno už je, jak rychle může přijít jeho pomoc. Zde tvoří vážné překážky špatný dopravní systém.</w:t>
      </w:r>
    </w:p>
    <w:p w:rsidR="00500724" w:rsidRDefault="00F30FB8">
      <w:pPr>
        <w:pStyle w:val="Jin0"/>
        <w:shd w:val="clear" w:color="auto" w:fill="auto"/>
        <w:spacing w:after="140"/>
        <w:ind w:firstLine="0"/>
        <w:jc w:val="left"/>
        <w:rPr>
          <w:sz w:val="46"/>
          <w:szCs w:val="46"/>
        </w:rPr>
      </w:pPr>
      <w:r>
        <w:rPr>
          <w:b/>
          <w:bCs/>
          <w:sz w:val="46"/>
          <w:szCs w:val="46"/>
          <w:u w:val="single"/>
        </w:rPr>
        <w:t>život a Instituce</w:t>
      </w:r>
    </w:p>
    <w:p w:rsidR="00500724" w:rsidRDefault="00F30FB8">
      <w:pPr>
        <w:pStyle w:val="Zkladntext40"/>
        <w:shd w:val="clear" w:color="auto" w:fill="auto"/>
        <w:spacing w:after="0" w:line="264" w:lineRule="auto"/>
        <w:jc w:val="left"/>
      </w:pPr>
      <w:r>
        <w:rPr>
          <w:b/>
          <w:bCs/>
          <w:i/>
          <w:iCs/>
        </w:rPr>
        <w:t>'Ant. Boháč:</w:t>
      </w:r>
    </w:p>
    <w:p w:rsidR="00500724" w:rsidRDefault="00F30FB8">
      <w:pPr>
        <w:pStyle w:val="Nadpis100"/>
        <w:shd w:val="clear" w:color="auto" w:fill="auto"/>
        <w:spacing w:after="0" w:line="218" w:lineRule="auto"/>
      </w:pPr>
      <w:bookmarkStart w:id="573" w:name="bookmark572"/>
      <w:r>
        <w:t>Úvaha nad patnáctí porody</w:t>
      </w:r>
      <w:r>
        <w:br/>
        <w:t>na tisíc obyvatel</w:t>
      </w:r>
      <w:bookmarkEnd w:id="573"/>
    </w:p>
    <w:p w:rsidR="00500724" w:rsidRDefault="00F30FB8">
      <w:pPr>
        <w:pStyle w:val="Zkladntext40"/>
        <w:shd w:val="clear" w:color="auto" w:fill="auto"/>
        <w:spacing w:after="0" w:line="283" w:lineRule="auto"/>
        <w:ind w:firstLine="220"/>
        <w:rPr>
          <w:sz w:val="14"/>
          <w:szCs w:val="14"/>
        </w:rPr>
      </w:pPr>
      <w:r>
        <w:rPr>
          <w:b/>
          <w:bCs/>
          <w:sz w:val="14"/>
          <w:szCs w:val="14"/>
        </w:rPr>
        <w:t>Za minulých dvacet let politické nezávislosti jsme si mohli dobře uvědomiti, co pro rozvoj národa, jeho schop</w:t>
      </w:r>
      <w:r>
        <w:rPr>
          <w:b/>
          <w:bCs/>
          <w:sz w:val="14"/>
          <w:szCs w:val="14"/>
        </w:rPr>
        <w:softHyphen/>
        <w:t>nosti a síly znamená politická a hospodářská svoboda. Svobodný národní stát není ovšem nutným předpokla</w:t>
      </w:r>
      <w:r>
        <w:rPr>
          <w:b/>
          <w:bCs/>
          <w:sz w:val="14"/>
          <w:szCs w:val="14"/>
        </w:rPr>
        <w:softHyphen/>
        <w:t xml:space="preserve">dem, aby národ žil, ale poznali jsme jeho </w:t>
      </w:r>
      <w:r>
        <w:rPr>
          <w:b/>
          <w:bCs/>
          <w:sz w:val="14"/>
          <w:szCs w:val="14"/>
        </w:rPr>
        <w:t>cenu a in</w:t>
      </w:r>
      <w:r>
        <w:rPr>
          <w:b/>
          <w:bCs/>
          <w:sz w:val="14"/>
          <w:szCs w:val="14"/>
        </w:rPr>
        <w:softHyphen/>
        <w:t>stinktivně cítíme, že jeho ztráta musí býti jinde vy</w:t>
      </w:r>
      <w:r>
        <w:rPr>
          <w:b/>
          <w:bCs/>
          <w:sz w:val="14"/>
          <w:szCs w:val="14"/>
        </w:rPr>
        <w:softHyphen/>
        <w:t>vážena a nahrazena. Národní a státní porážka nás proto nutí, abychom šli ke kořenům života a víc než kdykoli dříve se zabývali základními otázkami existence národa.</w:t>
      </w:r>
    </w:p>
    <w:p w:rsidR="00500724" w:rsidRDefault="00F30FB8">
      <w:pPr>
        <w:pStyle w:val="Zkladntext40"/>
        <w:shd w:val="clear" w:color="auto" w:fill="auto"/>
        <w:spacing w:after="0" w:line="283" w:lineRule="auto"/>
        <w:ind w:firstLine="220"/>
        <w:rPr>
          <w:sz w:val="14"/>
          <w:szCs w:val="14"/>
        </w:rPr>
      </w:pPr>
      <w:r>
        <w:rPr>
          <w:b/>
          <w:bCs/>
          <w:sz w:val="14"/>
          <w:szCs w:val="14"/>
        </w:rPr>
        <w:t xml:space="preserve">Aby si národ zajistil místo </w:t>
      </w:r>
      <w:r>
        <w:rPr>
          <w:b/>
          <w:bCs/>
          <w:sz w:val="14"/>
          <w:szCs w:val="14"/>
        </w:rPr>
        <w:t>v dějinách lidského úsilí o tvorbu kultury, musí napřed býti, a to aspoň v takové početnosti, jež by mu zabezpečovala tu míru dělby práce, bez níž kulturní společnost jest nemyslitelná. Když se v bývalém Rakousku uvažovalo o existenci a úkolech malého náro</w:t>
      </w:r>
      <w:r>
        <w:rPr>
          <w:b/>
          <w:bCs/>
          <w:sz w:val="14"/>
          <w:szCs w:val="14"/>
        </w:rPr>
        <w:t>da, vždycky se zdůrazňovalo, od Palackého a Havlíčka až po Masaryka, že malý národ má možnost nahraditi svoji malost zmnožením sil kaž</w:t>
      </w:r>
      <w:r>
        <w:rPr>
          <w:b/>
          <w:bCs/>
          <w:sz w:val="14"/>
          <w:szCs w:val="14"/>
        </w:rPr>
        <w:softHyphen/>
        <w:t>dého jednotlivce a že kvalitou i vypětím energie může nahraditi scházející kvantitu. Byla v tom dobrá vzpruha pro český n</w:t>
      </w:r>
      <w:r>
        <w:rPr>
          <w:b/>
          <w:bCs/>
          <w:sz w:val="14"/>
          <w:szCs w:val="14"/>
        </w:rPr>
        <w:t>árod, ale také jisté nebezpečí. Byli jsme ochotni ukolébati se vírou, že všecko se zmůže kvalitou a že nezáleží na kvantitě, ba jisté části českého světa politického každá zmínka o početnosti byla podezřelou známkou myšlení nepokrokového.</w:t>
      </w:r>
    </w:p>
    <w:p w:rsidR="00500724" w:rsidRDefault="00F30FB8">
      <w:pPr>
        <w:pStyle w:val="Zkladntext40"/>
        <w:shd w:val="clear" w:color="auto" w:fill="auto"/>
        <w:spacing w:after="0" w:line="283" w:lineRule="auto"/>
        <w:ind w:firstLine="220"/>
        <w:rPr>
          <w:sz w:val="14"/>
          <w:szCs w:val="14"/>
        </w:rPr>
      </w:pPr>
      <w:r>
        <w:rPr>
          <w:b/>
          <w:bCs/>
          <w:sz w:val="14"/>
          <w:szCs w:val="14"/>
        </w:rPr>
        <w:t>Není však přírodn</w:t>
      </w:r>
      <w:r>
        <w:rPr>
          <w:b/>
          <w:bCs/>
          <w:sz w:val="14"/>
          <w:szCs w:val="14"/>
        </w:rPr>
        <w:t>ího zákona, že by velkost ducha byla spojena s hmotnou slabostí, a že by malí národové na budování lidské kultury byli relativně účastni víc než velcí. Naopak mimořádný výkon vyskytne se v národě početném spíše a s větší pravděpodobností než v národě nepoč</w:t>
      </w:r>
      <w:r>
        <w:rPr>
          <w:b/>
          <w:bCs/>
          <w:sz w:val="14"/>
          <w:szCs w:val="14"/>
        </w:rPr>
        <w:t>etném. Ale af filosofování o malých a velkých ná</w:t>
      </w:r>
      <w:r>
        <w:rPr>
          <w:b/>
          <w:bCs/>
          <w:sz w:val="14"/>
          <w:szCs w:val="14"/>
        </w:rPr>
        <w:softHyphen/>
        <w:t>rodech dopadne jakkoliv, jisto je, že českému národu péče o obojí růst, kvantitativní i kvalitativní, tělesný i duševní, hmotný i mravní, stala se nutností doby. Ve svobodném státě mohli jsme si dovoliti lux</w:t>
      </w:r>
      <w:r>
        <w:rPr>
          <w:b/>
          <w:bCs/>
          <w:sz w:val="14"/>
          <w:szCs w:val="14"/>
        </w:rPr>
        <w:t>us nestarat! se mnoho o kvantitu české populace. Mohli jsme před- pokládati, že národ, stojící na velké výši kulturní a ovlá</w:t>
      </w:r>
      <w:r>
        <w:rPr>
          <w:b/>
          <w:bCs/>
          <w:sz w:val="14"/>
          <w:szCs w:val="14"/>
        </w:rPr>
        <w:softHyphen/>
        <w:t>dající státní administrativu, má značnou přitažlivost na národní menšiny; nejsilnější národní menšina, německá, byla zřejmě v nevýh</w:t>
      </w:r>
      <w:r>
        <w:rPr>
          <w:b/>
          <w:bCs/>
          <w:sz w:val="14"/>
          <w:szCs w:val="14"/>
        </w:rPr>
        <w:t>odě i svou geografickou polohou i sociálním rozvrstvením a nepříznivými důsledky příliš daleko pokročilé industrialisace pohraničních krajů.</w:t>
      </w:r>
    </w:p>
    <w:p w:rsidR="00500724" w:rsidRDefault="00F30FB8">
      <w:pPr>
        <w:pStyle w:val="Zkladntext40"/>
        <w:shd w:val="clear" w:color="auto" w:fill="auto"/>
        <w:spacing w:after="0" w:line="283" w:lineRule="auto"/>
        <w:ind w:firstLine="220"/>
        <w:rPr>
          <w:sz w:val="14"/>
          <w:szCs w:val="14"/>
        </w:rPr>
      </w:pPr>
      <w:r>
        <w:rPr>
          <w:b/>
          <w:bCs/>
          <w:sz w:val="14"/>
          <w:szCs w:val="14"/>
        </w:rPr>
        <w:t>Tato situace se však změnila radikálně. Stali jsme se součástí říše, jejíž vliv na české země poroste s postup</w:t>
      </w:r>
      <w:r>
        <w:rPr>
          <w:b/>
          <w:bCs/>
          <w:sz w:val="14"/>
          <w:szCs w:val="14"/>
        </w:rPr>
        <w:softHyphen/>
        <w:t xml:space="preserve">ným </w:t>
      </w:r>
      <w:r>
        <w:rPr>
          <w:b/>
          <w:bCs/>
          <w:sz w:val="14"/>
          <w:szCs w:val="14"/>
        </w:rPr>
        <w:t>jejich hospodářským začleňováním. Stojíme jako menšina proti národu skoro desetkrát početnějšímu. I když českým zemím v jejich podstatně zmenšeném rozsahu byla ponechána jistá sebespráva, přece jen i v nich rozhodující moc politická přešla na německý národ</w:t>
      </w:r>
      <w:r>
        <w:rPr>
          <w:b/>
          <w:bCs/>
          <w:sz w:val="14"/>
          <w:szCs w:val="14"/>
        </w:rPr>
        <w:t>. Nemůžeme a nesmíme již počítati s přitažlivou silou, kterou měl český národ v bývalé republice. Viděli jsme, jak ta část, která ve smíšených městech: Brně, Olo</w:t>
      </w:r>
      <w:r>
        <w:rPr>
          <w:b/>
          <w:bCs/>
          <w:sz w:val="14"/>
          <w:szCs w:val="14"/>
        </w:rPr>
        <w:softHyphen/>
        <w:t xml:space="preserve">mouci, Jihlavě a j. kolísala mezi Čechy a Němci a po válce se přidala k Čechům, po mnichovské </w:t>
      </w:r>
      <w:r>
        <w:rPr>
          <w:b/>
          <w:bCs/>
          <w:sz w:val="14"/>
          <w:szCs w:val="14"/>
        </w:rPr>
        <w:t>dohodě a po 15. březnu je opět opustila; i v budoucnosti se asi najdou slabí lidé českého původu, kteří budou přebíhati, i když přenárodňování teoreticky je v nesouladu se základními principy rasistického pojetí národa.</w:t>
      </w:r>
    </w:p>
    <w:p w:rsidR="00500724" w:rsidRDefault="00F30FB8">
      <w:pPr>
        <w:pStyle w:val="Zkladntext40"/>
        <w:shd w:val="clear" w:color="auto" w:fill="auto"/>
        <w:spacing w:after="0" w:line="283" w:lineRule="auto"/>
        <w:ind w:firstLine="220"/>
        <w:rPr>
          <w:sz w:val="14"/>
          <w:szCs w:val="14"/>
        </w:rPr>
      </w:pPr>
      <w:r>
        <w:rPr>
          <w:b/>
          <w:bCs/>
          <w:sz w:val="14"/>
          <w:szCs w:val="14"/>
        </w:rPr>
        <w:t>To však není jediné nebezpečí pro ná</w:t>
      </w:r>
      <w:r>
        <w:rPr>
          <w:b/>
          <w:bCs/>
          <w:sz w:val="14"/>
          <w:szCs w:val="14"/>
        </w:rPr>
        <w:t>š budoucí vývoj. V minulosti byli jsme ve výhodě větší vitální silou čes</w:t>
      </w:r>
      <w:r>
        <w:rPr>
          <w:b/>
          <w:bCs/>
          <w:sz w:val="14"/>
          <w:szCs w:val="14"/>
        </w:rPr>
        <w:softHyphen/>
        <w:t>kého lidu, i když přebytek narozených se u něho rychle zmenšoval. Český postup do německých pohraničních krajů měl především své přirozené, nikoli uměle utvo</w:t>
      </w:r>
      <w:r>
        <w:rPr>
          <w:b/>
          <w:bCs/>
          <w:sz w:val="14"/>
          <w:szCs w:val="14"/>
        </w:rPr>
        <w:softHyphen/>
        <w:t>řené předpoklady.</w:t>
      </w:r>
    </w:p>
    <w:p w:rsidR="00500724" w:rsidRDefault="00F30FB8">
      <w:pPr>
        <w:pStyle w:val="Zkladntext30"/>
        <w:shd w:val="clear" w:color="auto" w:fill="auto"/>
        <w:spacing w:after="80" w:line="206" w:lineRule="auto"/>
        <w:ind w:firstLine="220"/>
        <w:rPr>
          <w:sz w:val="20"/>
          <w:szCs w:val="20"/>
        </w:rPr>
      </w:pPr>
      <w:r>
        <w:rPr>
          <w:b/>
          <w:bCs/>
          <w:sz w:val="20"/>
          <w:szCs w:val="20"/>
        </w:rPr>
        <w:t>Nyní js</w:t>
      </w:r>
      <w:r>
        <w:rPr>
          <w:b/>
          <w:bCs/>
          <w:sz w:val="20"/>
          <w:szCs w:val="20"/>
        </w:rPr>
        <w:t>me v situaci opačné. Německému národnímu socialismu se podařilo zastaviti dřívější úpadek porod</w:t>
      </w:r>
      <w:r>
        <w:rPr>
          <w:b/>
          <w:bCs/>
          <w:sz w:val="20"/>
          <w:szCs w:val="20"/>
        </w:rPr>
        <w:softHyphen/>
      </w:r>
    </w:p>
    <w:p w:rsidR="00500724" w:rsidRDefault="00F30FB8">
      <w:pPr>
        <w:pStyle w:val="Zkladntext40"/>
        <w:shd w:val="clear" w:color="auto" w:fill="auto"/>
        <w:spacing w:after="0" w:line="283" w:lineRule="auto"/>
        <w:rPr>
          <w:sz w:val="14"/>
          <w:szCs w:val="14"/>
        </w:rPr>
      </w:pPr>
      <w:r>
        <w:rPr>
          <w:b/>
          <w:bCs/>
          <w:sz w:val="14"/>
          <w:szCs w:val="14"/>
        </w:rPr>
        <w:t xml:space="preserve">nosti a zvýšiti ji na tu míru, která odpovídá potřebě zachovati do budoucnosti nynější jeho populační stav s možností mírného vzrůstu. Němci si tím dobyli </w:t>
      </w:r>
      <w:r>
        <w:rPr>
          <w:b/>
          <w:bCs/>
          <w:sz w:val="14"/>
          <w:szCs w:val="14"/>
        </w:rPr>
        <w:t>velkou výhodu proti západním demokraciím. Francouzi a An</w:t>
      </w:r>
      <w:r>
        <w:rPr>
          <w:b/>
          <w:bCs/>
          <w:sz w:val="14"/>
          <w:szCs w:val="14"/>
        </w:rPr>
        <w:softHyphen/>
        <w:t>gličané překročili vrchol svého národního rozvoje, nebof jejich natalita nestačí udržeti jejich populaci na ny</w:t>
      </w:r>
      <w:r>
        <w:rPr>
          <w:b/>
          <w:bCs/>
          <w:sz w:val="14"/>
          <w:szCs w:val="14"/>
        </w:rPr>
        <w:softHyphen/>
        <w:t>nější výši. Ve Francii již několik let po sobě umírá; více lidí, než se nových dětí rodí</w:t>
      </w:r>
      <w:r>
        <w:rPr>
          <w:b/>
          <w:bCs/>
          <w:sz w:val="14"/>
          <w:szCs w:val="14"/>
        </w:rPr>
        <w:t>, a při nezměněné nata- litě deficity budou tam v budoucnosti nutně růsti. Anglie sice vykazuje ještě přebytek narozených, ale jen proto, že má poměrně málo starých lidí; příští rodi</w:t>
      </w:r>
      <w:r>
        <w:rPr>
          <w:b/>
          <w:bCs/>
          <w:sz w:val="14"/>
          <w:szCs w:val="14"/>
        </w:rPr>
        <w:softHyphen/>
        <w:t>čovská generace bude tam asi o čtvrtinu slabší než ny</w:t>
      </w:r>
      <w:r>
        <w:rPr>
          <w:b/>
          <w:bCs/>
          <w:sz w:val="14"/>
          <w:szCs w:val="14"/>
        </w:rPr>
        <w:softHyphen/>
        <w:t>nější a důsledek úp</w:t>
      </w:r>
      <w:r>
        <w:rPr>
          <w:b/>
          <w:bCs/>
          <w:sz w:val="14"/>
          <w:szCs w:val="14"/>
        </w:rPr>
        <w:t xml:space="preserve">adku </w:t>
      </w:r>
      <w:r>
        <w:rPr>
          <w:b/>
          <w:bCs/>
          <w:sz w:val="14"/>
          <w:szCs w:val="14"/>
          <w:lang w:val="en-US" w:eastAsia="en-US" w:bidi="en-US"/>
        </w:rPr>
        <w:t xml:space="preserve">natality </w:t>
      </w:r>
      <w:r>
        <w:rPr>
          <w:b/>
          <w:bCs/>
          <w:sz w:val="14"/>
          <w:szCs w:val="14"/>
        </w:rPr>
        <w:t>se projeví pro každého viditelně přímým ubýváním počtu obyvatelů za něko</w:t>
      </w:r>
      <w:r>
        <w:rPr>
          <w:b/>
          <w:bCs/>
          <w:sz w:val="14"/>
          <w:szCs w:val="14"/>
        </w:rPr>
        <w:softHyphen/>
        <w:t>lik málo let. Politická slabost a nerozhodnost západních demokracií v minulých měsících a letech je jen reflex hlubších příčin, projevujících se ve vitalitě národní. Ne-</w:t>
      </w:r>
      <w:r>
        <w:rPr>
          <w:b/>
          <w:bCs/>
          <w:sz w:val="14"/>
          <w:szCs w:val="14"/>
        </w:rPr>
        <w:t xml:space="preserve"> vzchopí-li se oba národy v krátké době k energickému obratu, je úpadek jejich moci v příštích letech neodvra- titelný.</w:t>
      </w:r>
    </w:p>
    <w:p w:rsidR="00500724" w:rsidRDefault="00F30FB8">
      <w:pPr>
        <w:pStyle w:val="Zkladntext40"/>
        <w:shd w:val="clear" w:color="auto" w:fill="auto"/>
        <w:spacing w:line="240" w:lineRule="auto"/>
        <w:jc w:val="center"/>
        <w:rPr>
          <w:sz w:val="14"/>
          <w:szCs w:val="14"/>
        </w:rPr>
      </w:pPr>
      <w:r>
        <w:rPr>
          <w:b/>
          <w:bCs/>
          <w:sz w:val="14"/>
          <w:szCs w:val="14"/>
        </w:rPr>
        <w:t>•</w:t>
      </w:r>
    </w:p>
    <w:p w:rsidR="00500724" w:rsidRDefault="00F30FB8">
      <w:pPr>
        <w:pStyle w:val="Zkladntext40"/>
        <w:shd w:val="clear" w:color="auto" w:fill="auto"/>
        <w:tabs>
          <w:tab w:val="left" w:pos="4915"/>
        </w:tabs>
        <w:spacing w:after="0" w:line="286" w:lineRule="auto"/>
        <w:ind w:firstLine="220"/>
        <w:rPr>
          <w:sz w:val="14"/>
          <w:szCs w:val="14"/>
        </w:rPr>
      </w:pPr>
      <w:r>
        <w:rPr>
          <w:b/>
          <w:bCs/>
          <w:sz w:val="14"/>
          <w:szCs w:val="14"/>
        </w:rPr>
        <w:t>My Češi jsme ve stejné populační situaci jako západní národy. Uvěřili jsme, že spása národa je v politické for</w:t>
      </w:r>
      <w:r>
        <w:rPr>
          <w:b/>
          <w:bCs/>
          <w:sz w:val="14"/>
          <w:szCs w:val="14"/>
        </w:rPr>
        <w:softHyphen/>
        <w:t>mě, spolehli jsme se na</w:t>
      </w:r>
      <w:r>
        <w:rPr>
          <w:b/>
          <w:bCs/>
          <w:sz w:val="14"/>
          <w:szCs w:val="14"/>
        </w:rPr>
        <w:t xml:space="preserve"> ni, jako by demokracie sama o sobě byla záchranou, zapomínajíce často, že síla a vnitř</w:t>
      </w:r>
      <w:r>
        <w:rPr>
          <w:b/>
          <w:bCs/>
          <w:sz w:val="14"/>
          <w:szCs w:val="14"/>
        </w:rPr>
        <w:softHyphen/>
        <w:t>ní vzdornost národů má zdroje mnohem hlubší, než je po</w:t>
      </w:r>
      <w:r>
        <w:rPr>
          <w:b/>
          <w:bCs/>
          <w:sz w:val="14"/>
          <w:szCs w:val="14"/>
        </w:rPr>
        <w:softHyphen/>
        <w:t>litický nebo hospodářský neb jiný režim. Budoucí histo</w:t>
      </w:r>
      <w:r>
        <w:rPr>
          <w:b/>
          <w:bCs/>
          <w:sz w:val="14"/>
          <w:szCs w:val="14"/>
        </w:rPr>
        <w:softHyphen/>
        <w:t>rikové budou jednou hloubati nad tím, proč právě po politi</w:t>
      </w:r>
      <w:r>
        <w:rPr>
          <w:b/>
          <w:bCs/>
          <w:sz w:val="14"/>
          <w:szCs w:val="14"/>
        </w:rPr>
        <w:t>ckém rozmachu osvobozeneckého boje a nadějné</w:t>
      </w:r>
      <w:r>
        <w:rPr>
          <w:b/>
          <w:bCs/>
          <w:sz w:val="14"/>
          <w:szCs w:val="14"/>
        </w:rPr>
        <w:softHyphen/>
        <w:t>ho ovzduší doby popřevratové jsme podvázali svoji vi</w:t>
      </w:r>
      <w:r>
        <w:rPr>
          <w:b/>
          <w:bCs/>
          <w:sz w:val="14"/>
          <w:szCs w:val="14"/>
        </w:rPr>
        <w:softHyphen/>
        <w:t>tální sílu radikálněji než kterýkoli jiný národ evropský. Uvědoměme si, že před 25 lety náleželi jsme k evrop</w:t>
      </w:r>
      <w:r>
        <w:rPr>
          <w:b/>
          <w:bCs/>
          <w:sz w:val="14"/>
          <w:szCs w:val="14"/>
        </w:rPr>
        <w:softHyphen/>
        <w:t xml:space="preserve">ským národům se střední natalitou, a že dnes má </w:t>
      </w:r>
      <w:r>
        <w:rPr>
          <w:b/>
          <w:bCs/>
          <w:sz w:val="14"/>
          <w:szCs w:val="14"/>
        </w:rPr>
        <w:t>český národ porodovou číslici ne-li nejnižší tedy z nejniž- ších v Evropě a na světě vůbec.</w:t>
      </w:r>
      <w:r>
        <w:rPr>
          <w:b/>
          <w:bCs/>
          <w:sz w:val="14"/>
          <w:szCs w:val="14"/>
        </w:rPr>
        <w:tab/>
        <w:t>f</w:t>
      </w:r>
    </w:p>
    <w:p w:rsidR="00500724" w:rsidRDefault="00F30FB8">
      <w:pPr>
        <w:pStyle w:val="Zkladntext40"/>
        <w:shd w:val="clear" w:color="auto" w:fill="auto"/>
        <w:spacing w:after="0" w:line="286" w:lineRule="auto"/>
        <w:ind w:firstLine="220"/>
        <w:rPr>
          <w:sz w:val="14"/>
          <w:szCs w:val="14"/>
        </w:rPr>
      </w:pPr>
      <w:r>
        <w:rPr>
          <w:b/>
          <w:bCs/>
          <w:sz w:val="14"/>
          <w:szCs w:val="14"/>
        </w:rPr>
        <w:t>Loňského roku připadalo na území Protektorátu 150 živě narozených na 10.000 obyvatelů. Podle úmrtnostních' tabulek, vypočítaných k létům 1928 až 1932, měl každý n</w:t>
      </w:r>
      <w:r>
        <w:rPr>
          <w:b/>
          <w:bCs/>
          <w:sz w:val="14"/>
          <w:szCs w:val="14"/>
        </w:rPr>
        <w:t>arozený naději dožiti se přibližně 55 let. Dejme tomu, že se zdravotní poměry od té doby o něco zlepšily a prů</w:t>
      </w:r>
      <w:r>
        <w:rPr>
          <w:b/>
          <w:bCs/>
          <w:sz w:val="14"/>
          <w:szCs w:val="14"/>
        </w:rPr>
        <w:softHyphen/>
        <w:t>měrný věk se o něco zvýšil; jisto je však, že nedosa</w:t>
      </w:r>
      <w:r>
        <w:rPr>
          <w:b/>
          <w:bCs/>
          <w:sz w:val="14"/>
          <w:szCs w:val="14"/>
        </w:rPr>
        <w:softHyphen/>
        <w:t>huje dosud 60 let. Představme si pak takové obyvatel</w:t>
      </w:r>
      <w:r>
        <w:rPr>
          <w:b/>
          <w:bCs/>
          <w:sz w:val="14"/>
          <w:szCs w:val="14"/>
        </w:rPr>
        <w:softHyphen/>
        <w:t xml:space="preserve">stvo, v němž po dlouhou dobu (aspoň po </w:t>
      </w:r>
      <w:r>
        <w:rPr>
          <w:b/>
          <w:bCs/>
          <w:sz w:val="14"/>
          <w:szCs w:val="14"/>
        </w:rPr>
        <w:t>jedno století) narodí se tolik dětí, kolik lidí umře, takže jeho početní) stav se nemění. Při průměrném věku 60 let bude umírati každého roku v tomto t. zv. stationérním obyvatelstvu 176 lidí z 10.000. Aby se početní stav zachoval, musí se) tedy v něm naro</w:t>
      </w:r>
      <w:r>
        <w:rPr>
          <w:b/>
          <w:bCs/>
          <w:sz w:val="14"/>
          <w:szCs w:val="14"/>
        </w:rPr>
        <w:t>diti na každých 10.000 obyvatelů 167, v obyvatelstvu s průměrným věkem 55 let však 180 ži</w:t>
      </w:r>
      <w:r>
        <w:rPr>
          <w:b/>
          <w:bCs/>
          <w:sz w:val="14"/>
          <w:szCs w:val="14"/>
        </w:rPr>
        <w:softHyphen/>
        <w:t>vých dětí. V českých zemích v jejich nynějším rozsahu se jich však narodilo loňského roku jen 150 a v r. 1937 dokonce jen 144. A to jsme nedospěli zdaleka do stadia o</w:t>
      </w:r>
      <w:r>
        <w:rPr>
          <w:b/>
          <w:bCs/>
          <w:sz w:val="14"/>
          <w:szCs w:val="14"/>
        </w:rPr>
        <w:t>byvatelstva stationérního! Udržení nynějšího rozvrst</w:t>
      </w:r>
      <w:r>
        <w:rPr>
          <w:b/>
          <w:bCs/>
          <w:sz w:val="14"/>
          <w:szCs w:val="14"/>
        </w:rPr>
        <w:softHyphen/>
        <w:t>vení s jistou převahou lidí mladých a s jistou vývojo</w:t>
      </w:r>
      <w:r>
        <w:rPr>
          <w:b/>
          <w:bCs/>
          <w:sz w:val="14"/>
          <w:szCs w:val="14"/>
        </w:rPr>
        <w:softHyphen/>
        <w:t xml:space="preserve">vou dynamikou by ovšem vyžadovalo </w:t>
      </w:r>
      <w:r>
        <w:rPr>
          <w:b/>
          <w:bCs/>
          <w:sz w:val="14"/>
          <w:szCs w:val="14"/>
          <w:lang w:val="en-US" w:eastAsia="en-US" w:bidi="en-US"/>
        </w:rPr>
        <w:t xml:space="preserve">natality </w:t>
      </w:r>
      <w:r>
        <w:rPr>
          <w:b/>
          <w:bCs/>
          <w:sz w:val="14"/>
          <w:szCs w:val="14"/>
        </w:rPr>
        <w:t>vyšší než udržení populace stationérní.</w:t>
      </w:r>
    </w:p>
    <w:p w:rsidR="00500724" w:rsidRDefault="00F30FB8">
      <w:pPr>
        <w:pStyle w:val="Zkladntext40"/>
        <w:shd w:val="clear" w:color="auto" w:fill="auto"/>
        <w:tabs>
          <w:tab w:val="left" w:pos="4646"/>
        </w:tabs>
        <w:spacing w:after="0" w:line="286" w:lineRule="auto"/>
        <w:ind w:firstLine="220"/>
        <w:rPr>
          <w:sz w:val="14"/>
          <w:szCs w:val="14"/>
        </w:rPr>
      </w:pPr>
      <w:r>
        <w:rPr>
          <w:b/>
          <w:bCs/>
          <w:sz w:val="14"/>
          <w:szCs w:val="14"/>
        </w:rPr>
        <w:t>Doufám, že po tomto výkladě se nikdo nedá másti kla</w:t>
      </w:r>
      <w:r>
        <w:rPr>
          <w:b/>
          <w:bCs/>
          <w:sz w:val="14"/>
          <w:szCs w:val="14"/>
        </w:rPr>
        <w:softHyphen/>
        <w:t>mem malého poč</w:t>
      </w:r>
      <w:r>
        <w:rPr>
          <w:b/>
          <w:bCs/>
          <w:sz w:val="14"/>
          <w:szCs w:val="14"/>
        </w:rPr>
        <w:t>etního přírůstku, který statistika naší přirozené měny ještě zaznamenává. V něm doznívá totiž bývalý silný růst národa, jehož důsledkem je mi</w:t>
      </w:r>
      <w:r>
        <w:rPr>
          <w:b/>
          <w:bCs/>
          <w:sz w:val="14"/>
          <w:szCs w:val="14"/>
        </w:rPr>
        <w:softHyphen/>
        <w:t>mořádně silné obsažení ročníků hlavně od 25 do 55 let, v kterémžto věku se umírá jen výjimečně. Loni připa</w:t>
      </w:r>
      <w:r>
        <w:rPr>
          <w:b/>
          <w:bCs/>
          <w:sz w:val="14"/>
          <w:szCs w:val="14"/>
        </w:rPr>
        <w:softHyphen/>
        <w:t xml:space="preserve">dalo v </w:t>
      </w:r>
      <w:r>
        <w:rPr>
          <w:b/>
          <w:bCs/>
          <w:sz w:val="14"/>
          <w:szCs w:val="14"/>
        </w:rPr>
        <w:t>českých zemích 131 úmrtí na 10.000 obyvatel; ve stationérním obyvatelstvu by této úmrtnosti odpovídal průměrný věk 76 let. Každý ví, že tak vysokého věkuse v průměru u nás nedosáhne. Český národ, početně sice ještě roste, ale jen proto, že mu přibývá starc</w:t>
      </w:r>
      <w:r>
        <w:rPr>
          <w:b/>
          <w:bCs/>
          <w:sz w:val="14"/>
          <w:szCs w:val="14"/>
        </w:rPr>
        <w:t>ů. Současné mu však ubývá dětí, a ubylo mu jich tolik, že po 15 a‘ž 20 letech budou dospívati ročníky asi o čtvrtinu slabší než jsou dnešní.</w:t>
      </w:r>
      <w:r>
        <w:rPr>
          <w:b/>
          <w:bCs/>
          <w:sz w:val="14"/>
          <w:szCs w:val="14"/>
        </w:rPr>
        <w:tab/>
      </w:r>
      <w:r>
        <w:rPr>
          <w:b/>
          <w:bCs/>
          <w:sz w:val="14"/>
          <w:szCs w:val="14"/>
          <w:vertAlign w:val="subscript"/>
        </w:rPr>
        <w:t>w</w:t>
      </w:r>
    </w:p>
    <w:p w:rsidR="00500724" w:rsidRDefault="00F30FB8">
      <w:pPr>
        <w:pStyle w:val="Zkladntext30"/>
        <w:shd w:val="clear" w:color="auto" w:fill="auto"/>
        <w:spacing w:after="0" w:line="283" w:lineRule="auto"/>
        <w:ind w:firstLine="0"/>
        <w:jc w:val="right"/>
        <w:rPr>
          <w:sz w:val="20"/>
          <w:szCs w:val="20"/>
        </w:rPr>
        <w:sectPr w:rsidR="00500724">
          <w:footnotePr>
            <w:numFmt w:val="chicago"/>
            <w:numRestart w:val="eachPage"/>
          </w:footnotePr>
          <w:type w:val="continuous"/>
          <w:pgSz w:w="11909" w:h="16834"/>
          <w:pgMar w:top="724" w:right="979" w:bottom="465" w:left="598" w:header="0" w:footer="3" w:gutter="0"/>
          <w:cols w:num="2" w:space="128"/>
          <w:noEndnote/>
          <w:docGrid w:linePitch="360"/>
        </w:sectPr>
      </w:pPr>
      <w:r>
        <w:rPr>
          <w:b/>
          <w:bCs/>
          <w:sz w:val="20"/>
          <w:szCs w:val="20"/>
        </w:rPr>
        <w:t>Jsem dalek toho, abych byl obdivovatelem množení stůj co stůj. Reprodukce všech živ</w:t>
      </w:r>
      <w:r>
        <w:rPr>
          <w:b/>
          <w:bCs/>
          <w:sz w:val="20"/>
          <w:szCs w:val="20"/>
        </w:rPr>
        <w:t xml:space="preserve">ých organismů a tedy i lidí, má své meze, jež klade konečnost prostoru. I ve </w:t>
      </w:r>
      <w:r>
        <w:rPr>
          <w:rFonts w:ascii="Arial" w:eastAsia="Arial" w:hAnsi="Arial" w:cs="Arial"/>
          <w:i/>
          <w:iCs/>
          <w:sz w:val="20"/>
          <w:szCs w:val="20"/>
        </w:rPr>
        <w:t>853</w:t>
      </w:r>
    </w:p>
    <w:p w:rsidR="00500724" w:rsidRDefault="00F30FB8">
      <w:pPr>
        <w:pStyle w:val="Zkladntext20"/>
        <w:shd w:val="clear" w:color="auto" w:fill="auto"/>
        <w:spacing w:line="206" w:lineRule="auto"/>
        <w:ind w:firstLine="0"/>
        <w:rPr>
          <w:sz w:val="20"/>
          <w:szCs w:val="20"/>
        </w:rPr>
      </w:pPr>
      <w:r>
        <w:rPr>
          <w:b/>
          <w:bCs/>
          <w:sz w:val="20"/>
          <w:szCs w:val="20"/>
        </w:rPr>
        <w:t>známém starozákonním zákonu množení je řečeno »na- plňte zemi«, nikoli »množte se neustále*.</w:t>
      </w:r>
    </w:p>
    <w:p w:rsidR="00500724" w:rsidRDefault="00F30FB8">
      <w:pPr>
        <w:pStyle w:val="Zkladntext40"/>
        <w:shd w:val="clear" w:color="auto" w:fill="auto"/>
        <w:spacing w:after="0" w:line="288" w:lineRule="auto"/>
        <w:ind w:firstLine="240"/>
        <w:rPr>
          <w:sz w:val="14"/>
          <w:szCs w:val="14"/>
        </w:rPr>
      </w:pPr>
      <w:r>
        <w:rPr>
          <w:b/>
          <w:bCs/>
          <w:sz w:val="14"/>
          <w:szCs w:val="14"/>
        </w:rPr>
        <w:t>Neckci se rozepisovati o tom, kde leží maximum lidské populace na zemi. Fakt je, ž</w:t>
      </w:r>
      <w:r>
        <w:rPr>
          <w:b/>
          <w:bCs/>
          <w:sz w:val="14"/>
          <w:szCs w:val="14"/>
        </w:rPr>
        <w:t>e rozčlenění světa na suve</w:t>
      </w:r>
      <w:r>
        <w:rPr>
          <w:b/>
          <w:bCs/>
          <w:sz w:val="14"/>
          <w:szCs w:val="14"/>
        </w:rPr>
        <w:softHyphen/>
        <w:t>rénní státy, které dbají jen zájmů svých, nikoli cizích, a velmi nerovnoměrné rozmnožení obyvatelstva po zem</w:t>
      </w:r>
      <w:r>
        <w:rPr>
          <w:b/>
          <w:bCs/>
          <w:sz w:val="14"/>
          <w:szCs w:val="14"/>
        </w:rPr>
        <w:softHyphen/>
        <w:t>ském povrchu činí problémy hustoty zalidnění, popu lačního maxima a přelidnění akutními pro určité země a určité národy.</w:t>
      </w:r>
    </w:p>
    <w:p w:rsidR="00500724" w:rsidRDefault="00F30FB8">
      <w:pPr>
        <w:pStyle w:val="Zkladntext40"/>
        <w:shd w:val="clear" w:color="auto" w:fill="auto"/>
        <w:spacing w:after="0" w:line="288" w:lineRule="auto"/>
        <w:ind w:firstLine="240"/>
        <w:rPr>
          <w:sz w:val="14"/>
          <w:szCs w:val="14"/>
        </w:rPr>
      </w:pPr>
      <w:r>
        <w:rPr>
          <w:b/>
          <w:bCs/>
          <w:sz w:val="14"/>
          <w:szCs w:val="14"/>
        </w:rPr>
        <w:t>Kdybychom žili v isolaci, mohli bychom o českém pro</w:t>
      </w:r>
      <w:r>
        <w:rPr>
          <w:b/>
          <w:bCs/>
          <w:sz w:val="14"/>
          <w:szCs w:val="14"/>
        </w:rPr>
        <w:softHyphen/>
        <w:t>blému populačním uvažovati velmi dobře také s tohoto hlediska. Kladli bychom si otázku, v jakém vztahu je početnost obyvatelstva a životní úroveň, na jaké výši je schopnost a umění lidu těžiti z daných p</w:t>
      </w:r>
      <w:r>
        <w:rPr>
          <w:b/>
          <w:bCs/>
          <w:sz w:val="14"/>
          <w:szCs w:val="14"/>
        </w:rPr>
        <w:t>řírodních zdro</w:t>
      </w:r>
      <w:r>
        <w:rPr>
          <w:b/>
          <w:bCs/>
          <w:sz w:val="14"/>
          <w:szCs w:val="14"/>
        </w:rPr>
        <w:softHyphen/>
        <w:t>jů, co pro život národa znamená bohatství, jakou funkci má jeho vnitřní rozvrstvení atd. atd. Při řešení popu</w:t>
      </w:r>
      <w:r>
        <w:rPr>
          <w:b/>
          <w:bCs/>
          <w:sz w:val="14"/>
          <w:szCs w:val="14"/>
        </w:rPr>
        <w:softHyphen/>
        <w:t>lačních otázek je ovšem nutno k celé této problematice populační vžiti zřetel.</w:t>
      </w:r>
    </w:p>
    <w:p w:rsidR="00500724" w:rsidRDefault="00F30FB8">
      <w:pPr>
        <w:pStyle w:val="Zkladntext40"/>
        <w:shd w:val="clear" w:color="auto" w:fill="auto"/>
        <w:tabs>
          <w:tab w:val="left" w:pos="4877"/>
        </w:tabs>
        <w:spacing w:after="0" w:line="288" w:lineRule="auto"/>
        <w:ind w:firstLine="240"/>
        <w:rPr>
          <w:sz w:val="14"/>
          <w:szCs w:val="14"/>
        </w:rPr>
      </w:pPr>
      <w:r>
        <w:rPr>
          <w:b/>
          <w:bCs/>
          <w:sz w:val="14"/>
          <w:szCs w:val="14"/>
        </w:rPr>
        <w:t>Dnešní uvažování o našem populačním problému je však</w:t>
      </w:r>
      <w:r>
        <w:rPr>
          <w:b/>
          <w:bCs/>
          <w:sz w:val="14"/>
          <w:szCs w:val="14"/>
        </w:rPr>
        <w:t xml:space="preserve"> velmi zkomplikováno tím, že český národ nežije isolován a nevládne suverénně svým územím. Dostali jsme se do velmi úzkého styku s národem mnohokráte mocnějším, v němž národní socialismus s obdivuhodnou energií se pokusil bojovati s degenerativními vlivy p</w:t>
      </w:r>
      <w:r>
        <w:rPr>
          <w:b/>
          <w:bCs/>
          <w:sz w:val="14"/>
          <w:szCs w:val="14"/>
        </w:rPr>
        <w:t>rů</w:t>
      </w:r>
      <w:r>
        <w:rPr>
          <w:b/>
          <w:bCs/>
          <w:sz w:val="14"/>
          <w:szCs w:val="14"/>
        </w:rPr>
        <w:softHyphen/>
        <w:t xml:space="preserve">myslového systému liberalistického a velkoměstské </w:t>
      </w:r>
      <w:r>
        <w:rPr>
          <w:b/>
          <w:bCs/>
          <w:sz w:val="14"/>
          <w:szCs w:val="14"/>
          <w:lang w:val="en-US" w:eastAsia="en-US" w:bidi="en-US"/>
        </w:rPr>
        <w:t>civi</w:t>
      </w:r>
      <w:r>
        <w:rPr>
          <w:b/>
          <w:bCs/>
          <w:sz w:val="14"/>
          <w:szCs w:val="14"/>
          <w:lang w:val="en-US" w:eastAsia="en-US" w:bidi="en-US"/>
        </w:rPr>
        <w:softHyphen/>
        <w:t xml:space="preserve">lisace </w:t>
      </w:r>
      <w:r>
        <w:rPr>
          <w:b/>
          <w:bCs/>
          <w:sz w:val="14"/>
          <w:szCs w:val="14"/>
        </w:rPr>
        <w:t>a udržeti si aspoň něco z expansi-ního růstu mi</w:t>
      </w:r>
      <w:r>
        <w:rPr>
          <w:b/>
          <w:bCs/>
          <w:sz w:val="14"/>
          <w:szCs w:val="14"/>
        </w:rPr>
        <w:softHyphen/>
        <w:t>nulých desítiletí.</w:t>
      </w:r>
      <w:r>
        <w:rPr>
          <w:b/>
          <w:bCs/>
          <w:sz w:val="14"/>
          <w:szCs w:val="14"/>
        </w:rPr>
        <w:tab/>
        <w:t>'</w:t>
      </w:r>
    </w:p>
    <w:p w:rsidR="00500724" w:rsidRDefault="00F30FB8">
      <w:pPr>
        <w:pStyle w:val="Zkladntext40"/>
        <w:shd w:val="clear" w:color="auto" w:fill="auto"/>
        <w:spacing w:after="0" w:line="288" w:lineRule="auto"/>
        <w:ind w:firstLine="240"/>
        <w:rPr>
          <w:sz w:val="14"/>
          <w:szCs w:val="14"/>
        </w:rPr>
      </w:pPr>
      <w:r>
        <w:rPr>
          <w:b/>
          <w:bCs/>
          <w:sz w:val="14"/>
          <w:szCs w:val="14"/>
        </w:rPr>
        <w:t xml:space="preserve">Udržeti stejný krok s tímto nejmocnějším sousedním národem a při tom nahraditi manka, která plynou nutně z velké přeměny </w:t>
      </w:r>
      <w:r>
        <w:rPr>
          <w:b/>
          <w:bCs/>
          <w:sz w:val="14"/>
          <w:szCs w:val="14"/>
        </w:rPr>
        <w:t>politické a mocenské, jsou základní úkoly, před nimiž český národ dnes stojí. Po včlenění do německé říše jeví se český populační a národní problém v jiném světle než ještě před čtvrt rokem. V minulých létech, jakmile se mluvilo u nás o natalitě, skoro vžd</w:t>
      </w:r>
      <w:r>
        <w:rPr>
          <w:b/>
          <w:bCs/>
          <w:sz w:val="14"/>
          <w:szCs w:val="14"/>
        </w:rPr>
        <w:t>y se ozvalo heslo životní úrovně. Problém rodu jsme pod</w:t>
      </w:r>
      <w:r>
        <w:rPr>
          <w:b/>
          <w:bCs/>
          <w:sz w:val="14"/>
          <w:szCs w:val="14"/>
        </w:rPr>
        <w:softHyphen/>
        <w:t>řizovali otázce individua. Individuum bylo primární i nejpřesvědčenějším socialistům, zdar, zájem a prospěch jednotlivců rozhodoval o tom, co se stane s národem. Do</w:t>
      </w:r>
      <w:r>
        <w:rPr>
          <w:b/>
          <w:bCs/>
          <w:sz w:val="14"/>
          <w:szCs w:val="14"/>
        </w:rPr>
        <w:softHyphen/>
        <w:t xml:space="preserve">stali jsme se však na prudký závan </w:t>
      </w:r>
      <w:r>
        <w:rPr>
          <w:b/>
          <w:bCs/>
          <w:sz w:val="14"/>
          <w:szCs w:val="14"/>
        </w:rPr>
        <w:t>jiného způsobu myš</w:t>
      </w:r>
      <w:r>
        <w:rPr>
          <w:b/>
          <w:bCs/>
          <w:sz w:val="14"/>
          <w:szCs w:val="14"/>
        </w:rPr>
        <w:softHyphen/>
        <w:t>lení, jemuž národ, rasa je primární a prospěch a zájem jedinců odvozený.</w:t>
      </w:r>
    </w:p>
    <w:p w:rsidR="00500724" w:rsidRDefault="00F30FB8">
      <w:pPr>
        <w:pStyle w:val="Zkladntext40"/>
        <w:shd w:val="clear" w:color="auto" w:fill="auto"/>
        <w:spacing w:line="276" w:lineRule="auto"/>
        <w:ind w:firstLine="240"/>
        <w:rPr>
          <w:sz w:val="14"/>
          <w:szCs w:val="14"/>
        </w:rPr>
      </w:pPr>
      <w:r>
        <w:rPr>
          <w:b/>
          <w:bCs/>
          <w:sz w:val="14"/>
          <w:szCs w:val="14"/>
        </w:rPr>
        <w:t>Sobeckému zájmu jednotlivců vychovat i jedno dítě může býti úkol nad jejich síly a natalita i deseti promile bude se mnohým jeviti přiměřenou. Národ při takovém pos</w:t>
      </w:r>
      <w:r>
        <w:rPr>
          <w:b/>
          <w:bCs/>
          <w:sz w:val="14"/>
          <w:szCs w:val="14"/>
        </w:rPr>
        <w:t>toji k životu však musí ustupovati před silnějším, chřadnouti, hynouti a posléze zahynouti. Cítíme-li od</w:t>
      </w:r>
      <w:r>
        <w:rPr>
          <w:b/>
          <w:bCs/>
          <w:sz w:val="14"/>
          <w:szCs w:val="14"/>
        </w:rPr>
        <w:softHyphen/>
        <w:t>povědnost za život národa také na větší časové vzdále</w:t>
      </w:r>
      <w:r>
        <w:rPr>
          <w:b/>
          <w:bCs/>
          <w:sz w:val="14"/>
          <w:szCs w:val="14"/>
        </w:rPr>
        <w:softHyphen/>
        <w:t>nosti než jen do dne zítřejšího, nezbývá než začíti ener</w:t>
      </w:r>
      <w:r>
        <w:rPr>
          <w:b/>
          <w:bCs/>
          <w:sz w:val="14"/>
          <w:szCs w:val="14"/>
        </w:rPr>
        <w:softHyphen/>
        <w:t xml:space="preserve">gicky s regenerací vitální síly českého </w:t>
      </w:r>
      <w:r>
        <w:rPr>
          <w:b/>
          <w:bCs/>
          <w:sz w:val="14"/>
          <w:szCs w:val="14"/>
        </w:rPr>
        <w:t>lidu a otázku ži</w:t>
      </w:r>
      <w:r>
        <w:rPr>
          <w:b/>
          <w:bCs/>
          <w:sz w:val="14"/>
          <w:szCs w:val="14"/>
        </w:rPr>
        <w:softHyphen/>
        <w:t>votní úrovně řešiti vypětím hospodářských sil a energií.</w:t>
      </w:r>
    </w:p>
    <w:p w:rsidR="00500724" w:rsidRDefault="00F30FB8">
      <w:pPr>
        <w:pStyle w:val="Zkladntext20"/>
        <w:numPr>
          <w:ilvl w:val="0"/>
          <w:numId w:val="70"/>
        </w:numPr>
        <w:shd w:val="clear" w:color="auto" w:fill="auto"/>
        <w:tabs>
          <w:tab w:val="left" w:pos="303"/>
        </w:tabs>
        <w:spacing w:line="276" w:lineRule="auto"/>
        <w:ind w:firstLine="0"/>
        <w:rPr>
          <w:sz w:val="20"/>
          <w:szCs w:val="20"/>
        </w:rPr>
      </w:pPr>
      <w:r>
        <w:rPr>
          <w:i/>
          <w:iCs/>
          <w:sz w:val="20"/>
          <w:szCs w:val="20"/>
        </w:rPr>
        <w:t xml:space="preserve">Pavlík </w:t>
      </w:r>
      <w:r>
        <w:rPr>
          <w:i/>
          <w:iCs/>
          <w:sz w:val="20"/>
          <w:szCs w:val="20"/>
          <w:lang w:val="en-US" w:eastAsia="en-US" w:bidi="en-US"/>
        </w:rPr>
        <w:t xml:space="preserve">a </w:t>
      </w:r>
      <w:r>
        <w:rPr>
          <w:i/>
          <w:iCs/>
          <w:sz w:val="20"/>
          <w:szCs w:val="20"/>
        </w:rPr>
        <w:t>V. Strnad:</w:t>
      </w:r>
    </w:p>
    <w:p w:rsidR="00500724" w:rsidRDefault="00F30FB8">
      <w:pPr>
        <w:pStyle w:val="Nadpis100"/>
        <w:shd w:val="clear" w:color="auto" w:fill="auto"/>
        <w:spacing w:after="60" w:line="223" w:lineRule="auto"/>
      </w:pPr>
      <w:bookmarkStart w:id="574" w:name="bookmark573"/>
      <w:r>
        <w:t>Haló, haló, zde mluví . . .!</w:t>
      </w:r>
      <w:bookmarkEnd w:id="574"/>
    </w:p>
    <w:p w:rsidR="00500724" w:rsidRDefault="00F30FB8">
      <w:pPr>
        <w:pStyle w:val="Zkladntext20"/>
        <w:shd w:val="clear" w:color="auto" w:fill="auto"/>
        <w:spacing w:line="202" w:lineRule="auto"/>
      </w:pPr>
      <w:r>
        <w:t>»Dejte mi pokoj s tím švindlem!« — řekl prý před 15 lety jistý československý ministr Ing. Svobodovi, pozdějšímu technickému řediteli</w:t>
      </w:r>
      <w:r>
        <w:t xml:space="preserve"> pražského rozhlasu, když technik, zanícený pro nový objev, žádal na něm pomoc pro výstavbu rozhlasového vysílání. Ministr vlastně měl pravdu: tehdy před 15 lety připadalo to člověku neobdařenému fantasií jako švindl nebo ne</w:t>
      </w:r>
      <w:r>
        <w:softHyphen/>
        <w:t>vinná hračka pro obveselení vel</w:t>
      </w:r>
      <w:r>
        <w:t>kých dětí. Stačilo ne</w:t>
      </w:r>
      <w:r>
        <w:softHyphen/>
        <w:t>patrné časové údobí a švindl se proměnil v zařízení, bez něhož si dnes těžko dovedeme představit civiliso</w:t>
      </w:r>
      <w:r>
        <w:softHyphen/>
        <w:t>vaný život, v důležitého kulturního činitele, v politic</w:t>
      </w:r>
      <w:r>
        <w:softHyphen/>
        <w:t>kou zbraň, stejného významu jako jsou zbraně smrto</w:t>
      </w:r>
      <w:r>
        <w:softHyphen/>
        <w:t xml:space="preserve">nosné. Tehdy před 15 </w:t>
      </w:r>
      <w:r>
        <w:t xml:space="preserve">lety bylo snad na světě celkem několik tisíc lidí, kteří věděli co je </w:t>
      </w:r>
      <w:r>
        <w:rPr>
          <w:lang w:val="en-US" w:eastAsia="en-US" w:bidi="en-US"/>
        </w:rPr>
        <w:t xml:space="preserve">to radio, </w:t>
      </w:r>
      <w:r>
        <w:t>snad po</w:t>
      </w:r>
      <w:r>
        <w:softHyphen/>
        <w:t>někud více těch, kteří něco o tom zaslechli v technic</w:t>
      </w:r>
      <w:r>
        <w:softHyphen/>
        <w:t>kých rubrikách časopisů — a pouze několik jednotliv</w:t>
      </w:r>
      <w:r>
        <w:softHyphen/>
        <w:t xml:space="preserve">ců, kteří pochopili jaký úžasný význam pro lidstvo bude tento </w:t>
      </w:r>
      <w:r>
        <w:t>vynález mít. Dnes je na světě několik tisíc vysílacích stanic, nějakých sto milionů koncesovaných přijímačů, a snad není na světě vůbec člověka — ani v africké poušti nebo v jihoamerickém pralese—který by jednou v životě neslyšel hlas z kouzelné skřínky. A</w:t>
      </w:r>
      <w:r>
        <w:t xml:space="preserve"> co více: tato skřínka se přičinila o to, že poli</w:t>
      </w:r>
      <w:r>
        <w:softHyphen/>
        <w:t>tické problémy, dříve záležitost poměrně malého počtu zájemců, se staly dnes doslova majetkem všeobecným.</w:t>
      </w:r>
    </w:p>
    <w:p w:rsidR="00500724" w:rsidRDefault="00F30FB8">
      <w:pPr>
        <w:pStyle w:val="Zkladntext20"/>
        <w:shd w:val="clear" w:color="auto" w:fill="auto"/>
        <w:spacing w:line="202" w:lineRule="auto"/>
        <w:ind w:firstLine="0"/>
        <w:jc w:val="center"/>
      </w:pPr>
      <w:r>
        <w:t>Všem! Všem! Všem!</w:t>
      </w:r>
    </w:p>
    <w:p w:rsidR="00500724" w:rsidRDefault="00F30FB8">
      <w:pPr>
        <w:pStyle w:val="Zkladntext20"/>
        <w:shd w:val="clear" w:color="auto" w:fill="auto"/>
        <w:spacing w:line="202" w:lineRule="auto"/>
      </w:pPr>
      <w:r>
        <w:t>Je těžko, snad vůbec nemožno, představit si hro</w:t>
      </w:r>
      <w:r>
        <w:softHyphen/>
        <w:t xml:space="preserve">madné rozšíření rozhlasu v takové </w:t>
      </w:r>
      <w:r>
        <w:t>předválečné Evro</w:t>
      </w:r>
      <w:r>
        <w:softHyphen/>
        <w:t>pě. Společnost, v které žila na přelomu století genera</w:t>
      </w:r>
      <w:r>
        <w:softHyphen/>
        <w:t>ce našich otců, prostě takového zařízení nepotřebo</w:t>
      </w:r>
      <w:r>
        <w:softHyphen/>
        <w:t>vala — zejména nepotřebovala zpravodajské rychlosti, kterou přinesl rozhlas. Co se také mohlo někdy kolem roku 1900 stát na světě důl</w:t>
      </w:r>
      <w:r>
        <w:t xml:space="preserve">ežitého, aby pan Novák, nebo pan Můller, nebo </w:t>
      </w:r>
      <w:r>
        <w:rPr>
          <w:lang w:val="en-US" w:eastAsia="en-US" w:bidi="en-US"/>
        </w:rPr>
        <w:t xml:space="preserve">pan Smith </w:t>
      </w:r>
      <w:r>
        <w:t>nemohl s tím počkat, až mu to pěkně třetího dne přinesou k ranní kávě jeho solidní, klidné, a jak se nám dnes zdá, strašně nudné noviny? Teprve nová doba, která začala někdy toho horkého červnového dn</w:t>
      </w:r>
      <w:r>
        <w:t>e, kdy výstřel v malém balkánském městě uvedl do pohybu lavinu, jež pře</w:t>
      </w:r>
      <w:r>
        <w:softHyphen/>
        <w:t xml:space="preserve">vrátila celý svět vzhůru nohama, vyžádala si nových zpravodajských prostředků. A přece i potom trvalo to několik let, než bylo po prvé použito Mareoniova vynálezu k politické agitaci. </w:t>
      </w:r>
      <w:r>
        <w:t>Jako mnoho jiného, tak i tuto novinku přinesla do světa ruská revoluce. Pla</w:t>
      </w:r>
      <w:r>
        <w:softHyphen/>
        <w:t>menné, patetické, bouřlivé manifesty a jízlivé, sar</w:t>
      </w:r>
      <w:r>
        <w:softHyphen/>
        <w:t xml:space="preserve">kastické diplomatické noty určené celému lidstvu, celé zeměkouli, — »Všem! Všem! Všem!« — to byl obsah prvních poselství, která </w:t>
      </w:r>
      <w:r>
        <w:t>byla ze špiček antén, petrohradské a moskevské, vysílána do éteru. Jenže nebyl to tehdy ještě rozhlas, nýbrž radiotelegrafie — a tak se poselství nedostalo adresátům do rukou, ne</w:t>
      </w:r>
      <w:r>
        <w:softHyphen/>
        <w:t>boť cizí radiotelegrafické stanice, které toto poselství zachytily, podrobova</w:t>
      </w:r>
      <w:r>
        <w:t>ly je důkladné censuře, a celý patos výmluvnosti Lenina, Trockého nebo Cičerina zůstával bez ozvěny v přitmí ministerských pracoven.</w:t>
      </w:r>
    </w:p>
    <w:p w:rsidR="00500724" w:rsidRDefault="00F30FB8">
      <w:pPr>
        <w:pStyle w:val="Zkladntext20"/>
        <w:shd w:val="clear" w:color="auto" w:fill="auto"/>
        <w:spacing w:line="202" w:lineRule="auto"/>
      </w:pPr>
      <w:r>
        <w:t>Zatím se to tedy nepovedlo. K politické potřebě se musila přidružit technická dovednost — a té se ten</w:t>
      </w:r>
      <w:r>
        <w:softHyphen/>
        <w:t>krát Rusům nedostával</w:t>
      </w:r>
      <w:r>
        <w:t>o. Tu musila zaskočit země jiná — země neomezených technických možností.</w:t>
      </w:r>
    </w:p>
    <w:p w:rsidR="00500724" w:rsidRDefault="00F30FB8">
      <w:pPr>
        <w:pStyle w:val="Zkladntext20"/>
        <w:numPr>
          <w:ilvl w:val="0"/>
          <w:numId w:val="71"/>
        </w:numPr>
        <w:shd w:val="clear" w:color="auto" w:fill="auto"/>
        <w:tabs>
          <w:tab w:val="left" w:pos="303"/>
        </w:tabs>
        <w:spacing w:line="202" w:lineRule="auto"/>
        <w:ind w:firstLine="0"/>
      </w:pPr>
      <w:r>
        <w:t>listopadu 1920 volila Americká Unie nového presi</w:t>
      </w:r>
      <w:r>
        <w:softHyphen/>
        <w:t>denta. Spojené Státy, hluboce rozčarované výsledkem války, odhodlaly se tenkrát obrátit se zády k staré, hloupé Evropě. Byl to těžký a</w:t>
      </w:r>
      <w:r>
        <w:t xml:space="preserve"> napínavý volební boj mezi demokraty, jejichž president </w:t>
      </w:r>
      <w:r>
        <w:rPr>
          <w:lang w:val="en-US" w:eastAsia="en-US" w:bidi="en-US"/>
        </w:rPr>
        <w:t xml:space="preserve">Wilson </w:t>
      </w:r>
      <w:r>
        <w:t>zasáhl do evropských záležitostí, a republikány, kteří před</w:t>
      </w:r>
      <w:r>
        <w:softHyphen/>
        <w:t>hazovali svým politickým konkurentům bezvýslednost a marnost této oběti. 2. listopadu 1920 v malé garáži společnosti Westinghouse v P</w:t>
      </w:r>
      <w:r>
        <w:t>ittsburgu oznámila malá rozhlasová stanice hrstce svých posluchačů vítězství republikánského kandidáta Cox-Hardinga. Tak se zrodil rozhlas.</w:t>
      </w:r>
    </w:p>
    <w:p w:rsidR="00500724" w:rsidRDefault="00F30FB8">
      <w:pPr>
        <w:pStyle w:val="Zkladntext20"/>
        <w:shd w:val="clear" w:color="auto" w:fill="auto"/>
        <w:spacing w:line="202" w:lineRule="auto"/>
        <w:ind w:firstLine="0"/>
        <w:jc w:val="center"/>
      </w:pPr>
      <w:r>
        <w:t>Radiová epidemie</w:t>
      </w:r>
    </w:p>
    <w:p w:rsidR="00500724" w:rsidRDefault="00F30FB8">
      <w:pPr>
        <w:pStyle w:val="Zkladntext20"/>
        <w:shd w:val="clear" w:color="auto" w:fill="auto"/>
        <w:spacing w:line="202" w:lineRule="auto"/>
        <w:sectPr w:rsidR="00500724">
          <w:footnotePr>
            <w:numFmt w:val="chicago"/>
            <w:numRestart w:val="eachPage"/>
          </w:footnotePr>
          <w:pgSz w:w="11909" w:h="16834"/>
          <w:pgMar w:top="1544" w:right="876" w:bottom="970" w:left="689" w:header="0" w:footer="3" w:gutter="0"/>
          <w:cols w:num="2" w:space="158"/>
          <w:noEndnote/>
          <w:docGrid w:linePitch="360"/>
        </w:sectPr>
      </w:pPr>
      <w:r>
        <w:t>Bylo však potřebí ještě 7—8 let, než se rozhlasu zmocnila politická pro</w:t>
      </w:r>
      <w:r>
        <w:t>paganda a politické zpravodaj</w:t>
      </w:r>
      <w:r>
        <w:softHyphen/>
        <w:t>ství. Předpokladem toho musilo být hromadné roz</w:t>
      </w:r>
      <w:r>
        <w:softHyphen/>
        <w:t>šíření této nevinné hračky. Pamatujete si jak někdy roku 1925 nebo 1926 zachvacovaly celý evropský svět různé epidemie? Jednou to byla epidemie hloupé hračky jo-jo, po druhé epid</w:t>
      </w:r>
      <w:r>
        <w:t>emie křížovek, pak epide</w:t>
      </w:r>
      <w:r>
        <w:softHyphen/>
        <w:t>mie moderních tanců. Tyto epidemie pominuly s větší</w:t>
      </w:r>
      <w:r>
        <w:softHyphen/>
        <w:t>mi nebo menšími následky právě tak rychle jak se objevily. Jedna však zůstala trvale: byla to epidemie malých škatulek,-na jejichž víku byl upevněn lesklý</w:t>
      </w:r>
    </w:p>
    <w:p w:rsidR="00500724" w:rsidRDefault="00F30FB8">
      <w:pPr>
        <w:pStyle w:val="Nadpis90"/>
        <w:keepNext/>
        <w:keepLines/>
        <w:pBdr>
          <w:bottom w:val="single" w:sz="4" w:space="0" w:color="auto"/>
        </w:pBdr>
        <w:shd w:val="clear" w:color="auto" w:fill="auto"/>
        <w:spacing w:after="0"/>
        <w:ind w:right="80"/>
        <w:jc w:val="center"/>
        <w:rPr>
          <w:sz w:val="42"/>
          <w:szCs w:val="42"/>
        </w:rPr>
        <w:sectPr w:rsidR="00500724">
          <w:footnotePr>
            <w:numFmt w:val="chicago"/>
            <w:numRestart w:val="eachPage"/>
          </w:footnotePr>
          <w:pgSz w:w="11909" w:h="16834"/>
          <w:pgMar w:top="689" w:right="850" w:bottom="1051" w:left="691" w:header="0" w:footer="3" w:gutter="0"/>
          <w:cols w:space="720"/>
          <w:noEndnote/>
          <w:docGrid w:linePitch="360"/>
        </w:sectPr>
      </w:pPr>
      <w:bookmarkStart w:id="575" w:name="bookmark574"/>
      <w:r>
        <w:rPr>
          <w:rFonts w:ascii="Times New Roman" w:eastAsia="Times New Roman" w:hAnsi="Times New Roman" w:cs="Times New Roman"/>
          <w:w w:val="80"/>
          <w:sz w:val="42"/>
          <w:szCs w:val="42"/>
        </w:rPr>
        <w:t>Přítomnosti</w:t>
      </w:r>
      <w:bookmarkEnd w:id="575"/>
    </w:p>
    <w:p w:rsidR="00500724" w:rsidRDefault="00500724">
      <w:pPr>
        <w:spacing w:line="102" w:lineRule="exact"/>
        <w:rPr>
          <w:sz w:val="8"/>
          <w:szCs w:val="8"/>
        </w:rPr>
      </w:pPr>
    </w:p>
    <w:p w:rsidR="00500724" w:rsidRDefault="00500724">
      <w:pPr>
        <w:spacing w:line="14" w:lineRule="exact"/>
        <w:sectPr w:rsidR="00500724">
          <w:footnotePr>
            <w:numFmt w:val="chicago"/>
            <w:numRestart w:val="eachPage"/>
          </w:footnotePr>
          <w:type w:val="continuous"/>
          <w:pgSz w:w="11909" w:h="16834"/>
          <w:pgMar w:top="850" w:right="0" w:bottom="890" w:left="0" w:header="0" w:footer="3" w:gutter="0"/>
          <w:cols w:space="720"/>
          <w:noEndnote/>
          <w:docGrid w:linePitch="360"/>
        </w:sectPr>
      </w:pPr>
    </w:p>
    <w:p w:rsidR="00500724" w:rsidRDefault="00F30FB8">
      <w:pPr>
        <w:pStyle w:val="Zkladntext20"/>
        <w:shd w:val="clear" w:color="auto" w:fill="auto"/>
        <w:spacing w:after="80" w:line="202" w:lineRule="auto"/>
        <w:ind w:firstLine="0"/>
      </w:pPr>
      <w:r>
        <w:t>oblásek, a z jejichž boků vycházely dvě šňůry, ústící v sluchátku, které se k velké nespokojenosti kadeř</w:t>
      </w:r>
      <w:r>
        <w:softHyphen/>
        <w:t>níků, navlékaly na hlavu, aniž braly zřetel na dámské účesy (ostatně zdá se, že se</w:t>
      </w:r>
      <w:r>
        <w:t xml:space="preserve"> právě v této době roz</w:t>
      </w:r>
      <w:r>
        <w:softHyphen/>
        <w:t>šířila také epidemie dámských »mikád«, krátce při</w:t>
      </w:r>
      <w:r>
        <w:softHyphen/>
        <w:t>střižených ženských vlasů? Nesouviselo to nějak spolu?). Ovšem ani to ještě nestačilo. Bylo třeba spojit s rozhlasovým přijímačem reproduktor, který teprve umožnil hromadný poslech, a</w:t>
      </w:r>
      <w:r>
        <w:t>by mohla do bytů, kance</w:t>
      </w:r>
      <w:r>
        <w:softHyphen/>
        <w:t>láří, hospod a na náměstí vtrhnout vítězně často ne</w:t>
      </w:r>
      <w:r>
        <w:softHyphen/>
        <w:t>vítaná, často proklínaná, ale vždy neodbytná rozhlaso</w:t>
      </w:r>
      <w:r>
        <w:softHyphen/>
        <w:t>vá politická propaganda.</w:t>
      </w:r>
    </w:p>
    <w:p w:rsidR="00500724" w:rsidRDefault="00F30FB8">
      <w:pPr>
        <w:pStyle w:val="Zkladntext20"/>
        <w:shd w:val="clear" w:color="auto" w:fill="auto"/>
        <w:spacing w:after="200" w:line="202" w:lineRule="auto"/>
      </w:pPr>
      <w:r>
        <w:t>Aby se to stalo, musila se technicky zdokonalená myšlenka vrátit na místo svého zrození. S Pittsburgu</w:t>
      </w:r>
      <w:r>
        <w:t xml:space="preserve"> se myšlenka vrátila k protinožcům — do Moskvy. Rusové první zavedli politickou propagandu rozhlasem a také první pochopili jednoduchou myšlenku, že nej</w:t>
      </w:r>
      <w:r>
        <w:softHyphen/>
        <w:t>působivější bude účinek politické rozhlasové agitace jen tehdy, bude-li se obracet k posluchačům v jeji</w:t>
      </w:r>
      <w:r>
        <w:t>ch rodné řeči. Poněvadž politické cíle ruské rozhlasové propagandy nebyly omezeny žádnými hranicemi, bylo také přirozeno, že to byli oni, kteří první zavedli roz</w:t>
      </w:r>
      <w:r>
        <w:softHyphen/>
        <w:t>hlasovou propagandu pro cizinu. Tehdy před deseti lety žádný jiný politický směr na světě nekl</w:t>
      </w:r>
      <w:r>
        <w:t>adl si takových úkolů, a tudíž nepotřeboval utrácet peníze na propagandu v cizině. Rusům zde výhodně poslou</w:t>
      </w:r>
      <w:r>
        <w:softHyphen/>
        <w:t>žila jejich zeměpisná poloha. Rozhlasovými stanicemi na ruských hranicích lze snadno obsáhnout celou Evropu, celou Asii a polovinu Afriky. Časový ro</w:t>
      </w:r>
      <w:r>
        <w:t xml:space="preserve">zdíl jim umožnil zařídit vysílání pro cizinu, aniž při tom musili omezit vysílání pro vlastní zemi. Když je v Rusku půlnoc, a Rusové jdou </w:t>
      </w:r>
      <w:r>
        <w:rPr>
          <w:lang w:val="en-US" w:eastAsia="en-US" w:bidi="en-US"/>
        </w:rPr>
        <w:t xml:space="preserve">spat, </w:t>
      </w:r>
      <w:r>
        <w:t>je ve střední Evropě teprve 10 hodin, a v západní 9 hodin večer, to jest doba nejlepší k vysílání na velké vzdál</w:t>
      </w:r>
      <w:r>
        <w:t>enosti, a doba, kdy Evropan ještě na spaní nepomýšlí. A tak už po dobu deseti let, když kremlský orloj odbíjí půlnoc, začnou ruské stanice vysílat tři hodiny večer co večer komunistickou propagandu ve všech aspoň trochu významných evropských a asijských ře</w:t>
      </w:r>
      <w:r>
        <w:t>čech.</w:t>
      </w:r>
    </w:p>
    <w:p w:rsidR="00500724" w:rsidRDefault="00F30FB8">
      <w:pPr>
        <w:pStyle w:val="Zkladntext20"/>
        <w:shd w:val="clear" w:color="auto" w:fill="auto"/>
        <w:spacing w:after="80" w:line="202" w:lineRule="auto"/>
        <w:ind w:firstLine="0"/>
        <w:jc w:val="center"/>
      </w:pPr>
      <w:r>
        <w:t>Hier ist der deutsche Rundfunk!</w:t>
      </w:r>
    </w:p>
    <w:p w:rsidR="00500724" w:rsidRDefault="00F30FB8">
      <w:pPr>
        <w:pStyle w:val="Zkladntext20"/>
        <w:shd w:val="clear" w:color="auto" w:fill="auto"/>
      </w:pPr>
      <w:r>
        <w:t>Ale jako mnoho jiných věcí na světě nabyla myšlen</w:t>
      </w:r>
      <w:r>
        <w:softHyphen/>
        <w:t>ka, zrozena v Rusku, technicky zdokonalena Ameri</w:t>
      </w:r>
      <w:r>
        <w:softHyphen/>
        <w:t>čany, plného rozmachu teprve v Německu. Ruská pro</w:t>
      </w:r>
      <w:r>
        <w:softHyphen/>
        <w:t>paganda totiž měla a má mnoho nedostatků. Je po</w:t>
      </w:r>
      <w:r>
        <w:softHyphen/>
        <w:t>někud jednotvárná, je</w:t>
      </w:r>
      <w:r>
        <w:t xml:space="preserve"> příliš stranická, je zatížena komunistickou stranickou hantýrkou, nezasvěcenému člověku často nesrozumitelnou, a dosud ještě nikdy nepoužila největšího kouzla, které má rozhlasová pro</w:t>
      </w:r>
      <w:r>
        <w:softHyphen/>
        <w:t>paganda k disposici: přímého styku politického vůdce s masami lidu. Buď</w:t>
      </w:r>
      <w:r>
        <w:t xml:space="preserve"> proto, že rozšíření rozhlasu přišlo </w:t>
      </w:r>
      <w:r>
        <w:rPr>
          <w:b/>
          <w:bCs/>
          <w:sz w:val="26"/>
          <w:szCs w:val="26"/>
        </w:rPr>
        <w:t xml:space="preserve">v </w:t>
      </w:r>
      <w:r>
        <w:t>době, kdy revoluční expansivnost komunismu už značně vyprchala, nebo proto, že nynější vůdcové so</w:t>
      </w:r>
      <w:r>
        <w:softHyphen/>
        <w:t>větů jsou lidé málomluvní, anebo z nějakého jiného neznámého důvodu — ale dosud se ještě nestalo, aby Stalin, nebo někd</w:t>
      </w:r>
      <w:r>
        <w:t>o jiný z moskevských anebo kominternovských předáků promluvil přímo do roz</w:t>
      </w:r>
      <w:r>
        <w:softHyphen/>
        <w:t>hlasu. Jejich řeči, pronášené v stranických nebo státních koncilech, se buď nahrávají na zvukový pás, nebo předčítají se v rozhlase.</w:t>
      </w:r>
    </w:p>
    <w:p w:rsidR="00500724" w:rsidRDefault="00F30FB8">
      <w:pPr>
        <w:pStyle w:val="Zkladntext20"/>
        <w:shd w:val="clear" w:color="auto" w:fill="auto"/>
        <w:spacing w:line="202" w:lineRule="auto"/>
      </w:pPr>
      <w:r>
        <w:t>Že se tím mnoho ztrácí na působivosti — to pocho</w:t>
      </w:r>
      <w:r>
        <w:t>pil teprve německý nacionální socialismus. Politická roz</w:t>
      </w:r>
      <w:r>
        <w:softHyphen/>
        <w:t>hlasová propaganda stala se evropským problémem teprve r. 1933, když německý nacionální socialismus uchopil se moci. Teď teprve byl rozhlas zcela a úplně postaven do služeb jedné politické myšlenky —</w:t>
      </w:r>
      <w:r>
        <w:t xml:space="preserve"> se vší německou důkladností, vynalézavostí a mnoho</w:t>
      </w:r>
      <w:r>
        <w:softHyphen/>
        <w:t>stranností. Neboť rozhlas má úžasné možnosti. Seděli jste u svého rozhlasového přijímače večer 13. března nebo 2. října loňského roku? Poslouchali jste Vídeň nebo Lipsko, slyšeli jste jásot davů, vítající</w:t>
      </w:r>
      <w:r>
        <w:t>ch němec</w:t>
      </w:r>
      <w:r>
        <w:softHyphen/>
        <w:t>kou armádu, pochodující do Rakouska nebo do Sudet, slyšeli jste rozčilené, chvějící se a před mikrofonem nejisté hlasy náhodných mužů a žen z lidu, kteří byli pozváni k mikrofonu, aby svým někdy nesrozumitel</w:t>
      </w:r>
      <w:r>
        <w:softHyphen/>
        <w:t>ným německým dialektem vyprávěli o svýc</w:t>
      </w:r>
      <w:r>
        <w:t>h citech a dojmech? Anebo zaslechli jste vzrušující okamžik před velkou řečí Vůdcovou, kdy do mikrofonů doléhá hlučení shromážděného davu, očekávajícího projev a hlasatel německy, anglicky a Španělsky efektně vy</w:t>
      </w:r>
      <w:r>
        <w:softHyphen/>
        <w:t>počítává desítky evropských, asijských a ame</w:t>
      </w:r>
      <w:r>
        <w:t>rických rozhlasových společností, které se přihlásily k přenosu projevu?</w:t>
      </w:r>
    </w:p>
    <w:p w:rsidR="00500724" w:rsidRDefault="00F30FB8">
      <w:pPr>
        <w:pStyle w:val="Zkladntext20"/>
        <w:shd w:val="clear" w:color="auto" w:fill="auto"/>
        <w:spacing w:after="40" w:line="202" w:lineRule="auto"/>
      </w:pPr>
      <w:r>
        <w:t>Teď teprve pochopily význam rozhlasu i jiné moc</w:t>
      </w:r>
      <w:r>
        <w:softHyphen/>
        <w:t>nosti. Teď teprve byl rozhlas zapřažen do propagandy ve všech ostatních státech. Teď teprve vynikla úžasná zpravodajská rychlost rozhla</w:t>
      </w:r>
      <w:r>
        <w:t>su. Četl jsem nedávno někde, že před 100 lety trvalo plných 38 dní, než došla do Londýna zpráva o katastrofě nějaké lodi v afric</w:t>
      </w:r>
      <w:r>
        <w:softHyphen/>
        <w:t>kých vodách. Dnes to netrvá ani 38 vteřin, a řeč pro</w:t>
      </w:r>
      <w:r>
        <w:softHyphen/>
        <w:t>nášena v berlínské Krollově opeře je známá na celé zeměkouli.</w:t>
      </w:r>
    </w:p>
    <w:p w:rsidR="00500724" w:rsidRDefault="00F30FB8">
      <w:pPr>
        <w:pStyle w:val="Zkladntext20"/>
        <w:shd w:val="clear" w:color="auto" w:fill="auto"/>
        <w:spacing w:after="40" w:line="202" w:lineRule="auto"/>
        <w:ind w:firstLine="0"/>
        <w:jc w:val="center"/>
      </w:pPr>
      <w:r>
        <w:t>Souboj v éte</w:t>
      </w:r>
      <w:r>
        <w:t>ru</w:t>
      </w:r>
    </w:p>
    <w:p w:rsidR="00500724" w:rsidRDefault="00F30FB8">
      <w:pPr>
        <w:pStyle w:val="Zkladntext20"/>
        <w:shd w:val="clear" w:color="auto" w:fill="auto"/>
        <w:spacing w:after="40" w:line="202" w:lineRule="auto"/>
      </w:pPr>
      <w:r>
        <w:t>Kdysi v středověku se konaly řečnické turnaje. Když král Zikmund přitáhl před husitskou Prahu, konal se před bojem u vrchu Vítkova učený souboj, disputace mezi kněžími pod obojí a katolickými dok</w:t>
      </w:r>
      <w:r>
        <w:softHyphen/>
        <w:t>tory, a vojska přichystaná k boji naslouchala této de</w:t>
      </w:r>
      <w:r>
        <w:softHyphen/>
        <w:t>bat</w:t>
      </w:r>
      <w:r>
        <w:t>ě. Byla to politická propaganda a je zajímavé, že si Husité vynutili, aby latinské projevy byly ihned překládány posluchačům do češtiny, němčiny a ma</w:t>
      </w:r>
      <w:r>
        <w:softHyphen/>
        <w:t>ďarštiny, to jest do mateřských řečí královských vo</w:t>
      </w:r>
      <w:r>
        <w:softHyphen/>
        <w:t>jáků. Pak byla tato forma politické propagandy na dlou</w:t>
      </w:r>
      <w:r>
        <w:t>hou dobu zapomenuta. Až ji rozhlas vzkřísil zno</w:t>
      </w:r>
      <w:r>
        <w:softHyphen/>
        <w:t>vu k životu v nebývalých rozměrech. Neboť dnes slyší</w:t>
      </w:r>
      <w:r>
        <w:softHyphen/>
        <w:t>me rovněž politické disputace v rozhlase — ovšem v mnohem větším rozměru, tak říkajíc v světovém měřítku, a nemusíme proto ani k vrchu Vítkovu, mů</w:t>
      </w:r>
      <w:r>
        <w:softHyphen/>
        <w:t>žeme poh</w:t>
      </w:r>
      <w:r>
        <w:t xml:space="preserve">odlně sedět v lenošce, anebo ležet v posteli u sebe doma. Dnes promluví do rozhlasu Adolf Hitler. Zítra mu odpovídá Josef </w:t>
      </w:r>
      <w:r>
        <w:rPr>
          <w:lang w:val="en-US" w:eastAsia="en-US" w:bidi="en-US"/>
        </w:rPr>
        <w:t xml:space="preserve">Beck. </w:t>
      </w:r>
      <w:r>
        <w:t xml:space="preserve">Pozítří mluví Daladier. Pak mu odpovídá </w:t>
      </w:r>
      <w:r>
        <w:rPr>
          <w:lang w:val="en-US" w:eastAsia="en-US" w:bidi="en-US"/>
        </w:rPr>
        <w:t xml:space="preserve">Mussolini. </w:t>
      </w:r>
      <w:r>
        <w:t xml:space="preserve">Potom mluví </w:t>
      </w:r>
      <w:r>
        <w:rPr>
          <w:lang w:val="en-US" w:eastAsia="en-US" w:bidi="en-US"/>
        </w:rPr>
        <w:t xml:space="preserve">Chamber- lain. </w:t>
      </w:r>
      <w:r>
        <w:t>Pak zas svět očekává projev Molotovův. Pak bude ml</w:t>
      </w:r>
      <w:r>
        <w:t>uvit Roosevelt. Atd., atd. A hned jak domluví státník, pronesou řeč ochotně překladatelé několikrát v naší mateřštině, nebo v nějaké jiné nám srozumitel</w:t>
      </w:r>
      <w:r>
        <w:softHyphen/>
        <w:t>né řeči.</w:t>
      </w:r>
    </w:p>
    <w:p w:rsidR="00500724" w:rsidRDefault="00F30FB8">
      <w:pPr>
        <w:pStyle w:val="Zkladntext20"/>
        <w:shd w:val="clear" w:color="auto" w:fill="auto"/>
        <w:spacing w:after="40" w:line="202" w:lineRule="auto"/>
        <w:ind w:firstLine="0"/>
        <w:jc w:val="center"/>
      </w:pPr>
      <w:r>
        <w:t>Krátké vlny</w:t>
      </w:r>
    </w:p>
    <w:p w:rsidR="00500724" w:rsidRDefault="00F30FB8">
      <w:pPr>
        <w:pStyle w:val="Zkladntext20"/>
        <w:shd w:val="clear" w:color="auto" w:fill="auto"/>
        <w:spacing w:line="202" w:lineRule="auto"/>
      </w:pPr>
      <w:r>
        <w:t>Pokud jsou veliké úkoly, jež rozhlasu ukládá poli</w:t>
      </w:r>
      <w:r>
        <w:softHyphen/>
        <w:t>tická propaganda, prováděny vysí</w:t>
      </w:r>
      <w:r>
        <w:t>lacími stanicemi na středních a dlouhých vlnách, nepřináší s sebou toto speciální poslání nic nového. Používá se tu běžných rozhlasových vysilačů s dosahem asi do 1000 km, je</w:t>
      </w:r>
      <w:r>
        <w:softHyphen/>
        <w:t>jichž činnost i zvláštnosti zná každý posluchač. Aby však bylo možno rozšířiti do</w:t>
      </w:r>
      <w:r>
        <w:t>sah vysilače po celé zemi a zasáhnouti jeho pořadem kteroukoli její část a dále, aby bylo možno podle potřeby utajiti původ vysílání nebo umístění stanice, je nutno použiti vysílání na vlnách krátkých. Jsou to vlny mezi 10 až 100 m délky a liší se podstatn</w:t>
      </w:r>
      <w:r>
        <w:t>ě od vln rozhlasových, jejichž délka je od 200 do 2000 m. Z pozoruhodných zvláštností rozhlasu na krátkých vlnách jsou nejzajímavější tři: veliký dosah, který vystačí i pro největší vzdálenost na zeměkouli při poměrně malé spotřebované energii, dále možnos</w:t>
      </w:r>
      <w:r>
        <w:t>t zaměřiti vysílání na určitý okrsek, mimo nějž je možnost poslechu velmi omezena, a konečně schopnost vyhnouti se vzájemnému rušení, které je tak časté na vlnách středních a dlouhých.</w:t>
      </w:r>
    </w:p>
    <w:p w:rsidR="00500724" w:rsidRDefault="00F30FB8">
      <w:pPr>
        <w:pStyle w:val="Zkladntext20"/>
        <w:shd w:val="clear" w:color="auto" w:fill="auto"/>
        <w:spacing w:line="202" w:lineRule="auto"/>
        <w:ind w:firstLine="280"/>
      </w:pPr>
      <w:r>
        <w:t>Veliký dosah krátkovlného vysilače překvapuje zejména při srovnání s vl</w:t>
      </w:r>
      <w:r>
        <w:t>nami delšími. U těch slyšíme pořad vysilače tím lépe, čím jsme mu blíže a s rostoucí vzdáleností od něho síla poslechu téměř úměrně klesá. U krátkých vln je to složitější: také zde máme okrsek, v němž je tomu podobně, ten je však malý a zřídka přesahuje ob</w:t>
      </w:r>
      <w:r>
        <w:t>last, kterou při stanovišti na vysílací anténě omezuje viditelný obzor. To tedy znamená, že krátkovlný vysilač má dosah sotva několik desítek kilometrů proti několika stům i tisícům na vlnách středních. Jenže to není všecko. Když se totiž vzdálí</w:t>
      </w:r>
      <w:r>
        <w:softHyphen/>
        <w:t>me ještě z</w:t>
      </w:r>
      <w:r>
        <w:t>načně více, zachytíme stanici znovu, a to po případě silněji, než v poměrné blízkosti.</w:t>
      </w:r>
    </w:p>
    <w:p w:rsidR="00500724" w:rsidRDefault="00F30FB8">
      <w:pPr>
        <w:pStyle w:val="Zkladntext20"/>
        <w:shd w:val="clear" w:color="auto" w:fill="auto"/>
        <w:spacing w:after="100" w:line="202" w:lineRule="auto"/>
        <w:ind w:firstLine="280"/>
      </w:pPr>
      <w:r>
        <w:t>Připojený obrázek vysvětluje, jak se věci mají. Elektromagnetické vlny, které vystupují z antény vy</w:t>
      </w:r>
      <w:r>
        <w:softHyphen/>
        <w:t>silače, šíří se dílem směrem k povrchu země — vlny přízemní — a dílem</w:t>
      </w:r>
      <w:r>
        <w:t xml:space="preserve"> od země do světového prostoru — vlny prostorové. Vlny přízemní určují dosah vnitř</w:t>
      </w:r>
      <w:r>
        <w:softHyphen/>
        <w:t>ního pásma a protože čím kratší je délka vlny, tím podobnější jsou její vlastnosti záření světelnému, je dosah přízemní vlny omezen téměř jen obzorem. Avšak ani vlny prostor</w:t>
      </w:r>
      <w:r>
        <w:t>ové nejsou nadobro ztraceny, neboť se ve výši 100 až 300 km nad povrchem Země setkají s vrstvou, jež na ně působí jako zrcadlo na světlo a odráží je zpět. Odrazů může být i několik po sobě, takže vlny jako by cestovaly v prostředí, jež je tlumí jen velmi n</w:t>
      </w:r>
      <w:r>
        <w:t>epatrně. Proto mohou dostihnouti až úze</w:t>
      </w:r>
      <w:r>
        <w:softHyphen/>
        <w:t>mí protinožců bez velké ztráty energie a mohou tam být zachyceny tak silně, jako u samého vysilače. Po</w:t>
      </w:r>
      <w:r>
        <w:softHyphen/>
        <w:t>dobný případ známe i z jiného oboru: mluví-li řečník na volném prostranství, tu veliká část zvukové energie se vy</w:t>
      </w:r>
      <w:r>
        <w:t>září do prostoru směrem vzhůru, kde nikdo není; v uzavřené a vhodně upravené síni vrhají však stěny zvuk zpět a pak slyší řečníkův hlas daleko větší počet účastníků, než venku.</w:t>
      </w:r>
    </w:p>
    <w:p w:rsidR="00500724" w:rsidRDefault="00F30FB8">
      <w:pPr>
        <w:pStyle w:val="Zkladntext20"/>
        <w:shd w:val="clear" w:color="auto" w:fill="auto"/>
        <w:spacing w:after="100" w:line="202" w:lineRule="auto"/>
        <w:ind w:firstLine="0"/>
        <w:jc w:val="center"/>
      </w:pPr>
      <w:r>
        <w:t>Zeměkoule v moci radiových vln</w:t>
      </w:r>
    </w:p>
    <w:p w:rsidR="00500724" w:rsidRDefault="00F30FB8">
      <w:pPr>
        <w:pStyle w:val="Zkladntext20"/>
        <w:shd w:val="clear" w:color="auto" w:fill="auto"/>
        <w:ind w:firstLine="280"/>
      </w:pPr>
      <w:r>
        <w:t>Je vidět, že pro krátkovlný rozhlas má význam až</w:t>
      </w:r>
      <w:r>
        <w:t xml:space="preserve"> ono druhé pásmo poslechu, velmi vzdálené od vysila</w:t>
      </w:r>
      <w:r>
        <w:softHyphen/>
        <w:t>če, neboť na menší vzdálenost vyhoví lépe vlny střed</w:t>
      </w:r>
      <w:r>
        <w:softHyphen/>
        <w:t>ní. Na čem však záleží poloměr vnějšího obvodu pásma ticha, který určuje dosah vysilače? Nejdůleži</w:t>
      </w:r>
      <w:r>
        <w:softHyphen/>
        <w:t>tější jsou dva činitelé: délka vlny a denní doba. Po</w:t>
      </w:r>
      <w:r>
        <w:t>dle pokusů bylo stanoveno pro každou denní dobu a pro každou vzdálenost vhodné pásmo vlnových délek, takže rozhlasový technik může už předem určití, — ovšem jen přibližně — kde bude vysílaný pořad dobře slyšeti.</w:t>
      </w:r>
    </w:p>
    <w:p w:rsidR="00500724" w:rsidRDefault="00F30FB8">
      <w:pPr>
        <w:pStyle w:val="Zkladntext20"/>
        <w:shd w:val="clear" w:color="auto" w:fill="auto"/>
        <w:spacing w:after="100" w:line="223" w:lineRule="auto"/>
        <w:ind w:firstLine="280"/>
        <w:rPr>
          <w:sz w:val="19"/>
          <w:szCs w:val="19"/>
        </w:rPr>
      </w:pPr>
      <w:r>
        <w:t>V pořadech krátkovlných stanic nacházíme vša</w:t>
      </w:r>
      <w:r>
        <w:t xml:space="preserve">k označení ještě bližší: pro Severní Ameriku, pro Jižní Afriku, pro nejzazší Východ a p. Je vidět, že je nějaký způsob k tomu, jak určití nejenom vzdálenost, nýbrž i směr, kterým mají krátké vlny putovat. Děje se to t. zv. směrovými anténami, které vrhají </w:t>
      </w:r>
      <w:r>
        <w:t>elektro</w:t>
      </w:r>
      <w:r>
        <w:softHyphen/>
        <w:t xml:space="preserve">magnetické vlny soustředěné do úzkého svazku přesně žádaným směrem. Výhoda takovéto úpravy je zřejmá: ušetří se tak energie, stejně jako vystačíme s menší žárovkou u reflektoru auta, vrhneme-li její světlo to- </w:t>
      </w:r>
      <w:r>
        <w:rPr>
          <w:b/>
          <w:bCs/>
          <w:i/>
          <w:iCs/>
          <w:sz w:val="19"/>
          <w:szCs w:val="19"/>
        </w:rPr>
        <w:t>356</w:t>
      </w:r>
    </w:p>
    <w:p w:rsidR="00500724" w:rsidRDefault="00F30FB8">
      <w:pPr>
        <w:pStyle w:val="Zkladntext40"/>
        <w:shd w:val="clear" w:color="auto" w:fill="auto"/>
        <w:spacing w:line="240" w:lineRule="auto"/>
        <w:jc w:val="right"/>
      </w:pPr>
      <w:r>
        <w:t>Archiv Přítomnosti. Praha</w:t>
      </w:r>
    </w:p>
    <w:p w:rsidR="00500724" w:rsidRDefault="00F30FB8">
      <w:pPr>
        <w:pStyle w:val="Zkladntext20"/>
        <w:shd w:val="clear" w:color="auto" w:fill="auto"/>
        <w:spacing w:after="320" w:line="182" w:lineRule="auto"/>
        <w:ind w:firstLine="0"/>
        <w:rPr>
          <w:sz w:val="20"/>
          <w:szCs w:val="20"/>
        </w:rPr>
      </w:pPr>
      <w:r>
        <w:rPr>
          <w:i/>
          <w:iCs/>
          <w:sz w:val="20"/>
          <w:szCs w:val="20"/>
        </w:rPr>
        <w:t>Schematický náčrtek vzniku dvou poslechových oblasti u krátkých vln. Vlny přízemni (a.) určují poměrně malou oblast 1., vlny prostorové dostihnou Zemi po odrazu na ioni- sovavé vrstvě a mají dosah mnohokráte větši.</w:t>
      </w:r>
    </w:p>
    <w:p w:rsidR="00500724" w:rsidRDefault="00F30FB8">
      <w:pPr>
        <w:pStyle w:val="Zkladntext20"/>
        <w:shd w:val="clear" w:color="auto" w:fill="auto"/>
        <w:spacing w:after="100" w:line="202" w:lineRule="auto"/>
        <w:ind w:firstLine="0"/>
      </w:pPr>
      <w:r>
        <w:t>liko tím směrem, kde je potřebujeme. Svaz</w:t>
      </w:r>
      <w:r>
        <w:t>ky, vysí</w:t>
      </w:r>
      <w:r>
        <w:softHyphen/>
        <w:t>lané moderními anténními sítěmi, jsou skutečně tak úzké a tak přesně zamířené, že svrchu uvedená ozna</w:t>
      </w:r>
      <w:r>
        <w:softHyphen/>
        <w:t>čení, i když se vztahují na oblasti poměrně malé a hodně vzdálené, znamenají vskutku nejen zájmové, nýbrž i lokální obmezení vysílaného pořadu. J</w:t>
      </w:r>
      <w:r>
        <w:t>e ovšem třeba připomenout, že šíření elektromagnetických vln není pochod nikterak exaktní. Jeho podmínky se mění s roční dobou, se stavem atmosféry, s fází slu</w:t>
      </w:r>
      <w:r>
        <w:softHyphen/>
        <w:t>nečních skvrn a s řadou dalších činitelů a proto je nezbytné ustavičně kontrolovat!, zda je žáda</w:t>
      </w:r>
      <w:r>
        <w:t>ných vý</w:t>
      </w:r>
      <w:r>
        <w:softHyphen/>
        <w:t>sledků také skutečně dosaženo. Směrové vysílání ne</w:t>
      </w:r>
      <w:r>
        <w:softHyphen/>
        <w:t>může také s naprostou jistotou vyloučiti poslech v jiné než žádané oblasti; to však zpravidla ani není nezbyt</w:t>
      </w:r>
      <w:r>
        <w:softHyphen/>
        <w:t>né a jde hlavně o větší dosah a úsporu energie.</w:t>
      </w:r>
    </w:p>
    <w:p w:rsidR="00500724" w:rsidRDefault="00F30FB8">
      <w:pPr>
        <w:pStyle w:val="Zkladntext20"/>
        <w:shd w:val="clear" w:color="auto" w:fill="auto"/>
        <w:spacing w:after="60" w:line="202" w:lineRule="auto"/>
        <w:ind w:firstLine="0"/>
        <w:jc w:val="center"/>
      </w:pPr>
      <w:r>
        <w:t>Rušení</w:t>
      </w:r>
    </w:p>
    <w:p w:rsidR="00500724" w:rsidRDefault="00F30FB8">
      <w:pPr>
        <w:pStyle w:val="Zkladntext20"/>
        <w:shd w:val="clear" w:color="auto" w:fill="auto"/>
        <w:spacing w:line="202" w:lineRule="auto"/>
      </w:pPr>
      <w:r>
        <w:t xml:space="preserve">Otázka vzájemného rušení, jehož </w:t>
      </w:r>
      <w:r>
        <w:t>četné příklady v podobě hvizdů a tremol, po případě »kombinova- ných« pořadů známe z poslechu na středních vlnách, je na vlnách krátkých složitější o to, že tu často do</w:t>
      </w:r>
      <w:r>
        <w:softHyphen/>
        <w:t>chází k rušení úmyslnému, jímž má být v určité oblasti omezen poslech některého vysilač</w:t>
      </w:r>
      <w:r>
        <w:t>e. Úkol rušiti vysilač není však snadno splnitelný, s výjimkou úzké oblasti kolem rušitele. Hlavní příčina obtížnosti spočí</w:t>
      </w:r>
      <w:r>
        <w:softHyphen/>
        <w:t xml:space="preserve">vá v tom, že mezi 10 až 100 m je možno umístit 2700 vzájemně nerušených stanic, kdežto mezi 200 až 2000 m vejde se jich za stejných </w:t>
      </w:r>
      <w:r>
        <w:t>podminek toliko 135. Jinak je také těžké udržeti vlnu rušitele těsně na vlně rušené, neboť poměrné odchylky, které stačí k tomu, aby rušení bylo neúčinné, jsou velmi malé. Konečně se tu uplatňuje i ta okolnost, že také rušitel má svoje pásmo ticha a může s</w:t>
      </w:r>
      <w:r>
        <w:t>e stát, že jeho část padne právě tam, kde má být poslech znemožněn.</w:t>
      </w:r>
    </w:p>
    <w:p w:rsidR="00500724" w:rsidRDefault="00F30FB8">
      <w:pPr>
        <w:pStyle w:val="Zkladntext20"/>
        <w:shd w:val="clear" w:color="auto" w:fill="auto"/>
        <w:spacing w:line="202" w:lineRule="auto"/>
        <w:ind w:firstLine="280"/>
      </w:pPr>
      <w:r>
        <w:t xml:space="preserve">S možností velkého dosahu při malém výkonu a spotřebě vysílacího zařízení souvisí </w:t>
      </w:r>
      <w:r>
        <w:rPr>
          <w:b/>
          <w:bCs/>
        </w:rPr>
        <w:t xml:space="preserve">i </w:t>
      </w:r>
      <w:r>
        <w:t>problém t. zv. černých vysílaček, které nedávno v několika přípa</w:t>
      </w:r>
      <w:r>
        <w:softHyphen/>
        <w:t>dech vzrušily naši i cizí veřejnost. Je</w:t>
      </w:r>
      <w:r>
        <w:t xml:space="preserve"> známo, že výkon</w:t>
      </w:r>
      <w:r>
        <w:softHyphen/>
        <w:t xml:space="preserve">ný vysilač, který stačí bezpečně pro spojení na 500 </w:t>
      </w:r>
      <w:r>
        <w:rPr>
          <w:b/>
          <w:bCs/>
        </w:rPr>
        <w:t xml:space="preserve">i </w:t>
      </w:r>
      <w:r>
        <w:t>více km, vejde se i s potřebnými zdroji energie do nevelkého kufříku. Stejně je však jisto, že podobná stanice pro účely rozhlasové, jejíž pořad má být možno zachytit na běžné přijimače</w:t>
      </w:r>
      <w:r>
        <w:t>, nemůže mít tako</w:t>
      </w:r>
      <w:r>
        <w:softHyphen/>
        <w:t>výto minimální výkon a že tedy je sotva možné umístiti podobný vysilač v autu tak, aby nebyl naráz nápadný. Také anténa, která nezbytně musí mít urči</w:t>
      </w:r>
      <w:r>
        <w:softHyphen/>
        <w:t>tou výšku, byla by vždy nápadným znakem. Proto je pravděpodobné, že jsoucnost těchto čer</w:t>
      </w:r>
      <w:r>
        <w:t>ných vysíla</w:t>
      </w:r>
      <w:r>
        <w:softHyphen/>
        <w:t>ček byla patrně jen předstírána a že to ve skutečnosti byly normální stanice rozhlasové na místě docela jiném.</w:t>
      </w:r>
    </w:p>
    <w:p w:rsidR="00500724" w:rsidRDefault="00F30FB8">
      <w:pPr>
        <w:pStyle w:val="Zkladntext20"/>
        <w:shd w:val="clear" w:color="auto" w:fill="auto"/>
        <w:spacing w:line="202" w:lineRule="auto"/>
        <w:ind w:firstLine="0"/>
        <w:jc w:val="center"/>
      </w:pPr>
      <w:r>
        <w:t>Babylonský zmatek</w:t>
      </w:r>
    </w:p>
    <w:p w:rsidR="00500724" w:rsidRDefault="00F30FB8">
      <w:pPr>
        <w:pStyle w:val="Zkladntext20"/>
        <w:shd w:val="clear" w:color="auto" w:fill="auto"/>
        <w:spacing w:line="202" w:lineRule="auto"/>
        <w:ind w:firstLine="280"/>
      </w:pPr>
      <w:r>
        <w:t>Když chtěl Hospodin ztrestat zpyšnělé lidstvo, které si vymyslilo stavbu věže, která měla sahat do nebe, vnutil kaž</w:t>
      </w:r>
      <w:r>
        <w:t>dému dělníkovi jinou řeč, takže si stavitelé navzájem nerozuměli a musili stavby nechat. Stalo se to před několika tisíciletími v Babylóně. Když chtěl Hospodin ztrestat zpyšnělé lidstvo, které si vy</w:t>
      </w:r>
      <w:r>
        <w:softHyphen/>
        <w:t>myslilo rozhlas a zejména krátké vlny, použil stejného pr</w:t>
      </w:r>
      <w:r>
        <w:t>ostředku a ... nebylo to nic plátno. Babylonský zmatek jazyků sice vládne na rozhlasové krátkovlné stupnici — ale lidé to přes to rádi poslouchají. Jenže člověk musí při tom být opatrný, a muž nezkušený v úskocích politické propagandy snadno zabloudí. Když</w:t>
      </w:r>
      <w:r>
        <w:t xml:space="preserve"> uslyší z amplionu zpěvnou řeč Dantovu, může vsadit sto proti deseti, že hlas, mluvící touto řečí, ne</w:t>
      </w:r>
      <w:r>
        <w:softHyphen/>
        <w:t>vychází z budovy na Via Arsenale v Turině, nýbrž třeba z moskevské Petrovky. Právě tak hlas mluvící třeba řečí Goethovou nevychází z berlínského Charlot</w:t>
      </w:r>
      <w:r>
        <w:softHyphen/>
        <w:t>t</w:t>
      </w:r>
      <w:r>
        <w:t xml:space="preserve">enburgu, nýbrž třeba z londýnského </w:t>
      </w:r>
      <w:r>
        <w:rPr>
          <w:lang w:val="en-US" w:eastAsia="en-US" w:bidi="en-US"/>
        </w:rPr>
        <w:t xml:space="preserve">Portland Place. </w:t>
      </w:r>
      <w:r>
        <w:t>To co bylo ještě před pěti lety monopolem komunistic</w:t>
      </w:r>
      <w:r>
        <w:softHyphen/>
        <w:t>kého Ruska — propagační vysílání v cizích řečech — to se stalo od doby objevení krátkých vln prostřed</w:t>
      </w:r>
      <w:r>
        <w:softHyphen/>
        <w:t xml:space="preserve">kem používaným téměř všude a proniklo </w:t>
      </w:r>
      <w:r>
        <w:rPr>
          <w:b/>
          <w:bCs/>
        </w:rPr>
        <w:t xml:space="preserve">i </w:t>
      </w:r>
      <w:r>
        <w:t>do roz</w:t>
      </w:r>
      <w:r>
        <w:softHyphen/>
        <w:t>hla</w:t>
      </w:r>
      <w:r>
        <w:t>su na středních a dlouhých vlnách.</w:t>
      </w:r>
    </w:p>
    <w:p w:rsidR="00500724" w:rsidRDefault="00F30FB8">
      <w:pPr>
        <w:pStyle w:val="Zkladntext20"/>
        <w:shd w:val="clear" w:color="auto" w:fill="auto"/>
        <w:spacing w:after="40" w:line="202" w:lineRule="auto"/>
        <w:ind w:firstLine="280"/>
      </w:pPr>
      <w:r>
        <w:t>Nejdokonaleji napodobili v tomto směru Rusy Ita</w:t>
      </w:r>
      <w:r>
        <w:softHyphen/>
        <w:t>lové. Italské krátkovlné stanice vysílají francouzský, německy, anglicky, polský, česky, srbsky, albánsky, řecký, turecky, rumunský, bulharský, dánský, arab</w:t>
      </w:r>
      <w:r>
        <w:softHyphen/>
        <w:t>sky, čínsky, jap</w:t>
      </w:r>
      <w:r>
        <w:t>onsky, Španělsky, portugalský, hindu</w:t>
      </w:r>
      <w:r>
        <w:softHyphen/>
        <w:t>stánsky. Ba, Italové jsou jediní (ku podivu jediní!), kteří obrátili zbraň rozhlasové propagandy proti Ru</w:t>
      </w:r>
      <w:r>
        <w:softHyphen/>
        <w:t>sům, a vysílají denně také ruský. Francouzové použí</w:t>
      </w:r>
      <w:r>
        <w:softHyphen/>
        <w:t xml:space="preserve">vají rovněž všech těchto řečí. Američané vysílají pro Evropu </w:t>
      </w:r>
      <w:r>
        <w:t>anglicky, francouzský, německy a italsky, pro jižní Ameriku Španělsky a portugalský, pro Asii čínsky, japonsky, malajský a nevím ještě jak. Němci vysílají anglicky, francouzský, Španělsky, portugal</w:t>
      </w:r>
      <w:r>
        <w:softHyphen/>
        <w:t>ský, holandský a od nedávná i francouzský a afrikán- sky (</w:t>
      </w:r>
      <w:r>
        <w:t>řeč jihoafrických Burů). Konservativní Angliča</w:t>
      </w:r>
      <w:r>
        <w:softHyphen/>
        <w:t>né, kteří se rozhoupali naposled, vysílají rovněž ně</w:t>
      </w:r>
      <w:r>
        <w:softHyphen/>
        <w:t>mecky, francouzský, italsky, Španělsky, portugalský, arabsky a afrikánsky. I takové Tokio má denně vy</w:t>
      </w:r>
      <w:r>
        <w:softHyphen/>
        <w:t>sílání pro Evropu v hlavních evropských řečech.</w:t>
      </w:r>
    </w:p>
    <w:p w:rsidR="00500724" w:rsidRDefault="00F30FB8">
      <w:pPr>
        <w:pStyle w:val="Zkladntext20"/>
        <w:shd w:val="clear" w:color="auto" w:fill="auto"/>
        <w:spacing w:after="40" w:line="202" w:lineRule="auto"/>
        <w:ind w:firstLine="0"/>
        <w:jc w:val="center"/>
      </w:pPr>
      <w:r>
        <w:t>Propag</w:t>
      </w:r>
      <w:r>
        <w:t>anda pro labužníky</w:t>
      </w:r>
    </w:p>
    <w:p w:rsidR="00500724" w:rsidRDefault="00F30FB8">
      <w:pPr>
        <w:pStyle w:val="Zkladntext20"/>
        <w:shd w:val="clear" w:color="auto" w:fill="auto"/>
        <w:spacing w:line="202" w:lineRule="auto"/>
        <w:ind w:firstLine="260"/>
      </w:pPr>
      <w:r>
        <w:t>Ovšem i politická propaganda může zevšeobecnět — zejména, když používá neustále stejných argumentů a v době, kdy se neděje v mezinárodní politice nic mi</w:t>
      </w:r>
      <w:r>
        <w:softHyphen/>
        <w:t xml:space="preserve">mořádného (tato druhá možnost se v poslední době vyskytuje ovšem velice zřídka). Tu </w:t>
      </w:r>
      <w:r>
        <w:t>má rozhlasová propaganda po ruce prostředky, jak přece vybičovat zájem posluchačů a donutit je, aby si vytočili přísluš</w:t>
      </w:r>
      <w:r>
        <w:softHyphen/>
        <w:t>nou stanici. Antikomintemovský trojúhelník na pří</w:t>
      </w:r>
      <w:r>
        <w:softHyphen/>
        <w:t>klad pořádá občas společné vysílání Berlín—Rím— Tokio. I posluchač, který njmá přímý z</w:t>
      </w:r>
      <w:r>
        <w:t>ájem o politi</w:t>
      </w:r>
      <w:r>
        <w:softHyphen/>
        <w:t>ku, a kterého by třeba nechala lhostejným řeč ně</w:t>
      </w:r>
      <w:r>
        <w:softHyphen/>
        <w:t>meckého a italského ministra, si určitě vytočí přísluš</w:t>
      </w:r>
      <w:r>
        <w:softHyphen/>
        <w:t>nou stanici, když ví, že po hymnách a německém a italském projevu uslyší řeč japonského státníka, pro</w:t>
      </w:r>
      <w:r>
        <w:softHyphen/>
        <w:t xml:space="preserve">nesenou japonsky. Slyšel jste někdy </w:t>
      </w:r>
      <w:r>
        <w:t>mluvit japonsky? Rozhodně ne! A nejste na to ani zvědav? Určitě ano! Tak si tedy vytočte toho a toho dne, v tu a tu hodinu Lipsko!</w:t>
      </w:r>
    </w:p>
    <w:p w:rsidR="00500724" w:rsidRDefault="00F30FB8">
      <w:pPr>
        <w:pStyle w:val="Zkladntext20"/>
        <w:shd w:val="clear" w:color="auto" w:fill="auto"/>
        <w:spacing w:after="140" w:line="202" w:lineRule="auto"/>
        <w:ind w:firstLine="260"/>
      </w:pPr>
      <w:r>
        <w:t>Anebo jede anglický král do Kanady. Víte už pře</w:t>
      </w:r>
      <w:r>
        <w:softHyphen/>
        <w:t>dem jak to bude, oficiální vítání, proslovy, vojenská přehlídka, odhalení pom</w:t>
      </w:r>
      <w:r>
        <w:t xml:space="preserve">níku a nejste na to ani </w:t>
      </w:r>
      <w:r>
        <w:rPr>
          <w:b/>
          <w:bCs/>
        </w:rPr>
        <w:t xml:space="preserve">za </w:t>
      </w:r>
      <w:r>
        <w:t>mák zvědav. Ale bude-li vám oznámeno, že kanadský rozhlas uspořádá hold světové anglické říše králi, a že tento hold budou přenášet dobře slyšitelné anglic</w:t>
      </w:r>
      <w:r>
        <w:softHyphen/>
        <w:t>ké stanice, a že uslyšíte při tom kanadskou farmářku ze Saskatchewanu, ry</w:t>
      </w:r>
      <w:r>
        <w:t>báře z New Foundlandu, stroj</w:t>
      </w:r>
      <w:r>
        <w:softHyphen/>
        <w:t>vůdce z Natalu v jižní Africe, horníka z Walesu, stu</w:t>
      </w:r>
      <w:r>
        <w:softHyphen/>
        <w:t>denta z Nového Zélandu (promluví maorijsky!), básní</w:t>
      </w:r>
      <w:r>
        <w:softHyphen/>
        <w:t>ka Rabindranatha Thakura z Indie a nádavkem od</w:t>
      </w:r>
      <w:r>
        <w:softHyphen/>
        <w:t>pověď anglického krále — pak musíte hodně ne</w:t>
      </w:r>
      <w:r>
        <w:softHyphen/>
        <w:t xml:space="preserve">návidět Anglii, abyste zůstal </w:t>
      </w:r>
      <w:r>
        <w:t>zatvrzelý k takovému labužnickému pořadu. Takové gala-programy se vy</w:t>
      </w:r>
      <w:r>
        <w:softHyphen/>
        <w:t>skytují ovšem zřídka, neboť jde při tom o překonání obrovských technických potíží, o dokonalou souhru, která má překonat časové a atmosferické rozdíly, o pečlivou režisérskou ruku — ale r</w:t>
      </w:r>
      <w:r>
        <w:t>ozhodně se vyplatí!</w:t>
      </w:r>
    </w:p>
    <w:p w:rsidR="00500724" w:rsidRDefault="00F30FB8">
      <w:pPr>
        <w:pStyle w:val="Jin0"/>
        <w:shd w:val="clear" w:color="auto" w:fill="auto"/>
        <w:spacing w:after="160"/>
        <w:ind w:firstLine="0"/>
        <w:jc w:val="left"/>
        <w:rPr>
          <w:sz w:val="44"/>
          <w:szCs w:val="44"/>
        </w:rPr>
      </w:pPr>
      <w:r>
        <w:rPr>
          <w:b/>
          <w:bCs/>
          <w:sz w:val="44"/>
          <w:szCs w:val="44"/>
          <w:u w:val="single"/>
        </w:rPr>
        <w:t>literatura a uměni</w:t>
      </w:r>
    </w:p>
    <w:p w:rsidR="00500724" w:rsidRDefault="00F30FB8">
      <w:pPr>
        <w:pStyle w:val="Zkladntext40"/>
        <w:shd w:val="clear" w:color="auto" w:fill="auto"/>
        <w:spacing w:after="40" w:line="240" w:lineRule="auto"/>
      </w:pPr>
      <w:r>
        <w:rPr>
          <w:b/>
          <w:bCs/>
          <w:i/>
          <w:iCs/>
        </w:rPr>
        <w:t>František Kožík:</w:t>
      </w:r>
    </w:p>
    <w:p w:rsidR="00500724" w:rsidRDefault="00F30FB8">
      <w:pPr>
        <w:pStyle w:val="Nadpis100"/>
        <w:shd w:val="clear" w:color="auto" w:fill="auto"/>
        <w:spacing w:line="233" w:lineRule="auto"/>
      </w:pPr>
      <w:bookmarkStart w:id="576" w:name="bookmark575"/>
      <w:r>
        <w:t>Humor v rozhlase</w:t>
      </w:r>
      <w:bookmarkEnd w:id="576"/>
    </w:p>
    <w:p w:rsidR="00500724" w:rsidRDefault="00F30FB8">
      <w:pPr>
        <w:pStyle w:val="Zkladntext20"/>
        <w:shd w:val="clear" w:color="auto" w:fill="auto"/>
        <w:spacing w:after="40" w:line="202" w:lineRule="auto"/>
        <w:ind w:left="100" w:firstLine="0"/>
        <w:jc w:val="center"/>
      </w:pPr>
      <w:r>
        <w:t>Pochmurná kapitola</w:t>
      </w:r>
    </w:p>
    <w:p w:rsidR="00500724" w:rsidRDefault="00F30FB8">
      <w:pPr>
        <w:pStyle w:val="Zkladntext20"/>
        <w:shd w:val="clear" w:color="auto" w:fill="auto"/>
        <w:spacing w:line="202" w:lineRule="auto"/>
        <w:ind w:firstLine="260"/>
      </w:pPr>
      <w:r>
        <w:t xml:space="preserve">Tento problém rozhlasu je nejtruchlivější ze všech; víme, co pokusů o rozhlasový humor selhalo a jak je mrzuté pokoušet se v tomto směru o nějakou teorii. Zbývá </w:t>
      </w:r>
      <w:r>
        <w:t>jediné; vysvětliti aspoň, proč je veselí v rozhlase tak málo a naznačit, co by se při dobré vůli dalo přece najít. Rozhlas je si dobře vědom, jak mocným činite</w:t>
      </w:r>
      <w:r>
        <w:softHyphen/>
        <w:t>lem je smích; »smích je esperanto. Nepochybuji, že s jeho pomocí by byla babylonská věž dostavěn</w:t>
      </w:r>
      <w:r>
        <w:t xml:space="preserve">a* </w:t>
      </w:r>
      <w:r>
        <w:rPr>
          <w:lang w:val="en-US" w:eastAsia="en-US" w:bidi="en-US"/>
        </w:rPr>
        <w:t>(Cocteau)</w:t>
      </w:r>
      <w:r>
        <w:t>. Neodvažujeme se ani myslet na babylon</w:t>
      </w:r>
      <w:r>
        <w:softHyphen/>
        <w:t>skou věž, stvořenou z rozhlasových vln všech stanic a tyčících se nad celým světem; stačí skromné po</w:t>
      </w:r>
      <w:r>
        <w:softHyphen/>
        <w:t>myšlení na vlastní pořad, který žízní po troše veselí.</w:t>
      </w:r>
    </w:p>
    <w:p w:rsidR="00500724" w:rsidRDefault="00F30FB8">
      <w:pPr>
        <w:pStyle w:val="Zkladntext20"/>
        <w:shd w:val="clear" w:color="auto" w:fill="auto"/>
        <w:spacing w:after="40" w:line="202" w:lineRule="auto"/>
        <w:ind w:firstLine="260"/>
        <w:sectPr w:rsidR="00500724">
          <w:footnotePr>
            <w:numFmt w:val="chicago"/>
            <w:numRestart w:val="eachPage"/>
          </w:footnotePr>
          <w:type w:val="continuous"/>
          <w:pgSz w:w="11909" w:h="16834"/>
          <w:pgMar w:top="850" w:right="866" w:bottom="890" w:left="656" w:header="0" w:footer="3" w:gutter="0"/>
          <w:cols w:num="2" w:space="136"/>
          <w:noEndnote/>
          <w:docGrid w:linePitch="360"/>
        </w:sectPr>
      </w:pPr>
      <w:r>
        <w:t>Jako ve filmu se v</w:t>
      </w:r>
      <w:r>
        <w:t>elcí komici stali zároveň hrdiny moderní doby, tak i v rozhlasu by je ten úděl neminul. Thema humoru v rozhlase je však nejtěžší, jež si lze představit. »Smutek sluší rozhlasu,* parafrazoval už před pěti lety v Přítomnosti Ivo Ducháček. To bylo v době, kdy</w:t>
      </w:r>
      <w:r>
        <w:t xml:space="preserve"> se ještě mnoho vedoucích zábavného pro</w:t>
      </w:r>
      <w:r>
        <w:softHyphen/>
        <w:t>gramu důvěřivě domnívalo, že rozesmějí své po-</w:t>
      </w:r>
    </w:p>
    <w:p w:rsidR="00500724" w:rsidRDefault="00F30FB8">
      <w:pPr>
        <w:pStyle w:val="Zkladntext20"/>
        <w:shd w:val="clear" w:color="auto" w:fill="auto"/>
        <w:spacing w:after="60" w:line="202" w:lineRule="auto"/>
        <w:ind w:firstLine="0"/>
      </w:pPr>
      <w:r>
        <w:t xml:space="preserve">sluchače. </w:t>
      </w:r>
      <w:r>
        <w:rPr>
          <w:b/>
          <w:bCs/>
          <w:sz w:val="26"/>
          <w:szCs w:val="26"/>
        </w:rPr>
        <w:t xml:space="preserve">Po </w:t>
      </w:r>
      <w:r>
        <w:t xml:space="preserve">vzoru BBC, zakládala se sbírka vtipů. Podle německého vzoru se zařaďovala »Lustspiel des Monats«, aby si posluchač mohl říci: hurá, zítra je veselohra! Ale </w:t>
      </w:r>
      <w:r>
        <w:t>naděje opadávaly jedna za druhou. Zpěváci i konferenciéři se otřeli, proslulé hvězdy zkla</w:t>
      </w:r>
      <w:r>
        <w:softHyphen/>
        <w:t>maly, lidé se nesmáli. Ukázalo se znovu, že humor je nejsubjektivnější věcí na světě; každý z nás má své vlastní mínění o tom, co je k smíchu. A pak — byly to právě v</w:t>
      </w:r>
      <w:r>
        <w:t>elké hvězdy divadla, které u nás i jinde učinily samy trpkou zkušenost, co chybí k tomu, aby se divák, změněný v posluchače, rozesmál: je to diva</w:t>
      </w:r>
      <w:r>
        <w:softHyphen/>
        <w:t>delní rampa.</w:t>
      </w:r>
    </w:p>
    <w:p w:rsidR="00500724" w:rsidRDefault="00F30FB8">
      <w:pPr>
        <w:pStyle w:val="Zkladntext20"/>
        <w:shd w:val="clear" w:color="auto" w:fill="auto"/>
        <w:spacing w:line="202" w:lineRule="auto"/>
        <w:ind w:firstLine="0"/>
        <w:jc w:val="center"/>
      </w:pPr>
      <w:r>
        <w:t>Smutek opuštěného posluchače</w:t>
      </w:r>
    </w:p>
    <w:p w:rsidR="00500724" w:rsidRDefault="00F30FB8">
      <w:pPr>
        <w:pStyle w:val="Zkladntext20"/>
        <w:shd w:val="clear" w:color="auto" w:fill="auto"/>
        <w:spacing w:line="202" w:lineRule="auto"/>
        <w:ind w:firstLine="280"/>
      </w:pPr>
      <w:r>
        <w:t>Nikdy se neprojeví nedostatek kontaktu herce s po</w:t>
      </w:r>
      <w:r>
        <w:softHyphen/>
        <w:t>sluchačem tak jako</w:t>
      </w:r>
      <w:r>
        <w:t xml:space="preserve"> při vysílání, jež má být veselé — a to tím spíš, že zde také chybí kontakt posluchače s posluchačem. V atmosféře množství vzniká smích za spontánní účasti všech přítomných; jedno zahlaholení smíchu rozpoutá souhlasný řehot celého hlediště. Smějte se mezi </w:t>
      </w:r>
      <w:r>
        <w:t>ostatními a je vám dobře. Ale když vás rozesadí do malých světniček, každého zvlášť —- je to skoro totéž jako kdyby vás umístili docela samotného v hledišti skutečného divadla; je z vás důstojný, blaseovaný, nudící se jednotlivec. Ani rodi</w:t>
      </w:r>
      <w:r>
        <w:softHyphen/>
        <w:t>na jako poslouch</w:t>
      </w:r>
      <w:r>
        <w:t>ající jednotka není ideálním prostře</w:t>
      </w:r>
      <w:r>
        <w:softHyphen/>
        <w:t>dím pro rozpoutání veselí; tomu svědčí spíš náhodná společnost cizích lidí, kteří nemají k sobě vzájemných vztahů — nejsou-li to vztahy skutečně kamarádské — kteří se na sebe ani nemračí ani zamilovaně neusmí</w:t>
      </w:r>
      <w:r>
        <w:softHyphen/>
        <w:t>vají. Smíc</w:t>
      </w:r>
      <w:r>
        <w:t>h potřebuje družnost lidí na sobě nepříliš závislých; smích osamoceného diváka a tím hůř poslu</w:t>
      </w:r>
      <w:r>
        <w:softHyphen/>
        <w:t>chače by byl tragický a nesmyslný. Dovedete si vůbec něco takového představit? Zhasnuté světlo pocit samoty jen zvýší. To je nálada pro tragedii.</w:t>
      </w:r>
    </w:p>
    <w:p w:rsidR="00500724" w:rsidRDefault="00F30FB8">
      <w:pPr>
        <w:pStyle w:val="Zkladntext20"/>
        <w:shd w:val="clear" w:color="auto" w:fill="auto"/>
        <w:ind w:firstLine="280"/>
      </w:pPr>
      <w:r>
        <w:t>Lidé v rozhlase</w:t>
      </w:r>
      <w:r>
        <w:t xml:space="preserve"> jsou daleko. Nejsou to ani lidé. Jsou to neznámé hlasy. A odečtete-li situační komiku a divadelní humor — co zbývá? Jen aby vám vyprá</w:t>
      </w:r>
      <w:r>
        <w:softHyphen/>
        <w:t xml:space="preserve">věli nebo zpívali něco směšného. Ale jak křečovité vám připadá jejich úsilí! A jim, jim jak to připadá zbytečné a marné! </w:t>
      </w:r>
      <w:r>
        <w:t>Nenávidíte se navzájem a křivdíte si. Rampu nenahradí nic. Měli jsme Voskovce a We</w:t>
      </w:r>
      <w:r>
        <w:softHyphen/>
        <w:t>richa. Tvrdili sami, že potřebovali nejméně 50 repris Westpoketky, než se naučili z chování obecenstva vy- vozovati matematická pravidla, jak vyvolati smích. Oč obtížnější j</w:t>
      </w:r>
      <w:r>
        <w:t>e vyvoditi tyto poučky tam, kde obecen</w:t>
      </w:r>
      <w:r>
        <w:softHyphen/>
        <w:t xml:space="preserve">stvo vůbec neexistuje! Proto všichni komici, i V a W </w:t>
      </w:r>
      <w:r>
        <w:rPr>
          <w:b/>
          <w:bCs/>
          <w:sz w:val="26"/>
          <w:szCs w:val="26"/>
        </w:rPr>
        <w:t xml:space="preserve">v </w:t>
      </w:r>
      <w:r>
        <w:t>rozhlase selhali. Byl jsem s nimi u mikrofonu a viděl jsem, jak oba tonuli v rozpacích a předstihovali se v těžkopádnosti a nejistotě. Scházelo to, co vskutku děl</w:t>
      </w:r>
      <w:r>
        <w:t>á herce hercem: ohlas obecenstva.</w:t>
      </w:r>
    </w:p>
    <w:p w:rsidR="00500724" w:rsidRDefault="00F30FB8">
      <w:pPr>
        <w:pStyle w:val="Zkladntext20"/>
        <w:shd w:val="clear" w:color="auto" w:fill="auto"/>
        <w:spacing w:line="202" w:lineRule="auto"/>
        <w:ind w:firstLine="280"/>
      </w:pPr>
      <w:r>
        <w:t>Železná hráz svírá u nás každý pokus vnést do roz</w:t>
      </w:r>
      <w:r>
        <w:softHyphen/>
        <w:t>hlasu a do života vůbec trochu veselejšího a rozmar</w:t>
      </w:r>
      <w:r>
        <w:softHyphen/>
        <w:t xml:space="preserve">nějšího tónu. Dadaistický humor totiž, který si jediný dovedl dělat šašky sám ze sebe, ze slov, z ničeho — ten vyprchal </w:t>
      </w:r>
      <w:r>
        <w:t>a byl stejně určen jen jedné intelektuální třídě. Veselí tedy potřebuje vždy, aby se o něco opřelo. I když nejde o přímou satiru a zesměšněni, musí zde být — zejména při slovním druhu humoru v roz</w:t>
      </w:r>
      <w:r>
        <w:softHyphen/>
        <w:t>hlase — jakýsi základ, prostředí, osoba nebo situace, na ni</w:t>
      </w:r>
      <w:r>
        <w:t>chž se humor vyzkouší.</w:t>
      </w:r>
    </w:p>
    <w:p w:rsidR="00500724" w:rsidRDefault="00F30FB8">
      <w:pPr>
        <w:pStyle w:val="Zkladntext20"/>
        <w:shd w:val="clear" w:color="auto" w:fill="auto"/>
        <w:spacing w:line="240" w:lineRule="auto"/>
        <w:ind w:firstLine="280"/>
        <w:rPr>
          <w:sz w:val="19"/>
          <w:szCs w:val="19"/>
        </w:rPr>
      </w:pPr>
      <w:r>
        <w:t>Řekněme však, že se nám podaří utkati rozhlasový humorný příběh na čistě soukromém podkladě. Tu jsou další nebezpečí. Váš hrdina má patrně nějaké povolání. Ať je krejčím, zástupcem pojišťovny, kapelníkem či radou — buďte ujištěni — i</w:t>
      </w:r>
      <w:r>
        <w:t xml:space="preserve"> když jste se dotyčného </w:t>
      </w:r>
      <w:r>
        <w:rPr>
          <w:b/>
          <w:bCs/>
          <w:i/>
          <w:iCs/>
          <w:sz w:val="19"/>
          <w:szCs w:val="19"/>
        </w:rPr>
        <w:t>3SS</w:t>
      </w:r>
    </w:p>
    <w:p w:rsidR="00500724" w:rsidRDefault="00F30FB8">
      <w:pPr>
        <w:pStyle w:val="Zkladntext20"/>
        <w:shd w:val="clear" w:color="auto" w:fill="auto"/>
        <w:spacing w:line="202" w:lineRule="auto"/>
        <w:ind w:firstLine="0"/>
      </w:pPr>
      <w:r>
        <w:t>stavu nijak ve zlém úmyslu nedotkli — že se zítra po vysílání octne na stole rozhlasového referenta řada obrněných protestů, žádajících satisfakci a vyhrožují</w:t>
      </w:r>
      <w:r>
        <w:softHyphen/>
        <w:t>cích zákroky u všech existujících ministerstev. Je to až neuvěřitelné</w:t>
      </w:r>
      <w:r>
        <w:t>. Ale doklady, přesné a neodčinitelné doklady leží v rozhlasových archivech.</w:t>
      </w:r>
    </w:p>
    <w:p w:rsidR="00500724" w:rsidRDefault="00F30FB8">
      <w:pPr>
        <w:pStyle w:val="Zkladntext20"/>
        <w:shd w:val="clear" w:color="auto" w:fill="auto"/>
        <w:spacing w:line="202" w:lineRule="auto"/>
      </w:pPr>
      <w:r>
        <w:t xml:space="preserve">Domníváte se, že jste unikli všem těmto nástrahám, když jste prostě hrdinu své hry zbavili každého slušného povolání a učinili ho člověkem, který žije jen tak? To nás neznáte! </w:t>
      </w:r>
      <w:r>
        <w:t>Vždyť ten člověk bude patrně ženatý — a tu je zase vítaná příležitost pro všechny manžele a manželky uhodit na vás a obvinit vás z ne</w:t>
      </w:r>
      <w:r>
        <w:softHyphen/>
        <w:t>morálních pletek. Mám v rukou lístek vlivného pána, který obviňuje rozhlas výslovně jako škůdce národní brannosti, protože</w:t>
      </w:r>
      <w:r>
        <w:t xml:space="preserve"> neškrtl v kabaretu dvojsmyslnou větu, že čísi manželka jede na hory, »protože je tam čistý vzduch«. Z téhož zločinu mne obviňuje jedna odbočka Svazu rotmistrů, protože jsem převzal do své úpravy Čapkovy »První party« větu: »Ty jsi chlapík, Z tebe bude roť</w:t>
      </w:r>
      <w:r>
        <w:t>ák!« (Roťák — snížení úcty k armá</w:t>
      </w:r>
      <w:r>
        <w:softHyphen/>
        <w:t>dě.) Co tedy zbývá autoru? O kom a jak psát? I ten nejtvrdohlavější autor se patrně rozhodne nepsat nic a uchýlit se tam, kde napsané slovo nepadá na tak citlivou půdu.</w:t>
      </w:r>
    </w:p>
    <w:p w:rsidR="00500724" w:rsidRDefault="00F30FB8">
      <w:pPr>
        <w:pStyle w:val="Zkladntext20"/>
        <w:shd w:val="clear" w:color="auto" w:fill="auto"/>
        <w:spacing w:after="60" w:line="202" w:lineRule="auto"/>
      </w:pPr>
      <w:r>
        <w:t>A pokud jde o herce-komiky, ti jsou před mikro</w:t>
      </w:r>
      <w:r>
        <w:softHyphen/>
        <w:t xml:space="preserve">fonem </w:t>
      </w:r>
      <w:r>
        <w:t>asi stejně svobodní jako by byli na jevišti se svázanýma rukama a nohama a s roubíkem v ústech. Zbývají ty humorné rekvisity, které se už osvědčily jako neškodné, jejichž ostří se otupilo a které se už nikoho nedotknou, tedy ty, na nichž se usadila pati</w:t>
      </w:r>
      <w:r>
        <w:softHyphen/>
        <w:t>na</w:t>
      </w:r>
      <w:r>
        <w:t xml:space="preserve"> antikvární komiky a které už nerozesmějí leda vlastní směšností.</w:t>
      </w:r>
    </w:p>
    <w:p w:rsidR="00500724" w:rsidRDefault="00F30FB8">
      <w:pPr>
        <w:pStyle w:val="Zkladntext20"/>
        <w:shd w:val="clear" w:color="auto" w:fill="auto"/>
        <w:spacing w:after="60" w:line="202" w:lineRule="auto"/>
        <w:ind w:firstLine="0"/>
        <w:jc w:val="center"/>
      </w:pPr>
      <w:r>
        <w:t>Povinnost k pessimismu</w:t>
      </w:r>
    </w:p>
    <w:p w:rsidR="00500724" w:rsidRDefault="00F30FB8">
      <w:pPr>
        <w:pStyle w:val="Zkladntext20"/>
        <w:shd w:val="clear" w:color="auto" w:fill="auto"/>
        <w:spacing w:line="202" w:lineRule="auto"/>
      </w:pPr>
      <w:r>
        <w:t>A je zde ještě jeden nepřítel rozhlasového humoru a ten vězí přímo v nás. Uznejme, že lidé v rozhlase mají někdy opravdu silnou vůli rozesmát své poslu</w:t>
      </w:r>
      <w:r>
        <w:softHyphen/>
        <w:t xml:space="preserve">chače; opravdu </w:t>
      </w:r>
      <w:r>
        <w:t xml:space="preserve">se namáhají, jednou se oddávajíce bláhovým nadějím v báječný účinek suchého vtipu, jindy to zkoušejí opačně a řehtají se sami svým žertíkům, domnívajíce se, že i posluchače přivedou z míry. Ten však zůstává smrtelně chladný. Zklamaný umělec se doví o svém </w:t>
      </w:r>
      <w:r>
        <w:t>neúspěchu až dodatečně; pro</w:t>
      </w:r>
      <w:r>
        <w:softHyphen/>
        <w:t>hlásí patrně, že posluchači jsou příliš kritičtí. Mimo očekávání má docela pravdu.</w:t>
      </w:r>
    </w:p>
    <w:p w:rsidR="00500724" w:rsidRDefault="00F30FB8">
      <w:pPr>
        <w:pStyle w:val="Zkladntext20"/>
        <w:shd w:val="clear" w:color="auto" w:fill="auto"/>
        <w:spacing w:after="60" w:line="202" w:lineRule="auto"/>
        <w:sectPr w:rsidR="00500724">
          <w:footnotePr>
            <w:numFmt w:val="chicago"/>
            <w:numRestart w:val="eachPage"/>
          </w:footnotePr>
          <w:pgSz w:w="11909" w:h="16834"/>
          <w:pgMar w:top="1707" w:right="770" w:bottom="427" w:left="823" w:header="0" w:footer="3" w:gutter="0"/>
          <w:cols w:num="2" w:space="163"/>
          <w:noEndnote/>
          <w:docGrid w:linePitch="360"/>
        </w:sectPr>
      </w:pPr>
      <w:r>
        <w:t>Aby posluchač shledal, že veselohra je opravdu veselou, je nutno přinést si k poslechu už trochu humoru s sebou. Jina</w:t>
      </w:r>
      <w:r>
        <w:t>k, i kdyby byl program sebe veselejší — nedocílí nic. Dobré vůle je třeba k roz</w:t>
      </w:r>
      <w:r>
        <w:softHyphen/>
        <w:t>hlasovému veselí; nebrat nic vážně, nic osobně, ne- vytrhovat slova a věty z celkového ovzduší, nehledat problémy, kde nejsou a kde jde právě o bezstarost</w:t>
      </w:r>
      <w:r>
        <w:softHyphen/>
        <w:t>nost. Ale povaha naše</w:t>
      </w:r>
      <w:r>
        <w:t>ho člověka je bohužel jiná. Po</w:t>
      </w:r>
      <w:r>
        <w:softHyphen/>
        <w:t>važuje za svou svátou povinnost tvářiti se neustále co nejvážněji, nejdůstojněji. Pilulky »keep smilling« u nás nejdou na odbyt. Francouzi se baví nejraději na vzájemný účet; u nás by z toho bylo určitě řízení před trestním s</w:t>
      </w:r>
      <w:r>
        <w:t>oudem. Chceme se bavit, chceme se veselit, ale nade všechno zoufale chceme kritisovat. Ne</w:t>
      </w:r>
      <w:r>
        <w:softHyphen/>
        <w:t>chápeme dost dobře, že předpokladem k dobré zábavě je především snášelivost, dobromyslnost, odhodlání. Nepřimlouvám se zde za bezduché programy, hospod</w:t>
      </w:r>
      <w:r>
        <w:softHyphen/>
        <w:t>ské komiky a o</w:t>
      </w:r>
      <w:r>
        <w:t>peretní šaškování; vím jen, že kritická, skeptická vášeň nachází právě na veselém pořadu nej</w:t>
      </w:r>
      <w:r>
        <w:softHyphen/>
        <w:t xml:space="preserve">vítanější sousto a nejvzornější podnět k nedůtklivosti. </w:t>
      </w:r>
      <w:r>
        <w:rPr>
          <w:b/>
          <w:bCs/>
          <w:sz w:val="26"/>
          <w:szCs w:val="26"/>
        </w:rPr>
        <w:t xml:space="preserve">Ti v </w:t>
      </w:r>
      <w:r>
        <w:t>rozhlase vědí dobře, jak křesťanským skutkem</w:t>
      </w:r>
    </w:p>
    <w:p w:rsidR="00500724" w:rsidRDefault="00F30FB8">
      <w:pPr>
        <w:pStyle w:val="Nadpis90"/>
        <w:keepNext/>
        <w:keepLines/>
        <w:pBdr>
          <w:bottom w:val="single" w:sz="4" w:space="0" w:color="auto"/>
        </w:pBdr>
        <w:shd w:val="clear" w:color="auto" w:fill="auto"/>
        <w:spacing w:before="80" w:after="0"/>
        <w:jc w:val="center"/>
        <w:sectPr w:rsidR="00500724">
          <w:footnotePr>
            <w:numFmt w:val="chicago"/>
            <w:numRestart w:val="eachPage"/>
          </w:footnotePr>
          <w:pgSz w:w="11909" w:h="16834"/>
          <w:pgMar w:top="889" w:right="998" w:bottom="833" w:left="523" w:header="0" w:footer="3" w:gutter="0"/>
          <w:cols w:space="720"/>
          <w:noEndnote/>
          <w:docGrid w:linePitch="360"/>
        </w:sectPr>
      </w:pPr>
      <w:bookmarkStart w:id="577" w:name="bookmark576"/>
      <w:r>
        <w:rPr>
          <w:rFonts w:ascii="Times New Roman" w:eastAsia="Times New Roman" w:hAnsi="Times New Roman" w:cs="Times New Roman"/>
        </w:rPr>
        <w:t>Přítomnosti</w:t>
      </w:r>
      <w:bookmarkEnd w:id="577"/>
    </w:p>
    <w:p w:rsidR="00500724" w:rsidRDefault="00500724">
      <w:pPr>
        <w:spacing w:line="23" w:lineRule="exact"/>
        <w:rPr>
          <w:sz w:val="2"/>
          <w:szCs w:val="2"/>
        </w:rPr>
      </w:pPr>
    </w:p>
    <w:p w:rsidR="00500724" w:rsidRDefault="00500724">
      <w:pPr>
        <w:spacing w:line="14" w:lineRule="exact"/>
        <w:sectPr w:rsidR="00500724">
          <w:footnotePr>
            <w:numFmt w:val="chicago"/>
            <w:numRestart w:val="eachPage"/>
          </w:footnotePr>
          <w:type w:val="continuous"/>
          <w:pgSz w:w="11909" w:h="16834"/>
          <w:pgMar w:top="785" w:right="0" w:bottom="936" w:left="0" w:header="0" w:footer="3" w:gutter="0"/>
          <w:cols w:space="720"/>
          <w:noEndnote/>
          <w:docGrid w:linePitch="360"/>
        </w:sectPr>
      </w:pPr>
    </w:p>
    <w:p w:rsidR="00500724" w:rsidRDefault="00F30FB8">
      <w:pPr>
        <w:pStyle w:val="Zkladntext20"/>
        <w:shd w:val="clear" w:color="auto" w:fill="auto"/>
        <w:spacing w:after="100" w:line="202" w:lineRule="auto"/>
        <w:ind w:firstLine="0"/>
      </w:pPr>
      <w:r>
        <w:t>je rozesmát bližního; nikdy se jim to však nepodaří, nevyjde-li se jim aspoň kousíček cesty s dobrou vůlí vstříc a nezmění-li se ti přísní a zapeklití soudcové v dobré kumpány, přístupné na chvíli rozmaru.</w:t>
      </w:r>
    </w:p>
    <w:p w:rsidR="00500724" w:rsidRDefault="00F30FB8">
      <w:pPr>
        <w:pStyle w:val="Zkladntext20"/>
        <w:shd w:val="clear" w:color="auto" w:fill="auto"/>
        <w:spacing w:after="60" w:line="211" w:lineRule="auto"/>
        <w:ind w:left="1280" w:firstLine="20"/>
        <w:jc w:val="left"/>
      </w:pPr>
      <w:r>
        <w:t>Dobrá nálada stačí</w:t>
      </w:r>
    </w:p>
    <w:p w:rsidR="00500724" w:rsidRDefault="00F30FB8">
      <w:pPr>
        <w:pStyle w:val="Zkladntext20"/>
        <w:shd w:val="clear" w:color="auto" w:fill="auto"/>
        <w:spacing w:line="211" w:lineRule="auto"/>
        <w:ind w:firstLine="260"/>
      </w:pPr>
      <w:r>
        <w:t>Z</w:t>
      </w:r>
      <w:r>
        <w:t xml:space="preserve"> toho, co jsem řekl dříve, plyne ovšem, že hlavní příčina, proč se posluchač u přijímače nemůže smát, nevězí ani ve vadě programu ani ve zmíněných vlast</w:t>
      </w:r>
      <w:r>
        <w:softHyphen/>
        <w:t>nostech lidských, nýbrž v psychologických podmín</w:t>
      </w:r>
      <w:r>
        <w:softHyphen/>
        <w:t>kách poslechu vůbec. I když se výjimečně podaří na</w:t>
      </w:r>
      <w:r>
        <w:softHyphen/>
        <w:t>psa</w:t>
      </w:r>
      <w:r>
        <w:t>t skvělou rozhlasovou veselohru a vtipně ji zahrát, musí být umělcům, při tom zaměstnaným, dostateč</w:t>
      </w:r>
      <w:r>
        <w:softHyphen/>
        <w:t>nou útěchou, podaří-li se jim dát posluchačům, co je cenné jako smích a co je rozhlasu mnohem bližší: dobrou náladu. Slovo »humor« znamená svým latin</w:t>
      </w:r>
      <w:r>
        <w:softHyphen/>
        <w:t>ským v</w:t>
      </w:r>
      <w:r>
        <w:t>ýznamem šťávu, vláhu; dál nemůže spět cti</w:t>
      </w:r>
      <w:r>
        <w:softHyphen/>
        <w:t>žádost rozhlasových autorů a herců. K čemu se smát, když náš smích neuslyší ani herec u mikrofonu ani posluchač ve vedlejším domě? Spokojme se úsměvem, vyrovnanou myslí, chvilkou dobré nálady.</w:t>
      </w:r>
    </w:p>
    <w:p w:rsidR="00500724" w:rsidRDefault="00F30FB8">
      <w:pPr>
        <w:pStyle w:val="Zkladntext20"/>
        <w:shd w:val="clear" w:color="auto" w:fill="auto"/>
        <w:spacing w:line="211" w:lineRule="auto"/>
        <w:ind w:firstLine="260"/>
      </w:pPr>
      <w:r>
        <w:t>Neznám lepších vskutk</w:t>
      </w:r>
      <w:r>
        <w:t>u rozhlasových grotesek než jsou Garde Peachovy »Svatba« a »Láska či zisk«, které si obě střílí z rozhlasových přežitků; první z nad- užívání zvuků, druhá ze zbytečného exponování vypra</w:t>
      </w:r>
      <w:r>
        <w:softHyphen/>
        <w:t xml:space="preserve">věče a reportéra. Zejména tento druhý </w:t>
      </w:r>
      <w:r>
        <w:rPr>
          <w:lang w:val="en-US" w:eastAsia="en-US" w:bidi="en-US"/>
        </w:rPr>
        <w:t xml:space="preserve">sketch </w:t>
      </w:r>
      <w:r>
        <w:t xml:space="preserve">je velmi vtipný. Reportér, popisující historický výjev, který se před ním odehrává, rozdělí posluchačům celou scénu na čtverce jako by šlo o nějaké sportovní utkání a popisuje pak zcela přesně: »Lord </w:t>
      </w:r>
      <w:r>
        <w:rPr>
          <w:lang w:val="en-US" w:eastAsia="en-US" w:bidi="en-US"/>
        </w:rPr>
        <w:t xml:space="preserve">Ronald </w:t>
      </w:r>
      <w:r>
        <w:t>vrazil do kovového rytíře ve čtverci sedům a odko</w:t>
      </w:r>
      <w:r>
        <w:t xml:space="preserve">pl ho přes čtverec tři do čtverce pět. Nyní se nachází ve čtverci sedum.« Když </w:t>
      </w:r>
      <w:r>
        <w:rPr>
          <w:lang w:val="en-US" w:eastAsia="en-US" w:bidi="en-US"/>
        </w:rPr>
        <w:t xml:space="preserve">lord Ronald </w:t>
      </w:r>
      <w:r>
        <w:t>s lady Anny rozpřede hovor, ujišťuje pohotový hlasatel zcela zbytečně, že »je to charakteristický dialog té doby*. Lady Anny praví: »Ne, ne, můj lorde, myslíte, že j</w:t>
      </w:r>
      <w:r>
        <w:t xml:space="preserve">sem na pro- dej?« A hlasatel přispěchá s důležitým ujištěním: *Lord </w:t>
      </w:r>
      <w:r>
        <w:rPr>
          <w:lang w:val="en-US" w:eastAsia="en-US" w:bidi="en-US"/>
        </w:rPr>
        <w:t xml:space="preserve">Ronald </w:t>
      </w:r>
      <w:r>
        <w:t xml:space="preserve">si to myslí.« — Lady Anna: »Ty víš?« •— </w:t>
      </w:r>
      <w:r>
        <w:rPr>
          <w:lang w:val="en-US" w:eastAsia="en-US" w:bidi="en-US"/>
        </w:rPr>
        <w:t xml:space="preserve">Ronald: </w:t>
      </w:r>
      <w:r>
        <w:t xml:space="preserve">»Vím!« — Hlasatel: »Lord </w:t>
      </w:r>
      <w:r>
        <w:rPr>
          <w:lang w:val="en-US" w:eastAsia="en-US" w:bidi="en-US"/>
        </w:rPr>
        <w:t xml:space="preserve">Ronald </w:t>
      </w:r>
      <w:r>
        <w:t>ví! Čtverec čtyři!* — Je to velmi komické — při hraní ovšem, ne při čtení — ale ani tento výjimečný p</w:t>
      </w:r>
      <w:r>
        <w:t>řípad nevede dál než k úsměvu, který se případně při nedo</w:t>
      </w:r>
      <w:r>
        <w:softHyphen/>
        <w:t>statku posluchačovy ochoty pro tento druh humoru změní v pošklebek.</w:t>
      </w:r>
    </w:p>
    <w:p w:rsidR="00500724" w:rsidRDefault="00F30FB8">
      <w:pPr>
        <w:pStyle w:val="Zkladntext20"/>
        <w:shd w:val="clear" w:color="auto" w:fill="auto"/>
        <w:spacing w:line="211" w:lineRule="auto"/>
        <w:ind w:firstLine="260"/>
        <w:jc w:val="left"/>
      </w:pPr>
      <w:r>
        <w:t>Ne, nesnažme se o veselost za každou cenu. Po- daří-li se nám to v jednotlivých případech, nedozvíme se o tom asi, protože to bude</w:t>
      </w:r>
      <w:r>
        <w:t xml:space="preserve"> patrně zásluhou výjimeč</w:t>
      </w:r>
      <w:r>
        <w:softHyphen/>
        <w:t>ného ovzduší nějakého zvláštního poslechového krouž</w:t>
      </w:r>
      <w:r>
        <w:softHyphen/>
        <w:t>ku, za zcela individuálních podmínek.</w:t>
      </w:r>
    </w:p>
    <w:p w:rsidR="00500724" w:rsidRDefault="00F30FB8">
      <w:pPr>
        <w:pStyle w:val="Zkladntext20"/>
        <w:shd w:val="clear" w:color="auto" w:fill="auto"/>
        <w:spacing w:line="211" w:lineRule="auto"/>
        <w:ind w:firstLine="260"/>
      </w:pPr>
      <w:r>
        <w:t>Volme cíl skromnější, ale jistější:</w:t>
      </w:r>
    </w:p>
    <w:p w:rsidR="00500724" w:rsidRDefault="00F30FB8">
      <w:pPr>
        <w:pStyle w:val="Zkladntext20"/>
        <w:shd w:val="clear" w:color="auto" w:fill="auto"/>
        <w:spacing w:after="220" w:line="211" w:lineRule="auto"/>
        <w:ind w:firstLine="260"/>
        <w:jc w:val="left"/>
      </w:pPr>
      <w:r>
        <w:t>»Pokoj a dobrou náladu do srdce všem posluchačům dobré vůle!«</w:t>
      </w:r>
    </w:p>
    <w:p w:rsidR="00500724" w:rsidRDefault="00F30FB8">
      <w:pPr>
        <w:pStyle w:val="Jin0"/>
        <w:pBdr>
          <w:bottom w:val="single" w:sz="4" w:space="0" w:color="auto"/>
        </w:pBdr>
        <w:shd w:val="clear" w:color="auto" w:fill="auto"/>
        <w:spacing w:after="400"/>
        <w:ind w:firstLine="0"/>
        <w:jc w:val="left"/>
        <w:rPr>
          <w:sz w:val="44"/>
          <w:szCs w:val="44"/>
        </w:rPr>
      </w:pPr>
      <w:r>
        <w:rPr>
          <w:b/>
          <w:bCs/>
          <w:sz w:val="44"/>
          <w:szCs w:val="44"/>
        </w:rPr>
        <w:t>dopisy</w:t>
      </w:r>
    </w:p>
    <w:p w:rsidR="00500724" w:rsidRDefault="00F30FB8">
      <w:pPr>
        <w:pStyle w:val="Zkladntext100"/>
        <w:shd w:val="clear" w:color="auto" w:fill="auto"/>
        <w:spacing w:after="60" w:line="192" w:lineRule="auto"/>
        <w:ind w:left="1280" w:firstLine="20"/>
        <w:jc w:val="left"/>
        <w:rPr>
          <w:sz w:val="19"/>
          <w:szCs w:val="19"/>
        </w:rPr>
      </w:pPr>
      <w:r>
        <w:rPr>
          <w:b/>
          <w:bCs/>
          <w:sz w:val="19"/>
          <w:szCs w:val="19"/>
        </w:rPr>
        <w:t>Co je svatováclavská tradice?</w:t>
      </w:r>
    </w:p>
    <w:p w:rsidR="00500724" w:rsidRDefault="00F30FB8">
      <w:pPr>
        <w:pStyle w:val="Zkladntext100"/>
        <w:shd w:val="clear" w:color="auto" w:fill="auto"/>
        <w:spacing w:after="60" w:line="202" w:lineRule="auto"/>
        <w:ind w:left="1280" w:firstLine="20"/>
        <w:jc w:val="left"/>
      </w:pPr>
      <w:r>
        <w:t>Vážená</w:t>
      </w:r>
      <w:r>
        <w:t xml:space="preserve"> redakce!</w:t>
      </w:r>
    </w:p>
    <w:p w:rsidR="00500724" w:rsidRDefault="00F30FB8">
      <w:pPr>
        <w:pStyle w:val="Zkladntext100"/>
        <w:shd w:val="clear" w:color="auto" w:fill="auto"/>
        <w:spacing w:after="80" w:line="192" w:lineRule="auto"/>
        <w:ind w:firstLine="260"/>
        <w:rPr>
          <w:sz w:val="19"/>
          <w:szCs w:val="19"/>
        </w:rPr>
      </w:pPr>
      <w:r>
        <w:rPr>
          <w:sz w:val="19"/>
          <w:szCs w:val="19"/>
        </w:rPr>
        <w:t xml:space="preserve">Nevím, zdali Vám na Vaši výzvu historikové zaslali nějaký výklad tradice svatováclavské. Proto jsem vybřed </w:t>
      </w:r>
      <w:r>
        <w:rPr>
          <w:b/>
          <w:bCs/>
          <w:sz w:val="19"/>
          <w:szCs w:val="19"/>
        </w:rPr>
        <w:t xml:space="preserve">z </w:t>
      </w:r>
      <w:r>
        <w:rPr>
          <w:sz w:val="19"/>
          <w:szCs w:val="19"/>
        </w:rPr>
        <w:t>jejich spisů několik dat a sestavil o té věci stručný přehled, jejž Vám předkládám; myslím však, že pro poučeni Širších vrstev to postači</w:t>
      </w:r>
      <w:r>
        <w:rPr>
          <w:sz w:val="19"/>
          <w:szCs w:val="19"/>
        </w:rPr>
        <w:t>.</w:t>
      </w:r>
    </w:p>
    <w:p w:rsidR="00500724" w:rsidRDefault="00F30FB8">
      <w:pPr>
        <w:pStyle w:val="Zkladntext100"/>
        <w:shd w:val="clear" w:color="auto" w:fill="auto"/>
        <w:spacing w:after="60"/>
        <w:ind w:firstLine="200"/>
      </w:pPr>
      <w:r>
        <w:t>V čís. 8. »Přítomnosti« jsem četl ve čl. ^Křesťanství — heslo a skutečnost*. že »po pádu starého režimu r. 1938 hledá se nějaká myšlenková opora v tradici. Proč se nalézá. právě v hesle ^tradice svatováclavská*, souvisí se vzrůstem moci ka</w:t>
      </w:r>
      <w:r>
        <w:softHyphen/>
        <w:t xml:space="preserve">tolictví.* </w:t>
      </w:r>
      <w:r>
        <w:t>Pisatel onoho článku se potom ptá. »kolik toho ví veřejnost o tradici svatováclavské?* a hned konstatuje, že »věděl-li dříve normální Čech o husitské tradici málo' neví dnes o svatováclavské tradici nic*. I redakci časopisu »se zdá, že se zde operuje s poj</w:t>
      </w:r>
      <w:r>
        <w:t>mem, pod kterým jen nemnozí si mysli něco určitého*; proto vyzývá »české historiky, aby vyložili co je třeba pokládati za svatováclavskou tradici*, »říci jed</w:t>
      </w:r>
      <w:r>
        <w:softHyphen/>
        <w:t>nou lidově, co to svatováclavská tradice jest*. Pokud vím, od</w:t>
      </w:r>
      <w:r>
        <w:softHyphen/>
        <w:t>pověděl pouze duchovní české pravosl</w:t>
      </w:r>
      <w:r>
        <w:t>avné církve; týž však podává jen umínění (tedy nikoli historiky vědecky zjištěnou pravdu!) všech pravoslavných včetně Čechů (= pravoslav</w:t>
      </w:r>
      <w:r>
        <w:softHyphen/>
        <w:t>ných) o té věci*, a píše o ní jen se stanoviska církevního. Ale 1 on je nucen připustit, »že nyní (= psal ještě ve 2. r</w:t>
      </w:r>
      <w:r>
        <w:t>epubl.), ač často se u nás zdůrazňuje svatováclavská tradice, přece nejen obyčejný, ale i průměrně vzdělaný, ba možná i s vysoko</w:t>
      </w:r>
      <w:r>
        <w:softHyphen/>
        <w:t>školským vzděláním inteligent nedovedl by říci, co si předsta</w:t>
      </w:r>
      <w:r>
        <w:softHyphen/>
        <w:t>vuje pod tímto pojmem*. Co uvádí dále, jsou výňatky z legend. Nen</w:t>
      </w:r>
      <w:r>
        <w:t>í-liž to prazvláštní zjev, že po lOOOletém úsilí o vštípeni tradice svatováclavské, lid o ní celkem nic neví? Příčinu lze snadno zjistit.</w:t>
      </w:r>
    </w:p>
    <w:p w:rsidR="00500724" w:rsidRDefault="00F30FB8">
      <w:pPr>
        <w:pStyle w:val="Zkladntext100"/>
        <w:shd w:val="clear" w:color="auto" w:fill="auto"/>
        <w:spacing w:after="60"/>
        <w:ind w:firstLine="200"/>
      </w:pPr>
      <w:r>
        <w:t xml:space="preserve">Přijala-li 2. republika za svůj základ </w:t>
      </w:r>
      <w:r>
        <w:rPr>
          <w:lang w:val="en-US" w:eastAsia="en-US" w:bidi="en-US"/>
        </w:rPr>
        <w:t xml:space="preserve">trad. </w:t>
      </w:r>
      <w:r>
        <w:t>sw„ mělo to tedy znamenat, že bude vedena v duchu, jejž uplatňoval při sv</w:t>
      </w:r>
      <w:r>
        <w:t>ém panováni sv. Václav, arci jen podle pověstí. Co tedy určitě víme o jeho státní správě? Na to odpovídají autority a sloupo</w:t>
      </w:r>
      <w:r>
        <w:softHyphen/>
        <w:t xml:space="preserve">vé naší historické vědy, univ. </w:t>
      </w:r>
      <w:r>
        <w:rPr>
          <w:lang w:val="en-US" w:eastAsia="en-US" w:bidi="en-US"/>
        </w:rPr>
        <w:t xml:space="preserve">prof. </w:t>
      </w:r>
      <w:r>
        <w:t>dr. Pekař, dr. Novotný (oba oslavovatelé sv. V.) a dr. Bartoš, shodně takto: »Z Václa</w:t>
      </w:r>
      <w:r>
        <w:softHyphen/>
        <w:t>vovy his</w:t>
      </w:r>
      <w:r>
        <w:t>torie světské, pokud s historií duchovní nesouvisí, ne</w:t>
      </w:r>
      <w:r>
        <w:softHyphen/>
        <w:t>dovídáme se takřka ničeho* (Pekař, Sv. V., str. 4.); »pohříchu pominuly legendy, jak pověděno, politickou historii let jeho skoro naprostým mlčením* (tt. str. 22). ^Legendy dovedou O něm vypravovati vě</w:t>
      </w:r>
      <w:r>
        <w:t>ci, jež se nám zdají malichernými, jež budí někdy přímo úsměv a jež aspoň zčásti jistě jsou nadsazeny, ale o jejichž správnosti v podstatě jistě nelze pochybovati* (Novot., Čes. kn. sv. V., str. 16). Proto si z nich na této »pod- statě* sestrojuje svůj živ</w:t>
      </w:r>
      <w:r>
        <w:t>otopis sv. V.; uznává však, že vznikaly z úcty k novému světci, x&gt;a snad tato okolnost o jejich vzniku rozhodovala více nežli přání, zachovati zprávy o historické osobnosti Václavově*. Nejen snad, ale jistě, protože »jeho (to je knížete Václava) skutečná t</w:t>
      </w:r>
      <w:r>
        <w:t>vář uniká historikovi pod nánosem legend tak úplně, že z celého jeho kratičkého života není nesporné téměř nic jiného nežli jeho zavražděni vlastním bratrem* (Bartoš, Čes. Br. XVL—29.). — »O historickém kní</w:t>
      </w:r>
      <w:r>
        <w:softHyphen/>
        <w:t>žeti Václavu víme pramálo, svátým jej učinily leg</w:t>
      </w:r>
      <w:r>
        <w:t>endy (až do doby pobělohorské nebyl úředně od papeže za svátého prohlá</w:t>
      </w:r>
      <w:r>
        <w:softHyphen/>
        <w:t xml:space="preserve">šen, a kanonisován teprve dodatečně) a velikým jej učinila tradice, jež mu dala gloriolu patrona země české* (Pokorný, K </w:t>
      </w:r>
      <w:r>
        <w:rPr>
          <w:lang w:val="en-US" w:eastAsia="en-US" w:bidi="en-US"/>
        </w:rPr>
        <w:t xml:space="preserve">trad, </w:t>
      </w:r>
      <w:r>
        <w:t>sv., str. 22.. 18). Víme tedy určitě, že kromě několika má</w:t>
      </w:r>
      <w:r>
        <w:t xml:space="preserve">lo, ale opravdu velmi málo historicky zjištěných dat, </w:t>
      </w:r>
      <w:r>
        <w:rPr>
          <w:b/>
          <w:bCs/>
          <w:sz w:val="14"/>
          <w:szCs w:val="14"/>
        </w:rPr>
        <w:t>ne</w:t>
      </w:r>
      <w:r>
        <w:rPr>
          <w:b/>
          <w:bCs/>
          <w:sz w:val="14"/>
          <w:szCs w:val="14"/>
        </w:rPr>
        <w:softHyphen/>
      </w:r>
      <w:r>
        <w:t>víme o životě a vládě V. nic jistého; všechno ostatní jsou dohady, domněnky, kombinace, závěrky z legend.</w:t>
      </w:r>
    </w:p>
    <w:p w:rsidR="00500724" w:rsidRDefault="00F30FB8">
      <w:pPr>
        <w:pStyle w:val="Zkladntext100"/>
        <w:shd w:val="clear" w:color="auto" w:fill="auto"/>
        <w:spacing w:after="60" w:line="202" w:lineRule="auto"/>
        <w:ind w:firstLine="200"/>
      </w:pPr>
      <w:r>
        <w:t>Tož, co jsou legendy a co je charakterisuje? »Legenda zna</w:t>
      </w:r>
      <w:r>
        <w:softHyphen/>
      </w:r>
      <w:r>
        <w:t>menala prvotně (to je v době po apoštolích) příběh ze života světcův a mučenníků, jenž v památné dny jejich směl býti čten* při mši. Záhy však přenesen název ten na křesťanskou pověst vůbec a na epické výtvory na ní založené.* V době následující shlstor. z</w:t>
      </w:r>
      <w:r>
        <w:t xml:space="preserve">ájem ustupoval snaze nábožně vzdělávací, zvi. pod mocným vlivem středověkého asketismu a mnlšstvi..» Místo skladeb kdysi stručných a střízlivých, rodí se legendy vždy obšírnější a fantastičtější. ..« (OSN XV—789.790). Které podstatné znaky a jaký ráz mají </w:t>
      </w:r>
      <w:r>
        <w:rPr>
          <w:lang w:val="en-US" w:eastAsia="en-US" w:bidi="en-US"/>
        </w:rPr>
        <w:t xml:space="preserve">leg. </w:t>
      </w:r>
      <w:r>
        <w:t>sw. zvlášť? sOslavný a výchovně agitační ráz jejich vede k jednostrannosti, jež obraci pozornost především k zásluhám příštího mučedníka a do</w:t>
      </w:r>
      <w:r>
        <w:softHyphen/>
        <w:t>voluje nedbati skutečností.* sLegendy o sv. Václavu, vypra</w:t>
      </w:r>
      <w:r>
        <w:softHyphen/>
        <w:t>vujíce o činech a zásluhách jeho života, jsou psán</w:t>
      </w:r>
      <w:r>
        <w:t>y již pod dojmem tohoto svátého konce a tedy přirozeně dotčeny sna</w:t>
      </w:r>
      <w:r>
        <w:softHyphen/>
        <w:t xml:space="preserve">hou, aby zásluha mučednictví jevila se úměrnou hodnotě života* (to jest jeho život musel být vyzdoben vymyšlenými ctnostmi), (Pekař, Sv. V. 19, 20). </w:t>
      </w:r>
      <w:r>
        <w:rPr>
          <w:lang w:val="en-US" w:eastAsia="en-US" w:bidi="en-US"/>
        </w:rPr>
        <w:t xml:space="preserve">Leg. </w:t>
      </w:r>
      <w:r>
        <w:t>sw., »nejsou arci živo</w:t>
      </w:r>
      <w:r>
        <w:softHyphen/>
        <w:t>topisy v naš</w:t>
      </w:r>
      <w:r>
        <w:t>em slova smyslu, nýbrž sepsání účelu nábožensko- výchovného, tedy pobožné povídky. Neběží jim o věrnost his</w:t>
      </w:r>
      <w:r>
        <w:softHyphen/>
        <w:t>torickou, pouze o to, aby čtenáře dojaly a zářivým příkladem hrdiny ponukly k životu podobnému. S látkou svou zacházejí proto neméně svobodně než dn</w:t>
      </w:r>
      <w:r>
        <w:t>ešní beletrista: hodí-li se jim některý rys nebo příhoda, který čtou o jiném světci, bez roz</w:t>
      </w:r>
      <w:r>
        <w:softHyphen/>
        <w:t xml:space="preserve">paku to opíší, nezměnice často ani slova* (Bartoš, Kn. </w:t>
      </w:r>
      <w:r>
        <w:rPr>
          <w:b/>
          <w:bCs/>
          <w:sz w:val="19"/>
          <w:szCs w:val="19"/>
        </w:rPr>
        <w:t xml:space="preserve">V. </w:t>
      </w:r>
      <w:r>
        <w:t>sv. 11.). Historikové se snaží vyloupnout z té směsi jádro pravdy,</w:t>
      </w:r>
    </w:p>
    <w:p w:rsidR="00500724" w:rsidRDefault="00F30FB8">
      <w:pPr>
        <w:pStyle w:val="Zkladntext100"/>
        <w:shd w:val="clear" w:color="auto" w:fill="auto"/>
        <w:spacing w:line="175" w:lineRule="auto"/>
        <w:ind w:firstLine="0"/>
      </w:pPr>
      <w:r>
        <w:rPr>
          <w:b/>
          <w:bCs/>
          <w:sz w:val="19"/>
          <w:szCs w:val="19"/>
        </w:rPr>
        <w:t xml:space="preserve">ale </w:t>
      </w:r>
      <w:r>
        <w:t>nedaří se jim to, neboť právě v hl</w:t>
      </w:r>
      <w:r>
        <w:t xml:space="preserve">avních </w:t>
      </w:r>
      <w:r>
        <w:rPr>
          <w:b/>
          <w:bCs/>
          <w:sz w:val="19"/>
          <w:szCs w:val="19"/>
        </w:rPr>
        <w:t xml:space="preserve">a </w:t>
      </w:r>
      <w:r>
        <w:t>podstatných věcech se rozcházejí. »Můžeme sic odepříti víru některým úda</w:t>
      </w:r>
      <w:r>
        <w:softHyphen/>
        <w:t>jům, jimiž 1 v legendách václavských přihlásila se k slovu řemeslná macha legendární, ale nemáme práva odepříti všechnu Víru tvrzením poměrně původním* (Pekař, Sv. V., 21.).</w:t>
      </w:r>
    </w:p>
    <w:p w:rsidR="00500724" w:rsidRDefault="00F30FB8">
      <w:pPr>
        <w:pStyle w:val="Zkladntext100"/>
        <w:shd w:val="clear" w:color="auto" w:fill="auto"/>
        <w:spacing w:line="175" w:lineRule="auto"/>
        <w:ind w:firstLine="260"/>
      </w:pPr>
      <w:r>
        <w:t xml:space="preserve">Původně se tradice sw. vztahovala jen ku světci, v nové době nabyla povahy politické. Jak asi zní tato tradice? Je v ní zastoupen trojí prvek: (1) »Tehdejší česká otázka měla </w:t>
      </w:r>
      <w:r>
        <w:rPr>
          <w:b/>
          <w:bCs/>
          <w:sz w:val="19"/>
          <w:szCs w:val="19"/>
        </w:rPr>
        <w:t xml:space="preserve">dva </w:t>
      </w:r>
      <w:r>
        <w:t>životní problémy. Měl-li se národ český udržet, bylo mu nevyhnutelnou nutnost</w:t>
      </w:r>
      <w:r>
        <w:t>í přilnouti záhy a úplně k víře křesťan</w:t>
      </w:r>
      <w:r>
        <w:softHyphen/>
        <w:t xml:space="preserve">ské, (2.) a hledati vyrovnání s říší německou.* (Novotný, Čes. děj. i. — 466). »Že to včas poznal a že měl odvahu s tím súčto- vati, je další skvělý doklad schopností Václavových* (týž Čes. fen. V. sv., 21.), »Ze si </w:t>
      </w:r>
      <w:r>
        <w:t>tuto životní otázku (to je pokřesťanění jhároda) dovedl uvědomiti, je jistě důkazem skvělého státnic</w:t>
      </w:r>
      <w:r>
        <w:softHyphen/>
        <w:t>kého nadání Václavova* (tt. 19.). (3.) Doba baroka »vytváří Si tradici o sv. Václavu, dřímajícim s rytíři svými v nitru hory Blaníka a připraveném vyjeti v</w:t>
      </w:r>
      <w:r>
        <w:t>ojensky na pomoc ve chvíli ne</w:t>
      </w:r>
      <w:r>
        <w:softHyphen/>
        <w:t>bezpečí* (Pekař, Sv. V., 43). A původ této tradice blanické? »Brzy po bělohorské pohromě objevuje se v proroctvích, jimiž Se těšili nebozí vyhnanci, pověst, že v Blaníku dříme vojsko božích bojovníků, které vyrazí z hory a vyb</w:t>
      </w:r>
      <w:r>
        <w:t xml:space="preserve">ojuje zase svobodu Žvangeliu.... Po nemalém bloudění našel Blaník a jeho vojsko llového hrdinu v starém světci a pověst ta, stará ani ne ještě sto </w:t>
      </w:r>
      <w:r>
        <w:rPr>
          <w:b/>
          <w:bCs/>
          <w:sz w:val="19"/>
          <w:szCs w:val="19"/>
        </w:rPr>
        <w:t xml:space="preserve">let, </w:t>
      </w:r>
      <w:r>
        <w:t>stala se pevnou součástí tradice václavské* (Bartoš, Kn. iV, sv., 53.). Podobným způsobem jsou mu také p</w:t>
      </w:r>
      <w:r>
        <w:t xml:space="preserve">řivlastněny </w:t>
      </w:r>
      <w:r>
        <w:rPr>
          <w:b/>
          <w:bCs/>
          <w:sz w:val="19"/>
          <w:szCs w:val="19"/>
        </w:rPr>
        <w:t xml:space="preserve">plží </w:t>
      </w:r>
      <w:r>
        <w:t xml:space="preserve">zásluhy jako jeho státnické nadání: »Ten velký zázrak, </w:t>
      </w:r>
      <w:r>
        <w:rPr>
          <w:b/>
          <w:bCs/>
          <w:sz w:val="19"/>
          <w:szCs w:val="19"/>
        </w:rPr>
        <w:t xml:space="preserve">t&gt; </w:t>
      </w:r>
      <w:r>
        <w:t xml:space="preserve">němž jsme se zmínili a na němž spolupracovala celá staletí ďějin našich, je ovšem dílem Václava mrtvého (to je tedy Vlastně dílem legendistů). Máme-li se vrátit k Václavu živému, </w:t>
      </w:r>
      <w:r>
        <w:t>Václavu knížeti a věnovat pozornost otázce, jakou životní zá</w:t>
      </w:r>
      <w:r>
        <w:softHyphen/>
        <w:t>sluhu jest mu přiznati po výtce, musíme polemicky čeliti pře</w:t>
      </w:r>
      <w:r>
        <w:softHyphen/>
        <w:t>devším výkladu, v němž si oblíbila zejména v poslední době část historiků našich... Podle toho výkladu osvědčil kníže Václav své neoby</w:t>
      </w:r>
      <w:r>
        <w:t>čejné nadání politické tím, že se poddal říši německé, že dal přednost, pro zabezpečení klidného rozvoje své země, pokoření před bojem, že slíbil poplatek a snad i plnou právní závislost, stávaje se tak zakladatelem dobré tradice za</w:t>
      </w:r>
      <w:r>
        <w:softHyphen/>
        <w:t>hraniční politiky české</w:t>
      </w:r>
      <w:r>
        <w:t>ho státu .... Tomuto a podobným vý</w:t>
      </w:r>
      <w:r>
        <w:softHyphen/>
        <w:t>kladům nemohu přisvědčit!.... především proto, že v našem případě scházejí všechny předpoklady pro závěr takový.... íeboť závislost knižetství českých (a Václav ovládal z nich jen si 2 nebo 3) na říši byla právní, faktick</w:t>
      </w:r>
      <w:r>
        <w:t>ou skutečností, vytvo- .enou dávno před sv. Václavem. To svědčí faktum z r. 895, kdy všecka knížata »Čechů«, zastoupena na říšském shromáž</w:t>
      </w:r>
      <w:r>
        <w:softHyphen/>
        <w:t xml:space="preserve">dění v Řezně, ve vší formě znovu uznala svrchovanost říše .. , </w:t>
      </w:r>
      <w:r>
        <w:rPr>
          <w:b/>
          <w:bCs/>
          <w:sz w:val="19"/>
          <w:szCs w:val="19"/>
        </w:rPr>
        <w:t xml:space="preserve">to </w:t>
      </w:r>
      <w:r>
        <w:t>svědčí křest 14 českých knížat s lidmi jejich v fte</w:t>
      </w:r>
      <w:r>
        <w:t xml:space="preserve">zně r. 845, </w:t>
      </w:r>
      <w:r>
        <w:rPr>
          <w:b/>
          <w:bCs/>
          <w:sz w:val="19"/>
          <w:szCs w:val="19"/>
        </w:rPr>
        <w:t xml:space="preserve">to </w:t>
      </w:r>
      <w:r>
        <w:t>svědčí zprávy ze starší doby karolinské z r. 817 a 822... Závislost nebo přináležitost Čechů k říši.... v době Václavově přes občasná přerušení měla již stoletou historii... jeho před</w:t>
      </w:r>
      <w:r>
        <w:softHyphen/>
        <w:t>chůdci na trůně poměr k říši již pevně byli stanovili* (P</w:t>
      </w:r>
      <w:r>
        <w:t>ekař,</w:t>
      </w:r>
    </w:p>
    <w:p w:rsidR="00500724" w:rsidRDefault="00F30FB8">
      <w:pPr>
        <w:pStyle w:val="Zkladntext100"/>
        <w:shd w:val="clear" w:color="auto" w:fill="auto"/>
        <w:spacing w:line="175" w:lineRule="auto"/>
        <w:ind w:firstLine="0"/>
      </w:pPr>
      <w:r>
        <w:t>Sv. V. 29. 31.).</w:t>
      </w:r>
    </w:p>
    <w:p w:rsidR="00500724" w:rsidRDefault="00F30FB8">
      <w:pPr>
        <w:pStyle w:val="Zkladntext100"/>
        <w:shd w:val="clear" w:color="auto" w:fill="auto"/>
        <w:spacing w:line="175" w:lineRule="auto"/>
        <w:ind w:firstLine="0"/>
        <w:jc w:val="right"/>
      </w:pPr>
      <w:r>
        <w:t>Je však vůbec nejisto, bojoval-li Václav s králem Jindřichem</w:t>
      </w:r>
    </w:p>
    <w:p w:rsidR="00500724" w:rsidRDefault="00F30FB8">
      <w:pPr>
        <w:pStyle w:val="Zkladntext100"/>
        <w:framePr w:dropCap="drop" w:lines="9" w:wrap="auto" w:vAnchor="text" w:hAnchor="text"/>
        <w:shd w:val="clear" w:color="auto" w:fill="auto"/>
        <w:spacing w:line="1282" w:lineRule="exact"/>
        <w:ind w:firstLine="0"/>
      </w:pPr>
      <w:r>
        <w:rPr>
          <w:rFonts w:ascii="Arial" w:eastAsia="Arial" w:hAnsi="Arial" w:cs="Arial"/>
          <w:position w:val="-27"/>
          <w:sz w:val="38"/>
          <w:szCs w:val="38"/>
        </w:rPr>
        <w:t>Í</w:t>
      </w:r>
    </w:p>
    <w:p w:rsidR="00500724" w:rsidRDefault="00F30FB8">
      <w:pPr>
        <w:pStyle w:val="Zkladntext100"/>
        <w:shd w:val="clear" w:color="auto" w:fill="auto"/>
        <w:spacing w:line="175" w:lineRule="auto"/>
        <w:ind w:firstLine="0"/>
      </w:pPr>
      <w:r>
        <w:t xml:space="preserve">ímeckým a poddal-li se mu a zavázal-ii se mu k poplatku: Pekař dokazuje, že se to týká jeho nástupce Boleslava, jako neni vyrovnání s říší německou jeho zásluhou, tak ji </w:t>
      </w:r>
      <w:r>
        <w:t>mí ani pokřesťanění Čechů: již 13. ledna 845 dalo se pokřtít i vévodů českých se svými lidmi (Novotný, Č. kn. V. sv., ), křesťanství šířili a kostely stavěli již jeho předkové Boři- )j (Novotný, Čes. děj. I. — 439.), Spytihněv (tt. 445. 446.), nž opustil l</w:t>
      </w:r>
      <w:r>
        <w:t xml:space="preserve">iturgii slovanskou a uvedl do Čech kněží latinské, ratislav (tt. 447.) Tradice se tudíž dopouští omylu, když fcizí zásluhy přičítá mladíku, nastoupivšímu na trůn asi v 16 až </w:t>
      </w:r>
      <w:r>
        <w:rPr>
          <w:b/>
          <w:bCs/>
          <w:sz w:val="19"/>
          <w:szCs w:val="19"/>
        </w:rPr>
        <w:t xml:space="preserve">18 </w:t>
      </w:r>
      <w:r>
        <w:t xml:space="preserve">letech (Pokorný, K tr. svv., Novotný, </w:t>
      </w:r>
      <w:r>
        <w:rPr>
          <w:lang w:val="en-US" w:eastAsia="en-US" w:bidi="en-US"/>
        </w:rPr>
        <w:t xml:space="preserve">Trad, </w:t>
      </w:r>
      <w:r>
        <w:t>svv., 27.), pano- ýavšímu 2 roky (B</w:t>
      </w:r>
      <w:r>
        <w:t>artoš, Kn. V. sv., 9.) a zemřevšímu asi ve vém 20. roce (tt. 16.). »To přirozeně není stáří, ve kterém irají dalekosáhlé politicko-náboženské koncepce, k tomu ještě ; ivědomělé a programové, jak se přičítaly Václavovi* (Pokor- lý, K tr. svv., 7.). »Pro ubo</w:t>
      </w:r>
      <w:r>
        <w:t>host pramenů nutno se po mém Nesvědčení vzdáti veškeré naděje, že bychom kdy pronikli zá- íadu, jakým že byl zavražděný kníže člověkem* (Bartoš. Kn. i Z, sv. 38.). »Co se týče státnosti a politiky, historik nezapo</w:t>
      </w:r>
      <w:r>
        <w:softHyphen/>
        <w:t>mene, že v oblasti nynějšího státu čsl. (p</w:t>
      </w:r>
      <w:r>
        <w:t>sáno r. 1929) a našeho jazyka a naší krve existovaly státní útvary mnohem dříve (Samo, říše velkomoravská), a že i ve vlastním území měl Václav před sebou již několik pokolení domácích knížat, arci jen v oblasti pražské, že tedy Václav nemůže býti prohla</w:t>
      </w:r>
      <w:r>
        <w:softHyphen/>
        <w:t>š</w:t>
      </w:r>
      <w:r>
        <w:t>ován za zakladatele českého státu, jako nebyl prvním apošto</w:t>
      </w:r>
      <w:r>
        <w:softHyphen/>
        <w:t xml:space="preserve">lem křesťanství* (Žilka, </w:t>
      </w:r>
      <w:r>
        <w:rPr>
          <w:lang w:val="en-US" w:eastAsia="en-US" w:bidi="en-US"/>
        </w:rPr>
        <w:t xml:space="preserve">Pam. </w:t>
      </w:r>
      <w:r>
        <w:t>kn. V., 34.).</w:t>
      </w:r>
    </w:p>
    <w:p w:rsidR="00500724" w:rsidRDefault="00F30FB8">
      <w:pPr>
        <w:pStyle w:val="Zkladntext100"/>
        <w:shd w:val="clear" w:color="auto" w:fill="auto"/>
        <w:spacing w:after="240" w:line="175" w:lineRule="auto"/>
        <w:ind w:firstLine="0"/>
        <w:jc w:val="right"/>
      </w:pPr>
      <w:r>
        <w:t>Jos. Pleva</w:t>
      </w:r>
    </w:p>
    <w:p w:rsidR="00500724" w:rsidRDefault="00F30FB8">
      <w:pPr>
        <w:pStyle w:val="Zkladntext100"/>
        <w:shd w:val="clear" w:color="auto" w:fill="auto"/>
        <w:spacing w:after="100" w:line="161" w:lineRule="auto"/>
        <w:ind w:firstLine="0"/>
        <w:jc w:val="center"/>
        <w:rPr>
          <w:sz w:val="19"/>
          <w:szCs w:val="19"/>
        </w:rPr>
      </w:pPr>
      <w:r>
        <w:rPr>
          <w:b/>
          <w:bCs/>
          <w:sz w:val="19"/>
          <w:szCs w:val="19"/>
        </w:rPr>
        <w:t>Jazykové rekordy?</w:t>
      </w:r>
    </w:p>
    <w:p w:rsidR="00500724" w:rsidRDefault="00F30FB8">
      <w:pPr>
        <w:pStyle w:val="Zkladntext100"/>
        <w:shd w:val="clear" w:color="auto" w:fill="auto"/>
        <w:spacing w:after="60" w:line="170" w:lineRule="auto"/>
        <w:ind w:left="1060" w:firstLine="0"/>
        <w:jc w:val="left"/>
      </w:pPr>
      <w:r>
        <w:t>Vážená redakce!</w:t>
      </w:r>
    </w:p>
    <w:p w:rsidR="00500724" w:rsidRDefault="00F30FB8">
      <w:pPr>
        <w:pStyle w:val="Zkladntext100"/>
        <w:shd w:val="clear" w:color="auto" w:fill="auto"/>
        <w:spacing w:after="60" w:line="170" w:lineRule="auto"/>
        <w:ind w:firstLine="200"/>
        <w:jc w:val="left"/>
      </w:pPr>
      <w:r>
        <w:t xml:space="preserve">Navazuji na článek »Jsme jazykově nadaní?* </w:t>
      </w:r>
      <w:r>
        <w:rPr>
          <w:b/>
          <w:bCs/>
          <w:sz w:val="19"/>
          <w:szCs w:val="19"/>
        </w:rPr>
        <w:t xml:space="preserve">v 18. </w:t>
      </w:r>
      <w:r>
        <w:t xml:space="preserve">čísle Přítomnosti, protože se domnívám, že potřebuje v </w:t>
      </w:r>
      <w:r>
        <w:t>jednom směru doplnění. Jinak by jeho důsledný výklad mohl míti škodlivé účinky.</w:t>
      </w:r>
    </w:p>
    <w:p w:rsidR="00500724" w:rsidRDefault="00F30FB8">
      <w:pPr>
        <w:pStyle w:val="Zkladntext100"/>
        <w:shd w:val="clear" w:color="auto" w:fill="auto"/>
        <w:spacing w:after="60" w:line="178" w:lineRule="auto"/>
        <w:ind w:firstLine="0"/>
        <w:jc w:val="right"/>
      </w:pPr>
      <w:r>
        <w:t>Jde o předposlední odstavec, v němž autor lituje, že u nás málo jedinců ovládá některý cizí jazyk naprosto dokonale jako</w:t>
      </w:r>
    </w:p>
    <w:p w:rsidR="00500724" w:rsidRDefault="00F30FB8">
      <w:pPr>
        <w:pStyle w:val="Zkladntext100"/>
        <w:shd w:val="clear" w:color="auto" w:fill="auto"/>
        <w:spacing w:line="190" w:lineRule="auto"/>
        <w:ind w:firstLine="0"/>
      </w:pPr>
      <w:r>
        <w:rPr>
          <w:b/>
          <w:bCs/>
          <w:sz w:val="19"/>
          <w:szCs w:val="19"/>
        </w:rPr>
        <w:t>rodilý cizinec a vůbec, že máme i v jazykovém směru mál</w:t>
      </w:r>
      <w:r>
        <w:rPr>
          <w:b/>
          <w:bCs/>
          <w:sz w:val="19"/>
          <w:szCs w:val="19"/>
        </w:rPr>
        <w:t xml:space="preserve">o </w:t>
      </w:r>
      <w:r>
        <w:t>rekordmanů.</w:t>
      </w:r>
    </w:p>
    <w:p w:rsidR="00500724" w:rsidRDefault="00F30FB8">
      <w:pPr>
        <w:pStyle w:val="Zkladntext100"/>
        <w:shd w:val="clear" w:color="auto" w:fill="auto"/>
        <w:spacing w:line="202" w:lineRule="auto"/>
        <w:ind w:firstLine="200"/>
      </w:pPr>
      <w:r>
        <w:t xml:space="preserve">Nuže, </w:t>
      </w:r>
      <w:r>
        <w:rPr>
          <w:b/>
          <w:bCs/>
          <w:sz w:val="19"/>
          <w:szCs w:val="19"/>
        </w:rPr>
        <w:t xml:space="preserve">z </w:t>
      </w:r>
      <w:r>
        <w:t>toho bychom mohli snadno vyvozovati, že se máma při studiu cizích jazyků snažiti o naprostou dokonalost po stránce správné výslovnosti, mluvnických pravidel, přízvuku, mluvy spisovné, lidové (až i nářečí?), zkrátka o takovou doko</w:t>
      </w:r>
      <w:r>
        <w:softHyphen/>
      </w:r>
      <w:r>
        <w:t>nalost, jaká je nám vlastní v mateřštině. A protože by sa každý jazyk měl studovati buď takto stoprocentně anebo vůbec ne — polovičatost se odmítá — znamenalo by to pro normálního jedince možnost ovládnuti jednoho, nejvýš dvou cizích jazyků, ovšem toliko z</w:t>
      </w:r>
      <w:r>
        <w:t>a cenu takřka celoživotního studia.</w:t>
      </w:r>
    </w:p>
    <w:p w:rsidR="00500724" w:rsidRDefault="00F30FB8">
      <w:pPr>
        <w:pStyle w:val="Zkladntext100"/>
        <w:shd w:val="clear" w:color="auto" w:fill="auto"/>
        <w:spacing w:line="194" w:lineRule="auto"/>
        <w:ind w:firstLine="200"/>
      </w:pPr>
      <w:r>
        <w:t>Takovéto důsledky jsou zřejmě nepřijatelné a nebyly jistě zamýšleny ani autorem uvedeného článku.</w:t>
      </w:r>
    </w:p>
    <w:p w:rsidR="00500724" w:rsidRDefault="00F30FB8">
      <w:pPr>
        <w:pStyle w:val="Zkladntext100"/>
        <w:shd w:val="clear" w:color="auto" w:fill="auto"/>
        <w:spacing w:line="202" w:lineRule="auto"/>
        <w:ind w:firstLine="200"/>
      </w:pPr>
      <w:r>
        <w:t>V první řadě musíme míti stále na paměti, že každá cizí řeě je pro nás toliko dorozumívací prostředek, a nikoliv (vy</w:t>
      </w:r>
      <w:r>
        <w:softHyphen/>
        <w:t>jímaj</w:t>
      </w:r>
      <w:r>
        <w:t>e filology z povolání), sám účel, neboť ten je tak roz</w:t>
      </w:r>
      <w:r>
        <w:softHyphen/>
        <w:t>manitý jako potřeby a záliby každého jednotlivce.</w:t>
      </w:r>
    </w:p>
    <w:p w:rsidR="00500724" w:rsidRDefault="00F30FB8">
      <w:pPr>
        <w:pStyle w:val="Zkladntext100"/>
        <w:shd w:val="clear" w:color="auto" w:fill="auto"/>
        <w:spacing w:line="202" w:lineRule="auto"/>
        <w:ind w:firstLine="200"/>
      </w:pPr>
      <w:r>
        <w:t>Dále nutno si uvědomiti, že znalost cizího jazyka nutno děliti na znalost čtení, psaní a mluvení. Pro milovníka lite</w:t>
      </w:r>
      <w:r>
        <w:softHyphen/>
        <w:t>ratury a vědce je nejdůležitější r</w:t>
      </w:r>
      <w:r>
        <w:t>ozuměti cizojazyčným knihám, pro obchodního korespondenta rozhoduje dokonalý písemný styk, kdežto turista nebo průmyslník se zajímá hlavně o jazyk mluvený.</w:t>
      </w:r>
    </w:p>
    <w:p w:rsidR="00500724" w:rsidRDefault="00F30FB8">
      <w:pPr>
        <w:pStyle w:val="Zkladntext100"/>
        <w:shd w:val="clear" w:color="auto" w:fill="auto"/>
        <w:spacing w:after="80" w:line="185" w:lineRule="auto"/>
        <w:ind w:firstLine="200"/>
      </w:pPr>
      <w:r>
        <w:t>Cizím jazykům začínáme se učiti na střední škole nebo ještě dříve, tedy v době, kdy ještě nemůžeme v</w:t>
      </w:r>
      <w:r>
        <w:t>ěděti, který nebo které jazyky budeme v životě nejvíce potřebovat. Z toho plyne nutnost, jak správně činí také naše školská soustava, před- v í d a t i pro jazykový základ takové cizí jazyky, které podle okolností zeměpisných, politických, kulturních a jin</w:t>
      </w:r>
      <w:r>
        <w:t>ých budou pro nás pravděpodobně nejdůležitější.</w:t>
      </w:r>
    </w:p>
    <w:p w:rsidR="00500724" w:rsidRDefault="00F30FB8">
      <w:pPr>
        <w:pStyle w:val="Zkladntext100"/>
        <w:shd w:val="clear" w:color="auto" w:fill="auto"/>
        <w:spacing w:line="175" w:lineRule="auto"/>
        <w:ind w:firstLine="200"/>
      </w:pPr>
      <w:r>
        <w:t>A konečně, připustíme-li, že pro nás mají cizí jazyky povahu pomocnou jakožto prostředek k přímému poznání cizích ná</w:t>
      </w:r>
      <w:r>
        <w:softHyphen/>
        <w:t>rodů a jejich kultur, pak také musíme uznati, že postačí, osvo- jíme-li si cizí jazyk (nebo</w:t>
      </w:r>
      <w:r>
        <w:t xml:space="preserve"> cizí jazyky) do té míry, jak to potřebujeme k dosažení účelů, jež jazykovým studiem sledu</w:t>
      </w:r>
      <w:r>
        <w:softHyphen/>
        <w:t>jeme. Nehledíme-li k Čechům, trvale usazeným v cizině, může</w:t>
      </w:r>
      <w:r>
        <w:softHyphen/>
        <w:t xml:space="preserve">me býti ubezpečeni, že každý (třebas to nebyl Shawův </w:t>
      </w:r>
      <w:r>
        <w:rPr>
          <w:lang w:val="en-US" w:eastAsia="en-US" w:bidi="en-US"/>
        </w:rPr>
        <w:t xml:space="preserve">Higgins </w:t>
      </w:r>
      <w:r>
        <w:t xml:space="preserve">z »Pygmalionu«) v nás pozná cizince, i když </w:t>
      </w:r>
      <w:r>
        <w:t>nám ze zdvořilo</w:t>
      </w:r>
      <w:r>
        <w:softHyphen/>
        <w:t>sti řekne, že mluvíme »docela jako oni sami, k nerozeznání*^ Ostatně, žádný Čech nemá důvodů, aby se styděl za svou ná</w:t>
      </w:r>
      <w:r>
        <w:softHyphen/>
        <w:t>rodnost a snažil se ji skrývat pod pláštíkem dokonalého ovlá</w:t>
      </w:r>
      <w:r>
        <w:softHyphen/>
        <w:t>dání cizího jazyka. Tím nechci snad nabádati k povrchnímu st</w:t>
      </w:r>
      <w:r>
        <w:t>udiu cizích jazyků, nýbrž prostě poukázati na jediné rozum</w:t>
      </w:r>
      <w:r>
        <w:softHyphen/>
        <w:t>nou zlatou střední cestu. Tu spatřuji v takové znalosti cizího jazyka, která nám umožňuje za šetření základních mluvnických pravidel vyjadřovat! se plynně slovem i písmem. Výslovnost a přízvuk se s</w:t>
      </w:r>
      <w:r>
        <w:t>tejně nedají dokonale naučit při teoretickém studiu, o němž je zde stále řeč; praksi v cizím prostředí se jazyk při trošce pozorno</w:t>
      </w:r>
      <w:r>
        <w:softHyphen/>
        <w:t>sti oblomí sám.</w:t>
      </w:r>
    </w:p>
    <w:p w:rsidR="00500724" w:rsidRDefault="00F30FB8">
      <w:pPr>
        <w:pStyle w:val="Zkladntext100"/>
        <w:shd w:val="clear" w:color="auto" w:fill="auto"/>
        <w:spacing w:line="178" w:lineRule="auto"/>
        <w:ind w:firstLine="200"/>
      </w:pPr>
      <w:r>
        <w:t>Tuto poměrnou dokonalost (která se ovšem značně liší od oné absolutní, dříve zmíněné) si může bez valných obt</w:t>
      </w:r>
      <w:r>
        <w:t>íží osvo</w:t>
      </w:r>
      <w:r>
        <w:softHyphen/>
        <w:t>jit každý středoškolák,jimž také hlavně platí tyto úvahy. Jsou-li dosud jazykové znalosti středoškoláků daleko horší, jak správně bylo vyzdviženo, pak, myslím, příčina tkví v jejich nesprávném postoji k cizím řečem, to je v nedostatku pochopení ke</w:t>
      </w:r>
      <w:r>
        <w:t xml:space="preserve"> skutečnostem, jež jsem se zde snažil nastíniti. Průběhem doby požadavky stoupají: kdysi platil za vzdělance ten, kdo uměl číst a psát: dnes mezi předpoklady našeho vzdělance patří též dva cizí jazyky.</w:t>
      </w:r>
    </w:p>
    <w:p w:rsidR="00500724" w:rsidRDefault="00F30FB8">
      <w:pPr>
        <w:pStyle w:val="Zkladntext100"/>
        <w:shd w:val="clear" w:color="auto" w:fill="auto"/>
        <w:spacing w:line="175" w:lineRule="auto"/>
        <w:ind w:firstLine="0"/>
        <w:jc w:val="right"/>
      </w:pPr>
      <w:r>
        <w:t xml:space="preserve">Ano, závěrem těchto úvah je požadavek nynější doby, </w:t>
      </w:r>
      <w:r>
        <w:t>aby každý vzdělaný Čech — při nejmenším maturantem počínaje — znal dokonale (v našem smyslu) alespoň německy a francouzský. To nejen proto, že tak velí dlouholetá tra</w:t>
      </w:r>
      <w:r>
        <w:softHyphen/>
        <w:t>dice a nutnosti kulturní a politické, nýbrž hlavně proto, že tím — totiž znalostí jednoho</w:t>
      </w:r>
      <w:r>
        <w:t xml:space="preserve"> slovanského, jednoho germánského a jednoho románského jazyka — se mu otevře cesta ke všem důležitým evropským jazykům, z nichž každému lze se naučiti podle příbuzného jazyka daleko snáze, až život rozhodne, který,</w:t>
      </w:r>
    </w:p>
    <w:p w:rsidR="00500724" w:rsidRDefault="00F30FB8">
      <w:pPr>
        <w:pStyle w:val="Zkladntext100"/>
        <w:shd w:val="clear" w:color="auto" w:fill="auto"/>
        <w:spacing w:line="175" w:lineRule="auto"/>
        <w:ind w:firstLine="0"/>
        <w:jc w:val="right"/>
      </w:pPr>
      <w:r>
        <w:t>či které to mají býti.</w:t>
      </w:r>
    </w:p>
    <w:p w:rsidR="00500724" w:rsidRDefault="00F30FB8">
      <w:pPr>
        <w:pStyle w:val="Zkladntext100"/>
        <w:shd w:val="clear" w:color="auto" w:fill="auto"/>
        <w:spacing w:line="178" w:lineRule="auto"/>
        <w:ind w:firstLine="200"/>
      </w:pPr>
      <w:r>
        <w:t>Tisíckrát se u nás</w:t>
      </w:r>
      <w:r>
        <w:t xml:space="preserve"> opakuje, že jako malý národ můžeme a musíme toliko kulturně soutěžit s národy ostatními. Nuže, základním předpokladem takovéhoto soutěžení — usilu- jeme-li o kulturu evropské úrovně — je znalost cizích řečí. protože ta nám přináší možnost poznati kultury </w:t>
      </w:r>
      <w:r>
        <w:t>cizích národů, a již tímto poznáním zvýšiti kulturu vlastní. Velikým krokem ku předu bude, uznáme-li, že vzhledem ke svým schopnostem a, což je důležitější, vzhledem ke svým nynějším potřebám, jsme otázku cizích jazyků vcelku zanedbali. Druhým, rozhodu</w:t>
      </w:r>
      <w:r>
        <w:softHyphen/>
        <w:t>jíc</w:t>
      </w:r>
      <w:r>
        <w:t>ím, bude pevná vůle každého našeho vzdělance, ovládati do</w:t>
      </w:r>
      <w:r>
        <w:softHyphen/>
        <w:t>konale jeden germánský a jeden románský jazyk. Nesnažme se však o jazykové rekordy jedinců, nýbrž právě naopak, usi</w:t>
      </w:r>
      <w:r>
        <w:softHyphen/>
        <w:t>lujme o široký průměr vzdělaných a dobře evropské jazyky ovládajících Čechů; z tak</w:t>
      </w:r>
      <w:r>
        <w:t>ovéto živné půdy vzejdou jistě osob</w:t>
      </w:r>
      <w:r>
        <w:softHyphen/>
        <w:t>nosti evropského a bohdá i světového významu.</w:t>
      </w:r>
    </w:p>
    <w:p w:rsidR="00500724" w:rsidRDefault="00F30FB8">
      <w:pPr>
        <w:pStyle w:val="Zkladntext100"/>
        <w:shd w:val="clear" w:color="auto" w:fill="auto"/>
        <w:spacing w:line="178" w:lineRule="auto"/>
        <w:ind w:firstLine="0"/>
        <w:jc w:val="right"/>
        <w:sectPr w:rsidR="00500724">
          <w:footnotePr>
            <w:numFmt w:val="chicago"/>
            <w:numRestart w:val="eachPage"/>
          </w:footnotePr>
          <w:type w:val="continuous"/>
          <w:pgSz w:w="11909" w:h="16834"/>
          <w:pgMar w:top="785" w:right="842" w:bottom="936" w:left="679" w:header="0" w:footer="3" w:gutter="0"/>
          <w:cols w:num="2" w:space="108"/>
          <w:noEndnote/>
          <w:docGrid w:linePitch="360"/>
        </w:sectPr>
      </w:pPr>
      <w:r>
        <w:t>Dr. MilanBartošelc</w:t>
      </w:r>
    </w:p>
    <w:p w:rsidR="00500724" w:rsidRDefault="00F30FB8">
      <w:pPr>
        <w:pStyle w:val="Nadpis50"/>
        <w:keepNext/>
        <w:keepLines/>
        <w:framePr w:w="6955" w:h="1694" w:wrap="none" w:vAnchor="text" w:hAnchor="page" w:x="3680" w:y="260"/>
        <w:shd w:val="clear" w:color="auto" w:fill="auto"/>
      </w:pPr>
      <w:bookmarkStart w:id="578" w:name="bookmark577"/>
      <w:r>
        <w:t>vět knih</w:t>
      </w:r>
      <w:bookmarkEnd w:id="578"/>
    </w:p>
    <w:p w:rsidR="00500724" w:rsidRDefault="00F30FB8">
      <w:pPr>
        <w:pStyle w:val="Nadpis90"/>
        <w:keepNext/>
        <w:keepLines/>
        <w:framePr w:w="7190" w:h="523" w:wrap="none" w:vAnchor="text" w:hAnchor="page" w:x="3474" w:y="1955"/>
        <w:shd w:val="clear" w:color="auto" w:fill="auto"/>
        <w:spacing w:after="0"/>
        <w:rPr>
          <w:sz w:val="42"/>
          <w:szCs w:val="42"/>
        </w:rPr>
      </w:pPr>
      <w:bookmarkStart w:id="579" w:name="bookmark578"/>
      <w:r>
        <w:rPr>
          <w:b/>
          <w:bCs/>
          <w:sz w:val="34"/>
          <w:szCs w:val="34"/>
        </w:rPr>
        <w:t xml:space="preserve">KULTURNÍ </w:t>
      </w:r>
      <w:r>
        <w:rPr>
          <w:smallCaps/>
          <w:sz w:val="42"/>
          <w:szCs w:val="42"/>
        </w:rPr>
        <w:t>zpravodaj</w:t>
      </w:r>
      <w:bookmarkEnd w:id="579"/>
    </w:p>
    <w:p w:rsidR="00500724" w:rsidRDefault="00F30FB8">
      <w:pPr>
        <w:pStyle w:val="Jin0"/>
        <w:framePr w:w="336" w:h="1690" w:wrap="none" w:vAnchor="text" w:hAnchor="page" w:x="10943" w:y="21"/>
        <w:shd w:val="clear" w:color="auto" w:fill="auto"/>
        <w:ind w:firstLine="0"/>
        <w:jc w:val="left"/>
        <w:rPr>
          <w:sz w:val="15"/>
          <w:szCs w:val="15"/>
        </w:rPr>
      </w:pPr>
      <w:r>
        <w:rPr>
          <w:rFonts w:ascii="Arial" w:eastAsia="Arial" w:hAnsi="Arial" w:cs="Arial"/>
          <w:b/>
          <w:bCs/>
          <w:sz w:val="15"/>
          <w:szCs w:val="15"/>
        </w:rPr>
        <w:t>99</w:t>
      </w:r>
    </w:p>
    <w:p w:rsidR="00500724" w:rsidRDefault="00F30FB8">
      <w:pPr>
        <w:pStyle w:val="Jin0"/>
        <w:framePr w:w="336" w:h="1690" w:wrap="none" w:vAnchor="text" w:hAnchor="page" w:x="10943" w:y="21"/>
        <w:shd w:val="clear" w:color="auto" w:fill="auto"/>
        <w:spacing w:after="40" w:line="199" w:lineRule="auto"/>
        <w:ind w:firstLine="0"/>
        <w:jc w:val="left"/>
        <w:rPr>
          <w:sz w:val="15"/>
          <w:szCs w:val="15"/>
        </w:rPr>
      </w:pPr>
      <w:r>
        <w:rPr>
          <w:rFonts w:ascii="Arial" w:eastAsia="Arial" w:hAnsi="Arial" w:cs="Arial"/>
          <w:b/>
          <w:bCs/>
          <w:sz w:val="15"/>
          <w:szCs w:val="15"/>
        </w:rPr>
        <w:t>O</w:t>
      </w:r>
    </w:p>
    <w:p w:rsidR="00500724" w:rsidRDefault="00F30FB8">
      <w:pPr>
        <w:pStyle w:val="Jin0"/>
        <w:framePr w:w="336" w:h="1690" w:wrap="none" w:vAnchor="text" w:hAnchor="page" w:x="10943" w:y="21"/>
        <w:shd w:val="clear" w:color="auto" w:fill="auto"/>
        <w:spacing w:after="40"/>
        <w:ind w:firstLine="0"/>
        <w:jc w:val="left"/>
        <w:rPr>
          <w:sz w:val="11"/>
          <w:szCs w:val="11"/>
        </w:rPr>
      </w:pPr>
      <w:r>
        <w:rPr>
          <w:b/>
          <w:bCs/>
          <w:sz w:val="11"/>
          <w:szCs w:val="11"/>
        </w:rPr>
        <w:t>n&lt;</w:t>
      </w:r>
    </w:p>
    <w:p w:rsidR="00500724" w:rsidRDefault="00F30FB8">
      <w:pPr>
        <w:pStyle w:val="Zkladntext80"/>
        <w:framePr w:w="336" w:h="1690" w:wrap="none" w:vAnchor="text" w:hAnchor="page" w:x="10943" w:y="21"/>
        <w:shd w:val="clear" w:color="auto" w:fill="auto"/>
        <w:spacing w:after="140" w:line="240" w:lineRule="auto"/>
        <w:rPr>
          <w:sz w:val="20"/>
          <w:szCs w:val="20"/>
        </w:rPr>
      </w:pPr>
      <w:r>
        <w:rPr>
          <w:b w:val="0"/>
          <w:bCs w:val="0"/>
          <w:sz w:val="20"/>
          <w:szCs w:val="20"/>
        </w:rPr>
        <w:t>-o</w:t>
      </w:r>
    </w:p>
    <w:p w:rsidR="00500724" w:rsidRDefault="00F30FB8">
      <w:pPr>
        <w:pStyle w:val="Jin0"/>
        <w:framePr w:w="336" w:h="1690" w:wrap="none" w:vAnchor="text" w:hAnchor="page" w:x="10943" w:y="21"/>
        <w:shd w:val="clear" w:color="auto" w:fill="auto"/>
        <w:spacing w:after="140"/>
        <w:ind w:firstLine="0"/>
        <w:jc w:val="left"/>
        <w:rPr>
          <w:sz w:val="11"/>
          <w:szCs w:val="11"/>
        </w:rPr>
      </w:pPr>
      <w:r>
        <w:rPr>
          <w:b/>
          <w:bCs/>
          <w:sz w:val="11"/>
          <w:szCs w:val="11"/>
        </w:rPr>
        <w:t>O«</w:t>
      </w:r>
    </w:p>
    <w:p w:rsidR="00500724" w:rsidRDefault="00F30FB8">
      <w:pPr>
        <w:pStyle w:val="Jin0"/>
        <w:framePr w:w="336" w:h="1690" w:wrap="none" w:vAnchor="text" w:hAnchor="page" w:x="10943" w:y="21"/>
        <w:shd w:val="clear" w:color="auto" w:fill="auto"/>
        <w:spacing w:after="120"/>
        <w:ind w:firstLine="0"/>
        <w:jc w:val="left"/>
        <w:rPr>
          <w:sz w:val="11"/>
          <w:szCs w:val="11"/>
        </w:rPr>
      </w:pPr>
      <w:r>
        <w:rPr>
          <w:b/>
          <w:bCs/>
          <w:sz w:val="11"/>
          <w:szCs w:val="11"/>
        </w:rPr>
        <w:t>(Z)</w:t>
      </w:r>
    </w:p>
    <w:p w:rsidR="00500724" w:rsidRDefault="00F30FB8">
      <w:pPr>
        <w:pStyle w:val="Jin0"/>
        <w:framePr w:w="336" w:h="1690" w:wrap="none" w:vAnchor="text" w:hAnchor="page" w:x="10943" w:y="21"/>
        <w:shd w:val="clear" w:color="auto" w:fill="auto"/>
        <w:spacing w:after="120"/>
        <w:ind w:firstLine="0"/>
        <w:jc w:val="left"/>
        <w:rPr>
          <w:sz w:val="15"/>
          <w:szCs w:val="15"/>
        </w:rPr>
      </w:pPr>
      <w:r>
        <w:rPr>
          <w:rFonts w:ascii="Arial" w:eastAsia="Arial" w:hAnsi="Arial" w:cs="Arial"/>
          <w:b/>
          <w:bCs/>
          <w:sz w:val="15"/>
          <w:szCs w:val="15"/>
        </w:rPr>
        <w:t>o</w:t>
      </w:r>
    </w:p>
    <w:p w:rsidR="00500724" w:rsidRDefault="00500724">
      <w:pPr>
        <w:spacing w:after="78" w:line="14" w:lineRule="exact"/>
      </w:pPr>
    </w:p>
    <w:p w:rsidR="00500724" w:rsidRDefault="00500724">
      <w:pPr>
        <w:spacing w:line="14" w:lineRule="exact"/>
        <w:sectPr w:rsidR="00500724">
          <w:footnotePr>
            <w:numFmt w:val="chicago"/>
            <w:numRestart w:val="eachPage"/>
          </w:footnotePr>
          <w:pgSz w:w="11909" w:h="16834"/>
          <w:pgMar w:top="3079" w:right="608" w:bottom="800" w:left="833" w:header="0" w:footer="3" w:gutter="0"/>
          <w:cols w:space="720"/>
          <w:noEndnote/>
          <w:docGrid w:linePitch="360"/>
        </w:sectPr>
      </w:pPr>
    </w:p>
    <w:p w:rsidR="00500724" w:rsidRDefault="00500724">
      <w:pPr>
        <w:spacing w:line="95" w:lineRule="exact"/>
        <w:rPr>
          <w:sz w:val="8"/>
          <w:szCs w:val="8"/>
        </w:rPr>
      </w:pPr>
    </w:p>
    <w:p w:rsidR="00500724" w:rsidRDefault="00500724">
      <w:pPr>
        <w:spacing w:line="14" w:lineRule="exact"/>
        <w:sectPr w:rsidR="00500724">
          <w:footnotePr>
            <w:numFmt w:val="chicago"/>
            <w:numRestart w:val="eachPage"/>
          </w:footnotePr>
          <w:type w:val="continuous"/>
          <w:pgSz w:w="11909" w:h="16834"/>
          <w:pgMar w:top="1913" w:right="0" w:bottom="0"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942" behindDoc="0" locked="0" layoutInCell="1" allowOverlap="1">
                <wp:simplePos x="0" y="0"/>
                <wp:positionH relativeFrom="page">
                  <wp:posOffset>2278380</wp:posOffset>
                </wp:positionH>
                <wp:positionV relativeFrom="paragraph">
                  <wp:posOffset>12700</wp:posOffset>
                </wp:positionV>
                <wp:extent cx="3209290" cy="1304290"/>
                <wp:effectExtent l="0" t="0" r="0" b="0"/>
                <wp:wrapSquare wrapText="right"/>
                <wp:docPr id="565" name="Shape 565"/>
                <wp:cNvGraphicFramePr/>
                <a:graphic xmlns:a="http://schemas.openxmlformats.org/drawingml/2006/main">
                  <a:graphicData uri="http://schemas.microsoft.com/office/word/2010/wordprocessingShape">
                    <wps:wsp>
                      <wps:cNvSpPr txBox="1"/>
                      <wps:spPr>
                        <a:xfrm>
                          <a:off x="0" y="0"/>
                          <a:ext cx="3209290" cy="1304290"/>
                        </a:xfrm>
                        <a:prstGeom prst="rect">
                          <a:avLst/>
                        </a:prstGeom>
                        <a:noFill/>
                      </wps:spPr>
                      <wps:txbx>
                        <w:txbxContent>
                          <w:p w:rsidR="00500724" w:rsidRDefault="00F30FB8">
                            <w:pPr>
                              <w:pStyle w:val="Zkladntext20"/>
                              <w:shd w:val="clear" w:color="auto" w:fill="auto"/>
                              <w:spacing w:after="60" w:line="202" w:lineRule="auto"/>
                              <w:ind w:right="60" w:firstLine="0"/>
                              <w:jc w:val="center"/>
                              <w:rPr>
                                <w:sz w:val="20"/>
                                <w:szCs w:val="20"/>
                              </w:rPr>
                            </w:pPr>
                            <w:r>
                              <w:rPr>
                                <w:b/>
                                <w:bCs/>
                                <w:sz w:val="20"/>
                                <w:szCs w:val="20"/>
                              </w:rPr>
                              <w:t>POESIE JE VĚCNÁ</w:t>
                            </w:r>
                          </w:p>
                          <w:p w:rsidR="00500724" w:rsidRDefault="00F30FB8">
                            <w:pPr>
                              <w:pStyle w:val="Zkladntext100"/>
                              <w:shd w:val="clear" w:color="auto" w:fill="auto"/>
                              <w:tabs>
                                <w:tab w:val="left" w:pos="3653"/>
                              </w:tabs>
                              <w:spacing w:line="211" w:lineRule="auto"/>
                              <w:ind w:firstLine="180"/>
                              <w:rPr>
                                <w:sz w:val="20"/>
                                <w:szCs w:val="20"/>
                              </w:rPr>
                            </w:pPr>
                            <w:r>
                              <w:rPr>
                                <w:b/>
                                <w:bCs/>
                                <w:sz w:val="19"/>
                                <w:szCs w:val="19"/>
                              </w:rPr>
                              <w:t>Poesie není mrtva a nikdy neumře, ani nemůže umřít, a to nikde na světě. Kdyby bylo možné, aby umřela, bylo by se to již stalo. Ohlašovat zánik poesie by bylo totéž, jako ohlašovat zánik hudby. Oba tyto způsoby uměleckého vy</w:t>
                            </w:r>
                            <w:r>
                              <w:rPr>
                                <w:b/>
                                <w:bCs/>
                                <w:sz w:val="19"/>
                                <w:szCs w:val="19"/>
                              </w:rPr>
                              <w:softHyphen/>
                              <w:t>jadřováni vyplývají z potřeb čl</w:t>
                            </w:r>
                            <w:r>
                              <w:rPr>
                                <w:b/>
                                <w:bCs/>
                                <w:sz w:val="19"/>
                                <w:szCs w:val="19"/>
                              </w:rPr>
                              <w:t>ověka a jeho duše. Jsou ne</w:t>
                            </w:r>
                            <w:r>
                              <w:rPr>
                                <w:b/>
                                <w:bCs/>
                                <w:sz w:val="19"/>
                                <w:szCs w:val="19"/>
                              </w:rPr>
                              <w:softHyphen/>
                              <w:t>pomíjející. Ostatně po zániku poesie by velmi brzy následo</w:t>
                            </w:r>
                            <w:r>
                              <w:rPr>
                                <w:b/>
                                <w:bCs/>
                                <w:sz w:val="19"/>
                                <w:szCs w:val="19"/>
                              </w:rPr>
                              <w:softHyphen/>
                              <w:t>val zánik celé literatury, protože poesie je vysoko položený pramen, z něhož všechny ostatní literární žánry vytékají Jako vodopády.</w:t>
                            </w:r>
                            <w:r>
                              <w:rPr>
                                <w:b/>
                                <w:bCs/>
                                <w:sz w:val="19"/>
                                <w:szCs w:val="19"/>
                              </w:rPr>
                              <w:tab/>
                            </w:r>
                            <w:r>
                              <w:rPr>
                                <w:b/>
                                <w:bCs/>
                                <w:i/>
                                <w:iCs/>
                                <w:sz w:val="20"/>
                                <w:szCs w:val="20"/>
                              </w:rPr>
                              <w:t>Femand Gregh</w:t>
                            </w:r>
                          </w:p>
                        </w:txbxContent>
                      </wps:txbx>
                      <wps:bodyPr lIns="0" tIns="0" rIns="0" bIns="0">
                        <a:spAutoFit/>
                      </wps:bodyPr>
                    </wps:wsp>
                  </a:graphicData>
                </a:graphic>
              </wp:anchor>
            </w:drawing>
          </mc:Choice>
          <mc:Fallback>
            <w:pict>
              <v:shape id="_x0000_s1591" type="#_x0000_t202" style="position:absolute;margin-left:179.40000000000001pt;margin-top:1.pt;width:252.69999999999999pt;height:102.7pt;z-index:-125828811;mso-wrap-distance-left:0;mso-wrap-distance-right:0;mso-position-horizontal-relative:page" filled="f" stroked="f">
                <v:textbox style="mso-fit-shape-to-text:t" inset="0,0,0,0">
                  <w:txbxContent>
                    <w:p>
                      <w:pPr>
                        <w:pStyle w:val="Style67"/>
                        <w:keepNext w:val="0"/>
                        <w:keepLines w:val="0"/>
                        <w:widowControl w:val="0"/>
                        <w:shd w:val="clear" w:color="auto" w:fill="auto"/>
                        <w:bidi w:val="0"/>
                        <w:spacing w:before="0" w:after="60" w:line="202" w:lineRule="auto"/>
                        <w:ind w:left="0" w:right="60" w:firstLine="0"/>
                        <w:jc w:val="center"/>
                        <w:rPr>
                          <w:sz w:val="20"/>
                          <w:szCs w:val="20"/>
                        </w:rPr>
                      </w:pPr>
                      <w:r>
                        <w:rPr>
                          <w:b/>
                          <w:bCs/>
                          <w:color w:val="000000"/>
                          <w:spacing w:val="0"/>
                          <w:w w:val="100"/>
                          <w:position w:val="0"/>
                          <w:sz w:val="20"/>
                          <w:szCs w:val="20"/>
                          <w:shd w:val="clear" w:color="auto" w:fill="auto"/>
                          <w:lang w:val="cs-CZ" w:eastAsia="cs-CZ" w:bidi="cs-CZ"/>
                        </w:rPr>
                        <w:t>POESIE JE VĚCNÁ</w:t>
                      </w:r>
                    </w:p>
                    <w:p>
                      <w:pPr>
                        <w:pStyle w:val="Style344"/>
                        <w:keepNext w:val="0"/>
                        <w:keepLines w:val="0"/>
                        <w:widowControl w:val="0"/>
                        <w:shd w:val="clear" w:color="auto" w:fill="auto"/>
                        <w:tabs>
                          <w:tab w:pos="3653" w:val="left"/>
                        </w:tabs>
                        <w:bidi w:val="0"/>
                        <w:spacing w:before="0" w:after="0" w:line="211" w:lineRule="auto"/>
                        <w:ind w:left="0" w:right="0" w:firstLine="180"/>
                        <w:rPr>
                          <w:sz w:val="20"/>
                          <w:szCs w:val="20"/>
                        </w:rPr>
                      </w:pPr>
                      <w:r>
                        <w:rPr>
                          <w:b/>
                          <w:bCs/>
                          <w:color w:val="000000"/>
                          <w:spacing w:val="0"/>
                          <w:w w:val="100"/>
                          <w:position w:val="0"/>
                          <w:sz w:val="19"/>
                          <w:szCs w:val="19"/>
                          <w:shd w:val="clear" w:color="auto" w:fill="auto"/>
                          <w:lang w:val="cs-CZ" w:eastAsia="cs-CZ" w:bidi="cs-CZ"/>
                        </w:rPr>
                        <w:t>Poesie není mrtva a nikdy neumře, ani nemůže umřít, a to nikde na světě. Kdyby bylo možné, aby umřela, bylo by se to již stalo. Ohlašovat zánik poesie by bylo totéž, jako ohlašovat zánik hudby. Oba tyto způsoby uměleckého vy</w:t>
                        <w:softHyphen/>
                        <w:t>jadřováni vyplývají z potřeb člověka a jeho duše. Jsou ne</w:t>
                        <w:softHyphen/>
                        <w:t>pomíjející. Ostatně po zániku poesie by velmi brzy následo</w:t>
                        <w:softHyphen/>
                        <w:t>val zánik celé literatury, protože poesie je vysoko položený pramen, z něhož všechny ostatní literární žánry vytékají Jako vodopády.</w:t>
                        <w:tab/>
                      </w:r>
                      <w:r>
                        <w:rPr>
                          <w:b/>
                          <w:bCs/>
                          <w:i/>
                          <w:iCs/>
                          <w:color w:val="000000"/>
                          <w:spacing w:val="0"/>
                          <w:w w:val="100"/>
                          <w:position w:val="0"/>
                          <w:sz w:val="20"/>
                          <w:szCs w:val="20"/>
                          <w:shd w:val="clear" w:color="auto" w:fill="auto"/>
                          <w:lang w:val="cs-CZ" w:eastAsia="cs-CZ" w:bidi="cs-CZ"/>
                        </w:rPr>
                        <w:t>Femand Gregh</w:t>
                      </w:r>
                    </w:p>
                  </w:txbxContent>
                </v:textbox>
                <w10:wrap type="square" side="right" anchorx="page"/>
              </v:shape>
            </w:pict>
          </mc:Fallback>
        </mc:AlternateContent>
      </w:r>
      <w:r>
        <w:rPr>
          <w:noProof/>
        </w:rPr>
        <mc:AlternateContent>
          <mc:Choice Requires="wps">
            <w:drawing>
              <wp:anchor distT="228600" distB="0" distL="0" distR="0" simplePos="0" relativeHeight="125829944" behindDoc="0" locked="0" layoutInCell="1" allowOverlap="1">
                <wp:simplePos x="0" y="0"/>
                <wp:positionH relativeFrom="page">
                  <wp:posOffset>3893820</wp:posOffset>
                </wp:positionH>
                <wp:positionV relativeFrom="paragraph">
                  <wp:posOffset>1471930</wp:posOffset>
                </wp:positionV>
                <wp:extent cx="1612265" cy="3203575"/>
                <wp:effectExtent l="0" t="0" r="0" b="0"/>
                <wp:wrapSquare wrapText="bothSides"/>
                <wp:docPr id="567" name="Shape 567"/>
                <wp:cNvGraphicFramePr/>
                <a:graphic xmlns:a="http://schemas.openxmlformats.org/drawingml/2006/main">
                  <a:graphicData uri="http://schemas.microsoft.com/office/word/2010/wordprocessingShape">
                    <wps:wsp>
                      <wps:cNvSpPr txBox="1"/>
                      <wps:spPr>
                        <a:xfrm>
                          <a:off x="0" y="0"/>
                          <a:ext cx="1612265" cy="3203575"/>
                        </a:xfrm>
                        <a:prstGeom prst="rect">
                          <a:avLst/>
                        </a:prstGeom>
                        <a:noFill/>
                      </wps:spPr>
                      <wps:txbx>
                        <w:txbxContent>
                          <w:p w:rsidR="00500724" w:rsidRDefault="00F30FB8">
                            <w:pPr>
                              <w:pStyle w:val="Zkladntext100"/>
                              <w:shd w:val="clear" w:color="auto" w:fill="auto"/>
                              <w:spacing w:line="149" w:lineRule="auto"/>
                              <w:ind w:firstLine="0"/>
                            </w:pPr>
                            <w:r>
                              <w:t>prožívaje osud národa</w:t>
                            </w:r>
                            <w:r>
                              <w:t xml:space="preserve"> a čerpaje z Jeho minulého osudu poučeni pro jeho budoucnost. Tu se nám Viktor Dyk zjevuje Jako staro</w:t>
                            </w:r>
                            <w:r>
                              <w:softHyphen/>
                              <w:t>zákonní věštec, který varuje, hro</w:t>
                            </w:r>
                            <w:r>
                              <w:softHyphen/>
                              <w:t>zí 1 burcuje a zejména jitři ná</w:t>
                            </w:r>
                            <w:r>
                              <w:softHyphen/>
                              <w:t>rodní svědomí, bičuje při tom ne</w:t>
                            </w:r>
                            <w:r>
                              <w:softHyphen/>
                              <w:t>ctnosti národa a promlouvaje ve Jménu Jeho velkých mrtv</w:t>
                            </w:r>
                            <w:r>
                              <w:t xml:space="preserve">ých k nestatečným a klesajícím. Velký lyrik, který se ve Viktoru </w:t>
                            </w:r>
                            <w:r>
                              <w:rPr>
                                <w:lang w:val="en-US" w:eastAsia="en-US" w:bidi="en-US"/>
                              </w:rPr>
                              <w:t>Dyko</w:t>
                            </w:r>
                            <w:r>
                              <w:rPr>
                                <w:lang w:val="en-US" w:eastAsia="en-US" w:bidi="en-US"/>
                              </w:rPr>
                              <w:softHyphen/>
                              <w:t xml:space="preserve">vi </w:t>
                            </w:r>
                            <w:r>
                              <w:t>projevoval od prvé jeho sbír</w:t>
                            </w:r>
                            <w:r>
                              <w:softHyphen/>
                              <w:t>ky, poeta osobité noty i formy, jadrného slovníku a Jedinečné melodie, dorostl nejvýše právě jako básník svého národa, krá</w:t>
                            </w:r>
                            <w:r>
                              <w:softHyphen/>
                              <w:t>čejíc! v zástupu nám dnes dra</w:t>
                            </w:r>
                            <w:r>
                              <w:softHyphen/>
                              <w:t>h</w:t>
                            </w:r>
                            <w:r>
                              <w:t>ých stínů hned za Nerudou, Ce</w:t>
                            </w:r>
                            <w:r>
                              <w:softHyphen/>
                              <w:t>chem a Sládkem. Tento básník se plně projevil v poesii, kterou vydal v pohnutých letech váleč</w:t>
                            </w:r>
                            <w:r>
                              <w:softHyphen/>
                              <w:t>ných. Je to ona slavná válečná tetralogie. Lehké a těžké kroky — Anebo, Okno- Poslednl rok, již byl zahájen obnovený soubor Spisů Vi</w:t>
                            </w:r>
                            <w:r>
                              <w:t>ktora Dýka, který za redakce Arne Nováka přinesl Již také dva svazky povídkové, a to Píseň o vrbě a klasického Krysa- ř e, obohaceného o oddíl P ř I h o- d y. Kdo by Ještě dnes a právě v těchto chvílích nevzpomněl ony nezapomenutelné verše Země mlu</w:t>
                            </w:r>
                            <w:r>
                              <w:softHyphen/>
                              <w:t>ví, vyz</w:t>
                            </w:r>
                            <w:r>
                              <w:t>nívající v kategorický Im</w:t>
                            </w:r>
                            <w:r>
                              <w:softHyphen/>
                              <w:t>perativ povinnosti samozřejmé pro každého, kdo se cítí synem své země. Čteme tento památný monolog české země, varující své</w:t>
                            </w:r>
                          </w:p>
                        </w:txbxContent>
                      </wps:txbx>
                      <wps:bodyPr lIns="0" tIns="0" rIns="0" bIns="0">
                        <a:spAutoFit/>
                      </wps:bodyPr>
                    </wps:wsp>
                  </a:graphicData>
                </a:graphic>
              </wp:anchor>
            </w:drawing>
          </mc:Choice>
          <mc:Fallback>
            <w:pict>
              <v:shape id="_x0000_s1593" type="#_x0000_t202" style="position:absolute;margin-left:306.60000000000002pt;margin-top:115.90000000000001pt;width:126.95pt;height:252.25pt;z-index:-125828809;mso-wrap-distance-left:0;mso-wrap-distance-top:18.pt;mso-wrap-distance-right:0;mso-position-horizontal-relative:page" filled="f" stroked="f">
                <v:textbox style="mso-fit-shape-to-text:t" inset="0,0,0,0">
                  <w:txbxContent>
                    <w:p>
                      <w:pPr>
                        <w:pStyle w:val="Style344"/>
                        <w:keepNext w:val="0"/>
                        <w:keepLines w:val="0"/>
                        <w:widowControl w:val="0"/>
                        <w:shd w:val="clear" w:color="auto" w:fill="auto"/>
                        <w:bidi w:val="0"/>
                        <w:spacing w:before="0" w:after="0" w:line="149" w:lineRule="auto"/>
                        <w:ind w:left="0" w:right="0" w:firstLine="0"/>
                      </w:pPr>
                      <w:r>
                        <w:rPr>
                          <w:color w:val="000000"/>
                          <w:spacing w:val="0"/>
                          <w:w w:val="100"/>
                          <w:position w:val="0"/>
                          <w:sz w:val="18"/>
                          <w:szCs w:val="18"/>
                          <w:shd w:val="clear" w:color="auto" w:fill="auto"/>
                          <w:lang w:val="cs-CZ" w:eastAsia="cs-CZ" w:bidi="cs-CZ"/>
                        </w:rPr>
                        <w:t>prožívaje osud národa a čerpaje z Jeho minulého osudu poučeni pro jeho budoucnost. Tu se nám Viktor Dyk zjevuje Jako staro</w:t>
                        <w:softHyphen/>
                        <w:t>zákonní věštec, který varuje, hro</w:t>
                        <w:softHyphen/>
                        <w:t>zí 1 burcuje a zejména jitři ná</w:t>
                        <w:softHyphen/>
                        <w:t>rodní svědomí, bičuje při tom ne</w:t>
                        <w:softHyphen/>
                        <w:t xml:space="preserve">ctnosti národa a promlouvaje ve Jménu Jeho velkých mrtvých k nestatečným a klesajícím. Velký lyrik, který se ve Viktoru </w:t>
                      </w:r>
                      <w:r>
                        <w:rPr>
                          <w:color w:val="000000"/>
                          <w:spacing w:val="0"/>
                          <w:w w:val="100"/>
                          <w:position w:val="0"/>
                          <w:sz w:val="18"/>
                          <w:szCs w:val="18"/>
                          <w:shd w:val="clear" w:color="auto" w:fill="auto"/>
                          <w:lang w:val="en-US" w:eastAsia="en-US" w:bidi="en-US"/>
                        </w:rPr>
                        <w:t>Dyko</w:t>
                        <w:softHyphen/>
                        <w:t xml:space="preserve">vi </w:t>
                      </w:r>
                      <w:r>
                        <w:rPr>
                          <w:color w:val="000000"/>
                          <w:spacing w:val="0"/>
                          <w:w w:val="100"/>
                          <w:position w:val="0"/>
                          <w:sz w:val="18"/>
                          <w:szCs w:val="18"/>
                          <w:shd w:val="clear" w:color="auto" w:fill="auto"/>
                          <w:lang w:val="cs-CZ" w:eastAsia="cs-CZ" w:bidi="cs-CZ"/>
                        </w:rPr>
                        <w:t>projevoval od prvé jeho sbír</w:t>
                        <w:softHyphen/>
                        <w:t>ky, poeta osobité noty i formy, jadrného slovníku a Jedinečné melodie, dorostl nejvýše právě jako básník svého národa, krá</w:t>
                        <w:softHyphen/>
                        <w:t>čejíc! v zástupu nám dnes dra</w:t>
                        <w:softHyphen/>
                        <w:t>hých stínů hned za Nerudou, Ce</w:t>
                        <w:softHyphen/>
                        <w:t>chem a Sládkem. Tento básník se plně projevil v poesii, kterou vydal v pohnutých letech váleč</w:t>
                        <w:softHyphen/>
                        <w:t>ných. Je to ona slavná válečná tetralogie. Lehké a těžké kroky — Anebo, Okno- Poslednl rok, již byl zahájen obnovený soubor Spisů Viktora Dýka, který za redakce Arne Nováka přinesl Již také dva svazky povídkové, a to Píseň o vrbě a klasického Krysa- ř e, obohaceného o oddíl P ř I h o- d y. Kdo by Ještě dnes a právě v těchto chvílích nevzpomněl ony nezapomenutelné verše Země mlu</w:t>
                        <w:softHyphen/>
                        <w:t>ví, vyznívající v kategorický Im</w:t>
                        <w:softHyphen/>
                        <w:t>perativ povinnosti samozřejmé pro každého, kdo se cítí synem své země. Čteme tento památný monolog české země, varující své</w:t>
                      </w:r>
                    </w:p>
                  </w:txbxContent>
                </v:textbox>
                <w10:wrap type="square" anchorx="page"/>
              </v:shape>
            </w:pict>
          </mc:Fallback>
        </mc:AlternateContent>
      </w:r>
    </w:p>
    <w:p w:rsidR="00500724" w:rsidRDefault="00F30FB8">
      <w:pPr>
        <w:pStyle w:val="Zkladntext20"/>
        <w:shd w:val="clear" w:color="auto" w:fill="auto"/>
        <w:spacing w:line="185" w:lineRule="auto"/>
        <w:ind w:firstLine="0"/>
        <w:jc w:val="right"/>
        <w:rPr>
          <w:sz w:val="20"/>
          <w:szCs w:val="20"/>
        </w:rPr>
      </w:pPr>
      <w:r>
        <w:rPr>
          <w:b/>
          <w:bCs/>
          <w:i/>
          <w:iCs/>
          <w:sz w:val="20"/>
          <w:szCs w:val="20"/>
        </w:rPr>
        <w:t>Jaroslav Seifert:</w:t>
      </w:r>
    </w:p>
    <w:p w:rsidR="00500724" w:rsidRDefault="00F30FB8">
      <w:pPr>
        <w:pStyle w:val="Nadpis120"/>
        <w:shd w:val="clear" w:color="auto" w:fill="auto"/>
        <w:spacing w:line="168" w:lineRule="auto"/>
        <w:ind w:left="0"/>
        <w:jc w:val="center"/>
      </w:pPr>
      <w:bookmarkStart w:id="580" w:name="bookmark579"/>
      <w:r>
        <w:rPr>
          <w:rFonts w:ascii="Arial" w:eastAsia="Arial" w:hAnsi="Arial" w:cs="Arial"/>
        </w:rPr>
        <w:t>PÍSEŇ</w:t>
      </w:r>
      <w:bookmarkEnd w:id="580"/>
    </w:p>
    <w:p w:rsidR="00500724" w:rsidRDefault="00F30FB8">
      <w:pPr>
        <w:pStyle w:val="Nadpis120"/>
        <w:shd w:val="clear" w:color="auto" w:fill="auto"/>
        <w:spacing w:after="60" w:line="168" w:lineRule="auto"/>
        <w:ind w:left="340"/>
      </w:pPr>
      <w:bookmarkStart w:id="581" w:name="bookmark580"/>
      <w:r>
        <w:rPr>
          <w:rFonts w:ascii="Arial" w:eastAsia="Arial" w:hAnsi="Arial" w:cs="Arial"/>
        </w:rPr>
        <w:t>O RODNÉ ZEMI*</w:t>
      </w:r>
      <w:bookmarkEnd w:id="581"/>
    </w:p>
    <w:p w:rsidR="00500724" w:rsidRDefault="00F30FB8">
      <w:pPr>
        <w:pStyle w:val="Zkladntext20"/>
        <w:shd w:val="clear" w:color="auto" w:fill="auto"/>
        <w:spacing w:line="178" w:lineRule="auto"/>
        <w:ind w:firstLine="0"/>
        <w:jc w:val="right"/>
        <w:rPr>
          <w:sz w:val="20"/>
          <w:szCs w:val="20"/>
        </w:rPr>
      </w:pPr>
      <w:r>
        <w:rPr>
          <w:b/>
          <w:bCs/>
          <w:i/>
          <w:iCs/>
          <w:sz w:val="20"/>
          <w:szCs w:val="20"/>
        </w:rPr>
        <w:t>Krásná jako kvítka na</w:t>
      </w:r>
    </w:p>
    <w:p w:rsidR="00500724" w:rsidRDefault="00F30FB8">
      <w:pPr>
        <w:pStyle w:val="Zkladntext20"/>
        <w:shd w:val="clear" w:color="auto" w:fill="auto"/>
        <w:spacing w:line="178" w:lineRule="auto"/>
        <w:ind w:firstLine="0"/>
        <w:jc w:val="right"/>
        <w:rPr>
          <w:sz w:val="20"/>
          <w:szCs w:val="20"/>
        </w:rPr>
      </w:pPr>
      <w:r>
        <w:rPr>
          <w:b/>
          <w:bCs/>
          <w:i/>
          <w:iCs/>
          <w:sz w:val="20"/>
          <w:szCs w:val="20"/>
        </w:rPr>
        <w:t>modřanském džbánku</w:t>
      </w:r>
    </w:p>
    <w:p w:rsidR="00500724" w:rsidRDefault="00F30FB8">
      <w:pPr>
        <w:pStyle w:val="Zkladntext20"/>
        <w:shd w:val="clear" w:color="auto" w:fill="auto"/>
        <w:spacing w:line="178" w:lineRule="auto"/>
        <w:ind w:firstLine="0"/>
        <w:rPr>
          <w:sz w:val="20"/>
          <w:szCs w:val="20"/>
        </w:rPr>
      </w:pPr>
      <w:r>
        <w:rPr>
          <w:b/>
          <w:bCs/>
          <w:i/>
          <w:iCs/>
          <w:sz w:val="20"/>
          <w:szCs w:val="20"/>
        </w:rPr>
        <w:t xml:space="preserve">je ta země, která vlastí </w:t>
      </w:r>
      <w:r>
        <w:rPr>
          <w:b/>
          <w:bCs/>
          <w:i/>
          <w:iCs/>
          <w:sz w:val="20"/>
          <w:szCs w:val="20"/>
        </w:rPr>
        <w:t>je ti, krásná jako kvítka na</w:t>
      </w:r>
    </w:p>
    <w:p w:rsidR="00500724" w:rsidRDefault="00F30FB8">
      <w:pPr>
        <w:pStyle w:val="Zkladntext20"/>
        <w:shd w:val="clear" w:color="auto" w:fill="auto"/>
        <w:spacing w:line="178" w:lineRule="auto"/>
        <w:ind w:firstLine="680"/>
        <w:rPr>
          <w:sz w:val="20"/>
          <w:szCs w:val="20"/>
        </w:rPr>
      </w:pPr>
      <w:r>
        <w:rPr>
          <w:b/>
          <w:bCs/>
          <w:i/>
          <w:iCs/>
          <w:sz w:val="20"/>
          <w:szCs w:val="20"/>
        </w:rPr>
        <w:t>modřanském džbánku, sladká jako střída</w:t>
      </w:r>
    </w:p>
    <w:p w:rsidR="00500724" w:rsidRDefault="00F30FB8">
      <w:pPr>
        <w:pStyle w:val="Zkladntext20"/>
        <w:shd w:val="clear" w:color="auto" w:fill="auto"/>
        <w:spacing w:line="178" w:lineRule="auto"/>
        <w:ind w:firstLine="1620"/>
        <w:rPr>
          <w:sz w:val="20"/>
          <w:szCs w:val="20"/>
        </w:rPr>
      </w:pPr>
      <w:r>
        <w:rPr>
          <w:b/>
          <w:bCs/>
          <w:i/>
          <w:iCs/>
          <w:sz w:val="20"/>
          <w:szCs w:val="20"/>
        </w:rPr>
        <w:t>dalamánku, do nějž nůž jsi vnořil</w:t>
      </w:r>
    </w:p>
    <w:p w:rsidR="00500724" w:rsidRDefault="00F30FB8">
      <w:pPr>
        <w:pStyle w:val="Zkladntext20"/>
        <w:shd w:val="clear" w:color="auto" w:fill="auto"/>
        <w:spacing w:after="60" w:line="178" w:lineRule="auto"/>
        <w:ind w:firstLine="0"/>
        <w:jc w:val="right"/>
        <w:rPr>
          <w:sz w:val="20"/>
          <w:szCs w:val="20"/>
        </w:rPr>
      </w:pPr>
      <w:r>
        <w:rPr>
          <w:b/>
          <w:bCs/>
          <w:i/>
          <w:iCs/>
          <w:sz w:val="20"/>
          <w:szCs w:val="20"/>
        </w:rPr>
        <w:t>k rukojeti.</w:t>
      </w:r>
    </w:p>
    <w:p w:rsidR="00500724" w:rsidRDefault="00F30FB8">
      <w:pPr>
        <w:pStyle w:val="Zkladntext20"/>
        <w:shd w:val="clear" w:color="auto" w:fill="auto"/>
        <w:spacing w:line="190" w:lineRule="auto"/>
        <w:ind w:firstLine="0"/>
        <w:jc w:val="right"/>
        <w:rPr>
          <w:sz w:val="20"/>
          <w:szCs w:val="20"/>
        </w:rPr>
      </w:pPr>
      <w:r>
        <w:rPr>
          <w:b/>
          <w:bCs/>
          <w:i/>
          <w:iCs/>
          <w:sz w:val="20"/>
          <w:szCs w:val="20"/>
        </w:rPr>
        <w:t>Stokrát zklamán, rady</w:t>
      </w:r>
    </w:p>
    <w:p w:rsidR="00500724" w:rsidRDefault="00F30FB8">
      <w:pPr>
        <w:pStyle w:val="Zkladntext20"/>
        <w:shd w:val="clear" w:color="auto" w:fill="auto"/>
        <w:spacing w:line="190" w:lineRule="auto"/>
        <w:ind w:firstLine="0"/>
        <w:jc w:val="right"/>
        <w:rPr>
          <w:sz w:val="20"/>
          <w:szCs w:val="20"/>
        </w:rPr>
      </w:pPr>
      <w:r>
        <w:rPr>
          <w:b/>
          <w:bCs/>
          <w:i/>
          <w:iCs/>
          <w:sz w:val="20"/>
          <w:szCs w:val="20"/>
        </w:rPr>
        <w:t>nevěda</w:t>
      </w:r>
      <w:r>
        <w:rPr>
          <w:b/>
          <w:bCs/>
          <w:sz w:val="20"/>
          <w:szCs w:val="20"/>
        </w:rPr>
        <w:t xml:space="preserve"> ci,</w:t>
      </w:r>
    </w:p>
    <w:p w:rsidR="00500724" w:rsidRDefault="00F30FB8">
      <w:pPr>
        <w:pStyle w:val="Zkladntext20"/>
        <w:shd w:val="clear" w:color="auto" w:fill="auto"/>
        <w:spacing w:line="190" w:lineRule="auto"/>
        <w:ind w:left="2080" w:hanging="2080"/>
        <w:jc w:val="left"/>
        <w:rPr>
          <w:sz w:val="20"/>
          <w:szCs w:val="20"/>
        </w:rPr>
      </w:pPr>
      <w:r>
        <w:rPr>
          <w:b/>
          <w:bCs/>
          <w:i/>
          <w:iCs/>
          <w:sz w:val="20"/>
          <w:szCs w:val="20"/>
        </w:rPr>
        <w:t>znovu vždycky navracíš se domů,</w:t>
      </w:r>
    </w:p>
    <w:p w:rsidR="00500724" w:rsidRDefault="00F30FB8">
      <w:pPr>
        <w:pStyle w:val="Zkladntext20"/>
        <w:shd w:val="clear" w:color="auto" w:fill="auto"/>
        <w:spacing w:line="190" w:lineRule="auto"/>
        <w:ind w:firstLine="0"/>
        <w:jc w:val="right"/>
        <w:rPr>
          <w:sz w:val="20"/>
          <w:szCs w:val="20"/>
        </w:rPr>
      </w:pPr>
      <w:r>
        <w:rPr>
          <w:b/>
          <w:bCs/>
          <w:i/>
          <w:iCs/>
          <w:sz w:val="20"/>
          <w:szCs w:val="20"/>
        </w:rPr>
        <w:t>stokrát zklamán, rady</w:t>
      </w:r>
    </w:p>
    <w:p w:rsidR="00500724" w:rsidRDefault="00F30FB8">
      <w:pPr>
        <w:pStyle w:val="Zkladntext20"/>
        <w:shd w:val="clear" w:color="auto" w:fill="auto"/>
        <w:spacing w:line="190" w:lineRule="auto"/>
        <w:ind w:firstLine="0"/>
        <w:jc w:val="right"/>
        <w:rPr>
          <w:sz w:val="19"/>
          <w:szCs w:val="19"/>
        </w:rPr>
      </w:pPr>
      <w:r>
        <w:rPr>
          <w:b/>
          <w:bCs/>
          <w:i/>
          <w:iCs/>
          <w:sz w:val="20"/>
          <w:szCs w:val="20"/>
        </w:rPr>
        <w:t>nevěda</w:t>
      </w:r>
      <w:r>
        <w:rPr>
          <w:b/>
          <w:bCs/>
          <w:sz w:val="19"/>
          <w:szCs w:val="19"/>
        </w:rPr>
        <w:t xml:space="preserve"> si,</w:t>
      </w:r>
    </w:p>
    <w:p w:rsidR="00500724" w:rsidRDefault="00F30FB8">
      <w:pPr>
        <w:pStyle w:val="Zkladntext20"/>
        <w:shd w:val="clear" w:color="auto" w:fill="auto"/>
        <w:spacing w:after="60" w:line="190" w:lineRule="auto"/>
        <w:ind w:firstLine="0"/>
        <w:jc w:val="right"/>
        <w:rPr>
          <w:sz w:val="20"/>
          <w:szCs w:val="20"/>
        </w:rPr>
      </w:pPr>
      <w:r>
        <w:rPr>
          <w:b/>
          <w:bCs/>
          <w:i/>
          <w:iCs/>
          <w:sz w:val="20"/>
          <w:szCs w:val="20"/>
        </w:rPr>
        <w:t xml:space="preserve">k zemi bohaté a plné krásy, k chudé jako </w:t>
      </w:r>
      <w:r>
        <w:rPr>
          <w:b/>
          <w:bCs/>
          <w:i/>
          <w:iCs/>
          <w:sz w:val="20"/>
          <w:szCs w:val="20"/>
        </w:rPr>
        <w:t>jaro v čerstvém lomu.</w:t>
      </w:r>
    </w:p>
    <w:p w:rsidR="00500724" w:rsidRDefault="00F30FB8">
      <w:pPr>
        <w:pStyle w:val="Zkladntext20"/>
        <w:shd w:val="clear" w:color="auto" w:fill="auto"/>
        <w:spacing w:line="180" w:lineRule="auto"/>
        <w:ind w:firstLine="0"/>
        <w:jc w:val="right"/>
        <w:rPr>
          <w:sz w:val="20"/>
          <w:szCs w:val="20"/>
        </w:rPr>
      </w:pPr>
      <w:r>
        <w:rPr>
          <w:b/>
          <w:bCs/>
          <w:i/>
          <w:iCs/>
          <w:sz w:val="20"/>
          <w:szCs w:val="20"/>
        </w:rPr>
        <w:t>Krásná jako kvítka na</w:t>
      </w:r>
    </w:p>
    <w:p w:rsidR="00500724" w:rsidRDefault="00F30FB8">
      <w:pPr>
        <w:pStyle w:val="Zkladntext20"/>
        <w:shd w:val="clear" w:color="auto" w:fill="auto"/>
        <w:spacing w:line="180" w:lineRule="auto"/>
        <w:ind w:firstLine="0"/>
        <w:jc w:val="right"/>
        <w:rPr>
          <w:sz w:val="20"/>
          <w:szCs w:val="20"/>
        </w:rPr>
      </w:pPr>
      <w:r>
        <w:rPr>
          <w:b/>
          <w:bCs/>
          <w:i/>
          <w:iCs/>
          <w:sz w:val="20"/>
          <w:szCs w:val="20"/>
        </w:rPr>
        <w:t>modřanském džbánku,</w:t>
      </w:r>
    </w:p>
    <w:p w:rsidR="00500724" w:rsidRDefault="00F30FB8">
      <w:pPr>
        <w:pStyle w:val="Zkladntext20"/>
        <w:shd w:val="clear" w:color="auto" w:fill="auto"/>
        <w:spacing w:line="180" w:lineRule="auto"/>
        <w:ind w:firstLine="0"/>
        <w:rPr>
          <w:sz w:val="20"/>
          <w:szCs w:val="20"/>
        </w:rPr>
      </w:pPr>
      <w:r>
        <w:rPr>
          <w:b/>
          <w:bCs/>
          <w:i/>
          <w:iCs/>
          <w:sz w:val="20"/>
          <w:szCs w:val="20"/>
        </w:rPr>
        <w:t>těžká, těžká jako vlastni vina — není z těch, na něž se</w:t>
      </w:r>
    </w:p>
    <w:p w:rsidR="00500724" w:rsidRDefault="00F30FB8">
      <w:pPr>
        <w:pStyle w:val="Zkladntext20"/>
        <w:shd w:val="clear" w:color="auto" w:fill="auto"/>
        <w:spacing w:line="180" w:lineRule="auto"/>
        <w:ind w:firstLine="0"/>
        <w:jc w:val="right"/>
        <w:rPr>
          <w:sz w:val="20"/>
          <w:szCs w:val="20"/>
        </w:rPr>
      </w:pPr>
      <w:r>
        <w:rPr>
          <w:b/>
          <w:bCs/>
          <w:i/>
          <w:iCs/>
          <w:sz w:val="20"/>
          <w:szCs w:val="20"/>
        </w:rPr>
        <w:t>zapomíná.</w:t>
      </w:r>
    </w:p>
    <w:p w:rsidR="00500724" w:rsidRDefault="00F30FB8">
      <w:pPr>
        <w:pStyle w:val="Zkladntext20"/>
        <w:shd w:val="clear" w:color="auto" w:fill="auto"/>
        <w:spacing w:line="180" w:lineRule="auto"/>
        <w:ind w:firstLine="0"/>
        <w:jc w:val="right"/>
        <w:rPr>
          <w:sz w:val="20"/>
          <w:szCs w:val="20"/>
        </w:rPr>
      </w:pPr>
      <w:r>
        <w:rPr>
          <w:b/>
          <w:bCs/>
          <w:i/>
          <w:iCs/>
          <w:sz w:val="20"/>
          <w:szCs w:val="20"/>
        </w:rPr>
        <w:t>Naposledy kolem tvého</w:t>
      </w:r>
    </w:p>
    <w:p w:rsidR="00500724" w:rsidRDefault="00F30FB8">
      <w:pPr>
        <w:pStyle w:val="Zkladntext20"/>
        <w:shd w:val="clear" w:color="auto" w:fill="auto"/>
        <w:spacing w:line="180" w:lineRule="auto"/>
        <w:ind w:firstLine="0"/>
        <w:jc w:val="right"/>
        <w:rPr>
          <w:sz w:val="20"/>
          <w:szCs w:val="20"/>
        </w:rPr>
      </w:pPr>
      <w:r>
        <w:rPr>
          <w:b/>
          <w:bCs/>
          <w:i/>
          <w:iCs/>
          <w:sz w:val="20"/>
          <w:szCs w:val="20"/>
        </w:rPr>
        <w:t>spánku</w:t>
      </w:r>
    </w:p>
    <w:p w:rsidR="00500724" w:rsidRDefault="00F30FB8">
      <w:pPr>
        <w:pStyle w:val="Zkladntext20"/>
        <w:shd w:val="clear" w:color="auto" w:fill="auto"/>
        <w:spacing w:line="180" w:lineRule="auto"/>
        <w:ind w:firstLine="0"/>
        <w:jc w:val="right"/>
        <w:rPr>
          <w:sz w:val="20"/>
          <w:szCs w:val="20"/>
        </w:rPr>
      </w:pPr>
      <w:r>
        <w:rPr>
          <w:b/>
          <w:bCs/>
          <w:i/>
          <w:iCs/>
          <w:sz w:val="20"/>
          <w:szCs w:val="20"/>
        </w:rPr>
        <w:t>padne prudce jeji hořká</w:t>
      </w:r>
    </w:p>
    <w:p w:rsidR="00500724" w:rsidRDefault="00F30FB8">
      <w:pPr>
        <w:pStyle w:val="Zkladntext20"/>
        <w:shd w:val="clear" w:color="auto" w:fill="auto"/>
        <w:spacing w:line="180" w:lineRule="auto"/>
        <w:ind w:firstLine="0"/>
        <w:jc w:val="right"/>
        <w:rPr>
          <w:sz w:val="20"/>
          <w:szCs w:val="20"/>
        </w:rPr>
      </w:pPr>
      <w:r>
        <w:rPr>
          <w:b/>
          <w:bCs/>
          <w:i/>
          <w:iCs/>
          <w:sz w:val="20"/>
          <w:szCs w:val="20"/>
        </w:rPr>
        <w:t>hlína.</w:t>
      </w:r>
    </w:p>
    <w:p w:rsidR="00500724" w:rsidRDefault="00F30FB8">
      <w:pPr>
        <w:pStyle w:val="Zkladntext40"/>
        <w:shd w:val="clear" w:color="auto" w:fill="auto"/>
        <w:spacing w:after="100" w:line="161" w:lineRule="auto"/>
        <w:ind w:firstLine="220"/>
        <w:rPr>
          <w:sz w:val="16"/>
          <w:szCs w:val="16"/>
        </w:rPr>
      </w:pPr>
      <w:r>
        <w:rPr>
          <w:b/>
          <w:bCs/>
          <w:sz w:val="16"/>
          <w:szCs w:val="16"/>
        </w:rPr>
        <w:t>•) Ze sbírky »Zhasněte světla*, která právě vyšla v novém vy</w:t>
      </w:r>
      <w:r>
        <w:rPr>
          <w:b/>
          <w:bCs/>
          <w:sz w:val="16"/>
          <w:szCs w:val="16"/>
        </w:rPr>
        <w:softHyphen/>
        <w:t>dáni</w:t>
      </w:r>
    </w:p>
    <w:p w:rsidR="00500724" w:rsidRDefault="00F30FB8">
      <w:pPr>
        <w:pStyle w:val="Nadpis120"/>
        <w:shd w:val="clear" w:color="auto" w:fill="auto"/>
        <w:spacing w:line="163" w:lineRule="auto"/>
        <w:ind w:left="0"/>
        <w:jc w:val="right"/>
      </w:pPr>
      <w:bookmarkStart w:id="582" w:name="bookmark581"/>
      <w:r>
        <w:rPr>
          <w:rFonts w:ascii="Arial" w:eastAsia="Arial" w:hAnsi="Arial" w:cs="Arial"/>
        </w:rPr>
        <w:t>NOVÉ KNIHY</w:t>
      </w:r>
      <w:bookmarkEnd w:id="582"/>
    </w:p>
    <w:p w:rsidR="00500724" w:rsidRDefault="00F30FB8">
      <w:pPr>
        <w:pStyle w:val="Zkladntext40"/>
        <w:shd w:val="clear" w:color="auto" w:fill="auto"/>
        <w:spacing w:after="0" w:line="240" w:lineRule="auto"/>
        <w:jc w:val="right"/>
        <w:rPr>
          <w:sz w:val="14"/>
          <w:szCs w:val="14"/>
        </w:rPr>
      </w:pPr>
      <w:r>
        <w:rPr>
          <w:b/>
          <w:bCs/>
          <w:sz w:val="14"/>
          <w:szCs w:val="14"/>
        </w:rPr>
        <w:t>KABEL ČAPEK:</w:t>
      </w:r>
    </w:p>
    <w:p w:rsidR="00500724" w:rsidRDefault="00F30FB8">
      <w:pPr>
        <w:pStyle w:val="Zkladntext40"/>
        <w:shd w:val="clear" w:color="auto" w:fill="auto"/>
        <w:spacing w:line="221" w:lineRule="auto"/>
        <w:jc w:val="right"/>
        <w:rPr>
          <w:sz w:val="14"/>
          <w:szCs w:val="14"/>
        </w:rPr>
      </w:pPr>
      <w:r>
        <w:rPr>
          <w:b/>
          <w:bCs/>
          <w:sz w:val="14"/>
          <w:szCs w:val="14"/>
        </w:rPr>
        <w:t>MĚL JSEM PSA A KOČKU</w:t>
      </w:r>
    </w:p>
    <w:p w:rsidR="00500724" w:rsidRDefault="00F30FB8">
      <w:pPr>
        <w:pStyle w:val="Zkladntext100"/>
        <w:shd w:val="clear" w:color="auto" w:fill="auto"/>
        <w:spacing w:line="149" w:lineRule="auto"/>
        <w:ind w:firstLine="220"/>
      </w:pPr>
      <w:r>
        <w:t>Nové, posmrtně vydané dílko Karla Čapka, Měl Jsem psa a koč</w:t>
      </w:r>
      <w:r>
        <w:softHyphen/>
        <w:t>ku, tvořící další, Již 44. svazek sebraných spisů Bratři Čapků, přibližuje se povahou svého ob</w:t>
      </w:r>
      <w:r>
        <w:softHyphen/>
        <w:t xml:space="preserve">sahu i osobitosti tvorby Jedné z nejroztomilejšich a </w:t>
      </w:r>
      <w:r>
        <w:t>nejproslu- lejšich knih Karla Čapka, cau- seriim Zahradníkův rok. Je-li Za</w:t>
      </w:r>
      <w:r>
        <w:softHyphen/>
        <w:t>hradníkův rok zpovědí vášnivého zahrádkáře, který se upsal kous</w:t>
      </w:r>
      <w:r>
        <w:softHyphen/>
        <w:t xml:space="preserve">ku rašící země Jako </w:t>
      </w:r>
      <w:r>
        <w:rPr>
          <w:lang w:val="en-US" w:eastAsia="en-US" w:bidi="en-US"/>
        </w:rPr>
        <w:t xml:space="preserve">Faust </w:t>
      </w:r>
      <w:r>
        <w:t>se upsal čertu, a který s rýčem, lo</w:t>
      </w:r>
      <w:r>
        <w:softHyphen/>
        <w:t>patou, kropici konvi a srpem v ruce bedlivě střeží a úz</w:t>
      </w:r>
      <w:r>
        <w:t>kostlivě opatruje klíčeni, růst 1 život kaž</w:t>
      </w:r>
      <w:r>
        <w:softHyphen/>
        <w:t>dého semínka, květiny, trávy a keře na své zahrádce, Jsou zpo</w:t>
      </w:r>
      <w:r>
        <w:softHyphen/>
        <w:t>vědi také causerie, shrnuté pod výmluvný název Měl Jsem psa a kočku. Je to poučná a chvílemi přímo objevitelsky půvabná kníž</w:t>
      </w:r>
      <w:r>
        <w:softHyphen/>
        <w:t>ka, v které autor Dášeňky</w:t>
      </w:r>
      <w:r>
        <w:t xml:space="preserve"> nena</w:t>
      </w:r>
      <w:r>
        <w:softHyphen/>
        <w:t xml:space="preserve">podobitelným způsobem vypráví </w:t>
      </w:r>
      <w:r>
        <w:rPr>
          <w:b/>
          <w:bCs/>
          <w:sz w:val="14"/>
          <w:szCs w:val="14"/>
        </w:rPr>
        <w:t xml:space="preserve">o </w:t>
      </w:r>
      <w:r>
        <w:t>životě, osudech, zvycích i zlo</w:t>
      </w:r>
      <w:r>
        <w:softHyphen/>
        <w:t>zvycích svých němých přátel, psů a koček. Jinými slovy. Je to kníž</w:t>
      </w:r>
      <w:r>
        <w:softHyphen/>
        <w:t>ka zkušenosti a poznatků, tram</w:t>
      </w:r>
      <w:r>
        <w:softHyphen/>
        <w:t>pot 1 radosti, k nimž autor dospěl a které získal i prožil v společen</w:t>
      </w:r>
      <w:r>
        <w:softHyphen/>
        <w:t>ství svých čtvernoh</w:t>
      </w:r>
      <w:r>
        <w:t>ých přátel 1 jejich četných potomků. Vedle Ja</w:t>
      </w:r>
      <w:r>
        <w:softHyphen/>
        <w:t>drných, vtipných, laskavým hu</w:t>
      </w:r>
      <w:r>
        <w:softHyphen/>
        <w:t xml:space="preserve">morem obestřených rozprávek o záletech a životě </w:t>
      </w:r>
      <w:r>
        <w:rPr>
          <w:lang w:val="en-US" w:eastAsia="en-US" w:bidi="en-US"/>
        </w:rPr>
        <w:t xml:space="preserve">Mindy </w:t>
      </w:r>
      <w:r>
        <w:t>a Irisky, rozprávek, svědčicich o Jedineč</w:t>
      </w:r>
      <w:r>
        <w:softHyphen/>
        <w:t>ném pozorovatelském daru Karla Čapka, vedle originálního životo</w:t>
      </w:r>
      <w:r>
        <w:softHyphen/>
        <w:t>pisu Štěněte Dášeňky</w:t>
      </w:r>
      <w:r>
        <w:t xml:space="preserve"> čteme tu radu přerozkošných historek ze světa roztodivného národa psů 1 koček, které nadto říkají mnoho objevltelského o poměru člověka</w:t>
      </w:r>
    </w:p>
    <w:p w:rsidR="00500724" w:rsidRDefault="00F30FB8">
      <w:pPr>
        <w:pStyle w:val="Zkladntext100"/>
        <w:shd w:val="clear" w:color="auto" w:fill="auto"/>
        <w:spacing w:after="120" w:line="149" w:lineRule="auto"/>
        <w:ind w:firstLine="0"/>
      </w:pPr>
      <w:r>
        <w:t>a zvířete. Čtenář, jemuž se Čap</w:t>
      </w:r>
      <w:r>
        <w:softHyphen/>
        <w:t>kova nová knížka dostane do ru</w:t>
      </w:r>
      <w:r>
        <w:softHyphen/>
        <w:t>ky, bude nadšen nejen autoro</w:t>
      </w:r>
      <w:r>
        <w:softHyphen/>
        <w:t xml:space="preserve">vým vyprávěním, </w:t>
      </w:r>
      <w:r>
        <w:t>připomínajícím bodrou. Jadrnou rozprávku, nýbrž 1 názornými a veselými obrázky, jichž Jest tu přes sedmdesát a o Jejichž autorství se děli Karel Čapek spolu s bratrem Josefem. Cena svazku brož. Je 20 K.</w:t>
      </w:r>
    </w:p>
    <w:p w:rsidR="00500724" w:rsidRDefault="00F30FB8">
      <w:pPr>
        <w:pStyle w:val="Zkladntext100"/>
        <w:shd w:val="clear" w:color="auto" w:fill="auto"/>
        <w:spacing w:after="120" w:line="149" w:lineRule="auto"/>
        <w:ind w:firstLine="180"/>
      </w:pPr>
      <w:r>
        <w:rPr>
          <w:b/>
          <w:bCs/>
          <w:sz w:val="14"/>
          <w:szCs w:val="14"/>
        </w:rPr>
        <w:t xml:space="preserve">NA OKRAJ </w:t>
      </w:r>
      <w:r>
        <w:t>VÝROČÍ SMRTI VIKTORA DÝKA. Viktor Dyk, který</w:t>
      </w:r>
      <w:r>
        <w:t xml:space="preserve"> 14. května před osmi lety nalezl nečekaně smrt ve vlnách Jaderského moře, nedlouho poté, když v Deváté vlně jakoby v tra</w:t>
      </w:r>
      <w:r>
        <w:softHyphen/>
        <w:t>gické předtuše zazpíval o deváté vlně na moři, které mdlá ústa zavře na věky, je z těch českých básníků, kteří Jako Neruda, Er</w:t>
      </w:r>
      <w:r>
        <w:softHyphen/>
        <w:t>ben a S</w:t>
      </w:r>
      <w:r>
        <w:t>ládek nalezli cestu k své</w:t>
      </w:r>
      <w:r>
        <w:softHyphen/>
        <w:t>mu národu a byli Jeho proroky 1 věštci v dnech úzkostí i naději. Arne Novák ve své studil o Vik</w:t>
      </w:r>
      <w:r>
        <w:softHyphen/>
        <w:t>toru Dykovi, která vyšla Jako svazek, Josefem Horou redigova</w:t>
      </w:r>
      <w:r>
        <w:softHyphen/>
        <w:t>né edice Postavy a dilo, napsal, že Absolutnem a vidinou, k niž putoval a</w:t>
      </w:r>
      <w:r>
        <w:t xml:space="preserve"> Již neváhal sloužit Viktor Dyk, byl národ, a že mezi evropskými nacionalisty doby ne</w:t>
      </w:r>
      <w:r>
        <w:softHyphen/>
        <w:t>jen naši, ale i klasického údobí za romantiky nalezne se málo tak velkých a osobitých mysli</w:t>
      </w:r>
      <w:r>
        <w:softHyphen/>
        <w:t>telů i básníků, kteří by s tako</w:t>
      </w:r>
      <w:r>
        <w:softHyphen/>
        <w:t>vou Intensitou a vroucnosti pro</w:t>
      </w:r>
      <w:r>
        <w:softHyphen/>
        <w:t>žili problém n</w:t>
      </w:r>
      <w:r>
        <w:t>ároda. Avšak Vik</w:t>
      </w:r>
      <w:r>
        <w:softHyphen/>
        <w:t>tor Dyk tento problém 1 protrpěl.</w:t>
      </w:r>
    </w:p>
    <w:p w:rsidR="00500724" w:rsidRDefault="00F30FB8">
      <w:pPr>
        <w:pStyle w:val="Nadpis120"/>
        <w:shd w:val="clear" w:color="auto" w:fill="auto"/>
        <w:ind w:left="0"/>
        <w:jc w:val="both"/>
      </w:pPr>
      <w:bookmarkStart w:id="583" w:name="bookmark582"/>
      <w:r>
        <w:rPr>
          <w:rFonts w:ascii="Arial" w:eastAsia="Arial" w:hAnsi="Arial" w:cs="Arial"/>
        </w:rPr>
        <w:t>FEUILLETON</w:t>
      </w:r>
      <w:bookmarkEnd w:id="583"/>
    </w:p>
    <w:p w:rsidR="00500724" w:rsidRDefault="00F30FB8">
      <w:pPr>
        <w:pStyle w:val="Zkladntext40"/>
        <w:shd w:val="clear" w:color="auto" w:fill="auto"/>
        <w:spacing w:after="0" w:line="240" w:lineRule="auto"/>
        <w:rPr>
          <w:sz w:val="14"/>
          <w:szCs w:val="14"/>
        </w:rPr>
      </w:pPr>
      <w:r>
        <w:rPr>
          <w:b/>
          <w:bCs/>
          <w:sz w:val="14"/>
          <w:szCs w:val="14"/>
        </w:rPr>
        <w:t>Karel Čapek:</w:t>
      </w:r>
    </w:p>
    <w:p w:rsidR="00500724" w:rsidRDefault="00F30FB8">
      <w:pPr>
        <w:pStyle w:val="Zkladntext40"/>
        <w:shd w:val="clear" w:color="auto" w:fill="auto"/>
        <w:spacing w:after="0" w:line="168" w:lineRule="auto"/>
        <w:rPr>
          <w:sz w:val="16"/>
          <w:szCs w:val="16"/>
        </w:rPr>
      </w:pPr>
      <w:r>
        <w:rPr>
          <w:b/>
          <w:bCs/>
          <w:sz w:val="16"/>
          <w:szCs w:val="16"/>
        </w:rPr>
        <w:t>MATEŘSTVÍ*</w:t>
      </w:r>
    </w:p>
    <w:p w:rsidR="00500724" w:rsidRDefault="00F30FB8">
      <w:pPr>
        <w:pStyle w:val="Zkladntext40"/>
        <w:shd w:val="clear" w:color="auto" w:fill="auto"/>
        <w:spacing w:after="0" w:line="240" w:lineRule="auto"/>
        <w:rPr>
          <w:sz w:val="14"/>
          <w:szCs w:val="14"/>
        </w:rPr>
      </w:pPr>
      <w:r>
        <w:rPr>
          <w:b/>
          <w:bCs/>
          <w:sz w:val="14"/>
          <w:szCs w:val="14"/>
        </w:rPr>
        <w:t>Kočka</w:t>
      </w:r>
    </w:p>
    <w:p w:rsidR="00500724" w:rsidRDefault="00F30FB8">
      <w:pPr>
        <w:pStyle w:val="Zkladntext40"/>
        <w:shd w:val="clear" w:color="auto" w:fill="auto"/>
        <w:spacing w:after="0" w:line="168" w:lineRule="auto"/>
        <w:ind w:firstLine="180"/>
        <w:rPr>
          <w:sz w:val="16"/>
          <w:szCs w:val="16"/>
        </w:rPr>
      </w:pPr>
      <w:r>
        <w:rPr>
          <w:b/>
          <w:bCs/>
          <w:sz w:val="16"/>
          <w:szCs w:val="16"/>
        </w:rPr>
        <w:t>Vláčí se po bytě s těžkým bři</w:t>
      </w:r>
      <w:r>
        <w:rPr>
          <w:b/>
          <w:bCs/>
          <w:sz w:val="16"/>
          <w:szCs w:val="16"/>
        </w:rPr>
        <w:softHyphen/>
        <w:t>chem a páteři vysedlou jako ko</w:t>
      </w:r>
      <w:r>
        <w:rPr>
          <w:b/>
          <w:bCs/>
          <w:sz w:val="16"/>
          <w:szCs w:val="16"/>
        </w:rPr>
        <w:softHyphen/>
        <w:t>za a hledá, pořád hledá; žádný kout ji není dost skrytý a měkce vystlaný, aby v něm přivedla na svět sv</w:t>
      </w:r>
      <w:r>
        <w:rPr>
          <w:b/>
          <w:bCs/>
          <w:sz w:val="16"/>
          <w:szCs w:val="16"/>
        </w:rPr>
        <w:t>ých pět slepých a pištících koťat. Zkouši tlapičkou otevřít prádelník; panečku, tam určitě, na těch hromadách bělostného prádla, tam by se to rodilo! Ohlí</w:t>
      </w:r>
      <w:r>
        <w:rPr>
          <w:b/>
          <w:bCs/>
          <w:sz w:val="16"/>
          <w:szCs w:val="16"/>
        </w:rPr>
        <w:softHyphen/>
        <w:t>ží se po mně zlatýma očima: »člo- věče, otevř ml tu věc, jo?« To nejde, kočko; hleď, tady jsem tl uch</w:t>
      </w:r>
      <w:r>
        <w:rPr>
          <w:b/>
          <w:bCs/>
          <w:sz w:val="16"/>
          <w:szCs w:val="16"/>
        </w:rPr>
        <w:t>ystal vystlaný košík, co b-s chtěla lepšího? — Ach, zajisté by chtěla něco lepšího; teď zkouši packou otevřít knihovnu — snad by sl chtěla ustlat na sešitech sPřitomnosti* nebo slehnout v od</w:t>
      </w:r>
      <w:r>
        <w:rPr>
          <w:b/>
          <w:bCs/>
          <w:sz w:val="16"/>
          <w:szCs w:val="16"/>
        </w:rPr>
        <w:softHyphen/>
        <w:t>děleni básníků; a zas hledá dál v mateřském neklidu.</w:t>
      </w:r>
    </w:p>
    <w:p w:rsidR="00500724" w:rsidRDefault="00F30FB8">
      <w:pPr>
        <w:pStyle w:val="Zkladntext40"/>
        <w:shd w:val="clear" w:color="auto" w:fill="auto"/>
        <w:spacing w:after="120" w:line="168" w:lineRule="auto"/>
        <w:ind w:firstLine="180"/>
        <w:rPr>
          <w:sz w:val="16"/>
          <w:szCs w:val="16"/>
        </w:rPr>
      </w:pPr>
      <w:r>
        <w:rPr>
          <w:b/>
          <w:bCs/>
          <w:sz w:val="16"/>
          <w:szCs w:val="16"/>
        </w:rPr>
        <w:t>Což o to, te</w:t>
      </w:r>
      <w:r>
        <w:rPr>
          <w:b/>
          <w:bCs/>
          <w:sz w:val="16"/>
          <w:szCs w:val="16"/>
        </w:rPr>
        <w:t xml:space="preserve">ď už v tom umí chodit; nejmíň dvakrát do roka s pravidelnosti přírodního řádu mne obdař! čtyřmi nebo pěti </w:t>
      </w:r>
      <w:r>
        <w:rPr>
          <w:b/>
          <w:bCs/>
          <w:sz w:val="16"/>
          <w:szCs w:val="16"/>
          <w:lang w:val="en-US" w:eastAsia="en-US" w:bidi="en-US"/>
        </w:rPr>
        <w:t xml:space="preserve">vice </w:t>
      </w:r>
      <w:r>
        <w:rPr>
          <w:b/>
          <w:bCs/>
          <w:sz w:val="16"/>
          <w:szCs w:val="16"/>
        </w:rPr>
        <w:t>méně mourovatými koťaty, po</w:t>
      </w:r>
      <w:r>
        <w:rPr>
          <w:b/>
          <w:bCs/>
          <w:sz w:val="16"/>
          <w:szCs w:val="16"/>
        </w:rPr>
        <w:softHyphen/>
        <w:t>nechávajíc mně, abych se Jim po</w:t>
      </w:r>
      <w:r>
        <w:rPr>
          <w:b/>
          <w:bCs/>
          <w:sz w:val="16"/>
          <w:szCs w:val="16"/>
        </w:rPr>
        <w:softHyphen/>
        <w:t>staral o slušnou kočičí existenci,</w:t>
      </w:r>
    </w:p>
    <w:p w:rsidR="00500724" w:rsidRDefault="00F30FB8">
      <w:pPr>
        <w:pStyle w:val="Zkladntext100"/>
        <w:shd w:val="clear" w:color="auto" w:fill="auto"/>
        <w:spacing w:after="80" w:line="149" w:lineRule="auto"/>
        <w:ind w:firstLine="180"/>
      </w:pPr>
      <w:r>
        <w:t>* Ukázka z knihy Měl Jsem psa a kočku, která právě</w:t>
      </w:r>
      <w:r>
        <w:t xml:space="preserve"> vy</w:t>
      </w:r>
      <w:r>
        <w:softHyphen/>
        <w:t>šla.</w:t>
      </w:r>
    </w:p>
    <w:p w:rsidR="00500724" w:rsidRDefault="00F30FB8">
      <w:pPr>
        <w:pStyle w:val="Zkladntext40"/>
        <w:shd w:val="clear" w:color="auto" w:fill="auto"/>
        <w:spacing w:after="0" w:line="166" w:lineRule="auto"/>
        <w:rPr>
          <w:sz w:val="16"/>
          <w:szCs w:val="16"/>
        </w:rPr>
      </w:pPr>
      <w:r>
        <w:rPr>
          <w:b/>
          <w:bCs/>
          <w:sz w:val="16"/>
          <w:szCs w:val="16"/>
        </w:rPr>
        <w:t>takže všichni moji přátelé a zná</w:t>
      </w:r>
      <w:r>
        <w:rPr>
          <w:b/>
          <w:bCs/>
          <w:sz w:val="16"/>
          <w:szCs w:val="16"/>
        </w:rPr>
        <w:softHyphen/>
        <w:t>mí sl postupně odnášej! tuto buj</w:t>
      </w:r>
      <w:r>
        <w:rPr>
          <w:b/>
          <w:bCs/>
          <w:sz w:val="16"/>
          <w:szCs w:val="16"/>
        </w:rPr>
        <w:softHyphen/>
        <w:t>nou plodnost mé kočky. Tedy teď už v tom po tolikerých zkušeno</w:t>
      </w:r>
      <w:r>
        <w:rPr>
          <w:b/>
          <w:bCs/>
          <w:sz w:val="16"/>
          <w:szCs w:val="16"/>
        </w:rPr>
        <w:softHyphen/>
        <w:t>stech umí chodit; aie když se po prvé blížila její hodinka — tehdy byla ještě udiveným, polo dospě</w:t>
      </w:r>
      <w:r>
        <w:rPr>
          <w:b/>
          <w:bCs/>
          <w:sz w:val="16"/>
          <w:szCs w:val="16"/>
        </w:rPr>
        <w:softHyphen/>
        <w:t>lým kočičím výrostk</w:t>
      </w:r>
      <w:r>
        <w:rPr>
          <w:b/>
          <w:bCs/>
          <w:sz w:val="16"/>
          <w:szCs w:val="16"/>
        </w:rPr>
        <w:t>em — hle</w:t>
      </w:r>
      <w:r>
        <w:rPr>
          <w:b/>
          <w:bCs/>
          <w:sz w:val="16"/>
          <w:szCs w:val="16"/>
        </w:rPr>
        <w:softHyphen/>
        <w:t>dala svůj kout stejně znalecky a vybíravě, jako by dopodrobna vě</w:t>
      </w:r>
      <w:r>
        <w:rPr>
          <w:b/>
          <w:bCs/>
          <w:sz w:val="16"/>
          <w:szCs w:val="16"/>
        </w:rPr>
        <w:softHyphen/>
        <w:t>děla, co jl čeká. Její počínání by bylo velmi srozumitelné, kdyby to opravdu věděla, kdyby si po kočičím říkala: &gt;Mně se zdá, že budu mit koťata; to st musím na</w:t>
      </w:r>
      <w:r>
        <w:rPr>
          <w:b/>
          <w:bCs/>
          <w:sz w:val="16"/>
          <w:szCs w:val="16"/>
        </w:rPr>
        <w:softHyphen/>
        <w:t>jit nějaký skrytý pel</w:t>
      </w:r>
      <w:r>
        <w:rPr>
          <w:b/>
          <w:bCs/>
          <w:sz w:val="16"/>
          <w:szCs w:val="16"/>
        </w:rPr>
        <w:t xml:space="preserve">íšek. kde by mé </w:t>
      </w:r>
      <w:r>
        <w:rPr>
          <w:b/>
          <w:bCs/>
          <w:sz w:val="16"/>
          <w:szCs w:val="16"/>
          <w:lang w:val="en-US" w:eastAsia="en-US" w:bidi="en-US"/>
        </w:rPr>
        <w:t xml:space="preserve">babies </w:t>
      </w:r>
      <w:r>
        <w:rPr>
          <w:b/>
          <w:bCs/>
          <w:sz w:val="16"/>
          <w:szCs w:val="16"/>
        </w:rPr>
        <w:t>byly v bezpečí.* Ale nic takového kočka neví: kdyby dovedla mluvit, řekla by: vTo je divné, pořád ml něco říká: Hle</w:t>
      </w:r>
      <w:r>
        <w:rPr>
          <w:b/>
          <w:bCs/>
          <w:sz w:val="16"/>
          <w:szCs w:val="16"/>
        </w:rPr>
        <w:softHyphen/>
        <w:t xml:space="preserve">dej, hledej! najdi takové jakési zvláštní misto — ne, tahle lenoš- ka to neni; ne, tenhle polštář, na kterém spávám, </w:t>
      </w:r>
      <w:r>
        <w:rPr>
          <w:b/>
          <w:bCs/>
          <w:sz w:val="16"/>
          <w:szCs w:val="16"/>
        </w:rPr>
        <w:t>to také neni; co to mám vlastně hledat, a proč? Něco mně říká, že bych se měla dostat do toho prádelníku; nebo zalézt do postele a skrýt se pod pokrývku. — bože, jaký nepokoj! co to se mnou je?« — Vskutku se chvílemi divá tak nesmírně váž</w:t>
      </w:r>
      <w:r>
        <w:rPr>
          <w:b/>
          <w:bCs/>
          <w:sz w:val="16"/>
          <w:szCs w:val="16"/>
        </w:rPr>
        <w:softHyphen/>
        <w:t>ně a soustředěně,</w:t>
      </w:r>
      <w:r>
        <w:rPr>
          <w:b/>
          <w:bCs/>
          <w:sz w:val="16"/>
          <w:szCs w:val="16"/>
        </w:rPr>
        <w:t xml:space="preserve"> jako by naplatě naslouchala, eo ji to velitelské Něco chce říci. A pak to s veli</w:t>
      </w:r>
      <w:r>
        <w:rPr>
          <w:b/>
          <w:bCs/>
          <w:sz w:val="16"/>
          <w:szCs w:val="16"/>
        </w:rPr>
        <w:softHyphen/>
        <w:t>kou jistotou udělá, a my lidé to</w:t>
      </w:r>
      <w:r>
        <w:rPr>
          <w:b/>
          <w:bCs/>
          <w:sz w:val="16"/>
          <w:szCs w:val="16"/>
        </w:rPr>
        <w:softHyphen/>
        <w:t>mu řekneme &gt;pud«, aby to Něco mělo aspoň jméno.</w:t>
      </w:r>
    </w:p>
    <w:p w:rsidR="00500724" w:rsidRDefault="00F30FB8">
      <w:pPr>
        <w:pStyle w:val="Zkladntext40"/>
        <w:shd w:val="clear" w:color="auto" w:fill="auto"/>
        <w:spacing w:after="0" w:line="166" w:lineRule="auto"/>
        <w:ind w:firstLine="160"/>
        <w:rPr>
          <w:sz w:val="16"/>
          <w:szCs w:val="16"/>
        </w:rPr>
      </w:pPr>
      <w:r>
        <w:rPr>
          <w:b/>
          <w:bCs/>
          <w:sz w:val="16"/>
          <w:szCs w:val="16"/>
        </w:rPr>
        <w:t>Nu dobře: jednoho rána — ne</w:t>
      </w:r>
      <w:r>
        <w:rPr>
          <w:b/>
          <w:bCs/>
          <w:sz w:val="16"/>
          <w:szCs w:val="16"/>
        </w:rPr>
        <w:softHyphen/>
        <w:t>boť tato nadílka přichází obyčej</w:t>
      </w:r>
      <w:r>
        <w:rPr>
          <w:b/>
          <w:bCs/>
          <w:sz w:val="16"/>
          <w:szCs w:val="16"/>
        </w:rPr>
        <w:softHyphen/>
      </w:r>
    </w:p>
    <w:p w:rsidR="00500724" w:rsidRDefault="00F30FB8">
      <w:pPr>
        <w:pStyle w:val="Zkladntext100"/>
        <w:shd w:val="clear" w:color="auto" w:fill="auto"/>
        <w:spacing w:after="140" w:line="149" w:lineRule="auto"/>
        <w:ind w:firstLine="0"/>
      </w:pPr>
      <w:r>
        <w:t>Byny před zradou, a spolu s nim</w:t>
      </w:r>
      <w:r>
        <w:t xml:space="preserve"> i celou řadu básni, které dnes zni s obnovenou časovostl, oprav</w:t>
      </w:r>
      <w:r>
        <w:softHyphen/>
        <w:t>du s pohnutím. Básník, který v závěru Písně noci 29. října vzý</w:t>
      </w:r>
      <w:r>
        <w:softHyphen/>
        <w:t>vá: »Ne na svůj zájem, ale na budoucnost (hleď v moři krve prolité), A nebude-li v srdci čistá vroucnost (Jak uhájíme doby</w:t>
      </w:r>
      <w:r>
        <w:softHyphen/>
        <w:t>té?*)</w:t>
      </w:r>
      <w:r>
        <w:t>,, je nám dnes o to bližší a dražší, že byl jedním z těch, kdo mluvili tvrdě a nesmlouvavě, přimě 1 statečně ke všem českým srdcím. V poesii, inspirované zá</w:t>
      </w:r>
      <w:r>
        <w:softHyphen/>
        <w:t>žitkem a prožitkem češství, má</w:t>
      </w:r>
      <w:r>
        <w:softHyphen/>
        <w:t>me vedle Nerudových Zpěvů pá</w:t>
      </w:r>
      <w:r>
        <w:softHyphen/>
        <w:t>tečních, několika vroucích písni Sládko</w:t>
      </w:r>
      <w:r>
        <w:t>vých sotva něco tak žha</w:t>
      </w:r>
      <w:r>
        <w:softHyphen/>
        <w:t>vého a bezprostředního, tak bá</w:t>
      </w:r>
      <w:r>
        <w:softHyphen/>
        <w:t>snicky svrchovaného, Jako Jsou svazky Dykovy válečné tetralo</w:t>
      </w:r>
      <w:r>
        <w:softHyphen/>
        <w:t>gie, knihy jeho povídek 1 dramat. Slovem, Viktor Dyk je básníkem českého vědomi 1 svědomí, a vě</w:t>
      </w:r>
      <w:r>
        <w:softHyphen/>
        <w:t>ru, že národ by měl putovatl k Jeho dílu Jak</w:t>
      </w:r>
      <w:r>
        <w:t>o k pramenům živé vody, která obrozuje a křísl viru v národ a v Jeho budoucnost, vi</w:t>
      </w:r>
      <w:r>
        <w:softHyphen/>
        <w:t>ru v jeho život věčný a hrdinský.</w:t>
      </w:r>
    </w:p>
    <w:p w:rsidR="00500724" w:rsidRDefault="00F30FB8">
      <w:pPr>
        <w:pStyle w:val="Zkladntext100"/>
        <w:shd w:val="clear" w:color="auto" w:fill="auto"/>
        <w:spacing w:after="140" w:line="151" w:lineRule="auto"/>
        <w:ind w:firstLine="240"/>
      </w:pPr>
      <w:r>
        <w:rPr>
          <w:b/>
          <w:bCs/>
          <w:sz w:val="14"/>
          <w:szCs w:val="14"/>
        </w:rPr>
        <w:t>NOVÉ USPOŘÁDÁNÍ SOUD</w:t>
      </w:r>
      <w:r>
        <w:rPr>
          <w:b/>
          <w:bCs/>
          <w:sz w:val="14"/>
          <w:szCs w:val="14"/>
        </w:rPr>
        <w:softHyphen/>
        <w:t>NICTVÍ V PROTEKTORÁTU ČE</w:t>
      </w:r>
      <w:r>
        <w:rPr>
          <w:b/>
          <w:bCs/>
          <w:sz w:val="14"/>
          <w:szCs w:val="14"/>
        </w:rPr>
        <w:softHyphen/>
      </w:r>
      <w:r>
        <w:t>CHY A MORAVA. Pomůcka urče</w:t>
      </w:r>
      <w:r>
        <w:softHyphen/>
        <w:t>ná pro první informaci české právnické veřejnosti 1 Jednotlivců o</w:t>
      </w:r>
      <w:r>
        <w:t xml:space="preserve"> důležitých třech nařízeních ně</w:t>
      </w:r>
      <w:r>
        <w:softHyphen/>
        <w:t>meckého říšského zákonika, jimiž se zčásti nově upravuje naše soudnictví. Nařízení nabyla účin</w:t>
      </w:r>
      <w:r>
        <w:softHyphen/>
        <w:t>nosti dnem 16. dubna 1939 a naše justiční úřady se jimi již řidl. Obsah jest rozdělen na tři části. První část obsahuje: I. Naříz</w:t>
      </w:r>
      <w:r>
        <w:t>ení o německém soudnictví v Pro</w:t>
      </w:r>
      <w:r>
        <w:softHyphen/>
        <w:t>tektorátu Čechy a Morava ze 14. dubna 1939. II, Nařízeni o výkonu trestního soudnictví v Protekto</w:t>
      </w:r>
      <w:r>
        <w:softHyphen/>
        <w:t>rátu Čechy a Morava ze 14. dub</w:t>
      </w:r>
      <w:r>
        <w:softHyphen/>
        <w:t xml:space="preserve">na 1939. III. Nařízeni o výkonu soudnictví v občanských věcech právních v Protektorátu Cechy </w:t>
      </w:r>
      <w:r>
        <w:rPr>
          <w:b/>
          <w:bCs/>
          <w:sz w:val="14"/>
          <w:szCs w:val="14"/>
        </w:rPr>
        <w:t xml:space="preserve">a </w:t>
      </w:r>
      <w:r>
        <w:t>Morava ze 14. dubna 1939. V dru</w:t>
      </w:r>
      <w:r>
        <w:softHyphen/>
        <w:t>hé části Jest připojeno Jejich pů</w:t>
      </w:r>
      <w:r>
        <w:softHyphen/>
        <w:t>vodní německé zněni. Ve třetí části jest uveden český překlad zvláštních ustanoveni říšského trestního práva platných 1 pro</w:t>
      </w:r>
    </w:p>
    <w:p w:rsidR="00500724" w:rsidRDefault="00F30FB8">
      <w:pPr>
        <w:pStyle w:val="Zkladntext40"/>
        <w:shd w:val="clear" w:color="auto" w:fill="auto"/>
        <w:spacing w:after="0" w:line="168" w:lineRule="auto"/>
        <w:rPr>
          <w:sz w:val="16"/>
          <w:szCs w:val="16"/>
        </w:rPr>
      </w:pPr>
      <w:r>
        <w:rPr>
          <w:b/>
          <w:bCs/>
          <w:sz w:val="16"/>
          <w:szCs w:val="16"/>
        </w:rPr>
        <w:t>ně v noci — bude v některém koutě pištět půl tuctu koťat; koč- ,ka</w:t>
      </w:r>
      <w:r>
        <w:rPr>
          <w:b/>
          <w:bCs/>
          <w:sz w:val="16"/>
          <w:szCs w:val="16"/>
        </w:rPr>
        <w:t xml:space="preserve"> jim bude odpovídat sladkým vrkáním, kterýžto rejstřík ucho</w:t>
      </w:r>
      <w:r>
        <w:rPr>
          <w:b/>
          <w:bCs/>
          <w:sz w:val="16"/>
          <w:szCs w:val="16"/>
        </w:rPr>
        <w:softHyphen/>
        <w:t>vává jenom pro ně; neni to hlas, nýbrž celý akord v harmonické tercii a kvintě, velmi podobný akordu na foukací harmonice. Bude se rozplývat okázalým ma</w:t>
      </w:r>
      <w:r>
        <w:rPr>
          <w:b/>
          <w:bCs/>
          <w:sz w:val="16"/>
          <w:szCs w:val="16"/>
        </w:rPr>
        <w:softHyphen/>
        <w:t>teřstvím; každý její pohyb bude nekonečně o</w:t>
      </w:r>
      <w:r>
        <w:rPr>
          <w:b/>
          <w:bCs/>
          <w:sz w:val="16"/>
          <w:szCs w:val="16"/>
        </w:rPr>
        <w:t>chranný a měkký; jeji pocuchané břicho, trpělivě stočený hřbet 1 pozorné tlapky obepnou hemžící se koťata v je</w:t>
      </w:r>
      <w:r>
        <w:rPr>
          <w:b/>
          <w:bCs/>
          <w:sz w:val="16"/>
          <w:szCs w:val="16"/>
        </w:rPr>
        <w:softHyphen/>
        <w:t>diný mateřský raneček: hle, jsme ještě jedno tělo. Jen na skok opustí své hnízdo, aby se klusem vracela, už z dálky volajíc a vrka</w:t>
      </w:r>
      <w:r>
        <w:rPr>
          <w:b/>
          <w:bCs/>
          <w:sz w:val="16"/>
          <w:szCs w:val="16"/>
        </w:rPr>
        <w:softHyphen/>
        <w:t>jíc; bnde to h</w:t>
      </w:r>
      <w:r>
        <w:rPr>
          <w:b/>
          <w:bCs/>
          <w:sz w:val="16"/>
          <w:szCs w:val="16"/>
        </w:rPr>
        <w:t>otový fanatismus mateřství.</w:t>
      </w:r>
    </w:p>
    <w:p w:rsidR="00500724" w:rsidRDefault="00F30FB8">
      <w:pPr>
        <w:pStyle w:val="Zkladntext40"/>
        <w:shd w:val="clear" w:color="auto" w:fill="auto"/>
        <w:tabs>
          <w:tab w:val="left" w:leader="hyphen" w:pos="638"/>
        </w:tabs>
        <w:spacing w:after="0" w:line="168" w:lineRule="auto"/>
        <w:ind w:firstLine="240"/>
        <w:rPr>
          <w:sz w:val="16"/>
          <w:szCs w:val="16"/>
        </w:rPr>
      </w:pPr>
      <w:r>
        <w:rPr>
          <w:b/>
          <w:bCs/>
          <w:sz w:val="16"/>
          <w:szCs w:val="16"/>
        </w:rPr>
        <w:tab/>
        <w:t>Ale tak za šest neděl se</w:t>
      </w:r>
    </w:p>
    <w:p w:rsidR="00500724" w:rsidRDefault="00F30FB8">
      <w:pPr>
        <w:pStyle w:val="Zkladntext40"/>
        <w:shd w:val="clear" w:color="auto" w:fill="auto"/>
        <w:spacing w:after="0" w:line="168" w:lineRule="auto"/>
        <w:rPr>
          <w:sz w:val="16"/>
          <w:szCs w:val="16"/>
        </w:rPr>
      </w:pPr>
      <w:r>
        <w:rPr>
          <w:b/>
          <w:bCs/>
          <w:sz w:val="16"/>
          <w:szCs w:val="16"/>
        </w:rPr>
        <w:t>vyhoupne tichým skokem z kotě- ciho peliška a zmizl v jarní noci, zatim co v dálce bude houkat drsný alt kocoura. Až ráno se vrátí s velkýma zelenýma očima a bude sl olizovat rozcuchaný ko</w:t>
      </w:r>
      <w:r>
        <w:rPr>
          <w:b/>
          <w:bCs/>
          <w:sz w:val="16"/>
          <w:szCs w:val="16"/>
        </w:rPr>
        <w:softHyphen/>
        <w:t>žíšek; a přib</w:t>
      </w:r>
      <w:r>
        <w:rPr>
          <w:b/>
          <w:bCs/>
          <w:sz w:val="16"/>
          <w:szCs w:val="16"/>
        </w:rPr>
        <w:t>ěhne-li k nl kotě, aby se napilo nebo aby sl pohrálo s jeji nervosnl oháňkou, vlep! mu tlapou pohlavek, až se užaslé kotě převáli, a indignovaně ode</w:t>
      </w:r>
      <w:r>
        <w:rPr>
          <w:b/>
          <w:bCs/>
          <w:sz w:val="16"/>
          <w:szCs w:val="16"/>
        </w:rPr>
        <w:softHyphen/>
        <w:t>jde. Pojď sem. kotě; vidíš, tak už to ve světě chodí; tohle je konec tvého dětství — je na čase, abych tl n</w:t>
      </w:r>
      <w:r>
        <w:rPr>
          <w:b/>
          <w:bCs/>
          <w:sz w:val="16"/>
          <w:szCs w:val="16"/>
        </w:rPr>
        <w:t>ašel misto.</w:t>
      </w:r>
    </w:p>
    <w:p w:rsidR="00500724" w:rsidRDefault="00F30FB8">
      <w:pPr>
        <w:pStyle w:val="Zkladntext40"/>
        <w:shd w:val="clear" w:color="auto" w:fill="auto"/>
        <w:spacing w:after="140" w:line="168" w:lineRule="auto"/>
        <w:ind w:firstLine="240"/>
        <w:rPr>
          <w:sz w:val="16"/>
          <w:szCs w:val="16"/>
        </w:rPr>
      </w:pPr>
      <w:r>
        <w:rPr>
          <w:b/>
          <w:bCs/>
          <w:sz w:val="16"/>
          <w:szCs w:val="16"/>
        </w:rPr>
        <w:t>Zády ke koťatům, hladce ulí</w:t>
      </w:r>
      <w:r>
        <w:rPr>
          <w:b/>
          <w:bCs/>
          <w:sz w:val="16"/>
          <w:szCs w:val="16"/>
        </w:rPr>
        <w:softHyphen/>
        <w:t>zaná, divá se kočka oknem ven; patrně naslouchá, co jl Něco řt-</w:t>
      </w:r>
      <w:r>
        <w:br w:type="page"/>
      </w:r>
    </w:p>
    <w:p w:rsidR="00500724" w:rsidRDefault="00F30FB8">
      <w:pPr>
        <w:pStyle w:val="Zkladntext100"/>
        <w:shd w:val="clear" w:color="auto" w:fill="auto"/>
        <w:spacing w:after="140" w:line="149" w:lineRule="auto"/>
        <w:ind w:firstLine="0"/>
      </w:pPr>
      <w:r>
        <w:t>gtátnt příslušníky Protektorátu imlmo obecnou Část tr. z. něm.). Stran 48, cena výtisku 12 K. Vy</w:t>
      </w:r>
      <w:r>
        <w:softHyphen/>
        <w:t>dalo Právnické knihkupectví a na</w:t>
      </w:r>
      <w:r>
        <w:softHyphen/>
        <w:t>kladatelství V. Linha</w:t>
      </w:r>
      <w:r>
        <w:t>rta, Praha.</w:t>
      </w:r>
    </w:p>
    <w:p w:rsidR="00500724" w:rsidRDefault="00F30FB8">
      <w:pPr>
        <w:pStyle w:val="Zkladntext20"/>
        <w:shd w:val="clear" w:color="auto" w:fill="auto"/>
        <w:spacing w:after="40" w:line="185" w:lineRule="auto"/>
        <w:ind w:firstLine="0"/>
        <w:rPr>
          <w:sz w:val="20"/>
          <w:szCs w:val="20"/>
        </w:rPr>
      </w:pPr>
      <w:r>
        <w:rPr>
          <w:b/>
          <w:bCs/>
          <w:i/>
          <w:iCs/>
          <w:sz w:val="20"/>
          <w:szCs w:val="20"/>
        </w:rPr>
        <w:t>O. K erhart:</w:t>
      </w:r>
    </w:p>
    <w:p w:rsidR="00500724" w:rsidRDefault="00F30FB8">
      <w:pPr>
        <w:pStyle w:val="Zkladntext20"/>
        <w:shd w:val="clear" w:color="auto" w:fill="auto"/>
        <w:spacing w:line="187" w:lineRule="auto"/>
        <w:ind w:firstLine="0"/>
        <w:rPr>
          <w:sz w:val="20"/>
          <w:szCs w:val="20"/>
        </w:rPr>
      </w:pPr>
      <w:r>
        <w:rPr>
          <w:b/>
          <w:bCs/>
          <w:sz w:val="19"/>
          <w:szCs w:val="19"/>
        </w:rPr>
        <w:t xml:space="preserve">Chceme pravé české umění </w:t>
      </w:r>
      <w:r>
        <w:rPr>
          <w:sz w:val="19"/>
          <w:szCs w:val="19"/>
        </w:rPr>
        <w:t xml:space="preserve">Dokončeni. </w:t>
      </w:r>
      <w:r>
        <w:rPr>
          <w:b/>
          <w:bCs/>
          <w:i/>
          <w:iCs/>
          <w:sz w:val="20"/>
          <w:szCs w:val="20"/>
        </w:rPr>
        <w:t>Velké postavy našeho umě</w:t>
      </w:r>
      <w:r>
        <w:rPr>
          <w:b/>
          <w:bCs/>
          <w:i/>
          <w:iCs/>
          <w:sz w:val="20"/>
          <w:szCs w:val="20"/>
        </w:rPr>
        <w:softHyphen/>
        <w:t>ní rostly a umíraly v malo</w:t>
      </w:r>
      <w:r>
        <w:rPr>
          <w:b/>
          <w:bCs/>
          <w:i/>
          <w:iCs/>
          <w:sz w:val="20"/>
          <w:szCs w:val="20"/>
        </w:rPr>
        <w:softHyphen/>
        <w:t>městském prostředí, nepřízni</w:t>
      </w:r>
      <w:r>
        <w:rPr>
          <w:b/>
          <w:bCs/>
          <w:i/>
          <w:iCs/>
          <w:sz w:val="20"/>
          <w:szCs w:val="20"/>
        </w:rPr>
        <w:softHyphen/>
        <w:t>vém jejich talentům a často tak krutém, že vyhrávaly svůj boj až na Olšanech a na Vyšehradě. A přece daly ná</w:t>
      </w:r>
      <w:r>
        <w:rPr>
          <w:b/>
          <w:bCs/>
          <w:i/>
          <w:iCs/>
          <w:sz w:val="20"/>
          <w:szCs w:val="20"/>
        </w:rPr>
        <w:softHyphen/>
        <w:t xml:space="preserve">rodu </w:t>
      </w:r>
      <w:r>
        <w:rPr>
          <w:b/>
          <w:bCs/>
          <w:i/>
          <w:iCs/>
          <w:sz w:val="20"/>
          <w:szCs w:val="20"/>
        </w:rPr>
        <w:t>bohatství větší, než mohl pochopit.</w:t>
      </w:r>
    </w:p>
    <w:p w:rsidR="00500724" w:rsidRDefault="00F30FB8">
      <w:pPr>
        <w:pStyle w:val="Zkladntext20"/>
        <w:shd w:val="clear" w:color="auto" w:fill="auto"/>
        <w:spacing w:after="40" w:line="187" w:lineRule="auto"/>
        <w:ind w:firstLine="180"/>
        <w:rPr>
          <w:sz w:val="20"/>
          <w:szCs w:val="20"/>
        </w:rPr>
      </w:pPr>
      <w:r>
        <w:rPr>
          <w:b/>
          <w:bCs/>
          <w:i/>
          <w:iCs/>
          <w:sz w:val="20"/>
          <w:szCs w:val="20"/>
        </w:rPr>
        <w:t>Následovníci Mánesa a Smetany neviděli již v dílech svých mistrů cizí vlivy, kte</w:t>
      </w:r>
      <w:r>
        <w:rPr>
          <w:b/>
          <w:bCs/>
          <w:i/>
          <w:iCs/>
          <w:sz w:val="20"/>
          <w:szCs w:val="20"/>
        </w:rPr>
        <w:softHyphen/>
        <w:t>ré nacházíme ostatně ve všech vrcholných světových kulturních hodnotách, a sta</w:t>
      </w:r>
      <w:r>
        <w:rPr>
          <w:b/>
          <w:bCs/>
          <w:i/>
          <w:iCs/>
          <w:sz w:val="20"/>
          <w:szCs w:val="20"/>
        </w:rPr>
        <w:softHyphen/>
        <w:t>rali se naopak, aby mrtvé ovzduší Prahy se novými evropskými</w:t>
      </w:r>
      <w:r>
        <w:rPr>
          <w:b/>
          <w:bCs/>
          <w:i/>
          <w:iCs/>
          <w:sz w:val="20"/>
          <w:szCs w:val="20"/>
        </w:rPr>
        <w:t xml:space="preserve"> vlivy provětralo a aby nepřevládal jen jeden nezdravý vliv, který se z Vídně posílal do všech pro</w:t>
      </w:r>
      <w:r>
        <w:rPr>
          <w:b/>
          <w:bCs/>
          <w:i/>
          <w:iCs/>
          <w:sz w:val="20"/>
          <w:szCs w:val="20"/>
        </w:rPr>
        <w:softHyphen/>
        <w:t>vincií.</w:t>
      </w:r>
    </w:p>
    <w:p w:rsidR="00500724" w:rsidRDefault="00F30FB8">
      <w:pPr>
        <w:pStyle w:val="Zkladntext20"/>
        <w:shd w:val="clear" w:color="auto" w:fill="auto"/>
        <w:spacing w:after="120" w:line="182" w:lineRule="auto"/>
        <w:ind w:firstLine="180"/>
        <w:rPr>
          <w:sz w:val="20"/>
          <w:szCs w:val="20"/>
        </w:rPr>
      </w:pPr>
      <w:r>
        <w:rPr>
          <w:b/>
          <w:bCs/>
          <w:i/>
          <w:iCs/>
          <w:sz w:val="20"/>
          <w:szCs w:val="20"/>
        </w:rPr>
        <w:t>Umělecký život v Praze mo</w:t>
      </w:r>
      <w:r>
        <w:rPr>
          <w:b/>
          <w:bCs/>
          <w:i/>
          <w:iCs/>
          <w:sz w:val="20"/>
          <w:szCs w:val="20"/>
        </w:rPr>
        <w:softHyphen/>
        <w:t>hutněl a rozrůstal se v nové spolky. Z Umělecké besedy se odštěpila Jednota Umělců Výtvarných a později vyrostl Mánes. Mlad</w:t>
      </w:r>
      <w:r>
        <w:rPr>
          <w:b/>
          <w:bCs/>
          <w:i/>
          <w:iCs/>
          <w:sz w:val="20"/>
          <w:szCs w:val="20"/>
        </w:rPr>
        <w:t>ý Jan Kotěra již dovedl svým osobním vlivem pro české umělce mnoho udě</w:t>
      </w:r>
      <w:r>
        <w:rPr>
          <w:b/>
          <w:bCs/>
          <w:i/>
          <w:iCs/>
          <w:sz w:val="20"/>
          <w:szCs w:val="20"/>
        </w:rPr>
        <w:softHyphen/>
        <w:t>lat a hlavně povzbudit všechny tři spolky, aby sou</w:t>
      </w:r>
      <w:r>
        <w:rPr>
          <w:b/>
          <w:bCs/>
          <w:i/>
          <w:iCs/>
          <w:sz w:val="20"/>
          <w:szCs w:val="20"/>
        </w:rPr>
        <w:softHyphen/>
        <w:t xml:space="preserve">těžily mezi sebou svými vlastními prostředky a nesly hlavní odpovědnost za další vývoj tradice českého umění. Velkou zásluhou soutěže </w:t>
      </w:r>
      <w:r>
        <w:rPr>
          <w:b/>
          <w:bCs/>
          <w:i/>
          <w:iCs/>
          <w:sz w:val="20"/>
          <w:szCs w:val="20"/>
        </w:rPr>
        <w:t>těchto tři spolků jest, že vel</w:t>
      </w:r>
      <w:r>
        <w:rPr>
          <w:b/>
          <w:bCs/>
          <w:i/>
          <w:iCs/>
          <w:sz w:val="20"/>
          <w:szCs w:val="20"/>
        </w:rPr>
        <w:softHyphen/>
        <w:t>ké talenty se mohly lépe uplatniti než dříve. Tyto tři spolky dávaly v oboru vý</w:t>
      </w:r>
      <w:r>
        <w:rPr>
          <w:b/>
          <w:bCs/>
          <w:i/>
          <w:iCs/>
          <w:sz w:val="20"/>
          <w:szCs w:val="20"/>
        </w:rPr>
        <w:softHyphen/>
        <w:t>tvarného uměni národu vše, co potřeboval, a přijímaly příliš málo zpět, aby mohly svoji činnost stupňovat. Ne</w:t>
      </w:r>
      <w:r>
        <w:rPr>
          <w:b/>
          <w:bCs/>
          <w:i/>
          <w:iCs/>
          <w:sz w:val="20"/>
          <w:szCs w:val="20"/>
        </w:rPr>
        <w:softHyphen/>
      </w:r>
      <w:r>
        <w:rPr>
          <w:b/>
          <w:bCs/>
          <w:i/>
          <w:iCs/>
          <w:sz w:val="20"/>
          <w:szCs w:val="20"/>
          <w:u w:val="single"/>
        </w:rPr>
        <w:t>bylo zde druhé kulturní orga-</w:t>
      </w:r>
    </w:p>
    <w:p w:rsidR="00500724" w:rsidRDefault="00F30FB8">
      <w:pPr>
        <w:pStyle w:val="Zkladntext90"/>
        <w:shd w:val="clear" w:color="auto" w:fill="auto"/>
        <w:spacing w:line="209" w:lineRule="auto"/>
        <w:ind w:firstLine="0"/>
      </w:pPr>
      <w:r>
        <w:t>ká: »</w:t>
      </w:r>
      <w:r>
        <w:t>Musíš ven, musíš této noci ven, nebot on přljde.&lt;</w:t>
      </w:r>
    </w:p>
    <w:p w:rsidR="00500724" w:rsidRDefault="00F30FB8">
      <w:pPr>
        <w:pStyle w:val="Zkladntext90"/>
        <w:shd w:val="clear" w:color="auto" w:fill="auto"/>
        <w:spacing w:after="40" w:line="209" w:lineRule="auto"/>
      </w:pPr>
      <w:r>
        <w:t>Kdybych ji za čtrnáct dni při</w:t>
      </w:r>
      <w:r>
        <w:softHyphen/>
        <w:t>nesl její vlastni kotě. bude na ně nepřátelsky sySet jako had.</w:t>
      </w:r>
    </w:p>
    <w:p w:rsidR="00500724" w:rsidRDefault="00F30FB8">
      <w:pPr>
        <w:pStyle w:val="Zkladntext90"/>
        <w:shd w:val="clear" w:color="auto" w:fill="auto"/>
        <w:spacing w:after="40" w:line="209" w:lineRule="auto"/>
        <w:ind w:firstLine="0"/>
      </w:pPr>
      <w:r>
        <w:t>Pes</w:t>
      </w:r>
    </w:p>
    <w:p w:rsidR="00500724" w:rsidRDefault="00F30FB8">
      <w:pPr>
        <w:pStyle w:val="Zkladntext90"/>
        <w:shd w:val="clear" w:color="auto" w:fill="auto"/>
        <w:spacing w:after="40" w:line="209" w:lineRule="auto"/>
      </w:pPr>
      <w:r>
        <w:t xml:space="preserve">Ani chudák ěubiěka nevěděla, jak k tomu přišla; jenom ji bylo těžko, tuze těžko; už nemohla ten veliký břich </w:t>
      </w:r>
      <w:r>
        <w:t>unést, už nemohla vyskočit na pohovku, 1 usedala na zadek s hloupým a rozpači</w:t>
      </w:r>
      <w:r>
        <w:softHyphen/>
        <w:t>tým výrazem: »Já nevím, co to se mnou je; mně se zdá, že umřu.« Naprosto nechápala svou situaci a nekonala žádné přípravy; te</w:t>
      </w:r>
      <w:r>
        <w:softHyphen/>
        <w:t>prve jednou večer na ni přišel ta</w:t>
      </w:r>
      <w:r>
        <w:softHyphen/>
        <w:t>kový divný nepokoj</w:t>
      </w:r>
      <w:r>
        <w:t>, — Nu, co bys chtěla? — Zavrtěla jen roz</w:t>
      </w:r>
      <w:r>
        <w:softHyphen/>
        <w:t>pačitě ocáskem a nakonec vlezla do své boudy s toutéž zahanbe</w:t>
      </w:r>
      <w:r>
        <w:softHyphen/>
        <w:t>nou tváří, jako když bývala hu</w:t>
      </w:r>
      <w:r>
        <w:softHyphen/>
        <w:t>bována.</w:t>
      </w:r>
    </w:p>
    <w:p w:rsidR="00500724" w:rsidRDefault="00F30FB8">
      <w:pPr>
        <w:pStyle w:val="Zkladntext90"/>
        <w:shd w:val="clear" w:color="auto" w:fill="auto"/>
        <w:spacing w:after="40" w:line="209" w:lineRule="auto"/>
      </w:pPr>
      <w:r>
        <w:t xml:space="preserve">Báno byla bouda plná štěňat; ale </w:t>
      </w:r>
      <w:r>
        <w:rPr>
          <w:rFonts w:ascii="Times New Roman" w:eastAsia="Times New Roman" w:hAnsi="Times New Roman" w:cs="Times New Roman"/>
          <w:sz w:val="14"/>
          <w:szCs w:val="14"/>
        </w:rPr>
        <w:t xml:space="preserve">fenku </w:t>
      </w:r>
      <w:r>
        <w:t>nebylo možno ničím vy</w:t>
      </w:r>
      <w:r>
        <w:softHyphen/>
        <w:t>lákat z boudy ven. Vypadala bez</w:t>
      </w:r>
      <w:r>
        <w:softHyphen/>
        <w:t>mezné zkroušeně, jak</w:t>
      </w:r>
      <w:r>
        <w:t>o by se bá</w:t>
      </w:r>
      <w:r>
        <w:softHyphen/>
        <w:t>la vyhubováni, že udělala doma takovou velkou hromádku; zřej</w:t>
      </w:r>
      <w:r>
        <w:softHyphen/>
        <w:t>mě to chtěla ukrýt. Čtyřiadvacet hodin neopustila boudu; ale po čtyřiadvaceti hodinách se jí roz</w:t>
      </w:r>
      <w:r>
        <w:softHyphen/>
        <w:t>břesklo v hlavě. 1 vyrazila z bou</w:t>
      </w:r>
      <w:r>
        <w:softHyphen/>
        <w:t>dy a skákala na svého pána: »Pojď se podívat! Já jsem</w:t>
      </w:r>
      <w:r>
        <w:t xml:space="preserve"> se stala matkou! Já tam mám sto štěňat!i (Ono jich bylo jen de</w:t>
      </w:r>
      <w:r>
        <w:softHyphen/>
        <w:t>vět, ale ta fenka neuměla do pěti počítat.) Načež s netajenou hrdo</w:t>
      </w:r>
      <w:r>
        <w:softHyphen/>
        <w:t>sti přijala gratulace a sháněla se po své mlsce na žrádlo. Tak hlou</w:t>
      </w:r>
      <w:r>
        <w:softHyphen/>
        <w:t>pá ěubiěka pochopila své vlastni tajemství.</w:t>
      </w:r>
    </w:p>
    <w:p w:rsidR="00500724" w:rsidRDefault="00F30FB8">
      <w:pPr>
        <w:spacing w:line="1" w:lineRule="exact"/>
        <w:rPr>
          <w:sz w:val="2"/>
          <w:szCs w:val="2"/>
        </w:rPr>
      </w:pPr>
      <w:r>
        <w:br w:type="column"/>
      </w:r>
    </w:p>
    <w:p w:rsidR="00500724" w:rsidRDefault="00F30FB8">
      <w:pPr>
        <w:pStyle w:val="Zkladntext20"/>
        <w:shd w:val="clear" w:color="auto" w:fill="auto"/>
        <w:spacing w:line="182" w:lineRule="auto"/>
        <w:ind w:firstLine="0"/>
        <w:rPr>
          <w:sz w:val="20"/>
          <w:szCs w:val="20"/>
        </w:rPr>
      </w:pPr>
      <w:r>
        <w:rPr>
          <w:b/>
          <w:bCs/>
          <w:i/>
          <w:iCs/>
          <w:sz w:val="20"/>
          <w:szCs w:val="20"/>
        </w:rPr>
        <w:t xml:space="preserve">nisace, </w:t>
      </w:r>
      <w:r>
        <w:rPr>
          <w:b/>
          <w:bCs/>
          <w:i/>
          <w:iCs/>
          <w:sz w:val="20"/>
          <w:szCs w:val="20"/>
        </w:rPr>
        <w:t>která by mohla a chtěla nahradit všestrannou činnost těchto autonomních spolků za posledních dvacet let. České uměni na této Ši</w:t>
      </w:r>
      <w:r>
        <w:rPr>
          <w:b/>
          <w:bCs/>
          <w:i/>
          <w:iCs/>
          <w:sz w:val="20"/>
          <w:szCs w:val="20"/>
        </w:rPr>
        <w:softHyphen/>
        <w:t>roké samosprávné základně vyrostlo, aby se mohlo posta</w:t>
      </w:r>
      <w:r>
        <w:rPr>
          <w:b/>
          <w:bCs/>
          <w:i/>
          <w:iCs/>
          <w:sz w:val="20"/>
          <w:szCs w:val="20"/>
        </w:rPr>
        <w:softHyphen/>
        <w:t>viti</w:t>
      </w:r>
      <w:r>
        <w:rPr>
          <w:b/>
          <w:bCs/>
          <w:sz w:val="19"/>
          <w:szCs w:val="19"/>
        </w:rPr>
        <w:t xml:space="preserve"> v </w:t>
      </w:r>
      <w:r>
        <w:rPr>
          <w:b/>
          <w:bCs/>
          <w:i/>
          <w:iCs/>
          <w:sz w:val="20"/>
          <w:szCs w:val="20"/>
        </w:rPr>
        <w:t>popředí umění evrop</w:t>
      </w:r>
      <w:r>
        <w:rPr>
          <w:b/>
          <w:bCs/>
          <w:i/>
          <w:iCs/>
          <w:sz w:val="20"/>
          <w:szCs w:val="20"/>
        </w:rPr>
        <w:softHyphen/>
        <w:t xml:space="preserve">ského. V soutěži ůárodů v Paříži r. 1937 bylo </w:t>
      </w:r>
      <w:r>
        <w:rPr>
          <w:b/>
          <w:bCs/>
          <w:i/>
          <w:iCs/>
          <w:sz w:val="20"/>
          <w:szCs w:val="20"/>
        </w:rPr>
        <w:t>oceněno mezinárodní porotou druhou cenou, to jest jako druhá v pořadí, vedle francouzského přede všemi evropskými ná</w:t>
      </w:r>
      <w:r>
        <w:rPr>
          <w:b/>
          <w:bCs/>
          <w:i/>
          <w:iCs/>
          <w:sz w:val="20"/>
          <w:szCs w:val="20"/>
        </w:rPr>
        <w:softHyphen/>
        <w:t>rody. Naši dobří umělci se proto opravdu nemusí přizpů</w:t>
      </w:r>
      <w:r>
        <w:rPr>
          <w:b/>
          <w:bCs/>
          <w:i/>
          <w:iCs/>
          <w:sz w:val="20"/>
          <w:szCs w:val="20"/>
        </w:rPr>
        <w:softHyphen/>
        <w:t>sobovat cizímu umění. Ve výtvarnictví jsme ceněni vý</w:t>
      </w:r>
      <w:r>
        <w:rPr>
          <w:b/>
          <w:bCs/>
          <w:i/>
          <w:iCs/>
          <w:sz w:val="20"/>
          <w:szCs w:val="20"/>
        </w:rPr>
        <w:softHyphen/>
        <w:t>še než současní Němci, Italo</w:t>
      </w:r>
      <w:r>
        <w:rPr>
          <w:b/>
          <w:bCs/>
          <w:i/>
          <w:iCs/>
          <w:sz w:val="20"/>
          <w:szCs w:val="20"/>
        </w:rPr>
        <w:softHyphen/>
        <w:t>vé</w:t>
      </w:r>
      <w:r>
        <w:rPr>
          <w:b/>
          <w:bCs/>
          <w:i/>
          <w:iCs/>
          <w:sz w:val="20"/>
          <w:szCs w:val="20"/>
        </w:rPr>
        <w:t>, Poláci a Maďaři, naši umělci však právě proto také nemají chut přizpůsobovat se cizině v organisaci umělecké</w:t>
      </w:r>
      <w:r>
        <w:rPr>
          <w:b/>
          <w:bCs/>
          <w:i/>
          <w:iCs/>
          <w:sz w:val="20"/>
          <w:szCs w:val="20"/>
        </w:rPr>
        <w:softHyphen/>
        <w:t>ho života.</w:t>
      </w:r>
    </w:p>
    <w:p w:rsidR="00500724" w:rsidRDefault="00F30FB8">
      <w:pPr>
        <w:pStyle w:val="Zkladntext20"/>
        <w:shd w:val="clear" w:color="auto" w:fill="auto"/>
        <w:spacing w:line="180" w:lineRule="auto"/>
        <w:ind w:firstLine="180"/>
        <w:rPr>
          <w:sz w:val="20"/>
          <w:szCs w:val="20"/>
        </w:rPr>
      </w:pPr>
      <w:r>
        <w:rPr>
          <w:noProof/>
        </w:rPr>
        <mc:AlternateContent>
          <mc:Choice Requires="wps">
            <w:drawing>
              <wp:anchor distT="3035300" distB="0" distL="431165" distR="126365" simplePos="0" relativeHeight="125829946" behindDoc="0" locked="0" layoutInCell="1" allowOverlap="1">
                <wp:simplePos x="0" y="0"/>
                <wp:positionH relativeFrom="page">
                  <wp:posOffset>2580640</wp:posOffset>
                </wp:positionH>
                <wp:positionV relativeFrom="margin">
                  <wp:posOffset>6351905</wp:posOffset>
                </wp:positionV>
                <wp:extent cx="4099560" cy="1831975"/>
                <wp:effectExtent l="0" t="0" r="0" b="0"/>
                <wp:wrapTopAndBottom/>
                <wp:docPr id="569" name="Shape 569"/>
                <wp:cNvGraphicFramePr/>
                <a:graphic xmlns:a="http://schemas.openxmlformats.org/drawingml/2006/main">
                  <a:graphicData uri="http://schemas.microsoft.com/office/word/2010/wordprocessingShape">
                    <wps:wsp>
                      <wps:cNvSpPr txBox="1"/>
                      <wps:spPr>
                        <a:xfrm>
                          <a:off x="0" y="0"/>
                          <a:ext cx="4099560" cy="1831975"/>
                        </a:xfrm>
                        <a:prstGeom prst="rect">
                          <a:avLst/>
                        </a:prstGeom>
                        <a:noFill/>
                      </wps:spPr>
                      <wps:txbx>
                        <w:txbxContent>
                          <w:p w:rsidR="00500724" w:rsidRDefault="00F30FB8">
                            <w:pPr>
                              <w:pStyle w:val="Zkladntext80"/>
                              <w:shd w:val="clear" w:color="auto" w:fill="auto"/>
                              <w:spacing w:line="298" w:lineRule="auto"/>
                              <w:jc w:val="both"/>
                              <w:rPr>
                                <w:sz w:val="20"/>
                                <w:szCs w:val="20"/>
                              </w:rPr>
                            </w:pPr>
                            <w:r>
                              <w:rPr>
                                <w:b w:val="0"/>
                                <w:bCs w:val="0"/>
                                <w:sz w:val="20"/>
                                <w:szCs w:val="20"/>
                              </w:rPr>
                              <w:t xml:space="preserve">Zkušení automobilisté vědí, že Jakost není v automobilismu přepychem, nýbrž rozumnou šetrností. Láce těší jen chvíli při koupi, </w:t>
                            </w:r>
                            <w:r>
                              <w:rPr>
                                <w:b w:val="0"/>
                                <w:bCs w:val="0"/>
                                <w:sz w:val="20"/>
                                <w:szCs w:val="20"/>
                              </w:rPr>
                              <w:t>vysoká hodnota dobrého vozu těší po řadu let a statisíce kilometrů. Automobily Praga nemohou býti laciné při péči, která Je u nich věnována všem podrob</w:t>
                            </w:r>
                            <w:r>
                              <w:rPr>
                                <w:b w:val="0"/>
                                <w:bCs w:val="0"/>
                                <w:sz w:val="20"/>
                                <w:szCs w:val="20"/>
                              </w:rPr>
                              <w:softHyphen/>
                              <w:t>nostem — od ložiska v motoru až do postranního zvedacího zařízeni pod stupačkou. Avšak právě tato mimořá</w:t>
                            </w:r>
                            <w:r>
                              <w:rPr>
                                <w:b w:val="0"/>
                                <w:bCs w:val="0"/>
                                <w:sz w:val="20"/>
                                <w:szCs w:val="20"/>
                              </w:rPr>
                              <w:t>dná pečlivost při konstrukci, výrobě a volbě materiálu zaručuje úspory na opravách a skromnost ve spotřebě benzinu a oleje nejen u vozu nového, nýbrž i po delším používání. Proto je Praga dražší vůz, který přijde levněji. Který typ Vám smíme předvést!?</w:t>
                            </w:r>
                          </w:p>
                        </w:txbxContent>
                      </wps:txbx>
                      <wps:bodyPr lIns="0" tIns="0" rIns="0" bIns="0">
                        <a:spAutoFit/>
                      </wps:bodyPr>
                    </wps:wsp>
                  </a:graphicData>
                </a:graphic>
              </wp:anchor>
            </w:drawing>
          </mc:Choice>
          <mc:Fallback>
            <w:pict>
              <v:shape id="_x0000_s1595" type="#_x0000_t202" style="position:absolute;margin-left:203.19999999999999pt;margin-top:500.14999999999998pt;width:322.80000000000001pt;height:144.25pt;z-index:-125828807;mso-wrap-distance-left:33.950000000000003pt;mso-wrap-distance-top:239.pt;mso-wrap-distance-right:9.9499999999999993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0" w:line="298" w:lineRule="auto"/>
                        <w:ind w:left="0" w:right="0" w:firstLine="0"/>
                        <w:jc w:val="both"/>
                        <w:rPr>
                          <w:sz w:val="20"/>
                          <w:szCs w:val="20"/>
                        </w:rPr>
                      </w:pPr>
                      <w:r>
                        <w:rPr>
                          <w:b w:val="0"/>
                          <w:bCs w:val="0"/>
                          <w:color w:val="000000"/>
                          <w:spacing w:val="0"/>
                          <w:w w:val="100"/>
                          <w:position w:val="0"/>
                          <w:sz w:val="20"/>
                          <w:szCs w:val="20"/>
                          <w:shd w:val="clear" w:color="auto" w:fill="auto"/>
                          <w:lang w:val="cs-CZ" w:eastAsia="cs-CZ" w:bidi="cs-CZ"/>
                        </w:rPr>
                        <w:t>Zkušení automobilisté vědí, že Jakost není v automobilismu přepychem, nýbrž rozumnou šetrností. Láce těší jen chvíli při koupi, vysoká hodnota dobrého vozu těší po řadu let a statisíce kilometrů. Automobily Praga nemohou býti laciné při péči, která Je u nich věnována všem podrob</w:t>
                        <w:softHyphen/>
                        <w:t>nostem — od ložiska v motoru až do postranního zvedacího zařízeni pod stupačkou. Avšak právě tato mimořádná pečlivost při konstrukci, výrobě a volbě materiálu zaručuje úspory na opravách a skromnost ve spotřebě benzinu a oleje nejen u vozu nového, nýbrž i po delším používání. Proto je Praga dražší vůz, který přijde levněji. Který typ Vám smíme předvést!?</w:t>
                      </w:r>
                    </w:p>
                  </w:txbxContent>
                </v:textbox>
                <w10:wrap type="topAndBottom" anchorx="page" anchory="margin"/>
              </v:shape>
            </w:pict>
          </mc:Fallback>
        </mc:AlternateContent>
      </w:r>
      <w:r>
        <w:rPr>
          <w:noProof/>
        </w:rPr>
        <mc:AlternateContent>
          <mc:Choice Requires="wps">
            <w:drawing>
              <wp:anchor distT="384810" distB="584200" distL="449580" distR="114300" simplePos="0" relativeHeight="125829948" behindDoc="0" locked="0" layoutInCell="1" allowOverlap="1">
                <wp:simplePos x="0" y="0"/>
                <wp:positionH relativeFrom="page">
                  <wp:posOffset>2578100</wp:posOffset>
                </wp:positionH>
                <wp:positionV relativeFrom="margin">
                  <wp:posOffset>8510270</wp:posOffset>
                </wp:positionV>
                <wp:extent cx="4096385" cy="923290"/>
                <wp:effectExtent l="0" t="0" r="0" b="0"/>
                <wp:wrapTopAndBottom/>
                <wp:docPr id="571" name="Shape 571"/>
                <wp:cNvGraphicFramePr/>
                <a:graphic xmlns:a="http://schemas.openxmlformats.org/drawingml/2006/main">
                  <a:graphicData uri="http://schemas.microsoft.com/office/word/2010/wordprocessingShape">
                    <wps:wsp>
                      <wps:cNvSpPr txBox="1"/>
                      <wps:spPr>
                        <a:xfrm>
                          <a:off x="0" y="0"/>
                          <a:ext cx="4096385" cy="923290"/>
                        </a:xfrm>
                        <a:prstGeom prst="rect">
                          <a:avLst/>
                        </a:prstGeom>
                        <a:noFill/>
                      </wps:spPr>
                      <wps:txbx>
                        <w:txbxContent>
                          <w:p w:rsidR="00500724" w:rsidRDefault="00F30FB8">
                            <w:pPr>
                              <w:pStyle w:val="Zkladntext80"/>
                              <w:shd w:val="clear" w:color="auto" w:fill="auto"/>
                              <w:spacing w:after="300" w:line="341" w:lineRule="auto"/>
                              <w:ind w:left="2500"/>
                            </w:pPr>
                            <w:r>
                              <w:rPr>
                                <w:b w:val="0"/>
                                <w:bCs w:val="0"/>
                              </w:rPr>
                              <w:t xml:space="preserve">vůl </w:t>
                            </w:r>
                            <w:r>
                              <w:t>na statisíce kilometrů</w:t>
                            </w:r>
                          </w:p>
                          <w:p w:rsidR="00500724" w:rsidRDefault="00F30FB8">
                            <w:pPr>
                              <w:pStyle w:val="Zkladntext80"/>
                              <w:shd w:val="clear" w:color="auto" w:fill="auto"/>
                              <w:spacing w:line="377" w:lineRule="auto"/>
                              <w:jc w:val="both"/>
                              <w:rPr>
                                <w:sz w:val="20"/>
                                <w:szCs w:val="20"/>
                              </w:rPr>
                            </w:pPr>
                            <w:r>
                              <w:rPr>
                                <w:sz w:val="20"/>
                                <w:szCs w:val="20"/>
                              </w:rPr>
                              <w:t>Českomoravská-Kolben-Daněk a. s. automobilní oddělení Praha-Karlfn, Karlova 22 • Telefony 32051-5,38641-5</w:t>
                            </w:r>
                          </w:p>
                        </w:txbxContent>
                      </wps:txbx>
                      <wps:bodyPr lIns="0" tIns="0" rIns="0" bIns="0">
                        <a:spAutoFit/>
                      </wps:bodyPr>
                    </wps:wsp>
                  </a:graphicData>
                </a:graphic>
              </wp:anchor>
            </w:drawing>
          </mc:Choice>
          <mc:Fallback>
            <w:pict>
              <v:shape id="_x0000_s1597" type="#_x0000_t202" style="position:absolute;margin-left:203.pt;margin-top:670.10000000000002pt;width:322.55000000000001pt;height:72.700000000000003pt;z-index:-125828805;mso-wrap-distance-left:35.399999999999999pt;mso-wrap-distance-top:30.300000000000001pt;mso-wrap-distance-right:9.pt;mso-wrap-distance-bottom:46.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300" w:line="341" w:lineRule="auto"/>
                        <w:ind w:left="2500" w:right="0" w:firstLine="0"/>
                        <w:jc w:val="left"/>
                      </w:pPr>
                      <w:r>
                        <w:rPr>
                          <w:b w:val="0"/>
                          <w:bCs w:val="0"/>
                          <w:color w:val="000000"/>
                          <w:spacing w:val="0"/>
                          <w:w w:val="100"/>
                          <w:position w:val="0"/>
                          <w:sz w:val="22"/>
                          <w:szCs w:val="22"/>
                          <w:shd w:val="clear" w:color="auto" w:fill="auto"/>
                          <w:lang w:val="cs-CZ" w:eastAsia="cs-CZ" w:bidi="cs-CZ"/>
                        </w:rPr>
                        <w:t xml:space="preserve">vůl </w:t>
                      </w:r>
                      <w:r>
                        <w:rPr>
                          <w:color w:val="000000"/>
                          <w:spacing w:val="0"/>
                          <w:w w:val="100"/>
                          <w:position w:val="0"/>
                          <w:sz w:val="22"/>
                          <w:szCs w:val="22"/>
                          <w:shd w:val="clear" w:color="auto" w:fill="auto"/>
                          <w:lang w:val="cs-CZ" w:eastAsia="cs-CZ" w:bidi="cs-CZ"/>
                        </w:rPr>
                        <w:t>na statisíce kilometrů</w:t>
                      </w:r>
                    </w:p>
                    <w:p>
                      <w:pPr>
                        <w:pStyle w:val="Style150"/>
                        <w:keepNext w:val="0"/>
                        <w:keepLines w:val="0"/>
                        <w:widowControl w:val="0"/>
                        <w:shd w:val="clear" w:color="auto" w:fill="auto"/>
                        <w:bidi w:val="0"/>
                        <w:spacing w:before="0" w:after="0" w:line="377" w:lineRule="auto"/>
                        <w:ind w:left="0" w:right="0" w:firstLine="0"/>
                        <w:jc w:val="both"/>
                        <w:rPr>
                          <w:sz w:val="20"/>
                          <w:szCs w:val="20"/>
                        </w:rPr>
                      </w:pPr>
                      <w:r>
                        <w:rPr>
                          <w:color w:val="000000"/>
                          <w:spacing w:val="0"/>
                          <w:w w:val="100"/>
                          <w:position w:val="0"/>
                          <w:sz w:val="20"/>
                          <w:szCs w:val="20"/>
                          <w:shd w:val="clear" w:color="auto" w:fill="auto"/>
                          <w:lang w:val="cs-CZ" w:eastAsia="cs-CZ" w:bidi="cs-CZ"/>
                        </w:rPr>
                        <w:t>Českomoravská-Kolben-Daněk a. s. automobilní oddělení Praha-Karlfn, Karlova 22 • Telefony 32051-5,38641-5</w:t>
                      </w:r>
                    </w:p>
                  </w:txbxContent>
                </v:textbox>
                <w10:wrap type="topAndBottom" anchorx="page" anchory="margin"/>
              </v:shape>
            </w:pict>
          </mc:Fallback>
        </mc:AlternateContent>
      </w:r>
      <w:r>
        <w:rPr>
          <w:b/>
          <w:bCs/>
          <w:i/>
          <w:iCs/>
          <w:sz w:val="20"/>
          <w:szCs w:val="20"/>
        </w:rPr>
        <w:t>Je nutné spravedlivě uzna</w:t>
      </w:r>
      <w:r>
        <w:rPr>
          <w:b/>
          <w:bCs/>
          <w:i/>
          <w:iCs/>
          <w:sz w:val="20"/>
          <w:szCs w:val="20"/>
        </w:rPr>
        <w:softHyphen/>
        <w:t>ti, že po stránce kulturní jsme o mnoho dále, o mnoho pev</w:t>
      </w:r>
      <w:r>
        <w:rPr>
          <w:b/>
          <w:bCs/>
          <w:i/>
          <w:iCs/>
          <w:sz w:val="20"/>
          <w:szCs w:val="20"/>
        </w:rPr>
        <w:softHyphen/>
        <w:t>nější a češtějši než po strán</w:t>
      </w:r>
      <w:r>
        <w:rPr>
          <w:b/>
          <w:bCs/>
          <w:i/>
          <w:iCs/>
          <w:sz w:val="20"/>
          <w:szCs w:val="20"/>
        </w:rPr>
        <w:softHyphen/>
        <w:t xml:space="preserve">ce </w:t>
      </w:r>
      <w:r>
        <w:rPr>
          <w:b/>
          <w:bCs/>
          <w:i/>
          <w:iCs/>
          <w:sz w:val="20"/>
          <w:szCs w:val="20"/>
        </w:rPr>
        <w:t>politické, kde se stále učí</w:t>
      </w:r>
      <w:r>
        <w:rPr>
          <w:b/>
          <w:bCs/>
          <w:i/>
          <w:iCs/>
          <w:sz w:val="20"/>
          <w:szCs w:val="20"/>
        </w:rPr>
        <w:softHyphen/>
      </w:r>
      <w:r>
        <w:rPr>
          <w:b/>
          <w:bCs/>
          <w:i/>
          <w:iCs/>
          <w:sz w:val="20"/>
          <w:szCs w:val="20"/>
        </w:rPr>
        <w:br w:type="column"/>
        <w:t>me dobrému</w:t>
      </w:r>
      <w:r>
        <w:rPr>
          <w:b/>
          <w:bCs/>
          <w:sz w:val="19"/>
          <w:szCs w:val="19"/>
        </w:rPr>
        <w:t xml:space="preserve"> i </w:t>
      </w:r>
      <w:r>
        <w:rPr>
          <w:b/>
          <w:bCs/>
          <w:i/>
          <w:iCs/>
          <w:sz w:val="20"/>
          <w:szCs w:val="20"/>
        </w:rPr>
        <w:t>Spatnému od ciziny. V kulturních záleži</w:t>
      </w:r>
      <w:r>
        <w:rPr>
          <w:b/>
          <w:bCs/>
          <w:i/>
          <w:iCs/>
          <w:sz w:val="20"/>
          <w:szCs w:val="20"/>
        </w:rPr>
        <w:softHyphen/>
        <w:t>tostech se můžeme opřít o pevnou tradici a o bohaté výsledky, ale v politickém děni nikoliv. Proto by nebylo dobře, kdyby jakékoliv poli</w:t>
      </w:r>
      <w:r>
        <w:rPr>
          <w:b/>
          <w:bCs/>
          <w:i/>
          <w:iCs/>
          <w:sz w:val="20"/>
          <w:szCs w:val="20"/>
        </w:rPr>
        <w:softHyphen/>
        <w:t>tické mocnosti zasahovaly do organisa</w:t>
      </w:r>
      <w:r>
        <w:rPr>
          <w:b/>
          <w:bCs/>
          <w:i/>
          <w:iCs/>
          <w:sz w:val="20"/>
          <w:szCs w:val="20"/>
        </w:rPr>
        <w:t>čních záležitostí ry</w:t>
      </w:r>
      <w:r>
        <w:rPr>
          <w:b/>
          <w:bCs/>
          <w:i/>
          <w:iCs/>
          <w:sz w:val="20"/>
          <w:szCs w:val="20"/>
        </w:rPr>
        <w:softHyphen/>
        <w:t>ze uměleckých.</w:t>
      </w:r>
    </w:p>
    <w:p w:rsidR="00500724" w:rsidRDefault="00F30FB8">
      <w:pPr>
        <w:pStyle w:val="Zkladntext20"/>
        <w:shd w:val="clear" w:color="auto" w:fill="auto"/>
        <w:spacing w:line="194" w:lineRule="auto"/>
        <w:ind w:firstLine="180"/>
        <w:rPr>
          <w:sz w:val="20"/>
          <w:szCs w:val="20"/>
        </w:rPr>
      </w:pPr>
      <w:r>
        <w:rPr>
          <w:noProof/>
        </w:rPr>
        <mc:AlternateContent>
          <mc:Choice Requires="wps">
            <w:drawing>
              <wp:anchor distT="139700" distB="317500" distL="114300" distR="114300" simplePos="0" relativeHeight="125829950" behindDoc="0" locked="0" layoutInCell="1" allowOverlap="1">
                <wp:simplePos x="0" y="0"/>
                <wp:positionH relativeFrom="page">
                  <wp:posOffset>3888740</wp:posOffset>
                </wp:positionH>
                <wp:positionV relativeFrom="margin">
                  <wp:posOffset>2018030</wp:posOffset>
                </wp:positionV>
                <wp:extent cx="2861945" cy="1029970"/>
                <wp:effectExtent l="0" t="0" r="0" b="0"/>
                <wp:wrapTopAndBottom/>
                <wp:docPr id="573" name="Shape 573"/>
                <wp:cNvGraphicFramePr/>
                <a:graphic xmlns:a="http://schemas.openxmlformats.org/drawingml/2006/main">
                  <a:graphicData uri="http://schemas.microsoft.com/office/word/2010/wordprocessingShape">
                    <wps:wsp>
                      <wps:cNvSpPr txBox="1"/>
                      <wps:spPr>
                        <a:xfrm>
                          <a:off x="0" y="0"/>
                          <a:ext cx="2861945" cy="1029970"/>
                        </a:xfrm>
                        <a:prstGeom prst="rect">
                          <a:avLst/>
                        </a:prstGeom>
                        <a:noFill/>
                      </wps:spPr>
                      <wps:txbx>
                        <w:txbxContent>
                          <w:p w:rsidR="00500724" w:rsidRDefault="00F30FB8">
                            <w:pPr>
                              <w:pStyle w:val="Jin0"/>
                              <w:shd w:val="clear" w:color="auto" w:fill="auto"/>
                              <w:spacing w:after="80"/>
                              <w:ind w:firstLine="0"/>
                              <w:jc w:val="left"/>
                              <w:rPr>
                                <w:sz w:val="28"/>
                                <w:szCs w:val="28"/>
                              </w:rPr>
                            </w:pPr>
                            <w:r>
                              <w:rPr>
                                <w:b/>
                                <w:bCs/>
                                <w:sz w:val="28"/>
                                <w:szCs w:val="28"/>
                              </w:rPr>
                              <w:t>Používejte aktivního uhlí</w:t>
                            </w:r>
                          </w:p>
                          <w:p w:rsidR="00500724" w:rsidRDefault="00F30FB8">
                            <w:pPr>
                              <w:pStyle w:val="Jin0"/>
                              <w:shd w:val="clear" w:color="auto" w:fill="auto"/>
                              <w:spacing w:after="80"/>
                              <w:ind w:firstLine="0"/>
                              <w:jc w:val="right"/>
                              <w:rPr>
                                <w:sz w:val="64"/>
                                <w:szCs w:val="64"/>
                              </w:rPr>
                            </w:pPr>
                            <w:r>
                              <w:rPr>
                                <w:rFonts w:ascii="Arial" w:eastAsia="Arial" w:hAnsi="Arial" w:cs="Arial"/>
                                <w:b/>
                                <w:bCs/>
                                <w:sz w:val="64"/>
                                <w:szCs w:val="64"/>
                              </w:rPr>
                              <w:t>OSTACOL!</w:t>
                            </w:r>
                          </w:p>
                          <w:p w:rsidR="00500724" w:rsidRDefault="00F30FB8">
                            <w:pPr>
                              <w:pStyle w:val="Jin0"/>
                              <w:shd w:val="clear" w:color="auto" w:fill="auto"/>
                              <w:spacing w:after="80"/>
                              <w:ind w:firstLine="0"/>
                              <w:jc w:val="left"/>
                              <w:rPr>
                                <w:sz w:val="26"/>
                                <w:szCs w:val="26"/>
                              </w:rPr>
                            </w:pPr>
                            <w:r>
                              <w:rPr>
                                <w:sz w:val="26"/>
                                <w:szCs w:val="26"/>
                              </w:rPr>
                              <w:t>Vyrábí Spolek pro chemickou a butaí výrobu, Praba</w:t>
                            </w:r>
                          </w:p>
                        </w:txbxContent>
                      </wps:txbx>
                      <wps:bodyPr lIns="0" tIns="0" rIns="0" bIns="0">
                        <a:spAutoFit/>
                      </wps:bodyPr>
                    </wps:wsp>
                  </a:graphicData>
                </a:graphic>
              </wp:anchor>
            </w:drawing>
          </mc:Choice>
          <mc:Fallback>
            <w:pict>
              <v:shape id="_x0000_s1599" type="#_x0000_t202" style="position:absolute;margin-left:306.19999999999999pt;margin-top:158.90000000000001pt;width:225.34999999999999pt;height:81.099999999999994pt;z-index:-125828803;mso-wrap-distance-left:9.pt;mso-wrap-distance-top:11.pt;mso-wrap-distance-right:9.pt;mso-wrap-distance-bottom:25.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80" w:line="240" w:lineRule="auto"/>
                        <w:ind w:left="0" w:right="0" w:firstLine="0"/>
                        <w:jc w:val="left"/>
                        <w:rPr>
                          <w:sz w:val="28"/>
                          <w:szCs w:val="28"/>
                        </w:rPr>
                      </w:pPr>
                      <w:r>
                        <w:rPr>
                          <w:b/>
                          <w:bCs/>
                          <w:color w:val="000000"/>
                          <w:spacing w:val="0"/>
                          <w:w w:val="100"/>
                          <w:position w:val="0"/>
                          <w:sz w:val="28"/>
                          <w:szCs w:val="28"/>
                          <w:shd w:val="clear" w:color="auto" w:fill="auto"/>
                          <w:lang w:val="cs-CZ" w:eastAsia="cs-CZ" w:bidi="cs-CZ"/>
                        </w:rPr>
                        <w:t>Používejte aktivního uhlí</w:t>
                      </w:r>
                    </w:p>
                    <w:p>
                      <w:pPr>
                        <w:pStyle w:val="Style12"/>
                        <w:keepNext w:val="0"/>
                        <w:keepLines w:val="0"/>
                        <w:widowControl w:val="0"/>
                        <w:shd w:val="clear" w:color="auto" w:fill="auto"/>
                        <w:bidi w:val="0"/>
                        <w:spacing w:before="0" w:after="80" w:line="240" w:lineRule="auto"/>
                        <w:ind w:left="0" w:right="0" w:firstLine="0"/>
                        <w:jc w:val="right"/>
                        <w:rPr>
                          <w:sz w:val="64"/>
                          <w:szCs w:val="64"/>
                        </w:rPr>
                      </w:pPr>
                      <w:r>
                        <w:rPr>
                          <w:rFonts w:ascii="Arial" w:eastAsia="Arial" w:hAnsi="Arial" w:cs="Arial"/>
                          <w:b/>
                          <w:bCs/>
                          <w:color w:val="000000"/>
                          <w:spacing w:val="0"/>
                          <w:w w:val="100"/>
                          <w:position w:val="0"/>
                          <w:sz w:val="64"/>
                          <w:szCs w:val="64"/>
                          <w:shd w:val="clear" w:color="auto" w:fill="auto"/>
                          <w:lang w:val="cs-CZ" w:eastAsia="cs-CZ" w:bidi="cs-CZ"/>
                        </w:rPr>
                        <w:t>OSTACOL!</w:t>
                      </w:r>
                    </w:p>
                    <w:p>
                      <w:pPr>
                        <w:pStyle w:val="Style12"/>
                        <w:keepNext w:val="0"/>
                        <w:keepLines w:val="0"/>
                        <w:widowControl w:val="0"/>
                        <w:shd w:val="clear" w:color="auto" w:fill="auto"/>
                        <w:bidi w:val="0"/>
                        <w:spacing w:before="0" w:after="8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Vyrábí Spolek pro chemickou a butaí výrobu, Praba</w:t>
                      </w:r>
                    </w:p>
                  </w:txbxContent>
                </v:textbox>
                <w10:wrap type="topAndBottom" anchorx="page" anchory="margin"/>
              </v:shape>
            </w:pict>
          </mc:Fallback>
        </mc:AlternateContent>
      </w:r>
      <w:r>
        <w:rPr>
          <w:b/>
          <w:bCs/>
          <w:i/>
          <w:iCs/>
          <w:sz w:val="20"/>
          <w:szCs w:val="20"/>
        </w:rPr>
        <w:t>Jest povinnosti každého vlastence, aby svými pro</w:t>
      </w:r>
      <w:r>
        <w:rPr>
          <w:b/>
          <w:bCs/>
          <w:i/>
          <w:iCs/>
          <w:sz w:val="20"/>
          <w:szCs w:val="20"/>
        </w:rPr>
        <w:softHyphen/>
        <w:t>středky a svým vlivem umě</w:t>
      </w:r>
      <w:r>
        <w:rPr>
          <w:b/>
          <w:bCs/>
          <w:i/>
          <w:iCs/>
          <w:sz w:val="20"/>
          <w:szCs w:val="20"/>
        </w:rPr>
        <w:softHyphen/>
        <w:t>lecké korporace podporovala aby jim nepřekážel. Je snad</w:t>
      </w:r>
      <w:r>
        <w:rPr>
          <w:b/>
          <w:bCs/>
          <w:i/>
          <w:iCs/>
          <w:sz w:val="20"/>
          <w:szCs w:val="20"/>
        </w:rPr>
        <w:br w:type="column"/>
      </w:r>
      <w:r>
        <w:rPr>
          <w:b/>
          <w:bCs/>
          <w:i/>
          <w:iCs/>
          <w:sz w:val="20"/>
          <w:szCs w:val="20"/>
        </w:rPr>
        <w:t xml:space="preserve">dobré dělati pokusy </w:t>
      </w:r>
      <w:r>
        <w:rPr>
          <w:rFonts w:ascii="Arial" w:eastAsia="Arial" w:hAnsi="Arial" w:cs="Arial"/>
          <w:b/>
          <w:bCs/>
          <w:i/>
          <w:iCs/>
          <w:sz w:val="19"/>
          <w:szCs w:val="19"/>
        </w:rPr>
        <w:t>te nu</w:t>
      </w:r>
      <w:r>
        <w:rPr>
          <w:rFonts w:ascii="Arial" w:eastAsia="Arial" w:hAnsi="Arial" w:cs="Arial"/>
          <w:b/>
          <w:bCs/>
          <w:i/>
          <w:iCs/>
          <w:sz w:val="19"/>
          <w:szCs w:val="19"/>
        </w:rPr>
        <w:softHyphen/>
      </w:r>
      <w:r>
        <w:rPr>
          <w:b/>
          <w:bCs/>
          <w:i/>
          <w:iCs/>
          <w:sz w:val="20"/>
          <w:szCs w:val="20"/>
        </w:rPr>
        <w:t>lami, se státními institucemi a úřady, když jest to zapotře</w:t>
      </w:r>
      <w:r>
        <w:rPr>
          <w:b/>
          <w:bCs/>
          <w:i/>
          <w:iCs/>
          <w:sz w:val="20"/>
          <w:szCs w:val="20"/>
        </w:rPr>
        <w:softHyphen/>
        <w:t xml:space="preserve">bí, ale je těžké vymysliti </w:t>
      </w:r>
      <w:r>
        <w:rPr>
          <w:i/>
          <w:iCs/>
          <w:sz w:val="20"/>
          <w:szCs w:val="20"/>
        </w:rPr>
        <w:t>ně</w:t>
      </w:r>
      <w:r>
        <w:rPr>
          <w:i/>
          <w:iCs/>
          <w:sz w:val="20"/>
          <w:szCs w:val="20"/>
        </w:rPr>
        <w:softHyphen/>
      </w:r>
      <w:r>
        <w:rPr>
          <w:b/>
          <w:bCs/>
          <w:i/>
          <w:iCs/>
          <w:sz w:val="20"/>
          <w:szCs w:val="20"/>
        </w:rPr>
        <w:t>co jednoduššího, výkonnější</w:t>
      </w:r>
      <w:r>
        <w:rPr>
          <w:b/>
          <w:bCs/>
          <w:i/>
          <w:iCs/>
          <w:sz w:val="20"/>
          <w:szCs w:val="20"/>
        </w:rPr>
        <w:softHyphen/>
        <w:t>ho a lacinějšího, co by zaru</w:t>
      </w:r>
      <w:r>
        <w:rPr>
          <w:b/>
          <w:bCs/>
          <w:i/>
          <w:iCs/>
          <w:sz w:val="20"/>
          <w:szCs w:val="20"/>
        </w:rPr>
        <w:softHyphen/>
        <w:t>čovalo nejvyšší úroveň naše</w:t>
      </w:r>
      <w:r>
        <w:rPr>
          <w:b/>
          <w:bCs/>
          <w:i/>
          <w:iCs/>
          <w:sz w:val="20"/>
          <w:szCs w:val="20"/>
        </w:rPr>
        <w:softHyphen/>
        <w:t>ho umění, než jsou tyto tři samosprávné umělecké kor</w:t>
      </w:r>
      <w:r>
        <w:rPr>
          <w:b/>
          <w:bCs/>
          <w:i/>
          <w:iCs/>
          <w:sz w:val="20"/>
          <w:szCs w:val="20"/>
        </w:rPr>
        <w:softHyphen/>
        <w:t>po</w:t>
      </w:r>
      <w:r>
        <w:rPr>
          <w:b/>
          <w:bCs/>
          <w:i/>
          <w:iCs/>
          <w:sz w:val="20"/>
          <w:szCs w:val="20"/>
        </w:rPr>
        <w:t>race, vzájemně se doplňu</w:t>
      </w:r>
      <w:r>
        <w:rPr>
          <w:b/>
          <w:bCs/>
          <w:i/>
          <w:iCs/>
          <w:sz w:val="20"/>
          <w:szCs w:val="20"/>
        </w:rPr>
        <w:softHyphen/>
        <w:t>jící. Každý může s povděkem pouze přijímat a vybírat</w:t>
      </w:r>
      <w:r>
        <w:rPr>
          <w:b/>
          <w:bCs/>
          <w:sz w:val="19"/>
          <w:szCs w:val="19"/>
        </w:rPr>
        <w:t xml:space="preserve"> si </w:t>
      </w:r>
      <w:r>
        <w:rPr>
          <w:b/>
          <w:bCs/>
          <w:i/>
          <w:iCs/>
          <w:sz w:val="20"/>
          <w:szCs w:val="20"/>
        </w:rPr>
        <w:t>z toho mnohého, co mu mo</w:t>
      </w:r>
      <w:r>
        <w:rPr>
          <w:b/>
          <w:bCs/>
          <w:i/>
          <w:iCs/>
          <w:sz w:val="20"/>
          <w:szCs w:val="20"/>
        </w:rPr>
        <w:softHyphen/>
        <w:t>hou dát.</w:t>
      </w:r>
    </w:p>
    <w:p w:rsidR="00500724" w:rsidRDefault="00F30FB8">
      <w:pPr>
        <w:pStyle w:val="Zkladntext20"/>
        <w:shd w:val="clear" w:color="auto" w:fill="auto"/>
        <w:spacing w:line="182" w:lineRule="auto"/>
        <w:ind w:firstLine="0"/>
        <w:jc w:val="right"/>
        <w:rPr>
          <w:sz w:val="20"/>
          <w:szCs w:val="20"/>
        </w:rPr>
        <w:sectPr w:rsidR="00500724">
          <w:footnotePr>
            <w:numFmt w:val="chicago"/>
            <w:numRestart w:val="eachPage"/>
          </w:footnotePr>
          <w:type w:val="continuous"/>
          <w:pgSz w:w="11909" w:h="16834"/>
          <w:pgMar w:top="1913" w:right="1034" w:bottom="0" w:left="536" w:header="0" w:footer="3" w:gutter="0"/>
          <w:cols w:num="4" w:sep="1" w:space="100"/>
          <w:noEndnote/>
          <w:docGrid w:linePitch="360"/>
        </w:sectPr>
      </w:pPr>
      <w:r>
        <w:rPr>
          <w:b/>
          <w:bCs/>
          <w:i/>
          <w:iCs/>
          <w:sz w:val="20"/>
          <w:szCs w:val="20"/>
        </w:rPr>
        <w:t>(Z nového čísla Studentské</w:t>
      </w:r>
      <w:r>
        <w:rPr>
          <w:b/>
          <w:bCs/>
          <w:i/>
          <w:iCs/>
          <w:sz w:val="20"/>
          <w:szCs w:val="20"/>
        </w:rPr>
        <w:softHyphen/>
        <w:t>ho časopisu.)</w:t>
      </w:r>
    </w:p>
    <w:p w:rsidR="00500724" w:rsidRDefault="00F30FB8">
      <w:pPr>
        <w:pStyle w:val="Nadpis30"/>
        <w:keepNext/>
        <w:keepLines/>
        <w:shd w:val="clear" w:color="auto" w:fill="auto"/>
        <w:spacing w:before="1440" w:after="0"/>
        <w:rPr>
          <w:sz w:val="242"/>
          <w:szCs w:val="242"/>
        </w:rPr>
      </w:pPr>
      <w:bookmarkStart w:id="584" w:name="bookmark587"/>
      <w:r>
        <w:rPr>
          <w:sz w:val="242"/>
          <w:szCs w:val="242"/>
          <w:lang w:val="en-US" w:eastAsia="en-US" w:bidi="en-US"/>
        </w:rPr>
        <w:t>IntomnosO</w:t>
      </w:r>
      <w:bookmarkEnd w:id="584"/>
    </w:p>
    <w:tbl>
      <w:tblPr>
        <w:tblOverlap w:val="never"/>
        <w:tblW w:w="0" w:type="auto"/>
        <w:jc w:val="center"/>
        <w:tblLayout w:type="fixed"/>
        <w:tblCellMar>
          <w:left w:w="10" w:type="dxa"/>
          <w:right w:w="10" w:type="dxa"/>
        </w:tblCellMar>
        <w:tblLook w:val="04A0" w:firstRow="1" w:lastRow="0" w:firstColumn="1" w:lastColumn="0" w:noHBand="0" w:noVBand="1"/>
      </w:tblPr>
      <w:tblGrid>
        <w:gridCol w:w="8069"/>
        <w:gridCol w:w="3235"/>
      </w:tblGrid>
      <w:tr w:rsidR="00500724">
        <w:tblPrEx>
          <w:tblCellMar>
            <w:top w:w="0" w:type="dxa"/>
            <w:bottom w:w="0" w:type="dxa"/>
          </w:tblCellMar>
        </w:tblPrEx>
        <w:trPr>
          <w:trHeight w:hRule="exact" w:val="878"/>
          <w:jc w:val="center"/>
        </w:trPr>
        <w:tc>
          <w:tcPr>
            <w:tcW w:w="0" w:type="auto"/>
            <w:tcBorders>
              <w:left w:val="single" w:sz="4" w:space="0" w:color="auto"/>
            </w:tcBorders>
            <w:shd w:val="clear" w:color="auto" w:fill="FFFFFF"/>
            <w:vAlign w:val="bottom"/>
          </w:tcPr>
          <w:p w:rsidR="00500724" w:rsidRDefault="00F30FB8">
            <w:pPr>
              <w:pStyle w:val="Jin0"/>
              <w:shd w:val="clear" w:color="auto" w:fill="auto"/>
              <w:tabs>
                <w:tab w:val="left" w:pos="3936"/>
              </w:tabs>
              <w:ind w:left="340" w:firstLine="20"/>
              <w:rPr>
                <w:sz w:val="20"/>
                <w:szCs w:val="20"/>
              </w:rPr>
            </w:pPr>
            <w:r>
              <w:rPr>
                <w:b/>
                <w:bCs/>
                <w:sz w:val="20"/>
                <w:szCs w:val="20"/>
              </w:rPr>
              <w:t>ROCNlK XVL</w:t>
            </w:r>
            <w:r>
              <w:rPr>
                <w:b/>
                <w:bCs/>
                <w:sz w:val="20"/>
                <w:szCs w:val="20"/>
              </w:rPr>
              <w:tab/>
              <w:t>V PRAZE 14. ČERVNA 1939</w:t>
            </w:r>
          </w:p>
        </w:tc>
        <w:tc>
          <w:tcPr>
            <w:tcW w:w="0" w:type="auto"/>
            <w:tcBorders>
              <w:right w:val="single" w:sz="4" w:space="0" w:color="auto"/>
            </w:tcBorders>
            <w:shd w:val="clear" w:color="auto" w:fill="FFFFFF"/>
            <w:vAlign w:val="bottom"/>
          </w:tcPr>
          <w:p w:rsidR="00500724" w:rsidRDefault="00F30FB8">
            <w:pPr>
              <w:pStyle w:val="Jin0"/>
              <w:shd w:val="clear" w:color="auto" w:fill="auto"/>
              <w:ind w:left="1760" w:firstLine="0"/>
              <w:jc w:val="left"/>
              <w:rPr>
                <w:sz w:val="24"/>
                <w:szCs w:val="24"/>
              </w:rPr>
            </w:pPr>
            <w:r>
              <w:rPr>
                <w:b/>
                <w:bCs/>
                <w:sz w:val="20"/>
                <w:szCs w:val="20"/>
              </w:rPr>
              <w:t xml:space="preserve">ZA K </w:t>
            </w:r>
            <w:r>
              <w:rPr>
                <w:b/>
                <w:bCs/>
                <w:sz w:val="24"/>
                <w:szCs w:val="24"/>
              </w:rPr>
              <w:t>2.—</w:t>
            </w:r>
          </w:p>
        </w:tc>
      </w:tr>
      <w:tr w:rsidR="00500724">
        <w:tblPrEx>
          <w:tblCellMar>
            <w:top w:w="0" w:type="dxa"/>
            <w:bottom w:w="0" w:type="dxa"/>
          </w:tblCellMar>
        </w:tblPrEx>
        <w:trPr>
          <w:trHeight w:hRule="exact" w:val="1987"/>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20"/>
              <w:jc w:val="left"/>
              <w:rPr>
                <w:sz w:val="72"/>
                <w:szCs w:val="72"/>
              </w:rPr>
            </w:pPr>
            <w:r>
              <w:rPr>
                <w:rFonts w:ascii="Arial" w:eastAsia="Arial" w:hAnsi="Arial" w:cs="Arial"/>
                <w:b/>
                <w:bCs/>
                <w:w w:val="50"/>
                <w:sz w:val="72"/>
                <w:szCs w:val="72"/>
              </w:rPr>
              <w:t xml:space="preserve">Unřímně slovo </w:t>
            </w:r>
            <w:r>
              <w:rPr>
                <w:rFonts w:ascii="Arial" w:eastAsia="Arial" w:hAnsi="Arial" w:cs="Arial"/>
                <w:b/>
                <w:bCs/>
                <w:w w:val="50"/>
                <w:sz w:val="72"/>
                <w:szCs w:val="72"/>
              </w:rPr>
              <w:t>h pottioi něraeckehn oMa</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4"/>
                <w:szCs w:val="24"/>
              </w:rPr>
            </w:pPr>
            <w:r>
              <w:rPr>
                <w:b/>
                <w:bCs/>
                <w:sz w:val="24"/>
                <w:szCs w:val="24"/>
              </w:rPr>
              <w:t>Dr. VÁCLAV SEDLÁK</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20"/>
              <w:jc w:val="left"/>
              <w:rPr>
                <w:sz w:val="58"/>
                <w:szCs w:val="58"/>
              </w:rPr>
            </w:pPr>
            <w:r>
              <w:rPr>
                <w:sz w:val="58"/>
                <w:szCs w:val="58"/>
              </w:rPr>
              <w:t>Týká se nás všech</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4"/>
                <w:szCs w:val="24"/>
              </w:rPr>
            </w:pPr>
            <w:r>
              <w:rPr>
                <w:b/>
                <w:bCs/>
                <w:sz w:val="24"/>
                <w:szCs w:val="24"/>
              </w:rPr>
              <w:t>MILENA JESENSKÁ</w:t>
            </w:r>
          </w:p>
        </w:tc>
      </w:tr>
      <w:tr w:rsidR="00500724">
        <w:tblPrEx>
          <w:tblCellMar>
            <w:top w:w="0" w:type="dxa"/>
            <w:bottom w:w="0" w:type="dxa"/>
          </w:tblCellMar>
        </w:tblPrEx>
        <w:trPr>
          <w:trHeight w:hRule="exact" w:val="1219"/>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20"/>
              <w:jc w:val="left"/>
              <w:rPr>
                <w:sz w:val="78"/>
                <w:szCs w:val="78"/>
              </w:rPr>
            </w:pPr>
            <w:r>
              <w:rPr>
                <w:b/>
                <w:bCs/>
                <w:w w:val="60"/>
                <w:sz w:val="78"/>
                <w:szCs w:val="78"/>
              </w:rPr>
              <w:t>Co se líbí a nelíbí Němcům v Praze</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4"/>
                <w:szCs w:val="24"/>
              </w:rPr>
            </w:pPr>
            <w:r>
              <w:rPr>
                <w:b/>
                <w:bCs/>
                <w:sz w:val="24"/>
                <w:szCs w:val="24"/>
              </w:rPr>
              <w:t>JAN ALBERT</w:t>
            </w:r>
          </w:p>
        </w:tc>
      </w:tr>
      <w:tr w:rsidR="00500724">
        <w:tblPrEx>
          <w:tblCellMar>
            <w:top w:w="0" w:type="dxa"/>
            <w:bottom w:w="0" w:type="dxa"/>
          </w:tblCellMar>
        </w:tblPrEx>
        <w:trPr>
          <w:trHeight w:hRule="exact" w:val="120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380" w:firstLine="0"/>
              <w:rPr>
                <w:sz w:val="58"/>
                <w:szCs w:val="58"/>
              </w:rPr>
            </w:pPr>
            <w:r>
              <w:rPr>
                <w:sz w:val="58"/>
                <w:szCs w:val="58"/>
              </w:rPr>
              <w:t>Ohlas Molotovovy řeči</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20"/>
              <w:jc w:val="left"/>
              <w:rPr>
                <w:sz w:val="58"/>
                <w:szCs w:val="58"/>
              </w:rPr>
            </w:pPr>
            <w:r>
              <w:rPr>
                <w:sz w:val="58"/>
                <w:szCs w:val="58"/>
              </w:rPr>
              <w:t>O životnosti dialogů</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4"/>
                <w:szCs w:val="24"/>
              </w:rPr>
            </w:pPr>
            <w:r>
              <w:rPr>
                <w:b/>
                <w:bCs/>
                <w:sz w:val="24"/>
                <w:szCs w:val="24"/>
              </w:rPr>
              <w:t>JOSEF PETRTYL</w:t>
            </w:r>
          </w:p>
        </w:tc>
      </w:tr>
      <w:tr w:rsidR="00500724">
        <w:tblPrEx>
          <w:tblCellMar>
            <w:top w:w="0" w:type="dxa"/>
            <w:bottom w:w="0" w:type="dxa"/>
          </w:tblCellMar>
        </w:tblPrEx>
        <w:trPr>
          <w:trHeight w:hRule="exact" w:val="1526"/>
          <w:jc w:val="center"/>
        </w:trPr>
        <w:tc>
          <w:tcPr>
            <w:tcW w:w="0" w:type="auto"/>
            <w:gridSpan w:val="2"/>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tabs>
                <w:tab w:val="left" w:pos="7282"/>
              </w:tabs>
              <w:ind w:left="380" w:firstLine="0"/>
              <w:rPr>
                <w:sz w:val="34"/>
                <w:szCs w:val="34"/>
              </w:rPr>
            </w:pPr>
            <w:r>
              <w:rPr>
                <w:sz w:val="58"/>
                <w:szCs w:val="58"/>
              </w:rPr>
              <w:t xml:space="preserve">Studuj </w:t>
            </w:r>
            <w:r>
              <w:rPr>
                <w:sz w:val="58"/>
                <w:szCs w:val="58"/>
                <w:vertAlign w:val="subscript"/>
              </w:rPr>
              <w:t>?</w:t>
            </w:r>
            <w:r>
              <w:rPr>
                <w:sz w:val="58"/>
                <w:szCs w:val="58"/>
              </w:rPr>
              <w:t xml:space="preserve"> osle, budeš pánem!</w:t>
            </w:r>
            <w:r>
              <w:rPr>
                <w:sz w:val="58"/>
                <w:szCs w:val="58"/>
              </w:rPr>
              <w:tab/>
              <w:t xml:space="preserve">Dr. </w:t>
            </w:r>
            <w:r>
              <w:rPr>
                <w:smallCaps/>
                <w:sz w:val="34"/>
                <w:szCs w:val="34"/>
              </w:rPr>
              <w:t>ladislav machycek</w:t>
            </w:r>
          </w:p>
        </w:tc>
      </w:tr>
    </w:tbl>
    <w:p w:rsidR="00500724" w:rsidRDefault="00500724">
      <w:pPr>
        <w:spacing w:after="226" w:line="14" w:lineRule="exact"/>
      </w:pPr>
    </w:p>
    <w:p w:rsidR="00500724" w:rsidRDefault="00F30FB8">
      <w:pPr>
        <w:pStyle w:val="Zkladntext20"/>
        <w:shd w:val="clear" w:color="auto" w:fill="auto"/>
        <w:spacing w:line="240" w:lineRule="auto"/>
        <w:ind w:left="520" w:right="480" w:firstLine="0"/>
      </w:pPr>
      <w:r>
        <w:rPr>
          <w:b/>
          <w:bCs/>
        </w:rPr>
        <w:t xml:space="preserve">Rozhovor se </w:t>
      </w:r>
      <w:r>
        <w:rPr>
          <w:b/>
          <w:bCs/>
        </w:rPr>
        <w:t>skutečností — Dva roky Chamberlainova premiérství — České pevnosti — Mluvit o možnosti války - »shocking« — Roosevelt nechce isolaci Spojených Států — české zlato a anglická politika — Zhoršená hospodářská situace v Austrálii — Anglo- portugalská aliance —</w:t>
      </w:r>
      <w:r>
        <w:rPr>
          <w:b/>
          <w:bCs/>
        </w:rPr>
        <w:t xml:space="preserve"> Svédsku se vede dobře — Katastrofa českého tisku — Zdražit noviny? — Co je svatováclavská tradice? — Lidová výchova</w:t>
      </w:r>
      <w:r>
        <w:br w:type="page"/>
      </w:r>
    </w:p>
    <w:p w:rsidR="00500724" w:rsidRDefault="00F30FB8">
      <w:pPr>
        <w:pStyle w:val="Nadpis110"/>
        <w:shd w:val="clear" w:color="auto" w:fill="auto"/>
        <w:spacing w:line="187" w:lineRule="auto"/>
      </w:pPr>
      <w:r>
        <w:rPr>
          <w:noProof/>
        </w:rPr>
        <mc:AlternateContent>
          <mc:Choice Requires="wps">
            <w:drawing>
              <wp:anchor distT="0" distB="0" distL="114300" distR="114300" simplePos="0" relativeHeight="125829952" behindDoc="0" locked="0" layoutInCell="1" allowOverlap="1">
                <wp:simplePos x="0" y="0"/>
                <wp:positionH relativeFrom="page">
                  <wp:posOffset>433705</wp:posOffset>
                </wp:positionH>
                <wp:positionV relativeFrom="margin">
                  <wp:posOffset>0</wp:posOffset>
                </wp:positionV>
                <wp:extent cx="3039110" cy="332105"/>
                <wp:effectExtent l="0" t="0" r="0" b="0"/>
                <wp:wrapTopAndBottom/>
                <wp:docPr id="575" name="Shape 575"/>
                <wp:cNvGraphicFramePr/>
                <a:graphic xmlns:a="http://schemas.openxmlformats.org/drawingml/2006/main">
                  <a:graphicData uri="http://schemas.microsoft.com/office/word/2010/wordprocessingShape">
                    <wps:wsp>
                      <wps:cNvSpPr txBox="1"/>
                      <wps:spPr>
                        <a:xfrm>
                          <a:off x="0" y="0"/>
                          <a:ext cx="3039110" cy="332105"/>
                        </a:xfrm>
                        <a:prstGeom prst="rect">
                          <a:avLst/>
                        </a:prstGeom>
                        <a:solidFill>
                          <a:srgbClr val="51554B"/>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before="100" w:line="240" w:lineRule="auto"/>
                              <w:jc w:val="center"/>
                            </w:pPr>
                            <w:r>
                              <w:rPr>
                                <w:color w:val="FFFFFF"/>
                              </w:rPr>
                              <w:t>ODBORNÍ LtKAftl</w:t>
                            </w:r>
                          </w:p>
                        </w:txbxContent>
                      </wps:txbx>
                      <wps:bodyPr lIns="0" tIns="0" rIns="0" bIns="0">
                        <a:spAutoFit/>
                      </wps:bodyPr>
                    </wps:wsp>
                  </a:graphicData>
                </a:graphic>
              </wp:anchor>
            </w:drawing>
          </mc:Choice>
          <mc:Fallback>
            <w:pict>
              <v:shape id="_x0000_s1601" type="#_x0000_t202" style="position:absolute;margin-left:34.149999999999999pt;margin-top:0;width:239.30000000000001pt;height:26.149999999999999pt;z-index:-125828801;mso-wrap-distance-left:9.pt;mso-wrap-distance-right:9.pt;mso-position-horizontal-relative:page;mso-position-vertical-relative:margin" fillcolor="#51554B"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100" w:after="0" w:line="240" w:lineRule="auto"/>
                        <w:ind w:left="0" w:right="0" w:firstLine="0"/>
                        <w:jc w:val="center"/>
                      </w:pPr>
                      <w:r>
                        <w:rPr>
                          <w:color w:val="FFFFFF"/>
                          <w:spacing w:val="0"/>
                          <w:w w:val="100"/>
                          <w:position w:val="0"/>
                          <w:sz w:val="22"/>
                          <w:szCs w:val="22"/>
                          <w:shd w:val="clear" w:color="auto" w:fill="auto"/>
                          <w:lang w:val="cs-CZ" w:eastAsia="cs-CZ" w:bidi="cs-CZ"/>
                        </w:rPr>
                        <w:t>ODBORNÍ LtKAftl</w:t>
                      </w:r>
                    </w:p>
                  </w:txbxContent>
                </v:textbox>
                <w10:wrap type="topAndBottom" anchorx="page" anchory="margin"/>
              </v:shape>
            </w:pict>
          </mc:Fallback>
        </mc:AlternateContent>
      </w:r>
      <w:bookmarkStart w:id="585" w:name="bookmark588"/>
      <w:r>
        <w:t>MUDr. ZDENKA NEDVĚDOVA-NEJEDLA</w:t>
      </w:r>
      <w:bookmarkEnd w:id="585"/>
    </w:p>
    <w:p w:rsidR="00500724" w:rsidRDefault="00F30FB8">
      <w:pPr>
        <w:pStyle w:val="Zkladntext100"/>
        <w:shd w:val="clear" w:color="auto" w:fill="auto"/>
        <w:spacing w:after="60" w:line="216" w:lineRule="auto"/>
        <w:ind w:firstLine="0"/>
        <w:jc w:val="left"/>
        <w:rPr>
          <w:sz w:val="19"/>
          <w:szCs w:val="19"/>
        </w:rPr>
      </w:pPr>
      <w:r>
        <w:rPr>
          <w:b/>
          <w:bCs/>
          <w:sz w:val="19"/>
          <w:szCs w:val="19"/>
        </w:rPr>
        <w:t xml:space="preserve">odb. dětská lékařka. PODOLÍ, PANKBACKA 14 (stanice elektr. dráhy za Podol, sanatoriem). </w:t>
      </w:r>
      <w:r>
        <w:rPr>
          <w:b/>
          <w:bCs/>
          <w:sz w:val="19"/>
          <w:szCs w:val="19"/>
        </w:rPr>
        <w:t>Ord. 9—10 a 2—4. Tel. 441-77.</w:t>
      </w:r>
    </w:p>
    <w:p w:rsidR="00500724" w:rsidRDefault="00F30FB8">
      <w:pPr>
        <w:pStyle w:val="Nadpis110"/>
        <w:shd w:val="clear" w:color="auto" w:fill="auto"/>
        <w:spacing w:line="187" w:lineRule="auto"/>
      </w:pPr>
      <w:bookmarkStart w:id="586" w:name="bookmark589"/>
      <w:r>
        <w:t>MUDr. ANTONÍN NEUMANN</w:t>
      </w:r>
      <w:bookmarkEnd w:id="586"/>
    </w:p>
    <w:p w:rsidR="00500724" w:rsidRDefault="00F30FB8">
      <w:pPr>
        <w:pStyle w:val="Zkladntext100"/>
        <w:shd w:val="clear" w:color="auto" w:fill="auto"/>
        <w:spacing w:line="178" w:lineRule="auto"/>
        <w:ind w:right="340" w:firstLine="720"/>
        <w:sectPr w:rsidR="00500724">
          <w:footnotePr>
            <w:numFmt w:val="chicago"/>
            <w:numRestart w:val="eachPage"/>
          </w:footnotePr>
          <w:pgSz w:w="11909" w:h="16834"/>
          <w:pgMar w:top="827" w:right="290" w:bottom="562" w:left="314" w:header="0" w:footer="3" w:gutter="0"/>
          <w:cols w:space="720"/>
          <w:noEndnote/>
          <w:docGrid w:linePitch="360"/>
        </w:sectPr>
      </w:pPr>
      <w:r>
        <w:rPr>
          <w:noProof/>
        </w:rPr>
        <mc:AlternateContent>
          <mc:Choice Requires="wps">
            <w:drawing>
              <wp:anchor distT="36830" distB="1819910" distL="114300" distR="3336290" simplePos="0" relativeHeight="125829954" behindDoc="0" locked="0" layoutInCell="1" allowOverlap="1">
                <wp:simplePos x="0" y="0"/>
                <wp:positionH relativeFrom="page">
                  <wp:posOffset>339090</wp:posOffset>
                </wp:positionH>
                <wp:positionV relativeFrom="margin">
                  <wp:posOffset>1423670</wp:posOffset>
                </wp:positionV>
                <wp:extent cx="3194050" cy="499745"/>
                <wp:effectExtent l="0" t="0" r="0" b="0"/>
                <wp:wrapTopAndBottom/>
                <wp:docPr id="577" name="Shape 577"/>
                <wp:cNvGraphicFramePr/>
                <a:graphic xmlns:a="http://schemas.openxmlformats.org/drawingml/2006/main">
                  <a:graphicData uri="http://schemas.microsoft.com/office/word/2010/wordprocessingShape">
                    <wps:wsp>
                      <wps:cNvSpPr txBox="1"/>
                      <wps:spPr>
                        <a:xfrm>
                          <a:off x="0" y="0"/>
                          <a:ext cx="3194050" cy="499745"/>
                        </a:xfrm>
                        <a:prstGeom prst="rect">
                          <a:avLst/>
                        </a:prstGeom>
                        <a:noFill/>
                      </wps:spPr>
                      <wps:txbx>
                        <w:txbxContent>
                          <w:p w:rsidR="00500724" w:rsidRDefault="00F30FB8">
                            <w:pPr>
                              <w:pStyle w:val="Zkladntext100"/>
                              <w:shd w:val="clear" w:color="auto" w:fill="auto"/>
                              <w:spacing w:after="60" w:line="187" w:lineRule="auto"/>
                              <w:ind w:firstLine="0"/>
                              <w:rPr>
                                <w:sz w:val="22"/>
                                <w:szCs w:val="22"/>
                              </w:rPr>
                            </w:pPr>
                            <w:r>
                              <w:rPr>
                                <w:b/>
                                <w:bCs/>
                                <w:sz w:val="19"/>
                                <w:szCs w:val="19"/>
                              </w:rP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line="216" w:lineRule="auto"/>
                              <w:ind w:firstLine="0"/>
                              <w:rPr>
                                <w:sz w:val="19"/>
                                <w:szCs w:val="19"/>
                              </w:rPr>
                            </w:pPr>
                            <w:r>
                              <w:rPr>
                                <w:b/>
                                <w:bCs/>
                                <w:sz w:val="19"/>
                                <w:szCs w:val="19"/>
                              </w:rPr>
                              <w:t>ord. 3—4 (a podle úmluvy). Telefon 393-79. PRAHA IL, VO</w:t>
                            </w:r>
                            <w:r>
                              <w:rPr>
                                <w:b/>
                                <w:bCs/>
                                <w:sz w:val="19"/>
                                <w:szCs w:val="19"/>
                              </w:rPr>
                              <w:softHyphen/>
                            </w:r>
                            <w:r>
                              <w:rPr>
                                <w:b/>
                                <w:bCs/>
                                <w:sz w:val="19"/>
                                <w:szCs w:val="19"/>
                                <w:u w:val="single"/>
                              </w:rPr>
                              <w:t>DIČKOVA 15. (Hlávkův palác.)</w:t>
                            </w:r>
                          </w:p>
                        </w:txbxContent>
                      </wps:txbx>
                      <wps:bodyPr lIns="0" tIns="0" rIns="0" bIns="0">
                        <a:spAutoFit/>
                      </wps:bodyPr>
                    </wps:wsp>
                  </a:graphicData>
                </a:graphic>
              </wp:anchor>
            </w:drawing>
          </mc:Choice>
          <mc:Fallback>
            <w:pict>
              <v:shape id="_x0000_s1603" type="#_x0000_t202" style="position:absolute;margin-left:26.699999999999999pt;margin-top:112.09999999999999pt;width:251.5pt;height:39.350000000000001pt;z-index:-125828799;mso-wrap-distance-left:9.pt;mso-wrap-distance-top:2.8999999999999999pt;mso-wrap-distance-right:262.69999999999999pt;mso-wrap-distance-bottom:143.30000000000001pt;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60" w:line="187" w:lineRule="auto"/>
                        <w:ind w:left="0" w:right="0" w:firstLine="0"/>
                        <w:rPr>
                          <w:sz w:val="22"/>
                          <w:szCs w:val="22"/>
                        </w:rPr>
                      </w:pPr>
                      <w:r>
                        <w:rPr>
                          <w:b/>
                          <w:bCs/>
                          <w:color w:val="000000"/>
                          <w:spacing w:val="0"/>
                          <w:w w:val="100"/>
                          <w:position w:val="0"/>
                          <w:sz w:val="19"/>
                          <w:szCs w:val="19"/>
                          <w:shd w:val="clear" w:color="auto" w:fill="auto"/>
                          <w:lang w:val="cs-CZ" w:eastAsia="cs-CZ" w:bidi="cs-CZ"/>
                        </w:rPr>
                        <w:t xml:space="preserve">Pro plastickou chirurgii </w:t>
                      </w:r>
                      <w:r>
                        <w:rPr>
                          <w:rFonts w:ascii="Arial" w:eastAsia="Arial" w:hAnsi="Arial" w:cs="Arial"/>
                          <w:b/>
                          <w:bCs/>
                          <w:color w:val="000000"/>
                          <w:spacing w:val="0"/>
                          <w:w w:val="100"/>
                          <w:position w:val="0"/>
                          <w:sz w:val="22"/>
                          <w:szCs w:val="22"/>
                          <w:shd w:val="clear" w:color="auto" w:fill="auto"/>
                          <w:lang w:val="cs-CZ" w:eastAsia="cs-CZ" w:bidi="cs-CZ"/>
                        </w:rPr>
                        <w:t>Dr. RUDOLF SLUNEČKO</w:t>
                      </w:r>
                    </w:p>
                    <w:p>
                      <w:pPr>
                        <w:pStyle w:val="Style344"/>
                        <w:keepNext w:val="0"/>
                        <w:keepLines w:val="0"/>
                        <w:widowControl w:val="0"/>
                        <w:shd w:val="clear" w:color="auto" w:fill="auto"/>
                        <w:bidi w:val="0"/>
                        <w:spacing w:before="0" w:after="0" w:line="216" w:lineRule="auto"/>
                        <w:ind w:left="0" w:right="0" w:firstLine="0"/>
                        <w:rPr>
                          <w:sz w:val="19"/>
                          <w:szCs w:val="19"/>
                        </w:rPr>
                      </w:pPr>
                      <w:r>
                        <w:rPr>
                          <w:b/>
                          <w:bCs/>
                          <w:color w:val="000000"/>
                          <w:spacing w:val="0"/>
                          <w:w w:val="100"/>
                          <w:position w:val="0"/>
                          <w:sz w:val="19"/>
                          <w:szCs w:val="19"/>
                          <w:shd w:val="clear" w:color="auto" w:fill="auto"/>
                          <w:lang w:val="cs-CZ" w:eastAsia="cs-CZ" w:bidi="cs-CZ"/>
                        </w:rPr>
                        <w:t>ord. 3—4 (a podle úmluvy). Telefon 393-79. PRAHA IL, VO</w:t>
                        <w:softHyphen/>
                      </w:r>
                      <w:r>
                        <w:rPr>
                          <w:b/>
                          <w:bCs/>
                          <w:color w:val="000000"/>
                          <w:spacing w:val="0"/>
                          <w:w w:val="100"/>
                          <w:position w:val="0"/>
                          <w:sz w:val="19"/>
                          <w:szCs w:val="19"/>
                          <w:u w:val="single"/>
                          <w:shd w:val="clear" w:color="auto" w:fill="auto"/>
                          <w:lang w:val="cs-CZ" w:eastAsia="cs-CZ" w:bidi="cs-CZ"/>
                        </w:rPr>
                        <w:t>DIČKOVA 15. (Hlávkův palác.)</w:t>
                      </w:r>
                    </w:p>
                  </w:txbxContent>
                </v:textbox>
                <w10:wrap type="topAndBottom" anchorx="page" anchory="margin"/>
              </v:shape>
            </w:pict>
          </mc:Fallback>
        </mc:AlternateContent>
      </w:r>
      <w:r>
        <w:rPr>
          <w:noProof/>
        </w:rPr>
        <mc:AlternateContent>
          <mc:Choice Requires="wps">
            <w:drawing>
              <wp:anchor distT="0" distB="1804670" distL="3677285" distR="114300" simplePos="0" relativeHeight="125829956" behindDoc="0" locked="0" layoutInCell="1" allowOverlap="1">
                <wp:simplePos x="0" y="0"/>
                <wp:positionH relativeFrom="page">
                  <wp:posOffset>3902075</wp:posOffset>
                </wp:positionH>
                <wp:positionV relativeFrom="margin">
                  <wp:posOffset>1386840</wp:posOffset>
                </wp:positionV>
                <wp:extent cx="2853055" cy="551815"/>
                <wp:effectExtent l="0" t="0" r="0" b="0"/>
                <wp:wrapTopAndBottom/>
                <wp:docPr id="579" name="Shape 579"/>
                <wp:cNvGraphicFramePr/>
                <a:graphic xmlns:a="http://schemas.openxmlformats.org/drawingml/2006/main">
                  <a:graphicData uri="http://schemas.microsoft.com/office/word/2010/wordprocessingShape">
                    <wps:wsp>
                      <wps:cNvSpPr txBox="1"/>
                      <wps:spPr>
                        <a:xfrm>
                          <a:off x="0" y="0"/>
                          <a:ext cx="2853055" cy="551815"/>
                        </a:xfrm>
                        <a:prstGeom prst="rect">
                          <a:avLst/>
                        </a:prstGeom>
                        <a:noFill/>
                      </wps:spPr>
                      <wps:txbx>
                        <w:txbxContent>
                          <w:p w:rsidR="00500724" w:rsidRDefault="00F30FB8">
                            <w:pPr>
                              <w:pStyle w:val="Jin0"/>
                              <w:shd w:val="clear" w:color="auto" w:fill="auto"/>
                              <w:ind w:firstLine="0"/>
                              <w:jc w:val="left"/>
                              <w:rPr>
                                <w:sz w:val="72"/>
                                <w:szCs w:val="72"/>
                              </w:rPr>
                            </w:pPr>
                            <w:r>
                              <w:rPr>
                                <w:rFonts w:ascii="Arial" w:eastAsia="Arial" w:hAnsi="Arial" w:cs="Arial"/>
                                <w:b/>
                                <w:bCs/>
                                <w:w w:val="50"/>
                                <w:sz w:val="72"/>
                                <w:szCs w:val="72"/>
                              </w:rPr>
                              <w:t>KNIHY 0 POLITICE</w:t>
                            </w:r>
                          </w:p>
                        </w:txbxContent>
                      </wps:txbx>
                      <wps:bodyPr lIns="0" tIns="0" rIns="0" bIns="0">
                        <a:spAutoFit/>
                      </wps:bodyPr>
                    </wps:wsp>
                  </a:graphicData>
                </a:graphic>
              </wp:anchor>
            </w:drawing>
          </mc:Choice>
          <mc:Fallback>
            <w:pict>
              <v:shape id="_x0000_s1605" type="#_x0000_t202" style="position:absolute;margin-left:307.25pt;margin-top:109.2pt;width:224.65000000000001pt;height:43.450000000000003pt;z-index:-125828797;mso-wrap-distance-left:289.55000000000001pt;mso-wrap-distance-right:9.pt;mso-wrap-distance-bottom:142.09999999999999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72"/>
                          <w:szCs w:val="72"/>
                        </w:rPr>
                      </w:pPr>
                      <w:r>
                        <w:rPr>
                          <w:rFonts w:ascii="Arial" w:eastAsia="Arial" w:hAnsi="Arial" w:cs="Arial"/>
                          <w:b/>
                          <w:bCs/>
                          <w:color w:val="000000"/>
                          <w:spacing w:val="0"/>
                          <w:w w:val="50"/>
                          <w:position w:val="0"/>
                          <w:sz w:val="72"/>
                          <w:szCs w:val="72"/>
                          <w:shd w:val="clear" w:color="auto" w:fill="auto"/>
                          <w:lang w:val="cs-CZ" w:eastAsia="cs-CZ" w:bidi="cs-CZ"/>
                        </w:rPr>
                        <w:t>KNIHY 0 POLITICE</w:t>
                      </w:r>
                    </w:p>
                  </w:txbxContent>
                </v:textbox>
                <w10:wrap type="topAndBottom" anchorx="page" anchory="margin"/>
              </v:shape>
            </w:pict>
          </mc:Fallback>
        </mc:AlternateContent>
      </w:r>
      <w:r>
        <w:rPr>
          <w:noProof/>
        </w:rPr>
        <mc:AlternateContent>
          <mc:Choice Requires="wps">
            <w:drawing>
              <wp:anchor distT="631190" distB="1298575" distL="129540" distR="3333115" simplePos="0" relativeHeight="125829958" behindDoc="0" locked="0" layoutInCell="1" allowOverlap="1">
                <wp:simplePos x="0" y="0"/>
                <wp:positionH relativeFrom="page">
                  <wp:posOffset>354330</wp:posOffset>
                </wp:positionH>
                <wp:positionV relativeFrom="margin">
                  <wp:posOffset>2018030</wp:posOffset>
                </wp:positionV>
                <wp:extent cx="3181985" cy="426720"/>
                <wp:effectExtent l="0" t="0" r="0" b="0"/>
                <wp:wrapTopAndBottom/>
                <wp:docPr id="581" name="Shape 581"/>
                <wp:cNvGraphicFramePr/>
                <a:graphic xmlns:a="http://schemas.openxmlformats.org/drawingml/2006/main">
                  <a:graphicData uri="http://schemas.microsoft.com/office/word/2010/wordprocessingShape">
                    <wps:wsp>
                      <wps:cNvSpPr txBox="1"/>
                      <wps:spPr>
                        <a:xfrm>
                          <a:off x="0" y="0"/>
                          <a:ext cx="3181985" cy="426720"/>
                        </a:xfrm>
                        <a:prstGeom prst="rect">
                          <a:avLst/>
                        </a:prstGeom>
                        <a:noFill/>
                      </wps:spPr>
                      <wps:txbx>
                        <w:txbxContent>
                          <w:p w:rsidR="00500724" w:rsidRDefault="00F30FB8">
                            <w:pPr>
                              <w:pStyle w:val="Zkladntext100"/>
                              <w:shd w:val="clear" w:color="auto" w:fill="auto"/>
                              <w:spacing w:line="214" w:lineRule="auto"/>
                              <w:ind w:firstLine="0"/>
                              <w:rPr>
                                <w:sz w:val="19"/>
                                <w:szCs w:val="19"/>
                              </w:rPr>
                            </w:pPr>
                            <w:r>
                              <w:rPr>
                                <w:rFonts w:ascii="Arial" w:eastAsia="Arial" w:hAnsi="Arial" w:cs="Arial"/>
                                <w:b/>
                                <w:bCs/>
                                <w:sz w:val="22"/>
                                <w:szCs w:val="22"/>
                              </w:rPr>
                              <w:t xml:space="preserve">MUDr. STANISLAV TUMPACH </w:t>
                            </w:r>
                            <w:r>
                              <w:rPr>
                                <w:b/>
                                <w:bCs/>
                                <w:sz w:val="19"/>
                                <w:szCs w:val="19"/>
                              </w:rPr>
                              <w:t xml:space="preserve">odborný lékař pro chirurgii a urologii. </w:t>
                            </w:r>
                            <w:r>
                              <w:rPr>
                                <w:b/>
                                <w:bCs/>
                                <w:sz w:val="19"/>
                                <w:szCs w:val="19"/>
                                <w:u w:val="single"/>
                              </w:rPr>
                              <w:t>wtAHA</w:t>
                            </w:r>
                            <w:r>
                              <w:rPr>
                                <w:b/>
                                <w:bCs/>
                                <w:sz w:val="19"/>
                                <w:szCs w:val="19"/>
                              </w:rPr>
                              <w:t xml:space="preserve"> XH., Fochova 84 (Nám. krále </w:t>
                            </w:r>
                            <w:r>
                              <w:rPr>
                                <w:b/>
                                <w:bCs/>
                                <w:sz w:val="19"/>
                                <w:szCs w:val="19"/>
                                <w:u w:val="single"/>
                              </w:rPr>
                              <w:t>Jiřiho). Ord. 15—17. TeL 512-86, byt: 513-38.</w:t>
                            </w:r>
                          </w:p>
                        </w:txbxContent>
                      </wps:txbx>
                      <wps:bodyPr lIns="0" tIns="0" rIns="0" bIns="0">
                        <a:spAutoFit/>
                      </wps:bodyPr>
                    </wps:wsp>
                  </a:graphicData>
                </a:graphic>
              </wp:anchor>
            </w:drawing>
          </mc:Choice>
          <mc:Fallback>
            <w:pict>
              <v:shape id="_x0000_s1607" type="#_x0000_t202" style="position:absolute;margin-left:27.899999999999999pt;margin-top:158.90000000000001pt;width:250.55000000000001pt;height:33.600000000000001pt;z-index:-125828795;mso-wrap-distance-left:10.199999999999999pt;mso-wrap-distance-top:49.700000000000003pt;mso-wrap-distance-right:262.44999999999999pt;mso-wrap-distance-bottom:102.25pt;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0" w:line="214" w:lineRule="auto"/>
                        <w:ind w:left="0" w:right="0" w:firstLine="0"/>
                        <w:rPr>
                          <w:sz w:val="19"/>
                          <w:szCs w:val="19"/>
                        </w:rPr>
                      </w:pPr>
                      <w:r>
                        <w:rPr>
                          <w:rFonts w:ascii="Arial" w:eastAsia="Arial" w:hAnsi="Arial" w:cs="Arial"/>
                          <w:b/>
                          <w:bCs/>
                          <w:color w:val="000000"/>
                          <w:spacing w:val="0"/>
                          <w:w w:val="100"/>
                          <w:position w:val="0"/>
                          <w:sz w:val="22"/>
                          <w:szCs w:val="22"/>
                          <w:shd w:val="clear" w:color="auto" w:fill="auto"/>
                          <w:lang w:val="cs-CZ" w:eastAsia="cs-CZ" w:bidi="cs-CZ"/>
                        </w:rPr>
                        <w:t xml:space="preserve">MUDr. STANISLAV TUMPACH </w:t>
                      </w:r>
                      <w:r>
                        <w:rPr>
                          <w:b/>
                          <w:bCs/>
                          <w:color w:val="000000"/>
                          <w:spacing w:val="0"/>
                          <w:w w:val="100"/>
                          <w:position w:val="0"/>
                          <w:sz w:val="19"/>
                          <w:szCs w:val="19"/>
                          <w:shd w:val="clear" w:color="auto" w:fill="auto"/>
                          <w:lang w:val="cs-CZ" w:eastAsia="cs-CZ" w:bidi="cs-CZ"/>
                        </w:rPr>
                        <w:t xml:space="preserve">odborný lékař pro chirurgii a urologii. </w:t>
                      </w:r>
                      <w:r>
                        <w:rPr>
                          <w:b/>
                          <w:bCs/>
                          <w:color w:val="000000"/>
                          <w:spacing w:val="0"/>
                          <w:w w:val="100"/>
                          <w:position w:val="0"/>
                          <w:sz w:val="19"/>
                          <w:szCs w:val="19"/>
                          <w:u w:val="single"/>
                          <w:shd w:val="clear" w:color="auto" w:fill="auto"/>
                          <w:lang w:val="cs-CZ" w:eastAsia="cs-CZ" w:bidi="cs-CZ"/>
                        </w:rPr>
                        <w:t>wtAHA</w:t>
                      </w:r>
                      <w:r>
                        <w:rPr>
                          <w:b/>
                          <w:bCs/>
                          <w:color w:val="000000"/>
                          <w:spacing w:val="0"/>
                          <w:w w:val="100"/>
                          <w:position w:val="0"/>
                          <w:sz w:val="19"/>
                          <w:szCs w:val="19"/>
                          <w:shd w:val="clear" w:color="auto" w:fill="auto"/>
                          <w:lang w:val="cs-CZ" w:eastAsia="cs-CZ" w:bidi="cs-CZ"/>
                        </w:rPr>
                        <w:t xml:space="preserve"> XH., Fochova 84 (Nám. krále </w:t>
                      </w:r>
                      <w:r>
                        <w:rPr>
                          <w:b/>
                          <w:bCs/>
                          <w:color w:val="000000"/>
                          <w:spacing w:val="0"/>
                          <w:w w:val="100"/>
                          <w:position w:val="0"/>
                          <w:sz w:val="19"/>
                          <w:szCs w:val="19"/>
                          <w:u w:val="single"/>
                          <w:shd w:val="clear" w:color="auto" w:fill="auto"/>
                          <w:lang w:val="cs-CZ" w:eastAsia="cs-CZ" w:bidi="cs-CZ"/>
                        </w:rPr>
                        <w:t>Jiřiho). Ord. 15—17. TeL 512-86, byt: 513-38.</w:t>
                      </w:r>
                    </w:p>
                  </w:txbxContent>
                </v:textbox>
                <w10:wrap type="topAndBottom" anchorx="page" anchory="margin"/>
              </v:shape>
            </w:pict>
          </mc:Fallback>
        </mc:AlternateContent>
      </w:r>
      <w:r>
        <w:rPr>
          <w:noProof/>
        </w:rPr>
        <mc:AlternateContent>
          <mc:Choice Requires="wps">
            <w:drawing>
              <wp:anchor distT="1258570" distB="941705" distL="544195" distR="5765165" simplePos="0" relativeHeight="125829960" behindDoc="0" locked="0" layoutInCell="1" allowOverlap="1">
                <wp:simplePos x="0" y="0"/>
                <wp:positionH relativeFrom="page">
                  <wp:posOffset>768985</wp:posOffset>
                </wp:positionH>
                <wp:positionV relativeFrom="margin">
                  <wp:posOffset>2645410</wp:posOffset>
                </wp:positionV>
                <wp:extent cx="335280" cy="155575"/>
                <wp:effectExtent l="0" t="0" r="0" b="0"/>
                <wp:wrapTopAndBottom/>
                <wp:docPr id="583" name="Shape 583"/>
                <wp:cNvGraphicFramePr/>
                <a:graphic xmlns:a="http://schemas.openxmlformats.org/drawingml/2006/main">
                  <a:graphicData uri="http://schemas.microsoft.com/office/word/2010/wordprocessingShape">
                    <wps:wsp>
                      <wps:cNvSpPr txBox="1"/>
                      <wps:spPr>
                        <a:xfrm>
                          <a:off x="0" y="0"/>
                          <a:ext cx="335280" cy="155575"/>
                        </a:xfrm>
                        <a:prstGeom prst="rect">
                          <a:avLst/>
                        </a:prstGeom>
                        <a:noFill/>
                      </wps:spPr>
                      <wps:txbx>
                        <w:txbxContent>
                          <w:p w:rsidR="00500724" w:rsidRDefault="00F30FB8">
                            <w:pPr>
                              <w:pStyle w:val="Zkladntext100"/>
                              <w:pBdr>
                                <w:top w:val="single" w:sz="4" w:space="0" w:color="auto"/>
                              </w:pBdr>
                              <w:shd w:val="clear" w:color="auto" w:fill="auto"/>
                              <w:spacing w:line="240" w:lineRule="auto"/>
                              <w:ind w:firstLine="0"/>
                              <w:jc w:val="left"/>
                            </w:pPr>
                            <w:r>
                              <w:rPr>
                                <w:u w:val="single"/>
                              </w:rPr>
                              <w:t>■CJC</w:t>
                            </w:r>
                          </w:p>
                        </w:txbxContent>
                      </wps:txbx>
                      <wps:bodyPr lIns="0" tIns="0" rIns="0" bIns="0">
                        <a:spAutoFit/>
                      </wps:bodyPr>
                    </wps:wsp>
                  </a:graphicData>
                </a:graphic>
              </wp:anchor>
            </w:drawing>
          </mc:Choice>
          <mc:Fallback>
            <w:pict>
              <v:shape id="_x0000_s1609" type="#_x0000_t202" style="position:absolute;margin-left:60.549999999999997pt;margin-top:208.30000000000001pt;width:26.399999999999999pt;height:12.25pt;z-index:-125828793;mso-wrap-distance-left:42.850000000000001pt;mso-wrap-distance-top:99.099999999999994pt;mso-wrap-distance-right:453.94999999999999pt;mso-wrap-distance-bottom:74.150000000000006pt;mso-position-horizontal-relative:page;mso-position-vertical-relative:margin" filled="f" stroked="f">
                <v:textbox style="mso-fit-shape-to-text:t" inset="0,0,0,0">
                  <w:txbxContent>
                    <w:p>
                      <w:pPr>
                        <w:pStyle w:val="Style34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z w:val="18"/>
                          <w:szCs w:val="18"/>
                          <w:u w:val="single"/>
                          <w:shd w:val="clear" w:color="auto" w:fill="auto"/>
                          <w:lang w:val="cs-CZ" w:eastAsia="cs-CZ" w:bidi="cs-CZ"/>
                        </w:rPr>
                        <w:t>■CJC</w:t>
                      </w:r>
                    </w:p>
                  </w:txbxContent>
                </v:textbox>
                <w10:wrap type="topAndBottom" anchorx="page" anchory="margin"/>
              </v:shape>
            </w:pict>
          </mc:Fallback>
        </mc:AlternateContent>
      </w:r>
      <w:r>
        <w:rPr>
          <w:noProof/>
        </w:rPr>
        <mc:AlternateContent>
          <mc:Choice Requires="wps">
            <w:drawing>
              <wp:anchor distT="1466215" distB="618490" distL="202565" distR="4107180" simplePos="0" relativeHeight="125829962" behindDoc="0" locked="0" layoutInCell="1" allowOverlap="1">
                <wp:simplePos x="0" y="0"/>
                <wp:positionH relativeFrom="page">
                  <wp:posOffset>427355</wp:posOffset>
                </wp:positionH>
                <wp:positionV relativeFrom="margin">
                  <wp:posOffset>2853055</wp:posOffset>
                </wp:positionV>
                <wp:extent cx="2334895" cy="271145"/>
                <wp:effectExtent l="0" t="0" r="0" b="0"/>
                <wp:wrapTopAndBottom/>
                <wp:docPr id="585" name="Shape 585"/>
                <wp:cNvGraphicFramePr/>
                <a:graphic xmlns:a="http://schemas.openxmlformats.org/drawingml/2006/main">
                  <a:graphicData uri="http://schemas.microsoft.com/office/word/2010/wordprocessingShape">
                    <wps:wsp>
                      <wps:cNvSpPr txBox="1"/>
                      <wps:spPr>
                        <a:xfrm>
                          <a:off x="0" y="0"/>
                          <a:ext cx="2334895"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IHNEVELICNOVKY</w:t>
                            </w:r>
                          </w:p>
                        </w:txbxContent>
                      </wps:txbx>
                      <wps:bodyPr lIns="0" tIns="0" rIns="0" bIns="0">
                        <a:spAutoFit/>
                      </wps:bodyPr>
                    </wps:wsp>
                  </a:graphicData>
                </a:graphic>
              </wp:anchor>
            </w:drawing>
          </mc:Choice>
          <mc:Fallback>
            <w:pict>
              <v:shape id="_x0000_s1611" type="#_x0000_t202" style="position:absolute;margin-left:33.649999999999999pt;margin-top:224.65000000000001pt;width:183.84999999999999pt;height:21.350000000000001pt;z-index:-125828791;mso-wrap-distance-left:15.949999999999999pt;mso-wrap-distance-top:115.45pt;mso-wrap-distance-right:323.39999999999998pt;mso-wrap-distance-bottom:48.700000000000003pt;mso-position-horizontal-relative:page;mso-position-vertical-relative:margin"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IHNEVELICNOVKY</w:t>
                      </w:r>
                    </w:p>
                  </w:txbxContent>
                </v:textbox>
                <w10:wrap type="topAndBottom" anchorx="page" anchory="margin"/>
              </v:shape>
            </w:pict>
          </mc:Fallback>
        </mc:AlternateContent>
      </w:r>
      <w:r>
        <w:rPr>
          <w:noProof/>
        </w:rPr>
        <mc:AlternateContent>
          <mc:Choice Requires="wps">
            <w:drawing>
              <wp:anchor distT="1591310" distB="85090" distL="464820" distR="3308350" simplePos="0" relativeHeight="125829964" behindDoc="0" locked="0" layoutInCell="1" allowOverlap="1">
                <wp:simplePos x="0" y="0"/>
                <wp:positionH relativeFrom="page">
                  <wp:posOffset>689610</wp:posOffset>
                </wp:positionH>
                <wp:positionV relativeFrom="margin">
                  <wp:posOffset>2978150</wp:posOffset>
                </wp:positionV>
                <wp:extent cx="2871470" cy="679450"/>
                <wp:effectExtent l="0" t="0" r="0" b="0"/>
                <wp:wrapTopAndBottom/>
                <wp:docPr id="587" name="Shape 587"/>
                <wp:cNvGraphicFramePr/>
                <a:graphic xmlns:a="http://schemas.openxmlformats.org/drawingml/2006/main">
                  <a:graphicData uri="http://schemas.microsoft.com/office/word/2010/wordprocessingShape">
                    <wps:wsp>
                      <wps:cNvSpPr txBox="1"/>
                      <wps:spPr>
                        <a:xfrm>
                          <a:off x="0" y="0"/>
                          <a:ext cx="2871470" cy="679450"/>
                        </a:xfrm>
                        <a:prstGeom prst="rect">
                          <a:avLst/>
                        </a:prstGeom>
                        <a:noFill/>
                      </wps:spPr>
                      <wps:txbx>
                        <w:txbxContent>
                          <w:p w:rsidR="00500724" w:rsidRDefault="00F30FB8">
                            <w:pPr>
                              <w:pStyle w:val="Zkladntext80"/>
                              <w:shd w:val="clear" w:color="auto" w:fill="auto"/>
                              <w:spacing w:line="226" w:lineRule="auto"/>
                              <w:jc w:val="right"/>
                              <w:rPr>
                                <w:sz w:val="24"/>
                                <w:szCs w:val="24"/>
                              </w:rPr>
                            </w:pPr>
                            <w:r>
                              <w:rPr>
                                <w:w w:val="70"/>
                                <w:sz w:val="24"/>
                                <w:szCs w:val="24"/>
                              </w:rPr>
                              <w:t>u Jaroměře</w:t>
                            </w:r>
                          </w:p>
                          <w:p w:rsidR="00500724" w:rsidRDefault="00F30FB8">
                            <w:pPr>
                              <w:pStyle w:val="Nadpis120"/>
                              <w:pBdr>
                                <w:bottom w:val="single" w:sz="4" w:space="0" w:color="auto"/>
                              </w:pBdr>
                              <w:shd w:val="clear" w:color="auto" w:fill="auto"/>
                              <w:ind w:left="0"/>
                              <w:jc w:val="both"/>
                            </w:pPr>
                            <w:bookmarkStart w:id="587" w:name="bookmark583"/>
                            <w:r>
                              <w:t xml:space="preserve">poskytují komfort velkých lázní za mírné ceny. S úspěchem léčí: revma, </w:t>
                            </w:r>
                            <w:r>
                              <w:t>dnu, ischias, nervosu, ženské choroby.</w:t>
                            </w:r>
                            <w:bookmarkEnd w:id="587"/>
                          </w:p>
                        </w:txbxContent>
                      </wps:txbx>
                      <wps:bodyPr lIns="0" tIns="0" rIns="0" bIns="0">
                        <a:spAutoFit/>
                      </wps:bodyPr>
                    </wps:wsp>
                  </a:graphicData>
                </a:graphic>
              </wp:anchor>
            </w:drawing>
          </mc:Choice>
          <mc:Fallback>
            <w:pict>
              <v:shape id="_x0000_s1613" type="#_x0000_t202" style="position:absolute;margin-left:54.299999999999997pt;margin-top:234.5pt;width:226.09999999999999pt;height:53.5pt;z-index:-125828789;mso-wrap-distance-left:36.600000000000001pt;mso-wrap-distance-top:125.3pt;mso-wrap-distance-right:260.5pt;mso-wrap-distance-bottom:6.7000000000000002pt;mso-position-horizontal-relative:page;mso-position-vertical-relative:margin" filled="f" stroked="f">
                <v:textbox style="mso-fit-shape-to-text:t" inset="0,0,0,0">
                  <w:txbxContent>
                    <w:p>
                      <w:pPr>
                        <w:pStyle w:val="Style150"/>
                        <w:keepNext w:val="0"/>
                        <w:keepLines w:val="0"/>
                        <w:widowControl w:val="0"/>
                        <w:shd w:val="clear" w:color="auto" w:fill="auto"/>
                        <w:bidi w:val="0"/>
                        <w:spacing w:before="0" w:after="0" w:line="226" w:lineRule="auto"/>
                        <w:ind w:left="0" w:right="0" w:firstLine="0"/>
                        <w:jc w:val="right"/>
                        <w:rPr>
                          <w:sz w:val="24"/>
                          <w:szCs w:val="24"/>
                        </w:rPr>
                      </w:pPr>
                      <w:r>
                        <w:rPr>
                          <w:color w:val="000000"/>
                          <w:spacing w:val="0"/>
                          <w:w w:val="70"/>
                          <w:position w:val="0"/>
                          <w:sz w:val="24"/>
                          <w:szCs w:val="24"/>
                          <w:shd w:val="clear" w:color="auto" w:fill="auto"/>
                          <w:lang w:val="cs-CZ" w:eastAsia="cs-CZ" w:bidi="cs-CZ"/>
                        </w:rPr>
                        <w:t>u Jaroměře</w:t>
                      </w:r>
                    </w:p>
                    <w:p>
                      <w:pPr>
                        <w:pStyle w:val="Style61"/>
                        <w:keepNext w:val="0"/>
                        <w:keepLines w:val="0"/>
                        <w:widowControl w:val="0"/>
                        <w:pBdr>
                          <w:bottom w:val="single" w:sz="4" w:space="0" w:color="auto"/>
                        </w:pBdr>
                        <w:shd w:val="clear" w:color="auto" w:fill="auto"/>
                        <w:bidi w:val="0"/>
                        <w:spacing w:before="0" w:after="0" w:line="240" w:lineRule="auto"/>
                        <w:ind w:left="0" w:right="0" w:firstLine="0"/>
                        <w:jc w:val="both"/>
                      </w:pPr>
                      <w:bookmarkStart w:id="583" w:name="bookmark583"/>
                      <w:r>
                        <w:rPr>
                          <w:color w:val="000000"/>
                          <w:spacing w:val="0"/>
                          <w:w w:val="100"/>
                          <w:position w:val="0"/>
                          <w:shd w:val="clear" w:color="auto" w:fill="auto"/>
                          <w:lang w:val="cs-CZ" w:eastAsia="cs-CZ" w:bidi="cs-CZ"/>
                        </w:rPr>
                        <w:t>poskytují komfort velkých lázní za mírné ceny. S úspěchem léčí: revma, dnu, ischias, nervosu, ženské choroby.</w:t>
                      </w:r>
                      <w:bookmarkEnd w:id="583"/>
                    </w:p>
                  </w:txbxContent>
                </v:textbox>
                <w10:wrap type="topAndBottom" anchorx="page" anchory="margin"/>
              </v:shape>
            </w:pict>
          </mc:Fallback>
        </mc:AlternateContent>
      </w:r>
      <w:r>
        <w:rPr>
          <w:noProof/>
        </w:rPr>
        <mc:AlternateContent>
          <mc:Choice Requires="wps">
            <w:drawing>
              <wp:anchor distT="697865" distB="316865" distL="3677285" distR="114300" simplePos="0" relativeHeight="125829966" behindDoc="0" locked="0" layoutInCell="1" allowOverlap="1">
                <wp:simplePos x="0" y="0"/>
                <wp:positionH relativeFrom="page">
                  <wp:posOffset>3902075</wp:posOffset>
                </wp:positionH>
                <wp:positionV relativeFrom="margin">
                  <wp:posOffset>2084705</wp:posOffset>
                </wp:positionV>
                <wp:extent cx="2853055" cy="1341120"/>
                <wp:effectExtent l="0" t="0" r="0" b="0"/>
                <wp:wrapTopAndBottom/>
                <wp:docPr id="589" name="Shape 589"/>
                <wp:cNvGraphicFramePr/>
                <a:graphic xmlns:a="http://schemas.openxmlformats.org/drawingml/2006/main">
                  <a:graphicData uri="http://schemas.microsoft.com/office/word/2010/wordprocessingShape">
                    <wps:wsp>
                      <wps:cNvSpPr txBox="1"/>
                      <wps:spPr>
                        <a:xfrm>
                          <a:off x="0" y="0"/>
                          <a:ext cx="2853055" cy="134112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408"/>
                              <w:gridCol w:w="461"/>
                              <w:gridCol w:w="202"/>
                              <w:gridCol w:w="422"/>
                            </w:tblGrid>
                            <w:tr w:rsidR="00500724">
                              <w:tblPrEx>
                                <w:tblCellMar>
                                  <w:top w:w="0" w:type="dxa"/>
                                  <w:bottom w:w="0" w:type="dxa"/>
                                </w:tblCellMar>
                              </w:tblPrEx>
                              <w:trPr>
                                <w:trHeight w:hRule="exact" w:val="187"/>
                                <w:tblHeader/>
                              </w:trPr>
                              <w:tc>
                                <w:tcPr>
                                  <w:tcW w:w="3408" w:type="dxa"/>
                                  <w:shd w:val="clear" w:color="auto" w:fill="FFFFFF"/>
                                </w:tcPr>
                                <w:p w:rsidR="00500724" w:rsidRDefault="00F30FB8">
                                  <w:pPr>
                                    <w:pStyle w:val="Jin0"/>
                                    <w:shd w:val="clear" w:color="auto" w:fill="auto"/>
                                    <w:ind w:left="320" w:firstLine="0"/>
                                    <w:jc w:val="left"/>
                                    <w:rPr>
                                      <w:sz w:val="18"/>
                                      <w:szCs w:val="18"/>
                                    </w:rPr>
                                  </w:pPr>
                                  <w:r>
                                    <w:rPr>
                                      <w:sz w:val="18"/>
                                      <w:szCs w:val="18"/>
                                    </w:rPr>
                                    <w:t>169 str.</w:t>
                                  </w: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rPr>
                                      <w:sz w:val="18"/>
                                      <w:szCs w:val="18"/>
                                    </w:rPr>
                                  </w:pPr>
                                  <w:r>
                                    <w:rPr>
                                      <w:sz w:val="18"/>
                                      <w:szCs w:val="18"/>
                                    </w:rPr>
                                    <w:t>15.—</w:t>
                                  </w:r>
                                </w:p>
                              </w:tc>
                            </w:tr>
                            <w:tr w:rsidR="00500724">
                              <w:tblPrEx>
                                <w:tblCellMar>
                                  <w:top w:w="0" w:type="dxa"/>
                                  <w:bottom w:w="0" w:type="dxa"/>
                                </w:tblCellMar>
                              </w:tblPrEx>
                              <w:trPr>
                                <w:trHeight w:hRule="exact" w:val="197"/>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CROCE Benedetto: </w:t>
                                  </w:r>
                                  <w:r>
                                    <w:rPr>
                                      <w:sz w:val="18"/>
                                      <w:szCs w:val="18"/>
                                    </w:rPr>
                                    <w:t>Evropa v 19. století.</w:t>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68"/>
                              </w:trPr>
                              <w:tc>
                                <w:tcPr>
                                  <w:tcW w:w="3408" w:type="dxa"/>
                                  <w:shd w:val="clear" w:color="auto" w:fill="FFFFFF"/>
                                  <w:vAlign w:val="bottom"/>
                                </w:tcPr>
                                <w:p w:rsidR="00500724" w:rsidRDefault="00F30FB8">
                                  <w:pPr>
                                    <w:pStyle w:val="Jin0"/>
                                    <w:shd w:val="clear" w:color="auto" w:fill="auto"/>
                                    <w:ind w:left="320" w:firstLine="0"/>
                                    <w:jc w:val="left"/>
                                    <w:rPr>
                                      <w:sz w:val="18"/>
                                      <w:szCs w:val="18"/>
                                    </w:rPr>
                                  </w:pPr>
                                  <w:r>
                                    <w:rPr>
                                      <w:sz w:val="18"/>
                                      <w:szCs w:val="18"/>
                                    </w:rPr>
                                    <w:t>22.5X15 cm. 345 str.</w:t>
                                  </w:r>
                                </w:p>
                              </w:tc>
                              <w:tc>
                                <w:tcPr>
                                  <w:tcW w:w="461"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48.—</w:t>
                                  </w:r>
                                </w:p>
                              </w:tc>
                            </w:tr>
                            <w:tr w:rsidR="00500724">
                              <w:tblPrEx>
                                <w:tblCellMar>
                                  <w:top w:w="0" w:type="dxa"/>
                                  <w:bottom w:w="0" w:type="dxa"/>
                                </w:tblCellMar>
                              </w:tblPrEx>
                              <w:trPr>
                                <w:trHeight w:hRule="exact" w:val="187"/>
                              </w:trPr>
                              <w:tc>
                                <w:tcPr>
                                  <w:tcW w:w="3408" w:type="dxa"/>
                                  <w:shd w:val="clear" w:color="auto" w:fill="FFFFFF"/>
                                </w:tcPr>
                                <w:p w:rsidR="00500724" w:rsidRDefault="00500724">
                                  <w:pPr>
                                    <w:rPr>
                                      <w:sz w:val="10"/>
                                      <w:szCs w:val="10"/>
                                    </w:rPr>
                                  </w:pP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66.—</w:t>
                                  </w:r>
                                </w:p>
                              </w:tc>
                            </w:tr>
                            <w:tr w:rsidR="00500724">
                              <w:tblPrEx>
                                <w:tblCellMar>
                                  <w:top w:w="0" w:type="dxa"/>
                                  <w:bottom w:w="0" w:type="dxa"/>
                                </w:tblCellMar>
                              </w:tblPrEx>
                              <w:trPr>
                                <w:trHeight w:hRule="exact" w:val="192"/>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KOZAK J. </w:t>
                                  </w:r>
                                  <w:r>
                                    <w:rPr>
                                      <w:sz w:val="18"/>
                                      <w:szCs w:val="18"/>
                                    </w:rPr>
                                    <w:t>B.: Věda a duch. 16X12 cm, 322 Str.</w:t>
                                  </w:r>
                                </w:p>
                              </w:tc>
                              <w:tc>
                                <w:tcPr>
                                  <w:tcW w:w="461"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33.—</w:t>
                                  </w:r>
                                </w:p>
                              </w:tc>
                            </w:tr>
                            <w:tr w:rsidR="00500724">
                              <w:tblPrEx>
                                <w:tblCellMar>
                                  <w:top w:w="0" w:type="dxa"/>
                                  <w:bottom w:w="0" w:type="dxa"/>
                                </w:tblCellMar>
                              </w:tblPrEx>
                              <w:trPr>
                                <w:trHeight w:hRule="exact" w:val="173"/>
                              </w:trPr>
                              <w:tc>
                                <w:tcPr>
                                  <w:tcW w:w="3408" w:type="dxa"/>
                                  <w:shd w:val="clear" w:color="auto" w:fill="FFFFFF"/>
                                </w:tcPr>
                                <w:p w:rsidR="00500724" w:rsidRDefault="00500724">
                                  <w:pPr>
                                    <w:rPr>
                                      <w:sz w:val="10"/>
                                      <w:szCs w:val="10"/>
                                    </w:rPr>
                                  </w:pP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rPr>
                                      <w:sz w:val="18"/>
                                      <w:szCs w:val="18"/>
                                    </w:rPr>
                                  </w:pPr>
                                  <w:r>
                                    <w:rPr>
                                      <w:sz w:val="18"/>
                                      <w:szCs w:val="18"/>
                                    </w:rPr>
                                    <w:t>48.—</w:t>
                                  </w:r>
                                </w:p>
                              </w:tc>
                            </w:tr>
                            <w:tr w:rsidR="00500724">
                              <w:tblPrEx>
                                <w:tblCellMar>
                                  <w:top w:w="0" w:type="dxa"/>
                                  <w:bottom w:w="0" w:type="dxa"/>
                                </w:tblCellMar>
                              </w:tblPrEx>
                              <w:trPr>
                                <w:trHeight w:hRule="exact" w:val="173"/>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MILER </w:t>
                                  </w:r>
                                  <w:r>
                                    <w:rPr>
                                      <w:sz w:val="18"/>
                                      <w:szCs w:val="18"/>
                                    </w:rPr>
                                    <w:t xml:space="preserve">Josef JUDr.: Nové </w:t>
                                  </w:r>
                                  <w:r>
                                    <w:rPr>
                                      <w:sz w:val="18"/>
                                      <w:szCs w:val="18"/>
                                    </w:rPr>
                                    <w:t>selské právo ně</w:t>
                                  </w:r>
                                  <w:r>
                                    <w:rPr>
                                      <w:sz w:val="18"/>
                                      <w:szCs w:val="18"/>
                                    </w:rPr>
                                    <w:softHyphen/>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68"/>
                              </w:trPr>
                              <w:tc>
                                <w:tcPr>
                                  <w:tcW w:w="3408" w:type="dxa"/>
                                  <w:shd w:val="clear" w:color="auto" w:fill="FFFFFF"/>
                                  <w:vAlign w:val="bottom"/>
                                </w:tcPr>
                                <w:p w:rsidR="00500724" w:rsidRDefault="00F30FB8">
                                  <w:pPr>
                                    <w:pStyle w:val="Jin0"/>
                                    <w:shd w:val="clear" w:color="auto" w:fill="auto"/>
                                    <w:ind w:left="320" w:firstLine="0"/>
                                    <w:jc w:val="left"/>
                                    <w:rPr>
                                      <w:sz w:val="18"/>
                                      <w:szCs w:val="18"/>
                                    </w:rPr>
                                  </w:pPr>
                                  <w:r>
                                    <w:rPr>
                                      <w:sz w:val="18"/>
                                      <w:szCs w:val="18"/>
                                    </w:rPr>
                                    <w:t>mecké. II. doplněné vydáni. 21X13 cm,</w:t>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49"/>
                              </w:trPr>
                              <w:tc>
                                <w:tcPr>
                                  <w:tcW w:w="3408" w:type="dxa"/>
                                  <w:shd w:val="clear" w:color="auto" w:fill="FFFFFF"/>
                                  <w:vAlign w:val="bottom"/>
                                </w:tcPr>
                                <w:p w:rsidR="00500724" w:rsidRDefault="00F30FB8">
                                  <w:pPr>
                                    <w:pStyle w:val="Jin0"/>
                                    <w:shd w:val="clear" w:color="auto" w:fill="auto"/>
                                    <w:ind w:left="320" w:firstLine="0"/>
                                    <w:jc w:val="left"/>
                                    <w:rPr>
                                      <w:sz w:val="18"/>
                                      <w:szCs w:val="18"/>
                                    </w:rPr>
                                  </w:pPr>
                                  <w:r>
                                    <w:rPr>
                                      <w:sz w:val="18"/>
                                      <w:szCs w:val="18"/>
                                    </w:rPr>
                                    <w:t>188 str.</w:t>
                                  </w:r>
                                </w:p>
                              </w:tc>
                              <w:tc>
                                <w:tcPr>
                                  <w:tcW w:w="461"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20.—</w:t>
                                  </w:r>
                                </w:p>
                              </w:tc>
                            </w:tr>
                            <w:tr w:rsidR="00500724">
                              <w:tblPrEx>
                                <w:tblCellMar>
                                  <w:top w:w="0" w:type="dxa"/>
                                  <w:bottom w:w="0" w:type="dxa"/>
                                </w:tblCellMar>
                              </w:tblPrEx>
                              <w:trPr>
                                <w:trHeight w:hRule="exact" w:val="163"/>
                              </w:trPr>
                              <w:tc>
                                <w:tcPr>
                                  <w:tcW w:w="3408" w:type="dxa"/>
                                  <w:shd w:val="clear" w:color="auto" w:fill="FFFFFF"/>
                                </w:tcPr>
                                <w:p w:rsidR="00500724" w:rsidRDefault="00500724">
                                  <w:pPr>
                                    <w:rPr>
                                      <w:sz w:val="10"/>
                                      <w:szCs w:val="10"/>
                                    </w:rPr>
                                  </w:pP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rPr>
                                      <w:sz w:val="18"/>
                                      <w:szCs w:val="18"/>
                                    </w:rPr>
                                  </w:pPr>
                                  <w:r>
                                    <w:rPr>
                                      <w:sz w:val="18"/>
                                      <w:szCs w:val="18"/>
                                    </w:rPr>
                                    <w:t>30.—</w:t>
                                  </w:r>
                                </w:p>
                              </w:tc>
                            </w:tr>
                            <w:tr w:rsidR="00500724">
                              <w:tblPrEx>
                                <w:tblCellMar>
                                  <w:top w:w="0" w:type="dxa"/>
                                  <w:bottom w:w="0" w:type="dxa"/>
                                </w:tblCellMar>
                              </w:tblPrEx>
                              <w:trPr>
                                <w:trHeight w:hRule="exact" w:val="173"/>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SCHMIDT Otto </w:t>
                                  </w:r>
                                  <w:r>
                                    <w:rPr>
                                      <w:sz w:val="18"/>
                                      <w:szCs w:val="18"/>
                                    </w:rPr>
                                    <w:t>dr.. Národy na rozcestí. Po</w:t>
                                  </w:r>
                                  <w:r>
                                    <w:rPr>
                                      <w:sz w:val="18"/>
                                      <w:szCs w:val="18"/>
                                    </w:rPr>
                                    <w:softHyphen/>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82"/>
                              </w:trPr>
                              <w:tc>
                                <w:tcPr>
                                  <w:tcW w:w="3408" w:type="dxa"/>
                                  <w:shd w:val="clear" w:color="auto" w:fill="FFFFFF"/>
                                </w:tcPr>
                                <w:p w:rsidR="00500724" w:rsidRDefault="00F30FB8">
                                  <w:pPr>
                                    <w:pStyle w:val="Jin0"/>
                                    <w:shd w:val="clear" w:color="auto" w:fill="auto"/>
                                    <w:ind w:left="180" w:firstLine="0"/>
                                    <w:jc w:val="left"/>
                                    <w:rPr>
                                      <w:sz w:val="18"/>
                                      <w:szCs w:val="18"/>
                                    </w:rPr>
                                  </w:pPr>
                                  <w:r>
                                    <w:rPr>
                                      <w:sz w:val="18"/>
                                      <w:szCs w:val="18"/>
                                    </w:rPr>
                                    <w:t>pulační studie. 20X14 cm, 248 stran</w:t>
                                  </w: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brož. 1</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pPr>
                                  <w:r>
                                    <w:rPr>
                                      <w:b/>
                                      <w:bCs/>
                                    </w:rPr>
                                    <w:t>85.—</w:t>
                                  </w:r>
                                </w:p>
                              </w:tc>
                            </w:tr>
                          </w:tbl>
                          <w:p w:rsidR="00000000" w:rsidRDefault="00F30FB8"/>
                        </w:txbxContent>
                      </wps:txbx>
                      <wps:bodyPr lIns="0" tIns="0" rIns="0" bIns="0">
                        <a:spAutoFit/>
                      </wps:bodyPr>
                    </wps:wsp>
                  </a:graphicData>
                </a:graphic>
              </wp:anchor>
            </w:drawing>
          </mc:Choice>
          <mc:Fallback>
            <w:pict>
              <v:shape id="Shape 589" o:spid="_x0000_s1320" type="#_x0000_t202" style="position:absolute;left:0;text-align:left;margin-left:307.25pt;margin-top:164.15pt;width:224.65pt;height:105.6pt;z-index:125829966;visibility:visible;mso-wrap-style:square;mso-wrap-distance-left:289.55pt;mso-wrap-distance-top:54.95pt;mso-wrap-distance-right:9pt;mso-wrap-distance-bottom:2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3408"/>
                        <w:gridCol w:w="461"/>
                        <w:gridCol w:w="202"/>
                        <w:gridCol w:w="422"/>
                      </w:tblGrid>
                      <w:tr w:rsidR="00500724">
                        <w:tblPrEx>
                          <w:tblCellMar>
                            <w:top w:w="0" w:type="dxa"/>
                            <w:bottom w:w="0" w:type="dxa"/>
                          </w:tblCellMar>
                        </w:tblPrEx>
                        <w:trPr>
                          <w:trHeight w:hRule="exact" w:val="187"/>
                          <w:tblHeader/>
                        </w:trPr>
                        <w:tc>
                          <w:tcPr>
                            <w:tcW w:w="3408" w:type="dxa"/>
                            <w:shd w:val="clear" w:color="auto" w:fill="FFFFFF"/>
                          </w:tcPr>
                          <w:p w:rsidR="00500724" w:rsidRDefault="00F30FB8">
                            <w:pPr>
                              <w:pStyle w:val="Jin0"/>
                              <w:shd w:val="clear" w:color="auto" w:fill="auto"/>
                              <w:ind w:left="320" w:firstLine="0"/>
                              <w:jc w:val="left"/>
                              <w:rPr>
                                <w:sz w:val="18"/>
                                <w:szCs w:val="18"/>
                              </w:rPr>
                            </w:pPr>
                            <w:r>
                              <w:rPr>
                                <w:sz w:val="18"/>
                                <w:szCs w:val="18"/>
                              </w:rPr>
                              <w:t>169 str.</w:t>
                            </w: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rPr>
                                <w:sz w:val="18"/>
                                <w:szCs w:val="18"/>
                              </w:rPr>
                            </w:pPr>
                            <w:r>
                              <w:rPr>
                                <w:sz w:val="18"/>
                                <w:szCs w:val="18"/>
                              </w:rPr>
                              <w:t>15.—</w:t>
                            </w:r>
                          </w:p>
                        </w:tc>
                      </w:tr>
                      <w:tr w:rsidR="00500724">
                        <w:tblPrEx>
                          <w:tblCellMar>
                            <w:top w:w="0" w:type="dxa"/>
                            <w:bottom w:w="0" w:type="dxa"/>
                          </w:tblCellMar>
                        </w:tblPrEx>
                        <w:trPr>
                          <w:trHeight w:hRule="exact" w:val="197"/>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CROCE Benedetto: </w:t>
                            </w:r>
                            <w:r>
                              <w:rPr>
                                <w:sz w:val="18"/>
                                <w:szCs w:val="18"/>
                              </w:rPr>
                              <w:t>Evropa v 19. století.</w:t>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68"/>
                        </w:trPr>
                        <w:tc>
                          <w:tcPr>
                            <w:tcW w:w="3408" w:type="dxa"/>
                            <w:shd w:val="clear" w:color="auto" w:fill="FFFFFF"/>
                            <w:vAlign w:val="bottom"/>
                          </w:tcPr>
                          <w:p w:rsidR="00500724" w:rsidRDefault="00F30FB8">
                            <w:pPr>
                              <w:pStyle w:val="Jin0"/>
                              <w:shd w:val="clear" w:color="auto" w:fill="auto"/>
                              <w:ind w:left="320" w:firstLine="0"/>
                              <w:jc w:val="left"/>
                              <w:rPr>
                                <w:sz w:val="18"/>
                                <w:szCs w:val="18"/>
                              </w:rPr>
                            </w:pPr>
                            <w:r>
                              <w:rPr>
                                <w:sz w:val="18"/>
                                <w:szCs w:val="18"/>
                              </w:rPr>
                              <w:t>22.5X15 cm. 345 str.</w:t>
                            </w:r>
                          </w:p>
                        </w:tc>
                        <w:tc>
                          <w:tcPr>
                            <w:tcW w:w="461"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48.—</w:t>
                            </w:r>
                          </w:p>
                        </w:tc>
                      </w:tr>
                      <w:tr w:rsidR="00500724">
                        <w:tblPrEx>
                          <w:tblCellMar>
                            <w:top w:w="0" w:type="dxa"/>
                            <w:bottom w:w="0" w:type="dxa"/>
                          </w:tblCellMar>
                        </w:tblPrEx>
                        <w:trPr>
                          <w:trHeight w:hRule="exact" w:val="187"/>
                        </w:trPr>
                        <w:tc>
                          <w:tcPr>
                            <w:tcW w:w="3408" w:type="dxa"/>
                            <w:shd w:val="clear" w:color="auto" w:fill="FFFFFF"/>
                          </w:tcPr>
                          <w:p w:rsidR="00500724" w:rsidRDefault="00500724">
                            <w:pPr>
                              <w:rPr>
                                <w:sz w:val="10"/>
                                <w:szCs w:val="10"/>
                              </w:rPr>
                            </w:pP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66.—</w:t>
                            </w:r>
                          </w:p>
                        </w:tc>
                      </w:tr>
                      <w:tr w:rsidR="00500724">
                        <w:tblPrEx>
                          <w:tblCellMar>
                            <w:top w:w="0" w:type="dxa"/>
                            <w:bottom w:w="0" w:type="dxa"/>
                          </w:tblCellMar>
                        </w:tblPrEx>
                        <w:trPr>
                          <w:trHeight w:hRule="exact" w:val="192"/>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KOZAK J. </w:t>
                            </w:r>
                            <w:r>
                              <w:rPr>
                                <w:sz w:val="18"/>
                                <w:szCs w:val="18"/>
                              </w:rPr>
                              <w:t>B.: Věda a duch. 16X12 cm, 322 Str.</w:t>
                            </w:r>
                          </w:p>
                        </w:tc>
                        <w:tc>
                          <w:tcPr>
                            <w:tcW w:w="461"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33.—</w:t>
                            </w:r>
                          </w:p>
                        </w:tc>
                      </w:tr>
                      <w:tr w:rsidR="00500724">
                        <w:tblPrEx>
                          <w:tblCellMar>
                            <w:top w:w="0" w:type="dxa"/>
                            <w:bottom w:w="0" w:type="dxa"/>
                          </w:tblCellMar>
                        </w:tblPrEx>
                        <w:trPr>
                          <w:trHeight w:hRule="exact" w:val="173"/>
                        </w:trPr>
                        <w:tc>
                          <w:tcPr>
                            <w:tcW w:w="3408" w:type="dxa"/>
                            <w:shd w:val="clear" w:color="auto" w:fill="FFFFFF"/>
                          </w:tcPr>
                          <w:p w:rsidR="00500724" w:rsidRDefault="00500724">
                            <w:pPr>
                              <w:rPr>
                                <w:sz w:val="10"/>
                                <w:szCs w:val="10"/>
                              </w:rPr>
                            </w:pP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rPr>
                                <w:sz w:val="18"/>
                                <w:szCs w:val="18"/>
                              </w:rPr>
                            </w:pPr>
                            <w:r>
                              <w:rPr>
                                <w:sz w:val="18"/>
                                <w:szCs w:val="18"/>
                              </w:rPr>
                              <w:t>48.—</w:t>
                            </w:r>
                          </w:p>
                        </w:tc>
                      </w:tr>
                      <w:tr w:rsidR="00500724">
                        <w:tblPrEx>
                          <w:tblCellMar>
                            <w:top w:w="0" w:type="dxa"/>
                            <w:bottom w:w="0" w:type="dxa"/>
                          </w:tblCellMar>
                        </w:tblPrEx>
                        <w:trPr>
                          <w:trHeight w:hRule="exact" w:val="173"/>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MILER </w:t>
                            </w:r>
                            <w:r>
                              <w:rPr>
                                <w:sz w:val="18"/>
                                <w:szCs w:val="18"/>
                              </w:rPr>
                              <w:t xml:space="preserve">Josef JUDr.: Nové </w:t>
                            </w:r>
                            <w:r>
                              <w:rPr>
                                <w:sz w:val="18"/>
                                <w:szCs w:val="18"/>
                              </w:rPr>
                              <w:t>selské právo ně</w:t>
                            </w:r>
                            <w:r>
                              <w:rPr>
                                <w:sz w:val="18"/>
                                <w:szCs w:val="18"/>
                              </w:rPr>
                              <w:softHyphen/>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68"/>
                        </w:trPr>
                        <w:tc>
                          <w:tcPr>
                            <w:tcW w:w="3408" w:type="dxa"/>
                            <w:shd w:val="clear" w:color="auto" w:fill="FFFFFF"/>
                            <w:vAlign w:val="bottom"/>
                          </w:tcPr>
                          <w:p w:rsidR="00500724" w:rsidRDefault="00F30FB8">
                            <w:pPr>
                              <w:pStyle w:val="Jin0"/>
                              <w:shd w:val="clear" w:color="auto" w:fill="auto"/>
                              <w:ind w:left="320" w:firstLine="0"/>
                              <w:jc w:val="left"/>
                              <w:rPr>
                                <w:sz w:val="18"/>
                                <w:szCs w:val="18"/>
                              </w:rPr>
                            </w:pPr>
                            <w:r>
                              <w:rPr>
                                <w:sz w:val="18"/>
                                <w:szCs w:val="18"/>
                              </w:rPr>
                              <w:t>mecké. II. doplněné vydáni. 21X13 cm,</w:t>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49"/>
                        </w:trPr>
                        <w:tc>
                          <w:tcPr>
                            <w:tcW w:w="3408" w:type="dxa"/>
                            <w:shd w:val="clear" w:color="auto" w:fill="FFFFFF"/>
                            <w:vAlign w:val="bottom"/>
                          </w:tcPr>
                          <w:p w:rsidR="00500724" w:rsidRDefault="00F30FB8">
                            <w:pPr>
                              <w:pStyle w:val="Jin0"/>
                              <w:shd w:val="clear" w:color="auto" w:fill="auto"/>
                              <w:ind w:left="320" w:firstLine="0"/>
                              <w:jc w:val="left"/>
                              <w:rPr>
                                <w:sz w:val="18"/>
                                <w:szCs w:val="18"/>
                              </w:rPr>
                            </w:pPr>
                            <w:r>
                              <w:rPr>
                                <w:sz w:val="18"/>
                                <w:szCs w:val="18"/>
                              </w:rPr>
                              <w:t>188 str.</w:t>
                            </w:r>
                          </w:p>
                        </w:tc>
                        <w:tc>
                          <w:tcPr>
                            <w:tcW w:w="461"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20.—</w:t>
                            </w:r>
                          </w:p>
                        </w:tc>
                      </w:tr>
                      <w:tr w:rsidR="00500724">
                        <w:tblPrEx>
                          <w:tblCellMar>
                            <w:top w:w="0" w:type="dxa"/>
                            <w:bottom w:w="0" w:type="dxa"/>
                          </w:tblCellMar>
                        </w:tblPrEx>
                        <w:trPr>
                          <w:trHeight w:hRule="exact" w:val="163"/>
                        </w:trPr>
                        <w:tc>
                          <w:tcPr>
                            <w:tcW w:w="3408" w:type="dxa"/>
                            <w:shd w:val="clear" w:color="auto" w:fill="FFFFFF"/>
                          </w:tcPr>
                          <w:p w:rsidR="00500724" w:rsidRDefault="00500724">
                            <w:pPr>
                              <w:rPr>
                                <w:sz w:val="10"/>
                                <w:szCs w:val="10"/>
                              </w:rPr>
                            </w:pP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rPr>
                                <w:sz w:val="18"/>
                                <w:szCs w:val="18"/>
                              </w:rPr>
                            </w:pPr>
                            <w:r>
                              <w:rPr>
                                <w:sz w:val="18"/>
                                <w:szCs w:val="18"/>
                              </w:rPr>
                              <w:t>30.—</w:t>
                            </w:r>
                          </w:p>
                        </w:tc>
                      </w:tr>
                      <w:tr w:rsidR="00500724">
                        <w:tblPrEx>
                          <w:tblCellMar>
                            <w:top w:w="0" w:type="dxa"/>
                            <w:bottom w:w="0" w:type="dxa"/>
                          </w:tblCellMar>
                        </w:tblPrEx>
                        <w:trPr>
                          <w:trHeight w:hRule="exact" w:val="173"/>
                        </w:trPr>
                        <w:tc>
                          <w:tcPr>
                            <w:tcW w:w="3408" w:type="dxa"/>
                            <w:shd w:val="clear" w:color="auto" w:fill="FFFFFF"/>
                            <w:vAlign w:val="bottom"/>
                          </w:tcPr>
                          <w:p w:rsidR="00500724" w:rsidRDefault="00F30FB8">
                            <w:pPr>
                              <w:pStyle w:val="Jin0"/>
                              <w:shd w:val="clear" w:color="auto" w:fill="auto"/>
                              <w:ind w:firstLine="0"/>
                              <w:jc w:val="left"/>
                              <w:rPr>
                                <w:sz w:val="18"/>
                                <w:szCs w:val="18"/>
                              </w:rPr>
                            </w:pPr>
                            <w:r>
                              <w:rPr>
                                <w:sz w:val="18"/>
                                <w:szCs w:val="18"/>
                                <w:lang w:val="en-US" w:eastAsia="en-US" w:bidi="en-US"/>
                              </w:rPr>
                              <w:t xml:space="preserve">SCHMIDT Otto </w:t>
                            </w:r>
                            <w:r>
                              <w:rPr>
                                <w:sz w:val="18"/>
                                <w:szCs w:val="18"/>
                              </w:rPr>
                              <w:t>dr.. Národy na rozcestí. Po</w:t>
                            </w:r>
                            <w:r>
                              <w:rPr>
                                <w:sz w:val="18"/>
                                <w:szCs w:val="18"/>
                              </w:rPr>
                              <w:softHyphen/>
                            </w:r>
                          </w:p>
                        </w:tc>
                        <w:tc>
                          <w:tcPr>
                            <w:tcW w:w="461" w:type="dxa"/>
                            <w:shd w:val="clear" w:color="auto" w:fill="FFFFFF"/>
                          </w:tcPr>
                          <w:p w:rsidR="00500724" w:rsidRDefault="00500724">
                            <w:pPr>
                              <w:rPr>
                                <w:sz w:val="10"/>
                                <w:szCs w:val="10"/>
                              </w:rPr>
                            </w:pPr>
                          </w:p>
                        </w:tc>
                        <w:tc>
                          <w:tcPr>
                            <w:tcW w:w="202" w:type="dxa"/>
                            <w:shd w:val="clear" w:color="auto" w:fill="FFFFFF"/>
                          </w:tcPr>
                          <w:p w:rsidR="00500724" w:rsidRDefault="00500724">
                            <w:pPr>
                              <w:rPr>
                                <w:sz w:val="10"/>
                                <w:szCs w:val="10"/>
                              </w:rPr>
                            </w:pPr>
                          </w:p>
                        </w:tc>
                        <w:tc>
                          <w:tcPr>
                            <w:tcW w:w="422" w:type="dxa"/>
                            <w:shd w:val="clear" w:color="auto" w:fill="FFFFFF"/>
                          </w:tcPr>
                          <w:p w:rsidR="00500724" w:rsidRDefault="00500724">
                            <w:pPr>
                              <w:rPr>
                                <w:sz w:val="10"/>
                                <w:szCs w:val="10"/>
                              </w:rPr>
                            </w:pPr>
                          </w:p>
                        </w:tc>
                      </w:tr>
                      <w:tr w:rsidR="00500724">
                        <w:tblPrEx>
                          <w:tblCellMar>
                            <w:top w:w="0" w:type="dxa"/>
                            <w:bottom w:w="0" w:type="dxa"/>
                          </w:tblCellMar>
                        </w:tblPrEx>
                        <w:trPr>
                          <w:trHeight w:hRule="exact" w:val="182"/>
                        </w:trPr>
                        <w:tc>
                          <w:tcPr>
                            <w:tcW w:w="3408" w:type="dxa"/>
                            <w:shd w:val="clear" w:color="auto" w:fill="FFFFFF"/>
                          </w:tcPr>
                          <w:p w:rsidR="00500724" w:rsidRDefault="00F30FB8">
                            <w:pPr>
                              <w:pStyle w:val="Jin0"/>
                              <w:shd w:val="clear" w:color="auto" w:fill="auto"/>
                              <w:ind w:left="180" w:firstLine="0"/>
                              <w:jc w:val="left"/>
                              <w:rPr>
                                <w:sz w:val="18"/>
                                <w:szCs w:val="18"/>
                              </w:rPr>
                            </w:pPr>
                            <w:r>
                              <w:rPr>
                                <w:sz w:val="18"/>
                                <w:szCs w:val="18"/>
                              </w:rPr>
                              <w:t>pulační studie. 20X14 cm, 248 stran</w:t>
                            </w:r>
                          </w:p>
                        </w:tc>
                        <w:tc>
                          <w:tcPr>
                            <w:tcW w:w="461" w:type="dxa"/>
                            <w:shd w:val="clear" w:color="auto" w:fill="FFFFFF"/>
                          </w:tcPr>
                          <w:p w:rsidR="00500724" w:rsidRDefault="00F30FB8">
                            <w:pPr>
                              <w:pStyle w:val="Jin0"/>
                              <w:shd w:val="clear" w:color="auto" w:fill="auto"/>
                              <w:ind w:firstLine="0"/>
                              <w:jc w:val="right"/>
                              <w:rPr>
                                <w:sz w:val="18"/>
                                <w:szCs w:val="18"/>
                              </w:rPr>
                            </w:pPr>
                            <w:r>
                              <w:rPr>
                                <w:sz w:val="18"/>
                                <w:szCs w:val="18"/>
                              </w:rPr>
                              <w:t>brož. 1</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22" w:type="dxa"/>
                            <w:shd w:val="clear" w:color="auto" w:fill="FFFFFF"/>
                          </w:tcPr>
                          <w:p w:rsidR="00500724" w:rsidRDefault="00F30FB8">
                            <w:pPr>
                              <w:pStyle w:val="Jin0"/>
                              <w:shd w:val="clear" w:color="auto" w:fill="auto"/>
                              <w:ind w:firstLine="0"/>
                              <w:jc w:val="left"/>
                            </w:pPr>
                            <w:r>
                              <w:rPr>
                                <w:b/>
                                <w:bCs/>
                              </w:rPr>
                              <w:t>85.—</w:t>
                            </w:r>
                          </w:p>
                        </w:tc>
                      </w:tr>
                    </w:tbl>
                    <w:p w:rsidR="00000000" w:rsidRDefault="00F30FB8"/>
                  </w:txbxContent>
                </v:textbox>
                <w10:wrap type="topAndBottom" anchorx="page" anchory="margin"/>
              </v:shape>
            </w:pict>
          </mc:Fallback>
        </mc:AlternateContent>
      </w:r>
      <w:r>
        <w:rPr>
          <w:noProof/>
        </w:rPr>
        <mc:AlternateContent>
          <mc:Choice Requires="wps">
            <w:drawing>
              <wp:anchor distT="0" distB="0" distL="0" distR="0" simplePos="0" relativeHeight="125829968" behindDoc="0" locked="0" layoutInCell="1" allowOverlap="1">
                <wp:simplePos x="0" y="0"/>
                <wp:positionH relativeFrom="page">
                  <wp:posOffset>3877945</wp:posOffset>
                </wp:positionH>
                <wp:positionV relativeFrom="margin">
                  <wp:posOffset>1938655</wp:posOffset>
                </wp:positionV>
                <wp:extent cx="2221865" cy="146050"/>
                <wp:effectExtent l="0" t="0" r="0" b="0"/>
                <wp:wrapTopAndBottom/>
                <wp:docPr id="591" name="Shape 591"/>
                <wp:cNvGraphicFramePr/>
                <a:graphic xmlns:a="http://schemas.openxmlformats.org/drawingml/2006/main">
                  <a:graphicData uri="http://schemas.microsoft.com/office/word/2010/wordprocessingShape">
                    <wps:wsp>
                      <wps:cNvSpPr txBox="1"/>
                      <wps:spPr>
                        <a:xfrm>
                          <a:off x="0" y="0"/>
                          <a:ext cx="2221865" cy="146050"/>
                        </a:xfrm>
                        <a:prstGeom prst="rect">
                          <a:avLst/>
                        </a:prstGeom>
                        <a:noFill/>
                      </wps:spPr>
                      <wps:txbx>
                        <w:txbxContent>
                          <w:p w:rsidR="00500724" w:rsidRDefault="00F30FB8">
                            <w:pPr>
                              <w:pStyle w:val="Titulektabulky0"/>
                              <w:shd w:val="clear" w:color="auto" w:fill="auto"/>
                              <w:jc w:val="left"/>
                              <w:rPr>
                                <w:sz w:val="18"/>
                                <w:szCs w:val="18"/>
                              </w:rPr>
                            </w:pPr>
                            <w:r>
                              <w:rPr>
                                <w:b w:val="0"/>
                                <w:bCs w:val="0"/>
                                <w:sz w:val="18"/>
                                <w:szCs w:val="18"/>
                                <w:lang w:val="en-US" w:eastAsia="en-US" w:bidi="en-US"/>
                              </w:rPr>
                              <w:t xml:space="preserve">BELLOC </w:t>
                            </w:r>
                            <w:r>
                              <w:rPr>
                                <w:b w:val="0"/>
                                <w:bCs w:val="0"/>
                                <w:sz w:val="18"/>
                                <w:szCs w:val="18"/>
                              </w:rPr>
                              <w:t>Hllarius: Otrocký stát. 16X12 cm,</w:t>
                            </w:r>
                          </w:p>
                        </w:txbxContent>
                      </wps:txbx>
                      <wps:bodyPr lIns="0" tIns="0" rIns="0" bIns="0">
                        <a:spAutoFit/>
                      </wps:bodyPr>
                    </wps:wsp>
                  </a:graphicData>
                </a:graphic>
              </wp:anchor>
            </w:drawing>
          </mc:Choice>
          <mc:Fallback>
            <w:pict>
              <v:shape id="_x0000_s1617" type="#_x0000_t202" style="position:absolute;margin-left:305.35000000000002pt;margin-top:152.65000000000001pt;width:174.94999999999999pt;height:11.5pt;z-index:-125828785;mso-wrap-distance-left:0;mso-wrap-distance-right:0;mso-position-horizontal-relative:page;mso-position-vertical-relative:margin" filled="f" stroked="f">
                <v:textbox style="mso-fit-shape-to-text:t" inset="0,0,0,0">
                  <w:txbxContent>
                    <w:p>
                      <w:pPr>
                        <w:pStyle w:val="Style206"/>
                        <w:keepNext w:val="0"/>
                        <w:keepLines w:val="0"/>
                        <w:widowControl w:val="0"/>
                        <w:shd w:val="clear" w:color="auto" w:fill="auto"/>
                        <w:bidi w:val="0"/>
                        <w:spacing w:before="0" w:after="0" w:line="240" w:lineRule="auto"/>
                        <w:ind w:left="0" w:right="0" w:firstLine="0"/>
                        <w:jc w:val="left"/>
                        <w:rPr>
                          <w:sz w:val="18"/>
                          <w:szCs w:val="18"/>
                        </w:rPr>
                      </w:pPr>
                      <w:r>
                        <w:rPr>
                          <w:b w:val="0"/>
                          <w:bCs w:val="0"/>
                          <w:color w:val="000000"/>
                          <w:spacing w:val="0"/>
                          <w:w w:val="100"/>
                          <w:position w:val="0"/>
                          <w:sz w:val="18"/>
                          <w:szCs w:val="18"/>
                          <w:shd w:val="clear" w:color="auto" w:fill="auto"/>
                          <w:lang w:val="en-US" w:eastAsia="en-US" w:bidi="en-US"/>
                        </w:rPr>
                        <w:t xml:space="preserve">BELLOC </w:t>
                      </w:r>
                      <w:r>
                        <w:rPr>
                          <w:b w:val="0"/>
                          <w:bCs w:val="0"/>
                          <w:color w:val="000000"/>
                          <w:spacing w:val="0"/>
                          <w:w w:val="100"/>
                          <w:position w:val="0"/>
                          <w:sz w:val="18"/>
                          <w:szCs w:val="18"/>
                          <w:shd w:val="clear" w:color="auto" w:fill="auto"/>
                          <w:lang w:val="cs-CZ" w:eastAsia="cs-CZ" w:bidi="cs-CZ"/>
                        </w:rPr>
                        <w:t>Hllarius: Otrocký stát. 16X12 cm,</w:t>
                      </w:r>
                    </w:p>
                  </w:txbxContent>
                </v:textbox>
                <w10:wrap type="topAndBottom" anchorx="page" anchory="margin"/>
              </v:shape>
            </w:pict>
          </mc:Fallback>
        </mc:AlternateContent>
      </w:r>
      <w:r>
        <w:rPr>
          <w:noProof/>
        </w:rPr>
        <mc:AlternateContent>
          <mc:Choice Requires="wps">
            <w:drawing>
              <wp:anchor distT="0" distB="0" distL="0" distR="0" simplePos="0" relativeHeight="125829970" behindDoc="0" locked="0" layoutInCell="1" allowOverlap="1">
                <wp:simplePos x="0" y="0"/>
                <wp:positionH relativeFrom="page">
                  <wp:posOffset>3905250</wp:posOffset>
                </wp:positionH>
                <wp:positionV relativeFrom="margin">
                  <wp:posOffset>3437890</wp:posOffset>
                </wp:positionV>
                <wp:extent cx="2843530" cy="304800"/>
                <wp:effectExtent l="0" t="0" r="0" b="0"/>
                <wp:wrapTopAndBottom/>
                <wp:docPr id="593" name="Shape 593"/>
                <wp:cNvGraphicFramePr/>
                <a:graphic xmlns:a="http://schemas.openxmlformats.org/drawingml/2006/main">
                  <a:graphicData uri="http://schemas.microsoft.com/office/word/2010/wordprocessingShape">
                    <wps:wsp>
                      <wps:cNvSpPr txBox="1"/>
                      <wps:spPr>
                        <a:xfrm>
                          <a:off x="0" y="0"/>
                          <a:ext cx="2843530" cy="304800"/>
                        </a:xfrm>
                        <a:prstGeom prst="rect">
                          <a:avLst/>
                        </a:prstGeom>
                        <a:noFill/>
                      </wps:spPr>
                      <wps:txbx>
                        <w:txbxContent>
                          <w:p w:rsidR="00500724" w:rsidRDefault="00F30FB8">
                            <w:pPr>
                              <w:pStyle w:val="Titulektabulky0"/>
                              <w:shd w:val="clear" w:color="auto" w:fill="auto"/>
                              <w:spacing w:line="173" w:lineRule="auto"/>
                              <w:ind w:right="1160"/>
                              <w:jc w:val="right"/>
                              <w:rPr>
                                <w:sz w:val="18"/>
                                <w:szCs w:val="18"/>
                              </w:rPr>
                            </w:pPr>
                            <w:r>
                              <w:rPr>
                                <w:b w:val="0"/>
                                <w:bCs w:val="0"/>
                                <w:sz w:val="18"/>
                                <w:szCs w:val="18"/>
                              </w:rPr>
                              <w:t xml:space="preserve">SVOBODA </w:t>
                            </w:r>
                            <w:r>
                              <w:rPr>
                                <w:b w:val="0"/>
                                <w:bCs w:val="0"/>
                                <w:sz w:val="18"/>
                                <w:szCs w:val="18"/>
                              </w:rPr>
                              <w:t>Emil dr., Výbor prací z práva ob</w:t>
                            </w:r>
                            <w:r>
                              <w:rPr>
                                <w:b w:val="0"/>
                                <w:bCs w:val="0"/>
                                <w:sz w:val="18"/>
                                <w:szCs w:val="18"/>
                              </w:rPr>
                              <w:softHyphen/>
                              <w:t>čanského a z právní filosofie. 24x17 cm,</w:t>
                            </w:r>
                          </w:p>
                          <w:p w:rsidR="00500724" w:rsidRDefault="00F30FB8">
                            <w:pPr>
                              <w:pStyle w:val="Titulektabulky0"/>
                              <w:shd w:val="clear" w:color="auto" w:fill="auto"/>
                              <w:tabs>
                                <w:tab w:val="left" w:pos="3376"/>
                              </w:tabs>
                              <w:spacing w:line="173" w:lineRule="auto"/>
                              <w:ind w:left="160"/>
                              <w:rPr>
                                <w:sz w:val="18"/>
                                <w:szCs w:val="18"/>
                              </w:rPr>
                            </w:pPr>
                            <w:r>
                              <w:rPr>
                                <w:b w:val="0"/>
                                <w:bCs w:val="0"/>
                                <w:sz w:val="18"/>
                                <w:szCs w:val="18"/>
                              </w:rPr>
                              <w:t>312 stran</w:t>
                            </w:r>
                            <w:r>
                              <w:rPr>
                                <w:b w:val="0"/>
                                <w:bCs w:val="0"/>
                                <w:sz w:val="18"/>
                                <w:szCs w:val="18"/>
                              </w:rPr>
                              <w:tab/>
                              <w:t>váz. K 100.—</w:t>
                            </w:r>
                          </w:p>
                        </w:txbxContent>
                      </wps:txbx>
                      <wps:bodyPr lIns="0" tIns="0" rIns="0" bIns="0">
                        <a:spAutoFit/>
                      </wps:bodyPr>
                    </wps:wsp>
                  </a:graphicData>
                </a:graphic>
              </wp:anchor>
            </w:drawing>
          </mc:Choice>
          <mc:Fallback>
            <w:pict>
              <v:shape id="_x0000_s1619" type="#_x0000_t202" style="position:absolute;margin-left:307.5pt;margin-top:270.69999999999999pt;width:223.90000000000001pt;height:24.pt;z-index:-125828783;mso-wrap-distance-left:0;mso-wrap-distance-right:0;mso-position-horizontal-relative:page;mso-position-vertical-relative:margin" filled="f" stroked="f">
                <v:textbox style="mso-fit-shape-to-text:t" inset="0,0,0,0">
                  <w:txbxContent>
                    <w:p>
                      <w:pPr>
                        <w:pStyle w:val="Style206"/>
                        <w:keepNext w:val="0"/>
                        <w:keepLines w:val="0"/>
                        <w:widowControl w:val="0"/>
                        <w:shd w:val="clear" w:color="auto" w:fill="auto"/>
                        <w:bidi w:val="0"/>
                        <w:spacing w:before="0" w:after="0" w:line="173" w:lineRule="auto"/>
                        <w:ind w:left="0" w:right="1160" w:firstLine="0"/>
                        <w:jc w:val="right"/>
                        <w:rPr>
                          <w:sz w:val="18"/>
                          <w:szCs w:val="18"/>
                        </w:rPr>
                      </w:pPr>
                      <w:r>
                        <w:rPr>
                          <w:b w:val="0"/>
                          <w:bCs w:val="0"/>
                          <w:color w:val="000000"/>
                          <w:spacing w:val="0"/>
                          <w:w w:val="100"/>
                          <w:position w:val="0"/>
                          <w:sz w:val="18"/>
                          <w:szCs w:val="18"/>
                          <w:shd w:val="clear" w:color="auto" w:fill="auto"/>
                          <w:lang w:val="cs-CZ" w:eastAsia="cs-CZ" w:bidi="cs-CZ"/>
                        </w:rPr>
                        <w:t>SVOBODA Emil dr., Výbor prací z práva ob</w:t>
                        <w:softHyphen/>
                        <w:t>čanského a z právní filosofie. 24x17 cm,</w:t>
                      </w:r>
                    </w:p>
                    <w:p>
                      <w:pPr>
                        <w:pStyle w:val="Style206"/>
                        <w:keepNext w:val="0"/>
                        <w:keepLines w:val="0"/>
                        <w:widowControl w:val="0"/>
                        <w:shd w:val="clear" w:color="auto" w:fill="auto"/>
                        <w:tabs>
                          <w:tab w:pos="3376" w:val="left"/>
                        </w:tabs>
                        <w:bidi w:val="0"/>
                        <w:spacing w:before="0" w:after="0" w:line="173" w:lineRule="auto"/>
                        <w:ind w:left="160" w:right="0" w:firstLine="0"/>
                        <w:rPr>
                          <w:sz w:val="18"/>
                          <w:szCs w:val="18"/>
                        </w:rPr>
                      </w:pPr>
                      <w:r>
                        <w:rPr>
                          <w:b w:val="0"/>
                          <w:bCs w:val="0"/>
                          <w:color w:val="000000"/>
                          <w:spacing w:val="0"/>
                          <w:w w:val="100"/>
                          <w:position w:val="0"/>
                          <w:sz w:val="18"/>
                          <w:szCs w:val="18"/>
                          <w:shd w:val="clear" w:color="auto" w:fill="auto"/>
                          <w:lang w:val="cs-CZ" w:eastAsia="cs-CZ" w:bidi="cs-CZ"/>
                        </w:rPr>
                        <w:t>312 stran</w:t>
                        <w:tab/>
                        <w:t>váz. K 100.—</w:t>
                      </w:r>
                    </w:p>
                  </w:txbxContent>
                </v:textbox>
                <w10:wrap type="topAndBottom" anchorx="page" anchory="margin"/>
              </v:shape>
            </w:pict>
          </mc:Fallback>
        </mc:AlternateContent>
      </w:r>
      <w:r>
        <w:rPr>
          <w:noProof/>
        </w:rPr>
        <mc:AlternateContent>
          <mc:Choice Requires="wps">
            <w:drawing>
              <wp:anchor distT="115570" distB="338455" distL="114300" distR="3412490" simplePos="0" relativeHeight="125829972" behindDoc="0" locked="0" layoutInCell="1" allowOverlap="1">
                <wp:simplePos x="0" y="0"/>
                <wp:positionH relativeFrom="page">
                  <wp:posOffset>454660</wp:posOffset>
                </wp:positionH>
                <wp:positionV relativeFrom="margin">
                  <wp:posOffset>3806825</wp:posOffset>
                </wp:positionV>
                <wp:extent cx="2999105" cy="2636520"/>
                <wp:effectExtent l="0" t="0" r="0" b="0"/>
                <wp:wrapTopAndBottom/>
                <wp:docPr id="595" name="Shape 595"/>
                <wp:cNvGraphicFramePr/>
                <a:graphic xmlns:a="http://schemas.openxmlformats.org/drawingml/2006/main">
                  <a:graphicData uri="http://schemas.microsoft.com/office/word/2010/wordprocessingShape">
                    <wps:wsp>
                      <wps:cNvSpPr txBox="1"/>
                      <wps:spPr>
                        <a:xfrm>
                          <a:off x="0" y="0"/>
                          <a:ext cx="2999105" cy="2636520"/>
                        </a:xfrm>
                        <a:prstGeom prst="rect">
                          <a:avLst/>
                        </a:prstGeom>
                        <a:noFill/>
                      </wps:spPr>
                      <wps:txbx>
                        <w:txbxContent>
                          <w:p w:rsidR="00500724" w:rsidRDefault="00F30FB8">
                            <w:pPr>
                              <w:pStyle w:val="Jin0"/>
                              <w:pBdr>
                                <w:top w:val="single" w:sz="4" w:space="0" w:color="auto"/>
                                <w:left w:val="single" w:sz="4" w:space="0" w:color="auto"/>
                                <w:bottom w:val="single" w:sz="4" w:space="0" w:color="auto"/>
                                <w:right w:val="single" w:sz="4" w:space="0" w:color="auto"/>
                              </w:pBdr>
                              <w:shd w:val="clear" w:color="auto" w:fill="auto"/>
                              <w:ind w:firstLine="0"/>
                              <w:jc w:val="center"/>
                              <w:rPr>
                                <w:sz w:val="13"/>
                                <w:szCs w:val="13"/>
                              </w:rPr>
                            </w:pPr>
                            <w:r>
                              <w:rPr>
                                <w:b/>
                                <w:bCs/>
                                <w:sz w:val="13"/>
                                <w:szCs w:val="13"/>
                              </w:rPr>
                              <w:t>OBUV PRO VYSSl NÁROKY</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20"/>
                              <w:pBdr>
                                <w:top w:val="single" w:sz="4" w:space="0" w:color="auto"/>
                                <w:left w:val="single" w:sz="4" w:space="0" w:color="auto"/>
                                <w:bottom w:val="single" w:sz="4" w:space="0" w:color="auto"/>
                                <w:right w:val="single" w:sz="4" w:space="0" w:color="auto"/>
                              </w:pBdr>
                              <w:shd w:val="clear" w:color="auto" w:fill="auto"/>
                              <w:spacing w:after="920" w:line="223" w:lineRule="auto"/>
                              <w:ind w:firstLine="0"/>
                              <w:jc w:val="left"/>
                              <w:rPr>
                                <w:sz w:val="12"/>
                                <w:szCs w:val="12"/>
                              </w:rPr>
                            </w:pPr>
                            <w:r>
                              <w:rPr>
                                <w:sz w:val="20"/>
                                <w:szCs w:val="20"/>
                              </w:rPr>
                              <w:t xml:space="preserve">PRAHA I., PŘÍKOPY 35, schodiště </w:t>
                            </w:r>
                            <w:r>
                              <w:rPr>
                                <w:rFonts w:ascii="Arial" w:eastAsia="Arial" w:hAnsi="Arial" w:cs="Arial"/>
                                <w:sz w:val="12"/>
                                <w:szCs w:val="12"/>
                              </w:rPr>
                              <w:t>A. Tet 815-28.</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460" w:line="535" w:lineRule="auto"/>
                              <w:ind w:firstLine="0"/>
                              <w:jc w:val="center"/>
                              <w:rPr>
                                <w:sz w:val="36"/>
                                <w:szCs w:val="36"/>
                              </w:rPr>
                            </w:pPr>
                            <w:r>
                              <w:rPr>
                                <w:sz w:val="36"/>
                                <w:szCs w:val="36"/>
                              </w:rPr>
                              <w:t>Prací a přičinlivostí</w:t>
                            </w:r>
                            <w:r>
                              <w:rPr>
                                <w:sz w:val="36"/>
                                <w:szCs w:val="36"/>
                              </w:rPr>
                              <w:br/>
                              <w:t>k blahobytu a k vývoji</w:t>
                            </w:r>
                            <w:r>
                              <w:rPr>
                                <w:sz w:val="36"/>
                                <w:szCs w:val="36"/>
                              </w:rPr>
                              <w:br/>
                              <w:t>vzdělanosti národa</w:t>
                            </w:r>
                          </w:p>
                        </w:txbxContent>
                      </wps:txbx>
                      <wps:bodyPr lIns="0" tIns="0" rIns="0" bIns="0">
                        <a:spAutoFit/>
                      </wps:bodyPr>
                    </wps:wsp>
                  </a:graphicData>
                </a:graphic>
              </wp:anchor>
            </w:drawing>
          </mc:Choice>
          <mc:Fallback>
            <w:pict>
              <v:shape id="_x0000_s1621" type="#_x0000_t202" style="position:absolute;margin-left:35.799999999999997pt;margin-top:299.75pt;width:236.15000000000001pt;height:207.59999999999999pt;z-index:-125828781;mso-wrap-distance-left:9.pt;mso-wrap-distance-top:9.0999999999999996pt;mso-wrap-distance-right:268.69999999999999pt;mso-wrap-distance-bottom:26.649999999999999pt;mso-position-horizontal-relative:page;mso-position-vertical-relative:margin" filled="f" stroked="f">
                <v:textbox style="mso-fit-shape-to-text:t" inset="0,0,0,0">
                  <w:txbxContent>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shd w:val="clear" w:color="auto" w:fill="auto"/>
                          <w:lang w:val="cs-CZ" w:eastAsia="cs-CZ" w:bidi="cs-CZ"/>
                        </w:rPr>
                        <w:t>OBUV PRO VYSSl NÁROKY</w:t>
                      </w:r>
                    </w:p>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92" w:lineRule="auto"/>
                        <w:ind w:left="0" w:right="0" w:firstLine="0"/>
                        <w:jc w:val="center"/>
                        <w:rPr>
                          <w:sz w:val="32"/>
                          <w:szCs w:val="32"/>
                        </w:rPr>
                      </w:pPr>
                      <w:r>
                        <w:rPr>
                          <w:rFonts w:ascii="Arial" w:eastAsia="Arial" w:hAnsi="Arial" w:cs="Arial"/>
                          <w:b/>
                          <w:bCs/>
                          <w:color w:val="000000"/>
                          <w:spacing w:val="0"/>
                          <w:w w:val="100"/>
                          <w:position w:val="0"/>
                          <w:sz w:val="32"/>
                          <w:szCs w:val="32"/>
                          <w:shd w:val="clear" w:color="auto" w:fill="auto"/>
                          <w:lang w:val="en-US" w:eastAsia="en-US" w:bidi="en-US"/>
                        </w:rPr>
                        <w:t xml:space="preserve">FERRY </w:t>
                      </w:r>
                      <w:r>
                        <w:rPr>
                          <w:rFonts w:ascii="Arial" w:eastAsia="Arial" w:hAnsi="Arial" w:cs="Arial"/>
                          <w:b/>
                          <w:bCs/>
                          <w:color w:val="000000"/>
                          <w:spacing w:val="0"/>
                          <w:w w:val="100"/>
                          <w:position w:val="0"/>
                          <w:sz w:val="32"/>
                          <w:szCs w:val="32"/>
                          <w:shd w:val="clear" w:color="auto" w:fill="auto"/>
                          <w:lang w:val="cs-CZ" w:eastAsia="cs-CZ" w:bidi="cs-CZ"/>
                        </w:rPr>
                        <w:t>GRAUMANN</w:t>
                      </w:r>
                    </w:p>
                    <w:p>
                      <w:pPr>
                        <w:pStyle w:val="Style6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920" w:line="223" w:lineRule="auto"/>
                        <w:ind w:left="0" w:right="0" w:firstLine="0"/>
                        <w:jc w:val="left"/>
                        <w:rPr>
                          <w:sz w:val="12"/>
                          <w:szCs w:val="12"/>
                        </w:rPr>
                      </w:pPr>
                      <w:r>
                        <w:rPr>
                          <w:color w:val="000000"/>
                          <w:spacing w:val="0"/>
                          <w:w w:val="100"/>
                          <w:position w:val="0"/>
                          <w:sz w:val="20"/>
                          <w:szCs w:val="20"/>
                          <w:shd w:val="clear" w:color="auto" w:fill="auto"/>
                          <w:lang w:val="cs-CZ" w:eastAsia="cs-CZ" w:bidi="cs-CZ"/>
                        </w:rPr>
                        <w:t xml:space="preserve">PRAHA I., PŘÍKOPY 35, schodiště </w:t>
                      </w:r>
                      <w:r>
                        <w:rPr>
                          <w:rFonts w:ascii="Arial" w:eastAsia="Arial" w:hAnsi="Arial" w:cs="Arial"/>
                          <w:color w:val="000000"/>
                          <w:spacing w:val="0"/>
                          <w:w w:val="100"/>
                          <w:position w:val="0"/>
                          <w:sz w:val="12"/>
                          <w:szCs w:val="12"/>
                          <w:shd w:val="clear" w:color="auto" w:fill="auto"/>
                          <w:lang w:val="cs-CZ" w:eastAsia="cs-CZ" w:bidi="cs-CZ"/>
                        </w:rPr>
                        <w:t>A. Tet 815-28.</w:t>
                      </w:r>
                    </w:p>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60" w:line="535" w:lineRule="auto"/>
                        <w:ind w:left="0" w:right="0" w:firstLine="0"/>
                        <w:jc w:val="center"/>
                        <w:rPr>
                          <w:sz w:val="36"/>
                          <w:szCs w:val="36"/>
                        </w:rPr>
                      </w:pPr>
                      <w:r>
                        <w:rPr>
                          <w:color w:val="000000"/>
                          <w:spacing w:val="0"/>
                          <w:w w:val="100"/>
                          <w:position w:val="0"/>
                          <w:sz w:val="36"/>
                          <w:szCs w:val="36"/>
                          <w:shd w:val="clear" w:color="auto" w:fill="auto"/>
                          <w:lang w:val="cs-CZ" w:eastAsia="cs-CZ" w:bidi="cs-CZ"/>
                        </w:rPr>
                        <w:t>Prací a přičinlivostí</w:t>
                        <w:br/>
                        <w:t>k blahobytu a k vývoji</w:t>
                        <w:br/>
                        <w:t>vzdělanosti národa</w:t>
                      </w:r>
                    </w:p>
                  </w:txbxContent>
                </v:textbox>
                <w10:wrap type="topAndBottom" anchorx="page" anchory="margin"/>
              </v:shape>
            </w:pict>
          </mc:Fallback>
        </mc:AlternateContent>
      </w:r>
      <w:r>
        <w:rPr>
          <w:noProof/>
        </w:rPr>
        <mc:AlternateContent>
          <mc:Choice Requires="wps">
            <w:drawing>
              <wp:anchor distT="63500" distB="1112520" distL="3564890" distR="793750" simplePos="0" relativeHeight="125829974" behindDoc="0" locked="0" layoutInCell="1" allowOverlap="1">
                <wp:simplePos x="0" y="0"/>
                <wp:positionH relativeFrom="page">
                  <wp:posOffset>3905250</wp:posOffset>
                </wp:positionH>
                <wp:positionV relativeFrom="margin">
                  <wp:posOffset>3755390</wp:posOffset>
                </wp:positionV>
                <wp:extent cx="2167255" cy="1913890"/>
                <wp:effectExtent l="0" t="0" r="0" b="0"/>
                <wp:wrapTopAndBottom/>
                <wp:docPr id="597" name="Shape 597"/>
                <wp:cNvGraphicFramePr/>
                <a:graphic xmlns:a="http://schemas.openxmlformats.org/drawingml/2006/main">
                  <a:graphicData uri="http://schemas.microsoft.com/office/word/2010/wordprocessingShape">
                    <wps:wsp>
                      <wps:cNvSpPr txBox="1"/>
                      <wps:spPr>
                        <a:xfrm>
                          <a:off x="0" y="0"/>
                          <a:ext cx="2167255" cy="1913890"/>
                        </a:xfrm>
                        <a:prstGeom prst="rect">
                          <a:avLst/>
                        </a:prstGeom>
                        <a:noFill/>
                      </wps:spPr>
                      <wps:txbx>
                        <w:txbxContent>
                          <w:p w:rsidR="00500724" w:rsidRDefault="00F30FB8">
                            <w:pPr>
                              <w:pStyle w:val="Zkladntext100"/>
                              <w:shd w:val="clear" w:color="auto" w:fill="auto"/>
                              <w:spacing w:after="140" w:line="185" w:lineRule="auto"/>
                              <w:ind w:left="320" w:hanging="320"/>
                            </w:pPr>
                            <w:r>
                              <w:t>SYNEK</w:t>
                            </w:r>
                            <w:r>
                              <w:t xml:space="preserve"> Emil: Barevné nebezpečí. 21X13 cm, 253 str.</w:t>
                            </w:r>
                          </w:p>
                          <w:p w:rsidR="00500724" w:rsidRDefault="00F30FB8">
                            <w:pPr>
                              <w:pStyle w:val="Zkladntext100"/>
                              <w:shd w:val="clear" w:color="auto" w:fill="auto"/>
                              <w:spacing w:line="194" w:lineRule="auto"/>
                              <w:ind w:left="320" w:hanging="320"/>
                              <w:jc w:val="left"/>
                            </w:pPr>
                            <w:r>
                              <w:t>TAWNEY R. H.: Výdělkářská společnost. 16X12 cm, 270 str.</w:t>
                            </w:r>
                          </w:p>
                          <w:p w:rsidR="00500724" w:rsidRDefault="00F30FB8">
                            <w:pPr>
                              <w:pStyle w:val="Zkladntext100"/>
                              <w:shd w:val="clear" w:color="auto" w:fill="auto"/>
                              <w:spacing w:after="200" w:line="194" w:lineRule="auto"/>
                              <w:ind w:left="320" w:hanging="320"/>
                              <w:jc w:val="left"/>
                            </w:pPr>
                            <w:r>
                              <w:t>PASCAL: Myšlenky. Přeložil Ant. Uhlíř. 16X12 cm, 557 str.</w:t>
                            </w:r>
                          </w:p>
                          <w:p w:rsidR="00500724" w:rsidRDefault="00F30FB8">
                            <w:pPr>
                              <w:pStyle w:val="Zkladntext100"/>
                              <w:shd w:val="clear" w:color="auto" w:fill="auto"/>
                              <w:spacing w:line="194" w:lineRule="auto"/>
                              <w:ind w:left="320" w:hanging="320"/>
                            </w:pPr>
                            <w:r>
                              <w:rPr>
                                <w:lang w:val="en-US" w:eastAsia="en-US" w:bidi="en-US"/>
                              </w:rPr>
                              <w:t xml:space="preserve">MACMILLAN </w:t>
                            </w:r>
                            <w:r>
                              <w:t xml:space="preserve">W. M.: </w:t>
                            </w:r>
                            <w:r>
                              <w:rPr>
                                <w:lang w:val="en-US" w:eastAsia="en-US" w:bidi="en-US"/>
                              </w:rPr>
                              <w:t>Warning from the West Indies. 18X11 cm, 184 str,</w:t>
                            </w:r>
                          </w:p>
                          <w:p w:rsidR="00500724" w:rsidRDefault="00F30FB8">
                            <w:pPr>
                              <w:pStyle w:val="Zkladntext100"/>
                              <w:shd w:val="clear" w:color="auto" w:fill="auto"/>
                              <w:spacing w:line="197" w:lineRule="auto"/>
                              <w:ind w:left="320" w:hanging="320"/>
                            </w:pPr>
                            <w:r>
                              <w:rPr>
                                <w:lang w:val="en-US" w:eastAsia="en-US" w:bidi="en-US"/>
                              </w:rPr>
                              <w:t xml:space="preserve">PRINGLE-RAJCHMANN: China straggles for unity. S </w:t>
                            </w:r>
                            <w:r>
                              <w:t xml:space="preserve">mapami. </w:t>
                            </w:r>
                            <w:r>
                              <w:rPr>
                                <w:lang w:val="en-US" w:eastAsia="en-US" w:bidi="en-US"/>
                              </w:rPr>
                              <w:t>18X11 cm, 182 str.</w:t>
                            </w:r>
                          </w:p>
                          <w:p w:rsidR="00500724" w:rsidRDefault="00F30FB8">
                            <w:pPr>
                              <w:pStyle w:val="Zkladntext100"/>
                              <w:shd w:val="clear" w:color="auto" w:fill="auto"/>
                              <w:spacing w:line="197" w:lineRule="auto"/>
                              <w:ind w:left="320" w:hanging="320"/>
                            </w:pPr>
                            <w:r>
                              <w:rPr>
                                <w:lang w:val="en-US" w:eastAsia="en-US" w:bidi="en-US"/>
                              </w:rPr>
                              <w:t xml:space="preserve">BIRCHER E. — CLAM C.: Krleg </w:t>
                            </w:r>
                            <w:r>
                              <w:t xml:space="preserve">ohne </w:t>
                            </w:r>
                            <w:r>
                              <w:rPr>
                                <w:lang w:val="en-US" w:eastAsia="en-US" w:bidi="en-US"/>
                              </w:rPr>
                              <w:t>Gnade. 24X18 cm, 250 str.</w:t>
                            </w:r>
                          </w:p>
                          <w:p w:rsidR="00500724" w:rsidRDefault="00F30FB8">
                            <w:pPr>
                              <w:pStyle w:val="Zkladntext100"/>
                              <w:shd w:val="clear" w:color="auto" w:fill="auto"/>
                              <w:spacing w:after="80" w:line="192" w:lineRule="auto"/>
                              <w:ind w:left="320" w:hanging="320"/>
                            </w:pPr>
                            <w:r>
                              <w:rPr>
                                <w:lang w:val="en-US" w:eastAsia="en-US" w:bidi="en-US"/>
                              </w:rPr>
                              <w:t xml:space="preserve">BLEY Wulf: Napoleon Bonaparte. Lebens- roman eines Genies. 21X18 cm, 357 str. s </w:t>
                            </w:r>
                            <w:r>
                              <w:t>obrazovou přílohou</w:t>
                            </w:r>
                          </w:p>
                        </w:txbxContent>
                      </wps:txbx>
                      <wps:bodyPr lIns="0" tIns="0" rIns="0" bIns="0">
                        <a:spAutoFit/>
                      </wps:bodyPr>
                    </wps:wsp>
                  </a:graphicData>
                </a:graphic>
              </wp:anchor>
            </w:drawing>
          </mc:Choice>
          <mc:Fallback>
            <w:pict>
              <v:shape id="_x0000_s1623" type="#_x0000_t202" style="position:absolute;margin-left:307.5pt;margin-top:295.69999999999999pt;width:170.65000000000001pt;height:150.69999999999999pt;z-index:-125828779;mso-wrap-distance-left:280.69999999999999pt;mso-wrap-distance-top:5.pt;mso-wrap-distance-right:62.5pt;mso-wrap-distance-bottom:87.599999999999994pt;mso-position-horizontal-relative:page;mso-position-vertical-relative:margin" filled="f" stroked="f">
                <v:textbox style="mso-fit-shape-to-text:t" inset="0,0,0,0">
                  <w:txbxContent>
                    <w:p>
                      <w:pPr>
                        <w:pStyle w:val="Style344"/>
                        <w:keepNext w:val="0"/>
                        <w:keepLines w:val="0"/>
                        <w:widowControl w:val="0"/>
                        <w:shd w:val="clear" w:color="auto" w:fill="auto"/>
                        <w:bidi w:val="0"/>
                        <w:spacing w:before="0" w:after="140" w:line="185" w:lineRule="auto"/>
                        <w:ind w:left="320" w:right="0" w:hanging="320"/>
                      </w:pPr>
                      <w:r>
                        <w:rPr>
                          <w:color w:val="000000"/>
                          <w:spacing w:val="0"/>
                          <w:w w:val="100"/>
                          <w:position w:val="0"/>
                          <w:sz w:val="18"/>
                          <w:szCs w:val="18"/>
                          <w:shd w:val="clear" w:color="auto" w:fill="auto"/>
                          <w:lang w:val="cs-CZ" w:eastAsia="cs-CZ" w:bidi="cs-CZ"/>
                        </w:rPr>
                        <w:t>SYNEK Emil: Barevné nebezpečí. 21X13 cm, 253 str.</w:t>
                      </w:r>
                    </w:p>
                    <w:p>
                      <w:pPr>
                        <w:pStyle w:val="Style344"/>
                        <w:keepNext w:val="0"/>
                        <w:keepLines w:val="0"/>
                        <w:widowControl w:val="0"/>
                        <w:shd w:val="clear" w:color="auto" w:fill="auto"/>
                        <w:bidi w:val="0"/>
                        <w:spacing w:before="0" w:after="0" w:line="194" w:lineRule="auto"/>
                        <w:ind w:left="320" w:right="0" w:hanging="320"/>
                        <w:jc w:val="left"/>
                      </w:pPr>
                      <w:r>
                        <w:rPr>
                          <w:color w:val="000000"/>
                          <w:spacing w:val="0"/>
                          <w:w w:val="100"/>
                          <w:position w:val="0"/>
                          <w:sz w:val="18"/>
                          <w:szCs w:val="18"/>
                          <w:shd w:val="clear" w:color="auto" w:fill="auto"/>
                          <w:lang w:val="cs-CZ" w:eastAsia="cs-CZ" w:bidi="cs-CZ"/>
                        </w:rPr>
                        <w:t>TAWNEY R. H.: Výdělkářská společnost. 16X12 cm, 270 str.</w:t>
                      </w:r>
                    </w:p>
                    <w:p>
                      <w:pPr>
                        <w:pStyle w:val="Style344"/>
                        <w:keepNext w:val="0"/>
                        <w:keepLines w:val="0"/>
                        <w:widowControl w:val="0"/>
                        <w:shd w:val="clear" w:color="auto" w:fill="auto"/>
                        <w:bidi w:val="0"/>
                        <w:spacing w:before="0" w:after="200" w:line="194" w:lineRule="auto"/>
                        <w:ind w:left="320" w:right="0" w:hanging="320"/>
                        <w:jc w:val="left"/>
                      </w:pPr>
                      <w:r>
                        <w:rPr>
                          <w:color w:val="000000"/>
                          <w:spacing w:val="0"/>
                          <w:w w:val="100"/>
                          <w:position w:val="0"/>
                          <w:sz w:val="18"/>
                          <w:szCs w:val="18"/>
                          <w:shd w:val="clear" w:color="auto" w:fill="auto"/>
                          <w:lang w:val="cs-CZ" w:eastAsia="cs-CZ" w:bidi="cs-CZ"/>
                        </w:rPr>
                        <w:t>PASCAL: Myšlenky. Přeložil Ant. Uhlíř. 16X12 cm, 557 str.</w:t>
                      </w:r>
                    </w:p>
                    <w:p>
                      <w:pPr>
                        <w:pStyle w:val="Style344"/>
                        <w:keepNext w:val="0"/>
                        <w:keepLines w:val="0"/>
                        <w:widowControl w:val="0"/>
                        <w:shd w:val="clear" w:color="auto" w:fill="auto"/>
                        <w:bidi w:val="0"/>
                        <w:spacing w:before="0" w:after="0" w:line="194" w:lineRule="auto"/>
                        <w:ind w:left="320" w:right="0" w:hanging="320"/>
                      </w:pPr>
                      <w:r>
                        <w:rPr>
                          <w:color w:val="000000"/>
                          <w:spacing w:val="0"/>
                          <w:w w:val="100"/>
                          <w:position w:val="0"/>
                          <w:sz w:val="18"/>
                          <w:szCs w:val="18"/>
                          <w:shd w:val="clear" w:color="auto" w:fill="auto"/>
                          <w:lang w:val="en-US" w:eastAsia="en-US" w:bidi="en-US"/>
                        </w:rPr>
                        <w:t xml:space="preserve">MACMILLAN </w:t>
                      </w:r>
                      <w:r>
                        <w:rPr>
                          <w:color w:val="000000"/>
                          <w:spacing w:val="0"/>
                          <w:w w:val="100"/>
                          <w:position w:val="0"/>
                          <w:sz w:val="18"/>
                          <w:szCs w:val="18"/>
                          <w:shd w:val="clear" w:color="auto" w:fill="auto"/>
                          <w:lang w:val="cs-CZ" w:eastAsia="cs-CZ" w:bidi="cs-CZ"/>
                        </w:rPr>
                        <w:t xml:space="preserve">W. M.: </w:t>
                      </w:r>
                      <w:r>
                        <w:rPr>
                          <w:color w:val="000000"/>
                          <w:spacing w:val="0"/>
                          <w:w w:val="100"/>
                          <w:position w:val="0"/>
                          <w:sz w:val="18"/>
                          <w:szCs w:val="18"/>
                          <w:shd w:val="clear" w:color="auto" w:fill="auto"/>
                          <w:lang w:val="en-US" w:eastAsia="en-US" w:bidi="en-US"/>
                        </w:rPr>
                        <w:t>Warning from the West Indies. 18X11 cm, 184 str,</w:t>
                      </w:r>
                    </w:p>
                    <w:p>
                      <w:pPr>
                        <w:pStyle w:val="Style344"/>
                        <w:keepNext w:val="0"/>
                        <w:keepLines w:val="0"/>
                        <w:widowControl w:val="0"/>
                        <w:shd w:val="clear" w:color="auto" w:fill="auto"/>
                        <w:bidi w:val="0"/>
                        <w:spacing w:before="0" w:after="0" w:line="197" w:lineRule="auto"/>
                        <w:ind w:left="320" w:right="0" w:hanging="320"/>
                      </w:pPr>
                      <w:r>
                        <w:rPr>
                          <w:color w:val="000000"/>
                          <w:spacing w:val="0"/>
                          <w:w w:val="100"/>
                          <w:position w:val="0"/>
                          <w:sz w:val="18"/>
                          <w:szCs w:val="18"/>
                          <w:shd w:val="clear" w:color="auto" w:fill="auto"/>
                          <w:lang w:val="en-US" w:eastAsia="en-US" w:bidi="en-US"/>
                        </w:rPr>
                        <w:t xml:space="preserve">PRINGLE-RAJCHMANN: China straggles for unity. S </w:t>
                      </w:r>
                      <w:r>
                        <w:rPr>
                          <w:color w:val="000000"/>
                          <w:spacing w:val="0"/>
                          <w:w w:val="100"/>
                          <w:position w:val="0"/>
                          <w:sz w:val="18"/>
                          <w:szCs w:val="18"/>
                          <w:shd w:val="clear" w:color="auto" w:fill="auto"/>
                          <w:lang w:val="cs-CZ" w:eastAsia="cs-CZ" w:bidi="cs-CZ"/>
                        </w:rPr>
                        <w:t xml:space="preserve">mapami. </w:t>
                      </w:r>
                      <w:r>
                        <w:rPr>
                          <w:color w:val="000000"/>
                          <w:spacing w:val="0"/>
                          <w:w w:val="100"/>
                          <w:position w:val="0"/>
                          <w:sz w:val="18"/>
                          <w:szCs w:val="18"/>
                          <w:shd w:val="clear" w:color="auto" w:fill="auto"/>
                          <w:lang w:val="en-US" w:eastAsia="en-US" w:bidi="en-US"/>
                        </w:rPr>
                        <w:t>18X11 cm, 182 str.</w:t>
                      </w:r>
                    </w:p>
                    <w:p>
                      <w:pPr>
                        <w:pStyle w:val="Style344"/>
                        <w:keepNext w:val="0"/>
                        <w:keepLines w:val="0"/>
                        <w:widowControl w:val="0"/>
                        <w:shd w:val="clear" w:color="auto" w:fill="auto"/>
                        <w:bidi w:val="0"/>
                        <w:spacing w:before="0" w:after="0" w:line="197" w:lineRule="auto"/>
                        <w:ind w:left="320" w:right="0" w:hanging="320"/>
                      </w:pPr>
                      <w:r>
                        <w:rPr>
                          <w:color w:val="000000"/>
                          <w:spacing w:val="0"/>
                          <w:w w:val="100"/>
                          <w:position w:val="0"/>
                          <w:sz w:val="18"/>
                          <w:szCs w:val="18"/>
                          <w:shd w:val="clear" w:color="auto" w:fill="auto"/>
                          <w:lang w:val="en-US" w:eastAsia="en-US" w:bidi="en-US"/>
                        </w:rPr>
                        <w:t xml:space="preserve">BIRCHER E. — CLAM C.: Krleg </w:t>
                      </w:r>
                      <w:r>
                        <w:rPr>
                          <w:color w:val="000000"/>
                          <w:spacing w:val="0"/>
                          <w:w w:val="100"/>
                          <w:position w:val="0"/>
                          <w:sz w:val="18"/>
                          <w:szCs w:val="18"/>
                          <w:shd w:val="clear" w:color="auto" w:fill="auto"/>
                          <w:lang w:val="cs-CZ" w:eastAsia="cs-CZ" w:bidi="cs-CZ"/>
                        </w:rPr>
                        <w:t xml:space="preserve">ohne </w:t>
                      </w:r>
                      <w:r>
                        <w:rPr>
                          <w:color w:val="000000"/>
                          <w:spacing w:val="0"/>
                          <w:w w:val="100"/>
                          <w:position w:val="0"/>
                          <w:sz w:val="18"/>
                          <w:szCs w:val="18"/>
                          <w:shd w:val="clear" w:color="auto" w:fill="auto"/>
                          <w:lang w:val="en-US" w:eastAsia="en-US" w:bidi="en-US"/>
                        </w:rPr>
                        <w:t>Gnade. 24X18 cm, 250 str.</w:t>
                      </w:r>
                    </w:p>
                    <w:p>
                      <w:pPr>
                        <w:pStyle w:val="Style344"/>
                        <w:keepNext w:val="0"/>
                        <w:keepLines w:val="0"/>
                        <w:widowControl w:val="0"/>
                        <w:shd w:val="clear" w:color="auto" w:fill="auto"/>
                        <w:bidi w:val="0"/>
                        <w:spacing w:before="0" w:after="80" w:line="192" w:lineRule="auto"/>
                        <w:ind w:left="320" w:right="0" w:hanging="320"/>
                      </w:pPr>
                      <w:r>
                        <w:rPr>
                          <w:color w:val="000000"/>
                          <w:spacing w:val="0"/>
                          <w:w w:val="100"/>
                          <w:position w:val="0"/>
                          <w:sz w:val="18"/>
                          <w:szCs w:val="18"/>
                          <w:shd w:val="clear" w:color="auto" w:fill="auto"/>
                          <w:lang w:val="en-US" w:eastAsia="en-US" w:bidi="en-US"/>
                        </w:rPr>
                        <w:t xml:space="preserve">BLEY Wulf: Napoleon Bonaparte. Lebens- roman eines Genies. 21X18 cm, 357 str. s </w:t>
                      </w:r>
                      <w:r>
                        <w:rPr>
                          <w:color w:val="000000"/>
                          <w:spacing w:val="0"/>
                          <w:w w:val="100"/>
                          <w:position w:val="0"/>
                          <w:sz w:val="18"/>
                          <w:szCs w:val="18"/>
                          <w:shd w:val="clear" w:color="auto" w:fill="auto"/>
                          <w:lang w:val="cs-CZ" w:eastAsia="cs-CZ" w:bidi="cs-CZ"/>
                        </w:rPr>
                        <w:t>obrazovou přílohou</w:t>
                      </w:r>
                    </w:p>
                  </w:txbxContent>
                </v:textbox>
                <w10:wrap type="topAndBottom" anchorx="page" anchory="margin"/>
              </v:shape>
            </w:pict>
          </mc:Fallback>
        </mc:AlternateContent>
      </w:r>
      <w:r>
        <w:rPr>
          <w:noProof/>
        </w:rPr>
        <mc:AlternateContent>
          <mc:Choice Requires="wps">
            <w:drawing>
              <wp:anchor distT="2038350" distB="560705" distL="4204970" distR="778510" simplePos="0" relativeHeight="125829976" behindDoc="0" locked="0" layoutInCell="1" allowOverlap="1">
                <wp:simplePos x="0" y="0"/>
                <wp:positionH relativeFrom="page">
                  <wp:posOffset>4545330</wp:posOffset>
                </wp:positionH>
                <wp:positionV relativeFrom="margin">
                  <wp:posOffset>5730240</wp:posOffset>
                </wp:positionV>
                <wp:extent cx="1542415" cy="490855"/>
                <wp:effectExtent l="0" t="0" r="0" b="0"/>
                <wp:wrapTopAndBottom/>
                <wp:docPr id="599" name="Shape 599"/>
                <wp:cNvGraphicFramePr/>
                <a:graphic xmlns:a="http://schemas.openxmlformats.org/drawingml/2006/main">
                  <a:graphicData uri="http://schemas.microsoft.com/office/word/2010/wordprocessingShape">
                    <wps:wsp>
                      <wps:cNvSpPr txBox="1"/>
                      <wps:spPr>
                        <a:xfrm>
                          <a:off x="0" y="0"/>
                          <a:ext cx="1542415" cy="490855"/>
                        </a:xfrm>
                        <a:prstGeom prst="rect">
                          <a:avLst/>
                        </a:prstGeom>
                        <a:noFill/>
                      </wps:spPr>
                      <wps:txbx>
                        <w:txbxContent>
                          <w:p w:rsidR="00500724" w:rsidRDefault="00F30FB8">
                            <w:pPr>
                              <w:pStyle w:val="Nadpis70"/>
                              <w:keepNext/>
                              <w:keepLines/>
                              <w:shd w:val="clear" w:color="auto" w:fill="auto"/>
                            </w:pPr>
                            <w:bookmarkStart w:id="588" w:name="bookmark584"/>
                            <w:r>
                              <w:rPr>
                                <w:rFonts w:ascii="Times New Roman" w:eastAsia="Times New Roman" w:hAnsi="Times New Roman" w:cs="Times New Roman"/>
                                <w:w w:val="100"/>
                                <w:lang w:val="en-US" w:eastAsia="en-US" w:bidi="en-US"/>
                              </w:rPr>
                              <w:t xml:space="preserve">F. </w:t>
                            </w:r>
                            <w:r>
                              <w:rPr>
                                <w:rFonts w:ascii="Times New Roman" w:eastAsia="Times New Roman" w:hAnsi="Times New Roman" w:cs="Times New Roman"/>
                                <w:w w:val="100"/>
                              </w:rPr>
                              <w:t>TOPIČ</w:t>
                            </w:r>
                            <w:bookmarkEnd w:id="588"/>
                          </w:p>
                        </w:txbxContent>
                      </wps:txbx>
                      <wps:bodyPr lIns="0" tIns="0" rIns="0" bIns="0">
                        <a:spAutoFit/>
                      </wps:bodyPr>
                    </wps:wsp>
                  </a:graphicData>
                </a:graphic>
              </wp:anchor>
            </w:drawing>
          </mc:Choice>
          <mc:Fallback>
            <w:pict>
              <v:shape id="_x0000_s1625" type="#_x0000_t202" style="position:absolute;margin-left:357.89999999999998pt;margin-top:451.19999999999999pt;width:121.45pt;height:38.649999999999999pt;z-index:-125828777;mso-wrap-distance-left:331.10000000000002pt;mso-wrap-distance-top:160.5pt;mso-wrap-distance-right:61.299999999999997pt;mso-wrap-distance-bottom:44.149999999999999pt;mso-position-horizontal-relative:page;mso-position-vertical-relative:margin" filled="f" stroked="f">
                <v:textbox style="mso-fit-shape-to-text:t" inset="0,0,0,0">
                  <w:txbxContent>
                    <w:p>
                      <w:pPr>
                        <w:pStyle w:val="Style85"/>
                        <w:keepNext/>
                        <w:keepLines/>
                        <w:widowControl w:val="0"/>
                        <w:shd w:val="clear" w:color="auto" w:fill="auto"/>
                        <w:bidi w:val="0"/>
                        <w:spacing w:before="0" w:after="0" w:line="240" w:lineRule="auto"/>
                        <w:ind w:left="0" w:right="0" w:firstLine="0"/>
                        <w:jc w:val="left"/>
                      </w:pPr>
                      <w:bookmarkStart w:id="584" w:name="bookmark584"/>
                      <w:r>
                        <w:rPr>
                          <w:rFonts w:ascii="Times New Roman" w:eastAsia="Times New Roman" w:hAnsi="Times New Roman" w:cs="Times New Roman"/>
                          <w:color w:val="000000"/>
                          <w:spacing w:val="0"/>
                          <w:w w:val="100"/>
                          <w:position w:val="0"/>
                          <w:shd w:val="clear" w:color="auto" w:fill="auto"/>
                          <w:lang w:val="en-US" w:eastAsia="en-US" w:bidi="en-US"/>
                        </w:rPr>
                        <w:t xml:space="preserve">F. </w:t>
                      </w:r>
                      <w:r>
                        <w:rPr>
                          <w:rFonts w:ascii="Times New Roman" w:eastAsia="Times New Roman" w:hAnsi="Times New Roman" w:cs="Times New Roman"/>
                          <w:color w:val="000000"/>
                          <w:spacing w:val="0"/>
                          <w:w w:val="100"/>
                          <w:position w:val="0"/>
                          <w:shd w:val="clear" w:color="auto" w:fill="auto"/>
                          <w:lang w:val="cs-CZ" w:eastAsia="cs-CZ" w:bidi="cs-CZ"/>
                        </w:rPr>
                        <w:t>TOPIČ</w:t>
                      </w:r>
                      <w:bookmarkEnd w:id="584"/>
                    </w:p>
                  </w:txbxContent>
                </v:textbox>
                <w10:wrap type="topAndBottom" anchorx="page" anchory="margin"/>
              </v:shape>
            </w:pict>
          </mc:Fallback>
        </mc:AlternateContent>
      </w:r>
      <w:r>
        <w:rPr>
          <w:noProof/>
        </w:rPr>
        <mc:AlternateContent>
          <mc:Choice Requires="wps">
            <w:drawing>
              <wp:anchor distT="163830" distB="1463040" distL="5761990" distR="114300" simplePos="0" relativeHeight="125829978" behindDoc="0" locked="0" layoutInCell="1" allowOverlap="1">
                <wp:simplePos x="0" y="0"/>
                <wp:positionH relativeFrom="page">
                  <wp:posOffset>6102985</wp:posOffset>
                </wp:positionH>
                <wp:positionV relativeFrom="margin">
                  <wp:posOffset>3855720</wp:posOffset>
                </wp:positionV>
                <wp:extent cx="648970" cy="1463040"/>
                <wp:effectExtent l="0" t="0" r="0" b="0"/>
                <wp:wrapTopAndBottom/>
                <wp:docPr id="601" name="Shape 601"/>
                <wp:cNvGraphicFramePr/>
                <a:graphic xmlns:a="http://schemas.openxmlformats.org/drawingml/2006/main">
                  <a:graphicData uri="http://schemas.microsoft.com/office/word/2010/wordprocessingShape">
                    <wps:wsp>
                      <wps:cNvSpPr txBox="1"/>
                      <wps:spPr>
                        <a:xfrm>
                          <a:off x="0" y="0"/>
                          <a:ext cx="648970" cy="146304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08"/>
                              <w:gridCol w:w="202"/>
                              <w:gridCol w:w="413"/>
                            </w:tblGrid>
                            <w:tr w:rsidR="00500724">
                              <w:tblPrEx>
                                <w:tblCellMar>
                                  <w:top w:w="0" w:type="dxa"/>
                                  <w:bottom w:w="0" w:type="dxa"/>
                                </w:tblCellMar>
                              </w:tblPrEx>
                              <w:trPr>
                                <w:trHeight w:hRule="exact" w:val="154"/>
                                <w:tblHeader/>
                              </w:trPr>
                              <w:tc>
                                <w:tcPr>
                                  <w:tcW w:w="40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25.—</w:t>
                                  </w:r>
                                </w:p>
                              </w:tc>
                            </w:tr>
                            <w:tr w:rsidR="00500724">
                              <w:tblPrEx>
                                <w:tblCellMar>
                                  <w:top w:w="0" w:type="dxa"/>
                                  <w:bottom w:w="0" w:type="dxa"/>
                                </w:tblCellMar>
                              </w:tblPrEx>
                              <w:trPr>
                                <w:trHeight w:hRule="exact" w:val="250"/>
                              </w:trPr>
                              <w:tc>
                                <w:tcPr>
                                  <w:tcW w:w="408" w:type="dxa"/>
                                  <w:shd w:val="clear" w:color="auto" w:fill="FFFFFF"/>
                                </w:tcPr>
                                <w:p w:rsidR="00500724" w:rsidRDefault="00F30FB8">
                                  <w:pPr>
                                    <w:pStyle w:val="Jin0"/>
                                    <w:shd w:val="clear" w:color="auto" w:fill="auto"/>
                                    <w:ind w:firstLine="0"/>
                                    <w:jc w:val="lef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tcPr>
                                <w:p w:rsidR="00500724" w:rsidRDefault="00F30FB8">
                                  <w:pPr>
                                    <w:pStyle w:val="Jin0"/>
                                    <w:shd w:val="clear" w:color="auto" w:fill="auto"/>
                                    <w:ind w:firstLine="0"/>
                                    <w:jc w:val="right"/>
                                    <w:rPr>
                                      <w:sz w:val="18"/>
                                      <w:szCs w:val="18"/>
                                    </w:rPr>
                                  </w:pPr>
                                  <w:r>
                                    <w:rPr>
                                      <w:sz w:val="18"/>
                                      <w:szCs w:val="18"/>
                                    </w:rPr>
                                    <w:t>35.—</w:t>
                                  </w:r>
                                </w:p>
                              </w:tc>
                            </w:tr>
                            <w:tr w:rsidR="00500724">
                              <w:tblPrEx>
                                <w:tblCellMar>
                                  <w:top w:w="0" w:type="dxa"/>
                                  <w:bottom w:w="0" w:type="dxa"/>
                                </w:tblCellMar>
                              </w:tblPrEx>
                              <w:trPr>
                                <w:trHeight w:hRule="exact" w:val="355"/>
                              </w:trPr>
                              <w:tc>
                                <w:tcPr>
                                  <w:tcW w:w="408"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center"/>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24.—</w:t>
                                  </w:r>
                                </w:p>
                              </w:tc>
                            </w:tr>
                            <w:tr w:rsidR="00500724">
                              <w:tblPrEx>
                                <w:tblCellMar>
                                  <w:top w:w="0" w:type="dxa"/>
                                  <w:bottom w:w="0" w:type="dxa"/>
                                </w:tblCellMar>
                              </w:tblPrEx>
                              <w:trPr>
                                <w:trHeight w:hRule="exact" w:val="274"/>
                              </w:trPr>
                              <w:tc>
                                <w:tcPr>
                                  <w:tcW w:w="40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55.—</w:t>
                                  </w:r>
                                </w:p>
                              </w:tc>
                            </w:tr>
                            <w:tr w:rsidR="00500724">
                              <w:tblPrEx>
                                <w:tblCellMar>
                                  <w:top w:w="0" w:type="dxa"/>
                                  <w:bottom w:w="0" w:type="dxa"/>
                                </w:tblCellMar>
                              </w:tblPrEx>
                              <w:trPr>
                                <w:trHeight w:hRule="exact" w:val="278"/>
                              </w:trPr>
                              <w:tc>
                                <w:tcPr>
                                  <w:tcW w:w="408" w:type="dxa"/>
                                  <w:shd w:val="clear" w:color="auto" w:fill="FFFFFF"/>
                                </w:tcPr>
                                <w:p w:rsidR="00500724" w:rsidRDefault="00F30FB8">
                                  <w:pPr>
                                    <w:pStyle w:val="Jin0"/>
                                    <w:shd w:val="clear" w:color="auto" w:fill="auto"/>
                                    <w:ind w:firstLine="0"/>
                                    <w:jc w:val="lef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tcPr>
                                <w:p w:rsidR="00500724" w:rsidRDefault="00F30FB8">
                                  <w:pPr>
                                    <w:pStyle w:val="Jin0"/>
                                    <w:shd w:val="clear" w:color="auto" w:fill="auto"/>
                                    <w:ind w:firstLine="0"/>
                                    <w:jc w:val="right"/>
                                    <w:rPr>
                                      <w:sz w:val="18"/>
                                      <w:szCs w:val="18"/>
                                    </w:rPr>
                                  </w:pPr>
                                  <w:r>
                                    <w:rPr>
                                      <w:sz w:val="18"/>
                                      <w:szCs w:val="18"/>
                                    </w:rPr>
                                    <w:t>70.—</w:t>
                                  </w:r>
                                </w:p>
                              </w:tc>
                            </w:tr>
                            <w:tr w:rsidR="00500724">
                              <w:tblPrEx>
                                <w:tblCellMar>
                                  <w:top w:w="0" w:type="dxa"/>
                                  <w:bottom w:w="0" w:type="dxa"/>
                                </w:tblCellMar>
                              </w:tblPrEx>
                              <w:trPr>
                                <w:trHeight w:hRule="exact" w:val="379"/>
                              </w:trPr>
                              <w:tc>
                                <w:tcPr>
                                  <w:tcW w:w="408"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center"/>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5.25</w:t>
                                  </w:r>
                                </w:p>
                              </w:tc>
                            </w:tr>
                            <w:tr w:rsidR="00500724">
                              <w:tblPrEx>
                                <w:tblCellMar>
                                  <w:top w:w="0" w:type="dxa"/>
                                  <w:bottom w:w="0" w:type="dxa"/>
                                </w:tblCellMar>
                              </w:tblPrEx>
                              <w:trPr>
                                <w:trHeight w:hRule="exact" w:val="360"/>
                              </w:trPr>
                              <w:tc>
                                <w:tcPr>
                                  <w:tcW w:w="408"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center"/>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5.25</w:t>
                                  </w:r>
                                </w:p>
                              </w:tc>
                            </w:tr>
                            <w:tr w:rsidR="00500724">
                              <w:tblPrEx>
                                <w:tblCellMar>
                                  <w:top w:w="0" w:type="dxa"/>
                                  <w:bottom w:w="0" w:type="dxa"/>
                                </w:tblCellMar>
                              </w:tblPrEx>
                              <w:trPr>
                                <w:trHeight w:hRule="exact" w:val="254"/>
                              </w:trPr>
                              <w:tc>
                                <w:tcPr>
                                  <w:tcW w:w="40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80.—</w:t>
                                  </w:r>
                                </w:p>
                              </w:tc>
                            </w:tr>
                          </w:tbl>
                          <w:p w:rsidR="00000000" w:rsidRDefault="00F30FB8"/>
                        </w:txbxContent>
                      </wps:txbx>
                      <wps:bodyPr lIns="0" tIns="0" rIns="0" bIns="0">
                        <a:spAutoFit/>
                      </wps:bodyPr>
                    </wps:wsp>
                  </a:graphicData>
                </a:graphic>
              </wp:anchor>
            </w:drawing>
          </mc:Choice>
          <mc:Fallback>
            <w:pict>
              <v:shape id="Shape 601" o:spid="_x0000_s1326" type="#_x0000_t202" style="position:absolute;left:0;text-align:left;margin-left:480.55pt;margin-top:303.6pt;width:51.1pt;height:115.2pt;z-index:125829978;visibility:visible;mso-wrap-style:square;mso-wrap-distance-left:453.7pt;mso-wrap-distance-top:12.9pt;mso-wrap-distance-right:9pt;mso-wrap-distance-bottom:115.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408"/>
                        <w:gridCol w:w="202"/>
                        <w:gridCol w:w="413"/>
                      </w:tblGrid>
                      <w:tr w:rsidR="00500724">
                        <w:tblPrEx>
                          <w:tblCellMar>
                            <w:top w:w="0" w:type="dxa"/>
                            <w:bottom w:w="0" w:type="dxa"/>
                          </w:tblCellMar>
                        </w:tblPrEx>
                        <w:trPr>
                          <w:trHeight w:hRule="exact" w:val="154"/>
                          <w:tblHeader/>
                        </w:trPr>
                        <w:tc>
                          <w:tcPr>
                            <w:tcW w:w="40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25.—</w:t>
                            </w:r>
                          </w:p>
                        </w:tc>
                      </w:tr>
                      <w:tr w:rsidR="00500724">
                        <w:tblPrEx>
                          <w:tblCellMar>
                            <w:top w:w="0" w:type="dxa"/>
                            <w:bottom w:w="0" w:type="dxa"/>
                          </w:tblCellMar>
                        </w:tblPrEx>
                        <w:trPr>
                          <w:trHeight w:hRule="exact" w:val="250"/>
                        </w:trPr>
                        <w:tc>
                          <w:tcPr>
                            <w:tcW w:w="408" w:type="dxa"/>
                            <w:shd w:val="clear" w:color="auto" w:fill="FFFFFF"/>
                          </w:tcPr>
                          <w:p w:rsidR="00500724" w:rsidRDefault="00F30FB8">
                            <w:pPr>
                              <w:pStyle w:val="Jin0"/>
                              <w:shd w:val="clear" w:color="auto" w:fill="auto"/>
                              <w:ind w:firstLine="0"/>
                              <w:jc w:val="lef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tcPr>
                          <w:p w:rsidR="00500724" w:rsidRDefault="00F30FB8">
                            <w:pPr>
                              <w:pStyle w:val="Jin0"/>
                              <w:shd w:val="clear" w:color="auto" w:fill="auto"/>
                              <w:ind w:firstLine="0"/>
                              <w:jc w:val="right"/>
                              <w:rPr>
                                <w:sz w:val="18"/>
                                <w:szCs w:val="18"/>
                              </w:rPr>
                            </w:pPr>
                            <w:r>
                              <w:rPr>
                                <w:sz w:val="18"/>
                                <w:szCs w:val="18"/>
                              </w:rPr>
                              <w:t>35.—</w:t>
                            </w:r>
                          </w:p>
                        </w:tc>
                      </w:tr>
                      <w:tr w:rsidR="00500724">
                        <w:tblPrEx>
                          <w:tblCellMar>
                            <w:top w:w="0" w:type="dxa"/>
                            <w:bottom w:w="0" w:type="dxa"/>
                          </w:tblCellMar>
                        </w:tblPrEx>
                        <w:trPr>
                          <w:trHeight w:hRule="exact" w:val="355"/>
                        </w:trPr>
                        <w:tc>
                          <w:tcPr>
                            <w:tcW w:w="408"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center"/>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24.—</w:t>
                            </w:r>
                          </w:p>
                        </w:tc>
                      </w:tr>
                      <w:tr w:rsidR="00500724">
                        <w:tblPrEx>
                          <w:tblCellMar>
                            <w:top w:w="0" w:type="dxa"/>
                            <w:bottom w:w="0" w:type="dxa"/>
                          </w:tblCellMar>
                        </w:tblPrEx>
                        <w:trPr>
                          <w:trHeight w:hRule="exact" w:val="274"/>
                        </w:trPr>
                        <w:tc>
                          <w:tcPr>
                            <w:tcW w:w="40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55.—</w:t>
                            </w:r>
                          </w:p>
                        </w:tc>
                      </w:tr>
                      <w:tr w:rsidR="00500724">
                        <w:tblPrEx>
                          <w:tblCellMar>
                            <w:top w:w="0" w:type="dxa"/>
                            <w:bottom w:w="0" w:type="dxa"/>
                          </w:tblCellMar>
                        </w:tblPrEx>
                        <w:trPr>
                          <w:trHeight w:hRule="exact" w:val="278"/>
                        </w:trPr>
                        <w:tc>
                          <w:tcPr>
                            <w:tcW w:w="408" w:type="dxa"/>
                            <w:shd w:val="clear" w:color="auto" w:fill="FFFFFF"/>
                          </w:tcPr>
                          <w:p w:rsidR="00500724" w:rsidRDefault="00F30FB8">
                            <w:pPr>
                              <w:pStyle w:val="Jin0"/>
                              <w:shd w:val="clear" w:color="auto" w:fill="auto"/>
                              <w:ind w:firstLine="0"/>
                              <w:jc w:val="left"/>
                              <w:rPr>
                                <w:sz w:val="18"/>
                                <w:szCs w:val="18"/>
                              </w:rPr>
                            </w:pPr>
                            <w:r>
                              <w:rPr>
                                <w:sz w:val="18"/>
                                <w:szCs w:val="18"/>
                              </w:rPr>
                              <w:t>váz.</w:t>
                            </w:r>
                          </w:p>
                        </w:tc>
                        <w:tc>
                          <w:tcPr>
                            <w:tcW w:w="202" w:type="dxa"/>
                            <w:shd w:val="clear" w:color="auto" w:fill="FFFFFF"/>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tcPr>
                          <w:p w:rsidR="00500724" w:rsidRDefault="00F30FB8">
                            <w:pPr>
                              <w:pStyle w:val="Jin0"/>
                              <w:shd w:val="clear" w:color="auto" w:fill="auto"/>
                              <w:ind w:firstLine="0"/>
                              <w:jc w:val="right"/>
                              <w:rPr>
                                <w:sz w:val="18"/>
                                <w:szCs w:val="18"/>
                              </w:rPr>
                            </w:pPr>
                            <w:r>
                              <w:rPr>
                                <w:sz w:val="18"/>
                                <w:szCs w:val="18"/>
                              </w:rPr>
                              <w:t>70.—</w:t>
                            </w:r>
                          </w:p>
                        </w:tc>
                      </w:tr>
                      <w:tr w:rsidR="00500724">
                        <w:tblPrEx>
                          <w:tblCellMar>
                            <w:top w:w="0" w:type="dxa"/>
                            <w:bottom w:w="0" w:type="dxa"/>
                          </w:tblCellMar>
                        </w:tblPrEx>
                        <w:trPr>
                          <w:trHeight w:hRule="exact" w:val="379"/>
                        </w:trPr>
                        <w:tc>
                          <w:tcPr>
                            <w:tcW w:w="408"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center"/>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5.25</w:t>
                            </w:r>
                          </w:p>
                        </w:tc>
                      </w:tr>
                      <w:tr w:rsidR="00500724">
                        <w:tblPrEx>
                          <w:tblCellMar>
                            <w:top w:w="0" w:type="dxa"/>
                            <w:bottom w:w="0" w:type="dxa"/>
                          </w:tblCellMar>
                        </w:tblPrEx>
                        <w:trPr>
                          <w:trHeight w:hRule="exact" w:val="360"/>
                        </w:trPr>
                        <w:tc>
                          <w:tcPr>
                            <w:tcW w:w="408"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brož.</w:t>
                            </w:r>
                          </w:p>
                        </w:tc>
                        <w:tc>
                          <w:tcPr>
                            <w:tcW w:w="202" w:type="dxa"/>
                            <w:shd w:val="clear" w:color="auto" w:fill="FFFFFF"/>
                            <w:vAlign w:val="center"/>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center"/>
                          </w:tcPr>
                          <w:p w:rsidR="00500724" w:rsidRDefault="00F30FB8">
                            <w:pPr>
                              <w:pStyle w:val="Jin0"/>
                              <w:shd w:val="clear" w:color="auto" w:fill="auto"/>
                              <w:ind w:firstLine="0"/>
                              <w:jc w:val="right"/>
                              <w:rPr>
                                <w:sz w:val="18"/>
                                <w:szCs w:val="18"/>
                              </w:rPr>
                            </w:pPr>
                            <w:r>
                              <w:rPr>
                                <w:sz w:val="18"/>
                                <w:szCs w:val="18"/>
                              </w:rPr>
                              <w:t>5.25</w:t>
                            </w:r>
                          </w:p>
                        </w:tc>
                      </w:tr>
                      <w:tr w:rsidR="00500724">
                        <w:tblPrEx>
                          <w:tblCellMar>
                            <w:top w:w="0" w:type="dxa"/>
                            <w:bottom w:w="0" w:type="dxa"/>
                          </w:tblCellMar>
                        </w:tblPrEx>
                        <w:trPr>
                          <w:trHeight w:hRule="exact" w:val="254"/>
                        </w:trPr>
                        <w:tc>
                          <w:tcPr>
                            <w:tcW w:w="408"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váz.</w:t>
                            </w:r>
                          </w:p>
                        </w:tc>
                        <w:tc>
                          <w:tcPr>
                            <w:tcW w:w="202" w:type="dxa"/>
                            <w:shd w:val="clear" w:color="auto" w:fill="FFFFFF"/>
                            <w:vAlign w:val="bottom"/>
                          </w:tcPr>
                          <w:p w:rsidR="00500724" w:rsidRDefault="00F30FB8">
                            <w:pPr>
                              <w:pStyle w:val="Jin0"/>
                              <w:shd w:val="clear" w:color="auto" w:fill="auto"/>
                              <w:ind w:firstLine="0"/>
                              <w:jc w:val="left"/>
                              <w:rPr>
                                <w:sz w:val="18"/>
                                <w:szCs w:val="18"/>
                              </w:rPr>
                            </w:pPr>
                            <w:r>
                              <w:rPr>
                                <w:sz w:val="18"/>
                                <w:szCs w:val="18"/>
                              </w:rPr>
                              <w:t>K</w:t>
                            </w:r>
                          </w:p>
                        </w:tc>
                        <w:tc>
                          <w:tcPr>
                            <w:tcW w:w="413" w:type="dxa"/>
                            <w:shd w:val="clear" w:color="auto" w:fill="FFFFFF"/>
                            <w:vAlign w:val="bottom"/>
                          </w:tcPr>
                          <w:p w:rsidR="00500724" w:rsidRDefault="00F30FB8">
                            <w:pPr>
                              <w:pStyle w:val="Jin0"/>
                              <w:shd w:val="clear" w:color="auto" w:fill="auto"/>
                              <w:ind w:firstLine="0"/>
                              <w:jc w:val="right"/>
                              <w:rPr>
                                <w:sz w:val="18"/>
                                <w:szCs w:val="18"/>
                              </w:rPr>
                            </w:pPr>
                            <w:r>
                              <w:rPr>
                                <w:sz w:val="18"/>
                                <w:szCs w:val="18"/>
                              </w:rPr>
                              <w:t>80.—</w:t>
                            </w:r>
                          </w:p>
                        </w:tc>
                      </w:tr>
                    </w:tbl>
                    <w:p w:rsidR="00000000" w:rsidRDefault="00F30FB8"/>
                  </w:txbxContent>
                </v:textbox>
                <w10:wrap type="topAndBottom" anchorx="page" anchory="margin"/>
              </v:shape>
            </w:pict>
          </mc:Fallback>
        </mc:AlternateContent>
      </w:r>
      <w:r>
        <w:rPr>
          <w:noProof/>
        </w:rPr>
        <mc:AlternateContent>
          <mc:Choice Requires="wps">
            <w:drawing>
              <wp:anchor distT="0" distB="0" distL="0" distR="0" simplePos="0" relativeHeight="125829980" behindDoc="0" locked="0" layoutInCell="1" allowOverlap="1">
                <wp:simplePos x="0" y="0"/>
                <wp:positionH relativeFrom="page">
                  <wp:posOffset>6136640</wp:posOffset>
                </wp:positionH>
                <wp:positionV relativeFrom="margin">
                  <wp:posOffset>5535295</wp:posOffset>
                </wp:positionV>
                <wp:extent cx="606425" cy="140335"/>
                <wp:effectExtent l="0" t="0" r="0" b="0"/>
                <wp:wrapTopAndBottom/>
                <wp:docPr id="603" name="Shape 603"/>
                <wp:cNvGraphicFramePr/>
                <a:graphic xmlns:a="http://schemas.openxmlformats.org/drawingml/2006/main">
                  <a:graphicData uri="http://schemas.microsoft.com/office/word/2010/wordprocessingShape">
                    <wps:wsp>
                      <wps:cNvSpPr txBox="1"/>
                      <wps:spPr>
                        <a:xfrm>
                          <a:off x="0" y="0"/>
                          <a:ext cx="606425" cy="140335"/>
                        </a:xfrm>
                        <a:prstGeom prst="rect">
                          <a:avLst/>
                        </a:prstGeom>
                        <a:noFill/>
                      </wps:spPr>
                      <wps:txbx>
                        <w:txbxContent>
                          <w:p w:rsidR="00500724" w:rsidRDefault="00F30FB8">
                            <w:pPr>
                              <w:pStyle w:val="Titulektabulky0"/>
                              <w:shd w:val="clear" w:color="auto" w:fill="auto"/>
                              <w:jc w:val="left"/>
                              <w:rPr>
                                <w:sz w:val="16"/>
                                <w:szCs w:val="16"/>
                              </w:rPr>
                            </w:pPr>
                            <w:r>
                              <w:rPr>
                                <w:sz w:val="16"/>
                                <w:szCs w:val="16"/>
                              </w:rPr>
                              <w:t xml:space="preserve">váz. </w:t>
                            </w:r>
                            <w:r>
                              <w:rPr>
                                <w:sz w:val="16"/>
                                <w:szCs w:val="16"/>
                                <w:lang w:val="en-US" w:eastAsia="en-US" w:bidi="en-US"/>
                              </w:rPr>
                              <w:t>K 55.—</w:t>
                            </w:r>
                          </w:p>
                        </w:txbxContent>
                      </wps:txbx>
                      <wps:bodyPr lIns="0" tIns="0" rIns="0" bIns="0">
                        <a:spAutoFit/>
                      </wps:bodyPr>
                    </wps:wsp>
                  </a:graphicData>
                </a:graphic>
              </wp:anchor>
            </w:drawing>
          </mc:Choice>
          <mc:Fallback>
            <w:pict>
              <v:shape id="_x0000_s1629" type="#_x0000_t202" style="position:absolute;margin-left:483.19999999999999pt;margin-top:435.85000000000002pt;width:47.75pt;height:11.050000000000001pt;z-index:-125828773;mso-wrap-distance-left:0;mso-wrap-distance-right:0;mso-position-horizontal-relative:page;mso-position-vertical-relative:margin" filled="f" stroked="f">
                <v:textbox style="mso-fit-shape-to-text:t" inset="0,0,0,0">
                  <w:txbxContent>
                    <w:p>
                      <w:pPr>
                        <w:pStyle w:val="Style206"/>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 xml:space="preserve">váz. </w:t>
                      </w:r>
                      <w:r>
                        <w:rPr>
                          <w:color w:val="000000"/>
                          <w:spacing w:val="0"/>
                          <w:w w:val="100"/>
                          <w:position w:val="0"/>
                          <w:sz w:val="16"/>
                          <w:szCs w:val="16"/>
                          <w:shd w:val="clear" w:color="auto" w:fill="auto"/>
                          <w:lang w:val="en-US" w:eastAsia="en-US" w:bidi="en-US"/>
                        </w:rPr>
                        <w:t>K 55.—</w:t>
                      </w:r>
                    </w:p>
                  </w:txbxContent>
                </v:textbox>
                <w10:wrap type="topAndBottom" anchorx="page" anchory="margin"/>
              </v:shape>
            </w:pict>
          </mc:Fallback>
        </mc:AlternateContent>
      </w:r>
      <w:r>
        <w:rPr>
          <w:noProof/>
        </w:rPr>
        <mc:AlternateContent>
          <mc:Choice Requires="wps">
            <w:drawing>
              <wp:anchor distT="2541270" distB="0" distL="3580130" distR="135890" simplePos="0" relativeHeight="125829982" behindDoc="0" locked="0" layoutInCell="1" allowOverlap="1">
                <wp:simplePos x="0" y="0"/>
                <wp:positionH relativeFrom="page">
                  <wp:posOffset>3920490</wp:posOffset>
                </wp:positionH>
                <wp:positionV relativeFrom="margin">
                  <wp:posOffset>6233160</wp:posOffset>
                </wp:positionV>
                <wp:extent cx="2810510" cy="548640"/>
                <wp:effectExtent l="0" t="0" r="0" b="0"/>
                <wp:wrapTopAndBottom/>
                <wp:docPr id="605" name="Shape 605"/>
                <wp:cNvGraphicFramePr/>
                <a:graphic xmlns:a="http://schemas.openxmlformats.org/drawingml/2006/main">
                  <a:graphicData uri="http://schemas.microsoft.com/office/word/2010/wordprocessingShape">
                    <wps:wsp>
                      <wps:cNvSpPr txBox="1"/>
                      <wps:spPr>
                        <a:xfrm>
                          <a:off x="0" y="0"/>
                          <a:ext cx="2810510" cy="548640"/>
                        </a:xfrm>
                        <a:prstGeom prst="rect">
                          <a:avLst/>
                        </a:prstGeom>
                        <a:noFill/>
                      </wps:spPr>
                      <wps:txbx>
                        <w:txbxContent>
                          <w:p w:rsidR="00500724" w:rsidRDefault="00F30FB8">
                            <w:pPr>
                              <w:pStyle w:val="Nadpis120"/>
                              <w:shd w:val="clear" w:color="auto" w:fill="auto"/>
                              <w:spacing w:after="40"/>
                              <w:ind w:left="0"/>
                              <w:jc w:val="center"/>
                            </w:pPr>
                            <w:bookmarkStart w:id="589" w:name="bookmark585"/>
                            <w:r>
                              <w:rPr>
                                <w:rFonts w:ascii="Arial" w:eastAsia="Arial" w:hAnsi="Arial" w:cs="Arial"/>
                              </w:rPr>
                              <w:t>knihkupectví,</w:t>
                            </w:r>
                            <w:bookmarkEnd w:id="589"/>
                          </w:p>
                          <w:p w:rsidR="00500724" w:rsidRDefault="00F30FB8">
                            <w:pPr>
                              <w:pStyle w:val="Nadpis80"/>
                              <w:keepNext/>
                              <w:keepLines/>
                              <w:shd w:val="clear" w:color="auto" w:fill="auto"/>
                              <w:spacing w:after="0"/>
                              <w:rPr>
                                <w:sz w:val="44"/>
                                <w:szCs w:val="44"/>
                              </w:rPr>
                            </w:pPr>
                            <w:bookmarkStart w:id="590" w:name="bookmark586"/>
                            <w:r>
                              <w:rPr>
                                <w:sz w:val="44"/>
                                <w:szCs w:val="44"/>
                                <w:u w:val="none"/>
                              </w:rPr>
                              <w:t xml:space="preserve">Praha </w:t>
                            </w:r>
                            <w:r>
                              <w:rPr>
                                <w:rFonts w:ascii="Arial" w:eastAsia="Arial" w:hAnsi="Arial" w:cs="Arial"/>
                                <w:b/>
                                <w:bCs/>
                                <w:sz w:val="42"/>
                                <w:szCs w:val="42"/>
                                <w:u w:val="none"/>
                              </w:rPr>
                              <w:t xml:space="preserve">I, </w:t>
                            </w:r>
                            <w:r>
                              <w:rPr>
                                <w:sz w:val="44"/>
                                <w:szCs w:val="44"/>
                                <w:u w:val="none"/>
                              </w:rPr>
                              <w:t>Národní třída 11</w:t>
                            </w:r>
                            <w:bookmarkEnd w:id="590"/>
                          </w:p>
                        </w:txbxContent>
                      </wps:txbx>
                      <wps:bodyPr lIns="0" tIns="0" rIns="0" bIns="0">
                        <a:spAutoFit/>
                      </wps:bodyPr>
                    </wps:wsp>
                  </a:graphicData>
                </a:graphic>
              </wp:anchor>
            </w:drawing>
          </mc:Choice>
          <mc:Fallback>
            <w:pict>
              <v:shape id="_x0000_s1631" type="#_x0000_t202" style="position:absolute;margin-left:308.69999999999999pt;margin-top:490.80000000000001pt;width:221.30000000000001pt;height:43.200000000000003pt;z-index:-125828771;mso-wrap-distance-left:281.89999999999998pt;mso-wrap-distance-top:200.09999999999999pt;mso-wrap-distance-right:10.699999999999999pt;mso-position-horizontal-relative:page;mso-position-vertical-relative:margin" filled="f" stroked="f">
                <v:textbox style="mso-fit-shape-to-text:t" inset="0,0,0,0">
                  <w:txbxContent>
                    <w:p>
                      <w:pPr>
                        <w:pStyle w:val="Style61"/>
                        <w:keepNext w:val="0"/>
                        <w:keepLines w:val="0"/>
                        <w:widowControl w:val="0"/>
                        <w:shd w:val="clear" w:color="auto" w:fill="auto"/>
                        <w:bidi w:val="0"/>
                        <w:spacing w:before="0" w:after="40" w:line="240" w:lineRule="auto"/>
                        <w:ind w:left="0" w:right="0" w:firstLine="0"/>
                        <w:jc w:val="center"/>
                      </w:pPr>
                      <w:bookmarkStart w:id="585" w:name="bookmark585"/>
                      <w:r>
                        <w:rPr>
                          <w:rFonts w:ascii="Arial" w:eastAsia="Arial" w:hAnsi="Arial" w:cs="Arial"/>
                          <w:color w:val="000000"/>
                          <w:spacing w:val="0"/>
                          <w:w w:val="100"/>
                          <w:position w:val="0"/>
                          <w:shd w:val="clear" w:color="auto" w:fill="auto"/>
                          <w:lang w:val="cs-CZ" w:eastAsia="cs-CZ" w:bidi="cs-CZ"/>
                        </w:rPr>
                        <w:t>knihkupectví,</w:t>
                      </w:r>
                      <w:bookmarkEnd w:id="585"/>
                    </w:p>
                    <w:p>
                      <w:pPr>
                        <w:pStyle w:val="Style56"/>
                        <w:keepNext/>
                        <w:keepLines/>
                        <w:widowControl w:val="0"/>
                        <w:shd w:val="clear" w:color="auto" w:fill="auto"/>
                        <w:bidi w:val="0"/>
                        <w:spacing w:before="0" w:after="0" w:line="240" w:lineRule="auto"/>
                        <w:ind w:left="0" w:right="0" w:firstLine="0"/>
                        <w:jc w:val="left"/>
                        <w:rPr>
                          <w:sz w:val="44"/>
                          <w:szCs w:val="44"/>
                        </w:rPr>
                      </w:pPr>
                      <w:bookmarkStart w:id="586" w:name="bookmark586"/>
                      <w:r>
                        <w:rPr>
                          <w:color w:val="000000"/>
                          <w:spacing w:val="0"/>
                          <w:w w:val="100"/>
                          <w:position w:val="0"/>
                          <w:sz w:val="44"/>
                          <w:szCs w:val="44"/>
                          <w:u w:val="none"/>
                          <w:shd w:val="clear" w:color="auto" w:fill="auto"/>
                          <w:lang w:val="cs-CZ" w:eastAsia="cs-CZ" w:bidi="cs-CZ"/>
                        </w:rPr>
                        <w:t xml:space="preserve">Praha </w:t>
                      </w:r>
                      <w:r>
                        <w:rPr>
                          <w:rFonts w:ascii="Arial" w:eastAsia="Arial" w:hAnsi="Arial" w:cs="Arial"/>
                          <w:b/>
                          <w:bCs/>
                          <w:color w:val="000000"/>
                          <w:spacing w:val="0"/>
                          <w:w w:val="100"/>
                          <w:position w:val="0"/>
                          <w:sz w:val="42"/>
                          <w:szCs w:val="42"/>
                          <w:u w:val="none"/>
                          <w:shd w:val="clear" w:color="auto" w:fill="auto"/>
                          <w:lang w:val="cs-CZ" w:eastAsia="cs-CZ" w:bidi="cs-CZ"/>
                        </w:rPr>
                        <w:t xml:space="preserve">I, </w:t>
                      </w:r>
                      <w:r>
                        <w:rPr>
                          <w:color w:val="000000"/>
                          <w:spacing w:val="0"/>
                          <w:w w:val="100"/>
                          <w:position w:val="0"/>
                          <w:sz w:val="44"/>
                          <w:szCs w:val="44"/>
                          <w:u w:val="none"/>
                          <w:shd w:val="clear" w:color="auto" w:fill="auto"/>
                          <w:lang w:val="cs-CZ" w:eastAsia="cs-CZ" w:bidi="cs-CZ"/>
                        </w:rPr>
                        <w:t>Národní třída 11</w:t>
                      </w:r>
                      <w:bookmarkEnd w:id="586"/>
                    </w:p>
                  </w:txbxContent>
                </v:textbox>
                <w10:wrap type="topAndBottom" anchorx="page" anchory="margin"/>
              </v:shape>
            </w:pict>
          </mc:Fallback>
        </mc:AlternateContent>
      </w:r>
      <w:r>
        <w:t xml:space="preserve">odborný lékař nemoci pohlavních, kožních a kosmetiky Praha II., Na Zbořenci 24 — třetí dům od </w:t>
      </w:r>
      <w:r>
        <w:t>Karlova náměstí. Ordinuje celý den. V neděli a ve svátek dopoledne. Tel. 41.728.</w:t>
      </w:r>
    </w:p>
    <w:p w:rsidR="00500724" w:rsidRDefault="00500724">
      <w:pPr>
        <w:spacing w:line="240" w:lineRule="exact"/>
        <w:rPr>
          <w:sz w:val="19"/>
          <w:szCs w:val="19"/>
        </w:rPr>
      </w:pPr>
    </w:p>
    <w:p w:rsidR="00500724" w:rsidRDefault="00500724">
      <w:pPr>
        <w:spacing w:before="49" w:after="49"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827" w:right="0" w:bottom="562"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29984" behindDoc="0" locked="0" layoutInCell="1" allowOverlap="1">
                <wp:simplePos x="0" y="0"/>
                <wp:positionH relativeFrom="page">
                  <wp:posOffset>436880</wp:posOffset>
                </wp:positionH>
                <wp:positionV relativeFrom="paragraph">
                  <wp:posOffset>1097280</wp:posOffset>
                </wp:positionV>
                <wp:extent cx="2691130" cy="1216025"/>
                <wp:effectExtent l="0" t="0" r="0" b="0"/>
                <wp:wrapSquare wrapText="right"/>
                <wp:docPr id="607" name="Shape 607"/>
                <wp:cNvGraphicFramePr/>
                <a:graphic xmlns:a="http://schemas.openxmlformats.org/drawingml/2006/main">
                  <a:graphicData uri="http://schemas.microsoft.com/office/word/2010/wordprocessingShape">
                    <wps:wsp>
                      <wps:cNvSpPr txBox="1"/>
                      <wps:spPr>
                        <a:xfrm>
                          <a:off x="0" y="0"/>
                          <a:ext cx="2691130" cy="1216025"/>
                        </a:xfrm>
                        <a:prstGeom prst="rect">
                          <a:avLst/>
                        </a:prstGeom>
                        <a:noFill/>
                      </wps:spPr>
                      <wps:txbx>
                        <w:txbxContent>
                          <w:p w:rsidR="00500724" w:rsidRDefault="00F30FB8">
                            <w:pPr>
                              <w:pStyle w:val="Jin0"/>
                              <w:shd w:val="clear" w:color="auto" w:fill="auto"/>
                              <w:spacing w:after="280"/>
                              <w:ind w:firstLine="0"/>
                              <w:jc w:val="left"/>
                              <w:rPr>
                                <w:sz w:val="98"/>
                                <w:szCs w:val="98"/>
                              </w:rPr>
                            </w:pPr>
                            <w:r>
                              <w:rPr>
                                <w:sz w:val="98"/>
                                <w:szCs w:val="98"/>
                                <w:lang w:val="en-US" w:eastAsia="en-US" w:bidi="en-US"/>
                              </w:rPr>
                              <w:t>PfftomnosO</w:t>
                            </w:r>
                          </w:p>
                          <w:p w:rsidR="00500724" w:rsidRDefault="00F30FB8">
                            <w:pPr>
                              <w:pStyle w:val="Jin0"/>
                              <w:shd w:val="clear" w:color="auto" w:fill="auto"/>
                              <w:ind w:firstLine="0"/>
                              <w:jc w:val="left"/>
                              <w:rPr>
                                <w:sz w:val="40"/>
                                <w:szCs w:val="40"/>
                              </w:rPr>
                            </w:pPr>
                            <w:r>
                              <w:rPr>
                                <w:rFonts w:ascii="Arial" w:eastAsia="Arial" w:hAnsi="Arial" w:cs="Arial"/>
                                <w:sz w:val="40"/>
                                <w:szCs w:val="40"/>
                                <w:u w:val="single"/>
                              </w:rPr>
                              <w:t>řídí Ferd. Peroutka</w:t>
                            </w:r>
                          </w:p>
                        </w:txbxContent>
                      </wps:txbx>
                      <wps:bodyPr lIns="0" tIns="0" rIns="0" bIns="0">
                        <a:spAutoFit/>
                      </wps:bodyPr>
                    </wps:wsp>
                  </a:graphicData>
                </a:graphic>
              </wp:anchor>
            </w:drawing>
          </mc:Choice>
          <mc:Fallback>
            <w:pict>
              <v:shape id="_x0000_s1633" type="#_x0000_t202" style="position:absolute;margin-left:34.399999999999999pt;margin-top:86.400000000000006pt;width:211.90000000000001pt;height:95.75pt;z-index:-125828769;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280" w:line="240" w:lineRule="auto"/>
                        <w:ind w:left="0" w:right="0" w:firstLine="0"/>
                        <w:jc w:val="left"/>
                        <w:rPr>
                          <w:sz w:val="98"/>
                          <w:szCs w:val="98"/>
                        </w:rPr>
                      </w:pPr>
                      <w:r>
                        <w:rPr>
                          <w:color w:val="000000"/>
                          <w:spacing w:val="0"/>
                          <w:w w:val="100"/>
                          <w:position w:val="0"/>
                          <w:sz w:val="98"/>
                          <w:szCs w:val="98"/>
                          <w:shd w:val="clear" w:color="auto" w:fill="auto"/>
                          <w:lang w:val="en-US" w:eastAsia="en-US" w:bidi="en-US"/>
                        </w:rPr>
                        <w:t>PfftomnosO</w:t>
                      </w:r>
                    </w:p>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u w:val="single"/>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420" w:line="257" w:lineRule="auto"/>
        <w:ind w:left="640" w:hanging="460"/>
        <w:rPr>
          <w:sz w:val="19"/>
          <w:szCs w:val="19"/>
        </w:rPr>
      </w:pPr>
      <w:r>
        <w:rPr>
          <w:b/>
          <w:bCs/>
          <w:sz w:val="20"/>
          <w:szCs w:val="20"/>
        </w:rPr>
        <w:t xml:space="preserve">OBSAH PŘÍTOMNOSTI C. </w:t>
      </w:r>
      <w:r>
        <w:rPr>
          <w:b/>
          <w:bCs/>
          <w:sz w:val="19"/>
          <w:szCs w:val="19"/>
        </w:rPr>
        <w:t xml:space="preserve">23: JOSEF TEICHMAN: Ríškoněmecká vlajka na MNO — ANT. BOHÁČ: Úvaha nad patnácti porody na tisíc obyvatel — ZDENĚK SMETÁČEK: Konservativci a bolševici — FRANTIŠEK KOŽÍK: Humor v rozhlase — STANISLAV YESTER: Rozhovor se skutečností — L. PAVLÍK </w:t>
      </w:r>
      <w:r>
        <w:rPr>
          <w:b/>
          <w:bCs/>
          <w:sz w:val="19"/>
          <w:szCs w:val="19"/>
          <w:lang w:val="en-US" w:eastAsia="en-US" w:bidi="en-US"/>
        </w:rPr>
        <w:t xml:space="preserve">a </w:t>
      </w:r>
      <w:r>
        <w:rPr>
          <w:b/>
          <w:bCs/>
          <w:sz w:val="19"/>
          <w:szCs w:val="19"/>
        </w:rPr>
        <w:t>V. STRNAD: H</w:t>
      </w:r>
      <w:r>
        <w:rPr>
          <w:b/>
          <w:bCs/>
          <w:sz w:val="19"/>
          <w:szCs w:val="19"/>
        </w:rPr>
        <w:t xml:space="preserve">aló, haló, zde mluví... — JOSEF DVOŘÁK: Volání po dorozumění? — Válečný potenciál Ruska — Organisovaná česká mládež — </w:t>
      </w:r>
      <w:r>
        <w:rPr>
          <w:b/>
          <w:bCs/>
          <w:sz w:val="19"/>
          <w:szCs w:val="19"/>
          <w:u w:val="single"/>
        </w:rPr>
        <w:t>Oposice proti Chamberlainovi — Klidné volby v Maďarsku — Co je svatováclavská tradice — Jazykové rekordy?</w:t>
      </w:r>
    </w:p>
    <w:p w:rsidR="00500724" w:rsidRDefault="00F30FB8">
      <w:pPr>
        <w:pStyle w:val="Nadpis90"/>
        <w:keepNext/>
        <w:keepLines/>
        <w:shd w:val="clear" w:color="auto" w:fill="auto"/>
        <w:spacing w:after="220"/>
        <w:ind w:firstLine="180"/>
      </w:pPr>
      <w:bookmarkStart w:id="591" w:name="bookmark590"/>
      <w:r>
        <w:rPr>
          <w:u w:val="single"/>
        </w:rPr>
        <w:t>nezávislý týdeník</w:t>
      </w:r>
      <w:bookmarkEnd w:id="591"/>
    </w:p>
    <w:p w:rsidR="00500724" w:rsidRDefault="00F30FB8">
      <w:pPr>
        <w:pStyle w:val="Zkladntext20"/>
        <w:shd w:val="clear" w:color="auto" w:fill="auto"/>
        <w:spacing w:after="60" w:line="216" w:lineRule="auto"/>
        <w:ind w:firstLine="0"/>
        <w:jc w:val="center"/>
        <w:rPr>
          <w:sz w:val="20"/>
          <w:szCs w:val="20"/>
        </w:rPr>
      </w:pPr>
      <w:r>
        <w:rPr>
          <w:sz w:val="20"/>
          <w:szCs w:val="20"/>
        </w:rPr>
        <w:t>vychází ve stř</w:t>
      </w:r>
      <w:r>
        <w:rPr>
          <w:sz w:val="20"/>
          <w:szCs w:val="20"/>
        </w:rPr>
        <w:t>edu v nakladatelství</w:t>
      </w:r>
      <w:r>
        <w:rPr>
          <w:sz w:val="20"/>
          <w:szCs w:val="20"/>
        </w:rPr>
        <w:br/>
        <w:t>FR. BOROVÝ V PRAZE I., NÁRODNÍ TŘÍDA IL</w:t>
      </w:r>
    </w:p>
    <w:p w:rsidR="00500724" w:rsidRDefault="00F30FB8">
      <w:pPr>
        <w:pStyle w:val="Zkladntext100"/>
        <w:shd w:val="clear" w:color="auto" w:fill="auto"/>
        <w:spacing w:after="60" w:line="156" w:lineRule="auto"/>
        <w:ind w:firstLine="180"/>
      </w:pPr>
      <w:r>
        <w:t>Telefon číslo 390-51 až 54 • Očet poštovní spořitelny číslo 35.622 • Nevy</w:t>
      </w:r>
      <w:r>
        <w:softHyphen/>
      </w:r>
      <w:r>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 xml:space="preserve">Frs 2.50. • Dohlédaci pošt. úřad Brno II. • Novinová sazba povolena v Brně ředitelstvím pošt a </w:t>
      </w:r>
      <w:r>
        <w:t>telegrafů pod čís. 119.268/IHa. • Odpovědný redaktor J. Dlabač.</w:t>
      </w:r>
    </w:p>
    <w:p w:rsidR="00500724" w:rsidRDefault="00F30FB8">
      <w:pPr>
        <w:pStyle w:val="Zkladntext20"/>
        <w:shd w:val="clear" w:color="auto" w:fill="auto"/>
        <w:spacing w:after="140" w:line="216" w:lineRule="auto"/>
        <w:ind w:left="5360" w:firstLine="0"/>
        <w:jc w:val="left"/>
        <w:rPr>
          <w:sz w:val="20"/>
          <w:szCs w:val="20"/>
        </w:rPr>
      </w:pPr>
      <w:r>
        <w:rPr>
          <w:sz w:val="20"/>
          <w:szCs w:val="20"/>
        </w:rPr>
        <w:t>TISKEM LIDOVÉ TISKÁRNY, BRNO, ČESKÁ 6.</w:t>
      </w:r>
      <w:r>
        <w:br w:type="page"/>
      </w:r>
    </w:p>
    <w:p w:rsidR="00500724" w:rsidRDefault="00F30FB8">
      <w:pPr>
        <w:pStyle w:val="Nadpis60"/>
        <w:keepNext/>
        <w:keepLines/>
        <w:pBdr>
          <w:bottom w:val="single" w:sz="4" w:space="0" w:color="auto"/>
        </w:pBdr>
        <w:shd w:val="clear" w:color="auto" w:fill="auto"/>
        <w:ind w:left="60"/>
        <w:sectPr w:rsidR="00500724">
          <w:footnotePr>
            <w:numFmt w:val="chicago"/>
            <w:numRestart w:val="eachPage"/>
          </w:footnotePr>
          <w:type w:val="continuous"/>
          <w:pgSz w:w="11909" w:h="16834"/>
          <w:pgMar w:top="827" w:right="1218" w:bottom="562" w:left="318" w:header="0" w:footer="3" w:gutter="0"/>
          <w:cols w:space="720"/>
          <w:noEndnote/>
          <w:docGrid w:linePitch="360"/>
        </w:sectPr>
      </w:pPr>
      <w:bookmarkStart w:id="592" w:name="bookmark591"/>
      <w:r>
        <w:t>Přítomnosti</w:t>
      </w:r>
      <w:bookmarkEnd w:id="592"/>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77" w:right="0" w:bottom="653" w:left="0" w:header="0" w:footer="3" w:gutter="0"/>
          <w:cols w:space="720"/>
          <w:noEndnote/>
          <w:docGrid w:linePitch="360"/>
        </w:sectPr>
      </w:pPr>
    </w:p>
    <w:p w:rsidR="00500724" w:rsidRDefault="00500724">
      <w:pPr>
        <w:spacing w:line="360" w:lineRule="exact"/>
      </w:pPr>
    </w:p>
    <w:p w:rsidR="00500724" w:rsidRDefault="00500724">
      <w:pPr>
        <w:spacing w:after="351" w:line="14" w:lineRule="exact"/>
      </w:pPr>
    </w:p>
    <w:p w:rsidR="00500724" w:rsidRDefault="00500724">
      <w:pPr>
        <w:spacing w:line="14" w:lineRule="exact"/>
        <w:sectPr w:rsidR="00500724">
          <w:footnotePr>
            <w:numFmt w:val="chicago"/>
            <w:numRestart w:val="eachPage"/>
          </w:footnotePr>
          <w:type w:val="continuous"/>
          <w:pgSz w:w="11909" w:h="16834"/>
          <w:pgMar w:top="877" w:right="876" w:bottom="653" w:left="655" w:header="0" w:footer="3" w:gutter="0"/>
          <w:cols w:space="720"/>
          <w:noEndnote/>
          <w:docGrid w:linePitch="360"/>
        </w:sectPr>
      </w:pPr>
    </w:p>
    <w:p w:rsidR="00500724" w:rsidRDefault="00F30FB8">
      <w:pPr>
        <w:pStyle w:val="Nadpis100"/>
        <w:shd w:val="clear" w:color="auto" w:fill="auto"/>
        <w:spacing w:after="100" w:line="240" w:lineRule="auto"/>
      </w:pPr>
      <w:bookmarkStart w:id="593" w:name="bookmark592"/>
      <w:r>
        <w:t>Upřímné slovo k politikům</w:t>
      </w:r>
      <w:r>
        <w:br/>
        <w:t>německého národa</w:t>
      </w:r>
      <w:bookmarkEnd w:id="593"/>
    </w:p>
    <w:p w:rsidR="00500724" w:rsidRDefault="00F30FB8">
      <w:pPr>
        <w:pStyle w:val="Zkladntext20"/>
        <w:shd w:val="clear" w:color="auto" w:fill="auto"/>
        <w:spacing w:after="100" w:line="182" w:lineRule="auto"/>
        <w:ind w:left="780" w:firstLine="160"/>
        <w:rPr>
          <w:sz w:val="20"/>
          <w:szCs w:val="20"/>
        </w:rPr>
      </w:pPr>
      <w:r>
        <w:rPr>
          <w:sz w:val="20"/>
          <w:szCs w:val="20"/>
        </w:rPr>
        <w:t xml:space="preserve">Pisatel </w:t>
      </w:r>
      <w:r>
        <w:rPr>
          <w:sz w:val="20"/>
          <w:szCs w:val="20"/>
        </w:rPr>
        <w:t>tohoto článku není politicky činným, ani nemá veřejné funkce. Patři ke generaci čtyřicát</w:t>
      </w:r>
      <w:r>
        <w:rPr>
          <w:sz w:val="20"/>
          <w:szCs w:val="20"/>
        </w:rPr>
        <w:softHyphen/>
        <w:t>níků, kteří posuzují situaci realisticky, chtějí čelit nebezpečnému romantismu a rádi by našli pochope</w:t>
      </w:r>
      <w:r>
        <w:rPr>
          <w:sz w:val="20"/>
          <w:szCs w:val="20"/>
        </w:rPr>
        <w:softHyphen/>
        <w:t>ní u stejně smýšlejících odpovědných říšskoněmec</w:t>
      </w:r>
      <w:r>
        <w:rPr>
          <w:sz w:val="20"/>
          <w:szCs w:val="20"/>
        </w:rPr>
        <w:softHyphen/>
        <w:t xml:space="preserve">kých politiků, </w:t>
      </w:r>
      <w:r>
        <w:rPr>
          <w:sz w:val="20"/>
          <w:szCs w:val="20"/>
        </w:rPr>
        <w:t>aby v naší národní oblasti byla vy</w:t>
      </w:r>
      <w:r>
        <w:rPr>
          <w:sz w:val="20"/>
          <w:szCs w:val="20"/>
        </w:rPr>
        <w:softHyphen/>
        <w:t>tvořena atmosféra klidu, vzájemné důvěry a spolu</w:t>
      </w:r>
      <w:r>
        <w:rPr>
          <w:sz w:val="20"/>
          <w:szCs w:val="20"/>
        </w:rPr>
        <w:softHyphen/>
        <w:t>práce.</w:t>
      </w:r>
    </w:p>
    <w:p w:rsidR="00500724" w:rsidRDefault="00F30FB8">
      <w:pPr>
        <w:pStyle w:val="Zkladntext20"/>
        <w:shd w:val="clear" w:color="auto" w:fill="auto"/>
        <w:spacing w:after="60" w:line="204" w:lineRule="auto"/>
      </w:pPr>
      <w:r>
        <w:t>V našem národě nikdy nebylo atentátníků, protože český národ se vyznamenával politickou střízlivostí, nenáviděl krvavé násilí a toužil vždy po takovém uspořádání veř</w:t>
      </w:r>
      <w:r>
        <w:t xml:space="preserve">ejných věcí, aby se mohl klidně vyvíjet politicky, kulturně, sociálně </w:t>
      </w:r>
      <w:r>
        <w:rPr>
          <w:b/>
          <w:bCs/>
        </w:rPr>
        <w:t xml:space="preserve">a </w:t>
      </w:r>
      <w:r>
        <w:t>hospodářsky bez překotností, bez revolucí a bez stálého zneklidňování. Panuje proto u nás pevné přesvědčení, že by bylo nespravedlivé ob</w:t>
      </w:r>
      <w:r>
        <w:softHyphen/>
        <w:t>viňovat jakýmkoli způsobem český ná</w:t>
      </w:r>
      <w:r>
        <w:softHyphen/>
        <w:t xml:space="preserve">rod, že by </w:t>
      </w:r>
      <w:r>
        <w:t>mezi jeho příslušníky mohla vyrůst myšlenka užívat krvavých me</w:t>
      </w:r>
      <w:r>
        <w:softHyphen/>
        <w:t>tod takového druhu, jaké vždy odmítal a přímo nenáviděl, totiž atentátů, vražd a násilí. To nejsou omluvy. Takový je fakt. Dokladem může býti, jak bez krve se u nás věci vyvíjely v novém povále</w:t>
      </w:r>
      <w:r>
        <w:t>čném státě, a srovnati s udá</w:t>
      </w:r>
      <w:r>
        <w:softHyphen/>
        <w:t>lostmi v podobných nových malých státech, jako byl náš.</w:t>
      </w:r>
    </w:p>
    <w:p w:rsidR="00500724" w:rsidRDefault="00F30FB8">
      <w:pPr>
        <w:pStyle w:val="Zkladntext20"/>
        <w:shd w:val="clear" w:color="auto" w:fill="auto"/>
        <w:spacing w:after="60" w:line="202" w:lineRule="auto"/>
      </w:pPr>
      <w:r>
        <w:t xml:space="preserve">Věříme přece, že říšskoněmecký národ chce, aby </w:t>
      </w:r>
      <w:r>
        <w:rPr>
          <w:b/>
          <w:bCs/>
        </w:rPr>
        <w:t xml:space="preserve">v </w:t>
      </w:r>
      <w:r>
        <w:t>českých zemích byl klid a aby se zde vytvořila nová dů</w:t>
      </w:r>
      <w:r>
        <w:softHyphen/>
        <w:t xml:space="preserve">věra a nová naděje do života, aby zmizely jakékoliv možnosti </w:t>
      </w:r>
      <w:r>
        <w:t>trpkostí a svárů mezi velkým národem ně</w:t>
      </w:r>
      <w:r>
        <w:softHyphen/>
        <w:t>meckým a malým národem českým. Německý národ je desetkrát početnější národa českého. Proto můžeme my, Češi, od německého národa očekávat klidné posu</w:t>
      </w:r>
      <w:r>
        <w:softHyphen/>
        <w:t>zování situace a rytířské zacházení s českým národem, který se ničí</w:t>
      </w:r>
      <w:r>
        <w:t>m na německém národě neprovinil. Ano, český národ se loni připravoval k vojenskému odporu a byl ochoten válčit. A jak nás znají objektivní po</w:t>
      </w:r>
      <w:r>
        <w:softHyphen/>
        <w:t>zorovatelé říšskoněmečtí, jistě bychom byli bojovali statečně a do všech důsledků. Český národ však ne</w:t>
      </w:r>
      <w:r>
        <w:softHyphen/>
        <w:t>bojoval, uš</w:t>
      </w:r>
      <w:r>
        <w:t>etřil německému národu oběti, které by ho taková válka stála. Nebojoval proto, že byl zrazen svými spojenci, ke kterým byl vždy upřímný a pocti</w:t>
      </w:r>
      <w:r>
        <w:softHyphen/>
        <w:t xml:space="preserve">vý. Docela otevřeně říkáme, že kdyby byla Francie se octla v situaci, v jaké byl český národ v září 1938, nikdo </w:t>
      </w:r>
      <w:r>
        <w:t>by v českém národě se nerozmýšlel, zda se má nebo nemá jít s veškerou silou Francii na pomoc. Němci byli vždy dobří vojáci. Takové řeči musí přece rozumět. Vědí, že je to pravda.</w:t>
      </w:r>
    </w:p>
    <w:p w:rsidR="00500724" w:rsidRDefault="00F30FB8">
      <w:pPr>
        <w:pStyle w:val="Zkladntext20"/>
        <w:shd w:val="clear" w:color="auto" w:fill="auto"/>
        <w:spacing w:after="80" w:line="206" w:lineRule="auto"/>
      </w:pPr>
      <w:r>
        <w:t>Nuže, právě proto, že německý národ je desetkrát silnější, očekává český náro</w:t>
      </w:r>
      <w:r>
        <w:t>d od německého národa ry</w:t>
      </w:r>
      <w:r>
        <w:softHyphen/>
        <w:t xml:space="preserve">tířské zacházení, porozumění pro svou rozbolestněnou duši a šetrnost k těžké depresi, jíž český národ prošel </w:t>
      </w:r>
      <w:r>
        <w:rPr>
          <w:b/>
          <w:bCs/>
        </w:rPr>
        <w:t xml:space="preserve">a </w:t>
      </w:r>
      <w:r>
        <w:t>z níž se ještě nedostal. Chceme mír, klid, spra</w:t>
      </w:r>
      <w:r>
        <w:softHyphen/>
        <w:t>vedlnost, upřímnost, otevřenost, vzájem</w:t>
      </w:r>
      <w:r>
        <w:softHyphen/>
        <w:t xml:space="preserve">né pochopení a tolik svobodného </w:t>
      </w:r>
      <w:r>
        <w:t>dýchání, kolik nám bylo slíbeno a kolik je také v zájmu velkoněmecké říše, aby bylo českému národu poskytnuto.</w:t>
      </w:r>
    </w:p>
    <w:p w:rsidR="00500724" w:rsidRDefault="00F30FB8">
      <w:pPr>
        <w:pStyle w:val="Zkladntext20"/>
        <w:shd w:val="clear" w:color="auto" w:fill="auto"/>
        <w:spacing w:after="100" w:line="204" w:lineRule="auto"/>
        <w:ind w:firstLine="0"/>
        <w:jc w:val="center"/>
      </w:pPr>
      <w:r>
        <w:t>•</w:t>
      </w:r>
    </w:p>
    <w:p w:rsidR="00500724" w:rsidRDefault="00F30FB8">
      <w:pPr>
        <w:pStyle w:val="Zkladntext20"/>
        <w:shd w:val="clear" w:color="auto" w:fill="auto"/>
        <w:spacing w:line="204" w:lineRule="auto"/>
      </w:pPr>
      <w:r>
        <w:t>Po patnáctém březnu znovu pocítil český národ, že byl docela opuštěn Francií a Anglií, ačkoliv byl pro jejich vládní systémy, kultury a spo</w:t>
      </w:r>
      <w:r>
        <w:softHyphen/>
        <w:t>leč</w:t>
      </w:r>
      <w:r>
        <w:t>enský životní styl vždy tak upřímně, ba až naivně, zaujat a ačkoli jim chtěl vždy věrně stát po boku. To jistě jest pro říšskoněmecké politiky příležitost, aby ukázali, že sice musili splnit příkazy, které vy</w:t>
      </w:r>
      <w:r>
        <w:softHyphen/>
        <w:t>cházejí ze strategické situace německého prosto</w:t>
      </w:r>
      <w:r>
        <w:t>ru a ze známé Bismarckem trefně charakterisované posice českého národa v srdci Evropy, ale aby za to české</w:t>
      </w:r>
      <w:r>
        <w:softHyphen/>
        <w:t>mu národu ukázali, že jsou lepšími než franko-britštl »spojenci«, kterým český národ tak důvěřoval.</w:t>
      </w:r>
    </w:p>
    <w:p w:rsidR="00500724" w:rsidRDefault="00F30FB8">
      <w:pPr>
        <w:pStyle w:val="Zkladntext20"/>
        <w:shd w:val="clear" w:color="auto" w:fill="auto"/>
        <w:spacing w:line="202" w:lineRule="auto"/>
      </w:pPr>
      <w:r>
        <w:t>Dobře, my rozumíme, že české území odpovědní něme</w:t>
      </w:r>
      <w:r>
        <w:t>čtí politikové chtěli mít pod svým vojenským do</w:t>
      </w:r>
      <w:r>
        <w:softHyphen/>
        <w:t>hledem. Rozumíme, že nám odebrali zbraně a rozumí</w:t>
      </w:r>
      <w:r>
        <w:softHyphen/>
        <w:t>me, že sem dali vojenské posádky. To všechno lze dobře každému, obrovské většině všech českých občanů vyložit. Dosti je známo v celém světě, že český národ je</w:t>
      </w:r>
      <w:r>
        <w:t xml:space="preserve"> politicky tak ukázněný, tak rozumný, tak střízlivý, tak klidný, že pochopí vše, co se mu střízlivě a rozumně vyloží. Nic se u nás nestalo, všechno prošlo klidně a hladce, když Německo bylo pouze dalo vojenské posádky do českých míst.</w:t>
      </w:r>
    </w:p>
    <w:p w:rsidR="00500724" w:rsidRDefault="00F30FB8">
      <w:pPr>
        <w:pStyle w:val="Zkladntext20"/>
        <w:shd w:val="clear" w:color="auto" w:fill="auto"/>
        <w:spacing w:line="204" w:lineRule="auto"/>
      </w:pPr>
      <w:r>
        <w:t>Náš národ neměl šlech</w:t>
      </w:r>
      <w:r>
        <w:t>ty, neměl vysokého úřed</w:t>
      </w:r>
      <w:r>
        <w:softHyphen/>
        <w:t>nictva a důstojnictva, vyšlého z tradičně patricij- ských nebo šlechtických rodin. Všechny kulturní, po</w:t>
      </w:r>
      <w:r>
        <w:softHyphen/>
        <w:t>litické i sociální a hospodářské instituce si musil vytvořit sám a udělal to jaksi jakoby v rodině. To proto, že je nás tak málo</w:t>
      </w:r>
      <w:r>
        <w:t xml:space="preserve"> a že skoro se všichni na</w:t>
      </w:r>
      <w:r>
        <w:softHyphen/>
        <w:t>vzájem známe. Jestliže odpovědní němečtí politikové pochopí tuto mentalitu a nechají český národ, aby měl i nadále tentopocit, žejesámmezisebouažebyly jen opatřeny vojenské zájmy velmo</w:t>
      </w:r>
      <w:r>
        <w:softHyphen/>
        <w:t>censky založeného velkého říšskoně- meckéhoná</w:t>
      </w:r>
      <w:r>
        <w:t>roda, pak se vše u nás uklid</w:t>
      </w:r>
      <w:r>
        <w:softHyphen/>
        <w:t>ní rychle, vše přebolí a jsme jisti, že by se dokonce vyvinul jakýsi pocit vděč</w:t>
      </w:r>
      <w:r>
        <w:softHyphen/>
        <w:t>nosti. To stále ještě jde zařídit a přáli bychom sí upřímně, aby tyto možnosti studovali říšskoněmečtí odpovědní politikové.</w:t>
      </w:r>
    </w:p>
    <w:p w:rsidR="00500724" w:rsidRDefault="00F30FB8">
      <w:pPr>
        <w:pStyle w:val="Zkladntext20"/>
        <w:shd w:val="clear" w:color="auto" w:fill="auto"/>
        <w:spacing w:line="204" w:lineRule="auto"/>
        <w:sectPr w:rsidR="00500724">
          <w:footnotePr>
            <w:numFmt w:val="chicago"/>
            <w:numRestart w:val="eachPage"/>
          </w:footnotePr>
          <w:type w:val="continuous"/>
          <w:pgSz w:w="11909" w:h="16834"/>
          <w:pgMar w:top="877" w:right="886" w:bottom="653" w:left="665" w:header="0" w:footer="3" w:gutter="0"/>
          <w:cols w:num="2" w:space="125"/>
          <w:noEndnote/>
          <w:docGrid w:linePitch="360"/>
        </w:sectPr>
      </w:pPr>
      <w:r>
        <w:t>Docela upřímně pravíme, že mezi českým národem nebylo nikdy nenávisti k říšskoněmeckému národu. Pamatujeme se rádi, že říšskoněmecký konsul byl prvním ze zástupců cizích států, kdo přišel blahopřáti k samostatnosti českoslove</w:t>
      </w:r>
      <w:r>
        <w:t>nskému národu hned první den po převratu. Kalilo-li co náš vzájemný poměr, pak to byla jednak vázanost českého národa k jeho franko-britským spojencům. Chceme, aby s námi přímo jednali říšští Němci</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77" w:right="0" w:bottom="653" w:left="0" w:header="0" w:footer="3" w:gutter="0"/>
          <w:cols w:space="720"/>
          <w:noEndnote/>
          <w:docGrid w:linePitch="360"/>
        </w:sectPr>
      </w:pPr>
    </w:p>
    <w:p w:rsidR="00500724" w:rsidRDefault="00F30FB8">
      <w:pPr>
        <w:pStyle w:val="Zkladntext100"/>
        <w:framePr w:w="331" w:h="259" w:wrap="none" w:vAnchor="text" w:hAnchor="page" w:x="10574" w:y="21"/>
        <w:shd w:val="clear" w:color="auto" w:fill="auto"/>
        <w:spacing w:line="240" w:lineRule="auto"/>
        <w:ind w:firstLine="0"/>
        <w:jc w:val="left"/>
        <w:rPr>
          <w:sz w:val="19"/>
          <w:szCs w:val="19"/>
        </w:rPr>
      </w:pPr>
      <w:r>
        <w:rPr>
          <w:i/>
          <w:iCs/>
          <w:smallCaps/>
          <w:sz w:val="19"/>
          <w:szCs w:val="19"/>
        </w:rPr>
        <w:t>86í</w:t>
      </w:r>
    </w:p>
    <w:p w:rsidR="00500724" w:rsidRDefault="00500724">
      <w:pPr>
        <w:spacing w:after="245" w:line="14" w:lineRule="exact"/>
      </w:pPr>
    </w:p>
    <w:p w:rsidR="00500724" w:rsidRDefault="00500724">
      <w:pPr>
        <w:spacing w:line="14" w:lineRule="exact"/>
        <w:sectPr w:rsidR="00500724">
          <w:footnotePr>
            <w:numFmt w:val="chicago"/>
            <w:numRestart w:val="eachPage"/>
          </w:footnotePr>
          <w:type w:val="continuous"/>
          <w:pgSz w:w="11909" w:h="16834"/>
          <w:pgMar w:top="877" w:right="876" w:bottom="653" w:left="655" w:header="0" w:footer="3" w:gutter="0"/>
          <w:cols w:space="720"/>
          <w:noEndnote/>
          <w:docGrid w:linePitch="360"/>
        </w:sectPr>
      </w:pPr>
    </w:p>
    <w:p w:rsidR="00500724" w:rsidRDefault="00F30FB8">
      <w:pPr>
        <w:pStyle w:val="Jin0"/>
        <w:pBdr>
          <w:bottom w:val="single" w:sz="4" w:space="0" w:color="auto"/>
        </w:pBdr>
        <w:shd w:val="clear" w:color="auto" w:fill="auto"/>
        <w:ind w:firstLine="0"/>
        <w:jc w:val="center"/>
        <w:rPr>
          <w:sz w:val="44"/>
          <w:szCs w:val="44"/>
        </w:rPr>
        <w:sectPr w:rsidR="00500724">
          <w:footnotePr>
            <w:numFmt w:val="chicago"/>
            <w:numRestart w:val="eachPage"/>
          </w:footnotePr>
          <w:pgSz w:w="11909" w:h="16834"/>
          <w:pgMar w:top="824" w:right="1092" w:bottom="514" w:left="492" w:header="0" w:footer="3" w:gutter="0"/>
          <w:cols w:space="720"/>
          <w:noEndnote/>
          <w:docGrid w:linePitch="360"/>
        </w:sectPr>
      </w:pPr>
      <w:r>
        <w:rPr>
          <w:rFonts w:ascii="Calibri" w:eastAsia="Calibri" w:hAnsi="Calibri" w:cs="Calibri"/>
          <w:b/>
          <w:bCs/>
          <w:w w:val="70"/>
          <w:sz w:val="44"/>
          <w:szCs w:val="44"/>
          <w:lang w:val="en-US" w:eastAsia="en-US" w:bidi="en-US"/>
        </w:rPr>
        <w:t>PfftomnosO</w:t>
      </w:r>
    </w:p>
    <w:p w:rsidR="00500724" w:rsidRDefault="00500724">
      <w:pPr>
        <w:spacing w:line="43" w:lineRule="exact"/>
        <w:rPr>
          <w:sz w:val="3"/>
          <w:szCs w:val="3"/>
        </w:rPr>
      </w:pPr>
    </w:p>
    <w:p w:rsidR="00500724" w:rsidRDefault="00500724">
      <w:pPr>
        <w:spacing w:line="14" w:lineRule="exact"/>
        <w:sectPr w:rsidR="00500724">
          <w:footnotePr>
            <w:numFmt w:val="chicago"/>
            <w:numRestart w:val="eachPage"/>
          </w:footnotePr>
          <w:type w:val="continuous"/>
          <w:pgSz w:w="11909" w:h="16834"/>
          <w:pgMar w:top="824" w:right="0" w:bottom="514" w:left="0" w:header="0" w:footer="3" w:gutter="0"/>
          <w:cols w:space="720"/>
          <w:noEndnote/>
          <w:docGrid w:linePitch="360"/>
        </w:sectPr>
      </w:pPr>
    </w:p>
    <w:p w:rsidR="00500724" w:rsidRDefault="00F30FB8">
      <w:pPr>
        <w:pStyle w:val="Zkladntext20"/>
        <w:shd w:val="clear" w:color="auto" w:fill="auto"/>
        <w:spacing w:line="204" w:lineRule="auto"/>
        <w:ind w:firstLine="0"/>
      </w:pPr>
      <w:r>
        <w:t>sami, aby toto pochopili a aby umožnili českému národu uklidnění a pocit samostatnosti.</w:t>
      </w:r>
    </w:p>
    <w:p w:rsidR="00500724" w:rsidRDefault="00F30FB8">
      <w:pPr>
        <w:pStyle w:val="Zkladntext20"/>
        <w:shd w:val="clear" w:color="auto" w:fill="auto"/>
        <w:spacing w:line="204" w:lineRule="auto"/>
        <w:ind w:firstLine="260"/>
      </w:pPr>
      <w:r>
        <w:t xml:space="preserve">Nikterak na tom Německá veleříše neprodělá. Po- liticko-vojensky české </w:t>
      </w:r>
      <w:r>
        <w:t>země jí nebudou již vůbec ne</w:t>
      </w:r>
      <w:r>
        <w:softHyphen/>
        <w:t>bezpečné, ale nejenom proto, že zde bude míti posád</w:t>
      </w:r>
      <w:r>
        <w:softHyphen/>
        <w:t>ky, ale také proto, že se postupně obrátí celá menta</w:t>
      </w:r>
      <w:r>
        <w:softHyphen/>
        <w:t>lita českého národa. Je nás tak málo a máme tak málo území, je nás na něm tak poměrně mnoho na jeden kilometr, že pochopit</w:t>
      </w:r>
      <w:r>
        <w:t>elně se selskou žárlivostí — všichni jsme selského původu — střežíme každou sebe</w:t>
      </w:r>
      <w:r>
        <w:softHyphen/>
        <w:t>menší českou věc, každý sebemenší český majeteček, každé sebemenší české právo, každou sebeméně- významnou českou výsadu, toužíme po pocitu svobody, nezávislosti, klidu, po pr</w:t>
      </w:r>
      <w:r>
        <w:t>áci, po svobodném vývoji ve všech směrech a chcememír, ne válku, klid, pokoj, český národ nechce žít ve stálém napětí, v obavách, stísněnosti a nejistotě. Tak dobře by to všechno šlo, aby český národ se mohl těmto pocitům oddati a výsledek by byl, že české</w:t>
      </w:r>
      <w:r>
        <w:t xml:space="preserve"> země by byly naprosto bezpečným územím pro velkoněmeckou říši.</w:t>
      </w:r>
    </w:p>
    <w:p w:rsidR="00500724" w:rsidRDefault="00F30FB8">
      <w:pPr>
        <w:pStyle w:val="Zkladntext20"/>
        <w:shd w:val="clear" w:color="auto" w:fill="auto"/>
        <w:spacing w:line="204" w:lineRule="auto"/>
        <w:ind w:firstLine="260"/>
      </w:pPr>
      <w:r>
        <w:t>To neznamená, že se něčeho doprošujeme. My víme, že tolik knihoven na každé vesnici, tolik tělocvičných organisaci, tolik kulturních spolků, tolik nových knih, takové touhy po vzdělání a tak v</w:t>
      </w:r>
      <w:r>
        <w:t>ysokého vzdělanost- ního průměru máme, že se můžeme po této stránce — když bohužel ne počtem — rovnat Francouzům, Angličanům, Američanům, slovem každému kultur</w:t>
      </w:r>
      <w:r>
        <w:softHyphen/>
        <w:t>nímu národu. Ale je možné užít psychologicky obratně jeho současného rozpoložení, získat si ho a</w:t>
      </w:r>
      <w:r>
        <w:t xml:space="preserve"> tak si zabezpečit vnitřní uklidnění. To jsou velké statky, kte</w:t>
      </w:r>
      <w:r>
        <w:softHyphen/>
        <w:t>ré dovede ocenit i silná velmoc.</w:t>
      </w:r>
    </w:p>
    <w:p w:rsidR="00500724" w:rsidRDefault="00F30FB8">
      <w:pPr>
        <w:pStyle w:val="Zkladntext20"/>
        <w:shd w:val="clear" w:color="auto" w:fill="auto"/>
        <w:spacing w:line="204" w:lineRule="auto"/>
        <w:ind w:firstLine="260"/>
      </w:pPr>
      <w:r>
        <w:t>A zase upřímné slovo k odpovědným říšskoněmec</w:t>
      </w:r>
      <w:r>
        <w:softHyphen/>
        <w:t>kým politikům nakonec. Oni sice zažili po světové vál</w:t>
      </w:r>
      <w:r>
        <w:softHyphen/>
        <w:t xml:space="preserve">ce, co je to útlak, bída a nesamostatnost, ale není v nich </w:t>
      </w:r>
      <w:r>
        <w:t>onen bolavý pocit malého národa, stísněnost a vnitřní nazlobenost národní menšiny. Právě proto, aby se tyto věci srovnaly co možná nejdříve, bylo by podle našeho úsudku lépe, kdyby všechny věci, týkající se za</w:t>
      </w:r>
      <w:r>
        <w:softHyphen/>
        <w:t>sahování do oblasti českého národa, měli v ruk</w:t>
      </w:r>
      <w:r>
        <w:t>ou od</w:t>
      </w:r>
      <w:r>
        <w:softHyphen/>
        <w:t>povědní politikové, kteří mají světová měřítka a svě</w:t>
      </w:r>
      <w:r>
        <w:softHyphen/>
        <w:t>tový rozhled.</w:t>
      </w:r>
    </w:p>
    <w:p w:rsidR="00500724" w:rsidRDefault="00F30FB8">
      <w:pPr>
        <w:pStyle w:val="Zkladntext20"/>
        <w:shd w:val="clear" w:color="auto" w:fill="auto"/>
        <w:spacing w:after="80" w:line="204" w:lineRule="auto"/>
        <w:ind w:firstLine="260"/>
        <w:rPr>
          <w:sz w:val="20"/>
          <w:szCs w:val="20"/>
        </w:rPr>
      </w:pPr>
      <w:r>
        <w:t>Jde o věc velmi vážnou a jistě není zdaleka tento předmět vyčerpán. Nevíme také, kolik je dovoleno říci veřejně a zda naše upřímnost nebyla příliš dalekosáhlá. Ale tolik o ní můžeme ř</w:t>
      </w:r>
      <w:r>
        <w:t xml:space="preserve">íci, že to vše, co jsme právě napsali, bylo skutečně míněno upřímně a že to také bylo poctivě řečeno. </w:t>
      </w:r>
      <w:r>
        <w:rPr>
          <w:i/>
          <w:iCs/>
          <w:sz w:val="20"/>
          <w:szCs w:val="20"/>
        </w:rPr>
        <w:t>Dr. Václav Sedlálc</w:t>
      </w:r>
    </w:p>
    <w:p w:rsidR="00500724" w:rsidRDefault="00F30FB8">
      <w:pPr>
        <w:pStyle w:val="Nadpis80"/>
        <w:keepNext/>
        <w:keepLines/>
        <w:shd w:val="clear" w:color="auto" w:fill="auto"/>
        <w:spacing w:after="200"/>
      </w:pPr>
      <w:bookmarkStart w:id="594" w:name="bookmark593"/>
      <w:r>
        <w:rPr>
          <w:u w:val="none"/>
        </w:rPr>
        <w:t>poznámky</w:t>
      </w:r>
      <w:bookmarkEnd w:id="594"/>
    </w:p>
    <w:p w:rsidR="00500724" w:rsidRDefault="00F30FB8">
      <w:pPr>
        <w:pStyle w:val="Zkladntext20"/>
        <w:shd w:val="clear" w:color="auto" w:fill="auto"/>
        <w:spacing w:line="197" w:lineRule="auto"/>
        <w:ind w:firstLine="0"/>
        <w:jc w:val="center"/>
        <w:rPr>
          <w:sz w:val="20"/>
          <w:szCs w:val="20"/>
        </w:rPr>
      </w:pPr>
      <w:r>
        <w:rPr>
          <w:b/>
          <w:bCs/>
          <w:sz w:val="20"/>
          <w:szCs w:val="20"/>
        </w:rPr>
        <w:t>Dva roky Chamberlainova premiérství</w:t>
      </w:r>
    </w:p>
    <w:p w:rsidR="00500724" w:rsidRDefault="00F30FB8">
      <w:pPr>
        <w:pStyle w:val="Zkladntext100"/>
        <w:shd w:val="clear" w:color="auto" w:fill="auto"/>
        <w:spacing w:after="60" w:line="206" w:lineRule="auto"/>
        <w:ind w:firstLine="260"/>
        <w:rPr>
          <w:sz w:val="19"/>
          <w:szCs w:val="19"/>
        </w:rPr>
      </w:pPr>
      <w:r>
        <w:rPr>
          <w:b/>
          <w:bCs/>
          <w:sz w:val="19"/>
          <w:szCs w:val="19"/>
        </w:rPr>
        <w:t>Dne 31. května 1937, po odstoupení Baldwinově, byl zvo</w:t>
      </w:r>
      <w:r>
        <w:rPr>
          <w:b/>
          <w:bCs/>
          <w:sz w:val="19"/>
          <w:szCs w:val="19"/>
        </w:rPr>
        <w:softHyphen/>
        <w:t xml:space="preserve">len Sír. </w:t>
      </w:r>
      <w:r>
        <w:rPr>
          <w:b/>
          <w:bCs/>
          <w:sz w:val="19"/>
          <w:szCs w:val="19"/>
          <w:lang w:val="en-US" w:eastAsia="en-US" w:bidi="en-US"/>
        </w:rPr>
        <w:t xml:space="preserve">Neville Chamberlain </w:t>
      </w:r>
      <w:r>
        <w:rPr>
          <w:b/>
          <w:bCs/>
          <w:sz w:val="19"/>
          <w:szCs w:val="19"/>
        </w:rPr>
        <w:t>předsedou britské konserva- tivní strany. Tři dny po tom byl jmenován předsedou vlá- dy. Oslavil tedy nyní dvouleté jubileum svého premiérství, čemuž byl dán výraz v Anglii poněkud nezvyklý, totiž vy</w:t>
      </w:r>
      <w:r>
        <w:rPr>
          <w:b/>
          <w:bCs/>
          <w:sz w:val="19"/>
          <w:szCs w:val="19"/>
        </w:rPr>
        <w:softHyphen/>
        <w:t>dáním zvláštní publikace. Tato knížka, která právě vyšla</w:t>
      </w:r>
      <w:r>
        <w:rPr>
          <w:b/>
          <w:bCs/>
          <w:sz w:val="19"/>
          <w:szCs w:val="19"/>
        </w:rPr>
        <w:t xml:space="preserve"> pod názvem s-Zápas o mír« </w:t>
      </w:r>
      <w:r>
        <w:rPr>
          <w:b/>
          <w:bCs/>
          <w:sz w:val="19"/>
          <w:szCs w:val="19"/>
          <w:lang w:val="en-US" w:eastAsia="en-US" w:bidi="en-US"/>
        </w:rPr>
        <w:t xml:space="preserve">(The Struggle for Peace. By the </w:t>
      </w:r>
      <w:r>
        <w:rPr>
          <w:b/>
          <w:bCs/>
          <w:sz w:val="19"/>
          <w:szCs w:val="19"/>
        </w:rPr>
        <w:t xml:space="preserve">Et. Hon. </w:t>
      </w:r>
      <w:r>
        <w:rPr>
          <w:b/>
          <w:bCs/>
          <w:sz w:val="19"/>
          <w:szCs w:val="19"/>
          <w:lang w:val="en-US" w:eastAsia="en-US" w:bidi="en-US"/>
        </w:rPr>
        <w:t xml:space="preserve">Neville Chamberlain, </w:t>
      </w:r>
      <w:r>
        <w:rPr>
          <w:b/>
          <w:bCs/>
          <w:sz w:val="19"/>
          <w:szCs w:val="19"/>
        </w:rPr>
        <w:t xml:space="preserve">M. P. </w:t>
      </w:r>
      <w:r>
        <w:rPr>
          <w:b/>
          <w:bCs/>
          <w:sz w:val="19"/>
          <w:szCs w:val="19"/>
          <w:lang w:val="en-US" w:eastAsia="en-US" w:bidi="en-US"/>
        </w:rPr>
        <w:t xml:space="preserve">Hutchinson, </w:t>
      </w:r>
      <w:r>
        <w:rPr>
          <w:b/>
          <w:bCs/>
          <w:sz w:val="19"/>
          <w:szCs w:val="19"/>
        </w:rPr>
        <w:t xml:space="preserve">8s. 6d.), obsahuje 35 řeěi </w:t>
      </w:r>
      <w:r>
        <w:rPr>
          <w:b/>
          <w:bCs/>
          <w:sz w:val="19"/>
          <w:szCs w:val="19"/>
          <w:lang w:val="en-US" w:eastAsia="en-US" w:bidi="en-US"/>
        </w:rPr>
        <w:t xml:space="preserve">Mr. </w:t>
      </w:r>
      <w:r>
        <w:rPr>
          <w:b/>
          <w:bCs/>
          <w:sz w:val="19"/>
          <w:szCs w:val="19"/>
        </w:rPr>
        <w:t>Chamberlaina, od jeho první řeěi předsednické, přes velké sněmovní projevy o Společnosti národů, o anglo-italské smlou</w:t>
      </w:r>
      <w:r>
        <w:rPr>
          <w:b/>
          <w:bCs/>
          <w:sz w:val="19"/>
          <w:szCs w:val="19"/>
        </w:rPr>
        <w:t>vě, o Španělsku, o Anšlusu, o československé krisi, o Mnichově, o pomnichovském údo</w:t>
      </w:r>
      <w:r>
        <w:rPr>
          <w:b/>
          <w:bCs/>
          <w:sz w:val="19"/>
          <w:szCs w:val="19"/>
        </w:rPr>
        <w:softHyphen/>
        <w:t>bí mezinárodní úlevy, o novém evropském napětí, o zániku Sds</w:t>
      </w:r>
    </w:p>
    <w:p w:rsidR="00500724" w:rsidRDefault="00F30FB8">
      <w:pPr>
        <w:pStyle w:val="Zkladntext100"/>
        <w:shd w:val="clear" w:color="auto" w:fill="auto"/>
        <w:spacing w:line="187" w:lineRule="auto"/>
        <w:ind w:firstLine="0"/>
        <w:rPr>
          <w:sz w:val="19"/>
          <w:szCs w:val="19"/>
        </w:rPr>
      </w:pPr>
      <w:r>
        <w:rPr>
          <w:b/>
          <w:bCs/>
          <w:sz w:val="19"/>
          <w:szCs w:val="19"/>
        </w:rPr>
        <w:t xml:space="preserve">Česko-Siovenska atd., až do poslední řeči 3. dubna, kde </w:t>
      </w:r>
      <w:r>
        <w:rPr>
          <w:b/>
          <w:bCs/>
          <w:sz w:val="19"/>
          <w:szCs w:val="19"/>
          <w:lang w:val="en-US" w:eastAsia="en-US" w:bidi="en-US"/>
        </w:rPr>
        <w:t xml:space="preserve">Chamberlain </w:t>
      </w:r>
      <w:r>
        <w:rPr>
          <w:b/>
          <w:bCs/>
          <w:sz w:val="19"/>
          <w:szCs w:val="19"/>
        </w:rPr>
        <w:t>ohlásil smlouvy s Polskem, Řeckem a Ru</w:t>
      </w:r>
      <w:r>
        <w:rPr>
          <w:b/>
          <w:bCs/>
          <w:sz w:val="19"/>
          <w:szCs w:val="19"/>
        </w:rPr>
        <w:softHyphen/>
      </w:r>
      <w:r>
        <w:rPr>
          <w:b/>
          <w:bCs/>
          <w:sz w:val="19"/>
          <w:szCs w:val="19"/>
        </w:rPr>
        <w:t>munskem a dodal, že v důsledku událostí 15. března nastal tento anaprostý obrat britské politiky«.</w:t>
      </w:r>
    </w:p>
    <w:p w:rsidR="00500724" w:rsidRDefault="00F30FB8">
      <w:pPr>
        <w:pStyle w:val="Zkladntext100"/>
        <w:shd w:val="clear" w:color="auto" w:fill="auto"/>
        <w:spacing w:line="187" w:lineRule="auto"/>
        <w:ind w:firstLine="220"/>
        <w:rPr>
          <w:sz w:val="19"/>
          <w:szCs w:val="19"/>
        </w:rPr>
      </w:pPr>
      <w:r>
        <w:rPr>
          <w:b/>
          <w:bCs/>
          <w:sz w:val="19"/>
          <w:szCs w:val="19"/>
        </w:rPr>
        <w:t xml:space="preserve">V úvodu, který napsal </w:t>
      </w:r>
      <w:r>
        <w:rPr>
          <w:b/>
          <w:bCs/>
          <w:sz w:val="19"/>
          <w:szCs w:val="19"/>
          <w:lang w:val="en-US" w:eastAsia="en-US" w:bidi="en-US"/>
        </w:rPr>
        <w:t xml:space="preserve">Mr. Arthur Bryant, </w:t>
      </w:r>
      <w:r>
        <w:rPr>
          <w:b/>
          <w:bCs/>
          <w:sz w:val="19"/>
          <w:szCs w:val="19"/>
        </w:rPr>
        <w:t>se zdůrazňuje s velkou naléhavostí, že Chamberlainovy snahy o mir byly a jsou upřímné, že jeho přáním je rozptýlit p</w:t>
      </w:r>
      <w:r>
        <w:rPr>
          <w:b/>
          <w:bCs/>
          <w:sz w:val="19"/>
          <w:szCs w:val="19"/>
        </w:rPr>
        <w:t xml:space="preserve">říšeru války, která poletuje nad Evropou, ale při tom je označen </w:t>
      </w:r>
      <w:r>
        <w:rPr>
          <w:b/>
          <w:bCs/>
          <w:sz w:val="19"/>
          <w:szCs w:val="19"/>
          <w:lang w:val="en-US" w:eastAsia="en-US" w:bidi="en-US"/>
        </w:rPr>
        <w:t>Cham</w:t>
      </w:r>
      <w:r>
        <w:rPr>
          <w:b/>
          <w:bCs/>
          <w:sz w:val="19"/>
          <w:szCs w:val="19"/>
          <w:lang w:val="en-US" w:eastAsia="en-US" w:bidi="en-US"/>
        </w:rPr>
        <w:softHyphen/>
        <w:t xml:space="preserve">berlain </w:t>
      </w:r>
      <w:r>
        <w:rPr>
          <w:b/>
          <w:bCs/>
          <w:sz w:val="19"/>
          <w:szCs w:val="19"/>
        </w:rPr>
        <w:t>za realistu, který ví, co je možné a. co je dosaži</w:t>
      </w:r>
      <w:r>
        <w:rPr>
          <w:b/>
          <w:bCs/>
          <w:sz w:val="19"/>
          <w:szCs w:val="19"/>
        </w:rPr>
        <w:softHyphen/>
        <w:t>telné politickými prostředky. Za Chamberlainovo krédo je vydáván odstavec z jeho rozhlasové přednášky v době předmnichovských j</w:t>
      </w:r>
      <w:r>
        <w:rPr>
          <w:b/>
          <w:bCs/>
          <w:sz w:val="19"/>
          <w:szCs w:val="19"/>
        </w:rPr>
        <w:t xml:space="preserve">ednání, v němž </w:t>
      </w:r>
      <w:r>
        <w:rPr>
          <w:b/>
          <w:bCs/>
          <w:sz w:val="19"/>
          <w:szCs w:val="19"/>
          <w:lang w:val="en-US" w:eastAsia="en-US" w:bidi="en-US"/>
        </w:rPr>
        <w:t xml:space="preserve">Chamberlain </w:t>
      </w:r>
      <w:r>
        <w:rPr>
          <w:b/>
          <w:bCs/>
          <w:sz w:val="19"/>
          <w:szCs w:val="19"/>
        </w:rPr>
        <w:t>praví: »Aěkoliv jsem mužem míru, je tu přece jen požadavek, který, kdyby byl předložen, musil by narazit na odpor, kdyby toho bylo potřebí, i na odpor silou. To by byl požada</w:t>
      </w:r>
      <w:r>
        <w:rPr>
          <w:b/>
          <w:bCs/>
          <w:sz w:val="19"/>
          <w:szCs w:val="19"/>
        </w:rPr>
        <w:softHyphen/>
        <w:t xml:space="preserve">vek, aby jeden stát mohl ovládat druhý násilím, neboť </w:t>
      </w:r>
      <w:r>
        <w:rPr>
          <w:b/>
          <w:bCs/>
          <w:sz w:val="19"/>
          <w:szCs w:val="19"/>
        </w:rPr>
        <w:t>kdyby takový požadavek byl předložen, a byl připuštěn, pak nevidím, jak kdokoli by měl možnost žít v těsném i duchovním míru.«</w:t>
      </w:r>
    </w:p>
    <w:p w:rsidR="00500724" w:rsidRDefault="00F30FB8">
      <w:pPr>
        <w:pStyle w:val="Zkladntext100"/>
        <w:shd w:val="clear" w:color="auto" w:fill="auto"/>
        <w:spacing w:line="187" w:lineRule="auto"/>
        <w:ind w:firstLine="220"/>
        <w:rPr>
          <w:sz w:val="19"/>
          <w:szCs w:val="19"/>
        </w:rPr>
      </w:pPr>
      <w:r>
        <w:rPr>
          <w:b/>
          <w:bCs/>
          <w:sz w:val="19"/>
          <w:szCs w:val="19"/>
        </w:rPr>
        <w:t xml:space="preserve">Dosud nelze říci, jak byla a bude tato chamberlainovská anthologie přijata v Anglii a nemáme ovšem také možnost kontrolovat, zda </w:t>
      </w:r>
      <w:r>
        <w:rPr>
          <w:b/>
          <w:bCs/>
          <w:sz w:val="19"/>
          <w:szCs w:val="19"/>
        </w:rPr>
        <w:t>zahrnuje všechny řeěi a ty, které obsahu</w:t>
      </w:r>
      <w:r>
        <w:rPr>
          <w:b/>
          <w:bCs/>
          <w:sz w:val="19"/>
          <w:szCs w:val="19"/>
        </w:rPr>
        <w:softHyphen/>
        <w:t>je, zda jsou kompletní. Nejpravděpodobnější výklad je, že lze se na tuto knihu dívat jako na pokus o výklad sou</w:t>
      </w:r>
      <w:r>
        <w:rPr>
          <w:b/>
          <w:bCs/>
          <w:sz w:val="19"/>
          <w:szCs w:val="19"/>
        </w:rPr>
        <w:softHyphen/>
        <w:t xml:space="preserve">časné politiky Anglie, kterým se má dokázat, že Anglie do nedávných týdnů se snažila ze všech sil, aby </w:t>
      </w:r>
      <w:r>
        <w:rPr>
          <w:b/>
          <w:bCs/>
          <w:sz w:val="19"/>
          <w:szCs w:val="19"/>
        </w:rPr>
        <w:t>nemusila dě</w:t>
      </w:r>
      <w:r>
        <w:rPr>
          <w:b/>
          <w:bCs/>
          <w:sz w:val="19"/>
          <w:szCs w:val="19"/>
        </w:rPr>
        <w:softHyphen/>
        <w:t>lat dnešní politiku, která je označována (přes anglický odpor proti tomuto terminu) za politiku obkličovací.</w:t>
      </w:r>
    </w:p>
    <w:p w:rsidR="00500724" w:rsidRDefault="00F30FB8">
      <w:pPr>
        <w:pStyle w:val="Zkladntext20"/>
        <w:shd w:val="clear" w:color="auto" w:fill="auto"/>
        <w:spacing w:after="100" w:line="178" w:lineRule="auto"/>
        <w:ind w:firstLine="0"/>
        <w:jc w:val="right"/>
        <w:rPr>
          <w:sz w:val="20"/>
          <w:szCs w:val="20"/>
        </w:rPr>
      </w:pPr>
      <w:r>
        <w:rPr>
          <w:i/>
          <w:iCs/>
          <w:sz w:val="20"/>
          <w:szCs w:val="20"/>
        </w:rPr>
        <w:t>Moll.</w:t>
      </w:r>
    </w:p>
    <w:p w:rsidR="00500724" w:rsidRDefault="00F30FB8">
      <w:pPr>
        <w:pStyle w:val="Zkladntext20"/>
        <w:shd w:val="clear" w:color="auto" w:fill="auto"/>
        <w:spacing w:after="100" w:line="178" w:lineRule="auto"/>
        <w:ind w:firstLine="0"/>
        <w:jc w:val="center"/>
        <w:rPr>
          <w:sz w:val="20"/>
          <w:szCs w:val="20"/>
        </w:rPr>
      </w:pPr>
      <w:r>
        <w:rPr>
          <w:b/>
          <w:bCs/>
          <w:sz w:val="20"/>
          <w:szCs w:val="20"/>
        </w:rPr>
        <w:t>Ohlas Molotovovy řeči</w:t>
      </w:r>
    </w:p>
    <w:p w:rsidR="00500724" w:rsidRDefault="00F30FB8">
      <w:pPr>
        <w:pStyle w:val="Zkladntext100"/>
        <w:shd w:val="clear" w:color="auto" w:fill="auto"/>
        <w:spacing w:line="187" w:lineRule="auto"/>
        <w:ind w:firstLine="220"/>
        <w:rPr>
          <w:sz w:val="19"/>
          <w:szCs w:val="19"/>
        </w:rPr>
      </w:pPr>
      <w:r>
        <w:rPr>
          <w:b/>
          <w:bCs/>
          <w:sz w:val="19"/>
          <w:szCs w:val="19"/>
        </w:rPr>
        <w:t xml:space="preserve">Zdá se, že Molotovova řeč, kterou pronesl před tak zv. sovětským parlamentem 31. května ve své dvojnásobné </w:t>
      </w:r>
      <w:r>
        <w:rPr>
          <w:b/>
          <w:bCs/>
          <w:sz w:val="19"/>
          <w:szCs w:val="19"/>
        </w:rPr>
        <w:t xml:space="preserve">funkci předsedy vlády a ministra zahraničních věcí, vzbudila Větší a hlubší dojem, než se očekávalo, a to v měřítku přímo světovém. Tak na př. v Japonsku byla přijata s nejistotou. Japonský tisk podle informací politických japonských míst očekával, že </w:t>
      </w:r>
      <w:r>
        <w:rPr>
          <w:b/>
          <w:bCs/>
          <w:sz w:val="19"/>
          <w:szCs w:val="19"/>
          <w:lang w:val="en-US" w:eastAsia="en-US" w:bidi="en-US"/>
        </w:rPr>
        <w:t>Molo</w:t>
      </w:r>
      <w:r>
        <w:rPr>
          <w:b/>
          <w:bCs/>
          <w:sz w:val="19"/>
          <w:szCs w:val="19"/>
          <w:lang w:val="en-US" w:eastAsia="en-US" w:bidi="en-US"/>
        </w:rPr>
        <w:t xml:space="preserve">tov </w:t>
      </w:r>
      <w:r>
        <w:rPr>
          <w:b/>
          <w:bCs/>
          <w:sz w:val="19"/>
          <w:szCs w:val="19"/>
        </w:rPr>
        <w:t>prohlásí jasně, že Sovětské Rusko jde s Velkou Britanií a Francií proti Ně</w:t>
      </w:r>
      <w:r>
        <w:rPr>
          <w:b/>
          <w:bCs/>
          <w:sz w:val="19"/>
          <w:szCs w:val="19"/>
        </w:rPr>
        <w:softHyphen/>
        <w:t xml:space="preserve">mecku. Namísto toho </w:t>
      </w:r>
      <w:r>
        <w:rPr>
          <w:b/>
          <w:bCs/>
          <w:sz w:val="19"/>
          <w:szCs w:val="19"/>
          <w:lang w:val="en-US" w:eastAsia="en-US" w:bidi="en-US"/>
        </w:rPr>
        <w:t xml:space="preserve">Molotov </w:t>
      </w:r>
      <w:r>
        <w:rPr>
          <w:b/>
          <w:bCs/>
          <w:sz w:val="19"/>
          <w:szCs w:val="19"/>
        </w:rPr>
        <w:t xml:space="preserve">kriticky mluvil o franko- britských návrzích, byl celkem zdrželivý a navíc zdůraznil, lže Rusko znovu zahájí jednání s Německem o obchodní smlouvu. </w:t>
      </w:r>
      <w:r>
        <w:rPr>
          <w:b/>
          <w:bCs/>
          <w:sz w:val="19"/>
          <w:szCs w:val="19"/>
        </w:rPr>
        <w:t>Japonci jsou právě poněkud zaraženi tímto způ</w:t>
      </w:r>
      <w:r>
        <w:rPr>
          <w:b/>
          <w:bCs/>
          <w:sz w:val="19"/>
          <w:szCs w:val="19"/>
        </w:rPr>
        <w:softHyphen/>
        <w:t xml:space="preserve">sobem řeěi, že totiž především </w:t>
      </w:r>
      <w:r>
        <w:rPr>
          <w:b/>
          <w:bCs/>
          <w:sz w:val="19"/>
          <w:szCs w:val="19"/>
          <w:lang w:val="en-US" w:eastAsia="en-US" w:bidi="en-US"/>
        </w:rPr>
        <w:t xml:space="preserve">Molotov </w:t>
      </w:r>
      <w:r>
        <w:rPr>
          <w:b/>
          <w:bCs/>
          <w:sz w:val="19"/>
          <w:szCs w:val="19"/>
        </w:rPr>
        <w:t xml:space="preserve">otevřeně se zmínil o jednáních s Německem. Japonci se ovšem dívají na celou evropskou situaci docela jinak, než velmoci, jež nyní hraji tuto partii. Japonci pochopitelně, </w:t>
      </w:r>
      <w:r>
        <w:rPr>
          <w:b/>
          <w:bCs/>
          <w:sz w:val="19"/>
          <w:szCs w:val="19"/>
        </w:rPr>
        <w:t>jako vždy, mají jen ryze japonské zájmy.</w:t>
      </w:r>
    </w:p>
    <w:p w:rsidR="00500724" w:rsidRDefault="00F30FB8">
      <w:pPr>
        <w:pStyle w:val="Zkladntext100"/>
        <w:shd w:val="clear" w:color="auto" w:fill="auto"/>
        <w:spacing w:line="187" w:lineRule="auto"/>
        <w:ind w:firstLine="220"/>
        <w:rPr>
          <w:sz w:val="19"/>
          <w:szCs w:val="19"/>
        </w:rPr>
      </w:pPr>
      <w:r>
        <w:rPr>
          <w:b/>
          <w:bCs/>
          <w:sz w:val="19"/>
          <w:szCs w:val="19"/>
        </w:rPr>
        <w:t>Japonci se obávají, že jakmile se Rusko zabezpečí ně</w:t>
      </w:r>
      <w:r>
        <w:rPr>
          <w:b/>
          <w:bCs/>
          <w:sz w:val="19"/>
          <w:szCs w:val="19"/>
        </w:rPr>
        <w:softHyphen/>
        <w:t>jakými smlouvami v Evropě, bude moci býti výbojnější na své hranici na Dálném východě. Ale konečně i s tím Japonci počítají jen jako s přechodným zlem, protože oč</w:t>
      </w:r>
      <w:r>
        <w:rPr>
          <w:b/>
          <w:bCs/>
          <w:sz w:val="19"/>
          <w:szCs w:val="19"/>
        </w:rPr>
        <w:t>ekávají, že jakmile se pak Rusko zaplete hlouběji do nějakých evropských konfliktů, pak zase tento tlak po</w:t>
      </w:r>
      <w:r>
        <w:rPr>
          <w:b/>
          <w:bCs/>
          <w:sz w:val="19"/>
          <w:szCs w:val="19"/>
        </w:rPr>
        <w:softHyphen/>
        <w:t>mine. Japonsko samo proti Rusku ovšem nic nevyvolá, na to je příliš opatrné. Ale za nejhorší strašák považují Japonci vždy nějakou možnost dohody mez</w:t>
      </w:r>
      <w:r>
        <w:rPr>
          <w:b/>
          <w:bCs/>
          <w:sz w:val="19"/>
          <w:szCs w:val="19"/>
        </w:rPr>
        <w:t>i Německem a Ruskem. Podle ohlasu v anglo-americkém tisku jsou ovšem tyto japonské kombinace diktovány příliš exponovaným japonským postavením v Číně. Tak si lze asi vysvětlit, proě najednou se mluví o přístupu Japonska k formálnímu spolku mocnosti římsko-</w:t>
      </w:r>
      <w:r>
        <w:rPr>
          <w:b/>
          <w:bCs/>
          <w:sz w:val="19"/>
          <w:szCs w:val="19"/>
        </w:rPr>
        <w:t>berlínské osy, aě do nedávná (až na podpis paktu o Anti-kominterně) se v této věci Japonsko chovalo velmi zdrželivě a opatrně. Japonsko raději chce slíhiti účast v evropských věcech, jen aby zabránilo ne</w:t>
      </w:r>
      <w:r>
        <w:rPr>
          <w:b/>
          <w:bCs/>
          <w:sz w:val="19"/>
          <w:szCs w:val="19"/>
        </w:rPr>
        <w:softHyphen/>
        <w:t xml:space="preserve">bezpečí rusko-německého sblížení, jehož se léta již </w:t>
      </w:r>
      <w:r>
        <w:rPr>
          <w:b/>
          <w:bCs/>
          <w:sz w:val="19"/>
          <w:szCs w:val="19"/>
        </w:rPr>
        <w:t>obává.</w:t>
      </w:r>
    </w:p>
    <w:p w:rsidR="00500724" w:rsidRDefault="00F30FB8">
      <w:pPr>
        <w:pStyle w:val="Zkladntext100"/>
        <w:shd w:val="clear" w:color="auto" w:fill="auto"/>
        <w:spacing w:after="100" w:line="187" w:lineRule="auto"/>
        <w:ind w:firstLine="220"/>
        <w:rPr>
          <w:sz w:val="19"/>
          <w:szCs w:val="19"/>
        </w:rPr>
        <w:sectPr w:rsidR="00500724">
          <w:footnotePr>
            <w:numFmt w:val="chicago"/>
            <w:numRestart w:val="eachPage"/>
          </w:footnotePr>
          <w:type w:val="continuous"/>
          <w:pgSz w:w="11909" w:h="16834"/>
          <w:pgMar w:top="824" w:right="1092" w:bottom="514" w:left="492" w:header="0" w:footer="3" w:gutter="0"/>
          <w:cols w:num="2" w:space="149"/>
          <w:noEndnote/>
          <w:docGrid w:linePitch="360"/>
        </w:sectPr>
      </w:pPr>
      <w:r>
        <w:rPr>
          <w:b/>
          <w:bCs/>
          <w:sz w:val="19"/>
          <w:szCs w:val="19"/>
        </w:rPr>
        <w:t>Francouzský tisk se chová k řeěi Molotovově opatrně a stále zdůrazňuje, že je přesvědčen o tom, že vyjednávání frankobriteké se sovětským Ruskem se skončí úplnou do</w:t>
      </w:r>
      <w:r>
        <w:rPr>
          <w:b/>
          <w:bCs/>
          <w:sz w:val="19"/>
          <w:szCs w:val="19"/>
        </w:rPr>
        <w:softHyphen/>
        <w:t>hodou patrně na základně kompletní aliance. Tak také s</w:t>
      </w:r>
      <w:r>
        <w:rPr>
          <w:b/>
          <w:bCs/>
          <w:sz w:val="19"/>
          <w:szCs w:val="19"/>
        </w:rPr>
        <w:t>oudi 1 polský tisk, který vidí jedinou překážím už jen v tom, jak se rozřeší problém baltských států, ale domnívá se, že nejde o nepřekročitelné propasti v názorech mezi západními politiky a sovětskou vládou. Když Francie a Anglie neměly nic proti tomu, ab</w:t>
      </w:r>
      <w:r>
        <w:rPr>
          <w:b/>
          <w:bCs/>
          <w:sz w:val="19"/>
          <w:szCs w:val="19"/>
        </w:rPr>
        <w:t>y baltské státy uzavřely pakt o neútoěení mezi nimi a Německem, pak lze rovněž dosíci i toho, aby nezávislost baltských států byla zaru</w:t>
      </w:r>
      <w:r>
        <w:rPr>
          <w:b/>
          <w:bCs/>
          <w:sz w:val="19"/>
          <w:szCs w:val="19"/>
        </w:rPr>
        <w:softHyphen/>
        <w:t>čena také sovětským Ruskem. V tom vidí rovněž i fran</w:t>
      </w:r>
      <w:r>
        <w:rPr>
          <w:b/>
          <w:bCs/>
          <w:sz w:val="19"/>
          <w:szCs w:val="19"/>
        </w:rPr>
        <w:softHyphen/>
        <w:t>couzský tisk, který se tedy pohybuje na stejném poli jako tisk pols</w:t>
      </w:r>
      <w:r>
        <w:rPr>
          <w:b/>
          <w:bCs/>
          <w:sz w:val="19"/>
          <w:szCs w:val="19"/>
        </w:rPr>
        <w:t>ký, hlavní otázku: jak to zařídit, aby trojnásobná záruka franko-britsko-ruská byla rozšířena rovněž na baltské Státy.</w:t>
      </w:r>
    </w:p>
    <w:p w:rsidR="00500724" w:rsidRDefault="00F30FB8">
      <w:pPr>
        <w:pStyle w:val="Nadpis80"/>
        <w:keepNext/>
        <w:keepLines/>
        <w:pBdr>
          <w:bottom w:val="single" w:sz="4" w:space="0" w:color="auto"/>
        </w:pBdr>
        <w:shd w:val="clear" w:color="auto" w:fill="auto"/>
        <w:spacing w:after="0"/>
        <w:jc w:val="center"/>
        <w:sectPr w:rsidR="00500724">
          <w:footnotePr>
            <w:numFmt w:val="chicago"/>
            <w:numRestart w:val="eachPage"/>
          </w:footnotePr>
          <w:pgSz w:w="11909" w:h="16834"/>
          <w:pgMar w:top="766" w:right="761" w:bottom="965" w:left="881" w:header="0" w:footer="3" w:gutter="0"/>
          <w:cols w:space="720"/>
          <w:noEndnote/>
          <w:docGrid w:linePitch="360"/>
        </w:sectPr>
      </w:pPr>
      <w:bookmarkStart w:id="595" w:name="bookmark594"/>
      <w:r>
        <w:rPr>
          <w:u w:val="none"/>
        </w:rPr>
        <w:t>Přítomnosti</w:t>
      </w:r>
      <w:bookmarkEnd w:id="595"/>
    </w:p>
    <w:p w:rsidR="00500724" w:rsidRDefault="00500724">
      <w:pPr>
        <w:spacing w:line="79" w:lineRule="exact"/>
        <w:rPr>
          <w:sz w:val="6"/>
          <w:szCs w:val="6"/>
        </w:rPr>
      </w:pPr>
    </w:p>
    <w:p w:rsidR="00500724" w:rsidRDefault="00500724">
      <w:pPr>
        <w:spacing w:line="14" w:lineRule="exact"/>
        <w:sectPr w:rsidR="00500724">
          <w:footnotePr>
            <w:numFmt w:val="chicago"/>
            <w:numRestart w:val="eachPage"/>
          </w:footnotePr>
          <w:type w:val="continuous"/>
          <w:pgSz w:w="11909" w:h="16834"/>
          <w:pgMar w:top="1091" w:right="0" w:bottom="840" w:left="0" w:header="0" w:footer="3" w:gutter="0"/>
          <w:cols w:space="720"/>
          <w:noEndnote/>
          <w:docGrid w:linePitch="360"/>
        </w:sectPr>
      </w:pPr>
    </w:p>
    <w:p w:rsidR="00500724" w:rsidRDefault="00F30FB8">
      <w:pPr>
        <w:pStyle w:val="Zkladntext100"/>
        <w:shd w:val="clear" w:color="auto" w:fill="auto"/>
        <w:spacing w:after="40" w:line="187" w:lineRule="auto"/>
        <w:ind w:firstLine="200"/>
        <w:rPr>
          <w:sz w:val="19"/>
          <w:szCs w:val="19"/>
        </w:rPr>
      </w:pPr>
      <w:r>
        <w:rPr>
          <w:b/>
          <w:bCs/>
          <w:sz w:val="19"/>
          <w:szCs w:val="19"/>
        </w:rPr>
        <w:t xml:space="preserve">Problém je totiž v zeměpisném položení těchto baltských států, to </w:t>
      </w:r>
      <w:r>
        <w:rPr>
          <w:b/>
          <w:bCs/>
          <w:sz w:val="19"/>
          <w:szCs w:val="19"/>
        </w:rPr>
        <w:t>jest Finska, Estonska a Lotyšska. (O Litvě se ne</w:t>
      </w:r>
      <w:r>
        <w:rPr>
          <w:b/>
          <w:bCs/>
          <w:sz w:val="19"/>
          <w:szCs w:val="19"/>
        </w:rPr>
        <w:softHyphen/>
        <w:t>mluví, protože nesousedí přímo s Ruskem.) Rusko ovšem bylo k tomuto problému do té doby celkem lhostejné, pokud nebyl převeden Memel přímo pod řišskoněmeckou správu a pokud se zdálo, že samostatnost těchto t</w:t>
      </w:r>
      <w:r>
        <w:rPr>
          <w:b/>
          <w:bCs/>
          <w:sz w:val="19"/>
          <w:szCs w:val="19"/>
        </w:rPr>
        <w:t>ří balt</w:t>
      </w:r>
      <w:r>
        <w:rPr>
          <w:b/>
          <w:bCs/>
          <w:sz w:val="19"/>
          <w:szCs w:val="19"/>
        </w:rPr>
        <w:softHyphen/>
        <w:t>ských států je naprosto samozřejmá. Ale nyní, kdy Rusko se má zavázat k trojnásobné vojenské alianci, pak ovšem s hlediska politicko-vojenského má starost o to, co se stane, kdyby tyto státy se obrátily proti němu, ať již dobrovolně, anebo proto, ž</w:t>
      </w:r>
      <w:r>
        <w:rPr>
          <w:b/>
          <w:bCs/>
          <w:sz w:val="19"/>
          <w:szCs w:val="19"/>
        </w:rPr>
        <w:t>e by Německo je vzalo pod protektorát. Tu by byly životní zájmy Ruska na Baltském moři ohroženy. Těmto baltským státům (uvažuje se v Rusku) by mohlo býti případně jedno, zahrne-li je Německo do ochrany, ale Rusku to nemůže být lhostejné. Proto mu jde o to,</w:t>
      </w:r>
      <w:r>
        <w:rPr>
          <w:b/>
          <w:bCs/>
          <w:sz w:val="19"/>
          <w:szCs w:val="19"/>
        </w:rPr>
        <w:t xml:space="preserve"> aby samo mohlo o tom rozhodovat. Proto Rusko chce, aby všechny tyto případné možnosti byly zahrnuty ve smlouvě o trojdohodě, aby baltské státy neměly možnost volit si ochranu, kterou by si chtěly snad vybírat. To je ovšem nesnadné pro anglo-francouzskou p</w:t>
      </w:r>
      <w:r>
        <w:rPr>
          <w:b/>
          <w:bCs/>
          <w:sz w:val="19"/>
          <w:szCs w:val="19"/>
        </w:rPr>
        <w:t>olitiku, která chápe dalekosáhlost takového počínání vůěi státům, s nimiž měla přátelské styky. Jenže Rusko praví, že mádl dáti záruky pěti státům, kterým je daly Francie a Velká Britanie, pak musí tyto dvě západní vehnoci dáti stejné záruky baltským států</w:t>
      </w:r>
      <w:r>
        <w:rPr>
          <w:b/>
          <w:bCs/>
          <w:sz w:val="19"/>
          <w:szCs w:val="19"/>
        </w:rPr>
        <w:t>m. Jak patrno, je Rusko velmi opatrné a třebaže je již zřejmé, že k trojdohodě dojde (resp. k čtyřdohodě, uvážíme-li Polsko), chce Rusko již napřed míti záruky a jistoty takového druhu, aby nemohlo býti nějak zkráceno nebo ošizeno.</w:t>
      </w:r>
    </w:p>
    <w:p w:rsidR="00500724" w:rsidRDefault="00F30FB8">
      <w:pPr>
        <w:pStyle w:val="Zkladntext100"/>
        <w:shd w:val="clear" w:color="auto" w:fill="auto"/>
        <w:spacing w:after="40" w:line="185" w:lineRule="auto"/>
        <w:ind w:firstLine="200"/>
        <w:rPr>
          <w:sz w:val="19"/>
          <w:szCs w:val="19"/>
        </w:rPr>
      </w:pPr>
      <w:r>
        <w:rPr>
          <w:b/>
          <w:bCs/>
          <w:sz w:val="19"/>
          <w:szCs w:val="19"/>
        </w:rPr>
        <w:t>V této souvislosti se ov</w:t>
      </w:r>
      <w:r>
        <w:rPr>
          <w:b/>
          <w:bCs/>
          <w:sz w:val="19"/>
          <w:szCs w:val="19"/>
        </w:rPr>
        <w:t>šem jeví příhoda s opevňováním Aalandských ostrovů a se zákrokem ruské diplomacie ve Finsku docela v jiném světle. To vše je v těsné vzájemné souvislosti. Zpevňuje-li Finsko své pevnosti na hranici, jež je vzdálena pouhých třicet kilometrů od Leningradu (R</w:t>
      </w:r>
      <w:r>
        <w:rPr>
          <w:b/>
          <w:bCs/>
          <w:sz w:val="19"/>
          <w:szCs w:val="19"/>
        </w:rPr>
        <w:t xml:space="preserve">usko ovšem tvrdí, že to Finsko za své peníze nedělá), pak Rusko se již na to dívá jako na součást budoucích ětyřdohodových problémů. Proto nutno pochopit složitost a zdlouhavost tohoto jednáni mezi blokem franko-britským a sovětským Ruskem, neboť tu nejde </w:t>
      </w:r>
      <w:r>
        <w:rPr>
          <w:b/>
          <w:bCs/>
          <w:sz w:val="19"/>
          <w:szCs w:val="19"/>
        </w:rPr>
        <w:t>jen o pouhou alianční smlouvu, ale o mnoho podrobností tohoto druhu, které podle mínění jedné či druhé strany musí býti předem stanoveny a vyjasněny.</w:t>
      </w:r>
    </w:p>
    <w:p w:rsidR="00500724" w:rsidRDefault="00F30FB8">
      <w:pPr>
        <w:pStyle w:val="Zkladntext100"/>
        <w:shd w:val="clear" w:color="auto" w:fill="auto"/>
        <w:spacing w:after="40" w:line="187" w:lineRule="auto"/>
        <w:ind w:firstLine="200"/>
        <w:rPr>
          <w:sz w:val="19"/>
          <w:szCs w:val="19"/>
        </w:rPr>
      </w:pPr>
      <w:r>
        <w:rPr>
          <w:b/>
          <w:bCs/>
          <w:sz w:val="19"/>
          <w:szCs w:val="19"/>
        </w:rPr>
        <w:t>Ale i to se zdá býti pouhý detail. Hlavní příčina průtahů je patrně v tom, že sovětskému Rusku jde již pře</w:t>
      </w:r>
      <w:r>
        <w:rPr>
          <w:b/>
          <w:bCs/>
          <w:sz w:val="19"/>
          <w:szCs w:val="19"/>
        </w:rPr>
        <w:t>dem o stanovení válečných cílů. Válka v r. 1914 se vedla pro válčení, totiž pro vítězství a když bylo dosaženo, nevědělo se dost dobře, eo s ním. Proto mírová konference trvala dva roky a jak se na to sovětská diplomacie dnes dívá, byi mír »zpackáne. To se</w:t>
      </w:r>
      <w:r>
        <w:rPr>
          <w:b/>
          <w:bCs/>
          <w:sz w:val="19"/>
          <w:szCs w:val="19"/>
        </w:rPr>
        <w:t xml:space="preserve"> nemá napříště opakovat, nýbrž má býti mezi velmocemi Čtyř- dohody přesně předem stanoveno, co se bude dít po válce a pak bude Evropa nově rozdělena a upravena. A s tím ovšem jsou spojeny potíže, abychom tak řekli, také ideo</w:t>
      </w:r>
      <w:r>
        <w:rPr>
          <w:b/>
          <w:bCs/>
          <w:sz w:val="19"/>
          <w:szCs w:val="19"/>
        </w:rPr>
        <w:softHyphen/>
        <w:t>logického rázu, protože sovětsk</w:t>
      </w:r>
      <w:r>
        <w:rPr>
          <w:b/>
          <w:bCs/>
          <w:sz w:val="19"/>
          <w:szCs w:val="19"/>
        </w:rPr>
        <w:t xml:space="preserve">é požadavky jsou konkrétní a dalekosáhlé. </w:t>
      </w:r>
      <w:r>
        <w:rPr>
          <w:b/>
          <w:bCs/>
          <w:sz w:val="19"/>
          <w:szCs w:val="19"/>
          <w:lang w:val="en-US" w:eastAsia="en-US" w:bidi="en-US"/>
        </w:rPr>
        <w:t xml:space="preserve">Molotov </w:t>
      </w:r>
      <w:r>
        <w:rPr>
          <w:b/>
          <w:bCs/>
          <w:sz w:val="19"/>
          <w:szCs w:val="19"/>
        </w:rPr>
        <w:t>to naznačil ve své řeěi projevem nevrlosti nad tím, že sovětské Rusko nebylo přizváno k rozhodování v Mnichově, »kde Francie a Velká Britanie šly dále, než měly právo jít« a připojil, že napříště se nesmí v</w:t>
      </w:r>
      <w:r>
        <w:rPr>
          <w:b/>
          <w:bCs/>
          <w:sz w:val="19"/>
          <w:szCs w:val="19"/>
        </w:rPr>
        <w:t xml:space="preserve"> evropských věcech nic dělat bez rovnocenné vel</w:t>
      </w:r>
      <w:r>
        <w:rPr>
          <w:b/>
          <w:bCs/>
          <w:sz w:val="19"/>
          <w:szCs w:val="19"/>
        </w:rPr>
        <w:softHyphen/>
        <w:t xml:space="preserve">mocenské účasti ruské. To také pochopily »Times«, které se. snaží sovětské diplomacii vyložit, že tato příhoda náleží minulosti a že nešlo o nic jiného, než o poslední velký pokus zachránit evropský mir a že </w:t>
      </w:r>
      <w:r>
        <w:rPr>
          <w:b/>
          <w:bCs/>
          <w:sz w:val="19"/>
          <w:szCs w:val="19"/>
        </w:rPr>
        <w:t>byl tento pokus míněn upřímně, třebas měl nežádoucí důsledky.</w:t>
      </w:r>
    </w:p>
    <w:p w:rsidR="00500724" w:rsidRDefault="00F30FB8">
      <w:pPr>
        <w:pStyle w:val="Zkladntext100"/>
        <w:shd w:val="clear" w:color="auto" w:fill="auto"/>
        <w:tabs>
          <w:tab w:val="left" w:pos="4541"/>
        </w:tabs>
        <w:spacing w:after="40" w:line="197" w:lineRule="auto"/>
        <w:ind w:firstLine="200"/>
        <w:rPr>
          <w:sz w:val="19"/>
          <w:szCs w:val="19"/>
        </w:rPr>
      </w:pPr>
      <w:r>
        <w:rPr>
          <w:b/>
          <w:bCs/>
          <w:sz w:val="19"/>
          <w:szCs w:val="19"/>
        </w:rPr>
        <w:t>S anglické sírany se zdůrazňuje, že »hlavní potíže jsou psychologické® a tak tomu skutečně asi je. »Times« zdů</w:t>
      </w:r>
      <w:r>
        <w:rPr>
          <w:b/>
          <w:bCs/>
          <w:sz w:val="19"/>
          <w:szCs w:val="19"/>
        </w:rPr>
        <w:softHyphen/>
        <w:t>razňují, že od Ruska se nechce nic, co by angio-franeouzský blok nebyl ochoten uděl</w:t>
      </w:r>
      <w:r>
        <w:rPr>
          <w:b/>
          <w:bCs/>
          <w:sz w:val="19"/>
          <w:szCs w:val="19"/>
        </w:rPr>
        <w:t>at také, že »po světové válce byla ovšem tu a tam údobí, kdy se čin opožďoval za dobrým úmyslem, ale tato nálada minula«. Významně pak dodávají »Times« k usmíření sovětské diplomacie tato slova: sNení země, která by byla pevněji rozhodnuta k akci, než Angl</w:t>
      </w:r>
      <w:r>
        <w:rPr>
          <w:b/>
          <w:bCs/>
          <w:sz w:val="19"/>
          <w:szCs w:val="19"/>
        </w:rPr>
        <w:t>ie, a k vojenské akci, bude-li toho třeba. Náčelník ruské armády byl pozván, aby se osobně podival, co děláme a jak jsme již připraveni. Velmi doufáme, že on, anebo jeho nejbližší, přijmou toto pozváni a řeknou-11 pak doma, eo u nás viděli, nebude již poch</w:t>
      </w:r>
      <w:r>
        <w:rPr>
          <w:b/>
          <w:bCs/>
          <w:sz w:val="19"/>
          <w:szCs w:val="19"/>
        </w:rPr>
        <w:t>ybností mezi sovětskými vládci.® Toť zajisté řeč velmi výmluvná, která patrně nešla lehce z pera povznešenému úvodníkáři konservativnich »Times«, když takto se musil obracet k sovětským »vlád- cům«,</w:t>
      </w:r>
      <w:r>
        <w:rPr>
          <w:b/>
          <w:bCs/>
          <w:sz w:val="19"/>
          <w:szCs w:val="19"/>
        </w:rPr>
        <w:tab/>
        <w:t>MoZZ.</w:t>
      </w:r>
    </w:p>
    <w:p w:rsidR="00500724" w:rsidRDefault="00F30FB8">
      <w:pPr>
        <w:pStyle w:val="Zkladntext20"/>
        <w:shd w:val="clear" w:color="auto" w:fill="auto"/>
        <w:spacing w:line="178" w:lineRule="auto"/>
        <w:ind w:firstLine="0"/>
        <w:jc w:val="center"/>
        <w:rPr>
          <w:sz w:val="20"/>
          <w:szCs w:val="20"/>
        </w:rPr>
      </w:pPr>
      <w:r>
        <w:rPr>
          <w:b/>
          <w:bCs/>
          <w:sz w:val="20"/>
          <w:szCs w:val="20"/>
        </w:rPr>
        <w:t>České pevnosti</w:t>
      </w:r>
    </w:p>
    <w:p w:rsidR="00500724" w:rsidRDefault="00F30FB8">
      <w:pPr>
        <w:pStyle w:val="Zkladntext100"/>
        <w:shd w:val="clear" w:color="auto" w:fill="auto"/>
        <w:spacing w:line="187" w:lineRule="auto"/>
        <w:rPr>
          <w:sz w:val="19"/>
          <w:szCs w:val="19"/>
        </w:rPr>
      </w:pPr>
      <w:r>
        <w:rPr>
          <w:b/>
          <w:bCs/>
          <w:sz w:val="19"/>
          <w:szCs w:val="19"/>
        </w:rPr>
        <w:t>V květnovém čísle »MiUtarwissenschaf</w:t>
      </w:r>
      <w:r>
        <w:rPr>
          <w:b/>
          <w:bCs/>
          <w:sz w:val="19"/>
          <w:szCs w:val="19"/>
        </w:rPr>
        <w:t>tiichen Mitteilun- gen« (Vídeň) zabývá se generál m. s. inž. Brosch-Aarenau na základě jednak německých, jednak maďarských publi</w:t>
      </w:r>
      <w:r>
        <w:rPr>
          <w:b/>
          <w:bCs/>
          <w:sz w:val="19"/>
          <w:szCs w:val="19"/>
        </w:rPr>
        <w:softHyphen/>
        <w:t>kací a také na základě vlastních zkušenosti československou opevňovací linii, která podle Benešova systému měla za- držeti něme</w:t>
      </w:r>
      <w:r>
        <w:rPr>
          <w:b/>
          <w:bCs/>
          <w:sz w:val="19"/>
          <w:szCs w:val="19"/>
        </w:rPr>
        <w:t>ckou armádu až do příchodu Rusů a oslabili ji otevřeným bojem ještě před rozhodným utkáním. Časopis uveřejňuje mapku linii. Na samých hranicích byly pouhé obranné zákopy, provedené podobně, jako v ostatních ze</w:t>
      </w:r>
      <w:r>
        <w:rPr>
          <w:b/>
          <w:bCs/>
          <w:sz w:val="19"/>
          <w:szCs w:val="19"/>
        </w:rPr>
        <w:softHyphen/>
        <w:t>mích. První opevňovací linie začínala podle ma</w:t>
      </w:r>
      <w:r>
        <w:rPr>
          <w:b/>
          <w:bCs/>
          <w:sz w:val="19"/>
          <w:szCs w:val="19"/>
        </w:rPr>
        <w:t>pky na zá</w:t>
      </w:r>
      <w:r>
        <w:rPr>
          <w:b/>
          <w:bCs/>
          <w:sz w:val="19"/>
          <w:szCs w:val="19"/>
        </w:rPr>
        <w:softHyphen/>
        <w:t>padě u Karlových Varů a stáčela se severozápadně k Cho</w:t>
      </w:r>
      <w:r>
        <w:rPr>
          <w:b/>
          <w:bCs/>
          <w:sz w:val="19"/>
          <w:szCs w:val="19"/>
        </w:rPr>
        <w:softHyphen/>
        <w:t>mutovu — vyrůstajíc zde v baštu tvrzi — jižně od Mostu až k Ústi, podél Labe do Děčína a odtud severními Čechami až k Jizerským horám severně od Liberce. Zatím co od Jizerských hor vedly až k</w:t>
      </w:r>
      <w:r>
        <w:rPr>
          <w:b/>
          <w:bCs/>
          <w:sz w:val="19"/>
          <w:szCs w:val="19"/>
        </w:rPr>
        <w:t>e Krkonoším jen slabé obranné zákopy, začínala severně od Trutnova první pevnostní čára, táhnoucí se těsně podél hranic, která sahala — s přeruše</w:t>
      </w:r>
      <w:r>
        <w:rPr>
          <w:b/>
          <w:bCs/>
          <w:sz w:val="19"/>
          <w:szCs w:val="19"/>
        </w:rPr>
        <w:softHyphen/>
        <w:t>ním Pradědu — až k Opavě. Mezi Bohumínem a Třincem byla zase už pouhá linie jednotlivých pevnůstek. Druhá lini</w:t>
      </w:r>
      <w:r>
        <w:rPr>
          <w:b/>
          <w:bCs/>
          <w:sz w:val="19"/>
          <w:szCs w:val="19"/>
        </w:rPr>
        <w:t>e pevnůstek a překážek začínala u Roudnice na Labi, táhla se až k Chebu, uhýbala u Žatce a ústila až u Klatov, rozdělovala se ve vidlici, jejíž jedno rameno běželo kolem Krumlova do Budějovic a druhé severně od Prachatic až k Vltavě. U Nové Bystřice tato l</w:t>
      </w:r>
      <w:r>
        <w:rPr>
          <w:b/>
          <w:bCs/>
          <w:sz w:val="19"/>
          <w:szCs w:val="19"/>
        </w:rPr>
        <w:t>inie pokračuje a vede přes Znojmo. Podél slovensko-maďarské hranice běžela jiná linie. Pisatel článku se domnívá, že třetí linie probíhala obloukem západně od Prahy a točila se asi od ústí Beroun</w:t>
      </w:r>
      <w:r>
        <w:rPr>
          <w:b/>
          <w:bCs/>
          <w:sz w:val="19"/>
          <w:szCs w:val="19"/>
        </w:rPr>
        <w:softHyphen/>
        <w:t>ky přes Kladno ke Kralupům.</w:t>
      </w:r>
    </w:p>
    <w:p w:rsidR="00500724" w:rsidRDefault="00F30FB8">
      <w:pPr>
        <w:pStyle w:val="Zkladntext100"/>
        <w:shd w:val="clear" w:color="auto" w:fill="auto"/>
        <w:spacing w:line="187" w:lineRule="auto"/>
        <w:rPr>
          <w:sz w:val="19"/>
          <w:szCs w:val="19"/>
        </w:rPr>
      </w:pPr>
      <w:r>
        <w:rPr>
          <w:b/>
          <w:bCs/>
          <w:sz w:val="19"/>
          <w:szCs w:val="19"/>
        </w:rPr>
        <w:t>Je zajímavé vyslechnout míněni n</w:t>
      </w:r>
      <w:r>
        <w:rPr>
          <w:b/>
          <w:bCs/>
          <w:sz w:val="19"/>
          <w:szCs w:val="19"/>
        </w:rPr>
        <w:t>ěmeckého důstojníka o strategické a taktické ceně těchto opevněni, tím spíše, že generál Brosch-Aarenau vyšel ze staré c. a k. rakouské armády a má mnoho zkušeností, které nasbíral v urputném několikaměsíčním boji v tyrolských baštách. Po stránce strategic</w:t>
      </w:r>
      <w:r>
        <w:rPr>
          <w:b/>
          <w:bCs/>
          <w:sz w:val="19"/>
          <w:szCs w:val="19"/>
        </w:rPr>
        <w:t>ké — uvádí časopis — je především jedna věc ná</w:t>
      </w:r>
      <w:r>
        <w:rPr>
          <w:b/>
          <w:bCs/>
          <w:sz w:val="19"/>
          <w:szCs w:val="19"/>
        </w:rPr>
        <w:softHyphen/>
        <w:t>padná, že totiž opevněni neměla vybudována poschodí do hloubky. Naopak nelze však předpokládali, že by se byla polní armáda mohla za těmito opevněními seřaditi v něja</w:t>
      </w:r>
      <w:r>
        <w:rPr>
          <w:b/>
          <w:bCs/>
          <w:sz w:val="19"/>
          <w:szCs w:val="19"/>
        </w:rPr>
        <w:softHyphen/>
        <w:t>kých hluboce seřaděných útvarech, neboť pr</w:t>
      </w:r>
      <w:r>
        <w:rPr>
          <w:b/>
          <w:bCs/>
          <w:sz w:val="19"/>
          <w:szCs w:val="19"/>
        </w:rPr>
        <w:t>o obsazeni pev</w:t>
      </w:r>
      <w:r>
        <w:rPr>
          <w:b/>
          <w:bCs/>
          <w:sz w:val="19"/>
          <w:szCs w:val="19"/>
        </w:rPr>
        <w:softHyphen/>
        <w:t>nosti bylo by bývalo třeba 500.000 mužů české armády. Kolik by bylo zbylo pro pohyby armády v poli? Současně však nebylo možno obsaditi pevnosti četami z druhých nebo třetích řad, neboť právě isolace malých pevnůstek, která každou četu odkaz</w:t>
      </w:r>
      <w:r>
        <w:rPr>
          <w:b/>
          <w:bCs/>
          <w:sz w:val="19"/>
          <w:szCs w:val="19"/>
        </w:rPr>
        <w:t>ovala na sebe a zatěžovala obrovskou odpovědností, žádala si bezpodmínečně nejlepšího obsazení.</w:t>
      </w:r>
    </w:p>
    <w:p w:rsidR="00500724" w:rsidRDefault="00F30FB8">
      <w:pPr>
        <w:pStyle w:val="Zkladntext100"/>
        <w:shd w:val="clear" w:color="auto" w:fill="auto"/>
        <w:spacing w:line="187" w:lineRule="auto"/>
        <w:rPr>
          <w:sz w:val="19"/>
          <w:szCs w:val="19"/>
        </w:rPr>
      </w:pPr>
      <w:r>
        <w:rPr>
          <w:b/>
          <w:bCs/>
          <w:sz w:val="19"/>
          <w:szCs w:val="19"/>
        </w:rPr>
        <w:t xml:space="preserve">Ještě závažnější námitky možno uvésti vůěi českým pevnůstkám </w:t>
      </w:r>
      <w:r>
        <w:rPr>
          <w:b/>
          <w:bCs/>
          <w:sz w:val="19"/>
          <w:szCs w:val="19"/>
          <w:lang w:val="en-US" w:eastAsia="en-US" w:bidi="en-US"/>
        </w:rPr>
        <w:t xml:space="preserve">(bunker) </w:t>
      </w:r>
      <w:r>
        <w:rPr>
          <w:b/>
          <w:bCs/>
          <w:sz w:val="19"/>
          <w:szCs w:val="19"/>
        </w:rPr>
        <w:t>s hlediska taktického a proti jednot</w:t>
      </w:r>
      <w:r>
        <w:rPr>
          <w:b/>
          <w:bCs/>
          <w:sz w:val="19"/>
          <w:szCs w:val="19"/>
        </w:rPr>
        <w:softHyphen/>
        <w:t>livým silnějším opevněným baštám, které byly místy vs</w:t>
      </w:r>
      <w:r>
        <w:rPr>
          <w:b/>
          <w:bCs/>
          <w:sz w:val="19"/>
          <w:szCs w:val="19"/>
        </w:rPr>
        <w:t>u</w:t>
      </w:r>
      <w:r>
        <w:rPr>
          <w:b/>
          <w:bCs/>
          <w:sz w:val="19"/>
          <w:szCs w:val="19"/>
        </w:rPr>
        <w:softHyphen/>
        <w:t>nuty do linie kulometných hnízd. Všechny tyto stavby ne</w:t>
      </w:r>
      <w:r>
        <w:rPr>
          <w:b/>
          <w:bCs/>
          <w:sz w:val="19"/>
          <w:szCs w:val="19"/>
        </w:rPr>
        <w:softHyphen/>
        <w:t xml:space="preserve">měly vůbec možnost palby proti nepříteli, který by napadal z čela, </w:t>
      </w:r>
      <w:r>
        <w:rPr>
          <w:b/>
          <w:bCs/>
          <w:sz w:val="19"/>
          <w:szCs w:val="19"/>
          <w:lang w:val="en-US" w:eastAsia="en-US" w:bidi="en-US"/>
        </w:rPr>
        <w:t xml:space="preserve">moldy </w:t>
      </w:r>
      <w:r>
        <w:rPr>
          <w:b/>
          <w:bCs/>
          <w:sz w:val="19"/>
          <w:szCs w:val="19"/>
        </w:rPr>
        <w:t>střílet pouze bočně do území mezi dvěma pev- nůstkami, které bylo 200 až 300 metrů široké — na přehled</w:t>
      </w:r>
      <w:r>
        <w:rPr>
          <w:b/>
          <w:bCs/>
          <w:sz w:val="19"/>
          <w:szCs w:val="19"/>
        </w:rPr>
        <w:softHyphen/>
        <w:t xml:space="preserve">ném terénu 500 až C00 </w:t>
      </w:r>
      <w:r>
        <w:rPr>
          <w:b/>
          <w:bCs/>
          <w:sz w:val="19"/>
          <w:szCs w:val="19"/>
        </w:rPr>
        <w:t>metrů — a kde měl býti nepřítel zastaven překážkami. I větším pevnostem, stavěným jako protipumové kryty, chyběla možnost střílet v čelo, byly opatřeny pancéřovými klopněmi místo účinnějších otáče</w:t>
      </w:r>
      <w:r>
        <w:rPr>
          <w:b/>
          <w:bCs/>
          <w:sz w:val="19"/>
          <w:szCs w:val="19"/>
        </w:rPr>
        <w:softHyphen/>
        <w:t>cích věží, a vyzdění veškerých opevnění nebylo nijak silné.</w:t>
      </w:r>
      <w:r>
        <w:rPr>
          <w:b/>
          <w:bCs/>
          <w:sz w:val="19"/>
          <w:szCs w:val="19"/>
        </w:rPr>
        <w:t xml:space="preserve"> Všechny pevnosti byly z fronty velmi snadno k rozeznání, některé se dokonce rýsovaly na obzoru, jejich krytí z hlíny a větví časem mizelo vlivem počasí. Nebylo by bývalo těžké vyřadili pevnosti z boje dělovou palbou — ty větší bombar</w:t>
      </w:r>
      <w:r>
        <w:rPr>
          <w:b/>
          <w:bCs/>
          <w:sz w:val="19"/>
          <w:szCs w:val="19"/>
        </w:rPr>
        <w:softHyphen/>
        <w:t>dováním — menší přímý</w:t>
      </w:r>
      <w:r>
        <w:rPr>
          <w:b/>
          <w:bCs/>
          <w:sz w:val="19"/>
          <w:szCs w:val="19"/>
        </w:rPr>
        <w:t>m kolmým zásahem — aniž by vlastní polní armáda musila vůbec zasáhnout. Už v pouhém kulometném a ohnimetném boji, který by se byl patrně pro nedostatek frontálního krytí pevnůstek mohl nasadili hodně zblízka, byly asi bunkery ztraceny.</w:t>
      </w:r>
    </w:p>
    <w:p w:rsidR="00500724" w:rsidRDefault="00F30FB8">
      <w:pPr>
        <w:pStyle w:val="Zkladntext100"/>
        <w:shd w:val="clear" w:color="auto" w:fill="auto"/>
        <w:spacing w:line="187" w:lineRule="auto"/>
        <w:rPr>
          <w:sz w:val="19"/>
          <w:szCs w:val="19"/>
        </w:rPr>
      </w:pPr>
      <w:r>
        <w:rPr>
          <w:b/>
          <w:bCs/>
          <w:sz w:val="19"/>
          <w:szCs w:val="19"/>
        </w:rPr>
        <w:t>Nejpovážlivější nedo</w:t>
      </w:r>
      <w:r>
        <w:rPr>
          <w:b/>
          <w:bCs/>
          <w:sz w:val="19"/>
          <w:szCs w:val="19"/>
        </w:rPr>
        <w:t>statek českých pevností spatřuje však Brosch von Aarenau v tom, že byly všechny bez roz</w:t>
      </w:r>
      <w:r>
        <w:rPr>
          <w:b/>
          <w:bCs/>
          <w:sz w:val="19"/>
          <w:szCs w:val="19"/>
        </w:rPr>
        <w:softHyphen/>
        <w:t>dílu — malé i velké — přístupny jenom po volném bitevním území, že neměly žádné podzemní chodby, ba ani zákopy nebyly spojeny. Posádka byla v pevnůstkách odříznuta, při</w:t>
      </w:r>
      <w:r>
        <w:rPr>
          <w:b/>
          <w:bCs/>
          <w:sz w:val="19"/>
          <w:szCs w:val="19"/>
        </w:rPr>
        <w:t xml:space="preserve"> nejmenší poruše telefonního zařízení naprosto beze zpráv. Při tom byl nedostatek přívodu vzduchu, záchodů a nemoc</w:t>
      </w:r>
      <w:r>
        <w:rPr>
          <w:b/>
          <w:bCs/>
          <w:sz w:val="19"/>
          <w:szCs w:val="19"/>
        </w:rPr>
        <w:softHyphen/>
        <w:t xml:space="preserve">ničních místností. Po krátkém bombardování musil se stát vzduch v každé té jednotlivé betonové rakvi nesnesitelným. Proti plynu nebylo skoro </w:t>
      </w:r>
      <w:r>
        <w:rPr>
          <w:b/>
          <w:bCs/>
          <w:sz w:val="19"/>
          <w:szCs w:val="19"/>
        </w:rPr>
        <w:t>žádných opatření. Při důkladné prohlídce ukázal se beton jako nedostatečná směs a proto lehko pukající, neboť železobeton, kterého používali Češi, nemá tu vzdomost a únosnost jako »monolitbeton®, z něhož byla na př. stará tyrolská opevnění. Poněvadž se otř</w:t>
      </w:r>
      <w:r>
        <w:rPr>
          <w:b/>
          <w:bCs/>
          <w:sz w:val="19"/>
          <w:szCs w:val="19"/>
        </w:rPr>
        <w:t>esy těž</w:t>
      </w:r>
      <w:r>
        <w:rPr>
          <w:b/>
          <w:bCs/>
          <w:sz w:val="19"/>
          <w:szCs w:val="19"/>
        </w:rPr>
        <w:softHyphen/>
        <w:t>kého; střeleckého zásahu sdělují v železe zcela jinak než</w:t>
      </w:r>
      <w:r>
        <w:rPr>
          <w:b/>
          <w:bCs/>
          <w:sz w:val="19"/>
          <w:szCs w:val="19"/>
        </w:rPr>
        <w:br w:type="page"/>
        <w:t>v betonu, nevydrží stěny železobetonové — jak už se uká</w:t>
      </w:r>
      <w:r>
        <w:rPr>
          <w:b/>
          <w:bCs/>
          <w:sz w:val="19"/>
          <w:szCs w:val="19"/>
        </w:rPr>
        <w:softHyphen/>
        <w:t>zalo ve světové válce v Belgii — dlouhé bombardování těž</w:t>
      </w:r>
      <w:r>
        <w:rPr>
          <w:b/>
          <w:bCs/>
          <w:sz w:val="19"/>
          <w:szCs w:val="19"/>
        </w:rPr>
        <w:softHyphen/>
        <w:t>kými střelami.</w:t>
      </w:r>
    </w:p>
    <w:p w:rsidR="00500724" w:rsidRDefault="00F30FB8">
      <w:pPr>
        <w:pStyle w:val="Zkladntext100"/>
        <w:shd w:val="clear" w:color="auto" w:fill="auto"/>
        <w:spacing w:line="187" w:lineRule="auto"/>
        <w:rPr>
          <w:sz w:val="19"/>
          <w:szCs w:val="19"/>
        </w:rPr>
      </w:pPr>
      <w:r>
        <w:rPr>
          <w:b/>
          <w:bCs/>
          <w:sz w:val="19"/>
          <w:szCs w:val="19"/>
        </w:rPr>
        <w:t>Domnělé »pevnosti« ukázaly se při bližším prohlédnutí jenom sp</w:t>
      </w:r>
      <w:r>
        <w:rPr>
          <w:b/>
          <w:bCs/>
          <w:sz w:val="19"/>
          <w:szCs w:val="19"/>
        </w:rPr>
        <w:t>orou překážkovou linií, ve které by bylo padlo za několik hodin boje statisíce mužů, rozpadlých v ojedinělé a navzájem odříznuté skupinky, vysazených vražednému ohni moderní dělostřelby a leteckých útoků, bez polní armá</w:t>
      </w:r>
      <w:r>
        <w:rPr>
          <w:b/>
          <w:bCs/>
          <w:sz w:val="19"/>
          <w:szCs w:val="19"/>
        </w:rPr>
        <w:softHyphen/>
        <w:t>dy, bez možnosti umístiti někam raně</w:t>
      </w:r>
      <w:r>
        <w:rPr>
          <w:b/>
          <w:bCs/>
          <w:sz w:val="19"/>
          <w:szCs w:val="19"/>
        </w:rPr>
        <w:t>né, bez možnosti do</w:t>
      </w:r>
      <w:r>
        <w:rPr>
          <w:b/>
          <w:bCs/>
          <w:sz w:val="19"/>
          <w:szCs w:val="19"/>
        </w:rPr>
        <w:softHyphen/>
        <w:t>sáhnouti střelami na nepřítele. Tito muži by byli stáli před volbou: buď se dát pohřbít v betonových rakvích, nebo vztýěiti bílou vlajku. Jakmile by však byla dlouhá linie této podivné fronty prolomena na dvou nebo třech místech, celý s</w:t>
      </w:r>
      <w:r>
        <w:rPr>
          <w:b/>
          <w:bCs/>
          <w:sz w:val="19"/>
          <w:szCs w:val="19"/>
        </w:rPr>
        <w:t xml:space="preserve">ystém opevnění se musil zhroutit. Zvlášť ve východních Čechách byla moderní a veliká opevnění bezcenná, jakmile by byla proražena tenoučká překážková </w:t>
      </w:r>
      <w:r>
        <w:rPr>
          <w:b/>
          <w:bCs/>
          <w:sz w:val="19"/>
          <w:szCs w:val="19"/>
          <w:lang w:val="en-US" w:eastAsia="en-US" w:bidi="en-US"/>
        </w:rPr>
        <w:t xml:space="preserve">lime </w:t>
      </w:r>
      <w:r>
        <w:rPr>
          <w:b/>
          <w:bCs/>
          <w:sz w:val="19"/>
          <w:szCs w:val="19"/>
        </w:rPr>
        <w:t>na jižní Mo</w:t>
      </w:r>
      <w:r>
        <w:rPr>
          <w:b/>
          <w:bCs/>
          <w:sz w:val="19"/>
          <w:szCs w:val="19"/>
        </w:rPr>
        <w:softHyphen/>
        <w:t>ravě, na severu a západě Čech, a jakmile by ústřední a silné linie opevnění padly do ruko</w:t>
      </w:r>
      <w:r>
        <w:rPr>
          <w:b/>
          <w:bCs/>
          <w:sz w:val="19"/>
          <w:szCs w:val="19"/>
        </w:rPr>
        <w:t>u nepřítele.</w:t>
      </w:r>
    </w:p>
    <w:p w:rsidR="00500724" w:rsidRDefault="00F30FB8">
      <w:pPr>
        <w:pStyle w:val="Zkladntext100"/>
        <w:shd w:val="clear" w:color="auto" w:fill="auto"/>
        <w:tabs>
          <w:tab w:val="left" w:pos="4834"/>
        </w:tabs>
        <w:spacing w:after="200" w:line="187" w:lineRule="auto"/>
      </w:pPr>
      <w:r>
        <w:rPr>
          <w:b/>
          <w:bCs/>
          <w:sz w:val="19"/>
          <w:szCs w:val="19"/>
        </w:rPr>
        <w:t>Bylo by ovšem důležité vyslechnout po tomto kritickém německém posudku také mínění bývalých českých vojáků. Především by bylo třeba věděti, jakou roli měla tato opev</w:t>
      </w:r>
      <w:r>
        <w:rPr>
          <w:b/>
          <w:bCs/>
          <w:sz w:val="19"/>
          <w:szCs w:val="19"/>
        </w:rPr>
        <w:softHyphen/>
        <w:t>nění hrát v rámci celkového plánu francouzských, česko</w:t>
      </w:r>
      <w:r>
        <w:rPr>
          <w:b/>
          <w:bCs/>
          <w:sz w:val="19"/>
          <w:szCs w:val="19"/>
        </w:rPr>
        <w:softHyphen/>
        <w:t xml:space="preserve">slovenských a ruských </w:t>
      </w:r>
      <w:r>
        <w:rPr>
          <w:b/>
          <w:bCs/>
          <w:sz w:val="19"/>
          <w:szCs w:val="19"/>
        </w:rPr>
        <w:t>generálních štábů.</w:t>
      </w:r>
      <w:r>
        <w:rPr>
          <w:b/>
          <w:bCs/>
          <w:sz w:val="19"/>
          <w:szCs w:val="19"/>
        </w:rPr>
        <w:tab/>
      </w:r>
      <w:r>
        <w:rPr>
          <w:i/>
          <w:iCs/>
        </w:rPr>
        <w:t>E</w:t>
      </w:r>
    </w:p>
    <w:p w:rsidR="00500724" w:rsidRDefault="00F30FB8">
      <w:pPr>
        <w:pStyle w:val="Zkladntext20"/>
        <w:shd w:val="clear" w:color="auto" w:fill="auto"/>
        <w:spacing w:after="100" w:line="180" w:lineRule="auto"/>
        <w:ind w:right="180" w:firstLine="0"/>
        <w:jc w:val="center"/>
        <w:rPr>
          <w:sz w:val="20"/>
          <w:szCs w:val="20"/>
        </w:rPr>
      </w:pPr>
      <w:r>
        <w:rPr>
          <w:b/>
          <w:bCs/>
          <w:sz w:val="20"/>
          <w:szCs w:val="20"/>
        </w:rPr>
        <w:t>Mluvit o možnosti války — »shocking«</w:t>
      </w:r>
    </w:p>
    <w:p w:rsidR="00500724" w:rsidRDefault="00F30FB8">
      <w:pPr>
        <w:pStyle w:val="Zkladntext100"/>
        <w:shd w:val="clear" w:color="auto" w:fill="auto"/>
        <w:spacing w:line="190" w:lineRule="auto"/>
        <w:ind w:firstLine="220"/>
        <w:rPr>
          <w:sz w:val="19"/>
          <w:szCs w:val="19"/>
        </w:rPr>
      </w:pPr>
      <w:r>
        <w:rPr>
          <w:b/>
          <w:bCs/>
          <w:sz w:val="19"/>
          <w:szCs w:val="19"/>
        </w:rPr>
        <w:t xml:space="preserve">Pro anglickou mentalitu je charakteristický odpor ke všemu, co je nepříjemné. Na nedávném sjezdu </w:t>
      </w:r>
      <w:r>
        <w:rPr>
          <w:b/>
          <w:bCs/>
          <w:sz w:val="19"/>
          <w:szCs w:val="19"/>
          <w:lang w:val="en-US" w:eastAsia="en-US" w:bidi="en-US"/>
        </w:rPr>
        <w:t xml:space="preserve">Labour </w:t>
      </w:r>
      <w:r>
        <w:rPr>
          <w:b/>
          <w:bCs/>
          <w:sz w:val="19"/>
          <w:szCs w:val="19"/>
        </w:rPr>
        <w:t xml:space="preserve">Party se rozčilovalo mnoho delegátů pro zavedení omezené povinné presenčni vojenské služby, </w:t>
      </w:r>
      <w:r>
        <w:rPr>
          <w:b/>
          <w:bCs/>
          <w:sz w:val="19"/>
          <w:szCs w:val="19"/>
        </w:rPr>
        <w:t>žádaly se dalekosáhlé úlevy a výjimky pro ty, kteří nemohou smířit se svým ná</w:t>
      </w:r>
      <w:r>
        <w:rPr>
          <w:b/>
          <w:bCs/>
          <w:sz w:val="19"/>
          <w:szCs w:val="19"/>
        </w:rPr>
        <w:softHyphen/>
        <w:t xml:space="preserve">boženským svědomím, aby nosili zbraň (conxientions </w:t>
      </w:r>
      <w:r>
        <w:rPr>
          <w:b/>
          <w:bCs/>
          <w:sz w:val="19"/>
          <w:szCs w:val="19"/>
          <w:lang w:val="en-US" w:eastAsia="en-US" w:bidi="en-US"/>
        </w:rPr>
        <w:t xml:space="preserve">objectors) </w:t>
      </w:r>
      <w:r>
        <w:rPr>
          <w:b/>
          <w:bCs/>
          <w:sz w:val="19"/>
          <w:szCs w:val="19"/>
        </w:rPr>
        <w:t>a bylo-li i přes to rozhodnutí vlády schváleno, stalo se tak jen pod vlivem mezinárodní tisně, kterou každý v Anglii</w:t>
      </w:r>
      <w:r>
        <w:rPr>
          <w:b/>
          <w:bCs/>
          <w:sz w:val="19"/>
          <w:szCs w:val="19"/>
        </w:rPr>
        <w:t xml:space="preserve"> dnes pociťuje. Typický byl na př. projev jakési paní Middletonofvé, kandidátky poslanectví v plymouthském okresu, která prohlásila, že jedna její známá raději spácha</w:t>
      </w:r>
      <w:r>
        <w:rPr>
          <w:b/>
          <w:bCs/>
          <w:sz w:val="19"/>
          <w:szCs w:val="19"/>
        </w:rPr>
        <w:softHyphen/>
        <w:t>la sebevraždu, než by čelila hrůzám blížící se války, protože poslední válka zohavila jej</w:t>
      </w:r>
      <w:r>
        <w:rPr>
          <w:b/>
          <w:bCs/>
          <w:sz w:val="19"/>
          <w:szCs w:val="19"/>
        </w:rPr>
        <w:t>ího manžela a nyní je její syn ohrožen tím. že může býti odveden na vojnu. Zajisté nám to připadá podivná věc, že takto se může mluvit na shro</w:t>
      </w:r>
      <w:r>
        <w:rPr>
          <w:b/>
          <w:bCs/>
          <w:sz w:val="19"/>
          <w:szCs w:val="19"/>
        </w:rPr>
        <w:softHyphen/>
        <w:t>máždění vůdců druhé největší politické strany ve Velké Britanii, ale bylo by naprosto pochybené to odbývat pohrdl</w:t>
      </w:r>
      <w:r>
        <w:rPr>
          <w:b/>
          <w:bCs/>
          <w:sz w:val="19"/>
          <w:szCs w:val="19"/>
        </w:rPr>
        <w:t>i- vým úsměvem. Toto jest anglická mentalita, tak je nutno ji přijímat.</w:t>
      </w:r>
    </w:p>
    <w:p w:rsidR="00500724" w:rsidRDefault="00F30FB8">
      <w:pPr>
        <w:pStyle w:val="Zkladntext100"/>
        <w:shd w:val="clear" w:color="auto" w:fill="auto"/>
        <w:spacing w:line="190" w:lineRule="auto"/>
        <w:ind w:firstLine="220"/>
        <w:rPr>
          <w:sz w:val="19"/>
          <w:szCs w:val="19"/>
        </w:rPr>
      </w:pPr>
      <w:r>
        <w:rPr>
          <w:b/>
          <w:bCs/>
          <w:sz w:val="19"/>
          <w:szCs w:val="19"/>
        </w:rPr>
        <w:t>Nedávno se zabýval těmito psychologickými zjevy Ale</w:t>
      </w:r>
      <w:r>
        <w:rPr>
          <w:b/>
          <w:bCs/>
          <w:sz w:val="19"/>
          <w:szCs w:val="19"/>
        </w:rPr>
        <w:softHyphen/>
        <w:t xml:space="preserve">xander Gíendinning v revue »Nineteenth </w:t>
      </w:r>
      <w:r>
        <w:rPr>
          <w:b/>
          <w:bCs/>
          <w:sz w:val="19"/>
          <w:szCs w:val="19"/>
          <w:lang w:val="en-US" w:eastAsia="en-US" w:bidi="en-US"/>
        </w:rPr>
        <w:t xml:space="preserve">Century </w:t>
      </w:r>
      <w:r>
        <w:rPr>
          <w:b/>
          <w:bCs/>
          <w:sz w:val="19"/>
          <w:szCs w:val="19"/>
        </w:rPr>
        <w:t xml:space="preserve">and </w:t>
      </w:r>
      <w:r>
        <w:rPr>
          <w:b/>
          <w:bCs/>
          <w:sz w:val="19"/>
          <w:szCs w:val="19"/>
          <w:lang w:val="en-US" w:eastAsia="en-US" w:bidi="en-US"/>
        </w:rPr>
        <w:t xml:space="preserve">After® </w:t>
      </w:r>
      <w:r>
        <w:rPr>
          <w:b/>
          <w:bCs/>
          <w:sz w:val="19"/>
          <w:szCs w:val="19"/>
        </w:rPr>
        <w:t>a napsal, že doba, v níž žijeme, podobá se mírné stálé ho</w:t>
      </w:r>
      <w:r>
        <w:rPr>
          <w:b/>
          <w:bCs/>
          <w:sz w:val="19"/>
          <w:szCs w:val="19"/>
        </w:rPr>
        <w:softHyphen/>
        <w:t>rečce. »Pro někt</w:t>
      </w:r>
      <w:r>
        <w:rPr>
          <w:b/>
          <w:bCs/>
          <w:sz w:val="19"/>
          <w:szCs w:val="19"/>
        </w:rPr>
        <w:t>eré lidi,« poznamenal, »je krise již dnes ne</w:t>
      </w:r>
      <w:r>
        <w:rPr>
          <w:b/>
          <w:bCs/>
          <w:sz w:val="19"/>
          <w:szCs w:val="19"/>
        </w:rPr>
        <w:softHyphen/>
        <w:t>snesitelná. Nedávno bylo zjištěno, že dvě starší ženy spá</w:t>
      </w:r>
      <w:r>
        <w:rPr>
          <w:b/>
          <w:bCs/>
          <w:sz w:val="19"/>
          <w:szCs w:val="19"/>
        </w:rPr>
        <w:softHyphen/>
        <w:t xml:space="preserve">chaly sebevraždu, když poslouchaly zpravodajství britského rozhlasu, které informovalo na Velký pátek Angličany o událostech v Albánii. Takových případů </w:t>
      </w:r>
      <w:r>
        <w:rPr>
          <w:b/>
          <w:bCs/>
          <w:sz w:val="19"/>
          <w:szCs w:val="19"/>
        </w:rPr>
        <w:t>již bylo úředně hlá</w:t>
      </w:r>
      <w:r>
        <w:rPr>
          <w:b/>
          <w:bCs/>
          <w:sz w:val="19"/>
          <w:szCs w:val="19"/>
        </w:rPr>
        <w:softHyphen/>
        <w:t>šeno několik a sloupce dopisů čtenářů »Times« jsou toho plny. Soudce, který vyšetřoval mrtvolu jedné ženy, jež spá</w:t>
      </w:r>
      <w:r>
        <w:rPr>
          <w:b/>
          <w:bCs/>
          <w:sz w:val="19"/>
          <w:szCs w:val="19"/>
        </w:rPr>
        <w:softHyphen/>
        <w:t>chala po rozhlasovém zpravodajství sebevraždu, prohlásil (podle zpráv tisku), že prý »skutečně zprávy nejsou vždy šťastně</w:t>
      </w:r>
      <w:r>
        <w:rPr>
          <w:b/>
          <w:bCs/>
          <w:sz w:val="19"/>
          <w:szCs w:val="19"/>
        </w:rPr>
        <w:t xml:space="preserve"> formulovány </w:t>
      </w:r>
      <w:r>
        <w:rPr>
          <w:b/>
          <w:bCs/>
          <w:sz w:val="20"/>
          <w:szCs w:val="20"/>
        </w:rPr>
        <w:t xml:space="preserve">v </w:t>
      </w:r>
      <w:r>
        <w:rPr>
          <w:b/>
          <w:bCs/>
          <w:sz w:val="19"/>
          <w:szCs w:val="19"/>
        </w:rPr>
        <w:t>rozhlasu«. Odpor k špatným zprá</w:t>
      </w:r>
      <w:r>
        <w:rPr>
          <w:b/>
          <w:bCs/>
          <w:sz w:val="19"/>
          <w:szCs w:val="19"/>
        </w:rPr>
        <w:softHyphen/>
        <w:t>vám se mi zdá typicky anglickou reakcí. Ani nás tak ne</w:t>
      </w:r>
      <w:r>
        <w:rPr>
          <w:b/>
          <w:bCs/>
          <w:sz w:val="19"/>
          <w:szCs w:val="19"/>
        </w:rPr>
        <w:softHyphen/>
        <w:t>zlobí špatný stav věcí, jako že se nám to oznamuje. Zdá se, že vyhlídky na válku jsou nyní zahrnuty mlčky do sezna</w:t>
      </w:r>
      <w:r>
        <w:rPr>
          <w:b/>
          <w:bCs/>
          <w:sz w:val="19"/>
          <w:szCs w:val="19"/>
        </w:rPr>
        <w:softHyphen/>
        <w:t xml:space="preserve">mu věcí, o nichž je </w:t>
      </w:r>
      <w:r>
        <w:rPr>
          <w:b/>
          <w:bCs/>
          <w:sz w:val="19"/>
          <w:szCs w:val="19"/>
          <w:lang w:val="en-US" w:eastAsia="en-US" w:bidi="en-US"/>
        </w:rPr>
        <w:t xml:space="preserve">shocking </w:t>
      </w:r>
      <w:r>
        <w:rPr>
          <w:b/>
          <w:bCs/>
          <w:sz w:val="19"/>
          <w:szCs w:val="19"/>
        </w:rPr>
        <w:t>mluvit. Ni</w:t>
      </w:r>
      <w:r>
        <w:rPr>
          <w:b/>
          <w:bCs/>
          <w:sz w:val="19"/>
          <w:szCs w:val="19"/>
        </w:rPr>
        <w:t>cméně si myslím, že kdyby světová válka vypukla, bylo by nesnadné to britské veřejností zcela zatajit a naprosté potlačení špatných zpráv by prakticky asi bylo obtížné. Snad by se tato obtíž dala obejít tím, že by rozhlas vydával zvláštní ^Bulletin špatnýc</w:t>
      </w:r>
      <w:r>
        <w:rPr>
          <w:b/>
          <w:bCs/>
          <w:sz w:val="19"/>
          <w:szCs w:val="19"/>
        </w:rPr>
        <w:t>h zpráv«, jehož přečtení by se hlásilo tak napřed, aby poslu</w:t>
      </w:r>
      <w:r>
        <w:rPr>
          <w:b/>
          <w:bCs/>
          <w:sz w:val="19"/>
          <w:szCs w:val="19"/>
        </w:rPr>
        <w:softHyphen/>
        <w:t xml:space="preserve">chači měli čas vypnouti </w:t>
      </w:r>
      <w:r>
        <w:rPr>
          <w:b/>
          <w:bCs/>
          <w:sz w:val="19"/>
          <w:szCs w:val="19"/>
          <w:lang w:val="en-US" w:eastAsia="en-US" w:bidi="en-US"/>
        </w:rPr>
        <w:t xml:space="preserve">radio. </w:t>
      </w:r>
      <w:r>
        <w:rPr>
          <w:b/>
          <w:bCs/>
          <w:sz w:val="19"/>
          <w:szCs w:val="19"/>
        </w:rPr>
        <w:t xml:space="preserve">Rozumí se, že </w:t>
      </w:r>
      <w:r>
        <w:rPr>
          <w:b/>
          <w:bCs/>
          <w:sz w:val="19"/>
          <w:szCs w:val="19"/>
          <w:lang w:val="en-US" w:eastAsia="en-US" w:bidi="en-US"/>
        </w:rPr>
        <w:t xml:space="preserve">^Bulletin </w:t>
      </w:r>
      <w:r>
        <w:rPr>
          <w:b/>
          <w:bCs/>
          <w:sz w:val="19"/>
          <w:szCs w:val="19"/>
        </w:rPr>
        <w:t>dob</w:t>
      </w:r>
      <w:r>
        <w:rPr>
          <w:b/>
          <w:bCs/>
          <w:sz w:val="19"/>
          <w:szCs w:val="19"/>
        </w:rPr>
        <w:softHyphen/>
        <w:t>rých zpráv« by mohl býti čten kdykoliv a snad by britský rozhlas mohl k této práci najmout nějakého známého ko</w:t>
      </w:r>
      <w:r>
        <w:rPr>
          <w:b/>
          <w:bCs/>
          <w:sz w:val="19"/>
          <w:szCs w:val="19"/>
        </w:rPr>
        <w:softHyphen/>
        <w:t>mika.®</w:t>
      </w:r>
    </w:p>
    <w:p w:rsidR="00500724" w:rsidRDefault="00F30FB8">
      <w:pPr>
        <w:pStyle w:val="Zkladntext100"/>
        <w:shd w:val="clear" w:color="auto" w:fill="auto"/>
        <w:spacing w:line="190" w:lineRule="auto"/>
        <w:ind w:firstLine="220"/>
        <w:rPr>
          <w:sz w:val="19"/>
          <w:szCs w:val="19"/>
        </w:rPr>
      </w:pPr>
      <w:r>
        <w:rPr>
          <w:b/>
          <w:bCs/>
          <w:sz w:val="19"/>
          <w:szCs w:val="19"/>
        </w:rPr>
        <w:t xml:space="preserve">Do téže kategorie </w:t>
      </w:r>
      <w:r>
        <w:rPr>
          <w:b/>
          <w:bCs/>
          <w:sz w:val="19"/>
          <w:szCs w:val="19"/>
        </w:rPr>
        <w:t xml:space="preserve">zahrnuje citovaný anglický autor také parlamentní řeči předsedy britské vlády </w:t>
      </w:r>
      <w:r>
        <w:rPr>
          <w:b/>
          <w:bCs/>
          <w:sz w:val="19"/>
          <w:szCs w:val="19"/>
          <w:lang w:val="en-US" w:eastAsia="en-US" w:bidi="en-US"/>
        </w:rPr>
        <w:t xml:space="preserve">Mr. </w:t>
      </w:r>
      <w:r>
        <w:rPr>
          <w:b/>
          <w:bCs/>
          <w:sz w:val="19"/>
          <w:szCs w:val="19"/>
        </w:rPr>
        <w:t>Chamberlaina, který se snaží i zlé věci podat co možná snesitelnou formou. »Prý se o Chamberlainovi říká,« píše citovaný autor, »že je jako Nero, že hraje na housle, když hoř</w:t>
      </w:r>
      <w:r>
        <w:rPr>
          <w:b/>
          <w:bCs/>
          <w:sz w:val="19"/>
          <w:szCs w:val="19"/>
        </w:rPr>
        <w:t>i fiím. Ale já ne</w:t>
      </w:r>
      <w:r>
        <w:rPr>
          <w:b/>
          <w:bCs/>
          <w:sz w:val="19"/>
          <w:szCs w:val="19"/>
        </w:rPr>
        <w:softHyphen/>
        <w:t xml:space="preserve">myslím, že kdyby </w:t>
      </w:r>
      <w:r>
        <w:rPr>
          <w:b/>
          <w:bCs/>
          <w:sz w:val="19"/>
          <w:szCs w:val="19"/>
          <w:lang w:val="en-US" w:eastAsia="en-US" w:bidi="en-US"/>
        </w:rPr>
        <w:t xml:space="preserve">Mr. Chamberlain </w:t>
      </w:r>
      <w:r>
        <w:rPr>
          <w:b/>
          <w:bCs/>
          <w:sz w:val="19"/>
          <w:szCs w:val="19"/>
        </w:rPr>
        <w:t>byl na Neronově místě tenkrát, že by byl hrál na housle. Myslím, že by byl pronesl řeě a že by vypadala asi takto:</w:t>
      </w:r>
    </w:p>
    <w:p w:rsidR="00500724" w:rsidRDefault="00F30FB8">
      <w:pPr>
        <w:pStyle w:val="Zkladntext100"/>
        <w:shd w:val="clear" w:color="auto" w:fill="auto"/>
        <w:spacing w:line="190" w:lineRule="auto"/>
        <w:rPr>
          <w:sz w:val="19"/>
          <w:szCs w:val="19"/>
        </w:rPr>
      </w:pPr>
      <w:r>
        <w:rPr>
          <w:b/>
          <w:bCs/>
          <w:sz w:val="19"/>
          <w:szCs w:val="19"/>
        </w:rPr>
        <w:t xml:space="preserve">Fakt, který, jak myslím (řekl </w:t>
      </w:r>
      <w:r>
        <w:rPr>
          <w:b/>
          <w:bCs/>
          <w:sz w:val="19"/>
          <w:szCs w:val="19"/>
          <w:lang w:val="en-US" w:eastAsia="en-US" w:bidi="en-US"/>
        </w:rPr>
        <w:t xml:space="preserve">by Mr, Chamberlain), </w:t>
      </w:r>
      <w:r>
        <w:rPr>
          <w:b/>
          <w:bCs/>
          <w:sz w:val="19"/>
          <w:szCs w:val="19"/>
        </w:rPr>
        <w:t>Je tu mimo jakoukoliv pochybnost, že to</w:t>
      </w:r>
      <w:r>
        <w:rPr>
          <w:b/>
          <w:bCs/>
          <w:sz w:val="19"/>
          <w:szCs w:val="19"/>
        </w:rPr>
        <w:t xml:space="preserve">tiž větší část tohoto města je nyní v plamenech, způsobí, jak o tom nepochybuji, pocity hlubokého zneklidnění a možná snad 1 poplašenosti mezi těmi obyvateli, kteří jsou si vědomi možností, jež hrozí Jejich bezpečnosti. Musíme si proto položit otázku, zda </w:t>
      </w:r>
      <w:r>
        <w:rPr>
          <w:b/>
          <w:bCs/>
          <w:sz w:val="19"/>
          <w:szCs w:val="19"/>
        </w:rPr>
        <w:t>situace, která tímto činem byla vytvořena, je slučitelná s bezpečností obce jako celku. Jsem si jist, že většina veřej</w:t>
      </w:r>
      <w:r>
        <w:rPr>
          <w:b/>
          <w:bCs/>
          <w:sz w:val="19"/>
          <w:szCs w:val="19"/>
        </w:rPr>
        <w:softHyphen/>
        <w:t xml:space="preserve">ného mínění se kloní k názoru, že zhroucení značné části veřejných budov, ke kterému došlo, je daleko toho, aby ulevilo napětí a obavám, </w:t>
      </w:r>
      <w:r>
        <w:rPr>
          <w:b/>
          <w:bCs/>
          <w:sz w:val="19"/>
          <w:szCs w:val="19"/>
        </w:rPr>
        <w:t>jež jsou široce pociťovány, že spíše naopak tyto obavy se tim posilí a dokonce snad zasadí další ránu pocitům důvěry. Je-li město v plamenech a jeho oby</w:t>
      </w:r>
      <w:r>
        <w:rPr>
          <w:b/>
          <w:bCs/>
          <w:sz w:val="19"/>
          <w:szCs w:val="19"/>
        </w:rPr>
        <w:softHyphen/>
        <w:t>vatelé ohroženi, pak, pravím to docela otevřeně, je velmi ne</w:t>
      </w:r>
      <w:r>
        <w:rPr>
          <w:b/>
          <w:bCs/>
          <w:sz w:val="19"/>
          <w:szCs w:val="19"/>
        </w:rPr>
        <w:softHyphen/>
        <w:t xml:space="preserve">snadno smířiti tento stav věcí s názorem, </w:t>
      </w:r>
      <w:r>
        <w:rPr>
          <w:b/>
          <w:bCs/>
          <w:sz w:val="19"/>
          <w:szCs w:val="19"/>
        </w:rPr>
        <w:t>projevovaným na druhé straně, že tu není příčin k znepokojení v situaci, která, kdyby bylo dovoleno, aby se vyvíjela, by se mohla ukázat zkázonosnou pro blaho těch, kterých se dotýká. Bylo mi navrženo, aby byl povolán hasičský sbor. Neváhám pro</w:t>
      </w:r>
      <w:r>
        <w:rPr>
          <w:b/>
          <w:bCs/>
          <w:sz w:val="19"/>
          <w:szCs w:val="19"/>
        </w:rPr>
        <w:softHyphen/>
        <w:t xml:space="preserve">hlásit, že </w:t>
      </w:r>
      <w:r>
        <w:rPr>
          <w:b/>
          <w:bCs/>
          <w:sz w:val="19"/>
          <w:szCs w:val="19"/>
        </w:rPr>
        <w:t xml:space="preserve">tento návrh zasluhuje nejpeělivější uvážení vlády a mohu sděliti, že jsem ve stálém těsném styku s hasičským sborem, aby se případně ujal akce hašení požáru a učinil taková opatření, jaká budou považována za potřebná, aby byla obnovena důvěra, což si já i </w:t>
      </w:r>
      <w:r>
        <w:rPr>
          <w:b/>
          <w:bCs/>
          <w:sz w:val="19"/>
          <w:szCs w:val="19"/>
        </w:rPr>
        <w:t>moji kolegové upřímně přejeme, neboť....«</w:t>
      </w:r>
    </w:p>
    <w:p w:rsidR="00500724" w:rsidRDefault="00F30FB8">
      <w:pPr>
        <w:pStyle w:val="Zkladntext100"/>
        <w:shd w:val="clear" w:color="auto" w:fill="auto"/>
        <w:spacing w:line="187" w:lineRule="auto"/>
        <w:ind w:firstLine="200"/>
        <w:rPr>
          <w:sz w:val="19"/>
          <w:szCs w:val="19"/>
        </w:rPr>
      </w:pPr>
      <w:r>
        <w:rPr>
          <w:b/>
          <w:bCs/>
          <w:sz w:val="19"/>
          <w:szCs w:val="19"/>
        </w:rPr>
        <w:t>Tato sžíravá ironie ovšem úmyslně zesměšňuje současný stav britského veřejného mínění a karikuje »energiěnost« Chamberlainovy vlády. Ale jako dokument stojí za přečtení.</w:t>
      </w:r>
    </w:p>
    <w:p w:rsidR="00500724" w:rsidRDefault="00F30FB8">
      <w:pPr>
        <w:pStyle w:val="Zkladntext20"/>
        <w:shd w:val="clear" w:color="auto" w:fill="auto"/>
        <w:spacing w:after="200" w:line="178" w:lineRule="auto"/>
        <w:ind w:firstLine="0"/>
        <w:jc w:val="right"/>
        <w:rPr>
          <w:sz w:val="20"/>
          <w:szCs w:val="20"/>
        </w:rPr>
      </w:pPr>
      <w:r>
        <w:rPr>
          <w:i/>
          <w:iCs/>
          <w:sz w:val="20"/>
          <w:szCs w:val="20"/>
        </w:rPr>
        <w:t>Cis.</w:t>
      </w:r>
    </w:p>
    <w:p w:rsidR="00500724" w:rsidRDefault="00F30FB8">
      <w:pPr>
        <w:pStyle w:val="Zkladntext20"/>
        <w:shd w:val="clear" w:color="auto" w:fill="auto"/>
        <w:spacing w:after="100" w:line="178" w:lineRule="auto"/>
        <w:ind w:firstLine="0"/>
        <w:jc w:val="center"/>
        <w:rPr>
          <w:sz w:val="20"/>
          <w:szCs w:val="20"/>
        </w:rPr>
      </w:pPr>
      <w:r>
        <w:rPr>
          <w:b/>
          <w:bCs/>
          <w:sz w:val="20"/>
          <w:szCs w:val="20"/>
        </w:rPr>
        <w:t xml:space="preserve">Roosevelt nechce isolaci Spojených </w:t>
      </w:r>
      <w:r>
        <w:rPr>
          <w:b/>
          <w:bCs/>
          <w:sz w:val="20"/>
          <w:szCs w:val="20"/>
        </w:rPr>
        <w:t>Států</w:t>
      </w:r>
    </w:p>
    <w:p w:rsidR="00500724" w:rsidRDefault="00F30FB8">
      <w:pPr>
        <w:pStyle w:val="Zkladntext100"/>
        <w:shd w:val="clear" w:color="auto" w:fill="auto"/>
        <w:spacing w:line="187" w:lineRule="auto"/>
        <w:ind w:firstLine="200"/>
        <w:rPr>
          <w:sz w:val="19"/>
          <w:szCs w:val="19"/>
        </w:rPr>
      </w:pPr>
      <w:r>
        <w:rPr>
          <w:b/>
          <w:bCs/>
          <w:sz w:val="19"/>
          <w:szCs w:val="19"/>
        </w:rPr>
        <w:t>Zápas o příští směr politiky Spojených Států americ</w:t>
      </w:r>
      <w:r>
        <w:rPr>
          <w:b/>
          <w:bCs/>
          <w:sz w:val="19"/>
          <w:szCs w:val="19"/>
        </w:rPr>
        <w:softHyphen/>
        <w:t xml:space="preserve">kých, který se projevil v některých posledních debatách v americkém kongresu i v novinářských článcích, dostává se v posledních týdnech zřejmě do konkrétnějšího stadia. Zasáhl do něho už i předseda </w:t>
      </w:r>
      <w:r>
        <w:rPr>
          <w:b/>
          <w:bCs/>
          <w:sz w:val="19"/>
          <w:szCs w:val="19"/>
        </w:rPr>
        <w:t xml:space="preserve">a ministr zahraničních věcí Rooseveltovy vlády, </w:t>
      </w:r>
      <w:r>
        <w:rPr>
          <w:b/>
          <w:bCs/>
          <w:sz w:val="19"/>
          <w:szCs w:val="19"/>
          <w:lang w:val="en-US" w:eastAsia="en-US" w:bidi="en-US"/>
        </w:rPr>
        <w:t xml:space="preserve">Mr. Cordell Hull. </w:t>
      </w:r>
      <w:r>
        <w:rPr>
          <w:b/>
          <w:bCs/>
          <w:sz w:val="19"/>
          <w:szCs w:val="19"/>
        </w:rPr>
        <w:t>Učinil v Chicagu pro</w:t>
      </w:r>
      <w:r>
        <w:rPr>
          <w:b/>
          <w:bCs/>
          <w:sz w:val="19"/>
          <w:szCs w:val="19"/>
        </w:rPr>
        <w:softHyphen/>
        <w:t>jev, v němž varoval před snahami, jimž dali výraz někteří američtí politikové, o odloučení Spojených Států od evrop</w:t>
      </w:r>
      <w:r>
        <w:rPr>
          <w:b/>
          <w:bCs/>
          <w:sz w:val="19"/>
          <w:szCs w:val="19"/>
        </w:rPr>
        <w:softHyphen/>
        <w:t>ské politiky. Odmítl teorie isolaění a nevměšovací po</w:t>
      </w:r>
      <w:r>
        <w:rPr>
          <w:b/>
          <w:bCs/>
          <w:sz w:val="19"/>
          <w:szCs w:val="19"/>
        </w:rPr>
        <w:t>litiky a pravil, že taková isolace by Spojeným Státům americkým ani politicky, ani hospodářsky neprospěla- Soudí, že i kdyby se syětu snad zdařilo vyhnouti se válce, dostoupilo však již Zbrojení takové výše po celém světě, že nezbytným dů</w:t>
      </w:r>
      <w:r>
        <w:rPr>
          <w:b/>
          <w:bCs/>
          <w:sz w:val="19"/>
          <w:szCs w:val="19"/>
        </w:rPr>
        <w:softHyphen/>
        <w:t>sledkem by pak mu</w:t>
      </w:r>
      <w:r>
        <w:rPr>
          <w:b/>
          <w:bCs/>
          <w:sz w:val="19"/>
          <w:szCs w:val="19"/>
        </w:rPr>
        <w:t>silo býti ostře řízené národní hospo</w:t>
      </w:r>
      <w:r>
        <w:rPr>
          <w:b/>
          <w:bCs/>
          <w:sz w:val="19"/>
          <w:szCs w:val="19"/>
        </w:rPr>
        <w:softHyphen/>
        <w:t>dářství všude, protože jinak by hrozila strašlivá nezaměst</w:t>
      </w:r>
      <w:r>
        <w:rPr>
          <w:b/>
          <w:bCs/>
          <w:sz w:val="19"/>
          <w:szCs w:val="19"/>
        </w:rPr>
        <w:softHyphen/>
        <w:t>nanost a vážné sociálně-poiitícké krise. Ale podle Hullova mínění ani v opačném případě Americká Unie nemůže (chtít zůstat stranou, právě naopak, jejím úkolem j</w:t>
      </w:r>
      <w:r>
        <w:rPr>
          <w:b/>
          <w:bCs/>
          <w:sz w:val="19"/>
          <w:szCs w:val="19"/>
        </w:rPr>
        <w:t xml:space="preserve">e hráti roli, která jí přísluší a kterou je světu povinna před tváří historie vzhledem ke svému politickému významu a k své hospodářské sile. iNení zkázonosnější iluse,« pravil v závěru své řeči </w:t>
      </w:r>
      <w:r>
        <w:rPr>
          <w:b/>
          <w:bCs/>
          <w:sz w:val="19"/>
          <w:szCs w:val="19"/>
          <w:lang w:val="en-US" w:eastAsia="en-US" w:bidi="en-US"/>
        </w:rPr>
        <w:t xml:space="preserve">Mr. Hull </w:t>
      </w:r>
      <w:r>
        <w:rPr>
          <w:b/>
          <w:bCs/>
          <w:sz w:val="19"/>
          <w:szCs w:val="19"/>
        </w:rPr>
        <w:t>výslovně, »než, že isolace, kterou bychom začali děl</w:t>
      </w:r>
      <w:r>
        <w:rPr>
          <w:b/>
          <w:bCs/>
          <w:sz w:val="19"/>
          <w:szCs w:val="19"/>
        </w:rPr>
        <w:t>at, by nás nezapletla do problémů anebo rozřešila naše dosav adní problémy. Pravý opak je pravdo u.«</w:t>
      </w:r>
    </w:p>
    <w:p w:rsidR="00500724" w:rsidRDefault="00F30FB8">
      <w:pPr>
        <w:pStyle w:val="Zkladntext100"/>
        <w:shd w:val="clear" w:color="auto" w:fill="auto"/>
        <w:spacing w:line="187" w:lineRule="auto"/>
        <w:ind w:firstLine="200"/>
        <w:rPr>
          <w:sz w:val="19"/>
          <w:szCs w:val="19"/>
        </w:rPr>
      </w:pPr>
      <w:r>
        <w:rPr>
          <w:b/>
          <w:bCs/>
          <w:sz w:val="19"/>
          <w:szCs w:val="19"/>
        </w:rPr>
        <w:t>V tom směru se také pohybuje hospodářská politika vlády. Zdůrazňuje se, že nedostatek mezinárodních kapitá</w:t>
      </w:r>
      <w:r>
        <w:rPr>
          <w:b/>
          <w:bCs/>
          <w:sz w:val="19"/>
          <w:szCs w:val="19"/>
        </w:rPr>
        <w:softHyphen/>
        <w:t>lových styků, zejména skutečnost, že Spojené Stá</w:t>
      </w:r>
      <w:r>
        <w:rPr>
          <w:b/>
          <w:bCs/>
          <w:sz w:val="19"/>
          <w:szCs w:val="19"/>
        </w:rPr>
        <w:t>ty pře</w:t>
      </w:r>
      <w:r>
        <w:rPr>
          <w:b/>
          <w:bCs/>
          <w:sz w:val="19"/>
          <w:szCs w:val="19"/>
        </w:rPr>
        <w:softHyphen/>
        <w:t>staly investovat do výstavby evropských států, nepřinesla americké Unii žádný prospěch, naopak, že vedla k četným krisím. Přerušení konjunkturního vývoje, jež nepopiratelně v posledních dvou měsících ve Spojených Státech nastalo, se v Evropě, jak se</w:t>
      </w:r>
      <w:r>
        <w:rPr>
          <w:b/>
          <w:bCs/>
          <w:sz w:val="19"/>
          <w:szCs w:val="19"/>
        </w:rPr>
        <w:t xml:space="preserve"> zdá, namnoze přece</w:t>
      </w:r>
      <w:r>
        <w:rPr>
          <w:b/>
          <w:bCs/>
          <w:sz w:val="19"/>
          <w:szCs w:val="19"/>
        </w:rPr>
        <w:softHyphen/>
        <w:t>ňuje. Pokles ovšem skutečně nastal ve většině průmyslo</w:t>
      </w:r>
      <w:r>
        <w:rPr>
          <w:b/>
          <w:bCs/>
          <w:sz w:val="19"/>
          <w:szCs w:val="19"/>
        </w:rPr>
        <w:softHyphen/>
        <w:t>vých odvětvi, ale soudí se, že má ráz čistě přechodný. Podle Indexu NYT (»New York Times«), zaznamenávajícího ob</w:t>
      </w:r>
      <w:r>
        <w:rPr>
          <w:b/>
          <w:bCs/>
          <w:sz w:val="19"/>
          <w:szCs w:val="19"/>
        </w:rPr>
        <w:softHyphen/>
        <w:t>chodní aktivitu, činil tento index koncem ledna 92, koncem března 89</w:t>
      </w:r>
      <w:r>
        <w:rPr>
          <w:b/>
          <w:bCs/>
          <w:sz w:val="19"/>
          <w:szCs w:val="19"/>
        </w:rPr>
        <w:t>.4 a nyní asi 83.3. Index zpracování oceli činil v březnu 53 a nyní asi 45.5.</w:t>
      </w:r>
    </w:p>
    <w:p w:rsidR="00500724" w:rsidRDefault="00F30FB8">
      <w:pPr>
        <w:pStyle w:val="Zkladntext100"/>
        <w:shd w:val="clear" w:color="auto" w:fill="auto"/>
        <w:spacing w:line="187" w:lineRule="auto"/>
        <w:ind w:firstLine="200"/>
        <w:rPr>
          <w:sz w:val="19"/>
          <w:szCs w:val="19"/>
        </w:rPr>
      </w:pPr>
      <w:r>
        <w:rPr>
          <w:b/>
          <w:bCs/>
          <w:sz w:val="19"/>
          <w:szCs w:val="19"/>
        </w:rPr>
        <w:t>Ale nyní již nastává nový příliv objednávek, takže se další vývoj typuje opětně uspokojivě, ačkoliv ovšem za</w:t>
      </w:r>
      <w:r>
        <w:rPr>
          <w:b/>
          <w:bCs/>
          <w:sz w:val="19"/>
          <w:szCs w:val="19"/>
        </w:rPr>
        <w:softHyphen/>
        <w:t>městnanost v březnu byla stále ještě pod průměrem ame</w:t>
      </w:r>
      <w:r>
        <w:rPr>
          <w:b/>
          <w:bCs/>
          <w:sz w:val="19"/>
          <w:szCs w:val="19"/>
        </w:rPr>
        <w:softHyphen/>
        <w:t>rických konjunk</w:t>
      </w:r>
      <w:r>
        <w:rPr>
          <w:b/>
          <w:bCs/>
          <w:sz w:val="19"/>
          <w:szCs w:val="19"/>
        </w:rPr>
        <w:t>turních let 1923—1925 (které se zcela ne</w:t>
      </w:r>
      <w:r>
        <w:rPr>
          <w:b/>
          <w:bCs/>
          <w:sz w:val="19"/>
          <w:szCs w:val="19"/>
        </w:rPr>
        <w:softHyphen/>
        <w:t>shodují s evropskými konjunkturními periodami), asi o 8.4%. Vláda vydává na oživení konjunktury ročně asi 8.5—4 miliardy dolarů, čili asi 6% národního důchodu. Oposice ovšem kritisuje dosavadní výsledky jako neodpo</w:t>
      </w:r>
      <w:r>
        <w:rPr>
          <w:b/>
          <w:bCs/>
          <w:sz w:val="19"/>
          <w:szCs w:val="19"/>
        </w:rPr>
        <w:softHyphen/>
      </w:r>
      <w:r>
        <w:rPr>
          <w:b/>
          <w:bCs/>
          <w:sz w:val="19"/>
          <w:szCs w:val="19"/>
        </w:rPr>
        <w:t>vídající tak vysokému výdaji.</w:t>
      </w:r>
    </w:p>
    <w:p w:rsidR="00500724" w:rsidRDefault="00F30FB8">
      <w:pPr>
        <w:pStyle w:val="Zkladntext100"/>
        <w:shd w:val="clear" w:color="auto" w:fill="auto"/>
        <w:spacing w:after="40" w:line="190" w:lineRule="auto"/>
        <w:ind w:firstLine="0"/>
        <w:rPr>
          <w:sz w:val="19"/>
          <w:szCs w:val="19"/>
        </w:rPr>
      </w:pPr>
      <w:r>
        <w:rPr>
          <w:noProof/>
        </w:rPr>
        <mc:AlternateContent>
          <mc:Choice Requires="wps">
            <w:drawing>
              <wp:anchor distT="0" distB="254000" distL="114300" distR="114300" simplePos="0" relativeHeight="125829986" behindDoc="0" locked="0" layoutInCell="1" allowOverlap="1">
                <wp:simplePos x="0" y="0"/>
                <wp:positionH relativeFrom="page">
                  <wp:posOffset>444500</wp:posOffset>
                </wp:positionH>
                <wp:positionV relativeFrom="margin">
                  <wp:posOffset>9353550</wp:posOffset>
                </wp:positionV>
                <wp:extent cx="234950" cy="213360"/>
                <wp:effectExtent l="0" t="0" r="0" b="0"/>
                <wp:wrapTopAndBottom/>
                <wp:docPr id="609" name="Shape 609"/>
                <wp:cNvGraphicFramePr/>
                <a:graphic xmlns:a="http://schemas.openxmlformats.org/drawingml/2006/main">
                  <a:graphicData uri="http://schemas.microsoft.com/office/word/2010/wordprocessingShape">
                    <wps:wsp>
                      <wps:cNvSpPr txBox="1"/>
                      <wps:spPr>
                        <a:xfrm>
                          <a:off x="0" y="0"/>
                          <a:ext cx="23495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S64</w:t>
                            </w:r>
                          </w:p>
                        </w:txbxContent>
                      </wps:txbx>
                      <wps:bodyPr lIns="0" tIns="0" rIns="0" bIns="0">
                        <a:spAutoFit/>
                      </wps:bodyPr>
                    </wps:wsp>
                  </a:graphicData>
                </a:graphic>
              </wp:anchor>
            </w:drawing>
          </mc:Choice>
          <mc:Fallback>
            <w:pict>
              <v:shape id="_x0000_s1635" type="#_x0000_t202" style="position:absolute;margin-left:35.pt;margin-top:736.5pt;width:18.5pt;height:16.800000000000001pt;z-index:-125828767;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S64</w:t>
                      </w:r>
                    </w:p>
                  </w:txbxContent>
                </v:textbox>
                <w10:wrap type="topAndBottom" anchorx="page" anchory="margin"/>
              </v:shape>
            </w:pict>
          </mc:Fallback>
        </mc:AlternateContent>
      </w:r>
      <w:r>
        <w:rPr>
          <w:b/>
          <w:bCs/>
          <w:sz w:val="19"/>
          <w:szCs w:val="19"/>
        </w:rPr>
        <w:t>Nesmi se však zapomínat!, že Spojené Státy ame</w:t>
      </w:r>
      <w:r>
        <w:rPr>
          <w:b/>
          <w:bCs/>
          <w:sz w:val="19"/>
          <w:szCs w:val="19"/>
        </w:rPr>
        <w:softHyphen/>
        <w:t xml:space="preserve">rické byly nesmírně zaostalé v sociálně- </w:t>
      </w:r>
      <w:r>
        <w:rPr>
          <w:b/>
          <w:bCs/>
          <w:sz w:val="19"/>
          <w:szCs w:val="19"/>
          <w:lang w:val="en-US" w:eastAsia="en-US" w:bidi="en-US"/>
        </w:rPr>
        <w:t xml:space="preserve">politick </w:t>
      </w:r>
      <w:r>
        <w:rPr>
          <w:b/>
          <w:bCs/>
          <w:sz w:val="19"/>
          <w:szCs w:val="19"/>
        </w:rPr>
        <w:t>émzákonodárství,v zákonech na ochrana pracujících lidi, a teprve nyní Rooseveltova vláda přinesla sérii zákonů, jež již dá</w:t>
      </w:r>
      <w:r>
        <w:rPr>
          <w:b/>
          <w:bCs/>
          <w:sz w:val="19"/>
          <w:szCs w:val="19"/>
        </w:rPr>
        <w:t>vno byly v platnosti, ostatně v dar Ieko větSím rozsahu v Evropě, zejména ovšem v Německu » u nás. Podobně však jako ve Francii, přišlo těchto zá</w:t>
      </w:r>
      <w:r>
        <w:rPr>
          <w:b/>
          <w:bCs/>
          <w:sz w:val="19"/>
          <w:szCs w:val="19"/>
        </w:rPr>
        <w:softHyphen/>
        <w:t>konů mnoho a národní hospodářství, resp. podnikatelé, je sice strávili, ale s odporem, který přecházel přímo d</w:t>
      </w:r>
      <w:r>
        <w:rPr>
          <w:b/>
          <w:bCs/>
          <w:sz w:val="19"/>
          <w:szCs w:val="19"/>
        </w:rPr>
        <w:t>o sabo</w:t>
      </w:r>
      <w:r>
        <w:rPr>
          <w:b/>
          <w:bCs/>
          <w:sz w:val="19"/>
          <w:szCs w:val="19"/>
        </w:rPr>
        <w:softHyphen/>
        <w:t>táže. Je ještě v paměti, jak Fordův koncern, velké elek</w:t>
      </w:r>
      <w:r>
        <w:rPr>
          <w:b/>
          <w:bCs/>
          <w:sz w:val="19"/>
          <w:szCs w:val="19"/>
        </w:rPr>
        <w:softHyphen/>
        <w:t>trárny, strojírny a dopravní trusty úmyslně zmenšovaly objednávky, jen aby vyvolaly nezaměstnanost a tak odpor pracujícího lidu proti vládni sociálně-hospodářské a fi- tiančně-daňové politice.</w:t>
      </w:r>
    </w:p>
    <w:p w:rsidR="00500724" w:rsidRDefault="00F30FB8">
      <w:pPr>
        <w:pStyle w:val="Zkladntext100"/>
        <w:shd w:val="clear" w:color="auto" w:fill="auto"/>
        <w:spacing w:after="40" w:line="187" w:lineRule="auto"/>
        <w:ind w:firstLine="240"/>
        <w:rPr>
          <w:sz w:val="19"/>
          <w:szCs w:val="19"/>
        </w:rPr>
      </w:pPr>
      <w:r>
        <w:rPr>
          <w:b/>
          <w:bCs/>
          <w:sz w:val="19"/>
          <w:szCs w:val="19"/>
        </w:rPr>
        <w:t>Ostatně srovnávání s lety 1923—1925 je již potud ne</w:t>
      </w:r>
      <w:r>
        <w:rPr>
          <w:b/>
          <w:bCs/>
          <w:sz w:val="19"/>
          <w:szCs w:val="19"/>
        </w:rPr>
        <w:softHyphen/>
        <w:t xml:space="preserve">správné, že počet dospělého, práce schopného obyvatelstva Spojených Států stoupl o 13%. Nesnáz je nyní v tom, že dříve se obracely všechny volné peníze do budování silnic, železnic, dopravních prostředků </w:t>
      </w:r>
      <w:r>
        <w:rPr>
          <w:b/>
          <w:bCs/>
          <w:sz w:val="19"/>
          <w:szCs w:val="19"/>
        </w:rPr>
        <w:t>a k tomu patřících zaří</w:t>
      </w:r>
      <w:r>
        <w:rPr>
          <w:b/>
          <w:bCs/>
          <w:sz w:val="19"/>
          <w:szCs w:val="19"/>
        </w:rPr>
        <w:softHyphen/>
        <w:t>zení, do elektráren a podobných investic veřejného zájmu. Ty však jsou již tak technicky vybaveny, že by to bylo skuteč</w:t>
      </w:r>
      <w:r>
        <w:rPr>
          <w:b/>
          <w:bCs/>
          <w:sz w:val="19"/>
          <w:szCs w:val="19"/>
        </w:rPr>
        <w:softHyphen/>
      </w:r>
      <w:r>
        <w:rPr>
          <w:b/>
          <w:bCs/>
          <w:sz w:val="20"/>
          <w:szCs w:val="20"/>
        </w:rPr>
        <w:t xml:space="preserve">né </w:t>
      </w:r>
      <w:r>
        <w:rPr>
          <w:b/>
          <w:bCs/>
          <w:sz w:val="19"/>
          <w:szCs w:val="19"/>
        </w:rPr>
        <w:t xml:space="preserve">plýtvání — nehledě k nerentabilnosti — kdyby měly zase býti vyměňovány za nové. Proto patrně také se zvyšuje </w:t>
      </w:r>
      <w:r>
        <w:rPr>
          <w:b/>
          <w:bCs/>
          <w:sz w:val="19"/>
          <w:szCs w:val="19"/>
        </w:rPr>
        <w:t>zájem o stavební ruch, který proti loňsku bude asi dvojnásobný, soudě podle objednávek a stavebních povo</w:t>
      </w:r>
      <w:r>
        <w:rPr>
          <w:b/>
          <w:bCs/>
          <w:sz w:val="19"/>
          <w:szCs w:val="19"/>
        </w:rPr>
        <w:softHyphen/>
        <w:t>lení. Ovšem i tak bude letošní rok za minulými lety, spe</w:t>
      </w:r>
      <w:r>
        <w:rPr>
          <w:b/>
          <w:bCs/>
          <w:sz w:val="19"/>
          <w:szCs w:val="19"/>
        </w:rPr>
        <w:softHyphen/>
        <w:t>ciálně v srovnání s lety vysoké konjunktury, jako byla r. 1928, kdy stavebních smluv bylo regi</w:t>
      </w:r>
      <w:r>
        <w:rPr>
          <w:b/>
          <w:bCs/>
          <w:sz w:val="19"/>
          <w:szCs w:val="19"/>
        </w:rPr>
        <w:t>strováno za 6.7 miliardy dolarů, kdežto letos asi za 3.2 miliardy dolarů. Zatím ovšem jsou známa data jen z 37 států.</w:t>
      </w:r>
    </w:p>
    <w:p w:rsidR="00500724" w:rsidRDefault="00F30FB8">
      <w:pPr>
        <w:pStyle w:val="Zkladntext100"/>
        <w:shd w:val="clear" w:color="auto" w:fill="auto"/>
        <w:tabs>
          <w:tab w:val="left" w:pos="4493"/>
        </w:tabs>
        <w:spacing w:after="40" w:line="187" w:lineRule="auto"/>
        <w:ind w:firstLine="240"/>
        <w:rPr>
          <w:sz w:val="19"/>
          <w:szCs w:val="19"/>
        </w:rPr>
      </w:pPr>
      <w:r>
        <w:rPr>
          <w:b/>
          <w:bCs/>
          <w:sz w:val="19"/>
          <w:szCs w:val="19"/>
        </w:rPr>
        <w:t>Fakt však je, že vzhledem k nesmírnému bohatství, kterým vybavila příroda Spojené Státy americké, dále vzhledem k tomu, že jde o území tak</w:t>
      </w:r>
      <w:r>
        <w:rPr>
          <w:b/>
          <w:bCs/>
          <w:sz w:val="19"/>
          <w:szCs w:val="19"/>
        </w:rPr>
        <w:t xml:space="preserve"> velké jako Evropa s pouhými 130 miliony obyvatel, je tu zřejmě jakási chyba v konstrukci amerického národního hospodářství. Ale ovšem i tak je životní úroveň v této »nezcela zaměstnané® zemi vyšší než v celé zaměstnané Evropě.</w:t>
      </w:r>
      <w:r>
        <w:rPr>
          <w:b/>
          <w:bCs/>
          <w:sz w:val="19"/>
          <w:szCs w:val="19"/>
        </w:rPr>
        <w:tab/>
      </w:r>
      <w:r>
        <w:rPr>
          <w:b/>
          <w:bCs/>
          <w:i/>
          <w:iCs/>
          <w:sz w:val="19"/>
          <w:szCs w:val="19"/>
        </w:rPr>
        <w:t>Cis</w:t>
      </w:r>
    </w:p>
    <w:p w:rsidR="00500724" w:rsidRDefault="00F30FB8">
      <w:pPr>
        <w:pStyle w:val="Zkladntext20"/>
        <w:shd w:val="clear" w:color="auto" w:fill="auto"/>
        <w:spacing w:after="40" w:line="178" w:lineRule="auto"/>
        <w:ind w:firstLine="0"/>
        <w:jc w:val="center"/>
        <w:rPr>
          <w:sz w:val="20"/>
          <w:szCs w:val="20"/>
        </w:rPr>
      </w:pPr>
      <w:r>
        <w:rPr>
          <w:b/>
          <w:bCs/>
          <w:sz w:val="20"/>
          <w:szCs w:val="20"/>
        </w:rPr>
        <w:t>České zlato a anglická p</w:t>
      </w:r>
      <w:r>
        <w:rPr>
          <w:b/>
          <w:bCs/>
          <w:sz w:val="20"/>
          <w:szCs w:val="20"/>
        </w:rPr>
        <w:t>olitika</w:t>
      </w:r>
    </w:p>
    <w:p w:rsidR="00500724" w:rsidRDefault="00F30FB8">
      <w:pPr>
        <w:pStyle w:val="Zkladntext100"/>
        <w:shd w:val="clear" w:color="auto" w:fill="auto"/>
        <w:spacing w:after="40" w:line="187" w:lineRule="auto"/>
        <w:ind w:firstLine="240"/>
        <w:rPr>
          <w:sz w:val="19"/>
          <w:szCs w:val="19"/>
        </w:rPr>
      </w:pPr>
      <w:r>
        <w:rPr>
          <w:b/>
          <w:bCs/>
          <w:sz w:val="19"/>
          <w:szCs w:val="19"/>
        </w:rPr>
        <w:t xml:space="preserve">Konservativní »Daily Express« si nedávno postěžoval, že V zahraniční politice vláda kapitulovala před oposici a že anglickou politiku řídí nyní nikoliv </w:t>
      </w:r>
      <w:r>
        <w:rPr>
          <w:b/>
          <w:bCs/>
          <w:sz w:val="19"/>
          <w:szCs w:val="19"/>
          <w:lang w:val="en-US" w:eastAsia="en-US" w:bidi="en-US"/>
        </w:rPr>
        <w:t xml:space="preserve">Chamberlain </w:t>
      </w:r>
      <w:r>
        <w:rPr>
          <w:b/>
          <w:bCs/>
          <w:sz w:val="19"/>
          <w:szCs w:val="19"/>
        </w:rPr>
        <w:t xml:space="preserve">nebo </w:t>
      </w:r>
      <w:r>
        <w:rPr>
          <w:b/>
          <w:bCs/>
          <w:sz w:val="19"/>
          <w:szCs w:val="19"/>
          <w:lang w:val="en-US" w:eastAsia="en-US" w:bidi="en-US"/>
        </w:rPr>
        <w:t xml:space="preserve">Halifax, </w:t>
      </w:r>
      <w:r>
        <w:rPr>
          <w:b/>
          <w:bCs/>
          <w:sz w:val="19"/>
          <w:szCs w:val="19"/>
        </w:rPr>
        <w:t xml:space="preserve">nýbrž </w:t>
      </w:r>
      <w:r>
        <w:rPr>
          <w:b/>
          <w:bCs/>
          <w:sz w:val="19"/>
          <w:szCs w:val="19"/>
          <w:lang w:val="en-US" w:eastAsia="en-US" w:bidi="en-US"/>
        </w:rPr>
        <w:t xml:space="preserve">Attlee. </w:t>
      </w:r>
      <w:r>
        <w:rPr>
          <w:b/>
          <w:bCs/>
          <w:sz w:val="19"/>
          <w:szCs w:val="19"/>
        </w:rPr>
        <w:t>Tato skutečnost se nejjasněji pro</w:t>
      </w:r>
      <w:r>
        <w:rPr>
          <w:b/>
          <w:bCs/>
          <w:sz w:val="19"/>
          <w:szCs w:val="19"/>
        </w:rPr>
        <w:softHyphen/>
        <w:t xml:space="preserve">jevila v příběhu s t. </w:t>
      </w:r>
      <w:r>
        <w:rPr>
          <w:b/>
          <w:bCs/>
          <w:sz w:val="19"/>
          <w:szCs w:val="19"/>
        </w:rPr>
        <w:t>zv. »českým zlatem«, jímž se britská sněmovna zaměstnávala po celé dvě schůze, jenž poskytl oposici příležitost k prudkým útokům na vládu a jež ještě dnes zaměstnává úvodníkáře britského a francouzského tisku.</w:t>
      </w:r>
    </w:p>
    <w:p w:rsidR="00500724" w:rsidRDefault="00F30FB8">
      <w:pPr>
        <w:pStyle w:val="Zkladntext100"/>
        <w:shd w:val="clear" w:color="auto" w:fill="auto"/>
        <w:spacing w:after="40" w:line="187" w:lineRule="auto"/>
        <w:ind w:firstLine="240"/>
        <w:rPr>
          <w:sz w:val="19"/>
          <w:szCs w:val="19"/>
        </w:rPr>
      </w:pPr>
      <w:r>
        <w:rPr>
          <w:b/>
          <w:bCs/>
          <w:sz w:val="19"/>
          <w:szCs w:val="19"/>
        </w:rPr>
        <w:t>Anglie, jak známo, vzala si za záminku zřízení</w:t>
      </w:r>
      <w:r>
        <w:rPr>
          <w:b/>
          <w:bCs/>
          <w:sz w:val="19"/>
          <w:szCs w:val="19"/>
        </w:rPr>
        <w:t xml:space="preserve"> Protekto</w:t>
      </w:r>
      <w:r>
        <w:rPr>
          <w:b/>
          <w:bCs/>
          <w:sz w:val="19"/>
          <w:szCs w:val="19"/>
        </w:rPr>
        <w:softHyphen/>
        <w:t>rátu, aby uvalila sekvestr na zlato a devisy bývalé Ná</w:t>
      </w:r>
      <w:r>
        <w:rPr>
          <w:b/>
          <w:bCs/>
          <w:sz w:val="19"/>
          <w:szCs w:val="19"/>
        </w:rPr>
        <w:softHyphen/>
        <w:t xml:space="preserve">rodní banky československé, deponované v </w:t>
      </w:r>
      <w:r>
        <w:rPr>
          <w:b/>
          <w:bCs/>
          <w:sz w:val="19"/>
          <w:szCs w:val="19"/>
          <w:lang w:val="en-US" w:eastAsia="en-US" w:bidi="en-US"/>
        </w:rPr>
        <w:t>Bank of Eng</w:t>
      </w:r>
      <w:r>
        <w:rPr>
          <w:b/>
          <w:bCs/>
          <w:sz w:val="19"/>
          <w:szCs w:val="19"/>
          <w:lang w:val="en-US" w:eastAsia="en-US" w:bidi="en-US"/>
        </w:rPr>
        <w:softHyphen/>
        <w:t xml:space="preserve">land. </w:t>
      </w:r>
      <w:r>
        <w:rPr>
          <w:b/>
          <w:bCs/>
          <w:sz w:val="19"/>
          <w:szCs w:val="19"/>
        </w:rPr>
        <w:t>Několik dni před svatodušními svátky přinesl »Daily Telegraph«, který je považován za oficiální orgán vládní konservativní strany, s</w:t>
      </w:r>
      <w:r>
        <w:rPr>
          <w:b/>
          <w:bCs/>
          <w:sz w:val="19"/>
          <w:szCs w:val="19"/>
        </w:rPr>
        <w:t xml:space="preserve">ensaci, že prý ěást českého zlatého pokladu, uložená v </w:t>
      </w:r>
      <w:r>
        <w:rPr>
          <w:b/>
          <w:bCs/>
          <w:sz w:val="19"/>
          <w:szCs w:val="19"/>
          <w:lang w:val="en-US" w:eastAsia="en-US" w:bidi="en-US"/>
        </w:rPr>
        <w:t xml:space="preserve">Bank of England </w:t>
      </w:r>
      <w:r>
        <w:rPr>
          <w:b/>
          <w:bCs/>
          <w:sz w:val="19"/>
          <w:szCs w:val="19"/>
        </w:rPr>
        <w:t>— prý 5 až 6 milionů liber — byla z příkazu basilejské Banky pro mezinárodní platy převedena na účet Reichsbank. To vzbudilo ve sně</w:t>
      </w:r>
      <w:r>
        <w:rPr>
          <w:b/>
          <w:bCs/>
          <w:sz w:val="19"/>
          <w:szCs w:val="19"/>
        </w:rPr>
        <w:softHyphen/>
        <w:t xml:space="preserve">movně malou bouři. Jeden za druhým se začali zdvihat </w:t>
      </w:r>
      <w:r>
        <w:rPr>
          <w:b/>
          <w:bCs/>
          <w:sz w:val="19"/>
          <w:szCs w:val="19"/>
        </w:rPr>
        <w:t xml:space="preserve">se svých míst ctihodní členové, aby útoky na Chamberlaina a sira Simona, kancléře pokladu, na </w:t>
      </w:r>
      <w:r>
        <w:rPr>
          <w:b/>
          <w:bCs/>
          <w:sz w:val="19"/>
          <w:szCs w:val="19"/>
          <w:lang w:val="en-US" w:eastAsia="en-US" w:bidi="en-US"/>
        </w:rPr>
        <w:t xml:space="preserve">Montagu </w:t>
      </w:r>
      <w:r>
        <w:rPr>
          <w:b/>
          <w:bCs/>
          <w:sz w:val="19"/>
          <w:szCs w:val="19"/>
        </w:rPr>
        <w:t xml:space="preserve">Normana a Otto Niemeyera, ředitele </w:t>
      </w:r>
      <w:r>
        <w:rPr>
          <w:b/>
          <w:bCs/>
          <w:sz w:val="19"/>
          <w:szCs w:val="19"/>
          <w:lang w:val="en-US" w:eastAsia="en-US" w:bidi="en-US"/>
        </w:rPr>
        <w:t xml:space="preserve">Bank of England </w:t>
      </w:r>
      <w:r>
        <w:rPr>
          <w:b/>
          <w:bCs/>
          <w:sz w:val="19"/>
          <w:szCs w:val="19"/>
        </w:rPr>
        <w:t>a ěleny ředi</w:t>
      </w:r>
      <w:r>
        <w:rPr>
          <w:b/>
          <w:bCs/>
          <w:sz w:val="19"/>
          <w:szCs w:val="19"/>
        </w:rPr>
        <w:softHyphen/>
        <w:t>telství basilejské banky, a pochopitelně i na Německo, vy</w:t>
      </w:r>
      <w:r>
        <w:rPr>
          <w:b/>
          <w:bCs/>
          <w:sz w:val="19"/>
          <w:szCs w:val="19"/>
        </w:rPr>
        <w:softHyphen/>
        <w:t>řídili své účty a využili tohoto</w:t>
      </w:r>
      <w:r>
        <w:rPr>
          <w:b/>
          <w:bCs/>
          <w:sz w:val="19"/>
          <w:szCs w:val="19"/>
        </w:rPr>
        <w:t xml:space="preserve"> případu k útokům na brit</w:t>
      </w:r>
      <w:r>
        <w:rPr>
          <w:b/>
          <w:bCs/>
          <w:sz w:val="19"/>
          <w:szCs w:val="19"/>
        </w:rPr>
        <w:softHyphen/>
        <w:t xml:space="preserve">skou vládu. Ale nejzajímavější pro politickou situaci v Anglii je skutečnost, že nejostřejší útoky podnikli nikoliv oposičníci, nýbrž právě konservativní poslanci. Jeden pán, poslanec Boothby, dokonce pravil, že »jednou nezávislá </w:t>
      </w:r>
      <w:r>
        <w:rPr>
          <w:b/>
          <w:bCs/>
          <w:sz w:val="19"/>
          <w:szCs w:val="19"/>
        </w:rPr>
        <w:t>Československá vláda bude tyto peníze žádat, a my bu</w:t>
      </w:r>
      <w:r>
        <w:rPr>
          <w:b/>
          <w:bCs/>
          <w:sz w:val="19"/>
          <w:szCs w:val="19"/>
        </w:rPr>
        <w:softHyphen/>
        <w:t xml:space="preserve">deme musit jí tyto peníze vrátit«. Je zbytečné dodávat, že všechny překonal </w:t>
      </w:r>
      <w:r>
        <w:rPr>
          <w:b/>
          <w:bCs/>
          <w:sz w:val="19"/>
          <w:szCs w:val="19"/>
          <w:lang w:val="en-US" w:eastAsia="en-US" w:bidi="en-US"/>
        </w:rPr>
        <w:t xml:space="preserve">pan Lloyd George, </w:t>
      </w:r>
      <w:r>
        <w:rPr>
          <w:b/>
          <w:bCs/>
          <w:sz w:val="19"/>
          <w:szCs w:val="19"/>
        </w:rPr>
        <w:t>jenž obvinil vládu, která prý »ukládá zemi neslýchaná břemena na zbrojení a současně daruje Německu cizí pení</w:t>
      </w:r>
      <w:r>
        <w:rPr>
          <w:b/>
          <w:bCs/>
          <w:sz w:val="19"/>
          <w:szCs w:val="19"/>
        </w:rPr>
        <w:t>ze, kterých bude po</w:t>
      </w:r>
      <w:r>
        <w:rPr>
          <w:b/>
          <w:bCs/>
          <w:sz w:val="19"/>
          <w:szCs w:val="19"/>
        </w:rPr>
        <w:softHyphen/>
        <w:t>užito na zbrojení proti nám«. Ministr pokladu sir John Simon pouze prohlásil na tyto útoky, že prý o tomto pří</w:t>
      </w:r>
      <w:r>
        <w:rPr>
          <w:b/>
          <w:bCs/>
          <w:sz w:val="19"/>
          <w:szCs w:val="19"/>
        </w:rPr>
        <w:softHyphen/>
        <w:t>padu nevěděl, že basilejská banka je soukromým ústavem, kterému anglická vláda nemůže nic nařizovat nebo zaka</w:t>
      </w:r>
      <w:r>
        <w:rPr>
          <w:b/>
          <w:bCs/>
          <w:sz w:val="19"/>
          <w:szCs w:val="19"/>
        </w:rPr>
        <w:softHyphen/>
        <w:t xml:space="preserve">zovat, že </w:t>
      </w:r>
      <w:r>
        <w:rPr>
          <w:b/>
          <w:bCs/>
          <w:sz w:val="19"/>
          <w:szCs w:val="19"/>
          <w:lang w:val="en-US" w:eastAsia="en-US" w:bidi="en-US"/>
        </w:rPr>
        <w:t>Monta</w:t>
      </w:r>
      <w:r>
        <w:rPr>
          <w:b/>
          <w:bCs/>
          <w:sz w:val="19"/>
          <w:szCs w:val="19"/>
          <w:lang w:val="en-US" w:eastAsia="en-US" w:bidi="en-US"/>
        </w:rPr>
        <w:t xml:space="preserve">gu </w:t>
      </w:r>
      <w:r>
        <w:rPr>
          <w:b/>
          <w:bCs/>
          <w:sz w:val="19"/>
          <w:szCs w:val="19"/>
        </w:rPr>
        <w:t>Norman a Otto Niemeyer jsou v ředi</w:t>
      </w:r>
      <w:r>
        <w:rPr>
          <w:b/>
          <w:bCs/>
          <w:sz w:val="19"/>
          <w:szCs w:val="19"/>
        </w:rPr>
        <w:softHyphen/>
        <w:t>telství basilejské banky nikoliv ve funkci zástupců anglic</w:t>
      </w:r>
      <w:r>
        <w:rPr>
          <w:b/>
          <w:bCs/>
          <w:sz w:val="19"/>
          <w:szCs w:val="19"/>
        </w:rPr>
        <w:softHyphen/>
        <w:t xml:space="preserve">ké vlády, nýbrž jako zástupci soukromé </w:t>
      </w:r>
      <w:r>
        <w:rPr>
          <w:b/>
          <w:bCs/>
          <w:sz w:val="19"/>
          <w:szCs w:val="19"/>
          <w:lang w:val="en-US" w:eastAsia="en-US" w:bidi="en-US"/>
        </w:rPr>
        <w:t xml:space="preserve">Bank of England </w:t>
      </w:r>
      <w:r>
        <w:rPr>
          <w:b/>
          <w:bCs/>
          <w:sz w:val="19"/>
          <w:szCs w:val="19"/>
        </w:rPr>
        <w:t>a pod. A nakonec byl nucen prohlásit, že věc vyšetři, a Objeví-ii se možnost ještě něco napravit, že tak</w:t>
      </w:r>
      <w:r>
        <w:rPr>
          <w:b/>
          <w:bCs/>
          <w:sz w:val="19"/>
          <w:szCs w:val="19"/>
        </w:rPr>
        <w:t xml:space="preserve"> neprodleně učiní. Tohoto případu chystá se oposice využít k požadavku nacionalisace </w:t>
      </w:r>
      <w:r>
        <w:rPr>
          <w:b/>
          <w:bCs/>
          <w:sz w:val="19"/>
          <w:szCs w:val="19"/>
          <w:lang w:val="en-US" w:eastAsia="en-US" w:bidi="en-US"/>
        </w:rPr>
        <w:t xml:space="preserve">Bank of England, </w:t>
      </w:r>
      <w:r>
        <w:rPr>
          <w:b/>
          <w:bCs/>
          <w:sz w:val="19"/>
          <w:szCs w:val="19"/>
        </w:rPr>
        <w:t xml:space="preserve">aby nemohl sgermano- filský® </w:t>
      </w:r>
      <w:r>
        <w:rPr>
          <w:b/>
          <w:bCs/>
          <w:sz w:val="19"/>
          <w:szCs w:val="19"/>
          <w:lang w:val="en-US" w:eastAsia="en-US" w:bidi="en-US"/>
        </w:rPr>
        <w:t xml:space="preserve">Montagu </w:t>
      </w:r>
      <w:r>
        <w:rPr>
          <w:b/>
          <w:bCs/>
          <w:sz w:val="19"/>
          <w:szCs w:val="19"/>
        </w:rPr>
        <w:t>Norman nic podnikat o své újmě, a k po</w:t>
      </w:r>
      <w:r>
        <w:rPr>
          <w:b/>
          <w:bCs/>
          <w:sz w:val="19"/>
          <w:szCs w:val="19"/>
        </w:rPr>
        <w:softHyphen/>
      </w:r>
    </w:p>
    <w:p w:rsidR="00500724" w:rsidRDefault="00F30FB8">
      <w:pPr>
        <w:pStyle w:val="Zkladntext100"/>
        <w:shd w:val="clear" w:color="auto" w:fill="auto"/>
        <w:tabs>
          <w:tab w:val="left" w:pos="4730"/>
        </w:tabs>
        <w:spacing w:after="80" w:line="187" w:lineRule="auto"/>
        <w:ind w:firstLine="0"/>
        <w:rPr>
          <w:sz w:val="20"/>
          <w:szCs w:val="20"/>
        </w:rPr>
      </w:pPr>
      <w:r>
        <w:rPr>
          <w:b/>
          <w:bCs/>
          <w:sz w:val="19"/>
          <w:szCs w:val="19"/>
        </w:rPr>
        <w:t xml:space="preserve">žadavku, aby Anglie vůbec vystoupila z basilejské banky, jejíž jediná funkce </w:t>
      </w:r>
      <w:r>
        <w:rPr>
          <w:b/>
          <w:bCs/>
          <w:sz w:val="19"/>
          <w:szCs w:val="19"/>
        </w:rPr>
        <w:t>prý teď »záleži ve financování němec</w:t>
      </w:r>
      <w:r>
        <w:rPr>
          <w:b/>
          <w:bCs/>
          <w:sz w:val="19"/>
          <w:szCs w:val="19"/>
        </w:rPr>
        <w:softHyphen/>
        <w:t xml:space="preserve">kého zbrojení«. Nyní </w:t>
      </w:r>
      <w:r>
        <w:rPr>
          <w:b/>
          <w:bCs/>
          <w:sz w:val="19"/>
          <w:szCs w:val="19"/>
          <w:lang w:val="en-US" w:eastAsia="en-US" w:bidi="en-US"/>
        </w:rPr>
        <w:t xml:space="preserve">so </w:t>
      </w:r>
      <w:r>
        <w:rPr>
          <w:b/>
          <w:bCs/>
          <w:sz w:val="19"/>
          <w:szCs w:val="19"/>
        </w:rPr>
        <w:t xml:space="preserve">prý dokonce jedná o odstoupení sira </w:t>
      </w:r>
      <w:r>
        <w:rPr>
          <w:b/>
          <w:bCs/>
          <w:sz w:val="19"/>
          <w:szCs w:val="19"/>
          <w:lang w:val="en-US" w:eastAsia="en-US" w:bidi="en-US"/>
        </w:rPr>
        <w:t xml:space="preserve">Montagu </w:t>
      </w:r>
      <w:r>
        <w:rPr>
          <w:b/>
          <w:bCs/>
          <w:sz w:val="19"/>
          <w:szCs w:val="19"/>
        </w:rPr>
        <w:t>Normana, a několik právníků a finančních odborníků pracně hledají možnost, jak odmítnout vyplá</w:t>
      </w:r>
      <w:r>
        <w:rPr>
          <w:b/>
          <w:bCs/>
          <w:sz w:val="19"/>
          <w:szCs w:val="19"/>
        </w:rPr>
        <w:softHyphen/>
        <w:t>cení peněz.</w:t>
      </w:r>
      <w:r>
        <w:rPr>
          <w:b/>
          <w:bCs/>
          <w:sz w:val="19"/>
          <w:szCs w:val="19"/>
        </w:rPr>
        <w:tab/>
      </w:r>
      <w:r>
        <w:rPr>
          <w:i/>
          <w:iCs/>
          <w:sz w:val="20"/>
          <w:szCs w:val="20"/>
        </w:rPr>
        <w:t>v9</w:t>
      </w:r>
    </w:p>
    <w:p w:rsidR="00500724" w:rsidRDefault="00F30FB8">
      <w:pPr>
        <w:pStyle w:val="Zkladntext20"/>
        <w:shd w:val="clear" w:color="auto" w:fill="auto"/>
        <w:spacing w:after="80" w:line="180" w:lineRule="auto"/>
        <w:ind w:firstLine="0"/>
        <w:jc w:val="center"/>
        <w:rPr>
          <w:sz w:val="20"/>
          <w:szCs w:val="20"/>
        </w:rPr>
      </w:pPr>
      <w:r>
        <w:rPr>
          <w:b/>
          <w:bCs/>
          <w:i/>
          <w:iCs/>
          <w:sz w:val="20"/>
          <w:szCs w:val="20"/>
        </w:rPr>
        <w:t>Zhoršená,</w:t>
      </w:r>
      <w:r>
        <w:rPr>
          <w:b/>
          <w:bCs/>
          <w:sz w:val="20"/>
          <w:szCs w:val="20"/>
        </w:rPr>
        <w:t xml:space="preserve"> hospodářská situace v Austrálii</w:t>
      </w:r>
    </w:p>
    <w:p w:rsidR="00500724" w:rsidRDefault="00F30FB8">
      <w:pPr>
        <w:pStyle w:val="Zkladntext100"/>
        <w:shd w:val="clear" w:color="auto" w:fill="auto"/>
        <w:tabs>
          <w:tab w:val="left" w:pos="4730"/>
        </w:tabs>
        <w:spacing w:after="80" w:line="187" w:lineRule="auto"/>
        <w:ind w:firstLine="220"/>
        <w:rPr>
          <w:sz w:val="20"/>
          <w:szCs w:val="20"/>
        </w:rPr>
      </w:pPr>
      <w:r>
        <w:rPr>
          <w:b/>
          <w:bCs/>
          <w:sz w:val="19"/>
          <w:szCs w:val="19"/>
        </w:rPr>
        <w:t>V době, kdy tolik lidí od nás má 'v úmyslu se vystěhovat do Austrálie, není nezajimavo si povšimnout národohospo</w:t>
      </w:r>
      <w:r>
        <w:rPr>
          <w:b/>
          <w:bCs/>
          <w:sz w:val="19"/>
          <w:szCs w:val="19"/>
        </w:rPr>
        <w:softHyphen/>
        <w:t>dářského vývoje v této zemi, která je téměř tak veliká ?ako celá Evropa, ale má pouze deset milionů obyvatel. Podle úřední zprávy, vydané brit</w:t>
      </w:r>
      <w:r>
        <w:rPr>
          <w:b/>
          <w:bCs/>
          <w:sz w:val="19"/>
          <w:szCs w:val="19"/>
        </w:rPr>
        <w:t xml:space="preserve">ským státním nakladatelstvím (Report by Sir Robert </w:t>
      </w:r>
      <w:r>
        <w:rPr>
          <w:b/>
          <w:bCs/>
          <w:sz w:val="19"/>
          <w:szCs w:val="19"/>
          <w:lang w:val="en-US" w:eastAsia="en-US" w:bidi="en-US"/>
        </w:rPr>
        <w:t xml:space="preserve">Dalton, </w:t>
      </w:r>
      <w:r>
        <w:rPr>
          <w:b/>
          <w:bCs/>
          <w:sz w:val="19"/>
          <w:szCs w:val="19"/>
        </w:rPr>
        <w:t xml:space="preserve">H. M. Senior </w:t>
      </w:r>
      <w:r>
        <w:rPr>
          <w:b/>
          <w:bCs/>
          <w:sz w:val="19"/>
          <w:szCs w:val="19"/>
          <w:lang w:val="en-US" w:eastAsia="en-US" w:bidi="en-US"/>
        </w:rPr>
        <w:t xml:space="preserve">Trade </w:t>
      </w:r>
      <w:r>
        <w:rPr>
          <w:b/>
          <w:bCs/>
          <w:sz w:val="19"/>
          <w:szCs w:val="19"/>
        </w:rPr>
        <w:t xml:space="preserve">ÍDom- missioner </w:t>
      </w:r>
      <w:r>
        <w:rPr>
          <w:b/>
          <w:bCs/>
          <w:sz w:val="19"/>
          <w:szCs w:val="19"/>
          <w:lang w:val="en-US" w:eastAsia="en-US" w:bidi="en-US"/>
        </w:rPr>
        <w:t xml:space="preserve">in the </w:t>
      </w:r>
      <w:r>
        <w:rPr>
          <w:b/>
          <w:bCs/>
          <w:sz w:val="19"/>
          <w:szCs w:val="19"/>
        </w:rPr>
        <w:t xml:space="preserve">Commovvealth </w:t>
      </w:r>
      <w:r>
        <w:rPr>
          <w:b/>
          <w:bCs/>
          <w:sz w:val="19"/>
          <w:szCs w:val="19"/>
          <w:lang w:val="en-US" w:eastAsia="en-US" w:bidi="en-US"/>
        </w:rPr>
        <w:t xml:space="preserve">of Australia. </w:t>
      </w:r>
      <w:r>
        <w:rPr>
          <w:b/>
          <w:bCs/>
          <w:sz w:val="19"/>
          <w:szCs w:val="19"/>
        </w:rPr>
        <w:t>3 s. 6 d.), na</w:t>
      </w:r>
      <w:r>
        <w:rPr>
          <w:b/>
          <w:bCs/>
          <w:sz w:val="19"/>
          <w:szCs w:val="19"/>
        </w:rPr>
        <w:softHyphen/>
        <w:t>stala v minulém roce proti roku 1937 v australském národ</w:t>
      </w:r>
      <w:r>
        <w:rPr>
          <w:b/>
          <w:bCs/>
          <w:sz w:val="19"/>
          <w:szCs w:val="19"/>
        </w:rPr>
        <w:softHyphen/>
        <w:t>ním hospodářství podstatná změna k horšímu. Tehdy byly v</w:t>
      </w:r>
      <w:r>
        <w:rPr>
          <w:b/>
          <w:bCs/>
          <w:sz w:val="19"/>
          <w:szCs w:val="19"/>
        </w:rPr>
        <w:t>yhlídky slibné, žně byly neobyčejně dobré jak co do roz</w:t>
      </w:r>
      <w:r>
        <w:rPr>
          <w:b/>
          <w:bCs/>
          <w:sz w:val="19"/>
          <w:szCs w:val="19"/>
        </w:rPr>
        <w:softHyphen/>
        <w:t>sahu, tak eo do stoupajících cen pšenice a vlny, což jsou dva základní milíře australského hospodářství. Po zlém údobí 1935/36 nastalo roku 1937 zlepšeni, jež se také příznivě pro</w:t>
      </w:r>
      <w:r>
        <w:rPr>
          <w:b/>
          <w:bCs/>
          <w:sz w:val="19"/>
          <w:szCs w:val="19"/>
        </w:rPr>
        <w:softHyphen/>
        <w:t>jevilo v zaměstnanos</w:t>
      </w:r>
      <w:r>
        <w:rPr>
          <w:b/>
          <w:bCs/>
          <w:sz w:val="19"/>
          <w:szCs w:val="19"/>
        </w:rPr>
        <w:t>ti a ve stoupajících mzdách. Ale loni začal zase pokles cen na světovém trhu, který teprve v po</w:t>
      </w:r>
      <w:r>
        <w:rPr>
          <w:b/>
          <w:bCs/>
          <w:sz w:val="19"/>
          <w:szCs w:val="19"/>
        </w:rPr>
        <w:softHyphen/>
        <w:t>slední době se poněkud zabrzdil. Australské národní hospo</w:t>
      </w:r>
      <w:r>
        <w:rPr>
          <w:b/>
          <w:bCs/>
          <w:sz w:val="19"/>
          <w:szCs w:val="19"/>
        </w:rPr>
        <w:softHyphen/>
        <w:t>dářství však ztratilo na národním důchodu jen z těchto dvou výrobků asi 30 proč., v srovnání s r. 1937</w:t>
      </w:r>
      <w:r>
        <w:rPr>
          <w:b/>
          <w:bCs/>
          <w:sz w:val="19"/>
          <w:szCs w:val="19"/>
        </w:rPr>
        <w:t xml:space="preserve"> a dokonce 42 proč, v srování s rokem 1936. Vyjádřeno v penězích, dělá to 25, případně 42 milionů australských liber. Obchod však, jak importní tak exportní, celkem tímto sesouváním neutrpěl, až teprve v nedávných měsících hlásila státní pokladna pokles př</w:t>
      </w:r>
      <w:r>
        <w:rPr>
          <w:b/>
          <w:bCs/>
          <w:sz w:val="19"/>
          <w:szCs w:val="19"/>
        </w:rPr>
        <w:t>íjmů na daních. Nezbude patrně než sáhnouti ke zvýšení dani. To ovšem asi se projeví také tlakem na mzdy, jež se již ostatně opětně snižují. Souvisí to ovšem také s tím. že i Austrálie byla donucena vydávat velké částky na zbrojení. Při tom však je zajímav</w:t>
      </w:r>
      <w:r>
        <w:rPr>
          <w:b/>
          <w:bCs/>
          <w:sz w:val="19"/>
          <w:szCs w:val="19"/>
        </w:rPr>
        <w:t>é, že místní výroba se vyvíjí celkem příznivě dále. To znamená, že import je ome</w:t>
      </w:r>
      <w:r>
        <w:rPr>
          <w:b/>
          <w:bCs/>
          <w:sz w:val="19"/>
          <w:szCs w:val="19"/>
        </w:rPr>
        <w:softHyphen/>
        <w:t>zován, neboť stále více a ‘více produktů je schopna Austrálie si vyrobit sama, i těch, které dříve mohly býti jen dováže</w:t>
      </w:r>
      <w:r>
        <w:rPr>
          <w:b/>
          <w:bCs/>
          <w:sz w:val="19"/>
          <w:szCs w:val="19"/>
        </w:rPr>
        <w:softHyphen/>
      </w:r>
      <w:r>
        <w:rPr>
          <w:b/>
          <w:bCs/>
          <w:sz w:val="20"/>
          <w:szCs w:val="20"/>
        </w:rPr>
        <w:t xml:space="preserve">ny. </w:t>
      </w:r>
      <w:r>
        <w:rPr>
          <w:b/>
          <w:bCs/>
          <w:sz w:val="19"/>
          <w:szCs w:val="19"/>
        </w:rPr>
        <w:t>Pro případné přistěhovalce je však zejména důležit</w:t>
      </w:r>
      <w:r>
        <w:rPr>
          <w:b/>
          <w:bCs/>
          <w:sz w:val="19"/>
          <w:szCs w:val="19"/>
        </w:rPr>
        <w:t>é zjištění, že konkurence mezi importními agenty stále roste, jejich zisky klesají a dále, že životní náklady jeví neúprosně stoupající tendenci. Ovšem, Austrálie je nová země a státy takového rázu, jako tento veliký ostrov, prožívají hospo</w:t>
      </w:r>
      <w:r>
        <w:rPr>
          <w:b/>
          <w:bCs/>
          <w:sz w:val="19"/>
          <w:szCs w:val="19"/>
        </w:rPr>
        <w:softHyphen/>
        <w:t>dářské změny vž</w:t>
      </w:r>
      <w:r>
        <w:rPr>
          <w:b/>
          <w:bCs/>
          <w:sz w:val="19"/>
          <w:szCs w:val="19"/>
        </w:rPr>
        <w:t>dy rychlejším tempem, než staré státy* Může být, že tato tendence ke krisi pomine tak rychle, jako se začala. Zatím však platí poznání, že uplatnit se v Austrá</w:t>
      </w:r>
      <w:r>
        <w:rPr>
          <w:b/>
          <w:bCs/>
          <w:sz w:val="19"/>
          <w:szCs w:val="19"/>
        </w:rPr>
        <w:softHyphen/>
        <w:t>lii bude pro každého těžší, než dosud.</w:t>
      </w:r>
      <w:r>
        <w:rPr>
          <w:b/>
          <w:bCs/>
          <w:sz w:val="19"/>
          <w:szCs w:val="19"/>
        </w:rPr>
        <w:tab/>
      </w:r>
      <w:r>
        <w:rPr>
          <w:i/>
          <w:iCs/>
          <w:sz w:val="20"/>
          <w:szCs w:val="20"/>
        </w:rPr>
        <w:t>Cis-</w:t>
      </w:r>
    </w:p>
    <w:p w:rsidR="00500724" w:rsidRDefault="00F30FB8">
      <w:pPr>
        <w:pStyle w:val="Zkladntext20"/>
        <w:shd w:val="clear" w:color="auto" w:fill="auto"/>
        <w:spacing w:after="80" w:line="180" w:lineRule="auto"/>
        <w:ind w:firstLine="0"/>
        <w:jc w:val="center"/>
        <w:rPr>
          <w:sz w:val="20"/>
          <w:szCs w:val="20"/>
        </w:rPr>
      </w:pPr>
      <w:r>
        <w:rPr>
          <w:b/>
          <w:bCs/>
          <w:sz w:val="20"/>
          <w:szCs w:val="20"/>
        </w:rPr>
        <w:t>Anglo-portugalská aliance</w:t>
      </w:r>
    </w:p>
    <w:p w:rsidR="00500724" w:rsidRDefault="00F30FB8">
      <w:pPr>
        <w:pStyle w:val="Zkladntext100"/>
        <w:shd w:val="clear" w:color="auto" w:fill="auto"/>
        <w:spacing w:line="187" w:lineRule="auto"/>
        <w:ind w:firstLine="220"/>
        <w:rPr>
          <w:sz w:val="19"/>
          <w:szCs w:val="19"/>
        </w:rPr>
      </w:pPr>
      <w:r>
        <w:rPr>
          <w:b/>
          <w:bCs/>
          <w:sz w:val="19"/>
          <w:szCs w:val="19"/>
        </w:rPr>
        <w:t>Charakteristické pro souča</w:t>
      </w:r>
      <w:r>
        <w:rPr>
          <w:b/>
          <w:bCs/>
          <w:sz w:val="19"/>
          <w:szCs w:val="19"/>
        </w:rPr>
        <w:t xml:space="preserve">snou politiku britské vlády není jenom, že stále hledá nové partnery pro svou tak zv. obkličovací politiku, ale že také utužuje dosavadní svazky a oprašuje ty, na něž se snad poněkud zapomnělo. V posla' neeké sněmovně anglické prohlásil </w:t>
      </w:r>
      <w:r>
        <w:rPr>
          <w:b/>
          <w:bCs/>
          <w:sz w:val="19"/>
          <w:szCs w:val="19"/>
          <w:lang w:val="en-US" w:eastAsia="en-US" w:bidi="en-US"/>
        </w:rPr>
        <w:t xml:space="preserve">Mr. Butler, </w:t>
      </w:r>
      <w:r>
        <w:rPr>
          <w:b/>
          <w:bCs/>
          <w:sz w:val="19"/>
          <w:szCs w:val="19"/>
        </w:rPr>
        <w:t xml:space="preserve">státni </w:t>
      </w:r>
      <w:r>
        <w:rPr>
          <w:b/>
          <w:bCs/>
          <w:sz w:val="19"/>
          <w:szCs w:val="19"/>
        </w:rPr>
        <w:t xml:space="preserve">pod- sekretář, mluvící za ministra zahraničních věcí (který jako lord nemůže ve sněmovně mluvit), ve zvláštním sdělení dne 26. května, že předseda britské vlády </w:t>
      </w:r>
      <w:r>
        <w:rPr>
          <w:b/>
          <w:bCs/>
          <w:sz w:val="19"/>
          <w:szCs w:val="19"/>
          <w:lang w:val="en-US" w:eastAsia="en-US" w:bidi="en-US"/>
        </w:rPr>
        <w:t xml:space="preserve">Mr. Neville Chamberlain </w:t>
      </w:r>
      <w:r>
        <w:rPr>
          <w:b/>
          <w:bCs/>
          <w:sz w:val="19"/>
          <w:szCs w:val="19"/>
        </w:rPr>
        <w:t>napsal osobní dopis portugalskému diktátoru dr. Salazarovi. V tomto dop</w:t>
      </w:r>
      <w:r>
        <w:rPr>
          <w:b/>
          <w:bCs/>
          <w:sz w:val="19"/>
          <w:szCs w:val="19"/>
        </w:rPr>
        <w:t>ise se ho dotazoval po dnešním stavu britsko-portugalské poiiticko-vojenské aliance a sdělil mu, že Velká Britanie považuje tyto staré závazky za stále platné.</w:t>
      </w:r>
    </w:p>
    <w:p w:rsidR="00500724" w:rsidRDefault="00F30FB8">
      <w:pPr>
        <w:pStyle w:val="Zkladntext100"/>
        <w:shd w:val="clear" w:color="auto" w:fill="auto"/>
        <w:spacing w:line="187" w:lineRule="auto"/>
        <w:ind w:firstLine="220"/>
        <w:rPr>
          <w:sz w:val="19"/>
          <w:szCs w:val="19"/>
        </w:rPr>
      </w:pPr>
      <w:r>
        <w:rPr>
          <w:b/>
          <w:bCs/>
          <w:sz w:val="19"/>
          <w:szCs w:val="19"/>
        </w:rPr>
        <w:t xml:space="preserve">Dr. </w:t>
      </w:r>
      <w:r>
        <w:rPr>
          <w:b/>
          <w:bCs/>
          <w:sz w:val="19"/>
          <w:szCs w:val="19"/>
          <w:lang w:val="en-US" w:eastAsia="en-US" w:bidi="en-US"/>
        </w:rPr>
        <w:t xml:space="preserve">Salazar </w:t>
      </w:r>
      <w:r>
        <w:rPr>
          <w:b/>
          <w:bCs/>
          <w:sz w:val="19"/>
          <w:szCs w:val="19"/>
        </w:rPr>
        <w:t xml:space="preserve">rovněž písemně odpověděl, že je velmi rád tomuto prohlášení Velké Britanie a dodal, </w:t>
      </w:r>
      <w:r>
        <w:rPr>
          <w:b/>
          <w:bCs/>
          <w:sz w:val="19"/>
          <w:szCs w:val="19"/>
        </w:rPr>
        <w:t>že slav</w:t>
      </w:r>
      <w:r>
        <w:rPr>
          <w:b/>
          <w:bCs/>
          <w:sz w:val="19"/>
          <w:szCs w:val="19"/>
        </w:rPr>
        <w:softHyphen/>
        <w:t>nostně stvrzuje závazek aliance mezi Portugalskem a Vel</w:t>
      </w:r>
      <w:r>
        <w:rPr>
          <w:b/>
          <w:bCs/>
          <w:sz w:val="19"/>
          <w:szCs w:val="19"/>
        </w:rPr>
        <w:softHyphen/>
        <w:t>kou Britanií k ochraně všech vzájemných zájmů politic</w:t>
      </w:r>
      <w:r>
        <w:rPr>
          <w:b/>
          <w:bCs/>
          <w:sz w:val="19"/>
          <w:szCs w:val="19"/>
        </w:rPr>
        <w:softHyphen/>
        <w:t xml:space="preserve">kých, vojenských, námořních a koloniálních. </w:t>
      </w:r>
      <w:r>
        <w:rPr>
          <w:b/>
          <w:bCs/>
          <w:sz w:val="19"/>
          <w:szCs w:val="19"/>
          <w:lang w:val="en-US" w:eastAsia="en-US" w:bidi="en-US"/>
        </w:rPr>
        <w:t xml:space="preserve">Mr. Butler </w:t>
      </w:r>
      <w:r>
        <w:rPr>
          <w:b/>
          <w:bCs/>
          <w:sz w:val="19"/>
          <w:szCs w:val="19"/>
        </w:rPr>
        <w:t xml:space="preserve">podal o tomto prohlášení </w:t>
      </w:r>
      <w:r>
        <w:rPr>
          <w:b/>
          <w:bCs/>
          <w:sz w:val="19"/>
          <w:szCs w:val="19"/>
          <w:lang w:val="en-US" w:eastAsia="en-US" w:bidi="en-US"/>
        </w:rPr>
        <w:t xml:space="preserve">Mr. </w:t>
      </w:r>
      <w:r>
        <w:rPr>
          <w:b/>
          <w:bCs/>
          <w:sz w:val="19"/>
          <w:szCs w:val="19"/>
        </w:rPr>
        <w:t>Chamberlaina a dr. Salazara sněmovně zprávu, která byl</w:t>
      </w:r>
      <w:r>
        <w:rPr>
          <w:b/>
          <w:bCs/>
          <w:sz w:val="19"/>
          <w:szCs w:val="19"/>
        </w:rPr>
        <w:t>a přijata potleskem, a připojil ještě, že je zmocněn učiniti další opatření, že totiž některé nároky, které kdysi vznášela Velká Britanie na portugal</w:t>
      </w:r>
      <w:r>
        <w:rPr>
          <w:b/>
          <w:bCs/>
          <w:sz w:val="19"/>
          <w:szCs w:val="19"/>
        </w:rPr>
        <w:softHyphen/>
        <w:t>ské území, je nutno považovati za »mrtvé« a že Velká Britanie se zavazuje jich nikdy neoživovati.</w:t>
      </w:r>
    </w:p>
    <w:p w:rsidR="00500724" w:rsidRDefault="00F30FB8">
      <w:pPr>
        <w:pStyle w:val="Zkladntext100"/>
        <w:shd w:val="clear" w:color="auto" w:fill="auto"/>
        <w:spacing w:after="80" w:line="209" w:lineRule="auto"/>
        <w:ind w:firstLine="220"/>
        <w:rPr>
          <w:sz w:val="26"/>
          <w:szCs w:val="26"/>
        </w:rPr>
      </w:pPr>
      <w:r>
        <w:rPr>
          <w:b/>
          <w:bCs/>
          <w:sz w:val="19"/>
          <w:szCs w:val="19"/>
        </w:rPr>
        <w:t xml:space="preserve">Toto </w:t>
      </w:r>
      <w:r>
        <w:rPr>
          <w:b/>
          <w:bCs/>
          <w:sz w:val="19"/>
          <w:szCs w:val="19"/>
        </w:rPr>
        <w:t>prohlášení, učiněné jménem britské vlády ve sně</w:t>
      </w:r>
      <w:r>
        <w:rPr>
          <w:b/>
          <w:bCs/>
          <w:sz w:val="19"/>
          <w:szCs w:val="19"/>
        </w:rPr>
        <w:softHyphen/>
        <w:t>movně, nezůstalo bez ozvěny v Lisabone, hlavním městě Portugalska. Sešla se tam ministerská rada, která vydala zvláštní komuniké, v němž vřelými slovy oceňuje prohlá</w:t>
      </w:r>
      <w:r>
        <w:rPr>
          <w:b/>
          <w:bCs/>
          <w:sz w:val="19"/>
          <w:szCs w:val="19"/>
        </w:rPr>
        <w:softHyphen/>
        <w:t xml:space="preserve">šeni </w:t>
      </w:r>
      <w:r>
        <w:rPr>
          <w:b/>
          <w:bCs/>
          <w:sz w:val="19"/>
          <w:szCs w:val="19"/>
          <w:lang w:val="en-US" w:eastAsia="en-US" w:bidi="en-US"/>
        </w:rPr>
        <w:t xml:space="preserve">Mr. </w:t>
      </w:r>
      <w:r>
        <w:rPr>
          <w:b/>
          <w:bCs/>
          <w:sz w:val="19"/>
          <w:szCs w:val="19"/>
        </w:rPr>
        <w:t xml:space="preserve">Chamberlaina </w:t>
      </w:r>
      <w:r>
        <w:rPr>
          <w:b/>
          <w:bCs/>
          <w:sz w:val="19"/>
          <w:szCs w:val="19"/>
          <w:lang w:val="en-US" w:eastAsia="en-US" w:bidi="en-US"/>
        </w:rPr>
        <w:t xml:space="preserve">a Mr. </w:t>
      </w:r>
      <w:r>
        <w:rPr>
          <w:b/>
          <w:bCs/>
          <w:sz w:val="19"/>
          <w:szCs w:val="19"/>
        </w:rPr>
        <w:t>Butlera a zdůr</w:t>
      </w:r>
      <w:r>
        <w:rPr>
          <w:b/>
          <w:bCs/>
          <w:sz w:val="19"/>
          <w:szCs w:val="19"/>
        </w:rPr>
        <w:t>azňuje »na- prostou a úplnou plataost« britsko-portugalského spolku. Portugalský tisk odhalil, že předválečné nároky Velké Britanie na jakési části portugalského území, nyní vy</w:t>
      </w:r>
      <w:r>
        <w:rPr>
          <w:b/>
          <w:bCs/>
          <w:sz w:val="19"/>
          <w:szCs w:val="19"/>
        </w:rPr>
        <w:softHyphen/>
        <w:t xml:space="preserve">hlašované Velkou Britanii za »navždy mrtvé®, se týkají </w:t>
      </w:r>
      <w:r>
        <w:rPr>
          <w:rFonts w:ascii="Arial" w:eastAsia="Arial" w:hAnsi="Arial" w:cs="Arial"/>
          <w:b/>
          <w:bCs/>
          <w:i/>
          <w:iCs/>
          <w:sz w:val="26"/>
          <w:szCs w:val="26"/>
        </w:rPr>
        <w:t>365</w:t>
      </w:r>
    </w:p>
    <w:p w:rsidR="00500724" w:rsidRDefault="00F30FB8">
      <w:pPr>
        <w:pStyle w:val="Zkladntext100"/>
        <w:shd w:val="clear" w:color="auto" w:fill="auto"/>
        <w:spacing w:after="80"/>
        <w:ind w:firstLine="0"/>
        <w:rPr>
          <w:sz w:val="20"/>
          <w:szCs w:val="20"/>
        </w:rPr>
      </w:pPr>
      <w:r>
        <w:rPr>
          <w:b/>
          <w:bCs/>
          <w:sz w:val="19"/>
          <w:szCs w:val="19"/>
        </w:rPr>
        <w:t>portugalských koloni</w:t>
      </w:r>
      <w:r>
        <w:rPr>
          <w:b/>
          <w:bCs/>
          <w:sz w:val="19"/>
          <w:szCs w:val="19"/>
        </w:rPr>
        <w:t xml:space="preserve">í v Africe, </w:t>
      </w:r>
      <w:r>
        <w:rPr>
          <w:b/>
          <w:bCs/>
          <w:sz w:val="20"/>
          <w:szCs w:val="20"/>
        </w:rPr>
        <w:t xml:space="preserve">a </w:t>
      </w:r>
      <w:r>
        <w:rPr>
          <w:b/>
          <w:bCs/>
          <w:sz w:val="19"/>
          <w:szCs w:val="19"/>
        </w:rPr>
        <w:t>s velkou radostí konsta</w:t>
      </w:r>
      <w:r>
        <w:rPr>
          <w:b/>
          <w:bCs/>
          <w:sz w:val="19"/>
          <w:szCs w:val="19"/>
        </w:rPr>
        <w:softHyphen/>
        <w:t>toval, že záruka Velké Britanie týká se tedy také nedo</w:t>
      </w:r>
      <w:r>
        <w:rPr>
          <w:b/>
          <w:bCs/>
          <w:sz w:val="19"/>
          <w:szCs w:val="19"/>
        </w:rPr>
        <w:softHyphen/>
        <w:t xml:space="preserve">tknutelnosti těchto kolenu. Jak známo, psalo se tu a tam </w:t>
      </w:r>
      <w:r>
        <w:rPr>
          <w:b/>
          <w:bCs/>
          <w:sz w:val="20"/>
          <w:szCs w:val="20"/>
        </w:rPr>
        <w:t xml:space="preserve">v </w:t>
      </w:r>
      <w:r>
        <w:rPr>
          <w:b/>
          <w:bCs/>
          <w:sz w:val="19"/>
          <w:szCs w:val="19"/>
        </w:rPr>
        <w:t>evropském tisku o tom, že by tyto kolonie mohly býti postoupeny — aě o to Německo nežádalo — Německu jak</w:t>
      </w:r>
      <w:r>
        <w:rPr>
          <w:b/>
          <w:bCs/>
          <w:sz w:val="19"/>
          <w:szCs w:val="19"/>
        </w:rPr>
        <w:t>si na úhradu ztrát kolonií ze světové války. Jak patrno, pra</w:t>
      </w:r>
      <w:r>
        <w:rPr>
          <w:b/>
          <w:bCs/>
          <w:sz w:val="19"/>
          <w:szCs w:val="19"/>
        </w:rPr>
        <w:softHyphen/>
        <w:t>cuje britská diplomacie na své obkliěovací politice všemi směry. Portugalsko, se svou významnou posicí na pyre</w:t>
      </w:r>
      <w:r>
        <w:rPr>
          <w:b/>
          <w:bCs/>
          <w:sz w:val="19"/>
          <w:szCs w:val="19"/>
        </w:rPr>
        <w:softHyphen/>
        <w:t>nejském poloostrově a s tváří obrácenou k Atlantskému oceánu, právě tam, kde jdou ne</w:t>
      </w:r>
      <w:r>
        <w:rPr>
          <w:b/>
          <w:bCs/>
          <w:sz w:val="19"/>
          <w:szCs w:val="19"/>
        </w:rPr>
        <w:t>jdůležitější lodní spoje severní Evropy se Středozemním mořem, je neméně důle</w:t>
      </w:r>
      <w:r>
        <w:rPr>
          <w:b/>
          <w:bCs/>
          <w:sz w:val="19"/>
          <w:szCs w:val="19"/>
        </w:rPr>
        <w:softHyphen/>
        <w:t xml:space="preserve">žitou akvisicí britské diplomacie, než nedávno bylo Turecko. Je totiž samozřejmé, že tato svýměna dopisů® byla nejprve připravena důkladným diplomatickým jednáním. </w:t>
      </w:r>
      <w:r>
        <w:rPr>
          <w:b/>
          <w:bCs/>
          <w:i/>
          <w:iCs/>
          <w:sz w:val="20"/>
          <w:szCs w:val="20"/>
        </w:rPr>
        <w:t xml:space="preserve">Mott </w:t>
      </w:r>
      <w:r>
        <w:rPr>
          <w:b/>
          <w:bCs/>
          <w:sz w:val="20"/>
          <w:szCs w:val="20"/>
        </w:rPr>
        <w:t>Švédsku s</w:t>
      </w:r>
      <w:r>
        <w:rPr>
          <w:b/>
          <w:bCs/>
          <w:sz w:val="20"/>
          <w:szCs w:val="20"/>
        </w:rPr>
        <w:t>e vede dobře</w:t>
      </w:r>
    </w:p>
    <w:p w:rsidR="00500724" w:rsidRDefault="00F30FB8">
      <w:pPr>
        <w:pStyle w:val="Zkladntext100"/>
        <w:shd w:val="clear" w:color="auto" w:fill="auto"/>
        <w:spacing w:line="204" w:lineRule="auto"/>
        <w:ind w:firstLine="260"/>
        <w:rPr>
          <w:sz w:val="19"/>
          <w:szCs w:val="19"/>
        </w:rPr>
      </w:pPr>
      <w:r>
        <w:rPr>
          <w:b/>
          <w:bCs/>
          <w:sz w:val="19"/>
          <w:szCs w:val="19"/>
        </w:rPr>
        <w:t>Švédsko, jež v leckterém směru bylo vzorem našim ná- rodním hospodářům, kteří se zvláště zajímali o organisaci domácké práce a o měnovou politiku jeho cedulové banky, vstupuje nyni zřejmě do dalšího údobí zvýšené prosperity. Teď právě se debat</w:t>
      </w:r>
      <w:r>
        <w:rPr>
          <w:b/>
          <w:bCs/>
          <w:sz w:val="19"/>
          <w:szCs w:val="19"/>
        </w:rPr>
        <w:t>uje ve švédském parlamentu o příštím rozpočtu, který se vyznamenává především jiným sníže</w:t>
      </w:r>
      <w:r>
        <w:rPr>
          <w:b/>
          <w:bCs/>
          <w:sz w:val="19"/>
          <w:szCs w:val="19"/>
        </w:rPr>
        <w:softHyphen/>
        <w:t>ní m d a n L To je jistě v dnešní Evropě věc, mírně řečeno, přímo nápadná. Další pozoruhodnosti je, že toto snížení daní navrhuje socialistický ministr financí Wigfor</w:t>
      </w:r>
      <w:r>
        <w:rPr>
          <w:b/>
          <w:bCs/>
          <w:sz w:val="19"/>
          <w:szCs w:val="19"/>
        </w:rPr>
        <w:t>ss, kte</w:t>
      </w:r>
      <w:r>
        <w:rPr>
          <w:b/>
          <w:bCs/>
          <w:sz w:val="19"/>
          <w:szCs w:val="19"/>
        </w:rPr>
        <w:softHyphen/>
        <w:t>rý letos dovršuje šestileté jubileum svého působení v této funkci. I podle mínění odpůrců si počínal tak obratně, že svou politikou švédskému národnímu hospodářství pro</w:t>
      </w:r>
      <w:r>
        <w:rPr>
          <w:b/>
          <w:bCs/>
          <w:sz w:val="19"/>
          <w:szCs w:val="19"/>
        </w:rPr>
        <w:softHyphen/>
        <w:t>spěl. A je tu ještě další zajímavost, že totiž p. Wigforss navrhuje snížení dan</w:t>
      </w:r>
      <w:r>
        <w:rPr>
          <w:b/>
          <w:bCs/>
          <w:sz w:val="19"/>
          <w:szCs w:val="19"/>
        </w:rPr>
        <w:t>ě kapitálové a ze společenských zisků. Prosperita švédského národního hospodářství mu zřejmě dovoluje, aby takto obratně vyrážel zbraň z ruky svým ka</w:t>
      </w:r>
      <w:r>
        <w:rPr>
          <w:b/>
          <w:bCs/>
          <w:sz w:val="19"/>
          <w:szCs w:val="19"/>
        </w:rPr>
        <w:softHyphen/>
        <w:t>pitalistickým kritikům. Oč tu ovšem jde, je patrně to, aby se ukázalo co nejnázoměji, že bude-li nutno zvy</w:t>
      </w:r>
      <w:r>
        <w:rPr>
          <w:b/>
          <w:bCs/>
          <w:sz w:val="19"/>
          <w:szCs w:val="19"/>
        </w:rPr>
        <w:t>šovat bě</w:t>
      </w:r>
      <w:r>
        <w:rPr>
          <w:b/>
          <w:bCs/>
          <w:sz w:val="19"/>
          <w:szCs w:val="19"/>
        </w:rPr>
        <w:softHyphen/>
        <w:t>hem roku daně, není to pro břemena sociálně-politická a na placení vymožeností pro pracující lid, nýbrž na národní obranu. Panu Wigforssovi pochopitelně velmi mnoho záleží na tom, aby toto bylo každému švédskému poplatníku nat- prosto jasné.</w:t>
      </w:r>
    </w:p>
    <w:p w:rsidR="00500724" w:rsidRDefault="00F30FB8">
      <w:pPr>
        <w:pStyle w:val="Zkladntext100"/>
        <w:shd w:val="clear" w:color="auto" w:fill="auto"/>
        <w:spacing w:line="211" w:lineRule="auto"/>
        <w:ind w:firstLine="260"/>
        <w:rPr>
          <w:sz w:val="19"/>
          <w:szCs w:val="19"/>
        </w:rPr>
      </w:pPr>
      <w:r>
        <w:rPr>
          <w:b/>
          <w:bCs/>
          <w:sz w:val="19"/>
          <w:szCs w:val="19"/>
        </w:rPr>
        <w:t>Kozum</w:t>
      </w:r>
      <w:r>
        <w:rPr>
          <w:b/>
          <w:bCs/>
          <w:sz w:val="19"/>
          <w:szCs w:val="19"/>
        </w:rPr>
        <w:t>í se samo sebou, že Švédsko především těží z ev</w:t>
      </w:r>
      <w:r>
        <w:rPr>
          <w:b/>
          <w:bCs/>
          <w:sz w:val="19"/>
          <w:szCs w:val="19"/>
        </w:rPr>
        <w:softHyphen/>
        <w:t>ropského zbrojení. Výtečná švédská ruda, švédská ocel a strojírenské výrobky, to jsou věci, které každý stát, který na to má, dnes platí ochotně zlatém. Proto švédské národní hospodářství uneslo tak lehce stá</w:t>
      </w:r>
      <w:r>
        <w:rPr>
          <w:b/>
          <w:bCs/>
          <w:sz w:val="19"/>
          <w:szCs w:val="19"/>
        </w:rPr>
        <w:t>lé zvyšování rozpočtových výdajů a náklady na zlepšení sociálně-politického zákono</w:t>
      </w:r>
      <w:r>
        <w:rPr>
          <w:b/>
          <w:bCs/>
          <w:sz w:val="19"/>
          <w:szCs w:val="19"/>
        </w:rPr>
        <w:softHyphen/>
        <w:t>dárství. Koku 1929, kdy byla konjunktura na vrcholu, pro</w:t>
      </w:r>
      <w:r>
        <w:rPr>
          <w:b/>
          <w:bCs/>
          <w:sz w:val="19"/>
          <w:szCs w:val="19"/>
        </w:rPr>
        <w:softHyphen/>
        <w:t>dalo Švédsko jen námořní cestou 11 milionů tun železné rudy a i toto fantastické číslo bylo loni předstiženo o další</w:t>
      </w:r>
      <w:r>
        <w:rPr>
          <w:b/>
          <w:bCs/>
          <w:sz w:val="19"/>
          <w:szCs w:val="19"/>
        </w:rPr>
        <w:t xml:space="preserve"> dva miliony tun. Krom toho bylo vyvezeno 277 tisíc tun ušlechtilé oceli a železa, opětně o deset procent více, než v rekordním konjunkturním roce 1929.</w:t>
      </w:r>
    </w:p>
    <w:p w:rsidR="00500724" w:rsidRDefault="00F30FB8">
      <w:pPr>
        <w:pStyle w:val="Zkladntext100"/>
        <w:shd w:val="clear" w:color="auto" w:fill="auto"/>
        <w:spacing w:line="209" w:lineRule="auto"/>
        <w:ind w:firstLine="260"/>
        <w:rPr>
          <w:sz w:val="19"/>
          <w:szCs w:val="19"/>
        </w:rPr>
      </w:pPr>
      <w:r>
        <w:rPr>
          <w:b/>
          <w:bCs/>
          <w:sz w:val="19"/>
          <w:szCs w:val="19"/>
        </w:rPr>
        <w:t>Důsledek této prosperity je všude ve Švédsku vidět, Neni nezaměstnaných, mzdy stouply proti loňsku o da</w:t>
      </w:r>
      <w:r>
        <w:rPr>
          <w:b/>
          <w:bCs/>
          <w:sz w:val="19"/>
          <w:szCs w:val="19"/>
        </w:rPr>
        <w:t>lší 4 procenta a jejich vzestupný pohyb s© nezastavuje. Lidé staví domy, ukláda jí peníze, veselí se v divadlech, restau</w:t>
      </w:r>
      <w:r>
        <w:rPr>
          <w:b/>
          <w:bCs/>
          <w:sz w:val="19"/>
          <w:szCs w:val="19"/>
        </w:rPr>
        <w:softHyphen/>
        <w:t xml:space="preserve">racích a zábavních podnicích, jež vesměs zaznamenávají rekordní návštěvy a zisky. Peněz je dnes ve Švédsku asi třikrát tolik jako před </w:t>
      </w:r>
      <w:r>
        <w:rPr>
          <w:b/>
          <w:bCs/>
          <w:sz w:val="19"/>
          <w:szCs w:val="19"/>
        </w:rPr>
        <w:t>válkou a Švédové s potěšením po</w:t>
      </w:r>
      <w:r>
        <w:rPr>
          <w:b/>
          <w:bCs/>
          <w:sz w:val="19"/>
          <w:szCs w:val="19"/>
        </w:rPr>
        <w:softHyphen/>
        <w:t>zorují, že i cizinci dnes ukládají své peníze ve Švédsku a že žádného švédského občana ani nenapadne, aby ukládal v za</w:t>
      </w:r>
      <w:r>
        <w:rPr>
          <w:b/>
          <w:bCs/>
          <w:sz w:val="19"/>
          <w:szCs w:val="19"/>
        </w:rPr>
        <w:softHyphen/>
        <w:t>hraničních bankách. Dokonce i některé státy poslaly část svého zlatého pokladu do Švédská, jako na příkla</w:t>
      </w:r>
      <w:r>
        <w:rPr>
          <w:b/>
          <w:bCs/>
          <w:sz w:val="19"/>
          <w:szCs w:val="19"/>
        </w:rPr>
        <w:t>d nedávno Polsko. Prosperita ve Švédsku zasáhla dnes všechny obory výroby a dopravy. Nejenom ocel, železo, stroje, kuličková ložiska, vesměs výrobky světového jakostního standardu, ale i papír, dřiví, švédská buničina se prodávají za skvělé ceny do oněch č</w:t>
      </w:r>
      <w:r>
        <w:rPr>
          <w:b/>
          <w:bCs/>
          <w:sz w:val="19"/>
          <w:szCs w:val="19"/>
        </w:rPr>
        <w:t xml:space="preserve">ástí světa, které jsou schopny dobře platit. Dnes se odhaduje, že průmyslová výroba ve Švédsku je asi na 159 procentech maximální konjunkturní úrovně z roku 1929. Není žádné jiné země na světě, kde by byl takový vnitřní klid a mir, takové tempo stoupající </w:t>
      </w:r>
      <w:r>
        <w:rPr>
          <w:b/>
          <w:bCs/>
          <w:sz w:val="19"/>
          <w:szCs w:val="19"/>
        </w:rPr>
        <w:t>životní míry, tak stále zdokonalované sociálně-hospodářské zákonodár</w:t>
      </w:r>
      <w:r>
        <w:rPr>
          <w:b/>
          <w:bCs/>
          <w:sz w:val="19"/>
          <w:szCs w:val="19"/>
        </w:rPr>
        <w:softHyphen/>
        <w:t>ství a taková bezpečnost zaměstnanosti, jako je tomu dnes ve Švédsku.</w:t>
      </w:r>
    </w:p>
    <w:p w:rsidR="00500724" w:rsidRDefault="00F30FB8">
      <w:pPr>
        <w:pStyle w:val="Zkladntext100"/>
        <w:shd w:val="clear" w:color="auto" w:fill="auto"/>
        <w:spacing w:line="204" w:lineRule="auto"/>
        <w:ind w:firstLine="260"/>
        <w:rPr>
          <w:sz w:val="19"/>
          <w:szCs w:val="19"/>
        </w:rPr>
      </w:pPr>
      <w:r>
        <w:rPr>
          <w:b/>
          <w:bCs/>
          <w:sz w:val="19"/>
          <w:szCs w:val="19"/>
        </w:rPr>
        <w:t>Ale přes to vše leží nad Švédském mrak, který hluboce</w:t>
      </w:r>
    </w:p>
    <w:p w:rsidR="00500724" w:rsidRDefault="00F30FB8">
      <w:pPr>
        <w:pStyle w:val="Zkladntext100"/>
        <w:shd w:val="clear" w:color="auto" w:fill="auto"/>
        <w:tabs>
          <w:tab w:val="left" w:pos="3950"/>
        </w:tabs>
        <w:spacing w:after="180" w:line="211" w:lineRule="auto"/>
        <w:ind w:firstLine="0"/>
        <w:rPr>
          <w:sz w:val="20"/>
          <w:szCs w:val="20"/>
        </w:rPr>
      </w:pPr>
      <w:r>
        <w:rPr>
          <w:b/>
          <w:bCs/>
          <w:sz w:val="19"/>
          <w:szCs w:val="19"/>
        </w:rPr>
        <w:t xml:space="preserve">znepokojuje lid, třebas se o tom mnoho nemluví. Je to strach z </w:t>
      </w:r>
      <w:r>
        <w:rPr>
          <w:b/>
          <w:bCs/>
          <w:sz w:val="19"/>
          <w:szCs w:val="19"/>
        </w:rPr>
        <w:t>nové světové války, jsou to tísnivé obavy, že se ani švédské neutralitní politice nezdaří odvrátit pohromu od své země, která je přece jenom malá a neni lidnatější než naše ěeské země, třebas měla tu výhodu, spolu s ostat</w:t>
      </w:r>
      <w:r>
        <w:rPr>
          <w:b/>
          <w:bCs/>
          <w:sz w:val="19"/>
          <w:szCs w:val="19"/>
        </w:rPr>
        <w:softHyphen/>
        <w:t>ními skandinávskými státy, ž© leží</w:t>
      </w:r>
      <w:r>
        <w:rPr>
          <w:b/>
          <w:bCs/>
          <w:sz w:val="19"/>
          <w:szCs w:val="19"/>
        </w:rPr>
        <w:t xml:space="preserve"> na periferii Evropy. Ale zvýšená aktivita sovětské politiky, napětí, které roste z franko-britsko-sovětského vyjednáváni, to vše vrhá stá</w:t>
      </w:r>
      <w:r>
        <w:rPr>
          <w:b/>
          <w:bCs/>
          <w:sz w:val="19"/>
          <w:szCs w:val="19"/>
        </w:rPr>
        <w:softHyphen/>
        <w:t xml:space="preserve">ny na tento stát, který by jinak prožíval jednu z nejštasb- nějších dob své existence. Pocit, že ne vlastni vinou se </w:t>
      </w:r>
      <w:r>
        <w:rPr>
          <w:b/>
          <w:bCs/>
          <w:sz w:val="19"/>
          <w:szCs w:val="19"/>
        </w:rPr>
        <w:t>toto vše může zbatit a že i na Švédsko ěeká zlá budoucnost, kterou nedovede nijak odvrátit, kazí také švédskému lidu radost ze života. Ale zatím vše jde ve Švédsku tak dobře. Jako ještě nikdy.</w:t>
      </w:r>
      <w:r>
        <w:rPr>
          <w:b/>
          <w:bCs/>
          <w:sz w:val="19"/>
          <w:szCs w:val="19"/>
        </w:rPr>
        <w:tab/>
      </w:r>
      <w:r>
        <w:rPr>
          <w:b/>
          <w:bCs/>
          <w:i/>
          <w:iCs/>
          <w:sz w:val="20"/>
          <w:szCs w:val="20"/>
        </w:rPr>
        <w:t>Dr. J. Skála</w:t>
      </w:r>
    </w:p>
    <w:p w:rsidR="00500724" w:rsidRDefault="00F30FB8">
      <w:pPr>
        <w:pStyle w:val="Zkladntext20"/>
        <w:shd w:val="clear" w:color="auto" w:fill="auto"/>
        <w:spacing w:after="60" w:line="202" w:lineRule="auto"/>
        <w:ind w:firstLine="0"/>
        <w:jc w:val="center"/>
        <w:rPr>
          <w:sz w:val="20"/>
          <w:szCs w:val="20"/>
        </w:rPr>
      </w:pPr>
      <w:r>
        <w:rPr>
          <w:b/>
          <w:bCs/>
          <w:sz w:val="20"/>
          <w:szCs w:val="20"/>
        </w:rPr>
        <w:t>Lidová výchova</w:t>
      </w:r>
    </w:p>
    <w:p w:rsidR="00500724" w:rsidRDefault="00F30FB8">
      <w:pPr>
        <w:pStyle w:val="Zkladntext100"/>
        <w:shd w:val="clear" w:color="auto" w:fill="auto"/>
        <w:spacing w:line="211" w:lineRule="auto"/>
        <w:ind w:firstLine="300"/>
        <w:rPr>
          <w:sz w:val="19"/>
          <w:szCs w:val="19"/>
        </w:rPr>
      </w:pPr>
      <w:r>
        <w:rPr>
          <w:b/>
          <w:bCs/>
          <w:sz w:val="19"/>
          <w:szCs w:val="19"/>
        </w:rPr>
        <w:t>Česká lidovýchovná práce stojí před</w:t>
      </w:r>
      <w:r>
        <w:rPr>
          <w:b/>
          <w:bCs/>
          <w:sz w:val="19"/>
          <w:szCs w:val="19"/>
        </w:rPr>
        <w:t xml:space="preserve"> novými úkoly: či spíše před novými metodami. V nových poměrech je nutno sloužit téže věci: ěeské kultuře. Ale došlo tu ke změnám, které budou mít vliv na organisaci lidovýchovné práce, A bude prospěšné při této příležitosti prozkoumat a pře</w:t>
      </w:r>
      <w:r>
        <w:rPr>
          <w:b/>
          <w:bCs/>
          <w:sz w:val="19"/>
          <w:szCs w:val="19"/>
        </w:rPr>
        <w:softHyphen/>
        <w:t>zkoumat i meto</w:t>
      </w:r>
      <w:r>
        <w:rPr>
          <w:b/>
          <w:bCs/>
          <w:sz w:val="19"/>
          <w:szCs w:val="19"/>
        </w:rPr>
        <w:t>dy naši lidovýchovné práce. Zmizely poli</w:t>
      </w:r>
      <w:r>
        <w:rPr>
          <w:b/>
          <w:bCs/>
          <w:sz w:val="19"/>
          <w:szCs w:val="19"/>
        </w:rPr>
        <w:softHyphen/>
        <w:t>tické strany, lidová výchova v posledních letech trpěla i tím, že si ji rozdělily politické strany: v nich — kulturní práce — nebyla v popředí. Redaktoři kulturních rubrik potvrdí, že neměli rozhodně vedoucí slovo v</w:t>
      </w:r>
      <w:r>
        <w:rPr>
          <w:b/>
          <w:bCs/>
          <w:sz w:val="19"/>
          <w:szCs w:val="19"/>
        </w:rPr>
        <w:t xml:space="preserve"> listech politických stran. Kulturní složky rozhodně nevedly hlavni slovo v politických stranách. Nezískávaly přímo voliče. Neměly peníze na volby. Nezaopatřovaly místa a byty. Proto kulturní práce vcelku živořila ve stínu mocných politických stran. Bylý 1</w:t>
      </w:r>
      <w:r>
        <w:rPr>
          <w:b/>
          <w:bCs/>
          <w:sz w:val="19"/>
          <w:szCs w:val="19"/>
        </w:rPr>
        <w:t xml:space="preserve"> nestranické osvětové organisace. Ale i tam vedly dveře, které se otvíraly Jen stranickým klíčem. Jeden zástupce politické strany dával pozor na druhého: a tím tato lidová výchova stávala se nemastnou a neslanou.</w:t>
      </w:r>
    </w:p>
    <w:p w:rsidR="00500724" w:rsidRDefault="00F30FB8">
      <w:pPr>
        <w:pStyle w:val="Zkladntext100"/>
        <w:shd w:val="clear" w:color="auto" w:fill="auto"/>
        <w:spacing w:line="211" w:lineRule="auto"/>
        <w:ind w:firstLine="300"/>
        <w:rPr>
          <w:sz w:val="19"/>
          <w:szCs w:val="19"/>
        </w:rPr>
      </w:pPr>
      <w:r>
        <w:rPr>
          <w:b/>
          <w:bCs/>
          <w:sz w:val="19"/>
          <w:szCs w:val="19"/>
          <w:lang w:val="en-US" w:eastAsia="en-US" w:bidi="en-US"/>
        </w:rPr>
        <w:t xml:space="preserve">Inter </w:t>
      </w:r>
      <w:r>
        <w:rPr>
          <w:b/>
          <w:bCs/>
          <w:sz w:val="19"/>
          <w:szCs w:val="19"/>
        </w:rPr>
        <w:t xml:space="preserve">arma </w:t>
      </w:r>
      <w:r>
        <w:rPr>
          <w:b/>
          <w:bCs/>
          <w:sz w:val="19"/>
          <w:szCs w:val="19"/>
          <w:lang w:val="en-US" w:eastAsia="en-US" w:bidi="en-US"/>
        </w:rPr>
        <w:t xml:space="preserve">silent </w:t>
      </w:r>
      <w:r>
        <w:rPr>
          <w:b/>
          <w:bCs/>
          <w:sz w:val="19"/>
          <w:szCs w:val="19"/>
        </w:rPr>
        <w:t xml:space="preserve">mnsae. V stranickém boji </w:t>
      </w:r>
      <w:r>
        <w:rPr>
          <w:b/>
          <w:bCs/>
          <w:sz w:val="19"/>
          <w:szCs w:val="19"/>
        </w:rPr>
        <w:t>trpěla kul</w:t>
      </w:r>
      <w:r>
        <w:rPr>
          <w:b/>
          <w:bCs/>
          <w:sz w:val="19"/>
          <w:szCs w:val="19"/>
        </w:rPr>
        <w:softHyphen/>
        <w:t>tura. I kultura musila mlčet nebo mluvit tak, aby se hodila do rámce té nebo oné politické strany. Málokdo si uvědo</w:t>
      </w:r>
      <w:r>
        <w:rPr>
          <w:b/>
          <w:bCs/>
          <w:sz w:val="19"/>
          <w:szCs w:val="19"/>
        </w:rPr>
        <w:softHyphen/>
        <w:t>mil, že kulturou, tedy hlavně knihou se začíná a začínala vše, čemu se říkalo: politika, veřejný život. Politické strany, hospodá</w:t>
      </w:r>
      <w:r>
        <w:rPr>
          <w:b/>
          <w:bCs/>
          <w:sz w:val="19"/>
          <w:szCs w:val="19"/>
        </w:rPr>
        <w:t>řská organisace atd. přišly teprve po základním kulturním probuzení a uvědomení. Ve vývoji dělnického hnuti to bylo také tak. Na počátku byly vzdělávací spolky. Teprve po nich přišly organisace politické a odborové a j.</w:t>
      </w:r>
    </w:p>
    <w:p w:rsidR="00500724" w:rsidRDefault="00F30FB8">
      <w:pPr>
        <w:pStyle w:val="Zkladntext100"/>
        <w:shd w:val="clear" w:color="auto" w:fill="auto"/>
        <w:spacing w:line="214" w:lineRule="auto"/>
        <w:ind w:firstLine="300"/>
        <w:rPr>
          <w:sz w:val="19"/>
          <w:szCs w:val="19"/>
        </w:rPr>
      </w:pPr>
      <w:r>
        <w:rPr>
          <w:b/>
          <w:bCs/>
          <w:sz w:val="19"/>
          <w:szCs w:val="19"/>
        </w:rPr>
        <w:t>Tento nedostatek opravdového zájmu o</w:t>
      </w:r>
      <w:r>
        <w:rPr>
          <w:b/>
          <w:bCs/>
          <w:sz w:val="19"/>
          <w:szCs w:val="19"/>
        </w:rPr>
        <w:t xml:space="preserve"> lidovou výchovu vedl k tomu, že žila vcelku bez iniciativy, ze setrvačnosti. A tak pomalu lidová výchova ztrácela spojitost s těmi, které měla vychovávat. Lidovýchovni pracovníci marně čekali na lepší účast na svých akcích. Ale lidé nepřišli, protože je t</w:t>
      </w:r>
      <w:r>
        <w:rPr>
          <w:b/>
          <w:bCs/>
          <w:sz w:val="19"/>
          <w:szCs w:val="19"/>
        </w:rPr>
        <w:t>o nedovedlo přitáhnout.</w:t>
      </w:r>
    </w:p>
    <w:p w:rsidR="00500724" w:rsidRDefault="00F30FB8">
      <w:pPr>
        <w:pStyle w:val="Zkladntext100"/>
        <w:shd w:val="clear" w:color="auto" w:fill="auto"/>
        <w:spacing w:line="214" w:lineRule="auto"/>
        <w:ind w:firstLine="300"/>
        <w:rPr>
          <w:sz w:val="19"/>
          <w:szCs w:val="19"/>
        </w:rPr>
      </w:pPr>
      <w:r>
        <w:rPr>
          <w:b/>
          <w:bCs/>
          <w:sz w:val="19"/>
          <w:szCs w:val="19"/>
        </w:rPr>
        <w:t>Je potřebí upřímně si říci, že s dosavadními metodami lidové výchovy nevystačíme. V době filmu a rozhlasu, nor</w:t>
      </w:r>
      <w:r>
        <w:rPr>
          <w:b/>
          <w:bCs/>
          <w:sz w:val="19"/>
          <w:szCs w:val="19"/>
        </w:rPr>
        <w:softHyphen/>
        <w:t>málního i úzkého filmu, nevystačíme s šedivou přednáškou. V době, kdy každý čte aspoň svůj večerník, nevystačíme s refere</w:t>
      </w:r>
      <w:r>
        <w:rPr>
          <w:b/>
          <w:bCs/>
          <w:sz w:val="19"/>
          <w:szCs w:val="19"/>
        </w:rPr>
        <w:t>ntem z ústředí, který snad je dobrý odborník, ale nedovede vyložit věc přesvědčivě. V době, kdy optika vyrobí dokonalé epidiaskopy, promítající obrázky z novin a obráz</w:t>
      </w:r>
      <w:r>
        <w:rPr>
          <w:b/>
          <w:bCs/>
          <w:sz w:val="19"/>
          <w:szCs w:val="19"/>
        </w:rPr>
        <w:softHyphen/>
        <w:t>kových týdeníků (a nemusí to být stroje za tisíce), v době diaťilmů, gramofonových desek</w:t>
      </w:r>
      <w:r>
        <w:rPr>
          <w:b/>
          <w:bCs/>
          <w:sz w:val="19"/>
          <w:szCs w:val="19"/>
        </w:rPr>
        <w:t xml:space="preserve"> atd., musí se i lidová výcho</w:t>
      </w:r>
      <w:r>
        <w:rPr>
          <w:b/>
          <w:bCs/>
          <w:sz w:val="19"/>
          <w:szCs w:val="19"/>
        </w:rPr>
        <w:softHyphen/>
        <w:t>va přizpůsobit technickému tempu doby, aby sloužila stále témuž: kultuře. Už nemusí — když se to dobře vezme do rukou — chodit učitelé od vesnice k vesnici s těžkým skiop- tikonem a zastaralými diapositivy.</w:t>
      </w:r>
    </w:p>
    <w:p w:rsidR="00500724" w:rsidRDefault="00F30FB8">
      <w:pPr>
        <w:pStyle w:val="Zkladntext100"/>
        <w:shd w:val="clear" w:color="auto" w:fill="auto"/>
        <w:spacing w:line="214" w:lineRule="auto"/>
        <w:ind w:firstLine="300"/>
        <w:rPr>
          <w:sz w:val="19"/>
          <w:szCs w:val="19"/>
        </w:rPr>
      </w:pPr>
      <w:r>
        <w:rPr>
          <w:b/>
          <w:bCs/>
          <w:sz w:val="19"/>
          <w:szCs w:val="19"/>
        </w:rPr>
        <w:t>Dnes by stačilo mal</w:t>
      </w:r>
      <w:r>
        <w:rPr>
          <w:b/>
          <w:bCs/>
          <w:sz w:val="19"/>
          <w:szCs w:val="19"/>
        </w:rPr>
        <w:t xml:space="preserve">é auto, v němž by byl malý stroj pro úzký </w:t>
      </w:r>
      <w:r>
        <w:rPr>
          <w:u w:val="single"/>
          <w:lang w:val="en-US" w:eastAsia="en-US" w:bidi="en-US"/>
        </w:rPr>
        <w:t>film</w:t>
      </w:r>
      <w:r>
        <w:rPr>
          <w:lang w:val="en-US" w:eastAsia="en-US" w:bidi="en-US"/>
        </w:rPr>
        <w:t xml:space="preserve">. </w:t>
      </w:r>
      <w:r>
        <w:rPr>
          <w:b/>
          <w:bCs/>
          <w:sz w:val="19"/>
          <w:szCs w:val="19"/>
        </w:rPr>
        <w:t>V malé bedničce několik gramofonových desek. Takové auto by jezdilo od vesnice k vesnici podle přesného plánu, po dohodě a dobré místní reklamě. Malá česká ves</w:t>
      </w:r>
      <w:r>
        <w:rPr>
          <w:b/>
          <w:bCs/>
          <w:sz w:val="19"/>
          <w:szCs w:val="19"/>
        </w:rPr>
        <w:softHyphen/>
        <w:t>nička může dnes mít krásný a pestrý večer opravd</w:t>
      </w:r>
      <w:r>
        <w:rPr>
          <w:b/>
          <w:bCs/>
          <w:sz w:val="19"/>
          <w:szCs w:val="19"/>
        </w:rPr>
        <w:t>ové české kultury. A našlo by tu práci, krásnou a poctivou práci několik Udí.</w:t>
      </w:r>
    </w:p>
    <w:p w:rsidR="00500724" w:rsidRDefault="00F30FB8">
      <w:pPr>
        <w:pStyle w:val="Zkladntext100"/>
        <w:shd w:val="clear" w:color="auto" w:fill="auto"/>
        <w:tabs>
          <w:tab w:val="left" w:pos="4531"/>
        </w:tabs>
        <w:spacing w:after="40" w:line="214" w:lineRule="auto"/>
        <w:ind w:firstLine="300"/>
        <w:rPr>
          <w:sz w:val="20"/>
          <w:szCs w:val="20"/>
        </w:rPr>
        <w:sectPr w:rsidR="00500724">
          <w:footnotePr>
            <w:numFmt w:val="chicago"/>
            <w:numRestart w:val="eachPage"/>
          </w:footnotePr>
          <w:type w:val="continuous"/>
          <w:pgSz w:w="11909" w:h="16834"/>
          <w:pgMar w:top="1091" w:right="879" w:bottom="840" w:left="673" w:header="0" w:footer="3" w:gutter="0"/>
          <w:cols w:num="2" w:space="122"/>
          <w:noEndnote/>
          <w:docGrid w:linePitch="360"/>
        </w:sectPr>
      </w:pPr>
      <w:r>
        <w:rPr>
          <w:b/>
          <w:bCs/>
          <w:sz w:val="19"/>
          <w:szCs w:val="19"/>
        </w:rPr>
        <w:t xml:space="preserve">I naši lidovou výchovu bude třeba omladit a pozměnit v lidech </w:t>
      </w:r>
      <w:r>
        <w:rPr>
          <w:b/>
          <w:bCs/>
          <w:sz w:val="20"/>
          <w:szCs w:val="20"/>
        </w:rPr>
        <w:t xml:space="preserve">a </w:t>
      </w:r>
      <w:r>
        <w:rPr>
          <w:b/>
          <w:bCs/>
          <w:sz w:val="19"/>
          <w:szCs w:val="19"/>
        </w:rPr>
        <w:t>metodách. Její posláni se nemění. Jeji odpověd</w:t>
      </w:r>
      <w:r>
        <w:rPr>
          <w:b/>
          <w:bCs/>
          <w:sz w:val="19"/>
          <w:szCs w:val="19"/>
        </w:rPr>
        <w:softHyphen/>
        <w:t>nost roste,</w:t>
      </w:r>
      <w:r>
        <w:rPr>
          <w:b/>
          <w:bCs/>
          <w:sz w:val="19"/>
          <w:szCs w:val="19"/>
        </w:rPr>
        <w:tab/>
      </w:r>
      <w:r>
        <w:rPr>
          <w:b/>
          <w:bCs/>
          <w:i/>
          <w:iCs/>
          <w:sz w:val="20"/>
          <w:szCs w:val="20"/>
        </w:rPr>
        <w:t>V. Q,</w:t>
      </w:r>
    </w:p>
    <w:p w:rsidR="00500724" w:rsidRDefault="00F30FB8">
      <w:pPr>
        <w:pStyle w:val="Jin0"/>
        <w:pBdr>
          <w:bottom w:val="single" w:sz="4" w:space="0" w:color="auto"/>
        </w:pBdr>
        <w:shd w:val="clear" w:color="auto" w:fill="auto"/>
        <w:spacing w:after="260"/>
        <w:ind w:firstLine="0"/>
        <w:jc w:val="left"/>
        <w:rPr>
          <w:sz w:val="44"/>
          <w:szCs w:val="44"/>
        </w:rPr>
      </w:pPr>
      <w:r>
        <w:rPr>
          <w:b/>
          <w:bCs/>
          <w:sz w:val="44"/>
          <w:szCs w:val="44"/>
        </w:rPr>
        <w:t>politika</w:t>
      </w:r>
    </w:p>
    <w:p w:rsidR="00500724" w:rsidRDefault="00F30FB8">
      <w:pPr>
        <w:pStyle w:val="Zkladntext40"/>
        <w:shd w:val="clear" w:color="auto" w:fill="auto"/>
        <w:spacing w:after="0" w:line="266" w:lineRule="auto"/>
        <w:jc w:val="left"/>
      </w:pPr>
      <w:r>
        <w:rPr>
          <w:b/>
          <w:bCs/>
          <w:i/>
          <w:iCs/>
        </w:rPr>
        <w:t xml:space="preserve">Milena </w:t>
      </w:r>
      <w:r>
        <w:rPr>
          <w:b/>
          <w:bCs/>
          <w:i/>
          <w:iCs/>
        </w:rPr>
        <w:t>Jesenská:</w:t>
      </w:r>
    </w:p>
    <w:p w:rsidR="00500724" w:rsidRDefault="00F30FB8">
      <w:pPr>
        <w:pStyle w:val="Jin0"/>
        <w:shd w:val="clear" w:color="auto" w:fill="auto"/>
        <w:spacing w:after="60"/>
        <w:ind w:firstLine="0"/>
        <w:jc w:val="center"/>
        <w:rPr>
          <w:sz w:val="34"/>
          <w:szCs w:val="34"/>
        </w:rPr>
      </w:pPr>
      <w:r>
        <w:rPr>
          <w:b/>
          <w:bCs/>
          <w:sz w:val="34"/>
          <w:szCs w:val="34"/>
        </w:rPr>
        <w:t>Týká se nás všech</w:t>
      </w:r>
    </w:p>
    <w:p w:rsidR="00500724" w:rsidRDefault="00F30FB8">
      <w:pPr>
        <w:pStyle w:val="Zkladntext40"/>
        <w:shd w:val="clear" w:color="auto" w:fill="auto"/>
        <w:spacing w:after="0" w:line="302" w:lineRule="auto"/>
        <w:ind w:firstLine="240"/>
        <w:rPr>
          <w:sz w:val="14"/>
          <w:szCs w:val="14"/>
        </w:rPr>
      </w:pPr>
      <w:r>
        <w:rPr>
          <w:b/>
          <w:bCs/>
          <w:sz w:val="14"/>
          <w:szCs w:val="14"/>
        </w:rPr>
        <w:t>Český novinář dostal dnem 15. března 1939 novon úlohu, která se málo podobala jeho úloze staré. Bylo-li dřív záslužné vybírati si témata zajímavá, ve světě roz</w:t>
      </w:r>
      <w:r>
        <w:rPr>
          <w:b/>
          <w:bCs/>
          <w:sz w:val="14"/>
          <w:szCs w:val="14"/>
        </w:rPr>
        <w:softHyphen/>
        <w:t>lehlá a zpracovávati je s vědomím a informacemi co nejdůkladnějšími,</w:t>
      </w:r>
      <w:r>
        <w:rPr>
          <w:b/>
          <w:bCs/>
          <w:sz w:val="14"/>
          <w:szCs w:val="14"/>
        </w:rPr>
        <w:t xml:space="preserve"> zúžil se tento plošný obzor současně se zmenšením našich hranic a prohloubil se do duchovní hloubky. Český novinář má v rukou české živé slovo a před sebou kus bílého papíru. Stál-li před rokem český novinář před vojákem jako člověk více méně soukromý, zm</w:t>
      </w:r>
      <w:r>
        <w:rPr>
          <w:b/>
          <w:bCs/>
          <w:sz w:val="14"/>
          <w:szCs w:val="14"/>
        </w:rPr>
        <w:t>ěnil se tento poměr dnes dokonale. Nebof kus bílého papíru a české slovo je materiál, kterým bude naší generaci bojovati o další rozvoj a uvědomení našeho národa. Ve víru politických převratů a ve zrodu politických hodnot stál a stojí český novinář jako je</w:t>
      </w:r>
      <w:r>
        <w:rPr>
          <w:b/>
          <w:bCs/>
          <w:sz w:val="14"/>
          <w:szCs w:val="14"/>
        </w:rPr>
        <w:t>diný prostředník mezi událostmi a lidem, jako jediný mluvčí a jediný tvůrce živého slovního výrazu. Není mezi námi člověka, který by si této úlohy nebyl vědom, a není mezi námi nikoho, kdo by nevěděl, že být novinářem je dnes čest a pocta, hodnost a důstoj</w:t>
      </w:r>
      <w:r>
        <w:rPr>
          <w:b/>
          <w:bCs/>
          <w:sz w:val="14"/>
          <w:szCs w:val="14"/>
        </w:rPr>
        <w:t>nost. A to právě proto, že se celý národ vrací k zvýšené a zvroucněné práci duchovní, k významu svých prapůvodních národních pramenů a k tomu, co nám zůstalo jako nejryzejší výraz našeho národního výrazu: k českému psanému a mluve</w:t>
      </w:r>
      <w:r>
        <w:rPr>
          <w:b/>
          <w:bCs/>
          <w:sz w:val="14"/>
          <w:szCs w:val="14"/>
        </w:rPr>
        <w:softHyphen/>
        <w:t>nému slovu.</w:t>
      </w:r>
    </w:p>
    <w:p w:rsidR="00500724" w:rsidRDefault="00F30FB8">
      <w:pPr>
        <w:pStyle w:val="Zkladntext40"/>
        <w:shd w:val="clear" w:color="auto" w:fill="auto"/>
        <w:spacing w:after="0" w:line="286" w:lineRule="auto"/>
        <w:ind w:firstLine="240"/>
        <w:rPr>
          <w:sz w:val="14"/>
          <w:szCs w:val="14"/>
        </w:rPr>
      </w:pPr>
      <w:r>
        <w:rPr>
          <w:b/>
          <w:bCs/>
          <w:sz w:val="14"/>
          <w:szCs w:val="14"/>
        </w:rPr>
        <w:t xml:space="preserve">Nedomluvili </w:t>
      </w:r>
      <w:r>
        <w:rPr>
          <w:b/>
          <w:bCs/>
          <w:sz w:val="14"/>
          <w:szCs w:val="14"/>
        </w:rPr>
        <w:t>jsme se navzájem a přece si dovoluji říci »my«. I když mi to nebylo každým jednotlivcem potvrzeno, vím docela jasně a docela přesně, že tuto skutečnost pociťujeme všichni stejně. V naší dnešní situaci nelze totiž cítit nic jiného. Kdo z nás něco jiného cít</w:t>
      </w:r>
      <w:r>
        <w:rPr>
          <w:b/>
          <w:bCs/>
          <w:sz w:val="14"/>
          <w:szCs w:val="14"/>
        </w:rPr>
        <w:t>il, zmizel už dávno od svého řemesla a zanechal svůj bílý papír nepopsaný. My, kteří jsme zůstali, podjali jsme se práce nové a práce velmi zřetelně vykázané: na zákonitém a smluvním podkladě o autonomii a národní svébytnosti vychovávat národ k novému živo</w:t>
      </w:r>
      <w:r>
        <w:rPr>
          <w:b/>
          <w:bCs/>
          <w:sz w:val="14"/>
          <w:szCs w:val="14"/>
        </w:rPr>
        <w:t>tu, nové odvaze, naději a novým úkolům. Nebylo důvodu říkatí něco mezi řádky: všechno, co má býti řečeno, bylo řečeno otevřeně. Ani Němci si nepřáli, abychom přestali svůj národ milovat a k této lásce se hlásit, ani my Češi jsme si nepřáli tajit ji. Byla t</w:t>
      </w:r>
      <w:r>
        <w:rPr>
          <w:b/>
          <w:bCs/>
          <w:sz w:val="14"/>
          <w:szCs w:val="14"/>
        </w:rPr>
        <w:t>o velmi jasná cesta a my ji na</w:t>
      </w:r>
      <w:r>
        <w:rPr>
          <w:b/>
          <w:bCs/>
          <w:sz w:val="14"/>
          <w:szCs w:val="14"/>
        </w:rPr>
        <w:softHyphen/>
        <w:t>stoupili velmi zřetelně. Neztráceli jsme vůbec čas úvaha</w:t>
      </w:r>
      <w:r>
        <w:rPr>
          <w:b/>
          <w:bCs/>
          <w:sz w:val="14"/>
          <w:szCs w:val="14"/>
        </w:rPr>
        <w:softHyphen/>
        <w:t>mi, zbývají-li nám nějaké zákruty. Ba, trochu jsme pohrdli možnostmi kroutit se.</w:t>
      </w:r>
    </w:p>
    <w:p w:rsidR="00500724" w:rsidRDefault="00F30FB8">
      <w:pPr>
        <w:pStyle w:val="Zkladntext40"/>
        <w:shd w:val="clear" w:color="auto" w:fill="auto"/>
        <w:spacing w:after="40" w:line="286" w:lineRule="auto"/>
        <w:ind w:firstLine="240"/>
        <w:rPr>
          <w:sz w:val="14"/>
          <w:szCs w:val="14"/>
        </w:rPr>
      </w:pPr>
      <w:r>
        <w:rPr>
          <w:b/>
          <w:bCs/>
          <w:sz w:val="14"/>
          <w:szCs w:val="14"/>
        </w:rPr>
        <w:t>Mezi Čechy a Němci byl patrný vzájemný ne</w:t>
      </w:r>
      <w:r>
        <w:rPr>
          <w:b/>
          <w:bCs/>
          <w:sz w:val="14"/>
          <w:szCs w:val="14"/>
        </w:rPr>
        <w:softHyphen/>
        <w:t>dostatek lásky v dobách dřívějších. Tento ned</w:t>
      </w:r>
      <w:r>
        <w:rPr>
          <w:b/>
          <w:bCs/>
          <w:sz w:val="14"/>
          <w:szCs w:val="14"/>
        </w:rPr>
        <w:t>ostatek lásky je produktem mnoha set let a skutečnosti, že jsme my, jako malý národ, stáli vždycky na hranicích národa velkého. Tento nedostatek lásky není třeba mezi řádky rozdmýchávat. Naopak je jej třeba v řádkách a otevřeně tlumit, napravovat, taktně a</w:t>
      </w:r>
      <w:r>
        <w:rPr>
          <w:b/>
          <w:bCs/>
          <w:sz w:val="14"/>
          <w:szCs w:val="14"/>
        </w:rPr>
        <w:t xml:space="preserve"> jemně vyrovnávat. Je to obrovský úkol a úkol velmi naléhavý, českému novináři se pak zhusta stává, že dostává, plně tento úkol, jejž mu svěřily dějiny, jednou poštou dvě zprávy: výraz nespokojenosti českého čtenáře, který si přeje, aby český novinář se oz</w:t>
      </w:r>
      <w:r>
        <w:rPr>
          <w:b/>
          <w:bCs/>
          <w:sz w:val="14"/>
          <w:szCs w:val="14"/>
        </w:rPr>
        <w:t>brojil jakousi sekerou a mlátil do vzduchoprázdného prostoru hlava nehlava, nejsa sroz</w:t>
      </w:r>
      <w:r>
        <w:rPr>
          <w:b/>
          <w:bCs/>
          <w:sz w:val="14"/>
          <w:szCs w:val="14"/>
        </w:rPr>
        <w:softHyphen/>
        <w:t>uměn s kladným úkolem obtížného budování, který nese novinář na svých bedrech — a výraz nespokojenosti německého čtenáře, který spatřuje v kladné lásce k ná</w:t>
      </w:r>
      <w:r>
        <w:rPr>
          <w:b/>
          <w:bCs/>
          <w:sz w:val="14"/>
          <w:szCs w:val="14"/>
        </w:rPr>
        <w:softHyphen/>
        <w:t>rodu ponouká</w:t>
      </w:r>
      <w:r>
        <w:rPr>
          <w:b/>
          <w:bCs/>
          <w:sz w:val="14"/>
          <w:szCs w:val="14"/>
        </w:rPr>
        <w:t xml:space="preserve">ní nenávidět národ druhý. Mluvím jistě za všechny české novináře, pravím-li, že někdy sedíme nad čtvrtkou prázdného papíru na smrt unaveni, vy- hlodáni a uondáni ze záplavy nedorozumění, která se už předem valí na naše myšlénky ještě dřív, než se pokusíme </w:t>
      </w:r>
      <w:r>
        <w:rPr>
          <w:b/>
          <w:bCs/>
          <w:sz w:val="14"/>
          <w:szCs w:val="14"/>
        </w:rPr>
        <w:t>jasně je formulovat.</w:t>
      </w:r>
    </w:p>
    <w:p w:rsidR="00500724" w:rsidRDefault="00F30FB8">
      <w:pPr>
        <w:pStyle w:val="Zkladntext40"/>
        <w:shd w:val="clear" w:color="auto" w:fill="auto"/>
        <w:spacing w:after="0" w:line="283" w:lineRule="auto"/>
        <w:ind w:firstLine="240"/>
        <w:rPr>
          <w:sz w:val="14"/>
          <w:szCs w:val="14"/>
        </w:rPr>
      </w:pPr>
      <w:r>
        <w:rPr>
          <w:b/>
          <w:bCs/>
          <w:sz w:val="14"/>
          <w:szCs w:val="14"/>
        </w:rPr>
        <w:t xml:space="preserve">Toto obvinění se však týká nás všech. My </w:t>
      </w:r>
      <w:r>
        <w:rPr>
          <w:b/>
          <w:bCs/>
          <w:sz w:val="16"/>
          <w:szCs w:val="16"/>
        </w:rPr>
        <w:t>vši</w:t>
      </w:r>
      <w:r>
        <w:rPr>
          <w:b/>
          <w:bCs/>
          <w:sz w:val="16"/>
          <w:szCs w:val="16"/>
          <w:u w:val="single"/>
        </w:rPr>
        <w:t>chni</w:t>
      </w:r>
      <w:r>
        <w:rPr>
          <w:b/>
          <w:bCs/>
          <w:sz w:val="16"/>
          <w:szCs w:val="16"/>
        </w:rPr>
        <w:t xml:space="preserve">, </w:t>
      </w:r>
      <w:r>
        <w:rPr>
          <w:b/>
          <w:bCs/>
          <w:sz w:val="14"/>
          <w:szCs w:val="14"/>
        </w:rPr>
        <w:t>kteří dnes cokoli a kdekoli česky píšeme, musíme se jím cítit dotčeni. My všichni, jak tu jsme, postavili jsme se po bok lidu, který si po dlouhých měsících pře</w:t>
      </w:r>
      <w:r>
        <w:rPr>
          <w:b/>
          <w:bCs/>
          <w:sz w:val="14"/>
          <w:szCs w:val="14"/>
        </w:rPr>
        <w:softHyphen/>
        <w:t xml:space="preserve">vratů a zvratů přeje </w:t>
      </w:r>
      <w:r>
        <w:rPr>
          <w:b/>
          <w:bCs/>
          <w:sz w:val="14"/>
          <w:szCs w:val="14"/>
        </w:rPr>
        <w:t>práci, klid; ani mezi řádky ani v řádkách nepadlo jedinké slovo nabádání k jakékoli záludnosti. Nikdo z nás si nepřál nic jiného, než konat službu na svém místě: to znamená, učit národ sjednotit se, prohloubit svoje národní vědomí, zdvojnásobit práci myšle</w:t>
      </w:r>
      <w:r>
        <w:rPr>
          <w:b/>
          <w:bCs/>
          <w:sz w:val="14"/>
          <w:szCs w:val="14"/>
        </w:rPr>
        <w:t>nky. V jasném vědomí naprosto nových poměrů snažili jsme se vypěstovat v národu totéž jasné vědomí nové situace: Musíme žít vedle Němců, musíme najít cestu, jak se s nimi shodnout a nesmíme dopustit, aby vědomí naší národní cti bylo povrchní. Stojíme vedle</w:t>
      </w:r>
      <w:r>
        <w:rPr>
          <w:b/>
          <w:bCs/>
          <w:sz w:val="14"/>
          <w:szCs w:val="14"/>
        </w:rPr>
        <w:t xml:space="preserve"> Němců jako rovní vedle rovných co do kidturní úrovně, řemeslného umu a zdatnosti, píle a osobní poctivosti.</w:t>
      </w:r>
    </w:p>
    <w:p w:rsidR="00500724" w:rsidRDefault="00F30FB8">
      <w:pPr>
        <w:pStyle w:val="Zkladntext40"/>
        <w:shd w:val="clear" w:color="auto" w:fill="auto"/>
        <w:spacing w:after="0" w:line="286" w:lineRule="auto"/>
        <w:ind w:firstLine="240"/>
        <w:rPr>
          <w:sz w:val="14"/>
          <w:szCs w:val="14"/>
        </w:rPr>
      </w:pPr>
      <w:r>
        <w:rPr>
          <w:b/>
          <w:bCs/>
          <w:sz w:val="14"/>
          <w:szCs w:val="14"/>
        </w:rPr>
        <w:t>Nesmíme se této rovnosti — která nám není upírána — vzdát z nějaké pohodlnosti, pokleslosti nebo unavenostk V nejrůznějších obměnách jsme říkali st</w:t>
      </w:r>
      <w:r>
        <w:rPr>
          <w:b/>
          <w:bCs/>
          <w:sz w:val="14"/>
          <w:szCs w:val="14"/>
        </w:rPr>
        <w:t>ále totéž. V nej</w:t>
      </w:r>
      <w:r>
        <w:rPr>
          <w:b/>
          <w:bCs/>
          <w:sz w:val="14"/>
          <w:szCs w:val="14"/>
        </w:rPr>
        <w:softHyphen/>
        <w:t>různějších obměnách budeme říkat stále totéž. Nikdo z nás to nešeptal. Každý z nás to křičel. Nikdo z nás ani sebemenším náznakem neřekl: vyčkávejte na Němce v zákeří. Každý z nás naopak otevřeně řekl: jakákoli zákeřnost jednotlivců, jakák</w:t>
      </w:r>
      <w:r>
        <w:rPr>
          <w:b/>
          <w:bCs/>
          <w:sz w:val="14"/>
          <w:szCs w:val="14"/>
        </w:rPr>
        <w:t>oli nepoctivost v práci, kte</w:t>
      </w:r>
      <w:r>
        <w:rPr>
          <w:b/>
          <w:bCs/>
          <w:sz w:val="14"/>
          <w:szCs w:val="14"/>
        </w:rPr>
        <w:softHyphen/>
        <w:t>rá nám byla svěřena, jakákoli neukázněnost i třeba čistě osobní může být zhoubou celého národa. Každý z nás otevřeně řekl: milujte houževnatost, ceňte si otevře</w:t>
      </w:r>
      <w:r>
        <w:rPr>
          <w:b/>
          <w:bCs/>
          <w:sz w:val="14"/>
          <w:szCs w:val="14"/>
        </w:rPr>
        <w:softHyphen/>
        <w:t>né statečnosti a odvahy, bude-li jí třeba, nebojte se, není k tomu</w:t>
      </w:r>
      <w:r>
        <w:rPr>
          <w:b/>
          <w:bCs/>
          <w:sz w:val="14"/>
          <w:szCs w:val="14"/>
        </w:rPr>
        <w:t xml:space="preserve"> důvodu a mluvte pravdu.</w:t>
      </w:r>
    </w:p>
    <w:p w:rsidR="00500724" w:rsidRDefault="00F30FB8">
      <w:pPr>
        <w:pStyle w:val="Zkladntext40"/>
        <w:shd w:val="clear" w:color="auto" w:fill="auto"/>
        <w:tabs>
          <w:tab w:val="left" w:pos="4954"/>
        </w:tabs>
        <w:spacing w:after="0" w:line="286" w:lineRule="auto"/>
        <w:ind w:firstLine="240"/>
        <w:rPr>
          <w:sz w:val="14"/>
          <w:szCs w:val="14"/>
        </w:rPr>
      </w:pPr>
      <w:r>
        <w:rPr>
          <w:b/>
          <w:bCs/>
          <w:sz w:val="14"/>
          <w:szCs w:val="14"/>
        </w:rPr>
        <w:t>Obvinění, které bylo paušálně vzneseno na české no</w:t>
      </w:r>
      <w:r>
        <w:rPr>
          <w:b/>
          <w:bCs/>
          <w:sz w:val="14"/>
          <w:szCs w:val="14"/>
        </w:rPr>
        <w:softHyphen/>
        <w:t>vináře, je obvinění vážné. Je tím vážnější, že je tak paušální.</w:t>
      </w:r>
      <w:r>
        <w:rPr>
          <w:b/>
          <w:bCs/>
          <w:sz w:val="14"/>
          <w:szCs w:val="14"/>
        </w:rPr>
        <w:tab/>
        <w:t>i</w:t>
      </w:r>
    </w:p>
    <w:p w:rsidR="00500724" w:rsidRDefault="00F30FB8">
      <w:pPr>
        <w:pStyle w:val="Zkladntext40"/>
        <w:shd w:val="clear" w:color="auto" w:fill="auto"/>
        <w:spacing w:after="0" w:line="286" w:lineRule="auto"/>
        <w:ind w:firstLine="240"/>
        <w:rPr>
          <w:sz w:val="14"/>
          <w:szCs w:val="14"/>
        </w:rPr>
      </w:pPr>
      <w:r>
        <w:rPr>
          <w:b/>
          <w:bCs/>
          <w:sz w:val="14"/>
          <w:szCs w:val="14"/>
        </w:rPr>
        <w:t>Nebudu hájit české novináře. Jejich slova a práce je hájí sama. Celý český tisk odmítl toto obvinění velmi rozhodn</w:t>
      </w:r>
      <w:r>
        <w:rPr>
          <w:b/>
          <w:bCs/>
          <w:sz w:val="14"/>
          <w:szCs w:val="14"/>
        </w:rPr>
        <w:t>ě. Budiž mi jen dovoleno říci, co jsem už opako</w:t>
      </w:r>
      <w:r>
        <w:rPr>
          <w:b/>
          <w:bCs/>
          <w:sz w:val="14"/>
          <w:szCs w:val="14"/>
        </w:rPr>
        <w:softHyphen/>
        <w:t>vala několikrát: jsme vyspělý národ evropské kulturní úrovně a každý jednotlivý člověk mezi námi je člověk myslící. Napětí mezi Čechy a mezi Němci se musí uklidnit a musí povolit. Od tohoto národa, který se c</w:t>
      </w:r>
      <w:r>
        <w:rPr>
          <w:b/>
          <w:bCs/>
          <w:sz w:val="14"/>
          <w:szCs w:val="14"/>
        </w:rPr>
        <w:t>ítí jako po těžké nemoci, nečekejte však lásku, budete-li jej za poctivou a namáhavou snahu bezdůvodně pode</w:t>
      </w:r>
      <w:r>
        <w:rPr>
          <w:b/>
          <w:bCs/>
          <w:sz w:val="14"/>
          <w:szCs w:val="14"/>
        </w:rPr>
        <w:softHyphen/>
        <w:t>zírat. Čeští novináři nejsou ani zákeřníci ani tichošláp</w:t>
      </w:r>
      <w:r>
        <w:rPr>
          <w:b/>
          <w:bCs/>
          <w:sz w:val="14"/>
          <w:szCs w:val="14"/>
        </w:rPr>
        <w:softHyphen/>
        <w:t xml:space="preserve">kové. Rozjitřenost ztíží naši vzájemnou práci a je třeba, aby i německý tisk si byl vědom, </w:t>
      </w:r>
      <w:r>
        <w:rPr>
          <w:b/>
          <w:bCs/>
          <w:sz w:val="14"/>
          <w:szCs w:val="14"/>
        </w:rPr>
        <w:t>že přichází k národu cizímu, tedy jinému a že musí hledat cesty vzájemného dorozumění a vzájemného doplňování s největším tak</w:t>
      </w:r>
      <w:r>
        <w:rPr>
          <w:b/>
          <w:bCs/>
          <w:sz w:val="14"/>
          <w:szCs w:val="14"/>
        </w:rPr>
        <w:softHyphen/>
        <w:t>tem a klidem, nemáme-li tu žít vedle sebe ve vzájemné nespokojenosti.</w:t>
      </w:r>
    </w:p>
    <w:p w:rsidR="00500724" w:rsidRDefault="00F30FB8">
      <w:pPr>
        <w:pStyle w:val="Zkladntext40"/>
        <w:shd w:val="clear" w:color="auto" w:fill="auto"/>
        <w:spacing w:after="120" w:line="286" w:lineRule="auto"/>
        <w:ind w:firstLine="240"/>
        <w:rPr>
          <w:sz w:val="14"/>
          <w:szCs w:val="14"/>
        </w:rPr>
      </w:pPr>
      <w:r>
        <w:rPr>
          <w:b/>
          <w:bCs/>
          <w:sz w:val="14"/>
          <w:szCs w:val="14"/>
        </w:rPr>
        <w:t xml:space="preserve">Je v nejvyšším zájmu nás Čechů, abychom žili konečně klidně </w:t>
      </w:r>
      <w:r>
        <w:rPr>
          <w:b/>
          <w:bCs/>
          <w:sz w:val="14"/>
          <w:szCs w:val="14"/>
        </w:rPr>
        <w:t>a šli po své práci.</w:t>
      </w:r>
    </w:p>
    <w:p w:rsidR="00500724" w:rsidRDefault="00F30FB8">
      <w:pPr>
        <w:pStyle w:val="Zkladntext20"/>
        <w:shd w:val="clear" w:color="auto" w:fill="auto"/>
        <w:spacing w:after="40" w:line="223" w:lineRule="auto"/>
        <w:ind w:firstLine="0"/>
        <w:jc w:val="left"/>
        <w:rPr>
          <w:sz w:val="20"/>
          <w:szCs w:val="20"/>
        </w:rPr>
      </w:pPr>
      <w:r>
        <w:rPr>
          <w:i/>
          <w:iCs/>
          <w:sz w:val="20"/>
          <w:szCs w:val="20"/>
        </w:rPr>
        <w:t>S.Y.:</w:t>
      </w:r>
    </w:p>
    <w:p w:rsidR="00500724" w:rsidRDefault="00F30FB8">
      <w:pPr>
        <w:pStyle w:val="Nadpis100"/>
        <w:shd w:val="clear" w:color="auto" w:fill="auto"/>
        <w:spacing w:line="206" w:lineRule="auto"/>
      </w:pPr>
      <w:bookmarkStart w:id="596" w:name="bookmark595"/>
      <w:r>
        <w:t>Rozhovor se skutečností</w:t>
      </w:r>
      <w:r>
        <w:br/>
        <w:t>ií.</w:t>
      </w:r>
      <w:bookmarkEnd w:id="596"/>
    </w:p>
    <w:p w:rsidR="00500724" w:rsidRDefault="00F30FB8">
      <w:pPr>
        <w:pStyle w:val="Zkladntext20"/>
        <w:shd w:val="clear" w:color="auto" w:fill="auto"/>
        <w:spacing w:after="40" w:line="240" w:lineRule="auto"/>
        <w:ind w:firstLine="0"/>
        <w:jc w:val="center"/>
      </w:pPr>
      <w:r>
        <w:t>Anglie jako kontrolor</w:t>
      </w:r>
      <w:r>
        <w:br/>
        <w:t>našeho poměru k Rusku a Polsku</w:t>
      </w:r>
    </w:p>
    <w:p w:rsidR="00500724" w:rsidRDefault="00F30FB8">
      <w:pPr>
        <w:pStyle w:val="Zkladntext20"/>
        <w:shd w:val="clear" w:color="auto" w:fill="auto"/>
        <w:spacing w:line="204" w:lineRule="auto"/>
      </w:pPr>
      <w:r>
        <w:t>Byli bychom nespravedlivými, kdybychom nepři</w:t>
      </w:r>
      <w:r>
        <w:softHyphen/>
        <w:t>znali, že zahraniční politika Prvé republiky byla si vědoma vratkosti a podmíněnosti svých kombinací, kt</w:t>
      </w:r>
      <w:r>
        <w:t>eré předla z konopí trpné poslušnosti vůči Anglii a z hedvábných vláken branného spojenectví s Francií. Když vláda Lavalova r. 1935 začala dělat politiku protibritskou, chytala se naše zahraniční politika za hlavu. Jednou nohou stála totiž na britském autu</w:t>
      </w:r>
      <w:r>
        <w:t xml:space="preserve"> a druhou na přívěsném vozíku francouzském. </w:t>
      </w:r>
      <w:r>
        <w:rPr>
          <w:lang w:val="en-US" w:eastAsia="en-US" w:bidi="en-US"/>
        </w:rPr>
        <w:t xml:space="preserve">Pan Laval </w:t>
      </w:r>
      <w:r>
        <w:t>se rozhodl, že svůj vozík od britského auta odepne. Československé politice náhle ujížděly nohy. Měla na vybranou. Rozhodla se pro útočiště na voze britském.</w:t>
      </w:r>
    </w:p>
    <w:p w:rsidR="00500724" w:rsidRDefault="00F30FB8">
      <w:pPr>
        <w:pStyle w:val="Nadpis110"/>
        <w:shd w:val="clear" w:color="auto" w:fill="auto"/>
        <w:spacing w:after="40" w:line="396" w:lineRule="auto"/>
        <w:jc w:val="right"/>
      </w:pPr>
      <w:bookmarkStart w:id="597" w:name="bookmark596"/>
      <w:r>
        <w:rPr>
          <w:rFonts w:ascii="Times New Roman" w:eastAsia="Times New Roman" w:hAnsi="Times New Roman" w:cs="Times New Roman"/>
          <w:u w:val="single"/>
        </w:rPr>
        <w:t>Mál</w:t>
      </w:r>
      <w:r>
        <w:rPr>
          <w:rFonts w:ascii="Times New Roman" w:eastAsia="Times New Roman" w:hAnsi="Times New Roman" w:cs="Times New Roman"/>
        </w:rPr>
        <w:t xml:space="preserve">o komu je známo, že i všechno další, co </w:t>
      </w:r>
      <w:r>
        <w:rPr>
          <w:rFonts w:ascii="Times New Roman" w:eastAsia="Times New Roman" w:hAnsi="Times New Roman" w:cs="Times New Roman"/>
        </w:rPr>
        <w:t>se u nás Sd?</w:t>
      </w:r>
      <w:bookmarkEnd w:id="597"/>
    </w:p>
    <w:p w:rsidR="00500724" w:rsidRDefault="00F30FB8">
      <w:pPr>
        <w:pStyle w:val="Zkladntext20"/>
        <w:shd w:val="clear" w:color="auto" w:fill="auto"/>
        <w:spacing w:after="40" w:line="204" w:lineRule="auto"/>
        <w:ind w:firstLine="0"/>
      </w:pPr>
      <w:r>
        <w:t>podnikalo po boku Francie, jako vojenského spojence, musilo nejprve projít schválením britským. Naše spo</w:t>
      </w:r>
      <w:r>
        <w:softHyphen/>
        <w:t xml:space="preserve">jenecká smlouva se sovětským Ruskem, v níž jsme následovali Lavalovu Francii, vzbudila přirozeně svá podezřeni v Anglii. Toho si v </w:t>
      </w:r>
      <w:r>
        <w:t>Černínském paláci byli také dobře vědomi. O Praze se beztak říkalo, že je to francouzské místodržitelství ve střední Evropě, nyní se tato Praha měla stát také předsunutou expositu- rou ruské politiky ve střední Evropě a východní poli</w:t>
      </w:r>
      <w:r>
        <w:softHyphen/>
        <w:t>tické ideologie. I z t</w:t>
      </w:r>
      <w:r>
        <w:t>oho jsme se uměli na pohled obrat</w:t>
      </w:r>
      <w:r>
        <w:softHyphen/>
        <w:t>ně dostat. Zavázali jsme se totiž Anglii, že o ruskou pomoc požádáme jen, bude-li s tím Anglie souhlasit. Na souhlasu Anglie také závisela naše pomoc sovětskému Rusku. Toto britské přibrzdění našich spojeneckých vztahů k s</w:t>
      </w:r>
      <w:r>
        <w:t>o</w:t>
      </w:r>
      <w:r>
        <w:softHyphen/>
        <w:t>větskému Rusku vysvětluje také mnohé z podzemních událostí r. 1938 při zániku Prvé republiky.</w:t>
      </w:r>
    </w:p>
    <w:p w:rsidR="00500724" w:rsidRDefault="00F30FB8">
      <w:pPr>
        <w:pStyle w:val="Zkladntext20"/>
        <w:shd w:val="clear" w:color="auto" w:fill="auto"/>
        <w:spacing w:after="40" w:line="202" w:lineRule="auto"/>
        <w:ind w:firstLine="260"/>
      </w:pPr>
      <w:r>
        <w:t xml:space="preserve">Naše pevné vztahy k Anglii působily také na naši politiku středoevropskou. Ony upravovaly nebo lépe neupravovaly náš poměr k Itálii i k Polsku. Anglie rozhodně </w:t>
      </w:r>
      <w:r>
        <w:t>nepotřebovala Itálii, která by dělala most mezi Francií a jejím protektorátem nad východ</w:t>
      </w:r>
      <w:r>
        <w:softHyphen/>
        <w:t>ní částí střední Evropy. Z toho důvodu také Anglie nevítalapevnésblíženíPolskasČesko- slovenskem. V tom směru pracovala nejen u nás, nýbrž i v Polsku. Velikou Severosl</w:t>
      </w:r>
      <w:r>
        <w:t>ávii z Českosloven</w:t>
      </w:r>
      <w:r>
        <w:softHyphen/>
        <w:t>ska a Polska mohla si přát jediné Francie, ale proti jejímu utvoření byly svorně Anglie, Německo i sovět</w:t>
      </w:r>
      <w:r>
        <w:softHyphen/>
        <w:t>ské Rusko. Severoslávie o 50 milionech obyvatel s průmyslem, který by značně převyšoval italský, předtavovala velmoc na ploše Franci</w:t>
      </w:r>
      <w:r>
        <w:t>e, která rozlohou převyšovala Německo před Anschlussem. Tato Se</w:t>
      </w:r>
      <w:r>
        <w:softHyphen/>
        <w:t>veroslávie znamenala pro Německo ohrožení Východ</w:t>
      </w:r>
      <w:r>
        <w:softHyphen/>
        <w:t xml:space="preserve">ního Pruska, Pruského Slezska a pro Rusko perma- nentnost rižského míru, ve kterém toto r. 1920 ztratilo veliké území Bílé Rusi, Pinských blat </w:t>
      </w:r>
      <w:r>
        <w:t>a západní Ukra</w:t>
      </w:r>
      <w:r>
        <w:softHyphen/>
        <w:t>jiny. Britská politika ztěžovala Francii konsolidační práci ve střední Evropě, o kterou jsme se s druhé strany pokoušeli vytvořením Malé Dohody. Severo</w:t>
      </w:r>
      <w:r>
        <w:softHyphen/>
        <w:t>slávie jako stát průmyslový, ve skutečnosti velmoc, nesporně by neodolala svodům moře a n</w:t>
      </w:r>
      <w:r>
        <w:t>ezastavila se před půvaby vlastního válečného loďstva. S tímto pře</w:t>
      </w:r>
      <w:r>
        <w:softHyphen/>
        <w:t>pychem Anglie rozhodně také počítala a proto nový velmocenský útvar nijak v jeho zrodu nepodporovala.</w:t>
      </w:r>
    </w:p>
    <w:p w:rsidR="00500724" w:rsidRDefault="00F30FB8">
      <w:pPr>
        <w:pStyle w:val="Zkladntext20"/>
        <w:shd w:val="clear" w:color="auto" w:fill="auto"/>
        <w:spacing w:after="120" w:line="204" w:lineRule="auto"/>
        <w:ind w:firstLine="260"/>
      </w:pPr>
      <w:r>
        <w:t>Anglie hleděla na střední Evropu jako na pole veli</w:t>
      </w:r>
      <w:r>
        <w:softHyphen/>
        <w:t>kého politického manévru nejbližší b</w:t>
      </w:r>
      <w:r>
        <w:t>udoucnosti. Proto všechny přímé i nepřímé nabídky a prosby uplatnit ve střední Evropě svou odpovědnou svrcho</w:t>
      </w:r>
      <w:r>
        <w:softHyphen/>
        <w:t>vanost šetrně, ale zcela rozhodně odmítala.</w:t>
      </w:r>
    </w:p>
    <w:p w:rsidR="00500724" w:rsidRDefault="00F30FB8">
      <w:pPr>
        <w:pStyle w:val="Zkladntext20"/>
        <w:shd w:val="clear" w:color="auto" w:fill="auto"/>
        <w:spacing w:after="40" w:line="240" w:lineRule="auto"/>
        <w:ind w:firstLine="0"/>
        <w:jc w:val="center"/>
      </w:pPr>
      <w:r>
        <w:t>Zapřísahání dobrých demokratů</w:t>
      </w:r>
      <w:r>
        <w:br/>
        <w:t>na Západě</w:t>
      </w:r>
    </w:p>
    <w:p w:rsidR="00500724" w:rsidRDefault="00F30FB8">
      <w:pPr>
        <w:pStyle w:val="Zkladntext20"/>
        <w:shd w:val="clear" w:color="auto" w:fill="auto"/>
        <w:spacing w:after="40" w:line="221" w:lineRule="auto"/>
        <w:ind w:firstLine="260"/>
        <w:rPr>
          <w:sz w:val="19"/>
          <w:szCs w:val="19"/>
        </w:rPr>
      </w:pPr>
      <w:r>
        <w:t>Nemohlo nám být utajeno, že Anglie, která v otázce Španělska sp</w:t>
      </w:r>
      <w:r>
        <w:t>outala Francii, v r. 1936, bude mít ne</w:t>
      </w:r>
      <w:r>
        <w:softHyphen/>
        <w:t>sporně dosti sil, aby jí vnutila také svou koncepci středoevropskou. Německo mohutnělo. To nás musilo nutit k těsnější politice s Francií. Francii to však nutilo k těsnější politice s Anglií, jak jsme ukázali v minulé</w:t>
      </w:r>
      <w:r>
        <w:t xml:space="preserve"> kapitole. Příchod pana Chamberlaina k moci v Anglii přivedl nás do podobných rozpaků, jako kdysi protibritské kombinace pana Lavala. Znamenalo to přiklonění Anglie k Německu se zřejmou tendencí pro- tí-ruskou. Francie pana Bluma, hospodářsky pořádně roztř</w:t>
      </w:r>
      <w:r>
        <w:t>esená, spěchala, aby svůj přívěsný vozík zas při</w:t>
      </w:r>
      <w:r>
        <w:softHyphen/>
        <w:t xml:space="preserve">pnula </w:t>
      </w:r>
      <w:r>
        <w:rPr>
          <w:b/>
          <w:bCs/>
        </w:rPr>
        <w:t xml:space="preserve">k </w:t>
      </w:r>
      <w:r>
        <w:t xml:space="preserve">britskému autu. Naše zahraniční politika, </w:t>
      </w:r>
      <w:r>
        <w:rPr>
          <w:b/>
          <w:bCs/>
          <w:i/>
          <w:iCs/>
          <w:sz w:val="19"/>
          <w:szCs w:val="19"/>
        </w:rPr>
        <w:t>a6&amp;</w:t>
      </w:r>
    </w:p>
    <w:p w:rsidR="00500724" w:rsidRDefault="00F30FB8">
      <w:pPr>
        <w:pStyle w:val="Zkladntext20"/>
        <w:shd w:val="clear" w:color="auto" w:fill="auto"/>
        <w:spacing w:line="204" w:lineRule="auto"/>
        <w:ind w:firstLine="0"/>
      </w:pPr>
      <w:r>
        <w:t>která na tom britském autě seděla, už se ani ne</w:t>
      </w:r>
      <w:r>
        <w:softHyphen/>
        <w:t>pokoušela postavit opět jednou nohou také na fran</w:t>
      </w:r>
      <w:r>
        <w:softHyphen/>
        <w:t>couzský přívěsný vozík.</w:t>
      </w:r>
    </w:p>
    <w:p w:rsidR="00500724" w:rsidRDefault="00F30FB8">
      <w:pPr>
        <w:pStyle w:val="Zkladntext20"/>
        <w:shd w:val="clear" w:color="auto" w:fill="auto"/>
        <w:spacing w:line="204" w:lineRule="auto"/>
      </w:pPr>
      <w:r>
        <w:t>A v té chvíli se od logiky dějů</w:t>
      </w:r>
      <w:r>
        <w:t xml:space="preserve"> přešlo k ptako- pravectví. Už se vidělo na situaci jen co se vidět chtělo, co bylo příjemné. V tom směru naše státní plány měly mnoho společného s posledním německým císařem.</w:t>
      </w:r>
    </w:p>
    <w:p w:rsidR="00500724" w:rsidRDefault="00F30FB8">
      <w:pPr>
        <w:pStyle w:val="Zkladntext20"/>
        <w:shd w:val="clear" w:color="auto" w:fill="auto"/>
        <w:spacing w:line="202" w:lineRule="auto"/>
      </w:pPr>
      <w:r>
        <w:t xml:space="preserve">Začali jsme se utěšovat, že </w:t>
      </w:r>
      <w:r>
        <w:rPr>
          <w:lang w:val="en-US" w:eastAsia="en-US" w:bidi="en-US"/>
        </w:rPr>
        <w:t xml:space="preserve">pan Chamberlain </w:t>
      </w:r>
      <w:r>
        <w:t>není celá Anglie a že »britské veřej</w:t>
      </w:r>
      <w:r>
        <w:t>né mínění« je fanaticky demokratické a proto prý také nenechá padnout baštu demokracie, kterou tvořila prvá republika ve střední Evropě. Současně jsme začali cloumat a potřásat pro</w:t>
      </w:r>
      <w:r>
        <w:softHyphen/>
        <w:t>vazem vojenské spojenecké smlouvy s Francií, ač jsme zcela dobře věděli, že</w:t>
      </w:r>
      <w:r>
        <w:t xml:space="preserve"> Francie nemůže už Anglii dikto</w:t>
      </w:r>
      <w:r>
        <w:softHyphen/>
        <w:t>vat. Mohla se ještě od Anglie odtrhnout a začat no</w:t>
      </w:r>
      <w:r>
        <w:softHyphen/>
        <w:t xml:space="preserve">vou protiněmeckou politiku na vlastní pěst. Litovali jsme, proč pan Blum nepřišel k moci v době, kdy tam byl </w:t>
      </w:r>
      <w:r>
        <w:rPr>
          <w:lang w:val="en-US" w:eastAsia="en-US" w:bidi="en-US"/>
        </w:rPr>
        <w:t xml:space="preserve">pan Laval </w:t>
      </w:r>
      <w:r>
        <w:t xml:space="preserve">a proč </w:t>
      </w:r>
      <w:r>
        <w:rPr>
          <w:lang w:val="en-US" w:eastAsia="en-US" w:bidi="en-US"/>
        </w:rPr>
        <w:t xml:space="preserve">pan Laval </w:t>
      </w:r>
      <w:r>
        <w:t>nebyl ve Francii, když v Anglii přiše</w:t>
      </w:r>
      <w:r>
        <w:t xml:space="preserve">l k moci </w:t>
      </w:r>
      <w:r>
        <w:rPr>
          <w:lang w:val="en-US" w:eastAsia="en-US" w:bidi="en-US"/>
        </w:rPr>
        <w:t>pan Chamberlain.</w:t>
      </w:r>
    </w:p>
    <w:p w:rsidR="00500724" w:rsidRDefault="00F30FB8">
      <w:pPr>
        <w:pStyle w:val="Zkladntext20"/>
        <w:shd w:val="clear" w:color="auto" w:fill="auto"/>
        <w:spacing w:line="216" w:lineRule="auto"/>
      </w:pPr>
      <w:r>
        <w:t>Státník si může mnohé přát, ale umělcem je jen, uhájí-li svou linii za těžkých okolností. Pro nás podobný případ nastal r. 1938. K ovládnutí situace nestačil tu stále zdůrazňovaný »optimismus«. Současně bylo třeba kočičí obratnost</w:t>
      </w:r>
      <w:r>
        <w:t>i a tvrdosti, aby se po tomto náhlém pozbytí rovnováhy na hře</w:t>
      </w:r>
      <w:r>
        <w:softHyphen/>
        <w:t>benu evropské střechy, u nás dopadlo opět na všechny čtyři.</w:t>
      </w:r>
    </w:p>
    <w:p w:rsidR="00500724" w:rsidRDefault="00F30FB8">
      <w:pPr>
        <w:pStyle w:val="Zkladntext20"/>
        <w:shd w:val="clear" w:color="auto" w:fill="auto"/>
        <w:spacing w:line="216" w:lineRule="auto"/>
      </w:pPr>
      <w:r>
        <w:t xml:space="preserve">V roce 1938 volali jsme na pomoc všechny dobré demokraty celého světa, jako husité před více než 500 lety dovolávali se všech dobrých </w:t>
      </w:r>
      <w:r>
        <w:t>křesťanů. Za</w:t>
      </w:r>
      <w:r>
        <w:softHyphen/>
        <w:t>pomínali jsme, že na Západě »demokratičnost« nebyla už dávno politickou silou. Představovala jen indivi</w:t>
      </w:r>
      <w:r>
        <w:softHyphen/>
        <w:t>duální politickou ctnost a podivínství, byla-li příliš tupě zdůrazňována. »Demokratičnost« se na Západě politicky uplatňovala, bylo-li třeb</w:t>
      </w:r>
      <w:r>
        <w:t>a mobilisovat davy pro nějakou skrytou neplechu. V podobných přípa</w:t>
      </w:r>
      <w:r>
        <w:softHyphen/>
        <w:t>dech ve středověku se oháněli »zájmem božím«.</w:t>
      </w:r>
    </w:p>
    <w:p w:rsidR="00500724" w:rsidRDefault="00F30FB8">
      <w:pPr>
        <w:pStyle w:val="Zkladntext20"/>
        <w:shd w:val="clear" w:color="auto" w:fill="auto"/>
        <w:spacing w:line="216" w:lineRule="auto"/>
      </w:pPr>
      <w:r>
        <w:t>Politika československá poslušně přikrčená na brit</w:t>
      </w:r>
      <w:r>
        <w:softHyphen/>
        <w:t>ském autu začala hrozně povykovat, když zpozoro</w:t>
      </w:r>
      <w:r>
        <w:softHyphen/>
        <w:t>vala u cesty tabulku se špičkou na Berlín. Z</w:t>
      </w:r>
      <w:r>
        <w:t>apřísahala šoféra posvátností demokracie, která v Berlíně dojde zneuctění, volala do francouzského přívěsného vozíku, že platí »věrnost za věrnost« a že se spojeneckými povinnostmi Francie se u nás počítá, ať už Anglie svým autem rejduje jak chce.</w:t>
      </w:r>
    </w:p>
    <w:p w:rsidR="00500724" w:rsidRDefault="00F30FB8">
      <w:pPr>
        <w:pStyle w:val="Zkladntext20"/>
        <w:shd w:val="clear" w:color="auto" w:fill="auto"/>
        <w:spacing w:line="211" w:lineRule="auto"/>
      </w:pPr>
      <w:r>
        <w:t xml:space="preserve">Britský šofér měl toho československého pokřiku plné uši, ale mnoho nedbal. Věděl dobře, že v každém Angličanu zájem státucválá daleko před zájmy demokracie. Dovedl-li se kardinál </w:t>
      </w:r>
      <w:r>
        <w:rPr>
          <w:lang w:val="en-US" w:eastAsia="en-US" w:bidi="en-US"/>
        </w:rPr>
        <w:t xml:space="preserve">Richelieu </w:t>
      </w:r>
      <w:r>
        <w:t xml:space="preserve">dohovořit s protestanty a Turky proti katolickým Habsburkům, proč </w:t>
      </w:r>
      <w:r>
        <w:t>by se Anglie mu</w:t>
      </w:r>
      <w:r>
        <w:softHyphen/>
        <w:t>sila stydět za spolupráci s italským fašismem a němec</w:t>
      </w:r>
      <w:r>
        <w:softHyphen/>
        <w:t>kým nacismem? Spoluprací s Ruskem jsme mnoho mávat nesměli, poněvadž britský šofér měl v kapse naše ujištění, že v této věci jsme slíbili poslušnost Anglii.</w:t>
      </w:r>
    </w:p>
    <w:p w:rsidR="00500724" w:rsidRDefault="00F30FB8">
      <w:pPr>
        <w:pStyle w:val="Zkladntext20"/>
        <w:shd w:val="clear" w:color="auto" w:fill="auto"/>
        <w:spacing w:after="60" w:line="223" w:lineRule="auto"/>
        <w:ind w:firstLine="0"/>
        <w:jc w:val="center"/>
      </w:pPr>
      <w:r>
        <w:rPr>
          <w:b/>
          <w:bCs/>
        </w:rPr>
        <w:t>Angličan naším ministrem</w:t>
      </w:r>
      <w:r>
        <w:rPr>
          <w:b/>
          <w:bCs/>
        </w:rPr>
        <w:br/>
        <w:t>zahr</w:t>
      </w:r>
      <w:r>
        <w:rPr>
          <w:b/>
          <w:bCs/>
        </w:rPr>
        <w:t>aničních věcí</w:t>
      </w:r>
    </w:p>
    <w:p w:rsidR="00500724" w:rsidRDefault="00F30FB8">
      <w:pPr>
        <w:pStyle w:val="Zkladntext20"/>
        <w:shd w:val="clear" w:color="auto" w:fill="auto"/>
        <w:spacing w:line="206" w:lineRule="auto"/>
        <w:sectPr w:rsidR="00500724">
          <w:footnotePr>
            <w:numFmt w:val="chicago"/>
            <w:numRestart w:val="eachPage"/>
          </w:footnotePr>
          <w:pgSz w:w="11909" w:h="16834"/>
          <w:pgMar w:top="1581" w:right="934" w:bottom="571" w:left="587" w:header="0" w:footer="3" w:gutter="0"/>
          <w:cols w:num="2" w:space="100"/>
          <w:noEndnote/>
          <w:docGrid w:linePitch="360"/>
        </w:sectPr>
      </w:pPr>
      <w:r>
        <w:t>Zahraniční politika to není stavebnice z barevných kamínků, to je strategický prostředek bezpečnosti státu. Prorok, který slouží my-</w:t>
      </w:r>
    </w:p>
    <w:p w:rsidR="00500724" w:rsidRDefault="00500724">
      <w:pPr>
        <w:spacing w:before="22" w:after="22" w:line="240" w:lineRule="exact"/>
        <w:rPr>
          <w:sz w:val="19"/>
          <w:szCs w:val="19"/>
        </w:rPr>
      </w:pPr>
    </w:p>
    <w:p w:rsidR="00500724" w:rsidRDefault="00500724">
      <w:pPr>
        <w:spacing w:line="14" w:lineRule="exact"/>
        <w:sectPr w:rsidR="00500724">
          <w:footnotePr>
            <w:numFmt w:val="chicago"/>
            <w:numRestart w:val="eachPage"/>
          </w:footnotePr>
          <w:pgSz w:w="11909" w:h="16834"/>
          <w:pgMar w:top="1693" w:right="0" w:bottom="831" w:left="0" w:header="0" w:footer="3" w:gutter="0"/>
          <w:cols w:space="720"/>
          <w:noEndnote/>
          <w:docGrid w:linePitch="360"/>
        </w:sectPr>
      </w:pPr>
    </w:p>
    <w:p w:rsidR="00500724" w:rsidRDefault="00F30FB8">
      <w:pPr>
        <w:pStyle w:val="Zkladntext20"/>
        <w:shd w:val="clear" w:color="auto" w:fill="auto"/>
        <w:spacing w:line="202" w:lineRule="auto"/>
        <w:ind w:firstLine="0"/>
      </w:pPr>
      <w:r>
        <w:t>šlence, může se v lidech zklamat. Státník, který slou</w:t>
      </w:r>
      <w:r>
        <w:t>ží státu, nesmí se však děj co děj nechat napálit. Když po prvé po válce světové v evropské politice šlo r. 1938 do tuhého, jediný, kdo z toho vyšel se strašným zmrzačením, byla právě naše Prvá republi</w:t>
      </w:r>
      <w:r>
        <w:softHyphen/>
        <w:t>ka; hospodářsky nejzdravější a nejbohatší malý stát st</w:t>
      </w:r>
      <w:r>
        <w:t>ředoevropský.</w:t>
      </w:r>
    </w:p>
    <w:p w:rsidR="00500724" w:rsidRDefault="00F30FB8">
      <w:pPr>
        <w:pStyle w:val="Zkladntext20"/>
        <w:shd w:val="clear" w:color="auto" w:fill="auto"/>
        <w:spacing w:line="202" w:lineRule="auto"/>
      </w:pPr>
      <w:r>
        <w:t>Poslední dva měsíce před zánikem Prvé republiky nebylo aktivní československé za</w:t>
      </w:r>
      <w:r>
        <w:softHyphen/>
        <w:t>hraniční politiky. Aby z britského vozu ne- vyskočila, Anglie posadila k ní pana Runcimana, kte</w:t>
      </w:r>
      <w:r>
        <w:softHyphen/>
        <w:t>rý ji konejšil a držel za obě ruce. I to jsme jako su</w:t>
      </w:r>
      <w:r>
        <w:softHyphen/>
        <w:t>verénní stá</w:t>
      </w:r>
      <w:r>
        <w:t>t polkli bez ušklíbnutí.</w:t>
      </w:r>
    </w:p>
    <w:p w:rsidR="00500724" w:rsidRDefault="00F30FB8">
      <w:pPr>
        <w:pStyle w:val="Zkladntext20"/>
        <w:shd w:val="clear" w:color="auto" w:fill="auto"/>
        <w:spacing w:after="80" w:line="202" w:lineRule="auto"/>
      </w:pPr>
      <w:r>
        <w:t xml:space="preserve">V půli května 1938 po hostině, kterou uspořádala lady Astorová pro americké žurnalisty a pro pana Chamberlaina, »New York Times napsaly: »Mr. </w:t>
      </w:r>
      <w:r>
        <w:rPr>
          <w:lang w:val="en-US" w:eastAsia="en-US" w:bidi="en-US"/>
        </w:rPr>
        <w:t xml:space="preserve">Chamberlain </w:t>
      </w:r>
      <w:r>
        <w:t>dnes zřejmě se kloní k drastickému opatření — totiž k oddělení německých kraj</w:t>
      </w:r>
      <w:r>
        <w:t>ů od Čes</w:t>
      </w:r>
      <w:r>
        <w:softHyphen/>
        <w:t>koslovenské republiky a k jejich připojení k Němec</w:t>
      </w:r>
      <w:r>
        <w:softHyphen/>
        <w:t>ku.« V zdejším ministerstvu zahraničí bylo z toho tehdy veliké zděšení. Nemohli si nejprve v hlavě srovnat tuto »zradu na demokracik. Plán tedy už v k v ě t n u znali dobře, ale přes to svěřili An</w:t>
      </w:r>
      <w:r>
        <w:t xml:space="preserve">glii řízení naší zahraniční politiky. Koncem července napsal </w:t>
      </w:r>
      <w:r>
        <w:rPr>
          <w:lang w:val="en-US" w:eastAsia="en-US" w:bidi="en-US"/>
        </w:rPr>
        <w:t xml:space="preserve">Sidney Morrell, </w:t>
      </w:r>
      <w:r>
        <w:t>takto Angličan: »... a to je nejdůleži</w:t>
      </w:r>
      <w:r>
        <w:softHyphen/>
        <w:t>tější stránka Runcimanovy mise — kontrolačes- koslovenské politiky konečně vypadla z Benešových rukou.« Kormidla se ujal cizí cestující. Pos</w:t>
      </w:r>
      <w:r>
        <w:t>lední dva měsíce života Prvé republiky hlavou československého státu a ministrem jeho za</w:t>
      </w:r>
      <w:r>
        <w:softHyphen/>
        <w:t>hraničních věcí byl lord Runciman, britský plno- mocník.</w:t>
      </w:r>
    </w:p>
    <w:p w:rsidR="00500724" w:rsidRDefault="00F30FB8">
      <w:pPr>
        <w:pStyle w:val="Zkladntext20"/>
        <w:shd w:val="clear" w:color="auto" w:fill="auto"/>
        <w:spacing w:after="60" w:line="202" w:lineRule="auto"/>
        <w:ind w:firstLine="0"/>
        <w:jc w:val="center"/>
      </w:pPr>
      <w:r>
        <w:t>»Jsme svědky zániku Západu!«</w:t>
      </w:r>
    </w:p>
    <w:p w:rsidR="00500724" w:rsidRDefault="00F30FB8">
      <w:pPr>
        <w:pStyle w:val="Zkladntext20"/>
        <w:shd w:val="clear" w:color="auto" w:fill="auto"/>
        <w:spacing w:line="202" w:lineRule="auto"/>
      </w:pPr>
      <w:r>
        <w:t>»Netušili jsme, že Západ je tak morálně rozložen.«</w:t>
      </w:r>
    </w:p>
    <w:p w:rsidR="00500724" w:rsidRDefault="00F30FB8">
      <w:pPr>
        <w:pStyle w:val="Zkladntext20"/>
        <w:shd w:val="clear" w:color="auto" w:fill="auto"/>
        <w:spacing w:line="202" w:lineRule="auto"/>
      </w:pPr>
      <w:r>
        <w:t>»Jsme svědky zániku Západu,« b</w:t>
      </w:r>
      <w:r>
        <w:t>ylo zjištění situace ve chvíli, kdy se rozkýval náš demokratický stát.</w:t>
      </w:r>
    </w:p>
    <w:p w:rsidR="00500724" w:rsidRDefault="00F30FB8">
      <w:pPr>
        <w:pStyle w:val="Zkladntext20"/>
        <w:shd w:val="clear" w:color="auto" w:fill="auto"/>
        <w:spacing w:line="202" w:lineRule="auto"/>
      </w:pPr>
      <w:r>
        <w:t>Politika se posuzuje podle provedení a ne podle pečlivosti plánů. V rozhodné chvíli selhala tu politika vnitřní stejně jako politika zahraniční. Thukydides, je tomu dávno, upozorňoval ř</w:t>
      </w:r>
      <w:r>
        <w:t>ecké občany, že »silou města nejsou lodi ani zdi, nýbrž muži«. V Českosloven</w:t>
      </w:r>
      <w:r>
        <w:softHyphen/>
        <w:t>sku pořídili jsme si »lodi i zdi«, ale vedoucí muži chyběli. Byl tu nadbytek tvorů velmi inteligentních, vzdělaných, pracovitých, jako mravenci, zvídavých, ale bez schopnosti zjed</w:t>
      </w:r>
      <w:r>
        <w:t>nodušovat, spořit sí</w:t>
      </w:r>
      <w:r>
        <w:softHyphen/>
        <w:t>ly a předvídat, která prozrazuje veliké duchy a vůdce.</w:t>
      </w:r>
    </w:p>
    <w:p w:rsidR="00500724" w:rsidRDefault="00F30FB8">
      <w:pPr>
        <w:pStyle w:val="Zkladntext20"/>
        <w:shd w:val="clear" w:color="auto" w:fill="auto"/>
      </w:pPr>
      <w:r>
        <w:t xml:space="preserve">Za Fausty často následují Wagneři bez boží jiskry </w:t>
      </w:r>
      <w:r>
        <w:rPr>
          <w:b/>
          <w:bCs/>
          <w:sz w:val="26"/>
          <w:szCs w:val="26"/>
        </w:rPr>
        <w:t xml:space="preserve">a </w:t>
      </w:r>
      <w:r>
        <w:t>bez citu pro směr proudů doby. Za bedlivě pilného vedení Wagnerů stavějí se obyčejně dokonalé šachty do hloubek, kde chybí rudy,</w:t>
      </w:r>
      <w:r>
        <w:t xml:space="preserve"> roubují se s puntičkář</w:t>
      </w:r>
      <w:r>
        <w:softHyphen/>
        <w:t>skou přesností štěpy, na kterých se nikdy neusměje žádný plod. Na pižlavé Wagnery »vědecké« politiky platí ze »Vzpoury davů« od José Ortegy y Gasseta: »Pokrokářský liberalismus, stejně jako Marxův so</w:t>
      </w:r>
      <w:r>
        <w:softHyphen/>
        <w:t xml:space="preserve">cialismus předpokládají, že to, </w:t>
      </w:r>
      <w:r>
        <w:t>po čem touží jakožto po lepší budoucnosti, uskuteční se ne</w:t>
      </w:r>
      <w:r>
        <w:softHyphen/>
        <w:t>úprosně a nutně, jako astronomické zákony. Chráněny touto představou před vlastním svědomím, obě tyto nauky upustily kormidlo dějin, přestaly stát na stráži a ztratily čilost a působi</w:t>
      </w:r>
      <w:r>
        <w:softHyphen/>
        <w:t>vost. Život j</w:t>
      </w:r>
      <w:r>
        <w:t>im tak unikl z rukou. Naprosto se vymanil z poslušnosti. A dnes běží po svém cestou necestou.«</w:t>
      </w:r>
    </w:p>
    <w:p w:rsidR="00500724" w:rsidRDefault="00F30FB8">
      <w:pPr>
        <w:pStyle w:val="Zkladntext20"/>
        <w:shd w:val="clear" w:color="auto" w:fill="auto"/>
        <w:spacing w:line="202" w:lineRule="auto"/>
      </w:pPr>
      <w:r>
        <w:t>Když Masaryk za světové války spoléhal více na Západ než na Rusko, mělo to své dobré příčiny. Vý</w:t>
      </w:r>
      <w:r>
        <w:softHyphen/>
        <w:t>chod, k němuž patřily Rusko, Rakousko a Turecko, se rozložil, ať</w:t>
      </w:r>
      <w:r>
        <w:t xml:space="preserve"> byl v tom či onom táboře. Podlehl útoku nových idejí, jako jsou »demokracie« a »socialismus«, s právem malého člověka na práci. Ale idea »demo- kracie« a její řád na Západě, který plnil Masaryka údivem před 60 lety, přišla do východní a střední Evropy po </w:t>
      </w:r>
      <w:r>
        <w:t>válce světové už velmi přistárlá a požitkář- sky zpohodlnělá. Přivázána zády k peněžnímu kapita</w:t>
      </w:r>
      <w:r>
        <w:softHyphen/>
        <w:t>lismu velikých bank a trustů, brzdila západní »demo- kracie« opatrně, ale důsledně pravý sociální pokrok. Co byly platný sociální instituce, jako starobní po</w:t>
      </w:r>
      <w:r>
        <w:softHyphen/>
        <w:t>ji</w:t>
      </w:r>
      <w:r>
        <w:t>štění, když dělník neměl při tom jistotu práce a tím také na příspěvky? Ještě dnes, kdy kola zbro</w:t>
      </w:r>
      <w:r>
        <w:softHyphen/>
        <w:t>jení jsou roztočena do nejvyšších obrátek, kdy mírové armády Západu nejméně o sto procent vzrostly, není tam potřena nezaměstnanost. Prosperitu vyvolanou zbro</w:t>
      </w:r>
      <w:r>
        <w:t>jením v »demokraciích« nerad kdo po</w:t>
      </w:r>
      <w:r>
        <w:softHyphen/>
        <w:t>odhrnuje. Viděl by, že ta bohatá práce je všechna pro stát jako zákazníka a že tento stát ob</w:t>
      </w:r>
      <w:r>
        <w:softHyphen/>
        <w:t>jednávky kryje půjčkami, jež uvazuje na krk příštím pokolením. Zastaví-li se jednou zbrojení,; tedy v prvé řadě se začnou hrout</w:t>
      </w:r>
      <w:r>
        <w:t>it státy »plutokratic- kých demokracik, kde ihned stoupnou počty neza</w:t>
      </w:r>
      <w:r>
        <w:softHyphen/>
        <w:t>městnaných, pro něž se nebude moci nic udělat, po</w:t>
      </w:r>
      <w:r>
        <w:softHyphen/>
        <w:t>něvadž místo nákladů na zbrojení ve státních roz</w:t>
      </w:r>
      <w:r>
        <w:softHyphen/>
        <w:t>počtech nastoupí náklady na úhradu ohromných státních dluhů.</w:t>
      </w:r>
    </w:p>
    <w:p w:rsidR="00500724" w:rsidRDefault="00F30FB8">
      <w:pPr>
        <w:pStyle w:val="Zkladntext20"/>
        <w:shd w:val="clear" w:color="auto" w:fill="auto"/>
        <w:spacing w:line="204" w:lineRule="auto"/>
      </w:pPr>
      <w:r>
        <w:t xml:space="preserve">Ve starém liberalistickém </w:t>
      </w:r>
      <w:r>
        <w:t>hospodářství, jehož ko- řistnictví se krčilo za vývěskou »demokratických práv«, soukolí už dávno skřípe. Co bylo před šede</w:t>
      </w:r>
      <w:r>
        <w:softHyphen/>
        <w:t>sáti lety, dávno už není. Západ, když vstoupil do války roku 1914, prošel už kulminačním bodem svých mo</w:t>
      </w:r>
      <w:r>
        <w:softHyphen/>
        <w:t xml:space="preserve">rálních a hospodářských sil. </w:t>
      </w:r>
      <w:r>
        <w:t>Měl při tom převahu nad Východem, který ve svém feudalismu a politické zkor- natělosti byl celkem protivníkem ne právě vážným.</w:t>
      </w:r>
    </w:p>
    <w:p w:rsidR="00500724" w:rsidRDefault="00F30FB8">
      <w:pPr>
        <w:pStyle w:val="Zkladntext20"/>
        <w:shd w:val="clear" w:color="auto" w:fill="auto"/>
        <w:spacing w:after="120" w:line="204" w:lineRule="auto"/>
      </w:pPr>
      <w:r>
        <w:t>Po válce světové úlohy se vyměnily. Západ začal kornatět, zatím co od Rýna na východ začalo se pra</w:t>
      </w:r>
      <w:r>
        <w:softHyphen/>
        <w:t>covat na novém řádu společnost</w:t>
      </w:r>
      <w:r>
        <w:t>i, která žije ve zcela jiných podmínkách, než jaké platily před šede</w:t>
      </w:r>
      <w:r>
        <w:softHyphen/>
        <w:t xml:space="preserve">sáti lety, kdy nebylo elektřiny, motorů a vyspělých pracujících mas. Světová válka stavební proces v nové společnosti urychlila o celou generaci přísnou </w:t>
      </w:r>
      <w:r>
        <w:rPr>
          <w:lang w:val="en-US" w:eastAsia="en-US" w:bidi="en-US"/>
        </w:rPr>
        <w:t>organi</w:t>
      </w:r>
      <w:r>
        <w:rPr>
          <w:lang w:val="en-US" w:eastAsia="en-US" w:bidi="en-US"/>
        </w:rPr>
        <w:softHyphen/>
        <w:t xml:space="preserve">saci </w:t>
      </w:r>
      <w:r>
        <w:t>národního hospodářství</w:t>
      </w:r>
      <w:r>
        <w:t xml:space="preserve"> podle potřeb státu místo podle plánů zisků.</w:t>
      </w:r>
    </w:p>
    <w:p w:rsidR="00500724" w:rsidRDefault="00F30FB8">
      <w:pPr>
        <w:pStyle w:val="Jin0"/>
        <w:shd w:val="clear" w:color="auto" w:fill="auto"/>
        <w:spacing w:after="200"/>
        <w:ind w:firstLine="0"/>
        <w:jc w:val="left"/>
        <w:rPr>
          <w:sz w:val="36"/>
          <w:szCs w:val="36"/>
        </w:rPr>
      </w:pPr>
      <w:r>
        <w:rPr>
          <w:sz w:val="36"/>
          <w:szCs w:val="36"/>
          <w:u w:val="single"/>
        </w:rPr>
        <w:t>literatura a osnění</w:t>
      </w:r>
    </w:p>
    <w:p w:rsidR="00500724" w:rsidRDefault="00F30FB8">
      <w:pPr>
        <w:pStyle w:val="Zkladntext20"/>
        <w:shd w:val="clear" w:color="auto" w:fill="auto"/>
        <w:spacing w:line="223" w:lineRule="auto"/>
        <w:ind w:firstLine="0"/>
        <w:rPr>
          <w:sz w:val="20"/>
          <w:szCs w:val="20"/>
        </w:rPr>
      </w:pPr>
      <w:r>
        <w:rPr>
          <w:i/>
          <w:iCs/>
          <w:sz w:val="20"/>
          <w:szCs w:val="20"/>
        </w:rPr>
        <w:t>Josef P etri y l:</w:t>
      </w:r>
    </w:p>
    <w:p w:rsidR="00500724" w:rsidRDefault="00F30FB8">
      <w:pPr>
        <w:pStyle w:val="Nadpis100"/>
        <w:shd w:val="clear" w:color="auto" w:fill="auto"/>
        <w:spacing w:after="80" w:line="221" w:lineRule="auto"/>
      </w:pPr>
      <w:bookmarkStart w:id="598" w:name="bookmark597"/>
      <w:r>
        <w:rPr>
          <w:i/>
          <w:iCs/>
        </w:rPr>
        <w:t>O</w:t>
      </w:r>
      <w:r>
        <w:t xml:space="preserve"> životnosti dialogů</w:t>
      </w:r>
      <w:bookmarkEnd w:id="598"/>
    </w:p>
    <w:p w:rsidR="00500724" w:rsidRDefault="00F30FB8">
      <w:pPr>
        <w:pStyle w:val="Zkladntext20"/>
        <w:shd w:val="clear" w:color="auto" w:fill="auto"/>
        <w:spacing w:line="206" w:lineRule="auto"/>
      </w:pPr>
      <w:r>
        <w:t>Podle starobylých definic, přešlých také do Malé slovesnosti, rozhovor (dialog) vzniká, rozmlou- vají-li spolu alespoň dvě osoby, »navzájem se pořáda</w:t>
      </w:r>
      <w:r>
        <w:softHyphen/>
        <w:t>jí</w:t>
      </w:r>
      <w:r>
        <w:t>ce a doplňujíce«. Pro svou živost — praví se dále — jasnost, zajímavost a tím, že budí mocně ilusi, zaslu</w:t>
      </w:r>
      <w:r>
        <w:softHyphen/>
        <w:t>huje dialog přednost před popisem, líčením a vypra</w:t>
      </w:r>
      <w:r>
        <w:softHyphen/>
        <w:t>vováním. Proto, praví Hanuš, nabyla tato forma, pů</w:t>
      </w:r>
      <w:r>
        <w:softHyphen/>
        <w:t>vodně ústní a obyčejná, zvláštního významu v lit</w:t>
      </w:r>
      <w:r>
        <w:t>era</w:t>
      </w:r>
      <w:r>
        <w:softHyphen/>
        <w:t>tuře básnické, řečnické a vědecké.</w:t>
      </w:r>
    </w:p>
    <w:p w:rsidR="00500724" w:rsidRDefault="00F30FB8">
      <w:pPr>
        <w:pStyle w:val="Zkladntext20"/>
        <w:shd w:val="clear" w:color="auto" w:fill="auto"/>
        <w:spacing w:line="206" w:lineRule="auto"/>
      </w:pPr>
      <w:r>
        <w:t>Dialog třídí se od pradávna na vědecký (sokra- tický, platónský) a básnický, jehož vrcholem je dialog dramatický, na jehož počátku jsou Lukianovy humoristicko-satirické dialogy.</w:t>
      </w:r>
    </w:p>
    <w:p w:rsidR="00500724" w:rsidRDefault="00F30FB8">
      <w:pPr>
        <w:pStyle w:val="Zkladntext20"/>
        <w:shd w:val="clear" w:color="auto" w:fill="auto"/>
        <w:spacing w:line="206" w:lineRule="auto"/>
        <w:sectPr w:rsidR="00500724">
          <w:footnotePr>
            <w:numFmt w:val="chicago"/>
            <w:numRestart w:val="eachPage"/>
          </w:footnotePr>
          <w:type w:val="continuous"/>
          <w:pgSz w:w="11909" w:h="16834"/>
          <w:pgMar w:top="1693" w:right="1059" w:bottom="831" w:left="478" w:header="0" w:footer="3" w:gutter="0"/>
          <w:cols w:num="2" w:space="110"/>
          <w:noEndnote/>
          <w:docGrid w:linePitch="360"/>
        </w:sectPr>
      </w:pPr>
      <w:r>
        <w:t>A tak ted</w:t>
      </w:r>
      <w:r>
        <w:t xml:space="preserve">y od Sokrata, Platona </w:t>
      </w:r>
      <w:r>
        <w:rPr>
          <w:b/>
          <w:bCs/>
        </w:rPr>
        <w:t xml:space="preserve">k </w:t>
      </w:r>
      <w:r>
        <w:t>Ciceronovi, Taci- tovi, přes scholastické disputace XPodkoní a žák, Svár</w:t>
      </w:r>
    </w:p>
    <w:p w:rsidR="00500724" w:rsidRDefault="00500724">
      <w:pPr>
        <w:spacing w:line="87" w:lineRule="exact"/>
        <w:rPr>
          <w:sz w:val="7"/>
          <w:szCs w:val="7"/>
        </w:rPr>
      </w:pPr>
    </w:p>
    <w:p w:rsidR="00500724" w:rsidRDefault="00500724">
      <w:pPr>
        <w:spacing w:line="14" w:lineRule="exact"/>
        <w:sectPr w:rsidR="00500724">
          <w:footnotePr>
            <w:numFmt w:val="chicago"/>
            <w:numRestart w:val="eachPage"/>
          </w:footnotePr>
          <w:pgSz w:w="11909" w:h="16834"/>
          <w:pgMar w:top="1621" w:right="0" w:bottom="471" w:left="0" w:header="0" w:footer="3" w:gutter="0"/>
          <w:cols w:space="720"/>
          <w:noEndnote/>
          <w:docGrid w:linePitch="360"/>
        </w:sectPr>
      </w:pPr>
    </w:p>
    <w:p w:rsidR="00500724" w:rsidRDefault="00F30FB8">
      <w:pPr>
        <w:spacing w:line="14" w:lineRule="exact"/>
      </w:pPr>
      <w:r>
        <w:rPr>
          <w:noProof/>
        </w:rPr>
        <mc:AlternateContent>
          <mc:Choice Requires="wps">
            <w:drawing>
              <wp:anchor distT="38100" distB="254000" distL="114300" distR="114300" simplePos="0" relativeHeight="125829988" behindDoc="0" locked="0" layoutInCell="1" allowOverlap="1">
                <wp:simplePos x="0" y="0"/>
                <wp:positionH relativeFrom="page">
                  <wp:posOffset>436245</wp:posOffset>
                </wp:positionH>
                <wp:positionV relativeFrom="paragraph">
                  <wp:posOffset>9079865</wp:posOffset>
                </wp:positionV>
                <wp:extent cx="240665" cy="155575"/>
                <wp:effectExtent l="0" t="0" r="0" b="0"/>
                <wp:wrapTopAndBottom/>
                <wp:docPr id="611" name="Shape 611"/>
                <wp:cNvGraphicFramePr/>
                <a:graphic xmlns:a="http://schemas.openxmlformats.org/drawingml/2006/main">
                  <a:graphicData uri="http://schemas.microsoft.com/office/word/2010/wordprocessingShape">
                    <wps:wsp>
                      <wps:cNvSpPr txBox="1"/>
                      <wps:spPr>
                        <a:xfrm>
                          <a:off x="0" y="0"/>
                          <a:ext cx="240665" cy="155575"/>
                        </a:xfrm>
                        <a:prstGeom prst="rect">
                          <a:avLst/>
                        </a:prstGeom>
                        <a:noFill/>
                      </wps:spPr>
                      <wps:txbx>
                        <w:txbxContent>
                          <w:p w:rsidR="00500724" w:rsidRDefault="00F30FB8">
                            <w:pPr>
                              <w:pStyle w:val="Zkladntext50"/>
                              <w:shd w:val="clear" w:color="auto" w:fill="auto"/>
                              <w:spacing w:after="0" w:line="240" w:lineRule="auto"/>
                              <w:ind w:left="0"/>
                              <w:jc w:val="left"/>
                              <w:rPr>
                                <w:sz w:val="18"/>
                                <w:szCs w:val="18"/>
                              </w:rPr>
                            </w:pPr>
                            <w:r>
                              <w:rPr>
                                <w:i/>
                                <w:iCs/>
                                <w:sz w:val="18"/>
                                <w:szCs w:val="18"/>
                              </w:rPr>
                              <w:t>STO</w:t>
                            </w:r>
                          </w:p>
                        </w:txbxContent>
                      </wps:txbx>
                      <wps:bodyPr lIns="0" tIns="0" rIns="0" bIns="0">
                        <a:spAutoFit/>
                      </wps:bodyPr>
                    </wps:wsp>
                  </a:graphicData>
                </a:graphic>
              </wp:anchor>
            </w:drawing>
          </mc:Choice>
          <mc:Fallback>
            <w:pict>
              <v:shape id="_x0000_s1637" type="#_x0000_t202" style="position:absolute;margin-left:34.350000000000001pt;margin-top:714.95000000000005pt;width:18.949999999999999pt;height:12.25pt;z-index:-125828765;mso-wrap-distance-left:9.pt;mso-wrap-distance-top:3.pt;mso-wrap-distance-right:9.pt;mso-wrap-distance-bottom:20.pt;mso-position-horizontal-relative:page" filled="f" stroked="f">
                <v:textbox style="mso-fit-shape-to-text:t" inset="0,0,0,0">
                  <w:txbxContent>
                    <w:p>
                      <w:pPr>
                        <w:pStyle w:val="Style80"/>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shd w:val="clear" w:color="auto" w:fill="auto"/>
                          <w:lang w:val="cs-CZ" w:eastAsia="cs-CZ" w:bidi="cs-CZ"/>
                        </w:rPr>
                        <w:t>STO</w:t>
                      </w:r>
                    </w:p>
                  </w:txbxContent>
                </v:textbox>
                <w10:wrap type="topAndBottom" anchorx="page"/>
              </v:shape>
            </w:pict>
          </mc:Fallback>
        </mc:AlternateContent>
      </w:r>
    </w:p>
    <w:p w:rsidR="00500724" w:rsidRDefault="00F30FB8">
      <w:pPr>
        <w:pStyle w:val="Zkladntext20"/>
        <w:shd w:val="clear" w:color="auto" w:fill="auto"/>
        <w:spacing w:line="204" w:lineRule="auto"/>
        <w:ind w:firstLine="0"/>
      </w:pPr>
      <w:r>
        <w:t>vody s vínem, Spor duše s tělem), přes Tomáše Štít</w:t>
      </w:r>
      <w:r>
        <w:softHyphen/>
        <w:t xml:space="preserve">ného, Petrarku, Maechiavelliho, Malebranche, Féne- lóna, Voltaira, </w:t>
      </w:r>
      <w:r>
        <w:t>Taina, Jungmanna, Havlíčka, Kosinu (Hovory olympské) a mnoha jiných, máme za dvě tisíciletí hojnost jen a jen dialogických děl, na nichž se lze poučit ozvláštní povaze dialogů učených a dialogů uměleckých (básnických, literárních) — na rozdíl od dialogů ře</w:t>
      </w:r>
      <w:r>
        <w:t>či hovorové.</w:t>
      </w:r>
    </w:p>
    <w:p w:rsidR="00500724" w:rsidRDefault="00F30FB8">
      <w:pPr>
        <w:pStyle w:val="Zkladntext20"/>
        <w:shd w:val="clear" w:color="auto" w:fill="auto"/>
        <w:spacing w:line="204" w:lineRule="auto"/>
        <w:ind w:firstLine="260"/>
      </w:pPr>
      <w:r>
        <w:t>Pravíme-li o zvláštní povaze, chceme tím zdůraznit odlišnost řeči psané od řeči mluvené, svézákoni- tost psané řeči.</w:t>
      </w:r>
    </w:p>
    <w:p w:rsidR="00500724" w:rsidRDefault="00F30FB8">
      <w:pPr>
        <w:pStyle w:val="Zkladntext20"/>
        <w:shd w:val="clear" w:color="auto" w:fill="auto"/>
        <w:spacing w:line="204" w:lineRule="auto"/>
        <w:ind w:firstLine="260"/>
      </w:pPr>
      <w:r>
        <w:t>Pan Ferd. Peroutka (^Osobnost, chaos a zlozvyky*) volá po přirozenosti dialogů. Rozuměli bychom zřejmě špatně, kdybychom mu po</w:t>
      </w:r>
      <w:r>
        <w:t>dkládali úmysl, že chce prostě řeč (patos) literární, zaměnit řečí, jako přírodní skutečností. Voláme ovšem po přírodě vždy</w:t>
      </w:r>
      <w:r>
        <w:softHyphen/>
        <w:t>cky, když se od ní příliš daleko odchýlíme. To však neznamená záměnu. Příroda, všecko, co je přirozené, to jest s přírodou shodné, p</w:t>
      </w:r>
      <w:r>
        <w:t>řírodní, jé tu pomůckou srovnávací, korektivem — a ničím jiným. Mlu</w:t>
      </w:r>
      <w:r>
        <w:softHyphen/>
        <w:t>vit přírodně by jinak znamenalo vzdát se všeho bá</w:t>
      </w:r>
      <w:r>
        <w:softHyphen/>
        <w:t>snictví, všeho toho, co tvoří umělecké dílo, které je samostatnou duchovní skutečností vedle přírody, mi</w:t>
      </w:r>
      <w:r>
        <w:softHyphen/>
        <w:t>mo všechen konvenční přírodní sty</w:t>
      </w:r>
      <w:r>
        <w:t>k člověka s člově</w:t>
      </w:r>
      <w:r>
        <w:softHyphen/>
        <w:t>kem. Naopak, pusťme uzdu básnickým řečním umě</w:t>
      </w:r>
      <w:r>
        <w:softHyphen/>
        <w:t>lostem, dojdeme k chaotické nesrozumitelnosti.</w:t>
      </w:r>
    </w:p>
    <w:p w:rsidR="00500724" w:rsidRDefault="00F30FB8">
      <w:pPr>
        <w:pStyle w:val="Zkladntext20"/>
        <w:shd w:val="clear" w:color="auto" w:fill="auto"/>
        <w:spacing w:line="204" w:lineRule="auto"/>
        <w:ind w:firstLine="260"/>
      </w:pPr>
      <w:r>
        <w:t xml:space="preserve">»Psát, to jsou sváteční šaty, mluvit, to jsou všední šaty« — praví Gebauer. Že bude u psané řeči, tudíž také u psaných dialogů, tendence po svá- </w:t>
      </w:r>
      <w:r>
        <w:t>tečnosti přiváděna někdy ad absurdum, tomu se ne</w:t>
      </w:r>
      <w:r>
        <w:softHyphen/>
        <w:t>bude divit nikdo, kdo si je vědom podstatných rozdílů obou mluvních světů.</w:t>
      </w:r>
    </w:p>
    <w:p w:rsidR="00500724" w:rsidRDefault="00F30FB8">
      <w:pPr>
        <w:pStyle w:val="Zkladntext20"/>
        <w:shd w:val="clear" w:color="auto" w:fill="auto"/>
        <w:spacing w:line="204" w:lineRule="auto"/>
        <w:ind w:firstLine="260"/>
      </w:pPr>
      <w:r>
        <w:t>Uveďme příklad přírodní řeči, naturalistického dia</w:t>
      </w:r>
      <w:r>
        <w:softHyphen/>
        <w:t>logu. Josef Koudelák má v knize »Kladivem do hor* tuto rozmluvu:</w:t>
      </w:r>
    </w:p>
    <w:p w:rsidR="00500724" w:rsidRDefault="00F30FB8">
      <w:pPr>
        <w:pStyle w:val="Zkladntext20"/>
        <w:shd w:val="clear" w:color="auto" w:fill="auto"/>
        <w:spacing w:line="223" w:lineRule="auto"/>
        <w:ind w:firstLine="260"/>
        <w:rPr>
          <w:sz w:val="20"/>
          <w:szCs w:val="20"/>
        </w:rPr>
      </w:pPr>
      <w:r>
        <w:rPr>
          <w:sz w:val="20"/>
          <w:szCs w:val="20"/>
        </w:rPr>
        <w:t>»Neseš?« suše se</w:t>
      </w:r>
      <w:r>
        <w:rPr>
          <w:sz w:val="20"/>
          <w:szCs w:val="20"/>
        </w:rPr>
        <w:t xml:space="preserve"> zeptala a přilezla těsně k tělu.</w:t>
      </w:r>
    </w:p>
    <w:p w:rsidR="00500724" w:rsidRDefault="00F30FB8">
      <w:pPr>
        <w:pStyle w:val="Zkladntext20"/>
        <w:shd w:val="clear" w:color="auto" w:fill="auto"/>
        <w:spacing w:line="185" w:lineRule="auto"/>
        <w:ind w:left="240" w:firstLine="20"/>
        <w:jc w:val="left"/>
        <w:rPr>
          <w:sz w:val="20"/>
          <w:szCs w:val="20"/>
        </w:rPr>
      </w:pPr>
      <w:r>
        <w:rPr>
          <w:sz w:val="20"/>
          <w:szCs w:val="20"/>
        </w:rPr>
        <w:t>»Nie mi nedal!* odsekl Štoula. »Mám přijít ráno.« s&gt;No bať, ráno!« vyjela Štoulová. »Cikánět můžeš, koho</w:t>
      </w:r>
    </w:p>
    <w:p w:rsidR="00500724" w:rsidRDefault="00F30FB8">
      <w:pPr>
        <w:pStyle w:val="Zkladntext20"/>
        <w:shd w:val="clear" w:color="auto" w:fill="auto"/>
        <w:spacing w:line="185" w:lineRule="auto"/>
        <w:ind w:firstLine="0"/>
        <w:rPr>
          <w:sz w:val="20"/>
          <w:szCs w:val="20"/>
        </w:rPr>
      </w:pPr>
      <w:r>
        <w:rPr>
          <w:sz w:val="20"/>
          <w:szCs w:val="20"/>
        </w:rPr>
        <w:t>chceš! V chajdě není co žrát, děti chcípají hlady, a ty pro</w:t>
      </w:r>
      <w:r>
        <w:rPr>
          <w:sz w:val="20"/>
          <w:szCs w:val="20"/>
        </w:rPr>
        <w:softHyphen/>
        <w:t>žereš poslední!*</w:t>
      </w:r>
    </w:p>
    <w:p w:rsidR="00500724" w:rsidRDefault="00F30FB8">
      <w:pPr>
        <w:pStyle w:val="Zkladntext20"/>
        <w:shd w:val="clear" w:color="auto" w:fill="auto"/>
        <w:spacing w:line="175" w:lineRule="auto"/>
        <w:ind w:firstLine="260"/>
        <w:rPr>
          <w:sz w:val="20"/>
          <w:szCs w:val="20"/>
        </w:rPr>
      </w:pPr>
      <w:r>
        <w:rPr>
          <w:sz w:val="20"/>
          <w:szCs w:val="20"/>
        </w:rPr>
        <w:t xml:space="preserve">Ze slámy a z pytlů zvedaly se rozespalé </w:t>
      </w:r>
      <w:r>
        <w:rPr>
          <w:sz w:val="20"/>
          <w:szCs w:val="20"/>
        </w:rPr>
        <w:t xml:space="preserve">hlavy a z kouta, </w:t>
      </w:r>
      <w:r>
        <w:t xml:space="preserve">Z </w:t>
      </w:r>
      <w:r>
        <w:rPr>
          <w:sz w:val="20"/>
          <w:szCs w:val="20"/>
        </w:rPr>
        <w:t>něhož se Štoulová zvedla, zaplakalo děcko.</w:t>
      </w:r>
    </w:p>
    <w:p w:rsidR="00500724" w:rsidRDefault="00F30FB8">
      <w:pPr>
        <w:pStyle w:val="Zkladntext20"/>
        <w:shd w:val="clear" w:color="auto" w:fill="auto"/>
        <w:spacing w:line="185" w:lineRule="auto"/>
        <w:ind w:firstLine="260"/>
        <w:rPr>
          <w:sz w:val="20"/>
          <w:szCs w:val="20"/>
        </w:rPr>
      </w:pPr>
      <w:r>
        <w:rPr>
          <w:sz w:val="20"/>
          <w:szCs w:val="20"/>
        </w:rPr>
        <w:t>»Lehni si a nebuř stavení!* houkl Ivan.</w:t>
      </w:r>
    </w:p>
    <w:p w:rsidR="00500724" w:rsidRDefault="00F30FB8">
      <w:pPr>
        <w:pStyle w:val="Zkladntext20"/>
        <w:shd w:val="clear" w:color="auto" w:fill="auto"/>
        <w:spacing w:line="185" w:lineRule="auto"/>
        <w:ind w:firstLine="260"/>
        <w:rPr>
          <w:sz w:val="20"/>
          <w:szCs w:val="20"/>
        </w:rPr>
      </w:pPr>
      <w:r>
        <w:rPr>
          <w:sz w:val="20"/>
          <w:szCs w:val="20"/>
        </w:rPr>
        <w:t xml:space="preserve">»Co bych nebouřila,« vypjala se Štoulová. Jsem tu doma víc než ty. Vyklop prachy, ať máme co žrát, a táhni do světa! — Až nebudeš vědět kudy kam, však </w:t>
      </w:r>
      <w:r>
        <w:rPr>
          <w:sz w:val="20"/>
          <w:szCs w:val="20"/>
        </w:rPr>
        <w:t>přilezeš zas!*</w:t>
      </w:r>
    </w:p>
    <w:p w:rsidR="00500724" w:rsidRDefault="00F30FB8">
      <w:pPr>
        <w:pStyle w:val="Zkladntext20"/>
        <w:shd w:val="clear" w:color="auto" w:fill="auto"/>
        <w:spacing w:line="202" w:lineRule="auto"/>
        <w:ind w:firstLine="260"/>
      </w:pPr>
      <w:r>
        <w:t xml:space="preserve">Vytrháváme tento dialog z textu knihy. Nicméně nechť si čtenář představí, že tento hovor mimoděk slyší, dejme tomu, někde za Žižkovem z komediant- ského vozu. Za druhé, že jej slyší s jeviště. Za třetí, že jej čte v soudním protokole jako </w:t>
      </w:r>
      <w:r>
        <w:t>výpověď těžce zraněné Stoulové. Za čtvrté, že jej čte v novinách v soudničce. Za páté, že jej čte v literárním díle. Otáz</w:t>
      </w:r>
      <w:r>
        <w:softHyphen/>
        <w:t>ka: Kde bude tento dialog »na plná, přírodní ústa« — nejvíce na místě a kde má být pouze naznačen?</w:t>
      </w:r>
    </w:p>
    <w:p w:rsidR="00500724" w:rsidRDefault="00F30FB8">
      <w:pPr>
        <w:pStyle w:val="Zkladntext20"/>
        <w:shd w:val="clear" w:color="auto" w:fill="auto"/>
        <w:spacing w:line="202" w:lineRule="auto"/>
        <w:ind w:firstLine="260"/>
      </w:pPr>
      <w:r>
        <w:t>Uveďme si nyní příklad umělého, vyš</w:t>
      </w:r>
      <w:r>
        <w:t>roubovaného, jen a jen literárního dialogu, a čtenář nechť sám po</w:t>
      </w:r>
      <w:r>
        <w:softHyphen/>
        <w:t>soudí míru snesitelnosti tohoto způsobu. J. Ev. Ko- siná: »Z hovorů olympských«:</w:t>
      </w:r>
    </w:p>
    <w:p w:rsidR="00500724" w:rsidRDefault="00F30FB8">
      <w:pPr>
        <w:pStyle w:val="Zkladntext20"/>
        <w:shd w:val="clear" w:color="auto" w:fill="auto"/>
        <w:spacing w:line="182" w:lineRule="auto"/>
        <w:ind w:firstLine="260"/>
        <w:rPr>
          <w:sz w:val="20"/>
          <w:szCs w:val="20"/>
        </w:rPr>
      </w:pPr>
      <w:r>
        <w:rPr>
          <w:sz w:val="20"/>
          <w:szCs w:val="20"/>
        </w:rPr>
        <w:t>»Aj!&lt; rozhorlil se Vodan, &gt;toť by věru ne člověk byl, ale dřevo, kdo by rozdílu toho necítil.*</w:t>
      </w:r>
    </w:p>
    <w:p w:rsidR="00500724" w:rsidRDefault="00F30FB8">
      <w:pPr>
        <w:pStyle w:val="Zkladntext20"/>
        <w:shd w:val="clear" w:color="auto" w:fill="auto"/>
        <w:spacing w:line="182" w:lineRule="auto"/>
        <w:ind w:firstLine="260"/>
        <w:rPr>
          <w:sz w:val="20"/>
          <w:szCs w:val="20"/>
        </w:rPr>
      </w:pPr>
      <w:r>
        <w:rPr>
          <w:sz w:val="20"/>
          <w:szCs w:val="20"/>
        </w:rPr>
        <w:t>»Nepřím toho,«</w:t>
      </w:r>
      <w:r>
        <w:rPr>
          <w:sz w:val="20"/>
          <w:szCs w:val="20"/>
        </w:rPr>
        <w:t xml:space="preserve"> vece Ostrý, »ale že tím otázka mnou uči</w:t>
      </w:r>
      <w:r>
        <w:rPr>
          <w:sz w:val="20"/>
          <w:szCs w:val="20"/>
        </w:rPr>
        <w:softHyphen/>
        <w:t>něná nedošla rozřešení, sotva budete popírati.«</w:t>
      </w:r>
    </w:p>
    <w:p w:rsidR="00500724" w:rsidRDefault="00F30FB8">
      <w:pPr>
        <w:pStyle w:val="Zkladntext20"/>
        <w:shd w:val="clear" w:color="auto" w:fill="auto"/>
        <w:spacing w:line="182" w:lineRule="auto"/>
        <w:ind w:firstLine="260"/>
        <w:rPr>
          <w:sz w:val="20"/>
          <w:szCs w:val="20"/>
        </w:rPr>
      </w:pPr>
      <w:r>
        <w:rPr>
          <w:sz w:val="20"/>
          <w:szCs w:val="20"/>
        </w:rPr>
        <w:t>*Nerozřešíte-li ji vy,« zasmál se Vodan, »do mne se toho nadějete darmo.*</w:t>
      </w:r>
    </w:p>
    <w:p w:rsidR="00500724" w:rsidRDefault="00F30FB8">
      <w:pPr>
        <w:pStyle w:val="Zkladntext20"/>
        <w:shd w:val="clear" w:color="auto" w:fill="auto"/>
        <w:spacing w:line="182" w:lineRule="auto"/>
        <w:ind w:firstLine="260"/>
        <w:rPr>
          <w:sz w:val="20"/>
          <w:szCs w:val="20"/>
        </w:rPr>
      </w:pPr>
      <w:r>
        <w:rPr>
          <w:sz w:val="20"/>
          <w:szCs w:val="20"/>
        </w:rPr>
        <w:t>»Kdoví?« pobádal Ostrý. »Pravím-li: „každému člověku jest umřití” — prozaicky-li jsem se vyjá</w:t>
      </w:r>
      <w:r>
        <w:rPr>
          <w:sz w:val="20"/>
          <w:szCs w:val="20"/>
        </w:rPr>
        <w:t>dřil, či básnicky?*</w:t>
      </w:r>
    </w:p>
    <w:p w:rsidR="00500724" w:rsidRDefault="00F30FB8">
      <w:pPr>
        <w:pStyle w:val="Zkladntext20"/>
        <w:shd w:val="clear" w:color="auto" w:fill="auto"/>
        <w:spacing w:line="173" w:lineRule="auto"/>
        <w:ind w:firstLine="260"/>
      </w:pPr>
      <w:r>
        <w:rPr>
          <w:sz w:val="20"/>
          <w:szCs w:val="20"/>
        </w:rPr>
        <w:t>»Ach, ta próza se vám povedla vší měrou, věcně i slov</w:t>
      </w:r>
      <w:r>
        <w:rPr>
          <w:sz w:val="20"/>
          <w:szCs w:val="20"/>
        </w:rPr>
        <w:softHyphen/>
      </w:r>
      <w:r>
        <w:t>ně,* pozavzdychl Vodan, »ale rád bych znal toho básníka,</w:t>
      </w:r>
    </w:p>
    <w:p w:rsidR="00500724" w:rsidRDefault="00F30FB8">
      <w:pPr>
        <w:pStyle w:val="Zkladntext20"/>
        <w:shd w:val="clear" w:color="auto" w:fill="auto"/>
        <w:spacing w:line="180" w:lineRule="auto"/>
        <w:ind w:firstLine="0"/>
        <w:rPr>
          <w:sz w:val="20"/>
          <w:szCs w:val="20"/>
        </w:rPr>
      </w:pPr>
      <w:r>
        <w:rPr>
          <w:sz w:val="20"/>
          <w:szCs w:val="20"/>
        </w:rPr>
        <w:t>který by z toho prožlouklého křemene se dokřesal jiskry, poetické.*</w:t>
      </w:r>
    </w:p>
    <w:p w:rsidR="00500724" w:rsidRDefault="00F30FB8">
      <w:pPr>
        <w:pStyle w:val="Zkladntext20"/>
        <w:shd w:val="clear" w:color="auto" w:fill="auto"/>
        <w:spacing w:line="180" w:lineRule="auto"/>
        <w:ind w:firstLine="260"/>
        <w:rPr>
          <w:sz w:val="20"/>
          <w:szCs w:val="20"/>
        </w:rPr>
      </w:pPr>
      <w:r>
        <w:rPr>
          <w:sz w:val="20"/>
          <w:szCs w:val="20"/>
        </w:rPr>
        <w:t xml:space="preserve">»Znáte ho,« pousmál se Ostrý. &gt;Což onen starý Horác, </w:t>
      </w:r>
      <w:r>
        <w:rPr>
          <w:sz w:val="20"/>
          <w:szCs w:val="20"/>
          <w:lang w:val="en-US" w:eastAsia="en-US" w:bidi="en-US"/>
        </w:rPr>
        <w:t xml:space="preserve">an </w:t>
      </w:r>
      <w:r>
        <w:rPr>
          <w:sz w:val="20"/>
          <w:szCs w:val="20"/>
        </w:rPr>
        <w:t>p</w:t>
      </w:r>
      <w:r>
        <w:rPr>
          <w:sz w:val="20"/>
          <w:szCs w:val="20"/>
        </w:rPr>
        <w:t xml:space="preserve">raví: </w:t>
      </w:r>
      <w:r>
        <w:rPr>
          <w:sz w:val="20"/>
          <w:szCs w:val="20"/>
          <w:lang w:val="en-US" w:eastAsia="en-US" w:bidi="en-US"/>
        </w:rPr>
        <w:t xml:space="preserve">„Pallida mors aequo </w:t>
      </w:r>
      <w:r>
        <w:rPr>
          <w:sz w:val="20"/>
          <w:szCs w:val="20"/>
        </w:rPr>
        <w:t>pulsat pauperum tabemas regumque turres.” (Smrt zsinalá rovněž nelítostná kosi v chudém baráku i v zámku panském), možná-li by vám nebyl znám?*</w:t>
      </w:r>
    </w:p>
    <w:p w:rsidR="00500724" w:rsidRDefault="00F30FB8">
      <w:pPr>
        <w:pStyle w:val="Zkladntext20"/>
        <w:shd w:val="clear" w:color="auto" w:fill="auto"/>
        <w:spacing w:line="180" w:lineRule="auto"/>
        <w:ind w:firstLine="260"/>
        <w:rPr>
          <w:sz w:val="20"/>
          <w:szCs w:val="20"/>
        </w:rPr>
      </w:pPr>
      <w:r>
        <w:rPr>
          <w:sz w:val="20"/>
          <w:szCs w:val="20"/>
        </w:rPr>
        <w:t>»Ba, je tak trochu,« odvětil Vodan. »Nu a což?*</w:t>
      </w:r>
    </w:p>
    <w:p w:rsidR="00500724" w:rsidRDefault="00F30FB8">
      <w:pPr>
        <w:pStyle w:val="Zkladntext20"/>
        <w:shd w:val="clear" w:color="auto" w:fill="auto"/>
        <w:spacing w:line="180" w:lineRule="auto"/>
        <w:ind w:firstLine="260"/>
        <w:rPr>
          <w:sz w:val="20"/>
          <w:szCs w:val="20"/>
        </w:rPr>
      </w:pPr>
      <w:r>
        <w:rPr>
          <w:sz w:val="20"/>
          <w:szCs w:val="20"/>
        </w:rPr>
        <w:t>»Uznáváte-li, že myšlenkové jádro prop</w:t>
      </w:r>
      <w:r>
        <w:rPr>
          <w:sz w:val="20"/>
          <w:szCs w:val="20"/>
        </w:rPr>
        <w:t>ovědi této totožno je s průpovědí mou dříve uvedenou?*</w:t>
      </w:r>
    </w:p>
    <w:p w:rsidR="00500724" w:rsidRDefault="00F30FB8">
      <w:pPr>
        <w:pStyle w:val="Zkladntext20"/>
        <w:shd w:val="clear" w:color="auto" w:fill="auto"/>
        <w:spacing w:line="180" w:lineRule="auto"/>
        <w:ind w:firstLine="260"/>
        <w:rPr>
          <w:sz w:val="20"/>
          <w:szCs w:val="20"/>
        </w:rPr>
      </w:pPr>
      <w:r>
        <w:rPr>
          <w:sz w:val="20"/>
          <w:szCs w:val="20"/>
        </w:rPr>
        <w:t>»Jak by ne?« v odvět dal Vodan.</w:t>
      </w:r>
    </w:p>
    <w:p w:rsidR="00500724" w:rsidRDefault="00F30FB8">
      <w:pPr>
        <w:pStyle w:val="Zkladntext20"/>
        <w:shd w:val="clear" w:color="auto" w:fill="auto"/>
        <w:spacing w:line="180" w:lineRule="auto"/>
        <w:ind w:firstLine="260"/>
        <w:rPr>
          <w:sz w:val="20"/>
          <w:szCs w:val="20"/>
        </w:rPr>
      </w:pPr>
      <w:r>
        <w:rPr>
          <w:sz w:val="20"/>
          <w:szCs w:val="20"/>
        </w:rPr>
        <w:t>»Uznáváte-lí též, že pomysl takto pronesený pronesen je po básničku?*</w:t>
      </w:r>
    </w:p>
    <w:p w:rsidR="00500724" w:rsidRDefault="00F30FB8">
      <w:pPr>
        <w:pStyle w:val="Zkladntext20"/>
        <w:shd w:val="clear" w:color="auto" w:fill="auto"/>
        <w:spacing w:line="202" w:lineRule="auto"/>
        <w:ind w:firstLine="260"/>
      </w:pPr>
      <w:r>
        <w:t>Mezi oběma těmito krajními póly jsou všecky dia</w:t>
      </w:r>
      <w:r>
        <w:softHyphen/>
        <w:t>logy. Ty, jež jsou bližší syrovosti přírodní mluven</w:t>
      </w:r>
      <w:r>
        <w:t>é řeči, budou mít sice mnoho životnosti, však málo vkusu, o umělecké stránce nemluvě. Ty, jež budou vypracovány ve »věži ze slonoviny«, budou neživotné, či málo životné, byť umné, důmyslné, když nechceme říci umělecké — protože umění špatně dýchá na obou s</w:t>
      </w:r>
      <w:r>
        <w:t>tranách.</w:t>
      </w:r>
    </w:p>
    <w:p w:rsidR="00500724" w:rsidRDefault="00F30FB8">
      <w:pPr>
        <w:pStyle w:val="Zkladntext20"/>
        <w:shd w:val="clear" w:color="auto" w:fill="auto"/>
        <w:spacing w:line="202" w:lineRule="auto"/>
        <w:ind w:firstLine="260"/>
      </w:pPr>
      <w:r>
        <w:t>Uveďme příklad dobré střední polohy. Křelina:</w:t>
      </w:r>
    </w:p>
    <w:p w:rsidR="00500724" w:rsidRDefault="00F30FB8">
      <w:pPr>
        <w:pStyle w:val="Zkladntext20"/>
        <w:shd w:val="clear" w:color="auto" w:fill="auto"/>
        <w:spacing w:line="178" w:lineRule="auto"/>
        <w:ind w:firstLine="260"/>
        <w:rPr>
          <w:sz w:val="20"/>
          <w:szCs w:val="20"/>
        </w:rPr>
      </w:pPr>
      <w:r>
        <w:rPr>
          <w:sz w:val="20"/>
          <w:szCs w:val="20"/>
        </w:rPr>
        <w:t>»Jak je to krásné, jaká je to krásná země, Václave,« řek</w:t>
      </w:r>
      <w:r>
        <w:rPr>
          <w:sz w:val="20"/>
          <w:szCs w:val="20"/>
        </w:rPr>
        <w:softHyphen/>
        <w:t>ne Marie a položí svou ruku na jeho paži, »jak se mi za</w:t>
      </w:r>
      <w:r>
        <w:rPr>
          <w:sz w:val="20"/>
          <w:szCs w:val="20"/>
        </w:rPr>
        <w:softHyphen/>
        <w:t>líbilo v této zemi, drahý.*</w:t>
      </w:r>
    </w:p>
    <w:p w:rsidR="00500724" w:rsidRDefault="00F30FB8">
      <w:pPr>
        <w:pStyle w:val="Zkladntext20"/>
        <w:shd w:val="clear" w:color="auto" w:fill="auto"/>
        <w:spacing w:line="178" w:lineRule="auto"/>
        <w:ind w:firstLine="260"/>
        <w:rPr>
          <w:sz w:val="20"/>
          <w:szCs w:val="20"/>
        </w:rPr>
      </w:pPr>
      <w:r>
        <w:rPr>
          <w:sz w:val="20"/>
          <w:szCs w:val="20"/>
        </w:rPr>
        <w:t>»ZaIíbilo? Je tvá, holubičko, jsem rád, že se ti v ní za</w:t>
      </w:r>
      <w:r>
        <w:rPr>
          <w:sz w:val="20"/>
          <w:szCs w:val="20"/>
        </w:rPr>
        <w:softHyphen/>
        <w:t>líb</w:t>
      </w:r>
      <w:r>
        <w:rPr>
          <w:sz w:val="20"/>
          <w:szCs w:val="20"/>
        </w:rPr>
        <w:t>ilo. Budeš na ní hospodařit se mnou.*</w:t>
      </w:r>
    </w:p>
    <w:p w:rsidR="00500724" w:rsidRDefault="00F30FB8">
      <w:pPr>
        <w:pStyle w:val="Zkladntext20"/>
        <w:shd w:val="clear" w:color="auto" w:fill="auto"/>
        <w:spacing w:line="166" w:lineRule="auto"/>
        <w:ind w:firstLine="260"/>
      </w:pPr>
      <w:r>
        <w:t>Nebo ze Srámkova »Stříbmého větru«:</w:t>
      </w:r>
    </w:p>
    <w:p w:rsidR="00500724" w:rsidRDefault="00F30FB8">
      <w:pPr>
        <w:pStyle w:val="Zkladntext20"/>
        <w:shd w:val="clear" w:color="auto" w:fill="auto"/>
        <w:spacing w:line="182" w:lineRule="auto"/>
        <w:ind w:firstLine="260"/>
        <w:rPr>
          <w:sz w:val="20"/>
          <w:szCs w:val="20"/>
        </w:rPr>
      </w:pPr>
      <w:r>
        <w:rPr>
          <w:sz w:val="20"/>
          <w:szCs w:val="20"/>
        </w:rPr>
        <w:t>»Slyšiš...?« ptá se náhle Ratkin, hlas tlumí a čemusi tajemnému naslouchá.</w:t>
      </w:r>
    </w:p>
    <w:p w:rsidR="00500724" w:rsidRDefault="00F30FB8">
      <w:pPr>
        <w:pStyle w:val="Zkladntext20"/>
        <w:shd w:val="clear" w:color="auto" w:fill="auto"/>
        <w:spacing w:line="182" w:lineRule="auto"/>
        <w:ind w:firstLine="260"/>
        <w:rPr>
          <w:sz w:val="20"/>
          <w:szCs w:val="20"/>
        </w:rPr>
      </w:pPr>
      <w:r>
        <w:rPr>
          <w:sz w:val="20"/>
          <w:szCs w:val="20"/>
        </w:rPr>
        <w:t>»Co...?«</w:t>
      </w:r>
    </w:p>
    <w:p w:rsidR="00500724" w:rsidRDefault="00F30FB8">
      <w:pPr>
        <w:pStyle w:val="Zkladntext20"/>
        <w:shd w:val="clear" w:color="auto" w:fill="auto"/>
        <w:spacing w:line="182" w:lineRule="auto"/>
        <w:ind w:firstLine="260"/>
        <w:rPr>
          <w:sz w:val="20"/>
          <w:szCs w:val="20"/>
        </w:rPr>
      </w:pPr>
      <w:r>
        <w:rPr>
          <w:sz w:val="20"/>
          <w:szCs w:val="20"/>
        </w:rPr>
        <w:t>»Stříbrný vítr...«</w:t>
      </w:r>
    </w:p>
    <w:p w:rsidR="00500724" w:rsidRDefault="00F30FB8">
      <w:pPr>
        <w:pStyle w:val="Zkladntext20"/>
        <w:shd w:val="clear" w:color="auto" w:fill="auto"/>
        <w:spacing w:line="182" w:lineRule="auto"/>
        <w:ind w:firstLine="260"/>
        <w:rPr>
          <w:sz w:val="20"/>
          <w:szCs w:val="20"/>
        </w:rPr>
      </w:pPr>
      <w:r>
        <w:rPr>
          <w:sz w:val="20"/>
          <w:szCs w:val="20"/>
        </w:rPr>
        <w:t>»Stříbrný vítr?* A Malkus je jaksi udiven.</w:t>
      </w:r>
    </w:p>
    <w:p w:rsidR="00500724" w:rsidRDefault="00F30FB8">
      <w:pPr>
        <w:pStyle w:val="Zkladntext20"/>
        <w:shd w:val="clear" w:color="auto" w:fill="auto"/>
        <w:spacing w:line="182" w:lineRule="auto"/>
        <w:ind w:firstLine="260"/>
        <w:rPr>
          <w:sz w:val="20"/>
          <w:szCs w:val="20"/>
        </w:rPr>
      </w:pPr>
      <w:r>
        <w:rPr>
          <w:sz w:val="20"/>
          <w:szCs w:val="20"/>
        </w:rPr>
        <w:t>»Pst... teď! slyšíš?*</w:t>
      </w:r>
    </w:p>
    <w:p w:rsidR="00500724" w:rsidRDefault="00F30FB8">
      <w:pPr>
        <w:pStyle w:val="Zkladntext20"/>
        <w:shd w:val="clear" w:color="auto" w:fill="auto"/>
        <w:spacing w:line="182" w:lineRule="auto"/>
        <w:ind w:firstLine="260"/>
        <w:rPr>
          <w:sz w:val="20"/>
          <w:szCs w:val="20"/>
        </w:rPr>
      </w:pPr>
      <w:r>
        <w:rPr>
          <w:sz w:val="20"/>
          <w:szCs w:val="20"/>
        </w:rPr>
        <w:t xml:space="preserve">Konečně zdá </w:t>
      </w:r>
      <w:r>
        <w:rPr>
          <w:sz w:val="20"/>
          <w:szCs w:val="20"/>
        </w:rPr>
        <w:t>se, i Malkus slyší stříbrný vítr.</w:t>
      </w:r>
    </w:p>
    <w:p w:rsidR="00500724" w:rsidRDefault="00F30FB8">
      <w:pPr>
        <w:pStyle w:val="Zkladntext20"/>
        <w:shd w:val="clear" w:color="auto" w:fill="auto"/>
        <w:spacing w:line="182" w:lineRule="auto"/>
        <w:ind w:firstLine="260"/>
        <w:rPr>
          <w:sz w:val="20"/>
          <w:szCs w:val="20"/>
        </w:rPr>
      </w:pPr>
      <w:r>
        <w:rPr>
          <w:sz w:val="20"/>
          <w:szCs w:val="20"/>
        </w:rPr>
        <w:t>Za ruce se vzali, ruce si tisknou a naslouchají.</w:t>
      </w:r>
    </w:p>
    <w:p w:rsidR="00500724" w:rsidRDefault="00F30FB8">
      <w:pPr>
        <w:pStyle w:val="Zkladntext20"/>
        <w:shd w:val="clear" w:color="auto" w:fill="auto"/>
        <w:spacing w:line="182" w:lineRule="auto"/>
        <w:ind w:firstLine="260"/>
        <w:rPr>
          <w:sz w:val="20"/>
          <w:szCs w:val="20"/>
        </w:rPr>
      </w:pPr>
      <w:r>
        <w:rPr>
          <w:sz w:val="20"/>
          <w:szCs w:val="20"/>
        </w:rPr>
        <w:t>Náhle oba najednou:</w:t>
      </w:r>
    </w:p>
    <w:p w:rsidR="00500724" w:rsidRDefault="00F30FB8">
      <w:pPr>
        <w:pStyle w:val="Zkladntext20"/>
        <w:shd w:val="clear" w:color="auto" w:fill="auto"/>
        <w:spacing w:line="182" w:lineRule="auto"/>
        <w:ind w:firstLine="260"/>
        <w:rPr>
          <w:sz w:val="20"/>
          <w:szCs w:val="20"/>
        </w:rPr>
      </w:pPr>
      <w:r>
        <w:rPr>
          <w:sz w:val="20"/>
          <w:szCs w:val="20"/>
        </w:rPr>
        <w:t>»Ty, to je krásné...!«</w:t>
      </w:r>
    </w:p>
    <w:p w:rsidR="00500724" w:rsidRDefault="00F30FB8">
      <w:pPr>
        <w:pStyle w:val="Zkladntext20"/>
        <w:shd w:val="clear" w:color="auto" w:fill="auto"/>
        <w:tabs>
          <w:tab w:val="left" w:pos="4594"/>
        </w:tabs>
        <w:spacing w:line="182" w:lineRule="auto"/>
        <w:ind w:firstLine="260"/>
        <w:rPr>
          <w:sz w:val="20"/>
          <w:szCs w:val="20"/>
        </w:rPr>
      </w:pPr>
      <w:r>
        <w:rPr>
          <w:sz w:val="20"/>
          <w:szCs w:val="20"/>
        </w:rPr>
        <w:t>Ratkin se vyrušil, divá se okamžik na Malkusa a najed</w:t>
      </w:r>
      <w:r>
        <w:rPr>
          <w:sz w:val="20"/>
          <w:szCs w:val="20"/>
        </w:rPr>
        <w:softHyphen/>
        <w:t>nou dá se do smíchu.</w:t>
      </w:r>
      <w:r>
        <w:rPr>
          <w:sz w:val="20"/>
          <w:szCs w:val="20"/>
        </w:rPr>
        <w:tab/>
        <w:t>—</w:t>
      </w:r>
    </w:p>
    <w:p w:rsidR="00500724" w:rsidRDefault="00F30FB8">
      <w:pPr>
        <w:pStyle w:val="Zkladntext20"/>
        <w:shd w:val="clear" w:color="auto" w:fill="auto"/>
        <w:spacing w:line="182" w:lineRule="auto"/>
        <w:ind w:firstLine="260"/>
        <w:rPr>
          <w:sz w:val="20"/>
          <w:szCs w:val="20"/>
        </w:rPr>
      </w:pPr>
      <w:r>
        <w:rPr>
          <w:sz w:val="20"/>
          <w:szCs w:val="20"/>
        </w:rPr>
        <w:t>»Co je krásné...?«</w:t>
      </w:r>
    </w:p>
    <w:p w:rsidR="00500724" w:rsidRDefault="00F30FB8">
      <w:pPr>
        <w:pStyle w:val="Zkladntext20"/>
        <w:shd w:val="clear" w:color="auto" w:fill="auto"/>
        <w:spacing w:line="182" w:lineRule="auto"/>
        <w:ind w:firstLine="260"/>
        <w:rPr>
          <w:sz w:val="20"/>
          <w:szCs w:val="20"/>
        </w:rPr>
      </w:pPr>
      <w:r>
        <w:rPr>
          <w:sz w:val="20"/>
          <w:szCs w:val="20"/>
        </w:rPr>
        <w:t>Malkus ocitne se na rozpacích.</w:t>
      </w:r>
    </w:p>
    <w:p w:rsidR="00500724" w:rsidRDefault="00F30FB8">
      <w:pPr>
        <w:pStyle w:val="Zkladntext20"/>
        <w:shd w:val="clear" w:color="auto" w:fill="auto"/>
        <w:spacing w:line="182" w:lineRule="auto"/>
        <w:ind w:firstLine="260"/>
        <w:rPr>
          <w:sz w:val="20"/>
          <w:szCs w:val="20"/>
        </w:rPr>
      </w:pPr>
      <w:r>
        <w:rPr>
          <w:sz w:val="20"/>
          <w:szCs w:val="20"/>
        </w:rPr>
        <w:t>»Co... Vždyť víš...«</w:t>
      </w:r>
    </w:p>
    <w:p w:rsidR="00500724" w:rsidRDefault="00F30FB8">
      <w:pPr>
        <w:pStyle w:val="Zkladntext20"/>
        <w:shd w:val="clear" w:color="auto" w:fill="auto"/>
        <w:spacing w:line="182" w:lineRule="auto"/>
        <w:ind w:firstLine="260"/>
        <w:rPr>
          <w:sz w:val="20"/>
          <w:szCs w:val="20"/>
        </w:rPr>
      </w:pPr>
      <w:r>
        <w:rPr>
          <w:sz w:val="20"/>
          <w:szCs w:val="20"/>
        </w:rPr>
        <w:t>»Nevím...« — A Ratkin se tváří docela nechápavě.</w:t>
      </w:r>
    </w:p>
    <w:p w:rsidR="00500724" w:rsidRDefault="00F30FB8">
      <w:pPr>
        <w:pStyle w:val="Zkladntext20"/>
        <w:shd w:val="clear" w:color="auto" w:fill="auto"/>
        <w:spacing w:line="182" w:lineRule="auto"/>
        <w:ind w:firstLine="260"/>
        <w:rPr>
          <w:sz w:val="20"/>
          <w:szCs w:val="20"/>
        </w:rPr>
      </w:pPr>
      <w:r>
        <w:rPr>
          <w:sz w:val="20"/>
          <w:szCs w:val="20"/>
        </w:rPr>
        <w:t>»No... všechno je krásné...«</w:t>
      </w:r>
    </w:p>
    <w:p w:rsidR="00500724" w:rsidRDefault="00F30FB8">
      <w:pPr>
        <w:pStyle w:val="Zkladntext20"/>
        <w:shd w:val="clear" w:color="auto" w:fill="auto"/>
        <w:spacing w:line="226" w:lineRule="auto"/>
        <w:ind w:firstLine="260"/>
        <w:rPr>
          <w:sz w:val="20"/>
          <w:szCs w:val="20"/>
        </w:rPr>
      </w:pPr>
      <w:r>
        <w:rPr>
          <w:sz w:val="20"/>
          <w:szCs w:val="20"/>
        </w:rPr>
        <w:t>»Hm, všechno je krásné...«</w:t>
      </w:r>
    </w:p>
    <w:p w:rsidR="00500724" w:rsidRDefault="00F30FB8">
      <w:pPr>
        <w:pStyle w:val="Zkladntext20"/>
        <w:shd w:val="clear" w:color="auto" w:fill="auto"/>
        <w:spacing w:line="204" w:lineRule="auto"/>
        <w:ind w:firstLine="260"/>
      </w:pPr>
      <w:r>
        <w:t>Poukazem k dvojpóinosti přirozeného a umělého (ne vždy uměleckého!) dialogu nevyčerpali jsme druhy knižních dialogů.</w:t>
      </w:r>
    </w:p>
    <w:p w:rsidR="00500724" w:rsidRDefault="00F30FB8">
      <w:pPr>
        <w:pStyle w:val="Zkladntext20"/>
        <w:shd w:val="clear" w:color="auto" w:fill="auto"/>
        <w:spacing w:line="204" w:lineRule="auto"/>
        <w:ind w:firstLine="260"/>
      </w:pPr>
      <w:r>
        <w:t>Tu je na přík</w:t>
      </w:r>
      <w:r>
        <w:t>lad dialog, který můžeme nazvat tra- dicionelním. Znázorňuje přijímání čeledína do práce. Čeledín ví už, co se bude hospodář ptát, a od</w:t>
      </w:r>
      <w:r>
        <w:softHyphen/>
        <w:t>povídá skoro jako družba na veselce. Jindřich Simon Baar (»Jan Cimbura*):</w:t>
      </w:r>
    </w:p>
    <w:p w:rsidR="00500724" w:rsidRDefault="00F30FB8">
      <w:pPr>
        <w:pStyle w:val="Zkladntext20"/>
        <w:shd w:val="clear" w:color="auto" w:fill="auto"/>
        <w:spacing w:line="182" w:lineRule="auto"/>
        <w:ind w:firstLine="260"/>
        <w:rPr>
          <w:sz w:val="20"/>
          <w:szCs w:val="20"/>
        </w:rPr>
      </w:pPr>
      <w:r>
        <w:rPr>
          <w:sz w:val="20"/>
          <w:szCs w:val="20"/>
        </w:rPr>
        <w:t xml:space="preserve">»Umíš sekat travnou a obilnou kosou ?« optal </w:t>
      </w:r>
      <w:r>
        <w:rPr>
          <w:sz w:val="20"/>
          <w:szCs w:val="20"/>
        </w:rPr>
        <w:t>se nahlas, ale proto jen, že bylo zvykem podrobit každého čeledína takovému křížovému ohni od dávna řadou už ustálených otázek. Cimburovi je doma tatíček všecky napřed řekli — doslova mu pověděli, nač se ho bude Kovanda ptáti, i co má odpovědět, aby slušno</w:t>
      </w:r>
      <w:r>
        <w:rPr>
          <w:sz w:val="20"/>
          <w:szCs w:val="20"/>
        </w:rPr>
        <w:t>st byla zachována.</w:t>
      </w:r>
    </w:p>
    <w:p w:rsidR="00500724" w:rsidRDefault="00F30FB8">
      <w:pPr>
        <w:pStyle w:val="Zkladntext20"/>
        <w:shd w:val="clear" w:color="auto" w:fill="auto"/>
        <w:spacing w:line="182" w:lineRule="auto"/>
        <w:ind w:firstLine="260"/>
        <w:rPr>
          <w:sz w:val="20"/>
          <w:szCs w:val="20"/>
        </w:rPr>
      </w:pPr>
      <w:r>
        <w:rPr>
          <w:sz w:val="20"/>
          <w:szCs w:val="20"/>
        </w:rPr>
        <w:t>2&gt;Umím sekat nejen travnou i obilnou kosou — ale umím ji na kosiště nasadit a když ji v seči ztupím, na babce ji naklepat umím,* — odpověděl proto Cimbura rozvážně, jak se slušelo a patřilo.</w:t>
      </w:r>
    </w:p>
    <w:p w:rsidR="00500724" w:rsidRDefault="00F30FB8">
      <w:pPr>
        <w:pStyle w:val="Zkladntext20"/>
        <w:shd w:val="clear" w:color="auto" w:fill="auto"/>
        <w:spacing w:line="182" w:lineRule="auto"/>
        <w:ind w:firstLine="260"/>
        <w:rPr>
          <w:sz w:val="20"/>
          <w:szCs w:val="20"/>
        </w:rPr>
      </w:pPr>
      <w:r>
        <w:rPr>
          <w:sz w:val="20"/>
          <w:szCs w:val="20"/>
        </w:rPr>
        <w:t>»Umíš brázdu vyorat?«</w:t>
      </w:r>
    </w:p>
    <w:p w:rsidR="00500724" w:rsidRDefault="00F30FB8">
      <w:pPr>
        <w:pStyle w:val="Zkladntext20"/>
        <w:shd w:val="clear" w:color="auto" w:fill="auto"/>
        <w:spacing w:line="182" w:lineRule="auto"/>
        <w:ind w:firstLine="260"/>
        <w:rPr>
          <w:sz w:val="20"/>
          <w:szCs w:val="20"/>
        </w:rPr>
      </w:pPr>
      <w:r>
        <w:rPr>
          <w:sz w:val="20"/>
          <w:szCs w:val="20"/>
        </w:rPr>
        <w:t>»Umím vyorat rovnou a dl</w:t>
      </w:r>
      <w:r>
        <w:rPr>
          <w:sz w:val="20"/>
          <w:szCs w:val="20"/>
        </w:rPr>
        <w:t>ouhou, nemusím se již zpět za pluh ani ohlédnout a přece neposkvrním pole smoiou.«</w:t>
      </w:r>
    </w:p>
    <w:p w:rsidR="00500724" w:rsidRDefault="00F30FB8">
      <w:pPr>
        <w:pStyle w:val="Zkladntext20"/>
        <w:shd w:val="clear" w:color="auto" w:fill="auto"/>
        <w:spacing w:line="182" w:lineRule="auto"/>
        <w:ind w:firstLine="260"/>
        <w:rPr>
          <w:sz w:val="20"/>
          <w:szCs w:val="20"/>
        </w:rPr>
      </w:pPr>
      <w:r>
        <w:rPr>
          <w:sz w:val="20"/>
          <w:szCs w:val="20"/>
        </w:rPr>
        <w:t>»Umíš obili rozsívat ?«</w:t>
      </w:r>
    </w:p>
    <w:p w:rsidR="00500724" w:rsidRDefault="00F30FB8">
      <w:pPr>
        <w:pStyle w:val="Zkladntext20"/>
        <w:shd w:val="clear" w:color="auto" w:fill="auto"/>
        <w:spacing w:line="182" w:lineRule="auto"/>
        <w:ind w:firstLine="260"/>
        <w:rPr>
          <w:sz w:val="20"/>
          <w:szCs w:val="20"/>
        </w:rPr>
      </w:pPr>
      <w:r>
        <w:rPr>
          <w:sz w:val="20"/>
          <w:szCs w:val="20"/>
        </w:rPr>
        <w:t>»Umím rozsívat i obilí i kulatiny i leníěek — čočku, hrách i vikev sejí doma tatíček.*</w:t>
      </w:r>
    </w:p>
    <w:p w:rsidR="00500724" w:rsidRDefault="00F30FB8">
      <w:pPr>
        <w:pStyle w:val="Zkladntext20"/>
        <w:shd w:val="clear" w:color="auto" w:fill="auto"/>
        <w:spacing w:line="182" w:lineRule="auto"/>
        <w:ind w:firstLine="260"/>
        <w:rPr>
          <w:sz w:val="20"/>
          <w:szCs w:val="20"/>
        </w:rPr>
      </w:pPr>
      <w:r>
        <w:rPr>
          <w:sz w:val="20"/>
          <w:szCs w:val="20"/>
        </w:rPr>
        <w:t>»Umíš povříslo udělat?*</w:t>
      </w:r>
    </w:p>
    <w:p w:rsidR="00500724" w:rsidRDefault="00F30FB8">
      <w:pPr>
        <w:pStyle w:val="Zkladntext20"/>
        <w:shd w:val="clear" w:color="auto" w:fill="auto"/>
        <w:spacing w:line="182" w:lineRule="auto"/>
        <w:ind w:firstLine="260"/>
        <w:rPr>
          <w:sz w:val="20"/>
          <w:szCs w:val="20"/>
        </w:rPr>
      </w:pPr>
      <w:r>
        <w:rPr>
          <w:sz w:val="20"/>
          <w:szCs w:val="20"/>
        </w:rPr>
        <w:t>»Umím je udělat i roubem zavázat a sno</w:t>
      </w:r>
      <w:r>
        <w:rPr>
          <w:sz w:val="20"/>
          <w:szCs w:val="20"/>
        </w:rPr>
        <w:t>p, utáhnout, že se může jím píseckou věž přehodit a nerozváže se.«</w:t>
      </w:r>
    </w:p>
    <w:p w:rsidR="00500724" w:rsidRDefault="00F30FB8">
      <w:pPr>
        <w:pStyle w:val="Zkladntext20"/>
        <w:shd w:val="clear" w:color="auto" w:fill="auto"/>
        <w:spacing w:line="218" w:lineRule="auto"/>
        <w:ind w:firstLine="260"/>
      </w:pPr>
      <w:r>
        <w:t>A tu je dialog s dramaticko-filosofickým obsahem. Jaromír John (»Noční scéna«):</w:t>
      </w:r>
    </w:p>
    <w:p w:rsidR="00500724" w:rsidRDefault="00F30FB8">
      <w:pPr>
        <w:pStyle w:val="Zkladntext20"/>
        <w:shd w:val="clear" w:color="auto" w:fill="auto"/>
        <w:spacing w:line="166" w:lineRule="auto"/>
        <w:ind w:firstLine="260"/>
        <w:sectPr w:rsidR="00500724">
          <w:footnotePr>
            <w:numFmt w:val="chicago"/>
            <w:numRestart w:val="eachPage"/>
          </w:footnotePr>
          <w:type w:val="continuous"/>
          <w:pgSz w:w="11909" w:h="16834"/>
          <w:pgMar w:top="1621" w:right="843" w:bottom="471" w:left="718" w:header="0" w:footer="3" w:gutter="0"/>
          <w:cols w:num="2" w:space="177"/>
          <w:noEndnote/>
          <w:docGrid w:linePitch="360"/>
        </w:sectPr>
      </w:pPr>
      <w:r>
        <w:t>FOTOGRAF: Při druhé zásnubní noci utíkají hodiny;</w:t>
      </w:r>
    </w:p>
    <w:p w:rsidR="00500724" w:rsidRDefault="00500724">
      <w:pPr>
        <w:spacing w:line="205" w:lineRule="exact"/>
        <w:rPr>
          <w:sz w:val="16"/>
          <w:szCs w:val="16"/>
        </w:rPr>
      </w:pPr>
    </w:p>
    <w:p w:rsidR="00500724" w:rsidRDefault="00500724">
      <w:pPr>
        <w:spacing w:line="14" w:lineRule="exact"/>
        <w:sectPr w:rsidR="00500724">
          <w:footnotePr>
            <w:numFmt w:val="chicago"/>
            <w:numRestart w:val="eachPage"/>
          </w:footnotePr>
          <w:pgSz w:w="11909" w:h="16834"/>
          <w:pgMar w:top="1403" w:right="0" w:bottom="912" w:left="0" w:header="0" w:footer="3" w:gutter="0"/>
          <w:cols w:space="720"/>
          <w:noEndnote/>
          <w:docGrid w:linePitch="360"/>
        </w:sectPr>
      </w:pPr>
    </w:p>
    <w:p w:rsidR="00500724" w:rsidRDefault="00F30FB8">
      <w:pPr>
        <w:pStyle w:val="Zkladntext20"/>
        <w:shd w:val="clear" w:color="auto" w:fill="auto"/>
        <w:spacing w:line="182" w:lineRule="auto"/>
        <w:ind w:firstLine="0"/>
        <w:rPr>
          <w:sz w:val="20"/>
          <w:szCs w:val="20"/>
        </w:rPr>
      </w:pPr>
      <w:r>
        <w:rPr>
          <w:sz w:val="20"/>
          <w:szCs w:val="20"/>
        </w:rPr>
        <w:t>d</w:t>
      </w:r>
      <w:r>
        <w:rPr>
          <w:sz w:val="20"/>
          <w:szCs w:val="20"/>
        </w:rPr>
        <w:t>vojnásob. Vše je jasno a pochopitelno. Přirozenost jest krásná vlastnost. Mám jemný hmat, citlivý sluch a jako umělec lotogral bystré oko, zálibně hledící na polostíny, jež modelují ženskou přirozenost.</w:t>
      </w:r>
    </w:p>
    <w:p w:rsidR="00500724" w:rsidRDefault="00F30FB8">
      <w:pPr>
        <w:pStyle w:val="Zkladntext20"/>
        <w:shd w:val="clear" w:color="auto" w:fill="auto"/>
        <w:spacing w:line="182" w:lineRule="auto"/>
        <w:rPr>
          <w:sz w:val="20"/>
          <w:szCs w:val="20"/>
        </w:rPr>
      </w:pPr>
      <w:r>
        <w:rPr>
          <w:sz w:val="20"/>
          <w:szCs w:val="20"/>
        </w:rPr>
        <w:t xml:space="preserve">MUŽ: Zdá se, že žijete jen tim, co vidíte, slyšíte a </w:t>
      </w:r>
      <w:r>
        <w:rPr>
          <w:sz w:val="20"/>
          <w:szCs w:val="20"/>
        </w:rPr>
        <w:t>na co hmatáte.</w:t>
      </w:r>
    </w:p>
    <w:p w:rsidR="00500724" w:rsidRDefault="00F30FB8">
      <w:pPr>
        <w:pStyle w:val="Zkladntext20"/>
        <w:shd w:val="clear" w:color="auto" w:fill="auto"/>
        <w:spacing w:line="182" w:lineRule="auto"/>
        <w:rPr>
          <w:sz w:val="20"/>
          <w:szCs w:val="20"/>
        </w:rPr>
      </w:pPr>
      <w:r>
        <w:rPr>
          <w:sz w:val="20"/>
          <w:szCs w:val="20"/>
        </w:rPr>
        <w:t>ŽENA: A také rád dobře jíte a spíte!</w:t>
      </w:r>
    </w:p>
    <w:p w:rsidR="00500724" w:rsidRDefault="00F30FB8">
      <w:pPr>
        <w:pStyle w:val="Zkladntext20"/>
        <w:shd w:val="clear" w:color="auto" w:fill="auto"/>
        <w:spacing w:line="182" w:lineRule="auto"/>
        <w:rPr>
          <w:sz w:val="20"/>
          <w:szCs w:val="20"/>
        </w:rPr>
      </w:pPr>
      <w:r>
        <w:rPr>
          <w:sz w:val="20"/>
          <w:szCs w:val="20"/>
        </w:rPr>
        <w:t>MUŽ: A na co myslíte?</w:t>
      </w:r>
    </w:p>
    <w:p w:rsidR="00500724" w:rsidRDefault="00F30FB8">
      <w:pPr>
        <w:pStyle w:val="Zkladntext20"/>
        <w:shd w:val="clear" w:color="auto" w:fill="auto"/>
        <w:spacing w:line="182" w:lineRule="auto"/>
        <w:rPr>
          <w:sz w:val="20"/>
          <w:szCs w:val="20"/>
        </w:rPr>
      </w:pPr>
      <w:r>
        <w:rPr>
          <w:sz w:val="20"/>
          <w:szCs w:val="20"/>
        </w:rPr>
        <w:t>ŽENA: O čem sníte?</w:t>
      </w:r>
    </w:p>
    <w:p w:rsidR="00500724" w:rsidRDefault="00F30FB8">
      <w:pPr>
        <w:pStyle w:val="Zkladntext20"/>
        <w:shd w:val="clear" w:color="auto" w:fill="auto"/>
        <w:spacing w:line="182" w:lineRule="auto"/>
        <w:rPr>
          <w:sz w:val="20"/>
          <w:szCs w:val="20"/>
        </w:rPr>
      </w:pPr>
      <w:r>
        <w:rPr>
          <w:sz w:val="20"/>
          <w:szCs w:val="20"/>
        </w:rPr>
        <w:t xml:space="preserve">FOTOGRAF: Myslím a sním o tom, co mi zjevil zrak, co mi našeptal sluch, čím mě polechtal čich, čím mě oblažila chuť a na co mě upozornil hmat. Ve vaší společnosti </w:t>
      </w:r>
      <w:r>
        <w:rPr>
          <w:sz w:val="20"/>
          <w:szCs w:val="20"/>
        </w:rPr>
        <w:t>na</w:t>
      </w:r>
      <w:r>
        <w:rPr>
          <w:sz w:val="20"/>
          <w:szCs w:val="20"/>
        </w:rPr>
        <w:softHyphen/>
        <w:t>padají mě docela zvláštní smyslné myšlenky. Povím je ce</w:t>
      </w:r>
      <w:r>
        <w:rPr>
          <w:sz w:val="20"/>
          <w:szCs w:val="20"/>
        </w:rPr>
        <w:softHyphen/>
        <w:t>lému městu! Všichni smutní se rozveselí. Všechny ženy se začervenají.</w:t>
      </w:r>
    </w:p>
    <w:p w:rsidR="00500724" w:rsidRDefault="00F30FB8">
      <w:pPr>
        <w:pStyle w:val="Zkladntext20"/>
        <w:shd w:val="clear" w:color="auto" w:fill="auto"/>
        <w:spacing w:line="182" w:lineRule="auto"/>
        <w:rPr>
          <w:sz w:val="20"/>
          <w:szCs w:val="20"/>
        </w:rPr>
      </w:pPr>
      <w:r>
        <w:rPr>
          <w:sz w:val="20"/>
          <w:szCs w:val="20"/>
        </w:rPr>
        <w:t>MUŽ: A hodně pijete a milujete!</w:t>
      </w:r>
    </w:p>
    <w:p w:rsidR="00500724" w:rsidRDefault="00F30FB8">
      <w:pPr>
        <w:pStyle w:val="Zkladntext20"/>
        <w:shd w:val="clear" w:color="auto" w:fill="auto"/>
        <w:spacing w:line="182" w:lineRule="auto"/>
        <w:rPr>
          <w:sz w:val="20"/>
          <w:szCs w:val="20"/>
        </w:rPr>
      </w:pPr>
      <w:r>
        <w:rPr>
          <w:sz w:val="20"/>
          <w:szCs w:val="20"/>
        </w:rPr>
        <w:t xml:space="preserve">FOTOGRAF: Tak jest, pane! Nevím, oroč bych se měl za to stydět. To sama společnost schvaluje a </w:t>
      </w:r>
      <w:r>
        <w:rPr>
          <w:sz w:val="20"/>
          <w:szCs w:val="20"/>
        </w:rPr>
        <w:t>církev hojným manželským stykům žehná.</w:t>
      </w:r>
    </w:p>
    <w:p w:rsidR="00500724" w:rsidRDefault="00F30FB8">
      <w:pPr>
        <w:pStyle w:val="Zkladntext20"/>
        <w:shd w:val="clear" w:color="auto" w:fill="auto"/>
        <w:spacing w:line="182" w:lineRule="auto"/>
        <w:rPr>
          <w:sz w:val="20"/>
          <w:szCs w:val="20"/>
        </w:rPr>
      </w:pPr>
      <w:r>
        <w:rPr>
          <w:sz w:val="20"/>
          <w:szCs w:val="20"/>
        </w:rPr>
        <w:t>ŽENA: Je i vaše paní nádhernou přirozeností?</w:t>
      </w:r>
    </w:p>
    <w:p w:rsidR="00500724" w:rsidRDefault="00F30FB8">
      <w:pPr>
        <w:pStyle w:val="Zkladntext20"/>
        <w:shd w:val="clear" w:color="auto" w:fill="auto"/>
        <w:spacing w:line="182" w:lineRule="auto"/>
        <w:rPr>
          <w:sz w:val="20"/>
          <w:szCs w:val="20"/>
        </w:rPr>
      </w:pPr>
      <w:r>
        <w:rPr>
          <w:sz w:val="20"/>
          <w:szCs w:val="20"/>
        </w:rPr>
        <w:t>FOTOGRAF: Tak jest! Manželé musí být spojeni houž- vemi smyslů — a víc opravdu nevím — co by jaksi ještě — bylo —</w:t>
      </w:r>
    </w:p>
    <w:p w:rsidR="00500724" w:rsidRDefault="00F30FB8">
      <w:pPr>
        <w:pStyle w:val="Zkladntext20"/>
        <w:shd w:val="clear" w:color="auto" w:fill="auto"/>
        <w:spacing w:line="182" w:lineRule="auto"/>
        <w:rPr>
          <w:sz w:val="20"/>
          <w:szCs w:val="20"/>
        </w:rPr>
      </w:pPr>
      <w:r>
        <w:rPr>
          <w:sz w:val="20"/>
          <w:szCs w:val="20"/>
        </w:rPr>
        <w:t>ŽENA: Štěstí je v žití přímém, nerozdvojeném!</w:t>
      </w:r>
    </w:p>
    <w:p w:rsidR="00500724" w:rsidRDefault="00F30FB8">
      <w:pPr>
        <w:pStyle w:val="Zkladntext20"/>
        <w:shd w:val="clear" w:color="auto" w:fill="auto"/>
        <w:spacing w:line="182" w:lineRule="auto"/>
        <w:rPr>
          <w:sz w:val="20"/>
          <w:szCs w:val="20"/>
        </w:rPr>
      </w:pPr>
      <w:r>
        <w:rPr>
          <w:sz w:val="20"/>
          <w:szCs w:val="20"/>
        </w:rPr>
        <w:t xml:space="preserve">MUŽ: V žití </w:t>
      </w:r>
      <w:r>
        <w:rPr>
          <w:sz w:val="20"/>
          <w:szCs w:val="20"/>
        </w:rPr>
        <w:t>neuvědomělém, samozřejmém, ničím ne</w:t>
      </w:r>
      <w:r>
        <w:rPr>
          <w:sz w:val="20"/>
          <w:szCs w:val="20"/>
        </w:rPr>
        <w:softHyphen/>
        <w:t>kontrolovaném. V samozrození, samožití, samosmrti...</w:t>
      </w:r>
    </w:p>
    <w:p w:rsidR="00500724" w:rsidRDefault="00F30FB8">
      <w:pPr>
        <w:pStyle w:val="Zkladntext20"/>
        <w:shd w:val="clear" w:color="auto" w:fill="auto"/>
        <w:spacing w:line="182" w:lineRule="auto"/>
        <w:rPr>
          <w:sz w:val="20"/>
          <w:szCs w:val="20"/>
        </w:rPr>
      </w:pPr>
      <w:r>
        <w:rPr>
          <w:sz w:val="20"/>
          <w:szCs w:val="20"/>
        </w:rPr>
        <w:t>FOTOGRAF: Výborně, paní, pane, aě má pochvala zní jako fráze. Není muže, není ženy! Jest jen celek, ženamuž či mužažena. Peníz s líeem a rubem, bouře s duhou, země s o</w:t>
      </w:r>
      <w:r>
        <w:rPr>
          <w:sz w:val="20"/>
          <w:szCs w:val="20"/>
        </w:rPr>
        <w:t>blohou, dvojice svázané, obcující, svlažované, výparové...</w:t>
      </w:r>
    </w:p>
    <w:p w:rsidR="00500724" w:rsidRDefault="00F30FB8">
      <w:pPr>
        <w:pStyle w:val="Zkladntext20"/>
        <w:shd w:val="clear" w:color="auto" w:fill="auto"/>
        <w:spacing w:line="202" w:lineRule="auto"/>
      </w:pPr>
      <w:r>
        <w:t>Nevolili jsme obě tyto ukázky bez úmyslu. Hřeší obě proti přirozenosti? Odpověď nemůže být než zá</w:t>
      </w:r>
      <w:r>
        <w:softHyphen/>
        <w:t>porná, byť byly obě psány umělým jazykem, jakým nemluví (dnes) žádný hospodář, žádný čeledín, jakým</w:t>
      </w:r>
      <w:r>
        <w:t xml:space="preserve"> nemůže mluvit fotograf, muž, žena v obyčejném ži</w:t>
      </w:r>
      <w:r>
        <w:softHyphen/>
        <w:t>votě.</w:t>
      </w:r>
    </w:p>
    <w:p w:rsidR="00500724" w:rsidRDefault="00F30FB8">
      <w:pPr>
        <w:pStyle w:val="Zkladntext20"/>
        <w:shd w:val="clear" w:color="auto" w:fill="auto"/>
        <w:spacing w:line="202" w:lineRule="auto"/>
      </w:pPr>
      <w:r>
        <w:t>Didaktický a pedagogický dialog jest roztodivnou smíšeninou uměleckého a vědeckého. Tomáš ze Štítného (»Řeči besednk):</w:t>
      </w:r>
    </w:p>
    <w:p w:rsidR="00500724" w:rsidRDefault="00F30FB8">
      <w:pPr>
        <w:pStyle w:val="Zkladntext20"/>
        <w:shd w:val="clear" w:color="auto" w:fill="auto"/>
        <w:spacing w:line="180" w:lineRule="auto"/>
        <w:rPr>
          <w:sz w:val="20"/>
          <w:szCs w:val="20"/>
        </w:rPr>
      </w:pPr>
      <w:r>
        <w:rPr>
          <w:sz w:val="20"/>
          <w:szCs w:val="20"/>
        </w:rPr>
        <w:t>Děti: Kakž pak jmáme v stvoření znamenati můdrost boží?</w:t>
      </w:r>
    </w:p>
    <w:p w:rsidR="00500724" w:rsidRDefault="00F30FB8">
      <w:pPr>
        <w:pStyle w:val="Zkladntext20"/>
        <w:shd w:val="clear" w:color="auto" w:fill="auto"/>
        <w:spacing w:line="180" w:lineRule="auto"/>
        <w:rPr>
          <w:sz w:val="20"/>
          <w:szCs w:val="20"/>
        </w:rPr>
      </w:pPr>
      <w:r>
        <w:rPr>
          <w:sz w:val="20"/>
          <w:szCs w:val="20"/>
        </w:rPr>
        <w:t xml:space="preserve">Otec: Můdrost božie jest </w:t>
      </w:r>
      <w:r>
        <w:rPr>
          <w:sz w:val="20"/>
          <w:szCs w:val="20"/>
        </w:rPr>
        <w:t>nám v krásě a v ozdobě stvo</w:t>
      </w:r>
      <w:r>
        <w:rPr>
          <w:sz w:val="20"/>
          <w:szCs w:val="20"/>
        </w:rPr>
        <w:softHyphen/>
        <w:t>ření ukázána, tu ji móžem spatřiti. A jakž koli mnohými a rozličnými činy jest krása a sličnost v stvoření dokonána, však zvláště záleží ve čtveřě věci: Jedno jest, když slušně bude na svém miestě; druhé, když slušné má své pohn</w:t>
      </w:r>
      <w:r>
        <w:rPr>
          <w:sz w:val="20"/>
          <w:szCs w:val="20"/>
        </w:rPr>
        <w:t>utie; třetie, když má sobě slušnů formu neb tvárnost; čtvrté, když má slušnů barvu aneb cos buď takového, ješto v tom bývá libost čichom, neb ješto bude tiem dobré něco; toť miením, ješto latině qualitas slově, i neumiem česky vyřéci toho. Toť když jest sl</w:t>
      </w:r>
      <w:r>
        <w:rPr>
          <w:sz w:val="20"/>
          <w:szCs w:val="20"/>
        </w:rPr>
        <w:t>ušně v čem, také činí krásu, a když dobřě, učiní dobrů věc, v niež jest.</w:t>
      </w:r>
    </w:p>
    <w:p w:rsidR="00500724" w:rsidRDefault="00F30FB8">
      <w:pPr>
        <w:pStyle w:val="Zkladntext20"/>
        <w:shd w:val="clear" w:color="auto" w:fill="auto"/>
        <w:spacing w:line="166" w:lineRule="auto"/>
      </w:pPr>
      <w:r>
        <w:t>Poučování o vychovávání zatěžuje literární dikci:</w:t>
      </w:r>
    </w:p>
    <w:p w:rsidR="00500724" w:rsidRDefault="00F30FB8">
      <w:pPr>
        <w:pStyle w:val="Zkladntext20"/>
        <w:shd w:val="clear" w:color="auto" w:fill="auto"/>
        <w:spacing w:line="180" w:lineRule="auto"/>
        <w:rPr>
          <w:sz w:val="20"/>
          <w:szCs w:val="20"/>
        </w:rPr>
      </w:pPr>
      <w:r>
        <w:rPr>
          <w:sz w:val="20"/>
          <w:szCs w:val="20"/>
        </w:rPr>
        <w:t>»Slečno!&lt; vzkřikl Olšovský a narychlo se zamlčel. Po chvíli prosil chvějícím se hlasem v největším rozjitření: x-Nepochopuji, slečno,</w:t>
      </w:r>
      <w:r>
        <w:rPr>
          <w:sz w:val="20"/>
          <w:szCs w:val="20"/>
        </w:rPr>
        <w:t xml:space="preserve"> jak se můžete pouštěti v rozkládání věcí, o kterých se mi ani nezdálo a do kterých chcete zasa- hovati, aniž se vaší osoby týkají!«</w:t>
      </w:r>
    </w:p>
    <w:p w:rsidR="00500724" w:rsidRDefault="00F30FB8">
      <w:pPr>
        <w:pStyle w:val="Zkladntext20"/>
        <w:shd w:val="clear" w:color="auto" w:fill="auto"/>
        <w:spacing w:line="180" w:lineRule="auto"/>
        <w:rPr>
          <w:sz w:val="20"/>
          <w:szCs w:val="20"/>
        </w:rPr>
      </w:pPr>
      <w:r>
        <w:rPr>
          <w:sz w:val="20"/>
          <w:szCs w:val="20"/>
        </w:rPr>
        <w:t>»Já konám toliko svou povinnost. Musím ochrániti to ne</w:t>
      </w:r>
      <w:r>
        <w:rPr>
          <w:sz w:val="20"/>
          <w:szCs w:val="20"/>
        </w:rPr>
        <w:softHyphen/>
        <w:t xml:space="preserve">zkušené děvče před vámi, musím zameziti vzplanutí vášně, která může </w:t>
      </w:r>
      <w:r>
        <w:rPr>
          <w:sz w:val="20"/>
          <w:szCs w:val="20"/>
        </w:rPr>
        <w:t>míti pro vás oba těch nejbolestnějšich následků. Rozvážil jste poměry? Či chcete, aby to nevinné a neporu</w:t>
      </w:r>
      <w:r>
        <w:rPr>
          <w:sz w:val="20"/>
          <w:szCs w:val="20"/>
        </w:rPr>
        <w:softHyphen/>
        <w:t>šené srdce stalo se obětí vášně vaší, aby se stalo obětí po</w:t>
      </w:r>
      <w:r>
        <w:rPr>
          <w:sz w:val="20"/>
          <w:szCs w:val="20"/>
        </w:rPr>
        <w:softHyphen/>
        <w:t xml:space="preserve">měrů, na které vy v té své vášni nebéřete ohledů? Kam vás povede vášeň tato? Co učiníte z </w:t>
      </w:r>
      <w:r>
        <w:rPr>
          <w:sz w:val="20"/>
          <w:szCs w:val="20"/>
        </w:rPr>
        <w:t>dívky, když se v ní sku</w:t>
      </w:r>
      <w:r>
        <w:rPr>
          <w:sz w:val="20"/>
          <w:szCs w:val="20"/>
        </w:rPr>
        <w:softHyphen/>
        <w:t>tečně vzejme zápal lásky k vám? Vy na ni chystáte pře</w:t>
      </w:r>
      <w:r>
        <w:rPr>
          <w:sz w:val="20"/>
          <w:szCs w:val="20"/>
        </w:rPr>
        <w:softHyphen/>
        <w:t>veliké neštěstí, když uvrhujete dívku co hříčku svého oka</w:t>
      </w:r>
      <w:r>
        <w:rPr>
          <w:sz w:val="20"/>
          <w:szCs w:val="20"/>
        </w:rPr>
        <w:softHyphen/>
        <w:t>mžitého rozmaru v záhubu nevázané vášně.«</w:t>
      </w:r>
    </w:p>
    <w:p w:rsidR="00500724" w:rsidRDefault="00F30FB8">
      <w:pPr>
        <w:pStyle w:val="Zkladntext20"/>
        <w:shd w:val="clear" w:color="auto" w:fill="auto"/>
        <w:spacing w:line="221" w:lineRule="auto"/>
        <w:ind w:right="220" w:firstLine="0"/>
        <w:jc w:val="right"/>
        <w:rPr>
          <w:sz w:val="20"/>
          <w:szCs w:val="20"/>
        </w:rPr>
      </w:pPr>
      <w:r>
        <w:rPr>
          <w:sz w:val="20"/>
          <w:szCs w:val="20"/>
        </w:rPr>
        <w:t>(G. Pfleger-Moravský: »Ztracený živote.)</w:t>
      </w:r>
    </w:p>
    <w:p w:rsidR="00500724" w:rsidRDefault="00F30FB8">
      <w:pPr>
        <w:pStyle w:val="Zkladntext20"/>
        <w:shd w:val="clear" w:color="auto" w:fill="auto"/>
        <w:spacing w:line="202" w:lineRule="auto"/>
      </w:pPr>
      <w:r>
        <w:t xml:space="preserve">Kdo by nevzpomněl Sherloka Holmesa a </w:t>
      </w:r>
      <w:r>
        <w:t>jeho při</w:t>
      </w:r>
      <w:r>
        <w:softHyphen/>
        <w:t>hlouplého souputníka dr. Watsona, jemuž slavný de</w:t>
      </w:r>
      <w:r>
        <w:softHyphen/>
        <w:t>tektiv v hovoru vykládá způsob svého pátrání. Vy</w:t>
      </w:r>
      <w:r>
        <w:softHyphen/>
        <w:t>světlovači dialogická metoda má vždy násilnou struk</w:t>
      </w:r>
      <w:r>
        <w:softHyphen/>
        <w:t>turu, nebot jakmile se ptá stále jen jedna strana a druhá pouze vysvětluje — je to školáctví.</w:t>
      </w:r>
    </w:p>
    <w:p w:rsidR="00500724" w:rsidRDefault="00F30FB8">
      <w:pPr>
        <w:pStyle w:val="Zkladntext20"/>
        <w:shd w:val="clear" w:color="auto" w:fill="auto"/>
        <w:spacing w:line="202" w:lineRule="auto"/>
      </w:pPr>
      <w:r>
        <w:t>Di</w:t>
      </w:r>
      <w:r>
        <w:t>alog je jen služebnou částí básnického a pro- saického celku díla.</w:t>
      </w:r>
    </w:p>
    <w:p w:rsidR="00500724" w:rsidRDefault="00F30FB8">
      <w:pPr>
        <w:pStyle w:val="Zkladntext20"/>
        <w:shd w:val="clear" w:color="auto" w:fill="auto"/>
        <w:spacing w:line="204" w:lineRule="auto"/>
        <w:ind w:firstLine="260"/>
      </w:pPr>
      <w:r>
        <w:t>Kdybychom se pokoušeli o třídění a pojmenování dialogů, octli bychom se ve spleti dobových, pro nás mrtvých manýr, frází, společenských konvencí a zdvo</w:t>
      </w:r>
      <w:r>
        <w:softHyphen/>
        <w:t xml:space="preserve">řilostí, tehdy významných, dnes však </w:t>
      </w:r>
      <w:r>
        <w:t>nic nepravících, v houštinách módních estetických zálib pravé řeči.</w:t>
      </w:r>
    </w:p>
    <w:p w:rsidR="00500724" w:rsidRDefault="00F30FB8">
      <w:pPr>
        <w:pStyle w:val="Zkladntext20"/>
        <w:shd w:val="clear" w:color="auto" w:fill="auto"/>
        <w:spacing w:line="204" w:lineRule="auto"/>
        <w:ind w:firstLine="260"/>
      </w:pPr>
      <w:r>
        <w:t>Jsou dialogy charakterisační, dějové nebo zase naopak, na pohled prázdné, nic nepravící, napsané však proto, aby tu byla dějová cesura, od</w:t>
      </w:r>
      <w:r>
        <w:softHyphen/>
        <w:t>počinek, oddych pro čtenáře; jsou dialogy pointu</w:t>
      </w:r>
      <w:r>
        <w:softHyphen/>
      </w:r>
      <w:r>
        <w:t>jící kapitolu; podle slohových měřítek jsou dialogy barokní, romantické, realistické, natu</w:t>
      </w:r>
      <w:r>
        <w:softHyphen/>
        <w:t>ralistické, dekadentně-estétské, impre- sionistické, expresionistické, surreali</w:t>
      </w:r>
      <w:r>
        <w:softHyphen/>
        <w:t>stické — a žádným způsobem bychom se neodvá</w:t>
      </w:r>
      <w:r>
        <w:softHyphen/>
        <w:t>žili předpisovat délku či krátkost dialog</w:t>
      </w:r>
      <w:r>
        <w:t>u na příklad podle oné virtuosní dialogové pádností, jež je v jedné scéně Alfieriho »Dona Carlose«, kde král a ministr hovoří, když si byli vyslechli dostaveníčko korunního prince s královnou:</w:t>
      </w:r>
    </w:p>
    <w:p w:rsidR="00500724" w:rsidRDefault="00F30FB8">
      <w:pPr>
        <w:pStyle w:val="Zkladntext20"/>
        <w:shd w:val="clear" w:color="auto" w:fill="auto"/>
        <w:ind w:firstLine="260"/>
        <w:rPr>
          <w:sz w:val="20"/>
          <w:szCs w:val="20"/>
        </w:rPr>
      </w:pPr>
      <w:r>
        <w:rPr>
          <w:sz w:val="20"/>
          <w:szCs w:val="20"/>
        </w:rPr>
        <w:t>»Vedesti?« — »Vedi.«</w:t>
      </w:r>
    </w:p>
    <w:p w:rsidR="00500724" w:rsidRDefault="00F30FB8">
      <w:pPr>
        <w:pStyle w:val="Zkladntext20"/>
        <w:shd w:val="clear" w:color="auto" w:fill="auto"/>
        <w:spacing w:line="180" w:lineRule="auto"/>
        <w:ind w:firstLine="260"/>
        <w:rPr>
          <w:sz w:val="20"/>
          <w:szCs w:val="20"/>
        </w:rPr>
      </w:pPr>
      <w:r>
        <w:rPr>
          <w:sz w:val="20"/>
          <w:szCs w:val="20"/>
        </w:rPr>
        <w:t>3&gt;Udisti?« — &gt;Udi.«</w:t>
      </w:r>
    </w:p>
    <w:p w:rsidR="00500724" w:rsidRDefault="00F30FB8">
      <w:pPr>
        <w:pStyle w:val="Zkladntext20"/>
        <w:shd w:val="clear" w:color="auto" w:fill="auto"/>
        <w:spacing w:line="185" w:lineRule="auto"/>
        <w:ind w:firstLine="260"/>
        <w:rPr>
          <w:sz w:val="20"/>
          <w:szCs w:val="20"/>
        </w:rPr>
      </w:pPr>
      <w:r>
        <w:rPr>
          <w:sz w:val="20"/>
          <w:szCs w:val="20"/>
        </w:rPr>
        <w:t>(Viděl jsi? — ViděL</w:t>
      </w:r>
    </w:p>
    <w:p w:rsidR="00500724" w:rsidRDefault="00F30FB8">
      <w:pPr>
        <w:pStyle w:val="Zkladntext20"/>
        <w:shd w:val="clear" w:color="auto" w:fill="auto"/>
        <w:spacing w:line="180" w:lineRule="auto"/>
        <w:ind w:firstLine="260"/>
        <w:rPr>
          <w:sz w:val="20"/>
          <w:szCs w:val="20"/>
        </w:rPr>
      </w:pPr>
      <w:r>
        <w:rPr>
          <w:sz w:val="20"/>
          <w:szCs w:val="20"/>
        </w:rPr>
        <w:t>Slyšel jsi? — Slyšel.)</w:t>
      </w:r>
    </w:p>
    <w:p w:rsidR="00500724" w:rsidRDefault="00F30FB8">
      <w:pPr>
        <w:pStyle w:val="Zkladntext20"/>
        <w:shd w:val="clear" w:color="auto" w:fill="auto"/>
        <w:spacing w:line="209" w:lineRule="auto"/>
        <w:ind w:firstLine="260"/>
      </w:pPr>
      <w:r>
        <w:t>Nemluvme o přirozenosti dialogu. Mluvme o pravděpodobnosti dialogu. Pravděpodobný, to znamená životný dialog.</w:t>
      </w:r>
    </w:p>
    <w:p w:rsidR="00500724" w:rsidRDefault="00F30FB8">
      <w:pPr>
        <w:pStyle w:val="Zkladntext20"/>
        <w:shd w:val="clear" w:color="auto" w:fill="auto"/>
        <w:spacing w:line="209" w:lineRule="auto"/>
        <w:ind w:firstLine="260"/>
      </w:pPr>
      <w:r>
        <w:t>Náš jazyk je dialogicky schopen vysokých i širo</w:t>
      </w:r>
      <w:r>
        <w:softHyphen/>
        <w:t xml:space="preserve">kých poloh, jadrné zemitosti i křehké </w:t>
      </w:r>
      <w:r>
        <w:rPr>
          <w:lang w:val="en-US" w:eastAsia="en-US" w:bidi="en-US"/>
        </w:rPr>
        <w:t xml:space="preserve">sensibility, </w:t>
      </w:r>
      <w:r>
        <w:t>je pln nepoznaných koutů</w:t>
      </w:r>
      <w:r>
        <w:t>, zvukových, výrazových i vý</w:t>
      </w:r>
      <w:r>
        <w:softHyphen/>
        <w:t>znamových tajemství:</w:t>
      </w:r>
    </w:p>
    <w:p w:rsidR="00500724" w:rsidRDefault="00F30FB8">
      <w:pPr>
        <w:pStyle w:val="Zkladntext20"/>
        <w:shd w:val="clear" w:color="auto" w:fill="auto"/>
        <w:spacing w:line="180" w:lineRule="auto"/>
        <w:ind w:firstLine="260"/>
        <w:rPr>
          <w:sz w:val="20"/>
          <w:szCs w:val="20"/>
        </w:rPr>
      </w:pPr>
      <w:r>
        <w:rPr>
          <w:sz w:val="20"/>
          <w:szCs w:val="20"/>
        </w:rPr>
        <w:t>»Chtěl bych umět napsat vše, eo dovedeš vyjádřit; chtěl bych užít aspoň jedinkrát všech krásných, určitých, živou</w:t>
      </w:r>
      <w:r>
        <w:rPr>
          <w:sz w:val="20"/>
          <w:szCs w:val="20"/>
        </w:rPr>
        <w:softHyphen/>
        <w:t>cích slov, která jsou v tobě. Musel bych žít sterým životem, abych tě plně poznal; doposud n</w:t>
      </w:r>
      <w:r>
        <w:rPr>
          <w:sz w:val="20"/>
          <w:szCs w:val="20"/>
        </w:rPr>
        <w:t>ikdo nezhlédl vše, eo jsi; ještě jsi před námi, tajemná, překypující a plná dalekých výhledů, budoucí vědomí národa, který vzestupuje,«</w:t>
      </w:r>
    </w:p>
    <w:p w:rsidR="00500724" w:rsidRDefault="00F30FB8">
      <w:pPr>
        <w:pStyle w:val="Zkladntext20"/>
        <w:shd w:val="clear" w:color="auto" w:fill="auto"/>
        <w:spacing w:after="40" w:line="180" w:lineRule="auto"/>
        <w:ind w:right="260" w:firstLine="0"/>
        <w:jc w:val="right"/>
        <w:rPr>
          <w:sz w:val="20"/>
          <w:szCs w:val="20"/>
        </w:rPr>
      </w:pPr>
      <w:r>
        <w:rPr>
          <w:sz w:val="20"/>
          <w:szCs w:val="20"/>
        </w:rPr>
        <w:t>(K. Čapek)</w:t>
      </w:r>
    </w:p>
    <w:p w:rsidR="00500724" w:rsidRDefault="00F30FB8">
      <w:pPr>
        <w:pStyle w:val="Jin0"/>
        <w:pBdr>
          <w:bottom w:val="single" w:sz="4" w:space="0" w:color="auto"/>
        </w:pBdr>
        <w:shd w:val="clear" w:color="auto" w:fill="auto"/>
        <w:spacing w:after="180" w:line="197" w:lineRule="auto"/>
        <w:ind w:firstLine="0"/>
        <w:jc w:val="left"/>
        <w:rPr>
          <w:sz w:val="46"/>
          <w:szCs w:val="46"/>
        </w:rPr>
      </w:pPr>
      <w:r>
        <w:rPr>
          <w:b/>
          <w:bCs/>
          <w:sz w:val="46"/>
          <w:szCs w:val="46"/>
        </w:rPr>
        <w:t>doba a lidé</w:t>
      </w:r>
    </w:p>
    <w:p w:rsidR="00500724" w:rsidRDefault="00F30FB8">
      <w:pPr>
        <w:pStyle w:val="Zkladntext20"/>
        <w:shd w:val="clear" w:color="auto" w:fill="auto"/>
        <w:spacing w:line="190" w:lineRule="auto"/>
        <w:ind w:firstLine="0"/>
        <w:jc w:val="left"/>
        <w:rPr>
          <w:sz w:val="20"/>
          <w:szCs w:val="20"/>
        </w:rPr>
      </w:pPr>
      <w:r>
        <w:rPr>
          <w:i/>
          <w:iCs/>
          <w:sz w:val="20"/>
          <w:szCs w:val="20"/>
        </w:rPr>
        <w:t>Jan Albert:</w:t>
      </w:r>
    </w:p>
    <w:p w:rsidR="00500724" w:rsidRDefault="00F30FB8">
      <w:pPr>
        <w:pStyle w:val="Nadpis100"/>
        <w:shd w:val="clear" w:color="auto" w:fill="auto"/>
        <w:spacing w:after="0" w:line="218" w:lineRule="auto"/>
      </w:pPr>
      <w:bookmarkStart w:id="599" w:name="bookmark598"/>
      <w:r>
        <w:t>Co se líbí a nelíbí</w:t>
      </w:r>
      <w:r>
        <w:br/>
        <w:t>Němcům v Praze</w:t>
      </w:r>
      <w:bookmarkEnd w:id="599"/>
    </w:p>
    <w:p w:rsidR="00500724" w:rsidRDefault="00F30FB8">
      <w:pPr>
        <w:pStyle w:val="Zkladntext100"/>
        <w:shd w:val="clear" w:color="auto" w:fill="auto"/>
        <w:spacing w:line="223" w:lineRule="auto"/>
        <w:ind w:firstLine="260"/>
      </w:pPr>
      <w:r>
        <w:t xml:space="preserve">Němci budou mít příležitost poznat nás lépe, než nás znali dosud; je však i na nás, abychom, se lépe seznámili s dnešními Němci. My sice víme celkem dobře, kdo byli třebas </w:t>
      </w:r>
      <w:r>
        <w:rPr>
          <w:lang w:val="en-US" w:eastAsia="en-US" w:bidi="en-US"/>
        </w:rPr>
        <w:t xml:space="preserve">Goethe, </w:t>
      </w:r>
      <w:r>
        <w:t xml:space="preserve">Kant, </w:t>
      </w:r>
      <w:r>
        <w:rPr>
          <w:lang w:val="en-US" w:eastAsia="en-US" w:bidi="en-US"/>
        </w:rPr>
        <w:t>Wagner, Nietzsche.</w:t>
      </w:r>
    </w:p>
    <w:p w:rsidR="00500724" w:rsidRDefault="00F30FB8">
      <w:pPr>
        <w:pStyle w:val="Zkladntext100"/>
        <w:shd w:val="clear" w:color="auto" w:fill="auto"/>
        <w:spacing w:line="223" w:lineRule="auto"/>
        <w:ind w:firstLine="320"/>
      </w:pPr>
      <w:r>
        <w:t xml:space="preserve">Zcela konkrétně je na příklad záhodno, abychom my, </w:t>
      </w:r>
      <w:r>
        <w:t xml:space="preserve">Češi, pochopili, co se dnešním Němcům v Praze a na Praze líbí, a co se jim tu nelíbí: to zajisté může přispět k tomu, abychom se lépe naučili znát jejich ducha. K tomu může výborně posloužit knížka Karla Hanse Strobla &gt;P r a </w:t>
      </w:r>
      <w:r>
        <w:rPr>
          <w:b/>
          <w:bCs/>
          <w:sz w:val="19"/>
          <w:szCs w:val="19"/>
        </w:rPr>
        <w:t xml:space="preserve">g«, </w:t>
      </w:r>
      <w:r>
        <w:t>vy</w:t>
      </w:r>
      <w:r>
        <w:softHyphen/>
        <w:t>daná letos v pietní úpra</w:t>
      </w:r>
      <w:r>
        <w:t>vě nakladatelstvím Adolfa Lusera, Vídeň-Lipsko. Autor Prahu dobře zná ještě ze svých stu</w:t>
      </w:r>
      <w:r>
        <w:softHyphen/>
        <w:t>dentských let a cítí k ní lásku, která proň od 15. března ztratila příchuť jakési bývalé trpkosti. Podívejme se ledy na Prahu očima tohoto Karla Hanse Strobla, jenž ná</w:t>
      </w:r>
      <w:r>
        <w:t>m plným právem může být představitelem současného kul</w:t>
      </w:r>
      <w:r>
        <w:softHyphen/>
        <w:t>turního němectví.</w:t>
      </w:r>
    </w:p>
    <w:p w:rsidR="00500724" w:rsidRDefault="00F30FB8">
      <w:pPr>
        <w:pStyle w:val="Zkladntext100"/>
        <w:shd w:val="clear" w:color="auto" w:fill="auto"/>
        <w:spacing w:line="223" w:lineRule="auto"/>
        <w:ind w:firstLine="0"/>
        <w:jc w:val="center"/>
      </w:pPr>
      <w:r>
        <w:t>Tři klady</w:t>
      </w:r>
    </w:p>
    <w:p w:rsidR="00500724" w:rsidRDefault="00F30FB8">
      <w:pPr>
        <w:pStyle w:val="Zkladntext100"/>
        <w:shd w:val="clear" w:color="auto" w:fill="auto"/>
        <w:spacing w:line="223" w:lineRule="auto"/>
        <w:ind w:firstLine="320"/>
      </w:pPr>
      <w:r>
        <w:t>Vidí na ni především tři klady, jimž celkem nemá co vytýkat: jsou to pražská hudba, pražské pivo a pražská děvčata.</w:t>
      </w:r>
    </w:p>
    <w:p w:rsidR="00500724" w:rsidRDefault="00F30FB8">
      <w:pPr>
        <w:pStyle w:val="Zkladntext20"/>
        <w:shd w:val="clear" w:color="auto" w:fill="auto"/>
        <w:spacing w:line="190" w:lineRule="auto"/>
        <w:ind w:firstLine="320"/>
        <w:rPr>
          <w:sz w:val="20"/>
          <w:szCs w:val="20"/>
        </w:rPr>
      </w:pPr>
      <w:r>
        <w:rPr>
          <w:sz w:val="20"/>
          <w:szCs w:val="20"/>
        </w:rPr>
        <w:t>»Není však pochyby o tom, že Češi jsou hudebně ne</w:t>
      </w:r>
      <w:r>
        <w:rPr>
          <w:sz w:val="20"/>
          <w:szCs w:val="20"/>
        </w:rPr>
        <w:softHyphen/>
        <w:t>obyčejně</w:t>
      </w:r>
      <w:r>
        <w:rPr>
          <w:sz w:val="20"/>
          <w:szCs w:val="20"/>
        </w:rPr>
        <w:t xml:space="preserve"> nadaným národem a že Praha byla jedním z prvních hudebních měst Evropy. Ovšem ne bez nejúčin</w:t>
      </w:r>
      <w:r>
        <w:rPr>
          <w:sz w:val="20"/>
          <w:szCs w:val="20"/>
        </w:rPr>
        <w:softHyphen/>
        <w:t>nější spolupráce a pomoci Němců.«</w:t>
      </w:r>
    </w:p>
    <w:p w:rsidR="00500724" w:rsidRDefault="00F30FB8">
      <w:pPr>
        <w:pStyle w:val="Zkladntext100"/>
        <w:shd w:val="clear" w:color="auto" w:fill="auto"/>
        <w:spacing w:line="211" w:lineRule="auto"/>
        <w:ind w:firstLine="320"/>
      </w:pPr>
      <w:r>
        <w:t>Pražské pivo, jak se zdá, se dokonce obešlo bez němec</w:t>
      </w:r>
      <w:r>
        <w:softHyphen/>
        <w:t xml:space="preserve">ké pomoci. Náš autor na ně vzpomíná </w:t>
      </w:r>
      <w:r>
        <w:rPr>
          <w:b/>
          <w:bCs/>
          <w:sz w:val="19"/>
          <w:szCs w:val="19"/>
        </w:rPr>
        <w:t xml:space="preserve">s </w:t>
      </w:r>
      <w:r>
        <w:t>citem hluboké vděčnosti, prozrazujíc</w:t>
      </w:r>
      <w:r>
        <w:t>ím, jak významnou roli hrálo kdysi ve šťastných dobách jeho studentského mládí, kdy - po</w:t>
      </w:r>
      <w:r>
        <w:softHyphen/>
        <w:t>dle jeho slov - byli Němci v pražských hospodách ještě vítanými hosty t</w:t>
      </w:r>
    </w:p>
    <w:p w:rsidR="00500724" w:rsidRDefault="00F30FB8">
      <w:pPr>
        <w:pStyle w:val="Zkladntext20"/>
        <w:shd w:val="clear" w:color="auto" w:fill="auto"/>
        <w:spacing w:line="173" w:lineRule="auto"/>
        <w:ind w:firstLine="320"/>
        <w:rPr>
          <w:sz w:val="20"/>
          <w:szCs w:val="20"/>
        </w:rPr>
      </w:pPr>
      <w:r>
        <w:rPr>
          <w:sz w:val="20"/>
          <w:szCs w:val="20"/>
        </w:rPr>
        <w:t xml:space="preserve">»Oh, vy světlá </w:t>
      </w:r>
      <w:r>
        <w:t xml:space="preserve">a </w:t>
      </w:r>
      <w:r>
        <w:rPr>
          <w:sz w:val="20"/>
          <w:szCs w:val="20"/>
        </w:rPr>
        <w:t xml:space="preserve">černá pražská piva, jejichž rozmanitost dovede zmást! Toho bezpočtu pivovarů, </w:t>
      </w:r>
      <w:r>
        <w:rPr>
          <w:sz w:val="20"/>
          <w:szCs w:val="20"/>
        </w:rPr>
        <w:t>které snesou srov</w:t>
      </w:r>
      <w:r>
        <w:rPr>
          <w:sz w:val="20"/>
          <w:szCs w:val="20"/>
        </w:rPr>
        <w:softHyphen/>
        <w:t xml:space="preserve">nání </w:t>
      </w:r>
      <w:r>
        <w:t xml:space="preserve">s </w:t>
      </w:r>
      <w:r>
        <w:rPr>
          <w:sz w:val="20"/>
          <w:szCs w:val="20"/>
        </w:rPr>
        <w:t xml:space="preserve">pivovary Mnichova! Moje vzpomínky prodlévají často 8 lítostí v dobách, kdy se za půl litru piva platilo šest krejcarů.»« Ve starých průchodních domech nechybí nikdy na jednom ani na druhém konci prostá zasklená budka* </w:t>
      </w:r>
      <w:r>
        <w:t xml:space="preserve">v </w:t>
      </w:r>
      <w:r>
        <w:rPr>
          <w:sz w:val="20"/>
          <w:szCs w:val="20"/>
        </w:rPr>
        <w:t>níž je nara</w:t>
      </w:r>
      <w:r>
        <w:rPr>
          <w:sz w:val="20"/>
          <w:szCs w:val="20"/>
        </w:rPr>
        <w:t>žen sud piva. Naplněná sklenice se podává za</w:t>
      </w:r>
      <w:r>
        <w:rPr>
          <w:sz w:val="20"/>
          <w:szCs w:val="20"/>
        </w:rPr>
        <w:softHyphen/>
        <w:t>souvacím okénkem a za ním stojí láhve s kyselými okur</w:t>
      </w:r>
      <w:r>
        <w:rPr>
          <w:sz w:val="20"/>
          <w:szCs w:val="20"/>
        </w:rPr>
        <w:softHyphen/>
        <w:t>kami a »rusy« a nakládanou cibulkou, lákavě tu leží na metry dlouhé párky »cigárka« a pod skleněnými zvony voní hory olomouckých syrečků, které jsou nejlepší</w:t>
      </w:r>
      <w:r>
        <w:rPr>
          <w:sz w:val="20"/>
          <w:szCs w:val="20"/>
        </w:rPr>
        <w:t xml:space="preserve">, když je při bližším pohledu vidíte se trochu hýbat. To je výčep* </w:t>
      </w:r>
      <w:r>
        <w:t xml:space="preserve">a </w:t>
      </w:r>
      <w:r>
        <w:rPr>
          <w:sz w:val="20"/>
          <w:szCs w:val="20"/>
        </w:rPr>
        <w:t>všechny staré pražské průchodní domy jsou cítit pivem* rusý a olomouckými syrečky.«</w:t>
      </w:r>
    </w:p>
    <w:p w:rsidR="00500724" w:rsidRDefault="00F30FB8">
      <w:pPr>
        <w:pStyle w:val="Zkladntext100"/>
        <w:shd w:val="clear" w:color="auto" w:fill="auto"/>
        <w:spacing w:line="214" w:lineRule="auto"/>
        <w:ind w:firstLine="320"/>
      </w:pPr>
      <w:r>
        <w:t xml:space="preserve">A jako se u studentů vůbec jenom zřídka vyskytuje </w:t>
      </w:r>
      <w:r>
        <w:rPr>
          <w:lang w:val="en-US" w:eastAsia="en-US" w:bidi="en-US"/>
        </w:rPr>
        <w:t xml:space="preserve">Bacchus </w:t>
      </w:r>
      <w:r>
        <w:t xml:space="preserve">sine Venere, tak se i v duchu Karla Hanse </w:t>
      </w:r>
      <w:r>
        <w:t>Strobia spojuje vzpomínka na pivní a syrečkové výpary s poně</w:t>
      </w:r>
      <w:r>
        <w:softHyphen/>
        <w:t>kud poetičtější vzpomínkou na pražská děvčata.</w:t>
      </w:r>
    </w:p>
    <w:p w:rsidR="00500724" w:rsidRDefault="00F30FB8">
      <w:pPr>
        <w:pStyle w:val="Zkladntext20"/>
        <w:shd w:val="clear" w:color="auto" w:fill="auto"/>
        <w:spacing w:line="192" w:lineRule="auto"/>
        <w:ind w:firstLine="320"/>
        <w:rPr>
          <w:sz w:val="20"/>
          <w:szCs w:val="20"/>
        </w:rPr>
      </w:pPr>
      <w:r>
        <w:rPr>
          <w:sz w:val="20"/>
          <w:szCs w:val="20"/>
        </w:rPr>
        <w:t>»Je to báječný diruh, tahle pražská děvčata, svěží, štíhlá* plna kypícího života, zdravá, silná, nejlepší produkt stale</w:t>
      </w:r>
      <w:r>
        <w:rPr>
          <w:sz w:val="20"/>
          <w:szCs w:val="20"/>
        </w:rPr>
        <w:softHyphen/>
        <w:t>tého křížení německého a slo</w:t>
      </w:r>
      <w:r>
        <w:rPr>
          <w:sz w:val="20"/>
          <w:szCs w:val="20"/>
        </w:rPr>
        <w:t>vanského plemene.«</w:t>
      </w:r>
    </w:p>
    <w:p w:rsidR="00500724" w:rsidRDefault="00F30FB8">
      <w:pPr>
        <w:pStyle w:val="Zkladntext100"/>
        <w:shd w:val="clear" w:color="auto" w:fill="auto"/>
        <w:spacing w:line="206" w:lineRule="auto"/>
        <w:ind w:firstLine="320"/>
      </w:pPr>
      <w:r>
        <w:t>Autorův kladný soud o pražských dívkách je tím pozo</w:t>
      </w:r>
      <w:r>
        <w:softHyphen/>
        <w:t>ruhodnější, že jeho vlastní zkušenosti s nimi patrně nebyly vždycky nej šťastnější.</w:t>
      </w:r>
    </w:p>
    <w:p w:rsidR="00500724" w:rsidRDefault="00F30FB8">
      <w:pPr>
        <w:pStyle w:val="Zkladntext20"/>
        <w:shd w:val="clear" w:color="auto" w:fill="auto"/>
        <w:spacing w:after="40" w:line="180" w:lineRule="auto"/>
        <w:ind w:firstLine="320"/>
        <w:rPr>
          <w:sz w:val="20"/>
          <w:szCs w:val="20"/>
        </w:rPr>
      </w:pPr>
      <w:r>
        <w:rPr>
          <w:sz w:val="20"/>
          <w:szCs w:val="20"/>
        </w:rPr>
        <w:t xml:space="preserve">»Ano, takové jsou — píše — mají však také svoje trny </w:t>
      </w:r>
      <w:r>
        <w:t xml:space="preserve">k </w:t>
      </w:r>
      <w:r>
        <w:rPr>
          <w:sz w:val="20"/>
          <w:szCs w:val="20"/>
        </w:rPr>
        <w:t xml:space="preserve">obraně.., Jejich bystrozrak proniká každé </w:t>
      </w:r>
      <w:r>
        <w:rPr>
          <w:sz w:val="20"/>
          <w:szCs w:val="20"/>
        </w:rPr>
        <w:t>maskování a znemožňuje každé přiblížení.«</w:t>
      </w:r>
    </w:p>
    <w:p w:rsidR="00500724" w:rsidRDefault="00F30FB8">
      <w:pPr>
        <w:pStyle w:val="Zkladntext100"/>
        <w:shd w:val="clear" w:color="auto" w:fill="auto"/>
        <w:spacing w:after="40" w:line="223" w:lineRule="auto"/>
        <w:ind w:firstLine="0"/>
        <w:jc w:val="center"/>
      </w:pPr>
      <w:r>
        <w:t>Pomníky</w:t>
      </w:r>
    </w:p>
    <w:p w:rsidR="00500724" w:rsidRDefault="00F30FB8">
      <w:pPr>
        <w:pStyle w:val="Zkladntext100"/>
        <w:shd w:val="clear" w:color="auto" w:fill="auto"/>
        <w:spacing w:line="223" w:lineRule="auto"/>
        <w:ind w:firstLine="260"/>
      </w:pPr>
      <w:r>
        <w:t>Mezi věci, které se panu Stroblovi líbily v Praze už zmizelé, patří na předním místě Mariánský sloup na Staroměstském náměstí. Udává, kdo a kdy jej postavil a lituje velice, že padl za oběť barbarství, ačko</w:t>
      </w:r>
      <w:r>
        <w:t>liv »se svou barokní vznosností nádherně hodil do svého pro</w:t>
      </w:r>
      <w:r>
        <w:softHyphen/>
        <w:t>storu*.</w:t>
      </w:r>
    </w:p>
    <w:p w:rsidR="00500724" w:rsidRDefault="00F30FB8">
      <w:pPr>
        <w:pStyle w:val="Zkladntext100"/>
        <w:shd w:val="clear" w:color="auto" w:fill="auto"/>
        <w:spacing w:line="223" w:lineRule="auto"/>
        <w:ind w:firstLine="260"/>
      </w:pPr>
      <w:r>
        <w:t>Zde bychom snad měli něco říci na vysvětlenou těm, kdo se s námi opravdu chtějí seznámit. Císař Ferdinand II. dal postavit Mariánský sloup na oslavu svého bělohor</w:t>
      </w:r>
      <w:r>
        <w:softHyphen/>
        <w:t>ského vítězství nad Čechy</w:t>
      </w:r>
      <w:r>
        <w:t>. Představme si na chvíli, že by bylo Napoleonovi napadlo postavit v Jeně pomník na paměť bitvy, v níž tam porazil pruskou armádu: ať by byla bývala jeho umělecká hodnota jakákoliv, ať by byl sebe čarovněji zapadal do svého okolí - ten pomník by tam dnes u</w:t>
      </w:r>
      <w:r>
        <w:t>ž nestál.</w:t>
      </w:r>
    </w:p>
    <w:p w:rsidR="00500724" w:rsidRDefault="00F30FB8">
      <w:pPr>
        <w:pStyle w:val="Zkladntext20"/>
        <w:shd w:val="clear" w:color="auto" w:fill="auto"/>
        <w:spacing w:after="60" w:line="178" w:lineRule="auto"/>
        <w:ind w:firstLine="260"/>
        <w:rPr>
          <w:sz w:val="20"/>
          <w:szCs w:val="20"/>
        </w:rPr>
      </w:pPr>
      <w:r>
        <w:rPr>
          <w:sz w:val="20"/>
          <w:szCs w:val="20"/>
        </w:rPr>
        <w:t>»Jako náhradu — píše Strobl — tu postavili Husův pomník, a to není ničím jiným nežli kamenným hříchem proti duchu svátému tohoto náměstí. Připomíná těžítko nadživotní velikosti v nejhorším secesním stylu. Z bez- tvárného klubka lidských těl se zv</w:t>
      </w:r>
      <w:r>
        <w:rPr>
          <w:sz w:val="20"/>
          <w:szCs w:val="20"/>
        </w:rPr>
        <w:t>edá Husova postava.«</w:t>
      </w:r>
    </w:p>
    <w:p w:rsidR="00500724" w:rsidRDefault="00F30FB8">
      <w:pPr>
        <w:pStyle w:val="Zkladntext100"/>
        <w:shd w:val="clear" w:color="auto" w:fill="auto"/>
        <w:spacing w:after="60" w:line="223" w:lineRule="auto"/>
        <w:ind w:firstLine="0"/>
        <w:jc w:val="center"/>
      </w:pPr>
      <w:r>
        <w:t>Císař a kacíř</w:t>
      </w:r>
    </w:p>
    <w:p w:rsidR="00500724" w:rsidRDefault="00F30FB8">
      <w:pPr>
        <w:pStyle w:val="Zkladntext100"/>
        <w:shd w:val="clear" w:color="auto" w:fill="auto"/>
        <w:spacing w:line="221" w:lineRule="auto"/>
        <w:ind w:firstLine="260"/>
      </w:pPr>
      <w:r>
        <w:t>Z velikých postav naší historie se líbí zejména Karel IV. Známé německé úsloví o tom, že prý tento císař byl sice »otcem Čechům, avšak otčimem svaté římské říši*, spo</w:t>
      </w:r>
      <w:r>
        <w:softHyphen/>
        <w:t>čívá prý na předsudku, podle našeho autora tomu bylo s</w:t>
      </w:r>
      <w:r>
        <w:t>píše naopak. Neboť Karel IV. prý znovu rozvinul v ý- chodní politiku Říše, jejímž centrem mohla nejlépe být právě Praha.</w:t>
      </w:r>
    </w:p>
    <w:p w:rsidR="00500724" w:rsidRDefault="00F30FB8">
      <w:pPr>
        <w:pStyle w:val="Zkladntext20"/>
        <w:shd w:val="clear" w:color="auto" w:fill="auto"/>
        <w:spacing w:line="175" w:lineRule="auto"/>
        <w:ind w:firstLine="260"/>
        <w:rPr>
          <w:sz w:val="20"/>
          <w:szCs w:val="20"/>
        </w:rPr>
      </w:pPr>
      <w:r>
        <w:rPr>
          <w:sz w:val="20"/>
          <w:szCs w:val="20"/>
        </w:rPr>
        <w:t>»Pokračování politiky Karla IV. v německém smyslu by bylo snad mohlo vésti k tomu, že by se střediskem německých dějin nebyla stala Víd</w:t>
      </w:r>
      <w:r>
        <w:rPr>
          <w:sz w:val="20"/>
          <w:szCs w:val="20"/>
        </w:rPr>
        <w:t>eň nebo Berlín, nýbrž Praha, uprostřed velikých, němectví získaných Čech, hlavní město německé Říše, ovládající i východ.«</w:t>
      </w:r>
    </w:p>
    <w:p w:rsidR="00500724" w:rsidRDefault="00F30FB8">
      <w:pPr>
        <w:pStyle w:val="Zkladntext100"/>
        <w:shd w:val="clear" w:color="auto" w:fill="auto"/>
        <w:spacing w:line="223" w:lineRule="auto"/>
        <w:ind w:firstLine="260"/>
      </w:pPr>
      <w:r>
        <w:t>»Muž, jímž byl tento vývoj přerušena - pokračuje pak Strobl - byl mistr Jan Hus. Ten se mu nelíbí proto, že si získával masy »svým žh</w:t>
      </w:r>
      <w:r>
        <w:t>oucím, česky nacionálním fana</w:t>
      </w:r>
      <w:r>
        <w:softHyphen/>
        <w:t xml:space="preserve">tismem, svou propastnou nenávistí ke všemu německému«. Husitství, jež se odtud zrodilo, bylo pak ojakýmsi nacio- nál-bolševismemt, jenž »v několika desítiletích zničil všechno, co německý duch a německá píle za celá staletí v </w:t>
      </w:r>
      <w:r>
        <w:t>Čechách zbudovala .. .a</w:t>
      </w:r>
    </w:p>
    <w:p w:rsidR="00500724" w:rsidRDefault="00F30FB8">
      <w:pPr>
        <w:pStyle w:val="Zkladntext100"/>
        <w:shd w:val="clear" w:color="auto" w:fill="auto"/>
        <w:spacing w:after="60" w:line="223" w:lineRule="auto"/>
        <w:ind w:firstLine="260"/>
      </w:pPr>
      <w:r>
        <w:t>Zde je ovšem vidět, že v hodnocení tohoto úseku našich dějin se dnes Němci a češi značně rozcházejí. Na štěstí íomu tak nebývalo vždycky, z čehož lze čerpati naději,</w:t>
      </w:r>
    </w:p>
    <w:p w:rsidR="00500724" w:rsidRDefault="00F30FB8">
      <w:pPr>
        <w:pStyle w:val="Zkladntext100"/>
        <w:shd w:val="clear" w:color="auto" w:fill="auto"/>
        <w:spacing w:after="40" w:line="223" w:lineRule="auto"/>
        <w:ind w:firstLine="0"/>
      </w:pPr>
      <w:r>
        <w:t xml:space="preserve">Ke tomu tak ani napříště nemusí vždycky být. Veliký Němec dr. Mariin </w:t>
      </w:r>
      <w:r>
        <w:rPr>
          <w:lang w:val="en-US" w:eastAsia="en-US" w:bidi="en-US"/>
        </w:rPr>
        <w:t xml:space="preserve">Luther </w:t>
      </w:r>
      <w:r>
        <w:t>hodnotil Mistra Jana Husa jak známo neobyčejně positivně, viděl v něm svého největ</w:t>
      </w:r>
      <w:r>
        <w:softHyphen/>
        <w:t>šího předchůdce, on ovšem četl Husova kázání a jeho spisy, z nichž nikde nemluví štváčská nenávis</w:t>
      </w:r>
      <w:r>
        <w:t>t k Němcům, A právě od té doby, co poznal Husovy spisy, se Luthei sám příležitostně nazýval husitou.</w:t>
      </w:r>
    </w:p>
    <w:p w:rsidR="00500724" w:rsidRDefault="00F30FB8">
      <w:pPr>
        <w:pStyle w:val="Zkladntext100"/>
        <w:shd w:val="clear" w:color="auto" w:fill="auto"/>
        <w:spacing w:after="40" w:line="223" w:lineRule="auto"/>
        <w:ind w:firstLine="0"/>
        <w:jc w:val="center"/>
      </w:pPr>
      <w:r>
        <w:t>Dvojí Praha</w:t>
      </w:r>
    </w:p>
    <w:p w:rsidR="00500724" w:rsidRDefault="00F30FB8">
      <w:pPr>
        <w:pStyle w:val="Zkladntext100"/>
        <w:shd w:val="clear" w:color="auto" w:fill="auto"/>
        <w:spacing w:line="223" w:lineRule="auto"/>
        <w:ind w:firstLine="200"/>
      </w:pPr>
      <w:r>
        <w:t>V očích našich Němců se architektonická Praha zhruba dělí na německou a americko-bolševickou. K Praze ně</w:t>
      </w:r>
      <w:r>
        <w:softHyphen/>
        <w:t xml:space="preserve">mecké patří v podstatě všechno, co je </w:t>
      </w:r>
      <w:r>
        <w:t>tu krásné: »kameny gotické Prahy mluví německy*, &gt;barokní Praha pak mluví německy oběma velikými Dienzenhoferys a vůbec »uka- zují ulice a náměstí Prahy pohledu divákovu na každém kroku kamenné památky německé minulosti tohoto města*,</w:t>
      </w:r>
    </w:p>
    <w:p w:rsidR="00500724" w:rsidRDefault="00F30FB8">
      <w:pPr>
        <w:pStyle w:val="Zkladntext100"/>
        <w:shd w:val="clear" w:color="auto" w:fill="auto"/>
        <w:spacing w:after="40" w:line="223" w:lineRule="auto"/>
        <w:ind w:firstLine="200"/>
      </w:pPr>
      <w:r>
        <w:t>Nová Praha je však ke</w:t>
      </w:r>
      <w:r>
        <w:t xml:space="preserve"> své minulosti nevděčné.</w:t>
      </w:r>
    </w:p>
    <w:p w:rsidR="00500724" w:rsidRDefault="00F30FB8">
      <w:pPr>
        <w:pStyle w:val="Zkladntext20"/>
        <w:shd w:val="clear" w:color="auto" w:fill="auto"/>
        <w:spacing w:line="178" w:lineRule="auto"/>
        <w:ind w:firstLine="200"/>
        <w:rPr>
          <w:sz w:val="20"/>
          <w:szCs w:val="20"/>
        </w:rPr>
      </w:pPr>
      <w:r>
        <w:rPr>
          <w:sz w:val="20"/>
          <w:szCs w:val="20"/>
        </w:rPr>
        <w:t xml:space="preserve">»Praha — říká nám Karl Hans Strobl — zapřela svojí vlastní minulost, pokud je a protože je německá, aby sa bezpodmínečně vydala Francii </w:t>
      </w:r>
      <w:r>
        <w:rPr>
          <w:i/>
          <w:iCs/>
          <w:sz w:val="20"/>
          <w:szCs w:val="20"/>
        </w:rPr>
        <w:t>a</w:t>
      </w:r>
      <w:r>
        <w:rPr>
          <w:sz w:val="20"/>
          <w:szCs w:val="20"/>
        </w:rPr>
        <w:t xml:space="preserve"> Americe. A právě tak se vrhla do náručí bolševismu, protože v něm vidí nejhoršího nepřítele němectví, oné kultury, která dala zlaté Praze její výtvarný vzhled.«</w:t>
      </w:r>
    </w:p>
    <w:p w:rsidR="00500724" w:rsidRDefault="00F30FB8">
      <w:pPr>
        <w:pStyle w:val="Zkladntext100"/>
        <w:shd w:val="clear" w:color="auto" w:fill="auto"/>
        <w:spacing w:after="40" w:line="223" w:lineRule="auto"/>
        <w:ind w:firstLine="200"/>
      </w:pPr>
      <w:r>
        <w:t>Češi sice Prahu ínesmírně zvětšili a roztáhli, nezkrášlilí ji však*. Pokazili ji dokonce isvým</w:t>
      </w:r>
      <w:r>
        <w:t xml:space="preserve"> příliš zdůrazněným pocitem moci a přítomnosti^, v jehož duchu ípřinesli kruté oběti bůžkům dopravy a nové věcnosti*. Vypadá to skoro, jako by Češi jen z odporu k němectví přestali stavět goticky a barokně, p. Strobl by asi těžko shle</w:t>
      </w:r>
      <w:r>
        <w:softHyphen/>
        <w:t>dával odpověď na otáz</w:t>
      </w:r>
      <w:r>
        <w:t>ku, které město v Evropě »ne- zapřelo svoji minulost* v tom smyslu, jak to říká o Praze. Vzpomínám si třebas jen na někdejší krásu berlínské třídy Pod lipami: čemu padly nedávno za oběť její skvělá aleje, kdysi pýcha královského i císařského Berlína? Zdá s</w:t>
      </w:r>
      <w:r>
        <w:t>e mi, že se ne jen v moderní Praze obětuje modlám věcnosti a dopravy.</w:t>
      </w:r>
    </w:p>
    <w:p w:rsidR="00500724" w:rsidRDefault="00F30FB8">
      <w:pPr>
        <w:pStyle w:val="Zkladntext100"/>
        <w:shd w:val="clear" w:color="auto" w:fill="auto"/>
        <w:spacing w:after="40" w:line="223" w:lineRule="auto"/>
        <w:ind w:firstLine="0"/>
        <w:jc w:val="center"/>
      </w:pPr>
      <w:r>
        <w:t>Nešťastná láska</w:t>
      </w:r>
    </w:p>
    <w:p w:rsidR="00500724" w:rsidRDefault="00F30FB8">
      <w:pPr>
        <w:pStyle w:val="Zkladntext20"/>
        <w:shd w:val="clear" w:color="auto" w:fill="auto"/>
        <w:spacing w:line="178" w:lineRule="auto"/>
        <w:ind w:firstLine="200"/>
        <w:rPr>
          <w:sz w:val="20"/>
          <w:szCs w:val="20"/>
        </w:rPr>
      </w:pPr>
      <w:r>
        <w:rPr>
          <w:sz w:val="20"/>
          <w:szCs w:val="20"/>
        </w:rPr>
        <w:t>»Praha — uzavírá K. H. Strobl svoji knížku — je po</w:t>
      </w:r>
      <w:r>
        <w:rPr>
          <w:sz w:val="20"/>
          <w:szCs w:val="20"/>
        </w:rPr>
        <w:softHyphen/>
        <w:t>divným a nezbadatelným městem, jemuž osud propůjčil magickou sílu. Kdo jednou pozřel v oči tomuto městu, ten je odsouze</w:t>
      </w:r>
      <w:r>
        <w:rPr>
          <w:sz w:val="20"/>
          <w:szCs w:val="20"/>
        </w:rPr>
        <w:t>n k tomu, aby je miloval... Byla to pro nás však nešťastná láska. Po staletí usiloval německý národ tisícerým způsobem o Prahu svými nejlepšími silami, aby. za to nesklidil nic než nenávist.«</w:t>
      </w:r>
    </w:p>
    <w:p w:rsidR="00500724" w:rsidRDefault="00F30FB8">
      <w:pPr>
        <w:pStyle w:val="Zkladntext100"/>
        <w:shd w:val="clear" w:color="auto" w:fill="auto"/>
        <w:spacing w:line="223" w:lineRule="auto"/>
        <w:ind w:firstLine="200"/>
      </w:pPr>
      <w:r>
        <w:t>Nám Čechům ovšem připadá, že by zde bylo záhodno poněkud diferen</w:t>
      </w:r>
      <w:r>
        <w:t>covat tam, kde se mluví o nejlepších silách německého národa. Byly to nepochybně nejlepší síly německého národa, které vyhověly pozvání bohatých posledních Přemyslovců a přenesly do Prahy francouz</w:t>
      </w:r>
      <w:r>
        <w:softHyphen/>
        <w:t>skou troubadourskou poesii v německém rouše. Za Karla</w:t>
      </w:r>
    </w:p>
    <w:p w:rsidR="00500724" w:rsidRDefault="00F30FB8">
      <w:pPr>
        <w:pStyle w:val="Zkladntext100"/>
        <w:numPr>
          <w:ilvl w:val="0"/>
          <w:numId w:val="72"/>
        </w:numPr>
        <w:shd w:val="clear" w:color="auto" w:fill="auto"/>
        <w:tabs>
          <w:tab w:val="left" w:pos="380"/>
        </w:tabs>
        <w:spacing w:after="160" w:line="223" w:lineRule="auto"/>
        <w:ind w:firstLine="0"/>
      </w:pPr>
      <w:r>
        <w:t>přišl</w:t>
      </w:r>
      <w:r>
        <w:t>y právě tak nejlepší německé síly vyzdobit Prahu za české stříbro francouzskou gotikou. O sto let později přijímala česká Praha ochotně učení Martina Luthera. Mozart se necítil nikde tak doma jako v Praze. Německé kultuře se Praha po tisíc let ráda otvíral</w:t>
      </w:r>
      <w:r>
        <w:t>a. Nejlepší síly německého národa zde nenávist nikdy nesklidily.</w:t>
      </w:r>
    </w:p>
    <w:p w:rsidR="00500724" w:rsidRDefault="00F30FB8">
      <w:pPr>
        <w:pStyle w:val="Zkladntext20"/>
        <w:shd w:val="clear" w:color="auto" w:fill="auto"/>
        <w:spacing w:after="40" w:line="202" w:lineRule="auto"/>
        <w:ind w:firstLine="0"/>
        <w:rPr>
          <w:sz w:val="20"/>
          <w:szCs w:val="20"/>
        </w:rPr>
      </w:pPr>
      <w:r>
        <w:rPr>
          <w:i/>
          <w:iCs/>
          <w:sz w:val="20"/>
          <w:szCs w:val="20"/>
        </w:rPr>
        <w:t>Dr. Ladislav M a c h ý 6 e k:</w:t>
      </w:r>
    </w:p>
    <w:p w:rsidR="00500724" w:rsidRDefault="00F30FB8">
      <w:pPr>
        <w:pStyle w:val="Nadpis100"/>
        <w:shd w:val="clear" w:color="auto" w:fill="auto"/>
        <w:spacing w:line="233" w:lineRule="auto"/>
        <w:ind w:left="480"/>
        <w:jc w:val="left"/>
      </w:pPr>
      <w:bookmarkStart w:id="600" w:name="bookmark599"/>
      <w:r>
        <w:t>Studuj, osle, budeš pánem!</w:t>
      </w:r>
      <w:bookmarkEnd w:id="600"/>
    </w:p>
    <w:p w:rsidR="00500724" w:rsidRDefault="00F30FB8">
      <w:pPr>
        <w:pStyle w:val="Zkladntext20"/>
        <w:shd w:val="clear" w:color="auto" w:fill="auto"/>
        <w:spacing w:line="204" w:lineRule="auto"/>
        <w:ind w:firstLine="200"/>
      </w:pPr>
      <w:r>
        <w:t xml:space="preserve">Tento nijak ozdobný nápis byl před několika málo lety neuměle napsán vtipnou rukou na stěnu jedné staroslavné koleje, hostící </w:t>
      </w:r>
      <w:r>
        <w:t>posluchače ještě staroslav</w:t>
      </w:r>
      <w:r>
        <w:softHyphen/>
        <w:t>nějšího učení Karlova. Co se nám na tom nápise líbí, jest podstata a vystižení věci. Říká, co nesčetní otcové svým nezdárným dětem pozdviženým hlasem často ří</w:t>
      </w:r>
      <w:r>
        <w:softHyphen/>
        <w:t>kávají, když místo učení se zabývají mašinami a šroubky všelikými a mí</w:t>
      </w:r>
      <w:r>
        <w:t>sto úkolů nasypávají hory písku a kouzlí hrady. Dlouho to byla pravda. Hoch, který dobře studoval, býval pýchou rodiny, jakýmsi mazlíčkem, a když udělal maturitu, byl dospělým člo</w:t>
      </w:r>
      <w:r>
        <w:softHyphen/>
        <w:t>věkem, s nímž se i obecní konšelé rádi zastavili a tro</w:t>
      </w:r>
      <w:r>
        <w:softHyphen/>
        <w:t>chu mudrovali. Měl to</w:t>
      </w:r>
      <w:r>
        <w:t xml:space="preserve"> jisté a byl pod pensí. Maturita a někdy i vysoká škola byly základem klidného a všemi uznaně váženého života. Když pocházel takový bez- vousý jinoch z města, bylo samozřejmé, patřil-li k patricijské rodině, že mu už při narození otec se sudičkami určil pa</w:t>
      </w:r>
      <w:r>
        <w:t>třičné místo v městských zařízeních a ústavech.</w:t>
      </w:r>
    </w:p>
    <w:p w:rsidR="00500724" w:rsidRDefault="00F30FB8">
      <w:pPr>
        <w:pStyle w:val="Zkladntext20"/>
        <w:shd w:val="clear" w:color="auto" w:fill="auto"/>
        <w:spacing w:line="204" w:lineRule="auto"/>
      </w:pPr>
      <w:r>
        <w:t>Tata předehra jest pro dnešek už zašlým časem, idylou, která patří do kalendáře a tam se také obje</w:t>
      </w:r>
      <w:r>
        <w:softHyphen/>
        <w:t>vuje. Obrazy, které hodláme nastínit, jsou velmi ča</w:t>
      </w:r>
      <w:r>
        <w:softHyphen/>
        <w:t>sové, takže do aktualit dneška dobře zapadnou. Jsou V mys</w:t>
      </w:r>
      <w:r>
        <w:t>lích mnoha a cítíme potřebu je sdělit ostatním.</w:t>
      </w:r>
    </w:p>
    <w:p w:rsidR="00500724" w:rsidRDefault="00F30FB8">
      <w:pPr>
        <w:pStyle w:val="Zkladntext20"/>
        <w:shd w:val="clear" w:color="auto" w:fill="auto"/>
        <w:spacing w:after="100" w:line="204" w:lineRule="auto"/>
      </w:pPr>
      <w:r>
        <w:t>Jde o mladíky, už v tógách mužů, kteří k vám pro</w:t>
      </w:r>
      <w:r>
        <w:softHyphen/>
        <w:t>mlouvají. Jde o osoby, zrozené těsně před válkou a ve válce.</w:t>
      </w:r>
    </w:p>
    <w:p w:rsidR="00500724" w:rsidRDefault="00F30FB8">
      <w:pPr>
        <w:pStyle w:val="Zkladntext20"/>
        <w:shd w:val="clear" w:color="auto" w:fill="auto"/>
        <w:spacing w:after="80" w:line="202" w:lineRule="auto"/>
        <w:ind w:firstLine="0"/>
        <w:jc w:val="center"/>
      </w:pPr>
      <w:r>
        <w:t>Vstup do života za dunění děl</w:t>
      </w:r>
    </w:p>
    <w:p w:rsidR="00500724" w:rsidRDefault="00F30FB8">
      <w:pPr>
        <w:pStyle w:val="Zkladntext20"/>
        <w:shd w:val="clear" w:color="auto" w:fill="auto"/>
        <w:spacing w:line="202" w:lineRule="auto"/>
      </w:pPr>
      <w:r>
        <w:t>Ano, jsme to my, zrození maličko před válkou a pří</w:t>
      </w:r>
      <w:r>
        <w:softHyphen/>
        <w:t>mo v ní. Co nám s</w:t>
      </w:r>
      <w:r>
        <w:t>udičky nakladly do kolébek, to ne</w:t>
      </w:r>
      <w:r>
        <w:softHyphen/>
        <w:t>víme. Přicházeli jsme na svět a naši otcové na bo</w:t>
      </w:r>
      <w:r>
        <w:softHyphen/>
        <w:t>jištích umírali. Lidí zemřelo víc, než se nás narodilo. Byly to těžké doby.</w:t>
      </w:r>
    </w:p>
    <w:p w:rsidR="00500724" w:rsidRDefault="00F30FB8">
      <w:pPr>
        <w:pStyle w:val="Zkladntext20"/>
        <w:shd w:val="clear" w:color="auto" w:fill="auto"/>
        <w:spacing w:line="202" w:lineRule="auto"/>
      </w:pPr>
      <w:r>
        <w:t>Říkáte, že jsme byli maličtí? Ale, ach, což si ne</w:t>
      </w:r>
      <w:r>
        <w:softHyphen/>
        <w:t>pamatujeme tak mnozí z nás na chvilky, kdy při</w:t>
      </w:r>
      <w:r>
        <w:t>šla zpráva, že náš otec, jediný živitel, se již nevrátí? Tehdy jsme se divili a udiveně zírali na své matky, které srdcelomně plakaly a křečovitě nás tiskly v ná</w:t>
      </w:r>
      <w:r>
        <w:softHyphen/>
        <w:t>ruč. My se rozplakali s nimi. A měli jsme proč.</w:t>
      </w:r>
    </w:p>
    <w:p w:rsidR="00500724" w:rsidRDefault="00F30FB8">
      <w:pPr>
        <w:pStyle w:val="Zkladntext20"/>
        <w:shd w:val="clear" w:color="auto" w:fill="auto"/>
        <w:spacing w:line="202" w:lineRule="auto"/>
      </w:pPr>
      <w:r>
        <w:t>Pak přišel konec hrůz a začal život. Ti, co se</w:t>
      </w:r>
      <w:r>
        <w:t xml:space="preserve"> vrá</w:t>
      </w:r>
      <w:r>
        <w:softHyphen/>
        <w:t>tili, zaměnili boj o život za boj o chleba a toto šavlo</w:t>
      </w:r>
      <w:r>
        <w:softHyphen/>
        <w:t>vání bylo úspěšné. Pro mnohé to byla příležitost. Opouštěli řemesla, za která se tehdy nestyděli, a po</w:t>
      </w:r>
      <w:r>
        <w:softHyphen/>
        <w:t>čali novou, úspěšnou dobu svého života jako úředníci nebo důstojníci. Někteří, pravděpodobně</w:t>
      </w:r>
      <w:r>
        <w:t xml:space="preserve"> pro své schopnosti, dosáhli vysokých důstojenství.</w:t>
      </w:r>
    </w:p>
    <w:p w:rsidR="00500724" w:rsidRDefault="00F30FB8">
      <w:pPr>
        <w:pStyle w:val="Zkladntext20"/>
        <w:shd w:val="clear" w:color="auto" w:fill="auto"/>
        <w:spacing w:after="100" w:line="202" w:lineRule="auto"/>
      </w:pPr>
      <w:r>
        <w:t>Někteří z nás jsou syny těchto šťastlivců, jiní však — a těch je víc, protože na světě jest více bídy než blahobytu — jsou syny těch, kteří vykrváceli a o něž začal pečovat stát. Řekněme rovnou, že to neb</w:t>
      </w:r>
      <w:r>
        <w:t>yly ve</w:t>
      </w:r>
      <w:r>
        <w:softHyphen/>
        <w:t>selé doby. Počala klopotná doba, v níž jsme vy</w:t>
      </w:r>
      <w:r>
        <w:softHyphen/>
        <w:t>růstali.</w:t>
      </w:r>
    </w:p>
    <w:p w:rsidR="00500724" w:rsidRDefault="00F30FB8">
      <w:pPr>
        <w:pStyle w:val="Zkladntext20"/>
        <w:shd w:val="clear" w:color="auto" w:fill="auto"/>
        <w:spacing w:after="60" w:line="202" w:lineRule="auto"/>
        <w:ind w:firstLine="0"/>
        <w:jc w:val="center"/>
      </w:pPr>
      <w:r>
        <w:t>»Chci, abys měl lehčí život«</w:t>
      </w:r>
    </w:p>
    <w:p w:rsidR="00500724" w:rsidRDefault="00F30FB8">
      <w:pPr>
        <w:pStyle w:val="Zkladntext20"/>
        <w:shd w:val="clear" w:color="auto" w:fill="auto"/>
        <w:spacing w:line="202" w:lineRule="auto"/>
      </w:pPr>
      <w:r>
        <w:t>Zpravidla rodiče vychovávají děti. A povzbuzeni blízkými příklady, počali tatíci posílat své miláčky na studia bez ohledu na jejich přání a schopnosti.</w:t>
      </w:r>
    </w:p>
    <w:p w:rsidR="00500724" w:rsidRDefault="00F30FB8">
      <w:pPr>
        <w:pStyle w:val="Zkladntext20"/>
        <w:shd w:val="clear" w:color="auto" w:fill="auto"/>
        <w:spacing w:line="202" w:lineRule="auto"/>
      </w:pPr>
      <w:r>
        <w:t>Úředník by p</w:t>
      </w:r>
      <w:r>
        <w:t>ovažoval za pohanu, kdyby jeho syn byl něčím jiným než úředníkem. Sedlák či dělník chtěl zajistit své ratolesti život lepší a snadnější, než měl sám. Tak počal útěk z venkova. Jest jen přiroze</w:t>
      </w:r>
      <w:r>
        <w:softHyphen/>
        <w:t>né, když nadání ukáže směr života mladým, schop</w:t>
      </w:r>
      <w:r>
        <w:softHyphen/>
        <w:t xml:space="preserve">ným jedincům a </w:t>
      </w:r>
      <w:r>
        <w:t>je záslužné, když stát nad takovými jednotlivci bdí.</w:t>
      </w:r>
    </w:p>
    <w:p w:rsidR="00500724" w:rsidRDefault="00F30FB8">
      <w:pPr>
        <w:pStyle w:val="Zkladntext20"/>
        <w:shd w:val="clear" w:color="auto" w:fill="auto"/>
        <w:spacing w:line="202" w:lineRule="auto"/>
      </w:pPr>
      <w:r>
        <w:t>Ale co říci tomu, když studentíci — a víc na nich otcové ani nežádali — měli jen povinnost vysedět svých osm let v gymnasijních lavicích. Na prospěchu kočku záleželo. »Vždyť záleží na tom, jak se osvědčí</w:t>
      </w:r>
      <w:r>
        <w:t xml:space="preserve"> v životě,« říkávali otcové s porozuměním pro školní potíže mladých a uvádívali příklady ze života zname</w:t>
      </w:r>
      <w:r>
        <w:softHyphen/>
        <w:t>nitých osobností.</w:t>
      </w:r>
    </w:p>
    <w:p w:rsidR="00500724" w:rsidRDefault="00F30FB8">
      <w:pPr>
        <w:pStyle w:val="Zkladntext20"/>
        <w:shd w:val="clear" w:color="auto" w:fill="auto"/>
        <w:spacing w:line="202" w:lineRule="auto"/>
      </w:pPr>
      <w:r>
        <w:t xml:space="preserve">Je sice pravda, že »osvědčit se v životě« znamenalo vyzkoušet nosnost vlivu a moc otců, ale konec konců, účelu bylo dosaženo. Chuť k </w:t>
      </w:r>
      <w:r>
        <w:t>studiu či lépe k vysedám v školních škamnách byla zvyšována neslýchanou snadností, s jakou se každý dostával do úřadu, větši</w:t>
      </w:r>
      <w:r>
        <w:softHyphen/>
        <w:t>nou na základě kombinovaných politických klíčů.</w:t>
      </w:r>
    </w:p>
    <w:p w:rsidR="00500724" w:rsidRDefault="00F30FB8">
      <w:pPr>
        <w:pStyle w:val="Zkladntext20"/>
        <w:shd w:val="clear" w:color="auto" w:fill="auto"/>
        <w:spacing w:line="204" w:lineRule="auto"/>
        <w:ind w:left="1380" w:firstLine="0"/>
        <w:jc w:val="left"/>
      </w:pPr>
      <w:r>
        <w:t>Chyba vorganisaci</w:t>
      </w:r>
    </w:p>
    <w:p w:rsidR="00500724" w:rsidRDefault="00F30FB8">
      <w:pPr>
        <w:pStyle w:val="Zkladntext20"/>
        <w:shd w:val="clear" w:color="auto" w:fill="auto"/>
        <w:spacing w:line="226" w:lineRule="auto"/>
      </w:pPr>
      <w:r>
        <w:t>Nikdo se, celkem vzato, nestaral o to, kolik úřední</w:t>
      </w:r>
      <w:r>
        <w:softHyphen/>
        <w:t>ků bude pravd</w:t>
      </w:r>
      <w:r>
        <w:t>ěpodobně potřebí v těch a v těch letech v určitých oborech. Nikdo také nikomu neoznámil: Mladí hoši, studuje vás tolik a tolik, ale my budeme v době, kdy vystudujete, potřebovat jen takový po</w:t>
      </w:r>
      <w:r>
        <w:softHyphen/>
        <w:t>čet úředníků. Mohli bychom z vás vést jen tolik v zá</w:t>
      </w:r>
      <w:r>
        <w:softHyphen/>
        <w:t>znamu. Vzhl</w:t>
      </w:r>
      <w:r>
        <w:t>edem k přirozeným úbytkům ze stanove</w:t>
      </w:r>
      <w:r>
        <w:softHyphen/>
        <w:t>ného počtu přičteme takový počet procent k celkové potřebě. Oznamte nám, kteří reflektujete na místa středoškoláků ve státní službě. Provedeme s vámi zkoušku a osvědčíte-li se, povedeme vás v záznamu. Budete musit studo</w:t>
      </w:r>
      <w:r>
        <w:t>vat s vědomím, že stát s vámi po</w:t>
      </w:r>
      <w:r>
        <w:softHyphen/>
        <w:t>čítá a že budete v jeho přímých službách.</w:t>
      </w:r>
    </w:p>
    <w:p w:rsidR="00500724" w:rsidRDefault="00F30FB8">
      <w:pPr>
        <w:pStyle w:val="Zkladntext20"/>
        <w:shd w:val="clear" w:color="auto" w:fill="auto"/>
        <w:spacing w:line="216" w:lineRule="auto"/>
      </w:pPr>
      <w:r>
        <w:t>Vy, hoši, co jste sítem propadli, můžete přirozeně studovat dále. Ale snad i vám jsme ujasnili cestu, kte</w:t>
      </w:r>
      <w:r>
        <w:softHyphen/>
        <w:t>rou se máte dát. Snad máte doma podnik nebo závod, v němž budete chtít upla</w:t>
      </w:r>
      <w:r>
        <w:t>tnit své vzdělání. Jistě budou z vás úspěšní muži.</w:t>
      </w:r>
    </w:p>
    <w:p w:rsidR="00500724" w:rsidRDefault="00F30FB8">
      <w:pPr>
        <w:pStyle w:val="Zkladntext20"/>
        <w:shd w:val="clear" w:color="auto" w:fill="auto"/>
        <w:spacing w:line="204" w:lineRule="auto"/>
      </w:pPr>
      <w:r>
        <w:t>A vy, hoši, co projevujete schopnosti pro vysoko</w:t>
      </w:r>
      <w:r>
        <w:softHyphen/>
        <w:t>školské vzdělání anebo máte za to, že vysoká škola vyhovuje vašim duševním disposicím, uvažte, že do státních služeb přijmeme atd. . . viz předchozí od</w:t>
      </w:r>
      <w:r>
        <w:softHyphen/>
        <w:t>stav</w:t>
      </w:r>
      <w:r>
        <w:t>ec.</w:t>
      </w:r>
    </w:p>
    <w:p w:rsidR="00500724" w:rsidRDefault="00F30FB8">
      <w:pPr>
        <w:pStyle w:val="Zkladntext20"/>
        <w:shd w:val="clear" w:color="auto" w:fill="auto"/>
        <w:spacing w:line="204" w:lineRule="auto"/>
      </w:pPr>
      <w:r>
        <w:t>V soukromých službách podle statistických dat je pravděpodobné, že bude moci být v svobodných po</w:t>
      </w:r>
      <w:r>
        <w:softHyphen/>
        <w:t>voláních tolik, na středních a na vysokých školách jako profesorů tolik, v průmyslových podnicích za normálních poměrů tolik a v ostatních, blíže urče</w:t>
      </w:r>
      <w:r>
        <w:softHyphen/>
        <w:t>ných</w:t>
      </w:r>
      <w:r>
        <w:t>, takový a takový počet.</w:t>
      </w:r>
    </w:p>
    <w:p w:rsidR="00500724" w:rsidRDefault="00F30FB8">
      <w:pPr>
        <w:pStyle w:val="Zkladntext20"/>
        <w:shd w:val="clear" w:color="auto" w:fill="auto"/>
        <w:spacing w:line="204" w:lineRule="auto"/>
      </w:pPr>
      <w:r>
        <w:t>Uvědomte si, jinoši, co vynakládají vaši otcové na vaše studia a spočtěte prakticky, vyplatí-li se promar</w:t>
      </w:r>
      <w:r>
        <w:softHyphen/>
        <w:t xml:space="preserve">nit tolik let studiem, když vaše povolání, které se vám po předchozím poučení aspoň přibližně rýsuje, bude docela jiné a vy, </w:t>
      </w:r>
      <w:r>
        <w:t>už v letech, kdy jiní, méně pošetilí, budou stát na svých nohou, budete musit začínat znovu.</w:t>
      </w:r>
    </w:p>
    <w:p w:rsidR="00500724" w:rsidRDefault="00F30FB8">
      <w:pPr>
        <w:pStyle w:val="Zkladntext20"/>
        <w:shd w:val="clear" w:color="auto" w:fill="auto"/>
        <w:spacing w:line="204" w:lineRule="auto"/>
      </w:pPr>
      <w:r>
        <w:t>Jsme rádi a s uspokojením vidíme, že máte chuť k práci a že se snažíte. Žijete však většinou v pomě</w:t>
      </w:r>
      <w:r>
        <w:softHyphen/>
        <w:t>rech, v nichž jste se naučili znát cenu skývy. Ne</w:t>
      </w:r>
      <w:r>
        <w:softHyphen/>
        <w:t>chceme, aby z</w:t>
      </w:r>
      <w:r>
        <w:t xml:space="preserve"> vás rostl studovaný proletariát, lid, kte</w:t>
      </w:r>
      <w:r>
        <w:softHyphen/>
        <w:t>rému by vzdělání jen ztěžovalo překonat překážky, jež naklade život. Rozhodněte se proto a vytyčte si životní cíle, byť i vysoké, které budete moci, protože to bude ve vašich silách, zdolávat.</w:t>
      </w:r>
    </w:p>
    <w:p w:rsidR="00500724" w:rsidRDefault="00F30FB8">
      <w:pPr>
        <w:pStyle w:val="Zkladntext20"/>
        <w:shd w:val="clear" w:color="auto" w:fill="auto"/>
        <w:spacing w:line="204" w:lineRule="auto"/>
      </w:pPr>
      <w:r>
        <w:t>Taková řeč by mnohým</w:t>
      </w:r>
      <w:r>
        <w:t xml:space="preserve"> ukázala cestu. Chceme vě</w:t>
      </w:r>
      <w:r>
        <w:softHyphen/>
        <w:t>řit, že většina inteligence vyspívá v intelektuály zdra</w:t>
      </w:r>
      <w:r>
        <w:softHyphen/>
        <w:t>vých názorů a myslí. Jisté však je, že stejně, jako je potřebí inteligence — jako vlastnosti — v úřadech, že neméně je jí potřebí v řemeslech a sedlačení. A tak záměrný výběr</w:t>
      </w:r>
      <w:r>
        <w:t xml:space="preserve"> by se ukázal vhodným regulátorem života a blahobytu národa.</w:t>
      </w:r>
    </w:p>
    <w:p w:rsidR="00500724" w:rsidRDefault="00F30FB8">
      <w:pPr>
        <w:pStyle w:val="Zkladntext20"/>
        <w:shd w:val="clear" w:color="auto" w:fill="auto"/>
        <w:spacing w:line="206" w:lineRule="auto"/>
      </w:pPr>
      <w:r>
        <w:t>Nejsme rádi, musíme-li přiznat, že jsme nikdy ne</w:t>
      </w:r>
      <w:r>
        <w:softHyphen/>
        <w:t>slyšeli takových slov, která by pronášeli tak zvaní povolaní činitelé. Porůznu bylo sice slyšet hlas člo</w:t>
      </w:r>
      <w:r>
        <w:softHyphen/>
        <w:t>věka, zabývajícího se podobnými otázkami,</w:t>
      </w:r>
      <w:r>
        <w:t xml:space="preserve"> ale patrně hlasy ty neměly váhy, aby byly slyšeny a zváženy. Nešlo by o omezování osobní svobody, šlo by o při</w:t>
      </w:r>
      <w:r>
        <w:softHyphen/>
        <w:t>rozená práva státu, jichž výkon by byl k prospěchu národa i jeho částí.</w:t>
      </w:r>
    </w:p>
    <w:p w:rsidR="00500724" w:rsidRDefault="00F30FB8">
      <w:pPr>
        <w:pStyle w:val="Zkladntext20"/>
        <w:shd w:val="clear" w:color="auto" w:fill="auto"/>
        <w:spacing w:line="206" w:lineRule="auto"/>
      </w:pPr>
      <w:r>
        <w:t>Pokud otázka studované mládeže nebyla tak kri</w:t>
      </w:r>
      <w:r>
        <w:softHyphen/>
        <w:t>tická, nebylo nutné rozplé</w:t>
      </w:r>
      <w:r>
        <w:t>tat uzel. Ale zdá se nám, že teď je třeba jej rozetnout,</w:t>
      </w:r>
    </w:p>
    <w:p w:rsidR="00500724" w:rsidRDefault="00F30FB8">
      <w:pPr>
        <w:pStyle w:val="Zkladntext20"/>
        <w:shd w:val="clear" w:color="auto" w:fill="auto"/>
        <w:spacing w:after="80" w:line="202" w:lineRule="auto"/>
        <w:ind w:firstLine="0"/>
        <w:jc w:val="left"/>
      </w:pPr>
      <w:r>
        <w:t>Ročníky 1912 —1919 se představují</w:t>
      </w:r>
    </w:p>
    <w:p w:rsidR="00500724" w:rsidRDefault="00F30FB8">
      <w:pPr>
        <w:pStyle w:val="Zkladntext20"/>
        <w:shd w:val="clear" w:color="auto" w:fill="auto"/>
        <w:ind w:firstLine="260"/>
      </w:pPr>
      <w:r>
        <w:rPr>
          <w:b/>
          <w:bCs/>
        </w:rPr>
        <w:t xml:space="preserve">V </w:t>
      </w:r>
      <w:r>
        <w:t>těch letech jsme se narodili. Z těch, kteří vstou</w:t>
      </w:r>
      <w:r>
        <w:softHyphen/>
        <w:t>pili na střední školu, mnozí odešli z třídy, v niž bez</w:t>
      </w:r>
      <w:r>
        <w:softHyphen/>
        <w:t>nadějně uvázli. Osud jejich se utvářel sice přepestře, &amp;le</w:t>
      </w:r>
      <w:r>
        <w:t xml:space="preserve"> zásadně se s nimi setkáváme jako s písaři a kan- celisty v nejrůznějších úřadech. Jsou to podúředníci, případně i úředníci s malým, ale k skromnému životu postačujícím platem, zejména když si vybírali ženy </w:t>
      </w:r>
      <w:r>
        <w:rPr>
          <w:b/>
          <w:bCs/>
        </w:rPr>
        <w:t xml:space="preserve">ž </w:t>
      </w:r>
      <w:r>
        <w:t xml:space="preserve">venkova, kterým se lehčí život velmi zamlouval </w:t>
      </w:r>
      <w:r>
        <w:t>a které nerozlišovaly nijak tituly a stupně kariér svých budoucích manželů. S určitým přínosem do společné</w:t>
      </w:r>
      <w:r>
        <w:softHyphen/>
      </w:r>
      <w:r>
        <w:rPr>
          <w:sz w:val="28"/>
          <w:szCs w:val="28"/>
        </w:rPr>
        <w:t xml:space="preserve">ho </w:t>
      </w:r>
      <w:r>
        <w:t>života vyrostlo mnoho nadějí a skromných přání, jiěkdy uskutečnitelných, jindy jen chimér — ale Vždycky se u této skupiny setkáváme s určitou samo</w:t>
      </w:r>
      <w:r>
        <w:softHyphen/>
        <w:t>zřejmou životní úrovní.</w:t>
      </w:r>
    </w:p>
    <w:p w:rsidR="00500724" w:rsidRDefault="00F30FB8">
      <w:pPr>
        <w:pStyle w:val="Zkladntext20"/>
        <w:shd w:val="clear" w:color="auto" w:fill="auto"/>
        <w:spacing w:line="197" w:lineRule="auto"/>
        <w:ind w:firstLine="260"/>
      </w:pPr>
      <w:r>
        <w:t xml:space="preserve">Za normálních okolností by je hryzla myšlenka, </w:t>
      </w:r>
      <w:r>
        <w:rPr>
          <w:b/>
          <w:bCs/>
          <w:sz w:val="26"/>
          <w:szCs w:val="26"/>
        </w:rPr>
        <w:t xml:space="preserve">Kam </w:t>
      </w:r>
      <w:r>
        <w:t>by to »dotáhli«, kdyby byli dále studovali, ale Oni se tváří kupodivu docela spokojeně a projevují ra</w:t>
      </w:r>
      <w:r>
        <w:softHyphen/>
        <w:t>dost, že »toho« nechali. To přímo souvisí s dnešní vel</w:t>
      </w:r>
      <w:r>
        <w:softHyphen/>
        <w:t xml:space="preserve">kou nabídkou a malou </w:t>
      </w:r>
      <w:r>
        <w:t>poptávkou po studovaných lidech.</w:t>
      </w:r>
    </w:p>
    <w:p w:rsidR="00500724" w:rsidRDefault="00F30FB8">
      <w:pPr>
        <w:pStyle w:val="Zkladntext20"/>
        <w:shd w:val="clear" w:color="auto" w:fill="auto"/>
        <w:spacing w:line="202" w:lineRule="auto"/>
        <w:ind w:firstLine="260"/>
      </w:pPr>
      <w:r>
        <w:t>Absolventi středních škol, počínajíc rokem 1931 tak jako jiné ročníky, zůstali v značném počtu stát na dosaženém stupni vzdělání a věnovali se ve velkém Ztupni dráze učitelské, která v sobě skýtala mnoho vý</w:t>
      </w:r>
      <w:r>
        <w:softHyphen/>
        <w:t>hod, jim samým z</w:t>
      </w:r>
      <w:r>
        <w:t>řejmých a jinými velebených, a V zbytku, též ještě značném, úřednické službě v nej- různějších státních a méně v soukromých službách. Postupem let se sice zmenšovala snadnost přístupu do úřadů, ale k čemu byly politické strany? To jsou věci obecně známé, a</w:t>
      </w:r>
      <w:r>
        <w:t>le sluší je uvést, aby lépe vysvitlo z dalšího, co chceme vyvodit.</w:t>
      </w:r>
    </w:p>
    <w:p w:rsidR="00500724" w:rsidRDefault="00F30FB8">
      <w:pPr>
        <w:pStyle w:val="Zkladntext20"/>
        <w:shd w:val="clear" w:color="auto" w:fill="auto"/>
        <w:spacing w:line="202" w:lineRule="auto"/>
        <w:ind w:firstLine="260"/>
      </w:pPr>
      <w:r>
        <w:t>Ti, co projevovali dosti odvahy a schopností, od</w:t>
      </w:r>
      <w:r>
        <w:softHyphen/>
        <w:t>cházeli na vysoké školy. Nešli ani do úřadů, do škol či do vojenské akademie, nýbrž měli za to, že jest moudré, aby se vzdělali jak jen možn</w:t>
      </w:r>
      <w:r>
        <w:t>o a nelitovali ani peněžních ani jiných obětí.</w:t>
      </w:r>
    </w:p>
    <w:p w:rsidR="00500724" w:rsidRDefault="00F30FB8">
      <w:pPr>
        <w:pStyle w:val="Zkladntext20"/>
        <w:shd w:val="clear" w:color="auto" w:fill="auto"/>
        <w:spacing w:line="202" w:lineRule="auto"/>
        <w:ind w:firstLine="260"/>
      </w:pPr>
      <w:r>
        <w:t>Ale běda! Jak se vytvářel běh jejich života? Uva</w:t>
      </w:r>
      <w:r>
        <w:softHyphen/>
        <w:t>žujte s sebou. V roce 1931 maturovali. Odmítli mož</w:t>
      </w:r>
      <w:r>
        <w:softHyphen/>
        <w:t>nost vstoupit do kanceláří jako středoškolští úředníci a tím ztratili všechna léta až do dneška, kdy mohli sl</w:t>
      </w:r>
      <w:r>
        <w:t>ušně, bez starostí žít.</w:t>
      </w:r>
    </w:p>
    <w:p w:rsidR="00500724" w:rsidRDefault="00F30FB8">
      <w:pPr>
        <w:pStyle w:val="Zkladntext20"/>
        <w:shd w:val="clear" w:color="auto" w:fill="auto"/>
        <w:spacing w:line="202" w:lineRule="auto"/>
        <w:ind w:firstLine="260"/>
      </w:pPr>
      <w:r>
        <w:t>Pro tyto snaživce nastal dlouhý čas — průměrně pěti let — pilné práce, v němž nebyly většinou jen starosti o to, aby udělali úspěšně zkoušky, nýbrž ještě naléhavější starosti o to, aby jedenkaždý sehnal po</w:t>
      </w:r>
      <w:r>
        <w:softHyphen/>
        <w:t>třebný počet korun na oběd</w:t>
      </w:r>
      <w:r>
        <w:t>y, večeře, učebnice, šaty. Bývaly to někdy trpké chvilky a bývalo jich mnoho. Měsíc za měsícem, rok za rokem. Nebylo jednoduché frekvence, nebylo úředních hodin, nebylo klidného spánku. Často bylo obtížnější rozřešit otázku děra</w:t>
      </w:r>
      <w:r>
        <w:softHyphen/>
        <w:t xml:space="preserve">vých podrážek než rozřešit </w:t>
      </w:r>
      <w:r>
        <w:t>studijní problém. Ale bý</w:t>
      </w:r>
      <w:r>
        <w:softHyphen/>
        <w:t>valy to triumfy, drobná vítězství, cennější a důleži</w:t>
      </w:r>
      <w:r>
        <w:softHyphen/>
        <w:t>tější než co jiného. Co na tom, že to nebyl život, že to bylo strádání? Chleba jsme si uměli vážit stejně jako knihy. Byli jsme přesvědčeni, že jednou bude lépe.</w:t>
      </w:r>
    </w:p>
    <w:p w:rsidR="00500724" w:rsidRDefault="00F30FB8">
      <w:pPr>
        <w:pStyle w:val="Zkladntext20"/>
        <w:shd w:val="clear" w:color="auto" w:fill="auto"/>
        <w:spacing w:line="204" w:lineRule="auto"/>
        <w:ind w:firstLine="260"/>
      </w:pPr>
      <w:r>
        <w:t>Skončili jsme st</w:t>
      </w:r>
      <w:r>
        <w:t>udia. Abiturienti ročníku 1931 v roce 1936, abiturienti ročníku 1932 průměrně v roce 1937 atd. Jedna etapa života skončena.</w:t>
      </w:r>
    </w:p>
    <w:p w:rsidR="00500724" w:rsidRDefault="00F30FB8">
      <w:pPr>
        <w:pStyle w:val="Zkladntext20"/>
        <w:shd w:val="clear" w:color="auto" w:fill="auto"/>
        <w:spacing w:line="204" w:lineRule="auto"/>
        <w:ind w:firstLine="260"/>
      </w:pPr>
      <w:r>
        <w:t>My, vojáci, jsme hrdi na to, že jdeme plnit občan</w:t>
      </w:r>
      <w:r>
        <w:softHyphen/>
        <w:t>skou povinnost. Ovšem, nevojáci byli více soukro</w:t>
      </w:r>
      <w:r>
        <w:softHyphen/>
        <w:t>mými zaměstnavateli váženi a stát</w:t>
      </w:r>
      <w:r>
        <w:t xml:space="preserve"> je do služeb při</w:t>
      </w:r>
      <w:r>
        <w:softHyphen/>
        <w:t>rozeně přijímal. Voják aspirant počal chápati, že již nikdy nedohoní kolegu nevojáka ve služebních letech, ani že mu nikdo nenahradí praksi, kterou během vo</w:t>
      </w:r>
      <w:r>
        <w:softHyphen/>
        <w:t xml:space="preserve">jenské služby nevojáci získali v soukromých službách. Na své věci neměl aspirant </w:t>
      </w:r>
      <w:r>
        <w:t>na vojně vůbec kdy, vy- čerpávalať služba všechen čas, zejména v těchto le</w:t>
      </w:r>
      <w:r>
        <w:softHyphen/>
        <w:t>tech, kdy se schylovalo k bouři.</w:t>
      </w:r>
    </w:p>
    <w:p w:rsidR="00500724" w:rsidRDefault="00F30FB8">
      <w:pPr>
        <w:pStyle w:val="Zkladntext20"/>
        <w:shd w:val="clear" w:color="auto" w:fill="auto"/>
        <w:spacing w:after="120" w:line="202" w:lineRule="auto"/>
      </w:pPr>
      <w:r>
        <w:t>K vojákům, prostým hochům, se aspirant — k vůli disciplině — přiblížit nemohl a důstojníci tvořili vyšší, uzavřenou třídu, do níž se aspirant prakti</w:t>
      </w:r>
      <w:r>
        <w:t>cky tlačit nemohl a na niž by finančně se svým 2.50 K denním žoldem zdaleka nestačil. A tak žil sám mezi oblaky a zemí v kázni a mlčení.</w:t>
      </w:r>
    </w:p>
    <w:p w:rsidR="00500724" w:rsidRDefault="00F30FB8">
      <w:pPr>
        <w:pStyle w:val="Zkladntext20"/>
        <w:shd w:val="clear" w:color="auto" w:fill="auto"/>
        <w:spacing w:after="40" w:line="204" w:lineRule="auto"/>
        <w:ind w:firstLine="0"/>
      </w:pPr>
      <w:r>
        <w:t>Návrat bez slávy. První podobenství</w:t>
      </w:r>
    </w:p>
    <w:p w:rsidR="00500724" w:rsidRDefault="00F30FB8">
      <w:pPr>
        <w:pStyle w:val="Zkladntext20"/>
        <w:shd w:val="clear" w:color="auto" w:fill="auto"/>
        <w:spacing w:line="204" w:lineRule="auto"/>
      </w:pPr>
      <w:r>
        <w:t>Ročník 1936 se vrátil z presenčni služby na konci roku 1938 a ročník 1937 se vrátil</w:t>
      </w:r>
      <w:r>
        <w:t xml:space="preserve"> 1. dubna 1939. Byl to návrat tím smutnější, že jsme se vraceli bez nej</w:t>
      </w:r>
      <w:r>
        <w:softHyphen/>
        <w:t>menších vyhlídek na uplatnění. Během vojenské služ</w:t>
      </w:r>
      <w:r>
        <w:softHyphen/>
        <w:t>by jsme získali znamenitý přehled o vojenských vě</w:t>
      </w:r>
      <w:r>
        <w:softHyphen/>
        <w:t>cech, ale ztratili jsme kontakt s civilním životem. Jako bychom se vraceli z daleké</w:t>
      </w:r>
      <w:r>
        <w:t>ho ostrova.</w:t>
      </w:r>
    </w:p>
    <w:p w:rsidR="00500724" w:rsidRDefault="00F30FB8">
      <w:pPr>
        <w:pStyle w:val="Zkladntext20"/>
        <w:shd w:val="clear" w:color="auto" w:fill="auto"/>
        <w:spacing w:line="204" w:lineRule="auto"/>
      </w:pPr>
      <w:r>
        <w:t>Připadalo nám to a dodnes jsme se toho dojmu ne</w:t>
      </w:r>
      <w:r>
        <w:softHyphen/>
        <w:t>zbavili, jako bychom chtěli vstoupit do přeplněných vlaků, nabitých cestujícími podle stavů, při čemž dvířka všech se nám zavírají před nosem, někdy s ná</w:t>
      </w:r>
      <w:r>
        <w:softHyphen/>
        <w:t>ležitým bouchnutím. Stát, jako ten, kdo ví</w:t>
      </w:r>
      <w:r>
        <w:t>, co se sluší a patří, umístil na svůj vlak ceduli s nápisem: »Vstup na dvě léta uzavřen«, s nějakými výjimkami. Do soukromých vlaků pak poslal oběžníky, že žádný cestující nesmí býti ze svého místa vyhozen, kdyby snad některému konduktérovi něco podobného</w:t>
      </w:r>
      <w:r>
        <w:t xml:space="preserve"> na</w:t>
      </w:r>
      <w:r>
        <w:softHyphen/>
        <w:t>padlo.</w:t>
      </w:r>
    </w:p>
    <w:p w:rsidR="00500724" w:rsidRDefault="00F30FB8">
      <w:pPr>
        <w:pStyle w:val="Zkladntext20"/>
        <w:shd w:val="clear" w:color="auto" w:fill="auto"/>
        <w:spacing w:after="100" w:line="204" w:lineRule="auto"/>
      </w:pPr>
      <w:r>
        <w:t>A cestující, z oken svých oddělení vyhlížející, nám dodávají odvahy a chuti k čekání: »Jste ještě mladí, můžete čekat, až se vlak uprázdní. My, staří, potřebu</w:t>
      </w:r>
      <w:r>
        <w:softHyphen/>
        <w:t>jeme jakési pohodlí, to víte.«</w:t>
      </w:r>
    </w:p>
    <w:p w:rsidR="00500724" w:rsidRDefault="00F30FB8">
      <w:pPr>
        <w:pStyle w:val="Zkladntext20"/>
        <w:shd w:val="clear" w:color="auto" w:fill="auto"/>
        <w:spacing w:after="40" w:line="202" w:lineRule="auto"/>
        <w:ind w:firstLine="0"/>
        <w:jc w:val="center"/>
      </w:pPr>
      <w:r>
        <w:t>Úsměv nám opravdu zahořkl</w:t>
      </w:r>
      <w:r>
        <w:br/>
        <w:t>na rtech</w:t>
      </w:r>
    </w:p>
    <w:p w:rsidR="00500724" w:rsidRDefault="00F30FB8">
      <w:pPr>
        <w:pStyle w:val="Zkladntext20"/>
        <w:shd w:val="clear" w:color="auto" w:fill="auto"/>
        <w:spacing w:line="204" w:lineRule="auto"/>
      </w:pPr>
      <w:r>
        <w:t xml:space="preserve">O nás dnes nikdo </w:t>
      </w:r>
      <w:r>
        <w:t>neví, nebo se aspoň dělá, že se neví. Zdá se, že jest potřebí, aby se nám vedlo ještě hůře, abychom se mohli míti lépe.</w:t>
      </w:r>
    </w:p>
    <w:p w:rsidR="00500724" w:rsidRDefault="00F30FB8">
      <w:pPr>
        <w:pStyle w:val="Zkladntext20"/>
        <w:shd w:val="clear" w:color="auto" w:fill="auto"/>
        <w:spacing w:line="204" w:lineRule="auto"/>
      </w:pPr>
      <w:r>
        <w:t>Když vidíme naše šťastnější kolegy z gymnasií, kteří jako středoškoláci jsou již sedm až osm let za</w:t>
      </w:r>
      <w:r>
        <w:softHyphen/>
        <w:t>městnáni — máme na mysli výše uváděn</w:t>
      </w:r>
      <w:r>
        <w:t>é ročníky —, neubráníme se trapným rozpakům.</w:t>
      </w:r>
    </w:p>
    <w:p w:rsidR="00500724" w:rsidRDefault="00F30FB8">
      <w:pPr>
        <w:pStyle w:val="Zkladntext20"/>
        <w:shd w:val="clear" w:color="auto" w:fill="auto"/>
        <w:spacing w:line="204" w:lineRule="auto"/>
      </w:pPr>
      <w:r>
        <w:t>Za sedm let vydělal středoškolák průměrně 800 K měsíčně, tedy za sedm let asi 67.200 K. Byl-li na vojně, tedy asi o 20.000 K méně. Vysoškolák na své studium vynaložil kolem 40.000 K. A dvouletá nebo osmnáctiměsí</w:t>
      </w:r>
      <w:r>
        <w:t>ční vojenská služba ho také něco stála. Ale zde ponechme jen čas jako činitele.</w:t>
      </w:r>
    </w:p>
    <w:p w:rsidR="00500724" w:rsidRDefault="00F30FB8">
      <w:pPr>
        <w:pStyle w:val="Zkladntext20"/>
        <w:shd w:val="clear" w:color="auto" w:fill="auto"/>
        <w:spacing w:line="204" w:lineRule="auto"/>
      </w:pPr>
      <w:r>
        <w:t>Ze srovnání vidíme, že akademicky vzdělaný občan ztratil naproti svým středoškolským kolegům — při</w:t>
      </w:r>
      <w:r>
        <w:softHyphen/>
        <w:t xml:space="preserve">bližně počítáno — částku kolem 100.000 K, které středoškolák zčásti vydělal, </w:t>
      </w:r>
      <w:r>
        <w:t>zčásti nemusil vydat.</w:t>
      </w:r>
    </w:p>
    <w:p w:rsidR="00500724" w:rsidRDefault="00F30FB8">
      <w:pPr>
        <w:pStyle w:val="Zkladntext20"/>
        <w:shd w:val="clear" w:color="auto" w:fill="auto"/>
        <w:spacing w:line="204" w:lineRule="auto"/>
      </w:pPr>
      <w:r>
        <w:t>To jest jistě pádný důkaz, jak velice se zklamali tito akademičtí poškozenci. Stát se stará o nezaměstnané dělníky, evakuované úředníky, učitele, důstojníky, ale kdekdo mlčí o absolventech středních a vysokých škol, vrátivších se z vo</w:t>
      </w:r>
      <w:r>
        <w:t>jny, či právě vystudovavších.</w:t>
      </w:r>
    </w:p>
    <w:p w:rsidR="00500724" w:rsidRDefault="00F30FB8">
      <w:pPr>
        <w:pStyle w:val="Zkladntext20"/>
        <w:shd w:val="clear" w:color="auto" w:fill="auto"/>
        <w:spacing w:line="204" w:lineRule="auto"/>
      </w:pPr>
      <w:r>
        <w:t xml:space="preserve">Nedá se popřít, že jest jistý, aspoň věkový rozdíl mezi abiturientem ročníku 1931 a ročníku 1936. Abi- turient ročníku 1931 skončil vysokoškolská studia v roce 1936. V tomto roce odešel na vojnu. Abiturient ročníku 1936 šel </w:t>
      </w:r>
      <w:r>
        <w:t>také na vojnu. Tento, po roce pre- senční služby, odešel — a bylo jich mnoho — do vo</w:t>
      </w:r>
      <w:r>
        <w:softHyphen/>
        <w:t>jenské, jednoroční akademie, kde si zopakoval důklad</w:t>
      </w:r>
      <w:r>
        <w:softHyphen/>
        <w:t>ně látku záložních důstojnických škol, naučil se spo</w:t>
      </w:r>
      <w:r>
        <w:softHyphen/>
        <w:t>lečenskému chování a za dvě celková léta presenční služby byl jme</w:t>
      </w:r>
      <w:r>
        <w:t>nován důstojníkem s více než vysoko</w:t>
      </w:r>
      <w:r>
        <w:softHyphen/>
        <w:t>školským platem.</w:t>
      </w:r>
    </w:p>
    <w:p w:rsidR="00500724" w:rsidRDefault="00F30FB8">
      <w:pPr>
        <w:pStyle w:val="Zkladntext20"/>
        <w:shd w:val="clear" w:color="auto" w:fill="auto"/>
        <w:spacing w:line="204" w:lineRule="auto"/>
      </w:pPr>
      <w:r>
        <w:t>Jejich kolegové s vysokoškolským vzděláním konali ještě presenční službu jako aspiranti se žoldem 2.50 K denně.</w:t>
      </w:r>
    </w:p>
    <w:p w:rsidR="00500724" w:rsidRDefault="00F30FB8">
      <w:pPr>
        <w:pStyle w:val="Zkladntext20"/>
        <w:shd w:val="clear" w:color="auto" w:fill="auto"/>
        <w:spacing w:line="204" w:lineRule="auto"/>
      </w:pPr>
      <w:r>
        <w:t xml:space="preserve">Aspiranti ročníku 1936 byli propuštěni do poměru mimo činnou službu po šestadvacetiměsíční </w:t>
      </w:r>
      <w:r>
        <w:t>presenční službě.</w:t>
      </w:r>
    </w:p>
    <w:p w:rsidR="00500724" w:rsidRDefault="00F30FB8">
      <w:pPr>
        <w:pStyle w:val="Zkladntext20"/>
        <w:shd w:val="clear" w:color="auto" w:fill="auto"/>
        <w:spacing w:line="204" w:lineRule="auto"/>
      </w:pPr>
      <w:r>
        <w:t>Mladí poručíci byli po celkem třicetiměsíční vo</w:t>
      </w:r>
      <w:r>
        <w:softHyphen/>
        <w:t>jenské službě posláni na dovolené s platem, který jim umožňuje, aby v klidu očekávali, jak je stát zaopatří.</w:t>
      </w:r>
    </w:p>
    <w:p w:rsidR="00500724" w:rsidRDefault="00F30FB8">
      <w:pPr>
        <w:pStyle w:val="Zkladntext20"/>
        <w:shd w:val="clear" w:color="auto" w:fill="auto"/>
        <w:spacing w:line="204" w:lineRule="auto"/>
      </w:pPr>
      <w:r>
        <w:t>Nyní se šestadvacetiletí, vysokoškolsky vzdělaní mladí muži dívají závistivě na š</w:t>
      </w:r>
      <w:r>
        <w:t>ťastné dvacetileté až dvaadvacetileté kolegy, kteří jsou zbaveni hmotných starostí, kterých vlastně nikdy neměli. Zatím co vy- skoškoláci je prožívali dlouhá léta. Je to trpký pocit.</w:t>
      </w:r>
    </w:p>
    <w:p w:rsidR="00500724" w:rsidRDefault="00F30FB8">
      <w:pPr>
        <w:pStyle w:val="Zkladntext20"/>
        <w:shd w:val="clear" w:color="auto" w:fill="auto"/>
        <w:spacing w:after="220" w:line="204" w:lineRule="auto"/>
      </w:pPr>
      <w:r>
        <w:t>Učitelé, kteří maturovali o čtyři, pět let za námi, jsou pečlivě umísťová</w:t>
      </w:r>
      <w:r>
        <w:t>ni. Nemohou být ponecháni na dlažbě, přirozeně. Státu za to náleží uznání a budiž mu přiznáno. Ale asi všichni zapomněli, že i my jsme ob</w:t>
      </w:r>
      <w:r>
        <w:softHyphen/>
        <w:t>čany, kteří nechtějí umírat hladem.</w:t>
      </w:r>
    </w:p>
    <w:p w:rsidR="00500724" w:rsidRDefault="00F30FB8">
      <w:pPr>
        <w:pStyle w:val="Zkladntext20"/>
        <w:shd w:val="clear" w:color="auto" w:fill="auto"/>
        <w:spacing w:after="80" w:line="204" w:lineRule="auto"/>
        <w:ind w:firstLine="0"/>
      </w:pPr>
      <w:r>
        <w:t>Běžné tragedie. Druhé podobenství</w:t>
      </w:r>
    </w:p>
    <w:p w:rsidR="00500724" w:rsidRDefault="00F30FB8">
      <w:pPr>
        <w:pStyle w:val="Zkladntext20"/>
        <w:shd w:val="clear" w:color="auto" w:fill="auto"/>
        <w:spacing w:line="202" w:lineRule="auto"/>
      </w:pPr>
      <w:r>
        <w:t>V důsledku událostí na podzim 1938 a po osamosta</w:t>
      </w:r>
      <w:r>
        <w:t>t</w:t>
      </w:r>
      <w:r>
        <w:softHyphen/>
        <w:t>nění Slovenska přišlo mnoho lidí o své, dlouhá léta bu</w:t>
      </w:r>
      <w:r>
        <w:softHyphen/>
        <w:t>dované existence. Není nijak jednoduché, začínat zno</w:t>
      </w:r>
      <w:r>
        <w:softHyphen/>
        <w:t>va, a jistě těžší, než začínat po prvé. Přibylo starostí jednotlivcům i státu.</w:t>
      </w:r>
    </w:p>
    <w:p w:rsidR="00500724" w:rsidRDefault="00F30FB8">
      <w:pPr>
        <w:pStyle w:val="Zkladntext20"/>
        <w:shd w:val="clear" w:color="auto" w:fill="auto"/>
        <w:spacing w:line="204" w:lineRule="auto"/>
      </w:pPr>
      <w:r>
        <w:t>Tak, jako někteří ztratili všechno, druzí neztratili nic, ba, někte</w:t>
      </w:r>
      <w:r>
        <w:t>rým se počalo docela vést lépe. To však není nic zvláštního. Rolníci orali svá pole tak jako jindy, měšťané žili poklidným životem blahobytných měšťanů a průmyslníci, aspoň někteří, počali zvyšovat předpoklady.</w:t>
      </w:r>
    </w:p>
    <w:p w:rsidR="00500724" w:rsidRDefault="00F30FB8">
      <w:pPr>
        <w:pStyle w:val="Zkladntext20"/>
        <w:shd w:val="clear" w:color="auto" w:fill="auto"/>
        <w:spacing w:line="204" w:lineRule="auto"/>
      </w:pPr>
      <w:r>
        <w:t>Zdálo se, že Čech se počne starat o Čecha jak</w:t>
      </w:r>
      <w:r>
        <w:t>o bratr o bratra. Ale to byl jen sen. Kdo měl hodně, a za dvacet let bylo mnohým umožněno, aby měli hodně, staral se, aby neztratil ani haléř. Soukromí za</w:t>
      </w:r>
      <w:r>
        <w:softHyphen/>
        <w:t>městnavatelé zdvořile odmítali mladé snaživce. Měl-li někdo »strýčka«, mohl počítat s tím, že se ješt</w:t>
      </w:r>
      <w:r>
        <w:t>ě něco najde. Ale pro celek mladých nastal divný čas, plný nevýslovného zklamání.</w:t>
      </w:r>
    </w:p>
    <w:p w:rsidR="00500724" w:rsidRDefault="00F30FB8">
      <w:pPr>
        <w:pStyle w:val="Zkladntext20"/>
        <w:shd w:val="clear" w:color="auto" w:fill="auto"/>
        <w:spacing w:line="204" w:lineRule="auto"/>
      </w:pPr>
      <w:r>
        <w:t>Vidí tabule, naplněné jídlem, a kolem nich spoko</w:t>
      </w:r>
      <w:r>
        <w:softHyphen/>
        <w:t>jené hovory. Některé tabule se prohýbají hojností a jiné jsou docela prosté. Jak kdo se dovedl posadit před dvaceti lety. A n</w:t>
      </w:r>
      <w:r>
        <w:t>ěkteří se uměli posadit znamenitě. Časem své místo zaměnili za lepší. Během dlouhé do</w:t>
      </w:r>
      <w:r>
        <w:softHyphen/>
        <w:t>by mnohý poznal i kuchtíky a zvykl si na vzácné por</w:t>
      </w:r>
      <w:r>
        <w:softHyphen/>
        <w:t>ce. Mlátil-li někdo pěstí u prosté tabule a dělal to dů</w:t>
      </w:r>
      <w:r>
        <w:softHyphen/>
        <w:t>myslně a dosti dlouho, bylo to účastníkům lepších hodů nepříje</w:t>
      </w:r>
      <w:r>
        <w:t>mné. »Toho křiklouna je třeba posadit ji</w:t>
      </w:r>
      <w:r>
        <w:softHyphen/>
        <w:t>nam,* usoudili — a usoudili správně. A kouř doutníků, ničím nerušen, se vznášel dále velmi vznešeně a klidně.</w:t>
      </w:r>
    </w:p>
    <w:p w:rsidR="00500724" w:rsidRDefault="00F30FB8">
      <w:pPr>
        <w:pStyle w:val="Zkladntext20"/>
        <w:shd w:val="clear" w:color="auto" w:fill="auto"/>
        <w:spacing w:line="204" w:lineRule="auto"/>
      </w:pPr>
      <w:r>
        <w:t>Mladým nezbývá, než postavit se pod okna této obrovské jídelny, ssát vůni jídel a přikusovat chleba. A mo</w:t>
      </w:r>
      <w:r>
        <w:t>hou stát dlouho, jak jim jen libo.</w:t>
      </w:r>
    </w:p>
    <w:p w:rsidR="00500724" w:rsidRDefault="00F30FB8">
      <w:pPr>
        <w:pStyle w:val="Zkladntext20"/>
        <w:shd w:val="clear" w:color="auto" w:fill="auto"/>
        <w:spacing w:line="204" w:lineRule="auto"/>
      </w:pPr>
      <w:r>
        <w:t>Přirozeně chodí prosit velmi poníženě o nějaké mís</w:t>
      </w:r>
      <w:r>
        <w:softHyphen/>
        <w:t>tečko, u docela prosté tabule a předem se vzdávají lepších chodů. »Vyloučeno, naprosto vyloučeno, mladý muži.« Majordomus, čili jakýsi správce domu, potřepe hlavou, rozho</w:t>
      </w:r>
      <w:r>
        <w:t>dí rukama a řekne: »Máte pravdu, mla</w:t>
      </w:r>
      <w:r>
        <w:softHyphen/>
        <w:t xml:space="preserve">díku. Ten a ten u toho předního a bohatě zásobeného stolu seděl kdysi u tohoto prostého stolu. Ale posadil sé na to místo a nikdo ho neupozornil, že jeho místo jest jinde. A, ehm, pochopte, mladíku, že zapomněl rychle, </w:t>
      </w:r>
      <w:r>
        <w:t>že byl krejčím, zámečníkem, zahradníkem, šoférem. Toho šoféra je třeba titulovat pane řediteli, toho krejčí</w:t>
      </w:r>
      <w:r>
        <w:softHyphen/>
        <w:t>ho pane správce, toho horníka pane řediteli, atd. Neza</w:t>
      </w:r>
      <w:r>
        <w:softHyphen/>
        <w:t>pomínejte: na to, jinochu.«</w:t>
      </w:r>
    </w:p>
    <w:p w:rsidR="00500724" w:rsidRDefault="00F30FB8">
      <w:pPr>
        <w:pStyle w:val="Zkladntext20"/>
        <w:shd w:val="clear" w:color="auto" w:fill="auto"/>
        <w:spacing w:line="204" w:lineRule="auto"/>
        <w:ind w:firstLine="220"/>
      </w:pPr>
      <w:r>
        <w:t>A ten mladík odejde, smutnější než kdy dříve, po</w:t>
      </w:r>
      <w:r>
        <w:softHyphen/>
        <w:t>kornější než sam</w:t>
      </w:r>
      <w:r>
        <w:t xml:space="preserve">a pokora, s beznadějným výrazem </w:t>
      </w:r>
      <w:r>
        <w:rPr>
          <w:b/>
          <w:bCs/>
        </w:rPr>
        <w:t xml:space="preserve">a </w:t>
      </w:r>
      <w:r>
        <w:t>říká si, že svět je podivný, bez přátelského úsměvu. Tito hoši nechtějí zahálet. Vždyť, co chce on a ostatní my všichni, jest zařádění do práce, aspoň trochu odpo</w:t>
      </w:r>
      <w:r>
        <w:softHyphen/>
        <w:t>vídající nabytému vzdělání. Některým tato situace působí je</w:t>
      </w:r>
      <w:r>
        <w:t xml:space="preserve">n duševní potíže, když jejich otcové je mají </w:t>
      </w:r>
      <w:r>
        <w:rPr>
          <w:b/>
          <w:bCs/>
        </w:rPr>
        <w:t xml:space="preserve">z </w:t>
      </w:r>
      <w:r>
        <w:t xml:space="preserve">čeho živit. Jiní jsou na tom opravdu velmi špatně. Jsou to mladí pensisté bez pensí, kteří musejí mít za to, že svět se chce kochat na jejich duševním a tělesném umírání. Všechny brány jsou před námi zavřeny. </w:t>
      </w:r>
      <w:r>
        <w:t>Ale my jsme nespáchali nic zlého. Nemůžeme za to, že jsme se narodili.</w:t>
      </w:r>
    </w:p>
    <w:p w:rsidR="00500724" w:rsidRDefault="00F30FB8">
      <w:pPr>
        <w:pStyle w:val="Zkladntext20"/>
        <w:shd w:val="clear" w:color="auto" w:fill="auto"/>
        <w:spacing w:line="204" w:lineRule="auto"/>
        <w:ind w:firstLine="220"/>
      </w:pPr>
      <w:r>
        <w:t>Když procházíváme ulicemi, plnými lidí, kterým se dobře vede, zdviháme hrdě hlavy a nedbáme mnohdy pohrdavých pohledů, jimiž jsme měřeni proto, že ne</w:t>
      </w:r>
      <w:r>
        <w:softHyphen/>
        <w:t>zaujímáme žádného postavení a že js</w:t>
      </w:r>
      <w:r>
        <w:t>me na tom hůře než žebráci, protože ti si aspoň něco vydělají.</w:t>
      </w:r>
    </w:p>
    <w:p w:rsidR="00500724" w:rsidRDefault="00F30FB8">
      <w:pPr>
        <w:pStyle w:val="Zkladntext20"/>
        <w:shd w:val="clear" w:color="auto" w:fill="auto"/>
        <w:spacing w:line="204" w:lineRule="auto"/>
        <w:ind w:firstLine="220"/>
      </w:pPr>
      <w:r>
        <w:t>Když jsme však sami, níží se nám hlavy v zoufalé bezmocnosti. Uvědomujeme si, že nemůžeme mít ani chleba, když tolik lidí má víc než máslo i chleba.</w:t>
      </w:r>
    </w:p>
    <w:p w:rsidR="00500724" w:rsidRDefault="00F30FB8">
      <w:pPr>
        <w:pStyle w:val="Zkladntext20"/>
        <w:shd w:val="clear" w:color="auto" w:fill="auto"/>
        <w:spacing w:after="320" w:line="204" w:lineRule="auto"/>
        <w:ind w:firstLine="220"/>
      </w:pPr>
      <w:r>
        <w:t xml:space="preserve">A když toto všechno říkáme, nepřejeme si, </w:t>
      </w:r>
      <w:r>
        <w:t>abyste nás litovali, nýbrž rádi bychom, abyste nás vzali mezi sebe.</w:t>
      </w:r>
    </w:p>
    <w:p w:rsidR="00500724" w:rsidRDefault="00F30FB8">
      <w:pPr>
        <w:pStyle w:val="Nadpis90"/>
        <w:keepNext/>
        <w:keepLines/>
        <w:pBdr>
          <w:bottom w:val="single" w:sz="4" w:space="0" w:color="auto"/>
        </w:pBdr>
        <w:shd w:val="clear" w:color="auto" w:fill="auto"/>
        <w:spacing w:after="320"/>
      </w:pPr>
      <w:bookmarkStart w:id="601" w:name="bookmark600"/>
      <w:r>
        <w:rPr>
          <w:rFonts w:ascii="Times New Roman" w:eastAsia="Times New Roman" w:hAnsi="Times New Roman" w:cs="Times New Roman"/>
        </w:rPr>
        <w:t>dopisy</w:t>
      </w:r>
      <w:bookmarkEnd w:id="601"/>
    </w:p>
    <w:p w:rsidR="00500724" w:rsidRDefault="00F30FB8">
      <w:pPr>
        <w:pStyle w:val="Zkladntext100"/>
        <w:shd w:val="clear" w:color="auto" w:fill="auto"/>
        <w:spacing w:after="80" w:line="170" w:lineRule="auto"/>
        <w:ind w:firstLine="0"/>
        <w:jc w:val="center"/>
        <w:rPr>
          <w:sz w:val="19"/>
          <w:szCs w:val="19"/>
        </w:rPr>
      </w:pPr>
      <w:r>
        <w:rPr>
          <w:b/>
          <w:bCs/>
          <w:sz w:val="19"/>
          <w:szCs w:val="19"/>
        </w:rPr>
        <w:t>Katastrofa českého tisku</w:t>
      </w:r>
    </w:p>
    <w:p w:rsidR="00500724" w:rsidRDefault="00F30FB8">
      <w:pPr>
        <w:pStyle w:val="Zkladntext100"/>
        <w:shd w:val="clear" w:color="auto" w:fill="auto"/>
        <w:spacing w:after="60" w:line="180" w:lineRule="auto"/>
        <w:ind w:left="1260" w:firstLine="0"/>
        <w:jc w:val="left"/>
      </w:pPr>
      <w:r>
        <w:t>Vážená redakce!</w:t>
      </w:r>
    </w:p>
    <w:p w:rsidR="00500724" w:rsidRDefault="00F30FB8">
      <w:pPr>
        <w:pStyle w:val="Zkladntext100"/>
        <w:shd w:val="clear" w:color="auto" w:fill="auto"/>
        <w:spacing w:line="180" w:lineRule="auto"/>
        <w:ind w:firstLine="220"/>
      </w:pPr>
      <w:r>
        <w:t>V článku ^Zachraňme český tisk« uveřejněném v minulém čísle »Přítomnosti«, zabývá se p. dr. Skála poměry v českém tisku a tiskařství. K zách</w:t>
      </w:r>
      <w:r>
        <w:t xml:space="preserve">raně ohrožených redaktorů </w:t>
      </w:r>
      <w:r>
        <w:rPr>
          <w:b/>
          <w:bCs/>
          <w:sz w:val="19"/>
          <w:szCs w:val="19"/>
        </w:rPr>
        <w:t xml:space="preserve">a </w:t>
      </w:r>
      <w:r>
        <w:t>typo</w:t>
      </w:r>
      <w:r>
        <w:softHyphen/>
        <w:t>grafů navrhuje použiti prostředku, který se u nás sice vžil a je s oblibou při každé příležitosti používán, ale který ještě nikdy v praksi zaměstnancům neprospěl: zdražení. Jen namát</w:t>
      </w:r>
      <w:r>
        <w:softHyphen/>
        <w:t>kou uvádím několik příkladů z nynějši do</w:t>
      </w:r>
      <w:r>
        <w:t>by: byly zdraženy zemědělské výrobky a dobytek, zemědělští dělníci však nemají vyšších platů ani na žádném statku nebyl zvýšen stav dělnic</w:t>
      </w:r>
      <w:r>
        <w:softHyphen/>
        <w:t>tva. Ceny látek byly zvýšeny o dvacet až třicet procent. Mzdy dělnictva i úřednictva v tomto odvětví však zůstaly nez</w:t>
      </w:r>
      <w:r>
        <w:t>měně</w:t>
      </w:r>
      <w:r>
        <w:softHyphen/>
        <w:t>ny a žádná továrna na sukna nezvýšila počet zaměstnanců. Totéž lze říci o konfekci, kovoprůmyslu, zkrátka o všem od</w:t>
      </w:r>
      <w:r>
        <w:softHyphen/>
        <w:t>větví podnikání. Naše podniky právě naopak omezují počet za</w:t>
      </w:r>
      <w:r>
        <w:softHyphen/>
        <w:t>městnanců a dělnictvo musí hledat práci v fííši. Stejně, by bylo i v noviná</w:t>
      </w:r>
      <w:r>
        <w:t>řství. Žádné vydavatelstvo by po zdražení tisku ne</w:t>
      </w:r>
      <w:r>
        <w:softHyphen/>
        <w:t>rozšířilo počet členů ve svých redakcích, žádná tiskárna by ne</w:t>
      </w:r>
      <w:r>
        <w:softHyphen/>
        <w:t>přijala více sazečů, ale naopak. Zdražení novin by mělo v zá</w:t>
      </w:r>
      <w:r>
        <w:softHyphen/>
        <w:t>pětí rapidní pokles nákladů a to nejméně o 60 procent. Naše noviny mají poměrně v</w:t>
      </w:r>
      <w:r>
        <w:t>elký náklad dík své láci,, poněvadž každý dělník si může koupit a také skutečně koupí dvoje no</w:t>
      </w:r>
      <w:r>
        <w:softHyphen/>
        <w:t>viny denně, na něž obětuje denně 40 až 50 haléřů, čili prů</w:t>
      </w:r>
      <w:r>
        <w:softHyphen/>
        <w:t>měrně týdně 3 K. Podle návrhu dr. Skály platil by za. dvoje noviny 1.50 až 2 K denně, čili průměrně 12</w:t>
      </w:r>
      <w:r>
        <w:t xml:space="preserve"> K týdně. Týdenní výdělek dělníka činí u nás asi 100 K týdně — ano, pane dokto</w:t>
      </w:r>
      <w:r>
        <w:softHyphen/>
        <w:t>re. ne víc — z nichž nyní obětuje tři procenta na noviny. To si může dovolit. Rozhodně by však jeho rozpočet nesnesl dva</w:t>
      </w:r>
      <w:r>
        <w:softHyphen/>
        <w:t>náctiprocentní zatížení za vydání na noviny. Vzdal by se</w:t>
      </w:r>
      <w:r>
        <w:t xml:space="preserve"> raději svých novin, nebo by se spojilo několik kamarádů ke koupi jedněch novin. Praktikuje se to v našich horských viskách i nyní, kdy jsou noviny za 20 haléřů. Každý den koupí noviny někdo jiný a pak si je vzájemně půjčuji. O tom se muže kazdy přesvědčit</w:t>
      </w:r>
      <w:r>
        <w:t xml:space="preserve"> dotazem u kamelotů v horských vsích. Je proto vic než zřejmo, že náklady novin by poklesly, což by mělo za ná</w:t>
      </w:r>
      <w:r>
        <w:softHyphen/>
        <w:t>sledek další omezení počtu redaktorů a sazečů. Návrh p. dr. byl jistě dobře myšlen, bohužel nepromyšlen.</w:t>
      </w:r>
    </w:p>
    <w:p w:rsidR="00500724" w:rsidRDefault="00F30FB8">
      <w:pPr>
        <w:pStyle w:val="Zkladntext100"/>
        <w:shd w:val="clear" w:color="auto" w:fill="auto"/>
        <w:spacing w:after="80" w:line="190" w:lineRule="auto"/>
        <w:ind w:firstLine="0"/>
        <w:jc w:val="right"/>
        <w:rPr>
          <w:sz w:val="16"/>
          <w:szCs w:val="16"/>
        </w:rPr>
      </w:pPr>
      <w:r>
        <w:rPr>
          <w:sz w:val="17"/>
          <w:szCs w:val="17"/>
        </w:rPr>
        <w:t xml:space="preserve">V přátelské úctě: </w:t>
      </w:r>
      <w:r>
        <w:rPr>
          <w:b/>
          <w:bCs/>
          <w:sz w:val="16"/>
          <w:szCs w:val="16"/>
        </w:rPr>
        <w:t>F. A.</w:t>
      </w:r>
    </w:p>
    <w:p w:rsidR="00500724" w:rsidRDefault="00F30FB8">
      <w:pPr>
        <w:pStyle w:val="Zkladntext100"/>
        <w:shd w:val="clear" w:color="auto" w:fill="auto"/>
        <w:spacing w:after="100" w:line="175" w:lineRule="auto"/>
        <w:ind w:firstLine="0"/>
        <w:jc w:val="center"/>
        <w:rPr>
          <w:sz w:val="19"/>
          <w:szCs w:val="19"/>
        </w:rPr>
      </w:pPr>
      <w:r>
        <w:rPr>
          <w:b/>
          <w:bCs/>
          <w:sz w:val="19"/>
          <w:szCs w:val="19"/>
        </w:rPr>
        <w:t>Zdražit noviny?</w:t>
      </w:r>
    </w:p>
    <w:p w:rsidR="00500724" w:rsidRDefault="00F30FB8">
      <w:pPr>
        <w:pStyle w:val="Zkladntext100"/>
        <w:shd w:val="clear" w:color="auto" w:fill="auto"/>
        <w:spacing w:after="80" w:line="185" w:lineRule="auto"/>
        <w:ind w:left="1260" w:firstLine="0"/>
        <w:jc w:val="left"/>
      </w:pPr>
      <w:r>
        <w:t>Vážená redakce!</w:t>
      </w:r>
    </w:p>
    <w:p w:rsidR="00500724" w:rsidRDefault="00F30FB8">
      <w:pPr>
        <w:pStyle w:val="Zkladntext100"/>
        <w:shd w:val="clear" w:color="auto" w:fill="auto"/>
        <w:spacing w:line="178" w:lineRule="auto"/>
        <w:ind w:firstLine="220"/>
      </w:pPr>
      <w:r>
        <w:t>Ve dnech, kdy naše odborové organisace vydavatelů novin si stěžovaly na nízkou cenu novin a tím na úbytky, které ohro</w:t>
      </w:r>
      <w:r>
        <w:softHyphen/>
        <w:t>žuji novinářské podnikání, dostala se mi do ruky zpráva jedno</w:t>
      </w:r>
      <w:r>
        <w:softHyphen/>
        <w:t xml:space="preserve">ho </w:t>
      </w:r>
      <w:r>
        <w:rPr>
          <w:b/>
          <w:bCs/>
          <w:sz w:val="19"/>
          <w:szCs w:val="19"/>
        </w:rPr>
        <w:t xml:space="preserve">z </w:t>
      </w:r>
      <w:r>
        <w:t>četných kulturních propagátorů knihy a osvěty na říšsko</w:t>
      </w:r>
      <w:r>
        <w:t>- německém venkově. Podrobně se v ni líčí, do jakých rozpaků byl uveden, když mu bylo uloženo, aby na odlehlejší dědině přednášel o německé knize, aby při tom přečetl některé úryv</w:t>
      </w:r>
      <w:r>
        <w:softHyphen/>
        <w:t>ky literární, a aby se snažil získati zájem venkova o německou knihu a tisk.</w:t>
      </w:r>
      <w:r>
        <w:t xml:space="preserve"> Podrobně uvádí pak, jak důkladně se připravoval, nejsa si jist, zda mu vůbec tito vesničané na přednášku přijdou, a zda se budou vůbec o duchovní věci zajimati. Vždyť — jak sám tvrdí — tito lidé nečtou ani noviny, protože těžkou prací venkovskou znaveni, </w:t>
      </w:r>
      <w:r>
        <w:t>nemají prý zájmu o nic jiného, než aby si odpočinuli...</w:t>
      </w:r>
    </w:p>
    <w:p w:rsidR="00500724" w:rsidRDefault="00F30FB8">
      <w:pPr>
        <w:pStyle w:val="Zkladntext100"/>
        <w:shd w:val="clear" w:color="auto" w:fill="auto"/>
        <w:spacing w:line="178" w:lineRule="auto"/>
        <w:ind w:firstLine="220"/>
      </w:pPr>
      <w:r>
        <w:t>Jsem dalek zobecňovati tyto obavy a nejistoty říšskoně</w:t>
      </w:r>
      <w:r>
        <w:softHyphen/>
        <w:t>meckého kulturního pracovníka, avšak jsem přesvědčen, že naše vesnice bez výjimky, jest na vysokém stupni lidového vzděláni, že nejen zná mnoho z</w:t>
      </w:r>
      <w:r>
        <w:t xml:space="preserve"> literatury, že má svou vlastní knihovnu, z níž si pilně vypůjčuje, nýbrž že i při vší své práci sleduje denně a s vrozenou inteligencí běžné události světové i domácí. Naše dědina není myslitelná bez novin — a tím méně ovšem naše města se svými intelektuá</w:t>
      </w:r>
      <w:r>
        <w:t>ly, příslušníky středních stavů i vrstev dělnických. Osvětová práce se po desítiletí u nás utěšeně šířila proto, poněvadž nacházela oporu v touze po četbě novin. Ten, kdo čte noviny, snaží se dověděti se další a podrob</w:t>
      </w:r>
      <w:r>
        <w:softHyphen/>
        <w:t>nější, chodí na přednášky, a kupuje k</w:t>
      </w:r>
      <w:r>
        <w:t>nihy. Noviny jsou avant</w:t>
      </w:r>
      <w:r>
        <w:softHyphen/>
        <w:t>gardou lidové práce osvětové, ať jsou leckdy psány i jinak, než bychom si přáli. Čím jsou noviny přístupnější a rozmanitější, tím osvícenější jest národ.</w:t>
      </w:r>
    </w:p>
    <w:p w:rsidR="00500724" w:rsidRDefault="00F30FB8">
      <w:pPr>
        <w:pStyle w:val="Zkladntext100"/>
        <w:shd w:val="clear" w:color="auto" w:fill="auto"/>
        <w:spacing w:line="178" w:lineRule="auto"/>
        <w:ind w:firstLine="220"/>
      </w:pPr>
      <w:r>
        <w:t>Noviny však jsou odebírány jen tehdy, když jsou cenou dostupné. Jest mylný náz</w:t>
      </w:r>
      <w:r>
        <w:t xml:space="preserve">or, že večerníky jsou </w:t>
      </w:r>
      <w:r>
        <w:rPr>
          <w:lang w:val="en-US" w:eastAsia="en-US" w:bidi="en-US"/>
        </w:rPr>
        <w:t xml:space="preserve">vice </w:t>
      </w:r>
      <w:r>
        <w:t>čteny, pro</w:t>
      </w:r>
      <w:r>
        <w:softHyphen/>
        <w:t>tože jsou psány sensačněji, než velké hlavní listy. Náš lid si rád přečte i vážnou věc, nejen sensace, k nímž byl teprve růz</w:t>
      </w:r>
      <w:r>
        <w:softHyphen/>
        <w:t>ným tiskem vychován. Avšak velké raníky jsou pro něho — cenově nedostupné. Ani těch sedmdesát</w:t>
      </w:r>
      <w:r>
        <w:t xml:space="preserve"> haléřů nemůže většina našich lidí vydati denně na noviny, třebaže je jinak vydávala i tehdy, když chtěla věděti, co jedny a druhé noviny píší. Náš člověk čte, a mnoho čte. Četl noviny všech politických směrů, a proto měl na každou věc svůj náhled, i když </w:t>
      </w:r>
      <w:r>
        <w:t>mnohdy pře</w:t>
      </w:r>
      <w:r>
        <w:softHyphen/>
        <w:t>jímal názory — svých novin.</w:t>
      </w:r>
    </w:p>
    <w:p w:rsidR="00500724" w:rsidRDefault="00F30FB8">
      <w:pPr>
        <w:pStyle w:val="Zkladntext100"/>
        <w:shd w:val="clear" w:color="auto" w:fill="auto"/>
        <w:spacing w:line="178" w:lineRule="auto"/>
        <w:ind w:firstLine="220"/>
      </w:pPr>
      <w:r>
        <w:t>Za dvacet neb třicet haléřů denně mohl si dovoliti čisti no</w:t>
      </w:r>
      <w:r>
        <w:softHyphen/>
        <w:t>viny denně. Budou-li zdraženy, bude nucen si je odříkat. Přesta</w:t>
      </w:r>
      <w:r>
        <w:softHyphen/>
        <w:t>ne je kupovat, a začne si je od sousedů vypůjčovat, pokud ho to neomrzí, a nakonec ztratí o t</w:t>
      </w:r>
      <w:r>
        <w:t>isk vůbec zájem.</w:t>
      </w:r>
    </w:p>
    <w:p w:rsidR="00500724" w:rsidRDefault="00F30FB8">
      <w:pPr>
        <w:pStyle w:val="Zkladntext100"/>
        <w:shd w:val="clear" w:color="auto" w:fill="auto"/>
        <w:spacing w:line="185" w:lineRule="auto"/>
        <w:ind w:firstLine="220"/>
      </w:pPr>
      <w:r>
        <w:t>Není v zájmu lidové osvěty a vzdělanosti, aby přestal číst noviny, a tím aby přestal mít vůbec zájem o tištěné slovo. Zdražováním novin jest rozrušován most k obecnému vzdě</w:t>
      </w:r>
      <w:r>
        <w:softHyphen/>
        <w:t xml:space="preserve">láni </w:t>
      </w:r>
      <w:r>
        <w:rPr>
          <w:b/>
          <w:bCs/>
          <w:sz w:val="19"/>
          <w:szCs w:val="19"/>
        </w:rPr>
        <w:t xml:space="preserve">a </w:t>
      </w:r>
      <w:r>
        <w:t>k dorozumívání se mezi sebou. Jen ten, kdo to nemyslí dobře</w:t>
      </w:r>
      <w:r>
        <w:t xml:space="preserve"> s naším národem, by mohl míti zájem na tom, aby náš lid přestával čist a starat se o veřejné a kulturní záležitosti.</w:t>
      </w:r>
    </w:p>
    <w:p w:rsidR="00500724" w:rsidRDefault="00F30FB8">
      <w:pPr>
        <w:pStyle w:val="Zkladntext100"/>
        <w:shd w:val="clear" w:color="auto" w:fill="auto"/>
        <w:spacing w:line="185" w:lineRule="auto"/>
        <w:ind w:firstLine="220"/>
      </w:pPr>
      <w:r>
        <w:t>Ostatně sami vydavatelé novin dobře vědí, že po každém zdra</w:t>
      </w:r>
      <w:r>
        <w:softHyphen/>
        <w:t>žení novin poklesl jejich odběr o 30 až 50 procent. Utěšovali se při tom, že i</w:t>
      </w:r>
      <w:r>
        <w:t xml:space="preserve"> při tomto poklesu odběratelů byli na tom finančně lépe než při větších nákladech levnějšího tisku. To byl však základní omyl, jehož důsledky se ukázaly pak později při sta</w:t>
      </w:r>
      <w:r>
        <w:softHyphen/>
        <w:t>tistice — odbytu knih a krásné literatury. Mimo to při zmen</w:t>
      </w:r>
      <w:r>
        <w:softHyphen/>
        <w:t>šené cirkulaci jest i i</w:t>
      </w:r>
      <w:r>
        <w:t>nserent opatrnější a rozmyslí si zaplatit! drahé inseráty v časopisech, jejichž cirkulace klesá na mi</w:t>
      </w:r>
      <w:r>
        <w:softHyphen/>
        <w:t>nimum.</w:t>
      </w:r>
    </w:p>
    <w:p w:rsidR="00500724" w:rsidRDefault="00F30FB8">
      <w:pPr>
        <w:pStyle w:val="Zkladntext100"/>
        <w:shd w:val="clear" w:color="auto" w:fill="auto"/>
        <w:spacing w:line="185" w:lineRule="auto"/>
        <w:ind w:firstLine="220"/>
      </w:pPr>
      <w:r>
        <w:t>Chápeme však zcela loyálně, že při dnešních cenách za no</w:t>
      </w:r>
      <w:r>
        <w:softHyphen/>
        <w:t>viny nemohou vydavatelé novin přijití na svůj účet, i když re</w:t>
      </w:r>
      <w:r>
        <w:softHyphen/>
        <w:t>dakčně mají vydání s opatřov</w:t>
      </w:r>
      <w:r>
        <w:t>áním zpráv — což jest kapitola sama pro sebe — den ode dne menší.</w:t>
      </w:r>
    </w:p>
    <w:p w:rsidR="00500724" w:rsidRDefault="00F30FB8">
      <w:pPr>
        <w:pStyle w:val="Zkladntext100"/>
        <w:shd w:val="clear" w:color="auto" w:fill="auto"/>
        <w:spacing w:line="185" w:lineRule="auto"/>
        <w:ind w:firstLine="220"/>
      </w:pPr>
      <w:r>
        <w:t>Jest otázkou, zda jsou vyčerpány všechny možnosti nápravy, a přivedení rozpočtů novinářských do rovnováhy.</w:t>
      </w:r>
    </w:p>
    <w:p w:rsidR="00500724" w:rsidRDefault="00F30FB8">
      <w:pPr>
        <w:pStyle w:val="Zkladntext100"/>
        <w:shd w:val="clear" w:color="auto" w:fill="auto"/>
        <w:spacing w:line="185" w:lineRule="auto"/>
        <w:ind w:firstLine="220"/>
      </w:pPr>
      <w:r>
        <w:t>Jak jest tomu u nás?</w:t>
      </w:r>
    </w:p>
    <w:p w:rsidR="00500724" w:rsidRDefault="00F30FB8">
      <w:pPr>
        <w:pStyle w:val="Zkladntext100"/>
        <w:shd w:val="clear" w:color="auto" w:fill="auto"/>
        <w:spacing w:line="185" w:lineRule="auto"/>
        <w:ind w:firstLine="220"/>
      </w:pPr>
      <w:r>
        <w:t>Německé noviny svou cenu podstatně zvýšily, a proto se jich na</w:t>
      </w:r>
      <w:r>
        <w:t>ši vydavatelé dovolávají. Zapomněli však zdůrazniti, že poslání německého tisku a jeho organisace jest zcela jiné. a že jest také jeho rozčlenění odlišné od typu našich novin. Při</w:t>
      </w:r>
      <w:r>
        <w:softHyphen/>
        <w:t>rovnání toto s -naším tiskem stoprocentně pokulhává.</w:t>
      </w:r>
    </w:p>
    <w:p w:rsidR="00500724" w:rsidRDefault="00F30FB8">
      <w:pPr>
        <w:pStyle w:val="Zkladntext100"/>
        <w:shd w:val="clear" w:color="auto" w:fill="auto"/>
        <w:spacing w:line="185" w:lineRule="auto"/>
        <w:ind w:firstLine="220"/>
        <w:rPr>
          <w:sz w:val="19"/>
          <w:szCs w:val="19"/>
        </w:rPr>
      </w:pPr>
      <w:r>
        <w:t>Upusťme od tisku anglic</w:t>
      </w:r>
      <w:r>
        <w:t>kého, vydržovaného skupinami fi</w:t>
      </w:r>
      <w:r>
        <w:softHyphen/>
        <w:t>nančníků, kteří dovedou počítat a nepročtélávají i při levné ceně novin, a zastavme se u nejpádnějšího typu novin, ve Spo</w:t>
      </w:r>
      <w:r>
        <w:softHyphen/>
        <w:t>jených Státech. Tam běží vydavateli nikoliv o vysokou cenu novin, nýbrž o jejich rozšíření. Jeho redak</w:t>
      </w:r>
      <w:r>
        <w:t>ční štáb jest přímo odměňován za zprávy a úpravu listu, které zvyšují oběživost novin a čini je populárními. Proč? Nikoliv proto, že by tímto způsobem bylo šířeno lidové vzdělání, nýbrž proto, že čím rozšířenější jest list, tím více jest vyhledáván inseren</w:t>
      </w:r>
      <w:r>
        <w:t>ty, jimž na tom záleží, aby jejich oznámky se dostaly do co nej</w:t>
      </w:r>
      <w:r>
        <w:softHyphen/>
        <w:t>většího počtu rukou a čtenářů. A tito inserenti, majíce záru</w:t>
      </w:r>
      <w:r>
        <w:softHyphen/>
        <w:t>ku, že peníze vydané za inserci nejsou ani korupční ani vy</w:t>
      </w:r>
      <w:r>
        <w:softHyphen/>
        <w:t>hozené, nýbrž že jsou zdravou obchodní investicí, jsou nejlepší- mi přis</w:t>
      </w:r>
      <w:r>
        <w:t>pívateli ku krytí rozpočtů novin. Proto americké novi</w:t>
      </w:r>
      <w:r>
        <w:softHyphen/>
        <w:t>ny mohou býti při své nejlepší informovanosti a při svém re</w:t>
      </w:r>
      <w:r>
        <w:softHyphen/>
        <w:t xml:space="preserve">dakčním vypravení i technickém provedení na takové výši, kterou jim může záviděti každý evropský </w:t>
      </w:r>
      <w:r>
        <w:rPr>
          <w:b/>
          <w:bCs/>
          <w:sz w:val="19"/>
          <w:szCs w:val="19"/>
        </w:rPr>
        <w:t xml:space="preserve">a </w:t>
      </w:r>
      <w:r>
        <w:t xml:space="preserve">i náš list, a při </w:t>
      </w:r>
      <w:r>
        <w:rPr>
          <w:b/>
          <w:bCs/>
          <w:sz w:val="19"/>
          <w:szCs w:val="19"/>
        </w:rPr>
        <w:t>&lt;S?0</w:t>
      </w:r>
    </w:p>
    <w:p w:rsidR="00500724" w:rsidRDefault="00F30FB8">
      <w:pPr>
        <w:pStyle w:val="Zkladntext100"/>
        <w:shd w:val="clear" w:color="auto" w:fill="auto"/>
        <w:spacing w:line="170" w:lineRule="auto"/>
        <w:ind w:firstLine="0"/>
      </w:pPr>
      <w:r>
        <w:t xml:space="preserve">tom mohou být </w:t>
      </w:r>
      <w:r>
        <w:t>prodávány — na tamnější poměry — za babku. Koupí, a může si je koupit každý. Proto nejsou pasivní, a ne</w:t>
      </w:r>
      <w:r>
        <w:softHyphen/>
        <w:t>musí zvýšovati ceny.</w:t>
      </w:r>
    </w:p>
    <w:p w:rsidR="00500724" w:rsidRDefault="00F30FB8">
      <w:pPr>
        <w:pStyle w:val="Zkladntext100"/>
        <w:shd w:val="clear" w:color="auto" w:fill="auto"/>
        <w:tabs>
          <w:tab w:val="left" w:leader="underscore" w:pos="4985"/>
        </w:tabs>
        <w:spacing w:line="168" w:lineRule="auto"/>
        <w:ind w:firstLine="180"/>
      </w:pPr>
      <w:r>
        <w:t xml:space="preserve">Jest pohodlnější pro vydavatele, když prostě předepíše </w:t>
      </w:r>
      <w:r>
        <w:tab/>
      </w:r>
    </w:p>
    <w:p w:rsidR="00500724" w:rsidRDefault="00F30FB8">
      <w:pPr>
        <w:pStyle w:val="Zkladntext100"/>
        <w:shd w:val="clear" w:color="auto" w:fill="auto"/>
        <w:spacing w:line="168" w:lineRule="auto"/>
        <w:ind w:firstLine="0"/>
      </w:pPr>
      <w:r>
        <w:t>vyšší cenu. K tomu není potřebí mnoho námahy, i když jest při tom zřejmý r</w:t>
      </w:r>
      <w:r>
        <w:t>isk.</w:t>
      </w:r>
    </w:p>
    <w:p w:rsidR="00500724" w:rsidRDefault="00F30FB8">
      <w:pPr>
        <w:pStyle w:val="Zkladntext100"/>
        <w:shd w:val="clear" w:color="auto" w:fill="auto"/>
        <w:spacing w:line="178" w:lineRule="auto"/>
        <w:ind w:firstLine="180"/>
      </w:pPr>
      <w:r>
        <w:t xml:space="preserve">Mnohem trpčí cesta jest přesvědčit! zdravý obchod, že by </w:t>
      </w:r>
      <w:r>
        <w:rPr>
          <w:lang w:val="en-US" w:eastAsia="en-US" w:bidi="en-US"/>
        </w:rPr>
        <w:t xml:space="preserve">vice </w:t>
      </w:r>
      <w:r>
        <w:t>prodával, kdyby inseroval v novinách, jejichž oběživost se pro vysokou cenu zmenšuje. Mnohem neschůdnější jest cesta, přesvědčiti velké průmyslové koncerny, že jest jejich povin</w:t>
      </w:r>
      <w:r>
        <w:softHyphen/>
        <w:t xml:space="preserve">ností, </w:t>
      </w:r>
      <w:r>
        <w:t>nikoliv blahovůlí, aby přiměřeným způsobem inserovaly, a tím — bez korupcí — se účastnily na krytí deficitu při pod</w:t>
      </w:r>
      <w:r>
        <w:softHyphen/>
        <w:t>nicích, které vlastně spolupracují na hospodářské síle a roz</w:t>
      </w:r>
      <w:r>
        <w:softHyphen/>
        <w:t>květu průmyslu, třeba že někdy nepřímo. Dnes však jsou po</w:t>
      </w:r>
      <w:r>
        <w:softHyphen/>
        <w:t>měry u nás takové, že</w:t>
      </w:r>
      <w:r>
        <w:t xml:space="preserve"> určití podnikatelé se domnívají, že je</w:t>
      </w:r>
      <w:r>
        <w:softHyphen/>
        <w:t>jich povinností jest věnovati jednostrannému tisku všechny, své fondy, a na druhé straně pro naše noviny — nemají zájem, neinserují, jejich finanční možnosti jsou vyčerpány a pod., jak všechny ony povrchní a ledabylé</w:t>
      </w:r>
      <w:r>
        <w:t xml:space="preserve"> výmluvy znějí...</w:t>
      </w:r>
    </w:p>
    <w:p w:rsidR="00500724" w:rsidRDefault="00F30FB8">
      <w:pPr>
        <w:pStyle w:val="Zkladntext100"/>
        <w:shd w:val="clear" w:color="auto" w:fill="auto"/>
        <w:spacing w:line="178" w:lineRule="auto"/>
        <w:ind w:firstLine="180"/>
      </w:pPr>
      <w:r>
        <w:t>Politické strany měly různé možnosti, aby kryly deficity svých novin. Tuto periodu rozkvětu a často nezaslouženého blahobytu mají naše noviny dnes za sebou. Avšak tím nezani</w:t>
      </w:r>
      <w:r>
        <w:softHyphen/>
        <w:t>ká povinnost, a to kulturní, hospodářská i národní, jistých vrst</w:t>
      </w:r>
      <w:r>
        <w:t>ev, aby s novinami i nadále pracovaly, ovšem na podkladě reelnim, jasném a zákonitě upraveném. Jen tak zůstane náš lid na své kulturní výši, jen tak zůstane také — platícím spo</w:t>
      </w:r>
      <w:r>
        <w:softHyphen/>
        <w:t>třebitelem s vyšší životní úrovní a s většími životními potře</w:t>
      </w:r>
      <w:r>
        <w:softHyphen/>
        <w:t>bami. Vydávejme p</w:t>
      </w:r>
      <w:r>
        <w:t>roto noviny dobré, laciné — a neproděláme. Naučme se konečně i hoviny — opravdově dělat...</w:t>
      </w:r>
    </w:p>
    <w:p w:rsidR="00500724" w:rsidRDefault="00F30FB8">
      <w:pPr>
        <w:pStyle w:val="Zkladntext100"/>
        <w:shd w:val="clear" w:color="auto" w:fill="auto"/>
        <w:spacing w:after="240" w:line="178" w:lineRule="auto"/>
        <w:ind w:firstLine="0"/>
        <w:jc w:val="right"/>
      </w:pPr>
      <w:r>
        <w:t>A. Melichar</w:t>
      </w:r>
    </w:p>
    <w:p w:rsidR="00500724" w:rsidRDefault="00F30FB8">
      <w:pPr>
        <w:pStyle w:val="Zkladntext100"/>
        <w:shd w:val="clear" w:color="auto" w:fill="auto"/>
        <w:spacing w:after="80" w:line="168" w:lineRule="auto"/>
        <w:ind w:firstLine="0"/>
        <w:jc w:val="center"/>
        <w:rPr>
          <w:sz w:val="19"/>
          <w:szCs w:val="19"/>
        </w:rPr>
      </w:pPr>
      <w:r>
        <w:rPr>
          <w:b/>
          <w:bCs/>
          <w:sz w:val="19"/>
          <w:szCs w:val="19"/>
        </w:rPr>
        <w:t>Co je svatováclavská tradice?</w:t>
      </w:r>
    </w:p>
    <w:p w:rsidR="00500724" w:rsidRDefault="00F30FB8">
      <w:pPr>
        <w:pStyle w:val="Zkladntext100"/>
        <w:shd w:val="clear" w:color="auto" w:fill="auto"/>
        <w:spacing w:after="80" w:line="175" w:lineRule="auto"/>
        <w:ind w:left="1280" w:firstLine="0"/>
        <w:jc w:val="left"/>
      </w:pPr>
      <w:r>
        <w:t>Vážená redakce!</w:t>
      </w:r>
    </w:p>
    <w:p w:rsidR="00500724" w:rsidRDefault="00F30FB8">
      <w:pPr>
        <w:pStyle w:val="Zkladntext100"/>
        <w:shd w:val="clear" w:color="auto" w:fill="auto"/>
        <w:spacing w:line="178" w:lineRule="auto"/>
        <w:ind w:firstLine="180"/>
      </w:pPr>
      <w:r>
        <w:t xml:space="preserve">Chtěl bych jen říci co nám, lidem prostým, na nadepsaném thematu je nejasným a neurčitým. Pan dr. O. </w:t>
      </w:r>
      <w:r>
        <w:rPr>
          <w:b/>
          <w:bCs/>
          <w:sz w:val="19"/>
          <w:szCs w:val="19"/>
        </w:rPr>
        <w:t xml:space="preserve">K. v </w:t>
      </w:r>
      <w:r>
        <w:t>č</w:t>
      </w:r>
      <w:r>
        <w:t xml:space="preserve">lánku </w:t>
      </w:r>
      <w:r>
        <w:rPr>
          <w:b/>
          <w:bCs/>
          <w:sz w:val="19"/>
          <w:szCs w:val="19"/>
        </w:rPr>
        <w:t xml:space="preserve">v </w:t>
      </w:r>
      <w:r>
        <w:t>18 čísle »P«. rozlišuje Václava knížete a Václava svátého — čili živého a mrtvého. To je jasné. Tedy nejprve ten živý.</w:t>
      </w:r>
    </w:p>
    <w:p w:rsidR="00500724" w:rsidRDefault="00F30FB8">
      <w:pPr>
        <w:pStyle w:val="Zkladntext100"/>
        <w:shd w:val="clear" w:color="auto" w:fill="auto"/>
        <w:spacing w:line="175" w:lineRule="auto"/>
        <w:ind w:firstLine="180"/>
      </w:pPr>
      <w:r>
        <w:t>Neznám historiji nijak důkladně, vím jen že kníže Václav zemřel ve věku velmi mladistvém. Snad ani 25 let nedočkal. Je možná že t</w:t>
      </w:r>
      <w:r>
        <w:t>o byl skutečně rozený genius, nikdo mu však nemůže zazlívat, že po něm nezbylo žádných památek lite</w:t>
      </w:r>
      <w:r>
        <w:softHyphen/>
        <w:t>rárních či jiných. Bude v dějinách geniů asi málo jedinců, kteři po sobě zanechali stopy nehynoucí přes to, že odešli ve věku tak časném. Pokud se politické</w:t>
      </w:r>
      <w:r>
        <w:t xml:space="preserve"> orientace týče, ta mohla být za daných poměrů velmi správná. Jenže z těchto důvodů církev své svaté nepovyšovala. Politické činitele jsou velmi měnlivé, řídíce se příliš různými danými okolnostmi, jak vidíme v histo</w:t>
      </w:r>
      <w:r>
        <w:softHyphen/>
        <w:t>riji nejen minulé ale i současné. Círke</w:t>
      </w:r>
      <w:r>
        <w:t>v ale svatořečení musila asi odůvodnit hodnotami ceny trvalejší. A pro nás má nesporně hlavní význam Václav svátý.</w:t>
      </w:r>
    </w:p>
    <w:p w:rsidR="00500724" w:rsidRDefault="00F30FB8">
      <w:pPr>
        <w:pStyle w:val="Zkladntext100"/>
        <w:shd w:val="clear" w:color="auto" w:fill="auto"/>
        <w:spacing w:line="175" w:lineRule="auto"/>
        <w:ind w:firstLine="180"/>
      </w:pPr>
      <w:r>
        <w:t>Tak jako dnes jsou — zvlášť pro malý národ — velmi cenou legitimací jména vynikajících filosofů, spisovatelů, vynálezců atd. takovou průkazko</w:t>
      </w:r>
      <w:r>
        <w:t>u v desátém století bylo jistě jméno Svatého. Chápeme že to velmi přispělo k tomu, aby se národ dostal do řady druhých národů pokročilejších. Ovšem zde má hlavní zásluhu řim. kat. církev, která ať již z jakýchkoli dů</w:t>
      </w:r>
      <w:r>
        <w:softHyphen/>
        <w:t>vodů náš národ tak vyznamenala a pozved</w:t>
      </w:r>
      <w:r>
        <w:t>la, což velmi poslou</w:t>
      </w:r>
      <w:r>
        <w:softHyphen/>
        <w:t>žilo tenkrát nejen v zahraničních poměrech ale i doma. V těch dobách asi všeobecně si lidé představovali Boha jako mocného panovníka, obklopeného nevídanou nádherou a skvostnou dru</w:t>
      </w:r>
      <w:r>
        <w:softHyphen/>
        <w:t>žinou anjelů a svátých, mezi než přibyl nyní i jeden n</w:t>
      </w:r>
      <w:r>
        <w:t>áš Cech, který se zajisté při každé příležitosti bude za své krajany při</w:t>
      </w:r>
      <w:r>
        <w:softHyphen/>
        <w:t>mlouvat, a nepochybně vždy bude žádat o audienci, kdykoli jeho národu bude hrozit bída či mor, válka neb jiné nebezpečí. A tato prostá víra, dodávající naděje a síly, jistě nebývala b</w:t>
      </w:r>
      <w:r>
        <w:t>ez významu.</w:t>
      </w:r>
    </w:p>
    <w:p w:rsidR="00500724" w:rsidRDefault="00F30FB8">
      <w:pPr>
        <w:pStyle w:val="Zkladntext100"/>
        <w:shd w:val="clear" w:color="auto" w:fill="auto"/>
        <w:spacing w:line="175" w:lineRule="auto"/>
        <w:ind w:firstLine="180"/>
      </w:pPr>
      <w:r>
        <w:t>Leč časy se změnily. Dnes už jen asi část národa si předsta</w:t>
      </w:r>
      <w:r>
        <w:softHyphen/>
        <w:t>vuje náboženství dle toho starého způsobu, druhá část se jím nezabývá vůbec a třetí část pod pojmem Boha cítí — stručně řečeno — tu nejvyšší, nade vše lidské pomyšlení dokonalou moc, m</w:t>
      </w:r>
      <w:r>
        <w:t>oudrost, spravedlnost, a každé zlidštění, třeba to bylo přirovnání k nejmocnějšímu panovníku, považuje za profa- naci. Tento Bůh má zajisté své plány s jednotlivci i národy, a nečeká ani nepotřebuje nějakých protekčních přímluv čí rad. S těmito problémy te</w:t>
      </w:r>
      <w:r>
        <w:t>dy bude třeba se vyrovnat v sou</w:t>
      </w:r>
      <w:r>
        <w:softHyphen/>
        <w:t>vislosti s propagovaným návratem k tradici svatováclavské. Ten úkol není ovšem tak snadný a bude k němu třeba značné trpělivosti. Nepochybuji, že všichni se s úctou díváme zpět k té staré, prostinké víře našeho lidu, tak jak</w:t>
      </w:r>
      <w:r>
        <w:t>o s vážností pro</w:t>
      </w:r>
      <w:r>
        <w:softHyphen/>
        <w:t>hlížíme v museu popelnice, nádobky do nichž ještě starší naši předkové vkládali pokrmy, peníze a p., věříce, že duše zemře</w:t>
      </w:r>
      <w:r>
        <w:softHyphen/>
        <w:t>lých toho potřebuje. My na to sic s úctou vzpomínáme ale dnes už to neděláme.</w:t>
      </w:r>
    </w:p>
    <w:p w:rsidR="00500724" w:rsidRDefault="00F30FB8">
      <w:pPr>
        <w:pStyle w:val="Zkladntext100"/>
        <w:shd w:val="clear" w:color="auto" w:fill="auto"/>
        <w:tabs>
          <w:tab w:val="left" w:pos="3293"/>
        </w:tabs>
        <w:spacing w:line="178" w:lineRule="auto"/>
        <w:ind w:firstLine="180"/>
        <w:sectPr w:rsidR="00500724">
          <w:footnotePr>
            <w:numFmt w:val="chicago"/>
            <w:numRestart w:val="eachPage"/>
          </w:footnotePr>
          <w:type w:val="continuous"/>
          <w:pgSz w:w="11909" w:h="16834"/>
          <w:pgMar w:top="1403" w:right="825" w:bottom="912" w:left="706" w:header="0" w:footer="3" w:gutter="0"/>
          <w:cols w:num="2" w:space="125"/>
          <w:noEndnote/>
          <w:docGrid w:linePitch="360"/>
        </w:sectPr>
      </w:pPr>
      <w:r>
        <w:t xml:space="preserve">Nestačí </w:t>
      </w:r>
      <w:r>
        <w:t>tedy hlučné doporučování, nýbrž klidné uváženi a ujasnění. A i Němci si musí uvědomit, že to nebyla politická orientace, která povýšila knížete Václava na svátého — tím tedy významného — jako to nebyla politická orientace, jež z doby Husitů učinila mezník,</w:t>
      </w:r>
      <w:r>
        <w:t xml:space="preserve"> který nelze </w:t>
      </w:r>
      <w:r>
        <w:rPr>
          <w:b/>
          <w:bCs/>
          <w:sz w:val="19"/>
          <w:szCs w:val="19"/>
        </w:rPr>
        <w:t xml:space="preserve">z </w:t>
      </w:r>
      <w:r>
        <w:t>historije národa tak snadno vykopat.</w:t>
      </w:r>
      <w:r>
        <w:tab/>
      </w:r>
      <w:r>
        <w:rPr>
          <w:b/>
          <w:bCs/>
          <w:sz w:val="19"/>
          <w:szCs w:val="19"/>
        </w:rPr>
        <w:t xml:space="preserve">K. — </w:t>
      </w:r>
      <w:r>
        <w:t>elektromontér.</w:t>
      </w:r>
    </w:p>
    <w:p w:rsidR="00500724" w:rsidRDefault="00F30FB8">
      <w:pPr>
        <w:pStyle w:val="Nadpis50"/>
        <w:keepNext/>
        <w:keepLines/>
        <w:framePr w:w="6931" w:h="1704" w:wrap="none" w:vAnchor="text" w:hAnchor="page" w:x="3630" w:y="323"/>
        <w:shd w:val="clear" w:color="auto" w:fill="auto"/>
      </w:pPr>
      <w:bookmarkStart w:id="602" w:name="bookmark601"/>
      <w:r>
        <w:t>vět knih</w:t>
      </w:r>
      <w:bookmarkEnd w:id="602"/>
    </w:p>
    <w:p w:rsidR="00500724" w:rsidRDefault="00F30FB8">
      <w:pPr>
        <w:pStyle w:val="Nadpis90"/>
        <w:keepNext/>
        <w:keepLines/>
        <w:framePr w:w="7171" w:h="523" w:wrap="none" w:vAnchor="text" w:hAnchor="page" w:x="3428" w:y="2027"/>
        <w:shd w:val="clear" w:color="auto" w:fill="auto"/>
        <w:spacing w:after="0"/>
        <w:rPr>
          <w:sz w:val="42"/>
          <w:szCs w:val="42"/>
        </w:rPr>
      </w:pPr>
      <w:bookmarkStart w:id="603" w:name="bookmark602"/>
      <w:r>
        <w:rPr>
          <w:b/>
          <w:bCs/>
          <w:sz w:val="34"/>
          <w:szCs w:val="34"/>
        </w:rPr>
        <w:t xml:space="preserve">KULTURNÍ </w:t>
      </w:r>
      <w:r>
        <w:rPr>
          <w:smallCaps/>
          <w:sz w:val="42"/>
          <w:szCs w:val="42"/>
        </w:rPr>
        <w:t>zpravodaj</w:t>
      </w:r>
      <w:bookmarkEnd w:id="603"/>
    </w:p>
    <w:p w:rsidR="00500724" w:rsidRDefault="00F30FB8">
      <w:pPr>
        <w:pStyle w:val="slonadpisu110"/>
        <w:framePr w:w="336" w:h="1786" w:wrap="none" w:vAnchor="text" w:hAnchor="page" w:x="10878" w:y="21"/>
        <w:shd w:val="clear" w:color="auto" w:fill="auto"/>
      </w:pPr>
      <w:r>
        <w:t>79</w:t>
      </w:r>
    </w:p>
    <w:p w:rsidR="00500724" w:rsidRDefault="00F30FB8">
      <w:pPr>
        <w:pStyle w:val="Nadpis110"/>
        <w:framePr w:w="336" w:h="1786" w:wrap="none" w:vAnchor="text" w:hAnchor="page" w:x="10878" w:y="21"/>
        <w:shd w:val="clear" w:color="auto" w:fill="auto"/>
        <w:spacing w:line="180" w:lineRule="auto"/>
      </w:pPr>
      <w:bookmarkStart w:id="604" w:name="bookmark603"/>
      <w:r>
        <w:t>O</w:t>
      </w:r>
      <w:bookmarkEnd w:id="604"/>
    </w:p>
    <w:p w:rsidR="00500724" w:rsidRDefault="00F30FB8">
      <w:pPr>
        <w:pStyle w:val="Nadpis110"/>
        <w:framePr w:w="336" w:h="1786" w:wrap="none" w:vAnchor="text" w:hAnchor="page" w:x="10878" w:y="21"/>
        <w:shd w:val="clear" w:color="auto" w:fill="auto"/>
        <w:spacing w:line="180" w:lineRule="auto"/>
      </w:pPr>
      <w:bookmarkStart w:id="605" w:name="bookmark604"/>
      <w:r>
        <w:rPr>
          <w:rFonts w:ascii="Times New Roman" w:eastAsia="Times New Roman" w:hAnsi="Times New Roman" w:cs="Times New Roman"/>
        </w:rPr>
        <w:t>o&lt;</w:t>
      </w:r>
      <w:bookmarkEnd w:id="605"/>
    </w:p>
    <w:p w:rsidR="00500724" w:rsidRDefault="00F30FB8">
      <w:pPr>
        <w:pStyle w:val="Jin0"/>
        <w:framePr w:w="336" w:h="1786" w:wrap="none" w:vAnchor="text" w:hAnchor="page" w:x="10878" w:y="21"/>
        <w:shd w:val="clear" w:color="auto" w:fill="auto"/>
        <w:spacing w:line="211" w:lineRule="auto"/>
        <w:ind w:firstLine="0"/>
        <w:jc w:val="left"/>
        <w:rPr>
          <w:sz w:val="26"/>
          <w:szCs w:val="26"/>
        </w:rPr>
      </w:pPr>
      <w:r>
        <w:rPr>
          <w:rFonts w:ascii="Arial" w:eastAsia="Arial" w:hAnsi="Arial" w:cs="Arial"/>
          <w:b/>
          <w:bCs/>
          <w:sz w:val="26"/>
          <w:szCs w:val="26"/>
        </w:rPr>
        <w:t>«o</w:t>
      </w:r>
    </w:p>
    <w:p w:rsidR="00500724" w:rsidRDefault="00F30FB8">
      <w:pPr>
        <w:pStyle w:val="Jin0"/>
        <w:framePr w:w="336" w:h="1786" w:wrap="none" w:vAnchor="text" w:hAnchor="page" w:x="10878" w:y="21"/>
        <w:shd w:val="clear" w:color="auto" w:fill="auto"/>
        <w:ind w:firstLine="0"/>
        <w:jc w:val="left"/>
        <w:rPr>
          <w:sz w:val="28"/>
          <w:szCs w:val="28"/>
        </w:rPr>
      </w:pPr>
      <w:r>
        <w:rPr>
          <w:rFonts w:ascii="Arial" w:eastAsia="Arial" w:hAnsi="Arial" w:cs="Arial"/>
          <w:b/>
          <w:bCs/>
          <w:w w:val="70"/>
          <w:sz w:val="28"/>
          <w:szCs w:val="28"/>
        </w:rPr>
        <w:t>o*</w:t>
      </w:r>
    </w:p>
    <w:p w:rsidR="00500724" w:rsidRDefault="00F30FB8">
      <w:pPr>
        <w:pStyle w:val="Nadpis110"/>
        <w:framePr w:w="336" w:h="1786" w:wrap="none" w:vAnchor="text" w:hAnchor="page" w:x="10878" w:y="21"/>
        <w:shd w:val="clear" w:color="auto" w:fill="auto"/>
      </w:pPr>
      <w:bookmarkStart w:id="606" w:name="bookmark605"/>
      <w:r>
        <w:t>M</w:t>
      </w:r>
      <w:bookmarkEnd w:id="606"/>
    </w:p>
    <w:p w:rsidR="00500724" w:rsidRDefault="00F30FB8">
      <w:pPr>
        <w:pStyle w:val="Nadpis110"/>
        <w:framePr w:w="336" w:h="1786" w:wrap="none" w:vAnchor="text" w:hAnchor="page" w:x="10878" w:y="21"/>
        <w:shd w:val="clear" w:color="auto" w:fill="auto"/>
      </w:pPr>
      <w:bookmarkStart w:id="607" w:name="bookmark606"/>
      <w:r>
        <w:t>o</w:t>
      </w:r>
      <w:bookmarkEnd w:id="607"/>
    </w:p>
    <w:p w:rsidR="00500724" w:rsidRDefault="00F30FB8">
      <w:pPr>
        <w:pStyle w:val="Jin0"/>
        <w:framePr w:w="422" w:h="427" w:wrap="none" w:vAnchor="text" w:hAnchor="page" w:x="10859" w:y="2027"/>
        <w:shd w:val="clear" w:color="auto" w:fill="auto"/>
        <w:ind w:firstLine="0"/>
        <w:jc w:val="left"/>
        <w:rPr>
          <w:sz w:val="34"/>
          <w:szCs w:val="34"/>
        </w:rPr>
      </w:pPr>
      <w:r>
        <w:rPr>
          <w:rFonts w:ascii="Arial" w:eastAsia="Arial" w:hAnsi="Arial" w:cs="Arial"/>
          <w:b/>
          <w:bCs/>
          <w:sz w:val="34"/>
          <w:szCs w:val="34"/>
        </w:rPr>
        <w:t>24</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375" w:line="14" w:lineRule="exact"/>
      </w:pPr>
    </w:p>
    <w:p w:rsidR="00500724" w:rsidRDefault="00500724">
      <w:pPr>
        <w:spacing w:line="14" w:lineRule="exact"/>
        <w:sectPr w:rsidR="00500724">
          <w:footnotePr>
            <w:numFmt w:val="chicago"/>
            <w:numRestart w:val="eachPage"/>
          </w:footnotePr>
          <w:pgSz w:w="11909" w:h="16834"/>
          <w:pgMar w:top="574" w:right="629" w:bottom="1397" w:left="845" w:header="0" w:footer="3" w:gutter="0"/>
          <w:cols w:space="720"/>
          <w:noEndnote/>
          <w:docGrid w:linePitch="360"/>
        </w:sectPr>
      </w:pPr>
    </w:p>
    <w:p w:rsidR="00500724" w:rsidRDefault="00500724">
      <w:pPr>
        <w:spacing w:line="139" w:lineRule="exact"/>
        <w:rPr>
          <w:sz w:val="11"/>
          <w:szCs w:val="11"/>
        </w:rPr>
      </w:pPr>
    </w:p>
    <w:p w:rsidR="00500724" w:rsidRDefault="00500724">
      <w:pPr>
        <w:spacing w:line="14" w:lineRule="exact"/>
        <w:sectPr w:rsidR="00500724">
          <w:footnotePr>
            <w:numFmt w:val="chicago"/>
            <w:numRestart w:val="eachPage"/>
          </w:footnotePr>
          <w:type w:val="continuous"/>
          <w:pgSz w:w="11909" w:h="16834"/>
          <w:pgMar w:top="761" w:right="0" w:bottom="532" w:left="0" w:header="0" w:footer="3" w:gutter="0"/>
          <w:cols w:space="720"/>
          <w:noEndnote/>
          <w:docGrid w:linePitch="360"/>
        </w:sectPr>
      </w:pPr>
    </w:p>
    <w:p w:rsidR="00500724" w:rsidRDefault="00F30FB8">
      <w:pPr>
        <w:spacing w:line="14" w:lineRule="exact"/>
      </w:pPr>
      <w:r>
        <w:rPr>
          <w:noProof/>
        </w:rPr>
        <mc:AlternateContent>
          <mc:Choice Requires="wps">
            <w:drawing>
              <wp:anchor distT="317500" distB="254000" distL="114300" distR="114300" simplePos="0" relativeHeight="125829990" behindDoc="0" locked="0" layoutInCell="1" allowOverlap="1">
                <wp:simplePos x="0" y="0"/>
                <wp:positionH relativeFrom="page">
                  <wp:posOffset>981710</wp:posOffset>
                </wp:positionH>
                <wp:positionV relativeFrom="paragraph">
                  <wp:posOffset>3239770</wp:posOffset>
                </wp:positionV>
                <wp:extent cx="5687695" cy="4221480"/>
                <wp:effectExtent l="0" t="0" r="0" b="0"/>
                <wp:wrapTopAndBottom/>
                <wp:docPr id="613" name="Shape 613"/>
                <wp:cNvGraphicFramePr/>
                <a:graphic xmlns:a="http://schemas.openxmlformats.org/drawingml/2006/main">
                  <a:graphicData uri="http://schemas.microsoft.com/office/word/2010/wordprocessingShape">
                    <wps:wsp>
                      <wps:cNvSpPr txBox="1"/>
                      <wps:spPr>
                        <a:xfrm>
                          <a:off x="0" y="0"/>
                          <a:ext cx="5687695" cy="4221480"/>
                        </a:xfrm>
                        <a:prstGeom prst="rect">
                          <a:avLst/>
                        </a:prstGeom>
                        <a:noFill/>
                      </wps:spPr>
                      <wps:txbx>
                        <w:txbxContent>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334" w:lineRule="auto"/>
                              <w:ind w:right="3920" w:firstLine="0"/>
                              <w:jc w:val="left"/>
                              <w:rPr>
                                <w:sz w:val="78"/>
                                <w:szCs w:val="78"/>
                              </w:rPr>
                            </w:pPr>
                            <w:r>
                              <w:rPr>
                                <w:rFonts w:ascii="Arial" w:eastAsia="Arial" w:hAnsi="Arial" w:cs="Arial"/>
                                <w:sz w:val="78"/>
                                <w:szCs w:val="78"/>
                              </w:rPr>
                              <w:t>BUDUJTE A POSILUJTE</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320" w:line="334" w:lineRule="auto"/>
                              <w:ind w:firstLine="0"/>
                              <w:jc w:val="center"/>
                              <w:rPr>
                                <w:sz w:val="78"/>
                                <w:szCs w:val="78"/>
                              </w:rPr>
                            </w:pPr>
                            <w:r>
                              <w:rPr>
                                <w:rFonts w:ascii="Arial" w:eastAsia="Arial" w:hAnsi="Arial" w:cs="Arial"/>
                                <w:sz w:val="78"/>
                                <w:szCs w:val="78"/>
                              </w:rPr>
                              <w:t>spotřební družstva</w:t>
                            </w:r>
                          </w:p>
                          <w:p w:rsidR="00500724" w:rsidRDefault="00F30FB8">
                            <w:pPr>
                              <w:pStyle w:val="Nadpis70"/>
                              <w:keepNext/>
                              <w:keepLines/>
                              <w:pBdr>
                                <w:top w:val="single" w:sz="4" w:space="0" w:color="auto"/>
                                <w:left w:val="single" w:sz="4" w:space="0" w:color="auto"/>
                                <w:bottom w:val="single" w:sz="4" w:space="0" w:color="auto"/>
                                <w:right w:val="single" w:sz="4" w:space="0" w:color="auto"/>
                              </w:pBdr>
                              <w:shd w:val="clear" w:color="auto" w:fill="auto"/>
                              <w:spacing w:after="180" w:line="300" w:lineRule="auto"/>
                              <w:ind w:left="4220" w:firstLine="20"/>
                              <w:jc w:val="both"/>
                            </w:pPr>
                            <w:bookmarkStart w:id="608" w:name="bookmark607"/>
                            <w:r>
                              <w:rPr>
                                <w:rFonts w:ascii="Times New Roman" w:eastAsia="Times New Roman" w:hAnsi="Times New Roman" w:cs="Times New Roman"/>
                                <w:w w:val="100"/>
                              </w:rPr>
                              <w:t xml:space="preserve">Požadujte výrobky vlastní </w:t>
                            </w:r>
                            <w:r>
                              <w:rPr>
                                <w:rFonts w:ascii="Times New Roman" w:eastAsia="Times New Roman" w:hAnsi="Times New Roman" w:cs="Times New Roman"/>
                                <w:w w:val="100"/>
                              </w:rPr>
                              <w:t>družstevní výroby</w:t>
                            </w:r>
                            <w:bookmarkEnd w:id="608"/>
                          </w:p>
                        </w:txbxContent>
                      </wps:txbx>
                      <wps:bodyPr lIns="0" tIns="0" rIns="0" bIns="0">
                        <a:spAutoFit/>
                      </wps:bodyPr>
                    </wps:wsp>
                  </a:graphicData>
                </a:graphic>
              </wp:anchor>
            </w:drawing>
          </mc:Choice>
          <mc:Fallback>
            <w:pict>
              <v:shape id="_x0000_s1639" type="#_x0000_t202" style="position:absolute;margin-left:77.299999999999997pt;margin-top:255.09999999999999pt;width:447.85000000000002pt;height:332.39999999999998pt;z-index:-125828763;mso-wrap-distance-left:9.pt;mso-wrap-distance-top:25.pt;mso-wrap-distance-right:9.pt;mso-wrap-distance-bottom:20.pt;mso-position-horizontal-relative:page" filled="f" stroked="f">
                <v:textbox style="mso-fit-shape-to-text:t" inset="0,0,0,0">
                  <w:txbxContent>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334" w:lineRule="auto"/>
                        <w:ind w:left="0" w:right="3920" w:firstLine="0"/>
                        <w:jc w:val="left"/>
                        <w:rPr>
                          <w:sz w:val="78"/>
                          <w:szCs w:val="78"/>
                        </w:rPr>
                      </w:pPr>
                      <w:r>
                        <w:rPr>
                          <w:rFonts w:ascii="Arial" w:eastAsia="Arial" w:hAnsi="Arial" w:cs="Arial"/>
                          <w:color w:val="000000"/>
                          <w:spacing w:val="0"/>
                          <w:w w:val="100"/>
                          <w:position w:val="0"/>
                          <w:sz w:val="78"/>
                          <w:szCs w:val="78"/>
                          <w:shd w:val="clear" w:color="auto" w:fill="auto"/>
                          <w:lang w:val="cs-CZ" w:eastAsia="cs-CZ" w:bidi="cs-CZ"/>
                        </w:rPr>
                        <w:t>BUDUJTE A POSILUJTE</w:t>
                      </w:r>
                    </w:p>
                    <w:p>
                      <w:pPr>
                        <w:pStyle w:val="Style1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20" w:line="334" w:lineRule="auto"/>
                        <w:ind w:left="0" w:right="0" w:firstLine="0"/>
                        <w:jc w:val="center"/>
                        <w:rPr>
                          <w:sz w:val="78"/>
                          <w:szCs w:val="78"/>
                        </w:rPr>
                      </w:pPr>
                      <w:r>
                        <w:rPr>
                          <w:rFonts w:ascii="Arial" w:eastAsia="Arial" w:hAnsi="Arial" w:cs="Arial"/>
                          <w:color w:val="000000"/>
                          <w:spacing w:val="0"/>
                          <w:w w:val="100"/>
                          <w:position w:val="0"/>
                          <w:sz w:val="78"/>
                          <w:szCs w:val="78"/>
                          <w:shd w:val="clear" w:color="auto" w:fill="auto"/>
                          <w:lang w:val="cs-CZ" w:eastAsia="cs-CZ" w:bidi="cs-CZ"/>
                        </w:rPr>
                        <w:t>spotřební družstva</w:t>
                      </w:r>
                    </w:p>
                    <w:p>
                      <w:pPr>
                        <w:pStyle w:val="Style85"/>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180" w:line="300" w:lineRule="auto"/>
                        <w:ind w:left="4220" w:right="0" w:firstLine="20"/>
                        <w:jc w:val="both"/>
                      </w:pPr>
                      <w:bookmarkStart w:id="607" w:name="bookmark607"/>
                      <w:r>
                        <w:rPr>
                          <w:rFonts w:ascii="Times New Roman" w:eastAsia="Times New Roman" w:hAnsi="Times New Roman" w:cs="Times New Roman"/>
                          <w:color w:val="000000"/>
                          <w:spacing w:val="0"/>
                          <w:w w:val="100"/>
                          <w:position w:val="0"/>
                          <w:shd w:val="clear" w:color="auto" w:fill="auto"/>
                          <w:lang w:val="cs-CZ" w:eastAsia="cs-CZ" w:bidi="cs-CZ"/>
                        </w:rPr>
                        <w:t>Požadujte výrobky vlastní družstevní výroby</w:t>
                      </w:r>
                      <w:bookmarkEnd w:id="607"/>
                    </w:p>
                  </w:txbxContent>
                </v:textbox>
                <w10:wrap type="topAndBottom" anchorx="page"/>
              </v:shape>
            </w:pict>
          </mc:Fallback>
        </mc:AlternateContent>
      </w:r>
    </w:p>
    <w:p w:rsidR="00500724" w:rsidRDefault="00F30FB8">
      <w:pPr>
        <w:pStyle w:val="Jin0"/>
        <w:shd w:val="clear" w:color="auto" w:fill="auto"/>
        <w:spacing w:after="40"/>
        <w:ind w:firstLine="0"/>
        <w:jc w:val="left"/>
        <w:rPr>
          <w:sz w:val="24"/>
          <w:szCs w:val="24"/>
        </w:rPr>
      </w:pPr>
      <w:r>
        <w:rPr>
          <w:rFonts w:ascii="Arial" w:eastAsia="Arial" w:hAnsi="Arial" w:cs="Arial"/>
          <w:sz w:val="24"/>
          <w:szCs w:val="24"/>
        </w:rPr>
        <w:t>NOVÉ KNIHY</w:t>
      </w:r>
    </w:p>
    <w:p w:rsidR="00500724" w:rsidRDefault="00F30FB8">
      <w:pPr>
        <w:pStyle w:val="Zkladntext40"/>
        <w:shd w:val="clear" w:color="auto" w:fill="auto"/>
        <w:spacing w:after="80" w:line="180" w:lineRule="auto"/>
      </w:pPr>
      <w:r>
        <w:rPr>
          <w:rFonts w:ascii="Georgia" w:eastAsia="Georgia" w:hAnsi="Georgia" w:cs="Georgia"/>
          <w:b/>
          <w:bCs/>
          <w:sz w:val="13"/>
          <w:szCs w:val="13"/>
        </w:rPr>
        <w:t xml:space="preserve">VLADIMÍR HOLAN: SEN </w:t>
      </w:r>
      <w:r>
        <w:t>Jako 34. svazek sbírky Českých básni vychází rozsáhlejší nová báseň Vladimíra Holana Sen. Básník abstraktních dějů a ima</w:t>
      </w:r>
      <w:r>
        <w:softHyphen/>
        <w:t xml:space="preserve">ginárních snových dobrodružství, Jak se nám totiž Vladimír Holan Jevil </w:t>
      </w:r>
      <w:r>
        <w:rPr>
          <w:b/>
          <w:bCs/>
          <w:sz w:val="14"/>
          <w:szCs w:val="14"/>
        </w:rPr>
        <w:t xml:space="preserve">v </w:t>
      </w:r>
      <w:r>
        <w:t xml:space="preserve">»Oblouku« a </w:t>
      </w:r>
      <w:r>
        <w:t>»Vanutí«, stává se v této básní, obdobně Jako v předchozím 2Záři 1938« lyrikem přítomné chvíle, doby a Času, básníkem dějů, které se jako fantomy a snové vidiny zve</w:t>
      </w:r>
      <w:r>
        <w:softHyphen/>
        <w:t>dají za věcmi a událostmi ze sklonku Čtvrtého desítiletí našeho století. Fantamatická vidin</w:t>
      </w:r>
      <w:r>
        <w:t>a vál</w:t>
      </w:r>
      <w:r>
        <w:softHyphen/>
        <w:t>ky, Jak by tato zpustošila svět, pošlapala lidská srdce a probudi</w:t>
      </w:r>
      <w:r>
        <w:softHyphen/>
        <w:t xml:space="preserve">la k životu hydry vypočítavosti, torsa zmrzačelých těl, srdcí i duší, mátohy žebravých zástupců </w:t>
      </w:r>
      <w:r>
        <w:rPr>
          <w:b/>
          <w:bCs/>
          <w:sz w:val="14"/>
          <w:szCs w:val="14"/>
        </w:rPr>
        <w:t xml:space="preserve">a </w:t>
      </w:r>
      <w:r>
        <w:t>hladových front, tot výsledný, mohutný i zmrazujlcl dojem, kte</w:t>
      </w:r>
      <w:r>
        <w:softHyphen/>
      </w:r>
      <w:r>
        <w:rPr>
          <w:sz w:val="18"/>
          <w:szCs w:val="18"/>
        </w:rPr>
        <w:t xml:space="preserve">rý </w:t>
      </w:r>
      <w:r>
        <w:t>máte nad touto Holan</w:t>
      </w:r>
      <w:r>
        <w:t>ovou básní, Jež mocně útočí na vaše smysly, obraznost, intelekt i srd</w:t>
      </w:r>
      <w:r>
        <w:softHyphen/>
        <w:t>ce Jako starozákonní věštba a hrozba. V české a světové poesii naleznete stěží verše takové mo- | numentality básnické jako v Ho- lanově Snu, připomínající vám | svým věšteckým patosem h</w:t>
      </w:r>
      <w:r>
        <w:t>něvu a hrozby sloky plamenných staro</w:t>
      </w:r>
      <w:r>
        <w:softHyphen/>
        <w:t>zákonních proroctví Izaiášových a nářků Jeremiášových. Cena svazku je 12 K.</w:t>
      </w:r>
    </w:p>
    <w:p w:rsidR="00500724" w:rsidRDefault="00F30FB8">
      <w:pPr>
        <w:pStyle w:val="Zkladntext1"/>
        <w:shd w:val="clear" w:color="auto" w:fill="auto"/>
        <w:spacing w:after="40"/>
        <w:ind w:firstLine="0"/>
        <w:rPr>
          <w:sz w:val="18"/>
          <w:szCs w:val="18"/>
        </w:rPr>
      </w:pPr>
      <w:r>
        <w:rPr>
          <w:sz w:val="18"/>
          <w:szCs w:val="18"/>
        </w:rPr>
        <w:t>NOVÍ KRITICKÝ MĚSÍČNÍK</w:t>
      </w:r>
    </w:p>
    <w:p w:rsidR="00500724" w:rsidRDefault="00F30FB8">
      <w:pPr>
        <w:pStyle w:val="Zkladntext40"/>
        <w:shd w:val="clear" w:color="auto" w:fill="auto"/>
        <w:spacing w:after="120" w:line="180" w:lineRule="auto"/>
      </w:pPr>
      <w:r>
        <w:t>Právě vyšlé dvojčíslo Kritické</w:t>
      </w:r>
      <w:r>
        <w:softHyphen/>
        <w:t>ho měsíčníku 3—6 přináší stát Václava Černého, připojující kri</w:t>
      </w:r>
      <w:r>
        <w:softHyphen/>
        <w:t>tické poznámky k zamýšlené</w:t>
      </w:r>
      <w:r>
        <w:t>mu slučování a omezování kulturních orgánů, v niž poukazuje na důle</w:t>
      </w:r>
      <w:r>
        <w:softHyphen/>
        <w:t>žitost a význam samostatných a nezávislých kritických revuí. Re</w:t>
      </w:r>
      <w:r>
        <w:softHyphen/>
        <w:t>daktor revue Václav Černý má tu závažnou kritickou studii, hod</w:t>
      </w:r>
      <w:r>
        <w:softHyphen/>
        <w:t>notící synteticky význam díla zemřelého básníka a dramatika J</w:t>
      </w:r>
      <w:r>
        <w:t>iřího Mahena. Vedle Václava Černého přispěli sem většími stu</w:t>
      </w:r>
      <w:r>
        <w:softHyphen/>
        <w:t>diemi a články Vojtěch Jirát (o probléméch dnešního němec</w:t>
      </w:r>
      <w:r>
        <w:softHyphen/>
        <w:t xml:space="preserve">kého dramatu), Robert Konečný (o problému Salda—Masaryk), </w:t>
      </w:r>
      <w:r>
        <w:rPr>
          <w:lang w:val="en-US" w:eastAsia="en-US" w:bidi="en-US"/>
        </w:rPr>
        <w:t xml:space="preserve">J. </w:t>
      </w:r>
      <w:r>
        <w:t>B. Svrček (o nové organisaci museí a galerií, hlavně provinci</w:t>
      </w:r>
      <w:r>
        <w:softHyphen/>
        <w:t>álních), Micha</w:t>
      </w:r>
      <w:r>
        <w:t>l Chorváth (o Mar</w:t>
      </w:r>
      <w:r>
        <w:softHyphen/>
        <w:t>tinu Rázusovi jako mysliteli a dvou pólech dnešního slovenské</w:t>
      </w:r>
      <w:r>
        <w:softHyphen/>
        <w:t>ho myšlení) a Jan Ort (o ně</w:t>
      </w:r>
      <w:r>
        <w:softHyphen/>
        <w:t>meckých básních Máchových). Z básníků jsou tu zastoupení nový</w:t>
      </w:r>
      <w:r>
        <w:softHyphen/>
        <w:t>mi verši Vladimír Holan, Franti</w:t>
      </w:r>
      <w:r>
        <w:softHyphen/>
        <w:t>šek Nechvátel, Robert Konečný, Ivan Blatný, Antonín Sp</w:t>
      </w:r>
      <w:r>
        <w:t>álenka, Zdeněk Kriebel a K. H. Mácha dvěma Ortovýml překlady svých německých básní. Dvojčíslo je doplněno bohatou částí kritic</w:t>
      </w:r>
      <w:r>
        <w:softHyphen/>
        <w:t>kých závažných poznámek, glosu</w:t>
      </w:r>
      <w:r>
        <w:softHyphen/>
        <w:t>jících zásadně současné události kulturní. Cena dvojčísla je 6 K.</w:t>
      </w:r>
    </w:p>
    <w:p w:rsidR="00500724" w:rsidRDefault="00F30FB8">
      <w:pPr>
        <w:pStyle w:val="Zkladntext90"/>
        <w:shd w:val="clear" w:color="auto" w:fill="auto"/>
        <w:spacing w:after="60" w:line="211" w:lineRule="auto"/>
        <w:ind w:right="620" w:firstLine="0"/>
        <w:jc w:val="left"/>
      </w:pPr>
      <w:r>
        <w:t>LIDOVÉ VYDÁNÍ DÍLA KARLA ČAPKA</w:t>
      </w:r>
    </w:p>
    <w:p w:rsidR="00500724" w:rsidRDefault="00F30FB8">
      <w:pPr>
        <w:pStyle w:val="Zkladntext40"/>
        <w:shd w:val="clear" w:color="auto" w:fill="auto"/>
        <w:spacing w:after="100"/>
      </w:pPr>
      <w:r>
        <w:t>V</w:t>
      </w:r>
      <w:r>
        <w:t xml:space="preserve"> příštím jednadvacátém sešitě Lidového vydání Karla Čapka bude ukončen román Obyčej</w:t>
      </w:r>
      <w:r>
        <w:softHyphen/>
        <w:t>ný život. To znamená, že tato nesmírně levná edice — nezapo</w:t>
      </w:r>
      <w:r>
        <w:softHyphen/>
        <w:t>mínejme, že takový Obyčejný ži</w:t>
      </w:r>
      <w:r>
        <w:softHyphen/>
        <w:t>vot přijde odběratele asi na 15 K, při čemž odběratelé mohou si na každý svazek o</w:t>
      </w:r>
      <w:r>
        <w:t>bjednat! zároveň vkusné celoplátěné desky za pouhých 5 K — přinesla již celou románovou trilogii Hordubal, Povětroň, Obyčejný ži</w:t>
      </w:r>
      <w:r>
        <w:softHyphen/>
        <w:t>vot. Vidíme již dnes. Jak tato edice je nejen levná, nýbrž také úpravná, vynikajíc vzorným tis</w:t>
      </w:r>
      <w:r>
        <w:softHyphen/>
        <w:t>kem a dobrým papírem. Nelišíc se</w:t>
      </w:r>
      <w:r>
        <w:t xml:space="preserve"> od normálního vydání podstat</w:t>
      </w:r>
      <w:r>
        <w:softHyphen/>
        <w:t>ně dražšího, zpřístupňuje Čapkův přebohatý slovesný odkaz způso</w:t>
      </w:r>
      <w:r>
        <w:softHyphen/>
        <w:t>bem tak příkladným, že sl za</w:t>
      </w:r>
      <w:r>
        <w:softHyphen/>
        <w:t>slouží, aby na ni bylo upozor</w:t>
      </w:r>
      <w:r>
        <w:softHyphen/>
        <w:t>něno znovu a znovu. Dalším dí</w:t>
      </w:r>
      <w:r>
        <w:softHyphen/>
        <w:t>lem, které bude vycházeti v Lido</w:t>
      </w:r>
      <w:r>
        <w:softHyphen/>
        <w:t>vém vydáni díla Karla Čapka, je íantasti</w:t>
      </w:r>
      <w:r>
        <w:t>cko-utopický román Krakatit.</w:t>
      </w:r>
    </w:p>
    <w:p w:rsidR="00500724" w:rsidRDefault="00F30FB8">
      <w:pPr>
        <w:pStyle w:val="Zkladntext1"/>
        <w:shd w:val="clear" w:color="auto" w:fill="auto"/>
        <w:spacing w:after="40" w:line="144" w:lineRule="auto"/>
        <w:ind w:firstLine="0"/>
        <w:jc w:val="left"/>
        <w:rPr>
          <w:sz w:val="18"/>
          <w:szCs w:val="18"/>
        </w:rPr>
      </w:pPr>
      <w:r>
        <w:rPr>
          <w:sz w:val="18"/>
          <w:szCs w:val="18"/>
        </w:rPr>
        <w:t>NOVÝ SVAZEK KNIHOVNY LIDOVÝCH NOVIN</w:t>
      </w:r>
    </w:p>
    <w:p w:rsidR="00500724" w:rsidRDefault="00F30FB8">
      <w:pPr>
        <w:pStyle w:val="Zkladntext40"/>
        <w:shd w:val="clear" w:color="auto" w:fill="auto"/>
        <w:spacing w:after="100"/>
      </w:pPr>
      <w:r>
        <w:t>V právě vyšlém dvojsešitě letoš</w:t>
      </w:r>
      <w:r>
        <w:softHyphen/>
        <w:t>ního ročníku Knihovny Lidových Novin začíná po románe Olgy Scheinpílugové Přežitá smrt, vycházeti nové původní dílo. Je to povídková kniha Edvarda Valenty Lidé</w:t>
      </w:r>
      <w:r>
        <w:t>, které Jsem potkal cestou, v níž mladý český spisovatel, známý jako vy</w:t>
      </w:r>
      <w:r>
        <w:softHyphen/>
        <w:t>nikající tlumočník vzpomínek a jedinečných zkušeností českého polárního a eskymáckého náčel</w:t>
      </w:r>
      <w:r>
        <w:softHyphen/>
        <w:t>níka Jana Welzla, uložil bohatou žeň svých pestrých dojmů, získa</w:t>
      </w:r>
      <w:r>
        <w:softHyphen/>
        <w:t>ných na velké zámořské cest</w:t>
      </w:r>
      <w:r>
        <w:t>ě, Již podnikl po Severní a Jižní Ameri</w:t>
      </w:r>
      <w:r>
        <w:softHyphen/>
        <w:t>ce a Západní Indii. Jako v dobro</w:t>
      </w:r>
      <w:r>
        <w:softHyphen/>
        <w:t>družném filmu střídají se tu nej</w:t>
      </w:r>
      <w:r>
        <w:softHyphen/>
        <w:t>rozmanitější výjevy a scény, kte</w:t>
      </w:r>
      <w:r>
        <w:softHyphen/>
        <w:t>ré v svém celku skládají dohro</w:t>
      </w:r>
      <w:r>
        <w:softHyphen/>
        <w:t>mady nezapomenutelný obraz mnohotvárného, strhujícího živo</w:t>
      </w:r>
      <w:r>
        <w:softHyphen/>
        <w:t>ta vzdálených končin světa.</w:t>
      </w:r>
      <w:r>
        <w:t xml:space="preserve"> Prostě je to knížka světoběžnic- kých osudů a příběhů, v níž autor nezůstává nic dlužen svým</w:t>
      </w:r>
      <w:r>
        <w:br w:type="page"/>
        <w:t>nevšedním zážitkům nejen Jako umělec, nýbrž i vypravěč. Čtenáři uvítají tento závěrečný svazek letošního ročníku KLN Jistě s radosti.</w:t>
      </w:r>
    </w:p>
    <w:p w:rsidR="00500724" w:rsidRDefault="00F30FB8">
      <w:pPr>
        <w:pStyle w:val="Zkladntext40"/>
        <w:shd w:val="clear" w:color="auto" w:fill="auto"/>
        <w:spacing w:after="40" w:line="190" w:lineRule="auto"/>
        <w:rPr>
          <w:sz w:val="14"/>
          <w:szCs w:val="14"/>
        </w:rPr>
      </w:pPr>
      <w:r>
        <w:rPr>
          <w:b/>
          <w:bCs/>
          <w:sz w:val="14"/>
          <w:szCs w:val="14"/>
        </w:rPr>
        <w:t>MÁCHŮV POHĎEIÍ A JEHO DÍLO</w:t>
      </w:r>
    </w:p>
    <w:p w:rsidR="00500724" w:rsidRDefault="00F30FB8">
      <w:pPr>
        <w:pStyle w:val="Zkladntext40"/>
        <w:shd w:val="clear" w:color="auto" w:fill="auto"/>
        <w:spacing w:after="80"/>
        <w:ind w:firstLine="180"/>
      </w:pPr>
      <w:r>
        <w:t>Máchův slavný pohřeb, jehož se v prvním týdnu měsíce zúčast</w:t>
      </w:r>
      <w:r>
        <w:softHyphen/>
        <w:t>nil spontánně a s dojetím celý národ, aby vzdal hold jednomu z největších svých básnických ge</w:t>
      </w:r>
      <w:r>
        <w:softHyphen/>
        <w:t>niů, přivedl nás na otázku, zda také dílo Máchovo je předmětem spontánního a Intensivního zájmu. I kdy</w:t>
      </w:r>
      <w:r>
        <w:t>ž toto dílo je znovu a znovu objevováno, jeho znalost není zdaleka tak pronikavá, jak by si to zasloužil jeho tvůrce. Vždyť ono je vlastně jediným a nejsmě</w:t>
      </w:r>
      <w:r>
        <w:softHyphen/>
        <w:t>rodatnějším pramenem, z kterého jedině můžeme čerpati pravé po</w:t>
      </w:r>
      <w:r>
        <w:softHyphen/>
        <w:t>znání Máchy jako básnického tvůrce, s</w:t>
      </w:r>
      <w:r>
        <w:t>polu i poznání jeho lid</w:t>
      </w:r>
      <w:r>
        <w:softHyphen/>
        <w:t>ského i uměleckého osudu, zakle</w:t>
      </w:r>
      <w:r>
        <w:softHyphen/>
        <w:t>tého tu do marnivých veršů — ty nadto vyslovují u nás po prvé stesk poutníka, kráčejícího po cestě bez konce, metafysický děs z prostoru a nekonečnosti času, touhu po svobodě výšek a hvězd, k nimž vol</w:t>
      </w:r>
      <w:r>
        <w:t>á zajatec země a hmo</w:t>
      </w:r>
      <w:r>
        <w:softHyphen/>
        <w:t>ty, skláněje se v žalu nad vad</w:t>
      </w:r>
      <w:r>
        <w:softHyphen/>
        <w:t>noucí květinou, nad spanilou růží, již spatřil z hrobu vykvétati — tam do poznámek jeho deníku a jednotlivých dopisů jeho kores</w:t>
      </w:r>
      <w:r>
        <w:softHyphen/>
        <w:t>pondence. Máchovo dílo nemělo by opravdu chybět! dnes nikomu z těch, kdož si</w:t>
      </w:r>
      <w:r>
        <w:t xml:space="preserve"> uvědomili, že jeho tvůrce je první z objevitelů cest, jimiž se později ubírala novodobá česká poesie. Ostatně Je přístupné opravdu celému národu. V pečli</w:t>
      </w:r>
      <w:r>
        <w:softHyphen/>
        <w:t>vém a znamenitém uspořádání Krčmově vyšel úplný soubor Má</w:t>
      </w:r>
      <w:r>
        <w:softHyphen/>
        <w:t>chova díla, básně, dramata, pró</w:t>
      </w:r>
      <w:r>
        <w:softHyphen/>
        <w:t>za, deníky,</w:t>
      </w:r>
      <w:r>
        <w:t xml:space="preserve"> zápisky a korespon</w:t>
      </w:r>
      <w:r>
        <w:softHyphen/>
        <w:t>dence, a to v edici Pantheon. Tento soubor, vázaný v jediném vkusném svazku, má 1216 stran a stojí pouhých 50 K. Jako zna</w:t>
      </w:r>
      <w:r>
        <w:softHyphen/>
        <w:t>menitý a všestranný doplněk se k tomuto svazku, nesoucímu pros</w:t>
      </w:r>
      <w:r>
        <w:softHyphen/>
        <w:t>tý název Dílo, připojuje obsáhlý sborník Torso a ta</w:t>
      </w:r>
      <w:r>
        <w:t>jemství Máchova díla, podávající všestranný výklad Máchovy tvor</w:t>
      </w:r>
      <w:r>
        <w:softHyphen/>
        <w:t>by a pak básnická sbírka Josefa Hory Máchovské variace, črtající veršem okouzlující melo</w:t>
      </w:r>
      <w:r>
        <w:softHyphen/>
        <w:t>die lyrickou podobiznu Karla Hynka Máchy a osvětlující s pro</w:t>
      </w:r>
      <w:r>
        <w:softHyphen/>
        <w:t>nikavostí opravdu nebývalou Má</w:t>
      </w:r>
      <w:r>
        <w:softHyphen/>
        <w:t>chův osud a</w:t>
      </w:r>
      <w:r>
        <w:t xml:space="preserve"> dílo po stu letech.</w:t>
      </w:r>
    </w:p>
    <w:p w:rsidR="00500724" w:rsidRDefault="00F30FB8">
      <w:pPr>
        <w:pStyle w:val="Zkladntext40"/>
        <w:shd w:val="clear" w:color="auto" w:fill="auto"/>
        <w:spacing w:after="40"/>
        <w:ind w:firstLine="180"/>
      </w:pPr>
      <w:r>
        <w:t>Dr. FRANTIŠEK BĚHOUNEK: OD ATOMU K VESMÍRU. Cena 18 K. Vydalo nakladatelství Život a práce, s. s r. o. v Praze. Ra</w:t>
      </w:r>
      <w:r>
        <w:softHyphen/>
        <w:t>diolog a vědecký popularisátor, docent Karlovy university dr. Fr. Běhounek, předložil nejširší veřej</w:t>
      </w:r>
      <w:r>
        <w:softHyphen/>
        <w:t>nosti poučnou knížk</w:t>
      </w:r>
      <w:r>
        <w:t>u, v níž ná</w:t>
      </w:r>
      <w:r>
        <w:softHyphen/>
        <w:t>zorným způsobem vykládá sklad</w:t>
      </w:r>
      <w:r>
        <w:softHyphen/>
        <w:t>bu hmoty, podstatu záření a elektřiny, a mechaniku hvězd</w:t>
      </w:r>
      <w:r>
        <w:softHyphen/>
        <w:t xml:space="preserve">ných soustav. Knížka Je jasným přehledem všech poznatků, jichž </w:t>
      </w:r>
      <w:r>
        <w:rPr>
          <w:b/>
          <w:bCs/>
          <w:sz w:val="19"/>
          <w:szCs w:val="19"/>
        </w:rPr>
        <w:t xml:space="preserve">je </w:t>
      </w:r>
      <w:r>
        <w:t>třeba k tomu, aby čtenář po</w:t>
      </w:r>
      <w:r>
        <w:softHyphen/>
        <w:t>chopil jak se dnes dívá věda na atom. molekulu, energii a na po</w:t>
      </w:r>
      <w:r>
        <w:t>dstatu chemického slučování prvků, a jaké významné souvislo</w:t>
      </w:r>
      <w:r>
        <w:softHyphen/>
        <w:t>sti jsou mezi mikrokosmem (ato</w:t>
      </w:r>
      <w:r>
        <w:softHyphen/>
        <w:t>my a elektrony) a makrokosmem (vesmírem).</w:t>
      </w:r>
    </w:p>
    <w:p w:rsidR="00500724" w:rsidRDefault="00F30FB8">
      <w:pPr>
        <w:pStyle w:val="Zkladntext40"/>
        <w:shd w:val="clear" w:color="auto" w:fill="auto"/>
        <w:spacing w:after="0" w:line="175" w:lineRule="auto"/>
        <w:ind w:firstLine="180"/>
      </w:pPr>
      <w:r>
        <w:rPr>
          <w:b/>
          <w:bCs/>
          <w:smallCaps/>
          <w:sz w:val="19"/>
          <w:szCs w:val="19"/>
        </w:rPr>
        <w:t>k Čemu se hodím?</w:t>
      </w:r>
      <w:r>
        <w:t xml:space="preserve"> Na tuto otázku odpovídá kniha H. W. Hepnera, K čemu se hodíte? Jak nalézt radost a úspěch v povolá</w:t>
      </w:r>
      <w:r>
        <w:softHyphen/>
        <w:t>ní, kte</w:t>
      </w:r>
      <w:r>
        <w:t>rá pomocí grafické metody sebevýzkumu každému pomůže porozuměti, proč je dnes tím, čím je. Kniha ukáže, jak si uvědomit vlivy, působící na osobnost a po</w:t>
      </w:r>
      <w:r>
        <w:softHyphen/>
        <w:t>radí, Jak odhalit! sklony, které měly býti ukojeny povoláním, které si zvolí. Z obsahu uvádíme: Jak spr</w:t>
      </w:r>
      <w:r>
        <w:t>ávně začít — Jak vzniká ctižádost — V čem se podobáte velkým lidem — Jak vycházet s lidmi — Z jakého jste materiálu</w:t>
      </w:r>
    </w:p>
    <w:p w:rsidR="00500724" w:rsidRDefault="00F30FB8">
      <w:pPr>
        <w:pStyle w:val="Zkladntext40"/>
        <w:numPr>
          <w:ilvl w:val="0"/>
          <w:numId w:val="73"/>
        </w:numPr>
        <w:shd w:val="clear" w:color="auto" w:fill="auto"/>
        <w:tabs>
          <w:tab w:val="left" w:pos="298"/>
        </w:tabs>
        <w:spacing w:after="0"/>
      </w:pPr>
      <w:r>
        <w:t>Jak se ucházet o místo — Jak se vzchopit k činu — Maturant chce na vysokou školu - Ztrosko</w:t>
      </w:r>
      <w:r>
        <w:softHyphen/>
        <w:t>taný vzdělanec pomýšlí na karié</w:t>
      </w:r>
      <w:r>
        <w:softHyphen/>
        <w:t xml:space="preserve">ru — Zaměstnanec </w:t>
      </w:r>
      <w:r>
        <w:t>se uchází o povýšení — Žena, která chce být samostatná — Pomůcky k určení vhodného povolání — Testy a Je</w:t>
      </w:r>
      <w:r>
        <w:softHyphen/>
        <w:t>jích využití — Test abstraktní Inteligence — Test osobní zralo</w:t>
      </w:r>
      <w:r>
        <w:softHyphen/>
        <w:t>sti — Test společenských znalostí</w:t>
      </w:r>
    </w:p>
    <w:p w:rsidR="00500724" w:rsidRDefault="00F30FB8">
      <w:pPr>
        <w:pStyle w:val="Zkladntext40"/>
        <w:numPr>
          <w:ilvl w:val="0"/>
          <w:numId w:val="73"/>
        </w:numPr>
        <w:shd w:val="clear" w:color="auto" w:fill="auto"/>
        <w:tabs>
          <w:tab w:val="left" w:pos="298"/>
        </w:tabs>
        <w:spacing w:after="0"/>
      </w:pPr>
      <w:r>
        <w:t>Klíč k určení výsledků v testech — atd. Hepnerova knih</w:t>
      </w:r>
      <w:r>
        <w:t>a Je práce vážná. Její autor má ve</w:t>
      </w:r>
      <w:r>
        <w:softHyphen/>
        <w:t>liké zkušenosti z psychometrlc- kých laboratoří a tisíce lidí mu děkuje za pomoc. Brož. je za 35 K, váz. 45 K. Vydal Orbis, Pra</w:t>
      </w:r>
      <w:r>
        <w:softHyphen/>
        <w:t>ha II.</w:t>
      </w:r>
    </w:p>
    <w:p w:rsidR="00500724" w:rsidRDefault="00F30FB8">
      <w:pPr>
        <w:pStyle w:val="Zkladntext40"/>
        <w:shd w:val="clear" w:color="auto" w:fill="auto"/>
        <w:spacing w:after="0" w:line="182" w:lineRule="auto"/>
        <w:ind w:firstLine="180"/>
      </w:pPr>
      <w:r>
        <w:t>Svazeček jedenácti nejmilejších básní. Pod názvem »Jedenáct nej</w:t>
      </w:r>
      <w:r>
        <w:softHyphen/>
        <w:t>milejších básníc vydal</w:t>
      </w:r>
      <w:r>
        <w:t xml:space="preserve"> Jan Po</w:t>
      </w:r>
      <w:r>
        <w:softHyphen/>
        <w:t xml:space="preserve">hořelý, jako zahajovací svazek své edice Přátelství, sličný </w:t>
      </w:r>
      <w:r>
        <w:rPr>
          <w:lang w:val="en-US" w:eastAsia="en-US" w:bidi="en-US"/>
        </w:rPr>
        <w:t>bibe</w:t>
      </w:r>
      <w:r>
        <w:rPr>
          <w:lang w:val="en-US" w:eastAsia="en-US" w:bidi="en-US"/>
        </w:rPr>
        <w:softHyphen/>
        <w:t xml:space="preserve">lot. </w:t>
      </w:r>
      <w:r>
        <w:t>obsahující celkem jedenáct básní moderních českých lyriků, z nichž každý vybral ze svých básní jednu, která jeho srdci z celé jeho tvorby je nejdražší a nejmilejší. Je tu zastoup</w:t>
      </w:r>
      <w:r>
        <w:t xml:space="preserve">en Jan Čárek básní Co jste chtěla mně říci, nežli jste umřela, František Halas Třemi krajinami. Vladimír Holan verši Ještě včera, Jaroslav Kolman </w:t>
      </w:r>
      <w:r>
        <w:rPr>
          <w:lang w:val="en-US" w:eastAsia="en-US" w:bidi="en-US"/>
        </w:rPr>
        <w:t xml:space="preserve">Cassius </w:t>
      </w:r>
      <w:r>
        <w:t>Joseíinou, Jiří Mahen básní A přece, Rudolf Me</w:t>
      </w:r>
      <w:r>
        <w:softHyphen/>
        <w:t>dek modlitbou Svatý Václave, pros za nás ..., Stanislav</w:t>
      </w:r>
      <w:r>
        <w:t xml:space="preserve"> K. Neu</w:t>
      </w:r>
      <w:r>
        <w:softHyphen/>
        <w:t>mann Vzpomínkou v den šerý, Jaroslav Seifert Voskovou svící.</w:t>
      </w:r>
    </w:p>
    <w:p w:rsidR="00500724" w:rsidRDefault="00F30FB8">
      <w:pPr>
        <w:pStyle w:val="Zkladntext40"/>
        <w:shd w:val="clear" w:color="auto" w:fill="auto"/>
        <w:tabs>
          <w:tab w:val="left" w:pos="2410"/>
        </w:tabs>
        <w:spacing w:after="120" w:line="182" w:lineRule="auto"/>
      </w:pPr>
      <w:r>
        <w:t>Fráňa Šrámek parafrází lidové písně ze Sobotecka Znám já Je</w:t>
      </w:r>
      <w:r>
        <w:softHyphen/>
        <w:t>den krásný zámek, Karel Toman Červencem a Jan Zahradniček básní Narozená.</w:t>
      </w:r>
      <w:r>
        <w:tab/>
        <w:t>1</w:t>
      </w:r>
    </w:p>
    <w:p w:rsidR="00500724" w:rsidRDefault="00F30FB8">
      <w:pPr>
        <w:pStyle w:val="Jin0"/>
        <w:shd w:val="clear" w:color="auto" w:fill="auto"/>
        <w:spacing w:after="40"/>
        <w:ind w:firstLine="0"/>
        <w:rPr>
          <w:sz w:val="24"/>
          <w:szCs w:val="24"/>
        </w:rPr>
      </w:pPr>
      <w:r>
        <w:rPr>
          <w:rFonts w:ascii="Arial" w:eastAsia="Arial" w:hAnsi="Arial" w:cs="Arial"/>
          <w:sz w:val="24"/>
          <w:szCs w:val="24"/>
        </w:rPr>
        <w:t>POZNÁMKY</w:t>
      </w:r>
    </w:p>
    <w:p w:rsidR="00500724" w:rsidRDefault="00F30FB8">
      <w:pPr>
        <w:pStyle w:val="Zkladntext40"/>
        <w:shd w:val="clear" w:color="auto" w:fill="auto"/>
        <w:spacing w:after="80" w:line="182" w:lineRule="auto"/>
        <w:ind w:firstLine="160"/>
      </w:pPr>
      <w:r>
        <w:t>JEDEN Z NÁS. »Jeden z nás« -— dílo mladého</w:t>
      </w:r>
      <w:r>
        <w:t xml:space="preserve"> akademického so</w:t>
      </w:r>
      <w:r>
        <w:softHyphen/>
        <w:t>chaře Jana Třísky, vystavené na letošním zlínském salonu, zaujalo dr. J. A. Baťu do té míry, že si po</w:t>
      </w:r>
      <w:r>
        <w:softHyphen/>
        <w:t>zval ve středu skupinu svých spo</w:t>
      </w:r>
      <w:r>
        <w:softHyphen/>
        <w:t>lupracovníků s předsedou závod</w:t>
      </w:r>
      <w:r>
        <w:softHyphen/>
        <w:t>ního dělnického výboru, aby vy</w:t>
      </w:r>
      <w:r>
        <w:softHyphen/>
        <w:t>jádřil svoji radost nad touto pra</w:t>
      </w:r>
      <w:r>
        <w:softHyphen/>
        <w:t>cí, kter</w:t>
      </w:r>
      <w:r>
        <w:t>á podle jeho mínění vy</w:t>
      </w:r>
      <w:r>
        <w:softHyphen/>
        <w:t>jadřuje směr, jímž by se mělo ubírati české výtvarné umění, aby se stalo posilou a vůdcem našeho lidu. V katalogu výstavy bylo to</w:t>
      </w:r>
      <w:r>
        <w:softHyphen/>
        <w:t>to dílo nabízelo za 14.500 K. Po dle názoru dr. J. A. Bati se mla</w:t>
      </w:r>
      <w:r>
        <w:softHyphen/>
        <w:t>dý moravský umělec podcenil.</w:t>
      </w:r>
    </w:p>
    <w:p w:rsidR="00500724" w:rsidRDefault="00F30FB8">
      <w:pPr>
        <w:pStyle w:val="Zkladntext40"/>
        <w:shd w:val="clear" w:color="auto" w:fill="auto"/>
        <w:spacing w:after="0" w:line="182" w:lineRule="auto"/>
      </w:pPr>
      <w:r>
        <w:t>Proto za</w:t>
      </w:r>
      <w:r>
        <w:t>koupil od něho toto dílo pro zlínskou galerii za 30.000 K. Vedle toho má zvětšený odlitek sochy býti postaven na náměstí práce ve Zlíně. — Hovořili jsme ■ umělcem o původu Jeho díla, jež si tohoto uznání skutečně zaslou</w:t>
      </w:r>
      <w:r>
        <w:softHyphen/>
        <w:t>ží, jak pro svou ideu a mistrné prov</w:t>
      </w:r>
      <w:r>
        <w:t>edení, tak I pro své umělecké posvěcení a tvůrčí radost, kterým promlouvá. Řekl nám. že dílo vy</w:t>
      </w:r>
      <w:r>
        <w:softHyphen/>
        <w:t>trysklo ze vzpomínek na jeho práci v lomech, kde pracoval jako kameník. První skizzu k němu vytvořil již v roce 1931. Socha představuje muže-kameníka, ob</w:t>
      </w:r>
      <w:r>
        <w:softHyphen/>
        <w:t>nažené</w:t>
      </w:r>
      <w:r>
        <w:t>ho do pasu a zasazujícího kamenickým kladivem poslední ránu na dláto balvanu, pukající</w:t>
      </w:r>
      <w:r>
        <w:softHyphen/>
        <w:t>mu pod opakovanými údery. Ce</w:t>
      </w:r>
      <w:r>
        <w:softHyphen/>
        <w:t>lek vyzařuje oduševněním sou</w:t>
      </w:r>
      <w:r>
        <w:softHyphen/>
        <w:t>středěné lidské práce — práce těž</w:t>
      </w:r>
      <w:r>
        <w:softHyphen/>
        <w:t>ké a namáhavé a stále se opaku</w:t>
      </w:r>
      <w:r>
        <w:softHyphen/>
        <w:t>jící, ale přece jenom slavné a ví</w:t>
      </w:r>
      <w:r>
        <w:softHyphen/>
        <w:t>tězné. Skute</w:t>
      </w:r>
      <w:r>
        <w:t>čný »jeden z nás«.</w:t>
      </w:r>
    </w:p>
    <w:p w:rsidR="00500724" w:rsidRDefault="00F30FB8">
      <w:pPr>
        <w:pStyle w:val="Zkladntext40"/>
        <w:shd w:val="clear" w:color="auto" w:fill="auto"/>
        <w:spacing w:after="0" w:line="182" w:lineRule="auto"/>
        <w:jc w:val="right"/>
        <w:sectPr w:rsidR="00500724">
          <w:footnotePr>
            <w:numFmt w:val="chicago"/>
            <w:numRestart w:val="eachPage"/>
          </w:footnotePr>
          <w:type w:val="continuous"/>
          <w:pgSz w:w="11909" w:h="16834"/>
          <w:pgMar w:top="761" w:right="894" w:bottom="532" w:left="733" w:header="0" w:footer="3" w:gutter="0"/>
          <w:cols w:num="4" w:sep="1" w:space="100"/>
          <w:noEndnote/>
          <w:docGrid w:linePitch="360"/>
        </w:sectPr>
      </w:pPr>
      <w:r>
        <w:t>A. C.</w:t>
      </w:r>
    </w:p>
    <w:p w:rsidR="00500724" w:rsidRDefault="00F30FB8">
      <w:pPr>
        <w:pStyle w:val="Nadpis110"/>
        <w:framePr w:w="1814" w:h="293" w:wrap="none" w:vAnchor="text" w:hAnchor="page" w:x="987" w:y="4503"/>
        <w:shd w:val="clear" w:color="auto" w:fill="auto"/>
      </w:pPr>
      <w:bookmarkStart w:id="609" w:name="bookmark608"/>
      <w:r>
        <w:rPr>
          <w:rFonts w:ascii="Times New Roman" w:eastAsia="Times New Roman" w:hAnsi="Times New Roman" w:cs="Times New Roman"/>
        </w:rPr>
        <w:t>ROCNlK XVI.</w:t>
      </w:r>
      <w:bookmarkEnd w:id="609"/>
    </w:p>
    <w:p w:rsidR="00500724" w:rsidRDefault="00F30FB8">
      <w:pPr>
        <w:pStyle w:val="Nadpis110"/>
        <w:framePr w:w="3701" w:h="293" w:wrap="none" w:vAnchor="text" w:hAnchor="page" w:x="4587" w:y="4494"/>
        <w:shd w:val="clear" w:color="auto" w:fill="auto"/>
      </w:pPr>
      <w:bookmarkStart w:id="610" w:name="bookmark609"/>
      <w:r>
        <w:rPr>
          <w:rFonts w:ascii="Times New Roman" w:eastAsia="Times New Roman" w:hAnsi="Times New Roman" w:cs="Times New Roman"/>
        </w:rPr>
        <w:t>V PRAZE 21. ČERVNA 1939</w:t>
      </w:r>
      <w:bookmarkEnd w:id="610"/>
    </w:p>
    <w:p w:rsidR="00500724" w:rsidRDefault="00F30FB8">
      <w:pPr>
        <w:pStyle w:val="Nadpis110"/>
        <w:framePr w:w="1190" w:h="293" w:wrap="none" w:vAnchor="text" w:hAnchor="page" w:x="10477" w:y="4484"/>
        <w:shd w:val="clear" w:color="auto" w:fill="auto"/>
      </w:pPr>
      <w:bookmarkStart w:id="611" w:name="bookmark610"/>
      <w:r>
        <w:rPr>
          <w:rFonts w:ascii="Times New Roman" w:eastAsia="Times New Roman" w:hAnsi="Times New Roman" w:cs="Times New Roman"/>
        </w:rPr>
        <w:t>ZA K 2.—</w:t>
      </w:r>
      <w:bookmarkEnd w:id="611"/>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61" w:line="14" w:lineRule="exact"/>
      </w:pPr>
    </w:p>
    <w:p w:rsidR="00500724" w:rsidRDefault="00500724">
      <w:pPr>
        <w:spacing w:line="14" w:lineRule="exact"/>
        <w:sectPr w:rsidR="00500724">
          <w:footnotePr>
            <w:numFmt w:val="chicago"/>
            <w:numRestart w:val="eachPage"/>
          </w:footnotePr>
          <w:pgSz w:w="11909" w:h="16834"/>
          <w:pgMar w:top="689" w:right="0" w:bottom="3733" w:left="761" w:header="0" w:footer="3" w:gutter="0"/>
          <w:cols w:space="720"/>
          <w:noEndnote/>
          <w:docGrid w:linePitch="360"/>
        </w:sectPr>
      </w:pPr>
    </w:p>
    <w:p w:rsidR="00500724" w:rsidRDefault="00500724">
      <w:pPr>
        <w:spacing w:line="240" w:lineRule="exact"/>
        <w:rPr>
          <w:sz w:val="19"/>
          <w:szCs w:val="19"/>
        </w:rPr>
      </w:pPr>
    </w:p>
    <w:p w:rsidR="00500724" w:rsidRDefault="00500724">
      <w:pPr>
        <w:spacing w:before="103" w:after="10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689" w:right="0" w:bottom="4392"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29992" behindDoc="0" locked="0" layoutInCell="1" allowOverlap="1">
                <wp:simplePos x="0" y="0"/>
                <wp:positionH relativeFrom="page">
                  <wp:posOffset>6369050</wp:posOffset>
                </wp:positionH>
                <wp:positionV relativeFrom="paragraph">
                  <wp:posOffset>295910</wp:posOffset>
                </wp:positionV>
                <wp:extent cx="1048385" cy="216535"/>
                <wp:effectExtent l="0" t="0" r="0" b="0"/>
                <wp:wrapSquare wrapText="bothSides"/>
                <wp:docPr id="615" name="Shape 615"/>
                <wp:cNvGraphicFramePr/>
                <a:graphic xmlns:a="http://schemas.openxmlformats.org/drawingml/2006/main">
                  <a:graphicData uri="http://schemas.microsoft.com/office/word/2010/wordprocessingShape">
                    <wps:wsp>
                      <wps:cNvSpPr txBox="1"/>
                      <wps:spPr>
                        <a:xfrm>
                          <a:off x="0" y="0"/>
                          <a:ext cx="1048385"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V. STRNAD</w:t>
                            </w:r>
                          </w:p>
                        </w:txbxContent>
                      </wps:txbx>
                      <wps:bodyPr lIns="0" tIns="0" rIns="0" bIns="0">
                        <a:spAutoFit/>
                      </wps:bodyPr>
                    </wps:wsp>
                  </a:graphicData>
                </a:graphic>
              </wp:anchor>
            </w:drawing>
          </mc:Choice>
          <mc:Fallback>
            <w:pict>
              <v:shape id="_x0000_s1641" type="#_x0000_t202" style="position:absolute;margin-left:501.5pt;margin-top:23.300000000000001pt;width:82.549999999999997pt;height:17.050000000000001pt;z-index:-125828761;mso-wrap-distance-left:0;mso-wrap-distance-right:0;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V. STRNAD</w:t>
                      </w:r>
                    </w:p>
                  </w:txbxContent>
                </v:textbox>
                <w10:wrap type="square" anchorx="page"/>
              </v:shape>
            </w:pict>
          </mc:Fallback>
        </mc:AlternateContent>
      </w:r>
    </w:p>
    <w:p w:rsidR="00500724" w:rsidRDefault="00F30FB8">
      <w:pPr>
        <w:pStyle w:val="Jin0"/>
        <w:shd w:val="clear" w:color="auto" w:fill="auto"/>
        <w:ind w:firstLine="0"/>
        <w:jc w:val="left"/>
        <w:rPr>
          <w:sz w:val="78"/>
          <w:szCs w:val="78"/>
        </w:rPr>
        <w:sectPr w:rsidR="00500724">
          <w:footnotePr>
            <w:numFmt w:val="chicago"/>
            <w:numRestart w:val="eachPage"/>
          </w:footnotePr>
          <w:type w:val="continuous"/>
          <w:pgSz w:w="11909" w:h="16834"/>
          <w:pgMar w:top="689" w:right="1880" w:bottom="4392" w:left="1006" w:header="0" w:footer="3" w:gutter="0"/>
          <w:cols w:space="720"/>
          <w:noEndnote/>
          <w:docGrid w:linePitch="360"/>
        </w:sectPr>
      </w:pPr>
      <w:r>
        <w:rPr>
          <w:b/>
          <w:bCs/>
          <w:w w:val="60"/>
          <w:sz w:val="78"/>
          <w:szCs w:val="78"/>
        </w:rPr>
        <w:t>Český národ a politické vraždy</w:t>
      </w:r>
    </w:p>
    <w:p w:rsidR="00500724" w:rsidRDefault="00500724">
      <w:pPr>
        <w:spacing w:before="53" w:after="5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689" w:right="0" w:bottom="3733" w:left="0" w:header="0" w:footer="3" w:gutter="0"/>
          <w:cols w:space="720"/>
          <w:noEndnote/>
          <w:docGrid w:linePitch="360"/>
        </w:sectPr>
      </w:pPr>
    </w:p>
    <w:p w:rsidR="00500724" w:rsidRDefault="00F30FB8">
      <w:pPr>
        <w:pStyle w:val="Nadpis70"/>
        <w:keepNext/>
        <w:keepLines/>
        <w:framePr w:w="4598" w:h="706" w:wrap="none" w:vAnchor="text" w:hAnchor="page" w:x="1007" w:y="21"/>
        <w:shd w:val="clear" w:color="auto" w:fill="auto"/>
      </w:pPr>
      <w:bookmarkStart w:id="612" w:name="bookmark611"/>
      <w:r>
        <w:rPr>
          <w:rFonts w:ascii="Times New Roman" w:eastAsia="Times New Roman" w:hAnsi="Times New Roman" w:cs="Times New Roman"/>
          <w:w w:val="100"/>
        </w:rPr>
        <w:t>Blokáda Tiencinu</w:t>
      </w:r>
      <w:bookmarkEnd w:id="612"/>
    </w:p>
    <w:p w:rsidR="00500724" w:rsidRDefault="00F30FB8">
      <w:pPr>
        <w:pStyle w:val="Jin0"/>
        <w:framePr w:w="1930" w:h="341" w:wrap="none" w:vAnchor="text" w:hAnchor="page" w:x="9752" w:y="260"/>
        <w:shd w:val="clear" w:color="auto" w:fill="auto"/>
        <w:ind w:firstLine="0"/>
        <w:jc w:val="left"/>
        <w:rPr>
          <w:sz w:val="26"/>
          <w:szCs w:val="26"/>
        </w:rPr>
      </w:pPr>
      <w:r>
        <w:rPr>
          <w:sz w:val="26"/>
          <w:szCs w:val="26"/>
        </w:rPr>
        <w:t>JAN ALBERT</w:t>
      </w:r>
    </w:p>
    <w:p w:rsidR="00500724" w:rsidRDefault="00500724">
      <w:pPr>
        <w:spacing w:after="692" w:line="14" w:lineRule="exact"/>
      </w:pPr>
    </w:p>
    <w:p w:rsidR="00500724" w:rsidRDefault="00500724">
      <w:pPr>
        <w:spacing w:line="14" w:lineRule="exact"/>
        <w:sectPr w:rsidR="00500724">
          <w:footnotePr>
            <w:numFmt w:val="chicago"/>
            <w:numRestart w:val="eachPage"/>
          </w:footnotePr>
          <w:type w:val="continuous"/>
          <w:pgSz w:w="11909" w:h="16834"/>
          <w:pgMar w:top="689" w:right="0" w:bottom="3733" w:left="761" w:header="0" w:footer="3" w:gutter="0"/>
          <w:cols w:space="720"/>
          <w:noEndnote/>
          <w:docGrid w:linePitch="360"/>
        </w:sectPr>
      </w:pPr>
    </w:p>
    <w:p w:rsidR="00500724" w:rsidRDefault="00F30FB8">
      <w:pPr>
        <w:pStyle w:val="Jin0"/>
        <w:shd w:val="clear" w:color="auto" w:fill="auto"/>
        <w:spacing w:after="340"/>
        <w:ind w:firstLine="0"/>
        <w:jc w:val="left"/>
        <w:rPr>
          <w:sz w:val="78"/>
          <w:szCs w:val="78"/>
        </w:rPr>
      </w:pPr>
      <w:r>
        <w:rPr>
          <w:noProof/>
        </w:rPr>
        <mc:AlternateContent>
          <mc:Choice Requires="wps">
            <w:drawing>
              <wp:anchor distT="0" distB="0" distL="25400" distR="25400" simplePos="0" relativeHeight="125829994" behindDoc="0" locked="0" layoutInCell="1" allowOverlap="1">
                <wp:simplePos x="0" y="0"/>
                <wp:positionH relativeFrom="page">
                  <wp:posOffset>6277610</wp:posOffset>
                </wp:positionH>
                <wp:positionV relativeFrom="paragraph">
                  <wp:posOffset>292100</wp:posOffset>
                </wp:positionV>
                <wp:extent cx="1139825" cy="216535"/>
                <wp:effectExtent l="0" t="0" r="0" b="0"/>
                <wp:wrapSquare wrapText="left"/>
                <wp:docPr id="617" name="Shape 617"/>
                <wp:cNvGraphicFramePr/>
                <a:graphic xmlns:a="http://schemas.openxmlformats.org/drawingml/2006/main">
                  <a:graphicData uri="http://schemas.microsoft.com/office/word/2010/wordprocessingShape">
                    <wps:wsp>
                      <wps:cNvSpPr txBox="1"/>
                      <wps:spPr>
                        <a:xfrm>
                          <a:off x="0" y="0"/>
                          <a:ext cx="1139825"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Dr. J. SKÁLA</w:t>
                            </w:r>
                          </w:p>
                        </w:txbxContent>
                      </wps:txbx>
                      <wps:bodyPr lIns="0" tIns="0" rIns="0" bIns="0">
                        <a:spAutoFit/>
                      </wps:bodyPr>
                    </wps:wsp>
                  </a:graphicData>
                </a:graphic>
              </wp:anchor>
            </w:drawing>
          </mc:Choice>
          <mc:Fallback>
            <w:pict>
              <v:shape id="_x0000_s1643" type="#_x0000_t202" style="position:absolute;margin-left:494.30000000000001pt;margin-top:23.pt;width:89.75pt;height:17.050000000000001pt;z-index:-125828759;mso-wrap-distance-left:2.pt;mso-wrap-distance-right:2.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Dr. J. SKÁLA</w:t>
                      </w:r>
                    </w:p>
                  </w:txbxContent>
                </v:textbox>
                <w10:wrap type="square" side="left" anchorx="page"/>
              </v:shape>
            </w:pict>
          </mc:Fallback>
        </mc:AlternateContent>
      </w:r>
      <w:r>
        <w:rPr>
          <w:b/>
          <w:bCs/>
          <w:w w:val="60"/>
          <w:sz w:val="78"/>
          <w:szCs w:val="78"/>
        </w:rPr>
        <w:t>Vyhlídky českého národního hospodářství</w:t>
      </w:r>
    </w:p>
    <w:p w:rsidR="00500724" w:rsidRDefault="00F30FB8">
      <w:pPr>
        <w:pStyle w:val="Jin0"/>
        <w:shd w:val="clear" w:color="auto" w:fill="auto"/>
        <w:spacing w:after="520"/>
        <w:ind w:firstLine="0"/>
        <w:jc w:val="left"/>
        <w:rPr>
          <w:sz w:val="78"/>
          <w:szCs w:val="78"/>
        </w:rPr>
      </w:pPr>
      <w:r>
        <w:rPr>
          <w:noProof/>
        </w:rPr>
        <mc:AlternateContent>
          <mc:Choice Requires="wps">
            <w:drawing>
              <wp:anchor distT="0" distB="0" distL="114300" distR="114300" simplePos="0" relativeHeight="125829996" behindDoc="0" locked="0" layoutInCell="1" allowOverlap="1">
                <wp:simplePos x="0" y="0"/>
                <wp:positionH relativeFrom="page">
                  <wp:posOffset>5673725</wp:posOffset>
                </wp:positionH>
                <wp:positionV relativeFrom="paragraph">
                  <wp:posOffset>304800</wp:posOffset>
                </wp:positionV>
                <wp:extent cx="1752600" cy="216535"/>
                <wp:effectExtent l="0" t="0" r="0" b="0"/>
                <wp:wrapSquare wrapText="bothSides"/>
                <wp:docPr id="619" name="Shape 619"/>
                <wp:cNvGraphicFramePr/>
                <a:graphic xmlns:a="http://schemas.openxmlformats.org/drawingml/2006/main">
                  <a:graphicData uri="http://schemas.microsoft.com/office/word/2010/wordprocessingShape">
                    <wps:wsp>
                      <wps:cNvSpPr txBox="1"/>
                      <wps:spPr>
                        <a:xfrm>
                          <a:off x="0" y="0"/>
                          <a:ext cx="1752600"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MILENA JESENSKÁ</w:t>
                            </w:r>
                          </w:p>
                        </w:txbxContent>
                      </wps:txbx>
                      <wps:bodyPr lIns="0" tIns="0" rIns="0" bIns="0">
                        <a:spAutoFit/>
                      </wps:bodyPr>
                    </wps:wsp>
                  </a:graphicData>
                </a:graphic>
              </wp:anchor>
            </w:drawing>
          </mc:Choice>
          <mc:Fallback>
            <w:pict>
              <v:shape id="_x0000_s1645" type="#_x0000_t202" style="position:absolute;margin-left:446.75pt;margin-top:24.pt;width:138.pt;height:17.050000000000001pt;z-index:-125828757;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MILENA JESENSKÁ</w:t>
                      </w:r>
                    </w:p>
                  </w:txbxContent>
                </v:textbox>
                <w10:wrap type="square" anchorx="page"/>
              </v:shape>
            </w:pict>
          </mc:Fallback>
        </mc:AlternateContent>
      </w:r>
      <w:r>
        <w:rPr>
          <w:b/>
          <w:bCs/>
          <w:w w:val="60"/>
          <w:sz w:val="78"/>
          <w:szCs w:val="78"/>
        </w:rPr>
        <w:t>Soldaten wohnen auf den Kanonen</w:t>
      </w:r>
    </w:p>
    <w:p w:rsidR="00500724" w:rsidRDefault="00F30FB8">
      <w:pPr>
        <w:pStyle w:val="Nadpis70"/>
        <w:keepNext/>
        <w:keepLines/>
        <w:shd w:val="clear" w:color="auto" w:fill="auto"/>
        <w:spacing w:after="440"/>
        <w:rPr>
          <w:sz w:val="56"/>
          <w:szCs w:val="56"/>
        </w:rPr>
        <w:sectPr w:rsidR="00500724">
          <w:footnotePr>
            <w:numFmt w:val="chicago"/>
            <w:numRestart w:val="eachPage"/>
          </w:footnotePr>
          <w:type w:val="continuous"/>
          <w:pgSz w:w="11909" w:h="16834"/>
          <w:pgMar w:top="689" w:right="224" w:bottom="3833" w:left="1006" w:header="0" w:footer="3" w:gutter="0"/>
          <w:cols w:space="720"/>
          <w:noEndnote/>
          <w:docGrid w:linePitch="360"/>
        </w:sectPr>
      </w:pPr>
      <w:bookmarkStart w:id="613" w:name="bookmark612"/>
      <w:r>
        <w:rPr>
          <w:rFonts w:ascii="Times New Roman" w:eastAsia="Times New Roman" w:hAnsi="Times New Roman" w:cs="Times New Roman"/>
          <w:w w:val="100"/>
          <w:sz w:val="56"/>
          <w:szCs w:val="56"/>
        </w:rPr>
        <w:t>Světová konference anebo válka?</w:t>
      </w:r>
      <w:bookmarkEnd w:id="613"/>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1480"/>
        <w:sectPr w:rsidR="00500724">
          <w:footnotePr>
            <w:numFmt w:val="chicago"/>
            <w:numRestart w:val="eachPage"/>
          </w:footnotePr>
          <w:pgSz w:w="11909" w:h="16834"/>
          <w:pgMar w:top="685" w:right="1088" w:bottom="720" w:left="142" w:header="0" w:footer="3" w:gutter="0"/>
          <w:cols w:space="720"/>
          <w:noEndnote/>
          <w:docGrid w:linePitch="360"/>
        </w:sectPr>
      </w:pPr>
      <w:bookmarkStart w:id="614" w:name="bookmark613"/>
      <w:r>
        <w:rPr>
          <w:color w:val="FFFFFF"/>
        </w:rPr>
        <w:t xml:space="preserve">ODBORNÍ </w:t>
      </w:r>
      <w:r>
        <w:rPr>
          <w:color w:val="FFFFFF"/>
          <w:lang w:val="en-US" w:eastAsia="en-US" w:bidi="en-US"/>
        </w:rPr>
        <w:t>LEKAftl</w:t>
      </w:r>
      <w:bookmarkEnd w:id="614"/>
    </w:p>
    <w:p w:rsidR="00500724" w:rsidRDefault="00F30FB8">
      <w:pPr>
        <w:spacing w:line="14" w:lineRule="exact"/>
      </w:pPr>
      <w:r>
        <w:rPr>
          <w:noProof/>
        </w:rPr>
        <mc:AlternateContent>
          <mc:Choice Requires="wps">
            <w:drawing>
              <wp:anchor distT="12700" distB="0" distL="114300" distR="3555365" simplePos="0" relativeHeight="125829998" behindDoc="0" locked="0" layoutInCell="1" allowOverlap="1">
                <wp:simplePos x="0" y="0"/>
                <wp:positionH relativeFrom="page">
                  <wp:posOffset>559435</wp:posOffset>
                </wp:positionH>
                <wp:positionV relativeFrom="paragraph">
                  <wp:posOffset>6132830</wp:posOffset>
                </wp:positionV>
                <wp:extent cx="2216150" cy="347345"/>
                <wp:effectExtent l="0" t="0" r="0" b="0"/>
                <wp:wrapTopAndBottom/>
                <wp:docPr id="621" name="Shape 621"/>
                <wp:cNvGraphicFramePr/>
                <a:graphic xmlns:a="http://schemas.openxmlformats.org/drawingml/2006/main">
                  <a:graphicData uri="http://schemas.microsoft.com/office/word/2010/wordprocessingShape">
                    <wps:wsp>
                      <wps:cNvSpPr txBox="1"/>
                      <wps:spPr>
                        <a:xfrm>
                          <a:off x="0" y="0"/>
                          <a:ext cx="2216150" cy="347345"/>
                        </a:xfrm>
                        <a:prstGeom prst="rect">
                          <a:avLst/>
                        </a:prstGeom>
                        <a:noFill/>
                      </wps:spPr>
                      <wps:txbx>
                        <w:txbxContent>
                          <w:p w:rsidR="00500724" w:rsidRDefault="00F30FB8">
                            <w:pPr>
                              <w:pStyle w:val="Nadpis110"/>
                              <w:shd w:val="clear" w:color="auto" w:fill="auto"/>
                              <w:spacing w:after="80"/>
                              <w:jc w:val="center"/>
                            </w:pPr>
                            <w:bookmarkStart w:id="615" w:name="bookmark614"/>
                            <w:r>
                              <w:t>160 K</w:t>
                            </w:r>
                            <w:bookmarkEnd w:id="615"/>
                          </w:p>
                          <w:p w:rsidR="00500724" w:rsidRDefault="00F30FB8">
                            <w:pPr>
                              <w:pStyle w:val="Zkladntext40"/>
                              <w:shd w:val="clear" w:color="auto" w:fill="auto"/>
                              <w:tabs>
                                <w:tab w:val="left" w:pos="2299"/>
                              </w:tabs>
                              <w:spacing w:after="0" w:line="264" w:lineRule="auto"/>
                              <w:rPr>
                                <w:sz w:val="16"/>
                                <w:szCs w:val="16"/>
                              </w:rPr>
                            </w:pPr>
                            <w:r>
                              <w:rPr>
                                <w:sz w:val="16"/>
                                <w:szCs w:val="16"/>
                              </w:rPr>
                              <w:t>Dodá každý knihkupec</w:t>
                            </w:r>
                            <w:r>
                              <w:rPr>
                                <w:sz w:val="16"/>
                                <w:szCs w:val="16"/>
                              </w:rPr>
                              <w:tab/>
                              <w:t>MELANTRICH</w:t>
                            </w:r>
                          </w:p>
                        </w:txbxContent>
                      </wps:txbx>
                      <wps:bodyPr lIns="0" tIns="0" rIns="0" bIns="0">
                        <a:spAutoFit/>
                      </wps:bodyPr>
                    </wps:wsp>
                  </a:graphicData>
                </a:graphic>
              </wp:anchor>
            </w:drawing>
          </mc:Choice>
          <mc:Fallback>
            <w:pict>
              <v:shape id="_x0000_s1647" type="#_x0000_t202" style="position:absolute;margin-left:44.049999999999997pt;margin-top:482.89999999999998pt;width:174.5pt;height:27.350000000000001pt;z-index:-125828755;mso-wrap-distance-left:9.pt;mso-wrap-distance-top:1.pt;mso-wrap-distance-right:279.94999999999999pt;mso-position-horizontal-relative:page" filled="f" stroked="f">
                <v:textbox style="mso-fit-shape-to-text:t" inset="0,0,0,0">
                  <w:txbxContent>
                    <w:p>
                      <w:pPr>
                        <w:pStyle w:val="Style52"/>
                        <w:keepNext w:val="0"/>
                        <w:keepLines w:val="0"/>
                        <w:widowControl w:val="0"/>
                        <w:shd w:val="clear" w:color="auto" w:fill="auto"/>
                        <w:bidi w:val="0"/>
                        <w:spacing w:before="0" w:after="80" w:line="240" w:lineRule="auto"/>
                        <w:ind w:left="0" w:right="0" w:firstLine="0"/>
                        <w:jc w:val="center"/>
                      </w:pPr>
                      <w:bookmarkStart w:id="614" w:name="bookmark614"/>
                      <w:r>
                        <w:rPr>
                          <w:color w:val="000000"/>
                          <w:spacing w:val="0"/>
                          <w:w w:val="100"/>
                          <w:position w:val="0"/>
                          <w:sz w:val="22"/>
                          <w:szCs w:val="22"/>
                          <w:shd w:val="clear" w:color="auto" w:fill="auto"/>
                          <w:lang w:val="cs-CZ" w:eastAsia="cs-CZ" w:bidi="cs-CZ"/>
                        </w:rPr>
                        <w:t>160 K</w:t>
                      </w:r>
                      <w:bookmarkEnd w:id="614"/>
                    </w:p>
                    <w:p>
                      <w:pPr>
                        <w:pStyle w:val="Style42"/>
                        <w:keepNext w:val="0"/>
                        <w:keepLines w:val="0"/>
                        <w:widowControl w:val="0"/>
                        <w:shd w:val="clear" w:color="auto" w:fill="auto"/>
                        <w:tabs>
                          <w:tab w:pos="2299" w:val="left"/>
                        </w:tabs>
                        <w:bidi w:val="0"/>
                        <w:spacing w:before="0" w:after="0" w:line="264" w:lineRule="auto"/>
                        <w:ind w:left="0" w:right="0" w:firstLine="0"/>
                        <w:rPr>
                          <w:sz w:val="16"/>
                          <w:szCs w:val="16"/>
                        </w:rPr>
                      </w:pPr>
                      <w:r>
                        <w:rPr>
                          <w:color w:val="000000"/>
                          <w:spacing w:val="0"/>
                          <w:w w:val="100"/>
                          <w:position w:val="0"/>
                          <w:sz w:val="16"/>
                          <w:szCs w:val="16"/>
                          <w:shd w:val="clear" w:color="auto" w:fill="auto"/>
                          <w:lang w:val="cs-CZ" w:eastAsia="cs-CZ" w:bidi="cs-CZ"/>
                        </w:rPr>
                        <w:t>Dodá každý knihkupec</w:t>
                        <w:tab/>
                        <w:t>MELANTRICH</w:t>
                      </w:r>
                    </w:p>
                  </w:txbxContent>
                </v:textbox>
                <w10:wrap type="topAndBottom" anchorx="page"/>
              </v:shape>
            </w:pict>
          </mc:Fallback>
        </mc:AlternateContent>
      </w:r>
      <w:r>
        <w:rPr>
          <w:noProof/>
        </w:rPr>
        <mc:AlternateContent>
          <mc:Choice Requires="wps">
            <w:drawing>
              <wp:anchor distT="15875" distB="8890" distL="3260090" distR="114300" simplePos="0" relativeHeight="125830000" behindDoc="0" locked="0" layoutInCell="1" allowOverlap="1">
                <wp:simplePos x="0" y="0"/>
                <wp:positionH relativeFrom="page">
                  <wp:posOffset>3704590</wp:posOffset>
                </wp:positionH>
                <wp:positionV relativeFrom="paragraph">
                  <wp:posOffset>6135370</wp:posOffset>
                </wp:positionV>
                <wp:extent cx="2511425" cy="335280"/>
                <wp:effectExtent l="0" t="0" r="0" b="0"/>
                <wp:wrapTopAndBottom/>
                <wp:docPr id="623" name="Shape 623"/>
                <wp:cNvGraphicFramePr/>
                <a:graphic xmlns:a="http://schemas.openxmlformats.org/drawingml/2006/main">
                  <a:graphicData uri="http://schemas.microsoft.com/office/word/2010/wordprocessingShape">
                    <wps:wsp>
                      <wps:cNvSpPr txBox="1"/>
                      <wps:spPr>
                        <a:xfrm>
                          <a:off x="0" y="0"/>
                          <a:ext cx="2511425" cy="335280"/>
                        </a:xfrm>
                        <a:prstGeom prst="rect">
                          <a:avLst/>
                        </a:prstGeom>
                        <a:noFill/>
                      </wps:spPr>
                      <wps:txbx>
                        <w:txbxContent>
                          <w:p w:rsidR="00500724" w:rsidRDefault="00F30FB8">
                            <w:pPr>
                              <w:pStyle w:val="Jin0"/>
                              <w:shd w:val="clear" w:color="auto" w:fill="auto"/>
                              <w:ind w:firstLine="0"/>
                              <w:jc w:val="left"/>
                              <w:rPr>
                                <w:sz w:val="42"/>
                                <w:szCs w:val="42"/>
                              </w:rPr>
                            </w:pPr>
                            <w:r>
                              <w:rPr>
                                <w:rFonts w:ascii="Arial" w:eastAsia="Arial" w:hAnsi="Arial" w:cs="Arial"/>
                                <w:sz w:val="26"/>
                                <w:szCs w:val="26"/>
                              </w:rPr>
                              <w:t xml:space="preserve">Čtěte </w:t>
                            </w:r>
                            <w:r>
                              <w:rPr>
                                <w:rFonts w:ascii="Cambria" w:eastAsia="Cambria" w:hAnsi="Cambria" w:cs="Cambria"/>
                                <w:i/>
                                <w:iCs/>
                                <w:sz w:val="42"/>
                                <w:szCs w:val="42"/>
                              </w:rPr>
                              <w:t>LIDOVÉ NOVINY</w:t>
                            </w:r>
                          </w:p>
                        </w:txbxContent>
                      </wps:txbx>
                      <wps:bodyPr lIns="0" tIns="0" rIns="0" bIns="0">
                        <a:spAutoFit/>
                      </wps:bodyPr>
                    </wps:wsp>
                  </a:graphicData>
                </a:graphic>
              </wp:anchor>
            </w:drawing>
          </mc:Choice>
          <mc:Fallback>
            <w:pict>
              <v:shape id="_x0000_s1649" type="#_x0000_t202" style="position:absolute;margin-left:291.69999999999999pt;margin-top:483.10000000000002pt;width:197.75pt;height:26.399999999999999pt;z-index:-125828753;mso-wrap-distance-left:256.69999999999999pt;mso-wrap-distance-top:1.25pt;mso-wrap-distance-right:9.pt;mso-wrap-distance-bottom:0.69999999999999996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color w:val="000000"/>
                          <w:spacing w:val="0"/>
                          <w:w w:val="100"/>
                          <w:position w:val="0"/>
                          <w:sz w:val="26"/>
                          <w:szCs w:val="26"/>
                          <w:shd w:val="clear" w:color="auto" w:fill="auto"/>
                          <w:lang w:val="cs-CZ" w:eastAsia="cs-CZ" w:bidi="cs-CZ"/>
                        </w:rPr>
                        <w:t xml:space="preserve">Čtěte </w:t>
                      </w:r>
                      <w:r>
                        <w:rPr>
                          <w:rFonts w:ascii="Cambria" w:eastAsia="Cambria" w:hAnsi="Cambria" w:cs="Cambria"/>
                          <w:i/>
                          <w:iCs/>
                          <w:color w:val="000000"/>
                          <w:spacing w:val="0"/>
                          <w:w w:val="100"/>
                          <w:position w:val="0"/>
                          <w:sz w:val="42"/>
                          <w:szCs w:val="42"/>
                          <w:shd w:val="clear" w:color="auto" w:fill="auto"/>
                          <w:lang w:val="cs-CZ" w:eastAsia="cs-CZ" w:bidi="cs-CZ"/>
                        </w:rPr>
                        <w:t>LIDOVÉ NOVINY</w:t>
                      </w:r>
                    </w:p>
                  </w:txbxContent>
                </v:textbox>
                <w10:wrap type="topAndBottom" anchorx="page"/>
              </v:shape>
            </w:pict>
          </mc:Fallback>
        </mc:AlternateContent>
      </w:r>
      <w:r>
        <w:rPr>
          <w:noProof/>
        </w:rPr>
        <mc:AlternateContent>
          <mc:Choice Requires="wps">
            <w:drawing>
              <wp:anchor distT="469900" distB="1903095" distL="147955" distR="114300" simplePos="0" relativeHeight="125830002" behindDoc="0" locked="0" layoutInCell="1" allowOverlap="1">
                <wp:simplePos x="0" y="0"/>
                <wp:positionH relativeFrom="page">
                  <wp:posOffset>132715</wp:posOffset>
                </wp:positionH>
                <wp:positionV relativeFrom="paragraph">
                  <wp:posOffset>6891655</wp:posOffset>
                </wp:positionV>
                <wp:extent cx="6507480" cy="923290"/>
                <wp:effectExtent l="0" t="0" r="0" b="0"/>
                <wp:wrapTopAndBottom/>
                <wp:docPr id="625" name="Shape 625"/>
                <wp:cNvGraphicFramePr/>
                <a:graphic xmlns:a="http://schemas.openxmlformats.org/drawingml/2006/main">
                  <a:graphicData uri="http://schemas.microsoft.com/office/word/2010/wordprocessingShape">
                    <wps:wsp>
                      <wps:cNvSpPr txBox="1"/>
                      <wps:spPr>
                        <a:xfrm>
                          <a:off x="0" y="0"/>
                          <a:ext cx="6507480" cy="923290"/>
                        </a:xfrm>
                        <a:prstGeom prst="rect">
                          <a:avLst/>
                        </a:prstGeom>
                        <a:noFill/>
                      </wps:spPr>
                      <wps:txbx>
                        <w:txbxContent>
                          <w:p w:rsidR="00500724" w:rsidRDefault="00F30FB8">
                            <w:pPr>
                              <w:pStyle w:val="Zkladntext1"/>
                              <w:shd w:val="clear" w:color="auto" w:fill="auto"/>
                              <w:spacing w:line="211" w:lineRule="auto"/>
                              <w:ind w:left="440" w:hanging="440"/>
                            </w:pPr>
                            <w:r>
                              <w:rPr>
                                <w:b/>
                                <w:bCs/>
                                <w:sz w:val="20"/>
                                <w:szCs w:val="20"/>
                              </w:rPr>
                              <w:t xml:space="preserve">OBSAH PŘÍTOMNOSTI C. </w:t>
                            </w:r>
                            <w:r>
                              <w:rPr>
                                <w:b/>
                                <w:bCs/>
                              </w:rPr>
                              <w:t>24: VÁCLAV SEDLÁK: Upřímné slovo k politikům německého národa — MILENA JE</w:t>
                            </w:r>
                            <w:r>
                              <w:rPr>
                                <w:b/>
                                <w:bCs/>
                              </w:rPr>
                              <w:softHyphen/>
                              <w:t xml:space="preserve">SENSKÁ: Týká se nás všech — JAN ALBERT: Co se líbí </w:t>
                            </w:r>
                            <w:r>
                              <w:rPr>
                                <w:b/>
                                <w:bCs/>
                              </w:rPr>
                              <w:t>a nelíbí Němcům v Praze — JOSEF PETRTYL: O život</w:t>
                            </w:r>
                            <w:r>
                              <w:rPr>
                                <w:b/>
                                <w:bCs/>
                              </w:rPr>
                              <w:softHyphen/>
                              <w:t>nosti dialogů — LADISLAV MACHÝČEK: Studuj, osle, budeš pánem! — STANISLAV YESTER: Rozhovor se sku</w:t>
                            </w:r>
                            <w:r>
                              <w:rPr>
                                <w:b/>
                                <w:bCs/>
                              </w:rPr>
                              <w:softHyphen/>
                              <w:t>tečností — JAN SKÁLA: švédsku se vede dobře — A. MELICHAR: Zdražit noviny? — V. GUTWIBTH: Lidová výchova — Oh</w:t>
                            </w:r>
                            <w:r>
                              <w:rPr>
                                <w:b/>
                                <w:bCs/>
                              </w:rPr>
                              <w:t>las Molotovovy řeči — Dva roky Chamberlainova premiérství — České pevnosti — Mluvit o možnosti války — »shocking« — Roosevelt nechce isolaci Spojených Států — České zlato a anglická politika — Zhoršená hospo</w:t>
                            </w:r>
                            <w:r>
                              <w:rPr>
                                <w:b/>
                                <w:bCs/>
                              </w:rPr>
                              <w:softHyphen/>
                              <w:t>dářská situace v Austrálii Angio-portugalská ali</w:t>
                            </w:r>
                            <w:r>
                              <w:rPr>
                                <w:b/>
                                <w:bCs/>
                              </w:rPr>
                              <w:t>ance — Katastrofa českého tisku — Co je svatováclavská tradice?</w:t>
                            </w:r>
                          </w:p>
                        </w:txbxContent>
                      </wps:txbx>
                      <wps:bodyPr lIns="0" tIns="0" rIns="0" bIns="0">
                        <a:spAutoFit/>
                      </wps:bodyPr>
                    </wps:wsp>
                  </a:graphicData>
                </a:graphic>
              </wp:anchor>
            </w:drawing>
          </mc:Choice>
          <mc:Fallback>
            <w:pict>
              <v:shape id="_x0000_s1651" type="#_x0000_t202" style="position:absolute;margin-left:10.449999999999999pt;margin-top:542.64999999999998pt;width:512.39999999999998pt;height:72.700000000000003pt;z-index:-125828751;mso-wrap-distance-left:11.65pt;mso-wrap-distance-top:37.pt;mso-wrap-distance-right:9.pt;mso-wrap-distance-bottom:149.84999999999999pt;mso-position-horizontal-relative:page" filled="f" stroked="f">
                <v:textbox style="mso-fit-shape-to-text:t" inset="0,0,0,0">
                  <w:txbxContent>
                    <w:p>
                      <w:pPr>
                        <w:pStyle w:val="Style18"/>
                        <w:keepNext w:val="0"/>
                        <w:keepLines w:val="0"/>
                        <w:widowControl w:val="0"/>
                        <w:shd w:val="clear" w:color="auto" w:fill="auto"/>
                        <w:bidi w:val="0"/>
                        <w:spacing w:before="0" w:after="0" w:line="211" w:lineRule="auto"/>
                        <w:ind w:left="440" w:right="0" w:hanging="440"/>
                      </w:pPr>
                      <w:r>
                        <w:rPr>
                          <w:b/>
                          <w:bCs/>
                          <w:color w:val="000000"/>
                          <w:spacing w:val="0"/>
                          <w:w w:val="100"/>
                          <w:position w:val="0"/>
                          <w:sz w:val="20"/>
                          <w:szCs w:val="20"/>
                          <w:shd w:val="clear" w:color="auto" w:fill="auto"/>
                          <w:lang w:val="cs-CZ" w:eastAsia="cs-CZ" w:bidi="cs-CZ"/>
                        </w:rPr>
                        <w:t xml:space="preserve">OBSAH PŘÍTOMNOSTI C. </w:t>
                      </w:r>
                      <w:r>
                        <w:rPr>
                          <w:b/>
                          <w:bCs/>
                          <w:color w:val="000000"/>
                          <w:spacing w:val="0"/>
                          <w:w w:val="100"/>
                          <w:position w:val="0"/>
                          <w:shd w:val="clear" w:color="auto" w:fill="auto"/>
                          <w:lang w:val="cs-CZ" w:eastAsia="cs-CZ" w:bidi="cs-CZ"/>
                        </w:rPr>
                        <w:t>24: VÁCLAV SEDLÁK: Upřímné slovo k politikům německého národa — MILENA JE</w:t>
                        <w:softHyphen/>
                        <w:t>SENSKÁ: Týká se nás všech — JAN ALBERT: Co se líbí a nelíbí Němcům v Praze — JOSEF PETRTYL: O život</w:t>
                        <w:softHyphen/>
                        <w:t>nosti dialogů — LADISLAV MACHÝČEK: Studuj, osle, budeš pánem! — STANISLAV YESTER: Rozhovor se sku</w:t>
                        <w:softHyphen/>
                        <w:t>tečností — JAN SKÁLA: švédsku se vede dobře — A. MELICHAR: Zdražit noviny? — V. GUTWIBTH: Lidová výchova — Ohlas Molotovovy řeči — Dva roky Chamberlainova premiérství — České pevnosti — Mluvit o možnosti války — »shocking« — Roosevelt nechce isolaci Spojených Států — České zlato a anglická politika — Zhoršená hospo</w:t>
                        <w:softHyphen/>
                        <w:t>dářská situace v Austrálii Angio-portugalská aliance — Katastrofa českého tisku — Co je svatováclavská tradice?</w:t>
                      </w:r>
                    </w:p>
                  </w:txbxContent>
                </v:textbox>
                <w10:wrap type="topAndBottom" anchorx="page"/>
              </v:shape>
            </w:pict>
          </mc:Fallback>
        </mc:AlternateContent>
      </w:r>
      <w:r>
        <w:rPr>
          <w:noProof/>
        </w:rPr>
        <mc:AlternateContent>
          <mc:Choice Requires="wps">
            <w:drawing>
              <wp:anchor distT="2524125" distB="384810" distL="166370" distR="3939540" simplePos="0" relativeHeight="125830004" behindDoc="0" locked="0" layoutInCell="1" allowOverlap="1">
                <wp:simplePos x="0" y="0"/>
                <wp:positionH relativeFrom="page">
                  <wp:posOffset>151130</wp:posOffset>
                </wp:positionH>
                <wp:positionV relativeFrom="paragraph">
                  <wp:posOffset>8945880</wp:posOffset>
                </wp:positionV>
                <wp:extent cx="2663825" cy="387350"/>
                <wp:effectExtent l="0" t="0" r="0" b="0"/>
                <wp:wrapTopAndBottom/>
                <wp:docPr id="627" name="Shape 627"/>
                <wp:cNvGraphicFramePr/>
                <a:graphic xmlns:a="http://schemas.openxmlformats.org/drawingml/2006/main">
                  <a:graphicData uri="http://schemas.microsoft.com/office/word/2010/wordprocessingShape">
                    <wps:wsp>
                      <wps:cNvSpPr txBox="1"/>
                      <wps:spPr>
                        <a:xfrm>
                          <a:off x="0" y="0"/>
                          <a:ext cx="2663825" cy="387350"/>
                        </a:xfrm>
                        <a:prstGeom prst="rect">
                          <a:avLst/>
                        </a:prstGeom>
                        <a:noFill/>
                      </wps:spPr>
                      <wps:txbx>
                        <w:txbxContent>
                          <w:p w:rsidR="00500724" w:rsidRDefault="00F30FB8">
                            <w:pPr>
                              <w:pStyle w:val="Jin0"/>
                              <w:shd w:val="clear" w:color="auto" w:fill="auto"/>
                              <w:ind w:firstLine="0"/>
                              <w:jc w:val="left"/>
                              <w:rPr>
                                <w:sz w:val="42"/>
                                <w:szCs w:val="42"/>
                              </w:rPr>
                            </w:pPr>
                            <w:r>
                              <w:rPr>
                                <w:rFonts w:ascii="Arial" w:eastAsia="Arial" w:hAnsi="Arial" w:cs="Arial"/>
                                <w:sz w:val="42"/>
                                <w:szCs w:val="42"/>
                              </w:rPr>
                              <w:t>řJ^d^^FerďPeroutka</w:t>
                            </w:r>
                          </w:p>
                        </w:txbxContent>
                      </wps:txbx>
                      <wps:bodyPr lIns="0" tIns="0" rIns="0" bIns="0">
                        <a:spAutoFit/>
                      </wps:bodyPr>
                    </wps:wsp>
                  </a:graphicData>
                </a:graphic>
              </wp:anchor>
            </w:drawing>
          </mc:Choice>
          <mc:Fallback>
            <w:pict>
              <v:shape id="_x0000_s1653" type="#_x0000_t202" style="position:absolute;margin-left:11.9pt;margin-top:704.39999999999998pt;width:209.75pt;height:30.5pt;z-index:-125828749;mso-wrap-distance-left:13.1pt;mso-wrap-distance-top:198.75pt;mso-wrap-distance-right:310.19999999999999pt;mso-wrap-distance-bottom:30.300000000000001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color w:val="000000"/>
                          <w:spacing w:val="0"/>
                          <w:w w:val="100"/>
                          <w:position w:val="0"/>
                          <w:sz w:val="42"/>
                          <w:szCs w:val="42"/>
                          <w:shd w:val="clear" w:color="auto" w:fill="auto"/>
                          <w:lang w:val="cs-CZ" w:eastAsia="cs-CZ" w:bidi="cs-CZ"/>
                        </w:rPr>
                        <w:t>řJ^d^^FerďPeroutka</w:t>
                      </w:r>
                    </w:p>
                  </w:txbxContent>
                </v:textbox>
                <w10:wrap type="topAndBottom" anchorx="page"/>
              </v:shape>
            </w:pict>
          </mc:Fallback>
        </mc:AlternateContent>
      </w:r>
      <w:r>
        <w:rPr>
          <w:noProof/>
        </w:rPr>
        <mc:AlternateContent>
          <mc:Choice Requires="wps">
            <w:drawing>
              <wp:anchor distT="1573530" distB="254000" distL="2967355" distR="129540" simplePos="0" relativeHeight="125830006" behindDoc="0" locked="0" layoutInCell="1" allowOverlap="1">
                <wp:simplePos x="0" y="0"/>
                <wp:positionH relativeFrom="page">
                  <wp:posOffset>2952115</wp:posOffset>
                </wp:positionH>
                <wp:positionV relativeFrom="paragraph">
                  <wp:posOffset>7994650</wp:posOffset>
                </wp:positionV>
                <wp:extent cx="3672840" cy="1469390"/>
                <wp:effectExtent l="0" t="0" r="0" b="0"/>
                <wp:wrapTopAndBottom/>
                <wp:docPr id="629" name="Shape 629"/>
                <wp:cNvGraphicFramePr/>
                <a:graphic xmlns:a="http://schemas.openxmlformats.org/drawingml/2006/main">
                  <a:graphicData uri="http://schemas.microsoft.com/office/word/2010/wordprocessingShape">
                    <wps:wsp>
                      <wps:cNvSpPr txBox="1"/>
                      <wps:spPr>
                        <a:xfrm>
                          <a:off x="0" y="0"/>
                          <a:ext cx="3672840" cy="1469390"/>
                        </a:xfrm>
                        <a:prstGeom prst="rect">
                          <a:avLst/>
                        </a:prstGeom>
                        <a:noFill/>
                      </wps:spPr>
                      <wps:txbx>
                        <w:txbxContent>
                          <w:p w:rsidR="00500724" w:rsidRDefault="00F30FB8">
                            <w:pPr>
                              <w:pStyle w:val="Nadpis80"/>
                              <w:keepNext/>
                              <w:keepLines/>
                              <w:shd w:val="clear" w:color="auto" w:fill="auto"/>
                              <w:spacing w:after="180"/>
                              <w:ind w:left="140"/>
                            </w:pPr>
                            <w:bookmarkStart w:id="616" w:name="bookmark615"/>
                            <w:r>
                              <w:t>nezávislý týdeník</w:t>
                            </w:r>
                            <w:bookmarkEnd w:id="616"/>
                          </w:p>
                          <w:p w:rsidR="00500724" w:rsidRDefault="00F30FB8">
                            <w:pPr>
                              <w:pStyle w:val="Zkladntext1"/>
                              <w:shd w:val="clear" w:color="auto" w:fill="auto"/>
                              <w:spacing w:after="40" w:line="221" w:lineRule="auto"/>
                              <w:ind w:firstLine="0"/>
                              <w:jc w:val="center"/>
                              <w:rPr>
                                <w:sz w:val="20"/>
                                <w:szCs w:val="20"/>
                              </w:rPr>
                            </w:pPr>
                            <w:r>
                              <w:rPr>
                                <w:sz w:val="20"/>
                                <w:szCs w:val="20"/>
                              </w:rPr>
                              <w:t>vychází ve středu v nakladatelství</w:t>
                            </w:r>
                            <w:r>
                              <w:rPr>
                                <w:sz w:val="20"/>
                                <w:szCs w:val="20"/>
                              </w:rPr>
                              <w:br/>
                              <w:t>FR. BOROVÝ V PRAZE L, NÁRODNÍ TŘÍDA 11.</w:t>
                            </w:r>
                          </w:p>
                          <w:p w:rsidR="00500724" w:rsidRDefault="00F30FB8">
                            <w:pPr>
                              <w:pStyle w:val="Zkladntext40"/>
                              <w:shd w:val="clear" w:color="auto" w:fill="auto"/>
                              <w:spacing w:after="40" w:line="187" w:lineRule="auto"/>
                            </w:pPr>
                            <w:r>
                              <w:t>Telefon číslo 390-51 až 54 • Očet poštovní spořitelny číslo 35.622 • Nevy</w:t>
                            </w:r>
                            <w:r>
                              <w:softHyphen/>
                            </w:r>
                            <w:r>
                              <w:t xml:space="preserve">žádané rukopisy se nevracej!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Dohlédaci pošt. úřad Brno II. • Novinová sazba povolena v Brně ředitelstvím pošt a teleg</w:t>
                            </w:r>
                            <w:r>
                              <w:t xml:space="preserve">rafů pod čís. 119.268/IIIa </w:t>
                            </w:r>
                            <w:r>
                              <w:rPr>
                                <w:rFonts w:ascii="Georgia" w:eastAsia="Georgia" w:hAnsi="Georgia" w:cs="Georgia"/>
                                <w:b/>
                                <w:bCs/>
                                <w:sz w:val="13"/>
                                <w:szCs w:val="13"/>
                              </w:rPr>
                              <w:t xml:space="preserve">o </w:t>
                            </w:r>
                            <w:r>
                              <w:t>Odpovědný redaktor J. Dlabač.</w:t>
                            </w:r>
                          </w:p>
                          <w:p w:rsidR="00500724" w:rsidRDefault="00F30FB8">
                            <w:pPr>
                              <w:pStyle w:val="Zkladntext1"/>
                              <w:shd w:val="clear" w:color="auto" w:fill="auto"/>
                              <w:spacing w:after="120" w:line="221" w:lineRule="auto"/>
                              <w:ind w:firstLine="0"/>
                              <w:jc w:val="center"/>
                              <w:rPr>
                                <w:sz w:val="22"/>
                                <w:szCs w:val="22"/>
                              </w:rPr>
                            </w:pPr>
                            <w:r>
                              <w:rPr>
                                <w:sz w:val="20"/>
                                <w:szCs w:val="20"/>
                              </w:rPr>
                              <w:t xml:space="preserve">TISKEM LIDOVÉ TISKÁRNY, BRNO. ČESKÁ </w:t>
                            </w:r>
                            <w:r>
                              <w:rPr>
                                <w:sz w:val="22"/>
                                <w:szCs w:val="22"/>
                              </w:rPr>
                              <w:t>6.</w:t>
                            </w:r>
                          </w:p>
                        </w:txbxContent>
                      </wps:txbx>
                      <wps:bodyPr lIns="0" tIns="0" rIns="0" bIns="0">
                        <a:spAutoFit/>
                      </wps:bodyPr>
                    </wps:wsp>
                  </a:graphicData>
                </a:graphic>
              </wp:anchor>
            </w:drawing>
          </mc:Choice>
          <mc:Fallback>
            <w:pict>
              <v:shape id="_x0000_s1655" type="#_x0000_t202" style="position:absolute;margin-left:232.44999999999999pt;margin-top:629.5pt;width:289.19999999999999pt;height:115.7pt;z-index:-125828747;mso-wrap-distance-left:233.65000000000001pt;mso-wrap-distance-top:123.90000000000001pt;mso-wrap-distance-right:10.199999999999999pt;mso-wrap-distance-bottom:20.pt;mso-position-horizontal-relative:page" filled="f" stroked="f">
                <v:textbox style="mso-fit-shape-to-text:t" inset="0,0,0,0">
                  <w:txbxContent>
                    <w:p>
                      <w:pPr>
                        <w:pStyle w:val="Style56"/>
                        <w:keepNext/>
                        <w:keepLines/>
                        <w:widowControl w:val="0"/>
                        <w:shd w:val="clear" w:color="auto" w:fill="auto"/>
                        <w:bidi w:val="0"/>
                        <w:spacing w:before="0" w:after="180" w:line="240" w:lineRule="auto"/>
                        <w:ind w:left="140" w:right="0" w:firstLine="0"/>
                        <w:jc w:val="left"/>
                      </w:pPr>
                      <w:bookmarkStart w:id="615" w:name="bookmark615"/>
                      <w:r>
                        <w:rPr>
                          <w:color w:val="000000"/>
                          <w:spacing w:val="0"/>
                          <w:w w:val="100"/>
                          <w:position w:val="0"/>
                          <w:shd w:val="clear" w:color="auto" w:fill="auto"/>
                          <w:lang w:val="cs-CZ" w:eastAsia="cs-CZ" w:bidi="cs-CZ"/>
                        </w:rPr>
                        <w:t>nezávislý týdeník</w:t>
                      </w:r>
                      <w:bookmarkEnd w:id="615"/>
                    </w:p>
                    <w:p>
                      <w:pPr>
                        <w:pStyle w:val="Style18"/>
                        <w:keepNext w:val="0"/>
                        <w:keepLines w:val="0"/>
                        <w:widowControl w:val="0"/>
                        <w:shd w:val="clear" w:color="auto" w:fill="auto"/>
                        <w:bidi w:val="0"/>
                        <w:spacing w:before="0" w:after="40" w:line="221" w:lineRule="auto"/>
                        <w:ind w:left="0" w:right="0" w:firstLine="0"/>
                        <w:jc w:val="center"/>
                        <w:rPr>
                          <w:sz w:val="20"/>
                          <w:szCs w:val="20"/>
                        </w:rPr>
                      </w:pPr>
                      <w:r>
                        <w:rPr>
                          <w:color w:val="000000"/>
                          <w:spacing w:val="0"/>
                          <w:w w:val="100"/>
                          <w:position w:val="0"/>
                          <w:sz w:val="20"/>
                          <w:szCs w:val="20"/>
                          <w:shd w:val="clear" w:color="auto" w:fill="auto"/>
                          <w:lang w:val="cs-CZ" w:eastAsia="cs-CZ" w:bidi="cs-CZ"/>
                        </w:rPr>
                        <w:t>vychází ve středu v nakladatelství</w:t>
                        <w:br/>
                        <w:t>FR. BOROVÝ V PRAZE L, NÁRODNÍ TŘÍDA 11.</w:t>
                      </w:r>
                    </w:p>
                    <w:p>
                      <w:pPr>
                        <w:pStyle w:val="Style42"/>
                        <w:keepNext w:val="0"/>
                        <w:keepLines w:val="0"/>
                        <w:widowControl w:val="0"/>
                        <w:shd w:val="clear" w:color="auto" w:fill="auto"/>
                        <w:bidi w:val="0"/>
                        <w:spacing w:before="0" w:after="40" w:line="187" w:lineRule="auto"/>
                        <w:ind w:left="0" w:right="0" w:firstLine="0"/>
                      </w:pPr>
                      <w:r>
                        <w:rPr>
                          <w:color w:val="000000"/>
                          <w:spacing w:val="0"/>
                          <w:w w:val="100"/>
                          <w:position w:val="0"/>
                          <w:shd w:val="clear" w:color="auto" w:fill="auto"/>
                          <w:lang w:val="cs-CZ" w:eastAsia="cs-CZ" w:bidi="cs-CZ"/>
                        </w:rPr>
                        <w:t>Telefon číslo 390-51 až 54 • Očet poštovní spořitelny číslo 35.622 • Nevy</w:t>
                        <w:softHyphen/>
                        <w:t xml:space="preserve">žádané rukopisy se nevracej! • Předplatné na rok K 100.—, na půl roku K 50.—. na čtvrt roku K 25.—, Jednotlivá čísla K 2.—. </w:t>
                      </w:r>
                      <w:r>
                        <w:rPr>
                          <w:color w:val="000000"/>
                          <w:spacing w:val="0"/>
                          <w:w w:val="100"/>
                          <w:position w:val="0"/>
                          <w:shd w:val="clear" w:color="auto" w:fill="auto"/>
                          <w:lang w:val="en-US" w:eastAsia="en-US" w:bidi="en-US"/>
                        </w:rPr>
                        <w:t xml:space="preserve">Pour </w:t>
                      </w:r>
                      <w:r>
                        <w:rPr>
                          <w:color w:val="000000"/>
                          <w:spacing w:val="0"/>
                          <w:w w:val="100"/>
                          <w:position w:val="0"/>
                          <w:shd w:val="clear" w:color="auto" w:fill="auto"/>
                          <w:lang w:val="cs-CZ" w:eastAsia="cs-CZ" w:bidi="cs-CZ"/>
                        </w:rPr>
                        <w:t>la Fran</w:t>
                        <w:softHyphen/>
                        <w:t xml:space="preserve">ce et ses </w:t>
                      </w:r>
                      <w:r>
                        <w:rPr>
                          <w:color w:val="000000"/>
                          <w:spacing w:val="0"/>
                          <w:w w:val="100"/>
                          <w:position w:val="0"/>
                          <w:shd w:val="clear" w:color="auto" w:fill="auto"/>
                          <w:lang w:val="en-US" w:eastAsia="en-US" w:bidi="en-US"/>
                        </w:rPr>
                        <w:t xml:space="preserve">Colonies </w:t>
                      </w:r>
                      <w:r>
                        <w:rPr>
                          <w:color w:val="000000"/>
                          <w:spacing w:val="0"/>
                          <w:w w:val="100"/>
                          <w:position w:val="0"/>
                          <w:shd w:val="clear" w:color="auto" w:fill="auto"/>
                          <w:lang w:val="cs-CZ" w:eastAsia="cs-CZ" w:bidi="cs-CZ"/>
                        </w:rPr>
                        <w:t xml:space="preserve">Frs 2.50. • Dohlédaci pošt. úřad Brno II. • Novinová sazba povolena v Brně ředitelstvím pošt a telegrafů pod čís. 119.268/IIIa </w:t>
                      </w:r>
                      <w:r>
                        <w:rPr>
                          <w:rFonts w:ascii="Georgia" w:eastAsia="Georgia" w:hAnsi="Georgia" w:cs="Georgia"/>
                          <w:b/>
                          <w:bCs/>
                          <w:color w:val="000000"/>
                          <w:spacing w:val="0"/>
                          <w:w w:val="100"/>
                          <w:position w:val="0"/>
                          <w:sz w:val="13"/>
                          <w:szCs w:val="13"/>
                          <w:shd w:val="clear" w:color="auto" w:fill="auto"/>
                          <w:lang w:val="cs-CZ" w:eastAsia="cs-CZ" w:bidi="cs-CZ"/>
                        </w:rPr>
                        <w:t xml:space="preserve">o </w:t>
                      </w:r>
                      <w:r>
                        <w:rPr>
                          <w:color w:val="000000"/>
                          <w:spacing w:val="0"/>
                          <w:w w:val="100"/>
                          <w:position w:val="0"/>
                          <w:shd w:val="clear" w:color="auto" w:fill="auto"/>
                          <w:lang w:val="cs-CZ" w:eastAsia="cs-CZ" w:bidi="cs-CZ"/>
                        </w:rPr>
                        <w:t>Odpovědný redaktor J. Dlabač.</w:t>
                      </w:r>
                    </w:p>
                    <w:p>
                      <w:pPr>
                        <w:pStyle w:val="Style18"/>
                        <w:keepNext w:val="0"/>
                        <w:keepLines w:val="0"/>
                        <w:widowControl w:val="0"/>
                        <w:shd w:val="clear" w:color="auto" w:fill="auto"/>
                        <w:bidi w:val="0"/>
                        <w:spacing w:before="0" w:after="120" w:line="221" w:lineRule="auto"/>
                        <w:ind w:left="0" w:right="0" w:firstLine="0"/>
                        <w:jc w:val="center"/>
                        <w:rPr>
                          <w:sz w:val="22"/>
                          <w:szCs w:val="22"/>
                        </w:rPr>
                      </w:pPr>
                      <w:r>
                        <w:rPr>
                          <w:color w:val="000000"/>
                          <w:spacing w:val="0"/>
                          <w:w w:val="100"/>
                          <w:position w:val="0"/>
                          <w:sz w:val="20"/>
                          <w:szCs w:val="20"/>
                          <w:shd w:val="clear" w:color="auto" w:fill="auto"/>
                          <w:lang w:val="cs-CZ" w:eastAsia="cs-CZ" w:bidi="cs-CZ"/>
                        </w:rPr>
                        <w:t xml:space="preserve">TISKEM LIDOVÉ TISKÁRNY, BRNO. ČESKÁ </w:t>
                      </w:r>
                      <w:r>
                        <w:rPr>
                          <w:color w:val="000000"/>
                          <w:spacing w:val="0"/>
                          <w:w w:val="100"/>
                          <w:position w:val="0"/>
                          <w:sz w:val="22"/>
                          <w:szCs w:val="22"/>
                          <w:shd w:val="clear" w:color="auto" w:fill="auto"/>
                          <w:lang w:val="cs-CZ" w:eastAsia="cs-CZ" w:bidi="cs-CZ"/>
                        </w:rPr>
                        <w:t>6.</w:t>
                      </w:r>
                    </w:p>
                  </w:txbxContent>
                </v:textbox>
                <w10:wrap type="topAndBottom" anchorx="page"/>
              </v:shape>
            </w:pict>
          </mc:Fallback>
        </mc:AlternateContent>
      </w:r>
    </w:p>
    <w:p w:rsidR="00500724" w:rsidRDefault="00F30FB8">
      <w:pPr>
        <w:pStyle w:val="Nadpis110"/>
        <w:shd w:val="clear" w:color="auto" w:fill="auto"/>
        <w:spacing w:after="40" w:line="187" w:lineRule="auto"/>
        <w:jc w:val="both"/>
      </w:pPr>
      <w:bookmarkStart w:id="617" w:name="bookmark616"/>
      <w:r>
        <w:t>MUDr. ZDENKA NEDVĚDOVÁ-NEJEDLÁ</w:t>
      </w:r>
      <w:bookmarkEnd w:id="617"/>
    </w:p>
    <w:p w:rsidR="00500724" w:rsidRDefault="00F30FB8">
      <w:pPr>
        <w:pStyle w:val="Zkladntext1"/>
        <w:shd w:val="clear" w:color="auto" w:fill="auto"/>
        <w:spacing w:after="160" w:line="228" w:lineRule="auto"/>
        <w:ind w:firstLine="0"/>
        <w:rPr>
          <w:sz w:val="18"/>
          <w:szCs w:val="18"/>
        </w:rPr>
      </w:pPr>
      <w:r>
        <w:rPr>
          <w:sz w:val="18"/>
          <w:szCs w:val="18"/>
        </w:rPr>
        <w:t xml:space="preserve">odb. dětská lékařka, PODOLÍ, PANKRÁCKÁ 14 (stanice elektr. </w:t>
      </w:r>
      <w:r>
        <w:rPr>
          <w:sz w:val="18"/>
          <w:szCs w:val="18"/>
          <w:u w:val="single"/>
        </w:rPr>
        <w:t>dráhy za Podol, sanatoriem). Ord. 9—10 a 2—4. Tel. 441-77.</w:t>
      </w:r>
    </w:p>
    <w:p w:rsidR="00500724" w:rsidRDefault="00F30FB8">
      <w:pPr>
        <w:pStyle w:val="Nadpis110"/>
        <w:shd w:val="clear" w:color="auto" w:fill="auto"/>
        <w:spacing w:after="40"/>
        <w:jc w:val="both"/>
      </w:pPr>
      <w:bookmarkStart w:id="618" w:name="bookmark617"/>
      <w:r>
        <w:t xml:space="preserve">MUDr. </w:t>
      </w:r>
      <w:r>
        <w:rPr>
          <w:lang w:val="en-US" w:eastAsia="en-US" w:bidi="en-US"/>
        </w:rPr>
        <w:t xml:space="preserve">ANTONIN </w:t>
      </w:r>
      <w:r>
        <w:t>NEUMANN</w:t>
      </w:r>
      <w:bookmarkEnd w:id="618"/>
    </w:p>
    <w:p w:rsidR="00500724" w:rsidRDefault="00F30FB8">
      <w:pPr>
        <w:pStyle w:val="Zkladntext90"/>
        <w:shd w:val="clear" w:color="auto" w:fill="auto"/>
        <w:spacing w:after="140" w:line="233" w:lineRule="auto"/>
        <w:ind w:firstLine="700"/>
      </w:pPr>
      <w:r>
        <w:rPr>
          <w:rFonts w:ascii="Times New Roman" w:eastAsia="Times New Roman" w:hAnsi="Times New Roman" w:cs="Times New Roman"/>
          <w:b w:val="0"/>
          <w:bCs w:val="0"/>
          <w:sz w:val="15"/>
          <w:szCs w:val="15"/>
        </w:rPr>
        <w:t xml:space="preserve">odborný lékař nemoci pohlavních, kožních a kosmetiky. </w:t>
      </w:r>
      <w:r>
        <w:rPr>
          <w:lang w:val="en-US" w:eastAsia="en-US" w:bidi="en-US"/>
        </w:rPr>
        <w:t xml:space="preserve">Praha </w:t>
      </w:r>
      <w:r>
        <w:t xml:space="preserve">II., Na Zbořenci 24 — třeti dům od Karlova náměstí. </w:t>
      </w:r>
      <w:r>
        <w:rPr>
          <w:u w:val="single"/>
        </w:rPr>
        <w:t>Ordinuje celý den. V neděli a ve svátek dopoledne. Tel. 41.728.</w:t>
      </w:r>
    </w:p>
    <w:p w:rsidR="00500724" w:rsidRDefault="00F30FB8">
      <w:pPr>
        <w:pStyle w:val="Zkladntext1"/>
        <w:shd w:val="clear" w:color="auto" w:fill="auto"/>
        <w:spacing w:after="40" w:line="204" w:lineRule="auto"/>
        <w:ind w:firstLine="0"/>
        <w:rPr>
          <w:sz w:val="22"/>
          <w:szCs w:val="22"/>
        </w:rPr>
      </w:pPr>
      <w:r>
        <w:rPr>
          <w:sz w:val="18"/>
          <w:szCs w:val="18"/>
        </w:rPr>
        <w:t xml:space="preserve">Pro plastickou chirurgii </w:t>
      </w:r>
      <w:r>
        <w:rPr>
          <w:rFonts w:ascii="Arial" w:eastAsia="Arial" w:hAnsi="Arial" w:cs="Arial"/>
          <w:b/>
          <w:bCs/>
          <w:sz w:val="22"/>
          <w:szCs w:val="22"/>
        </w:rPr>
        <w:t>Dr. RUDOLF SLUNEČKO</w:t>
      </w:r>
    </w:p>
    <w:p w:rsidR="00500724" w:rsidRDefault="00F30FB8">
      <w:pPr>
        <w:pStyle w:val="Zkladntext1"/>
        <w:shd w:val="clear" w:color="auto" w:fill="auto"/>
        <w:spacing w:after="100" w:line="228" w:lineRule="auto"/>
        <w:ind w:firstLine="0"/>
        <w:rPr>
          <w:sz w:val="18"/>
          <w:szCs w:val="18"/>
        </w:rPr>
      </w:pPr>
      <w:r>
        <w:rPr>
          <w:sz w:val="18"/>
          <w:szCs w:val="18"/>
        </w:rPr>
        <w:t xml:space="preserve">ord. 3—4 (a podle </w:t>
      </w:r>
      <w:r>
        <w:rPr>
          <w:sz w:val="18"/>
          <w:szCs w:val="18"/>
        </w:rPr>
        <w:t>úmluvy). Telefon 393-79. PRAHA H„ VO</w:t>
      </w:r>
      <w:r>
        <w:rPr>
          <w:sz w:val="18"/>
          <w:szCs w:val="18"/>
        </w:rPr>
        <w:softHyphen/>
      </w:r>
      <w:r>
        <w:rPr>
          <w:sz w:val="18"/>
          <w:szCs w:val="18"/>
          <w:u w:val="single"/>
        </w:rPr>
        <w:t>DIČKOVA 15. (Hlávkův palác.)</w:t>
      </w:r>
    </w:p>
    <w:p w:rsidR="00500724" w:rsidRDefault="00F30FB8">
      <w:pPr>
        <w:pStyle w:val="Jin0"/>
        <w:shd w:val="clear" w:color="auto" w:fill="auto"/>
        <w:spacing w:after="40"/>
        <w:ind w:firstLine="0"/>
        <w:jc w:val="left"/>
        <w:rPr>
          <w:sz w:val="50"/>
          <w:szCs w:val="50"/>
        </w:rPr>
      </w:pPr>
      <w:r>
        <w:rPr>
          <w:sz w:val="50"/>
          <w:szCs w:val="50"/>
        </w:rPr>
        <w:t>Sanatorium Dr. Borůvka</w:t>
      </w:r>
    </w:p>
    <w:p w:rsidR="00500724" w:rsidRDefault="00F30FB8">
      <w:pPr>
        <w:pStyle w:val="Zkladntext1"/>
        <w:shd w:val="clear" w:color="auto" w:fill="auto"/>
        <w:spacing w:after="280" w:line="178" w:lineRule="auto"/>
        <w:ind w:firstLine="0"/>
        <w:rPr>
          <w:sz w:val="18"/>
          <w:szCs w:val="18"/>
        </w:rPr>
      </w:pPr>
      <w:r>
        <w:rPr>
          <w:sz w:val="18"/>
          <w:szCs w:val="18"/>
        </w:rPr>
        <w:t xml:space="preserve">ústav pro choroby chirurgické, ženské a porody, PRAHA H., </w:t>
      </w:r>
      <w:r>
        <w:rPr>
          <w:sz w:val="18"/>
          <w:szCs w:val="18"/>
          <w:u w:val="single"/>
        </w:rPr>
        <w:t>LEGEROVA 61/68. Telefony 212-37. 379-06. 332-38.</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80"/>
        <w:jc w:val="center"/>
      </w:pPr>
      <w:bookmarkStart w:id="619" w:name="bookmark618"/>
      <w:r>
        <w:rPr>
          <w:color w:val="FFFFFF"/>
        </w:rPr>
        <w:t>V AS VKUS I NÁROKY USPOKOJÍ</w:t>
      </w:r>
      <w:bookmarkEnd w:id="619"/>
    </w:p>
    <w:p w:rsidR="00500724" w:rsidRDefault="00F30FB8">
      <w:pPr>
        <w:pStyle w:val="Zkladntext1"/>
        <w:shd w:val="clear" w:color="auto" w:fill="auto"/>
        <w:spacing w:after="40"/>
        <w:ind w:firstLine="0"/>
        <w:jc w:val="center"/>
        <w:rPr>
          <w:sz w:val="18"/>
          <w:szCs w:val="18"/>
        </w:rPr>
      </w:pPr>
      <w:r>
        <w:rPr>
          <w:b/>
          <w:bCs/>
          <w:smallCaps/>
          <w:sz w:val="18"/>
          <w:szCs w:val="18"/>
        </w:rPr>
        <w:t>obuv pru vyšší nároky</w:t>
      </w:r>
    </w:p>
    <w:p w:rsidR="00500724" w:rsidRDefault="00F30FB8">
      <w:pPr>
        <w:pStyle w:val="Jin0"/>
        <w:shd w:val="clear" w:color="auto" w:fill="auto"/>
        <w:spacing w:line="209" w:lineRule="auto"/>
        <w:ind w:firstLine="0"/>
        <w:jc w:val="center"/>
        <w:rPr>
          <w:sz w:val="30"/>
          <w:szCs w:val="30"/>
        </w:rPr>
      </w:pPr>
      <w:r>
        <w:rPr>
          <w:rFonts w:ascii="Arial" w:eastAsia="Arial" w:hAnsi="Arial" w:cs="Arial"/>
          <w:b/>
          <w:bCs/>
          <w:sz w:val="30"/>
          <w:szCs w:val="30"/>
          <w:lang w:val="en-US" w:eastAsia="en-US" w:bidi="en-US"/>
        </w:rPr>
        <w:t xml:space="preserve">FERRY </w:t>
      </w:r>
      <w:r>
        <w:rPr>
          <w:rFonts w:ascii="Arial" w:eastAsia="Arial" w:hAnsi="Arial" w:cs="Arial"/>
          <w:b/>
          <w:bCs/>
          <w:sz w:val="30"/>
          <w:szCs w:val="30"/>
        </w:rPr>
        <w:t>GRAUMANN</w:t>
      </w:r>
    </w:p>
    <w:p w:rsidR="00500724" w:rsidRDefault="00F30FB8">
      <w:pPr>
        <w:pStyle w:val="Zkladntext1"/>
        <w:pBdr>
          <w:bottom w:val="single" w:sz="4" w:space="0" w:color="auto"/>
        </w:pBdr>
        <w:shd w:val="clear" w:color="auto" w:fill="auto"/>
        <w:spacing w:after="360" w:line="223" w:lineRule="auto"/>
        <w:ind w:left="140" w:firstLine="0"/>
        <w:jc w:val="left"/>
        <w:rPr>
          <w:sz w:val="20"/>
          <w:szCs w:val="20"/>
        </w:rPr>
      </w:pPr>
      <w:r>
        <w:rPr>
          <w:sz w:val="20"/>
          <w:szCs w:val="20"/>
        </w:rPr>
        <w:t>PRAHA I., PŘÍKOPY 35, schodiště A. TeL 315-28.</w:t>
      </w:r>
    </w:p>
    <w:p w:rsidR="00500724" w:rsidRDefault="00F30FB8">
      <w:pPr>
        <w:pStyle w:val="Zkladntext1"/>
        <w:shd w:val="clear" w:color="auto" w:fill="auto"/>
        <w:spacing w:after="40" w:line="211" w:lineRule="auto"/>
        <w:ind w:firstLine="0"/>
      </w:pPr>
      <w:r>
        <w:rPr>
          <w:b/>
          <w:bCs/>
        </w:rPr>
        <w:t>Aerodynamický osmiválec TATRA 87 se vzduchem chlaze</w:t>
      </w:r>
      <w:r>
        <w:rPr>
          <w:b/>
          <w:bCs/>
        </w:rPr>
        <w:softHyphen/>
        <w:t xml:space="preserve">ným motorem, uloženým vzadu, jest vozidlem budoucnosti. Všimněte si posuvné střechy a neobvyklé prostornosti, které zaručují největší pohodlí i na </w:t>
      </w:r>
      <w:r>
        <w:rPr>
          <w:b/>
          <w:bCs/>
        </w:rPr>
        <w:t>dlouhých cestách, všimněte si jakosti, s jakou jsou prováděny i maličkosti. Je radosti říditi tento rychlý a jistý vůz, spojující v sobě tolik přednosti, vyzdvihující jej vysoko nad všeobecný průměr. Dejte si také Vy nezávazně předvésti tento vůz.</w:t>
      </w:r>
    </w:p>
    <w:p w:rsidR="00500724" w:rsidRDefault="00F30FB8">
      <w:pPr>
        <w:pStyle w:val="Nadpis120"/>
        <w:shd w:val="clear" w:color="auto" w:fill="auto"/>
        <w:spacing w:after="40"/>
        <w:ind w:left="520"/>
        <w:jc w:val="both"/>
      </w:pPr>
      <w:bookmarkStart w:id="620" w:name="bookmark619"/>
      <w:r>
        <w:t>poskytuj</w:t>
      </w:r>
      <w:r>
        <w:t>í komfort velkých lázní za mírné ceny. S úspěchem léčí: revma, dnu, ischias, nervosu, ženské choroby.</w:t>
      </w:r>
      <w:bookmarkEnd w:id="620"/>
      <w:r>
        <w:br w:type="page"/>
      </w:r>
    </w:p>
    <w:p w:rsidR="00500724" w:rsidRDefault="00F30FB8">
      <w:pPr>
        <w:pStyle w:val="Nadpis100"/>
        <w:shd w:val="clear" w:color="auto" w:fill="auto"/>
        <w:spacing w:line="240" w:lineRule="auto"/>
        <w:jc w:val="left"/>
      </w:pPr>
      <w:bookmarkStart w:id="621" w:name="bookmark620"/>
      <w:r>
        <w:t>Český národ a politické vraždy</w:t>
      </w:r>
      <w:bookmarkEnd w:id="621"/>
    </w:p>
    <w:p w:rsidR="00500724" w:rsidRDefault="00F30FB8">
      <w:pPr>
        <w:pStyle w:val="Zkladntext30"/>
        <w:framePr w:dropCap="drop" w:lines="2" w:hSpace="5" w:vSpace="5" w:wrap="auto" w:vAnchor="text" w:hAnchor="text"/>
        <w:shd w:val="clear" w:color="auto" w:fill="auto"/>
        <w:spacing w:line="306" w:lineRule="exact"/>
        <w:ind w:firstLine="0"/>
      </w:pPr>
      <w:r>
        <w:rPr>
          <w:position w:val="-6"/>
          <w:sz w:val="46"/>
          <w:szCs w:val="46"/>
        </w:rPr>
        <w:t>P</w:t>
      </w:r>
    </w:p>
    <w:p w:rsidR="00500724" w:rsidRDefault="00F30FB8">
      <w:pPr>
        <w:pStyle w:val="Zkladntext30"/>
        <w:shd w:val="clear" w:color="auto" w:fill="auto"/>
        <w:spacing w:line="202" w:lineRule="auto"/>
        <w:ind w:firstLine="0"/>
      </w:pPr>
      <w:r>
        <w:t>roblém politické vraždy je patrně tak starý, jako problém politiky vůbec. Ale když si člověk, který není historikem z po</w:t>
      </w:r>
      <w:r>
        <w:t>volání, chce uvědomit, kdy byl vlastně proveden první politický atentát na světě, musí tápat ve zbytcích svých školních vědomostí. Jsme-li na rozpacích, pokud jde o dějiny atentátů vůbec, zdá se, že víme, kdy se udála první politická vražda v českém národě</w:t>
      </w:r>
      <w:r>
        <w:t>. Byla to patrně vražda na svátém Václavovi. Je opravdu pozoruhodné pro men</w:t>
      </w:r>
      <w:r>
        <w:softHyphen/>
        <w:t>talitu národa, jehož knížetem a národním světcem byl tento muž, že po dobu tisíci let, které uplynuly od této události, nemůže na tento zločin zapomenout, že pořád o tom mluví a že</w:t>
      </w:r>
      <w:r>
        <w:t xml:space="preserve"> se ještě nyní pře o smyslu a významu života a smrti svého prvního vladaře.</w:t>
      </w:r>
    </w:p>
    <w:p w:rsidR="00500724" w:rsidRDefault="00F30FB8">
      <w:pPr>
        <w:pStyle w:val="Zkladntext30"/>
        <w:shd w:val="clear" w:color="auto" w:fill="auto"/>
        <w:spacing w:line="202" w:lineRule="auto"/>
      </w:pPr>
      <w:r>
        <w:t>Do té doby, dokud český národ neztratil začátkem novověku svou politickou a státní samostatnost, ne</w:t>
      </w:r>
      <w:r>
        <w:softHyphen/>
        <w:t>byly politické vraždy, podniknuté s české strany a v dobrém nebo ve zlém myšlené</w:t>
      </w:r>
      <w:r>
        <w:t xml:space="preserve"> ve prospěch národa, nijakou vzácností. Byla to totiž doba, kdy se lidský život valně necenil a život vladaře nebo politika ne</w:t>
      </w:r>
      <w:r>
        <w:softHyphen/>
        <w:t>byl žádnou výjimkou. My si však chceme položit otáz</w:t>
      </w:r>
      <w:r>
        <w:softHyphen/>
        <w:t>ku, jak se dívá český národ na politickou vraždu ve svých novověkých dějinách</w:t>
      </w:r>
      <w:r>
        <w:t>. A tu učiníme překvapu</w:t>
      </w:r>
      <w:r>
        <w:softHyphen/>
        <w:t>jící objev: srovnáme-li novověké dějiny českého ná</w:t>
      </w:r>
      <w:r>
        <w:softHyphen/>
        <w:t>roda s dějinami jakéhokoliv národa jiného, uvidíme, že se v nich politická vražda téměř nevyskytuje.</w:t>
      </w:r>
    </w:p>
    <w:p w:rsidR="00500724" w:rsidRDefault="00F30FB8">
      <w:pPr>
        <w:pStyle w:val="Zkladntext30"/>
        <w:shd w:val="clear" w:color="auto" w:fill="auto"/>
        <w:spacing w:after="0" w:line="202" w:lineRule="auto"/>
      </w:pPr>
      <w:r>
        <w:t>Poslední tři století dějin českého národa začínají pověstnou pražskou defenestra</w:t>
      </w:r>
      <w:r>
        <w:t>cí. Čeští stavové, po</w:t>
      </w:r>
      <w:r>
        <w:softHyphen/>
        <w:t>bouřeni politikou císařových zástupců v Praze, do</w:t>
      </w:r>
      <w:r>
        <w:softHyphen/>
        <w:t>stavili se na Hrad a vlastnoručně vyhodili Slavatu a Martinice z oken císařské kanceláře do hradního pří</w:t>
      </w:r>
      <w:r>
        <w:softHyphen/>
        <w:t>kopu. Nebyl to ovšem ani politický atentát, ani poli</w:t>
      </w:r>
      <w:r>
        <w:softHyphen/>
        <w:t>tická vražda: jednak Slava</w:t>
      </w:r>
      <w:r>
        <w:t>ta a Martinic vyvázli živo</w:t>
      </w:r>
      <w:r>
        <w:softHyphen/>
        <w:t>tem a nepatrné úrazy nebyly jim na překážku, aby se důkladně nepomstili za čin, který byl spíše potupou než zločinem, jednak nebylo tu ani spiknutí, ani úkladné přípravy činu, neboť šlo o vzbouření, o náhlé vzplanutí vášni, o rev</w:t>
      </w:r>
      <w:r>
        <w:t>oluční čin.</w:t>
      </w:r>
    </w:p>
    <w:p w:rsidR="00500724" w:rsidRDefault="00F30FB8">
      <w:pPr>
        <w:pStyle w:val="Zkladntext30"/>
        <w:shd w:val="clear" w:color="auto" w:fill="auto"/>
        <w:spacing w:after="200" w:line="202" w:lineRule="auto"/>
      </w:pPr>
      <w:r>
        <w:t>Potom, po dobu 200 let, marně pátráme po nějakém podobném činu, marně hledáme nějakou stopu po spiknutí, po přípravě k politické vraždě. A jaká to byla doba! Ani když do Prahy vtáhla vítězná bělo</w:t>
      </w:r>
      <w:r>
        <w:softHyphen/>
        <w:t xml:space="preserve">horská vojska, ani po staroměstské popravě, ani </w:t>
      </w:r>
      <w:r>
        <w:t>po hromadných konfiskacích, ani po emigraci celé české inteligence, a konečně ani po době dlouhých let »tem- na«, za ovzduší útlaku, zoufalství a beznaděje nenašel se ani jediný blouznivec nebo romantik, který by ne</w:t>
      </w:r>
      <w:r>
        <w:softHyphen/>
        <w:t>vida jiného východiska zdvihl zbraň prot</w:t>
      </w:r>
      <w:r>
        <w:t>i nějakému představiteli potlačovatelského režimu.</w:t>
      </w:r>
    </w:p>
    <w:p w:rsidR="00500724" w:rsidRDefault="00F30FB8">
      <w:pPr>
        <w:pStyle w:val="Zkladntext30"/>
        <w:shd w:val="clear" w:color="auto" w:fill="auto"/>
        <w:spacing w:line="202" w:lineRule="auto"/>
        <w:ind w:firstLine="0"/>
      </w:pPr>
      <w:r>
        <w:t>Politická vražda, ke které nedošlo</w:t>
      </w:r>
    </w:p>
    <w:p w:rsidR="00500724" w:rsidRDefault="00F30FB8">
      <w:pPr>
        <w:pStyle w:val="Zkladntext30"/>
        <w:shd w:val="clear" w:color="auto" w:fill="auto"/>
        <w:spacing w:after="0" w:line="206" w:lineRule="auto"/>
      </w:pPr>
      <w:r>
        <w:t>Okamžik, kdy málem došlo k politické vraždě, kte</w:t>
      </w:r>
      <w:r>
        <w:softHyphen/>
        <w:t xml:space="preserve">rá by měla nedozírné následky pro celý národ, přišel teprve za revoluce r. 1848. Hrabě Lev Thun byl uvítán celou českou </w:t>
      </w:r>
      <w:r>
        <w:t>společností, když byl jmenován zemským presidentem. Tyto sympatie však brzy poklesly na bod mrazu, když se ukázalo, že je odpůrcem konsti- tučních svobod, a když se za revoluce zcela postavil za knížete Windischgrátze. Když vypukly svatodušní bouře, spěcha</w:t>
      </w:r>
      <w:r>
        <w:t>l zemský president ze své malostranské residence do Celetné ulice do budovy vojenského ve</w:t>
      </w:r>
      <w:r>
        <w:softHyphen/>
        <w:t>litelství ke knížeti Windischgrátzovi. Zemský presi</w:t>
      </w:r>
      <w:r>
        <w:softHyphen/>
        <w:t>dent ještě neměl zkušeností s revolučním hnutím, anebo si snad ani neuvědomil, oč jde, a proto se vy</w:t>
      </w:r>
      <w:r>
        <w:softHyphen/>
        <w:t xml:space="preserve">dal na cestu </w:t>
      </w:r>
      <w:r>
        <w:t>pěšky a sám, bez doprovodu. Cesta bylá zatarasena barikádami, které v pražském Starém městě postavili studenti. Hraběti nezbylo, než bari</w:t>
      </w:r>
      <w:r>
        <w:softHyphen/>
        <w:t>kády přelézat. Když tak šťastně překonal několik pře</w:t>
      </w:r>
      <w:r>
        <w:softHyphen/>
        <w:t>kážek, octl se najednou na barikádě u Klementina tváří v tvář ozb</w:t>
      </w:r>
      <w:r>
        <w:t>rojeným studentům, kteří zemského presidenta zatkli a uvěznili v Klementinu. Nebyl mu ovšem ani zkřiven vlásek na hlavě, byla mu v poslu</w:t>
      </w:r>
      <w:r>
        <w:softHyphen/>
        <w:t>chárně připravena postel, nabídnuto jídlo z restaura</w:t>
      </w:r>
      <w:r>
        <w:softHyphen/>
        <w:t>ce, knihy pro kratochvíli. Vůdcové studentstva, Slad</w:t>
      </w:r>
      <w:r>
        <w:softHyphen/>
        <w:t>kovský a mlad</w:t>
      </w:r>
      <w:r>
        <w:t>ý Frič, byli ochotni svého vězně pro</w:t>
      </w:r>
      <w:r>
        <w:softHyphen/>
        <w:t>pustit, zaváže-li se, že se přičiní o odvolání Windisch</w:t>
      </w:r>
      <w:r>
        <w:softHyphen/>
        <w:t>grátze z Prahy a o vyklizení Prahy císařským voj</w:t>
      </w:r>
      <w:r>
        <w:softHyphen/>
        <w:t>skem. Podle osvědčené zásady »s rebely se nevyjed- nává« hrabě Thun tuto nabídku odmítl.</w:t>
      </w:r>
    </w:p>
    <w:p w:rsidR="00500724" w:rsidRDefault="00F30FB8">
      <w:pPr>
        <w:pStyle w:val="Zkladntext30"/>
        <w:shd w:val="clear" w:color="auto" w:fill="auto"/>
        <w:spacing w:after="200" w:line="204" w:lineRule="auto"/>
        <w:ind w:firstLine="240"/>
      </w:pPr>
      <w:r>
        <w:t>A tu přišli do Klementina</w:t>
      </w:r>
      <w:r>
        <w:t xml:space="preserve"> Palacký a Havlíček, aby vymohli bezpodmínečné propuštění zemského presi</w:t>
      </w:r>
      <w:r>
        <w:softHyphen/>
        <w:t>denta. Chtěli takto smírně vyřídit konflikt mezi voj</w:t>
      </w:r>
      <w:r>
        <w:softHyphen/>
        <w:t>skem a pražským lidem a znemožnit další krveprolití, Palacký řečnil k shromážděným ozbrojeným studen</w:t>
      </w:r>
      <w:r>
        <w:softHyphen/>
        <w:t>tům. Ze začátku mamě. Student</w:t>
      </w:r>
      <w:r>
        <w:t>i byli neoblomní a nechtěli propustit svého rukojmí. Pokusy pohnout k ústupnosti Thuna rovněž ztroskotaly. Až konečně právník Sladkovský podlehl právnické argumentaci:! zůstane-li Thun v zajetí, převezme WindischgráfcJ i civilní správu. Studenti svolili, a</w:t>
      </w:r>
      <w:r>
        <w:t xml:space="preserve">by si Palacký </w:t>
      </w:r>
      <w:r>
        <w:rPr>
          <w:b/>
          <w:bCs/>
          <w:sz w:val="26"/>
          <w:szCs w:val="26"/>
        </w:rPr>
        <w:t xml:space="preserve">a </w:t>
      </w:r>
      <w:r>
        <w:t>Havlíček Thuna z Klementina odvedli. Jen osmnácti</w:t>
      </w:r>
      <w:r>
        <w:softHyphen/>
        <w:t xml:space="preserve">letý </w:t>
      </w:r>
      <w:r>
        <w:rPr>
          <w:lang w:val="en-US" w:eastAsia="en-US" w:bidi="en-US"/>
        </w:rPr>
        <w:t xml:space="preserve">J. </w:t>
      </w:r>
      <w:r>
        <w:t>V. Frič neznal kompromisů. Shromáždil stu</w:t>
      </w:r>
      <w:r>
        <w:softHyphen/>
        <w:t>dentskou četu a zuře vzteky na konservativního Pa</w:t>
      </w:r>
      <w:r>
        <w:softHyphen/>
        <w:t>lackého obsadil chodbu. Otevřely se dveře Thunova' vězení, na prahu se objevil hrabě opíra</w:t>
      </w:r>
      <w:r>
        <w:t>je se s jedné strany o Palackého, s druhé o Havlíčka. Mezi politiky a studentskou četou bylo jen schodiště. Frič zavelel: »K líci zbraň!« Ještě chvíle — a salva z pušek revo</w:t>
      </w:r>
      <w:r>
        <w:softHyphen/>
        <w:t>lucionářů by skončila životy zemského presidenta, největšího českého historika a n</w:t>
      </w:r>
      <w:r>
        <w:t>ejvětšího českého žur</w:t>
      </w:r>
      <w:r>
        <w:softHyphen/>
        <w:t>nalisty. A není pochyby: kdyby byl na místě Fričově revolucionář jiného národa, že by ke katastrofě došlo. Ale dole u schodiště velel revolucionářům mladý čes</w:t>
      </w:r>
      <w:r>
        <w:softHyphen/>
        <w:t xml:space="preserve">ký student, který nemohl vydržet upřeného pohledu Palackého, muže, kterého </w:t>
      </w:r>
      <w:r>
        <w:t>znal a ctil od malička. Ně</w:t>
      </w:r>
      <w:r>
        <w:softHyphen/>
        <w:t>kolik vteřin, které se jim patrně zdály věčnosti, stáli tři muži nahoře — a studentská četa s namířenými zbraněmi dole. Až se Frič otočil, rozčileně odhodil zbraň a vzlykaje prchl z Klementina. Studenti sé rozestoupili. Cesta z K</w:t>
      </w:r>
      <w:r>
        <w:t>lementina byla volná,</w:t>
      </w:r>
    </w:p>
    <w:p w:rsidR="00500724" w:rsidRDefault="00F30FB8">
      <w:pPr>
        <w:pStyle w:val="Zkladntext1"/>
        <w:shd w:val="clear" w:color="auto" w:fill="auto"/>
        <w:spacing w:after="120"/>
        <w:ind w:firstLine="0"/>
        <w:jc w:val="right"/>
      </w:pPr>
      <w:r>
        <w:rPr>
          <w:b/>
          <w:bCs/>
          <w:i/>
          <w:iCs/>
        </w:rPr>
        <w:t>m</w:t>
      </w:r>
    </w:p>
    <w:p w:rsidR="00500724" w:rsidRDefault="00F30FB8">
      <w:pPr>
        <w:pStyle w:val="Zkladntext30"/>
        <w:shd w:val="clear" w:color="auto" w:fill="auto"/>
        <w:spacing w:line="168" w:lineRule="auto"/>
        <w:ind w:firstLine="0"/>
        <w:jc w:val="center"/>
      </w:pPr>
      <w:r>
        <w:rPr>
          <w:lang w:val="en-US" w:eastAsia="en-US" w:bidi="en-US"/>
        </w:rPr>
        <w:t xml:space="preserve">Rudolf </w:t>
      </w:r>
      <w:r>
        <w:t>Mrva</w:t>
      </w:r>
    </w:p>
    <w:p w:rsidR="00500724" w:rsidRDefault="00F30FB8">
      <w:pPr>
        <w:pStyle w:val="Zkladntext30"/>
        <w:shd w:val="clear" w:color="auto" w:fill="auto"/>
        <w:spacing w:line="202" w:lineRule="auto"/>
        <w:ind w:firstLine="240"/>
      </w:pPr>
      <w:r>
        <w:t>A zase uplynulo téměř půl století. Bylo to údobí re</w:t>
      </w:r>
      <w:r>
        <w:softHyphen/>
        <w:t>akce, potlačování všeho českého, údobí vášnivých po</w:t>
      </w:r>
      <w:r>
        <w:softHyphen/>
        <w:t>litických bojů — a zase nenapadlo ani jediného Če</w:t>
      </w:r>
      <w:r>
        <w:softHyphen/>
        <w:t>cha, aby podnikl nějaký atentát na představitele ne</w:t>
      </w:r>
      <w:r>
        <w:softHyphen/>
        <w:t>náviděné rakou</w:t>
      </w:r>
      <w:r>
        <w:t>ské vlády. Ani v době nejvášnivějších národnostních bojů nedošlo k politické vraždě. Ko naly se demonstrace, lidé byli zavíráni, tříštily se okenní tabule, strhávaly se tabulky, tu a tam padla facka — a nikdy při tom netekla proviněním českým lidská krev.</w:t>
      </w:r>
    </w:p>
    <w:p w:rsidR="00500724" w:rsidRDefault="00F30FB8">
      <w:pPr>
        <w:pStyle w:val="Zkladntext30"/>
        <w:numPr>
          <w:ilvl w:val="0"/>
          <w:numId w:val="74"/>
        </w:numPr>
        <w:shd w:val="clear" w:color="auto" w:fill="auto"/>
        <w:tabs>
          <w:tab w:val="left" w:pos="620"/>
        </w:tabs>
        <w:spacing w:line="202" w:lineRule="auto"/>
        <w:ind w:firstLine="240"/>
      </w:pPr>
      <w:r>
        <w:t xml:space="preserve">prosince 1893 v noci byl zavražděn v Praze hrbatý rukavičkář Rudolf Mrva, spiklenec a policejní agent-provokatér, muž, jehož jméno se od té doby stalo jménem obecným pro pojem zrádce a špeha. Tuto vraždu předcházely bouřlivé demonstrace v Praze, kdy se na </w:t>
      </w:r>
      <w:r>
        <w:t>pomník císaře Františka zavěsil provaz, kdy se znemožnil koncert na počest císařových naro</w:t>
      </w:r>
      <w:r>
        <w:softHyphen/>
        <w:t>zenin, demonstrace, které skončily vyhlášením výji</w:t>
      </w:r>
      <w:r>
        <w:softHyphen/>
        <w:t>mečného stavu, zatýkáním studentské a dělnické mlá</w:t>
      </w:r>
      <w:r>
        <w:softHyphen/>
        <w:t>deže a přípravou velkého politického procesu proti Omladině. Ob</w:t>
      </w:r>
      <w:r>
        <w:t>žaloba proti Omladině byla vypracová</w:t>
      </w:r>
      <w:r>
        <w:softHyphen/>
        <w:t>na na základě výpovědí provokatéra Mrvy, jenž po</w:t>
      </w:r>
      <w:r>
        <w:softHyphen/>
        <w:t>licii vybásnil existenci spiklenecké organisace »Pod- zemní Praha«. Den po vraždě napsala úřední »Prager Zeitung«:</w:t>
      </w:r>
    </w:p>
    <w:p w:rsidR="00500724" w:rsidRDefault="00F30FB8">
      <w:pPr>
        <w:pStyle w:val="Zkladntext30"/>
        <w:shd w:val="clear" w:color="auto" w:fill="auto"/>
        <w:spacing w:line="199" w:lineRule="auto"/>
        <w:ind w:firstLine="240"/>
        <w:rPr>
          <w:sz w:val="20"/>
          <w:szCs w:val="20"/>
        </w:rPr>
      </w:pPr>
      <w:r>
        <w:rPr>
          <w:sz w:val="20"/>
          <w:szCs w:val="20"/>
        </w:rPr>
        <w:t>»Na paličské řeči (českých poslanců) ve Vídni proslo</w:t>
      </w:r>
      <w:r>
        <w:rPr>
          <w:sz w:val="20"/>
          <w:szCs w:val="20"/>
        </w:rPr>
        <w:softHyphen/>
        <w:t>ve</w:t>
      </w:r>
      <w:r>
        <w:rPr>
          <w:sz w:val="20"/>
          <w:szCs w:val="20"/>
        </w:rPr>
        <w:t>né následoval nejhanebnější krvavý čin, úkladná a záro</w:t>
      </w:r>
      <w:r>
        <w:rPr>
          <w:sz w:val="20"/>
          <w:szCs w:val="20"/>
        </w:rPr>
        <w:softHyphen/>
        <w:t>veň politická vražda v Čechách. Souvislost mezi těmito paličskými řečmi a tímto krvavým činem vysvítá nad po</w:t>
      </w:r>
      <w:r>
        <w:rPr>
          <w:sz w:val="20"/>
          <w:szCs w:val="20"/>
        </w:rPr>
        <w:softHyphen/>
        <w:t>chybnost z přiznání vrahů.«</w:t>
      </w:r>
    </w:p>
    <w:p w:rsidR="00500724" w:rsidRDefault="00F30FB8">
      <w:pPr>
        <w:pStyle w:val="Zkladntext30"/>
        <w:shd w:val="clear" w:color="auto" w:fill="auto"/>
        <w:spacing w:line="199" w:lineRule="auto"/>
        <w:ind w:firstLine="240"/>
      </w:pPr>
      <w:r>
        <w:t>Těmito slovy byla dána vina na vraždě celému českému národu a je</w:t>
      </w:r>
      <w:r>
        <w:t>ho politickému zastoupení ve sněmovně. Na obvinění odpověděl ve sněmovně posla</w:t>
      </w:r>
      <w:r>
        <w:softHyphen/>
        <w:t xml:space="preserve">nec dr. </w:t>
      </w:r>
      <w:r>
        <w:rPr>
          <w:lang w:val="en-US" w:eastAsia="en-US" w:bidi="en-US"/>
        </w:rPr>
        <w:t xml:space="preserve">Engel </w:t>
      </w:r>
      <w:r>
        <w:t>dne 29. prosince:</w:t>
      </w:r>
    </w:p>
    <w:p w:rsidR="00500724" w:rsidRDefault="00F30FB8">
      <w:pPr>
        <w:pStyle w:val="Zkladntext30"/>
        <w:shd w:val="clear" w:color="auto" w:fill="auto"/>
        <w:spacing w:line="185" w:lineRule="auto"/>
        <w:ind w:firstLine="240"/>
        <w:rPr>
          <w:sz w:val="20"/>
          <w:szCs w:val="20"/>
        </w:rPr>
      </w:pPr>
      <w:r>
        <w:rPr>
          <w:sz w:val="20"/>
          <w:szCs w:val="20"/>
        </w:rPr>
        <w:t>^Následkem události, která s politickými snahami našimi nemá spojitosti naprosto žádné, stali se poslancové českého lidu předmětem útoků, jejichž</w:t>
      </w:r>
      <w:r>
        <w:rPr>
          <w:sz w:val="20"/>
          <w:szCs w:val="20"/>
        </w:rPr>
        <w:t xml:space="preserve"> mrzkost a prolhanost těžko by sobě rovných n&amp;šly... Nemáme věru příčiny, abychom se snad hájili proti podobným nízkostem, jež nás a našeho svědomí ani dotknouti se nemohou, ale činíme toto prohlá</w:t>
      </w:r>
      <w:r>
        <w:rPr>
          <w:sz w:val="20"/>
          <w:szCs w:val="20"/>
        </w:rPr>
        <w:softHyphen/>
        <w:t>šení, abychom onen zlovolný úmysl po zásluze eharakteri- so</w:t>
      </w:r>
      <w:r>
        <w:rPr>
          <w:sz w:val="20"/>
          <w:szCs w:val="20"/>
        </w:rPr>
        <w:t>vali. Pokud máme účast ve vychovávání své mládeže a ve vychovávání svého lidu, vychováváme jej v nejpoctivějších tradicích pravé vlastenecké lásky, českého národního sebe</w:t>
      </w:r>
      <w:r>
        <w:rPr>
          <w:sz w:val="20"/>
          <w:szCs w:val="20"/>
        </w:rPr>
        <w:softHyphen/>
        <w:t>vědomí a šlechetné lidskosti... Když sveřeposti politických odpůrců se to hodí, tu dr</w:t>
      </w:r>
      <w:r>
        <w:rPr>
          <w:sz w:val="20"/>
          <w:szCs w:val="20"/>
        </w:rPr>
        <w:t>že falšují pravdu... Opravdovost českého národního hnuti jim překáží, proto chtěji co nej</w:t>
      </w:r>
      <w:r>
        <w:rPr>
          <w:sz w:val="20"/>
          <w:szCs w:val="20"/>
        </w:rPr>
        <w:softHyphen/>
        <w:t>hůře ji diskreditovat a plni nenávistné zloby chytrácky o to se snaží, aby předstíráním klamné souvislosti toto naše hnutí mohlo býti prohlašováno za podvratné. My vš</w:t>
      </w:r>
      <w:r>
        <w:rPr>
          <w:sz w:val="20"/>
          <w:szCs w:val="20"/>
        </w:rPr>
        <w:t>ak na</w:t>
      </w:r>
      <w:r>
        <w:rPr>
          <w:sz w:val="20"/>
          <w:szCs w:val="20"/>
        </w:rPr>
        <w:softHyphen/>
        <w:t>opak veškeru vinu za tyto rozčilující zjevy v českém národě i dnes i pro budoucnost právem svalujeme na ty, kteří svou zvrácenou a provokační politikou lid český neustávají dráž</w:t>
      </w:r>
      <w:r>
        <w:rPr>
          <w:sz w:val="20"/>
          <w:szCs w:val="20"/>
        </w:rPr>
        <w:softHyphen/>
        <w:t>dit!. Ona nenávist, kterou lid náš zdravým spolehlivým instinktem svým d</w:t>
      </w:r>
      <w:r>
        <w:rPr>
          <w:sz w:val="20"/>
          <w:szCs w:val="20"/>
        </w:rPr>
        <w:t>okonale vyciťuje, ona to jest, jež snahy naše vykládá způsobem naprosto lživým, ona to jest, jež utajováním a překrucováním pravdy na všech stranách hledí vzbuditi nám nepřátelství, ona to jest, jež jméno české v cizině hanobí. Ale jako každé zlo, bohudíky</w:t>
      </w:r>
      <w:r>
        <w:rPr>
          <w:sz w:val="20"/>
          <w:szCs w:val="20"/>
        </w:rPr>
        <w:t>, konečně samo se hubí, rovněž ona to jest, jež poutem stejným vždy úžeji a úžeji nás k sobě víže, ona to jest, jež tim pevněji a bratr</w:t>
      </w:r>
      <w:r>
        <w:rPr>
          <w:sz w:val="20"/>
          <w:szCs w:val="20"/>
        </w:rPr>
        <w:softHyphen/>
        <w:t>štěji tisknouti nám velí právě ruce těch mužů mezi námi, na které bylo kydáno hany nejvíce, ona to jest, jež silou eleme</w:t>
      </w:r>
      <w:r>
        <w:rPr>
          <w:sz w:val="20"/>
          <w:szCs w:val="20"/>
        </w:rPr>
        <w:t>ntární sráží nás v jediný mohutný šik, o jehož neroz- bomost všecko to liché úsilí žalostně ztroskotá. Ano, pravím to ještě jednou, my jsme strana silná, silná vědomím svého práva, silná důvěrou svého lidu, silná láskou k vlasti své a vírou v lepši budoucn</w:t>
      </w:r>
      <w:r>
        <w:rPr>
          <w:sz w:val="20"/>
          <w:szCs w:val="20"/>
        </w:rPr>
        <w:t>ost Pronásledováním, hnětením a utiskováním otázka česká ze světa nezmizí, protože otázka česká není otázkou jenom rakouskou, nýbrž má význam dalekosáhlý též pro celou Evropu.«</w:t>
      </w:r>
    </w:p>
    <w:p w:rsidR="00500724" w:rsidRDefault="00F30FB8">
      <w:pPr>
        <w:pStyle w:val="Zkladntext30"/>
        <w:shd w:val="clear" w:color="auto" w:fill="auto"/>
        <w:spacing w:line="202" w:lineRule="auto"/>
        <w:ind w:firstLine="240"/>
      </w:pPr>
      <w:r>
        <w:t xml:space="preserve">Proces s Omladináři vynesl 68 obžalovaným celkem </w:t>
      </w:r>
      <w:r>
        <w:rPr>
          <w:b/>
          <w:bCs/>
        </w:rPr>
        <w:t xml:space="preserve">96 </w:t>
      </w:r>
      <w:r>
        <w:t xml:space="preserve">let žaláře. Ale problém </w:t>
      </w:r>
      <w:r>
        <w:t>přípustnosti politické vraž</w:t>
      </w:r>
      <w:r>
        <w:softHyphen/>
        <w:t xml:space="preserve">dy, ba problém násilí vůbec a násilné revoluce ještě, dlouho potom zaměstnával českou politickou mysl. </w:t>
      </w:r>
      <w:r>
        <w:rPr>
          <w:b/>
          <w:bCs/>
        </w:rPr>
        <w:t xml:space="preserve">T. G. </w:t>
      </w:r>
      <w:r>
        <w:t>Masaryk téměř celou svou předválečnou činnost zasvětil hlásání zásad humanismu v české politice a zejména zamítal polit</w:t>
      </w:r>
      <w:r>
        <w:t>ické násilí, a především politické vraždy. Celá »Česká otázka a naše nynější krise« jed</w:t>
      </w:r>
      <w:r>
        <w:softHyphen/>
        <w:t>ná hlavně o tomto problému.</w:t>
      </w:r>
    </w:p>
    <w:p w:rsidR="00500724" w:rsidRDefault="00F30FB8">
      <w:pPr>
        <w:pStyle w:val="Zkladntext30"/>
        <w:shd w:val="clear" w:color="auto" w:fill="auto"/>
        <w:spacing w:after="120" w:line="182" w:lineRule="auto"/>
        <w:ind w:firstLine="240"/>
      </w:pPr>
      <w:r>
        <w:rPr>
          <w:sz w:val="20"/>
          <w:szCs w:val="20"/>
        </w:rPr>
        <w:t xml:space="preserve">»Já si nemohu pomoci a musím konec konců vždy dojít k tomuto závěru: jestliže bych směl znásilňovat já, proč by, nesměl znásilňovat Džingischán, Napoleon, policajt, X, Y, lump a nepracující zákeřnik? </w:t>
      </w:r>
      <w:r>
        <w:rPr>
          <w:sz w:val="20"/>
          <w:szCs w:val="20"/>
          <w:lang w:val="en-US" w:eastAsia="en-US" w:bidi="en-US"/>
        </w:rPr>
        <w:t xml:space="preserve">Raskolnikov </w:t>
      </w:r>
      <w:r>
        <w:rPr>
          <w:sz w:val="20"/>
          <w:szCs w:val="20"/>
        </w:rPr>
        <w:t xml:space="preserve">v »Zločinu </w:t>
      </w:r>
      <w:r>
        <w:t xml:space="preserve">a </w:t>
      </w:r>
      <w:r>
        <w:rPr>
          <w:sz w:val="20"/>
          <w:szCs w:val="20"/>
        </w:rPr>
        <w:t>trestu« filosofuje ovšem opačně</w:t>
      </w:r>
      <w:r>
        <w:rPr>
          <w:sz w:val="20"/>
          <w:szCs w:val="20"/>
        </w:rPr>
        <w:t xml:space="preserve">: Napoleon zabíjel, proč by nemohl zabít </w:t>
      </w:r>
      <w:r>
        <w:rPr>
          <w:sz w:val="20"/>
          <w:szCs w:val="20"/>
          <w:lang w:val="en-US" w:eastAsia="en-US" w:bidi="en-US"/>
        </w:rPr>
        <w:t xml:space="preserve">Raskolnikov? </w:t>
      </w:r>
      <w:r>
        <w:rPr>
          <w:sz w:val="20"/>
          <w:szCs w:val="20"/>
        </w:rPr>
        <w:t xml:space="preserve">Avšak tu právě je osudný Mam </w:t>
      </w:r>
      <w:r>
        <w:t xml:space="preserve">a </w:t>
      </w:r>
      <w:r>
        <w:rPr>
          <w:sz w:val="20"/>
          <w:szCs w:val="20"/>
        </w:rPr>
        <w:t>omyl — neběží o to, co Napoleon dělal a co dělají Napo</w:t>
      </w:r>
      <w:r>
        <w:rPr>
          <w:sz w:val="20"/>
          <w:szCs w:val="20"/>
        </w:rPr>
        <w:softHyphen/>
        <w:t xml:space="preserve">leonové teď, nýbrž o to běží, co mám a smím dělat já! Jestliže já, </w:t>
      </w:r>
      <w:r>
        <w:rPr>
          <w:sz w:val="20"/>
          <w:szCs w:val="20"/>
          <w:lang w:val="en-US" w:eastAsia="en-US" w:bidi="en-US"/>
        </w:rPr>
        <w:t xml:space="preserve">Raskolnikov, </w:t>
      </w:r>
      <w:r>
        <w:rPr>
          <w:sz w:val="20"/>
          <w:szCs w:val="20"/>
        </w:rPr>
        <w:t>smím znásilnit, dokonce zabít — proč</w:t>
      </w:r>
      <w:r>
        <w:rPr>
          <w:sz w:val="20"/>
          <w:szCs w:val="20"/>
        </w:rPr>
        <w:t xml:space="preserve"> by nesměl znásilnit Napoleon — tak zní problém můj, tvůj, a každého. To jest: jednání cizí nemůže být samo sebou ospravedlněním jednání nesprávného,« </w:t>
      </w:r>
      <w:r>
        <w:t>psal Masaryk v »Naší nynější krisi«, a ještě mnoho ji</w:t>
      </w:r>
      <w:r>
        <w:softHyphen/>
        <w:t>ných kapitol zasvětil odmítání planého mučednictví,</w:t>
      </w:r>
      <w:r>
        <w:t>, »revolučního šosáctvk a násilnického hrdinství.</w:t>
      </w:r>
    </w:p>
    <w:p w:rsidR="00500724" w:rsidRDefault="00F30FB8">
      <w:pPr>
        <w:pStyle w:val="Nadpis110"/>
        <w:shd w:val="clear" w:color="auto" w:fill="auto"/>
        <w:spacing w:after="40" w:line="173" w:lineRule="auto"/>
        <w:jc w:val="center"/>
      </w:pPr>
      <w:bookmarkStart w:id="622" w:name="bookmark621"/>
      <w:r>
        <w:rPr>
          <w:rFonts w:ascii="Times New Roman" w:eastAsia="Times New Roman" w:hAnsi="Times New Roman" w:cs="Times New Roman"/>
        </w:rPr>
        <w:t>Jediný politický atentát</w:t>
      </w:r>
      <w:bookmarkEnd w:id="622"/>
    </w:p>
    <w:p w:rsidR="00500724" w:rsidRDefault="00F30FB8">
      <w:pPr>
        <w:pStyle w:val="Zkladntext30"/>
        <w:shd w:val="clear" w:color="auto" w:fill="auto"/>
        <w:spacing w:line="204" w:lineRule="auto"/>
        <w:ind w:firstLine="240"/>
      </w:pPr>
      <w:r>
        <w:t>A zase uplynulo třicet let, plných vášnivých politic</w:t>
      </w:r>
      <w:r>
        <w:softHyphen/>
        <w:t>kých bojů. Byla to doba bojů za hlasovací právo, doba velkých stávek, doba rozhořčených národnostních půtek, a konečně doba vále</w:t>
      </w:r>
      <w:r>
        <w:t>čného běsnění. A zase ani jednou, ani tehdy, kdy vášně bujely nejhrozivěji, kdy zarputilost byla největší a zoufalost všeobecná — nikdy v těchto bouřlivých třiceti letech nedošlo k po</w:t>
      </w:r>
      <w:r>
        <w:softHyphen/>
        <w:t>litickému atentátu, jehož iniciátorem nebo účastní</w:t>
      </w:r>
      <w:r>
        <w:softHyphen/>
        <w:t>kem by byl Cech.</w:t>
      </w:r>
    </w:p>
    <w:p w:rsidR="00500724" w:rsidRDefault="00F30FB8">
      <w:pPr>
        <w:pStyle w:val="Zkladntext30"/>
        <w:shd w:val="clear" w:color="auto" w:fill="auto"/>
        <w:spacing w:line="204" w:lineRule="auto"/>
        <w:ind w:firstLine="240"/>
      </w:pPr>
      <w:r>
        <w:t>Až 5</w:t>
      </w:r>
      <w:r>
        <w:t xml:space="preserve">. ledna 1923 byl zavražděn před svým bytem </w:t>
      </w:r>
      <w:r>
        <w:rPr>
          <w:b/>
          <w:bCs/>
        </w:rPr>
        <w:t xml:space="preserve">v </w:t>
      </w:r>
      <w:r>
        <w:t>Žitné ulici první československý ministr financí dr. Alois Rašín. Vrahem byl devatenáctiletý úředník šoupal. Přímočarý, ve slovech nevybíravý, za svým cílem nesmlouvavě kráčející politik se stal obětí mladí</w:t>
      </w:r>
      <w:r>
        <w:softHyphen/>
        <w:t xml:space="preserve">ka, </w:t>
      </w:r>
      <w:r>
        <w:t>jenž myslil, že toto je nejvhodnější cesta k pro</w:t>
      </w:r>
      <w:r>
        <w:softHyphen/>
        <w:t>testu proti snižování životní úrovně a proti bezohled</w:t>
      </w:r>
      <w:r>
        <w:softHyphen/>
        <w:t>ně prováděné finanční reformě. Byl to, právě tak jako na štěstí nepodařený atentát na dr. Karla Kramáře před čtyřmi lety, čin jednotlivcův, čin, který od</w:t>
      </w:r>
      <w:r>
        <w:t>sou</w:t>
      </w:r>
      <w:r>
        <w:softHyphen/>
        <w:t xml:space="preserve">dily všechny politické směry ve státě. Dr. Karel Hoch, nadšený ctitel a straník zavražděného ministra, autor monografické apotheosy o něm, zajisté by neopominul obvinit nějaký politický směr, kdyby byl odpověden za tento zločin. Takto osvětluje pozadí </w:t>
      </w:r>
      <w:r>
        <w:t>zločinu:</w:t>
      </w:r>
    </w:p>
    <w:p w:rsidR="00500724" w:rsidRDefault="00F30FB8">
      <w:pPr>
        <w:pStyle w:val="Zkladntext30"/>
        <w:shd w:val="clear" w:color="auto" w:fill="auto"/>
        <w:spacing w:after="60" w:line="178" w:lineRule="auto"/>
        <w:ind w:firstLine="240"/>
        <w:rPr>
          <w:sz w:val="20"/>
          <w:szCs w:val="20"/>
        </w:rPr>
      </w:pPr>
      <w:r>
        <w:rPr>
          <w:sz w:val="20"/>
          <w:szCs w:val="20"/>
        </w:rPr>
        <w:t>» Vývoj se přelomil. Je konec nadějí na přímou, rychlou cestu k osvobození proletariátu, k ovládnutí státu a hospo</w:t>
      </w:r>
      <w:r>
        <w:rPr>
          <w:sz w:val="20"/>
          <w:szCs w:val="20"/>
        </w:rPr>
        <w:softHyphen/>
        <w:t>dářství a k novému světu, po němž dychtí nedočkavá mlá</w:t>
      </w:r>
      <w:r>
        <w:rPr>
          <w:sz w:val="20"/>
          <w:szCs w:val="20"/>
        </w:rPr>
        <w:softHyphen/>
        <w:t xml:space="preserve">dež, které po velkých sociálních impulsech války a prvních dvou let nové éry </w:t>
      </w:r>
      <w:r>
        <w:rPr>
          <w:sz w:val="20"/>
          <w:szCs w:val="20"/>
        </w:rPr>
        <w:t>bylo předčasně zažiti takové zklamání. Jde do mužnosti, přibývá jí sebevědomí a síly — ale kolem vidí proces opačný, prohranou taktiku, prohraný puč, pro</w:t>
      </w:r>
      <w:r>
        <w:rPr>
          <w:sz w:val="20"/>
          <w:szCs w:val="20"/>
        </w:rPr>
        <w:softHyphen/>
        <w:t xml:space="preserve">hrávané stávky, snižování platů, a všecko krotne, mimi se, dobrovolně i z donucení, couvá, společnost </w:t>
      </w:r>
      <w:r>
        <w:rPr>
          <w:sz w:val="20"/>
          <w:szCs w:val="20"/>
        </w:rPr>
        <w:t>se obloukem vrací, kde již byla, do kolejí málo odchýlených, dosavadní změny se upevňují, ale na nové není jinak vyhlídek než cestou trpělivého posičního zápasu, který se ohlíží nejenom na sílu třídního protivníka, nýbrž i na to, co vskutku unese stát — te</w:t>
      </w:r>
      <w:r>
        <w:rPr>
          <w:sz w:val="20"/>
          <w:szCs w:val="20"/>
        </w:rPr>
        <w:t>n buržoasní stát, jenž právě v nejpodstatnějším nepovolil! Reakce proti válečnému běsnění a vraždění a proti bídě prvních let mění se v reakci proti selhání tříd</w:t>
      </w:r>
      <w:r>
        <w:rPr>
          <w:sz w:val="20"/>
          <w:szCs w:val="20"/>
        </w:rPr>
        <w:softHyphen/>
        <w:t xml:space="preserve">ních ideálů — ale s úzkostí cítí, že se ocitá, mimo </w:t>
      </w:r>
      <w:r>
        <w:rPr>
          <w:i/>
          <w:iCs/>
          <w:sz w:val="20"/>
          <w:szCs w:val="20"/>
        </w:rPr>
        <w:t>vše.</w:t>
      </w:r>
      <w:r>
        <w:rPr>
          <w:sz w:val="20"/>
          <w:szCs w:val="20"/>
        </w:rPr>
        <w:t xml:space="preserve"> Ne</w:t>
      </w:r>
      <w:r>
        <w:rPr>
          <w:sz w:val="20"/>
          <w:szCs w:val="20"/>
        </w:rPr>
        <w:softHyphen/>
        <w:t>nalézá jíž ukojení ani v nejlevějš</w:t>
      </w:r>
      <w:r>
        <w:rPr>
          <w:sz w:val="20"/>
          <w:szCs w:val="20"/>
        </w:rPr>
        <w:t>í, nejbojovnější straně, která deklamuje, bouří dále, ale konec konců také jen po</w:t>
      </w:r>
      <w:r>
        <w:rPr>
          <w:sz w:val="20"/>
          <w:szCs w:val="20"/>
        </w:rPr>
        <w:softHyphen/>
        <w:t xml:space="preserve">čítá hlasy, mysticky věří v masu — ale nejedná. Už zbývá jen jediný krok — a ten již vede nejen mimo vládnoucí řád, také mimo existující politické útvary, vede k činu, který </w:t>
      </w:r>
      <w:r>
        <w:rPr>
          <w:sz w:val="20"/>
          <w:szCs w:val="20"/>
        </w:rPr>
        <w:t xml:space="preserve">odmítá i strana komunistická, jíž má posloužitl, neboť </w:t>
      </w:r>
      <w:r>
        <w:t xml:space="preserve">1 </w:t>
      </w:r>
      <w:r>
        <w:rPr>
          <w:sz w:val="20"/>
          <w:szCs w:val="20"/>
        </w:rPr>
        <w:t xml:space="preserve">v </w:t>
      </w:r>
      <w:r>
        <w:t xml:space="preserve">nl </w:t>
      </w:r>
      <w:r>
        <w:rPr>
          <w:sz w:val="20"/>
          <w:szCs w:val="20"/>
        </w:rPr>
        <w:t>zni dále sociálně-demokratická minulost, vládne idol orga</w:t>
      </w:r>
      <w:r>
        <w:rPr>
          <w:sz w:val="20"/>
          <w:szCs w:val="20"/>
        </w:rPr>
        <w:softHyphen/>
        <w:t>nisace, počítání stoupenců a hlasů a uspávající naděje v po</w:t>
      </w:r>
      <w:r>
        <w:rPr>
          <w:sz w:val="20"/>
          <w:szCs w:val="20"/>
        </w:rPr>
        <w:softHyphen/>
        <w:t xml:space="preserve">malý, bezpečný, neodvratný vzrůst až k ovládnutí státu. </w:t>
      </w:r>
      <w:r>
        <w:rPr>
          <w:rFonts w:ascii="Arial" w:eastAsia="Arial" w:hAnsi="Arial" w:cs="Arial"/>
          <w:sz w:val="17"/>
          <w:szCs w:val="17"/>
        </w:rPr>
        <w:t xml:space="preserve">Už </w:t>
      </w:r>
      <w:r>
        <w:rPr>
          <w:sz w:val="20"/>
          <w:szCs w:val="20"/>
        </w:rPr>
        <w:t xml:space="preserve">zbývá jenom jiti </w:t>
      </w:r>
      <w:r>
        <w:rPr>
          <w:sz w:val="20"/>
          <w:szCs w:val="20"/>
        </w:rPr>
        <w:t>dále, pro ni, ale mimo ni, vykročit mimo vše, a protest proti třídnímu nepříteli a jeho triumfu, proti nezdaru sociální revoluce, ale i proti vlastni straně, spolu s pomstou na nejvýraznějším zástupci těch, kdo zatím zví</w:t>
      </w:r>
      <w:r>
        <w:rPr>
          <w:sz w:val="20"/>
          <w:szCs w:val="20"/>
        </w:rPr>
        <w:softHyphen/>
        <w:t>tězili, vtělit — do atentátu.</w:t>
      </w:r>
    </w:p>
    <w:p w:rsidR="00500724" w:rsidRDefault="00F30FB8">
      <w:pPr>
        <w:pStyle w:val="Zkladntext30"/>
        <w:shd w:val="clear" w:color="auto" w:fill="auto"/>
        <w:spacing w:after="100" w:line="178" w:lineRule="auto"/>
        <w:ind w:firstLine="240"/>
        <w:rPr>
          <w:sz w:val="20"/>
          <w:szCs w:val="20"/>
        </w:rPr>
      </w:pPr>
      <w:r>
        <w:rPr>
          <w:sz w:val="20"/>
          <w:szCs w:val="20"/>
        </w:rPr>
        <w:t>A ták</w:t>
      </w:r>
      <w:r>
        <w:rPr>
          <w:sz w:val="20"/>
          <w:szCs w:val="20"/>
        </w:rPr>
        <w:t xml:space="preserve"> od října, od chvíle, kdy Rašín je zase-nahoře, chystá se na něho jeden z devatenáctiletých. Nepřišel ze šachty nebo od kotle, je běloručka, akvisitér pojišťovny. Vzdělání dala dvě léta obchodní školy, impulsy noviny, brožurky a trocha lyriky, směr vývoj p</w:t>
      </w:r>
      <w:r>
        <w:rPr>
          <w:sz w:val="20"/>
          <w:szCs w:val="20"/>
        </w:rPr>
        <w:t>oměrů kolem. Byl sociálním demokra</w:t>
      </w:r>
      <w:r>
        <w:rPr>
          <w:sz w:val="20"/>
          <w:szCs w:val="20"/>
        </w:rPr>
        <w:softHyphen/>
        <w:t>tem, potom komunistou, v létě vystoupil i odtamtud, protože nepřistupovali na individuální akci. Nahoře se bojuje tuhý Zápas, korunuje se veliký plán, pracují argumenty a mo</w:t>
      </w:r>
      <w:r>
        <w:rPr>
          <w:sz w:val="20"/>
          <w:szCs w:val="20"/>
        </w:rPr>
        <w:softHyphen/>
        <w:t>hutná vůle se vtiskuje státu — dole devatenácti</w:t>
      </w:r>
      <w:r>
        <w:rPr>
          <w:sz w:val="20"/>
          <w:szCs w:val="20"/>
        </w:rPr>
        <w:t>letý si po</w:t>
      </w:r>
      <w:r>
        <w:rPr>
          <w:sz w:val="20"/>
          <w:szCs w:val="20"/>
        </w:rPr>
        <w:softHyphen/>
        <w:t>hrává s browningem a v podivném kontrastu k významu činu, k němuž se chystá, bere sí zálohy na svou proslulost a žvaní o svém úmyslu s kamarády, před nimiž se cvičí ve střelbě.*</w:t>
      </w:r>
    </w:p>
    <w:p w:rsidR="00500724" w:rsidRDefault="00F30FB8">
      <w:pPr>
        <w:pStyle w:val="Zkladntext30"/>
        <w:shd w:val="clear" w:color="auto" w:fill="auto"/>
        <w:spacing w:after="60" w:line="202" w:lineRule="auto"/>
        <w:ind w:firstLine="0"/>
        <w:jc w:val="center"/>
      </w:pPr>
      <w:r>
        <w:t>»HoIubíčí povaha?«</w:t>
      </w:r>
    </w:p>
    <w:p w:rsidR="00500724" w:rsidRDefault="00F30FB8">
      <w:pPr>
        <w:pStyle w:val="Zkladntext30"/>
        <w:shd w:val="clear" w:color="auto" w:fill="auto"/>
        <w:spacing w:after="60" w:line="204" w:lineRule="auto"/>
        <w:ind w:firstLine="240"/>
      </w:pPr>
      <w:r>
        <w:t>A pak zase patnáct let — zase patnáct let politi</w:t>
      </w:r>
      <w:r>
        <w:t>c</w:t>
      </w:r>
      <w:r>
        <w:softHyphen/>
        <w:t>kých zápasů, stávek, třídních a národnostních bojů, bojů vrcholících v těžké státní krisi — atentáty se v českém národě nevyskytují. Byly sice v Praze ještě tři politické atentáty: 26. srpna 1923 zavraždění bul</w:t>
      </w:r>
      <w:r>
        <w:softHyphen/>
        <w:t>harského vyslance Daskalova, 14. října 1927</w:t>
      </w:r>
      <w:r>
        <w:t xml:space="preserve"> zavraž</w:t>
      </w:r>
      <w:r>
        <w:softHyphen/>
        <w:t>dění albánského vyslance Ceny Bega a 31. října 1928 atentát na polského konsula Lubaczewského — ale Češi s tím neměli nic společného, to si na pražské půdě vyřizovali účty cizinci.</w:t>
      </w:r>
    </w:p>
    <w:p w:rsidR="00500724" w:rsidRDefault="00F30FB8">
      <w:pPr>
        <w:pStyle w:val="Zkladntext30"/>
        <w:shd w:val="clear" w:color="auto" w:fill="auto"/>
        <w:spacing w:after="60" w:line="202" w:lineRule="auto"/>
        <w:ind w:firstLine="240"/>
      </w:pPr>
      <w:r>
        <w:t xml:space="preserve">Bilance je tedy opravdu chudá: za více než 300 let jeden jediný opravdový politický atentát na státníka </w:t>
      </w:r>
      <w:r>
        <w:rPr>
          <w:i/>
          <w:iCs/>
        </w:rPr>
        <w:t>a</w:t>
      </w:r>
      <w:r>
        <w:t xml:space="preserve"> jedno zabití policejního provokatéra. Bilance ještě chudší, uvědomíme-li si, že pouze během jediného XIX. století došlo knejvýznamnějším atentá</w:t>
      </w:r>
      <w:r>
        <w:softHyphen/>
        <w:t>tům: v</w:t>
      </w:r>
      <w:r>
        <w:t xml:space="preserve">e Francii ke třinácti (dva na Napoleona I., sedm na Ludvíka Filipa, tři na Napoleona </w:t>
      </w:r>
      <w:r>
        <w:rPr>
          <w:lang w:val="en-US" w:eastAsia="en-US" w:bidi="en-US"/>
        </w:rPr>
        <w:t xml:space="preserve">HE., </w:t>
      </w:r>
      <w:r>
        <w:t>jeden na presidenta Sadi Carnota), ve Španělsku k pěti, v Německu k pěti (tři na krále Viléma, dva na Bis</w:t>
      </w:r>
      <w:r>
        <w:softHyphen/>
        <w:t>marcka), v Anglii k šesti (na královnu Viktorii), v Rakousku</w:t>
      </w:r>
      <w:r>
        <w:t xml:space="preserve"> ke třem (na císaře Františka Josefa a na císařovnu).</w:t>
      </w:r>
    </w:p>
    <w:p w:rsidR="00500724" w:rsidRDefault="00F30FB8">
      <w:pPr>
        <w:pStyle w:val="Zkladntext30"/>
        <w:shd w:val="clear" w:color="auto" w:fill="auto"/>
        <w:spacing w:after="60" w:line="202" w:lineRule="auto"/>
        <w:ind w:firstLine="240"/>
      </w:pPr>
      <w:r>
        <w:t>A ještě jedna zajímavá věc: většina politických atentátů XIX. století a začátku století XX. byla pro</w:t>
      </w:r>
      <w:r>
        <w:softHyphen/>
        <w:t>vedena anarchisty. Nuže, v Čechách bylo jedno z nej</w:t>
      </w:r>
      <w:r>
        <w:softHyphen/>
        <w:t xml:space="preserve">silnějších anarchistických hnutí v Evropě, podle </w:t>
      </w:r>
      <w:r>
        <w:t>po</w:t>
      </w:r>
      <w:r>
        <w:softHyphen/>
        <w:t>četnosti hned za románskými zeměmi, kde anar</w:t>
      </w:r>
      <w:r>
        <w:softHyphen/>
        <w:t xml:space="preserve">chismus byl tehdy domovem. Anarchismus přišel do českých zemí už v devadesátých letech, zejména se rozšířil v severočeském uhelném revíru; roku 1904 byla v Praze založena Česká federace anarchistická, Itterá </w:t>
      </w:r>
      <w:r>
        <w:t>existovala do války. Ale český anarchismus ne</w:t>
      </w:r>
      <w:r>
        <w:softHyphen/>
        <w:t>vychoval světu ani jediného politického atentátníka. Čeští anarchisté se vyznamenávali bouřliváckými řeč</w:t>
      </w:r>
      <w:r>
        <w:softHyphen/>
        <w:t>nickými výkony, revolučními verši, a z anarchistic</w:t>
      </w:r>
      <w:r>
        <w:softHyphen/>
        <w:t>kých předáků, jimž všeobecná pověra a zčásti také vlas</w:t>
      </w:r>
      <w:r>
        <w:t>tní teorie velely skončit svůj život na barikádě nebo na popravišti, po »přímém činu«, provedeným pumou nebo revolverem, stali se s přibývajícími lety redaktoři literárních revuí, advokáti anebo dokonce ministři.</w:t>
      </w:r>
    </w:p>
    <w:p w:rsidR="00500724" w:rsidRDefault="00F30FB8">
      <w:pPr>
        <w:pStyle w:val="Zkladntext30"/>
        <w:shd w:val="clear" w:color="auto" w:fill="auto"/>
        <w:spacing w:after="0" w:line="204" w:lineRule="auto"/>
        <w:ind w:firstLine="240"/>
      </w:pPr>
      <w:r>
        <w:t>Jak je známo, výjimky potvrzují pravidlo. V</w:t>
      </w:r>
      <w:r>
        <w:t>ýjimeč</w:t>
      </w:r>
      <w:r>
        <w:softHyphen/>
        <w:t>nost politických atentátů v českém národě pouze potvr</w:t>
      </w:r>
      <w:r>
        <w:softHyphen/>
        <w:t>zuje pravidlo, že český národ jako národ odmítá každou individuální teroristickou akci. Teror a teroristické násilí ať už v jakékoli formě — spikleneckých vražd, nebo policejních vražd, nebo vraž</w:t>
      </w:r>
      <w:r>
        <w:t>d »na útěku«, nebo přípravy ^pekelných strojů* a pum — nepatří k poli</w:t>
      </w:r>
      <w:r>
        <w:softHyphen/>
        <w:t>tickým zbraním, které kdykoli používalo nějaké české politické hnutí, lhostejné ať pravé, či levé.</w:t>
      </w:r>
    </w:p>
    <w:p w:rsidR="00500724" w:rsidRDefault="00F30FB8">
      <w:pPr>
        <w:pStyle w:val="Zkladntext30"/>
        <w:shd w:val="clear" w:color="auto" w:fill="auto"/>
        <w:spacing w:after="120" w:line="204" w:lineRule="auto"/>
        <w:ind w:firstLine="240"/>
      </w:pPr>
      <w:r>
        <w:t>Čím to je? Není to naše proslulá holubičí povaha? Ta, jak známo, není nějak zvláštním č</w:t>
      </w:r>
      <w:r>
        <w:t>eským mono</w:t>
      </w:r>
      <w:r>
        <w:softHyphen/>
        <w:t>polem, nýbrž se přisuzuje sentimentálními anebo na</w:t>
      </w:r>
      <w:r>
        <w:softHyphen/>
        <w:t>opak zatrpklými misantropy Slovanům vůbec. Ale u všech ostatních Slovanů je politický atentát často používanou zbraní. Za dvě stě let ani jeden z ruských carů neskončil svůj život přirozenou smr</w:t>
      </w:r>
      <w:r>
        <w:t>tí. Počet po</w:t>
      </w:r>
      <w:r>
        <w:softHyphen/>
        <w:t>litiků v Rusku, Polsku, Srbsku a v Bulharsku za</w:t>
      </w:r>
      <w:r>
        <w:softHyphen/>
        <w:t>bitých při politickém atentátu je tak veliký, že k je</w:t>
      </w:r>
      <w:r>
        <w:softHyphen/>
        <w:t>jich výpočtu by nestačily dlouhé stránky.</w:t>
      </w:r>
    </w:p>
    <w:p w:rsidR="00500724" w:rsidRDefault="00F30FB8">
      <w:pPr>
        <w:pStyle w:val="Zkladntext30"/>
        <w:shd w:val="clear" w:color="auto" w:fill="auto"/>
        <w:spacing w:after="80" w:line="202" w:lineRule="auto"/>
        <w:ind w:firstLine="0"/>
        <w:jc w:val="center"/>
      </w:pPr>
      <w:r>
        <w:t>Český klid</w:t>
      </w:r>
    </w:p>
    <w:p w:rsidR="00500724" w:rsidRDefault="00F30FB8">
      <w:pPr>
        <w:pStyle w:val="Zkladntext30"/>
        <w:shd w:val="clear" w:color="auto" w:fill="auto"/>
        <w:spacing w:after="0" w:line="202" w:lineRule="auto"/>
        <w:ind w:firstLine="240"/>
      </w:pPr>
      <w:r>
        <w:t>Není to tedy slovanská povaha. Ale jsou to vše</w:t>
      </w:r>
      <w:r>
        <w:softHyphen/>
        <w:t>obecné povahové vlastnosti českého národa</w:t>
      </w:r>
      <w:r>
        <w:t>, vlast</w:t>
      </w:r>
      <w:r>
        <w:softHyphen/>
        <w:t>nosti, o nichž se hodně psalo v cizím tisku v posled</w:t>
      </w:r>
      <w:r>
        <w:softHyphen/>
        <w:t>ním roce. Zaslechl jsem nedávno větu, že srovná-li se příslovečný anglický klid s klidem, který projevil v poslední době český národ, anglický klid roz</w:t>
      </w:r>
      <w:r>
        <w:softHyphen/>
        <w:t>hodně ztratí svou příslovečnost. Je to práv</w:t>
      </w:r>
      <w:r>
        <w:t>ě tento český klid, který zabraňuje příslušníkům tohoto ná</w:t>
      </w:r>
      <w:r>
        <w:softHyphen/>
        <w:t>roda, aby sáhli po revolveru nebo po pumě, který je nutí, aby bezpodmínečně a bezvýjimečně zavrhovali zbraň individuálního teroru. Souvisí to s velkým roz</w:t>
      </w:r>
      <w:r>
        <w:softHyphen/>
        <w:t>šířením vzdělanosti v českém národě, s jeh</w:t>
      </w:r>
      <w:r>
        <w:t>o politickým realismem, s jeho odporem k frázi a ke každé póze, s jeho smyslem pro humor. Je to výsledkem staleté politické zkušenosti, která učí, že zbraň individuálního teroru nikdy nepostihuje ty, na něž je namířena, nýbrž naopak vždy ty, kteří ji zdvíh</w:t>
      </w:r>
      <w:r>
        <w:t>ají a ještě více ty, na jejichž domnělou obranu byla tato zbraň zdvi</w:t>
      </w:r>
      <w:r>
        <w:softHyphen/>
        <w:t>žena. A je to konečně výsledkem všech národních tradicí, výsledkem práce a učení všech velkých Čechů.</w:t>
      </w:r>
    </w:p>
    <w:p w:rsidR="00500724" w:rsidRDefault="00F30FB8">
      <w:pPr>
        <w:pStyle w:val="Zkladntext30"/>
        <w:shd w:val="clear" w:color="auto" w:fill="auto"/>
        <w:spacing w:after="200" w:line="223" w:lineRule="auto"/>
        <w:ind w:firstLine="0"/>
        <w:jc w:val="right"/>
        <w:rPr>
          <w:sz w:val="20"/>
          <w:szCs w:val="20"/>
        </w:rPr>
      </w:pPr>
      <w:r>
        <w:rPr>
          <w:b/>
          <w:bCs/>
          <w:i/>
          <w:iCs/>
          <w:sz w:val="20"/>
          <w:szCs w:val="20"/>
        </w:rPr>
        <w:t>V. Strnad</w:t>
      </w:r>
    </w:p>
    <w:p w:rsidR="00500724" w:rsidRDefault="00F30FB8">
      <w:pPr>
        <w:pStyle w:val="Nadpis90"/>
        <w:keepNext/>
        <w:keepLines/>
        <w:pBdr>
          <w:bottom w:val="single" w:sz="4" w:space="0" w:color="auto"/>
        </w:pBdr>
        <w:shd w:val="clear" w:color="auto" w:fill="auto"/>
        <w:spacing w:after="260"/>
      </w:pPr>
      <w:bookmarkStart w:id="623" w:name="bookmark622"/>
      <w:r>
        <w:rPr>
          <w:rFonts w:ascii="Times New Roman" w:eastAsia="Times New Roman" w:hAnsi="Times New Roman" w:cs="Times New Roman"/>
        </w:rPr>
        <w:t>poznámky</w:t>
      </w:r>
      <w:bookmarkEnd w:id="623"/>
    </w:p>
    <w:p w:rsidR="00500724" w:rsidRDefault="00F30FB8">
      <w:pPr>
        <w:pStyle w:val="Zkladntext30"/>
        <w:shd w:val="clear" w:color="auto" w:fill="auto"/>
        <w:spacing w:after="80" w:line="180" w:lineRule="auto"/>
        <w:ind w:firstLine="0"/>
        <w:jc w:val="center"/>
        <w:rPr>
          <w:sz w:val="20"/>
          <w:szCs w:val="20"/>
        </w:rPr>
      </w:pPr>
      <w:r>
        <w:rPr>
          <w:b/>
          <w:bCs/>
          <w:sz w:val="20"/>
          <w:szCs w:val="20"/>
        </w:rPr>
        <w:t>Světová konference anebo válka?</w:t>
      </w:r>
    </w:p>
    <w:p w:rsidR="00500724" w:rsidRDefault="00F30FB8">
      <w:pPr>
        <w:pStyle w:val="Zkladntext1"/>
        <w:numPr>
          <w:ilvl w:val="0"/>
          <w:numId w:val="75"/>
        </w:numPr>
        <w:shd w:val="clear" w:color="auto" w:fill="auto"/>
        <w:tabs>
          <w:tab w:val="left" w:pos="529"/>
        </w:tabs>
        <w:spacing w:line="190" w:lineRule="auto"/>
        <w:ind w:firstLine="340"/>
      </w:pPr>
      <w:r>
        <w:rPr>
          <w:b/>
          <w:bCs/>
        </w:rPr>
        <w:t xml:space="preserve">anglické horní sněmovně se konala debata </w:t>
      </w:r>
      <w:r>
        <w:rPr>
          <w:b/>
          <w:bCs/>
          <w:i/>
          <w:iCs/>
          <w:sz w:val="20"/>
          <w:szCs w:val="20"/>
        </w:rPr>
        <w:t>o</w:t>
      </w:r>
      <w:r>
        <w:rPr>
          <w:b/>
          <w:bCs/>
        </w:rPr>
        <w:t xml:space="preserve"> zahra</w:t>
      </w:r>
      <w:r>
        <w:rPr>
          <w:b/>
          <w:bCs/>
        </w:rPr>
        <w:softHyphen/>
        <w:t>niční britské politice, v níž něinil velmi pozoruhodné pro</w:t>
      </w:r>
      <w:r>
        <w:rPr>
          <w:b/>
          <w:bCs/>
        </w:rPr>
        <w:softHyphen/>
        <w:t xml:space="preserve">hlášení ministr zahraničních věcí </w:t>
      </w:r>
      <w:r>
        <w:rPr>
          <w:b/>
          <w:bCs/>
          <w:lang w:val="en-US" w:eastAsia="en-US" w:bidi="en-US"/>
        </w:rPr>
        <w:t xml:space="preserve">lord Halifax. </w:t>
      </w:r>
      <w:r>
        <w:rPr>
          <w:b/>
          <w:bCs/>
        </w:rPr>
        <w:t>Novou si</w:t>
      </w:r>
      <w:r>
        <w:rPr>
          <w:b/>
          <w:bCs/>
        </w:rPr>
        <w:softHyphen/>
        <w:t xml:space="preserve">tuaci charakterisoval snad nejlépe oposiční mluvčí lord </w:t>
      </w:r>
      <w:r>
        <w:rPr>
          <w:b/>
          <w:bCs/>
          <w:lang w:val="en-US" w:eastAsia="en-US" w:bidi="en-US"/>
        </w:rPr>
        <w:t xml:space="preserve">Snell, </w:t>
      </w:r>
      <w:r>
        <w:rPr>
          <w:b/>
          <w:bCs/>
        </w:rPr>
        <w:t>který ve své řeči pravil, že</w:t>
      </w:r>
      <w:r>
        <w:rPr>
          <w:b/>
          <w:bCs/>
        </w:rPr>
        <w:t xml:space="preserve"> ^zahraniční politika britské vlády se podobala do nedávná větrům nebeským: odkud přicházejí a kam jdou, žádný člověk nevis. Dodaly že oposice s uspokojením konstatuje, že nyní se britská vláda oddala novému směru zahraniční politiky, který se vyzna</w:t>
      </w:r>
      <w:r>
        <w:rPr>
          <w:b/>
          <w:bCs/>
        </w:rPr>
        <w:softHyphen/>
        <w:t>čuje e</w:t>
      </w:r>
      <w:r>
        <w:rPr>
          <w:b/>
          <w:bCs/>
        </w:rPr>
        <w:t>nergickým prováděním principu kolektivní bezpeč</w:t>
      </w:r>
      <w:r>
        <w:rPr>
          <w:b/>
          <w:bCs/>
        </w:rPr>
        <w:softHyphen/>
        <w:t xml:space="preserve">nosti. Také ostatní oposiční mlnvčí, stejně ovšem i řečníci konservativní strany ve svých projevech vyslovili souhlas se soudobou </w:t>
      </w:r>
      <w:r>
        <w:rPr>
          <w:b/>
          <w:bCs/>
          <w:u w:val="single"/>
        </w:rPr>
        <w:t>linii</w:t>
      </w:r>
      <w:r>
        <w:rPr>
          <w:b/>
          <w:bCs/>
        </w:rPr>
        <w:t xml:space="preserve"> britské zahraniční politiky. To znamená, že Chamberlainova vláda po této</w:t>
      </w:r>
      <w:r>
        <w:rPr>
          <w:b/>
          <w:bCs/>
        </w:rPr>
        <w:t xml:space="preserve"> stránce nemá dnes v zemi odpůrce, ledaže se oposici zdá stále ještě její postup příliš váhavý. Příhoda v Tiencinu ovšem dodává událostem dal- šííio tempa, třebaže je podobné pravdě, že bude řešena kom</w:t>
      </w:r>
      <w:r>
        <w:rPr>
          <w:b/>
          <w:bCs/>
        </w:rPr>
        <w:softHyphen/>
        <w:t>promisně. V každém případě však znamená, že britská po</w:t>
      </w:r>
      <w:r>
        <w:rPr>
          <w:b/>
          <w:bCs/>
        </w:rPr>
        <w:t>li</w:t>
      </w:r>
      <w:r>
        <w:rPr>
          <w:b/>
          <w:bCs/>
        </w:rPr>
        <w:softHyphen/>
        <w:t>tika bude po tomto japonském nátlaku na americké, britské a francouzské koncese míti nejen další zájem na těsnější spolupráci se Spojenými Státy americkými, ale především jiným také na tom, aby se dohodla konečně se sovětským Ruskem, jehož asijská polit</w:t>
      </w:r>
      <w:r>
        <w:rPr>
          <w:b/>
          <w:bCs/>
        </w:rPr>
        <w:t>ika dosud byla dosti záhadná.</w:t>
      </w:r>
    </w:p>
    <w:p w:rsidR="00500724" w:rsidRDefault="00F30FB8">
      <w:pPr>
        <w:pStyle w:val="Zkladntext1"/>
        <w:numPr>
          <w:ilvl w:val="0"/>
          <w:numId w:val="75"/>
        </w:numPr>
        <w:shd w:val="clear" w:color="auto" w:fill="auto"/>
        <w:tabs>
          <w:tab w:val="left" w:pos="538"/>
        </w:tabs>
        <w:spacing w:after="100" w:line="192" w:lineRule="auto"/>
        <w:ind w:firstLine="340"/>
      </w:pPr>
      <w:r>
        <w:rPr>
          <w:b/>
          <w:bCs/>
        </w:rPr>
        <w:t>řeči lorda Halifaxe zaslouží si pozornosti jednak kon</w:t>
      </w:r>
      <w:r>
        <w:rPr>
          <w:b/>
          <w:bCs/>
        </w:rPr>
        <w:softHyphen/>
        <w:t>statování, že stálá dohoda mezi Velkou Britanií a Polskem bude uzavřena co nejdříve. Jde o dohodu dvoustrannou (bi</w:t>
      </w:r>
      <w:r>
        <w:rPr>
          <w:b/>
          <w:bCs/>
        </w:rPr>
        <w:softHyphen/>
        <w:t>laterální), jedna strana je povinna přijití druhé na pomo</w:t>
      </w:r>
      <w:r>
        <w:rPr>
          <w:b/>
          <w:bCs/>
        </w:rPr>
        <w:t>c.</w:t>
      </w:r>
    </w:p>
    <w:p w:rsidR="00500724" w:rsidRDefault="00F30FB8">
      <w:pPr>
        <w:pStyle w:val="Zkladntext1"/>
        <w:shd w:val="clear" w:color="auto" w:fill="auto"/>
        <w:spacing w:line="187" w:lineRule="auto"/>
        <w:ind w:firstLine="0"/>
      </w:pPr>
      <w:r>
        <w:rPr>
          <w:b/>
          <w:bCs/>
        </w:rPr>
        <w:t xml:space="preserve">Dá se to tedy označit právem jako britsko-polská vojenská aliance. Polsko tím definitivně změnilo svon politika a, jak se zdá, má nyní co největší zájem na dohodě britsko-franko- ruské. </w:t>
      </w:r>
      <w:r>
        <w:rPr>
          <w:b/>
          <w:bCs/>
          <w:lang w:val="en-US" w:eastAsia="en-US" w:bidi="en-US"/>
        </w:rPr>
        <w:t xml:space="preserve">Lord Halifax </w:t>
      </w:r>
      <w:r>
        <w:rPr>
          <w:b/>
          <w:bCs/>
        </w:rPr>
        <w:t>dále dodal, že úmluvy s Rumunskem a Řeckem jsou »uniia</w:t>
      </w:r>
      <w:r>
        <w:rPr>
          <w:b/>
          <w:bCs/>
        </w:rPr>
        <w:t>terální« (jednostranné), to jest, jenom Anglie se zavazuje jim přispěti ku pomoci, aniž si žádá obdobného závazku od Rumunska a Řecka. S Tureckem podle Halifaxova prohlášení je ovšem jednání o dvoustran</w:t>
      </w:r>
      <w:r>
        <w:rPr>
          <w:b/>
          <w:bCs/>
        </w:rPr>
        <w:softHyphen/>
        <w:t>nou dohodu, jejíž zásady byly již oběma stranami přij</w:t>
      </w:r>
      <w:r>
        <w:rPr>
          <w:b/>
          <w:bCs/>
        </w:rPr>
        <w:t xml:space="preserve">aty. O smlouvě s Portugalskem, která rovněž má charakter dvoustranné vojenské úmluvy, prohlásil </w:t>
      </w:r>
      <w:r>
        <w:rPr>
          <w:b/>
          <w:bCs/>
          <w:lang w:val="en-US" w:eastAsia="en-US" w:bidi="en-US"/>
        </w:rPr>
        <w:t xml:space="preserve">lord Halifax, </w:t>
      </w:r>
      <w:r>
        <w:rPr>
          <w:b/>
          <w:bCs/>
        </w:rPr>
        <w:t>že jde o smlouvu 500 let staroií, která byla nyní za oboustran</w:t>
      </w:r>
      <w:r>
        <w:rPr>
          <w:b/>
          <w:bCs/>
        </w:rPr>
        <w:softHyphen/>
        <w:t>ného uspokojení obnovena. Věc je tak důležitá hlavně proto, že Portugalsko má se Šp</w:t>
      </w:r>
      <w:r>
        <w:rPr>
          <w:b/>
          <w:bCs/>
        </w:rPr>
        <w:t>anělskem jen umělé hranice, čili ovládá španělskou oblast tak, že by v případě pokusů Špa</w:t>
      </w:r>
      <w:r>
        <w:rPr>
          <w:b/>
          <w:bCs/>
        </w:rPr>
        <w:softHyphen/>
        <w:t>nělska o vojenskou akci proti Francii mohlo velmi účinně — patrně ovšem s britsko-francouzskou pomocí — ohrozit Španělsko na nejcitlivějším místě. Tím má asi býti vyř</w:t>
      </w:r>
      <w:r>
        <w:rPr>
          <w:b/>
          <w:bCs/>
        </w:rPr>
        <w:t>á</w:t>
      </w:r>
      <w:r>
        <w:rPr>
          <w:b/>
          <w:bCs/>
        </w:rPr>
        <w:softHyphen/>
        <w:t>děno Španělsko z protifrancouzských a protibritských kom</w:t>
      </w:r>
      <w:r>
        <w:rPr>
          <w:b/>
          <w:bCs/>
        </w:rPr>
        <w:softHyphen/>
        <w:t>binací. Současně ovšem nutno si uvědomit, že Portugalsko má bohaté kolonie, co do rozlohy tak veliké jako celá Evro</w:t>
      </w:r>
      <w:r>
        <w:rPr>
          <w:b/>
          <w:bCs/>
        </w:rPr>
        <w:softHyphen/>
        <w:t>pa, a že britsko-portugalská smlouva zaručuje Portugalsku jejich nedotknutelnost.</w:t>
      </w:r>
      <w:r>
        <w:rPr>
          <w:b/>
          <w:bCs/>
        </w:rPr>
        <w:t xml:space="preserve"> To byla asi také příčina, proě Portu</w:t>
      </w:r>
      <w:r>
        <w:rPr>
          <w:b/>
          <w:bCs/>
        </w:rPr>
        <w:softHyphen/>
        <w:t xml:space="preserve">galsko samo naléhalo na slavnostní prohlášení, jež se již s obou stran stalo, o plné závaznosti britsko-portugalské smlouvy. Jak patrno, můžeme tedy smlouvu mezi Velkou Biitanií a Portugalskem vším právem zařadit mezi </w:t>
      </w:r>
      <w:r>
        <w:rPr>
          <w:b/>
          <w:bCs/>
        </w:rPr>
        <w:t>nový systém aocelového prstence«, jak říká obkličovací politice americký tisk.</w:t>
      </w:r>
    </w:p>
    <w:p w:rsidR="00500724" w:rsidRDefault="00F30FB8">
      <w:pPr>
        <w:pStyle w:val="Zkladntext1"/>
        <w:shd w:val="clear" w:color="auto" w:fill="auto"/>
        <w:spacing w:line="187" w:lineRule="auto"/>
        <w:ind w:firstLine="320"/>
      </w:pPr>
      <w:r>
        <w:rPr>
          <w:b/>
          <w:bCs/>
        </w:rPr>
        <w:t>Ale to všechno konečně jsou již známé věci. Co bylo v prohlášení lorda Halifaxe nejcharakterističtější, je opětné konstatování, že britská politika se změnila v důsledku udá</w:t>
      </w:r>
      <w:r>
        <w:rPr>
          <w:b/>
          <w:bCs/>
        </w:rPr>
        <w:softHyphen/>
        <w:t>los</w:t>
      </w:r>
      <w:r>
        <w:rPr>
          <w:b/>
          <w:bCs/>
        </w:rPr>
        <w:t>tí ze dne 15. března a že britská vláda odmítá uznat, aby v dvacátém století mohl jeden národ míti právo panovat nad druhými národy. Britská vláda chce podle Halifaxova tvrzení spravedlnost pro všechny evropské národy, plně Uznává potřebu spravedlnosti pro</w:t>
      </w:r>
      <w:r>
        <w:rPr>
          <w:b/>
          <w:bCs/>
        </w:rPr>
        <w:t xml:space="preserve"> národ německý, stejně jako pro všechny národy ostatní, jejichž poměry se musí upravit v duchu spravedlnosti, samostatnosti a národní svrchovanosti na podkladě bezpečnosti pro všechny. A nyní, praví </w:t>
      </w:r>
      <w:r>
        <w:rPr>
          <w:b/>
          <w:bCs/>
          <w:lang w:val="en-US" w:eastAsia="en-US" w:bidi="en-US"/>
        </w:rPr>
        <w:t xml:space="preserve">lord Halifax, </w:t>
      </w:r>
      <w:r>
        <w:rPr>
          <w:b/>
          <w:bCs/>
        </w:rPr>
        <w:t xml:space="preserve">musí býti tyto problémy řešeny. To se může také státi bez války, vyjednáváním, aíe předpokladem je dobrá vůle na obou stranách a jistota, pevné přesvědčení, že na obou stranách dané slovo bude dodrženo. To, jak mysli </w:t>
      </w:r>
      <w:r>
        <w:rPr>
          <w:b/>
          <w:bCs/>
          <w:lang w:val="en-US" w:eastAsia="en-US" w:bidi="en-US"/>
        </w:rPr>
        <w:t xml:space="preserve">lord Halifax, </w:t>
      </w:r>
      <w:r>
        <w:rPr>
          <w:b/>
          <w:bCs/>
        </w:rPr>
        <w:t>není mnoho žádáno na žádn</w:t>
      </w:r>
      <w:r>
        <w:rPr>
          <w:b/>
          <w:bCs/>
        </w:rPr>
        <w:t xml:space="preserve">é smluvní Straně ve dvacátém století. Anglie chce, aby Německo bylo prosperující zemí, a je si jista, že takové Německo bude dobré pro celou Evropu. »Dny, kdy nezávislost národů mohla býti zničena jednostrannou (unilaterální) akcí, již minuly«, dodal </w:t>
      </w:r>
      <w:r>
        <w:rPr>
          <w:b/>
          <w:bCs/>
          <w:lang w:val="en-US" w:eastAsia="en-US" w:bidi="en-US"/>
        </w:rPr>
        <w:t xml:space="preserve">lord </w:t>
      </w:r>
      <w:r>
        <w:rPr>
          <w:b/>
          <w:bCs/>
          <w:lang w:val="en-US" w:eastAsia="en-US" w:bidi="en-US"/>
        </w:rPr>
        <w:t xml:space="preserve">Halifax. </w:t>
      </w:r>
      <w:r>
        <w:rPr>
          <w:b/>
          <w:bCs/>
        </w:rPr>
        <w:t>To znamená, že také na němec</w:t>
      </w:r>
      <w:r>
        <w:rPr>
          <w:b/>
          <w:bCs/>
        </w:rPr>
        <w:softHyphen/>
        <w:t>kou nezávislost nikdo nechce sáhnouti. Míru lze podle Halifaxova jednání dosáhnout též vyjednáváním.</w:t>
      </w:r>
    </w:p>
    <w:p w:rsidR="00500724" w:rsidRDefault="00F30FB8">
      <w:pPr>
        <w:pStyle w:val="Zkladntext1"/>
        <w:shd w:val="clear" w:color="auto" w:fill="auto"/>
        <w:spacing w:line="190" w:lineRule="auto"/>
        <w:ind w:firstLine="320"/>
      </w:pPr>
      <w:r>
        <w:rPr>
          <w:b/>
          <w:bCs/>
        </w:rPr>
        <w:t xml:space="preserve">To patrně je nejdůležitější, </w:t>
      </w:r>
      <w:r>
        <w:rPr>
          <w:b/>
          <w:bCs/>
          <w:lang w:val="en-US" w:eastAsia="en-US" w:bidi="en-US"/>
        </w:rPr>
        <w:t xml:space="preserve">co lord Halifax </w:t>
      </w:r>
      <w:r>
        <w:rPr>
          <w:b/>
          <w:bCs/>
        </w:rPr>
        <w:t xml:space="preserve">řekl. Vzpome- neme-li si, že minulý týden promluvil náčelník maďarského </w:t>
      </w:r>
      <w:r>
        <w:rPr>
          <w:b/>
          <w:bCs/>
        </w:rPr>
        <w:t>státu a řekl, že je žádoucí, aby byla svolána mezinárodní konference, která by upravila poměry v Evropě, aby ne</w:t>
      </w:r>
      <w:r>
        <w:rPr>
          <w:b/>
          <w:bCs/>
        </w:rPr>
        <w:softHyphen/>
        <w:t xml:space="preserve">musily býti upravovány válkou, a žádal při tom papeže, aby k tomu dal popud, pak vidíme, že tato idea je asi mezi státníky rozšířenější, než se </w:t>
      </w:r>
      <w:r>
        <w:rPr>
          <w:b/>
          <w:bCs/>
        </w:rPr>
        <w:t>zdá. Komentář oficiálního, ně</w:t>
      </w:r>
      <w:r>
        <w:rPr>
          <w:b/>
          <w:bCs/>
        </w:rPr>
        <w:softHyphen/>
        <w:t>mecky psaného maďarského deníku »Pester LIoydu« k zmí</w:t>
      </w:r>
      <w:r>
        <w:rPr>
          <w:b/>
          <w:bCs/>
        </w:rPr>
        <w:softHyphen/>
        <w:t>něné Horthyho řeči to ostatně dokazuje také.</w:t>
      </w:r>
    </w:p>
    <w:p w:rsidR="00500724" w:rsidRDefault="00F30FB8">
      <w:pPr>
        <w:pStyle w:val="Zkladntext1"/>
        <w:shd w:val="clear" w:color="auto" w:fill="auto"/>
        <w:spacing w:line="187" w:lineRule="auto"/>
        <w:ind w:firstLine="320"/>
      </w:pPr>
      <w:r>
        <w:rPr>
          <w:b/>
          <w:bCs/>
        </w:rPr>
        <w:t>Vypadá tedy mezinárodní situace v tomto okamžiku tak, že Evropa je na rozcestí: buď světová mírová kon- ferencebezválky, anebos</w:t>
      </w:r>
      <w:r>
        <w:rPr>
          <w:b/>
          <w:bCs/>
        </w:rPr>
        <w:t>nadválkaamírová konference až po ní. Kdyby tato mírová konference, jež by se měla konati ještě letos, se rozbila, pak sotva asi bude jiné východisko, než střetnutí sil. Co z toho vyjde, jak bude vypadat Evropa politicky, sociálně-hospodářsky a stá</w:t>
      </w:r>
      <w:r>
        <w:rPr>
          <w:b/>
          <w:bCs/>
        </w:rPr>
        <w:softHyphen/>
        <w:t>toprávně</w:t>
      </w:r>
      <w:r>
        <w:rPr>
          <w:b/>
          <w:bCs/>
        </w:rPr>
        <w:t>, to je ovšem velké »X«, které nemůže nikdo posou</w:t>
      </w:r>
      <w:r>
        <w:rPr>
          <w:b/>
          <w:bCs/>
        </w:rPr>
        <w:softHyphen/>
        <w:t xml:space="preserve">dit ani odhadnout. Na této velké mezinárodní konferenci, kterou měl na mysli </w:t>
      </w:r>
      <w:r>
        <w:rPr>
          <w:b/>
          <w:bCs/>
          <w:lang w:val="en-US" w:eastAsia="en-US" w:bidi="en-US"/>
        </w:rPr>
        <w:t xml:space="preserve">lord Halifax, </w:t>
      </w:r>
      <w:r>
        <w:rPr>
          <w:b/>
          <w:bCs/>
        </w:rPr>
        <w:t>jejíž možnost byla nazna</w:t>
      </w:r>
      <w:r>
        <w:rPr>
          <w:b/>
          <w:bCs/>
        </w:rPr>
        <w:softHyphen/>
        <w:t>čena již také v jiných projevech, by se měly upravit všechny evropské poměry, odstranit zá</w:t>
      </w:r>
      <w:r>
        <w:rPr>
          <w:b/>
          <w:bCs/>
        </w:rPr>
        <w:t>pal- nébody, rozdělitkoioniálnímajetky, poskyt</w:t>
      </w:r>
      <w:r>
        <w:rPr>
          <w:b/>
          <w:bCs/>
        </w:rPr>
        <w:softHyphen/>
        <w:t>nout půjčky a zabezpečit výhody pro světo</w:t>
      </w:r>
      <w:r>
        <w:rPr>
          <w:b/>
          <w:bCs/>
        </w:rPr>
        <w:softHyphen/>
      </w:r>
      <w:r>
        <w:rPr>
          <w:b/>
          <w:bCs/>
          <w:sz w:val="20"/>
          <w:szCs w:val="20"/>
        </w:rPr>
        <w:t xml:space="preserve">vý </w:t>
      </w:r>
      <w:r>
        <w:rPr>
          <w:b/>
          <w:bCs/>
        </w:rPr>
        <w:t>obchod tak, aby také středoevropské moc</w:t>
      </w:r>
      <w:r>
        <w:rPr>
          <w:b/>
          <w:bCs/>
        </w:rPr>
        <w:softHyphen/>
        <w:t>nosti mohly se lépe na něm podílet.</w:t>
      </w:r>
    </w:p>
    <w:p w:rsidR="00500724" w:rsidRDefault="00F30FB8">
      <w:pPr>
        <w:pStyle w:val="Zkladntext1"/>
        <w:shd w:val="clear" w:color="auto" w:fill="auto"/>
        <w:ind w:firstLine="320"/>
        <w:jc w:val="left"/>
        <w:rPr>
          <w:sz w:val="26"/>
          <w:szCs w:val="26"/>
        </w:rPr>
      </w:pPr>
      <w:r>
        <w:rPr>
          <w:b/>
          <w:bCs/>
        </w:rPr>
        <w:t>Skutečně se zdá, že jsou jen tyto dvě možností, a na ně se nyní světová politika připrav</w:t>
      </w:r>
      <w:r>
        <w:rPr>
          <w:b/>
          <w:bCs/>
        </w:rPr>
        <w:t xml:space="preserve">uje. »Mír vyjednává- ním« </w:t>
      </w:r>
      <w:r>
        <w:rPr>
          <w:b/>
          <w:bCs/>
          <w:lang w:val="en-US" w:eastAsia="en-US" w:bidi="en-US"/>
        </w:rPr>
        <w:t xml:space="preserve">(peace by negotiation) </w:t>
      </w:r>
      <w:r>
        <w:rPr>
          <w:b/>
          <w:bCs/>
        </w:rPr>
        <w:t xml:space="preserve">je heslo, které vydal </w:t>
      </w:r>
      <w:r>
        <w:rPr>
          <w:b/>
          <w:bCs/>
          <w:lang w:val="en-US" w:eastAsia="en-US" w:bidi="en-US"/>
        </w:rPr>
        <w:t xml:space="preserve">lord Halifax. </w:t>
      </w:r>
      <w:r>
        <w:rPr>
          <w:b/>
          <w:bCs/>
        </w:rPr>
        <w:t xml:space="preserve">Kam to povede a jak se vše vyvine dál, </w:t>
      </w:r>
      <w:r>
        <w:rPr>
          <w:rFonts w:ascii="Arial" w:eastAsia="Arial" w:hAnsi="Arial" w:cs="Arial"/>
          <w:b/>
          <w:bCs/>
          <w:i/>
          <w:iCs/>
          <w:sz w:val="26"/>
          <w:szCs w:val="26"/>
        </w:rPr>
        <w:t>S8o</w:t>
      </w:r>
    </w:p>
    <w:p w:rsidR="00500724" w:rsidRDefault="00F30FB8">
      <w:pPr>
        <w:pStyle w:val="Zkladntext1"/>
        <w:shd w:val="clear" w:color="auto" w:fill="auto"/>
        <w:spacing w:line="190" w:lineRule="auto"/>
        <w:ind w:firstLine="0"/>
      </w:pPr>
      <w:r>
        <w:rPr>
          <w:b/>
          <w:bCs/>
        </w:rPr>
        <w:t>nedá se ovšem odhadnout. Italský tisk, který zprvu se ne</w:t>
      </w:r>
      <w:r>
        <w:rPr>
          <w:b/>
          <w:bCs/>
        </w:rPr>
        <w:softHyphen/>
        <w:t xml:space="preserve">tvářil nepříznivě k tomuto podnětu, je nyní téhož názoru, jako tisk </w:t>
      </w:r>
      <w:r>
        <w:rPr>
          <w:b/>
          <w:bCs/>
        </w:rPr>
        <w:t>říšskoněmecký, že totiž nejprve musí býti dány Německu a Itálii značné koncese, než vůbec bude možno začít jednáni. Rozumí se, že konference se nemůže týkat režimů. Jako je nesmysl, že Moskva požaduje pád Cham</w:t>
      </w:r>
      <w:r>
        <w:rPr>
          <w:b/>
          <w:bCs/>
        </w:rPr>
        <w:softHyphen/>
        <w:t>berlainův, tak je také nemožné, aby britsko-fr</w:t>
      </w:r>
      <w:r>
        <w:rPr>
          <w:b/>
          <w:bCs/>
        </w:rPr>
        <w:t>aneouzský blok požadoval změnu režimů ve veimocech osy.</w:t>
      </w:r>
    </w:p>
    <w:p w:rsidR="00500724" w:rsidRDefault="00F30FB8">
      <w:pPr>
        <w:pStyle w:val="Zkladntext1"/>
        <w:shd w:val="clear" w:color="auto" w:fill="auto"/>
        <w:spacing w:line="187" w:lineRule="auto"/>
        <w:ind w:firstLine="300"/>
      </w:pPr>
      <w:r>
        <w:rPr>
          <w:b/>
          <w:bCs/>
        </w:rPr>
        <w:t xml:space="preserve">Ostatně Strangova cesta do Moskvy je něco jiného, než se zdá. Nejde o to, aby </w:t>
      </w:r>
      <w:r>
        <w:rPr>
          <w:b/>
          <w:bCs/>
          <w:lang w:val="en-US" w:eastAsia="en-US" w:bidi="en-US"/>
        </w:rPr>
        <w:t xml:space="preserve">Strang </w:t>
      </w:r>
      <w:r>
        <w:rPr>
          <w:b/>
          <w:bCs/>
        </w:rPr>
        <w:t>franko-britsko-ruskou smlou</w:t>
      </w:r>
      <w:r>
        <w:rPr>
          <w:b/>
          <w:bCs/>
        </w:rPr>
        <w:softHyphen/>
        <w:t>vu uzavřel, nýbrž aby jako expert pro evropské a zejména středoevropské věci, jako úřed</w:t>
      </w:r>
      <w:r>
        <w:rPr>
          <w:b/>
          <w:bCs/>
        </w:rPr>
        <w:t>ník zahraničního britského ministerstva, s moskevskými experty připravil všechny va</w:t>
      </w:r>
      <w:r>
        <w:rPr>
          <w:b/>
          <w:bCs/>
        </w:rPr>
        <w:softHyphen/>
        <w:t>rianty dohody, jinými slovy, aby slovem připravil podlá zásadních linií detaily. Teprve pak zasáhnou zase do jed</w:t>
      </w:r>
      <w:r>
        <w:rPr>
          <w:b/>
          <w:bCs/>
        </w:rPr>
        <w:softHyphen/>
        <w:t>nání vedoucí státníci. Velká Britanie je ovšem dnes s tímto</w:t>
      </w:r>
      <w:r>
        <w:rPr>
          <w:b/>
          <w:bCs/>
        </w:rPr>
        <w:t xml:space="preserve"> jednáním tak daleko, že nemůže připustit, aby ztroskotalo, anebo aby se zdálo, že od něho couvla. Pak by její posice v evropské politické hře byla tak oslabena, že by se to rov</w:t>
      </w:r>
      <w:r>
        <w:rPr>
          <w:b/>
          <w:bCs/>
        </w:rPr>
        <w:softHyphen/>
        <w:t>nalo skoro prohře. V tom případě by asi padla anglická vlá</w:t>
      </w:r>
      <w:r>
        <w:rPr>
          <w:b/>
          <w:bCs/>
        </w:rPr>
        <w:softHyphen/>
        <w:t xml:space="preserve">da a nová vláda by </w:t>
      </w:r>
      <w:r>
        <w:rPr>
          <w:b/>
          <w:bCs/>
        </w:rPr>
        <w:t>začala jednat s Moskvou znovu na no</w:t>
      </w:r>
      <w:r>
        <w:rPr>
          <w:b/>
          <w:bCs/>
        </w:rPr>
        <w:softHyphen/>
        <w:t>vém širším podkladě. Moskva zřejmě požaduje naprostou rovnoprávnost a úplnou alianci. Zdá se již nepochybné, že Ji dostane.</w:t>
      </w:r>
    </w:p>
    <w:p w:rsidR="00500724" w:rsidRDefault="00F30FB8">
      <w:pPr>
        <w:pStyle w:val="Zkladntext1"/>
        <w:shd w:val="clear" w:color="auto" w:fill="auto"/>
        <w:tabs>
          <w:tab w:val="left" w:pos="4608"/>
        </w:tabs>
        <w:spacing w:after="120" w:line="187" w:lineRule="auto"/>
        <w:ind w:firstLine="300"/>
        <w:rPr>
          <w:sz w:val="18"/>
          <w:szCs w:val="18"/>
        </w:rPr>
      </w:pPr>
      <w:r>
        <w:rPr>
          <w:b/>
          <w:bCs/>
        </w:rPr>
        <w:t>Do tohoto ovzduší zapadá stále zdůrazňované a opěto</w:t>
      </w:r>
      <w:r>
        <w:rPr>
          <w:b/>
          <w:bCs/>
        </w:rPr>
        <w:softHyphen/>
      </w:r>
      <w:r>
        <w:rPr>
          <w:b/>
          <w:bCs/>
        </w:rPr>
        <w:t xml:space="preserve">vané prohlášení britských politiků, že nedělají obkličovací politiku a že jim jde o mír, nikoli o válku. To tvrdil ve svém exposé ministr zahraničních věcí </w:t>
      </w:r>
      <w:r>
        <w:rPr>
          <w:b/>
          <w:bCs/>
          <w:lang w:val="en-US" w:eastAsia="en-US" w:bidi="en-US"/>
        </w:rPr>
        <w:t xml:space="preserve">lord Halifax </w:t>
      </w:r>
      <w:r>
        <w:rPr>
          <w:b/>
          <w:bCs/>
        </w:rPr>
        <w:t>ve sně</w:t>
      </w:r>
      <w:r>
        <w:rPr>
          <w:b/>
          <w:bCs/>
        </w:rPr>
        <w:softHyphen/>
        <w:t xml:space="preserve">movně lordů, a to opakuje při každé příležitosti </w:t>
      </w:r>
      <w:r>
        <w:rPr>
          <w:b/>
          <w:bCs/>
          <w:lang w:val="en-US" w:eastAsia="en-US" w:bidi="en-US"/>
        </w:rPr>
        <w:t xml:space="preserve">Mr. Neville Chamberlain, </w:t>
      </w:r>
      <w:r>
        <w:rPr>
          <w:b/>
          <w:bCs/>
        </w:rPr>
        <w:t>britsk</w:t>
      </w:r>
      <w:r>
        <w:rPr>
          <w:b/>
          <w:bCs/>
        </w:rPr>
        <w:t>ý ministerský předseda. V psané odpo</w:t>
      </w:r>
      <w:r>
        <w:rPr>
          <w:b/>
          <w:bCs/>
        </w:rPr>
        <w:softHyphen/>
        <w:t xml:space="preserve">vědi na dotaz poslance Fletchera prohlásil právě znovu </w:t>
      </w:r>
      <w:r>
        <w:rPr>
          <w:b/>
          <w:bCs/>
          <w:lang w:val="en-US" w:eastAsia="en-US" w:bidi="en-US"/>
        </w:rPr>
        <w:t xml:space="preserve">Chamberlain, </w:t>
      </w:r>
      <w:r>
        <w:rPr>
          <w:b/>
          <w:bCs/>
        </w:rPr>
        <w:t>že se odvolává na svá prohlášeni z 12. a 19. května, ve kterých pravil, že nechce dělat žádnou obkličovací politiku a dodal, že německé vysíláni britsk</w:t>
      </w:r>
      <w:r>
        <w:rPr>
          <w:b/>
          <w:bCs/>
        </w:rPr>
        <w:t>ého rozhlasu dostane rozkazy, aby toto stanovisko znovu a znovu zdůrazňovalo.</w:t>
      </w:r>
      <w:r>
        <w:rPr>
          <w:b/>
          <w:bCs/>
        </w:rPr>
        <w:tab/>
      </w:r>
      <w:r>
        <w:rPr>
          <w:i/>
          <w:iCs/>
          <w:sz w:val="18"/>
          <w:szCs w:val="18"/>
        </w:rPr>
        <w:t>Moll</w:t>
      </w:r>
    </w:p>
    <w:p w:rsidR="00500724" w:rsidRDefault="00F30FB8">
      <w:pPr>
        <w:pStyle w:val="Zkladntext1"/>
        <w:shd w:val="clear" w:color="auto" w:fill="auto"/>
        <w:spacing w:after="80" w:line="178" w:lineRule="auto"/>
        <w:ind w:firstLine="0"/>
        <w:jc w:val="center"/>
        <w:rPr>
          <w:sz w:val="20"/>
          <w:szCs w:val="20"/>
        </w:rPr>
      </w:pPr>
      <w:r>
        <w:rPr>
          <w:b/>
          <w:bCs/>
          <w:sz w:val="20"/>
          <w:szCs w:val="20"/>
        </w:rPr>
        <w:t>Anglický král ve Spojených Státech</w:t>
      </w:r>
    </w:p>
    <w:p w:rsidR="00500724" w:rsidRDefault="00F30FB8">
      <w:pPr>
        <w:pStyle w:val="Zkladntext1"/>
        <w:shd w:val="clear" w:color="auto" w:fill="auto"/>
        <w:spacing w:line="187" w:lineRule="auto"/>
        <w:ind w:firstLine="300"/>
      </w:pPr>
      <w:r>
        <w:rPr>
          <w:b/>
          <w:bCs/>
        </w:rPr>
        <w:t xml:space="preserve">Velká cesta, kterou anglický král Jiří VI. se svou ženou koná po Kanadě, se chýlí ke konci. Kanada, obrovský vele- stát rozlohy celé </w:t>
      </w:r>
      <w:r>
        <w:rPr>
          <w:b/>
          <w:bCs/>
        </w:rPr>
        <w:t>Evropy s pouhými deseti miliony obyvatel, je asi budoucím střediskem britského impéria. Již dnes se tam zakupují a dočasně usazují vznešení a bohatí Angličané, kteří nepokládají pravděpodobně pro několik nejbližších let Londýn a jeho okolí za dostatečně zd</w:t>
      </w:r>
      <w:r>
        <w:rPr>
          <w:b/>
          <w:bCs/>
        </w:rPr>
        <w:t>ravou krajinu. Kanada Je ve všech směrech země přímo neomezených možností- a může uživit přes čtvrt miliardy lidi, když bude dokonale osazena a řádně spravována. Jako zásobárna chiebovin a potravin všeho druhu, kůží, kožišin, dřiví a surovin je přímo neodl</w:t>
      </w:r>
      <w:r>
        <w:rPr>
          <w:b/>
          <w:bCs/>
        </w:rPr>
        <w:t>iadnutehiého významu. V Kanadě žijí také asi tři miliony Kanaďanů mluvících francouzský Ještě z dob, kdy Kanada patřila Francii. Bylo proto velmi zajímavé, že právě tito francouzský mluvící kanadští občané, kteří ovšem požívají naprosté rovnoprávnosti jazy</w:t>
      </w:r>
      <w:r>
        <w:rPr>
          <w:b/>
          <w:bCs/>
        </w:rPr>
        <w:t>kové, po</w:t>
      </w:r>
      <w:r>
        <w:rPr>
          <w:b/>
          <w:bCs/>
        </w:rPr>
        <w:softHyphen/>
        <w:t>litické i sociálně-hospodářské s anglicky mluvícími Kana</w:t>
      </w:r>
      <w:r>
        <w:rPr>
          <w:b/>
          <w:bCs/>
        </w:rPr>
        <w:softHyphen/>
        <w:t>ďany a jsou zastoupeni ve veškeré kanadské správě, uvítali anglického krále s mimořádnou srdečností. Byly při tom pro</w:t>
      </w:r>
      <w:r>
        <w:rPr>
          <w:b/>
          <w:bCs/>
        </w:rPr>
        <w:softHyphen/>
        <w:t>neseny řeči, které jasně ukazovaly na franko-britské spo</w:t>
      </w:r>
      <w:r>
        <w:rPr>
          <w:b/>
          <w:bCs/>
        </w:rPr>
        <w:softHyphen/>
        <w:t>jenectví a nazn</w:t>
      </w:r>
      <w:r>
        <w:rPr>
          <w:b/>
          <w:bCs/>
        </w:rPr>
        <w:t>ačovaly, že král se může na toto své domi- nio v každém případě plně spolehnout.</w:t>
      </w:r>
    </w:p>
    <w:p w:rsidR="00500724" w:rsidRDefault="00F30FB8">
      <w:pPr>
        <w:pStyle w:val="Zkladntext1"/>
        <w:shd w:val="clear" w:color="auto" w:fill="auto"/>
        <w:spacing w:line="187" w:lineRule="auto"/>
        <w:ind w:firstLine="300"/>
      </w:pPr>
      <w:r>
        <w:rPr>
          <w:b/>
          <w:bCs/>
        </w:rPr>
        <w:t>Králův proslov při této příležitostí ostatně vzbudil světo</w:t>
      </w:r>
      <w:r>
        <w:rPr>
          <w:b/>
          <w:bCs/>
        </w:rPr>
        <w:softHyphen/>
        <w:t xml:space="preserve">vou pozornost. Nejenom proto, že byl pronesen ze dvou třetin anglicky a z jedné třetiny francouzský — jak patrno, 1 </w:t>
      </w:r>
      <w:r>
        <w:rPr>
          <w:b/>
          <w:bCs/>
        </w:rPr>
        <w:t xml:space="preserve">to odpovídalo počtu obyvatelstva — ale také proto, </w:t>
      </w:r>
      <w:r>
        <w:rPr>
          <w:b/>
          <w:bCs/>
          <w:sz w:val="20"/>
          <w:szCs w:val="20"/>
        </w:rPr>
        <w:t xml:space="preserve">že </w:t>
      </w:r>
      <w:r>
        <w:rPr>
          <w:b/>
          <w:bCs/>
        </w:rPr>
        <w:t>ohlásil, že král s touto oddaností skutečně počítá. V Kanadě zastihly krále také telegramy australského a novozéland- ského ministerského předsedy, vyslovující naději, že král se také podívá k nim, a oz</w:t>
      </w:r>
      <w:r>
        <w:rPr>
          <w:b/>
          <w:bCs/>
        </w:rPr>
        <w:t>namující mu, že obě tato další dominia, Austrálie a Nový Zéland, půjdou věrně s Velkou Britanií při všech příležitostech, jež budoucnost snad skrý</w:t>
      </w:r>
      <w:r>
        <w:rPr>
          <w:b/>
          <w:bCs/>
        </w:rPr>
        <w:softHyphen/>
        <w:t xml:space="preserve">vá. Není ostatně asi bez významu, že quebecký arcibiskup, kardinál </w:t>
      </w:r>
      <w:r>
        <w:rPr>
          <w:b/>
          <w:bCs/>
          <w:lang w:val="en-US" w:eastAsia="en-US" w:bidi="en-US"/>
        </w:rPr>
        <w:t>Villen</w:t>
      </w:r>
      <w:r>
        <w:rPr>
          <w:b/>
          <w:bCs/>
        </w:rPr>
        <w:t>euve, právě v těchto dnech byl v Lon</w:t>
      </w:r>
      <w:r>
        <w:rPr>
          <w:b/>
          <w:bCs/>
        </w:rPr>
        <w:softHyphen/>
        <w:t>dýně a nyní přijel do Paříže. Byl přijat zástupci britské i francouzské vlády se všemi poctami a byly pro něho uspo</w:t>
      </w:r>
      <w:r>
        <w:rPr>
          <w:b/>
          <w:bCs/>
        </w:rPr>
        <w:softHyphen/>
        <w:t>řádány obědy zřejmě politického rázu, jak patrno ze sezna</w:t>
      </w:r>
      <w:r>
        <w:rPr>
          <w:b/>
          <w:bCs/>
        </w:rPr>
        <w:softHyphen/>
        <w:t>mu jmen pozvaných hostí. Quebecký kardinál římsko-kato- Iický arcibiskup Villeneu</w:t>
      </w:r>
      <w:r>
        <w:rPr>
          <w:b/>
          <w:bCs/>
        </w:rPr>
        <w:t>ve je ovšem Francouz. Zdá se tedy, že dělá spolu s Angličany tak zv. sobkličovací politiku«.</w:t>
      </w:r>
    </w:p>
    <w:p w:rsidR="00500724" w:rsidRDefault="00F30FB8">
      <w:pPr>
        <w:pStyle w:val="Zkladntext1"/>
        <w:shd w:val="clear" w:color="auto" w:fill="auto"/>
        <w:spacing w:line="187" w:lineRule="auto"/>
        <w:ind w:firstLine="200"/>
        <w:sectPr w:rsidR="00500724">
          <w:footnotePr>
            <w:numFmt w:val="chicago"/>
            <w:numRestart w:val="eachPage"/>
          </w:footnotePr>
          <w:type w:val="continuous"/>
          <w:pgSz w:w="11909" w:h="16834"/>
          <w:pgMar w:top="653" w:right="1008" w:bottom="751" w:left="494" w:header="0" w:footer="3" w:gutter="0"/>
          <w:cols w:num="2" w:space="119"/>
          <w:noEndnote/>
          <w:docGrid w:linePitch="360"/>
        </w:sectPr>
      </w:pPr>
      <w:r>
        <w:rPr>
          <w:b/>
          <w:bCs/>
        </w:rPr>
        <w:t>Jakkoliv je kanadská cesta anglického krále politickou Událostí prvního řádu a má za zřejmý účel zcelitt britské Impérium pro případn</w:t>
      </w:r>
      <w:r>
        <w:rPr>
          <w:b/>
          <w:bCs/>
        </w:rPr>
        <w:t>é nastávající zkoušky, byl politicky</w:t>
      </w:r>
    </w:p>
    <w:p w:rsidR="00500724" w:rsidRDefault="00500724">
      <w:pPr>
        <w:spacing w:line="240" w:lineRule="exact"/>
        <w:rPr>
          <w:sz w:val="19"/>
          <w:szCs w:val="19"/>
        </w:rPr>
      </w:pPr>
    </w:p>
    <w:p w:rsidR="00500724" w:rsidRDefault="00500724">
      <w:pPr>
        <w:spacing w:before="40" w:after="40" w:line="240" w:lineRule="exact"/>
        <w:rPr>
          <w:sz w:val="19"/>
          <w:szCs w:val="19"/>
        </w:rPr>
      </w:pPr>
    </w:p>
    <w:p w:rsidR="00500724" w:rsidRDefault="00500724">
      <w:pPr>
        <w:spacing w:line="14" w:lineRule="exact"/>
        <w:sectPr w:rsidR="00500724">
          <w:footnotePr>
            <w:numFmt w:val="chicago"/>
            <w:numRestart w:val="eachPage"/>
          </w:footnotePr>
          <w:pgSz w:w="11909" w:h="16834"/>
          <w:pgMar w:top="1498" w:right="0" w:bottom="952" w:left="0" w:header="0" w:footer="3" w:gutter="0"/>
          <w:cols w:space="720"/>
          <w:noEndnote/>
          <w:docGrid w:linePitch="360"/>
        </w:sectPr>
      </w:pPr>
    </w:p>
    <w:p w:rsidR="00500724" w:rsidRDefault="00F30FB8">
      <w:pPr>
        <w:pStyle w:val="Zkladntext1"/>
        <w:shd w:val="clear" w:color="auto" w:fill="auto"/>
        <w:spacing w:line="187" w:lineRule="auto"/>
        <w:ind w:firstLine="0"/>
      </w:pPr>
      <w:r>
        <w:rPr>
          <w:b/>
          <w:bCs/>
        </w:rPr>
        <w:t>ještě sensačnější a důležitější zájezd, který docela oficiálně podnikl anglický král Jiří VI. s královnou do Spojených Států amerických. Jak so dalo předpokládat, anglické novi</w:t>
      </w:r>
      <w:r>
        <w:rPr>
          <w:b/>
          <w:bCs/>
        </w:rPr>
        <w:softHyphen/>
        <w:t>ny sl počínal</w:t>
      </w:r>
      <w:r>
        <w:rPr>
          <w:b/>
          <w:bCs/>
        </w:rPr>
        <w:t>y, v této věci velmi zdrželivě a dodnes píší o cestě anglického krále jen jako o návštěvě kanadského dominia, s níž byl spojen přátelský krátký výlet do americ</w:t>
      </w:r>
      <w:r>
        <w:rPr>
          <w:b/>
          <w:bCs/>
        </w:rPr>
        <w:softHyphen/>
        <w:t>ké Unie. Při tom anglické noviny nepíší o nějakých politic</w:t>
      </w:r>
      <w:r>
        <w:rPr>
          <w:b/>
          <w:bCs/>
        </w:rPr>
        <w:softHyphen/>
        <w:t>kých souvislostech, kdežto americké n</w:t>
      </w:r>
      <w:r>
        <w:rPr>
          <w:b/>
          <w:bCs/>
        </w:rPr>
        <w:t xml:space="preserve">oviny jsou otevřenější a Jaksi sensačnější. »New </w:t>
      </w:r>
      <w:r>
        <w:rPr>
          <w:b/>
          <w:bCs/>
          <w:lang w:val="en-US" w:eastAsia="en-US" w:bidi="en-US"/>
        </w:rPr>
        <w:t xml:space="preserve">York Herald </w:t>
      </w:r>
      <w:r>
        <w:rPr>
          <w:b/>
          <w:bCs/>
        </w:rPr>
        <w:t>Tribune® napsaly, že »angiický král zde dělá velkou prácto a rozpisuji se nad</w:t>
      </w:r>
      <w:r>
        <w:rPr>
          <w:b/>
          <w:bCs/>
        </w:rPr>
        <w:softHyphen/>
        <w:t>šeně o tom, že »nikdy naše město nikoho tak rychle ne</w:t>
      </w:r>
      <w:r>
        <w:rPr>
          <w:b/>
          <w:bCs/>
        </w:rPr>
        <w:softHyphen/>
        <w:t>pojalo do svého srdce, jako tohoto štíhlého mladého krále, chví</w:t>
      </w:r>
      <w:r>
        <w:rPr>
          <w:b/>
          <w:bCs/>
        </w:rPr>
        <w:t xml:space="preserve">lemi vznešeného, chvílemi přátelsky se usmívajícího a jeho vždy okouzlující mladistvou královnu® a nikdy prý Ameriěané nikomu tak nadšeně nezpívali »he </w:t>
      </w:r>
      <w:r>
        <w:rPr>
          <w:b/>
          <w:bCs/>
          <w:lang w:val="en-US" w:eastAsia="en-US" w:bidi="en-US"/>
        </w:rPr>
        <w:t xml:space="preserve">is a jolly good fellow® </w:t>
      </w:r>
      <w:r>
        <w:rPr>
          <w:b/>
          <w:bCs/>
        </w:rPr>
        <w:t>jako Jiřímu VI. Americké noviny nadepisují svá Články bojovnými hesly, jako na p</w:t>
      </w:r>
      <w:r>
        <w:rPr>
          <w:b/>
          <w:bCs/>
        </w:rPr>
        <w:t>ř. že »Angličanó a Ameri</w:t>
      </w:r>
      <w:r>
        <w:rPr>
          <w:b/>
          <w:bCs/>
        </w:rPr>
        <w:softHyphen/>
        <w:t>čané se nebojí«, »Sbratření krále a presidenta® anebo »Dva velké národy napříště věrně bok po boku děj se co děj« a podobně. Jak se zdá, podařilo se králově návštěvě americké veřejné mínění do značnější míry než dosud naklonit obkl</w:t>
      </w:r>
      <w:r>
        <w:rPr>
          <w:b/>
          <w:bCs/>
        </w:rPr>
        <w:t>i</w:t>
      </w:r>
      <w:r>
        <w:rPr>
          <w:b/>
          <w:bCs/>
        </w:rPr>
        <w:softHyphen/>
        <w:t>čovací politice.</w:t>
      </w:r>
    </w:p>
    <w:p w:rsidR="00500724" w:rsidRDefault="00F30FB8">
      <w:pPr>
        <w:pStyle w:val="Zkladntext1"/>
        <w:shd w:val="clear" w:color="auto" w:fill="auto"/>
        <w:spacing w:line="187" w:lineRule="auto"/>
        <w:ind w:firstLine="340"/>
      </w:pPr>
      <w:r>
        <w:rPr>
          <w:b/>
          <w:bCs/>
        </w:rPr>
        <w:t>Americké noviny naznačily, že anglický král nejenom si získal srdce Američanů a dodaly, že při své návštěvě na soukromém panství Rooseveltově měl král dost času, aby si s presidentem pohovořili o sstátních záležitostech emi</w:t>
      </w:r>
      <w:r>
        <w:rPr>
          <w:b/>
          <w:bCs/>
        </w:rPr>
        <w:softHyphen/>
        <w:t>nentního význ</w:t>
      </w:r>
      <w:r>
        <w:rPr>
          <w:b/>
          <w:bCs/>
        </w:rPr>
        <w:t xml:space="preserve">amu®. Tak na př. měli prý společnou poradu o evropských věcech, která trvala po čtyři hodiny, a vyšlí z ní oba »rozzářenl </w:t>
      </w:r>
      <w:r>
        <w:rPr>
          <w:b/>
          <w:bCs/>
          <w:sz w:val="20"/>
          <w:szCs w:val="20"/>
        </w:rPr>
        <w:t xml:space="preserve">a </w:t>
      </w:r>
      <w:r>
        <w:rPr>
          <w:b/>
          <w:bCs/>
        </w:rPr>
        <w:t xml:space="preserve">naprosto uspokojeni®. Podle »New York Times« půjdou nyní oba anglicky mluvící národy spolu </w:t>
      </w:r>
      <w:r>
        <w:rPr>
          <w:b/>
          <w:bCs/>
          <w:sz w:val="20"/>
          <w:szCs w:val="20"/>
        </w:rPr>
        <w:t xml:space="preserve">a </w:t>
      </w:r>
      <w:r>
        <w:rPr>
          <w:b/>
          <w:bCs/>
        </w:rPr>
        <w:t>ničím se nedají rozdělit, jsouce si věd</w:t>
      </w:r>
      <w:r>
        <w:rPr>
          <w:b/>
          <w:bCs/>
        </w:rPr>
        <w:t>omi, že »spolek těchto dvou imperií tvoří pak největší politický instrument světa®. To dosáhlo takového rozsahu, že »New York Times® považovaly za nutné přinést článek, ve kterém konstatovaly, že nejsou správné pověsti, jako by se jednalo o vojenský spolek</w:t>
      </w:r>
      <w:r>
        <w:rPr>
          <w:b/>
          <w:bCs/>
        </w:rPr>
        <w:t xml:space="preserve"> mezi Velkou Britanií a Spojenými Státy, ale při tom připojily, že »svět si musí uvědomit, že jak americké Unii tak Anglii jde o mír a k tomu jednota dvou silných národů představuje značnou oporu pro zmatený svě®, poznamenáva</w:t>
      </w:r>
      <w:r>
        <w:rPr>
          <w:b/>
          <w:bCs/>
        </w:rPr>
        <w:softHyphen/>
        <w:t>jíce v závěru článku, že »bylo</w:t>
      </w:r>
      <w:r>
        <w:rPr>
          <w:b/>
          <w:bCs/>
        </w:rPr>
        <w:t xml:space="preserve"> by pošetilé, kdyby to některý národ chtěl Ignorovat«. (»New York Times® 12. června.),</w:t>
      </w:r>
    </w:p>
    <w:p w:rsidR="00500724" w:rsidRDefault="00F30FB8">
      <w:pPr>
        <w:pStyle w:val="Zkladntext1"/>
        <w:shd w:val="clear" w:color="auto" w:fill="auto"/>
        <w:spacing w:line="187" w:lineRule="auto"/>
        <w:ind w:firstLine="0"/>
        <w:jc w:val="center"/>
      </w:pPr>
      <w:r>
        <w:rPr>
          <w:b/>
          <w:bCs/>
        </w:rPr>
        <w:t>•</w:t>
      </w:r>
    </w:p>
    <w:p w:rsidR="00500724" w:rsidRDefault="00F30FB8">
      <w:pPr>
        <w:pStyle w:val="Zkladntext1"/>
        <w:shd w:val="clear" w:color="auto" w:fill="auto"/>
        <w:spacing w:line="187" w:lineRule="auto"/>
        <w:ind w:firstLine="340"/>
        <w:jc w:val="left"/>
      </w:pPr>
      <w:r>
        <w:rPr>
          <w:b/>
          <w:bCs/>
        </w:rPr>
        <w:t>Je přirozené, že americký tisk vzpomínal, že je tomu půl druhého sta let, co poslední zástupci anglického krále Jiřího III. s pocitem hořkosti a porážky musili opustit</w:t>
      </w:r>
      <w:r>
        <w:rPr>
          <w:b/>
          <w:bCs/>
        </w:rPr>
        <w:t xml:space="preserve"> ame</w:t>
      </w:r>
      <w:r>
        <w:rPr>
          <w:b/>
          <w:bCs/>
        </w:rPr>
        <w:softHyphen/>
        <w:t>rické území a že nyní anglický král Jiří VI. vstupuje na americkou půdu ve světle reflektorů, jako vážený a milova</w:t>
      </w:r>
      <w:r>
        <w:rPr>
          <w:b/>
          <w:bCs/>
        </w:rPr>
        <w:softHyphen/>
        <w:t>ný host, za hudby a oslav. To dalo dostatečný podnět k celým seriálům článků o tom, co se za tak dlouhou dobu stalo. Nejpozoruhodnější z</w:t>
      </w:r>
      <w:r>
        <w:rPr>
          <w:b/>
          <w:bCs/>
        </w:rPr>
        <w:t xml:space="preserve">e všech publikací jsou však dvě knihy, do nichž shromáždily londýnské »Times« pod názvem »Ca- nada® a v druhé pod názvem »United States </w:t>
      </w:r>
      <w:r>
        <w:rPr>
          <w:b/>
          <w:bCs/>
          <w:lang w:val="en-US" w:eastAsia="en-US" w:bidi="en-US"/>
        </w:rPr>
        <w:t xml:space="preserve">of </w:t>
      </w:r>
      <w:r>
        <w:rPr>
          <w:b/>
          <w:bCs/>
        </w:rPr>
        <w:t>America® všechny podstatné, ostatně velmi informativní a objektivní, články, úvahy a obrázlty, které přinesly ve zvlá</w:t>
      </w:r>
      <w:r>
        <w:rPr>
          <w:b/>
          <w:bCs/>
        </w:rPr>
        <w:t>štních číslech pří příležitosti královské návštěvy v Kanadě a v Americe.</w:t>
      </w:r>
    </w:p>
    <w:p w:rsidR="00500724" w:rsidRDefault="00F30FB8">
      <w:pPr>
        <w:pStyle w:val="Zkladntext1"/>
        <w:shd w:val="clear" w:color="auto" w:fill="auto"/>
        <w:spacing w:line="187" w:lineRule="auto"/>
        <w:ind w:firstLine="340"/>
        <w:jc w:val="left"/>
      </w:pPr>
      <w:r>
        <w:rPr>
          <w:b/>
          <w:bCs/>
        </w:rPr>
        <w:t xml:space="preserve">Fakt ovšem je, že výsledek kanadské cesty předčil všechno očekávání. Nejde jenom o oficiální přijetí, ale </w:t>
      </w:r>
      <w:r>
        <w:rPr>
          <w:b/>
          <w:bCs/>
          <w:sz w:val="20"/>
          <w:szCs w:val="20"/>
        </w:rPr>
        <w:t xml:space="preserve">je </w:t>
      </w:r>
      <w:r>
        <w:rPr>
          <w:b/>
          <w:bCs/>
        </w:rPr>
        <w:t>patrné, že král byl přijat velmi laskavě také prostým lidem, který v celku</w:t>
      </w:r>
      <w:r>
        <w:rPr>
          <w:b/>
          <w:bCs/>
        </w:rPr>
        <w:t xml:space="preserve"> nikdy neměl zvláštní představu, kde to je, ten </w:t>
      </w:r>
      <w:r>
        <w:rPr>
          <w:b/>
          <w:bCs/>
          <w:lang w:val="en-US" w:eastAsia="en-US" w:bidi="en-US"/>
        </w:rPr>
        <w:t xml:space="preserve">Westminster a Windsor, </w:t>
      </w:r>
      <w:r>
        <w:rPr>
          <w:b/>
          <w:bCs/>
        </w:rPr>
        <w:t>mezi nimiž se anglický král kdesi v Londýně pohybuje. Ostatně králova cesta je také nemalý výkon fysický, ba přimo bychom řekli, sportovní Z Londý</w:t>
      </w:r>
      <w:r>
        <w:rPr>
          <w:b/>
          <w:bCs/>
        </w:rPr>
        <w:softHyphen/>
        <w:t>na do Quebecu Je tak daleko, jako z Qu</w:t>
      </w:r>
      <w:r>
        <w:rPr>
          <w:b/>
          <w:bCs/>
        </w:rPr>
        <w:t>ebecu do Vancouve- ru. To jsou obrovské vzdálenosti! Když uvážíme, že při každé zastávce král musil vykonat všechny uvítací a ostatní ceremonie, zachovat si svěžest a sílu, pak oceníme, co to znamená i z čistě lidské stránky.</w:t>
      </w:r>
    </w:p>
    <w:p w:rsidR="00500724" w:rsidRDefault="00F30FB8">
      <w:pPr>
        <w:pStyle w:val="Zkladntext1"/>
        <w:shd w:val="clear" w:color="auto" w:fill="auto"/>
        <w:tabs>
          <w:tab w:val="left" w:pos="4512"/>
        </w:tabs>
        <w:spacing w:line="187" w:lineRule="auto"/>
        <w:ind w:firstLine="340"/>
        <w:rPr>
          <w:sz w:val="20"/>
          <w:szCs w:val="20"/>
        </w:rPr>
      </w:pPr>
      <w:r>
        <w:rPr>
          <w:b/>
          <w:bCs/>
        </w:rPr>
        <w:t>Již dnes se mluví o tom, že an</w:t>
      </w:r>
      <w:r>
        <w:rPr>
          <w:b/>
          <w:bCs/>
        </w:rPr>
        <w:t>glický král případně ještě pojede do Jižní Afriky, na Nový Zéland a do Austrálie, zbude-li na to vše čas. Propagační význam takové cesty si uvědomíme, když pochopíme, co to znamená pro davy, lidu, kteří krále nikdy neviděly a které »na to mají stejné právo</w:t>
      </w:r>
      <w:r>
        <w:rPr>
          <w:b/>
          <w:bCs/>
        </w:rPr>
        <w:t xml:space="preserve"> jako Kanaďané®, jak napsal oficiální deník anglické vlády nedávno v úvodním článku, když komento</w:t>
      </w:r>
      <w:r>
        <w:rPr>
          <w:b/>
          <w:bCs/>
        </w:rPr>
        <w:softHyphen/>
        <w:t>val hlasy tohoto druhu ozývající se ze zmíněných dominii. Tento lid si totiž uvědomuje, že britské impérium, konstitu</w:t>
      </w:r>
      <w:r>
        <w:rPr>
          <w:b/>
          <w:bCs/>
        </w:rPr>
        <w:softHyphen/>
        <w:t>ce, král a společenství zájmů všech domi</w:t>
      </w:r>
      <w:r>
        <w:rPr>
          <w:b/>
          <w:bCs/>
        </w:rPr>
        <w:t>nií a kolonií s ma</w:t>
      </w:r>
      <w:r>
        <w:rPr>
          <w:b/>
          <w:bCs/>
        </w:rPr>
        <w:softHyphen/>
        <w:t>teřskou zemí není něco abstraktního, pouhý konstituční a právnický pojem, nýbrž živá a skutečná věc. A to pak už má praktický všeobecný význam, který Angličané po zkuše</w:t>
      </w:r>
      <w:r>
        <w:rPr>
          <w:b/>
          <w:bCs/>
        </w:rPr>
        <w:softHyphen/>
        <w:t xml:space="preserve">nostech s královskou cestou do Kanady </w:t>
      </w:r>
      <w:r>
        <w:rPr>
          <w:b/>
          <w:bCs/>
          <w:sz w:val="20"/>
          <w:szCs w:val="20"/>
        </w:rPr>
        <w:t xml:space="preserve">a </w:t>
      </w:r>
      <w:r>
        <w:rPr>
          <w:b/>
          <w:bCs/>
        </w:rPr>
        <w:t>Ameriky dobře pochopili,</w:t>
      </w:r>
      <w:r>
        <w:rPr>
          <w:b/>
          <w:bCs/>
        </w:rPr>
        <w:tab/>
        <w:t xml:space="preserve">M </w:t>
      </w:r>
      <w:r>
        <w:rPr>
          <w:b/>
          <w:bCs/>
          <w:i/>
          <w:iCs/>
          <w:sz w:val="20"/>
          <w:szCs w:val="20"/>
          <w:lang w:val="en-US" w:eastAsia="en-US" w:bidi="en-US"/>
        </w:rPr>
        <w:t>o</w:t>
      </w:r>
      <w:r>
        <w:rPr>
          <w:b/>
          <w:bCs/>
          <w:i/>
          <w:iCs/>
          <w:sz w:val="20"/>
          <w:szCs w:val="20"/>
          <w:lang w:val="en-US" w:eastAsia="en-US" w:bidi="en-US"/>
        </w:rPr>
        <w:t>il</w:t>
      </w:r>
    </w:p>
    <w:p w:rsidR="00500724" w:rsidRDefault="00F30FB8">
      <w:pPr>
        <w:pStyle w:val="Zkladntext1"/>
        <w:shd w:val="clear" w:color="auto" w:fill="auto"/>
        <w:spacing w:after="80" w:line="178" w:lineRule="auto"/>
        <w:ind w:firstLine="0"/>
        <w:jc w:val="center"/>
        <w:rPr>
          <w:sz w:val="20"/>
          <w:szCs w:val="20"/>
        </w:rPr>
      </w:pPr>
      <w:r>
        <w:rPr>
          <w:b/>
          <w:bCs/>
          <w:sz w:val="20"/>
          <w:szCs w:val="20"/>
        </w:rPr>
        <w:t>Český národ chce klid</w:t>
      </w:r>
    </w:p>
    <w:p w:rsidR="00500724" w:rsidRDefault="00F30FB8">
      <w:pPr>
        <w:pStyle w:val="Zkladntext1"/>
        <w:shd w:val="clear" w:color="auto" w:fill="auto"/>
        <w:spacing w:line="187" w:lineRule="auto"/>
        <w:ind w:firstLine="300"/>
      </w:pPr>
      <w:r>
        <w:rPr>
          <w:b/>
          <w:bCs/>
        </w:rPr>
        <w:t>Velmi litujeme, že poměry jsou takového rázu, že nelze H naprostou otevřeností a upřímností, jak to bývalo u nás zvykem, vyslovit všechny myšlenky. Kdyby to bylo možné a kdyby se stejnou otevřeností bylo možno vyslechnout od</w:t>
      </w:r>
      <w:r>
        <w:rPr>
          <w:b/>
          <w:bCs/>
        </w:rPr>
        <w:softHyphen/>
        <w:t xml:space="preserve">pověď </w:t>
      </w:r>
      <w:r>
        <w:rPr>
          <w:b/>
          <w:bCs/>
        </w:rPr>
        <w:t>(dostane-li se takový apel k odpovědným místům Říše) vedoucích státníků velkoněmecké říše, pak by pravdě</w:t>
      </w:r>
      <w:r>
        <w:rPr>
          <w:b/>
          <w:bCs/>
        </w:rPr>
        <w:softHyphen/>
        <w:t>podobně vnitřní vývoj ke klidu byl rychlejší, spolehlivější a bezpečnější. Český národ nechce žádných konfliktů s říš</w:t>
      </w:r>
      <w:r>
        <w:rPr>
          <w:b/>
          <w:bCs/>
        </w:rPr>
        <w:softHyphen/>
        <w:t>skoněmeckým národem. Ostatně s ni</w:t>
      </w:r>
      <w:r>
        <w:rPr>
          <w:b/>
          <w:bCs/>
        </w:rPr>
        <w:t>m nikdy žádných kon</w:t>
      </w:r>
      <w:r>
        <w:rPr>
          <w:b/>
          <w:bCs/>
        </w:rPr>
        <w:softHyphen/>
        <w:t>fliktů nehledal. Je tedy žádoucí odstranit vše, co vadí přímé</w:t>
      </w:r>
      <w:r>
        <w:rPr>
          <w:b/>
          <w:bCs/>
        </w:rPr>
        <w:softHyphen/>
        <w:t>mu dorozumění. Vždyť je přece také v zájmu Říše, aby tato země byla uklidněna a mohla se smířlivě dívat do budouc</w:t>
      </w:r>
      <w:r>
        <w:rPr>
          <w:b/>
          <w:bCs/>
        </w:rPr>
        <w:softHyphen/>
        <w:t>nosti s pocitem bezpečnosti pro národ a každého jeho řád</w:t>
      </w:r>
      <w:r>
        <w:rPr>
          <w:b/>
          <w:bCs/>
        </w:rPr>
        <w:softHyphen/>
        <w:t>néh</w:t>
      </w:r>
      <w:r>
        <w:rPr>
          <w:b/>
          <w:bCs/>
        </w:rPr>
        <w:t>o člena. Proto odsuzujeme každé dráždění, každé píchá</w:t>
      </w:r>
      <w:r>
        <w:rPr>
          <w:b/>
          <w:bCs/>
        </w:rPr>
        <w:softHyphen/>
        <w:t>ní, slovem všechno, co brání tomu, aby se atmosféra uklid</w:t>
      </w:r>
      <w:r>
        <w:rPr>
          <w:b/>
          <w:bCs/>
        </w:rPr>
        <w:softHyphen/>
        <w:t>nila, aby se zase mohlo pracovat a lidsky žít. Stálým vzá</w:t>
      </w:r>
      <w:r>
        <w:rPr>
          <w:b/>
          <w:bCs/>
        </w:rPr>
        <w:softHyphen/>
        <w:t>jemným zasahováním se to nedaří, je tedy třeba, aby sku</w:t>
      </w:r>
      <w:r>
        <w:rPr>
          <w:b/>
          <w:bCs/>
        </w:rPr>
        <w:softHyphen/>
        <w:t>tečně bylo vyvinuto s obou str</w:t>
      </w:r>
      <w:r>
        <w:rPr>
          <w:b/>
          <w:bCs/>
        </w:rPr>
        <w:t>an úsilí o vytvoření takové situace, jakou měl na mysli výnos říšského kancléře.</w:t>
      </w:r>
    </w:p>
    <w:p w:rsidR="00500724" w:rsidRDefault="00F30FB8">
      <w:pPr>
        <w:pStyle w:val="Zkladntext1"/>
        <w:shd w:val="clear" w:color="auto" w:fill="auto"/>
        <w:spacing w:line="187" w:lineRule="auto"/>
        <w:ind w:firstLine="300"/>
      </w:pPr>
      <w:r>
        <w:rPr>
          <w:b/>
          <w:bCs/>
        </w:rPr>
        <w:t>Praví se, že v českém národě je romantika a optimismus. Nuže, právě naprosté uklidnění a pocit národní i osobni bez</w:t>
      </w:r>
      <w:r>
        <w:rPr>
          <w:b/>
          <w:bCs/>
        </w:rPr>
        <w:softHyphen/>
        <w:t>pečnosti povede k urovnání celého životního slohu, jak tomu</w:t>
      </w:r>
      <w:r>
        <w:rPr>
          <w:b/>
          <w:bCs/>
        </w:rPr>
        <w:t xml:space="preserve"> bývalo dříve. Reální politika, zjevnost dobré vůle na všech stranách, odstranění všech třecích ploch, to je nejlepší cesta k likvidaci této »romantiky«, když už tu a tam se o ni mluví. Ale optimismus? Ten přece je kořením života, každý člověk je živ jen z</w:t>
      </w:r>
      <w:r>
        <w:rPr>
          <w:b/>
          <w:bCs/>
        </w:rPr>
        <w:t xml:space="preserve"> toho, že doufá, že jeho podnikáni, jeho snaženi v kanceláři a v jakékoli práci vůbec, jeho usilováni o soukromé štěstí, se podaří. Jinak by byl život zoufalý a nestál by za to, aby byl vůbec žit. Optimismus tedy ne</w:t>
      </w:r>
      <w:r>
        <w:rPr>
          <w:b/>
          <w:bCs/>
        </w:rPr>
        <w:softHyphen/>
        <w:t>smíme nijak potírat, to je lék života. B</w:t>
      </w:r>
      <w:r>
        <w:rPr>
          <w:b/>
          <w:bCs/>
        </w:rPr>
        <w:t>ez této medicíny nebylo by vůbec třeba se o cokoliv snažit, nejen o věci obec</w:t>
      </w:r>
      <w:r>
        <w:rPr>
          <w:b/>
          <w:bCs/>
        </w:rPr>
        <w:softHyphen/>
        <w:t>né, ale i soukromé. Potírat romantiku, ano, ale potírat opti</w:t>
      </w:r>
      <w:r>
        <w:rPr>
          <w:b/>
          <w:bCs/>
        </w:rPr>
        <w:softHyphen/>
        <w:t>mismus, nikoli, protože to by byla ztráta pro nás všechny, kteří žijeme v národní a státním společenství.</w:t>
      </w:r>
    </w:p>
    <w:p w:rsidR="00500724" w:rsidRDefault="00F30FB8">
      <w:pPr>
        <w:pStyle w:val="Zkladntext1"/>
        <w:shd w:val="clear" w:color="auto" w:fill="auto"/>
        <w:spacing w:after="200" w:line="187" w:lineRule="auto"/>
        <w:ind w:firstLine="300"/>
      </w:pPr>
      <w:r>
        <w:rPr>
          <w:b/>
          <w:bCs/>
        </w:rPr>
        <w:t xml:space="preserve">Ale nad to </w:t>
      </w:r>
      <w:r>
        <w:rPr>
          <w:b/>
          <w:bCs/>
        </w:rPr>
        <w:t>vše znovu se vrací jako »Leitmotiv« touho, která j© ve všech vrstvách českého národa, aby byl již konec rozčilování, aby se věci upravily tak, aby se lidé cí</w:t>
      </w:r>
      <w:r>
        <w:rPr>
          <w:b/>
          <w:bCs/>
        </w:rPr>
        <w:softHyphen/>
        <w:t xml:space="preserve">tili uspokojeni, klidnější a tím vyrovnanější se životem. To je přece celostátní </w:t>
      </w:r>
      <w:r>
        <w:rPr>
          <w:b/>
          <w:bCs/>
          <w:sz w:val="20"/>
          <w:szCs w:val="20"/>
        </w:rPr>
        <w:t xml:space="preserve">o </w:t>
      </w:r>
      <w:r>
        <w:rPr>
          <w:b/>
          <w:bCs/>
        </w:rPr>
        <w:t>obecný zájem vš</w:t>
      </w:r>
      <w:r>
        <w:rPr>
          <w:b/>
          <w:bCs/>
        </w:rPr>
        <w:t xml:space="preserve">ech národů Říše. </w:t>
      </w:r>
      <w:r>
        <w:rPr>
          <w:b/>
          <w:bCs/>
          <w:i/>
          <w:iCs/>
          <w:sz w:val="20"/>
          <w:szCs w:val="20"/>
        </w:rPr>
        <w:t>Dr.</w:t>
      </w:r>
      <w:r>
        <w:rPr>
          <w:b/>
          <w:bCs/>
        </w:rPr>
        <w:t xml:space="preserve"> S,</w:t>
      </w:r>
    </w:p>
    <w:p w:rsidR="00500724" w:rsidRDefault="00F30FB8">
      <w:pPr>
        <w:pStyle w:val="Zkladntext1"/>
        <w:shd w:val="clear" w:color="auto" w:fill="auto"/>
        <w:spacing w:after="80" w:line="178" w:lineRule="auto"/>
        <w:ind w:firstLine="0"/>
        <w:jc w:val="center"/>
        <w:rPr>
          <w:sz w:val="20"/>
          <w:szCs w:val="20"/>
        </w:rPr>
      </w:pPr>
      <w:r>
        <w:rPr>
          <w:b/>
          <w:bCs/>
          <w:sz w:val="20"/>
          <w:szCs w:val="20"/>
        </w:rPr>
        <w:t>Sidor odchází</w:t>
      </w:r>
    </w:p>
    <w:p w:rsidR="00500724" w:rsidRDefault="00F30FB8">
      <w:pPr>
        <w:pStyle w:val="Zkladntext1"/>
        <w:shd w:val="clear" w:color="auto" w:fill="auto"/>
        <w:spacing w:line="185" w:lineRule="auto"/>
        <w:ind w:firstLine="300"/>
      </w:pPr>
      <w:r>
        <w:rPr>
          <w:b/>
          <w:bCs/>
          <w:sz w:val="20"/>
          <w:szCs w:val="20"/>
        </w:rPr>
        <w:t xml:space="preserve">Od </w:t>
      </w:r>
      <w:r>
        <w:rPr>
          <w:b/>
          <w:bCs/>
        </w:rPr>
        <w:t>prohlášeni slovenské samostatnosti byl Sidor stálé předmětem pozornosti jako muž, jenž patrně se s tím, co so stalo, neztotožňuje, neboť samostatnost Slovenska prý ne</w:t>
      </w:r>
      <w:r>
        <w:rPr>
          <w:b/>
          <w:bCs/>
        </w:rPr>
        <w:softHyphen/>
        <w:t>byla cílem Hlinkový politiky ani jeho politickým</w:t>
      </w:r>
      <w:r>
        <w:rPr>
          <w:b/>
          <w:bCs/>
        </w:rPr>
        <w:t xml:space="preserve"> odkazem. Protože za vykonavatele politické části závěti Andrejů Hlinky býval označován jeho žák a věrný spolupracovník, Karel Sidor, určitá část veřejnosti napiatě pozorovala, jak se v nových poměrech Sidor zachová a zvláště jaký bude jeho vztah k slovens</w:t>
      </w:r>
      <w:r>
        <w:rPr>
          <w:b/>
          <w:bCs/>
        </w:rPr>
        <w:t>ké vládě, jejímž vlastně byl a nebyl členem. Jménem Sidorovým bylo Slovensko hodně zneklidňováno, Při jeho polonofilské orientaci dávného data nepovažovalo! se za dost dobře možné, aby Sidor byl loyální 1 k Němcům a neni divu, že z nevyjasněného jeho posta</w:t>
      </w:r>
      <w:r>
        <w:rPr>
          <w:b/>
          <w:bCs/>
        </w:rPr>
        <w:t>vení jak ve vládě, tak v politickém dění slovenském, vznikaly mnohé a mnohé pověsti, které veřejnost — a zejména slovenskou mládež —■' hodně znepokojovaly. Sidor byl hlídán, v Bratislavě i v ji</w:t>
      </w:r>
      <w:r>
        <w:rPr>
          <w:b/>
          <w:bCs/>
        </w:rPr>
        <w:softHyphen/>
        <w:t>ných městeeh byly pořádány demonstrace, které, jak Šaňo Mach n</w:t>
      </w:r>
      <w:r>
        <w:rPr>
          <w:b/>
          <w:bCs/>
        </w:rPr>
        <w:t>apsal, působily i dojmem demonstrací proti vládě, a znepokojení bylo tak veliké, že konečně Sidor sám musel se pokusit vlnu neklidu utišit a veřejnosti své názory vy</w:t>
      </w:r>
      <w:r>
        <w:rPr>
          <w:b/>
          <w:bCs/>
        </w:rPr>
        <w:softHyphen/>
        <w:t xml:space="preserve">světlit. Protože bylo </w:t>
      </w:r>
      <w:r>
        <w:rPr>
          <w:b/>
          <w:bCs/>
          <w:lang w:val="en-US" w:eastAsia="en-US" w:bidi="en-US"/>
        </w:rPr>
        <w:t xml:space="preserve">Sidorova </w:t>
      </w:r>
      <w:r>
        <w:rPr>
          <w:b/>
          <w:bCs/>
        </w:rPr>
        <w:t>jména zneužíváno zejména k protiněmecké agitaci, v článku »</w:t>
      </w:r>
      <w:r>
        <w:rPr>
          <w:b/>
          <w:bCs/>
        </w:rPr>
        <w:t>Nech je jasnoto, uveřej</w:t>
      </w:r>
      <w:r>
        <w:rPr>
          <w:b/>
          <w:bCs/>
        </w:rPr>
        <w:softHyphen/>
        <w:t xml:space="preserve">něném ve »Slováku« dne 21. května, zmiňuje se i o této věci. »Vlastizradná práea nemůže mať trvácnosti. Tým menej můjho súhlasu. Je predsa každému jasné, že vo věci spolupráce Slovákov </w:t>
      </w:r>
      <w:r>
        <w:rPr>
          <w:b/>
          <w:bCs/>
          <w:lang w:val="en-US" w:eastAsia="en-US" w:bidi="en-US"/>
        </w:rPr>
        <w:t xml:space="preserve">a Nemcov </w:t>
      </w:r>
      <w:r>
        <w:rPr>
          <w:b/>
          <w:bCs/>
        </w:rPr>
        <w:t>ja som v »Slováku« a na póde pražského</w:t>
      </w:r>
      <w:r>
        <w:rPr>
          <w:b/>
          <w:bCs/>
        </w:rPr>
        <w:t xml:space="preserve"> parlamentu už před rokmi zaujal jasné a kladné stanovisko. Nemám čo na věci vysvětlovat alebů meniť. Vždy som bol a bndem za spoluprácu so všetkými, ktorí sú našej slovenskej vecl prajní a podporuji! úplné uplatnenie sa slovenského práva na Slovensku. </w:t>
      </w:r>
      <w:r>
        <w:rPr>
          <w:b/>
          <w:bCs/>
          <w:i/>
          <w:iCs/>
          <w:sz w:val="20"/>
          <w:szCs w:val="20"/>
        </w:rPr>
        <w:t>A.</w:t>
      </w:r>
      <w:r>
        <w:rPr>
          <w:b/>
          <w:bCs/>
        </w:rPr>
        <w:t xml:space="preserve"> </w:t>
      </w:r>
      <w:r>
        <w:rPr>
          <w:b/>
          <w:bCs/>
        </w:rPr>
        <w:t>keď sO všetkými, tak aj s Nemcami, ktorí nám, bojujúcemu .slo</w:t>
      </w:r>
      <w:r>
        <w:rPr>
          <w:b/>
          <w:bCs/>
        </w:rPr>
        <w:softHyphen/>
        <w:t>venskému národu, v najťažších bojoch za minulého režimu vydatné pomáhali a pomáhat nám cheú aj dnes, ako neod- vislému Slovenskému štátu.«</w:t>
      </w:r>
    </w:p>
    <w:p w:rsidR="00500724" w:rsidRDefault="00F30FB8">
      <w:pPr>
        <w:pStyle w:val="Zkladntext1"/>
        <w:shd w:val="clear" w:color="auto" w:fill="auto"/>
        <w:spacing w:after="140" w:line="185" w:lineRule="auto"/>
        <w:ind w:firstLine="300"/>
      </w:pPr>
      <w:r>
        <w:rPr>
          <w:b/>
          <w:bCs/>
        </w:rPr>
        <w:t xml:space="preserve">Toto prohlášení Sidorovo je tedy dostatečně jasné a </w:t>
      </w:r>
      <w:r>
        <w:rPr>
          <w:b/>
          <w:bCs/>
          <w:sz w:val="20"/>
          <w:szCs w:val="20"/>
        </w:rPr>
        <w:t xml:space="preserve">jo </w:t>
      </w:r>
      <w:r>
        <w:rPr>
          <w:b/>
          <w:bCs/>
        </w:rPr>
        <w:t>Ještě potvrzeno i Šaňo Machem, který v »Slováku« dne 23. května v úvodníku »Povedzme si pravdu®, věnovaném K.</w:t>
      </w:r>
    </w:p>
    <w:p w:rsidR="00500724" w:rsidRDefault="00F30FB8">
      <w:pPr>
        <w:pStyle w:val="Zkladntext1"/>
        <w:shd w:val="clear" w:color="auto" w:fill="auto"/>
        <w:spacing w:line="187" w:lineRule="auto"/>
        <w:ind w:firstLine="0"/>
      </w:pPr>
      <w:r>
        <w:rPr>
          <w:b/>
          <w:bCs/>
        </w:rPr>
        <w:t xml:space="preserve">gidorovi, napsal: </w:t>
      </w:r>
      <w:r>
        <w:rPr>
          <w:b/>
          <w:bCs/>
          <w:lang w:val="en-US" w:eastAsia="en-US" w:bidi="en-US"/>
        </w:rPr>
        <w:t xml:space="preserve">»Ak </w:t>
      </w:r>
      <w:r>
        <w:rPr>
          <w:b/>
          <w:bCs/>
        </w:rPr>
        <w:t xml:space="preserve">sfi medzš námi určité rozdiely v ná- fcřadoeh a otázkách nepodstatných, nie sú, nebály a nesmú byf ani v biidúcRosti naedzi </w:t>
      </w:r>
      <w:r>
        <w:rPr>
          <w:b/>
          <w:bCs/>
        </w:rPr>
        <w:t>nand rozdiely v otázko pod- staínej, ktorá sa lýka existeneie stoveaského národa.*</w:t>
      </w:r>
    </w:p>
    <w:p w:rsidR="00500724" w:rsidRDefault="00F30FB8">
      <w:pPr>
        <w:pStyle w:val="Zkladntext1"/>
        <w:shd w:val="clear" w:color="auto" w:fill="auto"/>
        <w:tabs>
          <w:tab w:val="left" w:pos="3845"/>
        </w:tabs>
        <w:spacing w:after="200" w:line="190" w:lineRule="auto"/>
        <w:ind w:firstLine="240"/>
        <w:rPr>
          <w:sz w:val="20"/>
          <w:szCs w:val="20"/>
        </w:rPr>
      </w:pPr>
      <w:r>
        <w:rPr>
          <w:b/>
          <w:bCs/>
        </w:rPr>
        <w:t>Přestává-li ledy býti nyni Karel Sidor aktivním politic</w:t>
      </w:r>
      <w:r>
        <w:rPr>
          <w:b/>
          <w:bCs/>
        </w:rPr>
        <w:softHyphen/>
        <w:t xml:space="preserve">kým </w:t>
      </w:r>
      <w:r>
        <w:rPr>
          <w:b/>
          <w:bCs/>
          <w:u w:val="single"/>
        </w:rPr>
        <w:t>fgaito</w:t>
      </w:r>
      <w:r>
        <w:rPr>
          <w:b/>
          <w:bCs/>
        </w:rPr>
        <w:t xml:space="preserve">ůem na Slovenska, zřejmě to není proto, že by mezi nám a drahými činiteli, zejména předsedou vlády dr. J. </w:t>
      </w:r>
      <w:r>
        <w:rPr>
          <w:b/>
          <w:bCs/>
        </w:rPr>
        <w:t>Tisem, byly nějaké rozpory v otázce spojenectví a spolu</w:t>
      </w:r>
      <w:r>
        <w:rPr>
          <w:b/>
          <w:bCs/>
        </w:rPr>
        <w:softHyphen/>
        <w:t>práce. Závažnějším důvodem ta patrně je otázka vůd- eovsfcá. ěaóo Mach o tom da iSlováka® 23. května napsal toto: sNeniéžu byl! v státe dva ja alebo Iaraja vódcovia, lebo to by feola katastrofa, tým b</w:t>
      </w:r>
      <w:r>
        <w:rPr>
          <w:b/>
          <w:bCs/>
        </w:rPr>
        <w:t xml:space="preserve">y sa náš štát iwohol ro^saflnúí na dva alebo tri kosy- Kía stojí na čele Státu, za tým musí kráčat národ.* Karel Sidor měl a ještě nó na Slovensku mnoho přívrženců. Hlinkový gardy, třeba už není jejích vrchním velitelem, jdou v převážné většině i nyní, po </w:t>
      </w:r>
      <w:r>
        <w:rPr>
          <w:b/>
          <w:bCs/>
        </w:rPr>
        <w:t>čistce od jeho přívrženců, s ním, jde za ním 1 ta sdovenská veřej</w:t>
      </w:r>
      <w:r>
        <w:rPr>
          <w:b/>
          <w:bCs/>
        </w:rPr>
        <w:softHyphen/>
        <w:t>nost, která nesnáší dost dobře elementy, přihlásivší se za Slováky až po převrate, nebo dokonce jen nedávno. Svým úvodníkem sNajprv spohipráea so Siovákmi«, uveřejněném ve »Stováku« 7. červn</w:t>
      </w:r>
      <w:r>
        <w:rPr>
          <w:b/>
          <w:bCs/>
        </w:rPr>
        <w:t>a, kde apeluje na spoluprácí Slováků se Slováky a vystříhá, že »5tát nemožno bcdovať iiútíami a frázaiiÚK, zřejmě vybízí — třeba se o nieh nezmiňuje — vláda k swúcpráei 1 s evangelíky a tou částí slovenské ve</w:t>
      </w:r>
      <w:r>
        <w:rPr>
          <w:b/>
          <w:bCs/>
        </w:rPr>
        <w:softHyphen/>
        <w:t xml:space="preserve">řejnosti, která se raevčtoníla ještě do Padově </w:t>
      </w:r>
      <w:r>
        <w:rPr>
          <w:b/>
          <w:bCs/>
        </w:rPr>
        <w:t>sírany ani do Výstavby státu, a varuje, že ymo-eenské prostoiedky, vaze- nia, koneeateažný tábor — nemůže byt! sni programem a ani sigamestonK. Sidor tedy chee stmelit všechny složky národa k spolupráci a svou výzvou se staví v čelo. deko slova nž ovšem ne</w:t>
      </w:r>
      <w:r>
        <w:rPr>
          <w:b/>
          <w:bCs/>
        </w:rPr>
        <w:t>mají té závažnosti je’a dříve. Právě se oficiálně asnaiEHje, že do Kávy bylo dopraveno 26 jeho pří</w:t>
      </w:r>
      <w:r>
        <w:rPr>
          <w:b/>
          <w:bCs/>
        </w:rPr>
        <w:softHyphen/>
        <w:t xml:space="preserve">vrženců, sfetorýeh jedinou prácou dneška bolo a je </w:t>
      </w:r>
      <w:r>
        <w:rPr>
          <w:b/>
          <w:bCs/>
          <w:lang w:val="en-US" w:eastAsia="en-US" w:bidi="en-US"/>
        </w:rPr>
        <w:t xml:space="preserve">Ki’sda- </w:t>
      </w:r>
      <w:r>
        <w:rPr>
          <w:b/>
          <w:bCs/>
        </w:rPr>
        <w:t xml:space="preserve">nie cklpov na dlani*. Slovenská vláda se tedy rozhodla ztocmsoSidíTvat poměry jinak, než to Sidor </w:t>
      </w:r>
      <w:r>
        <w:rPr>
          <w:b/>
          <w:bCs/>
        </w:rPr>
        <w:t>doporučoval. 4M- eházejicí bude moci z povzdálí pozorovat, bade-lí tato me</w:t>
      </w:r>
      <w:r>
        <w:rPr>
          <w:b/>
          <w:bCs/>
        </w:rPr>
        <w:softHyphen/>
        <w:t>toda účinnější.</w:t>
      </w:r>
      <w:r>
        <w:rPr>
          <w:b/>
          <w:bCs/>
        </w:rPr>
        <w:tab/>
      </w:r>
      <w:r>
        <w:rPr>
          <w:i/>
          <w:iCs/>
          <w:sz w:val="20"/>
          <w:szCs w:val="20"/>
        </w:rPr>
        <w:t>Josef Dvořák</w:t>
      </w:r>
    </w:p>
    <w:p w:rsidR="00500724" w:rsidRDefault="00F30FB8">
      <w:pPr>
        <w:pStyle w:val="Zkladntext1"/>
        <w:shd w:val="clear" w:color="auto" w:fill="auto"/>
        <w:spacing w:after="80" w:line="211" w:lineRule="auto"/>
        <w:ind w:firstLine="240"/>
      </w:pPr>
      <w:r>
        <w:rPr>
          <w:b/>
          <w:bCs/>
        </w:rPr>
        <w:t>Pcls&amp;é problémy: sedláci, menšiny, panslavismus</w:t>
      </w:r>
    </w:p>
    <w:p w:rsidR="00500724" w:rsidRDefault="00F30FB8">
      <w:pPr>
        <w:pStyle w:val="Zkladntext1"/>
        <w:shd w:val="clear" w:color="auto" w:fill="auto"/>
        <w:spacing w:line="211" w:lineRule="auto"/>
        <w:ind w:firstLine="300"/>
      </w:pPr>
      <w:r>
        <w:rPr>
          <w:b/>
          <w:bCs/>
        </w:rPr>
        <w:t>Anaeišcký publieista K, L. Bacil napsal právě knihu o Polsku, která je zajímavá seskupením hlavních prob</w:t>
      </w:r>
      <w:r>
        <w:rPr>
          <w:b/>
          <w:bCs/>
        </w:rPr>
        <w:t xml:space="preserve">lémů, jali on je shledal v polské státní politice. (»Poland, </w:t>
      </w:r>
      <w:r>
        <w:rPr>
          <w:b/>
          <w:bCs/>
          <w:lang w:val="en-US" w:eastAsia="en-US" w:bidi="en-US"/>
        </w:rPr>
        <w:t xml:space="preserve">key </w:t>
      </w:r>
      <w:r>
        <w:rPr>
          <w:b/>
          <w:bCs/>
        </w:rPr>
        <w:t xml:space="preserve">to </w:t>
      </w:r>
      <w:r>
        <w:rPr>
          <w:b/>
          <w:bCs/>
          <w:lang w:val="en-US" w:eastAsia="en-US" w:bidi="en-US"/>
        </w:rPr>
        <w:t xml:space="preserve">Europe.* </w:t>
      </w:r>
      <w:r>
        <w:rPr>
          <w:b/>
          <w:bCs/>
        </w:rPr>
        <w:t xml:space="preserve">By R. L. Buefl. Vydal </w:t>
      </w:r>
      <w:r>
        <w:rPr>
          <w:b/>
          <w:bCs/>
          <w:lang w:val="en-US" w:eastAsia="en-US" w:bidi="en-US"/>
        </w:rPr>
        <w:t xml:space="preserve">Cape, </w:t>
      </w:r>
      <w:r>
        <w:rPr>
          <w:b/>
          <w:bCs/>
        </w:rPr>
        <w:t>cena 10 s. 6 d.) V Pol</w:t>
      </w:r>
      <w:r>
        <w:rPr>
          <w:b/>
          <w:bCs/>
        </w:rPr>
        <w:softHyphen/>
        <w:t xml:space="preserve">ska vi® </w:t>
      </w:r>
      <w:r>
        <w:rPr>
          <w:b/>
          <w:bCs/>
          <w:lang w:val="en-US" w:eastAsia="en-US" w:bidi="en-US"/>
        </w:rPr>
        <w:t xml:space="preserve">Mr. Buell </w:t>
      </w:r>
      <w:r>
        <w:rPr>
          <w:b/>
          <w:bCs/>
        </w:rPr>
        <w:t>klíč k Evropě, aíe teC se rosami, Evropa nsá takových klíčů více a tu a tam ši podle situace nové vy</w:t>
      </w:r>
      <w:r>
        <w:rPr>
          <w:b/>
          <w:bCs/>
        </w:rPr>
        <w:softHyphen/>
        <w:t>rábí aneb</w:t>
      </w:r>
      <w:r>
        <w:rPr>
          <w:b/>
          <w:bCs/>
        </w:rPr>
        <w:t>o starší zase ukládá zatím stranou do police. To je tedy jen piatežlivý název knihy, nie více.</w:t>
      </w:r>
    </w:p>
    <w:p w:rsidR="00500724" w:rsidRDefault="00F30FB8">
      <w:pPr>
        <w:pStyle w:val="Zkladntext1"/>
        <w:shd w:val="clear" w:color="auto" w:fill="auto"/>
        <w:spacing w:line="211" w:lineRule="auto"/>
        <w:ind w:firstLine="300"/>
      </w:pPr>
      <w:r>
        <w:rPr>
          <w:b/>
          <w:bCs/>
        </w:rPr>
        <w:t xml:space="preserve">ZsjímaTO však je, že aster vidí hlavní problém Polska v tom, podaři-ti se vládě a systému státní správy uspokojit sedláky, kteří trpí pod panstvím velkostatkářů </w:t>
      </w:r>
      <w:r>
        <w:rPr>
          <w:b/>
          <w:bCs/>
          <w:lang w:val="en-US" w:eastAsia="en-US" w:bidi="en-US"/>
        </w:rPr>
        <w:t xml:space="preserve">a </w:t>
      </w:r>
      <w:r>
        <w:rPr>
          <w:b/>
          <w:bCs/>
        </w:rPr>
        <w:t xml:space="preserve">latiřandi- Stšcfcé aristokracie. Píše, že ve věd se dosud mnoho nestalo, až jde skutečně o jeden ae základních problémů státu. </w:t>
      </w:r>
      <w:r>
        <w:rPr>
          <w:b/>
          <w:bCs/>
          <w:sz w:val="20"/>
          <w:szCs w:val="20"/>
        </w:rPr>
        <w:t xml:space="preserve">Um- </w:t>
      </w:r>
      <w:r>
        <w:rPr>
          <w:b/>
          <w:bCs/>
        </w:rPr>
        <w:t>kým problémem jsou menšiny, které tvoři třetinu obyvatel</w:t>
      </w:r>
      <w:r>
        <w:rPr>
          <w:b/>
          <w:bCs/>
        </w:rPr>
        <w:softHyphen/>
        <w:t xml:space="preserve">stva, Na Ukrajině se oba problémy slučují, protože tam sedláci </w:t>
      </w:r>
      <w:r>
        <w:rPr>
          <w:b/>
          <w:bCs/>
        </w:rPr>
        <w:t>jsou ještě ke všemu zaujati proti velkostatkářům z národnostních důvodů, nebof rolnický stav je tam původu ukrajinského, kdežto majitelé panství jsou Poláci.</w:t>
      </w:r>
    </w:p>
    <w:p w:rsidR="00500724" w:rsidRDefault="00F30FB8">
      <w:pPr>
        <w:pStyle w:val="Zkladntext1"/>
        <w:shd w:val="clear" w:color="auto" w:fill="auto"/>
        <w:tabs>
          <w:tab w:val="left" w:pos="4766"/>
        </w:tabs>
        <w:spacing w:after="40" w:line="211" w:lineRule="auto"/>
        <w:ind w:firstLine="300"/>
      </w:pPr>
      <w:r>
        <w:rPr>
          <w:b/>
          <w:bCs/>
        </w:rPr>
        <w:t>Třetím problémem pak je panslavismus. Polsko podle BiíeHova názoru nemůže býti zaujato pro panslav</w:t>
      </w:r>
      <w:r>
        <w:rPr>
          <w:b/>
          <w:bCs/>
        </w:rPr>
        <w:t xml:space="preserve">ismus, protože vítězství této </w:t>
      </w:r>
      <w:r>
        <w:rPr>
          <w:b/>
          <w:bCs/>
          <w:lang w:val="en-US" w:eastAsia="en-US" w:bidi="en-US"/>
        </w:rPr>
        <w:t xml:space="preserve">idee </w:t>
      </w:r>
      <w:r>
        <w:rPr>
          <w:b/>
          <w:bCs/>
        </w:rPr>
        <w:t>by znamenalo vítězství anebo alespoň velké posílení Ruska, které je ovšem vzhledem k své síle daleko mocnějším panslavisfickým činitelem než by Eíiohto býti Polsko. Buefl poznamenává, Se Polsko by bylo asi nakioněno pansl</w:t>
      </w:r>
      <w:r>
        <w:rPr>
          <w:b/>
          <w:bCs/>
        </w:rPr>
        <w:t>avismu jediné v tom případě, že by Rusko nějakým zázrakem neexistovala. To je ovšem absurd</w:t>
      </w:r>
      <w:r>
        <w:rPr>
          <w:b/>
          <w:bCs/>
        </w:rPr>
        <w:softHyphen/>
        <w:t>ní hypoíhese a proto takto jde podle Bacilova mínění Pol</w:t>
      </w:r>
      <w:r>
        <w:rPr>
          <w:b/>
          <w:bCs/>
        </w:rPr>
        <w:softHyphen/>
        <w:t>sku o to, aby Rusko se ani nespojilo, ani (pokud možná) ne- válSflo s Německem, protože v ofeon případech je</w:t>
      </w:r>
      <w:r>
        <w:rPr>
          <w:b/>
          <w:bCs/>
        </w:rPr>
        <w:t xml:space="preserve"> polská svoboda v sázce. Menším zlem pro Polsko však podle Bacilo</w:t>
      </w:r>
      <w:r>
        <w:rPr>
          <w:b/>
          <w:bCs/>
        </w:rPr>
        <w:softHyphen/>
        <w:t>va mátěiú je válka Spojení, to jest aliance ruske-německá, fcy totiž znamenalo konec, opětné rozdělení Polska, kdežto válka by znamenala, že jeden z mlýnských kamenů, mezi kterými Polsko je,</w:t>
      </w:r>
      <w:r>
        <w:rPr>
          <w:b/>
          <w:bCs/>
        </w:rPr>
        <w:t xml:space="preserve"> se oslabí na díoahá léta. Před rusko- německoa dohodou dá tedy Polsko vždy přednost torna, aby Rusko se s Německem dostaly do války. To prý, kromě vá</w:t>
      </w:r>
      <w:r>
        <w:rPr>
          <w:b/>
          <w:bCs/>
        </w:rPr>
        <w:softHyphen/>
        <w:t>havé politiky mezi oběma velkými sousedy, je základní axiom polského soudobého státoictví.</w:t>
      </w:r>
      <w:r>
        <w:rPr>
          <w:b/>
          <w:bCs/>
        </w:rPr>
        <w:tab/>
      </w:r>
      <w:r>
        <w:rPr>
          <w:b/>
          <w:bCs/>
          <w:i/>
          <w:iCs/>
        </w:rPr>
        <w:t>Cis</w:t>
      </w:r>
    </w:p>
    <w:p w:rsidR="00500724" w:rsidRDefault="00F30FB8">
      <w:pPr>
        <w:pStyle w:val="Zkladntext1"/>
        <w:shd w:val="clear" w:color="auto" w:fill="auto"/>
        <w:spacing w:after="120" w:line="163" w:lineRule="auto"/>
        <w:ind w:firstLine="0"/>
        <w:jc w:val="center"/>
        <w:rPr>
          <w:sz w:val="20"/>
          <w:szCs w:val="20"/>
        </w:rPr>
      </w:pPr>
      <w:r>
        <w:rPr>
          <w:b/>
          <w:bCs/>
          <w:sz w:val="20"/>
          <w:szCs w:val="20"/>
        </w:rPr>
        <w:t>SšfovsBsfe</w:t>
      </w:r>
      <w:r>
        <w:rPr>
          <w:b/>
          <w:bCs/>
          <w:sz w:val="20"/>
          <w:szCs w:val="20"/>
        </w:rPr>
        <w:t xml:space="preserve">é divadlo </w:t>
      </w:r>
      <w:r>
        <w:rPr>
          <w:rFonts w:ascii="Arial" w:eastAsia="Arial" w:hAnsi="Arial" w:cs="Arial"/>
          <w:b/>
          <w:bCs/>
          <w:sz w:val="22"/>
          <w:szCs w:val="22"/>
        </w:rPr>
        <w:t xml:space="preserve">a </w:t>
      </w:r>
      <w:r>
        <w:rPr>
          <w:b/>
          <w:bCs/>
          <w:sz w:val="20"/>
          <w:szCs w:val="20"/>
        </w:rPr>
        <w:t>ěešíá herci</w:t>
      </w:r>
    </w:p>
    <w:p w:rsidR="00500724" w:rsidRDefault="00F30FB8">
      <w:pPr>
        <w:pStyle w:val="Zkladntext1"/>
        <w:shd w:val="clear" w:color="auto" w:fill="auto"/>
        <w:spacing w:line="190" w:lineRule="auto"/>
        <w:ind w:firstLine="280"/>
      </w:pPr>
      <w:r>
        <w:rPr>
          <w:b/>
          <w:bCs/>
        </w:rPr>
        <w:t>Před nedávném proběhla českým denním tiskem zprá</w:t>
      </w:r>
      <w:r>
        <w:rPr>
          <w:b/>
          <w:bCs/>
        </w:rPr>
        <w:softHyphen/>
        <w:t>va, že Slovenské národní divadlo v Bratislavě požádalo Svaz českého herectva o sdělení adres všech bývalých českých Seaaů SND, aby s nimi máklo jednati o sjígaša-vání na novo® sezónu.</w:t>
      </w:r>
      <w:r>
        <w:rPr>
          <w:b/>
          <w:bCs/>
        </w:rPr>
        <w:t xml:space="preserve"> A stwěBsaě bylo toto pozvání azuačano za lichotivé. Aby bylo jámo, řekněme </w:t>
      </w:r>
      <w:r>
        <w:rPr>
          <w:b/>
          <w:bCs/>
          <w:lang w:val="en-US" w:eastAsia="en-US" w:bidi="en-US"/>
        </w:rPr>
        <w:t xml:space="preserve">toed, </w:t>
      </w:r>
      <w:r>
        <w:rPr>
          <w:b/>
          <w:bCs/>
        </w:rPr>
        <w:t>že toto, za lichotivé označené pozvání. Svazu českého herectva ne</w:t>
      </w:r>
      <w:r>
        <w:rPr>
          <w:b/>
          <w:bCs/>
        </w:rPr>
        <w:softHyphen/>
        <w:t>došlo, SNI), které je v situaci velmi kritické, potřebuje nutně posilu ve zpěvohře a v baletu a pralo se dot</w:t>
      </w:r>
      <w:r>
        <w:rPr>
          <w:b/>
          <w:bCs/>
        </w:rPr>
        <w:t>ázalo Svazu, zda by tm nesdělil adresy některých svých čtená, aby s nimi případně mohlo vyjennávati.</w:t>
      </w:r>
    </w:p>
    <w:p w:rsidR="00500724" w:rsidRDefault="00F30FB8">
      <w:pPr>
        <w:pStyle w:val="Zkladntext1"/>
        <w:shd w:val="clear" w:color="auto" w:fill="auto"/>
        <w:spacing w:line="187" w:lineRule="auto"/>
        <w:ind w:firstLine="280"/>
      </w:pPr>
      <w:r>
        <w:rPr>
          <w:b/>
          <w:bCs/>
        </w:rPr>
        <w:t>Původně styíisovaná zpráva vzbuzovala dojem, jako by SNS chtělo znova angažovat! bývalý soubor ěesfeé činohry, v posledních letech režírovaný Viktorem Šale</w:t>
      </w:r>
      <w:r>
        <w:rPr>
          <w:b/>
          <w:bCs/>
        </w:rPr>
        <w:t>asn. Tento soubor měl v mínnié sezóně 18 Senu, z ntehž 15 bylo Cechů a 3 Slováci, resp. Slovenky. Z tohoto souboru lů členů ode</w:t>
      </w:r>
      <w:r>
        <w:rPr>
          <w:b/>
          <w:bCs/>
        </w:rPr>
        <w:softHyphen/>
        <w:t>šlo do Prahy, protože jim byla po 6. říjnu dána. výpověď, s S byla snjlaava do konec sezóny obnovena a 3 slovenští členové přešl</w:t>
      </w:r>
      <w:r>
        <w:rPr>
          <w:b/>
          <w:bCs/>
        </w:rPr>
        <w:t>i do slovenskélio souboru. Z těch Čechů, kdo v SNU zúsfeíi, dva — Karel Eint a Marie Rintová — sío- venštinn již z dřívějších dob ovládali, a další tři, doset Budský, MKada Prýdová a Brahoš Želenský, se pnzpůso- bili, aniž by jim to bylo zatím náležité kvi</w:t>
      </w:r>
      <w:r>
        <w:rPr>
          <w:b/>
          <w:bCs/>
        </w:rPr>
        <w:t xml:space="preserve">továno. Kromě toho zůstali u stovHtskS činohry ještě manželé Sýkorovi, kteří v ní již dříve působiti. Celkem tedy zatím v čiaoher- nina souboru SND zůstává 7 Čechů, </w:t>
      </w:r>
      <w:r>
        <w:rPr>
          <w:rFonts w:ascii="Arial" w:eastAsia="Arial" w:hAnsi="Arial" w:cs="Arial"/>
          <w:b/>
          <w:bCs/>
          <w:sz w:val="22"/>
          <w:szCs w:val="22"/>
        </w:rPr>
        <w:t xml:space="preserve">o </w:t>
      </w:r>
      <w:r>
        <w:rPr>
          <w:b/>
          <w:bCs/>
        </w:rPr>
        <w:t>nichž ještě není známo, zda byli i na příští sezónu angažováni. Soudíc však podle zpěvohr</w:t>
      </w:r>
      <w:r>
        <w:rPr>
          <w:b/>
          <w:bCs/>
        </w:rPr>
        <w:t xml:space="preserve">y, sotva se tak stalo. SND jejich odchodem bude oetinzeao o několik vyzrálých umělců, za </w:t>
      </w:r>
      <w:r>
        <w:rPr>
          <w:rFonts w:ascii="Arial" w:eastAsia="Arial" w:hAnsi="Arial" w:cs="Arial"/>
          <w:smallCaps/>
          <w:sz w:val="16"/>
          <w:szCs w:val="16"/>
        </w:rPr>
        <w:t>běž</w:t>
      </w:r>
      <w:r>
        <w:rPr>
          <w:b/>
          <w:bCs/>
        </w:rPr>
        <w:t xml:space="preserve"> zatán náhrady — aspoň rovnocenné — nemá.</w:t>
      </w:r>
    </w:p>
    <w:p w:rsidR="00500724" w:rsidRDefault="00F30FB8">
      <w:pPr>
        <w:pStyle w:val="Zkladntext1"/>
        <w:shd w:val="clear" w:color="auto" w:fill="auto"/>
        <w:spacing w:line="187" w:lineRule="auto"/>
        <w:ind w:firstLine="280"/>
      </w:pPr>
      <w:r>
        <w:rPr>
          <w:b/>
          <w:bCs/>
        </w:rPr>
        <w:t xml:space="preserve">Slovenské národní divadlo má ovšem dnes ještě vážaějšS problémy, než je </w:t>
      </w:r>
      <w:r>
        <w:rPr>
          <w:b/>
          <w:bCs/>
          <w:lang w:val="en-US" w:eastAsia="en-US" w:bidi="en-US"/>
        </w:rPr>
        <w:t xml:space="preserve">angaaovSni </w:t>
      </w:r>
      <w:r>
        <w:rPr>
          <w:b/>
          <w:bCs/>
        </w:rPr>
        <w:t xml:space="preserve">nových členů, resp. ěcpíaěaí souborů. Bnes totiž běží o jeho </w:t>
      </w:r>
      <w:r>
        <w:rPr>
          <w:b/>
          <w:bCs/>
          <w:lang w:val="en-US" w:eastAsia="en-US" w:bidi="en-US"/>
        </w:rPr>
        <w:t xml:space="preserve">exSsfenei. </w:t>
      </w:r>
      <w:r>
        <w:rPr>
          <w:b/>
          <w:bCs/>
        </w:rPr>
        <w:t>V minutých letech bylo to divadío velnň štědře z veřejných prostředků podporované. Od státu dostávalo 2,009.000 K, od zemského výboru slovenského l.OOfi.bSO E, od města Bratislavy takt</w:t>
      </w:r>
      <w:r>
        <w:rPr>
          <w:b/>
          <w:bCs/>
        </w:rPr>
        <w:t>éž 1,090^)9 K a kromě toho na jeho provoz přispívala sitišjsou částkou i druhá města slovenská, v nichž pr&amp;vi&amp;lsě svým slovenským činoherním souborem po dva měsíce hostovalo. SND tedy dostávalo ročně jen z veřejných prostředků přes 4,009.080 K, což k zajiš</w:t>
      </w:r>
      <w:r>
        <w:rPr>
          <w:b/>
          <w:bCs/>
        </w:rPr>
        <w:t xml:space="preserve">tění jeho existence staSto, protože mělo vlastně je® dva de&amp;átsií soufeoryi opera a slovenskaa čňiolsríi. Slovenský stát v této výši divadla subvenci po- skytnoafi semůše, a protože doSo i k přesunům v řadách obeetsisív?, — ze slovenských měst, a hlavně z </w:t>
      </w:r>
      <w:r>
        <w:rPr>
          <w:b/>
          <w:bCs/>
        </w:rPr>
        <w:t>Bratislavy, oáešia česká veřejnost — slovenské divadlo hraje žatou za veiriú slabých návštěv. V denníru lísku i v rozhlase je na</w:t>
      </w:r>
      <w:r>
        <w:rPr>
          <w:b/>
          <w:bCs/>
        </w:rPr>
        <w:softHyphen/>
        <w:t xml:space="preserve">darmo obecenstvo vybízeno k návštěvě a nadarmo se pri </w:t>
      </w:r>
      <w:r>
        <w:rPr>
          <w:b/>
          <w:bCs/>
          <w:lang w:val="en-US" w:eastAsia="en-US" w:bidi="en-US"/>
        </w:rPr>
        <w:t xml:space="preserve">torn </w:t>
      </w:r>
      <w:r>
        <w:rPr>
          <w:b/>
          <w:bCs/>
        </w:rPr>
        <w:t xml:space="preserve">zdůrazňuje, že asíovenský národ bude mař íen </w:t>
      </w:r>
      <w:r>
        <w:rPr>
          <w:b/>
          <w:bCs/>
          <w:lang w:val="en-US" w:eastAsia="en-US" w:bidi="en-US"/>
        </w:rPr>
        <w:t xml:space="preserve">tie </w:t>
      </w:r>
      <w:r>
        <w:rPr>
          <w:b/>
          <w:bCs/>
        </w:rPr>
        <w:t>ku</w:t>
      </w:r>
      <w:r>
        <w:rPr>
          <w:b/>
          <w:bCs/>
        </w:rPr>
        <w:softHyphen/>
        <w:t>táme iašíitúcše,</w:t>
      </w:r>
      <w:r>
        <w:rPr>
          <w:b/>
          <w:bCs/>
        </w:rPr>
        <w:t xml:space="preserve"> ktoré potřebuje*. Nové puhltkum se di</w:t>
      </w:r>
      <w:r>
        <w:rPr>
          <w:b/>
          <w:bCs/>
        </w:rPr>
        <w:softHyphen/>
        <w:t xml:space="preserve">vadlu vyhýbá a proto se dnes uvažuje i o tona, že ti veřejní zainěstzianeí, kteří jsou lépe situováni, budou donuceni k předplaceni. Jaký to rozdíl ve </w:t>
      </w:r>
      <w:r>
        <w:rPr>
          <w:b/>
          <w:bCs/>
          <w:lang w:val="en-US" w:eastAsia="en-US" w:bidi="en-US"/>
        </w:rPr>
        <w:t xml:space="preserve">-srovuSm </w:t>
      </w:r>
      <w:r>
        <w:rPr>
          <w:b/>
          <w:bCs/>
        </w:rPr>
        <w:t>s 4Bvadly českými, dnes daleko dopředu vyprodanými!</w:t>
      </w:r>
    </w:p>
    <w:p w:rsidR="00500724" w:rsidRDefault="00F30FB8">
      <w:pPr>
        <w:pStyle w:val="Zkladntext1"/>
        <w:shd w:val="clear" w:color="auto" w:fill="auto"/>
        <w:tabs>
          <w:tab w:val="left" w:pos="3787"/>
        </w:tabs>
        <w:spacing w:after="200" w:line="187" w:lineRule="auto"/>
        <w:ind w:firstLine="280"/>
        <w:rPr>
          <w:sz w:val="20"/>
          <w:szCs w:val="20"/>
        </w:rPr>
      </w:pPr>
      <w:r>
        <w:rPr>
          <w:b/>
          <w:bCs/>
        </w:rPr>
        <w:t xml:space="preserve">SND, </w:t>
      </w:r>
      <w:r>
        <w:rPr>
          <w:b/>
          <w:bCs/>
        </w:rPr>
        <w:t>zejména pak jeho činohra, má i problém reper</w:t>
      </w:r>
      <w:r>
        <w:rPr>
          <w:b/>
          <w:bCs/>
        </w:rPr>
        <w:softHyphen/>
        <w:t xml:space="preserve">toáru a sty to. Její režasér </w:t>
      </w:r>
      <w:r>
        <w:rPr>
          <w:b/>
          <w:bCs/>
          <w:smallCaps/>
          <w:sz w:val="22"/>
          <w:szCs w:val="22"/>
        </w:rPr>
        <w:t>Jkh</w:t>
      </w:r>
      <w:r>
        <w:rPr>
          <w:b/>
          <w:bCs/>
        </w:rPr>
        <w:t xml:space="preserve"> Borodáě, původem Kasin, orientoval ji záměrně k ruskému realismu a sovětské dra</w:t>
      </w:r>
      <w:r>
        <w:rPr>
          <w:b/>
          <w:bCs/>
        </w:rPr>
        <w:softHyphen/>
        <w:t>matice i draEuatorgii. Protože slovenská dramatická pro</w:t>
      </w:r>
      <w:r>
        <w:rPr>
          <w:b/>
          <w:bCs/>
        </w:rPr>
        <w:softHyphen/>
        <w:t>dukce je nepočetná, bude divadlo nuceno pě</w:t>
      </w:r>
      <w:r>
        <w:rPr>
          <w:b/>
          <w:bCs/>
        </w:rPr>
        <w:t>stovali reper</w:t>
      </w:r>
      <w:r>
        <w:rPr>
          <w:b/>
          <w:bCs/>
        </w:rPr>
        <w:softHyphen/>
        <w:t>toár překladový, což je při nedostatku překladatelů &amp; hlavně devis dnes velmi nesnadné. Nové obecenstvo, iná-íi býti získáno, KHtsí býti získáno repertoárem novým » pestrým, nemluvě o tom, že i dobře provedeným. SKD se rozpuště</w:t>
      </w:r>
      <w:r>
        <w:rPr>
          <w:b/>
          <w:bCs/>
        </w:rPr>
        <w:softHyphen/>
        <w:t>ním českého či</w:t>
      </w:r>
      <w:r>
        <w:rPr>
          <w:b/>
          <w:bCs/>
        </w:rPr>
        <w:t>noherního souboru fmaisčně pošfeotHlo. Ze dvou aktivních a dvou pasivních má vlastně dnes tři pasivní soubory.</w:t>
      </w:r>
      <w:r>
        <w:rPr>
          <w:b/>
          <w:bCs/>
        </w:rPr>
        <w:tab/>
      </w:r>
      <w:r>
        <w:rPr>
          <w:i/>
          <w:iCs/>
          <w:sz w:val="20"/>
          <w:szCs w:val="20"/>
        </w:rPr>
        <w:t>Josef Dvořák</w:t>
      </w:r>
    </w:p>
    <w:p w:rsidR="00500724" w:rsidRDefault="00F30FB8">
      <w:pPr>
        <w:pStyle w:val="Zkladntext1"/>
        <w:shd w:val="clear" w:color="auto" w:fill="auto"/>
        <w:spacing w:after="60" w:line="178" w:lineRule="auto"/>
        <w:ind w:firstLine="0"/>
        <w:jc w:val="center"/>
        <w:rPr>
          <w:sz w:val="20"/>
          <w:szCs w:val="20"/>
        </w:rPr>
      </w:pPr>
      <w:r>
        <w:rPr>
          <w:b/>
          <w:bCs/>
          <w:sz w:val="20"/>
          <w:szCs w:val="20"/>
        </w:rPr>
        <w:t>Bacit piáavs a nové budovy Národního musea</w:t>
      </w:r>
    </w:p>
    <w:p w:rsidR="00500724" w:rsidRDefault="00F30FB8">
      <w:pPr>
        <w:pStyle w:val="Zkladntext1"/>
        <w:shd w:val="clear" w:color="auto" w:fill="auto"/>
        <w:spacing w:line="209" w:lineRule="auto"/>
        <w:ind w:firstLine="240"/>
      </w:pPr>
      <w:r>
        <w:rPr>
          <w:b/>
          <w:bCs/>
        </w:rPr>
        <w:t xml:space="preserve">Národní moseum nepostačuje už dlouho potřebě. Je obava, že v-záený materiál utopí, nebo </w:t>
      </w:r>
      <w:r>
        <w:rPr>
          <w:b/>
          <w:bCs/>
        </w:rPr>
        <w:t>dokonce se zatíží špat</w:t>
      </w:r>
      <w:r>
        <w:rPr>
          <w:b/>
          <w:bCs/>
        </w:rPr>
        <w:softHyphen/>
        <w:t>ným uložením, nehledíc k tomu, že nemůže sloužit prácí tak, jak by mohl v dobře organisované rnusejn: budově, eož se zejména týká musea přírodevědeekého; O psířebě no</w:t>
      </w:r>
      <w:r>
        <w:rPr>
          <w:b/>
          <w:bCs/>
        </w:rPr>
        <w:softHyphen/>
        <w:t>vých budov, či nové budovy, není ostatně již žádných po</w:t>
      </w:r>
      <w:r>
        <w:rPr>
          <w:b/>
          <w:bCs/>
        </w:rPr>
        <w:softHyphen/>
        <w:t>chyb a pří</w:t>
      </w:r>
      <w:r>
        <w:rPr>
          <w:b/>
          <w:bCs/>
        </w:rPr>
        <w:t>pravy k re&amp;Esaei dnes již velnú pokroSJy. Tyto přípravy nejsou nikterak nového data — nejdůleStější věcí bylo a je nalezení vhodného stavebního místa. Když bylo určeno místo na Hradčanech u Lorety (na pozemcích hý- valé donucovací pracovny), byla vypsána v</w:t>
      </w:r>
      <w:r>
        <w:rPr>
          <w:b/>
          <w:bCs/>
        </w:rPr>
        <w:t xml:space="preserve">eřejná soutěž a zdálo se, že byl učiněn rozhodující krok kupředu. Nebyl — dnes můžeme říci, že to je dobře. (Nepřihlsaíme-B ovSem </w:t>
      </w:r>
      <w:r>
        <w:rPr>
          <w:b/>
          <w:bCs/>
          <w:i/>
          <w:iCs/>
          <w:sz w:val="20"/>
          <w:szCs w:val="20"/>
        </w:rPr>
        <w:t>k</w:t>
      </w:r>
      <w:r>
        <w:rPr>
          <w:b/>
          <w:bCs/>
        </w:rPr>
        <w:t xml:space="preserve"> nevyužité pracovní energii zúčastněných architektů a ostatních odborníků — na to jsme však byli zvyklí.) Věc potom navenek usnula. Skoro dva roky potom — v nedáv</w:t>
      </w:r>
      <w:r>
        <w:rPr>
          <w:b/>
          <w:bCs/>
        </w:rPr>
        <w:softHyphen/>
        <w:t>ných dnech — pur itnfUj veřejnosti nové zprávy o dal</w:t>
      </w:r>
      <w:r>
        <w:rPr>
          <w:b/>
          <w:bCs/>
        </w:rPr>
        <w:softHyphen/>
        <w:t>ších Icrccích k výstavbě musejních budov</w:t>
      </w:r>
      <w:r>
        <w:rPr>
          <w:b/>
          <w:bCs/>
        </w:rPr>
        <w:t xml:space="preserve">. </w:t>
      </w:r>
      <w:r>
        <w:rPr>
          <w:b/>
          <w:bCs/>
          <w:u w:val="single"/>
        </w:rPr>
        <w:t>Budou s</w:t>
      </w:r>
      <w:r>
        <w:rPr>
          <w:b/>
          <w:bCs/>
        </w:rPr>
        <w:t>e stavět — tentokrát ve Stromovce. Část starého výstaviště se pro ten účel důstojně upraví (jak zní oblíbené rčení) a snad už se pracuje na soutěžaýeh projektech. O té věci se zprávy mnoho nešířily, také ani nebyli jmenováni přizvaní archi</w:t>
      </w:r>
      <w:r>
        <w:rPr>
          <w:b/>
          <w:bCs/>
        </w:rPr>
        <w:softHyphen/>
        <w:t>tekti.</w:t>
      </w:r>
    </w:p>
    <w:p w:rsidR="00500724" w:rsidRDefault="00F30FB8">
      <w:pPr>
        <w:pStyle w:val="Zkladntext1"/>
        <w:shd w:val="clear" w:color="auto" w:fill="auto"/>
        <w:spacing w:line="206" w:lineRule="auto"/>
        <w:ind w:firstLine="240"/>
      </w:pPr>
      <w:r>
        <w:rPr>
          <w:b/>
          <w:bCs/>
        </w:rPr>
        <w:t>To je tedy zhruba dnešní stav věci — jistě důležité. Při</w:t>
      </w:r>
      <w:r>
        <w:rPr>
          <w:b/>
          <w:bCs/>
        </w:rPr>
        <w:softHyphen/>
        <w:t xml:space="preserve">pomeňme k tomu jen ještě tolik, </w:t>
      </w:r>
      <w:r>
        <w:rPr>
          <w:b/>
          <w:bCs/>
          <w:i/>
          <w:iCs/>
          <w:sz w:val="20"/>
          <w:szCs w:val="20"/>
        </w:rPr>
        <w:t>že</w:t>
      </w:r>
      <w:r>
        <w:rPr>
          <w:b/>
          <w:bCs/>
        </w:rPr>
        <w:t xml:space="preserve"> nouze a mí3to v budově na Václavském náměstí byla už před lety tak velká, že bylo nutno přestěhovat botanické oddělení a část herbářů do vzdálené Troje.</w:t>
      </w:r>
    </w:p>
    <w:p w:rsidR="00500724" w:rsidRDefault="00F30FB8">
      <w:pPr>
        <w:pStyle w:val="Zkladntext50"/>
        <w:shd w:val="clear" w:color="auto" w:fill="auto"/>
        <w:spacing w:after="200" w:line="230" w:lineRule="auto"/>
        <w:ind w:left="0"/>
        <w:jc w:val="center"/>
      </w:pPr>
      <w:r>
        <w:rPr>
          <w:b/>
          <w:bCs/>
        </w:rPr>
        <w:t>0</w:t>
      </w:r>
    </w:p>
    <w:p w:rsidR="00500724" w:rsidRDefault="00F30FB8">
      <w:pPr>
        <w:pStyle w:val="Zkladntext1"/>
        <w:shd w:val="clear" w:color="auto" w:fill="auto"/>
        <w:spacing w:after="200" w:line="206" w:lineRule="auto"/>
        <w:ind w:firstLine="0"/>
      </w:pPr>
      <w:r>
        <w:rPr>
          <w:b/>
          <w:bCs/>
        </w:rPr>
        <w:t>považován</w:t>
      </w:r>
      <w:r>
        <w:rPr>
          <w:b/>
          <w:bCs/>
        </w:rPr>
        <w:t>a i za svého druhu pomník, obsahující uvnitř mnoho zajímavých předmětů, jež jsou cílem školních vy</w:t>
      </w:r>
      <w:r>
        <w:rPr>
          <w:b/>
          <w:bCs/>
        </w:rPr>
        <w:softHyphen/>
        <w:t>cházek, místem schůzek zamilovaných párů a sídlem vet. chých oprašovačů. Takový krajní názor však nebyl pří</w:t>
      </w:r>
      <w:r>
        <w:rPr>
          <w:b/>
          <w:bCs/>
        </w:rPr>
        <w:softHyphen/>
        <w:t xml:space="preserve">pustný ani před sto lety, leda snad v tehdejších </w:t>
      </w:r>
      <w:r>
        <w:rPr>
          <w:b/>
          <w:bCs/>
        </w:rPr>
        <w:t>humoristic</w:t>
      </w:r>
      <w:r>
        <w:rPr>
          <w:b/>
          <w:bCs/>
        </w:rPr>
        <w:softHyphen/>
        <w:t>kých listech, teč jen v tom případě, jestliže by chom takový</w:t>
      </w:r>
    </w:p>
    <w:p w:rsidR="00500724" w:rsidRDefault="00F30FB8">
      <w:pPr>
        <w:pStyle w:val="Zkladntext1"/>
        <w:shd w:val="clear" w:color="auto" w:fill="auto"/>
        <w:spacing w:line="187" w:lineRule="auto"/>
        <w:ind w:firstLine="0"/>
      </w:pPr>
      <w:r>
        <w:rPr>
          <w:b/>
          <w:bCs/>
        </w:rPr>
        <w:t>stojí. Na Hradčanech nebo ve Stromovce — kde se právě dá bez velkých obtíží nalézt miste. Museum však je především vědeckým ústavem, jenž zužitkuje svého bohatého mate</w:t>
      </w:r>
      <w:r>
        <w:rPr>
          <w:b/>
          <w:bCs/>
        </w:rPr>
        <w:softHyphen/>
        <w:t>riálu k živé bad</w:t>
      </w:r>
      <w:r>
        <w:rPr>
          <w:b/>
          <w:bCs/>
        </w:rPr>
        <w:t>atelské práci, a pak naprosto není lhostejno, kde stojí. Pokud se týká úkolů popularisace vědy _ veřej</w:t>
      </w:r>
      <w:r>
        <w:rPr>
          <w:b/>
          <w:bCs/>
        </w:rPr>
        <w:softHyphen/>
        <w:t>ně přístupnými sbírkami, organisaci výstav ato. — ty ne</w:t>
      </w:r>
      <w:r>
        <w:rPr>
          <w:b/>
          <w:bCs/>
        </w:rPr>
        <w:softHyphen/>
        <w:t>budou nikterak dotčeny, jestliže budovy budou situovány tak, aby plnily svůj úkol vědecký, jenž j</w:t>
      </w:r>
      <w:r>
        <w:rPr>
          <w:b/>
          <w:bCs/>
        </w:rPr>
        <w:t>e jim vytčen jako přední. Bylo by jistě žádoucí, aby byl vytvořen užší a živější vztah mezi museem a universitou; Je to přímo v našem ná</w:t>
      </w:r>
      <w:r>
        <w:rPr>
          <w:b/>
          <w:bCs/>
        </w:rPr>
        <w:softHyphen/>
        <w:t>rodním zájmu, aby museum mohlo být jedním z prvních pracovních nástrojů university. Situováním budovy ve Stro</w:t>
      </w:r>
      <w:r>
        <w:rPr>
          <w:b/>
          <w:bCs/>
        </w:rPr>
        <w:softHyphen/>
        <w:t xml:space="preserve">movce by </w:t>
      </w:r>
      <w:r>
        <w:rPr>
          <w:b/>
          <w:bCs/>
        </w:rPr>
        <w:t>toho cíle dosaženo nebylo. Naopak — naskýtá sa dokonce otázka, zda by tím nebylo pro budoucnost nepřízni</w:t>
      </w:r>
      <w:r>
        <w:rPr>
          <w:b/>
          <w:bCs/>
        </w:rPr>
        <w:softHyphen/>
        <w:t>vě působeno na další výstavbu výstaviště. Je třeba také řádně rozvážiti, o jaký druh musejní budovy půjde. Již v hradčanské soutěži byla patrna převaha</w:t>
      </w:r>
      <w:r>
        <w:rPr>
          <w:b/>
          <w:bCs/>
        </w:rPr>
        <w:t xml:space="preserve"> přírodovědecké, ho musea, pro něž žádáno bylo na 20,09® m</w:t>
      </w:r>
      <w:r>
        <w:rPr>
          <w:b/>
          <w:bCs/>
          <w:vertAlign w:val="superscript"/>
        </w:rPr>
        <w:t>J</w:t>
      </w:r>
      <w:r>
        <w:rPr>
          <w:b/>
          <w:bCs/>
        </w:rPr>
        <w:t xml:space="preserve"> podlahové plo</w:t>
      </w:r>
      <w:r>
        <w:rPr>
          <w:b/>
          <w:bCs/>
        </w:rPr>
        <w:softHyphen/>
        <w:t>chy sálů a pracovních místností. Výstavbou přírodovědec</w:t>
      </w:r>
      <w:r>
        <w:rPr>
          <w:b/>
          <w:bCs/>
        </w:rPr>
        <w:softHyphen/>
        <w:t>kého musea uvolní se značná plocha v Museu na Václav</w:t>
      </w:r>
      <w:r>
        <w:rPr>
          <w:b/>
          <w:bCs/>
        </w:rPr>
        <w:softHyphen/>
        <w:t>ském náměstí pro sbírky historické. Vžité národopisné mu</w:t>
      </w:r>
      <w:r>
        <w:rPr>
          <w:b/>
          <w:bCs/>
        </w:rPr>
        <w:softHyphen/>
        <w:t>seum v Kinské za</w:t>
      </w:r>
      <w:r>
        <w:rPr>
          <w:b/>
          <w:bCs/>
        </w:rPr>
        <w:t>hradě bylo by případně možno vzadu značně rozšířit přístavbou, jež by neporušila ráz budowy ani parku, v němž stojí. Půjde-li však o samotné přírodo</w:t>
      </w:r>
      <w:r>
        <w:rPr>
          <w:b/>
          <w:bCs/>
        </w:rPr>
        <w:softHyphen/>
        <w:t>vědecké museum, pak bylo by dobře uvážiti, že jeho patřičná umístění je někde v okolí Karlova či Albertova,</w:t>
      </w:r>
      <w:r>
        <w:rPr>
          <w:b/>
          <w:bCs/>
        </w:rPr>
        <w:t xml:space="preserve"> v blízkosti ústavů, přírodovědecké fakulty a také fakulty lékařské. V této oblasti hře volné a dostačující místo nepochybně na</w:t>
      </w:r>
      <w:r>
        <w:rPr>
          <w:b/>
          <w:bCs/>
        </w:rPr>
        <w:softHyphen/>
        <w:t>lézt. Musejní budova se sály pro sbírky, rozsáhlými deposb tári i laboratořemi měla by zde nejužší spojeni s ústavy zoologickým,</w:t>
      </w:r>
      <w:r>
        <w:rPr>
          <w:b/>
          <w:bCs/>
        </w:rPr>
        <w:t xml:space="preserve"> botanickým, mineralogickým, geologickým, s ústavy fystotogáckýnú, jakož i s řadou jiných ústavů, jež zde jsou všechny pohromadě Ba nepříliš rozsáhlém areálu.</w:t>
      </w:r>
    </w:p>
    <w:p w:rsidR="00500724" w:rsidRDefault="00F30FB8">
      <w:pPr>
        <w:pStyle w:val="Zkladntext1"/>
        <w:shd w:val="clear" w:color="auto" w:fill="auto"/>
        <w:spacing w:line="187" w:lineRule="auto"/>
        <w:ind w:firstLine="300"/>
      </w:pPr>
      <w:r>
        <w:rPr>
          <w:b/>
          <w:bCs/>
        </w:rPr>
        <w:t xml:space="preserve">Musejní program měl by snad být rozšířen na příklad o akvaria, </w:t>
      </w:r>
      <w:r>
        <w:rPr>
          <w:b/>
          <w:bCs/>
          <w:lang w:val="en-US" w:eastAsia="en-US" w:bidi="en-US"/>
        </w:rPr>
        <w:t xml:space="preserve">O' </w:t>
      </w:r>
      <w:r>
        <w:rPr>
          <w:b/>
          <w:bCs/>
        </w:rPr>
        <w:t>speciální skleníky, další odděl</w:t>
      </w:r>
      <w:r>
        <w:rPr>
          <w:b/>
          <w:bCs/>
        </w:rPr>
        <w:t>ení botanické za</w:t>
      </w:r>
      <w:r>
        <w:rPr>
          <w:b/>
          <w:bCs/>
        </w:rPr>
        <w:softHyphen/>
        <w:t xml:space="preserve">hrady atí, což by neznamenalo velké zvýšení stavebních nákladů a prospěte by jak naší přírodovědě, tak jeji </w:t>
      </w:r>
      <w:r>
        <w:rPr>
          <w:b/>
          <w:bCs/>
          <w:lang w:val="en-US" w:eastAsia="en-US" w:bidi="en-US"/>
        </w:rPr>
        <w:t>popu</w:t>
      </w:r>
      <w:r>
        <w:rPr>
          <w:b/>
          <w:bCs/>
          <w:lang w:val="en-US" w:eastAsia="en-US" w:bidi="en-US"/>
        </w:rPr>
        <w:softHyphen/>
        <w:t xml:space="preserve">larised. </w:t>
      </w:r>
      <w:r>
        <w:rPr>
          <w:b/>
          <w:bCs/>
        </w:rPr>
        <w:t>Dnes snad už je skoro zbytečno poznamenávat! 1 pro nejširší laickou veřejnost, že přírodní vědy nejsou jen tím zesměš</w:t>
      </w:r>
      <w:r>
        <w:rPr>
          <w:b/>
          <w:bCs/>
        </w:rPr>
        <w:t>ňovaným počítáním tykadel či pesííků, pra něž je prý škoda peněz. Badání na př. v biologii rostlinné a živo</w:t>
      </w:r>
      <w:r>
        <w:rPr>
          <w:b/>
          <w:bCs/>
        </w:rPr>
        <w:softHyphen/>
        <w:t>čišné přineslo už dodnes tak dalekosáhlé výsledky — a tó i přímo hospodářské —, že si věru předplatilo — ne jednou, ale snad stokrát — ty náklady pr</w:t>
      </w:r>
      <w:r>
        <w:rPr>
          <w:b/>
          <w:bCs/>
        </w:rPr>
        <w:t>o dobře vybavená ústavy.</w:t>
      </w:r>
    </w:p>
    <w:p w:rsidR="00500724" w:rsidRDefault="00F30FB8">
      <w:pPr>
        <w:pStyle w:val="Zkladntext1"/>
        <w:shd w:val="clear" w:color="auto" w:fill="auto"/>
        <w:spacing w:line="187" w:lineRule="auto"/>
        <w:ind w:firstLine="0"/>
        <w:jc w:val="center"/>
      </w:pPr>
      <w:r>
        <w:rPr>
          <w:b/>
          <w:bCs/>
        </w:rPr>
        <w:t>©</w:t>
      </w:r>
    </w:p>
    <w:p w:rsidR="00500724" w:rsidRDefault="00F30FB8">
      <w:pPr>
        <w:pStyle w:val="Zkladntext1"/>
        <w:shd w:val="clear" w:color="auto" w:fill="auto"/>
        <w:spacing w:after="100" w:line="185" w:lineRule="auto"/>
        <w:ind w:firstLine="300"/>
      </w:pPr>
      <w:r>
        <w:rPr>
          <w:b/>
          <w:bCs/>
        </w:rPr>
        <w:t>Duch ptánu cílí od nehospodámé a špatně fungující ná</w:t>
      </w:r>
      <w:r>
        <w:rPr>
          <w:b/>
          <w:bCs/>
        </w:rPr>
        <w:softHyphen/>
        <w:t>hodnosti fe ekonomické příčinné vázanosti, k organisaci. Od větších celku k detailu. Od divergentních mťttviduaHsttc- kých počinů ke spolupráci. Nebylo by správné postavit na</w:t>
      </w:r>
      <w:r>
        <w:rPr>
          <w:b/>
          <w:bCs/>
        </w:rPr>
        <w:softHyphen/>
        <w:t>p</w:t>
      </w:r>
      <w:r>
        <w:rPr>
          <w:b/>
          <w:bCs/>
        </w:rPr>
        <w:t>řed nákladnou musejní budovu a potom teprve se snažit »organisovat« nedostatky vznikající mnoh&amp;káfametrovau vzdáleností mezí ní a souběžně pracujícími ústavy. Jestliže můžeme zhruba říci, že správné místo pro budovu by bylo</w:t>
      </w:r>
    </w:p>
    <w:p w:rsidR="00500724" w:rsidRDefault="00F30FB8">
      <w:pPr>
        <w:pStyle w:val="Zkladntext1"/>
        <w:shd w:val="clear" w:color="auto" w:fill="auto"/>
        <w:spacing w:after="300" w:line="209" w:lineRule="auto"/>
        <w:ind w:firstLine="0"/>
        <w:rPr>
          <w:sz w:val="18"/>
          <w:szCs w:val="18"/>
        </w:rPr>
      </w:pPr>
      <w:r>
        <w:rPr>
          <w:b/>
          <w:bCs/>
        </w:rPr>
        <w:t xml:space="preserve">V oblasti výše určené, je ale </w:t>
      </w:r>
      <w:r>
        <w:rPr>
          <w:b/>
          <w:bCs/>
        </w:rPr>
        <w:t>také třeba, aby dříve, než určité místa bude zvoleno, byly připraveny podrobné st udie re</w:t>
      </w:r>
      <w:r>
        <w:rPr>
          <w:b/>
          <w:bCs/>
        </w:rPr>
        <w:softHyphen/>
        <w:t>gulačního plánu oblasti Albertova i oblastí přilehlých o-i svahů Nuselského údolí až ke Karlovu náměstí. A to bez zřetele k tomu, budou-H se Ušiti od dosa</w:t>
      </w:r>
      <w:r>
        <w:rPr>
          <w:b/>
          <w:bCs/>
        </w:rPr>
        <w:softHyphen/>
        <w:t>vadního reg</w:t>
      </w:r>
      <w:r>
        <w:rPr>
          <w:b/>
          <w:bCs/>
        </w:rPr>
        <w:t xml:space="preserve">ulačního plánu. Jde zde o víc než jenom </w:t>
      </w:r>
      <w:r>
        <w:rPr>
          <w:b/>
          <w:bCs/>
          <w:i/>
          <w:iCs/>
          <w:sz w:val="20"/>
          <w:szCs w:val="20"/>
        </w:rPr>
        <w:t>a</w:t>
      </w:r>
      <w:r>
        <w:rPr>
          <w:b/>
          <w:bCs/>
        </w:rPr>
        <w:t xml:space="preserve"> bu</w:t>
      </w:r>
      <w:r>
        <w:rPr>
          <w:b/>
          <w:bCs/>
        </w:rPr>
        <w:softHyphen/>
        <w:t xml:space="preserve">dovu nového musea — jde o náležité dobudování velké universitní čtvrti. Kékařské fakultě bude sloužit kromě ústavů jíž eristojseích i nových především budoucí zdravotní středisko pri Kartově </w:t>
      </w:r>
      <w:r>
        <w:rPr>
          <w:sz w:val="18"/>
          <w:szCs w:val="18"/>
        </w:rPr>
        <w:t>náměstí.</w:t>
      </w:r>
    </w:p>
    <w:p w:rsidR="00500724" w:rsidRDefault="00F30FB8">
      <w:pPr>
        <w:pStyle w:val="Zkladntext1"/>
        <w:shd w:val="clear" w:color="auto" w:fill="auto"/>
        <w:tabs>
          <w:tab w:val="left" w:pos="3706"/>
        </w:tabs>
        <w:spacing w:after="180" w:line="209" w:lineRule="auto"/>
        <w:ind w:firstLine="240"/>
        <w:rPr>
          <w:sz w:val="20"/>
          <w:szCs w:val="20"/>
        </w:rPr>
      </w:pPr>
      <w:r>
        <w:rPr>
          <w:b/>
          <w:bCs/>
        </w:rPr>
        <w:t xml:space="preserve">Nelze </w:t>
      </w:r>
      <w:r>
        <w:rPr>
          <w:b/>
          <w:bCs/>
        </w:rPr>
        <w:t>zabíhat do podrobností, teč na př. jen namátkou se zmiňuji o pravděpodobné potřebě vybudovat! v dané el.:..:,tl odbočku universitní knihovny, obsahující úplnou naši lěkař- sfeo-pKrodovědeckou literaturu. Fakulta přírodovědecká, je</w:t>
      </w:r>
      <w:r>
        <w:rPr>
          <w:b/>
          <w:bCs/>
        </w:rPr>
        <w:softHyphen/>
        <w:t xml:space="preserve">jíž mnohé specialisované </w:t>
      </w:r>
      <w:r>
        <w:rPr>
          <w:b/>
          <w:bCs/>
        </w:rPr>
        <w:t>obory budou čím dál tím více spolupracovat se specialisovanými obory vědy lékařské, po</w:t>
      </w:r>
      <w:r>
        <w:rPr>
          <w:b/>
          <w:bCs/>
        </w:rPr>
        <w:softHyphen/>
        <w:t>třebuje ještě velmi mnoho, aby její vybavení sneslo porov</w:t>
      </w:r>
      <w:r>
        <w:rPr>
          <w:b/>
          <w:bCs/>
        </w:rPr>
        <w:softHyphen/>
        <w:t>nání se zaliraničnunl ústavy. Jen dík idealismu jejich pra</w:t>
      </w:r>
      <w:r>
        <w:rPr>
          <w:b/>
          <w:bCs/>
        </w:rPr>
        <w:softHyphen/>
        <w:t>covníků snesou srovnání pracovní výsledky — co by vš</w:t>
      </w:r>
      <w:r>
        <w:rPr>
          <w:b/>
          <w:bCs/>
        </w:rPr>
        <w:t>ak bylo možno vykonat za lepších podmínek? Plán dostavby universitní čtvrti bude však životný jen za jednoho předpo</w:t>
      </w:r>
      <w:r>
        <w:rPr>
          <w:b/>
          <w:bCs/>
        </w:rPr>
        <w:softHyphen/>
        <w:t>kladu: náležité spolupráce. Je třeba slyšet a zkoumat potřeby vědeckých pracovníků a je třeba současné orgaisi- sační a výtvarné práce archi</w:t>
      </w:r>
      <w:r>
        <w:rPr>
          <w:b/>
          <w:bCs/>
        </w:rPr>
        <w:t>tektů. Postavení třeba jen jedné důležité budovy, jež by v tomto planu měla mít své místo, na místě jiném a vzdáleném, znamená nenapravitelnou škodu pro budoucnost. Stěží bude dost peněz pro etapovou výstavbu podle řádného generelnBio plánu — a ovšem ten p</w:t>
      </w:r>
      <w:r>
        <w:rPr>
          <w:b/>
          <w:bCs/>
        </w:rPr>
        <w:t>lán musíme napřed mít, ze vzduchu se neudělá. Se soukro</w:t>
      </w:r>
      <w:r>
        <w:rPr>
          <w:b/>
          <w:bCs/>
        </w:rPr>
        <w:softHyphen/>
        <w:t>mými iniciativními piány nemůžeme počítat; jsou kromě toho nutně vždy neúplné. Tedy: napřed plán a pak teprve stavět — neeheemeJi plýtvat penězi a příležitostmi, jež se nevracejí.</w:t>
      </w:r>
      <w:r>
        <w:rPr>
          <w:b/>
          <w:bCs/>
        </w:rPr>
        <w:tab/>
      </w:r>
      <w:r>
        <w:rPr>
          <w:b/>
          <w:bCs/>
          <w:i/>
          <w:iCs/>
          <w:sz w:val="20"/>
          <w:szCs w:val="20"/>
        </w:rPr>
        <w:t>Josef BavVtSéfo</w:t>
      </w:r>
    </w:p>
    <w:p w:rsidR="00500724" w:rsidRDefault="00F30FB8">
      <w:pPr>
        <w:pStyle w:val="Zkladntext1"/>
        <w:shd w:val="clear" w:color="auto" w:fill="auto"/>
        <w:spacing w:after="60" w:line="199" w:lineRule="auto"/>
        <w:ind w:firstLine="0"/>
        <w:jc w:val="center"/>
        <w:rPr>
          <w:sz w:val="20"/>
          <w:szCs w:val="20"/>
        </w:rPr>
      </w:pPr>
      <w:r>
        <w:rPr>
          <w:b/>
          <w:bCs/>
          <w:sz w:val="20"/>
          <w:szCs w:val="20"/>
        </w:rPr>
        <w:t>Živo</w:t>
      </w:r>
      <w:r>
        <w:rPr>
          <w:b/>
          <w:bCs/>
          <w:sz w:val="20"/>
          <w:szCs w:val="20"/>
        </w:rPr>
        <w:t>tní zájmy a nepřímý útok</w:t>
      </w:r>
    </w:p>
    <w:p w:rsidR="00500724" w:rsidRDefault="00F30FB8">
      <w:pPr>
        <w:pStyle w:val="Zkladntext1"/>
        <w:shd w:val="clear" w:color="auto" w:fill="auto"/>
        <w:spacing w:line="211" w:lineRule="auto"/>
        <w:ind w:firstLine="240"/>
      </w:pPr>
      <w:r>
        <w:rPr>
          <w:b/>
          <w:bCs/>
        </w:rPr>
        <w:t>Ve zdlouhavém jednáni mezi Anglií a Ruskem způsobila Molotovova řeč z posledního května novou přestávku. An</w:t>
      </w:r>
      <w:r>
        <w:rPr>
          <w:b/>
          <w:bCs/>
        </w:rPr>
        <w:softHyphen/>
        <w:t xml:space="preserve">glické listy ji očekávaly s takovým optimismem, že po ní nemoldy nebýti zaraženy. »DaiIy </w:t>
      </w:r>
      <w:r>
        <w:rPr>
          <w:b/>
          <w:bCs/>
          <w:lang w:val="en-US" w:eastAsia="en-US" w:bidi="en-US"/>
        </w:rPr>
        <w:t xml:space="preserve">Malls </w:t>
      </w:r>
      <w:r>
        <w:rPr>
          <w:b/>
          <w:bCs/>
        </w:rPr>
        <w:t>na přiklad přinesl toho dne,</w:t>
      </w:r>
      <w:r>
        <w:rPr>
          <w:b/>
          <w:bCs/>
        </w:rPr>
        <w:t xml:space="preserve"> kdy </w:t>
      </w:r>
      <w:r>
        <w:rPr>
          <w:b/>
          <w:bCs/>
          <w:lang w:val="en-US" w:eastAsia="en-US" w:bidi="en-US"/>
        </w:rPr>
        <w:t xml:space="preserve">Molotov </w:t>
      </w:r>
      <w:r>
        <w:rPr>
          <w:b/>
          <w:bCs/>
        </w:rPr>
        <w:t>měl mluvit, na prvni stránce titulek »Rusko dnes řekne a nos. Ale Rusko neřeklo ano, nýbrž opakovalo podmínky, na nichž od počátku trvato, hlavně tu, aby do seznamu výslovně garantovaných států byly pojaty tři země baltické. Když Mototov proná</w:t>
      </w:r>
      <w:r>
        <w:rPr>
          <w:b/>
          <w:bCs/>
        </w:rPr>
        <w:t xml:space="preserve">šel svou řeč a když potom sovětská vláda také odpovídala Anglii diplomatickou eestou, měla před sebou poslední versi angto-franconzských návrhů, kterou si přivezl </w:t>
      </w:r>
      <w:r>
        <w:rPr>
          <w:b/>
          <w:bCs/>
          <w:lang w:val="en-US" w:eastAsia="en-US" w:bidi="en-US"/>
        </w:rPr>
        <w:t xml:space="preserve">lord Halifax </w:t>
      </w:r>
      <w:r>
        <w:rPr>
          <w:b/>
          <w:bCs/>
        </w:rPr>
        <w:t xml:space="preserve">ze své květnové cesty do Ženevy. Tyto návrhy už šly tak daleko, že </w:t>
      </w:r>
      <w:r>
        <w:rPr>
          <w:b/>
          <w:bCs/>
          <w:lang w:val="en-US" w:eastAsia="en-US" w:bidi="en-US"/>
        </w:rPr>
        <w:t xml:space="preserve">prisfeupilyi </w:t>
      </w:r>
      <w:r>
        <w:rPr>
          <w:b/>
          <w:bCs/>
        </w:rPr>
        <w:t>na sovětský požadavek trojstranné, vzájemné a automa</w:t>
      </w:r>
      <w:r>
        <w:rPr>
          <w:b/>
          <w:bCs/>
        </w:rPr>
        <w:softHyphen/>
        <w:t>tické vojenské aliance. Ale omezovaly automatičnast vojen</w:t>
      </w:r>
      <w:r>
        <w:rPr>
          <w:b/>
          <w:bCs/>
        </w:rPr>
        <w:softHyphen/>
        <w:t>ské pomoci jen na Polsko a Rumunsko, kdežto státům bal</w:t>
      </w:r>
      <w:r>
        <w:rPr>
          <w:b/>
          <w:bCs/>
        </w:rPr>
        <w:softHyphen/>
        <w:t>tickým se mělo dostat vojenské pomoci ruské, resp. angto- francouzské, teprve tehdy, až by</w:t>
      </w:r>
      <w:r>
        <w:rPr>
          <w:b/>
          <w:bCs/>
        </w:rPr>
        <w:t xml:space="preserve"> o ni výslovně požádaly. Tato výhrada měla dvojí důvod: předně se Angličané dívali s jakousi nedůvěrou na sovětský zájem o tri baltické státy! a domnívali se, že zárukou automatické pomoci pro ně by Rusku byla prakticky dána volná ruka, aby mohlo samo rozh</w:t>
      </w:r>
      <w:r>
        <w:rPr>
          <w:b/>
          <w:bCs/>
        </w:rPr>
        <w:t>odovat, kdy se ta pomoc má. uplssit; a za druhé bal.áeké země oznánňly, že si žádných záruk nepřejí a že by to pova</w:t>
      </w:r>
      <w:r>
        <w:rPr>
          <w:b/>
          <w:bCs/>
        </w:rPr>
        <w:softHyphen/>
        <w:t>žovaly za čin nikoli přátelský, kdyby jim hyly vnuceny bez jejich výslovného svolení. Sověty se na tyto věci máto ohlí</w:t>
      </w:r>
      <w:r>
        <w:rPr>
          <w:b/>
          <w:bCs/>
        </w:rPr>
        <w:softHyphen/>
        <w:t>žely. Jejich kategori</w:t>
      </w:r>
      <w:r>
        <w:rPr>
          <w:b/>
          <w:bCs/>
        </w:rPr>
        <w:t>cký požadavek zněl zase: musíme dostat zámky pro baltické státy. Byto teď na Anglii, aby se s tím nějak vyrovnala.</w:t>
      </w:r>
    </w:p>
    <w:p w:rsidR="00500724" w:rsidRDefault="00F30FB8">
      <w:pPr>
        <w:pStyle w:val="Zkladntext1"/>
        <w:shd w:val="clear" w:color="auto" w:fill="auto"/>
        <w:spacing w:line="211" w:lineRule="auto"/>
        <w:ind w:firstLine="240"/>
      </w:pPr>
      <w:r>
        <w:rPr>
          <w:b/>
          <w:bCs/>
        </w:rPr>
        <w:t>V prvních dnech června bylo znát na anglickém i fran</w:t>
      </w:r>
      <w:r>
        <w:rPr>
          <w:b/>
          <w:bCs/>
        </w:rPr>
        <w:softHyphen/>
        <w:t>couzském tisku značnou rozmrzelost. Objevily se v n®m do</w:t>
      </w:r>
      <w:r>
        <w:rPr>
          <w:b/>
          <w:bCs/>
        </w:rPr>
        <w:softHyphen/>
        <w:t xml:space="preserve">konce i útoky </w:t>
      </w:r>
      <w:r>
        <w:rPr>
          <w:sz w:val="18"/>
          <w:szCs w:val="18"/>
        </w:rPr>
        <w:t xml:space="preserve">na </w:t>
      </w:r>
      <w:r>
        <w:rPr>
          <w:b/>
          <w:bCs/>
        </w:rPr>
        <w:t>sovětskou vlád</w:t>
      </w:r>
      <w:r>
        <w:rPr>
          <w:b/>
          <w:bCs/>
        </w:rPr>
        <w:t xml:space="preserve">a a nedůvěřivé </w:t>
      </w:r>
      <w:r>
        <w:rPr>
          <w:sz w:val="18"/>
          <w:szCs w:val="18"/>
        </w:rPr>
        <w:t xml:space="preserve">dotazy, </w:t>
      </w:r>
      <w:r>
        <w:rPr>
          <w:b/>
          <w:bCs/>
        </w:rPr>
        <w:t>co vlastně zamýšlí. Potem však se to Angličanům i Fraueou- zům nějak rosfeželo v hlavě a přišly komentáře mírnější. Zjistíte se, že ve věcech zásadních, to jest hlavně v tom, že tak zvaná smírová frontas má býti utvořena a že jejím j</w:t>
      </w:r>
      <w:r>
        <w:rPr>
          <w:b/>
          <w:bCs/>
        </w:rPr>
        <w:t>ádrem má být anglo-franko-ruská aliance, je mezi zúčast-</w:t>
      </w:r>
      <w:r>
        <w:rPr>
          <w:b/>
          <w:bCs/>
        </w:rPr>
        <w:br w:type="page"/>
        <w:t>něnýml velmocemi souhlas a že by tedy nebylo rozumné, kdyby se dohoda měla rozbiti o věci konec konců podružné. To byla známka, že Anglie hodlá ustoupit! ještě dále.</w:t>
      </w:r>
    </w:p>
    <w:p w:rsidR="00500724" w:rsidRDefault="00F30FB8">
      <w:pPr>
        <w:pStyle w:val="Zkladntext1"/>
        <w:shd w:val="clear" w:color="auto" w:fill="auto"/>
        <w:spacing w:line="214" w:lineRule="auto"/>
        <w:ind w:firstLine="200"/>
      </w:pPr>
      <w:r>
        <w:rPr>
          <w:b/>
          <w:bCs/>
        </w:rPr>
        <w:t xml:space="preserve">Podobně jako už před Halifaxovou </w:t>
      </w:r>
      <w:r>
        <w:rPr>
          <w:b/>
          <w:bCs/>
        </w:rPr>
        <w:t>cestou do Ženevy a při ní, ujala se zase iniciativy a prostředkování diplomacie fran</w:t>
      </w:r>
      <w:r>
        <w:rPr>
          <w:b/>
          <w:bCs/>
        </w:rPr>
        <w:softHyphen/>
        <w:t>couzská. Přicházely zprávy, že Paříž hledá »formuli«, která by překlenula anglo-ruskou neshodu a která by učinila za</w:t>
      </w:r>
      <w:r>
        <w:rPr>
          <w:b/>
          <w:bCs/>
        </w:rPr>
        <w:softHyphen/>
        <w:t>dost oběma stanoviskům. Jinými slovy, hledal se nový k</w:t>
      </w:r>
      <w:r>
        <w:rPr>
          <w:b/>
          <w:bCs/>
        </w:rPr>
        <w:t>om</w:t>
      </w:r>
      <w:r>
        <w:rPr>
          <w:b/>
          <w:bCs/>
        </w:rPr>
        <w:softHyphen/>
        <w:t>promis. Hledači tohoto kompromisu se musili snažit, aby vyhověli třem podmínkám: 1. aby garancie pro baltické státy byla Hušku skutečně dána; 2. aby proti ní baltické státy nemohly nic namítat; 3. aby to — vzhledem k anglic</w:t>
      </w:r>
      <w:r>
        <w:rPr>
          <w:b/>
          <w:bCs/>
        </w:rPr>
        <w:softHyphen/>
        <w:t>kým pochybnostem o sovětských</w:t>
      </w:r>
      <w:r>
        <w:rPr>
          <w:b/>
          <w:bCs/>
        </w:rPr>
        <w:t xml:space="preserve"> úmyslech — nebyla ga</w:t>
      </w:r>
      <w:r>
        <w:rPr>
          <w:b/>
          <w:bCs/>
        </w:rPr>
        <w:softHyphen/>
        <w:t>rancie docela bezvýhradná. Francouzi věc rozřešili tak, že si řekli: Nechť se záruky pro baltické státy dají, ale takovou formou, že tyto státy nebudou výslovně jmenovány. Vy</w:t>
      </w:r>
      <w:r>
        <w:rPr>
          <w:b/>
          <w:bCs/>
        </w:rPr>
        <w:softHyphen/>
        <w:t>myslili si na to pojem ^životních zájmů«. Vzájemná a auto</w:t>
      </w:r>
      <w:r>
        <w:rPr>
          <w:b/>
          <w:bCs/>
        </w:rPr>
        <w:softHyphen/>
        <w:t>m</w:t>
      </w:r>
      <w:r>
        <w:rPr>
          <w:b/>
          <w:bCs/>
        </w:rPr>
        <w:t>atická vojenská pomoc mezi třemi velmocemi se měla uplatniti vždycky, jakmile byly ohroženy životní zájmy ně</w:t>
      </w:r>
      <w:r>
        <w:rPr>
          <w:b/>
          <w:bCs/>
        </w:rPr>
        <w:softHyphen/>
        <w:t>které z nich. O tom, co je jejím životním zájmem, měla si rozhodnout každá velmoc sama. Tím se tedy mělo prakticky uznat, že nezávislost a nedotknu</w:t>
      </w:r>
      <w:r>
        <w:rPr>
          <w:b/>
          <w:bCs/>
        </w:rPr>
        <w:t>telnost baltických států je životním zájmem Huška a že sovětská vláda má nárok na okamžitou pomoc Anglie a Francie, jakmile by považovala jejich nezávislost a nedotknutelnost za ohroženu.</w:t>
      </w:r>
    </w:p>
    <w:p w:rsidR="00500724" w:rsidRDefault="00F30FB8">
      <w:pPr>
        <w:pStyle w:val="Zkladntext1"/>
        <w:shd w:val="clear" w:color="auto" w:fill="auto"/>
        <w:spacing w:after="60" w:line="209" w:lineRule="auto"/>
        <w:ind w:firstLine="200"/>
      </w:pPr>
      <w:r>
        <w:rPr>
          <w:b/>
          <w:bCs/>
        </w:rPr>
        <w:t>Jak patrno, jde tento návrh velmi daleko ve směru sovět</w:t>
      </w:r>
      <w:r>
        <w:rPr>
          <w:b/>
          <w:bCs/>
        </w:rPr>
        <w:softHyphen/>
        <w:t>ských přáni,</w:t>
      </w:r>
      <w:r>
        <w:rPr>
          <w:b/>
          <w:bCs/>
        </w:rPr>
        <w:t xml:space="preserve"> tak daleko, že jim úplně vyhovuje, až na to, že se vyhýbá výslovné zmínce o Finsku, Estonsku a Lotyšsku a zahrnuje tyto tři země pod obecný pojem ruského život</w:t>
      </w:r>
      <w:r>
        <w:rPr>
          <w:b/>
          <w:bCs/>
        </w:rPr>
        <w:softHyphen/>
        <w:t>ního zájmu. To bylo britským konservativcům přece jen trochu mnoho. Jejich vláda se radila o to</w:t>
      </w:r>
      <w:r>
        <w:rPr>
          <w:b/>
          <w:bCs/>
        </w:rPr>
        <w:t>mto návrhu 7. ěervna a usnesla se odmítnout jej. Uznala sice, že nezá</w:t>
      </w:r>
      <w:r>
        <w:rPr>
          <w:b/>
          <w:bCs/>
        </w:rPr>
        <w:softHyphen/>
        <w:t>vislost baltických států je životním zájmem Huška, ale ode</w:t>
      </w:r>
      <w:r>
        <w:rPr>
          <w:b/>
          <w:bCs/>
        </w:rPr>
        <w:softHyphen/>
        <w:t xml:space="preserve">přela sovětům pro případ ohrožení tohoto zájmu pomoc automatickou a navrhla místo ní jen konsultaci tří velmocí, </w:t>
      </w:r>
      <w:r>
        <w:rPr>
          <w:b/>
          <w:bCs/>
          <w:lang w:val="en-US" w:eastAsia="en-US" w:bidi="en-US"/>
        </w:rPr>
        <w:t xml:space="preserve">to </w:t>
      </w:r>
      <w:r>
        <w:rPr>
          <w:b/>
          <w:bCs/>
        </w:rPr>
        <w:t>jest společ</w:t>
      </w:r>
      <w:r>
        <w:rPr>
          <w:b/>
          <w:bCs/>
        </w:rPr>
        <w:t>nou poradu o tom, co se má učiniti. Francou</w:t>
      </w:r>
      <w:r>
        <w:rPr>
          <w:b/>
          <w:bCs/>
        </w:rPr>
        <w:softHyphen/>
        <w:t>zům hned bylo jasno, že takový návrh by sovětům nesta</w:t>
      </w:r>
      <w:r>
        <w:rPr>
          <w:b/>
          <w:bCs/>
        </w:rPr>
        <w:softHyphen/>
        <w:t>čil, a proto se vynasnažili, aby z Angličanů vynutili přece jen něco podstatnějšího. Nahradili tedy pojem životního zá</w:t>
      </w:r>
      <w:r>
        <w:rPr>
          <w:b/>
          <w:bCs/>
        </w:rPr>
        <w:softHyphen/>
        <w:t>jmu pojmem nepřímého útoku. Jinak měl p</w:t>
      </w:r>
      <w:r>
        <w:rPr>
          <w:b/>
          <w:bCs/>
        </w:rPr>
        <w:t>latit jejich pů</w:t>
      </w:r>
      <w:r>
        <w:rPr>
          <w:b/>
          <w:bCs/>
        </w:rPr>
        <w:softHyphen/>
        <w:t>vodní návrh, to jest Busku se mělo dostat anglo-francorazské automatické vojenské pomoci, jakmile by na jeho území byl podniknut útok, třeba 1 jen nepřímý. Tímto výrazem se tu rozuměl útok na baltické státy. Podle zpráv, které přišly z Lond</w:t>
      </w:r>
      <w:r>
        <w:rPr>
          <w:b/>
          <w:bCs/>
        </w:rPr>
        <w:t>ýna před odjezdem Strangovým do Moskvy, a podle toho, co proniklo do novin o výkladu ministra Bonneta ve francouzské ministerské radě dne 13. ěervna, se zdá, že Angličané tento návrh přijali. Nepochybně proto, že se jim pojem nepřímého útoku zdál o hodně p</w:t>
      </w:r>
      <w:r>
        <w:rPr>
          <w:b/>
          <w:bCs/>
        </w:rPr>
        <w:t>řesnější než mlhavý pojem životního zájmu. Jakmile se mluví o útoku, je těžko tím rozumět něco jiného než útok vojenský, a o to asi An</w:t>
      </w:r>
      <w:r>
        <w:rPr>
          <w:b/>
          <w:bCs/>
        </w:rPr>
        <w:softHyphen/>
        <w:t>gličanům hlavně jde. Obávají se totiž, že by Sovětský Svaz jednou mohl za svůj životní zájem prohlásit i určité uspo</w:t>
      </w:r>
      <w:r>
        <w:rPr>
          <w:b/>
          <w:bCs/>
        </w:rPr>
        <w:softHyphen/>
        <w:t>řádá</w:t>
      </w:r>
      <w:r>
        <w:rPr>
          <w:b/>
          <w:bCs/>
        </w:rPr>
        <w:t>ni vnitřních věcí v baltických státech, že by v této věci po případě mohl vojensky intervenovat a že by pak Angli</w:t>
      </w:r>
      <w:r>
        <w:rPr>
          <w:b/>
          <w:bCs/>
        </w:rPr>
        <w:softHyphen/>
        <w:t>čané byli smluvně vázáni vojensky jej při tom podporovat.</w:t>
      </w:r>
    </w:p>
    <w:p w:rsidR="00500724" w:rsidRDefault="00F30FB8">
      <w:pPr>
        <w:pStyle w:val="Zkladntext1"/>
        <w:shd w:val="clear" w:color="auto" w:fill="auto"/>
        <w:spacing w:after="80" w:line="209" w:lineRule="auto"/>
        <w:ind w:firstLine="0"/>
        <w:jc w:val="center"/>
      </w:pPr>
      <w:r>
        <w:rPr>
          <w:b/>
          <w:bCs/>
        </w:rPr>
        <w:t>•</w:t>
      </w:r>
    </w:p>
    <w:p w:rsidR="00500724" w:rsidRDefault="00F30FB8">
      <w:pPr>
        <w:pStyle w:val="Zkladntext1"/>
        <w:shd w:val="clear" w:color="auto" w:fill="auto"/>
        <w:tabs>
          <w:tab w:val="left" w:pos="4598"/>
        </w:tabs>
        <w:spacing w:line="209" w:lineRule="auto"/>
        <w:ind w:firstLine="200"/>
        <w:rPr>
          <w:sz w:val="20"/>
          <w:szCs w:val="20"/>
        </w:rPr>
      </w:pPr>
      <w:r>
        <w:rPr>
          <w:b/>
          <w:bCs/>
        </w:rPr>
        <w:t>Některé zprávy praví, že Strangovi bylo dáno na cestu několik formulí, aby si z ni</w:t>
      </w:r>
      <w:r>
        <w:rPr>
          <w:b/>
          <w:bCs/>
        </w:rPr>
        <w:t>ch sovětská vláda vybrala. Ať je tomu jakkoli, zdá se jisté, že Angličané přistoupili na ruský požadavek vzájemné automatické pomoci pro případ vojen</w:t>
      </w:r>
      <w:r>
        <w:rPr>
          <w:b/>
          <w:bCs/>
        </w:rPr>
        <w:softHyphen/>
        <w:t xml:space="preserve">sky ohrožené nezávislosti baltických států — ať už se to v diplomatické mluvě vyjadřuje jakkoli. Pro jiné </w:t>
      </w:r>
      <w:r>
        <w:rPr>
          <w:b/>
          <w:bCs/>
        </w:rPr>
        <w:t>případy, které asi mají sověty na mysli, to jest na příklad pro nějaké vnitřní nesnáze nebo změny v těchto zemích, vycházejí prý poslední anglo-francouzské návrhy Busům aspoň potud vstříc, že navrhují porady tří velmocí. Bylo asi hlavním úkolem britského m</w:t>
      </w:r>
      <w:r>
        <w:rPr>
          <w:b/>
          <w:bCs/>
        </w:rPr>
        <w:t>luvčího Stranga, aby se sovětskými diplomaty prodebatoval rozmanité možnosti, za nichž se součinnost tří velmocí má uplatnit. Právě na těchto podrob</w:t>
      </w:r>
      <w:r>
        <w:rPr>
          <w:b/>
          <w:bCs/>
        </w:rPr>
        <w:softHyphen/>
        <w:t>nostech bude asi nakonec záviset, zdali se smlouva usku</w:t>
      </w:r>
      <w:r>
        <w:rPr>
          <w:b/>
          <w:bCs/>
        </w:rPr>
        <w:softHyphen/>
        <w:t>teční.</w:t>
      </w:r>
      <w:r>
        <w:rPr>
          <w:b/>
          <w:bCs/>
        </w:rPr>
        <w:tab/>
      </w:r>
      <w:r>
        <w:rPr>
          <w:b/>
          <w:bCs/>
          <w:i/>
          <w:iCs/>
          <w:sz w:val="20"/>
          <w:szCs w:val="20"/>
        </w:rPr>
        <w:t>z. S.</w:t>
      </w:r>
    </w:p>
    <w:p w:rsidR="00500724" w:rsidRDefault="00F30FB8">
      <w:pPr>
        <w:spacing w:line="1" w:lineRule="exact"/>
        <w:rPr>
          <w:sz w:val="2"/>
          <w:szCs w:val="2"/>
        </w:rPr>
      </w:pPr>
      <w:r>
        <w:br w:type="column"/>
      </w:r>
    </w:p>
    <w:p w:rsidR="00500724" w:rsidRDefault="00F30FB8">
      <w:pPr>
        <w:pStyle w:val="Jin0"/>
        <w:pBdr>
          <w:top w:val="single" w:sz="4" w:space="0" w:color="auto"/>
        </w:pBdr>
        <w:shd w:val="clear" w:color="auto" w:fill="auto"/>
        <w:ind w:firstLine="0"/>
        <w:jc w:val="left"/>
        <w:rPr>
          <w:sz w:val="46"/>
          <w:szCs w:val="46"/>
        </w:rPr>
      </w:pPr>
      <w:r>
        <w:rPr>
          <w:b/>
          <w:bCs/>
          <w:sz w:val="46"/>
          <w:szCs w:val="46"/>
        </w:rPr>
        <w:t>politika</w:t>
      </w:r>
    </w:p>
    <w:p w:rsidR="00500724" w:rsidRDefault="00F30FB8">
      <w:pPr>
        <w:pStyle w:val="Zkladntext1"/>
        <w:pBdr>
          <w:top w:val="single" w:sz="4" w:space="0" w:color="auto"/>
        </w:pBdr>
        <w:shd w:val="clear" w:color="auto" w:fill="auto"/>
        <w:tabs>
          <w:tab w:val="left" w:leader="dot" w:pos="940"/>
          <w:tab w:val="left" w:leader="dot" w:pos="1899"/>
          <w:tab w:val="left" w:pos="3243"/>
          <w:tab w:val="left" w:pos="4069"/>
          <w:tab w:val="left" w:leader="dot" w:pos="4362"/>
        </w:tabs>
        <w:spacing w:after="80"/>
        <w:ind w:left="800" w:firstLine="0"/>
        <w:rPr>
          <w:sz w:val="14"/>
          <w:szCs w:val="14"/>
        </w:rPr>
      </w:pPr>
      <w:r>
        <w:rPr>
          <w:b/>
          <w:bCs/>
        </w:rPr>
        <w:tab/>
      </w:r>
      <w:r>
        <w:rPr>
          <w:b/>
          <w:bCs/>
        </w:rPr>
        <w:tab/>
        <w:t xml:space="preserve"> 'I-</w:t>
      </w:r>
      <w:r>
        <w:rPr>
          <w:b/>
          <w:bCs/>
        </w:rPr>
        <w:tab/>
        <w:t>..</w:t>
      </w:r>
      <w:r>
        <w:rPr>
          <w:b/>
          <w:bCs/>
        </w:rPr>
        <w:tab/>
      </w:r>
      <w:r>
        <w:rPr>
          <w:b/>
          <w:bCs/>
        </w:rPr>
        <w:tab/>
      </w:r>
      <w:r>
        <w:rPr>
          <w:b/>
          <w:bCs/>
          <w:sz w:val="14"/>
          <w:szCs w:val="14"/>
        </w:rPr>
        <w:t>I—</w:t>
      </w:r>
    </w:p>
    <w:p w:rsidR="00500724" w:rsidRDefault="00F30FB8">
      <w:pPr>
        <w:pStyle w:val="Zkladntext1"/>
        <w:shd w:val="clear" w:color="auto" w:fill="auto"/>
        <w:spacing w:after="40"/>
        <w:ind w:firstLine="0"/>
        <w:jc w:val="left"/>
      </w:pPr>
      <w:r>
        <w:rPr>
          <w:i/>
          <w:iCs/>
        </w:rPr>
        <w:t>Jan Albert:</w:t>
      </w:r>
    </w:p>
    <w:p w:rsidR="00500724" w:rsidRDefault="00F30FB8">
      <w:pPr>
        <w:pStyle w:val="Nadpis100"/>
        <w:shd w:val="clear" w:color="auto" w:fill="auto"/>
        <w:spacing w:after="80" w:line="240" w:lineRule="auto"/>
      </w:pPr>
      <w:bookmarkStart w:id="624" w:name="bookmark623"/>
      <w:r>
        <w:t>Blokáda Tiencinu</w:t>
      </w:r>
      <w:bookmarkEnd w:id="624"/>
    </w:p>
    <w:p w:rsidR="00500724" w:rsidRDefault="00F30FB8">
      <w:pPr>
        <w:pStyle w:val="Zkladntext40"/>
        <w:shd w:val="clear" w:color="auto" w:fill="auto"/>
        <w:spacing w:after="0" w:line="336" w:lineRule="auto"/>
        <w:ind w:firstLine="220"/>
        <w:rPr>
          <w:sz w:val="14"/>
          <w:szCs w:val="14"/>
        </w:rPr>
      </w:pPr>
      <w:r>
        <w:rPr>
          <w:b/>
          <w:bCs/>
          <w:sz w:val="14"/>
          <w:szCs w:val="14"/>
        </w:rPr>
        <w:t>Ve středu 14. června v 5 hod. ráno byla zahájena blo</w:t>
      </w:r>
      <w:r>
        <w:rPr>
          <w:b/>
          <w:bCs/>
          <w:sz w:val="14"/>
          <w:szCs w:val="14"/>
        </w:rPr>
        <w:softHyphen/>
        <w:t>káda britské a francouzské koncese v Tiencinu. Tím —i prozatím— vyvrcholuje napětí mezi Japonskem a zá</w:t>
      </w:r>
      <w:r>
        <w:rPr>
          <w:b/>
          <w:bCs/>
          <w:sz w:val="14"/>
          <w:szCs w:val="14"/>
        </w:rPr>
        <w:softHyphen/>
        <w:t>padními velmocemi, jež nabývalo stále nebezpečnějšího rázu od chvíle, kdy se ukázal</w:t>
      </w:r>
      <w:r>
        <w:rPr>
          <w:b/>
          <w:bCs/>
          <w:sz w:val="14"/>
          <w:szCs w:val="14"/>
        </w:rPr>
        <w:t>o, že policejní akce v Číně nebude mít hladký průběh bleskové války.</w:t>
      </w:r>
    </w:p>
    <w:p w:rsidR="00500724" w:rsidRDefault="00F30FB8">
      <w:pPr>
        <w:pStyle w:val="Zkladntext40"/>
        <w:shd w:val="clear" w:color="auto" w:fill="auto"/>
        <w:spacing w:after="0" w:line="334" w:lineRule="auto"/>
        <w:ind w:firstLine="220"/>
        <w:rPr>
          <w:sz w:val="14"/>
          <w:szCs w:val="14"/>
        </w:rPr>
      </w:pPr>
      <w:r>
        <w:rPr>
          <w:b/>
          <w:bCs/>
          <w:sz w:val="14"/>
          <w:szCs w:val="14"/>
        </w:rPr>
        <w:t>Nejvážnější z loňských incidentů vyvolalo letecké ostřelování auta britského velvyslance sira Arebibalda Clarka Kerra. Letošní rok byl pak na Dálném východě zahájen ostrými notami Spojený</w:t>
      </w:r>
      <w:r>
        <w:rPr>
          <w:b/>
          <w:bCs/>
          <w:sz w:val="14"/>
          <w:szCs w:val="14"/>
        </w:rPr>
        <w:t>ch Států a Velké Bri</w:t>
      </w:r>
      <w:r>
        <w:rPr>
          <w:b/>
          <w:bCs/>
          <w:sz w:val="14"/>
          <w:szCs w:val="14"/>
        </w:rPr>
        <w:softHyphen/>
        <w:t>tanie, jejichž úřady sdělily Tokiu, že odmítají uznat japonské stanovisko, podle něhož mají mimoasijské moc</w:t>
      </w:r>
      <w:r>
        <w:rPr>
          <w:b/>
          <w:bCs/>
          <w:sz w:val="14"/>
          <w:szCs w:val="14"/>
        </w:rPr>
        <w:softHyphen/>
        <w:t>nosti přizpůsobit svoje starší práva v Číně nově vytvo</w:t>
      </w:r>
      <w:r>
        <w:rPr>
          <w:b/>
          <w:bCs/>
          <w:sz w:val="14"/>
          <w:szCs w:val="14"/>
        </w:rPr>
        <w:softHyphen/>
        <w:t>řené situaci.</w:t>
      </w:r>
    </w:p>
    <w:p w:rsidR="00500724" w:rsidRDefault="00F30FB8">
      <w:pPr>
        <w:pStyle w:val="Zkladntext40"/>
        <w:shd w:val="clear" w:color="auto" w:fill="auto"/>
        <w:spacing w:after="0" w:line="334" w:lineRule="auto"/>
        <w:ind w:firstLine="220"/>
        <w:rPr>
          <w:sz w:val="14"/>
          <w:szCs w:val="14"/>
        </w:rPr>
      </w:pPr>
      <w:r>
        <w:rPr>
          <w:b/>
          <w:bCs/>
          <w:sz w:val="14"/>
          <w:szCs w:val="14"/>
        </w:rPr>
        <w:t>Obsazení Hoinanu si pak mohli v Londýně vyložit jako rázno</w:t>
      </w:r>
      <w:r>
        <w:rPr>
          <w:b/>
          <w:bCs/>
          <w:sz w:val="14"/>
          <w:szCs w:val="14"/>
        </w:rPr>
        <w:t>u odpověď japonské vlády; nebof kdo je pá</w:t>
      </w:r>
      <w:r>
        <w:rPr>
          <w:b/>
          <w:bCs/>
          <w:sz w:val="14"/>
          <w:szCs w:val="14"/>
        </w:rPr>
        <w:softHyphen/>
        <w:t xml:space="preserve">nem této ostrovní </w:t>
      </w:r>
      <w:r>
        <w:rPr>
          <w:b/>
          <w:bCs/>
          <w:sz w:val="14"/>
          <w:szCs w:val="14"/>
          <w:lang w:val="en-US" w:eastAsia="en-US" w:bidi="en-US"/>
        </w:rPr>
        <w:t xml:space="preserve">Ultima Thule </w:t>
      </w:r>
      <w:r>
        <w:rPr>
          <w:b/>
          <w:bCs/>
          <w:sz w:val="14"/>
          <w:szCs w:val="14"/>
        </w:rPr>
        <w:t>Číny, je pánem cesť k Austrálii, Indii a Indočíně. O něco později, téměř současně s akcemi Osy v bývalém Československu a Albánii, obsadilo Japonsko Spratleyovy ostrovy, ovlá</w:t>
      </w:r>
      <w:r>
        <w:rPr>
          <w:b/>
          <w:bCs/>
          <w:sz w:val="14"/>
          <w:szCs w:val="14"/>
        </w:rPr>
        <w:softHyphen/>
        <w:t>dající n</w:t>
      </w:r>
      <w:r>
        <w:rPr>
          <w:b/>
          <w:bCs/>
          <w:sz w:val="14"/>
          <w:szCs w:val="14"/>
        </w:rPr>
        <w:t>ámořní spojení Číny se západem a jihem; jejich proměna v japonskou operační základnu mrzí Anglii asi tak, jak ji už dříve rozmrzelá italská opevnění ve středomořském ostrůvku Pantelarii: jako zde Maltě, tak byl na Spratleyových ostrovech dán šach Singapuru</w:t>
      </w:r>
      <w:r>
        <w:rPr>
          <w:b/>
          <w:bCs/>
          <w:sz w:val="14"/>
          <w:szCs w:val="14"/>
        </w:rPr>
        <w:t>. Konečně teprve nedávno znamenalo i obsazení ostrova Kulangsu s jeho mezinárodní koncesí spíše tah proti Západu než proti Čankajšekovi. Sanhajský případ s ntr. Tinklerem, vykládaný v Anglii jako lohavná vraždac, jen ještě přilil oleje do ohně.</w:t>
      </w:r>
    </w:p>
    <w:p w:rsidR="00500724" w:rsidRDefault="00F30FB8">
      <w:pPr>
        <w:pStyle w:val="Zkladntext40"/>
        <w:shd w:val="clear" w:color="auto" w:fill="auto"/>
        <w:spacing w:after="0" w:line="331" w:lineRule="auto"/>
        <w:ind w:firstLine="220"/>
        <w:rPr>
          <w:sz w:val="14"/>
          <w:szCs w:val="14"/>
        </w:rPr>
      </w:pPr>
      <w:r>
        <w:rPr>
          <w:b/>
          <w:bCs/>
          <w:sz w:val="14"/>
          <w:szCs w:val="14"/>
        </w:rPr>
        <w:t>A nyní uzrá</w:t>
      </w:r>
      <w:r>
        <w:rPr>
          <w:b/>
          <w:bCs/>
          <w:sz w:val="14"/>
          <w:szCs w:val="14"/>
        </w:rPr>
        <w:t>ly tiencinské události v blokádu nejdů</w:t>
      </w:r>
      <w:r>
        <w:rPr>
          <w:b/>
          <w:bCs/>
          <w:sz w:val="14"/>
          <w:szCs w:val="14"/>
        </w:rPr>
        <w:softHyphen/>
        <w:t>ležitější britské posice na čínském severu. Padlo už slovo o tom, že Anglie bude snad &gt;nucena« sáhnout ke zbraním. Jinak ovšem posud převládala důvěra v udrže</w:t>
      </w:r>
      <w:r>
        <w:rPr>
          <w:b/>
          <w:bCs/>
          <w:sz w:val="14"/>
          <w:szCs w:val="14"/>
        </w:rPr>
        <w:softHyphen/>
        <w:t>ní míru, opřená o názor, že ani Japonsko ani Velká Britani</w:t>
      </w:r>
      <w:r>
        <w:rPr>
          <w:b/>
          <w:bCs/>
          <w:sz w:val="14"/>
          <w:szCs w:val="14"/>
        </w:rPr>
        <w:t>e si v dnešní situaci nemůže přát dostat se do vzájemného ozbrojeného konfliktu. Což je sice pravda, ne však úplně uklidňující; nebof právě ono přesvědčení by snadno mohlo vést na obojí straně k neústupnosti — a v takové atmosféře by se vyhlídkám na klidné</w:t>
      </w:r>
      <w:r>
        <w:rPr>
          <w:b/>
          <w:bCs/>
          <w:sz w:val="14"/>
          <w:szCs w:val="14"/>
        </w:rPr>
        <w:t xml:space="preserve"> řešení sporu vedlo jako sněhu na jarním slunci.</w:t>
      </w:r>
    </w:p>
    <w:p w:rsidR="00500724" w:rsidRDefault="00F30FB8">
      <w:pPr>
        <w:pStyle w:val="Zkladntext40"/>
        <w:shd w:val="clear" w:color="auto" w:fill="auto"/>
        <w:spacing w:after="0" w:line="334" w:lineRule="auto"/>
        <w:ind w:firstLine="220"/>
        <w:rPr>
          <w:sz w:val="14"/>
          <w:szCs w:val="14"/>
        </w:rPr>
      </w:pPr>
      <w:r>
        <w:rPr>
          <w:b/>
          <w:bCs/>
          <w:sz w:val="14"/>
          <w:szCs w:val="14"/>
        </w:rPr>
        <w:t>Trochu více uklidnění lze čerpat ze vzpomínky na průběh únorových událostí na Dálném východě. Tehdy byla z Nankinu vyhlášena &gt;tichá válka« britské a fran</w:t>
      </w:r>
      <w:r>
        <w:rPr>
          <w:b/>
          <w:bCs/>
          <w:sz w:val="14"/>
          <w:szCs w:val="14"/>
        </w:rPr>
        <w:softHyphen/>
        <w:t>couzské koncesi v Šanhaji a tiencinská koncese byla u</w:t>
      </w:r>
      <w:r>
        <w:rPr>
          <w:b/>
          <w:bCs/>
          <w:sz w:val="14"/>
          <w:szCs w:val="14"/>
        </w:rPr>
        <w:t>ž tenkrát obtočena ostnatým drátem. A přece tehdy ne</w:t>
      </w:r>
      <w:r>
        <w:rPr>
          <w:b/>
          <w:bCs/>
          <w:sz w:val="14"/>
          <w:szCs w:val="14"/>
        </w:rPr>
        <w:softHyphen/>
        <w:t>došlo k nejvážnějším důsledkům, už nenapravitelným.</w:t>
      </w:r>
    </w:p>
    <w:p w:rsidR="00500724" w:rsidRDefault="00F30FB8">
      <w:pPr>
        <w:pStyle w:val="Zkladntext40"/>
        <w:shd w:val="clear" w:color="auto" w:fill="auto"/>
        <w:spacing w:after="0" w:line="334" w:lineRule="auto"/>
        <w:ind w:firstLine="220"/>
        <w:rPr>
          <w:sz w:val="14"/>
          <w:szCs w:val="14"/>
        </w:rPr>
        <w:sectPr w:rsidR="00500724">
          <w:footnotePr>
            <w:numFmt w:val="chicago"/>
            <w:numRestart w:val="eachPage"/>
          </w:footnotePr>
          <w:type w:val="continuous"/>
          <w:pgSz w:w="11909" w:h="16834"/>
          <w:pgMar w:top="1498" w:right="922" w:bottom="952" w:left="561" w:header="0" w:footer="3" w:gutter="0"/>
          <w:cols w:num="2" w:space="100"/>
          <w:noEndnote/>
          <w:docGrid w:linePitch="360"/>
        </w:sectPr>
      </w:pPr>
      <w:r>
        <w:rPr>
          <w:b/>
          <w:bCs/>
          <w:sz w:val="14"/>
          <w:szCs w:val="14"/>
        </w:rPr>
        <w:t>To bylo před čtyřmi měsíci, tedy ještě před tím, než počátek britské obkličovací politiky postavil svět před novou situac</w:t>
      </w:r>
      <w:r>
        <w:rPr>
          <w:b/>
          <w:bCs/>
          <w:sz w:val="14"/>
          <w:szCs w:val="14"/>
        </w:rPr>
        <w:t xml:space="preserve">i. Teď je jeden z jejích agentů, mr. W. </w:t>
      </w:r>
      <w:r>
        <w:rPr>
          <w:b/>
          <w:bCs/>
          <w:sz w:val="14"/>
          <w:szCs w:val="14"/>
          <w:lang w:val="en-US" w:eastAsia="en-US" w:bidi="en-US"/>
        </w:rPr>
        <w:t xml:space="preserve">Strang, </w:t>
      </w:r>
      <w:r>
        <w:rPr>
          <w:b/>
          <w:bCs/>
          <w:sz w:val="14"/>
          <w:szCs w:val="14"/>
        </w:rPr>
        <w:t>v Moskvě — a tam i v Londýně se mohou sami sebe ptát, je-li jen čirou náhodou, že současně byla na druhém konci světa vytažena carská vlajka na žerď, ruského konsulátu v Tiencinu a zatažena závora brit</w:t>
      </w:r>
      <w:r>
        <w:rPr>
          <w:b/>
          <w:bCs/>
          <w:sz w:val="14"/>
          <w:szCs w:val="14"/>
        </w:rPr>
        <w:softHyphen/>
        <w:t xml:space="preserve">skému </w:t>
      </w:r>
      <w:r>
        <w:rPr>
          <w:b/>
          <w:bCs/>
          <w:sz w:val="14"/>
          <w:szCs w:val="14"/>
        </w:rPr>
        <w:t>obchodu v tomto důležitém ^Přístavu nebesa. Nebof v Moskvě i v Londýně vědí, co znamenal pád</w:t>
      </w:r>
    </w:p>
    <w:p w:rsidR="00500724" w:rsidRDefault="00F30FB8">
      <w:pPr>
        <w:pStyle w:val="Jin0"/>
        <w:framePr w:w="355" w:h="336" w:wrap="none" w:vAnchor="text" w:hAnchor="page" w:x="587" w:y="21"/>
        <w:shd w:val="clear" w:color="auto" w:fill="auto"/>
        <w:ind w:firstLine="0"/>
        <w:jc w:val="left"/>
        <w:rPr>
          <w:sz w:val="26"/>
          <w:szCs w:val="26"/>
        </w:rPr>
      </w:pPr>
      <w:r>
        <w:rPr>
          <w:rFonts w:ascii="Arial" w:eastAsia="Arial" w:hAnsi="Arial" w:cs="Arial"/>
          <w:b/>
          <w:bCs/>
          <w:i/>
          <w:iCs/>
          <w:sz w:val="26"/>
          <w:szCs w:val="26"/>
        </w:rPr>
        <w:t>S&amp;4</w:t>
      </w:r>
    </w:p>
    <w:p w:rsidR="00500724" w:rsidRDefault="00500724">
      <w:pPr>
        <w:spacing w:after="154" w:line="14" w:lineRule="exact"/>
      </w:pPr>
    </w:p>
    <w:p w:rsidR="00500724" w:rsidRDefault="00500724">
      <w:pPr>
        <w:spacing w:line="14" w:lineRule="exact"/>
        <w:sectPr w:rsidR="00500724">
          <w:footnotePr>
            <w:numFmt w:val="chicago"/>
            <w:numRestart w:val="eachPage"/>
          </w:footnotePr>
          <w:type w:val="continuous"/>
          <w:pgSz w:w="11909" w:h="16834"/>
          <w:pgMar w:top="1539" w:right="1073" w:bottom="514" w:left="521" w:header="0" w:footer="3" w:gutter="0"/>
          <w:cols w:space="720"/>
          <w:noEndnote/>
          <w:docGrid w:linePitch="360"/>
        </w:sectPr>
      </w:pPr>
    </w:p>
    <w:p w:rsidR="00500724" w:rsidRDefault="00F30FB8">
      <w:pPr>
        <w:pStyle w:val="Zkladntext50"/>
        <w:shd w:val="clear" w:color="auto" w:fill="auto"/>
        <w:spacing w:after="0" w:line="194" w:lineRule="auto"/>
        <w:ind w:left="0"/>
        <w:jc w:val="right"/>
        <w:rPr>
          <w:sz w:val="18"/>
          <w:szCs w:val="18"/>
        </w:rPr>
        <w:sectPr w:rsidR="00500724">
          <w:footnotePr>
            <w:numFmt w:val="chicago"/>
            <w:numRestart w:val="eachPage"/>
          </w:footnotePr>
          <w:pgSz w:w="11909" w:h="16834"/>
          <w:pgMar w:top="1323" w:right="967" w:bottom="1155" w:left="511" w:header="0" w:footer="3" w:gutter="0"/>
          <w:cols w:space="720"/>
          <w:noEndnote/>
          <w:docGrid w:linePitch="360"/>
        </w:sectPr>
      </w:pPr>
      <w:r>
        <w:rPr>
          <w:strike/>
          <w:sz w:val="18"/>
          <w:szCs w:val="18"/>
        </w:rPr>
        <w:t>■»</w:t>
      </w:r>
    </w:p>
    <w:p w:rsidR="00500724" w:rsidRDefault="00F30FB8">
      <w:pPr>
        <w:pStyle w:val="Zkladntext40"/>
        <w:shd w:val="clear" w:color="auto" w:fill="auto"/>
        <w:spacing w:after="0" w:line="310" w:lineRule="auto"/>
        <w:rPr>
          <w:sz w:val="14"/>
          <w:szCs w:val="14"/>
        </w:rPr>
      </w:pPr>
      <w:r>
        <w:rPr>
          <w:b/>
          <w:bCs/>
          <w:sz w:val="14"/>
          <w:szCs w:val="14"/>
        </w:rPr>
        <w:t>umírněného knížete Konoye, jehož vystřídal v úřadě ministerského předsedy vášnivý nacionalista baron</w:t>
      </w:r>
      <w:r>
        <w:rPr>
          <w:b/>
          <w:bCs/>
          <w:sz w:val="14"/>
          <w:szCs w:val="14"/>
        </w:rPr>
        <w:t xml:space="preserve"> Hiranuma."</w:t>
      </w:r>
    </w:p>
    <w:p w:rsidR="00500724" w:rsidRDefault="00F30FB8">
      <w:pPr>
        <w:pStyle w:val="Zkladntext40"/>
        <w:shd w:val="clear" w:color="auto" w:fill="auto"/>
        <w:spacing w:after="0" w:line="310" w:lineRule="auto"/>
        <w:ind w:firstLine="220"/>
        <w:rPr>
          <w:sz w:val="14"/>
          <w:szCs w:val="14"/>
        </w:rPr>
      </w:pPr>
      <w:r>
        <w:rPr>
          <w:b/>
          <w:bCs/>
          <w:sz w:val="14"/>
          <w:szCs w:val="14"/>
        </w:rPr>
        <w:t>Snad se tam ještě utěšují tím, že ani Hiranuma ne</w:t>
      </w:r>
      <w:r>
        <w:rPr>
          <w:b/>
          <w:bCs/>
          <w:sz w:val="14"/>
          <w:szCs w:val="14"/>
        </w:rPr>
        <w:softHyphen/>
        <w:t>proměnil antikomiternský pak ve vojenské spojenectví, jak to po něm před milánskými poradami žádali oba druzí partneři Osy. Japonský premiér tehdy prohlásil, že jeho stát není ani demokratický a</w:t>
      </w:r>
      <w:r>
        <w:rPr>
          <w:b/>
          <w:bCs/>
          <w:sz w:val="14"/>
          <w:szCs w:val="14"/>
        </w:rPr>
        <w:t>ni totalitní a že je tedy jen logické, chce-li zůstat mimo tyto dva ideolo</w:t>
      </w:r>
      <w:r>
        <w:rPr>
          <w:b/>
          <w:bCs/>
          <w:sz w:val="14"/>
          <w:szCs w:val="14"/>
        </w:rPr>
        <w:softHyphen/>
        <w:t>gické bloky. Na západě jsou, jak se zdá, ochotni vy</w:t>
      </w:r>
      <w:r>
        <w:rPr>
          <w:b/>
          <w:bCs/>
          <w:sz w:val="14"/>
          <w:szCs w:val="14"/>
        </w:rPr>
        <w:softHyphen/>
        <w:t>kládat si to v ten smysl, že nejradikálnější tendence japonské armády jsou kroceny zdrženlivější opatrností loďstva a trustů. Tyt</w:t>
      </w:r>
      <w:r>
        <w:rPr>
          <w:b/>
          <w:bCs/>
          <w:sz w:val="14"/>
          <w:szCs w:val="14"/>
        </w:rPr>
        <w:t>o spekulace mohou však lehko zklamat.</w:t>
      </w:r>
    </w:p>
    <w:p w:rsidR="00500724" w:rsidRDefault="00F30FB8">
      <w:pPr>
        <w:pStyle w:val="Zkladntext40"/>
        <w:shd w:val="clear" w:color="auto" w:fill="auto"/>
        <w:spacing w:after="140" w:line="310" w:lineRule="auto"/>
        <w:ind w:firstLine="220"/>
        <w:rPr>
          <w:sz w:val="14"/>
          <w:szCs w:val="14"/>
        </w:rPr>
      </w:pPr>
      <w:r>
        <w:rPr>
          <w:b/>
          <w:bCs/>
          <w:sz w:val="14"/>
          <w:szCs w:val="14"/>
        </w:rPr>
        <w:t>Nebof japonská armáda na konci druhého roku čín</w:t>
      </w:r>
      <w:r>
        <w:rPr>
          <w:b/>
          <w:bCs/>
          <w:sz w:val="14"/>
          <w:szCs w:val="14"/>
        </w:rPr>
        <w:softHyphen/>
        <w:t>ského tažení už ztrácí trpělivost: nechce se dát stále připravovat o ovoce svých vítězství špatně maskova</w:t>
      </w:r>
      <w:r>
        <w:rPr>
          <w:b/>
          <w:bCs/>
          <w:sz w:val="14"/>
          <w:szCs w:val="14"/>
        </w:rPr>
        <w:softHyphen/>
        <w:t>nými zásahy demokratického světa ani oportunismem domácí značky.</w:t>
      </w:r>
      <w:r>
        <w:rPr>
          <w:b/>
          <w:bCs/>
          <w:sz w:val="14"/>
          <w:szCs w:val="14"/>
        </w:rPr>
        <w:t xml:space="preserve"> V této věci se </w:t>
      </w:r>
      <w:r>
        <w:rPr>
          <w:b/>
          <w:bCs/>
          <w:sz w:val="14"/>
          <w:szCs w:val="14"/>
          <w:lang w:val="en-US" w:eastAsia="en-US" w:bidi="en-US"/>
        </w:rPr>
        <w:t xml:space="preserve">Downing </w:t>
      </w:r>
      <w:r>
        <w:rPr>
          <w:b/>
          <w:bCs/>
          <w:sz w:val="14"/>
          <w:szCs w:val="14"/>
        </w:rPr>
        <w:t>Street dnes pa</w:t>
      </w:r>
      <w:r>
        <w:rPr>
          <w:b/>
          <w:bCs/>
          <w:sz w:val="14"/>
          <w:szCs w:val="14"/>
        </w:rPr>
        <w:softHyphen/>
        <w:t>trně neoddává nějakým ilusím; je to cítit i z podráž</w:t>
      </w:r>
      <w:r>
        <w:rPr>
          <w:b/>
          <w:bCs/>
          <w:sz w:val="14"/>
          <w:szCs w:val="14"/>
        </w:rPr>
        <w:softHyphen/>
        <w:t>děných slov londýnského tisku, který teď doprovází tiencinskou blokádu zprávami o tom, jak prý tu japon</w:t>
      </w:r>
      <w:r>
        <w:rPr>
          <w:b/>
          <w:bCs/>
          <w:sz w:val="14"/>
          <w:szCs w:val="14"/>
        </w:rPr>
        <w:softHyphen/>
        <w:t>ská armáda chce se sebe svrhnout vinu na britského »hříšníka</w:t>
      </w:r>
      <w:r>
        <w:rPr>
          <w:b/>
          <w:bCs/>
          <w:sz w:val="14"/>
          <w:szCs w:val="14"/>
        </w:rPr>
        <w:t xml:space="preserve">«. Vinu — zač vlastně? Za to, říká londýnská propaganda, že se prý Japonsku stále nedaří proměnit vojenská vítězství v rozhodující politické </w:t>
      </w:r>
      <w:r>
        <w:rPr>
          <w:b/>
          <w:bCs/>
          <w:sz w:val="16"/>
          <w:szCs w:val="16"/>
        </w:rPr>
        <w:t xml:space="preserve">a </w:t>
      </w:r>
      <w:r>
        <w:rPr>
          <w:b/>
          <w:bCs/>
          <w:sz w:val="14"/>
          <w:szCs w:val="14"/>
        </w:rPr>
        <w:t>hospodářské úspěchy.</w:t>
      </w:r>
    </w:p>
    <w:p w:rsidR="00500724" w:rsidRDefault="00F30FB8">
      <w:pPr>
        <w:pStyle w:val="Zkladntext40"/>
        <w:shd w:val="clear" w:color="auto" w:fill="auto"/>
        <w:spacing w:after="160" w:line="286" w:lineRule="auto"/>
        <w:jc w:val="center"/>
        <w:rPr>
          <w:sz w:val="14"/>
          <w:szCs w:val="14"/>
        </w:rPr>
      </w:pPr>
      <w:r>
        <w:rPr>
          <w:b/>
          <w:bCs/>
          <w:sz w:val="14"/>
          <w:szCs w:val="14"/>
        </w:rPr>
        <w:t>Tři požadavky</w:t>
      </w:r>
    </w:p>
    <w:p w:rsidR="00500724" w:rsidRDefault="00F30FB8">
      <w:pPr>
        <w:pStyle w:val="Zkladntext40"/>
        <w:shd w:val="clear" w:color="auto" w:fill="auto"/>
        <w:spacing w:after="0" w:line="286" w:lineRule="auto"/>
        <w:ind w:firstLine="220"/>
        <w:rPr>
          <w:sz w:val="14"/>
          <w:szCs w:val="14"/>
        </w:rPr>
      </w:pPr>
      <w:r>
        <w:rPr>
          <w:b/>
          <w:bCs/>
          <w:sz w:val="14"/>
          <w:szCs w:val="14"/>
        </w:rPr>
        <w:t>Za jisto lze pokládat v každém případě, že se japon</w:t>
      </w:r>
      <w:r>
        <w:rPr>
          <w:b/>
          <w:bCs/>
          <w:sz w:val="14"/>
          <w:szCs w:val="14"/>
        </w:rPr>
        <w:softHyphen/>
        <w:t>ská armáda rozhodla využít</w:t>
      </w:r>
      <w:r>
        <w:rPr>
          <w:b/>
          <w:bCs/>
          <w:sz w:val="14"/>
          <w:szCs w:val="14"/>
        </w:rPr>
        <w:t xml:space="preserve"> nynější situace v Evropě k tomu, aby konečně korunovala svoje strategické úspěchy také jejich politickým a hospodářským zhod</w:t>
      </w:r>
      <w:r>
        <w:rPr>
          <w:b/>
          <w:bCs/>
          <w:sz w:val="14"/>
          <w:szCs w:val="14"/>
        </w:rPr>
        <w:softHyphen/>
        <w:t>nocením. To je zvlášf dobře patrno z požadavků, které teď postavila při vyhlášení blokády Tiencinu.</w:t>
      </w:r>
    </w:p>
    <w:p w:rsidR="00500724" w:rsidRDefault="00F30FB8">
      <w:pPr>
        <w:pStyle w:val="Zkladntext40"/>
        <w:shd w:val="clear" w:color="auto" w:fill="auto"/>
        <w:spacing w:after="0" w:line="286" w:lineRule="auto"/>
        <w:ind w:firstLine="220"/>
        <w:rPr>
          <w:sz w:val="14"/>
          <w:szCs w:val="14"/>
        </w:rPr>
      </w:pPr>
      <w:r>
        <w:rPr>
          <w:b/>
          <w:bCs/>
          <w:sz w:val="14"/>
          <w:szCs w:val="14"/>
        </w:rPr>
        <w:t>Tyto požadavky jsou:</w:t>
      </w:r>
    </w:p>
    <w:p w:rsidR="00500724" w:rsidRDefault="00F30FB8">
      <w:pPr>
        <w:pStyle w:val="Zkladntext40"/>
        <w:numPr>
          <w:ilvl w:val="0"/>
          <w:numId w:val="76"/>
        </w:numPr>
        <w:shd w:val="clear" w:color="auto" w:fill="auto"/>
        <w:tabs>
          <w:tab w:val="left" w:pos="667"/>
        </w:tabs>
        <w:spacing w:after="0" w:line="286" w:lineRule="auto"/>
        <w:ind w:left="220" w:firstLine="180"/>
        <w:jc w:val="left"/>
        <w:rPr>
          <w:sz w:val="14"/>
          <w:szCs w:val="14"/>
        </w:rPr>
      </w:pPr>
      <w:r>
        <w:rPr>
          <w:b/>
          <w:bCs/>
          <w:sz w:val="14"/>
          <w:szCs w:val="14"/>
        </w:rPr>
        <w:t xml:space="preserve">Anglie a </w:t>
      </w:r>
      <w:r>
        <w:rPr>
          <w:b/>
          <w:bCs/>
          <w:sz w:val="14"/>
          <w:szCs w:val="14"/>
        </w:rPr>
        <w:t>Francie se napříště zřeknou své marně popírané podpory čínských teroristů.</w:t>
      </w:r>
    </w:p>
    <w:p w:rsidR="00500724" w:rsidRDefault="00F30FB8">
      <w:pPr>
        <w:pStyle w:val="Zkladntext40"/>
        <w:numPr>
          <w:ilvl w:val="0"/>
          <w:numId w:val="76"/>
        </w:numPr>
        <w:shd w:val="clear" w:color="auto" w:fill="auto"/>
        <w:tabs>
          <w:tab w:val="left" w:pos="672"/>
        </w:tabs>
        <w:spacing w:after="0" w:line="240" w:lineRule="auto"/>
        <w:ind w:left="220" w:firstLine="180"/>
        <w:jc w:val="left"/>
        <w:rPr>
          <w:sz w:val="14"/>
          <w:szCs w:val="14"/>
        </w:rPr>
      </w:pPr>
      <w:r>
        <w:rPr>
          <w:b/>
          <w:bCs/>
          <w:sz w:val="14"/>
          <w:szCs w:val="14"/>
        </w:rPr>
        <w:t>Anglie a Francie přestanou podporovat Čankaj- šekův dolar proti nankinskému yuanu.</w:t>
      </w:r>
    </w:p>
    <w:p w:rsidR="00500724" w:rsidRDefault="00F30FB8">
      <w:pPr>
        <w:pStyle w:val="Zkladntext40"/>
        <w:numPr>
          <w:ilvl w:val="0"/>
          <w:numId w:val="76"/>
        </w:numPr>
        <w:shd w:val="clear" w:color="auto" w:fill="auto"/>
        <w:tabs>
          <w:tab w:val="left" w:pos="677"/>
        </w:tabs>
        <w:spacing w:after="0" w:line="286" w:lineRule="auto"/>
        <w:ind w:left="220" w:firstLine="180"/>
        <w:jc w:val="left"/>
        <w:rPr>
          <w:sz w:val="14"/>
          <w:szCs w:val="14"/>
        </w:rPr>
      </w:pPr>
      <w:r>
        <w:rPr>
          <w:b/>
          <w:bCs/>
          <w:sz w:val="14"/>
          <w:szCs w:val="14"/>
        </w:rPr>
        <w:t>Anglie a Francie se po boku Japonska aktivně účastní budování nového řádu v Číně.</w:t>
      </w:r>
    </w:p>
    <w:p w:rsidR="00500724" w:rsidRDefault="00F30FB8">
      <w:pPr>
        <w:pStyle w:val="Zkladntext40"/>
        <w:shd w:val="clear" w:color="auto" w:fill="auto"/>
        <w:spacing w:after="0" w:line="286" w:lineRule="auto"/>
        <w:ind w:firstLine="220"/>
        <w:rPr>
          <w:sz w:val="14"/>
          <w:szCs w:val="14"/>
        </w:rPr>
      </w:pPr>
      <w:r>
        <w:rPr>
          <w:b/>
          <w:bCs/>
          <w:sz w:val="14"/>
          <w:szCs w:val="14"/>
        </w:rPr>
        <w:t xml:space="preserve">Na první pohled </w:t>
      </w:r>
      <w:r>
        <w:rPr>
          <w:b/>
          <w:bCs/>
          <w:sz w:val="14"/>
          <w:szCs w:val="14"/>
        </w:rPr>
        <w:t>je na těchto požadavcích nejzají</w:t>
      </w:r>
      <w:r>
        <w:rPr>
          <w:b/>
          <w:bCs/>
          <w:sz w:val="14"/>
          <w:szCs w:val="14"/>
        </w:rPr>
        <w:softHyphen/>
        <w:t>mavější okolnost, že jsou adresovány pouze Anglii a Francii, ne také Spojeným Státům, které jsou v Číně jinak stejně interesovány jako obě evropské demokracie. V této taktice se znovu dokumentuje souhra Osy: proti* ofensiva</w:t>
      </w:r>
      <w:r>
        <w:rPr>
          <w:b/>
          <w:bCs/>
          <w:sz w:val="14"/>
          <w:szCs w:val="14"/>
        </w:rPr>
        <w:t xml:space="preserve"> je tu namířena jen proti obkličovatelům, kdežto zdrželivost vůči Americe má umožnit jejím </w:t>
      </w:r>
      <w:r>
        <w:rPr>
          <w:b/>
          <w:bCs/>
          <w:sz w:val="14"/>
          <w:szCs w:val="14"/>
          <w:lang w:val="en-US" w:eastAsia="en-US" w:bidi="en-US"/>
        </w:rPr>
        <w:t xml:space="preserve">isolation </w:t>
      </w:r>
      <w:r>
        <w:rPr>
          <w:b/>
          <w:bCs/>
          <w:sz w:val="14"/>
          <w:szCs w:val="14"/>
        </w:rPr>
        <w:t>is- tům zvýšit tlak na Roosevelta, aby především on sám popřál více sluchu svému volání po míru. Některé ne</w:t>
      </w:r>
      <w:r>
        <w:rPr>
          <w:b/>
          <w:bCs/>
          <w:sz w:val="14"/>
          <w:szCs w:val="14"/>
        </w:rPr>
        <w:softHyphen/>
        <w:t>příjemnosti, jejichž obětmi se v blokovaném Tie</w:t>
      </w:r>
      <w:r>
        <w:rPr>
          <w:b/>
          <w:bCs/>
          <w:sz w:val="14"/>
          <w:szCs w:val="14"/>
        </w:rPr>
        <w:t>ncinu stali američtí občané, se ovšem zdají nasvědčovat tomu, že podřízené japonské orgány nepochopily dosti správně moudrou opatrnost tokijské politiky,</w:t>
      </w:r>
    </w:p>
    <w:p w:rsidR="00500724" w:rsidRDefault="00F30FB8">
      <w:pPr>
        <w:pStyle w:val="Zkladntext40"/>
        <w:shd w:val="clear" w:color="auto" w:fill="auto"/>
        <w:spacing w:after="0" w:line="286" w:lineRule="auto"/>
        <w:ind w:firstLine="220"/>
        <w:rPr>
          <w:sz w:val="14"/>
          <w:szCs w:val="14"/>
        </w:rPr>
      </w:pPr>
      <w:r>
        <w:rPr>
          <w:b/>
          <w:bCs/>
          <w:sz w:val="14"/>
          <w:szCs w:val="14"/>
        </w:rPr>
        <w:t>Chceme-li však pochopit hloubku a dosah nynějšího konfliktu, ne prvního a sotva posledního, musíme po</w:t>
      </w:r>
      <w:r>
        <w:rPr>
          <w:b/>
          <w:bCs/>
          <w:sz w:val="14"/>
          <w:szCs w:val="14"/>
        </w:rPr>
        <w:softHyphen/>
      </w:r>
      <w:r>
        <w:rPr>
          <w:b/>
          <w:bCs/>
          <w:sz w:val="14"/>
          <w:szCs w:val="14"/>
        </w:rPr>
        <w:t>rozumět významu každého ze tří požadavků japonské armády.</w:t>
      </w:r>
    </w:p>
    <w:p w:rsidR="00500724" w:rsidRDefault="00F30FB8">
      <w:pPr>
        <w:pStyle w:val="Zkladntext40"/>
        <w:shd w:val="clear" w:color="auto" w:fill="auto"/>
        <w:spacing w:after="160" w:line="286" w:lineRule="auto"/>
        <w:jc w:val="center"/>
        <w:rPr>
          <w:sz w:val="14"/>
          <w:szCs w:val="14"/>
        </w:rPr>
      </w:pPr>
      <w:r>
        <w:rPr>
          <w:b/>
          <w:bCs/>
          <w:sz w:val="14"/>
          <w:szCs w:val="14"/>
        </w:rPr>
        <w:t>Čínští teroristé</w:t>
      </w:r>
    </w:p>
    <w:p w:rsidR="00500724" w:rsidRDefault="00F30FB8">
      <w:pPr>
        <w:pStyle w:val="Zkladntext40"/>
        <w:shd w:val="clear" w:color="auto" w:fill="auto"/>
        <w:spacing w:after="0" w:line="286" w:lineRule="auto"/>
        <w:ind w:firstLine="220"/>
        <w:rPr>
          <w:sz w:val="14"/>
          <w:szCs w:val="14"/>
        </w:rPr>
      </w:pPr>
      <w:r>
        <w:rPr>
          <w:b/>
          <w:bCs/>
          <w:sz w:val="14"/>
          <w:szCs w:val="14"/>
        </w:rPr>
        <w:t>Bezprostřední blokáda Tiencinu je už přes dva mě</w:t>
      </w:r>
      <w:r>
        <w:rPr>
          <w:b/>
          <w:bCs/>
          <w:sz w:val="14"/>
          <w:szCs w:val="14"/>
        </w:rPr>
        <w:softHyphen/>
        <w:t>síce stará. 9. dubna se utekli do tamní britské koncese čtyři Číňané, kteří podle přesvědčení japonských úřadů patří k bandě, jež sp</w:t>
      </w:r>
      <w:r>
        <w:rPr>
          <w:b/>
          <w:bCs/>
          <w:sz w:val="14"/>
          <w:szCs w:val="14"/>
        </w:rPr>
        <w:t>áchala jeden z nesčetných atentátů proti Japonsku přátelským funkcionářům nankinské vlády. Správa britské koncese sice v zásadě neodmítla vydat teroristy, chtěla však znát japonské důkazy o je</w:t>
      </w:r>
      <w:r>
        <w:rPr>
          <w:b/>
          <w:bCs/>
          <w:sz w:val="14"/>
          <w:szCs w:val="14"/>
        </w:rPr>
        <w:softHyphen/>
        <w:t>jich vině, což podle úsudku Japonců vůbec nespadá do britské ko</w:t>
      </w:r>
      <w:r>
        <w:rPr>
          <w:b/>
          <w:bCs/>
          <w:sz w:val="14"/>
          <w:szCs w:val="14"/>
        </w:rPr>
        <w:t>mpetence. Za takových okolností nedošlo k vydání oněch obviněných a zápletka se rozrostla. Těsně před vyhlášením blokády prohlásil ovšem mluvčí japonské armády, že otázka čtyř teroristů nehraje v konfliktu hlavní roli; než i tak je jisto, že čínský teror j</w:t>
      </w:r>
      <w:r>
        <w:rPr>
          <w:b/>
          <w:bCs/>
          <w:sz w:val="14"/>
          <w:szCs w:val="14"/>
        </w:rPr>
        <w:t>e aspoň jednou z příčin, zostřujících japonsko-britské napětí.</w:t>
      </w:r>
    </w:p>
    <w:p w:rsidR="00500724" w:rsidRDefault="00F30FB8">
      <w:pPr>
        <w:pStyle w:val="Zkladntext40"/>
        <w:shd w:val="clear" w:color="auto" w:fill="auto"/>
        <w:spacing w:after="0" w:line="286" w:lineRule="auto"/>
        <w:ind w:firstLine="220"/>
        <w:rPr>
          <w:sz w:val="14"/>
          <w:szCs w:val="14"/>
        </w:rPr>
      </w:pPr>
      <w:r>
        <w:rPr>
          <w:b/>
          <w:bCs/>
          <w:sz w:val="14"/>
          <w:szCs w:val="14"/>
        </w:rPr>
        <w:t>Čína patří odedávna ke klasickým zemím politické vraždy a fémy. V naší době nejsou cílem teroristických band ani tak japonští hodnostáři, jako mnohem více, či vůbec výlučně ti japanofilští Číňa</w:t>
      </w:r>
      <w:r>
        <w:rPr>
          <w:b/>
          <w:bCs/>
          <w:sz w:val="14"/>
          <w:szCs w:val="14"/>
        </w:rPr>
        <w:t>né, kteří se domníva</w:t>
      </w:r>
      <w:r>
        <w:rPr>
          <w:b/>
          <w:bCs/>
          <w:sz w:val="14"/>
          <w:szCs w:val="14"/>
        </w:rPr>
        <w:softHyphen/>
        <w:t>jí, že nejlépe prospějí své vlasti a snad i sobě, když budou ve stínu japonské moci pomáhat organisovat v zemi nový pořádek. Jen v posledních týdnech provedli ban</w:t>
      </w:r>
      <w:r>
        <w:rPr>
          <w:b/>
          <w:bCs/>
          <w:sz w:val="14"/>
          <w:szCs w:val="14"/>
        </w:rPr>
        <w:softHyphen/>
        <w:t xml:space="preserve">dité v Šanhaji několik vražd na těchto představitelích nankinské vlády, </w:t>
      </w:r>
      <w:r>
        <w:rPr>
          <w:b/>
          <w:bCs/>
          <w:sz w:val="14"/>
          <w:szCs w:val="14"/>
        </w:rPr>
        <w:t>V nichž pořád nechtějí vidět skutečné dobrodince Číny. V Nankinu samotném se nedávno udál případ, hodný pera E. A. Poe: při hostině na japonském konsulátu, jež měla sloužit prohloubení bratrských svazků mezi japonskými ochránci a odpovědnými muži nové Číny</w:t>
      </w:r>
      <w:r>
        <w:rPr>
          <w:b/>
          <w:bCs/>
          <w:sz w:val="14"/>
          <w:szCs w:val="14"/>
        </w:rPr>
        <w:t>, podali spiklí čínští kuchaři a číšníci hostům otrávené nápoje; ze dvaceti otrávených dva zemřeli, pět vysokých nankinských hodnostářů dlouho zápasilo se smrtí.</w:t>
      </w:r>
    </w:p>
    <w:p w:rsidR="00500724" w:rsidRDefault="00F30FB8">
      <w:pPr>
        <w:pStyle w:val="Zkladntext40"/>
        <w:shd w:val="clear" w:color="auto" w:fill="auto"/>
        <w:spacing w:after="0" w:line="286" w:lineRule="auto"/>
        <w:ind w:firstLine="220"/>
        <w:rPr>
          <w:sz w:val="14"/>
          <w:szCs w:val="14"/>
        </w:rPr>
      </w:pPr>
      <w:r>
        <w:rPr>
          <w:b/>
          <w:bCs/>
          <w:sz w:val="14"/>
          <w:szCs w:val="14"/>
        </w:rPr>
        <w:t>Pachatelé ve všech těchto a ve většině ostatních pří</w:t>
      </w:r>
      <w:r>
        <w:rPr>
          <w:b/>
          <w:bCs/>
          <w:sz w:val="14"/>
          <w:szCs w:val="14"/>
        </w:rPr>
        <w:softHyphen/>
        <w:t>padů unikli. Jejich stopa však vedla japo</w:t>
      </w:r>
      <w:r>
        <w:rPr>
          <w:b/>
          <w:bCs/>
          <w:sz w:val="14"/>
          <w:szCs w:val="14"/>
        </w:rPr>
        <w:t>nskou policii vždycky rovnou do zahraničních koncesí — kde obvi</w:t>
      </w:r>
      <w:r>
        <w:rPr>
          <w:b/>
          <w:bCs/>
          <w:sz w:val="14"/>
          <w:szCs w:val="14"/>
        </w:rPr>
        <w:softHyphen/>
        <w:t>nění ušli zatčení a trestu. Japonci nejsou srozuměni s takovým stavem věcí. Mohou-li všude jinde v oblasti své ochranné moci používat v případě potřeby i velmi přísných prostředků k obnovení p</w:t>
      </w:r>
      <w:r>
        <w:rPr>
          <w:b/>
          <w:bCs/>
          <w:sz w:val="14"/>
          <w:szCs w:val="14"/>
        </w:rPr>
        <w:t>ořádku, stává se jejich úsilí ilusorní tam, kde se správy zahraničních koncesí chtějí proti účinným japonským metodám dovolávat humanity a civilisace.</w:t>
      </w:r>
    </w:p>
    <w:p w:rsidR="00500724" w:rsidRDefault="00F30FB8">
      <w:pPr>
        <w:pStyle w:val="Zkladntext40"/>
        <w:shd w:val="clear" w:color="auto" w:fill="auto"/>
        <w:spacing w:after="0" w:line="286" w:lineRule="auto"/>
        <w:ind w:firstLine="220"/>
        <w:rPr>
          <w:sz w:val="14"/>
          <w:szCs w:val="14"/>
        </w:rPr>
      </w:pPr>
      <w:r>
        <w:rPr>
          <w:b/>
          <w:bCs/>
          <w:sz w:val="14"/>
          <w:szCs w:val="14"/>
        </w:rPr>
        <w:t>Když se tedy počátkem dubna opakoval podobný pří</w:t>
      </w:r>
      <w:r>
        <w:rPr>
          <w:b/>
          <w:bCs/>
          <w:sz w:val="14"/>
          <w:szCs w:val="14"/>
        </w:rPr>
        <w:softHyphen/>
        <w:t xml:space="preserve">pad v Tiencinu, dali velitelé japonských vojsk Anglii a </w:t>
      </w:r>
      <w:r>
        <w:rPr>
          <w:b/>
          <w:bCs/>
          <w:sz w:val="14"/>
          <w:szCs w:val="14"/>
        </w:rPr>
        <w:t>Francii najevo, že to už nemíní trpět. Tokio může říci, že je to jen železná logika jeho akce, směřující přece k záchraně Číny před bolševickým rozvratem. Této lo</w:t>
      </w:r>
      <w:r>
        <w:rPr>
          <w:b/>
          <w:bCs/>
          <w:sz w:val="14"/>
          <w:szCs w:val="14"/>
        </w:rPr>
        <w:softHyphen/>
        <w:t>giky je třeba tím více, že boj proti teroristům není jen obtížný, nýbrž též velmi důležitý. J</w:t>
      </w:r>
      <w:r>
        <w:rPr>
          <w:b/>
          <w:bCs/>
          <w:sz w:val="14"/>
          <w:szCs w:val="14"/>
        </w:rPr>
        <w:t>en rozhodné vítězství na této frontě může totiž Japonsku zajistit politické využití všech dosavadních vojenských vítězství, která by jinak byla jen marným proléváním lidské krve — jak si to asi přejí v Londýně, Washingtoně a Moskvě.</w:t>
      </w:r>
    </w:p>
    <w:p w:rsidR="00500724" w:rsidRDefault="00F30FB8">
      <w:pPr>
        <w:pStyle w:val="Zkladntext40"/>
        <w:shd w:val="clear" w:color="auto" w:fill="auto"/>
        <w:spacing w:after="140" w:line="286" w:lineRule="auto"/>
        <w:ind w:firstLine="220"/>
        <w:rPr>
          <w:sz w:val="14"/>
          <w:szCs w:val="14"/>
        </w:rPr>
      </w:pPr>
      <w:r>
        <w:rPr>
          <w:b/>
          <w:bCs/>
          <w:sz w:val="14"/>
          <w:szCs w:val="14"/>
        </w:rPr>
        <w:t>Až dosud, po dvou letec</w:t>
      </w:r>
      <w:r>
        <w:rPr>
          <w:b/>
          <w:bCs/>
          <w:sz w:val="14"/>
          <w:szCs w:val="14"/>
        </w:rPr>
        <w:t>h bojů, se nepodařilo postavit v čelo nankinské vlády osobnost, jež by měla autoritu, aspoň přibližně se rovnající autoritě maršála Čankaj- šeka. Chvíli se zdálo, že by vhodným mužem mohl být Vančinvej, kdysi známý předák Kuomintanu; ale Kuomintan jej po j</w:t>
      </w:r>
      <w:r>
        <w:rPr>
          <w:b/>
          <w:bCs/>
          <w:sz w:val="14"/>
          <w:szCs w:val="14"/>
        </w:rPr>
        <w:t>eho prvním slibném náběhu k japa- nofilské politice navždy vyloučil ze svých řad a teroristé si jej vzali na mušku. Od té doby se Japonci poctivě namáhali, aby získali pro svůj plán Vu Pejfua, velkého odpůrce Čankajšekova. Avšak maršál Vu se oď své po</w:t>
      </w:r>
      <w:r>
        <w:rPr>
          <w:b/>
          <w:bCs/>
          <w:sz w:val="14"/>
          <w:szCs w:val="14"/>
        </w:rPr>
        <w:softHyphen/>
        <w:t>rážk</w:t>
      </w:r>
      <w:r>
        <w:rPr>
          <w:b/>
          <w:bCs/>
          <w:sz w:val="14"/>
          <w:szCs w:val="14"/>
        </w:rPr>
        <w:t>y v roce 1926 uchýlil do soukromého ústraní, kde se v četbě klasiků a v psaní lyrických veršů — tradiční zábavě poražených čínských generálů — nechce dát ničím rušit. ^Skromný život je lepší než slavná smrt«, praví Konfucius; a jed, dýky, pumy jeho teroris</w:t>
      </w:r>
      <w:r>
        <w:rPr>
          <w:b/>
          <w:bCs/>
          <w:sz w:val="14"/>
          <w:szCs w:val="14"/>
        </w:rPr>
        <w:t>tických soukmenovců jen ještě zdůrazňují slova mudrcova.</w:t>
      </w:r>
    </w:p>
    <w:p w:rsidR="00500724" w:rsidRDefault="00F30FB8">
      <w:pPr>
        <w:pStyle w:val="Zkladntext40"/>
        <w:shd w:val="clear" w:color="auto" w:fill="auto"/>
        <w:spacing w:after="140" w:line="286" w:lineRule="auto"/>
        <w:jc w:val="center"/>
        <w:rPr>
          <w:sz w:val="14"/>
          <w:szCs w:val="14"/>
        </w:rPr>
      </w:pPr>
      <w:r>
        <w:rPr>
          <w:b/>
          <w:bCs/>
          <w:sz w:val="14"/>
          <w:szCs w:val="14"/>
        </w:rPr>
        <w:t>Měnová válka</w:t>
      </w:r>
    </w:p>
    <w:p w:rsidR="00500724" w:rsidRDefault="00F30FB8">
      <w:pPr>
        <w:pStyle w:val="Zkladntext40"/>
        <w:shd w:val="clear" w:color="auto" w:fill="auto"/>
        <w:spacing w:after="0" w:line="286" w:lineRule="auto"/>
        <w:ind w:left="180" w:firstLine="40"/>
        <w:rPr>
          <w:sz w:val="14"/>
          <w:szCs w:val="14"/>
        </w:rPr>
      </w:pPr>
      <w:r>
        <w:rPr>
          <w:b/>
          <w:bCs/>
          <w:sz w:val="14"/>
          <w:szCs w:val="14"/>
        </w:rPr>
        <w:t>Má-li první ze tří japonských požadavků pomoci jim oliticky zužitkovat vojenské úspěchy, je jíkolem dru- ého z nich dosáhnouti konečně i hospodářských plodu</w:t>
      </w:r>
    </w:p>
    <w:p w:rsidR="00500724" w:rsidRDefault="00F30FB8">
      <w:pPr>
        <w:pStyle w:val="Zkladntext40"/>
        <w:shd w:val="clear" w:color="auto" w:fill="auto"/>
        <w:spacing w:after="0" w:line="286" w:lineRule="auto"/>
        <w:rPr>
          <w:sz w:val="14"/>
          <w:szCs w:val="14"/>
        </w:rPr>
      </w:pPr>
      <w:r>
        <w:rPr>
          <w:b/>
          <w:bCs/>
          <w:sz w:val="14"/>
          <w:szCs w:val="14"/>
        </w:rPr>
        <w:t>dvouletého krvavého úsilí.</w:t>
      </w:r>
    </w:p>
    <w:p w:rsidR="00500724" w:rsidRDefault="00F30FB8">
      <w:pPr>
        <w:pStyle w:val="Zkladntext40"/>
        <w:shd w:val="clear" w:color="auto" w:fill="auto"/>
        <w:spacing w:after="0" w:line="288" w:lineRule="auto"/>
        <w:ind w:firstLine="280"/>
        <w:rPr>
          <w:sz w:val="14"/>
          <w:szCs w:val="14"/>
        </w:rPr>
      </w:pPr>
      <w:r>
        <w:rPr>
          <w:b/>
          <w:bCs/>
          <w:sz w:val="14"/>
          <w:szCs w:val="14"/>
        </w:rPr>
        <w:t>Japonsko pomohlo osvobozeným oblastem Číny vy</w:t>
      </w:r>
      <w:r>
        <w:rPr>
          <w:b/>
          <w:bCs/>
          <w:sz w:val="14"/>
          <w:szCs w:val="14"/>
        </w:rPr>
        <w:softHyphen/>
        <w:t>tvořit novou ústřední banku, která zavádí v zemi novou měnu. Její jednotkou je y u a n, který se — podle míněni uštěpačné City — jenom svým jménein poněkud lisí od japonského yenu, s nímž opravdu ma stejnou hod</w:t>
      </w:r>
      <w:r>
        <w:rPr>
          <w:b/>
          <w:bCs/>
          <w:sz w:val="14"/>
          <w:szCs w:val="14"/>
        </w:rPr>
        <w:softHyphen/>
        <w:t>nota. Cunkinská vláda maršála Čankajšeka však dosud udržuje v oběhu starý čínský dolar, jehož hodnota, udržovaná nevybíravými prostředky zahraničí, je vyšší nežli hodnota yuanu. Je celkem samozřejmo, že za ta</w:t>
      </w:r>
      <w:r>
        <w:rPr>
          <w:b/>
          <w:bCs/>
          <w:sz w:val="14"/>
          <w:szCs w:val="14"/>
        </w:rPr>
        <w:softHyphen/>
        <w:t>kových okolností beztak tradičně konservativní</w:t>
      </w:r>
      <w:r>
        <w:rPr>
          <w:b/>
          <w:bCs/>
          <w:sz w:val="14"/>
          <w:szCs w:val="14"/>
        </w:rPr>
        <w:t xml:space="preserve"> Číňané přijímají raději dolar než </w:t>
      </w:r>
      <w:r>
        <w:rPr>
          <w:b/>
          <w:bCs/>
          <w:sz w:val="14"/>
          <w:szCs w:val="14"/>
          <w:lang w:val="en-US" w:eastAsia="en-US" w:bidi="en-US"/>
        </w:rPr>
        <w:t xml:space="preserve">yuan. </w:t>
      </w:r>
      <w:r>
        <w:rPr>
          <w:b/>
          <w:bCs/>
          <w:sz w:val="14"/>
          <w:szCs w:val="14"/>
        </w:rPr>
        <w:t xml:space="preserve">Už od března </w:t>
      </w:r>
      <w:r>
        <w:rPr>
          <w:i/>
          <w:iCs/>
          <w:sz w:val="20"/>
          <w:szCs w:val="20"/>
        </w:rPr>
        <w:t>se-</w:t>
      </w:r>
      <w:r>
        <w:rPr>
          <w:b/>
          <w:bCs/>
          <w:sz w:val="14"/>
          <w:szCs w:val="14"/>
        </w:rPr>
        <w:t xml:space="preserve"> Ja</w:t>
      </w:r>
      <w:r>
        <w:rPr>
          <w:b/>
          <w:bCs/>
          <w:sz w:val="14"/>
          <w:szCs w:val="14"/>
        </w:rPr>
        <w:softHyphen/>
        <w:t xml:space="preserve">ponci snaží odstranit tak neudržitelné poměry. Zavedli m. j. přísnou kontrolu vývozu a dovozu a trvají na tom, že jeho účtovací jednotkou musí být výlučně </w:t>
      </w:r>
      <w:r>
        <w:rPr>
          <w:b/>
          <w:bCs/>
          <w:sz w:val="14"/>
          <w:szCs w:val="14"/>
          <w:lang w:val="en-US" w:eastAsia="en-US" w:bidi="en-US"/>
        </w:rPr>
        <w:t>yuan.</w:t>
      </w:r>
    </w:p>
    <w:p w:rsidR="00500724" w:rsidRDefault="00F30FB8">
      <w:pPr>
        <w:pStyle w:val="Zkladntext40"/>
        <w:shd w:val="clear" w:color="auto" w:fill="auto"/>
        <w:spacing w:after="0" w:line="286" w:lineRule="auto"/>
        <w:ind w:firstLine="240"/>
        <w:rPr>
          <w:sz w:val="14"/>
          <w:szCs w:val="14"/>
        </w:rPr>
      </w:pPr>
      <w:r>
        <w:rPr>
          <w:b/>
          <w:bCs/>
          <w:sz w:val="14"/>
          <w:szCs w:val="14"/>
        </w:rPr>
        <w:t xml:space="preserve">Avšak — i tu zase narážejí na překážku zahraničních koncesí Jejich evropští a američtí kapitalisté se opírají o svoje stará &gt;práva« a odmítají i nadále </w:t>
      </w:r>
      <w:r>
        <w:rPr>
          <w:b/>
          <w:bCs/>
          <w:sz w:val="14"/>
          <w:szCs w:val="14"/>
          <w:lang w:val="en-US" w:eastAsia="en-US" w:bidi="en-US"/>
        </w:rPr>
        <w:t xml:space="preserve">yuan </w:t>
      </w:r>
      <w:r>
        <w:rPr>
          <w:b/>
          <w:bCs/>
          <w:sz w:val="14"/>
          <w:szCs w:val="14"/>
        </w:rPr>
        <w:t>ve pro</w:t>
      </w:r>
      <w:r>
        <w:rPr>
          <w:b/>
          <w:bCs/>
          <w:sz w:val="14"/>
          <w:szCs w:val="14"/>
        </w:rPr>
        <w:softHyphen/>
        <w:t>spěch Čankajšekova dolaru. Uvědomíme-li si že celý zahraniční obchod Číny, pokud nejde do Ja</w:t>
      </w:r>
      <w:r>
        <w:rPr>
          <w:b/>
          <w:bCs/>
          <w:sz w:val="14"/>
          <w:szCs w:val="14"/>
        </w:rPr>
        <w:t>ponska a Mandžukua, je v rukou těchto autonomních businesme- nů, pochopíme snadno, že japonská měnová politika v Číně je prostě ilusorní do té doby, dokud se tito pá</w:t>
      </w:r>
      <w:r>
        <w:rPr>
          <w:b/>
          <w:bCs/>
          <w:sz w:val="14"/>
          <w:szCs w:val="14"/>
        </w:rPr>
        <w:softHyphen/>
        <w:t>nové nevzdají svých smluvně zaručených výsad — po dobrém nebo po zlém. A nejde jen o to; c</w:t>
      </w:r>
      <w:r>
        <w:rPr>
          <w:b/>
          <w:bCs/>
          <w:sz w:val="14"/>
          <w:szCs w:val="14"/>
        </w:rPr>
        <w:t>izí kapitalisté, především Angličané, si dovolují ještě něco víc. Když se totiž Tokio rozhodlo učinit letos na jaře svá opatření na podpora yuanu, provedl Čankajšek kroky k další</w:t>
      </w:r>
      <w:r>
        <w:rPr>
          <w:b/>
          <w:bCs/>
          <w:sz w:val="14"/>
          <w:szCs w:val="14"/>
        </w:rPr>
        <w:softHyphen/>
        <w:t>mu zhodnocení svého dolaru — a jeho podpůrný fond ve výši 10 milionů liber up</w:t>
      </w:r>
      <w:r>
        <w:rPr>
          <w:b/>
          <w:bCs/>
          <w:sz w:val="14"/>
          <w:szCs w:val="14"/>
        </w:rPr>
        <w:t>saly z plné poloviny dvě velké britské banky v Číně!</w:t>
      </w:r>
    </w:p>
    <w:p w:rsidR="00500724" w:rsidRDefault="00F30FB8">
      <w:pPr>
        <w:pStyle w:val="Zkladntext40"/>
        <w:shd w:val="clear" w:color="auto" w:fill="auto"/>
        <w:spacing w:after="100" w:line="286" w:lineRule="auto"/>
        <w:ind w:firstLine="240"/>
        <w:rPr>
          <w:sz w:val="14"/>
          <w:szCs w:val="14"/>
        </w:rPr>
      </w:pPr>
      <w:r>
        <w:rPr>
          <w:b/>
          <w:bCs/>
          <w:sz w:val="14"/>
          <w:szCs w:val="14"/>
        </w:rPr>
        <w:t>Má mít anglické zlato větší moc než japonská ocel? Má se dát Japonsko stále olupo-vat o hospodářské ovoce svých vítězství exponenty City? Blokáda Tienci- na má jim říci rozhodné n e. Druhý japonský požad</w:t>
      </w:r>
      <w:r>
        <w:rPr>
          <w:b/>
          <w:bCs/>
          <w:sz w:val="14"/>
          <w:szCs w:val="14"/>
        </w:rPr>
        <w:t>a</w:t>
      </w:r>
      <w:r>
        <w:rPr>
          <w:b/>
          <w:bCs/>
          <w:sz w:val="14"/>
          <w:szCs w:val="14"/>
        </w:rPr>
        <w:softHyphen/>
        <w:t>vek, jí zdůrazněný, má postavit Anglii před volbu: bud ukončit měnovou válku v Číně nebo riskovat výbuch vojenského konfliktu.</w:t>
      </w:r>
    </w:p>
    <w:p w:rsidR="00500724" w:rsidRDefault="00F30FB8">
      <w:pPr>
        <w:pStyle w:val="Zkladntext40"/>
        <w:shd w:val="clear" w:color="auto" w:fill="auto"/>
        <w:spacing w:after="40" w:line="286" w:lineRule="auto"/>
        <w:jc w:val="center"/>
        <w:rPr>
          <w:sz w:val="14"/>
          <w:szCs w:val="14"/>
        </w:rPr>
      </w:pPr>
      <w:r>
        <w:rPr>
          <w:b/>
          <w:bCs/>
          <w:sz w:val="14"/>
          <w:szCs w:val="14"/>
        </w:rPr>
        <w:t>Nový řád</w:t>
      </w:r>
    </w:p>
    <w:p w:rsidR="00500724" w:rsidRDefault="00F30FB8">
      <w:pPr>
        <w:pStyle w:val="Zkladntext40"/>
        <w:shd w:val="clear" w:color="auto" w:fill="auto"/>
        <w:spacing w:after="0" w:line="286" w:lineRule="auto"/>
        <w:ind w:firstLine="240"/>
        <w:rPr>
          <w:sz w:val="14"/>
          <w:szCs w:val="14"/>
        </w:rPr>
      </w:pPr>
      <w:r>
        <w:rPr>
          <w:b/>
          <w:bCs/>
          <w:sz w:val="14"/>
          <w:szCs w:val="14"/>
        </w:rPr>
        <w:t>Třetí požadavek, postavený za ostnatými dráty kolem tiencinských koncesí, shrnuje oba předchozí v důrazný celek, orien</w:t>
      </w:r>
      <w:r>
        <w:rPr>
          <w:b/>
          <w:bCs/>
          <w:sz w:val="14"/>
          <w:szCs w:val="14"/>
        </w:rPr>
        <w:t>tovaný k zajištění dalšího klidného vývoje.</w:t>
      </w:r>
    </w:p>
    <w:p w:rsidR="00500724" w:rsidRDefault="00F30FB8">
      <w:pPr>
        <w:pStyle w:val="Zkladntext40"/>
        <w:shd w:val="clear" w:color="auto" w:fill="auto"/>
        <w:spacing w:after="0" w:line="286" w:lineRule="auto"/>
        <w:ind w:firstLine="240"/>
        <w:rPr>
          <w:sz w:val="14"/>
          <w:szCs w:val="14"/>
        </w:rPr>
      </w:pPr>
      <w:r>
        <w:rPr>
          <w:b/>
          <w:bCs/>
          <w:sz w:val="14"/>
          <w:szCs w:val="14"/>
        </w:rPr>
        <w:t>Nový řád, o němž sní Tokio, mé včlenit Činů politicky i hospodářsky do trojspolku Japonska, Mandžukua a Číny, osvobozené od vhvu Evropy a Ameriky a ovšem též od moci čunkinské vlády maršála Čankajšeka, vy</w:t>
      </w:r>
      <w:r>
        <w:rPr>
          <w:b/>
          <w:bCs/>
          <w:sz w:val="14"/>
          <w:szCs w:val="14"/>
        </w:rPr>
        <w:softHyphen/>
        <w:t xml:space="preserve">trvale </w:t>
      </w:r>
      <w:r>
        <w:rPr>
          <w:b/>
          <w:bCs/>
          <w:sz w:val="14"/>
          <w:szCs w:val="14"/>
        </w:rPr>
        <w:t>podporované z Londýna a Moskvy ve strachu před možností velikého východoasijského bloku. Anglie a Amerika se stavěly proti tomn, když se před lety chtěla Čína ve svém vlastním zájmu osvobodit od zahra</w:t>
      </w:r>
      <w:r>
        <w:rPr>
          <w:b/>
          <w:bCs/>
          <w:sz w:val="14"/>
          <w:szCs w:val="14"/>
        </w:rPr>
        <w:softHyphen/>
        <w:t>ničních koncesí; nyní kladou obě velmoci znovu podob</w:t>
      </w:r>
      <w:r>
        <w:rPr>
          <w:b/>
          <w:bCs/>
          <w:sz w:val="14"/>
          <w:szCs w:val="14"/>
        </w:rPr>
        <w:softHyphen/>
        <w:t>né</w:t>
      </w:r>
      <w:r>
        <w:rPr>
          <w:b/>
          <w:bCs/>
          <w:sz w:val="14"/>
          <w:szCs w:val="14"/>
        </w:rPr>
        <w:t xml:space="preserve"> překážky, když Japonsko chce ve svém životním prostoru odstranit tento starý vřed na těle Číny, jež ted vzalo do své léčebné péče.</w:t>
      </w:r>
    </w:p>
    <w:p w:rsidR="00500724" w:rsidRDefault="00F30FB8">
      <w:pPr>
        <w:pStyle w:val="Zkladntext40"/>
        <w:shd w:val="clear" w:color="auto" w:fill="auto"/>
        <w:spacing w:after="0" w:line="286" w:lineRule="auto"/>
        <w:ind w:firstLine="240"/>
        <w:rPr>
          <w:sz w:val="14"/>
          <w:szCs w:val="14"/>
        </w:rPr>
      </w:pPr>
      <w:r>
        <w:rPr>
          <w:b/>
          <w:bCs/>
          <w:sz w:val="14"/>
          <w:szCs w:val="14"/>
        </w:rPr>
        <w:t>Řekli jsme už, že počátkem letošního roku odmítly Spojené Státy i Velká Britanie japonskou politiku sno</w:t>
      </w:r>
      <w:r>
        <w:rPr>
          <w:b/>
          <w:bCs/>
          <w:sz w:val="14"/>
          <w:szCs w:val="14"/>
        </w:rPr>
        <w:softHyphen/>
        <w:t>vého řádut, který vy</w:t>
      </w:r>
      <w:r>
        <w:rPr>
          <w:b/>
          <w:bCs/>
          <w:sz w:val="14"/>
          <w:szCs w:val="14"/>
        </w:rPr>
        <w:t>kládaly ve svých notách tak, jako hy tu šlo o odstranění jejich hospodářsky přednostního postavení v Číně ve prospěch jednostranných výhod Japonska. Rozumí se samo sebou, že Tokio podobný vý</w:t>
      </w:r>
      <w:r>
        <w:rPr>
          <w:b/>
          <w:bCs/>
          <w:sz w:val="14"/>
          <w:szCs w:val="14"/>
        </w:rPr>
        <w:softHyphen/>
        <w:t>klad rozhořčeně odmítá. Bude snad ted moci tiencinská blokáda pře</w:t>
      </w:r>
      <w:r>
        <w:rPr>
          <w:b/>
          <w:bCs/>
          <w:sz w:val="14"/>
          <w:szCs w:val="14"/>
        </w:rPr>
        <w:t>svědčit City o nezištnosti japonských cílů?</w:t>
      </w:r>
    </w:p>
    <w:p w:rsidR="00500724" w:rsidRDefault="00F30FB8">
      <w:pPr>
        <w:pStyle w:val="Zkladntext40"/>
        <w:shd w:val="clear" w:color="auto" w:fill="auto"/>
        <w:spacing w:after="0" w:line="286" w:lineRule="auto"/>
        <w:ind w:firstLine="240"/>
        <w:rPr>
          <w:sz w:val="14"/>
          <w:szCs w:val="14"/>
        </w:rPr>
      </w:pPr>
      <w:r>
        <w:rPr>
          <w:b/>
          <w:bCs/>
          <w:sz w:val="14"/>
          <w:szCs w:val="14"/>
        </w:rPr>
        <w:t>Aktivní spolupráce na budování nového řádu v Číně, požadovaná ve třetím bodě japonského memoranda, hy v praksi musela ovšem znamenat, že by se Anglie a Fran</w:t>
      </w:r>
      <w:r>
        <w:rPr>
          <w:b/>
          <w:bCs/>
          <w:sz w:val="14"/>
          <w:szCs w:val="14"/>
        </w:rPr>
        <w:softHyphen/>
        <w:t>cie zřekly svých koncesí a vyklidily Dálný východ. A pr</w:t>
      </w:r>
      <w:r>
        <w:rPr>
          <w:b/>
          <w:bCs/>
          <w:sz w:val="14"/>
          <w:szCs w:val="14"/>
        </w:rPr>
        <w:t>ávě to je bod, v němž je nejvážněji ohrožen mír v Asii: nebof že by se dvě velmoci dobrovolně zřekly svých smluvně zajištěných výhod jen proto, že si to přeje někdo, v kom vidí svého soupeře a konkurenta — ne, to se v našem zištném světě nestává.</w:t>
      </w:r>
    </w:p>
    <w:p w:rsidR="00500724" w:rsidRDefault="00F30FB8">
      <w:pPr>
        <w:pStyle w:val="Zkladntext40"/>
        <w:shd w:val="clear" w:color="auto" w:fill="auto"/>
        <w:spacing w:after="0" w:line="286" w:lineRule="auto"/>
        <w:jc w:val="center"/>
        <w:rPr>
          <w:sz w:val="14"/>
          <w:szCs w:val="14"/>
        </w:rPr>
      </w:pPr>
      <w:r>
        <w:rPr>
          <w:b/>
          <w:bCs/>
          <w:sz w:val="14"/>
          <w:szCs w:val="14"/>
        </w:rPr>
        <w:t>•</w:t>
      </w:r>
    </w:p>
    <w:p w:rsidR="00500724" w:rsidRDefault="00F30FB8">
      <w:pPr>
        <w:pStyle w:val="Zkladntext40"/>
        <w:shd w:val="clear" w:color="auto" w:fill="auto"/>
        <w:spacing w:after="40" w:line="286" w:lineRule="auto"/>
        <w:ind w:firstLine="240"/>
        <w:rPr>
          <w:sz w:val="14"/>
          <w:szCs w:val="14"/>
        </w:rPr>
      </w:pPr>
      <w:r>
        <w:rPr>
          <w:b/>
          <w:bCs/>
          <w:sz w:val="14"/>
          <w:szCs w:val="14"/>
        </w:rPr>
        <w:t xml:space="preserve">Mluvčí </w:t>
      </w:r>
      <w:r>
        <w:rPr>
          <w:b/>
          <w:bCs/>
          <w:sz w:val="14"/>
          <w:szCs w:val="14"/>
        </w:rPr>
        <w:t>japonské armády v Tiencinu řekl nepokrytou pravdu, když konstatoval, že blokáda anglické a fran</w:t>
      </w:r>
      <w:r>
        <w:rPr>
          <w:b/>
          <w:bCs/>
          <w:sz w:val="14"/>
          <w:szCs w:val="14"/>
        </w:rPr>
        <w:softHyphen/>
        <w:t>couzské koncese v tomto přístavu rozvíjí celý čínský problém v okamžiku, kdy má Anglie plné ruce práce y Evropě. A čínský problém je také jedním z těch, jež jso</w:t>
      </w:r>
      <w:r>
        <w:rPr>
          <w:b/>
          <w:bCs/>
          <w:sz w:val="14"/>
          <w:szCs w:val="14"/>
        </w:rPr>
        <w:t>u nabity nebezpečím světového konfliktu.</w:t>
      </w:r>
    </w:p>
    <w:p w:rsidR="00500724" w:rsidRDefault="00F30FB8">
      <w:pPr>
        <w:pStyle w:val="Jin0"/>
        <w:shd w:val="clear" w:color="auto" w:fill="auto"/>
        <w:spacing w:after="240"/>
        <w:ind w:firstLine="0"/>
        <w:jc w:val="left"/>
        <w:rPr>
          <w:sz w:val="46"/>
          <w:szCs w:val="46"/>
        </w:rPr>
      </w:pPr>
      <w:r>
        <w:rPr>
          <w:b/>
          <w:bCs/>
          <w:sz w:val="46"/>
          <w:szCs w:val="46"/>
          <w:u w:val="single"/>
        </w:rPr>
        <w:t>národní hospodář</w:t>
      </w:r>
    </w:p>
    <w:p w:rsidR="00500724" w:rsidRDefault="00F30FB8">
      <w:pPr>
        <w:pStyle w:val="Zkladntext1"/>
        <w:shd w:val="clear" w:color="auto" w:fill="auto"/>
        <w:spacing w:after="40"/>
        <w:ind w:firstLine="0"/>
        <w:jc w:val="left"/>
        <w:rPr>
          <w:sz w:val="20"/>
          <w:szCs w:val="20"/>
        </w:rPr>
      </w:pPr>
      <w:r>
        <w:rPr>
          <w:i/>
          <w:iCs/>
          <w:sz w:val="20"/>
          <w:szCs w:val="20"/>
        </w:rPr>
        <w:t xml:space="preserve">D r. </w:t>
      </w:r>
      <w:r>
        <w:rPr>
          <w:i/>
          <w:iCs/>
          <w:sz w:val="20"/>
          <w:szCs w:val="20"/>
          <w:lang w:val="en-US" w:eastAsia="en-US" w:bidi="en-US"/>
        </w:rPr>
        <w:t xml:space="preserve">J an </w:t>
      </w:r>
      <w:r>
        <w:rPr>
          <w:i/>
          <w:iCs/>
          <w:sz w:val="20"/>
          <w:szCs w:val="20"/>
        </w:rPr>
        <w:t>S k ál a :</w:t>
      </w:r>
    </w:p>
    <w:p w:rsidR="00500724" w:rsidRDefault="00F30FB8">
      <w:pPr>
        <w:pStyle w:val="Nadpis100"/>
        <w:shd w:val="clear" w:color="auto" w:fill="auto"/>
        <w:spacing w:line="223" w:lineRule="auto"/>
      </w:pPr>
      <w:bookmarkStart w:id="625" w:name="bookmark624"/>
      <w:r>
        <w:t>Vyhlídky českého národního</w:t>
      </w:r>
      <w:r>
        <w:br/>
        <w:t>hospodářství</w:t>
      </w:r>
      <w:bookmarkEnd w:id="625"/>
    </w:p>
    <w:p w:rsidR="00500724" w:rsidRDefault="00F30FB8">
      <w:pPr>
        <w:pStyle w:val="Zkladntext30"/>
        <w:shd w:val="clear" w:color="auto" w:fill="auto"/>
        <w:spacing w:after="0"/>
      </w:pPr>
      <w:r>
        <w:t xml:space="preserve">Náš jediný národohospodářský měsíčník, řízený velmi svědomitě </w:t>
      </w:r>
      <w:r>
        <w:rPr>
          <w:b/>
          <w:bCs/>
          <w:sz w:val="26"/>
          <w:szCs w:val="26"/>
        </w:rPr>
        <w:t xml:space="preserve">a </w:t>
      </w:r>
      <w:r>
        <w:t xml:space="preserve">objektivně inž. dr. Vladimírem Klimeekým, »Obzor Národohospodářský*, </w:t>
      </w:r>
      <w:r>
        <w:t>vydal dvoj</w:t>
      </w:r>
      <w:r>
        <w:softHyphen/>
        <w:t>číslo 4—5 a nyní jednoduché číslo (&amp;), kde na více než dvou stech stran je velmi podrobně a názorně vyložen stav říšskoněmeckého národního hospodář</w:t>
      </w:r>
      <w:r>
        <w:softHyphen/>
        <w:t>ství, národního hospodářství českých zemí, jejich vzájemný poměr a jejieh vyhlídky v dané situaci</w:t>
      </w:r>
      <w:r>
        <w:t>. Tyto dvě publikace budou na dohlednou dobu tvořit základ pro každé další uvažování a jsou při tom také sbír</w:t>
      </w:r>
      <w:r>
        <w:softHyphen/>
        <w:t>kou dat, k níž se musí uchýlit každý, kdo chce pro</w:t>
      </w:r>
      <w:r>
        <w:softHyphen/>
        <w:t>bírat problémy s těmito otázkami spojenými. Dr. Klí- mecký a řada jeho spolupracovníků se zabýv</w:t>
      </w:r>
      <w:r>
        <w:t>ají přede</w:t>
      </w:r>
      <w:r>
        <w:softHyphen/>
        <w:t>vším sociální a hospodářskou skladbou zemí německé říše a zemí Protektorátu. Na základě, úředních sta</w:t>
      </w:r>
      <w:r>
        <w:softHyphen/>
        <w:t>tistik německých i českých přicházejí k závěru, že všechny země nynější velkoněmecké říše mají skoro stejnou sociálně-* hospodářskou skladbu. To</w:t>
      </w:r>
      <w:r>
        <w:t xml:space="preserve"> znamená, žesenedoplňují. Doplňovaly by se tehdy, kdy</w:t>
      </w:r>
      <w:r>
        <w:softHyphen/>
        <w:t>by některé byly převážně zemědělské, jiné převážně průmyslové, aby zemědělské země mohly doplňovat nedostatky ve spotřebě chlebovin a zemědělských vý</w:t>
      </w:r>
      <w:r>
        <w:softHyphen/>
        <w:t>robků průmyslových oblastí velkoněmecké říše, při če</w:t>
      </w:r>
      <w:r>
        <w:t>mž by výměnou průmyslové oblasti doplňovaly spotřebu fabrikátů, polosurovin a průmyslových su</w:t>
      </w:r>
      <w:r>
        <w:softHyphen/>
        <w:t>rovin, kterých potřebují zemědělské distrikty. Tato situace však zde není.</w:t>
      </w:r>
    </w:p>
    <w:p w:rsidR="00500724" w:rsidRDefault="00F30FB8">
      <w:pPr>
        <w:pStyle w:val="Zkladntext30"/>
        <w:shd w:val="clear" w:color="auto" w:fill="auto"/>
        <w:spacing w:after="0"/>
      </w:pPr>
      <w:r>
        <w:t>Všechny země velkoněmecké říše jsou, jak se to jeví ve světle úředních a veřejně publik</w:t>
      </w:r>
      <w:r>
        <w:t>ova</w:t>
      </w:r>
      <w:r>
        <w:softHyphen/>
        <w:t>ných statistických čísel, zeměmi převážně průmyslovými. Tb platí o zemích, z nichž se skládá Německo, stejně, jako to platí o českých zemích, tvořících Protektorát Čechy a Moravu. Jen asi jedna pětina, nejvýše čtvrtina oby</w:t>
      </w:r>
      <w:r>
        <w:softHyphen/>
        <w:t>vatelstva velkoněmecké říše ž</w:t>
      </w:r>
      <w:r>
        <w:t>ije ze zemědělství. Velkoněmecká říše, včetně národ</w:t>
      </w:r>
      <w:r>
        <w:softHyphen/>
        <w:t>ního hospodářství českých zemí, není a nemůže býti soběstačná ani v zemědělství, ani v průmyslových surovinách. Z toho ply</w:t>
      </w:r>
      <w:r>
        <w:softHyphen/>
        <w:t xml:space="preserve">ne, že má-li národní hospodářství německé říše i českých zemí správně fungovali, </w:t>
      </w:r>
      <w:r>
        <w:t>má-li se udržovat na jistém životním standardu a konečně má-li exporto</w:t>
      </w:r>
      <w:r>
        <w:softHyphen/>
        <w:t>vali, musí dovážet značné množství ze</w:t>
      </w:r>
      <w:r>
        <w:softHyphen/>
        <w:t>mědělských výrobků a průmyslových surovin. To je předpoklad, ze kterého nutno vy</w:t>
      </w:r>
      <w:r>
        <w:softHyphen/>
        <w:t>cházet, jak nás poučují konkrétní data, při posuzo</w:t>
      </w:r>
      <w:r>
        <w:softHyphen/>
        <w:t>vání naší celko</w:t>
      </w:r>
      <w:r>
        <w:t>vé národohospodářské situace. Jinými slovy, zahraniční obchod v měřítku svě</w:t>
      </w:r>
      <w:r>
        <w:softHyphen/>
        <w:t>tovém je pro země velkoněmecké říše (i pro české země) naprosto nezbytný a nelze se bez něho obejít.</w:t>
      </w:r>
    </w:p>
    <w:p w:rsidR="00500724" w:rsidRDefault="00F30FB8">
      <w:pPr>
        <w:pStyle w:val="Nadpis110"/>
        <w:shd w:val="clear" w:color="auto" w:fill="auto"/>
        <w:spacing w:after="40" w:line="218" w:lineRule="auto"/>
        <w:ind w:firstLine="260"/>
        <w:jc w:val="both"/>
        <w:sectPr w:rsidR="00500724">
          <w:footnotePr>
            <w:numFmt w:val="chicago"/>
            <w:numRestart w:val="eachPage"/>
          </w:footnotePr>
          <w:type w:val="continuous"/>
          <w:pgSz w:w="11909" w:h="16834"/>
          <w:pgMar w:top="1328" w:right="884" w:bottom="1151" w:left="629" w:header="0" w:footer="3" w:gutter="0"/>
          <w:cols w:num="2" w:space="122"/>
          <w:noEndnote/>
          <w:docGrid w:linePitch="360"/>
        </w:sectPr>
      </w:pPr>
      <w:bookmarkStart w:id="626" w:name="bookmark625"/>
      <w:r>
        <w:rPr>
          <w:rFonts w:ascii="Times New Roman" w:eastAsia="Times New Roman" w:hAnsi="Times New Roman" w:cs="Times New Roman"/>
        </w:rPr>
        <w:t>Vzemědělstvíto vypadá asi tak, že němec-</w:t>
      </w:r>
      <w:bookmarkEnd w:id="626"/>
    </w:p>
    <w:p w:rsidR="00500724" w:rsidRDefault="00F30FB8">
      <w:pPr>
        <w:pStyle w:val="Zkladntext30"/>
        <w:shd w:val="clear" w:color="auto" w:fill="auto"/>
        <w:spacing w:after="0" w:line="204" w:lineRule="auto"/>
        <w:ind w:firstLine="0"/>
      </w:pPr>
      <w:r>
        <w:t xml:space="preserve">ká říše </w:t>
      </w:r>
      <w:r>
        <w:t>musí ročně dovážet, roá-li uživit své obyvatelstvo, asi 35 procent své spotře</w:t>
      </w:r>
      <w:r>
        <w:softHyphen/>
        <w:t>by chiebovin. To známem, že nezbytný'roční dovoz asi 120 tisíc vagonů pšenice a 20 tisíc vagonů žita nelze nahradit zemědělskou výrobou v rámci ně</w:t>
      </w:r>
      <w:r>
        <w:softHyphen/>
        <w:t>mecké říše. Ale nelze ji nahrad</w:t>
      </w:r>
      <w:r>
        <w:t>it ani výrobou v českém národohospodářském prostora, který je sice po strán</w:t>
      </w:r>
      <w:r>
        <w:softHyphen/>
        <w:t>ce zemědělské výroby a spotřeby zemědělských vý</w:t>
      </w:r>
      <w:r>
        <w:softHyphen/>
        <w:t>robků zhruba v rovnováze, ale nemá-li se nebezpečně snížit jeho normální spotřeba chiebovin, není schop</w:t>
      </w:r>
      <w:r>
        <w:softHyphen/>
        <w:t>ný podstatnějšího vývozu pše</w:t>
      </w:r>
      <w:r>
        <w:t>nice. Pokud jde o žito, má český národohospodářský prostor jisté exportní možnosti, které se pohybují podle výsledku žní, ale jde tu o vývoz s hlediska německé spotřeby celkem příliš malý. Rozdá mezi německými a českými země</w:t>
      </w:r>
      <w:r>
        <w:softHyphen/>
        <w:t>mi je hlavně v tom, že v říšsko</w:t>
      </w:r>
      <w:r>
        <w:t>německých krajích je větší spotřeba brambor, kdežto v českých zemí ch je větší spo</w:t>
      </w:r>
      <w:r>
        <w:softHyphen/>
        <w:t>třeba chiebovin. Celkem tedy s hlediska země</w:t>
      </w:r>
      <w:r>
        <w:softHyphen/>
        <w:t>dělské výroby a spotřeby nová velkoněmecká říše je státe odkázána na dovoz nejméně jedné třetiny onoho množství spotřeby zeměděl</w:t>
      </w:r>
      <w:r>
        <w:t>ských výrobků, jež před</w:t>
      </w:r>
      <w:r>
        <w:softHyphen/>
        <w:t>stavuje základní a jen těžko dále stlačitelnou potřebu obyvatelstva.</w:t>
      </w:r>
    </w:p>
    <w:p w:rsidR="00500724" w:rsidRDefault="00F30FB8">
      <w:pPr>
        <w:pStyle w:val="Zkladntext30"/>
        <w:shd w:val="clear" w:color="auto" w:fill="auto"/>
        <w:spacing w:after="100" w:line="180" w:lineRule="auto"/>
        <w:ind w:firstLine="0"/>
        <w:jc w:val="center"/>
      </w:pPr>
      <w:r>
        <w:t>•</w:t>
      </w:r>
    </w:p>
    <w:p w:rsidR="00500724" w:rsidRDefault="00F30FB8">
      <w:pPr>
        <w:pStyle w:val="Zkladntext30"/>
        <w:shd w:val="clear" w:color="auto" w:fill="auto"/>
        <w:spacing w:line="202" w:lineRule="auto"/>
        <w:ind w:firstLine="220"/>
      </w:pPr>
      <w:r>
        <w:t>Podobně je tomu také sprůmyslem. Srovná-li se počet lidí, zaměstnaných v jednotlivých průmyslo</w:t>
      </w:r>
      <w:r>
        <w:softHyphen/>
        <w:t>vých odvětvích v Německu, bývalém Rakousku, Su</w:t>
      </w:r>
      <w:r>
        <w:softHyphen/>
        <w:t xml:space="preserve">detech a v českých </w:t>
      </w:r>
      <w:r>
        <w:t>zemích, pak ihned vidíme, jak pří</w:t>
      </w:r>
      <w:r>
        <w:softHyphen/>
        <w:t>buzné jsou si tyto země i s tohoto hlediska a jak ani zde se nsdoplňují, protože se vyvíjely stejným smě</w:t>
      </w:r>
      <w:r>
        <w:softHyphen/>
        <w:t xml:space="preserve">rem. Ve všech těchto zemích, tvořících nyní velkoněmeckou říši, je největší počet lidí zaměstnán v kovoprůmyslu, pak </w:t>
      </w:r>
      <w:r>
        <w:t>v průmyslu poživatin, v oděvním průmyslu, v průmyslu stavebním, textilním, dřevařském, kamene, zemin a skla, v průmyslu horním atd. Zajímavá je tabulka, kterou »Obzor Národohospodářský* otiskuje na základě říšskoněmeckých dat, z níž je patrno, že dokonce i</w:t>
      </w:r>
      <w:r>
        <w:t xml:space="preserve"> procento zaměstna</w:t>
      </w:r>
      <w:r>
        <w:softHyphen/>
        <w:t>ných osob se ve všech těchto zemích pohybuje přibližně na stejné výši, ne</w:t>
      </w:r>
      <w:r>
        <w:softHyphen/>
        <w:t>jenom tedy, že i pořadí procent je velmi podobné.</w:t>
      </w:r>
    </w:p>
    <w:p w:rsidR="00500724" w:rsidRDefault="00F30FB8">
      <w:pPr>
        <w:pStyle w:val="Zkladntext30"/>
        <w:shd w:val="clear" w:color="auto" w:fill="auto"/>
        <w:spacing w:line="202" w:lineRule="auto"/>
        <w:ind w:firstLine="220"/>
      </w:pPr>
      <w:r>
        <w:t>Je to ostatně vidět i na celkových datech, podle nichž v průmyslu a v živnostenské vý</w:t>
      </w:r>
      <w:r>
        <w:softHyphen/>
        <w:t xml:space="preserve">robě bylo r. 1933 v Říši </w:t>
      </w:r>
      <w:r>
        <w:t>zaměstnáno 39 procent všeho obyvatelstva, v Rakousku 33 procent, v Su</w:t>
      </w:r>
      <w:r>
        <w:softHyphen/>
        <w:t>detech 48 procent a v Čechách a na Moravě 38 pro</w:t>
      </w:r>
      <w:r>
        <w:softHyphen/>
        <w:t>cent. Tedy co do procenta lidí, zaměstnaných v prů</w:t>
      </w:r>
      <w:r>
        <w:softHyphen/>
        <w:t xml:space="preserve">myslové a živnostenské výrobě, je německé i české národní hospodářství téměř přesněna </w:t>
      </w:r>
      <w:r>
        <w:t>stejné úrovni. Také pozdější vývoj byl si tak podobný, že se data od sebe významnějším způsobem neod- chýlila.</w:t>
      </w:r>
    </w:p>
    <w:p w:rsidR="00500724" w:rsidRDefault="00F30FB8">
      <w:pPr>
        <w:pStyle w:val="Zkladntext30"/>
        <w:shd w:val="clear" w:color="auto" w:fill="auto"/>
        <w:spacing w:line="204" w:lineRule="auto"/>
        <w:ind w:firstLine="220"/>
      </w:pPr>
      <w:r>
        <w:t>Dnešní podíl velkoněmecké říše na světové průmyslové výrobě, propočte-li se v souhrnných datech za země, Říši dnes tvořící, činí asi jednu sedmin</w:t>
      </w:r>
      <w:r>
        <w:t>u, nejvýše jednu šestinu světo</w:t>
      </w:r>
      <w:r>
        <w:softHyphen/>
        <w:t>vé průmyslové výroby. To znamená, že vzhledem k počtu obyvatelstva a k počtu obývané plochy je velmi vysoký. V průměru připadá ve velkoněmecké říši 135 lidí na jeden čtverečný kilometr. To je právě tolik, kolik připadá dnes t</w:t>
      </w:r>
      <w:r>
        <w:t xml:space="preserve">aké v českých zemích, čili české země nejsou v průměru méně </w:t>
      </w:r>
      <w:r>
        <w:rPr>
          <w:b/>
          <w:bCs/>
        </w:rPr>
        <w:t>za</w:t>
      </w:r>
      <w:r>
        <w:rPr>
          <w:b/>
          <w:bCs/>
        </w:rPr>
        <w:softHyphen/>
      </w:r>
      <w:r>
        <w:t>lidněny, než je zalidněna v průměru Říše. Jinými slovy sotva může dnes český národo</w:t>
      </w:r>
      <w:r>
        <w:softHyphen/>
        <w:t>hospodářský prostor přijmouti větší množství lidí, než jich na něm právě žije, aniž to znamenalo přesun v dos</w:t>
      </w:r>
      <w:r>
        <w:t>avadní průměrové vyváženosti v Říši.</w:t>
      </w:r>
    </w:p>
    <w:p w:rsidR="00500724" w:rsidRDefault="00F30FB8">
      <w:pPr>
        <w:pStyle w:val="Nadpis110"/>
        <w:shd w:val="clear" w:color="auto" w:fill="auto"/>
        <w:spacing w:after="100" w:line="202" w:lineRule="auto"/>
        <w:jc w:val="center"/>
      </w:pPr>
      <w:bookmarkStart w:id="627" w:name="bookmark626"/>
      <w:r>
        <w:rPr>
          <w:rFonts w:ascii="Times New Roman" w:eastAsia="Times New Roman" w:hAnsi="Times New Roman" w:cs="Times New Roman"/>
        </w:rPr>
        <w:t>©</w:t>
      </w:r>
      <w:bookmarkEnd w:id="627"/>
    </w:p>
    <w:p w:rsidR="00500724" w:rsidRDefault="00F30FB8">
      <w:pPr>
        <w:pStyle w:val="Zkladntext30"/>
        <w:shd w:val="clear" w:color="auto" w:fill="auto"/>
        <w:spacing w:line="202" w:lineRule="auto"/>
      </w:pPr>
      <w:r>
        <w:t>Aby tito lidé pracovali, je třeba, aby velkoněmecké i české národní hospodářství mělo otevřený světový trh, aby totiž se z našich zemí mohlo exportovat do celní ciziny. V číslicích je to vydatně znát již na pouhém kon</w:t>
      </w:r>
      <w:r>
        <w:t>statování, že národní důchod Ně</w:t>
      </w:r>
      <w:r>
        <w:softHyphen/>
        <w:t xml:space="preserve">mecka je čerpán z jedné čtvrtiny z </w:t>
      </w:r>
      <w:r>
        <w:rPr>
          <w:b/>
          <w:bCs/>
        </w:rPr>
        <w:t>e</w:t>
      </w:r>
      <w:r>
        <w:rPr>
          <w:i/>
          <w:iCs/>
        </w:rPr>
        <w:t xml:space="preserve">x- </w:t>
      </w:r>
      <w:r>
        <w:t>portu a obráceně je potřebaprávě jed</w:t>
      </w:r>
      <w:r>
        <w:softHyphen/>
        <w:t>né čtvrtiny národního důchodu Ně</w:t>
      </w:r>
      <w:r>
        <w:softHyphen/>
        <w:t>mecka k tomu, aby mohl býti zaplacen zbožím i penězi nezbytný dovoz suro</w:t>
      </w:r>
      <w:r>
        <w:softHyphen/>
        <w:t>vin a potravin do Německa ze zahrani- č í.</w:t>
      </w:r>
      <w:r>
        <w:t xml:space="preserve"> Bez těchto surovin není možná další průmyslová výroba, bez potravin nelze žít. Podobně také i bez služeb (dopravních, prostředkovacích i jiných), je</w:t>
      </w:r>
      <w:r>
        <w:softHyphen/>
        <w:t>jichž honorování je v této čtvrtině také zahrnuto, není vůbec prakticky možný ani tento export ani styk se</w:t>
      </w:r>
      <w:r>
        <w:t xml:space="preserve"> světem vůbec. Jinými slovy, z jedné čtvrtiny závisí německé národní hospodářství na dovozu a z jedné čtvrtiny závisí německý národní důchod na exportu. Proto prohlásil Vůdce Adolf Hitler, že Němec</w:t>
      </w:r>
      <w:r>
        <w:softHyphen/>
        <w:t xml:space="preserve">ko musí bud ^exportovat anebo zemřít«. Jak uvidíme, platí </w:t>
      </w:r>
      <w:r>
        <w:t>toto jasné a jednoduché rozpoznání situace do</w:t>
      </w:r>
      <w:r>
        <w:softHyphen/>
        <w:t>cela stejně také pro národní hospodářství českých zemí.</w:t>
      </w:r>
    </w:p>
    <w:p w:rsidR="00500724" w:rsidRDefault="00F30FB8">
      <w:pPr>
        <w:pStyle w:val="Zkladntext30"/>
        <w:shd w:val="clear" w:color="auto" w:fill="auto"/>
        <w:spacing w:line="202" w:lineRule="auto"/>
      </w:pPr>
      <w:r>
        <w:t>Říšskoněmecké statistiky neponechávají o této pravdě nikoho na pochybách: tak na příklad roku 1928 se odhadoval říšskoněmecký národní důchod na 68.5 milia</w:t>
      </w:r>
      <w:r>
        <w:t>rdy marek. Tento národní důchod byl složen takto: 23 procent práce pro export, 22 procent k úhradě nezbytné</w:t>
      </w:r>
      <w:r>
        <w:softHyphen/>
        <w:t>ho dovozu z ciziny a 4 procentakúhra- dě dluhové služby a platebních závaz</w:t>
      </w:r>
      <w:r>
        <w:softHyphen/>
        <w:t>ků do ciziny. Zbytek tvoří domácí prameny ná</w:t>
      </w:r>
      <w:r>
        <w:softHyphen/>
        <w:t>rodního důchodu, jež však př</w:t>
      </w:r>
      <w:r>
        <w:t>irozeně jsou přímo zá</w:t>
      </w:r>
      <w:r>
        <w:softHyphen/>
        <w:t>vislé na pramenech, jež byly právě procentuálně vy</w:t>
      </w:r>
      <w:r>
        <w:softHyphen/>
        <w:t>čísleny. ^Národohospodářský Obzor« uvádí v jedné ze studií k ilustraci situace tuto statistiku, citovanou z říšskoněmeckých publikací, z níž je patrno, že si</w:t>
      </w:r>
      <w:r>
        <w:softHyphen/>
        <w:t>tuace českého národního h</w:t>
      </w:r>
      <w:r>
        <w:t>ospodářství je skoro tatáž:</w:t>
      </w:r>
    </w:p>
    <w:p w:rsidR="00500724" w:rsidRDefault="00F30FB8">
      <w:pPr>
        <w:pStyle w:val="Zkladntext30"/>
        <w:shd w:val="clear" w:color="auto" w:fill="auto"/>
        <w:spacing w:line="204" w:lineRule="auto"/>
        <w:rPr>
          <w:sz w:val="20"/>
          <w:szCs w:val="20"/>
        </w:rPr>
      </w:pPr>
      <w:r>
        <w:rPr>
          <w:sz w:val="20"/>
          <w:szCs w:val="20"/>
        </w:rPr>
        <w:t xml:space="preserve">Národní důchod a poměr importu a </w:t>
      </w:r>
      <w:r>
        <w:t>expor</w:t>
      </w:r>
      <w:r>
        <w:softHyphen/>
      </w:r>
      <w:r>
        <w:rPr>
          <w:sz w:val="20"/>
          <w:szCs w:val="20"/>
        </w:rPr>
        <w:t>tu v miliardách národní měny (první Číslo rok, druhé národní důchod, třetí import, čtvrté v proč. nár. dů</w:t>
      </w:r>
      <w:r>
        <w:rPr>
          <w:sz w:val="20"/>
          <w:szCs w:val="20"/>
        </w:rPr>
        <w:softHyphen/>
        <w:t>chodu, páté export, šesté v proč. nár. důchodu):</w:t>
      </w:r>
    </w:p>
    <w:p w:rsidR="00500724" w:rsidRDefault="00F30FB8">
      <w:pPr>
        <w:pStyle w:val="Zkladntext30"/>
        <w:shd w:val="clear" w:color="auto" w:fill="auto"/>
        <w:tabs>
          <w:tab w:val="left" w:pos="1032"/>
          <w:tab w:val="left" w:pos="1747"/>
          <w:tab w:val="left" w:pos="2352"/>
          <w:tab w:val="left" w:pos="3206"/>
          <w:tab w:val="left" w:pos="3869"/>
          <w:tab w:val="left" w:pos="4603"/>
        </w:tabs>
        <w:spacing w:after="0" w:line="223" w:lineRule="auto"/>
        <w:ind w:firstLine="0"/>
        <w:rPr>
          <w:sz w:val="12"/>
          <w:szCs w:val="12"/>
        </w:rPr>
      </w:pPr>
      <w:r>
        <w:rPr>
          <w:sz w:val="20"/>
          <w:szCs w:val="20"/>
        </w:rPr>
        <w:t>Německo</w:t>
      </w:r>
      <w:r>
        <w:rPr>
          <w:sz w:val="20"/>
          <w:szCs w:val="20"/>
        </w:rPr>
        <w:tab/>
        <w:t>1S38</w:t>
      </w:r>
      <w:r>
        <w:rPr>
          <w:sz w:val="20"/>
          <w:szCs w:val="20"/>
        </w:rPr>
        <w:tab/>
        <w:t>108</w:t>
      </w:r>
      <w:r>
        <w:rPr>
          <w:sz w:val="20"/>
          <w:szCs w:val="20"/>
        </w:rPr>
        <w:tab/>
        <w:t>6.05</w:t>
      </w:r>
      <w:r>
        <w:rPr>
          <w:sz w:val="20"/>
          <w:szCs w:val="20"/>
        </w:rPr>
        <w:tab/>
        <w:t>5.6</w:t>
      </w:r>
      <w:r>
        <w:rPr>
          <w:sz w:val="20"/>
          <w:szCs w:val="20"/>
        </w:rPr>
        <w:tab/>
        <w:t>5.62</w:t>
      </w:r>
      <w:r>
        <w:rPr>
          <w:sz w:val="20"/>
          <w:szCs w:val="20"/>
        </w:rPr>
        <w:tab/>
      </w:r>
      <w:r>
        <w:rPr>
          <w:rFonts w:ascii="Arial" w:eastAsia="Arial" w:hAnsi="Arial" w:cs="Arial"/>
          <w:sz w:val="12"/>
          <w:szCs w:val="12"/>
        </w:rPr>
        <w:t>5.2</w:t>
      </w:r>
    </w:p>
    <w:p w:rsidR="00500724" w:rsidRDefault="00F30FB8">
      <w:pPr>
        <w:pStyle w:val="Zkladntext30"/>
        <w:shd w:val="clear" w:color="auto" w:fill="auto"/>
        <w:tabs>
          <w:tab w:val="left" w:pos="1032"/>
          <w:tab w:val="left" w:pos="1747"/>
          <w:tab w:val="left" w:pos="2352"/>
          <w:tab w:val="left" w:pos="3058"/>
          <w:tab w:val="left" w:pos="3715"/>
          <w:tab w:val="left" w:pos="4430"/>
        </w:tabs>
        <w:spacing w:line="223" w:lineRule="auto"/>
        <w:ind w:firstLine="0"/>
        <w:rPr>
          <w:sz w:val="12"/>
          <w:szCs w:val="12"/>
        </w:rPr>
      </w:pPr>
      <w:r>
        <w:rPr>
          <w:sz w:val="20"/>
          <w:szCs w:val="20"/>
        </w:rPr>
        <w:t>CSR</w:t>
      </w:r>
      <w:r>
        <w:rPr>
          <w:sz w:val="20"/>
          <w:szCs w:val="20"/>
        </w:rPr>
        <w:tab/>
        <w:t>1937</w:t>
      </w:r>
      <w:r>
        <w:rPr>
          <w:sz w:val="20"/>
          <w:szCs w:val="20"/>
        </w:rPr>
        <w:tab/>
        <w:t>66.7</w:t>
      </w:r>
      <w:r>
        <w:rPr>
          <w:sz w:val="20"/>
          <w:szCs w:val="20"/>
        </w:rPr>
        <w:tab/>
        <w:t>10.96</w:t>
      </w:r>
      <w:r>
        <w:rPr>
          <w:sz w:val="20"/>
          <w:szCs w:val="20"/>
        </w:rPr>
        <w:tab/>
        <w:t>10.4</w:t>
      </w:r>
      <w:r>
        <w:rPr>
          <w:sz w:val="20"/>
          <w:szCs w:val="20"/>
        </w:rPr>
        <w:tab/>
        <w:t>11.97</w:t>
      </w:r>
      <w:r>
        <w:rPr>
          <w:sz w:val="20"/>
          <w:szCs w:val="20"/>
        </w:rPr>
        <w:tab/>
      </w:r>
      <w:r>
        <w:rPr>
          <w:rFonts w:ascii="Arial" w:eastAsia="Arial" w:hAnsi="Arial" w:cs="Arial"/>
          <w:sz w:val="12"/>
          <w:szCs w:val="12"/>
        </w:rPr>
        <w:t>17.9</w:t>
      </w:r>
    </w:p>
    <w:p w:rsidR="00500724" w:rsidRDefault="00F30FB8">
      <w:pPr>
        <w:pStyle w:val="Zkladntext30"/>
        <w:shd w:val="clear" w:color="auto" w:fill="auto"/>
        <w:spacing w:after="0"/>
      </w:pPr>
      <w:r>
        <w:t>Z této tabulky, která je jasná a přehledná, že jí porozumí i ten, kdo se nezabývá národohospodář</w:t>
      </w:r>
      <w:r>
        <w:softHyphen/>
        <w:t>skými problémy, je patrna přímá souvislost národní</w:t>
      </w:r>
      <w:r>
        <w:softHyphen/>
        <w:t>ho důchodu jak německého, tak českého národního hospodářství, s vývozem</w:t>
      </w:r>
      <w:r>
        <w:t xml:space="preserve"> i dovozem. České národní hospodářství je dokonce závislejší na možnosti expor</w:t>
      </w:r>
      <w:r>
        <w:softHyphen/>
        <w:t>tu, bez něhož by ovšem byl nemožný dovoz potřeb</w:t>
      </w:r>
      <w:r>
        <w:softHyphen/>
        <w:t>ných surovin a potravin, než německé národní hospo</w:t>
      </w:r>
      <w:r>
        <w:softHyphen/>
        <w:t>dářství. Ovšem, německé národní hospodářství je zase závislejší na dovozu potr</w:t>
      </w:r>
      <w:r>
        <w:t xml:space="preserve">avin, ale obě dvě nemohou exportovat, nebudou-li dovážet suroviny, potřebné k výrobě průmyslových výrobků, a nebudou-li </w:t>
      </w:r>
      <w:r>
        <w:rPr>
          <w:b/>
          <w:bCs/>
        </w:rPr>
        <w:t>vy</w:t>
      </w:r>
      <w:r>
        <w:rPr>
          <w:b/>
          <w:bCs/>
        </w:rPr>
        <w:softHyphen/>
      </w:r>
      <w:r>
        <w:t xml:space="preserve">rábět, nebudou mít dostatečných zásob zboží k </w:t>
      </w:r>
      <w:r>
        <w:rPr>
          <w:b/>
          <w:bCs/>
        </w:rPr>
        <w:t xml:space="preserve">vý- </w:t>
      </w:r>
      <w:r>
        <w:t xml:space="preserve">8«7 vozu. </w:t>
      </w:r>
      <w:r>
        <w:rPr>
          <w:b/>
          <w:bCs/>
        </w:rPr>
        <w:t xml:space="preserve">A </w:t>
      </w:r>
      <w:r>
        <w:t>bez vývozu nelze udržet národní důchod, jinými slovy zaměstnanost občan</w:t>
      </w:r>
      <w:r>
        <w:t>stva a jeho životní úroveň. Tak vypadá situace ve světle střízlivých dat, Říšský kancléř tedy ve svém projevu ji vystihl na-, prosto přesně.</w:t>
      </w:r>
    </w:p>
    <w:p w:rsidR="00500724" w:rsidRDefault="00F30FB8">
      <w:pPr>
        <w:pStyle w:val="Zkladntext30"/>
        <w:shd w:val="clear" w:color="auto" w:fill="auto"/>
        <w:spacing w:after="60" w:line="180" w:lineRule="auto"/>
        <w:ind w:firstLine="0"/>
        <w:jc w:val="center"/>
      </w:pPr>
      <w:r>
        <w:t>•</w:t>
      </w:r>
    </w:p>
    <w:p w:rsidR="00500724" w:rsidRDefault="00F30FB8">
      <w:pPr>
        <w:pStyle w:val="Zkladntext30"/>
        <w:shd w:val="clear" w:color="auto" w:fill="auto"/>
        <w:spacing w:after="60" w:line="204" w:lineRule="auto"/>
      </w:pPr>
      <w:r>
        <w:t>Citovaná revue. »Obzor Národohospodářský^ vě</w:t>
      </w:r>
      <w:r>
        <w:softHyphen/>
        <w:t>noval v čísle 6. pak pozornost problému suro</w:t>
      </w:r>
      <w:r>
        <w:softHyphen/>
      </w:r>
      <w:r>
        <w:t xml:space="preserve">vin pro české národní hospodářství. Jde tu ovšem na prvním místě o suroviny, které je nutno dovážet z ciziny, aby byl udržen v chodu náš průmysl. Roku 1937, který byl posledním normálním rokem — rok 1938 byl příliš přeplněn politickými událostmi a změnami </w:t>
      </w:r>
      <w:r>
        <w:t>— činil export z bývalé ČSR zhruba 11.9 miliardy K, import 10.9 miliardy K. Tedy bývalý československý stát měl obchodně-politické aktivum asi jedné miliardy K. Přepočteme-li tato data na současné české národohospodářské území, jak se vytvořilo státoprávní</w:t>
      </w:r>
      <w:r>
        <w:t xml:space="preserve">mi změnami, vychází </w:t>
      </w:r>
      <w:r>
        <w:rPr>
          <w:b/>
          <w:bCs/>
        </w:rPr>
        <w:t xml:space="preserve">z </w:t>
      </w:r>
      <w:r>
        <w:t>takové kalkulace nutnost, aby české země mělyexportasinejméněza8miliardK, má-li se udržet životní úroveň pracu</w:t>
      </w:r>
      <w:r>
        <w:softHyphen/>
        <w:t>jícího lidu alespoň na dosavadní výši.</w:t>
      </w:r>
    </w:p>
    <w:p w:rsidR="00500724" w:rsidRDefault="00F30FB8">
      <w:pPr>
        <w:pStyle w:val="Zkladntext30"/>
        <w:shd w:val="clear" w:color="auto" w:fill="auto"/>
        <w:spacing w:after="60" w:line="202" w:lineRule="auto"/>
      </w:pPr>
      <w:r>
        <w:t xml:space="preserve">Dovoz surovin </w:t>
      </w:r>
      <w:r>
        <w:rPr>
          <w:i/>
          <w:iCs/>
        </w:rPr>
        <w:t>a</w:t>
      </w:r>
      <w:r>
        <w:t xml:space="preserve"> polotovarů, bez kterých nelze </w:t>
      </w:r>
      <w:r>
        <w:rPr>
          <w:b/>
          <w:bCs/>
        </w:rPr>
        <w:t xml:space="preserve">V </w:t>
      </w:r>
      <w:r>
        <w:t>českém národohospodářském prostoru v</w:t>
      </w:r>
      <w:r>
        <w:t xml:space="preserve">yrábět a tedy výrobky vyvážet, činí asi 60 procent importu. Tyto suroviny a polotovary lze dovážet jen z určitých zemí, které je mají a jsou ochotny nám prodat. Ale to současně znamená, že export hotových výrobků </w:t>
      </w:r>
      <w:r>
        <w:rPr>
          <w:b/>
          <w:bCs/>
        </w:rPr>
        <w:t xml:space="preserve">z </w:t>
      </w:r>
      <w:r>
        <w:t xml:space="preserve">českých zemí musí jiti do takových zemí, </w:t>
      </w:r>
      <w:r>
        <w:t>jejichž platidla, bankovky a devisy, jsou ochotny přijímat země, odkud dovážíme nezbytné suroviny a polo</w:t>
      </w:r>
      <w:r>
        <w:softHyphen/>
        <w:t xml:space="preserve">tovary. Tedy český export musí jiti předně do těch zemí, které jsou našimi zásobiteli surovin a dále do zemí s hodnotnými měnami. Jinými slovy, musíme </w:t>
      </w:r>
      <w:r>
        <w:t>exportovat především do zemí, které nám mohou do</w:t>
      </w:r>
      <w:r>
        <w:softHyphen/>
        <w:t>dat nezbytně potřebné polotovary a hlavně suroviny. To tedy znamená, že nejde ani tak o obchodně-poli</w:t>
      </w:r>
      <w:r>
        <w:softHyphen/>
        <w:t>tické aktivum, jako o to, aby byl zaplacen tento import, aby export vůbec mohl míti produkční před</w:t>
      </w:r>
      <w:r>
        <w:softHyphen/>
        <w:t>poklad</w:t>
      </w:r>
      <w:r>
        <w:t>y. Jinak klesáme do hospodářské chudoby, po</w:t>
      </w:r>
      <w:r>
        <w:softHyphen/>
        <w:t>znamenává »Národohospodářský Obzor«.</w:t>
      </w:r>
    </w:p>
    <w:p w:rsidR="00500724" w:rsidRDefault="00F30FB8">
      <w:pPr>
        <w:pStyle w:val="Zkladntext30"/>
        <w:shd w:val="clear" w:color="auto" w:fill="auto"/>
        <w:spacing w:after="60" w:line="202" w:lineRule="auto"/>
      </w:pPr>
      <w:r>
        <w:t>Tedy také v tom je naše situace podobná situaci Německa. A jako české země nemají potřebné suro</w:t>
      </w:r>
      <w:r>
        <w:softHyphen/>
        <w:t xml:space="preserve">viny, o něž jde, aby je mohly dodat Německu, tak bohužel ani Německo nemá tyto </w:t>
      </w:r>
      <w:r>
        <w:t>potřebné suroviny, abychom je mohli odebrat v Německu. Také je ne</w:t>
      </w:r>
      <w:r>
        <w:softHyphen/>
        <w:t>mají clearingové státy, to jest státy, s nimiž se vy</w:t>
      </w:r>
      <w:r>
        <w:softHyphen/>
        <w:t>měňuje zboží za zboží. Mají je především země tak zvané »volné ciziny«, totiž devisově volné, to jest Země skandinávské, státy a součásti</w:t>
      </w:r>
      <w:r>
        <w:t xml:space="preserve"> britského impé</w:t>
      </w:r>
      <w:r>
        <w:softHyphen/>
        <w:t>ria, zčásti také francouzského a holandského impéria a konečně Spojené Státy americké. Hlavní úsilí musí tedy směřovat k nim. To se také vyjadřuje nejenom národohospodářsky, ale i politicky.</w:t>
      </w:r>
    </w:p>
    <w:p w:rsidR="00500724" w:rsidRDefault="00F30FB8">
      <w:pPr>
        <w:pStyle w:val="Zkladntext30"/>
        <w:shd w:val="clear" w:color="auto" w:fill="auto"/>
        <w:spacing w:after="120" w:line="202" w:lineRule="auto"/>
        <w:ind w:firstLine="0"/>
        <w:jc w:val="center"/>
      </w:pPr>
      <w:r>
        <w:t>•</w:t>
      </w:r>
    </w:p>
    <w:p w:rsidR="00500724" w:rsidRDefault="00F30FB8">
      <w:pPr>
        <w:pStyle w:val="Zkladntext30"/>
        <w:shd w:val="clear" w:color="auto" w:fill="auto"/>
        <w:spacing w:after="60" w:line="230" w:lineRule="auto"/>
        <w:rPr>
          <w:sz w:val="19"/>
          <w:szCs w:val="19"/>
        </w:rPr>
      </w:pPr>
      <w:r>
        <w:t>Jak vypadá asi v číslicích naprosto nezbyt</w:t>
      </w:r>
      <w:r>
        <w:softHyphen/>
        <w:t>ný d</w:t>
      </w:r>
      <w:r>
        <w:t>ovoz, který potřebuje české národní hospo</w:t>
      </w:r>
      <w:r>
        <w:softHyphen/>
        <w:t>dářství? Na prvním místě je to ovšem textil. Roku 1937 činil dovoz surovin pro československý textilní průmysl asi 2.8 miliardy korun. Nyní ovšem téměř z poloviny tato starost nám ubyla, protože textilní továrny as</w:t>
      </w:r>
      <w:r>
        <w:t>i v tomto rozsahu ležely v sudet</w:t>
      </w:r>
      <w:r>
        <w:softHyphen/>
        <w:t xml:space="preserve">ských a německých oblastech, o něž se již české ná- </w:t>
      </w:r>
      <w:r>
        <w:rPr>
          <w:b/>
          <w:bCs/>
          <w:i/>
          <w:iCs/>
          <w:sz w:val="19"/>
          <w:szCs w:val="19"/>
        </w:rPr>
        <w:t>SS8</w:t>
      </w:r>
    </w:p>
    <w:p w:rsidR="00500724" w:rsidRDefault="00F30FB8">
      <w:pPr>
        <w:pStyle w:val="Zkladntext30"/>
        <w:shd w:val="clear" w:color="auto" w:fill="auto"/>
        <w:spacing w:after="0" w:line="202" w:lineRule="auto"/>
        <w:ind w:firstLine="0"/>
      </w:pPr>
      <w:r>
        <w:t xml:space="preserve">rodní hospodářství nemusí starat. Péče </w:t>
      </w:r>
      <w:r>
        <w:rPr>
          <w:b/>
          <w:bCs/>
        </w:rPr>
        <w:t xml:space="preserve">o </w:t>
      </w:r>
      <w:r>
        <w:t>ně, námaha, zaopatřit mu devisy a suroviny a pak export, přešla na říšskoněmecká národohospodářská místa. Pak násle</w:t>
      </w:r>
      <w:r>
        <w:softHyphen/>
        <w:t>duje průmy</w:t>
      </w:r>
      <w:r>
        <w:t>sl kožařský, který potřebuje asi za; 325 milionů korun dovoz kůží, nehledě k několika desítkám milionů korun za dovoz kožišin. Bez tohoto dovozu kůží nemůžeme exportovat naše boty, kufry,</w:t>
      </w:r>
      <w:r>
        <w:rPr>
          <w:vertAlign w:val="subscript"/>
        </w:rPr>
        <w:t xml:space="preserve">; </w:t>
      </w:r>
      <w:r>
        <w:t xml:space="preserve">kožené a kožišnické zboží, protože je nebudeme mít z čeho vyrábět. </w:t>
      </w:r>
      <w:r>
        <w:t xml:space="preserve">Pak jsou tu ovšem rudyželezné </w:t>
      </w:r>
      <w:r>
        <w:rPr>
          <w:b/>
          <w:bCs/>
        </w:rPr>
        <w:t xml:space="preserve">i </w:t>
      </w:r>
      <w:r>
        <w:t>neželezné, topivo, různé suroviny pro strojní, hutní, báňský a jiný těžký i lehčí průmysl. Ty dělají asi 700 milionů korun.</w:t>
      </w:r>
    </w:p>
    <w:p w:rsidR="00500724" w:rsidRDefault="00F30FB8">
      <w:pPr>
        <w:pStyle w:val="Zkladntext30"/>
        <w:shd w:val="clear" w:color="auto" w:fill="auto"/>
        <w:spacing w:line="202" w:lineRule="auto"/>
      </w:pPr>
      <w:r>
        <w:t>Můžeme tedy říci, že při 60procentní závislosti na dovozu surovin z ciziny budeme potřebovat dovoz s</w:t>
      </w:r>
      <w:r>
        <w:t xml:space="preserve">urovin asi za 4 miliardy korun, máme-li totiž udržet náš průmysl, živnosti, obchod, banky, dopravu a státní finance. Z těchto čtyř miliard korun připadá na nezbytný dovozztakzvaných »v o 1 n ý c h ze m í«, jež jsme nedávno vyjmenovali (anglosaská impéria, </w:t>
      </w:r>
      <w:r>
        <w:t>skan</w:t>
      </w:r>
      <w:r>
        <w:softHyphen/>
        <w:t>dinávské, holandské a ostatní volné státy s volnými devisami a hodnotným^měnami) zhruba asi tři miliardy korun. Čili do těchto »volných zemí« musíme exportovat za tři miliardy korun, má-li naše; podnikání se udržet. Naše závislost na ex</w:t>
      </w:r>
      <w:r>
        <w:softHyphen/>
        <w:t xml:space="preserve">portu se tedy </w:t>
      </w:r>
      <w:r>
        <w:t>nezmenšila. Je to tím těžší problém, že má na něm životní zájem převážná větši</w:t>
      </w:r>
      <w:r>
        <w:softHyphen/>
        <w:t>na obyvatelstva českých zemí. Ovšem, právě tak mají na něm životní zájem Němci.</w:t>
      </w:r>
    </w:p>
    <w:p w:rsidR="00500724" w:rsidRDefault="00F30FB8">
      <w:pPr>
        <w:pStyle w:val="Zkladntext30"/>
        <w:shd w:val="clear" w:color="auto" w:fill="auto"/>
        <w:spacing w:after="0" w:line="202" w:lineRule="auto"/>
      </w:pPr>
      <w:r>
        <w:t>Dá se namítnout, že za první čtyři měsíce letošního roku byla česká obchodně-politická bilance ak</w:t>
      </w:r>
      <w:r>
        <w:t xml:space="preserve">tivní 352 miliony korun. To je ovšem pravda. Ale nejdei jen o aktivum, které jinak je věc potěšitelná a dobrá, jde o celý rozsah zahraničního obchodu. Čím větší rozsah zahraničního obchodu, i kdyby aktivum bylo sebemenší, tím větší zaměstnanost u nás, tím </w:t>
      </w:r>
      <w:r>
        <w:t>lepší předpoklady pro dobrou životní úroveň. Ale prohlí- žíme-li data, která byla předpokladem tohoto jinak radostného aktiva, pak přicházíme k poznání, že' silně stoupl český export do zemí clearingových, ale neúměrně poklesl dozemídevisověvolných. A práv</w:t>
      </w:r>
      <w:r>
        <w:t>ě tyto de* visově volné země byly až dosud hlavními dodavateli surovin pro české národní hospodářství. Ony byly našimi hlavními zásobiteli. Naše závislost na expor* tu — a nemenší měrou na importu surovin — se ne</w:t>
      </w:r>
      <w:r>
        <w:softHyphen/>
        <w:t xml:space="preserve">zmenšila. Aktivum obchodní bilance problém </w:t>
      </w:r>
      <w:r>
        <w:t>neřeší.</w:t>
      </w:r>
    </w:p>
    <w:p w:rsidR="00500724" w:rsidRDefault="00F30FB8">
      <w:pPr>
        <w:pStyle w:val="Zkladntext30"/>
        <w:shd w:val="clear" w:color="auto" w:fill="auto"/>
        <w:spacing w:after="280" w:line="202" w:lineRule="auto"/>
      </w:pPr>
      <w:r>
        <w:t xml:space="preserve">Jde tedy nyní skutečně o to, aby poměry v Evropě a ve světě byly uspořádány tak, aby naše národní hospodářství — právě tak, jako národní hospodářství Říše — získalo předpoklady pro tento nezbytný dovoz surovin, aby tak mohlo udržet export, na němž </w:t>
      </w:r>
      <w:r>
        <w:t>téměř ze dvou třetin závisí národní důchod země.</w:t>
      </w:r>
    </w:p>
    <w:p w:rsidR="00500724" w:rsidRDefault="00F30FB8">
      <w:pPr>
        <w:pStyle w:val="Jin0"/>
        <w:shd w:val="clear" w:color="auto" w:fill="auto"/>
        <w:spacing w:after="220"/>
        <w:ind w:firstLine="0"/>
        <w:jc w:val="left"/>
        <w:rPr>
          <w:sz w:val="44"/>
          <w:szCs w:val="44"/>
        </w:rPr>
      </w:pPr>
      <w:r>
        <w:rPr>
          <w:b/>
          <w:bCs/>
          <w:sz w:val="44"/>
          <w:szCs w:val="44"/>
          <w:u w:val="single"/>
        </w:rPr>
        <w:t>literatura a uměni</w:t>
      </w:r>
    </w:p>
    <w:p w:rsidR="00500724" w:rsidRDefault="00F30FB8">
      <w:pPr>
        <w:pStyle w:val="Nadpis100"/>
        <w:shd w:val="clear" w:color="auto" w:fill="auto"/>
        <w:spacing w:line="240" w:lineRule="auto"/>
      </w:pPr>
      <w:bookmarkStart w:id="628" w:name="bookmark627"/>
      <w:r>
        <w:t>Tvář Prahy</w:t>
      </w:r>
      <w:bookmarkEnd w:id="628"/>
    </w:p>
    <w:p w:rsidR="00500724" w:rsidRDefault="00F30FB8">
      <w:pPr>
        <w:pStyle w:val="Zkladntext30"/>
        <w:shd w:val="clear" w:color="auto" w:fill="auto"/>
        <w:spacing w:line="276" w:lineRule="auto"/>
        <w:ind w:firstLine="0"/>
        <w:jc w:val="center"/>
        <w:rPr>
          <w:sz w:val="20"/>
          <w:szCs w:val="20"/>
        </w:rPr>
      </w:pPr>
      <w:r>
        <w:rPr>
          <w:sz w:val="20"/>
          <w:szCs w:val="20"/>
        </w:rPr>
        <w:t>(Proslov Zdeňka Wirtha k zahájení výstavy Tvář Prahy</w:t>
      </w:r>
      <w:r>
        <w:rPr>
          <w:sz w:val="20"/>
          <w:szCs w:val="20"/>
        </w:rPr>
        <w:br/>
        <w:t>v Mánesu 7. června 1939)</w:t>
      </w:r>
    </w:p>
    <w:p w:rsidR="00500724" w:rsidRDefault="00F30FB8">
      <w:pPr>
        <w:pStyle w:val="Zkladntext30"/>
        <w:shd w:val="clear" w:color="auto" w:fill="auto"/>
        <w:spacing w:after="0" w:line="206" w:lineRule="auto"/>
      </w:pPr>
      <w:r>
        <w:t>Naše výstava je vědomým a radostným holdem české Praze. Zmocnila se s nadšením, ale i s poko</w:t>
      </w:r>
      <w:r>
        <w:softHyphen/>
        <w:t xml:space="preserve">rou </w:t>
      </w:r>
      <w:r>
        <w:t>svými skromnými prostředky jejího nádherného zjevu a vyobrazila — třeba jen několika čarami — její tisíciletou tvář.</w:t>
      </w:r>
    </w:p>
    <w:p w:rsidR="00500724" w:rsidRDefault="00F30FB8">
      <w:pPr>
        <w:pStyle w:val="Zkladntext30"/>
        <w:shd w:val="clear" w:color="auto" w:fill="auto"/>
        <w:spacing w:line="221" w:lineRule="auto"/>
        <w:ind w:firstLine="240"/>
      </w:pPr>
      <w:r>
        <w:t>Obsah výstavy poví vám v lapidární zkratce, jen náznaky a akcenty, o slavné minulosti dnešní Prahy, o vzestupné linii jejího vzrůstu i o vě</w:t>
      </w:r>
      <w:r>
        <w:t>čné kráse jejího těla, halícího se marnotratně vždy do nového hávu. K tomuto tématu není třeba zvláštních výkladů; pů</w:t>
      </w:r>
      <w:r>
        <w:softHyphen/>
        <w:t>sobí samo na diváka bezprostředně a mocně, zaměstná jeho oči stejně jako jeho srdce.</w:t>
      </w:r>
    </w:p>
    <w:p w:rsidR="00500724" w:rsidRDefault="00F30FB8">
      <w:pPr>
        <w:pStyle w:val="Zkladntext30"/>
        <w:shd w:val="clear" w:color="auto" w:fill="auto"/>
        <w:spacing w:after="0" w:line="204" w:lineRule="auto"/>
        <w:ind w:firstLine="240"/>
      </w:pPr>
      <w:r>
        <w:t>Dovolte mi však abych místo konkrétního výkladu o věc</w:t>
      </w:r>
      <w:r>
        <w:t>ném obsahu této síně obrátil vaši pozornost k ideové a tvarové náplni monumentální architektonické hmoty, jež znamenala ve všech do</w:t>
      </w:r>
      <w:r>
        <w:softHyphen/>
        <w:t>bách tvář Prahy, a abych ji proklamoval jako Prahu věčně českou, věčně naši.</w:t>
      </w:r>
    </w:p>
    <w:p w:rsidR="00500724" w:rsidRDefault="00F30FB8">
      <w:pPr>
        <w:pStyle w:val="Zkladntext30"/>
        <w:shd w:val="clear" w:color="auto" w:fill="auto"/>
        <w:spacing w:line="204" w:lineRule="auto"/>
        <w:ind w:firstLine="240"/>
      </w:pPr>
      <w:r>
        <w:t xml:space="preserve">Tato tvář, měnivá jako obličej velikého herce, </w:t>
      </w:r>
      <w:r>
        <w:t>ozdo</w:t>
      </w:r>
      <w:r>
        <w:softHyphen/>
        <w:t>bila se od počátku nádherným diadémem Hradčan a reagujíc na každý záchvěv osudu národa i země, na blahobytné doby politického míru, hospodářského vzestupu a zase na zlobu válečné litice i pozemských živlů, střídala po staletí tragickou i úsměvnou mask</w:t>
      </w:r>
      <w:r>
        <w:t>u se šklebnou grimasou utrpení v souhlase s charakte</w:t>
      </w:r>
      <w:r>
        <w:softHyphen/>
        <w:t>rem tu horečného stavebního rozvoje, tu klidné pe</w:t>
      </w:r>
      <w:r>
        <w:softHyphen/>
        <w:t>riody podrobné výstavby, tu zase katastrofálního zni</w:t>
      </w:r>
      <w:r>
        <w:softHyphen/>
        <w:t>čení požáry, povodněmi a bombardováním.</w:t>
      </w:r>
    </w:p>
    <w:p w:rsidR="00500724" w:rsidRDefault="00F30FB8">
      <w:pPr>
        <w:pStyle w:val="Zkladntext30"/>
        <w:shd w:val="clear" w:color="auto" w:fill="auto"/>
        <w:spacing w:line="202" w:lineRule="auto"/>
        <w:ind w:firstLine="240"/>
      </w:pPr>
      <w:r>
        <w:t>Ale přese všechny tyto změny svých rysů zůstala tvář Prahy p</w:t>
      </w:r>
      <w:r>
        <w:t>řece věčně táž, stejná ve své podstatě a základní formě. Nesmrtelný základ dala jí tu sama příroda, když dějinný vývoj určil Praze klín Vltavy a návrší jej provázející za jeviště jejího hmotného života. Je přímo symbolické toto uložení Prahy v pra</w:t>
      </w:r>
      <w:r>
        <w:softHyphen/>
        <w:t xml:space="preserve">věku do </w:t>
      </w:r>
      <w:r>
        <w:t>průsečíku obou hlavních os nádherného zeměpisného obrazce Čech, doslova v srdci země a národa, a tuto obecnou situaci zmocňují ještě nádher</w:t>
      </w:r>
      <w:r>
        <w:softHyphen/>
        <w:t>ný terén pražský, podivuhodné plastiky a důsledné gradace výškové, půvabný meandr Vltavy a orientace k světovým stra</w:t>
      </w:r>
      <w:r>
        <w:t>nám, skýtající překvapující světelné reflexy a atmosférické zázraky.</w:t>
      </w:r>
    </w:p>
    <w:p w:rsidR="00500724" w:rsidRDefault="00F30FB8">
      <w:pPr>
        <w:pStyle w:val="Zkladntext30"/>
        <w:shd w:val="clear" w:color="auto" w:fill="auto"/>
        <w:spacing w:line="204" w:lineRule="auto"/>
        <w:ind w:firstLine="240"/>
      </w:pPr>
      <w:r>
        <w:t>Pražská krajina určila tedy městu od počátku smysl jeho architektonické komposice a skladu. Akro</w:t>
      </w:r>
      <w:r>
        <w:softHyphen/>
        <w:t>pole na Hradčanech a Vyšehradě zůstaly až do dneška určovatelem dovoleného měřítka jeho ar</w:t>
      </w:r>
      <w:r>
        <w:t>chitekto</w:t>
      </w:r>
      <w:r>
        <w:softHyphen/>
        <w:t>nické hmoty, a stoupající půda mezi ostrohy založila přirozenou gradaci panoramatu na obou vltavských březích.</w:t>
      </w:r>
    </w:p>
    <w:p w:rsidR="00500724" w:rsidRDefault="00F30FB8">
      <w:pPr>
        <w:pStyle w:val="Zkladntext30"/>
        <w:shd w:val="clear" w:color="auto" w:fill="auto"/>
        <w:spacing w:line="202" w:lineRule="auto"/>
        <w:ind w:firstLine="240"/>
      </w:pPr>
      <w:r>
        <w:t>Ovšem, pokud je město skoro výhradně jen ko</w:t>
      </w:r>
      <w:r>
        <w:softHyphen/>
        <w:t>lektivním dílem hospodářské organisace, znamená tento dar přírody nevyužité bohatství ve vyš</w:t>
      </w:r>
      <w:r>
        <w:t>ším, hlavně uměleckém smyslu. Teprve později dovede ně</w:t>
      </w:r>
      <w:r>
        <w:softHyphen/>
        <w:t>kolik silných osobností umocniti přirozené podmínky situace Prahy k záměrným uměleckým činům. Jme</w:t>
      </w:r>
      <w:r>
        <w:softHyphen/>
        <w:t>nujme tu bez rozpaku jako první Karla IV. a jeho geniálního stavitele Petra Parléře, poděkujme umě</w:t>
      </w:r>
      <w:r>
        <w:softHyphen/>
        <w:t>leck</w:t>
      </w:r>
      <w:r>
        <w:t>ému instinktu budovatelů barokní Prahy, hlavně ovšem Kiliana Ignáce Dienzenhoffera, i stejně moc</w:t>
      </w:r>
      <w:r>
        <w:softHyphen/>
        <w:t>nému uměleckému pudu Jos. Zítka za zhodnocení Prahy jako jediné architektury až k uměleckému fenoménu!</w:t>
      </w:r>
    </w:p>
    <w:p w:rsidR="00500724" w:rsidRDefault="00F30FB8">
      <w:pPr>
        <w:pStyle w:val="Zkladntext30"/>
        <w:shd w:val="clear" w:color="auto" w:fill="auto"/>
        <w:spacing w:after="0" w:line="206" w:lineRule="auto"/>
        <w:ind w:firstLine="240"/>
      </w:pPr>
      <w:r>
        <w:t>Ale tu přicházíme k otázce, která tvoří jádro dnes již t</w:t>
      </w:r>
      <w:r>
        <w:t>éměř stoletého sporu, komu patří Praha nejen svými dějinami, ale i svou tváří. Cizí národní přísluš</w:t>
      </w:r>
      <w:r>
        <w:softHyphen/>
        <w:t>nost některých geniálních tvůrců architektonické pá</w:t>
      </w:r>
      <w:r>
        <w:softHyphen/>
        <w:t xml:space="preserve">teře Prahy neubírá nic na jejím významu pro naši vlast </w:t>
      </w:r>
      <w:r>
        <w:rPr>
          <w:b/>
          <w:bCs/>
          <w:sz w:val="26"/>
          <w:szCs w:val="26"/>
        </w:rPr>
        <w:t xml:space="preserve">a </w:t>
      </w:r>
      <w:r>
        <w:t xml:space="preserve">pro náš národ. </w:t>
      </w:r>
      <w:r>
        <w:rPr>
          <w:b/>
          <w:bCs/>
          <w:sz w:val="26"/>
          <w:szCs w:val="26"/>
        </w:rPr>
        <w:t xml:space="preserve">Je </w:t>
      </w:r>
      <w:r>
        <w:t xml:space="preserve">tu příčinná </w:t>
      </w:r>
      <w:r>
        <w:rPr>
          <w:b/>
          <w:bCs/>
          <w:sz w:val="26"/>
          <w:szCs w:val="26"/>
        </w:rPr>
        <w:t xml:space="preserve">a </w:t>
      </w:r>
      <w:r>
        <w:t>krásná sou</w:t>
      </w:r>
      <w:r>
        <w:softHyphen/>
        <w:t>visl</w:t>
      </w:r>
      <w:r>
        <w:t>ost mezi osudovým umístěním Prahy a tajemným vlivem, který dané prostředí vykonává na všechny, jimž životní osud přiřkl Prahu jako domovinu. Praha od věků vyvíjela mocnou asimilační sílu a před touto skutečností rozplývají se všechny umné konstrukce, snaží</w:t>
      </w:r>
      <w:r>
        <w:t xml:space="preserve">cí se podložiti Praze ducha, který jí sice na čas — od XIII. </w:t>
      </w:r>
      <w:r>
        <w:rPr>
          <w:lang w:val="en-US" w:eastAsia="en-US" w:bidi="en-US"/>
        </w:rPr>
        <w:t xml:space="preserve">do </w:t>
      </w:r>
      <w:r>
        <w:t xml:space="preserve">XV. a od XVII. </w:t>
      </w:r>
      <w:r>
        <w:rPr>
          <w:lang w:val="en-US" w:eastAsia="en-US" w:bidi="en-US"/>
        </w:rPr>
        <w:t xml:space="preserve">do </w:t>
      </w:r>
      <w:r>
        <w:t>XIX. století — dá</w:t>
      </w:r>
      <w:r>
        <w:softHyphen/>
        <w:t>val vnucený cizí národnostní nátěr proti duchu, jenž jí byl od pravěku vlastní, kotvil v národě a vždy zno</w:t>
      </w:r>
      <w:r>
        <w:softHyphen/>
        <w:t>vu mocně vyvřel na povrch, jakmile pominuly závor</w:t>
      </w:r>
      <w:r>
        <w:t>y jeho potlačování.</w:t>
      </w:r>
    </w:p>
    <w:p w:rsidR="00500724" w:rsidRDefault="00F30FB8">
      <w:pPr>
        <w:pStyle w:val="Zkladntext30"/>
        <w:shd w:val="clear" w:color="auto" w:fill="auto"/>
        <w:spacing w:after="0" w:line="204" w:lineRule="auto"/>
        <w:ind w:firstLine="240"/>
      </w:pPr>
      <w:r>
        <w:t>Cizinci, kteří se stali Pražany a věnovali celý ži</w:t>
      </w:r>
      <w:r>
        <w:softHyphen/>
        <w:t>vot a celé dílo našemu městu, podlehli všichni to</w:t>
      </w:r>
      <w:r>
        <w:softHyphen/>
        <w:t xml:space="preserve">muto přírodnímu zákonu asimilace, i když nikdy ne- splynuli jazykem a mentalitou s českým národem. Praha lákala vždy právě veliké </w:t>
      </w:r>
      <w:r>
        <w:t>talenty do svých zdí a vždy znovu se tu začíná zázračný proces jich připodobnění. Zde vcházeli jakoby do nové</w:t>
      </w:r>
      <w:r>
        <w:softHyphen/>
        <w:t xml:space="preserve">ho světa, byli záhy podmaněni nádherou města, které je vzněcovalo k novým činům, a byli vždy znovu zváni k řešení uměleckých úkolů. V souvislosti </w:t>
      </w:r>
      <w:r>
        <w:t>s dějinnou minulostí i velikou současností dala teprve Praha ve</w:t>
      </w:r>
      <w:r>
        <w:softHyphen/>
        <w:t>liké gesto Parléřovi a Dienzenhofferovi; jen v Praze mohl postaviti Beneš Rejt vedle residence Karlovy největší sál tehdejší Evropy ve Vladislavském hradě; jen v Praze mohl Dienzenhoffer, opře</w:t>
      </w:r>
      <w:r>
        <w:t xml:space="preserve">n </w:t>
      </w:r>
      <w:r>
        <w:rPr>
          <w:b/>
          <w:bCs/>
          <w:sz w:val="26"/>
          <w:szCs w:val="26"/>
        </w:rPr>
        <w:t xml:space="preserve">o </w:t>
      </w:r>
      <w:r>
        <w:t>korunu hradčanskou, vsaditi do malostranského panoramatu svoji kupoli a kombinovati ji se štíhlou vertikálou zvonice; jen v Cechách a v Praze mohla vzniknouti barokní gotika, čerpající z hluboké víry ve velikou minulost národa, a jen v Praze dala bohat</w:t>
      </w:r>
      <w:r>
        <w:t>á formace krajiny, tehdy ještě vegetací nezměkčená, podrobné barokní výstavbě vždy novou inspiraci. Tak ně</w:t>
      </w:r>
      <w:r>
        <w:softHyphen/>
        <w:t>kolikráte nastupovala Praha v činnosti sobě připodob</w:t>
      </w:r>
      <w:r>
        <w:softHyphen/>
        <w:t>něných cizinců na místo ohniska uměleckého pokroku v Evropě.</w:t>
      </w:r>
    </w:p>
    <w:p w:rsidR="00500724" w:rsidRDefault="00F30FB8">
      <w:pPr>
        <w:pStyle w:val="Zkladntext30"/>
        <w:shd w:val="clear" w:color="auto" w:fill="auto"/>
        <w:spacing w:after="0" w:line="202" w:lineRule="auto"/>
        <w:ind w:firstLine="240"/>
      </w:pPr>
      <w:r>
        <w:t xml:space="preserve">Umělecký rozvoj velikých osobností </w:t>
      </w:r>
      <w:r>
        <w:t>za pobytu v Praze doprovází však i čistě lidský vztah k bydlišti a jeho svéprávným obyvatelům. Umělec připodobňuje se Praze mnohem spíše srdcem a citem než rozumem, na rozdíl od unuděné mezinárodní společnosti diplo</w:t>
      </w:r>
      <w:r>
        <w:softHyphen/>
        <w:t>matické a finančnické, lhostejné ke svém</w:t>
      </w:r>
      <w:r>
        <w:t>u okolí. Obklopen hlaholem české řeči i písně, českým vtipem, zváben půvabem slovanské ženy, podléhá postupně českému prostředí tak, jak přes něho přechází praž</w:t>
      </w:r>
      <w:r>
        <w:softHyphen/>
        <w:t>ské jaro jedno za druhým. Jeho umělecká práce ztrácí zde snad onu západnickou a jižní korektnos</w:t>
      </w:r>
      <w:r>
        <w:t>t a uhla</w:t>
      </w:r>
      <w:r>
        <w:softHyphen/>
        <w:t>zenost formy, měknou její profily vytažené v omítce i obrysy křivkových článků, ale dílo nabývá nových půvabů a robustnějšího výrazu, plastiky i linie a osvo</w:t>
      </w:r>
      <w:r>
        <w:softHyphen/>
        <w:t xml:space="preserve">juje si i zvláštní něhu, kterou bychom na příklad </w:t>
      </w:r>
      <w:r>
        <w:rPr>
          <w:b/>
          <w:bCs/>
          <w:sz w:val="26"/>
          <w:szCs w:val="26"/>
        </w:rPr>
        <w:t xml:space="preserve">V </w:t>
      </w:r>
      <w:r>
        <w:t>Německu mimo barokní Vídeň těžko nale</w:t>
      </w:r>
      <w:r>
        <w:t>zli.</w:t>
      </w:r>
    </w:p>
    <w:p w:rsidR="00500724" w:rsidRDefault="00F30FB8">
      <w:pPr>
        <w:pStyle w:val="Zkladntext30"/>
        <w:shd w:val="clear" w:color="auto" w:fill="auto"/>
        <w:spacing w:after="0" w:line="204" w:lineRule="auto"/>
        <w:ind w:firstLine="240"/>
      </w:pPr>
      <w:r>
        <w:t>A podléhá-li cizí veliký umělec, Vlach’, Němec, Nizozemec, jak můžeme vyčisti z jeho díla, českému a pražskému prostředí, je tento zjev tím přirozenější u kolektivních těles podnikatelských družin, které se brzo i přes výlučnost svých královských priv</w:t>
      </w:r>
      <w:r>
        <w:t>ilegií za</w:t>
      </w:r>
      <w:r>
        <w:softHyphen/>
        <w:t>sunují do místní umělecké a řemeslnické organisace.</w:t>
      </w:r>
    </w:p>
    <w:p w:rsidR="00500724" w:rsidRDefault="00F30FB8">
      <w:pPr>
        <w:pStyle w:val="Zkladntext30"/>
        <w:shd w:val="clear" w:color="auto" w:fill="auto"/>
        <w:spacing w:after="0" w:line="204" w:lineRule="auto"/>
        <w:ind w:firstLine="240"/>
        <w:sectPr w:rsidR="00500724">
          <w:footnotePr>
            <w:numFmt w:val="chicago"/>
            <w:numRestart w:val="eachPage"/>
          </w:footnotePr>
          <w:pgSz w:w="11909" w:h="16834"/>
          <w:pgMar w:top="1649" w:right="976" w:bottom="670" w:left="537" w:header="0" w:footer="3" w:gutter="0"/>
          <w:cols w:num="2" w:space="115"/>
          <w:noEndnote/>
          <w:docGrid w:linePitch="360"/>
        </w:sectPr>
      </w:pPr>
      <w:r>
        <w:t>Tak zůstává Praha vlivem božího určení a moc</w:t>
      </w:r>
      <w:r>
        <w:softHyphen/>
        <w:t xml:space="preserve">ností svého zvláštního genia </w:t>
      </w:r>
      <w:r>
        <w:rPr>
          <w:lang w:val="en-US" w:eastAsia="en-US" w:bidi="en-US"/>
        </w:rPr>
        <w:t xml:space="preserve">loci </w:t>
      </w:r>
      <w:r>
        <w:t>vždy a na věky jen českým městem, vytvořeným až do. polovice XIX. století společnou pra</w:t>
      </w:r>
      <w:r>
        <w:t>cí domácích i cizinců, a tak pů</w:t>
      </w:r>
      <w:r>
        <w:softHyphen/>
        <w:t>sobí živelně na kohokoliv, kdo vstoupí po. prvé do je</w:t>
      </w:r>
      <w:r>
        <w:softHyphen/>
        <w:t>jich zdí. To je tajemství jejího kouzla a záruka jejího Charakteru do budoucna.</w:t>
      </w:r>
    </w:p>
    <w:p w:rsidR="00500724" w:rsidRDefault="00F30FB8">
      <w:pPr>
        <w:pStyle w:val="Jin0"/>
        <w:shd w:val="clear" w:color="auto" w:fill="auto"/>
        <w:ind w:firstLine="0"/>
        <w:jc w:val="left"/>
        <w:rPr>
          <w:sz w:val="36"/>
          <w:szCs w:val="36"/>
        </w:rPr>
      </w:pPr>
      <w:r>
        <w:rPr>
          <w:sz w:val="36"/>
          <w:szCs w:val="36"/>
        </w:rPr>
        <w:t>doba a lidé</w:t>
      </w:r>
    </w:p>
    <w:p w:rsidR="00500724" w:rsidRDefault="00F30FB8">
      <w:pPr>
        <w:pStyle w:val="Jin0"/>
        <w:pBdr>
          <w:bottom w:val="single" w:sz="4" w:space="0" w:color="auto"/>
        </w:pBdr>
        <w:shd w:val="clear" w:color="auto" w:fill="auto"/>
        <w:spacing w:after="300"/>
        <w:ind w:firstLine="0"/>
        <w:jc w:val="right"/>
        <w:rPr>
          <w:sz w:val="8"/>
          <w:szCs w:val="8"/>
        </w:rPr>
      </w:pPr>
      <w:r>
        <w:rPr>
          <w:rFonts w:ascii="Arial" w:eastAsia="Arial" w:hAnsi="Arial" w:cs="Arial"/>
          <w:b/>
          <w:bCs/>
          <w:strike/>
          <w:sz w:val="8"/>
          <w:szCs w:val="8"/>
        </w:rPr>
        <w:t>jugmBBag</w:t>
      </w:r>
      <w:r>
        <w:rPr>
          <w:sz w:val="8"/>
          <w:szCs w:val="8"/>
        </w:rPr>
        <w:t>gaWII</w:t>
      </w:r>
      <w:r>
        <w:rPr>
          <w:rFonts w:ascii="Arial" w:eastAsia="Arial" w:hAnsi="Arial" w:cs="Arial"/>
          <w:b/>
          <w:bCs/>
          <w:strike/>
          <w:sz w:val="8"/>
          <w:szCs w:val="8"/>
        </w:rPr>
        <w:t>I</w:t>
      </w:r>
      <w:r>
        <w:rPr>
          <w:rFonts w:ascii="Arial" w:eastAsia="Arial" w:hAnsi="Arial" w:cs="Arial"/>
          <w:sz w:val="8"/>
          <w:szCs w:val="8"/>
        </w:rPr>
        <w:t xml:space="preserve">i </w:t>
      </w:r>
      <w:r>
        <w:rPr>
          <w:rFonts w:ascii="Arial" w:eastAsia="Arial" w:hAnsi="Arial" w:cs="Arial"/>
          <w:b/>
          <w:bCs/>
          <w:strike/>
          <w:sz w:val="8"/>
          <w:szCs w:val="8"/>
        </w:rPr>
        <w:t>I</w:t>
      </w:r>
      <w:r>
        <w:rPr>
          <w:rFonts w:ascii="Arial" w:eastAsia="Arial" w:hAnsi="Arial" w:cs="Arial"/>
          <w:sz w:val="8"/>
          <w:szCs w:val="8"/>
        </w:rPr>
        <w:t xml:space="preserve"> i' »</w:t>
      </w:r>
      <w:r>
        <w:rPr>
          <w:rFonts w:ascii="Arial" w:eastAsia="Arial" w:hAnsi="Arial" w:cs="Arial"/>
          <w:b/>
          <w:bCs/>
          <w:strike/>
          <w:sz w:val="8"/>
          <w:szCs w:val="8"/>
        </w:rPr>
        <w:t>d JH.'i</w:t>
      </w:r>
      <w:r>
        <w:rPr>
          <w:sz w:val="8"/>
          <w:szCs w:val="8"/>
        </w:rPr>
        <w:t>U</w:t>
      </w:r>
      <w:r>
        <w:rPr>
          <w:rFonts w:ascii="Arial" w:eastAsia="Arial" w:hAnsi="Arial" w:cs="Arial"/>
          <w:b/>
          <w:bCs/>
          <w:strike/>
          <w:sz w:val="8"/>
          <w:szCs w:val="8"/>
        </w:rPr>
        <w:t>J</w:t>
      </w:r>
      <w:r>
        <w:rPr>
          <w:sz w:val="8"/>
          <w:szCs w:val="8"/>
        </w:rPr>
        <w:t>J</w:t>
      </w:r>
      <w:r>
        <w:rPr>
          <w:rFonts w:ascii="Arial" w:eastAsia="Arial" w:hAnsi="Arial" w:cs="Arial"/>
          <w:b/>
          <w:bCs/>
          <w:strike/>
          <w:sz w:val="8"/>
          <w:szCs w:val="8"/>
        </w:rPr>
        <w:t>fci.«W</w:t>
      </w:r>
      <w:r>
        <w:rPr>
          <w:rFonts w:ascii="Arial" w:eastAsia="Arial" w:hAnsi="Arial" w:cs="Arial"/>
          <w:sz w:val="8"/>
          <w:szCs w:val="8"/>
        </w:rPr>
        <w:t>l</w:t>
      </w:r>
      <w:r>
        <w:rPr>
          <w:rFonts w:ascii="Arial" w:eastAsia="Arial" w:hAnsi="Arial" w:cs="Arial"/>
          <w:b/>
          <w:bCs/>
          <w:strike/>
          <w:sz w:val="8"/>
          <w:szCs w:val="8"/>
        </w:rPr>
        <w:t>tU&lt;</w:t>
      </w:r>
    </w:p>
    <w:p w:rsidR="00500724" w:rsidRDefault="00F30FB8">
      <w:pPr>
        <w:pStyle w:val="Zkladntext1"/>
        <w:shd w:val="clear" w:color="auto" w:fill="auto"/>
        <w:spacing w:after="180"/>
        <w:ind w:firstLine="0"/>
        <w:jc w:val="left"/>
        <w:rPr>
          <w:sz w:val="20"/>
          <w:szCs w:val="20"/>
        </w:rPr>
      </w:pPr>
      <w:r>
        <w:rPr>
          <w:i/>
          <w:iCs/>
          <w:sz w:val="20"/>
          <w:szCs w:val="20"/>
        </w:rPr>
        <w:t>Milena Jesenská:</w:t>
      </w:r>
    </w:p>
    <w:p w:rsidR="00500724" w:rsidRDefault="00F30FB8">
      <w:pPr>
        <w:pStyle w:val="Nadpis100"/>
        <w:shd w:val="clear" w:color="auto" w:fill="auto"/>
        <w:spacing w:after="80" w:line="286" w:lineRule="auto"/>
        <w:ind w:left="1200" w:right="800" w:firstLine="20"/>
        <w:jc w:val="left"/>
      </w:pPr>
      <w:bookmarkStart w:id="629" w:name="bookmark628"/>
      <w:r>
        <w:t xml:space="preserve">Soldaten wolmeii </w:t>
      </w:r>
      <w:r>
        <w:t>auf den Kanonen...</w:t>
      </w:r>
      <w:bookmarkEnd w:id="629"/>
    </w:p>
    <w:p w:rsidR="00500724" w:rsidRDefault="00F30FB8">
      <w:pPr>
        <w:pStyle w:val="Zkladntext1"/>
        <w:shd w:val="clear" w:color="auto" w:fill="auto"/>
        <w:spacing w:line="269" w:lineRule="auto"/>
        <w:ind w:firstLine="280"/>
        <w:rPr>
          <w:sz w:val="18"/>
          <w:szCs w:val="18"/>
        </w:rPr>
      </w:pPr>
      <w:r>
        <w:rPr>
          <w:sz w:val="18"/>
          <w:szCs w:val="18"/>
        </w:rPr>
        <w:t xml:space="preserve">To je německá písnička a jedna z nejhezčích. Pokud jde </w:t>
      </w:r>
      <w:r>
        <w:rPr>
          <w:b/>
          <w:bCs/>
        </w:rPr>
        <w:t xml:space="preserve">o </w:t>
      </w:r>
      <w:r>
        <w:rPr>
          <w:sz w:val="18"/>
          <w:szCs w:val="18"/>
        </w:rPr>
        <w:t>vojenské písničky, jsou německé vždycky hezčí - nebo vojáčtější — než naše. U nás to byl Kvíteček za čepici, Má milá pojď s sebou, ař také něco užiješ, Rozma- rina, takové lyrické,</w:t>
      </w:r>
      <w:r>
        <w:rPr>
          <w:sz w:val="18"/>
          <w:szCs w:val="18"/>
        </w:rPr>
        <w:t xml:space="preserve"> soukromé zpívání do kroku. Němci mají vojenské písně chlapské a do pochodování. Vůbao bych řekla, kdyby se mne někdo tázal, jaký je na první pohled nejzřetelnější rozdíl mezi Němci a Čechy: v kro</w:t>
      </w:r>
      <w:r>
        <w:rPr>
          <w:sz w:val="18"/>
          <w:szCs w:val="18"/>
        </w:rPr>
        <w:softHyphen/>
        <w:t>ku. Chodívali pod oknem čeští vojáčci, a tak to o dlažbu tr</w:t>
      </w:r>
      <w:r>
        <w:rPr>
          <w:sz w:val="18"/>
          <w:szCs w:val="18"/>
        </w:rPr>
        <w:t>ochu luskalo. Teď jde jeden německý maník po kavárně a sklenice se třesou a se stropu padá omítka - ale on si myslí, že našlapuje tiše a opatrně, nikomu nechce ublí</w:t>
      </w:r>
      <w:r>
        <w:rPr>
          <w:sz w:val="18"/>
          <w:szCs w:val="18"/>
        </w:rPr>
        <w:softHyphen/>
        <w:t>žit, to jen tak německá povaha jím hýbe od kolen dolů.</w:t>
      </w:r>
    </w:p>
    <w:p w:rsidR="00500724" w:rsidRDefault="00F30FB8">
      <w:pPr>
        <w:pStyle w:val="Zkladntext1"/>
        <w:shd w:val="clear" w:color="auto" w:fill="auto"/>
        <w:spacing w:line="262" w:lineRule="auto"/>
        <w:ind w:firstLine="280"/>
        <w:rPr>
          <w:sz w:val="18"/>
          <w:szCs w:val="18"/>
        </w:rPr>
      </w:pPr>
      <w:r>
        <w:rPr>
          <w:sz w:val="18"/>
          <w:szCs w:val="18"/>
        </w:rPr>
        <w:t>V té chůzi je především poměr vojáka</w:t>
      </w:r>
      <w:r>
        <w:rPr>
          <w:sz w:val="18"/>
          <w:szCs w:val="18"/>
        </w:rPr>
        <w:t xml:space="preserve"> k armádě a v dalším pak poměr občana k armádě: sebevědomí a jiná vojenské ctnosti šlapou ráz dva, ráz dva světem. Celý ně</w:t>
      </w:r>
      <w:r>
        <w:rPr>
          <w:sz w:val="18"/>
          <w:szCs w:val="18"/>
        </w:rPr>
        <w:softHyphen/>
        <w:t>mecký národ byl po mnoho set let vychováván v myšlen</w:t>
      </w:r>
      <w:r>
        <w:rPr>
          <w:sz w:val="18"/>
          <w:szCs w:val="18"/>
        </w:rPr>
        <w:softHyphen/>
        <w:t>ce, že být vojákem je největší ctnost občana. Němec je vojákem i za cenu, že jeh</w:t>
      </w:r>
      <w:r>
        <w:rPr>
          <w:sz w:val="18"/>
          <w:szCs w:val="18"/>
        </w:rPr>
        <w:t>o soukromý život ustupuje do pozadí, že nezvládne všechny školy, jak si snad v mládí představoval a jak toužil, že se nevyučí řemeslu a že bude vojančit rázným krokem s pochodovou písní.</w:t>
      </w:r>
    </w:p>
    <w:p w:rsidR="00500724" w:rsidRDefault="00F30FB8">
      <w:pPr>
        <w:pStyle w:val="Zkladntext1"/>
        <w:shd w:val="clear" w:color="auto" w:fill="auto"/>
        <w:spacing w:after="120" w:line="262" w:lineRule="auto"/>
        <w:ind w:firstLine="280"/>
        <w:rPr>
          <w:sz w:val="18"/>
          <w:szCs w:val="18"/>
        </w:rPr>
      </w:pPr>
      <w:r>
        <w:rPr>
          <w:sz w:val="18"/>
          <w:szCs w:val="18"/>
        </w:rPr>
        <w:t>u nás byla armáda něco jiného. Soukromí lidé navlé</w:t>
      </w:r>
      <w:r>
        <w:rPr>
          <w:sz w:val="18"/>
          <w:szCs w:val="18"/>
        </w:rPr>
        <w:softHyphen/>
        <w:t xml:space="preserve">kali na čas </w:t>
      </w:r>
      <w:r>
        <w:rPr>
          <w:sz w:val="18"/>
          <w:szCs w:val="18"/>
        </w:rPr>
        <w:t>vojenský kabát a my ostatní jsme to celkem ani nepostřehli. Chodili tiše, chovali se skromně a nikdy jich nebylo tolik, aby měnili obraz ulic nějakého města. Na kavárny a hostince neměli celkem času. Rolník, švec, domkář, učitel, lékař, dělník chodili se u</w:t>
      </w:r>
      <w:r>
        <w:rPr>
          <w:sz w:val="18"/>
          <w:szCs w:val="18"/>
        </w:rPr>
        <w:t>čit občanské po</w:t>
      </w:r>
      <w:r>
        <w:rPr>
          <w:sz w:val="18"/>
          <w:szCs w:val="18"/>
        </w:rPr>
        <w:softHyphen/>
        <w:t>vinnosti, nespatřujíce v tom žádný zvláštní výkon. Myslím, že švec si zakládal víc na dobře vyrobených botách a dělník víc na dobrém chodu stroje, jenž mu byl svěřen, než na zručnosti, jak zacházet s ručním granátem. Českým dlaním bylo laho</w:t>
      </w:r>
      <w:r>
        <w:rPr>
          <w:sz w:val="18"/>
          <w:szCs w:val="18"/>
        </w:rPr>
        <w:t>dnější ruchadlo, perlík nebo dláto, než spoušť pušky. A v důsledku se tento rozdíl jeví i v po</w:t>
      </w:r>
      <w:r>
        <w:rPr>
          <w:sz w:val="18"/>
          <w:szCs w:val="18"/>
        </w:rPr>
        <w:softHyphen/>
        <w:t>měru občanů k armádě. Přiznejme se: celkem jsme o ni nevěděli. Žádná propaganda nám ji nepřiblížila, nikdo nám nevysvětlil, co vlastně naše armáda znamená. Ne</w:t>
      </w:r>
      <w:r>
        <w:rPr>
          <w:sz w:val="18"/>
          <w:szCs w:val="18"/>
        </w:rPr>
        <w:softHyphen/>
        <w:t>ja</w:t>
      </w:r>
      <w:r>
        <w:rPr>
          <w:sz w:val="18"/>
          <w:szCs w:val="18"/>
        </w:rPr>
        <w:t>sně jsme věděli: až bude zle, budou zemi hájit vojáci. Neměli jsme jasnou představu o tom, jak se tomu učí - ba ani jsme si neuvědomili, že toto je řemeslo v dnešní době největší. Věděli jsme, že máme výborné lidi, že máme všichni svou zemi rádi, že dovede</w:t>
      </w:r>
      <w:r>
        <w:rPr>
          <w:sz w:val="18"/>
          <w:szCs w:val="18"/>
        </w:rPr>
        <w:t>me vyrábět vý</w:t>
      </w:r>
      <w:r>
        <w:rPr>
          <w:sz w:val="18"/>
          <w:szCs w:val="18"/>
        </w:rPr>
        <w:softHyphen/>
        <w:t>tečná zbraně, poněvadž dovedeme vůbec výtečně pra</w:t>
      </w:r>
      <w:r>
        <w:rPr>
          <w:sz w:val="18"/>
          <w:szCs w:val="18"/>
        </w:rPr>
        <w:softHyphen/>
        <w:t>covat. O dobré kvalitě českého vojáka nikdo nepochybo</w:t>
      </w:r>
      <w:r>
        <w:rPr>
          <w:sz w:val="18"/>
          <w:szCs w:val="18"/>
        </w:rPr>
        <w:softHyphen/>
        <w:t>val ani doma ani v cizině - ale spíš proto, že o kvalitě naší práce vůbec nelze pochybovat. Dělá-li něco Čech, dělá to nepaíeticky, dobře,</w:t>
      </w:r>
      <w:r>
        <w:rPr>
          <w:sz w:val="18"/>
          <w:szCs w:val="18"/>
        </w:rPr>
        <w:t xml:space="preserve"> skromně a tiše. A taková byla i naše armáda. Tady byl ten základní rozdíl: Jsou-li Něm</w:t>
      </w:r>
      <w:r>
        <w:rPr>
          <w:sz w:val="18"/>
          <w:szCs w:val="18"/>
        </w:rPr>
        <w:softHyphen/>
        <w:t>ci dobrými občany, protože jsou dobrými vojáky, bylo íomu u nás opačně: byli jsme dobří vojáci, protože jsme byli dobří občané.</w:t>
      </w:r>
    </w:p>
    <w:p w:rsidR="00500724" w:rsidRDefault="00F30FB8">
      <w:pPr>
        <w:pStyle w:val="Zkladntext1"/>
        <w:shd w:val="clear" w:color="auto" w:fill="auto"/>
        <w:spacing w:after="100"/>
        <w:ind w:firstLine="0"/>
        <w:jc w:val="center"/>
        <w:rPr>
          <w:sz w:val="18"/>
          <w:szCs w:val="18"/>
        </w:rPr>
      </w:pPr>
      <w:r>
        <w:rPr>
          <w:sz w:val="18"/>
          <w:szCs w:val="18"/>
        </w:rPr>
        <w:t>Dvacettisícna dlažbě</w:t>
      </w:r>
    </w:p>
    <w:p w:rsidR="00500724" w:rsidRDefault="00F30FB8">
      <w:pPr>
        <w:pStyle w:val="Zkladntext1"/>
        <w:shd w:val="clear" w:color="auto" w:fill="auto"/>
        <w:spacing w:after="200"/>
        <w:ind w:firstLine="260"/>
        <w:rPr>
          <w:sz w:val="18"/>
          <w:szCs w:val="18"/>
        </w:rPr>
      </w:pPr>
      <w:r>
        <w:rPr>
          <w:sz w:val="18"/>
          <w:szCs w:val="18"/>
        </w:rPr>
        <w:t>Likvidováním naší a</w:t>
      </w:r>
      <w:r>
        <w:rPr>
          <w:sz w:val="18"/>
          <w:szCs w:val="18"/>
        </w:rPr>
        <w:t>rmády zůstalo dvacet tisíc našich vojáků z povolání — od poddůstojníka po generála - na dlažbě. Jestliže jsme my prožili poslední čas se srdcem sevřeným, prožili to tito muži stonásobně. Bylo to přece jejich řemeslo, uchránit tuto zemi. Tomuto úkolu se vě</w:t>
      </w:r>
      <w:r>
        <w:rPr>
          <w:sz w:val="18"/>
          <w:szCs w:val="18"/>
        </w:rPr>
        <w:softHyphen/>
      </w:r>
      <w:r>
        <w:rPr>
          <w:sz w:val="18"/>
          <w:szCs w:val="18"/>
        </w:rPr>
        <w:t>novali, učili a žili. Pracovali na něm dvacet let - a pak to nemohli a nesměli udělat. Oblékají svoje civilní šaty trochu toporně, podle nohou poznáš vojáka a velitele na první pohled i v civilních kalhotech. A začínají chodit ve vlastní zemi s bolavým srd</w:t>
      </w:r>
      <w:r>
        <w:rPr>
          <w:sz w:val="18"/>
          <w:szCs w:val="18"/>
        </w:rPr>
        <w:t>cem pensisiů. Znám lékaře, kteří odešli do pense, když jsme začali halasit něco o mladých vpředf. Chodí kolem svých bývalých klinik opravdu i v myšlenkách po špičkách, a když jim pohléd</w:t>
      </w:r>
      <w:r>
        <w:rPr>
          <w:sz w:val="18"/>
          <w:szCs w:val="18"/>
        </w:rPr>
        <w:softHyphen/>
        <w:t xml:space="preserve">nete do tváře, máte dojem, že ztratit působiště pracovní je nejhorší, </w:t>
      </w:r>
      <w:r>
        <w:rPr>
          <w:sz w:val="18"/>
          <w:szCs w:val="18"/>
        </w:rPr>
        <w:t>co lze muže potkat. A to jsou soukromníci, kteří svoji práci vykonali. »Celý život se voják učí, že život ne</w:t>
      </w:r>
      <w:r>
        <w:rPr>
          <w:sz w:val="18"/>
          <w:szCs w:val="18"/>
        </w:rPr>
        <w:softHyphen/>
        <w:t>má cenu...,&lt; povídal mi plukovník v šedivých šatech a v košili s kravatou. »Vííe, život je jen papírek, který vo</w:t>
      </w:r>
      <w:r>
        <w:rPr>
          <w:sz w:val="18"/>
          <w:szCs w:val="18"/>
        </w:rPr>
        <w:softHyphen/>
        <w:t>ják rozmění v lepší budoucnost své</w:t>
      </w:r>
      <w:r>
        <w:rPr>
          <w:sz w:val="18"/>
          <w:szCs w:val="18"/>
        </w:rPr>
        <w:t>ho lidu.t A tu lepší budoucnost opsal takovým širokým, nadějným obloukem ruky, kdežto ten papírek jen zašpičatil mezi palcem a ukazováčkem, jako penízek, který se mění v drobné. A těch dvacet tisíc jednotek s vysokou školou technickou, ale především s vyso</w:t>
      </w:r>
      <w:r>
        <w:rPr>
          <w:sz w:val="18"/>
          <w:szCs w:val="18"/>
        </w:rPr>
        <w:t>kou morální úrovní stojí mezi námi. Lidé s neobyčejným školením a rozhledem, neobyčejnou mravní kázní. A národ? Budiž osudu žalováno, že si jich všímá a ví o nich právě tak málo, jako dřív.</w:t>
      </w:r>
    </w:p>
    <w:p w:rsidR="00500724" w:rsidRDefault="00F30FB8">
      <w:pPr>
        <w:pStyle w:val="Zkladntext1"/>
        <w:shd w:val="clear" w:color="auto" w:fill="auto"/>
        <w:spacing w:after="100"/>
        <w:ind w:firstLine="0"/>
        <w:jc w:val="center"/>
        <w:rPr>
          <w:sz w:val="18"/>
          <w:szCs w:val="18"/>
        </w:rPr>
      </w:pPr>
      <w:r>
        <w:rPr>
          <w:sz w:val="18"/>
          <w:szCs w:val="18"/>
        </w:rPr>
        <w:t>Muži, kteří si nestěžují</w:t>
      </w:r>
    </w:p>
    <w:p w:rsidR="00500724" w:rsidRDefault="00F30FB8">
      <w:pPr>
        <w:pStyle w:val="Zkladntext1"/>
        <w:shd w:val="clear" w:color="auto" w:fill="auto"/>
        <w:ind w:firstLine="260"/>
        <w:rPr>
          <w:sz w:val="18"/>
          <w:szCs w:val="18"/>
        </w:rPr>
      </w:pPr>
      <w:r>
        <w:rPr>
          <w:sz w:val="18"/>
          <w:szCs w:val="18"/>
        </w:rPr>
        <w:t>Je v povaze vojáka, že neumí naříkat. Jsm</w:t>
      </w:r>
      <w:r>
        <w:rPr>
          <w:sz w:val="18"/>
          <w:szCs w:val="18"/>
        </w:rPr>
        <w:t>e-li už donu</w:t>
      </w:r>
      <w:r>
        <w:rPr>
          <w:sz w:val="18"/>
          <w:szCs w:val="18"/>
        </w:rPr>
        <w:softHyphen/>
        <w:t>ceni díval se na lidi podle stavovského klíče, nuže, tohle je stav a-cech, jehož základním nástrojem je odvaha. Pak kázeň a sebekázeň — což je totéž - a pak organisace. Hovoříte-li s nimi a seznamuj ete-li se s jejich dvacetiletou praksi, začí</w:t>
      </w:r>
      <w:r>
        <w:rPr>
          <w:sz w:val="18"/>
          <w:szCs w:val="18"/>
        </w:rPr>
        <w:t>náte chápat, že tato obrovská organisace byla školou národa, školou, kterou prošel každý zdravý muž všech vrstev a tříd. Ze tato organisace, tak, jak byla, ve svém vyvinutém pocitu státnosti, ale naprosté nepolitič- nosti přibližovala se nejvíce tomu, co d</w:t>
      </w:r>
      <w:r>
        <w:rPr>
          <w:sz w:val="18"/>
          <w:szCs w:val="18"/>
        </w:rPr>
        <w:t>nes tak pracně děláme: jednotnosti. Vojáci mají obrovské organisační zkušenosti, mentálně jsou to lidé velmi blízcí systému vůd</w:t>
      </w:r>
      <w:r>
        <w:rPr>
          <w:sz w:val="18"/>
          <w:szCs w:val="18"/>
        </w:rPr>
        <w:softHyphen/>
        <w:t>čímu - jak není ani jinak možno — a člověk si mimoděk klade otázku, proě jsme, proboha, když se nám jednalo o to, svěřit věci st</w:t>
      </w:r>
      <w:r>
        <w:rPr>
          <w:sz w:val="18"/>
          <w:szCs w:val="18"/>
        </w:rPr>
        <w:t>átní do rukou organisace jednotné, ne- stranické a nepolitické, nepoužili tohoto školeného apa</w:t>
      </w:r>
      <w:r>
        <w:rPr>
          <w:sz w:val="18"/>
          <w:szCs w:val="18"/>
        </w:rPr>
        <w:softHyphen/>
        <w:t>rátu, který dovede i jiné věci, nejen vojančit. Ostatně je to, co zatím potřebujeme, tak navlas podobno vojančení beze zbraně, že se zdá tragicko-groteskní, že j</w:t>
      </w:r>
      <w:r>
        <w:rPr>
          <w:sz w:val="18"/>
          <w:szCs w:val="18"/>
        </w:rPr>
        <w:t>sou právě tihle muži v této situaci v tomto státě — bez práce. To je už ovšem pryč a marno o tom uvažovat. Dnes je otázka jiná: co dělají dnes a hlavně, co budou dělat, až jim vlá</w:t>
      </w:r>
      <w:r>
        <w:rPr>
          <w:sz w:val="18"/>
          <w:szCs w:val="18"/>
        </w:rPr>
        <w:softHyphen/>
        <w:t>da zastaví výplaty gáží, což se má stát v době hrozivě blízké.</w:t>
      </w:r>
    </w:p>
    <w:p w:rsidR="00500724" w:rsidRDefault="00F30FB8">
      <w:pPr>
        <w:pStyle w:val="Zkladntext1"/>
        <w:shd w:val="clear" w:color="auto" w:fill="auto"/>
        <w:spacing w:after="60"/>
        <w:ind w:firstLine="260"/>
        <w:rPr>
          <w:sz w:val="18"/>
          <w:szCs w:val="18"/>
        </w:rPr>
        <w:sectPr w:rsidR="00500724">
          <w:footnotePr>
            <w:numFmt w:val="chicago"/>
            <w:numRestart w:val="eachPage"/>
          </w:footnotePr>
          <w:pgSz w:w="11909" w:h="16834"/>
          <w:pgMar w:top="1606" w:right="627" w:bottom="1213" w:left="857" w:header="0" w:footer="3" w:gutter="0"/>
          <w:cols w:num="2" w:space="134"/>
          <w:noEndnote/>
          <w:docGrid w:linePitch="360"/>
        </w:sectPr>
      </w:pPr>
      <w:r>
        <w:rPr>
          <w:sz w:val="18"/>
          <w:szCs w:val="18"/>
        </w:rPr>
        <w:t>Jisto je, že nezahálejí. Nezastavili se ani na minutu. Jakmile bylo jasno, že jejich práce končí, začali se školit v zaměstnání jiném. Svaz důstojníků se dal do konečné práce a uspořádal několik kursů pro tyto muže. Všichni měl</w:t>
      </w:r>
      <w:r>
        <w:rPr>
          <w:sz w:val="18"/>
          <w:szCs w:val="18"/>
        </w:rPr>
        <w:t>i výborné předběžné vzdělání a vysokou úroveň vě</w:t>
      </w:r>
      <w:r>
        <w:rPr>
          <w:sz w:val="18"/>
          <w:szCs w:val="18"/>
        </w:rPr>
        <w:softHyphen/>
        <w:t>domostí. Mnoho jich prodělalo kursů několik, aby utekli nečinnosti, takže mají dnes kvalifikaci docela mimořád</w:t>
      </w:r>
      <w:r>
        <w:rPr>
          <w:sz w:val="18"/>
          <w:szCs w:val="18"/>
        </w:rPr>
        <w:softHyphen/>
        <w:t>nou. Mne osobně zajímal kurs školení důstojníků v země</w:t>
      </w:r>
      <w:r>
        <w:rPr>
          <w:sz w:val="18"/>
          <w:szCs w:val="18"/>
        </w:rPr>
        <w:softHyphen/>
        <w:t>dělce. Jak se změní člověk, »který bydlel</w:t>
      </w:r>
      <w:r>
        <w:rPr>
          <w:sz w:val="18"/>
          <w:szCs w:val="18"/>
        </w:rPr>
        <w:t xml:space="preserve"> na kanónech®, má-li bydlet na pluhu? Co se stane s mužem, který byl vychován, aby zabíjel a aby se dal zabít, má-li zasít</w:t>
      </w:r>
    </w:p>
    <w:p w:rsidR="00500724" w:rsidRDefault="00F30FB8">
      <w:pPr>
        <w:spacing w:line="14" w:lineRule="exact"/>
      </w:pPr>
      <w:r>
        <w:rPr>
          <w:noProof/>
        </w:rPr>
        <mc:AlternateContent>
          <mc:Choice Requires="wps">
            <w:drawing>
              <wp:anchor distT="0" distB="254000" distL="114300" distR="114300" simplePos="0" relativeHeight="125830008" behindDoc="0" locked="0" layoutInCell="1" allowOverlap="1">
                <wp:simplePos x="0" y="0"/>
                <wp:positionH relativeFrom="page">
                  <wp:posOffset>6878955</wp:posOffset>
                </wp:positionH>
                <wp:positionV relativeFrom="paragraph">
                  <wp:posOffset>9030970</wp:posOffset>
                </wp:positionV>
                <wp:extent cx="207010" cy="170815"/>
                <wp:effectExtent l="0" t="0" r="0" b="0"/>
                <wp:wrapTopAndBottom/>
                <wp:docPr id="631" name="Shape 631"/>
                <wp:cNvGraphicFramePr/>
                <a:graphic xmlns:a="http://schemas.openxmlformats.org/drawingml/2006/main">
                  <a:graphicData uri="http://schemas.microsoft.com/office/word/2010/wordprocessingShape">
                    <wps:wsp>
                      <wps:cNvSpPr txBox="1"/>
                      <wps:spPr>
                        <a:xfrm>
                          <a:off x="0" y="0"/>
                          <a:ext cx="207010" cy="170815"/>
                        </a:xfrm>
                        <a:prstGeom prst="rect">
                          <a:avLst/>
                        </a:prstGeom>
                        <a:noFill/>
                      </wps:spPr>
                      <wps:txbx>
                        <w:txbxContent>
                          <w:p w:rsidR="00500724" w:rsidRDefault="00F30FB8">
                            <w:pPr>
                              <w:pStyle w:val="Zkladntext1"/>
                              <w:shd w:val="clear" w:color="auto" w:fill="auto"/>
                              <w:ind w:firstLine="0"/>
                              <w:jc w:val="left"/>
                              <w:rPr>
                                <w:sz w:val="20"/>
                                <w:szCs w:val="20"/>
                              </w:rPr>
                            </w:pPr>
                            <w:r>
                              <w:rPr>
                                <w:i/>
                                <w:iCs/>
                                <w:sz w:val="20"/>
                                <w:szCs w:val="20"/>
                              </w:rPr>
                              <w:t>3Q1</w:t>
                            </w:r>
                          </w:p>
                        </w:txbxContent>
                      </wps:txbx>
                      <wps:bodyPr lIns="0" tIns="0" rIns="0" bIns="0">
                        <a:spAutoFit/>
                      </wps:bodyPr>
                    </wps:wsp>
                  </a:graphicData>
                </a:graphic>
              </wp:anchor>
            </w:drawing>
          </mc:Choice>
          <mc:Fallback>
            <w:pict>
              <v:shape id="_x0000_s1657" type="#_x0000_t202" style="position:absolute;margin-left:541.64999999999998pt;margin-top:711.10000000000002pt;width:16.300000000000001pt;height:13.449999999999999pt;z-index:-125828745;mso-wrap-distance-left:9.pt;mso-wrap-distance-right:9.pt;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3Q1</w:t>
                      </w:r>
                    </w:p>
                  </w:txbxContent>
                </v:textbox>
                <w10:wrap type="topAndBottom" anchorx="page"/>
              </v:shape>
            </w:pict>
          </mc:Fallback>
        </mc:AlternateContent>
      </w:r>
    </w:p>
    <w:p w:rsidR="00500724" w:rsidRDefault="00F30FB8">
      <w:pPr>
        <w:pStyle w:val="Zkladntext1"/>
        <w:shd w:val="clear" w:color="auto" w:fill="auto"/>
        <w:spacing w:after="60" w:line="223" w:lineRule="auto"/>
        <w:ind w:firstLine="0"/>
        <w:rPr>
          <w:sz w:val="18"/>
          <w:szCs w:val="18"/>
        </w:rPr>
      </w:pPr>
      <w:r>
        <w:rPr>
          <w:sz w:val="18"/>
          <w:szCs w:val="18"/>
        </w:rPr>
        <w:t>brambory a pěstil řepu? Je to bolestný zlom ve způsobu myšlení? Chodila jsem od vojáka k vojáku s touto otáz</w:t>
      </w:r>
      <w:r>
        <w:rPr>
          <w:sz w:val="18"/>
          <w:szCs w:val="18"/>
        </w:rPr>
        <w:softHyphen/>
        <w:t>kou, pátrajíc po</w:t>
      </w:r>
      <w:r>
        <w:rPr>
          <w:sz w:val="18"/>
          <w:szCs w:val="18"/>
        </w:rPr>
        <w:t xml:space="preserve"> odpovědi.</w:t>
      </w:r>
    </w:p>
    <w:p w:rsidR="00500724" w:rsidRDefault="00F30FB8">
      <w:pPr>
        <w:pStyle w:val="Zkladntext1"/>
        <w:shd w:val="clear" w:color="auto" w:fill="auto"/>
        <w:spacing w:after="60" w:line="223" w:lineRule="auto"/>
        <w:ind w:firstLine="0"/>
        <w:jc w:val="center"/>
        <w:rPr>
          <w:sz w:val="18"/>
          <w:szCs w:val="18"/>
        </w:rPr>
      </w:pPr>
      <w:r>
        <w:rPr>
          <w:sz w:val="18"/>
          <w:szCs w:val="18"/>
        </w:rPr>
        <w:t>Je voják dobrý zemědělec?</w:t>
      </w:r>
    </w:p>
    <w:p w:rsidR="00500724" w:rsidRDefault="00F30FB8">
      <w:pPr>
        <w:pStyle w:val="Zkladntext1"/>
        <w:shd w:val="clear" w:color="auto" w:fill="auto"/>
        <w:spacing w:line="223" w:lineRule="auto"/>
        <w:ind w:firstLine="240"/>
        <w:rPr>
          <w:sz w:val="18"/>
          <w:szCs w:val="18"/>
        </w:rPr>
      </w:pPr>
      <w:r>
        <w:rPr>
          <w:sz w:val="18"/>
          <w:szCs w:val="18"/>
        </w:rPr>
        <w:t xml:space="preserve">Někde jsem měla shovívavý úsměv, někde veselý smích, ale všude údiv. Vychováván k zabíjení? Jak to? Vychováván, aby hájil vlast. Není to totéž? Ale ovšem že to není totéž. Nechtěli jsme nikoho zabíjet. Chtěli jsme </w:t>
      </w:r>
      <w:r>
        <w:rPr>
          <w:sz w:val="18"/>
          <w:szCs w:val="18"/>
        </w:rPr>
        <w:t>hájit, abyste na příklad vy nebyla zabita. Velmi se mý</w:t>
      </w:r>
      <w:r>
        <w:rPr>
          <w:sz w:val="18"/>
          <w:szCs w:val="18"/>
        </w:rPr>
        <w:softHyphen/>
        <w:t>líte, když se na to takhle díváte, pravil mi muž v unifor</w:t>
      </w:r>
      <w:r>
        <w:rPr>
          <w:sz w:val="18"/>
          <w:szCs w:val="18"/>
        </w:rPr>
        <w:softHyphen/>
        <w:t>mě skoro nejvyšší a s mnoha řády na hrudi. Podívejte se: prvního října mi ti kluci přišli ze všech koutů a teď jsme je musili vychovávat. Věřte</w:t>
      </w:r>
      <w:r>
        <w:rPr>
          <w:sz w:val="18"/>
          <w:szCs w:val="18"/>
        </w:rPr>
        <w:t xml:space="preserve"> mi, v některých krajích docela doslovně. Někdy jsme je učili i číst i psát, zacházet </w:t>
      </w:r>
      <w:r>
        <w:rPr>
          <w:b/>
          <w:bCs/>
        </w:rPr>
        <w:t xml:space="preserve">s </w:t>
      </w:r>
      <w:r>
        <w:rPr>
          <w:sz w:val="18"/>
          <w:szCs w:val="18"/>
        </w:rPr>
        <w:t>kartáčkem na zuby a umývat se. Za pár měsíců mi pod rukou z toho rostl kolektiv, ve kterém se začaly pěstovat morální hodnoty, které teprve dělají dobrou armádu: ka</w:t>
      </w:r>
      <w:r>
        <w:rPr>
          <w:sz w:val="18"/>
          <w:szCs w:val="18"/>
        </w:rPr>
        <w:softHyphen/>
        <w:t>mar</w:t>
      </w:r>
      <w:r>
        <w:rPr>
          <w:sz w:val="18"/>
          <w:szCs w:val="18"/>
        </w:rPr>
        <w:t>ádství, udatnost, pravdomluvnost, zmužilost a neroz- mazlenosí. To nevíte, jaká to byla radost, když z toho sehnaného a beztvarého hloučku lidí začínala vylézat duše skupiny, abych tak řekl. Za rok to byli změnění lidé. A odcházeli domů a odnášeli si, čemu</w:t>
      </w:r>
      <w:r>
        <w:rPr>
          <w:sz w:val="18"/>
          <w:szCs w:val="18"/>
        </w:rPr>
        <w:t xml:space="preserve"> se naučili. Vždyť to byla obrovská škola národa, vždyť vy ani netušíte, jak jsme byli s těmi lidmi srostlí a jaký chlapský a dobrý poměr je mezi námi. Co jích prošlo mýma rukama i Jak jsem je studovali Třídili Učili Jak jsem jim rozuměl. Nu, a víc jsem se</w:t>
      </w:r>
      <w:r>
        <w:rPr>
          <w:sz w:val="18"/>
          <w:szCs w:val="18"/>
        </w:rPr>
        <w:t xml:space="preserve"> nedověděla, poněvadž po tvářích tohoto muže, kterému byl jeho vlasíní život lhostejný, stékaly slzy jako skleněné kuličky, když vzpomínal na svoje maníky, z jejichž srdcí křesal nejlepší jiskérky lidské důstojnosti.</w:t>
      </w:r>
    </w:p>
    <w:p w:rsidR="00500724" w:rsidRDefault="00F30FB8">
      <w:pPr>
        <w:pStyle w:val="Zkladntext1"/>
        <w:shd w:val="clear" w:color="auto" w:fill="auto"/>
        <w:spacing w:after="120" w:line="223" w:lineRule="auto"/>
        <w:ind w:firstLine="240"/>
        <w:rPr>
          <w:sz w:val="18"/>
          <w:szCs w:val="18"/>
        </w:rPr>
      </w:pPr>
      <w:r>
        <w:rPr>
          <w:sz w:val="18"/>
          <w:szCs w:val="18"/>
        </w:rPr>
        <w:t xml:space="preserve">Ale vidíte z toho jedno: byla to práce </w:t>
      </w:r>
      <w:r>
        <w:rPr>
          <w:sz w:val="18"/>
          <w:szCs w:val="18"/>
        </w:rPr>
        <w:t>kladná, tvořivá. Taková kolektivní jednotka se nedá slepit bez individuál</w:t>
      </w:r>
      <w:r>
        <w:rPr>
          <w:sz w:val="18"/>
          <w:szCs w:val="18"/>
        </w:rPr>
        <w:softHyphen/>
        <w:t>ní práce. Otázka boje je otázka nervů, řekl mi jeden voják. K tomu, aby měli lidé dobré nervy, je třeba charakterově je vychovat. Obracíme lidi na ruby. Do</w:t>
      </w:r>
      <w:r>
        <w:rPr>
          <w:sz w:val="18"/>
          <w:szCs w:val="18"/>
        </w:rPr>
        <w:softHyphen/>
        <w:t>vedeme to. Voják bude lepš</w:t>
      </w:r>
      <w:r>
        <w:rPr>
          <w:sz w:val="18"/>
          <w:szCs w:val="18"/>
        </w:rPr>
        <w:t>í pracovník, než kdokoli jiný. Má více smyslu pro povinnost a je mu samozřejmé, že se snaží vykonat svůj úkol co nejlépe. Chce přenést svůj organisační smysl a schopnost a zkušenosti do praktic</w:t>
      </w:r>
      <w:r>
        <w:rPr>
          <w:sz w:val="18"/>
          <w:szCs w:val="18"/>
        </w:rPr>
        <w:softHyphen/>
        <w:t>kého života. Bude budovat na zahradě a poli právě tak, jako bu</w:t>
      </w:r>
      <w:r>
        <w:rPr>
          <w:sz w:val="18"/>
          <w:szCs w:val="18"/>
        </w:rPr>
        <w:t>doval v kasárnách. Ba lépe. Kurs mu sice dával vědomosti převážně teoretické, ale za to nejlepší a nej</w:t>
      </w:r>
      <w:r>
        <w:rPr>
          <w:sz w:val="18"/>
          <w:szCs w:val="18"/>
        </w:rPr>
        <w:softHyphen/>
        <w:t>modernější. U nás se všelikdes pracuje podle starých tra</w:t>
      </w:r>
      <w:r>
        <w:rPr>
          <w:sz w:val="18"/>
          <w:szCs w:val="18"/>
        </w:rPr>
        <w:softHyphen/>
        <w:t>dic a tradice je íkrásná věc, ale někdy je to potvora, kte</w:t>
      </w:r>
      <w:r>
        <w:rPr>
          <w:sz w:val="18"/>
          <w:szCs w:val="18"/>
        </w:rPr>
        <w:softHyphen/>
        <w:t xml:space="preserve">rá věší železnou kouli na paty«. Náš </w:t>
      </w:r>
      <w:r>
        <w:rPr>
          <w:sz w:val="18"/>
          <w:szCs w:val="18"/>
        </w:rPr>
        <w:t>bývalý voják by byl na české půdě vychovatel celé vesnice.</w:t>
      </w:r>
    </w:p>
    <w:p w:rsidR="00500724" w:rsidRDefault="00F30FB8">
      <w:pPr>
        <w:pStyle w:val="Zkladntext1"/>
        <w:shd w:val="clear" w:color="auto" w:fill="auto"/>
        <w:spacing w:after="60" w:line="223" w:lineRule="auto"/>
        <w:ind w:firstLine="0"/>
        <w:jc w:val="center"/>
        <w:rPr>
          <w:sz w:val="18"/>
          <w:szCs w:val="18"/>
        </w:rPr>
      </w:pPr>
      <w:r>
        <w:rPr>
          <w:sz w:val="18"/>
          <w:szCs w:val="18"/>
        </w:rPr>
        <w:t>Čemu se naučili?</w:t>
      </w:r>
    </w:p>
    <w:p w:rsidR="00500724" w:rsidRDefault="00F30FB8">
      <w:pPr>
        <w:pStyle w:val="Zkladntext1"/>
        <w:shd w:val="clear" w:color="auto" w:fill="auto"/>
        <w:spacing w:line="223" w:lineRule="auto"/>
        <w:ind w:firstLine="240"/>
        <w:rPr>
          <w:sz w:val="18"/>
          <w:szCs w:val="18"/>
        </w:rPr>
      </w:pPr>
      <w:r>
        <w:rPr>
          <w:sz w:val="18"/>
          <w:szCs w:val="18"/>
        </w:rPr>
        <w:t>Celé spoustě. Jen namátkou vypočítávám přednášky, kterými prošli za chápavého a nadšeného vedení našich nejlepších odborníků: Péče o zdraví zvířat. Zemědělská ekonomika. (To je cel</w:t>
      </w:r>
      <w:r>
        <w:rPr>
          <w:sz w:val="18"/>
          <w:szCs w:val="18"/>
        </w:rPr>
        <w:t>á nauka o rozdělení zemědělského kapitálu, o výnosu, úroku, úmoru, daních, pojištění atd.) O mlékařství. O zdravovědě rostlin. Zelinářství a ovoc- nictví. Pícninářství. Okopaniny. Pěstování obilnin, lusko- vin a olejnin. Hnojení a hnojivá. Půda a její zpra</w:t>
      </w:r>
      <w:r>
        <w:rPr>
          <w:sz w:val="18"/>
          <w:szCs w:val="18"/>
        </w:rPr>
        <w:t>cování. Plemenitba a chov skotu a vepřů. Chov drobného zvíře</w:t>
      </w:r>
      <w:r>
        <w:rPr>
          <w:sz w:val="18"/>
          <w:szCs w:val="18"/>
        </w:rPr>
        <w:softHyphen/>
        <w:t>ctva. Organisace zemědělského závodu. Každá z těchto jednotlivých věcí je věda pro sebe. Věda, která v mo</w:t>
      </w:r>
      <w:r>
        <w:rPr>
          <w:sz w:val="18"/>
          <w:szCs w:val="18"/>
        </w:rPr>
        <w:softHyphen/>
        <w:t xml:space="preserve">derní době pokročila víc než laik tuší. Znalost této vědy je národní jmění, protože chov </w:t>
      </w:r>
      <w:r>
        <w:rPr>
          <w:sz w:val="18"/>
          <w:szCs w:val="18"/>
        </w:rPr>
        <w:t>prasat na příklad je věc vysoce vlastenecká a správný výtěžek půdy rovněž. Pravda, vojáci, kteří prodělali kursy teoreticky - a prak</w:t>
      </w:r>
      <w:r>
        <w:rPr>
          <w:sz w:val="18"/>
          <w:szCs w:val="18"/>
        </w:rPr>
        <w:softHyphen/>
        <w:t>ticky jen názorově - potřebují zkušenost. Jde o to jim tuto zkušenost dát.</w:t>
      </w:r>
    </w:p>
    <w:p w:rsidR="00500724" w:rsidRDefault="00F30FB8">
      <w:pPr>
        <w:pStyle w:val="Zkladntext1"/>
        <w:shd w:val="clear" w:color="auto" w:fill="auto"/>
        <w:spacing w:line="223" w:lineRule="auto"/>
        <w:ind w:firstLine="200"/>
        <w:rPr>
          <w:sz w:val="18"/>
          <w:szCs w:val="18"/>
        </w:rPr>
      </w:pPr>
      <w:r>
        <w:rPr>
          <w:sz w:val="18"/>
          <w:szCs w:val="18"/>
        </w:rPr>
        <w:t>Někteří z nich, kteří mají nějaký přístup k půdě</w:t>
      </w:r>
      <w:r>
        <w:rPr>
          <w:sz w:val="18"/>
          <w:szCs w:val="18"/>
        </w:rPr>
        <w:t xml:space="preserve"> — bud trošku jmění, které by stačilo na zakoupení kousku půdy, ale to je velmi řídký případ — nebo příbuzné, kteří vlastní půdu - budou svých nově nabytých zkušeností moci upotřebit rychle. Shodí vojenský kabát a popadnou správu nějakého statku, statečku,</w:t>
      </w:r>
      <w:r>
        <w:rPr>
          <w:sz w:val="18"/>
          <w:szCs w:val="18"/>
        </w:rPr>
        <w:t xml:space="preserve"> sadu, zelinářské zahra</w:t>
      </w:r>
      <w:r>
        <w:rPr>
          <w:sz w:val="18"/>
          <w:szCs w:val="18"/>
        </w:rPr>
        <w:softHyphen/>
        <w:t>dy a nepochybuji, že se za rok uplatní jako všichni hou</w:t>
      </w:r>
      <w:r>
        <w:rPr>
          <w:sz w:val="18"/>
          <w:szCs w:val="18"/>
        </w:rPr>
        <w:softHyphen/>
        <w:t>ževnatí lidé. Ale jsou tady také muži, kteří nemají nej</w:t>
      </w:r>
      <w:r>
        <w:rPr>
          <w:sz w:val="18"/>
          <w:szCs w:val="18"/>
        </w:rPr>
        <w:softHyphen/>
        <w:t>menší vyhlídku na získání půdy ani na zařazení někde v zemědělství.</w:t>
      </w:r>
    </w:p>
    <w:p w:rsidR="00500724" w:rsidRDefault="00F30FB8">
      <w:pPr>
        <w:pStyle w:val="Zkladntext1"/>
        <w:shd w:val="clear" w:color="auto" w:fill="auto"/>
        <w:spacing w:line="223" w:lineRule="auto"/>
        <w:ind w:firstLine="200"/>
        <w:rPr>
          <w:sz w:val="18"/>
          <w:szCs w:val="18"/>
        </w:rPr>
      </w:pPr>
      <w:r>
        <w:rPr>
          <w:sz w:val="18"/>
          <w:szCs w:val="18"/>
        </w:rPr>
        <w:t xml:space="preserve">A tady je ovšem otázka - odpusťte mi, chlapci, že o </w:t>
      </w:r>
      <w:r>
        <w:rPr>
          <w:sz w:val="18"/>
          <w:szCs w:val="18"/>
        </w:rPr>
        <w:t>tom hovořím — jak se národ zachová ke své armádě. Bude-li žádat od svých bývalých důstojníků, aby stáli se zdravýma nohama na rozích a žebrali nebo dá-li jim práci. Mluví se u nás o vlastenectví hodně. O vznešená slova nouze není a jistě ani o dobré pocity</w:t>
      </w:r>
      <w:r>
        <w:rPr>
          <w:sz w:val="18"/>
          <w:szCs w:val="18"/>
        </w:rPr>
        <w:t>. Ale dnes je chvíle, kdy je třeba něco žádat od lidí. Věčnou hanbou tohoto národa zůstane, že nedovedli jeho průmyslníci, statkáři, výrobci a lidé bohatí zaopatřit svému lidu práci v dnešních dnech. Každý, kdo zaměstnává pět lidí, měl by cítit povinnost z</w:t>
      </w:r>
      <w:r>
        <w:rPr>
          <w:sz w:val="18"/>
          <w:szCs w:val="18"/>
        </w:rPr>
        <w:t xml:space="preserve">aměstnat jich šest i tehdy, vede-li sa mu zle. Vlaky, které odvážejí naše lidi na práci </w:t>
      </w:r>
      <w:r>
        <w:rPr>
          <w:b/>
          <w:bCs/>
        </w:rPr>
        <w:t xml:space="preserve">dc </w:t>
      </w:r>
      <w:r>
        <w:rPr>
          <w:sz w:val="18"/>
          <w:szCs w:val="18"/>
        </w:rPr>
        <w:t>za</w:t>
      </w:r>
      <w:r>
        <w:rPr>
          <w:sz w:val="18"/>
          <w:szCs w:val="18"/>
        </w:rPr>
        <w:softHyphen/>
        <w:t>hraničí, jsou nejtěžší naší obžalobou. Pro českého úřed</w:t>
      </w:r>
      <w:r>
        <w:rPr>
          <w:sz w:val="18"/>
          <w:szCs w:val="18"/>
        </w:rPr>
        <w:softHyphen/>
        <w:t>níka, dělníka a zemědělce měla a musila se najít práce doma. Proč není ještě komise, která by chodila od z</w:t>
      </w:r>
      <w:r>
        <w:rPr>
          <w:sz w:val="18"/>
          <w:szCs w:val="18"/>
        </w:rPr>
        <w:t xml:space="preserve">ávodu k závodu - jak zemědělského, íak průmyslového — a zjišťovala, kolik který závod unese dalších lidí? Řízené hospodářství, které vládne všude kolem nás, dává nám před oči svá světla a dává vynikat našim stínům. Řízené hospodářství je totiž - mimo jiné </w:t>
      </w:r>
      <w:r>
        <w:rPr>
          <w:sz w:val="18"/>
          <w:szCs w:val="18"/>
        </w:rPr>
        <w:t>- takové, které dovede podnikateli nařídit, aby se staral o tolik lidí, kolik unese jeho podnik i na to nebezpečí, že by tuto starost zaplatil ztrátou osobního pohodlí.</w:t>
      </w:r>
    </w:p>
    <w:p w:rsidR="00500724" w:rsidRDefault="00F30FB8">
      <w:pPr>
        <w:pStyle w:val="Zkladntext1"/>
        <w:shd w:val="clear" w:color="auto" w:fill="auto"/>
        <w:spacing w:line="223" w:lineRule="auto"/>
        <w:ind w:firstLine="200"/>
        <w:rPr>
          <w:sz w:val="18"/>
          <w:szCs w:val="18"/>
        </w:rPr>
      </w:pPr>
      <w:r>
        <w:rPr>
          <w:sz w:val="18"/>
          <w:szCs w:val="18"/>
        </w:rPr>
        <w:t>A teď jsme v situaci, kdy se máme postarat o dvacet tisíc bývalých aktivních důstojníků</w:t>
      </w:r>
      <w:r>
        <w:rPr>
          <w:sz w:val="18"/>
          <w:szCs w:val="18"/>
        </w:rPr>
        <w:t>. Stát se rozhodl o určitých opaiřeních. Ostatní je zase ponecháno osobní iniciativě, jednotlivcově zdatnosti a náhodnému štěstí. Kvalita těchto lidí je národní jmění. Ale nikdo n e n a ř i- zuje, aby se tohoto národního jmění využilo.</w:t>
      </w:r>
    </w:p>
    <w:p w:rsidR="00500724" w:rsidRDefault="00F30FB8">
      <w:pPr>
        <w:pStyle w:val="Zkladntext1"/>
        <w:shd w:val="clear" w:color="auto" w:fill="auto"/>
        <w:spacing w:line="223" w:lineRule="auto"/>
        <w:ind w:firstLine="200"/>
        <w:rPr>
          <w:sz w:val="18"/>
          <w:szCs w:val="18"/>
        </w:rPr>
      </w:pPr>
      <w:r>
        <w:rPr>
          <w:sz w:val="18"/>
          <w:szCs w:val="18"/>
        </w:rPr>
        <w:t xml:space="preserve">Nepochybujte o tom, </w:t>
      </w:r>
      <w:r>
        <w:rPr>
          <w:sz w:val="18"/>
          <w:szCs w:val="18"/>
        </w:rPr>
        <w:t xml:space="preserve">že naší vojáci zvládnou tak či onak svůj úděl výtečně. Bylo by jen třeba, aby si na ně národ vzpomněl a aby dohonil, co zameškal: </w:t>
      </w:r>
      <w:r>
        <w:rPr>
          <w:sz w:val="18"/>
          <w:szCs w:val="18"/>
          <w:lang w:val="en-US" w:eastAsia="en-US" w:bidi="en-US"/>
        </w:rPr>
        <w:t xml:space="preserve">airy </w:t>
      </w:r>
      <w:r>
        <w:rPr>
          <w:sz w:val="18"/>
          <w:szCs w:val="18"/>
        </w:rPr>
        <w:t>si ale</w:t>
      </w:r>
      <w:r>
        <w:rPr>
          <w:sz w:val="18"/>
          <w:szCs w:val="18"/>
        </w:rPr>
        <w:softHyphen/>
        <w:t>spoň dnes vážil své armády, i když je to už pouze armáda míru. Je-li naše další cesia mírová, bude tato armáda do</w:t>
      </w:r>
      <w:r>
        <w:rPr>
          <w:sz w:val="18"/>
          <w:szCs w:val="18"/>
        </w:rPr>
        <w:softHyphen/>
      </w:r>
      <w:r>
        <w:rPr>
          <w:sz w:val="18"/>
          <w:szCs w:val="18"/>
        </w:rPr>
        <w:t>konale na svém místě.</w:t>
      </w:r>
    </w:p>
    <w:p w:rsidR="00500724" w:rsidRDefault="00F30FB8">
      <w:pPr>
        <w:pStyle w:val="Zkladntext1"/>
        <w:shd w:val="clear" w:color="auto" w:fill="auto"/>
        <w:spacing w:after="180" w:line="223" w:lineRule="auto"/>
        <w:ind w:firstLine="200"/>
        <w:rPr>
          <w:sz w:val="18"/>
          <w:szCs w:val="18"/>
        </w:rPr>
      </w:pPr>
      <w:r>
        <w:rPr>
          <w:sz w:val="18"/>
          <w:szCs w:val="18"/>
        </w:rPr>
        <w:t>A vy, hoši bez uniforem, neříkám vám sbohem I Jste tu s námi a budete pracovat s námi na práci, kterou je třeba vykonat. Nebude vám méně slušet modrá halena na polích, než vám slušela uniforma. Nedovedu si před</w:t>
      </w:r>
      <w:r>
        <w:rPr>
          <w:sz w:val="18"/>
          <w:szCs w:val="18"/>
        </w:rPr>
        <w:softHyphen/>
        <w:t>stavit, že by se pro vá</w:t>
      </w:r>
      <w:r>
        <w:rPr>
          <w:sz w:val="18"/>
          <w:szCs w:val="18"/>
        </w:rPr>
        <w:t>s nenašla krásná a čestná práce mezi námi. Víc než dříve vás bude národ potřebovat.</w:t>
      </w:r>
    </w:p>
    <w:p w:rsidR="00500724" w:rsidRDefault="00F30FB8">
      <w:pPr>
        <w:pStyle w:val="Nadpis80"/>
        <w:keepNext/>
        <w:keepLines/>
        <w:pBdr>
          <w:bottom w:val="single" w:sz="4" w:space="0" w:color="auto"/>
        </w:pBdr>
        <w:shd w:val="clear" w:color="auto" w:fill="auto"/>
        <w:spacing w:after="300"/>
        <w:rPr>
          <w:sz w:val="44"/>
          <w:szCs w:val="44"/>
        </w:rPr>
      </w:pPr>
      <w:bookmarkStart w:id="630" w:name="bookmark629"/>
      <w:r>
        <w:rPr>
          <w:sz w:val="44"/>
          <w:szCs w:val="44"/>
          <w:u w:val="none"/>
        </w:rPr>
        <w:t>dopisy</w:t>
      </w:r>
      <w:bookmarkEnd w:id="630"/>
    </w:p>
    <w:p w:rsidR="00500724" w:rsidRDefault="00F30FB8">
      <w:pPr>
        <w:pStyle w:val="Zkladntext1"/>
        <w:shd w:val="clear" w:color="auto" w:fill="auto"/>
        <w:spacing w:after="80" w:line="178" w:lineRule="auto"/>
        <w:ind w:right="160" w:firstLine="0"/>
        <w:jc w:val="center"/>
        <w:rPr>
          <w:sz w:val="18"/>
          <w:szCs w:val="18"/>
        </w:rPr>
      </w:pPr>
      <w:r>
        <w:rPr>
          <w:sz w:val="18"/>
          <w:szCs w:val="18"/>
        </w:rPr>
        <w:t>Zdražit nebo nezdražit noviny!</w:t>
      </w:r>
    </w:p>
    <w:p w:rsidR="00500724" w:rsidRDefault="00F30FB8">
      <w:pPr>
        <w:pStyle w:val="Zkladntext1"/>
        <w:shd w:val="clear" w:color="auto" w:fill="auto"/>
        <w:spacing w:after="80" w:line="178" w:lineRule="auto"/>
        <w:ind w:left="1000" w:firstLine="0"/>
        <w:jc w:val="left"/>
        <w:rPr>
          <w:sz w:val="18"/>
          <w:szCs w:val="18"/>
        </w:rPr>
      </w:pPr>
      <w:r>
        <w:rPr>
          <w:sz w:val="18"/>
          <w:szCs w:val="18"/>
        </w:rPr>
        <w:t>Vážená redakce!</w:t>
      </w:r>
    </w:p>
    <w:p w:rsidR="00500724" w:rsidRDefault="00F30FB8">
      <w:pPr>
        <w:pStyle w:val="Zkladntext1"/>
        <w:shd w:val="clear" w:color="auto" w:fill="auto"/>
        <w:spacing w:line="190" w:lineRule="auto"/>
        <w:ind w:firstLine="260"/>
        <w:rPr>
          <w:sz w:val="18"/>
          <w:szCs w:val="18"/>
        </w:rPr>
      </w:pPr>
      <w:r>
        <w:rPr>
          <w:sz w:val="18"/>
          <w:szCs w:val="18"/>
        </w:rPr>
        <w:t>V »Přítomnosti« byly uveřejněny dva dopisy o zdražení novin a oba vyznívají v tom smyslu, že se zdraženi nedoporu</w:t>
      </w:r>
      <w:r>
        <w:rPr>
          <w:sz w:val="18"/>
          <w:szCs w:val="18"/>
        </w:rPr>
        <w:softHyphen/>
      </w:r>
      <w:r>
        <w:rPr>
          <w:sz w:val="18"/>
          <w:szCs w:val="18"/>
        </w:rPr>
        <w:t>čuje.</w:t>
      </w:r>
    </w:p>
    <w:p w:rsidR="00500724" w:rsidRDefault="00F30FB8">
      <w:pPr>
        <w:pStyle w:val="Zkladntext1"/>
        <w:shd w:val="clear" w:color="auto" w:fill="auto"/>
        <w:spacing w:line="178" w:lineRule="auto"/>
        <w:ind w:firstLine="200"/>
        <w:rPr>
          <w:sz w:val="18"/>
          <w:szCs w:val="18"/>
        </w:rPr>
      </w:pPr>
      <w:r>
        <w:rPr>
          <w:sz w:val="18"/>
          <w:szCs w:val="18"/>
        </w:rPr>
        <w:t>Jako důvod uvádí se hlavně lidovýchovné a kulturní posláni novin a cenová přístupnost všem vrstvám českého obyvatel</w:t>
      </w:r>
      <w:r>
        <w:rPr>
          <w:sz w:val="18"/>
          <w:szCs w:val="18"/>
        </w:rPr>
        <w:softHyphen/>
        <w:t>stva. Pisatelé se domnívají, že zdražením novin by toto poslání bylo omezeno, protože mnohý člověk by si pak noviny koupit nemohl. — P</w:t>
      </w:r>
      <w:r>
        <w:rPr>
          <w:sz w:val="18"/>
          <w:szCs w:val="18"/>
        </w:rPr>
        <w:t>ředně je otázka, zda-li k a ž d é_ noviny mají lido- vě-výchovnou a kulturní tendenci (o některých by se dal spise říci opak) a za druhé nejde o zdražení za účelem ziskovým, nýbrž o pořádek a řádnou kalkulační základnu novin, směřující k záchraně nových po</w:t>
      </w:r>
      <w:r>
        <w:rPr>
          <w:sz w:val="18"/>
          <w:szCs w:val="18"/>
        </w:rPr>
        <w:t>dniků a tím i existenci zaměstnanců. _</w:t>
      </w:r>
    </w:p>
    <w:p w:rsidR="00500724" w:rsidRDefault="00F30FB8">
      <w:pPr>
        <w:pStyle w:val="Zkladntext1"/>
        <w:shd w:val="clear" w:color="auto" w:fill="auto"/>
        <w:spacing w:line="178" w:lineRule="auto"/>
        <w:ind w:firstLine="200"/>
        <w:rPr>
          <w:sz w:val="18"/>
          <w:szCs w:val="18"/>
        </w:rPr>
      </w:pPr>
      <w:r>
        <w:rPr>
          <w:sz w:val="18"/>
          <w:szCs w:val="18"/>
        </w:rPr>
        <w:t>Není sporu o tom, že v prvni republice byla přemíra listu, které byly vydávány mnohdy jen z propagačních důvodů pro účely stranicky-politické. Některá vydavatelstva pohlížela na noviny jako na propagační letáky k ovli</w:t>
      </w:r>
      <w:r>
        <w:rPr>
          <w:sz w:val="18"/>
          <w:szCs w:val="18"/>
        </w:rPr>
        <w:t>vňování straníků i oby</w:t>
      </w:r>
      <w:r>
        <w:rPr>
          <w:sz w:val="18"/>
          <w:szCs w:val="18"/>
        </w:rPr>
        <w:softHyphen/>
        <w:t>vatelstva. Při tom tržba za noviny nehrála žádnou roli.. Poule toho pak byly stanoveny co nejnižší prodejní ceny novin i před</w:t>
      </w:r>
      <w:r>
        <w:rPr>
          <w:sz w:val="18"/>
          <w:szCs w:val="18"/>
        </w:rPr>
        <w:softHyphen/>
        <w:t>platného, které namnoze neuhrazovaly ani základní režii vý</w:t>
      </w:r>
      <w:r>
        <w:rPr>
          <w:sz w:val="18"/>
          <w:szCs w:val="18"/>
        </w:rPr>
        <w:softHyphen/>
        <w:t>roby, nehledě k výdajům na redakci a administrac</w:t>
      </w:r>
      <w:r>
        <w:rPr>
          <w:sz w:val="18"/>
          <w:szCs w:val="18"/>
        </w:rPr>
        <w:t>i.</w:t>
      </w:r>
    </w:p>
    <w:p w:rsidR="00500724" w:rsidRDefault="00F30FB8">
      <w:pPr>
        <w:pStyle w:val="Zkladntext1"/>
        <w:shd w:val="clear" w:color="auto" w:fill="auto"/>
        <w:spacing w:line="178" w:lineRule="auto"/>
        <w:ind w:firstLine="200"/>
        <w:rPr>
          <w:sz w:val="18"/>
          <w:szCs w:val="18"/>
        </w:rPr>
        <w:sectPr w:rsidR="00500724">
          <w:footnotePr>
            <w:numFmt w:val="chicago"/>
            <w:numRestart w:val="eachPage"/>
          </w:footnotePr>
          <w:pgSz w:w="11909" w:h="16834"/>
          <w:pgMar w:top="1683" w:right="1054" w:bottom="661" w:left="473" w:header="0" w:footer="3" w:gutter="0"/>
          <w:cols w:num="2" w:space="178"/>
          <w:noEndnote/>
          <w:docGrid w:linePitch="360"/>
        </w:sectPr>
      </w:pPr>
      <w:r>
        <w:rPr>
          <w:sz w:val="18"/>
          <w:szCs w:val="18"/>
        </w:rPr>
        <w:t>Změnou státně-politických poměrů odpadly nplne tyto dů</w:t>
      </w:r>
      <w:r>
        <w:rPr>
          <w:sz w:val="18"/>
          <w:szCs w:val="18"/>
        </w:rPr>
        <w:softHyphen/>
        <w:t>vody propagačního rázu a nastalými úbytky přijmu byla vy</w:t>
      </w:r>
      <w:r>
        <w:rPr>
          <w:sz w:val="18"/>
          <w:szCs w:val="18"/>
        </w:rPr>
        <w:softHyphen/>
        <w:t>davatelstva přinucena přezkoumati kalkulaci výroby novin a prodejních cen, zejména, když odpadly výtěžky z jiných</w:t>
      </w:r>
      <w:r>
        <w:rPr>
          <w:sz w:val="18"/>
          <w:szCs w:val="18"/>
        </w:rPr>
        <w:t xml:space="preserve"> pod</w:t>
      </w:r>
      <w:r>
        <w:rPr>
          <w:sz w:val="18"/>
          <w:szCs w:val="18"/>
        </w:rPr>
        <w:softHyphen/>
        <w:t>niků, o které se mnohá vydavatelstva opírala. Hlavně prodejní</w:t>
      </w:r>
    </w:p>
    <w:p w:rsidR="00500724" w:rsidRDefault="00F30FB8">
      <w:pPr>
        <w:pStyle w:val="Zkladntext1"/>
        <w:shd w:val="clear" w:color="auto" w:fill="auto"/>
        <w:spacing w:line="178" w:lineRule="auto"/>
        <w:ind w:firstLine="0"/>
        <w:rPr>
          <w:sz w:val="18"/>
          <w:szCs w:val="18"/>
        </w:rPr>
      </w:pPr>
      <w:r>
        <w:rPr>
          <w:sz w:val="18"/>
          <w:szCs w:val="18"/>
        </w:rPr>
        <w:t>ceny tak zvaných poledníků a večerníků byly naprosto ztráto</w:t>
      </w:r>
      <w:r>
        <w:rPr>
          <w:sz w:val="18"/>
          <w:szCs w:val="18"/>
        </w:rPr>
        <w:softHyphen/>
        <w:t>vé, neboť jen u šestistránkového poledníku při nákladu 50 až 60.000 a při ceně 20 hal. za číslo doplácí se při jediném čísle skor</w:t>
      </w:r>
      <w:r>
        <w:rPr>
          <w:sz w:val="18"/>
          <w:szCs w:val="18"/>
        </w:rPr>
        <w:t>o 4000 K. Při tom se počítá, že obsahuje nejméně za 3000 K inserce a to bývá málokdy. Při ceně 30 hal, činí ztráta asi 1000 K a teprve při ceně 40 hal. uhradí se všecky náklady vý</w:t>
      </w:r>
      <w:r>
        <w:rPr>
          <w:sz w:val="18"/>
          <w:szCs w:val="18"/>
        </w:rPr>
        <w:softHyphen/>
        <w:t>robní a redakční.</w:t>
      </w:r>
    </w:p>
    <w:p w:rsidR="00500724" w:rsidRDefault="00F30FB8">
      <w:pPr>
        <w:pStyle w:val="Zkladntext1"/>
        <w:shd w:val="clear" w:color="auto" w:fill="auto"/>
        <w:spacing w:line="178" w:lineRule="auto"/>
        <w:ind w:firstLine="280"/>
        <w:rPr>
          <w:sz w:val="18"/>
          <w:szCs w:val="18"/>
        </w:rPr>
      </w:pPr>
      <w:r>
        <w:rPr>
          <w:sz w:val="18"/>
          <w:szCs w:val="18"/>
        </w:rPr>
        <w:t>Námitka, že po zdražení novin budou se kupovat méně, je ji</w:t>
      </w:r>
      <w:r>
        <w:rPr>
          <w:sz w:val="18"/>
          <w:szCs w:val="18"/>
        </w:rPr>
        <w:t>stě na místě. Naproti tomu nelze však na žádném podnikateli žádati tolik filantropie, aby vyráběl a prodával své výrobky se ztrátou. To se týká i novin. Stouply ceny papíru, barvy i ostat</w:t>
      </w:r>
      <w:r>
        <w:rPr>
          <w:sz w:val="18"/>
          <w:szCs w:val="18"/>
        </w:rPr>
        <w:softHyphen/>
        <w:t>ní obecná režie a je tudíž samozřejmé, že toto zdražení se musí proj</w:t>
      </w:r>
      <w:r>
        <w:rPr>
          <w:sz w:val="18"/>
          <w:szCs w:val="18"/>
        </w:rPr>
        <w:t>evit ve vyšší ceně výrobku.</w:t>
      </w:r>
    </w:p>
    <w:p w:rsidR="00500724" w:rsidRDefault="00F30FB8">
      <w:pPr>
        <w:pStyle w:val="Zkladntext1"/>
        <w:shd w:val="clear" w:color="auto" w:fill="auto"/>
        <w:spacing w:line="175" w:lineRule="auto"/>
        <w:jc w:val="left"/>
        <w:rPr>
          <w:sz w:val="18"/>
          <w:szCs w:val="18"/>
        </w:rPr>
      </w:pPr>
      <w:r>
        <w:rPr>
          <w:sz w:val="18"/>
          <w:szCs w:val="18"/>
        </w:rPr>
        <w:t>V jednom článku pisatel nabádá k úsilí o větší odbyt novin. To jistě nemíní za dnešních poměrů vážně, nehledě k tomu, že i zvýšený náklad a prodej novin při ztrátových cenách u pro počítajícího podnikatele nežádoucí.</w:t>
      </w:r>
    </w:p>
    <w:p w:rsidR="00500724" w:rsidRDefault="00F30FB8">
      <w:pPr>
        <w:pStyle w:val="Zkladntext1"/>
        <w:shd w:val="clear" w:color="auto" w:fill="auto"/>
        <w:spacing w:line="175" w:lineRule="auto"/>
        <w:rPr>
          <w:sz w:val="18"/>
          <w:szCs w:val="18"/>
        </w:rPr>
      </w:pPr>
      <w:r>
        <w:rPr>
          <w:sz w:val="18"/>
          <w:szCs w:val="18"/>
        </w:rPr>
        <w:t>Ztráty inse</w:t>
      </w:r>
      <w:r>
        <w:rPr>
          <w:sz w:val="18"/>
          <w:szCs w:val="18"/>
        </w:rPr>
        <w:t>rtní nelze dnes nahradit prostě proto, že mnohý podnikatel, který dříve potřeboval insertní reklamu, dnes ji nepotřebuje. Prodává své zboží i bez ní velmi dobře.</w:t>
      </w:r>
    </w:p>
    <w:p w:rsidR="00500724" w:rsidRDefault="00F30FB8">
      <w:pPr>
        <w:pStyle w:val="Zkladntext1"/>
        <w:shd w:val="clear" w:color="auto" w:fill="auto"/>
        <w:tabs>
          <w:tab w:val="left" w:pos="4478"/>
        </w:tabs>
        <w:spacing w:after="220" w:line="178" w:lineRule="auto"/>
        <w:ind w:firstLine="280"/>
        <w:rPr>
          <w:sz w:val="18"/>
          <w:szCs w:val="18"/>
        </w:rPr>
      </w:pPr>
      <w:r>
        <w:rPr>
          <w:sz w:val="18"/>
          <w:szCs w:val="18"/>
        </w:rPr>
        <w:t>Mají-li se udržeti novinářské podniky, je zvýšení prodejních cen novin a předplatného nezbytné</w:t>
      </w:r>
      <w:r>
        <w:rPr>
          <w:sz w:val="18"/>
          <w:szCs w:val="18"/>
        </w:rPr>
        <w:t>. Stejně tak je nutný pořá</w:t>
      </w:r>
      <w:r>
        <w:rPr>
          <w:sz w:val="18"/>
          <w:szCs w:val="18"/>
        </w:rPr>
        <w:softHyphen/>
        <w:t>dek v tom směru, aby večerníky nevycházely už ráno a raníky večer. Nastane-li jakýsi úbytek prodeje, věříme, že bude jen dočasný, a konečně lze hledat ještě cesty, jak pomoci novinám zvýšením odbytu k odstranění různých zlořádů a</w:t>
      </w:r>
      <w:r>
        <w:rPr>
          <w:sz w:val="18"/>
          <w:szCs w:val="18"/>
        </w:rPr>
        <w:t xml:space="preserve"> podvůdků na účet novin samotných, které jsou možné jen u nás a nikde jinde na světě.</w:t>
      </w:r>
      <w:r>
        <w:rPr>
          <w:sz w:val="18"/>
          <w:szCs w:val="18"/>
        </w:rPr>
        <w:tab/>
        <w:t>M. Mz</w:t>
      </w:r>
    </w:p>
    <w:p w:rsidR="00500724" w:rsidRDefault="00F30FB8">
      <w:pPr>
        <w:pStyle w:val="Zkladntext1"/>
        <w:shd w:val="clear" w:color="auto" w:fill="auto"/>
        <w:spacing w:after="80" w:line="175" w:lineRule="auto"/>
        <w:ind w:firstLine="0"/>
        <w:jc w:val="center"/>
        <w:rPr>
          <w:sz w:val="18"/>
          <w:szCs w:val="18"/>
        </w:rPr>
      </w:pPr>
      <w:r>
        <w:rPr>
          <w:b/>
          <w:bCs/>
          <w:sz w:val="18"/>
          <w:szCs w:val="18"/>
        </w:rPr>
        <w:t>Co je svatováclavská tradice?</w:t>
      </w:r>
    </w:p>
    <w:p w:rsidR="00500724" w:rsidRDefault="00F30FB8">
      <w:pPr>
        <w:pStyle w:val="Zkladntext1"/>
        <w:shd w:val="clear" w:color="auto" w:fill="auto"/>
        <w:spacing w:after="60" w:line="175" w:lineRule="auto"/>
        <w:ind w:left="800" w:firstLine="0"/>
        <w:jc w:val="left"/>
        <w:rPr>
          <w:sz w:val="18"/>
          <w:szCs w:val="18"/>
        </w:rPr>
      </w:pPr>
      <w:r>
        <w:rPr>
          <w:sz w:val="18"/>
          <w:szCs w:val="18"/>
        </w:rPr>
        <w:t>Vážená redakce!</w:t>
      </w:r>
    </w:p>
    <w:p w:rsidR="00500724" w:rsidRDefault="00F30FB8">
      <w:pPr>
        <w:pStyle w:val="Zkladntext1"/>
        <w:shd w:val="clear" w:color="auto" w:fill="auto"/>
        <w:spacing w:line="178" w:lineRule="auto"/>
        <w:rPr>
          <w:sz w:val="18"/>
          <w:szCs w:val="18"/>
        </w:rPr>
      </w:pPr>
      <w:r>
        <w:rPr>
          <w:sz w:val="18"/>
          <w:szCs w:val="18"/>
        </w:rPr>
        <w:t>Doposud uveřejněné příspěvky o tomto tématě neodpově</w:t>
      </w:r>
      <w:r>
        <w:rPr>
          <w:sz w:val="18"/>
          <w:szCs w:val="18"/>
        </w:rPr>
        <w:softHyphen/>
        <w:t>děly přímo na danou otázku. Zabývaly se ponejvíce hodnoce</w:t>
      </w:r>
      <w:r>
        <w:rPr>
          <w:sz w:val="18"/>
          <w:szCs w:val="18"/>
        </w:rPr>
        <w:softHyphen/>
        <w:t xml:space="preserve">ním </w:t>
      </w:r>
      <w:r>
        <w:rPr>
          <w:sz w:val="18"/>
          <w:szCs w:val="18"/>
        </w:rPr>
        <w:t>osobnosti sv. Václava, kdežto samu tradici ponechávaly jaksi stranou. Pokusím se krátce a prostě na otázku odpově</w:t>
      </w:r>
      <w:r>
        <w:rPr>
          <w:sz w:val="18"/>
          <w:szCs w:val="18"/>
        </w:rPr>
        <w:softHyphen/>
        <w:t>děti.</w:t>
      </w:r>
    </w:p>
    <w:p w:rsidR="00500724" w:rsidRDefault="00F30FB8">
      <w:pPr>
        <w:pStyle w:val="Zkladntext1"/>
        <w:shd w:val="clear" w:color="auto" w:fill="auto"/>
        <w:spacing w:line="178" w:lineRule="auto"/>
        <w:rPr>
          <w:sz w:val="18"/>
          <w:szCs w:val="18"/>
        </w:rPr>
      </w:pPr>
      <w:r>
        <w:rPr>
          <w:sz w:val="18"/>
          <w:szCs w:val="18"/>
        </w:rPr>
        <w:t>Především co je tradice vůbec? Tradice je lidové ústní po</w:t>
      </w:r>
      <w:r>
        <w:rPr>
          <w:sz w:val="18"/>
          <w:szCs w:val="18"/>
        </w:rPr>
        <w:softHyphen/>
        <w:t>dání, zaznamenávající s pokolení na pokolení památku na ně</w:t>
      </w:r>
      <w:r>
        <w:rPr>
          <w:sz w:val="18"/>
          <w:szCs w:val="18"/>
        </w:rPr>
        <w:softHyphen/>
        <w:t>jakou osobnost a je</w:t>
      </w:r>
      <w:r>
        <w:rPr>
          <w:sz w:val="18"/>
          <w:szCs w:val="18"/>
        </w:rPr>
        <w:t>jí dílo, či na nějakou událost; tradice je také udržující se zvyk, zvyklost a udržování souvislosti s mi</w:t>
      </w:r>
      <w:r>
        <w:rPr>
          <w:sz w:val="18"/>
          <w:szCs w:val="18"/>
        </w:rPr>
        <w:softHyphen/>
        <w:t>nulostí (Váša—Trávníček, Slovník). Živá tradice musí žiti ve vědomí širokých vrstev a vykonávati určitý vliv na myšlení a konání.</w:t>
      </w:r>
    </w:p>
    <w:p w:rsidR="00500724" w:rsidRDefault="00F30FB8">
      <w:pPr>
        <w:pStyle w:val="Zkladntext1"/>
        <w:shd w:val="clear" w:color="auto" w:fill="auto"/>
        <w:spacing w:line="178" w:lineRule="auto"/>
        <w:rPr>
          <w:sz w:val="18"/>
          <w:szCs w:val="18"/>
        </w:rPr>
      </w:pPr>
      <w:r>
        <w:rPr>
          <w:sz w:val="18"/>
          <w:szCs w:val="18"/>
        </w:rPr>
        <w:t>Nuže, jak žilo v lidu</w:t>
      </w:r>
      <w:r>
        <w:rPr>
          <w:sz w:val="18"/>
          <w:szCs w:val="18"/>
        </w:rPr>
        <w:t xml:space="preserve"> podání o sv. Václavu a jeho díle? Zbož</w:t>
      </w:r>
      <w:r>
        <w:rPr>
          <w:sz w:val="18"/>
          <w:szCs w:val="18"/>
        </w:rPr>
        <w:softHyphen/>
        <w:t>ný český lid (hlavně v Čechách, kdežto na Moravě žije inten</w:t>
      </w:r>
      <w:r>
        <w:rPr>
          <w:sz w:val="18"/>
          <w:szCs w:val="18"/>
        </w:rPr>
        <w:softHyphen/>
        <w:t>sivněji památka na sv. Cyrila a Metoděje) viděl a doposud vidí ve sv. Václavu především českého světce a knížete českého státu. V dobách zlých, jakožto k če</w:t>
      </w:r>
      <w:r>
        <w:rPr>
          <w:sz w:val="18"/>
          <w:szCs w:val="18"/>
        </w:rPr>
        <w:t>skému světci, utíkal se k němu o pomoc v modlitbách za národ a vlast; věřil v jeho účinnou pomoc všemu českému, ať jazyku (Balbín) či státu a národu. (Nedaj zahynúti nám ni budúcim!)</w:t>
      </w:r>
    </w:p>
    <w:p w:rsidR="00500724" w:rsidRDefault="00F30FB8">
      <w:pPr>
        <w:pStyle w:val="Zkladntext1"/>
        <w:shd w:val="clear" w:color="auto" w:fill="auto"/>
        <w:spacing w:line="175" w:lineRule="auto"/>
        <w:rPr>
          <w:sz w:val="18"/>
          <w:szCs w:val="18"/>
        </w:rPr>
      </w:pPr>
      <w:r>
        <w:rPr>
          <w:sz w:val="18"/>
          <w:szCs w:val="18"/>
        </w:rPr>
        <w:t>V tradici — lidové paměti svatováclavské nebyla vůbec za</w:t>
      </w:r>
      <w:r>
        <w:rPr>
          <w:sz w:val="18"/>
          <w:szCs w:val="18"/>
        </w:rPr>
        <w:softHyphen/>
        <w:t xml:space="preserve">chována památka </w:t>
      </w:r>
      <w:r>
        <w:rPr>
          <w:sz w:val="18"/>
          <w:szCs w:val="18"/>
        </w:rPr>
        <w:t>na Václavovu příslušnost k slovanské církvi východního obřadu, násilně u nás cizozemci a latinskou církví potlačené. Zůstala pouze jasná památka na českého světce a knížete. Duch svatováclavské tradice má dvě strany, du</w:t>
      </w:r>
      <w:r>
        <w:rPr>
          <w:sz w:val="18"/>
          <w:szCs w:val="18"/>
        </w:rPr>
        <w:softHyphen/>
        <w:t>chovní (světec křesťanský) a politic</w:t>
      </w:r>
      <w:r>
        <w:rPr>
          <w:sz w:val="18"/>
          <w:szCs w:val="18"/>
        </w:rPr>
        <w:t>kou (kníže českého státu), čili jinak řečeno křesťanství národní a slovanské a svobodná vlast a stát, opírající se o ostatní Slovanstvo; jeť svatováclav</w:t>
      </w:r>
      <w:r>
        <w:rPr>
          <w:sz w:val="18"/>
          <w:szCs w:val="18"/>
        </w:rPr>
        <w:softHyphen/>
        <w:t>ské podání také tradicí českého státu, jak žije v duši českého člověka.</w:t>
      </w:r>
    </w:p>
    <w:p w:rsidR="00500724" w:rsidRDefault="00F30FB8">
      <w:pPr>
        <w:pStyle w:val="Zkladntext1"/>
        <w:shd w:val="clear" w:color="auto" w:fill="auto"/>
        <w:spacing w:line="175" w:lineRule="auto"/>
        <w:rPr>
          <w:sz w:val="18"/>
          <w:szCs w:val="18"/>
        </w:rPr>
      </w:pPr>
      <w:r>
        <w:rPr>
          <w:sz w:val="18"/>
          <w:szCs w:val="18"/>
        </w:rPr>
        <w:t>Nyní — chceme-li se říditi duch</w:t>
      </w:r>
      <w:r>
        <w:rPr>
          <w:sz w:val="18"/>
          <w:szCs w:val="18"/>
        </w:rPr>
        <w:t>em tradice sv. Václava — mů</w:t>
      </w:r>
      <w:r>
        <w:rPr>
          <w:sz w:val="18"/>
          <w:szCs w:val="18"/>
        </w:rPr>
        <w:softHyphen/>
        <w:t>žeme pěstovati první část této tradice: uspořádati svůj život a život vlasti a národa na zásadách čistého křesťanského ná</w:t>
      </w:r>
      <w:r>
        <w:rPr>
          <w:sz w:val="18"/>
          <w:szCs w:val="18"/>
        </w:rPr>
        <w:softHyphen/>
        <w:t>boženství (láska k Bohu a bližnímu), jež jistě dopřává kaž</w:t>
      </w:r>
      <w:r>
        <w:rPr>
          <w:sz w:val="18"/>
          <w:szCs w:val="18"/>
        </w:rPr>
        <w:softHyphen/>
        <w:t>dému národu, aby žil svým národním životem. Měl</w:t>
      </w:r>
      <w:r>
        <w:rPr>
          <w:sz w:val="18"/>
          <w:szCs w:val="18"/>
        </w:rPr>
        <w:t>i bychom oživiti tu slovanskou část svatováclavské tradice, jež byla ne</w:t>
      </w:r>
      <w:r>
        <w:rPr>
          <w:sz w:val="18"/>
          <w:szCs w:val="18"/>
        </w:rPr>
        <w:softHyphen/>
        <w:t>příznivým vývojem našich dějin ututlána zároveň s přikloně</w:t>
      </w:r>
      <w:r>
        <w:rPr>
          <w:sz w:val="18"/>
          <w:szCs w:val="18"/>
        </w:rPr>
        <w:softHyphen/>
        <w:t>ním k západní kultuře.</w:t>
      </w:r>
    </w:p>
    <w:p w:rsidR="00500724" w:rsidRDefault="00F30FB8">
      <w:pPr>
        <w:pStyle w:val="Zkladntext1"/>
        <w:shd w:val="clear" w:color="auto" w:fill="auto"/>
        <w:spacing w:line="175" w:lineRule="auto"/>
        <w:rPr>
          <w:sz w:val="18"/>
          <w:szCs w:val="18"/>
        </w:rPr>
      </w:pPr>
      <w:r>
        <w:rPr>
          <w:sz w:val="18"/>
          <w:szCs w:val="18"/>
        </w:rPr>
        <w:t>Duchovní část svatováclavské tradice klade nám na srdce: Hledejte nejprve království Božího a spravedl</w:t>
      </w:r>
      <w:r>
        <w:rPr>
          <w:sz w:val="18"/>
          <w:szCs w:val="18"/>
        </w:rPr>
        <w:t>nosti jeho! To pozemské — podle slov Kristových — nám bohdá bude při</w:t>
      </w:r>
      <w:r>
        <w:rPr>
          <w:sz w:val="18"/>
          <w:szCs w:val="18"/>
        </w:rPr>
        <w:softHyphen/>
        <w:t>dáno.</w:t>
      </w:r>
    </w:p>
    <w:p w:rsidR="00500724" w:rsidRDefault="00F30FB8">
      <w:pPr>
        <w:pStyle w:val="Zkladntext1"/>
        <w:shd w:val="clear" w:color="auto" w:fill="auto"/>
        <w:spacing w:line="175" w:lineRule="auto"/>
        <w:ind w:firstLine="0"/>
        <w:jc w:val="right"/>
        <w:rPr>
          <w:sz w:val="18"/>
          <w:szCs w:val="18"/>
        </w:rPr>
      </w:pPr>
      <w:r>
        <w:rPr>
          <w:sz w:val="18"/>
          <w:szCs w:val="18"/>
        </w:rPr>
        <w:t>A. J. Novák, pravoslavný duchovní</w:t>
      </w:r>
    </w:p>
    <w:p w:rsidR="00500724" w:rsidRDefault="00F30FB8">
      <w:pPr>
        <w:pStyle w:val="Zkladntext1"/>
        <w:shd w:val="clear" w:color="auto" w:fill="auto"/>
        <w:spacing w:after="120" w:line="178" w:lineRule="auto"/>
        <w:ind w:firstLine="0"/>
        <w:jc w:val="center"/>
        <w:rPr>
          <w:sz w:val="18"/>
          <w:szCs w:val="18"/>
        </w:rPr>
      </w:pPr>
      <w:r>
        <w:rPr>
          <w:b/>
          <w:bCs/>
          <w:sz w:val="18"/>
          <w:szCs w:val="18"/>
        </w:rPr>
        <w:t>Proč byl postaven Mariánský sloup?</w:t>
      </w:r>
    </w:p>
    <w:p w:rsidR="00500724" w:rsidRDefault="00F30FB8">
      <w:pPr>
        <w:pStyle w:val="Zkladntext1"/>
        <w:shd w:val="clear" w:color="auto" w:fill="auto"/>
        <w:spacing w:after="120" w:line="178" w:lineRule="auto"/>
        <w:ind w:left="1280" w:firstLine="0"/>
        <w:jc w:val="left"/>
        <w:rPr>
          <w:sz w:val="18"/>
          <w:szCs w:val="18"/>
        </w:rPr>
      </w:pPr>
      <w:r>
        <w:rPr>
          <w:sz w:val="18"/>
          <w:szCs w:val="18"/>
        </w:rPr>
        <w:t>Vážená redakce!</w:t>
      </w:r>
    </w:p>
    <w:p w:rsidR="00500724" w:rsidRDefault="00F30FB8">
      <w:pPr>
        <w:pStyle w:val="Zkladntext1"/>
        <w:shd w:val="clear" w:color="auto" w:fill="auto"/>
        <w:spacing w:after="40" w:line="178" w:lineRule="auto"/>
        <w:rPr>
          <w:sz w:val="18"/>
          <w:szCs w:val="18"/>
        </w:rPr>
      </w:pPr>
      <w:r>
        <w:rPr>
          <w:sz w:val="18"/>
          <w:szCs w:val="18"/>
        </w:rPr>
        <w:t xml:space="preserve">V 13. století propukl »vědecký« spor, kolik má kůň zubů* Jak to jíž bývá, rozestoupila se celá Evropa ve dva tábory, které se urputně potíraly. Jedni se dovolávali </w:t>
      </w:r>
      <w:r>
        <w:rPr>
          <w:sz w:val="18"/>
          <w:szCs w:val="18"/>
          <w:lang w:val="en-US" w:eastAsia="en-US" w:bidi="en-US"/>
        </w:rPr>
        <w:t xml:space="preserve">Galena, </w:t>
      </w:r>
      <w:r>
        <w:rPr>
          <w:sz w:val="18"/>
          <w:szCs w:val="18"/>
        </w:rPr>
        <w:t>druzí stáli při Aristotelovi — ani jednoho nenapadlo, aby se podíval koni na zuby.</w:t>
      </w:r>
    </w:p>
    <w:p w:rsidR="00500724" w:rsidRDefault="00F30FB8">
      <w:pPr>
        <w:pStyle w:val="Zkladntext1"/>
        <w:shd w:val="clear" w:color="auto" w:fill="auto"/>
        <w:spacing w:after="40" w:line="178" w:lineRule="auto"/>
        <w:rPr>
          <w:sz w:val="18"/>
          <w:szCs w:val="18"/>
        </w:rPr>
      </w:pPr>
      <w:r>
        <w:rPr>
          <w:sz w:val="18"/>
          <w:szCs w:val="18"/>
        </w:rPr>
        <w:t>N</w:t>
      </w:r>
      <w:r>
        <w:rPr>
          <w:sz w:val="18"/>
          <w:szCs w:val="18"/>
        </w:rPr>
        <w:t>a tuto událost jsem si vzpomněl, když jsem četl poslední (24.) číslo »Přitomnosti«. Na str. 372 omlouvá Jan Albert stržení Mariánského sloupu v Praze větou: »Cisař Ferdinand II. dal postavit Mariánský sloup na oslavu svého bělohorského Vitězstvi nad Čechy.</w:t>
      </w:r>
      <w:r>
        <w:rPr>
          <w:sz w:val="18"/>
          <w:szCs w:val="18"/>
        </w:rPr>
        <w:t>«</w:t>
      </w:r>
    </w:p>
    <w:p w:rsidR="00500724" w:rsidRDefault="00F30FB8">
      <w:pPr>
        <w:pStyle w:val="Zkladntext1"/>
        <w:shd w:val="clear" w:color="auto" w:fill="auto"/>
        <w:spacing w:after="40" w:line="178" w:lineRule="auto"/>
        <w:rPr>
          <w:sz w:val="18"/>
          <w:szCs w:val="18"/>
        </w:rPr>
      </w:pPr>
      <w:r>
        <w:rPr>
          <w:sz w:val="18"/>
          <w:szCs w:val="18"/>
        </w:rPr>
        <w:t>Žijeme ve 20. století, nedělejme to, prosím, jako v »temném« středověku; podívejme se raději koni na zuby. Mariánský sloup nebyl němým svědkem, měl také nápis. Tam stálo doslova fl »Panně Rodičce bez poskvrny prvotní počaté za obhájení a osvobození města</w:t>
      </w:r>
      <w:r>
        <w:rPr>
          <w:sz w:val="18"/>
          <w:szCs w:val="18"/>
        </w:rPr>
        <w:t xml:space="preserve"> zbožný a spravedlivý císař tuto sochu postavil.« Stalo se tak 1650, tedy dvě léta po tom, co Švédové odtáhli s nepořízenou!</w:t>
      </w:r>
    </w:p>
    <w:p w:rsidR="00500724" w:rsidRDefault="00F30FB8">
      <w:pPr>
        <w:pStyle w:val="Zkladntext1"/>
        <w:shd w:val="clear" w:color="auto" w:fill="auto"/>
        <w:spacing w:after="40" w:line="178" w:lineRule="auto"/>
        <w:rPr>
          <w:sz w:val="18"/>
          <w:szCs w:val="18"/>
        </w:rPr>
      </w:pPr>
      <w:r>
        <w:rPr>
          <w:sz w:val="18"/>
          <w:szCs w:val="18"/>
        </w:rPr>
        <w:t>Umlknou aspoň dnes nelaskavé pomluvy o »zahanbujícím« poslání této barokové památky, kterou nám tolik záviděla umělecká cizina?</w:t>
      </w:r>
    </w:p>
    <w:p w:rsidR="00500724" w:rsidRDefault="00F30FB8">
      <w:pPr>
        <w:pStyle w:val="Zkladntext1"/>
        <w:shd w:val="clear" w:color="auto" w:fill="auto"/>
        <w:spacing w:after="40" w:line="178" w:lineRule="auto"/>
        <w:rPr>
          <w:sz w:val="18"/>
          <w:szCs w:val="18"/>
        </w:rPr>
      </w:pPr>
      <w:r>
        <w:rPr>
          <w:sz w:val="18"/>
          <w:szCs w:val="18"/>
        </w:rPr>
        <w:t xml:space="preserve">Na </w:t>
      </w:r>
      <w:r>
        <w:rPr>
          <w:sz w:val="18"/>
          <w:szCs w:val="18"/>
        </w:rPr>
        <w:t>str. 376 odříká se kdosi »prostinké víry našeho lidu« v přímluvu světců u Boha, protože Pán »nečeká ani nepotře</w:t>
      </w:r>
      <w:r>
        <w:rPr>
          <w:sz w:val="18"/>
          <w:szCs w:val="18"/>
        </w:rPr>
        <w:softHyphen/>
        <w:t>buje nějakých protekčních přímluv či rad.«</w:t>
      </w:r>
    </w:p>
    <w:p w:rsidR="00500724" w:rsidRDefault="00F30FB8">
      <w:pPr>
        <w:pStyle w:val="Zkladntext1"/>
        <w:shd w:val="clear" w:color="auto" w:fill="auto"/>
        <w:spacing w:line="178" w:lineRule="auto"/>
        <w:rPr>
          <w:sz w:val="18"/>
          <w:szCs w:val="18"/>
        </w:rPr>
      </w:pPr>
      <w:r>
        <w:rPr>
          <w:sz w:val="18"/>
          <w:szCs w:val="18"/>
        </w:rPr>
        <w:t>Snad jste již zakusil, jak to zraňuje, když Vám někdo při</w:t>
      </w:r>
      <w:r>
        <w:rPr>
          <w:sz w:val="18"/>
          <w:szCs w:val="18"/>
        </w:rPr>
        <w:softHyphen/>
        <w:t>pisuje, na co jste ani ve snách nepomyslil?</w:t>
      </w:r>
      <w:r>
        <w:rPr>
          <w:sz w:val="18"/>
          <w:szCs w:val="18"/>
        </w:rPr>
        <w:t xml:space="preserve"> To platí i pro kato</w:t>
      </w:r>
      <w:r>
        <w:rPr>
          <w:sz w:val="18"/>
          <w:szCs w:val="18"/>
        </w:rPr>
        <w:softHyphen/>
        <w:t>líky. Stačilo jen nahlédnout do našeho katechismu, aby se pan</w:t>
      </w:r>
    </w:p>
    <w:p w:rsidR="00500724" w:rsidRDefault="00F30FB8">
      <w:pPr>
        <w:pStyle w:val="Zkladntext1"/>
        <w:shd w:val="clear" w:color="auto" w:fill="auto"/>
        <w:tabs>
          <w:tab w:val="left" w:pos="322"/>
        </w:tabs>
        <w:spacing w:after="40" w:line="178" w:lineRule="auto"/>
        <w:ind w:firstLine="0"/>
        <w:rPr>
          <w:sz w:val="18"/>
          <w:szCs w:val="18"/>
        </w:rPr>
      </w:pPr>
      <w:r>
        <w:rPr>
          <w:sz w:val="18"/>
          <w:szCs w:val="18"/>
        </w:rPr>
        <w:t>K.</w:t>
      </w:r>
      <w:r>
        <w:rPr>
          <w:sz w:val="18"/>
          <w:szCs w:val="18"/>
        </w:rPr>
        <w:tab/>
        <w:t>přesvědčil, oč vznešeněji pojímáme kult svátých!</w:t>
      </w:r>
    </w:p>
    <w:p w:rsidR="00500724" w:rsidRDefault="00F30FB8">
      <w:pPr>
        <w:pStyle w:val="Zkladntext1"/>
        <w:shd w:val="clear" w:color="auto" w:fill="auto"/>
        <w:spacing w:after="320" w:line="178" w:lineRule="auto"/>
        <w:ind w:firstLine="0"/>
        <w:jc w:val="right"/>
        <w:rPr>
          <w:sz w:val="18"/>
          <w:szCs w:val="18"/>
        </w:rPr>
      </w:pPr>
      <w:r>
        <w:rPr>
          <w:sz w:val="18"/>
          <w:szCs w:val="18"/>
        </w:rPr>
        <w:t>Dr. MikliK</w:t>
      </w:r>
    </w:p>
    <w:p w:rsidR="00500724" w:rsidRDefault="00F30FB8">
      <w:pPr>
        <w:pStyle w:val="Jin0"/>
        <w:shd w:val="clear" w:color="auto" w:fill="auto"/>
        <w:ind w:firstLine="0"/>
        <w:jc w:val="left"/>
        <w:rPr>
          <w:sz w:val="46"/>
          <w:szCs w:val="46"/>
        </w:rPr>
      </w:pPr>
      <w:r>
        <w:rPr>
          <w:b/>
          <w:bCs/>
          <w:sz w:val="46"/>
          <w:szCs w:val="46"/>
        </w:rPr>
        <w:t>listárna redakce</w:t>
      </w:r>
    </w:p>
    <w:p w:rsidR="00500724" w:rsidRDefault="00F30FB8">
      <w:pPr>
        <w:pStyle w:val="Jin0"/>
        <w:shd w:val="clear" w:color="auto" w:fill="auto"/>
        <w:spacing w:after="40" w:line="180" w:lineRule="auto"/>
        <w:ind w:firstLine="0"/>
        <w:jc w:val="left"/>
        <w:rPr>
          <w:sz w:val="46"/>
          <w:szCs w:val="46"/>
        </w:rPr>
      </w:pPr>
      <w:r>
        <w:rPr>
          <w:b/>
          <w:bCs/>
          <w:sz w:val="46"/>
          <w:szCs w:val="46"/>
        </w:rPr>
        <w:t>^■■■■■■■■BnBBnaaaaBSKnBmBaBBMaaHBnBHHBnBaBBmaaDaBsaBaa^KiaanBaaEaaBBBaanBHi</w:t>
      </w:r>
    </w:p>
    <w:p w:rsidR="00500724" w:rsidRDefault="00F30FB8">
      <w:pPr>
        <w:pStyle w:val="Zkladntext1"/>
        <w:shd w:val="clear" w:color="auto" w:fill="auto"/>
        <w:spacing w:after="40" w:line="175" w:lineRule="auto"/>
        <w:rPr>
          <w:sz w:val="18"/>
          <w:szCs w:val="18"/>
        </w:rPr>
      </w:pPr>
      <w:r>
        <w:rPr>
          <w:sz w:val="18"/>
          <w:szCs w:val="18"/>
        </w:rPr>
        <w:t>Jak se dělá český</w:t>
      </w:r>
      <w:r>
        <w:rPr>
          <w:sz w:val="18"/>
          <w:szCs w:val="18"/>
        </w:rPr>
        <w:t xml:space="preserve"> film. Píšete nám: »V notickách denního tisku četli jsme v poslední době o natáčení dvou českých fil</w:t>
      </w:r>
      <w:r>
        <w:rPr>
          <w:sz w:val="18"/>
          <w:szCs w:val="18"/>
        </w:rPr>
        <w:softHyphen/>
        <w:t>mů v radlických atelierech Foja. Jde o filmy »Tulák Macoun« a »Bílá jachta ve Splitu«. Četli jsme pak dále, že režisér obou filmů natáčí oba filmy současně</w:t>
      </w:r>
      <w:r>
        <w:rPr>
          <w:sz w:val="18"/>
          <w:szCs w:val="18"/>
        </w:rPr>
        <w:t xml:space="preserve">, v pondělí na příklad »Tuláka Macouna« a v úterý »Bílou jachtu« atd. Slovem: režisér přišel zřejmě na nový systém »výroby« českého filmu »na běžícím pásu«! Je to jistě pronikavá racionalisace, když se použije těchže dekorací v pondělí pro filmové drama o </w:t>
      </w:r>
      <w:r>
        <w:rPr>
          <w:sz w:val="18"/>
          <w:szCs w:val="18"/>
        </w:rPr>
        <w:t xml:space="preserve">tuláku Macou- novi a v úterý — po malých změnách — se v těchže stavbách točí komedie »Bílá jachta« ... Kalkulace pánů producentů .ie jistě bezvadná. Není dosud v dějinách světové kinematografie příkladu, aby jeden a týž režisér natáčel současně dva filmy, </w:t>
      </w:r>
      <w:r>
        <w:rPr>
          <w:sz w:val="18"/>
          <w:szCs w:val="18"/>
        </w:rPr>
        <w:t>dokonce naprosto odlišného charakteru! Nedovolil si to nikdo ani v zemi racionalisace — Americe — která je přece zemí všech možností také ve filmu. Na to musela přijít až naše mudrlantská hlava!« — Zajisté neočekáváte, že bychom k tomu něco dodávali. Jen t</w:t>
      </w:r>
      <w:r>
        <w:rPr>
          <w:sz w:val="18"/>
          <w:szCs w:val="18"/>
        </w:rPr>
        <w:t xml:space="preserve">olik: v nynější situaci našeho národa je každá špatná práce, tedy i umělecká, ještě větším přečinem než dříve. Dnes </w:t>
      </w:r>
      <w:r>
        <w:rPr>
          <w:sz w:val="18"/>
          <w:szCs w:val="18"/>
          <w:lang w:val="en-US" w:eastAsia="en-US" w:bidi="en-US"/>
        </w:rPr>
        <w:t xml:space="preserve">vice </w:t>
      </w:r>
      <w:r>
        <w:rPr>
          <w:sz w:val="18"/>
          <w:szCs w:val="18"/>
        </w:rPr>
        <w:t>než kdy jindy se musíme snažit o kvalitu* Zajisté nyní právě s národního hlediska zaslouží neř pokárání ten, kdo z nedbalosti, ziskucht</w:t>
      </w:r>
      <w:r>
        <w:rPr>
          <w:sz w:val="18"/>
          <w:szCs w:val="18"/>
        </w:rPr>
        <w:t>ivosti nebo z jakých</w:t>
      </w:r>
      <w:r>
        <w:rPr>
          <w:sz w:val="18"/>
          <w:szCs w:val="18"/>
        </w:rPr>
        <w:softHyphen/>
        <w:t>koliv jiných důvodů způsobí, aby na příklad český film proti německému vypadal jako šmejd. Národem šmírařů a kýčařů nás nikdo nemůže udělat: tím se můžeme udělat jen sami. jestli si nedáme pozor a nebudeme dost přísní na ty, kterým nez</w:t>
      </w:r>
      <w:r>
        <w:rPr>
          <w:sz w:val="18"/>
          <w:szCs w:val="18"/>
        </w:rPr>
        <w:t>áleží na ničem než na troše výdělku.</w:t>
      </w:r>
    </w:p>
    <w:p w:rsidR="00500724" w:rsidRDefault="00F30FB8">
      <w:pPr>
        <w:pStyle w:val="Zkladntext1"/>
        <w:shd w:val="clear" w:color="auto" w:fill="auto"/>
        <w:tabs>
          <w:tab w:val="left" w:pos="428"/>
        </w:tabs>
        <w:spacing w:after="40" w:line="178" w:lineRule="auto"/>
        <w:rPr>
          <w:sz w:val="18"/>
          <w:szCs w:val="18"/>
        </w:rPr>
      </w:pPr>
      <w:r>
        <w:rPr>
          <w:sz w:val="18"/>
          <w:szCs w:val="18"/>
          <w:lang w:val="en-US" w:eastAsia="en-US" w:bidi="en-US"/>
        </w:rPr>
        <w:t>J.</w:t>
      </w:r>
      <w:r>
        <w:rPr>
          <w:sz w:val="18"/>
          <w:szCs w:val="18"/>
          <w:lang w:val="en-US" w:eastAsia="en-US" w:bidi="en-US"/>
        </w:rPr>
        <w:tab/>
      </w:r>
      <w:r>
        <w:rPr>
          <w:sz w:val="18"/>
          <w:szCs w:val="18"/>
        </w:rPr>
        <w:t>N. Nemůžeme Váš dopis uveřejnit, ale ne proto, že Váš předpoklad je správný. Je to jinak: představte si, že by Vám' někdo z celé věci udělal dvě půlky a pak Vám servíroval jen' tu, která se mu lépe hodí; že by Vám ně</w:t>
      </w:r>
      <w:r>
        <w:rPr>
          <w:sz w:val="18"/>
          <w:szCs w:val="18"/>
        </w:rPr>
        <w:t>kdo sochu rozbil na: kusy a z těch některé vyspravil, jiné pak uschoval. Vy byste pak stál a divil se: co je to za hlupáka sochaře?</w:t>
      </w:r>
    </w:p>
    <w:p w:rsidR="00500724" w:rsidRDefault="00F30FB8">
      <w:pPr>
        <w:pStyle w:val="Zkladntext1"/>
        <w:shd w:val="clear" w:color="auto" w:fill="auto"/>
        <w:spacing w:line="185" w:lineRule="auto"/>
        <w:rPr>
          <w:sz w:val="18"/>
          <w:szCs w:val="18"/>
        </w:rPr>
        <w:sectPr w:rsidR="00500724">
          <w:footnotePr>
            <w:numFmt w:val="chicago"/>
            <w:numRestart w:val="eachPage"/>
          </w:footnotePr>
          <w:pgSz w:w="11909" w:h="16834"/>
          <w:pgMar w:top="1693" w:right="588" w:bottom="1052" w:left="962" w:header="0" w:footer="3" w:gutter="0"/>
          <w:cols w:num="2" w:space="154"/>
          <w:noEndnote/>
          <w:docGrid w:linePitch="360"/>
        </w:sectPr>
      </w:pPr>
      <w:r>
        <w:rPr>
          <w:sz w:val="18"/>
          <w:szCs w:val="18"/>
        </w:rPr>
        <w:t>Redaktor tohoto listu odpoví na soukromou korespondenci příští týden, až se vrátí z dovolené.</w:t>
      </w:r>
    </w:p>
    <w:p w:rsidR="00500724" w:rsidRDefault="00500724">
      <w:pPr>
        <w:spacing w:line="93" w:lineRule="exact"/>
        <w:rPr>
          <w:sz w:val="8"/>
          <w:szCs w:val="8"/>
        </w:rPr>
      </w:pPr>
    </w:p>
    <w:p w:rsidR="00500724" w:rsidRDefault="00500724">
      <w:pPr>
        <w:spacing w:line="14" w:lineRule="exact"/>
        <w:sectPr w:rsidR="00500724">
          <w:footnotePr>
            <w:numFmt w:val="chicago"/>
            <w:numRestart w:val="eachPage"/>
          </w:footnotePr>
          <w:type w:val="continuous"/>
          <w:pgSz w:w="11909" w:h="16834"/>
          <w:pgMar w:top="1693" w:right="0" w:bottom="1052" w:left="0" w:header="0" w:footer="3" w:gutter="0"/>
          <w:cols w:space="720"/>
          <w:noEndnote/>
          <w:docGrid w:linePitch="360"/>
        </w:sectPr>
      </w:pPr>
    </w:p>
    <w:p w:rsidR="00500724" w:rsidRDefault="00F30FB8">
      <w:pPr>
        <w:pStyle w:val="Nadpis110"/>
        <w:pBdr>
          <w:top w:val="single" w:sz="4" w:space="0" w:color="auto"/>
          <w:left w:val="single" w:sz="4" w:space="0" w:color="auto"/>
          <w:bottom w:val="single" w:sz="4" w:space="0" w:color="auto"/>
          <w:right w:val="single" w:sz="4" w:space="0" w:color="auto"/>
        </w:pBdr>
        <w:shd w:val="clear" w:color="auto" w:fill="auto"/>
        <w:spacing w:line="252" w:lineRule="auto"/>
        <w:ind w:right="60"/>
        <w:jc w:val="center"/>
      </w:pPr>
      <w:bookmarkStart w:id="631" w:name="bookmark630"/>
      <w:r>
        <w:rPr>
          <w:rFonts w:ascii="Times New Roman" w:eastAsia="Times New Roman" w:hAnsi="Times New Roman" w:cs="Times New Roman"/>
        </w:rPr>
        <w:t>Náš nezapomenutelný prxrní ministr financí Dlí. ALOIS RAŠÍN</w:t>
      </w:r>
      <w:r>
        <w:rPr>
          <w:rFonts w:ascii="Times New Roman" w:eastAsia="Times New Roman" w:hAnsi="Times New Roman" w:cs="Times New Roman"/>
        </w:rPr>
        <w:br/>
        <w:t>před 20 roKy založil naši třídní loterií.</w:t>
      </w:r>
      <w:bookmarkEnd w:id="631"/>
    </w:p>
    <w:p w:rsidR="00500724" w:rsidRDefault="00F30FB8">
      <w:pPr>
        <w:pStyle w:val="Nadpis110"/>
        <w:pBdr>
          <w:top w:val="single" w:sz="4" w:space="0" w:color="auto"/>
          <w:left w:val="single" w:sz="4" w:space="0" w:color="auto"/>
          <w:bottom w:val="single" w:sz="4" w:space="0" w:color="auto"/>
          <w:right w:val="single" w:sz="4" w:space="0" w:color="auto"/>
        </w:pBdr>
        <w:shd w:val="clear" w:color="auto" w:fill="auto"/>
        <w:spacing w:line="252" w:lineRule="auto"/>
        <w:ind w:right="60"/>
        <w:jc w:val="center"/>
      </w:pPr>
      <w:bookmarkStart w:id="632" w:name="bookmark631"/>
      <w:r>
        <w:rPr>
          <w:rFonts w:ascii="Times New Roman" w:eastAsia="Times New Roman" w:hAnsi="Times New Roman" w:cs="Times New Roman"/>
        </w:rPr>
        <w:t>Podnětem byla obrana proti cizím. hrám.</w:t>
      </w:r>
      <w:bookmarkEnd w:id="632"/>
    </w:p>
    <w:p w:rsidR="00500724" w:rsidRDefault="00F30FB8">
      <w:pPr>
        <w:pStyle w:val="Nadpis110"/>
        <w:pBdr>
          <w:top w:val="single" w:sz="4" w:space="0" w:color="auto"/>
          <w:left w:val="single" w:sz="4" w:space="0" w:color="auto"/>
          <w:bottom w:val="single" w:sz="4" w:space="0" w:color="auto"/>
          <w:right w:val="single" w:sz="4" w:space="0" w:color="auto"/>
        </w:pBdr>
        <w:shd w:val="clear" w:color="auto" w:fill="auto"/>
        <w:spacing w:line="252" w:lineRule="auto"/>
        <w:ind w:right="60"/>
        <w:jc w:val="center"/>
      </w:pPr>
      <w:bookmarkStart w:id="633" w:name="bookmark632"/>
      <w:r>
        <w:rPr>
          <w:rFonts w:ascii="Times New Roman" w:eastAsia="Times New Roman" w:hAnsi="Times New Roman" w:cs="Times New Roman"/>
        </w:rPr>
        <w:t>Poctivými Zásadami a známou přesností zísRala našeho ělo-srěRa.</w:t>
      </w:r>
      <w:bookmarkEnd w:id="633"/>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233" w:lineRule="auto"/>
        <w:ind w:left="680" w:firstLine="0"/>
        <w:jc w:val="left"/>
        <w:rPr>
          <w:sz w:val="56"/>
          <w:szCs w:val="56"/>
        </w:rPr>
      </w:pPr>
      <w:r>
        <w:rPr>
          <w:rFonts w:ascii="Arial" w:eastAsia="Arial" w:hAnsi="Arial" w:cs="Arial"/>
          <w:b/>
          <w:bCs/>
          <w:sz w:val="56"/>
          <w:szCs w:val="56"/>
        </w:rPr>
        <w:t xml:space="preserve">NOVÁ HRA </w:t>
      </w:r>
      <w:r>
        <w:rPr>
          <w:rFonts w:ascii="Arial" w:eastAsia="Arial" w:hAnsi="Arial" w:cs="Arial"/>
          <w:b/>
          <w:bCs/>
          <w:sz w:val="56"/>
          <w:szCs w:val="56"/>
          <w:lang w:val="en-US" w:eastAsia="en-US" w:bidi="en-US"/>
        </w:rPr>
        <w:t>OD20.VI.-14.Xl.1939</w:t>
      </w:r>
    </w:p>
    <w:p w:rsidR="00500724" w:rsidRDefault="00F30FB8">
      <w:pPr>
        <w:pStyle w:val="Nadpis110"/>
        <w:pBdr>
          <w:top w:val="single" w:sz="4" w:space="0" w:color="auto"/>
          <w:left w:val="single" w:sz="4" w:space="0" w:color="auto"/>
          <w:bottom w:val="single" w:sz="4" w:space="0" w:color="auto"/>
          <w:right w:val="single" w:sz="4" w:space="0" w:color="auto"/>
        </w:pBdr>
        <w:shd w:val="clear" w:color="auto" w:fill="auto"/>
        <w:spacing w:line="252" w:lineRule="auto"/>
        <w:ind w:right="60"/>
        <w:jc w:val="center"/>
        <w:sectPr w:rsidR="00500724">
          <w:footnotePr>
            <w:numFmt w:val="chicago"/>
            <w:numRestart w:val="eachPage"/>
          </w:footnotePr>
          <w:type w:val="continuous"/>
          <w:pgSz w:w="11909" w:h="16834"/>
          <w:pgMar w:top="1693" w:right="588" w:bottom="1052" w:left="962" w:header="0" w:footer="3" w:gutter="0"/>
          <w:cols w:space="720"/>
          <w:noEndnote/>
          <w:docGrid w:linePitch="360"/>
        </w:sectPr>
      </w:pPr>
      <w:bookmarkStart w:id="634" w:name="bookmark633"/>
      <w:r>
        <w:rPr>
          <w:rFonts w:ascii="Times New Roman" w:eastAsia="Times New Roman" w:hAnsi="Times New Roman" w:cs="Times New Roman"/>
        </w:rPr>
        <w:t>Nejdříve los třídní loterie « paR teprve írýlira.</w:t>
      </w:r>
      <w:bookmarkEnd w:id="634"/>
    </w:p>
    <w:p w:rsidR="00500724" w:rsidRDefault="00F30FB8">
      <w:pPr>
        <w:pStyle w:val="Nadpis50"/>
        <w:keepNext/>
        <w:keepLines/>
        <w:framePr w:w="6946" w:h="1594" w:wrap="none" w:vAnchor="text" w:hAnchor="page" w:x="3555" w:y="289"/>
        <w:shd w:val="clear" w:color="auto" w:fill="auto"/>
      </w:pPr>
      <w:bookmarkStart w:id="635" w:name="bookmark634"/>
      <w:r>
        <w:t>vět knih</w:t>
      </w:r>
      <w:bookmarkEnd w:id="635"/>
    </w:p>
    <w:p w:rsidR="00500724" w:rsidRDefault="00F30FB8">
      <w:pPr>
        <w:pStyle w:val="Nadpis90"/>
        <w:keepNext/>
        <w:keepLines/>
        <w:framePr w:w="7181" w:h="523" w:wrap="none" w:vAnchor="text" w:hAnchor="page" w:x="3349" w:y="1883"/>
        <w:shd w:val="clear" w:color="auto" w:fill="auto"/>
        <w:spacing w:after="0"/>
        <w:rPr>
          <w:sz w:val="42"/>
          <w:szCs w:val="42"/>
        </w:rPr>
      </w:pPr>
      <w:bookmarkStart w:id="636" w:name="bookmark635"/>
      <w:r>
        <w:rPr>
          <w:b/>
          <w:bCs/>
          <w:sz w:val="34"/>
          <w:szCs w:val="34"/>
        </w:rPr>
        <w:t xml:space="preserve">KULTURNÍ </w:t>
      </w:r>
      <w:r>
        <w:rPr>
          <w:smallCaps/>
          <w:sz w:val="42"/>
          <w:szCs w:val="42"/>
        </w:rPr>
        <w:t>zpravodaj</w:t>
      </w:r>
      <w:bookmarkEnd w:id="636"/>
    </w:p>
    <w:p w:rsidR="00500724" w:rsidRDefault="00F30FB8">
      <w:pPr>
        <w:pStyle w:val="Jin0"/>
        <w:framePr w:w="403" w:h="869" w:wrap="none" w:vAnchor="text" w:hAnchor="page" w:x="10789" w:y="731"/>
        <w:shd w:val="clear" w:color="auto" w:fill="auto"/>
        <w:ind w:firstLine="0"/>
        <w:jc w:val="left"/>
        <w:rPr>
          <w:sz w:val="26"/>
          <w:szCs w:val="26"/>
        </w:rPr>
      </w:pPr>
      <w:r>
        <w:rPr>
          <w:rFonts w:ascii="Arial" w:eastAsia="Arial" w:hAnsi="Arial" w:cs="Arial"/>
          <w:sz w:val="26"/>
          <w:szCs w:val="26"/>
        </w:rPr>
        <w:t>o«</w:t>
      </w:r>
    </w:p>
    <w:p w:rsidR="00500724" w:rsidRDefault="00F30FB8">
      <w:pPr>
        <w:pStyle w:val="Zkladntext50"/>
        <w:framePr w:w="403" w:h="869" w:wrap="none" w:vAnchor="text" w:hAnchor="page" w:x="10789" w:y="731"/>
        <w:shd w:val="clear" w:color="auto" w:fill="auto"/>
        <w:spacing w:after="0" w:line="240" w:lineRule="auto"/>
        <w:ind w:left="0"/>
        <w:jc w:val="left"/>
      </w:pPr>
      <w:r>
        <w:t>&lt;/&gt;</w:t>
      </w:r>
    </w:p>
    <w:p w:rsidR="00500724" w:rsidRDefault="00F30FB8">
      <w:pPr>
        <w:pStyle w:val="Zkladntext50"/>
        <w:framePr w:w="403" w:h="869" w:wrap="none" w:vAnchor="text" w:hAnchor="page" w:x="10789" w:y="731"/>
        <w:shd w:val="clear" w:color="auto" w:fill="auto"/>
        <w:spacing w:after="0" w:line="240" w:lineRule="auto"/>
        <w:ind w:left="0"/>
        <w:jc w:val="left"/>
      </w:pPr>
      <w:r>
        <w:t>7</w:t>
      </w:r>
    </w:p>
    <w:p w:rsidR="00500724" w:rsidRDefault="00500724">
      <w:pPr>
        <w:spacing w:after="102" w:line="14" w:lineRule="exact"/>
      </w:pPr>
    </w:p>
    <w:p w:rsidR="00500724" w:rsidRDefault="00500724">
      <w:pPr>
        <w:spacing w:line="14" w:lineRule="exact"/>
        <w:sectPr w:rsidR="00500724">
          <w:footnotePr>
            <w:numFmt w:val="chicago"/>
            <w:numRestart w:val="eachPage"/>
          </w:footnotePr>
          <w:pgSz w:w="11909" w:h="16834"/>
          <w:pgMar w:top="2954" w:right="656" w:bottom="929" w:left="766" w:header="0" w:footer="3" w:gutter="0"/>
          <w:cols w:space="720"/>
          <w:noEndnote/>
          <w:docGrid w:linePitch="360"/>
        </w:sectPr>
      </w:pPr>
    </w:p>
    <w:p w:rsidR="00500724" w:rsidRDefault="00500724">
      <w:pPr>
        <w:spacing w:line="9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2854" w:right="0" w:bottom="929" w:left="0" w:header="0" w:footer="3" w:gutter="0"/>
          <w:cols w:space="720"/>
          <w:noEndnote/>
          <w:docGrid w:linePitch="360"/>
        </w:sectPr>
      </w:pPr>
    </w:p>
    <w:p w:rsidR="00500724" w:rsidRDefault="00F30FB8">
      <w:pPr>
        <w:pStyle w:val="Jin0"/>
        <w:framePr w:w="3648" w:h="350" w:hSpace="677" w:vSpace="3154" w:wrap="around" w:vAnchor="text" w:hAnchor="page" w:x="4175" w:y="3175"/>
        <w:shd w:val="clear" w:color="auto" w:fill="auto"/>
        <w:ind w:firstLine="0"/>
        <w:jc w:val="left"/>
        <w:rPr>
          <w:sz w:val="26"/>
          <w:szCs w:val="26"/>
        </w:rPr>
      </w:pPr>
      <w:r>
        <w:rPr>
          <w:i/>
          <w:iCs/>
          <w:sz w:val="20"/>
          <w:szCs w:val="20"/>
        </w:rPr>
        <w:t xml:space="preserve">Josef </w:t>
      </w:r>
      <w:r>
        <w:rPr>
          <w:i/>
          <w:iCs/>
          <w:sz w:val="26"/>
          <w:szCs w:val="26"/>
        </w:rPr>
        <w:t>Sup: Role Sparty a role Athén</w:t>
      </w:r>
      <w:r>
        <w:rPr>
          <w:i/>
          <w:iCs/>
          <w:sz w:val="26"/>
          <w:szCs w:val="26"/>
        </w:rPr>
        <w:footnoteReference w:id="8"/>
      </w:r>
    </w:p>
    <w:p w:rsidR="00500724" w:rsidRDefault="00F30FB8">
      <w:pPr>
        <w:spacing w:line="14" w:lineRule="exact"/>
      </w:pPr>
      <w:r>
        <w:rPr>
          <w:noProof/>
        </w:rPr>
        <mc:AlternateContent>
          <mc:Choice Requires="wps">
            <w:drawing>
              <wp:anchor distT="0" distB="316865" distL="0" distR="0" simplePos="0" relativeHeight="125830010" behindDoc="0" locked="0" layoutInCell="1" allowOverlap="1">
                <wp:simplePos x="0" y="0"/>
                <wp:positionH relativeFrom="page">
                  <wp:posOffset>2199005</wp:posOffset>
                </wp:positionH>
                <wp:positionV relativeFrom="paragraph">
                  <wp:posOffset>12700</wp:posOffset>
                </wp:positionV>
                <wp:extent cx="3197225" cy="1908175"/>
                <wp:effectExtent l="0" t="0" r="0" b="0"/>
                <wp:wrapSquare wrapText="left"/>
                <wp:docPr id="633" name="Shape 633"/>
                <wp:cNvGraphicFramePr/>
                <a:graphic xmlns:a="http://schemas.openxmlformats.org/drawingml/2006/main">
                  <a:graphicData uri="http://schemas.microsoft.com/office/word/2010/wordprocessingShape">
                    <wps:wsp>
                      <wps:cNvSpPr txBox="1"/>
                      <wps:spPr>
                        <a:xfrm>
                          <a:off x="0" y="0"/>
                          <a:ext cx="3197225" cy="1908175"/>
                        </a:xfrm>
                        <a:prstGeom prst="rect">
                          <a:avLst/>
                        </a:prstGeom>
                        <a:noFill/>
                      </wps:spPr>
                      <wps:txbx>
                        <w:txbxContent>
                          <w:p w:rsidR="00500724" w:rsidRDefault="00F30FB8">
                            <w:pPr>
                              <w:pStyle w:val="Zkladntext1"/>
                              <w:shd w:val="clear" w:color="auto" w:fill="auto"/>
                              <w:spacing w:line="257" w:lineRule="auto"/>
                              <w:ind w:left="200" w:firstLine="860"/>
                              <w:jc w:val="left"/>
                            </w:pPr>
                            <w:r>
                              <w:rPr>
                                <w:b/>
                                <w:bCs/>
                                <w:sz w:val="20"/>
                                <w:szCs w:val="20"/>
                              </w:rPr>
                              <w:t xml:space="preserve">DĚJINY V ŽIVOTĚ NÁRODA </w:t>
                            </w:r>
                            <w:r>
                              <w:rPr>
                                <w:b/>
                                <w:bCs/>
                              </w:rPr>
                              <w:t>České dějiny mohly by právě svým rázem znamenat ne-</w:t>
                            </w:r>
                          </w:p>
                          <w:p w:rsidR="00500724" w:rsidRDefault="00F30FB8">
                            <w:pPr>
                              <w:pStyle w:val="Zkladntext1"/>
                              <w:shd w:val="clear" w:color="auto" w:fill="auto"/>
                              <w:spacing w:line="209" w:lineRule="auto"/>
                              <w:ind w:firstLine="0"/>
                              <w:rPr>
                                <w:sz w:val="18"/>
                                <w:szCs w:val="18"/>
                              </w:rPr>
                            </w:pPr>
                            <w:r>
                              <w:rPr>
                                <w:b/>
                                <w:bCs/>
                              </w:rPr>
                              <w:t xml:space="preserve">bezpeěí pro přítomnost a budoucnost. Nacionalismus je právě tak posvátnou věcí v hierarchii duchovních hodnot jako náboženství nebo světový názor. Je proto třeba, aby ani husitství, ani protireformace </w:t>
                            </w:r>
                            <w:r>
                              <w:rPr>
                                <w:b/>
                                <w:bCs/>
                              </w:rPr>
                              <w:t>nerozštěpovaly ěeský národ a netrvaly jako požár pod podlahou stále. Naopak jsou dokla</w:t>
                            </w:r>
                            <w:r>
                              <w:rPr>
                                <w:b/>
                                <w:bCs/>
                              </w:rPr>
                              <w:softHyphen/>
                              <w:t>dem, že životní odolnost ěeského národa přečkala horší doby a že národ ěeský má i do budoucna v milovaném patronu, svátém Václavu, protektora vyžádaného, spojence nesobe</w:t>
                            </w:r>
                            <w:r>
                              <w:rPr>
                                <w:b/>
                                <w:bCs/>
                              </w:rPr>
                              <w:t>c</w:t>
                            </w:r>
                            <w:r>
                              <w:rPr>
                                <w:b/>
                                <w:bCs/>
                              </w:rPr>
                              <w:softHyphen/>
                              <w:t>kého, panovníka pravého a pravdymilovného. Nejen vědomí plemenné a kulturní síly, ale i vědomí ěestné minulosti, a tou byly ěeské dějiny vždy, nám hrdě velí podívat se do oěí budoucnosti. A proti kterému spravedlivému se ukázala bu</w:t>
                            </w:r>
                            <w:r>
                              <w:rPr>
                                <w:b/>
                                <w:bCs/>
                              </w:rPr>
                              <w:softHyphen/>
                              <w:t xml:space="preserve">doucnost nepřítelem? </w:t>
                            </w:r>
                            <w:r>
                              <w:rPr>
                                <w:i/>
                                <w:iCs/>
                                <w:sz w:val="18"/>
                                <w:szCs w:val="18"/>
                              </w:rPr>
                              <w:t>D</w:t>
                            </w:r>
                            <w:r>
                              <w:rPr>
                                <w:i/>
                                <w:iCs/>
                                <w:sz w:val="18"/>
                                <w:szCs w:val="18"/>
                              </w:rPr>
                              <w:t>r. K. Doikočil (ve Studentském časopise)</w:t>
                            </w:r>
                          </w:p>
                        </w:txbxContent>
                      </wps:txbx>
                      <wps:bodyPr lIns="0" tIns="0" rIns="0" bIns="0">
                        <a:spAutoFit/>
                      </wps:bodyPr>
                    </wps:wsp>
                  </a:graphicData>
                </a:graphic>
              </wp:anchor>
            </w:drawing>
          </mc:Choice>
          <mc:Fallback>
            <w:pict>
              <v:shape id="_x0000_s1659" type="#_x0000_t202" style="position:absolute;margin-left:173.15000000000001pt;margin-top:1.pt;width:251.75pt;height:150.25pt;z-index:-125828743;mso-wrap-distance-left:0;mso-wrap-distance-right:0;mso-wrap-distance-bottom:24.949999999999999pt;mso-position-horizontal-relative:page" filled="f" stroked="f">
                <v:textbox style="mso-fit-shape-to-text:t" inset="0,0,0,0">
                  <w:txbxContent>
                    <w:p>
                      <w:pPr>
                        <w:pStyle w:val="Style18"/>
                        <w:keepNext w:val="0"/>
                        <w:keepLines w:val="0"/>
                        <w:widowControl w:val="0"/>
                        <w:shd w:val="clear" w:color="auto" w:fill="auto"/>
                        <w:bidi w:val="0"/>
                        <w:spacing w:before="0" w:after="0" w:line="257" w:lineRule="auto"/>
                        <w:ind w:left="200" w:right="0" w:firstLine="860"/>
                        <w:jc w:val="left"/>
                      </w:pPr>
                      <w:r>
                        <w:rPr>
                          <w:b/>
                          <w:bCs/>
                          <w:color w:val="000000"/>
                          <w:spacing w:val="0"/>
                          <w:w w:val="100"/>
                          <w:position w:val="0"/>
                          <w:sz w:val="20"/>
                          <w:szCs w:val="20"/>
                          <w:shd w:val="clear" w:color="auto" w:fill="auto"/>
                          <w:lang w:val="cs-CZ" w:eastAsia="cs-CZ" w:bidi="cs-CZ"/>
                        </w:rPr>
                        <w:t xml:space="preserve">DĚJINY V ŽIVOTĚ NÁRODA </w:t>
                      </w:r>
                      <w:r>
                        <w:rPr>
                          <w:b/>
                          <w:bCs/>
                          <w:color w:val="000000"/>
                          <w:spacing w:val="0"/>
                          <w:w w:val="100"/>
                          <w:position w:val="0"/>
                          <w:shd w:val="clear" w:color="auto" w:fill="auto"/>
                          <w:lang w:val="cs-CZ" w:eastAsia="cs-CZ" w:bidi="cs-CZ"/>
                        </w:rPr>
                        <w:t>České dějiny mohly by právě svým rázem znamenat ne-</w:t>
                      </w:r>
                    </w:p>
                    <w:p>
                      <w:pPr>
                        <w:pStyle w:val="Style18"/>
                        <w:keepNext w:val="0"/>
                        <w:keepLines w:val="0"/>
                        <w:widowControl w:val="0"/>
                        <w:shd w:val="clear" w:color="auto" w:fill="auto"/>
                        <w:bidi w:val="0"/>
                        <w:spacing w:before="0" w:after="0" w:line="209" w:lineRule="auto"/>
                        <w:ind w:left="0" w:right="0" w:firstLine="0"/>
                        <w:rPr>
                          <w:sz w:val="18"/>
                          <w:szCs w:val="18"/>
                        </w:rPr>
                      </w:pPr>
                      <w:r>
                        <w:rPr>
                          <w:b/>
                          <w:bCs/>
                          <w:color w:val="000000"/>
                          <w:spacing w:val="0"/>
                          <w:w w:val="100"/>
                          <w:position w:val="0"/>
                          <w:sz w:val="19"/>
                          <w:szCs w:val="19"/>
                          <w:shd w:val="clear" w:color="auto" w:fill="auto"/>
                          <w:lang w:val="cs-CZ" w:eastAsia="cs-CZ" w:bidi="cs-CZ"/>
                        </w:rPr>
                        <w:t>bezpeěí pro přítomnost a budoucnost. Nacionalismus je právě tak posvátnou věcí v hierarchii duchovních hodnot jako náboženství nebo světový názor. Je proto třeba, aby ani husitství, ani protireformace nerozštěpovaly ěeský národ a netrvaly jako požár pod podlahou stále. Naopak jsou dokla</w:t>
                        <w:softHyphen/>
                        <w:t>dem, že životní odolnost ěeského národa přečkala horší doby a že národ ěeský má i do budoucna v milovaném patronu, svátém Václavu, protektora vyžádaného, spojence nesobec</w:t>
                        <w:softHyphen/>
                        <w:t>kého, panovníka pravého a pravdymilovného. Nejen vědomí plemenné a kulturní síly, ale i vědomí ěestné minulosti, a tou byly ěeské dějiny vždy, nám hrdě velí podívat se do oěí budoucnosti. A proti kterému spravedlivému se ukázala bu</w:t>
                        <w:softHyphen/>
                        <w:t xml:space="preserve">doucnost nepřítelem? </w:t>
                      </w:r>
                      <w:r>
                        <w:rPr>
                          <w:i/>
                          <w:iCs/>
                          <w:color w:val="000000"/>
                          <w:spacing w:val="0"/>
                          <w:w w:val="100"/>
                          <w:position w:val="0"/>
                          <w:sz w:val="18"/>
                          <w:szCs w:val="18"/>
                          <w:shd w:val="clear" w:color="auto" w:fill="auto"/>
                          <w:lang w:val="cs-CZ" w:eastAsia="cs-CZ" w:bidi="cs-CZ"/>
                        </w:rPr>
                        <w:t>Dr. K. Doikočil (ve Studentském časopise)</w:t>
                      </w:r>
                    </w:p>
                  </w:txbxContent>
                </v:textbox>
                <w10:wrap type="square" side="left" anchorx="page"/>
              </v:shape>
            </w:pict>
          </mc:Fallback>
        </mc:AlternateContent>
      </w:r>
      <w:r>
        <w:rPr>
          <w:noProof/>
        </w:rPr>
        <mc:AlternateContent>
          <mc:Choice Requires="wps">
            <w:drawing>
              <wp:anchor distT="63500" distB="0" distL="0" distR="0" simplePos="0" relativeHeight="125830012" behindDoc="0" locked="0" layoutInCell="1" allowOverlap="1">
                <wp:simplePos x="0" y="0"/>
                <wp:positionH relativeFrom="page">
                  <wp:posOffset>3836035</wp:posOffset>
                </wp:positionH>
                <wp:positionV relativeFrom="paragraph">
                  <wp:posOffset>2225040</wp:posOffset>
                </wp:positionV>
                <wp:extent cx="1654810" cy="2553970"/>
                <wp:effectExtent l="0" t="0" r="0" b="0"/>
                <wp:wrapSquare wrapText="bothSides"/>
                <wp:docPr id="635" name="Shape 635"/>
                <wp:cNvGraphicFramePr/>
                <a:graphic xmlns:a="http://schemas.openxmlformats.org/drawingml/2006/main">
                  <a:graphicData uri="http://schemas.microsoft.com/office/word/2010/wordprocessingShape">
                    <wps:wsp>
                      <wps:cNvSpPr txBox="1"/>
                      <wps:spPr>
                        <a:xfrm>
                          <a:off x="0" y="0"/>
                          <a:ext cx="1654810" cy="2553970"/>
                        </a:xfrm>
                        <a:prstGeom prst="rect">
                          <a:avLst/>
                        </a:prstGeom>
                        <a:noFill/>
                      </wps:spPr>
                      <wps:txbx>
                        <w:txbxContent>
                          <w:p w:rsidR="00500724" w:rsidRDefault="00F30FB8">
                            <w:pPr>
                              <w:pStyle w:val="Zkladntext1"/>
                              <w:shd w:val="clear" w:color="auto" w:fill="auto"/>
                              <w:spacing w:line="180" w:lineRule="auto"/>
                              <w:ind w:firstLine="0"/>
                              <w:rPr>
                                <w:sz w:val="20"/>
                                <w:szCs w:val="20"/>
                              </w:rPr>
                            </w:pPr>
                            <w:r>
                              <w:rPr>
                                <w:i/>
                                <w:iCs/>
                                <w:sz w:val="20"/>
                                <w:szCs w:val="20"/>
                              </w:rPr>
                              <w:t>jen role Athén. Nuže, příka</w:t>
                            </w:r>
                            <w:r>
                              <w:rPr>
                                <w:i/>
                                <w:iCs/>
                                <w:sz w:val="20"/>
                                <w:szCs w:val="20"/>
                              </w:rPr>
                              <w:softHyphen/>
                              <w:t>zem doby je, vyrovnat se s novými poměry a všechny</w:t>
                            </w:r>
                            <w:r>
                              <w:rPr>
                                <w:b/>
                                <w:bCs/>
                              </w:rPr>
                              <w:t xml:space="preserve"> sí- </w:t>
                            </w:r>
                            <w:r>
                              <w:rPr>
                                <w:i/>
                                <w:iCs/>
                                <w:sz w:val="20"/>
                                <w:szCs w:val="20"/>
                              </w:rPr>
                              <w:t>ly, uvolněné tímto částečným omezením, věnovat té polo</w:t>
                            </w:r>
                            <w:r>
                              <w:rPr>
                                <w:i/>
                                <w:iCs/>
                                <w:sz w:val="20"/>
                                <w:szCs w:val="20"/>
                              </w:rPr>
                              <w:softHyphen/>
                              <w:t>vině druhé, udělat z druhé poloviny celek. Nebot bylo nám slíbeno, že ta d</w:t>
                            </w:r>
                            <w:r>
                              <w:rPr>
                                <w:i/>
                                <w:iCs/>
                                <w:sz w:val="20"/>
                                <w:szCs w:val="20"/>
                              </w:rPr>
                              <w:t>ruhá po</w:t>
                            </w:r>
                            <w:r>
                              <w:rPr>
                                <w:i/>
                                <w:iCs/>
                                <w:sz w:val="20"/>
                                <w:szCs w:val="20"/>
                              </w:rPr>
                              <w:softHyphen/>
                              <w:t>lovina nám bude opravdu ponechána.</w:t>
                            </w:r>
                          </w:p>
                          <w:p w:rsidR="00500724" w:rsidRDefault="00F30FB8">
                            <w:pPr>
                              <w:pStyle w:val="Zkladntext1"/>
                              <w:shd w:val="clear" w:color="auto" w:fill="auto"/>
                              <w:spacing w:line="180" w:lineRule="auto"/>
                              <w:ind w:firstLine="200"/>
                              <w:rPr>
                                <w:sz w:val="20"/>
                                <w:szCs w:val="20"/>
                              </w:rPr>
                            </w:pPr>
                            <w:r>
                              <w:rPr>
                                <w:i/>
                                <w:iCs/>
                                <w:sz w:val="20"/>
                                <w:szCs w:val="20"/>
                              </w:rPr>
                              <w:t>Role Athén — to je péče o kulturu. Nebudiž tu rozebí</w:t>
                            </w:r>
                            <w:r>
                              <w:rPr>
                                <w:i/>
                                <w:iCs/>
                                <w:sz w:val="20"/>
                                <w:szCs w:val="20"/>
                              </w:rPr>
                              <w:softHyphen/>
                              <w:t>ráno, jak o ni máme pečovat. Každá péče, každý čin v její prospěch, dobře myšlený a upřímně, bez postranních cí</w:t>
                            </w:r>
                            <w:r>
                              <w:rPr>
                                <w:i/>
                                <w:iCs/>
                                <w:sz w:val="20"/>
                                <w:szCs w:val="20"/>
                              </w:rPr>
                              <w:softHyphen/>
                              <w:t>lů vykonaný, jí prospěje. Ne- umenšujme si v nes</w:t>
                            </w:r>
                            <w:r>
                              <w:rPr>
                                <w:i/>
                                <w:iCs/>
                                <w:sz w:val="20"/>
                                <w:szCs w:val="20"/>
                              </w:rPr>
                              <w:t>právném a škodlivém pocitu méněcen- nosti — význam a možnosti, které pro nás trvají i po bo</w:t>
                            </w:r>
                            <w:r>
                              <w:rPr>
                                <w:i/>
                                <w:iCs/>
                                <w:sz w:val="20"/>
                                <w:szCs w:val="20"/>
                              </w:rPr>
                              <w:softHyphen/>
                              <w:t>ku velikána s kulturou z nej</w:t>
                            </w:r>
                            <w:r>
                              <w:rPr>
                                <w:i/>
                                <w:iCs/>
                                <w:sz w:val="20"/>
                                <w:szCs w:val="20"/>
                              </w:rPr>
                              <w:softHyphen/>
                              <w:t>vyspělejších a vskutku vůd-</w:t>
                            </w:r>
                          </w:p>
                        </w:txbxContent>
                      </wps:txbx>
                      <wps:bodyPr lIns="0" tIns="0" rIns="0" bIns="0">
                        <a:spAutoFit/>
                      </wps:bodyPr>
                    </wps:wsp>
                  </a:graphicData>
                </a:graphic>
              </wp:anchor>
            </w:drawing>
          </mc:Choice>
          <mc:Fallback>
            <w:pict>
              <v:shape id="_x0000_s1661" type="#_x0000_t202" style="position:absolute;margin-left:302.05000000000001pt;margin-top:175.19999999999999pt;width:130.30000000000001pt;height:201.09999999999999pt;z-index:-125828741;mso-wrap-distance-left:0;mso-wrap-distance-top:5.pt;mso-wrap-distance-right:0;mso-position-horizontal-relative:page" filled="f" stroked="f">
                <v:textbox style="mso-fit-shape-to-text:t" inset="0,0,0,0">
                  <w:txbxContent>
                    <w:p>
                      <w:pPr>
                        <w:pStyle w:val="Style18"/>
                        <w:keepNext w:val="0"/>
                        <w:keepLines w:val="0"/>
                        <w:widowControl w:val="0"/>
                        <w:shd w:val="clear" w:color="auto" w:fill="auto"/>
                        <w:bidi w:val="0"/>
                        <w:spacing w:before="0" w:after="0" w:line="180" w:lineRule="auto"/>
                        <w:ind w:left="0" w:right="0" w:firstLine="0"/>
                        <w:rPr>
                          <w:sz w:val="20"/>
                          <w:szCs w:val="20"/>
                        </w:rPr>
                      </w:pPr>
                      <w:r>
                        <w:rPr>
                          <w:i/>
                          <w:iCs/>
                          <w:color w:val="000000"/>
                          <w:spacing w:val="0"/>
                          <w:w w:val="100"/>
                          <w:position w:val="0"/>
                          <w:sz w:val="20"/>
                          <w:szCs w:val="20"/>
                          <w:shd w:val="clear" w:color="auto" w:fill="auto"/>
                          <w:lang w:val="cs-CZ" w:eastAsia="cs-CZ" w:bidi="cs-CZ"/>
                        </w:rPr>
                        <w:t>jen role Athén. Nuže, příka</w:t>
                        <w:softHyphen/>
                        <w:t>zem doby je, vyrovnat se s novými poměry a všechny</w:t>
                      </w:r>
                      <w:r>
                        <w:rPr>
                          <w:b/>
                          <w:bCs/>
                          <w:color w:val="000000"/>
                          <w:spacing w:val="0"/>
                          <w:w w:val="100"/>
                          <w:position w:val="0"/>
                          <w:sz w:val="19"/>
                          <w:szCs w:val="19"/>
                          <w:shd w:val="clear" w:color="auto" w:fill="auto"/>
                          <w:lang w:val="cs-CZ" w:eastAsia="cs-CZ" w:bidi="cs-CZ"/>
                        </w:rPr>
                        <w:t xml:space="preserve"> sí- </w:t>
                      </w:r>
                      <w:r>
                        <w:rPr>
                          <w:i/>
                          <w:iCs/>
                          <w:color w:val="000000"/>
                          <w:spacing w:val="0"/>
                          <w:w w:val="100"/>
                          <w:position w:val="0"/>
                          <w:sz w:val="20"/>
                          <w:szCs w:val="20"/>
                          <w:shd w:val="clear" w:color="auto" w:fill="auto"/>
                          <w:lang w:val="cs-CZ" w:eastAsia="cs-CZ" w:bidi="cs-CZ"/>
                        </w:rPr>
                        <w:t>ly, uvolněné tímto částečným omezením, věnovat té polo</w:t>
                        <w:softHyphen/>
                        <w:t>vině druhé, udělat z druhé poloviny celek. Nebot bylo nám slíbeno, že ta druhá po</w:t>
                        <w:softHyphen/>
                        <w:t>lovina nám bude opravdu ponechána.</w:t>
                      </w:r>
                    </w:p>
                    <w:p>
                      <w:pPr>
                        <w:pStyle w:val="Style18"/>
                        <w:keepNext w:val="0"/>
                        <w:keepLines w:val="0"/>
                        <w:widowControl w:val="0"/>
                        <w:shd w:val="clear" w:color="auto" w:fill="auto"/>
                        <w:bidi w:val="0"/>
                        <w:spacing w:before="0" w:after="0" w:line="180" w:lineRule="auto"/>
                        <w:ind w:left="0" w:right="0" w:firstLine="200"/>
                        <w:rPr>
                          <w:sz w:val="20"/>
                          <w:szCs w:val="20"/>
                        </w:rPr>
                      </w:pPr>
                      <w:r>
                        <w:rPr>
                          <w:i/>
                          <w:iCs/>
                          <w:color w:val="000000"/>
                          <w:spacing w:val="0"/>
                          <w:w w:val="100"/>
                          <w:position w:val="0"/>
                          <w:sz w:val="20"/>
                          <w:szCs w:val="20"/>
                          <w:shd w:val="clear" w:color="auto" w:fill="auto"/>
                          <w:lang w:val="cs-CZ" w:eastAsia="cs-CZ" w:bidi="cs-CZ"/>
                        </w:rPr>
                        <w:t>Role Athén — to je péče o kulturu. Nebudiž tu rozebí</w:t>
                        <w:softHyphen/>
                        <w:t>ráno, jak o ni máme pečovat. Každá péče, každý čin v její prospěch, dobře myšlený a upřímně, bez postranních cí</w:t>
                        <w:softHyphen/>
                        <w:t>lů vykonaný, jí prospěje. Ne- umenšujme si v nesprávném a škodlivém pocitu méněcen- nosti — význam a možnosti, které pro nás trvají i po bo</w:t>
                        <w:softHyphen/>
                        <w:t>ku velikána s kulturou z nej</w:t>
                        <w:softHyphen/>
                        <w:t>vyspělejších a vskutku vůd-</w:t>
                      </w:r>
                    </w:p>
                  </w:txbxContent>
                </v:textbox>
                <w10:wrap type="square" anchorx="page"/>
              </v:shape>
            </w:pict>
          </mc:Fallback>
        </mc:AlternateContent>
      </w:r>
    </w:p>
    <w:p w:rsidR="00500724" w:rsidRDefault="00F30FB8">
      <w:pPr>
        <w:pStyle w:val="Zkladntext1"/>
        <w:shd w:val="clear" w:color="auto" w:fill="auto"/>
        <w:spacing w:after="40" w:line="182" w:lineRule="auto"/>
        <w:ind w:firstLine="0"/>
        <w:jc w:val="left"/>
        <w:rPr>
          <w:sz w:val="20"/>
          <w:szCs w:val="20"/>
        </w:rPr>
      </w:pPr>
      <w:r>
        <w:rPr>
          <w:i/>
          <w:iCs/>
          <w:sz w:val="20"/>
          <w:szCs w:val="20"/>
        </w:rPr>
        <w:t>Vladimír Holan:</w:t>
      </w:r>
    </w:p>
    <w:p w:rsidR="00500724" w:rsidRDefault="00F30FB8">
      <w:pPr>
        <w:pStyle w:val="Zkladntext1"/>
        <w:shd w:val="clear" w:color="auto" w:fill="auto"/>
        <w:spacing w:after="40" w:line="182" w:lineRule="auto"/>
        <w:ind w:firstLine="0"/>
        <w:jc w:val="center"/>
        <w:rPr>
          <w:sz w:val="20"/>
          <w:szCs w:val="20"/>
        </w:rPr>
      </w:pPr>
      <w:r>
        <w:rPr>
          <w:i/>
          <w:iCs/>
          <w:sz w:val="20"/>
          <w:szCs w:val="20"/>
        </w:rPr>
        <w:t>SEN</w:t>
      </w:r>
    </w:p>
    <w:p w:rsidR="00500724" w:rsidRDefault="00F30FB8">
      <w:pPr>
        <w:pStyle w:val="Zkladntext1"/>
        <w:shd w:val="clear" w:color="auto" w:fill="auto"/>
        <w:spacing w:line="182" w:lineRule="auto"/>
        <w:ind w:left="800" w:hanging="800"/>
        <w:jc w:val="left"/>
        <w:rPr>
          <w:sz w:val="20"/>
          <w:szCs w:val="20"/>
        </w:rPr>
      </w:pPr>
      <w:r>
        <w:rPr>
          <w:i/>
          <w:iCs/>
          <w:sz w:val="20"/>
          <w:szCs w:val="20"/>
        </w:rPr>
        <w:t>Jsou k závrati ty zvuky dvojí...</w:t>
      </w:r>
    </w:p>
    <w:p w:rsidR="00500724" w:rsidRDefault="00F30FB8">
      <w:pPr>
        <w:pStyle w:val="Zkladntext1"/>
        <w:shd w:val="clear" w:color="auto" w:fill="auto"/>
        <w:spacing w:line="182" w:lineRule="auto"/>
        <w:ind w:firstLine="0"/>
        <w:jc w:val="left"/>
        <w:rPr>
          <w:sz w:val="20"/>
          <w:szCs w:val="20"/>
        </w:rPr>
      </w:pPr>
      <w:r>
        <w:rPr>
          <w:i/>
          <w:iCs/>
          <w:sz w:val="20"/>
          <w:szCs w:val="20"/>
        </w:rPr>
        <w:t xml:space="preserve">A jak už tomu bývá v tmách, </w:t>
      </w:r>
      <w:r>
        <w:rPr>
          <w:b/>
          <w:bCs/>
        </w:rPr>
        <w:t xml:space="preserve">i </w:t>
      </w:r>
      <w:r>
        <w:rPr>
          <w:i/>
          <w:iCs/>
          <w:sz w:val="20"/>
          <w:szCs w:val="20"/>
        </w:rPr>
        <w:t>ten, kdo přímo v osud s</w:t>
      </w:r>
      <w:r>
        <w:rPr>
          <w:i/>
          <w:iCs/>
          <w:sz w:val="20"/>
          <w:szCs w:val="20"/>
        </w:rPr>
        <w:t xml:space="preserve">tojí, bezbrannost cítí po stranách, zatím co všechno viditelné </w:t>
      </w:r>
      <w:r>
        <w:rPr>
          <w:b/>
          <w:bCs/>
          <w:i/>
          <w:iCs/>
          <w:sz w:val="20"/>
          <w:szCs w:val="20"/>
        </w:rPr>
        <w:t xml:space="preserve">v </w:t>
      </w:r>
      <w:r>
        <w:rPr>
          <w:i/>
          <w:iCs/>
          <w:sz w:val="20"/>
          <w:szCs w:val="20"/>
        </w:rPr>
        <w:t xml:space="preserve">neviditelnost chytře velne </w:t>
      </w:r>
      <w:r>
        <w:rPr>
          <w:b/>
          <w:bCs/>
          <w:i/>
          <w:iCs/>
          <w:sz w:val="20"/>
          <w:szCs w:val="20"/>
        </w:rPr>
        <w:t xml:space="preserve">a </w:t>
      </w:r>
      <w:r>
        <w:rPr>
          <w:i/>
          <w:iCs/>
          <w:sz w:val="20"/>
          <w:szCs w:val="20"/>
        </w:rPr>
        <w:t>brousí tam svůj nůž</w:t>
      </w:r>
    </w:p>
    <w:p w:rsidR="00500724" w:rsidRDefault="00F30FB8">
      <w:pPr>
        <w:pStyle w:val="Zkladntext1"/>
        <w:shd w:val="clear" w:color="auto" w:fill="auto"/>
        <w:spacing w:line="182" w:lineRule="auto"/>
        <w:ind w:left="800" w:firstLine="20"/>
        <w:jc w:val="left"/>
        <w:rPr>
          <w:sz w:val="20"/>
          <w:szCs w:val="20"/>
        </w:rPr>
      </w:pPr>
      <w:r>
        <w:rPr>
          <w:i/>
          <w:iCs/>
          <w:sz w:val="20"/>
          <w:szCs w:val="20"/>
        </w:rPr>
        <w:t>a dráp...</w:t>
      </w:r>
    </w:p>
    <w:p w:rsidR="00500724" w:rsidRDefault="00F30FB8">
      <w:pPr>
        <w:pStyle w:val="Zkladntext1"/>
        <w:shd w:val="clear" w:color="auto" w:fill="auto"/>
        <w:spacing w:line="182" w:lineRule="auto"/>
        <w:ind w:left="800" w:hanging="800"/>
        <w:jc w:val="left"/>
        <w:rPr>
          <w:sz w:val="20"/>
          <w:szCs w:val="20"/>
        </w:rPr>
      </w:pPr>
      <w:r>
        <w:rPr>
          <w:i/>
          <w:iCs/>
          <w:sz w:val="20"/>
          <w:szCs w:val="20"/>
        </w:rPr>
        <w:t>Jsou k závrati ten sten a smíchy.</w:t>
      </w:r>
    </w:p>
    <w:p w:rsidR="00500724" w:rsidRDefault="00F30FB8">
      <w:pPr>
        <w:pStyle w:val="Zkladntext1"/>
        <w:shd w:val="clear" w:color="auto" w:fill="auto"/>
        <w:spacing w:line="182" w:lineRule="auto"/>
        <w:ind w:firstLine="0"/>
        <w:jc w:val="left"/>
        <w:rPr>
          <w:sz w:val="20"/>
          <w:szCs w:val="20"/>
        </w:rPr>
      </w:pPr>
      <w:r>
        <w:rPr>
          <w:i/>
          <w:iCs/>
          <w:sz w:val="20"/>
          <w:szCs w:val="20"/>
        </w:rPr>
        <w:t>Soukají vlákna ze tvé míchy a chytají v ně pohyb map.</w:t>
      </w:r>
    </w:p>
    <w:p w:rsidR="00500724" w:rsidRDefault="00F30FB8">
      <w:pPr>
        <w:pStyle w:val="Zkladntext1"/>
        <w:shd w:val="clear" w:color="auto" w:fill="auto"/>
        <w:spacing w:line="182" w:lineRule="auto"/>
        <w:ind w:firstLine="0"/>
        <w:jc w:val="left"/>
        <w:rPr>
          <w:sz w:val="20"/>
          <w:szCs w:val="20"/>
        </w:rPr>
      </w:pPr>
      <w:r>
        <w:rPr>
          <w:i/>
          <w:iCs/>
          <w:sz w:val="20"/>
          <w:szCs w:val="20"/>
        </w:rPr>
        <w:t xml:space="preserve">Z děr orákula fičí k tomu rady, jak skvrny </w:t>
      </w:r>
      <w:r>
        <w:rPr>
          <w:i/>
          <w:iCs/>
          <w:sz w:val="20"/>
          <w:szCs w:val="20"/>
        </w:rPr>
        <w:t>pochyb smýt, jak ucpat uši vatou hromů a lebečně se uzavřít, jak chránit mythy semenité pod hlínou veršů, v hloubce,</w:t>
      </w:r>
    </w:p>
    <w:p w:rsidR="00500724" w:rsidRDefault="00F30FB8">
      <w:pPr>
        <w:pStyle w:val="Zkladntext1"/>
        <w:shd w:val="clear" w:color="auto" w:fill="auto"/>
        <w:spacing w:line="182" w:lineRule="auto"/>
        <w:ind w:left="800" w:firstLine="20"/>
        <w:jc w:val="left"/>
        <w:rPr>
          <w:sz w:val="20"/>
          <w:szCs w:val="20"/>
        </w:rPr>
      </w:pPr>
      <w:r>
        <w:rPr>
          <w:i/>
          <w:iCs/>
          <w:sz w:val="20"/>
          <w:szCs w:val="20"/>
        </w:rPr>
        <w:t>skryté</w:t>
      </w:r>
    </w:p>
    <w:p w:rsidR="00500724" w:rsidRDefault="00F30FB8">
      <w:pPr>
        <w:pStyle w:val="Zkladntext1"/>
        <w:shd w:val="clear" w:color="auto" w:fill="auto"/>
        <w:spacing w:line="182" w:lineRule="auto"/>
        <w:ind w:firstLine="0"/>
        <w:jc w:val="left"/>
        <w:rPr>
          <w:sz w:val="20"/>
          <w:szCs w:val="20"/>
        </w:rPr>
      </w:pPr>
      <w:r>
        <w:rPr>
          <w:i/>
          <w:iCs/>
          <w:sz w:val="20"/>
          <w:szCs w:val="20"/>
        </w:rPr>
        <w:t>všemu, co nemá prvenství svobody, touhy, vyšších zvaní k velkému světa zživých</w:t>
      </w:r>
    </w:p>
    <w:p w:rsidR="00500724" w:rsidRDefault="00F30FB8">
      <w:pPr>
        <w:pStyle w:val="Zkladntext1"/>
        <w:shd w:val="clear" w:color="auto" w:fill="auto"/>
        <w:spacing w:line="182" w:lineRule="auto"/>
        <w:ind w:left="800" w:firstLine="20"/>
        <w:jc w:val="left"/>
        <w:rPr>
          <w:sz w:val="20"/>
          <w:szCs w:val="20"/>
        </w:rPr>
      </w:pPr>
      <w:r>
        <w:rPr>
          <w:i/>
          <w:iCs/>
          <w:sz w:val="20"/>
          <w:szCs w:val="20"/>
        </w:rPr>
        <w:t>vstání</w:t>
      </w:r>
    </w:p>
    <w:p w:rsidR="00500724" w:rsidRDefault="00F30FB8">
      <w:pPr>
        <w:pStyle w:val="Zkladntext1"/>
        <w:shd w:val="clear" w:color="auto" w:fill="auto"/>
        <w:spacing w:after="100" w:line="182" w:lineRule="auto"/>
        <w:ind w:firstLine="0"/>
        <w:jc w:val="left"/>
        <w:rPr>
          <w:sz w:val="20"/>
          <w:szCs w:val="20"/>
        </w:rPr>
      </w:pPr>
      <w:r>
        <w:rPr>
          <w:i/>
          <w:iCs/>
          <w:sz w:val="20"/>
          <w:szCs w:val="20"/>
        </w:rPr>
        <w:t>při rythmu milosrdenství. .*)</w:t>
      </w:r>
    </w:p>
    <w:p w:rsidR="00500724" w:rsidRDefault="00F30FB8">
      <w:pPr>
        <w:pStyle w:val="Zkladntext40"/>
        <w:shd w:val="clear" w:color="auto" w:fill="auto"/>
        <w:spacing w:after="160" w:line="180" w:lineRule="auto"/>
        <w:ind w:firstLine="200"/>
      </w:pPr>
      <w:r>
        <w:t>* Úryvek z básni</w:t>
      </w:r>
      <w:r>
        <w:t>cké skladby Sen, která právě vyšla Jako 34. sv. sbírky České básně.</w:t>
      </w:r>
    </w:p>
    <w:p w:rsidR="00500724" w:rsidRDefault="00F30FB8">
      <w:pPr>
        <w:pStyle w:val="Nadpis120"/>
        <w:shd w:val="clear" w:color="auto" w:fill="auto"/>
        <w:spacing w:after="40"/>
        <w:ind w:left="0"/>
      </w:pPr>
      <w:bookmarkStart w:id="637" w:name="bookmark636"/>
      <w:r>
        <w:rPr>
          <w:rFonts w:ascii="Arial" w:eastAsia="Arial" w:hAnsi="Arial" w:cs="Arial"/>
        </w:rPr>
        <w:t>NOVÉ KNIHY</w:t>
      </w:r>
      <w:bookmarkEnd w:id="637"/>
    </w:p>
    <w:p w:rsidR="00500724" w:rsidRDefault="00F30FB8">
      <w:pPr>
        <w:pStyle w:val="Zkladntext90"/>
        <w:shd w:val="clear" w:color="auto" w:fill="auto"/>
        <w:spacing w:after="40" w:line="240" w:lineRule="auto"/>
        <w:ind w:firstLine="0"/>
        <w:jc w:val="left"/>
      </w:pPr>
      <w:r>
        <w:t>EDVARD VALENTA:</w:t>
      </w:r>
    </w:p>
    <w:p w:rsidR="00500724" w:rsidRDefault="00F30FB8">
      <w:pPr>
        <w:pStyle w:val="Zkladntext40"/>
        <w:shd w:val="clear" w:color="auto" w:fill="auto"/>
        <w:spacing w:after="40" w:line="175" w:lineRule="auto"/>
        <w:jc w:val="left"/>
        <w:rPr>
          <w:sz w:val="16"/>
          <w:szCs w:val="16"/>
        </w:rPr>
      </w:pPr>
      <w:r>
        <w:rPr>
          <w:b/>
          <w:bCs/>
          <w:sz w:val="16"/>
          <w:szCs w:val="16"/>
        </w:rPr>
        <w:t>LIDÉ, KTERÉ JSEM POTKAL CESTOU</w:t>
      </w:r>
    </w:p>
    <w:p w:rsidR="00500724" w:rsidRDefault="00F30FB8">
      <w:pPr>
        <w:pStyle w:val="Zkladntext40"/>
        <w:shd w:val="clear" w:color="auto" w:fill="auto"/>
        <w:spacing w:after="40"/>
        <w:ind w:firstLine="200"/>
      </w:pPr>
      <w:r>
        <w:t>Povídkový svazek Edvarda Va</w:t>
      </w:r>
      <w:r>
        <w:softHyphen/>
        <w:t>lenty Lidé, které jsem potkal ce</w:t>
      </w:r>
      <w:r>
        <w:softHyphen/>
        <w:t>stou, shrnuje několik dějově bo</w:t>
      </w:r>
      <w:r>
        <w:softHyphen/>
        <w:t>hatých a pestrých celků, inspiro</w:t>
      </w:r>
      <w:r>
        <w:softHyphen/>
      </w:r>
      <w:r>
        <w:t>vaných dojmy, příběhy a zážit</w:t>
      </w:r>
      <w:r>
        <w:softHyphen/>
        <w:t>ky, které si autor odnesl ze své velké zámořské cesty, uskuteč</w:t>
      </w:r>
      <w:r>
        <w:softHyphen/>
        <w:t>něné před třemi lety. Odtud ta opravdu exotická pestrost i dob- rodružnost děje a kouzelná pro</w:t>
      </w:r>
      <w:r>
        <w:softHyphen/>
        <w:t>měnlivost scény. Jako v dobro</w:t>
      </w:r>
      <w:r>
        <w:softHyphen/>
        <w:t>družném filmu střídají se tu nej- rozm</w:t>
      </w:r>
      <w:r>
        <w:t>anitější výjevy z různých končin světa, jež v svém celku skládají pestrý a jedinečný obraz mnohotvárného života jednoho vzdáleného světadílu. Tváří v tvář otáčivému jevišti Valento</w:t>
      </w:r>
      <w:r>
        <w:softHyphen/>
        <w:t>vých ^amerických povldek« žas</w:t>
      </w:r>
      <w:r>
        <w:softHyphen/>
        <w:t>nete nad pestrostí a mnohotvár</w:t>
      </w:r>
      <w:r>
        <w:softHyphen/>
        <w:t>ností života a</w:t>
      </w:r>
      <w:r>
        <w:t xml:space="preserve"> světa, lidských osudů i krajin, ocitajíce se tu na periferii americké metropole, tam v přepychovém jejím paláci, tu na kouzelném pobřeží kaliforn</w:t>
      </w:r>
      <w:r>
        <w:softHyphen/>
        <w:t>ském, tam zas uprostřed arizon- ské pustiny, nebo haitských hor, obývaných primitivními černo</w:t>
      </w:r>
      <w:r>
        <w:softHyphen/>
        <w:t>chy. S bystrost</w:t>
      </w:r>
      <w:r>
        <w:t>í rozeného pozo</w:t>
      </w:r>
      <w:r>
        <w:softHyphen/>
        <w:t>rovatele, jemuž neunikne nic ty</w:t>
      </w:r>
      <w:r>
        <w:softHyphen/>
        <w:t>pického a jedinečného, seznamuje nás tu Edvard Valenta s typic</w:t>
      </w:r>
      <w:r>
        <w:softHyphen/>
        <w:t>kými postavami, jak je potkal na své světoběžnické pouti Ameri</w:t>
      </w:r>
      <w:r>
        <w:softHyphen/>
        <w:t>kou, osvědčuje při tom nejen vy</w:t>
      </w:r>
      <w:r>
        <w:softHyphen/>
        <w:t>právěčskou pohotovost i osobi</w:t>
      </w:r>
      <w:r>
        <w:softHyphen/>
        <w:t>tost, nýbrž i vzácný</w:t>
      </w:r>
      <w:r>
        <w:t xml:space="preserve"> smysl pro dějovou sevřenost a úspornost věty vyprávěčsky již zralé a pevné. Slovem: Edvard Valenta se se svou knihou projevuje jako zralý, zkušený vypravěč, který nezůstává nic dlužen svým ne</w:t>
      </w:r>
      <w:r>
        <w:softHyphen/>
        <w:t>všedním a bohatým zážitkům a poznáni světoběžníka, jenž svět pr</w:t>
      </w:r>
      <w:r>
        <w:t xml:space="preserve">ošel </w:t>
      </w:r>
      <w:r>
        <w:rPr>
          <w:rFonts w:ascii="Georgia" w:eastAsia="Georgia" w:hAnsi="Georgia" w:cs="Georgia"/>
          <w:b/>
          <w:bCs/>
          <w:sz w:val="13"/>
          <w:szCs w:val="13"/>
        </w:rPr>
        <w:t xml:space="preserve">s </w:t>
      </w:r>
      <w:r>
        <w:t>očima otevřenýma. Cena brož. svazku je 20 K.</w:t>
      </w:r>
    </w:p>
    <w:p w:rsidR="00500724" w:rsidRDefault="00F30FB8">
      <w:pPr>
        <w:pStyle w:val="Zkladntext1"/>
        <w:shd w:val="clear" w:color="auto" w:fill="auto"/>
        <w:spacing w:line="185" w:lineRule="auto"/>
        <w:ind w:firstLine="200"/>
        <w:rPr>
          <w:sz w:val="20"/>
          <w:szCs w:val="20"/>
        </w:rPr>
      </w:pPr>
      <w:r>
        <w:rPr>
          <w:i/>
          <w:iCs/>
          <w:sz w:val="20"/>
          <w:szCs w:val="20"/>
        </w:rPr>
        <w:t>Byli jsme státem, který se pokoušel vyrovnat na svém teritoriu roli Sparty a roli Athén, přivést obě role v har</w:t>
      </w:r>
      <w:r>
        <w:rPr>
          <w:i/>
          <w:iCs/>
          <w:sz w:val="20"/>
          <w:szCs w:val="20"/>
        </w:rPr>
        <w:softHyphen/>
        <w:t>monii, koordinovat je, vyvá</w:t>
      </w:r>
      <w:r>
        <w:rPr>
          <w:i/>
          <w:iCs/>
          <w:sz w:val="20"/>
          <w:szCs w:val="20"/>
        </w:rPr>
        <w:softHyphen/>
        <w:t>žit. Nelze říci, že se nám to nedařilo. Ale to je minulost. Z vl</w:t>
      </w:r>
      <w:r>
        <w:rPr>
          <w:i/>
          <w:iCs/>
          <w:sz w:val="20"/>
          <w:szCs w:val="20"/>
        </w:rPr>
        <w:t>astností Sparty by nám nyní měla zůstat alespoň jed</w:t>
      </w:r>
      <w:r>
        <w:rPr>
          <w:i/>
          <w:iCs/>
          <w:sz w:val="20"/>
          <w:szCs w:val="20"/>
        </w:rPr>
        <w:softHyphen/>
        <w:t>na: dovést se odloučit od mi</w:t>
      </w:r>
      <w:r>
        <w:rPr>
          <w:i/>
          <w:iCs/>
          <w:sz w:val="20"/>
          <w:szCs w:val="20"/>
        </w:rPr>
        <w:softHyphen/>
        <w:t>nulosti a odhodlaně se starat — i za podmínek sebe těž</w:t>
      </w:r>
      <w:r>
        <w:rPr>
          <w:i/>
          <w:iCs/>
          <w:sz w:val="20"/>
          <w:szCs w:val="20"/>
        </w:rPr>
        <w:softHyphen/>
        <w:t>ších — o budoucnost.</w:t>
      </w:r>
    </w:p>
    <w:p w:rsidR="00500724" w:rsidRDefault="00F30FB8">
      <w:pPr>
        <w:pStyle w:val="Zkladntext1"/>
        <w:shd w:val="clear" w:color="auto" w:fill="auto"/>
        <w:spacing w:line="185" w:lineRule="auto"/>
        <w:ind w:firstLine="200"/>
        <w:rPr>
          <w:sz w:val="20"/>
          <w:szCs w:val="20"/>
        </w:rPr>
      </w:pPr>
      <w:r>
        <w:rPr>
          <w:i/>
          <w:iCs/>
          <w:sz w:val="20"/>
          <w:szCs w:val="20"/>
        </w:rPr>
        <w:t>Ta budoucnost už není ve znamení souřadnosti Sparty a Athén. Role Sparty náleží z největší části mi</w:t>
      </w:r>
      <w:r>
        <w:rPr>
          <w:i/>
          <w:iCs/>
          <w:sz w:val="20"/>
          <w:szCs w:val="20"/>
        </w:rPr>
        <w:t>nulosti. Spartánské úkoly a povinnos</w:t>
      </w:r>
      <w:r>
        <w:rPr>
          <w:i/>
          <w:iCs/>
          <w:sz w:val="20"/>
          <w:szCs w:val="20"/>
        </w:rPr>
        <w:softHyphen/>
        <w:t>ti byly s nás sňaty a převza</w:t>
      </w:r>
      <w:r>
        <w:rPr>
          <w:i/>
          <w:iCs/>
          <w:sz w:val="20"/>
          <w:szCs w:val="20"/>
        </w:rPr>
        <w:softHyphen/>
        <w:t>ty jinými. Zbyla nám zcela</w:t>
      </w:r>
    </w:p>
    <w:p w:rsidR="00500724" w:rsidRDefault="00F30FB8">
      <w:pPr>
        <w:spacing w:line="1" w:lineRule="exact"/>
        <w:rPr>
          <w:sz w:val="2"/>
          <w:szCs w:val="2"/>
        </w:rPr>
      </w:pPr>
      <w:r>
        <w:br w:type="column"/>
      </w:r>
    </w:p>
    <w:p w:rsidR="00500724" w:rsidRDefault="00F30FB8">
      <w:pPr>
        <w:pStyle w:val="Zkladntext40"/>
        <w:shd w:val="clear" w:color="auto" w:fill="auto"/>
        <w:spacing w:after="80" w:line="175" w:lineRule="auto"/>
      </w:pPr>
      <w:r>
        <w:t>zájmů a spolu i obraz středoškol</w:t>
      </w:r>
      <w:r>
        <w:softHyphen/>
        <w:t>ského mládí, jeho zvídavosti, dychtivosti a bojovnosti, opravdu jako na dlani. Cena čísla je 2 K.</w:t>
      </w:r>
    </w:p>
    <w:p w:rsidR="00500724" w:rsidRDefault="00F30FB8">
      <w:pPr>
        <w:pStyle w:val="Zkladntext40"/>
        <w:shd w:val="clear" w:color="auto" w:fill="auto"/>
        <w:spacing w:after="0"/>
        <w:ind w:firstLine="160"/>
      </w:pPr>
      <w:r>
        <w:rPr>
          <w:rFonts w:ascii="Georgia" w:eastAsia="Georgia" w:hAnsi="Georgia" w:cs="Georgia"/>
          <w:b/>
          <w:bCs/>
          <w:sz w:val="13"/>
          <w:szCs w:val="13"/>
        </w:rPr>
        <w:t xml:space="preserve">V </w:t>
      </w:r>
      <w:r>
        <w:t xml:space="preserve">dobách dobrých i zlých. </w:t>
      </w:r>
      <w:r>
        <w:t>Vzáj. dobroč. obch. spolek »Záchrana« v Praze II., Národní třída 20., tel. 380-85, koná svědomitě svoje hu</w:t>
      </w:r>
      <w:r>
        <w:softHyphen/>
        <w:t>mánní poslání. Na 34. valné hro</w:t>
      </w:r>
      <w:r>
        <w:softHyphen/>
        <w:t>madě bylo konstatováno, že i loň</w:t>
      </w:r>
      <w:r>
        <w:softHyphen/>
        <w:t>ského roku. vzdor mimořádným politickým událostem, bylo vy</w:t>
      </w:r>
      <w:r>
        <w:softHyphen/>
        <w:t>placeno pozůstalým po čle</w:t>
      </w:r>
      <w:r>
        <w:t>nech K 903.600.— na úmrtních podpo</w:t>
      </w:r>
      <w:r>
        <w:softHyphen/>
        <w:t>rách, K 90.871.— na zálohách a K 5749.95 na mimořádných pod</w:t>
      </w:r>
      <w:r>
        <w:softHyphen/>
        <w:t>porách, což svědčí o stále rostou</w:t>
      </w:r>
      <w:r>
        <w:softHyphen/>
        <w:t>cí aktivitě této humánní institu</w:t>
      </w:r>
      <w:r>
        <w:softHyphen/>
        <w:t xml:space="preserve">ce. která z nepatrných začátků v </w:t>
      </w:r>
      <w:r>
        <w:rPr>
          <w:rFonts w:ascii="Georgia" w:eastAsia="Georgia" w:hAnsi="Georgia" w:cs="Georgia"/>
          <w:b/>
          <w:bCs/>
          <w:sz w:val="13"/>
          <w:szCs w:val="13"/>
        </w:rPr>
        <w:t xml:space="preserve">r. </w:t>
      </w:r>
      <w:r>
        <w:t>1905 vzrostla na největší čes</w:t>
      </w:r>
      <w:r>
        <w:softHyphen/>
        <w:t>ký spolek tohoto druhu na na</w:t>
      </w:r>
      <w:r>
        <w:t>šem území, vyplativši celkem 12 mil. 679.300 K na úmrtních podporách. Konečné hodnoty úmrtních pod</w:t>
      </w:r>
      <w:r>
        <w:softHyphen/>
        <w:t>por 5000 členství representuji pe</w:t>
      </w:r>
      <w:r>
        <w:softHyphen/>
        <w:t>níz na 50 mil. K, které jsou zajiš</w:t>
      </w:r>
      <w:r>
        <w:softHyphen/>
        <w:t>těny reservním fondem, sestáva</w:t>
      </w:r>
      <w:r>
        <w:softHyphen/>
        <w:t>jícím vedle stát. cenných papírů hlavně z domovního majet</w:t>
      </w:r>
      <w:r>
        <w:t>ku (palác »Louvre« na Národní tř. čp. 116 a 1987-11, obchodní dům ve Spálené ulici, v němž je na</w:t>
      </w:r>
      <w:r>
        <w:softHyphen/>
        <w:t>kladatelství Mazáč, čp. 110-11. a činž. dům na Palackého tř. čp. 181-X., který je ve stavbě), je</w:t>
      </w:r>
      <w:r>
        <w:softHyphen/>
        <w:t>jichž skutečná hodnota represen-</w:t>
      </w:r>
    </w:p>
    <w:p w:rsidR="00500724" w:rsidRDefault="00F30FB8">
      <w:pPr>
        <w:spacing w:line="1" w:lineRule="exact"/>
        <w:rPr>
          <w:sz w:val="2"/>
          <w:szCs w:val="2"/>
        </w:rPr>
      </w:pPr>
      <w:r>
        <w:br w:type="column"/>
      </w:r>
    </w:p>
    <w:p w:rsidR="00500724" w:rsidRDefault="00F30FB8">
      <w:pPr>
        <w:pStyle w:val="Zkladntext1"/>
        <w:shd w:val="clear" w:color="auto" w:fill="auto"/>
        <w:spacing w:line="182" w:lineRule="auto"/>
        <w:ind w:firstLine="0"/>
        <w:rPr>
          <w:sz w:val="20"/>
          <w:szCs w:val="20"/>
        </w:rPr>
      </w:pPr>
      <w:r>
        <w:rPr>
          <w:i/>
          <w:iCs/>
          <w:sz w:val="20"/>
          <w:szCs w:val="20"/>
        </w:rPr>
        <w:t xml:space="preserve">čích. Několikrát jsme byli </w:t>
      </w:r>
      <w:r>
        <w:rPr>
          <w:i/>
          <w:iCs/>
          <w:sz w:val="20"/>
          <w:szCs w:val="20"/>
        </w:rPr>
        <w:t>z úst velmi povolaných ujiště</w:t>
      </w:r>
      <w:r>
        <w:rPr>
          <w:i/>
          <w:iCs/>
          <w:sz w:val="20"/>
          <w:szCs w:val="20"/>
        </w:rPr>
        <w:softHyphen/>
        <w:t>ni, že kultura naše zůstane svébytnou, a je na nás doká</w:t>
      </w:r>
      <w:r>
        <w:rPr>
          <w:i/>
          <w:iCs/>
          <w:sz w:val="20"/>
          <w:szCs w:val="20"/>
        </w:rPr>
        <w:softHyphen/>
        <w:t>zat, aby zůstala i významnou. Snažme se dvojnásob pečovat o to, aby naše práce na poli kulturním, pro niž bylo to</w:t>
      </w:r>
      <w:r>
        <w:rPr>
          <w:i/>
          <w:iCs/>
          <w:sz w:val="20"/>
          <w:szCs w:val="20"/>
        </w:rPr>
        <w:softHyphen/>
        <w:t>lik sil uvolněno, měla význam nejen pro nás, ale i pro s</w:t>
      </w:r>
      <w:r>
        <w:rPr>
          <w:i/>
          <w:iCs/>
          <w:sz w:val="20"/>
          <w:szCs w:val="20"/>
        </w:rPr>
        <w:t>vět. Není to nekritické přecenění, vždyť z naší kulturní práce vzešly již tolikrát plody, svým dosahem daleko překročivši etnografické hranice. Svou kulturní prací můžeme — v to pevně věříme — přispět</w:t>
      </w:r>
      <w:r>
        <w:rPr>
          <w:b/>
          <w:bCs/>
        </w:rPr>
        <w:t xml:space="preserve"> i </w:t>
      </w:r>
      <w:r>
        <w:rPr>
          <w:i/>
          <w:iCs/>
          <w:sz w:val="20"/>
          <w:szCs w:val="20"/>
        </w:rPr>
        <w:t>kultuře Německa a světa vů</w:t>
      </w:r>
      <w:r>
        <w:rPr>
          <w:i/>
          <w:iCs/>
          <w:sz w:val="20"/>
          <w:szCs w:val="20"/>
        </w:rPr>
        <w:softHyphen/>
        <w:t>bec.</w:t>
      </w:r>
    </w:p>
    <w:p w:rsidR="00500724" w:rsidRDefault="00F30FB8">
      <w:pPr>
        <w:pStyle w:val="Zkladntext1"/>
        <w:shd w:val="clear" w:color="auto" w:fill="auto"/>
        <w:spacing w:after="240" w:line="180" w:lineRule="auto"/>
        <w:ind w:firstLine="260"/>
        <w:rPr>
          <w:sz w:val="20"/>
          <w:szCs w:val="20"/>
        </w:rPr>
      </w:pPr>
      <w:r>
        <w:rPr>
          <w:i/>
          <w:iCs/>
          <w:sz w:val="20"/>
          <w:szCs w:val="20"/>
        </w:rPr>
        <w:t>Hrát dobře roli Athén</w:t>
      </w:r>
      <w:r>
        <w:rPr>
          <w:i/>
          <w:iCs/>
          <w:sz w:val="20"/>
          <w:szCs w:val="20"/>
        </w:rPr>
        <w:t>, ro</w:t>
      </w:r>
      <w:r>
        <w:rPr>
          <w:i/>
          <w:iCs/>
          <w:sz w:val="20"/>
          <w:szCs w:val="20"/>
        </w:rPr>
        <w:softHyphen/>
        <w:t>li, která nám byla ponechána, je úkol velký i slavný. Zname</w:t>
      </w:r>
      <w:r>
        <w:rPr>
          <w:i/>
          <w:iCs/>
          <w:sz w:val="20"/>
          <w:szCs w:val="20"/>
        </w:rPr>
        <w:softHyphen/>
        <w:t>ná to práci ve prospěch hod</w:t>
      </w:r>
      <w:r>
        <w:rPr>
          <w:i/>
          <w:iCs/>
          <w:sz w:val="20"/>
          <w:szCs w:val="20"/>
        </w:rPr>
        <w:softHyphen/>
        <w:t>not věčných. Vzpomeňme si jen na starověk: byla moc</w:t>
      </w:r>
      <w:r>
        <w:rPr>
          <w:i/>
          <w:iCs/>
          <w:sz w:val="20"/>
          <w:szCs w:val="20"/>
        </w:rPr>
        <w:softHyphen/>
        <w:t>ná Sparta a byly slavné Athé</w:t>
      </w:r>
      <w:r>
        <w:rPr>
          <w:i/>
          <w:iCs/>
          <w:sz w:val="20"/>
          <w:szCs w:val="20"/>
        </w:rPr>
        <w:softHyphen/>
        <w:t>ny. Ve Spartě se vědě, uměni a literatuře věnovalo jen mís</w:t>
      </w:r>
      <w:r>
        <w:rPr>
          <w:i/>
          <w:iCs/>
          <w:sz w:val="20"/>
          <w:szCs w:val="20"/>
        </w:rPr>
        <w:softHyphen/>
        <w:t>to podružné — a Sparta,</w:t>
      </w:r>
      <w:r>
        <w:rPr>
          <w:i/>
          <w:iCs/>
          <w:sz w:val="20"/>
          <w:szCs w:val="20"/>
        </w:rPr>
        <w:t xml:space="preserve"> tře</w:t>
      </w:r>
      <w:r>
        <w:rPr>
          <w:i/>
          <w:iCs/>
          <w:sz w:val="20"/>
          <w:szCs w:val="20"/>
        </w:rPr>
        <w:softHyphen/>
        <w:t>bas její dějiny nejsou bez vá</w:t>
      </w:r>
      <w:r>
        <w:rPr>
          <w:i/>
          <w:iCs/>
          <w:sz w:val="20"/>
          <w:szCs w:val="20"/>
        </w:rPr>
        <w:softHyphen/>
        <w:t>lečnické velikosti, je dnes má</w:t>
      </w:r>
      <w:r>
        <w:rPr>
          <w:i/>
          <w:iCs/>
          <w:sz w:val="20"/>
          <w:szCs w:val="20"/>
        </w:rPr>
        <w:softHyphen/>
        <w:t>lo více než historické jméno. V Athénách tomu bylo právě naopak — a Athény jsou do- dnes jménem, jímž je označo</w:t>
      </w:r>
      <w:r>
        <w:rPr>
          <w:i/>
          <w:iCs/>
          <w:sz w:val="20"/>
          <w:szCs w:val="20"/>
        </w:rPr>
        <w:softHyphen/>
        <w:t xml:space="preserve">vána jedna z nejvyšších met, dosažených lidským duchem. Civilisace bez Sparty </w:t>
      </w:r>
      <w:r>
        <w:rPr>
          <w:i/>
          <w:iCs/>
          <w:sz w:val="20"/>
          <w:szCs w:val="20"/>
        </w:rPr>
        <w:t>— ano, byla by. Bez Athén nikoliv. A to, co platí o minulosti, bude platit i pro budoucnost. Nuže, myslíte ještě, že nám zbyla malá role?</w:t>
      </w:r>
    </w:p>
    <w:p w:rsidR="00500724" w:rsidRDefault="00F30FB8">
      <w:pPr>
        <w:pStyle w:val="Zkladntext40"/>
        <w:shd w:val="clear" w:color="auto" w:fill="auto"/>
        <w:spacing w:after="120"/>
      </w:pPr>
      <w:r>
        <w:t>tuje peníz na 20 milionů K. Roz</w:t>
      </w:r>
      <w:r>
        <w:softHyphen/>
        <w:t>rušujíc! události loňského podzi</w:t>
      </w:r>
      <w:r>
        <w:softHyphen/>
        <w:t>mu měly samozřejmě vliv i na příliv nových členů u to</w:t>
      </w:r>
      <w:r>
        <w:t>hoto spol</w:t>
      </w:r>
      <w:r>
        <w:softHyphen/>
        <w:t>ku, ale v r. 1939 se situace lepši a počet členů vzrůstá. Je zajíma</w:t>
      </w:r>
      <w:r>
        <w:softHyphen/>
        <w:t>vé zdůrazniti, že veškeré funkce v předsednictvu, výboru, revisor- ské a rozhodčího soudu jsou čest</w:t>
      </w:r>
      <w:r>
        <w:softHyphen/>
        <w:t>né. Pouze úředníci spolkoví a stá</w:t>
      </w:r>
      <w:r>
        <w:softHyphen/>
        <w:t>lý revisor jsou placeni. Valná hromada schvá</w:t>
      </w:r>
      <w:r>
        <w:t>lila výroční účty za rok 1938, návrhy správního vý</w:t>
      </w:r>
      <w:r>
        <w:softHyphen/>
        <w:t>boru co se týče zápisného, člen</w:t>
      </w:r>
      <w:r>
        <w:softHyphen/>
        <w:t>ského a úmrtního příspěvku, výši úmrtních podpor a vstupního stá</w:t>
      </w:r>
      <w:r>
        <w:softHyphen/>
        <w:t xml:space="preserve">ří pro přijímání nových členů, které bylo stanoveno pro ženy </w:t>
      </w:r>
      <w:r>
        <w:rPr>
          <w:rFonts w:ascii="Georgia" w:eastAsia="Georgia" w:hAnsi="Georgia" w:cs="Georgia"/>
          <w:b/>
          <w:bCs/>
          <w:sz w:val="13"/>
          <w:szCs w:val="13"/>
        </w:rPr>
        <w:t xml:space="preserve">í </w:t>
      </w:r>
      <w:r>
        <w:t>muže do 50 let.</w:t>
      </w:r>
    </w:p>
    <w:p w:rsidR="00500724" w:rsidRDefault="00F30FB8">
      <w:pPr>
        <w:pStyle w:val="Zkladntext40"/>
        <w:shd w:val="clear" w:color="auto" w:fill="auto"/>
        <w:spacing w:after="120" w:line="175" w:lineRule="auto"/>
        <w:ind w:firstLine="260"/>
        <w:sectPr w:rsidR="00500724">
          <w:footnotePr>
            <w:numFmt w:val="chicago"/>
            <w:numRestart w:val="eachPage"/>
          </w:footnotePr>
          <w:type w:val="continuous"/>
          <w:pgSz w:w="11909" w:h="16834"/>
          <w:pgMar w:top="2854" w:right="769" w:bottom="929" w:left="794" w:header="0" w:footer="3" w:gutter="0"/>
          <w:cols w:num="4" w:sep="1" w:space="100"/>
          <w:noEndnote/>
          <w:docGrid w:linePitch="360"/>
        </w:sectPr>
      </w:pPr>
      <w:r>
        <w:t>Chcete, aby se Váš syn. Vaše dcera, naučili německy a rozší</w:t>
      </w:r>
      <w:r>
        <w:softHyphen/>
        <w:t>řili svůj životni rozhled? Chcete jim umožniti pobyt ve velko</w:t>
      </w:r>
      <w:r>
        <w:softHyphen/>
        <w:t>městě? Dejte je do odborných škol spolku »Komenský« ve Vídni! Jsou to: 1.) dvouletá ho</w:t>
      </w:r>
      <w:r>
        <w:softHyphen/>
        <w:t>spodářská škola</w:t>
      </w:r>
      <w:r>
        <w:t xml:space="preserve"> pro hochy a dívky (nový název pro dřívější obchodní školu; 2.) jednoroční obchodně-prodejní kurs; 3.) dvou</w:t>
      </w:r>
      <w:r>
        <w:softHyphen/>
        <w:t>letý ústav pro domácí ženská povolání: 4.) jednoroční hospo-&gt; dyňská škola. Dotazy zodpoví ředitelství odborných škol spol</w:t>
      </w:r>
      <w:r>
        <w:softHyphen/>
        <w:t>ku »Komenský« ve Vídni XX</w:t>
      </w:r>
      <w:r>
        <w:t>., Vorcartenstrasse 9B-91-</w:t>
      </w:r>
    </w:p>
    <w:p w:rsidR="00500724" w:rsidRDefault="00F30FB8">
      <w:pPr>
        <w:pStyle w:val="Jin0"/>
        <w:shd w:val="clear" w:color="auto" w:fill="auto"/>
        <w:spacing w:line="310" w:lineRule="auto"/>
        <w:ind w:left="2820" w:right="1480" w:firstLine="0"/>
        <w:rPr>
          <w:sz w:val="26"/>
          <w:szCs w:val="26"/>
        </w:rPr>
      </w:pPr>
      <w:r>
        <w:rPr>
          <w:b/>
          <w:bCs/>
          <w:sz w:val="26"/>
          <w:szCs w:val="26"/>
        </w:rPr>
        <w:t xml:space="preserve">Pohodlí a bezpečnost na kluzké silnici Vám zaručují pneu Baťa. Protismykové „GRIPNEU" na osobní vozy a zvláště silné </w:t>
      </w:r>
      <w:r>
        <w:rPr>
          <w:b/>
          <w:bCs/>
          <w:sz w:val="26"/>
          <w:szCs w:val="26"/>
          <w:lang w:val="en-US" w:eastAsia="en-US" w:bidi="en-US"/>
        </w:rPr>
        <w:t xml:space="preserve">EXTRA-STRONG </w:t>
      </w:r>
      <w:r>
        <w:rPr>
          <w:b/>
          <w:bCs/>
          <w:sz w:val="26"/>
          <w:szCs w:val="26"/>
        </w:rPr>
        <w:t>„100" na nákladní vozy.</w:t>
      </w:r>
    </w:p>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left="1400" w:firstLine="0"/>
        <w:jc w:val="center"/>
        <w:rPr>
          <w:sz w:val="136"/>
          <w:szCs w:val="136"/>
        </w:rPr>
      </w:pPr>
      <w:r>
        <w:rPr>
          <w:rFonts w:ascii="Arial" w:eastAsia="Arial" w:hAnsi="Arial" w:cs="Arial"/>
          <w:color w:val="FFFFFF"/>
          <w:sz w:val="136"/>
          <w:szCs w:val="136"/>
        </w:rPr>
        <w:t>■OxrMx*</w:t>
      </w:r>
      <w:r>
        <w:br w:type="page"/>
      </w:r>
    </w:p>
    <w:p w:rsidR="00500724" w:rsidRDefault="00F30FB8">
      <w:pPr>
        <w:pStyle w:val="Nadpis40"/>
        <w:keepNext/>
        <w:keepLines/>
        <w:shd w:val="clear" w:color="auto" w:fill="auto"/>
        <w:ind w:left="640"/>
        <w:rPr>
          <w:sz w:val="238"/>
          <w:szCs w:val="238"/>
        </w:rPr>
      </w:pPr>
      <w:bookmarkStart w:id="638" w:name="bookmark637"/>
      <w:r>
        <w:rPr>
          <w:sz w:val="238"/>
          <w:szCs w:val="238"/>
        </w:rPr>
        <w:t>řítomnosLy</w:t>
      </w:r>
      <w:bookmarkEnd w:id="638"/>
    </w:p>
    <w:tbl>
      <w:tblPr>
        <w:tblOverlap w:val="never"/>
        <w:tblW w:w="0" w:type="auto"/>
        <w:jc w:val="center"/>
        <w:tblLayout w:type="fixed"/>
        <w:tblCellMar>
          <w:left w:w="10" w:type="dxa"/>
          <w:right w:w="10" w:type="dxa"/>
        </w:tblCellMar>
        <w:tblLook w:val="04A0" w:firstRow="1" w:lastRow="0" w:firstColumn="1" w:lastColumn="0" w:noHBand="0" w:noVBand="1"/>
      </w:tblPr>
      <w:tblGrid>
        <w:gridCol w:w="8146"/>
        <w:gridCol w:w="3154"/>
      </w:tblGrid>
      <w:tr w:rsidR="00500724">
        <w:tblPrEx>
          <w:tblCellMar>
            <w:top w:w="0" w:type="dxa"/>
            <w:bottom w:w="0" w:type="dxa"/>
          </w:tblCellMar>
        </w:tblPrEx>
        <w:trPr>
          <w:trHeight w:hRule="exact" w:val="370"/>
          <w:jc w:val="center"/>
        </w:trPr>
        <w:tc>
          <w:tcPr>
            <w:tcW w:w="0" w:type="auto"/>
            <w:tcBorders>
              <w:left w:val="single" w:sz="4" w:space="0" w:color="auto"/>
            </w:tcBorders>
            <w:shd w:val="clear" w:color="auto" w:fill="FFFFFF"/>
          </w:tcPr>
          <w:p w:rsidR="00500724" w:rsidRDefault="00500724">
            <w:pPr>
              <w:rPr>
                <w:sz w:val="10"/>
                <w:szCs w:val="10"/>
              </w:rPr>
            </w:pPr>
          </w:p>
        </w:tc>
        <w:tc>
          <w:tcPr>
            <w:tcW w:w="0" w:type="auto"/>
            <w:tcBorders>
              <w:right w:val="single" w:sz="4" w:space="0" w:color="auto"/>
            </w:tcBorders>
            <w:shd w:val="clear" w:color="auto" w:fill="FFFFFF"/>
          </w:tcPr>
          <w:p w:rsidR="00500724" w:rsidRDefault="00500724">
            <w:pPr>
              <w:rPr>
                <w:sz w:val="10"/>
                <w:szCs w:val="10"/>
              </w:rPr>
            </w:pPr>
          </w:p>
        </w:tc>
      </w:tr>
      <w:tr w:rsidR="00500724">
        <w:tblPrEx>
          <w:tblCellMar>
            <w:top w:w="0" w:type="dxa"/>
            <w:bottom w:w="0" w:type="dxa"/>
          </w:tblCellMar>
        </w:tblPrEx>
        <w:trPr>
          <w:trHeight w:hRule="exact" w:val="60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3922"/>
              </w:tabs>
              <w:ind w:left="340" w:firstLine="40"/>
              <w:rPr>
                <w:sz w:val="22"/>
                <w:szCs w:val="22"/>
              </w:rPr>
            </w:pPr>
            <w:r>
              <w:rPr>
                <w:b/>
                <w:bCs/>
                <w:sz w:val="22"/>
                <w:szCs w:val="22"/>
              </w:rPr>
              <w:t>ROČNÍK XVI.</w:t>
            </w:r>
            <w:r>
              <w:rPr>
                <w:b/>
                <w:bCs/>
                <w:sz w:val="22"/>
                <w:szCs w:val="22"/>
              </w:rPr>
              <w:tab/>
              <w:t>V PRAZE 28. ČERVNA 1939</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left="1660" w:firstLine="20"/>
              <w:jc w:val="left"/>
              <w:rPr>
                <w:sz w:val="22"/>
                <w:szCs w:val="22"/>
              </w:rPr>
            </w:pPr>
            <w:r>
              <w:rPr>
                <w:b/>
                <w:bCs/>
                <w:sz w:val="22"/>
                <w:szCs w:val="22"/>
              </w:rPr>
              <w:t>ZA K 2.—</w:t>
            </w:r>
          </w:p>
        </w:tc>
      </w:tr>
      <w:tr w:rsidR="00500724">
        <w:tblPrEx>
          <w:tblCellMar>
            <w:top w:w="0" w:type="dxa"/>
            <w:bottom w:w="0" w:type="dxa"/>
          </w:tblCellMar>
        </w:tblPrEx>
        <w:trPr>
          <w:trHeight w:hRule="exact" w:val="1968"/>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spacing w:after="400"/>
              <w:ind w:left="2540" w:firstLine="0"/>
              <w:jc w:val="left"/>
              <w:rPr>
                <w:sz w:val="9"/>
                <w:szCs w:val="9"/>
              </w:rPr>
            </w:pPr>
            <w:r>
              <w:rPr>
                <w:rFonts w:ascii="Arial" w:eastAsia="Arial" w:hAnsi="Arial" w:cs="Arial"/>
                <w:i/>
                <w:iCs/>
                <w:sz w:val="9"/>
                <w:szCs w:val="9"/>
              </w:rPr>
              <w:t>1</w:t>
            </w:r>
          </w:p>
          <w:p w:rsidR="00500724" w:rsidRDefault="00F30FB8">
            <w:pPr>
              <w:pStyle w:val="Jin0"/>
              <w:shd w:val="clear" w:color="auto" w:fill="auto"/>
              <w:ind w:left="280" w:firstLine="0"/>
              <w:jc w:val="center"/>
              <w:rPr>
                <w:sz w:val="78"/>
                <w:szCs w:val="78"/>
              </w:rPr>
            </w:pPr>
            <w:r>
              <w:rPr>
                <w:b/>
                <w:bCs/>
                <w:w w:val="60"/>
                <w:sz w:val="78"/>
                <w:szCs w:val="78"/>
              </w:rPr>
              <w:t xml:space="preserve">0 </w:t>
            </w:r>
            <w:r>
              <w:rPr>
                <w:b/>
                <w:bCs/>
                <w:w w:val="60"/>
                <w:sz w:val="78"/>
                <w:szCs w:val="78"/>
              </w:rPr>
              <w:t>české a německé lásce k Praze</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JAN ALBERT</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40"/>
              <w:jc w:val="left"/>
              <w:rPr>
                <w:sz w:val="58"/>
                <w:szCs w:val="58"/>
              </w:rPr>
            </w:pPr>
            <w:r>
              <w:rPr>
                <w:sz w:val="58"/>
                <w:szCs w:val="58"/>
              </w:rPr>
              <w:t xml:space="preserve">Duše </w:t>
            </w:r>
            <w:r>
              <w:rPr>
                <w:sz w:val="58"/>
                <w:szCs w:val="58"/>
                <w:lang w:val="en-US" w:eastAsia="en-US" w:bidi="en-US"/>
              </w:rPr>
              <w:t xml:space="preserve">dice </w:t>
            </w:r>
            <w:r>
              <w:rPr>
                <w:sz w:val="58"/>
                <w:szCs w:val="58"/>
              </w:rPr>
              <w:t>odpočívat</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sz w:val="28"/>
                <w:szCs w:val="28"/>
              </w:rPr>
              <w:t xml:space="preserve">JlRI </w:t>
            </w:r>
            <w:r>
              <w:rPr>
                <w:sz w:val="26"/>
                <w:szCs w:val="26"/>
              </w:rPr>
              <w:t>SOUMAR</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spacing w:after="100"/>
              <w:ind w:left="5700" w:firstLine="0"/>
              <w:jc w:val="left"/>
              <w:rPr>
                <w:sz w:val="26"/>
                <w:szCs w:val="26"/>
              </w:rPr>
            </w:pPr>
            <w:r>
              <w:rPr>
                <w:sz w:val="26"/>
                <w:szCs w:val="26"/>
              </w:rPr>
              <w:t>»</w:t>
            </w:r>
          </w:p>
          <w:p w:rsidR="00500724" w:rsidRDefault="00F30FB8">
            <w:pPr>
              <w:pStyle w:val="Jin0"/>
              <w:shd w:val="clear" w:color="auto" w:fill="auto"/>
              <w:ind w:left="340" w:firstLine="40"/>
              <w:jc w:val="left"/>
              <w:rPr>
                <w:sz w:val="58"/>
                <w:szCs w:val="58"/>
              </w:rPr>
            </w:pPr>
            <w:r>
              <w:rPr>
                <w:sz w:val="58"/>
                <w:szCs w:val="58"/>
              </w:rPr>
              <w:t>Jací dnes jsme</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RICHARD RICHTER</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firstLine="0"/>
              <w:jc w:val="right"/>
              <w:rPr>
                <w:sz w:val="78"/>
                <w:szCs w:val="78"/>
              </w:rPr>
            </w:pPr>
            <w:r>
              <w:rPr>
                <w:b/>
                <w:bCs/>
                <w:w w:val="60"/>
                <w:sz w:val="78"/>
                <w:szCs w:val="78"/>
              </w:rPr>
              <w:t>Je jasnovidnost opravdu jen pověra?</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KAREL KUCHYŇKA</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40"/>
              <w:jc w:val="left"/>
              <w:rPr>
                <w:sz w:val="58"/>
                <w:szCs w:val="58"/>
              </w:rPr>
            </w:pPr>
            <w:r>
              <w:rPr>
                <w:sz w:val="58"/>
                <w:szCs w:val="58"/>
              </w:rPr>
              <w:t>Emigranti v Americe</w:t>
            </w:r>
          </w:p>
        </w:tc>
        <w:tc>
          <w:tcPr>
            <w:tcW w:w="0" w:type="auto"/>
            <w:tcBorders>
              <w:top w:val="single" w:sz="4" w:space="0" w:color="auto"/>
              <w:right w:val="single" w:sz="4" w:space="0" w:color="auto"/>
            </w:tcBorders>
            <w:shd w:val="clear" w:color="auto" w:fill="FFFFFF"/>
          </w:tcPr>
          <w:p w:rsidR="00500724" w:rsidRDefault="00500724">
            <w:pPr>
              <w:rPr>
                <w:sz w:val="10"/>
                <w:szCs w:val="10"/>
              </w:rPr>
            </w:pP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40"/>
              <w:jc w:val="left"/>
              <w:rPr>
                <w:sz w:val="58"/>
                <w:szCs w:val="58"/>
              </w:rPr>
            </w:pPr>
            <w:r>
              <w:rPr>
                <w:sz w:val="58"/>
                <w:szCs w:val="58"/>
              </w:rPr>
              <w:t>Sparta: Slavie a sv. Jana</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sz w:val="26"/>
                <w:szCs w:val="26"/>
              </w:rPr>
              <w:t>A. MRÁZ</w:t>
            </w:r>
          </w:p>
        </w:tc>
      </w:tr>
      <w:tr w:rsidR="00500724">
        <w:tblPrEx>
          <w:tblCellMar>
            <w:top w:w="0" w:type="dxa"/>
            <w:bottom w:w="0" w:type="dxa"/>
          </w:tblCellMar>
        </w:tblPrEx>
        <w:trPr>
          <w:trHeight w:hRule="exact" w:val="1027"/>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firstLine="0"/>
              <w:jc w:val="right"/>
              <w:rPr>
                <w:sz w:val="22"/>
                <w:szCs w:val="22"/>
              </w:rPr>
            </w:pPr>
            <w:r>
              <w:rPr>
                <w:b/>
                <w:bCs/>
                <w:sz w:val="22"/>
                <w:szCs w:val="22"/>
              </w:rPr>
              <w:t xml:space="preserve">Před devadesáti lety — Spojené Státy </w:t>
            </w:r>
            <w:r>
              <w:rPr>
                <w:b/>
                <w:bCs/>
                <w:sz w:val="22"/>
                <w:szCs w:val="22"/>
              </w:rPr>
              <w:t>věří na blízký konflikt? —</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firstLine="0"/>
              <w:jc w:val="left"/>
              <w:rPr>
                <w:sz w:val="22"/>
                <w:szCs w:val="22"/>
              </w:rPr>
            </w:pPr>
            <w:r>
              <w:rPr>
                <w:b/>
                <w:bCs/>
                <w:sz w:val="22"/>
                <w:szCs w:val="22"/>
              </w:rPr>
              <w:t>Angličané diskutují —</w:t>
            </w:r>
          </w:p>
        </w:tc>
      </w:tr>
      <w:tr w:rsidR="00500724">
        <w:tblPrEx>
          <w:tblCellMar>
            <w:top w:w="0" w:type="dxa"/>
            <w:bottom w:w="0" w:type="dxa"/>
          </w:tblCellMar>
        </w:tblPrEx>
        <w:trPr>
          <w:trHeight w:hRule="exact" w:val="317"/>
          <w:jc w:val="center"/>
        </w:trPr>
        <w:tc>
          <w:tcPr>
            <w:tcW w:w="0" w:type="auto"/>
            <w:tcBorders>
              <w:left w:val="single" w:sz="4" w:space="0" w:color="auto"/>
            </w:tcBorders>
            <w:shd w:val="clear" w:color="auto" w:fill="FFFFFF"/>
            <w:vAlign w:val="bottom"/>
          </w:tcPr>
          <w:p w:rsidR="00500724" w:rsidRDefault="00F30FB8">
            <w:pPr>
              <w:pStyle w:val="Jin0"/>
              <w:shd w:val="clear" w:color="auto" w:fill="auto"/>
              <w:ind w:firstLine="0"/>
              <w:jc w:val="right"/>
              <w:rPr>
                <w:sz w:val="22"/>
                <w:szCs w:val="22"/>
              </w:rPr>
            </w:pPr>
            <w:r>
              <w:rPr>
                <w:b/>
                <w:bCs/>
                <w:sz w:val="22"/>
                <w:szCs w:val="22"/>
              </w:rPr>
              <w:t>Bude Roosevelt po třetí kandidovat? — Maďarské plány a půtky</w:t>
            </w:r>
          </w:p>
        </w:tc>
        <w:tc>
          <w:tcPr>
            <w:tcW w:w="0" w:type="auto"/>
            <w:tcBorders>
              <w:right w:val="single" w:sz="4" w:space="0" w:color="auto"/>
            </w:tcBorders>
            <w:shd w:val="clear" w:color="auto" w:fill="FFFFFF"/>
            <w:vAlign w:val="bottom"/>
          </w:tcPr>
          <w:p w:rsidR="00500724" w:rsidRDefault="00F30FB8">
            <w:pPr>
              <w:pStyle w:val="Jin0"/>
              <w:shd w:val="clear" w:color="auto" w:fill="auto"/>
              <w:ind w:firstLine="0"/>
              <w:jc w:val="left"/>
              <w:rPr>
                <w:sz w:val="22"/>
                <w:szCs w:val="22"/>
              </w:rPr>
            </w:pPr>
            <w:r>
              <w:rPr>
                <w:b/>
                <w:bCs/>
                <w:sz w:val="22"/>
                <w:szCs w:val="22"/>
              </w:rPr>
              <w:t>— Odpověď Slovenke</w:t>
            </w:r>
          </w:p>
        </w:tc>
      </w:tr>
      <w:tr w:rsidR="00500724">
        <w:tblPrEx>
          <w:tblCellMar>
            <w:top w:w="0" w:type="dxa"/>
            <w:bottom w:w="0" w:type="dxa"/>
          </w:tblCellMar>
        </w:tblPrEx>
        <w:trPr>
          <w:trHeight w:hRule="exact" w:val="1176"/>
          <w:jc w:val="center"/>
        </w:trPr>
        <w:tc>
          <w:tcPr>
            <w:tcW w:w="0" w:type="auto"/>
            <w:gridSpan w:val="2"/>
            <w:tcBorders>
              <w:left w:val="single" w:sz="4" w:space="0" w:color="auto"/>
              <w:bottom w:val="single" w:sz="4" w:space="0" w:color="auto"/>
              <w:right w:val="single" w:sz="4" w:space="0" w:color="auto"/>
            </w:tcBorders>
            <w:shd w:val="clear" w:color="auto" w:fill="FFFFFF"/>
          </w:tcPr>
          <w:p w:rsidR="00500724" w:rsidRDefault="00F30FB8">
            <w:pPr>
              <w:pStyle w:val="Jin0"/>
              <w:shd w:val="clear" w:color="auto" w:fill="auto"/>
              <w:ind w:right="60" w:firstLine="0"/>
              <w:jc w:val="center"/>
              <w:rPr>
                <w:sz w:val="22"/>
                <w:szCs w:val="22"/>
              </w:rPr>
            </w:pPr>
            <w:r>
              <w:rPr>
                <w:b/>
                <w:bCs/>
                <w:sz w:val="22"/>
                <w:szCs w:val="22"/>
              </w:rPr>
              <w:t>píše Slovenka z Čiech — Co je svatováclavská tradice? — Dělníkův dopis o knihách</w:t>
            </w:r>
          </w:p>
        </w:tc>
      </w:tr>
    </w:tbl>
    <w:p w:rsidR="00500724" w:rsidRDefault="00500724">
      <w:pPr>
        <w:spacing w:line="14" w:lineRule="exact"/>
        <w:sectPr w:rsidR="00500724">
          <w:footnotePr>
            <w:numFmt w:val="chicago"/>
            <w:numRestart w:val="eachPage"/>
          </w:footnotePr>
          <w:pgSz w:w="11909" w:h="16834"/>
          <w:pgMar w:top="976" w:right="50" w:bottom="851" w:left="559"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1480"/>
        <w:sectPr w:rsidR="00500724">
          <w:footnotePr>
            <w:numFmt w:val="chicago"/>
            <w:numRestart w:val="eachPage"/>
          </w:footnotePr>
          <w:pgSz w:w="11909" w:h="16834"/>
          <w:pgMar w:top="581" w:right="445" w:bottom="804" w:left="166" w:header="0" w:footer="3" w:gutter="0"/>
          <w:cols w:space="720"/>
          <w:noEndnote/>
          <w:docGrid w:linePitch="360"/>
        </w:sectPr>
      </w:pPr>
      <w:bookmarkStart w:id="639" w:name="bookmark638"/>
      <w:r>
        <w:rPr>
          <w:color w:val="FFFFFF"/>
        </w:rPr>
        <w:t>ODBORNÍ LtKAftl</w:t>
      </w:r>
      <w:bookmarkEnd w:id="639"/>
    </w:p>
    <w:p w:rsidR="00500724" w:rsidRDefault="00F30FB8">
      <w:pPr>
        <w:spacing w:line="14" w:lineRule="exact"/>
      </w:pPr>
      <w:r>
        <w:rPr>
          <w:noProof/>
        </w:rPr>
        <mc:AlternateContent>
          <mc:Choice Requires="wps">
            <w:drawing>
              <wp:anchor distT="0" distB="0" distL="50800" distR="50800" simplePos="0" relativeHeight="125830014" behindDoc="0" locked="0" layoutInCell="1" allowOverlap="1">
                <wp:simplePos x="0" y="0"/>
                <wp:positionH relativeFrom="page">
                  <wp:posOffset>4039870</wp:posOffset>
                </wp:positionH>
                <wp:positionV relativeFrom="paragraph">
                  <wp:posOffset>4992370</wp:posOffset>
                </wp:positionV>
                <wp:extent cx="1932305" cy="286385"/>
                <wp:effectExtent l="0" t="0" r="0" b="0"/>
                <wp:wrapSquare wrapText="right"/>
                <wp:docPr id="637" name="Shape 637"/>
                <wp:cNvGraphicFramePr/>
                <a:graphic xmlns:a="http://schemas.openxmlformats.org/drawingml/2006/main">
                  <a:graphicData uri="http://schemas.microsoft.com/office/word/2010/wordprocessingShape">
                    <wps:wsp>
                      <wps:cNvSpPr txBox="1"/>
                      <wps:spPr>
                        <a:xfrm>
                          <a:off x="0" y="0"/>
                          <a:ext cx="1932305" cy="28638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6"/>
                                <w:szCs w:val="36"/>
                              </w:rPr>
                            </w:pPr>
                            <w:r>
                              <w:rPr>
                                <w:b/>
                                <w:bCs/>
                                <w:color w:val="FFFFFF"/>
                                <w:sz w:val="36"/>
                                <w:szCs w:val="36"/>
                              </w:rPr>
                              <w:t>VELICNOVKY</w:t>
                            </w:r>
                          </w:p>
                        </w:txbxContent>
                      </wps:txbx>
                      <wps:bodyPr lIns="0" tIns="0" rIns="0" bIns="0">
                        <a:spAutoFit/>
                      </wps:bodyPr>
                    </wps:wsp>
                  </a:graphicData>
                </a:graphic>
              </wp:anchor>
            </w:drawing>
          </mc:Choice>
          <mc:Fallback>
            <w:pict>
              <v:shape id="_x0000_s1663" type="#_x0000_t202" style="position:absolute;margin-left:318.10000000000002pt;margin-top:393.10000000000002pt;width:152.15000000000001pt;height:22.550000000000001pt;z-index:-125828739;mso-wrap-distance-left:4.pt;mso-wrap-distance-right:4.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6"/>
                          <w:szCs w:val="36"/>
                        </w:rPr>
                      </w:pPr>
                      <w:r>
                        <w:rPr>
                          <w:b/>
                          <w:bCs/>
                          <w:color w:val="FFFFFF"/>
                          <w:spacing w:val="0"/>
                          <w:w w:val="100"/>
                          <w:position w:val="0"/>
                          <w:sz w:val="36"/>
                          <w:szCs w:val="36"/>
                          <w:shd w:val="clear" w:color="auto" w:fill="auto"/>
                          <w:lang w:val="cs-CZ" w:eastAsia="cs-CZ" w:bidi="cs-CZ"/>
                        </w:rPr>
                        <w:t>VELICNOVKY</w:t>
                      </w:r>
                    </w:p>
                  </w:txbxContent>
                </v:textbox>
                <w10:wrap type="square" side="right" anchorx="page"/>
              </v:shape>
            </w:pict>
          </mc:Fallback>
        </mc:AlternateContent>
      </w:r>
    </w:p>
    <w:p w:rsidR="00500724" w:rsidRDefault="00F30FB8">
      <w:pPr>
        <w:pStyle w:val="Nadpis110"/>
        <w:shd w:val="clear" w:color="auto" w:fill="auto"/>
        <w:spacing w:after="40" w:line="192" w:lineRule="auto"/>
        <w:jc w:val="both"/>
      </w:pPr>
      <w:bookmarkStart w:id="640" w:name="bookmark639"/>
      <w:r>
        <w:t>MUDr. ZDEŇKA NEDVĚDOVÁ-NEJEDLÁ</w:t>
      </w:r>
      <w:bookmarkEnd w:id="640"/>
    </w:p>
    <w:p w:rsidR="00500724" w:rsidRDefault="00F30FB8">
      <w:pPr>
        <w:pStyle w:val="Zkladntext1"/>
        <w:shd w:val="clear" w:color="auto" w:fill="auto"/>
        <w:spacing w:after="140" w:line="233" w:lineRule="auto"/>
        <w:ind w:firstLine="0"/>
        <w:rPr>
          <w:sz w:val="18"/>
          <w:szCs w:val="18"/>
        </w:rPr>
      </w:pPr>
      <w:r>
        <w:rPr>
          <w:sz w:val="18"/>
          <w:szCs w:val="18"/>
        </w:rPr>
        <w:t xml:space="preserve">odb. dětská lékařka. PODOLÍ, PANKRÁCKÁ 14 (stanice elektr. </w:t>
      </w:r>
      <w:r>
        <w:rPr>
          <w:sz w:val="18"/>
          <w:szCs w:val="18"/>
          <w:u w:val="single"/>
        </w:rPr>
        <w:t>dráhy za Podol, sanatoriem). Ord. 9—10 a 2—4. Tel. 441-77.</w:t>
      </w:r>
    </w:p>
    <w:p w:rsidR="00500724" w:rsidRDefault="00F30FB8">
      <w:pPr>
        <w:pStyle w:val="Nadpis110"/>
        <w:shd w:val="clear" w:color="auto" w:fill="auto"/>
        <w:spacing w:after="40" w:line="192" w:lineRule="auto"/>
        <w:jc w:val="both"/>
      </w:pPr>
      <w:bookmarkStart w:id="641" w:name="bookmark640"/>
      <w:r>
        <w:t>MUDr. ANTONÍN NEUMANN</w:t>
      </w:r>
      <w:bookmarkEnd w:id="641"/>
    </w:p>
    <w:p w:rsidR="00500724" w:rsidRDefault="00F30FB8">
      <w:pPr>
        <w:pStyle w:val="Zkladntext40"/>
        <w:shd w:val="clear" w:color="auto" w:fill="auto"/>
        <w:spacing w:after="160" w:line="204" w:lineRule="auto"/>
        <w:ind w:firstLine="680"/>
        <w:rPr>
          <w:sz w:val="16"/>
          <w:szCs w:val="16"/>
        </w:rPr>
      </w:pPr>
      <w:r>
        <w:t xml:space="preserve">odborný lékař nemoci pohlavních, kožních a kosmetiky </w:t>
      </w:r>
      <w:r>
        <w:rPr>
          <w:b/>
          <w:bCs/>
          <w:sz w:val="16"/>
          <w:szCs w:val="16"/>
        </w:rPr>
        <w:t xml:space="preserve">Praha EL, Na Zbořenci 24 — třetí dům od Karlova náměstí. </w:t>
      </w:r>
      <w:r>
        <w:rPr>
          <w:b/>
          <w:bCs/>
          <w:sz w:val="16"/>
          <w:szCs w:val="16"/>
          <w:u w:val="single"/>
        </w:rPr>
        <w:t>Ordinuje celý den. V neděli a ve svátek dopoledne. Tel. 41.728.</w:t>
      </w:r>
    </w:p>
    <w:p w:rsidR="00500724" w:rsidRDefault="00F30FB8">
      <w:pPr>
        <w:pStyle w:val="Zkladntext1"/>
        <w:shd w:val="clear" w:color="auto" w:fill="auto"/>
        <w:spacing w:after="80" w:line="187" w:lineRule="auto"/>
        <w:ind w:firstLine="0"/>
        <w:rPr>
          <w:sz w:val="22"/>
          <w:szCs w:val="22"/>
        </w:rPr>
      </w:pPr>
      <w:r>
        <w:rPr>
          <w:sz w:val="18"/>
          <w:szCs w:val="18"/>
        </w:rPr>
        <w:t xml:space="preserve">Pro plastickou chirurgii </w:t>
      </w:r>
      <w:r>
        <w:rPr>
          <w:rFonts w:ascii="Arial" w:eastAsia="Arial" w:hAnsi="Arial" w:cs="Arial"/>
          <w:b/>
          <w:bCs/>
          <w:sz w:val="22"/>
          <w:szCs w:val="22"/>
        </w:rPr>
        <w:t>Dr. RUDOLF SLUNEČKO</w:t>
      </w:r>
    </w:p>
    <w:p w:rsidR="00500724" w:rsidRDefault="00F30FB8">
      <w:pPr>
        <w:pStyle w:val="Zkladntext1"/>
        <w:shd w:val="clear" w:color="auto" w:fill="auto"/>
        <w:spacing w:after="160" w:line="223" w:lineRule="auto"/>
        <w:ind w:firstLine="0"/>
        <w:rPr>
          <w:sz w:val="18"/>
          <w:szCs w:val="18"/>
        </w:rPr>
      </w:pPr>
      <w:r>
        <w:rPr>
          <w:sz w:val="18"/>
          <w:szCs w:val="18"/>
        </w:rPr>
        <w:t xml:space="preserve">ord. 3—4 (a podle úmluvy). Telefon </w:t>
      </w:r>
      <w:r>
        <w:rPr>
          <w:sz w:val="18"/>
          <w:szCs w:val="18"/>
        </w:rPr>
        <w:t>393-79. PRAHA H.. VO</w:t>
      </w:r>
      <w:r>
        <w:rPr>
          <w:sz w:val="18"/>
          <w:szCs w:val="18"/>
        </w:rPr>
        <w:softHyphen/>
      </w:r>
      <w:r>
        <w:rPr>
          <w:sz w:val="18"/>
          <w:szCs w:val="18"/>
          <w:u w:val="single"/>
        </w:rPr>
        <w:t>DIČKOVA 15. (Hlávkův palác.)</w:t>
      </w:r>
    </w:p>
    <w:p w:rsidR="00500724" w:rsidRDefault="00F30FB8">
      <w:pPr>
        <w:pStyle w:val="Zkladntext1"/>
        <w:shd w:val="clear" w:color="auto" w:fill="auto"/>
        <w:spacing w:after="280" w:line="206" w:lineRule="auto"/>
        <w:ind w:firstLine="0"/>
        <w:rPr>
          <w:sz w:val="18"/>
          <w:szCs w:val="18"/>
        </w:rPr>
      </w:pPr>
      <w:r>
        <w:rPr>
          <w:rFonts w:ascii="Arial" w:eastAsia="Arial" w:hAnsi="Arial" w:cs="Arial"/>
          <w:b/>
          <w:bCs/>
          <w:sz w:val="26"/>
          <w:szCs w:val="26"/>
        </w:rPr>
        <w:t xml:space="preserve">MUDr. STANISLAV TUMPACH </w:t>
      </w:r>
      <w:r>
        <w:rPr>
          <w:sz w:val="18"/>
          <w:szCs w:val="18"/>
        </w:rPr>
        <w:t xml:space="preserve">odborný lékař pro chirurgii a urologii. </w:t>
      </w:r>
      <w:r>
        <w:rPr>
          <w:b/>
          <w:bCs/>
          <w:sz w:val="18"/>
          <w:szCs w:val="18"/>
        </w:rPr>
        <w:t xml:space="preserve">PRAHA XIL, </w:t>
      </w:r>
      <w:r>
        <w:rPr>
          <w:sz w:val="18"/>
          <w:szCs w:val="18"/>
        </w:rPr>
        <w:t xml:space="preserve">Fochova 84 ( Nám. krále </w:t>
      </w:r>
      <w:r>
        <w:rPr>
          <w:sz w:val="18"/>
          <w:szCs w:val="18"/>
          <w:u w:val="single"/>
        </w:rPr>
        <w:t>Jiřího). Ord. 15—17. Tel. 512-86, byt: 513-38.</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00"/>
        <w:jc w:val="center"/>
      </w:pPr>
      <w:bookmarkStart w:id="642" w:name="bookmark641"/>
      <w:r>
        <w:rPr>
          <w:color w:val="FFFFFF"/>
        </w:rPr>
        <w:t>VAS VKUS I NÁROKY USPOKOJÍ</w:t>
      </w:r>
      <w:bookmarkEnd w:id="642"/>
    </w:p>
    <w:p w:rsidR="00500724" w:rsidRDefault="00F30FB8">
      <w:pPr>
        <w:pStyle w:val="Zkladntext40"/>
        <w:shd w:val="clear" w:color="auto" w:fill="auto"/>
        <w:spacing w:after="40" w:line="240" w:lineRule="auto"/>
        <w:jc w:val="center"/>
        <w:rPr>
          <w:sz w:val="14"/>
          <w:szCs w:val="14"/>
        </w:rPr>
      </w:pPr>
      <w:r>
        <w:rPr>
          <w:b/>
          <w:bCs/>
          <w:sz w:val="14"/>
          <w:szCs w:val="14"/>
        </w:rPr>
        <w:t>OBUV PRO VYSŠI NÁROKY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GRAUMANM</w:t>
      </w:r>
    </w:p>
    <w:p w:rsidR="00500724" w:rsidRDefault="00F30FB8">
      <w:pPr>
        <w:pStyle w:val="Zkladntext1"/>
        <w:shd w:val="clear" w:color="auto" w:fill="auto"/>
        <w:spacing w:after="460" w:line="230" w:lineRule="auto"/>
        <w:ind w:left="140" w:firstLine="0"/>
        <w:jc w:val="left"/>
      </w:pPr>
      <w:r>
        <w:rPr>
          <w:b/>
          <w:bCs/>
        </w:rPr>
        <w:t>PRAHA I., PŘÍKOPY 35, schodiště A. TeL 315-28.</w:t>
      </w:r>
    </w:p>
    <w:p w:rsidR="00500724" w:rsidRDefault="00F30FB8">
      <w:pPr>
        <w:pStyle w:val="Zkladntext1"/>
        <w:shd w:val="clear" w:color="auto" w:fill="auto"/>
        <w:spacing w:after="120" w:line="226" w:lineRule="auto"/>
        <w:ind w:left="260" w:right="260" w:firstLine="20"/>
        <w:rPr>
          <w:sz w:val="20"/>
          <w:szCs w:val="20"/>
        </w:rPr>
      </w:pPr>
      <w:r>
        <w:rPr>
          <w:sz w:val="20"/>
          <w:szCs w:val="20"/>
        </w:rPr>
        <w:t>Slavný obraz malíře Watteaua Lhostejný, jehož krá</w:t>
      </w:r>
      <w:r>
        <w:rPr>
          <w:sz w:val="20"/>
          <w:szCs w:val="20"/>
        </w:rPr>
        <w:softHyphen/>
        <w:t xml:space="preserve">dež z musea v Louvru vzrušila kulturní svět, je </w:t>
      </w:r>
      <w:r>
        <w:rPr>
          <w:sz w:val="22"/>
          <w:szCs w:val="22"/>
        </w:rPr>
        <w:t>re</w:t>
      </w:r>
      <w:r>
        <w:rPr>
          <w:sz w:val="22"/>
          <w:szCs w:val="22"/>
        </w:rPr>
        <w:softHyphen/>
      </w:r>
      <w:r>
        <w:rPr>
          <w:sz w:val="20"/>
          <w:szCs w:val="20"/>
        </w:rPr>
        <w:t>produkován v právě vyšlém díle</w:t>
      </w:r>
    </w:p>
    <w:p w:rsidR="00500724" w:rsidRDefault="00F30FB8">
      <w:pPr>
        <w:pStyle w:val="Zkladntext1"/>
        <w:shd w:val="clear" w:color="auto" w:fill="auto"/>
        <w:spacing w:after="80" w:line="226" w:lineRule="auto"/>
        <w:ind w:firstLine="0"/>
        <w:jc w:val="center"/>
        <w:rPr>
          <w:sz w:val="20"/>
          <w:szCs w:val="20"/>
        </w:rPr>
      </w:pPr>
      <w:r>
        <w:rPr>
          <w:sz w:val="20"/>
          <w:szCs w:val="20"/>
        </w:rPr>
        <w:t>Vojtěch Volavka</w:t>
      </w:r>
    </w:p>
    <w:p w:rsidR="00500724" w:rsidRDefault="00F30FB8">
      <w:pPr>
        <w:pStyle w:val="Jin0"/>
        <w:shd w:val="clear" w:color="auto" w:fill="auto"/>
        <w:spacing w:line="221" w:lineRule="auto"/>
        <w:ind w:firstLine="0"/>
        <w:jc w:val="center"/>
        <w:rPr>
          <w:sz w:val="50"/>
          <w:szCs w:val="50"/>
        </w:rPr>
      </w:pPr>
      <w:r>
        <w:rPr>
          <w:sz w:val="50"/>
          <w:szCs w:val="50"/>
        </w:rPr>
        <w:t>Malba</w:t>
      </w:r>
    </w:p>
    <w:p w:rsidR="00500724" w:rsidRDefault="00F30FB8">
      <w:pPr>
        <w:pStyle w:val="Jin0"/>
        <w:shd w:val="clear" w:color="auto" w:fill="auto"/>
        <w:spacing w:after="100" w:line="209" w:lineRule="auto"/>
        <w:ind w:left="520" w:firstLine="0"/>
        <w:jc w:val="left"/>
        <w:rPr>
          <w:sz w:val="50"/>
          <w:szCs w:val="50"/>
        </w:rPr>
      </w:pPr>
      <w:r>
        <w:rPr>
          <w:sz w:val="50"/>
          <w:szCs w:val="50"/>
        </w:rPr>
        <w:t>a malířský rukopis</w:t>
      </w:r>
    </w:p>
    <w:p w:rsidR="00500724" w:rsidRDefault="00F30FB8">
      <w:pPr>
        <w:pStyle w:val="Zkladntext1"/>
        <w:shd w:val="clear" w:color="auto" w:fill="auto"/>
        <w:spacing w:after="80" w:line="226" w:lineRule="auto"/>
        <w:ind w:left="440" w:firstLine="0"/>
        <w:jc w:val="left"/>
        <w:rPr>
          <w:sz w:val="20"/>
          <w:szCs w:val="20"/>
        </w:rPr>
      </w:pPr>
      <w:r>
        <w:rPr>
          <w:sz w:val="20"/>
          <w:szCs w:val="20"/>
        </w:rPr>
        <w:t xml:space="preserve">Úvod do studia malířského </w:t>
      </w:r>
      <w:r>
        <w:rPr>
          <w:sz w:val="20"/>
          <w:szCs w:val="20"/>
        </w:rPr>
        <w:t>rukopisu.</w:t>
      </w:r>
    </w:p>
    <w:p w:rsidR="00500724" w:rsidRDefault="00F30FB8">
      <w:pPr>
        <w:pStyle w:val="Zkladntext1"/>
        <w:shd w:val="clear" w:color="auto" w:fill="auto"/>
        <w:spacing w:line="226" w:lineRule="auto"/>
        <w:ind w:left="260" w:right="260" w:firstLine="20"/>
        <w:rPr>
          <w:sz w:val="20"/>
          <w:szCs w:val="20"/>
        </w:rPr>
      </w:pPr>
      <w:r>
        <w:rPr>
          <w:sz w:val="20"/>
          <w:szCs w:val="20"/>
        </w:rPr>
        <w:t>S předmluvou René Huyghea a trojjazyčným němec</w:t>
      </w:r>
      <w:r>
        <w:rPr>
          <w:sz w:val="20"/>
          <w:szCs w:val="20"/>
        </w:rPr>
        <w:softHyphen/>
        <w:t>kým, francouzským a anglickým resumé.</w:t>
      </w:r>
    </w:p>
    <w:p w:rsidR="00500724" w:rsidRDefault="00F30FB8">
      <w:pPr>
        <w:pStyle w:val="Zkladntext1"/>
        <w:shd w:val="clear" w:color="auto" w:fill="auto"/>
        <w:spacing w:after="40" w:line="226" w:lineRule="auto"/>
        <w:ind w:left="260" w:right="260" w:firstLine="20"/>
        <w:rPr>
          <w:sz w:val="20"/>
          <w:szCs w:val="20"/>
        </w:rPr>
      </w:pPr>
      <w:r>
        <w:rPr>
          <w:sz w:val="20"/>
          <w:szCs w:val="20"/>
        </w:rPr>
        <w:t>55 příloh reprodukcí slavných malířských děl na kří</w:t>
      </w:r>
      <w:r>
        <w:rPr>
          <w:sz w:val="20"/>
          <w:szCs w:val="20"/>
        </w:rPr>
        <w:softHyphen/>
        <w:t>dovém papíře. Dokonalá knihomilská úprava a vzorný tisk.</w:t>
      </w:r>
    </w:p>
    <w:p w:rsidR="00500724" w:rsidRDefault="00F30FB8">
      <w:pPr>
        <w:pStyle w:val="Zkladntext1"/>
        <w:shd w:val="clear" w:color="auto" w:fill="auto"/>
        <w:spacing w:line="226" w:lineRule="auto"/>
        <w:ind w:left="260" w:firstLine="20"/>
        <w:rPr>
          <w:sz w:val="20"/>
          <w:szCs w:val="20"/>
        </w:rPr>
      </w:pPr>
      <w:r>
        <w:rPr>
          <w:sz w:val="20"/>
          <w:szCs w:val="20"/>
        </w:rPr>
        <w:t>Soukromý tisk Státní grafické školy.</w:t>
      </w:r>
    </w:p>
    <w:p w:rsidR="00500724" w:rsidRDefault="00F30FB8">
      <w:pPr>
        <w:pStyle w:val="Zkladntext1"/>
        <w:shd w:val="clear" w:color="auto" w:fill="auto"/>
        <w:spacing w:line="226" w:lineRule="auto"/>
        <w:ind w:left="260" w:firstLine="20"/>
        <w:rPr>
          <w:sz w:val="20"/>
          <w:szCs w:val="20"/>
        </w:rPr>
      </w:pPr>
      <w:r>
        <w:rPr>
          <w:sz w:val="20"/>
          <w:szCs w:val="20"/>
        </w:rPr>
        <w:t>Cena svazku 100</w:t>
      </w:r>
      <w:r>
        <w:rPr>
          <w:sz w:val="20"/>
          <w:szCs w:val="20"/>
        </w:rPr>
        <w:t xml:space="preserve"> K.</w:t>
      </w:r>
    </w:p>
    <w:p w:rsidR="00500724" w:rsidRDefault="00F30FB8">
      <w:pPr>
        <w:spacing w:line="1" w:lineRule="exact"/>
        <w:rPr>
          <w:sz w:val="2"/>
          <w:szCs w:val="2"/>
        </w:rPr>
      </w:pPr>
      <w:r>
        <w:br w:type="column"/>
      </w:r>
    </w:p>
    <w:p w:rsidR="00500724" w:rsidRDefault="00F30FB8">
      <w:pPr>
        <w:pStyle w:val="Jin0"/>
        <w:shd w:val="clear" w:color="auto" w:fill="auto"/>
        <w:ind w:left="260" w:firstLine="0"/>
        <w:jc w:val="center"/>
        <w:rPr>
          <w:sz w:val="32"/>
          <w:szCs w:val="32"/>
        </w:rPr>
      </w:pPr>
      <w:r>
        <w:rPr>
          <w:smallCaps/>
          <w:sz w:val="32"/>
          <w:szCs w:val="32"/>
        </w:rPr>
        <w:t>karel Čapek</w:t>
      </w:r>
    </w:p>
    <w:p w:rsidR="00500724" w:rsidRDefault="00F30FB8">
      <w:pPr>
        <w:pStyle w:val="Jin0"/>
        <w:shd w:val="clear" w:color="auto" w:fill="auto"/>
        <w:spacing w:line="317" w:lineRule="auto"/>
        <w:ind w:left="260" w:firstLine="0"/>
        <w:jc w:val="center"/>
        <w:rPr>
          <w:sz w:val="30"/>
          <w:szCs w:val="30"/>
        </w:rPr>
      </w:pPr>
      <w:r>
        <w:rPr>
          <w:rFonts w:ascii="Arial" w:eastAsia="Arial" w:hAnsi="Arial" w:cs="Arial"/>
          <w:b/>
          <w:bCs/>
          <w:i/>
          <w:iCs/>
          <w:sz w:val="30"/>
          <w:szCs w:val="30"/>
        </w:rPr>
        <w:t>MĚL JSEM PSA A</w:t>
      </w:r>
      <w:r>
        <w:rPr>
          <w:rFonts w:ascii="Arial" w:eastAsia="Arial" w:hAnsi="Arial" w:cs="Arial"/>
          <w:b/>
          <w:bCs/>
          <w:i/>
          <w:iCs/>
          <w:sz w:val="30"/>
          <w:szCs w:val="30"/>
        </w:rPr>
        <w:br/>
        <w:t>KOČKV</w:t>
      </w:r>
    </w:p>
    <w:p w:rsidR="00500724" w:rsidRDefault="00F30FB8">
      <w:pPr>
        <w:pStyle w:val="Zkladntext1"/>
        <w:shd w:val="clear" w:color="auto" w:fill="auto"/>
        <w:spacing w:after="80" w:line="175" w:lineRule="auto"/>
        <w:ind w:left="500" w:right="1100" w:firstLine="40"/>
        <w:rPr>
          <w:sz w:val="20"/>
          <w:szCs w:val="20"/>
        </w:rPr>
      </w:pPr>
      <w:r>
        <w:rPr>
          <w:i/>
          <w:iCs/>
          <w:sz w:val="20"/>
          <w:szCs w:val="20"/>
        </w:rPr>
        <w:t>Rozkošná, přímo objevitelsky půr vábná knížka, v které autor Za</w:t>
      </w:r>
      <w:r>
        <w:rPr>
          <w:i/>
          <w:iCs/>
          <w:sz w:val="20"/>
          <w:szCs w:val="20"/>
        </w:rPr>
        <w:softHyphen/>
        <w:t>hradníkova roku rozmarně vyprá</w:t>
      </w:r>
      <w:r>
        <w:rPr>
          <w:i/>
          <w:iCs/>
          <w:sz w:val="20"/>
          <w:szCs w:val="20"/>
        </w:rPr>
        <w:softHyphen/>
        <w:t>ví o životě i osudech, zvycích a zlozvycích svých němých přátel, psů a koček.</w:t>
      </w:r>
    </w:p>
    <w:p w:rsidR="00500724" w:rsidRDefault="00F30FB8">
      <w:pPr>
        <w:pStyle w:val="Zkladntext1"/>
        <w:shd w:val="clear" w:color="auto" w:fill="auto"/>
        <w:spacing w:line="180" w:lineRule="auto"/>
        <w:ind w:left="260" w:firstLine="0"/>
        <w:jc w:val="center"/>
      </w:pPr>
      <w:r>
        <w:rPr>
          <w:b/>
          <w:bCs/>
        </w:rPr>
        <w:t>Přes 70 veselých obrázků Karla a</w:t>
      </w:r>
      <w:r>
        <w:rPr>
          <w:b/>
          <w:bCs/>
        </w:rPr>
        <w:br/>
        <w:t xml:space="preserve">Josefa </w:t>
      </w:r>
      <w:r>
        <w:rPr>
          <w:b/>
          <w:bCs/>
        </w:rPr>
        <w:t>Čapka. • Brož. 20 K, váz.</w:t>
      </w:r>
    </w:p>
    <w:p w:rsidR="00500724" w:rsidRDefault="00F30FB8">
      <w:pPr>
        <w:pStyle w:val="Zkladntext1"/>
        <w:shd w:val="clear" w:color="auto" w:fill="auto"/>
        <w:tabs>
          <w:tab w:val="left" w:pos="1558"/>
        </w:tabs>
        <w:spacing w:line="180" w:lineRule="auto"/>
        <w:ind w:left="500" w:firstLine="40"/>
      </w:pPr>
      <w:r>
        <w:rPr>
          <w:b/>
          <w:bCs/>
        </w:rPr>
        <w:t>30 K.</w:t>
      </w:r>
      <w:r>
        <w:rPr>
          <w:b/>
          <w:bCs/>
        </w:rPr>
        <w:tab/>
        <w:t>Dodá každý knihkupec.</w:t>
      </w:r>
    </w:p>
    <w:p w:rsidR="00500724" w:rsidRDefault="00F30FB8">
      <w:pPr>
        <w:pStyle w:val="Zkladntext1"/>
        <w:shd w:val="clear" w:color="auto" w:fill="auto"/>
        <w:spacing w:after="1800"/>
        <w:ind w:left="1280" w:firstLine="0"/>
        <w:jc w:val="left"/>
        <w:rPr>
          <w:sz w:val="18"/>
          <w:szCs w:val="18"/>
        </w:rPr>
      </w:pPr>
      <w:r>
        <w:rPr>
          <w:b/>
          <w:bCs/>
          <w:sz w:val="18"/>
          <w:szCs w:val="18"/>
        </w:rPr>
        <w:t>FR. BOROVÝ.</w:t>
      </w:r>
    </w:p>
    <w:p w:rsidR="00500724" w:rsidRDefault="00F30FB8">
      <w:pPr>
        <w:pStyle w:val="Jin0"/>
        <w:shd w:val="clear" w:color="auto" w:fill="auto"/>
        <w:ind w:firstLine="0"/>
        <w:rPr>
          <w:sz w:val="28"/>
          <w:szCs w:val="28"/>
        </w:rPr>
      </w:pPr>
      <w:r>
        <w:rPr>
          <w:rFonts w:ascii="Arial" w:eastAsia="Arial" w:hAnsi="Arial" w:cs="Arial"/>
          <w:sz w:val="28"/>
          <w:szCs w:val="28"/>
        </w:rPr>
        <w:t>u Jaroměře</w:t>
      </w:r>
    </w:p>
    <w:p w:rsidR="00500724" w:rsidRDefault="00F30FB8">
      <w:pPr>
        <w:pStyle w:val="Nadpis120"/>
        <w:shd w:val="clear" w:color="auto" w:fill="auto"/>
        <w:ind w:left="0"/>
        <w:jc w:val="both"/>
        <w:sectPr w:rsidR="00500724">
          <w:footnotePr>
            <w:numFmt w:val="chicago"/>
            <w:numRestart w:val="eachPage"/>
          </w:footnotePr>
          <w:type w:val="continuous"/>
          <w:pgSz w:w="11909" w:h="16834"/>
          <w:pgMar w:top="581" w:right="1313" w:bottom="804" w:left="166" w:header="0" w:footer="3" w:gutter="0"/>
          <w:cols w:num="2" w:sep="1" w:space="720" w:equalWidth="0">
            <w:col w:w="5021" w:space="869"/>
            <w:col w:w="4541"/>
          </w:cols>
          <w:noEndnote/>
          <w:docGrid w:linePitch="360"/>
        </w:sectPr>
      </w:pPr>
      <w:bookmarkStart w:id="643" w:name="bookmark642"/>
      <w:r>
        <w:t>poskytují komfort velkých lázní za mírné ceny. S úspěchem léčí: revma, dnu, ischias, nervosu, ženské choroby.</w:t>
      </w:r>
      <w:bookmarkEnd w:id="643"/>
    </w:p>
    <w:p w:rsidR="00500724" w:rsidRDefault="00F30FB8">
      <w:pPr>
        <w:pStyle w:val="Zkladntext1"/>
        <w:shd w:val="clear" w:color="auto" w:fill="auto"/>
        <w:spacing w:after="40"/>
        <w:ind w:left="640" w:firstLine="0"/>
        <w:jc w:val="left"/>
        <w:rPr>
          <w:sz w:val="20"/>
          <w:szCs w:val="20"/>
        </w:rPr>
      </w:pPr>
      <w:r>
        <w:rPr>
          <w:sz w:val="20"/>
          <w:szCs w:val="20"/>
        </w:rPr>
        <w:t xml:space="preserve">U všech knihkupců. V </w:t>
      </w:r>
      <w:r>
        <w:rPr>
          <w:sz w:val="20"/>
          <w:szCs w:val="20"/>
        </w:rPr>
        <w:t>generální komisi</w:t>
      </w:r>
    </w:p>
    <w:p w:rsidR="00500724" w:rsidRDefault="00F30FB8">
      <w:pPr>
        <w:pStyle w:val="Nadpis100"/>
        <w:shd w:val="clear" w:color="auto" w:fill="auto"/>
        <w:spacing w:after="0" w:line="240" w:lineRule="auto"/>
        <w:jc w:val="left"/>
      </w:pPr>
      <w:bookmarkStart w:id="644" w:name="bookmark643"/>
      <w:r>
        <w:t>F H. BOROVÝ</w:t>
      </w:r>
      <w:bookmarkEnd w:id="644"/>
    </w:p>
    <w:p w:rsidR="00500724" w:rsidRDefault="00F30FB8">
      <w:pPr>
        <w:spacing w:line="1" w:lineRule="exact"/>
        <w:rPr>
          <w:sz w:val="2"/>
          <w:szCs w:val="2"/>
        </w:rPr>
      </w:pPr>
      <w:r>
        <w:br w:type="column"/>
      </w:r>
    </w:p>
    <w:p w:rsidR="00500724" w:rsidRDefault="00F30FB8">
      <w:pPr>
        <w:pStyle w:val="Jin0"/>
        <w:shd w:val="clear" w:color="auto" w:fill="auto"/>
        <w:ind w:left="280" w:firstLine="0"/>
        <w:jc w:val="left"/>
        <w:rPr>
          <w:sz w:val="42"/>
          <w:szCs w:val="42"/>
        </w:rPr>
        <w:sectPr w:rsidR="00500724">
          <w:footnotePr>
            <w:numFmt w:val="chicago"/>
            <w:numRestart w:val="eachPage"/>
          </w:footnotePr>
          <w:type w:val="continuous"/>
          <w:pgSz w:w="11909" w:h="16834"/>
          <w:pgMar w:top="581" w:right="1169" w:bottom="804" w:left="382" w:header="0" w:footer="3" w:gutter="0"/>
          <w:cols w:num="2" w:space="163"/>
          <w:noEndnote/>
          <w:docGrid w:linePitch="360"/>
        </w:sectPr>
      </w:pPr>
      <w:r>
        <w:rPr>
          <w:rFonts w:ascii="Arial" w:eastAsia="Arial" w:hAnsi="Arial" w:cs="Arial"/>
          <w:sz w:val="26"/>
          <w:szCs w:val="26"/>
        </w:rPr>
        <w:t xml:space="preserve">Čtěte </w:t>
      </w:r>
      <w:r>
        <w:rPr>
          <w:rFonts w:ascii="Cambria" w:eastAsia="Cambria" w:hAnsi="Cambria" w:cs="Cambria"/>
          <w:i/>
          <w:iCs/>
          <w:sz w:val="42"/>
          <w:szCs w:val="42"/>
        </w:rPr>
        <w:t>LIDOVÉ NOVINY</w:t>
      </w:r>
    </w:p>
    <w:p w:rsidR="00500724" w:rsidRDefault="00500724">
      <w:pPr>
        <w:spacing w:before="104" w:after="104"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457" w:right="0" w:bottom="929" w:left="0" w:header="0" w:footer="3" w:gutter="0"/>
          <w:cols w:space="720"/>
          <w:noEndnote/>
          <w:docGrid w:linePitch="360"/>
        </w:sectPr>
      </w:pPr>
    </w:p>
    <w:p w:rsidR="00500724" w:rsidRDefault="00F30FB8">
      <w:pPr>
        <w:pStyle w:val="Zkladntext1"/>
        <w:shd w:val="clear" w:color="auto" w:fill="auto"/>
        <w:spacing w:after="60" w:line="206" w:lineRule="auto"/>
        <w:ind w:left="580" w:right="200" w:hanging="580"/>
      </w:pPr>
      <w:r>
        <w:rPr>
          <w:b/>
          <w:bCs/>
          <w:sz w:val="20"/>
          <w:szCs w:val="20"/>
        </w:rPr>
        <w:t xml:space="preserve">OBSAH PŘÍTOMNOSTI Č. </w:t>
      </w:r>
      <w:r>
        <w:rPr>
          <w:b/>
          <w:bCs/>
        </w:rPr>
        <w:t xml:space="preserve">25: V. STRNAD: Český národ a politické vraždy — JAN ALBERT: Blokáda Tiencinu — J. SKÁLA: Vyhlídky českého národního </w:t>
      </w:r>
      <w:r>
        <w:rPr>
          <w:b/>
          <w:bCs/>
        </w:rPr>
        <w:t>hospodářství — MILENA JESENSKÁ: Soldaten wohnen auf den Kano</w:t>
      </w:r>
      <w:r>
        <w:rPr>
          <w:b/>
          <w:bCs/>
        </w:rPr>
        <w:softHyphen/>
        <w:t xml:space="preserve">nen — ZDENĚK WIRTH: Tvář Prahy — JOSEF DVOŘÁK: Sidor odchází — JOSEF HAVLÍČEK: Duch plánu a nové budovy Národního musea — ZDENĚK SMETÁČEK: Životní zájmy a nepřímý útok — Světová konference anebo </w:t>
      </w:r>
      <w:r>
        <w:rPr>
          <w:b/>
          <w:bCs/>
        </w:rPr>
        <w:t>válka? — Anglický král ve Spojených Státech — Český národ chce klid — Polské problémy: sedláci, menšiny, pan slavismus — Slovenské divadlo a čeští herci — Proč byl postaven Mariánský sloup? — Co je svatováclavská tradice? — Zdražit anebo nezdražit noviny.</w:t>
      </w:r>
    </w:p>
    <w:p w:rsidR="00500724" w:rsidRDefault="00F30FB8">
      <w:pPr>
        <w:pStyle w:val="Jin0"/>
        <w:shd w:val="clear" w:color="auto" w:fill="auto"/>
        <w:tabs>
          <w:tab w:val="left" w:pos="8275"/>
        </w:tabs>
        <w:spacing w:after="60" w:line="187" w:lineRule="auto"/>
        <w:ind w:firstLine="0"/>
        <w:rPr>
          <w:sz w:val="12"/>
          <w:szCs w:val="12"/>
        </w:rPr>
      </w:pPr>
      <w:r>
        <w:rPr>
          <w:rFonts w:ascii="Arial" w:eastAsia="Arial" w:hAnsi="Arial" w:cs="Arial"/>
          <w:smallCaps/>
          <w:sz w:val="15"/>
          <w:szCs w:val="15"/>
        </w:rPr>
        <w:t>•"</w:t>
      </w:r>
      <w:r>
        <w:rPr>
          <w:rFonts w:ascii="Arial" w:eastAsia="Arial" w:hAnsi="Arial" w:cs="Arial"/>
          <w:smallCaps/>
          <w:sz w:val="15"/>
          <w:szCs w:val="15"/>
          <w:u w:val="single"/>
        </w:rPr>
        <w:t>,</w:t>
      </w:r>
      <w:r>
        <w:rPr>
          <w:rFonts w:ascii="Arial" w:eastAsia="Arial" w:hAnsi="Arial" w:cs="Arial"/>
          <w:smallCaps/>
          <w:sz w:val="15"/>
          <w:szCs w:val="15"/>
          <w:u w:val="single"/>
          <w:vertAlign w:val="subscript"/>
        </w:rPr>
        <w:t>L</w:t>
      </w:r>
      <w:r>
        <w:rPr>
          <w:rFonts w:ascii="Arial" w:eastAsia="Arial" w:hAnsi="Arial" w:cs="Arial"/>
          <w:smallCaps/>
          <w:sz w:val="15"/>
          <w:szCs w:val="15"/>
          <w:u w:val="single"/>
        </w:rPr>
        <w:t>.</w:t>
      </w:r>
      <w:r>
        <w:rPr>
          <w:rFonts w:ascii="Arial" w:eastAsia="Arial" w:hAnsi="Arial" w:cs="Arial"/>
          <w:smallCaps/>
          <w:sz w:val="15"/>
          <w:szCs w:val="15"/>
        </w:rPr>
        <w:tab/>
      </w:r>
      <w:r>
        <w:rPr>
          <w:rFonts w:ascii="Arial" w:eastAsia="Arial" w:hAnsi="Arial" w:cs="Arial"/>
          <w:smallCaps/>
          <w:sz w:val="15"/>
          <w:szCs w:val="15"/>
          <w:vertAlign w:val="subscript"/>
        </w:rPr>
        <w:t>H|</w:t>
      </w:r>
      <w:r>
        <w:rPr>
          <w:rFonts w:ascii="Arial" w:eastAsia="Arial" w:hAnsi="Arial" w:cs="Arial"/>
          <w:smallCaps/>
          <w:sz w:val="15"/>
          <w:szCs w:val="15"/>
        </w:rPr>
        <w:t xml:space="preserve"> „</w:t>
      </w:r>
      <w:r>
        <w:rPr>
          <w:rFonts w:ascii="Arial" w:eastAsia="Arial" w:hAnsi="Arial" w:cs="Arial"/>
          <w:smallCaps/>
          <w:sz w:val="15"/>
          <w:szCs w:val="15"/>
          <w:vertAlign w:val="subscript"/>
        </w:rPr>
        <w:t>H|M</w:t>
      </w:r>
      <w:r>
        <w:rPr>
          <w:rFonts w:ascii="Arial" w:eastAsia="Arial" w:hAnsi="Arial" w:cs="Arial"/>
          <w:smallCaps/>
          <w:sz w:val="15"/>
          <w:szCs w:val="15"/>
        </w:rPr>
        <w:t>, hhm—</w:t>
      </w:r>
      <w:r>
        <w:rPr>
          <w:rFonts w:ascii="Arial" w:eastAsia="Arial" w:hAnsi="Arial" w:cs="Arial"/>
          <w:sz w:val="12"/>
          <w:szCs w:val="12"/>
        </w:rPr>
        <w:t xml:space="preserve">i </w:t>
      </w:r>
    </w:p>
    <w:p w:rsidR="00500724" w:rsidRDefault="00F30FB8">
      <w:pPr>
        <w:pStyle w:val="Nadpis80"/>
        <w:keepNext/>
        <w:keepLines/>
        <w:shd w:val="clear" w:color="auto" w:fill="auto"/>
        <w:spacing w:after="200"/>
      </w:pPr>
      <w:r>
        <w:rPr>
          <w:noProof/>
        </w:rPr>
        <mc:AlternateContent>
          <mc:Choice Requires="wps">
            <w:drawing>
              <wp:anchor distT="0" distB="0" distL="114300" distR="114300" simplePos="0" relativeHeight="125830016" behindDoc="0" locked="0" layoutInCell="1" allowOverlap="1">
                <wp:simplePos x="0" y="0"/>
                <wp:positionH relativeFrom="page">
                  <wp:posOffset>208915</wp:posOffset>
                </wp:positionH>
                <wp:positionV relativeFrom="paragraph">
                  <wp:posOffset>63500</wp:posOffset>
                </wp:positionV>
                <wp:extent cx="2679065" cy="676910"/>
                <wp:effectExtent l="0" t="0" r="0" b="0"/>
                <wp:wrapSquare wrapText="right"/>
                <wp:docPr id="639" name="Shape 639"/>
                <wp:cNvGraphicFramePr/>
                <a:graphic xmlns:a="http://schemas.openxmlformats.org/drawingml/2006/main">
                  <a:graphicData uri="http://schemas.microsoft.com/office/word/2010/wordprocessingShape">
                    <wps:wsp>
                      <wps:cNvSpPr txBox="1"/>
                      <wps:spPr>
                        <a:xfrm>
                          <a:off x="0" y="0"/>
                          <a:ext cx="2679065" cy="676910"/>
                        </a:xfrm>
                        <a:prstGeom prst="rect">
                          <a:avLst/>
                        </a:prstGeom>
                        <a:noFill/>
                      </wps:spPr>
                      <wps:txbx>
                        <w:txbxContent>
                          <w:p w:rsidR="00500724" w:rsidRDefault="00F30FB8">
                            <w:pPr>
                              <w:pStyle w:val="Jin0"/>
                              <w:shd w:val="clear" w:color="auto" w:fill="auto"/>
                              <w:ind w:firstLine="0"/>
                              <w:jc w:val="left"/>
                              <w:rPr>
                                <w:sz w:val="76"/>
                                <w:szCs w:val="76"/>
                              </w:rPr>
                            </w:pPr>
                            <w:r>
                              <w:rPr>
                                <w:sz w:val="76"/>
                                <w:szCs w:val="76"/>
                              </w:rPr>
                              <w:t>Přítomnost,</w:t>
                            </w:r>
                          </w:p>
                        </w:txbxContent>
                      </wps:txbx>
                      <wps:bodyPr lIns="0" tIns="0" rIns="0" bIns="0">
                        <a:spAutoFit/>
                      </wps:bodyPr>
                    </wps:wsp>
                  </a:graphicData>
                </a:graphic>
              </wp:anchor>
            </w:drawing>
          </mc:Choice>
          <mc:Fallback>
            <w:pict>
              <v:shape id="_x0000_s1665" type="#_x0000_t202" style="position:absolute;margin-left:16.449999999999999pt;margin-top:5.pt;width:210.94999999999999pt;height:53.299999999999997pt;z-index:-125828737;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76"/>
                          <w:szCs w:val="76"/>
                        </w:rPr>
                      </w:pPr>
                      <w:r>
                        <w:rPr>
                          <w:color w:val="000000"/>
                          <w:spacing w:val="0"/>
                          <w:w w:val="100"/>
                          <w:position w:val="0"/>
                          <w:sz w:val="76"/>
                          <w:szCs w:val="76"/>
                          <w:shd w:val="clear" w:color="auto" w:fill="auto"/>
                          <w:lang w:val="cs-CZ" w:eastAsia="cs-CZ" w:bidi="cs-CZ"/>
                        </w:rPr>
                        <w:t>Přítomnost,</w:t>
                      </w:r>
                    </w:p>
                  </w:txbxContent>
                </v:textbox>
                <w10:wrap type="square" side="right" anchorx="page"/>
              </v:shape>
            </w:pict>
          </mc:Fallback>
        </mc:AlternateContent>
      </w:r>
      <w:bookmarkStart w:id="645" w:name="bookmark644"/>
      <w:r>
        <w:t>nezávislý týdeník</w:t>
      </w:r>
      <w:bookmarkEnd w:id="645"/>
    </w:p>
    <w:p w:rsidR="00500724" w:rsidRDefault="00F30FB8">
      <w:pPr>
        <w:pStyle w:val="Zkladntext1"/>
        <w:shd w:val="clear" w:color="auto" w:fill="auto"/>
        <w:spacing w:after="60" w:line="216" w:lineRule="auto"/>
        <w:ind w:left="100" w:firstLine="0"/>
        <w:jc w:val="center"/>
        <w:rPr>
          <w:sz w:val="20"/>
          <w:szCs w:val="20"/>
        </w:rPr>
      </w:pPr>
      <w:r>
        <w:rPr>
          <w:sz w:val="20"/>
          <w:szCs w:val="20"/>
        </w:rPr>
        <w:t>vychází ve středu v nakladatelství</w:t>
      </w:r>
      <w:r>
        <w:rPr>
          <w:sz w:val="20"/>
          <w:szCs w:val="20"/>
        </w:rPr>
        <w:br/>
        <w:t>FR. BOROVÝ V PRAZE I.. NÁRODNÍ TRlDA 11.</w:t>
      </w:r>
    </w:p>
    <w:p w:rsidR="00500724" w:rsidRDefault="00F30FB8">
      <w:pPr>
        <w:pStyle w:val="Zkladntext40"/>
        <w:shd w:val="clear" w:color="auto" w:fill="auto"/>
        <w:spacing w:line="187" w:lineRule="auto"/>
        <w:ind w:right="200"/>
      </w:pPr>
      <w:r>
        <w:rPr>
          <w:noProof/>
        </w:rPr>
        <mc:AlternateContent>
          <mc:Choice Requires="wps">
            <w:drawing>
              <wp:anchor distT="0" distB="0" distL="114300" distR="114300" simplePos="0" relativeHeight="125830018" behindDoc="0" locked="0" layoutInCell="1" allowOverlap="1">
                <wp:simplePos x="0" y="0"/>
                <wp:positionH relativeFrom="page">
                  <wp:posOffset>175260</wp:posOffset>
                </wp:positionH>
                <wp:positionV relativeFrom="paragraph">
                  <wp:posOffset>127000</wp:posOffset>
                </wp:positionV>
                <wp:extent cx="2724785" cy="389890"/>
                <wp:effectExtent l="0" t="0" r="0" b="0"/>
                <wp:wrapSquare wrapText="right"/>
                <wp:docPr id="641" name="Shape 641"/>
                <wp:cNvGraphicFramePr/>
                <a:graphic xmlns:a="http://schemas.openxmlformats.org/drawingml/2006/main">
                  <a:graphicData uri="http://schemas.microsoft.com/office/word/2010/wordprocessingShape">
                    <wps:wsp>
                      <wps:cNvSpPr txBox="1"/>
                      <wps:spPr>
                        <a:xfrm>
                          <a:off x="0" y="0"/>
                          <a:ext cx="2724785" cy="389890"/>
                        </a:xfrm>
                        <a:prstGeom prst="rect">
                          <a:avLst/>
                        </a:prstGeom>
                        <a:noFill/>
                      </wps:spPr>
                      <wps:txbx>
                        <w:txbxContent>
                          <w:p w:rsidR="00500724" w:rsidRDefault="00F30FB8">
                            <w:pPr>
                              <w:pStyle w:val="Jin0"/>
                              <w:shd w:val="clear" w:color="auto" w:fill="auto"/>
                              <w:ind w:firstLine="0"/>
                              <w:jc w:val="left"/>
                              <w:rPr>
                                <w:sz w:val="50"/>
                                <w:szCs w:val="50"/>
                              </w:rPr>
                            </w:pPr>
                            <w:r>
                              <w:rPr>
                                <w:sz w:val="50"/>
                                <w:szCs w:val="50"/>
                              </w:rPr>
                              <w:t>řídí Ferd. Peroutka</w:t>
                            </w:r>
                          </w:p>
                        </w:txbxContent>
                      </wps:txbx>
                      <wps:bodyPr lIns="0" tIns="0" rIns="0" bIns="0">
                        <a:spAutoFit/>
                      </wps:bodyPr>
                    </wps:wsp>
                  </a:graphicData>
                </a:graphic>
              </wp:anchor>
            </w:drawing>
          </mc:Choice>
          <mc:Fallback>
            <w:pict>
              <v:shape id="_x0000_s1667" type="#_x0000_t202" style="position:absolute;margin-left:13.800000000000001pt;margin-top:10.pt;width:214.55000000000001pt;height:30.699999999999999pt;z-index:-125828735;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50"/>
                          <w:szCs w:val="50"/>
                        </w:rPr>
                      </w:pPr>
                      <w:r>
                        <w:rPr>
                          <w:color w:val="000000"/>
                          <w:spacing w:val="0"/>
                          <w:w w:val="100"/>
                          <w:position w:val="0"/>
                          <w:sz w:val="50"/>
                          <w:szCs w:val="50"/>
                          <w:shd w:val="clear" w:color="auto" w:fill="auto"/>
                          <w:lang w:val="cs-CZ" w:eastAsia="cs-CZ" w:bidi="cs-CZ"/>
                        </w:rPr>
                        <w:t>řídí Ferd. Peroutka</w:t>
                      </w:r>
                    </w:p>
                  </w:txbxContent>
                </v:textbox>
                <w10:wrap type="square" side="right" anchorx="page"/>
              </v:shape>
            </w:pict>
          </mc:Fallback>
        </mc:AlternateContent>
      </w:r>
      <w:r>
        <w:t>Telefon čislo 390-51 až 54 • Očet poštovní spořitelny čislo 3E.622 • Nevy</w:t>
      </w:r>
      <w:r>
        <w:softHyphen/>
      </w:r>
      <w:r>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 xml:space="preserve">Frs 2.50. • DohlédacI pošt. úřad Brno </w:t>
      </w:r>
      <w:r>
        <w:rPr>
          <w:sz w:val="19"/>
          <w:szCs w:val="19"/>
        </w:rPr>
        <w:t xml:space="preserve">n. • </w:t>
      </w:r>
      <w:r>
        <w:t xml:space="preserve">Novinová sazba povolena v Brně ředitelstvím pošt </w:t>
      </w:r>
      <w:r>
        <w:rPr>
          <w:i/>
          <w:iCs/>
        </w:rPr>
        <w:t>a</w:t>
      </w:r>
      <w:r>
        <w:t xml:space="preserve"> telegrafů pod čís. 119.268/IIIa o Odpovědný redaktor J. Dlabač.</w:t>
      </w:r>
    </w:p>
    <w:p w:rsidR="00500724" w:rsidRDefault="00F30FB8">
      <w:pPr>
        <w:pStyle w:val="Zkladntext40"/>
        <w:shd w:val="clear" w:color="auto" w:fill="auto"/>
        <w:spacing w:line="187" w:lineRule="auto"/>
        <w:ind w:left="5340"/>
        <w:jc w:val="left"/>
      </w:pPr>
      <w:r>
        <w:rPr>
          <w:b/>
          <w:bCs/>
        </w:rPr>
        <w:t>TISKEM LIDOVÉ TISKÁRNY. BRNO. ČESKÁ 6.</w:t>
      </w:r>
      <w:r>
        <w:br w:type="page"/>
      </w:r>
    </w:p>
    <w:p w:rsidR="00500724" w:rsidRDefault="00F30FB8">
      <w:pPr>
        <w:pStyle w:val="Jin0"/>
        <w:pBdr>
          <w:bottom w:val="single" w:sz="4" w:space="0" w:color="auto"/>
        </w:pBdr>
        <w:shd w:val="clear" w:color="auto" w:fill="auto"/>
        <w:ind w:firstLine="0"/>
        <w:jc w:val="center"/>
        <w:rPr>
          <w:sz w:val="100"/>
          <w:szCs w:val="100"/>
        </w:rPr>
        <w:sectPr w:rsidR="00500724">
          <w:footnotePr>
            <w:numFmt w:val="chicago"/>
            <w:numRestart w:val="eachPage"/>
          </w:footnotePr>
          <w:type w:val="continuous"/>
          <w:pgSz w:w="11909" w:h="16834"/>
          <w:pgMar w:top="457" w:right="845" w:bottom="929" w:left="490" w:header="0" w:footer="3" w:gutter="0"/>
          <w:cols w:space="720"/>
          <w:noEndnote/>
          <w:docGrid w:linePitch="360"/>
        </w:sectPr>
      </w:pPr>
      <w:r>
        <w:rPr>
          <w:rFonts w:ascii="Arial" w:eastAsia="Arial" w:hAnsi="Arial" w:cs="Arial"/>
          <w:sz w:val="100"/>
          <w:szCs w:val="100"/>
          <w:lang w:val="en-US" w:eastAsia="en-US" w:bidi="en-US"/>
        </w:rPr>
        <w:t>fVitomnosO</w:t>
      </w:r>
    </w:p>
    <w:p w:rsidR="00500724" w:rsidRDefault="00500724">
      <w:pPr>
        <w:spacing w:after="692" w:line="14" w:lineRule="exact"/>
      </w:pPr>
    </w:p>
    <w:p w:rsidR="00500724" w:rsidRDefault="00500724">
      <w:pPr>
        <w:spacing w:line="14" w:lineRule="exact"/>
        <w:sectPr w:rsidR="00500724">
          <w:footnotePr>
            <w:numFmt w:val="chicago"/>
            <w:numRestart w:val="eachPage"/>
          </w:footnotePr>
          <w:type w:val="continuous"/>
          <w:pgSz w:w="11909" w:h="16834"/>
          <w:pgMar w:top="1088" w:right="650" w:bottom="854" w:left="943" w:header="0" w:footer="3" w:gutter="0"/>
          <w:cols w:space="720"/>
          <w:noEndnote/>
          <w:docGrid w:linePitch="360"/>
        </w:sectPr>
      </w:pPr>
    </w:p>
    <w:p w:rsidR="00500724" w:rsidRDefault="00F30FB8">
      <w:pPr>
        <w:pStyle w:val="Jin0"/>
        <w:shd w:val="clear" w:color="auto" w:fill="auto"/>
        <w:ind w:firstLine="0"/>
        <w:jc w:val="left"/>
        <w:rPr>
          <w:sz w:val="34"/>
          <w:szCs w:val="34"/>
        </w:rPr>
      </w:pPr>
      <w:r>
        <w:rPr>
          <w:b/>
          <w:bCs/>
          <w:sz w:val="34"/>
          <w:szCs w:val="34"/>
        </w:rPr>
        <w:t>O české a německé lásce k Praze</w:t>
      </w:r>
    </w:p>
    <w:p w:rsidR="00500724" w:rsidRDefault="00F30FB8">
      <w:pPr>
        <w:pStyle w:val="Zkladntext30"/>
        <w:shd w:val="clear" w:color="auto" w:fill="auto"/>
        <w:spacing w:after="0" w:line="223" w:lineRule="auto"/>
        <w:ind w:firstLine="240"/>
      </w:pPr>
      <w:r>
        <w:t>»Ó, Praho, ty blouznivé, ty slavnostní město, ty m</w:t>
      </w:r>
      <w:r>
        <w:t xml:space="preserve">ěsto mučedníků, muzikantů a krásných dívek, Ó, Praho, jaký kus mé svobodné duše jsi mi odňala!* Tak vzdychal někdy před třičtvrtistoletím </w:t>
      </w:r>
      <w:r>
        <w:rPr>
          <w:lang w:val="en-US" w:eastAsia="en-US" w:bidi="en-US"/>
        </w:rPr>
        <w:t xml:space="preserve">Wilhelm </w:t>
      </w:r>
      <w:r>
        <w:t>Raabe, německý novelista.</w:t>
      </w:r>
    </w:p>
    <w:p w:rsidR="00500724" w:rsidRDefault="00F30FB8">
      <w:pPr>
        <w:pStyle w:val="Zkladntext30"/>
        <w:shd w:val="clear" w:color="auto" w:fill="auto"/>
        <w:spacing w:after="0" w:line="223" w:lineRule="auto"/>
        <w:ind w:firstLine="240"/>
      </w:pPr>
      <w:r>
        <w:t xml:space="preserve">My, Češi, jimž láska k Praze je prostě částí našeho osudu, pozorujeme v posledních </w:t>
      </w:r>
      <w:r>
        <w:t>týdnech ne bez urči</w:t>
      </w:r>
      <w:r>
        <w:softHyphen/>
        <w:t>tého překvapeni, že ji také Němci mají svým způso</w:t>
      </w:r>
      <w:r>
        <w:softHyphen/>
        <w:t>bem rádi. Sotva kdy se prodalo tolik pražských po</w:t>
      </w:r>
      <w:r>
        <w:softHyphen/>
        <w:t>hlednic, jako letošního jara; každý německý voják Chtěl poslat domů svůj pozdrav na obrázku Hradčan, Svatého Mikuláše nebo Karlova mostu</w:t>
      </w:r>
      <w:r>
        <w:t>. A říšský pro</w:t>
      </w:r>
      <w:r>
        <w:softHyphen/>
        <w:t>tektor vzal pod svoji čestnou ochranu výstavu praž</w:t>
      </w:r>
      <w:r>
        <w:softHyphen/>
        <w:t xml:space="preserve">ských památek, uspořádanou v minulých dnech </w:t>
      </w:r>
      <w:r>
        <w:rPr>
          <w:b/>
          <w:bCs/>
        </w:rPr>
        <w:t xml:space="preserve">v </w:t>
      </w:r>
      <w:r>
        <w:t>rámci německého kulturního týdne.</w:t>
      </w:r>
    </w:p>
    <w:p w:rsidR="00500724" w:rsidRDefault="00F30FB8">
      <w:pPr>
        <w:pStyle w:val="Zkladntext30"/>
        <w:shd w:val="clear" w:color="auto" w:fill="auto"/>
        <w:spacing w:after="180" w:line="223" w:lineRule="auto"/>
        <w:ind w:firstLine="240"/>
      </w:pPr>
      <w:r>
        <w:t>Dnes, kdy se musíme lecčemus přiučit, máme dost důvodů k tomu, abychom se dali poučit i o tom, jak se Němci dí</w:t>
      </w:r>
      <w:r>
        <w:t>vají na Prahu.</w:t>
      </w:r>
    </w:p>
    <w:p w:rsidR="00500724" w:rsidRDefault="00F30FB8">
      <w:pPr>
        <w:pStyle w:val="Nadpis110"/>
        <w:shd w:val="clear" w:color="auto" w:fill="auto"/>
        <w:spacing w:line="223" w:lineRule="auto"/>
        <w:jc w:val="center"/>
      </w:pPr>
      <w:bookmarkStart w:id="646" w:name="bookmark645"/>
      <w:r>
        <w:rPr>
          <w:rFonts w:ascii="Times New Roman" w:eastAsia="Times New Roman" w:hAnsi="Times New Roman" w:cs="Times New Roman"/>
        </w:rPr>
        <w:t>Styl Prahy</w:t>
      </w:r>
      <w:bookmarkEnd w:id="646"/>
    </w:p>
    <w:p w:rsidR="00500724" w:rsidRDefault="00F30FB8">
      <w:pPr>
        <w:pStyle w:val="Zkladntext30"/>
        <w:shd w:val="clear" w:color="auto" w:fill="auto"/>
        <w:spacing w:after="0" w:line="226" w:lineRule="auto"/>
        <w:ind w:firstLine="240"/>
      </w:pPr>
      <w:r>
        <w:t xml:space="preserve">Říkají nám: pražské budovy mají německý vzhled, jsou projevem německé kultury, každý Němec cítí, </w:t>
      </w:r>
      <w:r>
        <w:rPr>
          <w:b/>
          <w:bCs/>
        </w:rPr>
        <w:t xml:space="preserve">že </w:t>
      </w:r>
      <w:r>
        <w:t>Praha je svým stylem město německé.</w:t>
      </w:r>
    </w:p>
    <w:p w:rsidR="00500724" w:rsidRDefault="00F30FB8">
      <w:pPr>
        <w:pStyle w:val="Zkladntext30"/>
        <w:shd w:val="clear" w:color="auto" w:fill="auto"/>
        <w:spacing w:after="0" w:line="223" w:lineRule="auto"/>
        <w:ind w:firstLine="240"/>
      </w:pPr>
      <w:r>
        <w:t xml:space="preserve">Cítí... Když Kollár putoval po »Italii slavjanské*, cítil v Apeninách »slovanské Vápeniny* a </w:t>
      </w:r>
      <w:r>
        <w:t>ve Via Maltt »český vejmok —: co je na nás, jsme dnes už dávno tak daleko, abychom se mohli smířeně usmívat nad takovou sentimentálností.</w:t>
      </w:r>
    </w:p>
    <w:p w:rsidR="00500724" w:rsidRDefault="00F30FB8">
      <w:pPr>
        <w:pStyle w:val="Zkladntext30"/>
        <w:shd w:val="clear" w:color="auto" w:fill="auto"/>
        <w:spacing w:after="180" w:line="223" w:lineRule="auto"/>
        <w:ind w:firstLine="240"/>
      </w:pPr>
      <w:r>
        <w:t>Styl Prahy, to jest gotika a barok. Ostatní veliké slohy, starší i mladší, celkem zanikají v obraze histo</w:t>
      </w:r>
      <w:r>
        <w:softHyphen/>
        <w:t>rického měst</w:t>
      </w:r>
      <w:r>
        <w:t>a. Nuže, jak každý ví, gotika je fran</w:t>
      </w:r>
      <w:r>
        <w:softHyphen/>
        <w:t>couzským stylem a barok stylem italským. Ať už byli budovatelé Prahy jakékoliv národnosti, postavili ji v duchu, který se zrodil ve Francii vrcholného středo</w:t>
      </w:r>
      <w:r>
        <w:softHyphen/>
        <w:t>věku a v porenaissanční Itálii. Němci a Češi jsou na tom v a</w:t>
      </w:r>
      <w:r>
        <w:t>rchitektuře stejně: ani jedni ani druzí nevy</w:t>
      </w:r>
      <w:r>
        <w:softHyphen/>
        <w:t>tvořili žádného velkého stavebního slohu.</w:t>
      </w:r>
    </w:p>
    <w:p w:rsidR="00500724" w:rsidRDefault="00F30FB8">
      <w:pPr>
        <w:pStyle w:val="Zkladntext30"/>
        <w:shd w:val="clear" w:color="auto" w:fill="auto"/>
        <w:spacing w:after="0" w:line="223" w:lineRule="auto"/>
        <w:ind w:firstLine="0"/>
        <w:jc w:val="center"/>
      </w:pPr>
      <w:r>
        <w:t>Němečtější než Berlín</w:t>
      </w:r>
    </w:p>
    <w:p w:rsidR="00500724" w:rsidRDefault="00F30FB8">
      <w:pPr>
        <w:pStyle w:val="Zkladntext30"/>
        <w:shd w:val="clear" w:color="auto" w:fill="auto"/>
        <w:spacing w:after="0" w:line="221" w:lineRule="auto"/>
        <w:ind w:firstLine="240"/>
      </w:pPr>
      <w:r>
        <w:t xml:space="preserve">Leckdo na německé straně jde ještě dále a míní, </w:t>
      </w:r>
      <w:r>
        <w:rPr>
          <w:b/>
          <w:bCs/>
        </w:rPr>
        <w:t xml:space="preserve">že </w:t>
      </w:r>
      <w:r>
        <w:t>Praha je svým stylem nejen německé město, nýbrž že je němečtější než Drážďany, než Hannover, než</w:t>
      </w:r>
      <w:r>
        <w:t xml:space="preserve"> </w:t>
      </w:r>
      <w:r>
        <w:rPr>
          <w:lang w:val="en-US" w:eastAsia="en-US" w:bidi="en-US"/>
        </w:rPr>
        <w:t xml:space="preserve">Karlsruhe, </w:t>
      </w:r>
      <w:r>
        <w:t>než Berlín — to znamená než ta říšská města, o nichž jsme tu nedávno ukázali, že dostala svoji architektonickou tvář od italských, francouz</w:t>
      </w:r>
      <w:r>
        <w:softHyphen/>
        <w:t>ských a holandských stavitelů.</w:t>
      </w:r>
    </w:p>
    <w:p w:rsidR="00500724" w:rsidRDefault="00F30FB8">
      <w:pPr>
        <w:pStyle w:val="Zkladntext30"/>
        <w:shd w:val="clear" w:color="auto" w:fill="auto"/>
        <w:spacing w:after="0" w:line="226" w:lineRule="auto"/>
        <w:ind w:firstLine="240"/>
      </w:pPr>
      <w:r>
        <w:t>»Němečtější než Berlín«. Argumenty, které se tu dnes uvádějí, jsou v pods</w:t>
      </w:r>
      <w:r>
        <w:t xml:space="preserve">tatě historického rázu: ža Praha byla hlavním městem římské říše německého národa, že zde panovali němečtí císaři, jejichž kosti leží u sv. Víta, že je to město hluboce zakořeněné ve staletích západních dějin, kdy Němci stvořili </w:t>
      </w:r>
      <w:r>
        <w:rPr>
          <w:b/>
          <w:bCs/>
        </w:rPr>
        <w:t xml:space="preserve">a </w:t>
      </w:r>
      <w:r>
        <w:t>budo</w:t>
      </w:r>
      <w:r>
        <w:softHyphen/>
        <w:t>vali svoji říši.</w:t>
      </w:r>
    </w:p>
    <w:p w:rsidR="00500724" w:rsidRDefault="00F30FB8">
      <w:pPr>
        <w:pStyle w:val="Zkladntext30"/>
        <w:shd w:val="clear" w:color="auto" w:fill="auto"/>
        <w:spacing w:after="0" w:line="223" w:lineRule="auto"/>
        <w:ind w:firstLine="240"/>
      </w:pPr>
      <w:r>
        <w:t>Vsk</w:t>
      </w:r>
      <w:r>
        <w:t>utku, to je linie, na níž by bylo možno přesvěd</w:t>
      </w:r>
      <w:r>
        <w:softHyphen/>
        <w:t>čivěji dokázat německý ráz Prahy, než se to dá udělat argumentací s německými staviteli. Kdyby bylo prav</w:t>
      </w:r>
      <w:r>
        <w:softHyphen/>
        <w:t>da, že z tisíciletého zjevu Prahy mluví především německé dějiny a zvláště dějiny budování ně</w:t>
      </w:r>
      <w:r>
        <w:softHyphen/>
        <w:t>mecké říš</w:t>
      </w:r>
      <w:r>
        <w:t>e, musili bychom uznat aspoň tolik, že se cit »Praha je německá* může opřít o solidní základ, Jenže — je tomu opravdu tak?</w:t>
      </w:r>
    </w:p>
    <w:p w:rsidR="00500724" w:rsidRDefault="00F30FB8">
      <w:pPr>
        <w:pStyle w:val="Zkladntext30"/>
        <w:shd w:val="clear" w:color="auto" w:fill="auto"/>
        <w:spacing w:after="0" w:line="206" w:lineRule="auto"/>
        <w:ind w:firstLine="240"/>
      </w:pPr>
      <w:r>
        <w:t xml:space="preserve">Světodějný proces budování </w:t>
      </w:r>
      <w:r>
        <w:rPr>
          <w:b/>
          <w:bCs/>
        </w:rPr>
        <w:t xml:space="preserve">a </w:t>
      </w:r>
      <w:r>
        <w:t>formování univer</w:t>
      </w:r>
      <w:r>
        <w:softHyphen/>
        <w:t>sální římské říše národa německého byl prudce za</w:t>
      </w:r>
      <w:r>
        <w:softHyphen/>
        <w:t>staven smrtí Friedricha H. v roce 1250</w:t>
      </w:r>
      <w:r>
        <w:t>; co následo</w:t>
      </w:r>
      <w:r>
        <w:softHyphen/>
        <w:t>valo v několika dalších stoletích, je její úpadek, pře</w:t>
      </w:r>
      <w:r>
        <w:softHyphen/>
        <w:t>rušovaný pokusy o záchranu před naprostým roz</w:t>
      </w:r>
      <w:r>
        <w:softHyphen/>
        <w:t>kladem. V architektonické tváři Prahy není však vů</w:t>
      </w:r>
      <w:r>
        <w:softHyphen/>
        <w:t>bec nápadnějších rysů, jež by spadaly do doby velko</w:t>
      </w:r>
      <w:r>
        <w:softHyphen/>
        <w:t>lepého budování říše před nešťastným ko</w:t>
      </w:r>
      <w:r>
        <w:t>ncem po</w:t>
      </w:r>
      <w:r>
        <w:softHyphen/>
        <w:t xml:space="preserve">sledních Staufů. Její gotické věže jsou svědky časů, kdy jen v českém království bylo dosti státní moci </w:t>
      </w:r>
      <w:r>
        <w:rPr>
          <w:b/>
          <w:bCs/>
        </w:rPr>
        <w:t xml:space="preserve">a </w:t>
      </w:r>
      <w:r>
        <w:t>jen v českých králích dost státotvorných schopností k tomu, aby mohl být znovu zformován ve skutečnou říši chaos partikularistických zájmů a z</w:t>
      </w:r>
      <w:r>
        <w:t>ájmečků, ja</w:t>
      </w:r>
      <w:r>
        <w:softHyphen/>
        <w:t>kým tehdy bylo naše západní sousedství. To tenkrát velmi dobře věděli nejlepší státníci Německa, kteří proto chtěli získat české krále pro císařský trůn; stejně dobře to věděli velcí němečtí feudálové, kteří právě proto chtěli k němu českým krá</w:t>
      </w:r>
      <w:r>
        <w:t>lům cestu uzavřít. Při jednom pokusu zorganisovat z říšského zmatku zase opravdový stát vykrvácel jeden z nej</w:t>
      </w:r>
      <w:r>
        <w:softHyphen/>
        <w:t>lepších českých králů a málem by byl při něm vy</w:t>
      </w:r>
      <w:r>
        <w:softHyphen/>
        <w:t>krvácel i český národ. Když se pak v příštím století český král stal přes prudký odpor říšských kn</w:t>
      </w:r>
      <w:r>
        <w:t>ížat přece německým císařem a když přikročil k úkolu nového zbudování říše, při němž se mohl opírat jen o síly svého českého království, znemožnili to říšští feudálové a pohřbili Zlatou bullu Karla IV. ještě dřív, než se mohla stát právním základem nově zf</w:t>
      </w:r>
      <w:r>
        <w:t>ormova</w:t>
      </w:r>
      <w:r>
        <w:softHyphen/>
        <w:t>ného impéria.</w:t>
      </w:r>
    </w:p>
    <w:p w:rsidR="00500724" w:rsidRDefault="00F30FB8">
      <w:pPr>
        <w:pStyle w:val="Zkladntext30"/>
        <w:shd w:val="clear" w:color="auto" w:fill="auto"/>
        <w:spacing w:after="200" w:line="204" w:lineRule="auto"/>
        <w:ind w:firstLine="240"/>
      </w:pPr>
      <w:r>
        <w:t>Nejvýraznější rysy stověžatého města byly vkresle</w:t>
      </w:r>
      <w:r>
        <w:softHyphen/>
        <w:t>ny do jeho siluety v těchto staletích evropských dě</w:t>
      </w:r>
      <w:r>
        <w:softHyphen/>
        <w:t>jin, jsou hluboce zakořeněny právě v těch dobách, kdy česká moc byla jediným možným nástrojem v některém jiném chrámu své velké říše?</w:t>
      </w:r>
    </w:p>
    <w:p w:rsidR="00500724" w:rsidRDefault="00F30FB8">
      <w:pPr>
        <w:pStyle w:val="Zkladntext30"/>
        <w:shd w:val="clear" w:color="auto" w:fill="auto"/>
        <w:spacing w:after="60" w:line="206" w:lineRule="auto"/>
        <w:ind w:firstLine="0"/>
        <w:jc w:val="center"/>
      </w:pPr>
      <w:r>
        <w:t>Budovatelé měst</w:t>
      </w:r>
    </w:p>
    <w:p w:rsidR="00500724" w:rsidRDefault="00F30FB8">
      <w:pPr>
        <w:pStyle w:val="Zkladntext30"/>
        <w:shd w:val="clear" w:color="auto" w:fill="auto"/>
        <w:spacing w:after="0" w:line="204" w:lineRule="auto"/>
        <w:ind w:firstLine="240"/>
      </w:pPr>
      <w:r>
        <w:t>Jak se vlastně mohlo stát, že Praha byla sídel</w:t>
      </w:r>
      <w:r>
        <w:softHyphen/>
        <w:t>ním městem slušné řádky německých císařů? Proč se dali pohřbívat raději pod klenbou sv. Víta než v některém jiném chrámu svojí velké říše?</w:t>
      </w:r>
    </w:p>
    <w:p w:rsidR="00500724" w:rsidRDefault="00F30FB8">
      <w:pPr>
        <w:pStyle w:val="Zkladntext30"/>
        <w:shd w:val="clear" w:color="auto" w:fill="auto"/>
        <w:spacing w:after="0" w:line="204" w:lineRule="auto"/>
        <w:ind w:firstLine="240"/>
      </w:pPr>
      <w:r>
        <w:t xml:space="preserve">Jen proto, odpovídají dějiny, že české království </w:t>
      </w:r>
      <w:r>
        <w:t>bylo buď jediným solidním nebo později aspoň nej</w:t>
      </w:r>
      <w:r>
        <w:softHyphen/>
        <w:t>solidnějším centrem jejich moci. Státotvorné síle čes</w:t>
      </w:r>
      <w:r>
        <w:softHyphen/>
        <w:t xml:space="preserve">kých Přemyslovců se podařilo vytvořit ze zemí jejich </w:t>
      </w:r>
      <w:r>
        <w:rPr>
          <w:lang w:val="en-US" w:eastAsia="en-US" w:bidi="en-US"/>
        </w:rPr>
        <w:t xml:space="preserve">koruny </w:t>
      </w:r>
      <w:r>
        <w:t>stát větší, bohatší a mocnější, než byl tehdy kdekoli jinde v jejich sousedství. Bylo jen při</w:t>
      </w:r>
      <w:r>
        <w:t>rozeno, že jeho kapitála vzrostla na největší město současné střední Evropy. Její techničtí stavitelé mohli přichá</w:t>
      </w:r>
      <w:r>
        <w:softHyphen/>
        <w:t>zet z Německa, Itálie nebo Francie; jejími politickými budovateli, kteří je sem povolali jako poslušné ná</w:t>
      </w:r>
      <w:r>
        <w:softHyphen/>
        <w:t>stroje svých státních účelů, byli č</w:t>
      </w:r>
      <w:r>
        <w:t>eští králové, opření o státně organisované síly českého národa. Účel a cíl znamená v lidských věcech vždycky víc, mnohem víc, než prostředek a nástroj: proto se nám Cechům zdá být Praha českým městem, ne německým, ne italským.</w:t>
      </w:r>
    </w:p>
    <w:p w:rsidR="00500724" w:rsidRDefault="00F30FB8">
      <w:pPr>
        <w:pStyle w:val="Zkladntext30"/>
        <w:shd w:val="clear" w:color="auto" w:fill="auto"/>
        <w:spacing w:after="0" w:line="204" w:lineRule="auto"/>
        <w:ind w:firstLine="240"/>
      </w:pPr>
      <w:r>
        <w:t>Nejvýše se nad ním rýsují věž</w:t>
      </w:r>
      <w:r>
        <w:t>e svatovítského chrámu. Jeho část vystavěl německý architekt, ně</w:t>
      </w:r>
      <w:r>
        <w:softHyphen/>
        <w:t>mecký je světec, jemuž je zasvěcen, německé jsou i dělové koule nahoře v jeho zdech. To všechno je na sv. Vítu německé; české je na něm »jen« cílevědomé úsilí, z něhož se katedrála vůbec zrod</w:t>
      </w:r>
      <w:r>
        <w:t>ila, aby byla na věky nejkrásnějším svědectvím síly a moci budo</w:t>
      </w:r>
      <w:r>
        <w:softHyphen/>
        <w:t>vatelů českého státu a Prahy, hlavy království.</w:t>
      </w:r>
    </w:p>
    <w:p w:rsidR="00500724" w:rsidRDefault="00F30FB8">
      <w:pPr>
        <w:pStyle w:val="Zkladntext30"/>
        <w:shd w:val="clear" w:color="auto" w:fill="auto"/>
        <w:spacing w:after="0" w:line="202" w:lineRule="auto"/>
        <w:ind w:firstLine="240"/>
      </w:pPr>
      <w:r>
        <w:t>Němci, mluví-li o Praze, vyslovují často dojem, že tu složku lidské kultury, která se vyjadřuje v životě městském, representují ve velkém prosto</w:t>
      </w:r>
      <w:r>
        <w:t>ru západním Němci, zatím co Slované zůstávají lidmi venkovskými, srostlí s vesnicí, sbratřilí s dálavou a se zemí, na které se nestaví...</w:t>
      </w:r>
    </w:p>
    <w:p w:rsidR="00500724" w:rsidRDefault="00F30FB8">
      <w:pPr>
        <w:pStyle w:val="Zkladntext30"/>
        <w:shd w:val="clear" w:color="auto" w:fill="auto"/>
        <w:spacing w:after="0" w:line="202" w:lineRule="auto"/>
        <w:ind w:firstLine="240"/>
      </w:pPr>
      <w:r>
        <w:t>Jak známo, poučuje nás Tacitus o tom, že byly do</w:t>
      </w:r>
      <w:r>
        <w:softHyphen/>
        <w:t>by, kdy ve velkém západním prostoru representovali Germáni lid venkov</w:t>
      </w:r>
      <w:r>
        <w:t>ský, srostlý ne tak s vesnicí, jako spíše s panenskými hvozdy a těžko přístupnými močály. Tenkrát představoval latinský historik vůči nim všechny mužské ctnosti — a nectnosti Říma, nej</w:t>
      </w:r>
      <w:r>
        <w:softHyphen/>
        <w:t>většího budovatele měst a států všech dob; a přece jeho kniha není snad</w:t>
      </w:r>
      <w:r>
        <w:t xml:space="preserve"> výsměchem nad germánskou za</w:t>
      </w:r>
      <w:r>
        <w:softHyphen/>
        <w:t>ostalostí, nýbrž právě naopak sice idealisující, ale ji</w:t>
      </w:r>
      <w:r>
        <w:softHyphen/>
        <w:t>nak správnou předtuchou státotvorné, budovatelské budoucnosti Germánů. Tacitus byl, jak vidět, moudrý muž.</w:t>
      </w:r>
    </w:p>
    <w:p w:rsidR="00500724" w:rsidRDefault="00F30FB8">
      <w:pPr>
        <w:pStyle w:val="Zkladntext30"/>
        <w:shd w:val="clear" w:color="auto" w:fill="auto"/>
        <w:spacing w:after="200" w:line="202" w:lineRule="auto"/>
        <w:ind w:firstLine="240"/>
      </w:pPr>
      <w:r>
        <w:t xml:space="preserve">Tutéž »venkovskou« éru prodělali ve svém vývoji kdysi i Slované </w:t>
      </w:r>
      <w:r>
        <w:t>a s nimi také Češi. A právě tak jako Germáni tak ani Slované nezůstali stát na tomto stupni, dostali se dříve nebo později na výši městské kultury, budující státy. V celku ovšem vstoupili Slo</w:t>
      </w:r>
      <w:r>
        <w:softHyphen/>
        <w:t>vané do historie trochu později než západnější ger</w:t>
      </w:r>
      <w:r>
        <w:softHyphen/>
        <w:t>mánské státy.</w:t>
      </w:r>
      <w:r>
        <w:t xml:space="preserve"> Nikdo nás nemusí teprve přesvědčo</w:t>
      </w:r>
      <w:r>
        <w:softHyphen/>
        <w:t>vat, že patříme k mladším národům; víme, cítíme to dost dobře sami.</w:t>
      </w:r>
    </w:p>
    <w:p w:rsidR="00500724" w:rsidRDefault="00F30FB8">
      <w:pPr>
        <w:pStyle w:val="Zkladntext30"/>
        <w:shd w:val="clear" w:color="auto" w:fill="auto"/>
        <w:spacing w:after="120" w:line="202" w:lineRule="auto"/>
        <w:ind w:firstLine="0"/>
        <w:jc w:val="center"/>
      </w:pPr>
      <w:r>
        <w:t>Nejen retrospektiva</w:t>
      </w:r>
    </w:p>
    <w:p w:rsidR="00500724" w:rsidRDefault="00F30FB8">
      <w:pPr>
        <w:pStyle w:val="Zkladntext30"/>
        <w:shd w:val="clear" w:color="auto" w:fill="auto"/>
        <w:spacing w:after="0" w:line="202" w:lineRule="auto"/>
        <w:ind w:firstLine="240"/>
      </w:pPr>
      <w:r>
        <w:t xml:space="preserve">Nejde ovšem jen o historickou retrospektivu; nejde jen o to, kdo Prahu stavěl až dosud, nýbrž především též o to, kdo ji bude stavět </w:t>
      </w:r>
      <w:r>
        <w:t>dál.</w:t>
      </w:r>
    </w:p>
    <w:p w:rsidR="00500724" w:rsidRDefault="00F30FB8">
      <w:pPr>
        <w:pStyle w:val="Zkladntext30"/>
        <w:shd w:val="clear" w:color="auto" w:fill="auto"/>
        <w:spacing w:after="80" w:line="202" w:lineRule="auto"/>
        <w:ind w:firstLine="240"/>
      </w:pPr>
      <w:r>
        <w:t>Ještě před zahájením německého kulturního týdne bylo u nás řečeno, že Protektorát otevřel cestu ně</w:t>
      </w:r>
      <w:r>
        <w:softHyphen/>
        <w:t>meckému stavebnímu řemeslu k volné soutěži, neza</w:t>
      </w:r>
      <w:r>
        <w:softHyphen/>
        <w:t>ručil mu však žádný monopol. To lze vzít na vědomost; chtěli bychom vůbec považovat za něco samozřejmé</w:t>
      </w:r>
      <w:r>
        <w:softHyphen/>
      </w:r>
      <w:r>
        <w:t>ho, že u nás má na kulturním poli vládnout volná soutěž bez jakýchkoli monopolních tendencí.</w:t>
      </w:r>
    </w:p>
    <w:p w:rsidR="00500724" w:rsidRDefault="00F30FB8">
      <w:pPr>
        <w:pStyle w:val="Zkladntext30"/>
        <w:shd w:val="clear" w:color="auto" w:fill="auto"/>
        <w:spacing w:after="0" w:line="204" w:lineRule="auto"/>
        <w:ind w:firstLine="240"/>
      </w:pPr>
      <w:r>
        <w:t>Možnost soutěžení předpokládá ovšem jakási spo</w:t>
      </w:r>
      <w:r>
        <w:softHyphen/>
        <w:t>lečná měřítka, na nichž se soutěžící a jejich poroty navzájem shodnou. Jak je tomu v tomto ohledu zrov</w:t>
      </w:r>
      <w:r>
        <w:softHyphen/>
        <w:t>na u té archi</w:t>
      </w:r>
      <w:r>
        <w:t>tektury? Pokud víme, má nová německá architektura ponejvíce novoklasicistickou tvář, která</w:t>
      </w:r>
    </w:p>
    <w:p w:rsidR="00500724" w:rsidRDefault="00F30FB8">
      <w:pPr>
        <w:pStyle w:val="Zkladntext30"/>
        <w:shd w:val="clear" w:color="auto" w:fill="auto"/>
        <w:spacing w:after="0" w:line="204" w:lineRule="auto"/>
        <w:ind w:left="140" w:firstLine="20"/>
      </w:pPr>
      <w:r>
        <w:rPr>
          <w:b/>
          <w:bCs/>
        </w:rPr>
        <w:t xml:space="preserve">ee u </w:t>
      </w:r>
      <w:r>
        <w:t>nás v Cechách nepokládá právě za vrchol staveb</w:t>
      </w:r>
      <w:r>
        <w:softHyphen/>
        <w:t>ního umění. Na druhé straně vidí zase Němci ve stylu všech dnešních českých architektů, toho jména hod</w:t>
      </w:r>
      <w:r>
        <w:softHyphen/>
        <w:t xml:space="preserve">ných, jen </w:t>
      </w:r>
      <w:r>
        <w:t xml:space="preserve">jakousi neutěšenou směsici amerikanismu, francouzského haut-gout a kultumě-bolševických experimentů. Bylo by však sotva lze mluvit o volné soutěži, kdyby z ní snad měli být, na základě nám ci-, zích měřítek, předem vyloučeni naši nejlepší stavitelé. Podle </w:t>
      </w:r>
      <w:r>
        <w:t xml:space="preserve">slov Vůdce a říšského kancléře i podle záruk berlínské smlouvy máme sami právo rozhodovat ústy svých znalců o tom, co je </w:t>
      </w:r>
      <w:r>
        <w:rPr>
          <w:i/>
          <w:iCs/>
        </w:rPr>
        <w:t>a co</w:t>
      </w:r>
      <w:r>
        <w:t xml:space="preserve"> není zkulturní bolše- vismus« a »nechutné amerikánství«; pokud sami sta</w:t>
      </w:r>
      <w:r>
        <w:softHyphen/>
        <w:t xml:space="preserve">víme, má záležet jen na nás, budou-li paláce příští Prahy </w:t>
      </w:r>
      <w:r>
        <w:t>ze skla a železobetonu, nebo budou-li imitací svérázných českých chaloupek s došky a malovanými žúdry.</w:t>
      </w:r>
    </w:p>
    <w:p w:rsidR="00500724" w:rsidRDefault="00F30FB8">
      <w:pPr>
        <w:pStyle w:val="Zkladntext30"/>
        <w:shd w:val="clear" w:color="auto" w:fill="auto"/>
        <w:spacing w:after="0" w:line="202" w:lineRule="auto"/>
        <w:ind w:firstLine="380"/>
      </w:pPr>
      <w:r>
        <w:t xml:space="preserve">Kromě toho nemůže dobře jít o soutěž jen české </w:t>
      </w:r>
      <w:r>
        <w:rPr>
          <w:b/>
          <w:bCs/>
        </w:rPr>
        <w:t xml:space="preserve">a </w:t>
      </w:r>
      <w:r>
        <w:t>německé architektury. Je naší pýchou zejména též . ve stavitelství, že máme otevřená okna do celého kul</w:t>
      </w:r>
      <w:r>
        <w:softHyphen/>
      </w:r>
      <w:r>
        <w:t>turního světa, a pokud je na nás, nechceme zavřít ani jediné z nich. Jen v tomto smyslu bychom mohli po</w:t>
      </w:r>
      <w:r>
        <w:softHyphen/>
        <w:t>chopit i slova, pronesená p. Franzem Hollerem, sudet</w:t>
      </w:r>
      <w:r>
        <w:softHyphen/>
        <w:t>ským vůdcem propagandy, při pohledu na Prahu: »Toto je náš zkamenělý kulturní program’« Neboť právě</w:t>
      </w:r>
      <w:r>
        <w:t xml:space="preserve"> její architektonická tvář vydává nejlepší svě</w:t>
      </w:r>
      <w:r>
        <w:softHyphen/>
        <w:t>dectví o tom, že Praha chtěla vždy být na světové úrovni, že její čeští i němečtí budovatelé nikdy ne</w:t>
      </w:r>
      <w:r>
        <w:softHyphen/>
        <w:t xml:space="preserve">chtěli klesnout na smutné </w:t>
      </w:r>
      <w:r>
        <w:rPr>
          <w:lang w:val="en-US" w:eastAsia="en-US" w:bidi="en-US"/>
        </w:rPr>
        <w:t xml:space="preserve">niveau </w:t>
      </w:r>
      <w:r>
        <w:t>nějaké kulturní</w:t>
      </w:r>
    </w:p>
    <w:p w:rsidR="00500724" w:rsidRDefault="00F30FB8">
      <w:pPr>
        <w:pStyle w:val="Zkladntext30"/>
        <w:shd w:val="clear" w:color="auto" w:fill="auto"/>
        <w:spacing w:after="120" w:line="202" w:lineRule="auto"/>
        <w:ind w:left="140" w:firstLine="20"/>
      </w:pPr>
      <w:r>
        <w:t>»soběstačnosti«.</w:t>
      </w:r>
    </w:p>
    <w:p w:rsidR="00500724" w:rsidRDefault="00F30FB8">
      <w:pPr>
        <w:pStyle w:val="Zkladntext30"/>
        <w:shd w:val="clear" w:color="auto" w:fill="auto"/>
        <w:spacing w:after="0" w:line="204" w:lineRule="auto"/>
        <w:ind w:right="100" w:firstLine="0"/>
        <w:jc w:val="center"/>
      </w:pPr>
      <w:r>
        <w:t>Kulturní středisko</w:t>
      </w:r>
    </w:p>
    <w:p w:rsidR="00500724" w:rsidRDefault="00F30FB8">
      <w:pPr>
        <w:pStyle w:val="Zkladntext30"/>
        <w:shd w:val="clear" w:color="auto" w:fill="auto"/>
        <w:spacing w:after="0"/>
        <w:ind w:left="140" w:firstLine="240"/>
      </w:pPr>
      <w:r>
        <w:t>Říká se nám teď, že »n</w:t>
      </w:r>
      <w:r>
        <w:t>ám má být ukázána nová tvář německé kultury zblízka«. Známe přece němec</w:t>
      </w:r>
      <w:r>
        <w:softHyphen/>
        <w:t>kou kulturu velmi dobře, patrně lépe než kulturu kteréhokoliv jiného velkého národa. Nikdy, ani v po</w:t>
      </w:r>
      <w:r>
        <w:softHyphen/>
        <w:t>sledních dvaceti letech, jsme se před ní neuzavírali. Nikdy jsme neničili její díla</w:t>
      </w:r>
      <w:r>
        <w:t>, nikdy jsme se stěn svých galerií nesňali jediný obraz německých mistrů. Ně</w:t>
      </w:r>
      <w:r>
        <w:softHyphen/>
        <w:t>meckou literaturu známe z originálů i z množství pře</w:t>
      </w:r>
      <w:r>
        <w:softHyphen/>
        <w:t>kladů. Chodili jsme vždycky sami čerpat také z pra</w:t>
      </w:r>
      <w:r>
        <w:softHyphen/>
        <w:t>menů německé kultury, považovali jsme to za samo</w:t>
      </w:r>
      <w:r>
        <w:softHyphen/>
        <w:t>zřejmé pro sebe jako pro k</w:t>
      </w:r>
      <w:r>
        <w:t>ulturní národ. Na pozvání jsme také sami rádi chodili ukázat tvář své vlastní kultury všude tam, kde ji chtěli vidět.</w:t>
      </w:r>
    </w:p>
    <w:p w:rsidR="00500724" w:rsidRDefault="00F30FB8">
      <w:pPr>
        <w:pStyle w:val="Zkladntext30"/>
        <w:shd w:val="clear" w:color="auto" w:fill="auto"/>
        <w:spacing w:after="0" w:line="202" w:lineRule="auto"/>
        <w:ind w:left="140" w:firstLine="240"/>
      </w:pPr>
      <w:r>
        <w:t>Na české straně nemá nikdo námitek proti tomu, aby naše hlavní město, samozřejmé kulturní stře</w:t>
      </w:r>
      <w:r>
        <w:softHyphen/>
        <w:t xml:space="preserve">disko nás Cechů, bylo něčím podobným i pro </w:t>
      </w:r>
      <w:r>
        <w:t xml:space="preserve">Němce </w:t>
      </w:r>
      <w:r>
        <w:rPr>
          <w:b/>
          <w:bCs/>
        </w:rPr>
        <w:t xml:space="preserve">z </w:t>
      </w:r>
      <w:r>
        <w:t>našich zemí. Berlínská dohoda a statut Protekto</w:t>
      </w:r>
      <w:r>
        <w:softHyphen/>
        <w:t>rátu jim to umožňují tak jako tak; rád bych však zdů</w:t>
      </w:r>
      <w:r>
        <w:softHyphen/>
        <w:t>raznil, že my sami si přejeme, aby se na kulturním poli mohli u nás v Praze stejně svobodně vyžívat Češi jako Němci. Těch několik křiklounů mezi ná</w:t>
      </w:r>
      <w:r>
        <w:t>mi, kteří ještě loni povykovali na příklad proti »švejcaření« na</w:t>
      </w:r>
      <w:r>
        <w:softHyphen/>
        <w:t>šeho rozhlasu, ztratilo půdu pod nohama. A o — mírně řečeno — nerozumnosti našich bývalých jazy</w:t>
      </w:r>
      <w:r>
        <w:softHyphen/>
        <w:t>kových zákonů a některých jiných podobných opatře</w:t>
      </w:r>
      <w:r>
        <w:softHyphen/>
        <w:t>ní se na naší straně zatím poučil už každý.</w:t>
      </w:r>
    </w:p>
    <w:p w:rsidR="00500724" w:rsidRDefault="00F30FB8">
      <w:pPr>
        <w:pStyle w:val="Zkladntext30"/>
        <w:shd w:val="clear" w:color="auto" w:fill="auto"/>
        <w:spacing w:after="0" w:line="209" w:lineRule="auto"/>
        <w:ind w:left="140" w:firstLine="240"/>
      </w:pPr>
      <w:r>
        <w:t>J</w:t>
      </w:r>
      <w:r>
        <w:t>eště jednou tedy: nikdo z nás neupírá Němcům jejich přirozené národní právo na kulturní stře</w:t>
      </w:r>
      <w:r>
        <w:softHyphen/>
        <w:t>disko v Praze. Jsme však na tomto poli přístupni argu</w:t>
      </w:r>
      <w:r>
        <w:softHyphen/>
        <w:t xml:space="preserve">mentaci jen na základě skutečného </w:t>
      </w:r>
      <w:r>
        <w:rPr>
          <w:lang w:val="en-US" w:eastAsia="en-US" w:bidi="en-US"/>
        </w:rPr>
        <w:t xml:space="preserve">statu quo. </w:t>
      </w:r>
      <w:r>
        <w:t xml:space="preserve">Kdo by se tu chtěl dovolávat nějakého </w:t>
      </w:r>
      <w:r>
        <w:rPr>
          <w:lang w:val="en-US" w:eastAsia="en-US" w:bidi="en-US"/>
        </w:rPr>
        <w:t xml:space="preserve">statu quo ante, </w:t>
      </w:r>
      <w:r>
        <w:t>stavu</w:t>
      </w:r>
    </w:p>
    <w:p w:rsidR="00500724" w:rsidRDefault="00F30FB8">
      <w:pPr>
        <w:pStyle w:val="Zkladntext30"/>
        <w:shd w:val="clear" w:color="auto" w:fill="auto"/>
        <w:spacing w:after="0" w:line="209" w:lineRule="auto"/>
        <w:ind w:left="140" w:firstLine="20"/>
      </w:pPr>
      <w:r>
        <w:t>hist</w:t>
      </w:r>
      <w:r>
        <w:t>oricky už překonaného, nenajde u nás pochopení.</w:t>
      </w:r>
    </w:p>
    <w:p w:rsidR="00500724" w:rsidRDefault="00F30FB8">
      <w:pPr>
        <w:pStyle w:val="Zkladntext30"/>
        <w:shd w:val="clear" w:color="auto" w:fill="auto"/>
        <w:spacing w:after="0" w:line="180" w:lineRule="auto"/>
        <w:ind w:firstLine="0"/>
        <w:jc w:val="right"/>
        <w:rPr>
          <w:sz w:val="20"/>
          <w:szCs w:val="20"/>
        </w:rPr>
      </w:pPr>
      <w:r>
        <w:rPr>
          <w:i/>
          <w:iCs/>
          <w:sz w:val="20"/>
          <w:szCs w:val="20"/>
        </w:rPr>
        <w:t>Jan Albert</w:t>
      </w:r>
    </w:p>
    <w:p w:rsidR="00500724" w:rsidRDefault="00F30FB8">
      <w:pPr>
        <w:pStyle w:val="Nadpis80"/>
        <w:keepNext/>
        <w:keepLines/>
        <w:pBdr>
          <w:bottom w:val="single" w:sz="4" w:space="0" w:color="auto"/>
        </w:pBdr>
        <w:shd w:val="clear" w:color="auto" w:fill="auto"/>
        <w:spacing w:after="220"/>
      </w:pPr>
      <w:bookmarkStart w:id="647" w:name="bookmark646"/>
      <w:r>
        <w:rPr>
          <w:u w:val="none"/>
        </w:rPr>
        <w:t>poznámky</w:t>
      </w:r>
      <w:bookmarkEnd w:id="647"/>
    </w:p>
    <w:p w:rsidR="00500724" w:rsidRDefault="00F30FB8">
      <w:pPr>
        <w:pStyle w:val="Zkladntext30"/>
        <w:shd w:val="clear" w:color="auto" w:fill="auto"/>
        <w:spacing w:after="0" w:line="175" w:lineRule="auto"/>
        <w:ind w:firstLine="0"/>
        <w:jc w:val="center"/>
        <w:rPr>
          <w:sz w:val="20"/>
          <w:szCs w:val="20"/>
        </w:rPr>
      </w:pPr>
      <w:r>
        <w:rPr>
          <w:b/>
          <w:bCs/>
          <w:sz w:val="20"/>
          <w:szCs w:val="20"/>
        </w:rPr>
        <w:t>Spojené Státy věří na blízký konflikt?</w:t>
      </w:r>
    </w:p>
    <w:p w:rsidR="00500724" w:rsidRDefault="00F30FB8">
      <w:pPr>
        <w:pStyle w:val="Zkladntext1"/>
        <w:shd w:val="clear" w:color="auto" w:fill="auto"/>
        <w:spacing w:line="185" w:lineRule="auto"/>
        <w:ind w:firstLine="280"/>
      </w:pPr>
      <w:r>
        <w:rPr>
          <w:b/>
          <w:bCs/>
        </w:rPr>
        <w:t xml:space="preserve">Zprávy amerického tisku a projevy amerických politiků </w:t>
      </w:r>
      <w:r>
        <w:rPr>
          <w:b/>
          <w:bCs/>
          <w:sz w:val="20"/>
          <w:szCs w:val="20"/>
        </w:rPr>
        <w:t xml:space="preserve">v </w:t>
      </w:r>
      <w:r>
        <w:rPr>
          <w:b/>
          <w:bCs/>
        </w:rPr>
        <w:t xml:space="preserve">posledních dnech se zabývají stála více a více hrozícím světovým konfliktem a příští úlohou </w:t>
      </w:r>
      <w:r>
        <w:rPr>
          <w:b/>
          <w:bCs/>
        </w:rPr>
        <w:t>Spojených Států v něm. Zdá se, jako by v Americe se věřilo, že situace se podstatně zhoršila. Nasvědčují tomu zejména — kromě no</w:t>
      </w:r>
      <w:r>
        <w:rPr>
          <w:b/>
          <w:bCs/>
        </w:rPr>
        <w:softHyphen/>
        <w:t>vinářských zpráv — dva významné projevy posledního tý</w:t>
      </w:r>
      <w:r>
        <w:rPr>
          <w:b/>
          <w:bCs/>
        </w:rPr>
        <w:softHyphen/>
        <w:t>dne, které učinili president Spojených Států severoameric</w:t>
      </w:r>
      <w:r>
        <w:rPr>
          <w:b/>
          <w:bCs/>
        </w:rPr>
        <w:softHyphen/>
        <w:t xml:space="preserve">kých </w:t>
      </w:r>
      <w:r>
        <w:rPr>
          <w:b/>
          <w:bCs/>
          <w:lang w:val="en-US" w:eastAsia="en-US" w:bidi="en-US"/>
        </w:rPr>
        <w:t xml:space="preserve">Franklin </w:t>
      </w:r>
      <w:r>
        <w:rPr>
          <w:b/>
          <w:bCs/>
        </w:rPr>
        <w:t>D</w:t>
      </w:r>
      <w:r>
        <w:rPr>
          <w:b/>
          <w:bCs/>
        </w:rPr>
        <w:t>. Roosevelt a státní sekretář ministerstva války generál Louis Johnson.</w:t>
      </w:r>
    </w:p>
    <w:p w:rsidR="00500724" w:rsidRDefault="00F30FB8">
      <w:pPr>
        <w:pStyle w:val="Zkladntext1"/>
        <w:shd w:val="clear" w:color="auto" w:fill="auto"/>
        <w:spacing w:line="185" w:lineRule="auto"/>
        <w:ind w:firstLine="280"/>
      </w:pPr>
      <w:r>
        <w:rPr>
          <w:b/>
          <w:bCs/>
        </w:rPr>
        <w:t>Na poradě průmyslníků dne 20. ěervna prohlásil Mr. Johnson, že sSpojené Státy musí býti připraveny na vše a proto bylo již prohlédnuto 20.000 průmyslových zá</w:t>
      </w:r>
      <w:r>
        <w:rPr>
          <w:b/>
          <w:bCs/>
        </w:rPr>
        <w:softHyphen/>
        <w:t>vodů, aby bylo zjištěno, s</w:t>
      </w:r>
      <w:r>
        <w:rPr>
          <w:b/>
          <w:bCs/>
        </w:rPr>
        <w:t xml:space="preserve"> jakou snadnosti </w:t>
      </w:r>
      <w:r>
        <w:rPr>
          <w:b/>
          <w:bCs/>
          <w:lang w:val="en-US" w:eastAsia="en-US" w:bidi="en-US"/>
        </w:rPr>
        <w:t xml:space="preserve">by moldy </w:t>
      </w:r>
      <w:r>
        <w:rPr>
          <w:b/>
          <w:bCs/>
        </w:rPr>
        <w:t>praco</w:t>
      </w:r>
      <w:r>
        <w:rPr>
          <w:b/>
          <w:bCs/>
        </w:rPr>
        <w:softHyphen/>
        <w:t>vat pro vojenské potřeby americké zemec. K tomu dodal, že byly vypracovány již přesné piány pro jednotlivé prů</w:t>
      </w:r>
      <w:r>
        <w:rPr>
          <w:b/>
          <w:bCs/>
        </w:rPr>
        <w:softHyphen/>
        <w:t>myslové odbory a územní distrikty a sdíky této opatrnosti budou Spojené Státy daleko lépe připraveny, než až dosu</w:t>
      </w:r>
      <w:r>
        <w:rPr>
          <w:b/>
          <w:bCs/>
        </w:rPr>
        <w:t>d byly kdykoli ve své historii na případné válečné zápletkye. Již dnes, ohlásil ve svém projevu Mr. Johnson, je deset tisíc továren ve Spojených Státech opatře</w:t>
      </w:r>
      <w:r>
        <w:rPr>
          <w:b/>
          <w:bCs/>
        </w:rPr>
        <w:softHyphen/>
        <w:t>no takovým způsobem, aby ihned, na pouhý telegrafický příkaz, mohly přeměnit svou výrobu na prod</w:t>
      </w:r>
      <w:r>
        <w:rPr>
          <w:b/>
          <w:bCs/>
        </w:rPr>
        <w:t>ukci munice a válečných strojů. Zpráva o tomto Johnsonově projevu byla rozší</w:t>
      </w:r>
      <w:r>
        <w:rPr>
          <w:b/>
          <w:bCs/>
        </w:rPr>
        <w:softHyphen/>
        <w:t>řena veškerým americkým tiskem a vydána také Reutero- vou kanceláří s dutém 20. ěervna. Při tom je zajímavé, že nebyla přijata nijak poplašeně, jak by se z těchto snad po</w:t>
      </w:r>
      <w:r>
        <w:rPr>
          <w:b/>
          <w:bCs/>
        </w:rPr>
        <w:softHyphen/>
        <w:t>někud př</w:t>
      </w:r>
      <w:r>
        <w:rPr>
          <w:b/>
          <w:bCs/>
        </w:rPr>
        <w:t>íliš velkých slov, kterých Mr. Johnson užil, bylo dalo očekávat.</w:t>
      </w:r>
    </w:p>
    <w:p w:rsidR="00500724" w:rsidRDefault="00F30FB8">
      <w:pPr>
        <w:pStyle w:val="Zkladntext1"/>
        <w:shd w:val="clear" w:color="auto" w:fill="auto"/>
        <w:spacing w:line="185" w:lineRule="auto"/>
        <w:ind w:firstLine="280"/>
      </w:pPr>
      <w:r>
        <w:rPr>
          <w:b/>
          <w:bCs/>
        </w:rPr>
        <w:t>Týž den mluvil president Roosevelt k žurnalistům na obvyklé úterní schůzce. Po rozhovoru o různých běžných amerických věcech také řekl, že » kongres by měl projednat změnu zákona o americké n</w:t>
      </w:r>
      <w:r>
        <w:rPr>
          <w:b/>
          <w:bCs/>
        </w:rPr>
        <w:t>eutralitě ještě dříve, než odejde na prázdniny«. Prý také proto, že by se tak odstranilo embargo na americké zbraně, které by Amerika chtěla do</w:t>
      </w:r>
      <w:r>
        <w:rPr>
          <w:b/>
          <w:bCs/>
        </w:rPr>
        <w:softHyphen/>
        <w:t>vážet zemím, jež by se octly ve válce. President pozname</w:t>
      </w:r>
      <w:r>
        <w:rPr>
          <w:b/>
          <w:bCs/>
        </w:rPr>
        <w:softHyphen/>
        <w:t>nal, že kdyby kongres neučinil foto rozhodnutí hned, mu</w:t>
      </w:r>
      <w:r>
        <w:rPr>
          <w:b/>
          <w:bCs/>
        </w:rPr>
        <w:softHyphen/>
        <w:t>silo by se pak státi v případě naléhavé potřeby mimo kon</w:t>
      </w:r>
      <w:r>
        <w:rPr>
          <w:b/>
          <w:bCs/>
        </w:rPr>
        <w:softHyphen/>
        <w:t>gres a mohlo by se Spojeným Státům severoamerickým vyčítat, že se postavily na jednu stranu válčících mocností. Kongres se má sejiti znovu pak až v září a proto sby bylo dobře, kdyby se kongres rozh</w:t>
      </w:r>
      <w:r>
        <w:rPr>
          <w:b/>
          <w:bCs/>
        </w:rPr>
        <w:t xml:space="preserve">odl hned a tím odstranil toto </w:t>
      </w:r>
      <w:r>
        <w:rPr>
          <w:b/>
          <w:bCs/>
          <w:lang w:val="en-US" w:eastAsia="en-US" w:bidi="en-US"/>
        </w:rPr>
        <w:t>dilemma*.</w:t>
      </w:r>
    </w:p>
    <w:p w:rsidR="00500724" w:rsidRDefault="00F30FB8">
      <w:pPr>
        <w:pStyle w:val="Zkladntext1"/>
        <w:shd w:val="clear" w:color="auto" w:fill="auto"/>
        <w:spacing w:line="185" w:lineRule="auto"/>
        <w:ind w:firstLine="280"/>
      </w:pPr>
      <w:r>
        <w:rPr>
          <w:b/>
          <w:bCs/>
        </w:rPr>
        <w:t>President Roosevelt měl, jak je ještě v živé paměti, ob</w:t>
      </w:r>
      <w:r>
        <w:rPr>
          <w:b/>
          <w:bCs/>
        </w:rPr>
        <w:softHyphen/>
        <w:t>vykle dobré informace. Vzpomeneme-li si na jeho projevy po anšlusu a za mnichovské krise, a na to, jak předpověděl další vývoj věcí, pair vidíme, že byl asi dob</w:t>
      </w:r>
      <w:r>
        <w:rPr>
          <w:b/>
          <w:bCs/>
        </w:rPr>
        <w:t>ře zpraven. Ten</w:t>
      </w:r>
      <w:r>
        <w:rPr>
          <w:b/>
          <w:bCs/>
        </w:rPr>
        <w:softHyphen/>
        <w:t>tokráte však se zdá, že se dívá na situaci příliš pesimisticky.</w:t>
      </w:r>
    </w:p>
    <w:p w:rsidR="00500724" w:rsidRDefault="00F30FB8">
      <w:pPr>
        <w:pStyle w:val="Zkladntext1"/>
        <w:shd w:val="clear" w:color="auto" w:fill="auto"/>
        <w:spacing w:line="175" w:lineRule="auto"/>
        <w:ind w:firstLine="0"/>
        <w:jc w:val="right"/>
        <w:rPr>
          <w:sz w:val="20"/>
          <w:szCs w:val="20"/>
        </w:rPr>
      </w:pPr>
      <w:r>
        <w:rPr>
          <w:i/>
          <w:iCs/>
          <w:sz w:val="20"/>
          <w:szCs w:val="20"/>
        </w:rPr>
        <w:t>—San—</w:t>
      </w:r>
    </w:p>
    <w:p w:rsidR="00500724" w:rsidRDefault="00F30FB8">
      <w:pPr>
        <w:pStyle w:val="Zkladntext1"/>
        <w:shd w:val="clear" w:color="auto" w:fill="auto"/>
        <w:spacing w:line="175" w:lineRule="auto"/>
        <w:ind w:firstLine="0"/>
        <w:jc w:val="center"/>
        <w:rPr>
          <w:sz w:val="20"/>
          <w:szCs w:val="20"/>
        </w:rPr>
      </w:pPr>
      <w:r>
        <w:rPr>
          <w:b/>
          <w:bCs/>
          <w:sz w:val="20"/>
          <w:szCs w:val="20"/>
        </w:rPr>
        <w:t>Angličané diskutují</w:t>
      </w:r>
    </w:p>
    <w:p w:rsidR="00500724" w:rsidRDefault="00F30FB8">
      <w:pPr>
        <w:pStyle w:val="Zkladntext1"/>
        <w:shd w:val="clear" w:color="auto" w:fill="auto"/>
        <w:spacing w:line="187" w:lineRule="auto"/>
        <w:ind w:firstLine="280"/>
      </w:pPr>
      <w:r>
        <w:rPr>
          <w:b/>
          <w:bCs/>
        </w:rPr>
        <w:t>Měnící se náladu v anglickém veřejném mínění snad nejlépe charakterisují dopisy, které nyní z řad čtenářů uveřejňují velké anglické deníky. Rozumí se,</w:t>
      </w:r>
      <w:r>
        <w:rPr>
          <w:b/>
          <w:bCs/>
        </w:rPr>
        <w:t xml:space="preserve"> že oposiční deníky jsou zaostřeny proti vládě, kterou přes všechno zbrojení a provádění obkliěovací politiky obviňují z váha</w:t>
      </w:r>
      <w:r>
        <w:rPr>
          <w:b/>
          <w:bCs/>
        </w:rPr>
        <w:softHyphen/>
        <w:t>vosti a ženou ji k větší energičnosti, kdežto časopisy kon</w:t>
      </w:r>
      <w:r>
        <w:rPr>
          <w:b/>
          <w:bCs/>
        </w:rPr>
        <w:softHyphen/>
        <w:t>servativní strany, i když uznávají, že mezinárodní situace se stále zho</w:t>
      </w:r>
      <w:r>
        <w:rPr>
          <w:b/>
          <w:bCs/>
        </w:rPr>
        <w:t xml:space="preserve">ršuje, spíše se snaží vykonávat umírňující vliv. Při tom není nezajímavé si všimnout, jak se někteří veřejně činní lidé změnili. U nás je ještě v dobré paměti, jak starý </w:t>
      </w:r>
      <w:r>
        <w:rPr>
          <w:b/>
          <w:bCs/>
          <w:lang w:val="en-US" w:eastAsia="en-US" w:bidi="en-US"/>
        </w:rPr>
        <w:t xml:space="preserve">pan Garvin </w:t>
      </w:r>
      <w:r>
        <w:rPr>
          <w:b/>
          <w:bCs/>
        </w:rPr>
        <w:t>psal loni na podzim proti válce a jak dopo</w:t>
      </w:r>
      <w:r>
        <w:rPr>
          <w:b/>
          <w:bCs/>
        </w:rPr>
        <w:softHyphen/>
        <w:t>ručoval všemožné kompromisy, ovš</w:t>
      </w:r>
      <w:r>
        <w:rPr>
          <w:b/>
          <w:bCs/>
        </w:rPr>
        <w:t xml:space="preserve">em na cizí účet. Nyní, kdy by snad mohlo jít zase o kompromis, ale tentokráte na účet Anglie, píše </w:t>
      </w:r>
      <w:r>
        <w:rPr>
          <w:b/>
          <w:bCs/>
          <w:lang w:val="en-US" w:eastAsia="en-US" w:bidi="en-US"/>
        </w:rPr>
        <w:t xml:space="preserve">Mr. Garvin </w:t>
      </w:r>
      <w:r>
        <w:rPr>
          <w:b/>
          <w:bCs/>
        </w:rPr>
        <w:t>tak bojovně, že ho nepozná</w:t>
      </w:r>
      <w:r>
        <w:rPr>
          <w:b/>
          <w:bCs/>
        </w:rPr>
        <w:softHyphen/>
        <w:t>váme. Píše tak, asi jako se dnes vyjadřuje polský tisk. Hrozí děly, vychvaluje odhodlanost Britů nedat si nikým porouče</w:t>
      </w:r>
      <w:r>
        <w:rPr>
          <w:b/>
          <w:bCs/>
        </w:rPr>
        <w:t xml:space="preserve">t a organisuje ze všech sil veřejné míněni, aby je nejenom připravil pro případný konflikt, ale aby je ještě </w:t>
      </w:r>
      <w:r>
        <w:rPr>
          <w:b/>
          <w:bCs/>
          <w:lang w:val="en-US" w:eastAsia="en-US" w:bidi="en-US"/>
        </w:rPr>
        <w:t xml:space="preserve">vice </w:t>
      </w:r>
      <w:r>
        <w:rPr>
          <w:b/>
          <w:bCs/>
        </w:rPr>
        <w:t>uvedl do varu.</w:t>
      </w:r>
    </w:p>
    <w:p w:rsidR="00500724" w:rsidRDefault="00F30FB8">
      <w:pPr>
        <w:pStyle w:val="Zkladntext1"/>
        <w:shd w:val="clear" w:color="auto" w:fill="auto"/>
        <w:spacing w:line="187" w:lineRule="auto"/>
        <w:ind w:firstLine="360"/>
      </w:pPr>
      <w:r>
        <w:rPr>
          <w:b/>
          <w:bCs/>
        </w:rPr>
        <w:t xml:space="preserve">Při tom nutno dodat, že bojovnost anglického tisku je chvílemi mírněna, chvílemi zase povzbuzována z úředních míst. Tak na př. </w:t>
      </w:r>
      <w:r>
        <w:rPr>
          <w:b/>
          <w:bCs/>
        </w:rPr>
        <w:t xml:space="preserve">ministr národní obrany </w:t>
      </w:r>
      <w:r>
        <w:rPr>
          <w:b/>
          <w:bCs/>
          <w:lang w:val="en-US" w:eastAsia="en-US" w:bidi="en-US"/>
        </w:rPr>
        <w:t xml:space="preserve">sir Kingsley Wood </w:t>
      </w:r>
      <w:r>
        <w:rPr>
          <w:b/>
          <w:bCs/>
        </w:rPr>
        <w:t>právě pronesl řeě, ve které zdůrazňoval, že súderná síla britského letectva obrovsky vzrostla« a poznamenal, že dnes je situace již taková, že nemůže uvádět data o počtu letadel a zařízení, že však může jen říci, že</w:t>
      </w:r>
      <w:r>
        <w:rPr>
          <w:b/>
          <w:bCs/>
        </w:rPr>
        <w:t xml:space="preserve"> Anglie má nové tajné typy vysoce výkonné z nejlepšího materiálu a že již dnes</w:t>
      </w:r>
    </w:p>
    <w:p w:rsidR="00500724" w:rsidRDefault="00F30FB8">
      <w:pPr>
        <w:pStyle w:val="Zkladntext1"/>
        <w:shd w:val="clear" w:color="auto" w:fill="auto"/>
        <w:spacing w:line="187" w:lineRule="auto"/>
        <w:ind w:firstLine="0"/>
      </w:pPr>
      <w:r>
        <w:rPr>
          <w:b/>
          <w:bCs/>
          <w:sz w:val="20"/>
          <w:szCs w:val="20"/>
        </w:rPr>
        <w:t xml:space="preserve">v </w:t>
      </w:r>
      <w:r>
        <w:rPr>
          <w:b/>
          <w:bCs/>
        </w:rPr>
        <w:t>tomto směru přesáhla rozsah německého zbrojení. Pozna</w:t>
      </w:r>
      <w:r>
        <w:rPr>
          <w:b/>
          <w:bCs/>
        </w:rPr>
        <w:softHyphen/>
        <w:t>menal, že jen na ryze vojenské letectví je věnováno týdně dva miliony liber kromě řádného vojenského programu. O této řeč</w:t>
      </w:r>
      <w:r>
        <w:rPr>
          <w:b/>
          <w:bCs/>
        </w:rPr>
        <w:t>i se ovšem zase velmi diskutuje a tisk by rád zvě</w:t>
      </w:r>
      <w:r>
        <w:rPr>
          <w:b/>
          <w:bCs/>
        </w:rPr>
        <w:softHyphen/>
        <w:t>děl podrobnosti. Jenže nyní angličtí ministři jsou již v infor</w:t>
      </w:r>
      <w:r>
        <w:rPr>
          <w:b/>
          <w:bCs/>
        </w:rPr>
        <w:softHyphen/>
        <w:t>mováni parlamentu a novin daleko tajemnější, než bývali dříve, kdy všechno obsáhie vypočítávali. Odůvodňuje se to evropskou krisi.</w:t>
      </w:r>
    </w:p>
    <w:p w:rsidR="00500724" w:rsidRDefault="00F30FB8">
      <w:pPr>
        <w:pStyle w:val="Zkladntext1"/>
        <w:shd w:val="clear" w:color="auto" w:fill="auto"/>
        <w:spacing w:line="187" w:lineRule="auto"/>
        <w:ind w:firstLine="200"/>
      </w:pPr>
      <w:r>
        <w:rPr>
          <w:b/>
          <w:bCs/>
        </w:rPr>
        <w:t xml:space="preserve">Zajímavá diskuse vznikla v »Times« a rozvíjí se dnes a denně do větší šířky. Sir Norman </w:t>
      </w:r>
      <w:r>
        <w:rPr>
          <w:b/>
          <w:bCs/>
          <w:lang w:val="en-US" w:eastAsia="en-US" w:bidi="en-US"/>
        </w:rPr>
        <w:t xml:space="preserve">Angell, </w:t>
      </w:r>
      <w:r>
        <w:rPr>
          <w:b/>
          <w:bCs/>
        </w:rPr>
        <w:t>známý autor knihy »Velká iíuses, která vyšla před válkou a nyní byla jím do</w:t>
      </w:r>
      <w:r>
        <w:rPr>
          <w:b/>
          <w:bCs/>
        </w:rPr>
        <w:softHyphen/>
        <w:t>plněna novou knihou sVeiká iluse dnes*, napsal do zrnině, něho listu dopis, ve které</w:t>
      </w:r>
      <w:r>
        <w:rPr>
          <w:b/>
          <w:bCs/>
        </w:rPr>
        <w:t>m žádá, aby vláda sestavila dokument, v němž by přesně vytkla britské válečné cíle a dala podmínky, na jejichž základě je ochotna uzavřít kom</w:t>
      </w:r>
      <w:r>
        <w:rPr>
          <w:b/>
          <w:bCs/>
        </w:rPr>
        <w:softHyphen/>
        <w:t>promis již dnes, tedy bez války. Tento dokument by byl rozšířen po celém světě a musil by se dostat také k obyvate</w:t>
      </w:r>
      <w:r>
        <w:rPr>
          <w:b/>
          <w:bCs/>
        </w:rPr>
        <w:t>l</w:t>
      </w:r>
      <w:r>
        <w:rPr>
          <w:b/>
          <w:bCs/>
        </w:rPr>
        <w:softHyphen/>
        <w:t>stvu německé říše, aby si mohlo jeho upřímnost a rozsah nabídky uvážit a působit tak na svou vládu. Tomuto plánu se ve své nedávné řeči dr. Goebbels vysmál, vyloživ Angli</w:t>
      </w:r>
      <w:r>
        <w:rPr>
          <w:b/>
          <w:bCs/>
        </w:rPr>
        <w:softHyphen/>
        <w:t>čanům, že německé veřejné mínění stojí stoprocentně ža německou vládou. Angličané v</w:t>
      </w:r>
      <w:r>
        <w:rPr>
          <w:b/>
          <w:bCs/>
        </w:rPr>
        <w:t>šak stále ještě hledají pro</w:t>
      </w:r>
      <w:r>
        <w:rPr>
          <w:b/>
          <w:bCs/>
        </w:rPr>
        <w:softHyphen/>
        <w:t xml:space="preserve">středky, jak se dostat k sluchu německých občanů. </w:t>
      </w:r>
      <w:r>
        <w:rPr>
          <w:b/>
          <w:bCs/>
          <w:lang w:val="en-US" w:eastAsia="en-US" w:bidi="en-US"/>
        </w:rPr>
        <w:t xml:space="preserve">Harold Nicholson </w:t>
      </w:r>
      <w:r>
        <w:rPr>
          <w:b/>
          <w:bCs/>
        </w:rPr>
        <w:t xml:space="preserve">ve svém článku Angellův podnět uvítal a klade právě velký důraz na to, aby se o něm dověděli všichni Němek Radí naléhavě, aby byia zvolena taková metoda, aby </w:t>
      </w:r>
      <w:r>
        <w:rPr>
          <w:b/>
          <w:bCs/>
        </w:rPr>
        <w:t>tento akt nebyl německými občany vykládán buď jako anglické pokrytectví anebo jako strach z Německa. Jak to zařídit, to ovšem je těžké; v další diskusi se vyskytlo několik receptů, ale žádný není asi zceia uspokojivý. Všichni sa však shoduji v tam, že něco</w:t>
      </w:r>
      <w:r>
        <w:rPr>
          <w:b/>
          <w:bCs/>
        </w:rPr>
        <w:t xml:space="preserve"> takového je potřebí vyzkoušet.</w:t>
      </w:r>
    </w:p>
    <w:p w:rsidR="00500724" w:rsidRDefault="00F30FB8">
      <w:pPr>
        <w:pStyle w:val="Zkladntext1"/>
        <w:shd w:val="clear" w:color="auto" w:fill="auto"/>
        <w:spacing w:line="187" w:lineRule="auto"/>
        <w:ind w:firstLine="300"/>
      </w:pPr>
      <w:r>
        <w:rPr>
          <w:b/>
          <w:bCs/>
        </w:rPr>
        <w:t>Plán by tedy asi byl ten (podle těchto dopisovatelů), že by se celému světu, včetně německého lidu, vyložilo závaz</w:t>
      </w:r>
      <w:r>
        <w:rPr>
          <w:b/>
          <w:bCs/>
        </w:rPr>
        <w:softHyphen/>
        <w:t>nou formou, co chce učinit Anglie k odstranění zápalných látek ve světě a jak doporučuje nově uspořádat Evrop</w:t>
      </w:r>
      <w:r>
        <w:rPr>
          <w:b/>
          <w:bCs/>
        </w:rPr>
        <w:t xml:space="preserve">u. Kdyby tento plán nebyl jednomyslně přijat, pak by to znamenalo již ničím nepřerušiíelnou cestu k mocenskému střetnutí. To jsme tedy asi tam, kde zřejmě anglická politika chce nasadit všechnu sílu: světová konference, k níž </w:t>
      </w:r>
      <w:r>
        <w:rPr>
          <w:b/>
          <w:bCs/>
          <w:lang w:val="en-US" w:eastAsia="en-US" w:bidi="en-US"/>
        </w:rPr>
        <w:t xml:space="preserve">alter- </w:t>
      </w:r>
      <w:r>
        <w:rPr>
          <w:b/>
          <w:bCs/>
        </w:rPr>
        <w:t xml:space="preserve">nativa má býti válka. </w:t>
      </w:r>
      <w:r>
        <w:rPr>
          <w:b/>
          <w:bCs/>
          <w:lang w:val="en-US" w:eastAsia="en-US" w:bidi="en-US"/>
        </w:rPr>
        <w:t>L</w:t>
      </w:r>
      <w:r>
        <w:rPr>
          <w:b/>
          <w:bCs/>
          <w:lang w:val="en-US" w:eastAsia="en-US" w:bidi="en-US"/>
        </w:rPr>
        <w:t xml:space="preserve">ord Halifax </w:t>
      </w:r>
      <w:r>
        <w:rPr>
          <w:b/>
          <w:bCs/>
        </w:rPr>
        <w:t>ostatně mluvil ve sně</w:t>
      </w:r>
      <w:r>
        <w:rPr>
          <w:b/>
          <w:bCs/>
        </w:rPr>
        <w:softHyphen/>
      </w:r>
    </w:p>
    <w:p w:rsidR="00500724" w:rsidRDefault="00F30FB8">
      <w:pPr>
        <w:pStyle w:val="Zkladntext1"/>
        <w:shd w:val="clear" w:color="auto" w:fill="auto"/>
        <w:spacing w:line="187" w:lineRule="auto"/>
        <w:ind w:firstLine="0"/>
      </w:pPr>
      <w:r>
        <w:rPr>
          <w:b/>
          <w:bCs/>
        </w:rPr>
        <w:t>movně lordů v témže duchu.</w:t>
      </w:r>
    </w:p>
    <w:p w:rsidR="00500724" w:rsidRDefault="00F30FB8">
      <w:pPr>
        <w:pStyle w:val="Zkladntext1"/>
        <w:shd w:val="clear" w:color="auto" w:fill="auto"/>
        <w:spacing w:line="187" w:lineRule="auto"/>
        <w:ind w:firstLine="300"/>
      </w:pPr>
      <w:r>
        <w:rPr>
          <w:b/>
          <w:bCs/>
        </w:rPr>
        <w:t>Pro toto konferenční řešení se snaží angličtí politikové</w:t>
      </w:r>
    </w:p>
    <w:p w:rsidR="00500724" w:rsidRDefault="00F30FB8">
      <w:pPr>
        <w:pStyle w:val="Zkladntext1"/>
        <w:shd w:val="clear" w:color="auto" w:fill="auto"/>
        <w:spacing w:after="60" w:line="187" w:lineRule="auto"/>
        <w:ind w:firstLine="0"/>
        <w:rPr>
          <w:sz w:val="20"/>
          <w:szCs w:val="20"/>
        </w:rPr>
      </w:pPr>
      <w:r>
        <w:rPr>
          <w:b/>
          <w:bCs/>
        </w:rPr>
        <w:t>a spisovatelé, kteří věří na možnost uklidnění, získat mí</w:t>
      </w:r>
      <w:r>
        <w:rPr>
          <w:b/>
          <w:bCs/>
        </w:rPr>
        <w:softHyphen/>
        <w:t>nění všech států světa, anebo alespoň Evropy. Ti, kteří na takové možnosti nevě</w:t>
      </w:r>
      <w:r>
        <w:rPr>
          <w:b/>
          <w:bCs/>
        </w:rPr>
        <w:t>ří, píší rozhodně dále tak, jako by kon</w:t>
      </w:r>
      <w:r>
        <w:rPr>
          <w:b/>
          <w:bCs/>
        </w:rPr>
        <w:softHyphen/>
        <w:t>flikt byl neodvratný a jako by byla jenom otázka, kdy vy</w:t>
      </w:r>
      <w:r>
        <w:rPr>
          <w:b/>
          <w:bCs/>
        </w:rPr>
        <w:softHyphen/>
        <w:t>pukne. Část těch, kteří chtějí takovou konferenci prosadit — sestavení onoho dokumentu by nebylo přece nic jiného, než příprava pro ni — říkají, že sice sami t</w:t>
      </w:r>
      <w:r>
        <w:rPr>
          <w:b/>
          <w:bCs/>
        </w:rPr>
        <w:t xml:space="preserve">aké mnoho na úspěch takového řešení nevěří, ale že hy alespoň ukázalo, že tu až do posledního okamžiku byla dobrá vůle. </w:t>
      </w:r>
      <w:r>
        <w:rPr>
          <w:i/>
          <w:iCs/>
          <w:sz w:val="20"/>
          <w:szCs w:val="20"/>
        </w:rPr>
        <w:t>Moll</w:t>
      </w:r>
    </w:p>
    <w:p w:rsidR="00500724" w:rsidRDefault="00F30FB8">
      <w:pPr>
        <w:pStyle w:val="Zkladntext1"/>
        <w:shd w:val="clear" w:color="auto" w:fill="auto"/>
        <w:spacing w:after="60" w:line="178" w:lineRule="auto"/>
        <w:ind w:left="60" w:firstLine="0"/>
        <w:jc w:val="center"/>
        <w:rPr>
          <w:sz w:val="20"/>
          <w:szCs w:val="20"/>
        </w:rPr>
      </w:pPr>
      <w:r>
        <w:rPr>
          <w:b/>
          <w:bCs/>
          <w:sz w:val="20"/>
          <w:szCs w:val="20"/>
        </w:rPr>
        <w:t>Bude Roosevelt po třetí liandidovat?</w:t>
      </w:r>
    </w:p>
    <w:p w:rsidR="00500724" w:rsidRDefault="00F30FB8">
      <w:pPr>
        <w:pStyle w:val="Zkladntext1"/>
        <w:shd w:val="clear" w:color="auto" w:fill="auto"/>
        <w:spacing w:line="190" w:lineRule="auto"/>
        <w:ind w:firstLine="240"/>
      </w:pPr>
      <w:r>
        <w:rPr>
          <w:b/>
          <w:bCs/>
        </w:rPr>
        <w:t>Asi ode dneška za rok se bude chýlit ke konci osmý rok od té doby, co kandidát demokratické st</w:t>
      </w:r>
      <w:r>
        <w:rPr>
          <w:b/>
          <w:bCs/>
        </w:rPr>
        <w:t xml:space="preserve">rany Spojených Států, </w:t>
      </w:r>
      <w:r>
        <w:rPr>
          <w:b/>
          <w:bCs/>
          <w:lang w:val="en-US" w:eastAsia="en-US" w:bidi="en-US"/>
        </w:rPr>
        <w:t xml:space="preserve">Franklin </w:t>
      </w:r>
      <w:r>
        <w:rPr>
          <w:b/>
          <w:bCs/>
        </w:rPr>
        <w:t>D. Roosevelt (po amerieku se ěte sRouzveitc) zaltájil kampaň, po níž se stal presidentem americké Unie, dnes nejbohatšího a nejmocnějšího státu světa. Hlava americké federace ětyřicetiosmi států je vole</w:t>
      </w:r>
      <w:r>
        <w:rPr>
          <w:b/>
          <w:bCs/>
        </w:rPr>
        <w:softHyphen/>
        <w:t>na ejektory vždy na úd</w:t>
      </w:r>
      <w:r>
        <w:rPr>
          <w:b/>
          <w:bCs/>
        </w:rPr>
        <w:t>obí ětyř let a současně se volí ná</w:t>
      </w:r>
      <w:r>
        <w:rPr>
          <w:b/>
          <w:bCs/>
        </w:rPr>
        <w:softHyphen/>
        <w:t>městek presidentův. Od dob Washingtonových se dosud ne</w:t>
      </w:r>
      <w:r>
        <w:rPr>
          <w:b/>
          <w:bCs/>
        </w:rPr>
        <w:softHyphen/>
        <w:t>stalo, aby některý president byl zvolen po třetí, ačkoliv proti tomu není ústavních zábran. Jiří Washington sám, když se skončil jeho druhý presidentský termín, ustou</w:t>
      </w:r>
      <w:r>
        <w:rPr>
          <w:b/>
          <w:bCs/>
        </w:rPr>
        <w:t xml:space="preserve">pil do ústraní a stejně tak učinil i </w:t>
      </w:r>
      <w:r>
        <w:rPr>
          <w:b/>
          <w:bCs/>
          <w:lang w:val="en-US" w:eastAsia="en-US" w:bidi="en-US"/>
        </w:rPr>
        <w:t xml:space="preserve">Jefferson. </w:t>
      </w:r>
      <w:r>
        <w:rPr>
          <w:b/>
          <w:bCs/>
        </w:rPr>
        <w:t>Ale jak pravíme, možnost třetí volby je zde a nemluví proti ní nic, než tradice. Stalo se ovšem, právě před světovou válkou, že republikán</w:t>
      </w:r>
      <w:r>
        <w:rPr>
          <w:b/>
          <w:bCs/>
        </w:rPr>
        <w:softHyphen/>
        <w:t>ská strana postavila jako kandidáta presidenta, který právě skončil d</w:t>
      </w:r>
      <w:r>
        <w:rPr>
          <w:b/>
          <w:bCs/>
        </w:rPr>
        <w:t>ruhé volební údobí. Pro tuto kandidatura však vznikla tehdy v republikánské straně roztržka a jen tak bylo umožněno zvolení kandidáta demokratické strany, který by byl jinak neměl žádných vážnějších naději. Obě jména jsou dnes historická: Kandidátem republ</w:t>
      </w:r>
      <w:r>
        <w:rPr>
          <w:b/>
          <w:bCs/>
        </w:rPr>
        <w:t xml:space="preserve">ikánské strany na tuto třetí volbu byl Theodore Roosevelt a zvolen byl </w:t>
      </w:r>
      <w:r>
        <w:rPr>
          <w:b/>
          <w:bCs/>
          <w:lang w:val="en-US" w:eastAsia="en-US" w:bidi="en-US"/>
        </w:rPr>
        <w:t xml:space="preserve">Woodrow Wilson. </w:t>
      </w:r>
      <w:r>
        <w:rPr>
          <w:b/>
          <w:bCs/>
        </w:rPr>
        <w:t>Bylo by jistě nesmírně zajímavé, kdyby se nyní historie opakovala, jenže obráceně: po třetí by tentokráte kandidoval kandidát demokratické strany, náhodou příbuzný zesnu</w:t>
      </w:r>
      <w:r>
        <w:rPr>
          <w:b/>
          <w:bCs/>
        </w:rPr>
        <w:t>lého presidenta Theodora Roose</w:t>
      </w:r>
      <w:r>
        <w:rPr>
          <w:b/>
          <w:bCs/>
        </w:rPr>
        <w:softHyphen/>
        <w:t>velta. A právě zas v takové situaci, jako tehdy, roku 1912, kdy se již již počínalo mluvit o světové válce.</w:t>
      </w:r>
    </w:p>
    <w:p w:rsidR="00500724" w:rsidRDefault="00F30FB8">
      <w:pPr>
        <w:pStyle w:val="Zkladntext1"/>
        <w:shd w:val="clear" w:color="auto" w:fill="auto"/>
        <w:spacing w:after="60" w:line="190" w:lineRule="auto"/>
        <w:ind w:firstLine="0"/>
        <w:jc w:val="right"/>
      </w:pPr>
      <w:r>
        <w:rPr>
          <w:b/>
          <w:bCs/>
        </w:rPr>
        <w:t xml:space="preserve">Prakticky ovšem vypadá situace tak, že president </w:t>
      </w:r>
      <w:r>
        <w:rPr>
          <w:b/>
          <w:bCs/>
          <w:lang w:val="en-US" w:eastAsia="en-US" w:bidi="en-US"/>
        </w:rPr>
        <w:t>Frank</w:t>
      </w:r>
      <w:r>
        <w:rPr>
          <w:b/>
          <w:bCs/>
          <w:lang w:val="en-US" w:eastAsia="en-US" w:bidi="en-US"/>
        </w:rPr>
        <w:softHyphen/>
        <w:t xml:space="preserve">lin </w:t>
      </w:r>
      <w:r>
        <w:rPr>
          <w:b/>
          <w:bCs/>
        </w:rPr>
        <w:t>D. Roosevelt se sám dosud o tom ani slovíčkem nikde</w:t>
      </w:r>
    </w:p>
    <w:p w:rsidR="00500724" w:rsidRDefault="00F30FB8">
      <w:pPr>
        <w:pStyle w:val="Zkladntext1"/>
        <w:shd w:val="clear" w:color="auto" w:fill="auto"/>
        <w:spacing w:line="190" w:lineRule="auto"/>
        <w:ind w:firstLine="0"/>
      </w:pPr>
      <w:r>
        <w:rPr>
          <w:b/>
          <w:bCs/>
        </w:rPr>
        <w:t>nezmín</w:t>
      </w:r>
      <w:r>
        <w:rPr>
          <w:b/>
          <w:bCs/>
        </w:rPr>
        <w:t xml:space="preserve">il, zda hodlá kandidovat po třetí, anebo zda odejde </w:t>
      </w:r>
      <w:r>
        <w:rPr>
          <w:b/>
          <w:bCs/>
          <w:sz w:val="20"/>
          <w:szCs w:val="20"/>
        </w:rPr>
        <w:t xml:space="preserve">do </w:t>
      </w:r>
      <w:r>
        <w:rPr>
          <w:b/>
          <w:bCs/>
        </w:rPr>
        <w:t>ústrani. Má pro to ovšem výtečné důvody. Nedá se očekávat, že by se ve svém mlčení o této věci dal zviklat sebevšeteě- nějšíml otázkami, leda že bv si to vynutily ohledy na svě</w:t>
      </w:r>
      <w:r>
        <w:rPr>
          <w:b/>
          <w:bCs/>
        </w:rPr>
        <w:softHyphen/>
        <w:t>tovou politickou situaci</w:t>
      </w:r>
      <w:r>
        <w:rPr>
          <w:b/>
          <w:bCs/>
        </w:rPr>
        <w:t xml:space="preserve">. Je to jen přirozené. President </w:t>
      </w:r>
      <w:r>
        <w:rPr>
          <w:b/>
          <w:bCs/>
          <w:lang w:val="en-US" w:eastAsia="en-US" w:bidi="en-US"/>
        </w:rPr>
        <w:t xml:space="preserve">Franklin </w:t>
      </w:r>
      <w:r>
        <w:rPr>
          <w:b/>
          <w:bCs/>
        </w:rPr>
        <w:t>D. Roosevelt nemá právě snadnou posici v kongre</w:t>
      </w:r>
      <w:r>
        <w:rPr>
          <w:b/>
          <w:bCs/>
        </w:rPr>
        <w:softHyphen/>
        <w:t>su, neboť jak sněmovna representantů, tak i senát se dávají leckdy jen těžko ovládat a jsou plny rozmarů. Americký president je vlastně současně ministerským předsedo</w:t>
      </w:r>
      <w:r>
        <w:rPr>
          <w:b/>
          <w:bCs/>
        </w:rPr>
        <w:t>u a proto má daleko těsnější styk s kongresem-parlamentem, než mají hlavy jiných států, i když jeho ústavní moc Je daleko větší, než oprávnění, kterými jsou vybaveny hlavy demokratických států, ať jsou to presidenti anebo králové. Když se nyní setkali náče</w:t>
      </w:r>
      <w:r>
        <w:rPr>
          <w:b/>
          <w:bCs/>
        </w:rPr>
        <w:t>lníci dvou největších anglosas</w:t>
      </w:r>
      <w:r>
        <w:rPr>
          <w:b/>
          <w:bCs/>
        </w:rPr>
        <w:softHyphen/>
        <w:t xml:space="preserve">kých imperií, president americké Unie a král Spojeného království Velké Britanie a Irska, pak to nepochybně byl </w:t>
      </w:r>
      <w:r>
        <w:rPr>
          <w:b/>
          <w:bCs/>
          <w:lang w:val="en-US" w:eastAsia="en-US" w:bidi="en-US"/>
        </w:rPr>
        <w:t xml:space="preserve">Mr. </w:t>
      </w:r>
      <w:r>
        <w:rPr>
          <w:b/>
          <w:bCs/>
        </w:rPr>
        <w:t>Roosevelt, který ve s vých rukou svíral větší pravomoc než jeho královský a císařský host.</w:t>
      </w:r>
    </w:p>
    <w:p w:rsidR="00500724" w:rsidRDefault="00F30FB8">
      <w:pPr>
        <w:pStyle w:val="Zkladntext1"/>
        <w:shd w:val="clear" w:color="auto" w:fill="auto"/>
        <w:spacing w:line="190" w:lineRule="auto"/>
      </w:pPr>
      <w:r>
        <w:rPr>
          <w:b/>
          <w:bCs/>
        </w:rPr>
        <w:t xml:space="preserve">Tato obtíž s kongresem je prvním důvodem mlčelivosti </w:t>
      </w:r>
      <w:r>
        <w:rPr>
          <w:b/>
          <w:bCs/>
          <w:lang w:val="en-US" w:eastAsia="en-US" w:bidi="en-US"/>
        </w:rPr>
        <w:t xml:space="preserve">Mr. </w:t>
      </w:r>
      <w:r>
        <w:rPr>
          <w:b/>
          <w:bCs/>
        </w:rPr>
        <w:t>Roosevelta. Neboť kdyby kongres zvěděl, že president už nehodlá kandidovat, měl by daleko menši zájem o jeho plány, návrhy a přání. Pro kongres by to prostě byl presi</w:t>
      </w:r>
      <w:r>
        <w:rPr>
          <w:b/>
          <w:bCs/>
        </w:rPr>
        <w:softHyphen/>
        <w:t xml:space="preserve">dent, který se už nevrátí a tak </w:t>
      </w:r>
      <w:r>
        <w:rPr>
          <w:b/>
          <w:bCs/>
        </w:rPr>
        <w:t xml:space="preserve">na něm bude záležet den po dni méně, ještě rychleji bude ubývat jeho vliv, než se bude Jeho »term« krátit. Kdyby však </w:t>
      </w:r>
      <w:r>
        <w:rPr>
          <w:b/>
          <w:bCs/>
          <w:lang w:val="en-US" w:eastAsia="en-US" w:bidi="en-US"/>
        </w:rPr>
        <w:t xml:space="preserve">Mr. </w:t>
      </w:r>
      <w:r>
        <w:rPr>
          <w:b/>
          <w:bCs/>
        </w:rPr>
        <w:t>Roosevelt prohlásil, že bude kandidovat po třetí, využijí toho velmi pravděpodobně agitátoři republikánské strany ostře proti němu. Bu</w:t>
      </w:r>
      <w:r>
        <w:rPr>
          <w:b/>
          <w:bCs/>
        </w:rPr>
        <w:t xml:space="preserve">dou mluvit o »diktatuře« a jistě se bude s americkou bombastič- ností psát o tom, že </w:t>
      </w:r>
      <w:r>
        <w:rPr>
          <w:b/>
          <w:bCs/>
          <w:lang w:val="en-US" w:eastAsia="en-US" w:bidi="en-US"/>
        </w:rPr>
        <w:t xml:space="preserve">Mr. </w:t>
      </w:r>
      <w:r>
        <w:rPr>
          <w:b/>
          <w:bCs/>
        </w:rPr>
        <w:t>Roosevelt si chce sposadit na hlavu korunu«, že se chce stát samerickým císařem«, že se szhlédl pa návštěvě anglického krále« a tak podobně, jako se v ame</w:t>
      </w:r>
      <w:r>
        <w:rPr>
          <w:b/>
          <w:bCs/>
        </w:rPr>
        <w:softHyphen/>
        <w:t>rických novi</w:t>
      </w:r>
      <w:r>
        <w:rPr>
          <w:b/>
          <w:bCs/>
        </w:rPr>
        <w:t xml:space="preserve">nách psávalo roku 1912 o presidentu Theodoru Rooseveltovi po jeho návštěvě v Londýně, když ohlásil své rozhodnuti kandidovat po třeti.. Proto se dá očekávat, že president o této věci pomlčí, byť jinak byl velmi laskav </w:t>
      </w:r>
      <w:r>
        <w:rPr>
          <w:b/>
          <w:bCs/>
          <w:sz w:val="20"/>
          <w:szCs w:val="20"/>
        </w:rPr>
        <w:t xml:space="preserve">k </w:t>
      </w:r>
      <w:r>
        <w:rPr>
          <w:b/>
          <w:bCs/>
        </w:rPr>
        <w:t>reportérům.</w:t>
      </w:r>
    </w:p>
    <w:p w:rsidR="00500724" w:rsidRDefault="00F30FB8">
      <w:pPr>
        <w:pStyle w:val="Zkladntext1"/>
        <w:shd w:val="clear" w:color="auto" w:fill="auto"/>
        <w:spacing w:line="187" w:lineRule="auto"/>
      </w:pPr>
      <w:r>
        <w:rPr>
          <w:b/>
          <w:bCs/>
        </w:rPr>
        <w:t xml:space="preserve">Nejmocnějším mužem v </w:t>
      </w:r>
      <w:r>
        <w:rPr>
          <w:b/>
          <w:bCs/>
        </w:rPr>
        <w:t>této věci je však generální pošt</w:t>
      </w:r>
      <w:r>
        <w:rPr>
          <w:b/>
          <w:bCs/>
        </w:rPr>
        <w:softHyphen/>
        <w:t xml:space="preserve">mistr, abychom tak po našem řekli, ministr pošt v americké vládě, </w:t>
      </w:r>
      <w:r>
        <w:rPr>
          <w:b/>
          <w:bCs/>
          <w:lang w:val="en-US" w:eastAsia="en-US" w:bidi="en-US"/>
        </w:rPr>
        <w:t xml:space="preserve">Mr. Farley. </w:t>
      </w:r>
      <w:r>
        <w:rPr>
          <w:b/>
          <w:bCs/>
        </w:rPr>
        <w:t>Tento muž Je totiž apolitickým manage</w:t>
      </w:r>
      <w:r>
        <w:rPr>
          <w:b/>
          <w:bCs/>
        </w:rPr>
        <w:softHyphen/>
        <w:t>rem^ jak zní ustálený termín, americké demokratické stra</w:t>
      </w:r>
      <w:r>
        <w:rPr>
          <w:b/>
          <w:bCs/>
        </w:rPr>
        <w:softHyphen/>
      </w:r>
      <w:r>
        <w:rPr>
          <w:b/>
          <w:bCs/>
          <w:sz w:val="20"/>
          <w:szCs w:val="20"/>
        </w:rPr>
        <w:t xml:space="preserve">ny </w:t>
      </w:r>
      <w:r>
        <w:rPr>
          <w:b/>
          <w:bCs/>
        </w:rPr>
        <w:t>a on bude rozhodovat o presidentské kampani. Po</w:t>
      </w:r>
      <w:r>
        <w:rPr>
          <w:b/>
          <w:bCs/>
        </w:rPr>
        <w:t xml:space="preserve">kud on se zatím jen předběžně o tomto problému vyslovil (což však učinil velmi opatrně), dá se prý soudit, že ^president Roosevelt se stane presidentem po třetí, bude-li chtít«. Patrně </w:t>
      </w:r>
      <w:r>
        <w:rPr>
          <w:b/>
          <w:bCs/>
          <w:lang w:val="en-US" w:eastAsia="en-US" w:bidi="en-US"/>
        </w:rPr>
        <w:t xml:space="preserve">Mr. Farley </w:t>
      </w:r>
      <w:r>
        <w:rPr>
          <w:b/>
          <w:bCs/>
        </w:rPr>
        <w:t xml:space="preserve">nemá obav, že </w:t>
      </w:r>
      <w:r>
        <w:rPr>
          <w:b/>
          <w:bCs/>
          <w:lang w:val="en-US" w:eastAsia="en-US" w:bidi="en-US"/>
        </w:rPr>
        <w:t xml:space="preserve">by Franklin </w:t>
      </w:r>
      <w:r>
        <w:rPr>
          <w:b/>
          <w:bCs/>
        </w:rPr>
        <w:t>Roosevelt nedovedl si získat opětn</w:t>
      </w:r>
      <w:r>
        <w:rPr>
          <w:b/>
          <w:bCs/>
        </w:rPr>
        <w:t>ě zdrcující většinu veřejného míně</w:t>
      </w:r>
      <w:r>
        <w:rPr>
          <w:b/>
          <w:bCs/>
        </w:rPr>
        <w:softHyphen/>
      </w:r>
      <w:r>
        <w:rPr>
          <w:b/>
          <w:bCs/>
          <w:sz w:val="20"/>
          <w:szCs w:val="20"/>
        </w:rPr>
        <w:t xml:space="preserve">ní, </w:t>
      </w:r>
      <w:r>
        <w:rPr>
          <w:b/>
          <w:bCs/>
        </w:rPr>
        <w:t>představovanou hlavně pracujícím lidem, který v Roose</w:t>
      </w:r>
      <w:r>
        <w:rPr>
          <w:b/>
          <w:bCs/>
        </w:rPr>
        <w:softHyphen/>
        <w:t>veltovi viděl svého ochránce a dobrodince.</w:t>
      </w:r>
    </w:p>
    <w:p w:rsidR="00500724" w:rsidRDefault="00F30FB8">
      <w:pPr>
        <w:pStyle w:val="Zkladntext1"/>
        <w:shd w:val="clear" w:color="auto" w:fill="auto"/>
        <w:spacing w:line="187" w:lineRule="auto"/>
      </w:pPr>
      <w:r>
        <w:rPr>
          <w:b/>
          <w:bCs/>
        </w:rPr>
        <w:t xml:space="preserve">To ovšem se rozhodne až koncem příštího června. Tou dobou, v roce 1940, se sjedou delegáti demokratické strany </w:t>
      </w:r>
      <w:r>
        <w:rPr>
          <w:b/>
          <w:bCs/>
          <w:sz w:val="20"/>
          <w:szCs w:val="20"/>
        </w:rPr>
        <w:t xml:space="preserve">k </w:t>
      </w:r>
      <w:r>
        <w:rPr>
          <w:b/>
          <w:bCs/>
        </w:rPr>
        <w:t>zasedán</w:t>
      </w:r>
      <w:r>
        <w:rPr>
          <w:b/>
          <w:bCs/>
        </w:rPr>
        <w:t>í, aby stanovili kandidáta na křeslo presidenta a druhého kandidáta na křeslo vicepresidenta. Stejné zasedá</w:t>
      </w:r>
      <w:r>
        <w:rPr>
          <w:b/>
          <w:bCs/>
        </w:rPr>
        <w:softHyphen/>
      </w:r>
      <w:r>
        <w:rPr>
          <w:b/>
          <w:bCs/>
          <w:sz w:val="20"/>
          <w:szCs w:val="20"/>
        </w:rPr>
        <w:t xml:space="preserve">ní </w:t>
      </w:r>
      <w:r>
        <w:rPr>
          <w:b/>
          <w:bCs/>
        </w:rPr>
        <w:t>v touže dobu s týmž programem budou míti delegáti re</w:t>
      </w:r>
      <w:r>
        <w:rPr>
          <w:b/>
          <w:bCs/>
        </w:rPr>
        <w:softHyphen/>
        <w:t>publikánské strany. Ministr Ickes, šéf vnitropolitického resortu, se již vyjádřil, že voliči</w:t>
      </w:r>
      <w:r>
        <w:rPr>
          <w:b/>
          <w:bCs/>
        </w:rPr>
        <w:t xml:space="preserve"> demokratické strany chtějí Roosevelta znovu a že ho požádají, aby opětně kandidoval. Politický manager republikánské strany zatím ohlásil, že jejich kandidátem bude republikánský senátor </w:t>
      </w:r>
      <w:r>
        <w:rPr>
          <w:b/>
          <w:bCs/>
          <w:lang w:val="en-US" w:eastAsia="en-US" w:bidi="en-US"/>
        </w:rPr>
        <w:t xml:space="preserve">Arthur </w:t>
      </w:r>
      <w:r>
        <w:rPr>
          <w:b/>
          <w:bCs/>
        </w:rPr>
        <w:t>H. Vandenbergz Michiganu. Tím vstupuje na scénu nový vydavate</w:t>
      </w:r>
      <w:r>
        <w:rPr>
          <w:b/>
          <w:bCs/>
        </w:rPr>
        <w:t>l novin. Je asi padesátník, statný a v plné síle. V senátě se obracel vždy proti Rooseveltově politice New Reálu a bude tedy nepochybně podporován Fordem a ostat</w:t>
      </w:r>
      <w:r>
        <w:rPr>
          <w:b/>
          <w:bCs/>
        </w:rPr>
        <w:softHyphen/>
        <w:t>ními milionářskými bankéři a továrníky. V zahraniční poli</w:t>
      </w:r>
      <w:r>
        <w:rPr>
          <w:b/>
          <w:bCs/>
        </w:rPr>
        <w:softHyphen/>
        <w:t xml:space="preserve">tice však </w:t>
      </w:r>
      <w:r>
        <w:rPr>
          <w:b/>
          <w:bCs/>
          <w:lang w:val="en-US" w:eastAsia="en-US" w:bidi="en-US"/>
        </w:rPr>
        <w:t xml:space="preserve">Vandenberg </w:t>
      </w:r>
      <w:r>
        <w:rPr>
          <w:b/>
          <w:bCs/>
        </w:rPr>
        <w:t>přes své isolac</w:t>
      </w:r>
      <w:r>
        <w:rPr>
          <w:b/>
          <w:bCs/>
        </w:rPr>
        <w:t>ionistické projevy sou</w:t>
      </w:r>
      <w:r>
        <w:rPr>
          <w:b/>
          <w:bCs/>
        </w:rPr>
        <w:softHyphen/>
        <w:t>hlasil s politikou spolupráce s demokratickými velmocemi. Svět se ovšem o něj až do této doby zajímal celkem velmi málo, ačkoliv ovšem by na jeho názorech záleželo nesmírně mnoho i s hlediska evropské politiky, kdyby byl zvolen.</w:t>
      </w:r>
    </w:p>
    <w:p w:rsidR="00500724" w:rsidRDefault="00F30FB8">
      <w:pPr>
        <w:pStyle w:val="Zkladntext1"/>
        <w:shd w:val="clear" w:color="auto" w:fill="auto"/>
        <w:tabs>
          <w:tab w:val="left" w:pos="4608"/>
        </w:tabs>
        <w:spacing w:line="190" w:lineRule="auto"/>
      </w:pPr>
      <w:r>
        <w:rPr>
          <w:b/>
          <w:bCs/>
        </w:rPr>
        <w:t xml:space="preserve">Ale </w:t>
      </w:r>
      <w:r>
        <w:rPr>
          <w:b/>
          <w:bCs/>
        </w:rPr>
        <w:t>to by bylo při nejmenším velmi předčasné, uvažovat již dnes, co se stane v americké politice za rok. Kdyby dotédobyvypuklaválkaa Spojené Státy americké se do ní zapletly, pak ovšem presidentské volby se stanou pouhou formalitou, protože president, který' v</w:t>
      </w:r>
      <w:r>
        <w:rPr>
          <w:b/>
          <w:bCs/>
        </w:rPr>
        <w:t>ede válku, bude automaticky znovu zvolen podle zá- sady, že »uprostřed řeky se nepřepřahá«.</w:t>
      </w:r>
      <w:r>
        <w:rPr>
          <w:b/>
          <w:bCs/>
        </w:rPr>
        <w:tab/>
        <w:t>MoZi</w:t>
      </w:r>
    </w:p>
    <w:p w:rsidR="00500724" w:rsidRDefault="00F30FB8">
      <w:pPr>
        <w:pStyle w:val="Zkladntext1"/>
        <w:shd w:val="clear" w:color="auto" w:fill="auto"/>
        <w:spacing w:line="180" w:lineRule="auto"/>
        <w:ind w:firstLine="0"/>
        <w:jc w:val="center"/>
        <w:rPr>
          <w:sz w:val="20"/>
          <w:szCs w:val="20"/>
        </w:rPr>
      </w:pPr>
      <w:r>
        <w:rPr>
          <w:b/>
          <w:bCs/>
          <w:sz w:val="20"/>
          <w:szCs w:val="20"/>
        </w:rPr>
        <w:t>Jací dnes jsme</w:t>
      </w:r>
    </w:p>
    <w:p w:rsidR="00500724" w:rsidRDefault="00F30FB8">
      <w:pPr>
        <w:pStyle w:val="Zkladntext1"/>
        <w:shd w:val="clear" w:color="auto" w:fill="auto"/>
        <w:spacing w:line="190" w:lineRule="auto"/>
        <w:ind w:firstLine="300"/>
      </w:pPr>
      <w:r>
        <w:rPr>
          <w:b/>
          <w:bCs/>
        </w:rPr>
        <w:t>Zpytujeme se dnes více než kdy dříve, díváme se jeden nu druhého zblízka, pozorujeme se z menši vzdálenosti. Asi proto, že jsme si všichni nějak</w:t>
      </w:r>
      <w:r>
        <w:rPr>
          <w:b/>
          <w:bCs/>
        </w:rPr>
        <w:t xml:space="preserve"> bližší. A pak, zdá se, že jsme do té doby byli až příliš zahleděni do dálky, příliš nás zlá</w:t>
      </w:r>
      <w:r>
        <w:rPr>
          <w:b/>
          <w:bCs/>
        </w:rPr>
        <w:softHyphen/>
        <w:t>kaly daleké obzory a široká měřítka.</w:t>
      </w:r>
    </w:p>
    <w:p w:rsidR="00500724" w:rsidRDefault="00F30FB8">
      <w:pPr>
        <w:pStyle w:val="Zkladntext1"/>
        <w:shd w:val="clear" w:color="auto" w:fill="auto"/>
        <w:spacing w:line="214" w:lineRule="auto"/>
        <w:ind w:firstLine="280"/>
      </w:pPr>
      <w:r>
        <w:rPr>
          <w:b/>
          <w:bCs/>
        </w:rPr>
        <w:t xml:space="preserve">Dnes se ohlížíme Jen </w:t>
      </w:r>
      <w:r>
        <w:rPr>
          <w:b/>
          <w:bCs/>
          <w:sz w:val="20"/>
          <w:szCs w:val="20"/>
        </w:rPr>
        <w:t xml:space="preserve">a </w:t>
      </w:r>
      <w:r>
        <w:rPr>
          <w:b/>
          <w:bCs/>
        </w:rPr>
        <w:t xml:space="preserve">Jen kolem sebe; máme také méně důvěry ke všemu vzdálenému </w:t>
      </w:r>
      <w:r>
        <w:rPr>
          <w:b/>
          <w:bCs/>
          <w:sz w:val="20"/>
          <w:szCs w:val="20"/>
        </w:rPr>
        <w:t xml:space="preserve">a </w:t>
      </w:r>
      <w:r>
        <w:rPr>
          <w:b/>
          <w:bCs/>
        </w:rPr>
        <w:t xml:space="preserve">záleží nám víc na tom, jací jsou ti, kteří </w:t>
      </w:r>
      <w:r>
        <w:rPr>
          <w:b/>
          <w:bCs/>
        </w:rPr>
        <w:t>stojí kolem nás. Pozorujeme své známé, sledujeme přímo tep svých přátel. Nezáleží nám na tom, co říkají, ale jak pracují, jak jednají. Chceme po- Znát především své nejbližší okolí.</w:t>
      </w:r>
    </w:p>
    <w:p w:rsidR="00500724" w:rsidRDefault="00F30FB8">
      <w:pPr>
        <w:pStyle w:val="Zkladntext1"/>
        <w:shd w:val="clear" w:color="auto" w:fill="auto"/>
        <w:spacing w:line="190" w:lineRule="auto"/>
        <w:ind w:firstLine="280"/>
      </w:pPr>
      <w:r>
        <w:rPr>
          <w:b/>
          <w:bCs/>
        </w:rPr>
        <w:t>V době klidu a pohody roste vedle sebe pšenice i koukol. Nevidíme v tom ni</w:t>
      </w:r>
      <w:r>
        <w:rPr>
          <w:b/>
          <w:bCs/>
        </w:rPr>
        <w:t>c zvláštního; je to věc běžná a přirozená. Když pak přijde vítr, odnese plevy s proudem a zůstane jen zrno. Vždycky se najdou lidé, kterým nestačí sprave</w:t>
      </w:r>
      <w:r>
        <w:rPr>
          <w:b/>
          <w:bCs/>
        </w:rPr>
        <w:softHyphen/>
        <w:t>dlnost a právo, kteří pro sebe reklamují zvláštní výhody. Proto se dnes dočteme, že český uchazeč o vě</w:t>
      </w:r>
      <w:r>
        <w:rPr>
          <w:b/>
          <w:bCs/>
        </w:rPr>
        <w:t>c, na niž nemá Zákonného nároku, snaží se prosaditi své přání pohrůžkou, že požádá o zákrok říšskou policii. Proto vysloveně český Občan, řekněme pan Maršálek, který není spokojen s učiteli svého svěřeného dítěte, ale jinak rozhodně nemá možnosti ani času,</w:t>
      </w:r>
      <w:r>
        <w:rPr>
          <w:b/>
          <w:bCs/>
        </w:rPr>
        <w:t xml:space="preserve"> aby se mu blíž věnoval, vyhrožuje českému učiteli, že bude dítě posílati do škol německých.</w:t>
      </w:r>
    </w:p>
    <w:p w:rsidR="00500724" w:rsidRDefault="00F30FB8">
      <w:pPr>
        <w:pStyle w:val="Zkladntext1"/>
        <w:shd w:val="clear" w:color="auto" w:fill="auto"/>
        <w:spacing w:line="190" w:lineRule="auto"/>
        <w:ind w:firstLine="280"/>
      </w:pPr>
      <w:r>
        <w:rPr>
          <w:b/>
          <w:bCs/>
        </w:rPr>
        <w:t>S takovými a podobnými zjevy se jednotlivě setkáváme, Jsou ojedinělé a už proto nápadné.</w:t>
      </w:r>
    </w:p>
    <w:p w:rsidR="00500724" w:rsidRDefault="00F30FB8">
      <w:pPr>
        <w:pStyle w:val="Zkladntext1"/>
        <w:shd w:val="clear" w:color="auto" w:fill="auto"/>
        <w:spacing w:line="187" w:lineRule="auto"/>
        <w:ind w:firstLine="280"/>
      </w:pPr>
      <w:r>
        <w:rPr>
          <w:b/>
          <w:bCs/>
        </w:rPr>
        <w:t>Tak jako Jednotlivci, i národ se pozná teprve, když při</w:t>
      </w:r>
      <w:r>
        <w:rPr>
          <w:b/>
          <w:bCs/>
        </w:rPr>
        <w:softHyphen/>
        <w:t>jdou otřesy a neče</w:t>
      </w:r>
      <w:r>
        <w:rPr>
          <w:b/>
          <w:bCs/>
        </w:rPr>
        <w:t xml:space="preserve">kané rány. Každý má zajisté rád sám sebe a svou rodinu, ale jsou chvíle, kdy Jasně cítíme, že náš život by byl nicotný, nedáme-Ii jej do služeb nějaké pravdě </w:t>
      </w:r>
      <w:r>
        <w:rPr>
          <w:b/>
          <w:bCs/>
          <w:sz w:val="20"/>
          <w:szCs w:val="20"/>
        </w:rPr>
        <w:t xml:space="preserve">a </w:t>
      </w:r>
      <w:r>
        <w:rPr>
          <w:b/>
          <w:bCs/>
        </w:rPr>
        <w:t>Ideálu, který stojí nad námi. Dnes, víc než kdy jindy, uvědomujeme si svou národní osobitost, ví</w:t>
      </w:r>
      <w:r>
        <w:rPr>
          <w:b/>
          <w:bCs/>
        </w:rPr>
        <w:t xml:space="preserve">c než kdy jindy připomínáme si učení našich nejlepších duchovních vůdců, Jejich úsilí o spravedlivější vztahy mezi lidmi a vyšší mravní 1 duchovní úroveň člověka. Uvědomujeme si, že </w:t>
      </w:r>
      <w:r>
        <w:rPr>
          <w:b/>
          <w:bCs/>
          <w:sz w:val="20"/>
          <w:szCs w:val="20"/>
        </w:rPr>
        <w:t xml:space="preserve">1 </w:t>
      </w:r>
      <w:r>
        <w:rPr>
          <w:b/>
          <w:bCs/>
        </w:rPr>
        <w:t>v nejpohnutějších a nejtěžších dobách náš národ se ničeho více nebál, ne</w:t>
      </w:r>
      <w:r>
        <w:rPr>
          <w:b/>
          <w:bCs/>
        </w:rPr>
        <w:t>ž aby se nestal nevěrným pravdě, aby nepo</w:t>
      </w:r>
      <w:r>
        <w:rPr>
          <w:b/>
          <w:bCs/>
        </w:rPr>
        <w:softHyphen/>
        <w:t>rušil práva, nezrušil slova, aby si nepomáhal lží. To sl dnes můžeme říci: ideály, za kterými jsme v historii Jako národ šli, neztratí pro nás ani nikdy v budoucnosti na ceně,</w:t>
      </w:r>
    </w:p>
    <w:p w:rsidR="00500724" w:rsidRDefault="00F30FB8">
      <w:pPr>
        <w:pStyle w:val="Zkladntext1"/>
        <w:shd w:val="clear" w:color="auto" w:fill="auto"/>
        <w:spacing w:line="190" w:lineRule="auto"/>
        <w:ind w:firstLine="280"/>
      </w:pPr>
      <w:r>
        <w:rPr>
          <w:b/>
          <w:bCs/>
        </w:rPr>
        <w:t>Na první pohled je to až podivné, že c</w:t>
      </w:r>
      <w:r>
        <w:rPr>
          <w:b/>
          <w:bCs/>
        </w:rPr>
        <w:t xml:space="preserve">elý národ se rázem sdružil v Národním souručenství po tolikerém malicherném hašteření </w:t>
      </w:r>
      <w:r>
        <w:rPr>
          <w:b/>
          <w:bCs/>
          <w:sz w:val="20"/>
          <w:szCs w:val="20"/>
        </w:rPr>
        <w:t xml:space="preserve">a </w:t>
      </w:r>
      <w:r>
        <w:rPr>
          <w:b/>
          <w:bCs/>
        </w:rPr>
        <w:t>stranickém politikaření. Národní souručenství, to je však už Jen vnější projev jednoty národa. Proces sjednocování se započal značně dříve. Vlastně už loňského září byl</w:t>
      </w:r>
      <w:r>
        <w:rPr>
          <w:b/>
          <w:bCs/>
        </w:rPr>
        <w:t xml:space="preserve"> národ sjednocený — už tenkrát nebylo rozporů,</w:t>
      </w:r>
    </w:p>
    <w:p w:rsidR="00500724" w:rsidRDefault="00F30FB8">
      <w:pPr>
        <w:pStyle w:val="Zkladntext1"/>
        <w:shd w:val="clear" w:color="auto" w:fill="auto"/>
        <w:tabs>
          <w:tab w:val="left" w:pos="3850"/>
        </w:tabs>
        <w:spacing w:after="80" w:line="190" w:lineRule="auto"/>
        <w:ind w:firstLine="280"/>
        <w:rPr>
          <w:sz w:val="20"/>
          <w:szCs w:val="20"/>
        </w:rPr>
      </w:pPr>
      <w:r>
        <w:rPr>
          <w:b/>
          <w:bCs/>
        </w:rPr>
        <w:t>Jsme dnes jednotní a máme pevnou vůli zbavit! se svých národních chyb a neřestí. Jsme jednotní i v tom, že nedo</w:t>
      </w:r>
      <w:r>
        <w:rPr>
          <w:b/>
          <w:bCs/>
        </w:rPr>
        <w:softHyphen/>
        <w:t>pustíme, aby nám byla zmrzačena duše. Ta zůstane taková, jakou vždy bývala: stálá a pevná, zaujat</w:t>
      </w:r>
      <w:r>
        <w:rPr>
          <w:b/>
          <w:bCs/>
        </w:rPr>
        <w:t>á pro právo a prav</w:t>
      </w:r>
      <w:r>
        <w:rPr>
          <w:b/>
          <w:bCs/>
        </w:rPr>
        <w:softHyphen/>
        <w:t>du. Nebudeme jinými. — Jako vždy před tím budeme stejně dbáti své národní cti, budeme stejně prodchnuti vědomím, že největší sláva našich dějin je v jejich ryzí čistotě.</w:t>
      </w:r>
      <w:r>
        <w:rPr>
          <w:b/>
          <w:bCs/>
        </w:rPr>
        <w:tab/>
      </w:r>
      <w:r>
        <w:rPr>
          <w:b/>
          <w:bCs/>
          <w:i/>
          <w:iCs/>
          <w:sz w:val="20"/>
          <w:szCs w:val="20"/>
          <w:lang w:val="en-US" w:eastAsia="en-US" w:bidi="en-US"/>
        </w:rPr>
        <w:t xml:space="preserve">Rich. </w:t>
      </w:r>
      <w:r>
        <w:rPr>
          <w:b/>
          <w:bCs/>
          <w:i/>
          <w:iCs/>
          <w:sz w:val="20"/>
          <w:szCs w:val="20"/>
        </w:rPr>
        <w:t>Richter.</w:t>
      </w:r>
    </w:p>
    <w:p w:rsidR="00500724" w:rsidRDefault="00F30FB8">
      <w:pPr>
        <w:pStyle w:val="Zkladntext1"/>
        <w:shd w:val="clear" w:color="auto" w:fill="auto"/>
        <w:spacing w:line="180" w:lineRule="auto"/>
        <w:ind w:firstLine="0"/>
        <w:jc w:val="center"/>
        <w:rPr>
          <w:sz w:val="20"/>
          <w:szCs w:val="20"/>
        </w:rPr>
      </w:pPr>
      <w:r>
        <w:rPr>
          <w:b/>
          <w:bCs/>
          <w:sz w:val="20"/>
          <w:szCs w:val="20"/>
        </w:rPr>
        <w:t>Maďarské plány a půtky</w:t>
      </w:r>
    </w:p>
    <w:p w:rsidR="00500724" w:rsidRDefault="00F30FB8">
      <w:pPr>
        <w:pStyle w:val="Zkladntext1"/>
        <w:shd w:val="clear" w:color="auto" w:fill="auto"/>
        <w:spacing w:line="187" w:lineRule="auto"/>
        <w:ind w:firstLine="200"/>
      </w:pPr>
      <w:r>
        <w:rPr>
          <w:b/>
          <w:bCs/>
        </w:rPr>
        <w:t>Ve Spišské Nové Vsi promluvil</w:t>
      </w:r>
      <w:r>
        <w:rPr>
          <w:b/>
          <w:bCs/>
        </w:rPr>
        <w:t xml:space="preserve"> minulou neděli vůdce Němců na Slovensku, státní tajemník a poslanec inž. Fran</w:t>
      </w:r>
      <w:r>
        <w:rPr>
          <w:b/>
          <w:bCs/>
        </w:rPr>
        <w:softHyphen/>
        <w:t>tišek Karmasin, řeč, kterou čtvrteční »Slovák« uveřejnil velmi nápadným způsobem. Státní sekretář si především Stěžoval, že v Maďarsku na zabrané Podkarpatské Rusí Maďaři zbořil</w:t>
      </w:r>
      <w:r>
        <w:rPr>
          <w:b/>
          <w:bCs/>
        </w:rPr>
        <w:t>i a zrušili německé školy a že také nedáva jí žádné svobody nejenom německé, ani slovenské menšině v Maďarsku. »Maďaři se za všechno Vůdcovo dobrodiní zachovali velmi nerytířsky,« pravil inž. Karmasin a dodal, že zmůžeme je ujistit, že náprava se stane i v</w:t>
      </w:r>
      <w:r>
        <w:rPr>
          <w:b/>
          <w:bCs/>
        </w:rPr>
        <w:t xml:space="preserve"> tomto směru«. Vytýkal, že Maďaři, namísto aby dali svou zemi do pořádku, hledají půtky pomocí svých nastrčených lidí se všemi sousedy a ironicky se zmínil o tom, že náčelník maďarského státu, admirál Horty přijel do zabraných Košic na bílém koni. Poznamen</w:t>
      </w:r>
      <w:r>
        <w:rPr>
          <w:b/>
          <w:bCs/>
        </w:rPr>
        <w:t>al, že Maďaři na Slovensku ^vycházejí do hor, aby se podívali, zda už přichází ten jejich vítěz na bílém koni, ale prohlašujeme, že jejích Záměry jsou na věčné doby pochované, to, po čem baží, se nikdy nezdaří«. Pak neobyčejně ostře kriti- soval maďarské z</w:t>
      </w:r>
      <w:r>
        <w:rPr>
          <w:b/>
          <w:bCs/>
        </w:rPr>
        <w:t>působy a methody, kterých používá ma</w:t>
      </w:r>
      <w:r>
        <w:rPr>
          <w:b/>
          <w:bCs/>
        </w:rPr>
        <w:softHyphen/>
        <w:t>ďarská vláda. Inž. Karmasin řekl na tuto adresu, že »Ma- ďaři pro svou vyzývavou povahu a nepohoj</w:t>
      </w:r>
      <w:r>
        <w:rPr>
          <w:b/>
          <w:bCs/>
        </w:rPr>
        <w:softHyphen/>
        <w:t>nost mohou se dočkat překvapení, a to tako</w:t>
      </w:r>
      <w:r>
        <w:rPr>
          <w:b/>
          <w:bCs/>
        </w:rPr>
        <w:softHyphen/>
        <w:t>vého, že lehce se dožiji větší katastrofy, než bylaonazr. 1918«.</w:t>
      </w:r>
    </w:p>
    <w:p w:rsidR="00500724" w:rsidRDefault="00F30FB8">
      <w:pPr>
        <w:pStyle w:val="Zkladntext1"/>
        <w:shd w:val="clear" w:color="auto" w:fill="auto"/>
        <w:spacing w:line="187" w:lineRule="auto"/>
        <w:ind w:firstLine="200"/>
      </w:pPr>
      <w:r>
        <w:rPr>
          <w:b/>
          <w:bCs/>
        </w:rPr>
        <w:t>Inž. Karmasin</w:t>
      </w:r>
      <w:r>
        <w:rPr>
          <w:b/>
          <w:bCs/>
        </w:rPr>
        <w:t xml:space="preserve"> má skutečně úplně pravdu v tom, že ně</w:t>
      </w:r>
      <w:r>
        <w:rPr>
          <w:b/>
          <w:bCs/>
        </w:rPr>
        <w:softHyphen/>
        <w:t>mecké školy, postavené za republiky na Slovensku a na Podkarpatské Rusi — Němci sami uznávají, že v této věci Si republika počínala tak, že zachránila život německé menšiny na Slovensku, která před rokem 1918 byla pře</w:t>
      </w:r>
      <w:r>
        <w:rPr>
          <w:b/>
          <w:bCs/>
        </w:rPr>
        <w:t xml:space="preserve">d Zánikem —- byly na územích přivtělených k Maďarsku jrw šeny </w:t>
      </w:r>
      <w:r>
        <w:rPr>
          <w:b/>
          <w:bCs/>
          <w:sz w:val="20"/>
          <w:szCs w:val="20"/>
        </w:rPr>
        <w:t xml:space="preserve">a </w:t>
      </w:r>
      <w:r>
        <w:rPr>
          <w:b/>
          <w:bCs/>
        </w:rPr>
        <w:t xml:space="preserve">bourány. Stejně se vedlo </w:t>
      </w:r>
      <w:r>
        <w:rPr>
          <w:b/>
          <w:bCs/>
          <w:sz w:val="14"/>
          <w:szCs w:val="14"/>
        </w:rPr>
        <w:t xml:space="preserve">I </w:t>
      </w:r>
      <w:r>
        <w:rPr>
          <w:b/>
          <w:bCs/>
        </w:rPr>
        <w:t>slovenským Školám. Německý státni tajemník správně Maďarům vytkl, že pro své menšiny v cizině vyžadují všechny svobody, ale slo</w:t>
      </w:r>
      <w:r>
        <w:rPr>
          <w:b/>
          <w:bCs/>
        </w:rPr>
        <w:softHyphen/>
        <w:t>venské i německé menšině v Maďarsku ž</w:t>
      </w:r>
      <w:r>
        <w:rPr>
          <w:b/>
          <w:bCs/>
        </w:rPr>
        <w:t>ádných svobod popřáti nechtějí.</w:t>
      </w:r>
    </w:p>
    <w:p w:rsidR="00500724" w:rsidRDefault="00F30FB8">
      <w:pPr>
        <w:pStyle w:val="Zkladntext1"/>
        <w:shd w:val="clear" w:color="auto" w:fill="auto"/>
        <w:tabs>
          <w:tab w:val="left" w:pos="4709"/>
        </w:tabs>
        <w:spacing w:line="190" w:lineRule="auto"/>
        <w:ind w:firstLine="240"/>
        <w:rPr>
          <w:sz w:val="20"/>
          <w:szCs w:val="20"/>
        </w:rPr>
      </w:pPr>
      <w:r>
        <w:rPr>
          <w:b/>
          <w:bCs/>
        </w:rPr>
        <w:t xml:space="preserve">Na zprávy, které jsou stále v cizím tisku šířeny, že se Maďarsko chystá zabrat celé slovenské území, odpověděl tedy vůdce slovenských Němců neobyčejně rázně. Z jeho odpovědi je patrno, že Německo nebude žádné maďarské plány </w:t>
      </w:r>
      <w:r>
        <w:rPr>
          <w:b/>
          <w:bCs/>
        </w:rPr>
        <w:t>v tomto směru podporovat a závěr jeho řeěi ukazuje, že míra trpělivosti byla asi již navršena. V každém případě je projev státního tajemníka inž. Karmasina neobyčejně pozoruhodný.</w:t>
      </w:r>
      <w:r>
        <w:rPr>
          <w:b/>
          <w:bCs/>
        </w:rPr>
        <w:tab/>
      </w:r>
      <w:r>
        <w:rPr>
          <w:b/>
          <w:bCs/>
          <w:i/>
          <w:iCs/>
          <w:sz w:val="20"/>
          <w:szCs w:val="20"/>
        </w:rPr>
        <w:t>Cis.</w:t>
      </w:r>
    </w:p>
    <w:p w:rsidR="00500724" w:rsidRDefault="00F30FB8">
      <w:pPr>
        <w:pStyle w:val="Jin0"/>
        <w:shd w:val="clear" w:color="auto" w:fill="auto"/>
        <w:spacing w:after="180" w:line="185" w:lineRule="auto"/>
        <w:ind w:firstLine="0"/>
        <w:jc w:val="left"/>
        <w:rPr>
          <w:sz w:val="46"/>
          <w:szCs w:val="46"/>
        </w:rPr>
      </w:pPr>
      <w:r>
        <w:rPr>
          <w:b/>
          <w:bCs/>
          <w:sz w:val="46"/>
          <w:szCs w:val="46"/>
          <w:u w:val="single"/>
        </w:rPr>
        <w:t>dokumenty a vzpomínky</w:t>
      </w:r>
    </w:p>
    <w:p w:rsidR="00500724" w:rsidRDefault="00F30FB8">
      <w:pPr>
        <w:pStyle w:val="Nadpis100"/>
        <w:shd w:val="clear" w:color="auto" w:fill="auto"/>
        <w:spacing w:after="80" w:line="240" w:lineRule="auto"/>
      </w:pPr>
      <w:bookmarkStart w:id="648" w:name="bookmark647"/>
      <w:r>
        <w:t>Před devadesátí lety</w:t>
      </w:r>
      <w:bookmarkEnd w:id="648"/>
    </w:p>
    <w:p w:rsidR="00500724" w:rsidRDefault="00F30FB8">
      <w:pPr>
        <w:pStyle w:val="Zkladntext1"/>
        <w:shd w:val="clear" w:color="auto" w:fill="auto"/>
        <w:spacing w:line="175" w:lineRule="auto"/>
        <w:ind w:left="780" w:firstLine="180"/>
        <w:rPr>
          <w:sz w:val="18"/>
          <w:szCs w:val="18"/>
        </w:rPr>
      </w:pPr>
      <w:r>
        <w:rPr>
          <w:sz w:val="18"/>
          <w:szCs w:val="18"/>
        </w:rPr>
        <w:t xml:space="preserve">Naše generace má dojem, že se octla ve víru. Fakta současné situace nedovolují, abychom tento dojem vyvraceli. Abychom však ukázali, že »staré dobré ěasy« nebyly vždycky tím, čím se býti zdají, vybíráme několik citátů </w:t>
      </w:r>
      <w:r>
        <w:rPr>
          <w:b/>
          <w:bCs/>
        </w:rPr>
        <w:t xml:space="preserve">z </w:t>
      </w:r>
      <w:r>
        <w:rPr>
          <w:sz w:val="18"/>
          <w:szCs w:val="18"/>
        </w:rPr>
        <w:t>pražských ^Občanských novin«« z ro</w:t>
      </w:r>
      <w:r>
        <w:rPr>
          <w:sz w:val="18"/>
          <w:szCs w:val="18"/>
        </w:rPr>
        <w:softHyphen/>
        <w:t>k</w:t>
      </w:r>
      <w:r>
        <w:rPr>
          <w:sz w:val="18"/>
          <w:szCs w:val="18"/>
        </w:rPr>
        <w:t xml:space="preserve">u 1849. Ukáže se — může-li to býti útěchou — že vír světový nebyl tehdy o nic menší a prudší. Mimo to jevi se jasně </w:t>
      </w:r>
      <w:r>
        <w:rPr>
          <w:b/>
          <w:bCs/>
          <w:sz w:val="14"/>
          <w:szCs w:val="14"/>
        </w:rPr>
        <w:t xml:space="preserve">v </w:t>
      </w:r>
      <w:r>
        <w:rPr>
          <w:sz w:val="18"/>
          <w:szCs w:val="18"/>
        </w:rPr>
        <w:t>citovaných úryvcích primitivnost našich tehdejších národních poměrů.</w:t>
      </w:r>
    </w:p>
    <w:p w:rsidR="00500724" w:rsidRDefault="00F30FB8">
      <w:pPr>
        <w:pStyle w:val="Zkladntext40"/>
        <w:shd w:val="clear" w:color="auto" w:fill="auto"/>
        <w:spacing w:after="0" w:line="286" w:lineRule="auto"/>
        <w:jc w:val="center"/>
        <w:rPr>
          <w:sz w:val="14"/>
          <w:szCs w:val="14"/>
        </w:rPr>
      </w:pPr>
      <w:r>
        <w:rPr>
          <w:b/>
          <w:bCs/>
          <w:sz w:val="14"/>
          <w:szCs w:val="14"/>
        </w:rPr>
        <w:t>I.</w:t>
      </w:r>
    </w:p>
    <w:p w:rsidR="00500724" w:rsidRDefault="00F30FB8">
      <w:pPr>
        <w:pStyle w:val="Zkladntext40"/>
        <w:shd w:val="clear" w:color="auto" w:fill="auto"/>
        <w:spacing w:after="0" w:line="286" w:lineRule="auto"/>
        <w:ind w:firstLine="240"/>
        <w:rPr>
          <w:sz w:val="14"/>
          <w:szCs w:val="14"/>
        </w:rPr>
      </w:pPr>
      <w:r>
        <w:rPr>
          <w:b/>
          <w:bCs/>
          <w:sz w:val="14"/>
          <w:szCs w:val="14"/>
        </w:rPr>
        <w:t>Z Cernowic, 12. ledna. Dne 7. sem nenadále přiletěla powěst, že Ma</w:t>
      </w:r>
      <w:r>
        <w:rPr>
          <w:b/>
          <w:bCs/>
          <w:sz w:val="14"/>
          <w:szCs w:val="14"/>
        </w:rPr>
        <w:t>ďaři pod welitelstwjm generála Béma, gichžto se na 30.000 mužů poějtá, wtrEli do Bukowiny, čehož w Cernovicjch takowý strach powstal, že množ- stwj obywatelstwa na outěk se dalo. Bémův oumysl ge, w Polsku pozdwiženj způsobiti, aby tak sjednocené s Maďary n</w:t>
      </w:r>
      <w:r>
        <w:rPr>
          <w:b/>
          <w:bCs/>
          <w:sz w:val="14"/>
          <w:szCs w:val="14"/>
        </w:rPr>
        <w:t>a cjsařské wogsko udeřili.</w:t>
      </w:r>
    </w:p>
    <w:p w:rsidR="00500724" w:rsidRDefault="00F30FB8">
      <w:pPr>
        <w:pStyle w:val="Zkladntext40"/>
        <w:shd w:val="clear" w:color="auto" w:fill="auto"/>
        <w:spacing w:after="0" w:line="324" w:lineRule="auto"/>
        <w:jc w:val="center"/>
        <w:rPr>
          <w:sz w:val="14"/>
          <w:szCs w:val="14"/>
        </w:rPr>
      </w:pPr>
      <w:r>
        <w:rPr>
          <w:b/>
          <w:bCs/>
          <w:sz w:val="14"/>
          <w:szCs w:val="14"/>
        </w:rPr>
        <w:t>•</w:t>
      </w:r>
    </w:p>
    <w:p w:rsidR="00500724" w:rsidRDefault="00F30FB8">
      <w:pPr>
        <w:pStyle w:val="Zkladntext40"/>
        <w:shd w:val="clear" w:color="auto" w:fill="auto"/>
        <w:spacing w:after="0" w:line="324" w:lineRule="auto"/>
        <w:ind w:firstLine="240"/>
        <w:rPr>
          <w:sz w:val="14"/>
          <w:szCs w:val="14"/>
        </w:rPr>
      </w:pPr>
      <w:r>
        <w:rPr>
          <w:b/>
          <w:bCs/>
          <w:sz w:val="14"/>
          <w:szCs w:val="14"/>
        </w:rPr>
        <w:t>Z Požegu, 5. ledna. W srbské wogwodowině ge na tisjce lidj bez přjstřessj. Nepřátelé, nemohouce gináče se gim pomstit, spálili gim co mohli, a tak ge nynj na tisjce ne</w:t>
      </w:r>
      <w:r>
        <w:rPr>
          <w:b/>
          <w:bCs/>
          <w:sz w:val="14"/>
          <w:szCs w:val="14"/>
        </w:rPr>
        <w:softHyphen/>
        <w:t xml:space="preserve">bohých, kteří nemagj, kam hlawu uložit, kteří nemagi čjm </w:t>
      </w:r>
      <w:r>
        <w:rPr>
          <w:b/>
          <w:bCs/>
          <w:sz w:val="14"/>
          <w:szCs w:val="14"/>
        </w:rPr>
        <w:t>hlad swůg zahnati, a sirotků ge weliké množstwj, nemagjcích žádného, kdo by ge žiwil, neboť rodiče ge- gich nemilosrdně byli od kruttych nepřátel pobiti. Ruské země</w:t>
      </w:r>
    </w:p>
    <w:p w:rsidR="00500724" w:rsidRDefault="00F30FB8">
      <w:pPr>
        <w:pStyle w:val="Zkladntext40"/>
        <w:shd w:val="clear" w:color="auto" w:fill="auto"/>
        <w:spacing w:after="0" w:line="286" w:lineRule="auto"/>
        <w:ind w:firstLine="240"/>
        <w:rPr>
          <w:sz w:val="14"/>
          <w:szCs w:val="14"/>
        </w:rPr>
      </w:pPr>
      <w:r>
        <w:rPr>
          <w:b/>
          <w:bCs/>
          <w:sz w:val="14"/>
          <w:szCs w:val="14"/>
        </w:rPr>
        <w:t>Dle hodnowěrných zpráv z rozličných části Ruska, genž se w hlavni věci shodugon, a gen w ud</w:t>
      </w:r>
      <w:r>
        <w:rPr>
          <w:b/>
          <w:bCs/>
          <w:sz w:val="14"/>
          <w:szCs w:val="14"/>
        </w:rPr>
        <w:t>ánj wedleg- ssjch se lissj, panuje prý od začátku zimy we wýchod- njch a gihowýchodnjch gubernijch rozsáhlého cárstwj staw, který, ač ne zgevně rewolučnjm, w politickém ohledu předce welmi powážliwým nazwati by se mohl. Gmenowitě v gubernijch Vgatecké, Kaz</w:t>
      </w:r>
      <w:r>
        <w:rPr>
          <w:b/>
          <w:bCs/>
          <w:sz w:val="14"/>
          <w:szCs w:val="14"/>
        </w:rPr>
        <w:t xml:space="preserve">aňské, Simbrské, Penzeskó táhnou prý ozbrogené zástupy wesnického lidu, často asi 5 i 6000 mužů, drancugou, pálegj, wraž- děgj. — Zpráva tato </w:t>
      </w:r>
      <w:r>
        <w:rPr>
          <w:i/>
          <w:iCs/>
          <w:sz w:val="20"/>
          <w:szCs w:val="20"/>
        </w:rPr>
        <w:t>ge</w:t>
      </w:r>
      <w:r>
        <w:rPr>
          <w:b/>
          <w:bCs/>
          <w:sz w:val="14"/>
          <w:szCs w:val="14"/>
        </w:rPr>
        <w:t xml:space="preserve"> welmi důležitá, nebof kdyby i w Rusku mocné hýbánj se stalo — a swoboda tam také gednou musj přigjt k procitnut</w:t>
      </w:r>
      <w:r>
        <w:rPr>
          <w:b/>
          <w:bCs/>
          <w:sz w:val="14"/>
          <w:szCs w:val="14"/>
        </w:rPr>
        <w:t>j — pak by ruská wláda měla doma dosti co dělat, a nepousstěla by strassáky na swobodu za hranice.</w:t>
      </w:r>
    </w:p>
    <w:p w:rsidR="00500724" w:rsidRDefault="00F30FB8">
      <w:pPr>
        <w:pStyle w:val="Jin0"/>
        <w:shd w:val="clear" w:color="auto" w:fill="auto"/>
        <w:spacing w:line="180" w:lineRule="auto"/>
        <w:ind w:firstLine="0"/>
        <w:jc w:val="center"/>
        <w:rPr>
          <w:sz w:val="46"/>
          <w:szCs w:val="46"/>
        </w:rPr>
      </w:pPr>
      <w:r>
        <w:rPr>
          <w:b/>
          <w:bCs/>
          <w:sz w:val="46"/>
          <w:szCs w:val="46"/>
        </w:rPr>
        <w:t>9</w:t>
      </w:r>
    </w:p>
    <w:p w:rsidR="00500724" w:rsidRDefault="00F30FB8">
      <w:pPr>
        <w:pStyle w:val="Zkladntext40"/>
        <w:shd w:val="clear" w:color="auto" w:fill="auto"/>
        <w:spacing w:after="0" w:line="283" w:lineRule="auto"/>
        <w:ind w:firstLine="240"/>
        <w:rPr>
          <w:sz w:val="14"/>
          <w:szCs w:val="14"/>
        </w:rPr>
      </w:pPr>
      <w:r>
        <w:rPr>
          <w:b/>
          <w:bCs/>
          <w:sz w:val="14"/>
          <w:szCs w:val="14"/>
        </w:rPr>
        <w:t xml:space="preserve">Z Londýna, 13. ledna. W některých hrabstvjch ge po- zorowat neobyěegné gitřenj a bouřenj; w hrabstwjDown- ském gsou welmi časté ohně, zlomyslně založené, </w:t>
      </w:r>
      <w:r>
        <w:rPr>
          <w:b/>
          <w:bCs/>
          <w:sz w:val="14"/>
          <w:szCs w:val="14"/>
        </w:rPr>
        <w:t>posud ale nebyl gesstě ani gedinký palič dostižen. Některé hrabswj gsou we stawu obleženi a těm ge nynj nařjzeno, aby w nich do 18. ledna vssecky zbraně složeny byly; kdo by to neučinil, že na dwě léta bude těžce uwězněn,</w:t>
      </w:r>
    </w:p>
    <w:p w:rsidR="00500724" w:rsidRDefault="00F30FB8">
      <w:pPr>
        <w:pStyle w:val="Zkladntext40"/>
        <w:shd w:val="clear" w:color="auto" w:fill="auto"/>
        <w:spacing w:after="0" w:line="240" w:lineRule="auto"/>
        <w:jc w:val="center"/>
        <w:rPr>
          <w:sz w:val="14"/>
          <w:szCs w:val="14"/>
        </w:rPr>
      </w:pPr>
      <w:r>
        <w:rPr>
          <w:b/>
          <w:bCs/>
          <w:sz w:val="14"/>
          <w:szCs w:val="14"/>
        </w:rPr>
        <w:t>•</w:t>
      </w:r>
    </w:p>
    <w:p w:rsidR="00500724" w:rsidRDefault="00F30FB8">
      <w:pPr>
        <w:pStyle w:val="Zkladntext40"/>
        <w:shd w:val="clear" w:color="auto" w:fill="auto"/>
        <w:spacing w:after="0" w:line="286" w:lineRule="auto"/>
        <w:rPr>
          <w:sz w:val="14"/>
          <w:szCs w:val="14"/>
        </w:rPr>
      </w:pPr>
      <w:r>
        <w:rPr>
          <w:b/>
          <w:bCs/>
          <w:sz w:val="14"/>
          <w:szCs w:val="14"/>
        </w:rPr>
        <w:t>Ssweycarská republika</w:t>
      </w:r>
    </w:p>
    <w:p w:rsidR="00500724" w:rsidRDefault="00F30FB8">
      <w:pPr>
        <w:pStyle w:val="Zkladntext40"/>
        <w:shd w:val="clear" w:color="auto" w:fill="auto"/>
        <w:spacing w:after="0" w:line="286" w:lineRule="auto"/>
        <w:ind w:firstLine="240"/>
        <w:rPr>
          <w:sz w:val="14"/>
          <w:szCs w:val="14"/>
        </w:rPr>
      </w:pPr>
      <w:r>
        <w:rPr>
          <w:b/>
          <w:bCs/>
          <w:sz w:val="14"/>
          <w:szCs w:val="14"/>
        </w:rPr>
        <w:t xml:space="preserve">Werbowánj </w:t>
      </w:r>
      <w:r>
        <w:rPr>
          <w:b/>
          <w:bCs/>
          <w:sz w:val="14"/>
          <w:szCs w:val="14"/>
        </w:rPr>
        <w:t>pro neapolsko wogsko, kteréžto loňského léta skoro docela přestalo, giž opět od něgakébo času začaly a to s negwětssj žiwostj. Hlásj se k tomu dost mladjků.negwjcale zahalečů a takowých, kteřj si w zpustlém nepořádném životě libugj. Gag ge wprawiť na misto</w:t>
      </w:r>
      <w:r>
        <w:rPr>
          <w:b/>
          <w:bCs/>
          <w:sz w:val="14"/>
          <w:szCs w:val="14"/>
        </w:rPr>
        <w:t xml:space="preserve"> urěenj gegicb, w tom se mnohé těžkosti nasky- tugj. Gindy býwali takowjto nowáěkové posíláni skrz Piemontsko do Janowa, a odtud dále po wodě do Nea</w:t>
      </w:r>
      <w:r>
        <w:rPr>
          <w:b/>
          <w:bCs/>
          <w:sz w:val="14"/>
          <w:szCs w:val="14"/>
        </w:rPr>
        <w:softHyphen/>
        <w:t>polsko; teď ale, kdežto Piemontsko ozbrogeno gest pro swobodu a Neapolsko pro tyranstwj — teď se touto cest</w:t>
      </w:r>
      <w:r>
        <w:rPr>
          <w:b/>
          <w:bCs/>
          <w:sz w:val="14"/>
          <w:szCs w:val="14"/>
        </w:rPr>
        <w:t>ou nemůže zaměřiti. I cbtěgj ge tedy poslat přes Terst, a Radecký, za přjěinou toho dožádau, s welikau ocbotnostj k tomu přiwolil.</w:t>
      </w:r>
    </w:p>
    <w:p w:rsidR="00500724" w:rsidRDefault="00F30FB8">
      <w:pPr>
        <w:pStyle w:val="Zkladntext40"/>
        <w:shd w:val="clear" w:color="auto" w:fill="auto"/>
        <w:spacing w:after="0" w:line="283" w:lineRule="auto"/>
        <w:jc w:val="center"/>
        <w:rPr>
          <w:sz w:val="14"/>
          <w:szCs w:val="14"/>
        </w:rPr>
      </w:pPr>
      <w:r>
        <w:rPr>
          <w:b/>
          <w:bCs/>
          <w:sz w:val="14"/>
          <w:szCs w:val="14"/>
        </w:rPr>
        <w:t>•</w:t>
      </w:r>
    </w:p>
    <w:p w:rsidR="00500724" w:rsidRDefault="00F30FB8">
      <w:pPr>
        <w:pStyle w:val="Zkladntext40"/>
        <w:shd w:val="clear" w:color="auto" w:fill="auto"/>
        <w:spacing w:after="0" w:line="283" w:lineRule="auto"/>
        <w:ind w:firstLine="240"/>
        <w:rPr>
          <w:sz w:val="14"/>
          <w:szCs w:val="14"/>
        </w:rPr>
      </w:pPr>
      <w:r>
        <w:rPr>
          <w:b/>
          <w:bCs/>
          <w:sz w:val="14"/>
          <w:szCs w:val="14"/>
        </w:rPr>
        <w:t>Podáwáme tuto na powssimnutj z ohledu slohu řeěi, prawopisu a ouřednjbo zemského řizenj ouřednj připiš na rychtáře w geho p</w:t>
      </w:r>
      <w:r>
        <w:rPr>
          <w:b/>
          <w:bCs/>
          <w:sz w:val="14"/>
          <w:szCs w:val="14"/>
        </w:rPr>
        <w:t>ůwodjm obsahu:</w:t>
      </w:r>
    </w:p>
    <w:p w:rsidR="00500724" w:rsidRDefault="00F30FB8">
      <w:pPr>
        <w:pStyle w:val="Zkladntext40"/>
        <w:shd w:val="clear" w:color="auto" w:fill="auto"/>
        <w:spacing w:after="0" w:line="283" w:lineRule="auto"/>
        <w:jc w:val="right"/>
        <w:rPr>
          <w:sz w:val="14"/>
          <w:szCs w:val="14"/>
        </w:rPr>
      </w:pPr>
      <w:r>
        <w:rPr>
          <w:b/>
          <w:bCs/>
          <w:sz w:val="14"/>
          <w:szCs w:val="14"/>
        </w:rPr>
        <w:t>sNa Prachynsku.</w:t>
      </w:r>
    </w:p>
    <w:p w:rsidR="00500724" w:rsidRDefault="00F30FB8">
      <w:pPr>
        <w:pStyle w:val="Zkladntext40"/>
        <w:shd w:val="clear" w:color="auto" w:fill="auto"/>
        <w:spacing w:after="0" w:line="283" w:lineRule="auto"/>
        <w:ind w:firstLine="240"/>
        <w:rPr>
          <w:sz w:val="14"/>
          <w:szCs w:val="14"/>
        </w:rPr>
      </w:pPr>
      <w:r>
        <w:rPr>
          <w:b/>
          <w:bCs/>
          <w:sz w:val="14"/>
          <w:szCs w:val="14"/>
        </w:rPr>
        <w:t>Richtaři!</w:t>
      </w:r>
    </w:p>
    <w:p w:rsidR="00500724" w:rsidRDefault="00F30FB8">
      <w:pPr>
        <w:pStyle w:val="Zkladntext40"/>
        <w:shd w:val="clear" w:color="auto" w:fill="auto"/>
        <w:spacing w:after="0" w:line="283" w:lineRule="auto"/>
        <w:ind w:firstLine="240"/>
        <w:rPr>
          <w:sz w:val="14"/>
          <w:szCs w:val="14"/>
        </w:rPr>
      </w:pPr>
      <w:r>
        <w:rPr>
          <w:b/>
          <w:bCs/>
          <w:sz w:val="14"/>
          <w:szCs w:val="14"/>
        </w:rPr>
        <w:t>Podle cjs. kr. kragského dopisu od 3ho Ledna b. r. Nr. 69 pol se wám nařizuge, byste mezi 8ma dnima k auradu ohlásil, který Časopisy, Nowiny a neb ginj wubecne a letawe spisy we wassy Richtě se držegi, a který od tě</w:t>
      </w:r>
      <w:r>
        <w:rPr>
          <w:b/>
          <w:bCs/>
          <w:sz w:val="14"/>
          <w:szCs w:val="14"/>
        </w:rPr>
        <w:t>ch spisu neb nowinach negwjce od obiwatelu se čtau.</w:t>
      </w:r>
    </w:p>
    <w:p w:rsidR="00500724" w:rsidRDefault="00F30FB8">
      <w:pPr>
        <w:pStyle w:val="Zkladntext40"/>
        <w:shd w:val="clear" w:color="auto" w:fill="auto"/>
        <w:tabs>
          <w:tab w:val="left" w:pos="4579"/>
        </w:tabs>
        <w:spacing w:after="160" w:line="283" w:lineRule="auto"/>
        <w:ind w:firstLine="240"/>
        <w:rPr>
          <w:sz w:val="14"/>
          <w:szCs w:val="14"/>
        </w:rPr>
      </w:pPr>
      <w:r>
        <w:rPr>
          <w:b/>
          <w:bCs/>
          <w:sz w:val="14"/>
          <w:szCs w:val="14"/>
        </w:rPr>
        <w:t>Od auřadu P — dne 9. Ledna 1849.</w:t>
      </w:r>
      <w:r>
        <w:rPr>
          <w:b/>
          <w:bCs/>
          <w:sz w:val="14"/>
          <w:szCs w:val="14"/>
        </w:rPr>
        <w:tab/>
        <w:t>Scl.t</w:t>
      </w:r>
    </w:p>
    <w:p w:rsidR="00500724" w:rsidRDefault="00F30FB8">
      <w:pPr>
        <w:pStyle w:val="Zkladntext40"/>
        <w:shd w:val="clear" w:color="auto" w:fill="auto"/>
        <w:spacing w:after="0" w:line="286" w:lineRule="auto"/>
        <w:ind w:firstLine="240"/>
        <w:rPr>
          <w:sz w:val="14"/>
          <w:szCs w:val="14"/>
        </w:rPr>
      </w:pPr>
      <w:r>
        <w:rPr>
          <w:b/>
          <w:bCs/>
          <w:sz w:val="14"/>
          <w:szCs w:val="14"/>
        </w:rPr>
        <w:t xml:space="preserve">Z Prahy. W Rakouském mocnářství panuge, při wssi zdánliwé rozwyklanosti, gakási, nepochybně giž po zkřjssenj swobody chytře nastrogená důslednost. Ney- prw se gedno </w:t>
      </w:r>
      <w:r>
        <w:rPr>
          <w:b/>
          <w:bCs/>
          <w:sz w:val="14"/>
          <w:szCs w:val="14"/>
        </w:rPr>
        <w:t>hlavnj město po druhém bombardovalo, a teď se zponenáhla po celé řjssi neblahý staw obleženj a wogenského násilí zawádj. Praha si tuto blaženost sice giž přestála a swoboda si opět wolněgi oddychowati za</w:t>
      </w:r>
      <w:r>
        <w:rPr>
          <w:b/>
          <w:bCs/>
          <w:sz w:val="14"/>
          <w:szCs w:val="14"/>
        </w:rPr>
        <w:softHyphen/>
        <w:t>čala; teď ale z mnohých wecj opět patrno gest, že by</w:t>
      </w:r>
      <w:r>
        <w:rPr>
          <w:b/>
          <w:bCs/>
          <w:sz w:val="14"/>
          <w:szCs w:val="14"/>
        </w:rPr>
        <w:t xml:space="preserve"> staw obleženj Prahu opět rád mermocj si oswogil. Zdá se, gakoby se gen na dost malou příčinu čekalo, aby se Praha wogenskými zákony sewřjti mohla; přičemž by negen swoboda wůbec, nýbrž i swoboda tisku zwlásstS utrpěla. A když se swobodě tisku a řeči, swob</w:t>
      </w:r>
      <w:r>
        <w:rPr>
          <w:b/>
          <w:bCs/>
          <w:sz w:val="14"/>
          <w:szCs w:val="14"/>
        </w:rPr>
        <w:t>odě spol</w:t>
      </w:r>
      <w:r>
        <w:rPr>
          <w:b/>
          <w:bCs/>
          <w:sz w:val="14"/>
          <w:szCs w:val="14"/>
        </w:rPr>
        <w:softHyphen/>
        <w:t xml:space="preserve">čováni — se žjla zatne a národ se odzbrogj — pak dobrou noc! tu i wsseobecná swoboda krvácí, </w:t>
      </w:r>
      <w:r>
        <w:rPr>
          <w:b/>
          <w:bCs/>
          <w:sz w:val="14"/>
          <w:szCs w:val="14"/>
          <w:vertAlign w:val="superscript"/>
        </w:rPr>
        <w:t>a</w:t>
      </w:r>
      <w:r>
        <w:rPr>
          <w:b/>
          <w:bCs/>
          <w:sz w:val="14"/>
          <w:szCs w:val="14"/>
        </w:rPr>
        <w:t xml:space="preserve"> konssti- tuce, gakouž gsme doufáni swé sladce napágeli, ge pou</w:t>
      </w:r>
      <w:r>
        <w:rPr>
          <w:b/>
          <w:bCs/>
          <w:sz w:val="14"/>
          <w:szCs w:val="14"/>
        </w:rPr>
        <w:softHyphen/>
        <w:t xml:space="preserve">hý </w:t>
      </w:r>
      <w:r>
        <w:rPr>
          <w:b/>
          <w:bCs/>
          <w:sz w:val="14"/>
          <w:szCs w:val="14"/>
          <w:lang w:val="en-US" w:eastAsia="en-US" w:bidi="en-US"/>
        </w:rPr>
        <w:t xml:space="preserve">stjn, </w:t>
      </w:r>
      <w:r>
        <w:rPr>
          <w:b/>
          <w:bCs/>
          <w:sz w:val="14"/>
          <w:szCs w:val="14"/>
        </w:rPr>
        <w:t>pouhé slowo beze wsseho wýznamu. Předehru stawu obleženi takořka giž máme.</w:t>
      </w:r>
    </w:p>
    <w:p w:rsidR="00500724" w:rsidRDefault="00F30FB8">
      <w:pPr>
        <w:pStyle w:val="Zkladntext40"/>
        <w:shd w:val="clear" w:color="auto" w:fill="auto"/>
        <w:spacing w:after="0" w:line="286" w:lineRule="auto"/>
        <w:ind w:firstLine="240"/>
        <w:rPr>
          <w:sz w:val="14"/>
          <w:szCs w:val="14"/>
        </w:rPr>
      </w:pPr>
      <w:r>
        <w:rPr>
          <w:b/>
          <w:bCs/>
          <w:sz w:val="14"/>
          <w:szCs w:val="14"/>
        </w:rPr>
        <w:t xml:space="preserve">Hned </w:t>
      </w:r>
      <w:r>
        <w:rPr>
          <w:b/>
          <w:bCs/>
          <w:sz w:val="14"/>
          <w:szCs w:val="14"/>
        </w:rPr>
        <w:t>po oné přjpadnosti, kdežto, gak se prawilo, ně</w:t>
      </w:r>
      <w:r>
        <w:rPr>
          <w:b/>
          <w:bCs/>
          <w:sz w:val="14"/>
          <w:szCs w:val="14"/>
        </w:rPr>
        <w:softHyphen/>
        <w:t>kdo ustřelil maljk wogákowi na stráži stogjcjmu, byl weěer hned po osmé hodině každý okolo wogenských strážj gdoucj uwjtán napřaženým bodákem a spolu zkřiknutjm: &gt;Halt! wer da?«, načež když od magistrátu u wog</w:t>
      </w:r>
      <w:r>
        <w:rPr>
          <w:b/>
          <w:bCs/>
          <w:sz w:val="14"/>
          <w:szCs w:val="14"/>
        </w:rPr>
        <w:t>enského welitelstwj stjžnost se wedla, uweřegněno bylo následugjci ohlássenj:</w:t>
      </w:r>
    </w:p>
    <w:p w:rsidR="00500724" w:rsidRDefault="00F30FB8">
      <w:pPr>
        <w:pStyle w:val="Zkladntext40"/>
        <w:shd w:val="clear" w:color="auto" w:fill="auto"/>
        <w:spacing w:after="0" w:line="286" w:lineRule="auto"/>
        <w:ind w:firstLine="240"/>
        <w:rPr>
          <w:sz w:val="14"/>
          <w:szCs w:val="14"/>
        </w:rPr>
      </w:pPr>
      <w:r>
        <w:rPr>
          <w:b/>
          <w:bCs/>
          <w:sz w:val="14"/>
          <w:szCs w:val="14"/>
        </w:rPr>
        <w:t>&gt;Wysoké cj. král. generální komando uznalo násled</w:t>
      </w:r>
      <w:r>
        <w:rPr>
          <w:b/>
          <w:bCs/>
          <w:sz w:val="14"/>
          <w:szCs w:val="14"/>
        </w:rPr>
        <w:softHyphen/>
        <w:t>kem udané přjpadnosti, žeby byl někdo neznámý před několika dny stráž od pěchoty barona Palombini po</w:t>
      </w:r>
      <w:r>
        <w:rPr>
          <w:b/>
          <w:bCs/>
          <w:sz w:val="14"/>
          <w:szCs w:val="14"/>
        </w:rPr>
        <w:softHyphen/>
        <w:t>střelil, zapotřebno rozkáza</w:t>
      </w:r>
      <w:r>
        <w:rPr>
          <w:b/>
          <w:bCs/>
          <w:sz w:val="14"/>
          <w:szCs w:val="14"/>
        </w:rPr>
        <w:t>ti, aby wssecky stráže pro swou osobnj bezpečnost s nabitou zbranj zatahowaly a času nočního patroly pro bezpečnost do odlehlegssjch části města se wysjlaly.</w:t>
      </w:r>
    </w:p>
    <w:p w:rsidR="00500724" w:rsidRDefault="00F30FB8">
      <w:pPr>
        <w:pStyle w:val="Zkladntext40"/>
        <w:shd w:val="clear" w:color="auto" w:fill="auto"/>
        <w:spacing w:after="0" w:line="286" w:lineRule="auto"/>
        <w:ind w:firstLine="240"/>
        <w:rPr>
          <w:sz w:val="14"/>
          <w:szCs w:val="14"/>
        </w:rPr>
      </w:pPr>
      <w:r>
        <w:rPr>
          <w:b/>
          <w:bCs/>
          <w:sz w:val="14"/>
          <w:szCs w:val="14"/>
        </w:rPr>
        <w:t>Awssak k upokogenj obywatelů nasseho hlawnjho města a lepssjmu wyswětlenj wěci té, oznamuge se, že</w:t>
      </w:r>
      <w:r>
        <w:rPr>
          <w:b/>
          <w:bCs/>
          <w:sz w:val="14"/>
          <w:szCs w:val="14"/>
        </w:rPr>
        <w:t xml:space="preserve"> nařízeni ono docela na předpisu wogenské služby se za</w:t>
      </w:r>
      <w:r>
        <w:rPr>
          <w:b/>
          <w:bCs/>
          <w:sz w:val="14"/>
          <w:szCs w:val="14"/>
        </w:rPr>
        <w:softHyphen/>
        <w:t xml:space="preserve">kládá, dle kteréhož stráž, když na swé zawolánj odpo- wěd nedostane, s nataženým kohoutkem na osloweného gde, geg upomene, že, pakli neodpowi geg zatkne, a kdyby utjkati chtěl, zastřeli. Pakliby se do </w:t>
      </w:r>
      <w:r>
        <w:rPr>
          <w:b/>
          <w:bCs/>
          <w:sz w:val="14"/>
          <w:szCs w:val="14"/>
        </w:rPr>
        <w:t>stráže dal, nebo utjkal, a tjm w newětssj podezřeni upadl, bez roz- mýsslenj po něm se pálj.</w:t>
      </w:r>
    </w:p>
    <w:p w:rsidR="00500724" w:rsidRDefault="00F30FB8">
      <w:pPr>
        <w:pStyle w:val="Zkladntext40"/>
        <w:shd w:val="clear" w:color="auto" w:fill="auto"/>
        <w:spacing w:after="0" w:line="286" w:lineRule="auto"/>
        <w:ind w:firstLine="240"/>
        <w:jc w:val="left"/>
        <w:rPr>
          <w:sz w:val="14"/>
          <w:szCs w:val="14"/>
        </w:rPr>
      </w:pPr>
      <w:r>
        <w:rPr>
          <w:b/>
          <w:bCs/>
          <w:sz w:val="14"/>
          <w:szCs w:val="14"/>
        </w:rPr>
        <w:t>Toto nařjzeni tudy we wsseobecnou známost se uwádj.t</w:t>
      </w:r>
    </w:p>
    <w:p w:rsidR="00500724" w:rsidRDefault="00F30FB8">
      <w:pPr>
        <w:pStyle w:val="Zkladntext40"/>
        <w:shd w:val="clear" w:color="auto" w:fill="auto"/>
        <w:spacing w:after="0" w:line="286" w:lineRule="auto"/>
        <w:ind w:firstLine="240"/>
        <w:jc w:val="left"/>
        <w:rPr>
          <w:sz w:val="14"/>
          <w:szCs w:val="14"/>
        </w:rPr>
      </w:pPr>
      <w:r>
        <w:rPr>
          <w:b/>
          <w:bCs/>
          <w:sz w:val="14"/>
          <w:szCs w:val="14"/>
        </w:rPr>
        <w:t>Gak snadně se tu může nesstěstj stát, a gak těžko by bylo, takowýmto způsobem zastřelenému^ udat, gestli k tom</w:t>
      </w:r>
      <w:r>
        <w:rPr>
          <w:b/>
          <w:bCs/>
          <w:sz w:val="14"/>
          <w:szCs w:val="14"/>
        </w:rPr>
        <w:t xml:space="preserve">u zastřeleni skutečně byla dostatečná přjčma. A co wůbec pomůže takowéto teyránj a lidu lekánj? Či snad na takovéto zawolánj řekne člowěk, kterýho tasskář byl anebo něgaký zlý oumysl měl: &gt;Gá gsem tasskář,&lt; aneb: »Mám zlý oumysl?&lt; Spjsse se takowý zarazj, </w:t>
      </w:r>
      <w:r>
        <w:rPr>
          <w:b/>
          <w:bCs/>
          <w:sz w:val="14"/>
          <w:szCs w:val="14"/>
        </w:rPr>
        <w:t>kdo na nic ani nepomysli a w myšlénkách po</w:t>
      </w:r>
      <w:r>
        <w:rPr>
          <w:b/>
          <w:bCs/>
          <w:sz w:val="14"/>
          <w:szCs w:val="14"/>
        </w:rPr>
        <w:softHyphen/>
        <w:t>hroužen swou cestou gde.</w:t>
      </w:r>
    </w:p>
    <w:p w:rsidR="00500724" w:rsidRDefault="00F30FB8">
      <w:pPr>
        <w:pStyle w:val="Zkladntext40"/>
        <w:shd w:val="clear" w:color="auto" w:fill="auto"/>
        <w:spacing w:after="0" w:line="266" w:lineRule="auto"/>
        <w:ind w:firstLine="240"/>
        <w:jc w:val="left"/>
        <w:rPr>
          <w:sz w:val="14"/>
          <w:szCs w:val="14"/>
        </w:rPr>
        <w:sectPr w:rsidR="00500724">
          <w:footnotePr>
            <w:numFmt w:val="chicago"/>
            <w:numRestart w:val="eachPage"/>
          </w:footnotePr>
          <w:type w:val="continuous"/>
          <w:pgSz w:w="11909" w:h="16834"/>
          <w:pgMar w:top="1040" w:right="954" w:bottom="975" w:left="659" w:header="0" w:footer="3" w:gutter="0"/>
          <w:cols w:num="2" w:space="100"/>
          <w:noEndnote/>
          <w:docGrid w:linePitch="360"/>
        </w:sectPr>
      </w:pPr>
      <w:r>
        <w:rPr>
          <w:b/>
          <w:bCs/>
          <w:sz w:val="14"/>
          <w:szCs w:val="14"/>
        </w:rPr>
        <w:t xml:space="preserve">Ostatně by to byla nesmyslnost k neodpusstěnj, kdoby </w:t>
      </w:r>
      <w:r>
        <w:rPr>
          <w:b/>
          <w:bCs/>
          <w:sz w:val="16"/>
          <w:szCs w:val="16"/>
        </w:rPr>
        <w:t xml:space="preserve">W </w:t>
      </w:r>
      <w:r>
        <w:rPr>
          <w:b/>
          <w:bCs/>
          <w:sz w:val="14"/>
          <w:szCs w:val="14"/>
        </w:rPr>
        <w:t>tomto způsobu něgaké wzdory wywádět chtěl, a tak</w:t>
      </w:r>
    </w:p>
    <w:p w:rsidR="00500724" w:rsidRDefault="00F30FB8">
      <w:pPr>
        <w:spacing w:line="14" w:lineRule="exact"/>
      </w:pPr>
      <w:r>
        <w:rPr>
          <w:noProof/>
        </w:rPr>
        <mc:AlternateContent>
          <mc:Choice Requires="wps">
            <w:drawing>
              <wp:anchor distT="0" distB="88900" distL="114300" distR="1028700" simplePos="0" relativeHeight="125830020" behindDoc="0" locked="0" layoutInCell="1" allowOverlap="1">
                <wp:simplePos x="0" y="0"/>
                <wp:positionH relativeFrom="page">
                  <wp:posOffset>3018790</wp:posOffset>
                </wp:positionH>
                <wp:positionV relativeFrom="paragraph">
                  <wp:posOffset>12700</wp:posOffset>
                </wp:positionV>
                <wp:extent cx="372110" cy="389890"/>
                <wp:effectExtent l="0" t="0" r="0" b="0"/>
                <wp:wrapTopAndBottom/>
                <wp:docPr id="643" name="Shape 643"/>
                <wp:cNvGraphicFramePr/>
                <a:graphic xmlns:a="http://schemas.openxmlformats.org/drawingml/2006/main">
                  <a:graphicData uri="http://schemas.microsoft.com/office/word/2010/wordprocessingShape">
                    <wps:wsp>
                      <wps:cNvSpPr txBox="1"/>
                      <wps:spPr>
                        <a:xfrm>
                          <a:off x="0" y="0"/>
                          <a:ext cx="372110" cy="389890"/>
                        </a:xfrm>
                        <a:prstGeom prst="rect">
                          <a:avLst/>
                        </a:prstGeom>
                        <a:noFill/>
                      </wps:spPr>
                      <wps:txbx>
                        <w:txbxContent>
                          <w:p w:rsidR="00500724" w:rsidRDefault="00F30FB8">
                            <w:pPr>
                              <w:pStyle w:val="Nadpis90"/>
                              <w:keepNext/>
                              <w:keepLines/>
                              <w:shd w:val="clear" w:color="auto" w:fill="auto"/>
                              <w:spacing w:after="0"/>
                            </w:pPr>
                            <w:bookmarkStart w:id="649" w:name="bookmark648"/>
                            <w:r>
                              <w:rPr>
                                <w:rFonts w:ascii="Times New Roman" w:eastAsia="Times New Roman" w:hAnsi="Times New Roman" w:cs="Times New Roman"/>
                              </w:rPr>
                              <w:t>Pfít</w:t>
                            </w:r>
                            <w:bookmarkEnd w:id="649"/>
                          </w:p>
                        </w:txbxContent>
                      </wps:txbx>
                      <wps:bodyPr lIns="0" tIns="0" rIns="0" bIns="0">
                        <a:spAutoFit/>
                      </wps:bodyPr>
                    </wps:wsp>
                  </a:graphicData>
                </a:graphic>
              </wp:anchor>
            </w:drawing>
          </mc:Choice>
          <mc:Fallback>
            <w:pict>
              <v:shape id="_x0000_s1669" type="#_x0000_t202" style="position:absolute;margin-left:237.69999999999999pt;margin-top:1.pt;width:29.300000000000001pt;height:30.699999999999999pt;z-index:-125828733;mso-wrap-distance-left:9.pt;mso-wrap-distance-right:81.pt;mso-wrap-distance-bottom:7.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648" w:name="bookmark648"/>
                      <w:r>
                        <w:rPr>
                          <w:rFonts w:ascii="Times New Roman" w:eastAsia="Times New Roman" w:hAnsi="Times New Roman" w:cs="Times New Roman"/>
                          <w:color w:val="000000"/>
                          <w:spacing w:val="0"/>
                          <w:w w:val="100"/>
                          <w:position w:val="0"/>
                          <w:shd w:val="clear" w:color="auto" w:fill="auto"/>
                          <w:lang w:val="cs-CZ" w:eastAsia="cs-CZ" w:bidi="cs-CZ"/>
                        </w:rPr>
                        <w:t>Pfít</w:t>
                      </w:r>
                      <w:bookmarkEnd w:id="648"/>
                    </w:p>
                  </w:txbxContent>
                </v:textbox>
                <w10:wrap type="topAndBottom" anchorx="page"/>
              </v:shape>
            </w:pict>
          </mc:Fallback>
        </mc:AlternateContent>
      </w:r>
      <w:r>
        <w:rPr>
          <w:noProof/>
        </w:rPr>
        <mc:AlternateContent>
          <mc:Choice Requires="wps">
            <w:drawing>
              <wp:anchor distT="109855" distB="110490" distL="492125" distR="516890" simplePos="0" relativeHeight="125830022" behindDoc="0" locked="0" layoutInCell="1" allowOverlap="1">
                <wp:simplePos x="0" y="0"/>
                <wp:positionH relativeFrom="page">
                  <wp:posOffset>3396615</wp:posOffset>
                </wp:positionH>
                <wp:positionV relativeFrom="paragraph">
                  <wp:posOffset>122555</wp:posOffset>
                </wp:positionV>
                <wp:extent cx="506095" cy="259080"/>
                <wp:effectExtent l="0" t="0" r="0" b="0"/>
                <wp:wrapTopAndBottom/>
                <wp:docPr id="645" name="Shape 645"/>
                <wp:cNvGraphicFramePr/>
                <a:graphic xmlns:a="http://schemas.openxmlformats.org/drawingml/2006/main">
                  <a:graphicData uri="http://schemas.microsoft.com/office/word/2010/wordprocessingShape">
                    <wps:wsp>
                      <wps:cNvSpPr txBox="1"/>
                      <wps:spPr>
                        <a:xfrm>
                          <a:off x="0" y="0"/>
                          <a:ext cx="506095" cy="259080"/>
                        </a:xfrm>
                        <a:prstGeom prst="rect">
                          <a:avLst/>
                        </a:prstGeom>
                        <a:noFill/>
                      </wps:spPr>
                      <wps:txbx>
                        <w:txbxContent>
                          <w:p w:rsidR="00500724" w:rsidRDefault="00F30FB8">
                            <w:pPr>
                              <w:pStyle w:val="Nadpis100"/>
                              <w:pBdr>
                                <w:top w:val="single" w:sz="0" w:space="0" w:color="000000"/>
                                <w:left w:val="single" w:sz="0" w:space="0" w:color="000000"/>
                                <w:bottom w:val="single" w:sz="0" w:space="0" w:color="000000"/>
                                <w:right w:val="single" w:sz="0" w:space="0" w:color="000000"/>
                              </w:pBdr>
                              <w:shd w:val="clear" w:color="auto" w:fill="000000"/>
                              <w:spacing w:after="0" w:line="240" w:lineRule="auto"/>
                              <w:jc w:val="left"/>
                            </w:pPr>
                            <w:bookmarkStart w:id="650" w:name="bookmark649"/>
                            <w:r>
                              <w:rPr>
                                <w:rFonts w:ascii="Arial" w:eastAsia="Arial" w:hAnsi="Arial" w:cs="Arial"/>
                                <w:color w:val="FFFFFF"/>
                              </w:rPr>
                              <w:t>•jíme</w:t>
                            </w:r>
                            <w:bookmarkEnd w:id="650"/>
                          </w:p>
                        </w:txbxContent>
                      </wps:txbx>
                      <wps:bodyPr lIns="0" tIns="0" rIns="0" bIns="0">
                        <a:spAutoFit/>
                      </wps:bodyPr>
                    </wps:wsp>
                  </a:graphicData>
                </a:graphic>
              </wp:anchor>
            </w:drawing>
          </mc:Choice>
          <mc:Fallback>
            <w:pict>
              <v:shape id="_x0000_s1671" type="#_x0000_t202" style="position:absolute;margin-left:267.44999999999999pt;margin-top:9.6500000000000004pt;width:39.850000000000001pt;height:20.399999999999999pt;z-index:-125828731;mso-wrap-distance-left:38.75pt;mso-wrap-distance-top:8.6500000000000004pt;mso-wrap-distance-right:40.700000000000003pt;mso-wrap-distance-bottom:8.6999999999999993pt;mso-position-horizontal-relative:page" filled="f" stroked="f">
                <v:textbox style="mso-fit-shape-to-text:t" inset="0,0,0,0">
                  <w:txbxContent>
                    <w:p>
                      <w:pPr>
                        <w:pStyle w:val="Style2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649" w:name="bookmark649"/>
                      <w:r>
                        <w:rPr>
                          <w:rFonts w:ascii="Arial" w:eastAsia="Arial" w:hAnsi="Arial" w:cs="Arial"/>
                          <w:color w:val="FFFFFF"/>
                          <w:spacing w:val="0"/>
                          <w:w w:val="100"/>
                          <w:position w:val="0"/>
                          <w:shd w:val="clear" w:color="auto" w:fill="auto"/>
                          <w:lang w:val="cs-CZ" w:eastAsia="cs-CZ" w:bidi="cs-CZ"/>
                        </w:rPr>
                        <w:t>•jíme</w:t>
                      </w:r>
                      <w:bookmarkEnd w:id="649"/>
                    </w:p>
                  </w:txbxContent>
                </v:textbox>
                <w10:wrap type="topAndBottom" anchorx="page"/>
              </v:shape>
            </w:pict>
          </mc:Fallback>
        </mc:AlternateContent>
      </w:r>
      <w:r>
        <w:rPr>
          <w:noProof/>
        </w:rPr>
        <mc:AlternateContent>
          <mc:Choice Requires="wps">
            <w:drawing>
              <wp:anchor distT="73025" distB="88900" distL="1004570" distR="114300" simplePos="0" relativeHeight="125830024" behindDoc="0" locked="0" layoutInCell="1" allowOverlap="1">
                <wp:simplePos x="0" y="0"/>
                <wp:positionH relativeFrom="page">
                  <wp:posOffset>3908425</wp:posOffset>
                </wp:positionH>
                <wp:positionV relativeFrom="paragraph">
                  <wp:posOffset>85725</wp:posOffset>
                </wp:positionV>
                <wp:extent cx="396240" cy="316865"/>
                <wp:effectExtent l="0" t="0" r="0" b="0"/>
                <wp:wrapTopAndBottom/>
                <wp:docPr id="647" name="Shape 647"/>
                <wp:cNvGraphicFramePr/>
                <a:graphic xmlns:a="http://schemas.openxmlformats.org/drawingml/2006/main">
                  <a:graphicData uri="http://schemas.microsoft.com/office/word/2010/wordprocessingShape">
                    <wps:wsp>
                      <wps:cNvSpPr txBox="1"/>
                      <wps:spPr>
                        <a:xfrm>
                          <a:off x="0" y="0"/>
                          <a:ext cx="396240" cy="316865"/>
                        </a:xfrm>
                        <a:prstGeom prst="rect">
                          <a:avLst/>
                        </a:prstGeom>
                        <a:noFill/>
                      </wps:spPr>
                      <wps:txbx>
                        <w:txbxContent>
                          <w:p w:rsidR="00500724" w:rsidRDefault="00F30FB8">
                            <w:pPr>
                              <w:pStyle w:val="Nadpis90"/>
                              <w:keepNext/>
                              <w:keepLines/>
                              <w:shd w:val="clear" w:color="auto" w:fill="auto"/>
                              <w:spacing w:after="0"/>
                            </w:pPr>
                            <w:bookmarkStart w:id="651" w:name="bookmark650"/>
                            <w:r>
                              <w:rPr>
                                <w:rFonts w:ascii="Times New Roman" w:eastAsia="Times New Roman" w:hAnsi="Times New Roman" w:cs="Times New Roman"/>
                              </w:rPr>
                              <w:t>st&gt;</w:t>
                            </w:r>
                            <w:bookmarkEnd w:id="651"/>
                          </w:p>
                        </w:txbxContent>
                      </wps:txbx>
                      <wps:bodyPr lIns="0" tIns="0" rIns="0" bIns="0">
                        <a:spAutoFit/>
                      </wps:bodyPr>
                    </wps:wsp>
                  </a:graphicData>
                </a:graphic>
              </wp:anchor>
            </w:drawing>
          </mc:Choice>
          <mc:Fallback>
            <w:pict>
              <v:shape id="_x0000_s1673" type="#_x0000_t202" style="position:absolute;margin-left:307.75pt;margin-top:6.75pt;width:31.199999999999999pt;height:24.949999999999999pt;z-index:-125828729;mso-wrap-distance-left:79.099999999999994pt;mso-wrap-distance-top:5.75pt;mso-wrap-distance-right:9.pt;mso-wrap-distance-bottom:7.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650" w:name="bookmark650"/>
                      <w:r>
                        <w:rPr>
                          <w:rFonts w:ascii="Times New Roman" w:eastAsia="Times New Roman" w:hAnsi="Times New Roman" w:cs="Times New Roman"/>
                          <w:color w:val="000000"/>
                          <w:spacing w:val="0"/>
                          <w:w w:val="100"/>
                          <w:position w:val="0"/>
                          <w:shd w:val="clear" w:color="auto" w:fill="auto"/>
                          <w:lang w:val="cs-CZ" w:eastAsia="cs-CZ" w:bidi="cs-CZ"/>
                        </w:rPr>
                        <w:t>st&gt;</w:t>
                      </w:r>
                      <w:bookmarkEnd w:id="650"/>
                    </w:p>
                  </w:txbxContent>
                </v:textbox>
                <w10:wrap type="topAndBottom" anchorx="page"/>
              </v:shape>
            </w:pict>
          </mc:Fallback>
        </mc:AlternateContent>
      </w:r>
    </w:p>
    <w:p w:rsidR="00500724" w:rsidRDefault="00F30FB8">
      <w:pPr>
        <w:pStyle w:val="Zkladntext40"/>
        <w:shd w:val="clear" w:color="auto" w:fill="auto"/>
        <w:spacing w:after="0" w:line="286" w:lineRule="auto"/>
        <w:rPr>
          <w:sz w:val="14"/>
          <w:szCs w:val="14"/>
        </w:rPr>
      </w:pPr>
      <w:r>
        <w:rPr>
          <w:b/>
          <w:bCs/>
          <w:sz w:val="14"/>
          <w:szCs w:val="14"/>
        </w:rPr>
        <w:t xml:space="preserve">negen sebe, nýbrž snad i </w:t>
      </w:r>
      <w:r>
        <w:rPr>
          <w:b/>
          <w:bCs/>
          <w:sz w:val="14"/>
          <w:szCs w:val="14"/>
        </w:rPr>
        <w:t>Prahu do nesstěstj uwrhnouť chtěl. Že by mnohým něco takowého bylo wjtáno, snad</w:t>
      </w:r>
      <w:r>
        <w:rPr>
          <w:b/>
          <w:bCs/>
          <w:sz w:val="14"/>
          <w:szCs w:val="14"/>
        </w:rPr>
        <w:softHyphen/>
        <w:t>no se dá pomysliti, a proto se máme wssemožně přičinit, abychom gim takowouto bohaprázdnou radost překazili.</w:t>
      </w:r>
    </w:p>
    <w:p w:rsidR="00500724" w:rsidRDefault="00F30FB8">
      <w:pPr>
        <w:pStyle w:val="Zkladntext40"/>
        <w:shd w:val="clear" w:color="auto" w:fill="auto"/>
        <w:spacing w:after="0" w:line="286" w:lineRule="auto"/>
        <w:jc w:val="center"/>
        <w:rPr>
          <w:sz w:val="14"/>
          <w:szCs w:val="14"/>
        </w:rPr>
      </w:pPr>
      <w:r>
        <w:rPr>
          <w:b/>
          <w:bCs/>
          <w:sz w:val="14"/>
          <w:szCs w:val="14"/>
        </w:rPr>
        <w:t>•</w:t>
      </w:r>
    </w:p>
    <w:p w:rsidR="00500724" w:rsidRDefault="00F30FB8">
      <w:pPr>
        <w:pStyle w:val="Zkladntext40"/>
        <w:shd w:val="clear" w:color="auto" w:fill="auto"/>
        <w:spacing w:after="0" w:line="286" w:lineRule="auto"/>
        <w:ind w:firstLine="220"/>
        <w:rPr>
          <w:sz w:val="14"/>
          <w:szCs w:val="14"/>
        </w:rPr>
      </w:pPr>
      <w:r>
        <w:rPr>
          <w:b/>
          <w:bCs/>
          <w:sz w:val="14"/>
          <w:szCs w:val="14"/>
        </w:rPr>
        <w:t>Z Presburku, 18. ledna. We Wjdni nenj odsuzowánj od wogenského so</w:t>
      </w:r>
      <w:r>
        <w:rPr>
          <w:b/>
          <w:bCs/>
          <w:sz w:val="14"/>
          <w:szCs w:val="14"/>
        </w:rPr>
        <w:t xml:space="preserve">udu gesstě u konce, a w Uhřjch giž se wssj ostrostj začjná. Dnes byl zde prwuj odsouzenec na hrdle trestán — totiž Daniel </w:t>
      </w:r>
      <w:r>
        <w:rPr>
          <w:b/>
          <w:bCs/>
          <w:sz w:val="14"/>
          <w:szCs w:val="14"/>
          <w:lang w:val="en-US" w:eastAsia="en-US" w:bidi="en-US"/>
        </w:rPr>
        <w:t xml:space="preserve">Kristian Dressier, </w:t>
      </w:r>
      <w:r>
        <w:rPr>
          <w:b/>
          <w:bCs/>
          <w:sz w:val="14"/>
          <w:szCs w:val="14"/>
        </w:rPr>
        <w:t xml:space="preserve">na- powěda v Presburckém diwadle, kterýžto od náhlého soudu odsouzen byl k smrti prowazem, protože bouřliwě mluvil </w:t>
      </w:r>
      <w:r>
        <w:rPr>
          <w:b/>
          <w:bCs/>
          <w:sz w:val="14"/>
          <w:szCs w:val="14"/>
        </w:rPr>
        <w:t>o rodu cjsařském a proti wládě pobuřowal. Ortel byl ale zmjrněn, tak sice, že mjsto oběssenj byl zastřelen.</w:t>
      </w:r>
    </w:p>
    <w:p w:rsidR="00500724" w:rsidRDefault="00F30FB8">
      <w:pPr>
        <w:pStyle w:val="Zkladntext40"/>
        <w:shd w:val="clear" w:color="auto" w:fill="auto"/>
        <w:spacing w:after="0" w:line="286" w:lineRule="auto"/>
        <w:jc w:val="center"/>
        <w:rPr>
          <w:sz w:val="14"/>
          <w:szCs w:val="14"/>
        </w:rPr>
      </w:pPr>
      <w:r>
        <w:rPr>
          <w:b/>
          <w:bCs/>
          <w:sz w:val="14"/>
          <w:szCs w:val="14"/>
        </w:rPr>
        <w:t>•</w:t>
      </w:r>
    </w:p>
    <w:p w:rsidR="00500724" w:rsidRDefault="00F30FB8">
      <w:pPr>
        <w:pStyle w:val="Zkladntext40"/>
        <w:shd w:val="clear" w:color="auto" w:fill="auto"/>
        <w:tabs>
          <w:tab w:val="left" w:pos="4373"/>
        </w:tabs>
        <w:spacing w:after="0" w:line="286" w:lineRule="auto"/>
        <w:ind w:firstLine="220"/>
        <w:rPr>
          <w:sz w:val="14"/>
          <w:szCs w:val="14"/>
        </w:rPr>
      </w:pPr>
      <w:r>
        <w:rPr>
          <w:b/>
          <w:bCs/>
          <w:sz w:val="14"/>
          <w:szCs w:val="14"/>
        </w:rPr>
        <w:t>Z Pessti, 19. ledna. (Z dopisu přátel.) Gag gsem přissel sem, bylo mé prwnj, wyhledati nasseho J. Kolára, o kte</w:t>
      </w:r>
      <w:r>
        <w:rPr>
          <w:b/>
          <w:bCs/>
          <w:sz w:val="14"/>
          <w:szCs w:val="14"/>
        </w:rPr>
        <w:softHyphen/>
        <w:t>rém gsme se po dlouhý čas ničeho n</w:t>
      </w:r>
      <w:r>
        <w:rPr>
          <w:b/>
          <w:bCs/>
          <w:sz w:val="14"/>
          <w:szCs w:val="14"/>
        </w:rPr>
        <w:t>edowjdali, a o gehož žiwot gsme se gižgiž obáwali. Posstěstilo se mi, setkati se s gistým Slowákem, který mě k němu dowedl. Shledal gsem Kolára gesstě tuze skíjčeného, i nechtěl ani wěřiti, že gest giž oswobozen. Nassel gsem zde mnoho známýe • Slowáků nass</w:t>
      </w:r>
      <w:r>
        <w:rPr>
          <w:b/>
          <w:bCs/>
          <w:sz w:val="14"/>
          <w:szCs w:val="14"/>
        </w:rPr>
        <w:t>m přjsstjm oswobozených, gakož i mnoho Chorvátů od Maďarů zde před tjm w zagetj držaných. Byli wssickni tuze přepadlý a mnohých mysl byla gesstě černými mrákotami obestřena. Nenj diwu také, když wjme, co zkusili; Maďaři negen že ge wězenjm mučili, ale wyna</w:t>
      </w:r>
      <w:r>
        <w:rPr>
          <w:b/>
          <w:bCs/>
          <w:sz w:val="14"/>
          <w:szCs w:val="14"/>
        </w:rPr>
        <w:t>lezali i giných muk; zagaté wywáděli několi</w:t>
      </w:r>
      <w:r>
        <w:rPr>
          <w:b/>
          <w:bCs/>
          <w:sz w:val="14"/>
          <w:szCs w:val="14"/>
        </w:rPr>
        <w:softHyphen/>
        <w:t xml:space="preserve">krát pod ssibenice, gestli ge neoběsili. O Prudkowi gsme myslili, že giž dáwno zahynul w rukou maďarských anebo se utrápil někde we vězený. Maďaři geg přiwlejdi z Leopoldowa do Pesstě, kde také s ginými w zagetý </w:t>
      </w:r>
      <w:r>
        <w:rPr>
          <w:b/>
          <w:bCs/>
          <w:sz w:val="14"/>
          <w:szCs w:val="14"/>
        </w:rPr>
        <w:t>držán byl, až geg nenadále obsazený Buda-Pesstě na swobodu přiwedlo. Maďaři kladli welkou wáhu na něho, co geg byl Morawský guwernér Lažanský na nich žádal; i chtěli na wýměnu za něho M. Hurbana. Jelačič-bán dal mu penýze na cestu do Wýdně.</w:t>
      </w:r>
      <w:r>
        <w:rPr>
          <w:b/>
          <w:bCs/>
          <w:sz w:val="14"/>
          <w:szCs w:val="14"/>
        </w:rPr>
        <w:tab/>
        <w:t>(N. N.)</w:t>
      </w:r>
    </w:p>
    <w:p w:rsidR="00500724" w:rsidRDefault="00F30FB8">
      <w:pPr>
        <w:pStyle w:val="Jin0"/>
        <w:shd w:val="clear" w:color="auto" w:fill="auto"/>
        <w:ind w:firstLine="0"/>
        <w:jc w:val="center"/>
        <w:rPr>
          <w:sz w:val="16"/>
          <w:szCs w:val="16"/>
        </w:rPr>
      </w:pPr>
      <w:r>
        <w:rPr>
          <w:rFonts w:ascii="Arial" w:eastAsia="Arial" w:hAnsi="Arial" w:cs="Arial"/>
          <w:sz w:val="16"/>
          <w:szCs w:val="16"/>
        </w:rPr>
        <w:t>©</w:t>
      </w:r>
    </w:p>
    <w:p w:rsidR="00500724" w:rsidRDefault="00F30FB8">
      <w:pPr>
        <w:pStyle w:val="Zkladntext40"/>
        <w:shd w:val="clear" w:color="auto" w:fill="auto"/>
        <w:spacing w:after="0" w:line="283" w:lineRule="auto"/>
        <w:ind w:firstLine="220"/>
        <w:rPr>
          <w:sz w:val="14"/>
          <w:szCs w:val="14"/>
        </w:rPr>
      </w:pPr>
      <w:r>
        <w:rPr>
          <w:b/>
          <w:bCs/>
          <w:sz w:val="14"/>
          <w:szCs w:val="14"/>
        </w:rPr>
        <w:t xml:space="preserve">Ze </w:t>
      </w:r>
      <w:r>
        <w:rPr>
          <w:b/>
          <w:bCs/>
          <w:sz w:val="14"/>
          <w:szCs w:val="14"/>
        </w:rPr>
        <w:t>Sedmihradska. Dle zpráw od 6. ledna gsou Sedmi</w:t>
      </w:r>
      <w:r>
        <w:rPr>
          <w:b/>
          <w:bCs/>
          <w:sz w:val="14"/>
          <w:szCs w:val="14"/>
        </w:rPr>
        <w:softHyphen/>
        <w:t xml:space="preserve">hradské hranice obsazeny od Ruského wogska, a sice od Kozáků, od mysliwců, od pěchoty, od gizdy a dělostřel- stva. Nepochybně také snad giž budeme slysset, že Ruské wogsko hranice přegde, a k narownáný wěcý w </w:t>
      </w:r>
      <w:r>
        <w:rPr>
          <w:b/>
          <w:bCs/>
          <w:sz w:val="14"/>
          <w:szCs w:val="14"/>
        </w:rPr>
        <w:t>Rakousku zakročý, a postawý se snad taky w čelo pokroku — do starých časů.</w:t>
      </w:r>
    </w:p>
    <w:p w:rsidR="00500724" w:rsidRDefault="00F30FB8">
      <w:pPr>
        <w:pStyle w:val="Zkladntext40"/>
        <w:shd w:val="clear" w:color="auto" w:fill="auto"/>
        <w:spacing w:after="0" w:line="283" w:lineRule="auto"/>
        <w:jc w:val="center"/>
        <w:rPr>
          <w:sz w:val="14"/>
          <w:szCs w:val="14"/>
        </w:rPr>
      </w:pPr>
      <w:r>
        <w:rPr>
          <w:b/>
          <w:bCs/>
          <w:sz w:val="14"/>
          <w:szCs w:val="14"/>
        </w:rPr>
        <w:t>•</w:t>
      </w:r>
    </w:p>
    <w:p w:rsidR="00500724" w:rsidRDefault="00F30FB8">
      <w:pPr>
        <w:pStyle w:val="Zkladntext40"/>
        <w:shd w:val="clear" w:color="auto" w:fill="auto"/>
        <w:spacing w:after="0" w:line="283" w:lineRule="auto"/>
        <w:ind w:firstLine="220"/>
        <w:rPr>
          <w:sz w:val="14"/>
          <w:szCs w:val="14"/>
        </w:rPr>
      </w:pPr>
      <w:r>
        <w:rPr>
          <w:b/>
          <w:bCs/>
          <w:sz w:val="14"/>
          <w:szCs w:val="14"/>
        </w:rPr>
        <w:t>Z Madridu. 19. ledna. Duch času otřásá trůny ewrop- skými a bořý staré řády panownýků — zbouřený a wálka také v králowstwý sspanělském pozdwihuge krwawou hlawu swou: králowna sspa</w:t>
      </w:r>
      <w:r>
        <w:rPr>
          <w:b/>
          <w:bCs/>
          <w:sz w:val="14"/>
          <w:szCs w:val="14"/>
        </w:rPr>
        <w:t>nělská ge proto wssecko ale weselé mysli, a neustále si gen hledý rozkossý a radowá- nek. Nený skoro ani gedinký týden, w kterémby králow</w:t>
      </w:r>
      <w:r>
        <w:rPr>
          <w:b/>
          <w:bCs/>
          <w:sz w:val="14"/>
          <w:szCs w:val="14"/>
        </w:rPr>
        <w:softHyphen/>
        <w:t xml:space="preserve">na </w:t>
      </w:r>
      <w:r>
        <w:rPr>
          <w:b/>
          <w:bCs/>
          <w:sz w:val="14"/>
          <w:szCs w:val="14"/>
          <w:lang w:val="en-US" w:eastAsia="en-US" w:bidi="en-US"/>
        </w:rPr>
        <w:t xml:space="preserve">Izabella </w:t>
      </w:r>
      <w:r>
        <w:rPr>
          <w:b/>
          <w:bCs/>
          <w:sz w:val="14"/>
          <w:szCs w:val="14"/>
        </w:rPr>
        <w:t xml:space="preserve">buď nedala koncert nebo bál; také si giž zwlásstný diwadlo w zámku swém wystawět dala, aby i toto uměný u </w:t>
      </w:r>
      <w:r>
        <w:rPr>
          <w:b/>
          <w:bCs/>
          <w:sz w:val="14"/>
          <w:szCs w:val="14"/>
        </w:rPr>
        <w:t>ný bylo pěstowáno. We společnostech k sobě sezwaných bawý se obzwlásstně s mladými ka- walýry welmi nenuceně a nepánowitě, a gen to gi mrzi- wá, když některý z těch mladých pánů, s kterým se neylépe wyrážý, od ministrů rozkaz dostane, že wýce ncsmý ke dwor</w:t>
      </w:r>
      <w:r>
        <w:rPr>
          <w:b/>
          <w:bCs/>
          <w:sz w:val="14"/>
          <w:szCs w:val="14"/>
        </w:rPr>
        <w:t>u.</w:t>
      </w:r>
    </w:p>
    <w:p w:rsidR="00500724" w:rsidRDefault="00F30FB8">
      <w:pPr>
        <w:pStyle w:val="Zkladntext40"/>
        <w:shd w:val="clear" w:color="auto" w:fill="auto"/>
        <w:spacing w:after="0" w:line="283" w:lineRule="auto"/>
        <w:jc w:val="center"/>
        <w:rPr>
          <w:sz w:val="14"/>
          <w:szCs w:val="14"/>
        </w:rPr>
      </w:pPr>
      <w:r>
        <w:rPr>
          <w:b/>
          <w:bCs/>
          <w:sz w:val="14"/>
          <w:szCs w:val="14"/>
        </w:rPr>
        <w:t>•</w:t>
      </w:r>
    </w:p>
    <w:p w:rsidR="00500724" w:rsidRDefault="00F30FB8">
      <w:pPr>
        <w:pStyle w:val="Zkladntext40"/>
        <w:shd w:val="clear" w:color="auto" w:fill="auto"/>
        <w:spacing w:after="0" w:line="302" w:lineRule="auto"/>
        <w:ind w:firstLine="220"/>
        <w:rPr>
          <w:sz w:val="20"/>
          <w:szCs w:val="20"/>
        </w:rPr>
      </w:pPr>
      <w:r>
        <w:rPr>
          <w:b/>
          <w:bCs/>
          <w:sz w:val="14"/>
          <w:szCs w:val="14"/>
        </w:rPr>
        <w:t xml:space="preserve">Nowiny </w:t>
      </w:r>
      <w:r>
        <w:rPr>
          <w:b/>
          <w:bCs/>
          <w:sz w:val="14"/>
          <w:szCs w:val="14"/>
          <w:lang w:val="en-US" w:eastAsia="en-US" w:bidi="en-US"/>
        </w:rPr>
        <w:t xml:space="preserve">Patrie, </w:t>
      </w:r>
      <w:r>
        <w:rPr>
          <w:b/>
          <w:bCs/>
          <w:sz w:val="14"/>
          <w:szCs w:val="14"/>
        </w:rPr>
        <w:t>kteréžto gsou poloúředný, podaly dlou</w:t>
      </w:r>
      <w:r>
        <w:rPr>
          <w:b/>
          <w:bCs/>
          <w:sz w:val="14"/>
          <w:szCs w:val="14"/>
        </w:rPr>
        <w:softHyphen/>
        <w:t>hý článek o Italských záležitostech. Mezi giným pra- wěgý: Činý se welké namáháný, aby to skutečně přisslo k ponawrženému sgezdu w Bruselu za přýčinou narow- náný wěcý Italských. — Portugalsko a Špa</w:t>
      </w:r>
      <w:r>
        <w:rPr>
          <w:b/>
          <w:bCs/>
          <w:sz w:val="14"/>
          <w:szCs w:val="14"/>
        </w:rPr>
        <w:t xml:space="preserve">nělsko po- skytugou penýze, aby papeži do Rýma dopomohly opět we staw předesslý; Rusko a Neapolsko we zbrogý; tuf tedy Francouzsko nemůže zůstat nečinným, a to giž také proto, že Rakousko se také w Itálii wýc sesiluge. Obsadý tedy Civituvecchii. Gestli by </w:t>
      </w:r>
      <w:r>
        <w:rPr>
          <w:b/>
          <w:bCs/>
          <w:sz w:val="14"/>
          <w:szCs w:val="14"/>
        </w:rPr>
        <w:t xml:space="preserve">Radecký, čemužby se snadno zabránit nedalo, do Rýma na pochod se dal, musý být Francouzské wogsko pohotowě, aby Chambery, </w:t>
      </w:r>
      <w:r>
        <w:rPr>
          <w:rFonts w:ascii="Arial" w:eastAsia="Arial" w:hAnsi="Arial" w:cs="Arial"/>
          <w:i/>
          <w:iCs/>
          <w:sz w:val="20"/>
          <w:szCs w:val="20"/>
        </w:rPr>
        <w:t>Í9&amp;</w:t>
      </w:r>
    </w:p>
    <w:p w:rsidR="00500724" w:rsidRDefault="00F30FB8">
      <w:pPr>
        <w:pStyle w:val="Zkladntext40"/>
        <w:shd w:val="clear" w:color="auto" w:fill="auto"/>
        <w:spacing w:after="0" w:line="286" w:lineRule="auto"/>
        <w:rPr>
          <w:sz w:val="14"/>
          <w:szCs w:val="14"/>
        </w:rPr>
      </w:pPr>
      <w:r>
        <w:rPr>
          <w:b/>
          <w:bCs/>
          <w:sz w:val="14"/>
          <w:szCs w:val="14"/>
        </w:rPr>
        <w:t xml:space="preserve">’Janow a Nizzu obsadilo, a tak žádalo, aby Rakouské wogsko se nawrátilo, kdyby to učinit nechtělo, byla by wálka hotowa. Myslý se </w:t>
      </w:r>
      <w:r>
        <w:rPr>
          <w:b/>
          <w:bCs/>
          <w:sz w:val="14"/>
          <w:szCs w:val="14"/>
        </w:rPr>
        <w:t>ale, že by to sotwa až tak da</w:t>
      </w:r>
      <w:r>
        <w:rPr>
          <w:b/>
          <w:bCs/>
          <w:sz w:val="14"/>
          <w:szCs w:val="14"/>
        </w:rPr>
        <w:softHyphen/>
        <w:t>leko přisslo. — Ostatně kdyby Francouzské wogsko do Itálie wtrhlo, učinilo by totéž nepochybně také Ruské wogsko —- proti Francouzsku.</w:t>
      </w:r>
    </w:p>
    <w:p w:rsidR="00500724" w:rsidRDefault="00F30FB8">
      <w:pPr>
        <w:pStyle w:val="Zkladntext40"/>
        <w:shd w:val="clear" w:color="auto" w:fill="auto"/>
        <w:spacing w:after="0" w:line="286" w:lineRule="auto"/>
        <w:jc w:val="center"/>
        <w:rPr>
          <w:sz w:val="14"/>
          <w:szCs w:val="14"/>
        </w:rPr>
      </w:pPr>
      <w:r>
        <w:rPr>
          <w:b/>
          <w:bCs/>
          <w:sz w:val="14"/>
          <w:szCs w:val="14"/>
        </w:rPr>
        <w:t>•</w:t>
      </w:r>
    </w:p>
    <w:p w:rsidR="00500724" w:rsidRDefault="00F30FB8">
      <w:pPr>
        <w:pStyle w:val="Zkladntext40"/>
        <w:shd w:val="clear" w:color="auto" w:fill="auto"/>
        <w:spacing w:after="0" w:line="286" w:lineRule="auto"/>
        <w:ind w:firstLine="200"/>
        <w:rPr>
          <w:sz w:val="14"/>
          <w:szCs w:val="14"/>
        </w:rPr>
      </w:pPr>
      <w:r>
        <w:rPr>
          <w:b/>
          <w:bCs/>
          <w:sz w:val="14"/>
          <w:szCs w:val="14"/>
        </w:rPr>
        <w:t>Z mnoha stran se po Praze ozýwá přáný, aby Mikow- cowa činohra: &gt;Wáclaw III., aneb: Záhub</w:t>
      </w:r>
      <w:r>
        <w:rPr>
          <w:b/>
          <w:bCs/>
          <w:sz w:val="14"/>
          <w:szCs w:val="14"/>
        </w:rPr>
        <w:t>a rodu Pře- myslowského* zase gednou dáwána byla, anaf, gak zná</w:t>
      </w:r>
      <w:r>
        <w:rPr>
          <w:b/>
          <w:bCs/>
          <w:sz w:val="14"/>
          <w:szCs w:val="14"/>
        </w:rPr>
        <w:softHyphen/>
        <w:t>mo, sobě w obecenstwu welkou oblibu při swém prwným i druhém prowozowáný w předesslém roce zýskala, a že látka toho kusu nassemu času ouplně přiměřena gest, ale za staré wlády pod bičýkem cens</w:t>
      </w:r>
      <w:r>
        <w:rPr>
          <w:b/>
          <w:bCs/>
          <w:sz w:val="14"/>
          <w:szCs w:val="14"/>
        </w:rPr>
        <w:t xml:space="preserve">ury psána, potřebu- ge, by sem a tam nějaký žiwý blesk do ný wíožen byl, což se nyný snadno státi může, </w:t>
      </w:r>
      <w:r>
        <w:rPr>
          <w:b/>
          <w:bCs/>
          <w:sz w:val="14"/>
          <w:szCs w:val="14"/>
          <w:lang w:val="en-US" w:eastAsia="en-US" w:bidi="en-US"/>
        </w:rPr>
        <w:t xml:space="preserve">an </w:t>
      </w:r>
      <w:r>
        <w:rPr>
          <w:b/>
          <w:bCs/>
          <w:sz w:val="14"/>
          <w:szCs w:val="14"/>
        </w:rPr>
        <w:t>pan Mikowec práwě mezi námi messká, když by geg pan Hofman, ředitel diwadla, o to požádal, čýmž by se Českému obecenstvu zagisté nemálo zawděčil.</w:t>
      </w:r>
    </w:p>
    <w:p w:rsidR="00500724" w:rsidRDefault="00F30FB8">
      <w:pPr>
        <w:pStyle w:val="Zkladntext40"/>
        <w:shd w:val="clear" w:color="auto" w:fill="auto"/>
        <w:spacing w:after="0" w:line="240" w:lineRule="auto"/>
        <w:jc w:val="center"/>
        <w:rPr>
          <w:sz w:val="14"/>
          <w:szCs w:val="14"/>
        </w:rPr>
      </w:pPr>
      <w:r>
        <w:rPr>
          <w:b/>
          <w:bCs/>
          <w:sz w:val="14"/>
          <w:szCs w:val="14"/>
        </w:rPr>
        <w:t>•</w:t>
      </w:r>
    </w:p>
    <w:p w:rsidR="00500724" w:rsidRDefault="00F30FB8">
      <w:pPr>
        <w:pStyle w:val="Zkladntext40"/>
        <w:numPr>
          <w:ilvl w:val="0"/>
          <w:numId w:val="73"/>
        </w:numPr>
        <w:shd w:val="clear" w:color="auto" w:fill="auto"/>
        <w:tabs>
          <w:tab w:val="left" w:pos="510"/>
        </w:tabs>
        <w:spacing w:after="0" w:line="286" w:lineRule="auto"/>
        <w:ind w:firstLine="200"/>
        <w:rPr>
          <w:sz w:val="14"/>
          <w:szCs w:val="14"/>
        </w:rPr>
      </w:pPr>
      <w:r>
        <w:rPr>
          <w:b/>
          <w:bCs/>
          <w:sz w:val="14"/>
          <w:szCs w:val="14"/>
        </w:rPr>
        <w:t>Ž</w:t>
      </w:r>
      <w:r>
        <w:rPr>
          <w:b/>
          <w:bCs/>
          <w:sz w:val="14"/>
          <w:szCs w:val="14"/>
        </w:rPr>
        <w:t>e těžký gest přýstup do Ruska a že přýsný zákaz někoho bez zwlásstnýho powolený tam přes hranice pustit, o tom gsme giž w těchto listech zmýnku učinili. Tyto dni gsme práwě slyssely od osoby, kterážto za nutnou potřebou do Ruska odebrat se chtěla, že na sn</w:t>
      </w:r>
      <w:r>
        <w:rPr>
          <w:b/>
          <w:bCs/>
          <w:sz w:val="14"/>
          <w:szCs w:val="14"/>
        </w:rPr>
        <w:t>až</w:t>
      </w:r>
      <w:r>
        <w:rPr>
          <w:b/>
          <w:bCs/>
          <w:sz w:val="14"/>
          <w:szCs w:val="14"/>
        </w:rPr>
        <w:softHyphen/>
        <w:t>né gegý dožadowáný dostala konečně za odpověď: &gt;A kdyby na gedné straně seděl sám cýsař Rakouský a na druhé straně sám král Pruský, a měli od samého papeže podepsáno, že do Ruska musegý, nepustýme ge tam.&lt;</w:t>
      </w:r>
    </w:p>
    <w:p w:rsidR="00500724" w:rsidRDefault="00F30FB8">
      <w:pPr>
        <w:pStyle w:val="Zkladntext40"/>
        <w:shd w:val="clear" w:color="auto" w:fill="auto"/>
        <w:spacing w:after="0" w:line="240" w:lineRule="auto"/>
        <w:jc w:val="center"/>
        <w:rPr>
          <w:sz w:val="14"/>
          <w:szCs w:val="14"/>
        </w:rPr>
      </w:pPr>
      <w:r>
        <w:rPr>
          <w:b/>
          <w:bCs/>
          <w:sz w:val="14"/>
          <w:szCs w:val="14"/>
        </w:rPr>
        <w:t>•</w:t>
      </w:r>
    </w:p>
    <w:p w:rsidR="00500724" w:rsidRDefault="00F30FB8">
      <w:pPr>
        <w:pStyle w:val="Zkladntext40"/>
        <w:shd w:val="clear" w:color="auto" w:fill="auto"/>
        <w:spacing w:after="0" w:line="283" w:lineRule="auto"/>
        <w:ind w:firstLine="200"/>
        <w:rPr>
          <w:sz w:val="14"/>
          <w:szCs w:val="14"/>
        </w:rPr>
      </w:pPr>
      <w:r>
        <w:rPr>
          <w:b/>
          <w:bCs/>
          <w:sz w:val="14"/>
          <w:szCs w:val="14"/>
        </w:rPr>
        <w:t xml:space="preserve">Z gistého pramene se dozwýdáme, že gistý </w:t>
      </w:r>
      <w:r>
        <w:rPr>
          <w:b/>
          <w:bCs/>
          <w:sz w:val="14"/>
          <w:szCs w:val="14"/>
        </w:rPr>
        <w:t>mládý spi- sowatel dohotowil Českou truchlohru, kteráž w sobě prý mnoho zagýmavého a zdařilého obsahuge, tiskem na- krátce wygde, a také na Pražském divadle prowozowati se bude, čehož sobě pro nasse České obecenstwo zwlásstě proto přegeme, aby poznalo mlad</w:t>
      </w:r>
      <w:r>
        <w:rPr>
          <w:b/>
          <w:bCs/>
          <w:sz w:val="14"/>
          <w:szCs w:val="14"/>
        </w:rPr>
        <w:t>istwé plody naděgného nowého spisowatele, gehož gmeno pozděgi oznámýme.</w:t>
      </w:r>
    </w:p>
    <w:p w:rsidR="00500724" w:rsidRDefault="00F30FB8">
      <w:pPr>
        <w:pStyle w:val="Zkladntext40"/>
        <w:shd w:val="clear" w:color="auto" w:fill="auto"/>
        <w:spacing w:after="0" w:line="288" w:lineRule="auto"/>
        <w:jc w:val="center"/>
        <w:rPr>
          <w:sz w:val="14"/>
          <w:szCs w:val="14"/>
        </w:rPr>
      </w:pPr>
      <w:r>
        <w:rPr>
          <w:b/>
          <w:bCs/>
          <w:sz w:val="14"/>
          <w:szCs w:val="14"/>
        </w:rPr>
        <w:t>•</w:t>
      </w:r>
    </w:p>
    <w:p w:rsidR="00500724" w:rsidRDefault="00F30FB8">
      <w:pPr>
        <w:pStyle w:val="Zkladntext40"/>
        <w:shd w:val="clear" w:color="auto" w:fill="auto"/>
        <w:spacing w:after="140" w:line="288" w:lineRule="auto"/>
        <w:ind w:firstLine="200"/>
        <w:rPr>
          <w:sz w:val="14"/>
          <w:szCs w:val="14"/>
        </w:rPr>
      </w:pPr>
      <w:r>
        <w:rPr>
          <w:b/>
          <w:bCs/>
          <w:sz w:val="14"/>
          <w:szCs w:val="14"/>
        </w:rPr>
        <w:t>Z Neapole, 15. ledna. Hodnowěmý dopis z Gaety při- nássý zprávu, že papež pozorowán a obklýčen gest kardi</w:t>
      </w:r>
      <w:r>
        <w:rPr>
          <w:b/>
          <w:bCs/>
          <w:sz w:val="14"/>
          <w:szCs w:val="14"/>
        </w:rPr>
        <w:softHyphen/>
        <w:t>nály tak, že mu nený možná bez gegich wědomý nic uči</w:t>
      </w:r>
      <w:r>
        <w:rPr>
          <w:b/>
          <w:bCs/>
          <w:sz w:val="14"/>
          <w:szCs w:val="14"/>
        </w:rPr>
        <w:softHyphen/>
        <w:t>niti. Ge tedy papež dwo</w:t>
      </w:r>
      <w:r>
        <w:rPr>
          <w:b/>
          <w:bCs/>
          <w:sz w:val="14"/>
          <w:szCs w:val="14"/>
        </w:rPr>
        <w:t>gnásobně podrobený, za gedno vyslancům cizých mocnostý a pak straně kněžské, a tak kroky geho negsau nic giného, nežli wýsledek oučinko- wáný těchto stran.</w:t>
      </w:r>
    </w:p>
    <w:p w:rsidR="00500724" w:rsidRDefault="00F30FB8">
      <w:pPr>
        <w:pStyle w:val="Zkladntext40"/>
        <w:shd w:val="clear" w:color="auto" w:fill="auto"/>
        <w:spacing w:after="140" w:line="290" w:lineRule="auto"/>
        <w:ind w:firstLine="200"/>
        <w:rPr>
          <w:sz w:val="14"/>
          <w:szCs w:val="14"/>
        </w:rPr>
      </w:pPr>
      <w:r>
        <w:rPr>
          <w:b/>
          <w:bCs/>
          <w:sz w:val="14"/>
          <w:szCs w:val="14"/>
        </w:rPr>
        <w:t>Z Rýma. Nasse ministerstvo připrawuge wssecky po</w:t>
      </w:r>
      <w:r>
        <w:rPr>
          <w:b/>
          <w:bCs/>
          <w:sz w:val="14"/>
          <w:szCs w:val="14"/>
        </w:rPr>
        <w:softHyphen/>
        <w:t>můcky pro wálku. Sbýrá a zapisuge a sestawuge tolik</w:t>
      </w:r>
      <w:r>
        <w:rPr>
          <w:b/>
          <w:bCs/>
          <w:sz w:val="14"/>
          <w:szCs w:val="14"/>
        </w:rPr>
        <w:t xml:space="preserve"> wogska co gen může.</w:t>
      </w:r>
    </w:p>
    <w:p w:rsidR="00500724" w:rsidRDefault="00F30FB8">
      <w:pPr>
        <w:pStyle w:val="Zkladntext40"/>
        <w:shd w:val="clear" w:color="auto" w:fill="auto"/>
        <w:spacing w:after="0" w:line="286" w:lineRule="auto"/>
        <w:ind w:firstLine="200"/>
        <w:rPr>
          <w:sz w:val="14"/>
          <w:szCs w:val="14"/>
        </w:rPr>
      </w:pPr>
      <w:r>
        <w:rPr>
          <w:b/>
          <w:bCs/>
          <w:sz w:val="14"/>
          <w:szCs w:val="14"/>
        </w:rPr>
        <w:t>W Důsseldorfu (w Německu) drželi tamněgssý ostro- střelci podiwnou parádu, a to na den sw. Šebestiána, kte</w:t>
      </w:r>
      <w:r>
        <w:rPr>
          <w:b/>
          <w:bCs/>
          <w:sz w:val="14"/>
          <w:szCs w:val="14"/>
        </w:rPr>
        <w:softHyphen/>
        <w:t xml:space="preserve">rýžto ge patron gegich; že gegich plukownýk, kupec Kandator, práwě we vězený byl, ssli w parádě okolo wě- zený, a pan plukownýk </w:t>
      </w:r>
      <w:r>
        <w:rPr>
          <w:b/>
          <w:bCs/>
          <w:sz w:val="14"/>
          <w:szCs w:val="14"/>
        </w:rPr>
        <w:t>parádu a poctu slawnou tu při- gal koukaje oknem z wězený.</w:t>
      </w:r>
    </w:p>
    <w:p w:rsidR="00500724" w:rsidRDefault="00F30FB8">
      <w:pPr>
        <w:pStyle w:val="Zkladntext40"/>
        <w:shd w:val="clear" w:color="auto" w:fill="auto"/>
        <w:spacing w:after="0" w:line="240" w:lineRule="auto"/>
        <w:jc w:val="center"/>
        <w:rPr>
          <w:sz w:val="14"/>
          <w:szCs w:val="14"/>
        </w:rPr>
      </w:pPr>
      <w:r>
        <w:rPr>
          <w:b/>
          <w:bCs/>
          <w:sz w:val="14"/>
          <w:szCs w:val="14"/>
        </w:rPr>
        <w:t>©</w:t>
      </w:r>
    </w:p>
    <w:p w:rsidR="00500724" w:rsidRDefault="00F30FB8">
      <w:pPr>
        <w:pStyle w:val="Zkladntext40"/>
        <w:numPr>
          <w:ilvl w:val="0"/>
          <w:numId w:val="73"/>
        </w:numPr>
        <w:shd w:val="clear" w:color="auto" w:fill="auto"/>
        <w:tabs>
          <w:tab w:val="left" w:pos="510"/>
        </w:tabs>
        <w:spacing w:after="160" w:line="286" w:lineRule="auto"/>
        <w:ind w:firstLine="200"/>
        <w:rPr>
          <w:sz w:val="14"/>
          <w:szCs w:val="14"/>
        </w:rPr>
      </w:pPr>
      <w:r>
        <w:rPr>
          <w:b/>
          <w:bCs/>
          <w:sz w:val="14"/>
          <w:szCs w:val="14"/>
        </w:rPr>
        <w:t>Zakročený wogenskou mocý do států řýmských může se s gistotou předpowýdati. Z rozličných wýce méně bez</w:t>
      </w:r>
      <w:r>
        <w:rPr>
          <w:b/>
          <w:bCs/>
          <w:sz w:val="14"/>
          <w:szCs w:val="14"/>
        </w:rPr>
        <w:softHyphen/>
        <w:t>pečných zpráw může se soudit, že se to stane co newidět. Wogenská moc tato bude nepochybně z</w:t>
      </w:r>
      <w:r>
        <w:rPr>
          <w:b/>
          <w:bCs/>
          <w:sz w:val="14"/>
          <w:szCs w:val="14"/>
        </w:rPr>
        <w:t>áležet z Neapoli- tánů, z nagatých Švýcarů, gakož i ze Španělů; wůdcem bude generál Zucchi.</w:t>
      </w:r>
    </w:p>
    <w:p w:rsidR="00500724" w:rsidRDefault="00F30FB8">
      <w:pPr>
        <w:pStyle w:val="Zkladntext40"/>
        <w:shd w:val="clear" w:color="auto" w:fill="auto"/>
        <w:spacing w:after="0" w:line="290" w:lineRule="auto"/>
        <w:ind w:firstLine="200"/>
        <w:rPr>
          <w:sz w:val="14"/>
          <w:szCs w:val="14"/>
        </w:rPr>
      </w:pPr>
      <w:r>
        <w:rPr>
          <w:b/>
          <w:bCs/>
          <w:sz w:val="14"/>
          <w:szCs w:val="14"/>
        </w:rPr>
        <w:t>Z Prahy. Předewčýrem dne 2. gsme se s welkým potě- sseným přeswědčili, že nasse hudebnictwo, nechť by i z rozličných žiwlů sebráno bylo, wždy o sobě oswědčý, že ges</w:t>
      </w:r>
      <w:r>
        <w:rPr>
          <w:b/>
          <w:bCs/>
          <w:sz w:val="14"/>
          <w:szCs w:val="14"/>
        </w:rPr>
        <w:t>t na české zwlásstě hudbě přýznivé půdě wypěsto- wáno.</w:t>
      </w:r>
    </w:p>
    <w:p w:rsidR="00500724" w:rsidRDefault="00F30FB8">
      <w:pPr>
        <w:pStyle w:val="Zkladntext40"/>
        <w:shd w:val="clear" w:color="auto" w:fill="auto"/>
        <w:spacing w:after="0" w:line="290" w:lineRule="auto"/>
        <w:ind w:firstLine="200"/>
        <w:rPr>
          <w:sz w:val="14"/>
          <w:szCs w:val="14"/>
        </w:rPr>
        <w:sectPr w:rsidR="00500724">
          <w:footnotePr>
            <w:numFmt w:val="chicago"/>
            <w:numRestart w:val="eachPage"/>
          </w:footnotePr>
          <w:pgSz w:w="11909" w:h="16834"/>
          <w:pgMar w:top="872" w:right="1068" w:bottom="375" w:left="545" w:header="0" w:footer="3" w:gutter="0"/>
          <w:cols w:num="2" w:space="178"/>
          <w:noEndnote/>
          <w:docGrid w:linePitch="360"/>
        </w:sectPr>
      </w:pPr>
      <w:r>
        <w:rPr>
          <w:b/>
          <w:bCs/>
          <w:sz w:val="14"/>
          <w:szCs w:val="14"/>
        </w:rPr>
        <w:t>Zkousska k občanskému na 13. února ustanowenému plesu, anaž od hudebnýků českých prowozována byla, wypadla nad wsse očekáwáný dobře.</w:t>
      </w:r>
    </w:p>
    <w:p w:rsidR="00500724" w:rsidRDefault="00500724">
      <w:pPr>
        <w:spacing w:before="57" w:after="57" w:line="240" w:lineRule="exact"/>
        <w:rPr>
          <w:sz w:val="19"/>
          <w:szCs w:val="19"/>
        </w:rPr>
      </w:pPr>
    </w:p>
    <w:p w:rsidR="00500724" w:rsidRDefault="00500724">
      <w:pPr>
        <w:spacing w:line="14" w:lineRule="exact"/>
        <w:sectPr w:rsidR="00500724">
          <w:footnotePr>
            <w:numFmt w:val="chicago"/>
            <w:numRestart w:val="eachPage"/>
          </w:footnotePr>
          <w:pgSz w:w="11909" w:h="16834"/>
          <w:pgMar w:top="1357" w:right="0" w:bottom="920" w:left="0" w:header="0" w:footer="3" w:gutter="0"/>
          <w:cols w:space="720"/>
          <w:noEndnote/>
          <w:docGrid w:linePitch="360"/>
        </w:sectPr>
      </w:pPr>
    </w:p>
    <w:p w:rsidR="00500724" w:rsidRDefault="00F30FB8">
      <w:pPr>
        <w:pStyle w:val="Zkladntext40"/>
        <w:shd w:val="clear" w:color="auto" w:fill="auto"/>
        <w:spacing w:after="0" w:line="286" w:lineRule="auto"/>
        <w:ind w:firstLine="220"/>
        <w:rPr>
          <w:sz w:val="14"/>
          <w:szCs w:val="14"/>
        </w:rPr>
      </w:pPr>
      <w:r>
        <w:rPr>
          <w:b/>
          <w:bCs/>
          <w:sz w:val="14"/>
          <w:szCs w:val="14"/>
        </w:rPr>
        <w:t xml:space="preserve">A ačkoliw </w:t>
      </w:r>
      <w:r>
        <w:rPr>
          <w:b/>
          <w:bCs/>
          <w:sz w:val="14"/>
          <w:szCs w:val="14"/>
        </w:rPr>
        <w:t>každému vzdělanci oučel »pro schudlé ro</w:t>
      </w:r>
      <w:r>
        <w:rPr>
          <w:b/>
          <w:bCs/>
          <w:sz w:val="14"/>
          <w:szCs w:val="14"/>
        </w:rPr>
        <w:softHyphen/>
        <w:t>diny řemeslníků* hlouběgi než každá hudba w srdcí zawznjwati musj, znamenali gsme s užasnut jm, že sál na Žofjně, kdež zkousska odbýwána byla, nawdor gegimu krásnému oučelu takořka prázdný byl. Ke cti wogen</w:t>
      </w:r>
      <w:r>
        <w:rPr>
          <w:b/>
          <w:bCs/>
          <w:sz w:val="14"/>
          <w:szCs w:val="14"/>
        </w:rPr>
        <w:softHyphen/>
        <w:t>ského důs</w:t>
      </w:r>
      <w:r>
        <w:rPr>
          <w:b/>
          <w:bCs/>
          <w:sz w:val="14"/>
          <w:szCs w:val="14"/>
        </w:rPr>
        <w:t>tognictwa musjme wyznati, že oficjři zdegssj posádky při swých skromných důchodech lépe tomuto chwalitebnému oučelu porozuměli, na němž oni svou náwsstěvou wjce podjlu wzali, než nasse bohaté občan- stwo, genž ku swé haně skoro naskrz doma zůstalo.</w:t>
      </w:r>
    </w:p>
    <w:p w:rsidR="00500724" w:rsidRDefault="00F30FB8">
      <w:pPr>
        <w:pStyle w:val="Zkladntext40"/>
        <w:shd w:val="clear" w:color="auto" w:fill="auto"/>
        <w:spacing w:after="0" w:line="286" w:lineRule="auto"/>
        <w:ind w:firstLine="220"/>
        <w:rPr>
          <w:sz w:val="14"/>
          <w:szCs w:val="14"/>
        </w:rPr>
      </w:pPr>
      <w:r>
        <w:rPr>
          <w:b/>
          <w:bCs/>
          <w:sz w:val="14"/>
          <w:szCs w:val="14"/>
        </w:rPr>
        <w:t>Nassi b</w:t>
      </w:r>
      <w:r>
        <w:rPr>
          <w:b/>
          <w:bCs/>
          <w:sz w:val="14"/>
          <w:szCs w:val="14"/>
        </w:rPr>
        <w:t>oháči wůbec dáwagj na gewo, že posud nic 0 směru času a geho lidskosti newědj.</w:t>
      </w:r>
    </w:p>
    <w:p w:rsidR="00500724" w:rsidRDefault="00F30FB8">
      <w:pPr>
        <w:pStyle w:val="Zkladntext40"/>
        <w:shd w:val="clear" w:color="auto" w:fill="auto"/>
        <w:spacing w:after="0" w:line="286" w:lineRule="auto"/>
        <w:ind w:firstLine="220"/>
        <w:rPr>
          <w:sz w:val="14"/>
          <w:szCs w:val="14"/>
        </w:rPr>
      </w:pPr>
      <w:r>
        <w:rPr>
          <w:b/>
          <w:bCs/>
          <w:sz w:val="14"/>
          <w:szCs w:val="14"/>
        </w:rPr>
        <w:t>Ti páni snad mysl eg j, že se taková lhostejnost chůd- ssiho obywatelstwa Pražského nedotýká, myslegj snad, Že chudý na wždy we swé staré kolegi w prosebné po</w:t>
      </w:r>
      <w:r>
        <w:rPr>
          <w:b/>
          <w:bCs/>
          <w:sz w:val="14"/>
          <w:szCs w:val="14"/>
        </w:rPr>
        <w:softHyphen/>
        <w:t>koře státi zůstane</w:t>
      </w:r>
      <w:r>
        <w:rPr>
          <w:b/>
          <w:bCs/>
          <w:sz w:val="14"/>
          <w:szCs w:val="14"/>
        </w:rPr>
        <w:t>, že z nj nikdy newykroěj wen: ať sa pánowé ti nemýljl Tato chudina, pakli gi s laskawou outrpnostj wstřjc newegdou, zahřmj gim gednou strass- ným hlasem do těch gegich panských prkených ussj: &gt; Pánowé! i my gsme tu, genž se ze žiwota swého těssiti chceme.</w:t>
      </w:r>
      <w:r>
        <w:rPr>
          <w:b/>
          <w:bCs/>
          <w:sz w:val="14"/>
          <w:szCs w:val="14"/>
        </w:rPr>
        <w:t>*</w:t>
      </w:r>
    </w:p>
    <w:p w:rsidR="00500724" w:rsidRDefault="00F30FB8">
      <w:pPr>
        <w:pStyle w:val="Zkladntext40"/>
        <w:shd w:val="clear" w:color="auto" w:fill="auto"/>
        <w:spacing w:after="0" w:line="286" w:lineRule="auto"/>
        <w:ind w:firstLine="220"/>
        <w:rPr>
          <w:sz w:val="14"/>
          <w:szCs w:val="14"/>
        </w:rPr>
      </w:pPr>
      <w:r>
        <w:rPr>
          <w:b/>
          <w:bCs/>
          <w:sz w:val="14"/>
          <w:szCs w:val="14"/>
        </w:rPr>
        <w:t>Gesstě posud máte, pánowé, prostředek w rukou, gjmž íyto hromy od sebe odwrátiti můžete, a ten gest outrp- nost. Wždyf pak giž welké masy pracugjcjho lidu po Ewropě počínagj swé sjtě k záhubě boháčů, sslechty a welkých swěta pro gegich chladnost a nedbal</w:t>
      </w:r>
      <w:r>
        <w:rPr>
          <w:b/>
          <w:bCs/>
          <w:sz w:val="14"/>
          <w:szCs w:val="14"/>
        </w:rPr>
        <w:t>ost k chu</w:t>
      </w:r>
      <w:r>
        <w:rPr>
          <w:b/>
          <w:bCs/>
          <w:sz w:val="14"/>
          <w:szCs w:val="14"/>
        </w:rPr>
        <w:softHyphen/>
        <w:t>dině rozkládati.</w:t>
      </w:r>
    </w:p>
    <w:p w:rsidR="00500724" w:rsidRDefault="00F30FB8">
      <w:pPr>
        <w:pStyle w:val="Zkladntext40"/>
        <w:shd w:val="clear" w:color="auto" w:fill="auto"/>
        <w:spacing w:after="200" w:line="286" w:lineRule="auto"/>
        <w:ind w:firstLine="220"/>
        <w:rPr>
          <w:sz w:val="14"/>
          <w:szCs w:val="14"/>
        </w:rPr>
      </w:pPr>
      <w:r>
        <w:rPr>
          <w:b/>
          <w:bCs/>
          <w:sz w:val="14"/>
          <w:szCs w:val="14"/>
        </w:rPr>
        <w:t>Clowěčenstwo stogj touto dobou na prahu welkých přewratů, hrozj wůbec swým gjcnem wssechnu blaže</w:t>
      </w:r>
      <w:r>
        <w:rPr>
          <w:b/>
          <w:bCs/>
          <w:sz w:val="14"/>
          <w:szCs w:val="14"/>
        </w:rPr>
        <w:softHyphen/>
        <w:t xml:space="preserve">nost zkamenělých boháčů pohltit, a mezi nimi hroznou Zpoustu způsobiti, pakli nenaklaněgj úpěnliwému wo- lánj lidu ucha swého. Tedy </w:t>
      </w:r>
      <w:r>
        <w:rPr>
          <w:b/>
          <w:bCs/>
          <w:sz w:val="14"/>
          <w:szCs w:val="14"/>
        </w:rPr>
        <w:t xml:space="preserve">spěcheyte, boháči, slze utrpenj s bledých twářj newinně nessfastných chudinců stjrati, pokud k tomu gesstě čas gest. Nespoleheyte na bodáky, nebof práwě odtud se mohou strassnó rány na hlawy wasse </w:t>
      </w:r>
      <w:r>
        <w:rPr>
          <w:b/>
          <w:bCs/>
          <w:sz w:val="14"/>
          <w:szCs w:val="14"/>
          <w:lang w:val="en-US" w:eastAsia="en-US" w:bidi="en-US"/>
        </w:rPr>
        <w:t xml:space="preserve">swalit, an </w:t>
      </w:r>
      <w:r>
        <w:rPr>
          <w:b/>
          <w:bCs/>
          <w:sz w:val="14"/>
          <w:szCs w:val="14"/>
        </w:rPr>
        <w:t>práwě neyvjce tam chudina se- řáděná stogj.</w:t>
      </w:r>
    </w:p>
    <w:p w:rsidR="00500724" w:rsidRDefault="00F30FB8">
      <w:pPr>
        <w:pStyle w:val="Zkladntext40"/>
        <w:shd w:val="clear" w:color="auto" w:fill="auto"/>
        <w:spacing w:after="0" w:line="288" w:lineRule="auto"/>
        <w:ind w:firstLine="220"/>
        <w:rPr>
          <w:sz w:val="14"/>
          <w:szCs w:val="14"/>
        </w:rPr>
      </w:pPr>
      <w:r>
        <w:rPr>
          <w:b/>
          <w:bCs/>
          <w:sz w:val="14"/>
          <w:szCs w:val="14"/>
        </w:rPr>
        <w:t>Z Dr</w:t>
      </w:r>
      <w:r>
        <w:rPr>
          <w:b/>
          <w:bCs/>
          <w:sz w:val="14"/>
          <w:szCs w:val="14"/>
        </w:rPr>
        <w:t>ážďan. Zde ge a zdržuge se mnoho uprchlých z Rakouského mocnářstwj. Požjwagj zde ouplného po- hostinstwj; wláda ge nezapuzuge, aniž ge Rakousku wy- dáwá.</w:t>
      </w:r>
    </w:p>
    <w:p w:rsidR="00500724" w:rsidRDefault="00F30FB8">
      <w:pPr>
        <w:pStyle w:val="Zkladntext40"/>
        <w:shd w:val="clear" w:color="auto" w:fill="auto"/>
        <w:spacing w:line="228" w:lineRule="auto"/>
        <w:jc w:val="center"/>
        <w:rPr>
          <w:sz w:val="14"/>
          <w:szCs w:val="14"/>
        </w:rPr>
      </w:pPr>
      <w:r>
        <w:rPr>
          <w:b/>
          <w:bCs/>
          <w:sz w:val="14"/>
          <w:szCs w:val="14"/>
        </w:rPr>
        <w:t>•</w:t>
      </w:r>
    </w:p>
    <w:p w:rsidR="00500724" w:rsidRDefault="00F30FB8">
      <w:pPr>
        <w:pStyle w:val="Zkladntext40"/>
        <w:shd w:val="clear" w:color="auto" w:fill="auto"/>
        <w:spacing w:after="200" w:line="288" w:lineRule="auto"/>
        <w:ind w:firstLine="220"/>
        <w:rPr>
          <w:sz w:val="14"/>
          <w:szCs w:val="14"/>
        </w:rPr>
      </w:pPr>
      <w:r>
        <w:rPr>
          <w:b/>
          <w:bCs/>
          <w:sz w:val="14"/>
          <w:szCs w:val="14"/>
        </w:rPr>
        <w:t>Z Hamburku, 26. ledna. Dánsko nabýwá wždy hro- Zebněgssj twářnostj wálečné. Ministerstwo wálky učini</w:t>
      </w:r>
      <w:r>
        <w:rPr>
          <w:b/>
          <w:bCs/>
          <w:sz w:val="14"/>
          <w:szCs w:val="14"/>
        </w:rPr>
        <w:t>lo tam prowolánj, w němžto wyzývá dobrowolnjky, aby co pstrostřelci k armádě přistoupili. Také na Swédy a Nor- wégy a w Dánsku na takowé osoby, které oswobozeny gsou od stawu wogenského, wydaly se wyzwánj, aby se při nastáwagjcj wálce zoučastnili. Dobrowol</w:t>
      </w:r>
      <w:r>
        <w:rPr>
          <w:b/>
          <w:bCs/>
          <w:sz w:val="14"/>
          <w:szCs w:val="14"/>
        </w:rPr>
        <w:t>njci ti mu- segj se zaručiti, že — dokud wálka ukrocena nebude —&lt; odstoupiti nemohou, leč by dwa měsjce napřed weypo- wěď dali. Plat se gim súbuge welmi dobrý. Obchod- nictwo zdegssj pozorugjc w tom brzké wypuknutj wál</w:t>
      </w:r>
      <w:r>
        <w:rPr>
          <w:b/>
          <w:bCs/>
          <w:sz w:val="14"/>
          <w:szCs w:val="14"/>
        </w:rPr>
        <w:softHyphen/>
        <w:t>ky. gest welmi zaraženo.</w:t>
      </w:r>
    </w:p>
    <w:p w:rsidR="00500724" w:rsidRDefault="00F30FB8">
      <w:pPr>
        <w:pStyle w:val="Zkladntext40"/>
        <w:shd w:val="clear" w:color="auto" w:fill="auto"/>
        <w:tabs>
          <w:tab w:val="left" w:pos="4325"/>
        </w:tabs>
        <w:spacing w:after="140" w:line="286" w:lineRule="auto"/>
        <w:ind w:firstLine="220"/>
        <w:rPr>
          <w:sz w:val="14"/>
          <w:szCs w:val="14"/>
        </w:rPr>
      </w:pPr>
      <w:r>
        <w:rPr>
          <w:b/>
          <w:bCs/>
          <w:sz w:val="14"/>
          <w:szCs w:val="14"/>
        </w:rPr>
        <w:t>Z Milána, 26</w:t>
      </w:r>
      <w:r>
        <w:rPr>
          <w:b/>
          <w:bCs/>
          <w:sz w:val="14"/>
          <w:szCs w:val="14"/>
        </w:rPr>
        <w:t>. ledna. (Z psanj sprostého wogjna.) We ŘVlassjch chystá se zase wssechno k nowému zbourenj. .Také zde byl nedáwno w gednom domě nalezen prach zahrabaný a geden rolnjk gel bránou, máge we woze w slámě deset malých děl schowaných. Wlassi žádali Ra- 'deckého</w:t>
      </w:r>
      <w:r>
        <w:rPr>
          <w:b/>
          <w:bCs/>
          <w:sz w:val="14"/>
          <w:szCs w:val="14"/>
        </w:rPr>
        <w:t xml:space="preserve">, aby gim aspoň 800 národnjch obránců dowolil, nemohou to ale dosáhnouti. Minulý týden totiž 17. táhlo wogsko na Benátky, muselo ale dwakrát couwati, při čemž ztratilo dwě děla. Geden </w:t>
      </w:r>
      <w:r>
        <w:rPr>
          <w:b/>
          <w:bCs/>
          <w:sz w:val="14"/>
          <w:szCs w:val="14"/>
          <w:lang w:val="en-US" w:eastAsia="en-US" w:bidi="en-US"/>
        </w:rPr>
        <w:t xml:space="preserve">general </w:t>
      </w:r>
      <w:r>
        <w:rPr>
          <w:b/>
          <w:bCs/>
          <w:sz w:val="14"/>
          <w:szCs w:val="14"/>
        </w:rPr>
        <w:t>byl zajat. Bude to mnoho práce stát, než dobydou Benátky, poněwa</w:t>
      </w:r>
      <w:r>
        <w:rPr>
          <w:b/>
          <w:bCs/>
          <w:sz w:val="14"/>
          <w:szCs w:val="14"/>
        </w:rPr>
        <w:t>dž ge geden ostrow před městem, na němž ge 32 děl postaweno a 30.000 Wlachů. Tento ostrow nedostane tak brzo wog</w:t>
      </w:r>
      <w:r>
        <w:rPr>
          <w:b/>
          <w:bCs/>
          <w:sz w:val="14"/>
          <w:szCs w:val="14"/>
        </w:rPr>
        <w:softHyphen/>
        <w:t xml:space="preserve">sko, </w:t>
      </w:r>
      <w:r>
        <w:rPr>
          <w:b/>
          <w:bCs/>
          <w:sz w:val="14"/>
          <w:szCs w:val="14"/>
          <w:lang w:val="en-US" w:eastAsia="en-US" w:bidi="en-US"/>
        </w:rPr>
        <w:t xml:space="preserve">an </w:t>
      </w:r>
      <w:r>
        <w:rPr>
          <w:b/>
          <w:bCs/>
          <w:sz w:val="14"/>
          <w:szCs w:val="14"/>
        </w:rPr>
        <w:t>se tam nikterak než po wodě dostati může. Přes ten ostrow město bombardowat nelze, poněwadž dělo tak daleko nedonássj. Kdyby Benátky gs</w:t>
      </w:r>
      <w:r>
        <w:rPr>
          <w:b/>
          <w:bCs/>
          <w:sz w:val="14"/>
          <w:szCs w:val="14"/>
        </w:rPr>
        <w:t>me dostali, půgdem pak dosadit papeže do Rjma na stolici.</w:t>
      </w:r>
      <w:r>
        <w:rPr>
          <w:b/>
          <w:bCs/>
          <w:sz w:val="14"/>
          <w:szCs w:val="14"/>
        </w:rPr>
        <w:tab/>
        <w:t>N. L. S.</w:t>
      </w:r>
    </w:p>
    <w:p w:rsidR="00500724" w:rsidRDefault="00F30FB8">
      <w:pPr>
        <w:pStyle w:val="Zkladntext40"/>
        <w:shd w:val="clear" w:color="auto" w:fill="auto"/>
        <w:spacing w:after="0" w:line="288" w:lineRule="auto"/>
        <w:ind w:firstLine="220"/>
        <w:rPr>
          <w:sz w:val="14"/>
          <w:szCs w:val="14"/>
        </w:rPr>
      </w:pPr>
      <w:r>
        <w:rPr>
          <w:b/>
          <w:bCs/>
          <w:sz w:val="14"/>
          <w:szCs w:val="14"/>
        </w:rPr>
        <w:t>Z Prahy, 28. prosince. Ministerstwo nařjdilo ouřadům, aby mu podaly zpráwu o spolkách, w okresu gegich gsoucjch; při tom gim také nařjdilo, aby ouřadowé dá- wali pozor, které politické nowi</w:t>
      </w:r>
      <w:r>
        <w:rPr>
          <w:b/>
          <w:bCs/>
          <w:sz w:val="14"/>
          <w:szCs w:val="14"/>
        </w:rPr>
        <w:t>ny a časopisy se negwjce čtou a s gakým wýsledkem se čtou. Chce nyněgssj wláda způsobem wyskoumat smegsslenj lidu? Možná — možná ale také, že chce něco giného.</w:t>
      </w:r>
    </w:p>
    <w:p w:rsidR="00500724" w:rsidRDefault="00F30FB8">
      <w:pPr>
        <w:pStyle w:val="Zkladntext40"/>
        <w:shd w:val="clear" w:color="auto" w:fill="auto"/>
        <w:spacing w:after="0" w:line="288" w:lineRule="auto"/>
        <w:jc w:val="center"/>
        <w:rPr>
          <w:sz w:val="14"/>
          <w:szCs w:val="14"/>
        </w:rPr>
      </w:pPr>
      <w:r>
        <w:rPr>
          <w:b/>
          <w:bCs/>
          <w:sz w:val="14"/>
          <w:szCs w:val="14"/>
        </w:rPr>
        <w:t>•</w:t>
      </w:r>
    </w:p>
    <w:p w:rsidR="00500724" w:rsidRDefault="00F30FB8">
      <w:pPr>
        <w:pStyle w:val="Zkladntext40"/>
        <w:shd w:val="clear" w:color="auto" w:fill="auto"/>
        <w:spacing w:after="0" w:line="286" w:lineRule="auto"/>
        <w:ind w:firstLine="220"/>
        <w:rPr>
          <w:sz w:val="14"/>
          <w:szCs w:val="14"/>
        </w:rPr>
      </w:pPr>
      <w:r>
        <w:rPr>
          <w:b/>
          <w:bCs/>
          <w:sz w:val="14"/>
          <w:szCs w:val="14"/>
        </w:rPr>
        <w:t>Z Londýna, 17. prosince. (N. N.) Gedny anglické no</w:t>
      </w:r>
      <w:r>
        <w:rPr>
          <w:b/>
          <w:bCs/>
          <w:sz w:val="14"/>
          <w:szCs w:val="14"/>
        </w:rPr>
        <w:softHyphen/>
        <w:t>winy pjssou o nastáwagjcjm kongresu w Bruse</w:t>
      </w:r>
      <w:r>
        <w:rPr>
          <w:b/>
          <w:bCs/>
          <w:sz w:val="14"/>
          <w:szCs w:val="14"/>
        </w:rPr>
        <w:t>lu mezi giným také následugjcj: 2&gt;Cavaignac nenj zwolen za mi</w:t>
      </w:r>
      <w:r>
        <w:rPr>
          <w:b/>
          <w:bCs/>
          <w:sz w:val="14"/>
          <w:szCs w:val="14"/>
        </w:rPr>
        <w:softHyphen/>
        <w:t>nistra; Taqueville, wyslaný k narownánj wěcj Italských do Bruselu, bude tedy nepochybně nazpět powolán L., náss wyslanec, za tou přjčinou tam gsoucj, by taky dobře učinil, kdyby odessel, nebof p</w:t>
      </w:r>
      <w:r>
        <w:rPr>
          <w:b/>
          <w:bCs/>
          <w:sz w:val="14"/>
          <w:szCs w:val="14"/>
        </w:rPr>
        <w:t xml:space="preserve">okus o zprostředko- wánj záležitostj lombardských asi docela marný bude, Rakousko netagj, že nechce ani za mák odstoupiti od zenij, které mu po stoletj patřily a které si opět wybo- gowalo. Rakousko chce těmto zemjm dát konsstituci, že by prý ani lepssj k </w:t>
      </w:r>
      <w:r>
        <w:rPr>
          <w:b/>
          <w:bCs/>
          <w:sz w:val="14"/>
          <w:szCs w:val="14"/>
        </w:rPr>
        <w:t>přánj nebylo; aby ale z těch zemj něco odstouplo, o tom ani slysset nechce. A w tom my Angličané s Rakouskem souhlasjme. A gak se v tom ohledu wygádřilo Francouzsko? To prawj, že Rakousko od Lombardie upustit mussj. Tak tedy patrno, že se wěc ta nedá zpros</w:t>
      </w:r>
      <w:r>
        <w:rPr>
          <w:b/>
          <w:bCs/>
          <w:sz w:val="14"/>
          <w:szCs w:val="14"/>
        </w:rPr>
        <w:t>tředkowati, když tak odporné smegsslenj panuge.c</w:t>
      </w:r>
    </w:p>
    <w:p w:rsidR="00500724" w:rsidRDefault="00F30FB8">
      <w:pPr>
        <w:pStyle w:val="Zkladntext40"/>
        <w:shd w:val="clear" w:color="auto" w:fill="auto"/>
        <w:spacing w:after="0" w:line="286" w:lineRule="auto"/>
        <w:ind w:firstLine="220"/>
        <w:rPr>
          <w:sz w:val="14"/>
          <w:szCs w:val="14"/>
        </w:rPr>
      </w:pPr>
      <w:r>
        <w:rPr>
          <w:b/>
          <w:bCs/>
          <w:sz w:val="14"/>
          <w:szCs w:val="14"/>
        </w:rPr>
        <w:t>Na to dokadzugou nowiny, tý, gak falessná gest poli</w:t>
      </w:r>
      <w:r>
        <w:rPr>
          <w:b/>
          <w:bCs/>
          <w:sz w:val="14"/>
          <w:szCs w:val="14"/>
        </w:rPr>
        <w:softHyphen/>
      </w:r>
      <w:r>
        <w:rPr>
          <w:b/>
          <w:bCs/>
          <w:sz w:val="14"/>
          <w:szCs w:val="14"/>
        </w:rPr>
        <w:t xml:space="preserve">tika anglického ministra Palmerstona, protože brzy pod- porowal Rakousko, aby wlyw jeho na celou Itálii byl rozmnožen, a brzy opět rozčjlené mysslenky Wlachů, aby w Itálii byla wsseobecná republika. </w:t>
      </w:r>
      <w:r>
        <w:rPr>
          <w:b/>
          <w:bCs/>
          <w:sz w:val="14"/>
          <w:szCs w:val="14"/>
          <w:lang w:val="en-US" w:eastAsia="en-US" w:bidi="en-US"/>
        </w:rPr>
        <w:t xml:space="preserve">Palmerston </w:t>
      </w:r>
      <w:r>
        <w:rPr>
          <w:b/>
          <w:bCs/>
          <w:sz w:val="14"/>
          <w:szCs w:val="14"/>
        </w:rPr>
        <w:t>také prý krále sardinského do nyněgssjho stawu</w:t>
      </w:r>
      <w:r>
        <w:rPr>
          <w:b/>
          <w:bCs/>
          <w:sz w:val="14"/>
          <w:szCs w:val="14"/>
        </w:rPr>
        <w:t xml:space="preserve"> zoufanliwého wehnal, proti němuž se geho wlastnj země, ano geho wlastnj ministerská rada spikla, z čehož si geho přánj wyložiti můžeme, aby totiž, bude-li k wogně s Rakous</w:t>
      </w:r>
      <w:r>
        <w:rPr>
          <w:b/>
          <w:bCs/>
          <w:sz w:val="14"/>
          <w:szCs w:val="14"/>
        </w:rPr>
        <w:softHyphen/>
        <w:t>kem nucen, od negprwněgssj rakouské kulky padl. Dále okračují anglické nowiny: s&gt;Pr</w:t>
      </w:r>
      <w:r>
        <w:rPr>
          <w:b/>
          <w:bCs/>
          <w:sz w:val="14"/>
          <w:szCs w:val="14"/>
        </w:rPr>
        <w:t>oč wssak nawrhugeme ongres do Bruselu, gestliže chce Sawogsko wognu, Ra</w:t>
      </w:r>
      <w:r>
        <w:rPr>
          <w:b/>
          <w:bCs/>
          <w:sz w:val="14"/>
          <w:szCs w:val="14"/>
        </w:rPr>
        <w:softHyphen/>
        <w:t>kousko o odstoupenj zemj ničeho slysseti nechce, Fran</w:t>
      </w:r>
      <w:r>
        <w:rPr>
          <w:b/>
          <w:bCs/>
          <w:sz w:val="14"/>
          <w:szCs w:val="14"/>
        </w:rPr>
        <w:softHyphen/>
        <w:t xml:space="preserve">couzsko naproti tomu na neodwislosti Lombardie stogj?, Nestogjme s některou z těchto stran w takovém poměru, že bychom se styděti </w:t>
      </w:r>
      <w:r>
        <w:rPr>
          <w:b/>
          <w:bCs/>
          <w:sz w:val="14"/>
          <w:szCs w:val="14"/>
        </w:rPr>
        <w:t>museli, gj se do očj podjwati? Které se máme držeti, a co gest náš úmysl při tom? A nedržíme-li se žádné, což gest k wjře negpodobněgssj,</w:t>
      </w:r>
    </w:p>
    <w:p w:rsidR="00500724" w:rsidRDefault="00F30FB8">
      <w:pPr>
        <w:pStyle w:val="Zkladntext40"/>
        <w:shd w:val="clear" w:color="auto" w:fill="auto"/>
        <w:spacing w:after="0" w:line="286" w:lineRule="auto"/>
        <w:jc w:val="left"/>
        <w:rPr>
          <w:sz w:val="14"/>
          <w:szCs w:val="14"/>
        </w:rPr>
      </w:pPr>
      <w:r>
        <w:rPr>
          <w:b/>
          <w:bCs/>
          <w:sz w:val="14"/>
          <w:szCs w:val="14"/>
        </w:rPr>
        <w:t>proč má národ daremně penjze wyhazowati?*</w:t>
      </w:r>
    </w:p>
    <w:p w:rsidR="00500724" w:rsidRDefault="00F30FB8">
      <w:pPr>
        <w:pStyle w:val="Zkladntext40"/>
        <w:shd w:val="clear" w:color="auto" w:fill="auto"/>
        <w:spacing w:after="0" w:line="286" w:lineRule="auto"/>
        <w:ind w:firstLine="220"/>
        <w:rPr>
          <w:sz w:val="14"/>
          <w:szCs w:val="14"/>
        </w:rPr>
      </w:pPr>
      <w:r>
        <w:rPr>
          <w:b/>
          <w:bCs/>
          <w:sz w:val="14"/>
          <w:szCs w:val="14"/>
        </w:rPr>
        <w:t>Sdělugeme tento článek proto, poněwadž zahrnuge W sobě náhledy wětssiny kupe</w:t>
      </w:r>
      <w:r>
        <w:rPr>
          <w:b/>
          <w:bCs/>
          <w:sz w:val="14"/>
          <w:szCs w:val="14"/>
        </w:rPr>
        <w:t>ckého anglického národu.</w:t>
      </w:r>
    </w:p>
    <w:p w:rsidR="00500724" w:rsidRDefault="00F30FB8">
      <w:pPr>
        <w:pStyle w:val="Zkladntext40"/>
        <w:shd w:val="clear" w:color="auto" w:fill="auto"/>
        <w:spacing w:after="0" w:line="286" w:lineRule="auto"/>
        <w:jc w:val="center"/>
        <w:rPr>
          <w:sz w:val="14"/>
          <w:szCs w:val="14"/>
        </w:rPr>
      </w:pPr>
      <w:r>
        <w:rPr>
          <w:b/>
          <w:bCs/>
          <w:sz w:val="14"/>
          <w:szCs w:val="14"/>
        </w:rPr>
        <w:t>•</w:t>
      </w:r>
    </w:p>
    <w:p w:rsidR="00500724" w:rsidRDefault="00F30FB8">
      <w:pPr>
        <w:pStyle w:val="Zkladntext40"/>
        <w:shd w:val="clear" w:color="auto" w:fill="auto"/>
        <w:spacing w:after="0" w:line="288" w:lineRule="auto"/>
        <w:ind w:firstLine="220"/>
        <w:rPr>
          <w:sz w:val="14"/>
          <w:szCs w:val="14"/>
        </w:rPr>
      </w:pPr>
      <w:r>
        <w:rPr>
          <w:b/>
          <w:bCs/>
          <w:sz w:val="14"/>
          <w:szCs w:val="14"/>
        </w:rPr>
        <w:t>Z Krakowa, 3. února. Wčera o polednách odgelo odsud 6 děl s dwěma setninami w neywětssj rychlosti, nepo</w:t>
      </w:r>
      <w:r>
        <w:rPr>
          <w:b/>
          <w:bCs/>
          <w:sz w:val="14"/>
          <w:szCs w:val="14"/>
        </w:rPr>
        <w:softHyphen/>
        <w:t>chybně do Sandecu, kdežto Maďaři snad wyrazili anebo wyraziti chtěgj přes hranice do Haliče.</w:t>
      </w:r>
    </w:p>
    <w:p w:rsidR="00500724" w:rsidRDefault="00F30FB8">
      <w:pPr>
        <w:pStyle w:val="Zkladntext40"/>
        <w:shd w:val="clear" w:color="auto" w:fill="auto"/>
        <w:spacing w:after="0" w:line="288" w:lineRule="auto"/>
        <w:jc w:val="center"/>
        <w:rPr>
          <w:sz w:val="14"/>
          <w:szCs w:val="14"/>
        </w:rPr>
      </w:pPr>
      <w:r>
        <w:rPr>
          <w:b/>
          <w:bCs/>
          <w:sz w:val="14"/>
          <w:szCs w:val="14"/>
        </w:rPr>
        <w:t>•</w:t>
      </w:r>
    </w:p>
    <w:p w:rsidR="00500724" w:rsidRDefault="00F30FB8">
      <w:pPr>
        <w:pStyle w:val="Zkladntext40"/>
        <w:shd w:val="clear" w:color="auto" w:fill="auto"/>
        <w:spacing w:after="0" w:line="288" w:lineRule="auto"/>
        <w:ind w:firstLine="220"/>
        <w:rPr>
          <w:sz w:val="14"/>
          <w:szCs w:val="14"/>
        </w:rPr>
      </w:pPr>
      <w:r>
        <w:rPr>
          <w:b/>
          <w:bCs/>
          <w:sz w:val="14"/>
          <w:szCs w:val="14"/>
        </w:rPr>
        <w:t>Dnes, dne 11. února, prowozowa</w:t>
      </w:r>
      <w:r>
        <w:rPr>
          <w:b/>
          <w:bCs/>
          <w:sz w:val="14"/>
          <w:szCs w:val="14"/>
        </w:rPr>
        <w:t xml:space="preserve">t se bude w českém diwadle nowinka: &gt;Krwawý křest, aneb: Drahomjra a synové gegj*, obrazy z děgů vlasteneckých od </w:t>
      </w:r>
      <w:r>
        <w:rPr>
          <w:b/>
          <w:bCs/>
          <w:sz w:val="14"/>
          <w:szCs w:val="14"/>
          <w:lang w:val="en-US" w:eastAsia="en-US" w:bidi="en-US"/>
        </w:rPr>
        <w:t xml:space="preserve">J. </w:t>
      </w:r>
      <w:r>
        <w:rPr>
          <w:b/>
          <w:bCs/>
          <w:sz w:val="14"/>
          <w:szCs w:val="14"/>
        </w:rPr>
        <w:t>K. Tyla, gehožto diwadelnj hra » Jan Hus* w nyněgssj době tak welké a wsseobecné obliby a pochwaly dossla, že w krátkém čase při diwadle př</w:t>
      </w:r>
      <w:r>
        <w:rPr>
          <w:b/>
          <w:bCs/>
          <w:sz w:val="14"/>
          <w:szCs w:val="14"/>
        </w:rPr>
        <w:t>eplněném prowozována byla. Naděgeme se i tenkráte utěssené diwadelnj po</w:t>
      </w:r>
      <w:r>
        <w:rPr>
          <w:b/>
          <w:bCs/>
          <w:sz w:val="14"/>
          <w:szCs w:val="14"/>
        </w:rPr>
        <w:softHyphen/>
        <w:t>choutky, zaěež giž gmeno spisowatelowo ručj.</w:t>
      </w:r>
    </w:p>
    <w:p w:rsidR="00500724" w:rsidRDefault="00F30FB8">
      <w:pPr>
        <w:pStyle w:val="Zkladntext40"/>
        <w:shd w:val="clear" w:color="auto" w:fill="auto"/>
        <w:spacing w:after="0" w:line="288" w:lineRule="auto"/>
        <w:jc w:val="center"/>
        <w:rPr>
          <w:sz w:val="14"/>
          <w:szCs w:val="14"/>
        </w:rPr>
      </w:pPr>
      <w:r>
        <w:rPr>
          <w:b/>
          <w:bCs/>
          <w:sz w:val="14"/>
          <w:szCs w:val="14"/>
        </w:rPr>
        <w:t>•</w:t>
      </w:r>
    </w:p>
    <w:p w:rsidR="00500724" w:rsidRDefault="00F30FB8">
      <w:pPr>
        <w:pStyle w:val="Zkladntext40"/>
        <w:shd w:val="clear" w:color="auto" w:fill="auto"/>
        <w:spacing w:after="0" w:line="288" w:lineRule="auto"/>
        <w:ind w:firstLine="220"/>
        <w:rPr>
          <w:sz w:val="14"/>
          <w:szCs w:val="14"/>
        </w:rPr>
      </w:pPr>
      <w:r>
        <w:rPr>
          <w:b/>
          <w:bCs/>
          <w:sz w:val="14"/>
          <w:szCs w:val="14"/>
        </w:rPr>
        <w:t>Dne 12. byl prwnj porotnj soud w záležitostech tisku. Na straně žalobnjka, p. Šebelky, bylo 22 swědků a za- stawatelem Dr. Likawec; na st</w:t>
      </w:r>
      <w:r>
        <w:rPr>
          <w:b/>
          <w:bCs/>
          <w:sz w:val="14"/>
          <w:szCs w:val="14"/>
        </w:rPr>
        <w:t>raně obžalowaného pan Pessiny, 9 swědků a zastawatelem Dr. Fryč. Trwalo to od 9. až do 4. hodiny, a obžalowaný byl pak od porot- njků prohlášen za newinného. Předmět soudů toho byl: p. Pessina dal wytisknout, že ho p. Šebelka po swato- dussnjch swatcjch ud</w:t>
      </w:r>
      <w:r>
        <w:rPr>
          <w:b/>
          <w:bCs/>
          <w:sz w:val="14"/>
          <w:szCs w:val="14"/>
        </w:rPr>
        <w:t>al, že z malostranského obecnjho dworu dal wzjt, když se barikády stawěly, několik mo- tyk, a na udánj to že p. Pessina uwězněn byl.</w:t>
      </w:r>
    </w:p>
    <w:p w:rsidR="00500724" w:rsidRDefault="00F30FB8">
      <w:pPr>
        <w:pStyle w:val="Zkladntext40"/>
        <w:shd w:val="clear" w:color="auto" w:fill="auto"/>
        <w:spacing w:after="200" w:line="288" w:lineRule="auto"/>
        <w:ind w:firstLine="240"/>
        <w:rPr>
          <w:sz w:val="14"/>
          <w:szCs w:val="14"/>
        </w:rPr>
      </w:pPr>
      <w:r>
        <w:rPr>
          <w:b/>
          <w:bCs/>
          <w:sz w:val="14"/>
          <w:szCs w:val="14"/>
        </w:rPr>
        <w:t>Z Warssawy, 27. ledna. Mezi Warssawou, Holomoucj a Petrohradem neustále gezděgj kuryrowé. Ruská wláda ukazuge welikou chuť,</w:t>
      </w:r>
      <w:r>
        <w:rPr>
          <w:b/>
          <w:bCs/>
          <w:sz w:val="14"/>
          <w:szCs w:val="14"/>
        </w:rPr>
        <w:t xml:space="preserve"> podunagské knjžectví v Turecku powažowat za swé wlastnj; a kdyby Rakousku swoboda nebezpečnou (we smyslu ruském čili Metrniském, být hrozila, gest prý Rusko totowo o brannou mocj tu pomoci mu přispěti.</w:t>
      </w:r>
    </w:p>
    <w:p w:rsidR="00500724" w:rsidRDefault="00F30FB8">
      <w:pPr>
        <w:pStyle w:val="Zkladntext40"/>
        <w:shd w:val="clear" w:color="auto" w:fill="auto"/>
        <w:spacing w:after="0" w:line="300" w:lineRule="auto"/>
        <w:ind w:firstLine="240"/>
        <w:rPr>
          <w:sz w:val="14"/>
          <w:szCs w:val="14"/>
        </w:rPr>
      </w:pPr>
      <w:r>
        <w:rPr>
          <w:b/>
          <w:bCs/>
          <w:sz w:val="14"/>
          <w:szCs w:val="14"/>
        </w:rPr>
        <w:t xml:space="preserve">Z Benátek. Radecký chtěl dát Benátky bombardowat z </w:t>
      </w:r>
      <w:r>
        <w:rPr>
          <w:b/>
          <w:bCs/>
          <w:sz w:val="14"/>
          <w:szCs w:val="14"/>
        </w:rPr>
        <w:t>balonů. Pokusy toho nepodařily se pro welikou wzdá- lenost Benátek od mjsta, odkud se balony tyto wypustiti měly.</w:t>
      </w:r>
    </w:p>
    <w:p w:rsidR="00500724" w:rsidRDefault="00F30FB8">
      <w:pPr>
        <w:pStyle w:val="Zkladntext40"/>
        <w:shd w:val="clear" w:color="auto" w:fill="auto"/>
        <w:spacing w:line="300" w:lineRule="auto"/>
        <w:ind w:firstLine="240"/>
        <w:rPr>
          <w:sz w:val="14"/>
          <w:szCs w:val="14"/>
        </w:rPr>
      </w:pPr>
      <w:r>
        <w:rPr>
          <w:b/>
          <w:bCs/>
          <w:sz w:val="14"/>
          <w:szCs w:val="14"/>
        </w:rPr>
        <w:t>Z Benátek se pjsse, že Benátčané obrazárnu swou, gednu z neyglawněgssjch a neyčetněgssjch w Ewropě, prodati hodlagj a to pouze z té přjčiny, a</w:t>
      </w:r>
      <w:r>
        <w:rPr>
          <w:b/>
          <w:bCs/>
          <w:sz w:val="14"/>
          <w:szCs w:val="14"/>
        </w:rPr>
        <w:t>by tjm nabyli prostředků k pokračowánj we wálce proti Rakussanům.</w:t>
      </w:r>
    </w:p>
    <w:p w:rsidR="00500724" w:rsidRDefault="00F30FB8">
      <w:pPr>
        <w:pStyle w:val="Zkladntext40"/>
        <w:shd w:val="clear" w:color="auto" w:fill="auto"/>
        <w:spacing w:line="286" w:lineRule="auto"/>
        <w:jc w:val="center"/>
        <w:rPr>
          <w:sz w:val="14"/>
          <w:szCs w:val="14"/>
        </w:rPr>
      </w:pPr>
      <w:r>
        <w:rPr>
          <w:b/>
          <w:bCs/>
          <w:sz w:val="14"/>
          <w:szCs w:val="14"/>
        </w:rPr>
        <w:t>•</w:t>
      </w:r>
    </w:p>
    <w:p w:rsidR="00500724" w:rsidRDefault="00F30FB8">
      <w:pPr>
        <w:pStyle w:val="Zkladntext40"/>
        <w:shd w:val="clear" w:color="auto" w:fill="auto"/>
        <w:spacing w:after="0" w:line="283" w:lineRule="auto"/>
        <w:ind w:firstLine="240"/>
        <w:rPr>
          <w:sz w:val="14"/>
          <w:szCs w:val="14"/>
        </w:rPr>
      </w:pPr>
      <w:r>
        <w:rPr>
          <w:b/>
          <w:bCs/>
          <w:sz w:val="14"/>
          <w:szCs w:val="14"/>
        </w:rPr>
        <w:t xml:space="preserve">Od polských hranic, z Kalisse 3. února. (N. E. SI.) ÍWláda ruská netoliko nedůwěřuge obywatelům gak w městech tak po wesnicjch, alebrž též úřednjkům, wogátkům ano i krásné pleti oka </w:t>
      </w:r>
      <w:r>
        <w:rPr>
          <w:b/>
          <w:bCs/>
          <w:sz w:val="14"/>
          <w:szCs w:val="14"/>
        </w:rPr>
        <w:t>policegnj strogj. —</w:t>
      </w:r>
    </w:p>
    <w:p w:rsidR="00500724" w:rsidRDefault="00F30FB8">
      <w:pPr>
        <w:pStyle w:val="Zkladntext40"/>
        <w:shd w:val="clear" w:color="auto" w:fill="auto"/>
        <w:spacing w:after="0" w:line="283" w:lineRule="auto"/>
        <w:ind w:firstLine="240"/>
        <w:rPr>
          <w:sz w:val="14"/>
          <w:szCs w:val="14"/>
        </w:rPr>
      </w:pPr>
      <w:r>
        <w:rPr>
          <w:b/>
          <w:bCs/>
          <w:sz w:val="14"/>
          <w:szCs w:val="14"/>
        </w:rPr>
        <w:t>Od něgakého času nacházj se stráže po kostelech a nahljžegj modljcjm se ženám wsselikého stawu do ná</w:t>
      </w:r>
      <w:r>
        <w:rPr>
          <w:b/>
          <w:bCs/>
          <w:sz w:val="14"/>
          <w:szCs w:val="14"/>
        </w:rPr>
        <w:softHyphen/>
        <w:t>boženských kněh, kteréž gim sebjragj; trestagj se pak žalářem, bitjm ano dokonce i wyhnanstwjm w Sibjř, když se policie přesvědčila, že</w:t>
      </w:r>
      <w:r>
        <w:rPr>
          <w:b/>
          <w:bCs/>
          <w:sz w:val="14"/>
          <w:szCs w:val="14"/>
        </w:rPr>
        <w:t xml:space="preserve"> se modlily za wlast a swobodu. — Tak k. př. potkala tuty dni mladou Polku, dceru to zámožných rodičů, weliká nepřjgemnost a ne</w:t>
      </w:r>
      <w:r>
        <w:rPr>
          <w:b/>
          <w:bCs/>
          <w:sz w:val="14"/>
          <w:szCs w:val="14"/>
        </w:rPr>
        <w:softHyphen/>
        <w:t>snáz za to, poněwadž modlitba, gegj rukou psaná, obsa</w:t>
      </w:r>
      <w:r>
        <w:rPr>
          <w:b/>
          <w:bCs/>
          <w:sz w:val="14"/>
          <w:szCs w:val="14"/>
        </w:rPr>
        <w:softHyphen/>
        <w:t>hovala následugjcj mjsto: »Bože! račiž vskřjsiti wlast mou k dáwné gegi ce</w:t>
      </w:r>
      <w:r>
        <w:rPr>
          <w:b/>
          <w:bCs/>
          <w:sz w:val="14"/>
          <w:szCs w:val="14"/>
        </w:rPr>
        <w:t>losti a neodwislosti a učiň wssemo- houcnostj Twou, aby panowánj Cárá, poněvadž na otroctwj, temnosti a křiwdě se zakládá, rozkotáno a iTwoge o Twůrce počátek wzalo, aby Polsce, celé Slo- wansstině a wesskerým národům milost Twoge se obge- .wila atd.«</w:t>
      </w:r>
    </w:p>
    <w:p w:rsidR="00500724" w:rsidRDefault="00F30FB8">
      <w:pPr>
        <w:pStyle w:val="Zkladntext40"/>
        <w:shd w:val="clear" w:color="auto" w:fill="auto"/>
        <w:spacing w:after="0" w:line="286" w:lineRule="auto"/>
        <w:ind w:firstLine="240"/>
        <w:rPr>
          <w:sz w:val="14"/>
          <w:szCs w:val="14"/>
        </w:rPr>
      </w:pPr>
      <w:r>
        <w:rPr>
          <w:b/>
          <w:bCs/>
          <w:sz w:val="14"/>
          <w:szCs w:val="14"/>
        </w:rPr>
        <w:t>We w</w:t>
      </w:r>
      <w:r>
        <w:rPr>
          <w:b/>
          <w:bCs/>
          <w:sz w:val="14"/>
          <w:szCs w:val="14"/>
        </w:rPr>
        <w:t>ogsstě, obzwlásstě mezi pěchotou a kozáky, weliká panuge nespokogenost, — a poněwadž wláda tuto nespokogenost připisuge snahám obywatelů krá- lowstwj polského, tudjž posádky měst co osm dnj se měnj, pročež wogák, ač wogny nenj, trampot a nesnázj gegj dozná</w:t>
      </w:r>
      <w:r>
        <w:rPr>
          <w:b/>
          <w:bCs/>
          <w:sz w:val="14"/>
          <w:szCs w:val="14"/>
        </w:rPr>
        <w:t xml:space="preserve">vá, a z té přjčiny nařjká a reptá. — S ouřad- njky wláda s tjm samým spůsobem nakládá, přenássj ge z mjsta na mjsto bez ohledu na outraty cesty gim způsobené, čjmž rowněž i w této třjdě náklonnost k wládě ochabuje. — Žádný zde nenj zbawen podezřenj wlády; </w:t>
      </w:r>
      <w:r>
        <w:rPr>
          <w:b/>
          <w:bCs/>
          <w:sz w:val="14"/>
          <w:szCs w:val="14"/>
        </w:rPr>
        <w:t>úřadnjk wyzwědá úřadnjka, wogák wogáka, nižssj důstognjk wyssjho a naopak, slowem celý krag proměnil se w samé wyzwědačstwj. — Wlastnjch oby</w:t>
      </w:r>
      <w:r>
        <w:rPr>
          <w:b/>
          <w:bCs/>
          <w:sz w:val="14"/>
          <w:szCs w:val="14"/>
        </w:rPr>
        <w:softHyphen/>
        <w:t>watelů a občanů nemáš; neuděláno-li z nich žoldnéřů, tedy buď do žaláře strčeni aneb w Sibjř zavezeni gsou. Okres K</w:t>
      </w:r>
      <w:r>
        <w:rPr>
          <w:b/>
          <w:bCs/>
          <w:sz w:val="14"/>
          <w:szCs w:val="14"/>
        </w:rPr>
        <w:t>yninský oplakáwá několik znamenitých oby</w:t>
      </w:r>
      <w:r>
        <w:rPr>
          <w:b/>
          <w:bCs/>
          <w:sz w:val="14"/>
          <w:szCs w:val="14"/>
        </w:rPr>
        <w:softHyphen/>
        <w:t>watelů! ... mezi nimi Raszewského, milownjka litera</w:t>
      </w:r>
      <w:r>
        <w:rPr>
          <w:b/>
          <w:bCs/>
          <w:sz w:val="14"/>
          <w:szCs w:val="14"/>
        </w:rPr>
        <w:softHyphen/>
        <w:t xml:space="preserve">tury, literáta a wlastimila. — O nowiny a spisy zahra- ničnj </w:t>
      </w:r>
      <w:r>
        <w:rPr>
          <w:b/>
          <w:bCs/>
          <w:sz w:val="14"/>
          <w:szCs w:val="14"/>
          <w:lang w:val="en-US" w:eastAsia="en-US" w:bidi="en-US"/>
        </w:rPr>
        <w:t xml:space="preserve">am </w:t>
      </w:r>
      <w:r>
        <w:rPr>
          <w:b/>
          <w:bCs/>
          <w:sz w:val="14"/>
          <w:szCs w:val="14"/>
        </w:rPr>
        <w:t>se neptey. Ty, gakož i listy a psanj každého druhu dřjwe do Petrohradu a pak teprve do rukou adress</w:t>
      </w:r>
      <w:r>
        <w:rPr>
          <w:b/>
          <w:bCs/>
          <w:sz w:val="14"/>
          <w:szCs w:val="14"/>
        </w:rPr>
        <w:t>enta se dostáwagj; a naleznou-li w něm třeba gen gediného slowjčka, kteréž gim whod nenj, zničj oni list, aniž se z něho řádky adressentowi dostane. — Mimo wjtězstwj nad powstalci, mimo bombardowánj měst rakouských žádné giné wědomosti nás nedocházegj. —</w:t>
      </w:r>
    </w:p>
    <w:p w:rsidR="00500724" w:rsidRDefault="00F30FB8">
      <w:pPr>
        <w:pStyle w:val="Zkladntext40"/>
        <w:shd w:val="clear" w:color="auto" w:fill="auto"/>
        <w:spacing w:line="286" w:lineRule="auto"/>
        <w:jc w:val="center"/>
        <w:rPr>
          <w:sz w:val="14"/>
          <w:szCs w:val="14"/>
        </w:rPr>
      </w:pPr>
      <w:r>
        <w:rPr>
          <w:b/>
          <w:bCs/>
          <w:sz w:val="14"/>
          <w:szCs w:val="14"/>
        </w:rPr>
        <w:t>©</w:t>
      </w:r>
    </w:p>
    <w:p w:rsidR="00500724" w:rsidRDefault="00F30FB8">
      <w:pPr>
        <w:pStyle w:val="Zkladntext40"/>
        <w:shd w:val="clear" w:color="auto" w:fill="auto"/>
        <w:spacing w:after="0" w:line="329" w:lineRule="auto"/>
        <w:ind w:firstLine="240"/>
        <w:rPr>
          <w:sz w:val="14"/>
          <w:szCs w:val="14"/>
        </w:rPr>
      </w:pPr>
      <w:r>
        <w:rPr>
          <w:b/>
          <w:bCs/>
          <w:sz w:val="14"/>
          <w:szCs w:val="14"/>
        </w:rPr>
        <w:t>W neděli dne 18. února bude se w českém diwadle na mnohostrannou žádost prowozowati: &gt; Záhuba rodu Přemyslowců, drama we 4 gednánjch od Ferdinanda B. Mikowce. Nápěw k pjsni »Ha, ty nasse slunce* od E. Hansljka. Diwadelnj hra tato byla hned po swém obge- w</w:t>
      </w:r>
      <w:r>
        <w:rPr>
          <w:b/>
          <w:bCs/>
          <w:sz w:val="14"/>
          <w:szCs w:val="14"/>
        </w:rPr>
        <w:t>enj podwakráte s welikou pochwalou od četného obe</w:t>
      </w:r>
      <w:r>
        <w:rPr>
          <w:b/>
          <w:bCs/>
          <w:sz w:val="14"/>
          <w:szCs w:val="14"/>
        </w:rPr>
        <w:softHyphen/>
        <w:t>censtva přigata, a tak s gistotou očekáwáme, že i ten</w:t>
      </w:r>
      <w:r>
        <w:rPr>
          <w:b/>
          <w:bCs/>
          <w:sz w:val="14"/>
          <w:szCs w:val="14"/>
        </w:rPr>
        <w:softHyphen/>
        <w:t xml:space="preserve">kráte toto zdařilé drama, prwotnj to práce w oboru tom rázným duchem nadaného Mikowce, způsobí obecen- 40a stwu utěšenou zábavu, zwlásstě </w:t>
      </w:r>
      <w:r>
        <w:rPr>
          <w:b/>
          <w:bCs/>
          <w:sz w:val="14"/>
          <w:szCs w:val="14"/>
          <w:lang w:val="en-US" w:eastAsia="en-US" w:bidi="en-US"/>
        </w:rPr>
        <w:t xml:space="preserve">an </w:t>
      </w:r>
      <w:r>
        <w:rPr>
          <w:b/>
          <w:bCs/>
          <w:sz w:val="14"/>
          <w:szCs w:val="14"/>
        </w:rPr>
        <w:t>w osobě Jar</w:t>
      </w:r>
      <w:r>
        <w:rPr>
          <w:b/>
          <w:bCs/>
          <w:sz w:val="14"/>
          <w:szCs w:val="14"/>
        </w:rPr>
        <w:t>mily tenkráte wystoupj oblíbená panj Kolárowá. Diwadelnj kus tento ge pamětihodný také tjm, že náležel k dornněi lým nitkám hluboko a ssiroko rozwětveného spiknutj po- swatodussnjho; byltě také na hradě Pražském po ně-* kolik neděl w rukopisu uězněn.</w:t>
      </w:r>
    </w:p>
    <w:p w:rsidR="00500724" w:rsidRDefault="00F30FB8">
      <w:pPr>
        <w:pStyle w:val="Jin0"/>
        <w:pBdr>
          <w:bottom w:val="single" w:sz="4" w:space="0" w:color="auto"/>
        </w:pBdr>
        <w:shd w:val="clear" w:color="auto" w:fill="auto"/>
        <w:spacing w:after="140" w:line="214" w:lineRule="auto"/>
        <w:ind w:firstLine="0"/>
        <w:jc w:val="left"/>
        <w:rPr>
          <w:sz w:val="46"/>
          <w:szCs w:val="46"/>
        </w:rPr>
      </w:pPr>
      <w:r>
        <w:rPr>
          <w:b/>
          <w:bCs/>
          <w:sz w:val="46"/>
          <w:szCs w:val="46"/>
        </w:rPr>
        <w:t xml:space="preserve">doba </w:t>
      </w:r>
      <w:r>
        <w:rPr>
          <w:b/>
          <w:bCs/>
          <w:sz w:val="46"/>
          <w:szCs w:val="46"/>
        </w:rPr>
        <w:t>a lidé</w:t>
      </w:r>
    </w:p>
    <w:p w:rsidR="00500724" w:rsidRDefault="00F30FB8">
      <w:pPr>
        <w:pStyle w:val="Zkladntext30"/>
        <w:shd w:val="clear" w:color="auto" w:fill="auto"/>
        <w:spacing w:after="0" w:line="223" w:lineRule="auto"/>
        <w:ind w:firstLine="0"/>
        <w:rPr>
          <w:sz w:val="20"/>
          <w:szCs w:val="20"/>
        </w:rPr>
      </w:pPr>
      <w:r>
        <w:rPr>
          <w:i/>
          <w:iCs/>
          <w:sz w:val="20"/>
          <w:szCs w:val="20"/>
          <w:lang w:val="en-US" w:eastAsia="en-US" w:bidi="en-US"/>
        </w:rPr>
        <w:t xml:space="preserve">J. </w:t>
      </w:r>
      <w:r>
        <w:rPr>
          <w:i/>
          <w:iCs/>
          <w:sz w:val="20"/>
          <w:szCs w:val="20"/>
        </w:rPr>
        <w:t>W~. (Nový York):</w:t>
      </w:r>
    </w:p>
    <w:p w:rsidR="00500724" w:rsidRDefault="00F30FB8">
      <w:pPr>
        <w:pStyle w:val="Nadpis100"/>
        <w:shd w:val="clear" w:color="auto" w:fill="auto"/>
        <w:spacing w:after="0" w:line="221" w:lineRule="auto"/>
      </w:pPr>
      <w:bookmarkStart w:id="652" w:name="bookmark651"/>
      <w:r>
        <w:t>Emigranti v Americe</w:t>
      </w:r>
      <w:bookmarkEnd w:id="652"/>
    </w:p>
    <w:p w:rsidR="00500724" w:rsidRDefault="00F30FB8">
      <w:pPr>
        <w:pStyle w:val="Zkladntext30"/>
        <w:shd w:val="clear" w:color="auto" w:fill="auto"/>
        <w:spacing w:after="120" w:line="204" w:lineRule="auto"/>
        <w:ind w:firstLine="300"/>
      </w:pPr>
      <w:r>
        <w:t xml:space="preserve">»Refugee« je anglické slovo a znamená uprchlík, alej v Americe jím označují všechny, kteří nejsou — lnu, kteří nejsou pravými Američany. Mnozí </w:t>
      </w:r>
      <w:r>
        <w:rPr>
          <w:lang w:val="en-US" w:eastAsia="en-US" w:bidi="en-US"/>
        </w:rPr>
        <w:t xml:space="preserve">refugee </w:t>
      </w:r>
      <w:r>
        <w:t xml:space="preserve">ne- jsou žádní uprchlíci, nýbrž přistěhovalci, kteří </w:t>
      </w:r>
      <w:r>
        <w:t xml:space="preserve">přišli před dávnou dobou s penězi, šperky a nábytkem, aniž by měli jakýkoli důvod pro útěk. Pakli však nemluví plynně anglicky a je-li na nich navenek nějak vidět* že jsou »od naproti«, patří k velké skupině »re- f u g e e«. Ku podivu jsou na první pohled </w:t>
      </w:r>
      <w:r>
        <w:t>skoro k ro</w:t>
      </w:r>
      <w:r>
        <w:softHyphen/>
        <w:t xml:space="preserve">zeznání. Oko se naučí rozeznávat Američana od </w:t>
      </w:r>
      <w:r>
        <w:rPr>
          <w:lang w:val="en-US" w:eastAsia="en-US" w:bidi="en-US"/>
        </w:rPr>
        <w:t>re</w:t>
      </w:r>
      <w:r>
        <w:rPr>
          <w:lang w:val="en-US" w:eastAsia="en-US" w:bidi="en-US"/>
        </w:rPr>
        <w:softHyphen/>
        <w:t xml:space="preserve">fugee, </w:t>
      </w:r>
      <w:r>
        <w:t>jako na Dálném východě se pomalu naučíte rozeznávat Japonce od Číňana.</w:t>
      </w:r>
    </w:p>
    <w:p w:rsidR="00500724" w:rsidRDefault="00F30FB8">
      <w:pPr>
        <w:pStyle w:val="Zkladntext30"/>
        <w:shd w:val="clear" w:color="auto" w:fill="auto"/>
        <w:spacing w:after="0" w:line="204" w:lineRule="auto"/>
        <w:ind w:firstLine="0"/>
        <w:jc w:val="center"/>
      </w:pPr>
      <w:r>
        <w:t>Pro a proti</w:t>
      </w:r>
    </w:p>
    <w:p w:rsidR="00500724" w:rsidRDefault="00F30FB8">
      <w:pPr>
        <w:pStyle w:val="Zkladntext30"/>
        <w:shd w:val="clear" w:color="auto" w:fill="auto"/>
        <w:spacing w:after="0" w:line="204" w:lineRule="auto"/>
        <w:ind w:firstLine="300"/>
      </w:pPr>
      <w:r>
        <w:t xml:space="preserve">Americkým tiskem prochází už několik měsíců prudká diskuse, které se veřejnost velmi čile účastní. Otázka je: máme rozšířit přistěhovaleckou kvótu </w:t>
      </w:r>
      <w:r>
        <w:rPr>
          <w:b/>
          <w:bCs/>
          <w:sz w:val="26"/>
          <w:szCs w:val="26"/>
        </w:rPr>
        <w:t xml:space="preserve">a </w:t>
      </w:r>
      <w:r>
        <w:t>pustit do země víc Evropanů, než dosud? Přistěhovalci byli odjakživa americkou nejlepší investicí. Což puri</w:t>
      </w:r>
      <w:r>
        <w:softHyphen/>
        <w:t xml:space="preserve">táni nepomohli vybudovat </w:t>
      </w:r>
      <w:r>
        <w:rPr>
          <w:lang w:val="en-US" w:eastAsia="en-US" w:bidi="en-US"/>
        </w:rPr>
        <w:t xml:space="preserve">New-England, </w:t>
      </w:r>
      <w:r>
        <w:t>a odváží sé někdo popírat, že Quakerové se zasloužili o Pennsylva- nii? A nestali se z Hugenottů, kteří přišli roku 1683* a z liberálů, které vyplavil do Ameriky rok 1848, nej</w:t>
      </w:r>
      <w:r>
        <w:softHyphen/>
        <w:t>lepší Američani? Dnes má Amerika víc slav</w:t>
      </w:r>
      <w:r>
        <w:t>ných’ básníků a učenců, vynálezců a odborníků, než která</w:t>
      </w:r>
      <w:r>
        <w:softHyphen/>
        <w:t xml:space="preserve">koli země na světě. Nevěřte, že </w:t>
      </w:r>
      <w:r>
        <w:rPr>
          <w:lang w:val="en-US" w:eastAsia="en-US" w:bidi="en-US"/>
        </w:rPr>
        <w:t xml:space="preserve">refugee </w:t>
      </w:r>
      <w:r>
        <w:t>ubírají Ame</w:t>
      </w:r>
      <w:r>
        <w:softHyphen/>
        <w:t>ričanům práci a chléb, naopak, oni zřizují nové pra</w:t>
      </w:r>
      <w:r>
        <w:softHyphen/>
        <w:t>covní možnosti. V mnoha amerických městech zařídili výrobu nových výrobků a nové továrny, kde d</w:t>
      </w:r>
      <w:r>
        <w:t>nes pra</w:t>
      </w:r>
      <w:r>
        <w:softHyphen/>
        <w:t>cují američtí občané. Přivezli tajemství všelijaké vý</w:t>
      </w:r>
      <w:r>
        <w:softHyphen/>
        <w:t>roby a drahocenné poznatky technické a vyrábějí tečEi předměty, které jsme dřív dováželi z ciziny. Probléní nezaměstnaných soužil Ameriku už v letech sedmde</w:t>
      </w:r>
      <w:r>
        <w:softHyphen/>
        <w:t>sátých a kolem let osmdesátých a tehd</w:t>
      </w:r>
      <w:r>
        <w:t>y ještě nebyla žádná propaganda proti přistěhovalcům. Naši konsu- lové mají možnost vybírat nejlepší z nejlepších. Ale nesmíme zapomínati, že přistěhovalci jsou investice* která se vyplácí až za delší dobu, a že budeme za tři</w:t>
      </w:r>
      <w:r>
        <w:softHyphen/>
        <w:t>cet nebo čtyřicet let šťastni,</w:t>
      </w:r>
      <w:r>
        <w:t xml:space="preserve"> že jsme je přijali.«</w:t>
      </w:r>
    </w:p>
    <w:p w:rsidR="00500724" w:rsidRDefault="00F30FB8">
      <w:pPr>
        <w:pStyle w:val="Zkladntext30"/>
        <w:shd w:val="clear" w:color="auto" w:fill="auto"/>
        <w:spacing w:after="0" w:line="204" w:lineRule="auto"/>
        <w:ind w:firstLine="300"/>
        <w:sectPr w:rsidR="00500724">
          <w:footnotePr>
            <w:numFmt w:val="chicago"/>
            <w:numRestart w:val="eachPage"/>
          </w:footnotePr>
          <w:type w:val="continuous"/>
          <w:pgSz w:w="11909" w:h="16834"/>
          <w:pgMar w:top="1357" w:right="962" w:bottom="920" w:left="592" w:header="0" w:footer="3" w:gutter="0"/>
          <w:cols w:num="2" w:space="113"/>
          <w:noEndnote/>
          <w:docGrid w:linePitch="360"/>
        </w:sectPr>
      </w:pPr>
      <w:r>
        <w:t>Zastánci opačného názoru hubují. »Citově bychom vám měli dát za pravdu,« říkají, »ale žijeme ve zlých dobách a tu je především třeba nechat jednat rozum, A rozum nařizuje, abychom vystěhovalectví omezili.</w:t>
      </w:r>
      <w:r>
        <w:t xml:space="preserve"> Rozum zjišťuje, že máme ve vlastní zemi 12 milionů nezaměstnaných, jimž musíme především pomoci. Naši farmáři jsou ve svízelné situaci, miliony našich občanů žijí v nejbídnější nouzi. Měsíc co měsíc odchá</w:t>
      </w:r>
      <w:r>
        <w:softHyphen/>
        <w:t>zejí velké částky do Evropy, které jsou určeny pro</w:t>
      </w:r>
      <w:r>
        <w:t xml:space="preserve"> po</w:t>
      </w:r>
      <w:r>
        <w:softHyphen/>
        <w:t>moc uprchlíkům. Nemůžeme však činiti zázraky a po</w:t>
      </w:r>
      <w:r>
        <w:softHyphen/>
        <w:t>moci všem. Jsou celé veliké země na zeměkouli, které se tvrdošíjně brání přijímati uprchlíky. Proč se laska</w:t>
      </w:r>
      <w:r>
        <w:softHyphen/>
        <w:t>vě neuvolí Rusko, Jižní Amerika, Kanada nebo Austrálie, aby jich trochu převzala? Amerika přij</w:t>
      </w:r>
      <w:r>
        <w:t>ala v minulém století skoro čtyřicet milionů osob z Evro-</w:t>
      </w:r>
    </w:p>
    <w:p w:rsidR="00500724" w:rsidRDefault="00500724">
      <w:pPr>
        <w:spacing w:line="170" w:lineRule="exact"/>
        <w:rPr>
          <w:sz w:val="14"/>
          <w:szCs w:val="14"/>
        </w:rPr>
      </w:pPr>
    </w:p>
    <w:p w:rsidR="00500724" w:rsidRDefault="00500724">
      <w:pPr>
        <w:spacing w:line="14" w:lineRule="exact"/>
        <w:sectPr w:rsidR="00500724">
          <w:footnotePr>
            <w:numFmt w:val="chicago"/>
            <w:numRestart w:val="eachPage"/>
          </w:footnotePr>
          <w:pgSz w:w="11909" w:h="16834"/>
          <w:pgMar w:top="1432" w:right="0" w:bottom="1271" w:left="0" w:header="0" w:footer="3" w:gutter="0"/>
          <w:cols w:space="720"/>
          <w:noEndnote/>
          <w:docGrid w:linePitch="360"/>
        </w:sectPr>
      </w:pPr>
    </w:p>
    <w:p w:rsidR="00500724" w:rsidRDefault="00F30FB8">
      <w:pPr>
        <w:pStyle w:val="Zkladntext30"/>
        <w:shd w:val="clear" w:color="auto" w:fill="auto"/>
        <w:spacing w:line="206" w:lineRule="auto"/>
        <w:ind w:firstLine="0"/>
      </w:pPr>
      <w:r>
        <w:rPr>
          <w:lang w:val="en-US" w:eastAsia="en-US" w:bidi="en-US"/>
        </w:rPr>
        <w:t xml:space="preserve">py. To </w:t>
      </w:r>
      <w:r>
        <w:t>je tolik, jako má celá Francie. Nikdo nám ne</w:t>
      </w:r>
      <w:r>
        <w:softHyphen/>
        <w:t>může vyčítat, že jsme byli nelidští a neukázali ochotu pomoci.«</w:t>
      </w:r>
    </w:p>
    <w:p w:rsidR="00500724" w:rsidRDefault="00F30FB8">
      <w:pPr>
        <w:pStyle w:val="Zkladntext30"/>
        <w:shd w:val="clear" w:color="auto" w:fill="auto"/>
        <w:spacing w:after="80" w:line="204" w:lineRule="auto"/>
        <w:ind w:firstLine="0"/>
        <w:jc w:val="center"/>
      </w:pPr>
      <w:r>
        <w:t>Staréchyby</w:t>
      </w:r>
    </w:p>
    <w:p w:rsidR="00500724" w:rsidRDefault="00F30FB8">
      <w:pPr>
        <w:pStyle w:val="Zkladntext30"/>
        <w:shd w:val="clear" w:color="auto" w:fill="auto"/>
        <w:spacing w:line="211" w:lineRule="auto"/>
        <w:ind w:firstLine="240"/>
      </w:pPr>
      <w:r>
        <w:t>Na tom, že se o této věci začalo vůbec deba</w:t>
      </w:r>
      <w:r>
        <w:t>tovat, jsou zřejmě vinni sami přistěhovalci. Každý z nich by měl cítit povinnost vděčnosti vůči Spojeným Státům, které se nabídly, že mu poskytnou nový domov. Mnozí na to však zapomínají, sotva se ocitnou uvnitř. Upad</w:t>
      </w:r>
      <w:r>
        <w:softHyphen/>
        <w:t>nou do svých starých zlozvyků — do evr</w:t>
      </w:r>
      <w:r>
        <w:t>opských zlo</w:t>
      </w:r>
      <w:r>
        <w:softHyphen/>
        <w:t>zvyků. Čeho je se potom Američanům nadíti od všelijakých bezohledných propagandistů, pro které je problém nového přistěhovalectví jenom záminkou, aby se obuli do zákonodárství, které je příliš velko</w:t>
      </w:r>
      <w:r>
        <w:softHyphen/>
        <w:t>rysé, do úřadů, do Roosevelta a do všech, kte</w:t>
      </w:r>
      <w:r>
        <w:t>ří dali najevo, že nemají srdce kamenné? To malé procento nových příchozích, které se tak netaktně chová, způ</w:t>
      </w:r>
      <w:r>
        <w:softHyphen/>
        <w:t xml:space="preserve">sobuje ostatním velké škody. Jsou bohužel na světě nepolepšitelní lidé, kteří musí ustavičně zdůrazňovat, čím kdy byli </w:t>
      </w:r>
      <w:r>
        <w:rPr>
          <w:i/>
          <w:iCs/>
        </w:rPr>
        <w:t>a</w:t>
      </w:r>
      <w:r>
        <w:t xml:space="preserve"> kolik měli služek, ačkoli</w:t>
      </w:r>
      <w:r>
        <w:t xml:space="preserve"> bydlí dnes v malém pokojíku. Domnívají se, že to je »fešácké«, hovoří-li v podzemní dráze a v autobusu hlasitě ma</w:t>
      </w:r>
      <w:r>
        <w:softHyphen/>
        <w:t>teřskou řečí, a pohněvané pohledy amerických spolu</w:t>
      </w:r>
      <w:r>
        <w:softHyphen/>
        <w:t>cestujících je jenom těší. » Všímá jí si nás,« domýšlí se polichoceně. Ano, ale jak!</w:t>
      </w:r>
    </w:p>
    <w:p w:rsidR="00500724" w:rsidRDefault="00F30FB8">
      <w:pPr>
        <w:pStyle w:val="Zkladntext30"/>
        <w:shd w:val="clear" w:color="auto" w:fill="auto"/>
        <w:spacing w:after="0" w:line="202" w:lineRule="auto"/>
        <w:ind w:firstLine="240"/>
      </w:pPr>
      <w:r>
        <w:t>Zdá s</w:t>
      </w:r>
      <w:r>
        <w:t>e, že takt je řídká věc u těchto lidí. Zoufale se brání »vypadat jako Američané«, vykládají do omrze</w:t>
      </w:r>
      <w:r>
        <w:softHyphen/>
        <w:t>ní, že se »znovu vrátí domů«, dávají Američanům na srozuměnou, že považují pobyt v této zemi za pouhou nepříjemnou episodu a že se Amerika může cítit šťast</w:t>
      </w:r>
      <w:r>
        <w:softHyphen/>
        <w:t>nou, že je přechovává. Už předem shledávají všechno špatně, co je americké, a mají ustavičně pohotovou frázi, že »u nich bylo všechno mnohem lepší«.</w:t>
      </w:r>
    </w:p>
    <w:p w:rsidR="00500724" w:rsidRDefault="00F30FB8">
      <w:pPr>
        <w:pStyle w:val="Zkladntext30"/>
        <w:shd w:val="clear" w:color="auto" w:fill="auto"/>
        <w:spacing w:after="200" w:line="202" w:lineRule="auto"/>
        <w:ind w:firstLine="240"/>
      </w:pPr>
      <w:r>
        <w:t>Američané jsou trpěliví, ale i trpělivost má hranice, »K čertu s nimi«, řekl mi Američan, který vydal pěk</w:t>
      </w:r>
      <w:r>
        <w:softHyphen/>
      </w:r>
      <w:r>
        <w:t>nou částku svého jmění pro uprchlíky. Největší škodu utrpí však mnoho slušných lidí, kteří se s ním sejdou po jeho špatných zkušenostech.</w:t>
      </w:r>
    </w:p>
    <w:p w:rsidR="00500724" w:rsidRDefault="00F30FB8">
      <w:pPr>
        <w:pStyle w:val="Zkladntext30"/>
        <w:shd w:val="clear" w:color="auto" w:fill="auto"/>
        <w:spacing w:after="80" w:line="204" w:lineRule="auto"/>
        <w:ind w:firstLine="0"/>
        <w:jc w:val="center"/>
      </w:pPr>
      <w:r>
        <w:t>Ostatní</w:t>
      </w:r>
    </w:p>
    <w:p w:rsidR="00500724" w:rsidRDefault="00F30FB8">
      <w:pPr>
        <w:pStyle w:val="Zkladntext30"/>
        <w:shd w:val="clear" w:color="auto" w:fill="auto"/>
        <w:spacing w:line="204" w:lineRule="auto"/>
        <w:ind w:firstLine="240"/>
      </w:pPr>
      <w:r>
        <w:t xml:space="preserve">Ti ostatní, ti slušní, jsou na štěstí v převaze. To je ten zástup lidi, kteří sem přišli s holýma rukama a </w:t>
      </w:r>
      <w:r>
        <w:t>začínají od začátku. Je to docela jiná emigrace, než na příklad ruská, která po roku 1918 vtrhla do Paříže, Zádní velkoknížata, taxikáři, těžkomyslní ničévo- dumci a sentimentální umělci. Dnešní emigrace je tvrdá, věcná, a i když je sentimentální, nedává t</w:t>
      </w:r>
      <w:r>
        <w:t>o pří</w:t>
      </w:r>
      <w:r>
        <w:softHyphen/>
        <w:t>liš najevo, neboť sentimentalita nestojí vysoko v kur</w:t>
      </w:r>
      <w:r>
        <w:softHyphen/>
        <w:t>su amerických hodnot. Inženýři a lékaři se stěhují na venkov, kde jim bylo nabídnuto místo sluhy a jejich manželkám místo kuchařky. Dostávají vše, co potře</w:t>
      </w:r>
      <w:r>
        <w:softHyphen/>
        <w:t xml:space="preserve">bují k životu a nadto 100 až 150 dolarů </w:t>
      </w:r>
      <w:r>
        <w:t xml:space="preserve">měsíčně </w:t>
      </w:r>
      <w:r>
        <w:rPr>
          <w:b/>
          <w:bCs/>
          <w:sz w:val="26"/>
          <w:szCs w:val="26"/>
        </w:rPr>
        <w:t xml:space="preserve">a </w:t>
      </w:r>
      <w:r>
        <w:t>mají dojem, že jsou v ráji.</w:t>
      </w:r>
    </w:p>
    <w:p w:rsidR="00500724" w:rsidRDefault="00F30FB8">
      <w:pPr>
        <w:pStyle w:val="Zkladntext30"/>
        <w:shd w:val="clear" w:color="auto" w:fill="auto"/>
        <w:spacing w:line="202" w:lineRule="auto"/>
        <w:ind w:firstLine="240"/>
      </w:pPr>
      <w:r>
        <w:t>V New-Yorku vychází čtrnáctidenní!?, který pro</w:t>
      </w:r>
      <w:r>
        <w:softHyphen/>
        <w:t>mlouvá především k přistěhovalcům. Je třeba jen jed</w:t>
      </w:r>
      <w:r>
        <w:softHyphen/>
        <w:t xml:space="preserve">nou si ho prohlédnout a už byste viděli, jaký je rozdíl mezi trudnomyslnými emigranty ruskými a mezi </w:t>
      </w:r>
      <w:r>
        <w:rPr>
          <w:lang w:val="en-US" w:eastAsia="en-US" w:bidi="en-US"/>
        </w:rPr>
        <w:t>re</w:t>
      </w:r>
      <w:r>
        <w:rPr>
          <w:lang w:val="en-US" w:eastAsia="en-US" w:bidi="en-US"/>
        </w:rPr>
        <w:softHyphen/>
        <w:t xml:space="preserve">fugee </w:t>
      </w:r>
      <w:r>
        <w:t>dnešními.</w:t>
      </w:r>
      <w:r>
        <w:t xml:space="preserve"> Jakási dáma inseruje: »Rodiče! Ode</w:t>
      </w:r>
      <w:r>
        <w:softHyphen/>
        <w:t>vzdejte mi své děti v době, kdy hledáte práci. Jen malá odměna.« Druhá nabízí »dobrou, vydatnou evropskou stravu za 50 centů«. Dokonce inserát, na</w:t>
      </w:r>
      <w:r>
        <w:softHyphen/>
        <w:t xml:space="preserve">bízející správku punčoch naleznete. Američanky se asi diví, čtou-Ji </w:t>
      </w:r>
      <w:r>
        <w:rPr>
          <w:lang w:val="en-US" w:eastAsia="en-US" w:bidi="en-US"/>
        </w:rPr>
        <w:t xml:space="preserve">to. </w:t>
      </w:r>
      <w:r>
        <w:t>V</w:t>
      </w:r>
      <w:r>
        <w:t xml:space="preserve"> Americe se punčochy nespravují,</w:t>
      </w:r>
    </w:p>
    <w:p w:rsidR="00500724" w:rsidRDefault="00F30FB8">
      <w:pPr>
        <w:pStyle w:val="Zkladntext30"/>
        <w:shd w:val="clear" w:color="auto" w:fill="auto"/>
        <w:spacing w:after="100" w:line="202" w:lineRule="auto"/>
        <w:ind w:firstLine="0"/>
      </w:pPr>
      <w:r>
        <w:t>Když povolí oko, punčocha se zahodí. »Daří se n</w:t>
      </w:r>
      <w:r>
        <w:rPr>
          <w:u w:val="single"/>
        </w:rPr>
        <w:t xml:space="preserve">ám </w:t>
      </w:r>
      <w:r>
        <w:t xml:space="preserve">dost bídně přes to, že jsme tak rozmařilí,« vypráví Američan, »jak špatně by se vedlo našemu průmyslu, kdybychom byli tak spořiví jako lidé v Evropě? Pak bychom neměli </w:t>
      </w:r>
      <w:r>
        <w:t>dvanáct, ale dvacetpět milionů neza</w:t>
      </w:r>
      <w:r>
        <w:softHyphen/>
        <w:t>městnaných !«</w:t>
      </w:r>
    </w:p>
    <w:p w:rsidR="00500724" w:rsidRDefault="00F30FB8">
      <w:pPr>
        <w:pStyle w:val="Zkladntext30"/>
        <w:shd w:val="clear" w:color="auto" w:fill="auto"/>
        <w:spacing w:after="80" w:line="202" w:lineRule="auto"/>
        <w:ind w:firstLine="0"/>
        <w:jc w:val="center"/>
      </w:pPr>
      <w:r>
        <w:t>Státi se občanem!</w:t>
      </w:r>
    </w:p>
    <w:p w:rsidR="00500724" w:rsidRDefault="00F30FB8">
      <w:pPr>
        <w:pStyle w:val="Zkladntext30"/>
        <w:shd w:val="clear" w:color="auto" w:fill="auto"/>
        <w:spacing w:after="0" w:line="202" w:lineRule="auto"/>
      </w:pPr>
      <w:r>
        <w:t>Americký zákon dává přistěhovalcům obrovskou příležitost. Po pěti letech stávají se občany se všemi právy amerického občana. Ku podivu, do nedávná ne</w:t>
      </w:r>
      <w:r>
        <w:softHyphen/>
        <w:t>používali vystěhovalci tohoto práva. N</w:t>
      </w:r>
      <w:r>
        <w:t>ezažádali si o papíry, trochu z pohodlnosti, trochu z přesvědčení, protože chtěli zůstati občany své dřívější vlasti. Na-’ jednou však objevili všichni cenu amerického pasu a lidé, kteří se sem přistěhovali před dvaceti nebo třiceti lety a stále ještě jsou</w:t>
      </w:r>
      <w:r>
        <w:t xml:space="preserve"> cizinci, pokoušejí se dohoniti, co zmeškali. Jenomže musí, jako všichni ostatní, čekati pět let ode dne, kdy zažádali, než dostanou své papíry.</w:t>
      </w:r>
    </w:p>
    <w:p w:rsidR="00500724" w:rsidRDefault="00F30FB8">
      <w:pPr>
        <w:pStyle w:val="Zkladntext30"/>
        <w:shd w:val="clear" w:color="auto" w:fill="auto"/>
        <w:spacing w:after="0" w:line="202" w:lineRule="auto"/>
      </w:pPr>
      <w:r>
        <w:t>Američané protestují nyní proti tomuto rozdělování státního občanství a zdá se, že mají v mnohém prav</w:t>
      </w:r>
      <w:r>
        <w:softHyphen/>
        <w:t>du. Je sp</w:t>
      </w:r>
      <w:r>
        <w:t>rávné, praví Američané, aby u nás bydlil imigrant pět let, pak se odebral k soudci, zvedl ruku, něco zamumlal a rázem se stal občanem nejbohatší země na světě? Dovede si toho vážit? Jak je potom možno, že je tolik nespokojených, kteří běhají po Spo</w:t>
      </w:r>
      <w:r>
        <w:softHyphen/>
        <w:t xml:space="preserve">jených </w:t>
      </w:r>
      <w:r>
        <w:t>Státech a vykládají, že se jim to a ono nelíbí? Občanské právo se nedá vysedět, tvrdí američtí patrioti. Musí být udělováno jako vyznamenání pou</w:t>
      </w:r>
      <w:r>
        <w:softHyphen/>
        <w:t>ze těm, kdož se o ně zasloužili. Ale kolik z těchto rychlopečených občanů vůbec ví, co znamenají hvězdy na amer</w:t>
      </w:r>
      <w:r>
        <w:t>ické vlajce? Znají pouze adresu svého pekaře, řezníka a mlékaře, stěžují si na vysoké daně. a jsou nespokojeni.</w:t>
      </w:r>
    </w:p>
    <w:p w:rsidR="00500724" w:rsidRDefault="00F30FB8">
      <w:pPr>
        <w:pStyle w:val="Zkladntext30"/>
        <w:shd w:val="clear" w:color="auto" w:fill="auto"/>
        <w:spacing w:after="160" w:line="202" w:lineRule="auto"/>
      </w:pPr>
      <w:r>
        <w:t>Američtí patrioti mají pravdu. V dnešních dobách, kdy by miliony lidí dalo desetiletí svého života za to, aby získali americké státní občanství,</w:t>
      </w:r>
      <w:r>
        <w:t xml:space="preserve"> měl by si být každý vědom, jaká výhoda se mu dostala, pakliže je už získal. Většiny vystěhovalců se tato výtka netýká, postihuje spíše menšinu.</w:t>
      </w:r>
    </w:p>
    <w:p w:rsidR="00500724" w:rsidRDefault="00F30FB8">
      <w:pPr>
        <w:pStyle w:val="Jin0"/>
        <w:shd w:val="clear" w:color="auto" w:fill="auto"/>
        <w:spacing w:after="260"/>
        <w:ind w:firstLine="0"/>
        <w:jc w:val="left"/>
        <w:rPr>
          <w:sz w:val="44"/>
          <w:szCs w:val="44"/>
        </w:rPr>
      </w:pPr>
      <w:r>
        <w:rPr>
          <w:b/>
          <w:bCs/>
          <w:sz w:val="44"/>
          <w:szCs w:val="44"/>
          <w:u w:val="single"/>
        </w:rPr>
        <w:t>život a Instituce</w:t>
      </w:r>
    </w:p>
    <w:p w:rsidR="00500724" w:rsidRDefault="00F30FB8">
      <w:pPr>
        <w:pStyle w:val="Zkladntext40"/>
        <w:shd w:val="clear" w:color="auto" w:fill="auto"/>
        <w:spacing w:after="0" w:line="240" w:lineRule="auto"/>
      </w:pPr>
      <w:r>
        <w:rPr>
          <w:b/>
          <w:bCs/>
          <w:i/>
          <w:iCs/>
        </w:rPr>
        <w:t>'Jiří Soumar:</w:t>
      </w:r>
    </w:p>
    <w:p w:rsidR="00500724" w:rsidRDefault="00F30FB8">
      <w:pPr>
        <w:pStyle w:val="Nadpis100"/>
        <w:shd w:val="clear" w:color="auto" w:fill="auto"/>
        <w:spacing w:after="0" w:line="240" w:lineRule="auto"/>
      </w:pPr>
      <w:bookmarkStart w:id="653" w:name="bookmark652"/>
      <w:r>
        <w:t>Duše chce odpočívat</w:t>
      </w:r>
      <w:bookmarkEnd w:id="653"/>
    </w:p>
    <w:p w:rsidR="00500724" w:rsidRDefault="00F30FB8">
      <w:pPr>
        <w:pStyle w:val="Zkladntext30"/>
        <w:shd w:val="clear" w:color="auto" w:fill="auto"/>
        <w:spacing w:line="204" w:lineRule="auto"/>
      </w:pPr>
      <w:r>
        <w:t xml:space="preserve">Pozorujete-li lidi na pražských ulicích, vidíte, že se </w:t>
      </w:r>
      <w:r>
        <w:t>málokdo z nich usmívá. Spíše potkáte člověka, který mluví sám pro sebe a při tom se s někým neviditel</w:t>
      </w:r>
      <w:r>
        <w:softHyphen/>
        <w:t>ným hádá. Nebo uzříte hluboce zamyšleného muže, který se upřel viditelně na jediný problém. Je-li ná</w:t>
      </w:r>
      <w:r>
        <w:softHyphen/>
        <w:t>hodou cizím loktem vyrušen, hned se pře a třeba i bij</w:t>
      </w:r>
      <w:r>
        <w:t>e.</w:t>
      </w:r>
      <w:r>
        <w:rPr>
          <w:vertAlign w:val="subscript"/>
        </w:rPr>
        <w:t xml:space="preserve">; </w:t>
      </w:r>
      <w:r>
        <w:t>Oba tyto typy, právě tak jako úbytek lidí usměva</w:t>
      </w:r>
      <w:r>
        <w:softHyphen/>
        <w:t>vých, jsou známkou, že někteří lidé ztrácejí svou du</w:t>
      </w:r>
      <w:r>
        <w:softHyphen/>
        <w:t>ševní rovnováhu. U někoho se tento nedostatek pro</w:t>
      </w:r>
      <w:r>
        <w:softHyphen/>
        <w:t>jevuje nepřístojným chováním, u jiného zlobou a u těch nejméně odolných sebevraždou nebo porušením z</w:t>
      </w:r>
      <w:r>
        <w:t xml:space="preserve">dravého úsudku. Počet duševně nemocných podle novinových zpráv stoupl u nás ročně o 17.000 lidí. Každý měsíc odveze pražský ochranný sbor sto lidí do ústavu pro duševně choré. Ústavy potřebují o 7000 lůžek víc, mají-li úspěšně léčit všechny případy. </w:t>
      </w:r>
      <w:r>
        <w:rPr>
          <w:b/>
          <w:bCs/>
          <w:sz w:val="18"/>
          <w:szCs w:val="18"/>
        </w:rPr>
        <w:t xml:space="preserve">Na </w:t>
      </w:r>
      <w:r>
        <w:t>ště</w:t>
      </w:r>
      <w:r>
        <w:t>stí pro ně mnoho duševně chorých zůstává v do</w:t>
      </w:r>
      <w:r>
        <w:softHyphen/>
        <w:t>mácím ošetřování.</w:t>
      </w:r>
    </w:p>
    <w:p w:rsidR="00500724" w:rsidRDefault="00F30FB8">
      <w:pPr>
        <w:pStyle w:val="Zkladntext30"/>
        <w:shd w:val="clear" w:color="auto" w:fill="auto"/>
        <w:spacing w:after="0" w:line="204" w:lineRule="auto"/>
      </w:pPr>
      <w:r>
        <w:t>I když se nedomníváme, že jeden po druhém se od</w:t>
      </w:r>
      <w:r>
        <w:softHyphen/>
        <w:t>stěhujeme do blázinců, přece jen je jisto, že počet lidí, kteří zharmonisovali všechny složky svého života* aby rádi žili i uprostřed bouří a ne</w:t>
      </w:r>
      <w:r>
        <w:t>pohody, ubývá. Stále silněji a silněji musí lidé, dík civilisaci i kultuře, utlumovat mnohé své primitivní vzněty. A z toho u nich vzniká neurosa. Neklid, netrpělivost, smutek, melancholie. Nejlépe je si od srdce zaplakat nebo se zasmát. Ale těchto spontán</w:t>
      </w:r>
      <w:r>
        <w:t xml:space="preserve">ních projevů i přímých popudů k nim je málo. A také se to každému nehodí </w:t>
      </w:r>
      <w:r>
        <w:rPr>
          <w:b/>
          <w:bCs/>
        </w:rPr>
        <w:t xml:space="preserve">k </w:t>
      </w:r>
      <w:r>
        <w:t xml:space="preserve">povolání. Podstatou civilisovaného člověka je jistá reservovanost. Nesmí dávat najevo vždycky to, co si myslí. Musí se umět ovládat. A duševní námaha s tím spojená volá ovšem po </w:t>
      </w:r>
      <w:r>
        <w:t>odpočinku.</w:t>
      </w:r>
    </w:p>
    <w:p w:rsidR="00500724" w:rsidRDefault="00F30FB8">
      <w:pPr>
        <w:pStyle w:val="Zkladntext30"/>
        <w:shd w:val="clear" w:color="auto" w:fill="auto"/>
        <w:spacing w:after="0" w:line="202" w:lineRule="auto"/>
      </w:pPr>
      <w:r>
        <w:t>Neméně nebezpečný je fakt specialisace. Lidé se upínají s celou duší k jedinému předmětu. Někdy je to jejich povolání, někdy jen myšlenky. A velmi často je to jejich vlastní osoba a její problematický osud.</w:t>
      </w:r>
    </w:p>
    <w:p w:rsidR="00500724" w:rsidRDefault="00F30FB8">
      <w:pPr>
        <w:pStyle w:val="Zkladntext30"/>
        <w:shd w:val="clear" w:color="auto" w:fill="auto"/>
        <w:spacing w:after="0" w:line="202" w:lineRule="auto"/>
      </w:pPr>
      <w:r>
        <w:t>Člověk v dnešní době pro získání vlast</w:t>
      </w:r>
      <w:r>
        <w:t>ní rovnováhy si potřebuje odpočinout sám od sebe. Vypustit z hlavy všechno to, čím se zaměstnává. V dřívějších dobách to bylo poměrně jednoduché: člověk v úřadě myslil radostně na svou rodinu a doma zase s chutí vzpomí</w:t>
      </w:r>
      <w:r>
        <w:softHyphen/>
        <w:t>nal na klidnou atmosféru ve své kance</w:t>
      </w:r>
      <w:r>
        <w:t>láři. Tak se v něm míchaly dva póly, otce a úředníka, a vznikala harmonická osobnost spořádaného občana. Dnes však starosti úřadu souvisí se starostmi domácími tak, že člověka pronásledují stejné myšlenky v práci i pří odpočinku.</w:t>
      </w:r>
    </w:p>
    <w:p w:rsidR="00500724" w:rsidRDefault="00F30FB8">
      <w:pPr>
        <w:pStyle w:val="Zkladntext30"/>
        <w:shd w:val="clear" w:color="auto" w:fill="auto"/>
        <w:spacing w:after="0" w:line="202" w:lineRule="auto"/>
      </w:pPr>
      <w:r>
        <w:t>Příroda někdy pomůže sama:</w:t>
      </w:r>
      <w:r>
        <w:t xml:space="preserve"> vychrlí na člověka všechnu hrůzu, kterou si mozek může vymyslit a pak je zase na chvíli klid, spojený s ilusí věčné spokoje</w:t>
      </w:r>
      <w:r>
        <w:softHyphen/>
        <w:t xml:space="preserve">nosti. Takovým krvavým lékařem byla světová válka s představou poválečného štěstí věčného míru. Ale čekat na podobné medicíny není </w:t>
      </w:r>
      <w:r>
        <w:t>ani příjemné ani po</w:t>
      </w:r>
      <w:r>
        <w:softHyphen/>
        <w:t>vzbuzující. Hledáme si cesty duševního odpočinku uměle. Umění spočívá v tom, že jakýmkoli způsobem vypudíme z hlavy aspoň na okamžik všechno, co ji obtěžuje. Nejjednodušší způsob je fysická únava, která vede ke klidnému spánku.</w:t>
      </w:r>
    </w:p>
    <w:p w:rsidR="00500724" w:rsidRDefault="00F30FB8">
      <w:pPr>
        <w:pStyle w:val="Zkladntext30"/>
        <w:shd w:val="clear" w:color="auto" w:fill="auto"/>
        <w:spacing w:after="0" w:line="202" w:lineRule="auto"/>
      </w:pPr>
      <w:r>
        <w:t>Ale jsou</w:t>
      </w:r>
      <w:r>
        <w:t xml:space="preserve"> lidé, kteří nemají příležitosti se fysicky unavit. Ne každý dovede v sobě vzbudit nadšení pro zahrádku a ne každý má čas večer co večer zajet si za město, vejít do obdélníku obehnaného ostnatým drátem, kde mezi kameny kvete několik zákrsků, a hrabat se pa</w:t>
      </w:r>
      <w:r>
        <w:t>k v hlíně, hnoji a listí. Ostatně, pak musí zase jet zpátky do města a během jízdy už zase po</w:t>
      </w:r>
      <w:r>
        <w:softHyphen/>
        <w:t>hledem do cizích tváří natolik procitne, že rozrušení překoná únavu a nedovolí mu spát.</w:t>
      </w:r>
    </w:p>
    <w:p w:rsidR="00500724" w:rsidRDefault="00F30FB8">
      <w:pPr>
        <w:pStyle w:val="Zkladntext30"/>
        <w:shd w:val="clear" w:color="auto" w:fill="auto"/>
        <w:spacing w:after="0" w:line="202" w:lineRule="auto"/>
      </w:pPr>
      <w:r>
        <w:t>Hodně lidí používá narkotik. Zeny z toho důvodu navštěvují kartářky, dokon</w:t>
      </w:r>
      <w:r>
        <w:t>ce třeba každé pondělí, aby jim řekly předem, jak bude vypadat příští týden. Podstata života tkví v překvapení. Neboť nač vlastně žít, když budu vědět přesně, jak to se mnou dopadne? Ale lidé užili už tolik různých způsobů překvapení, že prosí osud, aby ji</w:t>
      </w:r>
      <w:r>
        <w:t xml:space="preserve">m všechny další nepředvídanosti vyjevil </w:t>
      </w:r>
      <w:r>
        <w:rPr>
          <w:b/>
          <w:bCs/>
        </w:rPr>
        <w:t xml:space="preserve">v </w:t>
      </w:r>
      <w:r>
        <w:t>kartách nebo v křišťálové kouli.</w:t>
      </w:r>
    </w:p>
    <w:p w:rsidR="00500724" w:rsidRDefault="00F30FB8">
      <w:pPr>
        <w:pStyle w:val="Zkladntext30"/>
        <w:shd w:val="clear" w:color="auto" w:fill="auto"/>
        <w:spacing w:after="0" w:line="204" w:lineRule="auto"/>
      </w:pPr>
      <w:r>
        <w:t>A jiní, kteří nemohou utéci svým myšlenkám, pijí. Snad po celém světě jsou hostince dnes plny a všude teče víno potoky. Dojista aspoň Evropa se proměnila ve velkou krčmu, v které sv</w:t>
      </w:r>
      <w:r>
        <w:t>orně pije velký i malý. Ale není tu gargantuovského veselí, bezstarostnosti, která hledá ventil pro svou bujnost. Do pohárů se noří ulekané oči a rozechvěné rty, na kterých věčně tkví nějaká otázka: Proč? Kdy? Jak?</w:t>
      </w:r>
    </w:p>
    <w:p w:rsidR="00500724" w:rsidRDefault="00F30FB8">
      <w:pPr>
        <w:pStyle w:val="Zkladntext30"/>
        <w:shd w:val="clear" w:color="auto" w:fill="auto"/>
        <w:spacing w:after="0" w:line="202" w:lineRule="auto"/>
      </w:pPr>
      <w:r>
        <w:t xml:space="preserve">A ještě horších narkotik lidé používají, </w:t>
      </w:r>
      <w:r>
        <w:t>ať už fysické nebo nehmatatelné substance. Kokainu jako spiri</w:t>
      </w:r>
      <w:r>
        <w:softHyphen/>
        <w:t>tismu, náboženských pověr jako morfiových injekcí. Hazardních her jako vzrušujících detektivek. A skoro každý z nás navykl si hovořit oním roztržitým způso</w:t>
      </w:r>
      <w:r>
        <w:softHyphen/>
        <w:t>bem, kdy usmívající se ústa vypouštějí</w:t>
      </w:r>
      <w:r>
        <w:t xml:space="preserve"> celé shluky roztomilých slov, ale mozek se mučí zatím docela něčím jiným. A víme, že ten druhý, který nám od</w:t>
      </w:r>
      <w:r>
        <w:softHyphen/>
        <w:t>povídá, je na tom právě tak, ale nedovedeme si upřímně říci, že oba myslíme a mluvíme jinak. Snad je to lépe. Být upřímný, když upřímnost je obklo</w:t>
      </w:r>
      <w:r>
        <w:t>pe</w:t>
      </w:r>
      <w:r>
        <w:softHyphen/>
        <w:t>na jen smutkem, směsí skepse a pochybné naděje* není zvlášť příjemné. Raději hrát veselého člověka, zatím co hluboký v srdci žal.</w:t>
      </w:r>
    </w:p>
    <w:p w:rsidR="00500724" w:rsidRDefault="00F30FB8">
      <w:pPr>
        <w:pStyle w:val="Zkladntext30"/>
        <w:shd w:val="clear" w:color="auto" w:fill="auto"/>
        <w:spacing w:after="0" w:line="202" w:lineRule="auto"/>
      </w:pPr>
      <w:r>
        <w:t>Je těžko proměnit člověka, který z určitých rozumo</w:t>
      </w:r>
      <w:r>
        <w:softHyphen/>
        <w:t>vých příčin nemůže a nechce být veselý, ve švitoři- vého šprýmaře. Ale p</w:t>
      </w:r>
      <w:r>
        <w:t>řece jen je třeba hledati lék* aby naše ústavy pro duševně choré se najednou ne- zhroutily pro přepracovanost.</w:t>
      </w:r>
    </w:p>
    <w:p w:rsidR="00500724" w:rsidRDefault="00F30FB8">
      <w:pPr>
        <w:pStyle w:val="Zkladntext30"/>
        <w:shd w:val="clear" w:color="auto" w:fill="auto"/>
        <w:spacing w:after="0" w:line="204" w:lineRule="auto"/>
      </w:pPr>
      <w:r>
        <w:t>Mozek je jako továrna. Když je dobře veden, pro</w:t>
      </w:r>
      <w:r>
        <w:softHyphen/>
        <w:t>spívá. Když se mu však ponechává mnoho volného času bez usměrnění, poplaší se jako dělníci, jejic</w:t>
      </w:r>
      <w:r>
        <w:t>hž ředitel projevil zřetelnou váhavost. Přestane pravi</w:t>
      </w:r>
      <w:r>
        <w:softHyphen/>
        <w:t>delně pracovat a začne schůzovat. Honí se v něm ná</w:t>
      </w:r>
      <w:r>
        <w:softHyphen/>
        <w:t>zory pro i proti, plynou dlouhé, neplodné debaty a zmocňuje se ho podrážděnost. Mozek má být stále zaměstnáván, jinak s ním není k vydržení. Pro každý</w:t>
      </w:r>
      <w:r>
        <w:t xml:space="preserve"> mozek je nebezpečné, když má příliš volného času. Není možno jej přetěžovat ustavičně jediným způso</w:t>
      </w:r>
      <w:r>
        <w:softHyphen/>
        <w:t>bem práce. Ale nejlepším odpočinkem je pro člověka a jeho mozek změna činnosti.</w:t>
      </w:r>
    </w:p>
    <w:p w:rsidR="00500724" w:rsidRDefault="00F30FB8">
      <w:pPr>
        <w:pStyle w:val="Zkladntext30"/>
        <w:shd w:val="clear" w:color="auto" w:fill="auto"/>
        <w:spacing w:after="0" w:line="202" w:lineRule="auto"/>
      </w:pPr>
      <w:r>
        <w:t>Náš vlastní životní a pracovní obor — užíváme slov docenta Bogatyreva — jen</w:t>
      </w:r>
      <w:r>
        <w:t>ž nás zavazuje téměř po celý život hráti úlohu, učitele, obchodníka, úřed</w:t>
      </w:r>
      <w:r>
        <w:softHyphen/>
        <w:t>níka atd. — málokdy nám dává příležitost vyskočit! z té role a zahřátí úlohu jinou.</w:t>
      </w:r>
    </w:p>
    <w:p w:rsidR="00500724" w:rsidRDefault="00F30FB8">
      <w:pPr>
        <w:pStyle w:val="Zkladntext30"/>
        <w:shd w:val="clear" w:color="auto" w:fill="auto"/>
        <w:spacing w:after="60" w:line="202" w:lineRule="auto"/>
        <w:ind w:firstLine="0"/>
        <w:jc w:val="center"/>
      </w:pPr>
      <w:r>
        <w:t>•</w:t>
      </w:r>
    </w:p>
    <w:p w:rsidR="00500724" w:rsidRDefault="00F30FB8">
      <w:pPr>
        <w:pStyle w:val="Zkladntext30"/>
        <w:shd w:val="clear" w:color="auto" w:fill="auto"/>
        <w:spacing w:after="0" w:line="204" w:lineRule="auto"/>
        <w:sectPr w:rsidR="00500724">
          <w:footnotePr>
            <w:numFmt w:val="chicago"/>
            <w:numRestart w:val="eachPage"/>
          </w:footnotePr>
          <w:type w:val="continuous"/>
          <w:pgSz w:w="11909" w:h="16834"/>
          <w:pgMar w:top="1432" w:right="1052" w:bottom="1271" w:left="491" w:header="0" w:footer="3" w:gutter="0"/>
          <w:cols w:num="2" w:space="113"/>
          <w:noEndnote/>
          <w:docGrid w:linePitch="360"/>
        </w:sectPr>
      </w:pPr>
      <w:r>
        <w:t>Ale právě tento skok do jiné role je schopen mozku poskytnout očis</w:t>
      </w:r>
      <w:r>
        <w:t>tnou rekreaci. Za starých časů bylo k tomu dost příležitostí. V každé obci byl počestný sedlák, který přechodně vystupoval v úloze družby. Jiný zase organisoval zábavy pro mládež. Jiný byl nejen úředníkem, ale také předsedou té či oné orga</w:t>
      </w:r>
      <w:r>
        <w:softHyphen/>
        <w:t>nisace kulturní,</w:t>
      </w:r>
      <w:r>
        <w:t xml:space="preserve"> politické, tělovýchovné. A proč myslí</w:t>
      </w:r>
      <w:r>
        <w:softHyphen/>
        <w:t>te, že tolik lidí se věnovalo činnosti v ochotnických spolcích? Jeviště jim dovolovalo, aby unikli z jedno</w:t>
      </w:r>
      <w:r>
        <w:softHyphen/>
        <w:t>tvárnosti svého povolání a aspoň na chvíli si zahráli na milovníka, intrikána, dobrého dědečka či úspěšné</w:t>
      </w:r>
      <w:r>
        <w:softHyphen/>
        <w:t>ho h</w:t>
      </w:r>
      <w:r>
        <w:t>rdinu. V našem národě je pravděpodobně silněji než jinde vyvinuta touha dívat se na život s několika hledisek. Každý chce žít aspoň dvojím způsobem. A mnohým nestačilo ani to. Potřebovali svůj mozek zaměstnat co nejtrvaleji, aby přemohli tu touhu po hlouba</w:t>
      </w:r>
      <w:r>
        <w:t>vosti, která je dána skoro každému člověku v této zemi. Nechtěli naplano přemýšlet a proto v me</w:t>
      </w:r>
      <w:r>
        <w:softHyphen/>
        <w:t>zích možností dřeli v desíti spolcích na práci třeba někdy nikoli neplané. Velká kulturní vyspělost ná</w:t>
      </w:r>
      <w:r>
        <w:softHyphen/>
        <w:t>roda je nebezpečím pro jeho duševní klid. Nedovede</w:t>
      </w:r>
      <w:r>
        <w:softHyphen/>
        <w:t>me rad</w:t>
      </w:r>
      <w:r>
        <w:t xml:space="preserve">ostí spontánně užívat jako v národech jiných. I radost musí být zařaděna do nějaké pracovní kázně. Muži nechodí do hospod jen proto, aby pili, ale aby se účastnili nějaké schůze. Nejdeme na výlet jen pro radost z přírody, ale proto, abychom učinili zadost </w:t>
      </w:r>
      <w:r>
        <w:t>spolkové povinnosti. Nestačí člověku, aby byl soudním oficiálem, chce ještě být jednatelem Okrašlovacího</w:t>
      </w:r>
    </w:p>
    <w:p w:rsidR="00500724" w:rsidRDefault="00F30FB8">
      <w:pPr>
        <w:spacing w:line="14" w:lineRule="exact"/>
      </w:pPr>
      <w:r>
        <w:rPr>
          <w:noProof/>
        </w:rPr>
        <mc:AlternateContent>
          <mc:Choice Requires="wps">
            <w:drawing>
              <wp:anchor distT="0" distB="74930" distL="114300" distR="3662045" simplePos="0" relativeHeight="125830026" behindDoc="0" locked="0" layoutInCell="1" allowOverlap="1">
                <wp:simplePos x="0" y="0"/>
                <wp:positionH relativeFrom="page">
                  <wp:posOffset>2932430</wp:posOffset>
                </wp:positionH>
                <wp:positionV relativeFrom="paragraph">
                  <wp:posOffset>12700</wp:posOffset>
                </wp:positionV>
                <wp:extent cx="381000" cy="389890"/>
                <wp:effectExtent l="0" t="0" r="0" b="0"/>
                <wp:wrapTopAndBottom/>
                <wp:docPr id="649" name="Shape 649"/>
                <wp:cNvGraphicFramePr/>
                <a:graphic xmlns:a="http://schemas.openxmlformats.org/drawingml/2006/main">
                  <a:graphicData uri="http://schemas.microsoft.com/office/word/2010/wordprocessingShape">
                    <wps:wsp>
                      <wps:cNvSpPr txBox="1"/>
                      <wps:spPr>
                        <a:xfrm>
                          <a:off x="0" y="0"/>
                          <a:ext cx="381000" cy="389890"/>
                        </a:xfrm>
                        <a:prstGeom prst="rect">
                          <a:avLst/>
                        </a:prstGeom>
                        <a:noFill/>
                      </wps:spPr>
                      <wps:txbx>
                        <w:txbxContent>
                          <w:p w:rsidR="00500724" w:rsidRDefault="00F30FB8">
                            <w:pPr>
                              <w:pStyle w:val="Nadpis90"/>
                              <w:keepNext/>
                              <w:keepLines/>
                              <w:shd w:val="clear" w:color="auto" w:fill="auto"/>
                              <w:spacing w:after="0"/>
                            </w:pPr>
                            <w:bookmarkStart w:id="654" w:name="bookmark653"/>
                            <w:r>
                              <w:rPr>
                                <w:rFonts w:ascii="Times New Roman" w:eastAsia="Times New Roman" w:hAnsi="Times New Roman" w:cs="Times New Roman"/>
                              </w:rPr>
                              <w:t>Přít</w:t>
                            </w:r>
                            <w:bookmarkEnd w:id="654"/>
                          </w:p>
                        </w:txbxContent>
                      </wps:txbx>
                      <wps:bodyPr lIns="0" tIns="0" rIns="0" bIns="0">
                        <a:spAutoFit/>
                      </wps:bodyPr>
                    </wps:wsp>
                  </a:graphicData>
                </a:graphic>
              </wp:anchor>
            </w:drawing>
          </mc:Choice>
          <mc:Fallback>
            <w:pict>
              <v:shape id="_x0000_s1675" type="#_x0000_t202" style="position:absolute;margin-left:230.90000000000001pt;margin-top:1.pt;width:30.pt;height:30.699999999999999pt;z-index:-125828727;mso-wrap-distance-left:9.pt;mso-wrap-distance-right:288.35000000000002pt;mso-wrap-distance-bottom:5.9000000000000004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653" w:name="bookmark653"/>
                      <w:r>
                        <w:rPr>
                          <w:rFonts w:ascii="Times New Roman" w:eastAsia="Times New Roman" w:hAnsi="Times New Roman" w:cs="Times New Roman"/>
                          <w:color w:val="000000"/>
                          <w:spacing w:val="0"/>
                          <w:w w:val="100"/>
                          <w:position w:val="0"/>
                          <w:shd w:val="clear" w:color="auto" w:fill="auto"/>
                          <w:lang w:val="cs-CZ" w:eastAsia="cs-CZ" w:bidi="cs-CZ"/>
                        </w:rPr>
                        <w:t>Přít</w:t>
                      </w:r>
                      <w:bookmarkEnd w:id="653"/>
                    </w:p>
                  </w:txbxContent>
                </v:textbox>
                <w10:wrap type="topAndBottom" anchorx="page"/>
              </v:shape>
            </w:pict>
          </mc:Fallback>
        </mc:AlternateContent>
      </w:r>
      <w:r>
        <w:rPr>
          <w:noProof/>
        </w:rPr>
        <mc:AlternateContent>
          <mc:Choice Requires="wps">
            <w:drawing>
              <wp:anchor distT="118745" distB="38100" distL="1013460" distR="114300" simplePos="0" relativeHeight="125830028" behindDoc="0" locked="0" layoutInCell="1" allowOverlap="1">
                <wp:simplePos x="0" y="0"/>
                <wp:positionH relativeFrom="page">
                  <wp:posOffset>3831590</wp:posOffset>
                </wp:positionH>
                <wp:positionV relativeFrom="paragraph">
                  <wp:posOffset>131445</wp:posOffset>
                </wp:positionV>
                <wp:extent cx="3029585" cy="307975"/>
                <wp:effectExtent l="0" t="0" r="0" b="0"/>
                <wp:wrapTopAndBottom/>
                <wp:docPr id="651" name="Shape 651"/>
                <wp:cNvGraphicFramePr/>
                <a:graphic xmlns:a="http://schemas.openxmlformats.org/drawingml/2006/main">
                  <a:graphicData uri="http://schemas.microsoft.com/office/word/2010/wordprocessingShape">
                    <wps:wsp>
                      <wps:cNvSpPr txBox="1"/>
                      <wps:spPr>
                        <a:xfrm>
                          <a:off x="0" y="0"/>
                          <a:ext cx="3029585" cy="307975"/>
                        </a:xfrm>
                        <a:prstGeom prst="rect">
                          <a:avLst/>
                        </a:prstGeom>
                        <a:noFill/>
                      </wps:spPr>
                      <wps:txbx>
                        <w:txbxContent>
                          <w:p w:rsidR="00500724" w:rsidRDefault="00F30FB8">
                            <w:pPr>
                              <w:pStyle w:val="Jin0"/>
                              <w:shd w:val="clear" w:color="auto" w:fill="auto"/>
                              <w:ind w:firstLine="0"/>
                              <w:jc w:val="left"/>
                              <w:rPr>
                                <w:sz w:val="34"/>
                                <w:szCs w:val="34"/>
                              </w:rPr>
                            </w:pPr>
                            <w:r>
                              <w:rPr>
                                <w:rFonts w:ascii="Arial" w:eastAsia="Arial" w:hAnsi="Arial" w:cs="Arial"/>
                                <w:sz w:val="34"/>
                                <w:szCs w:val="34"/>
                              </w:rPr>
                              <w:t>&gt;SO</w:t>
                            </w:r>
                          </w:p>
                        </w:txbxContent>
                      </wps:txbx>
                      <wps:bodyPr lIns="0" tIns="0" rIns="0" bIns="0">
                        <a:spAutoFit/>
                      </wps:bodyPr>
                    </wps:wsp>
                  </a:graphicData>
                </a:graphic>
              </wp:anchor>
            </w:drawing>
          </mc:Choice>
          <mc:Fallback>
            <w:pict>
              <v:shape id="_x0000_s1677" type="#_x0000_t202" style="position:absolute;margin-left:301.69999999999999pt;margin-top:10.35pt;width:238.55000000000001pt;height:24.25pt;z-index:-125828725;mso-wrap-distance-left:79.799999999999997pt;mso-wrap-distance-top:9.3499999999999996pt;mso-wrap-distance-right:9.pt;mso-wrap-distance-bottom:3.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&gt;SO</w:t>
                      </w:r>
                    </w:p>
                  </w:txbxContent>
                </v:textbox>
                <w10:wrap type="topAndBottom" anchorx="page"/>
              </v:shape>
            </w:pict>
          </mc:Fallback>
        </mc:AlternateContent>
      </w:r>
    </w:p>
    <w:p w:rsidR="00500724" w:rsidRDefault="00F30FB8">
      <w:pPr>
        <w:pStyle w:val="Zkladntext30"/>
        <w:shd w:val="clear" w:color="auto" w:fill="auto"/>
        <w:spacing w:after="0" w:line="202" w:lineRule="auto"/>
        <w:ind w:firstLine="0"/>
      </w:pPr>
      <w:r>
        <w:t>spolku. Soudní oficiál vidí celý život jen s jednoho hlediska, které v něm po čase vzbuzuje úzkost. Jed</w:t>
      </w:r>
      <w:r>
        <w:softHyphen/>
        <w:t>natelství v Okrašlovacím spolku</w:t>
      </w:r>
      <w:r>
        <w:t xml:space="preserve"> mu dovolí, aby si našel zbrusu novou observatoř pro svá pozorování. Na světě už nejsou jenom soudní akta, ale také květiny a lipová alej.</w:t>
      </w:r>
    </w:p>
    <w:p w:rsidR="00500724" w:rsidRDefault="00F30FB8">
      <w:pPr>
        <w:pStyle w:val="Zkladntext30"/>
        <w:shd w:val="clear" w:color="auto" w:fill="auto"/>
        <w:spacing w:after="0" w:line="202" w:lineRule="auto"/>
        <w:ind w:firstLine="240"/>
      </w:pPr>
      <w:r>
        <w:t>Nové uspořádání věcí v naší společnosti do značné míry ohrozilo tuto hlubokou zálibu lidí v rozmani</w:t>
      </w:r>
      <w:r>
        <w:softHyphen/>
        <w:t xml:space="preserve">tosti práce i ve </w:t>
      </w:r>
      <w:r>
        <w:t>výměně názorů. Nemůže-li náš člověk debatovat ve spolku, debatuje sám se sebou a pro</w:t>
      </w:r>
      <w:r>
        <w:softHyphen/>
        <w:t>padává meláncholii. V některých chvílích si uvědo</w:t>
      </w:r>
      <w:r>
        <w:softHyphen/>
        <w:t>muje, že jsme těch spolků měli opravdu mnoho. Ale bylo jich zapotřebí, aby se přebytečná mozková ener</w:t>
      </w:r>
      <w:r>
        <w:softHyphen/>
        <w:t>gie bez úrazu vybil</w:t>
      </w:r>
      <w:r>
        <w:t>a.</w:t>
      </w:r>
    </w:p>
    <w:p w:rsidR="00500724" w:rsidRDefault="00F30FB8">
      <w:pPr>
        <w:pStyle w:val="Zkladntext30"/>
        <w:shd w:val="clear" w:color="auto" w:fill="auto"/>
        <w:spacing w:after="0" w:line="202" w:lineRule="auto"/>
        <w:ind w:firstLine="240"/>
      </w:pPr>
      <w:r>
        <w:t>Naše duše si chce odpočinout. A odpočine si nej</w:t>
      </w:r>
      <w:r>
        <w:softHyphen/>
        <w:t>lépe, když mozek změní každý den aspoň na nějakou hodinu způsob práce. Dnes však jsou poměry až příliš zjednodušeny: odbudeme si svou pracovní povinnost, za kterou dostáváme peníze, a pak jsme vyhozeni do</w:t>
      </w:r>
      <w:r>
        <w:softHyphen/>
      </w:r>
      <w:r>
        <w:t>mů a dělejte si, holoubci, dál co chcete. A holoubek sedí doma a hloubá. Přemýšlí o světě a pomalu pro</w:t>
      </w:r>
      <w:r>
        <w:softHyphen/>
        <w:t>padá neurose, protože jeho příliš čilý mozek se ne</w:t>
      </w:r>
      <w:r>
        <w:softHyphen/>
        <w:t>může uchopit nějaké konkrétní práce a jen tak pře</w:t>
      </w:r>
      <w:r>
        <w:softHyphen/>
        <w:t>valuje s místa na místo balvany neřešitelných záhad.</w:t>
      </w:r>
    </w:p>
    <w:p w:rsidR="00500724" w:rsidRDefault="00F30FB8">
      <w:pPr>
        <w:pStyle w:val="Zkladntext30"/>
        <w:shd w:val="clear" w:color="auto" w:fill="auto"/>
        <w:spacing w:after="0" w:line="180" w:lineRule="auto"/>
        <w:ind w:firstLine="0"/>
        <w:jc w:val="center"/>
      </w:pPr>
      <w:r>
        <w:t>•</w:t>
      </w:r>
    </w:p>
    <w:p w:rsidR="00500724" w:rsidRDefault="00F30FB8">
      <w:pPr>
        <w:pStyle w:val="Zkladntext30"/>
        <w:shd w:val="clear" w:color="auto" w:fill="auto"/>
        <w:spacing w:after="0" w:line="202" w:lineRule="auto"/>
        <w:ind w:firstLine="240"/>
      </w:pPr>
      <w:r>
        <w:t>Pro dobrou životní pohodu je třeba hrát aspoň dvě životní role. Nesmí se to ovšem přehánět — jako v oné přihodě Sherlocka Holmesa, kde úctyhodný bankovní úředník ve volných chvílích chodil po londýnských ulicích přestrojen za mrzáka a žebral. Tak daleko</w:t>
      </w:r>
      <w:r>
        <w:t xml:space="preserve"> tato touha nesahá. A zase málo lidí je nadáno fantasií Pietra Breughela, aby jim stačilo sehnout se a dívat se mezi vlastníma rozkročenýma nohama, jak ro</w:t>
      </w:r>
      <w:r>
        <w:softHyphen/>
        <w:t>manticky vypadá svět, když jej vidíme obráceně (ostatně Breughela z té podívané ranila nakonec mrtvic</w:t>
      </w:r>
      <w:r>
        <w:t>e).</w:t>
      </w:r>
    </w:p>
    <w:p w:rsidR="00500724" w:rsidRDefault="00F30FB8">
      <w:pPr>
        <w:pStyle w:val="Zkladntext30"/>
        <w:shd w:val="clear" w:color="auto" w:fill="auto"/>
        <w:spacing w:after="0" w:line="202" w:lineRule="auto"/>
        <w:ind w:firstLine="240"/>
      </w:pPr>
      <w:r>
        <w:t>Cím se člověk zabývá častěji jedinou věcí, tím váž</w:t>
      </w:r>
      <w:r>
        <w:softHyphen/>
        <w:t>něji ji bere. Pro mnohého docenta neexistuje na světě nic jiného, než právě jeho poměrně úzký výsek vědy. Ale tato přílišná specialisace, která z něho činí sice vynikajícího odborníka, ale nenormálního</w:t>
      </w:r>
      <w:r>
        <w:t xml:space="preserve"> člověka, je nebezpečná. Teprve když zjistí, že se lidé zajímají také o něco jiného než o jeho vědu, se mu může žiti lehčeji a příjemněji. </w:t>
      </w:r>
      <w:r>
        <w:rPr>
          <w:lang w:val="en-US" w:eastAsia="en-US" w:bidi="en-US"/>
        </w:rPr>
        <w:t xml:space="preserve">Dickens </w:t>
      </w:r>
      <w:r>
        <w:t>by jistě nikdy nenapsal tolik dojímavých knížek, kdyby si občas s dětmi nezahrál divadlo a neúčastnil se všec</w:t>
      </w:r>
      <w:r>
        <w:t>h jejich her. Člověk se musí občas na vlastní práci podívat cizíma očima, aby se uklidnil. A také na všechny problémy, které ho děsí. Pro učence může být prospěšný hovor, který povede o světové politice s kopáčem. A nástrojařský dělník nabude také jiného d</w:t>
      </w:r>
      <w:r>
        <w:t>ojmu, když se pohádá na neutrálním místě s berním úředníkem.</w:t>
      </w:r>
    </w:p>
    <w:p w:rsidR="00500724" w:rsidRDefault="00F30FB8">
      <w:pPr>
        <w:pStyle w:val="Zkladntext30"/>
        <w:shd w:val="clear" w:color="auto" w:fill="auto"/>
        <w:spacing w:after="180" w:line="202" w:lineRule="auto"/>
        <w:ind w:firstLine="240"/>
      </w:pPr>
      <w:r>
        <w:t>Jste nervosní? Spatně spíte? Pak se pokuste najít společnost, která vůbec nehovoří o problémech, jež vás rozčilují. Pokuste se naslouchat lidem, kteří umí zajímavě hovořit o věcech vám neznámých.</w:t>
      </w:r>
      <w:r>
        <w:t xml:space="preserve"> Snažte se na chvíli proměnit v jiného člověka, než jakým jste přes den. Člověk se neuklidní, když se i ve vol</w:t>
      </w:r>
      <w:r>
        <w:softHyphen/>
        <w:t>ném čase stýká s lidmi, kteří jsou jeho druhy v práci. Musí hrát chvíli jinou roli, než jaká je mu přidělena v zaměstnání. A proto problém spolků</w:t>
      </w:r>
      <w:r>
        <w:t xml:space="preserve"> nejrůznějších jmen a nejgrotesknějších účelů není jen otázkou škrtnutí pera. Je to problém sociologický, který i ve státech, kde podobné zjednodušení bylo provedeno, byl dobře pochopen. Je možno zjednodušit, to jest zrušit dosavadní spolkový život. Ale je</w:t>
      </w:r>
      <w:r>
        <w:t xml:space="preserve"> třeba místo něho vybudovat taliové instituce, kde by zase lidem, unaveným a znervosnělým nudnou prací, k níž jsou přikováni pro celý život, byla dána možnost chvíli se proměnit v někoho jiného. Aby se na sebe podívali z dálky a nebrali se pokud možno tak </w:t>
      </w:r>
      <w:r>
        <w:t>vážně. Neboť když člověk nedbá své vlastní důstojnosti, je to blá</w:t>
      </w:r>
      <w:r>
        <w:softHyphen/>
        <w:t>zen. Ale když se bere až příliš vážně, patrně zešílí.</w:t>
      </w:r>
    </w:p>
    <w:p w:rsidR="00500724" w:rsidRDefault="00F30FB8">
      <w:pPr>
        <w:pStyle w:val="Jin0"/>
        <w:shd w:val="clear" w:color="auto" w:fill="auto"/>
        <w:spacing w:after="180"/>
        <w:ind w:firstLine="0"/>
        <w:jc w:val="left"/>
        <w:rPr>
          <w:sz w:val="46"/>
          <w:szCs w:val="46"/>
        </w:rPr>
      </w:pPr>
      <w:r>
        <w:rPr>
          <w:b/>
          <w:bCs/>
          <w:sz w:val="46"/>
          <w:szCs w:val="46"/>
          <w:u w:val="single"/>
        </w:rPr>
        <w:t>otázky a odpovědi</w:t>
      </w:r>
    </w:p>
    <w:p w:rsidR="00500724" w:rsidRDefault="00F30FB8">
      <w:pPr>
        <w:pStyle w:val="Zkladntext30"/>
        <w:shd w:val="clear" w:color="auto" w:fill="auto"/>
        <w:spacing w:after="0" w:line="240" w:lineRule="auto"/>
        <w:ind w:firstLine="0"/>
        <w:rPr>
          <w:sz w:val="20"/>
          <w:szCs w:val="20"/>
        </w:rPr>
      </w:pPr>
      <w:r>
        <w:rPr>
          <w:i/>
          <w:iCs/>
          <w:sz w:val="20"/>
          <w:szCs w:val="20"/>
        </w:rPr>
        <w:t>Karel Kuchyňka:</w:t>
      </w:r>
    </w:p>
    <w:p w:rsidR="00500724" w:rsidRDefault="00F30FB8">
      <w:pPr>
        <w:pStyle w:val="Nadpis100"/>
        <w:shd w:val="clear" w:color="auto" w:fill="auto"/>
        <w:spacing w:after="0" w:line="240" w:lineRule="auto"/>
      </w:pPr>
      <w:bookmarkStart w:id="655" w:name="bookmark654"/>
      <w:r>
        <w:t>Je jasnovidnost opravdu jen</w:t>
      </w:r>
      <w:r>
        <w:br/>
        <w:t>pověra?</w:t>
      </w:r>
      <w:bookmarkEnd w:id="655"/>
    </w:p>
    <w:p w:rsidR="00500724" w:rsidRDefault="00F30FB8">
      <w:pPr>
        <w:pStyle w:val="Zkladntext40"/>
        <w:shd w:val="clear" w:color="auto" w:fill="auto"/>
        <w:spacing w:after="0" w:line="286" w:lineRule="auto"/>
        <w:ind w:firstLine="220"/>
        <w:rPr>
          <w:sz w:val="14"/>
          <w:szCs w:val="14"/>
        </w:rPr>
      </w:pPr>
      <w:r>
        <w:rPr>
          <w:b/>
          <w:bCs/>
          <w:sz w:val="14"/>
          <w:szCs w:val="14"/>
        </w:rPr>
        <w:t xml:space="preserve">Žijeme ve vážné době, která vyžaduje řešení tolika důležitých </w:t>
      </w:r>
      <w:r>
        <w:rPr>
          <w:b/>
          <w:bCs/>
          <w:sz w:val="14"/>
          <w:szCs w:val="14"/>
        </w:rPr>
        <w:t>úkolů, že by se opravdu mohlo zdáti zbyteč</w:t>
      </w:r>
      <w:r>
        <w:rPr>
          <w:b/>
          <w:bCs/>
          <w:sz w:val="14"/>
          <w:szCs w:val="14"/>
        </w:rPr>
        <w:softHyphen/>
        <w:t xml:space="preserve">ným klásti si dnes takovou otázku. Jestliže se přes to chci pokusiti o odpověď na ni, vede mne k tomu článek, otištěný v č. 19. Přítomnosti pod názvem: &gt;Já jistě </w:t>
      </w:r>
      <w:r>
        <w:rPr>
          <w:b/>
          <w:bCs/>
          <w:sz w:val="22"/>
          <w:szCs w:val="22"/>
        </w:rPr>
        <w:t>ne</w:t>
      </w:r>
      <w:r>
        <w:rPr>
          <w:b/>
          <w:bCs/>
          <w:sz w:val="22"/>
          <w:szCs w:val="22"/>
        </w:rPr>
        <w:softHyphen/>
      </w:r>
      <w:r>
        <w:rPr>
          <w:b/>
          <w:bCs/>
          <w:sz w:val="14"/>
          <w:szCs w:val="14"/>
        </w:rPr>
        <w:t>jsem pověrčivý, ale...« Jeho autor Petr K. svolá</w:t>
      </w:r>
      <w:r>
        <w:rPr>
          <w:b/>
          <w:bCs/>
          <w:sz w:val="14"/>
          <w:szCs w:val="14"/>
        </w:rPr>
        <w:t>vá v něm hromy a blesky na tu hroznou a moderního člo</w:t>
      </w:r>
      <w:r>
        <w:rPr>
          <w:b/>
          <w:bCs/>
          <w:sz w:val="14"/>
          <w:szCs w:val="14"/>
        </w:rPr>
        <w:softHyphen/>
        <w:t>věka XX. století tak nedůstojnou pověru, jakou je mu přesvědčení některých lidí, že je jasnovidnost možná. Autor si ovšem svůj důkaz o pošetilosti víry v jasno</w:t>
      </w:r>
      <w:r>
        <w:rPr>
          <w:b/>
          <w:bCs/>
          <w:sz w:val="14"/>
          <w:szCs w:val="14"/>
        </w:rPr>
        <w:softHyphen/>
        <w:t>vidnost usnadňuje tím, že se ve svém článk</w:t>
      </w:r>
      <w:r>
        <w:rPr>
          <w:b/>
          <w:bCs/>
          <w:sz w:val="14"/>
          <w:szCs w:val="14"/>
        </w:rPr>
        <w:t>u obírá vý</w:t>
      </w:r>
      <w:r>
        <w:rPr>
          <w:b/>
          <w:bCs/>
          <w:sz w:val="14"/>
          <w:szCs w:val="14"/>
        </w:rPr>
        <w:softHyphen/>
        <w:t>hradně jen profesionálními jasnovidci. Patrně mu ne</w:t>
      </w:r>
      <w:r>
        <w:rPr>
          <w:b/>
          <w:bCs/>
          <w:sz w:val="14"/>
          <w:szCs w:val="14"/>
        </w:rPr>
        <w:softHyphen/>
        <w:t>jsou známy případy jasnovidnosti nevýdělečné a do</w:t>
      </w:r>
      <w:r>
        <w:rPr>
          <w:b/>
          <w:bCs/>
          <w:sz w:val="14"/>
          <w:szCs w:val="14"/>
        </w:rPr>
        <w:softHyphen/>
        <w:t>konce už neví či nechce věděti o četných pokusech, které provedli s osobami nadanými jasnovidností mnozí kritičtí odborníci, dobře obeznámení s</w:t>
      </w:r>
      <w:r>
        <w:rPr>
          <w:b/>
          <w:bCs/>
          <w:sz w:val="14"/>
          <w:szCs w:val="14"/>
        </w:rPr>
        <w:t xml:space="preserve"> tímto novým obo</w:t>
      </w:r>
      <w:r>
        <w:rPr>
          <w:b/>
          <w:bCs/>
          <w:sz w:val="14"/>
          <w:szCs w:val="14"/>
        </w:rPr>
        <w:softHyphen/>
        <w:t>rem vědeckého badání.</w:t>
      </w:r>
    </w:p>
    <w:p w:rsidR="00500724" w:rsidRDefault="00F30FB8">
      <w:pPr>
        <w:pStyle w:val="Zkladntext40"/>
        <w:shd w:val="clear" w:color="auto" w:fill="auto"/>
        <w:spacing w:after="0" w:line="286" w:lineRule="auto"/>
        <w:ind w:firstLine="220"/>
        <w:rPr>
          <w:sz w:val="14"/>
          <w:szCs w:val="14"/>
        </w:rPr>
      </w:pPr>
      <w:r>
        <w:rPr>
          <w:b/>
          <w:bCs/>
          <w:sz w:val="14"/>
          <w:szCs w:val="14"/>
        </w:rPr>
        <w:t>Aby nebylo nedorozumění, nestavím se nikterak proti jistě dobrému úmyslu autorovu varovati před nezdravou pověrčivostí, která vede mnohé lidi k tomu, že berou za bernou minci vše, co jim lecjaký » jasnovidec* a šarlat</w:t>
      </w:r>
      <w:r>
        <w:rPr>
          <w:b/>
          <w:bCs/>
          <w:sz w:val="14"/>
          <w:szCs w:val="14"/>
        </w:rPr>
        <w:t>án domněle odhaluje z budoucnosti. Právě doby, kdy jed</w:t>
      </w:r>
      <w:r>
        <w:rPr>
          <w:b/>
          <w:bCs/>
          <w:sz w:val="14"/>
          <w:szCs w:val="14"/>
        </w:rPr>
        <w:softHyphen/>
        <w:t xml:space="preserve">notlivci i celá </w:t>
      </w:r>
      <w:r>
        <w:rPr>
          <w:b/>
          <w:bCs/>
          <w:sz w:val="14"/>
          <w:szCs w:val="14"/>
          <w:lang w:val="en-US" w:eastAsia="en-US" w:bidi="en-US"/>
        </w:rPr>
        <w:t xml:space="preserve">ko’rktiva </w:t>
      </w:r>
      <w:r>
        <w:rPr>
          <w:b/>
          <w:bCs/>
          <w:sz w:val="14"/>
          <w:szCs w:val="14"/>
        </w:rPr>
        <w:t xml:space="preserve">žijí v duševní sklíčenosti a hledí s obavami vstříc tomu, co je očekává, jsou příznivé úsilí oodhrnouti alespoň cípek závoje, jenž nám zakrývá udoucnost a zjednati si tak </w:t>
      </w:r>
      <w:r>
        <w:rPr>
          <w:b/>
          <w:bCs/>
          <w:sz w:val="14"/>
          <w:szCs w:val="14"/>
        </w:rPr>
        <w:t xml:space="preserve">úlevu z tíživé nejistoty. Před lehkomyslnou vírou v různá taková odhalení, zejména pokud se týkají obecných událostí, nelze opravdu dosti varovati. Avšak na druhé straně nesmíme zase vyliti se špínou i děcko, neboť bychom tak upadali do opačného extrému a </w:t>
      </w:r>
      <w:r>
        <w:rPr>
          <w:b/>
          <w:bCs/>
          <w:sz w:val="14"/>
          <w:szCs w:val="14"/>
        </w:rPr>
        <w:t>osobovali si příliš domýšlivě právo na úsudek, že nemůže existovati zvláštní schop</w:t>
      </w:r>
      <w:r>
        <w:rPr>
          <w:b/>
          <w:bCs/>
          <w:sz w:val="14"/>
          <w:szCs w:val="14"/>
        </w:rPr>
        <w:softHyphen/>
        <w:t>nost lidské inteligence vnímati takové skutečnosti mi</w:t>
      </w:r>
      <w:r>
        <w:rPr>
          <w:b/>
          <w:bCs/>
          <w:sz w:val="14"/>
          <w:szCs w:val="14"/>
        </w:rPr>
        <w:softHyphen/>
        <w:t>nulé, přítomné i budoucí, o kterých nemůžeme získati vědomostí prostřednictvím žádného ze svých normálních pěti smyslů.</w:t>
      </w:r>
      <w:r>
        <w:rPr>
          <w:b/>
          <w:bCs/>
          <w:sz w:val="14"/>
          <w:szCs w:val="14"/>
        </w:rPr>
        <w:t xml:space="preserve"> Takový úsudek byl by jistě ukvapený a předčasný, nebof i když se stokrát přesvědčíme, že do</w:t>
      </w:r>
      <w:r>
        <w:rPr>
          <w:b/>
          <w:bCs/>
          <w:sz w:val="14"/>
          <w:szCs w:val="14"/>
        </w:rPr>
        <w:softHyphen/>
        <w:t>mnělé »předpovědi« kartářek, chiromantů a jiných ko</w:t>
      </w:r>
      <w:r>
        <w:rPr>
          <w:b/>
          <w:bCs/>
          <w:sz w:val="14"/>
          <w:szCs w:val="14"/>
        </w:rPr>
        <w:softHyphen/>
        <w:t>řist níků z lidské pošetilosti se ukáží liché a naivní, stačí, narazíme-li na jeden případ, který odolá kritick</w:t>
      </w:r>
      <w:r>
        <w:rPr>
          <w:b/>
          <w:bCs/>
          <w:sz w:val="14"/>
          <w:szCs w:val="14"/>
        </w:rPr>
        <w:t>ému přezkoušení, abychom se vážně zamyslili nad tímto pro</w:t>
      </w:r>
      <w:r>
        <w:rPr>
          <w:b/>
          <w:bCs/>
          <w:sz w:val="14"/>
          <w:szCs w:val="14"/>
        </w:rPr>
        <w:softHyphen/>
        <w:t>blémem. Budeme-li i po takové zkušenosti strkat hlavu do písku a utěšovat se lacinou výmluvou, že to vše je jen nedůstojnou pověrou, neposloužíme ani sobě ani lid</w:t>
      </w:r>
      <w:r>
        <w:rPr>
          <w:b/>
          <w:bCs/>
          <w:sz w:val="14"/>
          <w:szCs w:val="14"/>
        </w:rPr>
        <w:softHyphen/>
        <w:t>skému poznání, které přece, jak dou</w:t>
      </w:r>
      <w:r>
        <w:rPr>
          <w:b/>
          <w:bCs/>
          <w:sz w:val="14"/>
          <w:szCs w:val="14"/>
        </w:rPr>
        <w:t>fáme, není ještě ukončeno. Dobře vystihl tuto naši povinnost Sir ,W. Thompson, když napsal: &gt;Věda je věčnými principy cti povinna dívati se bez bázně do očí každé záhadě,Jsterá se jí naskytne.* Je v tom jistě jedno z nejkrásnějších</w:t>
      </w:r>
      <w:r>
        <w:rPr>
          <w:b/>
          <w:bCs/>
          <w:sz w:val="14"/>
          <w:szCs w:val="14"/>
          <w:vertAlign w:val="subscript"/>
        </w:rPr>
        <w:t>t</w:t>
      </w:r>
    </w:p>
    <w:p w:rsidR="00500724" w:rsidRDefault="00F30FB8">
      <w:pPr>
        <w:pStyle w:val="Zkladntext40"/>
        <w:shd w:val="clear" w:color="auto" w:fill="auto"/>
        <w:spacing w:after="160" w:line="286" w:lineRule="auto"/>
        <w:rPr>
          <w:sz w:val="14"/>
          <w:szCs w:val="14"/>
        </w:rPr>
      </w:pPr>
      <w:r>
        <w:rPr>
          <w:b/>
          <w:bCs/>
          <w:sz w:val="14"/>
          <w:szCs w:val="14"/>
        </w:rPr>
        <w:t>poslání vědy.</w:t>
      </w:r>
    </w:p>
    <w:p w:rsidR="00500724" w:rsidRDefault="00F30FB8">
      <w:pPr>
        <w:pStyle w:val="Zkladntext40"/>
        <w:shd w:val="clear" w:color="auto" w:fill="auto"/>
        <w:spacing w:after="160" w:line="290" w:lineRule="auto"/>
        <w:ind w:firstLine="220"/>
        <w:rPr>
          <w:sz w:val="14"/>
          <w:szCs w:val="14"/>
        </w:rPr>
        <w:sectPr w:rsidR="00500724">
          <w:footnotePr>
            <w:numFmt w:val="chicago"/>
            <w:numRestart w:val="eachPage"/>
          </w:footnotePr>
          <w:pgSz w:w="11909" w:h="16834"/>
          <w:pgMar w:top="874" w:right="1219" w:bottom="852" w:left="350" w:header="0" w:footer="3" w:gutter="0"/>
          <w:cols w:num="2" w:space="125"/>
          <w:noEndnote/>
          <w:docGrid w:linePitch="360"/>
        </w:sectPr>
      </w:pPr>
      <w:r>
        <w:rPr>
          <w:b/>
          <w:bCs/>
          <w:sz w:val="14"/>
          <w:szCs w:val="14"/>
        </w:rPr>
        <w:t>Pan Petr K. nás zval ve svém článku, abychom si sedli spolu a pohovořili si o těch prorocích a kouzelnících. Nuže, učiníme tak a povíme si tentokrát zase s jiného konce, oč vlastně jde. Víra v možnost předvídati bu-</w:t>
      </w:r>
    </w:p>
    <w:p w:rsidR="00500724" w:rsidRDefault="00F30FB8">
      <w:pPr>
        <w:pStyle w:val="Jin0"/>
        <w:shd w:val="clear" w:color="auto" w:fill="auto"/>
        <w:ind w:left="240" w:firstLine="0"/>
        <w:jc w:val="center"/>
        <w:rPr>
          <w:sz w:val="46"/>
          <w:szCs w:val="46"/>
        </w:rPr>
      </w:pPr>
      <w:r>
        <w:rPr>
          <w:rFonts w:ascii="Arial" w:eastAsia="Arial" w:hAnsi="Arial" w:cs="Arial"/>
          <w:b/>
          <w:bCs/>
          <w:sz w:val="46"/>
          <w:szCs w:val="46"/>
        </w:rPr>
        <w:t>PfítomnosCx</w:t>
      </w:r>
    </w:p>
    <w:p w:rsidR="00500724" w:rsidRDefault="00F30FB8">
      <w:pPr>
        <w:pStyle w:val="Zkladntext40"/>
        <w:framePr w:w="154" w:h="197" w:hRule="exact" w:hSpace="180" w:wrap="notBeside" w:vAnchor="text" w:hAnchor="page" w:x="824" w:y="15"/>
        <w:shd w:val="clear" w:color="auto" w:fill="auto"/>
        <w:spacing w:after="0" w:line="240" w:lineRule="auto"/>
        <w:jc w:val="left"/>
        <w:rPr>
          <w:sz w:val="14"/>
          <w:szCs w:val="14"/>
        </w:rPr>
      </w:pPr>
      <w:r>
        <w:rPr>
          <w:b/>
          <w:bCs/>
          <w:sz w:val="14"/>
          <w:szCs w:val="14"/>
          <w:lang w:val="en-US" w:eastAsia="en-US" w:bidi="en-US"/>
        </w:rPr>
        <w:t>J*</w:t>
      </w:r>
    </w:p>
    <w:p w:rsidR="00500724" w:rsidRDefault="00500724">
      <w:pPr>
        <w:spacing w:line="14" w:lineRule="exact"/>
        <w:sectPr w:rsidR="00500724">
          <w:footnotePr>
            <w:numFmt w:val="chicago"/>
            <w:numRestart w:val="eachPage"/>
          </w:footnotePr>
          <w:pgSz w:w="11909" w:h="16834"/>
          <w:pgMar w:top="728" w:right="468" w:bottom="922" w:left="804" w:header="0" w:footer="3" w:gutter="0"/>
          <w:cols w:space="720"/>
          <w:noEndnote/>
          <w:docGrid w:linePitch="360"/>
        </w:sectPr>
      </w:pPr>
    </w:p>
    <w:p w:rsidR="00500724" w:rsidRDefault="00F30FB8">
      <w:pPr>
        <w:pStyle w:val="Zkladntext40"/>
        <w:shd w:val="clear" w:color="auto" w:fill="auto"/>
        <w:spacing w:after="0" w:line="283" w:lineRule="auto"/>
        <w:rPr>
          <w:sz w:val="14"/>
          <w:szCs w:val="14"/>
        </w:rPr>
      </w:pPr>
      <w:r>
        <w:rPr>
          <w:b/>
          <w:bCs/>
          <w:sz w:val="14"/>
          <w:szCs w:val="14"/>
        </w:rPr>
        <w:t>'doucnosť je již velmi starého data. Dnes ovšem nám ne</w:t>
      </w:r>
      <w:r>
        <w:rPr>
          <w:b/>
          <w:bCs/>
          <w:sz w:val="14"/>
          <w:szCs w:val="14"/>
        </w:rPr>
        <w:softHyphen/>
        <w:t xml:space="preserve">stalí pouhá víra, chceme důkazy I A těch nahromadili v posledních letech badatelé v parapsychologii veliké množství. Schopnost některých lidí viděti předměty uzavřené do </w:t>
      </w:r>
      <w:r>
        <w:rPr>
          <w:b/>
          <w:bCs/>
          <w:sz w:val="14"/>
          <w:szCs w:val="14"/>
        </w:rPr>
        <w:t xml:space="preserve">neprůhledných schránek, uhádnouti cizí myšlenky znali již staří magnetiséři. Anglický badatel </w:t>
      </w:r>
      <w:r>
        <w:rPr>
          <w:b/>
          <w:bCs/>
          <w:sz w:val="16"/>
          <w:szCs w:val="16"/>
        </w:rPr>
        <w:t xml:space="preserve">Fr. </w:t>
      </w:r>
      <w:r>
        <w:rPr>
          <w:b/>
          <w:bCs/>
          <w:sz w:val="14"/>
          <w:szCs w:val="14"/>
          <w:lang w:val="en-US" w:eastAsia="en-US" w:bidi="en-US"/>
        </w:rPr>
        <w:t xml:space="preserve">Myers </w:t>
      </w:r>
      <w:r>
        <w:rPr>
          <w:b/>
          <w:bCs/>
          <w:sz w:val="14"/>
          <w:szCs w:val="14"/>
        </w:rPr>
        <w:t>nazval ji jménem telepatie, které později všu</w:t>
      </w:r>
      <w:r>
        <w:rPr>
          <w:b/>
          <w:bCs/>
          <w:sz w:val="14"/>
          <w:szCs w:val="14"/>
        </w:rPr>
        <w:softHyphen/>
        <w:t>de zdomácnělo, ačkoliv neodpovídá přesně celému sou</w:t>
      </w:r>
      <w:r>
        <w:rPr>
          <w:b/>
          <w:bCs/>
          <w:sz w:val="14"/>
          <w:szCs w:val="14"/>
        </w:rPr>
        <w:softHyphen/>
        <w:t xml:space="preserve">boru úkazů, jež považujeme za jasnovidnost. </w:t>
      </w:r>
      <w:r>
        <w:rPr>
          <w:b/>
          <w:bCs/>
          <w:sz w:val="14"/>
          <w:szCs w:val="14"/>
          <w:lang w:val="en-US" w:eastAsia="en-US" w:bidi="en-US"/>
        </w:rPr>
        <w:t xml:space="preserve">Prof. </w:t>
      </w:r>
      <w:r>
        <w:rPr>
          <w:b/>
          <w:bCs/>
          <w:sz w:val="14"/>
          <w:szCs w:val="14"/>
        </w:rPr>
        <w:t xml:space="preserve">Ch. </w:t>
      </w:r>
      <w:r>
        <w:rPr>
          <w:b/>
          <w:bCs/>
          <w:sz w:val="14"/>
          <w:szCs w:val="14"/>
        </w:rPr>
        <w:t>Richet, slavný francouzský fysiolog, razil proto nový název &gt;kryptesthesie« a dospěl na základě svých dlouho</w:t>
      </w:r>
      <w:r>
        <w:rPr>
          <w:b/>
          <w:bCs/>
          <w:sz w:val="14"/>
          <w:szCs w:val="14"/>
        </w:rPr>
        <w:softHyphen/>
        <w:t>letých soustavných pokusů k vědecké jistotě, že tato zá</w:t>
      </w:r>
      <w:r>
        <w:rPr>
          <w:b/>
          <w:bCs/>
          <w:sz w:val="14"/>
          <w:szCs w:val="14"/>
        </w:rPr>
        <w:softHyphen/>
        <w:t>hadná schopnost je prokázána jako každá jiná skuteč</w:t>
      </w:r>
      <w:r>
        <w:rPr>
          <w:b/>
          <w:bCs/>
          <w:sz w:val="14"/>
          <w:szCs w:val="14"/>
        </w:rPr>
        <w:softHyphen/>
        <w:t>nost. Vykládá ji zvláštní citlivostí, k</w:t>
      </w:r>
      <w:r>
        <w:rPr>
          <w:b/>
          <w:bCs/>
          <w:sz w:val="14"/>
          <w:szCs w:val="14"/>
        </w:rPr>
        <w:t>terá umožňuje vní</w:t>
      </w:r>
      <w:r>
        <w:rPr>
          <w:b/>
          <w:bCs/>
          <w:sz w:val="14"/>
          <w:szCs w:val="14"/>
        </w:rPr>
        <w:softHyphen/>
        <w:t>mání jinak než známými smysly a předpokládá zvláštní sílu, zasahující percipienta a vyvolávající pohnutí v určitém okrsku jeho nevědomí.</w:t>
      </w:r>
    </w:p>
    <w:p w:rsidR="00500724" w:rsidRDefault="00F30FB8">
      <w:pPr>
        <w:pStyle w:val="Zkladntext40"/>
        <w:shd w:val="clear" w:color="auto" w:fill="auto"/>
        <w:spacing w:after="0" w:line="283" w:lineRule="auto"/>
        <w:ind w:firstLine="240"/>
        <w:rPr>
          <w:sz w:val="14"/>
          <w:szCs w:val="14"/>
        </w:rPr>
      </w:pPr>
      <w:r>
        <w:rPr>
          <w:b/>
          <w:bCs/>
          <w:sz w:val="14"/>
          <w:szCs w:val="14"/>
        </w:rPr>
        <w:t xml:space="preserve">Z novější doby dlužno poukázati na pokusy pražského psychiatra </w:t>
      </w:r>
      <w:r>
        <w:rPr>
          <w:b/>
          <w:bCs/>
          <w:sz w:val="14"/>
          <w:szCs w:val="14"/>
          <w:lang w:val="en-US" w:eastAsia="en-US" w:bidi="en-US"/>
        </w:rPr>
        <w:t xml:space="preserve">prof. </w:t>
      </w:r>
      <w:r>
        <w:rPr>
          <w:b/>
          <w:bCs/>
          <w:sz w:val="14"/>
          <w:szCs w:val="14"/>
        </w:rPr>
        <w:t>O. Fischera se světoznámým grafo</w:t>
      </w:r>
      <w:r>
        <w:rPr>
          <w:b/>
          <w:bCs/>
          <w:sz w:val="14"/>
          <w:szCs w:val="14"/>
        </w:rPr>
        <w:t>lo</w:t>
      </w:r>
      <w:r>
        <w:rPr>
          <w:b/>
          <w:bCs/>
          <w:sz w:val="14"/>
          <w:szCs w:val="14"/>
        </w:rPr>
        <w:softHyphen/>
        <w:t>gem Rafaelem Schermannem. Schermann není grafolo</w:t>
      </w:r>
      <w:r>
        <w:rPr>
          <w:b/>
          <w:bCs/>
          <w:sz w:val="14"/>
          <w:szCs w:val="14"/>
        </w:rPr>
        <w:softHyphen/>
        <w:t>gem v běžném slova smyslu, který by prováděl podrobné rozbory písma a z nich usuzoval na povahu pisatelovu. Pracuje metodou intuitivní a dosahuje výsledků, které zdaleka převyšují vše, co běžná grafologie</w:t>
      </w:r>
      <w:r>
        <w:rPr>
          <w:b/>
          <w:bCs/>
          <w:sz w:val="14"/>
          <w:szCs w:val="14"/>
        </w:rPr>
        <w:t xml:space="preserve"> může zjistiti s větší ěi menší pravděpodobností. Proto také nazval </w:t>
      </w:r>
      <w:r>
        <w:rPr>
          <w:b/>
          <w:bCs/>
          <w:sz w:val="14"/>
          <w:szCs w:val="14"/>
          <w:lang w:val="en-US" w:eastAsia="en-US" w:bidi="en-US"/>
        </w:rPr>
        <w:t xml:space="preserve">prof. </w:t>
      </w:r>
      <w:r>
        <w:rPr>
          <w:b/>
          <w:bCs/>
          <w:sz w:val="14"/>
          <w:szCs w:val="14"/>
        </w:rPr>
        <w:t>Fischer jeho schopnost metagrafologií. Schermann je s to po letmém nahlédnutí do rukopisu, i zcela krát</w:t>
      </w:r>
      <w:r>
        <w:rPr>
          <w:b/>
          <w:bCs/>
          <w:sz w:val="14"/>
          <w:szCs w:val="14"/>
        </w:rPr>
        <w:softHyphen/>
        <w:t>kého, popsati bez rozboru neobyčejně výstižně povahu pisatelovu tak určitými z</w:t>
      </w:r>
      <w:r>
        <w:rPr>
          <w:b/>
          <w:bCs/>
          <w:sz w:val="14"/>
          <w:szCs w:val="14"/>
        </w:rPr>
        <w:t>naky, že nemůže býti zaměněn s jinou osobou, urěiti jeho povolání, vylíěiti prostředí, v němž žije, popsati jeho vzezření, případně tělesné va</w:t>
      </w:r>
      <w:r>
        <w:rPr>
          <w:b/>
          <w:bCs/>
          <w:sz w:val="14"/>
          <w:szCs w:val="14"/>
        </w:rPr>
        <w:softHyphen/>
        <w:t>dy, zvláštní návyky, urěiti náladu a bližší zevní okol</w:t>
      </w:r>
      <w:r>
        <w:rPr>
          <w:b/>
          <w:bCs/>
          <w:sz w:val="14"/>
          <w:szCs w:val="14"/>
        </w:rPr>
        <w:softHyphen/>
        <w:t>nosti, za kterých byl rukopis napsán atd. Schermann však n</w:t>
      </w:r>
      <w:r>
        <w:rPr>
          <w:b/>
          <w:bCs/>
          <w:sz w:val="14"/>
          <w:szCs w:val="14"/>
        </w:rPr>
        <w:t xml:space="preserve">emusel při pokusech </w:t>
      </w:r>
      <w:r>
        <w:rPr>
          <w:b/>
          <w:bCs/>
          <w:sz w:val="14"/>
          <w:szCs w:val="14"/>
          <w:lang w:val="en-US" w:eastAsia="en-US" w:bidi="en-US"/>
        </w:rPr>
        <w:t xml:space="preserve">prof. </w:t>
      </w:r>
      <w:r>
        <w:rPr>
          <w:b/>
          <w:bCs/>
          <w:sz w:val="14"/>
          <w:szCs w:val="14"/>
        </w:rPr>
        <w:t xml:space="preserve">Fischera rukopis vůbec viděti, stačilo mu, když se rukopisu pouze dotýkal, ba </w:t>
      </w:r>
      <w:r>
        <w:rPr>
          <w:b/>
          <w:bCs/>
          <w:sz w:val="14"/>
          <w:szCs w:val="14"/>
          <w:lang w:val="en-US" w:eastAsia="en-US" w:bidi="en-US"/>
        </w:rPr>
        <w:t xml:space="preserve">prof. </w:t>
      </w:r>
      <w:r>
        <w:rPr>
          <w:b/>
          <w:bCs/>
          <w:sz w:val="14"/>
          <w:szCs w:val="14"/>
        </w:rPr>
        <w:t>Fischer dokázal s ním i tak zvaný ^psychický transfert«, když si totiž pouze v duchu určitou osoba představoval a Schermann ji pak popsal stejně j</w:t>
      </w:r>
      <w:r>
        <w:rPr>
          <w:b/>
          <w:bCs/>
          <w:sz w:val="14"/>
          <w:szCs w:val="14"/>
        </w:rPr>
        <w:t>ako by měl před sebou její rukopis. I když bez vědomí Scher- mannova byl jindy opakován pokus s rukopisem téže osoby, byl výsledek výstižný a zpravidla ještě dokreslo</w:t>
      </w:r>
      <w:r>
        <w:rPr>
          <w:b/>
          <w:bCs/>
          <w:sz w:val="14"/>
          <w:szCs w:val="14"/>
        </w:rPr>
        <w:softHyphen/>
        <w:t>val některé podrobnosti původního obrazu. Konečně do</w:t>
      </w:r>
      <w:r>
        <w:rPr>
          <w:b/>
          <w:bCs/>
          <w:sz w:val="14"/>
          <w:szCs w:val="14"/>
        </w:rPr>
        <w:softHyphen/>
        <w:t>kázal Schermann i napodobiti někdy p</w:t>
      </w:r>
      <w:r>
        <w:rPr>
          <w:b/>
          <w:bCs/>
          <w:sz w:val="14"/>
          <w:szCs w:val="14"/>
        </w:rPr>
        <w:t>římo nerozezna</w:t>
      </w:r>
      <w:r>
        <w:rPr>
          <w:b/>
          <w:bCs/>
          <w:sz w:val="14"/>
          <w:szCs w:val="14"/>
        </w:rPr>
        <w:softHyphen/>
        <w:t>telně od originálu rukopis osoby, na kterou byl dotazo</w:t>
      </w:r>
      <w:r>
        <w:rPr>
          <w:b/>
          <w:bCs/>
          <w:sz w:val="14"/>
          <w:szCs w:val="14"/>
        </w:rPr>
        <w:softHyphen/>
        <w:t>ván, ačkoliv mu její rukopis nebyl ukázán a nevěděl, o koho jde. Netřeba jistě podotýkati, že takový výkon jo něco zceia jiného než ^obcházeti kulatými slovy hor kou kaši konkrétního úda</w:t>
      </w:r>
      <w:r>
        <w:rPr>
          <w:b/>
          <w:bCs/>
          <w:sz w:val="14"/>
          <w:szCs w:val="14"/>
        </w:rPr>
        <w:t>jec, jak charakterisuje Petr K. obecně profesionální jasnovidectví.</w:t>
      </w:r>
    </w:p>
    <w:p w:rsidR="00500724" w:rsidRDefault="00F30FB8">
      <w:pPr>
        <w:pStyle w:val="Zkladntext40"/>
        <w:shd w:val="clear" w:color="auto" w:fill="auto"/>
        <w:spacing w:after="0" w:line="283" w:lineRule="auto"/>
        <w:ind w:firstLine="240"/>
        <w:rPr>
          <w:sz w:val="14"/>
          <w:szCs w:val="14"/>
        </w:rPr>
      </w:pPr>
      <w:r>
        <w:rPr>
          <w:b/>
          <w:bCs/>
          <w:sz w:val="14"/>
          <w:szCs w:val="14"/>
        </w:rPr>
        <w:t>Je však třeba opatrnosti v úsudku i o těch jinak prá</w:t>
      </w:r>
      <w:r>
        <w:rPr>
          <w:b/>
          <w:bCs/>
          <w:sz w:val="14"/>
          <w:szCs w:val="14"/>
        </w:rPr>
        <w:softHyphen/>
        <w:t>vem podezíraných profesionálních jasnovidcích. Zdá se, že přece jen nejsou všichni z nich šarlatány a že se na</w:t>
      </w:r>
      <w:r>
        <w:rPr>
          <w:b/>
          <w:bCs/>
          <w:sz w:val="14"/>
          <w:szCs w:val="14"/>
        </w:rPr>
        <w:softHyphen/>
        <w:t xml:space="preserve">jdou mezi nimi osoby </w:t>
      </w:r>
      <w:r>
        <w:rPr>
          <w:b/>
          <w:bCs/>
          <w:sz w:val="14"/>
          <w:szCs w:val="14"/>
        </w:rPr>
        <w:t>nadané pravými nadnormálními schopnostmi. Tak na příklad jsem se sešel s jasnovidcem, který právě přijel z ciziny, nikdy před tím u nás nebyl a viděl mne po prvé v životě. A tento člověk mně řekl, že v mém bytě visí starý portrét mého blízkého příbuz</w:t>
      </w:r>
      <w:r>
        <w:rPr>
          <w:b/>
          <w:bCs/>
          <w:sz w:val="14"/>
          <w:szCs w:val="14"/>
        </w:rPr>
        <w:softHyphen/>
        <w:t>ného,</w:t>
      </w:r>
      <w:r>
        <w:rPr>
          <w:b/>
          <w:bCs/>
          <w:sz w:val="14"/>
          <w:szCs w:val="14"/>
        </w:rPr>
        <w:t xml:space="preserve"> popsal přesně postoj portrétované osoby, naznačil její povolání, její uplatnění ve veřejném životě a její náhlou smrt. Všechny údaje se shodovaly se skutečností.</w:t>
      </w:r>
    </w:p>
    <w:p w:rsidR="00500724" w:rsidRDefault="00F30FB8">
      <w:pPr>
        <w:pStyle w:val="Zkladntext40"/>
        <w:shd w:val="clear" w:color="auto" w:fill="auto"/>
        <w:spacing w:after="0" w:line="286" w:lineRule="auto"/>
        <w:ind w:firstLine="240"/>
        <w:rPr>
          <w:sz w:val="14"/>
          <w:szCs w:val="14"/>
        </w:rPr>
      </w:pPr>
      <w:r>
        <w:rPr>
          <w:b/>
          <w:bCs/>
          <w:sz w:val="14"/>
          <w:szCs w:val="14"/>
        </w:rPr>
        <w:t xml:space="preserve">Každý zná také ony » jasnovidky*, které na rozích ulic nebo na pouti hádají se zavázanými </w:t>
      </w:r>
      <w:r>
        <w:rPr>
          <w:b/>
          <w:bCs/>
          <w:sz w:val="14"/>
          <w:szCs w:val="14"/>
        </w:rPr>
        <w:t>očima, co ten či onen z diváků drží v ruce, má v kapse a pod. Mají vždy společníka, který je jakýmsi jejich impresariem. Nejde tu ovšem zpravidla o žádnou jasnovidnost, nýbrž jen o dobrou souhru obou partnerů na základě mnemotecu- niky a přece se stalo, že</w:t>
      </w:r>
      <w:r>
        <w:rPr>
          <w:b/>
          <w:bCs/>
          <w:sz w:val="14"/>
          <w:szCs w:val="14"/>
        </w:rPr>
        <w:t xml:space="preserve"> jedna taková jasnovidka správ</w:t>
      </w:r>
      <w:r>
        <w:rPr>
          <w:b/>
          <w:bCs/>
          <w:sz w:val="14"/>
          <w:szCs w:val="14"/>
        </w:rPr>
        <w:softHyphen/>
        <w:t xml:space="preserve">ně uhodla jednomu mému známému, od čeho je klíč, který držel v ruce, a řekla mu i konečné číslo bilanční závěrky, kterou právě před tím revidoval. To nás s </w:t>
      </w:r>
      <w:r>
        <w:rPr>
          <w:b/>
          <w:bCs/>
          <w:sz w:val="14"/>
          <w:szCs w:val="14"/>
          <w:lang w:val="en-US" w:eastAsia="en-US" w:bidi="en-US"/>
        </w:rPr>
        <w:t xml:space="preserve">prof. </w:t>
      </w:r>
      <w:r>
        <w:rPr>
          <w:b/>
          <w:bCs/>
          <w:sz w:val="14"/>
          <w:szCs w:val="14"/>
        </w:rPr>
        <w:t>Fischerem přimělo k tomu, že jsme s ní provedli sou</w:t>
      </w:r>
      <w:r>
        <w:rPr>
          <w:b/>
          <w:bCs/>
          <w:sz w:val="14"/>
          <w:szCs w:val="14"/>
        </w:rPr>
        <w:softHyphen/>
        <w:t xml:space="preserve">kromě řadu </w:t>
      </w:r>
      <w:r>
        <w:rPr>
          <w:b/>
          <w:bCs/>
          <w:sz w:val="14"/>
          <w:szCs w:val="14"/>
        </w:rPr>
        <w:t>pokusů a ukázalo se, že za spolehlivé kon</w:t>
      </w:r>
      <w:r>
        <w:rPr>
          <w:b/>
          <w:bCs/>
          <w:sz w:val="14"/>
          <w:szCs w:val="14"/>
        </w:rPr>
        <w:softHyphen/>
        <w:t>troly dovede reprodukovati jednoduché nákresy, které</w:t>
      </w:r>
    </w:p>
    <w:p w:rsidR="00500724" w:rsidRDefault="00F30FB8">
      <w:pPr>
        <w:pStyle w:val="Zkladntext40"/>
        <w:shd w:val="clear" w:color="auto" w:fill="auto"/>
        <w:spacing w:after="0" w:line="288" w:lineRule="auto"/>
        <w:ind w:right="300"/>
        <w:rPr>
          <w:sz w:val="14"/>
          <w:szCs w:val="14"/>
        </w:rPr>
      </w:pPr>
      <w:r>
        <w:rPr>
          <w:b/>
          <w:bCs/>
          <w:sz w:val="14"/>
          <w:szCs w:val="14"/>
        </w:rPr>
        <w:t>jsme měli připraveny na lístcích a na které jsme po</w:t>
      </w:r>
      <w:r>
        <w:rPr>
          <w:b/>
          <w:bCs/>
          <w:sz w:val="14"/>
          <w:szCs w:val="14"/>
        </w:rPr>
        <w:softHyphen/>
        <w:t>stupně soustřeďovali pozornost v pokoji odděleném c l místnosti, ve které seděla, ještě třetí místností. Dveř</w:t>
      </w:r>
      <w:r>
        <w:rPr>
          <w:b/>
          <w:bCs/>
          <w:sz w:val="14"/>
          <w:szCs w:val="14"/>
        </w:rPr>
        <w:t xml:space="preserve">e obou místností byly při tom zavřeny. Zvláště zajímavé bylo, že někdy reprodukovala ne sice nákres, který jsme právě měli před sebou a jejž jsme &gt;vysílali«, nýbrž zcela odlišný nákres, který však byl mezi ostatními nákresy připravenými k pokusu. Uhodla i </w:t>
      </w:r>
      <w:r>
        <w:rPr>
          <w:b/>
          <w:bCs/>
          <w:sz w:val="14"/>
          <w:szCs w:val="14"/>
        </w:rPr>
        <w:t xml:space="preserve">v tom případě, když </w:t>
      </w:r>
      <w:r>
        <w:rPr>
          <w:b/>
          <w:bCs/>
          <w:sz w:val="14"/>
          <w:szCs w:val="14"/>
          <w:lang w:val="en-US" w:eastAsia="en-US" w:bidi="en-US"/>
        </w:rPr>
        <w:t xml:space="preserve">si prof. </w:t>
      </w:r>
      <w:r>
        <w:rPr>
          <w:b/>
          <w:bCs/>
          <w:sz w:val="14"/>
          <w:szCs w:val="14"/>
        </w:rPr>
        <w:t>Fischer jen představoval svého domácího psa a dokonce označila správně i jeho jméno May.</w:t>
      </w:r>
    </w:p>
    <w:p w:rsidR="00500724" w:rsidRDefault="00F30FB8">
      <w:pPr>
        <w:pStyle w:val="Zkladntext40"/>
        <w:shd w:val="clear" w:color="auto" w:fill="auto"/>
        <w:tabs>
          <w:tab w:val="left" w:pos="4958"/>
        </w:tabs>
        <w:spacing w:after="0" w:line="286" w:lineRule="auto"/>
        <w:ind w:right="300" w:firstLine="220"/>
        <w:rPr>
          <w:sz w:val="14"/>
          <w:szCs w:val="14"/>
        </w:rPr>
      </w:pPr>
      <w:r>
        <w:rPr>
          <w:b/>
          <w:bCs/>
          <w:sz w:val="14"/>
          <w:szCs w:val="14"/>
        </w:rPr>
        <w:t>Nedávno zemřelý ředitel Mezinárodního ústavu meta- psychického v Paříži dr. Eugéne Osty učinil podobnou zkušenost. Vyhledával v Paříži vše</w:t>
      </w:r>
      <w:r>
        <w:rPr>
          <w:b/>
          <w:bCs/>
          <w:sz w:val="14"/>
          <w:szCs w:val="14"/>
        </w:rPr>
        <w:t>chny možné věštkyně a jasnovidce, aby se přesvědčil, jsou-li mezi nimi přece nějaké osoby nadané mimořádnou schopností vnímání. Přes mnohá očekávaná zklamání nalezl v záplavě šar- latánství několik osob, s nimiž pak prováděl neobyčejně zdařilé pokusy. Ty d</w:t>
      </w:r>
      <w:r>
        <w:rPr>
          <w:b/>
          <w:bCs/>
          <w:sz w:val="14"/>
          <w:szCs w:val="14"/>
        </w:rPr>
        <w:t>aly také základ k jeho obsáhlým pracím o jasnovidnosti, z nichž zvláštního uznání došlo dilo »La connaissance supranormalec (Nadnormální po</w:t>
      </w:r>
      <w:r>
        <w:rPr>
          <w:b/>
          <w:bCs/>
          <w:sz w:val="14"/>
          <w:szCs w:val="14"/>
        </w:rPr>
        <w:softHyphen/>
        <w:t>znání).</w:t>
      </w:r>
      <w:r>
        <w:rPr>
          <w:b/>
          <w:bCs/>
          <w:sz w:val="14"/>
          <w:szCs w:val="14"/>
        </w:rPr>
        <w:tab/>
        <w:t>i</w:t>
      </w:r>
    </w:p>
    <w:p w:rsidR="00500724" w:rsidRDefault="00F30FB8">
      <w:pPr>
        <w:pStyle w:val="Zkladntext40"/>
        <w:shd w:val="clear" w:color="auto" w:fill="auto"/>
        <w:spacing w:after="0" w:line="286" w:lineRule="auto"/>
        <w:ind w:firstLine="220"/>
        <w:rPr>
          <w:sz w:val="14"/>
          <w:szCs w:val="14"/>
        </w:rPr>
      </w:pPr>
      <w:r>
        <w:rPr>
          <w:b/>
          <w:bCs/>
          <w:sz w:val="14"/>
          <w:szCs w:val="14"/>
        </w:rPr>
        <w:t>Nejzáhadnějším a našemu rozumovému poznání nej</w:t>
      </w:r>
      <w:r>
        <w:rPr>
          <w:b/>
          <w:bCs/>
          <w:sz w:val="14"/>
          <w:szCs w:val="14"/>
        </w:rPr>
        <w:softHyphen/>
        <w:t>více se příčícím způsobem jasnovidnosti je však před</w:t>
      </w:r>
      <w:r>
        <w:rPr>
          <w:b/>
          <w:bCs/>
          <w:sz w:val="14"/>
          <w:szCs w:val="14"/>
        </w:rPr>
        <w:softHyphen/>
        <w:t>vídání</w:t>
      </w:r>
      <w:r>
        <w:rPr>
          <w:b/>
          <w:bCs/>
          <w:sz w:val="14"/>
          <w:szCs w:val="14"/>
        </w:rPr>
        <w:t xml:space="preserve"> budoucnosti. Předvídání budoucnosti lze vyklá- dati třemi hypothesami: buď jde o podvod, po případě chybné pozorování, nebo o náhodu nebo konečně .■ o opravdové s&gt; jasnozření*. </w:t>
      </w:r>
      <w:r>
        <w:rPr>
          <w:b/>
          <w:bCs/>
          <w:sz w:val="14"/>
          <w:szCs w:val="14"/>
          <w:lang w:val="en-US" w:eastAsia="en-US" w:bidi="en-US"/>
        </w:rPr>
        <w:t xml:space="preserve">Prof. </w:t>
      </w:r>
      <w:r>
        <w:rPr>
          <w:b/>
          <w:bCs/>
          <w:sz w:val="14"/>
          <w:szCs w:val="14"/>
        </w:rPr>
        <w:t xml:space="preserve">Richet shromáždil ve své knize s&gt;L’avenir et la prémonition (Budoucnost </w:t>
      </w:r>
      <w:r>
        <w:rPr>
          <w:b/>
          <w:bCs/>
          <w:sz w:val="14"/>
          <w:szCs w:val="14"/>
        </w:rPr>
        <w:t>a její předvídání) přes sto dobře ověřených případů, ve kterých je podvod vyloučen a při nichž nelze také mlu</w:t>
      </w:r>
      <w:r>
        <w:rPr>
          <w:b/>
          <w:bCs/>
          <w:sz w:val="14"/>
          <w:szCs w:val="14"/>
        </w:rPr>
        <w:softHyphen/>
        <w:t>viti o vzpomínkovém klamu, ježto údaje byly sděleny: a potvrzeny dříve, než k události došlo. Při podrobných okolnostech, které jsou v těchto před</w:t>
      </w:r>
      <w:r>
        <w:rPr>
          <w:b/>
          <w:bCs/>
          <w:sz w:val="14"/>
          <w:szCs w:val="14"/>
        </w:rPr>
        <w:t>povědích vylíčeny, je také příliš pohodlné vysvětlovati vše náhodou a bylo by to zase ono nepříjemné strkání hlavy do písku. A tax zbývá jen výklad jasnozřením. Aby tento výklad stál opravdu na vědeckém základě, nesmí býti předvídaná! událost pravděpodobná</w:t>
      </w:r>
      <w:r>
        <w:rPr>
          <w:b/>
          <w:bCs/>
          <w:sz w:val="14"/>
          <w:szCs w:val="14"/>
        </w:rPr>
        <w:t>, musí přesahovati hranice bystrého úsudku rozvážné osoby a nesmí býti dílem ná</w:t>
      </w:r>
      <w:r>
        <w:rPr>
          <w:b/>
          <w:bCs/>
          <w:sz w:val="14"/>
          <w:szCs w:val="14"/>
        </w:rPr>
        <w:softHyphen/>
        <w:t>hody. Musí obsahovali podrobné vylíčení průvodních okolností, musí býti zaznamenána dříve než se splní, nebo alespoň předem oznámena osobám, které to mohou dosvědčiti. Je třeba</w:t>
      </w:r>
      <w:r>
        <w:rPr>
          <w:b/>
          <w:bCs/>
          <w:sz w:val="14"/>
          <w:szCs w:val="14"/>
        </w:rPr>
        <w:t xml:space="preserve"> zvláště se vy varovati iluse a vzpo</w:t>
      </w:r>
      <w:r>
        <w:rPr>
          <w:b/>
          <w:bCs/>
          <w:sz w:val="14"/>
          <w:szCs w:val="14"/>
        </w:rPr>
        <w:softHyphen/>
        <w:t>mínkových omylů. Konečně nesmí předpověděná udá</w:t>
      </w:r>
      <w:r>
        <w:rPr>
          <w:b/>
          <w:bCs/>
          <w:sz w:val="14"/>
          <w:szCs w:val="14"/>
        </w:rPr>
        <w:softHyphen/>
        <w:t>lost záviseli na osobě, které se předpověď týká, aby ne</w:t>
      </w:r>
      <w:r>
        <w:rPr>
          <w:b/>
          <w:bCs/>
          <w:sz w:val="14"/>
          <w:szCs w:val="14"/>
        </w:rPr>
        <w:softHyphen/>
        <w:t>bylo umožněno působení autosugesce a podvědomí.</w:t>
      </w:r>
    </w:p>
    <w:p w:rsidR="00500724" w:rsidRDefault="00F30FB8">
      <w:pPr>
        <w:pStyle w:val="Zkladntext40"/>
        <w:shd w:val="clear" w:color="auto" w:fill="auto"/>
        <w:spacing w:after="0" w:line="286" w:lineRule="auto"/>
        <w:ind w:right="300" w:firstLine="220"/>
        <w:rPr>
          <w:sz w:val="14"/>
          <w:szCs w:val="14"/>
        </w:rPr>
      </w:pPr>
      <w:r>
        <w:rPr>
          <w:b/>
          <w:bCs/>
          <w:sz w:val="14"/>
          <w:szCs w:val="14"/>
        </w:rPr>
        <w:t>Uvedeme několik příkladů takových pravých předl povědí, aby si každ</w:t>
      </w:r>
      <w:r>
        <w:rPr>
          <w:b/>
          <w:bCs/>
          <w:sz w:val="14"/>
          <w:szCs w:val="14"/>
        </w:rPr>
        <w:t>ý mohl učiniti o věci sám úsudek:</w:t>
      </w:r>
    </w:p>
    <w:p w:rsidR="00500724" w:rsidRDefault="00F30FB8">
      <w:pPr>
        <w:pStyle w:val="Zkladntext40"/>
        <w:shd w:val="clear" w:color="auto" w:fill="auto"/>
        <w:spacing w:after="0" w:line="286" w:lineRule="auto"/>
        <w:ind w:right="300" w:firstLine="220"/>
        <w:rPr>
          <w:sz w:val="14"/>
          <w:szCs w:val="14"/>
        </w:rPr>
      </w:pPr>
      <w:r>
        <w:rPr>
          <w:b/>
          <w:bCs/>
          <w:sz w:val="14"/>
          <w:szCs w:val="14"/>
        </w:rPr>
        <w:t>Zmíněný již dr. E. Osty uvádí jako příklad předpo</w:t>
      </w:r>
      <w:r>
        <w:rPr>
          <w:b/>
          <w:bCs/>
          <w:sz w:val="14"/>
          <w:szCs w:val="14"/>
        </w:rPr>
        <w:softHyphen/>
        <w:t xml:space="preserve">vědi, která se splnila za 12 let, skutečnost, že mu paU de Fleuriěre oznámil </w:t>
      </w:r>
      <w:r>
        <w:rPr>
          <w:i/>
          <w:iCs/>
          <w:sz w:val="20"/>
          <w:szCs w:val="20"/>
        </w:rPr>
        <w:t>17.</w:t>
      </w:r>
      <w:r>
        <w:rPr>
          <w:b/>
          <w:bCs/>
          <w:sz w:val="14"/>
          <w:szCs w:val="14"/>
        </w:rPr>
        <w:t xml:space="preserve"> prosince 1913 při pokusu, který byl písemně zaznamenán, že bude za nějakou dobu vy</w:t>
      </w:r>
      <w:r>
        <w:rPr>
          <w:b/>
          <w:bCs/>
          <w:sz w:val="14"/>
          <w:szCs w:val="14"/>
        </w:rPr>
        <w:softHyphen/>
        <w:t>zván, ab</w:t>
      </w:r>
      <w:r>
        <w:rPr>
          <w:b/>
          <w:bCs/>
          <w:sz w:val="14"/>
          <w:szCs w:val="14"/>
        </w:rPr>
        <w:t>y opustil povolání lékařské, že přijme ředitel</w:t>
      </w:r>
      <w:r>
        <w:rPr>
          <w:b/>
          <w:bCs/>
          <w:sz w:val="14"/>
          <w:szCs w:val="14"/>
        </w:rPr>
        <w:softHyphen/>
        <w:t xml:space="preserve">ství jakéhosi ústavu pro psychologii, že se budou pořá- dati přednášky v domě, ve kterém bude bydleti a buda míti k disposici svou </w:t>
      </w:r>
      <w:r>
        <w:rPr>
          <w:b/>
          <w:bCs/>
          <w:sz w:val="14"/>
          <w:szCs w:val="14"/>
          <w:lang w:val="en-US" w:eastAsia="en-US" w:bidi="en-US"/>
        </w:rPr>
        <w:t xml:space="preserve">revui. </w:t>
      </w:r>
      <w:r>
        <w:rPr>
          <w:b/>
          <w:bCs/>
          <w:sz w:val="14"/>
          <w:szCs w:val="14"/>
        </w:rPr>
        <w:t>V době, kdy byla tato před</w:t>
      </w:r>
      <w:r>
        <w:rPr>
          <w:b/>
          <w:bCs/>
          <w:sz w:val="14"/>
          <w:szCs w:val="14"/>
        </w:rPr>
        <w:softHyphen/>
        <w:t>pověď pronesena, zdála se dr. Ostymu přímo s</w:t>
      </w:r>
      <w:r>
        <w:rPr>
          <w:b/>
          <w:bCs/>
          <w:sz w:val="14"/>
          <w:szCs w:val="14"/>
        </w:rPr>
        <w:t>měšnou. Avšak založení pařížského Metapsychického ústavu v r, 1919, potom smrt jeho prvého ředitele dr. G. Geleye, který zahynul při pádu letadla v červenci 1924 a řada dalších druhotných okolností učinila z této předpovědí skutečnost.</w:t>
      </w:r>
    </w:p>
    <w:p w:rsidR="00500724" w:rsidRDefault="00F30FB8">
      <w:pPr>
        <w:pStyle w:val="Zkladntext40"/>
        <w:shd w:val="clear" w:color="auto" w:fill="auto"/>
        <w:spacing w:after="0" w:line="286" w:lineRule="auto"/>
        <w:ind w:right="300" w:firstLine="220"/>
        <w:rPr>
          <w:sz w:val="14"/>
          <w:szCs w:val="14"/>
        </w:rPr>
      </w:pPr>
      <w:r>
        <w:rPr>
          <w:b/>
          <w:bCs/>
          <w:sz w:val="14"/>
          <w:szCs w:val="14"/>
        </w:rPr>
        <w:t xml:space="preserve">Dr. Osty zaznamenal </w:t>
      </w:r>
      <w:r>
        <w:rPr>
          <w:b/>
          <w:bCs/>
          <w:sz w:val="14"/>
          <w:szCs w:val="14"/>
        </w:rPr>
        <w:t>také případ předpovědi těles</w:t>
      </w:r>
      <w:r>
        <w:rPr>
          <w:b/>
          <w:bCs/>
          <w:sz w:val="14"/>
          <w:szCs w:val="14"/>
        </w:rPr>
        <w:softHyphen/>
        <w:t>ného úrazu, který skončil smrtí. Sdělil mu jej známý spisovatel, který předložil několik let před válkou pa</w:t>
      </w:r>
      <w:r>
        <w:rPr>
          <w:b/>
          <w:bCs/>
          <w:sz w:val="14"/>
          <w:szCs w:val="14"/>
        </w:rPr>
        <w:softHyphen/>
        <w:t xml:space="preserve">řížské věštkyni </w:t>
      </w:r>
      <w:r>
        <w:rPr>
          <w:b/>
          <w:bCs/>
          <w:sz w:val="14"/>
          <w:szCs w:val="14"/>
          <w:lang w:val="en-US" w:eastAsia="en-US" w:bidi="en-US"/>
        </w:rPr>
        <w:t xml:space="preserve">Me </w:t>
      </w:r>
      <w:r>
        <w:rPr>
          <w:b/>
          <w:bCs/>
          <w:sz w:val="14"/>
          <w:szCs w:val="14"/>
        </w:rPr>
        <w:t xml:space="preserve">Fraya dopis svého dobrého přítele II. </w:t>
      </w:r>
      <w:r>
        <w:rPr>
          <w:b/>
          <w:bCs/>
          <w:sz w:val="14"/>
          <w:szCs w:val="14"/>
          <w:lang w:val="en-US" w:eastAsia="en-US" w:bidi="en-US"/>
        </w:rPr>
        <w:t xml:space="preserve">Gance </w:t>
      </w:r>
      <w:r>
        <w:rPr>
          <w:b/>
          <w:bCs/>
          <w:sz w:val="14"/>
          <w:szCs w:val="14"/>
        </w:rPr>
        <w:t>s žádostí, aby se o něm vyslovila. Věštkyně sotva se dot</w:t>
      </w:r>
      <w:r>
        <w:rPr>
          <w:b/>
          <w:bCs/>
          <w:sz w:val="14"/>
          <w:szCs w:val="14"/>
        </w:rPr>
        <w:t>kla dopisu, prohlásila, že tohoto mladého muže postihne těžký úraz střelnou zbraní do stehna. Na dotaz, nebude-li třeba nohu amputovati, odvětila: »Bo&lt; hužel nikoliv, bude to příliš těžké zranění a zemře na ně.« Když po delší době se nic nestalo, přestal s</w:t>
      </w:r>
      <w:r>
        <w:rPr>
          <w:b/>
          <w:bCs/>
          <w:sz w:val="14"/>
          <w:szCs w:val="14"/>
        </w:rPr>
        <w:t>pisovatel</w:t>
      </w:r>
    </w:p>
    <w:p w:rsidR="00500724" w:rsidRDefault="00F30FB8">
      <w:pPr>
        <w:pStyle w:val="Zkladntext100"/>
        <w:shd w:val="clear" w:color="auto" w:fill="auto"/>
        <w:spacing w:after="40" w:line="211" w:lineRule="auto"/>
        <w:ind w:firstLine="0"/>
        <w:rPr>
          <w:sz w:val="19"/>
          <w:szCs w:val="19"/>
        </w:rPr>
      </w:pPr>
      <w:r>
        <w:rPr>
          <w:sz w:val="19"/>
          <w:szCs w:val="19"/>
          <w:lang w:val="en-US" w:eastAsia="en-US" w:bidi="en-US"/>
        </w:rPr>
        <w:t xml:space="preserve">mysliti </w:t>
      </w:r>
      <w:r>
        <w:rPr>
          <w:sz w:val="19"/>
          <w:szCs w:val="19"/>
        </w:rPr>
        <w:t>na předpověď. Teprve vypuknutí světové války mu ji oživilo v paměti a po celou válku čekal zprávu o smrtelném poranění svélio přítele. Válka však se skon</w:t>
      </w:r>
      <w:r>
        <w:rPr>
          <w:sz w:val="19"/>
          <w:szCs w:val="19"/>
        </w:rPr>
        <w:softHyphen/>
        <w:t>čila a uplynulo již přes deset let od předpovědi a jeho přítel byl dosud živ a zdráv</w:t>
      </w:r>
      <w:r>
        <w:rPr>
          <w:sz w:val="19"/>
          <w:szCs w:val="19"/>
        </w:rPr>
        <w:t>. V prvých dnech listopadu téhož roku upozornil dr. Ostyho jeho kolega lékař, pří</w:t>
      </w:r>
      <w:r>
        <w:rPr>
          <w:sz w:val="19"/>
          <w:szCs w:val="19"/>
        </w:rPr>
        <w:softHyphen/>
        <w:t xml:space="preserve">tomný vylíčené rozmluvě, že četl v novinách zprávu o tragické smrti p. H. </w:t>
      </w:r>
      <w:r>
        <w:rPr>
          <w:sz w:val="19"/>
          <w:szCs w:val="19"/>
          <w:lang w:val="en-US" w:eastAsia="en-US" w:bidi="en-US"/>
        </w:rPr>
        <w:t xml:space="preserve">Gance. </w:t>
      </w:r>
      <w:r>
        <w:rPr>
          <w:sz w:val="19"/>
          <w:szCs w:val="19"/>
        </w:rPr>
        <w:t>Ten byl pozván s několika přáteli na hon k p. Bénartovi; v lese blíže Soisy-sous- Etiolles vy</w:t>
      </w:r>
      <w:r>
        <w:rPr>
          <w:sz w:val="19"/>
          <w:szCs w:val="19"/>
        </w:rPr>
        <w:t xml:space="preserve">šla náhle rána z pušky hostitelovy, když mu ji honec znovu nabíjel, a zasáhla do nohy p. H. </w:t>
      </w:r>
      <w:r>
        <w:rPr>
          <w:sz w:val="19"/>
          <w:szCs w:val="19"/>
          <w:lang w:val="en-US" w:eastAsia="en-US" w:bidi="en-US"/>
        </w:rPr>
        <w:t xml:space="preserve">Gance, </w:t>
      </w:r>
      <w:r>
        <w:rPr>
          <w:sz w:val="19"/>
          <w:szCs w:val="19"/>
        </w:rPr>
        <w:t xml:space="preserve">čtyřicetiletého bankéře, bydlícího v č. 218, </w:t>
      </w:r>
      <w:r>
        <w:rPr>
          <w:sz w:val="19"/>
          <w:szCs w:val="19"/>
          <w:lang w:val="en-US" w:eastAsia="en-US" w:bidi="en-US"/>
        </w:rPr>
        <w:t xml:space="preserve">Boulevard Saint-Germain </w:t>
      </w:r>
      <w:r>
        <w:rPr>
          <w:sz w:val="19"/>
          <w:szCs w:val="19"/>
        </w:rPr>
        <w:t xml:space="preserve">v Paříži, jenž stál vzdálen dva metry. Kaněný značně vyčerpaný velkou ztrátou krve byl ihned přenesen do zámku Champrosay, kde se lékař Debray pokusil provésti na něm transfusi krve. Avšak p. </w:t>
      </w:r>
      <w:r>
        <w:rPr>
          <w:sz w:val="19"/>
          <w:szCs w:val="19"/>
          <w:lang w:val="en-US" w:eastAsia="en-US" w:bidi="en-US"/>
        </w:rPr>
        <w:t xml:space="preserve">Gance </w:t>
      </w:r>
      <w:r>
        <w:rPr>
          <w:sz w:val="19"/>
          <w:szCs w:val="19"/>
        </w:rPr>
        <w:t>trpěl srdeční chorobou a zemřel téže noci.</w:t>
      </w:r>
    </w:p>
    <w:p w:rsidR="00500724" w:rsidRDefault="00F30FB8">
      <w:pPr>
        <w:pStyle w:val="Zkladntext100"/>
        <w:shd w:val="clear" w:color="auto" w:fill="auto"/>
        <w:spacing w:after="260" w:line="211" w:lineRule="auto"/>
        <w:ind w:firstLine="220"/>
        <w:rPr>
          <w:sz w:val="19"/>
          <w:szCs w:val="19"/>
        </w:rPr>
      </w:pPr>
      <w:r>
        <w:rPr>
          <w:sz w:val="19"/>
          <w:szCs w:val="19"/>
        </w:rPr>
        <w:t>Zajímavý je tak</w:t>
      </w:r>
      <w:r>
        <w:rPr>
          <w:sz w:val="19"/>
          <w:szCs w:val="19"/>
        </w:rPr>
        <w:t xml:space="preserve">é případ dr. Galleta, lékaře v </w:t>
      </w:r>
      <w:r>
        <w:rPr>
          <w:sz w:val="19"/>
          <w:szCs w:val="19"/>
          <w:lang w:val="en-US" w:eastAsia="en-US" w:bidi="en-US"/>
        </w:rPr>
        <w:t>Anne</w:t>
      </w:r>
      <w:r>
        <w:rPr>
          <w:sz w:val="19"/>
          <w:szCs w:val="19"/>
          <w:lang w:val="en-US" w:eastAsia="en-US" w:bidi="en-US"/>
        </w:rPr>
        <w:softHyphen/>
        <w:t xml:space="preserve">cy </w:t>
      </w:r>
      <w:r>
        <w:rPr>
          <w:sz w:val="19"/>
          <w:szCs w:val="19"/>
        </w:rPr>
        <w:t xml:space="preserve">pozdějšího senátora a ministra. Dne 27. června 1897, když studoval medicínu v Lyoně a připravoval se ke zkouškám, byl najednou posednut tak neodbytnou myšlenkou, že načrtl do svého sešitu pro anatomii tuto větu: íPan </w:t>
      </w:r>
      <w:r>
        <w:rPr>
          <w:sz w:val="19"/>
          <w:szCs w:val="19"/>
          <w:lang w:val="en-US" w:eastAsia="en-US" w:bidi="en-US"/>
        </w:rPr>
        <w:t xml:space="preserve">Casimir Perrier </w:t>
      </w:r>
      <w:r>
        <w:rPr>
          <w:sz w:val="19"/>
          <w:szCs w:val="19"/>
        </w:rPr>
        <w:t>je zvolen presidentem re- republiky 451 hlasy.t Nezabývaje se politikou, zarazil se nad touto větou a ukázaí ji hned svému kolegovi .Varayovi, s nímž studoval. Po obědě odešel o ním na přednášku do fakulty. Cestou potkali své kamarády Bouch</w:t>
      </w:r>
      <w:r>
        <w:rPr>
          <w:sz w:val="19"/>
          <w:szCs w:val="19"/>
        </w:rPr>
        <w:t>era a Delormea, jimž Gallet vyprávěl o této udá</w:t>
      </w:r>
      <w:r>
        <w:rPr>
          <w:sz w:val="19"/>
          <w:szCs w:val="19"/>
        </w:rPr>
        <w:softHyphen/>
        <w:t xml:space="preserve">losti a sklidil přirozeně za to výsměch. Po přednášce zašli jmenovaní čtyři studenti do kavárny a brzy na to došla prvá zvláštní vydání časopisů oznamujících, že skutečně Casimir </w:t>
      </w:r>
      <w:r>
        <w:rPr>
          <w:sz w:val="19"/>
          <w:szCs w:val="19"/>
          <w:lang w:val="en-US" w:eastAsia="en-US" w:bidi="en-US"/>
        </w:rPr>
        <w:t xml:space="preserve">Perrier </w:t>
      </w:r>
      <w:r>
        <w:rPr>
          <w:sz w:val="19"/>
          <w:szCs w:val="19"/>
        </w:rPr>
        <w:t xml:space="preserve">byl právě zvolen 451 </w:t>
      </w:r>
      <w:r>
        <w:rPr>
          <w:sz w:val="19"/>
          <w:szCs w:val="19"/>
        </w:rPr>
        <w:t xml:space="preserve">hlasy. Věc je tím zvláštní, že původně C. </w:t>
      </w:r>
      <w:r>
        <w:rPr>
          <w:sz w:val="19"/>
          <w:szCs w:val="19"/>
          <w:lang w:val="en-US" w:eastAsia="en-US" w:bidi="en-US"/>
        </w:rPr>
        <w:t xml:space="preserve">Perrier </w:t>
      </w:r>
      <w:r>
        <w:rPr>
          <w:sz w:val="19"/>
          <w:szCs w:val="19"/>
        </w:rPr>
        <w:t>ani nebyli kandidován na presidentství republiky a všeobecně se čekalo rozhodnutí mezi Brissonem a Dupuyem. Pravdě</w:t>
      </w:r>
      <w:r>
        <w:rPr>
          <w:sz w:val="19"/>
          <w:szCs w:val="19"/>
        </w:rPr>
        <w:softHyphen/>
        <w:t>podobnost, že dostane 451 hlasů byla tedy naprosto mi</w:t>
      </w:r>
      <w:r>
        <w:rPr>
          <w:sz w:val="19"/>
          <w:szCs w:val="19"/>
        </w:rPr>
        <w:softHyphen/>
        <w:t>zivá a proto tato předpověď tak přesn</w:t>
      </w:r>
      <w:r>
        <w:rPr>
          <w:sz w:val="19"/>
          <w:szCs w:val="19"/>
        </w:rPr>
        <w:t>ého volebního Čísla, které bylo možno jako historickou událost do</w:t>
      </w:r>
      <w:r>
        <w:rPr>
          <w:sz w:val="19"/>
          <w:szCs w:val="19"/>
        </w:rPr>
        <w:softHyphen/>
        <w:t>konale ověřit, patří k nejkrásnějším známým případům předzvěstí. Tak přesné předzvěsti jsou ovšem velmi vzácné, pravidelně se vztahuje předpověď na věci ne</w:t>
      </w:r>
      <w:r>
        <w:rPr>
          <w:sz w:val="19"/>
          <w:szCs w:val="19"/>
        </w:rPr>
        <w:softHyphen/>
        <w:t>patrné a méně významné.</w:t>
      </w:r>
    </w:p>
    <w:p w:rsidR="00500724" w:rsidRDefault="00F30FB8">
      <w:pPr>
        <w:pStyle w:val="Zkladntext100"/>
        <w:shd w:val="clear" w:color="auto" w:fill="auto"/>
        <w:spacing w:after="40" w:line="211" w:lineRule="auto"/>
        <w:ind w:firstLine="220"/>
        <w:rPr>
          <w:sz w:val="19"/>
          <w:szCs w:val="19"/>
        </w:rPr>
      </w:pPr>
      <w:r>
        <w:rPr>
          <w:sz w:val="19"/>
          <w:szCs w:val="19"/>
        </w:rPr>
        <w:t>Skutečnost</w:t>
      </w:r>
      <w:r>
        <w:rPr>
          <w:sz w:val="19"/>
          <w:szCs w:val="19"/>
        </w:rPr>
        <w:t>, že budoucnost lze někdy, byť i jen zřídka, předpověděti, vede neúprosně k úsudku, že je budouc</w:t>
      </w:r>
      <w:r>
        <w:rPr>
          <w:sz w:val="19"/>
          <w:szCs w:val="19"/>
        </w:rPr>
        <w:softHyphen/>
        <w:t>nost determinována a čas pouhou ilusí. Dr. Osty vyklá</w:t>
      </w:r>
      <w:r>
        <w:rPr>
          <w:sz w:val="19"/>
          <w:szCs w:val="19"/>
        </w:rPr>
        <w:softHyphen/>
        <w:t>dá možnost předpovědi individuální lidské budoucnosti tím, že každý z nás zná, aniž je si toho jakkoliv v</w:t>
      </w:r>
      <w:r>
        <w:rPr>
          <w:sz w:val="19"/>
          <w:szCs w:val="19"/>
        </w:rPr>
        <w:t>ědom, v celku i podrobnostech celou svou úlohu, kterou má v životě hráti a že jasnovidec čerpá své pravdivé před</w:t>
      </w:r>
      <w:r>
        <w:rPr>
          <w:sz w:val="19"/>
          <w:szCs w:val="19"/>
        </w:rPr>
        <w:softHyphen/>
        <w:t>povědi z této utajené duchovní úrovně. Tento pozna</w:t>
      </w:r>
      <w:r>
        <w:rPr>
          <w:sz w:val="19"/>
          <w:szCs w:val="19"/>
        </w:rPr>
        <w:softHyphen/>
        <w:t>tek však nás nesmí vésti k beznadějnému fatalismu, poněvadž víme, že nikdy nelze se s určito</w:t>
      </w:r>
      <w:r>
        <w:rPr>
          <w:sz w:val="19"/>
          <w:szCs w:val="19"/>
        </w:rPr>
        <w:t>stí spolehnouti na to, že nějaká předpověď se splní a vždy je daleko větší počet takových, které se ve skutečnosti nepotvrdí.</w:t>
      </w:r>
    </w:p>
    <w:p w:rsidR="00500724" w:rsidRDefault="00F30FB8">
      <w:pPr>
        <w:pStyle w:val="Zkladntext100"/>
        <w:shd w:val="clear" w:color="auto" w:fill="auto"/>
        <w:spacing w:line="209" w:lineRule="auto"/>
        <w:ind w:firstLine="180"/>
        <w:rPr>
          <w:sz w:val="19"/>
          <w:szCs w:val="19"/>
        </w:rPr>
      </w:pPr>
      <w:r>
        <w:rPr>
          <w:sz w:val="19"/>
          <w:szCs w:val="19"/>
        </w:rPr>
        <w:t xml:space="preserve">Proto také je </w:t>
      </w:r>
      <w:r>
        <w:rPr>
          <w:sz w:val="19"/>
          <w:szCs w:val="19"/>
          <w:lang w:val="en-US" w:eastAsia="en-US" w:bidi="en-US"/>
        </w:rPr>
        <w:t xml:space="preserve">prof. </w:t>
      </w:r>
      <w:r>
        <w:rPr>
          <w:sz w:val="19"/>
          <w:szCs w:val="19"/>
        </w:rPr>
        <w:t>Richet toho názoru, že předpovědi mají sice veliký význam pro vědu, zvláště metapsycho- logii, nikoli však pro</w:t>
      </w:r>
      <w:r>
        <w:rPr>
          <w:sz w:val="19"/>
          <w:szCs w:val="19"/>
        </w:rPr>
        <w:t xml:space="preserve"> praktický život, který musí jiti svou cestou, jako by budoucnost nebyla předurčena a čas nebyl ilusí. Možnost pravé předpovědi nesmí býti důvodem k úplnému popření svobodné vůle a mravní odpovědnosti, která postihuje každého lidského jedince stejně v přít</w:t>
      </w:r>
      <w:r>
        <w:rPr>
          <w:sz w:val="19"/>
          <w:szCs w:val="19"/>
        </w:rPr>
        <w:t>omnosti jako v minulosti a budoucnosti a</w:t>
      </w:r>
    </w:p>
    <w:p w:rsidR="00500724" w:rsidRDefault="00F30FB8">
      <w:pPr>
        <w:pStyle w:val="Zkladntext100"/>
        <w:shd w:val="clear" w:color="auto" w:fill="auto"/>
        <w:spacing w:after="40" w:line="209" w:lineRule="auto"/>
        <w:ind w:firstLine="0"/>
        <w:rPr>
          <w:sz w:val="19"/>
          <w:szCs w:val="19"/>
        </w:rPr>
      </w:pPr>
      <w:r>
        <w:rPr>
          <w:sz w:val="19"/>
          <w:szCs w:val="19"/>
        </w:rPr>
        <w:t>tvoří nerozlučný celek.</w:t>
      </w:r>
    </w:p>
    <w:p w:rsidR="00500724" w:rsidRDefault="00F30FB8">
      <w:pPr>
        <w:pStyle w:val="Zkladntext100"/>
        <w:shd w:val="clear" w:color="auto" w:fill="auto"/>
        <w:spacing w:after="240" w:line="211" w:lineRule="auto"/>
        <w:ind w:firstLine="220"/>
        <w:rPr>
          <w:sz w:val="19"/>
          <w:szCs w:val="19"/>
        </w:rPr>
      </w:pPr>
      <w:r>
        <w:rPr>
          <w:sz w:val="19"/>
          <w:szCs w:val="19"/>
        </w:rPr>
        <w:t>Předpovědi, které se splní, vyvolávají v nás myšlenku, že snad pozdější pokolení použije svých nejlepších je</w:t>
      </w:r>
      <w:r>
        <w:rPr>
          <w:sz w:val="19"/>
          <w:szCs w:val="19"/>
        </w:rPr>
        <w:softHyphen/>
        <w:t>dinců k tomu, aby probadali ducha, jenž oživuje hmotu a aby hledali ducha za indiv</w:t>
      </w:r>
      <w:r>
        <w:rPr>
          <w:sz w:val="19"/>
          <w:szCs w:val="19"/>
        </w:rPr>
        <w:t>iduálními úlohami, které v tak malém prostoru i čase hrajeme v nekonečném dra</w:t>
      </w:r>
      <w:r>
        <w:rPr>
          <w:sz w:val="19"/>
          <w:szCs w:val="19"/>
        </w:rPr>
        <w:softHyphen/>
        <w:t>matu vesmíru. Přes ojedinělé záblesky, v nichž se nám někdy odhalí, je přece budoucnost ve svém celku ne- poznatelna a obklopuje nás svými hlubokými tajemství</w:t>
      </w:r>
      <w:r>
        <w:rPr>
          <w:sz w:val="19"/>
          <w:szCs w:val="19"/>
        </w:rPr>
        <w:softHyphen/>
        <w:t>mi, kterými je osta</w:t>
      </w:r>
      <w:r>
        <w:rPr>
          <w:sz w:val="19"/>
          <w:szCs w:val="19"/>
        </w:rPr>
        <w:t>tně v tak mnohém směru pro nás za</w:t>
      </w:r>
      <w:r>
        <w:rPr>
          <w:sz w:val="19"/>
          <w:szCs w:val="19"/>
        </w:rPr>
        <w:softHyphen/>
        <w:t>halena i přítomnost. Úkolem vědy je vždy a za všech okolností pátrati po pravdě, af je kdekoliv a 1, z ohledu na to, jaké praktické důsledky s sebou přinese, avšak )ro všední život platí spíše zásada pra ‘jmu veli</w:t>
      </w:r>
      <w:r>
        <w:rPr>
          <w:sz w:val="19"/>
          <w:szCs w:val="19"/>
        </w:rPr>
        <w:softHyphen/>
        <w:t>kého psy</w:t>
      </w:r>
      <w:r>
        <w:rPr>
          <w:sz w:val="19"/>
          <w:szCs w:val="19"/>
        </w:rPr>
        <w:t>chologa Williama Jamese, že není radno za- jlouditi v záhadách toho, co je nedostupné našemu duchu.</w:t>
      </w:r>
    </w:p>
    <w:p w:rsidR="00500724" w:rsidRDefault="00F30FB8">
      <w:pPr>
        <w:pStyle w:val="Jin0"/>
        <w:pBdr>
          <w:bottom w:val="single" w:sz="4" w:space="0" w:color="auto"/>
        </w:pBdr>
        <w:shd w:val="clear" w:color="auto" w:fill="auto"/>
        <w:spacing w:after="240"/>
        <w:ind w:firstLine="0"/>
        <w:jc w:val="left"/>
        <w:rPr>
          <w:sz w:val="46"/>
          <w:szCs w:val="46"/>
        </w:rPr>
      </w:pPr>
      <w:r>
        <w:rPr>
          <w:b/>
          <w:bCs/>
          <w:sz w:val="46"/>
          <w:szCs w:val="46"/>
        </w:rPr>
        <w:t>feuilleton</w:t>
      </w:r>
    </w:p>
    <w:p w:rsidR="00500724" w:rsidRDefault="00F30FB8">
      <w:pPr>
        <w:pStyle w:val="Zkladntext30"/>
        <w:shd w:val="clear" w:color="auto" w:fill="auto"/>
        <w:spacing w:after="0" w:line="199" w:lineRule="auto"/>
        <w:ind w:firstLine="0"/>
        <w:rPr>
          <w:sz w:val="20"/>
          <w:szCs w:val="20"/>
        </w:rPr>
      </w:pPr>
      <w:r>
        <w:rPr>
          <w:i/>
          <w:iCs/>
          <w:sz w:val="20"/>
          <w:szCs w:val="20"/>
        </w:rPr>
        <w:t>A. Mráz:</w:t>
      </w:r>
    </w:p>
    <w:p w:rsidR="00500724" w:rsidRDefault="00F30FB8">
      <w:pPr>
        <w:pStyle w:val="Jin0"/>
        <w:shd w:val="clear" w:color="auto" w:fill="auto"/>
        <w:ind w:firstLine="0"/>
        <w:jc w:val="center"/>
        <w:rPr>
          <w:sz w:val="32"/>
          <w:szCs w:val="32"/>
        </w:rPr>
      </w:pPr>
      <w:r>
        <w:rPr>
          <w:i/>
          <w:iCs/>
          <w:sz w:val="32"/>
          <w:szCs w:val="32"/>
        </w:rPr>
        <w:t>Sparta—Slavie a sv. Jana</w:t>
      </w:r>
    </w:p>
    <w:p w:rsidR="00500724" w:rsidRDefault="00F30FB8">
      <w:pPr>
        <w:pStyle w:val="Zkladntext30"/>
        <w:shd w:val="clear" w:color="auto" w:fill="auto"/>
        <w:spacing w:after="0" w:line="199" w:lineRule="auto"/>
        <w:ind w:firstLine="220"/>
        <w:rPr>
          <w:sz w:val="20"/>
          <w:szCs w:val="20"/>
        </w:rPr>
      </w:pPr>
      <w:r>
        <w:rPr>
          <w:i/>
          <w:iCs/>
          <w:sz w:val="20"/>
          <w:szCs w:val="20"/>
        </w:rPr>
        <w:t>Každou neděli účastní se tisícové zástupy obecenstva fooťballových a jiných sportovních utkání, domnívajíce se,</w:t>
      </w:r>
      <w:r>
        <w:rPr>
          <w:i/>
          <w:iCs/>
          <w:sz w:val="20"/>
          <w:szCs w:val="20"/>
        </w:rPr>
        <w:t xml:space="preserve"> že to, co tady po dobu dvou poločasů provozují, je sport a tělesná výchova. Načež po skončeném zápase odcházejí spokojeně domů s blahým vědomím, že se opětně velmi vydatně otužili a bůhvíjak pozdravili.</w:t>
      </w:r>
    </w:p>
    <w:p w:rsidR="00500724" w:rsidRDefault="00F30FB8">
      <w:pPr>
        <w:pStyle w:val="Zkladntext30"/>
        <w:shd w:val="clear" w:color="auto" w:fill="auto"/>
        <w:spacing w:after="0" w:line="199" w:lineRule="auto"/>
        <w:ind w:firstLine="220"/>
        <w:rPr>
          <w:sz w:val="20"/>
          <w:szCs w:val="20"/>
        </w:rPr>
      </w:pPr>
      <w:r>
        <w:rPr>
          <w:i/>
          <w:iCs/>
          <w:sz w:val="20"/>
          <w:szCs w:val="20"/>
        </w:rPr>
        <w:t>Bylo by to zajisté věcí stejně praktických lékařů ja</w:t>
      </w:r>
      <w:r>
        <w:rPr>
          <w:i/>
          <w:iCs/>
          <w:sz w:val="20"/>
          <w:szCs w:val="20"/>
        </w:rPr>
        <w:t>ko sportovních teoretiků uvést tyto domněnky sportovního obecenstva na pravou a správnou míru.</w:t>
      </w:r>
    </w:p>
    <w:p w:rsidR="00500724" w:rsidRDefault="00F30FB8">
      <w:pPr>
        <w:pStyle w:val="Zkladntext30"/>
        <w:shd w:val="clear" w:color="auto" w:fill="auto"/>
        <w:tabs>
          <w:tab w:val="left" w:pos="4944"/>
        </w:tabs>
        <w:spacing w:after="0" w:line="199" w:lineRule="auto"/>
        <w:ind w:firstLine="220"/>
        <w:rPr>
          <w:sz w:val="20"/>
          <w:szCs w:val="20"/>
        </w:rPr>
      </w:pPr>
      <w:r>
        <w:rPr>
          <w:i/>
          <w:iCs/>
          <w:sz w:val="20"/>
          <w:szCs w:val="20"/>
        </w:rPr>
        <w:t>Abychom však dlouho nekličkovali kolem horké kaše. Činnost tisícihlavého zástupu diváků na Letné nebude sportem dříve, dokud se tito nedají po vzoru ostrovních l</w:t>
      </w:r>
      <w:r>
        <w:rPr>
          <w:i/>
          <w:iCs/>
          <w:sz w:val="20"/>
          <w:szCs w:val="20"/>
        </w:rPr>
        <w:t>idožroutů — vzpomeňte si jen na kouzelné ilustrace z Robinsona Grusoea — za ohlušujících, povzbuzujících skřeků místního rozhlasu do živelného proudění a divé dvouhodinovky kolem hřiště, hrozíce prázdnými půl</w:t>
      </w:r>
      <w:r>
        <w:rPr>
          <w:i/>
          <w:iCs/>
          <w:sz w:val="20"/>
          <w:szCs w:val="20"/>
        </w:rPr>
        <w:softHyphen/>
        <w:t>litry a sáčky od burských oříšků nepřátelské tv</w:t>
      </w:r>
      <w:r>
        <w:rPr>
          <w:i/>
          <w:iCs/>
          <w:sz w:val="20"/>
          <w:szCs w:val="20"/>
        </w:rPr>
        <w:t>rdé obraně.</w:t>
      </w:r>
      <w:r>
        <w:rPr>
          <w:i/>
          <w:iCs/>
          <w:sz w:val="20"/>
          <w:szCs w:val="20"/>
        </w:rPr>
        <w:tab/>
        <w:t>i</w:t>
      </w:r>
    </w:p>
    <w:p w:rsidR="00500724" w:rsidRDefault="00F30FB8">
      <w:pPr>
        <w:pStyle w:val="Zkladntext30"/>
        <w:shd w:val="clear" w:color="auto" w:fill="auto"/>
        <w:spacing w:after="0" w:line="199" w:lineRule="auto"/>
        <w:ind w:firstLine="220"/>
        <w:rPr>
          <w:sz w:val="20"/>
          <w:szCs w:val="20"/>
        </w:rPr>
      </w:pPr>
      <w:r>
        <w:rPr>
          <w:i/>
          <w:iCs/>
          <w:sz w:val="20"/>
          <w:szCs w:val="20"/>
        </w:rPr>
        <w:t>Dokud však budou diváci, místo aby se takto tělesně tužili, spokojeně postávat, posedávat a odpočívat na tribuně a v ochozu na Letné, nebudou mít ke sportu o nic blíže než k němu mají diváci v přízemí a na galerii Městského divadla na Vinohra</w:t>
      </w:r>
      <w:r>
        <w:rPr>
          <w:i/>
          <w:iCs/>
          <w:sz w:val="20"/>
          <w:szCs w:val="20"/>
        </w:rPr>
        <w:t>dech.</w:t>
      </w:r>
    </w:p>
    <w:p w:rsidR="00500724" w:rsidRDefault="00F30FB8">
      <w:pPr>
        <w:pStyle w:val="Zkladntext30"/>
        <w:shd w:val="clear" w:color="auto" w:fill="auto"/>
        <w:spacing w:after="0" w:line="199" w:lineRule="auto"/>
        <w:ind w:firstLine="300"/>
        <w:rPr>
          <w:sz w:val="20"/>
          <w:szCs w:val="20"/>
        </w:rPr>
      </w:pPr>
      <w:r>
        <w:rPr>
          <w:i/>
          <w:iCs/>
          <w:sz w:val="20"/>
          <w:szCs w:val="20"/>
        </w:rPr>
        <w:t>Jenže,* namítnete. CV Městském divadle hrají 'di</w:t>
      </w:r>
      <w:r>
        <w:rPr>
          <w:i/>
          <w:iCs/>
          <w:sz w:val="20"/>
          <w:szCs w:val="20"/>
        </w:rPr>
        <w:softHyphen/>
        <w:t>vadlo.* &gt;A na Letné?* vSportl* odpovíte. V tom je ten základní a zásadní rozdíl.</w:t>
      </w:r>
    </w:p>
    <w:p w:rsidR="00500724" w:rsidRDefault="00F30FB8">
      <w:pPr>
        <w:pStyle w:val="Zkladntext30"/>
        <w:shd w:val="clear" w:color="auto" w:fill="auto"/>
        <w:spacing w:after="0" w:line="199" w:lineRule="auto"/>
        <w:ind w:firstLine="220"/>
        <w:rPr>
          <w:sz w:val="20"/>
          <w:szCs w:val="20"/>
        </w:rPr>
      </w:pPr>
      <w:r>
        <w:rPr>
          <w:i/>
          <w:iCs/>
          <w:sz w:val="20"/>
          <w:szCs w:val="20"/>
        </w:rPr>
        <w:t>Nuže: jsem příliš netrpělivý říci vám už jak se věci ve skutečnosti mají, než abych vás tu unavoval dlou</w:t>
      </w:r>
      <w:r>
        <w:rPr>
          <w:i/>
          <w:iCs/>
          <w:sz w:val="20"/>
          <w:szCs w:val="20"/>
        </w:rPr>
        <w:softHyphen/>
        <w:t>hým líčením oné</w:t>
      </w:r>
      <w:r>
        <w:rPr>
          <w:i/>
          <w:iCs/>
          <w:sz w:val="20"/>
          <w:szCs w:val="20"/>
        </w:rPr>
        <w:t xml:space="preserve"> historické neexistence základního a zá</w:t>
      </w:r>
      <w:r>
        <w:rPr>
          <w:i/>
          <w:iCs/>
          <w:sz w:val="20"/>
          <w:szCs w:val="20"/>
        </w:rPr>
        <w:softHyphen/>
        <w:t>sadního rozdílu mezi sportem a divadlem, jak se nu pří</w:t>
      </w:r>
      <w:r>
        <w:rPr>
          <w:i/>
          <w:iCs/>
          <w:sz w:val="20"/>
          <w:szCs w:val="20"/>
        </w:rPr>
        <w:softHyphen/>
        <w:t>klad jevila v cirku Maximu za hrůzovlády císaře Ne- rona, za kterého herci-gladiátoři plnili své divadelní po</w:t>
      </w:r>
      <w:r>
        <w:rPr>
          <w:i/>
          <w:iCs/>
          <w:sz w:val="20"/>
          <w:szCs w:val="20"/>
        </w:rPr>
        <w:softHyphen/>
        <w:t>slání k naprosté spokojenosti císaře, senátu i lidu</w:t>
      </w:r>
      <w:r>
        <w:rPr>
          <w:i/>
          <w:iCs/>
          <w:sz w:val="20"/>
          <w:szCs w:val="20"/>
        </w:rPr>
        <w:t xml:space="preserve">, lišíce se od vinohradských sólistů jen tím, že zatím co se </w:t>
      </w:r>
      <w:r>
        <w:rPr>
          <w:i/>
          <w:iCs/>
          <w:sz w:val="18"/>
          <w:szCs w:val="18"/>
        </w:rPr>
        <w:t xml:space="preserve">na </w:t>
      </w:r>
      <w:r>
        <w:rPr>
          <w:i/>
          <w:iCs/>
          <w:sz w:val="20"/>
          <w:szCs w:val="20"/>
        </w:rPr>
        <w:t>Vinohradech umírá pro škrk pera a potěšení drama</w:t>
      </w:r>
      <w:r>
        <w:rPr>
          <w:i/>
          <w:iCs/>
          <w:sz w:val="20"/>
          <w:szCs w:val="20"/>
        </w:rPr>
        <w:softHyphen/>
        <w:t>tického autora, umíralo se v Římě pro škrk šavlí a po</w:t>
      </w:r>
      <w:r>
        <w:rPr>
          <w:i/>
          <w:iCs/>
          <w:sz w:val="20"/>
          <w:szCs w:val="20"/>
        </w:rPr>
        <w:softHyphen/>
        <w:t>těšení svého spoluherce.</w:t>
      </w:r>
    </w:p>
    <w:p w:rsidR="00500724" w:rsidRDefault="00F30FB8">
      <w:pPr>
        <w:pStyle w:val="Zkladntext30"/>
        <w:shd w:val="clear" w:color="auto" w:fill="auto"/>
        <w:spacing w:after="0" w:line="199" w:lineRule="auto"/>
        <w:ind w:firstLine="220"/>
        <w:rPr>
          <w:sz w:val="20"/>
          <w:szCs w:val="20"/>
        </w:rPr>
      </w:pPr>
      <w:r>
        <w:rPr>
          <w:i/>
          <w:iCs/>
          <w:sz w:val="20"/>
          <w:szCs w:val="20"/>
        </w:rPr>
        <w:t xml:space="preserve">Ani o komedii </w:t>
      </w:r>
      <w:r>
        <w:rPr>
          <w:i/>
          <w:iCs/>
          <w:sz w:val="20"/>
          <w:szCs w:val="20"/>
          <w:lang w:val="en-US" w:eastAsia="en-US" w:bidi="en-US"/>
        </w:rPr>
        <w:t xml:space="preserve">del’arte, </w:t>
      </w:r>
      <w:r>
        <w:rPr>
          <w:i/>
          <w:iCs/>
          <w:sz w:val="20"/>
          <w:szCs w:val="20"/>
        </w:rPr>
        <w:t>ve které herci — artisté po</w:t>
      </w:r>
      <w:r>
        <w:rPr>
          <w:i/>
          <w:iCs/>
          <w:sz w:val="20"/>
          <w:szCs w:val="20"/>
        </w:rPr>
        <w:softHyphen/>
        <w:t>dávali sport</w:t>
      </w:r>
      <w:r>
        <w:rPr>
          <w:i/>
          <w:iCs/>
          <w:sz w:val="20"/>
          <w:szCs w:val="20"/>
        </w:rPr>
        <w:t>ovní výkony, že by nad nimi bledli závisti světoví atletičtí mistři a vítězové olympijští, nemá tu být zmínky.</w:t>
      </w:r>
    </w:p>
    <w:p w:rsidR="00500724" w:rsidRDefault="00F30FB8">
      <w:pPr>
        <w:pStyle w:val="Zkladntext30"/>
        <w:shd w:val="clear" w:color="auto" w:fill="auto"/>
        <w:spacing w:after="0" w:line="199" w:lineRule="auto"/>
        <w:ind w:firstLine="220"/>
        <w:rPr>
          <w:sz w:val="20"/>
          <w:szCs w:val="20"/>
        </w:rPr>
      </w:pPr>
      <w:r>
        <w:rPr>
          <w:i/>
          <w:iCs/>
          <w:sz w:val="20"/>
          <w:szCs w:val="20"/>
        </w:rPr>
        <w:t>Chci tu jen prostě nastoupit důkaz pravdy, že na Let</w:t>
      </w:r>
      <w:r>
        <w:rPr>
          <w:i/>
          <w:iCs/>
          <w:sz w:val="20"/>
          <w:szCs w:val="20"/>
        </w:rPr>
        <w:softHyphen/>
        <w:t>né jest vám předváděna věc, která má s hlediska diváka blíže k estetickému vjemu než k prakt</w:t>
      </w:r>
      <w:r>
        <w:rPr>
          <w:i/>
          <w:iCs/>
          <w:sz w:val="20"/>
          <w:szCs w:val="20"/>
        </w:rPr>
        <w:t>ickému sportu. A myslím, že by bylo velmi prospěšné jak sportu, tak zvláště divadlu, kdyby se mi tento důkaz podařil a kdy</w:t>
      </w:r>
      <w:r>
        <w:rPr>
          <w:i/>
          <w:iCs/>
          <w:sz w:val="20"/>
          <w:szCs w:val="20"/>
        </w:rPr>
        <w:softHyphen/>
        <w:t>byste mi uvěřili, už vzhledem k tomu, že se chystáme k stavbě velikého nového divadla s několika tisíci se</w:t>
      </w:r>
      <w:r>
        <w:rPr>
          <w:i/>
          <w:iCs/>
          <w:sz w:val="20"/>
          <w:szCs w:val="20"/>
        </w:rPr>
        <w:softHyphen/>
        <w:t>dadly, pro které, po rozře</w:t>
      </w:r>
      <w:r>
        <w:rPr>
          <w:i/>
          <w:iCs/>
          <w:sz w:val="20"/>
          <w:szCs w:val="20"/>
        </w:rPr>
        <w:t>šení otázky: kde vzít úhradu?, vznikne ještě závažná otázka další: kde vzít obecen</w:t>
      </w:r>
      <w:r>
        <w:rPr>
          <w:i/>
          <w:iCs/>
          <w:sz w:val="20"/>
          <w:szCs w:val="20"/>
        </w:rPr>
        <w:softHyphen/>
        <w:t>stvo? Ale o tom až pak. Zač</w:t>
      </w:r>
      <w:r>
        <w:rPr>
          <w:i/>
          <w:iCs/>
          <w:sz w:val="20"/>
          <w:szCs w:val="20"/>
          <w:vertAlign w:val="superscript"/>
        </w:rPr>
        <w:t>n</w:t>
      </w:r>
      <w:r>
        <w:rPr>
          <w:i/>
          <w:iCs/>
          <w:sz w:val="20"/>
          <w:szCs w:val="20"/>
        </w:rPr>
        <w:t>ěme teď z jiného konce.</w:t>
      </w:r>
    </w:p>
    <w:p w:rsidR="00500724" w:rsidRDefault="00F30FB8">
      <w:pPr>
        <w:pStyle w:val="Zkladntext50"/>
        <w:shd w:val="clear" w:color="auto" w:fill="auto"/>
        <w:spacing w:after="0" w:line="240" w:lineRule="auto"/>
        <w:ind w:left="0"/>
        <w:jc w:val="center"/>
      </w:pPr>
      <w:r>
        <w:rPr>
          <w:b/>
          <w:bCs/>
          <w:i/>
          <w:iCs/>
        </w:rPr>
        <w:t>9</w:t>
      </w:r>
    </w:p>
    <w:p w:rsidR="00500724" w:rsidRDefault="00F30FB8">
      <w:pPr>
        <w:pStyle w:val="Zkladntext30"/>
        <w:shd w:val="clear" w:color="auto" w:fill="auto"/>
        <w:spacing w:after="0" w:line="209" w:lineRule="auto"/>
        <w:ind w:firstLine="220"/>
        <w:rPr>
          <w:sz w:val="20"/>
          <w:szCs w:val="20"/>
        </w:rPr>
        <w:sectPr w:rsidR="00500724">
          <w:footnotePr>
            <w:numFmt w:val="chicago"/>
            <w:numRestart w:val="eachPage"/>
          </w:footnotePr>
          <w:type w:val="continuous"/>
          <w:pgSz w:w="11909" w:h="16834"/>
          <w:pgMar w:top="591" w:right="1051" w:bottom="1058" w:left="475" w:header="0" w:footer="3" w:gutter="0"/>
          <w:cols w:num="2" w:space="100"/>
          <w:noEndnote/>
          <w:docGrid w:linePitch="360"/>
        </w:sectPr>
      </w:pPr>
      <w:r>
        <w:rPr>
          <w:i/>
          <w:iCs/>
          <w:sz w:val="20"/>
          <w:szCs w:val="20"/>
        </w:rPr>
        <w:t xml:space="preserve">Každá činohra, každá opera, slovem každé dramatické dílo je soubojem dvou snah. Rozporem </w:t>
      </w:r>
      <w:r>
        <w:rPr>
          <w:i/>
          <w:iCs/>
          <w:sz w:val="20"/>
          <w:szCs w:val="20"/>
        </w:rPr>
        <w:t>dvou vůlí. A každé footballové utkání?</w:t>
      </w:r>
    </w:p>
    <w:p w:rsidR="00500724" w:rsidRDefault="00F30FB8">
      <w:pPr>
        <w:pStyle w:val="Nadpis90"/>
        <w:keepNext/>
        <w:keepLines/>
        <w:pBdr>
          <w:bottom w:val="single" w:sz="4" w:space="0" w:color="auto"/>
        </w:pBdr>
        <w:shd w:val="clear" w:color="auto" w:fill="auto"/>
        <w:spacing w:before="80" w:after="0"/>
        <w:jc w:val="center"/>
        <w:sectPr w:rsidR="00500724">
          <w:footnotePr>
            <w:numFmt w:val="chicago"/>
            <w:numRestart w:val="eachPage"/>
          </w:footnotePr>
          <w:pgSz w:w="11909" w:h="16834"/>
          <w:pgMar w:top="574" w:right="650" w:bottom="667" w:left="943" w:header="0" w:footer="3" w:gutter="0"/>
          <w:cols w:space="720"/>
          <w:noEndnote/>
          <w:docGrid w:linePitch="360"/>
        </w:sectPr>
      </w:pPr>
      <w:bookmarkStart w:id="656" w:name="bookmark655"/>
      <w:r>
        <w:rPr>
          <w:rFonts w:ascii="Times New Roman" w:eastAsia="Times New Roman" w:hAnsi="Times New Roman" w:cs="Times New Roman"/>
        </w:rPr>
        <w:t>PřífannosO</w:t>
      </w:r>
      <w:bookmarkEnd w:id="656"/>
    </w:p>
    <w:p w:rsidR="00500724" w:rsidRDefault="00500724">
      <w:pPr>
        <w:spacing w:line="78" w:lineRule="exact"/>
        <w:rPr>
          <w:sz w:val="6"/>
          <w:szCs w:val="6"/>
        </w:rPr>
      </w:pPr>
    </w:p>
    <w:p w:rsidR="00500724" w:rsidRDefault="00500724">
      <w:pPr>
        <w:spacing w:line="14" w:lineRule="exact"/>
        <w:sectPr w:rsidR="00500724">
          <w:footnotePr>
            <w:numFmt w:val="chicago"/>
            <w:numRestart w:val="eachPage"/>
          </w:footnotePr>
          <w:type w:val="continuous"/>
          <w:pgSz w:w="11909" w:h="16834"/>
          <w:pgMar w:top="574" w:right="0" w:bottom="574" w:left="0" w:header="0" w:footer="3" w:gutter="0"/>
          <w:cols w:space="720"/>
          <w:noEndnote/>
          <w:docGrid w:linePitch="360"/>
        </w:sectPr>
      </w:pPr>
    </w:p>
    <w:p w:rsidR="00500724" w:rsidRDefault="00F30FB8">
      <w:pPr>
        <w:pStyle w:val="Zkladntext30"/>
        <w:shd w:val="clear" w:color="auto" w:fill="auto"/>
        <w:spacing w:after="0" w:line="202" w:lineRule="auto"/>
        <w:ind w:firstLine="240"/>
        <w:rPr>
          <w:sz w:val="20"/>
          <w:szCs w:val="20"/>
        </w:rPr>
      </w:pPr>
      <w:r>
        <w:rPr>
          <w:i/>
          <w:iCs/>
          <w:sz w:val="20"/>
          <w:szCs w:val="20"/>
        </w:rPr>
        <w:t>Nuže: úsilím hráčů Sparty není dopravit míč alespoň o jednou vícekrát do branky Slavie než jej dopravili hráči Slavie do branky Sparty. Csilím, snahou</w:t>
      </w:r>
      <w:r>
        <w:rPr>
          <w:i/>
          <w:iCs/>
          <w:sz w:val="20"/>
          <w:szCs w:val="20"/>
        </w:rPr>
        <w:t>, vůlí hráčů Sparty je zvítězit. Porazit Slavii.</w:t>
      </w:r>
    </w:p>
    <w:p w:rsidR="00500724" w:rsidRDefault="00F30FB8">
      <w:pPr>
        <w:pStyle w:val="Zkladntext30"/>
        <w:shd w:val="clear" w:color="auto" w:fill="auto"/>
        <w:spacing w:after="0" w:line="199" w:lineRule="auto"/>
        <w:ind w:firstLine="240"/>
        <w:rPr>
          <w:sz w:val="20"/>
          <w:szCs w:val="20"/>
        </w:rPr>
      </w:pPr>
      <w:r>
        <w:rPr>
          <w:i/>
          <w:iCs/>
          <w:sz w:val="20"/>
          <w:szCs w:val="20"/>
        </w:rPr>
        <w:t>Úsilím, snahou, vůlí sv. Jany ve stejnojmenné činohře od Bernarda Shama není dobýt brány Angličany oble</w:t>
      </w:r>
      <w:r>
        <w:rPr>
          <w:i/>
          <w:iCs/>
          <w:sz w:val="20"/>
          <w:szCs w:val="20"/>
        </w:rPr>
        <w:softHyphen/>
        <w:t>ženého Orleansu. Csilím, snahou, vůlí so. Jany je zví</w:t>
      </w:r>
      <w:r>
        <w:rPr>
          <w:i/>
          <w:iCs/>
          <w:sz w:val="20"/>
          <w:szCs w:val="20"/>
        </w:rPr>
        <w:softHyphen/>
        <w:t>tězit. Porazit Angličany. Dosáhnutí branky jest p</w:t>
      </w:r>
      <w:r>
        <w:rPr>
          <w:i/>
          <w:iCs/>
          <w:sz w:val="20"/>
          <w:szCs w:val="20"/>
        </w:rPr>
        <w:t>ro levé* křídlo Sparty stejně jen prostředkem, jako je sv. Janě jen prostředkem dobýti brány Orleansu, Snahy, ženoucí jednání Shaivovy so. Jany a spartánského leoého křídla jsou tytéž. Říkejte si třeba, že snahy sv. Jany jsou jakostnější a vyšší. Na tom ná</w:t>
      </w:r>
      <w:r>
        <w:rPr>
          <w:i/>
          <w:iCs/>
          <w:sz w:val="20"/>
          <w:szCs w:val="20"/>
        </w:rPr>
        <w:t>m ted nesejde. Sejde nám však velmi na tom, že vzrušení a napětí sportovních di</w:t>
      </w:r>
      <w:r>
        <w:rPr>
          <w:i/>
          <w:iCs/>
          <w:sz w:val="20"/>
          <w:szCs w:val="20"/>
        </w:rPr>
        <w:softHyphen/>
        <w:t>váků z akce levého křídla Sparty není o nic menší, než vzrušení a napětí činoherního diváka z dramatických akcí sv. Jany.</w:t>
      </w:r>
      <w:r>
        <w:rPr>
          <w:rFonts w:ascii="Arial" w:eastAsia="Arial" w:hAnsi="Arial" w:cs="Arial"/>
          <w:sz w:val="17"/>
          <w:szCs w:val="17"/>
        </w:rPr>
        <w:t xml:space="preserve"> Že </w:t>
      </w:r>
      <w:r>
        <w:rPr>
          <w:i/>
          <w:iCs/>
          <w:sz w:val="20"/>
          <w:szCs w:val="20"/>
        </w:rPr>
        <w:t xml:space="preserve">dramatická situace na předmostí před vpadni branou </w:t>
      </w:r>
      <w:r>
        <w:rPr>
          <w:i/>
          <w:iCs/>
          <w:sz w:val="20"/>
          <w:szCs w:val="20"/>
        </w:rPr>
        <w:t>Orleansu není o nic napínavější než scrumage (shluk hráčů) útoku Sparty v malém trestném území před brankou Slavie.</w:t>
      </w:r>
    </w:p>
    <w:p w:rsidR="00500724" w:rsidRDefault="00F30FB8">
      <w:pPr>
        <w:pStyle w:val="Zkladntext30"/>
        <w:shd w:val="clear" w:color="auto" w:fill="auto"/>
        <w:spacing w:after="0" w:line="199" w:lineRule="auto"/>
        <w:ind w:firstLine="240"/>
        <w:rPr>
          <w:sz w:val="20"/>
          <w:szCs w:val="20"/>
        </w:rPr>
      </w:pPr>
      <w:r>
        <w:rPr>
          <w:i/>
          <w:iCs/>
          <w:sz w:val="20"/>
          <w:szCs w:val="20"/>
        </w:rPr>
        <w:t>^Výborně!* slyším volat naše, samým sportovním na</w:t>
      </w:r>
      <w:r>
        <w:rPr>
          <w:i/>
          <w:iCs/>
          <w:sz w:val="20"/>
          <w:szCs w:val="20"/>
        </w:rPr>
        <w:softHyphen/>
        <w:t xml:space="preserve">dšením beznadějně zjankovatělé Nadčerace. ^Vždycky jsme říkali, že </w:t>
      </w:r>
      <w:r>
        <w:rPr>
          <w:i/>
          <w:iCs/>
          <w:sz w:val="20"/>
          <w:szCs w:val="20"/>
          <w:lang w:val="en-US" w:eastAsia="en-US" w:bidi="en-US"/>
        </w:rPr>
        <w:t xml:space="preserve">football </w:t>
      </w:r>
      <w:r>
        <w:rPr>
          <w:i/>
          <w:iCs/>
          <w:sz w:val="20"/>
          <w:szCs w:val="20"/>
        </w:rPr>
        <w:t xml:space="preserve">je něco </w:t>
      </w:r>
      <w:r>
        <w:rPr>
          <w:i/>
          <w:iCs/>
          <w:sz w:val="20"/>
          <w:szCs w:val="20"/>
        </w:rPr>
        <w:t>speciálního. Vždyť už i v takové VPřítomnostic museli otevřeně přiznat, že takový správný z levého křídla založený útok je lepši, než celá dramatická tragedie! ?</w:t>
      </w:r>
    </w:p>
    <w:p w:rsidR="00500724" w:rsidRDefault="00F30FB8">
      <w:pPr>
        <w:pStyle w:val="Zkladntext30"/>
        <w:shd w:val="clear" w:color="auto" w:fill="auto"/>
        <w:spacing w:after="0" w:line="199" w:lineRule="auto"/>
        <w:ind w:firstLine="240"/>
        <w:rPr>
          <w:sz w:val="20"/>
          <w:szCs w:val="20"/>
        </w:rPr>
      </w:pPr>
      <w:r>
        <w:rPr>
          <w:i/>
          <w:iCs/>
          <w:sz w:val="20"/>
          <w:szCs w:val="20"/>
        </w:rPr>
        <w:t xml:space="preserve">Přiznávám, že kdybychom se měli ohlížet na souhlasné projevy našich Nadčeraců, nesměli bychom </w:t>
      </w:r>
      <w:r>
        <w:rPr>
          <w:i/>
          <w:iCs/>
          <w:sz w:val="20"/>
          <w:szCs w:val="20"/>
        </w:rPr>
        <w:t>o sportu psáti vůbec.</w:t>
      </w:r>
    </w:p>
    <w:p w:rsidR="00500724" w:rsidRDefault="00F30FB8">
      <w:pPr>
        <w:pStyle w:val="Zkladntext30"/>
        <w:shd w:val="clear" w:color="auto" w:fill="auto"/>
        <w:spacing w:after="0" w:line="199" w:lineRule="auto"/>
        <w:ind w:firstLine="240"/>
        <w:rPr>
          <w:sz w:val="20"/>
          <w:szCs w:val="20"/>
        </w:rPr>
      </w:pPr>
      <w:r>
        <w:rPr>
          <w:i/>
          <w:iCs/>
          <w:sz w:val="20"/>
          <w:szCs w:val="20"/>
        </w:rPr>
        <w:t>I kdyby bylo dokázáno, což ještě naprosto není, že vzrušení z dramatických počinů so. Jany je stejného druhu jako vzrušení ze sportovních počinů levého křídla Sparty, nebylo by ještě, co se divadelních vlastností po</w:t>
      </w:r>
      <w:r>
        <w:rPr>
          <w:i/>
          <w:iCs/>
          <w:sz w:val="20"/>
          <w:szCs w:val="20"/>
        </w:rPr>
        <w:softHyphen/>
        <w:t>činů levého křídla</w:t>
      </w:r>
      <w:r>
        <w:rPr>
          <w:i/>
          <w:iCs/>
          <w:sz w:val="20"/>
          <w:szCs w:val="20"/>
        </w:rPr>
        <w:t xml:space="preserve"> Sparty týče, dokázáno pranic.</w:t>
      </w:r>
    </w:p>
    <w:p w:rsidR="00500724" w:rsidRDefault="00F30FB8">
      <w:pPr>
        <w:pStyle w:val="Zkladntext30"/>
        <w:shd w:val="clear" w:color="auto" w:fill="auto"/>
        <w:spacing w:after="0" w:line="199" w:lineRule="auto"/>
        <w:ind w:firstLine="240"/>
        <w:rPr>
          <w:sz w:val="20"/>
          <w:szCs w:val="20"/>
        </w:rPr>
      </w:pPr>
      <w:r>
        <w:rPr>
          <w:i/>
          <w:iCs/>
          <w:sz w:val="20"/>
          <w:szCs w:val="20"/>
        </w:rPr>
        <w:t>Vždyť stejné, ba mnohem intensivnější vzrušení po</w:t>
      </w:r>
      <w:r>
        <w:rPr>
          <w:i/>
          <w:iCs/>
          <w:sz w:val="20"/>
          <w:szCs w:val="20"/>
        </w:rPr>
        <w:softHyphen/>
        <w:t>skytne nám na příklad demonstrace na Václavském ná</w:t>
      </w:r>
      <w:r>
        <w:rPr>
          <w:i/>
          <w:iCs/>
          <w:sz w:val="20"/>
          <w:szCs w:val="20"/>
        </w:rPr>
        <w:softHyphen/>
        <w:t>městí a přece — ač zde vystupují osoby krojované, sólisté a statisté, a ač zde nechybějí ani hlasové projevy, jejichž nedost</w:t>
      </w:r>
      <w:r>
        <w:rPr>
          <w:i/>
          <w:iCs/>
          <w:sz w:val="20"/>
          <w:szCs w:val="20"/>
        </w:rPr>
        <w:t>atek činí z utkání Sparty se Slavií němo- hru — přece jen neodváží se nikdo demonstrace na Václavském náměstí označit za pouhé divadlo. Jsou totiž skutečné. Jsou to děje životní.</w:t>
      </w:r>
    </w:p>
    <w:p w:rsidR="00500724" w:rsidRDefault="00F30FB8">
      <w:pPr>
        <w:pStyle w:val="Zkladntext30"/>
        <w:shd w:val="clear" w:color="auto" w:fill="auto"/>
        <w:spacing w:after="0" w:line="199" w:lineRule="auto"/>
        <w:ind w:firstLine="240"/>
        <w:rPr>
          <w:sz w:val="20"/>
          <w:szCs w:val="20"/>
        </w:rPr>
      </w:pPr>
      <w:r>
        <w:rPr>
          <w:i/>
          <w:iCs/>
          <w:sz w:val="20"/>
          <w:szCs w:val="20"/>
        </w:rPr>
        <w:t>Naproti tomu činohra so. Jana od Bernarda Shama je děj vymyšlený. Neskutečný.</w:t>
      </w:r>
      <w:r>
        <w:rPr>
          <w:i/>
          <w:iCs/>
          <w:sz w:val="20"/>
          <w:szCs w:val="20"/>
        </w:rPr>
        <w:t xml:space="preserve"> Jest na příklad naprosto nemyslitelné, aby vám uprostřed nejdramatičtější akce vlepil statný kapitán Robert de Baudricourt, zle roz- kacený nedostatkem a zdražením vajec, poliček, byť byste i byl náhodou hokynářka a měl co se zdražením vajec velmi nečisté</w:t>
      </w:r>
      <w:r>
        <w:rPr>
          <w:i/>
          <w:iCs/>
          <w:sz w:val="20"/>
          <w:szCs w:val="20"/>
        </w:rPr>
        <w:t xml:space="preserve"> svědomí.</w:t>
      </w:r>
    </w:p>
    <w:p w:rsidR="00500724" w:rsidRDefault="00F30FB8">
      <w:pPr>
        <w:pStyle w:val="Zkladntext30"/>
        <w:shd w:val="clear" w:color="auto" w:fill="auto"/>
        <w:spacing w:after="0" w:line="199" w:lineRule="auto"/>
        <w:ind w:firstLine="240"/>
        <w:rPr>
          <w:sz w:val="20"/>
          <w:szCs w:val="20"/>
        </w:rPr>
      </w:pPr>
      <w:r>
        <w:rPr>
          <w:i/>
          <w:iCs/>
          <w:sz w:val="20"/>
          <w:szCs w:val="20"/>
        </w:rPr>
        <w:t>Zatím co při shluku na Václavském náměstí vám i vaše nejryzejší, křišťálově čisté svědomí nebude, před něčím podobným jako je poliček, zcela bezpečnou ochranou.</w:t>
      </w:r>
    </w:p>
    <w:p w:rsidR="00500724" w:rsidRDefault="00F30FB8">
      <w:pPr>
        <w:pStyle w:val="Zkladntext30"/>
        <w:shd w:val="clear" w:color="auto" w:fill="auto"/>
        <w:spacing w:after="0" w:line="199" w:lineRule="auto"/>
        <w:ind w:firstLine="240"/>
        <w:rPr>
          <w:sz w:val="20"/>
          <w:szCs w:val="20"/>
        </w:rPr>
      </w:pPr>
      <w:r>
        <w:rPr>
          <w:i/>
          <w:iCs/>
          <w:sz w:val="20"/>
          <w:szCs w:val="20"/>
        </w:rPr>
        <w:t>Nebof opakuji. Statný kapitán Robert de Baudricourt je vymyšlená, dramatická osoba. V</w:t>
      </w:r>
      <w:r>
        <w:rPr>
          <w:i/>
          <w:iCs/>
          <w:sz w:val="20"/>
          <w:szCs w:val="20"/>
        </w:rPr>
        <w:t>nímáte ji zrakem a sluchem. Potřeštěnec na Václavském náměstí je skuteč</w:t>
      </w:r>
      <w:r>
        <w:rPr>
          <w:i/>
          <w:iCs/>
          <w:sz w:val="20"/>
          <w:szCs w:val="20"/>
        </w:rPr>
        <w:softHyphen/>
        <w:t>ná, nevymýšlená osoba. Lze jej vnímat i jinými způsoby.</w:t>
      </w:r>
    </w:p>
    <w:p w:rsidR="00500724" w:rsidRDefault="00F30FB8">
      <w:pPr>
        <w:pStyle w:val="Zkladntext30"/>
        <w:shd w:val="clear" w:color="auto" w:fill="auto"/>
        <w:spacing w:after="0" w:line="199" w:lineRule="auto"/>
        <w:ind w:firstLine="240"/>
        <w:rPr>
          <w:sz w:val="20"/>
          <w:szCs w:val="20"/>
        </w:rPr>
      </w:pPr>
      <w:r>
        <w:rPr>
          <w:i/>
          <w:iCs/>
          <w:sz w:val="20"/>
          <w:szCs w:val="20"/>
        </w:rPr>
        <w:t>Jaké je to však s utkáním Sparta—Slavia? Jde též o nějakou demonstraci tělesné zdatnosti? Jde o děje životní? Jde o skutečnost?</w:t>
      </w:r>
    </w:p>
    <w:p w:rsidR="00500724" w:rsidRDefault="00F30FB8">
      <w:pPr>
        <w:pStyle w:val="Zkladntext30"/>
        <w:shd w:val="clear" w:color="auto" w:fill="auto"/>
        <w:spacing w:after="0" w:line="199" w:lineRule="auto"/>
        <w:ind w:firstLine="240"/>
        <w:rPr>
          <w:sz w:val="20"/>
          <w:szCs w:val="20"/>
        </w:rPr>
      </w:pPr>
      <w:r>
        <w:rPr>
          <w:i/>
          <w:iCs/>
          <w:sz w:val="20"/>
          <w:szCs w:val="20"/>
        </w:rPr>
        <w:t>Vmyslete se, prosím, pro lepší pochopení, do této situace. Vzal jste svoji sestřenici, která byla doposud vychovávána v klášterní škole, na footballové utkání.</w:t>
      </w:r>
    </w:p>
    <w:p w:rsidR="00500724" w:rsidRDefault="00F30FB8">
      <w:pPr>
        <w:pStyle w:val="Zkladntext30"/>
        <w:shd w:val="clear" w:color="auto" w:fill="auto"/>
        <w:spacing w:after="0" w:line="199" w:lineRule="auto"/>
        <w:ind w:firstLine="240"/>
        <w:rPr>
          <w:sz w:val="20"/>
          <w:szCs w:val="20"/>
        </w:rPr>
      </w:pPr>
      <w:r>
        <w:rPr>
          <w:i/>
          <w:iCs/>
          <w:sz w:val="20"/>
          <w:szCs w:val="20"/>
        </w:rPr>
        <w:t xml:space="preserve">Nepochybuji ani chvíli — že pokud vás nešidí a vidí skutečně footballové utkání po prvé ve svém </w:t>
      </w:r>
      <w:r>
        <w:rPr>
          <w:i/>
          <w:iCs/>
          <w:sz w:val="20"/>
          <w:szCs w:val="20"/>
        </w:rPr>
        <w:t>životě — bude jí pohled na 22 mladých mužů, pobíhajících s ob</w:t>
      </w:r>
      <w:r>
        <w:rPr>
          <w:i/>
          <w:iCs/>
          <w:sz w:val="20"/>
          <w:szCs w:val="20"/>
        </w:rPr>
        <w:softHyphen/>
        <w:t>naženými koleny, ke hvizdům staršího žoviálního pána v černém listrovém utíkáčku, po hřišti sem a tam, věcí nevýslovně směšnou a groteskní.</w:t>
      </w:r>
    </w:p>
    <w:p w:rsidR="00500724" w:rsidRDefault="00F30FB8">
      <w:pPr>
        <w:pStyle w:val="Zkladntext30"/>
        <w:shd w:val="clear" w:color="auto" w:fill="auto"/>
        <w:spacing w:after="0" w:line="257" w:lineRule="auto"/>
        <w:ind w:firstLine="240"/>
        <w:rPr>
          <w:sz w:val="20"/>
          <w:szCs w:val="20"/>
        </w:rPr>
      </w:pPr>
      <w:r>
        <w:rPr>
          <w:i/>
          <w:iCs/>
          <w:sz w:val="20"/>
          <w:szCs w:val="20"/>
        </w:rPr>
        <w:t>Vaší sestřenici nedostává se totiž tak zvaná divadelní</w:t>
      </w:r>
      <w:r>
        <w:rPr>
          <w:i/>
          <w:iCs/>
          <w:sz w:val="20"/>
          <w:szCs w:val="20"/>
        </w:rPr>
        <w:t xml:space="preserve"> iluse. To je onen duševní stav, ono podioné rozpoloženi mysli, které se vás zmocní, jakmile se jen rozestoupí divadelní opona, před kterou se pak odehrává hra, o níž 406 zcela bezpečně víte, že jest jen hrou, ale kterou přes to vnímáte zcela vážně a skute</w:t>
      </w:r>
      <w:r>
        <w:rPr>
          <w:i/>
          <w:iCs/>
          <w:sz w:val="20"/>
          <w:szCs w:val="20"/>
        </w:rPr>
        <w:t>čně.</w:t>
      </w:r>
    </w:p>
    <w:p w:rsidR="00500724" w:rsidRDefault="00F30FB8">
      <w:pPr>
        <w:pStyle w:val="Zkladntext30"/>
        <w:shd w:val="clear" w:color="auto" w:fill="auto"/>
        <w:spacing w:after="0" w:line="199" w:lineRule="auto"/>
        <w:ind w:firstLine="240"/>
        <w:rPr>
          <w:sz w:val="20"/>
          <w:szCs w:val="20"/>
        </w:rPr>
      </w:pPr>
      <w:r>
        <w:rPr>
          <w:i/>
          <w:iCs/>
          <w:sz w:val="20"/>
          <w:szCs w:val="20"/>
        </w:rPr>
        <w:t>Ale vraťme se k vaší nadmíru pobavené sestřenici na Spartě. Domnívám se, že jste dosti gentlemanem, abyste ji, jakmile jste jen seznal svůj omyl, kterého jste se do</w:t>
      </w:r>
      <w:r>
        <w:rPr>
          <w:i/>
          <w:iCs/>
          <w:sz w:val="20"/>
          <w:szCs w:val="20"/>
        </w:rPr>
        <w:softHyphen/>
        <w:t>pustil, když jste sestřenici místo do zoologické zahrady do Troje — ve které není třeb</w:t>
      </w:r>
      <w:r>
        <w:rPr>
          <w:i/>
          <w:iCs/>
          <w:sz w:val="20"/>
          <w:szCs w:val="20"/>
        </w:rPr>
        <w:t xml:space="preserve">a divadelní iluse — zavedl na </w:t>
      </w:r>
      <w:r>
        <w:rPr>
          <w:i/>
          <w:iCs/>
          <w:sz w:val="20"/>
          <w:szCs w:val="20"/>
          <w:lang w:val="en-US" w:eastAsia="en-US" w:bidi="en-US"/>
        </w:rPr>
        <w:t xml:space="preserve">football </w:t>
      </w:r>
      <w:r>
        <w:rPr>
          <w:i/>
          <w:iCs/>
          <w:sz w:val="20"/>
          <w:szCs w:val="20"/>
        </w:rPr>
        <w:t>na Letnou, obeznámil s pravidly kopané.</w:t>
      </w:r>
    </w:p>
    <w:p w:rsidR="00500724" w:rsidRDefault="00F30FB8">
      <w:pPr>
        <w:pStyle w:val="Zkladntext30"/>
        <w:shd w:val="clear" w:color="auto" w:fill="auto"/>
        <w:spacing w:after="0" w:line="199" w:lineRule="auto"/>
        <w:ind w:firstLine="240"/>
        <w:rPr>
          <w:sz w:val="20"/>
          <w:szCs w:val="20"/>
        </w:rPr>
      </w:pPr>
      <w:r>
        <w:rPr>
          <w:i/>
          <w:iCs/>
          <w:sz w:val="20"/>
          <w:szCs w:val="20"/>
        </w:rPr>
        <w:t>A náhle, když už už se zdá, že chápe smysl hry (to jest: nabývá oněch duševních zkušeností, onoho citového zaměření, kterého jest třeba k divadelní ilusi) z ničeho nic zvolá: zj</w:t>
      </w:r>
      <w:r>
        <w:rPr>
          <w:i/>
          <w:iCs/>
          <w:sz w:val="20"/>
          <w:szCs w:val="20"/>
        </w:rPr>
        <w:t>ujda, podívej se! Tam dole. Náš pan učitel těsnopisu. A jaká má chlupatá kolena!«</w:t>
      </w:r>
    </w:p>
    <w:p w:rsidR="00500724" w:rsidRDefault="00F30FB8">
      <w:pPr>
        <w:pStyle w:val="Zkladntext30"/>
        <w:shd w:val="clear" w:color="auto" w:fill="auto"/>
        <w:spacing w:after="0" w:line="199" w:lineRule="auto"/>
        <w:ind w:firstLine="240"/>
        <w:rPr>
          <w:sz w:val="20"/>
          <w:szCs w:val="20"/>
        </w:rPr>
      </w:pPr>
      <w:r>
        <w:rPr>
          <w:i/>
          <w:iCs/>
          <w:sz w:val="20"/>
          <w:szCs w:val="20"/>
        </w:rPr>
        <w:t>A pravděpodobně, jen co poběží levé křídlo Sparty Kalocsay kolem vašeho místa, aby doběhlo a odcentro- valo těžký míč, přivede vás vaše sestřenice na pokraj zoufalství pronik</w:t>
      </w:r>
      <w:r>
        <w:rPr>
          <w:i/>
          <w:iCs/>
          <w:sz w:val="20"/>
          <w:szCs w:val="20"/>
        </w:rPr>
        <w:t>avým výkřikem: zPane učiteli. Ahoj! Tady jsem. S bratrancem. Jak se máte? Co děláte??</w:t>
      </w:r>
    </w:p>
    <w:p w:rsidR="00500724" w:rsidRDefault="00F30FB8">
      <w:pPr>
        <w:pStyle w:val="Zkladntext30"/>
        <w:shd w:val="clear" w:color="auto" w:fill="auto"/>
        <w:spacing w:after="0" w:line="199" w:lineRule="auto"/>
        <w:ind w:firstLine="240"/>
        <w:rPr>
          <w:sz w:val="20"/>
          <w:szCs w:val="20"/>
        </w:rPr>
      </w:pPr>
      <w:r>
        <w:rPr>
          <w:i/>
          <w:iCs/>
          <w:sz w:val="20"/>
          <w:szCs w:val="20"/>
        </w:rPr>
        <w:t>V idíte. V aší sestřenici nejen, že se nedostává divadelní iluse, potřebné k pochopení sportovního utkání, nedo</w:t>
      </w:r>
      <w:r>
        <w:rPr>
          <w:i/>
          <w:iCs/>
          <w:sz w:val="20"/>
          <w:szCs w:val="20"/>
        </w:rPr>
        <w:softHyphen/>
        <w:t xml:space="preserve">stává se jí ani pochopení pro fakt, že to, co tady pobíhá </w:t>
      </w:r>
      <w:r>
        <w:rPr>
          <w:i/>
          <w:iCs/>
          <w:sz w:val="20"/>
          <w:szCs w:val="20"/>
        </w:rPr>
        <w:t>po levém křídle Sparty, nemá v tom okamžiku, na této scéně, v této masce, v tomto kostýmu (málem bych byl řekl v »této roli? — nu nebojte se, řeknu to o kousek) později) takřka pranic společného s civilním Kalo- csayem, příležitostným učitelem těsnopisu na</w:t>
      </w:r>
      <w:r>
        <w:rPr>
          <w:i/>
          <w:iCs/>
          <w:sz w:val="20"/>
          <w:szCs w:val="20"/>
        </w:rPr>
        <w:t xml:space="preserve"> klášterní škole.</w:t>
      </w:r>
    </w:p>
    <w:p w:rsidR="00500724" w:rsidRDefault="00F30FB8">
      <w:pPr>
        <w:pStyle w:val="Zkladntext30"/>
        <w:shd w:val="clear" w:color="auto" w:fill="auto"/>
        <w:spacing w:after="0" w:line="199" w:lineRule="auto"/>
        <w:ind w:firstLine="240"/>
        <w:rPr>
          <w:sz w:val="20"/>
          <w:szCs w:val="20"/>
        </w:rPr>
      </w:pPr>
      <w:r>
        <w:rPr>
          <w:i/>
          <w:iCs/>
          <w:sz w:val="20"/>
          <w:szCs w:val="20"/>
        </w:rPr>
        <w:t>Vaše sestřenice nemá pochopení pro onu kombinaci trojjednotného současného vnímání, které se nevysky</w:t>
      </w:r>
      <w:r>
        <w:rPr>
          <w:i/>
          <w:iCs/>
          <w:sz w:val="20"/>
          <w:szCs w:val="20"/>
        </w:rPr>
        <w:softHyphen/>
        <w:t>tuje v žádném jiném oboru lidské činnosti, o žádném</w:t>
      </w:r>
    </w:p>
    <w:p w:rsidR="00500724" w:rsidRDefault="00F30FB8">
      <w:pPr>
        <w:pStyle w:val="Zkladntext30"/>
        <w:shd w:val="clear" w:color="auto" w:fill="auto"/>
        <w:tabs>
          <w:tab w:val="left" w:leader="hyphen" w:pos="4939"/>
        </w:tabs>
        <w:spacing w:after="0" w:line="199" w:lineRule="auto"/>
        <w:ind w:firstLine="0"/>
        <w:rPr>
          <w:sz w:val="20"/>
          <w:szCs w:val="20"/>
        </w:rPr>
      </w:pPr>
      <w:r>
        <w:rPr>
          <w:i/>
          <w:iCs/>
          <w:sz w:val="20"/>
          <w:szCs w:val="20"/>
        </w:rPr>
        <w:t>jiném umění než o umění divadelním. A než</w:t>
      </w:r>
      <w:r>
        <w:rPr>
          <w:i/>
          <w:iCs/>
          <w:sz w:val="20"/>
          <w:szCs w:val="20"/>
        </w:rPr>
        <w:tab/>
        <w:t>&lt;</w:t>
      </w:r>
    </w:p>
    <w:p w:rsidR="00500724" w:rsidRDefault="00F30FB8">
      <w:pPr>
        <w:pStyle w:val="Zkladntext30"/>
        <w:shd w:val="clear" w:color="auto" w:fill="auto"/>
        <w:spacing w:after="0" w:line="199" w:lineRule="auto"/>
        <w:ind w:firstLine="0"/>
        <w:rPr>
          <w:sz w:val="20"/>
          <w:szCs w:val="20"/>
        </w:rPr>
      </w:pPr>
      <w:r>
        <w:rPr>
          <w:i/>
          <w:iCs/>
          <w:sz w:val="20"/>
          <w:szCs w:val="20"/>
        </w:rPr>
        <w:t>(kteréžto pomlky si, doufám, vyplníte nyn</w:t>
      </w:r>
      <w:r>
        <w:rPr>
          <w:i/>
          <w:iCs/>
          <w:sz w:val="20"/>
          <w:szCs w:val="20"/>
        </w:rPr>
        <w:t>í už sami). A pro kteroužto trojjednotnost jest příznačná tato skupina otázek.</w:t>
      </w:r>
    </w:p>
    <w:p w:rsidR="00500724" w:rsidRDefault="00F30FB8">
      <w:pPr>
        <w:pStyle w:val="Zkladntext30"/>
        <w:shd w:val="clear" w:color="auto" w:fill="auto"/>
        <w:spacing w:after="0" w:line="199" w:lineRule="auto"/>
        <w:ind w:firstLine="240"/>
        <w:rPr>
          <w:sz w:val="20"/>
          <w:szCs w:val="20"/>
        </w:rPr>
      </w:pPr>
      <w:r>
        <w:rPr>
          <w:i/>
          <w:iCs/>
          <w:sz w:val="20"/>
          <w:szCs w:val="20"/>
        </w:rPr>
        <w:t>Kdo je to? Cím je? Co hraje?</w:t>
      </w:r>
    </w:p>
    <w:p w:rsidR="00500724" w:rsidRDefault="00F30FB8">
      <w:pPr>
        <w:pStyle w:val="Zkladntext30"/>
        <w:shd w:val="clear" w:color="auto" w:fill="auto"/>
        <w:spacing w:after="0" w:line="199" w:lineRule="auto"/>
        <w:ind w:firstLine="240"/>
        <w:rPr>
          <w:sz w:val="20"/>
          <w:szCs w:val="20"/>
        </w:rPr>
      </w:pPr>
      <w:r>
        <w:rPr>
          <w:i/>
          <w:iCs/>
          <w:sz w:val="20"/>
          <w:szCs w:val="20"/>
        </w:rPr>
        <w:t xml:space="preserve">Na které zní odpovědi Je to Kalocsay (je to Vojta). Je footballistou (je hercem). Hraje levé křídlo </w:t>
      </w:r>
      <w:r>
        <w:rPr>
          <w:i/>
          <w:iCs/>
          <w:sz w:val="20"/>
          <w:szCs w:val="20"/>
          <w:lang w:val="en-US" w:eastAsia="en-US" w:bidi="en-US"/>
        </w:rPr>
        <w:t xml:space="preserve">AC </w:t>
      </w:r>
      <w:r>
        <w:rPr>
          <w:i/>
          <w:iCs/>
          <w:sz w:val="20"/>
          <w:szCs w:val="20"/>
        </w:rPr>
        <w:t>Sparty v ligovém utkání Sparta—Slavia na Letn</w:t>
      </w:r>
      <w:r>
        <w:rPr>
          <w:i/>
          <w:iCs/>
          <w:sz w:val="20"/>
          <w:szCs w:val="20"/>
        </w:rPr>
        <w:t>ě. (Hraje stat</w:t>
      </w:r>
      <w:r>
        <w:rPr>
          <w:i/>
          <w:iCs/>
          <w:sz w:val="20"/>
          <w:szCs w:val="20"/>
        </w:rPr>
        <w:softHyphen/>
        <w:t>ného kapitána Roberta de Baudricourt ve sv. Janě od Bernarda Shama na Národním divadle.)</w:t>
      </w:r>
    </w:p>
    <w:p w:rsidR="00500724" w:rsidRDefault="00F30FB8">
      <w:pPr>
        <w:pStyle w:val="Zkladntext30"/>
        <w:shd w:val="clear" w:color="auto" w:fill="auto"/>
        <w:spacing w:after="0" w:line="199" w:lineRule="auto"/>
        <w:ind w:firstLine="240"/>
        <w:rPr>
          <w:sz w:val="20"/>
          <w:szCs w:val="20"/>
        </w:rPr>
      </w:pPr>
      <w:r>
        <w:rPr>
          <w:i/>
          <w:iCs/>
          <w:sz w:val="20"/>
          <w:szCs w:val="20"/>
        </w:rPr>
        <w:t xml:space="preserve">A teď, když jsme si řekli, že dramatický děj utkání Sparty se Slavií není stejně jako děj so. Jany dějem skutečným (nebof k jeho pochopení je třeba </w:t>
      </w:r>
      <w:r>
        <w:rPr>
          <w:i/>
          <w:iCs/>
          <w:sz w:val="20"/>
          <w:szCs w:val="20"/>
        </w:rPr>
        <w:t>divadelní iluse), dále, že levé křídlo Sparty hraje stejně svoji roli na stadiu jako statný kapitán Robert de Baudricourt na divadle, zbývá nám už jen ztratit několik slov o tom, že hřiště Sparty je stejně scénickým obrazem jako slunná kamenná síň v prvním</w:t>
      </w:r>
      <w:r>
        <w:rPr>
          <w:i/>
          <w:iCs/>
          <w:sz w:val="20"/>
          <w:szCs w:val="20"/>
        </w:rPr>
        <w:t xml:space="preserve"> poschodí baudricourtského hradu.</w:t>
      </w:r>
    </w:p>
    <w:p w:rsidR="00500724" w:rsidRDefault="00F30FB8">
      <w:pPr>
        <w:pStyle w:val="Zkladntext30"/>
        <w:shd w:val="clear" w:color="auto" w:fill="auto"/>
        <w:spacing w:after="0" w:line="199" w:lineRule="auto"/>
        <w:ind w:firstLine="240"/>
        <w:rPr>
          <w:sz w:val="20"/>
          <w:szCs w:val="20"/>
        </w:rPr>
      </w:pPr>
      <w:r>
        <w:rPr>
          <w:i/>
          <w:iCs/>
          <w:sz w:val="20"/>
          <w:szCs w:val="20"/>
        </w:rPr>
        <w:t>A jakým scénickým obrazem, panečku! Vždyť od oka</w:t>
      </w:r>
      <w:r>
        <w:rPr>
          <w:i/>
          <w:iCs/>
          <w:sz w:val="20"/>
          <w:szCs w:val="20"/>
        </w:rPr>
        <w:softHyphen/>
        <w:t>mžiku soudcova zapísknutí má každý úsek na hřišti (vy</w:t>
      </w:r>
      <w:r>
        <w:rPr>
          <w:i/>
          <w:iCs/>
          <w:sz w:val="20"/>
          <w:szCs w:val="20"/>
        </w:rPr>
        <w:softHyphen/>
        <w:t>značený bílou čarou) svoji vlastní dramatickou váhu. (Jiné důsledky má střetnutí hráčů ve středu hřiště, jiné v malém a</w:t>
      </w:r>
      <w:r>
        <w:rPr>
          <w:i/>
          <w:iCs/>
          <w:sz w:val="20"/>
          <w:szCs w:val="20"/>
        </w:rPr>
        <w:t xml:space="preserve"> jiné ve velkém trestném území.) A toto pro</w:t>
      </w:r>
      <w:r>
        <w:rPr>
          <w:i/>
          <w:iCs/>
          <w:sz w:val="20"/>
          <w:szCs w:val="20"/>
        </w:rPr>
        <w:softHyphen/>
        <w:t>storové rozčlenění scény blíží se ve své geniální prosto- duchosti až onomu pohádkovému kouzelnému kruhu, kterým se obkličuje a zabezpečuje hloupý Honza proti lstivým nástrahám zlých půlnočních duchů a Belzebubů.</w:t>
      </w:r>
    </w:p>
    <w:p w:rsidR="00500724" w:rsidRDefault="00F30FB8">
      <w:pPr>
        <w:pStyle w:val="Zkladntext30"/>
        <w:shd w:val="clear" w:color="auto" w:fill="auto"/>
        <w:spacing w:after="0" w:line="199" w:lineRule="auto"/>
        <w:ind w:firstLine="240"/>
        <w:rPr>
          <w:sz w:val="20"/>
          <w:szCs w:val="20"/>
        </w:rPr>
      </w:pPr>
      <w:r>
        <w:rPr>
          <w:i/>
          <w:iCs/>
          <w:sz w:val="20"/>
          <w:szCs w:val="20"/>
        </w:rPr>
        <w:t xml:space="preserve">A ústřední pravidlo o </w:t>
      </w:r>
      <w:r>
        <w:rPr>
          <w:i/>
          <w:iCs/>
          <w:sz w:val="20"/>
          <w:szCs w:val="20"/>
          <w:lang w:val="en-US" w:eastAsia="en-US" w:bidi="en-US"/>
        </w:rPr>
        <w:t xml:space="preserve">offside </w:t>
      </w:r>
      <w:r>
        <w:rPr>
          <w:i/>
          <w:iCs/>
          <w:sz w:val="20"/>
          <w:szCs w:val="20"/>
        </w:rPr>
        <w:t xml:space="preserve">neupravuje jen vztah herce k herci, ale současně i vztah herce ke scéně. (Toto pravidlo určuje, že hráč na určitém místě na křišti za určitého seskupení svých spoluhráčů je </w:t>
      </w:r>
      <w:r>
        <w:rPr>
          <w:i/>
          <w:iCs/>
          <w:sz w:val="20"/>
          <w:szCs w:val="20"/>
          <w:lang w:val="en-US" w:eastAsia="en-US" w:bidi="en-US"/>
        </w:rPr>
        <w:t xml:space="preserve">offside; </w:t>
      </w:r>
      <w:r>
        <w:rPr>
          <w:i/>
          <w:iCs/>
          <w:sz w:val="20"/>
          <w:szCs w:val="20"/>
        </w:rPr>
        <w:t>to jest: nesmí zasáhnout do hry.)</w:t>
      </w:r>
    </w:p>
    <w:p w:rsidR="00500724" w:rsidRDefault="00F30FB8">
      <w:pPr>
        <w:pStyle w:val="Zkladntext30"/>
        <w:shd w:val="clear" w:color="auto" w:fill="auto"/>
        <w:spacing w:after="0" w:line="199" w:lineRule="auto"/>
        <w:ind w:firstLine="240"/>
        <w:rPr>
          <w:sz w:val="20"/>
          <w:szCs w:val="20"/>
        </w:rPr>
      </w:pPr>
      <w:r>
        <w:rPr>
          <w:i/>
          <w:iCs/>
          <w:sz w:val="20"/>
          <w:szCs w:val="20"/>
        </w:rPr>
        <w:t>Což nezna</w:t>
      </w:r>
      <w:r>
        <w:rPr>
          <w:i/>
          <w:iCs/>
          <w:sz w:val="20"/>
          <w:szCs w:val="20"/>
        </w:rPr>
        <w:t>mená toto pravidlo jedinečné spřežení her</w:t>
      </w:r>
      <w:r>
        <w:rPr>
          <w:i/>
          <w:iCs/>
          <w:sz w:val="20"/>
          <w:szCs w:val="20"/>
        </w:rPr>
        <w:softHyphen/>
        <w:t>cova dramatického i scénického vztahu v jedno, jaké se zdaří na jevišti jen těm nejvyvolenějším z vyvolených mistrů režisérských? A což nejsou konečně pouhé ětyři zazděné brankové tyče s břevnem napříč scénickým př</w:t>
      </w:r>
      <w:r>
        <w:rPr>
          <w:i/>
          <w:iCs/>
          <w:sz w:val="20"/>
          <w:szCs w:val="20"/>
        </w:rPr>
        <w:t>edmětem s takřka osudovou funkcí, rozuzlující děj jako deus ex machina antické tragedie?</w:t>
      </w:r>
    </w:p>
    <w:p w:rsidR="00500724" w:rsidRDefault="00F30FB8">
      <w:pPr>
        <w:pStyle w:val="Zkladntext30"/>
        <w:shd w:val="clear" w:color="auto" w:fill="auto"/>
        <w:spacing w:after="0" w:line="199" w:lineRule="auto"/>
        <w:ind w:firstLine="240"/>
        <w:rPr>
          <w:sz w:val="20"/>
          <w:szCs w:val="20"/>
        </w:rPr>
        <w:sectPr w:rsidR="00500724">
          <w:footnotePr>
            <w:numFmt w:val="chicago"/>
            <w:numRestart w:val="eachPage"/>
          </w:footnotePr>
          <w:type w:val="continuous"/>
          <w:pgSz w:w="11909" w:h="16834"/>
          <w:pgMar w:top="574" w:right="650" w:bottom="574" w:left="943" w:header="0" w:footer="3" w:gutter="0"/>
          <w:cols w:num="2" w:space="139"/>
          <w:noEndnote/>
          <w:docGrid w:linePitch="360"/>
        </w:sectPr>
      </w:pPr>
      <w:r>
        <w:rPr>
          <w:i/>
          <w:iCs/>
          <w:sz w:val="20"/>
          <w:szCs w:val="20"/>
        </w:rPr>
        <w:t>Ale dost už. Přesvědčili jsme se, doufám, o tom, že sportovní utkání má svůj děj (onen rozpor snah), své herce a svoji scénu. Což jsou pr</w:t>
      </w:r>
      <w:r>
        <w:rPr>
          <w:i/>
          <w:iCs/>
          <w:sz w:val="20"/>
          <w:szCs w:val="20"/>
        </w:rPr>
        <w:t>ávě ony hlavní výstižné znaky dramatického díla.</w:t>
      </w:r>
    </w:p>
    <w:p w:rsidR="00500724" w:rsidRDefault="00F30FB8">
      <w:pPr>
        <w:pStyle w:val="Jin0"/>
        <w:shd w:val="clear" w:color="auto" w:fill="auto"/>
        <w:ind w:firstLine="0"/>
        <w:jc w:val="right"/>
        <w:rPr>
          <w:sz w:val="44"/>
          <w:szCs w:val="44"/>
        </w:rPr>
        <w:sectPr w:rsidR="00500724">
          <w:footnotePr>
            <w:numFmt w:val="chicago"/>
            <w:numRestart w:val="eachPage"/>
          </w:footnotePr>
          <w:pgSz w:w="11909" w:h="16834"/>
          <w:pgMar w:top="896" w:right="1313" w:bottom="831" w:left="223" w:header="0" w:footer="3" w:gutter="0"/>
          <w:cols w:space="720"/>
          <w:noEndnote/>
          <w:docGrid w:linePitch="360"/>
        </w:sectPr>
      </w:pPr>
      <w:r>
        <w:rPr>
          <w:rFonts w:ascii="Calibri" w:eastAsia="Calibri" w:hAnsi="Calibri" w:cs="Calibri"/>
          <w:b/>
          <w:bCs/>
          <w:w w:val="70"/>
          <w:sz w:val="44"/>
          <w:szCs w:val="44"/>
          <w:u w:val="single"/>
        </w:rPr>
        <w:t>PfítDmnosO</w:t>
      </w:r>
      <w:r>
        <w:rPr>
          <w:rFonts w:ascii="Calibri" w:eastAsia="Calibri" w:hAnsi="Calibri" w:cs="Calibri"/>
          <w:b/>
          <w:bCs/>
          <w:w w:val="70"/>
          <w:sz w:val="44"/>
          <w:szCs w:val="44"/>
        </w:rPr>
        <w:t>________________</w:t>
      </w:r>
    </w:p>
    <w:p w:rsidR="00500724" w:rsidRDefault="00500724">
      <w:pPr>
        <w:spacing w:line="133" w:lineRule="exact"/>
        <w:rPr>
          <w:sz w:val="11"/>
          <w:szCs w:val="11"/>
        </w:rPr>
      </w:pPr>
    </w:p>
    <w:p w:rsidR="00500724" w:rsidRDefault="00500724">
      <w:pPr>
        <w:spacing w:line="14" w:lineRule="exact"/>
        <w:sectPr w:rsidR="00500724">
          <w:footnotePr>
            <w:numFmt w:val="chicago"/>
            <w:numRestart w:val="eachPage"/>
          </w:footnotePr>
          <w:type w:val="continuous"/>
          <w:pgSz w:w="11909" w:h="16834"/>
          <w:pgMar w:top="896" w:right="0" w:bottom="831" w:left="0" w:header="0" w:footer="3" w:gutter="0"/>
          <w:cols w:space="720"/>
          <w:noEndnote/>
          <w:docGrid w:linePitch="360"/>
        </w:sectPr>
      </w:pPr>
    </w:p>
    <w:p w:rsidR="00500724" w:rsidRDefault="00F30FB8">
      <w:pPr>
        <w:pStyle w:val="Zkladntext30"/>
        <w:shd w:val="clear" w:color="auto" w:fill="auto"/>
        <w:spacing w:after="0" w:line="206" w:lineRule="auto"/>
        <w:ind w:firstLine="200"/>
        <w:rPr>
          <w:sz w:val="20"/>
          <w:szCs w:val="20"/>
        </w:rPr>
      </w:pPr>
      <w:r>
        <w:rPr>
          <w:i/>
          <w:iCs/>
          <w:sz w:val="20"/>
          <w:szCs w:val="20"/>
        </w:rPr>
        <w:t>A ted můžeme se už s klidným svědomím vrátit ke slí</w:t>
      </w:r>
      <w:r>
        <w:rPr>
          <w:i/>
          <w:iCs/>
          <w:sz w:val="20"/>
          <w:szCs w:val="20"/>
        </w:rPr>
        <w:softHyphen/>
        <w:t>benému, podrobnějšímu rozvedení sportovního drama</w:t>
      </w:r>
      <w:r>
        <w:rPr>
          <w:i/>
          <w:iCs/>
          <w:sz w:val="20"/>
          <w:szCs w:val="20"/>
        </w:rPr>
        <w:softHyphen/>
        <w:t>tického napětí.</w:t>
      </w:r>
    </w:p>
    <w:p w:rsidR="00500724" w:rsidRDefault="00F30FB8">
      <w:pPr>
        <w:pStyle w:val="Zkladntext30"/>
        <w:shd w:val="clear" w:color="auto" w:fill="auto"/>
        <w:spacing w:after="0" w:line="199" w:lineRule="auto"/>
        <w:ind w:firstLine="200"/>
        <w:rPr>
          <w:sz w:val="20"/>
          <w:szCs w:val="20"/>
        </w:rPr>
      </w:pPr>
      <w:r>
        <w:rPr>
          <w:i/>
          <w:iCs/>
          <w:sz w:val="20"/>
          <w:szCs w:val="20"/>
        </w:rPr>
        <w:t>Představte si, prosím, že takovýto dobře živený, zdat</w:t>
      </w:r>
      <w:r>
        <w:rPr>
          <w:i/>
          <w:iCs/>
          <w:sz w:val="20"/>
          <w:szCs w:val="20"/>
        </w:rPr>
        <w:softHyphen/>
        <w:t>ný, otužilý mladý muž, energických rysů a robustního vzezření vyjede v neděli odpoledne o 18 hodin ze svého podzemního tunelu na Spartě jako přetopená lokomo</w:t>
      </w:r>
      <w:r>
        <w:rPr>
          <w:i/>
          <w:iCs/>
          <w:sz w:val="20"/>
          <w:szCs w:val="20"/>
        </w:rPr>
        <w:softHyphen/>
        <w:t>tiva, jako silostroj a jako dynamo. Chvíli s</w:t>
      </w:r>
      <w:r>
        <w:rPr>
          <w:i/>
          <w:iCs/>
          <w:sz w:val="20"/>
          <w:szCs w:val="20"/>
        </w:rPr>
        <w:t>e nejistě otáčí a parkuje, ale jakmile jen dá soudce znamení k výkopu, promění se hráč o hotovou pochodovou vysílací stanici své po celý týden nashromážděné síly a energie.</w:t>
      </w:r>
    </w:p>
    <w:p w:rsidR="00500724" w:rsidRDefault="00F30FB8">
      <w:pPr>
        <w:pStyle w:val="Zkladntext30"/>
        <w:shd w:val="clear" w:color="auto" w:fill="auto"/>
        <w:spacing w:after="0" w:line="204" w:lineRule="auto"/>
        <w:ind w:firstLine="200"/>
        <w:rPr>
          <w:sz w:val="20"/>
          <w:szCs w:val="20"/>
        </w:rPr>
      </w:pPr>
      <w:r>
        <w:rPr>
          <w:rFonts w:ascii="Arial" w:eastAsia="Arial" w:hAnsi="Arial" w:cs="Arial"/>
          <w:sz w:val="17"/>
          <w:szCs w:val="17"/>
        </w:rPr>
        <w:t xml:space="preserve">Z </w:t>
      </w:r>
      <w:r>
        <w:rPr>
          <w:i/>
          <w:iCs/>
          <w:sz w:val="20"/>
          <w:szCs w:val="20"/>
        </w:rPr>
        <w:t>jeho tělesných projevů, z jeho pohybů, gest a mi</w:t>
      </w:r>
      <w:r>
        <w:rPr>
          <w:i/>
          <w:iCs/>
          <w:sz w:val="20"/>
          <w:szCs w:val="20"/>
        </w:rPr>
        <w:softHyphen/>
        <w:t xml:space="preserve">miky vyzařují na všechny strany </w:t>
      </w:r>
      <w:r>
        <w:rPr>
          <w:i/>
          <w:iCs/>
          <w:sz w:val="20"/>
          <w:szCs w:val="20"/>
        </w:rPr>
        <w:t>silokřivky, které se pro větší názornost kryjí — ve skutečnosti tomu tak zcela není — s drahami kopaného míče. A které jsou souběžné, protiběžné, které se prolínají a křižují a sráží se silokřivkami ostatních hráčů.</w:t>
      </w:r>
    </w:p>
    <w:p w:rsidR="00500724" w:rsidRDefault="00F30FB8">
      <w:pPr>
        <w:pStyle w:val="Zkladntext30"/>
        <w:shd w:val="clear" w:color="auto" w:fill="auto"/>
        <w:spacing w:after="0" w:line="204" w:lineRule="auto"/>
        <w:ind w:firstLine="200"/>
        <w:rPr>
          <w:sz w:val="20"/>
          <w:szCs w:val="20"/>
        </w:rPr>
      </w:pPr>
      <w:r>
        <w:rPr>
          <w:i/>
          <w:iCs/>
          <w:sz w:val="20"/>
          <w:szCs w:val="20"/>
        </w:rPr>
        <w:t>Takto stává se hřiště magnetickým polem,</w:t>
      </w:r>
      <w:r>
        <w:rPr>
          <w:i/>
          <w:iCs/>
          <w:sz w:val="20"/>
          <w:szCs w:val="20"/>
        </w:rPr>
        <w:t xml:space="preserve"> jehož na</w:t>
      </w:r>
      <w:r>
        <w:rPr>
          <w:i/>
          <w:iCs/>
          <w:sz w:val="20"/>
          <w:szCs w:val="20"/>
        </w:rPr>
        <w:softHyphen/>
        <w:t>pětí — indukcí tomu, tuším, říkají v elektrotechnice — se sděluje a přenáší na obecenstvo. Každý divák v hle</w:t>
      </w:r>
      <w:r>
        <w:rPr>
          <w:i/>
          <w:iCs/>
          <w:sz w:val="20"/>
          <w:szCs w:val="20"/>
        </w:rPr>
        <w:softHyphen/>
        <w:t>dišti stává se bezděky přijímacím přístrojem pro ener</w:t>
      </w:r>
      <w:r>
        <w:rPr>
          <w:i/>
          <w:iCs/>
          <w:sz w:val="20"/>
          <w:szCs w:val="20"/>
        </w:rPr>
        <w:softHyphen/>
      </w:r>
      <w:r>
        <w:rPr>
          <w:i/>
          <w:iCs/>
          <w:sz w:val="16"/>
          <w:szCs w:val="16"/>
        </w:rPr>
        <w:t xml:space="preserve">gii </w:t>
      </w:r>
      <w:r>
        <w:rPr>
          <w:i/>
          <w:iCs/>
          <w:sz w:val="20"/>
          <w:szCs w:val="20"/>
        </w:rPr>
        <w:t>a napětí, vysílané dole na stadiu. Tento fakt pasiv</w:t>
      </w:r>
      <w:r>
        <w:rPr>
          <w:i/>
          <w:iCs/>
          <w:sz w:val="20"/>
          <w:szCs w:val="20"/>
        </w:rPr>
        <w:softHyphen/>
        <w:t>ního příjmu poskytuje mu pa</w:t>
      </w:r>
      <w:r>
        <w:rPr>
          <w:i/>
          <w:iCs/>
          <w:sz w:val="20"/>
          <w:szCs w:val="20"/>
        </w:rPr>
        <w:t>k onen domněle sportovní požitek, mající se sportem asi tolik společného, jako by měl společného s nasycením poslech rozhlasové repor</w:t>
      </w:r>
      <w:r>
        <w:rPr>
          <w:i/>
          <w:iCs/>
          <w:sz w:val="20"/>
          <w:szCs w:val="20"/>
        </w:rPr>
        <w:softHyphen/>
        <w:t>táže z banketu v Alcronu. Nebof v jádře nemá tento po</w:t>
      </w:r>
      <w:r>
        <w:rPr>
          <w:i/>
          <w:iCs/>
          <w:sz w:val="20"/>
          <w:szCs w:val="20"/>
        </w:rPr>
        <w:softHyphen/>
        <w:t>žitek z příjmu silokřivek z hráčských akcí k ničemu blíže, než k poc</w:t>
      </w:r>
      <w:r>
        <w:rPr>
          <w:i/>
          <w:iCs/>
          <w:sz w:val="20"/>
          <w:szCs w:val="20"/>
        </w:rPr>
        <w:t>itu estetické libosti z dokonale provede</w:t>
      </w:r>
      <w:r>
        <w:rPr>
          <w:i/>
          <w:iCs/>
          <w:sz w:val="20"/>
          <w:szCs w:val="20"/>
        </w:rPr>
        <w:softHyphen/>
        <w:t>ného dramatického díla.</w:t>
      </w:r>
    </w:p>
    <w:p w:rsidR="00500724" w:rsidRDefault="00F30FB8">
      <w:pPr>
        <w:pStyle w:val="Zkladntext30"/>
        <w:shd w:val="clear" w:color="auto" w:fill="auto"/>
        <w:spacing w:after="0" w:line="202" w:lineRule="auto"/>
        <w:ind w:firstLine="0"/>
        <w:jc w:val="center"/>
        <w:rPr>
          <w:sz w:val="20"/>
          <w:szCs w:val="20"/>
        </w:rPr>
      </w:pPr>
      <w:r>
        <w:rPr>
          <w:i/>
          <w:iCs/>
          <w:sz w:val="20"/>
          <w:szCs w:val="20"/>
        </w:rPr>
        <w:t>•</w:t>
      </w:r>
    </w:p>
    <w:p w:rsidR="00500724" w:rsidRDefault="00F30FB8">
      <w:pPr>
        <w:pStyle w:val="Zkladntext30"/>
        <w:shd w:val="clear" w:color="auto" w:fill="auto"/>
        <w:spacing w:after="0" w:line="199" w:lineRule="auto"/>
        <w:ind w:firstLine="200"/>
        <w:rPr>
          <w:sz w:val="20"/>
          <w:szCs w:val="20"/>
        </w:rPr>
      </w:pPr>
      <w:r>
        <w:rPr>
          <w:i/>
          <w:iCs/>
          <w:sz w:val="20"/>
          <w:szCs w:val="20"/>
        </w:rPr>
        <w:t xml:space="preserve">A přece, vidíte: chodí mezi námi lidé, jako na příklad vaše klášterní sestřenice, na které nechytíte sportovní napětí, byf by bylo sebe intensivnějšího druhu. Stejné jako mezi námi chodí — </w:t>
      </w:r>
      <w:r>
        <w:rPr>
          <w:i/>
          <w:iCs/>
          <w:sz w:val="20"/>
          <w:szCs w:val="20"/>
        </w:rPr>
        <w:t>a to ještě o mnohem větším, počtu — lidé, na které nechytíte zase napětí divadelní. Jsou lidé, které dostanete každou neděli na Spartu, ale sotva jednou do roka do Národního divadla. A naopak,</w:t>
      </w:r>
    </w:p>
    <w:p w:rsidR="00500724" w:rsidRDefault="00F30FB8">
      <w:pPr>
        <w:pStyle w:val="Zkladntext30"/>
        <w:shd w:val="clear" w:color="auto" w:fill="auto"/>
        <w:spacing w:after="0" w:line="204" w:lineRule="auto"/>
        <w:ind w:firstLine="200"/>
        <w:rPr>
          <w:sz w:val="20"/>
          <w:szCs w:val="20"/>
        </w:rPr>
      </w:pPr>
      <w:r>
        <w:rPr>
          <w:i/>
          <w:iCs/>
          <w:sz w:val="20"/>
          <w:szCs w:val="20"/>
        </w:rPr>
        <w:t>A oba tyto tábory opovrhují sebou a ponižují se na</w:t>
      </w:r>
      <w:r>
        <w:rPr>
          <w:i/>
          <w:iCs/>
          <w:sz w:val="20"/>
          <w:szCs w:val="20"/>
        </w:rPr>
        <w:softHyphen/>
        <w:t>vzájem. Á př</w:t>
      </w:r>
      <w:r>
        <w:rPr>
          <w:i/>
          <w:iCs/>
          <w:sz w:val="20"/>
          <w:szCs w:val="20"/>
        </w:rPr>
        <w:t>ece — a to by tak byl hlubší smysl našeho dokazování — mají k sobě tak úžasně blízko. Nebof cožpak neholdují oba tábory téže, naprosto ne zavrži- telné vášni?</w:t>
      </w:r>
    </w:p>
    <w:p w:rsidR="00500724" w:rsidRDefault="00F30FB8">
      <w:pPr>
        <w:pStyle w:val="Zkladntext30"/>
        <w:shd w:val="clear" w:color="auto" w:fill="auto"/>
        <w:spacing w:after="240" w:line="202" w:lineRule="auto"/>
        <w:ind w:firstLine="200"/>
        <w:rPr>
          <w:sz w:val="20"/>
          <w:szCs w:val="20"/>
        </w:rPr>
      </w:pPr>
      <w:r>
        <w:rPr>
          <w:i/>
          <w:iCs/>
          <w:sz w:val="20"/>
          <w:szCs w:val="20"/>
        </w:rPr>
        <w:t xml:space="preserve">Nyní bylo by jen třeba, aby si ná nějakou dobu, než dojdou z vlastních vjemů k tomuto poznání, </w:t>
      </w:r>
      <w:r>
        <w:rPr>
          <w:i/>
          <w:iCs/>
          <w:sz w:val="20"/>
          <w:szCs w:val="20"/>
        </w:rPr>
        <w:t>vyměnili úlohy. Aby sportovní diváci začali chodit do divadel a diváci z divadel na Letnou. Pro Letnou znamenalo by to přínos kvality. Pro divadla přínos kvantity. Obého jest — uznejte — sportu i divadlu, dnes velmi třeba.</w:t>
      </w:r>
    </w:p>
    <w:p w:rsidR="00500724" w:rsidRDefault="00F30FB8">
      <w:pPr>
        <w:pStyle w:val="Jin0"/>
        <w:pBdr>
          <w:bottom w:val="single" w:sz="4" w:space="0" w:color="auto"/>
        </w:pBdr>
        <w:shd w:val="clear" w:color="auto" w:fill="auto"/>
        <w:spacing w:after="240"/>
        <w:ind w:firstLine="0"/>
        <w:jc w:val="left"/>
        <w:rPr>
          <w:sz w:val="46"/>
          <w:szCs w:val="46"/>
        </w:rPr>
      </w:pPr>
      <w:r>
        <w:rPr>
          <w:b/>
          <w:bCs/>
          <w:sz w:val="46"/>
          <w:szCs w:val="46"/>
        </w:rPr>
        <w:t>dopisy</w:t>
      </w:r>
    </w:p>
    <w:p w:rsidR="00500724" w:rsidRDefault="00F30FB8">
      <w:pPr>
        <w:pStyle w:val="Zkladntext100"/>
        <w:shd w:val="clear" w:color="auto" w:fill="auto"/>
        <w:spacing w:after="80" w:line="168" w:lineRule="auto"/>
        <w:ind w:firstLine="0"/>
        <w:jc w:val="center"/>
        <w:rPr>
          <w:sz w:val="19"/>
          <w:szCs w:val="19"/>
        </w:rPr>
      </w:pPr>
      <w:r>
        <w:rPr>
          <w:b/>
          <w:bCs/>
          <w:sz w:val="19"/>
          <w:szCs w:val="19"/>
        </w:rPr>
        <w:t xml:space="preserve">Odpověď Slovenke píše </w:t>
      </w:r>
      <w:r>
        <w:rPr>
          <w:b/>
          <w:bCs/>
          <w:sz w:val="19"/>
          <w:szCs w:val="19"/>
        </w:rPr>
        <w:t>Slovenka z Čiech</w:t>
      </w:r>
    </w:p>
    <w:p w:rsidR="00500724" w:rsidRDefault="00F30FB8">
      <w:pPr>
        <w:pStyle w:val="Zkladntext100"/>
        <w:shd w:val="clear" w:color="auto" w:fill="auto"/>
        <w:spacing w:line="178" w:lineRule="auto"/>
        <w:ind w:firstLine="300"/>
      </w:pPr>
      <w:r>
        <w:t>Dovolte mi, pán redaktor, napísať niekoTko slov k polemike, ktorú vyvolal vo vašom časopise list Slovenky. Hněď, ako som prečítala vaše riadky v 17. čísle Přítomnosti, pocítila som řútosť a stud. že příslušník mójho národa móže sa snížit k</w:t>
      </w:r>
      <w:r>
        <w:t xml:space="preserve"> ta</w:t>
      </w:r>
      <w:r>
        <w:softHyphen/>
        <w:t>kému prejavu.</w:t>
      </w:r>
    </w:p>
    <w:p w:rsidR="00500724" w:rsidRDefault="00F30FB8">
      <w:pPr>
        <w:pStyle w:val="Zkladntext100"/>
        <w:shd w:val="clear" w:color="auto" w:fill="auto"/>
        <w:spacing w:line="178" w:lineRule="auto"/>
        <w:ind w:firstLine="200"/>
      </w:pPr>
      <w:r>
        <w:t xml:space="preserve">Milá pani, ktorá ste poslala redakeii Přítomnosti list plný jedovatosti a zášti, nezahanbila by ste sa v duši za svoje riadky, keby ich bol pán redaktor uveřejnil pod plným vaším menom? </w:t>
      </w:r>
      <w:r>
        <w:rPr>
          <w:lang w:val="en-US" w:eastAsia="en-US" w:bidi="en-US"/>
        </w:rPr>
        <w:t xml:space="preserve">Tie </w:t>
      </w:r>
      <w:r>
        <w:t>riadky by vrhly zlé světlo len na vás, a my by s</w:t>
      </w:r>
      <w:r>
        <w:t>me si po</w:t>
      </w:r>
      <w:r>
        <w:softHyphen/>
        <w:t>mysleli, že uvědomělá a uštaehtilá Slovenka nepřechovává v duši svojej také myšlienky, tedy ani neméže podat niečo ta</w:t>
      </w:r>
      <w:r>
        <w:softHyphen/>
        <w:t>kého širšej veřejnosti. Ste asi ělenom slovenského národa a táto příslušnost ukládá vám určité povinnosti. V prvom radě máte sa s</w:t>
      </w:r>
      <w:r>
        <w:t>tarat o to, aby náš národ bol spoločenstvom Tudí krásných, ušTachtilých a čestných. A vy, ako jemná ženská bytost chcete rozmnožit rady ludí nerozvážných a nezodpověd</w:t>
      </w:r>
      <w:r>
        <w:softHyphen/>
        <w:t xml:space="preserve">ných? Musí se dnešný člověk plazit len po zemi a myslief </w:t>
      </w:r>
      <w:r>
        <w:rPr>
          <w:b/>
          <w:bCs/>
          <w:sz w:val="19"/>
          <w:szCs w:val="19"/>
        </w:rPr>
        <w:t xml:space="preserve">a </w:t>
      </w:r>
      <w:r>
        <w:t>konat len prízemne? Prečo by n</w:t>
      </w:r>
      <w:r>
        <w:t xml:space="preserve">emohol vystrieť svoje křídla </w:t>
      </w:r>
      <w:r>
        <w:rPr>
          <w:b/>
          <w:bCs/>
          <w:sz w:val="19"/>
          <w:szCs w:val="19"/>
        </w:rPr>
        <w:t xml:space="preserve">a </w:t>
      </w:r>
      <w:r>
        <w:t xml:space="preserve">vzniesť sa k výšinám, k hviezdnatej oblohe, k věčnému světlu </w:t>
      </w:r>
      <w:r>
        <w:rPr>
          <w:b/>
          <w:bCs/>
          <w:sz w:val="19"/>
          <w:szCs w:val="19"/>
        </w:rPr>
        <w:t xml:space="preserve">a </w:t>
      </w:r>
      <w:r>
        <w:t>očištěný vrátit sa na zem! ? Prečo sa máme brodit v zlosti a nenávisti, keď móžeme siahnuť k iným, zdobnějším pokladom aké sú: snášanlivosf, láska, spravedlivost.</w:t>
      </w:r>
      <w:r>
        <w:t xml:space="preserve"> Veď sú </w:t>
      </w:r>
      <w:r>
        <w:rPr>
          <w:b/>
          <w:bCs/>
          <w:sz w:val="19"/>
          <w:szCs w:val="19"/>
        </w:rPr>
        <w:t xml:space="preserve">to </w:t>
      </w:r>
      <w:r>
        <w:t>ozdoby pravého křesťanského ducha, a počúvame skoro denne, že na kresťanskom podklade buduje sa nové Slovensko. Tento pravý křesťanský duch ale musí skutečné žit v nás, v o vás, milá pani, vo mne, vo vašich súsedoch, teda jed</w:t>
      </w:r>
      <w:r>
        <w:softHyphen/>
        <w:t>notlivé v každom př</w:t>
      </w:r>
      <w:r>
        <w:t>íslušníku nášho národa — len vtedy bude jednanie celého národa v pravdě křesťanské. A tu záleží na každom skutku, na každom slově, záleží na každom z nás. Každý z nás prispieva do národného fondu z ktorého tvoria velký charakter národa. A právě preto, každ</w:t>
      </w:r>
      <w:r>
        <w:t>é slovo, každý přejav, každý čin musí následovat len po určitej úvahe.</w:t>
      </w:r>
    </w:p>
    <w:p w:rsidR="00500724" w:rsidRDefault="00F30FB8">
      <w:pPr>
        <w:pStyle w:val="Zkladntext100"/>
        <w:shd w:val="clear" w:color="auto" w:fill="auto"/>
        <w:spacing w:line="178" w:lineRule="auto"/>
        <w:ind w:firstLine="200"/>
      </w:pPr>
      <w:r>
        <w:t xml:space="preserve">A prečo vylievate svoju zlobu na národ český? Či si naivně myslíte, že štátna hranica, ktorú postavily dějinné události medzi dva bratrské a blízké národy nás úplné oddělila? </w:t>
      </w:r>
      <w:r>
        <w:rPr>
          <w:b/>
          <w:bCs/>
          <w:sz w:val="19"/>
          <w:szCs w:val="19"/>
        </w:rPr>
        <w:t xml:space="preserve">Oj </w:t>
      </w:r>
      <w:r>
        <w:t>nie, mi</w:t>
      </w:r>
      <w:r>
        <w:t>lá pani, — keď v minulosti spájala Čechov a Slovákov pří</w:t>
      </w:r>
      <w:r>
        <w:softHyphen/>
        <w:t>buznost slovanská, dnes sú to tiež jemné svazky rodinné, spo- jivá pokrvenstva, ktoré sú v živote pojítkem naiužším, pojít- kom trvalým. Kofko věrných dcér slovenského národa opu</w:t>
      </w:r>
      <w:r>
        <w:softHyphen/>
        <w:t>stilo svoj rodný kra</w:t>
      </w:r>
      <w:r>
        <w:t>j a odišlo so svojimi ro</w:t>
      </w:r>
      <w:r>
        <w:rPr>
          <w:u w:val="single"/>
        </w:rPr>
        <w:t>nžm</w:t>
      </w:r>
      <w:r>
        <w:t>i Čechmi do no</w:t>
      </w:r>
      <w:r>
        <w:softHyphen/>
        <w:t>vého domova, do Čiech! Podlá mnohých Slovákov sme odišly do cudziny! Spomínam si na slova mladíka, ktoré malý byť »útechou« jeho sestře, keď táto zanariekala nad svojim odcho- dom zo Slovenska: »Tak ti třeba, Marie</w:t>
      </w:r>
      <w:r>
        <w:t>na, nemala si si brat cudzincax — Ale my sme si nebraly cudzincov, keď sme si vo</w:t>
      </w:r>
      <w:r>
        <w:softHyphen/>
        <w:t xml:space="preserve">lily svojich druhov Čechov. </w:t>
      </w:r>
      <w:r>
        <w:rPr>
          <w:lang w:val="en-US" w:eastAsia="en-US" w:bidi="en-US"/>
        </w:rPr>
        <w:t xml:space="preserve">Cudzinci </w:t>
      </w:r>
      <w:r>
        <w:t xml:space="preserve">boli </w:t>
      </w:r>
      <w:r>
        <w:rPr>
          <w:lang w:val="en-US" w:eastAsia="en-US" w:bidi="en-US"/>
        </w:rPr>
        <w:t xml:space="preserve">pre </w:t>
      </w:r>
      <w:r>
        <w:t xml:space="preserve">nás mužovia iných národov, ale nie Slovani a nie z nich nám najbližší, Češi. Ani dnes, keby som </w:t>
      </w:r>
      <w:r>
        <w:rPr>
          <w:lang w:val="en-US" w:eastAsia="en-US" w:bidi="en-US"/>
        </w:rPr>
        <w:t xml:space="preserve">mala </w:t>
      </w:r>
      <w:r>
        <w:t>podat svoju ruku Čechovi, by</w:t>
      </w:r>
      <w:r>
        <w:t xml:space="preserve"> som ne- preriekla, že si beriem cudzinca. Dnes viem len to. že sňatkom s Cechom vzala som na seba ťažší životný úkol, než keby bol mojim mužom Slovák. Střetli sme sa dvaja mladí Tudia róz- nych a predsa blízkých kultur. Duchovné hodnoty svojho náro</w:t>
      </w:r>
      <w:r>
        <w:softHyphen/>
        <w:t>da pri</w:t>
      </w:r>
      <w:r>
        <w:t>niesla som ja darom svojmu vyvolenému a jeho rodině a on zas obohatil moju dušu duchovnými kvetmi svojho ná</w:t>
      </w:r>
      <w:r>
        <w:softHyphen/>
        <w:t>roda. Střetnutím sa a splýváním týchto dvoch svetov bol náš život bohatší, bohatší nielen na poznanie, ale i na utrpeníe a strasti, o ktoré v posled</w:t>
      </w:r>
      <w:r>
        <w:t>nej době nebolo núdze. Ale utrpenie život prehlbuje. .Ako sme sa my s mužom poznávali spoloč- ným žitím a dochádzali k vzájomnému pochopeniu, tak delom našej práce vo veřejnosti bolo vždy a bude sbližovanie Čechov a Slovákov. A toto poslanie, tento životný</w:t>
      </w:r>
      <w:r>
        <w:t xml:space="preserve"> úkol, ktorý nám dal </w:t>
      </w:r>
      <w:r>
        <w:rPr>
          <w:lang w:val="en-US" w:eastAsia="en-US" w:bidi="en-US"/>
        </w:rPr>
        <w:t xml:space="preserve">do vena </w:t>
      </w:r>
      <w:r>
        <w:t>nás sňatok, koná stá a stá rodin, kde sú Tudia, Čech a Slovenka anebo naopak Slovák a Češka spojeni na život a na smrť. A děti týchto Tudí? Nepoznajú tej záškodnej nenávisti ani k Slovákom ani k Čechom. Srdce týchto děti objímá</w:t>
      </w:r>
      <w:r>
        <w:t xml:space="preserve"> Čechov a Slovákov rovnakou láskou. A táto láska napozná žiadnych umělých hraníc a přehrad.</w:t>
      </w:r>
    </w:p>
    <w:p w:rsidR="00500724" w:rsidRDefault="00F30FB8">
      <w:pPr>
        <w:pStyle w:val="Zkladntext100"/>
        <w:shd w:val="clear" w:color="auto" w:fill="auto"/>
        <w:spacing w:line="178" w:lineRule="auto"/>
        <w:ind w:firstLine="200"/>
        <w:sectPr w:rsidR="00500724">
          <w:footnotePr>
            <w:numFmt w:val="chicago"/>
            <w:numRestart w:val="eachPage"/>
          </w:footnotePr>
          <w:type w:val="continuous"/>
          <w:pgSz w:w="11909" w:h="16834"/>
          <w:pgMar w:top="896" w:right="1313" w:bottom="831" w:left="223" w:header="0" w:footer="3" w:gutter="0"/>
          <w:cols w:num="2" w:space="178"/>
          <w:noEndnote/>
          <w:docGrid w:linePitch="360"/>
        </w:sectPr>
      </w:pPr>
      <w:r>
        <w:t>Opustily sme náš rodný kraj. my, věrné dcery Slovenska, zanechaly sme tam rodičov, súrodencov — povedaly sme si ako biblická Rút: Tvoj</w:t>
      </w:r>
      <w:r>
        <w:t xml:space="preserve">a zem moja zem, tvoj Tud mój Tud. Keď sme odchádzaly do Čiech, zastrašovali nás mnohí naši Tudia, že tu v Čechách budeme prenasledovaní, tupení, ba že sa nám móže přihodit i tá banálnosť, že budeme bité. A tu k obavám </w:t>
      </w:r>
      <w:r>
        <w:rPr>
          <w:b/>
          <w:bCs/>
          <w:sz w:val="19"/>
          <w:szCs w:val="19"/>
        </w:rPr>
        <w:t xml:space="preserve">o </w:t>
      </w:r>
      <w:r>
        <w:t>exi- stenciu mužovu přidružil sa str</w:t>
      </w:r>
      <w:r>
        <w:t>ach, ako nás v Čechách přijmu? MyseT, rozrušená mnohými útrapami, kreslila si nevdojak scény plné nenávisti a zloby. Ale naši Tudia sa mýlili vo svojich predpokiadoch a my sme boly tu prijemne sklamané. Na Slo</w:t>
      </w:r>
      <w:r>
        <w:softHyphen/>
        <w:t xml:space="preserve">vensku sme opúšfaly rozburoné more citov, sem </w:t>
      </w:r>
      <w:r>
        <w:t>sme přišly do tichej zátočiny, do přístavu, kde kotví Tudskost. A naša slovenčina nikoho tu neuráža, naopak, mnohým Tudom znie ešte stále Tubozvučne. A jestli kde tu, ale velmi zriedka padne ostrejšia poznámka (a oprávněně), iste sú to nie urážlivě heslá t</w:t>
      </w:r>
      <w:r>
        <w:t>oho druhu, akých užívaly nerozvážné živly u nás na Sloven</w:t>
      </w:r>
      <w:r>
        <w:softHyphen/>
        <w:t>sku proti Čechom. Ti 1’udia, ktorí nás zastrašovali, představo</w:t>
      </w:r>
      <w:r>
        <w:softHyphen/>
        <w:t xml:space="preserve">vali si situáciu v Čechách dl’a svojej rozvášnenej a rozbúrenej mysle. Ale tu v Čechách sa nenadává, tu sa pracuje, buduje usilovné. A </w:t>
      </w:r>
      <w:r>
        <w:t>před činom sa uvažuje! Žije sa nám tu pekne a pokojné. Ale to naše splašené Tudské srdea, rozštěpené je na dvoje, bije nielen tu v tejto zemi kludu a rozvahy, ale trepoce sa úzkostou a obavou i tam medzi vámi, medzi našimi horami. Uvědomte si to tam na Slo</w:t>
      </w:r>
      <w:r>
        <w:t>vensku, že žijeme tu medzi Čechmi ako oni žili a žijú medzi vámi. A uvědomte si, že slina nenávisti, která vystříkne tam u vás proti Čechom, móže sa tu obrátit proti nám. Rozhořčeme z vášho nesprávného chova- nia móže stihnúť nás tu. (Ale ešte sa mi to dos</w:t>
      </w:r>
      <w:r>
        <w:t>iaT nestalo.) A sme predsa vašimi dětmi! Hájíme tu vaše záujmy, lepíme a skládáme znovu črepy rozbitej vzájomnosti. Sme tu vždy. po</w:t>
      </w:r>
      <w:r>
        <w:softHyphen/>
        <w:t xml:space="preserve">hotové vysvětlovat prečo je to tak, ako to je. Ale při tom stále cítime, že potupovat národ iný je chovanie nie ušTachtilé. </w:t>
      </w:r>
      <w:r>
        <w:t>My chceme, aby sa o nás Slovákoch hovořilo len a len pekne. ale my se musíme tak zachovat, aby sa o nás mohlo takto hovořit. Chceli by sme čuť neustále, že sme národ ušTachtilý, snášanlivý, dobré vychovaný, noblesný. Ale ne to dobré vy</w:t>
      </w:r>
      <w:r>
        <w:softHyphen/>
        <w:t>chováme a noblesu sm</w:t>
      </w:r>
      <w:r>
        <w:t>e v posíedných časoch akosi pozabudli, a predsa sme si na tom slušnom chováni a ušlechtilém vystupo</w:t>
      </w:r>
      <w:r>
        <w:softHyphen/>
        <w:t>váni tak zakladali! — My nechceme, aby sa o nás niekto han</w:t>
      </w:r>
      <w:r>
        <w:softHyphen/>
        <w:t>livé vyslovoval a my máme byť výnimkou, my móžeme válať hanu na národ iný a najma na bratrský nár</w:t>
      </w:r>
      <w:r>
        <w:t>od český? &gt;Čo ne</w:t>
      </w:r>
      <w:r>
        <w:softHyphen/>
        <w:t>chceš, aby tebe iní činili, nečiň ty im!« — Pře chyby jednotliv- cov nemá sa tupit národ celý, zvlášť, keď takých jednotlivcov, ktorí neslúžia ku cti nášho národa je dost i medzi námi.</w:t>
      </w:r>
    </w:p>
    <w:p w:rsidR="00500724" w:rsidRDefault="00F30FB8">
      <w:pPr>
        <w:pStyle w:val="Nadpis90"/>
        <w:keepNext/>
        <w:keepLines/>
        <w:pBdr>
          <w:bottom w:val="single" w:sz="4" w:space="0" w:color="auto"/>
        </w:pBdr>
        <w:shd w:val="clear" w:color="auto" w:fill="auto"/>
        <w:spacing w:after="0"/>
        <w:ind w:right="100"/>
        <w:jc w:val="center"/>
        <w:rPr>
          <w:sz w:val="42"/>
          <w:szCs w:val="42"/>
        </w:rPr>
        <w:sectPr w:rsidR="00500724">
          <w:footnotePr>
            <w:numFmt w:val="chicago"/>
            <w:numRestart w:val="eachPage"/>
          </w:footnotePr>
          <w:pgSz w:w="11909" w:h="16834"/>
          <w:pgMar w:top="819" w:right="627" w:bottom="902" w:left="905" w:header="0" w:footer="3" w:gutter="0"/>
          <w:cols w:space="720"/>
          <w:noEndnote/>
          <w:docGrid w:linePitch="360"/>
        </w:sectPr>
      </w:pPr>
      <w:bookmarkStart w:id="657" w:name="bookmark656"/>
      <w:r>
        <w:rPr>
          <w:rFonts w:ascii="Times New Roman" w:eastAsia="Times New Roman" w:hAnsi="Times New Roman" w:cs="Times New Roman"/>
          <w:w w:val="80"/>
          <w:sz w:val="42"/>
          <w:szCs w:val="42"/>
        </w:rPr>
        <w:t>Přřtomnost&gt;</w:t>
      </w:r>
      <w:bookmarkEnd w:id="657"/>
    </w:p>
    <w:p w:rsidR="00500724" w:rsidRDefault="00500724">
      <w:pPr>
        <w:spacing w:line="87" w:lineRule="exact"/>
        <w:rPr>
          <w:sz w:val="7"/>
          <w:szCs w:val="7"/>
        </w:rPr>
      </w:pPr>
    </w:p>
    <w:p w:rsidR="00500724" w:rsidRDefault="00500724">
      <w:pPr>
        <w:spacing w:line="14" w:lineRule="exact"/>
        <w:sectPr w:rsidR="00500724">
          <w:footnotePr>
            <w:numFmt w:val="chicago"/>
            <w:numRestart w:val="eachPage"/>
          </w:footnotePr>
          <w:type w:val="continuous"/>
          <w:pgSz w:w="11909" w:h="16834"/>
          <w:pgMar w:top="819" w:right="0" w:bottom="902" w:left="0" w:header="0" w:footer="3" w:gutter="0"/>
          <w:cols w:space="720"/>
          <w:noEndnote/>
          <w:docGrid w:linePitch="360"/>
        </w:sectPr>
      </w:pPr>
    </w:p>
    <w:p w:rsidR="00500724" w:rsidRDefault="00F30FB8">
      <w:pPr>
        <w:spacing w:line="14" w:lineRule="exact"/>
      </w:pPr>
      <w:r>
        <w:rPr>
          <w:noProof/>
        </w:rPr>
        <mc:AlternateContent>
          <mc:Choice Requires="wps">
            <w:drawing>
              <wp:anchor distT="0" distB="323850" distL="114300" distR="1455420" simplePos="0" relativeHeight="125830030" behindDoc="0" locked="0" layoutInCell="1" allowOverlap="1">
                <wp:simplePos x="0" y="0"/>
                <wp:positionH relativeFrom="page">
                  <wp:posOffset>4719955</wp:posOffset>
                </wp:positionH>
                <wp:positionV relativeFrom="paragraph">
                  <wp:posOffset>8680450</wp:posOffset>
                </wp:positionV>
                <wp:extent cx="1045210" cy="164465"/>
                <wp:effectExtent l="0" t="0" r="0" b="0"/>
                <wp:wrapTopAndBottom/>
                <wp:docPr id="653" name="Shape 653"/>
                <wp:cNvGraphicFramePr/>
                <a:graphic xmlns:a="http://schemas.openxmlformats.org/drawingml/2006/main">
                  <a:graphicData uri="http://schemas.microsoft.com/office/word/2010/wordprocessingShape">
                    <wps:wsp>
                      <wps:cNvSpPr txBox="1"/>
                      <wps:spPr>
                        <a:xfrm>
                          <a:off x="0" y="0"/>
                          <a:ext cx="1045210" cy="164465"/>
                        </a:xfrm>
                        <a:prstGeom prst="rect">
                          <a:avLst/>
                        </a:prstGeom>
                        <a:noFill/>
                      </wps:spPr>
                      <wps:txbx>
                        <w:txbxContent>
                          <w:p w:rsidR="00500724" w:rsidRDefault="00F30FB8">
                            <w:pPr>
                              <w:pStyle w:val="Zkladntext100"/>
                              <w:shd w:val="clear" w:color="auto" w:fill="auto"/>
                              <w:spacing w:line="240" w:lineRule="auto"/>
                              <w:ind w:firstLine="0"/>
                              <w:jc w:val="left"/>
                              <w:rPr>
                                <w:sz w:val="19"/>
                                <w:szCs w:val="19"/>
                              </w:rPr>
                            </w:pPr>
                            <w:r>
                              <w:rPr>
                                <w:b/>
                                <w:bCs/>
                                <w:sz w:val="19"/>
                                <w:szCs w:val="19"/>
                              </w:rPr>
                              <w:t>Zdraví upřímně Váš</w:t>
                            </w:r>
                          </w:p>
                        </w:txbxContent>
                      </wps:txbx>
                      <wps:bodyPr lIns="0" tIns="0" rIns="0" bIns="0">
                        <a:spAutoFit/>
                      </wps:bodyPr>
                    </wps:wsp>
                  </a:graphicData>
                </a:graphic>
              </wp:anchor>
            </w:drawing>
          </mc:Choice>
          <mc:Fallback>
            <w:pict>
              <v:shape id="_x0000_s1679" type="#_x0000_t202" style="position:absolute;margin-left:371.64999999999998pt;margin-top:683.5pt;width:82.299999999999997pt;height:12.949999999999999pt;z-index:-125828723;mso-wrap-distance-left:9.pt;mso-wrap-distance-right:114.59999999999999pt;mso-wrap-distance-bottom:25.5pt;mso-position-horizontal-relative:page" filled="f" stroked="f">
                <v:textbox style="mso-fit-shape-to-text:t" inset="0,0,0,0">
                  <w:txbxContent>
                    <w:p>
                      <w:pPr>
                        <w:pStyle w:val="Style344"/>
                        <w:keepNext w:val="0"/>
                        <w:keepLines w:val="0"/>
                        <w:widowControl w:val="0"/>
                        <w:shd w:val="clear" w:color="auto" w:fill="auto"/>
                        <w:bidi w:val="0"/>
                        <w:spacing w:before="0" w:after="0" w:line="240" w:lineRule="auto"/>
                        <w:ind w:left="0" w:right="0" w:firstLine="0"/>
                        <w:jc w:val="left"/>
                        <w:rPr>
                          <w:sz w:val="19"/>
                          <w:szCs w:val="19"/>
                        </w:rPr>
                      </w:pPr>
                      <w:r>
                        <w:rPr>
                          <w:b/>
                          <w:bCs/>
                          <w:color w:val="000000"/>
                          <w:spacing w:val="0"/>
                          <w:w w:val="100"/>
                          <w:position w:val="0"/>
                          <w:sz w:val="19"/>
                          <w:szCs w:val="19"/>
                          <w:shd w:val="clear" w:color="auto" w:fill="auto"/>
                          <w:lang w:val="cs-CZ" w:eastAsia="cs-CZ" w:bidi="cs-CZ"/>
                        </w:rPr>
                        <w:t>Zdraví upřímně Váš</w:t>
                      </w:r>
                    </w:p>
                  </w:txbxContent>
                </v:textbox>
                <w10:wrap type="topAndBottom" anchorx="page"/>
              </v:shape>
            </w:pict>
          </mc:Fallback>
        </mc:AlternateContent>
      </w:r>
      <w:r>
        <w:rPr>
          <w:noProof/>
        </w:rPr>
        <mc:AlternateContent>
          <mc:Choice Requires="wps">
            <w:drawing>
              <wp:anchor distT="85090" distB="254000" distL="1330325" distR="114300" simplePos="0" relativeHeight="125830032" behindDoc="0" locked="0" layoutInCell="1" allowOverlap="1">
                <wp:simplePos x="0" y="0"/>
                <wp:positionH relativeFrom="page">
                  <wp:posOffset>5935980</wp:posOffset>
                </wp:positionH>
                <wp:positionV relativeFrom="paragraph">
                  <wp:posOffset>8766175</wp:posOffset>
                </wp:positionV>
                <wp:extent cx="1170305" cy="149225"/>
                <wp:effectExtent l="0" t="0" r="0" b="0"/>
                <wp:wrapTopAndBottom/>
                <wp:docPr id="655" name="Shape 655"/>
                <wp:cNvGraphicFramePr/>
                <a:graphic xmlns:a="http://schemas.openxmlformats.org/drawingml/2006/main">
                  <a:graphicData uri="http://schemas.microsoft.com/office/word/2010/wordprocessingShape">
                    <wps:wsp>
                      <wps:cNvSpPr txBox="1"/>
                      <wps:spPr>
                        <a:xfrm>
                          <a:off x="0" y="0"/>
                          <a:ext cx="1170305" cy="149225"/>
                        </a:xfrm>
                        <a:prstGeom prst="rect">
                          <a:avLst/>
                        </a:prstGeom>
                        <a:noFill/>
                      </wps:spPr>
                      <wps:txbx>
                        <w:txbxContent>
                          <w:p w:rsidR="00500724" w:rsidRDefault="00F30FB8">
                            <w:pPr>
                              <w:pStyle w:val="Zkladntext50"/>
                              <w:shd w:val="clear" w:color="auto" w:fill="auto"/>
                              <w:spacing w:after="0" w:line="240" w:lineRule="auto"/>
                              <w:ind w:left="0"/>
                              <w:jc w:val="left"/>
                            </w:pPr>
                            <w:r>
                              <w:t>Jan Machek, dělník</w:t>
                            </w:r>
                          </w:p>
                        </w:txbxContent>
                      </wps:txbx>
                      <wps:bodyPr lIns="0" tIns="0" rIns="0" bIns="0">
                        <a:spAutoFit/>
                      </wps:bodyPr>
                    </wps:wsp>
                  </a:graphicData>
                </a:graphic>
              </wp:anchor>
            </w:drawing>
          </mc:Choice>
          <mc:Fallback>
            <w:pict>
              <v:shape id="_x0000_s1681" type="#_x0000_t202" style="position:absolute;margin-left:467.39999999999998pt;margin-top:690.25pt;width:92.150000000000006pt;height:11.75pt;z-index:-125828721;mso-wrap-distance-left:104.75pt;mso-wrap-distance-top:6.7000000000000002pt;mso-wrap-distance-right:9.pt;mso-wrap-distance-bottom:20.pt;mso-position-horizontal-relative:page" filled="f" stroked="f">
                <v:textbox style="mso-fit-shape-to-text:t" inset="0,0,0,0">
                  <w:txbxContent>
                    <w:p>
                      <w:pPr>
                        <w:pStyle w:val="Style8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Jan Machek, dělník</w:t>
                      </w:r>
                    </w:p>
                  </w:txbxContent>
                </v:textbox>
                <w10:wrap type="topAndBottom" anchorx="page"/>
              </v:shape>
            </w:pict>
          </mc:Fallback>
        </mc:AlternateContent>
      </w:r>
    </w:p>
    <w:p w:rsidR="00500724" w:rsidRDefault="00F30FB8">
      <w:pPr>
        <w:pStyle w:val="Zkladntext100"/>
        <w:shd w:val="clear" w:color="auto" w:fill="auto"/>
        <w:spacing w:after="240" w:line="175" w:lineRule="auto"/>
        <w:ind w:firstLine="320"/>
      </w:pPr>
      <w:r>
        <w:t>My, ktorí teraz tu žijeme medzi Cechmi, zostávame I nadalej ÍJIovákmi. Nikdo nám nebráni slovenský cítiť, Slovensko milo</w:t>
      </w:r>
      <w:r>
        <w:softHyphen/>
        <w:t xml:space="preserve">vat </w:t>
      </w:r>
      <w:r>
        <w:rPr>
          <w:lang w:val="en-US" w:eastAsia="en-US" w:bidi="en-US"/>
        </w:rPr>
        <w:t xml:space="preserve">a pre </w:t>
      </w:r>
      <w:r>
        <w:t xml:space="preserve">vás pracovat. Nikdo nám nebráni upravit si život 8 v </w:t>
      </w:r>
      <w:r>
        <w:rPr>
          <w:b/>
          <w:bCs/>
          <w:sz w:val="19"/>
          <w:szCs w:val="19"/>
        </w:rPr>
        <w:t xml:space="preserve">o j </w:t>
      </w:r>
      <w:r>
        <w:t xml:space="preserve">8 k y. Priali by sme si, aby rozbúrené vlny vášní, hněvu </w:t>
      </w:r>
      <w:r>
        <w:rPr>
          <w:b/>
          <w:bCs/>
          <w:sz w:val="19"/>
          <w:szCs w:val="19"/>
        </w:rPr>
        <w:t xml:space="preserve">a </w:t>
      </w:r>
      <w:r>
        <w:t xml:space="preserve">nenávisti člověka k člověku opadly, aby sa Slovensko vrátilo </w:t>
      </w:r>
      <w:r>
        <w:rPr>
          <w:b/>
          <w:bCs/>
          <w:sz w:val="19"/>
          <w:szCs w:val="19"/>
        </w:rPr>
        <w:t xml:space="preserve">k </w:t>
      </w:r>
      <w:r>
        <w:t>pozitívnej práci, aby našlo konečne samo seba. Pieseň slo</w:t>
      </w:r>
      <w:r>
        <w:softHyphen/>
        <w:t xml:space="preserve">venská Je čarovná, </w:t>
      </w:r>
      <w:r>
        <w:t>hory naše sú velebné, příroda okúzlujúca, nechže v tomto túbeznom rámci žije člověk krásny, ušlachtilý, ktorý půvabnosť slovenského kraja a svojrázu len zvyšuje a nezahatuje ho závojom banálnosti. O. Řepková-Hroboňová.</w:t>
      </w:r>
    </w:p>
    <w:p w:rsidR="00500724" w:rsidRDefault="00F30FB8">
      <w:pPr>
        <w:pStyle w:val="Zkladntext100"/>
        <w:shd w:val="clear" w:color="auto" w:fill="auto"/>
        <w:spacing w:after="40" w:line="175" w:lineRule="auto"/>
        <w:ind w:left="1480" w:firstLine="0"/>
        <w:jc w:val="left"/>
      </w:pPr>
      <w:r>
        <w:t>Co je svatováclavská tradice?</w:t>
      </w:r>
    </w:p>
    <w:p w:rsidR="00500724" w:rsidRDefault="00F30FB8">
      <w:pPr>
        <w:pStyle w:val="Zkladntext100"/>
        <w:shd w:val="clear" w:color="auto" w:fill="auto"/>
        <w:spacing w:after="40" w:line="175" w:lineRule="auto"/>
        <w:ind w:firstLine="320"/>
      </w:pPr>
      <w:r>
        <w:rPr>
          <w:b/>
          <w:bCs/>
          <w:sz w:val="19"/>
          <w:szCs w:val="19"/>
        </w:rPr>
        <w:t xml:space="preserve">V č. </w:t>
      </w:r>
      <w:r>
        <w:t>23</w:t>
      </w:r>
      <w:r>
        <w:t>. Vašeho časopisu byl uveřejněn dopis o svatováclav</w:t>
      </w:r>
      <w:r>
        <w:softHyphen/>
        <w:t xml:space="preserve">ské tradici, s nímž lze velmi těžko souhlasit, neboť jeho pisatel uvedl (až na </w:t>
      </w:r>
      <w:r>
        <w:rPr>
          <w:lang w:val="en-US" w:eastAsia="en-US" w:bidi="en-US"/>
        </w:rPr>
        <w:t xml:space="preserve">prof. </w:t>
      </w:r>
      <w:r>
        <w:t>Pekaře) historiky sw. tradici vesměs ne</w:t>
      </w:r>
      <w:r>
        <w:softHyphen/>
        <w:t xml:space="preserve">přející a nad to nevybral z nich všechno. Vzhledem k tomu, že sw. tradice měla </w:t>
      </w:r>
      <w:r>
        <w:t>svůj veliký význam vždy v dobách těžkých, prosím o lask. dopřání místa těmto několika řádkům.</w:t>
      </w:r>
    </w:p>
    <w:p w:rsidR="00500724" w:rsidRDefault="00F30FB8">
      <w:pPr>
        <w:pStyle w:val="Zkladntext100"/>
        <w:shd w:val="clear" w:color="auto" w:fill="auto"/>
        <w:spacing w:line="175" w:lineRule="auto"/>
        <w:ind w:firstLine="220"/>
      </w:pPr>
      <w:r>
        <w:t xml:space="preserve">Pan pisatel cituje tvrzení Bartošovo, že nelze zjistiti, jakým člověkem sv. Václav skutečně byl a to pro ubohost pramenů. Univ. </w:t>
      </w:r>
      <w:r>
        <w:rPr>
          <w:lang w:val="en-US" w:eastAsia="en-US" w:bidi="en-US"/>
        </w:rPr>
        <w:t xml:space="preserve">prof. </w:t>
      </w:r>
      <w:r>
        <w:t>Šimák (jejž p. spis. vůbec n</w:t>
      </w:r>
      <w:r>
        <w:t>ecituje), píše o této věci ve své brožuře »O knížeti Václavovi* (Praha 1929) takto í &gt; .,.. legendy (jsou) přes všecko svoje přetváření skutečnosti materiálem neobyčejně cenným a pro odborníka, který dovedl proniknouti nánosem líčidla a pozlátka 1 také zdr</w:t>
      </w:r>
      <w:r>
        <w:t>ojem</w:t>
      </w:r>
    </w:p>
    <w:p w:rsidR="00500724" w:rsidRDefault="00F30FB8">
      <w:pPr>
        <w:pStyle w:val="Zkladntext100"/>
        <w:shd w:val="clear" w:color="auto" w:fill="auto"/>
        <w:tabs>
          <w:tab w:val="left" w:leader="hyphen" w:pos="2107"/>
        </w:tabs>
        <w:spacing w:line="175" w:lineRule="auto"/>
        <w:ind w:firstLine="0"/>
      </w:pPr>
      <w:r>
        <w:t>užitečným.* (Str. 6.)</w:t>
      </w:r>
      <w:r>
        <w:tab/>
        <w:t>Právě tímto kritickým hodnocením</w:t>
      </w:r>
    </w:p>
    <w:p w:rsidR="00500724" w:rsidRDefault="00F30FB8">
      <w:pPr>
        <w:pStyle w:val="Zkladntext100"/>
        <w:shd w:val="clear" w:color="auto" w:fill="auto"/>
        <w:spacing w:line="175" w:lineRule="auto"/>
        <w:ind w:firstLine="0"/>
      </w:pPr>
      <w:r>
        <w:t xml:space="preserve">legend lze odpověděti na Bartošovu pochybnost, že se vůbec nedá zjistiti, jakým byl sv. Václav člověkem. </w:t>
      </w:r>
      <w:r>
        <w:rPr>
          <w:lang w:val="en-US" w:eastAsia="en-US" w:bidi="en-US"/>
        </w:rPr>
        <w:t xml:space="preserve">Prof. </w:t>
      </w:r>
      <w:r>
        <w:t xml:space="preserve">Pekař (Sv. Václav, zvi. otisk Praha 1932, str. 44), píše o tom: »Ani potom nemusíme </w:t>
      </w:r>
      <w:r>
        <w:t>si, čteme-li pozorně texty a vývody legend, předsta</w:t>
      </w:r>
      <w:r>
        <w:softHyphen/>
        <w:t>vit! sv. Václava jako slepého fanatika myšlenky: .. .nábožen</w:t>
      </w:r>
      <w:r>
        <w:softHyphen/>
        <w:t>ský zanícenec nepohlcuje v něm úplně knížete sebevědomého národa, ani nevyhýbá se kompromisům, jež diktují okolnosti.*</w:t>
      </w:r>
    </w:p>
    <w:p w:rsidR="00500724" w:rsidRDefault="00F30FB8">
      <w:pPr>
        <w:pStyle w:val="Zkladntext100"/>
        <w:shd w:val="clear" w:color="auto" w:fill="auto"/>
        <w:tabs>
          <w:tab w:val="left" w:leader="hyphen" w:pos="389"/>
        </w:tabs>
        <w:spacing w:line="175" w:lineRule="auto"/>
        <w:ind w:firstLine="0"/>
      </w:pPr>
      <w:r>
        <w:tab/>
        <w:t>-Z legend lze i zjistit</w:t>
      </w:r>
      <w:r>
        <w:t>i, jakým kníže V. byl státníkem. Píše</w:t>
      </w:r>
    </w:p>
    <w:p w:rsidR="00500724" w:rsidRDefault="00F30FB8">
      <w:pPr>
        <w:pStyle w:val="Zkladntext100"/>
        <w:shd w:val="clear" w:color="auto" w:fill="auto"/>
        <w:spacing w:after="40" w:line="175" w:lineRule="auto"/>
        <w:ind w:firstLine="0"/>
      </w:pPr>
      <w:r>
        <w:rPr>
          <w:b/>
          <w:bCs/>
          <w:sz w:val="19"/>
          <w:szCs w:val="19"/>
        </w:rPr>
        <w:t xml:space="preserve">o </w:t>
      </w:r>
      <w:r>
        <w:t xml:space="preserve">tom Šimák: »Jeví se tudíž Václav i tu zprvu panovníkem, potom statečným obráncem vlasti, třeba nešťastným. Ale hned potom se osvědčuje i dobrým a úspěšným státníkem.« (16). Nato šimák uvádí, že V. uznal svrchovanost </w:t>
      </w:r>
      <w:r>
        <w:t>krále Jindřicha a zavázal se k odvádění ročního poplatku a dodává k tomu. že následky podrobení Václavova mohly býti ještě horší: »Král mohl ztenčiti moc Václavovu, mohl odtrhnouti od Čech kní</w:t>
      </w:r>
      <w:r>
        <w:softHyphen/>
        <w:t xml:space="preserve">žectví kouřimské, rozdrobit! i Slovany české. Že se nic z toho </w:t>
      </w:r>
      <w:r>
        <w:t>nestalo, že se spokojil pouze lénem, bylo jistě nemalým poli</w:t>
      </w:r>
      <w:r>
        <w:softHyphen/>
        <w:t xml:space="preserve">tickým úspěchem Václavovým. Dosáhl tudíž vyrovnání s říší </w:t>
      </w:r>
      <w:r>
        <w:rPr>
          <w:b/>
          <w:bCs/>
          <w:sz w:val="19"/>
          <w:szCs w:val="19"/>
        </w:rPr>
        <w:t xml:space="preserve">a </w:t>
      </w:r>
      <w:r>
        <w:t xml:space="preserve">záruku klidu pro budoucnost za podmínky poměrně výhodné.« Jiná slova Šimákova dokonale vyvrací tvrzení Žilkovo, že sv. Václav nemůže </w:t>
      </w:r>
      <w:r>
        <w:t>býti prohlašován za zakladatele č. státu. Šimák píše: »A vlastně (ač nevíme, zda také k tomu sám přispěl) jest Václav prvním českým vladařem, o němž je jisto, že vládne celým českým státem, neboť kníže kouřimský byl mu poddán. Již v tom je pro nás represen</w:t>
      </w:r>
      <w:r>
        <w:t>tativní prvek neocenitelné hod</w:t>
      </w:r>
      <w:r>
        <w:softHyphen/>
        <w:t>noty; právě Václavem Svatým můžeme ukázati před celým světem, že Český stát trval a kvetl pod vlastním pánem již před tisíci lety! Václav se osvědčil obratným státníkem, tam, kde meč válečný se ukázal nedostatečný.* O státnic</w:t>
      </w:r>
      <w:r>
        <w:t>kém nadá</w:t>
      </w:r>
      <w:r>
        <w:softHyphen/>
        <w:t>ní Václavově budiž uveden výrok Pekařův o počátcích vlády, jenž je pro naše časy zvláště významný. Podle něho začal sv. Václav svou vládu vyloučením všech rozkladných živlů z ve</w:t>
      </w:r>
      <w:r>
        <w:softHyphen/>
        <w:t>řejného a státního života. Praví: »Drahomíř a hlavní přívržen</w:t>
      </w:r>
      <w:r>
        <w:softHyphen/>
        <w:t>ce její</w:t>
      </w:r>
      <w:r>
        <w:t>* synové sváru, byli ode dvora nebo ze země vypuzeni, »zuřivé různice utišeny« a »pokoj církve Kristovy« založen. Tak to tedy bylo se sv. V. jako státníkem.</w:t>
      </w:r>
    </w:p>
    <w:p w:rsidR="00500724" w:rsidRDefault="00F30FB8">
      <w:pPr>
        <w:pStyle w:val="Zkladntext100"/>
        <w:shd w:val="clear" w:color="auto" w:fill="auto"/>
        <w:spacing w:after="40" w:line="175" w:lineRule="auto"/>
        <w:ind w:firstLine="220"/>
      </w:pPr>
      <w:r>
        <w:t>Co se jeho charakteru jako světce týče, jest rozhodným omylem tvrditi, že byl kanonisován teprve do</w:t>
      </w:r>
      <w:r>
        <w:t>datečně a to až teprve v době pobělohorské. To je omyl, neboť původně nebylo blahořečení, ani svatořečeni Římem, nýbrž úcta světců byla věcí diec. biskupa a akt, rovnající se dnešnímu svatořečení, byl tehdy vyjádřen slavným přenesením světcových ostatků. S</w:t>
      </w:r>
      <w:r>
        <w:t>v. Václav byl slavnostně přenesen 4. března 932, čímž byl veřejně Vyhlášen za světce a ne tedy v době pobělohorské. Tehdy sta</w:t>
      </w:r>
      <w:r>
        <w:softHyphen/>
        <w:t>novila Kurie pouze stupeň slavení jeho památky v mešních formulářích a v breviáři. Co pro náš národ znamenalo dopřání jeho knížeti</w:t>
      </w:r>
      <w:r>
        <w:t xml:space="preserve"> cti oltáře, o tom výstižně píše Šimák: »Třeba se opět rozpomenout!, jak ohromný význam měla církev pozdního středověku a co v očích světa znamenal světec! Tím spíše, byl-li jím panovník, představitel celého národa... Byl to takřka důkaz, že národ ten uzná</w:t>
      </w:r>
      <w:r>
        <w:t>n za rovnocenná ostatním. Octa svato</w:t>
      </w:r>
      <w:r>
        <w:softHyphen/>
        <w:t>václavská jest takto nrvní a velmi úspěšná propagace našeho národa ve všem světě.«</w:t>
      </w:r>
    </w:p>
    <w:p w:rsidR="00500724" w:rsidRDefault="00F30FB8">
      <w:pPr>
        <w:pStyle w:val="Zkladntext100"/>
        <w:shd w:val="clear" w:color="auto" w:fill="auto"/>
        <w:ind w:firstLine="220"/>
      </w:pPr>
      <w:r>
        <w:t>Poslední nemožné tvrzení jest, že prý lid o sw. tradici celkem nic neví. Zde stačí uvésti slova Šimákova a Pekařova. Šimák píše: »Věřilo</w:t>
      </w:r>
      <w:r>
        <w:t xml:space="preserve"> se, že jeho pomoc dobyla Čechům vítězství v ne</w:t>
      </w:r>
      <w:r>
        <w:softHyphen/>
        <w:t>bezpečných bojích r. 1126, 1260, 1322.« I v dobách pobělohor</w:t>
      </w:r>
      <w:r>
        <w:softHyphen/>
        <w:t>ského úpadku a povržení národovci čeští odráželi hanobitele své řeči obranou, že jest jazykem sv. V„ i když všechny ostatní slavné děje naše i osob</w:t>
      </w:r>
      <w:r>
        <w:t>y byly zatlačeny v zapomenutí, ano zne</w:t>
      </w:r>
      <w:r>
        <w:softHyphen/>
        <w:t xml:space="preserve">svářeny, památka svátého knížete českého zachovala aspoň plamének sebevědomí.«... </w:t>
      </w:r>
      <w:r>
        <w:rPr>
          <w:lang w:val="en-US" w:eastAsia="en-US" w:bidi="en-US"/>
        </w:rPr>
        <w:t xml:space="preserve">Prof. </w:t>
      </w:r>
      <w:r>
        <w:t>Pekař píše: »Ani poměrně krátká doba převahy protestantismu v naší vlasti 80 až 100 let před Bílou horou (protestantismus nebyl p</w:t>
      </w:r>
      <w:r>
        <w:t>říznlv uctívání svá</w:t>
      </w:r>
      <w:r>
        <w:softHyphen/>
        <w:t xml:space="preserve">tých), nedovedla jl podlomit!, a to ani u horlivých protestantů samých, na př. Komenského, jemuž je sv. Václav předchůdcem </w:t>
      </w:r>
      <w:r>
        <w:rPr>
          <w:b/>
          <w:bCs/>
          <w:sz w:val="19"/>
          <w:szCs w:val="19"/>
        </w:rPr>
        <w:t xml:space="preserve">č. </w:t>
      </w:r>
      <w:r>
        <w:t>mučedníků.* ... Pekař na to dokazuje, že sv. V. byl uctíván 1 od husitů, kteří v jeho pomoc právě tak věřili j</w:t>
      </w:r>
      <w:r>
        <w:t>ako katolíci. Sv. V. byl tedy uctíván všemi Čechy bez rozdílu vyznání.</w:t>
      </w:r>
    </w:p>
    <w:p w:rsidR="00500724" w:rsidRDefault="00F30FB8">
      <w:pPr>
        <w:pStyle w:val="Zkladntext100"/>
        <w:shd w:val="clear" w:color="auto" w:fill="auto"/>
      </w:pPr>
      <w:r>
        <w:t xml:space="preserve">Sv. V. byl nejen uctíván, nýbrž i vzýván jako zastánce </w:t>
      </w:r>
      <w:r>
        <w:rPr>
          <w:b/>
          <w:bCs/>
          <w:sz w:val="19"/>
          <w:szCs w:val="19"/>
        </w:rPr>
        <w:t xml:space="preserve">č. </w:t>
      </w:r>
      <w:r>
        <w:t>ná</w:t>
      </w:r>
      <w:r>
        <w:softHyphen/>
        <w:t>roda ve všech jeho těžkých dobách. Šimák o tom píšeš »Prostým duším bylo mocnou útěchou, že máme v nebesích patrona, který d</w:t>
      </w:r>
      <w:r>
        <w:t>ědictví své chrání a lidu svému pomáhá... Jeho úcta rostla a srostla s českým národem: svátý kníže se stal symbolem Čech, potom celého státu, jenž s chloubou a pohnutím se zval korunou svatováclavskou. Pod tímto symbo</w:t>
      </w:r>
      <w:r>
        <w:softHyphen/>
        <w:t>lem pak vybudována a udržena naše stát</w:t>
      </w:r>
      <w:r>
        <w:t>ní jednotnost, i stal se tak sv. V. svorníkem české národní a politické síly*. Pekař o tom píše: s&gt;Jdeme-li k psychologickým kořenům této rostoucí úcty, shledáme nepochybně, že vůdčí myšlenkou její je posvě</w:t>
      </w:r>
      <w:r>
        <w:softHyphen/>
        <w:t>cení všeho, co je cítění národnímu nejdražšího ne</w:t>
      </w:r>
      <w:r>
        <w:t xml:space="preserve">bo co je v životě státu českého nejdůležitější — jde krátce o posvěceni patriotismu.* Knihu svou pak zakončil Pekař takto: »A chceme věřit se zbožně věřícími, že sv. Václav i v druhém tisíciletí své vlády neodepře podpory české zemi, otevřené s důvěrou, v </w:t>
      </w:r>
      <w:r>
        <w:t>na- déjUna pomoc jeho, osudům budoucnosti.*</w:t>
      </w:r>
    </w:p>
    <w:p w:rsidR="00500724" w:rsidRDefault="00F30FB8">
      <w:pPr>
        <w:pStyle w:val="Zkladntext100"/>
        <w:shd w:val="clear" w:color="auto" w:fill="auto"/>
      </w:pPr>
      <w:r>
        <w:t>Nepřátelům svatováclavské tradice cituji závěrečná slova Šimákova, pokud to dnešní poměry dovolují: »Bylo by tedy nejméně nedorozuměním, kdybychom se nenašli všichni Čecho</w:t>
      </w:r>
      <w:r>
        <w:softHyphen/>
        <w:t xml:space="preserve">vé, kdož dobře smýšlejí se svým národem </w:t>
      </w:r>
      <w:r>
        <w:t>— byť rozdílni smýš</w:t>
      </w:r>
      <w:r>
        <w:softHyphen/>
        <w:t>lením a vyznáním — v jednom šiku v této vzácné tisícileté vzpomínce. Nejsme národ veliký, jenž se klidně smí oddávat! přepychu bezstarostí... Smíme-li spoléhati na cizí? Jen na sebe samy. I je povinností naší spíše zdůrazňovati to, co n</w:t>
      </w:r>
      <w:r>
        <w:t xml:space="preserve">áa spojuje, nikoliv ono, co nás dělí, oslabuje. Jest-ll kníže Václav jedněm světcem, musí býti druhým aspoň symbolem jednoty </w:t>
      </w:r>
      <w:r>
        <w:rPr>
          <w:b/>
          <w:bCs/>
          <w:sz w:val="19"/>
          <w:szCs w:val="19"/>
        </w:rPr>
        <w:t xml:space="preserve">a </w:t>
      </w:r>
      <w:r>
        <w:t xml:space="preserve">lásky vzájemné, jež právě tak je silnou mocí jako přímluva </w:t>
      </w:r>
      <w:r>
        <w:rPr>
          <w:b/>
          <w:bCs/>
          <w:sz w:val="19"/>
          <w:szCs w:val="19"/>
        </w:rPr>
        <w:t xml:space="preserve">u </w:t>
      </w:r>
      <w:r>
        <w:t>božího trůnu ...«</w:t>
      </w:r>
    </w:p>
    <w:p w:rsidR="00500724" w:rsidRDefault="00F30FB8">
      <w:pPr>
        <w:pStyle w:val="Zkladntext100"/>
        <w:shd w:val="clear" w:color="auto" w:fill="auto"/>
        <w:spacing w:line="202" w:lineRule="auto"/>
        <w:ind w:firstLine="320"/>
      </w:pPr>
      <w:r>
        <w:t>K tomu si dovoluji připojiti tento svůj skromný ná</w:t>
      </w:r>
      <w:r>
        <w:t>zore Každý ví, že jak dříve, tak i dnes zpívá lid s nadšením &gt; důvě</w:t>
      </w:r>
      <w:r>
        <w:softHyphen/>
        <w:t xml:space="preserve">rou ona slova: »Nedej zahynouti nám ni budoucím!* Tato slova jsou jediným pramenem útěchy v dnešní těžké době </w:t>
      </w:r>
      <w:r>
        <w:rPr>
          <w:b/>
          <w:bCs/>
          <w:sz w:val="19"/>
          <w:szCs w:val="19"/>
        </w:rPr>
        <w:t xml:space="preserve">a </w:t>
      </w:r>
      <w:r>
        <w:t>proto podrývati svatováclavskou tradici, jež vlévá do srdcí čes</w:t>
      </w:r>
      <w:r>
        <w:softHyphen/>
        <w:t>kého lidu na</w:t>
      </w:r>
      <w:r>
        <w:t>ději v lepší budoucnost, znamená připravovat! jej I o tu poslední útěchu a vydávati jej v zoufalou bezradnost. To si tuším nepřeje nikdo, ať již na svatováclavskou tradici hledí jakkoliv.</w:t>
      </w:r>
    </w:p>
    <w:p w:rsidR="00500724" w:rsidRDefault="00F30FB8">
      <w:pPr>
        <w:pStyle w:val="Zkladntext100"/>
        <w:shd w:val="clear" w:color="auto" w:fill="auto"/>
        <w:spacing w:line="180" w:lineRule="auto"/>
        <w:ind w:left="2780" w:firstLine="0"/>
        <w:jc w:val="left"/>
      </w:pPr>
      <w:r>
        <w:t>Dr. Aug. Neumann,</w:t>
      </w:r>
    </w:p>
    <w:p w:rsidR="00500724" w:rsidRDefault="00F30FB8">
      <w:pPr>
        <w:pStyle w:val="Zkladntext100"/>
        <w:shd w:val="clear" w:color="auto" w:fill="auto"/>
        <w:spacing w:after="180"/>
        <w:ind w:firstLine="0"/>
        <w:jc w:val="right"/>
      </w:pPr>
      <w:r>
        <w:t>profesor CM. fakulty bohosl. v Olomouci.</w:t>
      </w:r>
    </w:p>
    <w:p w:rsidR="00500724" w:rsidRDefault="00F30FB8">
      <w:pPr>
        <w:pStyle w:val="Zkladntext100"/>
        <w:shd w:val="clear" w:color="auto" w:fill="auto"/>
        <w:spacing w:after="80" w:line="240" w:lineRule="auto"/>
        <w:ind w:firstLine="0"/>
        <w:jc w:val="center"/>
        <w:rPr>
          <w:sz w:val="19"/>
          <w:szCs w:val="19"/>
        </w:rPr>
      </w:pPr>
      <w:r>
        <w:rPr>
          <w:b/>
          <w:bCs/>
          <w:sz w:val="19"/>
          <w:szCs w:val="19"/>
        </w:rPr>
        <w:t xml:space="preserve">Dělníkův </w:t>
      </w:r>
      <w:r>
        <w:rPr>
          <w:b/>
          <w:bCs/>
          <w:sz w:val="19"/>
          <w:szCs w:val="19"/>
        </w:rPr>
        <w:t>dopis o knihách</w:t>
      </w:r>
    </w:p>
    <w:p w:rsidR="00500724" w:rsidRDefault="00F30FB8">
      <w:pPr>
        <w:pStyle w:val="Zkladntext100"/>
        <w:shd w:val="clear" w:color="auto" w:fill="auto"/>
        <w:spacing w:after="100" w:line="197" w:lineRule="auto"/>
        <w:ind w:left="1220" w:firstLine="0"/>
        <w:jc w:val="left"/>
      </w:pPr>
      <w:r>
        <w:t>Vážený pane redaktore!</w:t>
      </w:r>
    </w:p>
    <w:p w:rsidR="00500724" w:rsidRDefault="00F30FB8">
      <w:pPr>
        <w:pStyle w:val="Zkladntext100"/>
        <w:shd w:val="clear" w:color="auto" w:fill="auto"/>
        <w:spacing w:line="197" w:lineRule="auto"/>
      </w:pPr>
      <w:r>
        <w:t>Věřte, že jest mi strašně bolno, když přečetl jsem několik posledních čísel »Přítomnosti«, jak nestateční, zbabělí a pod- lízaví jsou někteří — bohužel — také »Češi«. Což opravdu již v žilách našeho člověka neproudí t</w:t>
      </w:r>
      <w:r>
        <w:t xml:space="preserve">a stará, poctivá česká krev bez přísady koniášovského jedu? Nechce se mi ani uvěřiti, že najdou se lidé, čeští lidé, kteří (proč?) vyrabuji své (beztak jen, protože patřilo k bytové kultuře zařízené) knihovny </w:t>
      </w:r>
      <w:r>
        <w:rPr>
          <w:b/>
          <w:bCs/>
          <w:sz w:val="19"/>
          <w:szCs w:val="19"/>
        </w:rPr>
        <w:t xml:space="preserve">a </w:t>
      </w:r>
      <w:r>
        <w:t>balí do balíků Jiráska, Čecha, Nerudu, Čapka,</w:t>
      </w:r>
      <w:r>
        <w:t xml:space="preserve"> Masaryka, které pak anonymně odkládají po pražských koutech jako Neruda kornouty slámy v nesmrtelné satiře »Kam s ním?«</w:t>
      </w:r>
    </w:p>
    <w:p w:rsidR="00500724" w:rsidRDefault="00F30FB8">
      <w:pPr>
        <w:pStyle w:val="Zkladntext100"/>
        <w:shd w:val="clear" w:color="auto" w:fill="auto"/>
        <w:spacing w:line="197" w:lineRule="auto"/>
      </w:pPr>
      <w:r>
        <w:t>Kde byl by český národ, kdyby podobných »hrdinů své doby« měl v dobách katastrofy pobělohorské, kdyby nebylo doškových chaloupek, které</w:t>
      </w:r>
      <w:r>
        <w:t xml:space="preserve"> dovedly uchránit! poklady národa před nejslídivějšími bazilíšky jesuitskými?</w:t>
      </w:r>
    </w:p>
    <w:p w:rsidR="00500724" w:rsidRDefault="00F30FB8">
      <w:pPr>
        <w:pStyle w:val="Zkladntext100"/>
        <w:shd w:val="clear" w:color="auto" w:fill="auto"/>
        <w:spacing w:line="197" w:lineRule="auto"/>
        <w:jc w:val="left"/>
      </w:pPr>
      <w:r>
        <w:t xml:space="preserve">Jest vůbec možno, aby český člověk </w:t>
      </w:r>
      <w:r>
        <w:rPr>
          <w:b/>
          <w:bCs/>
          <w:sz w:val="19"/>
          <w:szCs w:val="19"/>
        </w:rPr>
        <w:t xml:space="preserve">s </w:t>
      </w:r>
      <w:r>
        <w:t xml:space="preserve">lehkým srdcem odkládal perly svého národního bohatství, skrytého </w:t>
      </w:r>
      <w:r>
        <w:rPr>
          <w:b/>
          <w:bCs/>
          <w:sz w:val="19"/>
          <w:szCs w:val="19"/>
        </w:rPr>
        <w:t xml:space="preserve">v </w:t>
      </w:r>
      <w:r>
        <w:t>české knize svých nejlepších synů</w:t>
      </w:r>
    </w:p>
    <w:p w:rsidR="00500724" w:rsidRDefault="00F30FB8">
      <w:pPr>
        <w:pStyle w:val="Zkladntext100"/>
        <w:shd w:val="clear" w:color="auto" w:fill="auto"/>
        <w:spacing w:line="197" w:lineRule="auto"/>
      </w:pPr>
      <w:r>
        <w:t>Jako prostý dělník, který vlastním kniho</w:t>
      </w:r>
      <w:r>
        <w:t>vnu, nedovedu toto pochopit a to proto, poněvadž už českou knihu dal ml v její základ otec — chudý tkadlec z kraje Raisových »Zapad</w:t>
      </w:r>
      <w:r>
        <w:rPr>
          <w:vertAlign w:val="subscript"/>
        </w:rPr>
        <w:t xml:space="preserve">: </w:t>
      </w:r>
      <w:r>
        <w:t>lých vlastenců«, kterou zase budu předávat! svým dětem s těmi samými slovy, kterými dal mi ji tatínek: »To je studně zázrač</w:t>
      </w:r>
      <w:r>
        <w:t xml:space="preserve">né vody. Kdo z ní pije, neztratí nikdy víru </w:t>
      </w:r>
      <w:r>
        <w:rPr>
          <w:b/>
          <w:bCs/>
          <w:sz w:val="19"/>
          <w:szCs w:val="19"/>
        </w:rPr>
        <w:t xml:space="preserve">ve </w:t>
      </w:r>
      <w:r>
        <w:t>věčný život národa. Nikdy se jí, hochu, nezbavuj!«</w:t>
      </w:r>
    </w:p>
    <w:p w:rsidR="00500724" w:rsidRDefault="00F30FB8">
      <w:pPr>
        <w:pStyle w:val="Zkladntext100"/>
        <w:shd w:val="clear" w:color="auto" w:fill="auto"/>
        <w:spacing w:line="197" w:lineRule="auto"/>
        <w:sectPr w:rsidR="00500724">
          <w:footnotePr>
            <w:numFmt w:val="chicago"/>
            <w:numRestart w:val="eachPage"/>
          </w:footnotePr>
          <w:type w:val="continuous"/>
          <w:pgSz w:w="11909" w:h="16834"/>
          <w:pgMar w:top="819" w:right="641" w:bottom="902" w:left="905" w:header="0" w:footer="3" w:gutter="0"/>
          <w:cols w:num="2" w:space="100"/>
          <w:noEndnote/>
          <w:docGrid w:linePitch="360"/>
        </w:sectPr>
      </w:pPr>
      <w:r>
        <w:t>Tři roky byl jsem bez práce, rodina hladověla, prodalo se vše na záchranu holého života dětí, ale knihy zůstaly. A zůsta</w:t>
      </w:r>
      <w:r>
        <w:softHyphen/>
        <w:t>nou! Pr</w:t>
      </w:r>
      <w:r>
        <w:t>o děti, z nichž musí býti dobří, poctiví příslušníci ná</w:t>
      </w:r>
      <w:r>
        <w:softHyphen/>
        <w:t>roda.</w:t>
      </w:r>
    </w:p>
    <w:p w:rsidR="00500724" w:rsidRDefault="00F30FB8">
      <w:pPr>
        <w:pStyle w:val="Jin0"/>
        <w:shd w:val="clear" w:color="auto" w:fill="auto"/>
        <w:ind w:firstLine="0"/>
        <w:jc w:val="right"/>
        <w:rPr>
          <w:sz w:val="15"/>
          <w:szCs w:val="15"/>
        </w:rPr>
      </w:pPr>
      <w:r>
        <w:rPr>
          <w:rFonts w:ascii="Arial" w:eastAsia="Arial" w:hAnsi="Arial" w:cs="Arial"/>
          <w:b/>
          <w:bCs/>
          <w:sz w:val="15"/>
          <w:szCs w:val="15"/>
        </w:rPr>
        <w:t>70</w:t>
      </w:r>
    </w:p>
    <w:p w:rsidR="00500724" w:rsidRDefault="00F30FB8">
      <w:pPr>
        <w:pStyle w:val="Jin0"/>
        <w:shd w:val="clear" w:color="auto" w:fill="auto"/>
        <w:spacing w:line="180" w:lineRule="auto"/>
        <w:ind w:right="160" w:firstLine="0"/>
        <w:jc w:val="right"/>
        <w:rPr>
          <w:sz w:val="28"/>
          <w:szCs w:val="28"/>
        </w:rPr>
      </w:pPr>
      <w:r>
        <w:rPr>
          <w:rFonts w:ascii="Arial" w:eastAsia="Arial" w:hAnsi="Arial" w:cs="Arial"/>
          <w:b/>
          <w:bCs/>
          <w:w w:val="70"/>
          <w:sz w:val="28"/>
          <w:szCs w:val="28"/>
        </w:rPr>
        <w:t>O</w:t>
      </w:r>
    </w:p>
    <w:p w:rsidR="00500724" w:rsidRDefault="00F30FB8">
      <w:pPr>
        <w:pStyle w:val="Zkladntext80"/>
        <w:shd w:val="clear" w:color="auto" w:fill="auto"/>
        <w:spacing w:after="300" w:line="185" w:lineRule="auto"/>
        <w:jc w:val="right"/>
        <w:rPr>
          <w:sz w:val="20"/>
          <w:szCs w:val="20"/>
        </w:rPr>
      </w:pPr>
      <w:r>
        <w:rPr>
          <w:sz w:val="20"/>
          <w:szCs w:val="20"/>
        </w:rPr>
        <w:t>n&lt;</w:t>
      </w:r>
    </w:p>
    <w:p w:rsidR="00500724" w:rsidRDefault="00F30FB8">
      <w:pPr>
        <w:pStyle w:val="Jin0"/>
        <w:shd w:val="clear" w:color="auto" w:fill="auto"/>
        <w:spacing w:after="220"/>
        <w:ind w:firstLine="0"/>
        <w:jc w:val="right"/>
        <w:rPr>
          <w:sz w:val="28"/>
          <w:szCs w:val="28"/>
        </w:rPr>
      </w:pPr>
      <w:r>
        <w:rPr>
          <w:rFonts w:ascii="Arial" w:eastAsia="Arial" w:hAnsi="Arial" w:cs="Arial"/>
          <w:b/>
          <w:bCs/>
          <w:w w:val="70"/>
          <w:sz w:val="28"/>
          <w:szCs w:val="28"/>
        </w:rPr>
        <w:t>o«</w:t>
      </w:r>
    </w:p>
    <w:p w:rsidR="00500724" w:rsidRDefault="00F30FB8">
      <w:pPr>
        <w:pStyle w:val="Jin0"/>
        <w:shd w:val="clear" w:color="auto" w:fill="auto"/>
        <w:ind w:right="160" w:firstLine="0"/>
        <w:jc w:val="right"/>
        <w:rPr>
          <w:sz w:val="28"/>
          <w:szCs w:val="28"/>
        </w:rPr>
        <w:sectPr w:rsidR="00500724">
          <w:footnotePr>
            <w:numFmt w:val="chicago"/>
            <w:numRestart w:val="eachPage"/>
          </w:footnotePr>
          <w:pgSz w:w="11909" w:h="16834"/>
          <w:pgMar w:top="591" w:right="893" w:bottom="903" w:left="10339" w:header="0" w:footer="3" w:gutter="0"/>
          <w:cols w:space="720"/>
          <w:noEndnote/>
          <w:docGrid w:linePitch="360"/>
        </w:sectPr>
      </w:pPr>
      <w:r>
        <w:rPr>
          <w:rFonts w:ascii="Arial" w:eastAsia="Arial" w:hAnsi="Arial" w:cs="Arial"/>
          <w:b/>
          <w:bCs/>
          <w:w w:val="70"/>
          <w:sz w:val="28"/>
          <w:szCs w:val="28"/>
        </w:rPr>
        <w:t>O</w:t>
      </w:r>
    </w:p>
    <w:p w:rsidR="00500724" w:rsidRDefault="00500724">
      <w:pPr>
        <w:spacing w:line="127"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591" w:right="0" w:bottom="591"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30034" behindDoc="0" locked="0" layoutInCell="1" allowOverlap="1">
                <wp:simplePos x="0" y="0"/>
                <wp:positionH relativeFrom="page">
                  <wp:posOffset>2035810</wp:posOffset>
                </wp:positionH>
                <wp:positionV relativeFrom="paragraph">
                  <wp:posOffset>3209290</wp:posOffset>
                </wp:positionV>
                <wp:extent cx="1615440" cy="4700270"/>
                <wp:effectExtent l="0" t="0" r="0" b="0"/>
                <wp:wrapSquare wrapText="bothSides"/>
                <wp:docPr id="657" name="Shape 657"/>
                <wp:cNvGraphicFramePr/>
                <a:graphic xmlns:a="http://schemas.openxmlformats.org/drawingml/2006/main">
                  <a:graphicData uri="http://schemas.microsoft.com/office/word/2010/wordprocessingShape">
                    <wps:wsp>
                      <wps:cNvSpPr txBox="1"/>
                      <wps:spPr>
                        <a:xfrm>
                          <a:off x="0" y="0"/>
                          <a:ext cx="1615440" cy="4700270"/>
                        </a:xfrm>
                        <a:prstGeom prst="rect">
                          <a:avLst/>
                        </a:prstGeom>
                        <a:noFill/>
                      </wps:spPr>
                      <wps:txbx>
                        <w:txbxContent>
                          <w:p w:rsidR="00500724" w:rsidRDefault="00F30FB8">
                            <w:pPr>
                              <w:pStyle w:val="Zkladntext40"/>
                              <w:shd w:val="clear" w:color="auto" w:fill="auto"/>
                              <w:spacing w:after="80" w:line="182" w:lineRule="auto"/>
                            </w:pPr>
                            <w:r>
                              <w:t>obdobně jako řada statí, jež před</w:t>
                            </w:r>
                            <w:r>
                              <w:softHyphen/>
                              <w:t>chozí čísla letošního ročníku Vě</w:t>
                            </w:r>
                            <w:r>
                              <w:softHyphen/>
                              <w:t xml:space="preserve">dy a života přinesla rovněž na úvodním místě. </w:t>
                            </w:r>
                            <w:r>
                              <w:t>Připomínáme tu Jen Grohovo pojednání o malém národě a »krocích dějin«, Arne Novákovu stát Oheň Prométheův, Bělehrádkův úvodník o svobodě a celku, které dohromady jedi</w:t>
                            </w:r>
                            <w:r>
                              <w:softHyphen/>
                              <w:t>nečně osvědčují, jak Věda a ži</w:t>
                            </w:r>
                            <w:r>
                              <w:softHyphen/>
                              <w:t>vot vedle úkolu, který si vytkla a který zní: šířit poznán</w:t>
                            </w:r>
                            <w:r>
                              <w:t>í vědec</w:t>
                            </w:r>
                            <w:r>
                              <w:softHyphen/>
                              <w:t>ké práce a jejích výsledků, do</w:t>
                            </w:r>
                            <w:r>
                              <w:softHyphen/>
                              <w:t>vede reagovat na novou skuteč</w:t>
                            </w:r>
                            <w:r>
                              <w:softHyphen/>
                              <w:t>nost a vyvodit z toho poznáni, užitečné celému národu. Vlastni obsah čísla tvoří pestrá směsice článků a poznámek, které vás prováděj! labyrintem vědy a po</w:t>
                            </w:r>
                            <w:r>
                              <w:softHyphen/>
                              <w:t>učují o jejích cílech, metodách</w:t>
                            </w:r>
                            <w:r>
                              <w:t xml:space="preserve"> I výsledcích. Tak Vladimír No</w:t>
                            </w:r>
                            <w:r>
                              <w:softHyphen/>
                              <w:t xml:space="preserve">vák píše o stáří hornin, Josef Skutil o počátcích praehistorie </w:t>
                            </w:r>
                            <w:r>
                              <w:rPr>
                                <w:b/>
                                <w:bCs/>
                                <w:sz w:val="16"/>
                                <w:szCs w:val="16"/>
                              </w:rPr>
                              <w:t xml:space="preserve">u </w:t>
                            </w:r>
                            <w:r>
                              <w:t>nás, Václav Neumann o zrůdách a zrůdnostech, Vladimír Groh v nezapomenutelně roztomilém feuilletonu o starořímské kuchy</w:t>
                            </w:r>
                            <w:r>
                              <w:softHyphen/>
                              <w:t>ni, stole a sklepu a Jan Bělehrá- dek po</w:t>
                            </w:r>
                            <w:r>
                              <w:t>kračuje ve svých Zákla</w:t>
                            </w:r>
                            <w:r>
                              <w:softHyphen/>
                              <w:t>dech biologie. V oddíle Barevné střepy zaujme nás zejména po</w:t>
                            </w:r>
                            <w:r>
                              <w:softHyphen/>
                              <w:t>jednání o císařském řezu a po</w:t>
                            </w:r>
                            <w:r>
                              <w:softHyphen/>
                              <w:t>známka k dějinám dálnic. Cena čísla bohatě ilustrovaného je 5 korun.</w:t>
                            </w:r>
                          </w:p>
                          <w:p w:rsidR="00500724" w:rsidRDefault="00F30FB8">
                            <w:pPr>
                              <w:pStyle w:val="Zkladntext40"/>
                              <w:shd w:val="clear" w:color="auto" w:fill="auto"/>
                              <w:spacing w:after="0" w:line="185" w:lineRule="auto"/>
                            </w:pPr>
                            <w:r>
                              <w:rPr>
                                <w:b/>
                                <w:bCs/>
                                <w:sz w:val="16"/>
                                <w:szCs w:val="16"/>
                              </w:rPr>
                              <w:t xml:space="preserve">Knihovna Lidových Novin končí třetí ročník </w:t>
                            </w:r>
                            <w:r>
                              <w:t>Knihovna Lidových Novin uza</w:t>
                            </w:r>
                            <w:r>
                              <w:softHyphen/>
                              <w:t>ví</w:t>
                            </w:r>
                            <w:r>
                              <w:t>rá právě knihou světoběžnic- kých osudů a dobrodružství L i- dé, které jsem potkal cestou od Edvarda Valenty, svůj třetí ročník. Uvážíme-li, že tento ročník přinesl nové romá</w:t>
                            </w:r>
                            <w:r>
                              <w:softHyphen/>
                              <w:t>nové dílo vynikajícího českého básníka Josefa Hory Dech na skle, závažnou románov</w:t>
                            </w:r>
                            <w:r>
                              <w:t>ou prá</w:t>
                            </w:r>
                            <w:r>
                              <w:softHyphen/>
                              <w:t>ci Václava Řezáče Slepou uličku, kouzelný a vysoce poe</w:t>
                            </w:r>
                            <w:r>
                              <w:softHyphen/>
                              <w:t>tický román Karla Konráda P o- stele bez nebes, další sva</w:t>
                            </w:r>
                            <w:r>
                              <w:softHyphen/>
                              <w:t>zek Poláčkovy románové ságy o malém městě V yprodáno, no</w:t>
                            </w:r>
                            <w:r>
                              <w:softHyphen/>
                              <w:t>vou, neobyčejně zajímavou prá</w:t>
                            </w:r>
                            <w:r>
                              <w:softHyphen/>
                              <w:t>ci Olgy Scheinpflugové P ř e ž I -</w:t>
                            </w:r>
                          </w:p>
                        </w:txbxContent>
                      </wps:txbx>
                      <wps:bodyPr lIns="0" tIns="0" rIns="0" bIns="0">
                        <a:spAutoFit/>
                      </wps:bodyPr>
                    </wps:wsp>
                  </a:graphicData>
                </a:graphic>
              </wp:anchor>
            </w:drawing>
          </mc:Choice>
          <mc:Fallback>
            <w:pict>
              <v:shape id="_x0000_s1683" type="#_x0000_t202" style="position:absolute;margin-left:160.30000000000001pt;margin-top:252.69999999999999pt;width:127.2pt;height:370.10000000000002pt;z-index:-125828719;mso-wrap-distance-left:0;mso-wrap-distance-right:0;mso-position-horizontal-relative:page" filled="f" stroked="f">
                <v:textbox style="mso-fit-shape-to-text:t" inset="0,0,0,0">
                  <w:txbxContent>
                    <w:p>
                      <w:pPr>
                        <w:pStyle w:val="Style42"/>
                        <w:keepNext w:val="0"/>
                        <w:keepLines w:val="0"/>
                        <w:widowControl w:val="0"/>
                        <w:shd w:val="clear" w:color="auto" w:fill="auto"/>
                        <w:bidi w:val="0"/>
                        <w:spacing w:before="0" w:after="80" w:line="182" w:lineRule="auto"/>
                        <w:ind w:left="0" w:right="0" w:firstLine="0"/>
                      </w:pPr>
                      <w:r>
                        <w:rPr>
                          <w:color w:val="000000"/>
                          <w:spacing w:val="0"/>
                          <w:w w:val="100"/>
                          <w:position w:val="0"/>
                          <w:shd w:val="clear" w:color="auto" w:fill="auto"/>
                          <w:lang w:val="cs-CZ" w:eastAsia="cs-CZ" w:bidi="cs-CZ"/>
                        </w:rPr>
                        <w:t>obdobně jako řada statí, jež před</w:t>
                        <w:softHyphen/>
                        <w:t>chozí čísla letošního ročníku Vě</w:t>
                        <w:softHyphen/>
                        <w:t>dy a života přinesla rovněž na úvodním místě. Připomínáme tu Jen Grohovo pojednání o malém národě a »krocích dějin«, Arne Novákovu stát Oheň Prométheův, Bělehrádkův úvodník o svobodě a celku, které dohromady jedi</w:t>
                        <w:softHyphen/>
                        <w:t>nečně osvědčují, jak Věda a ži</w:t>
                        <w:softHyphen/>
                        <w:t>vot vedle úkolu, který si vytkla a který zní: šířit poznání vědec</w:t>
                        <w:softHyphen/>
                        <w:t>ké práce a jejích výsledků, do</w:t>
                        <w:softHyphen/>
                        <w:t>vede reagovat na novou skuteč</w:t>
                        <w:softHyphen/>
                        <w:t>nost a vyvodit z toho poznáni, užitečné celému národu. Vlastni obsah čísla tvoří pestrá směsice článků a poznámek, které vás prováděj! labyrintem vědy a po</w:t>
                        <w:softHyphen/>
                        <w:t>učují o jejích cílech, metodách I výsledcích. Tak Vladimír No</w:t>
                        <w:softHyphen/>
                        <w:t xml:space="preserve">vák píše o stáří hornin, Josef Skutil o počátcích praehistorie </w:t>
                      </w:r>
                      <w:r>
                        <w:rPr>
                          <w:b/>
                          <w:bCs/>
                          <w:color w:val="000000"/>
                          <w:spacing w:val="0"/>
                          <w:w w:val="100"/>
                          <w:position w:val="0"/>
                          <w:sz w:val="16"/>
                          <w:szCs w:val="16"/>
                          <w:shd w:val="clear" w:color="auto" w:fill="auto"/>
                          <w:lang w:val="cs-CZ" w:eastAsia="cs-CZ" w:bidi="cs-CZ"/>
                        </w:rPr>
                        <w:t xml:space="preserve">u </w:t>
                      </w:r>
                      <w:r>
                        <w:rPr>
                          <w:color w:val="000000"/>
                          <w:spacing w:val="0"/>
                          <w:w w:val="100"/>
                          <w:position w:val="0"/>
                          <w:shd w:val="clear" w:color="auto" w:fill="auto"/>
                          <w:lang w:val="cs-CZ" w:eastAsia="cs-CZ" w:bidi="cs-CZ"/>
                        </w:rPr>
                        <w:t>nás, Václav Neumann o zrůdách a zrůdnostech, Vladimír Groh v nezapomenutelně roztomilém feuilletonu o starořímské kuchy</w:t>
                        <w:softHyphen/>
                        <w:t>ni, stole a sklepu a Jan Bělehrá- dek pokračuje ve svých Zákla</w:t>
                        <w:softHyphen/>
                        <w:t>dech biologie. V oddíle Barevné střepy zaujme nás zejména po</w:t>
                        <w:softHyphen/>
                        <w:t>jednání o císařském řezu a po</w:t>
                        <w:softHyphen/>
                        <w:t>známka k dějinám dálnic. Cena čísla bohatě ilustrovaného je 5 korun.</w:t>
                      </w:r>
                    </w:p>
                    <w:p>
                      <w:pPr>
                        <w:pStyle w:val="Style42"/>
                        <w:keepNext w:val="0"/>
                        <w:keepLines w:val="0"/>
                        <w:widowControl w:val="0"/>
                        <w:shd w:val="clear" w:color="auto" w:fill="auto"/>
                        <w:bidi w:val="0"/>
                        <w:spacing w:before="0" w:after="0" w:line="185" w:lineRule="auto"/>
                        <w:ind w:left="0" w:right="0" w:firstLine="0"/>
                      </w:pPr>
                      <w:r>
                        <w:rPr>
                          <w:b/>
                          <w:bCs/>
                          <w:color w:val="000000"/>
                          <w:spacing w:val="0"/>
                          <w:w w:val="100"/>
                          <w:position w:val="0"/>
                          <w:sz w:val="16"/>
                          <w:szCs w:val="16"/>
                          <w:shd w:val="clear" w:color="auto" w:fill="auto"/>
                          <w:lang w:val="cs-CZ" w:eastAsia="cs-CZ" w:bidi="cs-CZ"/>
                        </w:rPr>
                        <w:t xml:space="preserve">Knihovna Lidových Novin končí třetí ročník </w:t>
                      </w:r>
                      <w:r>
                        <w:rPr>
                          <w:color w:val="000000"/>
                          <w:spacing w:val="0"/>
                          <w:w w:val="100"/>
                          <w:position w:val="0"/>
                          <w:shd w:val="clear" w:color="auto" w:fill="auto"/>
                          <w:lang w:val="cs-CZ" w:eastAsia="cs-CZ" w:bidi="cs-CZ"/>
                        </w:rPr>
                        <w:t>Knihovna Lidových Novin uza</w:t>
                        <w:softHyphen/>
                        <w:t>vírá právě knihou světoběžnic- kých osudů a dobrodružství L i- dé, které jsem potkal cestou od Edvarda Valenty, svůj třetí ročník. Uvážíme-li, že tento ročník přinesl nové romá</w:t>
                        <w:softHyphen/>
                        <w:t>nové dílo vynikajícího českého básníka Josefa Hory Dech na skle, závažnou románovou prá</w:t>
                        <w:softHyphen/>
                        <w:t>ci Václava Řezáče Slepou uličku, kouzelný a vysoce poe</w:t>
                        <w:softHyphen/>
                        <w:t>tický román Karla Konráda P o- stele bez nebes, další sva</w:t>
                        <w:softHyphen/>
                        <w:t>zek Poláčkovy románové ságy o malém městě V yprodáno, no</w:t>
                        <w:softHyphen/>
                        <w:t>vou, neobyčejně zajímavou prá</w:t>
                        <w:softHyphen/>
                        <w:t>ci Olgy Scheinpflugové P ř e ž I -</w:t>
                      </w:r>
                    </w:p>
                  </w:txbxContent>
                </v:textbox>
                <w10:wrap type="square" anchorx="page"/>
              </v:shape>
            </w:pict>
          </mc:Fallback>
        </mc:AlternateContent>
      </w:r>
      <w:r>
        <w:rPr>
          <w:noProof/>
        </w:rPr>
        <mc:AlternateContent>
          <mc:Choice Requires="wps">
            <w:drawing>
              <wp:anchor distT="0" distB="679450" distL="30480" distR="0" simplePos="0" relativeHeight="125830036" behindDoc="0" locked="0" layoutInCell="1" allowOverlap="1">
                <wp:simplePos x="0" y="0"/>
                <wp:positionH relativeFrom="page">
                  <wp:posOffset>2078990</wp:posOffset>
                </wp:positionH>
                <wp:positionV relativeFrom="paragraph">
                  <wp:posOffset>12700</wp:posOffset>
                </wp:positionV>
                <wp:extent cx="3188335" cy="792480"/>
                <wp:effectExtent l="0" t="0" r="0" b="0"/>
                <wp:wrapSquare wrapText="bothSides"/>
                <wp:docPr id="659" name="Shape 659"/>
                <wp:cNvGraphicFramePr/>
                <a:graphic xmlns:a="http://schemas.openxmlformats.org/drawingml/2006/main">
                  <a:graphicData uri="http://schemas.microsoft.com/office/word/2010/wordprocessingShape">
                    <wps:wsp>
                      <wps:cNvSpPr txBox="1"/>
                      <wps:spPr>
                        <a:xfrm>
                          <a:off x="0" y="0"/>
                          <a:ext cx="3188335" cy="792480"/>
                        </a:xfrm>
                        <a:prstGeom prst="rect">
                          <a:avLst/>
                        </a:prstGeom>
                        <a:noFill/>
                      </wps:spPr>
                      <wps:txbx>
                        <w:txbxContent>
                          <w:p w:rsidR="00500724" w:rsidRDefault="00F30FB8">
                            <w:pPr>
                              <w:pStyle w:val="Zkladntext100"/>
                              <w:shd w:val="clear" w:color="auto" w:fill="auto"/>
                              <w:tabs>
                                <w:tab w:val="left" w:pos="4382"/>
                              </w:tabs>
                              <w:spacing w:line="218" w:lineRule="auto"/>
                              <w:ind w:firstLine="720"/>
                              <w:rPr>
                                <w:sz w:val="20"/>
                                <w:szCs w:val="20"/>
                              </w:rPr>
                            </w:pPr>
                            <w:r>
                              <w:rPr>
                                <w:b/>
                                <w:bCs/>
                                <w:sz w:val="19"/>
                                <w:szCs w:val="19"/>
                              </w:rPr>
                              <w:t xml:space="preserve">ŽENA O </w:t>
                            </w:r>
                            <w:r>
                              <w:rPr>
                                <w:b/>
                                <w:bCs/>
                                <w:sz w:val="19"/>
                                <w:szCs w:val="19"/>
                              </w:rPr>
                              <w:t>ŽENSKÝCH AUTORKÁCH Kdosi řekl, že žena dovede psát jenom o sobě. Myslím, že je to celkem dost správné, jestliže se tím rozumí, že žena vyjadřuje v literárním díle obyčejně takové duševní stavy, jaké sama prožila, ale to ovšem nijak neznamená, že jsou to vž</w:t>
                            </w:r>
                            <w:r>
                              <w:rPr>
                                <w:b/>
                                <w:bCs/>
                                <w:sz w:val="19"/>
                                <w:szCs w:val="19"/>
                              </w:rPr>
                              <w:t>dycky díla autobiografická.</w:t>
                            </w:r>
                            <w:r>
                              <w:rPr>
                                <w:b/>
                                <w:bCs/>
                                <w:sz w:val="19"/>
                                <w:szCs w:val="19"/>
                              </w:rPr>
                              <w:tab/>
                            </w:r>
                            <w:r>
                              <w:rPr>
                                <w:i/>
                                <w:iCs/>
                                <w:sz w:val="20"/>
                                <w:szCs w:val="20"/>
                                <w:lang w:val="en-US" w:eastAsia="en-US" w:bidi="en-US"/>
                              </w:rPr>
                              <w:t>Colette</w:t>
                            </w:r>
                          </w:p>
                        </w:txbxContent>
                      </wps:txbx>
                      <wps:bodyPr lIns="0" tIns="0" rIns="0" bIns="0">
                        <a:spAutoFit/>
                      </wps:bodyPr>
                    </wps:wsp>
                  </a:graphicData>
                </a:graphic>
              </wp:anchor>
            </w:drawing>
          </mc:Choice>
          <mc:Fallback>
            <w:pict>
              <v:shape id="_x0000_s1685" type="#_x0000_t202" style="position:absolute;margin-left:163.69999999999999pt;margin-top:1.pt;width:251.05000000000001pt;height:62.399999999999999pt;z-index:-125828717;mso-wrap-distance-left:2.3999999999999999pt;mso-wrap-distance-right:0;mso-wrap-distance-bottom:53.5pt;mso-position-horizontal-relative:page" filled="f" stroked="f">
                <v:textbox style="mso-fit-shape-to-text:t" inset="0,0,0,0">
                  <w:txbxContent>
                    <w:p>
                      <w:pPr>
                        <w:pStyle w:val="Style344"/>
                        <w:keepNext w:val="0"/>
                        <w:keepLines w:val="0"/>
                        <w:widowControl w:val="0"/>
                        <w:shd w:val="clear" w:color="auto" w:fill="auto"/>
                        <w:tabs>
                          <w:tab w:pos="4382" w:val="left"/>
                        </w:tabs>
                        <w:bidi w:val="0"/>
                        <w:spacing w:before="0" w:after="0" w:line="218" w:lineRule="auto"/>
                        <w:ind w:left="0" w:right="0" w:firstLine="720"/>
                        <w:rPr>
                          <w:sz w:val="20"/>
                          <w:szCs w:val="20"/>
                        </w:rPr>
                      </w:pPr>
                      <w:r>
                        <w:rPr>
                          <w:b/>
                          <w:bCs/>
                          <w:color w:val="000000"/>
                          <w:spacing w:val="0"/>
                          <w:w w:val="100"/>
                          <w:position w:val="0"/>
                          <w:sz w:val="19"/>
                          <w:szCs w:val="19"/>
                          <w:shd w:val="clear" w:color="auto" w:fill="auto"/>
                          <w:lang w:val="cs-CZ" w:eastAsia="cs-CZ" w:bidi="cs-CZ"/>
                        </w:rPr>
                        <w:t>ŽENA O ŽENSKÝCH AUTORKÁCH Kdosi řekl, že žena dovede psát jenom o sobě. Myslím, že je to celkem dost správné, jestliže se tím rozumí, že žena vyjadřuje v literárním díle obyčejně takové duševní stavy, jaké sama prožila, ale to ovšem nijak neznamená, že jsou to vždycky díla autobiografická.</w:t>
                        <w:tab/>
                      </w:r>
                      <w:r>
                        <w:rPr>
                          <w:i/>
                          <w:iCs/>
                          <w:color w:val="000000"/>
                          <w:spacing w:val="0"/>
                          <w:w w:val="100"/>
                          <w:position w:val="0"/>
                          <w:sz w:val="20"/>
                          <w:szCs w:val="20"/>
                          <w:shd w:val="clear" w:color="auto" w:fill="auto"/>
                          <w:lang w:val="en-US" w:eastAsia="en-US" w:bidi="en-US"/>
                        </w:rPr>
                        <w:t>Colette</w:t>
                      </w:r>
                    </w:p>
                  </w:txbxContent>
                </v:textbox>
                <w10:wrap type="square" anchorx="page"/>
              </v:shape>
            </w:pict>
          </mc:Fallback>
        </mc:AlternateContent>
      </w:r>
      <w:r>
        <w:rPr>
          <w:noProof/>
        </w:rPr>
        <mc:AlternateContent>
          <mc:Choice Requires="wps">
            <w:drawing>
              <wp:anchor distT="914400" distB="0" distL="0" distR="179705" simplePos="0" relativeHeight="125830038" behindDoc="0" locked="0" layoutInCell="1" allowOverlap="1">
                <wp:simplePos x="0" y="0"/>
                <wp:positionH relativeFrom="page">
                  <wp:posOffset>2048510</wp:posOffset>
                </wp:positionH>
                <wp:positionV relativeFrom="paragraph">
                  <wp:posOffset>927100</wp:posOffset>
                </wp:positionV>
                <wp:extent cx="3039110" cy="557530"/>
                <wp:effectExtent l="0" t="0" r="0" b="0"/>
                <wp:wrapSquare wrapText="bothSides"/>
                <wp:docPr id="661" name="Shape 661"/>
                <wp:cNvGraphicFramePr/>
                <a:graphic xmlns:a="http://schemas.openxmlformats.org/drawingml/2006/main">
                  <a:graphicData uri="http://schemas.microsoft.com/office/word/2010/wordprocessingShape">
                    <wps:wsp>
                      <wps:cNvSpPr txBox="1"/>
                      <wps:spPr>
                        <a:xfrm>
                          <a:off x="0" y="0"/>
                          <a:ext cx="3039110" cy="557530"/>
                        </a:xfrm>
                        <a:prstGeom prst="rect">
                          <a:avLst/>
                        </a:prstGeom>
                        <a:noFill/>
                      </wps:spPr>
                      <wps:txbx>
                        <w:txbxContent>
                          <w:p w:rsidR="00500724" w:rsidRDefault="00F30FB8">
                            <w:pPr>
                              <w:pStyle w:val="Zkladntext30"/>
                              <w:shd w:val="clear" w:color="auto" w:fill="auto"/>
                              <w:spacing w:after="0" w:line="312" w:lineRule="auto"/>
                              <w:ind w:firstLine="0"/>
                              <w:jc w:val="left"/>
                              <w:rPr>
                                <w:sz w:val="20"/>
                                <w:szCs w:val="20"/>
                              </w:rPr>
                            </w:pPr>
                            <w:r>
                              <w:rPr>
                                <w:i/>
                                <w:iCs/>
                                <w:sz w:val="20"/>
                                <w:szCs w:val="20"/>
                              </w:rPr>
                              <w:t>Václav C erný :</w:t>
                            </w:r>
                          </w:p>
                          <w:p w:rsidR="00500724" w:rsidRDefault="00F30FB8">
                            <w:pPr>
                              <w:pStyle w:val="Zkladntext30"/>
                              <w:shd w:val="clear" w:color="auto" w:fill="auto"/>
                              <w:spacing w:after="0" w:line="283" w:lineRule="auto"/>
                              <w:ind w:right="20" w:firstLine="0"/>
                              <w:jc w:val="center"/>
                            </w:pPr>
                            <w:r>
                              <w:rPr>
                                <w:i/>
                                <w:iCs/>
                              </w:rPr>
                              <w:t>K zamýšlenému slučování a omezování</w:t>
                            </w:r>
                            <w:r>
                              <w:rPr>
                                <w:i/>
                                <w:iCs/>
                              </w:rPr>
                              <w:br/>
                              <w:t>kulturních orgánů</w:t>
                            </w:r>
                          </w:p>
                        </w:txbxContent>
                      </wps:txbx>
                      <wps:bodyPr lIns="0" tIns="0" rIns="0" bIns="0">
                        <a:spAutoFit/>
                      </wps:bodyPr>
                    </wps:wsp>
                  </a:graphicData>
                </a:graphic>
              </wp:anchor>
            </w:drawing>
          </mc:Choice>
          <mc:Fallback>
            <w:pict>
              <v:shape id="_x0000_s1687" type="#_x0000_t202" style="position:absolute;margin-left:161.30000000000001pt;margin-top:73.pt;width:239.30000000000001pt;height:43.899999999999999pt;z-index:-125828715;mso-wrap-distance-left:0;mso-wrap-distance-top:72.pt;mso-wrap-distance-right:14.15pt;mso-position-horizontal-relative:page" filled="f" stroked="f">
                <v:textbox style="mso-fit-shape-to-text:t" inset="0,0,0,0">
                  <w:txbxContent>
                    <w:p>
                      <w:pPr>
                        <w:pStyle w:val="Style22"/>
                        <w:keepNext w:val="0"/>
                        <w:keepLines w:val="0"/>
                        <w:widowControl w:val="0"/>
                        <w:shd w:val="clear" w:color="auto" w:fill="auto"/>
                        <w:bidi w:val="0"/>
                        <w:spacing w:before="0" w:after="0" w:line="312"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Václav C erný :</w:t>
                      </w:r>
                    </w:p>
                    <w:p>
                      <w:pPr>
                        <w:pStyle w:val="Style22"/>
                        <w:keepNext w:val="0"/>
                        <w:keepLines w:val="0"/>
                        <w:widowControl w:val="0"/>
                        <w:shd w:val="clear" w:color="auto" w:fill="auto"/>
                        <w:bidi w:val="0"/>
                        <w:spacing w:before="0" w:after="0" w:line="283" w:lineRule="auto"/>
                        <w:ind w:left="0" w:right="20" w:firstLine="0"/>
                        <w:jc w:val="center"/>
                      </w:pPr>
                      <w:r>
                        <w:rPr>
                          <w:i/>
                          <w:iCs/>
                          <w:color w:val="000000"/>
                          <w:spacing w:val="0"/>
                          <w:w w:val="100"/>
                          <w:position w:val="0"/>
                          <w:shd w:val="clear" w:color="auto" w:fill="auto"/>
                          <w:lang w:val="cs-CZ" w:eastAsia="cs-CZ" w:bidi="cs-CZ"/>
                        </w:rPr>
                        <w:t>K zamýšlenému slučování a omezování</w:t>
                        <w:br/>
                        <w:t>kulturních orgánů</w:t>
                      </w:r>
                    </w:p>
                  </w:txbxContent>
                </v:textbox>
                <w10:wrap type="square" anchorx="page"/>
              </v:shape>
            </w:pict>
          </mc:Fallback>
        </mc:AlternateContent>
      </w:r>
      <w:r>
        <w:rPr>
          <w:noProof/>
        </w:rPr>
        <mc:AlternateContent>
          <mc:Choice Requires="wps">
            <w:drawing>
              <wp:anchor distT="63500" distB="0" distL="0" distR="0" simplePos="0" relativeHeight="125830040" behindDoc="0" locked="0" layoutInCell="1" allowOverlap="1">
                <wp:simplePos x="0" y="0"/>
                <wp:positionH relativeFrom="page">
                  <wp:posOffset>2045335</wp:posOffset>
                </wp:positionH>
                <wp:positionV relativeFrom="paragraph">
                  <wp:posOffset>1475105</wp:posOffset>
                </wp:positionV>
                <wp:extent cx="1615440" cy="1682750"/>
                <wp:effectExtent l="0" t="0" r="0" b="0"/>
                <wp:wrapSquare wrapText="bothSides"/>
                <wp:docPr id="663" name="Shape 663"/>
                <wp:cNvGraphicFramePr/>
                <a:graphic xmlns:a="http://schemas.openxmlformats.org/drawingml/2006/main">
                  <a:graphicData uri="http://schemas.microsoft.com/office/word/2010/wordprocessingShape">
                    <wps:wsp>
                      <wps:cNvSpPr txBox="1"/>
                      <wps:spPr>
                        <a:xfrm>
                          <a:off x="0" y="0"/>
                          <a:ext cx="1615440" cy="1682750"/>
                        </a:xfrm>
                        <a:prstGeom prst="rect">
                          <a:avLst/>
                        </a:prstGeom>
                        <a:noFill/>
                      </wps:spPr>
                      <wps:txbx>
                        <w:txbxContent>
                          <w:p w:rsidR="00500724" w:rsidRDefault="00F30FB8">
                            <w:pPr>
                              <w:pStyle w:val="Zkladntext30"/>
                              <w:shd w:val="clear" w:color="auto" w:fill="auto"/>
                              <w:spacing w:after="0" w:line="182" w:lineRule="auto"/>
                              <w:ind w:firstLine="180"/>
                              <w:rPr>
                                <w:sz w:val="20"/>
                                <w:szCs w:val="20"/>
                              </w:rPr>
                            </w:pPr>
                            <w:r>
                              <w:rPr>
                                <w:i/>
                                <w:iCs/>
                                <w:sz w:val="20"/>
                                <w:szCs w:val="20"/>
                              </w:rPr>
                              <w:t>S několika stran, neposled</w:t>
                            </w:r>
                            <w:r>
                              <w:rPr>
                                <w:i/>
                                <w:iCs/>
                                <w:sz w:val="20"/>
                                <w:szCs w:val="20"/>
                              </w:rPr>
                              <w:softHyphen/>
                              <w:t>ně také z množících se zpráv denního tisku, pronikly do naší veřejnosti zprávy, že je zamýšlena restrikce, a slučo</w:t>
                            </w:r>
                            <w:r>
                              <w:rPr>
                                <w:i/>
                                <w:iCs/>
                                <w:sz w:val="20"/>
                                <w:szCs w:val="20"/>
                              </w:rPr>
                              <w:softHyphen/>
                            </w:r>
                            <w:r>
                              <w:rPr>
                                <w:i/>
                                <w:iCs/>
                                <w:sz w:val="20"/>
                                <w:szCs w:val="20"/>
                              </w:rPr>
                              <w:t>vání obecně kulturních i úže literárních, beletristických a kritických, orgánů. Obecná významnost těchto záměrů pro duchovní život našeho národa i způsob, jímž se hod</w:t>
                            </w:r>
                            <w:r>
                              <w:rPr>
                                <w:i/>
                                <w:iCs/>
                                <w:sz w:val="20"/>
                                <w:szCs w:val="20"/>
                              </w:rPr>
                              <w:softHyphen/>
                              <w:t xml:space="preserve">lají vyjádřit, nás důtklivě nutí, abychom k nim zaujali zásadní stanovisko. Nejsme v tom </w:t>
                            </w:r>
                            <w:r>
                              <w:rPr>
                                <w:i/>
                                <w:iCs/>
                                <w:sz w:val="20"/>
                                <w:szCs w:val="20"/>
                              </w:rPr>
                              <w:t>směru ostatně první:</w:t>
                            </w:r>
                          </w:p>
                        </w:txbxContent>
                      </wps:txbx>
                      <wps:bodyPr lIns="0" tIns="0" rIns="0" bIns="0">
                        <a:spAutoFit/>
                      </wps:bodyPr>
                    </wps:wsp>
                  </a:graphicData>
                </a:graphic>
              </wp:anchor>
            </w:drawing>
          </mc:Choice>
          <mc:Fallback>
            <w:pict>
              <v:shape id="_x0000_s1689" type="#_x0000_t202" style="position:absolute;margin-left:161.05000000000001pt;margin-top:116.15000000000001pt;width:127.2pt;height:132.5pt;z-index:-125828713;mso-wrap-distance-left:0;mso-wrap-distance-top:5.pt;mso-wrap-distance-right:0;mso-position-horizontal-relative:page" filled="f" stroked="f">
                <v:textbox style="mso-fit-shape-to-text:t" inset="0,0,0,0">
                  <w:txbxContent>
                    <w:p>
                      <w:pPr>
                        <w:pStyle w:val="Style22"/>
                        <w:keepNext w:val="0"/>
                        <w:keepLines w:val="0"/>
                        <w:widowControl w:val="0"/>
                        <w:shd w:val="clear" w:color="auto" w:fill="auto"/>
                        <w:bidi w:val="0"/>
                        <w:spacing w:before="0" w:after="0" w:line="182" w:lineRule="auto"/>
                        <w:ind w:left="0" w:right="0" w:firstLine="180"/>
                        <w:rPr>
                          <w:sz w:val="20"/>
                          <w:szCs w:val="20"/>
                        </w:rPr>
                      </w:pPr>
                      <w:r>
                        <w:rPr>
                          <w:i/>
                          <w:iCs/>
                          <w:color w:val="000000"/>
                          <w:spacing w:val="0"/>
                          <w:w w:val="100"/>
                          <w:position w:val="0"/>
                          <w:sz w:val="20"/>
                          <w:szCs w:val="20"/>
                          <w:shd w:val="clear" w:color="auto" w:fill="auto"/>
                          <w:lang w:val="cs-CZ" w:eastAsia="cs-CZ" w:bidi="cs-CZ"/>
                        </w:rPr>
                        <w:t>S několika stran, neposled</w:t>
                        <w:softHyphen/>
                        <w:t>ně také z množících se zpráv denního tisku, pronikly do naší veřejnosti zprávy, že je zamýšlena restrikce, a slučo</w:t>
                        <w:softHyphen/>
                        <w:t>vání obecně kulturních i úže literárních, beletristických a kritických, orgánů. Obecná významnost těchto záměrů pro duchovní život našeho národa i způsob, jímž se hod</w:t>
                        <w:softHyphen/>
                        <w:t>lají vyjádřit, nás důtklivě nutí, abychom k nim zaujali zásadní stanovisko. Nejsme v tom směru ostatně první:</w:t>
                      </w:r>
                    </w:p>
                  </w:txbxContent>
                </v:textbox>
                <w10:wrap type="square" anchorx="page"/>
              </v:shape>
            </w:pict>
          </mc:Fallback>
        </mc:AlternateContent>
      </w:r>
    </w:p>
    <w:p w:rsidR="00500724" w:rsidRDefault="00F30FB8">
      <w:pPr>
        <w:pStyle w:val="Zkladntext30"/>
        <w:shd w:val="clear" w:color="auto" w:fill="auto"/>
        <w:spacing w:after="0" w:line="182" w:lineRule="auto"/>
        <w:ind w:firstLine="0"/>
        <w:jc w:val="left"/>
        <w:rPr>
          <w:sz w:val="20"/>
          <w:szCs w:val="20"/>
        </w:rPr>
      </w:pPr>
      <w:r>
        <w:rPr>
          <w:i/>
          <w:iCs/>
          <w:sz w:val="20"/>
          <w:szCs w:val="20"/>
        </w:rPr>
        <w:t>Bohuslav Toníček:</w:t>
      </w:r>
    </w:p>
    <w:p w:rsidR="00500724" w:rsidRDefault="00F30FB8">
      <w:pPr>
        <w:pStyle w:val="Jin0"/>
        <w:shd w:val="clear" w:color="auto" w:fill="auto"/>
        <w:spacing w:after="40" w:line="204" w:lineRule="auto"/>
        <w:ind w:firstLine="0"/>
        <w:jc w:val="center"/>
        <w:rPr>
          <w:sz w:val="26"/>
          <w:szCs w:val="26"/>
        </w:rPr>
      </w:pPr>
      <w:r>
        <w:rPr>
          <w:i/>
          <w:iCs/>
          <w:sz w:val="26"/>
          <w:szCs w:val="26"/>
        </w:rPr>
        <w:t>Mince poesie</w:t>
      </w:r>
    </w:p>
    <w:p w:rsidR="00500724" w:rsidRDefault="00F30FB8">
      <w:pPr>
        <w:pStyle w:val="Zkladntext30"/>
        <w:shd w:val="clear" w:color="auto" w:fill="auto"/>
        <w:spacing w:after="100" w:line="180" w:lineRule="auto"/>
        <w:ind w:firstLine="0"/>
        <w:jc w:val="left"/>
        <w:rPr>
          <w:sz w:val="20"/>
          <w:szCs w:val="20"/>
        </w:rPr>
      </w:pPr>
      <w:r>
        <w:rPr>
          <w:i/>
          <w:iCs/>
          <w:sz w:val="20"/>
          <w:szCs w:val="20"/>
        </w:rPr>
        <w:t>Jsou přežvýkána v ústech řeči Tak třebas vítr nebo válka Ale jaká dálka je v prvém</w:t>
      </w:r>
      <w:r>
        <w:rPr>
          <w:sz w:val="18"/>
          <w:szCs w:val="18"/>
        </w:rPr>
        <w:t xml:space="preserve"> a </w:t>
      </w:r>
      <w:r>
        <w:rPr>
          <w:i/>
          <w:iCs/>
          <w:sz w:val="20"/>
          <w:szCs w:val="20"/>
        </w:rPr>
        <w:t>nich a kolik krve v meči!</w:t>
      </w:r>
    </w:p>
    <w:p w:rsidR="00500724" w:rsidRDefault="00F30FB8">
      <w:pPr>
        <w:pStyle w:val="Zkladntext30"/>
        <w:shd w:val="clear" w:color="auto" w:fill="auto"/>
        <w:spacing w:after="160" w:line="182" w:lineRule="auto"/>
        <w:ind w:firstLine="0"/>
        <w:jc w:val="left"/>
        <w:rPr>
          <w:sz w:val="20"/>
          <w:szCs w:val="20"/>
        </w:rPr>
      </w:pPr>
      <w:r>
        <w:rPr>
          <w:i/>
          <w:iCs/>
          <w:sz w:val="20"/>
          <w:szCs w:val="20"/>
        </w:rPr>
        <w:t>Anebo hrob! Ó jak se drobí slova pod kamenem! Schovám se tam kdysi za svým jménem všecek bez</w:t>
      </w:r>
      <w:r>
        <w:rPr>
          <w:i/>
          <w:iCs/>
          <w:sz w:val="20"/>
          <w:szCs w:val="20"/>
        </w:rPr>
        <w:t xml:space="preserve"> podoby</w:t>
      </w:r>
    </w:p>
    <w:p w:rsidR="00500724" w:rsidRDefault="00F30FB8">
      <w:pPr>
        <w:pStyle w:val="Zkladntext30"/>
        <w:shd w:val="clear" w:color="auto" w:fill="auto"/>
        <w:spacing w:after="0" w:line="178" w:lineRule="auto"/>
        <w:ind w:left="1060" w:hanging="1060"/>
        <w:jc w:val="left"/>
        <w:rPr>
          <w:sz w:val="20"/>
          <w:szCs w:val="20"/>
        </w:rPr>
      </w:pPr>
      <w:r>
        <w:rPr>
          <w:i/>
          <w:iCs/>
          <w:sz w:val="20"/>
          <w:szCs w:val="20"/>
        </w:rPr>
        <w:t>Když rozlétnou se někdy včelky slov</w:t>
      </w:r>
    </w:p>
    <w:p w:rsidR="00500724" w:rsidRDefault="00F30FB8">
      <w:pPr>
        <w:pStyle w:val="Zkladntext30"/>
        <w:shd w:val="clear" w:color="auto" w:fill="auto"/>
        <w:spacing w:after="160" w:line="178" w:lineRule="auto"/>
        <w:ind w:right="1140" w:firstLine="0"/>
        <w:rPr>
          <w:sz w:val="20"/>
          <w:szCs w:val="20"/>
        </w:rPr>
      </w:pPr>
      <w:r>
        <w:rPr>
          <w:i/>
          <w:iCs/>
          <w:sz w:val="20"/>
          <w:szCs w:val="20"/>
        </w:rPr>
        <w:t>z úlu řeči rodné nikdo neuhodne jaký je to kov</w:t>
      </w:r>
    </w:p>
    <w:p w:rsidR="00500724" w:rsidRDefault="00F30FB8">
      <w:pPr>
        <w:pStyle w:val="Zkladntext30"/>
        <w:shd w:val="clear" w:color="auto" w:fill="auto"/>
        <w:spacing w:after="0" w:line="182" w:lineRule="auto"/>
        <w:ind w:firstLine="0"/>
        <w:jc w:val="center"/>
        <w:rPr>
          <w:sz w:val="20"/>
          <w:szCs w:val="20"/>
        </w:rPr>
      </w:pPr>
      <w:r>
        <w:rPr>
          <w:i/>
          <w:iCs/>
          <w:sz w:val="20"/>
          <w:szCs w:val="20"/>
        </w:rPr>
        <w:t>A přece zvoní! A tak teskně</w:t>
      </w:r>
      <w:r>
        <w:rPr>
          <w:i/>
          <w:iCs/>
          <w:sz w:val="20"/>
          <w:szCs w:val="20"/>
        </w:rPr>
        <w:br/>
        <w:t>zvoní</w:t>
      </w:r>
    </w:p>
    <w:p w:rsidR="00500724" w:rsidRDefault="00F30FB8">
      <w:pPr>
        <w:pStyle w:val="Zkladntext30"/>
        <w:shd w:val="clear" w:color="auto" w:fill="auto"/>
        <w:spacing w:after="0" w:line="182" w:lineRule="auto"/>
        <w:ind w:firstLine="0"/>
        <w:jc w:val="left"/>
        <w:rPr>
          <w:sz w:val="20"/>
          <w:szCs w:val="20"/>
        </w:rPr>
      </w:pPr>
      <w:r>
        <w:rPr>
          <w:i/>
          <w:iCs/>
          <w:sz w:val="20"/>
          <w:szCs w:val="20"/>
        </w:rPr>
        <w:t>vzácná mince třebas v jednom verši o mamince</w:t>
      </w:r>
    </w:p>
    <w:p w:rsidR="00500724" w:rsidRDefault="00F30FB8">
      <w:pPr>
        <w:pStyle w:val="Zkladntext30"/>
        <w:shd w:val="clear" w:color="auto" w:fill="auto"/>
        <w:spacing w:after="160" w:line="182" w:lineRule="auto"/>
        <w:ind w:firstLine="0"/>
        <w:jc w:val="left"/>
        <w:rPr>
          <w:sz w:val="20"/>
          <w:szCs w:val="20"/>
        </w:rPr>
      </w:pPr>
      <w:r>
        <w:rPr>
          <w:i/>
          <w:iCs/>
          <w:sz w:val="20"/>
          <w:szCs w:val="20"/>
        </w:rPr>
        <w:t>Odešla? Kdy? Ach vloni</w:t>
      </w:r>
    </w:p>
    <w:p w:rsidR="00500724" w:rsidRDefault="00F30FB8">
      <w:pPr>
        <w:pStyle w:val="Zkladntext30"/>
        <w:shd w:val="clear" w:color="auto" w:fill="auto"/>
        <w:spacing w:after="0" w:line="180" w:lineRule="auto"/>
        <w:ind w:firstLine="0"/>
        <w:rPr>
          <w:sz w:val="20"/>
          <w:szCs w:val="20"/>
        </w:rPr>
      </w:pPr>
      <w:r>
        <w:rPr>
          <w:i/>
          <w:iCs/>
          <w:sz w:val="20"/>
          <w:szCs w:val="20"/>
        </w:rPr>
        <w:t>Jsou samý šal z nich mnohá Pak chutnají jak sůl</w:t>
      </w:r>
    </w:p>
    <w:p w:rsidR="00500724" w:rsidRDefault="00F30FB8">
      <w:pPr>
        <w:pStyle w:val="Zkladntext30"/>
        <w:shd w:val="clear" w:color="auto" w:fill="auto"/>
        <w:spacing w:after="160" w:line="180" w:lineRule="auto"/>
        <w:ind w:firstLine="1080"/>
        <w:jc w:val="left"/>
        <w:rPr>
          <w:sz w:val="20"/>
          <w:szCs w:val="20"/>
        </w:rPr>
      </w:pPr>
      <w:r>
        <w:rPr>
          <w:i/>
          <w:iCs/>
          <w:sz w:val="20"/>
          <w:szCs w:val="20"/>
        </w:rPr>
        <w:t>co v pláči taje</w:t>
      </w:r>
      <w:r>
        <w:rPr>
          <w:i/>
          <w:iCs/>
          <w:sz w:val="20"/>
          <w:szCs w:val="20"/>
        </w:rPr>
        <w:t xml:space="preserve"> Ne každý ví ač každý zná je jsou sladká jenom v ústech Boha</w:t>
      </w:r>
    </w:p>
    <w:p w:rsidR="00500724" w:rsidRDefault="00F30FB8">
      <w:pPr>
        <w:pStyle w:val="Zkladntext30"/>
        <w:shd w:val="clear" w:color="auto" w:fill="auto"/>
        <w:spacing w:after="0" w:line="185" w:lineRule="auto"/>
        <w:ind w:left="1060" w:hanging="1060"/>
        <w:jc w:val="left"/>
        <w:rPr>
          <w:sz w:val="20"/>
          <w:szCs w:val="20"/>
        </w:rPr>
      </w:pPr>
      <w:r>
        <w:rPr>
          <w:i/>
          <w:iCs/>
          <w:sz w:val="20"/>
          <w:szCs w:val="20"/>
        </w:rPr>
        <w:t>Tak střádá básník mince Poesie</w:t>
      </w:r>
    </w:p>
    <w:p w:rsidR="00500724" w:rsidRDefault="00F30FB8">
      <w:pPr>
        <w:pStyle w:val="Zkladntext30"/>
        <w:shd w:val="clear" w:color="auto" w:fill="auto"/>
        <w:spacing w:after="100" w:line="185" w:lineRule="auto"/>
        <w:ind w:firstLine="0"/>
        <w:jc w:val="left"/>
        <w:rPr>
          <w:sz w:val="20"/>
          <w:szCs w:val="20"/>
        </w:rPr>
      </w:pPr>
      <w:r>
        <w:rPr>
          <w:i/>
          <w:iCs/>
          <w:sz w:val="20"/>
          <w:szCs w:val="20"/>
        </w:rPr>
        <w:t>Nakonec lije z toho kovu smrt věčnost básníkovu Tak střádá básník mince Poesie</w:t>
      </w:r>
    </w:p>
    <w:p w:rsidR="00500724" w:rsidRDefault="00F30FB8">
      <w:pPr>
        <w:pStyle w:val="Zkladntext100"/>
        <w:shd w:val="clear" w:color="auto" w:fill="auto"/>
        <w:spacing w:after="180" w:line="166" w:lineRule="auto"/>
        <w:ind w:left="500" w:firstLine="0"/>
      </w:pPr>
      <w:r>
        <w:rPr>
          <w:sz w:val="15"/>
          <w:szCs w:val="15"/>
        </w:rPr>
        <w:t xml:space="preserve">Z Kritického měslCniku, </w:t>
      </w:r>
      <w:r>
        <w:t>jehož dvojčíslo 5—6 právě vyšlo.</w:t>
      </w:r>
    </w:p>
    <w:p w:rsidR="00500724" w:rsidRDefault="00F30FB8">
      <w:pPr>
        <w:pStyle w:val="Nadpis120"/>
        <w:shd w:val="clear" w:color="auto" w:fill="auto"/>
        <w:spacing w:after="40" w:line="166" w:lineRule="auto"/>
        <w:ind w:left="0"/>
      </w:pPr>
      <w:bookmarkStart w:id="658" w:name="bookmark657"/>
      <w:r>
        <w:rPr>
          <w:rFonts w:ascii="Arial" w:eastAsia="Arial" w:hAnsi="Arial" w:cs="Arial"/>
        </w:rPr>
        <w:t>NOVÉ KNIHY</w:t>
      </w:r>
      <w:bookmarkEnd w:id="658"/>
    </w:p>
    <w:p w:rsidR="00500724" w:rsidRDefault="00F30FB8">
      <w:pPr>
        <w:pStyle w:val="Zkladntext40"/>
        <w:shd w:val="clear" w:color="auto" w:fill="auto"/>
        <w:spacing w:after="40" w:line="185" w:lineRule="auto"/>
      </w:pPr>
      <w:r>
        <w:rPr>
          <w:b/>
          <w:bCs/>
          <w:sz w:val="16"/>
          <w:szCs w:val="16"/>
        </w:rPr>
        <w:t xml:space="preserve">Úspěch Čapkovy nové knihy </w:t>
      </w:r>
      <w:r>
        <w:t>Nová kniha z pozůstalosti Karla Čapka Měl jsem psa a koč</w:t>
      </w:r>
      <w:r>
        <w:softHyphen/>
        <w:t>ku, v níž zesnulý básník, autor rozmarného Zahradníkova roku, se nezapomenutelně vyzpovídal ze všech svých trampot, starostí a radosti, Jež zakusil a zažil jako chovatel psů</w:t>
      </w:r>
      <w:r>
        <w:t xml:space="preserve"> a koček 1 přítel této roztodivné čeledi, došla u čtená</w:t>
      </w:r>
      <w:r>
        <w:softHyphen/>
        <w:t>řů velké obliby. Její prvé vydá</w:t>
      </w:r>
      <w:r>
        <w:softHyphen/>
        <w:t>ni bylo během 10 dnů rozebráno a v těchto dnech se octlo na knihkupeckém trhu vydání dru</w:t>
      </w:r>
      <w:r>
        <w:softHyphen/>
        <w:t>hé. Nepochybně, že tyto causerie Karla Čapka o psím i kočičím pronárodě — cause</w:t>
      </w:r>
      <w:r>
        <w:t>rie stejně zá</w:t>
      </w:r>
      <w:r>
        <w:softHyphen/>
        <w:t>bavné, poutavé i rozmarné jako zas poučné a zajímavé — budou iako nezapomenutelný Zahradní</w:t>
      </w:r>
      <w:r>
        <w:softHyphen/>
        <w:t>kův rok jednou z nejčtenějšich knih Karla Čapka. Cena svazku, bohatě ilustrovaného veselými obrázky, Jednak autorovými, jed</w:t>
      </w:r>
      <w:r>
        <w:softHyphen/>
        <w:t>nak jeho bratra malíře Jose</w:t>
      </w:r>
      <w:r>
        <w:t>ía, je 20 K.</w:t>
      </w:r>
    </w:p>
    <w:p w:rsidR="00500724" w:rsidRDefault="00F30FB8">
      <w:pPr>
        <w:pStyle w:val="Zkladntext40"/>
        <w:shd w:val="clear" w:color="auto" w:fill="auto"/>
        <w:spacing w:after="100" w:line="192" w:lineRule="auto"/>
      </w:pPr>
      <w:r>
        <w:rPr>
          <w:b/>
          <w:bCs/>
          <w:sz w:val="16"/>
          <w:szCs w:val="16"/>
        </w:rPr>
        <w:t xml:space="preserve">Nové číslo Vědy a života </w:t>
      </w:r>
      <w:r>
        <w:t>Nové, 10. číslo Vědy a života, je uvedeno cennou statí Vladimíra Ulehly, nazvanou Věda v malém národě, vyznívající povzbudivě</w:t>
      </w:r>
    </w:p>
    <w:p w:rsidR="00500724" w:rsidRDefault="00F30FB8">
      <w:pPr>
        <w:spacing w:line="1" w:lineRule="exact"/>
        <w:rPr>
          <w:sz w:val="2"/>
          <w:szCs w:val="2"/>
        </w:rPr>
      </w:pPr>
      <w:r>
        <w:br w:type="column"/>
      </w:r>
    </w:p>
    <w:p w:rsidR="00500724" w:rsidRDefault="00F30FB8">
      <w:pPr>
        <w:pStyle w:val="Zkladntext30"/>
        <w:shd w:val="clear" w:color="auto" w:fill="auto"/>
        <w:spacing w:after="120" w:line="182" w:lineRule="auto"/>
        <w:ind w:firstLine="0"/>
        <w:rPr>
          <w:sz w:val="20"/>
          <w:szCs w:val="20"/>
        </w:rPr>
      </w:pPr>
      <w:r>
        <w:rPr>
          <w:i/>
          <w:iCs/>
          <w:sz w:val="20"/>
          <w:szCs w:val="20"/>
        </w:rPr>
        <w:t>již 15. května t. r. v úvodním sloupku Literárního pondělí Lidových Novin varoval Ar</w:t>
      </w:r>
      <w:r>
        <w:rPr>
          <w:i/>
          <w:iCs/>
          <w:sz w:val="20"/>
          <w:szCs w:val="20"/>
        </w:rPr>
        <w:softHyphen/>
        <w:t xml:space="preserve">ne </w:t>
      </w:r>
      <w:r>
        <w:rPr>
          <w:i/>
          <w:iCs/>
          <w:sz w:val="20"/>
          <w:szCs w:val="20"/>
        </w:rPr>
        <w:t>Novák před tím, aby byly z politického soustředění ná</w:t>
      </w:r>
      <w:r>
        <w:rPr>
          <w:i/>
          <w:iCs/>
          <w:sz w:val="20"/>
          <w:szCs w:val="20"/>
        </w:rPr>
        <w:softHyphen/>
        <w:t>rodního vyvozovány mecha</w:t>
      </w:r>
      <w:r>
        <w:rPr>
          <w:i/>
          <w:iCs/>
          <w:sz w:val="20"/>
          <w:szCs w:val="20"/>
        </w:rPr>
        <w:softHyphen/>
        <w:t>nické obdoby a důsledky pro náš život kulturní a pouka</w:t>
      </w:r>
      <w:r>
        <w:rPr>
          <w:i/>
          <w:iCs/>
          <w:sz w:val="20"/>
          <w:szCs w:val="20"/>
        </w:rPr>
        <w:softHyphen/>
        <w:t>zuje správně, že národní vzdělanost je podmíněna svo</w:t>
      </w:r>
      <w:r>
        <w:rPr>
          <w:i/>
          <w:iCs/>
          <w:sz w:val="20"/>
          <w:szCs w:val="20"/>
        </w:rPr>
        <w:softHyphen/>
        <w:t>bodnou soutěží, stálou vý</w:t>
      </w:r>
      <w:r>
        <w:rPr>
          <w:i/>
          <w:iCs/>
          <w:sz w:val="20"/>
          <w:szCs w:val="20"/>
        </w:rPr>
        <w:softHyphen/>
        <w:t>měnou názorů a jejich vol</w:t>
      </w:r>
      <w:r>
        <w:rPr>
          <w:i/>
          <w:iCs/>
          <w:sz w:val="20"/>
          <w:szCs w:val="20"/>
        </w:rPr>
        <w:softHyphen/>
        <w:t>nou kritikou, odm</w:t>
      </w:r>
      <w:r>
        <w:rPr>
          <w:i/>
          <w:iCs/>
          <w:sz w:val="20"/>
          <w:szCs w:val="20"/>
        </w:rPr>
        <w:t>ítl autori</w:t>
      </w:r>
      <w:r>
        <w:rPr>
          <w:i/>
          <w:iCs/>
          <w:sz w:val="20"/>
          <w:szCs w:val="20"/>
        </w:rPr>
        <w:softHyphen/>
        <w:t>tativní usměrňování veškeré</w:t>
      </w:r>
      <w:r>
        <w:rPr>
          <w:i/>
          <w:iCs/>
          <w:sz w:val="20"/>
          <w:szCs w:val="20"/>
        </w:rPr>
        <w:softHyphen/>
        <w:t>ho našeho kulturního časo-</w:t>
      </w:r>
    </w:p>
    <w:p w:rsidR="00500724" w:rsidRDefault="00F30FB8">
      <w:pPr>
        <w:pStyle w:val="Zkladntext40"/>
        <w:shd w:val="clear" w:color="auto" w:fill="auto"/>
        <w:spacing w:after="0" w:line="182" w:lineRule="auto"/>
      </w:pPr>
      <w:r>
        <w:t>t á smrt, poslední román a vlastně uměleckou závět zesnu</w:t>
      </w:r>
      <w:r>
        <w:softHyphen/>
        <w:t>lého Karla Čapka Život a dí</w:t>
      </w:r>
      <w:r>
        <w:softHyphen/>
        <w:t>lo skladatele Foltýna a konečně zmíněnou již knihu Va</w:t>
      </w:r>
      <w:r>
        <w:softHyphen/>
        <w:t>lentovu, vidíme, že odběratelé KLN získali letos se</w:t>
      </w:r>
      <w:r>
        <w:t>dm hodnot</w:t>
      </w:r>
      <w:r>
        <w:softHyphen/>
        <w:t>ných původních děl od nejlep</w:t>
      </w:r>
      <w:r>
        <w:softHyphen/>
        <w:t>ších naších autorů. V době, která vrací původní knize iejí původ</w:t>
      </w:r>
      <w:r>
        <w:softHyphen/>
        <w:t>ní velký úkol a činí z ní nejdů</w:t>
      </w:r>
      <w:r>
        <w:softHyphen/>
        <w:t>věrnějšího mluvčího tužeb české</w:t>
      </w:r>
      <w:r>
        <w:softHyphen/>
        <w:t>ho národa, utvrzovatele jeho duchovní jednoty, strážce i roz- množovatele jeho duchovníc</w:t>
      </w:r>
      <w:r>
        <w:t>h po</w:t>
      </w:r>
      <w:r>
        <w:softHyphen/>
        <w:t>kladu a živný chléb duše našeho lidu, vyniká více než kdy jindy záslužná práce, kterou koná KLN, věnujíc pozornost výhrad</w:t>
      </w:r>
      <w:r>
        <w:softHyphen/>
        <w:t>ně české původní tvorbě romá</w:t>
      </w:r>
      <w:r>
        <w:softHyphen/>
        <w:t>nové. Jména autorů. Jak jsme Je uvedli, jsou nejlepší zárukou hod</w:t>
      </w:r>
      <w:r>
        <w:softHyphen/>
        <w:t>noty jednotlivých děl třetího roč</w:t>
      </w:r>
      <w:r>
        <w:softHyphen/>
      </w:r>
      <w:r>
        <w:t>níku Knihovny a práce samé pak svou dějovou plností, obsahovou závažností a uměleckou dokona</w:t>
      </w:r>
      <w:r>
        <w:softHyphen/>
        <w:t>lostí dosvědčují, že odběratelé získali opravdu to nejlepší, co se v současné době urodilo na poli české beletrie. Tyto knihy, tiš</w:t>
      </w:r>
      <w:r>
        <w:softHyphen/>
        <w:t>těné na dobrém, trvanlivém pa</w:t>
      </w:r>
      <w:r>
        <w:softHyphen/>
        <w:t>pí</w:t>
      </w:r>
      <w:r>
        <w:t>ře a vzorně upravené, získávají odběratelé za peníz mimořádně levný. Tim víc vynikne průkop</w:t>
      </w:r>
      <w:r>
        <w:softHyphen/>
        <w:t xml:space="preserve">nická a záslužná činnost KLN, která tak dobré původní knize českého spisovatele umožňuje </w:t>
      </w:r>
      <w:r>
        <w:rPr>
          <w:lang w:val="en-US" w:eastAsia="en-US" w:bidi="en-US"/>
        </w:rPr>
        <w:t>pro</w:t>
      </w:r>
      <w:r>
        <w:rPr>
          <w:lang w:val="en-US" w:eastAsia="en-US" w:bidi="en-US"/>
        </w:rPr>
        <w:softHyphen/>
        <w:t xml:space="preserve">niknouti </w:t>
      </w:r>
      <w:r>
        <w:t>do nejšlrších vrstev čte</w:t>
      </w:r>
      <w:r>
        <w:softHyphen/>
        <w:t>nářských v nebývalých nákla</w:t>
      </w:r>
      <w:r>
        <w:softHyphen/>
        <w:t>dech. kor</w:t>
      </w:r>
      <w:r>
        <w:t>unujíc úspěchem i do</w:t>
      </w:r>
      <w:r>
        <w:softHyphen/>
        <w:t>sud nedoceněnou práci českého autora, který tak sklízí zaslou</w:t>
      </w:r>
      <w:r>
        <w:softHyphen/>
        <w:t>žené ovoce svého úsilí. Věříme proto, že po prázdninách, kdy bude zahájen nový. Již čtvrtý I ročník KLN, pro který má re</w:t>
      </w:r>
      <w:r>
        <w:softHyphen/>
        <w:t>dakce již připravenu řadu hod</w:t>
      </w:r>
      <w:r>
        <w:softHyphen/>
        <w:t xml:space="preserve">notných původních děl </w:t>
      </w:r>
      <w:r>
        <w:t>románo</w:t>
      </w:r>
      <w:r>
        <w:softHyphen/>
        <w:t>vých, se knihovna shledá nejen s nezmenšenou desetitisícovou obcí svých čtenářů, nýbrž, že uvítá mezi nimi 1 jejich přátele a všecky ty, kteří v české knize vidi živý pramen národní nadě</w:t>
      </w:r>
      <w:r>
        <w:softHyphen/>
        <w:t>je a zdroj ryzího i pravého češ</w:t>
      </w:r>
      <w:r>
        <w:softHyphen/>
        <w:t>ství.</w:t>
      </w:r>
    </w:p>
    <w:p w:rsidR="00500724" w:rsidRDefault="00F30FB8">
      <w:pPr>
        <w:spacing w:line="1" w:lineRule="exact"/>
        <w:rPr>
          <w:sz w:val="2"/>
          <w:szCs w:val="2"/>
        </w:rPr>
      </w:pPr>
      <w:r>
        <w:br w:type="column"/>
      </w:r>
    </w:p>
    <w:p w:rsidR="00500724" w:rsidRDefault="00F30FB8">
      <w:pPr>
        <w:pStyle w:val="Zkladntext30"/>
        <w:shd w:val="clear" w:color="auto" w:fill="auto"/>
        <w:spacing w:line="182" w:lineRule="auto"/>
        <w:ind w:firstLine="0"/>
        <w:rPr>
          <w:sz w:val="20"/>
          <w:szCs w:val="20"/>
        </w:rPr>
      </w:pPr>
      <w:r>
        <w:rPr>
          <w:i/>
          <w:iCs/>
          <w:sz w:val="20"/>
          <w:szCs w:val="20"/>
        </w:rPr>
        <w:t>pisectva, beletristick</w:t>
      </w:r>
      <w:r>
        <w:rPr>
          <w:i/>
          <w:iCs/>
          <w:sz w:val="20"/>
          <w:szCs w:val="20"/>
        </w:rPr>
        <w:t>ého i kri</w:t>
      </w:r>
      <w:r>
        <w:rPr>
          <w:i/>
          <w:iCs/>
          <w:sz w:val="20"/>
          <w:szCs w:val="20"/>
        </w:rPr>
        <w:softHyphen/>
        <w:t>tického, uměleckého i vědec</w:t>
      </w:r>
      <w:r>
        <w:rPr>
          <w:i/>
          <w:iCs/>
          <w:sz w:val="20"/>
          <w:szCs w:val="20"/>
        </w:rPr>
        <w:softHyphen/>
        <w:t>kého. -»Lidé — pravil závě</w:t>
      </w:r>
      <w:r>
        <w:rPr>
          <w:i/>
          <w:iCs/>
          <w:sz w:val="20"/>
          <w:szCs w:val="20"/>
        </w:rPr>
        <w:softHyphen/>
        <w:t>rem —, dobře si vědomí své</w:t>
      </w:r>
      <w:r>
        <w:rPr>
          <w:i/>
          <w:iCs/>
          <w:sz w:val="20"/>
          <w:szCs w:val="20"/>
        </w:rPr>
        <w:softHyphen/>
        <w:t>ho vzdělanostního a tím ná</w:t>
      </w:r>
      <w:r>
        <w:rPr>
          <w:i/>
          <w:iCs/>
          <w:sz w:val="20"/>
          <w:szCs w:val="20"/>
        </w:rPr>
        <w:softHyphen/>
        <w:t>rodního poslání, nedají se za- strašiti .pořadateli’ a tak to dělává moudrý občan se samo</w:t>
      </w:r>
      <w:r>
        <w:rPr>
          <w:i/>
          <w:iCs/>
          <w:sz w:val="20"/>
          <w:szCs w:val="20"/>
        </w:rPr>
        <w:softHyphen/>
        <w:t>zvanými .pořadateli’ politický</w:t>
      </w:r>
      <w:r>
        <w:rPr>
          <w:i/>
          <w:iCs/>
          <w:sz w:val="20"/>
          <w:szCs w:val="20"/>
        </w:rPr>
        <w:softHyphen/>
        <w:t xml:space="preserve">mi, vyžádají si </w:t>
      </w:r>
      <w:r>
        <w:rPr>
          <w:i/>
          <w:iCs/>
          <w:sz w:val="20"/>
          <w:szCs w:val="20"/>
        </w:rPr>
        <w:t>též od .pořa</w:t>
      </w:r>
      <w:r>
        <w:rPr>
          <w:i/>
          <w:iCs/>
          <w:sz w:val="20"/>
          <w:szCs w:val="20"/>
        </w:rPr>
        <w:softHyphen/>
        <w:t>datelů’ kulturních především — legitimaci.^ O den později otiskl deník Národní Práce ve své kulturní hlídce vý</w:t>
      </w:r>
      <w:r>
        <w:rPr>
          <w:i/>
          <w:iCs/>
          <w:sz w:val="20"/>
          <w:szCs w:val="20"/>
        </w:rPr>
        <w:softHyphen/>
        <w:t>značná místa Novákova pro</w:t>
      </w:r>
      <w:r>
        <w:rPr>
          <w:i/>
          <w:iCs/>
          <w:sz w:val="20"/>
          <w:szCs w:val="20"/>
        </w:rPr>
        <w:softHyphen/>
        <w:t>jevu, za nějž se postavil. K restrikčním úmyslům v kul</w:t>
      </w:r>
      <w:r>
        <w:rPr>
          <w:i/>
          <w:iCs/>
          <w:sz w:val="20"/>
          <w:szCs w:val="20"/>
        </w:rPr>
        <w:softHyphen/>
        <w:t xml:space="preserve">tuře, zvláště v literárním ča- sopisectví, zaujala </w:t>
      </w:r>
      <w:r>
        <w:rPr>
          <w:i/>
          <w:iCs/>
          <w:sz w:val="20"/>
          <w:szCs w:val="20"/>
        </w:rPr>
        <w:t>pak odmí</w:t>
      </w:r>
      <w:r>
        <w:rPr>
          <w:i/>
          <w:iCs/>
          <w:sz w:val="20"/>
          <w:szCs w:val="20"/>
        </w:rPr>
        <w:softHyphen/>
        <w:t>tavé stanovisko ve sloupcích Národního Středu i Růžena Vacková.</w:t>
      </w:r>
    </w:p>
    <w:p w:rsidR="00500724" w:rsidRDefault="00F30FB8">
      <w:pPr>
        <w:pStyle w:val="Zkladntext30"/>
        <w:shd w:val="clear" w:color="auto" w:fill="auto"/>
        <w:spacing w:line="180" w:lineRule="auto"/>
        <w:ind w:firstLine="240"/>
        <w:rPr>
          <w:sz w:val="20"/>
          <w:szCs w:val="20"/>
        </w:rPr>
      </w:pPr>
      <w:r>
        <w:rPr>
          <w:i/>
          <w:iCs/>
          <w:sz w:val="20"/>
          <w:szCs w:val="20"/>
        </w:rPr>
        <w:t>Nemíníme popírat význam autoritativního pořádání po</w:t>
      </w:r>
      <w:r>
        <w:rPr>
          <w:i/>
          <w:iCs/>
          <w:sz w:val="20"/>
          <w:szCs w:val="20"/>
        </w:rPr>
        <w:softHyphen/>
        <w:t>měrů a sjednocovacích zása</w:t>
      </w:r>
      <w:r>
        <w:rPr>
          <w:i/>
          <w:iCs/>
          <w:sz w:val="20"/>
          <w:szCs w:val="20"/>
        </w:rPr>
        <w:softHyphen/>
        <w:t>hů v životě politickém a hos</w:t>
      </w:r>
      <w:r>
        <w:rPr>
          <w:i/>
          <w:iCs/>
          <w:sz w:val="20"/>
          <w:szCs w:val="20"/>
        </w:rPr>
        <w:softHyphen/>
        <w:t>podářském: tam koncentrace činnosti může vskutku zna</w:t>
      </w:r>
      <w:r>
        <w:rPr>
          <w:i/>
          <w:iCs/>
          <w:sz w:val="20"/>
          <w:szCs w:val="20"/>
        </w:rPr>
        <w:softHyphen/>
        <w:t>menati i její účelné z</w:t>
      </w:r>
      <w:r>
        <w:rPr>
          <w:i/>
          <w:iCs/>
          <w:sz w:val="20"/>
          <w:szCs w:val="20"/>
        </w:rPr>
        <w:t>jedno</w:t>
      </w:r>
      <w:r>
        <w:rPr>
          <w:i/>
          <w:iCs/>
          <w:sz w:val="20"/>
          <w:szCs w:val="20"/>
        </w:rPr>
        <w:softHyphen/>
        <w:t>dušení a zintensivnění. Ani v tomto oboru nelze však za- sahovati neorganicky a dluž</w:t>
      </w:r>
      <w:r>
        <w:rPr>
          <w:i/>
          <w:iCs/>
          <w:sz w:val="20"/>
          <w:szCs w:val="20"/>
        </w:rPr>
        <w:softHyphen/>
        <w:t>no přihlížeti k autonomii slo</w:t>
      </w:r>
      <w:r>
        <w:rPr>
          <w:i/>
          <w:iCs/>
          <w:sz w:val="20"/>
          <w:szCs w:val="20"/>
        </w:rPr>
        <w:softHyphen/>
        <w:t>žek a odvětví, brát v počet jejich vývojovou logiku a ne</w:t>
      </w:r>
      <w:r>
        <w:rPr>
          <w:i/>
          <w:iCs/>
          <w:sz w:val="20"/>
          <w:szCs w:val="20"/>
        </w:rPr>
        <w:softHyphen/>
        <w:t>rušit svémocně a bez ohledu na škody útvary, jež doká</w:t>
      </w:r>
      <w:r>
        <w:rPr>
          <w:i/>
          <w:iCs/>
          <w:sz w:val="20"/>
          <w:szCs w:val="20"/>
        </w:rPr>
        <w:softHyphen/>
        <w:t>zaly svou životaschopnos</w:t>
      </w:r>
      <w:r>
        <w:rPr>
          <w:i/>
          <w:iCs/>
          <w:sz w:val="20"/>
          <w:szCs w:val="20"/>
        </w:rPr>
        <w:t>t a tudíž existenční oprávnění. Oč opatrněji a šetrněji dluž</w:t>
      </w:r>
      <w:r>
        <w:rPr>
          <w:i/>
          <w:iCs/>
          <w:sz w:val="20"/>
          <w:szCs w:val="20"/>
        </w:rPr>
        <w:softHyphen/>
        <w:t>no pak postupovat v životě duchovním! Co se snad osvěd</w:t>
      </w:r>
      <w:r>
        <w:rPr>
          <w:i/>
          <w:iCs/>
          <w:sz w:val="20"/>
          <w:szCs w:val="20"/>
        </w:rPr>
        <w:softHyphen/>
        <w:t>čí onde, může, ba někdy musí vésti zde k nenahraditelným škodám.</w:t>
      </w:r>
    </w:p>
    <w:p w:rsidR="00500724" w:rsidRDefault="00F30FB8">
      <w:pPr>
        <w:pStyle w:val="Zkladntext30"/>
        <w:shd w:val="clear" w:color="auto" w:fill="auto"/>
        <w:spacing w:line="182" w:lineRule="auto"/>
        <w:ind w:firstLine="240"/>
        <w:rPr>
          <w:sz w:val="20"/>
          <w:szCs w:val="20"/>
        </w:rPr>
        <w:sectPr w:rsidR="00500724">
          <w:footnotePr>
            <w:numFmt w:val="chicago"/>
            <w:numRestart w:val="eachPage"/>
          </w:footnotePr>
          <w:type w:val="continuous"/>
          <w:pgSz w:w="11909" w:h="16834"/>
          <w:pgMar w:top="591" w:right="988" w:bottom="591" w:left="586" w:header="0" w:footer="3" w:gutter="0"/>
          <w:cols w:num="3" w:sep="1" w:space="720" w:equalWidth="0">
            <w:col w:w="2535" w:space="2630"/>
            <w:col w:w="2535" w:space="100"/>
            <w:col w:w="2535"/>
          </w:cols>
          <w:noEndnote/>
          <w:docGrid w:linePitch="360"/>
        </w:sectPr>
      </w:pPr>
      <w:r>
        <w:rPr>
          <w:i/>
          <w:iCs/>
          <w:sz w:val="20"/>
          <w:szCs w:val="20"/>
        </w:rPr>
        <w:t xml:space="preserve">Všeobecně vzato, kultura je </w:t>
      </w:r>
      <w:r>
        <w:rPr>
          <w:i/>
          <w:iCs/>
          <w:sz w:val="20"/>
          <w:szCs w:val="20"/>
        </w:rPr>
        <w:t>dnes jediným polem, kde si národ může zachovati svébyt</w:t>
      </w:r>
      <w:r>
        <w:rPr>
          <w:i/>
          <w:iCs/>
          <w:sz w:val="20"/>
          <w:szCs w:val="20"/>
        </w:rPr>
        <w:softHyphen/>
        <w:t>nost i metody, které si vy</w:t>
      </w:r>
      <w:r>
        <w:rPr>
          <w:i/>
          <w:iCs/>
          <w:sz w:val="20"/>
          <w:szCs w:val="20"/>
        </w:rPr>
        <w:softHyphen/>
        <w:t>tvořil v dobách, kdy si veš</w:t>
      </w:r>
      <w:r>
        <w:rPr>
          <w:i/>
          <w:iCs/>
          <w:sz w:val="20"/>
          <w:szCs w:val="20"/>
        </w:rPr>
        <w:softHyphen/>
        <w:t>keré formy svého života vy</w:t>
      </w:r>
      <w:r>
        <w:rPr>
          <w:i/>
          <w:iCs/>
          <w:sz w:val="20"/>
          <w:szCs w:val="20"/>
        </w:rPr>
        <w:softHyphen/>
        <w:t>tvářel po svém a ze svého. Kulturní svébytnost a auto</w:t>
      </w:r>
      <w:r>
        <w:rPr>
          <w:i/>
          <w:iCs/>
          <w:sz w:val="20"/>
          <w:szCs w:val="20"/>
        </w:rPr>
        <w:softHyphen/>
        <w:t>nomie jsou českému národu dokonce zaručeny statutem Cech a Moravy</w:t>
      </w:r>
      <w:r>
        <w:rPr>
          <w:i/>
          <w:iCs/>
          <w:sz w:val="20"/>
          <w:szCs w:val="20"/>
        </w:rPr>
        <w:t>, zřízeným Ří</w:t>
      </w:r>
      <w:r>
        <w:rPr>
          <w:i/>
          <w:iCs/>
          <w:sz w:val="20"/>
          <w:szCs w:val="20"/>
        </w:rPr>
        <w:softHyphen/>
        <w:t>ší, a marně se ohlížíme po důvodech, pro něž by se jich vzdával sám nebo je sám rušil. U národa malého po</w:t>
      </w:r>
      <w:r>
        <w:rPr>
          <w:i/>
          <w:iCs/>
          <w:sz w:val="20"/>
          <w:szCs w:val="20"/>
        </w:rPr>
        <w:softHyphen/>
        <w:t>čtem je kultura vždy hlav</w:t>
      </w:r>
      <w:r>
        <w:rPr>
          <w:i/>
          <w:iCs/>
          <w:sz w:val="20"/>
          <w:szCs w:val="20"/>
        </w:rPr>
        <w:softHyphen/>
        <w:t>ním a nejpodstatnějším pro</w:t>
      </w:r>
      <w:r>
        <w:rPr>
          <w:i/>
          <w:iCs/>
          <w:sz w:val="20"/>
          <w:szCs w:val="20"/>
        </w:rPr>
        <w:softHyphen/>
        <w:t>jevem národní existence; v dnešní naší situaci politicky omezené bude to o národě č</w:t>
      </w:r>
      <w:r>
        <w:rPr>
          <w:i/>
          <w:iCs/>
          <w:sz w:val="20"/>
          <w:szCs w:val="20"/>
        </w:rPr>
        <w:t>eském platit při nejmenším dvojnásob, a stačí se jen má</w:t>
      </w:r>
      <w:r>
        <w:rPr>
          <w:i/>
          <w:iCs/>
          <w:sz w:val="20"/>
          <w:szCs w:val="20"/>
        </w:rPr>
        <w:softHyphen/>
        <w:t>lo rozhlédnout a vzpomenout na příklad hromadné lidové účasti na pohřbu Karla Hyn</w:t>
      </w:r>
      <w:r>
        <w:rPr>
          <w:i/>
          <w:iCs/>
          <w:sz w:val="20"/>
          <w:szCs w:val="20"/>
        </w:rPr>
        <w:softHyphen/>
        <w:t>ka Máchy, aby vysvitlo, že</w:t>
      </w:r>
    </w:p>
    <w:p w:rsidR="00500724" w:rsidRDefault="00F30FB8">
      <w:pPr>
        <w:pStyle w:val="Zkladntext30"/>
        <w:shd w:val="clear" w:color="auto" w:fill="auto"/>
        <w:spacing w:after="0" w:line="185" w:lineRule="auto"/>
        <w:ind w:firstLine="0"/>
        <w:rPr>
          <w:sz w:val="20"/>
          <w:szCs w:val="20"/>
        </w:rPr>
      </w:pPr>
      <w:r>
        <w:rPr>
          <w:i/>
          <w:iCs/>
          <w:sz w:val="20"/>
          <w:szCs w:val="20"/>
        </w:rPr>
        <w:t>se národ odvrací od politiky k svému dědictví duchovní</w:t>
      </w:r>
      <w:r>
        <w:rPr>
          <w:i/>
          <w:iCs/>
          <w:sz w:val="20"/>
          <w:szCs w:val="20"/>
        </w:rPr>
        <w:softHyphen/>
        <w:t>mu, veden doslova pudem se- bezáchov</w:t>
      </w:r>
      <w:r>
        <w:rPr>
          <w:i/>
          <w:iCs/>
          <w:sz w:val="20"/>
          <w:szCs w:val="20"/>
        </w:rPr>
        <w:t>ným, a Se zjednodu</w:t>
      </w:r>
      <w:r>
        <w:rPr>
          <w:i/>
          <w:iCs/>
          <w:sz w:val="20"/>
          <w:szCs w:val="20"/>
        </w:rPr>
        <w:softHyphen/>
        <w:t>šující, to jest redukující a ochuzující intervence v kul</w:t>
      </w:r>
      <w:r>
        <w:rPr>
          <w:i/>
          <w:iCs/>
          <w:sz w:val="20"/>
          <w:szCs w:val="20"/>
        </w:rPr>
        <w:softHyphen/>
        <w:t>tuře může přinésti jen ško</w:t>
      </w:r>
      <w:r>
        <w:rPr>
          <w:i/>
          <w:iCs/>
          <w:sz w:val="20"/>
          <w:szCs w:val="20"/>
        </w:rPr>
        <w:softHyphen/>
        <w:t>dy. Je nemyslitelné, Se by národní zájem žádal, aby ná</w:t>
      </w:r>
      <w:r>
        <w:rPr>
          <w:i/>
          <w:iCs/>
          <w:sz w:val="20"/>
          <w:szCs w:val="20"/>
        </w:rPr>
        <w:softHyphen/>
        <w:t>rod sám restringoval bohat</w:t>
      </w:r>
      <w:r>
        <w:rPr>
          <w:i/>
          <w:iCs/>
          <w:sz w:val="20"/>
          <w:szCs w:val="20"/>
        </w:rPr>
        <w:softHyphen/>
        <w:t>ství svého kulturního života. A kdo si bude troufat tvrdit, Se taková r</w:t>
      </w:r>
      <w:r>
        <w:rPr>
          <w:i/>
          <w:iCs/>
          <w:sz w:val="20"/>
          <w:szCs w:val="20"/>
        </w:rPr>
        <w:t>estrikce je cestou k jednotě duchovního života národního? K té se, tušíme, dochází nejspolehlivěji ne vnějšími zásahy, ale proce</w:t>
      </w:r>
      <w:r>
        <w:rPr>
          <w:i/>
          <w:iCs/>
          <w:sz w:val="20"/>
          <w:szCs w:val="20"/>
        </w:rPr>
        <w:softHyphen/>
        <w:t>sem vnitřním, duchovním, při ěemž ideové závodění a zá</w:t>
      </w:r>
      <w:r>
        <w:rPr>
          <w:i/>
          <w:iCs/>
          <w:sz w:val="20"/>
          <w:szCs w:val="20"/>
        </w:rPr>
        <w:softHyphen/>
        <w:t>polení neznamená ovšem po</w:t>
      </w:r>
      <w:r>
        <w:rPr>
          <w:i/>
          <w:iCs/>
          <w:sz w:val="20"/>
          <w:szCs w:val="20"/>
        </w:rPr>
        <w:softHyphen/>
        <w:t>pření nebo překážku této jed</w:t>
      </w:r>
      <w:r>
        <w:rPr>
          <w:i/>
          <w:iCs/>
          <w:sz w:val="20"/>
          <w:szCs w:val="20"/>
        </w:rPr>
        <w:softHyphen/>
        <w:t>noty, spíše jedin</w:t>
      </w:r>
      <w:r>
        <w:rPr>
          <w:i/>
          <w:iCs/>
          <w:sz w:val="20"/>
          <w:szCs w:val="20"/>
        </w:rPr>
        <w:t>ou plodnou cestu k ní. Bohaté rozlišení a rozčlenění kulturního na</w:t>
      </w:r>
      <w:r>
        <w:rPr>
          <w:i/>
          <w:iCs/>
          <w:sz w:val="20"/>
          <w:szCs w:val="20"/>
        </w:rPr>
        <w:softHyphen/>
        <w:t>šeho života v skupiny a or</w:t>
      </w:r>
      <w:r>
        <w:rPr>
          <w:i/>
          <w:iCs/>
          <w:sz w:val="20"/>
          <w:szCs w:val="20"/>
        </w:rPr>
        <w:softHyphen/>
        <w:t>gány lze tím méně mecha</w:t>
      </w:r>
      <w:r>
        <w:rPr>
          <w:i/>
          <w:iCs/>
          <w:sz w:val="20"/>
          <w:szCs w:val="20"/>
        </w:rPr>
        <w:softHyphen/>
        <w:t>nicky a násilně rušit, že me</w:t>
      </w:r>
      <w:r>
        <w:rPr>
          <w:i/>
          <w:iCs/>
          <w:sz w:val="20"/>
          <w:szCs w:val="20"/>
        </w:rPr>
        <w:softHyphen/>
        <w:t>chanicky nevzniklo: jednot</w:t>
      </w:r>
      <w:r>
        <w:rPr>
          <w:i/>
          <w:iCs/>
          <w:sz w:val="20"/>
          <w:szCs w:val="20"/>
        </w:rPr>
        <w:softHyphen/>
        <w:t>livé útvary a skupiny kultur</w:t>
      </w:r>
      <w:r>
        <w:rPr>
          <w:i/>
          <w:iCs/>
          <w:sz w:val="20"/>
          <w:szCs w:val="20"/>
        </w:rPr>
        <w:softHyphen/>
        <w:t>ní a literární se vytvořily zcela organicky a přiroze</w:t>
      </w:r>
      <w:r>
        <w:rPr>
          <w:i/>
          <w:iCs/>
          <w:sz w:val="20"/>
          <w:szCs w:val="20"/>
        </w:rPr>
        <w:t>ně, odpovídajíce různým tenden</w:t>
      </w:r>
      <w:r>
        <w:rPr>
          <w:i/>
          <w:iCs/>
          <w:sz w:val="20"/>
          <w:szCs w:val="20"/>
        </w:rPr>
        <w:softHyphen/>
        <w:t>cím duchovního vývoje, roz</w:t>
      </w:r>
      <w:r>
        <w:rPr>
          <w:i/>
          <w:iCs/>
          <w:sz w:val="20"/>
          <w:szCs w:val="20"/>
        </w:rPr>
        <w:softHyphen/>
        <w:t>třídění generačnímu, příbuz</w:t>
      </w:r>
      <w:r>
        <w:rPr>
          <w:i/>
          <w:iCs/>
          <w:sz w:val="20"/>
          <w:szCs w:val="20"/>
        </w:rPr>
        <w:softHyphen/>
        <w:t>nostem ideovým, speciálním kulturním funkcím atd. Co z těchto útvarů a skupin ne</w:t>
      </w:r>
      <w:r>
        <w:rPr>
          <w:i/>
          <w:iCs/>
          <w:sz w:val="20"/>
          <w:szCs w:val="20"/>
        </w:rPr>
        <w:softHyphen/>
        <w:t>mělo hlubších základů, ne</w:t>
      </w:r>
      <w:r>
        <w:rPr>
          <w:i/>
          <w:iCs/>
          <w:sz w:val="20"/>
          <w:szCs w:val="20"/>
        </w:rPr>
        <w:softHyphen/>
        <w:t xml:space="preserve">přežilo otřesy poslední doby, zaniklo nebo skomírá samo. Co se </w:t>
      </w:r>
      <w:r>
        <w:rPr>
          <w:i/>
          <w:iCs/>
          <w:sz w:val="20"/>
          <w:szCs w:val="20"/>
        </w:rPr>
        <w:t>udrželo, dokázalo už tím oprávněnost své existence a je těžké nalézt nebo si před</w:t>
      </w:r>
      <w:r>
        <w:rPr>
          <w:i/>
          <w:iCs/>
          <w:sz w:val="20"/>
          <w:szCs w:val="20"/>
        </w:rPr>
        <w:softHyphen/>
      </w:r>
      <w:r>
        <w:rPr>
          <w:i/>
          <w:iCs/>
          <w:sz w:val="20"/>
          <w:szCs w:val="20"/>
        </w:rPr>
        <w:br w:type="column"/>
        <w:t>stavit instanci, jež by mohla z duchovního života škrtat jevy odůvodněné*).</w:t>
      </w:r>
    </w:p>
    <w:p w:rsidR="00500724" w:rsidRDefault="00F30FB8">
      <w:pPr>
        <w:pStyle w:val="Zkladntext30"/>
        <w:shd w:val="clear" w:color="auto" w:fill="auto"/>
        <w:spacing w:after="160" w:line="182" w:lineRule="auto"/>
        <w:ind w:firstLine="240"/>
        <w:rPr>
          <w:sz w:val="20"/>
          <w:szCs w:val="20"/>
        </w:rPr>
      </w:pPr>
      <w:r>
        <w:rPr>
          <w:i/>
          <w:iCs/>
          <w:sz w:val="20"/>
          <w:szCs w:val="20"/>
        </w:rPr>
        <w:t>Co pak se týče výslovně revuí, upozorňujeme, že čes</w:t>
      </w:r>
      <w:r>
        <w:rPr>
          <w:i/>
          <w:iCs/>
          <w:sz w:val="20"/>
          <w:szCs w:val="20"/>
        </w:rPr>
        <w:softHyphen/>
        <w:t>kých revuí je méně, než by jich jednak mohlo,</w:t>
      </w:r>
      <w:r>
        <w:rPr>
          <w:i/>
          <w:iCs/>
          <w:sz w:val="20"/>
          <w:szCs w:val="20"/>
        </w:rPr>
        <w:t xml:space="preserve"> ba jednak i mělo býti: stačí srovnati poměr počtu revuí k počtu čtenářstva, resp. obyvatel</w:t>
      </w:r>
      <w:r>
        <w:rPr>
          <w:i/>
          <w:iCs/>
          <w:sz w:val="20"/>
          <w:szCs w:val="20"/>
        </w:rPr>
        <w:softHyphen/>
        <w:t>stva ve Francii nebo v Ně</w:t>
      </w:r>
      <w:r>
        <w:rPr>
          <w:i/>
          <w:iCs/>
          <w:sz w:val="20"/>
          <w:szCs w:val="20"/>
        </w:rPr>
        <w:softHyphen/>
        <w:t>mecku s tímže poměrem v Cechách a na Moravě. Ten, komu se toto srovnání nezdá rozhodující, srovná s prospě</w:t>
      </w:r>
      <w:r>
        <w:rPr>
          <w:i/>
          <w:iCs/>
          <w:sz w:val="20"/>
          <w:szCs w:val="20"/>
        </w:rPr>
        <w:softHyphen/>
        <w:t>chem, výhradně na naší do</w:t>
      </w:r>
      <w:r>
        <w:rPr>
          <w:i/>
          <w:iCs/>
          <w:sz w:val="20"/>
          <w:szCs w:val="20"/>
        </w:rPr>
        <w:softHyphen/>
        <w:t xml:space="preserve">mácí </w:t>
      </w:r>
      <w:r>
        <w:rPr>
          <w:i/>
          <w:iCs/>
          <w:sz w:val="20"/>
          <w:szCs w:val="20"/>
        </w:rPr>
        <w:t>půdě, počet revuí dneš</w:t>
      </w:r>
      <w:r>
        <w:rPr>
          <w:i/>
          <w:iCs/>
          <w:sz w:val="20"/>
          <w:szCs w:val="20"/>
        </w:rPr>
        <w:softHyphen/>
        <w:t>ních s počtem revuí v letech devadesátých, kdy kulturního obecenstva bylo daleko mé</w:t>
      </w:r>
      <w:r>
        <w:rPr>
          <w:i/>
          <w:iCs/>
          <w:sz w:val="20"/>
          <w:szCs w:val="20"/>
        </w:rPr>
        <w:softHyphen/>
        <w:t>ně; tehdy jsme měli literár</w:t>
      </w:r>
      <w:r>
        <w:rPr>
          <w:i/>
          <w:iCs/>
          <w:sz w:val="20"/>
          <w:szCs w:val="20"/>
        </w:rPr>
        <w:softHyphen/>
        <w:t>ních a kritických revuí více než dnes! Je pak zřejmo, že v dobách, kdy vlastní politic</w:t>
      </w:r>
      <w:r>
        <w:rPr>
          <w:i/>
          <w:iCs/>
          <w:sz w:val="20"/>
          <w:szCs w:val="20"/>
        </w:rPr>
        <w:softHyphen/>
        <w:t>ký život národa se omezuje na mini</w:t>
      </w:r>
      <w:r>
        <w:rPr>
          <w:i/>
          <w:iCs/>
          <w:sz w:val="20"/>
          <w:szCs w:val="20"/>
        </w:rPr>
        <w:t>mum a kdy otřesné události nutí ke zkoumání, hledání a definicím stanovi</w:t>
      </w:r>
      <w:r>
        <w:rPr>
          <w:i/>
          <w:iCs/>
          <w:sz w:val="20"/>
          <w:szCs w:val="20"/>
        </w:rPr>
        <w:softHyphen/>
        <w:t>sek, jest potřebí mnohem většího počtu orgánů, kde by se projevovalo uvažování o zásadních ideových otázkách, jež přesahují denní zájmy:</w:t>
      </w:r>
    </w:p>
    <w:p w:rsidR="00500724" w:rsidRDefault="00F30FB8">
      <w:pPr>
        <w:pStyle w:val="Zkladntext40"/>
        <w:shd w:val="clear" w:color="auto" w:fill="auto"/>
        <w:spacing w:after="0" w:line="185" w:lineRule="auto"/>
        <w:ind w:firstLine="180"/>
      </w:pPr>
      <w:r>
        <w:t>_•) Nepotřebujeme ani snad do</w:t>
      </w:r>
      <w:r>
        <w:softHyphen/>
        <w:t>dávat, že hospod</w:t>
      </w:r>
      <w:r>
        <w:t>ářské důvody podporují tu ideové: ze zjednodu</w:t>
      </w:r>
      <w:r>
        <w:softHyphen/>
        <w:t>šování tiskových poměrů mohou nastat jen ekonomické poruchy jak v knihkupecké distribuci knih a tiskovin, tak v grafickém průmyslu, jehož špatná zaměst</w:t>
      </w:r>
      <w:r>
        <w:softHyphen/>
        <w:t>nanost není tajemstvím. K 30, dubnu t. r. zaznamenává Stat</w:t>
      </w:r>
      <w:r>
        <w:t>i</w:t>
      </w:r>
      <w:r>
        <w:softHyphen/>
        <w:t>stický úřad 8S1 nezaměstnaných typografů, čili plnou třetinu je</w:t>
      </w:r>
      <w:r>
        <w:softHyphen/>
        <w:t>jich celkového počtu.</w:t>
      </w:r>
    </w:p>
    <w:p w:rsidR="00500724" w:rsidRDefault="00F30FB8">
      <w:pPr>
        <w:spacing w:line="1" w:lineRule="exact"/>
        <w:rPr>
          <w:sz w:val="2"/>
          <w:szCs w:val="2"/>
        </w:rPr>
      </w:pPr>
      <w:r>
        <w:br w:type="column"/>
      </w:r>
    </w:p>
    <w:p w:rsidR="00500724" w:rsidRDefault="00F30FB8">
      <w:pPr>
        <w:pStyle w:val="Zkladntext30"/>
        <w:shd w:val="clear" w:color="auto" w:fill="auto"/>
        <w:spacing w:after="0" w:line="194" w:lineRule="auto"/>
        <w:ind w:firstLine="0"/>
        <w:rPr>
          <w:sz w:val="20"/>
          <w:szCs w:val="20"/>
        </w:rPr>
      </w:pPr>
      <w:r>
        <w:rPr>
          <w:i/>
          <w:iCs/>
          <w:sz w:val="20"/>
          <w:szCs w:val="20"/>
        </w:rPr>
        <w:t>takovými orgány mohou být právě jen revue.</w:t>
      </w:r>
    </w:p>
    <w:p w:rsidR="00500724" w:rsidRDefault="00F30FB8">
      <w:pPr>
        <w:pStyle w:val="Zkladntext30"/>
        <w:shd w:val="clear" w:color="auto" w:fill="auto"/>
        <w:spacing w:after="0" w:line="182" w:lineRule="auto"/>
        <w:ind w:firstLine="200"/>
        <w:rPr>
          <w:sz w:val="20"/>
          <w:szCs w:val="20"/>
        </w:rPr>
      </w:pPr>
      <w:r>
        <w:rPr>
          <w:i/>
          <w:iCs/>
          <w:sz w:val="20"/>
          <w:szCs w:val="20"/>
        </w:rPr>
        <w:t>Slovo speciálně za Kritic</w:t>
      </w:r>
      <w:r>
        <w:rPr>
          <w:i/>
          <w:iCs/>
          <w:sz w:val="20"/>
          <w:szCs w:val="20"/>
        </w:rPr>
        <w:softHyphen/>
        <w:t>ký Měsíčník: Tato revue se naprosto nevzpírala^ a ne- vzpírá závazkům, jež plynou z národní pospo</w:t>
      </w:r>
      <w:r>
        <w:rPr>
          <w:i/>
          <w:iCs/>
          <w:sz w:val="20"/>
          <w:szCs w:val="20"/>
        </w:rPr>
        <w:t>litosti, o tom čísla vyšlá od minulého září hovoří — tušíme — dosti jas</w:t>
      </w:r>
      <w:r>
        <w:rPr>
          <w:i/>
          <w:iCs/>
          <w:sz w:val="20"/>
          <w:szCs w:val="20"/>
        </w:rPr>
        <w:softHyphen/>
        <w:t>nou řečí. Ba, lze říci, že Kri</w:t>
      </w:r>
      <w:r>
        <w:rPr>
          <w:i/>
          <w:iCs/>
          <w:sz w:val="20"/>
          <w:szCs w:val="20"/>
        </w:rPr>
        <w:softHyphen/>
        <w:t>tický Měsíčník pěstoval a propagoval národní pospoli</w:t>
      </w:r>
      <w:r>
        <w:rPr>
          <w:i/>
          <w:iCs/>
          <w:sz w:val="20"/>
          <w:szCs w:val="20"/>
        </w:rPr>
        <w:softHyphen/>
        <w:t>tost od svých počátků: nebot bychom rádi věděli, není-li dobrou a poctivou službou celému národu ner</w:t>
      </w:r>
      <w:r>
        <w:rPr>
          <w:i/>
          <w:iCs/>
          <w:sz w:val="20"/>
          <w:szCs w:val="20"/>
        </w:rPr>
        <w:t>ozlišovat mezi literárními tábory a stranickými koteriemi a hle</w:t>
      </w:r>
      <w:r>
        <w:rPr>
          <w:i/>
          <w:iCs/>
          <w:sz w:val="20"/>
          <w:szCs w:val="20"/>
        </w:rPr>
        <w:softHyphen/>
        <w:t>dat kulturní hodnoty nehledě napravo ani nalevo. Nemíní</w:t>
      </w:r>
      <w:r>
        <w:rPr>
          <w:i/>
          <w:iCs/>
          <w:sz w:val="20"/>
          <w:szCs w:val="20"/>
        </w:rPr>
        <w:softHyphen/>
        <w:t>me tedy vydávat Kritický Měsíčník snahám, jež nepo</w:t>
      </w:r>
      <w:r>
        <w:rPr>
          <w:i/>
          <w:iCs/>
          <w:sz w:val="20"/>
          <w:szCs w:val="20"/>
        </w:rPr>
        <w:softHyphen/>
        <w:t>kládáme za kulturně prospěš</w:t>
      </w:r>
      <w:r>
        <w:rPr>
          <w:i/>
          <w:iCs/>
          <w:sz w:val="20"/>
          <w:szCs w:val="20"/>
        </w:rPr>
        <w:softHyphen/>
        <w:t>né. Nemíníme mařit výraz</w:t>
      </w:r>
      <w:r>
        <w:rPr>
          <w:i/>
          <w:iCs/>
          <w:sz w:val="20"/>
          <w:szCs w:val="20"/>
        </w:rPr>
        <w:softHyphen/>
        <w:t>nou pospolitost autorů, čím dále</w:t>
      </w:r>
      <w:r>
        <w:rPr>
          <w:i/>
          <w:iCs/>
          <w:sz w:val="20"/>
          <w:szCs w:val="20"/>
        </w:rPr>
        <w:t xml:space="preserve"> tím četnějších, seskupe</w:t>
      </w:r>
      <w:r>
        <w:rPr>
          <w:i/>
          <w:iCs/>
          <w:sz w:val="20"/>
          <w:szCs w:val="20"/>
        </w:rPr>
        <w:softHyphen/>
        <w:t>ných okolo něho a jejichž spolupráce se osvědčila. Ně</w:t>
      </w:r>
      <w:r>
        <w:rPr>
          <w:i/>
          <w:iCs/>
          <w:sz w:val="20"/>
          <w:szCs w:val="20"/>
        </w:rPr>
        <w:softHyphen/>
        <w:t>co podobného míníme tím méně, že Kritický Měsíčník je revuí nesubvencovanou, jež dokázala zdravost svých základů a tím i plné své prá</w:t>
      </w:r>
      <w:r>
        <w:rPr>
          <w:i/>
          <w:iCs/>
          <w:sz w:val="20"/>
          <w:szCs w:val="20"/>
        </w:rPr>
        <w:softHyphen/>
        <w:t>vo existenční.</w:t>
      </w:r>
    </w:p>
    <w:p w:rsidR="00500724" w:rsidRDefault="00F30FB8">
      <w:pPr>
        <w:pStyle w:val="Zkladntext30"/>
        <w:shd w:val="clear" w:color="auto" w:fill="auto"/>
        <w:spacing w:after="60" w:line="192" w:lineRule="auto"/>
        <w:ind w:firstLine="140"/>
        <w:rPr>
          <w:sz w:val="20"/>
          <w:szCs w:val="20"/>
        </w:rPr>
      </w:pPr>
      <w:r>
        <w:rPr>
          <w:i/>
          <w:iCs/>
          <w:sz w:val="20"/>
          <w:szCs w:val="20"/>
        </w:rPr>
        <w:t>Kritický Měsíčník je opráv</w:t>
      </w:r>
      <w:r>
        <w:rPr>
          <w:i/>
          <w:iCs/>
          <w:sz w:val="20"/>
          <w:szCs w:val="20"/>
        </w:rPr>
        <w:softHyphen/>
        <w:t>n</w:t>
      </w:r>
      <w:r>
        <w:rPr>
          <w:i/>
          <w:iCs/>
          <w:sz w:val="20"/>
          <w:szCs w:val="20"/>
        </w:rPr>
        <w:t>ěn zůstat tím, čím byl, a pracovat dále způsobem, jímž pracoval. Své intence a účely vyložil. Kritický Měsíčník si vytkl za cíl studovat duchov</w:t>
      </w:r>
      <w:r>
        <w:rPr>
          <w:i/>
          <w:iCs/>
          <w:sz w:val="20"/>
          <w:szCs w:val="20"/>
        </w:rPr>
        <w:softHyphen/>
        <w:t>ní proudění současného svě</w:t>
      </w:r>
      <w:r>
        <w:rPr>
          <w:i/>
          <w:iCs/>
          <w:sz w:val="20"/>
          <w:szCs w:val="20"/>
        </w:rPr>
        <w:softHyphen/>
        <w:t>ta, orientovat českého čtená</w:t>
      </w:r>
      <w:r>
        <w:rPr>
          <w:i/>
          <w:iCs/>
          <w:sz w:val="20"/>
          <w:szCs w:val="20"/>
        </w:rPr>
        <w:softHyphen/>
        <w:t>ře v tomto proudění, kriticky</w:t>
      </w:r>
      <w:r>
        <w:rPr>
          <w:i/>
          <w:iCs/>
          <w:sz w:val="20"/>
          <w:szCs w:val="20"/>
        </w:rPr>
        <w:br w:type="column"/>
        <w:t>sledovat a oceňovat vešker</w:t>
      </w:r>
      <w:r>
        <w:rPr>
          <w:i/>
          <w:iCs/>
          <w:sz w:val="20"/>
          <w:szCs w:val="20"/>
        </w:rPr>
        <w:t>é formy našeho vlastního umě</w:t>
      </w:r>
      <w:r>
        <w:rPr>
          <w:i/>
          <w:iCs/>
          <w:sz w:val="20"/>
          <w:szCs w:val="20"/>
        </w:rPr>
        <w:softHyphen/>
        <w:t>leckého i obecně kulturního vývoje a vést k schopnosti samostatného poctivého sou- ku a hodnocení. Počal svou práci v době, kdy naše čte</w:t>
      </w:r>
      <w:r>
        <w:rPr>
          <w:i/>
          <w:iCs/>
          <w:sz w:val="20"/>
          <w:szCs w:val="20"/>
        </w:rPr>
        <w:softHyphen/>
        <w:t>nářstvo bylo namnoze zne</w:t>
      </w:r>
      <w:r>
        <w:rPr>
          <w:i/>
          <w:iCs/>
          <w:sz w:val="20"/>
          <w:szCs w:val="20"/>
        </w:rPr>
        <w:softHyphen/>
        <w:t>chuceno úrovní kritiky žur</w:t>
      </w:r>
      <w:r>
        <w:rPr>
          <w:i/>
          <w:iCs/>
          <w:sz w:val="20"/>
          <w:szCs w:val="20"/>
        </w:rPr>
        <w:softHyphen/>
        <w:t>nalistické a » přátelské?: je obecně z</w:t>
      </w:r>
      <w:r>
        <w:rPr>
          <w:i/>
          <w:iCs/>
          <w:sz w:val="20"/>
          <w:szCs w:val="20"/>
        </w:rPr>
        <w:t>námo, čím byla „kri- tikac v reklamních naklada</w:t>
      </w:r>
      <w:r>
        <w:rPr>
          <w:i/>
          <w:iCs/>
          <w:sz w:val="20"/>
          <w:szCs w:val="20"/>
        </w:rPr>
        <w:softHyphen/>
        <w:t>telských orgánech i často v denním tisku, kde básnílca soudil básník, dramatika dra</w:t>
      </w:r>
      <w:r>
        <w:rPr>
          <w:i/>
          <w:iCs/>
          <w:sz w:val="20"/>
          <w:szCs w:val="20"/>
        </w:rPr>
        <w:softHyphen/>
        <w:t>matik, romanopisce romano</w:t>
      </w:r>
      <w:r>
        <w:rPr>
          <w:i/>
          <w:iCs/>
          <w:sz w:val="20"/>
          <w:szCs w:val="20"/>
        </w:rPr>
        <w:softHyphen/>
        <w:t>pisec. Kritický Měsíčník dal si za úkol etablovat a udržo</w:t>
      </w:r>
      <w:r>
        <w:rPr>
          <w:i/>
          <w:iCs/>
          <w:sz w:val="20"/>
          <w:szCs w:val="20"/>
        </w:rPr>
        <w:softHyphen/>
        <w:t>vat kritiku jako autonomní duchovní tvor</w:t>
      </w:r>
      <w:r>
        <w:rPr>
          <w:i/>
          <w:iCs/>
          <w:sz w:val="20"/>
          <w:szCs w:val="20"/>
        </w:rPr>
        <w:t>bu proti kritice pojímané jako řemeslo nebo osobní služba nebo stranická propagace. Byl — po Šaldově Zápisníku, jenž byl osobním orgánem jednotlivé vynika</w:t>
      </w:r>
      <w:r>
        <w:rPr>
          <w:i/>
          <w:iCs/>
          <w:sz w:val="20"/>
          <w:szCs w:val="20"/>
        </w:rPr>
        <w:softHyphen/>
        <w:t>jící kritické individuality — prvním pokusem tohoto dru</w:t>
      </w:r>
      <w:r>
        <w:rPr>
          <w:i/>
          <w:iCs/>
          <w:sz w:val="20"/>
          <w:szCs w:val="20"/>
        </w:rPr>
        <w:softHyphen/>
        <w:t>hu u nás. Existuje řada ve</w:t>
      </w:r>
      <w:r>
        <w:rPr>
          <w:i/>
          <w:iCs/>
          <w:sz w:val="20"/>
          <w:szCs w:val="20"/>
        </w:rPr>
        <w:softHyphen/>
        <w:t>řejných svědectví,</w:t>
      </w:r>
      <w:r>
        <w:rPr>
          <w:i/>
          <w:iCs/>
          <w:sz w:val="20"/>
          <w:szCs w:val="20"/>
        </w:rPr>
        <w:t xml:space="preserve"> jejichž ci</w:t>
      </w:r>
      <w:r>
        <w:rPr>
          <w:i/>
          <w:iCs/>
          <w:sz w:val="20"/>
          <w:szCs w:val="20"/>
        </w:rPr>
        <w:softHyphen/>
        <w:t>tování si ušetříme, o tom, dařil-li se tento pokus či ne</w:t>
      </w:r>
      <w:r>
        <w:rPr>
          <w:i/>
          <w:iCs/>
          <w:sz w:val="20"/>
          <w:szCs w:val="20"/>
        </w:rPr>
        <w:softHyphen/>
        <w:t>dařil a plnit-U Kritický Mě</w:t>
      </w:r>
      <w:r>
        <w:rPr>
          <w:i/>
          <w:iCs/>
          <w:sz w:val="20"/>
          <w:szCs w:val="20"/>
        </w:rPr>
        <w:softHyphen/>
        <w:t>síčník své poslání či neplnil. Bylo by na pováženou vy</w:t>
      </w:r>
      <w:r>
        <w:rPr>
          <w:i/>
          <w:iCs/>
          <w:sz w:val="20"/>
          <w:szCs w:val="20"/>
        </w:rPr>
        <w:softHyphen/>
        <w:t>jadřovat jeho rušením mí</w:t>
      </w:r>
      <w:r>
        <w:rPr>
          <w:i/>
          <w:iCs/>
          <w:sz w:val="20"/>
          <w:szCs w:val="20"/>
        </w:rPr>
        <w:softHyphen/>
        <w:t>nění, že funkce kritiky a kri</w:t>
      </w:r>
      <w:r>
        <w:rPr>
          <w:i/>
          <w:iCs/>
          <w:sz w:val="20"/>
          <w:szCs w:val="20"/>
        </w:rPr>
        <w:softHyphen/>
        <w:t>tičnosti je v naší národní po</w:t>
      </w:r>
      <w:r>
        <w:rPr>
          <w:i/>
          <w:iCs/>
          <w:sz w:val="20"/>
          <w:szCs w:val="20"/>
        </w:rPr>
        <w:softHyphen/>
        <w:t>spolitosti v přítom</w:t>
      </w:r>
      <w:r>
        <w:rPr>
          <w:i/>
          <w:iCs/>
          <w:sz w:val="20"/>
          <w:szCs w:val="20"/>
        </w:rPr>
        <w:t>né chvíli skončena. Tím by byla v dě</w:t>
      </w:r>
      <w:r>
        <w:rPr>
          <w:i/>
          <w:iCs/>
          <w:sz w:val="20"/>
          <w:szCs w:val="20"/>
        </w:rPr>
        <w:softHyphen/>
        <w:t xml:space="preserve">jinách českého ducha </w:t>
      </w:r>
      <w:r>
        <w:rPr>
          <w:b/>
          <w:bCs/>
          <w:i/>
          <w:iCs/>
          <w:sz w:val="19"/>
          <w:szCs w:val="19"/>
        </w:rPr>
        <w:t>za</w:t>
      </w:r>
      <w:r>
        <w:rPr>
          <w:b/>
          <w:bCs/>
          <w:i/>
          <w:iCs/>
          <w:sz w:val="19"/>
          <w:szCs w:val="19"/>
        </w:rPr>
        <w:softHyphen/>
      </w:r>
      <w:r>
        <w:rPr>
          <w:i/>
          <w:iCs/>
          <w:sz w:val="20"/>
          <w:szCs w:val="20"/>
        </w:rPr>
        <w:t>kládána tradice věru zcela neobvyklá!</w:t>
      </w:r>
    </w:p>
    <w:p w:rsidR="00500724" w:rsidRDefault="00F30FB8">
      <w:pPr>
        <w:pStyle w:val="Zkladntext100"/>
        <w:shd w:val="clear" w:color="auto" w:fill="auto"/>
        <w:spacing w:line="168" w:lineRule="auto"/>
        <w:ind w:firstLine="180"/>
        <w:jc w:val="left"/>
        <w:sectPr w:rsidR="00500724">
          <w:footnotePr>
            <w:numFmt w:val="chicago"/>
            <w:numRestart w:val="eachPage"/>
          </w:footnotePr>
          <w:pgSz w:w="11909" w:h="16834"/>
          <w:pgMar w:top="742" w:right="1212" w:bottom="633" w:left="415" w:header="0" w:footer="3" w:gutter="0"/>
          <w:cols w:num="4" w:sep="1" w:space="720" w:equalWidth="0">
            <w:col w:w="2456" w:space="100"/>
            <w:col w:w="2456" w:space="205"/>
            <w:col w:w="2456" w:space="153"/>
            <w:col w:w="2456"/>
          </w:cols>
          <w:noEndnote/>
          <w:docGrid w:linePitch="360"/>
        </w:sectPr>
      </w:pPr>
      <w:r>
        <w:t>Z dvojčísla 5—6 Kritického mě</w:t>
      </w:r>
      <w:r>
        <w:softHyphen/>
        <w:t>síčníku.</w:t>
      </w:r>
    </w:p>
    <w:p w:rsidR="00500724" w:rsidRDefault="00500724">
      <w:pPr>
        <w:rPr>
          <w:sz w:val="2"/>
          <w:szCs w:val="2"/>
        </w:rPr>
        <w:sectPr w:rsidR="00500724">
          <w:footnotePr>
            <w:numFmt w:val="chicago"/>
            <w:numRestart w:val="eachPage"/>
          </w:footnotePr>
          <w:type w:val="continuous"/>
          <w:pgSz w:w="11909" w:h="16834"/>
          <w:pgMar w:top="832" w:right="0" w:bottom="544" w:left="0" w:header="0" w:footer="3" w:gutter="0"/>
          <w:cols w:space="720"/>
          <w:noEndnote/>
          <w:docGrid w:linePitch="360"/>
        </w:sectPr>
      </w:pPr>
    </w:p>
    <w:p w:rsidR="00500724" w:rsidRDefault="00F30FB8">
      <w:pPr>
        <w:pStyle w:val="Zkladntext30"/>
        <w:shd w:val="clear" w:color="auto" w:fill="auto"/>
        <w:spacing w:after="0" w:line="223" w:lineRule="auto"/>
        <w:ind w:left="200" w:right="1080" w:firstLine="40"/>
        <w:rPr>
          <w:sz w:val="20"/>
          <w:szCs w:val="20"/>
        </w:rPr>
      </w:pPr>
      <w:r>
        <w:rPr>
          <w:sz w:val="20"/>
          <w:szCs w:val="20"/>
        </w:rPr>
        <w:t>Lidský život je střídání rado</w:t>
      </w:r>
      <w:r>
        <w:rPr>
          <w:sz w:val="20"/>
          <w:szCs w:val="20"/>
        </w:rPr>
        <w:softHyphen/>
        <w:t xml:space="preserve">sti, </w:t>
      </w:r>
      <w:r>
        <w:rPr>
          <w:sz w:val="20"/>
          <w:szCs w:val="20"/>
        </w:rPr>
        <w:t>naděje a zklamání. Radost ze života skýtá umění, pěkná hudba, divadlo, zpěv, avšak také automobil, který dovolu</w:t>
      </w:r>
      <w:r>
        <w:rPr>
          <w:sz w:val="20"/>
          <w:szCs w:val="20"/>
        </w:rPr>
        <w:softHyphen/>
        <w:t>je poznati v krátké době mno</w:t>
      </w:r>
      <w:r>
        <w:rPr>
          <w:sz w:val="20"/>
          <w:szCs w:val="20"/>
        </w:rPr>
        <w:softHyphen/>
        <w:t>ho zajímavých míst, užití více přírody a více krásy.</w:t>
      </w:r>
    </w:p>
    <w:p w:rsidR="00500724" w:rsidRDefault="00F30FB8">
      <w:pPr>
        <w:pStyle w:val="Zkladntext30"/>
        <w:shd w:val="clear" w:color="auto" w:fill="auto"/>
        <w:spacing w:after="180" w:line="223" w:lineRule="auto"/>
        <w:ind w:left="200" w:right="1080" w:firstLine="40"/>
        <w:rPr>
          <w:sz w:val="20"/>
          <w:szCs w:val="20"/>
        </w:rPr>
      </w:pPr>
      <w:r>
        <w:rPr>
          <w:sz w:val="20"/>
          <w:szCs w:val="20"/>
        </w:rPr>
        <w:t xml:space="preserve">Praga </w:t>
      </w:r>
      <w:r>
        <w:rPr>
          <w:sz w:val="20"/>
          <w:szCs w:val="20"/>
          <w:lang w:val="en-US" w:eastAsia="en-US" w:bidi="en-US"/>
        </w:rPr>
        <w:t xml:space="preserve">Piccolo </w:t>
      </w:r>
      <w:r>
        <w:rPr>
          <w:sz w:val="20"/>
          <w:szCs w:val="20"/>
        </w:rPr>
        <w:t>je stavěn tak, aby ujel za den co nejvíce ki</w:t>
      </w:r>
      <w:r>
        <w:rPr>
          <w:sz w:val="20"/>
          <w:szCs w:val="20"/>
        </w:rPr>
        <w:softHyphen/>
        <w:t>lom</w:t>
      </w:r>
      <w:r>
        <w:rPr>
          <w:sz w:val="20"/>
          <w:szCs w:val="20"/>
        </w:rPr>
        <w:t>etrů pohodlné a příjemné jízdy. Má prostornou, dobře vybavenou karoserii, jede tiše a měkce, je vybaven centrál</w:t>
      </w:r>
      <w:r>
        <w:rPr>
          <w:sz w:val="20"/>
          <w:szCs w:val="20"/>
        </w:rPr>
        <w:softHyphen/>
        <w:t>ním mazáním, velkým prosto</w:t>
      </w:r>
      <w:r>
        <w:rPr>
          <w:sz w:val="20"/>
          <w:szCs w:val="20"/>
        </w:rPr>
        <w:softHyphen/>
        <w:t>rem pro zavazadla a co je nej</w:t>
      </w:r>
      <w:r>
        <w:rPr>
          <w:sz w:val="20"/>
          <w:szCs w:val="20"/>
        </w:rPr>
        <w:softHyphen/>
        <w:t>důležitější, pracuje přesně ja</w:t>
      </w:r>
      <w:r>
        <w:rPr>
          <w:sz w:val="20"/>
          <w:szCs w:val="20"/>
        </w:rPr>
        <w:softHyphen/>
        <w:t>ko hodinový stroj. Motor vo</w:t>
      </w:r>
      <w:r>
        <w:rPr>
          <w:sz w:val="20"/>
          <w:szCs w:val="20"/>
        </w:rPr>
        <w:softHyphen/>
        <w:t xml:space="preserve">zu Praga </w:t>
      </w:r>
      <w:r>
        <w:rPr>
          <w:sz w:val="20"/>
          <w:szCs w:val="20"/>
          <w:lang w:val="en-US" w:eastAsia="en-US" w:bidi="en-US"/>
        </w:rPr>
        <w:t xml:space="preserve">Piccolo </w:t>
      </w:r>
      <w:r>
        <w:rPr>
          <w:sz w:val="20"/>
          <w:szCs w:val="20"/>
        </w:rPr>
        <w:t>zpívá ticho</w:t>
      </w:r>
      <w:r>
        <w:rPr>
          <w:sz w:val="20"/>
          <w:szCs w:val="20"/>
        </w:rPr>
        <w:t>u píseň ocele s pravidelností a vytrvalostí, která dokazuje vyspělost moderní automobi</w:t>
      </w:r>
      <w:r>
        <w:rPr>
          <w:sz w:val="20"/>
          <w:szCs w:val="20"/>
        </w:rPr>
        <w:softHyphen/>
        <w:t>lové konstrukce, technické umění a velké zkušenosti jeho tvůrců. Také další dobré vlastnosti vozu, hospodárnost, trvanlivost a elegance dávají záruku radostné jízdy. Smí</w:t>
      </w:r>
      <w:r>
        <w:rPr>
          <w:sz w:val="20"/>
          <w:szCs w:val="20"/>
        </w:rPr>
        <w:t>me Vás přesvědčiti před</w:t>
      </w:r>
      <w:r>
        <w:rPr>
          <w:sz w:val="20"/>
          <w:szCs w:val="20"/>
        </w:rPr>
        <w:softHyphen/>
        <w:t>váděcí jízdou?</w:t>
      </w:r>
    </w:p>
    <w:p w:rsidR="00500724" w:rsidRDefault="00F30FB8">
      <w:pPr>
        <w:pStyle w:val="Jin0"/>
        <w:pBdr>
          <w:bottom w:val="single" w:sz="4" w:space="0" w:color="auto"/>
        </w:pBdr>
        <w:shd w:val="clear" w:color="auto" w:fill="auto"/>
        <w:tabs>
          <w:tab w:val="left" w:pos="8883"/>
        </w:tabs>
        <w:spacing w:after="80" w:line="312" w:lineRule="auto"/>
        <w:ind w:left="200" w:right="1080" w:firstLine="40"/>
        <w:rPr>
          <w:sz w:val="26"/>
          <w:szCs w:val="26"/>
        </w:rPr>
      </w:pPr>
      <w:r>
        <w:rPr>
          <w:sz w:val="26"/>
          <w:szCs w:val="26"/>
        </w:rPr>
        <w:t>ČESKOMORAVSKÁ - KOLBEN - DANĚK, a. s., automobilní oddělení Praha-Karl í ji, Karlova 2 2. Telefony 32051-5,</w:t>
      </w:r>
      <w:r>
        <w:rPr>
          <w:sz w:val="26"/>
          <w:szCs w:val="26"/>
        </w:rPr>
        <w:tab/>
        <w:t>38641-5</w:t>
      </w:r>
      <w:r>
        <w:br w:type="page"/>
      </w:r>
    </w:p>
    <w:p w:rsidR="00500724" w:rsidRDefault="00F30FB8">
      <w:pPr>
        <w:pStyle w:val="Nadpis30"/>
        <w:keepNext/>
        <w:keepLines/>
        <w:shd w:val="clear" w:color="auto" w:fill="auto"/>
        <w:spacing w:after="0"/>
        <w:rPr>
          <w:sz w:val="250"/>
          <w:szCs w:val="250"/>
        </w:rPr>
      </w:pPr>
      <w:bookmarkStart w:id="659" w:name="bookmark664"/>
      <w:r>
        <w:rPr>
          <w:sz w:val="250"/>
          <w:szCs w:val="250"/>
          <w:lang w:val="en-US" w:eastAsia="en-US" w:bidi="en-US"/>
        </w:rPr>
        <w:t>Intomnosts</w:t>
      </w:r>
      <w:bookmarkEnd w:id="659"/>
    </w:p>
    <w:tbl>
      <w:tblPr>
        <w:tblOverlap w:val="never"/>
        <w:tblW w:w="0" w:type="auto"/>
        <w:jc w:val="center"/>
        <w:tblLayout w:type="fixed"/>
        <w:tblCellMar>
          <w:left w:w="10" w:type="dxa"/>
          <w:right w:w="10" w:type="dxa"/>
        </w:tblCellMar>
        <w:tblLook w:val="04A0" w:firstRow="1" w:lastRow="0" w:firstColumn="1" w:lastColumn="0" w:noHBand="0" w:noVBand="1"/>
      </w:tblPr>
      <w:tblGrid>
        <w:gridCol w:w="8045"/>
        <w:gridCol w:w="3298"/>
      </w:tblGrid>
      <w:tr w:rsidR="00500724">
        <w:tblPrEx>
          <w:tblCellMar>
            <w:top w:w="0" w:type="dxa"/>
            <w:bottom w:w="0" w:type="dxa"/>
          </w:tblCellMar>
        </w:tblPrEx>
        <w:trPr>
          <w:trHeight w:hRule="exact" w:val="878"/>
          <w:jc w:val="center"/>
        </w:trPr>
        <w:tc>
          <w:tcPr>
            <w:tcW w:w="0" w:type="auto"/>
            <w:tcBorders>
              <w:left w:val="single" w:sz="4" w:space="0" w:color="auto"/>
            </w:tcBorders>
            <w:shd w:val="clear" w:color="auto" w:fill="FFFFFF"/>
            <w:vAlign w:val="center"/>
          </w:tcPr>
          <w:p w:rsidR="00500724" w:rsidRDefault="00F30FB8">
            <w:pPr>
              <w:pStyle w:val="Jin0"/>
              <w:shd w:val="clear" w:color="auto" w:fill="auto"/>
              <w:tabs>
                <w:tab w:val="left" w:pos="3817"/>
              </w:tabs>
              <w:ind w:left="320" w:firstLine="60"/>
              <w:rPr>
                <w:sz w:val="22"/>
                <w:szCs w:val="22"/>
              </w:rPr>
            </w:pPr>
            <w:r>
              <w:rPr>
                <w:b/>
                <w:bCs/>
                <w:sz w:val="22"/>
                <w:szCs w:val="22"/>
              </w:rPr>
              <w:t>KOCNlK XVI.</w:t>
            </w:r>
            <w:r>
              <w:rPr>
                <w:b/>
                <w:bCs/>
                <w:sz w:val="22"/>
                <w:szCs w:val="22"/>
              </w:rPr>
              <w:tab/>
              <w:t>V PRAZE 5. ČERVENCE 1939</w:t>
            </w:r>
          </w:p>
        </w:tc>
        <w:tc>
          <w:tcPr>
            <w:tcW w:w="0" w:type="auto"/>
            <w:tcBorders>
              <w:right w:val="single" w:sz="4" w:space="0" w:color="auto"/>
            </w:tcBorders>
            <w:shd w:val="clear" w:color="auto" w:fill="FFFFFF"/>
            <w:vAlign w:val="center"/>
          </w:tcPr>
          <w:p w:rsidR="00500724" w:rsidRDefault="00F30FB8">
            <w:pPr>
              <w:pStyle w:val="Jin0"/>
              <w:shd w:val="clear" w:color="auto" w:fill="auto"/>
              <w:ind w:right="340" w:firstLine="0"/>
              <w:jc w:val="right"/>
              <w:rPr>
                <w:sz w:val="22"/>
                <w:szCs w:val="22"/>
              </w:rPr>
            </w:pPr>
            <w:r>
              <w:rPr>
                <w:b/>
                <w:bCs/>
                <w:sz w:val="22"/>
                <w:szCs w:val="22"/>
              </w:rPr>
              <w:t>z A K 2.—</w:t>
            </w:r>
          </w:p>
        </w:tc>
      </w:tr>
      <w:tr w:rsidR="00500724">
        <w:tblPrEx>
          <w:tblCellMar>
            <w:top w:w="0" w:type="dxa"/>
            <w:bottom w:w="0" w:type="dxa"/>
          </w:tblCellMar>
        </w:tblPrEx>
        <w:trPr>
          <w:trHeight w:hRule="exact" w:val="1963"/>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20" w:firstLine="60"/>
              <w:jc w:val="left"/>
              <w:rPr>
                <w:sz w:val="72"/>
                <w:szCs w:val="72"/>
              </w:rPr>
            </w:pPr>
            <w:r>
              <w:rPr>
                <w:rFonts w:ascii="Arial" w:eastAsia="Arial" w:hAnsi="Arial" w:cs="Arial"/>
                <w:b/>
                <w:bCs/>
                <w:w w:val="50"/>
                <w:sz w:val="72"/>
                <w:szCs w:val="72"/>
              </w:rPr>
              <w:t>Dosavadní hislorie Národního snuručenslvi</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40" w:firstLine="0"/>
              <w:jc w:val="right"/>
              <w:rPr>
                <w:sz w:val="26"/>
                <w:szCs w:val="26"/>
              </w:rPr>
            </w:pPr>
            <w:r>
              <w:rPr>
                <w:sz w:val="26"/>
                <w:szCs w:val="26"/>
              </w:rPr>
              <w:t>LADISLAV KHÁS</w:t>
            </w:r>
          </w:p>
        </w:tc>
      </w:tr>
      <w:tr w:rsidR="00500724">
        <w:tblPrEx>
          <w:tblCellMar>
            <w:top w:w="0" w:type="dxa"/>
            <w:bottom w:w="0" w:type="dxa"/>
          </w:tblCellMar>
        </w:tblPrEx>
        <w:trPr>
          <w:trHeight w:hRule="exact" w:val="1157"/>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20" w:firstLine="60"/>
              <w:jc w:val="left"/>
              <w:rPr>
                <w:sz w:val="58"/>
                <w:szCs w:val="58"/>
              </w:rPr>
            </w:pPr>
            <w:r>
              <w:rPr>
                <w:sz w:val="58"/>
                <w:szCs w:val="58"/>
              </w:rPr>
              <w:t>John Bull aneb válka a mír</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40" w:firstLine="0"/>
              <w:jc w:val="right"/>
              <w:rPr>
                <w:sz w:val="26"/>
                <w:szCs w:val="26"/>
              </w:rPr>
            </w:pPr>
            <w:r>
              <w:rPr>
                <w:sz w:val="26"/>
                <w:szCs w:val="26"/>
              </w:rPr>
              <w:t>JAN SKÁLA</w:t>
            </w:r>
          </w:p>
        </w:tc>
      </w:tr>
      <w:tr w:rsidR="00500724">
        <w:tblPrEx>
          <w:tblCellMar>
            <w:top w:w="0" w:type="dxa"/>
            <w:bottom w:w="0" w:type="dxa"/>
          </w:tblCellMar>
        </w:tblPrEx>
        <w:trPr>
          <w:trHeight w:hRule="exact" w:val="1219"/>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20" w:firstLine="60"/>
              <w:jc w:val="left"/>
              <w:rPr>
                <w:sz w:val="58"/>
                <w:szCs w:val="58"/>
              </w:rPr>
            </w:pPr>
            <w:r>
              <w:rPr>
                <w:sz w:val="58"/>
                <w:szCs w:val="58"/>
              </w:rPr>
              <w:t>S „ubohým a holým“</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40" w:firstLine="0"/>
              <w:jc w:val="right"/>
              <w:rPr>
                <w:sz w:val="26"/>
                <w:szCs w:val="26"/>
              </w:rPr>
            </w:pPr>
            <w:r>
              <w:rPr>
                <w:sz w:val="26"/>
                <w:szCs w:val="26"/>
              </w:rPr>
              <w:t>MILENA JESENSKÁ</w:t>
            </w:r>
          </w:p>
        </w:tc>
      </w:tr>
      <w:tr w:rsidR="00500724">
        <w:tblPrEx>
          <w:tblCellMar>
            <w:top w:w="0" w:type="dxa"/>
            <w:bottom w:w="0" w:type="dxa"/>
          </w:tblCellMar>
        </w:tblPrEx>
        <w:trPr>
          <w:trHeight w:hRule="exact" w:val="119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20" w:firstLine="60"/>
              <w:jc w:val="left"/>
              <w:rPr>
                <w:sz w:val="58"/>
                <w:szCs w:val="58"/>
              </w:rPr>
            </w:pPr>
            <w:r>
              <w:rPr>
                <w:sz w:val="58"/>
                <w:szCs w:val="58"/>
              </w:rPr>
              <w:t>Moudrost knížete Bismarcka</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40" w:firstLine="0"/>
              <w:jc w:val="right"/>
              <w:rPr>
                <w:sz w:val="26"/>
                <w:szCs w:val="26"/>
              </w:rPr>
            </w:pPr>
            <w:r>
              <w:rPr>
                <w:sz w:val="26"/>
                <w:szCs w:val="26"/>
              </w:rPr>
              <w:t>JAN ALBERT</w:t>
            </w:r>
          </w:p>
        </w:tc>
      </w:tr>
      <w:tr w:rsidR="00500724">
        <w:tblPrEx>
          <w:tblCellMar>
            <w:top w:w="0" w:type="dxa"/>
            <w:bottom w:w="0" w:type="dxa"/>
          </w:tblCellMar>
        </w:tblPrEx>
        <w:trPr>
          <w:trHeight w:hRule="exact" w:val="121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20" w:firstLine="60"/>
              <w:jc w:val="left"/>
              <w:rPr>
                <w:sz w:val="72"/>
                <w:szCs w:val="72"/>
              </w:rPr>
            </w:pPr>
            <w:r>
              <w:rPr>
                <w:rFonts w:ascii="Arial" w:eastAsia="Arial" w:hAnsi="Arial" w:cs="Arial"/>
                <w:b/>
                <w:bCs/>
                <w:w w:val="50"/>
                <w:sz w:val="72"/>
                <w:szCs w:val="72"/>
              </w:rPr>
              <w:t>Anglttá a sovátshá honževoalosl</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40" w:firstLine="0"/>
              <w:jc w:val="right"/>
              <w:rPr>
                <w:sz w:val="26"/>
                <w:szCs w:val="26"/>
              </w:rPr>
            </w:pPr>
            <w:r>
              <w:rPr>
                <w:sz w:val="26"/>
                <w:szCs w:val="26"/>
              </w:rPr>
              <w:t>ZDENĚK SMETÁČEK</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20" w:firstLine="60"/>
              <w:jc w:val="left"/>
              <w:rPr>
                <w:sz w:val="72"/>
                <w:szCs w:val="72"/>
              </w:rPr>
            </w:pPr>
            <w:r>
              <w:rPr>
                <w:rFonts w:ascii="Arial" w:eastAsia="Arial" w:hAnsi="Arial" w:cs="Arial"/>
                <w:b/>
                <w:bCs/>
                <w:w w:val="50"/>
                <w:sz w:val="72"/>
                <w:szCs w:val="72"/>
              </w:rPr>
              <w:t>Čoshé a némerhé divadlo v Praze</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40" w:firstLine="0"/>
              <w:jc w:val="right"/>
              <w:rPr>
                <w:sz w:val="26"/>
                <w:szCs w:val="26"/>
              </w:rPr>
            </w:pPr>
            <w:r>
              <w:rPr>
                <w:sz w:val="26"/>
                <w:szCs w:val="26"/>
              </w:rPr>
              <w:t>JOSEF TEICHMAN</w:t>
            </w:r>
          </w:p>
        </w:tc>
      </w:tr>
      <w:tr w:rsidR="00500724">
        <w:tblPrEx>
          <w:tblCellMar>
            <w:top w:w="0" w:type="dxa"/>
            <w:bottom w:w="0" w:type="dxa"/>
          </w:tblCellMar>
        </w:tblPrEx>
        <w:trPr>
          <w:trHeight w:hRule="exact" w:val="250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shd w:val="clear" w:color="auto" w:fill="auto"/>
              <w:spacing w:line="262" w:lineRule="auto"/>
              <w:ind w:firstLine="0"/>
              <w:jc w:val="center"/>
              <w:rPr>
                <w:sz w:val="26"/>
                <w:szCs w:val="26"/>
              </w:rPr>
            </w:pPr>
            <w:r>
              <w:rPr>
                <w:b/>
                <w:bCs/>
                <w:sz w:val="26"/>
                <w:szCs w:val="26"/>
              </w:rPr>
              <w:t xml:space="preserve">Amerika a Japonsko — S kým </w:t>
            </w:r>
            <w:r>
              <w:rPr>
                <w:b/>
                <w:bCs/>
                <w:sz w:val="26"/>
                <w:szCs w:val="26"/>
              </w:rPr>
              <w:t>půjde nové Španělsko? — Jak se dnes žije v Madridě — Baťovy továrny v Kanadě a ve Zruěi — Intelektuálové — Budovat a udržet — Mezi</w:t>
            </w:r>
            <w:r>
              <w:rPr>
                <w:b/>
                <w:bCs/>
                <w:sz w:val="26"/>
                <w:szCs w:val="26"/>
              </w:rPr>
              <w:softHyphen/>
              <w:t>národní politika Slováků — Před devadesáti lety — Větší zalidněnost než v Německu — Zdražit ěi nezdražit noviny?</w:t>
            </w:r>
          </w:p>
        </w:tc>
      </w:tr>
    </w:tbl>
    <w:p w:rsidR="00500724" w:rsidRDefault="00F30FB8">
      <w:pPr>
        <w:spacing w:line="1" w:lineRule="exact"/>
        <w:rPr>
          <w:sz w:val="2"/>
          <w:szCs w:val="2"/>
        </w:rPr>
      </w:pPr>
      <w:r>
        <w:br w:type="page"/>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1480"/>
      </w:pPr>
      <w:bookmarkStart w:id="660" w:name="bookmark665"/>
      <w:r>
        <w:rPr>
          <w:color w:val="FFFFFF"/>
        </w:rPr>
        <w:t xml:space="preserve">ODBORNÍ </w:t>
      </w:r>
      <w:r>
        <w:rPr>
          <w:color w:val="FFFFFF"/>
        </w:rPr>
        <w:t>LEKAftl</w:t>
      </w:r>
      <w:bookmarkEnd w:id="660"/>
    </w:p>
    <w:p w:rsidR="00500724" w:rsidRDefault="00F30FB8">
      <w:pPr>
        <w:spacing w:line="14" w:lineRule="exact"/>
        <w:sectPr w:rsidR="00500724">
          <w:footnotePr>
            <w:numFmt w:val="chicago"/>
            <w:numRestart w:val="eachPage"/>
          </w:footnotePr>
          <w:type w:val="continuous"/>
          <w:pgSz w:w="11909" w:h="16834"/>
          <w:pgMar w:top="832" w:right="267" w:bottom="544" w:left="299" w:header="0" w:footer="3" w:gutter="0"/>
          <w:cols w:space="720"/>
          <w:noEndnote/>
          <w:docGrid w:linePitch="360"/>
        </w:sectPr>
      </w:pPr>
      <w:r>
        <w:rPr>
          <w:noProof/>
        </w:rPr>
        <mc:AlternateContent>
          <mc:Choice Requires="wps">
            <w:drawing>
              <wp:anchor distT="3175" distB="5394960" distL="114300" distR="3552190" simplePos="0" relativeHeight="125830042" behindDoc="0" locked="0" layoutInCell="1" allowOverlap="1">
                <wp:simplePos x="0" y="0"/>
                <wp:positionH relativeFrom="page">
                  <wp:posOffset>0</wp:posOffset>
                </wp:positionH>
                <wp:positionV relativeFrom="paragraph">
                  <wp:posOffset>12065</wp:posOffset>
                </wp:positionV>
                <wp:extent cx="3206750" cy="1073150"/>
                <wp:effectExtent l="0" t="0" r="0" b="0"/>
                <wp:wrapTopAndBottom/>
                <wp:docPr id="665" name="Shape 665"/>
                <wp:cNvGraphicFramePr/>
                <a:graphic xmlns:a="http://schemas.openxmlformats.org/drawingml/2006/main">
                  <a:graphicData uri="http://schemas.microsoft.com/office/word/2010/wordprocessingShape">
                    <wps:wsp>
                      <wps:cNvSpPr txBox="1"/>
                      <wps:spPr>
                        <a:xfrm>
                          <a:off x="0" y="0"/>
                          <a:ext cx="3206750" cy="1073150"/>
                        </a:xfrm>
                        <a:prstGeom prst="rect">
                          <a:avLst/>
                        </a:prstGeom>
                        <a:noFill/>
                      </wps:spPr>
                      <wps:txbx>
                        <w:txbxContent>
                          <w:p w:rsidR="00500724" w:rsidRDefault="00F30FB8">
                            <w:pPr>
                              <w:pStyle w:val="Nadpis110"/>
                              <w:shd w:val="clear" w:color="auto" w:fill="auto"/>
                              <w:spacing w:line="187" w:lineRule="auto"/>
                              <w:jc w:val="both"/>
                            </w:pPr>
                            <w:bookmarkStart w:id="661" w:name="bookmark658"/>
                            <w:r>
                              <w:t>MUDr. ZDEŇKA NEDVĚDOVÁ-NEJEDLÁ</w:t>
                            </w:r>
                            <w:bookmarkEnd w:id="661"/>
                          </w:p>
                          <w:p w:rsidR="00500724" w:rsidRDefault="00F30FB8">
                            <w:pPr>
                              <w:pStyle w:val="Zkladntext100"/>
                              <w:shd w:val="clear" w:color="auto" w:fill="auto"/>
                              <w:spacing w:after="140" w:line="228" w:lineRule="auto"/>
                              <w:ind w:firstLine="0"/>
                            </w:pPr>
                            <w:r>
                              <w:t xml:space="preserve">odb. dětská lékařka. PODOLÍ, PANKRACKA 14 (stanice elektr. </w:t>
                            </w:r>
                            <w:r>
                              <w:rPr>
                                <w:u w:val="single"/>
                              </w:rPr>
                              <w:t>dráhy za Podol, sanatoriem). Ord. 9—10 a 2—4. Tel. 441-77.</w:t>
                            </w:r>
                          </w:p>
                          <w:p w:rsidR="00500724" w:rsidRDefault="00F30FB8">
                            <w:pPr>
                              <w:pStyle w:val="Nadpis110"/>
                              <w:shd w:val="clear" w:color="auto" w:fill="auto"/>
                              <w:spacing w:line="187" w:lineRule="auto"/>
                              <w:jc w:val="both"/>
                            </w:pPr>
                            <w:bookmarkStart w:id="662" w:name="bookmark659"/>
                            <w:r>
                              <w:t>MUDr. ANTONÍN NEUMANN</w:t>
                            </w:r>
                            <w:bookmarkEnd w:id="662"/>
                          </w:p>
                          <w:p w:rsidR="00500724" w:rsidRDefault="00F30FB8">
                            <w:pPr>
                              <w:pStyle w:val="Zkladntext40"/>
                              <w:shd w:val="clear" w:color="auto" w:fill="auto"/>
                              <w:spacing w:after="80" w:line="214" w:lineRule="auto"/>
                              <w:ind w:firstLine="680"/>
                            </w:pPr>
                            <w:r>
                              <w:t>odborný lékař nemoci pohlavních, kožních a kos</w:t>
                            </w:r>
                            <w:r>
                              <w:t xml:space="preserve">metiky Praha DL, Na Zbořenci 24 — třetí dum od Karlova náměstí. </w:t>
                            </w:r>
                            <w:r>
                              <w:rPr>
                                <w:u w:val="single"/>
                              </w:rPr>
                              <w:t>Ordinuje celý den. V neděli a ve svátek lopoledne. Tel. 41.728.</w:t>
                            </w:r>
                          </w:p>
                        </w:txbxContent>
                      </wps:txbx>
                      <wps:bodyPr lIns="0" tIns="0" rIns="0" bIns="0"/>
                    </wps:wsp>
                  </a:graphicData>
                </a:graphic>
              </wp:anchor>
            </w:drawing>
          </mc:Choice>
          <mc:Fallback>
            <w:pict>
              <v:shape id="_x0000_s1691" type="#_x0000_t202" style="position:absolute;margin-left:0;margin-top:0.94999999999999996pt;width:252.5pt;height:84.5pt;z-index:-125828711;mso-wrap-distance-left:9.pt;mso-wrap-distance-top:0.25pt;mso-wrap-distance-right:279.69999999999999pt;mso-wrap-distance-bottom:424.80000000000001pt;mso-position-horizontal-relative:page" filled="f" stroked="f">
                <v:textbox inset="0,0,0,0">
                  <w:txbxContent>
                    <w:p>
                      <w:pPr>
                        <w:pStyle w:val="Style52"/>
                        <w:keepNext w:val="0"/>
                        <w:keepLines w:val="0"/>
                        <w:widowControl w:val="0"/>
                        <w:shd w:val="clear" w:color="auto" w:fill="auto"/>
                        <w:bidi w:val="0"/>
                        <w:spacing w:before="0" w:after="0" w:line="187" w:lineRule="auto"/>
                        <w:ind w:left="0" w:right="0" w:firstLine="0"/>
                        <w:jc w:val="both"/>
                      </w:pPr>
                      <w:bookmarkStart w:id="658" w:name="bookmark658"/>
                      <w:r>
                        <w:rPr>
                          <w:color w:val="000000"/>
                          <w:spacing w:val="0"/>
                          <w:w w:val="100"/>
                          <w:position w:val="0"/>
                          <w:shd w:val="clear" w:color="auto" w:fill="auto"/>
                          <w:lang w:val="cs-CZ" w:eastAsia="cs-CZ" w:bidi="cs-CZ"/>
                        </w:rPr>
                        <w:t>MUDr. ZDEŇKA NEDVĚDOVÁ-NEJEDLÁ</w:t>
                      </w:r>
                      <w:bookmarkEnd w:id="658"/>
                    </w:p>
                    <w:p>
                      <w:pPr>
                        <w:pStyle w:val="Style344"/>
                        <w:keepNext w:val="0"/>
                        <w:keepLines w:val="0"/>
                        <w:widowControl w:val="0"/>
                        <w:shd w:val="clear" w:color="auto" w:fill="auto"/>
                        <w:bidi w:val="0"/>
                        <w:spacing w:before="0" w:after="140" w:line="228" w:lineRule="auto"/>
                        <w:ind w:left="0" w:right="0" w:firstLine="0"/>
                      </w:pPr>
                      <w:r>
                        <w:rPr>
                          <w:color w:val="000000"/>
                          <w:spacing w:val="0"/>
                          <w:w w:val="100"/>
                          <w:position w:val="0"/>
                          <w:shd w:val="clear" w:color="auto" w:fill="auto"/>
                          <w:lang w:val="cs-CZ" w:eastAsia="cs-CZ" w:bidi="cs-CZ"/>
                        </w:rPr>
                        <w:t xml:space="preserve">odb. dětská lékařka. PODOLÍ, PANKRACKA 14 (stanice elektr. </w:t>
                      </w:r>
                      <w:r>
                        <w:rPr>
                          <w:color w:val="000000"/>
                          <w:spacing w:val="0"/>
                          <w:w w:val="100"/>
                          <w:position w:val="0"/>
                          <w:u w:val="single"/>
                          <w:shd w:val="clear" w:color="auto" w:fill="auto"/>
                          <w:lang w:val="cs-CZ" w:eastAsia="cs-CZ" w:bidi="cs-CZ"/>
                        </w:rPr>
                        <w:t>dráhy za Podol, sanatoriem). Ord. 9—10 a 2—4. Tel. 441-77.</w:t>
                      </w:r>
                    </w:p>
                    <w:p>
                      <w:pPr>
                        <w:pStyle w:val="Style52"/>
                        <w:keepNext w:val="0"/>
                        <w:keepLines w:val="0"/>
                        <w:widowControl w:val="0"/>
                        <w:shd w:val="clear" w:color="auto" w:fill="auto"/>
                        <w:bidi w:val="0"/>
                        <w:spacing w:before="0" w:after="0" w:line="187" w:lineRule="auto"/>
                        <w:ind w:left="0" w:right="0" w:firstLine="0"/>
                        <w:jc w:val="both"/>
                      </w:pPr>
                      <w:bookmarkStart w:id="659" w:name="bookmark659"/>
                      <w:r>
                        <w:rPr>
                          <w:color w:val="000000"/>
                          <w:spacing w:val="0"/>
                          <w:w w:val="100"/>
                          <w:position w:val="0"/>
                          <w:shd w:val="clear" w:color="auto" w:fill="auto"/>
                          <w:lang w:val="cs-CZ" w:eastAsia="cs-CZ" w:bidi="cs-CZ"/>
                        </w:rPr>
                        <w:t>MUDr. ANTONÍN NEUMANN</w:t>
                      </w:r>
                      <w:bookmarkEnd w:id="659"/>
                    </w:p>
                    <w:p>
                      <w:pPr>
                        <w:pStyle w:val="Style42"/>
                        <w:keepNext w:val="0"/>
                        <w:keepLines w:val="0"/>
                        <w:widowControl w:val="0"/>
                        <w:shd w:val="clear" w:color="auto" w:fill="auto"/>
                        <w:bidi w:val="0"/>
                        <w:spacing w:before="0" w:after="80" w:line="214" w:lineRule="auto"/>
                        <w:ind w:left="0" w:right="0" w:firstLine="680"/>
                      </w:pPr>
                      <w:r>
                        <w:rPr>
                          <w:color w:val="000000"/>
                          <w:spacing w:val="0"/>
                          <w:w w:val="100"/>
                          <w:position w:val="0"/>
                          <w:shd w:val="clear" w:color="auto" w:fill="auto"/>
                          <w:lang w:val="cs-CZ" w:eastAsia="cs-CZ" w:bidi="cs-CZ"/>
                        </w:rPr>
                        <w:t xml:space="preserve">odborný lékař nemoci pohlavních, kožních a kosmetiky Praha DL, Na Zbořenci 24 — třetí dum od Karlova náměstí. </w:t>
                      </w:r>
                      <w:r>
                        <w:rPr>
                          <w:color w:val="000000"/>
                          <w:spacing w:val="0"/>
                          <w:w w:val="100"/>
                          <w:position w:val="0"/>
                          <w:u w:val="single"/>
                          <w:shd w:val="clear" w:color="auto" w:fill="auto"/>
                          <w:lang w:val="cs-CZ" w:eastAsia="cs-CZ" w:bidi="cs-CZ"/>
                        </w:rPr>
                        <w:t>Ordinuje celý den. V neděli a ve svátek lopoledne. Tel. 41.728.</w:t>
                      </w:r>
                    </w:p>
                  </w:txbxContent>
                </v:textbox>
                <w10:wrap type="topAndBottom" anchorx="page"/>
              </v:shape>
            </w:pict>
          </mc:Fallback>
        </mc:AlternateContent>
      </w:r>
      <w:r>
        <w:rPr>
          <w:noProof/>
        </w:rPr>
        <mc:AlternateContent>
          <mc:Choice Requires="wps">
            <w:drawing>
              <wp:anchor distT="1179830" distB="4831080" distL="114300" distR="3549650" simplePos="0" relativeHeight="125830044" behindDoc="0" locked="0" layoutInCell="1" allowOverlap="1">
                <wp:simplePos x="0" y="0"/>
                <wp:positionH relativeFrom="page">
                  <wp:posOffset>0</wp:posOffset>
                </wp:positionH>
                <wp:positionV relativeFrom="paragraph">
                  <wp:posOffset>1188720</wp:posOffset>
                </wp:positionV>
                <wp:extent cx="3209290" cy="460375"/>
                <wp:effectExtent l="0" t="0" r="0" b="0"/>
                <wp:wrapTopAndBottom/>
                <wp:docPr id="667" name="Shape 667"/>
                <wp:cNvGraphicFramePr/>
                <a:graphic xmlns:a="http://schemas.openxmlformats.org/drawingml/2006/main">
                  <a:graphicData uri="http://schemas.microsoft.com/office/word/2010/wordprocessingShape">
                    <wps:wsp>
                      <wps:cNvSpPr txBox="1"/>
                      <wps:spPr>
                        <a:xfrm>
                          <a:off x="0" y="0"/>
                          <a:ext cx="3209290" cy="460375"/>
                        </a:xfrm>
                        <a:prstGeom prst="rect">
                          <a:avLst/>
                        </a:prstGeom>
                        <a:noFill/>
                      </wps:spPr>
                      <wps:txbx>
                        <w:txbxContent>
                          <w:p w:rsidR="00500724" w:rsidRDefault="00F30FB8">
                            <w:pPr>
                              <w:pStyle w:val="Zkladntext100"/>
                              <w:shd w:val="clear" w:color="auto" w:fill="auto"/>
                              <w:spacing w:after="60" w:line="187"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line="228" w:lineRule="auto"/>
                              <w:ind w:firstLine="0"/>
                            </w:pPr>
                            <w:r>
                              <w:t xml:space="preserve">ord. 3—4 (a podle úmluvy). Telefon 393-79. PRAHA </w:t>
                            </w:r>
                            <w:r>
                              <w:rPr>
                                <w:sz w:val="22"/>
                                <w:szCs w:val="22"/>
                              </w:rPr>
                              <w:t xml:space="preserve">U.. </w:t>
                            </w:r>
                            <w:r>
                              <w:t>VO</w:t>
                            </w:r>
                            <w:r>
                              <w:softHyphen/>
                            </w:r>
                            <w:r>
                              <w:rPr>
                                <w:u w:val="single"/>
                              </w:rPr>
                              <w:t xml:space="preserve">DIČKOVA 15. (Hlávkův </w:t>
                            </w:r>
                            <w:r>
                              <w:rPr>
                                <w:u w:val="single"/>
                              </w:rPr>
                              <w:t>palác.)</w:t>
                            </w:r>
                          </w:p>
                        </w:txbxContent>
                      </wps:txbx>
                      <wps:bodyPr lIns="0" tIns="0" rIns="0" bIns="0"/>
                    </wps:wsp>
                  </a:graphicData>
                </a:graphic>
              </wp:anchor>
            </w:drawing>
          </mc:Choice>
          <mc:Fallback>
            <w:pict>
              <v:shape id="_x0000_s1693" type="#_x0000_t202" style="position:absolute;margin-left:0;margin-top:93.599999999999994pt;width:252.69999999999999pt;height:36.25pt;z-index:-125828709;mso-wrap-distance-left:9.pt;mso-wrap-distance-top:92.900000000000006pt;mso-wrap-distance-right:279.5pt;mso-wrap-distance-bottom:380.39999999999998pt;mso-position-horizontal-relative:page" filled="f" stroked="f">
                <v:textbox inset="0,0,0,0">
                  <w:txbxContent>
                    <w:p>
                      <w:pPr>
                        <w:pStyle w:val="Style344"/>
                        <w:keepNext w:val="0"/>
                        <w:keepLines w:val="0"/>
                        <w:widowControl w:val="0"/>
                        <w:shd w:val="clear" w:color="auto" w:fill="auto"/>
                        <w:bidi w:val="0"/>
                        <w:spacing w:before="0" w:after="60" w:line="187" w:lineRule="auto"/>
                        <w:ind w:left="0" w:right="0" w:firstLine="0"/>
                        <w:rPr>
                          <w:sz w:val="22"/>
                          <w:szCs w:val="22"/>
                        </w:rPr>
                      </w:pPr>
                      <w:r>
                        <w:rPr>
                          <w:color w:val="000000"/>
                          <w:spacing w:val="0"/>
                          <w:w w:val="100"/>
                          <w:position w:val="0"/>
                          <w:sz w:val="18"/>
                          <w:szCs w:val="18"/>
                          <w:shd w:val="clear" w:color="auto" w:fill="auto"/>
                          <w:lang w:val="cs-CZ" w:eastAsia="cs-CZ" w:bidi="cs-CZ"/>
                        </w:rPr>
                        <w:t xml:space="preserve">Pro plastickou chirurgii </w:t>
                      </w:r>
                      <w:r>
                        <w:rPr>
                          <w:rFonts w:ascii="Arial" w:eastAsia="Arial" w:hAnsi="Arial" w:cs="Arial"/>
                          <w:b/>
                          <w:bCs/>
                          <w:color w:val="000000"/>
                          <w:spacing w:val="0"/>
                          <w:w w:val="100"/>
                          <w:position w:val="0"/>
                          <w:sz w:val="22"/>
                          <w:szCs w:val="22"/>
                          <w:shd w:val="clear" w:color="auto" w:fill="auto"/>
                          <w:lang w:val="cs-CZ" w:eastAsia="cs-CZ" w:bidi="cs-CZ"/>
                        </w:rPr>
                        <w:t>Dr. RUDOLF SLUNEČKO</w:t>
                      </w:r>
                    </w:p>
                    <w:p>
                      <w:pPr>
                        <w:pStyle w:val="Style344"/>
                        <w:keepNext w:val="0"/>
                        <w:keepLines w:val="0"/>
                        <w:widowControl w:val="0"/>
                        <w:shd w:val="clear" w:color="auto" w:fill="auto"/>
                        <w:bidi w:val="0"/>
                        <w:spacing w:before="0" w:after="0" w:line="228" w:lineRule="auto"/>
                        <w:ind w:left="0" w:right="0" w:firstLine="0"/>
                      </w:pPr>
                      <w:r>
                        <w:rPr>
                          <w:color w:val="000000"/>
                          <w:spacing w:val="0"/>
                          <w:w w:val="100"/>
                          <w:position w:val="0"/>
                          <w:shd w:val="clear" w:color="auto" w:fill="auto"/>
                          <w:lang w:val="cs-CZ" w:eastAsia="cs-CZ" w:bidi="cs-CZ"/>
                        </w:rPr>
                        <w:t xml:space="preserve">ord. 3—4 (a podle úmluvy). Telefon 393-79. PRAHA </w:t>
                      </w:r>
                      <w:r>
                        <w:rPr>
                          <w:color w:val="000000"/>
                          <w:spacing w:val="0"/>
                          <w:w w:val="100"/>
                          <w:position w:val="0"/>
                          <w:sz w:val="22"/>
                          <w:szCs w:val="22"/>
                          <w:shd w:val="clear" w:color="auto" w:fill="auto"/>
                          <w:lang w:val="cs-CZ" w:eastAsia="cs-CZ" w:bidi="cs-CZ"/>
                        </w:rPr>
                        <w:t xml:space="preserve">U.. </w:t>
                      </w:r>
                      <w:r>
                        <w:rPr>
                          <w:color w:val="000000"/>
                          <w:spacing w:val="0"/>
                          <w:w w:val="100"/>
                          <w:position w:val="0"/>
                          <w:shd w:val="clear" w:color="auto" w:fill="auto"/>
                          <w:lang w:val="cs-CZ" w:eastAsia="cs-CZ" w:bidi="cs-CZ"/>
                        </w:rPr>
                        <w:t>VO</w:t>
                        <w:softHyphen/>
                      </w:r>
                      <w:r>
                        <w:rPr>
                          <w:color w:val="000000"/>
                          <w:spacing w:val="0"/>
                          <w:w w:val="100"/>
                          <w:position w:val="0"/>
                          <w:u w:val="single"/>
                          <w:shd w:val="clear" w:color="auto" w:fill="auto"/>
                          <w:lang w:val="cs-CZ" w:eastAsia="cs-CZ" w:bidi="cs-CZ"/>
                        </w:rPr>
                        <w:t>DIČKOVA 15. (Hlávkův palác.)</w:t>
                      </w:r>
                    </w:p>
                  </w:txbxContent>
                </v:textbox>
                <w10:wrap type="topAndBottom" anchorx="page"/>
              </v:shape>
            </w:pict>
          </mc:Fallback>
        </mc:AlternateContent>
      </w:r>
      <w:r>
        <w:rPr>
          <w:noProof/>
        </w:rPr>
        <mc:AlternateContent>
          <mc:Choice Requires="wps">
            <w:drawing>
              <wp:anchor distT="1767840" distB="4468495" distL="471170" distR="3909060" simplePos="0" relativeHeight="125830046" behindDoc="0" locked="0" layoutInCell="1" allowOverlap="1">
                <wp:simplePos x="0" y="0"/>
                <wp:positionH relativeFrom="page">
                  <wp:posOffset>356870</wp:posOffset>
                </wp:positionH>
                <wp:positionV relativeFrom="paragraph">
                  <wp:posOffset>1776730</wp:posOffset>
                </wp:positionV>
                <wp:extent cx="2493010" cy="234950"/>
                <wp:effectExtent l="0" t="0" r="0" b="0"/>
                <wp:wrapTopAndBottom/>
                <wp:docPr id="669" name="Shape 669"/>
                <wp:cNvGraphicFramePr/>
                <a:graphic xmlns:a="http://schemas.openxmlformats.org/drawingml/2006/main">
                  <a:graphicData uri="http://schemas.microsoft.com/office/word/2010/wordprocessingShape">
                    <wps:wsp>
                      <wps:cNvSpPr txBox="1"/>
                      <wps:spPr>
                        <a:xfrm>
                          <a:off x="0" y="0"/>
                          <a:ext cx="2493010" cy="234950"/>
                        </a:xfrm>
                        <a:prstGeom prst="rect">
                          <a:avLst/>
                        </a:prstGeom>
                        <a:noFill/>
                      </wps:spPr>
                      <wps:txbx>
                        <w:txbxContent>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pPr>
                            <w:bookmarkStart w:id="663" w:name="bookmark660"/>
                            <w:r>
                              <w:rPr>
                                <w:color w:val="FFFFFF"/>
                                <w:sz w:val="24"/>
                                <w:szCs w:val="24"/>
                              </w:rPr>
                              <w:t xml:space="preserve">VAS </w:t>
                            </w:r>
                            <w:r>
                              <w:rPr>
                                <w:color w:val="FFFFFF"/>
                              </w:rPr>
                              <w:t>VKUS I NÁROKY USPOKOJÍ</w:t>
                            </w:r>
                            <w:bookmarkEnd w:id="663"/>
                          </w:p>
                        </w:txbxContent>
                      </wps:txbx>
                      <wps:bodyPr lIns="0" tIns="0" rIns="0" bIns="0"/>
                    </wps:wsp>
                  </a:graphicData>
                </a:graphic>
              </wp:anchor>
            </w:drawing>
          </mc:Choice>
          <mc:Fallback>
            <w:pict>
              <v:shape id="_x0000_s1695" type="#_x0000_t202" style="position:absolute;margin-left:28.100000000000001pt;margin-top:139.90000000000001pt;width:196.30000000000001pt;height:18.5pt;z-index:-125828707;mso-wrap-distance-left:37.100000000000001pt;mso-wrap-distance-top:139.19999999999999pt;mso-wrap-distance-right:307.80000000000001pt;mso-wrap-distance-bottom:351.85000000000002pt;mso-position-horizontal-relative:page" filled="f" stroked="f">
                <v:textbox inset="0,0,0,0">
                  <w:txbxContent>
                    <w:p>
                      <w:pPr>
                        <w:pStyle w:val="Style5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660" w:name="bookmark660"/>
                      <w:r>
                        <w:rPr>
                          <w:color w:val="FFFFFF"/>
                          <w:spacing w:val="0"/>
                          <w:w w:val="100"/>
                          <w:position w:val="0"/>
                          <w:sz w:val="24"/>
                          <w:szCs w:val="24"/>
                          <w:shd w:val="clear" w:color="auto" w:fill="auto"/>
                          <w:lang w:val="cs-CZ" w:eastAsia="cs-CZ" w:bidi="cs-CZ"/>
                        </w:rPr>
                        <w:t xml:space="preserve">VAS </w:t>
                      </w:r>
                      <w:r>
                        <w:rPr>
                          <w:color w:val="FFFFFF"/>
                          <w:spacing w:val="0"/>
                          <w:w w:val="100"/>
                          <w:position w:val="0"/>
                          <w:sz w:val="22"/>
                          <w:szCs w:val="22"/>
                          <w:shd w:val="clear" w:color="auto" w:fill="auto"/>
                          <w:lang w:val="cs-CZ" w:eastAsia="cs-CZ" w:bidi="cs-CZ"/>
                        </w:rPr>
                        <w:t>VKUS I NÁROKY USPOKOJÍ</w:t>
                      </w:r>
                      <w:bookmarkEnd w:id="660"/>
                    </w:p>
                  </w:txbxContent>
                </v:textbox>
                <w10:wrap type="topAndBottom" anchorx="page"/>
              </v:shape>
            </w:pict>
          </mc:Fallback>
        </mc:AlternateContent>
      </w:r>
      <w:r>
        <w:rPr>
          <w:noProof/>
        </w:rPr>
        <mc:AlternateContent>
          <mc:Choice Requires="wps">
            <w:drawing>
              <wp:anchor distT="2155190" distB="3858895" distL="205740" distR="3625850" simplePos="0" relativeHeight="125830048" behindDoc="0" locked="0" layoutInCell="1" allowOverlap="1">
                <wp:simplePos x="0" y="0"/>
                <wp:positionH relativeFrom="page">
                  <wp:posOffset>91440</wp:posOffset>
                </wp:positionH>
                <wp:positionV relativeFrom="paragraph">
                  <wp:posOffset>2164080</wp:posOffset>
                </wp:positionV>
                <wp:extent cx="3041650" cy="457200"/>
                <wp:effectExtent l="0" t="0" r="0" b="0"/>
                <wp:wrapTopAndBottom/>
                <wp:docPr id="671" name="Shape 671"/>
                <wp:cNvGraphicFramePr/>
                <a:graphic xmlns:a="http://schemas.openxmlformats.org/drawingml/2006/main">
                  <a:graphicData uri="http://schemas.microsoft.com/office/word/2010/wordprocessingShape">
                    <wps:wsp>
                      <wps:cNvSpPr txBox="1"/>
                      <wps:spPr>
                        <a:xfrm>
                          <a:off x="0" y="0"/>
                          <a:ext cx="3041650" cy="457200"/>
                        </a:xfrm>
                        <a:prstGeom prst="rect">
                          <a:avLst/>
                        </a:prstGeom>
                        <a:noFill/>
                      </wps:spPr>
                      <wps:txbx>
                        <w:txbxContent>
                          <w:p w:rsidR="00500724" w:rsidRDefault="00F30FB8">
                            <w:pPr>
                              <w:pStyle w:val="Zkladntext40"/>
                              <w:shd w:val="clear" w:color="auto" w:fill="auto"/>
                              <w:spacing w:after="0" w:line="240" w:lineRule="auto"/>
                              <w:jc w:val="center"/>
                              <w:rPr>
                                <w:sz w:val="14"/>
                                <w:szCs w:val="14"/>
                              </w:rPr>
                            </w:pPr>
                            <w:r>
                              <w:rPr>
                                <w:b/>
                                <w:bCs/>
                                <w:sz w:val="14"/>
                                <w:szCs w:val="14"/>
                              </w:rPr>
                              <w:t>OBUV PfiO VYŠŠÍ NÁRODY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30"/>
                              <w:pBdr>
                                <w:bottom w:val="single" w:sz="4" w:space="0" w:color="auto"/>
                              </w:pBdr>
                              <w:shd w:val="clear" w:color="auto" w:fill="auto"/>
                              <w:spacing w:after="0" w:line="223" w:lineRule="auto"/>
                              <w:ind w:firstLine="0"/>
                              <w:jc w:val="left"/>
                              <w:rPr>
                                <w:sz w:val="20"/>
                                <w:szCs w:val="20"/>
                              </w:rPr>
                            </w:pPr>
                            <w:r>
                              <w:rPr>
                                <w:sz w:val="20"/>
                                <w:szCs w:val="20"/>
                              </w:rPr>
                              <w:t>PRAHA 1., PŘÍKOPY 33, schodiště A, TeL 315-28.</w:t>
                            </w:r>
                          </w:p>
                        </w:txbxContent>
                      </wps:txbx>
                      <wps:bodyPr lIns="0" tIns="0" rIns="0" bIns="0"/>
                    </wps:wsp>
                  </a:graphicData>
                </a:graphic>
              </wp:anchor>
            </w:drawing>
          </mc:Choice>
          <mc:Fallback>
            <w:pict>
              <v:shape id="_x0000_s1697" type="#_x0000_t202" style="position:absolute;margin-left:7.2000000000000002pt;margin-top:170.40000000000001pt;width:239.5pt;height:36.pt;z-index:-125828705;mso-wrap-distance-left:16.199999999999999pt;mso-wrap-distance-top:169.69999999999999pt;mso-wrap-distance-right:285.5pt;mso-wrap-distance-bottom:303.85000000000002pt;mso-position-horizontal-relative:page" filled="f" stroked="f">
                <v:textbox inset="0,0,0,0">
                  <w:txbxContent>
                    <w:p>
                      <w:pPr>
                        <w:pStyle w:val="Style42"/>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shd w:val="clear" w:color="auto" w:fill="auto"/>
                          <w:lang w:val="cs-CZ" w:eastAsia="cs-CZ" w:bidi="cs-CZ"/>
                        </w:rPr>
                        <w:t>OBUV PfiO VYŠŠÍ NÁRODY</w:t>
                      </w:r>
                    </w:p>
                    <w:p>
                      <w:pPr>
                        <w:pStyle w:val="Style12"/>
                        <w:keepNext w:val="0"/>
                        <w:keepLines w:val="0"/>
                        <w:widowControl w:val="0"/>
                        <w:shd w:val="clear" w:color="auto" w:fill="auto"/>
                        <w:bidi w:val="0"/>
                        <w:spacing w:before="0" w:after="0" w:line="192" w:lineRule="auto"/>
                        <w:ind w:left="0" w:right="0" w:firstLine="0"/>
                        <w:jc w:val="center"/>
                        <w:rPr>
                          <w:sz w:val="32"/>
                          <w:szCs w:val="32"/>
                        </w:rPr>
                      </w:pPr>
                      <w:r>
                        <w:rPr>
                          <w:rFonts w:ascii="Arial" w:eastAsia="Arial" w:hAnsi="Arial" w:cs="Arial"/>
                          <w:b/>
                          <w:bCs/>
                          <w:color w:val="000000"/>
                          <w:spacing w:val="0"/>
                          <w:w w:val="100"/>
                          <w:position w:val="0"/>
                          <w:sz w:val="32"/>
                          <w:szCs w:val="32"/>
                          <w:shd w:val="clear" w:color="auto" w:fill="auto"/>
                          <w:lang w:val="en-US" w:eastAsia="en-US" w:bidi="en-US"/>
                        </w:rPr>
                        <w:t xml:space="preserve">FERRY </w:t>
                      </w:r>
                      <w:r>
                        <w:rPr>
                          <w:rFonts w:ascii="Arial" w:eastAsia="Arial" w:hAnsi="Arial" w:cs="Arial"/>
                          <w:b/>
                          <w:bCs/>
                          <w:color w:val="000000"/>
                          <w:spacing w:val="0"/>
                          <w:w w:val="100"/>
                          <w:position w:val="0"/>
                          <w:sz w:val="32"/>
                          <w:szCs w:val="32"/>
                          <w:shd w:val="clear" w:color="auto" w:fill="auto"/>
                          <w:lang w:val="cs-CZ" w:eastAsia="cs-CZ" w:bidi="cs-CZ"/>
                        </w:rPr>
                        <w:t>GRAUMANN</w:t>
                      </w:r>
                    </w:p>
                    <w:p>
                      <w:pPr>
                        <w:pStyle w:val="Style22"/>
                        <w:keepNext w:val="0"/>
                        <w:keepLines w:val="0"/>
                        <w:widowControl w:val="0"/>
                        <w:pBdr>
                          <w:bottom w:val="single" w:sz="4" w:space="0" w:color="auto"/>
                        </w:pBdr>
                        <w:shd w:val="clear" w:color="auto" w:fill="auto"/>
                        <w:bidi w:val="0"/>
                        <w:spacing w:before="0" w:after="0" w:line="223" w:lineRule="auto"/>
                        <w:ind w:left="0" w:right="0" w:firstLine="0"/>
                        <w:jc w:val="left"/>
                        <w:rPr>
                          <w:sz w:val="20"/>
                          <w:szCs w:val="20"/>
                        </w:rPr>
                      </w:pPr>
                      <w:r>
                        <w:rPr>
                          <w:color w:val="000000"/>
                          <w:spacing w:val="0"/>
                          <w:w w:val="100"/>
                          <w:position w:val="0"/>
                          <w:sz w:val="20"/>
                          <w:szCs w:val="20"/>
                          <w:shd w:val="clear" w:color="auto" w:fill="auto"/>
                          <w:lang w:val="cs-CZ" w:eastAsia="cs-CZ" w:bidi="cs-CZ"/>
                        </w:rPr>
                        <w:t>PRAHA 1., PŘÍKOPY 33, schodiště A, TeL 315-28.</w:t>
                      </w:r>
                    </w:p>
                  </w:txbxContent>
                </v:textbox>
                <w10:wrap type="topAndBottom" anchorx="page"/>
              </v:shape>
            </w:pict>
          </mc:Fallback>
        </mc:AlternateContent>
      </w:r>
      <w:r>
        <w:rPr>
          <w:noProof/>
        </w:rPr>
        <mc:AlternateContent>
          <mc:Choice Requires="wps">
            <w:drawing>
              <wp:anchor distT="2832100" distB="3115310" distL="297180" distR="3836035" simplePos="0" relativeHeight="125830050" behindDoc="0" locked="0" layoutInCell="1" allowOverlap="1">
                <wp:simplePos x="0" y="0"/>
                <wp:positionH relativeFrom="page">
                  <wp:posOffset>182880</wp:posOffset>
                </wp:positionH>
                <wp:positionV relativeFrom="paragraph">
                  <wp:posOffset>2840990</wp:posOffset>
                </wp:positionV>
                <wp:extent cx="2740025" cy="524510"/>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2740025" cy="524510"/>
                        </a:xfrm>
                        <a:prstGeom prst="rect">
                          <a:avLst/>
                        </a:prstGeom>
                        <a:noFill/>
                      </wps:spPr>
                      <wps:txbx>
                        <w:txbxContent>
                          <w:p w:rsidR="00500724" w:rsidRDefault="00F30FB8">
                            <w:pPr>
                              <w:pStyle w:val="Jin0"/>
                              <w:shd w:val="clear" w:color="auto" w:fill="auto"/>
                              <w:ind w:firstLine="0"/>
                              <w:jc w:val="left"/>
                              <w:rPr>
                                <w:sz w:val="36"/>
                                <w:szCs w:val="36"/>
                              </w:rPr>
                            </w:pPr>
                            <w:r>
                              <w:rPr>
                                <w:sz w:val="36"/>
                                <w:szCs w:val="36"/>
                              </w:rPr>
                              <w:t>Kouzlo své dovolené</w:t>
                            </w:r>
                          </w:p>
                          <w:p w:rsidR="00500724" w:rsidRDefault="00F30FB8">
                            <w:pPr>
                              <w:pStyle w:val="Jin0"/>
                              <w:shd w:val="clear" w:color="auto" w:fill="auto"/>
                              <w:ind w:firstLine="0"/>
                              <w:jc w:val="left"/>
                              <w:rPr>
                                <w:sz w:val="32"/>
                                <w:szCs w:val="32"/>
                              </w:rPr>
                            </w:pPr>
                            <w:r>
                              <w:rPr>
                                <w:i/>
                                <w:iCs/>
                                <w:sz w:val="32"/>
                                <w:szCs w:val="32"/>
                              </w:rPr>
                              <w:t>znásobíte četbou těchto vybraných</w:t>
                            </w:r>
                          </w:p>
                        </w:txbxContent>
                      </wps:txbx>
                      <wps:bodyPr lIns="0" tIns="0" rIns="0" bIns="0"/>
                    </wps:wsp>
                  </a:graphicData>
                </a:graphic>
              </wp:anchor>
            </w:drawing>
          </mc:Choice>
          <mc:Fallback>
            <w:pict>
              <v:shape id="_x0000_s1699" type="#_x0000_t202" style="position:absolute;margin-left:14.4pt;margin-top:223.69999999999999pt;width:215.75pt;height:41.299999999999997pt;z-index:-125828703;mso-wrap-distance-left:23.399999999999999pt;mso-wrap-distance-top:223.pt;mso-wrap-distance-right:302.05000000000001pt;mso-wrap-distance-bottom:245.3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Kouzlo své dovolené</w:t>
                      </w:r>
                    </w:p>
                    <w:p>
                      <w:pPr>
                        <w:pStyle w:val="Style12"/>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znásobíte četbou těchto vybraných</w:t>
                      </w:r>
                    </w:p>
                  </w:txbxContent>
                </v:textbox>
                <w10:wrap type="topAndBottom" anchorx="page"/>
              </v:shape>
            </w:pict>
          </mc:Fallback>
        </mc:AlternateContent>
      </w:r>
      <w:r>
        <w:rPr>
          <w:noProof/>
        </w:rPr>
        <mc:AlternateContent>
          <mc:Choice Requires="wps">
            <w:drawing>
              <wp:anchor distT="3355975" distB="2862580" distL="285115" distR="5271770" simplePos="0" relativeHeight="125830052" behindDoc="0" locked="0" layoutInCell="1" allowOverlap="1">
                <wp:simplePos x="0" y="0"/>
                <wp:positionH relativeFrom="page">
                  <wp:posOffset>170815</wp:posOffset>
                </wp:positionH>
                <wp:positionV relativeFrom="paragraph">
                  <wp:posOffset>3364865</wp:posOffset>
                </wp:positionV>
                <wp:extent cx="1316990" cy="252730"/>
                <wp:effectExtent l="0" t="0" r="0" b="0"/>
                <wp:wrapTopAndBottom/>
                <wp:docPr id="675" name="Shape 675"/>
                <wp:cNvGraphicFramePr/>
                <a:graphic xmlns:a="http://schemas.openxmlformats.org/drawingml/2006/main">
                  <a:graphicData uri="http://schemas.microsoft.com/office/word/2010/wordprocessingShape">
                    <wps:wsp>
                      <wps:cNvSpPr txBox="1"/>
                      <wps:spPr>
                        <a:xfrm>
                          <a:off x="0" y="0"/>
                          <a:ext cx="1316990" cy="252730"/>
                        </a:xfrm>
                        <a:prstGeom prst="rect">
                          <a:avLst/>
                        </a:prstGeom>
                        <a:noFill/>
                      </wps:spPr>
                      <wps:txbx>
                        <w:txbxContent>
                          <w:p w:rsidR="00500724" w:rsidRDefault="00F30FB8">
                            <w:pPr>
                              <w:pStyle w:val="Jin0"/>
                              <w:shd w:val="clear" w:color="auto" w:fill="auto"/>
                              <w:ind w:firstLine="0"/>
                              <w:jc w:val="left"/>
                              <w:rPr>
                                <w:sz w:val="32"/>
                                <w:szCs w:val="32"/>
                              </w:rPr>
                            </w:pPr>
                            <w:r>
                              <w:rPr>
                                <w:i/>
                                <w:iCs/>
                                <w:sz w:val="32"/>
                                <w:szCs w:val="32"/>
                              </w:rPr>
                              <w:t>českých románů</w:t>
                            </w:r>
                          </w:p>
                        </w:txbxContent>
                      </wps:txbx>
                      <wps:bodyPr lIns="0" tIns="0" rIns="0" bIns="0"/>
                    </wps:wsp>
                  </a:graphicData>
                </a:graphic>
              </wp:anchor>
            </w:drawing>
          </mc:Choice>
          <mc:Fallback>
            <w:pict>
              <v:shape id="_x0000_s1701" type="#_x0000_t202" style="position:absolute;margin-left:13.449999999999999pt;margin-top:264.94999999999999pt;width:103.7pt;height:19.899999999999999pt;z-index:-125828701;mso-wrap-distance-left:22.449999999999999pt;mso-wrap-distance-top:264.25pt;mso-wrap-distance-right:415.10000000000002pt;mso-wrap-distance-bottom:225.4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českých románů</w:t>
                      </w:r>
                    </w:p>
                  </w:txbxContent>
                </v:textbox>
                <w10:wrap type="topAndBottom" anchorx="page"/>
              </v:shape>
            </w:pict>
          </mc:Fallback>
        </mc:AlternateContent>
      </w:r>
      <w:r>
        <w:rPr>
          <w:noProof/>
        </w:rPr>
        <mc:AlternateContent>
          <mc:Choice Requires="wps">
            <w:drawing>
              <wp:anchor distT="1655445" distB="2837815" distL="3710940" distR="940435" simplePos="0" relativeHeight="125830054" behindDoc="0" locked="0" layoutInCell="1" allowOverlap="1">
                <wp:simplePos x="0" y="0"/>
                <wp:positionH relativeFrom="page">
                  <wp:posOffset>3596640</wp:posOffset>
                </wp:positionH>
                <wp:positionV relativeFrom="paragraph">
                  <wp:posOffset>1664335</wp:posOffset>
                </wp:positionV>
                <wp:extent cx="2221865" cy="1978025"/>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2221865" cy="1978025"/>
                        </a:xfrm>
                        <a:prstGeom prst="rect">
                          <a:avLst/>
                        </a:prstGeom>
                        <a:noFill/>
                      </wps:spPr>
                      <wps:txbx>
                        <w:txbxContent>
                          <w:p w:rsidR="00500724" w:rsidRDefault="00F30FB8">
                            <w:pPr>
                              <w:pStyle w:val="Zkladntext40"/>
                              <w:shd w:val="clear" w:color="auto" w:fill="auto"/>
                              <w:spacing w:after="160" w:line="233" w:lineRule="auto"/>
                              <w:ind w:left="160" w:hanging="160"/>
                            </w:pPr>
                            <w:r>
                              <w:t xml:space="preserve">KEOFTA Kamil, Z dob naší první republiky. 22.5X15 </w:t>
                            </w:r>
                            <w:r>
                              <w:t>cm, 348 str.,</w:t>
                            </w:r>
                          </w:p>
                          <w:p w:rsidR="00500724" w:rsidRDefault="00F30FB8">
                            <w:pPr>
                              <w:pStyle w:val="Zkladntext40"/>
                              <w:shd w:val="clear" w:color="auto" w:fill="auto"/>
                              <w:spacing w:after="160" w:line="228" w:lineRule="auto"/>
                              <w:ind w:left="160" w:hanging="160"/>
                            </w:pPr>
                            <w:r>
                              <w:t>MACHIAVELLI Niccoló, Vlády a státy. 19krát 14 cm, 575 st.,</w:t>
                            </w:r>
                          </w:p>
                          <w:p w:rsidR="00500724" w:rsidRDefault="00F30FB8">
                            <w:pPr>
                              <w:pStyle w:val="Zkladntext40"/>
                              <w:shd w:val="clear" w:color="auto" w:fill="auto"/>
                              <w:spacing w:after="160" w:line="240" w:lineRule="auto"/>
                              <w:ind w:left="160" w:hanging="160"/>
                            </w:pPr>
                            <w:r>
                              <w:t>RAMUZ C. F., Míra člověka. Essaye. 16X12 cm, 135 str.,</w:t>
                            </w:r>
                          </w:p>
                          <w:p w:rsidR="00500724" w:rsidRDefault="00F30FB8">
                            <w:pPr>
                              <w:pStyle w:val="Zkladntext40"/>
                              <w:shd w:val="clear" w:color="auto" w:fill="auto"/>
                              <w:spacing w:after="40" w:line="233" w:lineRule="auto"/>
                              <w:ind w:left="160" w:hanging="160"/>
                            </w:pPr>
                            <w:r>
                              <w:t>VOTOCKOVÁ-LAUERMANNOVÁ Olga, Presi</w:t>
                            </w:r>
                            <w:r>
                              <w:softHyphen/>
                              <w:t>dent Dr, Emil. Hácha. Poslední události. 23X15 cm, 45 str.,</w:t>
                            </w:r>
                          </w:p>
                          <w:p w:rsidR="00500724" w:rsidRDefault="00F30FB8">
                            <w:pPr>
                              <w:pStyle w:val="Zkladntext40"/>
                              <w:shd w:val="clear" w:color="auto" w:fill="auto"/>
                              <w:spacing w:after="40" w:line="233" w:lineRule="auto"/>
                              <w:ind w:left="160" w:hanging="160"/>
                            </w:pPr>
                            <w:r>
                              <w:t xml:space="preserve">Société des </w:t>
                            </w:r>
                            <w:r>
                              <w:rPr>
                                <w:lang w:val="en-US" w:eastAsia="en-US" w:bidi="en-US"/>
                              </w:rPr>
                              <w:t>nations: Directives p</w:t>
                            </w:r>
                            <w:r>
                              <w:rPr>
                                <w:lang w:val="en-US" w:eastAsia="en-US" w:bidi="en-US"/>
                              </w:rPr>
                              <w:t xml:space="preserve">our </w:t>
                            </w:r>
                            <w:r>
                              <w:t xml:space="preserve">les eiuiuó- tes sur </w:t>
                            </w:r>
                            <w:r>
                              <w:rPr>
                                <w:lang w:val="en-US" w:eastAsia="en-US" w:bidi="en-US"/>
                              </w:rPr>
                              <w:t xml:space="preserve">la nutrition </w:t>
                            </w:r>
                            <w:r>
                              <w:t xml:space="preserve">de </w:t>
                            </w:r>
                            <w:r>
                              <w:rPr>
                                <w:lang w:val="en-US" w:eastAsia="en-US" w:bidi="en-US"/>
                              </w:rPr>
                              <w:t xml:space="preserve">populations, </w:t>
                            </w:r>
                            <w:r>
                              <w:t xml:space="preserve">par le Dr. E. </w:t>
                            </w:r>
                            <w:r>
                              <w:rPr>
                                <w:lang w:val="en-US" w:eastAsia="en-US" w:bidi="en-US"/>
                              </w:rPr>
                              <w:t xml:space="preserve">J. </w:t>
                            </w:r>
                            <w:r>
                              <w:t>BIGWOOD. 24x16 cm, 293 str.</w:t>
                            </w:r>
                          </w:p>
                          <w:p w:rsidR="00500724" w:rsidRDefault="00F30FB8">
                            <w:pPr>
                              <w:pStyle w:val="Zkladntext40"/>
                              <w:shd w:val="clear" w:color="auto" w:fill="auto"/>
                              <w:spacing w:after="160" w:line="240" w:lineRule="auto"/>
                              <w:ind w:left="160" w:hanging="160"/>
                            </w:pPr>
                            <w:r>
                              <w:t xml:space="preserve">LEMMEL Hans Dr., </w:t>
                            </w:r>
                            <w:r>
                              <w:rPr>
                                <w:lang w:val="en-US" w:eastAsia="en-US" w:bidi="en-US"/>
                              </w:rPr>
                              <w:t xml:space="preserve">Die </w:t>
                            </w:r>
                            <w:r>
                              <w:t xml:space="preserve">Organismusldee </w:t>
                            </w:r>
                            <w:r>
                              <w:rPr>
                                <w:lang w:val="en-US" w:eastAsia="en-US" w:bidi="en-US"/>
                              </w:rPr>
                              <w:t xml:space="preserve">In </w:t>
                            </w:r>
                            <w:r>
                              <w:t>Móllers Dauerwaldgedanken. 24.5X16.5 cm 192 str.,</w:t>
                            </w:r>
                          </w:p>
                        </w:txbxContent>
                      </wps:txbx>
                      <wps:bodyPr lIns="0" tIns="0" rIns="0" bIns="0"/>
                    </wps:wsp>
                  </a:graphicData>
                </a:graphic>
              </wp:anchor>
            </w:drawing>
          </mc:Choice>
          <mc:Fallback>
            <w:pict>
              <v:shape id="_x0000_s1703" type="#_x0000_t202" style="position:absolute;margin-left:283.19999999999999pt;margin-top:131.05000000000001pt;width:174.94999999999999pt;height:155.75pt;z-index:-125828699;mso-wrap-distance-left:292.19999999999999pt;mso-wrap-distance-top:130.34999999999999pt;mso-wrap-distance-right:74.049999999999997pt;mso-wrap-distance-bottom:223.44999999999999pt;mso-position-horizontal-relative:page" filled="f" stroked="f">
                <v:textbox inset="0,0,0,0">
                  <w:txbxContent>
                    <w:p>
                      <w:pPr>
                        <w:pStyle w:val="Style42"/>
                        <w:keepNext w:val="0"/>
                        <w:keepLines w:val="0"/>
                        <w:widowControl w:val="0"/>
                        <w:shd w:val="clear" w:color="auto" w:fill="auto"/>
                        <w:bidi w:val="0"/>
                        <w:spacing w:before="0" w:after="160" w:line="233" w:lineRule="auto"/>
                        <w:ind w:left="160" w:right="0" w:hanging="160"/>
                      </w:pPr>
                      <w:r>
                        <w:rPr>
                          <w:color w:val="000000"/>
                          <w:spacing w:val="0"/>
                          <w:w w:val="100"/>
                          <w:position w:val="0"/>
                          <w:shd w:val="clear" w:color="auto" w:fill="auto"/>
                          <w:lang w:val="cs-CZ" w:eastAsia="cs-CZ" w:bidi="cs-CZ"/>
                        </w:rPr>
                        <w:t>KEOFTA Kamil, Z dob naší první republiky. 22.5X15 cm, 348 str.,</w:t>
                      </w:r>
                    </w:p>
                    <w:p>
                      <w:pPr>
                        <w:pStyle w:val="Style42"/>
                        <w:keepNext w:val="0"/>
                        <w:keepLines w:val="0"/>
                        <w:widowControl w:val="0"/>
                        <w:shd w:val="clear" w:color="auto" w:fill="auto"/>
                        <w:bidi w:val="0"/>
                        <w:spacing w:before="0" w:after="160" w:line="228" w:lineRule="auto"/>
                        <w:ind w:left="160" w:right="0" w:hanging="160"/>
                      </w:pPr>
                      <w:r>
                        <w:rPr>
                          <w:color w:val="000000"/>
                          <w:spacing w:val="0"/>
                          <w:w w:val="100"/>
                          <w:position w:val="0"/>
                          <w:shd w:val="clear" w:color="auto" w:fill="auto"/>
                          <w:lang w:val="cs-CZ" w:eastAsia="cs-CZ" w:bidi="cs-CZ"/>
                        </w:rPr>
                        <w:t>MACHIAVELLI Niccoló, Vlády a státy. 19krát 14 cm, 575 st.,</w:t>
                      </w:r>
                    </w:p>
                    <w:p>
                      <w:pPr>
                        <w:pStyle w:val="Style42"/>
                        <w:keepNext w:val="0"/>
                        <w:keepLines w:val="0"/>
                        <w:widowControl w:val="0"/>
                        <w:shd w:val="clear" w:color="auto" w:fill="auto"/>
                        <w:bidi w:val="0"/>
                        <w:spacing w:before="0" w:after="160" w:line="240" w:lineRule="auto"/>
                        <w:ind w:left="160" w:right="0" w:hanging="160"/>
                      </w:pPr>
                      <w:r>
                        <w:rPr>
                          <w:color w:val="000000"/>
                          <w:spacing w:val="0"/>
                          <w:w w:val="100"/>
                          <w:position w:val="0"/>
                          <w:shd w:val="clear" w:color="auto" w:fill="auto"/>
                          <w:lang w:val="cs-CZ" w:eastAsia="cs-CZ" w:bidi="cs-CZ"/>
                        </w:rPr>
                        <w:t>RAMUZ C. F., Míra člověka. Essaye. 16X12 cm, 135 str.,</w:t>
                      </w:r>
                    </w:p>
                    <w:p>
                      <w:pPr>
                        <w:pStyle w:val="Style42"/>
                        <w:keepNext w:val="0"/>
                        <w:keepLines w:val="0"/>
                        <w:widowControl w:val="0"/>
                        <w:shd w:val="clear" w:color="auto" w:fill="auto"/>
                        <w:bidi w:val="0"/>
                        <w:spacing w:before="0" w:after="40" w:line="233" w:lineRule="auto"/>
                        <w:ind w:left="160" w:right="0" w:hanging="160"/>
                      </w:pPr>
                      <w:r>
                        <w:rPr>
                          <w:color w:val="000000"/>
                          <w:spacing w:val="0"/>
                          <w:w w:val="100"/>
                          <w:position w:val="0"/>
                          <w:shd w:val="clear" w:color="auto" w:fill="auto"/>
                          <w:lang w:val="cs-CZ" w:eastAsia="cs-CZ" w:bidi="cs-CZ"/>
                        </w:rPr>
                        <w:t>VOTOCKOVÁ-LAUERMANNOVÁ Olga, Presi</w:t>
                        <w:softHyphen/>
                        <w:t>dent Dr, Emil. Hácha. Poslední události. 23X15 cm, 45 str.,</w:t>
                      </w:r>
                    </w:p>
                    <w:p>
                      <w:pPr>
                        <w:pStyle w:val="Style42"/>
                        <w:keepNext w:val="0"/>
                        <w:keepLines w:val="0"/>
                        <w:widowControl w:val="0"/>
                        <w:shd w:val="clear" w:color="auto" w:fill="auto"/>
                        <w:bidi w:val="0"/>
                        <w:spacing w:before="0" w:after="40" w:line="233" w:lineRule="auto"/>
                        <w:ind w:left="160" w:right="0" w:hanging="160"/>
                      </w:pPr>
                      <w:r>
                        <w:rPr>
                          <w:color w:val="000000"/>
                          <w:spacing w:val="0"/>
                          <w:w w:val="100"/>
                          <w:position w:val="0"/>
                          <w:shd w:val="clear" w:color="auto" w:fill="auto"/>
                          <w:lang w:val="cs-CZ" w:eastAsia="cs-CZ" w:bidi="cs-CZ"/>
                        </w:rPr>
                        <w:t xml:space="preserve">Société des </w:t>
                      </w:r>
                      <w:r>
                        <w:rPr>
                          <w:color w:val="000000"/>
                          <w:spacing w:val="0"/>
                          <w:w w:val="100"/>
                          <w:position w:val="0"/>
                          <w:shd w:val="clear" w:color="auto" w:fill="auto"/>
                          <w:lang w:val="en-US" w:eastAsia="en-US" w:bidi="en-US"/>
                        </w:rPr>
                        <w:t xml:space="preserve">nations: Directives pour </w:t>
                      </w:r>
                      <w:r>
                        <w:rPr>
                          <w:color w:val="000000"/>
                          <w:spacing w:val="0"/>
                          <w:w w:val="100"/>
                          <w:position w:val="0"/>
                          <w:shd w:val="clear" w:color="auto" w:fill="auto"/>
                          <w:lang w:val="cs-CZ" w:eastAsia="cs-CZ" w:bidi="cs-CZ"/>
                        </w:rPr>
                        <w:t xml:space="preserve">les eiuiuó- tes sur </w:t>
                      </w:r>
                      <w:r>
                        <w:rPr>
                          <w:color w:val="000000"/>
                          <w:spacing w:val="0"/>
                          <w:w w:val="100"/>
                          <w:position w:val="0"/>
                          <w:shd w:val="clear" w:color="auto" w:fill="auto"/>
                          <w:lang w:val="en-US" w:eastAsia="en-US" w:bidi="en-US"/>
                        </w:rPr>
                        <w:t xml:space="preserve">la nutrition </w:t>
                      </w:r>
                      <w:r>
                        <w:rPr>
                          <w:color w:val="000000"/>
                          <w:spacing w:val="0"/>
                          <w:w w:val="100"/>
                          <w:position w:val="0"/>
                          <w:shd w:val="clear" w:color="auto" w:fill="auto"/>
                          <w:lang w:val="cs-CZ" w:eastAsia="cs-CZ" w:bidi="cs-CZ"/>
                        </w:rPr>
                        <w:t xml:space="preserve">de </w:t>
                      </w:r>
                      <w:r>
                        <w:rPr>
                          <w:color w:val="000000"/>
                          <w:spacing w:val="0"/>
                          <w:w w:val="100"/>
                          <w:position w:val="0"/>
                          <w:shd w:val="clear" w:color="auto" w:fill="auto"/>
                          <w:lang w:val="en-US" w:eastAsia="en-US" w:bidi="en-US"/>
                        </w:rPr>
                        <w:t xml:space="preserve">populations, </w:t>
                      </w:r>
                      <w:r>
                        <w:rPr>
                          <w:color w:val="000000"/>
                          <w:spacing w:val="0"/>
                          <w:w w:val="100"/>
                          <w:position w:val="0"/>
                          <w:shd w:val="clear" w:color="auto" w:fill="auto"/>
                          <w:lang w:val="cs-CZ" w:eastAsia="cs-CZ" w:bidi="cs-CZ"/>
                        </w:rPr>
                        <w:t xml:space="preserve">par le Dr. E. </w:t>
                      </w:r>
                      <w:r>
                        <w:rPr>
                          <w:color w:val="000000"/>
                          <w:spacing w:val="0"/>
                          <w:w w:val="100"/>
                          <w:position w:val="0"/>
                          <w:shd w:val="clear" w:color="auto" w:fill="auto"/>
                          <w:lang w:val="en-US" w:eastAsia="en-US" w:bidi="en-US"/>
                        </w:rPr>
                        <w:t xml:space="preserve">J. </w:t>
                      </w:r>
                      <w:r>
                        <w:rPr>
                          <w:color w:val="000000"/>
                          <w:spacing w:val="0"/>
                          <w:w w:val="100"/>
                          <w:position w:val="0"/>
                          <w:shd w:val="clear" w:color="auto" w:fill="auto"/>
                          <w:lang w:val="cs-CZ" w:eastAsia="cs-CZ" w:bidi="cs-CZ"/>
                        </w:rPr>
                        <w:t>BIGWOOD. 24x16 cm, 293 str.</w:t>
                      </w:r>
                    </w:p>
                    <w:p>
                      <w:pPr>
                        <w:pStyle w:val="Style42"/>
                        <w:keepNext w:val="0"/>
                        <w:keepLines w:val="0"/>
                        <w:widowControl w:val="0"/>
                        <w:shd w:val="clear" w:color="auto" w:fill="auto"/>
                        <w:bidi w:val="0"/>
                        <w:spacing w:before="0" w:after="160" w:line="240" w:lineRule="auto"/>
                        <w:ind w:left="160" w:right="0" w:hanging="160"/>
                      </w:pPr>
                      <w:r>
                        <w:rPr>
                          <w:color w:val="000000"/>
                          <w:spacing w:val="0"/>
                          <w:w w:val="100"/>
                          <w:position w:val="0"/>
                          <w:shd w:val="clear" w:color="auto" w:fill="auto"/>
                          <w:lang w:val="cs-CZ" w:eastAsia="cs-CZ" w:bidi="cs-CZ"/>
                        </w:rPr>
                        <w:t xml:space="preserve">LEMMEL Hans Dr., </w:t>
                      </w:r>
                      <w:r>
                        <w:rPr>
                          <w:color w:val="000000"/>
                          <w:spacing w:val="0"/>
                          <w:w w:val="100"/>
                          <w:position w:val="0"/>
                          <w:shd w:val="clear" w:color="auto" w:fill="auto"/>
                          <w:lang w:val="en-US" w:eastAsia="en-US" w:bidi="en-US"/>
                        </w:rPr>
                        <w:t xml:space="preserve">Die </w:t>
                      </w:r>
                      <w:r>
                        <w:rPr>
                          <w:color w:val="000000"/>
                          <w:spacing w:val="0"/>
                          <w:w w:val="100"/>
                          <w:position w:val="0"/>
                          <w:shd w:val="clear" w:color="auto" w:fill="auto"/>
                          <w:lang w:val="cs-CZ" w:eastAsia="cs-CZ" w:bidi="cs-CZ"/>
                        </w:rPr>
                        <w:t xml:space="preserve">Organismusldee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cs-CZ" w:eastAsia="cs-CZ" w:bidi="cs-CZ"/>
                        </w:rPr>
                        <w:t>Móllers Dauerwaldgedanken. 24.5X16.5 cm 192 str.,</w:t>
                      </w:r>
                    </w:p>
                  </w:txbxContent>
                </v:textbox>
                <w10:wrap type="topAndBottom" anchorx="page"/>
              </v:shape>
            </w:pict>
          </mc:Fallback>
        </mc:AlternateContent>
      </w:r>
      <w:r>
        <w:rPr>
          <w:noProof/>
        </w:rPr>
        <mc:AlternateContent>
          <mc:Choice Requires="wps">
            <w:drawing>
              <wp:anchor distT="1417320" distB="2856230" distL="5942330" distR="273050" simplePos="0" relativeHeight="125830056" behindDoc="0" locked="0" layoutInCell="1" allowOverlap="1">
                <wp:simplePos x="0" y="0"/>
                <wp:positionH relativeFrom="page">
                  <wp:posOffset>5828030</wp:posOffset>
                </wp:positionH>
                <wp:positionV relativeFrom="paragraph">
                  <wp:posOffset>1426210</wp:posOffset>
                </wp:positionV>
                <wp:extent cx="658495" cy="2197735"/>
                <wp:effectExtent l="0" t="0" r="0" b="0"/>
                <wp:wrapTopAndBottom/>
                <wp:docPr id="679" name="Shape 679"/>
                <wp:cNvGraphicFramePr/>
                <a:graphic xmlns:a="http://schemas.openxmlformats.org/drawingml/2006/main">
                  <a:graphicData uri="http://schemas.microsoft.com/office/word/2010/wordprocessingShape">
                    <wps:wsp>
                      <wps:cNvSpPr txBox="1"/>
                      <wps:spPr>
                        <a:xfrm>
                          <a:off x="0" y="0"/>
                          <a:ext cx="658495" cy="219773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619"/>
                              <w:gridCol w:w="418"/>
                            </w:tblGrid>
                            <w:tr w:rsidR="00500724">
                              <w:tblPrEx>
                                <w:tblCellMar>
                                  <w:top w:w="0" w:type="dxa"/>
                                  <w:bottom w:w="0" w:type="dxa"/>
                                </w:tblCellMar>
                              </w:tblPrEx>
                              <w:trPr>
                                <w:trHeight w:hRule="exact" w:val="163"/>
                                <w:tblHeader/>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17.—</w:t>
                                  </w:r>
                                </w:p>
                              </w:tc>
                            </w:tr>
                            <w:tr w:rsidR="00500724">
                              <w:tblPrEx>
                                <w:tblCellMar>
                                  <w:top w:w="0" w:type="dxa"/>
                                  <w:bottom w:w="0" w:type="dxa"/>
                                </w:tblCellMar>
                              </w:tblPrEx>
                              <w:trPr>
                                <w:trHeight w:hRule="exact" w:val="254"/>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tcPr>
                                <w:p w:rsidR="00500724" w:rsidRDefault="00F30FB8">
                                  <w:pPr>
                                    <w:pStyle w:val="Jin0"/>
                                    <w:shd w:val="clear" w:color="auto" w:fill="auto"/>
                                    <w:ind w:firstLine="0"/>
                                    <w:jc w:val="right"/>
                                    <w:rPr>
                                      <w:sz w:val="15"/>
                                      <w:szCs w:val="15"/>
                                    </w:rPr>
                                  </w:pPr>
                                  <w:r>
                                    <w:rPr>
                                      <w:sz w:val="15"/>
                                      <w:szCs w:val="15"/>
                                    </w:rPr>
                                    <w:t>23.—</w:t>
                                  </w:r>
                                </w:p>
                              </w:tc>
                            </w:tr>
                            <w:tr w:rsidR="00500724">
                              <w:tblPrEx>
                                <w:tblCellMar>
                                  <w:top w:w="0" w:type="dxa"/>
                                  <w:bottom w:w="0" w:type="dxa"/>
                                </w:tblCellMar>
                              </w:tblPrEx>
                              <w:trPr>
                                <w:trHeight w:hRule="exact" w:val="250"/>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45.—</w:t>
                                  </w:r>
                                </w:p>
                              </w:tc>
                            </w:tr>
                            <w:tr w:rsidR="00500724">
                              <w:tblPrEx>
                                <w:tblCellMar>
                                  <w:top w:w="0" w:type="dxa"/>
                                  <w:bottom w:w="0" w:type="dxa"/>
                                </w:tblCellMar>
                              </w:tblPrEx>
                              <w:trPr>
                                <w:trHeight w:hRule="exact" w:val="254"/>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vAlign w:val="center"/>
                                </w:tcPr>
                                <w:p w:rsidR="00500724" w:rsidRDefault="00F30FB8">
                                  <w:pPr>
                                    <w:pStyle w:val="Jin0"/>
                                    <w:shd w:val="clear" w:color="auto" w:fill="auto"/>
                                    <w:ind w:firstLine="0"/>
                                    <w:jc w:val="right"/>
                                    <w:rPr>
                                      <w:sz w:val="15"/>
                                      <w:szCs w:val="15"/>
                                    </w:rPr>
                                  </w:pPr>
                                  <w:r>
                                    <w:rPr>
                                      <w:sz w:val="15"/>
                                      <w:szCs w:val="15"/>
                                    </w:rPr>
                                    <w:t>60.—</w:t>
                                  </w:r>
                                </w:p>
                              </w:tc>
                            </w:tr>
                            <w:tr w:rsidR="00500724">
                              <w:tblPrEx>
                                <w:tblCellMar>
                                  <w:top w:w="0" w:type="dxa"/>
                                  <w:bottom w:w="0" w:type="dxa"/>
                                </w:tblCellMar>
                              </w:tblPrEx>
                              <w:trPr>
                                <w:trHeight w:hRule="exact" w:val="250"/>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45.—</w:t>
                                  </w:r>
                                </w:p>
                              </w:tc>
                            </w:tr>
                            <w:tr w:rsidR="00500724">
                              <w:tblPrEx>
                                <w:tblCellMar>
                                  <w:top w:w="0" w:type="dxa"/>
                                  <w:bottom w:w="0" w:type="dxa"/>
                                </w:tblCellMar>
                              </w:tblPrEx>
                              <w:trPr>
                                <w:trHeight w:hRule="exact" w:val="259"/>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tcPr>
                                <w:p w:rsidR="00500724" w:rsidRDefault="00F30FB8">
                                  <w:pPr>
                                    <w:pStyle w:val="Jin0"/>
                                    <w:shd w:val="clear" w:color="auto" w:fill="auto"/>
                                    <w:ind w:firstLine="0"/>
                                    <w:jc w:val="right"/>
                                    <w:rPr>
                                      <w:sz w:val="15"/>
                                      <w:szCs w:val="15"/>
                                    </w:rPr>
                                  </w:pPr>
                                  <w:r>
                                    <w:rPr>
                                      <w:sz w:val="15"/>
                                      <w:szCs w:val="15"/>
                                    </w:rPr>
                                    <w:t>55.—</w:t>
                                  </w:r>
                                </w:p>
                              </w:tc>
                            </w:tr>
                            <w:tr w:rsidR="00500724">
                              <w:tblPrEx>
                                <w:tblCellMar>
                                  <w:top w:w="0" w:type="dxa"/>
                                  <w:bottom w:w="0" w:type="dxa"/>
                                </w:tblCellMar>
                              </w:tblPrEx>
                              <w:trPr>
                                <w:trHeight w:hRule="exact" w:val="250"/>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15.—</w:t>
                                  </w:r>
                                </w:p>
                              </w:tc>
                            </w:tr>
                            <w:tr w:rsidR="00500724">
                              <w:tblPrEx>
                                <w:tblCellMar>
                                  <w:top w:w="0" w:type="dxa"/>
                                  <w:bottom w:w="0" w:type="dxa"/>
                                </w:tblCellMar>
                              </w:tblPrEx>
                              <w:trPr>
                                <w:trHeight w:hRule="exact" w:val="341"/>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tcPr>
                                <w:p w:rsidR="00500724" w:rsidRDefault="00F30FB8">
                                  <w:pPr>
                                    <w:pStyle w:val="Jin0"/>
                                    <w:shd w:val="clear" w:color="auto" w:fill="auto"/>
                                    <w:ind w:firstLine="0"/>
                                    <w:jc w:val="right"/>
                                    <w:rPr>
                                      <w:sz w:val="15"/>
                                      <w:szCs w:val="15"/>
                                    </w:rPr>
                                  </w:pPr>
                                  <w:r>
                                    <w:rPr>
                                      <w:sz w:val="15"/>
                                      <w:szCs w:val="15"/>
                                    </w:rPr>
                                    <w:t>27.—</w:t>
                                  </w:r>
                                </w:p>
                              </w:tc>
                            </w:tr>
                            <w:tr w:rsidR="00500724">
                              <w:tblPrEx>
                                <w:tblCellMar>
                                  <w:top w:w="0" w:type="dxa"/>
                                  <w:bottom w:w="0" w:type="dxa"/>
                                </w:tblCellMar>
                              </w:tblPrEx>
                              <w:trPr>
                                <w:trHeight w:hRule="exact" w:val="528"/>
                              </w:trPr>
                              <w:tc>
                                <w:tcPr>
                                  <w:tcW w:w="619" w:type="dxa"/>
                                  <w:shd w:val="clear" w:color="auto" w:fill="FFFFFF"/>
                                  <w:vAlign w:val="center"/>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center"/>
                                </w:tcPr>
                                <w:p w:rsidR="00500724" w:rsidRDefault="00F30FB8">
                                  <w:pPr>
                                    <w:pStyle w:val="Jin0"/>
                                    <w:shd w:val="clear" w:color="auto" w:fill="auto"/>
                                    <w:ind w:firstLine="0"/>
                                    <w:jc w:val="right"/>
                                    <w:rPr>
                                      <w:sz w:val="15"/>
                                      <w:szCs w:val="15"/>
                                    </w:rPr>
                                  </w:pPr>
                                  <w:r>
                                    <w:rPr>
                                      <w:sz w:val="15"/>
                                      <w:szCs w:val="15"/>
                                    </w:rPr>
                                    <w:t>8.—</w:t>
                                  </w:r>
                                </w:p>
                              </w:tc>
                            </w:tr>
                            <w:tr w:rsidR="00500724">
                              <w:tblPrEx>
                                <w:tblCellMar>
                                  <w:top w:w="0" w:type="dxa"/>
                                  <w:bottom w:w="0" w:type="dxa"/>
                                </w:tblCellMar>
                              </w:tblPrEx>
                              <w:trPr>
                                <w:trHeight w:hRule="exact" w:val="557"/>
                              </w:trPr>
                              <w:tc>
                                <w:tcPr>
                                  <w:tcW w:w="619" w:type="dxa"/>
                                  <w:shd w:val="clear" w:color="auto" w:fill="FFFFFF"/>
                                  <w:vAlign w:val="center"/>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center"/>
                                </w:tcPr>
                                <w:p w:rsidR="00500724" w:rsidRDefault="00F30FB8">
                                  <w:pPr>
                                    <w:pStyle w:val="Jin0"/>
                                    <w:shd w:val="clear" w:color="auto" w:fill="auto"/>
                                    <w:ind w:firstLine="0"/>
                                    <w:jc w:val="right"/>
                                    <w:rPr>
                                      <w:sz w:val="15"/>
                                      <w:szCs w:val="15"/>
                                    </w:rPr>
                                  </w:pPr>
                                  <w:r>
                                    <w:rPr>
                                      <w:sz w:val="15"/>
                                      <w:szCs w:val="15"/>
                                    </w:rPr>
                                    <w:t>45.—</w:t>
                                  </w:r>
                                </w:p>
                              </w:tc>
                            </w:tr>
                            <w:tr w:rsidR="00500724">
                              <w:tblPrEx>
                                <w:tblCellMar>
                                  <w:top w:w="0" w:type="dxa"/>
                                  <w:bottom w:w="0" w:type="dxa"/>
                                </w:tblCellMar>
                              </w:tblPrEx>
                              <w:trPr>
                                <w:trHeight w:hRule="exact" w:val="355"/>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69.—</w:t>
                                  </w:r>
                                </w:p>
                              </w:tc>
                            </w:tr>
                          </w:tbl>
                          <w:p w:rsidR="00000000" w:rsidRDefault="00F30FB8"/>
                        </w:txbxContent>
                      </wps:txbx>
                      <wps:bodyPr lIns="0" tIns="0" rIns="0" bIns="0">
                        <a:spAutoFit/>
                      </wps:bodyPr>
                    </wps:wsp>
                  </a:graphicData>
                </a:graphic>
              </wp:anchor>
            </w:drawing>
          </mc:Choice>
          <mc:Fallback>
            <w:pict>
              <v:shape id="Shape 679" o:spid="_x0000_s1365" type="#_x0000_t202" style="position:absolute;margin-left:458.9pt;margin-top:112.3pt;width:51.85pt;height:173.05pt;z-index:125830056;visibility:visible;mso-wrap-style:square;mso-wrap-distance-left:467.9pt;mso-wrap-distance-top:111.6pt;mso-wrap-distance-right:21.5pt;mso-wrap-distance-bottom:22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619"/>
                        <w:gridCol w:w="418"/>
                      </w:tblGrid>
                      <w:tr w:rsidR="00500724">
                        <w:tblPrEx>
                          <w:tblCellMar>
                            <w:top w:w="0" w:type="dxa"/>
                            <w:bottom w:w="0" w:type="dxa"/>
                          </w:tblCellMar>
                        </w:tblPrEx>
                        <w:trPr>
                          <w:trHeight w:hRule="exact" w:val="163"/>
                          <w:tblHeader/>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17.—</w:t>
                            </w:r>
                          </w:p>
                        </w:tc>
                      </w:tr>
                      <w:tr w:rsidR="00500724">
                        <w:tblPrEx>
                          <w:tblCellMar>
                            <w:top w:w="0" w:type="dxa"/>
                            <w:bottom w:w="0" w:type="dxa"/>
                          </w:tblCellMar>
                        </w:tblPrEx>
                        <w:trPr>
                          <w:trHeight w:hRule="exact" w:val="254"/>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tcPr>
                          <w:p w:rsidR="00500724" w:rsidRDefault="00F30FB8">
                            <w:pPr>
                              <w:pStyle w:val="Jin0"/>
                              <w:shd w:val="clear" w:color="auto" w:fill="auto"/>
                              <w:ind w:firstLine="0"/>
                              <w:jc w:val="right"/>
                              <w:rPr>
                                <w:sz w:val="15"/>
                                <w:szCs w:val="15"/>
                              </w:rPr>
                            </w:pPr>
                            <w:r>
                              <w:rPr>
                                <w:sz w:val="15"/>
                                <w:szCs w:val="15"/>
                              </w:rPr>
                              <w:t>23.—</w:t>
                            </w:r>
                          </w:p>
                        </w:tc>
                      </w:tr>
                      <w:tr w:rsidR="00500724">
                        <w:tblPrEx>
                          <w:tblCellMar>
                            <w:top w:w="0" w:type="dxa"/>
                            <w:bottom w:w="0" w:type="dxa"/>
                          </w:tblCellMar>
                        </w:tblPrEx>
                        <w:trPr>
                          <w:trHeight w:hRule="exact" w:val="250"/>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45.—</w:t>
                            </w:r>
                          </w:p>
                        </w:tc>
                      </w:tr>
                      <w:tr w:rsidR="00500724">
                        <w:tblPrEx>
                          <w:tblCellMar>
                            <w:top w:w="0" w:type="dxa"/>
                            <w:bottom w:w="0" w:type="dxa"/>
                          </w:tblCellMar>
                        </w:tblPrEx>
                        <w:trPr>
                          <w:trHeight w:hRule="exact" w:val="254"/>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vAlign w:val="center"/>
                          </w:tcPr>
                          <w:p w:rsidR="00500724" w:rsidRDefault="00F30FB8">
                            <w:pPr>
                              <w:pStyle w:val="Jin0"/>
                              <w:shd w:val="clear" w:color="auto" w:fill="auto"/>
                              <w:ind w:firstLine="0"/>
                              <w:jc w:val="right"/>
                              <w:rPr>
                                <w:sz w:val="15"/>
                                <w:szCs w:val="15"/>
                              </w:rPr>
                            </w:pPr>
                            <w:r>
                              <w:rPr>
                                <w:sz w:val="15"/>
                                <w:szCs w:val="15"/>
                              </w:rPr>
                              <w:t>60.—</w:t>
                            </w:r>
                          </w:p>
                        </w:tc>
                      </w:tr>
                      <w:tr w:rsidR="00500724">
                        <w:tblPrEx>
                          <w:tblCellMar>
                            <w:top w:w="0" w:type="dxa"/>
                            <w:bottom w:w="0" w:type="dxa"/>
                          </w:tblCellMar>
                        </w:tblPrEx>
                        <w:trPr>
                          <w:trHeight w:hRule="exact" w:val="250"/>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45.—</w:t>
                            </w:r>
                          </w:p>
                        </w:tc>
                      </w:tr>
                      <w:tr w:rsidR="00500724">
                        <w:tblPrEx>
                          <w:tblCellMar>
                            <w:top w:w="0" w:type="dxa"/>
                            <w:bottom w:w="0" w:type="dxa"/>
                          </w:tblCellMar>
                        </w:tblPrEx>
                        <w:trPr>
                          <w:trHeight w:hRule="exact" w:val="259"/>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tcPr>
                          <w:p w:rsidR="00500724" w:rsidRDefault="00F30FB8">
                            <w:pPr>
                              <w:pStyle w:val="Jin0"/>
                              <w:shd w:val="clear" w:color="auto" w:fill="auto"/>
                              <w:ind w:firstLine="0"/>
                              <w:jc w:val="right"/>
                              <w:rPr>
                                <w:sz w:val="15"/>
                                <w:szCs w:val="15"/>
                              </w:rPr>
                            </w:pPr>
                            <w:r>
                              <w:rPr>
                                <w:sz w:val="15"/>
                                <w:szCs w:val="15"/>
                              </w:rPr>
                              <w:t>55.—</w:t>
                            </w:r>
                          </w:p>
                        </w:tc>
                      </w:tr>
                      <w:tr w:rsidR="00500724">
                        <w:tblPrEx>
                          <w:tblCellMar>
                            <w:top w:w="0" w:type="dxa"/>
                            <w:bottom w:w="0" w:type="dxa"/>
                          </w:tblCellMar>
                        </w:tblPrEx>
                        <w:trPr>
                          <w:trHeight w:hRule="exact" w:val="250"/>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15.—</w:t>
                            </w:r>
                          </w:p>
                        </w:tc>
                      </w:tr>
                      <w:tr w:rsidR="00500724">
                        <w:tblPrEx>
                          <w:tblCellMar>
                            <w:top w:w="0" w:type="dxa"/>
                            <w:bottom w:w="0" w:type="dxa"/>
                          </w:tblCellMar>
                        </w:tblPrEx>
                        <w:trPr>
                          <w:trHeight w:hRule="exact" w:val="341"/>
                        </w:trPr>
                        <w:tc>
                          <w:tcPr>
                            <w:tcW w:w="619" w:type="dxa"/>
                            <w:shd w:val="clear" w:color="auto" w:fill="FFFFFF"/>
                          </w:tcPr>
                          <w:p w:rsidR="00500724" w:rsidRDefault="00F30FB8">
                            <w:pPr>
                              <w:pStyle w:val="Jin0"/>
                              <w:shd w:val="clear" w:color="auto" w:fill="auto"/>
                              <w:ind w:firstLine="0"/>
                              <w:jc w:val="left"/>
                              <w:rPr>
                                <w:sz w:val="15"/>
                                <w:szCs w:val="15"/>
                              </w:rPr>
                            </w:pPr>
                            <w:r>
                              <w:rPr>
                                <w:sz w:val="15"/>
                                <w:szCs w:val="15"/>
                              </w:rPr>
                              <w:t>váz. K</w:t>
                            </w:r>
                          </w:p>
                        </w:tc>
                        <w:tc>
                          <w:tcPr>
                            <w:tcW w:w="418" w:type="dxa"/>
                            <w:shd w:val="clear" w:color="auto" w:fill="FFFFFF"/>
                          </w:tcPr>
                          <w:p w:rsidR="00500724" w:rsidRDefault="00F30FB8">
                            <w:pPr>
                              <w:pStyle w:val="Jin0"/>
                              <w:shd w:val="clear" w:color="auto" w:fill="auto"/>
                              <w:ind w:firstLine="0"/>
                              <w:jc w:val="right"/>
                              <w:rPr>
                                <w:sz w:val="15"/>
                                <w:szCs w:val="15"/>
                              </w:rPr>
                            </w:pPr>
                            <w:r>
                              <w:rPr>
                                <w:sz w:val="15"/>
                                <w:szCs w:val="15"/>
                              </w:rPr>
                              <w:t>27.—</w:t>
                            </w:r>
                          </w:p>
                        </w:tc>
                      </w:tr>
                      <w:tr w:rsidR="00500724">
                        <w:tblPrEx>
                          <w:tblCellMar>
                            <w:top w:w="0" w:type="dxa"/>
                            <w:bottom w:w="0" w:type="dxa"/>
                          </w:tblCellMar>
                        </w:tblPrEx>
                        <w:trPr>
                          <w:trHeight w:hRule="exact" w:val="528"/>
                        </w:trPr>
                        <w:tc>
                          <w:tcPr>
                            <w:tcW w:w="619" w:type="dxa"/>
                            <w:shd w:val="clear" w:color="auto" w:fill="FFFFFF"/>
                            <w:vAlign w:val="center"/>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center"/>
                          </w:tcPr>
                          <w:p w:rsidR="00500724" w:rsidRDefault="00F30FB8">
                            <w:pPr>
                              <w:pStyle w:val="Jin0"/>
                              <w:shd w:val="clear" w:color="auto" w:fill="auto"/>
                              <w:ind w:firstLine="0"/>
                              <w:jc w:val="right"/>
                              <w:rPr>
                                <w:sz w:val="15"/>
                                <w:szCs w:val="15"/>
                              </w:rPr>
                            </w:pPr>
                            <w:r>
                              <w:rPr>
                                <w:sz w:val="15"/>
                                <w:szCs w:val="15"/>
                              </w:rPr>
                              <w:t>8.—</w:t>
                            </w:r>
                          </w:p>
                        </w:tc>
                      </w:tr>
                      <w:tr w:rsidR="00500724">
                        <w:tblPrEx>
                          <w:tblCellMar>
                            <w:top w:w="0" w:type="dxa"/>
                            <w:bottom w:w="0" w:type="dxa"/>
                          </w:tblCellMar>
                        </w:tblPrEx>
                        <w:trPr>
                          <w:trHeight w:hRule="exact" w:val="557"/>
                        </w:trPr>
                        <w:tc>
                          <w:tcPr>
                            <w:tcW w:w="619" w:type="dxa"/>
                            <w:shd w:val="clear" w:color="auto" w:fill="FFFFFF"/>
                            <w:vAlign w:val="center"/>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center"/>
                          </w:tcPr>
                          <w:p w:rsidR="00500724" w:rsidRDefault="00F30FB8">
                            <w:pPr>
                              <w:pStyle w:val="Jin0"/>
                              <w:shd w:val="clear" w:color="auto" w:fill="auto"/>
                              <w:ind w:firstLine="0"/>
                              <w:jc w:val="right"/>
                              <w:rPr>
                                <w:sz w:val="15"/>
                                <w:szCs w:val="15"/>
                              </w:rPr>
                            </w:pPr>
                            <w:r>
                              <w:rPr>
                                <w:sz w:val="15"/>
                                <w:szCs w:val="15"/>
                              </w:rPr>
                              <w:t>45.—</w:t>
                            </w:r>
                          </w:p>
                        </w:tc>
                      </w:tr>
                      <w:tr w:rsidR="00500724">
                        <w:tblPrEx>
                          <w:tblCellMar>
                            <w:top w:w="0" w:type="dxa"/>
                            <w:bottom w:w="0" w:type="dxa"/>
                          </w:tblCellMar>
                        </w:tblPrEx>
                        <w:trPr>
                          <w:trHeight w:hRule="exact" w:val="355"/>
                        </w:trPr>
                        <w:tc>
                          <w:tcPr>
                            <w:tcW w:w="619" w:type="dxa"/>
                            <w:shd w:val="clear" w:color="auto" w:fill="FFFFFF"/>
                            <w:vAlign w:val="bottom"/>
                          </w:tcPr>
                          <w:p w:rsidR="00500724" w:rsidRDefault="00F30FB8">
                            <w:pPr>
                              <w:pStyle w:val="Jin0"/>
                              <w:shd w:val="clear" w:color="auto" w:fill="auto"/>
                              <w:ind w:firstLine="0"/>
                              <w:jc w:val="left"/>
                              <w:rPr>
                                <w:sz w:val="15"/>
                                <w:szCs w:val="15"/>
                              </w:rPr>
                            </w:pPr>
                            <w:r>
                              <w:rPr>
                                <w:sz w:val="15"/>
                                <w:szCs w:val="15"/>
                              </w:rPr>
                              <w:t>brož. K</w:t>
                            </w:r>
                          </w:p>
                        </w:tc>
                        <w:tc>
                          <w:tcPr>
                            <w:tcW w:w="418" w:type="dxa"/>
                            <w:shd w:val="clear" w:color="auto" w:fill="FFFFFF"/>
                            <w:vAlign w:val="bottom"/>
                          </w:tcPr>
                          <w:p w:rsidR="00500724" w:rsidRDefault="00F30FB8">
                            <w:pPr>
                              <w:pStyle w:val="Jin0"/>
                              <w:shd w:val="clear" w:color="auto" w:fill="auto"/>
                              <w:ind w:firstLine="0"/>
                              <w:jc w:val="right"/>
                              <w:rPr>
                                <w:sz w:val="15"/>
                                <w:szCs w:val="15"/>
                              </w:rPr>
                            </w:pPr>
                            <w:r>
                              <w:rPr>
                                <w:sz w:val="15"/>
                                <w:szCs w:val="15"/>
                              </w:rPr>
                              <w:t>69.—</w:t>
                            </w:r>
                          </w:p>
                        </w:tc>
                      </w:tr>
                    </w:tbl>
                    <w:p w:rsidR="00000000" w:rsidRDefault="00F30FB8"/>
                  </w:txbxContent>
                </v:textbox>
                <w10:wrap type="topAndBottom" anchorx="page"/>
              </v:shape>
            </w:pict>
          </mc:Fallback>
        </mc:AlternateContent>
      </w:r>
      <w:r>
        <w:rPr>
          <w:noProof/>
        </w:rPr>
        <mc:AlternateContent>
          <mc:Choice Requires="wps">
            <w:drawing>
              <wp:anchor distT="3609340" distB="527685" distL="1873250" distR="3695700" simplePos="0" relativeHeight="125830058" behindDoc="0" locked="0" layoutInCell="1" allowOverlap="1">
                <wp:simplePos x="0" y="0"/>
                <wp:positionH relativeFrom="page">
                  <wp:posOffset>1758950</wp:posOffset>
                </wp:positionH>
                <wp:positionV relativeFrom="paragraph">
                  <wp:posOffset>3618230</wp:posOffset>
                </wp:positionV>
                <wp:extent cx="1304290" cy="2334895"/>
                <wp:effectExtent l="0" t="0" r="0" b="0"/>
                <wp:wrapTopAndBottom/>
                <wp:docPr id="681" name="Shape 681"/>
                <wp:cNvGraphicFramePr/>
                <a:graphic xmlns:a="http://schemas.openxmlformats.org/drawingml/2006/main">
                  <a:graphicData uri="http://schemas.microsoft.com/office/word/2010/wordprocessingShape">
                    <wps:wsp>
                      <wps:cNvSpPr txBox="1"/>
                      <wps:spPr>
                        <a:xfrm>
                          <a:off x="0" y="0"/>
                          <a:ext cx="1304290" cy="2334895"/>
                        </a:xfrm>
                        <a:prstGeom prst="rect">
                          <a:avLst/>
                        </a:prstGeom>
                        <a:noFill/>
                      </wps:spPr>
                      <wps:txbx>
                        <w:txbxContent>
                          <w:p w:rsidR="00500724" w:rsidRDefault="00F30FB8">
                            <w:pPr>
                              <w:pStyle w:val="Zkladntext100"/>
                              <w:shd w:val="clear" w:color="auto" w:fill="auto"/>
                              <w:spacing w:after="60" w:line="240" w:lineRule="auto"/>
                              <w:ind w:left="180" w:hanging="180"/>
                              <w:rPr>
                                <w:sz w:val="19"/>
                                <w:szCs w:val="19"/>
                              </w:rPr>
                            </w:pPr>
                            <w:r>
                              <w:rPr>
                                <w:b/>
                                <w:bCs/>
                                <w:sz w:val="19"/>
                                <w:szCs w:val="19"/>
                              </w:rPr>
                              <w:t>Karel ČAPEK: Život a dílo skladatele Foltý</w:t>
                            </w:r>
                            <w:r>
                              <w:rPr>
                                <w:b/>
                                <w:bCs/>
                                <w:sz w:val="19"/>
                                <w:szCs w:val="19"/>
                              </w:rPr>
                              <w:softHyphen/>
                              <w:t>na. Brož. 15 K, váz. 25 K.</w:t>
                            </w:r>
                          </w:p>
                          <w:p w:rsidR="00500724" w:rsidRDefault="00F30FB8">
                            <w:pPr>
                              <w:pStyle w:val="Zkladntext100"/>
                              <w:shd w:val="clear" w:color="auto" w:fill="auto"/>
                              <w:spacing w:after="60" w:line="230" w:lineRule="auto"/>
                              <w:ind w:left="180" w:hanging="180"/>
                              <w:rPr>
                                <w:sz w:val="19"/>
                                <w:szCs w:val="19"/>
                              </w:rPr>
                            </w:pPr>
                            <w:r>
                              <w:rPr>
                                <w:b/>
                                <w:bCs/>
                                <w:sz w:val="19"/>
                                <w:szCs w:val="19"/>
                              </w:rPr>
                              <w:t>Josef HORA: Dech na skle. Brož. 25 K, váz. 35 K.</w:t>
                            </w:r>
                          </w:p>
                          <w:p w:rsidR="00500724" w:rsidRDefault="00F30FB8">
                            <w:pPr>
                              <w:pStyle w:val="Zkladntext100"/>
                              <w:shd w:val="clear" w:color="auto" w:fill="auto"/>
                              <w:spacing w:after="60" w:line="223" w:lineRule="auto"/>
                              <w:ind w:left="180" w:hanging="180"/>
                              <w:rPr>
                                <w:sz w:val="19"/>
                                <w:szCs w:val="19"/>
                              </w:rPr>
                            </w:pPr>
                            <w:r>
                              <w:rPr>
                                <w:b/>
                                <w:bCs/>
                                <w:sz w:val="19"/>
                                <w:szCs w:val="19"/>
                              </w:rPr>
                              <w:t>Karel KONRÁD: Poste</w:t>
                            </w:r>
                            <w:r>
                              <w:rPr>
                                <w:b/>
                                <w:bCs/>
                                <w:sz w:val="19"/>
                                <w:szCs w:val="19"/>
                              </w:rPr>
                              <w:softHyphen/>
                              <w:t xml:space="preserve">le bez nebes. Brož. 20 K, váz. </w:t>
                            </w:r>
                            <w:r>
                              <w:rPr>
                                <w:b/>
                                <w:bCs/>
                                <w:sz w:val="19"/>
                                <w:szCs w:val="19"/>
                              </w:rPr>
                              <w:t>32 K.</w:t>
                            </w:r>
                          </w:p>
                          <w:p w:rsidR="00500724" w:rsidRDefault="00F30FB8">
                            <w:pPr>
                              <w:pStyle w:val="Zkladntext100"/>
                              <w:shd w:val="clear" w:color="auto" w:fill="auto"/>
                              <w:spacing w:after="60" w:line="240" w:lineRule="auto"/>
                              <w:ind w:left="180" w:hanging="180"/>
                              <w:rPr>
                                <w:sz w:val="19"/>
                                <w:szCs w:val="19"/>
                              </w:rPr>
                            </w:pPr>
                            <w:r>
                              <w:rPr>
                                <w:b/>
                                <w:bCs/>
                                <w:sz w:val="19"/>
                                <w:szCs w:val="19"/>
                              </w:rPr>
                              <w:t>Václav &amp;EZÁČ: Slepá ulička. Brož. 35 K, váz. 47 K.</w:t>
                            </w:r>
                          </w:p>
                          <w:p w:rsidR="00500724" w:rsidRDefault="00F30FB8">
                            <w:pPr>
                              <w:pStyle w:val="Zkladntext100"/>
                              <w:shd w:val="clear" w:color="auto" w:fill="auto"/>
                              <w:spacing w:after="60" w:line="233" w:lineRule="auto"/>
                              <w:ind w:left="180" w:hanging="180"/>
                              <w:jc w:val="left"/>
                              <w:rPr>
                                <w:sz w:val="19"/>
                                <w:szCs w:val="19"/>
                              </w:rPr>
                            </w:pPr>
                            <w:r>
                              <w:rPr>
                                <w:b/>
                                <w:bCs/>
                                <w:sz w:val="19"/>
                                <w:szCs w:val="19"/>
                              </w:rPr>
                              <w:t>Olga SCHEINPFLUGO</w:t>
                            </w:r>
                            <w:r>
                              <w:rPr>
                                <w:b/>
                                <w:bCs/>
                                <w:sz w:val="19"/>
                                <w:szCs w:val="19"/>
                              </w:rPr>
                              <w:softHyphen/>
                              <w:t>VÁ: Přežitá smrt. Brož. 28 K. váz. 40 K.</w:t>
                            </w:r>
                          </w:p>
                        </w:txbxContent>
                      </wps:txbx>
                      <wps:bodyPr lIns="0" tIns="0" rIns="0" bIns="0"/>
                    </wps:wsp>
                  </a:graphicData>
                </a:graphic>
              </wp:anchor>
            </w:drawing>
          </mc:Choice>
          <mc:Fallback>
            <w:pict>
              <v:shape id="_x0000_s1707" type="#_x0000_t202" style="position:absolute;margin-left:138.5pt;margin-top:284.89999999999998pt;width:102.7pt;height:183.84999999999999pt;z-index:-125828695;mso-wrap-distance-left:147.5pt;mso-wrap-distance-top:284.19999999999999pt;mso-wrap-distance-right:291.pt;mso-wrap-distance-bottom:41.549999999999997pt;mso-position-horizontal-relative:page" filled="f" stroked="f">
                <v:textbox inset="0,0,0,0">
                  <w:txbxContent>
                    <w:p>
                      <w:pPr>
                        <w:pStyle w:val="Style344"/>
                        <w:keepNext w:val="0"/>
                        <w:keepLines w:val="0"/>
                        <w:widowControl w:val="0"/>
                        <w:shd w:val="clear" w:color="auto" w:fill="auto"/>
                        <w:bidi w:val="0"/>
                        <w:spacing w:before="0" w:after="60" w:line="240" w:lineRule="auto"/>
                        <w:ind w:left="180" w:right="0" w:hanging="180"/>
                        <w:rPr>
                          <w:sz w:val="19"/>
                          <w:szCs w:val="19"/>
                        </w:rPr>
                      </w:pPr>
                      <w:r>
                        <w:rPr>
                          <w:b/>
                          <w:bCs/>
                          <w:color w:val="000000"/>
                          <w:spacing w:val="0"/>
                          <w:w w:val="100"/>
                          <w:position w:val="0"/>
                          <w:sz w:val="19"/>
                          <w:szCs w:val="19"/>
                          <w:shd w:val="clear" w:color="auto" w:fill="auto"/>
                          <w:lang w:val="cs-CZ" w:eastAsia="cs-CZ" w:bidi="cs-CZ"/>
                        </w:rPr>
                        <w:t>Karel ČAPEK: Život a dílo skladatele Foltý</w:t>
                        <w:softHyphen/>
                        <w:t>na. Brož. 15 K, váz. 25 K.</w:t>
                      </w:r>
                    </w:p>
                    <w:p>
                      <w:pPr>
                        <w:pStyle w:val="Style344"/>
                        <w:keepNext w:val="0"/>
                        <w:keepLines w:val="0"/>
                        <w:widowControl w:val="0"/>
                        <w:shd w:val="clear" w:color="auto" w:fill="auto"/>
                        <w:bidi w:val="0"/>
                        <w:spacing w:before="0" w:after="60" w:line="230" w:lineRule="auto"/>
                        <w:ind w:left="180" w:right="0" w:hanging="180"/>
                        <w:rPr>
                          <w:sz w:val="19"/>
                          <w:szCs w:val="19"/>
                        </w:rPr>
                      </w:pPr>
                      <w:r>
                        <w:rPr>
                          <w:b/>
                          <w:bCs/>
                          <w:color w:val="000000"/>
                          <w:spacing w:val="0"/>
                          <w:w w:val="100"/>
                          <w:position w:val="0"/>
                          <w:sz w:val="19"/>
                          <w:szCs w:val="19"/>
                          <w:shd w:val="clear" w:color="auto" w:fill="auto"/>
                          <w:lang w:val="cs-CZ" w:eastAsia="cs-CZ" w:bidi="cs-CZ"/>
                        </w:rPr>
                        <w:t>Josef HORA: Dech na skle. Brož. 25 K, váz. 35 K.</w:t>
                      </w:r>
                    </w:p>
                    <w:p>
                      <w:pPr>
                        <w:pStyle w:val="Style344"/>
                        <w:keepNext w:val="0"/>
                        <w:keepLines w:val="0"/>
                        <w:widowControl w:val="0"/>
                        <w:shd w:val="clear" w:color="auto" w:fill="auto"/>
                        <w:bidi w:val="0"/>
                        <w:spacing w:before="0" w:after="60" w:line="223" w:lineRule="auto"/>
                        <w:ind w:left="180" w:right="0" w:hanging="180"/>
                        <w:rPr>
                          <w:sz w:val="19"/>
                          <w:szCs w:val="19"/>
                        </w:rPr>
                      </w:pPr>
                      <w:r>
                        <w:rPr>
                          <w:b/>
                          <w:bCs/>
                          <w:color w:val="000000"/>
                          <w:spacing w:val="0"/>
                          <w:w w:val="100"/>
                          <w:position w:val="0"/>
                          <w:sz w:val="19"/>
                          <w:szCs w:val="19"/>
                          <w:shd w:val="clear" w:color="auto" w:fill="auto"/>
                          <w:lang w:val="cs-CZ" w:eastAsia="cs-CZ" w:bidi="cs-CZ"/>
                        </w:rPr>
                        <w:t>Karel KONRÁD: Poste</w:t>
                        <w:softHyphen/>
                        <w:t>le bez nebes. Brož. 20 K, váz. 32 K.</w:t>
                      </w:r>
                    </w:p>
                    <w:p>
                      <w:pPr>
                        <w:pStyle w:val="Style344"/>
                        <w:keepNext w:val="0"/>
                        <w:keepLines w:val="0"/>
                        <w:widowControl w:val="0"/>
                        <w:shd w:val="clear" w:color="auto" w:fill="auto"/>
                        <w:bidi w:val="0"/>
                        <w:spacing w:before="0" w:after="60" w:line="240" w:lineRule="auto"/>
                        <w:ind w:left="180" w:right="0" w:hanging="180"/>
                        <w:rPr>
                          <w:sz w:val="19"/>
                          <w:szCs w:val="19"/>
                        </w:rPr>
                      </w:pPr>
                      <w:r>
                        <w:rPr>
                          <w:b/>
                          <w:bCs/>
                          <w:color w:val="000000"/>
                          <w:spacing w:val="0"/>
                          <w:w w:val="100"/>
                          <w:position w:val="0"/>
                          <w:sz w:val="19"/>
                          <w:szCs w:val="19"/>
                          <w:shd w:val="clear" w:color="auto" w:fill="auto"/>
                          <w:lang w:val="cs-CZ" w:eastAsia="cs-CZ" w:bidi="cs-CZ"/>
                        </w:rPr>
                        <w:t>Václav &amp;EZÁČ: Slepá ulička. Brož. 35 K, váz. 47 K.</w:t>
                      </w:r>
                    </w:p>
                    <w:p>
                      <w:pPr>
                        <w:pStyle w:val="Style344"/>
                        <w:keepNext w:val="0"/>
                        <w:keepLines w:val="0"/>
                        <w:widowControl w:val="0"/>
                        <w:shd w:val="clear" w:color="auto" w:fill="auto"/>
                        <w:bidi w:val="0"/>
                        <w:spacing w:before="0" w:after="60" w:line="233" w:lineRule="auto"/>
                        <w:ind w:left="180" w:right="0" w:hanging="180"/>
                        <w:jc w:val="left"/>
                        <w:rPr>
                          <w:sz w:val="19"/>
                          <w:szCs w:val="19"/>
                        </w:rPr>
                      </w:pPr>
                      <w:r>
                        <w:rPr>
                          <w:b/>
                          <w:bCs/>
                          <w:color w:val="000000"/>
                          <w:spacing w:val="0"/>
                          <w:w w:val="100"/>
                          <w:position w:val="0"/>
                          <w:sz w:val="19"/>
                          <w:szCs w:val="19"/>
                          <w:shd w:val="clear" w:color="auto" w:fill="auto"/>
                          <w:lang w:val="cs-CZ" w:eastAsia="cs-CZ" w:bidi="cs-CZ"/>
                        </w:rPr>
                        <w:t>Olga SCHEINPFLUGO</w:t>
                        <w:softHyphen/>
                        <w:t>VÁ: Přežitá smrt. Brož. 28 K. váz. 40 K.</w:t>
                      </w:r>
                    </w:p>
                  </w:txbxContent>
                </v:textbox>
                <w10:wrap type="topAndBottom" anchorx="page"/>
              </v:shape>
            </w:pict>
          </mc:Fallback>
        </mc:AlternateContent>
      </w:r>
      <w:r>
        <w:rPr>
          <w:noProof/>
        </w:rPr>
        <mc:AlternateContent>
          <mc:Choice Requires="wps">
            <w:drawing>
              <wp:anchor distT="6019800" distB="0" distL="285115" distR="4972685" simplePos="0" relativeHeight="125830060" behindDoc="0" locked="0" layoutInCell="1" allowOverlap="1">
                <wp:simplePos x="0" y="0"/>
                <wp:positionH relativeFrom="page">
                  <wp:posOffset>170815</wp:posOffset>
                </wp:positionH>
                <wp:positionV relativeFrom="paragraph">
                  <wp:posOffset>6028690</wp:posOffset>
                </wp:positionV>
                <wp:extent cx="1615440" cy="460375"/>
                <wp:effectExtent l="0" t="0" r="0" b="0"/>
                <wp:wrapTopAndBottom/>
                <wp:docPr id="683" name="Shape 683"/>
                <wp:cNvGraphicFramePr/>
                <a:graphic xmlns:a="http://schemas.openxmlformats.org/drawingml/2006/main">
                  <a:graphicData uri="http://schemas.microsoft.com/office/word/2010/wordprocessingShape">
                    <wps:wsp>
                      <wps:cNvSpPr txBox="1"/>
                      <wps:spPr>
                        <a:xfrm>
                          <a:off x="0" y="0"/>
                          <a:ext cx="1615440" cy="460375"/>
                        </a:xfrm>
                        <a:prstGeom prst="rect">
                          <a:avLst/>
                        </a:prstGeom>
                        <a:noFill/>
                      </wps:spPr>
                      <wps:txbx>
                        <w:txbxContent>
                          <w:p w:rsidR="00500724" w:rsidRDefault="00F30FB8">
                            <w:pPr>
                              <w:pStyle w:val="Nadpis120"/>
                              <w:shd w:val="clear" w:color="auto" w:fill="auto"/>
                              <w:spacing w:after="40"/>
                              <w:ind w:left="0"/>
                            </w:pPr>
                            <w:bookmarkStart w:id="664" w:name="bookmark661"/>
                            <w:r>
                              <w:rPr>
                                <w:rFonts w:ascii="Arial" w:eastAsia="Arial" w:hAnsi="Arial" w:cs="Arial"/>
                              </w:rPr>
                              <w:t>Dodá každý knihkupec</w:t>
                            </w:r>
                            <w:bookmarkEnd w:id="664"/>
                          </w:p>
                          <w:p w:rsidR="00500724" w:rsidRDefault="00F30FB8">
                            <w:pPr>
                              <w:pStyle w:val="Jin0"/>
                              <w:shd w:val="clear" w:color="auto" w:fill="auto"/>
                              <w:ind w:firstLine="0"/>
                              <w:jc w:val="left"/>
                              <w:rPr>
                                <w:sz w:val="32"/>
                                <w:szCs w:val="32"/>
                              </w:rPr>
                            </w:pPr>
                            <w:r>
                              <w:rPr>
                                <w:rFonts w:ascii="Arial" w:eastAsia="Arial" w:hAnsi="Arial" w:cs="Arial"/>
                                <w:b/>
                                <w:bCs/>
                                <w:sz w:val="32"/>
                                <w:szCs w:val="32"/>
                              </w:rPr>
                              <w:t>FR.BOROVÝ</w:t>
                            </w:r>
                          </w:p>
                        </w:txbxContent>
                      </wps:txbx>
                      <wps:bodyPr lIns="0" tIns="0" rIns="0" bIns="0"/>
                    </wps:wsp>
                  </a:graphicData>
                </a:graphic>
              </wp:anchor>
            </w:drawing>
          </mc:Choice>
          <mc:Fallback>
            <w:pict>
              <v:shape id="_x0000_s1709" type="#_x0000_t202" style="position:absolute;margin-left:13.449999999999999pt;margin-top:474.69999999999999pt;width:127.2pt;height:36.25pt;z-index:-125828693;mso-wrap-distance-left:22.449999999999999pt;mso-wrap-distance-top:474.pt;mso-wrap-distance-right:391.55000000000001pt;mso-position-horizontal-relative:page" filled="f" stroked="f">
                <v:textbox inset="0,0,0,0">
                  <w:txbxContent>
                    <w:p>
                      <w:pPr>
                        <w:pStyle w:val="Style61"/>
                        <w:keepNext w:val="0"/>
                        <w:keepLines w:val="0"/>
                        <w:widowControl w:val="0"/>
                        <w:shd w:val="clear" w:color="auto" w:fill="auto"/>
                        <w:bidi w:val="0"/>
                        <w:spacing w:before="0" w:after="40" w:line="240" w:lineRule="auto"/>
                        <w:ind w:left="0" w:right="0" w:firstLine="0"/>
                        <w:jc w:val="left"/>
                      </w:pPr>
                      <w:bookmarkStart w:id="661" w:name="bookmark661"/>
                      <w:r>
                        <w:rPr>
                          <w:rFonts w:ascii="Arial" w:eastAsia="Arial" w:hAnsi="Arial" w:cs="Arial"/>
                          <w:color w:val="000000"/>
                          <w:spacing w:val="0"/>
                          <w:w w:val="100"/>
                          <w:position w:val="0"/>
                          <w:shd w:val="clear" w:color="auto" w:fill="auto"/>
                          <w:lang w:val="cs-CZ" w:eastAsia="cs-CZ" w:bidi="cs-CZ"/>
                        </w:rPr>
                        <w:t>Dodá každý knihkupec</w:t>
                      </w:r>
                      <w:bookmarkEnd w:id="661"/>
                    </w:p>
                    <w:p>
                      <w:pPr>
                        <w:pStyle w:val="Style12"/>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b/>
                          <w:bCs/>
                          <w:color w:val="000000"/>
                          <w:spacing w:val="0"/>
                          <w:w w:val="100"/>
                          <w:position w:val="0"/>
                          <w:sz w:val="32"/>
                          <w:szCs w:val="32"/>
                          <w:shd w:val="clear" w:color="auto" w:fill="auto"/>
                          <w:lang w:val="cs-CZ" w:eastAsia="cs-CZ" w:bidi="cs-CZ"/>
                        </w:rPr>
                        <w:t>FR.BOROVÝ</w:t>
                      </w:r>
                    </w:p>
                  </w:txbxContent>
                </v:textbox>
                <w10:wrap type="topAndBottom" anchorx="page"/>
              </v:shape>
            </w:pict>
          </mc:Fallback>
        </mc:AlternateContent>
      </w:r>
      <w:r>
        <w:rPr>
          <w:noProof/>
        </w:rPr>
        <mc:AlternateContent>
          <mc:Choice Requires="wps">
            <w:drawing>
              <wp:anchor distT="3755390" distB="2277110" distL="3707765" distR="290830" simplePos="0" relativeHeight="125830062" behindDoc="0" locked="0" layoutInCell="1" allowOverlap="1">
                <wp:simplePos x="0" y="0"/>
                <wp:positionH relativeFrom="page">
                  <wp:posOffset>3593465</wp:posOffset>
                </wp:positionH>
                <wp:positionV relativeFrom="paragraph">
                  <wp:posOffset>3764280</wp:posOffset>
                </wp:positionV>
                <wp:extent cx="2874010" cy="438785"/>
                <wp:effectExtent l="0" t="0" r="0" b="0"/>
                <wp:wrapTopAndBottom/>
                <wp:docPr id="685" name="Shape 685"/>
                <wp:cNvGraphicFramePr/>
                <a:graphic xmlns:a="http://schemas.openxmlformats.org/drawingml/2006/main">
                  <a:graphicData uri="http://schemas.microsoft.com/office/word/2010/wordprocessingShape">
                    <wps:wsp>
                      <wps:cNvSpPr txBox="1"/>
                      <wps:spPr>
                        <a:xfrm>
                          <a:off x="0" y="0"/>
                          <a:ext cx="2874010" cy="438785"/>
                        </a:xfrm>
                        <a:prstGeom prst="rect">
                          <a:avLst/>
                        </a:prstGeom>
                        <a:noFill/>
                      </wps:spPr>
                      <wps:txbx>
                        <w:txbxContent>
                          <w:p w:rsidR="00500724" w:rsidRDefault="00F30FB8">
                            <w:pPr>
                              <w:pStyle w:val="Jin0"/>
                              <w:shd w:val="clear" w:color="auto" w:fill="auto"/>
                              <w:ind w:firstLine="0"/>
                              <w:jc w:val="left"/>
                              <w:rPr>
                                <w:sz w:val="28"/>
                                <w:szCs w:val="28"/>
                              </w:rPr>
                            </w:pPr>
                            <w:r>
                              <w:rPr>
                                <w:rFonts w:ascii="Arial" w:eastAsia="Arial" w:hAnsi="Arial" w:cs="Arial"/>
                                <w:b/>
                                <w:bCs/>
                                <w:w w:val="70"/>
                                <w:sz w:val="28"/>
                                <w:szCs w:val="28"/>
                              </w:rPr>
                              <w:t>F. Topič</w:t>
                            </w:r>
                          </w:p>
                          <w:p w:rsidR="00500724" w:rsidRDefault="00F30FB8">
                            <w:pPr>
                              <w:pStyle w:val="Nadpis120"/>
                              <w:shd w:val="clear" w:color="auto" w:fill="auto"/>
                              <w:ind w:left="0"/>
                            </w:pPr>
                            <w:bookmarkStart w:id="665" w:name="bookmark662"/>
                            <w:r>
                              <w:rPr>
                                <w:rFonts w:ascii="Arial" w:eastAsia="Arial" w:hAnsi="Arial" w:cs="Arial"/>
                              </w:rPr>
                              <w:t>knihkupectví, Praha I., Národní třída 11</w:t>
                            </w:r>
                            <w:bookmarkEnd w:id="665"/>
                          </w:p>
                        </w:txbxContent>
                      </wps:txbx>
                      <wps:bodyPr lIns="0" tIns="0" rIns="0" bIns="0"/>
                    </wps:wsp>
                  </a:graphicData>
                </a:graphic>
              </wp:anchor>
            </w:drawing>
          </mc:Choice>
          <mc:Fallback>
            <w:pict>
              <v:shape id="_x0000_s1711" type="#_x0000_t202" style="position:absolute;margin-left:282.94999999999999pt;margin-top:296.39999999999998pt;width:226.30000000000001pt;height:34.549999999999997pt;z-index:-125828691;mso-wrap-distance-left:291.94999999999999pt;mso-wrap-distance-top:295.69999999999999pt;mso-wrap-distance-right:22.899999999999999pt;mso-wrap-distance-bottom:179.3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b/>
                          <w:bCs/>
                          <w:color w:val="000000"/>
                          <w:spacing w:val="0"/>
                          <w:w w:val="70"/>
                          <w:position w:val="0"/>
                          <w:sz w:val="28"/>
                          <w:szCs w:val="28"/>
                          <w:shd w:val="clear" w:color="auto" w:fill="auto"/>
                          <w:lang w:val="cs-CZ" w:eastAsia="cs-CZ" w:bidi="cs-CZ"/>
                        </w:rPr>
                        <w:t>F. Topič</w:t>
                      </w:r>
                    </w:p>
                    <w:p>
                      <w:pPr>
                        <w:pStyle w:val="Style61"/>
                        <w:keepNext w:val="0"/>
                        <w:keepLines w:val="0"/>
                        <w:widowControl w:val="0"/>
                        <w:shd w:val="clear" w:color="auto" w:fill="auto"/>
                        <w:bidi w:val="0"/>
                        <w:spacing w:before="0" w:after="0" w:line="240" w:lineRule="auto"/>
                        <w:ind w:left="0" w:right="0" w:firstLine="0"/>
                        <w:jc w:val="left"/>
                      </w:pPr>
                      <w:bookmarkStart w:id="662" w:name="bookmark662"/>
                      <w:r>
                        <w:rPr>
                          <w:rFonts w:ascii="Arial" w:eastAsia="Arial" w:hAnsi="Arial" w:cs="Arial"/>
                          <w:color w:val="000000"/>
                          <w:spacing w:val="0"/>
                          <w:w w:val="100"/>
                          <w:position w:val="0"/>
                          <w:shd w:val="clear" w:color="auto" w:fill="auto"/>
                          <w:lang w:val="cs-CZ" w:eastAsia="cs-CZ" w:bidi="cs-CZ"/>
                        </w:rPr>
                        <w:t>knihkupectví, Praha I., Národní třída 11</w:t>
                      </w:r>
                      <w:bookmarkEnd w:id="662"/>
                    </w:p>
                  </w:txbxContent>
                </v:textbox>
                <w10:wrap type="topAndBottom" anchorx="page"/>
              </v:shape>
            </w:pict>
          </mc:Fallback>
        </mc:AlternateContent>
      </w:r>
      <w:r>
        <w:rPr>
          <w:noProof/>
        </w:rPr>
        <mc:AlternateContent>
          <mc:Choice Requires="wps">
            <w:drawing>
              <wp:anchor distT="4612005" distB="1612900" distL="3646805" distR="803275" simplePos="0" relativeHeight="125830064" behindDoc="0" locked="0" layoutInCell="1" allowOverlap="1">
                <wp:simplePos x="0" y="0"/>
                <wp:positionH relativeFrom="page">
                  <wp:posOffset>3532505</wp:posOffset>
                </wp:positionH>
                <wp:positionV relativeFrom="paragraph">
                  <wp:posOffset>4620895</wp:posOffset>
                </wp:positionV>
                <wp:extent cx="2423160" cy="247015"/>
                <wp:effectExtent l="0" t="0" r="0" b="0"/>
                <wp:wrapTopAndBottom/>
                <wp:docPr id="687" name="Shape 687"/>
                <wp:cNvGraphicFramePr/>
                <a:graphic xmlns:a="http://schemas.openxmlformats.org/drawingml/2006/main">
                  <a:graphicData uri="http://schemas.microsoft.com/office/word/2010/wordprocessingShape">
                    <wps:wsp>
                      <wps:cNvSpPr txBox="1"/>
                      <wps:spPr>
                        <a:xfrm>
                          <a:off x="0" y="0"/>
                          <a:ext cx="2423160" cy="247015"/>
                        </a:xfrm>
                        <a:prstGeom prst="rect">
                          <a:avLst/>
                        </a:prstGeom>
                        <a:noFill/>
                      </wps:spPr>
                      <wps:txbx>
                        <w:txbxContent>
                          <w:p w:rsidR="00500724" w:rsidRDefault="00500724"/>
                        </w:txbxContent>
                      </wps:txbx>
                      <wps:bodyPr lIns="0" tIns="0" rIns="0" bIns="0"/>
                    </wps:wsp>
                  </a:graphicData>
                </a:graphic>
              </wp:anchor>
            </w:drawing>
          </mc:Choice>
          <mc:Fallback>
            <w:pict>
              <v:shape id="_x0000_s1713" type="#_x0000_t202" style="position:absolute;margin-left:278.14999999999998pt;margin-top:363.85000000000002pt;width:190.80000000000001pt;height:19.449999999999999pt;z-index:-125828689;mso-wrap-distance-left:287.14999999999998pt;mso-wrap-distance-top:363.14999999999998pt;mso-wrap-distance-right:63.25pt;mso-wrap-distance-bottom:127.pt;mso-position-horizontal-relative:page" filled="f" stroked="f">
                <v:textbox inset="0,0,0,0">
                  <w:txbxContent>
                    <w:p>
                      <w:pPr>
                        <w:widowControl w:val="0"/>
                      </w:pPr>
                    </w:p>
                  </w:txbxContent>
                </v:textbox>
                <w10:wrap type="topAndBottom" anchorx="page"/>
              </v:shape>
            </w:pict>
          </mc:Fallback>
        </mc:AlternateContent>
      </w:r>
      <w:r>
        <w:rPr>
          <w:noProof/>
        </w:rPr>
        <mc:AlternateContent>
          <mc:Choice Requires="wps">
            <w:drawing>
              <wp:anchor distT="4883150" distB="1316990" distL="3683635" distR="824230" simplePos="0" relativeHeight="125830066" behindDoc="0" locked="0" layoutInCell="1" allowOverlap="1">
                <wp:simplePos x="0" y="0"/>
                <wp:positionH relativeFrom="page">
                  <wp:posOffset>3569335</wp:posOffset>
                </wp:positionH>
                <wp:positionV relativeFrom="paragraph">
                  <wp:posOffset>4892040</wp:posOffset>
                </wp:positionV>
                <wp:extent cx="2365375" cy="271145"/>
                <wp:effectExtent l="0" t="0" r="0" b="0"/>
                <wp:wrapTopAndBottom/>
                <wp:docPr id="689" name="Shape 689"/>
                <wp:cNvGraphicFramePr/>
                <a:graphic xmlns:a="http://schemas.openxmlformats.org/drawingml/2006/main">
                  <a:graphicData uri="http://schemas.microsoft.com/office/word/2010/wordprocessingShape">
                    <wps:wsp>
                      <wps:cNvSpPr txBox="1"/>
                      <wps:spPr>
                        <a:xfrm>
                          <a:off x="0" y="0"/>
                          <a:ext cx="2365375"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UZNf VELIČ FO VKV</w:t>
                            </w:r>
                          </w:p>
                        </w:txbxContent>
                      </wps:txbx>
                      <wps:bodyPr lIns="0" tIns="0" rIns="0" bIns="0"/>
                    </wps:wsp>
                  </a:graphicData>
                </a:graphic>
              </wp:anchor>
            </w:drawing>
          </mc:Choice>
          <mc:Fallback>
            <w:pict>
              <v:shape id="_x0000_s1715" type="#_x0000_t202" style="position:absolute;margin-left:281.05000000000001pt;margin-top:385.19999999999999pt;width:186.25pt;height:21.350000000000001pt;z-index:-125828687;mso-wrap-distance-left:290.05000000000001pt;mso-wrap-distance-top:384.5pt;mso-wrap-distance-right:64.900000000000006pt;mso-wrap-distance-bottom:103.7pt;mso-position-horizontal-relative:page" filled="f" stroked="f">
                <v:textbox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UZNf VELIČ FO VKV</w:t>
                      </w:r>
                    </w:p>
                  </w:txbxContent>
                </v:textbox>
                <w10:wrap type="topAndBottom" anchorx="page"/>
              </v:shape>
            </w:pict>
          </mc:Fallback>
        </mc:AlternateContent>
      </w:r>
      <w:r>
        <w:rPr>
          <w:noProof/>
        </w:rPr>
        <mc:AlternateContent>
          <mc:Choice Requires="wps">
            <w:drawing>
              <wp:anchor distT="4983480" distB="1295400" distL="6097270" distR="163195" simplePos="0" relativeHeight="125830068" behindDoc="0" locked="0" layoutInCell="1" allowOverlap="1">
                <wp:simplePos x="0" y="0"/>
                <wp:positionH relativeFrom="page">
                  <wp:posOffset>5982970</wp:posOffset>
                </wp:positionH>
                <wp:positionV relativeFrom="paragraph">
                  <wp:posOffset>4992370</wp:posOffset>
                </wp:positionV>
                <wp:extent cx="612775" cy="191770"/>
                <wp:effectExtent l="0" t="0" r="0" b="0"/>
                <wp:wrapTopAndBottom/>
                <wp:docPr id="691" name="Shape 691"/>
                <wp:cNvGraphicFramePr/>
                <a:graphic xmlns:a="http://schemas.openxmlformats.org/drawingml/2006/main">
                  <a:graphicData uri="http://schemas.microsoft.com/office/word/2010/wordprocessingShape">
                    <wps:wsp>
                      <wps:cNvSpPr txBox="1"/>
                      <wps:spPr>
                        <a:xfrm>
                          <a:off x="0" y="0"/>
                          <a:ext cx="612775" cy="191770"/>
                        </a:xfrm>
                        <a:prstGeom prst="rect">
                          <a:avLst/>
                        </a:prstGeom>
                        <a:noFill/>
                      </wps:spPr>
                      <wps:txbx>
                        <w:txbxContent>
                          <w:p w:rsidR="00500724" w:rsidRDefault="00F30FB8">
                            <w:pPr>
                              <w:pStyle w:val="Zkladntext80"/>
                              <w:shd w:val="clear" w:color="auto" w:fill="auto"/>
                              <w:spacing w:line="240" w:lineRule="auto"/>
                              <w:rPr>
                                <w:sz w:val="24"/>
                                <w:szCs w:val="24"/>
                              </w:rPr>
                            </w:pPr>
                            <w:r>
                              <w:rPr>
                                <w:w w:val="70"/>
                                <w:sz w:val="24"/>
                                <w:szCs w:val="24"/>
                              </w:rPr>
                              <w:t>u Jaroměře</w:t>
                            </w:r>
                          </w:p>
                        </w:txbxContent>
                      </wps:txbx>
                      <wps:bodyPr lIns="0" tIns="0" rIns="0" bIns="0"/>
                    </wps:wsp>
                  </a:graphicData>
                </a:graphic>
              </wp:anchor>
            </w:drawing>
          </mc:Choice>
          <mc:Fallback>
            <w:pict>
              <v:shape id="_x0000_s1717" type="#_x0000_t202" style="position:absolute;margin-left:471.10000000000002pt;margin-top:393.10000000000002pt;width:48.25pt;height:15.1pt;z-index:-125828685;mso-wrap-distance-left:480.10000000000002pt;mso-wrap-distance-top:392.39999999999998pt;mso-wrap-distance-right:12.85pt;mso-wrap-distance-bottom:102.pt;mso-position-horizontal-relative:page" filled="f" stroked="f">
                <v:textbox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70"/>
                          <w:position w:val="0"/>
                          <w:sz w:val="24"/>
                          <w:szCs w:val="24"/>
                          <w:shd w:val="clear" w:color="auto" w:fill="auto"/>
                          <w:lang w:val="cs-CZ" w:eastAsia="cs-CZ" w:bidi="cs-CZ"/>
                        </w:rPr>
                        <w:t>u Jaroměře</w:t>
                      </w:r>
                    </w:p>
                  </w:txbxContent>
                </v:textbox>
                <w10:wrap type="topAndBottom" anchorx="page"/>
              </v:shape>
            </w:pict>
          </mc:Fallback>
        </mc:AlternateContent>
      </w:r>
      <w:r>
        <w:rPr>
          <w:noProof/>
        </w:rPr>
        <mc:AlternateContent>
          <mc:Choice Requires="wps">
            <w:drawing>
              <wp:anchor distT="5175885" distB="780415" distL="3875405" distR="114300" simplePos="0" relativeHeight="125830070" behindDoc="0" locked="0" layoutInCell="1" allowOverlap="1">
                <wp:simplePos x="0" y="0"/>
                <wp:positionH relativeFrom="page">
                  <wp:posOffset>3761105</wp:posOffset>
                </wp:positionH>
                <wp:positionV relativeFrom="paragraph">
                  <wp:posOffset>5184775</wp:posOffset>
                </wp:positionV>
                <wp:extent cx="2883535" cy="514985"/>
                <wp:effectExtent l="0" t="0" r="0" b="0"/>
                <wp:wrapTopAndBottom/>
                <wp:docPr id="693" name="Shape 693"/>
                <wp:cNvGraphicFramePr/>
                <a:graphic xmlns:a="http://schemas.openxmlformats.org/drawingml/2006/main">
                  <a:graphicData uri="http://schemas.microsoft.com/office/word/2010/wordprocessingShape">
                    <wps:wsp>
                      <wps:cNvSpPr txBox="1"/>
                      <wps:spPr>
                        <a:xfrm>
                          <a:off x="0" y="0"/>
                          <a:ext cx="2883535" cy="514985"/>
                        </a:xfrm>
                        <a:prstGeom prst="rect">
                          <a:avLst/>
                        </a:prstGeom>
                        <a:noFill/>
                      </wps:spPr>
                      <wps:txbx>
                        <w:txbxContent>
                          <w:p w:rsidR="00500724" w:rsidRDefault="00F30FB8">
                            <w:pPr>
                              <w:pStyle w:val="Nadpis120"/>
                              <w:shd w:val="clear" w:color="auto" w:fill="auto"/>
                              <w:ind w:left="0"/>
                              <w:jc w:val="both"/>
                            </w:pPr>
                            <w:bookmarkStart w:id="666" w:name="bookmark663"/>
                            <w:r>
                              <w:t xml:space="preserve">poskytují </w:t>
                            </w:r>
                            <w:r>
                              <w:t>komfort velkých lázní za mírné ceny. S úspěchem léčí: revma, dnu, ischias, nervosu, ženské choroby.</w:t>
                            </w:r>
                            <w:bookmarkEnd w:id="666"/>
                          </w:p>
                        </w:txbxContent>
                      </wps:txbx>
                      <wps:bodyPr lIns="0" tIns="0" rIns="0" bIns="0"/>
                    </wps:wsp>
                  </a:graphicData>
                </a:graphic>
              </wp:anchor>
            </w:drawing>
          </mc:Choice>
          <mc:Fallback>
            <w:pict>
              <v:shape id="_x0000_s1719" type="#_x0000_t202" style="position:absolute;margin-left:296.14999999999998pt;margin-top:408.25pt;width:227.05000000000001pt;height:40.549999999999997pt;z-index:-125828683;mso-wrap-distance-left:305.14999999999998pt;mso-wrap-distance-top:407.55000000000001pt;mso-wrap-distance-right:9.pt;mso-wrap-distance-bottom:61.450000000000003pt;mso-position-horizontal-relative:page" filled="f" stroked="f">
                <v:textbox inset="0,0,0,0">
                  <w:txbxContent>
                    <w:p>
                      <w:pPr>
                        <w:pStyle w:val="Style61"/>
                        <w:keepNext w:val="0"/>
                        <w:keepLines w:val="0"/>
                        <w:widowControl w:val="0"/>
                        <w:shd w:val="clear" w:color="auto" w:fill="auto"/>
                        <w:bidi w:val="0"/>
                        <w:spacing w:before="0" w:after="0" w:line="240" w:lineRule="auto"/>
                        <w:ind w:left="0" w:right="0" w:firstLine="0"/>
                        <w:jc w:val="both"/>
                      </w:pPr>
                      <w:bookmarkStart w:id="663" w:name="bookmark663"/>
                      <w:r>
                        <w:rPr>
                          <w:color w:val="000000"/>
                          <w:spacing w:val="0"/>
                          <w:w w:val="100"/>
                          <w:position w:val="0"/>
                          <w:shd w:val="clear" w:color="auto" w:fill="auto"/>
                          <w:lang w:val="cs-CZ" w:eastAsia="cs-CZ" w:bidi="cs-CZ"/>
                        </w:rPr>
                        <w:t>poskytují komfort velkých lázní za mírné ceny. S úspěchem léčí: revma, dnu, ischias, nervosu, ženské choroby.</w:t>
                      </w:r>
                      <w:bookmarkEnd w:id="663"/>
                    </w:p>
                  </w:txbxContent>
                </v:textbox>
                <w10:wrap type="topAndBottom" anchorx="page"/>
              </v:shape>
            </w:pict>
          </mc:Fallback>
        </mc:AlternateContent>
      </w:r>
      <w:r>
        <w:rPr>
          <w:noProof/>
        </w:rPr>
        <mc:AlternateContent>
          <mc:Choice Requires="wps">
            <w:drawing>
              <wp:anchor distT="6014085" distB="121920" distL="3799205" distR="547370" simplePos="0" relativeHeight="125830072" behindDoc="0" locked="0" layoutInCell="1" allowOverlap="1">
                <wp:simplePos x="0" y="0"/>
                <wp:positionH relativeFrom="page">
                  <wp:posOffset>3684905</wp:posOffset>
                </wp:positionH>
                <wp:positionV relativeFrom="paragraph">
                  <wp:posOffset>6022975</wp:posOffset>
                </wp:positionV>
                <wp:extent cx="2526665" cy="335280"/>
                <wp:effectExtent l="0" t="0" r="0" b="0"/>
                <wp:wrapTopAndBottom/>
                <wp:docPr id="695" name="Shape 695"/>
                <wp:cNvGraphicFramePr/>
                <a:graphic xmlns:a="http://schemas.openxmlformats.org/drawingml/2006/main">
                  <a:graphicData uri="http://schemas.microsoft.com/office/word/2010/wordprocessingShape">
                    <wps:wsp>
                      <wps:cNvSpPr txBox="1"/>
                      <wps:spPr>
                        <a:xfrm>
                          <a:off x="0" y="0"/>
                          <a:ext cx="2526665" cy="335280"/>
                        </a:xfrm>
                        <a:prstGeom prst="rect">
                          <a:avLst/>
                        </a:prstGeom>
                        <a:noFill/>
                      </wps:spPr>
                      <wps:txbx>
                        <w:txbxContent>
                          <w:p w:rsidR="00500724" w:rsidRDefault="00F30FB8">
                            <w:pPr>
                              <w:pStyle w:val="Jin0"/>
                              <w:shd w:val="clear" w:color="auto" w:fill="auto"/>
                              <w:ind w:firstLine="0"/>
                              <w:jc w:val="left"/>
                              <w:rPr>
                                <w:sz w:val="42"/>
                                <w:szCs w:val="42"/>
                              </w:rPr>
                            </w:pPr>
                            <w:r>
                              <w:rPr>
                                <w:rFonts w:ascii="Arial" w:eastAsia="Arial" w:hAnsi="Arial" w:cs="Arial"/>
                                <w:sz w:val="26"/>
                                <w:szCs w:val="26"/>
                              </w:rPr>
                              <w:t xml:space="preserve">Ctěfe </w:t>
                            </w:r>
                            <w:r>
                              <w:rPr>
                                <w:rFonts w:ascii="Cambria" w:eastAsia="Cambria" w:hAnsi="Cambria" w:cs="Cambria"/>
                                <w:i/>
                                <w:iCs/>
                                <w:sz w:val="42"/>
                                <w:szCs w:val="42"/>
                              </w:rPr>
                              <w:t>LIDOVÉ NOVINY</w:t>
                            </w:r>
                          </w:p>
                        </w:txbxContent>
                      </wps:txbx>
                      <wps:bodyPr lIns="0" tIns="0" rIns="0" bIns="0"/>
                    </wps:wsp>
                  </a:graphicData>
                </a:graphic>
              </wp:anchor>
            </w:drawing>
          </mc:Choice>
          <mc:Fallback>
            <w:pict>
              <v:shape id="_x0000_s1721" type="#_x0000_t202" style="position:absolute;margin-left:290.14999999999998pt;margin-top:474.25pt;width:198.94999999999999pt;height:26.399999999999999pt;z-index:-125828681;mso-wrap-distance-left:299.14999999999998pt;mso-wrap-distance-top:473.55000000000001pt;mso-wrap-distance-right:43.100000000000001pt;mso-wrap-distance-bottom:9.5999999999999996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color w:val="000000"/>
                          <w:spacing w:val="0"/>
                          <w:w w:val="100"/>
                          <w:position w:val="0"/>
                          <w:sz w:val="26"/>
                          <w:szCs w:val="26"/>
                          <w:shd w:val="clear" w:color="auto" w:fill="auto"/>
                          <w:lang w:val="cs-CZ" w:eastAsia="cs-CZ" w:bidi="cs-CZ"/>
                        </w:rPr>
                        <w:t xml:space="preserve">Ctěfe </w:t>
                      </w:r>
                      <w:r>
                        <w:rPr>
                          <w:rFonts w:ascii="Cambria" w:eastAsia="Cambria" w:hAnsi="Cambria" w:cs="Cambria"/>
                          <w:i/>
                          <w:iCs/>
                          <w:color w:val="000000"/>
                          <w:spacing w:val="0"/>
                          <w:w w:val="100"/>
                          <w:position w:val="0"/>
                          <w:sz w:val="42"/>
                          <w:szCs w:val="42"/>
                          <w:shd w:val="clear" w:color="auto" w:fill="auto"/>
                          <w:lang w:val="cs-CZ" w:eastAsia="cs-CZ" w:bidi="cs-CZ"/>
                        </w:rPr>
                        <w:t>LIDOVÉ NOVINY</w:t>
                      </w:r>
                    </w:p>
                  </w:txbxContent>
                </v:textbox>
                <w10:wrap type="topAndBottom" anchorx="page"/>
              </v:shape>
            </w:pict>
          </mc:Fallback>
        </mc:AlternateContent>
      </w:r>
    </w:p>
    <w:p w:rsidR="00500724" w:rsidRDefault="00500724">
      <w:pPr>
        <w:spacing w:before="81" w:after="81"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29" w:right="0" w:bottom="528"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65100" distR="165100" simplePos="0" relativeHeight="125830074" behindDoc="0" locked="0" layoutInCell="1" allowOverlap="1">
                <wp:simplePos x="0" y="0"/>
                <wp:positionH relativeFrom="page">
                  <wp:posOffset>64135</wp:posOffset>
                </wp:positionH>
                <wp:positionV relativeFrom="paragraph">
                  <wp:posOffset>1103630</wp:posOffset>
                </wp:positionV>
                <wp:extent cx="2719070" cy="1276985"/>
                <wp:effectExtent l="0" t="0" r="0" b="0"/>
                <wp:wrapSquare wrapText="right"/>
                <wp:docPr id="697" name="Shape 697"/>
                <wp:cNvGraphicFramePr/>
                <a:graphic xmlns:a="http://schemas.openxmlformats.org/drawingml/2006/main">
                  <a:graphicData uri="http://schemas.microsoft.com/office/word/2010/wordprocessingShape">
                    <wps:wsp>
                      <wps:cNvSpPr txBox="1"/>
                      <wps:spPr>
                        <a:xfrm>
                          <a:off x="0" y="0"/>
                          <a:ext cx="2719070" cy="1276985"/>
                        </a:xfrm>
                        <a:prstGeom prst="rect">
                          <a:avLst/>
                        </a:prstGeom>
                        <a:noFill/>
                      </wps:spPr>
                      <wps:txbx>
                        <w:txbxContent>
                          <w:p w:rsidR="00500724" w:rsidRDefault="00F30FB8">
                            <w:pPr>
                              <w:pStyle w:val="Jin0"/>
                              <w:shd w:val="clear" w:color="auto" w:fill="auto"/>
                              <w:spacing w:after="60"/>
                              <w:ind w:firstLine="0"/>
                              <w:jc w:val="left"/>
                              <w:rPr>
                                <w:sz w:val="108"/>
                                <w:szCs w:val="108"/>
                              </w:rPr>
                            </w:pPr>
                            <w:r>
                              <w:rPr>
                                <w:sz w:val="108"/>
                                <w:szCs w:val="108"/>
                              </w:rPr>
                              <w:t>Pfítonmos^</w:t>
                            </w:r>
                          </w:p>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723" type="#_x0000_t202" style="position:absolute;margin-left:5.0499999999999998pt;margin-top:86.900000000000006pt;width:214.09999999999999pt;height:100.55pt;z-index:-125828679;mso-wrap-distance-left:13.pt;mso-wrap-distance-right:13.pt;mso-position-horizontal-relative:page" filled="f" stroked="f">
                <v:textbox style="mso-fit-shape-to-text:t" inset="0,0,0,0">
                  <w:txbxContent>
                    <w:p>
                      <w:pPr>
                        <w:pStyle w:val="Style12"/>
                        <w:keepNext w:val="0"/>
                        <w:keepLines w:val="0"/>
                        <w:widowControl w:val="0"/>
                        <w:shd w:val="clear" w:color="auto" w:fill="auto"/>
                        <w:bidi w:val="0"/>
                        <w:spacing w:before="0" w:after="60" w:line="240" w:lineRule="auto"/>
                        <w:ind w:left="0" w:right="0" w:firstLine="0"/>
                        <w:jc w:val="left"/>
                        <w:rPr>
                          <w:sz w:val="108"/>
                          <w:szCs w:val="108"/>
                        </w:rPr>
                      </w:pPr>
                      <w:r>
                        <w:rPr>
                          <w:color w:val="000000"/>
                          <w:spacing w:val="0"/>
                          <w:w w:val="100"/>
                          <w:position w:val="0"/>
                          <w:sz w:val="108"/>
                          <w:szCs w:val="108"/>
                          <w:shd w:val="clear" w:color="auto" w:fill="auto"/>
                          <w:lang w:val="cs-CZ" w:eastAsia="cs-CZ" w:bidi="cs-CZ"/>
                        </w:rPr>
                        <w:t>Pfítonmos^</w:t>
                      </w:r>
                    </w:p>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360" w:line="240" w:lineRule="auto"/>
        <w:ind w:left="560" w:hanging="560"/>
        <w:rPr>
          <w:sz w:val="19"/>
          <w:szCs w:val="19"/>
        </w:rPr>
      </w:pPr>
      <w:r>
        <w:rPr>
          <w:b/>
          <w:bCs/>
          <w:sz w:val="20"/>
          <w:szCs w:val="20"/>
        </w:rPr>
        <w:t xml:space="preserve">OBSAH PŘÍTOMNOSTI C. 26: </w:t>
      </w:r>
      <w:r>
        <w:rPr>
          <w:b/>
          <w:bCs/>
          <w:sz w:val="19"/>
          <w:szCs w:val="19"/>
        </w:rPr>
        <w:t>J. ALBERT: O ěeské a německé lásce k Praze</w:t>
      </w:r>
      <w:r>
        <w:rPr>
          <w:b/>
          <w:bCs/>
          <w:sz w:val="19"/>
          <w:szCs w:val="19"/>
        </w:rPr>
        <w:t xml:space="preserve"> — J. SOUMAR: Duše chce odpo</w:t>
      </w:r>
      <w:r>
        <w:rPr>
          <w:b/>
          <w:bCs/>
          <w:sz w:val="19"/>
          <w:szCs w:val="19"/>
        </w:rPr>
        <w:softHyphen/>
        <w:t>čívat — R. RICHTER: Jací jsme dnes — K. KUCHYŇKA: Je jasnovidnost opravdu jen pověra? —- A. MRÁZ: Sparta : Slavie a sv. Jana — O. ŘEPKOVÁ-HROBOŇOVÁ: Odpověď Slovenke píše Slovenka z Čiech — A. NEU</w:t>
      </w:r>
      <w:r>
        <w:rPr>
          <w:b/>
          <w:bCs/>
          <w:sz w:val="19"/>
          <w:szCs w:val="19"/>
        </w:rPr>
        <w:softHyphen/>
        <w:t>MANN: Co je svatováclavská tra</w:t>
      </w:r>
      <w:r>
        <w:rPr>
          <w:b/>
          <w:bCs/>
          <w:sz w:val="19"/>
          <w:szCs w:val="19"/>
        </w:rPr>
        <w:t xml:space="preserve">dice? — </w:t>
      </w:r>
      <w:r>
        <w:rPr>
          <w:b/>
          <w:bCs/>
          <w:sz w:val="19"/>
          <w:szCs w:val="19"/>
          <w:lang w:val="en-US" w:eastAsia="en-US" w:bidi="en-US"/>
        </w:rPr>
        <w:t xml:space="preserve">J. </w:t>
      </w:r>
      <w:r>
        <w:rPr>
          <w:b/>
          <w:bCs/>
          <w:sz w:val="19"/>
          <w:szCs w:val="19"/>
        </w:rPr>
        <w:t xml:space="preserve">MACHEK: Dělníkův dopis o knihách — Emigranti v Americe — Před devadesáti lety — Spojené Státy věří v blízký konflikt? — Angličané diskutují — Bude Roosevelt po třetí kandidovat? </w:t>
      </w:r>
      <w:r>
        <w:rPr>
          <w:b/>
          <w:bCs/>
          <w:sz w:val="19"/>
          <w:szCs w:val="19"/>
          <w:u w:val="single"/>
        </w:rPr>
        <w:t>Maďarské plány a půtky.</w:t>
      </w:r>
    </w:p>
    <w:p w:rsidR="00500724" w:rsidRDefault="00F30FB8">
      <w:pPr>
        <w:pStyle w:val="Nadpis90"/>
        <w:keepNext/>
        <w:keepLines/>
        <w:shd w:val="clear" w:color="auto" w:fill="auto"/>
        <w:spacing w:after="200"/>
      </w:pPr>
      <w:bookmarkStart w:id="667" w:name="bookmark666"/>
      <w:r>
        <w:rPr>
          <w:u w:val="single"/>
        </w:rPr>
        <w:t>nezávislý týdeník</w:t>
      </w:r>
      <w:bookmarkEnd w:id="667"/>
    </w:p>
    <w:p w:rsidR="00500724" w:rsidRDefault="00F30FB8">
      <w:pPr>
        <w:pStyle w:val="Zkladntext30"/>
        <w:shd w:val="clear" w:color="auto" w:fill="auto"/>
        <w:spacing w:line="221" w:lineRule="auto"/>
        <w:ind w:firstLine="0"/>
        <w:jc w:val="center"/>
        <w:rPr>
          <w:sz w:val="20"/>
          <w:szCs w:val="20"/>
        </w:rPr>
      </w:pPr>
      <w:r>
        <w:rPr>
          <w:sz w:val="20"/>
          <w:szCs w:val="20"/>
        </w:rPr>
        <w:t>vychází ve středu v nakla</w:t>
      </w:r>
      <w:r>
        <w:rPr>
          <w:sz w:val="20"/>
          <w:szCs w:val="20"/>
        </w:rPr>
        <w:t>datelství</w:t>
      </w:r>
      <w:r>
        <w:rPr>
          <w:sz w:val="20"/>
          <w:szCs w:val="20"/>
        </w:rPr>
        <w:br/>
        <w:t>FR. BOROVÝ V PRAZE I., NÁRODNÍ TRlDA 11.</w:t>
      </w:r>
    </w:p>
    <w:p w:rsidR="00500724" w:rsidRDefault="00F30FB8">
      <w:pPr>
        <w:pStyle w:val="Zkladntext40"/>
        <w:shd w:val="clear" w:color="auto" w:fill="auto"/>
        <w:spacing w:after="40" w:line="187" w:lineRule="auto"/>
      </w:pPr>
      <w:r>
        <w:t>Telefon Číslo 390-51 až 54 • Očet poštovní spořitelny Cislo 35.622 • Nevy</w:t>
      </w:r>
      <w:r>
        <w:softHyphen/>
        <w:t xml:space="preserve">žádané rukopisy se nevracejí • Předplatné na rok K 100.—, na půl roku K 50.—. na Čtvrt roku K 25.—, jednotlivá čísla K 2.—. </w:t>
      </w:r>
      <w:r>
        <w:rPr>
          <w:lang w:val="en-US" w:eastAsia="en-US" w:bidi="en-US"/>
        </w:rPr>
        <w:t xml:space="preserve">Pour </w:t>
      </w:r>
      <w:r>
        <w:t>la</w:t>
      </w:r>
      <w:r>
        <w:t xml:space="preserve"> Fran</w:t>
      </w:r>
      <w:r>
        <w:softHyphen/>
        <w:t xml:space="preserve">ce et ses </w:t>
      </w:r>
      <w:r>
        <w:rPr>
          <w:lang w:val="en-US" w:eastAsia="en-US" w:bidi="en-US"/>
        </w:rPr>
        <w:t xml:space="preserve">Colonies </w:t>
      </w:r>
      <w:r>
        <w:t>Frs 2.50. • Dohlédací pošt. úřad Brno XI. • Novinová sazba povolena v Brně ředitelstvim pošt a telegrafů pod Cis. 119.268/IIIa. • Odpovědný redaktor J. Dlabaě.</w:t>
      </w:r>
    </w:p>
    <w:p w:rsidR="00500724" w:rsidRDefault="00F30FB8">
      <w:pPr>
        <w:pStyle w:val="Zkladntext30"/>
        <w:shd w:val="clear" w:color="auto" w:fill="auto"/>
        <w:spacing w:after="120" w:line="221" w:lineRule="auto"/>
        <w:ind w:left="5380" w:firstLine="0"/>
        <w:jc w:val="left"/>
        <w:rPr>
          <w:sz w:val="20"/>
          <w:szCs w:val="20"/>
        </w:rPr>
        <w:sectPr w:rsidR="00500724">
          <w:footnotePr>
            <w:numFmt w:val="chicago"/>
            <w:numRestart w:val="eachPage"/>
          </w:footnotePr>
          <w:type w:val="continuous"/>
          <w:pgSz w:w="11909" w:h="16834"/>
          <w:pgMar w:top="929" w:right="1445" w:bottom="528" w:left="0" w:header="0" w:footer="3" w:gutter="0"/>
          <w:cols w:space="720"/>
          <w:noEndnote/>
          <w:docGrid w:linePitch="360"/>
        </w:sectPr>
      </w:pPr>
      <w:r>
        <w:rPr>
          <w:sz w:val="20"/>
          <w:szCs w:val="20"/>
        </w:rPr>
        <w:t>TISKEM LIDOVÉ TISKÁRNY, BRNO. ČESKÁ 6.</w:t>
      </w:r>
    </w:p>
    <w:p w:rsidR="00500724" w:rsidRDefault="00500724">
      <w:pPr>
        <w:spacing w:after="308" w:line="14" w:lineRule="exact"/>
      </w:pPr>
    </w:p>
    <w:p w:rsidR="00500724" w:rsidRDefault="00500724">
      <w:pPr>
        <w:spacing w:line="14" w:lineRule="exact"/>
        <w:sectPr w:rsidR="00500724">
          <w:footnotePr>
            <w:numFmt w:val="chicago"/>
            <w:numRestart w:val="eachPage"/>
          </w:footnotePr>
          <w:pgSz w:w="11909" w:h="16834"/>
          <w:pgMar w:top="2695" w:right="958" w:bottom="848" w:left="574" w:header="0" w:footer="3" w:gutter="0"/>
          <w:cols w:space="720"/>
          <w:noEndnote/>
          <w:docGrid w:linePitch="360"/>
        </w:sectPr>
      </w:pPr>
    </w:p>
    <w:p w:rsidR="00500724" w:rsidRDefault="00F30FB8">
      <w:pPr>
        <w:pStyle w:val="Nadpis100"/>
        <w:shd w:val="clear" w:color="auto" w:fill="auto"/>
        <w:spacing w:after="0" w:line="276" w:lineRule="auto"/>
      </w:pPr>
      <w:bookmarkStart w:id="668" w:name="bookmark667"/>
      <w:r>
        <w:t>Dosavadní historie Národního</w:t>
      </w:r>
      <w:r>
        <w:br/>
        <w:t>souručenství</w:t>
      </w:r>
      <w:bookmarkEnd w:id="668"/>
    </w:p>
    <w:p w:rsidR="00500724" w:rsidRDefault="00F30FB8">
      <w:pPr>
        <w:pStyle w:val="Zkladntext30"/>
        <w:shd w:val="clear" w:color="auto" w:fill="auto"/>
        <w:spacing w:after="0" w:line="240" w:lineRule="auto"/>
        <w:ind w:firstLine="0"/>
      </w:pPr>
      <w:r>
        <w:rPr>
          <w:b/>
          <w:bCs/>
          <w:sz w:val="26"/>
          <w:szCs w:val="26"/>
        </w:rPr>
        <w:t xml:space="preserve">TV </w:t>
      </w:r>
      <w:r>
        <w:t>Tyšlenka zjednodušit české politické poměry byla horlivě hlásána hned po září. Tehdy se při</w:t>
      </w:r>
      <w:r>
        <w:softHyphen/>
        <w:t>jala zásada dvou stran: Národní jednoty a Strany práce. Političtí kritikové, jež je vždycky</w:t>
      </w:r>
      <w:r>
        <w:t xml:space="preserve"> víc slyšet než politické pracovníky, vyčítali tehdy této sou</w:t>
      </w:r>
      <w:r>
        <w:softHyphen/>
        <w:t>stavě nedostatek důslednosti a žádali o sjednocení úplné, totalitní. Byli to přibližně tíž kritikové, kteří po utvoření totalitního Národního souručenství přišli zase s námitkou, že sjednocení s</w:t>
      </w:r>
      <w:r>
        <w:t>e provedlo mechanic</w:t>
      </w:r>
      <w:r>
        <w:softHyphen/>
        <w:t>ky, že nové hnutí pojímá do sebe i marxisty, komu</w:t>
      </w:r>
      <w:r>
        <w:softHyphen/>
        <w:t>nisty, zednáře a podobně. Pravda ovšem je, že Ná</w:t>
      </w:r>
      <w:r>
        <w:softHyphen/>
        <w:t>rodní souručenství nedospělo k totalitě revolucí a pro</w:t>
      </w:r>
      <w:r>
        <w:softHyphen/>
        <w:t>léváním krve. Vzniklo jednoduše tim, že večer 16. března projevil president dr. Há</w:t>
      </w:r>
      <w:r>
        <w:t>cha svou vůli, aby bylo založeno. President Čech a Moravy je hlavou autonomní správy v Protektorátě a má právo, aby rozhodoval o politické organisaci českého lidu. Nadto se politické cíle českého národa po 15. březnu sou</w:t>
      </w:r>
      <w:r>
        <w:softHyphen/>
        <w:t>středily v jeden hlavní, jehož dosa</w:t>
      </w:r>
      <w:r>
        <w:t>žení a udržení může</w:t>
      </w:r>
    </w:p>
    <w:p w:rsidR="00500724" w:rsidRDefault="00F30FB8">
      <w:pPr>
        <w:pStyle w:val="Zkladntext30"/>
        <w:shd w:val="clear" w:color="auto" w:fill="auto"/>
        <w:spacing w:line="240" w:lineRule="auto"/>
        <w:ind w:firstLine="0"/>
      </w:pPr>
      <w:r>
        <w:t>uskutečnit jen národní jednota.</w:t>
      </w:r>
    </w:p>
    <w:p w:rsidR="00500724" w:rsidRDefault="00F30FB8">
      <w:pPr>
        <w:pStyle w:val="Zkladntext30"/>
        <w:shd w:val="clear" w:color="auto" w:fill="auto"/>
        <w:spacing w:line="240" w:lineRule="auto"/>
        <w:ind w:firstLine="300"/>
      </w:pPr>
      <w:r>
        <w:t>Patnáctého března upadl do mdlob celý veřejný život, státní správa i politické strany. Z chaosu téhož dne se však zrodil nový život, totiž český Národní vý</w:t>
      </w:r>
      <w:r>
        <w:softHyphen/>
        <w:t>bor. Usídlil se v budově výboru poslanecké sněmo</w:t>
      </w:r>
      <w:r>
        <w:t>vny a byl akreditován vojenskými úřady říšské výkonné moci pro styk českého občanstva s říšskou armádou. Výbor tvořili většinou zástupci Vlajky, Národní obce fašistické, Akce národní obrody, ale byli v něm také zástupci bývalých koaličních stran a národníc</w:t>
      </w:r>
      <w:r>
        <w:t>h insti</w:t>
      </w:r>
      <w:r>
        <w:softHyphen/>
        <w:t>tucí. Tento český Národní výbor vůbec nebyl vybaven výkonnou mocí, ale silně po ní ve své většině toužil. Vzniklo z toho napětí mezi vládou a vý</w:t>
      </w:r>
      <w:r>
        <w:softHyphen/>
        <w:t xml:space="preserve">borem. Většina výboru, o niž jsme mluvili a hlavně ony podvýbory kolem dokola usilovaly o to, aby mocí </w:t>
      </w:r>
      <w:r>
        <w:t>Národního výboru získali moc vládní. Výbor sám byl chladnější. Vydal ještě večer prohlášení, jež uklidňo</w:t>
      </w:r>
      <w:r>
        <w:softHyphen/>
        <w:t xml:space="preserve">valo. Vedle tohoto prohlášení vydal vůdce fašistů generál Gajda, člen výboru, zvláštní prohlášení, </w:t>
      </w:r>
      <w:r>
        <w:rPr>
          <w:b/>
          <w:bCs/>
          <w:sz w:val="26"/>
          <w:szCs w:val="26"/>
        </w:rPr>
        <w:t xml:space="preserve">V </w:t>
      </w:r>
      <w:r>
        <w:t>němž hlásal mimo jiné:</w:t>
      </w:r>
    </w:p>
    <w:p w:rsidR="00500724" w:rsidRDefault="00F30FB8">
      <w:pPr>
        <w:pStyle w:val="Zkladntext30"/>
        <w:shd w:val="clear" w:color="auto" w:fill="auto"/>
        <w:spacing w:after="0" w:line="221" w:lineRule="auto"/>
        <w:ind w:firstLine="360"/>
        <w:rPr>
          <w:sz w:val="20"/>
          <w:szCs w:val="20"/>
        </w:rPr>
      </w:pPr>
      <w:r>
        <w:rPr>
          <w:sz w:val="20"/>
          <w:szCs w:val="20"/>
        </w:rPr>
        <w:t>»Zřídil jsem pracovní výbor</w:t>
      </w:r>
      <w:r>
        <w:rPr>
          <w:sz w:val="20"/>
          <w:szCs w:val="20"/>
        </w:rPr>
        <w:t xml:space="preserve"> z osob národně osvědčených a spolehlivých, v němž jsou všechny složky národa. Zpra</w:t>
      </w:r>
      <w:r>
        <w:rPr>
          <w:sz w:val="20"/>
          <w:szCs w:val="20"/>
        </w:rPr>
        <w:softHyphen/>
        <w:t>vím vás v nejbližších hodinách o postupu, který uznám za prospěšný pro náš národ. Zatím se všichni hlaste ve škol</w:t>
      </w:r>
      <w:r>
        <w:rPr>
          <w:sz w:val="20"/>
          <w:szCs w:val="20"/>
        </w:rPr>
        <w:softHyphen/>
        <w:t>ních budovách v Praze I., Uhelný trh 4, kde je zřízen hlav</w:t>
      </w:r>
      <w:r>
        <w:rPr>
          <w:sz w:val="20"/>
          <w:szCs w:val="20"/>
        </w:rPr>
        <w:t>ní stan fašistického tábora.«</w:t>
      </w:r>
    </w:p>
    <w:p w:rsidR="00500724" w:rsidRDefault="00F30FB8">
      <w:pPr>
        <w:pStyle w:val="Zkladntext30"/>
        <w:shd w:val="clear" w:color="auto" w:fill="auto"/>
        <w:spacing w:after="60" w:line="223" w:lineRule="auto"/>
        <w:ind w:firstLine="240"/>
      </w:pPr>
      <w:r>
        <w:t>Zatím však, než mohl Gajda oznámit své rozhod</w:t>
      </w:r>
      <w:r>
        <w:softHyphen/>
        <w:t>nutí, byla autorita vlády potvrzena tím, že říšští či</w:t>
      </w:r>
      <w:r>
        <w:softHyphen/>
        <w:t xml:space="preserve">nitelé ministr </w:t>
      </w:r>
      <w:r>
        <w:rPr>
          <w:lang w:val="en-US" w:eastAsia="en-US" w:bidi="en-US"/>
        </w:rPr>
        <w:t xml:space="preserve">Ribbentrop </w:t>
      </w:r>
      <w:r>
        <w:t>a generál Blaskowitz jednali s předsedou vlády Beranem. Večer 16. března pak oznámil president dr. H</w:t>
      </w:r>
      <w:r>
        <w:t>ácha rozhlasem:</w:t>
      </w:r>
    </w:p>
    <w:p w:rsidR="00500724" w:rsidRDefault="00F30FB8">
      <w:pPr>
        <w:pStyle w:val="Zkladntext30"/>
        <w:shd w:val="clear" w:color="auto" w:fill="auto"/>
        <w:spacing w:after="0" w:line="199" w:lineRule="auto"/>
        <w:ind w:firstLine="240"/>
        <w:rPr>
          <w:sz w:val="20"/>
          <w:szCs w:val="20"/>
        </w:rPr>
      </w:pPr>
      <w:r>
        <w:rPr>
          <w:sz w:val="20"/>
          <w:szCs w:val="20"/>
        </w:rPr>
        <w:t>»Rozhodl jsem se jako odpovědná hlava národa českého, že učiním co nejrychleji rozhodné kroky, které povedou k naprostému sjednocení všech vrstev národa. Jsem od</w:t>
      </w:r>
      <w:r>
        <w:rPr>
          <w:sz w:val="20"/>
          <w:szCs w:val="20"/>
        </w:rPr>
        <w:softHyphen/>
        <w:t xml:space="preserve">hodlán nestrpět žádné odstředivé snahy, žádné skupiny </w:t>
      </w:r>
      <w:r>
        <w:rPr>
          <w:rFonts w:ascii="Arial" w:eastAsia="Arial" w:hAnsi="Arial" w:cs="Arial"/>
          <w:sz w:val="17"/>
          <w:szCs w:val="17"/>
        </w:rPr>
        <w:t xml:space="preserve">a </w:t>
      </w:r>
      <w:r>
        <w:rPr>
          <w:sz w:val="20"/>
          <w:szCs w:val="20"/>
        </w:rPr>
        <w:t>frakce.«</w:t>
      </w:r>
    </w:p>
    <w:p w:rsidR="00500724" w:rsidRDefault="00F30FB8">
      <w:pPr>
        <w:pStyle w:val="Zkladntext30"/>
        <w:shd w:val="clear" w:color="auto" w:fill="auto"/>
        <w:spacing w:after="0" w:line="223" w:lineRule="auto"/>
        <w:ind w:firstLine="240"/>
      </w:pPr>
      <w:r>
        <w:t>Večer 17. bře</w:t>
      </w:r>
      <w:r>
        <w:t>zna přijal pražský velitel generál Gablonz zástupce Národního výboru. Již příští den však říšské úřady uznaly vládu za jediné oprávně</w:t>
      </w:r>
      <w:r>
        <w:softHyphen/>
        <w:t>ného jednatele a mluvčího české autonomie.</w:t>
      </w:r>
    </w:p>
    <w:p w:rsidR="00500724" w:rsidRDefault="00F30FB8">
      <w:pPr>
        <w:pStyle w:val="Zkladntext30"/>
        <w:shd w:val="clear" w:color="auto" w:fill="auto"/>
        <w:spacing w:after="0" w:line="223" w:lineRule="auto"/>
        <w:ind w:firstLine="240"/>
      </w:pPr>
      <w:r>
        <w:t>Rozhodující je arci, jak reagoval český lid na podnět utvoření jediného národní</w:t>
      </w:r>
      <w:r>
        <w:t>ho hnutí. Dlouho dost neměl příležitost k této reakci. 21. března jmenoval presi</w:t>
      </w:r>
      <w:r>
        <w:softHyphen/>
        <w:t>dent první padesátičlenný výbor a zároveň rozpustil obě komory Národního shromáždění. Povaha nové strany je autoritativní, vůdcem president dr. Hácha. Padesát nových vůdců byl</w:t>
      </w:r>
      <w:r>
        <w:t>a jména veřejnosti blíže neznámá — většinou. Vedoucím výboru (podle ně</w:t>
      </w:r>
      <w:r>
        <w:softHyphen/>
        <w:t>meckého Leiter) byl jmenován Adolf Hrubý. Vý</w:t>
      </w:r>
      <w:r>
        <w:softHyphen/>
        <w:t xml:space="preserve">bor měl uskutečnit organisaci národní pospolitosti, zajistit sociální spravedlnost na stavovském řáde a pečovat o politickou výchovu lidu v </w:t>
      </w:r>
      <w:r>
        <w:t>duchu ná</w:t>
      </w:r>
      <w:r>
        <w:softHyphen/>
        <w:t>rodním a křesťanském. Své zásady měl po roz</w:t>
      </w:r>
      <w:r>
        <w:softHyphen/>
        <w:t>puštění sněmoven uplatňovat iniciativou, zatím co vláda zůstala mocí výkonnou. Od 1. dubna byl český tisk zavázán službou Národnímu souručenství. Český lid pak dostal první příležitost, aby projevil svou</w:t>
      </w:r>
      <w:r>
        <w:t xml:space="preserve"> vůli v polovici dubna, kdy byl proveden nábor členstva do nové strany. Členy strany mohli se státi jen čeští mužové od 21 let. Nábor je zatím nejslavnější skuteč</w:t>
      </w:r>
      <w:r>
        <w:softHyphen/>
        <w:t>nost z historie Národního souručenství. Z 2,083.427 oprávněných mužů se přihlásilo 2,079.185,</w:t>
      </w:r>
      <w:r>
        <w:t xml:space="preserve"> což je 99.79 procenta. Národní souručenství nevděčí za tento výsledek novým osobám, které se za krátkou dobu svého veřejného působení ani nemohly učinit přitažli</w:t>
      </w:r>
      <w:r>
        <w:softHyphen/>
        <w:t>vými, ani podmanivému způsobu náborové agitace. Sám vůdce strany poznamenal k jmenování výbor</w:t>
      </w:r>
      <w:r>
        <w:t>u:' »Nebylo času rozhlížet se po osobách.« Výsledek je dílem politické výchovy lidu, který v posledních desíti</w:t>
      </w:r>
      <w:r>
        <w:softHyphen/>
        <w:t>letích měl příležitost přímé účasti na veřejných věcech a pochopil sám, jaká je jeho povinnost. Manifestoval svornost, vlastnost to, kterou pesim</w:t>
      </w:r>
      <w:r>
        <w:t>isté z potřeby truchlivosti na věky vyloučili ze všech slovanských povah. Politický význam národní jednomyslnosti je tím ještě větší a nepopiratelnější.</w:t>
      </w:r>
    </w:p>
    <w:p w:rsidR="00500724" w:rsidRDefault="00F30FB8">
      <w:pPr>
        <w:pStyle w:val="Zkladntext30"/>
        <w:shd w:val="clear" w:color="auto" w:fill="auto"/>
        <w:spacing w:after="0" w:line="223" w:lineRule="auto"/>
        <w:ind w:firstLine="240"/>
        <w:sectPr w:rsidR="00500724">
          <w:footnotePr>
            <w:numFmt w:val="chicago"/>
            <w:numRestart w:val="eachPage"/>
          </w:footnotePr>
          <w:type w:val="continuous"/>
          <w:pgSz w:w="11909" w:h="16834"/>
          <w:pgMar w:top="2701" w:right="968" w:bottom="848" w:left="574" w:header="0" w:footer="3" w:gutter="0"/>
          <w:cols w:num="2" w:space="125"/>
          <w:noEndnote/>
          <w:docGrid w:linePitch="360"/>
        </w:sectPr>
      </w:pPr>
      <w:r>
        <w:t xml:space="preserve">Podobný výsledek měl i nábor mládeže, provedený v květnu. Přihlásilo se </w:t>
      </w:r>
      <w:r>
        <w:t>535.970 mladých lidí od sedm</w:t>
      </w:r>
      <w:r>
        <w:softHyphen/>
        <w:t>nácti do čtyřiadvaceti let, z toho 259.569 děvčat. Dívčí mládež je tedy politicky organisována, kdežto dospě-</w:t>
      </w:r>
    </w:p>
    <w:p w:rsidR="00500724" w:rsidRDefault="00F30FB8">
      <w:pPr>
        <w:pStyle w:val="Zkladntext30"/>
        <w:framePr w:w="384" w:h="317" w:wrap="none" w:vAnchor="text" w:hAnchor="page" w:x="10568" w:y="21"/>
        <w:shd w:val="clear" w:color="auto" w:fill="auto"/>
        <w:spacing w:after="0" w:line="240" w:lineRule="auto"/>
        <w:ind w:firstLine="0"/>
        <w:jc w:val="left"/>
        <w:rPr>
          <w:sz w:val="24"/>
          <w:szCs w:val="24"/>
        </w:rPr>
      </w:pPr>
      <w:r>
        <w:rPr>
          <w:i/>
          <w:iCs/>
          <w:sz w:val="24"/>
          <w:szCs w:val="24"/>
        </w:rPr>
        <w:t>4P9</w:t>
      </w:r>
    </w:p>
    <w:p w:rsidR="00500724" w:rsidRDefault="00500724">
      <w:pPr>
        <w:spacing w:after="303" w:line="14" w:lineRule="exact"/>
      </w:pPr>
    </w:p>
    <w:p w:rsidR="00500724" w:rsidRDefault="00500724">
      <w:pPr>
        <w:spacing w:line="14" w:lineRule="exact"/>
        <w:sectPr w:rsidR="00500724">
          <w:footnotePr>
            <w:numFmt w:val="chicago"/>
            <w:numRestart w:val="eachPage"/>
          </w:footnotePr>
          <w:type w:val="continuous"/>
          <w:pgSz w:w="11909" w:h="16834"/>
          <w:pgMar w:top="2695" w:right="958" w:bottom="848" w:left="574" w:header="0" w:footer="3" w:gutter="0"/>
          <w:cols w:space="720"/>
          <w:noEndnote/>
          <w:docGrid w:linePitch="360"/>
        </w:sectPr>
      </w:pPr>
    </w:p>
    <w:p w:rsidR="00500724" w:rsidRDefault="00F30FB8">
      <w:pPr>
        <w:pStyle w:val="Nadpis90"/>
        <w:keepNext/>
        <w:keepLines/>
        <w:pBdr>
          <w:bottom w:val="single" w:sz="4" w:space="0" w:color="auto"/>
        </w:pBdr>
        <w:shd w:val="clear" w:color="auto" w:fill="auto"/>
        <w:spacing w:after="0"/>
        <w:ind w:right="100"/>
        <w:jc w:val="center"/>
        <w:rPr>
          <w:sz w:val="42"/>
          <w:szCs w:val="42"/>
        </w:rPr>
        <w:sectPr w:rsidR="00500724">
          <w:footnotePr>
            <w:numFmt w:val="chicago"/>
            <w:numRestart w:val="eachPage"/>
          </w:footnotePr>
          <w:pgSz w:w="11909" w:h="16834"/>
          <w:pgMar w:top="737" w:right="1010" w:bottom="993" w:left="626" w:header="0" w:footer="3" w:gutter="0"/>
          <w:cols w:space="720"/>
          <w:noEndnote/>
          <w:docGrid w:linePitch="360"/>
        </w:sectPr>
      </w:pPr>
      <w:bookmarkStart w:id="669" w:name="bookmark668"/>
      <w:r>
        <w:rPr>
          <w:rFonts w:ascii="Times New Roman" w:eastAsia="Times New Roman" w:hAnsi="Times New Roman" w:cs="Times New Roman"/>
          <w:w w:val="80"/>
          <w:sz w:val="42"/>
          <w:szCs w:val="42"/>
        </w:rPr>
        <w:t>PfítomnosLz</w:t>
      </w:r>
      <w:bookmarkEnd w:id="669"/>
    </w:p>
    <w:p w:rsidR="00500724" w:rsidRDefault="00500724">
      <w:pPr>
        <w:spacing w:line="133" w:lineRule="exact"/>
        <w:rPr>
          <w:sz w:val="11"/>
          <w:szCs w:val="11"/>
        </w:rPr>
      </w:pPr>
    </w:p>
    <w:p w:rsidR="00500724" w:rsidRDefault="00500724">
      <w:pPr>
        <w:spacing w:line="14" w:lineRule="exact"/>
        <w:sectPr w:rsidR="00500724">
          <w:footnotePr>
            <w:numFmt w:val="chicago"/>
            <w:numRestart w:val="eachPage"/>
          </w:footnotePr>
          <w:type w:val="continuous"/>
          <w:pgSz w:w="11909" w:h="16834"/>
          <w:pgMar w:top="737" w:right="0" w:bottom="963" w:left="0" w:header="0" w:footer="3" w:gutter="0"/>
          <w:cols w:space="720"/>
          <w:noEndnote/>
          <w:docGrid w:linePitch="360"/>
        </w:sectPr>
      </w:pPr>
    </w:p>
    <w:p w:rsidR="00500724" w:rsidRDefault="00F30FB8">
      <w:pPr>
        <w:pStyle w:val="Zkladntext30"/>
        <w:shd w:val="clear" w:color="auto" w:fill="auto"/>
        <w:spacing w:line="223" w:lineRule="auto"/>
        <w:ind w:firstLine="0"/>
      </w:pPr>
      <w:r>
        <w:t xml:space="preserve">lým ženám měla </w:t>
      </w:r>
      <w:r>
        <w:t>stačit jakási nepolitická organisace v Národní radě. Neodůvodněnost této nerovnosti je očividná a bude napravena revisí organisačního řádu. Po náboru členstva byl výbor Národního souručenství rozšířen na sedmdesát míst a po dohodě s fašisty v červnu na osm</w:t>
      </w:r>
      <w:r>
        <w:t>desát. V rozšířeném výboru je také správněji zastoupena Morava a dělnictvo.</w:t>
      </w:r>
    </w:p>
    <w:p w:rsidR="00500724" w:rsidRDefault="00F30FB8">
      <w:pPr>
        <w:pStyle w:val="Zkladntext30"/>
        <w:shd w:val="clear" w:color="auto" w:fill="auto"/>
        <w:spacing w:after="400" w:line="221" w:lineRule="auto"/>
      </w:pPr>
      <w:r>
        <w:t>Poměr hnuti a vlády byl precisován, když Eliášův kabinet vystřídal 21. dubna vládu Beranovu. Vláda prohlásila Národní souručenství za jedinou stranu, která je oprávněna politicky o</w:t>
      </w:r>
      <w:r>
        <w:t>rganisovati český lid. Činnost Národního výboru byla prohlášena za skon</w:t>
      </w:r>
      <w:r>
        <w:softHyphen/>
        <w:t>čenou, když president zahajoval činnost Národního souručenství. Ostatní politické strany byly rozpuště</w:t>
      </w:r>
      <w:r>
        <w:softHyphen/>
        <w:t xml:space="preserve">ny. Vláda podává výboru Národního souručenství své osnovy k vyjádření. Jmenovala </w:t>
      </w:r>
      <w:r>
        <w:t>styčné orgány, které zasedají v komisích Národního souručenství a zpra</w:t>
      </w:r>
      <w:r>
        <w:softHyphen/>
        <w:t>vují své resorty o programu a činnosti hnutí. Do té doby, než bude rozhodnuto o novém ústavním pořád</w:t>
      </w:r>
      <w:r>
        <w:softHyphen/>
        <w:t>ku, je v úzké spolupráci vlády s hnutím předpoklad správního řádu. Výsledky této sou</w:t>
      </w:r>
      <w:r>
        <w:t>činnosti podléhají ovšem schválení říšského protektorátu. Přehled své práce otiskl výbor Národního souručenství ve čtvrteč</w:t>
      </w:r>
      <w:r>
        <w:softHyphen/>
        <w:t>ním denním tisku.</w:t>
      </w:r>
    </w:p>
    <w:p w:rsidR="00500724" w:rsidRDefault="00F30FB8">
      <w:pPr>
        <w:pStyle w:val="Zkladntext30"/>
        <w:shd w:val="clear" w:color="auto" w:fill="auto"/>
        <w:spacing w:after="0" w:line="221" w:lineRule="auto"/>
      </w:pPr>
      <w:r>
        <w:t>Národní souručenství je autoritativní strana. K totalitě se u nás nedošlo bojem za nový revoluční program, proti vl</w:t>
      </w:r>
      <w:r>
        <w:t>ádnoucí třídě. Došlo se k ní roz</w:t>
      </w:r>
      <w:r>
        <w:softHyphen/>
        <w:t>umem a dobrovolnou solidaritou všech částí národní společnosti. Vedení strany má moc vydávat rozkazy, ale směr a duch těchto rozkazů musí být pečlivě vy</w:t>
      </w:r>
      <w:r>
        <w:softHyphen/>
        <w:t xml:space="preserve">pozorován v duši českého lidu. Vedení hnutí nechybí, když před každým </w:t>
      </w:r>
      <w:r>
        <w:t>svým rozhodováním ^zaposlouchá se, co mluví kraje.</w:t>
      </w:r>
    </w:p>
    <w:p w:rsidR="00500724" w:rsidRDefault="00F30FB8">
      <w:pPr>
        <w:pStyle w:val="Zkladntext100"/>
        <w:shd w:val="clear" w:color="auto" w:fill="auto"/>
        <w:spacing w:after="160" w:line="230" w:lineRule="auto"/>
        <w:ind w:firstLine="0"/>
        <w:jc w:val="right"/>
        <w:rPr>
          <w:sz w:val="19"/>
          <w:szCs w:val="19"/>
        </w:rPr>
      </w:pPr>
      <w:r>
        <w:rPr>
          <w:b/>
          <w:bCs/>
          <w:i/>
          <w:iCs/>
          <w:sz w:val="19"/>
          <w:szCs w:val="19"/>
        </w:rPr>
        <w:t>Ladislav Khás</w:t>
      </w:r>
    </w:p>
    <w:p w:rsidR="00500724" w:rsidRDefault="00F30FB8">
      <w:pPr>
        <w:pStyle w:val="Nadpis90"/>
        <w:keepNext/>
        <w:keepLines/>
        <w:pBdr>
          <w:bottom w:val="single" w:sz="4" w:space="0" w:color="auto"/>
        </w:pBdr>
        <w:shd w:val="clear" w:color="auto" w:fill="auto"/>
        <w:spacing w:after="280"/>
        <w:rPr>
          <w:sz w:val="44"/>
          <w:szCs w:val="44"/>
        </w:rPr>
      </w:pPr>
      <w:bookmarkStart w:id="670" w:name="bookmark669"/>
      <w:r>
        <w:rPr>
          <w:rFonts w:ascii="Times New Roman" w:eastAsia="Times New Roman" w:hAnsi="Times New Roman" w:cs="Times New Roman"/>
          <w:sz w:val="44"/>
          <w:szCs w:val="44"/>
        </w:rPr>
        <w:t>poznámky</w:t>
      </w:r>
      <w:bookmarkEnd w:id="670"/>
    </w:p>
    <w:p w:rsidR="00500724" w:rsidRDefault="00F30FB8">
      <w:pPr>
        <w:pStyle w:val="Zkladntext30"/>
        <w:shd w:val="clear" w:color="auto" w:fill="auto"/>
        <w:spacing w:after="100" w:line="178" w:lineRule="auto"/>
        <w:ind w:firstLine="0"/>
        <w:jc w:val="center"/>
        <w:rPr>
          <w:sz w:val="20"/>
          <w:szCs w:val="20"/>
        </w:rPr>
      </w:pPr>
      <w:r>
        <w:rPr>
          <w:b/>
          <w:bCs/>
          <w:sz w:val="20"/>
          <w:szCs w:val="20"/>
        </w:rPr>
        <w:t>John BuH aneb válka a mír</w:t>
      </w:r>
    </w:p>
    <w:p w:rsidR="00500724" w:rsidRDefault="00F30FB8">
      <w:pPr>
        <w:pStyle w:val="Zkladntext100"/>
        <w:shd w:val="clear" w:color="auto" w:fill="auto"/>
        <w:spacing w:line="185" w:lineRule="auto"/>
        <w:ind w:firstLine="260"/>
        <w:rPr>
          <w:sz w:val="19"/>
          <w:szCs w:val="19"/>
        </w:rPr>
      </w:pPr>
      <w:r>
        <w:rPr>
          <w:b/>
          <w:bCs/>
          <w:sz w:val="19"/>
          <w:szCs w:val="19"/>
        </w:rPr>
        <w:t>Dopis říšskoněmeckého občana Schmidta z Hamburku, který před týdnem vyšel v &gt;Tiracs« v rámci stále ještě trva</w:t>
      </w:r>
      <w:r>
        <w:rPr>
          <w:b/>
          <w:bCs/>
          <w:sz w:val="19"/>
          <w:szCs w:val="19"/>
        </w:rPr>
        <w:softHyphen/>
        <w:t xml:space="preserve">jící novinářské diskuse o možnostech míru a o </w:t>
      </w:r>
      <w:r>
        <w:rPr>
          <w:b/>
          <w:bCs/>
          <w:sz w:val="19"/>
          <w:szCs w:val="19"/>
        </w:rPr>
        <w:t>tempu brit</w:t>
      </w:r>
      <w:r>
        <w:rPr>
          <w:b/>
          <w:bCs/>
          <w:sz w:val="19"/>
          <w:szCs w:val="19"/>
        </w:rPr>
        <w:softHyphen/>
        <w:t>ského zbrojení, vzbudil značnou pozornost jak v německé, tak i v britské čtenářské obci. Následovaly ovšem četné dopisy, které s p. Scbmidtem poiemisovaty. Jejich zřejmým cílem bylo působit na německé veřejné mínění, alespoň na tu jeho část, kte</w:t>
      </w:r>
      <w:r>
        <w:rPr>
          <w:b/>
          <w:bCs/>
          <w:sz w:val="19"/>
          <w:szCs w:val="19"/>
        </w:rPr>
        <w:t xml:space="preserve">rá sleduje anglický tisk. Pan </w:t>
      </w:r>
      <w:r>
        <w:rPr>
          <w:b/>
          <w:bCs/>
          <w:sz w:val="19"/>
          <w:szCs w:val="19"/>
          <w:lang w:val="en-US" w:eastAsia="en-US" w:bidi="en-US"/>
        </w:rPr>
        <w:t xml:space="preserve">Schmidt </w:t>
      </w:r>
      <w:r>
        <w:rPr>
          <w:b/>
          <w:bCs/>
          <w:sz w:val="19"/>
          <w:szCs w:val="19"/>
        </w:rPr>
        <w:t>totiž napsal, že říšskoněmecká veřejnost má pocit, že Velká Britanie považuje dnes za svou povinnost provést obklíčení Německa až do konce a projevil pochybnost, zda taková akce může přispět k pokusům zachránit mír, je</w:t>
      </w:r>
      <w:r>
        <w:rPr>
          <w:b/>
          <w:bCs/>
          <w:sz w:val="19"/>
          <w:szCs w:val="19"/>
        </w:rPr>
        <w:t>ž jsou znovu a znovu inscenovány z britské strany.</w:t>
      </w:r>
    </w:p>
    <w:p w:rsidR="00500724" w:rsidRDefault="00F30FB8">
      <w:pPr>
        <w:pStyle w:val="Zkladntext100"/>
        <w:shd w:val="clear" w:color="auto" w:fill="auto"/>
        <w:spacing w:line="185" w:lineRule="auto"/>
        <w:ind w:firstLine="260"/>
        <w:rPr>
          <w:sz w:val="19"/>
          <w:szCs w:val="19"/>
        </w:rPr>
      </w:pPr>
      <w:r>
        <w:rPr>
          <w:b/>
          <w:bCs/>
          <w:sz w:val="19"/>
          <w:szCs w:val="19"/>
        </w:rPr>
        <w:t>V »Times« z 25. června vyšel v této souvislosti dopis dal</w:t>
      </w:r>
      <w:r>
        <w:rPr>
          <w:b/>
          <w:bCs/>
          <w:sz w:val="19"/>
          <w:szCs w:val="19"/>
        </w:rPr>
        <w:softHyphen/>
        <w:t>šího říšskoněmeckého občana, Heinricha Kru mm a z Of- fenbachu nad Mohanem, v němž především jeho autor vy</w:t>
      </w:r>
      <w:r>
        <w:rPr>
          <w:b/>
          <w:bCs/>
          <w:sz w:val="19"/>
          <w:szCs w:val="19"/>
        </w:rPr>
        <w:softHyphen/>
        <w:t>slovuje »Times« poděkováni za fair ehová</w:t>
      </w:r>
      <w:r>
        <w:rPr>
          <w:b/>
          <w:bCs/>
          <w:sz w:val="19"/>
          <w:szCs w:val="19"/>
        </w:rPr>
        <w:t>ní, že otiskly Schmidtův dopis, a poznamenává, že z vlastni zkušenosti může říci, že většina německého lidu sdílí Schmidtovy ná- zory. Piaví, že tito říšskoněmečtí občané jsou toho názoru, že otázka Gdanska a Polska by byla již dávno mezi Německem a Polske</w:t>
      </w:r>
      <w:r>
        <w:rPr>
          <w:b/>
          <w:bCs/>
          <w:sz w:val="19"/>
          <w:szCs w:val="19"/>
        </w:rPr>
        <w:t>m vyřízena, bez války ovšem, kdyby Velká Britanie se byla do věci nepletla. Pan Krnmm ukazuje na psáni britských listů a praví, že je rád, že velká většina Němců je nečte' a že je za to německé vládě vděčen, protože časopisy psané tak, jako dnes jsou angli</w:t>
      </w:r>
      <w:r>
        <w:rPr>
          <w:b/>
          <w:bCs/>
          <w:sz w:val="19"/>
          <w:szCs w:val="19"/>
        </w:rPr>
        <w:t>cké noviny, by jen německý národ otravovaly a rozkládaly. Ziep. šení situace nemůže nastat, dokud budou tyto věci takové, jak jsou, a pan Kriunm se přimlouvá za to, aby byla rozší</w:t>
      </w:r>
      <w:r>
        <w:rPr>
          <w:b/>
          <w:bCs/>
          <w:sz w:val="19"/>
          <w:szCs w:val="19"/>
        </w:rPr>
        <w:softHyphen/>
        <w:t>řena výměna studující mládeže, obchodníků, učitelů a všech, kteří by mohli p</w:t>
      </w:r>
      <w:r>
        <w:rPr>
          <w:b/>
          <w:bCs/>
          <w:sz w:val="19"/>
          <w:szCs w:val="19"/>
        </w:rPr>
        <w:t>řispěti k vzájemnému poznáni, mezi Němec- kem a Velkou Britanií. Doufá, že anglické veřejné míněni by pak pochopilo, co je to německý prostor a že nelze národ o osmdesáti milionech obyvatel škrtit obkličovací politikou.</w:t>
      </w:r>
    </w:p>
    <w:p w:rsidR="00500724" w:rsidRDefault="00F30FB8">
      <w:pPr>
        <w:pStyle w:val="Zkladntext100"/>
        <w:shd w:val="clear" w:color="auto" w:fill="auto"/>
        <w:spacing w:line="187" w:lineRule="auto"/>
        <w:ind w:firstLine="300"/>
        <w:rPr>
          <w:sz w:val="19"/>
          <w:szCs w:val="19"/>
        </w:rPr>
      </w:pPr>
      <w:r>
        <w:rPr>
          <w:b/>
          <w:bCs/>
          <w:sz w:val="19"/>
          <w:szCs w:val="19"/>
        </w:rPr>
        <w:t>V rozpravě, která je již po tak dlou</w:t>
      </w:r>
      <w:r>
        <w:rPr>
          <w:b/>
          <w:bCs/>
          <w:sz w:val="19"/>
          <w:szCs w:val="19"/>
        </w:rPr>
        <w:t>hou dobu pěstována nejen v »Times«, ale i v sDaily Telegraphu« a mnohých ji- ných anglických novinách, docházejí angličtí pisatelé k zá</w:t>
      </w:r>
      <w:r>
        <w:rPr>
          <w:b/>
          <w:bCs/>
          <w:sz w:val="19"/>
          <w:szCs w:val="19"/>
        </w:rPr>
        <w:softHyphen/>
        <w:t>věru, že je ze soudobé situace možné jen dvojí výcho</w:t>
      </w:r>
      <w:r>
        <w:rPr>
          <w:b/>
          <w:bCs/>
          <w:sz w:val="19"/>
          <w:szCs w:val="19"/>
        </w:rPr>
        <w:softHyphen/>
        <w:t>disko: mírová konference, anebo válka. Konference, která by při nej</w:t>
      </w:r>
      <w:r>
        <w:rPr>
          <w:b/>
          <w:bCs/>
          <w:sz w:val="19"/>
          <w:szCs w:val="19"/>
        </w:rPr>
        <w:t>menším měla evropský rozsah a musila by se konat co nejdříve, by měla za úkol rozřešit všechny věci, které by byly jinak řešeny válečně. Výpočet je asi tento: odstraněni všech zápalných bodů v Evropě mírumilovnou dohodou, finanční pomoc středoevropskému ho</w:t>
      </w:r>
      <w:r>
        <w:rPr>
          <w:b/>
          <w:bCs/>
          <w:sz w:val="19"/>
          <w:szCs w:val="19"/>
        </w:rPr>
        <w:t>spodářství, rozděleni světových trhů jak pro prodej hotových výrobků, tak pro volný nákup surovin a konečně ovšem odzbrojení a zřízení nějaké velmocenské instituce, která by měla zvlášt</w:t>
      </w:r>
      <w:r>
        <w:rPr>
          <w:b/>
          <w:bCs/>
          <w:sz w:val="19"/>
          <w:szCs w:val="19"/>
        </w:rPr>
        <w:softHyphen/>
        <w:t>ní pravomoc, aby zabraňovala opětnému zhoršeni meziná</w:t>
      </w:r>
      <w:r>
        <w:rPr>
          <w:b/>
          <w:bCs/>
          <w:sz w:val="19"/>
          <w:szCs w:val="19"/>
        </w:rPr>
        <w:softHyphen/>
        <w:t xml:space="preserve">rodních vztahů. </w:t>
      </w:r>
      <w:r>
        <w:rPr>
          <w:b/>
          <w:bCs/>
          <w:sz w:val="19"/>
          <w:szCs w:val="19"/>
        </w:rPr>
        <w:t>V celku se přišlo asi k tomu, že v každém případě jakýsi dokument, slavnostně proklamovaný a ozná</w:t>
      </w:r>
      <w:r>
        <w:rPr>
          <w:b/>
          <w:bCs/>
          <w:sz w:val="19"/>
          <w:szCs w:val="19"/>
        </w:rPr>
        <w:softHyphen/>
        <w:t>mený všem národům světa, by měl býti vypracován a že by mělo býti nasazeno všechno úsilí, aby byl všemi zúčastně</w:t>
      </w:r>
      <w:r>
        <w:rPr>
          <w:b/>
          <w:bCs/>
          <w:sz w:val="19"/>
          <w:szCs w:val="19"/>
        </w:rPr>
        <w:softHyphen/>
        <w:t>nými vládami přijat. Kdyby se tak nestalo, sl</w:t>
      </w:r>
      <w:r>
        <w:rPr>
          <w:b/>
          <w:bCs/>
          <w:sz w:val="19"/>
          <w:szCs w:val="19"/>
        </w:rPr>
        <w:t>oužil by jako alibi jeho britským autorům, že bylo učiněno vše, aby válka nebyla nutná. Současně by asi představoval válečné cíle britsko-franko-rusko-polsko-tureckého bloku, aby byly tak získány další státy, především ovšem americká Unie.</w:t>
      </w:r>
    </w:p>
    <w:p w:rsidR="00500724" w:rsidRDefault="00F30FB8">
      <w:pPr>
        <w:pStyle w:val="Zkladntext100"/>
        <w:shd w:val="clear" w:color="auto" w:fill="auto"/>
        <w:spacing w:line="187" w:lineRule="auto"/>
        <w:ind w:firstLine="300"/>
        <w:rPr>
          <w:sz w:val="19"/>
          <w:szCs w:val="19"/>
        </w:rPr>
      </w:pPr>
      <w:r>
        <w:rPr>
          <w:b/>
          <w:bCs/>
          <w:sz w:val="19"/>
          <w:szCs w:val="19"/>
        </w:rPr>
        <w:t xml:space="preserve">Je pozoruhodné, </w:t>
      </w:r>
      <w:r>
        <w:rPr>
          <w:b/>
          <w:bCs/>
          <w:sz w:val="19"/>
          <w:szCs w:val="19"/>
        </w:rPr>
        <w:t xml:space="preserve">že i lidé tak smířliví, jako </w:t>
      </w:r>
      <w:r>
        <w:rPr>
          <w:b/>
          <w:bCs/>
          <w:sz w:val="19"/>
          <w:szCs w:val="19"/>
          <w:lang w:val="en-US" w:eastAsia="en-US" w:bidi="en-US"/>
        </w:rPr>
        <w:t>lord Lon</w:t>
      </w:r>
      <w:r>
        <w:rPr>
          <w:b/>
          <w:bCs/>
          <w:sz w:val="19"/>
          <w:szCs w:val="19"/>
          <w:lang w:val="en-US" w:eastAsia="en-US" w:bidi="en-US"/>
        </w:rPr>
        <w:softHyphen/>
        <w:t xml:space="preserve">donderry, </w:t>
      </w:r>
      <w:r>
        <w:rPr>
          <w:b/>
          <w:bCs/>
          <w:sz w:val="19"/>
          <w:szCs w:val="19"/>
        </w:rPr>
        <w:t xml:space="preserve">vrací se k myšlence silné Společnosti národů, založené ovšem na dohodě velmocí, ale při tom již předem resignuje na úspěch této ideje. Sir Norman </w:t>
      </w:r>
      <w:r>
        <w:rPr>
          <w:b/>
          <w:bCs/>
          <w:sz w:val="19"/>
          <w:szCs w:val="19"/>
          <w:lang w:val="en-US" w:eastAsia="en-US" w:bidi="en-US"/>
        </w:rPr>
        <w:t xml:space="preserve">Angell, </w:t>
      </w:r>
      <w:r>
        <w:rPr>
          <w:b/>
          <w:bCs/>
          <w:sz w:val="19"/>
          <w:szCs w:val="19"/>
        </w:rPr>
        <w:t>autor dramaticky úspěšné knihy o marnosti války (vydan</w:t>
      </w:r>
      <w:r>
        <w:rPr>
          <w:b/>
          <w:bCs/>
          <w:sz w:val="19"/>
          <w:szCs w:val="19"/>
        </w:rPr>
        <w:t xml:space="preserve">é před válkou pod titulem »The </w:t>
      </w:r>
      <w:r>
        <w:rPr>
          <w:b/>
          <w:bCs/>
          <w:sz w:val="19"/>
          <w:szCs w:val="19"/>
          <w:lang w:val="en-US" w:eastAsia="en-US" w:bidi="en-US"/>
        </w:rPr>
        <w:t xml:space="preserve">great Illusion® </w:t>
      </w:r>
      <w:r>
        <w:rPr>
          <w:b/>
          <w:bCs/>
          <w:sz w:val="19"/>
          <w:szCs w:val="19"/>
        </w:rPr>
        <w:t xml:space="preserve">a loni zaktualisované na »The </w:t>
      </w:r>
      <w:r>
        <w:rPr>
          <w:b/>
          <w:bCs/>
          <w:sz w:val="19"/>
          <w:szCs w:val="19"/>
          <w:lang w:val="en-US" w:eastAsia="en-US" w:bidi="en-US"/>
        </w:rPr>
        <w:t xml:space="preserve">great Illusion </w:t>
      </w:r>
      <w:r>
        <w:rPr>
          <w:b/>
          <w:bCs/>
          <w:sz w:val="19"/>
          <w:szCs w:val="19"/>
        </w:rPr>
        <w:t xml:space="preserve">Now«), napsal do sTimes« nový dopis v podobném duchu jako </w:t>
      </w:r>
      <w:r>
        <w:rPr>
          <w:b/>
          <w:bCs/>
          <w:sz w:val="19"/>
          <w:szCs w:val="19"/>
          <w:lang w:val="en-US" w:eastAsia="en-US" w:bidi="en-US"/>
        </w:rPr>
        <w:t>lord London</w:t>
      </w:r>
      <w:r>
        <w:rPr>
          <w:b/>
          <w:bCs/>
          <w:sz w:val="19"/>
          <w:szCs w:val="19"/>
          <w:lang w:val="en-US" w:eastAsia="en-US" w:bidi="en-US"/>
        </w:rPr>
        <w:softHyphen/>
        <w:t xml:space="preserve">derry. </w:t>
      </w:r>
      <w:r>
        <w:rPr>
          <w:b/>
          <w:bCs/>
          <w:sz w:val="19"/>
          <w:szCs w:val="19"/>
        </w:rPr>
        <w:t>Doporučuje sice, aby se vyjednávalo s Německem, ale teprve potom, až Anglie se svými sp</w:t>
      </w:r>
      <w:r>
        <w:rPr>
          <w:b/>
          <w:bCs/>
          <w:sz w:val="19"/>
          <w:szCs w:val="19"/>
        </w:rPr>
        <w:t>ojenci bude daleko silnější, než jsou velmoci osy.</w:t>
      </w:r>
    </w:p>
    <w:p w:rsidR="00500724" w:rsidRDefault="00F30FB8">
      <w:pPr>
        <w:pStyle w:val="Zkladntext100"/>
        <w:shd w:val="clear" w:color="auto" w:fill="auto"/>
        <w:spacing w:line="187" w:lineRule="auto"/>
        <w:ind w:firstLine="300"/>
        <w:rPr>
          <w:sz w:val="19"/>
          <w:szCs w:val="19"/>
        </w:rPr>
      </w:pPr>
      <w:r>
        <w:rPr>
          <w:b/>
          <w:bCs/>
          <w:sz w:val="19"/>
          <w:szCs w:val="19"/>
        </w:rPr>
        <w:t xml:space="preserve">Sir Norman </w:t>
      </w:r>
      <w:r>
        <w:rPr>
          <w:b/>
          <w:bCs/>
          <w:sz w:val="19"/>
          <w:szCs w:val="19"/>
          <w:lang w:val="en-US" w:eastAsia="en-US" w:bidi="en-US"/>
        </w:rPr>
        <w:t xml:space="preserve">Angell </w:t>
      </w:r>
      <w:r>
        <w:rPr>
          <w:b/>
          <w:bCs/>
          <w:sz w:val="19"/>
          <w:szCs w:val="19"/>
        </w:rPr>
        <w:t xml:space="preserve">to v další části formuluje takto: »Aby bylo možno vyjednávat s Německem na podkladě rovnosti, musíme býti tak silni, aby Německo nemělo převahu.® Pan Krumm v témže čísle »Times« píše, že </w:t>
      </w:r>
      <w:r>
        <w:rPr>
          <w:b/>
          <w:bCs/>
          <w:sz w:val="19"/>
          <w:szCs w:val="19"/>
        </w:rPr>
        <w:t xml:space="preserve">»uklidnění není možné, dokud budou anglické noviny takto psát® a dodává, že ti Němci, kteří studují britskou politiku, vidí, že sbritská politika dnes je velmi nebezpečná; mnoho Němců pracuje pro dorozumění, koněí pan Krumm, a rádi by vykořenili myšlenku, </w:t>
      </w:r>
      <w:r>
        <w:rPr>
          <w:b/>
          <w:bCs/>
          <w:sz w:val="19"/>
          <w:szCs w:val="19"/>
        </w:rPr>
        <w:t>která se usazuje v německém veřejném míněni,</w:t>
      </w:r>
    </w:p>
    <w:p w:rsidR="00500724" w:rsidRDefault="00F30FB8">
      <w:pPr>
        <w:pStyle w:val="Zkladntext100"/>
        <w:shd w:val="clear" w:color="auto" w:fill="auto"/>
        <w:spacing w:line="187" w:lineRule="auto"/>
        <w:ind w:firstLine="0"/>
        <w:rPr>
          <w:sz w:val="19"/>
          <w:szCs w:val="19"/>
        </w:rPr>
      </w:pPr>
      <w:r>
        <w:rPr>
          <w:b/>
          <w:bCs/>
          <w:sz w:val="19"/>
          <w:szCs w:val="19"/>
        </w:rPr>
        <w:t>že Angiie je největší nepřítel Německa«.</w:t>
      </w:r>
    </w:p>
    <w:p w:rsidR="00500724" w:rsidRDefault="00F30FB8">
      <w:pPr>
        <w:pStyle w:val="Zkladntext100"/>
        <w:shd w:val="clear" w:color="auto" w:fill="auto"/>
        <w:spacing w:line="187" w:lineRule="auto"/>
        <w:ind w:firstLine="300"/>
        <w:rPr>
          <w:sz w:val="19"/>
          <w:szCs w:val="19"/>
        </w:rPr>
      </w:pPr>
      <w:r>
        <w:rPr>
          <w:b/>
          <w:bCs/>
          <w:sz w:val="19"/>
          <w:szCs w:val="19"/>
        </w:rPr>
        <w:t>Tak vypadá novinářská diskuse. Co zatím odpovědní poli</w:t>
      </w:r>
      <w:r>
        <w:rPr>
          <w:b/>
          <w:bCs/>
          <w:sz w:val="19"/>
          <w:szCs w:val="19"/>
        </w:rPr>
        <w:softHyphen/>
        <w:t xml:space="preserve">tikové? Předseda britské vlády </w:t>
      </w:r>
      <w:r>
        <w:rPr>
          <w:b/>
          <w:bCs/>
          <w:sz w:val="19"/>
          <w:szCs w:val="19"/>
          <w:lang w:val="en-US" w:eastAsia="en-US" w:bidi="en-US"/>
        </w:rPr>
        <w:t xml:space="preserve">Mr. Neville Chamberlain </w:t>
      </w:r>
      <w:r>
        <w:rPr>
          <w:b/>
          <w:bCs/>
          <w:sz w:val="19"/>
          <w:szCs w:val="19"/>
        </w:rPr>
        <w:t>měl veřejnou schůzi v Cardiffu, na níž opatrně mísil pro</w:t>
      </w:r>
      <w:r>
        <w:rPr>
          <w:b/>
          <w:bCs/>
          <w:sz w:val="19"/>
          <w:szCs w:val="19"/>
        </w:rPr>
        <w:softHyphen/>
        <w:t>jev</w:t>
      </w:r>
      <w:r>
        <w:rPr>
          <w:b/>
          <w:bCs/>
          <w:sz w:val="19"/>
          <w:szCs w:val="19"/>
        </w:rPr>
        <w:t>y o míru s vypočítáváním, jak daleko pokročilo britské zbrojeni. Mluvil o něm jako o sryze obranném zbrojení® a všechna označení soudobé britské politiky obkličovací ozna</w:t>
      </w:r>
      <w:r>
        <w:rPr>
          <w:b/>
          <w:bCs/>
          <w:sz w:val="19"/>
          <w:szCs w:val="19"/>
        </w:rPr>
        <w:softHyphen/>
        <w:t>čil jako íjedovatou propagandu a groteskní travestii®. Jaký je cíl této politiky podl</w:t>
      </w:r>
      <w:r>
        <w:rPr>
          <w:b/>
          <w:bCs/>
          <w:sz w:val="19"/>
          <w:szCs w:val="19"/>
        </w:rPr>
        <w:t>e jeho prohlášení? sCílem naší poli</w:t>
      </w:r>
      <w:r>
        <w:rPr>
          <w:b/>
          <w:bCs/>
          <w:sz w:val="19"/>
          <w:szCs w:val="19"/>
        </w:rPr>
        <w:softHyphen/>
        <w:t xml:space="preserve">tiky jest, prohlásil za velkého potlesku </w:t>
      </w:r>
      <w:r>
        <w:rPr>
          <w:b/>
          <w:bCs/>
          <w:sz w:val="19"/>
          <w:szCs w:val="19"/>
          <w:lang w:val="en-US" w:eastAsia="en-US" w:bidi="en-US"/>
        </w:rPr>
        <w:t xml:space="preserve">Mr. Chamberlain, </w:t>
      </w:r>
      <w:r>
        <w:rPr>
          <w:b/>
          <w:bCs/>
          <w:sz w:val="19"/>
          <w:szCs w:val="19"/>
        </w:rPr>
        <w:t>zřídit světu mír, kde každý národ může jiti za svou prací klidně, v plné bezpečnosti a důvěře®.</w:t>
      </w:r>
    </w:p>
    <w:p w:rsidR="00500724" w:rsidRDefault="00F30FB8">
      <w:pPr>
        <w:pStyle w:val="Zkladntext100"/>
        <w:shd w:val="clear" w:color="auto" w:fill="auto"/>
        <w:spacing w:line="187" w:lineRule="auto"/>
        <w:ind w:firstLine="300"/>
        <w:rPr>
          <w:sz w:val="19"/>
          <w:szCs w:val="19"/>
        </w:rPr>
        <w:sectPr w:rsidR="00500724">
          <w:footnotePr>
            <w:numFmt w:val="chicago"/>
            <w:numRestart w:val="eachPage"/>
          </w:footnotePr>
          <w:type w:val="continuous"/>
          <w:pgSz w:w="11909" w:h="16834"/>
          <w:pgMar w:top="737" w:right="1010" w:bottom="963" w:left="626" w:header="0" w:footer="3" w:gutter="0"/>
          <w:cols w:num="2" w:space="144"/>
          <w:noEndnote/>
          <w:docGrid w:linePitch="360"/>
        </w:sectPr>
      </w:pPr>
      <w:r>
        <w:rPr>
          <w:b/>
          <w:bCs/>
          <w:sz w:val="19"/>
          <w:szCs w:val="19"/>
        </w:rPr>
        <w:t>Francie zatím ani nedebatuje, ani ne</w:t>
      </w:r>
      <w:r>
        <w:rPr>
          <w:b/>
          <w:bCs/>
          <w:sz w:val="19"/>
          <w:szCs w:val="19"/>
        </w:rPr>
        <w:t>mluví. Zabývá se sama sebou velmi důkladně, odstraňuje nepořádky a zřejmě jeví snahu nedat se předstihnout britským diplomatickým i vojenským zbrojením. Právě podepsala pakt o spolku s Tu</w:t>
      </w:r>
      <w:r>
        <w:rPr>
          <w:b/>
          <w:bCs/>
          <w:sz w:val="19"/>
          <w:szCs w:val="19"/>
        </w:rPr>
        <w:softHyphen/>
        <w:t>reckem, kterým se Turecko zavazuje k vojenské pomoci Francii při kaž</w:t>
      </w:r>
      <w:r>
        <w:rPr>
          <w:b/>
          <w:bCs/>
          <w:sz w:val="19"/>
          <w:szCs w:val="19"/>
        </w:rPr>
        <w:t>dém konfliktu ve Středozemním moři i na Balkáně. Za to dostalo Turecko Hatay, kteréžto území bylo až do nedávná známo jako Alexandrettský sandžak. Je to bohatý, zalidněný kraj s výborným přístavem a není divu, že turecký tisk i turečtí politikové jeví přím</w:t>
      </w:r>
      <w:r>
        <w:rPr>
          <w:b/>
          <w:bCs/>
          <w:sz w:val="19"/>
          <w:szCs w:val="19"/>
        </w:rPr>
        <w:t>o bezmezné nadšení, když mluví o alianci s Francií. Turecko tak získalo území ztracené ve válce; dostalo je zdarma, velmi lehce a pohodlně. Německý a italský tisk však vytýkají, že Fran</w:t>
      </w:r>
      <w:r>
        <w:rPr>
          <w:b/>
          <w:bCs/>
          <w:sz w:val="19"/>
          <w:szCs w:val="19"/>
        </w:rPr>
        <w:softHyphen/>
        <w:t>cie dala Turecku územi, které patří Sýrii a je tedy jen sou</w:t>
      </w:r>
      <w:r>
        <w:rPr>
          <w:b/>
          <w:bCs/>
          <w:sz w:val="19"/>
          <w:szCs w:val="19"/>
        </w:rPr>
        <w:softHyphen/>
        <w:t>částkou ma</w:t>
      </w:r>
      <w:r>
        <w:rPr>
          <w:b/>
          <w:bCs/>
          <w:sz w:val="19"/>
          <w:szCs w:val="19"/>
        </w:rPr>
        <w:t>ndátu, který obdržela Francie od Společnosti národů. Nejde tedy o územi francouzské, ale syrské, které Francie neměla práva bez Společnosti národů postoupit Turecku. »Times« k tomu docela otevřeně poznamenaly, že je to apolitický a vojenský důsledek mimořá</w:t>
      </w:r>
      <w:r>
        <w:rPr>
          <w:b/>
          <w:bCs/>
          <w:sz w:val="19"/>
          <w:szCs w:val="19"/>
        </w:rPr>
        <w:t>dné důležitosti,</w:t>
      </w:r>
    </w:p>
    <w:p w:rsidR="00500724" w:rsidRDefault="00F30FB8">
      <w:pPr>
        <w:pStyle w:val="Nadpis90"/>
        <w:keepNext/>
        <w:keepLines/>
        <w:pBdr>
          <w:bottom w:val="single" w:sz="4" w:space="0" w:color="auto"/>
        </w:pBdr>
        <w:shd w:val="clear" w:color="auto" w:fill="auto"/>
        <w:spacing w:before="80" w:after="0"/>
        <w:ind w:left="120"/>
        <w:jc w:val="center"/>
        <w:rPr>
          <w:sz w:val="42"/>
          <w:szCs w:val="42"/>
        </w:rPr>
        <w:sectPr w:rsidR="00500724">
          <w:footnotePr>
            <w:numFmt w:val="chicago"/>
            <w:numRestart w:val="eachPage"/>
          </w:footnotePr>
          <w:pgSz w:w="11909" w:h="16834"/>
          <w:pgMar w:top="634" w:right="828" w:bottom="962" w:left="732" w:header="0" w:footer="3" w:gutter="0"/>
          <w:cols w:space="720"/>
          <w:noEndnote/>
          <w:docGrid w:linePitch="360"/>
        </w:sectPr>
      </w:pPr>
      <w:bookmarkStart w:id="671" w:name="bookmark670"/>
      <w:r>
        <w:rPr>
          <w:rFonts w:ascii="Times New Roman" w:eastAsia="Times New Roman" w:hAnsi="Times New Roman" w:cs="Times New Roman"/>
          <w:w w:val="80"/>
          <w:sz w:val="42"/>
          <w:szCs w:val="42"/>
        </w:rPr>
        <w:t>Přítomnost./</w:t>
      </w:r>
      <w:bookmarkEnd w:id="671"/>
    </w:p>
    <w:p w:rsidR="00500724" w:rsidRDefault="00500724">
      <w:pPr>
        <w:spacing w:line="90" w:lineRule="exact"/>
        <w:rPr>
          <w:sz w:val="7"/>
          <w:szCs w:val="7"/>
        </w:rPr>
      </w:pPr>
    </w:p>
    <w:p w:rsidR="00500724" w:rsidRDefault="00500724">
      <w:pPr>
        <w:spacing w:line="14" w:lineRule="exact"/>
        <w:sectPr w:rsidR="00500724">
          <w:footnotePr>
            <w:numFmt w:val="chicago"/>
            <w:numRestart w:val="eachPage"/>
          </w:footnotePr>
          <w:type w:val="continuous"/>
          <w:pgSz w:w="11909" w:h="16834"/>
          <w:pgMar w:top="788" w:right="0" w:bottom="1009" w:left="0" w:header="0" w:footer="3" w:gutter="0"/>
          <w:cols w:space="720"/>
          <w:noEndnote/>
          <w:docGrid w:linePitch="360"/>
        </w:sectPr>
      </w:pPr>
    </w:p>
    <w:p w:rsidR="00500724" w:rsidRDefault="00F30FB8">
      <w:pPr>
        <w:pStyle w:val="Zkladntext100"/>
        <w:shd w:val="clear" w:color="auto" w:fill="auto"/>
        <w:spacing w:after="60" w:line="202" w:lineRule="auto"/>
        <w:ind w:firstLine="0"/>
        <w:rPr>
          <w:sz w:val="20"/>
          <w:szCs w:val="20"/>
        </w:rPr>
      </w:pPr>
      <w:r>
        <w:rPr>
          <w:b/>
          <w:bCs/>
          <w:sz w:val="19"/>
          <w:szCs w:val="19"/>
        </w:rPr>
        <w:t xml:space="preserve">plynoucí z anglo-turecké smlouvy, jehož logickým závěrem bude franko-britská aliance s Ruskem®. K tomu Francie získala za spojence </w:t>
      </w:r>
      <w:r>
        <w:rPr>
          <w:b/>
          <w:bCs/>
          <w:sz w:val="19"/>
          <w:szCs w:val="19"/>
          <w:lang w:val="en-US" w:eastAsia="en-US" w:bidi="en-US"/>
        </w:rPr>
        <w:t xml:space="preserve">Siam, </w:t>
      </w:r>
      <w:r>
        <w:rPr>
          <w:b/>
          <w:bCs/>
          <w:sz w:val="19"/>
          <w:szCs w:val="19"/>
        </w:rPr>
        <w:t>významnou a rozsáhlou základnu ve</w:t>
      </w:r>
      <w:r>
        <w:rPr>
          <w:b/>
          <w:bCs/>
          <w:sz w:val="19"/>
          <w:szCs w:val="19"/>
        </w:rPr>
        <w:t xml:space="preserve"> východoindické oblasti, jehož královské manžele právě hostí. Italský tisk k tomu rozhořčeně poznamenal, že Fran</w:t>
      </w:r>
      <w:r>
        <w:rPr>
          <w:b/>
          <w:bCs/>
          <w:sz w:val="19"/>
          <w:szCs w:val="19"/>
        </w:rPr>
        <w:softHyphen/>
        <w:t>cie tak chce zmařit vše, co s velkými obětml se Itálie po deset let snažila vybudovat a omezit těmito akcemi na mi</w:t>
      </w:r>
      <w:r>
        <w:rPr>
          <w:b/>
          <w:bCs/>
          <w:sz w:val="19"/>
          <w:szCs w:val="19"/>
        </w:rPr>
        <w:softHyphen/>
        <w:t>nimum svobodu italského pohy</w:t>
      </w:r>
      <w:r>
        <w:rPr>
          <w:b/>
          <w:bCs/>
          <w:sz w:val="19"/>
          <w:szCs w:val="19"/>
        </w:rPr>
        <w:t xml:space="preserve">bu ve Středozemním moři, považovaném italským národem za moře italské. </w:t>
      </w:r>
      <w:r>
        <w:rPr>
          <w:b/>
          <w:bCs/>
          <w:i/>
          <w:iCs/>
          <w:sz w:val="20"/>
          <w:szCs w:val="20"/>
        </w:rPr>
        <w:t xml:space="preserve">Jan Skála </w:t>
      </w:r>
      <w:r>
        <w:rPr>
          <w:b/>
          <w:bCs/>
          <w:sz w:val="20"/>
          <w:szCs w:val="20"/>
        </w:rPr>
        <w:t>Anglická a sovětská houževnatost</w:t>
      </w:r>
    </w:p>
    <w:p w:rsidR="00500724" w:rsidRDefault="00F30FB8">
      <w:pPr>
        <w:pStyle w:val="Zkladntext100"/>
        <w:shd w:val="clear" w:color="auto" w:fill="auto"/>
        <w:spacing w:line="209" w:lineRule="auto"/>
        <w:ind w:firstLine="240"/>
        <w:rPr>
          <w:sz w:val="19"/>
          <w:szCs w:val="19"/>
        </w:rPr>
      </w:pPr>
      <w:r>
        <w:rPr>
          <w:b/>
          <w:bCs/>
          <w:sz w:val="19"/>
          <w:szCs w:val="19"/>
        </w:rPr>
        <w:t>Před odjezdem britského vyjednavače Stranga do Mosk</w:t>
      </w:r>
      <w:r>
        <w:rPr>
          <w:b/>
          <w:bCs/>
          <w:sz w:val="19"/>
          <w:szCs w:val="19"/>
        </w:rPr>
        <w:softHyphen/>
        <w:t>vy pronikly do anglického a francouzského tisku zprávy o instrukcích, které si anglický po</w:t>
      </w:r>
      <w:r>
        <w:rPr>
          <w:b/>
          <w:bCs/>
          <w:sz w:val="19"/>
          <w:szCs w:val="19"/>
        </w:rPr>
        <w:t>sel poveze s sebou. Psalo se, že nabídne sovětské vládě formuli, na niž se sjednotila vláda britská s vládou francouzskou a podle niž se mělo Rusku dostat automatické vojenské pomoci franko-britské, jakmile by byly ohroženy jeho životni zájmy anebo — po</w:t>
      </w:r>
      <w:r>
        <w:rPr>
          <w:b/>
          <w:bCs/>
          <w:sz w:val="19"/>
          <w:szCs w:val="19"/>
        </w:rPr>
        <w:softHyphen/>
        <w:t>dl</w:t>
      </w:r>
      <w:r>
        <w:rPr>
          <w:b/>
          <w:bCs/>
          <w:sz w:val="19"/>
          <w:szCs w:val="19"/>
        </w:rPr>
        <w:t>e jiné verse — jakmile by na Rusko byl podniknut ne</w:t>
      </w:r>
      <w:r>
        <w:rPr>
          <w:b/>
          <w:bCs/>
          <w:sz w:val="19"/>
          <w:szCs w:val="19"/>
        </w:rPr>
        <w:softHyphen/>
        <w:t>přímý útok. Touto formulí měly býti do trojstranného paktu mlčky zahrnuty baltické státy, které jsou — jak je dostatečně mámo — nejobtížnějším problémem anglo- ruského jednání. To byla už třetí etapa angl</w:t>
      </w:r>
      <w:r>
        <w:rPr>
          <w:b/>
          <w:bCs/>
          <w:sz w:val="19"/>
          <w:szCs w:val="19"/>
        </w:rPr>
        <w:t>ického ústupu před sovětskými požadavky. Původně chtěla Anglie od Ruska jen záruky pro Polsko a Rumunsko a o baltických státech nemluvila. Potom projevila ochotu zaručit svou vojenskou pomoc v případě obtíži na Baltickém moři, ale jen tehdy, kdyby baltické</w:t>
      </w:r>
      <w:r>
        <w:rPr>
          <w:b/>
          <w:bCs/>
          <w:sz w:val="19"/>
          <w:szCs w:val="19"/>
        </w:rPr>
        <w:t xml:space="preserve"> státy o nl samy požádaly. Potom, když </w:t>
      </w:r>
      <w:r>
        <w:rPr>
          <w:b/>
          <w:bCs/>
          <w:sz w:val="19"/>
          <w:szCs w:val="19"/>
          <w:lang w:val="en-US" w:eastAsia="en-US" w:bidi="en-US"/>
        </w:rPr>
        <w:t xml:space="preserve">Molotov </w:t>
      </w:r>
      <w:r>
        <w:rPr>
          <w:b/>
          <w:bCs/>
          <w:sz w:val="19"/>
          <w:szCs w:val="19"/>
        </w:rPr>
        <w:t>ve své řeči z posledního května i toto odmítl, usnesla se britská vláda navrhnout konsultacl Anglie, Francie a Ruska pro případ, že by baltické státy byly ohro</w:t>
      </w:r>
      <w:r>
        <w:rPr>
          <w:b/>
          <w:bCs/>
          <w:sz w:val="19"/>
          <w:szCs w:val="19"/>
        </w:rPr>
        <w:softHyphen/>
        <w:t>ženy. To bylo ještě několik dní před Strangovým o</w:t>
      </w:r>
      <w:r>
        <w:rPr>
          <w:b/>
          <w:bCs/>
          <w:sz w:val="19"/>
          <w:szCs w:val="19"/>
        </w:rPr>
        <w:t>djezdem. Podle tehdejších zpráv shledala Paříž tuto formuli nedo</w:t>
      </w:r>
      <w:r>
        <w:rPr>
          <w:b/>
          <w:bCs/>
          <w:sz w:val="19"/>
          <w:szCs w:val="19"/>
        </w:rPr>
        <w:softHyphen/>
        <w:t>statečnou a navrhla Angličanům, aby ji nahradili formuli o životních zájmech, resp. nepřímém útoku.</w:t>
      </w:r>
    </w:p>
    <w:p w:rsidR="00500724" w:rsidRDefault="00F30FB8">
      <w:pPr>
        <w:pStyle w:val="Zkladntext100"/>
        <w:shd w:val="clear" w:color="auto" w:fill="auto"/>
        <w:spacing w:line="209" w:lineRule="auto"/>
        <w:ind w:firstLine="240"/>
        <w:rPr>
          <w:sz w:val="19"/>
          <w:szCs w:val="19"/>
        </w:rPr>
      </w:pPr>
      <w:r>
        <w:rPr>
          <w:b/>
          <w:bCs/>
          <w:sz w:val="19"/>
          <w:szCs w:val="19"/>
        </w:rPr>
        <w:t xml:space="preserve">Politická veřejnost mezinárodni měla tedy za to, že </w:t>
      </w:r>
      <w:r>
        <w:rPr>
          <w:b/>
          <w:bCs/>
          <w:sz w:val="19"/>
          <w:szCs w:val="19"/>
          <w:lang w:val="en-US" w:eastAsia="en-US" w:bidi="en-US"/>
        </w:rPr>
        <w:t xml:space="preserve">Strang </w:t>
      </w:r>
      <w:r>
        <w:rPr>
          <w:b/>
          <w:bCs/>
          <w:sz w:val="19"/>
          <w:szCs w:val="19"/>
        </w:rPr>
        <w:t>zahájí jednáni v Moskvě hned pod</w:t>
      </w:r>
      <w:r>
        <w:rPr>
          <w:b/>
          <w:bCs/>
          <w:sz w:val="19"/>
          <w:szCs w:val="19"/>
        </w:rPr>
        <w:t xml:space="preserve">le této poslední formule. Zdá se však, že tomu tak nebyla Podle nynějších zpráv navrhl </w:t>
      </w:r>
      <w:r>
        <w:rPr>
          <w:b/>
          <w:bCs/>
          <w:sz w:val="19"/>
          <w:szCs w:val="19"/>
          <w:lang w:val="en-US" w:eastAsia="en-US" w:bidi="en-US"/>
        </w:rPr>
        <w:t xml:space="preserve">Strang </w:t>
      </w:r>
      <w:r>
        <w:rPr>
          <w:b/>
          <w:bCs/>
          <w:sz w:val="19"/>
          <w:szCs w:val="19"/>
        </w:rPr>
        <w:t>Molotovovi dne 15. května jenom kon- sultocl pro baltický případ, to jest starou anglickou for</w:t>
      </w:r>
      <w:r>
        <w:rPr>
          <w:b/>
          <w:bCs/>
          <w:sz w:val="19"/>
          <w:szCs w:val="19"/>
        </w:rPr>
        <w:softHyphen/>
        <w:t>muli, která byla hned v zápětí francouzským zásahem pře</w:t>
      </w:r>
      <w:r>
        <w:rPr>
          <w:b/>
          <w:bCs/>
          <w:sz w:val="19"/>
          <w:szCs w:val="19"/>
        </w:rPr>
        <w:softHyphen/>
        <w:t>konána. Tep</w:t>
      </w:r>
      <w:r>
        <w:rPr>
          <w:b/>
          <w:bCs/>
          <w:sz w:val="19"/>
          <w:szCs w:val="19"/>
        </w:rPr>
        <w:t xml:space="preserve">rve když </w:t>
      </w:r>
      <w:r>
        <w:rPr>
          <w:b/>
          <w:bCs/>
          <w:sz w:val="19"/>
          <w:szCs w:val="19"/>
          <w:lang w:val="en-US" w:eastAsia="en-US" w:bidi="en-US"/>
        </w:rPr>
        <w:t xml:space="preserve">Molotov </w:t>
      </w:r>
      <w:r>
        <w:rPr>
          <w:b/>
          <w:bCs/>
          <w:sz w:val="19"/>
          <w:szCs w:val="19"/>
        </w:rPr>
        <w:t xml:space="preserve">tuto formuli odmítl, jak Francouzi správně předvídali, předložil prý </w:t>
      </w:r>
      <w:r>
        <w:rPr>
          <w:b/>
          <w:bCs/>
          <w:sz w:val="19"/>
          <w:szCs w:val="19"/>
          <w:lang w:val="en-US" w:eastAsia="en-US" w:bidi="en-US"/>
        </w:rPr>
        <w:t xml:space="preserve">Strang </w:t>
      </w:r>
      <w:r>
        <w:rPr>
          <w:b/>
          <w:bCs/>
          <w:sz w:val="19"/>
          <w:szCs w:val="19"/>
        </w:rPr>
        <w:t xml:space="preserve">formuli další, která mluví o životních zájmech a nepřímém útoku. To prý se stalo 21. června. I tady však se dočkal nemilého překvapení, nebof 1 tento návrh sověty </w:t>
      </w:r>
      <w:r>
        <w:rPr>
          <w:b/>
          <w:bCs/>
          <w:sz w:val="19"/>
          <w:szCs w:val="19"/>
        </w:rPr>
        <w:t>odmítly a agentura Tass to dokonce oznámila v novinách, dávajíc při tom slo</w:t>
      </w:r>
      <w:r>
        <w:rPr>
          <w:b/>
          <w:bCs/>
          <w:sz w:val="19"/>
          <w:szCs w:val="19"/>
        </w:rPr>
        <w:softHyphen/>
        <w:t>víčko »nové« (to jest nové návrhy) do uvozovek.</w:t>
      </w:r>
    </w:p>
    <w:p w:rsidR="00500724" w:rsidRDefault="00F30FB8">
      <w:pPr>
        <w:pStyle w:val="Zkladntext100"/>
        <w:shd w:val="clear" w:color="auto" w:fill="auto"/>
        <w:tabs>
          <w:tab w:val="left" w:pos="4584"/>
        </w:tabs>
        <w:spacing w:after="120" w:line="187" w:lineRule="auto"/>
        <w:ind w:firstLine="240"/>
        <w:rPr>
          <w:sz w:val="20"/>
          <w:szCs w:val="20"/>
        </w:rPr>
      </w:pPr>
      <w:r>
        <w:rPr>
          <w:b/>
          <w:bCs/>
          <w:sz w:val="19"/>
          <w:szCs w:val="19"/>
        </w:rPr>
        <w:t>Jak je vidět, stojí proti sobě dva partneři, jejichž hou</w:t>
      </w:r>
      <w:r>
        <w:rPr>
          <w:b/>
          <w:bCs/>
          <w:sz w:val="19"/>
          <w:szCs w:val="19"/>
        </w:rPr>
        <w:softHyphen/>
        <w:t>ževnatost si patrně nezadá. Sověty jsou houževnaté spíše ve své nehybností,</w:t>
      </w:r>
      <w:r>
        <w:rPr>
          <w:b/>
          <w:bCs/>
          <w:sz w:val="19"/>
          <w:szCs w:val="19"/>
        </w:rPr>
        <w:t xml:space="preserve"> čekajíce s jakousi povzneseností, jaký nový návrh jim zase Anglie podá, kdežto Angličané jsou zase houževnatí ve vymýšleni nových formulí, které máji pokud možno skrývati starý obsah. Do závazků na Baltu se Anglii zřejmě nechce. Kolem 28. června se vyskyt</w:t>
      </w:r>
      <w:r>
        <w:rPr>
          <w:b/>
          <w:bCs/>
          <w:sz w:val="19"/>
          <w:szCs w:val="19"/>
        </w:rPr>
        <w:t>ly v zahraničních listech zprávy, že britská vláda dá Stran- govi nové instrukce, které prý znamenají, že přijímá už všechny sovětské podmínily. Je-li tomu tak, byl to už asi poslední prostředek, jak zachránit jednáni o trojstranný pakt před úplným nezdare</w:t>
      </w:r>
      <w:r>
        <w:rPr>
          <w:b/>
          <w:bCs/>
          <w:sz w:val="19"/>
          <w:szCs w:val="19"/>
        </w:rPr>
        <w:t>m,</w:t>
      </w:r>
      <w:r>
        <w:rPr>
          <w:b/>
          <w:bCs/>
          <w:sz w:val="19"/>
          <w:szCs w:val="19"/>
        </w:rPr>
        <w:tab/>
      </w:r>
      <w:r>
        <w:rPr>
          <w:i/>
          <w:iCs/>
          <w:sz w:val="20"/>
          <w:szCs w:val="20"/>
        </w:rPr>
        <w:t>Z. S.</w:t>
      </w:r>
    </w:p>
    <w:p w:rsidR="00500724" w:rsidRDefault="00F30FB8">
      <w:pPr>
        <w:pStyle w:val="Zkladntext30"/>
        <w:shd w:val="clear" w:color="auto" w:fill="auto"/>
        <w:spacing w:after="60" w:line="194" w:lineRule="auto"/>
        <w:ind w:firstLine="0"/>
        <w:jc w:val="center"/>
        <w:rPr>
          <w:sz w:val="20"/>
          <w:szCs w:val="20"/>
        </w:rPr>
      </w:pPr>
      <w:r>
        <w:rPr>
          <w:b/>
          <w:bCs/>
          <w:sz w:val="20"/>
          <w:szCs w:val="20"/>
        </w:rPr>
        <w:t>Amerika a Japonsko</w:t>
      </w:r>
    </w:p>
    <w:p w:rsidR="00500724" w:rsidRDefault="00F30FB8">
      <w:pPr>
        <w:pStyle w:val="Zkladntext100"/>
        <w:shd w:val="clear" w:color="auto" w:fill="auto"/>
        <w:spacing w:after="60" w:line="187" w:lineRule="auto"/>
        <w:ind w:firstLine="240"/>
        <w:rPr>
          <w:sz w:val="19"/>
          <w:szCs w:val="19"/>
        </w:rPr>
      </w:pPr>
      <w:r>
        <w:rPr>
          <w:b/>
          <w:bCs/>
          <w:sz w:val="19"/>
          <w:szCs w:val="19"/>
        </w:rPr>
        <w:t>Pro anglické postavení na Dálném východě je velmi důle</w:t>
      </w:r>
      <w:r>
        <w:rPr>
          <w:b/>
          <w:bCs/>
          <w:sz w:val="19"/>
          <w:szCs w:val="19"/>
        </w:rPr>
        <w:softHyphen/>
        <w:t xml:space="preserve">žité, ne-li rozhodující, jaký postup zvolí v těchto končinách Spojené Státy. Ve sporu o mezinárodni koncesi na ostrově Kulansu šla americká velmoc docela solidárně s Anglii </w:t>
      </w:r>
      <w:r>
        <w:rPr>
          <w:b/>
          <w:bCs/>
          <w:sz w:val="19"/>
          <w:szCs w:val="19"/>
        </w:rPr>
        <w:t>a Francií a provedla tatáž vojenská opatření jako jmeno</w:t>
      </w:r>
      <w:r>
        <w:rPr>
          <w:b/>
          <w:bCs/>
          <w:sz w:val="19"/>
          <w:szCs w:val="19"/>
        </w:rPr>
        <w:softHyphen/>
        <w:t xml:space="preserve">vané dvě velmocí evropské. V aféře tiencinskó byla však Amerika zdrželivější, nepochybně proto, že nemá v tomto městě přímých zájmů. Americká vláda musí také dávat pozor na své domácí veřejné mínění, </w:t>
      </w:r>
      <w:r>
        <w:rPr>
          <w:b/>
          <w:bCs/>
          <w:sz w:val="19"/>
          <w:szCs w:val="19"/>
        </w:rPr>
        <w:t>aby jí nemohlo vytý</w:t>
      </w:r>
      <w:r>
        <w:rPr>
          <w:b/>
          <w:bCs/>
          <w:sz w:val="19"/>
          <w:szCs w:val="19"/>
        </w:rPr>
        <w:softHyphen/>
        <w:t>kat, že tahá kaštany z ohně za Angličany. Mimo to má vláda nepochybně na zřeteli ještě stav svého válečného loďstva, které je sice silné dost, aby mohlo přijmout výzvu, kdyby sa k ní Japonsko neočekávaně dalo strhnout, ale ne ještě toli</w:t>
      </w:r>
      <w:r>
        <w:rPr>
          <w:b/>
          <w:bCs/>
          <w:sz w:val="19"/>
          <w:szCs w:val="19"/>
        </w:rPr>
        <w:t>k, aby samo mohlo vystupovat útočně. Spojené Státy staví několik bitevních lodí o 45.000 tunách, a opevňuji ostrov</w:t>
      </w:r>
    </w:p>
    <w:p w:rsidR="00500724" w:rsidRDefault="00F30FB8">
      <w:pPr>
        <w:pStyle w:val="Zkladntext100"/>
        <w:shd w:val="clear" w:color="auto" w:fill="auto"/>
        <w:spacing w:line="187" w:lineRule="auto"/>
        <w:ind w:firstLine="0"/>
        <w:rPr>
          <w:sz w:val="19"/>
          <w:szCs w:val="19"/>
        </w:rPr>
      </w:pPr>
      <w:r>
        <w:rPr>
          <w:b/>
          <w:bCs/>
          <w:sz w:val="19"/>
          <w:szCs w:val="19"/>
          <w:lang w:val="en-US" w:eastAsia="en-US" w:bidi="en-US"/>
        </w:rPr>
        <w:t xml:space="preserve">Guam, </w:t>
      </w:r>
      <w:r>
        <w:rPr>
          <w:b/>
          <w:bCs/>
          <w:sz w:val="19"/>
          <w:szCs w:val="19"/>
        </w:rPr>
        <w:t>čímž silně posunou jednu ze svých námořních zákla</w:t>
      </w:r>
      <w:r>
        <w:rPr>
          <w:b/>
          <w:bCs/>
          <w:sz w:val="19"/>
          <w:szCs w:val="19"/>
        </w:rPr>
        <w:softHyphen/>
        <w:t>den k japonským ostrovům. Americká admiralita se jistě bude cítit bezpečnější anebo d</w:t>
      </w:r>
      <w:r>
        <w:rPr>
          <w:b/>
          <w:bCs/>
          <w:sz w:val="19"/>
          <w:szCs w:val="19"/>
        </w:rPr>
        <w:t>ocela bezpečná teprve tehdy, až lyto přípravy budou skončeny. Zatim se americká zahra</w:t>
      </w:r>
      <w:r>
        <w:rPr>
          <w:b/>
          <w:bCs/>
          <w:sz w:val="19"/>
          <w:szCs w:val="19"/>
        </w:rPr>
        <w:softHyphen/>
        <w:t>niční politika v Číně omezuje na to, že důsledně háji jen americké zájmy a nechává v tomto ohledu voinou ruku svému »muži na nústě«, admirálu Yarnellovi. To je jedna z po</w:t>
      </w:r>
      <w:r>
        <w:rPr>
          <w:b/>
          <w:bCs/>
          <w:sz w:val="19"/>
          <w:szCs w:val="19"/>
        </w:rPr>
        <w:t>litických metod, kterých americká vláda ráda užívá, chce-li zachovat zdání rozhodnosti, ale při tom se oficiálně příliš neangažovat. Podle názoru některých zpravodajů, ži</w:t>
      </w:r>
      <w:r>
        <w:rPr>
          <w:b/>
          <w:bCs/>
          <w:sz w:val="19"/>
          <w:szCs w:val="19"/>
        </w:rPr>
        <w:softHyphen/>
        <w:t>jících v Americe, nechává však tentokrát vláda svému »muži ha místě« volnost výjimečn</w:t>
      </w:r>
      <w:r>
        <w:rPr>
          <w:b/>
          <w:bCs/>
          <w:sz w:val="19"/>
          <w:szCs w:val="19"/>
        </w:rPr>
        <w:t>ou. O admirálu Yarnellovi se vypravuje, že je to důstojník velmi rozhodný, jak se ukázalo na ostrově Kulansu a ve Svatou. Na japonskou výzvu, aby ze Svatou odvolal americkou válečnou loď, když Japonci obsadili přístav, odpověděl tim, že tam poslal loď dalš</w:t>
      </w:r>
      <w:r>
        <w:rPr>
          <w:b/>
          <w:bCs/>
          <w:sz w:val="19"/>
          <w:szCs w:val="19"/>
        </w:rPr>
        <w:t>i. Doni, když Japonci při operacích proti Hankou pro</w:t>
      </w:r>
      <w:r>
        <w:rPr>
          <w:b/>
          <w:bCs/>
          <w:sz w:val="19"/>
          <w:szCs w:val="19"/>
        </w:rPr>
        <w:softHyphen/>
        <w:t xml:space="preserve">hlásili řeku Janče za uzavřenou pro cizí lodi, plavil se po ní </w:t>
      </w:r>
      <w:r>
        <w:rPr>
          <w:b/>
          <w:bCs/>
          <w:sz w:val="19"/>
          <w:szCs w:val="19"/>
          <w:lang w:val="en-US" w:eastAsia="en-US" w:bidi="en-US"/>
        </w:rPr>
        <w:t xml:space="preserve">Yarnell </w:t>
      </w:r>
      <w:r>
        <w:rPr>
          <w:b/>
          <w:bCs/>
          <w:sz w:val="19"/>
          <w:szCs w:val="19"/>
        </w:rPr>
        <w:t>do Hankou. Stejnou taktiku zvolil vůči japon</w:t>
      </w:r>
      <w:r>
        <w:rPr>
          <w:b/>
          <w:bCs/>
          <w:sz w:val="19"/>
          <w:szCs w:val="19"/>
        </w:rPr>
        <w:softHyphen/>
        <w:t>ským výstrahám při akcích proti přístavům Fučou a Ven- čou, kdy krátce prohlásil, že či</w:t>
      </w:r>
      <w:r>
        <w:rPr>
          <w:b/>
          <w:bCs/>
          <w:sz w:val="19"/>
          <w:szCs w:val="19"/>
        </w:rPr>
        <w:t>ní japonské vedení odpověd</w:t>
      </w:r>
      <w:r>
        <w:rPr>
          <w:b/>
          <w:bCs/>
          <w:sz w:val="19"/>
          <w:szCs w:val="19"/>
        </w:rPr>
        <w:softHyphen/>
        <w:t>ným za všechny škody, jež by Američanům vzešly z japon</w:t>
      </w:r>
      <w:r>
        <w:rPr>
          <w:b/>
          <w:bCs/>
          <w:sz w:val="19"/>
          <w:szCs w:val="19"/>
        </w:rPr>
        <w:softHyphen/>
        <w:t>ských činů. Oficiální zahraniční politika americká je zdrže</w:t>
      </w:r>
      <w:r>
        <w:rPr>
          <w:b/>
          <w:bCs/>
          <w:sz w:val="19"/>
          <w:szCs w:val="19"/>
        </w:rPr>
        <w:softHyphen/>
        <w:t>livější Nechává jednat Yamella a tímto způsobem nazna</w:t>
      </w:r>
      <w:r>
        <w:rPr>
          <w:b/>
          <w:bCs/>
          <w:sz w:val="19"/>
          <w:szCs w:val="19"/>
        </w:rPr>
        <w:softHyphen/>
        <w:t xml:space="preserve">čuje své sympatie, po případě antipatie, a jinak se omezuje </w:t>
      </w:r>
      <w:r>
        <w:rPr>
          <w:b/>
          <w:bCs/>
          <w:sz w:val="19"/>
          <w:szCs w:val="19"/>
        </w:rPr>
        <w:t xml:space="preserve">na </w:t>
      </w:r>
      <w:r>
        <w:rPr>
          <w:b/>
          <w:bCs/>
          <w:sz w:val="19"/>
          <w:szCs w:val="19"/>
          <w:lang w:val="en-US" w:eastAsia="en-US" w:bidi="en-US"/>
        </w:rPr>
        <w:t xml:space="preserve">vice </w:t>
      </w:r>
      <w:r>
        <w:rPr>
          <w:b/>
          <w:bCs/>
          <w:sz w:val="19"/>
          <w:szCs w:val="19"/>
        </w:rPr>
        <w:t>méně obecné projevy. Když se rozvinul spor v Tien</w:t>
      </w:r>
      <w:r>
        <w:rPr>
          <w:b/>
          <w:bCs/>
          <w:sz w:val="19"/>
          <w:szCs w:val="19"/>
        </w:rPr>
        <w:softHyphen/>
        <w:t xml:space="preserve">cinu, řekl státni tajemník </w:t>
      </w:r>
      <w:r>
        <w:rPr>
          <w:b/>
          <w:bCs/>
          <w:sz w:val="19"/>
          <w:szCs w:val="19"/>
          <w:lang w:val="en-US" w:eastAsia="en-US" w:bidi="en-US"/>
        </w:rPr>
        <w:t xml:space="preserve">Hull, </w:t>
      </w:r>
      <w:r>
        <w:rPr>
          <w:b/>
          <w:bCs/>
          <w:sz w:val="19"/>
          <w:szCs w:val="19"/>
        </w:rPr>
        <w:t>že je to věc, která se týká Angličanů, že však Spojené Státy mají velký zájem na Kširších aspektech® věcí To byla nepochybně narážka na výroky některých japonských č</w:t>
      </w:r>
      <w:r>
        <w:rPr>
          <w:b/>
          <w:bCs/>
          <w:sz w:val="19"/>
          <w:szCs w:val="19"/>
        </w:rPr>
        <w:t>initelů o novém řádu na Dálném východě, jemuž se mají Angličané, podobně jako jiné cizí mocnosti, podřidit, nechtějí-U docela ztratit své výsady v tamních končinách. Jeden anglický list nedávno napsal, že Anglie se na Dálném východě bude exponovat jen toli</w:t>
      </w:r>
      <w:r>
        <w:rPr>
          <w:b/>
          <w:bCs/>
          <w:sz w:val="19"/>
          <w:szCs w:val="19"/>
        </w:rPr>
        <w:t>k, kolik se budou exponovat Spojené Státy. Je-U tomu tak, lze tedy podle amerického chování soudit, že se Anglie co nejvíce vynasnaží vyřídit tamní spory smírně.</w:t>
      </w:r>
    </w:p>
    <w:p w:rsidR="00500724" w:rsidRDefault="00F30FB8">
      <w:pPr>
        <w:pStyle w:val="Zkladntext100"/>
        <w:shd w:val="clear" w:color="auto" w:fill="auto"/>
        <w:spacing w:after="100" w:line="187" w:lineRule="auto"/>
        <w:ind w:firstLine="0"/>
        <w:jc w:val="right"/>
        <w:rPr>
          <w:sz w:val="19"/>
          <w:szCs w:val="19"/>
        </w:rPr>
      </w:pPr>
      <w:r>
        <w:rPr>
          <w:b/>
          <w:bCs/>
          <w:sz w:val="19"/>
          <w:szCs w:val="19"/>
        </w:rPr>
        <w:t>Z. S.</w:t>
      </w:r>
    </w:p>
    <w:p w:rsidR="00500724" w:rsidRDefault="00F30FB8">
      <w:pPr>
        <w:pStyle w:val="Zkladntext30"/>
        <w:shd w:val="clear" w:color="auto" w:fill="auto"/>
        <w:spacing w:after="80" w:line="178" w:lineRule="auto"/>
        <w:ind w:firstLine="0"/>
        <w:jc w:val="center"/>
        <w:rPr>
          <w:sz w:val="20"/>
          <w:szCs w:val="20"/>
        </w:rPr>
      </w:pPr>
      <w:r>
        <w:rPr>
          <w:b/>
          <w:bCs/>
          <w:sz w:val="20"/>
          <w:szCs w:val="20"/>
        </w:rPr>
        <w:t>S kým půjde nové Španělsko?</w:t>
      </w:r>
    </w:p>
    <w:p w:rsidR="00500724" w:rsidRDefault="00F30FB8">
      <w:pPr>
        <w:pStyle w:val="Zkladntext100"/>
        <w:shd w:val="clear" w:color="auto" w:fill="auto"/>
        <w:spacing w:line="187" w:lineRule="auto"/>
        <w:ind w:firstLine="300"/>
        <w:rPr>
          <w:sz w:val="19"/>
          <w:szCs w:val="19"/>
        </w:rPr>
      </w:pPr>
      <w:r>
        <w:rPr>
          <w:b/>
          <w:bCs/>
          <w:sz w:val="19"/>
          <w:szCs w:val="19"/>
        </w:rPr>
        <w:t xml:space="preserve">Po anglo-portugalské smlouvě, která představuje ve </w:t>
      </w:r>
      <w:r>
        <w:rPr>
          <w:b/>
          <w:bCs/>
          <w:sz w:val="19"/>
          <w:szCs w:val="19"/>
        </w:rPr>
        <w:t>skutečností novou vojenskou alianci v rámci britské obkličo</w:t>
      </w:r>
      <w:r>
        <w:rPr>
          <w:b/>
          <w:bCs/>
          <w:sz w:val="19"/>
          <w:szCs w:val="19"/>
        </w:rPr>
        <w:softHyphen/>
        <w:t>vací politiky, třebaže se o ní jak se strany portugalské, tak ze strany britské vykládá, že jde jen o oživení pět set íet sterého spolku, nastávají zřejmé pokusy zjistit, jakým směrem se bude vyví</w:t>
      </w:r>
      <w:r>
        <w:rPr>
          <w:b/>
          <w:bCs/>
          <w:sz w:val="19"/>
          <w:szCs w:val="19"/>
        </w:rPr>
        <w:t>jet politika současného Španělska. Portugalská smlouva je pro Velkou Britanii ovšem vojen</w:t>
      </w:r>
      <w:r>
        <w:rPr>
          <w:b/>
          <w:bCs/>
          <w:sz w:val="19"/>
          <w:szCs w:val="19"/>
        </w:rPr>
        <w:softHyphen/>
        <w:t>sky velmi důležitá, protože mezi Portugalskem ovládajícím strategicky důležité pobřeží, a mezi Španělskem je umělá hranice, přírodou neopevněná, takže nátlak na Španě</w:t>
      </w:r>
      <w:r>
        <w:rPr>
          <w:b/>
          <w:bCs/>
          <w:sz w:val="19"/>
          <w:szCs w:val="19"/>
        </w:rPr>
        <w:t xml:space="preserve">lsko s portugalského území se dá velmi dobře vykonávat. Krom toho Španělsko potřebuje nyní dovoz množství surovin, strojů, různých výrobků a potravin, které nejlevněji mohou dodat zámořské státy. A ovšem potřebuje také peníze, hodně peněz, na rekonstrukci </w:t>
      </w:r>
      <w:r>
        <w:rPr>
          <w:b/>
          <w:bCs/>
          <w:sz w:val="19"/>
          <w:szCs w:val="19"/>
        </w:rPr>
        <w:t>občanskou válkou zničeného území.</w:t>
      </w:r>
    </w:p>
    <w:p w:rsidR="00500724" w:rsidRDefault="00F30FB8">
      <w:pPr>
        <w:pStyle w:val="Zkladntext100"/>
        <w:shd w:val="clear" w:color="auto" w:fill="auto"/>
        <w:spacing w:line="187" w:lineRule="auto"/>
        <w:ind w:firstLine="300"/>
        <w:rPr>
          <w:sz w:val="19"/>
          <w:szCs w:val="19"/>
        </w:rPr>
      </w:pPr>
      <w:r>
        <w:rPr>
          <w:b/>
          <w:bCs/>
          <w:sz w:val="19"/>
          <w:szCs w:val="19"/>
        </w:rPr>
        <w:t>Zdálo se přece samozřejmé, že nová vláda španělská bude dělat zahraniční politiku ruku v ruce s mocnostmi osy, které jí pomohly tok podstatným způsobem k vítězství v občanské válce. Se španělské strany sice již byly vykoná</w:t>
      </w:r>
      <w:r>
        <w:rPr>
          <w:b/>
          <w:bCs/>
          <w:sz w:val="19"/>
          <w:szCs w:val="19"/>
        </w:rPr>
        <w:t xml:space="preserve">ny) poděkovaci návštěvy a projevena za tuto pomoc vděčnost, aie nyní již Španělsko prohlašuje, že zahraniční politiku bude dělat samostatnou, řídíc se jen ohledy na španělské zájmy. Španělský generál </w:t>
      </w:r>
      <w:r>
        <w:rPr>
          <w:b/>
          <w:bCs/>
          <w:sz w:val="19"/>
          <w:szCs w:val="19"/>
          <w:lang w:val="en-US" w:eastAsia="en-US" w:bidi="en-US"/>
        </w:rPr>
        <w:t xml:space="preserve">Aranda, </w:t>
      </w:r>
      <w:r>
        <w:rPr>
          <w:b/>
          <w:bCs/>
          <w:sz w:val="19"/>
          <w:szCs w:val="19"/>
        </w:rPr>
        <w:t>který byl právě v Ně</w:t>
      </w:r>
      <w:r>
        <w:rPr>
          <w:b/>
          <w:bCs/>
          <w:sz w:val="19"/>
          <w:szCs w:val="19"/>
        </w:rPr>
        <w:softHyphen/>
        <w:t xml:space="preserve">mecku, kde byl ovšem dobře </w:t>
      </w:r>
      <w:r>
        <w:rPr>
          <w:b/>
          <w:bCs/>
          <w:sz w:val="19"/>
          <w:szCs w:val="19"/>
        </w:rPr>
        <w:t>přijat, prohlásil dokonce přímo v Berlině zpravodaji jednoho anglického listu, že nová španělská vláda nepřevzala žádných závaz</w:t>
      </w:r>
      <w:r>
        <w:rPr>
          <w:b/>
          <w:bCs/>
          <w:sz w:val="19"/>
          <w:szCs w:val="19"/>
        </w:rPr>
        <w:softHyphen/>
        <w:t>ků k některým mocnostem. Dodal výslovně, že zprávy o tom jsou zcela nepravdivé, že španělská vláda uzavře jen smlouvy rázu obcho</w:t>
      </w:r>
      <w:r>
        <w:rPr>
          <w:b/>
          <w:bCs/>
          <w:sz w:val="19"/>
          <w:szCs w:val="19"/>
        </w:rPr>
        <w:t>dního a kulturního. Fakt, že toto proliíášení učinil generál, který se proslavil v občanské válce, zejména při obležení Ovieda, a který má vynikající posici v soudobém Španělsku, a že tak učinil do- konce k anglickému redaktora za berlínského pobytu, vzbud</w:t>
      </w:r>
      <w:r>
        <w:rPr>
          <w:b/>
          <w:bCs/>
          <w:sz w:val="19"/>
          <w:szCs w:val="19"/>
        </w:rPr>
        <w:t>il ovšem hluboký dojem. Bylo ovšem jíž delší dobu známo, že ve Španělsku pracuji síly, které si nepřejí něja</w:t>
      </w:r>
      <w:r>
        <w:rPr>
          <w:b/>
          <w:bCs/>
          <w:sz w:val="19"/>
          <w:szCs w:val="19"/>
        </w:rPr>
        <w:softHyphen/>
        <w:t>ké těsnější aliance mezi Španělskem a mocnostmi osy Ber- lin-Řím, ale soudilo se, že vliv těchto sil bude po skončeni občanské války ochabovat.</w:t>
      </w:r>
    </w:p>
    <w:p w:rsidR="00500724" w:rsidRDefault="00F30FB8">
      <w:pPr>
        <w:pStyle w:val="Zkladntext100"/>
        <w:shd w:val="clear" w:color="auto" w:fill="auto"/>
        <w:spacing w:line="190" w:lineRule="auto"/>
        <w:ind w:firstLine="300"/>
        <w:rPr>
          <w:sz w:val="19"/>
          <w:szCs w:val="19"/>
        </w:rPr>
      </w:pPr>
      <w:r>
        <w:rPr>
          <w:b/>
          <w:bCs/>
          <w:sz w:val="19"/>
          <w:szCs w:val="19"/>
        </w:rPr>
        <w:t>Pod</w:t>
      </w:r>
      <w:r>
        <w:rPr>
          <w:b/>
          <w:bCs/>
          <w:sz w:val="19"/>
          <w:szCs w:val="19"/>
        </w:rPr>
        <w:t>obně, třebas daleko opatrněji, mluvil dokonce sám ge</w:t>
      </w:r>
      <w:r>
        <w:rPr>
          <w:b/>
          <w:bCs/>
          <w:sz w:val="19"/>
          <w:szCs w:val="19"/>
        </w:rPr>
        <w:softHyphen/>
        <w:t xml:space="preserve">nerál </w:t>
      </w:r>
      <w:r>
        <w:rPr>
          <w:b/>
          <w:bCs/>
          <w:sz w:val="19"/>
          <w:szCs w:val="19"/>
          <w:lang w:val="en-US" w:eastAsia="en-US" w:bidi="en-US"/>
        </w:rPr>
        <w:t xml:space="preserve">Franco </w:t>
      </w:r>
      <w:r>
        <w:rPr>
          <w:b/>
          <w:bCs/>
          <w:sz w:val="19"/>
          <w:szCs w:val="19"/>
        </w:rPr>
        <w:t>v Bilbau na veřejném projevu, kde řekl, žo ^Španělsko zůstane lhostejným k válečné atmosféře v Evro</w:t>
      </w:r>
      <w:r>
        <w:rPr>
          <w:b/>
          <w:bCs/>
          <w:sz w:val="19"/>
          <w:szCs w:val="19"/>
        </w:rPr>
        <w:softHyphen/>
        <w:t>pě a bude se věnovat jen a jen svým rekonstrukčním domá</w:t>
      </w:r>
      <w:r>
        <w:rPr>
          <w:b/>
          <w:bCs/>
          <w:sz w:val="19"/>
          <w:szCs w:val="19"/>
        </w:rPr>
        <w:softHyphen/>
        <w:t xml:space="preserve">cím starostem«. Také z toho se dá </w:t>
      </w:r>
      <w:r>
        <w:rPr>
          <w:b/>
          <w:bCs/>
          <w:sz w:val="19"/>
          <w:szCs w:val="19"/>
        </w:rPr>
        <w:t>soudit, že Španělsko ne</w:t>
      </w:r>
      <w:r>
        <w:rPr>
          <w:b/>
          <w:bCs/>
          <w:sz w:val="19"/>
          <w:szCs w:val="19"/>
        </w:rPr>
        <w:softHyphen/>
        <w:t xml:space="preserve">hodlá se nějak aktivně zúčastnit evropské politiky. Patrně se již mezi odpovědnými muži nové španělské vlády o věci jednalo a proto byly učiněny tyto projevy. I když stanovisko generála </w:t>
      </w:r>
      <w:r>
        <w:rPr>
          <w:b/>
          <w:bCs/>
          <w:sz w:val="19"/>
          <w:szCs w:val="19"/>
          <w:lang w:val="en-US" w:eastAsia="en-US" w:bidi="en-US"/>
        </w:rPr>
        <w:t xml:space="preserve">Franca </w:t>
      </w:r>
      <w:r>
        <w:rPr>
          <w:b/>
          <w:bCs/>
          <w:sz w:val="19"/>
          <w:szCs w:val="19"/>
        </w:rPr>
        <w:t>je zcela pochopitelné vzhledem k velkým</w:t>
      </w:r>
      <w:r>
        <w:rPr>
          <w:b/>
          <w:bCs/>
          <w:sz w:val="19"/>
          <w:szCs w:val="19"/>
        </w:rPr>
        <w:t xml:space="preserve"> úkolům, které ho čekají při znovubudování země, při opatřo</w:t>
      </w:r>
      <w:r>
        <w:rPr>
          <w:b/>
          <w:bCs/>
          <w:sz w:val="19"/>
          <w:szCs w:val="19"/>
        </w:rPr>
        <w:softHyphen/>
        <w:t xml:space="preserve">váni práce a při postupném zahojování ran, které země </w:t>
      </w:r>
      <w:r>
        <w:rPr>
          <w:b/>
          <w:bCs/>
          <w:sz w:val="20"/>
          <w:szCs w:val="20"/>
        </w:rPr>
        <w:t xml:space="preserve">a </w:t>
      </w:r>
      <w:r>
        <w:rPr>
          <w:b/>
          <w:bCs/>
          <w:sz w:val="19"/>
          <w:szCs w:val="19"/>
        </w:rPr>
        <w:t>její lid utrpěly v bezmála tříleté občanské válce, je přece jenom dosti překvapující, že takto mluví španělští politikové již dnes, zejména,</w:t>
      </w:r>
      <w:r>
        <w:rPr>
          <w:b/>
          <w:bCs/>
          <w:sz w:val="19"/>
          <w:szCs w:val="19"/>
        </w:rPr>
        <w:t xml:space="preserve"> když se od nich očekávala jiná řeč. Jas</w:t>
      </w:r>
      <w:r>
        <w:rPr>
          <w:b/>
          <w:bCs/>
          <w:sz w:val="19"/>
          <w:szCs w:val="19"/>
        </w:rPr>
        <w:softHyphen/>
        <w:t>nější a rozhodnější. Španělsko zatím však asi nehodlá své Zahraničně-politické plány blíže ujasnit.</w:t>
      </w:r>
    </w:p>
    <w:p w:rsidR="00500724" w:rsidRDefault="00F30FB8">
      <w:pPr>
        <w:pStyle w:val="Zkladntext100"/>
        <w:shd w:val="clear" w:color="auto" w:fill="auto"/>
        <w:spacing w:line="187" w:lineRule="auto"/>
        <w:ind w:firstLine="260"/>
        <w:rPr>
          <w:sz w:val="19"/>
          <w:szCs w:val="19"/>
        </w:rPr>
      </w:pPr>
      <w:r>
        <w:rPr>
          <w:b/>
          <w:bCs/>
          <w:sz w:val="19"/>
          <w:szCs w:val="19"/>
        </w:rPr>
        <w:t>V téže souvislosti je pozoruhodné, že maršál Pétain, francouzský zvláštní velvyslanec ve Španělsku, se právě vrátil</w:t>
      </w:r>
      <w:r>
        <w:rPr>
          <w:b/>
          <w:bCs/>
          <w:sz w:val="19"/>
          <w:szCs w:val="19"/>
        </w:rPr>
        <w:t xml:space="preserve"> do Paříže, kde měl dlouhé porady s francouzským zahraničním ministrem Bonnetem, se kterým se pak ode</w:t>
      </w:r>
      <w:r>
        <w:rPr>
          <w:b/>
          <w:bCs/>
          <w:sz w:val="19"/>
          <w:szCs w:val="19"/>
        </w:rPr>
        <w:softHyphen/>
        <w:t>bral k ministerskému předsedovi Daladierovi. Podle fran</w:t>
      </w:r>
      <w:r>
        <w:rPr>
          <w:b/>
          <w:bCs/>
          <w:sz w:val="19"/>
          <w:szCs w:val="19"/>
        </w:rPr>
        <w:softHyphen/>
        <w:t>couzského tisku byla diskutována otázka nových španělsko- francouzských vztahů. Velvyslanec Lequer</w:t>
      </w:r>
      <w:r>
        <w:rPr>
          <w:b/>
          <w:bCs/>
          <w:sz w:val="19"/>
          <w:szCs w:val="19"/>
        </w:rPr>
        <w:t>ica, který se ujal již před časem zastupování Španělska v Paříži, pro</w:t>
      </w:r>
      <w:r>
        <w:rPr>
          <w:b/>
          <w:bCs/>
          <w:sz w:val="19"/>
          <w:szCs w:val="19"/>
        </w:rPr>
        <w:softHyphen/>
        <w:t>hlásil, že zahraniční politiku Španělska určuje pouze a vý</w:t>
      </w:r>
      <w:r>
        <w:rPr>
          <w:b/>
          <w:bCs/>
          <w:sz w:val="19"/>
          <w:szCs w:val="19"/>
        </w:rPr>
        <w:softHyphen/>
        <w:t xml:space="preserve">hradně generál </w:t>
      </w:r>
      <w:r>
        <w:rPr>
          <w:b/>
          <w:bCs/>
          <w:sz w:val="19"/>
          <w:szCs w:val="19"/>
          <w:lang w:val="en-US" w:eastAsia="en-US" w:bidi="en-US"/>
        </w:rPr>
        <w:t xml:space="preserve">Franco, </w:t>
      </w:r>
      <w:r>
        <w:rPr>
          <w:b/>
          <w:bCs/>
          <w:sz w:val="19"/>
          <w:szCs w:val="19"/>
        </w:rPr>
        <w:t>který se řídí při tom jen vlastními Zájmy Španělska,</w:t>
      </w:r>
    </w:p>
    <w:p w:rsidR="00500724" w:rsidRDefault="00F30FB8">
      <w:pPr>
        <w:pStyle w:val="Zkladntext100"/>
        <w:shd w:val="clear" w:color="auto" w:fill="auto"/>
        <w:spacing w:line="187" w:lineRule="auto"/>
        <w:ind w:firstLine="260"/>
        <w:rPr>
          <w:sz w:val="19"/>
          <w:szCs w:val="19"/>
        </w:rPr>
      </w:pPr>
      <w:r>
        <w:rPr>
          <w:b/>
          <w:bCs/>
          <w:sz w:val="19"/>
          <w:szCs w:val="19"/>
        </w:rPr>
        <w:t>Velvyslanec Lequerica při tom informoval francouz</w:t>
      </w:r>
      <w:r>
        <w:rPr>
          <w:b/>
          <w:bCs/>
          <w:sz w:val="19"/>
          <w:szCs w:val="19"/>
        </w:rPr>
        <w:softHyphen/>
        <w:t>s</w:t>
      </w:r>
      <w:r>
        <w:rPr>
          <w:b/>
          <w:bCs/>
          <w:sz w:val="19"/>
          <w:szCs w:val="19"/>
        </w:rPr>
        <w:t>kého zahraničního ministra Bonneta, že názory generála Kindelana, náčelníka španělského letectva, který mluvil v Římě s redaktorem »Stampy« 16. t. m. a řekl, že »kdyby Itálie byla zavlečena do války, pak by Španělsko, při nej- tnenším alespoň španělské let</w:t>
      </w:r>
      <w:r>
        <w:rPr>
          <w:b/>
          <w:bCs/>
          <w:sz w:val="19"/>
          <w:szCs w:val="19"/>
        </w:rPr>
        <w:t>ectvo nezůstalo lhostejným«, neodpovídají názorům odpovědných španělských státníků. Seňor lequerica dodal, že Španělsko nemá k moc</w:t>
      </w:r>
      <w:r>
        <w:rPr>
          <w:b/>
          <w:bCs/>
          <w:sz w:val="19"/>
          <w:szCs w:val="19"/>
        </w:rPr>
        <w:softHyphen/>
        <w:t>nostem Osy žádných vojenských závazků. Toto prohlášení španělského velvyslance bylo také živě komentováno ve francouzském a b</w:t>
      </w:r>
      <w:r>
        <w:rPr>
          <w:b/>
          <w:bCs/>
          <w:sz w:val="19"/>
          <w:szCs w:val="19"/>
        </w:rPr>
        <w:t>ritském tisku. Zdůraz</w:t>
      </w:r>
      <w:r>
        <w:rPr>
          <w:b/>
          <w:bCs/>
          <w:sz w:val="19"/>
          <w:szCs w:val="19"/>
        </w:rPr>
        <w:softHyphen/>
        <w:t>ňuje se při tom, že Francie vydá Španělsku všechen špa</w:t>
      </w:r>
      <w:r>
        <w:rPr>
          <w:b/>
          <w:bCs/>
          <w:sz w:val="19"/>
          <w:szCs w:val="19"/>
        </w:rPr>
        <w:softHyphen/>
        <w:t>nělský majetek, odvezený za války do Francie, a noviny referují o raportu generála Noguěsa, francouzského resi</w:t>
      </w:r>
      <w:r>
        <w:rPr>
          <w:b/>
          <w:bCs/>
          <w:sz w:val="19"/>
          <w:szCs w:val="19"/>
        </w:rPr>
        <w:softHyphen/>
        <w:t xml:space="preserve">denta ve francouzském Maroku, že francouzsko-španělské vztahy se na </w:t>
      </w:r>
      <w:r>
        <w:rPr>
          <w:b/>
          <w:bCs/>
          <w:sz w:val="19"/>
          <w:szCs w:val="19"/>
        </w:rPr>
        <w:t>marocké půdě v posledních týdnech podstatně Zlepšily.</w:t>
      </w:r>
    </w:p>
    <w:p w:rsidR="00500724" w:rsidRDefault="00F30FB8">
      <w:pPr>
        <w:pStyle w:val="Zkladntext100"/>
        <w:shd w:val="clear" w:color="auto" w:fill="auto"/>
        <w:tabs>
          <w:tab w:val="left" w:pos="4570"/>
        </w:tabs>
        <w:spacing w:after="120" w:line="187" w:lineRule="auto"/>
        <w:ind w:firstLine="260"/>
        <w:rPr>
          <w:sz w:val="20"/>
          <w:szCs w:val="20"/>
        </w:rPr>
      </w:pPr>
      <w:r>
        <w:rPr>
          <w:b/>
          <w:bCs/>
          <w:sz w:val="19"/>
          <w:szCs w:val="19"/>
        </w:rPr>
        <w:t>Z toho všeho je patrné, že o stanovisko Španělska v pří</w:t>
      </w:r>
      <w:r>
        <w:rPr>
          <w:b/>
          <w:bCs/>
          <w:sz w:val="19"/>
          <w:szCs w:val="19"/>
        </w:rPr>
        <w:softHyphen/>
        <w:t>padném evropském konfliktu se teprve zápasí a že pravdě</w:t>
      </w:r>
      <w:r>
        <w:rPr>
          <w:b/>
          <w:bCs/>
          <w:sz w:val="19"/>
          <w:szCs w:val="19"/>
        </w:rPr>
        <w:softHyphen/>
        <w:t>podobně skutečnou snahou nové španělské vlády je zůstat stranou a věnovat se vlastním vnit</w:t>
      </w:r>
      <w:r>
        <w:rPr>
          <w:b/>
          <w:bCs/>
          <w:sz w:val="19"/>
          <w:szCs w:val="19"/>
        </w:rPr>
        <w:t>řním věcem.</w:t>
      </w:r>
      <w:r>
        <w:rPr>
          <w:b/>
          <w:bCs/>
          <w:sz w:val="19"/>
          <w:szCs w:val="19"/>
        </w:rPr>
        <w:tab/>
      </w:r>
      <w:r>
        <w:rPr>
          <w:i/>
          <w:iCs/>
          <w:sz w:val="20"/>
          <w:szCs w:val="20"/>
        </w:rPr>
        <w:t>Moll</w:t>
      </w:r>
    </w:p>
    <w:p w:rsidR="00500724" w:rsidRDefault="00F30FB8">
      <w:pPr>
        <w:pStyle w:val="Zkladntext30"/>
        <w:shd w:val="clear" w:color="auto" w:fill="auto"/>
        <w:spacing w:after="80" w:line="178" w:lineRule="auto"/>
        <w:ind w:firstLine="0"/>
        <w:jc w:val="center"/>
        <w:rPr>
          <w:sz w:val="20"/>
          <w:szCs w:val="20"/>
        </w:rPr>
      </w:pPr>
      <w:r>
        <w:rPr>
          <w:b/>
          <w:bCs/>
          <w:sz w:val="20"/>
          <w:szCs w:val="20"/>
        </w:rPr>
        <w:t>Jak se dnes žije v Madridě</w:t>
      </w:r>
    </w:p>
    <w:p w:rsidR="00500724" w:rsidRDefault="00F30FB8">
      <w:pPr>
        <w:pStyle w:val="Zkladntext100"/>
        <w:shd w:val="clear" w:color="auto" w:fill="auto"/>
        <w:spacing w:after="40" w:line="190" w:lineRule="auto"/>
        <w:ind w:firstLine="260"/>
        <w:rPr>
          <w:sz w:val="19"/>
          <w:szCs w:val="19"/>
        </w:rPr>
      </w:pPr>
      <w:r>
        <w:rPr>
          <w:b/>
          <w:bCs/>
          <w:sz w:val="19"/>
          <w:szCs w:val="19"/>
        </w:rPr>
        <w:t>Po skončení občanské války ve Španělsku a po uvítáni desítek tisíců legionářů, kteří se vrátili do svých mateř</w:t>
      </w:r>
      <w:r>
        <w:rPr>
          <w:b/>
          <w:bCs/>
          <w:sz w:val="19"/>
          <w:szCs w:val="19"/>
        </w:rPr>
        <w:softHyphen/>
        <w:t>ských zemi Německa a Itálie, pohasl světový zájem o Špa</w:t>
      </w:r>
      <w:r>
        <w:rPr>
          <w:b/>
          <w:bCs/>
          <w:sz w:val="19"/>
          <w:szCs w:val="19"/>
        </w:rPr>
        <w:softHyphen/>
        <w:t>nělsko velmi rychle, pokud se ovšem neuvažuje</w:t>
      </w:r>
      <w:r>
        <w:rPr>
          <w:b/>
          <w:bCs/>
          <w:sz w:val="19"/>
          <w:szCs w:val="19"/>
        </w:rPr>
        <w:t xml:space="preserve"> o jeho možné úloze v příští evropské válce. A přece je jistě velmi zajímavé zvědět, jak se dnes žije v Madridě. Čiperní repor</w:t>
      </w:r>
      <w:r>
        <w:rPr>
          <w:b/>
          <w:bCs/>
          <w:sz w:val="19"/>
          <w:szCs w:val="19"/>
        </w:rPr>
        <w:softHyphen/>
        <w:t>téři anglických a amerických velkých deníků podávají o tom asi tento obrázek:</w:t>
      </w:r>
    </w:p>
    <w:p w:rsidR="00500724" w:rsidRDefault="00F30FB8">
      <w:pPr>
        <w:pStyle w:val="Zkladntext100"/>
        <w:shd w:val="clear" w:color="auto" w:fill="auto"/>
        <w:spacing w:after="40" w:line="190" w:lineRule="auto"/>
        <w:ind w:firstLine="260"/>
        <w:rPr>
          <w:sz w:val="19"/>
          <w:szCs w:val="19"/>
        </w:rPr>
      </w:pPr>
      <w:r>
        <w:rPr>
          <w:b/>
          <w:bCs/>
          <w:sz w:val="19"/>
          <w:szCs w:val="19"/>
        </w:rPr>
        <w:t>Madrid se velmi rychle očišťuje od stop bombardován</w:t>
      </w:r>
      <w:r>
        <w:rPr>
          <w:b/>
          <w:bCs/>
          <w:sz w:val="19"/>
          <w:szCs w:val="19"/>
        </w:rPr>
        <w:t>i a od útrap, které mu uložilo obleženi. Až na taxíky, kterých je sotva šestina proti době před vypuknutím občanské vál</w:t>
      </w:r>
      <w:r>
        <w:rPr>
          <w:b/>
          <w:bCs/>
          <w:sz w:val="19"/>
          <w:szCs w:val="19"/>
        </w:rPr>
        <w:softHyphen/>
        <w:t>ky (jezdí jich dnes asi pět set), jsou již v činnosti všechny dopravní prostředky. Opravují se domy a ulice, kavárny, restaurace, divadl</w:t>
      </w:r>
      <w:r>
        <w:rPr>
          <w:b/>
          <w:bCs/>
          <w:sz w:val="19"/>
          <w:szCs w:val="19"/>
        </w:rPr>
        <w:t>a a biografy jsou naplněny, neboť lidé se snaží dohonit, oč je válka připravila, a chtějí zapomenout. Není rodiny, která by neoplakávala nějakého příslušníka. Poptávka po smutečních šatech a odznacích je stále tak obrovská, že není v silách obchodníků ji u</w:t>
      </w:r>
      <w:r>
        <w:rPr>
          <w:b/>
          <w:bCs/>
          <w:sz w:val="19"/>
          <w:szCs w:val="19"/>
        </w:rPr>
        <w:t>kojit. Proto se prostě barví šaty, stužky a odznaky na černo a skoro není možné potkat člověka bez tohoto znamení. Truchlí přísluš</w:t>
      </w:r>
      <w:r>
        <w:rPr>
          <w:b/>
          <w:bCs/>
          <w:sz w:val="19"/>
          <w:szCs w:val="19"/>
        </w:rPr>
        <w:softHyphen/>
        <w:t>níci dnes vládnoucí strany po padlých a popravených, truchlí ti, kteří zbyli po poražených.</w:t>
      </w:r>
    </w:p>
    <w:p w:rsidR="00500724" w:rsidRDefault="00F30FB8">
      <w:pPr>
        <w:pStyle w:val="Zkladntext100"/>
        <w:shd w:val="clear" w:color="auto" w:fill="auto"/>
        <w:spacing w:line="190" w:lineRule="auto"/>
        <w:ind w:firstLine="260"/>
        <w:rPr>
          <w:sz w:val="19"/>
          <w:szCs w:val="19"/>
        </w:rPr>
      </w:pPr>
      <w:r>
        <w:rPr>
          <w:b/>
          <w:bCs/>
          <w:sz w:val="19"/>
          <w:szCs w:val="19"/>
        </w:rPr>
        <w:t xml:space="preserve">Dosud není odhadnuto, kolik lidí </w:t>
      </w:r>
      <w:r>
        <w:rPr>
          <w:b/>
          <w:bCs/>
          <w:sz w:val="19"/>
          <w:szCs w:val="19"/>
        </w:rPr>
        <w:t>padlo, odhady kolísají kolem půl druhého milionu lidí a dalších sto a snad i více tisíc lidí je nezvěstných. Vždyť jen od dobytí Madridu bylo v městě samém a v jeho bezprostředním okolí popraveno (podle anglických zpráv) přes osmdesát tisíc lidí, kteří pat</w:t>
      </w:r>
      <w:r>
        <w:rPr>
          <w:b/>
          <w:bCs/>
          <w:sz w:val="19"/>
          <w:szCs w:val="19"/>
        </w:rPr>
        <w:t>řili do tábora poražených, tucet soudů zasedá ve dne V noci, i při umělém světle. Denně jsou zatýkány stovky, ba 1 tisíce Udí. Krom těchto běžných procesů, jež celkem ne</w:t>
      </w:r>
      <w:r>
        <w:rPr>
          <w:b/>
          <w:bCs/>
          <w:sz w:val="19"/>
          <w:szCs w:val="19"/>
        </w:rPr>
        <w:softHyphen/>
        <w:t xml:space="preserve">vzbuzují již pozornost, chystají se některé velké poUtické soudy, z nichž největší má </w:t>
      </w:r>
      <w:r>
        <w:rPr>
          <w:b/>
          <w:bCs/>
          <w:sz w:val="19"/>
          <w:szCs w:val="19"/>
        </w:rPr>
        <w:t>býti s Juliánem Besteiro, Jenž byl viceministrem zahraničních Věcí ve vládě plukovníka Casada, téhož muže, který 6. března svrhl vládu Negrinovu • rozhodl se vydat bez boje Madrid generálu Francovi, což se také stalo. Besteiro mohl uprchnout!, ale zůstal v</w:t>
      </w:r>
      <w:r>
        <w:rPr>
          <w:b/>
          <w:bCs/>
          <w:sz w:val="19"/>
          <w:szCs w:val="19"/>
        </w:rPr>
        <w:t>e svém bytě. Byl zatčen a nyní bude postaven před soud.</w:t>
      </w:r>
    </w:p>
    <w:p w:rsidR="00500724" w:rsidRDefault="00F30FB8">
      <w:pPr>
        <w:pStyle w:val="Zkladntext100"/>
        <w:shd w:val="clear" w:color="auto" w:fill="auto"/>
        <w:spacing w:line="192" w:lineRule="auto"/>
        <w:ind w:firstLine="220"/>
        <w:rPr>
          <w:sz w:val="19"/>
          <w:szCs w:val="19"/>
        </w:rPr>
      </w:pPr>
      <w:r>
        <w:rPr>
          <w:b/>
          <w:bCs/>
          <w:sz w:val="19"/>
          <w:szCs w:val="19"/>
        </w:rPr>
        <w:t>Hlavní zájem vlády a všeho občanstva se však soustře- ffujo na stavby a rekonstrukční práce, mezi něž patří také znovuzřízení celostátní dopravní sítě, zejména pro urychle</w:t>
      </w:r>
      <w:r>
        <w:rPr>
          <w:b/>
          <w:bCs/>
          <w:sz w:val="19"/>
          <w:szCs w:val="19"/>
        </w:rPr>
        <w:softHyphen/>
        <w:t xml:space="preserve">nější a lepší zásobování </w:t>
      </w:r>
      <w:r>
        <w:rPr>
          <w:b/>
          <w:bCs/>
          <w:sz w:val="19"/>
          <w:szCs w:val="19"/>
        </w:rPr>
        <w:t>milionového hlavního města. Potra</w:t>
      </w:r>
      <w:r>
        <w:rPr>
          <w:b/>
          <w:bCs/>
          <w:sz w:val="19"/>
          <w:szCs w:val="19"/>
        </w:rPr>
        <w:softHyphen/>
        <w:t xml:space="preserve">vy je celkem již dost, ovšem cukr, káva, olej a mouka jsou ještě vzácné a drahé. Nyní se připravuje vydávání těchto potravin na lístky. Ovoce, zeleniny a ryb Je však postačí- telné množství, vino a alkoholické nápoje jsou </w:t>
      </w:r>
      <w:r>
        <w:rPr>
          <w:b/>
          <w:bCs/>
          <w:sz w:val="19"/>
          <w:szCs w:val="19"/>
        </w:rPr>
        <w:t>dokonce již tak levné, jako byly před občanskou válkou. Zatím se vy</w:t>
      </w:r>
      <w:r>
        <w:rPr>
          <w:b/>
          <w:bCs/>
          <w:sz w:val="19"/>
          <w:szCs w:val="19"/>
        </w:rPr>
        <w:softHyphen/>
        <w:t xml:space="preserve">rábí hnědý chléb, obsahující hojně žita, který však je dobrý a dostane se v dostatečných dávkách. To vše ovšem značně přispělo k uklidnění obyvatelstva. Cigarety zatím jsou jen anglické a </w:t>
      </w:r>
      <w:r>
        <w:rPr>
          <w:b/>
          <w:bCs/>
          <w:sz w:val="19"/>
          <w:szCs w:val="19"/>
        </w:rPr>
        <w:t>částečně také americké, tabák do dýmek neni, ale je dost doutníků z Jižní Ameriky výtečné jakostí za normální ceny. Vcelku ovšem ceny úžasně stouply, zejména ceny vepřového, hovězího a telecího masa, které</w:t>
      </w:r>
    </w:p>
    <w:p w:rsidR="00500724" w:rsidRDefault="00F30FB8">
      <w:pPr>
        <w:pStyle w:val="Zkladntext100"/>
        <w:framePr w:dropCap="drop" w:lines="2" w:wrap="auto" w:vAnchor="text" w:hAnchor="text"/>
        <w:shd w:val="clear" w:color="auto" w:fill="auto"/>
        <w:spacing w:line="292" w:lineRule="exact"/>
        <w:ind w:firstLine="0"/>
        <w:rPr>
          <w:sz w:val="19"/>
          <w:szCs w:val="19"/>
        </w:rPr>
      </w:pPr>
      <w:r>
        <w:rPr>
          <w:rFonts w:ascii="Arial" w:eastAsia="Arial" w:hAnsi="Arial" w:cs="Arial"/>
          <w:b/>
          <w:bCs/>
          <w:position w:val="-6"/>
          <w:sz w:val="34"/>
          <w:szCs w:val="34"/>
        </w:rPr>
        <w:t>Í</w:t>
      </w:r>
    </w:p>
    <w:p w:rsidR="00500724" w:rsidRDefault="00F30FB8">
      <w:pPr>
        <w:pStyle w:val="Zkladntext100"/>
        <w:shd w:val="clear" w:color="auto" w:fill="auto"/>
        <w:spacing w:line="192" w:lineRule="auto"/>
        <w:ind w:firstLine="0"/>
        <w:rPr>
          <w:sz w:val="19"/>
          <w:szCs w:val="19"/>
        </w:rPr>
      </w:pPr>
      <w:r>
        <w:rPr>
          <w:b/>
          <w:bCs/>
          <w:sz w:val="19"/>
          <w:szCs w:val="19"/>
        </w:rPr>
        <w:t>sou asi trojnásobné, drůbež je ovšem ještě dražš</w:t>
      </w:r>
      <w:r>
        <w:rPr>
          <w:b/>
          <w:bCs/>
          <w:sz w:val="19"/>
          <w:szCs w:val="19"/>
        </w:rPr>
        <w:t>í. Také konfekční zboží je asi dvakráte tak drahé jako bylo před občanskou válkou, bot je nedostatek, ale stále se dovážejí, takže ceny již klesly pod dvojnásobek.</w:t>
      </w:r>
    </w:p>
    <w:p w:rsidR="00500724" w:rsidRDefault="00F30FB8">
      <w:pPr>
        <w:pStyle w:val="Zkladntext100"/>
        <w:shd w:val="clear" w:color="auto" w:fill="auto"/>
        <w:spacing w:line="190" w:lineRule="auto"/>
        <w:ind w:firstLine="220"/>
        <w:rPr>
          <w:sz w:val="19"/>
          <w:szCs w:val="19"/>
        </w:rPr>
      </w:pPr>
      <w:r>
        <w:rPr>
          <w:b/>
          <w:bCs/>
          <w:sz w:val="19"/>
          <w:szCs w:val="19"/>
        </w:rPr>
        <w:t>Velmi dobře pracují organisace sociální pomoci tak zv.</w:t>
      </w:r>
    </w:p>
    <w:p w:rsidR="00500724" w:rsidRDefault="00F30FB8">
      <w:pPr>
        <w:pStyle w:val="Zkladntext100"/>
        <w:shd w:val="clear" w:color="auto" w:fill="auto"/>
        <w:spacing w:line="190" w:lineRule="auto"/>
        <w:ind w:firstLine="0"/>
        <w:rPr>
          <w:sz w:val="19"/>
          <w:szCs w:val="19"/>
        </w:rPr>
      </w:pPr>
      <w:r>
        <w:rPr>
          <w:b/>
          <w:bCs/>
          <w:sz w:val="19"/>
          <w:szCs w:val="19"/>
        </w:rPr>
        <w:t xml:space="preserve">»Auxilio social.« Starají se nejenom </w:t>
      </w:r>
      <w:r>
        <w:rPr>
          <w:b/>
          <w:bCs/>
          <w:sz w:val="19"/>
          <w:szCs w:val="19"/>
        </w:rPr>
        <w:t>o potraviny a nemocné Bdi, ale také o to, aby byly onraveny domy, a opatřují ma</w:t>
      </w:r>
      <w:r>
        <w:rPr>
          <w:b/>
          <w:bCs/>
          <w:sz w:val="19"/>
          <w:szCs w:val="19"/>
        </w:rPr>
        <w:softHyphen/>
        <w:t>jitelům domů všechnu potřebnou pomoc. V tom směru se vykonal již takový kus práce, že reportéři, kteří byli v Ma</w:t>
      </w:r>
      <w:r>
        <w:rPr>
          <w:b/>
          <w:bCs/>
          <w:sz w:val="19"/>
          <w:szCs w:val="19"/>
        </w:rPr>
        <w:softHyphen/>
        <w:t>dridu za války a nyní se tam vrátili, aby se podívali, jak Madr</w:t>
      </w:r>
      <w:r>
        <w:rPr>
          <w:b/>
          <w:bCs/>
          <w:sz w:val="19"/>
          <w:szCs w:val="19"/>
        </w:rPr>
        <w:t>id vypadá dnes, píší, že město prostě není k poznání. Nejenom všeobecnou náladou, ale právě tímto rekonstrukč</w:t>
      </w:r>
      <w:r>
        <w:rPr>
          <w:b/>
          <w:bCs/>
          <w:sz w:val="19"/>
          <w:szCs w:val="19"/>
        </w:rPr>
        <w:softHyphen/>
        <w:t xml:space="preserve">ním ruchem, který je všude vidět. Auxillo </w:t>
      </w:r>
      <w:r>
        <w:rPr>
          <w:b/>
          <w:bCs/>
          <w:sz w:val="19"/>
          <w:szCs w:val="19"/>
          <w:lang w:val="en-US" w:eastAsia="en-US" w:bidi="en-US"/>
        </w:rPr>
        <w:t xml:space="preserve">social </w:t>
      </w:r>
      <w:r>
        <w:rPr>
          <w:b/>
          <w:bCs/>
          <w:sz w:val="19"/>
          <w:szCs w:val="19"/>
        </w:rPr>
        <w:t>se s po</w:t>
      </w:r>
      <w:r>
        <w:rPr>
          <w:b/>
          <w:bCs/>
          <w:sz w:val="19"/>
          <w:szCs w:val="19"/>
        </w:rPr>
        <w:softHyphen/>
        <w:t xml:space="preserve">čátku musila v Madridě starat o tři čtvrti milionu lidí </w:t>
      </w:r>
      <w:r>
        <w:rPr>
          <w:b/>
          <w:bCs/>
          <w:sz w:val="20"/>
          <w:szCs w:val="20"/>
        </w:rPr>
        <w:t xml:space="preserve">a </w:t>
      </w:r>
      <w:r>
        <w:rPr>
          <w:b/>
          <w:bCs/>
          <w:sz w:val="19"/>
          <w:szCs w:val="19"/>
        </w:rPr>
        <w:t xml:space="preserve">ještě dnes stravuje v několika </w:t>
      </w:r>
      <w:r>
        <w:rPr>
          <w:b/>
          <w:bCs/>
          <w:sz w:val="19"/>
          <w:szCs w:val="19"/>
        </w:rPr>
        <w:t>stovkách jídelen na tři sta tisíc Udí. Zvláštní organisace pro potírání nezaměstnanosti a pro veřejný i soukromý stavební ruch byla k této Insti</w:t>
      </w:r>
      <w:r>
        <w:rPr>
          <w:b/>
          <w:bCs/>
          <w:sz w:val="19"/>
          <w:szCs w:val="19"/>
        </w:rPr>
        <w:softHyphen/>
        <w:t>tuci přičleněna a dobře se osvědčuje. Vláda pomáhá vydá</w:t>
      </w:r>
      <w:r>
        <w:rPr>
          <w:b/>
          <w:bCs/>
          <w:sz w:val="19"/>
          <w:szCs w:val="19"/>
        </w:rPr>
        <w:softHyphen/>
        <w:t>váním pomocných a prozatímních peněz, obligací a poklad</w:t>
      </w:r>
      <w:r>
        <w:rPr>
          <w:b/>
          <w:bCs/>
          <w:sz w:val="19"/>
          <w:szCs w:val="19"/>
        </w:rPr>
        <w:softHyphen/>
        <w:t>ničních poukázek. Tyto dluhy budou teprve později řádně upraveny, nyní je příkazem doby pracovat rychle a zaměst</w:t>
      </w:r>
      <w:r>
        <w:rPr>
          <w:b/>
          <w:bCs/>
          <w:sz w:val="19"/>
          <w:szCs w:val="19"/>
        </w:rPr>
        <w:softHyphen/>
        <w:t>nat lidi, kteří téměř po tři léta nepracovali, protože buď uprchli, anebo se někde potulovali, či bojovali v armádě.</w:t>
      </w:r>
    </w:p>
    <w:p w:rsidR="00500724" w:rsidRDefault="00F30FB8">
      <w:pPr>
        <w:pStyle w:val="Zkladntext100"/>
        <w:shd w:val="clear" w:color="auto" w:fill="auto"/>
        <w:spacing w:line="190" w:lineRule="auto"/>
        <w:ind w:firstLine="220"/>
        <w:rPr>
          <w:sz w:val="19"/>
          <w:szCs w:val="19"/>
        </w:rPr>
      </w:pPr>
      <w:r>
        <w:rPr>
          <w:b/>
          <w:bCs/>
          <w:sz w:val="19"/>
          <w:szCs w:val="19"/>
        </w:rPr>
        <w:t xml:space="preserve">Město se vrací ke starým </w:t>
      </w:r>
      <w:r>
        <w:rPr>
          <w:b/>
          <w:bCs/>
          <w:sz w:val="19"/>
          <w:szCs w:val="19"/>
        </w:rPr>
        <w:t>pojmenováním ulic a odstra</w:t>
      </w:r>
      <w:r>
        <w:rPr>
          <w:b/>
          <w:bCs/>
          <w:sz w:val="19"/>
          <w:szCs w:val="19"/>
        </w:rPr>
        <w:softHyphen/>
        <w:t>ňuje všechny stopy nejenom bývalého republikánského re</w:t>
      </w:r>
      <w:r>
        <w:rPr>
          <w:b/>
          <w:bCs/>
          <w:sz w:val="19"/>
          <w:szCs w:val="19"/>
        </w:rPr>
        <w:softHyphen/>
        <w:t>žimu, ale i demokratických režimů předchozích. Boří se po</w:t>
      </w:r>
      <w:r>
        <w:rPr>
          <w:b/>
          <w:bCs/>
          <w:sz w:val="19"/>
          <w:szCs w:val="19"/>
        </w:rPr>
        <w:softHyphen/>
        <w:t>mníky, přejmenovávají se náměstí, ulice, sady a veřejné 1 soukromé ústavy. Současně se pořádají velkolepé zábavy pro</w:t>
      </w:r>
      <w:r>
        <w:rPr>
          <w:b/>
          <w:bCs/>
          <w:sz w:val="19"/>
          <w:szCs w:val="19"/>
        </w:rPr>
        <w:t xml:space="preserve"> lid. Kromě přehlídky, jež měla ovšem politický ráz, jsou otvírána divadla a byly již také po dvakráte uspořádá</w:t>
      </w:r>
      <w:r>
        <w:rPr>
          <w:b/>
          <w:bCs/>
          <w:sz w:val="19"/>
          <w:szCs w:val="19"/>
        </w:rPr>
        <w:softHyphen/>
        <w:t>ny býčí zápasy, jichž se po každé účastnilo asi tři sta tisíc Bdi. Vládním organisacím Jde také o to, aby čelily rázně rozšiřování nemocí, zejmé</w:t>
      </w:r>
      <w:r>
        <w:rPr>
          <w:b/>
          <w:bCs/>
          <w:sz w:val="19"/>
          <w:szCs w:val="19"/>
        </w:rPr>
        <w:t xml:space="preserve">na tyfu a neštovic. Proto bylo nařízeno povinné očkování proti těmto dvěma chorobám </w:t>
      </w:r>
      <w:r>
        <w:rPr>
          <w:b/>
          <w:bCs/>
          <w:sz w:val="20"/>
          <w:szCs w:val="20"/>
        </w:rPr>
        <w:t xml:space="preserve">a </w:t>
      </w:r>
      <w:r>
        <w:rPr>
          <w:b/>
          <w:bCs/>
          <w:sz w:val="19"/>
          <w:szCs w:val="19"/>
        </w:rPr>
        <w:t>kdo nemůže na požádání předložit certifikát o podstoupe</w:t>
      </w:r>
      <w:r>
        <w:rPr>
          <w:b/>
          <w:bCs/>
          <w:sz w:val="19"/>
          <w:szCs w:val="19"/>
        </w:rPr>
        <w:softHyphen/>
        <w:t xml:space="preserve">ném očkováni, nesmí do dopravních prostředků, do školy, do úřadů, zkrátka, bez tohoto certifikátu nelze zatím </w:t>
      </w:r>
      <w:r>
        <w:rPr>
          <w:b/>
          <w:bCs/>
          <w:sz w:val="20"/>
          <w:szCs w:val="20"/>
        </w:rPr>
        <w:t xml:space="preserve">v </w:t>
      </w:r>
      <w:r>
        <w:rPr>
          <w:b/>
          <w:bCs/>
          <w:sz w:val="19"/>
          <w:szCs w:val="19"/>
        </w:rPr>
        <w:t>Ma</w:t>
      </w:r>
      <w:r>
        <w:rPr>
          <w:b/>
          <w:bCs/>
          <w:sz w:val="19"/>
          <w:szCs w:val="19"/>
        </w:rPr>
        <w:t>dridě existovat.</w:t>
      </w:r>
    </w:p>
    <w:p w:rsidR="00500724" w:rsidRDefault="00F30FB8">
      <w:pPr>
        <w:pStyle w:val="Zkladntext100"/>
        <w:shd w:val="clear" w:color="auto" w:fill="auto"/>
        <w:spacing w:line="192" w:lineRule="auto"/>
        <w:ind w:firstLine="220"/>
        <w:rPr>
          <w:sz w:val="19"/>
          <w:szCs w:val="19"/>
        </w:rPr>
      </w:pPr>
      <w:r>
        <w:rPr>
          <w:b/>
          <w:bCs/>
          <w:sz w:val="19"/>
          <w:szCs w:val="19"/>
        </w:rPr>
        <w:t>Zvláštní problém tvoří majetek španělského státu, který je za hranicemi. Jedná se s Francií, která sl klade zvláštní podmínky, hlavně, pokud jde o zlato a částečně také o umě</w:t>
      </w:r>
      <w:r>
        <w:rPr>
          <w:b/>
          <w:bCs/>
          <w:sz w:val="19"/>
          <w:szCs w:val="19"/>
        </w:rPr>
        <w:softHyphen/>
        <w:t>lecké sbírky. Ale není pochyby o tom, že španělský stát do</w:t>
      </w:r>
      <w:r>
        <w:rPr>
          <w:b/>
          <w:bCs/>
          <w:sz w:val="19"/>
          <w:szCs w:val="19"/>
        </w:rPr>
        <w:softHyphen/>
        <w:t>stane</w:t>
      </w:r>
      <w:r>
        <w:rPr>
          <w:b/>
          <w:bCs/>
          <w:sz w:val="19"/>
          <w:szCs w:val="19"/>
        </w:rPr>
        <w:t xml:space="preserve"> tyto věci zpět, protože současná vláda je předsta</w:t>
      </w:r>
      <w:r>
        <w:rPr>
          <w:b/>
          <w:bCs/>
          <w:sz w:val="19"/>
          <w:szCs w:val="19"/>
        </w:rPr>
        <w:softHyphen/>
        <w:t>vitelem španělské země, řádně uznaným i demokratickými velmocemi. Ostatně se zdá, že nové Španělsko se začíná dívat jinak 1 na své názory, které projevovalo za španělské Občanské války.</w:t>
      </w:r>
    </w:p>
    <w:p w:rsidR="00500724" w:rsidRDefault="00F30FB8">
      <w:pPr>
        <w:pStyle w:val="Zkladntext100"/>
        <w:shd w:val="clear" w:color="auto" w:fill="auto"/>
        <w:spacing w:line="192" w:lineRule="auto"/>
        <w:ind w:firstLine="220"/>
        <w:rPr>
          <w:sz w:val="20"/>
          <w:szCs w:val="20"/>
        </w:rPr>
      </w:pPr>
      <w:r>
        <w:rPr>
          <w:b/>
          <w:bCs/>
          <w:sz w:val="19"/>
          <w:szCs w:val="19"/>
        </w:rPr>
        <w:t>Další problém patří</w:t>
      </w:r>
      <w:r>
        <w:rPr>
          <w:b/>
          <w:bCs/>
          <w:sz w:val="19"/>
          <w:szCs w:val="19"/>
        </w:rPr>
        <w:t>cí do tohoto smajetku za hranicemi^, je asi třicet tisíc dětí, které byly za války vyvezeny do růz</w:t>
      </w:r>
      <w:r>
        <w:rPr>
          <w:b/>
          <w:bCs/>
          <w:sz w:val="19"/>
          <w:szCs w:val="19"/>
        </w:rPr>
        <w:softHyphen/>
        <w:t>ných evropských i zámořských zemi. Z nich se již vrátilo asi devět tisíc dětí, ovšem poněkud předčasně. Proto se na návrat dalších dětí tak nepospíchá, neboť</w:t>
      </w:r>
      <w:r>
        <w:rPr>
          <w:b/>
          <w:bCs/>
          <w:sz w:val="19"/>
          <w:szCs w:val="19"/>
        </w:rPr>
        <w:t xml:space="preserve"> nejsou ještě obno</w:t>
      </w:r>
      <w:r>
        <w:rPr>
          <w:b/>
          <w:bCs/>
          <w:sz w:val="19"/>
          <w:szCs w:val="19"/>
        </w:rPr>
        <w:softHyphen/>
        <w:t xml:space="preserve">veny školy, nejsou opatřeny lavice a učební pomůcky, které byly za války zničeny a nelze také tak rychle zabezpečit hygienická opatřeni pro tyto tisíce vracejících se děti. </w:t>
      </w:r>
      <w:r>
        <w:rPr>
          <w:b/>
          <w:bCs/>
          <w:sz w:val="20"/>
          <w:szCs w:val="20"/>
        </w:rPr>
        <w:t xml:space="preserve">Z </w:t>
      </w:r>
      <w:r>
        <w:rPr>
          <w:b/>
          <w:bCs/>
          <w:sz w:val="19"/>
          <w:szCs w:val="19"/>
        </w:rPr>
        <w:t xml:space="preserve">devíti tisíc dětí, které se už vrátily, přijelo tři tisíce ze </w:t>
      </w:r>
      <w:r>
        <w:rPr>
          <w:b/>
          <w:bCs/>
          <w:sz w:val="19"/>
          <w:szCs w:val="19"/>
        </w:rPr>
        <w:t>Sovětského Ruska a dva tisíce z Mexika. Školy ostatně ne</w:t>
      </w:r>
      <w:r>
        <w:rPr>
          <w:b/>
          <w:bCs/>
          <w:sz w:val="19"/>
          <w:szCs w:val="19"/>
        </w:rPr>
        <w:softHyphen/>
        <w:t>budou přes prázdniny nikde otvírány, a proto nyní je ná</w:t>
      </w:r>
      <w:r>
        <w:rPr>
          <w:b/>
          <w:bCs/>
          <w:sz w:val="19"/>
          <w:szCs w:val="19"/>
        </w:rPr>
        <w:softHyphen/>
        <w:t>vrat dětí nenápadně zdržován i španělskou vládou, tím spíše, když jde namnoze o děti, jež nemají buď domová, anebo Vodičů. Mnoho těchto ubožáte</w:t>
      </w:r>
      <w:r>
        <w:rPr>
          <w:b/>
          <w:bCs/>
          <w:sz w:val="19"/>
          <w:szCs w:val="19"/>
        </w:rPr>
        <w:t xml:space="preserve">k pozbylo jak rodičů, tak </w:t>
      </w:r>
      <w:r>
        <w:rPr>
          <w:b/>
          <w:bCs/>
          <w:sz w:val="20"/>
          <w:szCs w:val="20"/>
        </w:rPr>
        <w:t>1</w:t>
      </w:r>
      <w:r>
        <w:br w:type="page"/>
      </w:r>
    </w:p>
    <w:p w:rsidR="00500724" w:rsidRDefault="00F30FB8">
      <w:pPr>
        <w:pStyle w:val="Zkladntext100"/>
        <w:shd w:val="clear" w:color="auto" w:fill="auto"/>
        <w:tabs>
          <w:tab w:val="left" w:pos="4702"/>
        </w:tabs>
        <w:spacing w:after="80" w:line="202" w:lineRule="auto"/>
        <w:ind w:firstLine="0"/>
        <w:rPr>
          <w:sz w:val="19"/>
          <w:szCs w:val="19"/>
        </w:rPr>
      </w:pPr>
      <w:r>
        <w:rPr>
          <w:b/>
          <w:bCs/>
          <w:sz w:val="19"/>
          <w:szCs w:val="19"/>
        </w:rPr>
        <w:t>rodného domu. Je pro né tedy lépe. přečkají-li prázdniny zatím v zemích, které se jich ujaly,</w:t>
      </w:r>
      <w:r>
        <w:rPr>
          <w:b/>
          <w:bCs/>
          <w:sz w:val="19"/>
          <w:szCs w:val="19"/>
        </w:rPr>
        <w:tab/>
        <w:t>čcwi</w:t>
      </w:r>
    </w:p>
    <w:p w:rsidR="00500724" w:rsidRDefault="00F30FB8">
      <w:pPr>
        <w:pStyle w:val="Jin0"/>
        <w:shd w:val="clear" w:color="auto" w:fill="auto"/>
        <w:spacing w:after="80"/>
        <w:ind w:firstLine="0"/>
        <w:jc w:val="center"/>
        <w:rPr>
          <w:sz w:val="24"/>
          <w:szCs w:val="24"/>
        </w:rPr>
      </w:pPr>
      <w:r>
        <w:rPr>
          <w:rFonts w:ascii="Calibri" w:eastAsia="Calibri" w:hAnsi="Calibri" w:cs="Calibri"/>
          <w:b/>
          <w:bCs/>
          <w:w w:val="80"/>
          <w:sz w:val="24"/>
          <w:szCs w:val="24"/>
        </w:rPr>
        <w:t>Baťovy továrny v Kanadě a vo Zračí</w:t>
      </w:r>
    </w:p>
    <w:p w:rsidR="00500724" w:rsidRDefault="00F30FB8">
      <w:pPr>
        <w:pStyle w:val="Zkladntext100"/>
        <w:shd w:val="clear" w:color="auto" w:fill="auto"/>
        <w:spacing w:line="187" w:lineRule="auto"/>
        <w:ind w:firstLine="200"/>
        <w:rPr>
          <w:sz w:val="19"/>
          <w:szCs w:val="19"/>
        </w:rPr>
      </w:pPr>
      <w:r>
        <w:rPr>
          <w:b/>
          <w:bCs/>
          <w:sz w:val="19"/>
          <w:szCs w:val="19"/>
        </w:rPr>
        <w:t>Kanadské časopisy přinesly zpráva, citovanou v angllo kých listech, že továrník Baťa — »známý</w:t>
      </w:r>
      <w:r>
        <w:rPr>
          <w:b/>
          <w:bCs/>
          <w:sz w:val="19"/>
          <w:szCs w:val="19"/>
        </w:rPr>
        <w:t xml:space="preserve"> král obuvk — požádal kanadskou vládu o povolení, aby mohl při pobřeží zřídit jednu, případné několik továren na boty. Za tím účelem žádal, aby mohl do Kanady dovézt strojní materiál a asi dvě stě dělníků. Toť se rozumí, mezi kanadskými Ševel vypukla panik</w:t>
      </w:r>
      <w:r>
        <w:rPr>
          <w:b/>
          <w:bCs/>
          <w:sz w:val="19"/>
          <w:szCs w:val="19"/>
        </w:rPr>
        <w:t>a a kanadská vláda se dostala do váž</w:t>
      </w:r>
      <w:r>
        <w:rPr>
          <w:b/>
          <w:bCs/>
          <w:sz w:val="19"/>
          <w:szCs w:val="19"/>
        </w:rPr>
        <w:softHyphen/>
        <w:t>ných nesnází, které však nakonec řešila přece jenom s vyššího hlediska. Baťa povolení dostal a bude stavět první továrnu v Ontariu. Ukazuje se tedy, že události ne</w:t>
      </w:r>
      <w:r>
        <w:rPr>
          <w:b/>
          <w:bCs/>
          <w:sz w:val="19"/>
          <w:szCs w:val="19"/>
        </w:rPr>
        <w:softHyphen/>
        <w:t>zlomily životní sílu tohoto obrovského světového koncer</w:t>
      </w:r>
      <w:r>
        <w:rPr>
          <w:b/>
          <w:bCs/>
          <w:sz w:val="19"/>
          <w:szCs w:val="19"/>
        </w:rPr>
        <w:t>nu, který dnes má jedinečné jméno a znamenitou pověst jako největší továrna na obuv na celé zeměkoulí.</w:t>
      </w:r>
    </w:p>
    <w:p w:rsidR="00500724" w:rsidRDefault="00F30FB8">
      <w:pPr>
        <w:pStyle w:val="Zkladntext100"/>
        <w:shd w:val="clear" w:color="auto" w:fill="auto"/>
        <w:tabs>
          <w:tab w:val="left" w:pos="4702"/>
        </w:tabs>
        <w:spacing w:after="80" w:line="187" w:lineRule="auto"/>
        <w:ind w:firstLine="200"/>
        <w:rPr>
          <w:sz w:val="20"/>
          <w:szCs w:val="20"/>
        </w:rPr>
      </w:pPr>
      <w:r>
        <w:rPr>
          <w:b/>
          <w:bCs/>
          <w:sz w:val="19"/>
          <w:szCs w:val="19"/>
        </w:rPr>
        <w:t>V poslední době rozšiřuje Baťa své podnikáni i v Ce</w:t>
      </w:r>
      <w:r>
        <w:rPr>
          <w:b/>
          <w:bCs/>
          <w:sz w:val="19"/>
          <w:szCs w:val="19"/>
        </w:rPr>
        <w:softHyphen/>
        <w:t>chách. Koupil rozsáhlé pozemky u Zruče nad Sázavou, kde se již začíná stavět továrna na boty s obvykl</w:t>
      </w:r>
      <w:r>
        <w:rPr>
          <w:b/>
          <w:bCs/>
          <w:sz w:val="19"/>
          <w:szCs w:val="19"/>
        </w:rPr>
        <w:t>ými po- mocnými závody. Pro tuto chudou oblast bude továrna ovšem skutečně darem, který prospěje celému okolí. Dou</w:t>
      </w:r>
      <w:r>
        <w:rPr>
          <w:b/>
          <w:bCs/>
          <w:sz w:val="19"/>
          <w:szCs w:val="19"/>
        </w:rPr>
        <w:softHyphen/>
        <w:t>fejme, že pomůže také městu, položenému v romantických kopcovitých krajích, kde je dosti lesů, vody a přírodních krás, dosud však bohužel mál</w:t>
      </w:r>
      <w:r>
        <w:rPr>
          <w:b/>
          <w:bCs/>
          <w:sz w:val="19"/>
          <w:szCs w:val="19"/>
        </w:rPr>
        <w:t>o známých a zřídka navště</w:t>
      </w:r>
      <w:r>
        <w:rPr>
          <w:b/>
          <w:bCs/>
          <w:sz w:val="19"/>
          <w:szCs w:val="19"/>
        </w:rPr>
        <w:softHyphen/>
        <w:t>vovaných. Baťova továrna asi přispěje k tomu, aby i širší veřejnost se s tímto krajem zatím seznámila alespoň po</w:t>
      </w:r>
      <w:r>
        <w:rPr>
          <w:b/>
          <w:bCs/>
          <w:sz w:val="19"/>
          <w:szCs w:val="19"/>
        </w:rPr>
        <w:softHyphen/>
        <w:t>mocí Baťovy reklamy, a to snad povede ke zvýšení turis</w:t>
      </w:r>
      <w:r>
        <w:rPr>
          <w:b/>
          <w:bCs/>
          <w:sz w:val="19"/>
          <w:szCs w:val="19"/>
        </w:rPr>
        <w:softHyphen/>
        <w:t>tického ruchu.</w:t>
      </w:r>
      <w:r>
        <w:rPr>
          <w:b/>
          <w:bCs/>
          <w:sz w:val="19"/>
          <w:szCs w:val="19"/>
        </w:rPr>
        <w:tab/>
      </w:r>
      <w:r>
        <w:rPr>
          <w:b/>
          <w:bCs/>
          <w:i/>
          <w:iCs/>
          <w:sz w:val="20"/>
          <w:szCs w:val="20"/>
        </w:rPr>
        <w:t>Cia</w:t>
      </w:r>
    </w:p>
    <w:p w:rsidR="00500724" w:rsidRDefault="00F30FB8">
      <w:pPr>
        <w:pStyle w:val="Zkladntext30"/>
        <w:shd w:val="clear" w:color="auto" w:fill="auto"/>
        <w:spacing w:after="80" w:line="178" w:lineRule="auto"/>
        <w:ind w:firstLine="0"/>
        <w:jc w:val="center"/>
        <w:rPr>
          <w:sz w:val="20"/>
          <w:szCs w:val="20"/>
        </w:rPr>
      </w:pPr>
      <w:r>
        <w:rPr>
          <w:b/>
          <w:bCs/>
          <w:sz w:val="20"/>
          <w:szCs w:val="20"/>
        </w:rPr>
        <w:t>Mezinárodní politika Slováků</w:t>
      </w:r>
    </w:p>
    <w:p w:rsidR="00500724" w:rsidRDefault="00F30FB8">
      <w:pPr>
        <w:pStyle w:val="Zkladntext100"/>
        <w:shd w:val="clear" w:color="auto" w:fill="auto"/>
        <w:spacing w:after="80" w:line="187" w:lineRule="auto"/>
        <w:ind w:firstLine="200"/>
        <w:rPr>
          <w:sz w:val="19"/>
          <w:szCs w:val="19"/>
        </w:rPr>
      </w:pPr>
      <w:r>
        <w:rPr>
          <w:b/>
          <w:bCs/>
          <w:sz w:val="19"/>
          <w:szCs w:val="19"/>
        </w:rPr>
        <w:t>Projevy sloven</w:t>
      </w:r>
      <w:r>
        <w:rPr>
          <w:b/>
          <w:bCs/>
          <w:sz w:val="19"/>
          <w:szCs w:val="19"/>
        </w:rPr>
        <w:t>ského tisku a vedoucích osob, pokud se týkají poměru k ostatním národům, rychle se střídají a ment Od slov, hlásajících spolupráci v ovzduší klidu, přecházejí k nevrlým tónům i k ostrému nepřátelství. Tyto tři základní směrnice slovenské mezinárodni politi</w:t>
      </w:r>
      <w:r>
        <w:rPr>
          <w:b/>
          <w:bCs/>
          <w:sz w:val="19"/>
          <w:szCs w:val="19"/>
        </w:rPr>
        <w:t>ky hlavně vůči sousedům vidíme již od začátku Slovenského státu a vlastně již od vytvořeni autonomie v rámci bývalého Česko-Siovenska, kdy si Slováci už sami začali dělat vlastní mezinárodní poměr. Vídeňským rozsudkem okleštěné Slo</w:t>
      </w:r>
      <w:r>
        <w:rPr>
          <w:b/>
          <w:bCs/>
          <w:sz w:val="19"/>
          <w:szCs w:val="19"/>
        </w:rPr>
        <w:softHyphen/>
        <w:t>vensko mělo své prudké n</w:t>
      </w:r>
      <w:r>
        <w:rPr>
          <w:b/>
          <w:bCs/>
          <w:sz w:val="19"/>
          <w:szCs w:val="19"/>
        </w:rPr>
        <w:t>ámitky a projevy proti Maďarům. Ale v zápětí následovaly pokusy o uskutečnění shody. Tento poměr se rychle ochladil a vystřídalo jej údobí prudkých útoků a sporů, jež se v posledních týdnech znovu uklidnily. Také Poláci dostali od Slováků dost výčitek a ra</w:t>
      </w:r>
      <w:r>
        <w:rPr>
          <w:b/>
          <w:bCs/>
          <w:sz w:val="19"/>
          <w:szCs w:val="19"/>
        </w:rPr>
        <w:t>n pro Hla</w:t>
      </w:r>
      <w:r>
        <w:rPr>
          <w:b/>
          <w:bCs/>
          <w:sz w:val="19"/>
          <w:szCs w:val="19"/>
        </w:rPr>
        <w:softHyphen/>
        <w:t>dovku, Suchou horu a Javorinú. Potom nastoupilo úsilí o dobiý poměr k Polsku. Zakrátko bylo vystřídáno prudkým bojovým postojem proti Polsku. Vůči Francii a Anglii mělo Slovensko od počátku poměr ne právě přátelský. Toto sta</w:t>
      </w:r>
      <w:r>
        <w:rPr>
          <w:b/>
          <w:bCs/>
          <w:sz w:val="19"/>
          <w:szCs w:val="19"/>
        </w:rPr>
        <w:softHyphen/>
        <w:t>novisko bylo dáno hla</w:t>
      </w:r>
      <w:r>
        <w:rPr>
          <w:b/>
          <w:bCs/>
          <w:sz w:val="19"/>
          <w:szCs w:val="19"/>
        </w:rPr>
        <w:t>vně myšlenkovým podložením dneš</w:t>
      </w:r>
      <w:r>
        <w:rPr>
          <w:b/>
          <w:bCs/>
          <w:sz w:val="19"/>
          <w:szCs w:val="19"/>
        </w:rPr>
        <w:softHyphen/>
        <w:t>ních vedoucích osob Slovenska i poměrem Německa k zá</w:t>
      </w:r>
      <w:r>
        <w:rPr>
          <w:b/>
          <w:bCs/>
          <w:sz w:val="19"/>
          <w:szCs w:val="19"/>
        </w:rPr>
        <w:softHyphen/>
        <w:t>padním demokraciím. Když Anglie a Francie vstoupily do větší aktivity a na politickém nebi došlo k přeskupování evropských sil, stal se pokus hlavně ve slovenském tisku, a</w:t>
      </w:r>
      <w:r>
        <w:rPr>
          <w:b/>
          <w:bCs/>
          <w:sz w:val="19"/>
          <w:szCs w:val="19"/>
        </w:rPr>
        <w:t>by se hledala nová cesta ještě vedle německé orientace. Tento pokus skončil se radikálním obratem i čistkou. Že Slováci I potom hledají cestu k lepší orientaci na západní demokracie, toho ukázkou je obsah článku Jozefa Staško z Paříže, který vyšel ve Slová</w:t>
      </w:r>
      <w:r>
        <w:rPr>
          <w:b/>
          <w:bCs/>
          <w:sz w:val="19"/>
          <w:szCs w:val="19"/>
        </w:rPr>
        <w:t>ku 29. června. Podobně jako k jiným národům, máji Slováci neustále měniči se poměr 1 k nám Čechům. Byla to zprvu protičeská nenávist, potom snaha rozpory zmírnit, opět protičeská vlna, vystřídaná na chvíli i nám líbivými hlasy, které hledaly cesty ke spolu</w:t>
      </w:r>
      <w:r>
        <w:rPr>
          <w:b/>
          <w:bCs/>
          <w:sz w:val="19"/>
          <w:szCs w:val="19"/>
        </w:rPr>
        <w:softHyphen/>
        <w:t xml:space="preserve">práci a potom následoval zase nevrlý postoj k Čechům. Měli jsme i projevy vedoucích slovenských lidí, které </w:t>
      </w:r>
      <w:r>
        <w:rPr>
          <w:b/>
          <w:bCs/>
          <w:sz w:val="19"/>
          <w:szCs w:val="19"/>
          <w:lang w:val="en-US" w:eastAsia="en-US" w:bidi="en-US"/>
        </w:rPr>
        <w:t xml:space="preserve">so </w:t>
      </w:r>
      <w:r>
        <w:rPr>
          <w:b/>
          <w:bCs/>
          <w:sz w:val="19"/>
          <w:szCs w:val="19"/>
        </w:rPr>
        <w:t>zabývaly vytvořením lepšího ovzduší mezi Slováky a Čechy, jež byly v některých místech až nápadně smířlivé. Na české straně ty hlasy nenalezly p</w:t>
      </w:r>
      <w:r>
        <w:rPr>
          <w:b/>
          <w:bCs/>
          <w:sz w:val="19"/>
          <w:szCs w:val="19"/>
        </w:rPr>
        <w:t>o zásluze žádnou ozvěnu, ačko</w:t>
      </w:r>
      <w:r>
        <w:rPr>
          <w:b/>
          <w:bCs/>
          <w:sz w:val="19"/>
          <w:szCs w:val="19"/>
        </w:rPr>
        <w:softHyphen/>
        <w:t>liv každý vidí jasně, že by bylo zapotřebí i na nových zákla</w:t>
      </w:r>
      <w:r>
        <w:rPr>
          <w:b/>
          <w:bCs/>
          <w:sz w:val="19"/>
          <w:szCs w:val="19"/>
        </w:rPr>
        <w:softHyphen/>
        <w:t>dech vytvořit lepší poměr mezi Slováky a Čechy. Takto se střídavě mění postoj Slováků k ostatním národům, pokud jde o slovenský tisk a projevy vedoucích osob. Ty čin</w:t>
      </w:r>
      <w:r>
        <w:rPr>
          <w:b/>
          <w:bCs/>
          <w:sz w:val="19"/>
          <w:szCs w:val="19"/>
        </w:rPr>
        <w:t>ně zasahují a přímo určují směr veřejného mínění. Mění se takto rychle a střídají názory i vztahy v poměru k jiným národům také u slovenského lidu? Sotva. V mezinárodním poměru Slováků jo něco nevyrovnaného. V jejich politických projevech nalézáme odraz ud</w:t>
      </w:r>
      <w:r>
        <w:rPr>
          <w:b/>
          <w:bCs/>
          <w:sz w:val="19"/>
          <w:szCs w:val="19"/>
        </w:rPr>
        <w:t>álosti mezi velikými národy, hospodářské zájmy i citové podbarveni, které rychle vzpla</w:t>
      </w:r>
      <w:r>
        <w:rPr>
          <w:b/>
          <w:bCs/>
          <w:sz w:val="19"/>
          <w:szCs w:val="19"/>
        </w:rPr>
        <w:softHyphen/>
        <w:t>ne, pohasne a potom zas© vznikne jinde. Mimo vztahy k ně</w:t>
      </w:r>
      <w:r>
        <w:rPr>
          <w:b/>
          <w:bCs/>
          <w:sz w:val="19"/>
          <w:szCs w:val="19"/>
        </w:rPr>
        <w:softHyphen/>
        <w:t xml:space="preserve">mecké řiši, které jsou naprosto jednoznačné a nepodléhají změnám, i když </w:t>
      </w:r>
      <w:r>
        <w:rPr>
          <w:b/>
          <w:bCs/>
          <w:sz w:val="19"/>
          <w:szCs w:val="19"/>
          <w:lang w:val="en-US" w:eastAsia="en-US" w:bidi="en-US"/>
        </w:rPr>
        <w:t xml:space="preserve">by so </w:t>
      </w:r>
      <w:r>
        <w:rPr>
          <w:b/>
          <w:bCs/>
          <w:sz w:val="19"/>
          <w:szCs w:val="19"/>
        </w:rPr>
        <w:t>to některým zdálo být se slovensk</w:t>
      </w:r>
      <w:r>
        <w:rPr>
          <w:b/>
          <w:bCs/>
          <w:sz w:val="19"/>
          <w:szCs w:val="19"/>
        </w:rPr>
        <w:t>ého</w:t>
      </w:r>
    </w:p>
    <w:p w:rsidR="00500724" w:rsidRDefault="00F30FB8">
      <w:pPr>
        <w:pStyle w:val="Zkladntext100"/>
        <w:shd w:val="clear" w:color="auto" w:fill="auto"/>
        <w:tabs>
          <w:tab w:val="left" w:pos="3653"/>
        </w:tabs>
        <w:spacing w:after="120" w:line="190" w:lineRule="auto"/>
        <w:ind w:firstLine="0"/>
        <w:rPr>
          <w:sz w:val="19"/>
          <w:szCs w:val="19"/>
        </w:rPr>
      </w:pPr>
      <w:r>
        <w:rPr>
          <w:b/>
          <w:bCs/>
          <w:sz w:val="19"/>
          <w:szCs w:val="19"/>
        </w:rPr>
        <w:t>stanoviska někdy žádoucí, Je poměr k ostatním a hlavně sousedním národům dosud bez pevné linie. A pozorujeme, že tehdy, když Slováci jsou v křížku s jedním, ukazují se vlídnými jiným. Také jedná-li se o hospodářské věci, dove</w:t>
      </w:r>
      <w:r>
        <w:rPr>
          <w:b/>
          <w:bCs/>
          <w:sz w:val="19"/>
          <w:szCs w:val="19"/>
        </w:rPr>
        <w:softHyphen/>
        <w:t>dou vo svůj prospěch zladi</w:t>
      </w:r>
      <w:r>
        <w:rPr>
          <w:b/>
          <w:bCs/>
          <w:sz w:val="19"/>
          <w:szCs w:val="19"/>
        </w:rPr>
        <w:t>t i své politické projevy. Aby v obou případech zakrátko přeskočili a svůj vztah změnili. Snad to má být to politické uměni, kterým chtějí svou státní loďku provést všemi úskalími, aby ji opravdu zachovali V současných rozbouřených dobách.</w:t>
      </w:r>
      <w:r>
        <w:rPr>
          <w:b/>
          <w:bCs/>
          <w:sz w:val="19"/>
          <w:szCs w:val="19"/>
        </w:rPr>
        <w:tab/>
      </w:r>
      <w:r>
        <w:rPr>
          <w:b/>
          <w:bCs/>
          <w:i/>
          <w:iCs/>
          <w:sz w:val="19"/>
          <w:szCs w:val="19"/>
        </w:rPr>
        <w:t>Arnošt Pospíšil</w:t>
      </w:r>
    </w:p>
    <w:p w:rsidR="00500724" w:rsidRDefault="00F30FB8">
      <w:pPr>
        <w:pStyle w:val="Zkladntext30"/>
        <w:shd w:val="clear" w:color="auto" w:fill="auto"/>
        <w:spacing w:after="120" w:line="178" w:lineRule="auto"/>
        <w:ind w:firstLine="0"/>
        <w:jc w:val="center"/>
        <w:rPr>
          <w:sz w:val="20"/>
          <w:szCs w:val="20"/>
        </w:rPr>
      </w:pPr>
      <w:r>
        <w:rPr>
          <w:b/>
          <w:bCs/>
          <w:sz w:val="20"/>
          <w:szCs w:val="20"/>
        </w:rPr>
        <w:t>Intelektuálové</w:t>
      </w:r>
    </w:p>
    <w:p w:rsidR="00500724" w:rsidRDefault="00F30FB8">
      <w:pPr>
        <w:pStyle w:val="Zkladntext100"/>
        <w:shd w:val="clear" w:color="auto" w:fill="auto"/>
        <w:spacing w:after="60" w:line="187" w:lineRule="auto"/>
        <w:ind w:left="520" w:firstLine="220"/>
        <w:rPr>
          <w:sz w:val="19"/>
          <w:szCs w:val="19"/>
        </w:rPr>
      </w:pPr>
      <w:r>
        <w:rPr>
          <w:b/>
          <w:bCs/>
          <w:sz w:val="19"/>
          <w:szCs w:val="19"/>
        </w:rPr>
        <w:t>^Tolikrát jsme měli příležitost přesvědčovat! o tom, že jednotlivci, kteří sí myslí, že jsou intelek</w:t>
      </w:r>
      <w:r>
        <w:rPr>
          <w:b/>
          <w:bCs/>
          <w:sz w:val="19"/>
          <w:szCs w:val="19"/>
        </w:rPr>
        <w:softHyphen/>
        <w:t>tuály, nebo za intelektuály se vydávají, jsou vesměs lidmi nepraktickými, kteří nejsou schopní střízlivá odhadovat! dané možnosti, ale naopa</w:t>
      </w:r>
      <w:r>
        <w:rPr>
          <w:b/>
          <w:bCs/>
          <w:sz w:val="19"/>
          <w:szCs w:val="19"/>
        </w:rPr>
        <w:t>k, všechno své počínáni zařizují pravidelně jen podle vlastního, jednostranného názoru. A poněvadž tak tomu sku</w:t>
      </w:r>
      <w:r>
        <w:rPr>
          <w:b/>
          <w:bCs/>
          <w:sz w:val="19"/>
          <w:szCs w:val="19"/>
        </w:rPr>
        <w:softHyphen/>
        <w:t xml:space="preserve">tečně je, neviděli jsme ještě, že mezi intelektuály byla by možná harmonická spolupráce anebo, ža mezi nimi mohli bychom hledat osobnost, která </w:t>
      </w:r>
      <w:r>
        <w:rPr>
          <w:b/>
          <w:bCs/>
          <w:sz w:val="19"/>
          <w:szCs w:val="19"/>
        </w:rPr>
        <w:t>by mohla nejen tvořit, nýbrž i vést. Když jste pozoro</w:t>
      </w:r>
      <w:r>
        <w:rPr>
          <w:b/>
          <w:bCs/>
          <w:sz w:val="19"/>
          <w:szCs w:val="19"/>
        </w:rPr>
        <w:softHyphen/>
        <w:t>vali, ať již za jakýchkoli okolností, společnost inte</w:t>
      </w:r>
      <w:r>
        <w:rPr>
          <w:b/>
          <w:bCs/>
          <w:sz w:val="19"/>
          <w:szCs w:val="19"/>
        </w:rPr>
        <w:softHyphen/>
        <w:t>lektuálů, tedy jste viděli, že tato společnost se utá</w:t>
      </w:r>
      <w:r>
        <w:rPr>
          <w:b/>
          <w:bCs/>
          <w:sz w:val="19"/>
          <w:szCs w:val="19"/>
        </w:rPr>
        <w:softHyphen/>
        <w:t>pěla v neplodných a nudných debatách, aby nakonec jeden intelektuál o druhém se nevalně vyslov</w:t>
      </w:r>
      <w:r>
        <w:rPr>
          <w:b/>
          <w:bCs/>
          <w:sz w:val="19"/>
          <w:szCs w:val="19"/>
        </w:rPr>
        <w:t>oval- Když, ať již kamkoliv jste postavili tak zvaného intelektuála a svěřil jste mu vedeni, záhy jste se přesvědčili, že to s nimi nejde. Nesčetné jsou o tom odklady z naší samosprávy a mnoho by se mohlo mluvit o zkušenostech ze starého parlamentu. Prá</w:t>
      </w:r>
      <w:r>
        <w:rPr>
          <w:b/>
          <w:bCs/>
          <w:sz w:val="19"/>
          <w:szCs w:val="19"/>
        </w:rPr>
        <w:softHyphen/>
        <w:t>vě</w:t>
      </w:r>
      <w:r>
        <w:rPr>
          <w:b/>
          <w:bCs/>
          <w:sz w:val="19"/>
          <w:szCs w:val="19"/>
        </w:rPr>
        <w:t xml:space="preserve"> v parlamentě a nejednou se ukázalo, jak smutná nepraktický a přímo nemožný je intelektuál, který až do chvíle, než měl začít ukázat, co prakticky umí, si nesl pečeť vynikajícího jedince.«</w:t>
      </w:r>
    </w:p>
    <w:p w:rsidR="00500724" w:rsidRDefault="00F30FB8">
      <w:pPr>
        <w:pStyle w:val="Zkladntext100"/>
        <w:shd w:val="clear" w:color="auto" w:fill="auto"/>
        <w:spacing w:after="60" w:line="187" w:lineRule="auto"/>
        <w:ind w:firstLine="240"/>
        <w:rPr>
          <w:sz w:val="19"/>
          <w:szCs w:val="19"/>
        </w:rPr>
      </w:pPr>
      <w:r>
        <w:rPr>
          <w:b/>
          <w:bCs/>
          <w:sz w:val="19"/>
          <w:szCs w:val="19"/>
        </w:rPr>
        <w:t>To Jo citát z listu Národního souručenství »Národnl Střede. Jsou to</w:t>
      </w:r>
      <w:r>
        <w:rPr>
          <w:b/>
          <w:bCs/>
          <w:sz w:val="19"/>
          <w:szCs w:val="19"/>
        </w:rPr>
        <w:t xml:space="preserve"> slova, s kterými sotva budou souhlasiti Intelektuálové v Národním souručenství. Je možno ovšem říci: odsuzováni jsou tu jen ti tak zvaní intelektuálové, nikoli skuteční intelektuálové. Ale v celém článku není jas</w:t>
      </w:r>
      <w:r>
        <w:rPr>
          <w:b/>
          <w:bCs/>
          <w:sz w:val="19"/>
          <w:szCs w:val="19"/>
        </w:rPr>
        <w:softHyphen/>
        <w:t>ně vysvětleno, koho nutno rozumět pod pojm</w:t>
      </w:r>
      <w:r>
        <w:rPr>
          <w:b/>
          <w:bCs/>
          <w:sz w:val="19"/>
          <w:szCs w:val="19"/>
        </w:rPr>
        <w:t>em intelek</w:t>
      </w:r>
      <w:r>
        <w:rPr>
          <w:b/>
          <w:bCs/>
          <w:sz w:val="19"/>
          <w:szCs w:val="19"/>
        </w:rPr>
        <w:softHyphen/>
        <w:t>tuála a kdo je tim tak zvaným intelektuálem.</w:t>
      </w:r>
    </w:p>
    <w:p w:rsidR="00500724" w:rsidRDefault="00F30FB8">
      <w:pPr>
        <w:pStyle w:val="Zkladntext100"/>
        <w:shd w:val="clear" w:color="auto" w:fill="auto"/>
        <w:spacing w:after="60" w:line="187" w:lineRule="auto"/>
        <w:ind w:firstLine="240"/>
        <w:rPr>
          <w:sz w:val="19"/>
          <w:szCs w:val="19"/>
        </w:rPr>
      </w:pPr>
      <w:r>
        <w:rPr>
          <w:b/>
          <w:bCs/>
          <w:sz w:val="19"/>
          <w:szCs w:val="19"/>
        </w:rPr>
        <w:t>Intelektuálové (— i když nejsou počtem tak silní, jako jiné sociální vrstvy národní —) jistě mohou býti kritiso</w:t>
      </w:r>
      <w:r>
        <w:rPr>
          <w:b/>
          <w:bCs/>
          <w:sz w:val="19"/>
          <w:szCs w:val="19"/>
        </w:rPr>
        <w:softHyphen/>
        <w:t>váni. Nikdo není bez chyb. Ale malí právo také na to, aby nebyli paušálně souzeni a odsu</w:t>
      </w:r>
      <w:r>
        <w:rPr>
          <w:b/>
          <w:bCs/>
          <w:sz w:val="19"/>
          <w:szCs w:val="19"/>
        </w:rPr>
        <w:t>zováni. Tak to dělalo staré, často malicherné stranictví. Na schůzích se bouřilo proti intelektuálům a přes to jim byly svěřovány velmi důležité úkoly. Každý z nás potřebuje lékaře; naše děti potřebují učitele a profesory; doprava, průmysl a obchod potřebu</w:t>
      </w:r>
      <w:r>
        <w:rPr>
          <w:b/>
          <w:bCs/>
          <w:sz w:val="19"/>
          <w:szCs w:val="19"/>
        </w:rPr>
        <w:t>ji inženýry, chemiky, komerční inženýry, advokáty. K stavbě domů, měst, mostů je potřebí intelektuálů. Noviny nedělají dnes lidé, kteří přišli z dílen a živnosti. Dělají jo intelek</w:t>
      </w:r>
      <w:r>
        <w:rPr>
          <w:b/>
          <w:bCs/>
          <w:sz w:val="19"/>
          <w:szCs w:val="19"/>
        </w:rPr>
        <w:softHyphen/>
        <w:t>tuálové. I tu platí: odříkaného chleba největší krajíc. Kdoi byl kvasem nár</w:t>
      </w:r>
      <w:r>
        <w:rPr>
          <w:b/>
          <w:bCs/>
          <w:sz w:val="19"/>
          <w:szCs w:val="19"/>
        </w:rPr>
        <w:t>odního probuzení? Vesničtí učitelé, faráři, studenti, inteligence. Dnes bychom řekli intelektuálové. Kdo psal české knihy, českou hudbu? I ty bychom musili zahrnou ti pod úhrnný novodobý pojem: intelektuálové. Velmi často se stane, že intelektuál ve svém o</w:t>
      </w:r>
      <w:r>
        <w:rPr>
          <w:b/>
          <w:bCs/>
          <w:sz w:val="19"/>
          <w:szCs w:val="19"/>
        </w:rPr>
        <w:t>boru je vy</w:t>
      </w:r>
      <w:r>
        <w:rPr>
          <w:b/>
          <w:bCs/>
          <w:sz w:val="19"/>
          <w:szCs w:val="19"/>
        </w:rPr>
        <w:softHyphen/>
        <w:t>nikajícím odborníkem, al© jeho odbornictvi je úzké, bez skutečného vztahu k© skutečnému životu. V Jeho oboru mu to nevadí. Od lékaře žádáme, aby dobře léčil, od inženýra, aby dobře ovládal svůj obor, od obchodníka, aby dobře prodával. Ale je bez</w:t>
      </w:r>
      <w:r>
        <w:rPr>
          <w:b/>
          <w:bCs/>
          <w:sz w:val="19"/>
          <w:szCs w:val="19"/>
        </w:rPr>
        <w:t>počet intelektuálů, kteří vynikli 1 v© veřejném životě. Snad někteří nesplnili na nůdě parlamentu naděje, do nich kladené. Ale to nemůže daleko býti důvot- dem, aby se psalo o selhání intelektuálů na tomto poli.</w:t>
      </w:r>
    </w:p>
    <w:p w:rsidR="00500724" w:rsidRDefault="00F30FB8">
      <w:pPr>
        <w:pStyle w:val="Zkladntext100"/>
        <w:framePr w:h="259" w:hSpace="180" w:vSpace="20" w:wrap="notBeside" w:hAnchor="page" w:x="10658" w:y="14915"/>
        <w:shd w:val="clear" w:color="auto" w:fill="auto"/>
        <w:spacing w:line="240" w:lineRule="auto"/>
        <w:ind w:firstLine="0"/>
        <w:jc w:val="left"/>
        <w:rPr>
          <w:sz w:val="19"/>
          <w:szCs w:val="19"/>
        </w:rPr>
      </w:pPr>
      <w:r>
        <w:rPr>
          <w:b/>
          <w:bCs/>
          <w:i/>
          <w:iCs/>
          <w:sz w:val="19"/>
          <w:szCs w:val="19"/>
        </w:rPr>
        <w:t>4*3</w:t>
      </w:r>
    </w:p>
    <w:p w:rsidR="00500724" w:rsidRDefault="00F30FB8">
      <w:pPr>
        <w:pStyle w:val="Zkladntext100"/>
        <w:shd w:val="clear" w:color="auto" w:fill="auto"/>
        <w:spacing w:line="187" w:lineRule="auto"/>
        <w:ind w:firstLine="240"/>
        <w:rPr>
          <w:sz w:val="19"/>
          <w:szCs w:val="19"/>
        </w:rPr>
      </w:pPr>
      <w:r>
        <w:rPr>
          <w:b/>
          <w:bCs/>
          <w:sz w:val="19"/>
          <w:szCs w:val="19"/>
        </w:rPr>
        <w:t xml:space="preserve">Inteligence je sociální skupina, jejíž </w:t>
      </w:r>
      <w:r>
        <w:rPr>
          <w:b/>
          <w:bCs/>
          <w:sz w:val="19"/>
          <w:szCs w:val="19"/>
        </w:rPr>
        <w:t>přesné vymezeni a definování samo by stačilo na (ne právě) snadnou kníž</w:t>
      </w:r>
      <w:r>
        <w:rPr>
          <w:b/>
          <w:bCs/>
          <w:sz w:val="19"/>
          <w:szCs w:val="19"/>
        </w:rPr>
        <w:softHyphen/>
        <w:t>ku. Léta se píše o krisi inteligence. Inteligence má řadu svých bolesti, potíží. Právě skuteěnost, že se tolik psalo o krisi inteligence, svědčí o významu této skupiny národní společno</w:t>
      </w:r>
      <w:r>
        <w:rPr>
          <w:b/>
          <w:bCs/>
          <w:sz w:val="19"/>
          <w:szCs w:val="19"/>
        </w:rPr>
        <w:t xml:space="preserve">sti. Byla-li v dřívějších politických stranách nechuť proti inteligenci, proti intelektuálům, nebyla vlna </w:t>
      </w:r>
      <w:r>
        <w:rPr>
          <w:b/>
          <w:bCs/>
          <w:i/>
          <w:iCs/>
          <w:sz w:val="19"/>
          <w:szCs w:val="19"/>
        </w:rPr>
        <w:t>na</w:t>
      </w:r>
      <w:r>
        <w:rPr>
          <w:b/>
          <w:bCs/>
          <w:sz w:val="19"/>
          <w:szCs w:val="19"/>
        </w:rPr>
        <w:t xml:space="preserve"> inte</w:t>
      </w:r>
      <w:r>
        <w:rPr>
          <w:b/>
          <w:bCs/>
          <w:sz w:val="19"/>
          <w:szCs w:val="19"/>
        </w:rPr>
        <w:softHyphen/>
        <w:t>lektuálech, kterým se to čl ono v straně — a právem —* nelíbilo. Protiintelektuálské články obyčejně psali lidé, kteři nebyli ani dělníky, ani</w:t>
      </w:r>
      <w:r>
        <w:rPr>
          <w:b/>
          <w:bCs/>
          <w:sz w:val="19"/>
          <w:szCs w:val="19"/>
        </w:rPr>
        <w:t xml:space="preserve"> skutečnými zemědělci neboi živnostníky. Nemusíme však pomlouvat to, co je za námi. Naopak: ptejme se: byl by možný tak velký duchovni, hos</w:t>
      </w:r>
      <w:r>
        <w:rPr>
          <w:b/>
          <w:bCs/>
          <w:sz w:val="19"/>
          <w:szCs w:val="19"/>
        </w:rPr>
        <w:softHyphen/>
        <w:t>podářský, sociální rozvoj našeho národa, kdyby naše inte</w:t>
      </w:r>
      <w:r>
        <w:rPr>
          <w:b/>
          <w:bCs/>
          <w:sz w:val="19"/>
          <w:szCs w:val="19"/>
        </w:rPr>
        <w:softHyphen/>
        <w:t xml:space="preserve">ligence se </w:t>
      </w:r>
      <w:r>
        <w:rPr>
          <w:sz w:val="19"/>
          <w:szCs w:val="19"/>
          <w:u w:val="single"/>
        </w:rPr>
        <w:t>Skláda</w:t>
      </w:r>
      <w:r>
        <w:rPr>
          <w:sz w:val="19"/>
          <w:szCs w:val="19"/>
        </w:rPr>
        <w:t xml:space="preserve">la </w:t>
      </w:r>
      <w:r>
        <w:rPr>
          <w:b/>
          <w:bCs/>
          <w:sz w:val="19"/>
          <w:szCs w:val="19"/>
        </w:rPr>
        <w:t>jen z lidí nepraktických, z lidí bez os</w:t>
      </w:r>
      <w:r>
        <w:rPr>
          <w:b/>
          <w:bCs/>
          <w:sz w:val="19"/>
          <w:szCs w:val="19"/>
        </w:rPr>
        <w:t>ob</w:t>
      </w:r>
      <w:r>
        <w:rPr>
          <w:b/>
          <w:bCs/>
          <w:sz w:val="19"/>
          <w:szCs w:val="19"/>
        </w:rPr>
        <w:softHyphen/>
        <w:t>nosti, z lidí utápějících se v nudných debatách, z lidí, kteří všude dokazovali, že to s nimi nejde.</w:t>
      </w:r>
    </w:p>
    <w:p w:rsidR="00500724" w:rsidRDefault="00F30FB8">
      <w:pPr>
        <w:pStyle w:val="Zkladntext100"/>
        <w:shd w:val="clear" w:color="auto" w:fill="auto"/>
        <w:spacing w:after="100" w:line="187" w:lineRule="auto"/>
        <w:ind w:firstLine="240"/>
        <w:rPr>
          <w:sz w:val="20"/>
          <w:szCs w:val="20"/>
        </w:rPr>
      </w:pPr>
      <w:r>
        <w:rPr>
          <w:b/>
          <w:bCs/>
          <w:sz w:val="19"/>
          <w:szCs w:val="19"/>
        </w:rPr>
        <w:t xml:space="preserve">Takovýto obraz našich, českých intelektuálů byl by jistě nesprávný a nespravedlivý. Všude jsou plevy mezi zrním. Mezi dělníky, zemědělci i živnostníky. </w:t>
      </w:r>
      <w:r>
        <w:rPr>
          <w:b/>
          <w:bCs/>
          <w:sz w:val="19"/>
          <w:szCs w:val="19"/>
        </w:rPr>
        <w:t>Proto i mezi intelek</w:t>
      </w:r>
      <w:r>
        <w:rPr>
          <w:b/>
          <w:bCs/>
          <w:sz w:val="19"/>
          <w:szCs w:val="19"/>
        </w:rPr>
        <w:softHyphen/>
        <w:t>tuály. Ale nelze paušálně kritisovati lékaře v nemocnicích, techniky v továrnách, úředníky, profesory, učitele, novinář ře, spisovatele a všechny ty skupiny, které dohromady tvor ří skupinu talt zvaných intelektuálů. Intelektuál, vynik</w:t>
      </w:r>
      <w:r>
        <w:rPr>
          <w:b/>
          <w:bCs/>
          <w:sz w:val="19"/>
          <w:szCs w:val="19"/>
        </w:rPr>
        <w:t>ající ve svém oboru, nemusí se osvědčiti ve veřejném životě; ale totéž platí o dělníkovi, zemědělci a živnostníkovi, který ve svém povolání je na místě. Ale to nemůže býti důvo</w:t>
      </w:r>
      <w:r>
        <w:rPr>
          <w:b/>
          <w:bCs/>
          <w:sz w:val="19"/>
          <w:szCs w:val="19"/>
        </w:rPr>
        <w:softHyphen/>
        <w:t>dem k nějaké zaujatosti proti intelektuálům. Jsou podstat</w:t>
      </w:r>
      <w:r>
        <w:rPr>
          <w:b/>
          <w:bCs/>
          <w:sz w:val="19"/>
          <w:szCs w:val="19"/>
        </w:rPr>
        <w:softHyphen/>
        <w:t>nou složkou národního</w:t>
      </w:r>
      <w:r>
        <w:rPr>
          <w:b/>
          <w:bCs/>
          <w:sz w:val="19"/>
          <w:szCs w:val="19"/>
        </w:rPr>
        <w:t xml:space="preserve"> života. Mají právo, aby jejich prá</w:t>
      </w:r>
      <w:r>
        <w:rPr>
          <w:b/>
          <w:bCs/>
          <w:sz w:val="19"/>
          <w:szCs w:val="19"/>
        </w:rPr>
        <w:softHyphen/>
        <w:t>ce bylá uznávána, je právem druhých, aby soudili jejich chyby. Nikdo však nemá práva apriori odsuzovali intelek</w:t>
      </w:r>
      <w:r>
        <w:rPr>
          <w:b/>
          <w:bCs/>
          <w:sz w:val="19"/>
          <w:szCs w:val="19"/>
        </w:rPr>
        <w:softHyphen/>
        <w:t>tuály. To by znamenalo zavádět uové rozdíly v národní pospolitosti, které je dnes toiik třeba a v niž duchov</w:t>
      </w:r>
      <w:r>
        <w:rPr>
          <w:b/>
          <w:bCs/>
          <w:sz w:val="19"/>
          <w:szCs w:val="19"/>
        </w:rPr>
        <w:t>ní prá</w:t>
      </w:r>
      <w:r>
        <w:rPr>
          <w:b/>
          <w:bCs/>
          <w:sz w:val="19"/>
          <w:szCs w:val="19"/>
        </w:rPr>
        <w:softHyphen/>
        <w:t xml:space="preserve">ce je dnes potřebnější </w:t>
      </w:r>
      <w:r>
        <w:rPr>
          <w:b/>
          <w:bCs/>
          <w:sz w:val="19"/>
          <w:szCs w:val="19"/>
          <w:lang w:val="en-US" w:eastAsia="en-US" w:bidi="en-US"/>
        </w:rPr>
        <w:t xml:space="preserve">vice </w:t>
      </w:r>
      <w:r>
        <w:rPr>
          <w:b/>
          <w:bCs/>
          <w:sz w:val="19"/>
          <w:szCs w:val="19"/>
        </w:rPr>
        <w:t xml:space="preserve">než kdy jindy. </w:t>
      </w:r>
      <w:r>
        <w:rPr>
          <w:i/>
          <w:iCs/>
          <w:sz w:val="20"/>
          <w:szCs w:val="20"/>
        </w:rPr>
        <w:t>V. Gutwirth</w:t>
      </w:r>
    </w:p>
    <w:p w:rsidR="00500724" w:rsidRDefault="00F30FB8">
      <w:pPr>
        <w:pStyle w:val="Zkladntext30"/>
        <w:shd w:val="clear" w:color="auto" w:fill="auto"/>
        <w:spacing w:after="100" w:line="178" w:lineRule="auto"/>
        <w:ind w:firstLine="0"/>
        <w:jc w:val="center"/>
        <w:rPr>
          <w:sz w:val="20"/>
          <w:szCs w:val="20"/>
        </w:rPr>
      </w:pPr>
      <w:r>
        <w:rPr>
          <w:b/>
          <w:bCs/>
          <w:sz w:val="20"/>
          <w:szCs w:val="20"/>
        </w:rPr>
        <w:t>Budovat a udržet</w:t>
      </w:r>
    </w:p>
    <w:p w:rsidR="00500724" w:rsidRDefault="00F30FB8">
      <w:pPr>
        <w:pStyle w:val="Zkladntext100"/>
        <w:shd w:val="clear" w:color="auto" w:fill="auto"/>
        <w:tabs>
          <w:tab w:val="left" w:pos="4522"/>
        </w:tabs>
        <w:spacing w:after="380" w:line="187" w:lineRule="auto"/>
        <w:ind w:firstLine="300"/>
        <w:rPr>
          <w:sz w:val="20"/>
          <w:szCs w:val="20"/>
        </w:rPr>
      </w:pPr>
      <w:r>
        <w:rPr>
          <w:b/>
          <w:bCs/>
          <w:sz w:val="19"/>
          <w:szCs w:val="19"/>
        </w:rPr>
        <w:t>Projdeme-li ve vzpomínkách Prahou, uvědomíme si, co zmizelo obchodů a podniků, které ještě po válce svými vý</w:t>
      </w:r>
      <w:r>
        <w:rPr>
          <w:b/>
          <w:bCs/>
          <w:sz w:val="19"/>
          <w:szCs w:val="19"/>
        </w:rPr>
        <w:softHyphen/>
        <w:t>klady a hlavně svým jménem, daleko mimo Prahu, šířily známost Prahy.</w:t>
      </w:r>
      <w:r>
        <w:rPr>
          <w:b/>
          <w:bCs/>
          <w:sz w:val="19"/>
          <w:szCs w:val="19"/>
        </w:rPr>
        <w:t xml:space="preserve"> Praha nežije jen svou minulostí: žila a žije svým denním životem, svými obchody. Mnohé z nich už zmizely. Pohubila je nedávná hospodářská krise? Ne. Mnohé z nich již zanikly před krisi. Jiným jen krise zkrátila život, kterého měly již na mále. Příčina? Ne</w:t>
      </w:r>
      <w:r>
        <w:rPr>
          <w:b/>
          <w:bCs/>
          <w:sz w:val="19"/>
          <w:szCs w:val="19"/>
        </w:rPr>
        <w:t xml:space="preserve">vydržel tu rod ve dvou, třech generací. Děd založil podnik. Z příručího, který strádal, se stal obchodník, podnikatel: ten zase šetřil krejcar ke krejcaru. Předal svůj rozšířený a už zavedený závod synovi. Ten podnik ještě více rozšířit Na sklonku nastává </w:t>
      </w:r>
      <w:r>
        <w:rPr>
          <w:b/>
          <w:bCs/>
          <w:sz w:val="19"/>
          <w:szCs w:val="19"/>
        </w:rPr>
        <w:t>již únava, ustrnutí. Přichází 'třetí generace: s ní podnilf, který mnoho znamenal a který by! zaveden, odumí</w:t>
      </w:r>
      <w:r>
        <w:rPr>
          <w:b/>
          <w:bCs/>
          <w:sz w:val="19"/>
          <w:szCs w:val="19"/>
        </w:rPr>
        <w:softHyphen/>
        <w:t>rá. Zakladatelům byl podnik smyslem jejich života, žili jen pro něj. Byli tvrdí na své okolí. Sami prošli celou tvrdostí života. Byla v nich tvrdá,</w:t>
      </w:r>
      <w:r>
        <w:rPr>
          <w:b/>
          <w:bCs/>
          <w:sz w:val="19"/>
          <w:szCs w:val="19"/>
        </w:rPr>
        <w:t xml:space="preserve"> pevná spravedlnost. Pro třetí ge</w:t>
      </w:r>
      <w:r>
        <w:rPr>
          <w:b/>
          <w:bCs/>
          <w:sz w:val="19"/>
          <w:szCs w:val="19"/>
        </w:rPr>
        <w:softHyphen/>
        <w:t>neraci je podnik jen prostředkem k životu. Příliš touží po životě, příliš přeceňují zrak ^zavedené firmy«. Na čas se podnik ještě setrvačností drží. Posléze zmizí. Založit velký podnik, to je práce a odříkání. Ale ještě ví</w:t>
      </w:r>
      <w:r>
        <w:rPr>
          <w:b/>
          <w:bCs/>
          <w:sz w:val="19"/>
          <w:szCs w:val="19"/>
        </w:rPr>
        <w:t>ce znamená pod</w:t>
      </w:r>
      <w:r>
        <w:rPr>
          <w:b/>
          <w:bCs/>
          <w:sz w:val="19"/>
          <w:szCs w:val="19"/>
        </w:rPr>
        <w:softHyphen/>
        <w:t>nik udržet v několika generacích. To je odpovědnost sta</w:t>
      </w:r>
      <w:r>
        <w:rPr>
          <w:b/>
          <w:bCs/>
          <w:sz w:val="19"/>
          <w:szCs w:val="19"/>
        </w:rPr>
        <w:softHyphen/>
        <w:t>rých: věstí, a vychovat mladé. A povinnost mladých: udržet a rozmnožit svým způsobem to, co převzali.</w:t>
      </w:r>
      <w:r>
        <w:rPr>
          <w:b/>
          <w:bCs/>
          <w:sz w:val="19"/>
          <w:szCs w:val="19"/>
        </w:rPr>
        <w:tab/>
      </w:r>
      <w:r>
        <w:rPr>
          <w:i/>
          <w:iCs/>
          <w:sz w:val="20"/>
          <w:szCs w:val="20"/>
        </w:rPr>
        <w:t>V. G.</w:t>
      </w:r>
    </w:p>
    <w:p w:rsidR="00500724" w:rsidRDefault="00F30FB8">
      <w:pPr>
        <w:pStyle w:val="Nadpis90"/>
        <w:keepNext/>
        <w:keepLines/>
        <w:pBdr>
          <w:bottom w:val="single" w:sz="4" w:space="0" w:color="auto"/>
        </w:pBdr>
        <w:shd w:val="clear" w:color="auto" w:fill="auto"/>
        <w:spacing w:after="200"/>
      </w:pPr>
      <w:bookmarkStart w:id="672" w:name="bookmark671"/>
      <w:r>
        <w:rPr>
          <w:rFonts w:ascii="Times New Roman" w:eastAsia="Times New Roman" w:hAnsi="Times New Roman" w:cs="Times New Roman"/>
        </w:rPr>
        <w:t>politika</w:t>
      </w:r>
      <w:bookmarkEnd w:id="672"/>
    </w:p>
    <w:p w:rsidR="00500724" w:rsidRDefault="00F30FB8">
      <w:pPr>
        <w:pStyle w:val="Zkladntext30"/>
        <w:shd w:val="clear" w:color="auto" w:fill="auto"/>
        <w:spacing w:after="60" w:line="223" w:lineRule="auto"/>
        <w:ind w:firstLine="0"/>
        <w:rPr>
          <w:sz w:val="20"/>
          <w:szCs w:val="20"/>
        </w:rPr>
      </w:pPr>
      <w:r>
        <w:rPr>
          <w:i/>
          <w:iCs/>
          <w:sz w:val="20"/>
          <w:szCs w:val="20"/>
        </w:rPr>
        <w:t>Jan A lber t:</w:t>
      </w:r>
    </w:p>
    <w:p w:rsidR="00500724" w:rsidRDefault="00F30FB8">
      <w:pPr>
        <w:pStyle w:val="Nadpis100"/>
        <w:shd w:val="clear" w:color="auto" w:fill="auto"/>
        <w:spacing w:after="60" w:line="240" w:lineRule="auto"/>
        <w:ind w:left="300"/>
        <w:jc w:val="left"/>
      </w:pPr>
      <w:bookmarkStart w:id="673" w:name="bookmark672"/>
      <w:r>
        <w:t>Moudrost knížete Bismarcka</w:t>
      </w:r>
      <w:bookmarkEnd w:id="673"/>
    </w:p>
    <w:p w:rsidR="00500724" w:rsidRDefault="00F30FB8">
      <w:pPr>
        <w:pStyle w:val="Zkladntext30"/>
        <w:shd w:val="clear" w:color="auto" w:fill="auto"/>
        <w:spacing w:after="120" w:line="204" w:lineRule="auto"/>
        <w:ind w:firstLine="240"/>
      </w:pPr>
      <w:r>
        <w:t xml:space="preserve">Mudrcem s nejlacinější </w:t>
      </w:r>
      <w:r>
        <w:t>filosofií byl asi Ben Akiba. Jeho starobylá pravda platí i pro politické slunce, také pod ním vtiskují trvalé zeměpisné podmínky něco stále se opakujícího historickému úsilí národů.</w:t>
      </w:r>
    </w:p>
    <w:p w:rsidR="00500724" w:rsidRDefault="00F30FB8">
      <w:pPr>
        <w:pStyle w:val="Zkladntext30"/>
        <w:shd w:val="clear" w:color="auto" w:fill="auto"/>
        <w:spacing w:after="60" w:line="202" w:lineRule="auto"/>
        <w:ind w:firstLine="0"/>
        <w:jc w:val="center"/>
      </w:pPr>
      <w:r>
        <w:t>Gorčakov a Suvalov</w:t>
      </w:r>
    </w:p>
    <w:p w:rsidR="00500724" w:rsidRDefault="00F30FB8">
      <w:pPr>
        <w:pStyle w:val="Zkladntext30"/>
        <w:shd w:val="clear" w:color="auto" w:fill="auto"/>
        <w:spacing w:after="60" w:line="199" w:lineRule="auto"/>
        <w:ind w:firstLine="240"/>
      </w:pPr>
      <w:r>
        <w:t>V době, kdy první veliký novověký pokus o sjedno</w:t>
      </w:r>
      <w:r>
        <w:softHyphen/>
        <w:t>cení N</w:t>
      </w:r>
      <w:r>
        <w:t xml:space="preserve">ěmců prováděl kníže </w:t>
      </w:r>
      <w:r>
        <w:rPr>
          <w:lang w:val="en-US" w:eastAsia="en-US" w:bidi="en-US"/>
        </w:rPr>
        <w:t xml:space="preserve">Bismarck, </w:t>
      </w:r>
      <w:r>
        <w:t>stáli v popředí ruské zahraniční politiky dva muži význačně proti- kladných rysů: kníže Alexander Michajlovič Gorča</w:t>
      </w:r>
      <w:r>
        <w:softHyphen/>
        <w:t>kov a hrabě Petr Suvalov.</w:t>
      </w:r>
    </w:p>
    <w:p w:rsidR="00500724" w:rsidRDefault="00F30FB8">
      <w:pPr>
        <w:pStyle w:val="Zkladntext30"/>
        <w:shd w:val="clear" w:color="auto" w:fill="auto"/>
        <w:spacing w:after="100" w:line="202" w:lineRule="auto"/>
        <w:ind w:firstLine="240"/>
      </w:pPr>
      <w:r>
        <w:rPr>
          <w:lang w:val="en-US" w:eastAsia="en-US" w:bidi="en-US"/>
        </w:rPr>
        <w:t xml:space="preserve">Bismarck </w:t>
      </w:r>
      <w:r>
        <w:t>sám vykreslil jejieh plastické portréty. Gorčakov — duchaplný, vzdělaný, je</w:t>
      </w:r>
      <w:r>
        <w:t>mný, zname</w:t>
      </w:r>
      <w:r>
        <w:softHyphen/>
        <w:t>nitý řečník; ale nesmírně ješitný, podle cara Miku</w:t>
      </w:r>
      <w:r>
        <w:softHyphen/>
        <w:t>láše »stařecky marnivý«. Při všech svých mystických sklonech byl pro svoji popularitu ochoten vyeházet dost daleko vstříc novým proudům, liberalismu, konstitucionalismu, parlamentarismu a jak je</w:t>
      </w:r>
      <w:r>
        <w:t xml:space="preserve">ště se jmenovala tehdejší strašidla reakčniho samoděržavi. </w:t>
      </w:r>
      <w:r>
        <w:rPr>
          <w:lang w:val="en-US" w:eastAsia="en-US" w:bidi="en-US"/>
        </w:rPr>
        <w:t xml:space="preserve">Bismarck </w:t>
      </w:r>
      <w:r>
        <w:t>jej podezíral, že ze závisti a nenávisti k ně</w:t>
      </w:r>
      <w:r>
        <w:softHyphen/>
        <w:t>mu dovede zapomenout na nejvlastnější zájmy Ruska.</w:t>
      </w:r>
    </w:p>
    <w:p w:rsidR="00500724" w:rsidRDefault="00F30FB8">
      <w:pPr>
        <w:pStyle w:val="Zkladntext30"/>
        <w:shd w:val="clear" w:color="auto" w:fill="auto"/>
        <w:spacing w:after="60" w:line="206" w:lineRule="auto"/>
        <w:ind w:firstLine="0"/>
      </w:pPr>
      <w:r>
        <w:t xml:space="preserve">»Nemohu se představit svátému Petru, aniž bych dříve předsedal nějaké evropské konferenci« </w:t>
      </w:r>
      <w:r>
        <w:t>— v této jeho poslední touze se charakteristicky spojuje Gor- čakovova marnivost s jeho západní orientací.</w:t>
      </w:r>
    </w:p>
    <w:p w:rsidR="00500724" w:rsidRDefault="00F30FB8">
      <w:pPr>
        <w:pStyle w:val="Zkladntext30"/>
        <w:shd w:val="clear" w:color="auto" w:fill="auto"/>
        <w:spacing w:after="60" w:line="202" w:lineRule="auto"/>
        <w:ind w:firstLine="240"/>
      </w:pPr>
      <w:r>
        <w:t>Šuvalov — podle Bismarcka nejschopnější hlava carské politiky, prostá všech předsudků; ale člověk tak líný, že nehnul prstem ani pro svou vlastní ka</w:t>
      </w:r>
      <w:r>
        <w:softHyphen/>
      </w:r>
      <w:r>
        <w:t>riéru. Car ho nikdy neměl rád, i když mu leccos svě</w:t>
      </w:r>
      <w:r>
        <w:softHyphen/>
        <w:t>řoval v dobách, kdy Gorčakov byl v nemilosti. Šuva</w:t>
      </w:r>
      <w:r>
        <w:softHyphen/>
        <w:t>lov sám se o Gorčakovi vyjadřoval se škodolibou za- vilostí, před svým přítelem Bismarckem ho kdysi klidně nazval »zvířetem«.</w:t>
      </w:r>
    </w:p>
    <w:p w:rsidR="00500724" w:rsidRDefault="00F30FB8">
      <w:pPr>
        <w:pStyle w:val="Zkladntext30"/>
        <w:shd w:val="clear" w:color="auto" w:fill="auto"/>
        <w:spacing w:after="60" w:line="202" w:lineRule="auto"/>
        <w:ind w:firstLine="240"/>
      </w:pPr>
      <w:r>
        <w:t>Kníže Gorčakov byl frankofi</w:t>
      </w:r>
      <w:r>
        <w:t>l, hrabě Šuvalov ger- manofil. První z nich dával s oblibou všem možným i nemožným korespondentům interviewy a projevy své lásky k Francii, a pět let po Sedanu dal s průhled</w:t>
      </w:r>
      <w:r>
        <w:softHyphen/>
        <w:t>nou tendencí publikovat svoje mínění, že Německo se chystá napadnout Francii, dřív</w:t>
      </w:r>
      <w:r>
        <w:t>e než okřeje ze své porážky. — Druhý dával přednost metodám tajné diplomacie a novinářům se vyhýbal už proto, že vě</w:t>
      </w:r>
      <w:r>
        <w:softHyphen/>
        <w:t>děl dobře, jak se jeho koncepce nemohou v Rusku nikdy stát populárními. V jeho hlavě se zrodila myšlenka berlínského kongresu, kde se pak mo</w:t>
      </w:r>
      <w:r>
        <w:t>hl kní</w:t>
      </w:r>
      <w:r>
        <w:softHyphen/>
        <w:t xml:space="preserve">že </w:t>
      </w:r>
      <w:r>
        <w:rPr>
          <w:lang w:val="en-US" w:eastAsia="en-US" w:bidi="en-US"/>
        </w:rPr>
        <w:t xml:space="preserve">Bismarck </w:t>
      </w:r>
      <w:r>
        <w:t>uplatnit jako »pocfivý makléř«. Ústřed</w:t>
      </w:r>
      <w:r>
        <w:softHyphen/>
        <w:t>ním bodem jeho politické linie bylo hlásání nutnosti spojenectví Ruska s Německem.</w:t>
      </w:r>
    </w:p>
    <w:p w:rsidR="00500724" w:rsidRDefault="00F30FB8">
      <w:pPr>
        <w:pStyle w:val="Zkladntext30"/>
        <w:shd w:val="clear" w:color="auto" w:fill="auto"/>
        <w:spacing w:after="240" w:line="202" w:lineRule="auto"/>
        <w:ind w:firstLine="240"/>
      </w:pPr>
      <w:r>
        <w:t>Proč je dnes záhodno si to všechno připamatovat? Protože Gorčakov a Šuvalov jsou představiteli dvou směrů, které se</w:t>
      </w:r>
      <w:r>
        <w:t xml:space="preserve"> snad po celý novověk ob jevu jí v Rusku jako dvě hlavní protilehlé možnosti jeho politiky, dané v podstatě už jeho zeměpisnou polohou. V našich dnech má gorčakovská západní orientace svoje ná</w:t>
      </w:r>
      <w:r>
        <w:softHyphen/>
        <w:t>sledovníky v Litvinovovi, Majském a nejspíše i v Po- těmkinovi.</w:t>
      </w:r>
      <w:r>
        <w:t xml:space="preserve"> Svoje následovníky má však v současné Moskvě i hrabě Šuvalov, třeba k nim sotva patří ti, kdo jsou za ně někdy oficiálně označováni, jako na příklad nešťastný maršál Tuehačevskij. V moskev</w:t>
      </w:r>
      <w:r>
        <w:softHyphen/>
        <w:t>ském polbyru se vedle těchto dvou extrémů uplatňuje i třetí tradič</w:t>
      </w:r>
      <w:r>
        <w:t>ní směr ruské politiky, isolacíonismus —- a průtahy v jednání s Londýnem jsou nejlepším svě</w:t>
      </w:r>
      <w:r>
        <w:softHyphen/>
        <w:t>dectvím o síle tohoto směru.</w:t>
      </w:r>
    </w:p>
    <w:p w:rsidR="00500724" w:rsidRDefault="00F30FB8">
      <w:pPr>
        <w:pStyle w:val="Zkladntext30"/>
        <w:shd w:val="clear" w:color="auto" w:fill="auto"/>
        <w:spacing w:after="60" w:line="202" w:lineRule="auto"/>
        <w:ind w:firstLine="0"/>
        <w:jc w:val="center"/>
      </w:pPr>
      <w:r>
        <w:t>Můra koalicí</w:t>
      </w:r>
    </w:p>
    <w:p w:rsidR="00500724" w:rsidRDefault="00F30FB8">
      <w:pPr>
        <w:pStyle w:val="Zkladntext30"/>
        <w:shd w:val="clear" w:color="auto" w:fill="auto"/>
        <w:spacing w:after="60" w:line="202" w:lineRule="auto"/>
        <w:ind w:firstLine="240"/>
      </w:pPr>
      <w:r>
        <w:t>Někdy před berlínským kongresem řekl Šuvalov Bismarckovi: »Tlačí vás můra koalicí?« »Přirozeně«, odvětil nato kancléř. A j</w:t>
      </w:r>
      <w:r>
        <w:t>eště později se vrátil k to</w:t>
      </w:r>
      <w:r>
        <w:softHyphen/>
        <w:t>muto rozhovoru poznámkou, že »hrabě Šuvalov měl úplnou pravdu, když pravil, že mi myšlenka na koalice nedá dobře spát.« Nedělal si totiž ilusi o tom, že jeho úsilí o zbudování velkoněmecké říše vzbudí odpor v ostatní Evropě. Odp</w:t>
      </w:r>
      <w:r>
        <w:t>or jednotlivých států, každého zvlášť, nemusel být pro pruskou moc tragický, léta 1866 a 1870—71 ukázala, že jej lze zlomit. Nebezpečí však tkvělo v možnosti spojeneckého bloku proti Bis</w:t>
      </w:r>
      <w:r>
        <w:softHyphen/>
        <w:t>marckově politice; chytrý Šuvalov správně uhodl nej</w:t>
      </w:r>
      <w:r>
        <w:softHyphen/>
        <w:t>tajnější obavy sv</w:t>
      </w:r>
      <w:r>
        <w:t>ého slavného přítele.</w:t>
      </w:r>
    </w:p>
    <w:p w:rsidR="00500724" w:rsidRDefault="00F30FB8">
      <w:pPr>
        <w:pStyle w:val="Zkladntext30"/>
        <w:shd w:val="clear" w:color="auto" w:fill="auto"/>
        <w:spacing w:after="240" w:line="202" w:lineRule="auto"/>
        <w:ind w:firstLine="240"/>
      </w:pPr>
      <w:r>
        <w:t xml:space="preserve">Takovou koalici známe ze světové, války a z let 1935—38, dnes se o ni ještě na širší základně pokouší Anglie. </w:t>
      </w:r>
      <w:r>
        <w:rPr>
          <w:lang w:val="en-US" w:eastAsia="en-US" w:bidi="en-US"/>
        </w:rPr>
        <w:t xml:space="preserve">Bismarck </w:t>
      </w:r>
      <w:r>
        <w:t>sám ji znal především z doby sedmi</w:t>
      </w:r>
      <w:r>
        <w:softHyphen/>
        <w:t>leté války, kdy proti fridericiánskému Prusku stvořil Kaunic alianci »tří spodni</w:t>
      </w:r>
      <w:r>
        <w:t>ček«, tereziánského Ra</w:t>
      </w:r>
      <w:r>
        <w:softHyphen/>
        <w:t xml:space="preserve">kouska, Ruska Kateřiny Veliké a Pompadourčiny Francie. »Obnova kaunicovské koalice« — píše </w:t>
      </w:r>
      <w:r>
        <w:rPr>
          <w:lang w:val="en-US" w:eastAsia="en-US" w:bidi="en-US"/>
        </w:rPr>
        <w:t>Bis</w:t>
      </w:r>
      <w:r>
        <w:rPr>
          <w:lang w:val="en-US" w:eastAsia="en-US" w:bidi="en-US"/>
        </w:rPr>
        <w:softHyphen/>
        <w:t xml:space="preserve">marck </w:t>
      </w:r>
      <w:r>
        <w:t>ve svých Pamětech — »by byla pro Německo, kdyby zůstala vskutku jednotná a kdyby dovedla obratně vést svoje války, i když ne zoufalo</w:t>
      </w:r>
      <w:r>
        <w:t>u, tedy přece velmi vážnou konstelací — podle možnosti jí za</w:t>
      </w:r>
      <w:r>
        <w:softHyphen/>
        <w:t>bránit musí být úkolem naší zahraniční politiky.*</w:t>
      </w:r>
    </w:p>
    <w:p w:rsidR="00500724" w:rsidRDefault="00F30FB8">
      <w:pPr>
        <w:pStyle w:val="Zkladntext30"/>
        <w:shd w:val="clear" w:color="auto" w:fill="auto"/>
        <w:spacing w:line="204" w:lineRule="auto"/>
        <w:ind w:firstLine="0"/>
        <w:jc w:val="center"/>
      </w:pPr>
      <w:r>
        <w:t>Zeměpisná poloha</w:t>
      </w:r>
    </w:p>
    <w:p w:rsidR="00500724" w:rsidRDefault="00F30FB8">
      <w:pPr>
        <w:pStyle w:val="Zkladntext30"/>
        <w:shd w:val="clear" w:color="auto" w:fill="auto"/>
        <w:spacing w:line="209" w:lineRule="auto"/>
      </w:pPr>
      <w:r>
        <w:t>Výhody a nevýhody zeměpisné situace Německa po</w:t>
      </w:r>
      <w:r>
        <w:softHyphen/>
        <w:t xml:space="preserve">suzoval kníže </w:t>
      </w:r>
      <w:r>
        <w:rPr>
          <w:lang w:val="en-US" w:eastAsia="en-US" w:bidi="en-US"/>
        </w:rPr>
        <w:t xml:space="preserve">Bismarck </w:t>
      </w:r>
      <w:r>
        <w:t>přísně realisticky:</w:t>
      </w:r>
    </w:p>
    <w:p w:rsidR="00500724" w:rsidRDefault="00F30FB8">
      <w:pPr>
        <w:pStyle w:val="Zkladntext30"/>
        <w:shd w:val="clear" w:color="auto" w:fill="auto"/>
        <w:spacing w:line="182" w:lineRule="auto"/>
        <w:ind w:firstLine="300"/>
        <w:rPr>
          <w:sz w:val="20"/>
          <w:szCs w:val="20"/>
        </w:rPr>
      </w:pPr>
      <w:r>
        <w:rPr>
          <w:sz w:val="20"/>
          <w:szCs w:val="20"/>
        </w:rPr>
        <w:t xml:space="preserve">s-Proti výhodě, plynoucí z toho, že </w:t>
      </w:r>
      <w:r>
        <w:rPr>
          <w:sz w:val="20"/>
          <w:szCs w:val="20"/>
        </w:rPr>
        <w:t>německá politika nemá přímých zájmů v Orientě, stojí nevýhoda ústřední a expono</w:t>
      </w:r>
      <w:r>
        <w:rPr>
          <w:sz w:val="20"/>
          <w:szCs w:val="20"/>
        </w:rPr>
        <w:softHyphen/>
        <w:t>vané polohy německé říše s jejími rozsáhlými obrannými frontami na všech stranách a snadnost vytvořeni proti- německých koalicí«</w:t>
      </w:r>
    </w:p>
    <w:p w:rsidR="00500724" w:rsidRDefault="00F30FB8">
      <w:pPr>
        <w:pStyle w:val="Zkladntext30"/>
        <w:shd w:val="clear" w:color="auto" w:fill="auto"/>
        <w:spacing w:line="202" w:lineRule="auto"/>
        <w:ind w:firstLine="460"/>
      </w:pPr>
      <w:r>
        <w:t>Sílu a slabost tří velmocí, které tu v jeho dob</w:t>
      </w:r>
      <w:r>
        <w:t>ě sousedily, oceňoval pak takto:</w:t>
      </w:r>
    </w:p>
    <w:p w:rsidR="00500724" w:rsidRDefault="00F30FB8">
      <w:pPr>
        <w:pStyle w:val="Zkladntext30"/>
        <w:shd w:val="clear" w:color="auto" w:fill="auto"/>
        <w:spacing w:line="182" w:lineRule="auto"/>
        <w:ind w:firstLine="300"/>
        <w:rPr>
          <w:sz w:val="20"/>
          <w:szCs w:val="20"/>
        </w:rPr>
      </w:pPr>
      <w:r>
        <w:rPr>
          <w:sz w:val="20"/>
          <w:szCs w:val="20"/>
        </w:rPr>
        <w:t>»Geografická poloha tří východních mocnosti je taková, že každá z nich, jakmile by ji napadly obě ostatní, je strate</w:t>
      </w:r>
      <w:r>
        <w:rPr>
          <w:sz w:val="20"/>
          <w:szCs w:val="20"/>
        </w:rPr>
        <w:softHyphen/>
        <w:t>gicky v nevýhodě, i kdyby měla v západní Evropě za spojence Anglii nebo Francii. V největší nevýhodě by by</w:t>
      </w:r>
      <w:r>
        <w:rPr>
          <w:sz w:val="20"/>
          <w:szCs w:val="20"/>
        </w:rPr>
        <w:t>lo isolované Rakousko proti rusko-německému útoku, v nejmenší ne</w:t>
      </w:r>
      <w:r>
        <w:rPr>
          <w:sz w:val="20"/>
          <w:szCs w:val="20"/>
        </w:rPr>
        <w:softHyphen/>
        <w:t xml:space="preserve">výhodě by bylo Rusko proti Rakousku </w:t>
      </w:r>
      <w:r>
        <w:rPr>
          <w:rFonts w:ascii="Arial" w:eastAsia="Arial" w:hAnsi="Arial" w:cs="Arial"/>
          <w:sz w:val="12"/>
          <w:szCs w:val="12"/>
        </w:rPr>
        <w:t xml:space="preserve">a </w:t>
      </w:r>
      <w:r>
        <w:rPr>
          <w:sz w:val="20"/>
          <w:szCs w:val="20"/>
        </w:rPr>
        <w:t>Německu.*</w:t>
      </w:r>
    </w:p>
    <w:p w:rsidR="00500724" w:rsidRDefault="00F30FB8">
      <w:pPr>
        <w:pStyle w:val="Zkladntext30"/>
        <w:shd w:val="clear" w:color="auto" w:fill="auto"/>
        <w:spacing w:after="160" w:line="204" w:lineRule="auto"/>
      </w:pPr>
      <w:r>
        <w:t xml:space="preserve">Jak z toho vidět, posuzoval </w:t>
      </w:r>
      <w:r>
        <w:rPr>
          <w:lang w:val="en-US" w:eastAsia="en-US" w:bidi="en-US"/>
        </w:rPr>
        <w:t xml:space="preserve">Bismarck </w:t>
      </w:r>
      <w:r>
        <w:t>možnosti iso</w:t>
      </w:r>
      <w:r>
        <w:softHyphen/>
        <w:t>lovaného Německa příznivěji než vyhlídky isolova</w:t>
      </w:r>
      <w:r>
        <w:softHyphen/>
        <w:t>ného Rakouska, ale skeptičtěji než perspekti</w:t>
      </w:r>
      <w:r>
        <w:t>vy osa</w:t>
      </w:r>
      <w:r>
        <w:softHyphen/>
        <w:t>moceného Ruska — už v tom bylo pro něho dost dů</w:t>
      </w:r>
      <w:r>
        <w:softHyphen/>
        <w:t>vodů, aby německá říše nezůstala v isolaci a našla si spolehlivé spojence, čímž by zároveň nejlépe rozbila nebezpečí aliancí proti sobě. Jaké tu pro svoji politiku viděl možnosti?</w:t>
      </w:r>
    </w:p>
    <w:p w:rsidR="00500724" w:rsidRDefault="00F30FB8">
      <w:pPr>
        <w:pStyle w:val="Zkladntext30"/>
        <w:shd w:val="clear" w:color="auto" w:fill="auto"/>
        <w:spacing w:line="204" w:lineRule="auto"/>
        <w:ind w:firstLine="0"/>
        <w:jc w:val="center"/>
      </w:pPr>
      <w:r>
        <w:t>Rakousko</w:t>
      </w:r>
    </w:p>
    <w:p w:rsidR="00500724" w:rsidRDefault="00F30FB8">
      <w:pPr>
        <w:pStyle w:val="Zkladntext30"/>
        <w:shd w:val="clear" w:color="auto" w:fill="auto"/>
        <w:spacing w:after="280" w:line="204" w:lineRule="auto"/>
      </w:pPr>
      <w:r>
        <w:t>Politice něk</w:t>
      </w:r>
      <w:r>
        <w:t>terých svých předchůdců vytýkal Že</w:t>
      </w:r>
      <w:r>
        <w:softHyphen/>
        <w:t>lezný kancléř přílišnou podlízavost Rakousku ze stra</w:t>
      </w:r>
      <w:r>
        <w:softHyphen/>
        <w:t>chu před Francií a z uctivé pokory k Anglii. Rok 1866 znamenal pak rázný konec takové politiky vůči věč</w:t>
      </w:r>
      <w:r>
        <w:softHyphen/>
        <w:t>nému rakouskému soupeři Pruska v úsilí o zarganiso- vání velkoně</w:t>
      </w:r>
      <w:r>
        <w:t xml:space="preserve">mečkých sil. V Mikulově a v Praze se </w:t>
      </w:r>
      <w:r>
        <w:rPr>
          <w:lang w:val="en-US" w:eastAsia="en-US" w:bidi="en-US"/>
        </w:rPr>
        <w:t>Bis</w:t>
      </w:r>
      <w:r>
        <w:rPr>
          <w:lang w:val="en-US" w:eastAsia="en-US" w:bidi="en-US"/>
        </w:rPr>
        <w:softHyphen/>
        <w:t xml:space="preserve">marck </w:t>
      </w:r>
      <w:r>
        <w:t>sice postaral—přes odpor nejvyšších pruských míst — o to, aby si z Rakouska neudělal nesmiřitel</w:t>
      </w:r>
      <w:r>
        <w:softHyphen/>
        <w:t>ného nepřítele; ale v letech, jež následovala po krá</w:t>
      </w:r>
      <w:r>
        <w:softHyphen/>
        <w:t>lovéhradeckém vítězství, měl přece oprávněné oba</w:t>
      </w:r>
      <w:r>
        <w:softHyphen/>
        <w:t xml:space="preserve">vy z toho, </w:t>
      </w:r>
      <w:r>
        <w:rPr>
          <w:i/>
          <w:iCs/>
        </w:rPr>
        <w:t>že</w:t>
      </w:r>
      <w:r>
        <w:t xml:space="preserve"> by se Rakousko mohlo pokusit o politiku revanše, kdyby k ní nalezlo oporu ve Francii nebo v Rusku. Na štěstí pro Prusko neměla tato nebezpeč</w:t>
      </w:r>
      <w:r>
        <w:softHyphen/>
        <w:t>ná situace dlouhého trvání; nacionální moment se ukázal už tehdy být silnější než cokoli jiného a Ra</w:t>
      </w:r>
      <w:r>
        <w:softHyphen/>
        <w:t xml:space="preserve">kousko se </w:t>
      </w:r>
      <w:r>
        <w:t>díky Bismarckově moudré zdrželivosti sblí</w:t>
      </w:r>
      <w:r>
        <w:softHyphen/>
        <w:t>žilo s novým Německem.</w:t>
      </w:r>
    </w:p>
    <w:p w:rsidR="00500724" w:rsidRDefault="00F30FB8">
      <w:pPr>
        <w:pStyle w:val="Zkladntext30"/>
        <w:shd w:val="clear" w:color="auto" w:fill="auto"/>
        <w:spacing w:line="204" w:lineRule="auto"/>
        <w:ind w:firstLine="0"/>
        <w:jc w:val="center"/>
      </w:pPr>
      <w:r>
        <w:t>Francie</w:t>
      </w:r>
    </w:p>
    <w:p w:rsidR="00500724" w:rsidRDefault="00F30FB8">
      <w:pPr>
        <w:pStyle w:val="Zkladntext30"/>
        <w:shd w:val="clear" w:color="auto" w:fill="auto"/>
        <w:spacing w:line="202" w:lineRule="auto"/>
        <w:ind w:firstLine="300"/>
      </w:pPr>
      <w:r>
        <w:t>Zdá se však, že ještě před svou katastrofou se Ra</w:t>
      </w:r>
      <w:r>
        <w:softHyphen/>
        <w:t xml:space="preserve">kousko pokusilo o jistý krok v onom nebezpečném koaličním směru. Dne 26. června 1862 pozval císař Napoleon m. k sobě </w:t>
      </w:r>
      <w:r>
        <w:rPr>
          <w:lang w:val="en-US" w:eastAsia="en-US" w:bidi="en-US"/>
        </w:rPr>
        <w:t>do Fontainebleau</w:t>
      </w:r>
      <w:r>
        <w:rPr>
          <w:lang w:val="en-US" w:eastAsia="en-US" w:bidi="en-US"/>
        </w:rPr>
        <w:t xml:space="preserve"> </w:t>
      </w:r>
      <w:r>
        <w:t>Bismarcka, jenž byl tehdy pruským vyslancem v Paříži, a řekl mu s upřeným pohledem: »Nedovedete si představit, jaké zvláštní návrhy mi před několika dny udělalo Rakousko. Zdá se, že ve Vídni podlehli panické hrůze. Kníže Mettemich mi řekl, že dostal instr</w:t>
      </w:r>
      <w:r>
        <w:t>ukce tak da</w:t>
      </w:r>
      <w:r>
        <w:softHyphen/>
        <w:t>lekosáhlé, že se jich sám děsí; má prý zcela neomezené plné moci ve všech otázkách, které bych mohl nad</w:t>
      </w:r>
      <w:r>
        <w:softHyphen/>
        <w:t>hodit, a má se prý se mnou stůj co stůj dohodnout.*</w:t>
      </w:r>
    </w:p>
    <w:p w:rsidR="00500724" w:rsidRDefault="00F30FB8">
      <w:pPr>
        <w:pStyle w:val="Zkladntext30"/>
        <w:shd w:val="clear" w:color="auto" w:fill="auto"/>
        <w:spacing w:after="0" w:line="206" w:lineRule="auto"/>
        <w:ind w:firstLine="300"/>
      </w:pPr>
      <w:r>
        <w:t>Není ovšem docela jisto, smíme-li těmto císařským slovům věřit doslova, nebo máme-li v n</w:t>
      </w:r>
      <w:r>
        <w:t>ich spíše vidět pokus o ještě silnější zdůraznění podnětného dotazu, s nímž se při oné schůzce obrátil Napoleon na Bis</w:t>
      </w:r>
      <w:r>
        <w:softHyphen/>
        <w:t>marcka: zda by totiž byl pruský král ochoten uzavřít! s ním spojenectví. Jisto je jen, že ani tak nezískal příštího kancléře pro myšlenku</w:t>
      </w:r>
      <w:r>
        <w:t xml:space="preserve"> francouzsko-pruské aliance; </w:t>
      </w:r>
      <w:r>
        <w:rPr>
          <w:lang w:val="en-US" w:eastAsia="en-US" w:bidi="en-US"/>
        </w:rPr>
        <w:t xml:space="preserve">Bismarck </w:t>
      </w:r>
      <w:r>
        <w:t>ji odmítl v perspektivě, že Prusko bude muset brzy vést válku proti Francii, aby vytvo</w:t>
      </w:r>
      <w:r>
        <w:softHyphen/>
        <w:t>řilo politické i psychologické předpoldady pro zbudo</w:t>
      </w:r>
      <w:r>
        <w:softHyphen/>
        <w:t>vání německé říše.</w:t>
      </w:r>
    </w:p>
    <w:p w:rsidR="00500724" w:rsidRDefault="00F30FB8">
      <w:pPr>
        <w:pStyle w:val="Zkladntext30"/>
        <w:shd w:val="clear" w:color="auto" w:fill="auto"/>
        <w:spacing w:after="140" w:line="204" w:lineRule="auto"/>
        <w:ind w:firstLine="240"/>
      </w:pPr>
      <w:r>
        <w:t>Po roce 1871 tu pak už byla situace naprosto jedno</w:t>
      </w:r>
      <w:r>
        <w:softHyphen/>
        <w:t xml:space="preserve">značná: </w:t>
      </w:r>
      <w:r>
        <w:t>bylo nutno se krýt před francouzskou politi</w:t>
      </w:r>
      <w:r>
        <w:softHyphen/>
        <w:t>kou odplaty, snažící se najít v Rusku protiněmeckého spojence.</w:t>
      </w:r>
    </w:p>
    <w:p w:rsidR="00500724" w:rsidRDefault="00F30FB8">
      <w:pPr>
        <w:pStyle w:val="Zkladntext30"/>
        <w:shd w:val="clear" w:color="auto" w:fill="auto"/>
        <w:spacing w:after="60" w:line="204" w:lineRule="auto"/>
        <w:ind w:firstLine="0"/>
        <w:jc w:val="center"/>
      </w:pPr>
      <w:r>
        <w:t>Anglie</w:t>
      </w:r>
    </w:p>
    <w:p w:rsidR="00500724" w:rsidRDefault="00F30FB8">
      <w:pPr>
        <w:pStyle w:val="Zkladntext30"/>
        <w:shd w:val="clear" w:color="auto" w:fill="auto"/>
        <w:spacing w:after="0" w:line="202" w:lineRule="auto"/>
        <w:ind w:firstLine="240"/>
      </w:pPr>
      <w:r>
        <w:t xml:space="preserve">Kníže </w:t>
      </w:r>
      <w:r>
        <w:rPr>
          <w:lang w:val="en-US" w:eastAsia="en-US" w:bidi="en-US"/>
        </w:rPr>
        <w:t xml:space="preserve">Bismarck, </w:t>
      </w:r>
      <w:r>
        <w:t>jinak jistě ne zrovna senti</w:t>
      </w:r>
      <w:r>
        <w:softHyphen/>
        <w:t>mentální, se jednou vyznal ze svých citových sym</w:t>
      </w:r>
      <w:r>
        <w:softHyphen/>
        <w:t xml:space="preserve">patií k Anglii: »Pokud jde o cizinu, měl jsem ve </w:t>
      </w:r>
      <w:r>
        <w:t>svém životě sympatie jenom k Anglii a jejím obyvatelům a časem jim ještě propadánu — při čemž se však zlost</w:t>
      </w:r>
      <w:r>
        <w:softHyphen/>
        <w:t>ně vysmíval »našemu maloměšťáckému uctívání An</w:t>
      </w:r>
      <w:r>
        <w:softHyphen/>
        <w:t>glie*. A svými sympatiemi se nikdy nedal mýlit; od Anglie, tvrdil, nemůže Německo nikdy očekávat akti</w:t>
      </w:r>
      <w:r>
        <w:t>vní podpory.</w:t>
      </w:r>
    </w:p>
    <w:p w:rsidR="00500724" w:rsidRDefault="00F30FB8">
      <w:pPr>
        <w:pStyle w:val="Zkladntext30"/>
        <w:shd w:val="clear" w:color="auto" w:fill="auto"/>
        <w:spacing w:after="0" w:line="202" w:lineRule="auto"/>
        <w:ind w:firstLine="240"/>
      </w:pPr>
      <w:r>
        <w:t>Stál na tomto stanovisku neochvějně i v dobách, kdy v kruzích kolem Bethmana-Hollwega byl velkou módou »gothajský« program, jenž chtěl získat vděč</w:t>
      </w:r>
      <w:r>
        <w:softHyphen/>
        <w:t>nost a spojenectví Anglie za to, že jí Prusko půjčí svoji armádu proti Rusku. Odmítal neobyčejně</w:t>
      </w:r>
      <w:r>
        <w:t xml:space="preserve"> ostře »zastánce podobných experimentů; jen »fráze a ocho</w:t>
      </w:r>
      <w:r>
        <w:softHyphen/>
        <w:t>ta přijmout ve stranickém zájmu jakoukoli hloupost* zakrývaly podle něho fatální ^mezery ve větrném zámku* této politiky, plné ^dětinských utopik.</w:t>
      </w:r>
    </w:p>
    <w:p w:rsidR="00500724" w:rsidRDefault="00F30FB8">
      <w:pPr>
        <w:pStyle w:val="Zkladntext30"/>
        <w:shd w:val="clear" w:color="auto" w:fill="auto"/>
        <w:spacing w:after="220" w:line="202" w:lineRule="auto"/>
        <w:ind w:firstLine="240"/>
      </w:pPr>
      <w:r>
        <w:t>Muž Bismarckova rázu jim ovšem nikdy nepropadl. Avš</w:t>
      </w:r>
      <w:r>
        <w:t>ak udržovat předpoklady alespoň snesitelného po</w:t>
      </w:r>
      <w:r>
        <w:softHyphen/>
        <w:t>měru k Velké Britanii bylo tak velice jeho kredem, že mu nakonec s pocitem samozřejmé povinnosti obě</w:t>
      </w:r>
      <w:r>
        <w:softHyphen/>
        <w:t>toval celé svoje politické postavení.</w:t>
      </w:r>
    </w:p>
    <w:p w:rsidR="00500724" w:rsidRDefault="00F30FB8">
      <w:pPr>
        <w:pStyle w:val="Zkladntext30"/>
        <w:shd w:val="clear" w:color="auto" w:fill="auto"/>
        <w:spacing w:line="204" w:lineRule="auto"/>
        <w:ind w:firstLine="0"/>
        <w:jc w:val="center"/>
      </w:pPr>
      <w:r>
        <w:t>Rusko</w:t>
      </w:r>
    </w:p>
    <w:p w:rsidR="00500724" w:rsidRDefault="00F30FB8">
      <w:pPr>
        <w:pStyle w:val="Zkladntext30"/>
        <w:shd w:val="clear" w:color="auto" w:fill="auto"/>
        <w:spacing w:after="0" w:line="204" w:lineRule="auto"/>
        <w:ind w:firstLine="240"/>
      </w:pPr>
      <w:r>
        <w:t xml:space="preserve">Kníže </w:t>
      </w:r>
      <w:r>
        <w:rPr>
          <w:lang w:val="en-US" w:eastAsia="en-US" w:bidi="en-US"/>
        </w:rPr>
        <w:t xml:space="preserve">Bismarck </w:t>
      </w:r>
      <w:r>
        <w:t>výborně chápal, co by pro celou Evropu znamenalo</w:t>
      </w:r>
      <w:r>
        <w:t xml:space="preserve"> spojenectví Německa s Ruskem: »Za předpokladu*^— čteme v jeho Pamětech — »stej- ně dobrého vedení a stejné statečnosti obou velikých armád leží v územní situaci jejich moci velká síla ně- mecko-ruské kombinace.*</w:t>
      </w:r>
    </w:p>
    <w:p w:rsidR="00500724" w:rsidRDefault="00F30FB8">
      <w:pPr>
        <w:pStyle w:val="Zkladntext30"/>
        <w:shd w:val="clear" w:color="auto" w:fill="auto"/>
        <w:spacing w:after="60" w:line="204" w:lineRule="auto"/>
        <w:ind w:firstLine="240"/>
        <w:sectPr w:rsidR="00500724">
          <w:footnotePr>
            <w:numFmt w:val="chicago"/>
            <w:numRestart w:val="eachPage"/>
          </w:footnotePr>
          <w:type w:val="continuous"/>
          <w:pgSz w:w="11909" w:h="16834"/>
          <w:pgMar w:top="788" w:right="959" w:bottom="1009" w:left="586" w:header="0" w:footer="3" w:gutter="0"/>
          <w:cols w:num="2" w:space="112"/>
          <w:noEndnote/>
          <w:docGrid w:linePitch="360"/>
        </w:sectPr>
      </w:pPr>
      <w:r>
        <w:t>Jenže — kancl</w:t>
      </w:r>
      <w:r>
        <w:t>éř v možnost takové kombinace nikdy nevěřil. Nebyl nadarmo dost dlouho v Petro</w:t>
      </w:r>
      <w:r>
        <w:softHyphen/>
        <w:t>hradě, neseznamoval se Zbytečně s ruskou společ</w:t>
      </w:r>
      <w:r>
        <w:softHyphen/>
        <w:t>ností, aby věděl, že ani samoděržaví, pramálo dbající smýšlení svých poddaných, se nemůže odvážit k ně</w:t>
      </w:r>
      <w:r>
        <w:softHyphen/>
        <w:t xml:space="preserve">čemu tak — mírně řečeno — </w:t>
      </w:r>
      <w:r>
        <w:t>nepopulárnímu. Konec konců dovedl spočítat na prstech těch několik osob</w:t>
      </w:r>
      <w:r>
        <w:softHyphen/>
        <w:t xml:space="preserve">nosti, které jako Suvalov nebo </w:t>
      </w:r>
      <w:r>
        <w:rPr>
          <w:lang w:val="en-US" w:eastAsia="en-US" w:bidi="en-US"/>
        </w:rPr>
        <w:t xml:space="preserve">Suvorov </w:t>
      </w:r>
      <w:r>
        <w:t>byly naladěny Německu přátelsky; a cítil, jak nesmírnou protiváhu mají proti nim panslavistické nálady v inteligenci a v armádě. Byla tu ovšem pr</w:t>
      </w:r>
      <w:r>
        <w:t>otirevoluční solidarita obou dynastií, která v dřívějších dobách mohla vytvo</w:t>
      </w:r>
      <w:r>
        <w:softHyphen/>
        <w:t>řit určité předpoklady společné politiky. V druhé polo</w:t>
      </w:r>
      <w:r>
        <w:softHyphen/>
        <w:t>vici 19. století byly však tyto předpoklady — jak na</w:t>
      </w:r>
      <w:r>
        <w:softHyphen/>
        <w:t xml:space="preserve">psal kníže </w:t>
      </w:r>
      <w:r>
        <w:rPr>
          <w:lang w:val="en-US" w:eastAsia="en-US" w:bidi="en-US"/>
        </w:rPr>
        <w:t xml:space="preserve">Bismarck </w:t>
      </w:r>
      <w:r>
        <w:t>sám — ^oslabeny desítiletým falšováním veřejného mí</w:t>
      </w:r>
      <w:r>
        <w:t xml:space="preserve">nění ruským tiskem, který vytvořil a živil ve čtoucí části obyvatelstva umělou nenávist proti všemu německému, s níž dynastie musí počítat </w:t>
      </w:r>
      <w:r>
        <w:rPr>
          <w:b/>
          <w:bCs/>
          <w:sz w:val="20"/>
          <w:szCs w:val="20"/>
        </w:rPr>
        <w:t xml:space="preserve">i </w:t>
      </w:r>
      <w:r>
        <w:t>když by car chtěl pěstovat německé přá</w:t>
      </w:r>
      <w:r>
        <w:softHyphen/>
        <w:t>telství.*</w:t>
      </w:r>
    </w:p>
    <w:p w:rsidR="00500724" w:rsidRDefault="00500724">
      <w:pPr>
        <w:spacing w:line="33" w:lineRule="exact"/>
        <w:rPr>
          <w:sz w:val="3"/>
          <w:szCs w:val="3"/>
        </w:rPr>
      </w:pPr>
    </w:p>
    <w:p w:rsidR="00500724" w:rsidRDefault="00500724">
      <w:pPr>
        <w:spacing w:line="14" w:lineRule="exact"/>
        <w:sectPr w:rsidR="00500724">
          <w:footnotePr>
            <w:numFmt w:val="chicago"/>
            <w:numRestart w:val="eachPage"/>
          </w:footnotePr>
          <w:pgSz w:w="11909" w:h="16834"/>
          <w:pgMar w:top="1441" w:right="0" w:bottom="903" w:left="0" w:header="0" w:footer="3" w:gutter="0"/>
          <w:cols w:space="720"/>
          <w:noEndnote/>
          <w:docGrid w:linePitch="360"/>
        </w:sectPr>
      </w:pPr>
    </w:p>
    <w:p w:rsidR="00500724" w:rsidRDefault="00F30FB8">
      <w:pPr>
        <w:pStyle w:val="Zkladntext30"/>
        <w:shd w:val="clear" w:color="auto" w:fill="auto"/>
        <w:spacing w:after="0" w:line="206" w:lineRule="auto"/>
        <w:ind w:firstLine="240"/>
      </w:pPr>
      <w:r>
        <w:t xml:space="preserve">Ostatně něco podobného platilo zase </w:t>
      </w:r>
      <w:r>
        <w:t>naopak i v Ně</w:t>
      </w:r>
      <w:r>
        <w:softHyphen/>
        <w:t>mecku, kde by byla každá myšlenka na spojenectví s Ruskem narazila snad na nekritický, ale v každém případě na nepřekonatelný citový odpor obrovské většiny obyvatelstva. O obou zemích to lze říci do</w:t>
      </w:r>
      <w:r>
        <w:softHyphen/>
        <w:t>dnes.</w:t>
      </w:r>
    </w:p>
    <w:p w:rsidR="00500724" w:rsidRDefault="00F30FB8">
      <w:pPr>
        <w:pStyle w:val="Zkladntext30"/>
        <w:shd w:val="clear" w:color="auto" w:fill="auto"/>
        <w:spacing w:after="0" w:line="206" w:lineRule="auto"/>
        <w:ind w:firstLine="240"/>
      </w:pPr>
      <w:r>
        <w:t xml:space="preserve">V době rusko-turecké války měl </w:t>
      </w:r>
      <w:r>
        <w:rPr>
          <w:lang w:val="en-US" w:eastAsia="en-US" w:bidi="en-US"/>
        </w:rPr>
        <w:t>Bismar</w:t>
      </w:r>
      <w:r>
        <w:rPr>
          <w:lang w:val="en-US" w:eastAsia="en-US" w:bidi="en-US"/>
        </w:rPr>
        <w:t xml:space="preserve">ck </w:t>
      </w:r>
      <w:r>
        <w:t>zajíma</w:t>
      </w:r>
      <w:r>
        <w:softHyphen/>
        <w:t>vou rozmluvu se Šuvalovem. Ve svých Pamětech o ní píše:</w:t>
      </w:r>
    </w:p>
    <w:p w:rsidR="00500724" w:rsidRDefault="00F30FB8">
      <w:pPr>
        <w:pStyle w:val="Zkladntext30"/>
        <w:shd w:val="clear" w:color="auto" w:fill="auto"/>
        <w:spacing w:after="0" w:line="182" w:lineRule="auto"/>
        <w:ind w:firstLine="300"/>
        <w:rPr>
          <w:sz w:val="20"/>
          <w:szCs w:val="20"/>
        </w:rPr>
      </w:pPr>
      <w:r>
        <w:rPr>
          <w:sz w:val="20"/>
          <w:szCs w:val="20"/>
        </w:rPr>
        <w:t>»Rekl jsem mu (na jeho výroky o nutnosti německo- ruské aliance — pozn. J. A.), že kdybychom obětovali solid</w:t>
      </w:r>
      <w:r>
        <w:rPr>
          <w:sz w:val="20"/>
          <w:szCs w:val="20"/>
        </w:rPr>
        <w:softHyphen/>
        <w:t xml:space="preserve">nosti svého spojenectví s Ruskem vztahy ke všem ostatním mocnostem, octli bychom </w:t>
      </w:r>
      <w:r>
        <w:rPr>
          <w:sz w:val="20"/>
          <w:szCs w:val="20"/>
        </w:rPr>
        <w:t>se za akutních návalů francouz</w:t>
      </w:r>
      <w:r>
        <w:rPr>
          <w:sz w:val="20"/>
          <w:szCs w:val="20"/>
        </w:rPr>
        <w:softHyphen/>
        <w:t>ské a rakouské touhy po odvetě při své exponované země</w:t>
      </w:r>
      <w:r>
        <w:rPr>
          <w:sz w:val="20"/>
          <w:szCs w:val="20"/>
        </w:rPr>
        <w:softHyphen/>
        <w:t>pisné poloze v nebezpečné závislosti na Rusku.«</w:t>
      </w:r>
    </w:p>
    <w:p w:rsidR="00500724" w:rsidRDefault="00F30FB8">
      <w:pPr>
        <w:pStyle w:val="Zkladntext30"/>
        <w:shd w:val="clear" w:color="auto" w:fill="auto"/>
        <w:spacing w:after="0" w:line="204" w:lineRule="auto"/>
        <w:ind w:firstLine="240"/>
      </w:pPr>
      <w:r>
        <w:t>Pro takovou »rappallskou« politiku kníže Bic- marck ovšem nikdy nebyl; jeho plánem tu bylo spo</w:t>
      </w:r>
      <w:r>
        <w:softHyphen/>
        <w:t>jenectví tří císařů.</w:t>
      </w:r>
    </w:p>
    <w:p w:rsidR="00500724" w:rsidRDefault="00F30FB8">
      <w:pPr>
        <w:pStyle w:val="Zkladntext30"/>
        <w:shd w:val="clear" w:color="auto" w:fill="auto"/>
        <w:spacing w:after="0" w:line="204" w:lineRule="auto"/>
        <w:ind w:firstLine="240"/>
      </w:pPr>
      <w:r>
        <w:t xml:space="preserve">I tu </w:t>
      </w:r>
      <w:r>
        <w:t>však byly překážky, o nichž se nakonec uká</w:t>
      </w:r>
      <w:r>
        <w:softHyphen/>
        <w:t>zalo, že jsou nepřekonatelné. Kancléř si častěji po</w:t>
      </w:r>
      <w:r>
        <w:softHyphen/>
        <w:t>steskl nad tím, že car měl raději Františka Josefa I. než pruské krále a německé císaře — z důvodů, je</w:t>
      </w:r>
      <w:r>
        <w:softHyphen/>
        <w:t xml:space="preserve">jichž pravou podstatu </w:t>
      </w:r>
      <w:r>
        <w:rPr>
          <w:lang w:val="en-US" w:eastAsia="en-US" w:bidi="en-US"/>
        </w:rPr>
        <w:t xml:space="preserve">si Bismarck </w:t>
      </w:r>
      <w:r>
        <w:t>nezakrýval. Rusko se tot</w:t>
      </w:r>
      <w:r>
        <w:t>iž nemuselo cítit ve svých východních plánech ohroženo slábnoucím Rakouskem, avšak rostoucí síla nejprve Pruska a pak Německa znepokojovala car</w:t>
      </w:r>
      <w:r>
        <w:softHyphen/>
        <w:t>skou říši na celé její západní hranici.</w:t>
      </w:r>
    </w:p>
    <w:p w:rsidR="00500724" w:rsidRDefault="00F30FB8">
      <w:pPr>
        <w:pStyle w:val="Zkladntext30"/>
        <w:shd w:val="clear" w:color="auto" w:fill="auto"/>
        <w:spacing w:after="100" w:line="202" w:lineRule="auto"/>
        <w:ind w:firstLine="240"/>
      </w:pPr>
      <w:r>
        <w:t>Systém úsluh ruskému samoděržaví měl v Bis- marckově koncepci zabránit a</w:t>
      </w:r>
      <w:r>
        <w:t>spoň vývoji k horšímu nebo dokonce k nejhoršímu. Podle této zásady jednal za krymské války i za polského povstání a v Alvens- lebenově prusko-ruské vojenské koncepci z roku 1863 se v tomto směru domohl největšího úspěchu nad gor- ěakovskými tendencemi. Prů</w:t>
      </w:r>
      <w:r>
        <w:t>běh a výsledek berlín</w:t>
      </w:r>
      <w:r>
        <w:softHyphen/>
        <w:t>ského kongresu způsobil však nepříznivý obrat. Šu- valov, vlastní původce myšlenky jejího svolání, upadl v carskou nemilost, vliv Gorčakovův ještě jednou vy</w:t>
      </w:r>
      <w:r>
        <w:softHyphen/>
        <w:t>vrcholil a car se zklamaně vyslovil k německému cí</w:t>
      </w:r>
      <w:r>
        <w:softHyphen/>
        <w:t>saři: ^Kancléř Vašeho Veli</w:t>
      </w:r>
      <w:r>
        <w:t xml:space="preserve">čenstva zapomněl na sliby </w:t>
      </w:r>
      <w:r>
        <w:rPr>
          <w:b/>
          <w:bCs/>
          <w:sz w:val="26"/>
          <w:szCs w:val="26"/>
        </w:rPr>
        <w:t xml:space="preserve">z </w:t>
      </w:r>
      <w:r>
        <w:t>roku 1870 ...«</w:t>
      </w:r>
    </w:p>
    <w:p w:rsidR="00500724" w:rsidRDefault="00F30FB8">
      <w:pPr>
        <w:pStyle w:val="Nadpis110"/>
        <w:shd w:val="clear" w:color="auto" w:fill="auto"/>
        <w:spacing w:after="40" w:line="204" w:lineRule="auto"/>
        <w:jc w:val="center"/>
      </w:pPr>
      <w:bookmarkStart w:id="674" w:name="bookmark673"/>
      <w:r>
        <w:rPr>
          <w:rFonts w:ascii="Times New Roman" w:eastAsia="Times New Roman" w:hAnsi="Times New Roman" w:cs="Times New Roman"/>
        </w:rPr>
        <w:t>Bismarckův odkaz</w:t>
      </w:r>
      <w:bookmarkEnd w:id="674"/>
    </w:p>
    <w:p w:rsidR="00500724" w:rsidRDefault="00F30FB8">
      <w:pPr>
        <w:pStyle w:val="Zkladntext30"/>
        <w:shd w:val="clear" w:color="auto" w:fill="auto"/>
        <w:spacing w:after="0" w:line="202" w:lineRule="auto"/>
        <w:ind w:firstLine="240"/>
      </w:pPr>
      <w:r>
        <w:t>Ať už Železný kancléř zapomněl na cokoliv, na jed</w:t>
      </w:r>
      <w:r>
        <w:softHyphen/>
        <w:t>no nezapomínal nikdy: na rok 1812, tak katastrofální pro největší evropskou velmoc, která se odvážila ta</w:t>
      </w:r>
      <w:r>
        <w:softHyphen/>
        <w:t>žení do Ruska.</w:t>
      </w:r>
    </w:p>
    <w:p w:rsidR="00500724" w:rsidRDefault="00F30FB8">
      <w:pPr>
        <w:pStyle w:val="Zkladntext30"/>
        <w:shd w:val="clear" w:color="auto" w:fill="auto"/>
        <w:spacing w:after="0" w:line="202" w:lineRule="auto"/>
        <w:ind w:firstLine="240"/>
      </w:pPr>
      <w:r>
        <w:t>Proto nikdy nezapomínal zd</w:t>
      </w:r>
      <w:r>
        <w:t>ůrazňovat, že »mezi Německem a Ruskem neexistují zájmové rozdíly, jež by v sobě neodvratně nesly zárodky konfliktů a sráž- ky«. Proto nepřestával radit ke zdrželivosti vůči ruskému kolosu a prohlašoval, že je ^nerozumné a hanebné rozbíjeti z osobni nevraži</w:t>
      </w:r>
      <w:r>
        <w:t>vosti most, který nám dovoluje přiblížiti se Rusku«. Přál si, aby se uči</w:t>
      </w:r>
      <w:r>
        <w:softHyphen/>
        <w:t>nilo všechno, co »by mohlo zabrániti tomu, že by Rusko zaujalo stanovisko nám nepřátelské«. Viděl záruku bezpečnosti Německa v politice, »která by ne</w:t>
      </w:r>
      <w:r>
        <w:softHyphen/>
        <w:t>ustále pečlivě dbala o mír s Rusk</w:t>
      </w:r>
      <w:r>
        <w:t>em«.</w:t>
      </w:r>
    </w:p>
    <w:p w:rsidR="00500724" w:rsidRDefault="00F30FB8">
      <w:pPr>
        <w:pStyle w:val="Zkladntext30"/>
        <w:shd w:val="clear" w:color="auto" w:fill="auto"/>
        <w:spacing w:after="0" w:line="202" w:lineRule="auto"/>
        <w:ind w:firstLine="240"/>
      </w:pPr>
      <w:r>
        <w:t xml:space="preserve">Těmto svým neúnavným radám dovedl kníže </w:t>
      </w:r>
      <w:r>
        <w:rPr>
          <w:lang w:val="en-US" w:eastAsia="en-US" w:bidi="en-US"/>
        </w:rPr>
        <w:t>Bis</w:t>
      </w:r>
      <w:r>
        <w:rPr>
          <w:lang w:val="en-US" w:eastAsia="en-US" w:bidi="en-US"/>
        </w:rPr>
        <w:softHyphen/>
        <w:t xml:space="preserve">marck </w:t>
      </w:r>
      <w:r>
        <w:t>dodat zvlášť slavnostního důrazu v pohnuté chvíli, kdy německý národ naslouchal co nejbedlivěji — při smrti císaře Viléma I. Tehdy dal kancléř uve- řejniti obsah svojí poslední audience:</w:t>
      </w:r>
    </w:p>
    <w:p w:rsidR="00500724" w:rsidRDefault="00F30FB8">
      <w:pPr>
        <w:pStyle w:val="Zkladntext30"/>
        <w:shd w:val="clear" w:color="auto" w:fill="auto"/>
        <w:spacing w:after="0" w:line="221" w:lineRule="auto"/>
        <w:ind w:firstLine="300"/>
        <w:rPr>
          <w:sz w:val="19"/>
          <w:szCs w:val="19"/>
        </w:rPr>
      </w:pPr>
      <w:r>
        <w:rPr>
          <w:sz w:val="20"/>
          <w:szCs w:val="20"/>
        </w:rPr>
        <w:t>»8. března 188</w:t>
      </w:r>
      <w:r>
        <w:rPr>
          <w:sz w:val="20"/>
          <w:szCs w:val="20"/>
        </w:rPr>
        <w:t>8 měl jsem poslední rozmluvu s císařem, za niž byl Ještě při vědomí. Císař řekl, že ode mne očekává, že zůstanu na svém místě I za jeho nástupce. Projevil jsem ochotu sloužiti jeho nástupcům stejně oddaně jako jemu. Jeho jedinou odpovědí byl stisk ruky; pa</w:t>
      </w:r>
      <w:r>
        <w:rPr>
          <w:sz w:val="20"/>
          <w:szCs w:val="20"/>
        </w:rPr>
        <w:t xml:space="preserve">k se však dostavily horečné fantasie, </w:t>
      </w:r>
      <w:r>
        <w:rPr>
          <w:rFonts w:ascii="Arial" w:eastAsia="Arial" w:hAnsi="Arial" w:cs="Arial"/>
          <w:sz w:val="12"/>
          <w:szCs w:val="12"/>
        </w:rPr>
        <w:t xml:space="preserve">v </w:t>
      </w:r>
      <w:r>
        <w:rPr>
          <w:sz w:val="20"/>
          <w:szCs w:val="20"/>
        </w:rPr>
        <w:t xml:space="preserve">nichž převládaly myšlenky na vnuka </w:t>
      </w:r>
      <w:r>
        <w:rPr>
          <w:b/>
          <w:bCs/>
          <w:i/>
          <w:iCs/>
          <w:sz w:val="19"/>
          <w:szCs w:val="19"/>
        </w:rPr>
        <w:t>4tĎ</w:t>
      </w:r>
    </w:p>
    <w:p w:rsidR="00500724" w:rsidRDefault="00F30FB8">
      <w:pPr>
        <w:pStyle w:val="Zkladntext30"/>
        <w:shd w:val="clear" w:color="auto" w:fill="auto"/>
        <w:spacing w:after="0" w:line="180" w:lineRule="auto"/>
        <w:ind w:firstLine="0"/>
        <w:rPr>
          <w:sz w:val="20"/>
          <w:szCs w:val="20"/>
        </w:rPr>
      </w:pPr>
      <w:r>
        <w:rPr>
          <w:sz w:val="20"/>
          <w:szCs w:val="20"/>
        </w:rPr>
        <w:t>tak, že se domníval, že místo mne sedí u lože tento princ (pozdější císař Vilém II. — pozn. J. A.) a tu mne náhle oslovil s »ty«: — S ruským carem musíš vždy udržovat styk</w:t>
      </w:r>
      <w:r>
        <w:rPr>
          <w:sz w:val="20"/>
          <w:szCs w:val="20"/>
          <w:vertAlign w:val="subscript"/>
        </w:rPr>
        <w:t xml:space="preserve">4 </w:t>
      </w:r>
      <w:r>
        <w:rPr>
          <w:sz w:val="20"/>
          <w:szCs w:val="20"/>
        </w:rPr>
        <w:t xml:space="preserve">tu </w:t>
      </w:r>
      <w:r>
        <w:rPr>
          <w:sz w:val="20"/>
          <w:szCs w:val="20"/>
        </w:rPr>
        <w:t>nemusí být žádného sporu...&lt;</w:t>
      </w:r>
    </w:p>
    <w:p w:rsidR="00500724" w:rsidRDefault="00F30FB8">
      <w:pPr>
        <w:pStyle w:val="Zkladntext30"/>
        <w:shd w:val="clear" w:color="auto" w:fill="auto"/>
        <w:spacing w:after="180" w:line="202" w:lineRule="auto"/>
      </w:pPr>
      <w:r>
        <w:t xml:space="preserve">To tedy byla poslední slova prvního císaře nové německé říše! Někteří Bismarckovi odpůrci později pochybovali o jejich autentičnosti — a historik se musí zdržet úsudku tam, kde nebylo svědků, zvláště když ví, jak často se velikým mužům teprve </w:t>
      </w:r>
      <w:r>
        <w:rPr>
          <w:lang w:val="en-US" w:eastAsia="en-US" w:bidi="en-US"/>
        </w:rPr>
        <w:t xml:space="preserve">ex </w:t>
      </w:r>
      <w:r>
        <w:t>post vklád</w:t>
      </w:r>
      <w:r>
        <w:t xml:space="preserve">ala do úst jejich »poslední slova«. I pak či spíše právě pak je neobyčejně významné, že kníže </w:t>
      </w:r>
      <w:r>
        <w:rPr>
          <w:lang w:val="en-US" w:eastAsia="en-US" w:bidi="en-US"/>
        </w:rPr>
        <w:t>Bis</w:t>
      </w:r>
      <w:r>
        <w:rPr>
          <w:lang w:val="en-US" w:eastAsia="en-US" w:bidi="en-US"/>
        </w:rPr>
        <w:softHyphen/>
        <w:t xml:space="preserve">marck </w:t>
      </w:r>
      <w:r>
        <w:t>nalezl tento způsob, mluvící k srdcím jeho ná</w:t>
      </w:r>
      <w:r>
        <w:softHyphen/>
        <w:t>roda, aby podtrhl co nejslavnostněji, že Německo se má vyhnout každému otevřenému konfliktu s Ruskem.</w:t>
      </w:r>
    </w:p>
    <w:p w:rsidR="00500724" w:rsidRDefault="00F30FB8">
      <w:pPr>
        <w:pStyle w:val="Jin0"/>
        <w:shd w:val="clear" w:color="auto" w:fill="auto"/>
        <w:spacing w:after="140"/>
        <w:ind w:firstLine="0"/>
        <w:jc w:val="left"/>
        <w:rPr>
          <w:sz w:val="44"/>
          <w:szCs w:val="44"/>
        </w:rPr>
      </w:pPr>
      <w:r>
        <w:rPr>
          <w:b/>
          <w:bCs/>
          <w:sz w:val="44"/>
          <w:szCs w:val="44"/>
          <w:u w:val="single"/>
        </w:rPr>
        <w:t>lite</w:t>
      </w:r>
      <w:r>
        <w:rPr>
          <w:b/>
          <w:bCs/>
          <w:sz w:val="44"/>
          <w:szCs w:val="44"/>
          <w:u w:val="single"/>
        </w:rPr>
        <w:t>ratura a uměni</w:t>
      </w:r>
    </w:p>
    <w:p w:rsidR="00500724" w:rsidRDefault="00F30FB8">
      <w:pPr>
        <w:pStyle w:val="Zkladntext30"/>
        <w:shd w:val="clear" w:color="auto" w:fill="auto"/>
        <w:spacing w:line="223" w:lineRule="auto"/>
        <w:ind w:firstLine="0"/>
        <w:rPr>
          <w:sz w:val="20"/>
          <w:szCs w:val="20"/>
        </w:rPr>
      </w:pPr>
      <w:r>
        <w:rPr>
          <w:i/>
          <w:iCs/>
          <w:sz w:val="20"/>
          <w:szCs w:val="20"/>
        </w:rPr>
        <w:t>Josef T eichman:</w:t>
      </w:r>
    </w:p>
    <w:p w:rsidR="00500724" w:rsidRDefault="00F30FB8">
      <w:pPr>
        <w:pStyle w:val="Nadpis100"/>
        <w:shd w:val="clear" w:color="auto" w:fill="auto"/>
        <w:spacing w:line="240" w:lineRule="auto"/>
        <w:jc w:val="left"/>
      </w:pPr>
      <w:bookmarkStart w:id="675" w:name="bookmark674"/>
      <w:r>
        <w:t>České a německé divadlo v Praze</w:t>
      </w:r>
      <w:bookmarkEnd w:id="675"/>
    </w:p>
    <w:p w:rsidR="00500724" w:rsidRDefault="00F30FB8">
      <w:pPr>
        <w:pStyle w:val="Zkladntext30"/>
        <w:shd w:val="clear" w:color="auto" w:fill="auto"/>
        <w:spacing w:after="0" w:line="202" w:lineRule="auto"/>
      </w:pPr>
      <w:r>
        <w:t>Týden německé kultury v Praze měl světu připome</w:t>
      </w:r>
      <w:r>
        <w:softHyphen/>
        <w:t xml:space="preserve">nout nejen kulturní podíl němectví na pražské půdě, nýbrž i manifestovat podmínky spolupráce Čechů a Němců. V projevech německých řečníků i v </w:t>
      </w:r>
      <w:r>
        <w:t>tisku se často vyskytl obrat, že nyní už není překážek, aby se oba národy sešly v kulturní spolupráci a tímto způ</w:t>
      </w:r>
      <w:r>
        <w:softHyphen/>
        <w:t>sobem připravovaly cestu k shodě obecné. Naší ná</w:t>
      </w:r>
      <w:r>
        <w:softHyphen/>
        <w:t>rodní kultuře se při této příležitosti dostalo poklon, na něž jsme zatím nezvykli. Odtud i ch</w:t>
      </w:r>
      <w:r>
        <w:t>vat, s nímž byly všechny pochvaly v českém tisku kvitovány. Při tom však bylo podivné, že s jedné ani s druhé strany se vůbec nemluvilo o příčinách, proč za tolik let spo</w:t>
      </w:r>
      <w:r>
        <w:softHyphen/>
        <w:t>lečného života Čechů a Němců na pražské půdě, ještě se tato kulturní spolupráce neusk</w:t>
      </w:r>
      <w:r>
        <w:t>utečnila. Okolo této jistě vážné otázky se v týdnu německé kultury chodilo skoro po špičkách. Když nebylo vyhnutí a někdo se jí dotkl, neučinil tak způsobem, který by předmět histo</w:t>
      </w:r>
      <w:r>
        <w:softHyphen/>
        <w:t>ricky vyčerpal a náležitě osvětlil.</w:t>
      </w:r>
    </w:p>
    <w:p w:rsidR="00500724" w:rsidRDefault="00F30FB8">
      <w:pPr>
        <w:pStyle w:val="Zkladntext30"/>
        <w:shd w:val="clear" w:color="auto" w:fill="auto"/>
        <w:spacing w:after="0" w:line="202" w:lineRule="auto"/>
      </w:pPr>
      <w:r>
        <w:t>Nepochybujeme, že kulturní pracovníci z</w:t>
      </w:r>
      <w:r>
        <w:t xml:space="preserve"> Říše, po</w:t>
      </w:r>
      <w:r>
        <w:softHyphen/>
        <w:t>zvaní do Prahy k přednáškám, dobře vědí, kde je třeba hledat jádro věci. Jejich pohled na divadelní po</w:t>
      </w:r>
      <w:r>
        <w:softHyphen/>
        <w:t>měry v Praze byl už před lety o to jasnější, že nebyl kalen politickými výhradami a předsudky. Vyhnuli-li se ve svých projevech konstatování vl</w:t>
      </w:r>
      <w:r>
        <w:t>astních příčin kulturního ohraničení mezi Cechy a Němci v Praze, bylo v tom snad mnoho z taktu pozvaných hostí. Ale tím se poměrům v Praze neprospělo.</w:t>
      </w:r>
    </w:p>
    <w:p w:rsidR="00500724" w:rsidRDefault="00F30FB8">
      <w:pPr>
        <w:pStyle w:val="Zkladntext30"/>
        <w:shd w:val="clear" w:color="auto" w:fill="auto"/>
        <w:spacing w:line="202" w:lineRule="auto"/>
      </w:pPr>
      <w:r>
        <w:t xml:space="preserve">Objasnění této věci s naší strany pokládáme zá nevyhnutelné. Jsme dnes v situaci, která </w:t>
      </w:r>
      <w:r>
        <w:rPr>
          <w:i/>
          <w:iCs/>
        </w:rPr>
        <w:t>nám</w:t>
      </w:r>
      <w:r>
        <w:t xml:space="preserve"> ne</w:t>
      </w:r>
      <w:r>
        <w:softHyphen/>
        <w:t>dovoluje o</w:t>
      </w:r>
      <w:r>
        <w:t>dtahovat se od věcí, v nichž je i několik základních podmínek naší kulturní svébytnosti, jak nám byla Říší slavnostně zaručena. Co zavinilo, že mezi Čechy a Němci v Praze dosud nenastalo kul</w:t>
      </w:r>
      <w:r>
        <w:softHyphen/>
        <w:t>turní sblížení a vyrovnání, o tom máme své mínění opřené o fakta,</w:t>
      </w:r>
      <w:r>
        <w:t xml:space="preserve"> která hodláme Němcům nabídnout k přezkoumání a k diskusi. Pro snazší porozumění se zatím omezíme jen na půdu pražského divadelnictví a na příkladech se pokusíme ukázat, proč se všechny snahy po shodě a spolupráci hned v samém zárodku rozbíjely.</w:t>
      </w:r>
    </w:p>
    <w:p w:rsidR="00500724" w:rsidRDefault="00F30FB8">
      <w:pPr>
        <w:pStyle w:val="Zkladntext30"/>
        <w:shd w:val="clear" w:color="auto" w:fill="auto"/>
        <w:spacing w:line="202" w:lineRule="auto"/>
        <w:ind w:firstLine="0"/>
        <w:jc w:val="center"/>
      </w:pPr>
      <w:r>
        <w:t>Divadlo ja</w:t>
      </w:r>
      <w:r>
        <w:t>ko politický triumf</w:t>
      </w:r>
    </w:p>
    <w:p w:rsidR="00500724" w:rsidRDefault="00F30FB8">
      <w:pPr>
        <w:pStyle w:val="Zkladntext30"/>
        <w:shd w:val="clear" w:color="auto" w:fill="auto"/>
        <w:spacing w:line="206" w:lineRule="auto"/>
      </w:pPr>
      <w:r>
        <w:t>V Hooverově třídě, blízko Wilsonova nádraží v Praze, stojí na pohled neveliká budova Nového ně</w:t>
      </w:r>
      <w:r>
        <w:softHyphen/>
        <w:t>meckého divadla. Srovnáme-li však počet sedadel</w:t>
      </w:r>
    </w:p>
    <w:p w:rsidR="00500724" w:rsidRDefault="00F30FB8">
      <w:pPr>
        <w:pStyle w:val="Zkladntext30"/>
        <w:shd w:val="clear" w:color="auto" w:fill="auto"/>
        <w:spacing w:after="0" w:line="204" w:lineRule="auto"/>
        <w:ind w:firstLine="0"/>
      </w:pPr>
      <w:r>
        <w:rPr>
          <w:b/>
          <w:bCs/>
          <w:sz w:val="20"/>
          <w:szCs w:val="20"/>
        </w:rPr>
        <w:t xml:space="preserve">v </w:t>
      </w:r>
      <w:r>
        <w:t>tomto divadle s počtem sedadel v Národním divadle, dojdeme k překvapujícímu výsledku, že to</w:t>
      </w:r>
      <w:r>
        <w:t xml:space="preserve">to Nové německé divadlo je vlastně největší divadelní budovou </w:t>
      </w:r>
      <w:r>
        <w:rPr>
          <w:b/>
          <w:bCs/>
          <w:sz w:val="20"/>
          <w:szCs w:val="20"/>
        </w:rPr>
        <w:t xml:space="preserve">v </w:t>
      </w:r>
      <w:r>
        <w:t xml:space="preserve">Praze. Projektanti tohoto divadla, známí architekti </w:t>
      </w:r>
      <w:r>
        <w:rPr>
          <w:lang w:val="en-US" w:eastAsia="en-US" w:bidi="en-US"/>
        </w:rPr>
        <w:t xml:space="preserve">Fellner </w:t>
      </w:r>
      <w:r>
        <w:t>a Hellmer, vytvořili na tomto skrovném půdo</w:t>
      </w:r>
      <w:r>
        <w:softHyphen/>
        <w:t>rysu malý zázrak, nešetříce na technickém a prosto</w:t>
      </w:r>
      <w:r>
        <w:softHyphen/>
        <w:t>rovém vybavení jeviště a jeho přilehl</w:t>
      </w:r>
      <w:r>
        <w:t>ých částí. Jen letmá prohlídka tohoto divadla každého přesvědčí, že o umělecké a representační potřeby pražských Němců bylo zde dobře postaráno a — jak padesátiletá činnost tohoto divadelního Stánku ukazuje — Nové německé divadlo bylo až do podzimku roku 1</w:t>
      </w:r>
      <w:r>
        <w:t>918 jazykovou baštou Němců v Praze.</w:t>
      </w:r>
    </w:p>
    <w:p w:rsidR="00500724" w:rsidRDefault="00F30FB8">
      <w:pPr>
        <w:pStyle w:val="Zkladntext30"/>
        <w:shd w:val="clear" w:color="auto" w:fill="auto"/>
        <w:spacing w:after="0" w:line="202" w:lineRule="auto"/>
        <w:ind w:firstLine="240"/>
      </w:pPr>
      <w:r>
        <w:t xml:space="preserve">Již myšlenka vzniku tohoto Nového divadla byla svými iniciátory podepřena přáním, aby i Němci </w:t>
      </w:r>
      <w:r>
        <w:rPr>
          <w:b/>
          <w:bCs/>
          <w:sz w:val="20"/>
          <w:szCs w:val="20"/>
        </w:rPr>
        <w:t xml:space="preserve">v </w:t>
      </w:r>
      <w:r>
        <w:t xml:space="preserve">Praze měli takovou budovu, která by se vyrovnala českému Národnímu divadlu v těchto letech po jeho vyhoření chvatně </w:t>
      </w:r>
      <w:r>
        <w:t>dokončovanému. Svou žádost odů</w:t>
      </w:r>
      <w:r>
        <w:softHyphen/>
        <w:t xml:space="preserve">vodnili tím, že Stavovské divadlo nevyhovuje zvláště </w:t>
      </w:r>
      <w:r>
        <w:rPr>
          <w:b/>
          <w:bCs/>
          <w:sz w:val="20"/>
          <w:szCs w:val="20"/>
        </w:rPr>
        <w:t xml:space="preserve">z </w:t>
      </w:r>
      <w:r>
        <w:t>důvodů bezpečnostních a vyslovili obavu, aby je ne</w:t>
      </w:r>
      <w:r>
        <w:softHyphen/>
        <w:t>stihl podobný osud nedávno vyhořelého vídeňského Ringtheatru.</w:t>
      </w:r>
    </w:p>
    <w:p w:rsidR="00500724" w:rsidRDefault="00F30FB8">
      <w:pPr>
        <w:pStyle w:val="Zkladntext30"/>
        <w:shd w:val="clear" w:color="auto" w:fill="auto"/>
        <w:spacing w:after="0" w:line="187" w:lineRule="auto"/>
        <w:ind w:firstLine="240"/>
        <w:rPr>
          <w:sz w:val="20"/>
          <w:szCs w:val="20"/>
        </w:rPr>
      </w:pPr>
      <w:r>
        <w:t>Zemský výbor žádost Němců v Praze odmítl. Zpra</w:t>
      </w:r>
      <w:r>
        <w:softHyphen/>
        <w:t>vodaj výbo</w:t>
      </w:r>
      <w:r>
        <w:t xml:space="preserve">ru, pozdější pražský místodržitel </w:t>
      </w:r>
      <w:r>
        <w:rPr>
          <w:lang w:val="en-US" w:eastAsia="en-US" w:bidi="en-US"/>
        </w:rPr>
        <w:t xml:space="preserve">hr. </w:t>
      </w:r>
      <w:r>
        <w:t>Fran</w:t>
      </w:r>
      <w:r>
        <w:softHyphen/>
        <w:t xml:space="preserve">tišek Thun, se v svém referátu vyjádřil, že </w:t>
      </w:r>
      <w:r>
        <w:rPr>
          <w:sz w:val="20"/>
          <w:szCs w:val="20"/>
        </w:rPr>
        <w:t>»v divadlech, kde se hrají špatné kusy a francouzské opere</w:t>
      </w:r>
      <w:r>
        <w:rPr>
          <w:sz w:val="20"/>
          <w:szCs w:val="20"/>
        </w:rPr>
        <w:softHyphen/>
        <w:t>ty, se zušlechťuje vkus a mrav právě tak málo, jako v di</w:t>
      </w:r>
      <w:r>
        <w:rPr>
          <w:sz w:val="20"/>
          <w:szCs w:val="20"/>
        </w:rPr>
        <w:softHyphen/>
        <w:t xml:space="preserve">vadle, jež se zařizuje na taneční síň. Jest jen </w:t>
      </w:r>
      <w:r>
        <w:rPr>
          <w:sz w:val="20"/>
          <w:szCs w:val="20"/>
        </w:rPr>
        <w:t>litovat, že německé obecenstvo svými návaly osvědčuje operetám mnohem větší přízeň, než hrám skutečně cenným. Země má jiné důležitější věci na starosti, než přispívat tomuto obe</w:t>
      </w:r>
      <w:r>
        <w:rPr>
          <w:sz w:val="20"/>
          <w:szCs w:val="20"/>
        </w:rPr>
        <w:softHyphen/>
        <w:t>censtvu na jeho pouhé pobavení...«</w:t>
      </w:r>
    </w:p>
    <w:p w:rsidR="00500724" w:rsidRDefault="00F30FB8">
      <w:pPr>
        <w:pStyle w:val="Zkladntext30"/>
        <w:shd w:val="clear" w:color="auto" w:fill="auto"/>
        <w:spacing w:after="100" w:line="202" w:lineRule="auto"/>
        <w:ind w:firstLine="240"/>
      </w:pPr>
      <w:r>
        <w:t>Odmítavé stanovisko zemského výboru však ne</w:t>
      </w:r>
      <w:r>
        <w:softHyphen/>
        <w:t xml:space="preserve">mohlo způsobit, aby Němci </w:t>
      </w:r>
      <w:r>
        <w:rPr>
          <w:b/>
          <w:bCs/>
          <w:sz w:val="20"/>
          <w:szCs w:val="20"/>
        </w:rPr>
        <w:t xml:space="preserve">v </w:t>
      </w:r>
      <w:r>
        <w:t>Praze od svého úmyslu upustili. Nové německé divadlo se stalo politickým heslem. Byl utvořen Nový divadelní spolek, který z da</w:t>
      </w:r>
      <w:r>
        <w:softHyphen/>
        <w:t>rů bohatých Němců, sbírek, loterií a divadelních plesů měl zakrátko dostatek peněz, že mohl přikroči</w:t>
      </w:r>
      <w:r>
        <w:t xml:space="preserve">t </w:t>
      </w:r>
      <w:r>
        <w:rPr>
          <w:b/>
          <w:bCs/>
          <w:sz w:val="20"/>
          <w:szCs w:val="20"/>
        </w:rPr>
        <w:t xml:space="preserve">k </w:t>
      </w:r>
      <w:r>
        <w:t>stavbě.</w:t>
      </w:r>
    </w:p>
    <w:p w:rsidR="00500724" w:rsidRDefault="00F30FB8">
      <w:pPr>
        <w:pStyle w:val="Zkladntext30"/>
        <w:shd w:val="clear" w:color="auto" w:fill="auto"/>
        <w:spacing w:after="80" w:line="223" w:lineRule="auto"/>
        <w:ind w:firstLine="0"/>
        <w:jc w:val="center"/>
        <w:rPr>
          <w:sz w:val="20"/>
          <w:szCs w:val="20"/>
        </w:rPr>
      </w:pPr>
      <w:r>
        <w:rPr>
          <w:b/>
          <w:bCs/>
          <w:sz w:val="20"/>
          <w:szCs w:val="20"/>
        </w:rPr>
        <w:t>Dvě divadelní tvrze</w:t>
      </w:r>
    </w:p>
    <w:p w:rsidR="00500724" w:rsidRDefault="00F30FB8">
      <w:pPr>
        <w:pStyle w:val="Zkladntext30"/>
        <w:shd w:val="clear" w:color="auto" w:fill="auto"/>
        <w:spacing w:after="0" w:line="202" w:lineRule="auto"/>
        <w:ind w:firstLine="240"/>
      </w:pPr>
      <w:r>
        <w:t>Od té doby uplynulo přes padesát let, na něž histo</w:t>
      </w:r>
      <w:r>
        <w:softHyphen/>
        <w:t xml:space="preserve">rie divadelnictví </w:t>
      </w:r>
      <w:r>
        <w:rPr>
          <w:b/>
          <w:bCs/>
          <w:sz w:val="20"/>
          <w:szCs w:val="20"/>
        </w:rPr>
        <w:t xml:space="preserve">v </w:t>
      </w:r>
      <w:r>
        <w:t>Praze vzpomíná s různými pocity. V době rakousko-uherské monarchie stálo české a ně</w:t>
      </w:r>
      <w:r>
        <w:softHyphen/>
        <w:t xml:space="preserve">mecké divadlo na pražské půdě proti sobě jako dvě cizí a nepřátelské </w:t>
      </w:r>
      <w:r>
        <w:t>tvrze. Mezi těmito uměleckými ústa</w:t>
      </w:r>
      <w:r>
        <w:softHyphen/>
        <w:t>vy obou národností nebylo nic, co by je slučovalo. Ne</w:t>
      </w:r>
      <w:r>
        <w:softHyphen/>
        <w:t xml:space="preserve">bylo možné hovořit ani o nějaké umělecké soutěži, neboť </w:t>
      </w:r>
      <w:r>
        <w:rPr>
          <w:b/>
          <w:bCs/>
          <w:sz w:val="20"/>
          <w:szCs w:val="20"/>
        </w:rPr>
        <w:t xml:space="preserve">i v </w:t>
      </w:r>
      <w:r>
        <w:t>čistě artistickém směru si byla obě divadla tak cizí, až to zaráželo.</w:t>
      </w:r>
    </w:p>
    <w:p w:rsidR="00500724" w:rsidRDefault="00F30FB8">
      <w:pPr>
        <w:pStyle w:val="Zkladntext30"/>
        <w:shd w:val="clear" w:color="auto" w:fill="auto"/>
        <w:spacing w:after="0" w:line="202" w:lineRule="auto"/>
        <w:ind w:firstLine="240"/>
      </w:pPr>
      <w:r>
        <w:t xml:space="preserve">Přes to přese všecko Národní divadlo </w:t>
      </w:r>
      <w:r>
        <w:t xml:space="preserve">vykazovalo </w:t>
      </w:r>
      <w:r>
        <w:rPr>
          <w:b/>
          <w:bCs/>
          <w:sz w:val="20"/>
          <w:szCs w:val="20"/>
        </w:rPr>
        <w:t xml:space="preserve">i </w:t>
      </w:r>
      <w:r>
        <w:t>v dobách svých krisí vyšší kulturní úroveň. Jeho umělecká produkce nikdy nebyla zatížena politickými nebo národnostními předsudky. Na scéně Národního divadla se hrála všechna významná díla německé ná</w:t>
      </w:r>
      <w:r>
        <w:softHyphen/>
        <w:t xml:space="preserve">rodní kultury, zatím co Německé divadlo se </w:t>
      </w:r>
      <w:r>
        <w:t>i k nej</w:t>
      </w:r>
      <w:r>
        <w:softHyphen/>
        <w:t>vyšším duchovním hodnotám českého národa obra</w:t>
      </w:r>
      <w:r>
        <w:softHyphen/>
        <w:t>celo zády.</w:t>
      </w:r>
    </w:p>
    <w:p w:rsidR="00500724" w:rsidRDefault="00F30FB8">
      <w:pPr>
        <w:pStyle w:val="Zkladntext30"/>
        <w:shd w:val="clear" w:color="auto" w:fill="auto"/>
        <w:spacing w:line="204" w:lineRule="auto"/>
        <w:ind w:firstLine="240"/>
      </w:pPr>
      <w:r>
        <w:t>To je skutečnost, kterou lze snadno dokázat srovná</w:t>
      </w:r>
      <w:r>
        <w:softHyphen/>
        <w:t>ním repertoáru obou těchto divadel. Německé divadlo dlouho neuvedlo na scénu něco z české dramatické tvorby. Nechtělo znát, co se děje v čes</w:t>
      </w:r>
      <w:r>
        <w:t>kém prostředí. Libovalo si v okázalostech a v podceňování českého umění, třebas vědělo, že toto stanovisko je neudržitel</w:t>
      </w:r>
      <w:r>
        <w:softHyphen/>
      </w:r>
      <w:r>
        <w:rPr>
          <w:b/>
          <w:bCs/>
          <w:sz w:val="20"/>
          <w:szCs w:val="20"/>
        </w:rPr>
        <w:t xml:space="preserve">né, </w:t>
      </w:r>
      <w:r>
        <w:t>když v Německu, kam byly zraky tohoto divadla upřeny, byla význačná díla české hudební a drama</w:t>
      </w:r>
      <w:r>
        <w:softHyphen/>
        <w:t>tické produkce již dobře známa.</w:t>
      </w:r>
    </w:p>
    <w:p w:rsidR="00500724" w:rsidRDefault="00F30FB8">
      <w:pPr>
        <w:pStyle w:val="Zkladntext30"/>
        <w:shd w:val="clear" w:color="auto" w:fill="auto"/>
        <w:spacing w:after="60" w:line="202" w:lineRule="auto"/>
        <w:ind w:firstLine="240"/>
      </w:pPr>
      <w:r>
        <w:t>To o</w:t>
      </w:r>
      <w:r>
        <w:t>všem nemohlo přispět k sblížení českého a ně</w:t>
      </w:r>
      <w:r>
        <w:softHyphen/>
        <w:t>meckého obecenstva. Češi a Němci nalezli jakousi shodu jen na pražské půdě koncertní, ale nic podstat</w:t>
      </w:r>
      <w:r>
        <w:softHyphen/>
        <w:t>ného z toho nikdy nevzešlo. Češi a Němci se po tako</w:t>
      </w:r>
      <w:r>
        <w:softHyphen/>
        <w:t>vém »společném« koncertu opět rozešli a to bez jaké</w:t>
      </w:r>
      <w:r>
        <w:softHyphen/>
        <w:t xml:space="preserve">koli </w:t>
      </w:r>
      <w:r>
        <w:t>podmínky pro další soustavnou spolupráci. Byla to nepřirozená a nezdravá atmosféra, vytvořená rakouským centralismem, jehož negativní vlastnosti Němci v Praze namnoze pěstovali.</w:t>
      </w:r>
    </w:p>
    <w:p w:rsidR="00500724" w:rsidRDefault="00F30FB8">
      <w:pPr>
        <w:pStyle w:val="Zkladntext30"/>
        <w:shd w:val="clear" w:color="auto" w:fill="auto"/>
        <w:spacing w:after="60" w:line="202" w:lineRule="auto"/>
        <w:ind w:firstLine="0"/>
        <w:jc w:val="center"/>
      </w:pPr>
      <w:r>
        <w:t>Jiskry v popeli</w:t>
      </w:r>
    </w:p>
    <w:p w:rsidR="00500724" w:rsidRDefault="00F30FB8">
      <w:pPr>
        <w:pStyle w:val="Zkladntext30"/>
        <w:shd w:val="clear" w:color="auto" w:fill="auto"/>
        <w:spacing w:after="0" w:line="202" w:lineRule="auto"/>
        <w:ind w:firstLine="240"/>
      </w:pPr>
      <w:r>
        <w:t>A přece Češi dodnes rádi vzpomínají na záslužné údobí Německéh</w:t>
      </w:r>
      <w:r>
        <w:t>o divadla, kdy umělecký ráz divadla byl najednou vyzdvižen nad politické a národnostní přehrady. Bylo to zásluhou znamenitého ředitele tohoto divadla Angelo Neumanna. To byl vskutku vzor vzdělaného divadelního ředitele. Jeho vliv se také rázem projevil i v</w:t>
      </w:r>
      <w:r>
        <w:t xml:space="preserve"> českém kulturním světě. Neumann sem přinesl z Německa širší umělecká hlediska, v nichž pražský německý provincionalismus musil chtěj nechtěj ustoupit. Neumannova práce v opeře byla takového druhu, že Německé divadlo se v tomto směru stalo i korektivem pro</w:t>
      </w:r>
      <w:r>
        <w:t xml:space="preserve"> operu divadla Národ</w:t>
      </w:r>
      <w:r>
        <w:softHyphen/>
        <w:t>ního. Neumannovy proslulé cykly Wagnerových oper, to bylo něco, co Praha dosud nezažila. Neumann, vy</w:t>
      </w:r>
      <w:r>
        <w:softHyphen/>
        <w:t>nikající znalec Wagnerova díla, se tak velmi zasloužil i o rozptýlení mlhy navrstvené okolo díla tohoto ně</w:t>
      </w:r>
      <w:r>
        <w:softHyphen/>
        <w:t>meckého mistra, mlhy, která</w:t>
      </w:r>
      <w:r>
        <w:t xml:space="preserve"> v Praze až zahoustla při</w:t>
      </w:r>
      <w:r>
        <w:softHyphen/>
        <w:t>činěním lidí, kteří svými úsudky podráželi nohy už Smetanovi a potom každému, kdo v Richardu Wag- nerovi nechtěl vidět jen Germána. Bylo možné jen litovat, že Neumám se v této své činnosti také jen omezil na díla z okruhu germánsk</w:t>
      </w:r>
      <w:r>
        <w:t>ého a že přezíral rámec toho slovanského světa, v jehož středu působil. Ale jeho průkopnická práce přes to vykonávala mo</w:t>
      </w:r>
      <w:r>
        <w:softHyphen/>
        <w:t>hutný vliv na chápání pražského divadelního obecen</w:t>
      </w:r>
      <w:r>
        <w:softHyphen/>
        <w:t xml:space="preserve">stva a co víc: pobízela správu Národního divadla </w:t>
      </w:r>
      <w:r>
        <w:rPr>
          <w:b/>
          <w:bCs/>
          <w:sz w:val="20"/>
          <w:szCs w:val="20"/>
        </w:rPr>
        <w:t>k vy</w:t>
      </w:r>
      <w:r>
        <w:rPr>
          <w:b/>
          <w:bCs/>
          <w:sz w:val="20"/>
          <w:szCs w:val="20"/>
        </w:rPr>
        <w:softHyphen/>
      </w:r>
      <w:r>
        <w:t>rovnání nedostatků v jejím vla</w:t>
      </w:r>
      <w:r>
        <w:t>stním repertoáru.</w:t>
      </w:r>
    </w:p>
    <w:p w:rsidR="00500724" w:rsidRDefault="00F30FB8">
      <w:pPr>
        <w:pStyle w:val="Zkladntext30"/>
        <w:shd w:val="clear" w:color="auto" w:fill="auto"/>
        <w:spacing w:after="0" w:line="204" w:lineRule="auto"/>
        <w:ind w:firstLine="240"/>
      </w:pPr>
      <w:r>
        <w:t xml:space="preserve">Odchodem Angelo Neumanna z divadla jako </w:t>
      </w:r>
      <w:r>
        <w:rPr>
          <w:b/>
          <w:bCs/>
          <w:sz w:val="20"/>
          <w:szCs w:val="20"/>
        </w:rPr>
        <w:t xml:space="preserve">by </w:t>
      </w:r>
      <w:r>
        <w:t>se Německé divadlo vrátilo k svým začátkům. Neuman</w:t>
      </w:r>
      <w:r>
        <w:softHyphen/>
      </w:r>
      <w:r>
        <w:rPr>
          <w:b/>
          <w:bCs/>
          <w:sz w:val="20"/>
          <w:szCs w:val="20"/>
        </w:rPr>
        <w:t xml:space="preserve">nův </w:t>
      </w:r>
      <w:r>
        <w:t xml:space="preserve">nástupce, pražský Němec Heinrich Teweles, </w:t>
      </w:r>
      <w:r>
        <w:rPr>
          <w:b/>
          <w:bCs/>
          <w:sz w:val="20"/>
          <w:szCs w:val="20"/>
        </w:rPr>
        <w:t>ne</w:t>
      </w:r>
      <w:r>
        <w:rPr>
          <w:b/>
          <w:bCs/>
          <w:sz w:val="20"/>
          <w:szCs w:val="20"/>
        </w:rPr>
        <w:softHyphen/>
      </w:r>
      <w:r>
        <w:t xml:space="preserve">přinesl sem víc než své znalosti literární, </w:t>
      </w:r>
      <w:r>
        <w:rPr>
          <w:b/>
          <w:bCs/>
          <w:sz w:val="20"/>
          <w:szCs w:val="20"/>
        </w:rPr>
        <w:t>a to ne</w:t>
      </w:r>
      <w:r>
        <w:rPr>
          <w:b/>
          <w:bCs/>
          <w:sz w:val="20"/>
          <w:szCs w:val="20"/>
        </w:rPr>
        <w:softHyphen/>
      </w:r>
      <w:r>
        <w:t xml:space="preserve">stačilo. České obecenstvo odtud zase odešlo, </w:t>
      </w:r>
      <w:r>
        <w:rPr>
          <w:b/>
          <w:bCs/>
          <w:sz w:val="20"/>
          <w:szCs w:val="20"/>
        </w:rPr>
        <w:t>a ně</w:t>
      </w:r>
      <w:r>
        <w:rPr>
          <w:b/>
          <w:bCs/>
          <w:sz w:val="20"/>
          <w:szCs w:val="20"/>
        </w:rPr>
        <w:softHyphen/>
      </w:r>
      <w:r>
        <w:t xml:space="preserve">meckého bylo poskrovnu. Stavovské divadlo </w:t>
      </w:r>
      <w:r>
        <w:rPr>
          <w:b/>
          <w:bCs/>
          <w:sz w:val="20"/>
          <w:szCs w:val="20"/>
        </w:rPr>
        <w:t xml:space="preserve">se za </w:t>
      </w:r>
      <w:r>
        <w:t xml:space="preserve">těchto okolností stalo velkou přítěží pro Nové divadlo. Často šest dní v týdnu bylo zavřeno, nepořádali-li v něm Němci pro nedostatek divadelního </w:t>
      </w:r>
      <w:r>
        <w:rPr>
          <w:b/>
          <w:bCs/>
          <w:sz w:val="20"/>
          <w:szCs w:val="20"/>
        </w:rPr>
        <w:t>obecen</w:t>
      </w:r>
      <w:r>
        <w:rPr>
          <w:b/>
          <w:bCs/>
          <w:sz w:val="20"/>
          <w:szCs w:val="20"/>
        </w:rPr>
        <w:softHyphen/>
      </w:r>
      <w:r>
        <w:t xml:space="preserve">stva </w:t>
      </w:r>
      <w:r>
        <w:t>— kinematografická představení.</w:t>
      </w:r>
    </w:p>
    <w:p w:rsidR="00500724" w:rsidRDefault="00F30FB8">
      <w:pPr>
        <w:pStyle w:val="Zkladntext30"/>
        <w:shd w:val="clear" w:color="auto" w:fill="auto"/>
        <w:spacing w:after="0" w:line="206" w:lineRule="auto"/>
        <w:ind w:firstLine="240"/>
      </w:pPr>
      <w:r>
        <w:t xml:space="preserve">Národní divadlo, poučeno skvělými výsledky </w:t>
      </w:r>
      <w:r>
        <w:rPr>
          <w:b/>
          <w:bCs/>
          <w:sz w:val="20"/>
          <w:szCs w:val="20"/>
        </w:rPr>
        <w:t>Neu</w:t>
      </w:r>
      <w:r>
        <w:rPr>
          <w:b/>
          <w:bCs/>
          <w:sz w:val="20"/>
          <w:szCs w:val="20"/>
        </w:rPr>
        <w:softHyphen/>
      </w:r>
      <w:r>
        <w:t xml:space="preserve">mannových cyklů, čím dál tím víc přitahovalo </w:t>
      </w:r>
      <w:r>
        <w:rPr>
          <w:b/>
          <w:bCs/>
          <w:sz w:val="20"/>
          <w:szCs w:val="20"/>
        </w:rPr>
        <w:t>praž</w:t>
      </w:r>
      <w:r>
        <w:rPr>
          <w:b/>
          <w:bCs/>
          <w:sz w:val="20"/>
          <w:szCs w:val="20"/>
        </w:rPr>
        <w:softHyphen/>
      </w:r>
      <w:r>
        <w:t xml:space="preserve">ské Němce. V Národním divadle se scházeli Němci </w:t>
      </w:r>
      <w:r>
        <w:rPr>
          <w:b/>
          <w:bCs/>
          <w:sz w:val="20"/>
          <w:szCs w:val="20"/>
        </w:rPr>
        <w:t xml:space="preserve">k </w:t>
      </w:r>
      <w:r>
        <w:t>poslechu děl, pro něž jejich vlastní divadlo nemělo dostatek pochopení.</w:t>
      </w:r>
    </w:p>
    <w:p w:rsidR="00500724" w:rsidRDefault="00F30FB8">
      <w:pPr>
        <w:pStyle w:val="Zkladntext30"/>
        <w:shd w:val="clear" w:color="auto" w:fill="auto"/>
        <w:tabs>
          <w:tab w:val="left" w:pos="3072"/>
          <w:tab w:val="left" w:leader="underscore" w:pos="3159"/>
          <w:tab w:val="left" w:leader="underscore" w:pos="3437"/>
        </w:tabs>
        <w:spacing w:after="60" w:line="204" w:lineRule="auto"/>
        <w:ind w:firstLine="240"/>
      </w:pPr>
      <w:r>
        <w:t xml:space="preserve">Ale </w:t>
      </w:r>
      <w:r>
        <w:t>ani tak se nedospělo k nějakému užšímu sblíženi pražskjch Němců s českým uměním. Němečtí návštěv</w:t>
      </w:r>
      <w:r>
        <w:softHyphen/>
        <w:t>níci českého divadla, z nichž většina byli židé, zachová</w:t>
      </w:r>
      <w:r>
        <w:softHyphen/>
        <w:t>vali zdrželivost, třebas české divadlo ani v dobách nej</w:t>
      </w:r>
      <w:r>
        <w:softHyphen/>
        <w:t xml:space="preserve">prudších politických zápasů neztrácelo nic ze </w:t>
      </w:r>
      <w:r>
        <w:t>svého čistě uměleckého poslání. Znova se potvrdilo, že praž</w:t>
      </w:r>
      <w:r>
        <w:softHyphen/>
        <w:t xml:space="preserve">ská půda není způsobilá přimět oba národní kmeny k vzájemné výměně kulturních statků. Každý </w:t>
      </w:r>
      <w:r>
        <w:rPr>
          <w:b/>
          <w:bCs/>
          <w:sz w:val="20"/>
          <w:szCs w:val="20"/>
        </w:rPr>
        <w:t xml:space="preserve">i </w:t>
      </w:r>
      <w:r>
        <w:t>sebe lépe myšlený pokus o dohodu nutně selhal, navrstviv v zápětí nové roztrpčení v úhoru tohoto kultu</w:t>
      </w:r>
      <w:r>
        <w:t>mě- politického zápolení. Průběh války pak zavalil troska</w:t>
      </w:r>
      <w:r>
        <w:softHyphen/>
        <w:t xml:space="preserve">mi i ty cestičky, jimiž se kulturní češi a Němci </w:t>
      </w:r>
      <w:r>
        <w:rPr>
          <w:b/>
          <w:bCs/>
          <w:sz w:val="20"/>
          <w:szCs w:val="20"/>
        </w:rPr>
        <w:t xml:space="preserve">v Praze k </w:t>
      </w:r>
      <w:r>
        <w:t>sobě přibližovali,</w:t>
      </w:r>
      <w:r>
        <w:tab/>
      </w:r>
      <w:r>
        <w:tab/>
      </w:r>
      <w:r>
        <w:tab/>
        <w:t>_</w:t>
      </w:r>
    </w:p>
    <w:p w:rsidR="00500724" w:rsidRDefault="00F30FB8">
      <w:pPr>
        <w:pStyle w:val="Zkladntext30"/>
        <w:shd w:val="clear" w:color="auto" w:fill="auto"/>
        <w:spacing w:after="60" w:line="204" w:lineRule="auto"/>
        <w:ind w:firstLine="0"/>
        <w:jc w:val="center"/>
      </w:pPr>
      <w:r>
        <w:t>Převratem se nic nezměnilo</w:t>
      </w:r>
    </w:p>
    <w:p w:rsidR="00500724" w:rsidRDefault="00F30FB8">
      <w:pPr>
        <w:pStyle w:val="Zkladntext30"/>
        <w:shd w:val="clear" w:color="auto" w:fill="auto"/>
        <w:spacing w:after="0" w:line="204" w:lineRule="auto"/>
      </w:pPr>
      <w:r>
        <w:t>Ale ani v republice nenastalo nějaké sblížení mezi Cechy a Němci na divadelní půdě. Němec</w:t>
      </w:r>
      <w:r>
        <w:t>ké divadlo, s něhož doba setřela mnoho z jeho politického rázu, seznamovalo se s českou hudební a dramatickou pro</w:t>
      </w:r>
      <w:r>
        <w:softHyphen/>
        <w:t>dukcí pomalu a s váháním. Každé uvedení českého díla na jeviště Německého divadla bylo div ne vyklá</w:t>
      </w:r>
      <w:r>
        <w:softHyphen/>
        <w:t>dáno jako nutná koncese Cechům za subvence</w:t>
      </w:r>
      <w:r>
        <w:t xml:space="preserve"> po</w:t>
      </w:r>
      <w:r>
        <w:softHyphen/>
        <w:t>skytované tomuto divadlu. Clona cizoty mezi kultur</w:t>
      </w:r>
      <w:r>
        <w:softHyphen/>
        <w:t>ními zájmy Cechů a Němců v Praze zůstala tak nadále nedotčena.</w:t>
      </w:r>
    </w:p>
    <w:p w:rsidR="00500724" w:rsidRDefault="00F30FB8">
      <w:pPr>
        <w:pStyle w:val="Zkladntext30"/>
        <w:shd w:val="clear" w:color="auto" w:fill="auto"/>
        <w:spacing w:after="60" w:line="204" w:lineRule="auto"/>
      </w:pPr>
      <w:r>
        <w:t xml:space="preserve">Zatím čas plynul. Německé divadlo, odkázáno samo </w:t>
      </w:r>
      <w:r>
        <w:rPr>
          <w:u w:val="single"/>
        </w:rPr>
        <w:t>na</w:t>
      </w:r>
      <w:r>
        <w:t xml:space="preserve"> sebe, rychle se osamostatnilo a tím i oddělilo od českého prostředí. I politický ráz d</w:t>
      </w:r>
      <w:r>
        <w:t>ivadla se začal brzo projevovat obezřetnou orientací po všem, co se dělo v sousední Říši. Nebylo možné to divadlu vyčítat. Jeho dost již ohrožená existence z velké části závisela i na tom, co přicházelo z Říše. Byla to těžká situace divadla, jež se mělo za</w:t>
      </w:r>
      <w:r>
        <w:t>chovat mezi dvěma světovými proudy, které v Praze na sebe zvlášť ostře narážely. Divadlo se opatrně vyhýbalo všemu, co sice bylo je</w:t>
      </w:r>
      <w:r>
        <w:softHyphen/>
        <w:t>vištně aktuální, ale politicky nežádoucí. Přání herců českých a německých po sblížení' nalezlo výraz jen v společném provede</w:t>
      </w:r>
      <w:r>
        <w:t>ní Stěpánkovy hry Cech a Ně</w:t>
      </w:r>
      <w:r>
        <w:softHyphen/>
        <w:t>mec. Byl to zajímavý pokus, ale přišel pozdě. Nebof I v něm už bylo mnoho negativních prvků rázu po</w:t>
      </w:r>
      <w:r>
        <w:softHyphen/>
        <w:t>litického.</w:t>
      </w:r>
    </w:p>
    <w:p w:rsidR="00500724" w:rsidRDefault="00F30FB8">
      <w:pPr>
        <w:pStyle w:val="Nadpis110"/>
        <w:shd w:val="clear" w:color="auto" w:fill="auto"/>
        <w:spacing w:line="204" w:lineRule="auto"/>
        <w:jc w:val="center"/>
      </w:pPr>
      <w:bookmarkStart w:id="676" w:name="bookmark675"/>
      <w:r>
        <w:rPr>
          <w:rFonts w:ascii="Times New Roman" w:eastAsia="Times New Roman" w:hAnsi="Times New Roman" w:cs="Times New Roman"/>
        </w:rPr>
        <w:t>Vyhlídkykulturní spolupráce</w:t>
      </w:r>
      <w:bookmarkEnd w:id="676"/>
    </w:p>
    <w:p w:rsidR="00500724" w:rsidRDefault="00F30FB8">
      <w:pPr>
        <w:pStyle w:val="Zkladntext30"/>
        <w:shd w:val="clear" w:color="auto" w:fill="auto"/>
        <w:spacing w:after="0" w:line="202" w:lineRule="auto"/>
      </w:pPr>
      <w:r>
        <w:t>K tomu, aby mezi Cechy a Němci mohla nastat upřímná shoda a kulturní spolupráce, je třeba</w:t>
      </w:r>
      <w:r>
        <w:t xml:space="preserve"> právě dnes několik podmínek, z nichž podmínka nejhlav</w:t>
      </w:r>
      <w:r>
        <w:softHyphen/>
        <w:t>nější bude, aby Češi měli kde hrát. Není možné, aby Češi vcházeli do této spolupráce s takovým handi</w:t>
      </w:r>
      <w:r>
        <w:softHyphen/>
        <w:t>capem. Náleží k povaze našeho národa, že v divadle nikdy nehledal jen místo zábavy a příjemného roz</w:t>
      </w:r>
      <w:r>
        <w:softHyphen/>
      </w:r>
      <w:r>
        <w:t>ptýlení. Nebylo jistě náhodou, že česká doba pro</w:t>
      </w:r>
      <w:r>
        <w:softHyphen/>
        <w:t xml:space="preserve">buzenecká je skrz naskrz protkána vřelou touhou po vlastním českém divadle a že s jeviště divadla se kdysi ozvala píseň, která se později stala národní </w:t>
      </w:r>
      <w:r>
        <w:rPr>
          <w:i/>
          <w:iCs/>
        </w:rPr>
        <w:t>a</w:t>
      </w:r>
      <w:r>
        <w:t xml:space="preserve"> státní hymnou. Národní divadlo nebude moci plně slouž</w:t>
      </w:r>
      <w:r>
        <w:t>it potřebám českého obecenstva, které k svému divadlu projevuje tolik oddanosti a lásky. Operu, činohru a balet čekají zlé doby. Čeští herci a zpěváci nebudou plně zaměstnáváni, existence mnohých bude ohrožena.</w:t>
      </w:r>
    </w:p>
    <w:p w:rsidR="00500724" w:rsidRDefault="00F30FB8">
      <w:pPr>
        <w:pStyle w:val="Zkladntext30"/>
        <w:shd w:val="clear" w:color="auto" w:fill="auto"/>
        <w:spacing w:after="0" w:line="202" w:lineRule="auto"/>
      </w:pPr>
      <w:r>
        <w:t>Za těchto podmínek má vejít české divadlo v u</w:t>
      </w:r>
      <w:r>
        <w:t>mě</w:t>
      </w:r>
      <w:r>
        <w:softHyphen/>
        <w:t>leckou soutěž a v kulturní spolupráci s divadlem ně</w:t>
      </w:r>
      <w:r>
        <w:softHyphen/>
        <w:t>meckým. Jsou to podmínky nedostatečné. Neboť tam, kde se bude zápasit o každou minutu zkoušek a tech</w:t>
      </w:r>
      <w:r>
        <w:softHyphen/>
        <w:t>nických příprav, bude jakákoli soutěž a spolupráce ohrožena.</w:t>
      </w:r>
    </w:p>
    <w:p w:rsidR="00500724" w:rsidRDefault="00F30FB8">
      <w:pPr>
        <w:pStyle w:val="Nadpis80"/>
        <w:keepNext/>
        <w:keepLines/>
        <w:shd w:val="clear" w:color="auto" w:fill="auto"/>
        <w:spacing w:after="160" w:line="187" w:lineRule="auto"/>
        <w:rPr>
          <w:sz w:val="48"/>
          <w:szCs w:val="48"/>
        </w:rPr>
      </w:pPr>
      <w:bookmarkStart w:id="677" w:name="bookmark676"/>
      <w:r>
        <w:rPr>
          <w:sz w:val="48"/>
          <w:szCs w:val="48"/>
        </w:rPr>
        <w:t>život a instituce</w:t>
      </w:r>
      <w:bookmarkEnd w:id="677"/>
    </w:p>
    <w:p w:rsidR="00500724" w:rsidRDefault="00F30FB8">
      <w:pPr>
        <w:pStyle w:val="Zkladntext30"/>
        <w:shd w:val="clear" w:color="auto" w:fill="auto"/>
        <w:spacing w:after="0" w:line="223" w:lineRule="auto"/>
        <w:ind w:firstLine="0"/>
        <w:jc w:val="left"/>
        <w:rPr>
          <w:sz w:val="20"/>
          <w:szCs w:val="20"/>
        </w:rPr>
      </w:pPr>
      <w:r>
        <w:rPr>
          <w:i/>
          <w:iCs/>
          <w:sz w:val="20"/>
          <w:szCs w:val="20"/>
        </w:rPr>
        <w:t xml:space="preserve">Milena J e s e n s k </w:t>
      </w:r>
      <w:r>
        <w:rPr>
          <w:i/>
          <w:iCs/>
          <w:sz w:val="20"/>
          <w:szCs w:val="20"/>
        </w:rPr>
        <w:t>á:</w:t>
      </w:r>
    </w:p>
    <w:p w:rsidR="00500724" w:rsidRDefault="00F30FB8">
      <w:pPr>
        <w:pStyle w:val="Nadpis100"/>
        <w:shd w:val="clear" w:color="auto" w:fill="auto"/>
        <w:spacing w:after="0" w:line="218" w:lineRule="auto"/>
      </w:pPr>
      <w:bookmarkStart w:id="678" w:name="bookmark677"/>
      <w:r>
        <w:t>S „ubohým a holým“</w:t>
      </w:r>
      <w:bookmarkEnd w:id="678"/>
    </w:p>
    <w:p w:rsidR="00500724" w:rsidRDefault="00F30FB8">
      <w:pPr>
        <w:pStyle w:val="Zkladntext100"/>
        <w:shd w:val="clear" w:color="auto" w:fill="auto"/>
        <w:spacing w:line="240" w:lineRule="auto"/>
        <w:ind w:left="820" w:firstLine="20"/>
        <w:jc w:val="left"/>
      </w:pPr>
      <w:r>
        <w:t>Hej dum da, matko má, kolik synů máte?</w:t>
      </w:r>
    </w:p>
    <w:p w:rsidR="00500724" w:rsidRDefault="00F30FB8">
      <w:pPr>
        <w:pStyle w:val="Zkladntext100"/>
        <w:shd w:val="clear" w:color="auto" w:fill="auto"/>
        <w:spacing w:line="180" w:lineRule="auto"/>
        <w:ind w:left="820" w:firstLine="20"/>
        <w:jc w:val="left"/>
      </w:pPr>
      <w:r>
        <w:t>Pana Matesa prvního, Mikuláška druhého.</w:t>
      </w:r>
    </w:p>
    <w:p w:rsidR="00500724" w:rsidRDefault="00F30FB8">
      <w:pPr>
        <w:pStyle w:val="Zkladntext100"/>
        <w:numPr>
          <w:ilvl w:val="0"/>
          <w:numId w:val="77"/>
        </w:numPr>
        <w:shd w:val="clear" w:color="auto" w:fill="auto"/>
        <w:tabs>
          <w:tab w:val="left" w:pos="1148"/>
        </w:tabs>
        <w:spacing w:line="180" w:lineRule="auto"/>
        <w:ind w:left="820" w:firstLine="20"/>
        <w:jc w:val="left"/>
      </w:pPr>
      <w:r>
        <w:t>ubohýho a holýho třetího.</w:t>
      </w:r>
    </w:p>
    <w:p w:rsidR="00500724" w:rsidRDefault="00F30FB8">
      <w:pPr>
        <w:pStyle w:val="Zkladntext100"/>
        <w:shd w:val="clear" w:color="auto" w:fill="auto"/>
        <w:spacing w:line="240" w:lineRule="auto"/>
        <w:ind w:left="820" w:firstLine="20"/>
        <w:jc w:val="left"/>
      </w:pPr>
      <w:r>
        <w:t>Hej dum da, matko má, co jim jíst dáváte?</w:t>
      </w:r>
    </w:p>
    <w:p w:rsidR="00500724" w:rsidRDefault="00F30FB8">
      <w:pPr>
        <w:pStyle w:val="Zkladntext100"/>
        <w:shd w:val="clear" w:color="auto" w:fill="auto"/>
        <w:spacing w:line="180" w:lineRule="auto"/>
        <w:ind w:left="820" w:firstLine="20"/>
        <w:jc w:val="left"/>
      </w:pPr>
      <w:r>
        <w:t>Panu Matesu pečínku. Mikuláškovi chlebíček</w:t>
      </w:r>
    </w:p>
    <w:p w:rsidR="00500724" w:rsidRDefault="00F30FB8">
      <w:pPr>
        <w:pStyle w:val="Zkladntext100"/>
        <w:numPr>
          <w:ilvl w:val="0"/>
          <w:numId w:val="77"/>
        </w:numPr>
        <w:shd w:val="clear" w:color="auto" w:fill="auto"/>
        <w:tabs>
          <w:tab w:val="left" w:pos="1153"/>
        </w:tabs>
        <w:spacing w:line="182" w:lineRule="auto"/>
        <w:ind w:left="820" w:firstLine="20"/>
        <w:jc w:val="left"/>
      </w:pPr>
      <w:r>
        <w:t>ubohýmu a holýmu kůrčičky.</w:t>
      </w:r>
    </w:p>
    <w:p w:rsidR="00500724" w:rsidRDefault="00F30FB8">
      <w:pPr>
        <w:pStyle w:val="Zkladntext100"/>
        <w:shd w:val="clear" w:color="auto" w:fill="auto"/>
        <w:spacing w:line="221" w:lineRule="auto"/>
        <w:ind w:left="820" w:firstLine="20"/>
        <w:jc w:val="left"/>
      </w:pPr>
      <w:r>
        <w:t xml:space="preserve">Hej dum da, matko má, kam le </w:t>
      </w:r>
      <w:r>
        <w:rPr>
          <w:lang w:val="en-US" w:eastAsia="en-US" w:bidi="en-US"/>
        </w:rPr>
        <w:t xml:space="preserve">spat </w:t>
      </w:r>
      <w:r>
        <w:t>dáváte?</w:t>
      </w:r>
    </w:p>
    <w:p w:rsidR="00500724" w:rsidRDefault="00F30FB8">
      <w:pPr>
        <w:pStyle w:val="Zkladntext100"/>
        <w:shd w:val="clear" w:color="auto" w:fill="auto"/>
        <w:spacing w:line="180" w:lineRule="auto"/>
        <w:ind w:left="820" w:firstLine="20"/>
        <w:jc w:val="left"/>
      </w:pPr>
      <w:r>
        <w:t>Pana Matesa na postel, Mikuláška za postel,</w:t>
      </w:r>
    </w:p>
    <w:p w:rsidR="00500724" w:rsidRDefault="00F30FB8">
      <w:pPr>
        <w:pStyle w:val="Zkladntext100"/>
        <w:numPr>
          <w:ilvl w:val="0"/>
          <w:numId w:val="77"/>
        </w:numPr>
        <w:shd w:val="clear" w:color="auto" w:fill="auto"/>
        <w:tabs>
          <w:tab w:val="left" w:pos="1153"/>
        </w:tabs>
        <w:spacing w:line="223" w:lineRule="auto"/>
        <w:ind w:left="820" w:firstLine="20"/>
        <w:jc w:val="left"/>
      </w:pPr>
      <w:r>
        <w:t>ubohýho a holýho pod postel. Česká písnička</w:t>
      </w:r>
    </w:p>
    <w:p w:rsidR="00500724" w:rsidRDefault="00F30FB8">
      <w:pPr>
        <w:pStyle w:val="Zkladntext30"/>
        <w:shd w:val="clear" w:color="auto" w:fill="auto"/>
        <w:spacing w:after="0" w:line="202" w:lineRule="auto"/>
        <w:rPr>
          <w:sz w:val="20"/>
          <w:szCs w:val="20"/>
        </w:rPr>
      </w:pPr>
      <w:r>
        <w:rPr>
          <w:b/>
          <w:bCs/>
          <w:sz w:val="20"/>
          <w:szCs w:val="20"/>
        </w:rPr>
        <w:t>Před nějakým časem prošla novinami zpráva obrovské</w:t>
      </w:r>
      <w:r>
        <w:rPr>
          <w:b/>
          <w:bCs/>
          <w:sz w:val="20"/>
          <w:szCs w:val="20"/>
        </w:rPr>
        <w:softHyphen/>
        <w:t>ho dosahu v komentáři celkem úředním a suchém. Stávky</w:t>
      </w:r>
    </w:p>
    <w:p w:rsidR="00500724" w:rsidRDefault="00F30FB8">
      <w:pPr>
        <w:pStyle w:val="Zkladntext100"/>
        <w:shd w:val="clear" w:color="auto" w:fill="auto"/>
        <w:spacing w:after="60" w:line="230" w:lineRule="auto"/>
        <w:ind w:firstLine="0"/>
      </w:pPr>
      <w:r>
        <w:t xml:space="preserve">a výluky jsou na </w:t>
      </w:r>
      <w:r>
        <w:t>území Protektorátu zakázány. Touto vě</w:t>
      </w:r>
      <w:r>
        <w:softHyphen/>
        <w:t>tou začíná nejen nový řád, ale celý nový věk a nová sou</w:t>
      </w:r>
      <w:r>
        <w:softHyphen/>
        <w:t>stava hospodářského seskupení. Povrchní čtenář asi nepo</w:t>
      </w:r>
      <w:r>
        <w:softHyphen/>
        <w:t>střehl v této větě převrat veškerého hospodářského řádu. Stávky totiž nebývaly nikdy povoleny. Stávky se p</w:t>
      </w:r>
      <w:r>
        <w:t>odařily nebo nepodařily — a to bylo celkem jediné, co se o nich dalo říci. Byly, pravda, často mrhání silami a majetkem, ale byly současně i projevem vůle. Beztrestný projev svo</w:t>
      </w:r>
      <w:r>
        <w:softHyphen/>
        <w:t>bodné vůle je ovšem současně i projev moci a podrobná historie stávek v posled</w:t>
      </w:r>
      <w:r>
        <w:t>ních desíti letech řekla by o síle jednotnosti a moci dělnictva v tom či kterém státě víc, než všechny teoretické úvahy zmohou: takové dějiny daly by totiž jasný důkaz, že jednotnost a síla dělnického projevu pozvolna degeneruje a upadá. Historie stávek bý</w:t>
      </w:r>
      <w:r>
        <w:t>valého československého státu řekly by totéž a kdyby si dal ně</w:t>
      </w:r>
      <w:r>
        <w:softHyphen/>
        <w:t>kdo práci a sepsal dějiny francouzských stávek za posled</w:t>
      </w:r>
      <w:r>
        <w:softHyphen/>
        <w:t>ních deset let, bylo by zajímavé sledovat křivku, která bý mu vyšla. Stávka se končí tam, kde nastává soumrak libe- ralisíického kapital</w:t>
      </w:r>
      <w:r>
        <w:t>ismu a to tak nenávratně, jako končí den, když začíná noc.</w:t>
      </w:r>
    </w:p>
    <w:p w:rsidR="00500724" w:rsidRDefault="00F30FB8">
      <w:pPr>
        <w:pStyle w:val="Zkladntext100"/>
        <w:shd w:val="clear" w:color="auto" w:fill="auto"/>
        <w:spacing w:after="60" w:line="218" w:lineRule="auto"/>
        <w:ind w:firstLine="260"/>
      </w:pPr>
      <w:r>
        <w:t>O pojmu svobody bylo v posledních dvaceti letech sve</w:t>
      </w:r>
      <w:r>
        <w:softHyphen/>
        <w:t xml:space="preserve">deno více půtek, než o cokoli jiného. Svoboda byla </w:t>
      </w:r>
      <w:r>
        <w:rPr>
          <w:b/>
          <w:bCs/>
          <w:sz w:val="19"/>
          <w:szCs w:val="19"/>
        </w:rPr>
        <w:t xml:space="preserve">a </w:t>
      </w:r>
      <w:r>
        <w:t xml:space="preserve">ja prohlašována za nejvyšší lidský statek a majetek, projev nejvyšší lidské důstojnosti. </w:t>
      </w:r>
      <w:r>
        <w:t>Nebyl to jenom systém řízené</w:t>
      </w:r>
      <w:r>
        <w:softHyphen/>
        <w:t>ho hospodářství, který rozpoutal tyto debaty. Už v letech' hluboké hospodářské krise jsme měli příležitost přemýšlet, jakým způsobem se nezaměstnaný dělník zalkne přemírou své svobody. Už tehdy přestávala být stávka zbraní, pro</w:t>
      </w:r>
      <w:r>
        <w:softHyphen/>
        <w:t>tože při každé stávce bylo pomalu víc stávkokazů než za</w:t>
      </w:r>
      <w:r>
        <w:softHyphen/>
        <w:t>městnaného dělnictva — a naopak pro sociálně nej slabší, t. j. nezaměstnané, nebyla stávka vůbec zbraní, protože ne</w:t>
      </w:r>
      <w:r>
        <w:softHyphen/>
        <w:t>bylo kde stávkovat. Tyto problémy se daly v demokratic</w:t>
      </w:r>
      <w:r>
        <w:softHyphen/>
        <w:t>kém systému řešit pouze podp</w:t>
      </w:r>
      <w:r>
        <w:t>orami — t. j. nedaly se řešil vůbec. Na přelomu dvaaiřicátého roku bylo jasno, že věci dospěly ve střední Evropě takového stupně, že budou musit být řešeny, nebylo však jasno, kým a jak budou řešeny.</w:t>
      </w:r>
    </w:p>
    <w:p w:rsidR="00500724" w:rsidRDefault="00F30FB8">
      <w:pPr>
        <w:pStyle w:val="Zkladntext100"/>
        <w:shd w:val="clear" w:color="auto" w:fill="auto"/>
        <w:spacing w:line="218" w:lineRule="auto"/>
        <w:ind w:firstLine="260"/>
      </w:pPr>
      <w:r>
        <w:t>U nás v Čechách měly sociální boje ještě zvláštní výji</w:t>
      </w:r>
      <w:r>
        <w:softHyphen/>
        <w:t>m</w:t>
      </w:r>
      <w:r>
        <w:t>ečné situační znaky - znaky malého státi’, závislého na větším.</w:t>
      </w:r>
    </w:p>
    <w:p w:rsidR="00500724" w:rsidRDefault="00F30FB8">
      <w:pPr>
        <w:pStyle w:val="Zkladntext100"/>
        <w:shd w:val="clear" w:color="auto" w:fill="auto"/>
        <w:spacing w:after="60" w:line="218" w:lineRule="auto"/>
        <w:ind w:firstLine="0"/>
        <w:jc w:val="center"/>
      </w:pPr>
      <w:r>
        <w:t>•</w:t>
      </w:r>
    </w:p>
    <w:p w:rsidR="00500724" w:rsidRDefault="00F30FB8">
      <w:pPr>
        <w:pStyle w:val="Zkladntext100"/>
        <w:shd w:val="clear" w:color="auto" w:fill="auto"/>
        <w:spacing w:line="221" w:lineRule="auto"/>
        <w:ind w:firstLine="300"/>
      </w:pPr>
      <w:r>
        <w:t>Němci nikoho přímo nenutili, aby odešel z domova pracovat do Německa. Žádostem bylo vyhověno s rych</w:t>
      </w:r>
      <w:r>
        <w:softHyphen/>
        <w:t>lostí, o které se nám ani nezdá. Jen si představte, kolik času potřebovaly naše úřady, aby</w:t>
      </w:r>
      <w:r>
        <w:t xml:space="preserve"> vyřídily nějakou žá</w:t>
      </w:r>
      <w:r>
        <w:softHyphen/>
        <w:t>dost. Na říšském pracovním úřadě je žádost o práci vy</w:t>
      </w:r>
      <w:r>
        <w:softHyphen/>
        <w:t>řízena během několika dnů. Znám lidi, kteří odjeli týž tý</w:t>
      </w:r>
      <w:r>
        <w:softHyphen/>
        <w:t xml:space="preserve">den, kdy sí o práci zažádali. Někteří už poslali peníze domů. V Ěíši jsou zaradováni do práce a daří se jím právě tak jako </w:t>
      </w:r>
      <w:r>
        <w:t>německým dělníkům. Je obtížné žádat od člověka, který nemá práci, nemá sám co jíst, a nemá co by dal dětem jíst a je nubohý a holý*, aby se nestaral o ně</w:t>
      </w:r>
      <w:r>
        <w:softHyphen/>
        <w:t>jakou možnost práce. Bezprostřední styk Čechů s Němci může být jen ku prospěchu — skoro bych řekla, že</w:t>
      </w:r>
      <w:r>
        <w:t xml:space="preserve"> Něm</w:t>
      </w:r>
      <w:r>
        <w:softHyphen/>
        <w:t>cům, poněvadž se alespoň přesvědčí, že jsme národ do</w:t>
      </w:r>
      <w:r>
        <w:softHyphen/>
        <w:t>vedný, pilný. Je tu však několik okolností, které jsou bo</w:t>
      </w:r>
      <w:r>
        <w:softHyphen/>
        <w:t>lestné a nad některými Němec, když s ním o tom hovoříte, krčí rameny, říkaje: to je přece vaše věc?</w:t>
      </w:r>
    </w:p>
    <w:p w:rsidR="00500724" w:rsidRDefault="00F30FB8">
      <w:pPr>
        <w:pStyle w:val="Zkladntext100"/>
        <w:shd w:val="clear" w:color="auto" w:fill="auto"/>
        <w:spacing w:line="221" w:lineRule="auto"/>
        <w:ind w:firstLine="260"/>
      </w:pPr>
      <w:r>
        <w:t>Lidé, kteří odjíždějí, nejsou ovšem pohr</w:t>
      </w:r>
      <w:r>
        <w:t>omadě, nýbrž do</w:t>
      </w:r>
      <w:r>
        <w:softHyphen/>
        <w:t>stanou se tam, kde je třeba pilných rukcu. Několik do Hannoveru, několik do Magdeburku, pár tam, pár onam. Snad jim bude s počátku íeskno. Později si zvyknou. Vezmou k sobě své ženy a děti. Ty děti budou ovšem chodit do německých škol. češt</w:t>
      </w:r>
      <w:r>
        <w:t>í chlapci se seznámí s ně</w:t>
      </w:r>
      <w:r>
        <w:softHyphen/>
        <w:t>meckými dívkami a české dívky s německými chlapci. Neříkám, že se nám ti lidé odrodí - ale věčně jim zůstana v srdci pomyšlení: vlastní zem mne nedovedla uživit. Co jsem měl tedy dělat?</w:t>
      </w:r>
    </w:p>
    <w:p w:rsidR="00500724" w:rsidRDefault="00F30FB8">
      <w:pPr>
        <w:pStyle w:val="Zkladntext100"/>
        <w:shd w:val="clear" w:color="auto" w:fill="auto"/>
        <w:spacing w:after="60" w:line="221" w:lineRule="auto"/>
        <w:ind w:firstLine="300"/>
        <w:sectPr w:rsidR="00500724">
          <w:footnotePr>
            <w:numFmt w:val="chicago"/>
            <w:numRestart w:val="eachPage"/>
          </w:footnotePr>
          <w:type w:val="continuous"/>
          <w:pgSz w:w="11909" w:h="16834"/>
          <w:pgMar w:top="1441" w:right="1036" w:bottom="903" w:left="541" w:header="0" w:footer="3" w:gutter="0"/>
          <w:cols w:num="2" w:space="128"/>
          <w:noEndnote/>
          <w:docGrid w:linePitch="360"/>
        </w:sectPr>
      </w:pPr>
      <w:r>
        <w:t>Mluvila jsem o</w:t>
      </w:r>
      <w:r>
        <w:t xml:space="preserve"> tom s Němcem, člověkem širokého roz</w:t>
      </w:r>
      <w:r>
        <w:softHyphen/>
        <w:t>hledu, jevícím pochopení pro naši situaci. íPovede-li se těm lidem v Německu dobře,* tázal se mne, »není ío jedno, budou-li mluvit německy nebo česky?*</w:t>
      </w:r>
    </w:p>
    <w:p w:rsidR="00500724" w:rsidRDefault="00F30FB8">
      <w:pPr>
        <w:spacing w:line="14" w:lineRule="exact"/>
      </w:pPr>
      <w:r>
        <w:rPr>
          <w:noProof/>
        </w:rPr>
        <mc:AlternateContent>
          <mc:Choice Requires="wps">
            <w:drawing>
              <wp:anchor distT="0" distB="66675" distL="114300" distR="1019810" simplePos="0" relativeHeight="125830076" behindDoc="0" locked="0" layoutInCell="1" allowOverlap="1">
                <wp:simplePos x="0" y="0"/>
                <wp:positionH relativeFrom="page">
                  <wp:posOffset>2992755</wp:posOffset>
                </wp:positionH>
                <wp:positionV relativeFrom="paragraph">
                  <wp:posOffset>12700</wp:posOffset>
                </wp:positionV>
                <wp:extent cx="381000" cy="384175"/>
                <wp:effectExtent l="0" t="0" r="0" b="0"/>
                <wp:wrapTopAndBottom/>
                <wp:docPr id="699" name="Shape 699"/>
                <wp:cNvGraphicFramePr/>
                <a:graphic xmlns:a="http://schemas.openxmlformats.org/drawingml/2006/main">
                  <a:graphicData uri="http://schemas.microsoft.com/office/word/2010/wordprocessingShape">
                    <wps:wsp>
                      <wps:cNvSpPr txBox="1"/>
                      <wps:spPr>
                        <a:xfrm>
                          <a:off x="0" y="0"/>
                          <a:ext cx="381000" cy="384175"/>
                        </a:xfrm>
                        <a:prstGeom prst="rect">
                          <a:avLst/>
                        </a:prstGeom>
                        <a:noFill/>
                      </wps:spPr>
                      <wps:txbx>
                        <w:txbxContent>
                          <w:p w:rsidR="00500724" w:rsidRDefault="00F30FB8">
                            <w:pPr>
                              <w:pStyle w:val="Nadpis90"/>
                              <w:keepNext/>
                              <w:keepLines/>
                              <w:shd w:val="clear" w:color="auto" w:fill="auto"/>
                              <w:spacing w:after="0"/>
                            </w:pPr>
                            <w:bookmarkStart w:id="679" w:name="bookmark678"/>
                            <w:r>
                              <w:t>ftít</w:t>
                            </w:r>
                            <w:bookmarkEnd w:id="679"/>
                          </w:p>
                        </w:txbxContent>
                      </wps:txbx>
                      <wps:bodyPr lIns="0" tIns="0" rIns="0" bIns="0">
                        <a:spAutoFit/>
                      </wps:bodyPr>
                    </wps:wsp>
                  </a:graphicData>
                </a:graphic>
              </wp:anchor>
            </w:drawing>
          </mc:Choice>
          <mc:Fallback>
            <w:pict>
              <v:shape id="_x0000_s1725" type="#_x0000_t202" style="position:absolute;margin-left:235.65000000000001pt;margin-top:1.pt;width:30.pt;height:30.25pt;z-index:-125828677;mso-wrap-distance-left:9.pt;mso-wrap-distance-right:80.299999999999997pt;mso-wrap-distance-bottom:5.25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678" w:name="bookmark678"/>
                      <w:r>
                        <w:rPr>
                          <w:color w:val="000000"/>
                          <w:spacing w:val="0"/>
                          <w:w w:val="100"/>
                          <w:position w:val="0"/>
                          <w:shd w:val="clear" w:color="auto" w:fill="auto"/>
                          <w:lang w:val="cs-CZ" w:eastAsia="cs-CZ" w:bidi="cs-CZ"/>
                        </w:rPr>
                        <w:t>ftít</w:t>
                      </w:r>
                      <w:bookmarkEnd w:id="678"/>
                    </w:p>
                  </w:txbxContent>
                </v:textbox>
                <w10:wrap type="topAndBottom" anchorx="page"/>
              </v:shape>
            </w:pict>
          </mc:Fallback>
        </mc:AlternateContent>
      </w:r>
      <w:r>
        <w:rPr>
          <w:noProof/>
        </w:rPr>
        <mc:AlternateContent>
          <mc:Choice Requires="wps">
            <w:drawing>
              <wp:anchor distT="54610" distB="63500" distL="1013460" distR="114300" simplePos="0" relativeHeight="125830078" behindDoc="0" locked="0" layoutInCell="1" allowOverlap="1">
                <wp:simplePos x="0" y="0"/>
                <wp:positionH relativeFrom="page">
                  <wp:posOffset>3891915</wp:posOffset>
                </wp:positionH>
                <wp:positionV relativeFrom="paragraph">
                  <wp:posOffset>67310</wp:posOffset>
                </wp:positionV>
                <wp:extent cx="387350" cy="332105"/>
                <wp:effectExtent l="0" t="0" r="0" b="0"/>
                <wp:wrapTopAndBottom/>
                <wp:docPr id="701" name="Shape 701"/>
                <wp:cNvGraphicFramePr/>
                <a:graphic xmlns:a="http://schemas.openxmlformats.org/drawingml/2006/main">
                  <a:graphicData uri="http://schemas.microsoft.com/office/word/2010/wordprocessingShape">
                    <wps:wsp>
                      <wps:cNvSpPr txBox="1"/>
                      <wps:spPr>
                        <a:xfrm>
                          <a:off x="0" y="0"/>
                          <a:ext cx="387350" cy="332105"/>
                        </a:xfrm>
                        <a:prstGeom prst="rect">
                          <a:avLst/>
                        </a:prstGeom>
                        <a:noFill/>
                      </wps:spPr>
                      <wps:txbx>
                        <w:txbxContent>
                          <w:p w:rsidR="00500724" w:rsidRDefault="00F30FB8">
                            <w:pPr>
                              <w:pStyle w:val="Nadpis90"/>
                              <w:keepNext/>
                              <w:keepLines/>
                              <w:shd w:val="clear" w:color="auto" w:fill="auto"/>
                              <w:spacing w:after="0"/>
                              <w:rPr>
                                <w:sz w:val="42"/>
                                <w:szCs w:val="42"/>
                              </w:rPr>
                            </w:pPr>
                            <w:bookmarkStart w:id="680" w:name="bookmark679"/>
                            <w:r>
                              <w:rPr>
                                <w:sz w:val="42"/>
                                <w:szCs w:val="42"/>
                              </w:rPr>
                              <w:t>st&gt;</w:t>
                            </w:r>
                            <w:bookmarkEnd w:id="680"/>
                          </w:p>
                        </w:txbxContent>
                      </wps:txbx>
                      <wps:bodyPr lIns="0" tIns="0" rIns="0" bIns="0">
                        <a:spAutoFit/>
                      </wps:bodyPr>
                    </wps:wsp>
                  </a:graphicData>
                </a:graphic>
              </wp:anchor>
            </w:drawing>
          </mc:Choice>
          <mc:Fallback>
            <w:pict>
              <v:shape id="_x0000_s1727" type="#_x0000_t202" style="position:absolute;margin-left:306.44999999999999pt;margin-top:5.2999999999999998pt;width:30.5pt;height:26.149999999999999pt;z-index:-125828675;mso-wrap-distance-left:79.799999999999997pt;mso-wrap-distance-top:4.2999999999999998pt;mso-wrap-distance-right:9.pt;mso-wrap-distance-bottom:5.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rPr>
                          <w:sz w:val="42"/>
                          <w:szCs w:val="42"/>
                        </w:rPr>
                      </w:pPr>
                      <w:bookmarkStart w:id="679" w:name="bookmark679"/>
                      <w:r>
                        <w:rPr>
                          <w:color w:val="000000"/>
                          <w:spacing w:val="0"/>
                          <w:w w:val="100"/>
                          <w:position w:val="0"/>
                          <w:sz w:val="42"/>
                          <w:szCs w:val="42"/>
                          <w:shd w:val="clear" w:color="auto" w:fill="auto"/>
                          <w:lang w:val="cs-CZ" w:eastAsia="cs-CZ" w:bidi="cs-CZ"/>
                        </w:rPr>
                        <w:t>st&gt;</w:t>
                      </w:r>
                      <w:bookmarkEnd w:id="679"/>
                    </w:p>
                  </w:txbxContent>
                </v:textbox>
                <w10:wrap type="topAndBottom" anchorx="page"/>
              </v:shape>
            </w:pict>
          </mc:Fallback>
        </mc:AlternateContent>
      </w:r>
    </w:p>
    <w:p w:rsidR="00500724" w:rsidRDefault="00F30FB8">
      <w:pPr>
        <w:pStyle w:val="Zkladntext100"/>
        <w:shd w:val="clear" w:color="auto" w:fill="auto"/>
        <w:spacing w:after="100" w:line="218" w:lineRule="auto"/>
        <w:ind w:firstLine="220"/>
      </w:pPr>
      <w:r>
        <w:t>Přemýšlela jsem o lom velmi dlouho. Jak říci, že io</w:t>
      </w:r>
      <w:r>
        <w:t xml:space="preserve"> není jedno? Což jsme si vždycky nepřáli, aby měli všichni lidé práci a dobrý život? Nesnili jsme, že k tomu pracu</w:t>
      </w:r>
      <w:r>
        <w:softHyphen/>
        <w:t>jeme a neříkali jsme, že to je tužba větší všech ostatních? Ale zdá se mi, že není třeba hledat dlouhého vysvětlová</w:t>
      </w:r>
      <w:r>
        <w:softHyphen/>
        <w:t>ní: ještě před rokem bojo</w:t>
      </w:r>
      <w:r>
        <w:t>vali' sudetští Němci o jemnější nuance, než bojujeme my. Bojovali o právo hlásil se k svě</w:t>
      </w:r>
      <w:r>
        <w:softHyphen/>
        <w:t>tovému názoru, který byl tehdy neslučitelný se světovým názorem bývalého Československa. Bojovali tvrdě o kaž</w:t>
      </w:r>
      <w:r>
        <w:softHyphen/>
        <w:t xml:space="preserve">dého muže mluvícího německou řečí, bojovali o zachování </w:t>
      </w:r>
      <w:r>
        <w:t>celistvosti německého národa a tuto celistvost kladli si výš než cokoli jiného. Němci sami učí svět, že národnost je víc než životní úroveň, protože snárodnost je zdroj, ze kterého pramení kulturní i hospodářská síla liduc. Není tedy nebezpečí, že by nechá</w:t>
      </w:r>
      <w:r>
        <w:t>pali obdobné pocity naše. Je však veliké nebezpečí: a to, že důležitost této věci nepo</w:t>
      </w:r>
      <w:r>
        <w:softHyphen/>
        <w:t>chopíme sami.</w:t>
      </w:r>
    </w:p>
    <w:p w:rsidR="00500724" w:rsidRDefault="00F30FB8">
      <w:pPr>
        <w:pStyle w:val="Zkladntext100"/>
        <w:shd w:val="clear" w:color="auto" w:fill="auto"/>
        <w:spacing w:after="40" w:line="218" w:lineRule="auto"/>
        <w:ind w:firstLine="0"/>
        <w:jc w:val="center"/>
      </w:pPr>
      <w:r>
        <w:t>Především lidempráci doma</w:t>
      </w:r>
    </w:p>
    <w:p w:rsidR="00500724" w:rsidRDefault="00F30FB8">
      <w:pPr>
        <w:pStyle w:val="Zkladntext100"/>
        <w:shd w:val="clear" w:color="auto" w:fill="auto"/>
        <w:spacing w:line="218" w:lineRule="auto"/>
        <w:ind w:firstLine="220"/>
      </w:pPr>
      <w:r>
        <w:t>Čtu-li o akcích sRadosii z práce«, o dělnických dovole</w:t>
      </w:r>
      <w:r>
        <w:softHyphen/>
        <w:t>ných, o jednorázových drahoiních výpomocích atd., ne</w:t>
      </w:r>
      <w:r>
        <w:softHyphen/>
        <w:t>mohu se ubránit dojmu</w:t>
      </w:r>
      <w:r>
        <w:t>, že začínáme na okraji, místo aby</w:t>
      </w:r>
      <w:r>
        <w:softHyphen/>
        <w:t>chom začínali v jádru. Nepotřebujeme zatím dovolené, po</w:t>
      </w:r>
      <w:r>
        <w:softHyphen/>
        <w:t>třebujeme zaměstnat všechny lidi doma.</w:t>
      </w:r>
    </w:p>
    <w:p w:rsidR="00500724" w:rsidRDefault="00F30FB8">
      <w:pPr>
        <w:pStyle w:val="Zkladntext100"/>
        <w:shd w:val="clear" w:color="auto" w:fill="auto"/>
        <w:spacing w:after="40" w:line="218" w:lineRule="auto"/>
        <w:ind w:firstLine="220"/>
      </w:pPr>
      <w:r>
        <w:t>Novinář, který byl zvyklý pracovat s číslicemi, má dnes práci těžkou, protože píše bez statistik a jenom zpaměti. Nemám potuch</w:t>
      </w:r>
      <w:r>
        <w:t>y, kolik máme nezaměstnaných. Ale když vezmeme jako nízkou a jenom přibližnou číslici stav neza</w:t>
      </w:r>
      <w:r>
        <w:softHyphen/>
        <w:t>městnaných před zářím - 500.000 duší - když připočteme, kolik lidí přišlo ze Sudet, ze Slovenska a kolik lidí ztratilo práci v důsledku hospodářských převratů (</w:t>
      </w:r>
      <w:r>
        <w:t xml:space="preserve">typografů, učitelů, vojáků, úředníků, vdaných žen Bíd.), nemyslím, že bychom dospěli k číslici nízké. Vezmeme-li v úvahu i lidi, kteří se odstěhovali, aniž musili, a lidi, kteří zůstali v připojeném území, nevím, rnluvím-li pravdu, tvrdím-li, že je nás tu </w:t>
      </w:r>
      <w:r>
        <w:t>osm milionů. To je během jednoho reku při</w:t>
      </w:r>
      <w:r>
        <w:softHyphen/>
        <w:t>bližně desetina národa v cizině. V době, kdy se svět řídí národnostní rovnicí a kdy národní myšlenka každého ná</w:t>
      </w:r>
      <w:r>
        <w:softHyphen/>
        <w:t xml:space="preserve">roda převládá a stává se myšlenkou vůdčí, je io veliká ztráta. Každý z této desetiny odnesl kus n-rší </w:t>
      </w:r>
      <w:r>
        <w:t>kultury, kus našeho myšlení, kus našeho národního býti, kus naší ře</w:t>
      </w:r>
      <w:r>
        <w:softHyphen/>
        <w:t>meslné dovednosti. I veliký kámen se drobí a vyhlodává dešťovými kapkami - a my nejsme veliký kámen. A k to</w:t>
      </w:r>
      <w:r>
        <w:softHyphen/>
        <w:t>mu připočtěte lidi, kteří odcházejí nikoli proto, že práci ne</w:t>
      </w:r>
      <w:r>
        <w:softHyphen/>
        <w:t>mají, ale - jen ía</w:t>
      </w:r>
      <w:r>
        <w:t>k. Někdo z dobrodružnosíi, jiný se zvě</w:t>
      </w:r>
      <w:r>
        <w:softHyphen/>
        <w:t>davosti, třetí z touhy zkusit štěstí jinde. Sama .jich znám slušnou řádku. To jsou rozměněné penízky z jedné velké mince, penízky, které se rozkutálí, než se naděješ. Obrov</w:t>
      </w:r>
      <w:r>
        <w:softHyphen/>
        <w:t>ské Německo spatřuje pochopitelně jakési výh</w:t>
      </w:r>
      <w:r>
        <w:t>ody v tom, má-li po světě národnostní ostrovy, protože tyto německé ostrůvky hájí po celém světě zájmy německé říše. Mohou je hájit ovšem jen za toho předpokladu, že za nimi tato ve</w:t>
      </w:r>
      <w:r>
        <w:softHyphen/>
        <w:t>liká říše stojí - a nemohly je hájit, dokud tady velké říše nebylo. Pro ma</w:t>
      </w:r>
      <w:r>
        <w:t>lou českou zem nemají rozptýlené ostrůvky českých lidí žádný význam - a nikdy jej mít nebudou. Pro malou českou zem je jediné východisko: přilnout k so</w:t>
      </w:r>
      <w:r>
        <w:softHyphen/>
        <w:t>bě jako klíšťata a držet se pohromadě jako stádo. Zůstat na své půdě a zůstat ve svých domovech. Přivádě</w:t>
      </w:r>
      <w:r>
        <w:t>t doma děti na svět a vychovávat doma děti už zrozené. Ale ni</w:t>
      </w:r>
      <w:r>
        <w:softHyphen/>
        <w:t>koli podle české písničky: pana Matesa, Mikuláška a pak třetího, ubohého a holého. Česká země musí uživit vše</w:t>
      </w:r>
      <w:r>
        <w:softHyphen/>
        <w:t>chny své lidi — má-li zůstat českou zemí.</w:t>
      </w:r>
    </w:p>
    <w:p w:rsidR="00500724" w:rsidRDefault="00F30FB8">
      <w:pPr>
        <w:pStyle w:val="Zkladntext100"/>
        <w:shd w:val="clear" w:color="auto" w:fill="auto"/>
        <w:spacing w:after="40" w:line="216" w:lineRule="auto"/>
        <w:ind w:firstLine="220"/>
      </w:pPr>
      <w:r>
        <w:t>A česká zem si musí uvědomit, že její jedi</w:t>
      </w:r>
      <w:r>
        <w:t>nou záchranou je subohý a holýa. Tento lid, který dovede semknout ná</w:t>
      </w:r>
      <w:r>
        <w:softHyphen/>
        <w:t>rod a dovede úžasným úsilím vychovat v sobě moudré, vzdělané muže, za velké oběti bezejmenných maminek a tatíků, tento lid, který tu má pole, majetek, děti, rodnou řeč a svůj úkol — tento</w:t>
      </w:r>
      <w:r>
        <w:t xml:space="preserve"> lid musí dostat práci doma. Ber kde ber, ale lidé nesmí zůstat bez práce.</w:t>
      </w:r>
    </w:p>
    <w:p w:rsidR="00500724" w:rsidRDefault="00F30FB8">
      <w:pPr>
        <w:pStyle w:val="Zkladntext100"/>
        <w:shd w:val="clear" w:color="auto" w:fill="auto"/>
        <w:spacing w:after="40" w:line="221" w:lineRule="auto"/>
        <w:ind w:firstLine="220"/>
      </w:pPr>
      <w:r>
        <w:t>Z všelijakých úst jsme v poslední době slyšeli, že je naše vláda chudá na činy a že není německá trpělivost ne</w:t>
      </w:r>
      <w:r>
        <w:softHyphen/>
        <w:t xml:space="preserve">vyčerpatelná. My doma všichni víme, že nebylo vlády, která by měla </w:t>
      </w:r>
      <w:r>
        <w:t>úkoly těžší za okolností obtížnějších. Mlu- vím-li tu o ubohém a holém, tedy o problému, který je nej</w:t>
      </w:r>
      <w:r>
        <w:softHyphen/>
        <w:t>palčivější, musím také mluvit o tom, že je třeba rázných činů. Byla bych však ráda, aby čtenář neupadl do obvyk</w:t>
      </w:r>
      <w:r>
        <w:softHyphen/>
        <w:t>lých omylů a nevytasil se obvyklým nedoroz</w:t>
      </w:r>
      <w:r>
        <w:t>uměním. Ne</w:t>
      </w:r>
      <w:r>
        <w:softHyphen/>
        <w:t>chci naznačili, že snad jsou někde lidé noví, kteří by jed</w:t>
      </w:r>
      <w:r>
        <w:softHyphen/>
        <w:t>nali rázněji. Chci naopak říci, že je ráznosti právě od této vlády třeba - i když. to bude ráznost nepopulární — po</w:t>
      </w:r>
      <w:r>
        <w:softHyphen/>
        <w:t>něvadž seřaděni jsouce pod touto vládou, přejeme si, aby právě ona jed</w:t>
      </w:r>
      <w:r>
        <w:t>nala.</w:t>
      </w:r>
    </w:p>
    <w:p w:rsidR="00500724" w:rsidRDefault="00F30FB8">
      <w:pPr>
        <w:pStyle w:val="Zkladntext100"/>
        <w:shd w:val="clear" w:color="auto" w:fill="auto"/>
        <w:spacing w:after="220" w:line="218" w:lineRule="auto"/>
        <w:ind w:firstLine="260"/>
      </w:pPr>
      <w:r>
        <w:t>Jednou - kdysi, byly v Čechách zlé časy a národ si po</w:t>
      </w:r>
      <w:r>
        <w:softHyphen/>
        <w:t>stavil divadlo. Jako malá holka jsem poslouchávala do ne</w:t>
      </w:r>
      <w:r>
        <w:softHyphen/>
        <w:t>konečna tátu, když vyprávěl, jak vyhořelo. A národ měl za nějaký měsíc divadlo nové. Chodili lidé a dávali po krejcaru, chodili lidé a dáva</w:t>
      </w:r>
      <w:r>
        <w:t xml:space="preserve">li poslední, co měli. Proto nad oponou divadla je napsáno: sNárod </w:t>
      </w:r>
      <w:r>
        <w:rPr>
          <w:lang w:val="en-US" w:eastAsia="en-US" w:bidi="en-US"/>
        </w:rPr>
        <w:t xml:space="preserve">sober </w:t>
      </w:r>
      <w:r>
        <w:t>a nevadí,</w:t>
      </w:r>
      <w:r>
        <w:rPr>
          <w:b/>
          <w:bCs/>
          <w:sz w:val="19"/>
          <w:szCs w:val="19"/>
        </w:rPr>
        <w:t xml:space="preserve">ža </w:t>
      </w:r>
      <w:r>
        <w:t>ta písmena jsou trochu omšelé. I dnes se mluví o stavbě no</w:t>
      </w:r>
      <w:r>
        <w:softHyphen/>
        <w:t xml:space="preserve">vého divadla. Je to jistě krásná věc — ale je tu přednější věc: získat práci pro všechny naše lidi. To nejde </w:t>
      </w:r>
      <w:r>
        <w:t>nějakou dobročinnou cestou. To jde jenom cestou tvrdých riařízení a bezvadnou organisaci. Ta tvrdá nařízení nemohou po</w:t>
      </w:r>
      <w:r>
        <w:softHyphen/>
        <w:t>stihnout dělnictvo, stejně práce, která se najde, bude tvrdá dost. Musí postihnout zaměstnavatele. Pakliže ztratil ubohý a holý kůrčičku,</w:t>
      </w:r>
      <w:r>
        <w:t xml:space="preserve"> nevím, proč by pan Matyáš neměl ztratit pečínku a pan Mikulášek chlebíček. Je-li naděje, že vši</w:t>
      </w:r>
      <w:r>
        <w:softHyphen/>
        <w:t>chni dostaneme kůrčičku, chtěla bych, aby právě tak bylo rozuměno jednotě českého národa.</w:t>
      </w:r>
    </w:p>
    <w:p w:rsidR="00500724" w:rsidRDefault="00F30FB8">
      <w:pPr>
        <w:pStyle w:val="Nadpis80"/>
        <w:keepNext/>
        <w:keepLines/>
        <w:shd w:val="clear" w:color="auto" w:fill="auto"/>
        <w:spacing w:after="220"/>
        <w:rPr>
          <w:sz w:val="48"/>
          <w:szCs w:val="48"/>
        </w:rPr>
      </w:pPr>
      <w:bookmarkStart w:id="681" w:name="bookmark680"/>
      <w:r>
        <w:rPr>
          <w:sz w:val="48"/>
          <w:szCs w:val="48"/>
        </w:rPr>
        <w:t>dokumenty a vzpomínky</w:t>
      </w:r>
      <w:bookmarkEnd w:id="681"/>
    </w:p>
    <w:p w:rsidR="00500724" w:rsidRDefault="00F30FB8">
      <w:pPr>
        <w:pStyle w:val="Nadpis100"/>
        <w:shd w:val="clear" w:color="auto" w:fill="auto"/>
        <w:spacing w:line="240" w:lineRule="auto"/>
      </w:pPr>
      <w:bookmarkStart w:id="682" w:name="bookmark681"/>
      <w:r>
        <w:t>Před devadesáti lety</w:t>
      </w:r>
      <w:bookmarkEnd w:id="682"/>
    </w:p>
    <w:p w:rsidR="00500724" w:rsidRDefault="00F30FB8">
      <w:pPr>
        <w:pStyle w:val="Zkladntext100"/>
        <w:shd w:val="clear" w:color="auto" w:fill="auto"/>
        <w:spacing w:after="100" w:line="173" w:lineRule="auto"/>
        <w:ind w:left="680" w:firstLine="180"/>
      </w:pPr>
      <w:r>
        <w:t>Naše generace má dojem, že</w:t>
      </w:r>
      <w:r>
        <w:t xml:space="preserve"> se octla ve víru. Fakta současné situace nedovoluji, abychom tento dojem vy</w:t>
      </w:r>
      <w:r>
        <w:softHyphen/>
        <w:t xml:space="preserve">vraceli. Abychom však ukázali, že »staré dobré časyr nebyly vždycky tím, čím se býti zdají, vybíráme </w:t>
      </w:r>
      <w:r>
        <w:rPr>
          <w:b/>
          <w:bCs/>
          <w:sz w:val="19"/>
          <w:szCs w:val="19"/>
        </w:rPr>
        <w:t>ně</w:t>
      </w:r>
      <w:r>
        <w:rPr>
          <w:b/>
          <w:bCs/>
          <w:sz w:val="19"/>
          <w:szCs w:val="19"/>
        </w:rPr>
        <w:softHyphen/>
      </w:r>
      <w:r>
        <w:t>kolik citátů z pražských s Občanských novina z roku 1849. Ukáže se — může-l</w:t>
      </w:r>
      <w:r>
        <w:t xml:space="preserve">i to býti útěchou — že vír světový nebyl tehdy o nic menší a prudší. Mimo </w:t>
      </w:r>
      <w:r>
        <w:rPr>
          <w:b/>
          <w:bCs/>
          <w:sz w:val="19"/>
          <w:szCs w:val="19"/>
        </w:rPr>
        <w:t xml:space="preserve">to </w:t>
      </w:r>
      <w:r>
        <w:t xml:space="preserve">jeví se jasně v citovaných úryvcích primitivnost </w:t>
      </w:r>
      <w:r>
        <w:rPr>
          <w:b/>
          <w:bCs/>
          <w:sz w:val="19"/>
          <w:szCs w:val="19"/>
        </w:rPr>
        <w:t xml:space="preserve">našich </w:t>
      </w:r>
      <w:r>
        <w:t>tehdejších národních poměrů.</w:t>
      </w:r>
    </w:p>
    <w:p w:rsidR="00500724" w:rsidRDefault="00F30FB8">
      <w:pPr>
        <w:pStyle w:val="Zkladntext100"/>
        <w:shd w:val="clear" w:color="auto" w:fill="auto"/>
        <w:spacing w:after="120" w:line="163" w:lineRule="auto"/>
        <w:ind w:firstLine="0"/>
        <w:jc w:val="center"/>
        <w:rPr>
          <w:sz w:val="19"/>
          <w:szCs w:val="19"/>
        </w:rPr>
      </w:pPr>
      <w:r>
        <w:rPr>
          <w:sz w:val="19"/>
          <w:szCs w:val="19"/>
        </w:rPr>
        <w:t>II.</w:t>
      </w:r>
    </w:p>
    <w:p w:rsidR="00500724" w:rsidRDefault="00F30FB8">
      <w:pPr>
        <w:pStyle w:val="Zkladntext40"/>
        <w:shd w:val="clear" w:color="auto" w:fill="auto"/>
        <w:spacing w:after="0" w:line="286" w:lineRule="auto"/>
        <w:ind w:firstLine="200"/>
        <w:rPr>
          <w:sz w:val="14"/>
          <w:szCs w:val="14"/>
        </w:rPr>
      </w:pPr>
      <w:r>
        <w:rPr>
          <w:b/>
          <w:bCs/>
          <w:sz w:val="14"/>
          <w:szCs w:val="14"/>
        </w:rPr>
        <w:t>Z W jdn ě, 15. února. — W blahostech stawu obleženj přiwedli gsme to we Wjdni giž takměř n</w:t>
      </w:r>
      <w:r>
        <w:rPr>
          <w:b/>
          <w:bCs/>
          <w:sz w:val="14"/>
          <w:szCs w:val="14"/>
        </w:rPr>
        <w:t>a neywyssj stu</w:t>
      </w:r>
      <w:r>
        <w:rPr>
          <w:b/>
          <w:bCs/>
          <w:sz w:val="14"/>
          <w:szCs w:val="14"/>
        </w:rPr>
        <w:softHyphen/>
        <w:t>peň; dál giž skoro ani nemůžem, ge tedy giž čas, aby</w:t>
      </w:r>
      <w:r>
        <w:rPr>
          <w:b/>
          <w:bCs/>
          <w:sz w:val="14"/>
          <w:szCs w:val="14"/>
        </w:rPr>
        <w:softHyphen/>
        <w:t xml:space="preserve">chom ssli dolů a pomalu se dostali wen z drápů tohoto stawu neblahého. Ondyno pustil bngný klučina do po- wětřj prskoun čili rakettu, a teď giž ti ossawlenj páni myslegj, že ge celá Wjdeň </w:t>
      </w:r>
      <w:r>
        <w:rPr>
          <w:b/>
          <w:bCs/>
          <w:sz w:val="14"/>
          <w:szCs w:val="14"/>
        </w:rPr>
        <w:t>raketami nabyta a to na zkázu wogska anebo aby se — Bůh wj komu! — něgaké wogsku nepřátelské znamenj dalo. Dřjwe se gen pro- hledáwaly domy — teď také už kapsy; kdo se na pro- stranstwj mezi městem a předměstjm se táhnoucjm we- čer obgewj, toho se ihned pa</w:t>
      </w:r>
      <w:r>
        <w:rPr>
          <w:b/>
          <w:bCs/>
          <w:sz w:val="14"/>
          <w:szCs w:val="14"/>
        </w:rPr>
        <w:t>trolla chopj a s neyswědo- mitěgssj bedliwostj geg prohledá, nemáli u sebe ty strassliwé prskouny.</w:t>
      </w:r>
    </w:p>
    <w:p w:rsidR="00500724" w:rsidRDefault="00F30FB8">
      <w:pPr>
        <w:pStyle w:val="Zkladntext40"/>
        <w:shd w:val="clear" w:color="auto" w:fill="auto"/>
        <w:spacing w:after="0" w:line="286" w:lineRule="auto"/>
        <w:ind w:firstLine="200"/>
        <w:rPr>
          <w:sz w:val="14"/>
          <w:szCs w:val="14"/>
        </w:rPr>
      </w:pPr>
      <w:r>
        <w:rPr>
          <w:b/>
          <w:bCs/>
          <w:sz w:val="14"/>
          <w:szCs w:val="14"/>
        </w:rPr>
        <w:t xml:space="preserve">Přissíy zpráwy, že plukownjk Montekukuli padnul Kossutowi do rukou, a ten že ho dal oběsit gako na oplátku za to, že Windischgrátz dal v Budjně zastřelit </w:t>
      </w:r>
      <w:r>
        <w:rPr>
          <w:b/>
          <w:bCs/>
          <w:sz w:val="14"/>
          <w:szCs w:val="14"/>
        </w:rPr>
        <w:t>Szólla; při tom prý Kossnt pohrozil, že za každého, kdo w Budjně odpraven bude, oběsit dá některého sstábnjho cjs. důstognjka.</w:t>
      </w:r>
    </w:p>
    <w:p w:rsidR="00500724" w:rsidRDefault="00F30FB8">
      <w:pPr>
        <w:pStyle w:val="Zkladntext40"/>
        <w:shd w:val="clear" w:color="auto" w:fill="auto"/>
        <w:spacing w:after="0" w:line="286" w:lineRule="auto"/>
        <w:ind w:firstLine="200"/>
        <w:rPr>
          <w:sz w:val="14"/>
          <w:szCs w:val="14"/>
        </w:rPr>
      </w:pPr>
      <w:r>
        <w:rPr>
          <w:b/>
          <w:bCs/>
          <w:sz w:val="14"/>
          <w:szCs w:val="14"/>
        </w:rPr>
        <w:t>Z P e s s t ě, 13. února. — Marssál Windischgrátz wy- dal dne íl. t. m. prowolánj, w němžto prawj, že s po- wstalei nakládal posa</w:t>
      </w:r>
      <w:r>
        <w:rPr>
          <w:b/>
          <w:bCs/>
          <w:sz w:val="14"/>
          <w:szCs w:val="14"/>
        </w:rPr>
        <w:t>wade welmi mjrně, od nynčggsí doby ale že wystoupj přjsně. (Když byla mjmost giž tak hrozně přjsná, gak pak bude wypadat teprw ta přjsnost.) Každý, u koho nalezeno bude něgaké prowo- lánj Kossutowo neb této strany se týkagjej, nowiny atd., propadne náhlému</w:t>
      </w:r>
      <w:r>
        <w:rPr>
          <w:b/>
          <w:bCs/>
          <w:sz w:val="14"/>
          <w:szCs w:val="14"/>
        </w:rPr>
        <w:t xml:space="preserve"> soudu; každý posstowský,. který něco podobného z Dehreejna přicházegjcjho přigme anebo rozessle, bude potrestán ssibenicj. Ku konci napomjná pessfanskobudjnské židy, protože židé neywjee býwagj potřebowáni co wyzwěaači a donasseči, že každá obec židowská </w:t>
      </w:r>
      <w:r>
        <w:rPr>
          <w:b/>
          <w:bCs/>
          <w:sz w:val="14"/>
          <w:szCs w:val="14"/>
        </w:rPr>
        <w:t>za každého takto obwiněného žida bude muset platit 20.000 zl. stř.</w:t>
      </w:r>
    </w:p>
    <w:p w:rsidR="00500724" w:rsidRDefault="00F30FB8">
      <w:pPr>
        <w:pStyle w:val="Zkladntext40"/>
        <w:shd w:val="clear" w:color="auto" w:fill="auto"/>
        <w:spacing w:after="0" w:line="286" w:lineRule="auto"/>
        <w:ind w:firstLine="220"/>
        <w:rPr>
          <w:sz w:val="14"/>
          <w:szCs w:val="14"/>
        </w:rPr>
      </w:pPr>
      <w:r>
        <w:rPr>
          <w:b/>
          <w:bCs/>
          <w:sz w:val="14"/>
          <w:szCs w:val="14"/>
        </w:rPr>
        <w:t>Anglické země. Z Londýna, dne 14. února. —« Gak wůbec známo, obsadil car we srozuměný s anglickou wládou podunagské provincie. Nynj ale protestuge an</w:t>
      </w:r>
      <w:r>
        <w:rPr>
          <w:b/>
          <w:bCs/>
          <w:sz w:val="14"/>
          <w:szCs w:val="14"/>
        </w:rPr>
        <w:softHyphen/>
        <w:t>glické ministerstwo proti tomuto obsaze</w:t>
      </w:r>
      <w:r>
        <w:rPr>
          <w:b/>
          <w:bCs/>
          <w:sz w:val="14"/>
          <w:szCs w:val="14"/>
        </w:rPr>
        <w:t>ný a udáwá za přýěinu, že ruská wláda násilně wrazila do obydlý ged- noho tureckého komandanta, chtýc v něm gednu osobu zabawiti; dále byl prý od ruské wlády i anglický konsul násilně uražen. Francouzský wyslanec u Turecké wlády w Cařihradě, genž dřýwe w t</w:t>
      </w:r>
      <w:r>
        <w:rPr>
          <w:b/>
          <w:bCs/>
          <w:sz w:val="14"/>
          <w:szCs w:val="14"/>
        </w:rPr>
        <w:t>éto otázce žádného hlasu neměl, spogil se nyný s anglickým wyslancem, a myslý se wsseobecně, že spogený těchto dwou mocnostý bude dobrého wýsledku mýtí na wywinutý záležitostý taměg- ssich nessfastných zemý, genž nyný pod ruským břeme</w:t>
      </w:r>
      <w:r>
        <w:rPr>
          <w:b/>
          <w:bCs/>
          <w:sz w:val="14"/>
          <w:szCs w:val="14"/>
        </w:rPr>
        <w:softHyphen/>
        <w:t>nem úpěgý. Anglická w</w:t>
      </w:r>
      <w:r>
        <w:rPr>
          <w:b/>
          <w:bCs/>
          <w:sz w:val="14"/>
          <w:szCs w:val="14"/>
        </w:rPr>
        <w:t>láda nabýdla swé wogsko k wy- puzený Rusů z těchto zemý.</w:t>
      </w:r>
    </w:p>
    <w:p w:rsidR="00500724" w:rsidRDefault="00F30FB8">
      <w:pPr>
        <w:pStyle w:val="Zkladntext40"/>
        <w:shd w:val="clear" w:color="auto" w:fill="auto"/>
        <w:spacing w:after="0" w:line="286" w:lineRule="auto"/>
        <w:ind w:firstLine="220"/>
        <w:rPr>
          <w:sz w:val="14"/>
          <w:szCs w:val="14"/>
        </w:rPr>
      </w:pPr>
      <w:r>
        <w:rPr>
          <w:b/>
          <w:bCs/>
          <w:sz w:val="14"/>
          <w:szCs w:val="14"/>
        </w:rPr>
        <w:t>Z H o 1 o m o u c e, 23. února. Ze soukromého dopisu se dozwýdáme, že Hrad brzy po dobytý opět cýsařskému wogsku odňat gest. Stalo prý se to tak: cýsařsstý, zmoc- niwsse se města, rozptýlili se přýli</w:t>
      </w:r>
      <w:r>
        <w:rPr>
          <w:b/>
          <w:bCs/>
          <w:sz w:val="14"/>
          <w:szCs w:val="14"/>
        </w:rPr>
        <w:t>š rychle do domů pro drancowáný, což znamenagýce Maďaři, na rychle opět se srazili a cjsařské z Hradu wytloukli.</w:t>
      </w:r>
    </w:p>
    <w:p w:rsidR="00500724" w:rsidRDefault="00F30FB8">
      <w:pPr>
        <w:pStyle w:val="Zkladntext40"/>
        <w:shd w:val="clear" w:color="auto" w:fill="auto"/>
        <w:spacing w:after="0" w:line="286" w:lineRule="auto"/>
        <w:ind w:firstLine="220"/>
        <w:rPr>
          <w:sz w:val="14"/>
          <w:szCs w:val="14"/>
        </w:rPr>
      </w:pPr>
      <w:r>
        <w:rPr>
          <w:b/>
          <w:bCs/>
          <w:sz w:val="14"/>
          <w:szCs w:val="14"/>
        </w:rPr>
        <w:t>Z Wýdně 22. února. — Twrdý se tu wsseobecně, že Wýdeň bude tenkráte od rekrutýrky oswobozena, poně</w:t>
      </w:r>
      <w:r>
        <w:rPr>
          <w:b/>
          <w:bCs/>
          <w:sz w:val="14"/>
          <w:szCs w:val="14"/>
        </w:rPr>
        <w:softHyphen/>
        <w:t>wadž giž mnoho wogska dala. I zde gsme dočka</w:t>
      </w:r>
      <w:r>
        <w:rPr>
          <w:b/>
          <w:bCs/>
          <w:sz w:val="14"/>
          <w:szCs w:val="14"/>
        </w:rPr>
        <w:t>li prwný- ho ciwilnýho sňatku, Obuwnýk Lewiss oženil se po- znowu, ačkoliw prwný žena, od nýž rozweden gest, do</w:t>
      </w:r>
      <w:r>
        <w:rPr>
          <w:b/>
          <w:bCs/>
          <w:sz w:val="14"/>
          <w:szCs w:val="14"/>
        </w:rPr>
        <w:softHyphen/>
        <w:t>sud žige. Nižssi třidy mluwý mnoho o tom a nazýwagý tokonstitučnýmmanželstwým.</w:t>
      </w:r>
    </w:p>
    <w:p w:rsidR="00500724" w:rsidRDefault="00F30FB8">
      <w:pPr>
        <w:pStyle w:val="Zkladntext40"/>
        <w:shd w:val="clear" w:color="auto" w:fill="auto"/>
        <w:spacing w:after="0" w:line="286" w:lineRule="auto"/>
        <w:ind w:firstLine="220"/>
        <w:rPr>
          <w:sz w:val="14"/>
          <w:szCs w:val="14"/>
        </w:rPr>
      </w:pPr>
      <w:r>
        <w:rPr>
          <w:b/>
          <w:bCs/>
          <w:sz w:val="14"/>
          <w:szCs w:val="14"/>
        </w:rPr>
        <w:t xml:space="preserve">Anglické země. Z Londýna, 18. února. — Co se dotýče zewnitřných záležitostý, tu wláda anglická brzy sem, brzy tam se zatáčý; tak ku přýkladu w italské politice </w:t>
      </w:r>
      <w:r>
        <w:rPr>
          <w:b/>
          <w:bCs/>
          <w:sz w:val="14"/>
          <w:szCs w:val="14"/>
          <w:lang w:val="en-US" w:eastAsia="en-US" w:bidi="en-US"/>
        </w:rPr>
        <w:t xml:space="preserve">Lord Palmerston, </w:t>
      </w:r>
      <w:r>
        <w:rPr>
          <w:b/>
          <w:bCs/>
          <w:sz w:val="14"/>
          <w:szCs w:val="14"/>
        </w:rPr>
        <w:t>ministr zahraničných záleži</w:t>
      </w:r>
      <w:r>
        <w:rPr>
          <w:b/>
          <w:bCs/>
          <w:sz w:val="14"/>
          <w:szCs w:val="14"/>
        </w:rPr>
        <w:softHyphen/>
        <w:t>tostý, změnil w posledný době zcela swůg záměr a na</w:t>
      </w:r>
      <w:r>
        <w:rPr>
          <w:b/>
          <w:bCs/>
          <w:sz w:val="14"/>
          <w:szCs w:val="14"/>
        </w:rPr>
        <w:t>řýdil gednatelům w Itálii, aby prohlásili, že Anglicko má ústawný sněm italský (wsseobecně italsky pro swobodu a neodwislost Itálie) za welmi newhodný, protože prý bude přjěinou zmatků a nepokogů. Za tou přjěinou radil anglický wyslanec wéwodowi Toskánském</w:t>
      </w:r>
      <w:r>
        <w:rPr>
          <w:b/>
          <w:bCs/>
          <w:sz w:val="14"/>
          <w:szCs w:val="14"/>
        </w:rPr>
        <w:t>u, aby nepotwrzowal wypsanou wolbu do sněmu toho, a přitom mu ihned pomoc Anglicka přislibowal. Tři anglické lodě přistály w Liworně.</w:t>
      </w:r>
    </w:p>
    <w:p w:rsidR="00500724" w:rsidRDefault="00F30FB8">
      <w:pPr>
        <w:pStyle w:val="Zkladntext40"/>
        <w:shd w:val="clear" w:color="auto" w:fill="auto"/>
        <w:spacing w:after="0" w:line="283" w:lineRule="auto"/>
        <w:ind w:firstLine="220"/>
        <w:rPr>
          <w:sz w:val="14"/>
          <w:szCs w:val="14"/>
        </w:rPr>
      </w:pPr>
      <w:r>
        <w:rPr>
          <w:b/>
          <w:bCs/>
          <w:sz w:val="14"/>
          <w:szCs w:val="14"/>
        </w:rPr>
        <w:t>ZWýdně. — Z pewnosti Esecké pissou od 16. února: Od té doby, co občanská wálka se wssemi swými hrů</w:t>
      </w:r>
      <w:r>
        <w:rPr>
          <w:b/>
          <w:bCs/>
          <w:sz w:val="14"/>
          <w:szCs w:val="14"/>
        </w:rPr>
        <w:softHyphen/>
        <w:t>zami w nassem oswýceném</w:t>
      </w:r>
      <w:r>
        <w:rPr>
          <w:b/>
          <w:bCs/>
          <w:sz w:val="14"/>
          <w:szCs w:val="14"/>
        </w:rPr>
        <w:t xml:space="preserve"> stoletý opět na denný pořádek přissla, giž se ani wýc nediwýme, když slyssýme, že někde na tisjce pum, granátů a střel wsseho druhu mezi po- kogné obywatele některého kwětoucýho města metaly wraždu, smrt a zkázu; nediwýme se, když slyssýme, že bez boge do</w:t>
      </w:r>
      <w:r>
        <w:rPr>
          <w:b/>
          <w:bCs/>
          <w:sz w:val="14"/>
          <w:szCs w:val="14"/>
        </w:rPr>
        <w:t>byta pewnost, kterážto gindy co obr nábě</w:t>
      </w:r>
      <w:r>
        <w:rPr>
          <w:b/>
          <w:bCs/>
          <w:sz w:val="14"/>
          <w:szCs w:val="14"/>
        </w:rPr>
        <w:softHyphen/>
        <w:t>hům nepřátelským wzdorovala. A přede ge tomu tak. Pewnost Esek wzdala se dobrowolně. Těsně na hrani- cých ciwilisace, nedaleko řýsse turecké, slawil rozum, slawila lidskost krásné wítězstwý. Po dlouhém čase po- neyp</w:t>
      </w:r>
      <w:r>
        <w:rPr>
          <w:b/>
          <w:bCs/>
          <w:sz w:val="14"/>
          <w:szCs w:val="14"/>
        </w:rPr>
        <w:t>rw nestál opět wěera a nestogý zde dnes gesstě Ma ■ ďar nepřátelsky proti Slowanu, každý gde pokorně swou cestou a s wážnou twářý podáwagý si ruce ti, který před nedáwnem gesstě smrt a zkázu na sebe metali. Af ge to gakkoli, wždy to zůstane sslechetnou mys</w:t>
      </w:r>
      <w:r>
        <w:rPr>
          <w:b/>
          <w:bCs/>
          <w:sz w:val="14"/>
          <w:szCs w:val="14"/>
        </w:rPr>
        <w:t>slénkou, že tuto po dobrém stalo se smýřený; kýž by stalo se giž wsseobecně, aby krutým násilým přestali téci potokowé krwe, a w horkých proudech těch soused sousedu swo</w:t>
      </w:r>
      <w:r>
        <w:rPr>
          <w:b/>
          <w:bCs/>
          <w:sz w:val="14"/>
          <w:szCs w:val="14"/>
        </w:rPr>
        <w:softHyphen/>
        <w:t>bodu neutápěl, a oba pak unaweni nesklesli w pouta panského nádwladý.</w:t>
      </w:r>
    </w:p>
    <w:p w:rsidR="00500724" w:rsidRDefault="00F30FB8">
      <w:pPr>
        <w:pStyle w:val="Zkladntext40"/>
        <w:shd w:val="clear" w:color="auto" w:fill="auto"/>
        <w:spacing w:after="0" w:line="283" w:lineRule="auto"/>
        <w:ind w:firstLine="220"/>
        <w:rPr>
          <w:sz w:val="14"/>
          <w:szCs w:val="14"/>
        </w:rPr>
      </w:pPr>
      <w:r>
        <w:rPr>
          <w:b/>
          <w:bCs/>
          <w:sz w:val="14"/>
          <w:szCs w:val="14"/>
        </w:rPr>
        <w:t xml:space="preserve">Z Prahy. — Tyto </w:t>
      </w:r>
      <w:r>
        <w:rPr>
          <w:b/>
          <w:bCs/>
          <w:sz w:val="14"/>
          <w:szCs w:val="14"/>
        </w:rPr>
        <w:t>dni zde messká hrdiný wůdce dobrowolnýků na Slowensku, statečný Janeček, wů</w:t>
      </w:r>
      <w:r>
        <w:rPr>
          <w:b/>
          <w:bCs/>
          <w:sz w:val="14"/>
          <w:szCs w:val="14"/>
        </w:rPr>
        <w:softHyphen/>
        <w:t>bec známý pod gmenem Žižka II.</w:t>
      </w:r>
    </w:p>
    <w:p w:rsidR="00500724" w:rsidRDefault="00F30FB8">
      <w:pPr>
        <w:pStyle w:val="Zkladntext40"/>
        <w:shd w:val="clear" w:color="auto" w:fill="auto"/>
        <w:spacing w:after="0" w:line="283" w:lineRule="auto"/>
        <w:ind w:firstLine="220"/>
        <w:rPr>
          <w:sz w:val="14"/>
          <w:szCs w:val="14"/>
        </w:rPr>
      </w:pPr>
      <w:r>
        <w:rPr>
          <w:b/>
          <w:bCs/>
          <w:sz w:val="14"/>
          <w:szCs w:val="14"/>
        </w:rPr>
        <w:t>Z Wýdně, 28. února. — Podmarssal Welden wydal prowoláný, w kterémž wesskerá předesslá zahrnuge. Gest to totiž dlouhý seznam přečiněný, za kteréž smrt</w:t>
      </w:r>
      <w:r>
        <w:rPr>
          <w:b/>
          <w:bCs/>
          <w:sz w:val="14"/>
          <w:szCs w:val="14"/>
        </w:rPr>
        <w:t>ý se trestá, gako kdo zbraně ukrývá, kdo wogáka zawésti chce k wěrolomnosti, genž slowem aneb činem k po- wstáný popuzuge, kdo při srocowáný ihned neupo</w:t>
      </w:r>
      <w:r>
        <w:rPr>
          <w:b/>
          <w:bCs/>
          <w:sz w:val="14"/>
          <w:szCs w:val="14"/>
        </w:rPr>
        <w:softHyphen/>
        <w:t>slechne prwnýmu wyzwáný se rozegýti aneb dokonce zbranj odpor činý, atd.</w:t>
      </w:r>
    </w:p>
    <w:p w:rsidR="00500724" w:rsidRDefault="00F30FB8">
      <w:pPr>
        <w:pStyle w:val="Zkladntext40"/>
        <w:shd w:val="clear" w:color="auto" w:fill="auto"/>
        <w:spacing w:after="0" w:line="286" w:lineRule="auto"/>
        <w:ind w:firstLine="220"/>
        <w:rPr>
          <w:sz w:val="14"/>
          <w:szCs w:val="14"/>
        </w:rPr>
      </w:pPr>
      <w:r>
        <w:rPr>
          <w:b/>
          <w:bCs/>
          <w:sz w:val="14"/>
          <w:szCs w:val="14"/>
        </w:rPr>
        <w:t>S m ě 8. Začátkem tohoto měsýc</w:t>
      </w:r>
      <w:r>
        <w:rPr>
          <w:b/>
          <w:bCs/>
          <w:sz w:val="14"/>
          <w:szCs w:val="14"/>
        </w:rPr>
        <w:t>e wycházý w Praze no- wý časopis, kterýžto se &gt;Wlastimil&lt; gmenuge, a giž pří oznámený pro lacinost swou welmi nápadný byl, tak že nám hned napadlo, gestli za touto lácý newězý negaký ouskok — nenýli to wěgička natřená lepem zpátečnictwj a protiswobodomysln</w:t>
      </w:r>
      <w:r>
        <w:rPr>
          <w:b/>
          <w:bCs/>
          <w:sz w:val="14"/>
          <w:szCs w:val="14"/>
        </w:rPr>
        <w:t>osti. A w skutku ge to něco tako- wého. Co nakladatel ge sice gmenován p. Šťastný, to ge ale gen tak gako pro sstěstý sstýt, a za ným skryt gesť houfec aristokratů a slawných pánů sedmassedesátnýků. Zpočátku to gde prozatým zwolna, prozřetelně, aby ne</w:t>
      </w:r>
      <w:r>
        <w:rPr>
          <w:b/>
          <w:bCs/>
          <w:sz w:val="14"/>
          <w:szCs w:val="14"/>
        </w:rPr>
        <w:softHyphen/>
        <w:t>bylo</w:t>
      </w:r>
      <w:r>
        <w:rPr>
          <w:b/>
          <w:bCs/>
          <w:sz w:val="14"/>
          <w:szCs w:val="14"/>
        </w:rPr>
        <w:t xml:space="preserve"> hned pozorowat, čým nakaleny gsou ssipy, gežto ze zálohy swé ti zakuklenci na swobodu wysýlat budou.</w:t>
      </w:r>
    </w:p>
    <w:p w:rsidR="00500724" w:rsidRDefault="00F30FB8">
      <w:pPr>
        <w:pStyle w:val="Zkladntext40"/>
        <w:shd w:val="clear" w:color="auto" w:fill="auto"/>
        <w:spacing w:after="0" w:line="286" w:lineRule="auto"/>
        <w:ind w:firstLine="220"/>
        <w:rPr>
          <w:sz w:val="14"/>
          <w:szCs w:val="14"/>
        </w:rPr>
      </w:pPr>
      <w:r>
        <w:rPr>
          <w:b/>
          <w:bCs/>
          <w:sz w:val="14"/>
          <w:szCs w:val="14"/>
        </w:rPr>
        <w:t>Z M i 1 á n a, 24. února. — Dle neynowěgssich zpráv ge sardinský král Karel Albert, nyný w takowém stawu, že newý kudy kam.</w:t>
      </w:r>
    </w:p>
    <w:p w:rsidR="00500724" w:rsidRDefault="00F30FB8">
      <w:pPr>
        <w:pStyle w:val="Zkladntext40"/>
        <w:shd w:val="clear" w:color="auto" w:fill="auto"/>
        <w:spacing w:after="0" w:line="286" w:lineRule="auto"/>
        <w:ind w:firstLine="220"/>
        <w:rPr>
          <w:sz w:val="14"/>
          <w:szCs w:val="14"/>
        </w:rPr>
      </w:pPr>
      <w:r>
        <w:rPr>
          <w:b/>
          <w:bCs/>
          <w:sz w:val="14"/>
          <w:szCs w:val="14"/>
        </w:rPr>
        <w:t>Z Neapole. — Král Ferdinand si</w:t>
      </w:r>
      <w:r>
        <w:rPr>
          <w:b/>
          <w:bCs/>
          <w:sz w:val="14"/>
          <w:szCs w:val="14"/>
        </w:rPr>
        <w:t xml:space="preserve"> udělal prawý ža</w:t>
      </w:r>
      <w:r>
        <w:rPr>
          <w:b/>
          <w:bCs/>
          <w:sz w:val="14"/>
          <w:szCs w:val="14"/>
        </w:rPr>
        <w:softHyphen/>
        <w:t>lář ze swého paláce. Ze strachu, kterýžto rownou cestou přicházý z dobrého swědomý, dal si zazdýti wssecka okna, které gdou na hlawný náměstý, a co bludná dusse gezdý z Gaety do Neapole, a pro rozmanitost zas opěť z Neapole do Gaety, gakob</w:t>
      </w:r>
      <w:r>
        <w:rPr>
          <w:b/>
          <w:bCs/>
          <w:sz w:val="14"/>
          <w:szCs w:val="14"/>
        </w:rPr>
        <w:t>y pořád něco hledal a žiwou mocý to nagýt nemohl. Samo požehnáný papežowo nenj s to, aby w mysl geho gen poněkud spokojenosti wdechlo.</w:t>
      </w:r>
    </w:p>
    <w:p w:rsidR="00500724" w:rsidRDefault="00F30FB8">
      <w:pPr>
        <w:pStyle w:val="Zkladntext40"/>
        <w:shd w:val="clear" w:color="auto" w:fill="auto"/>
        <w:spacing w:after="0" w:line="286" w:lineRule="auto"/>
        <w:ind w:firstLine="220"/>
        <w:rPr>
          <w:sz w:val="14"/>
          <w:szCs w:val="14"/>
        </w:rPr>
      </w:pPr>
      <w:r>
        <w:rPr>
          <w:b/>
          <w:bCs/>
          <w:sz w:val="14"/>
          <w:szCs w:val="14"/>
        </w:rPr>
        <w:t>Směs. — W neděli dne 4. března, gak gsme giž před</w:t>
      </w:r>
      <w:r>
        <w:rPr>
          <w:b/>
          <w:bCs/>
          <w:sz w:val="14"/>
          <w:szCs w:val="14"/>
        </w:rPr>
        <w:softHyphen/>
        <w:t>běžně byli oznámili, prowozowala se v českém diwadle nowinka, totiž: »W</w:t>
      </w:r>
      <w:r>
        <w:rPr>
          <w:b/>
          <w:bCs/>
          <w:sz w:val="14"/>
          <w:szCs w:val="14"/>
        </w:rPr>
        <w:t>áclaw IV., král Českýt, dra</w:t>
      </w:r>
      <w:r>
        <w:rPr>
          <w:b/>
          <w:bCs/>
          <w:sz w:val="14"/>
          <w:szCs w:val="14"/>
        </w:rPr>
        <w:softHyphen/>
        <w:t>matický obraz z 15. století od Jozefa W. F r y č e. Di- wadlo bylo plné a pochwala hogná; spisowatel byl i po gednotliwých wýgevech několikrát welmi hlučně wolán, Nyný se učýme historii českou w divadle a to prawdi- wěgssim způs</w:t>
      </w:r>
      <w:r>
        <w:rPr>
          <w:b/>
          <w:bCs/>
          <w:sz w:val="14"/>
          <w:szCs w:val="14"/>
        </w:rPr>
        <w:t>obem, nežli nám před tým pod zubatou</w:t>
      </w:r>
    </w:p>
    <w:p w:rsidR="00500724" w:rsidRDefault="00F30FB8">
      <w:pPr>
        <w:pStyle w:val="Zkladntext40"/>
        <w:framePr w:dropCap="drop" w:lines="2" w:wrap="auto" w:vAnchor="text" w:hAnchor="text"/>
        <w:shd w:val="clear" w:color="auto" w:fill="auto"/>
        <w:spacing w:line="278" w:lineRule="exact"/>
        <w:rPr>
          <w:sz w:val="14"/>
          <w:szCs w:val="14"/>
        </w:rPr>
      </w:pPr>
      <w:r>
        <w:rPr>
          <w:rFonts w:ascii="Arial" w:eastAsia="Arial" w:hAnsi="Arial" w:cs="Arial"/>
          <w:b/>
          <w:bCs/>
          <w:position w:val="-6"/>
          <w:sz w:val="40"/>
          <w:szCs w:val="40"/>
        </w:rPr>
        <w:t>{</w:t>
      </w:r>
    </w:p>
    <w:p w:rsidR="00500724" w:rsidRDefault="00F30FB8">
      <w:pPr>
        <w:pStyle w:val="Zkladntext40"/>
        <w:shd w:val="clear" w:color="auto" w:fill="auto"/>
        <w:spacing w:after="0" w:line="286" w:lineRule="auto"/>
        <w:rPr>
          <w:sz w:val="14"/>
          <w:szCs w:val="14"/>
        </w:rPr>
      </w:pPr>
      <w:r>
        <w:rPr>
          <w:b/>
          <w:bCs/>
          <w:sz w:val="14"/>
          <w:szCs w:val="14"/>
        </w:rPr>
        <w:t>»ýlou censury a pod temným mamidlem popstwa kres- ena byla. Proto nás těssi, že w bugarém Fryčovi shle</w:t>
      </w:r>
      <w:r>
        <w:rPr>
          <w:b/>
          <w:bCs/>
          <w:sz w:val="14"/>
          <w:szCs w:val="14"/>
        </w:rPr>
        <w:softHyphen/>
        <w:t>dali gsme opět o gednoho wýce, kterýžto trefnou rukou odhalowat a garým žiwotem lýčit umý skryté a mrzkostý possla</w:t>
      </w:r>
      <w:r>
        <w:rPr>
          <w:b/>
          <w:bCs/>
          <w:sz w:val="14"/>
          <w:szCs w:val="14"/>
        </w:rPr>
        <w:t xml:space="preserve">pané doby a wýtečnýky dáwných děgin wlasti nassi. Obzwlásstně powedený gest charakter Žižkůw. Wáclaw by měl proti herci zadat protest nebo aspoň přýpis nedůwěry; tak si básnýk asi sotwa Wáclawa předstawowall Doufáme, že nás Fryč brzo opět no- wým, w celku </w:t>
      </w:r>
      <w:r>
        <w:rPr>
          <w:b/>
          <w:bCs/>
          <w:sz w:val="14"/>
          <w:szCs w:val="14"/>
        </w:rPr>
        <w:t>srownalegssim plodem čilého ducha swého potěssý. Na krákoráný, že nepřikragowal podle přede</w:t>
      </w:r>
      <w:r>
        <w:rPr>
          <w:b/>
          <w:bCs/>
          <w:sz w:val="14"/>
          <w:szCs w:val="14"/>
        </w:rPr>
        <w:softHyphen/>
        <w:t>psaného kopyta, se nepotřebuge ohlýžet; nám prospěge nyný kus bugarého žiwota mnohem wýce, nežli sebe uče- něgssý cop.</w:t>
      </w:r>
    </w:p>
    <w:p w:rsidR="00500724" w:rsidRDefault="00F30FB8">
      <w:pPr>
        <w:pStyle w:val="Zkladntext40"/>
        <w:shd w:val="clear" w:color="auto" w:fill="auto"/>
        <w:spacing w:after="0" w:line="286" w:lineRule="auto"/>
        <w:ind w:firstLine="220"/>
        <w:rPr>
          <w:sz w:val="14"/>
          <w:szCs w:val="14"/>
        </w:rPr>
      </w:pPr>
      <w:r>
        <w:rPr>
          <w:b/>
          <w:bCs/>
          <w:sz w:val="14"/>
          <w:szCs w:val="14"/>
        </w:rPr>
        <w:t xml:space="preserve">Anglické země. — Z hodnowěrných ano gistýchi </w:t>
      </w:r>
      <w:r>
        <w:rPr>
          <w:b/>
          <w:bCs/>
          <w:sz w:val="14"/>
          <w:szCs w:val="14"/>
        </w:rPr>
        <w:t>pramenů se dowýdáme, že Anglicko se wygádřilo a wssem Ewropegským kabinetům notu zaslalo, že bude každé zakročený we wlastých záležitostech, buď si ono od které koli strany, powažowati za prohlássený wogny, — Tou samou notou žádá prý se odtáhnutý ruského w</w:t>
      </w:r>
      <w:r>
        <w:rPr>
          <w:b/>
          <w:bCs/>
          <w:sz w:val="14"/>
          <w:szCs w:val="14"/>
        </w:rPr>
        <w:t>og</w:t>
      </w:r>
      <w:r>
        <w:rPr>
          <w:b/>
          <w:bCs/>
          <w:sz w:val="14"/>
          <w:szCs w:val="14"/>
        </w:rPr>
        <w:softHyphen/>
        <w:t>ska ze Sedmihradska.</w:t>
      </w:r>
    </w:p>
    <w:p w:rsidR="00500724" w:rsidRDefault="00F30FB8">
      <w:pPr>
        <w:pStyle w:val="Zkladntext40"/>
        <w:shd w:val="clear" w:color="auto" w:fill="auto"/>
        <w:spacing w:after="0" w:line="286" w:lineRule="auto"/>
        <w:ind w:firstLine="220"/>
        <w:rPr>
          <w:sz w:val="14"/>
          <w:szCs w:val="14"/>
        </w:rPr>
      </w:pPr>
      <w:r>
        <w:rPr>
          <w:b/>
          <w:bCs/>
          <w:sz w:val="14"/>
          <w:szCs w:val="14"/>
        </w:rPr>
        <w:t>Z Cařihradu (z Konstantinopole), 21. února. — Ze wsseho, co se w Turecku nyný děge, můžeme souditi, že z gara něgaké pletky wypuknout hrozegý. Zbrogený se děge welmi silně a k wogsku se odwádý we welkém počtu; takowé zpráwy gdou sko</w:t>
      </w:r>
      <w:r>
        <w:rPr>
          <w:b/>
          <w:bCs/>
          <w:sz w:val="14"/>
          <w:szCs w:val="14"/>
        </w:rPr>
        <w:t>ro ze wssech prowinc. Dne 15. února byla welká ministerný radda, při které byl i sám sultán; anglický wyslanec měl dlouhé roz</w:t>
      </w:r>
      <w:r>
        <w:rPr>
          <w:b/>
          <w:bCs/>
          <w:sz w:val="14"/>
          <w:szCs w:val="14"/>
        </w:rPr>
        <w:softHyphen/>
        <w:t>mlouvaný s presidentem ministerstwa. Wogsko se sta- huge na ruské hranice.</w:t>
      </w:r>
    </w:p>
    <w:p w:rsidR="00500724" w:rsidRDefault="00F30FB8">
      <w:pPr>
        <w:pStyle w:val="Zkladntext40"/>
        <w:shd w:val="clear" w:color="auto" w:fill="auto"/>
        <w:spacing w:after="0" w:line="286" w:lineRule="auto"/>
        <w:ind w:firstLine="220"/>
        <w:rPr>
          <w:sz w:val="14"/>
          <w:szCs w:val="14"/>
        </w:rPr>
        <w:sectPr w:rsidR="00500724">
          <w:footnotePr>
            <w:numFmt w:val="chicago"/>
            <w:numRestart w:val="eachPage"/>
          </w:footnotePr>
          <w:pgSz w:w="11909" w:h="16834"/>
          <w:pgMar w:top="1035" w:right="1012" w:bottom="858" w:left="582" w:header="0" w:footer="3" w:gutter="0"/>
          <w:cols w:num="2" w:space="137"/>
          <w:noEndnote/>
          <w:docGrid w:linePitch="360"/>
        </w:sectPr>
      </w:pPr>
      <w:r>
        <w:rPr>
          <w:b/>
          <w:bCs/>
          <w:sz w:val="14"/>
          <w:szCs w:val="14"/>
        </w:rPr>
        <w:t>Směs. Pozeytřý w neděli dne</w:t>
      </w:r>
      <w:r>
        <w:rPr>
          <w:b/>
          <w:bCs/>
          <w:sz w:val="14"/>
          <w:szCs w:val="14"/>
        </w:rPr>
        <w:t xml:space="preserve"> 18. března poskytne nám diwadlo české opět nowinku, tentokráte wýce žer- towného nežli wážného obsahu; bude se toho dne w pro</w:t>
      </w:r>
      <w:r>
        <w:rPr>
          <w:b/>
          <w:bCs/>
          <w:sz w:val="14"/>
          <w:szCs w:val="14"/>
        </w:rPr>
        <w:softHyphen/>
        <w:t>spěch p. J. Kassky prowozowat Rybrcoul, nebo gak na ohlássenj stogý: s&gt;Twrdohlawá žena a z a m i - lowaný sskolný mládenec*. Náro</w:t>
      </w:r>
      <w:r>
        <w:rPr>
          <w:b/>
          <w:bCs/>
          <w:sz w:val="14"/>
          <w:szCs w:val="14"/>
        </w:rPr>
        <w:t xml:space="preserve">dný báchorka we 3 gednánjch se zpěwy a tancem od </w:t>
      </w:r>
      <w:r>
        <w:rPr>
          <w:b/>
          <w:bCs/>
          <w:sz w:val="14"/>
          <w:szCs w:val="14"/>
          <w:lang w:val="en-US" w:eastAsia="en-US" w:bidi="en-US"/>
        </w:rPr>
        <w:t xml:space="preserve">J. </w:t>
      </w:r>
      <w:r>
        <w:rPr>
          <w:b/>
          <w:bCs/>
          <w:sz w:val="14"/>
          <w:szCs w:val="14"/>
        </w:rPr>
        <w:t xml:space="preserve">K. Tyla. Hudba od </w:t>
      </w:r>
      <w:r>
        <w:rPr>
          <w:b/>
          <w:bCs/>
          <w:sz w:val="14"/>
          <w:szCs w:val="14"/>
          <w:lang w:val="en-US" w:eastAsia="en-US" w:bidi="en-US"/>
        </w:rPr>
        <w:t xml:space="preserve">J. </w:t>
      </w:r>
      <w:r>
        <w:rPr>
          <w:b/>
          <w:bCs/>
          <w:sz w:val="14"/>
          <w:szCs w:val="14"/>
        </w:rPr>
        <w:t>N. Škroupa. Oblýbený spisowatel Tyl nám giž toli-</w:t>
      </w:r>
    </w:p>
    <w:p w:rsidR="00500724" w:rsidRDefault="00500724">
      <w:pPr>
        <w:spacing w:before="10" w:after="10" w:line="240" w:lineRule="exact"/>
        <w:rPr>
          <w:sz w:val="19"/>
          <w:szCs w:val="19"/>
        </w:rPr>
      </w:pPr>
    </w:p>
    <w:p w:rsidR="00500724" w:rsidRDefault="00500724">
      <w:pPr>
        <w:spacing w:line="14" w:lineRule="exact"/>
        <w:sectPr w:rsidR="00500724">
          <w:footnotePr>
            <w:numFmt w:val="chicago"/>
            <w:numRestart w:val="eachPage"/>
          </w:footnotePr>
          <w:pgSz w:w="11909" w:h="16834"/>
          <w:pgMar w:top="1489" w:right="0" w:bottom="1085" w:left="0" w:header="0" w:footer="3" w:gutter="0"/>
          <w:cols w:space="720"/>
          <w:noEndnote/>
          <w:docGrid w:linePitch="360"/>
        </w:sectPr>
      </w:pPr>
    </w:p>
    <w:p w:rsidR="00500724" w:rsidRDefault="00F30FB8">
      <w:pPr>
        <w:pStyle w:val="Zkladntext40"/>
        <w:shd w:val="clear" w:color="auto" w:fill="auto"/>
        <w:spacing w:after="0" w:line="314" w:lineRule="auto"/>
        <w:rPr>
          <w:sz w:val="14"/>
          <w:szCs w:val="14"/>
        </w:rPr>
      </w:pPr>
      <w:r>
        <w:rPr>
          <w:b/>
          <w:bCs/>
          <w:sz w:val="14"/>
          <w:szCs w:val="14"/>
        </w:rPr>
        <w:t xml:space="preserve">krátě přigemnou dobu w diwadle způsobil, a proto s gistotou očekáváme, že i tentokráte se to stane, a že </w:t>
      </w:r>
      <w:r>
        <w:rPr>
          <w:b/>
          <w:bCs/>
          <w:sz w:val="14"/>
          <w:szCs w:val="14"/>
        </w:rPr>
        <w:t>w trudných okolnostech nyněgssich se na chwilku obwe- peljme aspoň národnj báchorkou.</w:t>
      </w:r>
    </w:p>
    <w:p w:rsidR="00500724" w:rsidRDefault="00F30FB8">
      <w:pPr>
        <w:pStyle w:val="Zkladntext40"/>
        <w:shd w:val="clear" w:color="auto" w:fill="auto"/>
        <w:spacing w:after="0" w:line="317" w:lineRule="auto"/>
        <w:ind w:firstLine="220"/>
        <w:rPr>
          <w:sz w:val="14"/>
          <w:szCs w:val="14"/>
        </w:rPr>
      </w:pPr>
      <w:r>
        <w:rPr>
          <w:b/>
          <w:bCs/>
          <w:sz w:val="14"/>
          <w:szCs w:val="14"/>
        </w:rPr>
        <w:t xml:space="preserve">Z W j d n ě. — Uwězněný býwalý poslanec řjsského sněmu </w:t>
      </w:r>
      <w:r>
        <w:rPr>
          <w:b/>
          <w:bCs/>
          <w:sz w:val="14"/>
          <w:szCs w:val="14"/>
          <w:lang w:val="en-US" w:eastAsia="en-US" w:bidi="en-US"/>
        </w:rPr>
        <w:t xml:space="preserve">Prato </w:t>
      </w:r>
      <w:r>
        <w:rPr>
          <w:b/>
          <w:bCs/>
          <w:sz w:val="14"/>
          <w:szCs w:val="14"/>
        </w:rPr>
        <w:t xml:space="preserve">(cjrkewnj kněz gihotyrolský) propusstěn gest, musel wssak bez prodlenj Wjdeň opustiti. Taktéž Fischhof brzy </w:t>
      </w:r>
      <w:r>
        <w:rPr>
          <w:b/>
          <w:bCs/>
          <w:sz w:val="14"/>
          <w:szCs w:val="14"/>
        </w:rPr>
        <w:t>propusstěn bude. Překrásná gest od- powěd geho, kterou odmrsstil radu některých swých přátel, by totiž na outěk se dal: máme za swou powin- nost gi doslowně podati: íNewěřjm tomu, že mne wo</w:t>
      </w:r>
      <w:r>
        <w:rPr>
          <w:b/>
          <w:bCs/>
          <w:sz w:val="14"/>
          <w:szCs w:val="14"/>
        </w:rPr>
        <w:softHyphen/>
        <w:t>genská komise odsoudj a odsouditi může, když zůstanu; gsem wssak p</w:t>
      </w:r>
      <w:r>
        <w:rPr>
          <w:b/>
          <w:bCs/>
          <w:sz w:val="14"/>
          <w:szCs w:val="14"/>
        </w:rPr>
        <w:t>ewné přeswědčen, že národem wesskerým odsouzen budu, pakli uprchnu.* — Dle nowějssi zprá</w:t>
      </w:r>
      <w:r>
        <w:rPr>
          <w:b/>
          <w:bCs/>
          <w:sz w:val="14"/>
          <w:szCs w:val="14"/>
        </w:rPr>
        <w:softHyphen/>
        <w:t>vy ge Fishchof odewdán hrdelnjmu soudu.</w:t>
      </w:r>
    </w:p>
    <w:p w:rsidR="00500724" w:rsidRDefault="00F30FB8">
      <w:pPr>
        <w:pStyle w:val="Zkladntext40"/>
        <w:shd w:val="clear" w:color="auto" w:fill="auto"/>
        <w:spacing w:after="0" w:line="317" w:lineRule="auto"/>
        <w:ind w:firstLine="220"/>
        <w:rPr>
          <w:sz w:val="14"/>
          <w:szCs w:val="14"/>
        </w:rPr>
      </w:pPr>
      <w:r>
        <w:rPr>
          <w:b/>
          <w:bCs/>
          <w:sz w:val="14"/>
          <w:szCs w:val="14"/>
        </w:rPr>
        <w:t>Z Liworna, 2. března. — Wčera wydal zdegssi ná- jněstek (čili guwernér) prowolánj k obywatelům, kterým ge k wálce proti Modensk</w:t>
      </w:r>
      <w:r>
        <w:rPr>
          <w:b/>
          <w:bCs/>
          <w:sz w:val="14"/>
          <w:szCs w:val="14"/>
        </w:rPr>
        <w:t>u wybjzj, a z něhož následu- gicj začátek wygjmáme: Občané! Wéwoda Modenský, tento podlý hanebnjk, bljžj se hranicjm nassim. Nuže whůru občané, nadssenj láskou k wlasti italské, ať po</w:t>
      </w:r>
      <w:r>
        <w:rPr>
          <w:b/>
          <w:bCs/>
          <w:sz w:val="14"/>
          <w:szCs w:val="14"/>
        </w:rPr>
        <w:softHyphen/>
        <w:t>třeme toho tyrana, atd.</w:t>
      </w:r>
    </w:p>
    <w:p w:rsidR="00500724" w:rsidRDefault="00F30FB8">
      <w:pPr>
        <w:pStyle w:val="Zkladntext40"/>
        <w:shd w:val="clear" w:color="auto" w:fill="auto"/>
        <w:spacing w:after="0" w:line="317" w:lineRule="auto"/>
        <w:ind w:firstLine="220"/>
        <w:rPr>
          <w:sz w:val="14"/>
          <w:szCs w:val="14"/>
        </w:rPr>
      </w:pPr>
      <w:r>
        <w:rPr>
          <w:b/>
          <w:bCs/>
          <w:sz w:val="14"/>
          <w:szCs w:val="14"/>
        </w:rPr>
        <w:t xml:space="preserve">S m ě s. W Berljně nawrhl kdosi poslednj dnu w </w:t>
      </w:r>
      <w:r>
        <w:rPr>
          <w:b/>
          <w:bCs/>
          <w:sz w:val="14"/>
          <w:szCs w:val="14"/>
        </w:rPr>
        <w:t>unoru na oprawdu, by za presidenta komor byl wywolen Bůh, bez něhož prý se nedočkáme pořádku. Nenjf to nic no</w:t>
      </w:r>
      <w:r>
        <w:rPr>
          <w:b/>
          <w:bCs/>
          <w:sz w:val="14"/>
          <w:szCs w:val="14"/>
        </w:rPr>
        <w:softHyphen/>
        <w:t>vého, neb w Španělsku Panna Maria už wjcekráte zo- ugjmala mjsto generalissima, a w Neapolsku před rokem král Ferdinand odevzdal ochranu a nadporu</w:t>
      </w:r>
      <w:r>
        <w:rPr>
          <w:b/>
          <w:bCs/>
          <w:sz w:val="14"/>
          <w:szCs w:val="14"/>
        </w:rPr>
        <w:t>čnjstwj nad wogskem Blahoslawené. — Giné pomoci také giž sotwa bude — někdo se do toho bude muset wložit — nebof nyněgssi páni tohoto swěta tyto zmatky sotwa asi spořádagj.</w:t>
      </w:r>
    </w:p>
    <w:p w:rsidR="00500724" w:rsidRDefault="00F30FB8">
      <w:pPr>
        <w:pStyle w:val="Zkladntext40"/>
        <w:shd w:val="clear" w:color="auto" w:fill="auto"/>
        <w:spacing w:after="0" w:line="317" w:lineRule="auto"/>
        <w:ind w:firstLine="220"/>
        <w:rPr>
          <w:sz w:val="14"/>
          <w:szCs w:val="14"/>
        </w:rPr>
      </w:pPr>
      <w:r>
        <w:rPr>
          <w:b/>
          <w:bCs/>
          <w:sz w:val="14"/>
          <w:szCs w:val="14"/>
        </w:rPr>
        <w:t xml:space="preserve">Z W i d n ě, 16. března. — </w:t>
      </w:r>
      <w:r>
        <w:rPr>
          <w:b/>
          <w:bCs/>
          <w:sz w:val="14"/>
          <w:szCs w:val="14"/>
          <w:lang w:val="en-US" w:eastAsia="en-US" w:bidi="en-US"/>
        </w:rPr>
        <w:t xml:space="preserve">J. </w:t>
      </w:r>
      <w:r>
        <w:rPr>
          <w:b/>
          <w:bCs/>
          <w:sz w:val="14"/>
          <w:szCs w:val="14"/>
        </w:rPr>
        <w:t>M. L. hrabě Jiří Wrbna bude prý k soudu pohnán, poněw</w:t>
      </w:r>
      <w:r>
        <w:rPr>
          <w:b/>
          <w:bCs/>
          <w:sz w:val="14"/>
          <w:szCs w:val="14"/>
        </w:rPr>
        <w:t>adž na daný mu od IWindischgrátze rozkaz, aby powstalcům přechod přes Tisu zabránil, skrze 8 hodin nedbal, mezi kterým časem powstalci ale na 11 worech přessli.</w:t>
      </w:r>
    </w:p>
    <w:p w:rsidR="00500724" w:rsidRDefault="00F30FB8">
      <w:pPr>
        <w:pStyle w:val="Zkladntext40"/>
        <w:shd w:val="clear" w:color="auto" w:fill="auto"/>
        <w:spacing w:after="0" w:line="319" w:lineRule="auto"/>
        <w:ind w:firstLine="220"/>
        <w:rPr>
          <w:sz w:val="14"/>
          <w:szCs w:val="14"/>
        </w:rPr>
      </w:pPr>
      <w:r>
        <w:rPr>
          <w:b/>
          <w:bCs/>
          <w:sz w:val="14"/>
          <w:szCs w:val="14"/>
        </w:rPr>
        <w:t>Italská země. — Z Itálských nowin se dozwjdá- me, že wéwoda Modenský přinucen byl na outěk se d</w:t>
      </w:r>
      <w:r>
        <w:rPr>
          <w:b/>
          <w:bCs/>
          <w:sz w:val="14"/>
          <w:szCs w:val="14"/>
        </w:rPr>
        <w:t>áti. i— Král Neapolský, nazwán il Bombardatore, rozpustil Sněm a hned na to několik sněmownjků schytati dal. Toť takowé panské sstwanice pomalu do mody přigdou!</w:t>
      </w:r>
    </w:p>
    <w:p w:rsidR="00500724" w:rsidRDefault="00F30FB8">
      <w:pPr>
        <w:pStyle w:val="Zkladntext40"/>
        <w:shd w:val="clear" w:color="auto" w:fill="auto"/>
        <w:spacing w:after="0" w:line="348" w:lineRule="auto"/>
        <w:ind w:firstLine="220"/>
        <w:rPr>
          <w:sz w:val="14"/>
          <w:szCs w:val="14"/>
        </w:rPr>
      </w:pPr>
      <w:r>
        <w:rPr>
          <w:b/>
          <w:bCs/>
          <w:sz w:val="14"/>
          <w:szCs w:val="14"/>
        </w:rPr>
        <w:t>Z P a ř j ž e, 24. března. Kluby čili spolky gsou zapo- wězeny; posud ale zákon ten nenj prohlá</w:t>
      </w:r>
      <w:r>
        <w:rPr>
          <w:b/>
          <w:bCs/>
          <w:sz w:val="14"/>
          <w:szCs w:val="14"/>
        </w:rPr>
        <w:t>ssen. Tagné Spolky uzawřely, staneli to, že wyzwou republiku k po- wsánj. O guilotině (stjnadle) se mluwj tak, gakoby to 'dětská hříčka byla. Gestli pozegtřek pokogně skončí, budou mjt zpátečníci opět na nějaký čas pokog.</w:t>
      </w:r>
    </w:p>
    <w:p w:rsidR="00500724" w:rsidRDefault="00F30FB8">
      <w:pPr>
        <w:pStyle w:val="Zkladntext40"/>
        <w:shd w:val="clear" w:color="auto" w:fill="auto"/>
        <w:tabs>
          <w:tab w:val="left" w:pos="3965"/>
        </w:tabs>
        <w:spacing w:after="0" w:line="348" w:lineRule="auto"/>
        <w:ind w:firstLine="220"/>
        <w:rPr>
          <w:sz w:val="14"/>
          <w:szCs w:val="14"/>
        </w:rPr>
      </w:pPr>
      <w:r>
        <w:rPr>
          <w:b/>
          <w:bCs/>
          <w:sz w:val="14"/>
          <w:szCs w:val="14"/>
        </w:rPr>
        <w:t>Směs. Na mých cestách po Čechách p</w:t>
      </w:r>
      <w:r>
        <w:rPr>
          <w:b/>
          <w:bCs/>
          <w:sz w:val="14"/>
          <w:szCs w:val="14"/>
        </w:rPr>
        <w:t>řissel gsem i do Slaného, práwě když domácj obrana pohromadě byla, Í podiwil gsem se gegjmu welkému počtu, dobrému uspořádání a ouplnému ozbrogenj, při čemž mně přede- wssjm praporečník pan Florik do očj padl, negen pro geho statnou tučnou postawu, gako pr</w:t>
      </w:r>
      <w:r>
        <w:rPr>
          <w:b/>
          <w:bCs/>
          <w:sz w:val="14"/>
          <w:szCs w:val="14"/>
        </w:rPr>
        <w:t>oto, že tuto prá- porečni službu w laytnantské uniformě wykonáwá, i diwil gsem se geho tlustotě, nebof byl prý wogákem, a na wogně se sotwa, kdež se tolik naběhal, mohl tak wykrmiti.</w:t>
      </w:r>
      <w:r>
        <w:rPr>
          <w:b/>
          <w:bCs/>
          <w:sz w:val="14"/>
          <w:szCs w:val="14"/>
        </w:rPr>
        <w:tab/>
        <w:t>Cestowatel.</w:t>
      </w:r>
    </w:p>
    <w:p w:rsidR="00500724" w:rsidRDefault="00F30FB8">
      <w:pPr>
        <w:pStyle w:val="Zkladntext40"/>
        <w:shd w:val="clear" w:color="auto" w:fill="auto"/>
        <w:spacing w:after="0" w:line="348" w:lineRule="auto"/>
        <w:ind w:firstLine="220"/>
        <w:rPr>
          <w:sz w:val="14"/>
          <w:szCs w:val="14"/>
        </w:rPr>
      </w:pPr>
      <w:r>
        <w:rPr>
          <w:b/>
          <w:bCs/>
          <w:sz w:val="14"/>
          <w:szCs w:val="14"/>
        </w:rPr>
        <w:t>Z Prahy. Potwrdj-li se zpráwa: že Ruské wogsko Vrazilo do Pol</w:t>
      </w:r>
      <w:r>
        <w:rPr>
          <w:b/>
          <w:bCs/>
          <w:sz w:val="14"/>
          <w:szCs w:val="14"/>
        </w:rPr>
        <w:t>ska a dále pak do Uher táhne, gaký plásstjk se pak asi tomuto wtrhnuti a brannému zakro</w:t>
      </w:r>
      <w:r>
        <w:rPr>
          <w:b/>
          <w:bCs/>
          <w:sz w:val="14"/>
          <w:szCs w:val="14"/>
        </w:rPr>
        <w:softHyphen/>
        <w:t>čení na rameno hodj? O wtrhnuti do Sedmihradska se emlouwala ruská wláda, že se to stalo z pouhé lidskosti *— z pouhé outrpnosti. Se Sasíky Sedmihradskými bylo prý až h</w:t>
      </w:r>
      <w:r>
        <w:rPr>
          <w:b/>
          <w:bCs/>
          <w:sz w:val="14"/>
          <w:szCs w:val="14"/>
        </w:rPr>
        <w:t>růza ukrutně od Šekelů nakládáno, že Rusko s welikou bolestj na to hledělo, a proto také, když Sasjci ruské vogsko o pomoc wolali, ono také hned z pouhé lidskosti a outrpnosti přes hranice do Sedmihradska wtrhlo. Kdo ale tedy do Polska zawolal Rusy? Co pak</w:t>
      </w:r>
      <w:r>
        <w:rPr>
          <w:b/>
          <w:bCs/>
          <w:sz w:val="14"/>
          <w:szCs w:val="14"/>
        </w:rPr>
        <w:t xml:space="preserve"> tu se asi za zámjnku wystrčj?</w:t>
      </w:r>
    </w:p>
    <w:p w:rsidR="00500724" w:rsidRDefault="00F30FB8">
      <w:pPr>
        <w:pStyle w:val="Zkladntext40"/>
        <w:shd w:val="clear" w:color="auto" w:fill="auto"/>
        <w:spacing w:after="0" w:line="331" w:lineRule="auto"/>
        <w:ind w:firstLine="220"/>
        <w:rPr>
          <w:sz w:val="14"/>
          <w:szCs w:val="14"/>
        </w:rPr>
      </w:pPr>
      <w:r>
        <w:rPr>
          <w:b/>
          <w:bCs/>
          <w:sz w:val="14"/>
          <w:szCs w:val="14"/>
        </w:rPr>
        <w:t>Z Krakova, 27. března. — Kdo by se zde opowáži) &gt;bez wyssjho dowolenj* oswětlit okna, propadne pokutě 300 zl. To snad gen prozatjm; možná, že pozděgi nebu</w:t>
      </w:r>
      <w:r>
        <w:rPr>
          <w:b/>
          <w:bCs/>
          <w:sz w:val="14"/>
          <w:szCs w:val="14"/>
        </w:rPr>
        <w:softHyphen/>
        <w:t>dou smjt ani swičku rožžnout, aby to ostrowtip policaj- ský nepowažova</w:t>
      </w:r>
      <w:r>
        <w:rPr>
          <w:b/>
          <w:bCs/>
          <w:sz w:val="14"/>
          <w:szCs w:val="14"/>
        </w:rPr>
        <w:t>l snad za iluminaci. Ach ty zlaté časy!</w:t>
      </w:r>
    </w:p>
    <w:p w:rsidR="00500724" w:rsidRDefault="00F30FB8">
      <w:pPr>
        <w:pStyle w:val="Zkladntext40"/>
        <w:shd w:val="clear" w:color="auto" w:fill="auto"/>
        <w:spacing w:after="0" w:line="331" w:lineRule="auto"/>
        <w:ind w:firstLine="220"/>
        <w:rPr>
          <w:sz w:val="14"/>
          <w:szCs w:val="14"/>
        </w:rPr>
      </w:pPr>
      <w:r>
        <w:rPr>
          <w:b/>
          <w:bCs/>
          <w:sz w:val="14"/>
          <w:szCs w:val="14"/>
        </w:rPr>
        <w:t>Z W i d n ě, 1. dubna. — Wýminky, které se při při</w:t>
      </w:r>
      <w:r>
        <w:rPr>
          <w:b/>
          <w:bCs/>
          <w:sz w:val="14"/>
          <w:szCs w:val="14"/>
        </w:rPr>
        <w:softHyphen/>
        <w:t xml:space="preserve">měří se Sardinském ustanowily, gsou: Sardinsku ukládá se wogenská kontribuce 80 milionůw, z njž desátý djl ihned složití se má. </w:t>
      </w:r>
      <w:r>
        <w:rPr>
          <w:b/>
          <w:bCs/>
          <w:sz w:val="14"/>
          <w:szCs w:val="14"/>
          <w:lang w:val="en-US" w:eastAsia="en-US" w:bidi="en-US"/>
        </w:rPr>
        <w:t xml:space="preserve">Pewnosti Nowara a Alessandria </w:t>
      </w:r>
      <w:r>
        <w:rPr>
          <w:b/>
          <w:bCs/>
          <w:sz w:val="14"/>
          <w:szCs w:val="14"/>
        </w:rPr>
        <w:t xml:space="preserve">obsadj </w:t>
      </w:r>
      <w:r>
        <w:rPr>
          <w:b/>
          <w:bCs/>
          <w:sz w:val="14"/>
          <w:szCs w:val="14"/>
        </w:rPr>
        <w:t>wogsko rakouské; wogsko sardinské má se zmen- ssit tak, aby gen 25.000 mužů obnásselo; dále má se lod*- stwo wzdálit s moře Jaderského. Konečně obsadj Ra</w:t>
      </w:r>
      <w:r>
        <w:rPr>
          <w:b/>
          <w:bCs/>
          <w:sz w:val="14"/>
          <w:szCs w:val="14"/>
        </w:rPr>
        <w:softHyphen/>
        <w:t>kousko Piemont na 4 léta.</w:t>
      </w:r>
    </w:p>
    <w:p w:rsidR="00500724" w:rsidRDefault="00F30FB8">
      <w:pPr>
        <w:pStyle w:val="Zkladntext40"/>
        <w:shd w:val="clear" w:color="auto" w:fill="auto"/>
        <w:spacing w:after="0" w:line="331" w:lineRule="auto"/>
        <w:ind w:firstLine="220"/>
        <w:rPr>
          <w:sz w:val="14"/>
          <w:szCs w:val="14"/>
        </w:rPr>
      </w:pPr>
      <w:r>
        <w:rPr>
          <w:b/>
          <w:bCs/>
          <w:sz w:val="14"/>
          <w:szCs w:val="14"/>
        </w:rPr>
        <w:t>Od polského pomezJ. Při nyněgssjm wypsánf nowé rekrutýrky budou se k dosažen</w:t>
      </w:r>
      <w:r>
        <w:rPr>
          <w:b/>
          <w:bCs/>
          <w:sz w:val="14"/>
          <w:szCs w:val="14"/>
        </w:rPr>
        <w:t>i potřebného wog</w:t>
      </w:r>
      <w:r>
        <w:rPr>
          <w:b/>
          <w:bCs/>
          <w:sz w:val="14"/>
          <w:szCs w:val="14"/>
        </w:rPr>
        <w:softHyphen/>
        <w:t>ska mužowé až i 30. let a třeba starssj podle potřeby bráti. Následkem toho utíká mnoho mladých židů přes hranice, by w Americe swé blaho hledali.</w:t>
      </w:r>
    </w:p>
    <w:p w:rsidR="00500724" w:rsidRDefault="00F30FB8">
      <w:pPr>
        <w:pStyle w:val="Zkladntext40"/>
        <w:shd w:val="clear" w:color="auto" w:fill="auto"/>
        <w:spacing w:after="0" w:line="331" w:lineRule="auto"/>
        <w:ind w:firstLine="220"/>
        <w:rPr>
          <w:sz w:val="14"/>
          <w:szCs w:val="14"/>
        </w:rPr>
      </w:pPr>
      <w:r>
        <w:rPr>
          <w:b/>
          <w:bCs/>
          <w:sz w:val="14"/>
          <w:szCs w:val="14"/>
        </w:rPr>
        <w:t>Z titwy, 20. března. — Ruská policie netoliko opatrně pozoruge každé hnuti w králowstwj Pols</w:t>
      </w:r>
      <w:r>
        <w:rPr>
          <w:b/>
          <w:bCs/>
          <w:sz w:val="14"/>
          <w:szCs w:val="14"/>
        </w:rPr>
        <w:t>kém, nýbrž i na cestowniky welmi přísně dohlíží a obtěžuge gim cestu. Budoucně se má při wystawených pasech mi</w:t>
      </w:r>
      <w:r>
        <w:rPr>
          <w:b/>
          <w:bCs/>
          <w:sz w:val="14"/>
          <w:szCs w:val="14"/>
        </w:rPr>
        <w:softHyphen/>
        <w:t>mo potwrzenj od ruského wyslance w Berlíně nebo od některého ruského konsula, na cestugjcich do králow- stwj polského žádati i následugici: 1. Wy</w:t>
      </w:r>
      <w:r>
        <w:rPr>
          <w:b/>
          <w:bCs/>
          <w:sz w:val="14"/>
          <w:szCs w:val="14"/>
        </w:rPr>
        <w:t>swědčenj od pruského ouřadu, že cestugjcj w žádném politickém hý</w:t>
      </w:r>
      <w:r>
        <w:rPr>
          <w:b/>
          <w:bCs/>
          <w:sz w:val="14"/>
          <w:szCs w:val="14"/>
        </w:rPr>
        <w:softHyphen/>
        <w:t>báni oučastenstwj neměl, ani podezřeni takowém nenj; 2. ouplné udánj o oučelu cest a mjst, která cestugjcf na- wsstiwiti chce, gakož i o tom, s kterými osobami we spogenj zamýsslj; 3. wyswědč</w:t>
      </w:r>
      <w:r>
        <w:rPr>
          <w:b/>
          <w:bCs/>
          <w:sz w:val="14"/>
          <w:szCs w:val="14"/>
        </w:rPr>
        <w:t>enj, zdali a w kterém čase cestugjcí giž w Polsku byl, we kterých místech se zdržo- wal a kteřj polsstj ouřadové nebo poddaní w těchto mjstech o geho dřiwěgssjm chováni zpráwu dáti mohou.</w:t>
      </w:r>
    </w:p>
    <w:p w:rsidR="00500724" w:rsidRDefault="00F30FB8">
      <w:pPr>
        <w:pStyle w:val="Zkladntext40"/>
        <w:shd w:val="clear" w:color="auto" w:fill="auto"/>
        <w:spacing w:after="0" w:line="343" w:lineRule="auto"/>
        <w:ind w:firstLine="220"/>
        <w:rPr>
          <w:sz w:val="14"/>
          <w:szCs w:val="14"/>
        </w:rPr>
      </w:pPr>
      <w:r>
        <w:rPr>
          <w:b/>
          <w:bCs/>
          <w:sz w:val="14"/>
          <w:szCs w:val="14"/>
        </w:rPr>
        <w:t>Z Wukowaru, 26. března. — Dnes se zřizowala zde, gakož i w celé wogw</w:t>
      </w:r>
      <w:r>
        <w:rPr>
          <w:b/>
          <w:bCs/>
          <w:sz w:val="14"/>
          <w:szCs w:val="14"/>
        </w:rPr>
        <w:t>odowině zemská hotowost. Účel, proč se toto děge, nenj zcela posud znám.</w:t>
      </w:r>
    </w:p>
    <w:p w:rsidR="00500724" w:rsidRDefault="00F30FB8">
      <w:pPr>
        <w:pStyle w:val="Zkladntext40"/>
        <w:shd w:val="clear" w:color="auto" w:fill="auto"/>
        <w:spacing w:after="0" w:line="348" w:lineRule="auto"/>
        <w:ind w:firstLine="220"/>
        <w:rPr>
          <w:sz w:val="14"/>
          <w:szCs w:val="14"/>
        </w:rPr>
      </w:pPr>
      <w:r>
        <w:rPr>
          <w:b/>
          <w:bCs/>
          <w:sz w:val="14"/>
          <w:szCs w:val="14"/>
        </w:rPr>
        <w:t>Směs. Pro uwarowáni lži uwádjm swému wele- wáženému obecenstwu a přátelům wůbec, že gsem pro uweřegnění článku z Turína zároveň s ginými redaktory do wazby dán býti měl, ale poslaw za</w:t>
      </w:r>
      <w:r>
        <w:rPr>
          <w:b/>
          <w:bCs/>
          <w:sz w:val="14"/>
          <w:szCs w:val="14"/>
        </w:rPr>
        <w:t xml:space="preserve"> sebe 200 zl. siř. do žaláře, gsem sám na swobodě, a o mých uwězněných' 200 zl. wjm gistotu, že se také na krátce ze žaláře ke mně gakožto pánu swému wrátěgi, neboť se pewně domfij- wám docela w právu být proti žalobníku swému.</w:t>
      </w:r>
    </w:p>
    <w:p w:rsidR="00500724" w:rsidRDefault="00F30FB8">
      <w:pPr>
        <w:pStyle w:val="Zkladntext40"/>
        <w:shd w:val="clear" w:color="auto" w:fill="auto"/>
        <w:spacing w:after="0" w:line="348" w:lineRule="auto"/>
        <w:ind w:firstLine="220"/>
        <w:rPr>
          <w:sz w:val="14"/>
          <w:szCs w:val="14"/>
        </w:rPr>
      </w:pPr>
      <w:r>
        <w:rPr>
          <w:b/>
          <w:bCs/>
          <w:sz w:val="14"/>
          <w:szCs w:val="14"/>
        </w:rPr>
        <w:t>Také nemohu opomenouti při t</w:t>
      </w:r>
      <w:r>
        <w:rPr>
          <w:b/>
          <w:bCs/>
          <w:sz w:val="14"/>
          <w:szCs w:val="14"/>
        </w:rPr>
        <w:t xml:space="preserve">om poznamenat, že se po městě roznássi powěst o ouřednjm pátránj po Praze, zdáž by nebylo lze podezřelých papírů u některých osob nalézti, a gestli tomu skutečně tak, tuf gest widěti, že swět wssecka </w:t>
      </w:r>
      <w:r>
        <w:rPr>
          <w:b/>
          <w:bCs/>
          <w:sz w:val="14"/>
          <w:szCs w:val="14"/>
          <w:lang w:val="en-US" w:eastAsia="en-US" w:bidi="en-US"/>
        </w:rPr>
        <w:t xml:space="preserve">tagemstvj </w:t>
      </w:r>
      <w:r>
        <w:rPr>
          <w:b/>
          <w:bCs/>
          <w:sz w:val="14"/>
          <w:szCs w:val="14"/>
        </w:rPr>
        <w:t>wyžwatlat musí, gen tu tagnust gesstě žádný Sl</w:t>
      </w:r>
      <w:r>
        <w:rPr>
          <w:b/>
          <w:bCs/>
          <w:sz w:val="14"/>
          <w:szCs w:val="14"/>
        </w:rPr>
        <w:t>owanům newyžwatlal, Jelačič že gest demokrat, to snad giž ostane nawždy tagemstwím.</w:t>
      </w:r>
    </w:p>
    <w:p w:rsidR="00500724" w:rsidRDefault="00F30FB8">
      <w:pPr>
        <w:pStyle w:val="Zkladntext40"/>
        <w:shd w:val="clear" w:color="auto" w:fill="auto"/>
        <w:spacing w:line="331" w:lineRule="auto"/>
        <w:jc w:val="right"/>
        <w:rPr>
          <w:sz w:val="14"/>
          <w:szCs w:val="14"/>
        </w:rPr>
      </w:pPr>
      <w:r>
        <w:rPr>
          <w:b/>
          <w:bCs/>
          <w:sz w:val="14"/>
          <w:szCs w:val="14"/>
        </w:rPr>
        <w:t>W Praze dne 6. dubna 1849. Em. Arnold.</w:t>
      </w:r>
    </w:p>
    <w:p w:rsidR="00500724" w:rsidRDefault="00F30FB8">
      <w:pPr>
        <w:pStyle w:val="Zkladntext40"/>
        <w:shd w:val="clear" w:color="auto" w:fill="auto"/>
        <w:spacing w:after="0" w:line="343" w:lineRule="auto"/>
        <w:jc w:val="right"/>
        <w:rPr>
          <w:sz w:val="14"/>
          <w:szCs w:val="14"/>
        </w:rPr>
      </w:pPr>
      <w:r>
        <w:rPr>
          <w:b/>
          <w:bCs/>
          <w:sz w:val="14"/>
          <w:szCs w:val="14"/>
        </w:rPr>
        <w:t>(Zasláno.) Njže psaný pokládá si to za přigemnou po</w:t>
      </w:r>
      <w:r>
        <w:rPr>
          <w:b/>
          <w:bCs/>
          <w:sz w:val="14"/>
          <w:szCs w:val="14"/>
        </w:rPr>
        <w:softHyphen/>
        <w:t xml:space="preserve">vinnost, panu Jozefowi Desenzýmu, ranlékaři </w:t>
      </w:r>
      <w:r>
        <w:rPr>
          <w:b/>
          <w:bCs/>
          <w:sz w:val="16"/>
          <w:szCs w:val="16"/>
        </w:rPr>
        <w:t xml:space="preserve">w </w:t>
      </w:r>
      <w:r>
        <w:rPr>
          <w:b/>
          <w:bCs/>
          <w:sz w:val="14"/>
          <w:szCs w:val="14"/>
        </w:rPr>
        <w:t>Roud-</w:t>
      </w:r>
    </w:p>
    <w:p w:rsidR="00500724" w:rsidRDefault="00F30FB8">
      <w:pPr>
        <w:pStyle w:val="Zkladntext40"/>
        <w:shd w:val="clear" w:color="auto" w:fill="auto"/>
        <w:spacing w:after="0" w:line="350" w:lineRule="auto"/>
        <w:rPr>
          <w:sz w:val="14"/>
          <w:szCs w:val="14"/>
        </w:rPr>
      </w:pPr>
      <w:r>
        <w:rPr>
          <w:b/>
          <w:bCs/>
          <w:sz w:val="14"/>
          <w:szCs w:val="14"/>
        </w:rPr>
        <w:t xml:space="preserve">nici srdečné djky wzdáti za </w:t>
      </w:r>
      <w:r>
        <w:rPr>
          <w:b/>
          <w:bCs/>
          <w:sz w:val="14"/>
          <w:szCs w:val="14"/>
        </w:rPr>
        <w:t>ochotnost geho, s kterou on geho dwa skoro rozstřelené prsty tak dokonale zhojil, že teď po 10ti neděljch nimi i w kloubech dle ljbosti hý- bati může, a dokládá weřegně, že co žiw, gemu za dobro</w:t>
      </w:r>
      <w:r>
        <w:rPr>
          <w:b/>
          <w:bCs/>
          <w:sz w:val="14"/>
          <w:szCs w:val="14"/>
        </w:rPr>
        <w:softHyphen/>
        <w:t xml:space="preserve">diní, které njžepsanému prokázal, neywřelegssj djky wěnowati </w:t>
      </w:r>
      <w:r>
        <w:rPr>
          <w:b/>
          <w:bCs/>
          <w:sz w:val="14"/>
          <w:szCs w:val="14"/>
        </w:rPr>
        <w:t xml:space="preserve">bude. W Roudnici na Labi dne </w:t>
      </w:r>
      <w:r>
        <w:rPr>
          <w:i/>
          <w:iCs/>
          <w:sz w:val="20"/>
          <w:szCs w:val="20"/>
        </w:rPr>
        <w:t>2.</w:t>
      </w:r>
      <w:r>
        <w:rPr>
          <w:b/>
          <w:bCs/>
          <w:sz w:val="14"/>
          <w:szCs w:val="14"/>
        </w:rPr>
        <w:t xml:space="preserve"> dubna 1849. Antonjn Procházka z Lužce.</w:t>
      </w:r>
    </w:p>
    <w:p w:rsidR="00500724" w:rsidRDefault="00F30FB8">
      <w:pPr>
        <w:pStyle w:val="Zkladntext40"/>
        <w:shd w:val="clear" w:color="auto" w:fill="auto"/>
        <w:spacing w:after="0" w:line="350" w:lineRule="auto"/>
        <w:ind w:firstLine="240"/>
        <w:rPr>
          <w:sz w:val="14"/>
          <w:szCs w:val="14"/>
        </w:rPr>
      </w:pPr>
      <w:r>
        <w:rPr>
          <w:b/>
          <w:bCs/>
          <w:sz w:val="14"/>
          <w:szCs w:val="14"/>
        </w:rPr>
        <w:t>Z W j d n ě, 5. dubna. Máme zde notnou censuru. Wssecky knihy, které z ciziny do Wjdně se dowážegj, prohljžegj se co neybedliwěgi od zlásstnjho rewisora, a nagdeli ten w nich něco nebez</w:t>
      </w:r>
      <w:r>
        <w:rPr>
          <w:b/>
          <w:bCs/>
          <w:sz w:val="14"/>
          <w:szCs w:val="14"/>
        </w:rPr>
        <w:t>pečného, hned se za- bawugj. Kněhkupci proti této nowé censuře zadali giž protest.</w:t>
      </w:r>
    </w:p>
    <w:p w:rsidR="00500724" w:rsidRDefault="00F30FB8">
      <w:pPr>
        <w:pStyle w:val="Zkladntext40"/>
        <w:shd w:val="clear" w:color="auto" w:fill="auto"/>
        <w:spacing w:after="0" w:line="350" w:lineRule="auto"/>
        <w:ind w:firstLine="240"/>
        <w:rPr>
          <w:sz w:val="14"/>
          <w:szCs w:val="14"/>
        </w:rPr>
      </w:pPr>
      <w:r>
        <w:rPr>
          <w:b/>
          <w:bCs/>
          <w:sz w:val="14"/>
          <w:szCs w:val="14"/>
        </w:rPr>
        <w:t>Z Holomouce, 8. dubna. Nasse město se giž po</w:t>
      </w:r>
      <w:r>
        <w:rPr>
          <w:b/>
          <w:bCs/>
          <w:sz w:val="14"/>
          <w:szCs w:val="14"/>
        </w:rPr>
        <w:softHyphen/>
        <w:t>malu připrawuge na brzkou opusstěnost. Žiwosti zde wjc a wjce ubáwá a gakási neweselost se zde rozhosfuge. Illawnj přjčinou toho</w:t>
      </w:r>
      <w:r>
        <w:rPr>
          <w:b/>
          <w:bCs/>
          <w:sz w:val="14"/>
          <w:szCs w:val="14"/>
        </w:rPr>
        <w:t xml:space="preserve"> gsou nepochybně neynowěgssj zpráwy z Uher. Na twářjch oficjrů sdegssj posádky ge pozorowat, že staw wěcj w Uhřjch nynj dwakrát dobře nestogj.</w:t>
      </w:r>
    </w:p>
    <w:p w:rsidR="00500724" w:rsidRDefault="00F30FB8">
      <w:pPr>
        <w:pStyle w:val="Zkladntext40"/>
        <w:shd w:val="clear" w:color="auto" w:fill="auto"/>
        <w:spacing w:after="0" w:line="343" w:lineRule="auto"/>
        <w:ind w:firstLine="240"/>
        <w:rPr>
          <w:sz w:val="14"/>
          <w:szCs w:val="14"/>
        </w:rPr>
      </w:pPr>
      <w:r>
        <w:rPr>
          <w:b/>
          <w:bCs/>
          <w:sz w:val="14"/>
          <w:szCs w:val="14"/>
        </w:rPr>
        <w:t xml:space="preserve">Z T u r i n a, </w:t>
      </w:r>
      <w:r>
        <w:rPr>
          <w:i/>
          <w:iCs/>
          <w:sz w:val="20"/>
          <w:szCs w:val="20"/>
        </w:rPr>
        <w:t>2.</w:t>
      </w:r>
      <w:r>
        <w:rPr>
          <w:b/>
          <w:bCs/>
          <w:sz w:val="14"/>
          <w:szCs w:val="14"/>
        </w:rPr>
        <w:t xml:space="preserve"> dubna. Gen. Romarino winěn ze zrady ge uwězněn. Slibuge prý, že důležité wěci wygewj, gestli se mu žiwot zaručj.</w:t>
      </w:r>
    </w:p>
    <w:p w:rsidR="00500724" w:rsidRDefault="00F30FB8">
      <w:pPr>
        <w:pStyle w:val="Zkladntext40"/>
        <w:shd w:val="clear" w:color="auto" w:fill="auto"/>
        <w:spacing w:after="0" w:line="343" w:lineRule="auto"/>
        <w:ind w:firstLine="240"/>
        <w:rPr>
          <w:sz w:val="14"/>
          <w:szCs w:val="14"/>
        </w:rPr>
      </w:pPr>
      <w:r>
        <w:rPr>
          <w:b/>
          <w:bCs/>
          <w:sz w:val="14"/>
          <w:szCs w:val="14"/>
        </w:rPr>
        <w:t xml:space="preserve">Z L* o n d ý n a, 3. dubna. (N. N.) We wčeregssim sezený dolegssi sněmowny prohlásil </w:t>
      </w:r>
      <w:r>
        <w:rPr>
          <w:b/>
          <w:bCs/>
          <w:sz w:val="14"/>
          <w:szCs w:val="14"/>
          <w:lang w:val="en-US" w:eastAsia="en-US" w:bidi="en-US"/>
        </w:rPr>
        <w:t xml:space="preserve">lord Palmerston, </w:t>
      </w:r>
      <w:r>
        <w:rPr>
          <w:b/>
          <w:bCs/>
          <w:sz w:val="14"/>
          <w:szCs w:val="14"/>
        </w:rPr>
        <w:t>že anglic</w:t>
      </w:r>
      <w:r>
        <w:rPr>
          <w:b/>
          <w:bCs/>
          <w:sz w:val="14"/>
          <w:szCs w:val="14"/>
        </w:rPr>
        <w:softHyphen/>
        <w:t>ká wláda bude powažowati každé</w:t>
      </w:r>
      <w:r>
        <w:rPr>
          <w:b/>
          <w:bCs/>
          <w:sz w:val="14"/>
          <w:szCs w:val="14"/>
        </w:rPr>
        <w:t xml:space="preserve"> zkrácenj celitosti sardinské řisse, každé obmezowánj sardinských hranic za ewropegskou otázku, která by smutné následky mjti mohla. Dále podotknul </w:t>
      </w:r>
      <w:r>
        <w:rPr>
          <w:b/>
          <w:bCs/>
          <w:sz w:val="14"/>
          <w:szCs w:val="14"/>
          <w:lang w:val="en-US" w:eastAsia="en-US" w:bidi="en-US"/>
        </w:rPr>
        <w:t xml:space="preserve">lord Palmerston, </w:t>
      </w:r>
      <w:r>
        <w:rPr>
          <w:b/>
          <w:bCs/>
          <w:sz w:val="14"/>
          <w:szCs w:val="14"/>
        </w:rPr>
        <w:t>že až posud se může předpokládat!, že nebude Rakousko žádati od Sardinská odstoupeni djlu z</w:t>
      </w:r>
      <w:r>
        <w:rPr>
          <w:b/>
          <w:bCs/>
          <w:sz w:val="14"/>
          <w:szCs w:val="14"/>
        </w:rPr>
        <w:t>emě.</w:t>
      </w:r>
    </w:p>
    <w:p w:rsidR="00500724" w:rsidRDefault="00F30FB8">
      <w:pPr>
        <w:pStyle w:val="Zkladntext40"/>
        <w:shd w:val="clear" w:color="auto" w:fill="auto"/>
        <w:spacing w:after="0" w:line="341" w:lineRule="auto"/>
        <w:ind w:firstLine="240"/>
        <w:rPr>
          <w:sz w:val="14"/>
          <w:szCs w:val="14"/>
        </w:rPr>
      </w:pPr>
      <w:r>
        <w:rPr>
          <w:b/>
          <w:bCs/>
          <w:sz w:val="14"/>
          <w:szCs w:val="14"/>
        </w:rPr>
        <w:t>Z Nowého Yorku w Americe, 13. března. (Z do</w:t>
      </w:r>
      <w:r>
        <w:rPr>
          <w:b/>
          <w:bCs/>
          <w:sz w:val="14"/>
          <w:szCs w:val="14"/>
        </w:rPr>
        <w:softHyphen/>
        <w:t>pisu přátelského.) Snad Wás to bude zagjmat, když Wám sděljm, že od několika let sem mnoho Slowanů přicházj. Zakupugj sobě u wnitř států nassich půdu, kterouž w letě wzděláwagj; w zimě prowozugou swá řemesla</w:t>
      </w:r>
      <w:r>
        <w:rPr>
          <w:b/>
          <w:bCs/>
          <w:sz w:val="14"/>
          <w:szCs w:val="14"/>
        </w:rPr>
        <w:t>.</w:t>
      </w:r>
    </w:p>
    <w:p w:rsidR="00500724" w:rsidRDefault="00F30FB8">
      <w:pPr>
        <w:pStyle w:val="Zkladntext40"/>
        <w:shd w:val="clear" w:color="auto" w:fill="auto"/>
        <w:spacing w:after="0" w:line="346" w:lineRule="auto"/>
        <w:ind w:firstLine="240"/>
        <w:rPr>
          <w:sz w:val="14"/>
          <w:szCs w:val="14"/>
        </w:rPr>
      </w:pPr>
      <w:r>
        <w:rPr>
          <w:b/>
          <w:bCs/>
          <w:sz w:val="14"/>
          <w:szCs w:val="14"/>
        </w:rPr>
        <w:t>Plesal gsem radostj spatřiw tu též celou společnost českých hudebnjkůw; hráli wariace na české národnj pjsně, z nichž pjseň »Sedlák, sedlák, neglépe se mi ljbila. — Co gsem wssak w Čechách nenašel, to gest zde; nepanuge zde totiž ona zássf mezi gednotliw</w:t>
      </w:r>
      <w:r>
        <w:rPr>
          <w:b/>
          <w:bCs/>
          <w:sz w:val="14"/>
          <w:szCs w:val="14"/>
        </w:rPr>
        <w:t>ými náboženskými sekty; důkaz to, že drážděnj wždycky gen s hůry pocházj.</w:t>
      </w:r>
    </w:p>
    <w:p w:rsidR="00500724" w:rsidRDefault="00F30FB8">
      <w:pPr>
        <w:pStyle w:val="Zkladntext40"/>
        <w:shd w:val="clear" w:color="auto" w:fill="auto"/>
        <w:spacing w:after="0" w:line="336" w:lineRule="auto"/>
        <w:ind w:firstLine="240"/>
        <w:rPr>
          <w:sz w:val="14"/>
          <w:szCs w:val="14"/>
        </w:rPr>
      </w:pPr>
      <w:r>
        <w:rPr>
          <w:b/>
          <w:bCs/>
          <w:sz w:val="14"/>
          <w:szCs w:val="14"/>
        </w:rPr>
        <w:t>Doufám, že Wám w krátkém čase o nassich českých koloniých mnoho potěssitelného sděljm. J. Č.</w:t>
      </w:r>
    </w:p>
    <w:p w:rsidR="00500724" w:rsidRDefault="00F30FB8">
      <w:pPr>
        <w:pStyle w:val="Zkladntext40"/>
        <w:shd w:val="clear" w:color="auto" w:fill="auto"/>
        <w:spacing w:after="0" w:line="348" w:lineRule="auto"/>
        <w:ind w:firstLine="240"/>
        <w:rPr>
          <w:sz w:val="14"/>
          <w:szCs w:val="14"/>
        </w:rPr>
      </w:pPr>
      <w:r>
        <w:rPr>
          <w:b/>
          <w:bCs/>
          <w:sz w:val="14"/>
          <w:szCs w:val="14"/>
        </w:rPr>
        <w:t xml:space="preserve">Z Madridu 27. března. (N. N.) Nowiny Heraldo </w:t>
      </w:r>
      <w:r>
        <w:rPr>
          <w:b/>
          <w:bCs/>
          <w:sz w:val="14"/>
          <w:szCs w:val="14"/>
          <w:lang w:val="en-US" w:eastAsia="en-US" w:bidi="en-US"/>
        </w:rPr>
        <w:t xml:space="preserve">pjssji </w:t>
      </w:r>
      <w:r>
        <w:rPr>
          <w:b/>
          <w:bCs/>
          <w:sz w:val="14"/>
          <w:szCs w:val="14"/>
        </w:rPr>
        <w:t xml:space="preserve">Město Motrill, které má 16.000 </w:t>
      </w:r>
      <w:r>
        <w:rPr>
          <w:b/>
          <w:bCs/>
          <w:sz w:val="14"/>
          <w:szCs w:val="14"/>
        </w:rPr>
        <w:t>obywatelů, a na břehu středozemnjho moře, 9 mil od Granady ležj, bylo dne 22. března ráno od 300 powstalců přepadeno, kteřj negjnjsse přeplauli po moři z Oránu. Gak mile do města wtrhii, odzbrogili wogáky u celnjho ouřadu a žandar- my, spálili archiw obecn</w:t>
      </w:r>
      <w:r>
        <w:rPr>
          <w:b/>
          <w:bCs/>
          <w:sz w:val="14"/>
          <w:szCs w:val="14"/>
        </w:rPr>
        <w:t>j raddy a celnjho ouřadu, dali wssem wěznům swobodu, wzali weřegné penjze a rozssi- řowali manifesty podepsané od gakéhosi Santiaga Pe- reza, co hlawnjho welitele Granadské prowincie, křičjce při tom: »Nech žige swoboda, zkáza ukrutnjkům!&lt; K wečeru opustil</w:t>
      </w:r>
      <w:r>
        <w:rPr>
          <w:b/>
          <w:bCs/>
          <w:sz w:val="14"/>
          <w:szCs w:val="14"/>
        </w:rPr>
        <w:t>i město a položili se w okolj. Druhý den ráno dne 23. března wytáhl generálkapitán Campu- cano se 2 prápory, sskadronou gizdy a s několika děly z Granady, aby powstalce wypátral a zničil.</w:t>
      </w:r>
    </w:p>
    <w:p w:rsidR="00500724" w:rsidRDefault="00F30FB8">
      <w:pPr>
        <w:pStyle w:val="Zkladntext40"/>
        <w:shd w:val="clear" w:color="auto" w:fill="auto"/>
        <w:spacing w:after="0" w:line="341" w:lineRule="auto"/>
        <w:ind w:firstLine="220"/>
        <w:rPr>
          <w:sz w:val="14"/>
          <w:szCs w:val="14"/>
        </w:rPr>
      </w:pPr>
      <w:r>
        <w:rPr>
          <w:b/>
          <w:bCs/>
          <w:sz w:val="14"/>
          <w:szCs w:val="14"/>
        </w:rPr>
        <w:t xml:space="preserve">Z Wjdně 11. dubna wečer. (C. B.) Práwě se zde roz- nássj powěst, že </w:t>
      </w:r>
      <w:r>
        <w:rPr>
          <w:b/>
          <w:bCs/>
          <w:sz w:val="14"/>
          <w:szCs w:val="14"/>
        </w:rPr>
        <w:t>se tady ubjral kurýr do Holomouce se zpráwou o krwawě bitwě pobljž Pesstě. Ztráta s obogj strany ge prý welmi znamenitá — na každé straně asi 6000 i 7000 mužů obnássegjcj. Prawj se, že cjsařsstj zwjtě- zili, že ale negsou ostatně w stawu, wjtězstwj swého p</w:t>
      </w:r>
      <w:r>
        <w:rPr>
          <w:b/>
          <w:bCs/>
          <w:sz w:val="14"/>
          <w:szCs w:val="14"/>
        </w:rPr>
        <w:t>oužjti a nepřjtele pronásledowati. (Nebude-li to wjtěz</w:t>
      </w:r>
      <w:r>
        <w:rPr>
          <w:b/>
          <w:bCs/>
          <w:sz w:val="14"/>
          <w:szCs w:val="14"/>
        </w:rPr>
        <w:softHyphen/>
        <w:t>stwj zas gen w uštech a na papjru. Slawné asi tuze nenj, sice by o něm giž telegrafická zpráwa w Praze hlásala.)</w:t>
      </w:r>
    </w:p>
    <w:p w:rsidR="00500724" w:rsidRDefault="00F30FB8">
      <w:pPr>
        <w:pStyle w:val="Zkladntext40"/>
        <w:shd w:val="clear" w:color="auto" w:fill="auto"/>
        <w:spacing w:after="0" w:line="350" w:lineRule="auto"/>
        <w:ind w:firstLine="220"/>
        <w:rPr>
          <w:sz w:val="14"/>
          <w:szCs w:val="14"/>
        </w:rPr>
      </w:pPr>
      <w:r>
        <w:rPr>
          <w:b/>
          <w:bCs/>
          <w:sz w:val="14"/>
          <w:szCs w:val="14"/>
        </w:rPr>
        <w:t>Z Paříže, 7. dubna. »Moniteur« oznamuje, že pře- dewčeregssj čjslo listu &gt;Le peuplec zab</w:t>
      </w:r>
      <w:r>
        <w:rPr>
          <w:b/>
          <w:bCs/>
          <w:sz w:val="14"/>
          <w:szCs w:val="14"/>
        </w:rPr>
        <w:t>aweno bylo, po</w:t>
      </w:r>
      <w:r>
        <w:rPr>
          <w:b/>
          <w:bCs/>
          <w:sz w:val="14"/>
          <w:szCs w:val="14"/>
        </w:rPr>
        <w:softHyphen/>
        <w:t>něwadž w gednom článku stálo, že nyněgssj president Bonaparte má tolik dluhů, že geho wůle a politické mysslénky giž napřed zastaweny gsou.</w:t>
      </w:r>
    </w:p>
    <w:p w:rsidR="00500724" w:rsidRDefault="00F30FB8">
      <w:pPr>
        <w:pStyle w:val="Zkladntext40"/>
        <w:shd w:val="clear" w:color="auto" w:fill="auto"/>
        <w:spacing w:after="0" w:line="350" w:lineRule="auto"/>
        <w:ind w:firstLine="220"/>
        <w:rPr>
          <w:sz w:val="14"/>
          <w:szCs w:val="14"/>
        </w:rPr>
      </w:pPr>
      <w:r>
        <w:rPr>
          <w:b/>
          <w:bCs/>
          <w:sz w:val="14"/>
          <w:szCs w:val="14"/>
        </w:rPr>
        <w:t>Z Pressowa (na Slowensku) od 3. dubna přinássj W. L. od swého dopisowatele, člena dobrowolnjků slo- w</w:t>
      </w:r>
      <w:r>
        <w:rPr>
          <w:b/>
          <w:bCs/>
          <w:sz w:val="14"/>
          <w:szCs w:val="14"/>
        </w:rPr>
        <w:t>enských, následugjcj dopis: Práwě se dowidáme, že králowský komisar we sw. Mikulássi welmi krásně si králuge po Liptowsku. Af už njc nedjm o robotě, ku které ubohý lid pořáde, gako kdy gindy genom býwati mohlo, ge přidržowán a zapřahán; af už nic nedjm o ř</w:t>
      </w:r>
      <w:r>
        <w:rPr>
          <w:b/>
          <w:bCs/>
          <w:sz w:val="14"/>
          <w:szCs w:val="14"/>
        </w:rPr>
        <w:t>eči maďarské, která ge tam zase úřední gako by to bylo w Debrecjně, af o pátém a dewátém urputném a přemrsstěném kousku panowánj kralowánj tohoto arci- kossutiana nic nedjm: ale o tom pomlčeti, to zatagití nemohu a nesmjm před celým swětem sprawedliwým, že</w:t>
      </w:r>
      <w:r>
        <w:rPr>
          <w:b/>
          <w:bCs/>
          <w:sz w:val="14"/>
          <w:szCs w:val="14"/>
        </w:rPr>
        <w:t xml:space="preserve"> nadřečený králowský komisar inquisici činj proti —!— Ilurbanovi. Co se mé osoby týká, wypowjdám Wám tjmto wssecku dalssj korespondenci, nebo zjtra, tak gak gsem dobrowolně gsem přissel, dobrowolně odtud odcházjm: má chifra o Slowensku zanjká tjmto posled-</w:t>
      </w:r>
      <w:r>
        <w:rPr>
          <w:b/>
          <w:bCs/>
          <w:sz w:val="14"/>
          <w:szCs w:val="14"/>
        </w:rPr>
        <w:t xml:space="preserve"> njm dopisem. — Myslil gsem, že stogjm a bogugu tu za swůg rod, za nowuzrozené, omládlé, upřjmné a čestné bytj —, za starodáwné týránj národůw arci bych se nebyl hnul.</w:t>
      </w:r>
    </w:p>
    <w:p w:rsidR="00500724" w:rsidRDefault="00F30FB8">
      <w:pPr>
        <w:pStyle w:val="Zkladntext40"/>
        <w:shd w:val="clear" w:color="auto" w:fill="auto"/>
        <w:spacing w:after="0" w:line="348" w:lineRule="auto"/>
        <w:ind w:firstLine="220"/>
        <w:rPr>
          <w:sz w:val="14"/>
          <w:szCs w:val="14"/>
        </w:rPr>
      </w:pPr>
      <w:r>
        <w:rPr>
          <w:b/>
          <w:bCs/>
          <w:sz w:val="14"/>
          <w:szCs w:val="14"/>
        </w:rPr>
        <w:t xml:space="preserve">Z Krakowa, 11. dubna. Hořkou žalostj skourmou- tilo se srdce nasse, když gsme slysseli, </w:t>
      </w:r>
      <w:r>
        <w:rPr>
          <w:b/>
          <w:bCs/>
          <w:sz w:val="14"/>
          <w:szCs w:val="14"/>
        </w:rPr>
        <w:t>že byli wčera wssickni emigranti (wystěhowalci) w Krakowě se zdržugjcj — s wygmutjm malého počtu — powoláni na policegnj ouřad, kdežto se gim oznámilo, že se magj dnes o páté hodině s poledne dostawit na Podgorz k odgezdu. Počet emigrantů, gežto náhlá tato</w:t>
      </w:r>
      <w:r>
        <w:rPr>
          <w:b/>
          <w:bCs/>
          <w:sz w:val="14"/>
          <w:szCs w:val="14"/>
        </w:rPr>
        <w:t xml:space="preserve"> rána za</w:t>
      </w:r>
      <w:r>
        <w:rPr>
          <w:b/>
          <w:bCs/>
          <w:sz w:val="14"/>
          <w:szCs w:val="14"/>
        </w:rPr>
        <w:softHyphen/>
        <w:t>sáhla, obnássj 111 osob; budou prý odwezeni do Čech — do pewnosti Josefowské.</w:t>
      </w:r>
    </w:p>
    <w:p w:rsidR="00500724" w:rsidRDefault="00F30FB8">
      <w:pPr>
        <w:pStyle w:val="Zkladntext40"/>
        <w:shd w:val="clear" w:color="auto" w:fill="auto"/>
        <w:spacing w:after="0" w:line="350" w:lineRule="auto"/>
        <w:ind w:firstLine="220"/>
        <w:rPr>
          <w:sz w:val="14"/>
          <w:szCs w:val="14"/>
        </w:rPr>
      </w:pPr>
      <w:r>
        <w:rPr>
          <w:b/>
          <w:bCs/>
          <w:sz w:val="14"/>
          <w:szCs w:val="14"/>
        </w:rPr>
        <w:t>Z Prahy. Nowiny »Presse« od 14. podáwagj násle</w:t>
      </w:r>
      <w:r>
        <w:rPr>
          <w:b/>
          <w:bCs/>
          <w:sz w:val="14"/>
          <w:szCs w:val="14"/>
        </w:rPr>
        <w:softHyphen/>
        <w:t>dugjcj zpráwy u Uher: &gt;U Gódóto byl strassliwá bitwa. Maďaři ztratili 3000 mužů, nassi též tolik, neli wjce. Dembinski táh</w:t>
      </w:r>
      <w:r>
        <w:rPr>
          <w:b/>
          <w:bCs/>
          <w:sz w:val="14"/>
          <w:szCs w:val="14"/>
        </w:rPr>
        <w:t>l přes Hatwan k Mácowu. Tu se strhla též bitwa, generál Gotz padl.« A pak gesstě tyto míni- sternj nowiny dokládagj: »Pessfgeužsnadwru- kou Kossuta.«</w:t>
      </w:r>
    </w:p>
    <w:p w:rsidR="00500724" w:rsidRDefault="00F30FB8">
      <w:pPr>
        <w:pStyle w:val="Zkladntext40"/>
        <w:shd w:val="clear" w:color="auto" w:fill="auto"/>
        <w:spacing w:after="0" w:line="360" w:lineRule="auto"/>
        <w:ind w:firstLine="220"/>
        <w:rPr>
          <w:sz w:val="14"/>
          <w:szCs w:val="14"/>
        </w:rPr>
      </w:pPr>
      <w:r>
        <w:rPr>
          <w:b/>
          <w:bCs/>
          <w:sz w:val="14"/>
          <w:szCs w:val="14"/>
        </w:rPr>
        <w:t xml:space="preserve">Ouřednj nowiny začjnagj být k Maďarům teď už trochu zdwořilegssj; gindy nepogmenowali wůdce gegich ginak, </w:t>
      </w:r>
      <w:r>
        <w:rPr>
          <w:b/>
          <w:bCs/>
          <w:sz w:val="14"/>
          <w:szCs w:val="14"/>
        </w:rPr>
        <w:t>nežli Miáčelnjci rebellůc teď ge ale už nazýwagj s&gt;generaly«. Inu wssecko má swé přjčiny — i ta zdwořilost.</w:t>
      </w:r>
    </w:p>
    <w:p w:rsidR="00500724" w:rsidRDefault="00F30FB8">
      <w:pPr>
        <w:pStyle w:val="Zkladntext1"/>
        <w:shd w:val="clear" w:color="auto" w:fill="auto"/>
        <w:spacing w:after="60" w:line="211" w:lineRule="auto"/>
      </w:pPr>
      <w:r>
        <w:t>Ze Smyrny, 31 března. Dle zpráw z Cařihradu podali prý francouzský a anglický wyslanec notu tu</w:t>
      </w:r>
      <w:r>
        <w:softHyphen/>
        <w:t>recké wládě, w njž oznamugj, že společné loďstwo do D</w:t>
      </w:r>
      <w:r>
        <w:t>ardanel wplouti nechagj, newypowj-li Rusy z podu- nagských knjžtstwj. Sultán se wssak prohlásil, aby obě mocnosti samy sobě tu práci dali, aby newjtané ochran</w:t>
      </w:r>
      <w:r>
        <w:softHyphen/>
        <w:t>ce zahnaly, nebof gemu gest to zagisté nernilo, že se tam zahnjzdili.</w:t>
      </w:r>
    </w:p>
    <w:p w:rsidR="00500724" w:rsidRDefault="00F30FB8">
      <w:pPr>
        <w:pStyle w:val="Zkladntext1"/>
        <w:shd w:val="clear" w:color="auto" w:fill="auto"/>
        <w:spacing w:line="211" w:lineRule="auto"/>
      </w:pPr>
      <w:r>
        <w:t>ZBerljna, 15 dubna. Přicház</w:t>
      </w:r>
      <w:r>
        <w:t>jme z gednoho politic</w:t>
      </w:r>
      <w:r>
        <w:softHyphen/>
        <w:t>kého napnutj do druhého. Sleswická wálka mezi Dán</w:t>
      </w:r>
      <w:r>
        <w:softHyphen/>
        <w:t>ském a Německém, zdá se, w nyněgssjm nowém wy- puknutj na gaksi mocnou posilu zpolehati. Prawj se, že Ruský císař possle Dánům wogsko na pomoc; ruské loďstwo prý s ruským wogskem přist</w:t>
      </w:r>
      <w:r>
        <w:t>ane k dánským břehům. Někteří myslegi: že bude ten pan Rus tu a tam tak dlouho s wogskem swým, až si sám do ňáké brindy pomůže.</w:t>
      </w:r>
    </w:p>
    <w:p w:rsidR="00500724" w:rsidRDefault="00F30FB8">
      <w:pPr>
        <w:pStyle w:val="Zkladntext1"/>
        <w:shd w:val="clear" w:color="auto" w:fill="auto"/>
        <w:spacing w:after="80" w:line="211" w:lineRule="auto"/>
      </w:pPr>
      <w:r>
        <w:t>Z Athén, 28. března. Panuge zde zbrogeni, a wláda činí wssemožné připrawy, aby překwapena nebyla udá</w:t>
      </w:r>
      <w:r>
        <w:softHyphen/>
        <w:t>lostmi, gakéž w giKozápadni</w:t>
      </w:r>
      <w:r>
        <w:t xml:space="preserve"> Ewropě w bl.jzké budouc</w:t>
      </w:r>
      <w:r>
        <w:softHyphen/>
        <w:t>nosti nastáwagi. Příhody w podunagských knižetstwich, gitřeni mezi Gihoslowany, uwlásstě pak napnuti mezi Russkem a Tureckem, kteréžto každodenně patrněgi ss obgewuge, wssecko to napomíná k prozřetelnosti, hrozí nassi mladé řissi a</w:t>
      </w:r>
      <w:r>
        <w:t>nebo gi snad i přizniwé wyhlidky pro budoucnost poskytuge.</w:t>
      </w:r>
    </w:p>
    <w:p w:rsidR="00500724" w:rsidRDefault="00F30FB8">
      <w:pPr>
        <w:pStyle w:val="Zkladntext1"/>
        <w:shd w:val="clear" w:color="auto" w:fill="auto"/>
        <w:spacing w:after="80" w:line="211" w:lineRule="auto"/>
      </w:pPr>
      <w:r>
        <w:t>Z P e s s t ě, 17. dubna. Wýrok generála w hostinci, »že ge mjr přede dweřmi« nebyl prawdiwý, nebof počala zase děla we tři hodiny odpoledne na Rákosu swou hru prowáděti.</w:t>
      </w:r>
    </w:p>
    <w:p w:rsidR="00500724" w:rsidRDefault="00F30FB8">
      <w:pPr>
        <w:pStyle w:val="Zkladntext1"/>
        <w:shd w:val="clear" w:color="auto" w:fill="auto"/>
        <w:spacing w:line="209" w:lineRule="auto"/>
      </w:pPr>
      <w:r>
        <w:t>Z Benátek, 5. dubna. Podma</w:t>
      </w:r>
      <w:r>
        <w:t>rssal Haynau wyzýwal</w:t>
      </w:r>
    </w:p>
    <w:p w:rsidR="00500724" w:rsidRDefault="00F30FB8">
      <w:pPr>
        <w:pStyle w:val="Zkladntext1"/>
        <w:numPr>
          <w:ilvl w:val="0"/>
          <w:numId w:val="78"/>
        </w:numPr>
        <w:shd w:val="clear" w:color="auto" w:fill="auto"/>
        <w:tabs>
          <w:tab w:val="left" w:pos="279"/>
        </w:tabs>
        <w:spacing w:line="209" w:lineRule="auto"/>
        <w:ind w:firstLine="0"/>
      </w:pPr>
      <w:r>
        <w:t>t. m. Benátky, aby se wzdaly; za odpowěď přissel dekret shromážděni, gimž se uzawřelo, že se Benátky wssemožně brániti budou. Boháči dagi 8 milionů. Finan</w:t>
      </w:r>
      <w:r>
        <w:softHyphen/>
        <w:t xml:space="preserve">ce gsou až do prosince kryty. Dwě neywážněgssi rodiny obětowaly swé wlasti </w:t>
      </w:r>
      <w:r>
        <w:t>wesskeré gmění Welitel sardin</w:t>
      </w:r>
      <w:r>
        <w:softHyphen/>
        <w:t>ského loďstwa, Albíni, zaručil se čestným slowem, že Benátky neopustí.</w:t>
      </w:r>
    </w:p>
    <w:p w:rsidR="00500724" w:rsidRDefault="00F30FB8">
      <w:pPr>
        <w:pStyle w:val="Zkladntext1"/>
        <w:shd w:val="clear" w:color="auto" w:fill="auto"/>
        <w:spacing w:after="60" w:line="209" w:lineRule="auto"/>
      </w:pPr>
      <w:r>
        <w:t>Z Paříže, 23. dubna. Francouzské wogsko, určené k wýprawě do Wlach (gmenowitě proto, aby papeži opět na římskou stolici pomohlo), wstoupilo dne 22. t. m. n</w:t>
      </w:r>
      <w:r>
        <w:t>a lodi w Marsilii. Připogi se prý k druhým Rodím z Tu- lonu wypraweným. Prawi se, když wogsko toto na lodě wstupowalo, že se dalo do křiku: »Ať žige republika římská!« Z giných stran se tomu ale odpírá, že prý wogsko to při wcházeni na lodě ani neceklo.</w:t>
      </w:r>
    </w:p>
    <w:p w:rsidR="00500724" w:rsidRDefault="00F30FB8">
      <w:pPr>
        <w:pStyle w:val="Zkladntext1"/>
        <w:shd w:val="clear" w:color="auto" w:fill="auto"/>
        <w:spacing w:after="40" w:line="211" w:lineRule="auto"/>
      </w:pPr>
      <w:r>
        <w:t xml:space="preserve">Z </w:t>
      </w:r>
      <w:r>
        <w:t xml:space="preserve">Londýna, 20. dubna. Wčera drželi lordowé po- neyprw po welikonocich swé sezeni. Lord Stanley inter- pelowal: kdy budou předloženy akta wztahugice se na Neapolsko a Sicílii, a gestli britické loďstwo se táhlo nazpět ze sicilských </w:t>
      </w:r>
      <w:r>
        <w:rPr>
          <w:lang w:val="en-US" w:eastAsia="en-US" w:bidi="en-US"/>
        </w:rPr>
        <w:t xml:space="preserve">wod. Lord Lansdowne </w:t>
      </w:r>
      <w:r>
        <w:t>odpowidal, že co neydřiwe budou akta sněmowně předloženy. Loď</w:t>
      </w:r>
      <w:r>
        <w:softHyphen/>
        <w:t xml:space="preserve">stwo pod Wiliamem Parkerem dostalo giž rozkaz, aby odploulo od Sicílie; zůstane tam gen několik lodi pro ochranu tamních Angličanů a gich magetnosti, těmto wssak gest nařjzeno, aby se nemíchali </w:t>
      </w:r>
      <w:r>
        <w:t xml:space="preserve">do boge Sicilianů </w:t>
      </w:r>
      <w:r>
        <w:rPr>
          <w:lang w:val="en-US" w:eastAsia="en-US" w:bidi="en-US"/>
        </w:rPr>
        <w:t xml:space="preserve">a Neapolitans Lord Beaumont </w:t>
      </w:r>
      <w:r>
        <w:t>(katolík) řečnil, že ge wěc podiwná, že prwni wystupowani francouzské re</w:t>
      </w:r>
      <w:r>
        <w:softHyphen/>
        <w:t>publiky za hranicemi směřuge k tomu, aby republika v Římě byla utlačena a na gegim rumu aby se pozwed- nul neyneobmezeněgssi panownik. Ta</w:t>
      </w:r>
      <w:r>
        <w:t>ktéž podivno, že bude papež swé usazeni na trůn děkowati pomoci pro</w:t>
      </w:r>
      <w:r>
        <w:softHyphen/>
        <w:t>testantského Anglicka. Powjdá se, že Sicílie zase stogi pod Neapolitány a pod gich zwiřecim barbarstwim, sicilský lid zase ge poddán swým katanům, aniž pro něho Anglicko co učinilo, wždy g</w:t>
      </w:r>
      <w:r>
        <w:t xml:space="preserve">en krásná slowa mu přislibugic. Dále se ptal, dalo-li Anglicko swé swoleni, aby francouzská wláda zakročila w Římě. Konečně prawi, že w pozděgssich sezeních gesstě se bude muset mluwit o poměrech anglické wlády ke Wlachům a zwlásstě k Sicilianům. </w:t>
      </w:r>
      <w:r>
        <w:rPr>
          <w:lang w:val="en-US" w:eastAsia="en-US" w:bidi="en-US"/>
        </w:rPr>
        <w:t>Lord Lans</w:t>
      </w:r>
      <w:r>
        <w:rPr>
          <w:lang w:val="en-US" w:eastAsia="en-US" w:bidi="en-US"/>
        </w:rPr>
        <w:t xml:space="preserve">downe </w:t>
      </w:r>
      <w:r>
        <w:t>na to odpowě- děl: že se o, tom newygednáwalo, má-li Francouzsko zakročiti, a že k tomu králowna nikdy neradila; fran</w:t>
      </w:r>
      <w:r>
        <w:softHyphen/>
        <w:t>couzská wláda že giž swé předsewzeti Anglicku ozná</w:t>
      </w:r>
      <w:r>
        <w:softHyphen/>
        <w:t>mila, a on že mysli, že králowna nic nebude míti proti tomu. Co se týče nessfastn</w:t>
      </w:r>
      <w:r>
        <w:t>ého boge w Sicílii, že newi o žádné přjpowědi Sicilianům dané, kterou by wláda byla russila. (N. N.)</w:t>
      </w:r>
    </w:p>
    <w:p w:rsidR="00500724" w:rsidRDefault="00F30FB8">
      <w:pPr>
        <w:pStyle w:val="Zkladntext1"/>
        <w:shd w:val="clear" w:color="auto" w:fill="auto"/>
        <w:spacing w:after="320" w:line="209" w:lineRule="auto"/>
        <w:ind w:firstLine="260"/>
      </w:pPr>
      <w:r>
        <w:t>Wssecko nyní s napnutím očekáwá, co řekne Anglic</w:t>
      </w:r>
      <w:r>
        <w:softHyphen/>
        <w:t>ko tomu, že Rus táhne Rakousku na pomoc. Bude se Anglicko na to lhostegně diwat, aby Rus kantorowal w Rako</w:t>
      </w:r>
      <w:r>
        <w:t>usku, gako giž po delssi čas kantoruje v Turec</w:t>
      </w:r>
      <w:r>
        <w:softHyphen/>
        <w:t xml:space="preserve">ku? Anglicko powažowalo wždy Rakousko, že </w:t>
      </w:r>
      <w:r>
        <w:rPr>
          <w:i/>
          <w:iCs/>
        </w:rPr>
        <w:t>ge</w:t>
      </w:r>
      <w:r>
        <w:t xml:space="preserve"> takoř</w:t>
      </w:r>
      <w:r>
        <w:softHyphen/>
        <w:t>ka hradbou před roztahowánjm — se ruského welikána; teď by bylo po hradbě, protože se Rakousko Rusku takřka do náruče wrhá, a Rakouská wláda swou slabost rusk</w:t>
      </w:r>
      <w:r>
        <w:t>ou guchtou a swobodu národů Rakouských ruskou knutou kurirowat chce.</w:t>
      </w:r>
    </w:p>
    <w:p w:rsidR="00500724" w:rsidRDefault="00F30FB8">
      <w:pPr>
        <w:pStyle w:val="Nadpis90"/>
        <w:keepNext/>
        <w:keepLines/>
        <w:pBdr>
          <w:bottom w:val="single" w:sz="4" w:space="0" w:color="auto"/>
        </w:pBdr>
        <w:shd w:val="clear" w:color="auto" w:fill="auto"/>
        <w:spacing w:after="280"/>
      </w:pPr>
      <w:bookmarkStart w:id="683" w:name="bookmark682"/>
      <w:r>
        <w:rPr>
          <w:rFonts w:ascii="Times New Roman" w:eastAsia="Times New Roman" w:hAnsi="Times New Roman" w:cs="Times New Roman"/>
        </w:rPr>
        <w:t>dopisy</w:t>
      </w:r>
      <w:bookmarkEnd w:id="683"/>
    </w:p>
    <w:p w:rsidR="00500724" w:rsidRDefault="00F30FB8">
      <w:pPr>
        <w:pStyle w:val="Zkladntext1"/>
        <w:shd w:val="clear" w:color="auto" w:fill="auto"/>
        <w:spacing w:after="80" w:line="178" w:lineRule="auto"/>
        <w:ind w:firstLine="0"/>
        <w:jc w:val="center"/>
      </w:pPr>
      <w:r>
        <w:rPr>
          <w:b/>
          <w:bCs/>
        </w:rPr>
        <w:t>Větší zalidněnost než v Německu?</w:t>
      </w:r>
    </w:p>
    <w:p w:rsidR="00500724" w:rsidRDefault="00F30FB8">
      <w:pPr>
        <w:pStyle w:val="Zkladntext1"/>
        <w:shd w:val="clear" w:color="auto" w:fill="auto"/>
        <w:spacing w:after="40" w:line="187" w:lineRule="auto"/>
        <w:ind w:left="960" w:firstLine="20"/>
        <w:jc w:val="left"/>
        <w:rPr>
          <w:sz w:val="18"/>
          <w:szCs w:val="18"/>
        </w:rPr>
      </w:pPr>
      <w:r>
        <w:rPr>
          <w:sz w:val="18"/>
          <w:szCs w:val="18"/>
        </w:rPr>
        <w:t>Vážený pane redaktore,</w:t>
      </w:r>
    </w:p>
    <w:p w:rsidR="00500724" w:rsidRDefault="00F30FB8">
      <w:pPr>
        <w:pStyle w:val="Zkladntext1"/>
        <w:shd w:val="clear" w:color="auto" w:fill="auto"/>
        <w:spacing w:after="40" w:line="199" w:lineRule="auto"/>
        <w:ind w:firstLine="320"/>
        <w:rPr>
          <w:sz w:val="18"/>
          <w:szCs w:val="18"/>
        </w:rPr>
      </w:pPr>
      <w:r>
        <w:rPr>
          <w:sz w:val="18"/>
          <w:szCs w:val="18"/>
        </w:rPr>
        <w:t>dovolíte-li, rád bych doplnil iednu z hlavních myšlenek článku dr. J. Skály ^Vyhlídky českého národního hospodář</w:t>
      </w:r>
      <w:r>
        <w:rPr>
          <w:sz w:val="18"/>
          <w:szCs w:val="18"/>
        </w:rPr>
        <w:softHyphen/>
        <w:t>ství^ uveře</w:t>
      </w:r>
      <w:r>
        <w:rPr>
          <w:sz w:val="18"/>
          <w:szCs w:val="18"/>
        </w:rPr>
        <w:t xml:space="preserve">jněném v 25. čísle »Přítomnosti«. Autor konstatuje podle »Obzoru národohospodářského*, že </w:t>
      </w:r>
      <w:r>
        <w:rPr>
          <w:b/>
          <w:bCs/>
        </w:rPr>
        <w:t xml:space="preserve">v </w:t>
      </w:r>
      <w:r>
        <w:rPr>
          <w:sz w:val="18"/>
          <w:szCs w:val="18"/>
        </w:rPr>
        <w:t xml:space="preserve">českých zemích i v Říši připadá průměrně 135 obyvatelů na 1 čtverečný km, že české země nejsou v průměru méně zalidněny než Říše </w:t>
      </w:r>
      <w:r>
        <w:rPr>
          <w:b/>
          <w:bCs/>
        </w:rPr>
        <w:t xml:space="preserve">a že </w:t>
      </w:r>
      <w:r>
        <w:rPr>
          <w:sz w:val="18"/>
          <w:szCs w:val="18"/>
        </w:rPr>
        <w:t xml:space="preserve">český národohospodářský </w:t>
      </w:r>
      <w:r>
        <w:rPr>
          <w:sz w:val="18"/>
          <w:szCs w:val="18"/>
        </w:rPr>
        <w:t>prostor dnes sotva může přijmouti větší množství lidí než jich na něm právě žije. aniž to zname</w:t>
      </w:r>
      <w:r>
        <w:rPr>
          <w:sz w:val="18"/>
          <w:szCs w:val="18"/>
        </w:rPr>
        <w:softHyphen/>
        <w:t>nalo přesun v dosavadní průměrové vyváženosti v Říši.</w:t>
      </w:r>
    </w:p>
    <w:p w:rsidR="00500724" w:rsidRDefault="00F30FB8">
      <w:pPr>
        <w:pStyle w:val="Zkladntext1"/>
        <w:shd w:val="clear" w:color="auto" w:fill="auto"/>
        <w:spacing w:after="40" w:line="185" w:lineRule="auto"/>
        <w:ind w:firstLine="320"/>
        <w:rPr>
          <w:sz w:val="18"/>
          <w:szCs w:val="18"/>
        </w:rPr>
      </w:pPr>
      <w:r>
        <w:rPr>
          <w:sz w:val="18"/>
          <w:szCs w:val="18"/>
        </w:rPr>
        <w:t>Tento úsudek se opírá o cifry ze sčítání lidu z r. 1930 a ne</w:t>
      </w:r>
      <w:r>
        <w:rPr>
          <w:sz w:val="18"/>
          <w:szCs w:val="18"/>
        </w:rPr>
        <w:softHyphen/>
        <w:t xml:space="preserve">přihlíží ani k přirozenému přírůstku </w:t>
      </w:r>
      <w:r>
        <w:rPr>
          <w:sz w:val="18"/>
          <w:szCs w:val="18"/>
        </w:rPr>
        <w:t>obyvatelstva ani k veli</w:t>
      </w:r>
      <w:r>
        <w:rPr>
          <w:sz w:val="18"/>
          <w:szCs w:val="18"/>
        </w:rPr>
        <w:softHyphen/>
        <w:t>kým přesunům poslední doby, které ve smyslu hustoty obyva</w:t>
      </w:r>
      <w:r>
        <w:rPr>
          <w:sz w:val="18"/>
          <w:szCs w:val="18"/>
        </w:rPr>
        <w:softHyphen/>
        <w:t>telstva všechny se dály v náš neprospěch. Na území, které nám zůstalo se vlivem událostí poslední doby nahromadilo rychle velké množství lidí, především uprchlíků a státní úř</w:t>
      </w:r>
      <w:r>
        <w:rPr>
          <w:sz w:val="18"/>
          <w:szCs w:val="18"/>
        </w:rPr>
        <w:t xml:space="preserve">edníci </w:t>
      </w:r>
      <w:r>
        <w:t xml:space="preserve">z </w:t>
      </w:r>
      <w:r>
        <w:rPr>
          <w:sz w:val="18"/>
          <w:szCs w:val="18"/>
        </w:rPr>
        <w:t>připojených území, takže dnes, krátce před sčítáním lidu, podle cifer narození, úmrtí a stěhování po r. 1930, doplněných záznamy a odhady velkých přesunů poslední doby, žije v Če</w:t>
      </w:r>
      <w:r>
        <w:rPr>
          <w:sz w:val="18"/>
          <w:szCs w:val="18"/>
        </w:rPr>
        <w:softHyphen/>
        <w:t>chách a na Moravě pravděpodobně 7,383.000 lidí, to jest asi právě 15</w:t>
      </w:r>
      <w:r>
        <w:rPr>
          <w:sz w:val="18"/>
          <w:szCs w:val="18"/>
        </w:rPr>
        <w:t xml:space="preserve">0 obyvatelů na 1 čtver. kilometr. V </w:t>
      </w:r>
      <w:r>
        <w:t xml:space="preserve">r. </w:t>
      </w:r>
      <w:r>
        <w:rPr>
          <w:sz w:val="18"/>
          <w:szCs w:val="18"/>
        </w:rPr>
        <w:t>1938 měla ně</w:t>
      </w:r>
      <w:r>
        <w:rPr>
          <w:sz w:val="18"/>
          <w:szCs w:val="18"/>
        </w:rPr>
        <w:softHyphen/>
        <w:t>mecká říše skutečně 135.2 obyvatele na 1 km</w:t>
      </w:r>
      <w:r>
        <w:rPr>
          <w:sz w:val="18"/>
          <w:szCs w:val="18"/>
          <w:vertAlign w:val="superscript"/>
        </w:rPr>
        <w:t>2</w:t>
      </w:r>
      <w:r>
        <w:rPr>
          <w:sz w:val="18"/>
          <w:szCs w:val="18"/>
        </w:rPr>
        <w:t>, takže hustota obyvatelstva v Čechách a na Moravě je o 11, pravděpodobně Však o 12 až 13 proč. vyššínežvŘíšianikolivstejná jako v Říši. To ovšem, ukazuje mnohe</w:t>
      </w:r>
      <w:r>
        <w:rPr>
          <w:sz w:val="18"/>
          <w:szCs w:val="18"/>
        </w:rPr>
        <w:t>m přesvědčivěji než starší cifry p. autorem citované, že do tohoto prostoru ie těžko přijmouti ještě více lidí, ba že stěží uživíme lidi, kteří zde již žijí.</w:t>
      </w:r>
    </w:p>
    <w:p w:rsidR="00500724" w:rsidRDefault="00F30FB8">
      <w:pPr>
        <w:pStyle w:val="Zkladntext1"/>
        <w:shd w:val="clear" w:color="auto" w:fill="auto"/>
        <w:tabs>
          <w:tab w:val="left" w:pos="3840"/>
        </w:tabs>
        <w:spacing w:after="160" w:line="187" w:lineRule="auto"/>
        <w:ind w:firstLine="320"/>
        <w:rPr>
          <w:sz w:val="20"/>
          <w:szCs w:val="20"/>
        </w:rPr>
      </w:pPr>
      <w:r>
        <w:rPr>
          <w:sz w:val="18"/>
          <w:szCs w:val="18"/>
        </w:rPr>
        <w:t>Podle těchto cifer je třeba provésti i korektiv úsudku, že náš národohospodářský prostor je »po st</w:t>
      </w:r>
      <w:r>
        <w:rPr>
          <w:sz w:val="18"/>
          <w:szCs w:val="18"/>
        </w:rPr>
        <w:t>ránce zemědělské vý</w:t>
      </w:r>
      <w:r>
        <w:rPr>
          <w:sz w:val="18"/>
          <w:szCs w:val="18"/>
        </w:rPr>
        <w:softHyphen/>
        <w:t xml:space="preserve">roby </w:t>
      </w:r>
      <w:r>
        <w:rPr>
          <w:i/>
          <w:iCs/>
          <w:sz w:val="18"/>
          <w:szCs w:val="18"/>
        </w:rPr>
        <w:t>a</w:t>
      </w:r>
      <w:r>
        <w:rPr>
          <w:sz w:val="18"/>
          <w:szCs w:val="18"/>
        </w:rPr>
        <w:t xml:space="preserve"> spotřeby zemědělských výrobků zhruba v rovnováze*. Ve skutečnosti jsme nebyli zcela soběstačni ani při hustotě 135 obyvatelů na 1 km</w:t>
      </w:r>
      <w:r>
        <w:rPr>
          <w:sz w:val="18"/>
          <w:szCs w:val="18"/>
          <w:vertAlign w:val="superscript"/>
        </w:rPr>
        <w:t>2</w:t>
      </w:r>
      <w:r>
        <w:rPr>
          <w:sz w:val="18"/>
          <w:szCs w:val="18"/>
        </w:rPr>
        <w:t xml:space="preserve">; naše manko ovšem vzrůstá podstatně, neboť při vzrůstu hustoty na 150, se výnosnost půdy </w:t>
      </w:r>
      <w:r>
        <w:rPr>
          <w:b/>
          <w:bCs/>
        </w:rPr>
        <w:t xml:space="preserve">v </w:t>
      </w:r>
      <w:r>
        <w:rPr>
          <w:sz w:val="18"/>
          <w:szCs w:val="18"/>
        </w:rPr>
        <w:t>posl</w:t>
      </w:r>
      <w:r>
        <w:rPr>
          <w:sz w:val="18"/>
          <w:szCs w:val="18"/>
        </w:rPr>
        <w:t>ed</w:t>
      </w:r>
      <w:r>
        <w:rPr>
          <w:sz w:val="18"/>
          <w:szCs w:val="18"/>
        </w:rPr>
        <w:softHyphen/>
        <w:t>ních letech nijak nezlepšila. Tolik pro správnou informaci o skutečném stavu, který je horší, než mohou naši národohospo</w:t>
      </w:r>
      <w:r>
        <w:rPr>
          <w:sz w:val="18"/>
          <w:szCs w:val="18"/>
        </w:rPr>
        <w:softHyphen/>
        <w:t>dáři usuzovati ze statistických dat dosud publikovaných a jim dostupných.</w:t>
      </w:r>
      <w:r>
        <w:rPr>
          <w:sz w:val="18"/>
          <w:szCs w:val="18"/>
        </w:rPr>
        <w:tab/>
      </w:r>
      <w:r>
        <w:rPr>
          <w:b/>
          <w:bCs/>
          <w:i/>
          <w:iCs/>
          <w:sz w:val="20"/>
          <w:szCs w:val="20"/>
        </w:rPr>
        <w:t>Ot. Mochoťkd</w:t>
      </w:r>
    </w:p>
    <w:p w:rsidR="00500724" w:rsidRDefault="00F30FB8">
      <w:pPr>
        <w:pStyle w:val="Zkladntext1"/>
        <w:shd w:val="clear" w:color="auto" w:fill="auto"/>
        <w:spacing w:after="80" w:line="178" w:lineRule="auto"/>
        <w:ind w:firstLine="0"/>
        <w:jc w:val="center"/>
      </w:pPr>
      <w:r>
        <w:rPr>
          <w:b/>
          <w:bCs/>
        </w:rPr>
        <w:t>Zdražit ěi nezdražit noviny?</w:t>
      </w:r>
    </w:p>
    <w:p w:rsidR="00500724" w:rsidRDefault="00F30FB8">
      <w:pPr>
        <w:pStyle w:val="Zkladntext1"/>
        <w:shd w:val="clear" w:color="auto" w:fill="auto"/>
        <w:spacing w:after="40" w:line="187" w:lineRule="auto"/>
        <w:ind w:left="960" w:firstLine="20"/>
        <w:jc w:val="left"/>
        <w:rPr>
          <w:sz w:val="18"/>
          <w:szCs w:val="18"/>
        </w:rPr>
      </w:pPr>
      <w:r>
        <w:rPr>
          <w:sz w:val="18"/>
          <w:szCs w:val="18"/>
        </w:rPr>
        <w:t>Pane redaktore,</w:t>
      </w:r>
    </w:p>
    <w:p w:rsidR="00500724" w:rsidRDefault="00F30FB8">
      <w:pPr>
        <w:pStyle w:val="Zkladntext1"/>
        <w:shd w:val="clear" w:color="auto" w:fill="auto"/>
        <w:tabs>
          <w:tab w:val="left" w:pos="3672"/>
        </w:tabs>
        <w:spacing w:line="178" w:lineRule="auto"/>
        <w:ind w:firstLine="320"/>
        <w:rPr>
          <w:sz w:val="18"/>
          <w:szCs w:val="18"/>
        </w:rPr>
      </w:pPr>
      <w:r>
        <w:rPr>
          <w:sz w:val="18"/>
          <w:szCs w:val="18"/>
        </w:rPr>
        <w:t>dovolte, abych k rozpravě o této ožehavé otázce připojil několik poznámek, které mají ukázat vratkost důvodů, které uvádějí odpůrci zdražení, a podepříti stanovisko pisatele pů- vodni stati pana dr. Skály, dožadujícího se náležité úpravy cen novin.</w:t>
      </w:r>
      <w:r>
        <w:rPr>
          <w:sz w:val="18"/>
          <w:szCs w:val="18"/>
        </w:rPr>
        <w:tab/>
        <w:t>.</w:t>
      </w:r>
    </w:p>
    <w:p w:rsidR="00500724" w:rsidRDefault="00F30FB8">
      <w:pPr>
        <w:pStyle w:val="Zkladntext1"/>
        <w:shd w:val="clear" w:color="auto" w:fill="auto"/>
        <w:spacing w:line="178" w:lineRule="auto"/>
        <w:ind w:firstLine="320"/>
        <w:rPr>
          <w:sz w:val="18"/>
          <w:szCs w:val="18"/>
        </w:rPr>
      </w:pPr>
      <w:r>
        <w:rPr>
          <w:sz w:val="18"/>
          <w:szCs w:val="18"/>
        </w:rPr>
        <w:t>Námit</w:t>
      </w:r>
      <w:r>
        <w:rPr>
          <w:sz w:val="18"/>
          <w:szCs w:val="18"/>
        </w:rPr>
        <w:t>ky oponentů lze v podstatě shrnouti do pěti bodu.</w:t>
      </w:r>
    </w:p>
    <w:p w:rsidR="00500724" w:rsidRDefault="00F30FB8">
      <w:pPr>
        <w:pStyle w:val="Zkladntext1"/>
        <w:numPr>
          <w:ilvl w:val="0"/>
          <w:numId w:val="79"/>
        </w:numPr>
        <w:shd w:val="clear" w:color="auto" w:fill="auto"/>
        <w:tabs>
          <w:tab w:val="left" w:pos="270"/>
        </w:tabs>
        <w:spacing w:after="40" w:line="178" w:lineRule="auto"/>
        <w:ind w:firstLine="0"/>
        <w:rPr>
          <w:sz w:val="18"/>
          <w:szCs w:val="18"/>
        </w:rPr>
      </w:pPr>
      <w:r>
        <w:rPr>
          <w:sz w:val="18"/>
          <w:szCs w:val="18"/>
        </w:rPr>
        <w:t>Zdražení dosud v žádném oboru neprospělo zaměstnancům. Jenže zdražení bývá různé: může býti výsledkem volné hry poptávky a nabídky na trhu, záměrnou spekulací nebo jen prostým přizpůsobením zvýšeným cenám s</w:t>
      </w:r>
      <w:r>
        <w:rPr>
          <w:sz w:val="18"/>
          <w:szCs w:val="18"/>
        </w:rPr>
        <w:t>urovin, polotovarů atd. Možná, že z takového zdražení zaměst</w:t>
      </w:r>
      <w:r>
        <w:rPr>
          <w:sz w:val="18"/>
          <w:szCs w:val="18"/>
        </w:rPr>
        <w:softHyphen/>
        <w:t>nanci mají někdy málo nebo vůbec nic. Rozhodné pro nutnost zdražení novin však jest jejich nepopiratelně ztrátová kalku</w:t>
      </w:r>
      <w:r>
        <w:rPr>
          <w:sz w:val="18"/>
          <w:szCs w:val="18"/>
        </w:rPr>
        <w:softHyphen/>
        <w:t>lace, zejména u t. zv. večerníků a šestákových listu. Tuto kal</w:t>
      </w:r>
      <w:r>
        <w:rPr>
          <w:sz w:val="18"/>
          <w:szCs w:val="18"/>
        </w:rPr>
        <w:softHyphen/>
        <w:t>kulaci zavin</w:t>
      </w:r>
      <w:r>
        <w:rPr>
          <w:sz w:val="18"/>
          <w:szCs w:val="18"/>
        </w:rPr>
        <w:t xml:space="preserve">ily mění dřívější politické poměry, spíše ušili </w:t>
      </w:r>
      <w:r>
        <w:rPr>
          <w:b/>
          <w:bCs/>
        </w:rPr>
        <w:t>jed</w:t>
      </w:r>
      <w:r>
        <w:rPr>
          <w:b/>
          <w:bCs/>
        </w:rPr>
        <w:softHyphen/>
      </w:r>
      <w:r>
        <w:rPr>
          <w:sz w:val="18"/>
          <w:szCs w:val="18"/>
        </w:rPr>
        <w:t>noho novinářského koncernu o monopolní postavení a v soutěži</w:t>
      </w:r>
      <w:r>
        <w:rPr>
          <w:sz w:val="18"/>
          <w:szCs w:val="18"/>
        </w:rPr>
        <w:br w:type="page"/>
        <w:t>se jí ostatní musili přizpůsobit. Byla vždy nezdravá. Byla však přece aspoň únosná, dokud mohla být jinými zdroji vyrovnává</w:t>
      </w:r>
      <w:r>
        <w:rPr>
          <w:sz w:val="18"/>
          <w:szCs w:val="18"/>
        </w:rPr>
        <w:softHyphen/>
        <w:t>na.. V nových poměr</w:t>
      </w:r>
      <w:r>
        <w:rPr>
          <w:sz w:val="18"/>
          <w:szCs w:val="18"/>
        </w:rPr>
        <w:t xml:space="preserve">ech se pak stala naprosto neudržitelnou, kdyby déle </w:t>
      </w:r>
      <w:r>
        <w:rPr>
          <w:sz w:val="18"/>
          <w:szCs w:val="18"/>
          <w:lang w:val="en-US" w:eastAsia="en-US" w:bidi="en-US"/>
        </w:rPr>
        <w:t xml:space="preserve">z’.stala, </w:t>
      </w:r>
      <w:r>
        <w:rPr>
          <w:sz w:val="18"/>
          <w:szCs w:val="18"/>
        </w:rPr>
        <w:t>dopadlo by to s novinami jako s tovární</w:t>
      </w:r>
      <w:r>
        <w:rPr>
          <w:sz w:val="18"/>
          <w:szCs w:val="18"/>
        </w:rPr>
        <w:softHyphen/>
        <w:t>kem, který by dodával své výrobky za méně. než zač je vyro</w:t>
      </w:r>
      <w:r>
        <w:rPr>
          <w:sz w:val="18"/>
          <w:szCs w:val="18"/>
        </w:rPr>
        <w:softHyphen/>
        <w:t>bil, nebo s obchodníkem, který by prodával své zboži levněji, než je nakoupil: nebylo by záhy n</w:t>
      </w:r>
      <w:r>
        <w:rPr>
          <w:sz w:val="18"/>
          <w:szCs w:val="18"/>
        </w:rPr>
        <w:t>a nákup, na výplatu mezd, na placení daní a podnik by se musil zavřít. To. že někteří vydavatelé máji ještě reservy na úhradu ztrát a snad dokonce spekulují, že konkurentům dojde dech dříve, na věci nic ne</w:t>
      </w:r>
      <w:r>
        <w:rPr>
          <w:sz w:val="18"/>
          <w:szCs w:val="18"/>
        </w:rPr>
        <w:softHyphen/>
        <w:t>mění. Celek, zejména zaměstnanci, by na to doplati</w:t>
      </w:r>
      <w:r>
        <w:rPr>
          <w:sz w:val="18"/>
          <w:szCs w:val="18"/>
        </w:rPr>
        <w:t>l stejně. Proto teď, kdy jsou noviny odkázány jen na sebe, musí býti nezbytně prodávány aspoň za tolik, kolik vydavatele stojí. Jestliže nikde, tedy u novin zdražení zaměst</w:t>
      </w:r>
      <w:r>
        <w:rPr>
          <w:sz w:val="18"/>
          <w:szCs w:val="18"/>
        </w:rPr>
        <w:softHyphen/>
        <w:t>nancům prospěje, protože je to jediný způsob, jak podniky a tim i zaměstnance vůbec</w:t>
      </w:r>
      <w:r>
        <w:rPr>
          <w:sz w:val="18"/>
          <w:szCs w:val="18"/>
        </w:rPr>
        <w:t xml:space="preserve"> udržet.</w:t>
      </w:r>
    </w:p>
    <w:p w:rsidR="00500724" w:rsidRDefault="00F30FB8">
      <w:pPr>
        <w:pStyle w:val="Zkladntext1"/>
        <w:numPr>
          <w:ilvl w:val="0"/>
          <w:numId w:val="79"/>
        </w:numPr>
        <w:shd w:val="clear" w:color="auto" w:fill="auto"/>
        <w:tabs>
          <w:tab w:val="left" w:pos="500"/>
        </w:tabs>
        <w:spacing w:after="40" w:line="175" w:lineRule="auto"/>
        <w:ind w:firstLine="300"/>
        <w:rPr>
          <w:sz w:val="18"/>
          <w:szCs w:val="18"/>
        </w:rPr>
      </w:pPr>
      <w:r>
        <w:rPr>
          <w:sz w:val="18"/>
          <w:szCs w:val="18"/>
        </w:rPr>
        <w:t xml:space="preserve">Zdražením by poklesly náklady novin a počet redaktorů a sazečů by byl dále omezen. Nechrne stranou, že »sami vydavatelé novin dobře vědí, že po každém zdražení poklesl jejich odběr o 30 až 50 procent«. Tu šlo o opatření jednotlivých nakladatelů </w:t>
      </w:r>
      <w:r>
        <w:rPr>
          <w:i/>
          <w:iCs/>
          <w:sz w:val="18"/>
          <w:szCs w:val="18"/>
        </w:rPr>
        <w:t>a</w:t>
      </w:r>
      <w:r>
        <w:rPr>
          <w:sz w:val="18"/>
          <w:szCs w:val="18"/>
        </w:rPr>
        <w:t xml:space="preserve"> </w:t>
      </w:r>
      <w:r>
        <w:rPr>
          <w:sz w:val="18"/>
          <w:szCs w:val="18"/>
        </w:rPr>
        <w:t>zůstala konkurence levnějších listů. Dnes jde o úpravu celkovou. I tato celková úprava ovšem bude mít za následek pokles nákladů. Ale ten nastal již na podzim a dosud trvá, tedy ještě za nízkých cen. Nepůsobil jen úbytek území, nýbrž hlavně obecný odklon o</w:t>
      </w:r>
      <w:r>
        <w:rPr>
          <w:sz w:val="18"/>
          <w:szCs w:val="18"/>
        </w:rPr>
        <w:t xml:space="preserve">d novin vlivem jejich vnitřního přetváření na nový typ tisku, zcela odlišný od dřívějšího. Není pravda, že noviny byly u nás tak rozšířeny jen pro svou láci. Hlavní důvod byl způsob, jak se u nás tisk dělal. Základní změna v tvářnosti tisku přivodila jeho </w:t>
      </w:r>
      <w:r>
        <w:rPr>
          <w:sz w:val="18"/>
          <w:szCs w:val="18"/>
        </w:rPr>
        <w:t>pokles. Ten nyní zdražením cen bude ještě pronikavější. Jestliže však dnes následkem ztrátové kalkulace je téměř tako</w:t>
      </w:r>
      <w:r>
        <w:rPr>
          <w:sz w:val="18"/>
          <w:szCs w:val="18"/>
        </w:rPr>
        <w:softHyphen/>
        <w:t>vý zdánlivě paradoxní stav, že vydavatel prodělává tím více, čím více tiskne novin, tedy po úpravě cen i při zmenšeném nákladu nebude aspo</w:t>
      </w:r>
      <w:r>
        <w:rPr>
          <w:sz w:val="18"/>
          <w:szCs w:val="18"/>
        </w:rPr>
        <w:t>ň doplácet.</w:t>
      </w:r>
    </w:p>
    <w:p w:rsidR="00500724" w:rsidRDefault="00F30FB8">
      <w:pPr>
        <w:pStyle w:val="Zkladntext1"/>
        <w:numPr>
          <w:ilvl w:val="0"/>
          <w:numId w:val="79"/>
        </w:numPr>
        <w:shd w:val="clear" w:color="auto" w:fill="auto"/>
        <w:tabs>
          <w:tab w:val="left" w:pos="505"/>
        </w:tabs>
        <w:spacing w:after="40" w:line="178" w:lineRule="auto"/>
        <w:ind w:firstLine="300"/>
        <w:rPr>
          <w:sz w:val="18"/>
          <w:szCs w:val="18"/>
        </w:rPr>
      </w:pPr>
      <w:r>
        <w:rPr>
          <w:sz w:val="18"/>
          <w:szCs w:val="18"/>
        </w:rPr>
        <w:t>Německý příklad není přiléhavý. Toto tvrze</w:t>
      </w:r>
      <w:r>
        <w:rPr>
          <w:sz w:val="18"/>
          <w:szCs w:val="18"/>
        </w:rPr>
        <w:softHyphen/>
        <w:t xml:space="preserve">ní zjevně odporuje skutečnosti. Poslání našeho tisku jest a musí ovšem býti jiné již proto, že jde o tisk český. Jinak však, pokud běží o celkové podmínky jeho práce, o způsob, jak se d-lá, to je to, </w:t>
      </w:r>
      <w:r>
        <w:rPr>
          <w:sz w:val="18"/>
          <w:szCs w:val="18"/>
        </w:rPr>
        <w:t>co určuje jeho tvářnost, o formu vztahu čtenáře k novinám a naopak a zvláště o hospodářskou stránku novi</w:t>
      </w:r>
      <w:r>
        <w:rPr>
          <w:sz w:val="18"/>
          <w:szCs w:val="18"/>
        </w:rPr>
        <w:softHyphen/>
        <w:t>nářského podnikání, jsou dnes poměry v podstatě totožné. Je to nutný důsledek našeho včlenění do prostoru Říše, jehož vlivu zejména po stránce hospodář</w:t>
      </w:r>
      <w:r>
        <w:rPr>
          <w:sz w:val="18"/>
          <w:szCs w:val="18"/>
        </w:rPr>
        <w:t>ské se nemůžeme vymykat. Německý příklad jest tedy pro nás dnes velmi poučný.</w:t>
      </w:r>
    </w:p>
    <w:p w:rsidR="00500724" w:rsidRDefault="00F30FB8">
      <w:pPr>
        <w:pStyle w:val="Zkladntext1"/>
        <w:numPr>
          <w:ilvl w:val="0"/>
          <w:numId w:val="79"/>
        </w:numPr>
        <w:shd w:val="clear" w:color="auto" w:fill="auto"/>
        <w:tabs>
          <w:tab w:val="left" w:pos="500"/>
        </w:tabs>
        <w:spacing w:after="60" w:line="185" w:lineRule="auto"/>
        <w:ind w:firstLine="300"/>
        <w:rPr>
          <w:sz w:val="18"/>
          <w:szCs w:val="18"/>
        </w:rPr>
      </w:pPr>
      <w:r>
        <w:rPr>
          <w:sz w:val="18"/>
          <w:szCs w:val="18"/>
        </w:rPr>
        <w:t>Máme následovat příkladu novin anglo</w:t>
      </w:r>
      <w:r>
        <w:rPr>
          <w:sz w:val="18"/>
          <w:szCs w:val="18"/>
        </w:rPr>
        <w:softHyphen/>
        <w:t>saských. To je bláhovost. Byly-li kdy podmínky pro napo</w:t>
      </w:r>
      <w:r>
        <w:rPr>
          <w:sz w:val="18"/>
          <w:szCs w:val="18"/>
        </w:rPr>
        <w:softHyphen/>
        <w:t>dobování takového vzoru, tedy v minulosti, a tehdejší vývoj našeho tisku byl také vsk</w:t>
      </w:r>
      <w:r>
        <w:rPr>
          <w:sz w:val="18"/>
          <w:szCs w:val="18"/>
        </w:rPr>
        <w:t>utku částečným, třebaže ne vždy zdravým a úspěšným napodobováním vzorů ne-li anglosas</w:t>
      </w:r>
      <w:r>
        <w:rPr>
          <w:sz w:val="18"/>
          <w:szCs w:val="18"/>
        </w:rPr>
        <w:softHyphen/>
        <w:t xml:space="preserve">kých, tedy západních, zejména v základní směrnici: nízká cena </w:t>
      </w:r>
      <w:r>
        <w:rPr>
          <w:sz w:val="18"/>
          <w:szCs w:val="18"/>
          <w:u w:val="single"/>
        </w:rPr>
        <w:t>— velký náklad. Podmínky pro takový vývoj záležely právě</w:t>
      </w:r>
      <w:r>
        <w:rPr>
          <w:sz w:val="18"/>
          <w:szCs w:val="18"/>
        </w:rPr>
        <w:t xml:space="preserve"> ve způsobu, jak se tehdy noviny mohly dělat. Jak ne</w:t>
      </w:r>
      <w:r>
        <w:rPr>
          <w:sz w:val="18"/>
          <w:szCs w:val="18"/>
        </w:rPr>
        <w:t>pochopit, že dnes musíme dělat noviny jinak, tak, jak vyžadují nové poměry, že tím pak se změnil také postoj čtenářův a v důsled</w:t>
      </w:r>
      <w:r>
        <w:rPr>
          <w:sz w:val="18"/>
          <w:szCs w:val="18"/>
        </w:rPr>
        <w:softHyphen/>
        <w:t>ku toho hospodářský základ novin? Příklad novin anglosaských se teď pro nás zřejmě nehodí.</w:t>
      </w:r>
    </w:p>
    <w:p w:rsidR="00500724" w:rsidRDefault="00F30FB8">
      <w:pPr>
        <w:pStyle w:val="Zkladntext1"/>
        <w:numPr>
          <w:ilvl w:val="0"/>
          <w:numId w:val="79"/>
        </w:numPr>
        <w:shd w:val="clear" w:color="auto" w:fill="auto"/>
        <w:tabs>
          <w:tab w:val="left" w:pos="505"/>
        </w:tabs>
        <w:spacing w:line="178" w:lineRule="auto"/>
        <w:ind w:firstLine="280"/>
        <w:rPr>
          <w:sz w:val="18"/>
          <w:szCs w:val="18"/>
        </w:rPr>
      </w:pPr>
      <w:r>
        <w:rPr>
          <w:sz w:val="18"/>
          <w:szCs w:val="18"/>
        </w:rPr>
        <w:t>Je třeba přesvědčit obchod o úspěšno</w:t>
      </w:r>
      <w:r>
        <w:rPr>
          <w:sz w:val="18"/>
          <w:szCs w:val="18"/>
        </w:rPr>
        <w:t>sti inserce v tisku a zámožné vrstvy vůbec o jejích morální povinnosti hospodářsky podporovat český tisk. To první je nesporné, ale v praksi dnes naráží na prostou překážku: dnes ve většině případů se dobře prodá</w:t>
      </w:r>
      <w:r>
        <w:rPr>
          <w:sz w:val="18"/>
          <w:szCs w:val="18"/>
        </w:rPr>
        <w:softHyphen/>
        <w:t>vá i bez reklamy. Jak tedy s této strany oč</w:t>
      </w:r>
      <w:r>
        <w:rPr>
          <w:sz w:val="18"/>
          <w:szCs w:val="18"/>
        </w:rPr>
        <w:t>ekávat hospodářské zlepšení pro český tisk, když u nás nebylo mnohdy pochopení pro obchodní propagaci dříve, kdy prodávat opravdu pomáhala (zeptejte se na to lidí z Reklubu)? Proto noviny za svého kri</w:t>
      </w:r>
      <w:r>
        <w:rPr>
          <w:sz w:val="18"/>
          <w:szCs w:val="18"/>
        </w:rPr>
        <w:softHyphen/>
        <w:t xml:space="preserve">tického stavu nemohou čekat na tak pochybnou pomoc. Že </w:t>
      </w:r>
      <w:r>
        <w:rPr>
          <w:sz w:val="18"/>
          <w:szCs w:val="18"/>
        </w:rPr>
        <w:t>zámožné vrstvy mají k českému tisku také povinnost morální, tak říkajíc národní, toť svátá pravda. Ale opět: situace české</w:t>
      </w:r>
      <w:r>
        <w:rPr>
          <w:sz w:val="18"/>
          <w:szCs w:val="18"/>
        </w:rPr>
        <w:softHyphen/>
        <w:t xml:space="preserve">ho tisku je taková, že její řešení nesnese odkladu. Nelze čekat, až se podaří přesvěděiti dotyčné kruhy, které chápou těžko </w:t>
      </w:r>
      <w:r>
        <w:rPr>
          <w:sz w:val="22"/>
          <w:szCs w:val="22"/>
        </w:rPr>
        <w:t xml:space="preserve">a </w:t>
      </w:r>
      <w:r>
        <w:rPr>
          <w:sz w:val="18"/>
          <w:szCs w:val="18"/>
        </w:rPr>
        <w:t>neosvědčily se vždy plně ani tehdy, kdy věc byla prostší a jas</w:t>
      </w:r>
      <w:r>
        <w:rPr>
          <w:sz w:val="18"/>
          <w:szCs w:val="18"/>
        </w:rPr>
        <w:softHyphen/>
        <w:t>nější. Ostatně, až nastane rozmach inserce a až zámožné vrstvy pochopí svou povinnost k čes</w:t>
      </w:r>
      <w:r>
        <w:rPr>
          <w:sz w:val="18"/>
          <w:szCs w:val="18"/>
        </w:rPr>
        <w:softHyphen/>
        <w:t>kému tisku, jistě se to může projevit 1 zlevně</w:t>
      </w:r>
      <w:r>
        <w:rPr>
          <w:sz w:val="18"/>
          <w:szCs w:val="18"/>
        </w:rPr>
        <w:softHyphen/>
        <w:t>ním novin.</w:t>
      </w:r>
    </w:p>
    <w:p w:rsidR="00500724" w:rsidRDefault="00F30FB8">
      <w:pPr>
        <w:pStyle w:val="Zkladntext1"/>
        <w:numPr>
          <w:ilvl w:val="0"/>
          <w:numId w:val="79"/>
        </w:numPr>
        <w:shd w:val="clear" w:color="auto" w:fill="auto"/>
        <w:tabs>
          <w:tab w:val="left" w:pos="514"/>
        </w:tabs>
        <w:spacing w:line="192" w:lineRule="auto"/>
        <w:ind w:firstLine="280"/>
        <w:rPr>
          <w:sz w:val="18"/>
          <w:szCs w:val="18"/>
        </w:rPr>
      </w:pPr>
      <w:r>
        <w:rPr>
          <w:sz w:val="18"/>
          <w:szCs w:val="18"/>
        </w:rPr>
        <w:t>Dbejte kulturního významu a národního poslá</w:t>
      </w:r>
      <w:r>
        <w:rPr>
          <w:sz w:val="18"/>
          <w:szCs w:val="18"/>
        </w:rPr>
        <w:t>ní českého tisku. Ano, i lidé, mající na mysli pře</w:t>
      </w:r>
      <w:r>
        <w:rPr>
          <w:sz w:val="18"/>
          <w:szCs w:val="18"/>
        </w:rPr>
        <w:softHyphen/>
        <w:t>devším hlediska hospodářská, musí uznati. že toto jest důvod nejzávažnější. Český tisk jest dnes vedle české knihy, české písně, českého umění z nejdůležitějších činitelů k hájení ná</w:t>
      </w:r>
      <w:r>
        <w:rPr>
          <w:sz w:val="18"/>
          <w:szCs w:val="18"/>
        </w:rPr>
        <w:softHyphen/>
        <w:t>rodní svébytnosti. Ale</w:t>
      </w:r>
      <w:r>
        <w:rPr>
          <w:sz w:val="18"/>
          <w:szCs w:val="18"/>
        </w:rPr>
        <w:t xml:space="preserve"> i tváří v tvář tomuto nejvyššímu Pří</w:t>
      </w:r>
      <w:r>
        <w:rPr>
          <w:sz w:val="18"/>
          <w:szCs w:val="18"/>
        </w:rPr>
        <w:softHyphen/>
        <w:t>kazu musíme si uvědomit, že kulturní a národní poslání může plnit jen tisk, hospodářsky soběstačný. I s tohoto stanoviska tedy jest rozřešení hospodářské krise českého tisku nezbytné. Úbytek odběratelů bude bolestný, a</w:t>
      </w:r>
      <w:r>
        <w:rPr>
          <w:sz w:val="18"/>
          <w:szCs w:val="18"/>
        </w:rPr>
        <w:t>le nepodlomí ještě kulturní a národní vliv českého tisku. Předně ne všichni čtenáři ode</w:t>
      </w:r>
      <w:r>
        <w:rPr>
          <w:sz w:val="18"/>
          <w:szCs w:val="18"/>
        </w:rPr>
        <w:softHyphen/>
        <w:t>bírali noviny s tohoto vyššího hlediska. Mnozí z nich si snad ča</w:t>
      </w:r>
      <w:r>
        <w:rPr>
          <w:sz w:val="18"/>
          <w:szCs w:val="18"/>
        </w:rPr>
        <w:softHyphen/>
        <w:t>sem jeho národní a kulturní poslání teprve uvědomí a stanou se pak opět odběrateli. Mnozí jiní poznají,</w:t>
      </w:r>
      <w:r>
        <w:rPr>
          <w:sz w:val="18"/>
          <w:szCs w:val="18"/>
        </w:rPr>
        <w:t xml:space="preserve"> že výdaj na noviny i po zvýšení cen u porovnání s výdaji na jiné, méně důležité věci stále ještě nebude tak značný. Snad i mzdy a platy se postupně náležitě upraví, takže zdražení novin se 1 takto částečně vy</w:t>
      </w:r>
      <w:r>
        <w:rPr>
          <w:sz w:val="18"/>
          <w:szCs w:val="18"/>
        </w:rPr>
        <w:softHyphen/>
        <w:t>rovná. Lze tedy očekávat, že ztráty nákladů se</w:t>
      </w:r>
      <w:r>
        <w:rPr>
          <w:sz w:val="18"/>
          <w:szCs w:val="18"/>
        </w:rPr>
        <w:t xml:space="preserve"> časem aspoň zčásti zase vyrovnají. Vždyť stejně tomu bylo i všude jinde, kde tisk prodělal podobný přelom jako nyni u nás. Tak či onak: hospodářské ozdravění českého tisku jest dnes i v zájmu jeho kulturního a národního poslání.</w:t>
      </w:r>
    </w:p>
    <w:p w:rsidR="00500724" w:rsidRDefault="00F30FB8">
      <w:pPr>
        <w:pStyle w:val="Zkladntext1"/>
        <w:shd w:val="clear" w:color="auto" w:fill="auto"/>
        <w:ind w:left="2500" w:right="640" w:hanging="2220"/>
        <w:jc w:val="left"/>
        <w:rPr>
          <w:sz w:val="18"/>
          <w:szCs w:val="18"/>
        </w:rPr>
      </w:pPr>
      <w:r>
        <w:rPr>
          <w:sz w:val="18"/>
          <w:szCs w:val="18"/>
        </w:rPr>
        <w:t>Děkuji Vám, pane redaktore</w:t>
      </w:r>
      <w:r>
        <w:rPr>
          <w:sz w:val="18"/>
          <w:szCs w:val="18"/>
        </w:rPr>
        <w:t>, za Vaši ochotu a jsem v přátelské úctě</w:t>
      </w:r>
    </w:p>
    <w:p w:rsidR="00500724" w:rsidRDefault="00F30FB8">
      <w:pPr>
        <w:pStyle w:val="Zkladntext1"/>
        <w:pBdr>
          <w:bottom w:val="single" w:sz="4" w:space="0" w:color="auto"/>
        </w:pBdr>
        <w:shd w:val="clear" w:color="auto" w:fill="auto"/>
        <w:tabs>
          <w:tab w:val="left" w:pos="3863"/>
        </w:tabs>
        <w:ind w:left="3560" w:firstLine="0"/>
        <w:rPr>
          <w:sz w:val="18"/>
          <w:szCs w:val="18"/>
        </w:rPr>
        <w:sectPr w:rsidR="00500724">
          <w:footnotePr>
            <w:numFmt w:val="chicago"/>
            <w:numRestart w:val="eachPage"/>
          </w:footnotePr>
          <w:type w:val="continuous"/>
          <w:pgSz w:w="11909" w:h="16834"/>
          <w:pgMar w:top="1489" w:right="1054" w:bottom="1085" w:left="515" w:header="0" w:footer="3" w:gutter="0"/>
          <w:cols w:num="2" w:space="101"/>
          <w:noEndnote/>
          <w:docGrid w:linePitch="360"/>
        </w:sectPr>
      </w:pPr>
      <w:r>
        <w:rPr>
          <w:sz w:val="18"/>
          <w:szCs w:val="18"/>
        </w:rPr>
        <w:t>K.</w:t>
      </w:r>
      <w:r>
        <w:rPr>
          <w:sz w:val="18"/>
          <w:szCs w:val="18"/>
        </w:rPr>
        <w:tab/>
        <w:t>F.</w:t>
      </w:r>
    </w:p>
    <w:p w:rsidR="00500724" w:rsidRDefault="00F30FB8">
      <w:pPr>
        <w:spacing w:line="14" w:lineRule="exact"/>
      </w:pPr>
      <w:r>
        <w:rPr>
          <w:noProof/>
        </w:rPr>
        <mc:AlternateContent>
          <mc:Choice Requires="wps">
            <w:drawing>
              <wp:anchor distT="0" distB="0" distL="114300" distR="114300" simplePos="0" relativeHeight="125830080" behindDoc="0" locked="0" layoutInCell="1" allowOverlap="1">
                <wp:simplePos x="0" y="0"/>
                <wp:positionH relativeFrom="page">
                  <wp:posOffset>1743075</wp:posOffset>
                </wp:positionH>
                <wp:positionV relativeFrom="paragraph">
                  <wp:posOffset>137160</wp:posOffset>
                </wp:positionV>
                <wp:extent cx="3745865" cy="554990"/>
                <wp:effectExtent l="0" t="0" r="0" b="0"/>
                <wp:wrapTopAndBottom/>
                <wp:docPr id="703" name="Shape 703"/>
                <wp:cNvGraphicFramePr/>
                <a:graphic xmlns:a="http://schemas.openxmlformats.org/drawingml/2006/main">
                  <a:graphicData uri="http://schemas.microsoft.com/office/word/2010/wordprocessingShape">
                    <wps:wsp>
                      <wps:cNvSpPr txBox="1"/>
                      <wps:spPr>
                        <a:xfrm>
                          <a:off x="0" y="0"/>
                          <a:ext cx="3745865" cy="554990"/>
                        </a:xfrm>
                        <a:prstGeom prst="rect">
                          <a:avLst/>
                        </a:prstGeom>
                        <a:noFill/>
                      </wps:spPr>
                      <wps:txbx>
                        <w:txbxContent>
                          <w:p w:rsidR="00500724" w:rsidRDefault="00F30FB8">
                            <w:pPr>
                              <w:pStyle w:val="Jin0"/>
                              <w:shd w:val="clear" w:color="auto" w:fill="auto"/>
                              <w:ind w:firstLine="0"/>
                              <w:jc w:val="left"/>
                              <w:rPr>
                                <w:sz w:val="78"/>
                                <w:szCs w:val="78"/>
                              </w:rPr>
                            </w:pPr>
                            <w:r>
                              <w:rPr>
                                <w:b/>
                                <w:bCs/>
                                <w:w w:val="60"/>
                                <w:sz w:val="78"/>
                                <w:szCs w:val="78"/>
                              </w:rPr>
                              <w:t>KLENOTNICÍ NftRODR</w:t>
                            </w:r>
                          </w:p>
                        </w:txbxContent>
                      </wps:txbx>
                      <wps:bodyPr lIns="0" tIns="0" rIns="0" bIns="0">
                        <a:spAutoFit/>
                      </wps:bodyPr>
                    </wps:wsp>
                  </a:graphicData>
                </a:graphic>
              </wp:anchor>
            </w:drawing>
          </mc:Choice>
          <mc:Fallback>
            <w:pict>
              <v:shape id="_x0000_s1729" type="#_x0000_t202" style="position:absolute;margin-left:137.25pt;margin-top:10.800000000000001pt;width:294.94999999999999pt;height:43.700000000000003pt;z-index:-125828673;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78"/>
                          <w:szCs w:val="78"/>
                        </w:rPr>
                      </w:pPr>
                      <w:r>
                        <w:rPr>
                          <w:b/>
                          <w:bCs/>
                          <w:color w:val="000000"/>
                          <w:spacing w:val="0"/>
                          <w:w w:val="60"/>
                          <w:position w:val="0"/>
                          <w:sz w:val="78"/>
                          <w:szCs w:val="78"/>
                          <w:shd w:val="clear" w:color="auto" w:fill="auto"/>
                          <w:lang w:val="cs-CZ" w:eastAsia="cs-CZ" w:bidi="cs-CZ"/>
                        </w:rPr>
                        <w:t>KLENOTNICÍ NftRODR</w:t>
                      </w:r>
                    </w:p>
                  </w:txbxContent>
                </v:textbox>
                <w10:wrap type="topAndBottom" anchorx="page"/>
              </v:shape>
            </w:pict>
          </mc:Fallback>
        </mc:AlternateContent>
      </w:r>
    </w:p>
    <w:p w:rsidR="00500724" w:rsidRDefault="00F30FB8">
      <w:pPr>
        <w:pStyle w:val="Zkladntext1"/>
        <w:shd w:val="clear" w:color="auto" w:fill="auto"/>
        <w:spacing w:line="262" w:lineRule="auto"/>
        <w:ind w:left="200" w:right="2180" w:firstLine="0"/>
        <w:rPr>
          <w:sz w:val="18"/>
          <w:szCs w:val="18"/>
        </w:rPr>
      </w:pPr>
      <w:r>
        <w:rPr>
          <w:sz w:val="18"/>
          <w:szCs w:val="18"/>
        </w:rPr>
        <w:t xml:space="preserve">je geniální výtvarné dílo JOSEFA MÁNESA. Vydáváme výbor, který shrnuje onu část jeho práce, kde stvořil podobenství osudu národa a jeho životního zápasu, </w:t>
      </w:r>
      <w:r>
        <w:rPr>
          <w:sz w:val="18"/>
          <w:szCs w:val="18"/>
        </w:rPr>
        <w:t>kde zpodobnil rytmus českého rodu a v ilustracích k Rukopisu, hrdinství starých Čechů hájících svou svobodu a kde slavil schopnosti našeho lidu.</w:t>
      </w:r>
    </w:p>
    <w:p w:rsidR="00500724" w:rsidRDefault="00F30FB8">
      <w:pPr>
        <w:pStyle w:val="Jin0"/>
        <w:shd w:val="clear" w:color="auto" w:fill="auto"/>
        <w:spacing w:line="180" w:lineRule="auto"/>
        <w:ind w:left="200" w:firstLine="0"/>
        <w:jc w:val="left"/>
        <w:rPr>
          <w:sz w:val="98"/>
          <w:szCs w:val="98"/>
        </w:rPr>
      </w:pPr>
      <w:r>
        <w:rPr>
          <w:rFonts w:ascii="Consolas" w:eastAsia="Consolas" w:hAnsi="Consolas" w:cs="Consolas"/>
          <w:smallCaps/>
          <w:w w:val="70"/>
          <w:sz w:val="98"/>
          <w:szCs w:val="98"/>
        </w:rPr>
        <w:t>mOnesov odkaz národu</w:t>
      </w:r>
    </w:p>
    <w:p w:rsidR="00500724" w:rsidRDefault="00F30FB8">
      <w:pPr>
        <w:pStyle w:val="Zkladntext40"/>
        <w:shd w:val="clear" w:color="auto" w:fill="auto"/>
        <w:spacing w:after="0" w:line="240" w:lineRule="auto"/>
        <w:ind w:left="200"/>
        <w:sectPr w:rsidR="00500724">
          <w:footnotePr>
            <w:numFmt w:val="chicago"/>
            <w:numRestart w:val="eachPage"/>
          </w:footnotePr>
          <w:type w:val="continuous"/>
          <w:pgSz w:w="11909" w:h="16834"/>
          <w:pgMar w:top="1575" w:right="895" w:bottom="1364" w:left="2724" w:header="0" w:footer="3" w:gutter="0"/>
          <w:cols w:space="720"/>
          <w:noEndnote/>
          <w:docGrid w:linePitch="360"/>
        </w:sectPr>
      </w:pPr>
      <w:r>
        <w:rPr>
          <w:b/>
          <w:bCs/>
        </w:rPr>
        <w:t xml:space="preserve">Dito má název: ZEMI MILOVANĚ. Uspořádal a úvodní slovo napsal </w:t>
      </w:r>
      <w:r>
        <w:rPr>
          <w:b/>
          <w:bCs/>
        </w:rPr>
        <w:t>doc. dr. Fr. Kovárna</w:t>
      </w:r>
    </w:p>
    <w:p w:rsidR="00500724" w:rsidRDefault="00F30FB8">
      <w:pPr>
        <w:pStyle w:val="Nadpis50"/>
        <w:keepNext/>
        <w:keepLines/>
        <w:framePr w:w="7027" w:h="1723" w:wrap="none" w:vAnchor="text" w:hAnchor="page" w:x="3438" w:y="227"/>
        <w:shd w:val="clear" w:color="auto" w:fill="auto"/>
      </w:pPr>
      <w:bookmarkStart w:id="684" w:name="bookmark683"/>
      <w:r>
        <w:t>vět knih</w:t>
      </w:r>
      <w:bookmarkEnd w:id="684"/>
    </w:p>
    <w:p w:rsidR="00500724" w:rsidRDefault="00F30FB8">
      <w:pPr>
        <w:pStyle w:val="Nadpis90"/>
        <w:keepNext/>
        <w:keepLines/>
        <w:framePr w:w="7248" w:h="523" w:wrap="none" w:vAnchor="text" w:hAnchor="page" w:x="3236" w:y="1950"/>
        <w:shd w:val="clear" w:color="auto" w:fill="auto"/>
        <w:spacing w:after="0"/>
        <w:rPr>
          <w:sz w:val="42"/>
          <w:szCs w:val="42"/>
        </w:rPr>
      </w:pPr>
      <w:bookmarkStart w:id="685" w:name="bookmark684"/>
      <w:r>
        <w:rPr>
          <w:b/>
          <w:bCs/>
          <w:sz w:val="34"/>
          <w:szCs w:val="34"/>
        </w:rPr>
        <w:t xml:space="preserve">KULTURNÍ </w:t>
      </w:r>
      <w:r>
        <w:rPr>
          <w:smallCaps/>
          <w:sz w:val="42"/>
          <w:szCs w:val="42"/>
        </w:rPr>
        <w:t>zpravodaj</w:t>
      </w:r>
      <w:bookmarkEnd w:id="685"/>
    </w:p>
    <w:p w:rsidR="00500724" w:rsidRDefault="00F30FB8">
      <w:pPr>
        <w:pStyle w:val="Zkladntext50"/>
        <w:framePr w:w="413" w:h="1699" w:wrap="none" w:vAnchor="text" w:hAnchor="page" w:x="10811" w:y="21"/>
        <w:shd w:val="clear" w:color="auto" w:fill="auto"/>
        <w:spacing w:after="0" w:line="240" w:lineRule="auto"/>
        <w:ind w:left="0"/>
        <w:jc w:val="left"/>
      </w:pPr>
      <w:r>
        <w:rPr>
          <w:b/>
          <w:bCs/>
          <w:i/>
          <w:iCs/>
        </w:rPr>
        <w:t>93</w:t>
      </w:r>
    </w:p>
    <w:p w:rsidR="00500724" w:rsidRDefault="00F30FB8">
      <w:pPr>
        <w:pStyle w:val="Zkladntext1"/>
        <w:framePr w:w="413" w:h="1699" w:wrap="none" w:vAnchor="text" w:hAnchor="page" w:x="10811" w:y="21"/>
        <w:shd w:val="clear" w:color="auto" w:fill="auto"/>
        <w:spacing w:line="180" w:lineRule="auto"/>
        <w:ind w:firstLine="0"/>
        <w:jc w:val="left"/>
        <w:rPr>
          <w:sz w:val="18"/>
          <w:szCs w:val="18"/>
        </w:rPr>
      </w:pPr>
      <w:r>
        <w:rPr>
          <w:sz w:val="18"/>
          <w:szCs w:val="18"/>
        </w:rPr>
        <w:t>O</w:t>
      </w:r>
    </w:p>
    <w:p w:rsidR="00500724" w:rsidRDefault="00F30FB8">
      <w:pPr>
        <w:pStyle w:val="Zkladntext1"/>
        <w:framePr w:w="413" w:h="1699" w:wrap="none" w:vAnchor="text" w:hAnchor="page" w:x="10811" w:y="21"/>
        <w:shd w:val="clear" w:color="auto" w:fill="auto"/>
        <w:spacing w:after="60" w:line="199" w:lineRule="auto"/>
        <w:ind w:firstLine="0"/>
        <w:jc w:val="left"/>
        <w:rPr>
          <w:sz w:val="18"/>
          <w:szCs w:val="18"/>
        </w:rPr>
      </w:pPr>
      <w:r>
        <w:rPr>
          <w:sz w:val="18"/>
          <w:szCs w:val="18"/>
        </w:rPr>
        <w:t>o&lt;</w:t>
      </w:r>
    </w:p>
    <w:p w:rsidR="00500724" w:rsidRDefault="00F30FB8">
      <w:pPr>
        <w:pStyle w:val="Zkladntext1"/>
        <w:framePr w:w="413" w:h="1699" w:wrap="none" w:vAnchor="text" w:hAnchor="page" w:x="10811" w:y="21"/>
        <w:shd w:val="clear" w:color="auto" w:fill="auto"/>
        <w:spacing w:after="120"/>
        <w:ind w:firstLine="0"/>
        <w:jc w:val="left"/>
        <w:rPr>
          <w:sz w:val="18"/>
          <w:szCs w:val="18"/>
        </w:rPr>
      </w:pPr>
      <w:r>
        <w:rPr>
          <w:sz w:val="18"/>
          <w:szCs w:val="18"/>
        </w:rPr>
        <w:t>«o</w:t>
      </w:r>
    </w:p>
    <w:p w:rsidR="00500724" w:rsidRDefault="00F30FB8">
      <w:pPr>
        <w:pStyle w:val="Zkladntext1"/>
        <w:framePr w:w="413" w:h="1699" w:wrap="none" w:vAnchor="text" w:hAnchor="page" w:x="10811" w:y="21"/>
        <w:shd w:val="clear" w:color="auto" w:fill="auto"/>
        <w:spacing w:after="60"/>
        <w:ind w:firstLine="0"/>
        <w:jc w:val="left"/>
        <w:rPr>
          <w:sz w:val="18"/>
          <w:szCs w:val="18"/>
        </w:rPr>
      </w:pPr>
      <w:r>
        <w:rPr>
          <w:sz w:val="18"/>
          <w:szCs w:val="18"/>
        </w:rPr>
        <w:t>o&lt;</w:t>
      </w:r>
    </w:p>
    <w:p w:rsidR="00500724" w:rsidRDefault="00F30FB8">
      <w:pPr>
        <w:pStyle w:val="Zkladntext1"/>
        <w:framePr w:w="413" w:h="1699" w:wrap="none" w:vAnchor="text" w:hAnchor="page" w:x="10811" w:y="21"/>
        <w:shd w:val="clear" w:color="auto" w:fill="auto"/>
        <w:spacing w:after="60"/>
        <w:ind w:firstLine="0"/>
        <w:jc w:val="left"/>
        <w:rPr>
          <w:sz w:val="18"/>
          <w:szCs w:val="18"/>
        </w:rPr>
      </w:pPr>
      <w:r>
        <w:rPr>
          <w:sz w:val="18"/>
          <w:szCs w:val="18"/>
        </w:rPr>
        <w:t>«Z&gt;</w:t>
      </w:r>
    </w:p>
    <w:p w:rsidR="00500724" w:rsidRDefault="00F30FB8">
      <w:pPr>
        <w:pStyle w:val="Zkladntext1"/>
        <w:framePr w:w="413" w:h="1699" w:wrap="none" w:vAnchor="text" w:hAnchor="page" w:x="10811" w:y="21"/>
        <w:shd w:val="clear" w:color="auto" w:fill="auto"/>
        <w:spacing w:after="60"/>
        <w:ind w:firstLine="0"/>
        <w:jc w:val="left"/>
        <w:rPr>
          <w:sz w:val="18"/>
          <w:szCs w:val="18"/>
        </w:rPr>
      </w:pPr>
      <w:r>
        <w:rPr>
          <w:sz w:val="18"/>
          <w:szCs w:val="18"/>
        </w:rPr>
        <w:t>O</w:t>
      </w:r>
    </w:p>
    <w:p w:rsidR="00500724" w:rsidRDefault="00500724">
      <w:pPr>
        <w:spacing w:after="83" w:line="14" w:lineRule="exact"/>
      </w:pPr>
    </w:p>
    <w:p w:rsidR="00500724" w:rsidRDefault="00500724">
      <w:pPr>
        <w:spacing w:line="14" w:lineRule="exact"/>
        <w:sectPr w:rsidR="00500724">
          <w:footnotePr>
            <w:numFmt w:val="chicago"/>
            <w:numRestart w:val="eachPage"/>
          </w:footnotePr>
          <w:pgSz w:w="11909" w:h="16834"/>
          <w:pgMar w:top="3326" w:right="687" w:bottom="644" w:left="624" w:header="0" w:footer="3" w:gutter="0"/>
          <w:cols w:space="720"/>
          <w:noEndnote/>
          <w:docGrid w:linePitch="360"/>
        </w:sectPr>
      </w:pPr>
    </w:p>
    <w:p w:rsidR="00500724" w:rsidRDefault="00500724">
      <w:pPr>
        <w:spacing w:line="52" w:lineRule="exact"/>
        <w:rPr>
          <w:sz w:val="4"/>
          <w:szCs w:val="4"/>
        </w:rPr>
      </w:pPr>
    </w:p>
    <w:p w:rsidR="00500724" w:rsidRDefault="00500724">
      <w:pPr>
        <w:spacing w:line="14" w:lineRule="exact"/>
        <w:sectPr w:rsidR="00500724">
          <w:footnotePr>
            <w:numFmt w:val="chicago"/>
            <w:numRestart w:val="eachPage"/>
          </w:footnotePr>
          <w:type w:val="continuous"/>
          <w:pgSz w:w="11909" w:h="16834"/>
          <w:pgMar w:top="1904" w:right="0" w:bottom="0" w:left="0" w:header="0" w:footer="3" w:gutter="0"/>
          <w:cols w:space="720"/>
          <w:noEndnote/>
          <w:docGrid w:linePitch="360"/>
        </w:sectPr>
      </w:pPr>
    </w:p>
    <w:p w:rsidR="00500724" w:rsidRDefault="00F30FB8">
      <w:pPr>
        <w:spacing w:line="14" w:lineRule="exact"/>
      </w:pPr>
      <w:r>
        <w:rPr>
          <w:noProof/>
        </w:rPr>
        <mc:AlternateContent>
          <mc:Choice Requires="wps">
            <w:drawing>
              <wp:anchor distT="0" distB="50800" distL="12700" distR="12700" simplePos="0" relativeHeight="125830082" behindDoc="0" locked="0" layoutInCell="1" allowOverlap="1">
                <wp:simplePos x="0" y="0"/>
                <wp:positionH relativeFrom="page">
                  <wp:posOffset>2136775</wp:posOffset>
                </wp:positionH>
                <wp:positionV relativeFrom="paragraph">
                  <wp:posOffset>12700</wp:posOffset>
                </wp:positionV>
                <wp:extent cx="3218815" cy="1219200"/>
                <wp:effectExtent l="0" t="0" r="0" b="0"/>
                <wp:wrapTopAndBottom/>
                <wp:docPr id="705" name="Shape 705"/>
                <wp:cNvGraphicFramePr/>
                <a:graphic xmlns:a="http://schemas.openxmlformats.org/drawingml/2006/main">
                  <a:graphicData uri="http://schemas.microsoft.com/office/word/2010/wordprocessingShape">
                    <wps:wsp>
                      <wps:cNvSpPr txBox="1"/>
                      <wps:spPr>
                        <a:xfrm>
                          <a:off x="0" y="0"/>
                          <a:ext cx="3218815" cy="1219200"/>
                        </a:xfrm>
                        <a:prstGeom prst="rect">
                          <a:avLst/>
                        </a:prstGeom>
                        <a:noFill/>
                      </wps:spPr>
                      <wps:txbx>
                        <w:txbxContent>
                          <w:p w:rsidR="00500724" w:rsidRDefault="00F30FB8">
                            <w:pPr>
                              <w:pStyle w:val="Jin0"/>
                              <w:shd w:val="clear" w:color="auto" w:fill="auto"/>
                              <w:ind w:firstLine="0"/>
                              <w:jc w:val="center"/>
                              <w:rPr>
                                <w:sz w:val="26"/>
                                <w:szCs w:val="26"/>
                              </w:rPr>
                            </w:pPr>
                            <w:r>
                              <w:rPr>
                                <w:b/>
                                <w:bCs/>
                                <w:sz w:val="26"/>
                                <w:szCs w:val="26"/>
                              </w:rPr>
                              <w:t>Lidové divadlo</w:t>
                            </w:r>
                          </w:p>
                          <w:p w:rsidR="00500724" w:rsidRDefault="00F30FB8">
                            <w:pPr>
                              <w:pStyle w:val="Zkladntext1"/>
                              <w:shd w:val="clear" w:color="auto" w:fill="auto"/>
                              <w:ind w:firstLine="200"/>
                            </w:pPr>
                            <w:r>
                              <w:rPr>
                                <w:b/>
                                <w:bCs/>
                              </w:rPr>
                              <w:t>Nebude nejmenší ze zásluh E. F. Buriana a jeho kolek</w:t>
                            </w:r>
                            <w:r>
                              <w:rPr>
                                <w:b/>
                                <w:bCs/>
                              </w:rPr>
                              <w:softHyphen/>
                              <w:t xml:space="preserve">tivu, že ukázal nejen divadelní působivost české lidové </w:t>
                            </w:r>
                            <w:r>
                              <w:rPr>
                                <w:b/>
                                <w:bCs/>
                              </w:rPr>
                              <w:t>lyriky (»Vojna«), ale i jevištní možnosti lidového divadel</w:t>
                            </w:r>
                            <w:r>
                              <w:rPr>
                                <w:b/>
                                <w:bCs/>
                              </w:rPr>
                              <w:softHyphen/>
                              <w:t>nictví (»Lidová suita®). Tento režisér je totiž víc než tvůrce divadelních inscenací, je i dramaturgický objevitel a, dou fejme, zakládá i tradici. Za což mu nemůžeme být dost vděčni. Tady je totiž</w:t>
                            </w:r>
                            <w:r>
                              <w:rPr>
                                <w:b/>
                                <w:bCs/>
                              </w:rPr>
                              <w:t xml:space="preserve"> nerv divadelničení.</w:t>
                            </w:r>
                          </w:p>
                        </w:txbxContent>
                      </wps:txbx>
                      <wps:bodyPr lIns="0" tIns="0" rIns="0" bIns="0">
                        <a:spAutoFit/>
                      </wps:bodyPr>
                    </wps:wsp>
                  </a:graphicData>
                </a:graphic>
              </wp:anchor>
            </w:drawing>
          </mc:Choice>
          <mc:Fallback>
            <w:pict>
              <v:shape id="_x0000_s1731" type="#_x0000_t202" style="position:absolute;margin-left:168.25pt;margin-top:1.pt;width:253.44999999999999pt;height:96.pt;z-index:-125828671;mso-wrap-distance-left:1.pt;mso-wrap-distance-right:1.pt;mso-wrap-distance-bottom:4.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center"/>
                        <w:rPr>
                          <w:sz w:val="26"/>
                          <w:szCs w:val="26"/>
                        </w:rPr>
                      </w:pPr>
                      <w:r>
                        <w:rPr>
                          <w:b/>
                          <w:bCs/>
                          <w:color w:val="000000"/>
                          <w:spacing w:val="0"/>
                          <w:w w:val="100"/>
                          <w:position w:val="0"/>
                          <w:sz w:val="26"/>
                          <w:szCs w:val="26"/>
                          <w:shd w:val="clear" w:color="auto" w:fill="auto"/>
                          <w:lang w:val="cs-CZ" w:eastAsia="cs-CZ" w:bidi="cs-CZ"/>
                        </w:rPr>
                        <w:t>Lidové divadlo</w:t>
                      </w:r>
                    </w:p>
                    <w:p>
                      <w:pPr>
                        <w:pStyle w:val="Style18"/>
                        <w:keepNext w:val="0"/>
                        <w:keepLines w:val="0"/>
                        <w:widowControl w:val="0"/>
                        <w:shd w:val="clear" w:color="auto" w:fill="auto"/>
                        <w:bidi w:val="0"/>
                        <w:spacing w:before="0" w:after="0" w:line="240" w:lineRule="auto"/>
                        <w:ind w:left="0" w:right="0" w:firstLine="200"/>
                      </w:pPr>
                      <w:r>
                        <w:rPr>
                          <w:b/>
                          <w:bCs/>
                          <w:color w:val="000000"/>
                          <w:spacing w:val="0"/>
                          <w:w w:val="100"/>
                          <w:position w:val="0"/>
                          <w:shd w:val="clear" w:color="auto" w:fill="auto"/>
                          <w:lang w:val="cs-CZ" w:eastAsia="cs-CZ" w:bidi="cs-CZ"/>
                        </w:rPr>
                        <w:t>Nebude nejmenší ze zásluh E. F. Buriana a jeho kolek</w:t>
                        <w:softHyphen/>
                        <w:t>tivu, že ukázal nejen divadelní působivost české lidové lyriky (»Vojna«), ale i jevištní možnosti lidového divadel</w:t>
                        <w:softHyphen/>
                        <w:t>nictví (»Lidová suita®). Tento režisér je totiž víc než tvůrce divadelních inscenací, je i dramaturgický objevitel a, dou fejme, zakládá i tradici. Za což mu nemůžeme být dost vděčni. Tady je totiž nerv divadelničení.</w:t>
                      </w:r>
                    </w:p>
                  </w:txbxContent>
                </v:textbox>
                <w10:wrap type="topAndBottom" anchorx="page"/>
              </v:shape>
            </w:pict>
          </mc:Fallback>
        </mc:AlternateContent>
      </w:r>
    </w:p>
    <w:p w:rsidR="00500724" w:rsidRDefault="00F30FB8">
      <w:pPr>
        <w:pStyle w:val="Zkladntext1"/>
        <w:shd w:val="clear" w:color="auto" w:fill="auto"/>
        <w:spacing w:line="182" w:lineRule="auto"/>
        <w:ind w:firstLine="0"/>
        <w:jc w:val="left"/>
        <w:rPr>
          <w:sz w:val="20"/>
          <w:szCs w:val="20"/>
        </w:rPr>
      </w:pPr>
      <w:r>
        <w:rPr>
          <w:i/>
          <w:iCs/>
          <w:sz w:val="20"/>
          <w:szCs w:val="20"/>
        </w:rPr>
        <w:t>Jaroslav Seifert:</w:t>
      </w:r>
    </w:p>
    <w:p w:rsidR="00500724" w:rsidRDefault="00F30FB8">
      <w:pPr>
        <w:pStyle w:val="Zkladntext1"/>
        <w:shd w:val="clear" w:color="auto" w:fill="auto"/>
        <w:spacing w:after="60" w:line="192" w:lineRule="auto"/>
        <w:ind w:firstLine="0"/>
        <w:jc w:val="left"/>
      </w:pPr>
      <w:r>
        <w:rPr>
          <w:i/>
          <w:iCs/>
        </w:rPr>
        <w:t>AŽ</w:t>
      </w:r>
      <w:r>
        <w:rPr>
          <w:b/>
          <w:bCs/>
        </w:rPr>
        <w:t xml:space="preserve"> SE TĚ ZEPTÁ</w:t>
      </w:r>
    </w:p>
    <w:p w:rsidR="00500724" w:rsidRDefault="00F30FB8">
      <w:pPr>
        <w:pStyle w:val="Zkladntext1"/>
        <w:shd w:val="clear" w:color="auto" w:fill="auto"/>
        <w:spacing w:after="160" w:line="180" w:lineRule="auto"/>
        <w:ind w:left="180" w:firstLine="20"/>
        <w:jc w:val="left"/>
        <w:rPr>
          <w:sz w:val="20"/>
          <w:szCs w:val="20"/>
        </w:rPr>
      </w:pPr>
      <w:r>
        <w:rPr>
          <w:i/>
          <w:iCs/>
          <w:sz w:val="20"/>
          <w:szCs w:val="20"/>
        </w:rPr>
        <w:t>Zima se léta ptá a jaro ptá se zimy, den noci zeptá se — hvězdami růžovými má obsypaný vlas, když den je na počátku a hvězdy, jež jdou spát, střásají rosu s plátků,.</w:t>
      </w:r>
    </w:p>
    <w:p w:rsidR="00500724" w:rsidRDefault="00F30FB8">
      <w:pPr>
        <w:pStyle w:val="Zkladntext1"/>
        <w:shd w:val="clear" w:color="auto" w:fill="auto"/>
        <w:spacing w:after="160" w:line="185" w:lineRule="auto"/>
        <w:ind w:left="180" w:firstLine="20"/>
        <w:jc w:val="left"/>
        <w:rPr>
          <w:sz w:val="20"/>
          <w:szCs w:val="20"/>
        </w:rPr>
      </w:pPr>
      <w:r>
        <w:rPr>
          <w:i/>
          <w:iCs/>
          <w:sz w:val="20"/>
          <w:szCs w:val="20"/>
        </w:rPr>
        <w:t xml:space="preserve">Matka se děcka ptá, dítě k ní běží </w:t>
      </w:r>
      <w:r>
        <w:rPr>
          <w:i/>
          <w:iCs/>
          <w:sz w:val="20"/>
          <w:szCs w:val="20"/>
        </w:rPr>
        <w:t>kvapem, když kapky zašumí, voníce pod okapem.</w:t>
      </w:r>
    </w:p>
    <w:p w:rsidR="00500724" w:rsidRDefault="00F30FB8">
      <w:pPr>
        <w:pStyle w:val="Zkladntext1"/>
        <w:shd w:val="clear" w:color="auto" w:fill="auto"/>
        <w:spacing w:after="160" w:line="180" w:lineRule="auto"/>
        <w:ind w:left="180" w:firstLine="20"/>
        <w:jc w:val="left"/>
        <w:rPr>
          <w:sz w:val="20"/>
          <w:szCs w:val="20"/>
        </w:rPr>
      </w:pPr>
      <w:r>
        <w:rPr>
          <w:i/>
          <w:iCs/>
          <w:sz w:val="20"/>
          <w:szCs w:val="20"/>
        </w:rPr>
        <w:t>Dítě se duhy ptá, jež po dešti se vzklene, střevíčky na boso má vodou rozmáčené.</w:t>
      </w:r>
    </w:p>
    <w:p w:rsidR="00500724" w:rsidRDefault="00F30FB8">
      <w:pPr>
        <w:pStyle w:val="Zkladntext1"/>
        <w:shd w:val="clear" w:color="auto" w:fill="auto"/>
        <w:spacing w:line="182" w:lineRule="auto"/>
        <w:ind w:left="180" w:firstLine="20"/>
        <w:jc w:val="left"/>
        <w:rPr>
          <w:sz w:val="20"/>
          <w:szCs w:val="20"/>
        </w:rPr>
      </w:pPr>
      <w:r>
        <w:rPr>
          <w:i/>
          <w:iCs/>
          <w:sz w:val="20"/>
          <w:szCs w:val="20"/>
        </w:rPr>
        <w:t>Léto jen vzpomínkou a zima tichem sněhu, noc hvězdou odpoví dni s včerejšího břehu a v pláči dítě Stká mamince v jejím klíně.</w:t>
      </w:r>
    </w:p>
    <w:p w:rsidR="00500724" w:rsidRDefault="00F30FB8">
      <w:pPr>
        <w:pStyle w:val="Zkladntext1"/>
        <w:shd w:val="clear" w:color="auto" w:fill="auto"/>
        <w:spacing w:after="160" w:line="182" w:lineRule="auto"/>
        <w:ind w:left="180" w:firstLine="20"/>
        <w:jc w:val="left"/>
        <w:rPr>
          <w:sz w:val="20"/>
          <w:szCs w:val="20"/>
        </w:rPr>
      </w:pPr>
      <w:r>
        <w:rPr>
          <w:i/>
          <w:iCs/>
          <w:sz w:val="20"/>
          <w:szCs w:val="20"/>
        </w:rPr>
        <w:t xml:space="preserve">Ni </w:t>
      </w:r>
      <w:r>
        <w:rPr>
          <w:i/>
          <w:iCs/>
          <w:sz w:val="20"/>
          <w:szCs w:val="20"/>
        </w:rPr>
        <w:t>duha nemlčí, když mlčí po krajině.</w:t>
      </w:r>
    </w:p>
    <w:p w:rsidR="00500724" w:rsidRDefault="00F30FB8">
      <w:pPr>
        <w:pStyle w:val="Zkladntext1"/>
        <w:shd w:val="clear" w:color="auto" w:fill="auto"/>
        <w:spacing w:line="182" w:lineRule="auto"/>
        <w:ind w:left="180" w:firstLine="20"/>
        <w:jc w:val="left"/>
        <w:rPr>
          <w:sz w:val="20"/>
          <w:szCs w:val="20"/>
        </w:rPr>
      </w:pPr>
      <w:r>
        <w:rPr>
          <w:i/>
          <w:iCs/>
          <w:sz w:val="20"/>
          <w:szCs w:val="20"/>
        </w:rPr>
        <w:t>Až se tě zeptá vlast, jak ptá se léta zima, co ty jí odpovíš s očima zamženýma? Nemusíš říkat víc než děcko uplakané.</w:t>
      </w:r>
    </w:p>
    <w:p w:rsidR="00500724" w:rsidRDefault="00F30FB8">
      <w:pPr>
        <w:pStyle w:val="Zkladntext1"/>
        <w:shd w:val="clear" w:color="auto" w:fill="auto"/>
        <w:spacing w:after="60" w:line="182" w:lineRule="auto"/>
        <w:ind w:left="180" w:firstLine="20"/>
        <w:jc w:val="left"/>
        <w:rPr>
          <w:sz w:val="20"/>
          <w:szCs w:val="20"/>
        </w:rPr>
      </w:pPr>
      <w:r>
        <w:rPr>
          <w:i/>
          <w:iCs/>
          <w:sz w:val="20"/>
          <w:szCs w:val="20"/>
        </w:rPr>
        <w:t>Jen smrt nás rozdělí a ani ta ne!</w:t>
      </w:r>
    </w:p>
    <w:p w:rsidR="00500724" w:rsidRDefault="00F30FB8">
      <w:pPr>
        <w:pStyle w:val="Zkladntext40"/>
        <w:shd w:val="clear" w:color="auto" w:fill="auto"/>
        <w:spacing w:after="100" w:line="168" w:lineRule="auto"/>
        <w:ind w:firstLine="200"/>
      </w:pPr>
      <w:r>
        <w:t>Ze sbírky Zhasněte světla, která právě vyšla ve 4. vydáni.</w:t>
      </w:r>
    </w:p>
    <w:p w:rsidR="00500724" w:rsidRDefault="00F30FB8">
      <w:pPr>
        <w:pStyle w:val="Jin0"/>
        <w:shd w:val="clear" w:color="auto" w:fill="auto"/>
        <w:spacing w:after="60"/>
        <w:ind w:firstLine="0"/>
        <w:jc w:val="left"/>
        <w:rPr>
          <w:sz w:val="26"/>
          <w:szCs w:val="26"/>
        </w:rPr>
      </w:pPr>
      <w:r>
        <w:rPr>
          <w:rFonts w:ascii="Arial" w:eastAsia="Arial" w:hAnsi="Arial" w:cs="Arial"/>
          <w:smallCaps/>
          <w:sz w:val="26"/>
          <w:szCs w:val="26"/>
        </w:rPr>
        <w:t>feuilleton</w:t>
      </w:r>
    </w:p>
    <w:p w:rsidR="00500724" w:rsidRDefault="00F30FB8">
      <w:pPr>
        <w:pStyle w:val="Zkladntext40"/>
        <w:shd w:val="clear" w:color="auto" w:fill="auto"/>
        <w:spacing w:after="0" w:line="173" w:lineRule="auto"/>
        <w:jc w:val="left"/>
        <w:rPr>
          <w:sz w:val="16"/>
          <w:szCs w:val="16"/>
        </w:rPr>
      </w:pPr>
      <w:r>
        <w:rPr>
          <w:b/>
          <w:bCs/>
          <w:sz w:val="16"/>
          <w:szCs w:val="16"/>
        </w:rPr>
        <w:t>Vladimír Groh:</w:t>
      </w:r>
    </w:p>
    <w:p w:rsidR="00500724" w:rsidRDefault="00F30FB8">
      <w:pPr>
        <w:pStyle w:val="Zkladntext40"/>
        <w:shd w:val="clear" w:color="auto" w:fill="auto"/>
        <w:spacing w:after="0" w:line="240" w:lineRule="auto"/>
        <w:ind w:right="480"/>
        <w:jc w:val="left"/>
        <w:rPr>
          <w:sz w:val="14"/>
          <w:szCs w:val="14"/>
        </w:rPr>
      </w:pPr>
      <w:r>
        <w:rPr>
          <w:b/>
          <w:bCs/>
          <w:sz w:val="14"/>
          <w:szCs w:val="14"/>
        </w:rPr>
        <w:t>O starořímské kuchyni, stole a sklepu</w:t>
      </w:r>
    </w:p>
    <w:p w:rsidR="00500724" w:rsidRDefault="00F30FB8">
      <w:pPr>
        <w:pStyle w:val="Zkladntext40"/>
        <w:shd w:val="clear" w:color="auto" w:fill="auto"/>
        <w:spacing w:after="100" w:line="173" w:lineRule="auto"/>
        <w:ind w:firstLine="200"/>
        <w:rPr>
          <w:sz w:val="16"/>
          <w:szCs w:val="16"/>
        </w:rPr>
      </w:pPr>
      <w:r>
        <w:rPr>
          <w:b/>
          <w:bCs/>
          <w:sz w:val="16"/>
          <w:szCs w:val="16"/>
          <w:lang w:val="en-US" w:eastAsia="en-US" w:bidi="en-US"/>
        </w:rPr>
        <w:t xml:space="preserve">film </w:t>
      </w:r>
      <w:r>
        <w:rPr>
          <w:b/>
          <w:bCs/>
          <w:sz w:val="16"/>
          <w:szCs w:val="16"/>
        </w:rPr>
        <w:t>byl už světovou velmocí, když začal první pekař v městě péci chléb po živnostensku (r. 174 před Kr.), ale krmení kuřat se pokládalo ieště za nezřízený přepych. Brzo potom však se velmi rozšířila zá</w:t>
      </w:r>
      <w:r>
        <w:rPr>
          <w:b/>
          <w:bCs/>
          <w:sz w:val="16"/>
          <w:szCs w:val="16"/>
        </w:rPr>
        <w:t>liba v krmích značně exotických: cizokrajní ptáci, plži, plchové atd. Plchové a jiné druhy malých hlodavců byli nakládáni do láku. Nepo</w:t>
      </w:r>
      <w:r>
        <w:rPr>
          <w:b/>
          <w:bCs/>
          <w:sz w:val="16"/>
          <w:szCs w:val="16"/>
        </w:rPr>
        <w:softHyphen/>
        <w:t>mohly zákazy takových výstřel</w:t>
      </w:r>
      <w:r>
        <w:rPr>
          <w:b/>
          <w:bCs/>
          <w:sz w:val="16"/>
          <w:szCs w:val="16"/>
        </w:rPr>
        <w:softHyphen/>
        <w:t>ků, leda v tom, že se podobné krmě vyskytovaly jen jako zvláštnosti, kdežto pravidelné sto</w:t>
      </w:r>
      <w:r>
        <w:rPr>
          <w:b/>
          <w:bCs/>
          <w:sz w:val="16"/>
          <w:szCs w:val="16"/>
        </w:rPr>
        <w:t>lování vybíralo jídla přístup</w:t>
      </w:r>
      <w:r>
        <w:rPr>
          <w:b/>
          <w:bCs/>
          <w:sz w:val="16"/>
          <w:szCs w:val="16"/>
        </w:rPr>
        <w:softHyphen/>
        <w:t>nější. V pohádce o Filemonu a Baucidě líčí Ovidius slavnostní venkovský oběd nabídnutý chu</w:t>
      </w:r>
      <w:r>
        <w:rPr>
          <w:b/>
          <w:bCs/>
          <w:sz w:val="16"/>
          <w:szCs w:val="16"/>
        </w:rPr>
        <w:softHyphen/>
        <w:t>dými manžely neznámým hos</w:t>
      </w:r>
      <w:r>
        <w:rPr>
          <w:b/>
          <w:bCs/>
          <w:sz w:val="16"/>
          <w:szCs w:val="16"/>
        </w:rPr>
        <w:softHyphen/>
        <w:t>tům, jimiž byli bohové Jupiter a Hermes; nejprve na miskách předloženy předkrmy: olivy v dvojí úprav, nakláda</w:t>
      </w:r>
      <w:r>
        <w:rPr>
          <w:b/>
          <w:bCs/>
          <w:sz w:val="16"/>
          <w:szCs w:val="16"/>
        </w:rPr>
        <w:t>né dřínky, kořen čekanky, ředkvička, tva</w:t>
      </w:r>
      <w:r>
        <w:rPr>
          <w:b/>
          <w:bCs/>
          <w:sz w:val="16"/>
          <w:szCs w:val="16"/>
        </w:rPr>
        <w:softHyphen/>
        <w:t>roh, vejce na měkko. Hlavním jídlem bylo uzené plece se zelím, nakonec přišlo ovoce: ořechy, fíky, datle, švestky, jablka, hroz</w:t>
      </w:r>
      <w:r>
        <w:rPr>
          <w:b/>
          <w:bCs/>
          <w:sz w:val="16"/>
          <w:szCs w:val="16"/>
        </w:rPr>
        <w:softHyphen/>
        <w:t>ny. Po předkrmech a po hlavním jídle se pilo mladé víno. — Jest</w:t>
      </w:r>
      <w:r>
        <w:rPr>
          <w:b/>
          <w:bCs/>
          <w:sz w:val="16"/>
          <w:szCs w:val="16"/>
        </w:rPr>
        <w:softHyphen/>
        <w:t>liže lecco z tohoto jíd</w:t>
      </w:r>
      <w:r>
        <w:rPr>
          <w:b/>
          <w:bCs/>
          <w:sz w:val="16"/>
          <w:szCs w:val="16"/>
        </w:rPr>
        <w:t>elního líst</w:t>
      </w:r>
      <w:r>
        <w:rPr>
          <w:b/>
          <w:bCs/>
          <w:sz w:val="16"/>
          <w:szCs w:val="16"/>
        </w:rPr>
        <w:softHyphen/>
      </w:r>
    </w:p>
    <w:p w:rsidR="00500724" w:rsidRDefault="00F30FB8">
      <w:pPr>
        <w:pStyle w:val="Jin0"/>
        <w:shd w:val="clear" w:color="auto" w:fill="auto"/>
        <w:spacing w:after="80"/>
        <w:ind w:firstLine="0"/>
        <w:rPr>
          <w:sz w:val="24"/>
          <w:szCs w:val="24"/>
        </w:rPr>
      </w:pPr>
      <w:r>
        <w:rPr>
          <w:rFonts w:ascii="Arial" w:eastAsia="Arial" w:hAnsi="Arial" w:cs="Arial"/>
          <w:sz w:val="24"/>
          <w:szCs w:val="24"/>
        </w:rPr>
        <w:t>POZNÁMKY</w:t>
      </w:r>
    </w:p>
    <w:p w:rsidR="00500724" w:rsidRDefault="00F30FB8">
      <w:pPr>
        <w:pStyle w:val="Zkladntext40"/>
        <w:shd w:val="clear" w:color="auto" w:fill="auto"/>
        <w:spacing w:after="80" w:line="166" w:lineRule="auto"/>
        <w:rPr>
          <w:sz w:val="16"/>
          <w:szCs w:val="16"/>
        </w:rPr>
      </w:pPr>
      <w:r>
        <w:rPr>
          <w:b/>
          <w:bCs/>
          <w:sz w:val="16"/>
          <w:szCs w:val="16"/>
        </w:rPr>
        <w:t>ÚSPĚCH KNIHY KARLA ČAPKA</w:t>
      </w:r>
    </w:p>
    <w:p w:rsidR="00500724" w:rsidRDefault="00F30FB8">
      <w:pPr>
        <w:pStyle w:val="Zkladntext40"/>
        <w:shd w:val="clear" w:color="auto" w:fill="auto"/>
        <w:spacing w:after="100" w:line="175" w:lineRule="auto"/>
        <w:ind w:firstLine="180"/>
      </w:pPr>
      <w:r>
        <w:t>Nová kniha causerii z pozůsta</w:t>
      </w:r>
      <w:r>
        <w:softHyphen/>
        <w:t>losti Karla Čapka Měl jsem psa a kočku, která vyšla před několika týdny, byla již ve dvou vydáních rozebrána. V těchto dnech vychází již ve vydání tře</w:t>
      </w:r>
      <w:r>
        <w:softHyphen/>
        <w:t xml:space="preserve">tím, což svědčí o tom, že 1 </w:t>
      </w:r>
      <w:r>
        <w:t>tyto Čapkovy causerie, rozmarně a ne</w:t>
      </w:r>
      <w:r>
        <w:softHyphen/>
        <w:t>zapomenutelně vyprávějící o přá</w:t>
      </w:r>
      <w:r>
        <w:softHyphen/>
        <w:t>telském pronárodě psů a koček, causerie, které jsou autorovou zpovědí, jako chovatele i pozoro</w:t>
      </w:r>
      <w:r>
        <w:softHyphen/>
        <w:t>vatele této roztodivné čeledi, do</w:t>
      </w:r>
      <w:r>
        <w:softHyphen/>
        <w:t>cházejí téže obliby jako rozkošná konfese autorova v úloze</w:t>
      </w:r>
      <w:r>
        <w:t xml:space="preserve"> vášni</w:t>
      </w:r>
      <w:r>
        <w:softHyphen/>
        <w:t>vého zahrádkáře. Zahradní</w:t>
      </w:r>
      <w:r>
        <w:softHyphen/>
        <w:t>kův rok. Cena, knihy, jejíž text je doprovázen jedinečnými obráz</w:t>
      </w:r>
      <w:r>
        <w:softHyphen/>
        <w:t>ky autorovými a jeho bratra Jo</w:t>
      </w:r>
      <w:r>
        <w:softHyphen/>
        <w:t>sefa Čapka, zůstává nezměněna. Brož. výtisk stojí 20 K.</w:t>
      </w:r>
    </w:p>
    <w:p w:rsidR="00500724" w:rsidRDefault="00F30FB8">
      <w:pPr>
        <w:pStyle w:val="Zkladntext90"/>
        <w:shd w:val="clear" w:color="auto" w:fill="auto"/>
        <w:spacing w:line="240" w:lineRule="auto"/>
        <w:ind w:firstLine="0"/>
      </w:pPr>
      <w:r>
        <w:t>JAROSLAV SEIFERT:</w:t>
      </w:r>
    </w:p>
    <w:p w:rsidR="00500724" w:rsidRDefault="00F30FB8">
      <w:pPr>
        <w:pStyle w:val="Zkladntext90"/>
        <w:shd w:val="clear" w:color="auto" w:fill="auto"/>
        <w:spacing w:line="240" w:lineRule="auto"/>
        <w:ind w:firstLine="0"/>
      </w:pPr>
      <w:r>
        <w:t>ZHASNĚTE SVĚTLA</w:t>
      </w:r>
    </w:p>
    <w:p w:rsidR="00500724" w:rsidRDefault="00F30FB8">
      <w:pPr>
        <w:pStyle w:val="Zkladntext40"/>
        <w:shd w:val="clear" w:color="auto" w:fill="auto"/>
        <w:spacing w:after="240"/>
        <w:ind w:firstLine="180"/>
      </w:pPr>
      <w:r>
        <w:t>4. vydáni. Básnická sbirka Ja</w:t>
      </w:r>
      <w:r>
        <w:softHyphen/>
        <w:t>roslava</w:t>
      </w:r>
      <w:r>
        <w:t xml:space="preserve"> Seiferta Zhasněte světla, která spolu s Halaso- vým Torsem naděje, Hola- novým Zářím 1938 a Cassio- vou Železnou košili patři k tomu nejlepšímu, co u nás z poesie uzrálo v osudových dnech loňského podzimu a která navazuje 1 s jmenovanými kniha</w:t>
      </w:r>
      <w:r>
        <w:softHyphen/>
      </w:r>
    </w:p>
    <w:p w:rsidR="00500724" w:rsidRDefault="00F30FB8">
      <w:pPr>
        <w:pStyle w:val="Zkladntext40"/>
        <w:shd w:val="clear" w:color="auto" w:fill="auto"/>
        <w:spacing w:after="80" w:line="173" w:lineRule="auto"/>
        <w:rPr>
          <w:sz w:val="16"/>
          <w:szCs w:val="16"/>
        </w:rPr>
      </w:pPr>
      <w:r>
        <w:rPr>
          <w:b/>
          <w:bCs/>
          <w:sz w:val="16"/>
          <w:szCs w:val="16"/>
        </w:rPr>
        <w:t>ku třeba p</w:t>
      </w:r>
      <w:r>
        <w:rPr>
          <w:b/>
          <w:bCs/>
          <w:sz w:val="16"/>
          <w:szCs w:val="16"/>
        </w:rPr>
        <w:t>řičíst! jednak literár</w:t>
      </w:r>
      <w:r>
        <w:rPr>
          <w:b/>
          <w:bCs/>
          <w:sz w:val="16"/>
          <w:szCs w:val="16"/>
        </w:rPr>
        <w:softHyphen/>
        <w:t>ním vzorům Ovidiovým a zkráš</w:t>
      </w:r>
      <w:r>
        <w:rPr>
          <w:b/>
          <w:bCs/>
          <w:sz w:val="16"/>
          <w:szCs w:val="16"/>
        </w:rPr>
        <w:softHyphen/>
        <w:t>lujícímu idylismu, jednak v po</w:t>
      </w:r>
      <w:r>
        <w:rPr>
          <w:b/>
          <w:bCs/>
          <w:sz w:val="16"/>
          <w:szCs w:val="16"/>
        </w:rPr>
        <w:softHyphen/>
        <w:t>hádkách obvyklému přenášení určitých zjevů do jiného prostře</w:t>
      </w:r>
      <w:r>
        <w:rPr>
          <w:b/>
          <w:bCs/>
          <w:sz w:val="16"/>
          <w:szCs w:val="16"/>
        </w:rPr>
        <w:softHyphen/>
        <w:t>dí, lze ze satiry Horatiovy i pod její ironií poznati, jaké kulinář</w:t>
      </w:r>
      <w:r>
        <w:rPr>
          <w:b/>
          <w:bCs/>
          <w:sz w:val="16"/>
          <w:szCs w:val="16"/>
        </w:rPr>
        <w:softHyphen/>
        <w:t>ské starosti zmítaly tím, kdo chtěl vystroji</w:t>
      </w:r>
      <w:r>
        <w:rPr>
          <w:b/>
          <w:bCs/>
          <w:sz w:val="16"/>
          <w:szCs w:val="16"/>
        </w:rPr>
        <w:t>ti bezvadnou hosti</w:t>
      </w:r>
      <w:r>
        <w:rPr>
          <w:b/>
          <w:bCs/>
          <w:sz w:val="16"/>
          <w:szCs w:val="16"/>
        </w:rPr>
        <w:softHyphen/>
        <w:t>nu. Vejce na předkrm měla býti vybírána podlouhlá, nikoliv ku</w:t>
      </w:r>
      <w:r>
        <w:rPr>
          <w:b/>
          <w:bCs/>
          <w:sz w:val="16"/>
          <w:szCs w:val="16"/>
        </w:rPr>
        <w:softHyphen/>
        <w:t>lovitá, protože jsou hutnější a příjemnější chuti. Zelenina pak je lepší a jádrnější venkovská z vyschlé půdy, kdežto v předměst</w:t>
      </w:r>
      <w:r>
        <w:rPr>
          <w:b/>
          <w:bCs/>
          <w:sz w:val="16"/>
          <w:szCs w:val="16"/>
        </w:rPr>
        <w:softHyphen/>
        <w:t>ských zahradnictvích je příliš</w:t>
      </w:r>
      <w:r>
        <w:rPr>
          <w:b/>
          <w:bCs/>
          <w:sz w:val="16"/>
          <w:szCs w:val="16"/>
        </w:rPr>
        <w:softHyphen/>
        <w:t>ným zaléváním v</w:t>
      </w:r>
      <w:r>
        <w:rPr>
          <w:b/>
          <w:bCs/>
          <w:sz w:val="16"/>
          <w:szCs w:val="16"/>
        </w:rPr>
        <w:t>odnatá. Je-li po</w:t>
      </w:r>
      <w:r>
        <w:rPr>
          <w:b/>
          <w:bCs/>
          <w:sz w:val="16"/>
          <w:szCs w:val="16"/>
        </w:rPr>
        <w:softHyphen/>
        <w:t>třebí rychle připraviti drůbež, zadusíš ji v-e falernském moštu, aby byla křehká. Houbám sesbí</w:t>
      </w:r>
      <w:r>
        <w:rPr>
          <w:b/>
          <w:bCs/>
          <w:sz w:val="16"/>
          <w:szCs w:val="16"/>
        </w:rPr>
        <w:softHyphen/>
        <w:t>raným na louce jest dáti před</w:t>
      </w:r>
      <w:r>
        <w:rPr>
          <w:b/>
          <w:bCs/>
          <w:sz w:val="16"/>
          <w:szCs w:val="16"/>
        </w:rPr>
        <w:softHyphen/>
        <w:t>nést před jinými. Ostružiny podá</w:t>
      </w:r>
      <w:r>
        <w:rPr>
          <w:b/>
          <w:bCs/>
          <w:sz w:val="16"/>
          <w:szCs w:val="16"/>
        </w:rPr>
        <w:softHyphen/>
        <w:t>vané k zákusku mají se sbírati dříve než je slunce rozpálí. Jako první nápoj se h</w:t>
      </w:r>
      <w:r>
        <w:rPr>
          <w:b/>
          <w:bCs/>
          <w:sz w:val="16"/>
          <w:szCs w:val="16"/>
        </w:rPr>
        <w:t>odí jenom čistá lehká medovina; víno smí přijíti až do plného žaludku. Pečlivě třeba sestaviti další chod pikant</w:t>
      </w:r>
      <w:r>
        <w:rPr>
          <w:b/>
          <w:bCs/>
          <w:sz w:val="16"/>
          <w:szCs w:val="16"/>
        </w:rPr>
        <w:softHyphen/>
        <w:t>ních krmí: slávky a šťovíkový špenát, k tomu bílé víno z Kou podporují trávení. Ústřice, mořští ježci, hřebenatky a iiní měkkýši se musí opatrn</w:t>
      </w:r>
      <w:r>
        <w:rPr>
          <w:b/>
          <w:bCs/>
          <w:sz w:val="16"/>
          <w:szCs w:val="16"/>
        </w:rPr>
        <w:t>ě vybrat a u jed</w:t>
      </w:r>
      <w:r>
        <w:rPr>
          <w:b/>
          <w:bCs/>
          <w:sz w:val="16"/>
          <w:szCs w:val="16"/>
        </w:rPr>
        <w:softHyphen/>
        <w:t>notlivých druhů přihlédnout k jejich původu, jenž je zárukou jakosti. Obecně pak platí, že se mají měkkýši předkládat jen ve dnech, kdy se luna naplňuje. Po</w:t>
      </w:r>
      <w:r>
        <w:rPr>
          <w:b/>
          <w:bCs/>
          <w:sz w:val="16"/>
          <w:szCs w:val="16"/>
        </w:rPr>
        <w:softHyphen/>
      </w:r>
    </w:p>
    <w:p w:rsidR="00500724" w:rsidRDefault="00F30FB8">
      <w:pPr>
        <w:spacing w:line="1" w:lineRule="exact"/>
        <w:rPr>
          <w:sz w:val="2"/>
          <w:szCs w:val="2"/>
        </w:rPr>
      </w:pPr>
      <w:r>
        <w:br w:type="column"/>
      </w:r>
    </w:p>
    <w:p w:rsidR="00500724" w:rsidRDefault="00F30FB8">
      <w:pPr>
        <w:pStyle w:val="Zkladntext40"/>
        <w:shd w:val="clear" w:color="auto" w:fill="auto"/>
        <w:spacing w:after="0" w:line="180" w:lineRule="auto"/>
      </w:pPr>
      <w:r>
        <w:t>mi na tradici Nerudových Zpěvů pátečních, dočkala se zvlášť pro</w:t>
      </w:r>
      <w:r>
        <w:softHyphen/>
        <w:t>nikavého úspěch</w:t>
      </w:r>
      <w:r>
        <w:t>u. A právem, ne</w:t>
      </w:r>
      <w:r>
        <w:softHyphen/>
        <w:t>bot svou svěži melodií, tak ryze českou, veršem prostým a vrou</w:t>
      </w:r>
      <w:r>
        <w:softHyphen/>
        <w:t>cím, je zvlášt blízká srdci náro</w:t>
      </w:r>
      <w:r>
        <w:softHyphen/>
        <w:t>da, jehož stesk i žal, jehož roz</w:t>
      </w:r>
      <w:r>
        <w:softHyphen/>
        <w:t>hovor s rodnou zemi a vlastí, ná</w:t>
      </w:r>
      <w:r>
        <w:softHyphen/>
        <w:t xml:space="preserve">rodem i osudem, vyjadřuje nejen pro přítomné, nýbrž i budoucí. Cena sbírky je </w:t>
      </w:r>
      <w:r>
        <w:t>12 K.</w:t>
      </w:r>
    </w:p>
    <w:p w:rsidR="00500724" w:rsidRDefault="00F30FB8">
      <w:pPr>
        <w:pStyle w:val="Zkladntext1"/>
        <w:shd w:val="clear" w:color="auto" w:fill="auto"/>
        <w:ind w:firstLine="0"/>
        <w:rPr>
          <w:sz w:val="18"/>
          <w:szCs w:val="18"/>
        </w:rPr>
      </w:pPr>
      <w:r>
        <w:rPr>
          <w:b/>
          <w:bCs/>
          <w:smallCaps/>
          <w:sz w:val="18"/>
          <w:szCs w:val="18"/>
        </w:rPr>
        <w:t>mAnesúv odkaz národu</w:t>
      </w:r>
    </w:p>
    <w:p w:rsidR="00500724" w:rsidRDefault="00F30FB8">
      <w:pPr>
        <w:pStyle w:val="Zkladntext40"/>
        <w:shd w:val="clear" w:color="auto" w:fill="auto"/>
        <w:spacing w:after="240"/>
        <w:ind w:firstLine="180"/>
      </w:pPr>
      <w:r>
        <w:t>Nakladatelství Orbis chystá se vydati pod názvem Zemi milo</w:t>
      </w:r>
      <w:r>
        <w:softHyphen/>
        <w:t>vané odkaz jednoho z nejslav</w:t>
      </w:r>
      <w:r>
        <w:softHyphen/>
        <w:t>nějších našich malířů, Josefa Má</w:t>
      </w:r>
      <w:r>
        <w:softHyphen/>
        <w:t>nesa. Jak už název naznačuje, bude zde shrnuta především ona část Mánesova díla, kde tento geniální umělec s</w:t>
      </w:r>
      <w:r>
        <w:t>loužil své vlasti a národu, vytvářeje tu výtvarný doprovod k národním písním, ilu</w:t>
      </w:r>
      <w:r>
        <w:softHyphen/>
        <w:t>strace k rukopisu, obrazy z čes</w:t>
      </w:r>
      <w:r>
        <w:softHyphen/>
        <w:t>kých dějin a nezapomenutelný cyklus měsíců pro Staroměstský orloj, kde zachytil jedinečně a nezapomenutelně rytmus života českého lidu v kolob</w:t>
      </w:r>
      <w:r>
        <w:t>ěhu roku. Právě na této části Mánesova díla visíme, mluveno slovy Milo</w:t>
      </w:r>
      <w:r>
        <w:softHyphen/>
        <w:t>še Jiránka, jako na nejdražším dědictví. Kniha, kterou připra</w:t>
      </w:r>
      <w:r>
        <w:softHyphen/>
        <w:t>vuje Orbis za redakce Fr. Kovár</w:t>
      </w:r>
      <w:r>
        <w:softHyphen/>
        <w:t>ny, bude obsahovat na 120 repro</w:t>
      </w:r>
      <w:r>
        <w:softHyphen/>
        <w:t xml:space="preserve">dukcí, uspořádaných ve 4 částech pod hesly: Vlast a národ, </w:t>
      </w:r>
      <w:r>
        <w:t>Česká píseň, Světci a hrdinové a Český rok.</w:t>
      </w:r>
    </w:p>
    <w:p w:rsidR="00500724" w:rsidRDefault="00F30FB8">
      <w:pPr>
        <w:pStyle w:val="Zkladntext40"/>
        <w:shd w:val="clear" w:color="auto" w:fill="auto"/>
        <w:spacing w:after="0" w:line="173" w:lineRule="auto"/>
        <w:rPr>
          <w:sz w:val="16"/>
          <w:szCs w:val="16"/>
        </w:rPr>
      </w:pPr>
      <w:r>
        <w:rPr>
          <w:b/>
          <w:bCs/>
          <w:sz w:val="16"/>
          <w:szCs w:val="16"/>
        </w:rPr>
        <w:t>kud jde o vlastní obsah hostiny, tedy jemný znalec nesmí prostě jen hromadit na stůl krmě, byť vzácné; nejde jen o chuť a vzhled, ale také o správné míše</w:t>
      </w:r>
      <w:r>
        <w:rPr>
          <w:b/>
          <w:bCs/>
          <w:sz w:val="16"/>
          <w:szCs w:val="16"/>
        </w:rPr>
        <w:softHyphen/>
        <w:t>ní vůní. Stejně důležitá je správ</w:t>
      </w:r>
      <w:r>
        <w:rPr>
          <w:b/>
          <w:bCs/>
          <w:sz w:val="16"/>
          <w:szCs w:val="16"/>
        </w:rPr>
        <w:softHyphen/>
        <w:t>ná volba příkrmů, šťáv a</w:t>
      </w:r>
      <w:r>
        <w:rPr>
          <w:b/>
          <w:bCs/>
          <w:sz w:val="16"/>
          <w:szCs w:val="16"/>
        </w:rPr>
        <w:t xml:space="preserve"> omá</w:t>
      </w:r>
      <w:r>
        <w:rPr>
          <w:b/>
          <w:bCs/>
          <w:sz w:val="16"/>
          <w:szCs w:val="16"/>
        </w:rPr>
        <w:softHyphen/>
        <w:t>ček. Kanci maso je lepší z Um- brie, kde se tato zvěř živí v le</w:t>
      </w:r>
      <w:r>
        <w:rPr>
          <w:b/>
          <w:bCs/>
          <w:sz w:val="16"/>
          <w:szCs w:val="16"/>
        </w:rPr>
        <w:softHyphen/>
        <w:t>sích žaludy, než z hvozdů, kde nachází hlavně jen rákosí. Srnčí ohlodávající keře na vinicích nemá chutné maso. Ze zajíce po</w:t>
      </w:r>
      <w:r>
        <w:rPr>
          <w:b/>
          <w:bCs/>
          <w:sz w:val="16"/>
          <w:szCs w:val="16"/>
        </w:rPr>
        <w:softHyphen/>
        <w:t>chutná si znalec hlavně na hřbe</w:t>
      </w:r>
      <w:r>
        <w:rPr>
          <w:b/>
          <w:bCs/>
          <w:sz w:val="16"/>
          <w:szCs w:val="16"/>
        </w:rPr>
        <w:softHyphen/>
        <w:t xml:space="preserve">tu. Ryby a drůbež vyžadují si </w:t>
      </w:r>
      <w:r>
        <w:rPr>
          <w:b/>
          <w:bCs/>
          <w:sz w:val="16"/>
          <w:szCs w:val="16"/>
        </w:rPr>
        <w:t>zvlášť opatrné volby druhů a příprav se stálým ohledem na roční dobu; zejména pak u ryb třeba dbáti o volbu vhodného oleje, na němž byly smaženy nebo pečeny. — Odstavec pro sebe tvořily omáčky a mayon- naisy. »Prostá« sestávala z čerst</w:t>
      </w:r>
      <w:r>
        <w:rPr>
          <w:b/>
          <w:bCs/>
          <w:sz w:val="16"/>
          <w:szCs w:val="16"/>
        </w:rPr>
        <w:softHyphen/>
        <w:t>vého olivového oleje</w:t>
      </w:r>
      <w:r>
        <w:rPr>
          <w:b/>
          <w:bCs/>
          <w:sz w:val="16"/>
          <w:szCs w:val="16"/>
        </w:rPr>
        <w:t>, silného ví</w:t>
      </w:r>
      <w:r>
        <w:rPr>
          <w:b/>
          <w:bCs/>
          <w:sz w:val="16"/>
          <w:szCs w:val="16"/>
        </w:rPr>
        <w:softHyphen/>
        <w:t>na a rybího láku byzantského (z naložených černomořských ryb); přimísilo se trochu koření dodá</w:t>
      </w:r>
      <w:r>
        <w:rPr>
          <w:b/>
          <w:bCs/>
          <w:sz w:val="16"/>
          <w:szCs w:val="16"/>
        </w:rPr>
        <w:softHyphen/>
        <w:t>vajícího vůni a jakmile přešel var, přisypalo se trochu nejjem</w:t>
      </w:r>
      <w:r>
        <w:rPr>
          <w:b/>
          <w:bCs/>
          <w:sz w:val="16"/>
          <w:szCs w:val="16"/>
        </w:rPr>
        <w:softHyphen/>
        <w:t>nějšího šafránu a navrch se ještě přidalo několik kapek zvlá</w:t>
      </w:r>
      <w:r>
        <w:rPr>
          <w:b/>
          <w:bCs/>
          <w:sz w:val="16"/>
          <w:szCs w:val="16"/>
        </w:rPr>
        <w:softHyphen/>
        <w:t>ště jemného olivového ol</w:t>
      </w:r>
      <w:r>
        <w:rPr>
          <w:b/>
          <w:bCs/>
          <w:sz w:val="16"/>
          <w:szCs w:val="16"/>
        </w:rPr>
        <w:t>eje.</w:t>
      </w:r>
    </w:p>
    <w:p w:rsidR="00500724" w:rsidRDefault="00F30FB8">
      <w:pPr>
        <w:pStyle w:val="Zkladntext40"/>
        <w:shd w:val="clear" w:color="auto" w:fill="auto"/>
        <w:spacing w:after="140" w:line="173" w:lineRule="auto"/>
        <w:ind w:firstLine="180"/>
        <w:rPr>
          <w:sz w:val="16"/>
          <w:szCs w:val="16"/>
        </w:rPr>
      </w:pPr>
      <w:r>
        <w:rPr>
          <w:b/>
          <w:bCs/>
          <w:sz w:val="16"/>
          <w:szCs w:val="16"/>
        </w:rPr>
        <w:t>Čím složitější se stával vlastní pořad jídel, nebo čím větší úkol kladla tato jídla na výkon zaží</w:t>
      </w:r>
      <w:r>
        <w:rPr>
          <w:b/>
          <w:bCs/>
          <w:sz w:val="16"/>
          <w:szCs w:val="16"/>
        </w:rPr>
        <w:softHyphen/>
        <w:t>vacích ústrojí, tím pečlivěji se přihlíželo k vhodnému výběru předkrmů, od nichž se žádalo</w:t>
      </w:r>
    </w:p>
    <w:p w:rsidR="00500724" w:rsidRDefault="00F30FB8">
      <w:pPr>
        <w:spacing w:line="1" w:lineRule="exact"/>
        <w:rPr>
          <w:sz w:val="2"/>
          <w:szCs w:val="2"/>
        </w:rPr>
      </w:pPr>
      <w:r>
        <w:br w:type="column"/>
      </w:r>
    </w:p>
    <w:p w:rsidR="00500724" w:rsidRDefault="00F30FB8">
      <w:pPr>
        <w:pStyle w:val="Zkladntext1"/>
        <w:shd w:val="clear" w:color="auto" w:fill="auto"/>
        <w:spacing w:after="40" w:line="182" w:lineRule="auto"/>
        <w:ind w:firstLine="0"/>
        <w:rPr>
          <w:sz w:val="20"/>
          <w:szCs w:val="20"/>
        </w:rPr>
      </w:pPr>
      <w:r>
        <w:rPr>
          <w:i/>
          <w:iCs/>
          <w:sz w:val="20"/>
          <w:szCs w:val="20"/>
        </w:rPr>
        <w:t>Jan Chlum:</w:t>
      </w:r>
    </w:p>
    <w:p w:rsidR="00500724" w:rsidRDefault="00F30FB8">
      <w:pPr>
        <w:pStyle w:val="Zkladntext1"/>
        <w:shd w:val="clear" w:color="auto" w:fill="auto"/>
        <w:spacing w:after="40" w:line="226" w:lineRule="auto"/>
        <w:ind w:right="840" w:firstLine="0"/>
        <w:jc w:val="left"/>
        <w:rPr>
          <w:sz w:val="20"/>
          <w:szCs w:val="20"/>
        </w:rPr>
      </w:pPr>
      <w:r>
        <w:rPr>
          <w:i/>
          <w:iCs/>
          <w:sz w:val="20"/>
          <w:szCs w:val="20"/>
        </w:rPr>
        <w:t>MEZI POLITIKOU A KULTUROU</w:t>
      </w:r>
    </w:p>
    <w:p w:rsidR="00500724" w:rsidRDefault="00F30FB8">
      <w:pPr>
        <w:pStyle w:val="Zkladntext1"/>
        <w:shd w:val="clear" w:color="auto" w:fill="auto"/>
        <w:spacing w:line="182" w:lineRule="auto"/>
        <w:rPr>
          <w:sz w:val="20"/>
          <w:szCs w:val="20"/>
        </w:rPr>
      </w:pPr>
      <w:r>
        <w:rPr>
          <w:i/>
          <w:iCs/>
          <w:sz w:val="20"/>
          <w:szCs w:val="20"/>
        </w:rPr>
        <w:t xml:space="preserve">Na české kultuře se </w:t>
      </w:r>
      <w:r>
        <w:rPr>
          <w:i/>
          <w:iCs/>
          <w:sz w:val="20"/>
          <w:szCs w:val="20"/>
        </w:rPr>
        <w:t>dnes žádá, aby se vypořádala se změnou, která nastala v po</w:t>
      </w:r>
      <w:r>
        <w:rPr>
          <w:i/>
          <w:iCs/>
          <w:sz w:val="20"/>
          <w:szCs w:val="20"/>
        </w:rPr>
        <w:softHyphen/>
        <w:t>litických osudech národa. Hlasy, které ji kladou tento úkol, neozývají se jen u Němců, ale zaslechli jsme je i z některých českých úst. Slyšeli jsme slova o dějin</w:t>
      </w:r>
      <w:r>
        <w:rPr>
          <w:i/>
          <w:iCs/>
          <w:sz w:val="20"/>
          <w:szCs w:val="20"/>
        </w:rPr>
        <w:softHyphen/>
        <w:t>ném dědictví svaté říše řím</w:t>
      </w:r>
      <w:r>
        <w:rPr>
          <w:i/>
          <w:iCs/>
          <w:sz w:val="20"/>
          <w:szCs w:val="20"/>
        </w:rPr>
        <w:softHyphen/>
        <w:t>ské, k</w:t>
      </w:r>
      <w:r>
        <w:rPr>
          <w:i/>
          <w:iCs/>
          <w:sz w:val="20"/>
          <w:szCs w:val="20"/>
        </w:rPr>
        <w:t>teré prý třeba obno</w:t>
      </w:r>
      <w:r>
        <w:rPr>
          <w:i/>
          <w:iCs/>
          <w:sz w:val="20"/>
          <w:szCs w:val="20"/>
        </w:rPr>
        <w:softHyphen/>
        <w:t>viti. Jiní promluvili k nám o tom, že je potřebí navždy opustiti Palackého thesi o odvěkém zápolení Cechů s Němci, a nahraditi ji klad</w:t>
      </w:r>
      <w:r>
        <w:rPr>
          <w:i/>
          <w:iCs/>
          <w:sz w:val="20"/>
          <w:szCs w:val="20"/>
        </w:rPr>
        <w:softHyphen/>
        <w:t>ným pojetím spolužití obou národů. Vyrovnat se oprav</w:t>
      </w:r>
      <w:r>
        <w:rPr>
          <w:i/>
          <w:iCs/>
          <w:sz w:val="20"/>
          <w:szCs w:val="20"/>
        </w:rPr>
        <w:softHyphen/>
        <w:t xml:space="preserve">du duchovně s otřesnými událostmi poslední doby </w:t>
      </w:r>
      <w:r>
        <w:rPr>
          <w:i/>
          <w:iCs/>
          <w:sz w:val="20"/>
          <w:szCs w:val="20"/>
        </w:rPr>
        <w:t>a s jejich důsledky není však věc, kterou by bylo lze vy</w:t>
      </w:r>
      <w:r>
        <w:rPr>
          <w:i/>
          <w:iCs/>
          <w:sz w:val="20"/>
          <w:szCs w:val="20"/>
        </w:rPr>
        <w:softHyphen/>
        <w:t>konat se dne na den. Nevy</w:t>
      </w:r>
      <w:r>
        <w:rPr>
          <w:i/>
          <w:iCs/>
          <w:sz w:val="20"/>
          <w:szCs w:val="20"/>
        </w:rPr>
        <w:softHyphen/>
        <w:t>řeší ji ani horliví političtí úvodnikáři, ani resoluce po</w:t>
      </w:r>
      <w:r>
        <w:rPr>
          <w:i/>
          <w:iCs/>
          <w:sz w:val="20"/>
          <w:szCs w:val="20"/>
        </w:rPr>
        <w:softHyphen/>
        <w:t>litických skupin, ani řeči státníků. K provedení tohoto úkolu je zapotřebí, aby byly bezpodmínečně splněny ur</w:t>
      </w:r>
      <w:r>
        <w:rPr>
          <w:i/>
          <w:iCs/>
          <w:sz w:val="20"/>
          <w:szCs w:val="20"/>
        </w:rPr>
        <w:softHyphen/>
        <w:t xml:space="preserve">čité </w:t>
      </w:r>
      <w:r>
        <w:rPr>
          <w:i/>
          <w:iCs/>
          <w:sz w:val="20"/>
          <w:szCs w:val="20"/>
        </w:rPr>
        <w:t>předpoklady.</w:t>
      </w:r>
    </w:p>
    <w:p w:rsidR="00500724" w:rsidRDefault="00F30FB8">
      <w:pPr>
        <w:pStyle w:val="Zkladntext1"/>
        <w:shd w:val="clear" w:color="auto" w:fill="auto"/>
        <w:spacing w:after="240" w:line="182" w:lineRule="auto"/>
        <w:rPr>
          <w:sz w:val="20"/>
          <w:szCs w:val="20"/>
        </w:rPr>
      </w:pPr>
      <w:r>
        <w:rPr>
          <w:i/>
          <w:iCs/>
          <w:sz w:val="20"/>
          <w:szCs w:val="20"/>
        </w:rPr>
        <w:t>Nikoli nejmenším z těchto předpokladů je čas, který dá problémům s tímto úko</w:t>
      </w:r>
      <w:r>
        <w:rPr>
          <w:i/>
          <w:iCs/>
          <w:sz w:val="20"/>
          <w:szCs w:val="20"/>
        </w:rPr>
        <w:softHyphen/>
        <w:t>lem spojeným dozráti. Jen čas umožní, aby se rozpo</w:t>
      </w:r>
      <w:r>
        <w:rPr>
          <w:i/>
          <w:iCs/>
          <w:sz w:val="20"/>
          <w:szCs w:val="20"/>
        </w:rPr>
        <w:softHyphen/>
        <w:t>znalo, co na udlostech sluší</w:t>
      </w:r>
    </w:p>
    <w:p w:rsidR="00500724" w:rsidRDefault="00F30FB8">
      <w:pPr>
        <w:pStyle w:val="Zkladntext40"/>
        <w:shd w:val="clear" w:color="auto" w:fill="auto"/>
        <w:spacing w:after="140" w:line="173" w:lineRule="auto"/>
        <w:rPr>
          <w:sz w:val="16"/>
          <w:szCs w:val="16"/>
        </w:rPr>
      </w:pPr>
      <w:r>
        <w:rPr>
          <w:b/>
          <w:bCs/>
          <w:sz w:val="16"/>
          <w:szCs w:val="16"/>
        </w:rPr>
        <w:t>především, aby podněcovaly trá</w:t>
      </w:r>
      <w:r>
        <w:rPr>
          <w:b/>
          <w:bCs/>
          <w:sz w:val="16"/>
          <w:szCs w:val="16"/>
        </w:rPr>
        <w:softHyphen/>
        <w:t>vení. Praktické zkušenosti se tu pojily s úvahami odbor</w:t>
      </w:r>
      <w:r>
        <w:rPr>
          <w:b/>
          <w:bCs/>
          <w:sz w:val="16"/>
          <w:szCs w:val="16"/>
        </w:rPr>
        <w:t>ně lékař</w:t>
      </w:r>
      <w:r>
        <w:rPr>
          <w:b/>
          <w:bCs/>
          <w:sz w:val="16"/>
          <w:szCs w:val="16"/>
        </w:rPr>
        <w:softHyphen/>
        <w:t>skými a přírodovědnými; umění kulinářskému pak zůstaveno se</w:t>
      </w:r>
      <w:r>
        <w:rPr>
          <w:b/>
          <w:bCs/>
          <w:sz w:val="16"/>
          <w:szCs w:val="16"/>
        </w:rPr>
        <w:softHyphen/>
        <w:t>stavovat! z jednotlivých ingre</w:t>
      </w:r>
      <w:r>
        <w:rPr>
          <w:b/>
          <w:bCs/>
          <w:sz w:val="16"/>
          <w:szCs w:val="16"/>
        </w:rPr>
        <w:softHyphen/>
        <w:t>diencí rozmanité složité kaše, bouillony, předkrmové mísy atd. Středoevropští a severští kucha</w:t>
      </w:r>
      <w:r>
        <w:rPr>
          <w:b/>
          <w:bCs/>
          <w:sz w:val="16"/>
          <w:szCs w:val="16"/>
        </w:rPr>
        <w:softHyphen/>
        <w:t>ři by byli velmi překvapeni, že se k přípravě masitých a mouč</w:t>
      </w:r>
      <w:r>
        <w:rPr>
          <w:b/>
          <w:bCs/>
          <w:sz w:val="16"/>
          <w:szCs w:val="16"/>
        </w:rPr>
        <w:softHyphen/>
        <w:t>ných jídel neužívalo zvířecích tuků, tak oblíbených v starém Orientě. Tak na př. máslo bylo ve staré Itali! jen lékem, nikoliv potravou, ani prostředkem při úpravě pokrmů. Hojné a pestré byly přísady koření: vedle domá</w:t>
      </w:r>
      <w:r>
        <w:rPr>
          <w:b/>
          <w:bCs/>
          <w:sz w:val="16"/>
          <w:szCs w:val="16"/>
        </w:rPr>
        <w:softHyphen/>
        <w:t>cích, jako anýz, máta, fenykl, koria</w:t>
      </w:r>
      <w:r>
        <w:rPr>
          <w:b/>
          <w:bCs/>
          <w:sz w:val="16"/>
          <w:szCs w:val="16"/>
        </w:rPr>
        <w:t>ndr, kmín, přibírány postup</w:t>
      </w:r>
      <w:r>
        <w:rPr>
          <w:b/>
          <w:bCs/>
          <w:sz w:val="16"/>
          <w:szCs w:val="16"/>
        </w:rPr>
        <w:softHyphen/>
        <w:t>ně cizí druhy, některé dovážené, jiné uměle přenesené a doma pě</w:t>
      </w:r>
      <w:r>
        <w:rPr>
          <w:b/>
          <w:bCs/>
          <w:sz w:val="16"/>
          <w:szCs w:val="16"/>
        </w:rPr>
        <w:softHyphen/>
        <w:t>stěné. K nim patří petržel, jiné druhy kmínu, tymián, hořčice, pepř, zázvor, skořice, silfium. Rozmanitými kombinacemi pří</w:t>
      </w:r>
      <w:r>
        <w:rPr>
          <w:b/>
          <w:bCs/>
          <w:sz w:val="16"/>
          <w:szCs w:val="16"/>
        </w:rPr>
        <w:softHyphen/>
        <w:t>sad a způsobů přípravy dosaho</w:t>
      </w:r>
      <w:r>
        <w:rPr>
          <w:b/>
          <w:bCs/>
          <w:sz w:val="16"/>
          <w:szCs w:val="16"/>
        </w:rPr>
        <w:softHyphen/>
        <w:t>valo se vše</w:t>
      </w:r>
      <w:r>
        <w:rPr>
          <w:b/>
          <w:bCs/>
          <w:sz w:val="16"/>
          <w:szCs w:val="16"/>
        </w:rPr>
        <w:t>lijakých podivností, jimiž se obyčejně základní jídlo proměňovalo v naprosto rozdíl</w:t>
      </w:r>
      <w:r>
        <w:rPr>
          <w:b/>
          <w:bCs/>
          <w:sz w:val="16"/>
          <w:szCs w:val="16"/>
        </w:rPr>
        <w:softHyphen/>
        <w:t>né krmě, zcela odchylného vze</w:t>
      </w:r>
      <w:r>
        <w:rPr>
          <w:b/>
          <w:bCs/>
          <w:sz w:val="16"/>
          <w:szCs w:val="16"/>
        </w:rPr>
        <w:softHyphen/>
        <w:t>zření, chuti, vůně atd. Tak na př. poznamenává Flinius, že bylo 50 způsobů úpravy kančího ma</w:t>
      </w:r>
      <w:r>
        <w:rPr>
          <w:b/>
          <w:bCs/>
          <w:sz w:val="16"/>
          <w:szCs w:val="16"/>
        </w:rPr>
        <w:softHyphen/>
        <w:t xml:space="preserve">sa. Jindy se~ zase připravila celá bohatá večeře </w:t>
      </w:r>
      <w:r>
        <w:rPr>
          <w:b/>
          <w:bCs/>
          <w:sz w:val="16"/>
          <w:szCs w:val="16"/>
        </w:rPr>
        <w:t>různou přípravou tykve. Mistři kuchařského umění si zakládali na tom, že překládá-</w:t>
      </w:r>
      <w:r>
        <w:br w:type="page"/>
      </w:r>
    </w:p>
    <w:p w:rsidR="00500724" w:rsidRDefault="00F30FB8">
      <w:pPr>
        <w:pStyle w:val="Zkladntext1"/>
        <w:shd w:val="clear" w:color="auto" w:fill="auto"/>
        <w:spacing w:line="182" w:lineRule="auto"/>
        <w:ind w:firstLine="0"/>
        <w:rPr>
          <w:sz w:val="20"/>
          <w:szCs w:val="20"/>
        </w:rPr>
      </w:pPr>
      <w:r>
        <w:rPr>
          <w:i/>
          <w:iCs/>
          <w:sz w:val="20"/>
          <w:szCs w:val="20"/>
        </w:rPr>
        <w:t>připsatt složkám a dějům povahy trvalé a podstatné a co jest jen výsledkem ná</w:t>
      </w:r>
      <w:r>
        <w:rPr>
          <w:i/>
          <w:iCs/>
          <w:sz w:val="20"/>
          <w:szCs w:val="20"/>
        </w:rPr>
        <w:softHyphen/>
        <w:t>hodného shluku okolností, dějinnou oklikou, udáním. Není věcí kultury, aby se beu prodlení při</w:t>
      </w:r>
      <w:r>
        <w:rPr>
          <w:i/>
          <w:iCs/>
          <w:sz w:val="20"/>
          <w:szCs w:val="20"/>
        </w:rPr>
        <w:t>způsobovala každé změně politické kon</w:t>
      </w:r>
      <w:r>
        <w:rPr>
          <w:i/>
          <w:iCs/>
          <w:sz w:val="20"/>
          <w:szCs w:val="20"/>
        </w:rPr>
        <w:softHyphen/>
        <w:t>stelace a aby ji učinila vý- chodskem nových koncepcí. Oportunismus není vlast</w:t>
      </w:r>
      <w:r>
        <w:rPr>
          <w:i/>
          <w:iCs/>
          <w:sz w:val="20"/>
          <w:szCs w:val="20"/>
        </w:rPr>
        <w:softHyphen/>
        <w:t>ností kultury, naopak, jest něčím hluboce neduchovním. Ideje se nemění pod kdeja</w:t>
      </w:r>
      <w:r>
        <w:rPr>
          <w:i/>
          <w:iCs/>
          <w:sz w:val="20"/>
          <w:szCs w:val="20"/>
        </w:rPr>
        <w:softHyphen/>
        <w:t>kým závanem větru. Sku</w:t>
      </w:r>
      <w:r>
        <w:rPr>
          <w:i/>
          <w:iCs/>
          <w:sz w:val="20"/>
          <w:szCs w:val="20"/>
        </w:rPr>
        <w:softHyphen/>
        <w:t>tečné převraty v oboru du</w:t>
      </w:r>
      <w:r>
        <w:rPr>
          <w:i/>
          <w:iCs/>
          <w:sz w:val="20"/>
          <w:szCs w:val="20"/>
        </w:rPr>
        <w:softHyphen/>
        <w:t xml:space="preserve">cha jsou </w:t>
      </w:r>
      <w:r>
        <w:rPr>
          <w:i/>
          <w:iCs/>
          <w:sz w:val="20"/>
          <w:szCs w:val="20"/>
        </w:rPr>
        <w:t>výsledkem hlubo</w:t>
      </w:r>
      <w:r>
        <w:rPr>
          <w:i/>
          <w:iCs/>
          <w:sz w:val="20"/>
          <w:szCs w:val="20"/>
        </w:rPr>
        <w:softHyphen/>
        <w:t>kých, dlouho trvajících pro</w:t>
      </w:r>
      <w:r>
        <w:rPr>
          <w:i/>
          <w:iCs/>
          <w:sz w:val="20"/>
          <w:szCs w:val="20"/>
        </w:rPr>
        <w:softHyphen/>
        <w:t>cesů, v nichž historické udá</w:t>
      </w:r>
      <w:r>
        <w:rPr>
          <w:i/>
          <w:iCs/>
          <w:sz w:val="20"/>
          <w:szCs w:val="20"/>
        </w:rPr>
        <w:softHyphen/>
        <w:t>losti mívají často jen hod</w:t>
      </w:r>
      <w:r>
        <w:rPr>
          <w:i/>
          <w:iCs/>
          <w:sz w:val="20"/>
          <w:szCs w:val="20"/>
        </w:rPr>
        <w:softHyphen/>
        <w:t>notu episody.</w:t>
      </w:r>
    </w:p>
    <w:p w:rsidR="00500724" w:rsidRDefault="00F30FB8">
      <w:pPr>
        <w:pStyle w:val="Zkladntext1"/>
        <w:shd w:val="clear" w:color="auto" w:fill="auto"/>
        <w:spacing w:after="200" w:line="182" w:lineRule="auto"/>
        <w:ind w:firstLine="180"/>
        <w:rPr>
          <w:sz w:val="20"/>
          <w:szCs w:val="20"/>
        </w:rPr>
      </w:pPr>
      <w:r>
        <w:rPr>
          <w:i/>
          <w:iCs/>
          <w:sz w:val="20"/>
          <w:szCs w:val="20"/>
        </w:rPr>
        <w:t>Jiným důležitým předpo</w:t>
      </w:r>
      <w:r>
        <w:rPr>
          <w:i/>
          <w:iCs/>
          <w:sz w:val="20"/>
          <w:szCs w:val="20"/>
        </w:rPr>
        <w:softHyphen/>
        <w:t>kladem pro hlubokou a pro</w:t>
      </w:r>
      <w:r>
        <w:rPr>
          <w:i/>
          <w:iCs/>
          <w:sz w:val="20"/>
          <w:szCs w:val="20"/>
        </w:rPr>
        <w:softHyphen/>
        <w:t>nikavou revisi duchovních hodnot národa jest svo</w:t>
      </w:r>
      <w:r>
        <w:rPr>
          <w:i/>
          <w:iCs/>
          <w:sz w:val="20"/>
          <w:szCs w:val="20"/>
        </w:rPr>
        <w:softHyphen/>
        <w:t>boda. Nemíníme tím svo</w:t>
      </w:r>
      <w:r>
        <w:rPr>
          <w:i/>
          <w:iCs/>
          <w:sz w:val="20"/>
          <w:szCs w:val="20"/>
        </w:rPr>
        <w:softHyphen/>
        <w:t xml:space="preserve">bodu politickou, ale </w:t>
      </w:r>
      <w:r>
        <w:rPr>
          <w:i/>
          <w:iCs/>
          <w:sz w:val="20"/>
          <w:szCs w:val="20"/>
        </w:rPr>
        <w:t>svobodu zkoumání všech složek, pří</w:t>
      </w:r>
      <w:r>
        <w:rPr>
          <w:i/>
          <w:iCs/>
          <w:sz w:val="20"/>
          <w:szCs w:val="20"/>
        </w:rPr>
        <w:softHyphen/>
        <w:t>čin, pramenů i myšlenek, ne</w:t>
      </w:r>
      <w:r>
        <w:rPr>
          <w:i/>
          <w:iCs/>
          <w:sz w:val="20"/>
          <w:szCs w:val="20"/>
        </w:rPr>
        <w:softHyphen/>
        <w:t>závislé, jakéhokoliv vnějšího tlaku prosté uvažování všech momentů, které mohou roz</w:t>
      </w:r>
      <w:r>
        <w:rPr>
          <w:i/>
          <w:iCs/>
          <w:sz w:val="20"/>
          <w:szCs w:val="20"/>
        </w:rPr>
        <w:softHyphen/>
        <w:t>hodnouti při konečném sou</w:t>
      </w:r>
      <w:r>
        <w:rPr>
          <w:i/>
          <w:iCs/>
          <w:sz w:val="20"/>
          <w:szCs w:val="20"/>
        </w:rPr>
        <w:softHyphen/>
        <w:t>du o historickém vývoji a o jeho důsledcích pro kul</w:t>
      </w:r>
      <w:r>
        <w:rPr>
          <w:i/>
          <w:iCs/>
          <w:sz w:val="20"/>
          <w:szCs w:val="20"/>
        </w:rPr>
        <w:softHyphen/>
        <w:t>turu. Není věcí kultury, aby př</w:t>
      </w:r>
      <w:r>
        <w:rPr>
          <w:i/>
          <w:iCs/>
          <w:sz w:val="20"/>
          <w:szCs w:val="20"/>
        </w:rPr>
        <w:t>isluhovala veřejnosti. Plo</w:t>
      </w:r>
      <w:r>
        <w:rPr>
          <w:i/>
          <w:iCs/>
          <w:sz w:val="20"/>
          <w:szCs w:val="20"/>
        </w:rPr>
        <w:softHyphen/>
        <w:t>dy jejího úsilí, získané s vy</w:t>
      </w:r>
      <w:r>
        <w:rPr>
          <w:i/>
          <w:iCs/>
          <w:sz w:val="20"/>
          <w:szCs w:val="20"/>
        </w:rPr>
        <w:softHyphen/>
        <w:t>naložením všech duchovních sil a prostředků, budou ko</w:t>
      </w:r>
      <w:r>
        <w:rPr>
          <w:i/>
          <w:iCs/>
          <w:sz w:val="20"/>
          <w:szCs w:val="20"/>
        </w:rPr>
        <w:softHyphen/>
        <w:t>nec konců na prospěch ná</w:t>
      </w:r>
      <w:r>
        <w:rPr>
          <w:i/>
          <w:iCs/>
          <w:sz w:val="20"/>
          <w:szCs w:val="20"/>
        </w:rPr>
        <w:softHyphen/>
        <w:t>rodu a jeho politické praksi. Pod tlakem a nátlakem mo</w:t>
      </w:r>
      <w:r>
        <w:rPr>
          <w:i/>
          <w:iCs/>
          <w:sz w:val="20"/>
          <w:szCs w:val="20"/>
        </w:rPr>
        <w:softHyphen/>
        <w:t>hou se zroditi jen zrůdy, patvory, plody úřední horli</w:t>
      </w:r>
      <w:r>
        <w:rPr>
          <w:i/>
          <w:iCs/>
          <w:sz w:val="20"/>
          <w:szCs w:val="20"/>
        </w:rPr>
        <w:softHyphen/>
        <w:t>vosti, niko</w:t>
      </w:r>
      <w:r>
        <w:rPr>
          <w:i/>
          <w:iCs/>
          <w:sz w:val="20"/>
          <w:szCs w:val="20"/>
        </w:rPr>
        <w:t>liv díla a ideje povahy trvalé. Legitimaci pro tento úkol nemohou ti,</w:t>
      </w:r>
    </w:p>
    <w:p w:rsidR="00500724" w:rsidRDefault="00F30FB8">
      <w:pPr>
        <w:pStyle w:val="Zkladntext40"/>
        <w:shd w:val="clear" w:color="auto" w:fill="auto"/>
        <w:spacing w:after="100" w:line="173" w:lineRule="auto"/>
        <w:rPr>
          <w:sz w:val="16"/>
          <w:szCs w:val="16"/>
        </w:rPr>
      </w:pPr>
      <w:r>
        <w:rPr>
          <w:b/>
          <w:bCs/>
          <w:sz w:val="16"/>
          <w:szCs w:val="16"/>
        </w:rPr>
        <w:t>11 jídla, u nichž nikdo nedovedl poznati jejich původ. V určité době dostoupilo jedlictví takové míry, že nepomáhala ani přípra</w:t>
      </w:r>
      <w:r>
        <w:rPr>
          <w:b/>
          <w:bCs/>
          <w:sz w:val="16"/>
          <w:szCs w:val="16"/>
        </w:rPr>
        <w:softHyphen/>
        <w:t xml:space="preserve">va jídel sebe promyšlenější a bylo nutno pravidelně </w:t>
      </w:r>
      <w:r>
        <w:rPr>
          <w:b/>
          <w:bCs/>
          <w:sz w:val="16"/>
          <w:szCs w:val="16"/>
        </w:rPr>
        <w:t>užívat! dávících prostředků. Seneka se drasticky zmiňuje o lidech, kteří dávili, aby mohli jisti, a jedli, aby mohli dáviti. Bylo-li tolik ohledů při výběru a úpravé jídel, věnovala se pochopitelně nemen</w:t>
      </w:r>
      <w:r>
        <w:rPr>
          <w:b/>
          <w:bCs/>
          <w:sz w:val="16"/>
          <w:szCs w:val="16"/>
        </w:rPr>
        <w:softHyphen/>
      </w:r>
      <w:r>
        <w:rPr>
          <w:sz w:val="18"/>
          <w:szCs w:val="18"/>
        </w:rPr>
        <w:t xml:space="preserve">ši </w:t>
      </w:r>
      <w:r>
        <w:rPr>
          <w:b/>
          <w:bCs/>
          <w:sz w:val="16"/>
          <w:szCs w:val="16"/>
        </w:rPr>
        <w:t>péče stolu a stolničení. I u Ří</w:t>
      </w:r>
      <w:r>
        <w:rPr>
          <w:b/>
          <w:bCs/>
          <w:sz w:val="16"/>
          <w:szCs w:val="16"/>
        </w:rPr>
        <w:softHyphen/>
        <w:t>manů se původně p</w:t>
      </w:r>
      <w:r>
        <w:rPr>
          <w:b/>
          <w:bCs/>
          <w:sz w:val="16"/>
          <w:szCs w:val="16"/>
        </w:rPr>
        <w:t>ři jídle sedě</w:t>
      </w:r>
      <w:r>
        <w:rPr>
          <w:b/>
          <w:bCs/>
          <w:sz w:val="16"/>
          <w:szCs w:val="16"/>
        </w:rPr>
        <w:softHyphen/>
        <w:t>lo, ale patrně etruským vlivem se časem rozšířil zvyk, že se při obřadných hostinách a v domác</w:t>
      </w:r>
      <w:r>
        <w:rPr>
          <w:b/>
          <w:bCs/>
          <w:sz w:val="16"/>
          <w:szCs w:val="16"/>
        </w:rPr>
        <w:softHyphen/>
        <w:t>nostech dbajících na společen</w:t>
      </w:r>
      <w:r>
        <w:rPr>
          <w:b/>
          <w:bCs/>
          <w:sz w:val="16"/>
          <w:szCs w:val="16"/>
        </w:rPr>
        <w:softHyphen/>
        <w:t>skou úroveň při jídle leželo. Dlou</w:t>
      </w:r>
      <w:r>
        <w:rPr>
          <w:b/>
          <w:bCs/>
          <w:sz w:val="16"/>
          <w:szCs w:val="16"/>
        </w:rPr>
        <w:softHyphen/>
        <w:t>ho však to bylo vyhrazeno jenom mužům, kdežto ženy nadále při jídle sedély, alespo</w:t>
      </w:r>
      <w:r>
        <w:rPr>
          <w:b/>
          <w:bCs/>
          <w:sz w:val="16"/>
          <w:szCs w:val="16"/>
        </w:rPr>
        <w:t>ň ženy dbají</w:t>
      </w:r>
      <w:r>
        <w:rPr>
          <w:b/>
          <w:bCs/>
          <w:sz w:val="16"/>
          <w:szCs w:val="16"/>
        </w:rPr>
        <w:softHyphen/>
        <w:t>cí na dobrou pověst matróny. Avšak jako v odívání, tak i v tomto zvyku Éímanky časem sle</w:t>
      </w:r>
      <w:r>
        <w:rPr>
          <w:b/>
          <w:bCs/>
          <w:sz w:val="16"/>
          <w:szCs w:val="16"/>
        </w:rPr>
        <w:softHyphen/>
        <w:t xml:space="preserve">vily s původní přísnosti </w:t>
      </w:r>
      <w:r>
        <w:t xml:space="preserve">a </w:t>
      </w:r>
      <w:r>
        <w:rPr>
          <w:b/>
          <w:bCs/>
          <w:sz w:val="16"/>
          <w:szCs w:val="16"/>
        </w:rPr>
        <w:t>počí</w:t>
      </w:r>
      <w:r>
        <w:rPr>
          <w:b/>
          <w:bCs/>
          <w:sz w:val="16"/>
          <w:szCs w:val="16"/>
        </w:rPr>
        <w:softHyphen/>
        <w:t>naly si při hostinách po mužském způsobu. Hodovníci leželi šikmo napříč na lehátkách postavených do podkovy nebo do oblouk</w:t>
      </w:r>
      <w:r>
        <w:rPr>
          <w:b/>
          <w:bCs/>
          <w:sz w:val="16"/>
          <w:szCs w:val="16"/>
        </w:rPr>
        <w:t xml:space="preserve">u a zvýšených na vnitřní straně. Vnitřkem podkovy nebo oblouku </w:t>
      </w:r>
      <w:r>
        <w:rPr>
          <w:rFonts w:ascii="Georgia" w:eastAsia="Georgia" w:hAnsi="Georgia" w:cs="Georgia"/>
          <w:b/>
          <w:bCs/>
          <w:sz w:val="13"/>
          <w:szCs w:val="13"/>
        </w:rPr>
        <w:t xml:space="preserve">byl k stolovníkům volný přístup, </w:t>
      </w:r>
      <w:r>
        <w:rPr>
          <w:b/>
          <w:bCs/>
          <w:sz w:val="16"/>
          <w:szCs w:val="16"/>
        </w:rPr>
        <w:t>tudy se jim podávalo umyvadlo nebo vlhké ubrousky na očištění rukou, tam se také přinášel stůl, nebo se stavěla na pevný podsta</w:t>
      </w:r>
      <w:r>
        <w:rPr>
          <w:b/>
          <w:bCs/>
          <w:sz w:val="16"/>
          <w:szCs w:val="16"/>
        </w:rPr>
        <w:softHyphen/>
        <w:t>vec stolní deska. Ta byla poměr</w:t>
      </w:r>
      <w:r>
        <w:rPr>
          <w:b/>
          <w:bCs/>
          <w:sz w:val="16"/>
          <w:szCs w:val="16"/>
        </w:rPr>
        <w:softHyphen/>
      </w:r>
      <w:r>
        <w:rPr>
          <w:b/>
          <w:bCs/>
          <w:sz w:val="16"/>
          <w:szCs w:val="16"/>
        </w:rPr>
        <w:t>ně malá, protože se na ní nejedlo, nýbrž sloužila — jako u našich buffetů — za podnos předkláda</w:t>
      </w:r>
      <w:r>
        <w:rPr>
          <w:b/>
          <w:bCs/>
          <w:sz w:val="16"/>
          <w:szCs w:val="16"/>
        </w:rPr>
        <w:softHyphen/>
        <w:t>ných pokrmů, které si stolovníci sami brali na miskách, nebo jim na nich byly podávány. Proto se na př. masité pokrmy přinášely už nakrájené a rozdělené, pozděj</w:t>
      </w:r>
      <w:r>
        <w:rPr>
          <w:b/>
          <w:bCs/>
          <w:sz w:val="16"/>
          <w:szCs w:val="16"/>
        </w:rPr>
        <w:t>i ovšem — při přepychových a ho</w:t>
      </w:r>
      <w:r>
        <w:rPr>
          <w:b/>
          <w:bCs/>
          <w:sz w:val="16"/>
          <w:szCs w:val="16"/>
        </w:rPr>
        <w:softHyphen/>
        <w:t>nosných hostinách — se doná</w:t>
      </w:r>
      <w:r>
        <w:rPr>
          <w:b/>
          <w:bCs/>
          <w:sz w:val="16"/>
          <w:szCs w:val="16"/>
        </w:rPr>
        <w:softHyphen/>
        <w:t>šely, někdy v exotické úpravě, celé a před zraky stolovníků je krájel zvláště vycvičený sluha.</w:t>
      </w:r>
    </w:p>
    <w:p w:rsidR="00500724" w:rsidRDefault="00F30FB8">
      <w:pPr>
        <w:spacing w:line="1" w:lineRule="exact"/>
        <w:rPr>
          <w:sz w:val="2"/>
          <w:szCs w:val="2"/>
        </w:rPr>
      </w:pPr>
      <w:r>
        <w:br w:type="column"/>
      </w:r>
    </w:p>
    <w:p w:rsidR="00500724" w:rsidRDefault="00F30FB8">
      <w:pPr>
        <w:pStyle w:val="Zkladntext1"/>
        <w:shd w:val="clear" w:color="auto" w:fill="auto"/>
        <w:spacing w:line="182" w:lineRule="auto"/>
        <w:ind w:firstLine="0"/>
        <w:rPr>
          <w:sz w:val="20"/>
          <w:szCs w:val="20"/>
        </w:rPr>
      </w:pPr>
      <w:r>
        <w:rPr>
          <w:i/>
          <w:iCs/>
          <w:sz w:val="20"/>
          <w:szCs w:val="20"/>
        </w:rPr>
        <w:t>kdo se ho podejmou, dostati od úřadů, sekretariátů, funkcionářů. Jest jen jediná: vnitřní, duchovní</w:t>
      </w:r>
      <w:r>
        <w:rPr>
          <w:i/>
          <w:iCs/>
          <w:sz w:val="20"/>
          <w:szCs w:val="20"/>
        </w:rPr>
        <w:t xml:space="preserve"> legi</w:t>
      </w:r>
      <w:r>
        <w:rPr>
          <w:i/>
          <w:iCs/>
          <w:sz w:val="20"/>
          <w:szCs w:val="20"/>
        </w:rPr>
        <w:softHyphen/>
        <w:t>timace, kterou si lidé vy</w:t>
      </w:r>
      <w:r>
        <w:rPr>
          <w:i/>
          <w:iCs/>
          <w:sz w:val="20"/>
          <w:szCs w:val="20"/>
        </w:rPr>
        <w:softHyphen/>
        <w:t>dobývají tvorbou a prací. Nelze ji získati oddaností, vyznavaóstvím, postavením, jmenováním. Ty pak, kdož budou tuto úlohu plnili, tře</w:t>
      </w:r>
      <w:r>
        <w:rPr>
          <w:i/>
          <w:iCs/>
          <w:sz w:val="20"/>
          <w:szCs w:val="20"/>
        </w:rPr>
        <w:softHyphen/>
        <w:t>ba chrániti před zásahy ko- řistníků, kteří využívají po</w:t>
      </w:r>
      <w:r>
        <w:rPr>
          <w:i/>
          <w:iCs/>
          <w:sz w:val="20"/>
          <w:szCs w:val="20"/>
        </w:rPr>
        <w:softHyphen/>
        <w:t>litických převratů k tomu, aby s</w:t>
      </w:r>
      <w:r>
        <w:rPr>
          <w:i/>
          <w:iCs/>
          <w:sz w:val="20"/>
          <w:szCs w:val="20"/>
        </w:rPr>
        <w:t>e zmocnili posic a kom</w:t>
      </w:r>
      <w:r>
        <w:rPr>
          <w:i/>
          <w:iCs/>
          <w:sz w:val="20"/>
          <w:szCs w:val="20"/>
        </w:rPr>
        <w:softHyphen/>
        <w:t>petencí, i před pokřikem luzy.</w:t>
      </w:r>
    </w:p>
    <w:p w:rsidR="00500724" w:rsidRDefault="00F30FB8">
      <w:pPr>
        <w:pStyle w:val="Zkladntext1"/>
        <w:shd w:val="clear" w:color="auto" w:fill="auto"/>
        <w:spacing w:line="190" w:lineRule="auto"/>
        <w:ind w:firstLine="180"/>
        <w:rPr>
          <w:sz w:val="20"/>
          <w:szCs w:val="20"/>
        </w:rPr>
      </w:pPr>
      <w:r>
        <w:rPr>
          <w:i/>
          <w:iCs/>
          <w:sz w:val="20"/>
          <w:szCs w:val="20"/>
        </w:rPr>
        <w:t>Nechť jakkoli dopadne běh politických událostí, může býti střetnutí německé kul</w:t>
      </w:r>
      <w:r>
        <w:rPr>
          <w:i/>
          <w:iCs/>
          <w:sz w:val="20"/>
          <w:szCs w:val="20"/>
        </w:rPr>
        <w:softHyphen/>
        <w:t>tury</w:t>
      </w:r>
      <w:r>
        <w:t xml:space="preserve"> s </w:t>
      </w:r>
      <w:r>
        <w:rPr>
          <w:i/>
          <w:iCs/>
          <w:sz w:val="20"/>
          <w:szCs w:val="20"/>
        </w:rPr>
        <w:t>kulturou českou, utkání základních idei obou národů, k němuž pod vli</w:t>
      </w:r>
      <w:r>
        <w:rPr>
          <w:i/>
          <w:iCs/>
          <w:sz w:val="20"/>
          <w:szCs w:val="20"/>
        </w:rPr>
        <w:softHyphen/>
        <w:t>vem politických dějů do</w:t>
      </w:r>
      <w:r>
        <w:rPr>
          <w:i/>
          <w:iCs/>
          <w:sz w:val="20"/>
          <w:szCs w:val="20"/>
        </w:rPr>
        <w:softHyphen/>
        <w:t>chází, plodné. Nová ex</w:t>
      </w:r>
      <w:r>
        <w:rPr>
          <w:i/>
          <w:iCs/>
          <w:sz w:val="20"/>
          <w:szCs w:val="20"/>
        </w:rPr>
        <w:t>panse německého národa, opírající se o jeho novou ideologii i organisaci, setkají se tu po prvé zblízka s národem, je</w:t>
      </w:r>
      <w:r>
        <w:rPr>
          <w:i/>
          <w:iCs/>
          <w:sz w:val="20"/>
          <w:szCs w:val="20"/>
        </w:rPr>
        <w:softHyphen/>
        <w:t>hož kultura jest vybudována na jiných základech. Vzhle</w:t>
      </w:r>
      <w:r>
        <w:rPr>
          <w:i/>
          <w:iCs/>
          <w:sz w:val="20"/>
          <w:szCs w:val="20"/>
        </w:rPr>
        <w:softHyphen/>
        <w:t>dem k poměru sil nepůjde a nemůže jít mezi oběma národy o boj politický, ale o soup</w:t>
      </w:r>
      <w:r>
        <w:rPr>
          <w:i/>
          <w:iCs/>
          <w:sz w:val="20"/>
          <w:szCs w:val="20"/>
        </w:rPr>
        <w:t>eření kulturní. Tento boj se povede argu</w:t>
      </w:r>
      <w:r>
        <w:rPr>
          <w:i/>
          <w:iCs/>
          <w:sz w:val="20"/>
          <w:szCs w:val="20"/>
        </w:rPr>
        <w:softHyphen/>
        <w:t>menty ducha, nikoli moci. Argument kvantity bude tu lhostejný. Jen a jen duch rozhodne, zda německá kul</w:t>
      </w:r>
      <w:r>
        <w:rPr>
          <w:i/>
          <w:iCs/>
          <w:sz w:val="20"/>
          <w:szCs w:val="20"/>
        </w:rPr>
        <w:softHyphen/>
        <w:t>tura, opírající se o nové své základy, prokáže schopnost ukazovat cestu také jiným národům a oplodniti jejich k</w:t>
      </w:r>
      <w:r>
        <w:rPr>
          <w:i/>
          <w:iCs/>
          <w:sz w:val="20"/>
          <w:szCs w:val="20"/>
        </w:rPr>
        <w:t>ulturní snažení. I pro ně</w:t>
      </w:r>
      <w:r>
        <w:rPr>
          <w:i/>
          <w:iCs/>
          <w:sz w:val="20"/>
          <w:szCs w:val="20"/>
        </w:rPr>
        <w:softHyphen/>
        <w:t>meckou kulturu je to úkol plodný a veliký.</w:t>
      </w:r>
    </w:p>
    <w:p w:rsidR="00500724" w:rsidRDefault="00F30FB8">
      <w:pPr>
        <w:pStyle w:val="Zkladntext40"/>
        <w:shd w:val="clear" w:color="auto" w:fill="auto"/>
        <w:spacing w:after="180" w:line="240" w:lineRule="auto"/>
        <w:jc w:val="right"/>
      </w:pPr>
      <w:r>
        <w:t>(Kritický měsíčník.)</w:t>
      </w:r>
    </w:p>
    <w:p w:rsidR="00500724" w:rsidRDefault="00F30FB8">
      <w:pPr>
        <w:pStyle w:val="Zkladntext40"/>
        <w:shd w:val="clear" w:color="auto" w:fill="auto"/>
        <w:spacing w:after="0" w:line="170" w:lineRule="auto"/>
        <w:rPr>
          <w:sz w:val="16"/>
          <w:szCs w:val="16"/>
        </w:rPr>
      </w:pPr>
      <w:r>
        <w:rPr>
          <w:b/>
          <w:bCs/>
          <w:sz w:val="16"/>
          <w:szCs w:val="16"/>
        </w:rPr>
        <w:t>Příborem, jehož se nejvíce užíva</w:t>
      </w:r>
      <w:r>
        <w:rPr>
          <w:b/>
          <w:bCs/>
          <w:sz w:val="16"/>
          <w:szCs w:val="16"/>
        </w:rPr>
        <w:softHyphen/>
        <w:t>lo při iídle, byly lžíce a to jed</w:t>
      </w:r>
      <w:r>
        <w:rPr>
          <w:b/>
          <w:bCs/>
          <w:sz w:val="16"/>
          <w:szCs w:val="16"/>
        </w:rPr>
        <w:softHyphen/>
        <w:t>nak velká lžíce, mající celkem tvar a podobu našich polévko</w:t>
      </w:r>
      <w:r>
        <w:rPr>
          <w:b/>
          <w:bCs/>
          <w:sz w:val="16"/>
          <w:szCs w:val="16"/>
        </w:rPr>
        <w:softHyphen/>
        <w:t xml:space="preserve">vých lžic, jednak malé lžičky, jejichž </w:t>
      </w:r>
      <w:r>
        <w:rPr>
          <w:b/>
          <w:bCs/>
          <w:sz w:val="16"/>
          <w:szCs w:val="16"/>
        </w:rPr>
        <w:t>držadlo bylo na druhém konci hrotité, takže se mohla sousta jimi nabodávat!.</w:t>
      </w:r>
    </w:p>
    <w:p w:rsidR="00500724" w:rsidRDefault="00F30FB8">
      <w:pPr>
        <w:pStyle w:val="Zkladntext40"/>
        <w:shd w:val="clear" w:color="auto" w:fill="auto"/>
        <w:spacing w:after="0" w:line="170" w:lineRule="auto"/>
        <w:ind w:firstLine="180"/>
        <w:rPr>
          <w:sz w:val="16"/>
          <w:szCs w:val="16"/>
        </w:rPr>
      </w:pPr>
      <w:r>
        <w:rPr>
          <w:b/>
          <w:bCs/>
          <w:sz w:val="16"/>
          <w:szCs w:val="16"/>
        </w:rPr>
        <w:t>Čistota stolu a nádobí se do</w:t>
      </w:r>
      <w:r>
        <w:rPr>
          <w:b/>
          <w:bCs/>
          <w:sz w:val="16"/>
          <w:szCs w:val="16"/>
        </w:rPr>
        <w:softHyphen/>
        <w:t>držovala přísné. Stůl i podlaha byly pečlivě otírány; zvyk pro- stíratl na stůl ubrusy je však pů</w:t>
      </w:r>
      <w:r>
        <w:rPr>
          <w:b/>
          <w:bCs/>
          <w:sz w:val="16"/>
          <w:szCs w:val="16"/>
        </w:rPr>
        <w:softHyphen/>
        <w:t>vodem dosti pozdní; mnohem starší je používání ubrou</w:t>
      </w:r>
      <w:r>
        <w:rPr>
          <w:b/>
          <w:bCs/>
          <w:sz w:val="16"/>
          <w:szCs w:val="16"/>
        </w:rPr>
        <w:t>sků. Sloužily nejen k účelu u nás běž</w:t>
      </w:r>
      <w:r>
        <w:rPr>
          <w:b/>
          <w:bCs/>
          <w:sz w:val="16"/>
          <w:szCs w:val="16"/>
        </w:rPr>
        <w:softHyphen/>
        <w:t>nému, ale také k tomu, že si v nich hosté odnášeli výslužky, a to nejen rozmanité zákusky, nýbrž — hlavně v císařské dobé — také drobné dárky rozdělova</w:t>
      </w:r>
      <w:r>
        <w:rPr>
          <w:b/>
          <w:bCs/>
          <w:sz w:val="16"/>
          <w:szCs w:val="16"/>
        </w:rPr>
        <w:softHyphen/>
        <w:t>né hostitelem stolovníkům.</w:t>
      </w:r>
    </w:p>
    <w:p w:rsidR="00500724" w:rsidRDefault="00F30FB8">
      <w:pPr>
        <w:pStyle w:val="Zkladntext40"/>
        <w:shd w:val="clear" w:color="auto" w:fill="auto"/>
        <w:spacing w:after="0" w:line="170" w:lineRule="auto"/>
        <w:ind w:firstLine="180"/>
        <w:rPr>
          <w:sz w:val="16"/>
          <w:szCs w:val="16"/>
        </w:rPr>
      </w:pPr>
      <w:r>
        <w:rPr>
          <w:b/>
          <w:bCs/>
          <w:sz w:val="16"/>
          <w:szCs w:val="16"/>
        </w:rPr>
        <w:t>Dávným doprovodem jídla bylo pití. Kdys</w:t>
      </w:r>
      <w:r>
        <w:rPr>
          <w:b/>
          <w:bCs/>
          <w:sz w:val="16"/>
          <w:szCs w:val="16"/>
        </w:rPr>
        <w:t>i se i staří Římané spo- kojovali tím, že svou kaši zapí</w:t>
      </w:r>
      <w:r>
        <w:rPr>
          <w:b/>
          <w:bCs/>
          <w:sz w:val="16"/>
          <w:szCs w:val="16"/>
        </w:rPr>
        <w:softHyphen/>
        <w:t>jeli douškem mléka — libovali sl v kozím a ovčím —, ale brzo je požívání složitější a zejména ko</w:t>
      </w:r>
      <w:r>
        <w:rPr>
          <w:b/>
          <w:bCs/>
          <w:sz w:val="16"/>
          <w:szCs w:val="16"/>
        </w:rPr>
        <w:softHyphen/>
        <w:t>řeněné potravy naučilo oceňovati nápoje podstatnější. Byla to pře</w:t>
      </w:r>
      <w:r>
        <w:rPr>
          <w:b/>
          <w:bCs/>
          <w:sz w:val="16"/>
          <w:szCs w:val="16"/>
        </w:rPr>
        <w:softHyphen/>
        <w:t>devším medovina, to jest med rozředě</w:t>
      </w:r>
      <w:r>
        <w:rPr>
          <w:b/>
          <w:bCs/>
          <w:sz w:val="16"/>
          <w:szCs w:val="16"/>
        </w:rPr>
        <w:t>ný vinným moštem nebo lehkým vínem; připravovat! me</w:t>
      </w:r>
      <w:r>
        <w:rPr>
          <w:b/>
          <w:bCs/>
          <w:sz w:val="16"/>
          <w:szCs w:val="16"/>
        </w:rPr>
        <w:softHyphen/>
        <w:t>doví nu s těžkým nebo starým vínem se nepokládalo za správ</w:t>
      </w:r>
      <w:r>
        <w:rPr>
          <w:b/>
          <w:bCs/>
          <w:sz w:val="16"/>
          <w:szCs w:val="16"/>
        </w:rPr>
        <w:softHyphen/>
        <w:t>né; . při míšení s vínem se měla dáti aspoň jedna pětina medu, kdežto do moštu stačila jedna de</w:t>
      </w:r>
      <w:r>
        <w:rPr>
          <w:b/>
          <w:bCs/>
          <w:sz w:val="16"/>
          <w:szCs w:val="16"/>
        </w:rPr>
        <w:softHyphen/>
        <w:t>setina. Révy měla Itálie dostatek rozmanitých dru</w:t>
      </w:r>
      <w:r>
        <w:rPr>
          <w:b/>
          <w:bCs/>
          <w:sz w:val="16"/>
          <w:szCs w:val="16"/>
        </w:rPr>
        <w:t>hů a jakostí. Podle barvy se rozeznávaly ětyři druhy vína: bílé, ryzák, červené a tmavé; chuť a jakost se lišila podle původu, stáří a přípravy. Tak na příklad massickému slou</w:t>
      </w:r>
      <w:r>
        <w:rPr>
          <w:b/>
          <w:bCs/>
          <w:sz w:val="16"/>
          <w:szCs w:val="16"/>
        </w:rPr>
        <w:softHyphen/>
        <w:t>žilo, bylo-li za jasné noci pone</w:t>
      </w:r>
      <w:r>
        <w:rPr>
          <w:b/>
          <w:bCs/>
          <w:sz w:val="16"/>
          <w:szCs w:val="16"/>
        </w:rPr>
        <w:softHyphen/>
        <w:t>cháno venku otevřené, aby po</w:t>
      </w:r>
      <w:r>
        <w:rPr>
          <w:b/>
          <w:bCs/>
          <w:sz w:val="16"/>
          <w:szCs w:val="16"/>
        </w:rPr>
        <w:softHyphen/>
        <w:t>zbylo nelibé čicho</w:t>
      </w:r>
      <w:r>
        <w:rPr>
          <w:b/>
          <w:bCs/>
          <w:sz w:val="16"/>
          <w:szCs w:val="16"/>
        </w:rPr>
        <w:t>vé příchuti; ne</w:t>
      </w:r>
      <w:r>
        <w:rPr>
          <w:b/>
          <w:bCs/>
          <w:sz w:val="16"/>
          <w:szCs w:val="16"/>
        </w:rPr>
        <w:softHyphen/>
        <w:t>smělo se však cedit skrz lněné plátno. Dal-li kdo kvas falern- ský do sorrentského vína, učinil dobře, urychlil-li pročištění žlout</w:t>
      </w:r>
      <w:r>
        <w:rPr>
          <w:b/>
          <w:bCs/>
          <w:sz w:val="16"/>
          <w:szCs w:val="16"/>
        </w:rPr>
        <w:softHyphen/>
      </w:r>
      <w:r>
        <w:rPr>
          <w:b/>
          <w:bCs/>
          <w:sz w:val="16"/>
          <w:szCs w:val="16"/>
        </w:rPr>
        <w:br w:type="column"/>
        <w:t xml:space="preserve">kem holubího .ejce. Později se ovšem dovážela také cizí vína z Gallie, ze Španělska, z Řecka, z Malé Asie, </w:t>
      </w:r>
      <w:r>
        <w:rPr>
          <w:b/>
          <w:bCs/>
          <w:sz w:val="16"/>
          <w:szCs w:val="16"/>
        </w:rPr>
        <w:t>ze Sýrie, z Afriky, ale leckterý tento druh byl pak na</w:t>
      </w:r>
      <w:r>
        <w:rPr>
          <w:b/>
          <w:bCs/>
          <w:sz w:val="16"/>
          <w:szCs w:val="16"/>
        </w:rPr>
        <w:softHyphen/>
        <w:t>podobován i doma, buď užitím cizího kvasu nebo napodobením přípravy. Dobře bylo známo »ře- zání« vína, to jest dolévání jiným druhem.</w:t>
      </w:r>
    </w:p>
    <w:p w:rsidR="00500724" w:rsidRDefault="00F30FB8">
      <w:pPr>
        <w:pStyle w:val="Zkladntext40"/>
        <w:shd w:val="clear" w:color="auto" w:fill="auto"/>
        <w:spacing w:after="0" w:line="173" w:lineRule="auto"/>
        <w:ind w:firstLine="180"/>
        <w:rPr>
          <w:sz w:val="16"/>
          <w:szCs w:val="16"/>
        </w:rPr>
      </w:pPr>
      <w:r>
        <w:rPr>
          <w:b/>
          <w:bCs/>
          <w:sz w:val="16"/>
          <w:szCs w:val="16"/>
        </w:rPr>
        <w:t>Jako se zuš: lechťovaly pokrmy a měnily úpravou, stejně se za</w:t>
      </w:r>
      <w:r>
        <w:rPr>
          <w:b/>
          <w:bCs/>
          <w:sz w:val="16"/>
          <w:szCs w:val="16"/>
        </w:rPr>
        <w:softHyphen/>
        <w:t>cháze</w:t>
      </w:r>
      <w:r>
        <w:rPr>
          <w:b/>
          <w:bCs/>
          <w:sz w:val="16"/>
          <w:szCs w:val="16"/>
        </w:rPr>
        <w:t>lo s vínem, aby se dosáhlo rozmanitých odstínů vůně, chuti a účinků. Od pouhých přísad ko</w:t>
      </w:r>
      <w:r>
        <w:rPr>
          <w:b/>
          <w:bCs/>
          <w:sz w:val="16"/>
          <w:szCs w:val="16"/>
        </w:rPr>
        <w:softHyphen/>
        <w:t>ření nebo pryskyřice se postoupilo až k výrobě těžkých nápojů, ver- mutu, absinthu, nebo k vínům míchaným s výtažky zkvašených ovocných šťáv. Zvláště silná vína se př</w:t>
      </w:r>
      <w:r>
        <w:rPr>
          <w:b/>
          <w:bCs/>
          <w:sz w:val="16"/>
          <w:szCs w:val="16"/>
        </w:rPr>
        <w:t>ipravovala tak, že se vybra</w:t>
      </w:r>
      <w:r>
        <w:rPr>
          <w:b/>
          <w:bCs/>
          <w:sz w:val="16"/>
          <w:szCs w:val="16"/>
        </w:rPr>
        <w:softHyphen/>
        <w:t>né druhy révy nechaly na prud</w:t>
      </w:r>
      <w:r>
        <w:rPr>
          <w:b/>
          <w:bCs/>
          <w:sz w:val="16"/>
          <w:szCs w:val="16"/>
        </w:rPr>
        <w:softHyphen/>
        <w:t>kém slunci přezrát, anebo se hrozny zavěsily nad kotlík s va</w:t>
      </w:r>
      <w:r>
        <w:rPr>
          <w:b/>
          <w:bCs/>
          <w:sz w:val="16"/>
          <w:szCs w:val="16"/>
        </w:rPr>
        <w:softHyphen/>
        <w:t>řícím olejem. Až začaly hrozny krabatět, pečlivě se zrnka otrha</w:t>
      </w:r>
      <w:r>
        <w:rPr>
          <w:b/>
          <w:bCs/>
          <w:sz w:val="16"/>
          <w:szCs w:val="16"/>
        </w:rPr>
        <w:softHyphen/>
        <w:t>la, zbavila stopek, namočila do starého jakostného vína a až na</w:t>
      </w:r>
      <w:r>
        <w:rPr>
          <w:b/>
          <w:bCs/>
          <w:sz w:val="16"/>
          <w:szCs w:val="16"/>
        </w:rPr>
        <w:softHyphen/>
        <w:t>sákla, by</w:t>
      </w:r>
      <w:r>
        <w:rPr>
          <w:b/>
          <w:bCs/>
          <w:sz w:val="16"/>
          <w:szCs w:val="16"/>
        </w:rPr>
        <w:t>la opatrně vylisována.</w:t>
      </w:r>
    </w:p>
    <w:p w:rsidR="00500724" w:rsidRDefault="00F30FB8">
      <w:pPr>
        <w:pStyle w:val="Zkladntext40"/>
        <w:shd w:val="clear" w:color="auto" w:fill="auto"/>
        <w:spacing w:after="0" w:line="173" w:lineRule="auto"/>
        <w:ind w:firstLine="180"/>
        <w:rPr>
          <w:sz w:val="16"/>
          <w:szCs w:val="16"/>
        </w:rPr>
      </w:pPr>
      <w:r>
        <w:rPr>
          <w:b/>
          <w:bCs/>
          <w:sz w:val="16"/>
          <w:szCs w:val="16"/>
        </w:rPr>
        <w:t>Hodnotné druhy vína se ucho</w:t>
      </w:r>
      <w:r>
        <w:rPr>
          <w:b/>
          <w:bCs/>
          <w:sz w:val="16"/>
          <w:szCs w:val="16"/>
        </w:rPr>
        <w:softHyphen/>
        <w:t xml:space="preserve">vávaly </w:t>
      </w:r>
      <w:r>
        <w:rPr>
          <w:rFonts w:ascii="Georgia" w:eastAsia="Georgia" w:hAnsi="Georgia" w:cs="Georgia"/>
          <w:b/>
          <w:bCs/>
          <w:sz w:val="13"/>
          <w:szCs w:val="13"/>
        </w:rPr>
        <w:t xml:space="preserve">V </w:t>
      </w:r>
      <w:r>
        <w:rPr>
          <w:b/>
          <w:bCs/>
          <w:sz w:val="16"/>
          <w:szCs w:val="16"/>
        </w:rPr>
        <w:t>zapečetěných džbánech, opatřených označením druhu a ročníku. K hostině se pak vybíra</w:t>
      </w:r>
      <w:r>
        <w:rPr>
          <w:b/>
          <w:bCs/>
          <w:sz w:val="16"/>
          <w:szCs w:val="16"/>
        </w:rPr>
        <w:softHyphen/>
        <w:t>ly vhodné druhy podle předklá</w:t>
      </w:r>
      <w:r>
        <w:rPr>
          <w:b/>
          <w:bCs/>
          <w:sz w:val="16"/>
          <w:szCs w:val="16"/>
        </w:rPr>
        <w:softHyphen/>
        <w:t>daných pokrmů a s ohledem na zažívací účinky. Víno muselo míti správný »podklad«,</w:t>
      </w:r>
      <w:r>
        <w:rPr>
          <w:b/>
          <w:bCs/>
          <w:sz w:val="16"/>
          <w:szCs w:val="16"/>
        </w:rPr>
        <w:t xml:space="preserve"> to bylo tím důležitější, čím se více pilo. Slabý piják se posiloval používá</w:t>
      </w:r>
      <w:r>
        <w:rPr>
          <w:b/>
          <w:bCs/>
          <w:sz w:val="16"/>
          <w:szCs w:val="16"/>
        </w:rPr>
        <w:softHyphen/>
        <w:t>ním smažených mořských ráčků a afrických hlemýžďů; salát s olMem není dobrý po víně, pro</w:t>
      </w:r>
      <w:r>
        <w:rPr>
          <w:b/>
          <w:bCs/>
          <w:sz w:val="16"/>
          <w:szCs w:val="16"/>
        </w:rPr>
        <w:softHyphen/>
        <w:t xml:space="preserve">tože v něm »plave«, zato šunka, klobásy, anebo 1 prostá horká jídla jsou dobrým podkladem </w:t>
      </w:r>
      <w:r>
        <w:rPr>
          <w:b/>
          <w:bCs/>
          <w:sz w:val="16"/>
          <w:szCs w:val="16"/>
        </w:rPr>
        <w:t>pití.</w:t>
      </w:r>
    </w:p>
    <w:p w:rsidR="00500724" w:rsidRDefault="00F30FB8">
      <w:pPr>
        <w:pStyle w:val="Zkladntext40"/>
        <w:shd w:val="clear" w:color="auto" w:fill="auto"/>
        <w:spacing w:after="0" w:line="170" w:lineRule="auto"/>
        <w:ind w:firstLine="180"/>
        <w:rPr>
          <w:sz w:val="16"/>
          <w:szCs w:val="16"/>
        </w:rPr>
      </w:pPr>
      <w:r>
        <w:rPr>
          <w:b/>
          <w:bCs/>
          <w:sz w:val="16"/>
          <w:szCs w:val="16"/>
        </w:rPr>
        <w:t>Pozornosti zasluhuje, že se ví</w:t>
      </w:r>
      <w:r>
        <w:rPr>
          <w:b/>
          <w:bCs/>
          <w:sz w:val="16"/>
          <w:szCs w:val="16"/>
        </w:rPr>
        <w:softHyphen/>
        <w:t>no nepilo při jídle čisté, nýbrž smíšené s vodou, podle stolovní</w:t>
      </w:r>
      <w:r>
        <w:rPr>
          <w:b/>
          <w:bCs/>
          <w:sz w:val="16"/>
          <w:szCs w:val="16"/>
        </w:rPr>
        <w:softHyphen/>
        <w:t>kovy chuti ledovou nebo teplou. Každý si podle záliby dal naliti do poháru víno a vodu; teplá voda — zpravidla převařená — byla po ruce ve zvláštním ohřl-</w:t>
      </w:r>
      <w:r>
        <w:rPr>
          <w:b/>
          <w:bCs/>
          <w:sz w:val="16"/>
          <w:szCs w:val="16"/>
        </w:rPr>
        <w:t xml:space="preserve"> vadle; jiné zařízení sloužilo k ochlazování sněhem nebo k udr</w:t>
      </w:r>
      <w:r>
        <w:rPr>
          <w:b/>
          <w:bCs/>
          <w:sz w:val="16"/>
          <w:szCs w:val="16"/>
        </w:rPr>
        <w:softHyphen/>
        <w:t>žování vody na nízkém stupni teploty: sníh se nasypal do zvláštní filtrovací nálevky a pře</w:t>
      </w:r>
      <w:r>
        <w:rPr>
          <w:b/>
          <w:bCs/>
          <w:sz w:val="16"/>
          <w:szCs w:val="16"/>
        </w:rPr>
        <w:softHyphen/>
        <w:t>lil vínem. Z Řecka se dostal do Itálie též zvyk pořádat! sympo</w:t>
      </w:r>
      <w:r>
        <w:rPr>
          <w:b/>
          <w:bCs/>
          <w:sz w:val="16"/>
          <w:szCs w:val="16"/>
        </w:rPr>
        <w:softHyphen/>
        <w:t>sia. Jeden z členů společnosti byl pově</w:t>
      </w:r>
      <w:r>
        <w:rPr>
          <w:b/>
          <w:bCs/>
          <w:sz w:val="16"/>
          <w:szCs w:val="16"/>
        </w:rPr>
        <w:t>řen úkolem arbitra a ten ustanovil, jakým poměrem se smísí v měsidle (kráter) víno s vodou; z měsidla se pak naběrač</w:t>
      </w:r>
      <w:r>
        <w:rPr>
          <w:b/>
          <w:bCs/>
          <w:sz w:val="16"/>
          <w:szCs w:val="16"/>
        </w:rPr>
        <w:softHyphen/>
        <w:t>kou rozděloval nápoj do pohárů. Jestliže však u řeckých sympo</w:t>
      </w:r>
      <w:r>
        <w:rPr>
          <w:b/>
          <w:bCs/>
          <w:sz w:val="16"/>
          <w:szCs w:val="16"/>
        </w:rPr>
        <w:softHyphen/>
        <w:t>sií převládala aktivní zábava hodovníků, Římané dávali před</w:t>
      </w:r>
      <w:r>
        <w:rPr>
          <w:b/>
          <w:bCs/>
          <w:sz w:val="16"/>
          <w:szCs w:val="16"/>
        </w:rPr>
        <w:softHyphen/>
        <w:t>nost tomu, aby by</w:t>
      </w:r>
      <w:r>
        <w:rPr>
          <w:b/>
          <w:bCs/>
          <w:sz w:val="16"/>
          <w:szCs w:val="16"/>
        </w:rPr>
        <w:t>li baveni: to obstarávali hudebníci, tanečníci a tanečnice, zpěváci a recitátoři.</w:t>
      </w:r>
    </w:p>
    <w:p w:rsidR="00500724" w:rsidRDefault="00F30FB8">
      <w:pPr>
        <w:pStyle w:val="Zkladntext40"/>
        <w:shd w:val="clear" w:color="auto" w:fill="auto"/>
        <w:spacing w:after="0" w:line="170" w:lineRule="auto"/>
        <w:ind w:firstLine="180"/>
        <w:rPr>
          <w:sz w:val="16"/>
          <w:szCs w:val="16"/>
        </w:rPr>
      </w:pPr>
      <w:r>
        <w:rPr>
          <w:b/>
          <w:bCs/>
          <w:sz w:val="16"/>
          <w:szCs w:val="16"/>
        </w:rPr>
        <w:t>Mezi intelektuály byla sice sna</w:t>
      </w:r>
      <w:r>
        <w:rPr>
          <w:b/>
          <w:bCs/>
          <w:sz w:val="16"/>
          <w:szCs w:val="16"/>
        </w:rPr>
        <w:softHyphen/>
        <w:t>ha udržovat! i při pitkách vážné hovory, nebo bavlti hosty před</w:t>
      </w:r>
      <w:r>
        <w:rPr>
          <w:b/>
          <w:bCs/>
          <w:sz w:val="16"/>
          <w:szCs w:val="16"/>
        </w:rPr>
        <w:softHyphen/>
        <w:t>čítáním literárních novinek, ale takových kroužků nebylo mnoho. I dobrá společ</w:t>
      </w:r>
      <w:r>
        <w:rPr>
          <w:b/>
          <w:bCs/>
          <w:sz w:val="16"/>
          <w:szCs w:val="16"/>
        </w:rPr>
        <w:t>nost dávala před</w:t>
      </w:r>
      <w:r>
        <w:rPr>
          <w:b/>
          <w:bCs/>
          <w:sz w:val="16"/>
          <w:szCs w:val="16"/>
        </w:rPr>
        <w:softHyphen/>
        <w:t>nost zábavě na účet nepřítom</w:t>
      </w:r>
      <w:r>
        <w:rPr>
          <w:b/>
          <w:bCs/>
          <w:sz w:val="16"/>
          <w:szCs w:val="16"/>
        </w:rPr>
        <w:softHyphen/>
        <w:t>ných a podívané, připravené po</w:t>
      </w:r>
      <w:r>
        <w:rPr>
          <w:b/>
          <w:bCs/>
          <w:sz w:val="16"/>
          <w:szCs w:val="16"/>
        </w:rPr>
        <w:softHyphen/>
        <w:t>zorným hostitelem.</w:t>
      </w:r>
    </w:p>
    <w:p w:rsidR="00500724" w:rsidRDefault="00F30FB8">
      <w:pPr>
        <w:pStyle w:val="Jin0"/>
        <w:framePr w:w="3710" w:h="3518" w:hSpace="180" w:vSpace="280" w:wrap="notBeside" w:hAnchor="page" w:x="6528" w:y="11521"/>
        <w:shd w:val="clear" w:color="auto" w:fill="auto"/>
        <w:spacing w:after="60"/>
        <w:ind w:firstLine="0"/>
        <w:jc w:val="left"/>
        <w:rPr>
          <w:sz w:val="48"/>
          <w:szCs w:val="48"/>
        </w:rPr>
      </w:pPr>
      <w:r>
        <w:rPr>
          <w:rFonts w:ascii="Arial" w:eastAsia="Arial" w:hAnsi="Arial" w:cs="Arial"/>
          <w:b/>
          <w:bCs/>
          <w:smallCaps/>
          <w:sz w:val="48"/>
          <w:szCs w:val="48"/>
        </w:rPr>
        <w:t>dnešní nemecko</w:t>
      </w:r>
    </w:p>
    <w:p w:rsidR="00500724" w:rsidRDefault="00F30FB8">
      <w:pPr>
        <w:pStyle w:val="Jin0"/>
        <w:framePr w:w="3710" w:h="3518" w:hSpace="180" w:vSpace="280" w:wrap="notBeside" w:hAnchor="page" w:x="6528" w:y="11521"/>
        <w:shd w:val="clear" w:color="auto" w:fill="auto"/>
        <w:spacing w:after="60" w:line="310" w:lineRule="auto"/>
        <w:ind w:left="980" w:firstLine="20"/>
        <w:rPr>
          <w:sz w:val="15"/>
          <w:szCs w:val="15"/>
        </w:rPr>
      </w:pPr>
      <w:r>
        <w:rPr>
          <w:rFonts w:ascii="Arial" w:eastAsia="Arial" w:hAnsi="Arial" w:cs="Arial"/>
          <w:b/>
          <w:bCs/>
          <w:sz w:val="15"/>
          <w:szCs w:val="15"/>
        </w:rPr>
        <w:t>Aktuální publikace, informuiící o po</w:t>
      </w:r>
      <w:r>
        <w:rPr>
          <w:rFonts w:ascii="Arial" w:eastAsia="Arial" w:hAnsi="Arial" w:cs="Arial"/>
          <w:b/>
          <w:bCs/>
          <w:sz w:val="15"/>
          <w:szCs w:val="15"/>
        </w:rPr>
        <w:softHyphen/>
        <w:t>litických, hospodářských, sociálních, technickýchavýchovných zařízeních národně socialistického Německa</w:t>
      </w:r>
    </w:p>
    <w:p w:rsidR="00500724" w:rsidRDefault="00F30FB8">
      <w:pPr>
        <w:pStyle w:val="Jin0"/>
        <w:framePr w:w="3710" w:h="3518" w:hSpace="180" w:vSpace="280" w:wrap="notBeside" w:hAnchor="page" w:x="6528" w:y="11521"/>
        <w:shd w:val="clear" w:color="auto" w:fill="auto"/>
        <w:spacing w:after="60" w:line="300" w:lineRule="auto"/>
        <w:ind w:left="980" w:hanging="980"/>
        <w:rPr>
          <w:sz w:val="12"/>
          <w:szCs w:val="12"/>
        </w:rPr>
      </w:pPr>
      <w:r>
        <w:rPr>
          <w:rFonts w:ascii="Arial" w:eastAsia="Arial" w:hAnsi="Arial" w:cs="Arial"/>
          <w:b/>
          <w:bCs/>
          <w:sz w:val="14"/>
          <w:szCs w:val="14"/>
        </w:rPr>
        <w:t xml:space="preserve">A U </w:t>
      </w:r>
      <w:r>
        <w:rPr>
          <w:rFonts w:ascii="Arial" w:eastAsia="Arial" w:hAnsi="Arial" w:cs="Arial"/>
          <w:sz w:val="13"/>
          <w:szCs w:val="13"/>
        </w:rPr>
        <w:t xml:space="preserve">T O R 11 </w:t>
      </w:r>
      <w:r>
        <w:rPr>
          <w:rFonts w:ascii="Arial" w:eastAsia="Arial" w:hAnsi="Arial" w:cs="Arial"/>
          <w:i/>
          <w:iCs/>
          <w:sz w:val="12"/>
          <w:szCs w:val="12"/>
        </w:rPr>
        <w:t>JUDr. Jan Mertl - Ing. Dr. Vladimír KHmeckf Ing. Adolf Hlavatý - Ing. Dr. Josef Z. Schneider PhDr. Tomáš Krejčí</w:t>
      </w:r>
    </w:p>
    <w:p w:rsidR="00500724" w:rsidRDefault="00F30FB8">
      <w:pPr>
        <w:pStyle w:val="Jin0"/>
        <w:framePr w:w="3710" w:h="3518" w:hSpace="180" w:vSpace="280" w:wrap="notBeside" w:hAnchor="page" w:x="6528" w:y="11521"/>
        <w:shd w:val="clear" w:color="auto" w:fill="auto"/>
        <w:spacing w:after="60" w:line="310" w:lineRule="auto"/>
        <w:ind w:left="980" w:firstLine="20"/>
        <w:rPr>
          <w:sz w:val="15"/>
          <w:szCs w:val="15"/>
        </w:rPr>
      </w:pPr>
      <w:r>
        <w:rPr>
          <w:rFonts w:ascii="Arial" w:eastAsia="Arial" w:hAnsi="Arial" w:cs="Arial"/>
          <w:b/>
          <w:bCs/>
          <w:sz w:val="15"/>
          <w:szCs w:val="15"/>
        </w:rPr>
        <w:t>Brož. K 40*~z váz. K 50*-</w:t>
      </w:r>
    </w:p>
    <w:p w:rsidR="00500724" w:rsidRDefault="00F30FB8">
      <w:pPr>
        <w:pStyle w:val="Jin0"/>
        <w:framePr w:w="3710" w:h="3518" w:hSpace="180" w:vSpace="280" w:wrap="notBeside" w:hAnchor="page" w:x="6528" w:y="11521"/>
        <w:shd w:val="clear" w:color="auto" w:fill="auto"/>
        <w:spacing w:after="60" w:line="420" w:lineRule="auto"/>
        <w:ind w:left="980" w:hanging="980"/>
        <w:rPr>
          <w:sz w:val="16"/>
          <w:szCs w:val="16"/>
        </w:rPr>
      </w:pPr>
      <w:r>
        <w:rPr>
          <w:rFonts w:ascii="Arial" w:eastAsia="Arial" w:hAnsi="Arial" w:cs="Arial"/>
          <w:b/>
          <w:bCs/>
          <w:sz w:val="15"/>
          <w:szCs w:val="15"/>
        </w:rPr>
        <w:t xml:space="preserve">Jasný obraz všeho, čeho ie třeba o Německu vědět </w:t>
      </w:r>
      <w:r>
        <w:rPr>
          <w:rFonts w:ascii="Arial" w:eastAsia="Arial" w:hAnsi="Arial" w:cs="Arial"/>
          <w:b/>
          <w:bCs/>
          <w:smallCaps/>
          <w:sz w:val="16"/>
          <w:szCs w:val="16"/>
        </w:rPr>
        <w:t>dodá každý knihkupeci</w:t>
      </w:r>
    </w:p>
    <w:p w:rsidR="00500724" w:rsidRDefault="00F30FB8">
      <w:pPr>
        <w:pStyle w:val="Zkladntext80"/>
        <w:framePr w:w="3710" w:h="3518" w:hSpace="180" w:vSpace="280" w:wrap="notBeside" w:hAnchor="page" w:x="6528" w:y="11521"/>
        <w:shd w:val="clear" w:color="auto" w:fill="auto"/>
        <w:spacing w:after="60" w:line="240" w:lineRule="auto"/>
        <w:ind w:left="980" w:hanging="980"/>
        <w:jc w:val="both"/>
        <w:rPr>
          <w:sz w:val="20"/>
          <w:szCs w:val="20"/>
        </w:rPr>
      </w:pPr>
      <w:r>
        <w:rPr>
          <w:b w:val="0"/>
          <w:bCs w:val="0"/>
          <w:smallCaps/>
          <w:sz w:val="18"/>
          <w:szCs w:val="18"/>
        </w:rPr>
        <w:t>Orbu</w:t>
      </w:r>
      <w:r>
        <w:rPr>
          <w:sz w:val="20"/>
          <w:szCs w:val="20"/>
        </w:rPr>
        <w:t xml:space="preserve"> - PRAHA XII, FOCHOVA 62</w:t>
      </w:r>
    </w:p>
    <w:p w:rsidR="00500724" w:rsidRDefault="00F30FB8">
      <w:pPr>
        <w:pStyle w:val="Zkladntext40"/>
        <w:shd w:val="clear" w:color="auto" w:fill="auto"/>
        <w:spacing w:after="0" w:line="276" w:lineRule="auto"/>
        <w:ind w:left="280" w:firstLine="140"/>
        <w:jc w:val="left"/>
      </w:pPr>
      <w:r>
        <w:t xml:space="preserve">Z právě </w:t>
      </w:r>
      <w:r>
        <w:t>vyšlého 10. čísla ěasopísu Věda a život.</w:t>
      </w:r>
    </w:p>
    <w:p w:rsidR="00500724" w:rsidRDefault="00F30FB8">
      <w:pPr>
        <w:spacing w:line="1" w:lineRule="exact"/>
        <w:rPr>
          <w:sz w:val="2"/>
          <w:szCs w:val="2"/>
        </w:rPr>
      </w:pPr>
      <w:r>
        <w:br w:type="column"/>
      </w:r>
    </w:p>
    <w:p w:rsidR="00500724" w:rsidRDefault="00F30FB8">
      <w:pPr>
        <w:pStyle w:val="Zkladntext40"/>
        <w:shd w:val="clear" w:color="auto" w:fill="auto"/>
        <w:spacing w:after="0" w:line="211" w:lineRule="auto"/>
        <w:ind w:firstLine="180"/>
      </w:pPr>
      <w:r>
        <w:rPr>
          <w:rFonts w:ascii="Georgia" w:eastAsia="Georgia" w:hAnsi="Georgia" w:cs="Georgia"/>
          <w:b/>
          <w:bCs/>
          <w:sz w:val="13"/>
          <w:szCs w:val="13"/>
        </w:rPr>
        <w:t>DESET AKVARIÍ VE STUDIJ</w:t>
      </w:r>
      <w:r>
        <w:rPr>
          <w:rFonts w:ascii="Georgia" w:eastAsia="Georgia" w:hAnsi="Georgia" w:cs="Georgia"/>
          <w:b/>
          <w:bCs/>
          <w:sz w:val="13"/>
          <w:szCs w:val="13"/>
        </w:rPr>
        <w:softHyphen/>
      </w:r>
      <w:r>
        <w:t>NÍM ÚSTAVU VE ZLÍNĚ. Ve sna</w:t>
      </w:r>
      <w:r>
        <w:softHyphen/>
        <w:t>ze poskytnouti přitažlivostí co nejvíce vzdělání, pořádá biologic</w:t>
      </w:r>
      <w:r>
        <w:softHyphen/>
        <w:t>ké oddělení Studijního ústavu řa</w:t>
      </w:r>
      <w:r>
        <w:softHyphen/>
        <w:t>du živých a poutavých exposic.</w:t>
      </w:r>
    </w:p>
    <w:p w:rsidR="00500724" w:rsidRDefault="00F30FB8">
      <w:pPr>
        <w:pStyle w:val="Zkladntext40"/>
        <w:numPr>
          <w:ilvl w:val="0"/>
          <w:numId w:val="80"/>
        </w:numPr>
        <w:shd w:val="clear" w:color="auto" w:fill="auto"/>
        <w:tabs>
          <w:tab w:val="left" w:pos="250"/>
        </w:tabs>
        <w:spacing w:after="0" w:line="206" w:lineRule="auto"/>
      </w:pPr>
      <w:r>
        <w:t>ústavu je stálá exposice čer</w:t>
      </w:r>
      <w:r>
        <w:softHyphen/>
      </w:r>
      <w:r>
        <w:t>stvých rostlin ze zlínského kraje. Nyní byla zahájena další instala</w:t>
      </w:r>
      <w:r>
        <w:softHyphen/>
        <w:t>ce entomologických* sbírek z pot- štátského zámku. Tyto sbírky se doplňují dalšími přírůstky vědec</w:t>
      </w:r>
      <w:r>
        <w:softHyphen/>
        <w:t>kých kořistí z kraje. V ústavu byla obnovena preparační dílna, v níž bylo již preparováno</w:t>
      </w:r>
      <w:r>
        <w:t xml:space="preserve"> sta kusů hmyzu ze zlínského kraje.</w:t>
      </w:r>
    </w:p>
    <w:p w:rsidR="00500724" w:rsidRDefault="00F30FB8">
      <w:pPr>
        <w:pStyle w:val="Zkladntext40"/>
        <w:numPr>
          <w:ilvl w:val="0"/>
          <w:numId w:val="80"/>
        </w:numPr>
        <w:shd w:val="clear" w:color="auto" w:fill="auto"/>
        <w:tabs>
          <w:tab w:val="left" w:pos="250"/>
        </w:tabs>
        <w:spacing w:line="206" w:lineRule="auto"/>
      </w:pPr>
      <w:r>
        <w:t xml:space="preserve">osmi akváriích jsou známé </w:t>
      </w:r>
      <w:r>
        <w:rPr>
          <w:rFonts w:ascii="Georgia" w:eastAsia="Georgia" w:hAnsi="Georgia" w:cs="Georgia"/>
          <w:b/>
          <w:bCs/>
          <w:sz w:val="13"/>
          <w:szCs w:val="13"/>
        </w:rPr>
        <w:t xml:space="preserve">i </w:t>
      </w:r>
      <w:r>
        <w:t>méně známé druhy ryb. Nyní bu</w:t>
      </w:r>
      <w:r>
        <w:softHyphen/>
        <w:t>dují další dvě hektolitrová akva- ria, takže tento ústav bude mít celkem deset akvarií. Ozdobou ústavu jsou sbírky měkkýšů, mezi nimiž jsou nádherné a vzácné kusy</w:t>
      </w:r>
      <w:r>
        <w:t>.</w:t>
      </w:r>
    </w:p>
    <w:p w:rsidR="00500724" w:rsidRDefault="00F30FB8">
      <w:pPr>
        <w:pStyle w:val="Zkladntext90"/>
        <w:shd w:val="clear" w:color="auto" w:fill="auto"/>
        <w:spacing w:line="240" w:lineRule="auto"/>
        <w:ind w:firstLine="0"/>
      </w:pPr>
      <w:r>
        <w:t>ERICH KÁSTNER:</w:t>
      </w:r>
    </w:p>
    <w:p w:rsidR="00500724" w:rsidRDefault="00F30FB8">
      <w:pPr>
        <w:pStyle w:val="Zkladntext1"/>
        <w:shd w:val="clear" w:color="auto" w:fill="auto"/>
        <w:spacing w:after="60" w:line="180" w:lineRule="auto"/>
        <w:ind w:firstLine="0"/>
        <w:rPr>
          <w:sz w:val="18"/>
          <w:szCs w:val="18"/>
        </w:rPr>
      </w:pPr>
      <w:r>
        <w:rPr>
          <w:b/>
          <w:bCs/>
          <w:smallCaps/>
          <w:sz w:val="18"/>
          <w:szCs w:val="18"/>
        </w:rPr>
        <w:t>lyrická domácí lékárna</w:t>
      </w:r>
    </w:p>
    <w:p w:rsidR="00500724" w:rsidRDefault="00F30FB8">
      <w:pPr>
        <w:pStyle w:val="Zkladntext40"/>
        <w:shd w:val="clear" w:color="auto" w:fill="auto"/>
        <w:spacing w:line="206" w:lineRule="auto"/>
        <w:ind w:firstLine="180"/>
      </w:pPr>
      <w:r>
        <w:t>Lyrika Ericha Kástnera jest poesií doby. pro jejíž duševní chorobu není dosud diagnosy, není tedy divu, že tu nenajdeme hojivého léku, nejvýše trochu drsné náplasti. Odkloniv se od staré básnické fantasie, nachází Er</w:t>
      </w:r>
      <w:r>
        <w:t>ich Kástner zdroj své věcné básnické zkušenosti v nejvšed</w:t>
      </w:r>
      <w:r>
        <w:softHyphen/>
        <w:t>nějších jevech, v nej obyčejnějších příbězích a nejnenápadnějších, še</w:t>
      </w:r>
      <w:r>
        <w:softHyphen/>
        <w:t>divých osudech. Vydal Toužímský a Moravec.</w:t>
      </w:r>
    </w:p>
    <w:p w:rsidR="00500724" w:rsidRDefault="00F30FB8">
      <w:pPr>
        <w:pStyle w:val="Zkladntext40"/>
        <w:shd w:val="clear" w:color="auto" w:fill="auto"/>
        <w:spacing w:line="180" w:lineRule="auto"/>
        <w:ind w:firstLine="180"/>
      </w:pPr>
      <w:r>
        <w:t>ŠKOLA PRO VÝCHOVU SEKRE</w:t>
      </w:r>
      <w:r>
        <w:softHyphen/>
        <w:t xml:space="preserve">TÁŘEK. V uplynulých dnech se konaly závěrečné zkoušky také v </w:t>
      </w:r>
      <w:r>
        <w:t>celoročním večerním kursu pro výchovu sekretářek. Kurs byl již po druhé pořádán Jednotným svazem soukromých zaměstnanců a Spolkem profesorů obchodního školství při Českoslovanské ob</w:t>
      </w:r>
      <w:r>
        <w:softHyphen/>
        <w:t>chodní akademii. Obsah učiva byl v tomto školním roce podstatné rozšířen a</w:t>
      </w:r>
      <w:r>
        <w:t xml:space="preserve"> jakostně prohlouben. Závěrečnou zkoušku vykonalo 38 posluchaček, z nichž tři měly ve všech předmětech výborný pro</w:t>
      </w:r>
      <w:r>
        <w:softHyphen/>
        <w:t>spěch, ostatní chvalitebný a dob</w:t>
      </w:r>
      <w:r>
        <w:softHyphen/>
        <w:t>rý. Správa kursu pečuje o to, aby se posluchačkám dostalo kromě základního praktického vzděláni i to nejnově</w:t>
      </w:r>
      <w:r>
        <w:t>jšl, jež přináší do kan</w:t>
      </w:r>
      <w:r>
        <w:softHyphen/>
        <w:t>celáře průmyslový a obchodní rok. — Příští kurs bude opět zahájen 15. září t. r. Zápis je možný již nyní v kulturním odboru Jednot</w:t>
      </w:r>
      <w:r>
        <w:softHyphen/>
        <w:t>ného svazu soukromých zaměst</w:t>
      </w:r>
      <w:r>
        <w:softHyphen/>
        <w:t>nanců v Praze II., Na Zbořenci 18.</w:t>
      </w:r>
    </w:p>
    <w:p w:rsidR="00500724" w:rsidRDefault="00F30FB8">
      <w:pPr>
        <w:pStyle w:val="Zkladntext40"/>
        <w:shd w:val="clear" w:color="auto" w:fill="auto"/>
        <w:spacing w:line="204" w:lineRule="auto"/>
        <w:ind w:firstLine="180"/>
        <w:sectPr w:rsidR="00500724">
          <w:footnotePr>
            <w:numFmt w:val="chicago"/>
            <w:numRestart w:val="eachPage"/>
          </w:footnotePr>
          <w:type w:val="continuous"/>
          <w:pgSz w:w="11909" w:h="16834"/>
          <w:pgMar w:top="1904" w:right="1010" w:bottom="0" w:left="469" w:header="0" w:footer="3" w:gutter="0"/>
          <w:cols w:num="4" w:sep="1" w:space="100"/>
          <w:noEndnote/>
          <w:docGrid w:linePitch="360"/>
        </w:sectPr>
      </w:pPr>
      <w:r>
        <w:t>Bílins</w:t>
      </w:r>
      <w:r>
        <w:t>ký léčivý pramen. Staleté lékařské zkušenosti učí, že Bílin</w:t>
      </w:r>
      <w:r>
        <w:softHyphen/>
        <w:t>ský léčivý pramen jest cenným pokladem přírodních léčivých pro</w:t>
      </w:r>
      <w:r>
        <w:softHyphen/>
        <w:t>středků, obzvláště při onemocně</w:t>
      </w:r>
      <w:r>
        <w:softHyphen/>
        <w:t>ni dýchacích orgánů, nemocech žaludku a střev, chorobách led</w:t>
      </w:r>
      <w:r>
        <w:softHyphen/>
        <w:t>vin a močového měchýře, poru</w:t>
      </w:r>
      <w:r>
        <w:softHyphen/>
        <w:t>chách výměn</w:t>
      </w:r>
      <w:r>
        <w:t>y látkové (cukrov</w:t>
      </w:r>
      <w:r>
        <w:softHyphen/>
        <w:t>ka. kyselá diathese moče, rheu- matismus, dna).</w:t>
      </w:r>
    </w:p>
    <w:p w:rsidR="00500724" w:rsidRDefault="00F30FB8">
      <w:pPr>
        <w:pStyle w:val="Nadpis40"/>
        <w:keepNext/>
        <w:keepLines/>
        <w:shd w:val="clear" w:color="auto" w:fill="auto"/>
        <w:spacing w:after="100"/>
      </w:pPr>
      <w:bookmarkStart w:id="686" w:name="bookmark685"/>
      <w:r>
        <w:t>BítomnosO</w:t>
      </w:r>
      <w:bookmarkEnd w:id="686"/>
    </w:p>
    <w:tbl>
      <w:tblPr>
        <w:tblOverlap w:val="never"/>
        <w:tblW w:w="0" w:type="auto"/>
        <w:jc w:val="center"/>
        <w:tblLayout w:type="fixed"/>
        <w:tblCellMar>
          <w:left w:w="10" w:type="dxa"/>
          <w:right w:w="10" w:type="dxa"/>
        </w:tblCellMar>
        <w:tblLook w:val="04A0" w:firstRow="1" w:lastRow="0" w:firstColumn="1" w:lastColumn="0" w:noHBand="0" w:noVBand="1"/>
      </w:tblPr>
      <w:tblGrid>
        <w:gridCol w:w="7810"/>
        <w:gridCol w:w="3293"/>
      </w:tblGrid>
      <w:tr w:rsidR="00500724">
        <w:tblPrEx>
          <w:tblCellMar>
            <w:top w:w="0" w:type="dxa"/>
            <w:bottom w:w="0" w:type="dxa"/>
          </w:tblCellMar>
        </w:tblPrEx>
        <w:trPr>
          <w:trHeight w:hRule="exact" w:val="643"/>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3645"/>
              </w:tabs>
              <w:ind w:left="240" w:firstLine="40"/>
              <w:rPr>
                <w:sz w:val="22"/>
                <w:szCs w:val="22"/>
              </w:rPr>
            </w:pPr>
            <w:r>
              <w:rPr>
                <w:b/>
                <w:bCs/>
                <w:sz w:val="22"/>
                <w:szCs w:val="22"/>
              </w:rPr>
              <w:t>KOCNlK XVL</w:t>
            </w:r>
            <w:r>
              <w:rPr>
                <w:b/>
                <w:bCs/>
                <w:sz w:val="22"/>
                <w:szCs w:val="22"/>
              </w:rPr>
              <w:tab/>
              <w:t>V PRAZE 12. ČERVENCE 1939</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40" w:firstLine="0"/>
              <w:jc w:val="right"/>
              <w:rPr>
                <w:sz w:val="22"/>
                <w:szCs w:val="22"/>
              </w:rPr>
            </w:pPr>
            <w:r>
              <w:rPr>
                <w:b/>
                <w:bCs/>
                <w:sz w:val="22"/>
                <w:szCs w:val="22"/>
              </w:rPr>
              <w:t>ZA K 2.—</w:t>
            </w:r>
          </w:p>
        </w:tc>
      </w:tr>
      <w:tr w:rsidR="00500724">
        <w:tblPrEx>
          <w:tblCellMar>
            <w:top w:w="0" w:type="dxa"/>
            <w:bottom w:w="0" w:type="dxa"/>
          </w:tblCellMar>
        </w:tblPrEx>
        <w:trPr>
          <w:trHeight w:hRule="exact" w:val="1992"/>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40" w:firstLine="40"/>
              <w:jc w:val="left"/>
              <w:rPr>
                <w:sz w:val="58"/>
                <w:szCs w:val="58"/>
              </w:rPr>
            </w:pPr>
            <w:r>
              <w:rPr>
                <w:sz w:val="58"/>
                <w:szCs w:val="58"/>
              </w:rPr>
              <w:t>Němcovo naučení</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40" w:firstLine="0"/>
              <w:jc w:val="right"/>
              <w:rPr>
                <w:sz w:val="26"/>
                <w:szCs w:val="26"/>
              </w:rPr>
            </w:pPr>
            <w:r>
              <w:rPr>
                <w:b/>
                <w:bCs/>
                <w:sz w:val="26"/>
                <w:szCs w:val="26"/>
                <w:lang w:val="en-US" w:eastAsia="en-US" w:bidi="en-US"/>
              </w:rPr>
              <w:t>GAMMA</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40" w:firstLine="40"/>
              <w:jc w:val="left"/>
              <w:rPr>
                <w:sz w:val="58"/>
                <w:szCs w:val="58"/>
              </w:rPr>
            </w:pPr>
            <w:r>
              <w:rPr>
                <w:sz w:val="58"/>
                <w:szCs w:val="58"/>
              </w:rPr>
              <w:t>Na březích řeky Khalky</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40" w:firstLine="0"/>
              <w:jc w:val="right"/>
              <w:rPr>
                <w:sz w:val="26"/>
                <w:szCs w:val="26"/>
              </w:rPr>
            </w:pPr>
            <w:r>
              <w:rPr>
                <w:b/>
                <w:bCs/>
                <w:sz w:val="26"/>
                <w:szCs w:val="26"/>
              </w:rPr>
              <w:t>PAVEL HOFMAN</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40" w:firstLine="40"/>
              <w:jc w:val="left"/>
              <w:rPr>
                <w:sz w:val="58"/>
                <w:szCs w:val="58"/>
              </w:rPr>
            </w:pPr>
            <w:r>
              <w:rPr>
                <w:sz w:val="58"/>
                <w:szCs w:val="58"/>
              </w:rPr>
              <w:t>Změnila se britská politika?</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40" w:firstLine="0"/>
              <w:jc w:val="right"/>
              <w:rPr>
                <w:sz w:val="26"/>
                <w:szCs w:val="26"/>
              </w:rPr>
            </w:pPr>
            <w:r>
              <w:rPr>
                <w:b/>
                <w:bCs/>
                <w:sz w:val="26"/>
                <w:szCs w:val="26"/>
              </w:rPr>
              <w:t>ZDENEK SMETÁČEK</w:t>
            </w:r>
          </w:p>
        </w:tc>
      </w:tr>
      <w:tr w:rsidR="00500724">
        <w:tblPrEx>
          <w:tblCellMar>
            <w:top w:w="0" w:type="dxa"/>
            <w:bottom w:w="0" w:type="dxa"/>
          </w:tblCellMar>
        </w:tblPrEx>
        <w:trPr>
          <w:trHeight w:hRule="exact" w:val="120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340" w:firstLine="0"/>
              <w:jc w:val="left"/>
              <w:rPr>
                <w:sz w:val="58"/>
                <w:szCs w:val="58"/>
              </w:rPr>
            </w:pPr>
            <w:r>
              <w:rPr>
                <w:sz w:val="58"/>
                <w:szCs w:val="58"/>
              </w:rPr>
              <w:t>Světová situace hospodářská</w:t>
            </w:r>
          </w:p>
        </w:tc>
      </w:tr>
      <w:tr w:rsidR="00500724">
        <w:tblPrEx>
          <w:tblCellMar>
            <w:top w:w="0" w:type="dxa"/>
            <w:bottom w:w="0" w:type="dxa"/>
          </w:tblCellMar>
        </w:tblPrEx>
        <w:trPr>
          <w:trHeight w:hRule="exact" w:val="1210"/>
          <w:jc w:val="center"/>
        </w:trPr>
        <w:tc>
          <w:tcPr>
            <w:tcW w:w="0" w:type="auto"/>
            <w:gridSpan w:val="2"/>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left="340" w:firstLine="0"/>
              <w:jc w:val="left"/>
              <w:rPr>
                <w:sz w:val="32"/>
                <w:szCs w:val="32"/>
              </w:rPr>
            </w:pPr>
            <w:r>
              <w:rPr>
                <w:sz w:val="58"/>
                <w:szCs w:val="58"/>
              </w:rPr>
              <w:t xml:space="preserve">Nesnáze s moderním uměním </w:t>
            </w:r>
            <w:r>
              <w:rPr>
                <w:smallCaps/>
                <w:sz w:val="32"/>
                <w:szCs w:val="32"/>
              </w:rPr>
              <w:t>jjndrich chalupecký</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40" w:firstLine="40"/>
              <w:jc w:val="left"/>
              <w:rPr>
                <w:sz w:val="58"/>
                <w:szCs w:val="58"/>
              </w:rPr>
            </w:pPr>
            <w:r>
              <w:rPr>
                <w:sz w:val="58"/>
                <w:szCs w:val="58"/>
              </w:rPr>
              <w:t>Zaměřte Pražana</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40" w:firstLine="0"/>
              <w:jc w:val="right"/>
              <w:rPr>
                <w:sz w:val="26"/>
                <w:szCs w:val="26"/>
              </w:rPr>
            </w:pPr>
            <w:r>
              <w:rPr>
                <w:b/>
                <w:bCs/>
                <w:sz w:val="26"/>
                <w:szCs w:val="26"/>
              </w:rPr>
              <w:t>JAN DRDA</w:t>
            </w:r>
          </w:p>
        </w:tc>
      </w:tr>
      <w:tr w:rsidR="00500724">
        <w:tblPrEx>
          <w:tblCellMar>
            <w:top w:w="0" w:type="dxa"/>
            <w:bottom w:w="0" w:type="dxa"/>
          </w:tblCellMar>
        </w:tblPrEx>
        <w:trPr>
          <w:trHeight w:hRule="exact" w:val="2477"/>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spacing w:line="262" w:lineRule="auto"/>
              <w:ind w:left="420" w:firstLine="20"/>
              <w:rPr>
                <w:sz w:val="26"/>
                <w:szCs w:val="26"/>
              </w:rPr>
            </w:pPr>
            <w:r>
              <w:rPr>
                <w:b/>
                <w:bCs/>
                <w:sz w:val="26"/>
                <w:szCs w:val="26"/>
              </w:rPr>
              <w:t xml:space="preserve">Zápas o neutralitu ve Spojených Státech. — Radost ze života. — </w:t>
            </w:r>
            <w:r>
              <w:rPr>
                <w:b/>
                <w:bCs/>
                <w:sz w:val="26"/>
                <w:szCs w:val="26"/>
                <w:lang w:val="en-US" w:eastAsia="en-US" w:bidi="en-US"/>
              </w:rPr>
              <w:t xml:space="preserve">tost </w:t>
            </w:r>
            <w:r>
              <w:rPr>
                <w:b/>
                <w:bCs/>
                <w:sz w:val="26"/>
                <w:szCs w:val="26"/>
              </w:rPr>
              <w:t>nad Alšovým Špalíčkem. — Kdy se vyčerpají?—</w:t>
            </w:r>
            <w:r>
              <w:rPr>
                <w:b/>
                <w:bCs/>
                <w:sz w:val="26"/>
                <w:szCs w:val="26"/>
                <w:lang w:val="en-US" w:eastAsia="en-US" w:bidi="en-US"/>
              </w:rPr>
              <w:t xml:space="preserve">Televise. </w:t>
            </w:r>
            <w:r>
              <w:rPr>
                <w:b/>
                <w:bCs/>
                <w:sz w:val="26"/>
                <w:szCs w:val="26"/>
              </w:rPr>
              <w:t>— Je jasnozřivost možná? — české a německé divadlo v Praze.</w:t>
            </w:r>
          </w:p>
          <w:p w:rsidR="00500724" w:rsidRDefault="00F30FB8">
            <w:pPr>
              <w:pStyle w:val="Jin0"/>
              <w:shd w:val="clear" w:color="auto" w:fill="auto"/>
              <w:spacing w:line="262" w:lineRule="auto"/>
              <w:ind w:left="3700" w:firstLine="0"/>
              <w:jc w:val="left"/>
              <w:rPr>
                <w:sz w:val="26"/>
                <w:szCs w:val="26"/>
              </w:rPr>
            </w:pPr>
            <w:r>
              <w:rPr>
                <w:b/>
                <w:bCs/>
                <w:sz w:val="26"/>
                <w:szCs w:val="26"/>
              </w:rPr>
              <w:t>vdané za Čecha. — Tvář Prahy.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00724" w:rsidRDefault="00F30FB8">
            <w:pPr>
              <w:pStyle w:val="Jin0"/>
              <w:numPr>
                <w:ilvl w:val="0"/>
                <w:numId w:val="81"/>
              </w:numPr>
              <w:shd w:val="clear" w:color="auto" w:fill="auto"/>
              <w:tabs>
                <w:tab w:val="left" w:pos="120"/>
              </w:tabs>
              <w:spacing w:line="262" w:lineRule="auto"/>
              <w:ind w:firstLine="0"/>
              <w:jc w:val="left"/>
              <w:rPr>
                <w:sz w:val="26"/>
                <w:szCs w:val="26"/>
              </w:rPr>
            </w:pPr>
            <w:r>
              <w:rPr>
                <w:b/>
                <w:bCs/>
                <w:sz w:val="26"/>
                <w:szCs w:val="26"/>
              </w:rPr>
              <w:t>Před dvaceti lety. — Lí- Zemědělec a důstojník. —</w:t>
            </w:r>
          </w:p>
          <w:p w:rsidR="00500724" w:rsidRDefault="00F30FB8">
            <w:pPr>
              <w:pStyle w:val="Jin0"/>
              <w:numPr>
                <w:ilvl w:val="0"/>
                <w:numId w:val="82"/>
              </w:numPr>
              <w:shd w:val="clear" w:color="auto" w:fill="auto"/>
              <w:tabs>
                <w:tab w:val="left" w:pos="418"/>
              </w:tabs>
              <w:spacing w:line="262" w:lineRule="auto"/>
              <w:ind w:firstLine="0"/>
              <w:jc w:val="left"/>
              <w:rPr>
                <w:sz w:val="26"/>
                <w:szCs w:val="26"/>
              </w:rPr>
            </w:pPr>
            <w:r>
              <w:rPr>
                <w:b/>
                <w:bCs/>
                <w:sz w:val="26"/>
                <w:szCs w:val="26"/>
              </w:rPr>
              <w:t>Češka Slovence, pro-</w:t>
            </w:r>
          </w:p>
        </w:tc>
      </w:tr>
    </w:tbl>
    <w:p w:rsidR="00500724" w:rsidRDefault="00500724">
      <w:pPr>
        <w:spacing w:line="14" w:lineRule="exact"/>
        <w:sectPr w:rsidR="00500724">
          <w:footnotePr>
            <w:numFmt w:val="chicago"/>
            <w:numRestart w:val="eachPage"/>
          </w:footnotePr>
          <w:pgSz w:w="11909" w:h="16834"/>
          <w:pgMar w:top="949" w:right="170" w:bottom="480" w:left="415" w:header="0" w:footer="3" w:gutter="0"/>
          <w:cols w:space="720"/>
          <w:noEndnote/>
          <w:docGrid w:linePitch="360"/>
        </w:sectPr>
      </w:pPr>
    </w:p>
    <w:p w:rsidR="00500724" w:rsidRDefault="00F30FB8">
      <w:pPr>
        <w:spacing w:line="14" w:lineRule="exact"/>
      </w:pPr>
      <w:r>
        <w:rPr>
          <w:noProof/>
        </w:rPr>
        <mc:AlternateContent>
          <mc:Choice Requires="wps">
            <w:drawing>
              <wp:anchor distT="340360" distB="12065" distL="141605" distR="848995" simplePos="0" relativeHeight="125830084" behindDoc="0" locked="0" layoutInCell="1" allowOverlap="1">
                <wp:simplePos x="0" y="0"/>
                <wp:positionH relativeFrom="page">
                  <wp:posOffset>3482340</wp:posOffset>
                </wp:positionH>
                <wp:positionV relativeFrom="paragraph">
                  <wp:posOffset>374650</wp:posOffset>
                </wp:positionV>
                <wp:extent cx="2362200" cy="283210"/>
                <wp:effectExtent l="0" t="0" r="0" b="0"/>
                <wp:wrapTopAndBottom/>
                <wp:docPr id="707" name="Shape 707"/>
                <wp:cNvGraphicFramePr/>
                <a:graphic xmlns:a="http://schemas.openxmlformats.org/drawingml/2006/main">
                  <a:graphicData uri="http://schemas.microsoft.com/office/word/2010/wordprocessingShape">
                    <wps:wsp>
                      <wps:cNvSpPr txBox="1"/>
                      <wps:spPr>
                        <a:xfrm>
                          <a:off x="0" y="0"/>
                          <a:ext cx="2362200" cy="283210"/>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IHNEVELICHOVKV!</w:t>
                            </w:r>
                          </w:p>
                        </w:txbxContent>
                      </wps:txbx>
                      <wps:bodyPr lIns="0" tIns="0" rIns="0" bIns="0">
                        <a:spAutoFit/>
                      </wps:bodyPr>
                    </wps:wsp>
                  </a:graphicData>
                </a:graphic>
              </wp:anchor>
            </w:drawing>
          </mc:Choice>
          <mc:Fallback>
            <w:pict>
              <v:shape id="_x0000_s1733" type="#_x0000_t202" style="position:absolute;margin-left:274.19999999999999pt;margin-top:29.5pt;width:186.pt;height:22.300000000000001pt;z-index:-125828669;mso-wrap-distance-left:11.15pt;mso-wrap-distance-top:26.800000000000001pt;mso-wrap-distance-right:66.849999999999994pt;mso-wrap-distance-bottom:0.94999999999999996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IHNEVELICHOVKV!</w:t>
                      </w:r>
                    </w:p>
                  </w:txbxContent>
                </v:textbox>
                <w10:wrap type="topAndBottom" anchorx="page"/>
              </v:shape>
            </w:pict>
          </mc:Fallback>
        </mc:AlternateContent>
      </w:r>
      <w:r>
        <w:rPr>
          <w:noProof/>
        </w:rPr>
        <mc:AlternateContent>
          <mc:Choice Requires="wps">
            <w:drawing>
              <wp:anchor distT="440690" distB="0" distL="2622550" distR="114300" simplePos="0" relativeHeight="125830086" behindDoc="0" locked="0" layoutInCell="1" allowOverlap="1">
                <wp:simplePos x="0" y="0"/>
                <wp:positionH relativeFrom="page">
                  <wp:posOffset>5963285</wp:posOffset>
                </wp:positionH>
                <wp:positionV relativeFrom="paragraph">
                  <wp:posOffset>475615</wp:posOffset>
                </wp:positionV>
                <wp:extent cx="615950" cy="194945"/>
                <wp:effectExtent l="0" t="0" r="0" b="0"/>
                <wp:wrapTopAndBottom/>
                <wp:docPr id="709" name="Shape 709"/>
                <wp:cNvGraphicFramePr/>
                <a:graphic xmlns:a="http://schemas.openxmlformats.org/drawingml/2006/main">
                  <a:graphicData uri="http://schemas.microsoft.com/office/word/2010/wordprocessingShape">
                    <wps:wsp>
                      <wps:cNvSpPr txBox="1"/>
                      <wps:spPr>
                        <a:xfrm>
                          <a:off x="0" y="0"/>
                          <a:ext cx="615950" cy="194945"/>
                        </a:xfrm>
                        <a:prstGeom prst="rect">
                          <a:avLst/>
                        </a:prstGeom>
                        <a:noFill/>
                      </wps:spPr>
                      <wps:txbx>
                        <w:txbxContent>
                          <w:p w:rsidR="00500724" w:rsidRDefault="00F30FB8">
                            <w:pPr>
                              <w:pStyle w:val="Zkladntext80"/>
                              <w:shd w:val="clear" w:color="auto" w:fill="auto"/>
                              <w:spacing w:line="240" w:lineRule="auto"/>
                              <w:rPr>
                                <w:sz w:val="24"/>
                                <w:szCs w:val="24"/>
                              </w:rPr>
                            </w:pPr>
                            <w:r>
                              <w:rPr>
                                <w:w w:val="70"/>
                                <w:sz w:val="24"/>
                                <w:szCs w:val="24"/>
                              </w:rPr>
                              <w:t>u Jaroměře</w:t>
                            </w:r>
                          </w:p>
                        </w:txbxContent>
                      </wps:txbx>
                      <wps:bodyPr lIns="0" tIns="0" rIns="0" bIns="0">
                        <a:spAutoFit/>
                      </wps:bodyPr>
                    </wps:wsp>
                  </a:graphicData>
                </a:graphic>
              </wp:anchor>
            </w:drawing>
          </mc:Choice>
          <mc:Fallback>
            <w:pict>
              <v:shape id="_x0000_s1735" type="#_x0000_t202" style="position:absolute;margin-left:469.55000000000001pt;margin-top:37.450000000000003pt;width:48.5pt;height:15.35pt;z-index:-125828667;mso-wrap-distance-left:206.5pt;mso-wrap-distance-top:34.700000000000003pt;mso-wrap-distance-right:9.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70"/>
                          <w:position w:val="0"/>
                          <w:sz w:val="24"/>
                          <w:szCs w:val="24"/>
                          <w:shd w:val="clear" w:color="auto" w:fill="auto"/>
                          <w:lang w:val="cs-CZ" w:eastAsia="cs-CZ" w:bidi="cs-CZ"/>
                        </w:rPr>
                        <w:t>u Jaroměře</w:t>
                      </w:r>
                    </w:p>
                  </w:txbxContent>
                </v:textbox>
                <w10:wrap type="topAndBottom" anchorx="page"/>
              </v:shape>
            </w:pict>
          </mc:Fallback>
        </mc:AlternateConten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jc w:val="center"/>
      </w:pPr>
      <w:bookmarkStart w:id="687" w:name="bookmark686"/>
      <w:r>
        <w:rPr>
          <w:color w:val="FFFFFF"/>
        </w:rPr>
        <w:t>ODBORNÍ LtKAftl</w:t>
      </w:r>
      <w:bookmarkEnd w:id="687"/>
    </w:p>
    <w:p w:rsidR="00500724" w:rsidRDefault="00F30FB8">
      <w:pPr>
        <w:pStyle w:val="Nadpis110"/>
        <w:shd w:val="clear" w:color="auto" w:fill="auto"/>
        <w:spacing w:line="187" w:lineRule="auto"/>
        <w:jc w:val="both"/>
      </w:pPr>
      <w:bookmarkStart w:id="688" w:name="bookmark687"/>
      <w:r>
        <w:t>MUDr. ZDENKA NEDVĚDOVA-NEJEDLA</w:t>
      </w:r>
      <w:bookmarkEnd w:id="688"/>
    </w:p>
    <w:p w:rsidR="00500724" w:rsidRDefault="00F30FB8">
      <w:pPr>
        <w:pStyle w:val="Zkladntext1"/>
        <w:shd w:val="clear" w:color="auto" w:fill="auto"/>
        <w:spacing w:after="200" w:line="228" w:lineRule="auto"/>
        <w:ind w:firstLine="0"/>
        <w:rPr>
          <w:sz w:val="18"/>
          <w:szCs w:val="18"/>
        </w:rPr>
      </w:pPr>
      <w:r>
        <w:rPr>
          <w:sz w:val="18"/>
          <w:szCs w:val="18"/>
        </w:rPr>
        <w:t xml:space="preserve">odb. dětská lékařka, PODOLÍ, PANKRÁCKÁ 14 (stanice elektr. </w:t>
      </w:r>
      <w:r>
        <w:rPr>
          <w:sz w:val="18"/>
          <w:szCs w:val="18"/>
          <w:u w:val="single"/>
        </w:rPr>
        <w:t>dráhy za Podol, sanatoriem). Ord. 9—10 a 2—4. Tel. 441-77.</w:t>
      </w:r>
    </w:p>
    <w:p w:rsidR="00500724" w:rsidRDefault="00F30FB8">
      <w:pPr>
        <w:pStyle w:val="Nadpis110"/>
        <w:shd w:val="clear" w:color="auto" w:fill="auto"/>
        <w:jc w:val="both"/>
      </w:pPr>
      <w:bookmarkStart w:id="689" w:name="bookmark688"/>
      <w:r>
        <w:t>MUDr. ANTONÍN NEUMANN</w:t>
      </w:r>
      <w:bookmarkEnd w:id="689"/>
    </w:p>
    <w:p w:rsidR="00500724" w:rsidRDefault="00F30FB8">
      <w:pPr>
        <w:pStyle w:val="Zkladntext40"/>
        <w:shd w:val="clear" w:color="auto" w:fill="auto"/>
        <w:spacing w:after="0" w:line="192" w:lineRule="auto"/>
        <w:ind w:firstLine="680"/>
        <w:rPr>
          <w:sz w:val="16"/>
          <w:szCs w:val="16"/>
        </w:rPr>
      </w:pPr>
      <w:r>
        <w:rPr>
          <w:sz w:val="18"/>
          <w:szCs w:val="18"/>
        </w:rPr>
        <w:t xml:space="preserve">odborný lékař nemoci pohlavních, kožních </w:t>
      </w:r>
      <w:r>
        <w:rPr>
          <w:b/>
          <w:bCs/>
          <w:sz w:val="16"/>
          <w:szCs w:val="16"/>
        </w:rPr>
        <w:t xml:space="preserve">a </w:t>
      </w:r>
      <w:r>
        <w:rPr>
          <w:sz w:val="18"/>
          <w:szCs w:val="18"/>
        </w:rPr>
        <w:t xml:space="preserve">kosmetiky </w:t>
      </w:r>
      <w:r>
        <w:rPr>
          <w:b/>
          <w:bCs/>
          <w:sz w:val="16"/>
          <w:szCs w:val="16"/>
        </w:rPr>
        <w:t xml:space="preserve">Praha HL, Na Zbořenci 24 — třetí dům od Karlova náměstí. </w:t>
      </w:r>
      <w:r>
        <w:rPr>
          <w:b/>
          <w:bCs/>
          <w:sz w:val="16"/>
          <w:szCs w:val="16"/>
          <w:u w:val="single"/>
        </w:rPr>
        <w:t>Ordinu</w:t>
      </w:r>
      <w:r>
        <w:rPr>
          <w:b/>
          <w:bCs/>
          <w:sz w:val="16"/>
          <w:szCs w:val="16"/>
          <w:u w:val="single"/>
        </w:rPr>
        <w:t xml:space="preserve">je celý den. </w:t>
      </w:r>
      <w:r>
        <w:rPr>
          <w:sz w:val="18"/>
          <w:szCs w:val="18"/>
          <w:u w:val="single"/>
        </w:rPr>
        <w:t xml:space="preserve">V </w:t>
      </w:r>
      <w:r>
        <w:rPr>
          <w:b/>
          <w:bCs/>
          <w:sz w:val="16"/>
          <w:szCs w:val="16"/>
          <w:u w:val="single"/>
        </w:rPr>
        <w:t>neděli a ve svátek dopoledne. Tel. 41.728.</w:t>
      </w:r>
    </w:p>
    <w:p w:rsidR="00500724" w:rsidRDefault="00F30FB8">
      <w:pPr>
        <w:pStyle w:val="Nadpis120"/>
        <w:shd w:val="clear" w:color="auto" w:fill="auto"/>
        <w:ind w:left="480"/>
        <w:jc w:val="both"/>
        <w:sectPr w:rsidR="00500724">
          <w:footnotePr>
            <w:numFmt w:val="chicago"/>
            <w:numRestart w:val="eachPage"/>
          </w:footnotePr>
          <w:pgSz w:w="11909" w:h="16834"/>
          <w:pgMar w:top="735" w:right="1476" w:bottom="607" w:left="7" w:header="0" w:footer="3" w:gutter="0"/>
          <w:cols w:num="2" w:space="397"/>
          <w:noEndnote/>
          <w:docGrid w:linePitch="360"/>
        </w:sectPr>
      </w:pPr>
      <w:bookmarkStart w:id="690" w:name="bookmark689"/>
      <w:r>
        <w:t>poskytují komfort velkých lázní za mírné ceny. S úspěchem léčí: revma, dnu, ischias, nervosu, ženské choroby.</w:t>
      </w:r>
      <w:bookmarkEnd w:id="690"/>
    </w:p>
    <w:p w:rsidR="00500724" w:rsidRDefault="00F30FB8">
      <w:pPr>
        <w:pStyle w:val="Zkladntext1"/>
        <w:shd w:val="clear" w:color="auto" w:fill="auto"/>
        <w:spacing w:after="160" w:line="266" w:lineRule="auto"/>
        <w:ind w:right="460" w:firstLine="0"/>
        <w:rPr>
          <w:sz w:val="14"/>
          <w:szCs w:val="14"/>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 xml:space="preserve">ord. 3—4 (a podle úmluvy). Telefon 393-79. </w:t>
      </w:r>
      <w:r>
        <w:rPr>
          <w:b/>
          <w:bCs/>
          <w:sz w:val="14"/>
          <w:szCs w:val="14"/>
        </w:rPr>
        <w:t>PRAHA IL, VO</w:t>
      </w:r>
      <w:r>
        <w:rPr>
          <w:b/>
          <w:bCs/>
          <w:sz w:val="14"/>
          <w:szCs w:val="14"/>
        </w:rPr>
        <w:softHyphen/>
      </w:r>
      <w:r>
        <w:rPr>
          <w:b/>
          <w:bCs/>
          <w:sz w:val="14"/>
          <w:szCs w:val="14"/>
          <w:u w:val="single"/>
        </w:rPr>
        <w:t>DIČKOVA 15. (Hlávkův nalác.)</w:t>
      </w:r>
    </w:p>
    <w:p w:rsidR="00500724" w:rsidRDefault="00F30FB8">
      <w:pPr>
        <w:pStyle w:val="Zkladntext40"/>
        <w:shd w:val="clear" w:color="auto" w:fill="auto"/>
        <w:spacing w:after="0" w:line="257" w:lineRule="auto"/>
        <w:ind w:right="460"/>
        <w:rPr>
          <w:sz w:val="14"/>
          <w:szCs w:val="14"/>
        </w:rPr>
        <w:sectPr w:rsidR="00500724">
          <w:footnotePr>
            <w:numFmt w:val="chicago"/>
            <w:numRestart w:val="eachPage"/>
          </w:footnotePr>
          <w:type w:val="continuous"/>
          <w:pgSz w:w="11909" w:h="16834"/>
          <w:pgMar w:top="735" w:right="6420" w:bottom="607" w:left="2" w:header="0" w:footer="3" w:gutter="0"/>
          <w:cols w:space="720"/>
          <w:noEndnote/>
          <w:docGrid w:linePitch="360"/>
        </w:sectPr>
      </w:pPr>
      <w:r>
        <w:rPr>
          <w:rFonts w:ascii="Arial" w:eastAsia="Arial" w:hAnsi="Arial" w:cs="Arial"/>
          <w:b/>
          <w:bCs/>
          <w:sz w:val="22"/>
          <w:szCs w:val="22"/>
        </w:rPr>
        <w:t xml:space="preserve">MUDr. STANISLAV TUMPACH </w:t>
      </w:r>
      <w:r>
        <w:rPr>
          <w:b/>
          <w:bCs/>
          <w:sz w:val="14"/>
          <w:szCs w:val="14"/>
        </w:rPr>
        <w:t xml:space="preserve">odborný lékař pro chirurgii a urologii. PRAHA XH., Fochova 84 (Nám. krále </w:t>
      </w:r>
      <w:r>
        <w:rPr>
          <w:b/>
          <w:bCs/>
          <w:sz w:val="14"/>
          <w:szCs w:val="14"/>
          <w:u w:val="single"/>
        </w:rPr>
        <w:t>Jiřího). Ord. 15—17. Tel. 512-86, byt: 513-38</w:t>
      </w:r>
      <w:r>
        <w:rPr>
          <w:b/>
          <w:bCs/>
          <w:sz w:val="14"/>
          <w:szCs w:val="14"/>
          <w:u w:val="single"/>
        </w:rPr>
        <w:t>.</w:t>
      </w:r>
    </w:p>
    <w:p w:rsidR="00500724" w:rsidRDefault="00F30FB8">
      <w:pPr>
        <w:pStyle w:val="Jin0"/>
        <w:shd w:val="clear" w:color="auto" w:fill="auto"/>
        <w:ind w:firstLine="0"/>
        <w:jc w:val="left"/>
        <w:rPr>
          <w:sz w:val="50"/>
          <w:szCs w:val="50"/>
        </w:rPr>
      </w:pPr>
      <w:r>
        <w:rPr>
          <w:sz w:val="50"/>
          <w:szCs w:val="50"/>
        </w:rPr>
        <w:t>Sanatorium Dr. Borůvka</w:t>
      </w:r>
    </w:p>
    <w:p w:rsidR="00500724" w:rsidRDefault="00F30FB8">
      <w:pPr>
        <w:pStyle w:val="Zkladntext1"/>
        <w:shd w:val="clear" w:color="auto" w:fill="auto"/>
        <w:spacing w:after="340" w:line="185" w:lineRule="auto"/>
        <w:ind w:firstLine="0"/>
        <w:rPr>
          <w:sz w:val="18"/>
          <w:szCs w:val="18"/>
        </w:rPr>
      </w:pPr>
      <w:r>
        <w:rPr>
          <w:sz w:val="18"/>
          <w:szCs w:val="18"/>
        </w:rPr>
        <w:t xml:space="preserve">ústav pro choroby chirurgické, ženské a porody, PRAHA H.. </w:t>
      </w:r>
      <w:r>
        <w:rPr>
          <w:b/>
          <w:bCs/>
          <w:sz w:val="14"/>
          <w:szCs w:val="14"/>
          <w:u w:val="single"/>
        </w:rPr>
        <w:t xml:space="preserve">LEGEROVA </w:t>
      </w:r>
      <w:r>
        <w:rPr>
          <w:sz w:val="18"/>
          <w:szCs w:val="18"/>
          <w:u w:val="single"/>
        </w:rPr>
        <w:t>61/68. Telefony 212-37. 379-06. 332-38.</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40"/>
        <w:jc w:val="center"/>
      </w:pPr>
      <w:bookmarkStart w:id="691" w:name="bookmark690"/>
      <w:r>
        <w:rPr>
          <w:color w:val="FFFFFF"/>
        </w:rPr>
        <w:t>VAS VKUS I NÁROKY USPOKOJÍ</w:t>
      </w:r>
      <w:bookmarkEnd w:id="691"/>
    </w:p>
    <w:p w:rsidR="00500724" w:rsidRDefault="00F30FB8">
      <w:pPr>
        <w:pStyle w:val="Zkladntext40"/>
        <w:shd w:val="clear" w:color="auto" w:fill="auto"/>
        <w:spacing w:after="0" w:line="240" w:lineRule="auto"/>
        <w:jc w:val="center"/>
        <w:rPr>
          <w:sz w:val="14"/>
          <w:szCs w:val="14"/>
        </w:rPr>
      </w:pPr>
      <w:r>
        <w:rPr>
          <w:b/>
          <w:bCs/>
          <w:sz w:val="14"/>
          <w:szCs w:val="14"/>
        </w:rPr>
        <w:t>OBUV PRO VYŠŠÍ NÁROKY</w:t>
      </w:r>
    </w:p>
    <w:p w:rsidR="00500724" w:rsidRDefault="00F30FB8">
      <w:pPr>
        <w:pStyle w:val="Jin0"/>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
        <w:pBdr>
          <w:bottom w:val="single" w:sz="4" w:space="0" w:color="auto"/>
        </w:pBdr>
        <w:shd w:val="clear" w:color="auto" w:fill="auto"/>
        <w:spacing w:after="540"/>
        <w:ind w:left="140" w:firstLine="0"/>
        <w:jc w:val="left"/>
        <w:rPr>
          <w:sz w:val="20"/>
          <w:szCs w:val="20"/>
        </w:rPr>
      </w:pPr>
      <w:r>
        <w:rPr>
          <w:sz w:val="20"/>
          <w:szCs w:val="20"/>
        </w:rPr>
        <w:t>PRAHA I., PŘÍKOPY 35, schodiště A. Tel. 315-28.</w:t>
      </w:r>
    </w:p>
    <w:p w:rsidR="00500724" w:rsidRDefault="00F30FB8">
      <w:pPr>
        <w:pStyle w:val="Zkladntext1"/>
        <w:shd w:val="clear" w:color="auto" w:fill="auto"/>
        <w:spacing w:line="360" w:lineRule="auto"/>
        <w:ind w:firstLine="0"/>
        <w:jc w:val="center"/>
        <w:rPr>
          <w:sz w:val="20"/>
          <w:szCs w:val="20"/>
        </w:rPr>
      </w:pPr>
      <w:r>
        <w:rPr>
          <w:b/>
          <w:bCs/>
          <w:sz w:val="20"/>
          <w:szCs w:val="20"/>
        </w:rPr>
        <w:t xml:space="preserve">VLADIMÍR </w:t>
      </w:r>
      <w:r>
        <w:rPr>
          <w:b/>
          <w:bCs/>
          <w:sz w:val="20"/>
          <w:szCs w:val="20"/>
        </w:rPr>
        <w:t>HOLAN</w:t>
      </w:r>
    </w:p>
    <w:p w:rsidR="00500724" w:rsidRDefault="00F30FB8">
      <w:pPr>
        <w:pStyle w:val="Jin0"/>
        <w:shd w:val="clear" w:color="auto" w:fill="auto"/>
        <w:spacing w:after="100"/>
        <w:ind w:firstLine="0"/>
        <w:jc w:val="center"/>
        <w:rPr>
          <w:sz w:val="66"/>
          <w:szCs w:val="66"/>
        </w:rPr>
      </w:pPr>
      <w:r>
        <w:rPr>
          <w:sz w:val="66"/>
          <w:szCs w:val="66"/>
        </w:rPr>
        <w:t>SEN</w:t>
      </w:r>
    </w:p>
    <w:p w:rsidR="00500724" w:rsidRDefault="00F30FB8">
      <w:pPr>
        <w:pStyle w:val="Nadpis120"/>
        <w:shd w:val="clear" w:color="auto" w:fill="auto"/>
        <w:spacing w:line="329" w:lineRule="auto"/>
        <w:ind w:left="240" w:firstLine="20"/>
      </w:pPr>
      <w:bookmarkStart w:id="692" w:name="bookmark691"/>
      <w:r>
        <w:t>Sen je jedním z nejpozoruhodnějších básnických projevů českých v poslední době.</w:t>
      </w:r>
      <w:bookmarkEnd w:id="692"/>
    </w:p>
    <w:p w:rsidR="00500724" w:rsidRDefault="00F30FB8">
      <w:pPr>
        <w:pStyle w:val="Zkladntext1"/>
        <w:shd w:val="clear" w:color="auto" w:fill="auto"/>
        <w:spacing w:line="360" w:lineRule="auto"/>
        <w:ind w:right="240" w:firstLine="0"/>
        <w:jc w:val="right"/>
        <w:rPr>
          <w:sz w:val="20"/>
          <w:szCs w:val="20"/>
        </w:rPr>
      </w:pPr>
      <w:r>
        <w:rPr>
          <w:b/>
          <w:bCs/>
          <w:sz w:val="20"/>
          <w:szCs w:val="20"/>
        </w:rPr>
        <w:t>Vilém Závada.</w:t>
      </w:r>
    </w:p>
    <w:p w:rsidR="00500724" w:rsidRDefault="00F30FB8">
      <w:pPr>
        <w:pStyle w:val="Nadpis120"/>
        <w:shd w:val="clear" w:color="auto" w:fill="auto"/>
        <w:tabs>
          <w:tab w:val="left" w:pos="2482"/>
          <w:tab w:val="left" w:pos="3663"/>
        </w:tabs>
        <w:spacing w:line="329" w:lineRule="auto"/>
        <w:ind w:left="240" w:firstLine="20"/>
        <w:jc w:val="both"/>
      </w:pPr>
      <w:bookmarkStart w:id="693" w:name="bookmark692"/>
      <w:r>
        <w:t>Brož. 12 K.</w:t>
      </w:r>
      <w:r>
        <w:tab/>
        <w:t>•</w:t>
      </w:r>
      <w:r>
        <w:tab/>
        <w:t>Váz. 22 K.</w:t>
      </w:r>
      <w:bookmarkEnd w:id="693"/>
    </w:p>
    <w:p w:rsidR="00500724" w:rsidRDefault="00F30FB8">
      <w:pPr>
        <w:pStyle w:val="Nadpis120"/>
        <w:shd w:val="clear" w:color="auto" w:fill="auto"/>
        <w:spacing w:line="329" w:lineRule="auto"/>
        <w:ind w:left="0"/>
        <w:jc w:val="center"/>
      </w:pPr>
      <w:bookmarkStart w:id="694" w:name="bookmark693"/>
      <w:r>
        <w:t>Dodá každý knihkupec.</w:t>
      </w:r>
      <w:bookmarkEnd w:id="694"/>
    </w:p>
    <w:p w:rsidR="00500724" w:rsidRDefault="00F30FB8">
      <w:pPr>
        <w:pStyle w:val="Zkladntext1"/>
        <w:shd w:val="clear" w:color="auto" w:fill="auto"/>
        <w:spacing w:line="360" w:lineRule="auto"/>
        <w:ind w:firstLine="0"/>
        <w:jc w:val="center"/>
        <w:rPr>
          <w:sz w:val="20"/>
          <w:szCs w:val="20"/>
        </w:rPr>
      </w:pPr>
      <w:r>
        <w:rPr>
          <w:b/>
          <w:bCs/>
          <w:sz w:val="20"/>
          <w:szCs w:val="20"/>
        </w:rPr>
        <w:t>FR. BOROVÝ.</w:t>
      </w:r>
    </w:p>
    <w:p w:rsidR="00500724" w:rsidRDefault="00F30FB8">
      <w:pPr>
        <w:spacing w:line="1" w:lineRule="exact"/>
        <w:rPr>
          <w:sz w:val="2"/>
          <w:szCs w:val="2"/>
        </w:rPr>
      </w:pPr>
      <w:r>
        <w:br w:type="column"/>
      </w:r>
    </w:p>
    <w:p w:rsidR="00500724" w:rsidRDefault="00F30FB8">
      <w:pPr>
        <w:pStyle w:val="Zkladntext1"/>
        <w:shd w:val="clear" w:color="auto" w:fill="auto"/>
        <w:tabs>
          <w:tab w:val="left" w:pos="3499"/>
        </w:tabs>
        <w:spacing w:after="60" w:line="206" w:lineRule="auto"/>
        <w:ind w:left="300" w:hanging="300"/>
        <w:jc w:val="left"/>
        <w:rPr>
          <w:sz w:val="18"/>
          <w:szCs w:val="18"/>
        </w:rPr>
      </w:pPr>
      <w:r>
        <w:rPr>
          <w:sz w:val="18"/>
          <w:szCs w:val="18"/>
        </w:rPr>
        <w:t xml:space="preserve">BAUM, Dr. Jiří: Na daleké cesty. Příručka pro vystěhovalce a cestovatele. 21% x 15%, 116 </w:t>
      </w:r>
      <w:r>
        <w:rPr>
          <w:sz w:val="18"/>
          <w:szCs w:val="18"/>
        </w:rPr>
        <w:t>str.</w:t>
      </w:r>
      <w:r>
        <w:rPr>
          <w:sz w:val="18"/>
          <w:szCs w:val="18"/>
        </w:rPr>
        <w:tab/>
        <w:t>brož. K 20.—</w:t>
      </w:r>
    </w:p>
    <w:p w:rsidR="00500724" w:rsidRDefault="00F30FB8">
      <w:pPr>
        <w:pStyle w:val="Zkladntext1"/>
        <w:shd w:val="clear" w:color="auto" w:fill="auto"/>
        <w:spacing w:line="206" w:lineRule="auto"/>
        <w:ind w:left="300" w:hanging="300"/>
        <w:jc w:val="left"/>
        <w:rPr>
          <w:sz w:val="18"/>
          <w:szCs w:val="18"/>
        </w:rPr>
      </w:pPr>
      <w:r>
        <w:rPr>
          <w:sz w:val="18"/>
          <w:szCs w:val="18"/>
        </w:rPr>
        <w:t xml:space="preserve">MACHIAVELLI Niccoló: </w:t>
      </w:r>
      <w:r>
        <w:rPr>
          <w:b/>
          <w:bCs/>
          <w:sz w:val="16"/>
          <w:szCs w:val="16"/>
        </w:rPr>
        <w:t xml:space="preserve">Vlády a státy. </w:t>
      </w:r>
      <w:r>
        <w:rPr>
          <w:sz w:val="18"/>
          <w:szCs w:val="18"/>
        </w:rPr>
        <w:t>19X14 cm, 575 str.</w:t>
      </w:r>
    </w:p>
    <w:p w:rsidR="00500724" w:rsidRDefault="00F30FB8">
      <w:pPr>
        <w:pStyle w:val="Zkladntext1"/>
        <w:shd w:val="clear" w:color="auto" w:fill="auto"/>
        <w:spacing w:after="60" w:line="206" w:lineRule="auto"/>
        <w:ind w:firstLine="0"/>
        <w:jc w:val="right"/>
        <w:rPr>
          <w:sz w:val="18"/>
          <w:szCs w:val="18"/>
        </w:rPr>
      </w:pPr>
      <w:r>
        <w:rPr>
          <w:sz w:val="18"/>
          <w:szCs w:val="18"/>
        </w:rPr>
        <w:t>brož. K 45.—, váz. K 55 —</w:t>
      </w:r>
    </w:p>
    <w:p w:rsidR="00500724" w:rsidRDefault="00F30FB8">
      <w:pPr>
        <w:pStyle w:val="Zkladntext1"/>
        <w:shd w:val="clear" w:color="auto" w:fill="auto"/>
        <w:spacing w:line="206" w:lineRule="auto"/>
        <w:ind w:left="300" w:hanging="300"/>
        <w:jc w:val="left"/>
        <w:rPr>
          <w:sz w:val="18"/>
          <w:szCs w:val="18"/>
        </w:rPr>
      </w:pPr>
      <w:r>
        <w:rPr>
          <w:sz w:val="18"/>
          <w:szCs w:val="18"/>
        </w:rPr>
        <w:t>RAMUCS: Míra člověka. Essaye. 16X12, 135 str.</w:t>
      </w:r>
    </w:p>
    <w:p w:rsidR="00500724" w:rsidRDefault="00F30FB8">
      <w:pPr>
        <w:pStyle w:val="Zkladntext1"/>
        <w:shd w:val="clear" w:color="auto" w:fill="auto"/>
        <w:spacing w:after="60" w:line="206" w:lineRule="auto"/>
        <w:ind w:firstLine="0"/>
        <w:jc w:val="right"/>
        <w:rPr>
          <w:sz w:val="18"/>
          <w:szCs w:val="18"/>
        </w:rPr>
      </w:pPr>
      <w:r>
        <w:rPr>
          <w:sz w:val="18"/>
          <w:szCs w:val="18"/>
        </w:rPr>
        <w:t>brož. K 15.—, váz. K 27.—</w:t>
      </w:r>
    </w:p>
    <w:p w:rsidR="00500724" w:rsidRDefault="00F30FB8">
      <w:pPr>
        <w:pStyle w:val="Zkladntext1"/>
        <w:shd w:val="clear" w:color="auto" w:fill="auto"/>
        <w:spacing w:line="206" w:lineRule="auto"/>
        <w:ind w:left="300" w:hanging="300"/>
        <w:jc w:val="left"/>
        <w:rPr>
          <w:sz w:val="18"/>
          <w:szCs w:val="18"/>
        </w:rPr>
      </w:pPr>
      <w:r>
        <w:rPr>
          <w:sz w:val="18"/>
          <w:szCs w:val="18"/>
          <w:lang w:val="en-US" w:eastAsia="en-US" w:bidi="en-US"/>
        </w:rPr>
        <w:t xml:space="preserve">REICHERT, </w:t>
      </w:r>
      <w:r>
        <w:rPr>
          <w:sz w:val="18"/>
          <w:szCs w:val="18"/>
        </w:rPr>
        <w:t xml:space="preserve">JUDr. Jiří: Vynálezy, jejich patentování </w:t>
      </w:r>
      <w:r>
        <w:rPr>
          <w:b/>
          <w:bCs/>
          <w:sz w:val="16"/>
          <w:szCs w:val="16"/>
        </w:rPr>
        <w:t>v ci</w:t>
      </w:r>
      <w:r>
        <w:rPr>
          <w:b/>
          <w:bCs/>
          <w:sz w:val="16"/>
          <w:szCs w:val="16"/>
        </w:rPr>
        <w:softHyphen/>
      </w:r>
      <w:r>
        <w:rPr>
          <w:sz w:val="18"/>
          <w:szCs w:val="18"/>
        </w:rPr>
        <w:t xml:space="preserve">zině. (Mezinárodní právo </w:t>
      </w:r>
      <w:r>
        <w:rPr>
          <w:sz w:val="18"/>
          <w:szCs w:val="18"/>
        </w:rPr>
        <w:t>patentní.) 27X19, 45 str.</w:t>
      </w:r>
    </w:p>
    <w:p w:rsidR="00500724" w:rsidRDefault="00F30FB8">
      <w:pPr>
        <w:pStyle w:val="Zkladntext1"/>
        <w:shd w:val="clear" w:color="auto" w:fill="auto"/>
        <w:spacing w:after="60" w:line="206" w:lineRule="auto"/>
        <w:ind w:firstLine="0"/>
        <w:jc w:val="right"/>
        <w:rPr>
          <w:sz w:val="18"/>
          <w:szCs w:val="18"/>
        </w:rPr>
      </w:pPr>
      <w:r>
        <w:rPr>
          <w:sz w:val="18"/>
          <w:szCs w:val="18"/>
        </w:rPr>
        <w:t>brož. K 20.—</w:t>
      </w:r>
    </w:p>
    <w:p w:rsidR="00500724" w:rsidRDefault="00F30FB8">
      <w:pPr>
        <w:pStyle w:val="Zkladntext1"/>
        <w:shd w:val="clear" w:color="auto" w:fill="auto"/>
        <w:spacing w:after="60" w:line="218" w:lineRule="auto"/>
        <w:ind w:left="300" w:hanging="300"/>
        <w:jc w:val="left"/>
        <w:rPr>
          <w:sz w:val="18"/>
          <w:szCs w:val="18"/>
        </w:rPr>
      </w:pPr>
      <w:r>
        <w:rPr>
          <w:sz w:val="18"/>
          <w:szCs w:val="18"/>
        </w:rPr>
        <w:t xml:space="preserve">VOTOCKOVÁ-LAUERMANNOVÁ Olga: </w:t>
      </w:r>
      <w:r>
        <w:rPr>
          <w:b/>
          <w:bCs/>
          <w:sz w:val="16"/>
          <w:szCs w:val="16"/>
        </w:rPr>
        <w:t xml:space="preserve">President dr Emil Hácha: Poslední události. </w:t>
      </w:r>
      <w:r>
        <w:rPr>
          <w:sz w:val="18"/>
          <w:szCs w:val="18"/>
        </w:rPr>
        <w:t>23 X15 cm, 45 str. brož. K 8.—</w:t>
      </w:r>
    </w:p>
    <w:p w:rsidR="00500724" w:rsidRDefault="00F30FB8">
      <w:pPr>
        <w:pStyle w:val="Zkladntext1"/>
        <w:shd w:val="clear" w:color="auto" w:fill="auto"/>
        <w:tabs>
          <w:tab w:val="left" w:pos="2472"/>
        </w:tabs>
        <w:spacing w:after="180" w:line="206" w:lineRule="auto"/>
        <w:ind w:left="300" w:hanging="300"/>
        <w:jc w:val="left"/>
        <w:rPr>
          <w:sz w:val="18"/>
          <w:szCs w:val="18"/>
        </w:rPr>
      </w:pPr>
      <w:r>
        <w:rPr>
          <w:sz w:val="18"/>
          <w:szCs w:val="18"/>
        </w:rPr>
        <w:t xml:space="preserve">VYHNANOVSKÝ Fr.: </w:t>
      </w:r>
      <w:r>
        <w:rPr>
          <w:b/>
          <w:bCs/>
          <w:sz w:val="16"/>
          <w:szCs w:val="16"/>
        </w:rPr>
        <w:t xml:space="preserve">Cestovní pasy a vystěhovalectví. </w:t>
      </w:r>
      <w:r>
        <w:rPr>
          <w:sz w:val="18"/>
          <w:szCs w:val="18"/>
        </w:rPr>
        <w:t>25%X18, 317 str.</w:t>
      </w:r>
      <w:r>
        <w:rPr>
          <w:sz w:val="18"/>
          <w:szCs w:val="18"/>
        </w:rPr>
        <w:tab/>
        <w:t>brož. K 65.—, váz. K 75.—</w:t>
      </w:r>
    </w:p>
    <w:p w:rsidR="00500724" w:rsidRDefault="00F30FB8">
      <w:pPr>
        <w:pStyle w:val="Nadpis100"/>
        <w:shd w:val="clear" w:color="auto" w:fill="auto"/>
        <w:spacing w:after="0" w:line="240" w:lineRule="auto"/>
        <w:jc w:val="left"/>
      </w:pPr>
      <w:bookmarkStart w:id="695" w:name="bookmark694"/>
      <w:r>
        <w:t>F. Topič</w:t>
      </w:r>
      <w:bookmarkEnd w:id="695"/>
    </w:p>
    <w:p w:rsidR="00500724" w:rsidRDefault="00F30FB8">
      <w:pPr>
        <w:pStyle w:val="Jin0"/>
        <w:shd w:val="clear" w:color="auto" w:fill="auto"/>
        <w:spacing w:after="800"/>
        <w:ind w:firstLine="0"/>
        <w:jc w:val="right"/>
        <w:rPr>
          <w:sz w:val="24"/>
          <w:szCs w:val="24"/>
        </w:rPr>
      </w:pPr>
      <w:r>
        <w:rPr>
          <w:sz w:val="24"/>
          <w:szCs w:val="24"/>
        </w:rPr>
        <w:t>knihkupectv</w:t>
      </w:r>
      <w:r>
        <w:rPr>
          <w:sz w:val="24"/>
          <w:szCs w:val="24"/>
        </w:rPr>
        <w:t>í, Praha I., Národní třída 11</w:t>
      </w:r>
    </w:p>
    <w:p w:rsidR="00500724" w:rsidRDefault="00F30FB8">
      <w:pPr>
        <w:pStyle w:val="Jin0"/>
        <w:pBdr>
          <w:top w:val="single" w:sz="4" w:space="0" w:color="auto"/>
        </w:pBdr>
        <w:shd w:val="clear" w:color="auto" w:fill="auto"/>
        <w:spacing w:after="60"/>
        <w:ind w:left="300" w:hanging="300"/>
        <w:jc w:val="left"/>
        <w:rPr>
          <w:sz w:val="28"/>
          <w:szCs w:val="28"/>
        </w:rPr>
      </w:pPr>
      <w:r>
        <w:rPr>
          <w:sz w:val="28"/>
          <w:szCs w:val="28"/>
        </w:rPr>
        <w:t>Používejte aktivního uhlí</w:t>
      </w:r>
    </w:p>
    <w:p w:rsidR="00500724" w:rsidRDefault="00F30FB8">
      <w:pPr>
        <w:pStyle w:val="Jin0"/>
        <w:shd w:val="clear" w:color="auto" w:fill="auto"/>
        <w:spacing w:after="160"/>
        <w:ind w:firstLine="0"/>
        <w:jc w:val="right"/>
        <w:rPr>
          <w:sz w:val="64"/>
          <w:szCs w:val="64"/>
        </w:rPr>
      </w:pPr>
      <w:r>
        <w:rPr>
          <w:rFonts w:ascii="Arial" w:eastAsia="Arial" w:hAnsi="Arial" w:cs="Arial"/>
          <w:b/>
          <w:bCs/>
          <w:sz w:val="64"/>
          <w:szCs w:val="64"/>
        </w:rPr>
        <w:t>OSTACOL!</w:t>
      </w:r>
    </w:p>
    <w:p w:rsidR="00500724" w:rsidRDefault="00F30FB8">
      <w:pPr>
        <w:pStyle w:val="Zkladntext1"/>
        <w:shd w:val="clear" w:color="auto" w:fill="auto"/>
        <w:ind w:firstLine="0"/>
        <w:jc w:val="right"/>
        <w:sectPr w:rsidR="00500724">
          <w:footnotePr>
            <w:numFmt w:val="chicago"/>
            <w:numRestart w:val="eachPage"/>
          </w:footnotePr>
          <w:type w:val="continuous"/>
          <w:pgSz w:w="11909" w:h="16834"/>
          <w:pgMar w:top="735" w:right="1735" w:bottom="607" w:left="7" w:header="0" w:footer="3" w:gutter="0"/>
          <w:cols w:num="2" w:sep="1" w:space="720" w:equalWidth="0">
            <w:col w:w="5021" w:space="605"/>
            <w:col w:w="4541"/>
          </w:cols>
          <w:noEndnote/>
          <w:docGrid w:linePitch="360"/>
        </w:sectPr>
      </w:pPr>
      <w:r>
        <w:rPr>
          <w:b/>
          <w:bCs/>
        </w:rPr>
        <w:t>Vyrábí Spolek pro chemickou a butní výrobu, Praha</w:t>
      </w:r>
    </w:p>
    <w:p w:rsidR="00500724" w:rsidRDefault="00500724">
      <w:pPr>
        <w:spacing w:line="240" w:lineRule="exact"/>
        <w:rPr>
          <w:sz w:val="19"/>
          <w:szCs w:val="19"/>
        </w:rPr>
      </w:pPr>
    </w:p>
    <w:p w:rsidR="00500724" w:rsidRDefault="00500724">
      <w:pPr>
        <w:spacing w:before="29" w:after="29"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440" w:right="0" w:bottom="903" w:left="0" w:header="0" w:footer="3" w:gutter="0"/>
          <w:cols w:space="720"/>
          <w:noEndnote/>
          <w:docGrid w:linePitch="360"/>
        </w:sectPr>
      </w:pPr>
    </w:p>
    <w:p w:rsidR="00500724" w:rsidRDefault="00F30FB8">
      <w:pPr>
        <w:spacing w:line="14" w:lineRule="exact"/>
      </w:pPr>
      <w:r>
        <w:rPr>
          <w:noProof/>
        </w:rPr>
        <mc:AlternateContent>
          <mc:Choice Requires="wps">
            <w:drawing>
              <wp:anchor distT="908050" distB="0" distL="155575" distR="155575" simplePos="0" relativeHeight="125830088" behindDoc="0" locked="0" layoutInCell="1" allowOverlap="1">
                <wp:simplePos x="0" y="0"/>
                <wp:positionH relativeFrom="page">
                  <wp:posOffset>102235</wp:posOffset>
                </wp:positionH>
                <wp:positionV relativeFrom="paragraph">
                  <wp:posOffset>2127250</wp:posOffset>
                </wp:positionV>
                <wp:extent cx="2691130" cy="384175"/>
                <wp:effectExtent l="0" t="0" r="0" b="0"/>
                <wp:wrapSquare wrapText="right"/>
                <wp:docPr id="711" name="Shape 711"/>
                <wp:cNvGraphicFramePr/>
                <a:graphic xmlns:a="http://schemas.openxmlformats.org/drawingml/2006/main">
                  <a:graphicData uri="http://schemas.microsoft.com/office/word/2010/wordprocessingShape">
                    <wps:wsp>
                      <wps:cNvSpPr txBox="1"/>
                      <wps:spPr>
                        <a:xfrm>
                          <a:off x="0" y="0"/>
                          <a:ext cx="2691130" cy="384175"/>
                        </a:xfrm>
                        <a:prstGeom prst="rect">
                          <a:avLst/>
                        </a:prstGeom>
                        <a:noFill/>
                      </wps:spPr>
                      <wps:txbx>
                        <w:txbxContent>
                          <w:p w:rsidR="00500724" w:rsidRDefault="00F30FB8">
                            <w:pPr>
                              <w:pStyle w:val="Jin0"/>
                              <w:shd w:val="clear" w:color="auto" w:fill="auto"/>
                              <w:ind w:firstLine="0"/>
                              <w:jc w:val="left"/>
                              <w:rPr>
                                <w:sz w:val="42"/>
                                <w:szCs w:val="42"/>
                              </w:rPr>
                            </w:pPr>
                            <w:r>
                              <w:rPr>
                                <w:rFonts w:ascii="Arial" w:eastAsia="Arial" w:hAnsi="Arial" w:cs="Arial"/>
                                <w:sz w:val="42"/>
                                <w:szCs w:val="42"/>
                              </w:rPr>
                              <w:t>Hdj^^FerďPeroutka</w:t>
                            </w:r>
                          </w:p>
                        </w:txbxContent>
                      </wps:txbx>
                      <wps:bodyPr lIns="0" tIns="0" rIns="0" bIns="0">
                        <a:spAutoFit/>
                      </wps:bodyPr>
                    </wps:wsp>
                  </a:graphicData>
                </a:graphic>
              </wp:anchor>
            </w:drawing>
          </mc:Choice>
          <mc:Fallback>
            <w:pict>
              <v:shape id="_x0000_s1737" type="#_x0000_t202" style="position:absolute;margin-left:8.0500000000000007pt;margin-top:167.5pt;width:211.90000000000001pt;height:30.25pt;z-index:-125828665;mso-wrap-distance-left:12.25pt;mso-wrap-distance-top:71.5pt;mso-wrap-distance-right:12.2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2"/>
                          <w:szCs w:val="42"/>
                        </w:rPr>
                      </w:pPr>
                      <w:r>
                        <w:rPr>
                          <w:rFonts w:ascii="Arial" w:eastAsia="Arial" w:hAnsi="Arial" w:cs="Arial"/>
                          <w:color w:val="000000"/>
                          <w:spacing w:val="0"/>
                          <w:w w:val="100"/>
                          <w:position w:val="0"/>
                          <w:sz w:val="42"/>
                          <w:szCs w:val="42"/>
                          <w:shd w:val="clear" w:color="auto" w:fill="auto"/>
                          <w:lang w:val="cs-CZ" w:eastAsia="cs-CZ" w:bidi="cs-CZ"/>
                        </w:rPr>
                        <w:t>Hdj^^FerďPeroutka</w:t>
                      </w:r>
                    </w:p>
                  </w:txbxContent>
                </v:textbox>
                <w10:wrap type="square" side="right" anchorx="page"/>
              </v:shape>
            </w:pict>
          </mc:Fallback>
        </mc:AlternateContent>
      </w:r>
    </w:p>
    <w:p w:rsidR="00500724" w:rsidRDefault="00F30FB8">
      <w:pPr>
        <w:pStyle w:val="Zkladntext1"/>
        <w:shd w:val="clear" w:color="auto" w:fill="auto"/>
        <w:spacing w:after="460" w:line="211" w:lineRule="auto"/>
        <w:ind w:left="420" w:hanging="420"/>
      </w:pPr>
      <w:r>
        <w:rPr>
          <w:b/>
          <w:bCs/>
          <w:sz w:val="20"/>
          <w:szCs w:val="20"/>
        </w:rPr>
        <w:t xml:space="preserve">OBSAH PŘÍTOMNOSTI C. 27: </w:t>
      </w:r>
      <w:r>
        <w:rPr>
          <w:b/>
          <w:bCs/>
        </w:rPr>
        <w:t xml:space="preserve">LADISLAV KHÁS: </w:t>
      </w:r>
      <w:r>
        <w:rPr>
          <w:b/>
          <w:bCs/>
        </w:rPr>
        <w:t>Dosavadní historie Národního souručenství — JAN SKÁLA: John Bull aneb válka a mír — MILENA JESENSKÁ: S»ubohým a holým® — JAN ALBERT: Moudrost knížete Bis</w:t>
      </w:r>
      <w:r>
        <w:rPr>
          <w:b/>
          <w:bCs/>
        </w:rPr>
        <w:softHyphen/>
        <w:t>marcka — ZDENĚK SMETÁČEK: Anglická a sovětská houževnatost — JOSEF TEICHMAN: České a německé di</w:t>
      </w:r>
      <w:r>
        <w:rPr>
          <w:b/>
          <w:bCs/>
        </w:rPr>
        <w:softHyphen/>
        <w:t xml:space="preserve">vadlo </w:t>
      </w:r>
      <w:r>
        <w:rPr>
          <w:b/>
          <w:bCs/>
        </w:rPr>
        <w:t>v Praze — V. GUTWIRTH: Intelektuálové — A. POSPÍŠIL: Mezinárodní politika Slováků — OT. MACHOTKA: Větší zalidněnost než v Německu — Amerika a Japonsko — S kým půjde nové Španělsko? — Jak se dnes žije v Mad</w:t>
      </w:r>
      <w:r>
        <w:rPr>
          <w:b/>
          <w:bCs/>
        </w:rPr>
        <w:softHyphen/>
        <w:t>ridě — Baťovy továrny v Kanadě a ve Zruěi — Budova</w:t>
      </w:r>
      <w:r>
        <w:rPr>
          <w:b/>
          <w:bCs/>
        </w:rPr>
        <w:t>t a udržet — Před devadesáti lety — Zdražit ěi nezdražit noviny?</w:t>
      </w:r>
    </w:p>
    <w:p w:rsidR="00500724" w:rsidRDefault="00F30FB8">
      <w:pPr>
        <w:pStyle w:val="Nadpis90"/>
        <w:keepNext/>
        <w:keepLines/>
        <w:shd w:val="clear" w:color="auto" w:fill="auto"/>
        <w:spacing w:after="240"/>
      </w:pPr>
      <w:bookmarkStart w:id="696" w:name="bookmark695"/>
      <w:r>
        <w:rPr>
          <w:u w:val="single"/>
        </w:rPr>
        <w:t>nezávislý týdeník</w:t>
      </w:r>
      <w:bookmarkEnd w:id="696"/>
    </w:p>
    <w:p w:rsidR="00500724" w:rsidRDefault="00F30FB8">
      <w:pPr>
        <w:pStyle w:val="Zkladntext40"/>
        <w:shd w:val="clear" w:color="auto" w:fill="auto"/>
        <w:spacing w:line="288" w:lineRule="auto"/>
        <w:jc w:val="center"/>
      </w:pPr>
      <w:r>
        <w:rPr>
          <w:b/>
          <w:bCs/>
        </w:rPr>
        <w:t>vychází ve středu v nakladatelství</w:t>
      </w:r>
      <w:r>
        <w:rPr>
          <w:b/>
          <w:bCs/>
        </w:rPr>
        <w:br/>
        <w:t>FR. BOROVÝ V PRAZE I., NÁRODNÍ TftlDA 11.</w:t>
      </w:r>
    </w:p>
    <w:p w:rsidR="00500724" w:rsidRDefault="00F30FB8">
      <w:pPr>
        <w:pStyle w:val="Zkladntext40"/>
        <w:shd w:val="clear" w:color="auto" w:fill="auto"/>
        <w:spacing w:line="185" w:lineRule="auto"/>
      </w:pPr>
      <w:r>
        <w:t>Telefon číslo 390-51 až 54 • Očet poštovní spořitelny číslo 35.622 • Nevy</w:t>
      </w:r>
      <w:r>
        <w:softHyphen/>
      </w:r>
      <w:r>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Dohlédaci pošt. úřad Brno II. • Novinová sazba povolena v Brně ředitelstvím pošt a teleg</w:t>
      </w:r>
      <w:r>
        <w:t>rafů pod čls. 119.268/HIa. • Odpovědný redaktor J. Dlabač.</w:t>
      </w:r>
    </w:p>
    <w:p w:rsidR="00500724" w:rsidRDefault="00F30FB8">
      <w:pPr>
        <w:pStyle w:val="Zkladntext40"/>
        <w:shd w:val="clear" w:color="auto" w:fill="auto"/>
        <w:spacing w:after="140" w:line="185" w:lineRule="auto"/>
        <w:jc w:val="center"/>
      </w:pPr>
      <w:r>
        <w:rPr>
          <w:b/>
          <w:bCs/>
        </w:rPr>
        <w:t>TISKEM LIDOVÉ TISKÁRNY. BRNO. ČESKÁ 6.</w:t>
      </w:r>
      <w:r>
        <w:br w:type="page"/>
      </w:r>
    </w:p>
    <w:p w:rsidR="00500724" w:rsidRDefault="00F30FB8">
      <w:pPr>
        <w:pStyle w:val="Nadpis60"/>
        <w:keepNext/>
        <w:keepLines/>
        <w:pBdr>
          <w:bottom w:val="single" w:sz="4" w:space="0" w:color="auto"/>
        </w:pBdr>
        <w:shd w:val="clear" w:color="auto" w:fill="auto"/>
        <w:sectPr w:rsidR="00500724">
          <w:footnotePr>
            <w:numFmt w:val="chicago"/>
            <w:numRestart w:val="eachPage"/>
          </w:footnotePr>
          <w:type w:val="continuous"/>
          <w:pgSz w:w="11909" w:h="16834"/>
          <w:pgMar w:top="440" w:right="1276" w:bottom="903" w:left="198" w:header="0" w:footer="3" w:gutter="0"/>
          <w:cols w:space="720"/>
          <w:noEndnote/>
          <w:docGrid w:linePitch="360"/>
        </w:sectPr>
      </w:pPr>
      <w:bookmarkStart w:id="697" w:name="bookmark696"/>
      <w:r>
        <w:t>Přítomnosti</w:t>
      </w:r>
      <w:bookmarkEnd w:id="697"/>
    </w:p>
    <w:p w:rsidR="00500724" w:rsidRDefault="00500724">
      <w:pPr>
        <w:spacing w:line="126"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896" w:right="0" w:bottom="998" w:left="0" w:header="0" w:footer="3" w:gutter="0"/>
          <w:cols w:space="720"/>
          <w:noEndnote/>
          <w:docGrid w:linePitch="360"/>
        </w:sectPr>
      </w:pPr>
    </w:p>
    <w:p w:rsidR="00500724" w:rsidRDefault="00500724">
      <w:pPr>
        <w:spacing w:after="615" w:line="14" w:lineRule="exact"/>
      </w:pPr>
    </w:p>
    <w:p w:rsidR="00500724" w:rsidRDefault="00500724">
      <w:pPr>
        <w:spacing w:line="14" w:lineRule="exact"/>
        <w:sectPr w:rsidR="00500724">
          <w:footnotePr>
            <w:numFmt w:val="chicago"/>
            <w:numRestart w:val="eachPage"/>
          </w:footnotePr>
          <w:type w:val="continuous"/>
          <w:pgSz w:w="11909" w:h="16834"/>
          <w:pgMar w:top="896" w:right="1131" w:bottom="998" w:left="444" w:header="0" w:footer="3" w:gutter="0"/>
          <w:cols w:space="720"/>
          <w:noEndnote/>
          <w:docGrid w:linePitch="360"/>
        </w:sectPr>
      </w:pPr>
    </w:p>
    <w:p w:rsidR="00500724" w:rsidRDefault="00F30FB8">
      <w:pPr>
        <w:pStyle w:val="Nadpis100"/>
        <w:shd w:val="clear" w:color="auto" w:fill="auto"/>
        <w:spacing w:line="240" w:lineRule="auto"/>
      </w:pPr>
      <w:bookmarkStart w:id="698" w:name="bookmark697"/>
      <w:r>
        <w:t>Němcovo naučení</w:t>
      </w:r>
      <w:bookmarkEnd w:id="698"/>
    </w:p>
    <w:p w:rsidR="00500724" w:rsidRDefault="00F30FB8">
      <w:pPr>
        <w:pStyle w:val="Jin0"/>
        <w:framePr w:dropCap="drop" w:lines="2" w:hSpace="19" w:vSpace="19" w:wrap="auto" w:vAnchor="text" w:hAnchor="text"/>
        <w:shd w:val="clear" w:color="auto" w:fill="auto"/>
        <w:spacing w:line="300" w:lineRule="exact"/>
        <w:ind w:firstLine="0"/>
        <w:rPr>
          <w:sz w:val="22"/>
          <w:szCs w:val="22"/>
        </w:rPr>
      </w:pPr>
      <w:r>
        <w:rPr>
          <w:position w:val="-6"/>
          <w:sz w:val="46"/>
          <w:szCs w:val="46"/>
        </w:rPr>
        <w:t>Z</w:t>
      </w:r>
    </w:p>
    <w:p w:rsidR="00500724" w:rsidRDefault="00F30FB8">
      <w:pPr>
        <w:pStyle w:val="Jin0"/>
        <w:shd w:val="clear" w:color="auto" w:fill="auto"/>
        <w:spacing w:line="202" w:lineRule="auto"/>
        <w:ind w:firstLine="0"/>
        <w:rPr>
          <w:sz w:val="22"/>
          <w:szCs w:val="22"/>
        </w:rPr>
      </w:pPr>
      <w:r>
        <w:rPr>
          <w:sz w:val="22"/>
          <w:szCs w:val="22"/>
        </w:rPr>
        <w:t xml:space="preserve">vláštní náhodou (— byla to opravdu jen </w:t>
      </w:r>
      <w:r>
        <w:rPr>
          <w:sz w:val="22"/>
          <w:szCs w:val="22"/>
        </w:rPr>
        <w:t>náho</w:t>
      </w:r>
      <w:r>
        <w:rPr>
          <w:sz w:val="22"/>
          <w:szCs w:val="22"/>
        </w:rPr>
        <w:softHyphen/>
        <w:t>da? —) vzal jsem tyto dny opět do ruky knihu, která, dávno již nečtena, čtyřicet roků stála v přítmí mé knihovny. Rozevřel jsem ji nazdařbůh a najednou vítr silné aktuálnosti zavál mi z ní do tváře a mysli.</w:t>
      </w:r>
    </w:p>
    <w:p w:rsidR="00500724" w:rsidRDefault="00F30FB8">
      <w:pPr>
        <w:pStyle w:val="Jin0"/>
        <w:shd w:val="clear" w:color="auto" w:fill="auto"/>
        <w:spacing w:after="380" w:line="202" w:lineRule="auto"/>
        <w:ind w:firstLine="240"/>
        <w:rPr>
          <w:sz w:val="22"/>
          <w:szCs w:val="22"/>
        </w:rPr>
      </w:pPr>
      <w:r>
        <w:rPr>
          <w:sz w:val="22"/>
          <w:szCs w:val="22"/>
        </w:rPr>
        <w:t xml:space="preserve">Byl to český překlad německé knížky »Boj za </w:t>
      </w:r>
      <w:r>
        <w:rPr>
          <w:sz w:val="22"/>
          <w:szCs w:val="22"/>
        </w:rPr>
        <w:t>práv o«, vyšlý v někdejší Knihovně »Rozhledů« Pelclových (nemáš o tom všem arci ani tušení, dnešní čtenáři!) roku 1897 v Praze. Knížka dávno zapome</w:t>
      </w:r>
      <w:r>
        <w:rPr>
          <w:sz w:val="22"/>
          <w:szCs w:val="22"/>
        </w:rPr>
        <w:softHyphen/>
        <w:t xml:space="preserve">nutá, a přec, ku podivu! byla u nás po česku vydána dvakrát: po prvé r. 1875 v Brně, po druhé za dvaadvacet </w:t>
      </w:r>
      <w:r>
        <w:rPr>
          <w:sz w:val="22"/>
          <w:szCs w:val="22"/>
        </w:rPr>
        <w:t>roků v novém překladě tedy v Praze; je to okolnost hodná povšimnutí, neboť po obakrát pa</w:t>
      </w:r>
      <w:r>
        <w:rPr>
          <w:sz w:val="22"/>
          <w:szCs w:val="22"/>
        </w:rPr>
        <w:softHyphen/>
        <w:t>trně měla být lidu českému posilou v jeho tehdejších tuhých bojích o právo a spravedlnost.</w:t>
      </w:r>
    </w:p>
    <w:p w:rsidR="00500724" w:rsidRDefault="00F30FB8">
      <w:pPr>
        <w:pStyle w:val="Jin0"/>
        <w:shd w:val="clear" w:color="auto" w:fill="auto"/>
        <w:spacing w:line="202" w:lineRule="auto"/>
        <w:ind w:firstLine="240"/>
        <w:rPr>
          <w:sz w:val="22"/>
          <w:szCs w:val="22"/>
        </w:rPr>
      </w:pPr>
      <w:r>
        <w:rPr>
          <w:sz w:val="22"/>
          <w:szCs w:val="22"/>
        </w:rPr>
        <w:t>Co je v této knížce tak potřebného českému dnešku, že ji dávno zmizelou vyta</w:t>
      </w:r>
      <w:r>
        <w:rPr>
          <w:sz w:val="22"/>
          <w:szCs w:val="22"/>
        </w:rPr>
        <w:t>huješ z haraburdí?</w:t>
      </w:r>
    </w:p>
    <w:p w:rsidR="00500724" w:rsidRDefault="00F30FB8">
      <w:pPr>
        <w:pStyle w:val="Jin0"/>
        <w:shd w:val="clear" w:color="auto" w:fill="auto"/>
        <w:spacing w:line="202" w:lineRule="auto"/>
        <w:ind w:firstLine="240"/>
        <w:rPr>
          <w:sz w:val="22"/>
          <w:szCs w:val="22"/>
        </w:rPr>
      </w:pPr>
      <w:r>
        <w:rPr>
          <w:sz w:val="22"/>
          <w:szCs w:val="22"/>
        </w:rPr>
        <w:t>Psal jsem o ní tenkrát do pražského týdeníku a pro ukrácení dnešního článku použiji zčásti svých tehdejších slov:</w:t>
      </w:r>
    </w:p>
    <w:p w:rsidR="00500724" w:rsidRDefault="00F30FB8">
      <w:pPr>
        <w:pStyle w:val="Jin0"/>
        <w:shd w:val="clear" w:color="auto" w:fill="auto"/>
        <w:spacing w:line="202" w:lineRule="auto"/>
        <w:ind w:firstLine="240"/>
        <w:rPr>
          <w:sz w:val="22"/>
          <w:szCs w:val="22"/>
        </w:rPr>
      </w:pPr>
      <w:r>
        <w:rPr>
          <w:sz w:val="22"/>
          <w:szCs w:val="22"/>
        </w:rPr>
        <w:t>»Kniha ta je prudký a mužný protest proti zbabě</w:t>
      </w:r>
      <w:r>
        <w:rPr>
          <w:sz w:val="22"/>
          <w:szCs w:val="22"/>
        </w:rPr>
        <w:softHyphen/>
        <w:t>losti, která si dá bezprávím bez obrany vyřvávat prá</w:t>
      </w:r>
      <w:r>
        <w:rPr>
          <w:sz w:val="22"/>
          <w:szCs w:val="22"/>
        </w:rPr>
        <w:softHyphen/>
        <w:t>vo; je to kniha hlásaj</w:t>
      </w:r>
      <w:r>
        <w:rPr>
          <w:sz w:val="22"/>
          <w:szCs w:val="22"/>
        </w:rPr>
        <w:t>ící zásadu: Stůjte za své právo do poslední síly a nepovolujte v maličkostech, aby ne</w:t>
      </w:r>
      <w:r>
        <w:rPr>
          <w:sz w:val="22"/>
          <w:szCs w:val="22"/>
        </w:rPr>
        <w:softHyphen/>
        <w:t>vzal pohromu váš charakter a aby nepočal hniti život celého národa! — Není to kniha pro sudiče, nýbrž kni</w:t>
      </w:r>
      <w:r>
        <w:rPr>
          <w:sz w:val="22"/>
          <w:szCs w:val="22"/>
        </w:rPr>
        <w:softHyphen/>
        <w:t>ha idealisty pro idealisty, kniha muže jasného, pev</w:t>
      </w:r>
      <w:r>
        <w:rPr>
          <w:sz w:val="22"/>
          <w:szCs w:val="22"/>
        </w:rPr>
        <w:softHyphen/>
        <w:t xml:space="preserve">ného ducha, </w:t>
      </w:r>
      <w:r>
        <w:rPr>
          <w:sz w:val="22"/>
          <w:szCs w:val="22"/>
        </w:rPr>
        <w:t>psaná pro muže, jasně vědomé své ceny, svého významu, na něž se národ spoléhá a jimiž vlast</w:t>
      </w:r>
      <w:r>
        <w:rPr>
          <w:sz w:val="22"/>
          <w:szCs w:val="22"/>
        </w:rPr>
        <w:softHyphen/>
        <w:t>ně jedině žije.«</w:t>
      </w:r>
    </w:p>
    <w:p w:rsidR="00500724" w:rsidRDefault="00F30FB8">
      <w:pPr>
        <w:pStyle w:val="Jin0"/>
        <w:shd w:val="clear" w:color="auto" w:fill="auto"/>
        <w:spacing w:line="202" w:lineRule="auto"/>
        <w:ind w:firstLine="240"/>
        <w:rPr>
          <w:sz w:val="22"/>
          <w:szCs w:val="22"/>
        </w:rPr>
      </w:pPr>
      <w:r>
        <w:rPr>
          <w:sz w:val="22"/>
          <w:szCs w:val="22"/>
        </w:rPr>
        <w:t>»Porušení práva je bolest individua nebo celku. Cit této bolesti zjevuje každému zdravému duchu jasně a bezprostředně, co je právo a jaký je význam</w:t>
      </w:r>
      <w:r>
        <w:rPr>
          <w:sz w:val="22"/>
          <w:szCs w:val="22"/>
        </w:rPr>
        <w:t xml:space="preserve"> jeho — ta bolest nutí, aby se projevila jedincova síla k od</w:t>
      </w:r>
      <w:r>
        <w:rPr>
          <w:sz w:val="22"/>
          <w:szCs w:val="22"/>
        </w:rPr>
        <w:softHyphen/>
        <w:t>poru. Síla toho odporu je zkušebním kamenem zdra</w:t>
      </w:r>
      <w:r>
        <w:rPr>
          <w:sz w:val="22"/>
          <w:szCs w:val="22"/>
        </w:rPr>
        <w:softHyphen/>
        <w:t>vosti právního citu. Kdo bolest tuto cítí, ale trpělivě, bez odporu ji snáší, potlačuje právní cit, jenž bez činu zakrňuje a tupne konečně tak, že</w:t>
      </w:r>
      <w:r>
        <w:rPr>
          <w:sz w:val="22"/>
          <w:szCs w:val="22"/>
        </w:rPr>
        <w:t xml:space="preserve"> naposledy sotva bolest pociťuje.«</w:t>
      </w:r>
    </w:p>
    <w:p w:rsidR="00500724" w:rsidRDefault="00F30FB8">
      <w:pPr>
        <w:pStyle w:val="Jin0"/>
        <w:shd w:val="clear" w:color="auto" w:fill="auto"/>
        <w:spacing w:line="202" w:lineRule="auto"/>
        <w:ind w:firstLine="240"/>
        <w:rPr>
          <w:sz w:val="22"/>
          <w:szCs w:val="22"/>
        </w:rPr>
      </w:pPr>
      <w:r>
        <w:rPr>
          <w:sz w:val="22"/>
          <w:szCs w:val="22"/>
        </w:rPr>
        <w:t>»Morálka pohodlnosti v případě porušení práva je známkou i výsledkem ochromeného citu právního, je holým, hrubým materialismem na půdě práva. Naprosto nesprávný a osudný je názor, že otázka prá</w:t>
      </w:r>
      <w:r>
        <w:rPr>
          <w:sz w:val="22"/>
          <w:szCs w:val="22"/>
        </w:rPr>
        <w:softHyphen/>
        <w:t xml:space="preserve">va je pouze otázkou </w:t>
      </w:r>
      <w:r>
        <w:rPr>
          <w:sz w:val="22"/>
          <w:szCs w:val="22"/>
        </w:rPr>
        <w:t>prospěchu hmotného — nikoli! porušení práva nedotýká se jen toho, nýbrž ohrožuje samu osobu, její charakter, a tím i svobody veřejné a život národa. Ve zdravých národech právě tento smysl pro právo je vyvinut nejvíce.«</w:t>
      </w:r>
    </w:p>
    <w:p w:rsidR="00500724" w:rsidRDefault="00F30FB8">
      <w:pPr>
        <w:pStyle w:val="Jin0"/>
        <w:shd w:val="clear" w:color="auto" w:fill="auto"/>
        <w:spacing w:line="202" w:lineRule="auto"/>
        <w:ind w:firstLine="240"/>
        <w:rPr>
          <w:sz w:val="22"/>
          <w:szCs w:val="22"/>
        </w:rPr>
      </w:pPr>
      <w:r>
        <w:rPr>
          <w:sz w:val="22"/>
          <w:szCs w:val="22"/>
        </w:rPr>
        <w:t>»Boj za právo není jen povinností jed</w:t>
      </w:r>
      <w:r>
        <w:rPr>
          <w:sz w:val="22"/>
          <w:szCs w:val="22"/>
        </w:rPr>
        <w:t>notlivé osoby k sobě samé, nýbrž i povinností ke společnosti. Zba</w:t>
      </w:r>
      <w:r>
        <w:rPr>
          <w:sz w:val="22"/>
          <w:szCs w:val="22"/>
        </w:rPr>
        <w:softHyphen/>
        <w:t>bělost jednoho z tisíce snad neohrožuje právo, ale když tisíc zbabělců uteče z boje před libovůlí a bez</w:t>
      </w:r>
      <w:r>
        <w:rPr>
          <w:sz w:val="22"/>
          <w:szCs w:val="22"/>
        </w:rPr>
        <w:softHyphen/>
        <w:t>právím, zhorší se postavení těch, kdo vytrvají, a po</w:t>
      </w:r>
      <w:r>
        <w:rPr>
          <w:sz w:val="22"/>
          <w:szCs w:val="22"/>
        </w:rPr>
        <w:softHyphen/>
        <w:t>siluje se postavení soupeřovo. Os</w:t>
      </w:r>
      <w:r>
        <w:rPr>
          <w:sz w:val="22"/>
          <w:szCs w:val="22"/>
        </w:rPr>
        <w:t>ud těchto několika vytrvalých stává se hotovým mučednictvím, trpí autorita zákona, podkopává se pořádek občanského života.«</w:t>
      </w:r>
    </w:p>
    <w:p w:rsidR="00500724" w:rsidRDefault="00F30FB8">
      <w:pPr>
        <w:pStyle w:val="Jin0"/>
        <w:shd w:val="clear" w:color="auto" w:fill="auto"/>
        <w:spacing w:line="202" w:lineRule="auto"/>
        <w:ind w:firstLine="260"/>
        <w:rPr>
          <w:sz w:val="22"/>
          <w:szCs w:val="22"/>
        </w:rPr>
      </w:pPr>
      <w:r>
        <w:rPr>
          <w:sz w:val="22"/>
          <w:szCs w:val="22"/>
        </w:rPr>
        <w:t>»Neboť kdo nehájí statečně ani svého práva vlast</w:t>
      </w:r>
      <w:r>
        <w:rPr>
          <w:sz w:val="22"/>
          <w:szCs w:val="22"/>
        </w:rPr>
        <w:softHyphen/>
        <w:t>ního, jak by mohl najednou cítit nutnost nasadit rád statky a život za práva celku?</w:t>
      </w:r>
      <w:r>
        <w:rPr>
          <w:sz w:val="22"/>
          <w:szCs w:val="22"/>
        </w:rPr>
        <w:t xml:space="preserve"> Kdo nejevil smysl pro ideální škodu, kterou utrpěl na své cti a na osobě, vzdav se z pohodlnosti nebo ze zbabělosti svého prá</w:t>
      </w:r>
      <w:r>
        <w:rPr>
          <w:sz w:val="22"/>
          <w:szCs w:val="22"/>
        </w:rPr>
        <w:softHyphen/>
        <w:t>va; kdo si ve věcech práva navykl měřit všecko jen podle hmotného prospěchu, jak bychom od toho oče</w:t>
      </w:r>
      <w:r>
        <w:rPr>
          <w:sz w:val="22"/>
          <w:szCs w:val="22"/>
        </w:rPr>
        <w:softHyphen/>
        <w:t>kávali, že užije jiného měřít</w:t>
      </w:r>
      <w:r>
        <w:rPr>
          <w:sz w:val="22"/>
          <w:szCs w:val="22"/>
        </w:rPr>
        <w:t>ka a jinak bude cítit, když půjde o právo a čest národa?! Odkud by se nenadále vzal idealismus, který dotud stále byl zapírán ?«</w:t>
      </w:r>
    </w:p>
    <w:p w:rsidR="00500724" w:rsidRDefault="00F30FB8">
      <w:pPr>
        <w:pStyle w:val="Jin0"/>
        <w:shd w:val="clear" w:color="auto" w:fill="auto"/>
        <w:spacing w:line="202" w:lineRule="auto"/>
        <w:ind w:firstLine="260"/>
        <w:rPr>
          <w:sz w:val="22"/>
          <w:szCs w:val="22"/>
        </w:rPr>
      </w:pPr>
      <w:r>
        <w:rPr>
          <w:sz w:val="22"/>
          <w:szCs w:val="22"/>
        </w:rPr>
        <w:t>»Nikoli! Za právo státu a za právo národa nebojuje nikdo jiný, než kdo bojuje i za právo soukromé. Tytéž vlastnosti, které si b</w:t>
      </w:r>
      <w:r>
        <w:rPr>
          <w:sz w:val="22"/>
          <w:szCs w:val="22"/>
        </w:rPr>
        <w:t>yl osvojil ve věcech práva soukro</w:t>
      </w:r>
      <w:r>
        <w:rPr>
          <w:sz w:val="22"/>
          <w:szCs w:val="22"/>
        </w:rPr>
        <w:softHyphen/>
        <w:t>mého, budou ho provázet i do boje za svobody ob</w:t>
      </w:r>
      <w:r>
        <w:rPr>
          <w:sz w:val="22"/>
          <w:szCs w:val="22"/>
        </w:rPr>
        <w:softHyphen/>
        <w:t>čanské a proti nepříteli zvenčí. Co pro národ zaseto bylo v právu soukromém, vydá ovoce v právu státním a v mezinárodním.«</w:t>
      </w:r>
    </w:p>
    <w:p w:rsidR="00500724" w:rsidRDefault="00F30FB8">
      <w:pPr>
        <w:pStyle w:val="Jin0"/>
        <w:shd w:val="clear" w:color="auto" w:fill="auto"/>
        <w:spacing w:line="202" w:lineRule="auto"/>
        <w:ind w:firstLine="260"/>
        <w:rPr>
          <w:sz w:val="22"/>
          <w:szCs w:val="22"/>
        </w:rPr>
      </w:pPr>
      <w:r>
        <w:rPr>
          <w:sz w:val="22"/>
          <w:szCs w:val="22"/>
        </w:rPr>
        <w:t>»Soukromé právo, a ne právo státní, je pravou ško</w:t>
      </w:r>
      <w:r>
        <w:rPr>
          <w:sz w:val="22"/>
          <w:szCs w:val="22"/>
        </w:rPr>
        <w:softHyphen/>
        <w:t>l</w:t>
      </w:r>
      <w:r>
        <w:rPr>
          <w:sz w:val="22"/>
          <w:szCs w:val="22"/>
        </w:rPr>
        <w:t>ou politické výchovy národa; chceme-li zvědět, jak ríárod, až nastane potřeba, bude hájit svá práva poli</w:t>
      </w:r>
      <w:r>
        <w:rPr>
          <w:sz w:val="22"/>
          <w:szCs w:val="22"/>
        </w:rPr>
        <w:softHyphen/>
        <w:t>tická a právo mezinárodní, všimněme si, jak jednotli</w:t>
      </w:r>
      <w:r>
        <w:rPr>
          <w:sz w:val="22"/>
          <w:szCs w:val="22"/>
        </w:rPr>
        <w:softHyphen/>
        <w:t>vec hájí své právo vlastní v životě soukromém.«</w:t>
      </w:r>
    </w:p>
    <w:p w:rsidR="00500724" w:rsidRDefault="00F30FB8">
      <w:pPr>
        <w:pStyle w:val="Jin0"/>
        <w:shd w:val="clear" w:color="auto" w:fill="auto"/>
        <w:spacing w:line="202" w:lineRule="auto"/>
        <w:ind w:firstLine="260"/>
        <w:rPr>
          <w:sz w:val="22"/>
          <w:szCs w:val="22"/>
        </w:rPr>
      </w:pPr>
      <w:r>
        <w:rPr>
          <w:sz w:val="22"/>
          <w:szCs w:val="22"/>
        </w:rPr>
        <w:t>»Národu, u kterého je obecným obyčejem, že každý i</w:t>
      </w:r>
      <w:r>
        <w:rPr>
          <w:sz w:val="22"/>
          <w:szCs w:val="22"/>
        </w:rPr>
        <w:t xml:space="preserve"> v maličkostech statečně hájí své právo, neopováží se nikdo vyrvat to nejvyšší, co má.</w:t>
      </w:r>
    </w:p>
    <w:p w:rsidR="00500724" w:rsidRDefault="00F30FB8">
      <w:pPr>
        <w:pStyle w:val="Jin0"/>
        <w:shd w:val="clear" w:color="auto" w:fill="auto"/>
        <w:spacing w:line="204" w:lineRule="auto"/>
        <w:ind w:firstLine="260"/>
        <w:rPr>
          <w:sz w:val="22"/>
          <w:szCs w:val="22"/>
        </w:rPr>
      </w:pPr>
      <w:r>
        <w:rPr>
          <w:sz w:val="22"/>
          <w:szCs w:val="22"/>
        </w:rPr>
        <w:t>»Pro národ, který chce být vážen navenek, pevný a nerozborný uvnitř, není statku vzácnějšího, jehož by měl stříci a pěstovati, než právní cit národní. Pe</w:t>
      </w:r>
      <w:r>
        <w:rPr>
          <w:sz w:val="22"/>
          <w:szCs w:val="22"/>
        </w:rPr>
        <w:softHyphen/>
        <w:t xml:space="preserve">čovat o něj je </w:t>
      </w:r>
      <w:r>
        <w:rPr>
          <w:sz w:val="22"/>
          <w:szCs w:val="22"/>
        </w:rPr>
        <w:t>úloha z nejvyšších a nejdůležitějších úloh politického vychovatelstvím</w:t>
      </w:r>
    </w:p>
    <w:p w:rsidR="00500724" w:rsidRDefault="00F30FB8">
      <w:pPr>
        <w:pStyle w:val="Jin0"/>
        <w:shd w:val="clear" w:color="auto" w:fill="auto"/>
        <w:spacing w:line="204" w:lineRule="auto"/>
        <w:ind w:firstLine="260"/>
        <w:rPr>
          <w:sz w:val="22"/>
          <w:szCs w:val="22"/>
        </w:rPr>
      </w:pPr>
      <w:r>
        <w:rPr>
          <w:sz w:val="22"/>
          <w:szCs w:val="22"/>
        </w:rPr>
        <w:t>»Právní cit je kořenem celého stromu: nestojí-li ko</w:t>
      </w:r>
      <w:r>
        <w:rPr>
          <w:sz w:val="22"/>
          <w:szCs w:val="22"/>
        </w:rPr>
        <w:softHyphen/>
        <w:t>řen za nic, usychá-li v kamení a v pustém písku, je všecko ostatní jen klam a mam — přikvačí-li bouře, celý strom bude vyvrácen.«</w:t>
      </w:r>
    </w:p>
    <w:p w:rsidR="00500724" w:rsidRDefault="00F30FB8">
      <w:pPr>
        <w:pStyle w:val="Jin0"/>
        <w:shd w:val="clear" w:color="auto" w:fill="auto"/>
        <w:spacing w:line="204" w:lineRule="auto"/>
        <w:ind w:firstLine="260"/>
        <w:rPr>
          <w:sz w:val="22"/>
          <w:szCs w:val="22"/>
        </w:rPr>
      </w:pPr>
      <w:r>
        <w:rPr>
          <w:sz w:val="22"/>
          <w:szCs w:val="22"/>
        </w:rPr>
        <w:t>»Km</w:t>
      </w:r>
      <w:r>
        <w:rPr>
          <w:sz w:val="22"/>
          <w:szCs w:val="22"/>
        </w:rPr>
        <w:t xml:space="preserve">en a koruna mají přednost, že jsou viditelný, kdežto kořeny vězí v půdě a jsou pohledu nepřístupny. Rozkladný účinek, jejž mají nespravedlivé zákony a špatná opatření právní na mravní sílu lidu, působí pod zemí, v oněch vrstvách, které tak mnohý politický </w:t>
      </w:r>
      <w:r>
        <w:rPr>
          <w:sz w:val="22"/>
          <w:szCs w:val="22"/>
        </w:rPr>
        <w:t>di</w:t>
      </w:r>
      <w:r>
        <w:rPr>
          <w:sz w:val="22"/>
          <w:szCs w:val="22"/>
        </w:rPr>
        <w:softHyphen/>
        <w:t>letant neuznává za hodny povšimnutí — jemu jde jen o pěkně rozklenutou korunu a nemá ani tušení o jedo- vatině, která z kořene vzestupuje do koruny. Despo</w:t>
      </w:r>
      <w:r>
        <w:rPr>
          <w:sz w:val="22"/>
          <w:szCs w:val="22"/>
        </w:rPr>
        <w:softHyphen/>
        <w:t>tismus však ví, kde přiložit sekeru, aby strom pod</w:t>
      </w:r>
      <w:r>
        <w:rPr>
          <w:sz w:val="22"/>
          <w:szCs w:val="22"/>
        </w:rPr>
        <w:softHyphen/>
        <w:t>vrátil: zprvu se koruny ani nedotkne, zničí vša</w:t>
      </w:r>
      <w:r>
        <w:rPr>
          <w:sz w:val="22"/>
          <w:szCs w:val="22"/>
        </w:rPr>
        <w:t>k koře</w:t>
      </w:r>
      <w:r>
        <w:rPr>
          <w:sz w:val="22"/>
          <w:szCs w:val="22"/>
        </w:rPr>
        <w:softHyphen/>
        <w:t>ny. Všude počíná zasahování do práva soukromého, bezprávností osoby; dokončil-li svou práci zde, padne strom sám od sebe.«</w:t>
      </w:r>
    </w:p>
    <w:p w:rsidR="00500724" w:rsidRDefault="00F30FB8">
      <w:pPr>
        <w:pStyle w:val="Jin0"/>
        <w:shd w:val="clear" w:color="auto" w:fill="auto"/>
        <w:spacing w:line="204" w:lineRule="auto"/>
        <w:ind w:firstLine="260"/>
        <w:rPr>
          <w:sz w:val="22"/>
          <w:szCs w:val="22"/>
        </w:rPr>
      </w:pPr>
      <w:r>
        <w:rPr>
          <w:sz w:val="22"/>
          <w:szCs w:val="22"/>
        </w:rPr>
        <w:t>»Ze táž brána, kterou vchází despotismus a libo</w:t>
      </w:r>
      <w:r>
        <w:rPr>
          <w:sz w:val="22"/>
          <w:szCs w:val="22"/>
        </w:rPr>
        <w:softHyphen/>
        <w:t>vůle, jest také otevřena dokořán nepříteli zahranič</w:t>
      </w:r>
      <w:r>
        <w:rPr>
          <w:sz w:val="22"/>
          <w:szCs w:val="22"/>
        </w:rPr>
        <w:softHyphen/>
        <w:t>nímu, na to se ovšem zřete</w:t>
      </w:r>
      <w:r>
        <w:rPr>
          <w:sz w:val="22"/>
          <w:szCs w:val="22"/>
        </w:rPr>
        <w:t>l nebere; teprv když je zde, pozdě docházejí mudrcové poznání, že nejbezpečnější záštitu proti zahraničnímu nepříteli byly by bývaly mohly poskytnout mravní síla a právní cit národa.«</w:t>
      </w:r>
    </w:p>
    <w:p w:rsidR="00500724" w:rsidRDefault="00F30FB8">
      <w:pPr>
        <w:pStyle w:val="Jin0"/>
        <w:shd w:val="clear" w:color="auto" w:fill="auto"/>
        <w:spacing w:line="204" w:lineRule="auto"/>
        <w:ind w:firstLine="260"/>
        <w:rPr>
          <w:sz w:val="22"/>
          <w:szCs w:val="22"/>
        </w:rPr>
      </w:pPr>
      <w:r>
        <w:rPr>
          <w:sz w:val="22"/>
          <w:szCs w:val="22"/>
        </w:rPr>
        <w:t>»... slavná kniha, kterou vydala Knihovna »Roz- bledů«, měla by být s dů</w:t>
      </w:r>
      <w:r>
        <w:rPr>
          <w:sz w:val="22"/>
          <w:szCs w:val="22"/>
        </w:rPr>
        <w:t>razem položena do rukou každého Čecha; malé děti ve školách by měly v ní ří</w:t>
      </w:r>
      <w:r>
        <w:rPr>
          <w:sz w:val="22"/>
          <w:szCs w:val="22"/>
        </w:rPr>
        <w:softHyphen/>
        <w:t>kat spíš nežli v katechismu; každý student měl by ně</w:t>
      </w:r>
      <w:r>
        <w:rPr>
          <w:sz w:val="22"/>
          <w:szCs w:val="22"/>
        </w:rPr>
        <w:softHyphen/>
        <w:t>kolikrát do roka s pozorem a s vášní ji přečíst; každé</w:t>
      </w:r>
      <w:r>
        <w:rPr>
          <w:sz w:val="22"/>
          <w:szCs w:val="22"/>
        </w:rPr>
        <w:softHyphen/>
        <w:t>mu mladému muži českému, ať jde do kteréhokoliv oboru života, by měla bý</w:t>
      </w:r>
      <w:r>
        <w:rPr>
          <w:sz w:val="22"/>
          <w:szCs w:val="22"/>
        </w:rPr>
        <w:t>t dána na cestu s mateřským požehnáními</w:t>
      </w:r>
    </w:p>
    <w:p w:rsidR="00500724" w:rsidRDefault="00F30FB8">
      <w:pPr>
        <w:pStyle w:val="Jin0"/>
        <w:shd w:val="clear" w:color="auto" w:fill="auto"/>
        <w:spacing w:after="60" w:line="180" w:lineRule="auto"/>
        <w:ind w:firstLine="0"/>
        <w:jc w:val="center"/>
        <w:rPr>
          <w:sz w:val="22"/>
          <w:szCs w:val="22"/>
        </w:rPr>
      </w:pPr>
      <w:r>
        <w:rPr>
          <w:sz w:val="22"/>
          <w:szCs w:val="22"/>
        </w:rPr>
        <w:t>•</w:t>
      </w:r>
    </w:p>
    <w:p w:rsidR="00500724" w:rsidRDefault="00F30FB8">
      <w:pPr>
        <w:pStyle w:val="Jin0"/>
        <w:shd w:val="clear" w:color="auto" w:fill="auto"/>
        <w:spacing w:after="60" w:line="202" w:lineRule="auto"/>
        <w:ind w:firstLine="260"/>
        <w:rPr>
          <w:sz w:val="22"/>
          <w:szCs w:val="22"/>
        </w:rPr>
      </w:pPr>
      <w:r>
        <w:rPr>
          <w:sz w:val="22"/>
          <w:szCs w:val="22"/>
        </w:rPr>
        <w:t>Tenkrát, ve starých Čechách z poslední třetiny 19. věku, nabíraly z knížky »Boj za právo« posilu pro obranu českých práv jen některé tenké vrstvičky ná</w:t>
      </w:r>
      <w:r>
        <w:rPr>
          <w:sz w:val="22"/>
          <w:szCs w:val="22"/>
        </w:rPr>
        <w:softHyphen/>
        <w:t>rodní — politikové, novináři, obhájci — ale ne vše</w:t>
      </w:r>
      <w:r>
        <w:rPr>
          <w:sz w:val="22"/>
          <w:szCs w:val="22"/>
        </w:rPr>
        <w:softHyphen/>
        <w:t xml:space="preserve">chen náš </w:t>
      </w:r>
      <w:r>
        <w:rPr>
          <w:sz w:val="22"/>
          <w:szCs w:val="22"/>
        </w:rPr>
        <w:t>lid až do hlubokých vrstev základových; nad tím knížka jen tak sotva slyšitelně zašustěla a ztra</w:t>
      </w:r>
      <w:r>
        <w:rPr>
          <w:sz w:val="22"/>
          <w:szCs w:val="22"/>
        </w:rPr>
        <w:softHyphen/>
        <w:t>tila se ze životního proudění našeho. Je škoda, že tak bez širokého účinku zmizela. Hluboké vrstvy národní pospolitosti neměly ještě cit tak do jemná nabroušen</w:t>
      </w:r>
      <w:r>
        <w:rPr>
          <w:sz w:val="22"/>
          <w:szCs w:val="22"/>
        </w:rPr>
        <w:t>ý, aby poruchy českých práv cítily opravdu jako bo</w:t>
      </w:r>
      <w:r>
        <w:rPr>
          <w:sz w:val="22"/>
          <w:szCs w:val="22"/>
        </w:rPr>
        <w:softHyphen/>
        <w:t>le s t a to bolest společnou; národní masy přepouštěly, snad ve většině, obrany svých práv soukromých a spíš ještě veřejných jako zakázku za plat svým ochotným advokátům, poslancům, politikům (i těm v uvoz</w:t>
      </w:r>
      <w:r>
        <w:rPr>
          <w:sz w:val="22"/>
          <w:szCs w:val="22"/>
        </w:rPr>
        <w:t>ov</w:t>
      </w:r>
      <w:r>
        <w:rPr>
          <w:sz w:val="22"/>
          <w:szCs w:val="22"/>
        </w:rPr>
        <w:softHyphen/>
        <w:t>kách!), novinářům.</w:t>
      </w:r>
    </w:p>
    <w:p w:rsidR="00500724" w:rsidRDefault="00F30FB8">
      <w:pPr>
        <w:pStyle w:val="Jin0"/>
        <w:shd w:val="clear" w:color="auto" w:fill="auto"/>
        <w:spacing w:line="204" w:lineRule="auto"/>
        <w:ind w:firstLine="260"/>
        <w:rPr>
          <w:sz w:val="22"/>
          <w:szCs w:val="22"/>
        </w:rPr>
      </w:pPr>
      <w:r>
        <w:rPr>
          <w:sz w:val="22"/>
          <w:szCs w:val="22"/>
        </w:rPr>
        <w:t>Dnes už je jinak: národní bolest je bolestí nás všech a proto pudí všechny k aktivní účasti; bolest všech vyburcovává masu k aktivnosti, iniciativě, soudrž</w:t>
      </w:r>
      <w:r>
        <w:rPr>
          <w:sz w:val="22"/>
          <w:szCs w:val="22"/>
        </w:rPr>
        <w:softHyphen/>
        <w:t>nosti, bdělosti a větší rozhodnosti, čehož dřív, za bý</w:t>
      </w:r>
      <w:r>
        <w:rPr>
          <w:sz w:val="22"/>
          <w:szCs w:val="22"/>
        </w:rPr>
        <w:softHyphen/>
        <w:t>valých dob v polodřímot</w:t>
      </w:r>
      <w:r>
        <w:rPr>
          <w:sz w:val="22"/>
          <w:szCs w:val="22"/>
        </w:rPr>
        <w:t>né polopasivitě nebylo. Proto by dnes naučení knížky »Boj za právo« (stále ještě velmi žádoucí!) mělo ozev mnohem širší a plnější.</w:t>
      </w:r>
    </w:p>
    <w:p w:rsidR="00500724" w:rsidRDefault="00F30FB8">
      <w:pPr>
        <w:pStyle w:val="Jin0"/>
        <w:shd w:val="clear" w:color="auto" w:fill="auto"/>
        <w:spacing w:after="60" w:line="204" w:lineRule="auto"/>
        <w:ind w:firstLine="0"/>
        <w:jc w:val="center"/>
        <w:rPr>
          <w:sz w:val="22"/>
          <w:szCs w:val="22"/>
        </w:rPr>
      </w:pPr>
      <w:r>
        <w:rPr>
          <w:sz w:val="22"/>
          <w:szCs w:val="22"/>
        </w:rPr>
        <w:t>•</w:t>
      </w:r>
    </w:p>
    <w:p w:rsidR="00500724" w:rsidRDefault="00F30FB8">
      <w:pPr>
        <w:pStyle w:val="Jin0"/>
        <w:shd w:val="clear" w:color="auto" w:fill="auto"/>
        <w:spacing w:line="202" w:lineRule="auto"/>
        <w:ind w:firstLine="180"/>
        <w:rPr>
          <w:sz w:val="22"/>
          <w:szCs w:val="22"/>
        </w:rPr>
      </w:pPr>
      <w:r>
        <w:rPr>
          <w:sz w:val="22"/>
          <w:szCs w:val="22"/>
        </w:rPr>
        <w:t>Přes to: výhodu opravné životní účinnosti této knížky, přednost skutečného prolínání a prolnutí její nauky až do hlubin nár</w:t>
      </w:r>
      <w:r>
        <w:rPr>
          <w:sz w:val="22"/>
          <w:szCs w:val="22"/>
        </w:rPr>
        <w:t>odní pospolitosti má ten lid, pro nějž knížka vlastně byla výhradně psána, bez touhy po evropské proslulosti: lid autorův, lid německý. V tomto lidu byl účin její docela jinačí; kdežto v jiných národech knížka jen tak na krátko a zběžně překlouz- la po hoř</w:t>
      </w:r>
      <w:r>
        <w:rPr>
          <w:sz w:val="22"/>
          <w:szCs w:val="22"/>
        </w:rPr>
        <w:t>ejších, už přesycovaných vrstvičkách národ</w:t>
      </w:r>
      <w:r>
        <w:rPr>
          <w:sz w:val="22"/>
          <w:szCs w:val="22"/>
        </w:rPr>
        <w:softHyphen/>
        <w:t>ních, zde, v lidu německém sjížděla dolů, pomalu se zarývajíc, ale svým hrotem ideovým burcujíc a pře</w:t>
      </w:r>
      <w:r>
        <w:rPr>
          <w:sz w:val="22"/>
          <w:szCs w:val="22"/>
        </w:rPr>
        <w:softHyphen/>
        <w:t>tvářejíc živoucí tkáň národní bytosti. Nejlepší los, jaký se může dostat knize, dostal se i jí, takový, jaký si</w:t>
      </w:r>
      <w:r>
        <w:rPr>
          <w:sz w:val="22"/>
          <w:szCs w:val="22"/>
        </w:rPr>
        <w:t xml:space="preserve"> autor její přál: popsaný papír z ruky učencovy na</w:t>
      </w:r>
      <w:r>
        <w:rPr>
          <w:sz w:val="22"/>
          <w:szCs w:val="22"/>
        </w:rPr>
        <w:softHyphen/>
        <w:t>posledy proměnil se průběhem několika desítiletí v ži</w:t>
      </w:r>
      <w:r>
        <w:rPr>
          <w:sz w:val="22"/>
          <w:szCs w:val="22"/>
        </w:rPr>
        <w:softHyphen/>
        <w:t>voucí, krví napojený kus německé bytosti národní, stal se připravovatelem budoucích činů jejích! Jaký to rozdíl mezi účinem na mysl a vůli českou, a úč</w:t>
      </w:r>
      <w:r>
        <w:rPr>
          <w:sz w:val="22"/>
          <w:szCs w:val="22"/>
        </w:rPr>
        <w:t>i</w:t>
      </w:r>
      <w:r>
        <w:rPr>
          <w:sz w:val="22"/>
          <w:szCs w:val="22"/>
        </w:rPr>
        <w:softHyphen/>
        <w:t>nem na celou bytost německou! Sic těžko změřitelný, ale je, trvá stále, a proto právě my si musíme ho všimnout, jak hluboko zajel do bytosti německé.</w:t>
      </w:r>
    </w:p>
    <w:p w:rsidR="00500724" w:rsidRDefault="00F30FB8">
      <w:pPr>
        <w:pStyle w:val="Jin0"/>
        <w:shd w:val="clear" w:color="auto" w:fill="auto"/>
        <w:spacing w:line="202" w:lineRule="auto"/>
        <w:ind w:firstLine="0"/>
        <w:jc w:val="center"/>
        <w:rPr>
          <w:sz w:val="22"/>
          <w:szCs w:val="22"/>
        </w:rPr>
      </w:pPr>
      <w:r>
        <w:rPr>
          <w:sz w:val="22"/>
          <w:szCs w:val="22"/>
        </w:rPr>
        <w:t>•</w:t>
      </w:r>
    </w:p>
    <w:p w:rsidR="00500724" w:rsidRDefault="00F30FB8">
      <w:pPr>
        <w:pStyle w:val="Jin0"/>
        <w:shd w:val="clear" w:color="auto" w:fill="auto"/>
        <w:spacing w:line="202" w:lineRule="auto"/>
        <w:ind w:firstLine="260"/>
        <w:rPr>
          <w:sz w:val="22"/>
          <w:szCs w:val="22"/>
        </w:rPr>
      </w:pPr>
      <w:r>
        <w:rPr>
          <w:sz w:val="22"/>
          <w:szCs w:val="22"/>
        </w:rPr>
        <w:t>Náskok německého lidu, co se tkne praktického užití nauky o boji za právo na život ve všech jeho formá</w:t>
      </w:r>
      <w:r>
        <w:rPr>
          <w:sz w:val="22"/>
          <w:szCs w:val="22"/>
        </w:rPr>
        <w:t>ch a směrech, vysvitne hned ze dvou okolností:</w:t>
      </w:r>
    </w:p>
    <w:p w:rsidR="00500724" w:rsidRDefault="00F30FB8">
      <w:pPr>
        <w:pStyle w:val="Jin0"/>
        <w:shd w:val="clear" w:color="auto" w:fill="auto"/>
        <w:spacing w:line="202" w:lineRule="auto"/>
        <w:ind w:firstLine="260"/>
        <w:rPr>
          <w:sz w:val="22"/>
          <w:szCs w:val="22"/>
        </w:rPr>
      </w:pPr>
      <w:r>
        <w:rPr>
          <w:sz w:val="22"/>
          <w:szCs w:val="22"/>
        </w:rPr>
        <w:t>První: Němcům totiž dostalo se netoliko této jediné (i nám v překladě dostupné) knížky, nabádající tak sugestivně mocně jedince i celý národ k boji za svoje právo, nýbrž i celého ostatního životního díla jejíh</w:t>
      </w:r>
      <w:r>
        <w:rPr>
          <w:sz w:val="22"/>
          <w:szCs w:val="22"/>
        </w:rPr>
        <w:t xml:space="preserve">o autora, vesměs v témže duchu, </w:t>
      </w:r>
      <w:r>
        <w:rPr>
          <w:i/>
          <w:iCs/>
          <w:sz w:val="22"/>
          <w:szCs w:val="22"/>
        </w:rPr>
        <w:t>a</w:t>
      </w:r>
      <w:r>
        <w:rPr>
          <w:sz w:val="22"/>
          <w:szCs w:val="22"/>
        </w:rPr>
        <w:t xml:space="preserve"> nejen v knihách, nýbrž nadto živým slovem po kolik desítiletí, ke stům a tisícům mladých lidí, kteří napořád stávali se roz</w:t>
      </w:r>
      <w:r>
        <w:rPr>
          <w:sz w:val="22"/>
          <w:szCs w:val="22"/>
        </w:rPr>
        <w:softHyphen/>
        <w:t>nášecí a šiřiteli tohoto živoucího slova široko daleko, po všech končinách německých.</w:t>
      </w:r>
    </w:p>
    <w:p w:rsidR="00500724" w:rsidRDefault="00F30FB8">
      <w:pPr>
        <w:pStyle w:val="Jin0"/>
        <w:shd w:val="clear" w:color="auto" w:fill="auto"/>
        <w:spacing w:line="202" w:lineRule="auto"/>
        <w:ind w:firstLine="260"/>
        <w:rPr>
          <w:sz w:val="22"/>
          <w:szCs w:val="22"/>
        </w:rPr>
      </w:pPr>
      <w:r>
        <w:rPr>
          <w:sz w:val="22"/>
          <w:szCs w:val="22"/>
        </w:rPr>
        <w:t>Muž, který t</w:t>
      </w:r>
      <w:r>
        <w:rPr>
          <w:sz w:val="22"/>
          <w:szCs w:val="22"/>
        </w:rPr>
        <w:t>akto rok od roku vyrůstal ve většího a většího rozsévače, byl Rudolf v. Ihering (1818 až 1892), kdysi profesor práv (spíše: filosofie práva) na universitě v Gotinkách.</w:t>
      </w:r>
    </w:p>
    <w:p w:rsidR="00500724" w:rsidRDefault="00F30FB8">
      <w:pPr>
        <w:pStyle w:val="Jin0"/>
        <w:shd w:val="clear" w:color="auto" w:fill="auto"/>
        <w:spacing w:after="40" w:line="197" w:lineRule="auto"/>
        <w:ind w:firstLine="0"/>
        <w:jc w:val="center"/>
        <w:rPr>
          <w:sz w:val="22"/>
          <w:szCs w:val="22"/>
        </w:rPr>
      </w:pPr>
      <w:r>
        <w:rPr>
          <w:sz w:val="22"/>
          <w:szCs w:val="22"/>
        </w:rPr>
        <w:t>•</w:t>
      </w:r>
    </w:p>
    <w:p w:rsidR="00500724" w:rsidRDefault="00F30FB8">
      <w:pPr>
        <w:pStyle w:val="Jin0"/>
        <w:shd w:val="clear" w:color="auto" w:fill="auto"/>
        <w:spacing w:after="40" w:line="202" w:lineRule="auto"/>
        <w:ind w:firstLine="260"/>
        <w:rPr>
          <w:sz w:val="22"/>
          <w:szCs w:val="22"/>
        </w:rPr>
      </w:pPr>
      <w:r>
        <w:rPr>
          <w:sz w:val="22"/>
          <w:szCs w:val="22"/>
        </w:rPr>
        <w:t>To nebyl tuctový vysokoškolský profesor, z tako</w:t>
      </w:r>
      <w:r>
        <w:rPr>
          <w:sz w:val="22"/>
          <w:szCs w:val="22"/>
        </w:rPr>
        <w:softHyphen/>
        <w:t>vých, co se omezují třicet roků výhrad</w:t>
      </w:r>
      <w:r>
        <w:rPr>
          <w:sz w:val="22"/>
          <w:szCs w:val="22"/>
        </w:rPr>
        <w:t>ně na svá lejstra, nošená beze změn v šosech učeneckého ka</w:t>
      </w:r>
      <w:r>
        <w:rPr>
          <w:sz w:val="22"/>
          <w:szCs w:val="22"/>
        </w:rPr>
        <w:softHyphen/>
        <w:t>bátu, na trápení mládeže právnické: to byl prudký, výbojný, originální duch, který už jako mladý docent postavil se proti přestárlé, plesnivějící škole tak zvané historické a stal se původcem i vůd</w:t>
      </w:r>
      <w:r>
        <w:rPr>
          <w:sz w:val="22"/>
          <w:szCs w:val="22"/>
        </w:rPr>
        <w:t>cem nového myšle</w:t>
      </w:r>
      <w:r>
        <w:rPr>
          <w:sz w:val="22"/>
          <w:szCs w:val="22"/>
        </w:rPr>
        <w:softHyphen/>
        <w:t>ní právního. Vliv jeho byl veliký; nejdříve ovšem mezi stěnami poslucháren; ale odtud záhy, roznášen mla</w:t>
      </w:r>
      <w:r>
        <w:rPr>
          <w:sz w:val="22"/>
          <w:szCs w:val="22"/>
        </w:rPr>
        <w:softHyphen/>
        <w:t>dými stoupenci, počal se šířit do života, prosakovat vrstvami lidu, a tam, podle jména ovšem už dole ne</w:t>
      </w:r>
      <w:r>
        <w:rPr>
          <w:sz w:val="22"/>
          <w:szCs w:val="22"/>
        </w:rPr>
        <w:softHyphen/>
        <w:t>znám, mocí svých reformerských</w:t>
      </w:r>
      <w:r>
        <w:rPr>
          <w:sz w:val="22"/>
          <w:szCs w:val="22"/>
        </w:rPr>
        <w:t xml:space="preserve"> ideí stával se živou</w:t>
      </w:r>
      <w:r>
        <w:rPr>
          <w:sz w:val="22"/>
          <w:szCs w:val="22"/>
        </w:rPr>
        <w:softHyphen/>
        <w:t>cí silou národního života.</w:t>
      </w:r>
    </w:p>
    <w:p w:rsidR="00500724" w:rsidRDefault="00F30FB8">
      <w:pPr>
        <w:pStyle w:val="Jin0"/>
        <w:shd w:val="clear" w:color="auto" w:fill="auto"/>
        <w:spacing w:line="202" w:lineRule="auto"/>
        <w:ind w:firstLine="260"/>
        <w:rPr>
          <w:sz w:val="22"/>
          <w:szCs w:val="22"/>
        </w:rPr>
      </w:pPr>
      <w:r>
        <w:rPr>
          <w:sz w:val="22"/>
          <w:szCs w:val="22"/>
        </w:rPr>
        <w:t>Ihering začal učit, že právo dokonce není výsled</w:t>
      </w:r>
      <w:r>
        <w:rPr>
          <w:sz w:val="22"/>
          <w:szCs w:val="22"/>
        </w:rPr>
        <w:softHyphen/>
        <w:t xml:space="preserve">kem klidného, volného vývoje z morálních principů národa, nýbrž že jeho prostředkem je boj, třeba že cílem práva je pokoj a mír. Ukazoval, že tomu tak bylo v </w:t>
      </w:r>
      <w:r>
        <w:rPr>
          <w:sz w:val="22"/>
          <w:szCs w:val="22"/>
        </w:rPr>
        <w:t>dějinách vždy; všecky veliké právní vymože</w:t>
      </w:r>
      <w:r>
        <w:rPr>
          <w:sz w:val="22"/>
          <w:szCs w:val="22"/>
        </w:rPr>
        <w:softHyphen/>
        <w:t>nosti v historii musily být uskutečněny bojem; bez bojů, a to nejprudších, nebylo by bývalo nikdy od</w:t>
      </w:r>
      <w:r>
        <w:rPr>
          <w:sz w:val="22"/>
          <w:szCs w:val="22"/>
        </w:rPr>
        <w:softHyphen/>
        <w:t>straněno nevolnictví, zrušeno otroctví, dobyta svo</w:t>
      </w:r>
      <w:r>
        <w:rPr>
          <w:sz w:val="22"/>
          <w:szCs w:val="22"/>
        </w:rPr>
        <w:softHyphen/>
        <w:t>boda vlastnictví půdy, svoboda víry, svoboda živnos</w:t>
      </w:r>
      <w:r>
        <w:rPr>
          <w:sz w:val="22"/>
          <w:szCs w:val="22"/>
        </w:rPr>
        <w:softHyphen/>
        <w:t>tenská at</w:t>
      </w:r>
      <w:r>
        <w:rPr>
          <w:sz w:val="22"/>
          <w:szCs w:val="22"/>
        </w:rPr>
        <w:t>d.</w:t>
      </w:r>
    </w:p>
    <w:p w:rsidR="00500724" w:rsidRDefault="00F30FB8">
      <w:pPr>
        <w:pStyle w:val="Jin0"/>
        <w:shd w:val="clear" w:color="auto" w:fill="auto"/>
        <w:spacing w:after="40" w:line="180" w:lineRule="auto"/>
        <w:ind w:firstLine="0"/>
        <w:jc w:val="center"/>
        <w:rPr>
          <w:sz w:val="22"/>
          <w:szCs w:val="22"/>
        </w:rPr>
      </w:pPr>
      <w:r>
        <w:rPr>
          <w:sz w:val="22"/>
          <w:szCs w:val="22"/>
        </w:rPr>
        <w:t>•</w:t>
      </w:r>
    </w:p>
    <w:p w:rsidR="00500724" w:rsidRDefault="00F30FB8">
      <w:pPr>
        <w:pStyle w:val="Jin0"/>
        <w:shd w:val="clear" w:color="auto" w:fill="auto"/>
        <w:spacing w:line="202" w:lineRule="auto"/>
        <w:ind w:firstLine="260"/>
        <w:rPr>
          <w:sz w:val="22"/>
          <w:szCs w:val="22"/>
        </w:rPr>
      </w:pPr>
      <w:r>
        <w:rPr>
          <w:sz w:val="22"/>
          <w:szCs w:val="22"/>
        </w:rPr>
        <w:t xml:space="preserve">Ale druhá okolnost byla ještě důležitější: to, že nová myšlenka, Iheringem vědecky formulovaná, našla souzvučnou půdu v národní bytosti německé. Žádná nová idea, buď si sebe skvělejší a svůdnější, nezapustí kořeny na trvalo do samého života národa, </w:t>
      </w:r>
      <w:r>
        <w:rPr>
          <w:sz w:val="22"/>
          <w:szCs w:val="22"/>
        </w:rPr>
        <w:t>není-li v tom národě už od počátku příbuzenství du</w:t>
      </w:r>
      <w:r>
        <w:rPr>
          <w:sz w:val="22"/>
          <w:szCs w:val="22"/>
        </w:rPr>
        <w:softHyphen/>
        <w:t>chovní, v temnu zárodečném čekající na vyslovení toho, co v něm samém je. Sourodé se potkalo se souro- dým, shora i zdola, srostlo a vytvořilo sílu, která pak vrátila se do velké oblasti národní, žít tam v</w:t>
      </w:r>
      <w:r>
        <w:rPr>
          <w:sz w:val="22"/>
          <w:szCs w:val="22"/>
        </w:rPr>
        <w:t>zmocněně a připravovat už vědoměji, potvrzené činy budoucí.</w:t>
      </w:r>
    </w:p>
    <w:p w:rsidR="00500724" w:rsidRDefault="00F30FB8">
      <w:pPr>
        <w:pStyle w:val="Jin0"/>
        <w:shd w:val="clear" w:color="auto" w:fill="auto"/>
        <w:spacing w:after="40" w:line="202" w:lineRule="auto"/>
        <w:ind w:firstLine="260"/>
        <w:rPr>
          <w:sz w:val="22"/>
          <w:szCs w:val="22"/>
        </w:rPr>
      </w:pPr>
      <w:r>
        <w:rPr>
          <w:sz w:val="22"/>
          <w:szCs w:val="22"/>
        </w:rPr>
        <w:t>Lid od počátku bojovný a výbojný, uctívač síly a moci, který se takto byl projevoval nesčetnými skut</w:t>
      </w:r>
      <w:r>
        <w:rPr>
          <w:sz w:val="22"/>
          <w:szCs w:val="22"/>
        </w:rPr>
        <w:softHyphen/>
        <w:t>ky za své dosavadní historie, nalezl v Iheringovi, frisském Němci, muže, který, vědom sobě svéh</w:t>
      </w:r>
      <w:r>
        <w:rPr>
          <w:sz w:val="22"/>
          <w:szCs w:val="22"/>
        </w:rPr>
        <w:t>o bo</w:t>
      </w:r>
      <w:r>
        <w:rPr>
          <w:sz w:val="22"/>
          <w:szCs w:val="22"/>
        </w:rPr>
        <w:softHyphen/>
        <w:t>jovného němectví v základě bytosti, duch výbojný, silně pociťující sounáležitost k lidu výbojnému, při tom pak myšlenkově mocně zabrán i přemítáním o právu, o jeho zdroji, původu, smyslu a cíli, spoje</w:t>
      </w:r>
      <w:r>
        <w:rPr>
          <w:sz w:val="22"/>
          <w:szCs w:val="22"/>
        </w:rPr>
        <w:softHyphen/>
        <w:t xml:space="preserve">ním těchto dvou oblastí musil dospět teoreticky k </w:t>
      </w:r>
      <w:r>
        <w:rPr>
          <w:sz w:val="22"/>
          <w:szCs w:val="22"/>
        </w:rPr>
        <w:t>té</w:t>
      </w:r>
      <w:r>
        <w:rPr>
          <w:sz w:val="22"/>
          <w:szCs w:val="22"/>
        </w:rPr>
        <w:softHyphen/>
        <w:t>muž závěru, ke kterému národ byl dávno dospěl bez teorie, bez filosofování, pouhou bojovnickou praxí a vrozeným sklonem k bojování. Význam díla Iherin- gova je v tom, že teoreticky dal tisícileté národní praxi vědecké zdůvodnění, že morálně mu ospravedl</w:t>
      </w:r>
      <w:r>
        <w:rPr>
          <w:sz w:val="22"/>
          <w:szCs w:val="22"/>
        </w:rPr>
        <w:softHyphen/>
        <w:t>nil jeho tendenci k moci, k uctívání a množení síly.</w:t>
      </w:r>
    </w:p>
    <w:p w:rsidR="00500724" w:rsidRDefault="00F30FB8">
      <w:pPr>
        <w:pStyle w:val="Jin0"/>
        <w:shd w:val="clear" w:color="auto" w:fill="auto"/>
        <w:spacing w:after="40" w:line="204" w:lineRule="auto"/>
        <w:ind w:firstLine="260"/>
        <w:rPr>
          <w:sz w:val="22"/>
          <w:szCs w:val="22"/>
        </w:rPr>
      </w:pPr>
      <w:r>
        <w:rPr>
          <w:sz w:val="22"/>
          <w:szCs w:val="22"/>
        </w:rPr>
        <w:t>Toto splynutí vědecky ospravedlňující teorie s ná</w:t>
      </w:r>
      <w:r>
        <w:rPr>
          <w:sz w:val="22"/>
          <w:szCs w:val="22"/>
        </w:rPr>
        <w:softHyphen/>
        <w:t>rodní praxí neudálo se ovšem naráz, v několika ro</w:t>
      </w:r>
      <w:r>
        <w:rPr>
          <w:sz w:val="22"/>
          <w:szCs w:val="22"/>
        </w:rPr>
        <w:softHyphen/>
        <w:t xml:space="preserve">cích; a také ne přímým působením vysokoškolského vědce na spodní hluboké vrstvy lidu, nýbrž za dlouhý </w:t>
      </w:r>
      <w:r>
        <w:rPr>
          <w:sz w:val="22"/>
          <w:szCs w:val="22"/>
        </w:rPr>
        <w:t>čas a mnoha oklikami. Počalo tam, v hloubce, nabý</w:t>
      </w:r>
      <w:r>
        <w:rPr>
          <w:sz w:val="22"/>
          <w:szCs w:val="22"/>
        </w:rPr>
        <w:softHyphen/>
        <w:t>vat obzvláštní moci působením velkého národního utrpení po prohrané válce evropské od roku 1920. Veliká bolest celonárodní, spojená s citem velké křiv</w:t>
      </w:r>
      <w:r>
        <w:rPr>
          <w:sz w:val="22"/>
          <w:szCs w:val="22"/>
        </w:rPr>
        <w:softHyphen/>
        <w:t>dy, dala vzrůst prudkému dychtění po dobytí ztrace</w:t>
      </w:r>
      <w:r>
        <w:rPr>
          <w:sz w:val="22"/>
          <w:szCs w:val="22"/>
        </w:rPr>
        <w:softHyphen/>
        <w:t>ného</w:t>
      </w:r>
      <w:r>
        <w:rPr>
          <w:sz w:val="22"/>
          <w:szCs w:val="22"/>
        </w:rPr>
        <w:t xml:space="preserve"> týmž způsobem, který duchu německému byl nejbližší, bojem.</w:t>
      </w:r>
    </w:p>
    <w:p w:rsidR="00500724" w:rsidRDefault="00F30FB8">
      <w:pPr>
        <w:pStyle w:val="Jin0"/>
        <w:shd w:val="clear" w:color="auto" w:fill="auto"/>
        <w:spacing w:line="204" w:lineRule="auto"/>
        <w:ind w:firstLine="260"/>
        <w:rPr>
          <w:sz w:val="22"/>
          <w:szCs w:val="22"/>
        </w:rPr>
      </w:pPr>
      <w:r>
        <w:rPr>
          <w:sz w:val="22"/>
          <w:szCs w:val="22"/>
        </w:rPr>
        <w:t>Boj trvá už řadu roků, přes onu porážku, a vlastně právě pro ni, stále ještě neukončen. Za ty strastné roky byli jsme my Češi nejen svědky, ale i bezděč</w:t>
      </w:r>
      <w:r>
        <w:rPr>
          <w:sz w:val="22"/>
          <w:szCs w:val="22"/>
        </w:rPr>
        <w:softHyphen/>
        <w:t>nými účastníky pokračování světové války, d</w:t>
      </w:r>
      <w:r>
        <w:rPr>
          <w:sz w:val="22"/>
          <w:szCs w:val="22"/>
        </w:rPr>
        <w:t>ruhé fáze její, s projevy ohromné energie německého lidu, která vyvěrala z několika zdrojů: ze vrozeného bojov</w:t>
      </w:r>
      <w:r>
        <w:rPr>
          <w:sz w:val="22"/>
          <w:szCs w:val="22"/>
        </w:rPr>
        <w:softHyphen/>
        <w:t>ného charakteru, který nemůže snést porážku bez od</w:t>
      </w:r>
      <w:r>
        <w:rPr>
          <w:sz w:val="22"/>
          <w:szCs w:val="22"/>
        </w:rPr>
        <w:softHyphen/>
        <w:t xml:space="preserve">vety; z citu pokoření; z národního uctívání moci a síly; z přesvědčení, potvrzeného vědou, že </w:t>
      </w:r>
      <w:r>
        <w:rPr>
          <w:sz w:val="22"/>
          <w:szCs w:val="22"/>
        </w:rPr>
        <w:t>vlastním a výhradným prostředkem ku právu je boj (jak to proslulou kdysi větou vytknul Ihering staré právní vědě [historické, vedené kdysi Savignym], že se obí</w:t>
      </w:r>
      <w:r>
        <w:rPr>
          <w:sz w:val="22"/>
          <w:szCs w:val="22"/>
        </w:rPr>
        <w:softHyphen/>
        <w:t>rala více vahami Spravedlnosti než jejím mečem).</w:t>
      </w:r>
    </w:p>
    <w:p w:rsidR="00500724" w:rsidRDefault="00F30FB8">
      <w:pPr>
        <w:pStyle w:val="Jin0"/>
        <w:shd w:val="clear" w:color="auto" w:fill="auto"/>
        <w:spacing w:line="180" w:lineRule="auto"/>
        <w:ind w:firstLine="0"/>
        <w:jc w:val="center"/>
        <w:rPr>
          <w:sz w:val="22"/>
          <w:szCs w:val="22"/>
        </w:rPr>
      </w:pPr>
      <w:r>
        <w:rPr>
          <w:sz w:val="22"/>
          <w:szCs w:val="22"/>
        </w:rPr>
        <w:t>•</w:t>
      </w:r>
    </w:p>
    <w:p w:rsidR="00500724" w:rsidRDefault="00F30FB8">
      <w:pPr>
        <w:pStyle w:val="Jin0"/>
        <w:shd w:val="clear" w:color="auto" w:fill="auto"/>
        <w:spacing w:line="202" w:lineRule="auto"/>
        <w:ind w:firstLine="260"/>
        <w:rPr>
          <w:sz w:val="22"/>
          <w:szCs w:val="22"/>
        </w:rPr>
      </w:pPr>
      <w:r>
        <w:rPr>
          <w:sz w:val="22"/>
          <w:szCs w:val="22"/>
        </w:rPr>
        <w:t>Náš národní život ocitá se právě teď před vel</w:t>
      </w:r>
      <w:r>
        <w:rPr>
          <w:sz w:val="22"/>
          <w:szCs w:val="22"/>
        </w:rPr>
        <w:t>kou věcí, která bude mít předalekosáhlý vliv na naše dneš</w:t>
      </w:r>
      <w:r>
        <w:rPr>
          <w:sz w:val="22"/>
          <w:szCs w:val="22"/>
        </w:rPr>
        <w:softHyphen/>
        <w:t>ní žití. Jde o osnovu, ustanovení o státoprávním po</w:t>
      </w:r>
      <w:r>
        <w:rPr>
          <w:sz w:val="22"/>
          <w:szCs w:val="22"/>
        </w:rPr>
        <w:softHyphen/>
        <w:t>stavení Čech a Moravy v poměru k říši německé; osno</w:t>
      </w:r>
      <w:r>
        <w:rPr>
          <w:sz w:val="22"/>
          <w:szCs w:val="22"/>
        </w:rPr>
        <w:softHyphen/>
        <w:t>vu vypracoval státní tajemník říšský dr. Stuckart. Zatím tato osnova nemůže být pokládána za e</w:t>
      </w:r>
      <w:r>
        <w:rPr>
          <w:sz w:val="22"/>
          <w:szCs w:val="22"/>
        </w:rPr>
        <w:t>laborát definitivní; zdá se, že dr. Stuckart sám ještě pohlí</w:t>
      </w:r>
      <w:r>
        <w:rPr>
          <w:sz w:val="22"/>
          <w:szCs w:val="22"/>
        </w:rPr>
        <w:softHyphen/>
        <w:t xml:space="preserve">ží na své dílo jako na teorii, která může vzbudit proti- teorii, vyvolat polemiku, nebo návrhy na zlepšení, opravy atd.; lze tak soudit z toho, že autor osnovy vzal svůj návrh na vědecký kongres </w:t>
      </w:r>
      <w:r>
        <w:rPr>
          <w:sz w:val="22"/>
          <w:szCs w:val="22"/>
        </w:rPr>
        <w:t>pro německé právo v Lipsku a tam ve dvou přednáškách předložil jej účastníkům, právnickým odborníkům nejen říšsko</w:t>
      </w:r>
      <w:r>
        <w:rPr>
          <w:sz w:val="22"/>
          <w:szCs w:val="22"/>
        </w:rPr>
        <w:softHyphen/>
        <w:t>německým, ale i cizostátním.</w:t>
      </w:r>
    </w:p>
    <w:p w:rsidR="00500724" w:rsidRDefault="00F30FB8">
      <w:pPr>
        <w:pStyle w:val="Jin0"/>
        <w:shd w:val="clear" w:color="auto" w:fill="auto"/>
        <w:spacing w:line="202" w:lineRule="auto"/>
        <w:ind w:firstLine="260"/>
        <w:rPr>
          <w:sz w:val="22"/>
          <w:szCs w:val="22"/>
        </w:rPr>
      </w:pPr>
      <w:r>
        <w:rPr>
          <w:sz w:val="22"/>
          <w:szCs w:val="22"/>
        </w:rPr>
        <w:t>Máme v čele našeho státu (pokládáme Čechy a Mo</w:t>
      </w:r>
      <w:r>
        <w:rPr>
          <w:sz w:val="22"/>
          <w:szCs w:val="22"/>
        </w:rPr>
        <w:softHyphen/>
        <w:t>ravu dosud za jistou formu státu, třeba kusou územím i právy, nebo</w:t>
      </w:r>
      <w:r>
        <w:rPr>
          <w:sz w:val="22"/>
          <w:szCs w:val="22"/>
        </w:rPr>
        <w:t>ť jinak by neměl smyslu titul »s t á t n í presidentce, užívaný beze všeho úřady i listy říšský</w:t>
      </w:r>
      <w:r>
        <w:rPr>
          <w:sz w:val="22"/>
          <w:szCs w:val="22"/>
        </w:rPr>
        <w:softHyphen/>
        <w:t xml:space="preserve">mi!), máme na štěstí v jeho čele výborného právníka, který už dávno najisto, i před osnovou dr. Stuckar- ta, všecky ty státoprávní věci promyslil, a jako dobrý </w:t>
      </w:r>
      <w:r>
        <w:rPr>
          <w:sz w:val="22"/>
          <w:szCs w:val="22"/>
        </w:rPr>
        <w:t>Čech, své dějinné odpovědnosti hluboko vědomý, vy</w:t>
      </w:r>
      <w:r>
        <w:rPr>
          <w:sz w:val="22"/>
          <w:szCs w:val="22"/>
        </w:rPr>
        <w:softHyphen/>
        <w:t>koná vše, co v těchto, pořád ještě kritických dnech tento problém bude od nás vyžadovat.</w:t>
      </w:r>
    </w:p>
    <w:p w:rsidR="00500724" w:rsidRDefault="00F30FB8">
      <w:pPr>
        <w:pStyle w:val="Jin0"/>
        <w:shd w:val="clear" w:color="auto" w:fill="auto"/>
        <w:spacing w:line="202" w:lineRule="auto"/>
        <w:ind w:firstLine="260"/>
        <w:rPr>
          <w:sz w:val="22"/>
          <w:szCs w:val="22"/>
        </w:rPr>
      </w:pPr>
      <w:r>
        <w:rPr>
          <w:sz w:val="22"/>
          <w:szCs w:val="22"/>
        </w:rPr>
        <w:t>Ale při tom musíme být i my všichni: také naše je odpovědnost! ta nemůže být pohodlně převalena jen na presidenta, vl</w:t>
      </w:r>
      <w:r>
        <w:rPr>
          <w:sz w:val="22"/>
          <w:szCs w:val="22"/>
        </w:rPr>
        <w:t>ádu, vedoucí v NS, volané znalce a odborníky. Všichni musíme se zjevit silni v těchto hodinách, všem nám je třeba své síly udržet, neplýt</w:t>
      </w:r>
      <w:r>
        <w:rPr>
          <w:sz w:val="22"/>
          <w:szCs w:val="22"/>
        </w:rPr>
        <w:softHyphen/>
        <w:t>vat jimi, ale množit.</w:t>
      </w:r>
    </w:p>
    <w:p w:rsidR="00500724" w:rsidRDefault="00F30FB8">
      <w:pPr>
        <w:pStyle w:val="Jin0"/>
        <w:shd w:val="clear" w:color="auto" w:fill="auto"/>
        <w:spacing w:line="202" w:lineRule="auto"/>
        <w:ind w:firstLine="260"/>
        <w:rPr>
          <w:sz w:val="22"/>
          <w:szCs w:val="22"/>
        </w:rPr>
      </w:pPr>
      <w:r>
        <w:rPr>
          <w:sz w:val="22"/>
          <w:szCs w:val="22"/>
        </w:rPr>
        <w:t>Je třeba množit v sobě samém vůli ke spravedl</w:t>
      </w:r>
      <w:r>
        <w:rPr>
          <w:sz w:val="22"/>
          <w:szCs w:val="22"/>
        </w:rPr>
        <w:softHyphen/>
        <w:t>nosti; nikoli chtít jen pro sebe spravedlnost, ale</w:t>
      </w:r>
      <w:r>
        <w:rPr>
          <w:sz w:val="22"/>
          <w:szCs w:val="22"/>
        </w:rPr>
        <w:t xml:space="preserve"> konat ji také sám, poctivě a trvale naproti jiným, každý ve svém okruhu životním! toť nejlepší zabezpečení proti křivdě: příklad vlastní!</w:t>
      </w:r>
    </w:p>
    <w:p w:rsidR="00500724" w:rsidRDefault="00F30FB8">
      <w:pPr>
        <w:pStyle w:val="Jin0"/>
        <w:shd w:val="clear" w:color="auto" w:fill="auto"/>
        <w:spacing w:line="202" w:lineRule="auto"/>
        <w:ind w:firstLine="260"/>
        <w:rPr>
          <w:sz w:val="22"/>
          <w:szCs w:val="22"/>
        </w:rPr>
      </w:pPr>
      <w:r>
        <w:rPr>
          <w:sz w:val="22"/>
          <w:szCs w:val="22"/>
        </w:rPr>
        <w:t>Sílit v sobě vůli ku právu i toho druhého, nejen své</w:t>
      </w:r>
      <w:r>
        <w:rPr>
          <w:sz w:val="22"/>
          <w:szCs w:val="22"/>
        </w:rPr>
        <w:softHyphen/>
        <w:t>mu! K tomu sílení vůle ku právu zajisté může nám být hodně pomoc</w:t>
      </w:r>
      <w:r>
        <w:rPr>
          <w:sz w:val="22"/>
          <w:szCs w:val="22"/>
        </w:rPr>
        <w:t xml:space="preserve">ná i ta stará knížka Iheringova, komu se dnes ještě dostane do rukou. Ale pozor při té knížce! Přese všecky rady a výzvy, stát pevně na svém právu, nejeví se nám dnes už být tak zcela bez jistého nebezpečí: pamatovat, jak souvisí s veškerým ostatním dílem </w:t>
      </w:r>
      <w:r>
        <w:rPr>
          <w:sz w:val="22"/>
          <w:szCs w:val="22"/>
        </w:rPr>
        <w:t>autorovým, jak je bytostně vkořeněna do národní podstaty německé, a jak za prostředek tvorby práva prohlašuje boj a m e č.</w:t>
      </w:r>
    </w:p>
    <w:p w:rsidR="00500724" w:rsidRDefault="00F30FB8">
      <w:pPr>
        <w:pStyle w:val="Jin0"/>
        <w:shd w:val="clear" w:color="auto" w:fill="auto"/>
        <w:spacing w:line="202" w:lineRule="auto"/>
        <w:ind w:firstLine="260"/>
        <w:rPr>
          <w:sz w:val="22"/>
          <w:szCs w:val="22"/>
        </w:rPr>
      </w:pPr>
      <w:r>
        <w:rPr>
          <w:sz w:val="22"/>
          <w:szCs w:val="22"/>
        </w:rPr>
        <w:t>Tento meč, apel k meči pro právo je to právě, který se nesrovnává s národní mentalitou českou, s našimi nejvlastnějšími dějinami, s n</w:t>
      </w:r>
      <w:r>
        <w:rPr>
          <w:sz w:val="22"/>
          <w:szCs w:val="22"/>
        </w:rPr>
        <w:t>aší Cestou českou. Meč je nástroj života starého; nástrojem nového života je zbraň duchovní: poznání, sebe i ostatních, pravda, přesvědčování důvody, apel k rozumu, soudnost bez vášně, vzteku, bez nenávisti a pomstychtivosti, vůle ke spravedlnosti vůči vše</w:t>
      </w:r>
      <w:r>
        <w:rPr>
          <w:sz w:val="22"/>
          <w:szCs w:val="22"/>
        </w:rPr>
        <w:t>m, řinoucí se spontánně z duše člověcké bez žalob, exekucí a boje; úcta k člo</w:t>
      </w:r>
      <w:r>
        <w:rPr>
          <w:sz w:val="22"/>
          <w:szCs w:val="22"/>
        </w:rPr>
        <w:softHyphen/>
        <w:t>věku, úcta k národu, úcta k poslání každého národa, cit solidarity, pochopování, že my všichni, různých ras, řečí, barev, snah, ctností a neřestí jsme jednot</w:t>
      </w:r>
      <w:r>
        <w:rPr>
          <w:sz w:val="22"/>
          <w:szCs w:val="22"/>
        </w:rPr>
        <w:softHyphen/>
        <w:t xml:space="preserve">ným výtvorem Ducha, </w:t>
      </w:r>
      <w:r>
        <w:rPr>
          <w:sz w:val="22"/>
          <w:szCs w:val="22"/>
        </w:rPr>
        <w:t>velkou jedinou myšlenkou boží.</w:t>
      </w:r>
    </w:p>
    <w:p w:rsidR="00500724" w:rsidRDefault="00F30FB8">
      <w:pPr>
        <w:pStyle w:val="Jin0"/>
        <w:shd w:val="clear" w:color="auto" w:fill="auto"/>
        <w:spacing w:line="202" w:lineRule="auto"/>
        <w:ind w:firstLine="240"/>
        <w:rPr>
          <w:sz w:val="22"/>
          <w:szCs w:val="22"/>
        </w:rPr>
      </w:pPr>
      <w:r>
        <w:rPr>
          <w:sz w:val="22"/>
          <w:szCs w:val="22"/>
        </w:rPr>
        <w:t>Překonat v sobě meč, to jest vůli k boji hmotnou zbraní pro malicherné zisky a prospěchy pochybných hodnot, překonat to vše v sobě jako zlé dědictví tem</w:t>
      </w:r>
      <w:r>
        <w:rPr>
          <w:sz w:val="22"/>
          <w:szCs w:val="22"/>
        </w:rPr>
        <w:softHyphen/>
        <w:t>ných předků, a na místě toho zdvihnout pravé dobré dědictví po nemnohých</w:t>
      </w:r>
      <w:r>
        <w:rPr>
          <w:sz w:val="22"/>
          <w:szCs w:val="22"/>
        </w:rPr>
        <w:t xml:space="preserve"> praotcích osvícených vyšším světlem k novému životu kladu, zdraví, spravedlnosti, krásy a radosti, to zjevuje se jako perspektiva a bu</w:t>
      </w:r>
      <w:r>
        <w:rPr>
          <w:sz w:val="22"/>
          <w:szCs w:val="22"/>
        </w:rPr>
        <w:softHyphen/>
        <w:t>doucí dílo nové Evropy po obecném překonání meče v ní.</w:t>
      </w:r>
    </w:p>
    <w:p w:rsidR="00500724" w:rsidRDefault="00F30FB8">
      <w:pPr>
        <w:pStyle w:val="Jin0"/>
        <w:shd w:val="clear" w:color="auto" w:fill="auto"/>
        <w:spacing w:line="202" w:lineRule="auto"/>
        <w:ind w:firstLine="240"/>
        <w:rPr>
          <w:sz w:val="22"/>
          <w:szCs w:val="22"/>
        </w:rPr>
      </w:pPr>
      <w:r>
        <w:rPr>
          <w:sz w:val="22"/>
          <w:szCs w:val="22"/>
        </w:rPr>
        <w:t xml:space="preserve">Radil nám nedávno kdosi v německých novinách pražských, abychom </w:t>
      </w:r>
      <w:r>
        <w:rPr>
          <w:sz w:val="22"/>
          <w:szCs w:val="22"/>
        </w:rPr>
        <w:t>už také odzbrojili dušev</w:t>
      </w:r>
      <w:r>
        <w:rPr>
          <w:sz w:val="22"/>
          <w:szCs w:val="22"/>
        </w:rPr>
        <w:softHyphen/>
        <w:t>ně. Nevím sic najisto, co pisatel myslil tímto dušev</w:t>
      </w:r>
      <w:r>
        <w:rPr>
          <w:sz w:val="22"/>
          <w:szCs w:val="22"/>
        </w:rPr>
        <w:softHyphen/>
        <w:t xml:space="preserve">ním odzbrojením; myslil-li tím ono překonání meče jako prostředku k dobývání a i k vytváření práva, překonání meče hmotného </w:t>
      </w:r>
      <w:r>
        <w:rPr>
          <w:sz w:val="22"/>
          <w:szCs w:val="22"/>
          <w:lang w:val="en-US" w:eastAsia="en-US" w:bidi="en-US"/>
        </w:rPr>
        <w:t xml:space="preserve">in </w:t>
      </w:r>
      <w:r>
        <w:rPr>
          <w:sz w:val="22"/>
          <w:szCs w:val="22"/>
        </w:rPr>
        <w:t>natura, ale i překonání vůle k budoucímu užívání hm</w:t>
      </w:r>
      <w:r>
        <w:rPr>
          <w:sz w:val="22"/>
          <w:szCs w:val="22"/>
        </w:rPr>
        <w:t>otné zbraně, jakmile by se naskytla možnost, tedy s českého hlediska, s výše dějinné Cesty české, s ním souhlasíme.</w:t>
      </w:r>
    </w:p>
    <w:p w:rsidR="00500724" w:rsidRDefault="00F30FB8">
      <w:pPr>
        <w:pStyle w:val="Jin0"/>
        <w:shd w:val="clear" w:color="auto" w:fill="auto"/>
        <w:tabs>
          <w:tab w:val="left" w:pos="4344"/>
        </w:tabs>
        <w:spacing w:after="220" w:line="202" w:lineRule="auto"/>
        <w:ind w:firstLine="240"/>
      </w:pPr>
      <w:r>
        <w:rPr>
          <w:sz w:val="22"/>
          <w:szCs w:val="22"/>
        </w:rPr>
        <w:t>Přáli bychom si jen, aby přičinil se o duševní od</w:t>
      </w:r>
      <w:r>
        <w:rPr>
          <w:sz w:val="22"/>
          <w:szCs w:val="22"/>
        </w:rPr>
        <w:softHyphen/>
        <w:t xml:space="preserve">zbrojení a o překonání meče také ve svých soukme- novcích vlastních: pak se sejdeme v </w:t>
      </w:r>
      <w:r>
        <w:rPr>
          <w:sz w:val="22"/>
          <w:szCs w:val="22"/>
        </w:rPr>
        <w:t>kladném díle společném, jak na ně čeká tisíc už roků naše souse</w:t>
      </w:r>
      <w:r>
        <w:rPr>
          <w:sz w:val="22"/>
          <w:szCs w:val="22"/>
        </w:rPr>
        <w:softHyphen/>
        <w:t>dění.</w:t>
      </w:r>
      <w:r>
        <w:rPr>
          <w:sz w:val="22"/>
          <w:szCs w:val="22"/>
        </w:rPr>
        <w:tab/>
      </w:r>
      <w:r>
        <w:rPr>
          <w:i/>
          <w:iCs/>
          <w:lang w:val="en-US" w:eastAsia="en-US" w:bidi="en-US"/>
        </w:rPr>
        <w:t>Gamma</w:t>
      </w:r>
    </w:p>
    <w:p w:rsidR="00500724" w:rsidRDefault="00F30FB8">
      <w:pPr>
        <w:pStyle w:val="Nadpis90"/>
        <w:keepNext/>
        <w:keepLines/>
        <w:shd w:val="clear" w:color="auto" w:fill="auto"/>
        <w:tabs>
          <w:tab w:val="left" w:leader="underscore" w:pos="4944"/>
        </w:tabs>
        <w:spacing w:after="200"/>
        <w:jc w:val="both"/>
      </w:pPr>
      <w:bookmarkStart w:id="699" w:name="bookmark698"/>
      <w:r>
        <w:rPr>
          <w:rFonts w:ascii="Times New Roman" w:eastAsia="Times New Roman" w:hAnsi="Times New Roman" w:cs="Times New Roman"/>
          <w:u w:val="single"/>
        </w:rPr>
        <w:t>poznámky</w:t>
      </w:r>
      <w:r>
        <w:rPr>
          <w:rFonts w:ascii="Times New Roman" w:eastAsia="Times New Roman" w:hAnsi="Times New Roman" w:cs="Times New Roman"/>
        </w:rPr>
        <w:tab/>
      </w:r>
      <w:bookmarkEnd w:id="699"/>
    </w:p>
    <w:p w:rsidR="00500724" w:rsidRDefault="00F30FB8">
      <w:pPr>
        <w:pStyle w:val="Jin0"/>
        <w:shd w:val="clear" w:color="auto" w:fill="auto"/>
        <w:spacing w:after="60" w:line="178" w:lineRule="auto"/>
        <w:ind w:firstLine="0"/>
        <w:jc w:val="center"/>
        <w:rPr>
          <w:sz w:val="20"/>
          <w:szCs w:val="20"/>
        </w:rPr>
      </w:pPr>
      <w:r>
        <w:rPr>
          <w:b/>
          <w:bCs/>
          <w:sz w:val="20"/>
          <w:szCs w:val="20"/>
        </w:rPr>
        <w:t>Zápas o neutralitu ve Spojených Státech</w:t>
      </w:r>
    </w:p>
    <w:p w:rsidR="00500724" w:rsidRDefault="00F30FB8">
      <w:pPr>
        <w:pStyle w:val="Zkladntext1"/>
        <w:shd w:val="clear" w:color="auto" w:fill="auto"/>
        <w:spacing w:line="187" w:lineRule="auto"/>
        <w:ind w:firstLine="320"/>
      </w:pPr>
      <w:r>
        <w:rPr>
          <w:b/>
          <w:bCs/>
        </w:rPr>
        <w:t>Sněmovna representantů hodně zkřížila Rooseveltův plán na reformu zákona o neutralitě. Bylo presidentovým přá</w:t>
      </w:r>
      <w:r>
        <w:rPr>
          <w:b/>
          <w:bCs/>
        </w:rPr>
        <w:softHyphen/>
        <w:t>ním, stejně jako přá</w:t>
      </w:r>
      <w:r>
        <w:rPr>
          <w:b/>
          <w:bCs/>
        </w:rPr>
        <w:t>ním státního tajemníka Hulla, aby se zrušilo ustanovení dosavadního zákona o zakázaném vý</w:t>
      </w:r>
      <w:r>
        <w:rPr>
          <w:b/>
          <w:bCs/>
        </w:rPr>
        <w:softHyphen/>
        <w:t>vozu zbraní a válečného materiálu ze Spojených Států do válčících zemí. Podle představ Rooseveltovy vlády měl nový zákon vypadat asi takto: presidentovi zůstane dosav</w:t>
      </w:r>
      <w:r>
        <w:rPr>
          <w:b/>
          <w:bCs/>
        </w:rPr>
        <w:t>adní právo označit oblasti, které jsou ve válečném stavu; vývoz zbraní a válečného materiálu bude sice volný, ale americké lodi nesmějí vplouti do těchto oblastí; to bude prakticky, znamenat, že válečný materiál budou moci ve Spojených Státech nakupovat (z</w:t>
      </w:r>
      <w:r>
        <w:rPr>
          <w:b/>
          <w:bCs/>
        </w:rPr>
        <w:t>a hotové) jen ty státy, které mají dost vlastního lodního prostoru, aby si jej mohly také odvézt, a které mají mimo to dost silné válečné loďstvo, aby mohly, svým obchodním lodím poskytnout na širém moři ochranu. Reformovaný zákon by tedy prakticky prospěl</w:t>
      </w:r>
      <w:r>
        <w:rPr>
          <w:b/>
          <w:bCs/>
        </w:rPr>
        <w:t xml:space="preserve"> Anglii a Francii.</w:t>
      </w:r>
    </w:p>
    <w:p w:rsidR="00500724" w:rsidRDefault="00F30FB8">
      <w:pPr>
        <w:pStyle w:val="Zkladntext1"/>
        <w:shd w:val="clear" w:color="auto" w:fill="auto"/>
        <w:spacing w:line="187" w:lineRule="auto"/>
        <w:ind w:firstLine="320"/>
      </w:pPr>
      <w:r>
        <w:rPr>
          <w:b/>
          <w:bCs/>
        </w:rPr>
        <w:t>Sněmovna změnila osnovu takto: o presidentovo právo stanovit oblasti ve válečném stavu se s ním bude napříště dělit kongres; vývoz xsmrtících zbráníš, tedy hlavně hoto</w:t>
      </w:r>
      <w:r>
        <w:rPr>
          <w:b/>
          <w:bCs/>
        </w:rPr>
        <w:softHyphen/>
      </w:r>
      <w:r>
        <w:rPr>
          <w:b/>
          <w:bCs/>
        </w:rPr>
        <w:t xml:space="preserve">vých střelných zbraní, se i dále zakazuje, povoluje se však vývoz válečného materiálu v širším smyslu, to jest letadel, motorů, pohonných látek atd.; zásada starého zákona, »cash </w:t>
      </w:r>
      <w:r>
        <w:rPr>
          <w:b/>
          <w:bCs/>
          <w:lang w:val="en-US" w:eastAsia="en-US" w:bidi="en-US"/>
        </w:rPr>
        <w:t>and carry</w:t>
      </w:r>
      <w:r>
        <w:rPr>
          <w:b/>
          <w:bCs/>
        </w:rPr>
        <w:t>« (zaplať hotově a sám odvez), zůstane zachována, pokud její platnos</w:t>
      </w:r>
      <w:r>
        <w:rPr>
          <w:b/>
          <w:bCs/>
        </w:rPr>
        <w:t>t samočinně neuhasla (to se stalo pro ně</w:t>
      </w:r>
      <w:r>
        <w:rPr>
          <w:b/>
          <w:bCs/>
        </w:rPr>
        <w:softHyphen/>
        <w:t>které kategorie zboží důležitého pro vedení války již</w:t>
      </w:r>
    </w:p>
    <w:p w:rsidR="00500724" w:rsidRDefault="00F30FB8">
      <w:pPr>
        <w:pStyle w:val="Zkladntext1"/>
        <w:numPr>
          <w:ilvl w:val="0"/>
          <w:numId w:val="83"/>
        </w:numPr>
        <w:shd w:val="clear" w:color="auto" w:fill="auto"/>
        <w:tabs>
          <w:tab w:val="left" w:pos="265"/>
        </w:tabs>
        <w:spacing w:line="187" w:lineRule="auto"/>
        <w:ind w:firstLine="0"/>
      </w:pPr>
      <w:r>
        <w:rPr>
          <w:b/>
          <w:bCs/>
        </w:rPr>
        <w:t>května). Sněmovna vyšla tedy presidentovi vstříc jen v tom ohledu, že uvolnila pro vývoz válečný materiál mimo hotové zbraně a střelivo, za to však omezila presi</w:t>
      </w:r>
      <w:r>
        <w:rPr>
          <w:b/>
          <w:bCs/>
        </w:rPr>
        <w:t>dentovo výhradní právo stanoviti válečné oblasti. To je věc důležitá, neboť maje toto právo mohl president i podle nynějšího zá</w:t>
      </w:r>
      <w:r>
        <w:rPr>
          <w:b/>
          <w:bCs/>
        </w:rPr>
        <w:softHyphen/>
        <w:t xml:space="preserve">kona prakticky rozhodovat o tom, kam se smí nebo nesmí válečný materiál vyvážet. Tak na příklad Amerika dodává zbraně do Činy a </w:t>
      </w:r>
      <w:r>
        <w:rPr>
          <w:b/>
          <w:bCs/>
        </w:rPr>
        <w:t>do Japonska, protože Japonsko nevyhlásilo Číně válku a americký president neužil svého práva, pro</w:t>
      </w:r>
      <w:r>
        <w:rPr>
          <w:b/>
          <w:bCs/>
        </w:rPr>
        <w:softHyphen/>
        <w:t>hlásit tyto dvě země za válčící.</w:t>
      </w:r>
    </w:p>
    <w:p w:rsidR="00500724" w:rsidRDefault="00F30FB8">
      <w:pPr>
        <w:pStyle w:val="Zkladntext1"/>
        <w:shd w:val="clear" w:color="auto" w:fill="auto"/>
        <w:spacing w:after="40" w:line="187" w:lineRule="auto"/>
        <w:ind w:firstLine="0"/>
        <w:jc w:val="right"/>
      </w:pPr>
      <w:r>
        <w:rPr>
          <w:b/>
          <w:bCs/>
        </w:rPr>
        <w:t>Jsou ovšem ještě dvě další instance, které rozhodnou o tom, zdali se osnova v podobě, odhlasované sněmovnou,</w:t>
      </w:r>
    </w:p>
    <w:p w:rsidR="00500724" w:rsidRDefault="00F30FB8">
      <w:pPr>
        <w:pStyle w:val="Zkladntext1"/>
        <w:shd w:val="clear" w:color="auto" w:fill="auto"/>
        <w:spacing w:line="187" w:lineRule="auto"/>
        <w:ind w:firstLine="0"/>
      </w:pPr>
      <w:r>
        <w:rPr>
          <w:b/>
          <w:bCs/>
        </w:rPr>
        <w:t>stane zákonem či</w:t>
      </w:r>
      <w:r>
        <w:rPr>
          <w:b/>
          <w:bCs/>
        </w:rPr>
        <w:t xml:space="preserve"> nic — totiž senát a president sám. Nyní je osnova v zahraničním výboru senátu a president naléhá, aby ji výbor přepracoval a přiblížil původní osnově vládní, de dost pochybné, že senát vyhoví tomuto přání. Spor o re</w:t>
      </w:r>
      <w:r>
        <w:rPr>
          <w:b/>
          <w:bCs/>
        </w:rPr>
        <w:softHyphen/>
        <w:t>formu neutralitního zákona se totiž zat</w:t>
      </w:r>
      <w:r>
        <w:rPr>
          <w:b/>
          <w:bCs/>
        </w:rPr>
        <w:t xml:space="preserve">ím dostal na pole vnitropolitické a jde při jeho projednávání už víc o osobu presidenta Roosevelta než o věc samu. Není ovšem situace úplně taková, že by odpůrčí strana, republikáni, byli proti osnově a presidentova strana, demokraté, pro ni; hranice mezi </w:t>
      </w:r>
      <w:r>
        <w:rPr>
          <w:b/>
          <w:bCs/>
        </w:rPr>
        <w:t>příznivci a odpůrci osnovy se nekryjí přesně s hrani</w:t>
      </w:r>
      <w:r>
        <w:rPr>
          <w:b/>
          <w:bCs/>
        </w:rPr>
        <w:softHyphen/>
        <w:t>cemi stran; ale výjimky se omezují jen na poslance a se</w:t>
      </w:r>
      <w:r>
        <w:rPr>
          <w:b/>
          <w:bCs/>
        </w:rPr>
        <w:softHyphen/>
        <w:t>nátory, kteří se rozhodují z věcného zájmu o zahraniční poli</w:t>
      </w:r>
      <w:r>
        <w:rPr>
          <w:b/>
          <w:bCs/>
        </w:rPr>
        <w:softHyphen/>
        <w:t>tiku, a těch je poměrně málo. Většinou tedy rozhodují i tady motivy vnitropolitické, a</w:t>
      </w:r>
      <w:r>
        <w:rPr>
          <w:b/>
          <w:bCs/>
        </w:rPr>
        <w:t xml:space="preserve"> protože presidentovi političtí od</w:t>
      </w:r>
      <w:r>
        <w:rPr>
          <w:b/>
          <w:bCs/>
        </w:rPr>
        <w:softHyphen/>
        <w:t>půrci, republikáni, mají právě v senátě velký vliv i zastou</w:t>
      </w:r>
      <w:r>
        <w:rPr>
          <w:b/>
          <w:bCs/>
        </w:rPr>
        <w:softHyphen/>
        <w:t>pení, dopadne i tam asi osnova spíš hůř než lépe.</w:t>
      </w:r>
    </w:p>
    <w:p w:rsidR="00500724" w:rsidRDefault="00F30FB8">
      <w:pPr>
        <w:pStyle w:val="Zkladntext1"/>
        <w:shd w:val="clear" w:color="auto" w:fill="auto"/>
        <w:spacing w:line="187" w:lineRule="auto"/>
        <w:ind w:firstLine="300"/>
      </w:pPr>
      <w:r>
        <w:rPr>
          <w:b/>
          <w:bCs/>
        </w:rPr>
        <w:t>Roosevelt se při své houževnatosti ovšem nevzdal dalšího boje. Věří prý, že má za sebou většinu veřejného miněn</w:t>
      </w:r>
      <w:r>
        <w:rPr>
          <w:b/>
          <w:bCs/>
        </w:rPr>
        <w:t>í v zemi, a hodlá si to přezkoumat delší cestou po Státech. Při tom je dost opatrný, aby příliš neprovokoval odpor isolacionistů. Tito mu ani tolik nevytýkají, že chce Spojené Státy zavléci do budoucí evropské války — oficiální politika vlády není, slibova</w:t>
      </w:r>
      <w:r>
        <w:rPr>
          <w:b/>
          <w:bCs/>
        </w:rPr>
        <w:t>t v Evropě činnou pomoc vojenskou, nýbrž jen hmotnou — jako spíše to, že vůbec spojuje ame</w:t>
      </w:r>
      <w:r>
        <w:rPr>
          <w:b/>
          <w:bCs/>
        </w:rPr>
        <w:softHyphen/>
        <w:t>rickou politiku s evropskými rozmíškami. Příznačné je v tomto ohledu nedávné prohlášení senátora Boraha, který vytýkal presidentovij že činí zahraniční politiku Spoj</w:t>
      </w:r>
      <w:r>
        <w:rPr>
          <w:b/>
          <w:bCs/>
        </w:rPr>
        <w:t>e</w:t>
      </w:r>
      <w:r>
        <w:rPr>
          <w:b/>
          <w:bCs/>
        </w:rPr>
        <w:softHyphen/>
        <w:t>ných Států příliš závislou na evropské situaci, která se ne</w:t>
      </w:r>
      <w:r>
        <w:rPr>
          <w:b/>
          <w:bCs/>
        </w:rPr>
        <w:softHyphen/>
        <w:t>ustále mění a s níž se tedy bude musit stále měnit i poli</w:t>
      </w:r>
      <w:r>
        <w:rPr>
          <w:b/>
          <w:bCs/>
        </w:rPr>
        <w:softHyphen/>
        <w:t>tika americká. To však je podle Boraha pod americkou důstojnost. Rooseveltova politika, říkají dále isolacionisté, se snad srovnává s př</w:t>
      </w:r>
      <w:r>
        <w:rPr>
          <w:b/>
          <w:bCs/>
        </w:rPr>
        <w:t>evládajícím americkým cítěním, ale vláda se nemá řídit city, nýbrž jen ohledem na prospěch svého obyvatelstva; a ten konec konců nemůže býti v tom, aby Američané, až už přímo či nepřímo, byli nějak zavlečeni do evropské války. Amerika je samostatný kontine</w:t>
      </w:r>
      <w:r>
        <w:rPr>
          <w:b/>
          <w:bCs/>
        </w:rPr>
        <w:t>nt, jehož se nemají dotýkat evropské vlivy a spory; má se tedy tento kontinent starat jen o mír vlastní a nikoli se snažit, aby zaciiránil před válkou nějaký kontinent jiný, zvláště evrop</w:t>
      </w:r>
      <w:r>
        <w:rPr>
          <w:b/>
          <w:bCs/>
        </w:rPr>
        <w:softHyphen/>
        <w:t>ský. Isolacionisté zkrátka chtějí zachránit Ameriku od vál</w:t>
      </w:r>
      <w:r>
        <w:rPr>
          <w:b/>
          <w:bCs/>
        </w:rPr>
        <w:softHyphen/>
        <w:t>ky za kaž</w:t>
      </w:r>
      <w:r>
        <w:rPr>
          <w:b/>
          <w:bCs/>
        </w:rPr>
        <w:t>dou cenu, bez ohledu na to, jaké to bude mít následky pro ostatní svět.</w:t>
      </w:r>
    </w:p>
    <w:p w:rsidR="00500724" w:rsidRDefault="00F30FB8">
      <w:pPr>
        <w:pStyle w:val="Zkladntext1"/>
        <w:shd w:val="clear" w:color="auto" w:fill="auto"/>
        <w:spacing w:line="187" w:lineRule="auto"/>
        <w:ind w:firstLine="300"/>
      </w:pPr>
      <w:r>
        <w:rPr>
          <w:b/>
          <w:bCs/>
        </w:rPr>
        <w:t>Oposice republikánské strany — nebo aspoň její větši</w:t>
      </w:r>
      <w:r>
        <w:rPr>
          <w:b/>
          <w:bCs/>
        </w:rPr>
        <w:softHyphen/>
        <w:t>ny — proti reformě neutralitního zákona souvisí již také s vyhlídkami na nové presidentské volby roku 1940. Republi</w:t>
      </w:r>
      <w:r>
        <w:rPr>
          <w:b/>
          <w:bCs/>
        </w:rPr>
        <w:softHyphen/>
        <w:t>káni chtějí zab</w:t>
      </w:r>
      <w:r>
        <w:rPr>
          <w:b/>
          <w:bCs/>
        </w:rPr>
        <w:t>ránit třetí kandidatuře Rooseveltově na presi</w:t>
      </w:r>
      <w:r>
        <w:rPr>
          <w:b/>
          <w:bCs/>
        </w:rPr>
        <w:softHyphen/>
        <w:t>dentský úřad a proto využívají osnovy o reformě neutralit</w:t>
      </w:r>
      <w:r>
        <w:rPr>
          <w:b/>
          <w:bCs/>
        </w:rPr>
        <w:softHyphen/>
        <w:t>ního zákona k tomu, aby oslabili jeho politickou posici. Tvrdí, že kdyby zákon byl reformován ve smyslu přání ny</w:t>
      </w:r>
      <w:r>
        <w:rPr>
          <w:b/>
          <w:bCs/>
        </w:rPr>
        <w:softHyphen/>
        <w:t>nější vlády, znamenalo by to další rozš</w:t>
      </w:r>
      <w:r>
        <w:rPr>
          <w:b/>
          <w:bCs/>
        </w:rPr>
        <w:t>ířeni Rooseveltovy moci, která by se pak přiblížila skoro moci diktátorské a daleko přesáhla moc, beztak dost velkou, již presidentovi poskytuje ústava. Podle americké konstituce má president skutečně značný vliv na zahraniční politiku Spojených Států: můž</w:t>
      </w:r>
      <w:r>
        <w:rPr>
          <w:b/>
          <w:bCs/>
        </w:rPr>
        <w:t>e přerušovat diplomatické styky s cizími státy a odvolávat vyslance; může posílat americké lodi a vojáky, kam uzná za dobré na ochranu amerických zájmů; může působit na banky, průmyslové podniky a vůbec na soukrom- niky, aby se přizpůsobili požadavkům vlád</w:t>
      </w:r>
      <w:r>
        <w:rPr>
          <w:b/>
          <w:bCs/>
        </w:rPr>
        <w:t>ní politiky. Státní departement (ministerstvo zahraničních věcí) skutečně často užívá svého vlivu na banky, aby zabránilo zahraničním půjčkám, které se mu zdají politicky nevhodné. Nátlak na průmyslové podniky je méně obvyklý, ale nyní se ho užívá — na pří</w:t>
      </w:r>
      <w:r>
        <w:rPr>
          <w:b/>
          <w:bCs/>
        </w:rPr>
        <w:t>klad k tomu, aby se omezoval vývoz letadel a zbraní do Japonska. Protože Spojené Státy samy pro</w:t>
      </w:r>
      <w:r>
        <w:rPr>
          <w:b/>
          <w:bCs/>
        </w:rPr>
        <w:softHyphen/>
        <w:t>vádějí velký zbrojní program, má průmysl zájem na vládní přízni a je tedy přístupnější i vládnímu nátlaku.</w:t>
      </w:r>
    </w:p>
    <w:p w:rsidR="00500724" w:rsidRDefault="00F30FB8">
      <w:pPr>
        <w:pStyle w:val="Zkladntext1"/>
        <w:shd w:val="clear" w:color="auto" w:fill="auto"/>
        <w:tabs>
          <w:tab w:val="left" w:pos="4574"/>
        </w:tabs>
        <w:spacing w:after="40" w:line="187" w:lineRule="auto"/>
        <w:ind w:firstLine="300"/>
        <w:rPr>
          <w:sz w:val="20"/>
          <w:szCs w:val="20"/>
        </w:rPr>
      </w:pPr>
      <w:r>
        <w:rPr>
          <w:b/>
          <w:bCs/>
        </w:rPr>
        <w:t>Konečný výsledek zápasu o reformu neutralitního záko</w:t>
      </w:r>
      <w:r>
        <w:rPr>
          <w:b/>
          <w:bCs/>
        </w:rPr>
        <w:softHyphen/>
      </w:r>
      <w:r>
        <w:rPr>
          <w:b/>
          <w:bCs/>
        </w:rPr>
        <w:t>na bude tedy dobrým ukazatelem dalšího vnitropolitického vývoje ve Spojených Státech.</w:t>
      </w:r>
      <w:r>
        <w:rPr>
          <w:b/>
          <w:bCs/>
        </w:rPr>
        <w:tab/>
      </w:r>
      <w:r>
        <w:rPr>
          <w:i/>
          <w:iCs/>
          <w:sz w:val="20"/>
          <w:szCs w:val="20"/>
        </w:rPr>
        <w:t>Z. S.</w:t>
      </w:r>
    </w:p>
    <w:p w:rsidR="00500724" w:rsidRDefault="00F30FB8">
      <w:pPr>
        <w:pStyle w:val="Nadpis120"/>
        <w:shd w:val="clear" w:color="auto" w:fill="auto"/>
        <w:spacing w:after="40"/>
        <w:ind w:left="0"/>
        <w:jc w:val="center"/>
      </w:pPr>
      <w:bookmarkStart w:id="700" w:name="bookmark699"/>
      <w:r>
        <w:t>Změnila se britská politika?</w:t>
      </w:r>
      <w:bookmarkEnd w:id="700"/>
    </w:p>
    <w:p w:rsidR="00500724" w:rsidRDefault="00F30FB8">
      <w:pPr>
        <w:pStyle w:val="Zkladntext1"/>
        <w:shd w:val="clear" w:color="auto" w:fill="auto"/>
        <w:spacing w:line="192" w:lineRule="auto"/>
        <w:ind w:firstLine="300"/>
      </w:pPr>
      <w:r>
        <w:rPr>
          <w:b/>
          <w:bCs/>
        </w:rPr>
        <w:t>V Anglii se nyní mnoho píše a mluví o radikálních změ</w:t>
      </w:r>
      <w:r>
        <w:rPr>
          <w:b/>
          <w:bCs/>
        </w:rPr>
        <w:softHyphen/>
        <w:t>nách britské zahraniční politiky. Změnila se však tato politika opravdu tak hlubo</w:t>
      </w:r>
      <w:r>
        <w:rPr>
          <w:b/>
          <w:bCs/>
        </w:rPr>
        <w:t>ce, jak se má za to? Je ovšem pravda, že Anglie na sebe až dosud nikdy nevzala tak dalekosáhlé závazky na pevnině, jako nyní. Ale to nemusí ještě znamenat změnu v zásadách, nýbrž jen v prostřed</w:t>
      </w:r>
      <w:r>
        <w:rPr>
          <w:b/>
          <w:bCs/>
        </w:rPr>
        <w:softHyphen/>
        <w:t>cích. Před světovou válkou neměla Anglie formálního spo</w:t>
      </w:r>
      <w:r>
        <w:rPr>
          <w:b/>
          <w:bCs/>
        </w:rPr>
        <w:softHyphen/>
        <w:t>jenect</w:t>
      </w:r>
      <w:r>
        <w:rPr>
          <w:b/>
          <w:bCs/>
        </w:rPr>
        <w:t>ví ani s Francií (proto se říkalo dohoda a nikoli spo</w:t>
      </w:r>
      <w:r>
        <w:rPr>
          <w:b/>
          <w:bCs/>
        </w:rPr>
        <w:softHyphen/>
        <w:t>lek), ale do války ovšem šla po boku Francie. I po válce se vyhýbala výslovným závazkům, jak jen byio možno, a teprve v posledních několika letech nabyl její svazek s Francií nynější intimity. Její poli</w:t>
      </w:r>
      <w:r>
        <w:rPr>
          <w:b/>
          <w:bCs/>
        </w:rPr>
        <w:t>tická součinnost s konti</w:t>
      </w:r>
      <w:r>
        <w:rPr>
          <w:b/>
          <w:bCs/>
        </w:rPr>
        <w:softHyphen/>
        <w:t>nentálními mocnostmi však se datuje už z dob předváleč</w:t>
      </w:r>
      <w:r>
        <w:rPr>
          <w:b/>
          <w:bCs/>
        </w:rPr>
        <w:softHyphen/>
        <w:t>ných. S Francií se vyrovnala roku 1904, s Ruskem začala jednat roku 1906 — v obou případech šlo o vzájemné vy</w:t>
      </w:r>
      <w:r>
        <w:rPr>
          <w:b/>
          <w:bCs/>
        </w:rPr>
        <w:softHyphen/>
        <w:t>rovnání zájmů a odstranění třecích ploch, zvláště v kolo</w:t>
      </w:r>
      <w:r>
        <w:rPr>
          <w:b/>
          <w:bCs/>
        </w:rPr>
        <w:softHyphen/>
        <w:t>niích. Zd</w:t>
      </w:r>
      <w:r>
        <w:rPr>
          <w:b/>
          <w:bCs/>
        </w:rPr>
        <w:t>á se tedy, že by bylo nejsprávnější říci: britská politika je dnes rozhodnější a odvážnější v prostředcích, ale v podstatě nezměněná v zásadách. Vysvitne to i z malé retrospektivy, kterou podáváme níže.</w:t>
      </w:r>
    </w:p>
    <w:p w:rsidR="00500724" w:rsidRDefault="00F30FB8">
      <w:pPr>
        <w:pStyle w:val="Zkladntext1"/>
        <w:shd w:val="clear" w:color="auto" w:fill="auto"/>
        <w:spacing w:line="190" w:lineRule="auto"/>
        <w:ind w:firstLine="320"/>
      </w:pPr>
      <w:r>
        <w:rPr>
          <w:b/>
          <w:bCs/>
        </w:rPr>
        <w:t>S Ruskem začala Anglie jednat roku 1906. Podle líčení</w:t>
      </w:r>
      <w:r>
        <w:rPr>
          <w:b/>
          <w:bCs/>
        </w:rPr>
        <w:t xml:space="preserve"> anglického historika G. P. Gooche, který se opírá o diplo</w:t>
      </w:r>
      <w:r>
        <w:rPr>
          <w:b/>
          <w:bCs/>
        </w:rPr>
        <w:softHyphen/>
        <w:t>matické dokumenty, publikované po válce se svolením brit</w:t>
      </w:r>
      <w:r>
        <w:rPr>
          <w:b/>
          <w:bCs/>
        </w:rPr>
        <w:softHyphen/>
        <w:t>ské vlády, byla tato dohoda skoro nevyhnutelným důsled</w:t>
      </w:r>
      <w:r>
        <w:rPr>
          <w:b/>
          <w:bCs/>
        </w:rPr>
        <w:softHyphen/>
        <w:t>kem vyrovnání anglo-francouzského, o dva roky staršího. Předběžné rozpravy zahájil už</w:t>
      </w:r>
      <w:r>
        <w:rPr>
          <w:b/>
          <w:bCs/>
        </w:rPr>
        <w:t xml:space="preserve"> dříve </w:t>
      </w:r>
      <w:r>
        <w:rPr>
          <w:b/>
          <w:bCs/>
          <w:lang w:val="en-US" w:eastAsia="en-US" w:bidi="en-US"/>
        </w:rPr>
        <w:t xml:space="preserve">Lansdowne </w:t>
      </w:r>
      <w:r>
        <w:rPr>
          <w:b/>
          <w:bCs/>
        </w:rPr>
        <w:t>s Bencken- dorffem. Formální jednání se však začalo teprve, když se ruským ministrem zahraničních věcí stal po bezbarvém Lamsdorffovi anglofii Izvolskij a když nový britský vel</w:t>
      </w:r>
      <w:r>
        <w:rPr>
          <w:b/>
          <w:bCs/>
        </w:rPr>
        <w:softHyphen/>
        <w:t>vyslanec Nicolson přijel do Moskvy s návrhy, týkajícími se Tib</w:t>
      </w:r>
      <w:r>
        <w:rPr>
          <w:b/>
          <w:bCs/>
        </w:rPr>
        <w:t>etu (1906). Na rozdíl od anglo-francouzské dohody, která vyřídila celý komplex sporných věcí, omezovala se jednání s Ruskem jen na věci středního východu (i v tom je, jak se zdá, analogie s jednáním dnešním, které prý nechává stranou Dálný východ). Jednání</w:t>
      </w:r>
      <w:r>
        <w:rPr>
          <w:b/>
          <w:bCs/>
        </w:rPr>
        <w:t xml:space="preserve"> se vleklo šestnáct měsíců (zase obdoba nynějších průtahů) a skončilo se dohodou ze srpna 1907. Britská taktika byla, přinášet oběti v severní Persii, ale žádat na Rusku oběti v Tibetu a Afganistanu. Ani v Rusku ani v Anglii nebylo pro dohodu nadšení — v A</w:t>
      </w:r>
      <w:r>
        <w:rPr>
          <w:b/>
          <w:bCs/>
        </w:rPr>
        <w:t>nglii proto, že Angličané pohrdali carským systémem (další obdoba s dneškem). Celá hloubka těchto ideových rozporů se pak projevila před královskou cestou do Revalu (1908). Cesta souvisela s dohodou a tehdejší ministr zahra</w:t>
      </w:r>
      <w:r>
        <w:rPr>
          <w:b/>
          <w:bCs/>
        </w:rPr>
        <w:softHyphen/>
        <w:t xml:space="preserve">ničních věcí Edward </w:t>
      </w:r>
      <w:r>
        <w:rPr>
          <w:b/>
          <w:bCs/>
          <w:lang w:val="en-US" w:eastAsia="en-US" w:bidi="en-US"/>
        </w:rPr>
        <w:t xml:space="preserve">Grey </w:t>
      </w:r>
      <w:r>
        <w:rPr>
          <w:b/>
          <w:bCs/>
        </w:rPr>
        <w:t>musil s</w:t>
      </w:r>
      <w:r>
        <w:rPr>
          <w:b/>
          <w:bCs/>
        </w:rPr>
        <w:t xml:space="preserve">němovnu krotit hrozbami demisí, postaví-li se sněmovna proti králově cestě. Řekl, že nenávidí pogromy a popravy právě tak jako ostatní a ještě více, než dává veřejně najevo, ale že by bylo nerozumné obětovat nové a cenné přátelství takovým skrupulím. </w:t>
      </w:r>
      <w:r>
        <w:rPr>
          <w:b/>
          <w:bCs/>
          <w:lang w:val="en-US" w:eastAsia="en-US" w:bidi="en-US"/>
        </w:rPr>
        <w:t>Gooch</w:t>
      </w:r>
      <w:r>
        <w:rPr>
          <w:b/>
          <w:bCs/>
          <w:lang w:val="en-US" w:eastAsia="en-US" w:bidi="en-US"/>
        </w:rPr>
        <w:t xml:space="preserve"> </w:t>
      </w:r>
      <w:r>
        <w:rPr>
          <w:b/>
          <w:bCs/>
        </w:rPr>
        <w:t xml:space="preserve">podotýká, že </w:t>
      </w:r>
      <w:r>
        <w:rPr>
          <w:b/>
          <w:bCs/>
          <w:lang w:val="en-US" w:eastAsia="en-US" w:bidi="en-US"/>
        </w:rPr>
        <w:t xml:space="preserve">Grey </w:t>
      </w:r>
      <w:r>
        <w:rPr>
          <w:b/>
          <w:bCs/>
        </w:rPr>
        <w:t>tehdy už myslil na Severní moře, to jest na Německo.</w:t>
      </w:r>
    </w:p>
    <w:p w:rsidR="00500724" w:rsidRDefault="00F30FB8">
      <w:pPr>
        <w:pStyle w:val="Zkladntext1"/>
        <w:shd w:val="clear" w:color="auto" w:fill="auto"/>
        <w:spacing w:line="190" w:lineRule="auto"/>
        <w:ind w:firstLine="320"/>
      </w:pPr>
      <w:r>
        <w:rPr>
          <w:b/>
          <w:bCs/>
        </w:rPr>
        <w:t>Za královy návštěvy mluvil v Revalu státní podtajemník pro zahraniční věci sir Charles Hardinge s Izvolským a po</w:t>
      </w:r>
      <w:r>
        <w:rPr>
          <w:b/>
          <w:bCs/>
        </w:rPr>
        <w:softHyphen/>
        <w:t>znamenal si potom, co mu asi řekl. Jeho záznam zní takto:</w:t>
      </w:r>
    </w:p>
    <w:p w:rsidR="00500724" w:rsidRDefault="00F30FB8">
      <w:pPr>
        <w:pStyle w:val="Zkladntext1"/>
        <w:shd w:val="clear" w:color="auto" w:fill="auto"/>
        <w:spacing w:line="190" w:lineRule="auto"/>
        <w:ind w:firstLine="320"/>
      </w:pPr>
      <w:r>
        <w:rPr>
          <w:b/>
          <w:bCs/>
        </w:rPr>
        <w:t>»Ačkoli chová</w:t>
      </w:r>
      <w:r>
        <w:rPr>
          <w:b/>
          <w:bCs/>
        </w:rPr>
        <w:t xml:space="preserve">ní vlády Jeho Veličenstva bylo vždycky] naprosto korektní, bylo jí nemožné nevšímati si toho, že zbytečně velký vzrůst německého námořního programu vzbudil v Anglii hlubokou nedůvěru k budoucím úmyslům Německa. Tato nedůvěra se ještě zvětší během času, až </w:t>
      </w:r>
      <w:r>
        <w:rPr>
          <w:b/>
          <w:bCs/>
        </w:rPr>
        <w:t xml:space="preserve">se uskuteční německý program a až se zvýší daně v Anglii, vynucené nezbytnými protiopatřeními na moři. Za sedm nebo osm let může nastat kritická situace, v níž Rusko, bude-li v Evropě silné, může hrát roli rozhodčího o miru a mít při zajištění míru daleko </w:t>
      </w:r>
      <w:r>
        <w:rPr>
          <w:b/>
          <w:bCs/>
        </w:rPr>
        <w:t>větší vliv než na jakékoli haagské konferenci. Proto je naprosto nutné, aby Anglie n Rusko udržovaly stejně srdečné a přátelské vzájemné vztahy, jaké jsou mezi Francií a Anglií, kteréžto vztahy jsou v anglo-ruském případě podporovány ještě totožností zájmů</w:t>
      </w:r>
      <w:r>
        <w:rPr>
          <w:b/>
          <w:bCs/>
        </w:rPr>
        <w:t>, při čemž macedonský problém není poslední věcí.«</w:t>
      </w:r>
    </w:p>
    <w:p w:rsidR="00500724" w:rsidRDefault="00F30FB8">
      <w:pPr>
        <w:pStyle w:val="Zkladntext1"/>
        <w:shd w:val="clear" w:color="auto" w:fill="auto"/>
        <w:spacing w:line="190" w:lineRule="auto"/>
        <w:ind w:firstLine="320"/>
      </w:pPr>
      <w:r>
        <w:rPr>
          <w:b/>
          <w:bCs/>
        </w:rPr>
        <w:t>To bylo podle Gooche už pozvání k přímé dohodě, která měla vyvážit rostoucí sílu Německa, čili aplikace známé anglické teorie o rovnováze sil.</w:t>
      </w:r>
    </w:p>
    <w:p w:rsidR="00500724" w:rsidRDefault="00F30FB8">
      <w:pPr>
        <w:pStyle w:val="Zkladntext1"/>
        <w:shd w:val="clear" w:color="auto" w:fill="auto"/>
        <w:spacing w:line="190" w:lineRule="auto"/>
        <w:ind w:firstLine="320"/>
      </w:pPr>
      <w:r>
        <w:rPr>
          <w:b/>
          <w:bCs/>
        </w:rPr>
        <w:t xml:space="preserve">V předválečné politice britské rozeznává </w:t>
      </w:r>
      <w:r>
        <w:rPr>
          <w:b/>
          <w:bCs/>
          <w:lang w:val="en-US" w:eastAsia="en-US" w:bidi="en-US"/>
        </w:rPr>
        <w:t xml:space="preserve">Gooch </w:t>
      </w:r>
      <w:r>
        <w:rPr>
          <w:b/>
          <w:bCs/>
        </w:rPr>
        <w:t xml:space="preserve">dvě údobí: </w:t>
      </w:r>
      <w:r>
        <w:rPr>
          <w:b/>
          <w:bCs/>
        </w:rPr>
        <w:t>první od pokusu Josefa Chamberlaina o anglo- německou dohodu roku 1898 až do královské návštěvy v Re</w:t>
      </w:r>
      <w:r>
        <w:rPr>
          <w:b/>
          <w:bCs/>
        </w:rPr>
        <w:softHyphen/>
        <w:t>valu roku 1908 a druhé cd tohoto data až do války. První bylo vyplněno postupným začleňováním Anglie do konti</w:t>
      </w:r>
      <w:r>
        <w:rPr>
          <w:b/>
          <w:bCs/>
        </w:rPr>
        <w:softHyphen/>
        <w:t xml:space="preserve">nentálních věcí, druhé budováním Trojdohody. </w:t>
      </w:r>
      <w:r>
        <w:rPr>
          <w:b/>
          <w:bCs/>
        </w:rPr>
        <w:t>Při tom byly už tehdy v Anglii obavy, aby se Rusko nesblížiio s Německem. V době bosenské krise, kdy byla Anglie; zkla</w:t>
      </w:r>
      <w:r>
        <w:rPr>
          <w:b/>
          <w:bCs/>
        </w:rPr>
        <w:softHyphen/>
        <w:t>mána přílišnou ústupností Ruska, psal moskevský vel</w:t>
      </w:r>
      <w:r>
        <w:rPr>
          <w:b/>
          <w:bCs/>
        </w:rPr>
        <w:softHyphen/>
        <w:t>vyslanec Nicolson ministru Greyovi:</w:t>
      </w:r>
    </w:p>
    <w:p w:rsidR="00500724" w:rsidRDefault="00F30FB8">
      <w:pPr>
        <w:pStyle w:val="Zkladntext1"/>
        <w:shd w:val="clear" w:color="auto" w:fill="auto"/>
        <w:spacing w:line="192" w:lineRule="auto"/>
        <w:ind w:firstLine="240"/>
      </w:pPr>
      <w:r>
        <w:rPr>
          <w:b/>
          <w:bCs/>
        </w:rPr>
        <w:t>»Bojím se, že naše dohoda bude skomírat a snad ze</w:t>
      </w:r>
      <w:r>
        <w:rPr>
          <w:b/>
          <w:bCs/>
        </w:rPr>
        <w:t>mře. Kdyby bylo možno ji rozšířit a zesílit tak, aby se přiblížila povaze aliance, bylo by pak snad možno odvrátit Rusko od sblížení s Berlínem... Konečným cílem Německa je beze vší pochyby převaha na evropské pevnině, a bude-li Němec</w:t>
      </w:r>
      <w:r>
        <w:rPr>
          <w:b/>
          <w:bCs/>
        </w:rPr>
        <w:softHyphen/>
        <w:t xml:space="preserve">ko dost silné, pustí </w:t>
      </w:r>
      <w:r>
        <w:rPr>
          <w:b/>
          <w:bCs/>
        </w:rPr>
        <w:t>se pak s námi do zápasu o převahu ná moři. V minulosti jsme musili bojovat o tuto převahu po</w:t>
      </w:r>
      <w:r>
        <w:rPr>
          <w:b/>
          <w:bCs/>
        </w:rPr>
        <w:softHyphen/>
        <w:t>stupně s Holandskem, Španělskem a Francií a já jsem pře</w:t>
      </w:r>
      <w:r>
        <w:rPr>
          <w:b/>
          <w:bCs/>
        </w:rPr>
        <w:softHyphen/>
        <w:t xml:space="preserve">svědčen, že budeme musit později opakovat tento zápas s Německem. Kdybychom mohli udržet Francii </w:t>
      </w:r>
      <w:r>
        <w:rPr>
          <w:b/>
          <w:bCs/>
          <w:lang w:val="en-US" w:eastAsia="en-US" w:bidi="en-US"/>
        </w:rPr>
        <w:t xml:space="preserve">a Busko </w:t>
      </w:r>
      <w:r>
        <w:rPr>
          <w:b/>
          <w:bCs/>
        </w:rPr>
        <w:t>na</w:t>
      </w:r>
      <w:r>
        <w:rPr>
          <w:b/>
          <w:bCs/>
        </w:rPr>
        <w:t xml:space="preserve"> své straně, bylo by to dobře.«</w:t>
      </w:r>
    </w:p>
    <w:p w:rsidR="00500724" w:rsidRDefault="00F30FB8">
      <w:pPr>
        <w:pStyle w:val="Zkladntext1"/>
        <w:shd w:val="clear" w:color="auto" w:fill="auto"/>
        <w:spacing w:line="202" w:lineRule="auto"/>
        <w:ind w:firstLine="300"/>
      </w:pPr>
      <w:r>
        <w:rPr>
          <w:b/>
          <w:bCs/>
          <w:lang w:val="en-US" w:eastAsia="en-US" w:bidi="en-US"/>
        </w:rPr>
        <w:t xml:space="preserve">Grey </w:t>
      </w:r>
      <w:r>
        <w:rPr>
          <w:b/>
          <w:bCs/>
        </w:rPr>
        <w:t>rozmlouval Nicolsonovi myšlenku o alianci s Rus</w:t>
      </w:r>
      <w:r>
        <w:rPr>
          <w:b/>
          <w:bCs/>
        </w:rPr>
        <w:softHyphen/>
        <w:t>kem tím, že pro ni není v Anglii nálada, a tvrdil, že staěí, bude-li se s Ruskem udržovat dohoda ve smyslu diplomatické součinnosti a vzájemné podpory. Dalším důvodem prot</w:t>
      </w:r>
      <w:r>
        <w:rPr>
          <w:b/>
          <w:bCs/>
        </w:rPr>
        <w:t>i přímé alianci byla podle Gooche anglická obava, že by se tímto krokem potvrdily obavy Berlina před obklíčením a tim se trvale znemožnila cesta k dohodě s Německem. I tady je obdoba s dneškem: viděli jsme na nynějším jedná</w:t>
      </w:r>
      <w:r>
        <w:rPr>
          <w:b/>
          <w:bCs/>
        </w:rPr>
        <w:softHyphen/>
        <w:t xml:space="preserve">ní, že Anglie podnes váhá — asi </w:t>
      </w:r>
      <w:r>
        <w:rPr>
          <w:b/>
          <w:bCs/>
        </w:rPr>
        <w:t>z podobných důvodů jako roku 1908 — svázati se s Ruskem příliš pevně.</w:t>
      </w:r>
    </w:p>
    <w:p w:rsidR="00500724" w:rsidRDefault="00F30FB8">
      <w:pPr>
        <w:pStyle w:val="Zkladntext1"/>
        <w:shd w:val="clear" w:color="auto" w:fill="auto"/>
        <w:spacing w:line="190" w:lineRule="auto"/>
        <w:ind w:firstLine="0"/>
        <w:jc w:val="center"/>
        <w:rPr>
          <w:sz w:val="20"/>
          <w:szCs w:val="20"/>
        </w:rPr>
      </w:pPr>
      <w:r>
        <w:rPr>
          <w:b/>
          <w:bCs/>
          <w:sz w:val="20"/>
          <w:szCs w:val="20"/>
        </w:rPr>
        <w:t>O</w:t>
      </w:r>
    </w:p>
    <w:p w:rsidR="00500724" w:rsidRDefault="00F30FB8">
      <w:pPr>
        <w:pStyle w:val="Zkladntext1"/>
        <w:shd w:val="clear" w:color="auto" w:fill="auto"/>
        <w:spacing w:line="190" w:lineRule="auto"/>
        <w:ind w:firstLine="300"/>
      </w:pPr>
      <w:r>
        <w:rPr>
          <w:b/>
          <w:bCs/>
        </w:rPr>
        <w:t xml:space="preserve">Jiným dokladem toho, jak se zásady dnešní britské politiky podobají jejím zásadám předválečným, je výklad tehdejšího ministra zahraničních věcí sira Edwarda G r e y e na schůzi výboru </w:t>
      </w:r>
      <w:r>
        <w:rPr>
          <w:b/>
          <w:bCs/>
        </w:rPr>
        <w:t xml:space="preserve">pro ochranu impéria dne 26. května 1911. </w:t>
      </w:r>
      <w:r>
        <w:rPr>
          <w:b/>
          <w:bCs/>
          <w:lang w:val="en-US" w:eastAsia="en-US" w:bidi="en-US"/>
        </w:rPr>
        <w:t xml:space="preserve">Grey </w:t>
      </w:r>
      <w:r>
        <w:rPr>
          <w:b/>
          <w:bCs/>
        </w:rPr>
        <w:t>především zdůrazňoval péči o válečné loďstvo. Hned za tím je pak třeba ukončit anglické spory; s Francií a Ruskem. Náš poměr k Německu, pokračoval, se na neštěstí horší tou měrou, jak se náš poměr k Francii a R</w:t>
      </w:r>
      <w:r>
        <w:rPr>
          <w:b/>
          <w:bCs/>
        </w:rPr>
        <w:t>usku lepší. Pro Anglii je jen jedno nebezpečí: že by některá mocnost nebo skupina mocností sledovala »na- poleonskou politiku« (Greyova slova), oddělujíc jeden stát od druhého, drtíc jeden po druhém a nutíc je, aby se za</w:t>
      </w:r>
      <w:r>
        <w:rPr>
          <w:b/>
          <w:bCs/>
        </w:rPr>
        <w:softHyphen/>
        <w:t>členily do její mocenské oblasti. V</w:t>
      </w:r>
      <w:r>
        <w:rPr>
          <w:b/>
          <w:bCs/>
        </w:rPr>
        <w:t xml:space="preserve"> takovém případě by se slabší státy podle Greyova názoru dovolávaly anglické po</w:t>
      </w:r>
      <w:r>
        <w:rPr>
          <w:b/>
          <w:bCs/>
        </w:rPr>
        <w:softHyphen/>
        <w:t xml:space="preserve">moci. </w:t>
      </w:r>
      <w:r>
        <w:rPr>
          <w:b/>
          <w:bCs/>
          <w:lang w:val="en-US" w:eastAsia="en-US" w:bidi="en-US"/>
        </w:rPr>
        <w:t xml:space="preserve">Grey </w:t>
      </w:r>
      <w:r>
        <w:rPr>
          <w:b/>
          <w:bCs/>
        </w:rPr>
        <w:t>pokračoval:</w:t>
      </w:r>
    </w:p>
    <w:p w:rsidR="00500724" w:rsidRDefault="00F30FB8">
      <w:pPr>
        <w:pStyle w:val="Zkladntext1"/>
        <w:shd w:val="clear" w:color="auto" w:fill="auto"/>
        <w:spacing w:line="190" w:lineRule="auto"/>
        <w:ind w:firstLine="300"/>
      </w:pPr>
      <w:r>
        <w:rPr>
          <w:b/>
          <w:bCs/>
        </w:rPr>
        <w:t xml:space="preserve">»Naše ruce jsou volné. Ale mám rozhodně za to, že kdyby taková situace nastala a bylo nebezpečí, že by některá mocnost nebů skupina mocností nabyla </w:t>
      </w:r>
      <w:r>
        <w:rPr>
          <w:b/>
          <w:bCs/>
        </w:rPr>
        <w:t>takového vládnoucí</w:t>
      </w:r>
      <w:r>
        <w:rPr>
          <w:b/>
          <w:bCs/>
        </w:rPr>
        <w:softHyphen/>
        <w:t>ho postavení v Evropě, že by byla rozhodčím nejen o míru a válce, nýbrž i o diplomacii ostatních mocností evropských, a kdybychom během tohoto procesu byli voláni na pomoc a jenom seděli, dívali se a nic nedělali, že by pak výsledkem toh</w:t>
      </w:r>
      <w:r>
        <w:rPr>
          <w:b/>
          <w:bCs/>
        </w:rPr>
        <w:t xml:space="preserve">o byla velká evropská kombinace, že bychom se my octli mimo ni a neměli jediného přítele... S naší strany nebude útoku. Kdybychom se někdy doslali do zápletek, nebylo by to s myšlenkou na územní zvětšení nebo s nějakou ambicí nebo s jinými prázdnými věcmi </w:t>
      </w:r>
      <w:r>
        <w:rPr>
          <w:b/>
          <w:bCs/>
        </w:rPr>
        <w:t>tohoto druhu.«</w:t>
      </w:r>
    </w:p>
    <w:p w:rsidR="00500724" w:rsidRDefault="00F30FB8">
      <w:pPr>
        <w:pStyle w:val="Zkladntext1"/>
        <w:shd w:val="clear" w:color="auto" w:fill="auto"/>
        <w:spacing w:line="190" w:lineRule="auto"/>
        <w:ind w:firstLine="300"/>
      </w:pPr>
      <w:r>
        <w:rPr>
          <w:b/>
          <w:bCs/>
        </w:rPr>
        <w:t>»Nemusíte se bát, že náš poměr k Francii a Rusku bude někdy příčinou provokativní politiky. Spokojí-li se Německo s velkou silou, které nabývá a která je činí tak mocným, že není pomyšlení na to, aby nějaká mocnost nebo skupina mocností s ní</w:t>
      </w:r>
      <w:r>
        <w:rPr>
          <w:b/>
          <w:bCs/>
        </w:rPr>
        <w:t>m vyhledávala spory, pak všechno půjde dobře. Kdyby však užilo své síly — a já zatím myslím, že to neučiní — aby dosáhlo vedoucího, napoleonského po</w:t>
      </w:r>
      <w:r>
        <w:rPr>
          <w:b/>
          <w:bCs/>
        </w:rPr>
        <w:softHyphen/>
        <w:t>stavení v Evropě, pak, myslím, by byty zápletky.«</w:t>
      </w:r>
    </w:p>
    <w:p w:rsidR="00500724" w:rsidRDefault="00F30FB8">
      <w:pPr>
        <w:pStyle w:val="Zkladntext1"/>
        <w:shd w:val="clear" w:color="auto" w:fill="auto"/>
        <w:spacing w:line="338" w:lineRule="auto"/>
        <w:ind w:left="1720" w:hanging="1420"/>
        <w:jc w:val="left"/>
        <w:rPr>
          <w:sz w:val="20"/>
          <w:szCs w:val="20"/>
        </w:rPr>
      </w:pPr>
      <w:r>
        <w:rPr>
          <w:b/>
          <w:bCs/>
        </w:rPr>
        <w:t xml:space="preserve">Podobně mluví angličtí státníci také roku 1939. Z. S. </w:t>
      </w:r>
      <w:r>
        <w:rPr>
          <w:b/>
          <w:bCs/>
          <w:sz w:val="20"/>
          <w:szCs w:val="20"/>
        </w:rPr>
        <w:t>Rad</w:t>
      </w:r>
      <w:r>
        <w:rPr>
          <w:b/>
          <w:bCs/>
          <w:sz w:val="20"/>
          <w:szCs w:val="20"/>
        </w:rPr>
        <w:t>ost ze života</w:t>
      </w:r>
    </w:p>
    <w:p w:rsidR="00500724" w:rsidRDefault="00F30FB8">
      <w:pPr>
        <w:pStyle w:val="Zkladntext1"/>
        <w:shd w:val="clear" w:color="auto" w:fill="auto"/>
        <w:spacing w:line="187" w:lineRule="auto"/>
      </w:pPr>
      <w:r>
        <w:rPr>
          <w:b/>
          <w:bCs/>
        </w:rPr>
        <w:t>Všechny věci a jevy již tím, že existují, nesou v sobě sa</w:t>
      </w:r>
      <w:r>
        <w:rPr>
          <w:b/>
          <w:bCs/>
        </w:rPr>
        <w:softHyphen/>
        <w:t>mých svůj protiklad, svoje popření a překonání, nebo ale</w:t>
      </w:r>
      <w:r>
        <w:rPr>
          <w:b/>
          <w:bCs/>
        </w:rPr>
        <w:softHyphen/>
        <w:t>spoň pokus o překonání. Je-li náš život těžký a trudný, tím naléhavěji toužíme po jasu, po vydechnutí, po možnosti se rozptýlit</w:t>
      </w:r>
      <w:r>
        <w:rPr>
          <w:b/>
          <w:bCs/>
        </w:rPr>
        <w:t>, utéct na chvíli myšlenkám. Více než kdy jindy se uchylujeme ke zdrojům vlastní duše, více než kdy jindy se obracíme do svého lidského soukromí pro odvahu žít, vy</w:t>
      </w:r>
      <w:r>
        <w:rPr>
          <w:b/>
          <w:bCs/>
        </w:rPr>
        <w:softHyphen/>
        <w:t>držet, vydržet boj s dobou. Radost ze života přese vše, na- vzdory všemu, radost stůj co stů</w:t>
      </w:r>
      <w:r>
        <w:rPr>
          <w:b/>
          <w:bCs/>
        </w:rPr>
        <w:t xml:space="preserve">j! Nenechte si toto vzít, nenechte se, pravím vám, připravit o ten malý a o tak slabý plamínek, který je zcela na dně všech našich pocitů a vztahů a třeba i krisí a zklamání ... nikdy nedovolte, aby doplápolal ohníček radosti ze života! O radost ze života </w:t>
      </w:r>
      <w:r>
        <w:rPr>
          <w:b/>
          <w:bCs/>
        </w:rPr>
        <w:t xml:space="preserve">kdo přijde, je, myslím ztracen a je tak něčím jako soustem rozmělněným pro ústa smrti. A proto dobře činí ten, kdo usiluje rozmnožit fondy vnitřní harmonie a štěstí a kdo dokáže dát lidem do života víc onoho veselí, o němž básník praví, že je »vitami- nem </w:t>
      </w:r>
      <w:r>
        <w:rPr>
          <w:b/>
          <w:bCs/>
        </w:rPr>
        <w:t>duševního zdraví«. Více vitaminů duševního zdraví ce</w:t>
      </w:r>
      <w:r>
        <w:rPr>
          <w:b/>
          <w:bCs/>
        </w:rPr>
        <w:softHyphen/>
        <w:t>lému našemu národnímu organismu, neboť by zahynul nedo- dali-li byste mu jich! Vždyť národ, který bytostně chce žít, který si chce zachovat svůj duševní svéráz, národ, který ví a cítí bezespornou vnitřní</w:t>
      </w:r>
      <w:r>
        <w:rPr>
          <w:b/>
          <w:bCs/>
        </w:rPr>
        <w:t xml:space="preserve"> jistotou, že má co světu dát, že má a může přičinit svůj osobitý akord do polyfonie evrop</w:t>
      </w:r>
      <w:r>
        <w:rPr>
          <w:b/>
          <w:bCs/>
        </w:rPr>
        <w:softHyphen/>
        <w:t>ského lidstva, ten národ musí mít vitální puzení se udržet a pod všemi jeho krisemi musí být... a nechťsi to zní sebe podivněji... radost z bytí! A jako by nic, pran</w:t>
      </w:r>
      <w:r>
        <w:rPr>
          <w:b/>
          <w:bCs/>
        </w:rPr>
        <w:t>ic nebyla platna lékařova nejduchaplnější péče o uzdravení paciento</w:t>
      </w:r>
      <w:r>
        <w:rPr>
          <w:b/>
          <w:bCs/>
        </w:rPr>
        <w:softHyphen/>
        <w:t>vo, kdyby ten pacient se nechtěl uzdravit a nechtěl žit, tak by nic nevážily všechny záruky slibů a čestných slov, kte- rých se nám dostalo..., že můžeme a budeme se jako ná</w:t>
      </w:r>
      <w:r>
        <w:rPr>
          <w:b/>
          <w:bCs/>
        </w:rPr>
        <w:softHyphen/>
        <w:t>rod plně a svo</w:t>
      </w:r>
      <w:r>
        <w:rPr>
          <w:b/>
          <w:bCs/>
        </w:rPr>
        <w:t>bodně vyvíjet... kdybychom se nedovedli ra</w:t>
      </w:r>
      <w:r>
        <w:rPr>
          <w:b/>
          <w:bCs/>
        </w:rPr>
        <w:softHyphen/>
        <w:t>dovat i jen z té pouhé možnosti žít! Neboť živelné štěstí z bytí je onen hybný nerv. ono ohnisko všeho vitálního elánu, vší přirozené tvořivosti, všeho pohybu a úsilí a kdyby toto ohnisko mělo být zasaženo, pak je</w:t>
      </w:r>
      <w:r>
        <w:rPr>
          <w:b/>
          <w:bCs/>
        </w:rPr>
        <w:t xml:space="preserve"> konec života národa jako takového, pozbude svou duchovní odlišnost a jedineč</w:t>
      </w:r>
      <w:r>
        <w:rPr>
          <w:b/>
          <w:bCs/>
        </w:rPr>
        <w:softHyphen/>
        <w:t>nost a rozpadne se v pouhou beztvarou, etnografickou tříšť.</w:t>
      </w:r>
    </w:p>
    <w:p w:rsidR="00500724" w:rsidRDefault="00F30FB8">
      <w:pPr>
        <w:pStyle w:val="Zkladntext1"/>
        <w:shd w:val="clear" w:color="auto" w:fill="auto"/>
        <w:spacing w:line="187" w:lineRule="auto"/>
        <w:ind w:firstLine="300"/>
      </w:pPr>
      <w:r>
        <w:rPr>
          <w:b/>
          <w:bCs/>
        </w:rPr>
        <w:t>A proto dejte lidem radost ze života, víc, mnohem víc ra</w:t>
      </w:r>
      <w:r>
        <w:rPr>
          <w:b/>
          <w:bCs/>
        </w:rPr>
        <w:softHyphen/>
        <w:t>dosti ze života a dejte ji všem, neboť tím jim dáte sílu útra</w:t>
      </w:r>
      <w:r>
        <w:rPr>
          <w:b/>
          <w:bCs/>
        </w:rPr>
        <w:softHyphen/>
        <w:t>py bytí vydržet a sebe zachovat. Já vím, možná, že jste nakloněni si říkat...« jen zvyšte moje příjmy o padesát pro</w:t>
      </w:r>
      <w:r>
        <w:rPr>
          <w:b/>
          <w:bCs/>
        </w:rPr>
        <w:softHyphen/>
        <w:t>cent a já už se o svou radost postarám sám!« A přece jen hmotné blaho nečiní člověka radostným, tím méně šťast</w:t>
      </w:r>
      <w:r>
        <w:rPr>
          <w:b/>
          <w:bCs/>
        </w:rPr>
        <w:softHyphen/>
        <w:t>ným ... spíše jen sytým a ne</w:t>
      </w:r>
      <w:r>
        <w:rPr>
          <w:b/>
          <w:bCs/>
        </w:rPr>
        <w:t xml:space="preserve">hybným. Možná, že to nazvete podružnostmi, ale radostným činí lidského tvora příroda, obohacující kniha, poutavý film, veselý, čistotný domov a cestování, snad především cestování! Nic, zdá se mi, tak představově neobohacuje a dojmově neosvěžuje a nervově </w:t>
      </w:r>
      <w:r>
        <w:rPr>
          <w:b/>
          <w:bCs/>
        </w:rPr>
        <w:t>neregeneruje jako občasná radikální změna prostředí. A zá</w:t>
      </w:r>
      <w:r>
        <w:rPr>
          <w:b/>
          <w:bCs/>
        </w:rPr>
        <w:softHyphen/>
        <w:t>roveň nic tak nereguluje často jen z neznalosti plynoucí ne</w:t>
      </w:r>
      <w:r>
        <w:rPr>
          <w:b/>
          <w:bCs/>
        </w:rPr>
        <w:softHyphen/>
        <w:t>chuti, předsudky, žlučovitost a zahořklost. Nic tak úspěšně neléěí všechny neurosy a nerozpouští ty rmutné usazeniny, ty choroboplodné nes</w:t>
      </w:r>
      <w:r>
        <w:rPr>
          <w:b/>
          <w:bCs/>
        </w:rPr>
        <w:t>tráveniny našeho psychického života, kterému se říká komplexy... Myslím, že každý učinil občas tu zkušenost, že když se mu podařilo na chvíli dát za pozadi vlastního životního dramatu kulisy jiné krajiny, vrátil se domů, na své obvyklé místo vnitřně okysli</w:t>
      </w:r>
      <w:r>
        <w:rPr>
          <w:b/>
          <w:bCs/>
        </w:rPr>
        <w:t>čen, ozdraven, po</w:t>
      </w:r>
      <w:r>
        <w:rPr>
          <w:b/>
          <w:bCs/>
        </w:rPr>
        <w:softHyphen/>
        <w:t>sílen ... řekla bych myšlenkově provětrán. Kdysi kdosi mi řekl: V jistém mém životním údobí sebevražda zdála se mi být jediným možným východiskem z mého strastiplného po</w:t>
      </w:r>
      <w:r>
        <w:rPr>
          <w:b/>
          <w:bCs/>
        </w:rPr>
        <w:softHyphen/>
        <w:t>stavení. Neočekávaně byl jsem okolnostmi přinucen podnik</w:t>
      </w:r>
      <w:r>
        <w:rPr>
          <w:b/>
          <w:bCs/>
        </w:rPr>
        <w:softHyphen/>
        <w:t>nout čtrnác</w:t>
      </w:r>
      <w:r>
        <w:rPr>
          <w:b/>
          <w:bCs/>
        </w:rPr>
        <w:t>tidenní cestu po Itálii. Za pouhých čtrnáct dní vrátil jsem se jako jiný člověk, jiný alespoň v posuzování svých těžkostí. Neboť to, co bylo v samém žhavém středu mých strastiplných myšlenek, dostalo se zatím na periferii mého duševního obzoru a mé pozorno</w:t>
      </w:r>
      <w:r>
        <w:rPr>
          <w:b/>
          <w:bCs/>
        </w:rPr>
        <w:t>sti... Dejte tudíž li- dem pohodlné, laciné, zajímavé cestování, dejte je hlavně lidem mladým a lidem věku středního třeba jako odměnu za mimořádné pracovní, studijní, vědecké a jiné výkony. A pak podle zásady » všude dobře, doma nejlépe« .. učiňte jim, až</w:t>
      </w:r>
      <w:r>
        <w:rPr>
          <w:b/>
          <w:bCs/>
        </w:rPr>
        <w:t xml:space="preserve"> se vrátí a učiňte tak dvojnásob nemocným a starým, je</w:t>
      </w:r>
      <w:r>
        <w:rPr>
          <w:b/>
          <w:bCs/>
        </w:rPr>
        <w:softHyphen/>
        <w:t>jich byt zdravější, hygieničtější, úhlednější, veselejší.</w:t>
      </w:r>
    </w:p>
    <w:p w:rsidR="00500724" w:rsidRDefault="00F30FB8">
      <w:pPr>
        <w:pStyle w:val="Zkladntext1"/>
        <w:shd w:val="clear" w:color="auto" w:fill="auto"/>
        <w:spacing w:line="187" w:lineRule="auto"/>
        <w:ind w:firstLine="300"/>
      </w:pPr>
      <w:r>
        <w:rPr>
          <w:b/>
          <w:bCs/>
        </w:rPr>
        <w:t>Myslím na dvě blízko sebe položené vesnice středních Čech, na dvě skupiny českých domovů. Jedna umetená, očištěná, úhledná. Na rozích ulic, uli</w:t>
      </w:r>
      <w:r>
        <w:rPr>
          <w:b/>
          <w:bCs/>
        </w:rPr>
        <w:t>ček vlastně... rarita — koše na odpadky a každá zahrádka zrytá a upravená —■ každá střecha vyspravená, průčelí vybíleno, starý strom zpevněn, podepřen, okopán. Slepice a vepříci neběhají po návsi, chalupy se neobracejí do silnice onou nejméně este</w:t>
      </w:r>
      <w:r>
        <w:rPr>
          <w:b/>
          <w:bCs/>
        </w:rPr>
        <w:softHyphen/>
        <w:t>tickou b</w:t>
      </w:r>
      <w:r>
        <w:rPr>
          <w:b/>
          <w:bCs/>
        </w:rPr>
        <w:t>ytovou nezbytností. A jen pár kilometrů za lesem jiná obec. Inu, co bych vám povídala, slepice a husy prome</w:t>
      </w:r>
      <w:r>
        <w:rPr>
          <w:b/>
          <w:bCs/>
        </w:rPr>
        <w:softHyphen/>
        <w:t>nují po návsi, kupy hnoje se do ní sypou provalenými plůt</w:t>
      </w:r>
      <w:r>
        <w:rPr>
          <w:b/>
          <w:bCs/>
        </w:rPr>
        <w:softHyphen/>
        <w:t>ky, přímo proti kostelu a vedle pomníčku padlým obecní pastouška, neuvěřitelně špinavá a z</w:t>
      </w:r>
      <w:r>
        <w:rPr>
          <w:b/>
          <w:bCs/>
        </w:rPr>
        <w:t>pustlá, taková baba-čaro- dějnice nečesaná nemytá a na všech stranách nesmírná úroda rezavých střepů plechových nádob, hadrů, papírů, které nyní, kdy všechnu tu ohavnost ještě lidským očím ne. zakryty kopřivy a lopuch, tím více urážejí.</w:t>
      </w:r>
    </w:p>
    <w:p w:rsidR="00500724" w:rsidRDefault="00F30FB8">
      <w:pPr>
        <w:pStyle w:val="Zkladntext1"/>
        <w:shd w:val="clear" w:color="auto" w:fill="auto"/>
        <w:spacing w:line="187" w:lineRule="auto"/>
        <w:ind w:firstLine="200"/>
      </w:pPr>
      <w:r>
        <w:rPr>
          <w:b/>
          <w:bCs/>
        </w:rPr>
        <w:t>Ano, radostný domov</w:t>
      </w:r>
      <w:r>
        <w:rPr>
          <w:b/>
          <w:bCs/>
        </w:rPr>
        <w:t>, hygienický byt přenáší přes mnohé propasti duše, vlastní rodinný domek dodává mladým lidem chuti k manželství a k založení rodiny a k tomu veřejné kou</w:t>
      </w:r>
      <w:r>
        <w:rPr>
          <w:b/>
          <w:bCs/>
        </w:rPr>
        <w:softHyphen/>
        <w:t>paliště na každém zdravotně nezávadném potoce či rybníce, na každém úhoru, v každé stránce ovocný strom</w:t>
      </w:r>
      <w:r>
        <w:rPr>
          <w:b/>
          <w:bCs/>
        </w:rPr>
        <w:t xml:space="preserve"> či keř, či alespoň trávník, bohatě zásobená veřejná knihovna a inteli</w:t>
      </w:r>
      <w:r>
        <w:rPr>
          <w:b/>
          <w:bCs/>
        </w:rPr>
        <w:softHyphen/>
        <w:t>gentní, vlídný, trpělivý knihovník, který poradí svým čtená</w:t>
      </w:r>
      <w:r>
        <w:rPr>
          <w:b/>
          <w:bCs/>
        </w:rPr>
        <w:softHyphen/>
        <w:t>řům, upozorní a doporučí, laciné, pohodlné cestování, domy; radosti a kultury, zahrádkářství... Ano, stokrát ano, od</w:t>
      </w:r>
      <w:r>
        <w:rPr>
          <w:b/>
          <w:bCs/>
        </w:rPr>
        <w:softHyphen/>
        <w:t xml:space="preserve">straňte </w:t>
      </w:r>
      <w:r>
        <w:rPr>
          <w:b/>
          <w:bCs/>
        </w:rPr>
        <w:t>nezdravotu, nečistotu, zkrášlete, osvěžte, provětrejte, okysličte život soukromý i vyšších společenských útvarů a celků jako jsou obce, okresy, celá vlast! Je to z velké části úkol a přirozené pole působnosti žen, ale ovšem, soukromé úsilí nestačí a je těž</w:t>
      </w:r>
      <w:r>
        <w:rPr>
          <w:b/>
          <w:bCs/>
        </w:rPr>
        <w:t>ko kázat o radosti ze života babce vý- měnkářce, která nemá na sirky, či nezaměstnanému, otráve- němu marnou honičkou za chlebem, nebo člověku, na něhož se všech stran se šklebí strašidlo emigrace. A proto vše úsilí o radost ze života, o naši českou radost</w:t>
      </w:r>
      <w:r>
        <w:rPr>
          <w:b/>
          <w:bCs/>
        </w:rPr>
        <w:t xml:space="preserve"> ze života, která </w:t>
      </w:r>
      <w:r>
        <w:rPr>
          <w:b/>
          <w:bCs/>
          <w:i/>
          <w:iCs/>
          <w:sz w:val="20"/>
          <w:szCs w:val="20"/>
        </w:rPr>
        <w:t xml:space="preserve">je </w:t>
      </w:r>
      <w:r>
        <w:rPr>
          <w:b/>
          <w:bCs/>
        </w:rPr>
        <w:t>v jádře radostí čistého svědomí, mělo by se stát částí všená- rodní akce, povinnou, třeba uzákoněnou záležitostí veřej</w:t>
      </w:r>
      <w:r>
        <w:rPr>
          <w:b/>
          <w:bCs/>
        </w:rPr>
        <w:softHyphen/>
        <w:t>ných orgánů a korporací. Kdysi velmožové mívali své pro-</w:t>
      </w:r>
    </w:p>
    <w:p w:rsidR="00500724" w:rsidRDefault="00F30FB8">
      <w:pPr>
        <w:pStyle w:val="Zkladntext1"/>
        <w:shd w:val="clear" w:color="auto" w:fill="auto"/>
        <w:tabs>
          <w:tab w:val="left" w:pos="3413"/>
        </w:tabs>
        <w:spacing w:after="140" w:line="190" w:lineRule="auto"/>
        <w:ind w:firstLine="0"/>
        <w:rPr>
          <w:sz w:val="20"/>
          <w:szCs w:val="20"/>
        </w:rPr>
      </w:pPr>
      <w:r>
        <w:rPr>
          <w:b/>
          <w:bCs/>
        </w:rPr>
        <w:t>siulé amaitres de plaisirs«, kdyby takového organisátora sv</w:t>
      </w:r>
      <w:r>
        <w:rPr>
          <w:b/>
          <w:bCs/>
        </w:rPr>
        <w:t>ých radostí a osvěžení měl národ jako svébytný celek? Kdyby vzniklo tak něco jako ústředí národní radosti, ná</w:t>
      </w:r>
      <w:r>
        <w:rPr>
          <w:b/>
          <w:bCs/>
        </w:rPr>
        <w:softHyphen/>
        <w:t>rodní rekreace a všenárodních kulturně zábavných podni</w:t>
      </w:r>
      <w:r>
        <w:rPr>
          <w:b/>
          <w:bCs/>
        </w:rPr>
        <w:softHyphen/>
        <w:t>ků? Pošetilý nápad? Ale byl kdy na světě nápad, který se nezdál být zprvu pošetilý?</w:t>
      </w:r>
      <w:r>
        <w:rPr>
          <w:b/>
          <w:bCs/>
        </w:rPr>
        <w:tab/>
      </w:r>
      <w:r>
        <w:rPr>
          <w:b/>
          <w:bCs/>
          <w:i/>
          <w:iCs/>
          <w:sz w:val="20"/>
          <w:szCs w:val="20"/>
        </w:rPr>
        <w:t xml:space="preserve">Selena </w:t>
      </w:r>
      <w:r>
        <w:rPr>
          <w:b/>
          <w:bCs/>
          <w:i/>
          <w:iCs/>
          <w:sz w:val="20"/>
          <w:szCs w:val="20"/>
        </w:rPr>
        <w:t>Dvořáková</w:t>
      </w:r>
    </w:p>
    <w:p w:rsidR="00500724" w:rsidRDefault="00F30FB8">
      <w:pPr>
        <w:pStyle w:val="Zkladntext1"/>
        <w:shd w:val="clear" w:color="auto" w:fill="auto"/>
        <w:spacing w:after="100" w:line="178" w:lineRule="auto"/>
        <w:ind w:firstLine="0"/>
        <w:jc w:val="center"/>
        <w:rPr>
          <w:sz w:val="20"/>
          <w:szCs w:val="20"/>
        </w:rPr>
      </w:pPr>
      <w:r>
        <w:rPr>
          <w:b/>
          <w:bCs/>
          <w:sz w:val="20"/>
          <w:szCs w:val="20"/>
        </w:rPr>
        <w:t>Před dvaceti lety</w:t>
      </w:r>
    </w:p>
    <w:p w:rsidR="00500724" w:rsidRDefault="00F30FB8">
      <w:pPr>
        <w:pStyle w:val="Zkladntext1"/>
        <w:numPr>
          <w:ilvl w:val="0"/>
          <w:numId w:val="84"/>
        </w:numPr>
        <w:shd w:val="clear" w:color="auto" w:fill="auto"/>
        <w:tabs>
          <w:tab w:val="left" w:pos="260"/>
        </w:tabs>
        <w:spacing w:after="100" w:line="178" w:lineRule="auto"/>
        <w:ind w:firstLine="0"/>
        <w:jc w:val="left"/>
        <w:rPr>
          <w:sz w:val="20"/>
          <w:szCs w:val="20"/>
        </w:rPr>
      </w:pPr>
      <w:r>
        <w:rPr>
          <w:sz w:val="20"/>
          <w:szCs w:val="20"/>
        </w:rPr>
        <w:t xml:space="preserve">června—27. června 1919 v zápiscích vojáka-dobrovolce. (Také odpovědí Slovence a Hlínkovu gardistovi ze 17. </w:t>
      </w:r>
      <w:r>
        <w:rPr>
          <w:rFonts w:ascii="Arial" w:eastAsia="Arial" w:hAnsi="Arial" w:cs="Arial"/>
          <w:sz w:val="12"/>
          <w:szCs w:val="12"/>
        </w:rPr>
        <w:t xml:space="preserve">č. </w:t>
      </w:r>
      <w:r>
        <w:rPr>
          <w:sz w:val="20"/>
          <w:szCs w:val="20"/>
        </w:rPr>
        <w:t>^Přítomnosti*.)</w:t>
      </w:r>
    </w:p>
    <w:p w:rsidR="00500724" w:rsidRDefault="00F30FB8">
      <w:pPr>
        <w:pStyle w:val="Zkladntext1"/>
        <w:shd w:val="clear" w:color="auto" w:fill="auto"/>
        <w:spacing w:after="40" w:line="187" w:lineRule="auto"/>
      </w:pPr>
      <w:r>
        <w:rPr>
          <w:b/>
          <w:bCs/>
        </w:rPr>
        <w:t>U Kriváně, na linii Zvolen—Lučenec, jsem zařaděn k své</w:t>
      </w:r>
      <w:r>
        <w:rPr>
          <w:b/>
          <w:bCs/>
        </w:rPr>
        <w:softHyphen/>
        <w:t xml:space="preserve">mu praporu, který pod tlakem několikanásobné </w:t>
      </w:r>
      <w:r>
        <w:rPr>
          <w:b/>
          <w:bCs/>
        </w:rPr>
        <w:t>síly maďar</w:t>
      </w:r>
      <w:r>
        <w:rPr>
          <w:b/>
          <w:bCs/>
        </w:rPr>
        <w:softHyphen/>
        <w:t>ských žoldnéřů musil ustupovat. Ústup byl vzorný a od ne</w:t>
      </w:r>
      <w:r>
        <w:rPr>
          <w:b/>
          <w:bCs/>
        </w:rPr>
        <w:softHyphen/>
        <w:t>přítele nebyl ani pozorován. Ustupujeme několik dni a noci, bez zásobování, hladoví, vyčerpáni až k Banské Bystri</w:t>
      </w:r>
      <w:r>
        <w:rPr>
          <w:b/>
          <w:bCs/>
        </w:rPr>
        <w:softHyphen/>
        <w:t>ci, kde po krátkém oddechu, doplněni zálohami, provádíme nový nástup — ten</w:t>
      </w:r>
      <w:r>
        <w:rPr>
          <w:b/>
          <w:bCs/>
        </w:rPr>
        <w:t>tokráte k útoku.</w:t>
      </w:r>
    </w:p>
    <w:p w:rsidR="00500724" w:rsidRDefault="00F30FB8">
      <w:pPr>
        <w:pStyle w:val="Zkladntext1"/>
        <w:shd w:val="clear" w:color="auto" w:fill="auto"/>
        <w:spacing w:line="187" w:lineRule="auto"/>
      </w:pPr>
      <w:r>
        <w:rPr>
          <w:b/>
          <w:bCs/>
        </w:rPr>
        <w:t>Z Bystrice odchází náš prapor ku vsi B a d í n u. kde jsme se zakopali, vyčkávajíce rozkazu k útoku na celé linii gene</w:t>
      </w:r>
      <w:r>
        <w:rPr>
          <w:b/>
          <w:bCs/>
        </w:rPr>
        <w:softHyphen/>
        <w:t xml:space="preserve">rála Šnejdárka. Ještě veěer provádějí Maďaři útok, který však byl ohněm našich kulometů zastaven. V protiútoku zar jali </w:t>
      </w:r>
      <w:r>
        <w:rPr>
          <w:b/>
          <w:bCs/>
        </w:rPr>
        <w:t>jsme několik desítek »rudých«, ponejvíce Vídeňáků a vo</w:t>
      </w:r>
      <w:r>
        <w:rPr>
          <w:b/>
          <w:bCs/>
        </w:rPr>
        <w:softHyphen/>
        <w:t>jáků z armády Mackensenovy, kteří za žold 2090 K (maďar</w:t>
      </w:r>
      <w:r>
        <w:rPr>
          <w:b/>
          <w:bCs/>
        </w:rPr>
        <w:softHyphen/>
        <w:t>ských vignet) šli se biti proti československým »buržujům«.</w:t>
      </w:r>
    </w:p>
    <w:p w:rsidR="00500724" w:rsidRDefault="00F30FB8">
      <w:pPr>
        <w:pStyle w:val="Zkladntext1"/>
        <w:shd w:val="clear" w:color="auto" w:fill="auto"/>
        <w:spacing w:line="187" w:lineRule="auto"/>
      </w:pPr>
      <w:r>
        <w:rPr>
          <w:b/>
          <w:bCs/>
        </w:rPr>
        <w:t>Druhého dne podnikl náš prapor za součinnosti praporu piseckých jedenáctých útok z pr</w:t>
      </w:r>
      <w:r>
        <w:rPr>
          <w:b/>
          <w:bCs/>
        </w:rPr>
        <w:t>avého boku na Maďary. Byla to spíše ^demonstrace*, po které, když zjištěna sila ne</w:t>
      </w:r>
      <w:r>
        <w:rPr>
          <w:b/>
          <w:bCs/>
        </w:rPr>
        <w:softHyphen/>
        <w:t xml:space="preserve">přítele, vracíme se zpět do původních zákopů, odkud 12. června, po noci, v niž vypálen byl </w:t>
      </w:r>
      <w:r>
        <w:rPr>
          <w:b/>
          <w:bCs/>
          <w:lang w:val="en-US" w:eastAsia="en-US" w:bidi="en-US"/>
        </w:rPr>
        <w:t xml:space="preserve">Badin </w:t>
      </w:r>
      <w:r>
        <w:rPr>
          <w:b/>
          <w:bCs/>
        </w:rPr>
        <w:t>rudými, za podpory naší dělobitny, proveden útok na Zvolen, který ráno v 8 h</w:t>
      </w:r>
      <w:r>
        <w:rPr>
          <w:b/>
          <w:bCs/>
        </w:rPr>
        <w:t>o</w:t>
      </w:r>
      <w:r>
        <w:rPr>
          <w:b/>
          <w:bCs/>
        </w:rPr>
        <w:softHyphen/>
        <w:t>din je v našieh rukou. Maďaři prchli za strašlivého zmat</w:t>
      </w:r>
      <w:r>
        <w:rPr>
          <w:b/>
          <w:bCs/>
        </w:rPr>
        <w:softHyphen/>
        <w:t>ku, zanechavše spousty válečného materiálu na místě.</w:t>
      </w:r>
    </w:p>
    <w:p w:rsidR="00500724" w:rsidRDefault="00F30FB8">
      <w:pPr>
        <w:pStyle w:val="Zkladntext1"/>
        <w:shd w:val="clear" w:color="auto" w:fill="auto"/>
        <w:spacing w:line="187" w:lineRule="auto"/>
        <w:ind w:firstLine="320"/>
      </w:pPr>
      <w:r>
        <w:rPr>
          <w:b/>
          <w:bCs/>
        </w:rPr>
        <w:t>Náš prapor postupuje směrem na Dobronivou, kterou jsme v bodákovém útoku vzali Maďarům, kteří ještě po do</w:t>
      </w:r>
      <w:r>
        <w:rPr>
          <w:b/>
          <w:bCs/>
        </w:rPr>
        <w:softHyphen/>
        <w:t>bytí střílí po nás z kostela a jeho vě</w:t>
      </w:r>
      <w:r>
        <w:rPr>
          <w:b/>
          <w:bCs/>
        </w:rPr>
        <w:t>že kulomety. Teprve v boji s ručními granáty byl vzat i kostel. Ztráty naše byly značné — já ztrácím tam nejmilejšího kamaráda K. M., svobodnika, se kterým jsem nejednu nebezpečnou hlídku vý</w:t>
      </w:r>
      <w:r>
        <w:rPr>
          <w:b/>
          <w:bCs/>
        </w:rPr>
        <w:softHyphen/>
        <w:t>zvědnou prodělal.</w:t>
      </w:r>
    </w:p>
    <w:p w:rsidR="00500724" w:rsidRDefault="00F30FB8">
      <w:pPr>
        <w:pStyle w:val="Zkladntext1"/>
        <w:shd w:val="clear" w:color="auto" w:fill="auto"/>
        <w:spacing w:line="187" w:lineRule="auto"/>
        <w:ind w:firstLine="320"/>
      </w:pPr>
      <w:r>
        <w:rPr>
          <w:b/>
          <w:bCs/>
        </w:rPr>
        <w:t>Této vesničky nezapomenu — dobrého toho lidu sl</w:t>
      </w:r>
      <w:r>
        <w:rPr>
          <w:b/>
          <w:bCs/>
        </w:rPr>
        <w:t>oven</w:t>
      </w:r>
      <w:r>
        <w:rPr>
          <w:b/>
          <w:bCs/>
        </w:rPr>
        <w:softHyphen/>
        <w:t>ského, který v slzách děkuje nám za vysvobození z vlády Maďarů. Vojáci naši jsou bráni kol krků, líbáni, obecní stráž- nik s bubnem vyzývá spoluobčany, aby svých Osvoboditelů, bratrů Cechů každý pohostil, čim může. Za chvíli zástupy žen i děcek nosí p</w:t>
      </w:r>
      <w:r>
        <w:rPr>
          <w:b/>
          <w:bCs/>
        </w:rPr>
        <w:t xml:space="preserve">o linii vojákům mléko, chléb, slaninu i </w:t>
      </w:r>
      <w:r>
        <w:rPr>
          <w:b/>
          <w:bCs/>
          <w:lang w:val="en-US" w:eastAsia="en-US" w:bidi="en-US"/>
        </w:rPr>
        <w:t xml:space="preserve">bucket </w:t>
      </w:r>
      <w:r>
        <w:rPr>
          <w:b/>
          <w:bCs/>
        </w:rPr>
        <w:t>se nám dostalo. Starosta obce veliteli pra- p o r u p. m a j. C. d ě k u j e z v 1 á š t ní deputaci. »N i - kdy vás, bratři Češi, nezapomeneme!?</w:t>
      </w:r>
    </w:p>
    <w:p w:rsidR="00500724" w:rsidRDefault="00F30FB8">
      <w:pPr>
        <w:pStyle w:val="Zkladntext1"/>
        <w:shd w:val="clear" w:color="auto" w:fill="auto"/>
        <w:spacing w:line="187" w:lineRule="auto"/>
        <w:ind w:firstLine="320"/>
      </w:pPr>
      <w:r>
        <w:rPr>
          <w:b/>
          <w:bCs/>
        </w:rPr>
        <w:t>Další náš postup je směrem Krupina a Němce, které jsme dobyli p</w:t>
      </w:r>
      <w:r>
        <w:rPr>
          <w:b/>
          <w:bCs/>
        </w:rPr>
        <w:t>o krátkém boji ještě týž den, odkud demora- lisovaná armáda rudých uprchla vlaky.</w:t>
      </w:r>
    </w:p>
    <w:p w:rsidR="00500724" w:rsidRDefault="00F30FB8">
      <w:pPr>
        <w:pStyle w:val="Zkladntext1"/>
        <w:shd w:val="clear" w:color="auto" w:fill="auto"/>
        <w:spacing w:after="40" w:line="187" w:lineRule="auto"/>
      </w:pPr>
      <w:r>
        <w:rPr>
          <w:b/>
          <w:bCs/>
        </w:rPr>
        <w:t>Na rozkaz našeho Šnejdárka jsme staženi, po vystřídání zálohami, zpět do Zvolenu, odkud jedeme k Levici. U Nové Baně dostali jsme se, ještě ve vagonech ubytovaní, do pal</w:t>
      </w:r>
      <w:r>
        <w:rPr>
          <w:b/>
          <w:bCs/>
        </w:rPr>
        <w:softHyphen/>
        <w:t xml:space="preserve">by </w:t>
      </w:r>
      <w:r>
        <w:rPr>
          <w:b/>
          <w:bCs/>
        </w:rPr>
        <w:t>rudých, kteří v krátkém boji jsou poraženi a dali se na útěk.</w:t>
      </w:r>
    </w:p>
    <w:p w:rsidR="00500724" w:rsidRDefault="00F30FB8">
      <w:pPr>
        <w:pStyle w:val="Zkladntext1"/>
        <w:shd w:val="clear" w:color="auto" w:fill="auto"/>
        <w:spacing w:after="140" w:line="185" w:lineRule="auto"/>
        <w:ind w:firstLine="260"/>
      </w:pPr>
      <w:r>
        <w:rPr>
          <w:b/>
          <w:bCs/>
        </w:rPr>
        <w:t>Zde došlo v bodákovém boji i na mne a raněn, odvážen jsem sanitou na obvaziště, odkud vlakem odjíždím do Čech — do nemocnice.</w:t>
      </w:r>
    </w:p>
    <w:p w:rsidR="00500724" w:rsidRDefault="00F30FB8">
      <w:pPr>
        <w:pStyle w:val="Zkladntext1"/>
        <w:shd w:val="clear" w:color="auto" w:fill="auto"/>
        <w:spacing w:after="40" w:line="187" w:lineRule="auto"/>
        <w:ind w:firstLine="320"/>
      </w:pPr>
      <w:r>
        <w:rPr>
          <w:b/>
          <w:bCs/>
        </w:rPr>
        <w:t>Při čtení 17. ě. »Přítomnosti« vzpomněl jsem si na vše, co před 20 l</w:t>
      </w:r>
      <w:r>
        <w:rPr>
          <w:b/>
          <w:bCs/>
        </w:rPr>
        <w:t>ety jsem prožíval s desítkami tisíců jiných a vy</w:t>
      </w:r>
      <w:r>
        <w:rPr>
          <w:b/>
          <w:bCs/>
        </w:rPr>
        <w:softHyphen/>
        <w:t>hledal tyto své zápisky. Snad tehdy onen gardista i ona Slo</w:t>
      </w:r>
      <w:r>
        <w:rPr>
          <w:b/>
          <w:bCs/>
        </w:rPr>
        <w:softHyphen/>
        <w:t>venka, jíž odpovídáte v listárně, nebyli ještě mimo kolébku anebo — jsou-li starší 20 let — někde také nosili »úctu« a kytičky — bratřím Čechům, kt</w:t>
      </w:r>
      <w:r>
        <w:rPr>
          <w:b/>
          <w:bCs/>
        </w:rPr>
        <w:t>eři je zbavili štěstí maďar</w:t>
      </w:r>
      <w:r>
        <w:rPr>
          <w:b/>
          <w:bCs/>
        </w:rPr>
        <w:softHyphen/>
        <w:t>ského obsazení.</w:t>
      </w:r>
    </w:p>
    <w:p w:rsidR="00500724" w:rsidRDefault="00F30FB8">
      <w:pPr>
        <w:pStyle w:val="Zkladntext1"/>
        <w:shd w:val="clear" w:color="auto" w:fill="auto"/>
        <w:tabs>
          <w:tab w:val="left" w:pos="3944"/>
        </w:tabs>
        <w:spacing w:after="80" w:line="187" w:lineRule="auto"/>
        <w:ind w:firstLine="320"/>
        <w:rPr>
          <w:sz w:val="20"/>
          <w:szCs w:val="20"/>
        </w:rPr>
      </w:pPr>
      <w:r>
        <w:rPr>
          <w:b/>
          <w:bCs/>
        </w:rPr>
        <w:t>S projevem úcty</w:t>
      </w:r>
      <w:r>
        <w:rPr>
          <w:b/>
          <w:bCs/>
        </w:rPr>
        <w:tab/>
      </w:r>
      <w:r>
        <w:rPr>
          <w:i/>
          <w:iCs/>
          <w:sz w:val="20"/>
          <w:szCs w:val="20"/>
          <w:lang w:val="en-US" w:eastAsia="en-US" w:bidi="en-US"/>
        </w:rPr>
        <w:t xml:space="preserve">J, </w:t>
      </w:r>
      <w:r>
        <w:rPr>
          <w:i/>
          <w:iCs/>
          <w:sz w:val="20"/>
          <w:szCs w:val="20"/>
        </w:rPr>
        <w:t>M., dělník</w:t>
      </w:r>
    </w:p>
    <w:p w:rsidR="00500724" w:rsidRDefault="00F30FB8">
      <w:pPr>
        <w:pStyle w:val="Nadpis120"/>
        <w:shd w:val="clear" w:color="auto" w:fill="auto"/>
        <w:spacing w:after="80"/>
        <w:ind w:left="0"/>
        <w:jc w:val="center"/>
      </w:pPr>
      <w:bookmarkStart w:id="701" w:name="bookmark700"/>
      <w:r>
        <w:t>Lítost nad Alšovým Špalíčkem</w:t>
      </w:r>
      <w:bookmarkEnd w:id="701"/>
    </w:p>
    <w:p w:rsidR="00500724" w:rsidRDefault="00F30FB8">
      <w:pPr>
        <w:pStyle w:val="Zkladntext1"/>
        <w:shd w:val="clear" w:color="auto" w:fill="auto"/>
        <w:spacing w:after="80" w:line="187" w:lineRule="auto"/>
      </w:pPr>
      <w:r>
        <w:rPr>
          <w:b/>
          <w:bCs/>
        </w:rPr>
        <w:t>Proě jej vydáváme v plné kráse a bohatosti teprve teď, proě musil Aleš na takovéto vydání svého díla tak dlouho čekat? Malá ochota nakladatelů anebo malý</w:t>
      </w:r>
      <w:r>
        <w:rPr>
          <w:b/>
          <w:bCs/>
        </w:rPr>
        <w:t xml:space="preserve"> zájem našieh čtenářů a milovníků knih? Vždyť první tři vydání Špalíčku (1906, 1912, 1933) byla brzo úplně rozebrána a také nejno</w:t>
      </w:r>
      <w:r>
        <w:rPr>
          <w:b/>
          <w:bCs/>
        </w:rPr>
        <w:softHyphen/>
        <w:t>vější vydání meianírišské vyjde prý již brzo v druhém vydání, protože prvních 5000 výtisků bude již rozebráno. Byly jistě jist</w:t>
      </w:r>
      <w:r>
        <w:rPr>
          <w:b/>
          <w:bCs/>
        </w:rPr>
        <w:t>é těžkosti technického rázu, jak o nich mluví dr. Emanuel Svoboda v předmluvě melanírišského Špalíč</w:t>
      </w:r>
      <w:r>
        <w:rPr>
          <w:b/>
          <w:bCs/>
        </w:rPr>
        <w:softHyphen/>
      </w:r>
    </w:p>
    <w:p w:rsidR="00500724" w:rsidRDefault="00F30FB8">
      <w:pPr>
        <w:pStyle w:val="Zkladntext1"/>
        <w:shd w:val="clear" w:color="auto" w:fill="auto"/>
        <w:tabs>
          <w:tab w:val="left" w:pos="4550"/>
        </w:tabs>
        <w:spacing w:after="120" w:line="185" w:lineRule="auto"/>
        <w:ind w:firstLine="0"/>
        <w:rPr>
          <w:sz w:val="20"/>
          <w:szCs w:val="20"/>
        </w:rPr>
      </w:pPr>
      <w:r>
        <w:rPr>
          <w:b/>
          <w:bCs/>
        </w:rPr>
        <w:t>ku, ale to by se asi dalo všechno přemoci. Vedle příznačně tendence dobové, která nás vede k pramenům češství, je tu ještě něco, co nám tuto nepochopitelnou skuteěnost pomůže vysvětlit. Za mnohé naše vzdělance vyjádřil to před 26 lety P. X. Šalda, jehož do</w:t>
      </w:r>
      <w:r>
        <w:rPr>
          <w:b/>
          <w:bCs/>
        </w:rPr>
        <w:t xml:space="preserve">znání čteme ku podivu jako reklamu na přebalu melanírišského Špalíčku: »My, lidé dneška, nejsme v ní (t j. v Alšově přírodě a zemi) mnohem </w:t>
      </w:r>
      <w:r>
        <w:rPr>
          <w:b/>
          <w:bCs/>
          <w:lang w:val="en-US" w:eastAsia="en-US" w:bidi="en-US"/>
        </w:rPr>
        <w:t xml:space="preserve">vie </w:t>
      </w:r>
      <w:r>
        <w:rPr>
          <w:b/>
          <w:bCs/>
        </w:rPr>
        <w:t>než pomíjivá bublina, která před chvíli vyvřela a za chvíli splaskne.* Šalda cítil, jak pouta, která u Alše vázal</w:t>
      </w:r>
      <w:r>
        <w:rPr>
          <w:b/>
          <w:bCs/>
        </w:rPr>
        <w:t>a jedin</w:t>
      </w:r>
      <w:r>
        <w:rPr>
          <w:b/>
          <w:bCs/>
        </w:rPr>
        <w:softHyphen/>
        <w:t>ce s rodem, s mrtvými pokoleními, se zemi i nebem, jsou u moderních umělců zpřetrhána, cítil, že Alšův svět leží za námi a že neni návratu v něj. Ale to byl omyl duchů, jimž nebylo dáno Alšův svět jako dítě prožít. Ta pouta ne</w:t>
      </w:r>
      <w:r>
        <w:rPr>
          <w:b/>
          <w:bCs/>
        </w:rPr>
        <w:softHyphen/>
        <w:t>byla a nejsou u všech</w:t>
      </w:r>
      <w:r>
        <w:rPr>
          <w:b/>
          <w:bCs/>
        </w:rPr>
        <w:t xml:space="preserve"> umělců zpřetrhána, ani u všech mo</w:t>
      </w:r>
      <w:r>
        <w:rPr>
          <w:b/>
          <w:bCs/>
        </w:rPr>
        <w:softHyphen/>
        <w:t>derních ne, a Alšův svět neleží za námi, ale v nás, a proto se do něho neni třeba všem vraceti. Potřebujeme jen, aby Alšovo dílo šlo mezi lid, jak si toho sám Aleš vroucně přál. Kéž je tedy čtvrtě vydání jeho Špalíčku jen</w:t>
      </w:r>
      <w:r>
        <w:rPr>
          <w:b/>
          <w:bCs/>
        </w:rPr>
        <w:t>om úvodem k brzkému vydání jeho díla celého!</w:t>
      </w:r>
      <w:r>
        <w:rPr>
          <w:b/>
          <w:bCs/>
        </w:rPr>
        <w:tab/>
      </w:r>
      <w:r>
        <w:rPr>
          <w:i/>
          <w:iCs/>
          <w:sz w:val="20"/>
          <w:szCs w:val="20"/>
        </w:rPr>
        <w:t>K. E.</w:t>
      </w:r>
    </w:p>
    <w:p w:rsidR="00500724" w:rsidRDefault="00F30FB8">
      <w:pPr>
        <w:pStyle w:val="Zkladntext1"/>
        <w:shd w:val="clear" w:color="auto" w:fill="auto"/>
        <w:spacing w:after="80" w:line="178" w:lineRule="auto"/>
        <w:ind w:firstLine="0"/>
        <w:jc w:val="center"/>
        <w:rPr>
          <w:sz w:val="20"/>
          <w:szCs w:val="20"/>
        </w:rPr>
      </w:pPr>
      <w:r>
        <w:rPr>
          <w:b/>
          <w:bCs/>
          <w:sz w:val="20"/>
          <w:szCs w:val="20"/>
        </w:rPr>
        <w:t>Kdy se vyčerpají...?</w:t>
      </w:r>
    </w:p>
    <w:p w:rsidR="00500724" w:rsidRDefault="00F30FB8">
      <w:pPr>
        <w:pStyle w:val="Zkladntext1"/>
        <w:shd w:val="clear" w:color="auto" w:fill="auto"/>
        <w:spacing w:line="187" w:lineRule="auto"/>
        <w:ind w:firstLine="200"/>
      </w:pPr>
      <w:r>
        <w:rPr>
          <w:b/>
          <w:bCs/>
        </w:rPr>
        <w:t xml:space="preserve">Často čteme úvahy, opírající se o řadu číslic: ptají se, kdy se vyčerpají ložiska uhlí, nafty, různých rud a j. Nejsou to jen úvahy z poslední doby. Podobné našli bychom již v </w:t>
      </w:r>
      <w:r>
        <w:rPr>
          <w:b/>
          <w:bCs/>
        </w:rPr>
        <w:t>časopisech ze sklonku minulého století. Společným rysem těchto úvah z různých časopisů a z různé doby je, že se rozcházejí čísla, o něž se opírají. Je to přirozené. Lze jen zhruba, velmi zhruba odhadnout, a to zase jen přibližně, kolik asi zásob nafty, uhl</w:t>
      </w:r>
      <w:r>
        <w:rPr>
          <w:b/>
          <w:bCs/>
        </w:rPr>
        <w:t>í, rudy a j. leží v ložiscích, jak je dnes známe.</w:t>
      </w:r>
    </w:p>
    <w:p w:rsidR="00500724" w:rsidRDefault="00F30FB8">
      <w:pPr>
        <w:pStyle w:val="Zkladntext1"/>
        <w:shd w:val="clear" w:color="auto" w:fill="auto"/>
        <w:spacing w:line="187" w:lineRule="auto"/>
        <w:ind w:firstLine="200"/>
      </w:pPr>
      <w:r>
        <w:rPr>
          <w:b/>
          <w:bCs/>
        </w:rPr>
        <w:t>V celku nás z těchto úvah hlava bolet nemusí. Příští uhlí nám ještě do sklepa přivezou. Starost o uhlí budou mít lidé až za 1000, snad 2000 let. Kdo ví, zda lidé za 1000 či 2000 let budou ještě uhlím topit.</w:t>
      </w:r>
      <w:r>
        <w:rPr>
          <w:b/>
          <w:bCs/>
        </w:rPr>
        <w:t xml:space="preserve"> Vždyť před sto lety se topilo jenom dřívím. Význam uhlí ukázal teprve rostoucí průmysl.</w:t>
      </w:r>
    </w:p>
    <w:p w:rsidR="00500724" w:rsidRDefault="00F30FB8">
      <w:pPr>
        <w:pStyle w:val="Zkladntext1"/>
        <w:shd w:val="clear" w:color="auto" w:fill="auto"/>
        <w:spacing w:line="187" w:lineRule="auto"/>
        <w:ind w:firstLine="200"/>
      </w:pPr>
      <w:r>
        <w:rPr>
          <w:b/>
          <w:bCs/>
        </w:rPr>
        <w:t>Vážnější jsou předpovědi různých odborníků, pokud se týkají nafty. S tou prý vystačíme jen třicet let. Dnešní chemie dovede však vyrobit umělý benzin. Jiná předpověď ř</w:t>
      </w:r>
      <w:r>
        <w:rPr>
          <w:b/>
          <w:bCs/>
        </w:rPr>
        <w:t>íká, že za 80 let bude prý nedostatek mědi.</w:t>
      </w:r>
    </w:p>
    <w:p w:rsidR="00500724" w:rsidRDefault="00F30FB8">
      <w:pPr>
        <w:pStyle w:val="Zkladntext1"/>
        <w:shd w:val="clear" w:color="auto" w:fill="auto"/>
        <w:spacing w:line="187" w:lineRule="auto"/>
        <w:ind w:firstLine="200"/>
      </w:pPr>
      <w:r>
        <w:rPr>
          <w:b/>
          <w:bCs/>
        </w:rPr>
        <w:t xml:space="preserve">Tyto úvahy vycházejí z předpokladu, že příští lidstvo ve větším množství bude užívat týchž surovin jako my. Ale i tu je ustavičný vývoj, stálá změna. Před sto lety se ještě nesvítilo petrolejem. Byly jen olejové </w:t>
      </w:r>
      <w:r>
        <w:rPr>
          <w:b/>
          <w:bCs/>
        </w:rPr>
        <w:t>lampičky a na ven</w:t>
      </w:r>
      <w:r>
        <w:rPr>
          <w:b/>
          <w:bCs/>
        </w:rPr>
        <w:softHyphen/>
        <w:t>kově se svítilo loučemi. Dnes se svití většinou elektřinou. Před sto lety dávali někde zdarma petrolejové lampy, jen aby si lidé zvykli na tu novinku, na svícení petrolejem. Dnes je tato starost zbytečná. Dnes nejvíce nafty, petroleje ne</w:t>
      </w:r>
      <w:r>
        <w:rPr>
          <w:b/>
          <w:bCs/>
        </w:rPr>
        <w:softHyphen/>
      </w:r>
      <w:r>
        <w:rPr>
          <w:b/>
          <w:bCs/>
        </w:rPr>
        <w:t xml:space="preserve">spotřebují ti, kteří snad ještě svítí petrolejem; vlastní doba nafty a benzinu přišla teprve s rozmachem automobilismu </w:t>
      </w:r>
      <w:r>
        <w:rPr>
          <w:b/>
          <w:bCs/>
          <w:i/>
          <w:iCs/>
          <w:sz w:val="20"/>
          <w:szCs w:val="20"/>
        </w:rPr>
        <w:t>a</w:t>
      </w:r>
      <w:r>
        <w:rPr>
          <w:b/>
          <w:bCs/>
        </w:rPr>
        <w:t xml:space="preserve"> letectví</w:t>
      </w:r>
    </w:p>
    <w:p w:rsidR="00500724" w:rsidRDefault="00F30FB8">
      <w:pPr>
        <w:pStyle w:val="Zkladntext1"/>
        <w:shd w:val="clear" w:color="auto" w:fill="auto"/>
        <w:spacing w:line="187" w:lineRule="auto"/>
        <w:ind w:firstLine="200"/>
      </w:pPr>
      <w:r>
        <w:rPr>
          <w:b/>
          <w:bCs/>
        </w:rPr>
        <w:t xml:space="preserve">Cenu mědi, které prý za osmdesát let bude nedostatek; objevila teprve elektrotechnika. Ale v letectví i jinde se užívá kovů a </w:t>
      </w:r>
      <w:r>
        <w:rPr>
          <w:b/>
          <w:bCs/>
        </w:rPr>
        <w:t>slitin, které ještě před sto lety byly neznámé. Je to především hliník, aluminium, hořčík, magnesium a j. V dnešní oceli jsou kovy a přísady, kterých se v minulém století ještě neužívalo.</w:t>
      </w:r>
    </w:p>
    <w:p w:rsidR="00500724" w:rsidRDefault="00F30FB8">
      <w:pPr>
        <w:pStyle w:val="Zkladntext1"/>
        <w:shd w:val="clear" w:color="auto" w:fill="auto"/>
        <w:spacing w:line="187" w:lineRule="auto"/>
        <w:ind w:firstLine="200"/>
      </w:pPr>
      <w:r>
        <w:rPr>
          <w:b/>
          <w:bCs/>
        </w:rPr>
        <w:t>Pochodil by dnes zle v národním hospodářství, kdo by chtěl obhajovat</w:t>
      </w:r>
      <w:r>
        <w:rPr>
          <w:b/>
          <w:bCs/>
        </w:rPr>
        <w:t xml:space="preserve"> Malthusovo uěení, podle něhož zeměkoule nebude moci uživiti stále rostoucí počet obyvatelstva. Ale tisknou se stále úvahy opravdu malthusovské: kdy se vy</w:t>
      </w:r>
      <w:r>
        <w:rPr>
          <w:b/>
          <w:bCs/>
        </w:rPr>
        <w:softHyphen/>
        <w:t>čerpají zásoby uhlí, nafty, rud a j.?</w:t>
      </w:r>
    </w:p>
    <w:p w:rsidR="00500724" w:rsidRDefault="00F30FB8">
      <w:pPr>
        <w:pStyle w:val="Zkladntext1"/>
        <w:shd w:val="clear" w:color="auto" w:fill="auto"/>
        <w:tabs>
          <w:tab w:val="left" w:pos="4550"/>
        </w:tabs>
        <w:spacing w:after="60" w:line="187" w:lineRule="auto"/>
        <w:ind w:firstLine="200"/>
        <w:rPr>
          <w:sz w:val="20"/>
          <w:szCs w:val="20"/>
        </w:rPr>
      </w:pPr>
      <w:r>
        <w:rPr>
          <w:b/>
          <w:bCs/>
        </w:rPr>
        <w:t>Může se vyčerpat jeden důl. Snad se najde uhlí v sou</w:t>
      </w:r>
      <w:r>
        <w:rPr>
          <w:b/>
          <w:bCs/>
        </w:rPr>
        <w:softHyphen/>
        <w:t>sedství, n</w:t>
      </w:r>
      <w:r>
        <w:rPr>
          <w:b/>
          <w:bCs/>
        </w:rPr>
        <w:t>ebo hlouběji v zemi, nebo se najde uhlí docela někde jinde. Ale je také možno postavit hydrocentrálu. Ta nahradí několik dolů; dá celým městům světlo, dopravu a ještě zbude na průmyslovou výrobu. Vodních sil je využito dosud velmi málo. Žijeme převážně dos</w:t>
      </w:r>
      <w:r>
        <w:rPr>
          <w:b/>
          <w:bCs/>
        </w:rPr>
        <w:t>ud jen z toho, co slunce uložilo pod zemi. Snad se najdou přímější cesty, ve</w:t>
      </w:r>
      <w:r>
        <w:rPr>
          <w:b/>
          <w:bCs/>
        </w:rPr>
        <w:softHyphen/>
        <w:t>doucí k silám přírody. Kdoví kolik převratů ve světě hmot a hledání sil učiní technika a chemie v nejbližší době? Ne</w:t>
      </w:r>
      <w:r>
        <w:rPr>
          <w:b/>
          <w:bCs/>
        </w:rPr>
        <w:softHyphen/>
        <w:t>byli bychom v právu, kdybychom jen tak pochybovali o správnost</w:t>
      </w:r>
      <w:r>
        <w:rPr>
          <w:b/>
          <w:bCs/>
        </w:rPr>
        <w:t>i výpočtů "ůzných odborníků o tom, s čím na jak dlouho vystačíme. Jsou to přesné výpočty podle toho, co dnes víme o dosavadních ložiscích a jejich pravděpodobném rozsahu. Ale právě: co víme o všem tom, co je pod zemí? Tyto úvahy počítají jen s tím, co se d</w:t>
      </w:r>
      <w:r>
        <w:rPr>
          <w:b/>
          <w:bCs/>
        </w:rPr>
        <w:t>nes těží a co se dnes potřebuje. Ale právě o dnešní technice a chemii víc než jindy platí: nevíme, co nám přinese zítřek. Kdo před sto lety měl tušení, že parní stroj bude největším revolucioná</w:t>
      </w:r>
      <w:r>
        <w:rPr>
          <w:b/>
          <w:bCs/>
        </w:rPr>
        <w:softHyphen/>
        <w:t>řem, po němž přijdou stroje nové a další, které vyvolávají stá</w:t>
      </w:r>
      <w:r>
        <w:rPr>
          <w:b/>
          <w:bCs/>
        </w:rPr>
        <w:t>le nové a širší vlny?</w:t>
      </w:r>
      <w:r>
        <w:rPr>
          <w:b/>
          <w:bCs/>
        </w:rPr>
        <w:tab/>
      </w:r>
      <w:r>
        <w:rPr>
          <w:b/>
          <w:bCs/>
          <w:i/>
          <w:iCs/>
          <w:sz w:val="20"/>
          <w:szCs w:val="20"/>
        </w:rPr>
        <w:t>V. G.</w:t>
      </w:r>
    </w:p>
    <w:p w:rsidR="00500724" w:rsidRDefault="00F30FB8">
      <w:pPr>
        <w:pStyle w:val="Nadpis110"/>
        <w:shd w:val="clear" w:color="auto" w:fill="auto"/>
        <w:spacing w:after="40"/>
        <w:jc w:val="center"/>
      </w:pPr>
      <w:bookmarkStart w:id="702" w:name="bookmark701"/>
      <w:r>
        <w:rPr>
          <w:rFonts w:ascii="Times New Roman" w:eastAsia="Times New Roman" w:hAnsi="Times New Roman" w:cs="Times New Roman"/>
          <w:lang w:val="en-US" w:eastAsia="en-US" w:bidi="en-US"/>
        </w:rPr>
        <w:t>Televise</w:t>
      </w:r>
      <w:bookmarkEnd w:id="702"/>
    </w:p>
    <w:p w:rsidR="00500724" w:rsidRDefault="00F30FB8">
      <w:pPr>
        <w:pStyle w:val="Zkladntext1"/>
        <w:shd w:val="clear" w:color="auto" w:fill="auto"/>
        <w:spacing w:line="187" w:lineRule="auto"/>
        <w:ind w:firstLine="320"/>
      </w:pPr>
      <w:r>
        <w:rPr>
          <w:b/>
          <w:bCs/>
        </w:rPr>
        <w:t xml:space="preserve">V řadě zemi jsou nebo se staví televisní vysílačky. </w:t>
      </w:r>
      <w:r>
        <w:rPr>
          <w:b/>
          <w:bCs/>
          <w:lang w:val="en-US" w:eastAsia="en-US" w:bidi="en-US"/>
        </w:rPr>
        <w:t>Te</w:t>
      </w:r>
      <w:r>
        <w:rPr>
          <w:b/>
          <w:bCs/>
          <w:lang w:val="en-US" w:eastAsia="en-US" w:bidi="en-US"/>
        </w:rPr>
        <w:softHyphen/>
        <w:t xml:space="preserve">levise </w:t>
      </w:r>
      <w:r>
        <w:rPr>
          <w:b/>
          <w:bCs/>
        </w:rPr>
        <w:t xml:space="preserve">proniká již do praktického života. </w:t>
      </w:r>
      <w:r>
        <w:rPr>
          <w:b/>
          <w:bCs/>
          <w:lang w:val="en-US" w:eastAsia="en-US" w:bidi="en-US"/>
        </w:rPr>
        <w:t xml:space="preserve">Televise, </w:t>
      </w:r>
      <w:r>
        <w:rPr>
          <w:b/>
          <w:bCs/>
        </w:rPr>
        <w:t>rodná se</w:t>
      </w:r>
      <w:r>
        <w:rPr>
          <w:b/>
          <w:bCs/>
        </w:rPr>
        <w:softHyphen/>
        <w:t xml:space="preserve">stra rozhlasu (ěeské slovo se dosud nenašlo) v poměrně krátké době udělala velmi značné technické </w:t>
      </w:r>
      <w:r>
        <w:rPr>
          <w:b/>
          <w:bCs/>
        </w:rPr>
        <w:t>pokroky.</w:t>
      </w:r>
    </w:p>
    <w:p w:rsidR="00500724" w:rsidRDefault="00F30FB8">
      <w:pPr>
        <w:pStyle w:val="Zkladntext1"/>
        <w:shd w:val="clear" w:color="auto" w:fill="auto"/>
        <w:spacing w:line="187" w:lineRule="auto"/>
      </w:pPr>
      <w:r>
        <w:rPr>
          <w:b/>
          <w:bCs/>
        </w:rPr>
        <w:t xml:space="preserve">Jednoduchý Nipkowův kotouč ustoupil složitým drahým a citlivým lampám. Ale v podstatě drží se </w:t>
      </w:r>
      <w:r>
        <w:rPr>
          <w:b/>
          <w:bCs/>
          <w:lang w:val="en-US" w:eastAsia="en-US" w:bidi="en-US"/>
        </w:rPr>
        <w:t xml:space="preserve">televise </w:t>
      </w:r>
      <w:r>
        <w:rPr>
          <w:b/>
          <w:bCs/>
        </w:rPr>
        <w:t xml:space="preserve">při všem svém zdokonalení stále téže myšlenky: přenášený obraz se rozděluje v nepatrné bodové prvky. Ty se pak jako nárazy a změny elektrického </w:t>
      </w:r>
      <w:r>
        <w:rPr>
          <w:b/>
          <w:bCs/>
        </w:rPr>
        <w:t>proudu zesilují a vysílají. Na při</w:t>
      </w:r>
      <w:r>
        <w:rPr>
          <w:b/>
          <w:bCs/>
        </w:rPr>
        <w:softHyphen/>
        <w:t>jímací stanici se skládají a spojují v souvislý obraz.</w:t>
      </w:r>
    </w:p>
    <w:p w:rsidR="00500724" w:rsidRDefault="00F30FB8">
      <w:pPr>
        <w:pStyle w:val="Zkladntext1"/>
        <w:shd w:val="clear" w:color="auto" w:fill="auto"/>
        <w:spacing w:line="187" w:lineRule="auto"/>
        <w:ind w:firstLine="320"/>
      </w:pPr>
      <w:r>
        <w:rPr>
          <w:b/>
          <w:bCs/>
        </w:rPr>
        <w:t>Tento způsob je ztížen tim, že nejde jen o přenos ne</w:t>
      </w:r>
      <w:r>
        <w:rPr>
          <w:b/>
          <w:bCs/>
        </w:rPr>
        <w:softHyphen/>
        <w:t>hybných, mrtvých obrazů. Bellinograřie je velmi dokonalá: sotva kdo pozná rozdíl mezi bellinografií a obyčejnou f</w:t>
      </w:r>
      <w:r>
        <w:rPr>
          <w:b/>
          <w:bCs/>
        </w:rPr>
        <w:t>oto</w:t>
      </w:r>
      <w:r>
        <w:rPr>
          <w:b/>
          <w:bCs/>
        </w:rPr>
        <w:softHyphen/>
        <w:t xml:space="preserve">grafií. Nelze říci, že při bellinografii nezáleží na čase. Ale na vteřině a nějaké minutě, není-li jich mnoho, přece jen nezáleží. Ale u </w:t>
      </w:r>
      <w:r>
        <w:rPr>
          <w:b/>
          <w:bCs/>
          <w:lang w:val="en-US" w:eastAsia="en-US" w:bidi="en-US"/>
        </w:rPr>
        <w:t xml:space="preserve">televise </w:t>
      </w:r>
      <w:r>
        <w:rPr>
          <w:b/>
          <w:bCs/>
        </w:rPr>
        <w:t>během vteřiny, jako ve filmu, musí se týž obraz několikráte přijmouti a promítnoutt</w:t>
      </w:r>
    </w:p>
    <w:p w:rsidR="00500724" w:rsidRDefault="00F30FB8">
      <w:pPr>
        <w:pStyle w:val="Zkladntext1"/>
        <w:shd w:val="clear" w:color="auto" w:fill="auto"/>
        <w:spacing w:after="40" w:line="187" w:lineRule="auto"/>
        <w:ind w:firstLine="320"/>
      </w:pPr>
      <w:r>
        <w:rPr>
          <w:b/>
          <w:bCs/>
        </w:rPr>
        <w:t xml:space="preserve">Má-li býti televisní </w:t>
      </w:r>
      <w:r>
        <w:rPr>
          <w:b/>
          <w:bCs/>
        </w:rPr>
        <w:t>obraz dokonalý, musí býti počet bo</w:t>
      </w:r>
      <w:r>
        <w:rPr>
          <w:b/>
          <w:bCs/>
        </w:rPr>
        <w:softHyphen/>
        <w:t>dových prvků velmi značný. Jinými slovy: obraz, děj musí býti řádkován velmi jemně. Je to jako u zinkografických štočků, kterých se užívá v denním tisku. Čím hrubší mřížka, tím hrubší obraz.</w:t>
      </w:r>
    </w:p>
    <w:p w:rsidR="00500724" w:rsidRDefault="00F30FB8">
      <w:pPr>
        <w:pStyle w:val="Zkladntext1"/>
        <w:shd w:val="clear" w:color="auto" w:fill="auto"/>
        <w:spacing w:line="187" w:lineRule="auto"/>
        <w:ind w:firstLine="160"/>
      </w:pPr>
      <w:r>
        <w:rPr>
          <w:b/>
          <w:bCs/>
        </w:rPr>
        <w:t>Ale důsledky »jemnější mřížky«</w:t>
      </w:r>
      <w:r>
        <w:rPr>
          <w:b/>
          <w:bCs/>
        </w:rPr>
        <w:t xml:space="preserve"> jsou v televisi pronikavější než v zinkografii. Jedním z důsledků </w:t>
      </w:r>
      <w:r>
        <w:rPr>
          <w:b/>
          <w:bCs/>
          <w:lang w:val="en-US" w:eastAsia="en-US" w:bidi="en-US"/>
        </w:rPr>
        <w:t xml:space="preserve">televise </w:t>
      </w:r>
      <w:r>
        <w:rPr>
          <w:b/>
          <w:bCs/>
        </w:rPr>
        <w:t>(s 1 až miliony kmitů ve vteřině) je, že musí pracovat na krátkých vlnách. To jsou výhody i nevýhody. Televisní vysílačky mají — po</w:t>
      </w:r>
      <w:r>
        <w:rPr>
          <w:b/>
          <w:bCs/>
        </w:rPr>
        <w:softHyphen/>
        <w:t>měrně — malý okruh. Není náhodou, staví-li se te</w:t>
      </w:r>
      <w:r>
        <w:rPr>
          <w:b/>
          <w:bCs/>
        </w:rPr>
        <w:t>levisní vysílačky na nejvyšších místech. Ku cti přišla zase Eiffelov</w:t>
      </w:r>
      <w:r>
        <w:rPr>
          <w:b/>
          <w:bCs/>
        </w:rPr>
        <w:softHyphen/>
        <w:t>ka a jiná taková — s nejmodernější anténou — je na Empi</w:t>
      </w:r>
      <w:r>
        <w:rPr>
          <w:b/>
          <w:bCs/>
        </w:rPr>
        <w:softHyphen/>
        <w:t xml:space="preserve">re States </w:t>
      </w:r>
      <w:r>
        <w:rPr>
          <w:b/>
          <w:bCs/>
          <w:lang w:val="en-US" w:eastAsia="en-US" w:bidi="en-US"/>
        </w:rPr>
        <w:t>Building.</w:t>
      </w:r>
    </w:p>
    <w:p w:rsidR="00500724" w:rsidRDefault="00F30FB8">
      <w:pPr>
        <w:pStyle w:val="Zkladntext1"/>
        <w:shd w:val="clear" w:color="auto" w:fill="auto"/>
        <w:spacing w:line="187" w:lineRule="auto"/>
        <w:ind w:firstLine="320"/>
      </w:pPr>
      <w:r>
        <w:rPr>
          <w:b/>
          <w:bCs/>
        </w:rPr>
        <w:t xml:space="preserve">Dnešní způsob </w:t>
      </w:r>
      <w:r>
        <w:rPr>
          <w:b/>
          <w:bCs/>
          <w:lang w:val="en-US" w:eastAsia="en-US" w:bidi="en-US"/>
        </w:rPr>
        <w:t xml:space="preserve">televise </w:t>
      </w:r>
      <w:r>
        <w:rPr>
          <w:b/>
          <w:bCs/>
        </w:rPr>
        <w:t>je velmi dokonale propracován. Ale je to systém, kterému bude patřit budoucnost? Tento s</w:t>
      </w:r>
      <w:r>
        <w:rPr>
          <w:b/>
          <w:bCs/>
        </w:rPr>
        <w:t>ystém je velmi choulostivý, neboť má-li býti obraz dokona</w:t>
      </w:r>
      <w:r>
        <w:rPr>
          <w:b/>
          <w:bCs/>
        </w:rPr>
        <w:softHyphen/>
        <w:t>lý, musí býti přenášený prvek velmi drobný. Snad s po</w:t>
      </w:r>
      <w:r>
        <w:rPr>
          <w:b/>
          <w:bCs/>
        </w:rPr>
        <w:softHyphen/>
        <w:t xml:space="preserve">čátku stačí matné obrazy. Jsou a budou vysílány televisní liry. Ale i ty počítají s hrubostí televisního přenosu. </w:t>
      </w:r>
      <w:r>
        <w:rPr>
          <w:b/>
          <w:bCs/>
          <w:lang w:val="en-US" w:eastAsia="en-US" w:bidi="en-US"/>
        </w:rPr>
        <w:t>Televi</w:t>
      </w:r>
      <w:r>
        <w:rPr>
          <w:b/>
          <w:bCs/>
          <w:lang w:val="en-US" w:eastAsia="en-US" w:bidi="en-US"/>
        </w:rPr>
        <w:softHyphen/>
        <w:t xml:space="preserve">se </w:t>
      </w:r>
      <w:r>
        <w:rPr>
          <w:b/>
          <w:bCs/>
        </w:rPr>
        <w:t xml:space="preserve">se jistě zdokonalí. </w:t>
      </w:r>
      <w:r>
        <w:rPr>
          <w:b/>
          <w:bCs/>
        </w:rPr>
        <w:t>Ale — jsme na správné cestě?</w:t>
      </w:r>
    </w:p>
    <w:p w:rsidR="00500724" w:rsidRDefault="00F30FB8">
      <w:pPr>
        <w:pStyle w:val="Zkladntext1"/>
        <w:shd w:val="clear" w:color="auto" w:fill="auto"/>
        <w:tabs>
          <w:tab w:val="left" w:pos="4546"/>
        </w:tabs>
        <w:spacing w:after="180" w:line="187" w:lineRule="auto"/>
        <w:rPr>
          <w:sz w:val="20"/>
          <w:szCs w:val="20"/>
        </w:rPr>
      </w:pPr>
      <w:r>
        <w:rPr>
          <w:b/>
          <w:bCs/>
        </w:rPr>
        <w:t>Když posloucháme rozhlas, vnímáme současně řadu tónů, jejich odstiň a barvu v témže čase, v témže zlomku vteřiny. Nad dokonalým televisním aparátem vzniká palčivá otázka: nebude potřebí v televisi hledati nové cesty, které by s</w:t>
      </w:r>
      <w:r>
        <w:rPr>
          <w:b/>
          <w:bCs/>
        </w:rPr>
        <w:t>e uchýlily od rozkladu přenášeného pohybu v jednotlivé body? Nebude nutno hledati cesty zcela jiné a nové? Je to pro televisi otázka hamletovská: být či nebýt? Snad se tu použi</w:t>
      </w:r>
      <w:r>
        <w:rPr>
          <w:b/>
          <w:bCs/>
        </w:rPr>
        <w:softHyphen/>
        <w:t xml:space="preserve">je, dosud plně nevyužitých vlastností nám dosud neznámých vztahů. Snad to bude </w:t>
      </w:r>
      <w:r>
        <w:rPr>
          <w:b/>
          <w:bCs/>
        </w:rPr>
        <w:t xml:space="preserve">současné vysílání řady prvků. Ale jak? Tolik je jisto, že </w:t>
      </w:r>
      <w:r>
        <w:rPr>
          <w:b/>
          <w:bCs/>
          <w:lang w:val="en-US" w:eastAsia="en-US" w:bidi="en-US"/>
        </w:rPr>
        <w:t xml:space="preserve">televise </w:t>
      </w:r>
      <w:r>
        <w:rPr>
          <w:b/>
          <w:bCs/>
        </w:rPr>
        <w:t>i v dnešním, technicky do</w:t>
      </w:r>
      <w:r>
        <w:rPr>
          <w:b/>
          <w:bCs/>
        </w:rPr>
        <w:softHyphen/>
        <w:t>konalém stavu, musí hledati nové cesty i provedení tech</w:t>
      </w:r>
      <w:r>
        <w:rPr>
          <w:b/>
          <w:bCs/>
        </w:rPr>
        <w:softHyphen/>
        <w:t>nické.</w:t>
      </w:r>
      <w:r>
        <w:rPr>
          <w:b/>
          <w:bCs/>
        </w:rPr>
        <w:tab/>
      </w:r>
      <w:r>
        <w:rPr>
          <w:b/>
          <w:bCs/>
          <w:i/>
          <w:iCs/>
          <w:sz w:val="20"/>
          <w:szCs w:val="20"/>
        </w:rPr>
        <w:t>V. G.</w:t>
      </w:r>
    </w:p>
    <w:p w:rsidR="00500724" w:rsidRDefault="00F30FB8">
      <w:pPr>
        <w:pStyle w:val="Jin0"/>
        <w:pBdr>
          <w:bottom w:val="single" w:sz="4" w:space="0" w:color="auto"/>
        </w:pBdr>
        <w:shd w:val="clear" w:color="auto" w:fill="auto"/>
        <w:spacing w:after="140"/>
        <w:ind w:firstLine="0"/>
        <w:jc w:val="left"/>
        <w:rPr>
          <w:sz w:val="44"/>
          <w:szCs w:val="44"/>
        </w:rPr>
      </w:pPr>
      <w:r>
        <w:rPr>
          <w:b/>
          <w:bCs/>
          <w:sz w:val="44"/>
          <w:szCs w:val="44"/>
        </w:rPr>
        <w:t>politika</w:t>
      </w:r>
    </w:p>
    <w:p w:rsidR="00500724" w:rsidRDefault="00F30FB8">
      <w:pPr>
        <w:pStyle w:val="Zkladntext1"/>
        <w:shd w:val="clear" w:color="auto" w:fill="auto"/>
        <w:spacing w:after="40"/>
        <w:ind w:firstLine="0"/>
        <w:jc w:val="left"/>
        <w:rPr>
          <w:sz w:val="20"/>
          <w:szCs w:val="20"/>
        </w:rPr>
      </w:pPr>
      <w:r>
        <w:rPr>
          <w:i/>
          <w:iCs/>
          <w:sz w:val="20"/>
          <w:szCs w:val="20"/>
        </w:rPr>
        <w:t>Pavel Hofman:</w:t>
      </w:r>
    </w:p>
    <w:p w:rsidR="00500724" w:rsidRDefault="00F30FB8">
      <w:pPr>
        <w:pStyle w:val="Jin0"/>
        <w:shd w:val="clear" w:color="auto" w:fill="auto"/>
        <w:spacing w:after="40"/>
        <w:ind w:firstLine="0"/>
        <w:jc w:val="center"/>
        <w:rPr>
          <w:sz w:val="34"/>
          <w:szCs w:val="34"/>
        </w:rPr>
      </w:pPr>
      <w:r>
        <w:rPr>
          <w:b/>
          <w:bCs/>
          <w:sz w:val="34"/>
          <w:szCs w:val="34"/>
        </w:rPr>
        <w:t>Na březích řeky Khalky</w:t>
      </w:r>
    </w:p>
    <w:p w:rsidR="00500724" w:rsidRDefault="00F30FB8">
      <w:pPr>
        <w:pStyle w:val="Zkladntext40"/>
        <w:shd w:val="clear" w:color="auto" w:fill="auto"/>
        <w:spacing w:after="0" w:line="286" w:lineRule="auto"/>
        <w:ind w:firstLine="220"/>
        <w:rPr>
          <w:sz w:val="14"/>
          <w:szCs w:val="14"/>
        </w:rPr>
      </w:pPr>
      <w:r>
        <w:rPr>
          <w:b/>
          <w:bCs/>
          <w:sz w:val="14"/>
          <w:szCs w:val="14"/>
        </w:rPr>
        <w:t xml:space="preserve">Po prvé po dlouhé době zmizely 4. července z </w:t>
      </w:r>
      <w:r>
        <w:rPr>
          <w:b/>
          <w:bCs/>
          <w:sz w:val="14"/>
          <w:szCs w:val="14"/>
        </w:rPr>
        <w:t>titul</w:t>
      </w:r>
      <w:r>
        <w:rPr>
          <w:b/>
          <w:bCs/>
          <w:sz w:val="14"/>
          <w:szCs w:val="14"/>
        </w:rPr>
        <w:softHyphen/>
        <w:t>ních stránek japonských listů vítězné zprávy z Cíny, z Fučou, Svatou, Tiencinu; byly vystřídány neméně triumfujícími depešemi od hranic Vnějšího Mongolská.</w:t>
      </w:r>
    </w:p>
    <w:p w:rsidR="00500724" w:rsidRDefault="00F30FB8">
      <w:pPr>
        <w:pStyle w:val="Zkladntext40"/>
        <w:shd w:val="clear" w:color="auto" w:fill="auto"/>
        <w:spacing w:after="40" w:line="286" w:lineRule="auto"/>
        <w:ind w:firstLine="220"/>
        <w:rPr>
          <w:sz w:val="14"/>
          <w:szCs w:val="14"/>
        </w:rPr>
      </w:pPr>
      <w:r>
        <w:rPr>
          <w:b/>
          <w:bCs/>
          <w:sz w:val="14"/>
          <w:szCs w:val="14"/>
        </w:rPr>
        <w:t>O půlnoci v pátek 50. června byla — podle těchto zpráv — zahájena japonská ofensiva proti sově</w:t>
      </w:r>
      <w:r>
        <w:rPr>
          <w:b/>
          <w:bCs/>
          <w:sz w:val="14"/>
          <w:szCs w:val="14"/>
        </w:rPr>
        <w:t xml:space="preserve">tsko- mongolským posicím na severozápad od řeky Khalky, vlévající se do jezera Buir-noru, jež leží jen nedaleko místa, kde se v nebezpečném souběžníku sbíhají hranice Sovětského Svazu, Vnějšího Mongolská a Mandžukua. Silné oddíly japonské pěchoty podnikly </w:t>
      </w:r>
      <w:r>
        <w:rPr>
          <w:b/>
          <w:bCs/>
          <w:sz w:val="14"/>
          <w:szCs w:val="14"/>
        </w:rPr>
        <w:t>čelný útok na střed nepřátelské fronty, chráněný kryty. Japonské jezdectvo současně operovalo na obou křídlech u Balša- galu a Noro, zatím co části motorisované pěchoty pod</w:t>
      </w:r>
      <w:r>
        <w:rPr>
          <w:b/>
          <w:bCs/>
          <w:sz w:val="14"/>
          <w:szCs w:val="14"/>
        </w:rPr>
        <w:softHyphen/>
        <w:t>nikly obchvatný manévr. Po namáhavé akci se jim po</w:t>
      </w:r>
      <w:r>
        <w:rPr>
          <w:b/>
          <w:bCs/>
          <w:sz w:val="14"/>
          <w:szCs w:val="14"/>
        </w:rPr>
        <w:softHyphen/>
        <w:t>dařilo překročit řeku a vpadnout</w:t>
      </w:r>
      <w:r>
        <w:rPr>
          <w:b/>
          <w:bCs/>
          <w:sz w:val="14"/>
          <w:szCs w:val="14"/>
        </w:rPr>
        <w:t xml:space="preserve"> nepříteli do týla. Již v sobotu v noci byly mongolské oddíly v síle nejméně tří divisí úplně obklíčeny a jejich osud zpečetěn. Bylo zničeno i ukořistěno množství tanků a těžkých děl, celé desítky letadel byly sestřeleny.</w:t>
      </w:r>
    </w:p>
    <w:p w:rsidR="00500724" w:rsidRDefault="00F30FB8">
      <w:pPr>
        <w:pStyle w:val="Zkladntext40"/>
        <w:shd w:val="clear" w:color="auto" w:fill="auto"/>
        <w:spacing w:after="0" w:line="317" w:lineRule="auto"/>
        <w:ind w:firstLine="220"/>
        <w:rPr>
          <w:sz w:val="14"/>
          <w:szCs w:val="14"/>
        </w:rPr>
      </w:pPr>
      <w:r>
        <w:rPr>
          <w:b/>
          <w:bCs/>
          <w:sz w:val="14"/>
          <w:szCs w:val="14"/>
        </w:rPr>
        <w:t xml:space="preserve">Moskevská zpráva, vydaná dva dny </w:t>
      </w:r>
      <w:r>
        <w:rPr>
          <w:b/>
          <w:bCs/>
          <w:sz w:val="14"/>
          <w:szCs w:val="14"/>
        </w:rPr>
        <w:t>později o týchž událostech, neví zhola nic o nějakém obklíčení, mluví o odražených útocích jedné pěší japonsko-mandžuské divise a šesti pluků motorisované jízdy a o protiútocích mongolských jednotek, vítězně skončených 5. července; mongolské ztráty se odha</w:t>
      </w:r>
      <w:r>
        <w:rPr>
          <w:b/>
          <w:bCs/>
          <w:sz w:val="14"/>
          <w:szCs w:val="14"/>
        </w:rPr>
        <w:t>dují právě jen na 100 mrtvých a 200 raněných, ztráty Japonců jsou prý téměř deset</w:t>
      </w:r>
      <w:r>
        <w:rPr>
          <w:b/>
          <w:bCs/>
          <w:sz w:val="14"/>
          <w:szCs w:val="14"/>
        </w:rPr>
        <w:softHyphen/>
        <w:t>krát větší. — Jak vidět, i zde se bojuje též propagandou a tiskem. A zdá se, že také tato fronta má svoje »mrtvé«; z Ulan-Batoru se aspoň hlásí, že byl narychlo odvolán tisko</w:t>
      </w:r>
      <w:r>
        <w:rPr>
          <w:b/>
          <w:bCs/>
          <w:sz w:val="14"/>
          <w:szCs w:val="14"/>
        </w:rPr>
        <w:t>vý šéf japonsko-mandžuského generálního štábu, jenž si prý navykl poněkud předčasně ohlašovali vítězství.</w:t>
      </w:r>
    </w:p>
    <w:p w:rsidR="00500724" w:rsidRDefault="00F30FB8">
      <w:pPr>
        <w:pStyle w:val="Zkladntext40"/>
        <w:shd w:val="clear" w:color="auto" w:fill="auto"/>
        <w:spacing w:line="286" w:lineRule="auto"/>
        <w:jc w:val="center"/>
        <w:rPr>
          <w:sz w:val="14"/>
          <w:szCs w:val="14"/>
        </w:rPr>
      </w:pPr>
      <w:r>
        <w:rPr>
          <w:b/>
          <w:bCs/>
          <w:sz w:val="14"/>
          <w:szCs w:val="14"/>
        </w:rPr>
        <w:t>•</w:t>
      </w:r>
    </w:p>
    <w:p w:rsidR="00500724" w:rsidRDefault="00F30FB8">
      <w:pPr>
        <w:pStyle w:val="Zkladntext40"/>
        <w:shd w:val="clear" w:color="auto" w:fill="auto"/>
        <w:spacing w:after="0" w:line="317" w:lineRule="auto"/>
        <w:ind w:firstLine="220"/>
        <w:rPr>
          <w:sz w:val="14"/>
          <w:szCs w:val="14"/>
        </w:rPr>
      </w:pPr>
      <w:r>
        <w:rPr>
          <w:b/>
          <w:bCs/>
          <w:sz w:val="14"/>
          <w:szCs w:val="14"/>
        </w:rPr>
        <w:t>Poplašné zprávy z mandžuského pohraničí nejsou letošní novinkou; drobné incidenty se odtamtud ohlašují téměř nepřetržitě, závažnější jsou oznamovány</w:t>
      </w:r>
      <w:r>
        <w:rPr>
          <w:b/>
          <w:bCs/>
          <w:sz w:val="14"/>
          <w:szCs w:val="14"/>
        </w:rPr>
        <w:t xml:space="preserve"> s urči</w:t>
      </w:r>
      <w:r>
        <w:rPr>
          <w:b/>
          <w:bCs/>
          <w:sz w:val="14"/>
          <w:szCs w:val="14"/>
        </w:rPr>
        <w:softHyphen/>
        <w:t>tou pravidelností vždycky uprostřed léta. Zvláště červe</w:t>
      </w:r>
      <w:r>
        <w:rPr>
          <w:b/>
          <w:bCs/>
          <w:sz w:val="14"/>
          <w:szCs w:val="14"/>
        </w:rPr>
        <w:softHyphen/>
        <w:t>nec se zdá být kritickým měsícem těchto končin Dálné</w:t>
      </w:r>
      <w:r>
        <w:rPr>
          <w:b/>
          <w:bCs/>
          <w:sz w:val="14"/>
          <w:szCs w:val="14"/>
        </w:rPr>
        <w:softHyphen/>
        <w:t>ho východu, kde v srpnu nastává jediná krátká doba dešťů.</w:t>
      </w:r>
    </w:p>
    <w:p w:rsidR="00500724" w:rsidRDefault="00F30FB8">
      <w:pPr>
        <w:pStyle w:val="Zkladntext40"/>
        <w:shd w:val="clear" w:color="auto" w:fill="auto"/>
        <w:spacing w:after="0" w:line="288" w:lineRule="auto"/>
        <w:ind w:firstLine="220"/>
        <w:rPr>
          <w:sz w:val="14"/>
          <w:szCs w:val="14"/>
        </w:rPr>
      </w:pPr>
      <w:r>
        <w:rPr>
          <w:b/>
          <w:bCs/>
          <w:sz w:val="14"/>
          <w:szCs w:val="14"/>
        </w:rPr>
        <w:t>Loni 31. července začal boj o pahorek Cankufeng, za</w:t>
      </w:r>
      <w:r>
        <w:rPr>
          <w:b/>
          <w:bCs/>
          <w:sz w:val="14"/>
          <w:szCs w:val="14"/>
        </w:rPr>
        <w:softHyphen/>
        <w:t>kreslený na všech mapách svět</w:t>
      </w:r>
      <w:r>
        <w:rPr>
          <w:b/>
          <w:bCs/>
          <w:sz w:val="14"/>
          <w:szCs w:val="14"/>
        </w:rPr>
        <w:t>a do území Dálněvýchod- ní republiky SSSR. Dva roky před tím, téměř na den řesně, byla zahájena tehdejší japonská ofensiva na řežích jezera Buir-noru. 4. července r. 1935 byl prove</w:t>
      </w:r>
      <w:r>
        <w:rPr>
          <w:b/>
          <w:bCs/>
          <w:sz w:val="14"/>
          <w:szCs w:val="14"/>
        </w:rPr>
        <w:softHyphen/>
        <w:t>den první bezúspěšný pokus prosadit japonský vliv v Mongolské lidové republ</w:t>
      </w:r>
      <w:r>
        <w:rPr>
          <w:b/>
          <w:bCs/>
          <w:sz w:val="14"/>
          <w:szCs w:val="14"/>
        </w:rPr>
        <w:t>ice vojenským nástupem, do něhož vyústily některé pohraniční srážky poměrně bez</w:t>
      </w:r>
      <w:r>
        <w:rPr>
          <w:b/>
          <w:bCs/>
          <w:sz w:val="14"/>
          <w:szCs w:val="14"/>
        </w:rPr>
        <w:softHyphen/>
        <w:t xml:space="preserve">významného rázu. A v dobách, jež předcházely utvoření mandžuského císařství, zahájil 10. července 1929 maršál Čansueljan násilnou okupaci sovětské východočínské železnice, jež </w:t>
      </w:r>
      <w:r>
        <w:rPr>
          <w:b/>
          <w:bCs/>
          <w:sz w:val="14"/>
          <w:szCs w:val="14"/>
        </w:rPr>
        <w:t>skončila teprve po čtyřměsíčním zápase</w:t>
      </w:r>
    </w:p>
    <w:p w:rsidR="00500724" w:rsidRDefault="00F30FB8">
      <w:pPr>
        <w:pStyle w:val="Zkladntext40"/>
        <w:shd w:val="clear" w:color="auto" w:fill="auto"/>
        <w:spacing w:after="0" w:line="288" w:lineRule="auto"/>
        <w:jc w:val="left"/>
        <w:rPr>
          <w:sz w:val="14"/>
          <w:szCs w:val="14"/>
        </w:rPr>
      </w:pPr>
      <w:r>
        <w:rPr>
          <w:b/>
          <w:bCs/>
          <w:sz w:val="14"/>
          <w:szCs w:val="14"/>
        </w:rPr>
        <w:t>porážkou útočníkovy armády.</w:t>
      </w:r>
    </w:p>
    <w:p w:rsidR="00500724" w:rsidRDefault="00F30FB8">
      <w:pPr>
        <w:pStyle w:val="Zkladntext40"/>
        <w:shd w:val="clear" w:color="auto" w:fill="auto"/>
        <w:spacing w:after="0" w:line="286" w:lineRule="auto"/>
        <w:ind w:firstLine="220"/>
        <w:rPr>
          <w:sz w:val="14"/>
          <w:szCs w:val="14"/>
        </w:rPr>
      </w:pPr>
      <w:r>
        <w:rPr>
          <w:b/>
          <w:bCs/>
          <w:sz w:val="14"/>
          <w:szCs w:val="14"/>
        </w:rPr>
        <w:t>Před čtyřmi lety byly cíle japonské politiky vo Vnějším Mongolsku celkem skromné. Tokio žádalo jen dosazení představitele japonské vlády v Ulan-Batoru a zřízení přímého telegrafního spojení</w:t>
      </w:r>
      <w:r>
        <w:rPr>
          <w:b/>
          <w:bCs/>
          <w:sz w:val="14"/>
          <w:szCs w:val="14"/>
        </w:rPr>
        <w:t xml:space="preserve"> z mandžuského Hsinkingu k němu; tehdejší ultimatum bylo mongolskou vládou odmítnuto — je snad letos možno očekávat no</w:t>
      </w:r>
      <w:r>
        <w:rPr>
          <w:b/>
          <w:bCs/>
          <w:sz w:val="14"/>
          <w:szCs w:val="14"/>
        </w:rPr>
        <w:softHyphen/>
        <w:t>vou notu, která by chtěla už radikálněji zasáhnout do osudů Vnějšího Mongolská?</w:t>
      </w:r>
    </w:p>
    <w:p w:rsidR="00500724" w:rsidRDefault="00F30FB8">
      <w:pPr>
        <w:pStyle w:val="Zkladntext40"/>
        <w:shd w:val="clear" w:color="auto" w:fill="auto"/>
        <w:spacing w:after="0" w:line="286" w:lineRule="auto"/>
        <w:ind w:firstLine="220"/>
        <w:rPr>
          <w:sz w:val="14"/>
          <w:szCs w:val="14"/>
        </w:rPr>
      </w:pPr>
      <w:r>
        <w:rPr>
          <w:b/>
          <w:bCs/>
          <w:sz w:val="14"/>
          <w:szCs w:val="14"/>
        </w:rPr>
        <w:t>&gt;Samostatnost« tohoto státu s necelým milionem oby</w:t>
      </w:r>
      <w:r>
        <w:rPr>
          <w:b/>
          <w:bCs/>
          <w:sz w:val="14"/>
          <w:szCs w:val="14"/>
        </w:rPr>
        <w:softHyphen/>
        <w:t>vatelů</w:t>
      </w:r>
      <w:r>
        <w:rPr>
          <w:b/>
          <w:bCs/>
          <w:sz w:val="14"/>
          <w:szCs w:val="14"/>
        </w:rPr>
        <w:t>, roztroušeně kočujících na stepích o ploše 1423 km</w:t>
      </w:r>
      <w:r>
        <w:rPr>
          <w:b/>
          <w:bCs/>
          <w:sz w:val="14"/>
          <w:szCs w:val="14"/>
          <w:vertAlign w:val="superscript"/>
        </w:rPr>
        <w:t>2</w:t>
      </w:r>
      <w:r>
        <w:rPr>
          <w:b/>
          <w:bCs/>
          <w:sz w:val="14"/>
          <w:szCs w:val="14"/>
        </w:rPr>
        <w:t>, se datuje od r. 1911. Tenkrát se Mongolsko odtrhlo od Cíny s vydatnou pomocí carské vlády, která pomohla v zemi k vítězství feudálním silám kmenových knížat a lámů, jejichž »chuchtovi« zjednala v Urze v</w:t>
      </w:r>
      <w:r>
        <w:rPr>
          <w:b/>
          <w:bCs/>
          <w:sz w:val="14"/>
          <w:szCs w:val="14"/>
        </w:rPr>
        <w:t>ládní autoritu. Avšak již v r. 1919 se Čína znovu zmocnila Urgy a učinila konec chuchtově panství. Do dvou let způsobil nový obrat šíleně odvážný útok barona Ungern- Sternberga, jehož tisíc dobrodruhů porazilo mnoho</w:t>
      </w:r>
      <w:r>
        <w:rPr>
          <w:b/>
          <w:bCs/>
          <w:sz w:val="14"/>
          <w:szCs w:val="14"/>
        </w:rPr>
        <w:softHyphen/>
        <w:t>násobnou čínskou přesilu a vztyčilo v Ur</w:t>
      </w:r>
      <w:r>
        <w:rPr>
          <w:b/>
          <w:bCs/>
          <w:sz w:val="14"/>
          <w:szCs w:val="14"/>
        </w:rPr>
        <w:t>ze carské pra</w:t>
      </w:r>
      <w:r>
        <w:rPr>
          <w:b/>
          <w:bCs/>
          <w:sz w:val="14"/>
          <w:szCs w:val="14"/>
        </w:rPr>
        <w:softHyphen/>
        <w:t>pory. To bylo v únoru 1921 — v létě téhož roku přišla sem sovětská rudá armáda, Urga se proměnila v Ulan- Bator (Rudý bohatýr) a Vnější Mongolsko v Lidovou republiku mongolskou.</w:t>
      </w:r>
    </w:p>
    <w:p w:rsidR="00500724" w:rsidRDefault="00F30FB8">
      <w:pPr>
        <w:pStyle w:val="Zkladntext40"/>
        <w:shd w:val="clear" w:color="auto" w:fill="auto"/>
        <w:spacing w:after="0" w:line="286" w:lineRule="auto"/>
        <w:ind w:firstLine="220"/>
        <w:rPr>
          <w:sz w:val="14"/>
          <w:szCs w:val="14"/>
        </w:rPr>
      </w:pPr>
      <w:r>
        <w:rPr>
          <w:b/>
          <w:bCs/>
          <w:sz w:val="14"/>
          <w:szCs w:val="14"/>
        </w:rPr>
        <w:t>Je pochybno, může-li dnes někoho lákat nerostné bo</w:t>
      </w:r>
      <w:r>
        <w:rPr>
          <w:b/>
          <w:bCs/>
          <w:sz w:val="14"/>
          <w:szCs w:val="14"/>
        </w:rPr>
        <w:softHyphen/>
        <w:t>hatství mongo</w:t>
      </w:r>
      <w:r>
        <w:rPr>
          <w:b/>
          <w:bCs/>
          <w:sz w:val="14"/>
          <w:szCs w:val="14"/>
        </w:rPr>
        <w:t>lské republiky, třebas tu jsou značné zá</w:t>
      </w:r>
      <w:r>
        <w:rPr>
          <w:b/>
          <w:bCs/>
          <w:sz w:val="14"/>
          <w:szCs w:val="14"/>
        </w:rPr>
        <w:softHyphen/>
        <w:t>soby uhlí, železa, mědi, olova, niklu a třebas se tu v ne</w:t>
      </w:r>
      <w:r>
        <w:rPr>
          <w:b/>
          <w:bCs/>
          <w:sz w:val="14"/>
          <w:szCs w:val="14"/>
        </w:rPr>
        <w:softHyphen/>
        <w:t>malé míře vyskytuje zlato, stříbro, wolfram a rtuť. Japonsko by toho všeho mělo dost v Mandžukuu, jen kdyby mělo i dost kapitálu, potřebného k těžbě. Avšak s</w:t>
      </w:r>
      <w:r>
        <w:rPr>
          <w:b/>
          <w:bCs/>
          <w:sz w:val="14"/>
          <w:szCs w:val="14"/>
        </w:rPr>
        <w:t xml:space="preserve">trategický význam Vnějšího Mongolská je veliký a bezprostřední. Tudy vedou cesty ze sovětské Sibiře: mít je ve své moci by znamenalo znemožnit ^dopravu zbraní z SSSR pro Čankajšeka čili podstatně zkrátit válku v Číně. To by bylo neobyčejně důležito už pro </w:t>
      </w:r>
      <w:r>
        <w:rPr>
          <w:b/>
          <w:bCs/>
          <w:sz w:val="14"/>
          <w:szCs w:val="14"/>
        </w:rPr>
        <w:t>dnešek; pro zítřek by po případě mohlo být ještě důležitější použít těchže cest opačným směrem: do</w:t>
      </w:r>
    </w:p>
    <w:p w:rsidR="00500724" w:rsidRDefault="00F30FB8">
      <w:pPr>
        <w:pStyle w:val="Zkladntext1"/>
        <w:shd w:val="clear" w:color="auto" w:fill="auto"/>
        <w:spacing w:line="211" w:lineRule="auto"/>
        <w:ind w:firstLine="0"/>
      </w:pPr>
      <w:r>
        <w:t>Sibiře, kam lze po nich proniknout až na západ od Bajkalu a přetnout tepnu sibiřské magistrály daleko od Vladivostoku.</w:t>
      </w:r>
    </w:p>
    <w:p w:rsidR="00500724" w:rsidRDefault="00F30FB8">
      <w:pPr>
        <w:pStyle w:val="Zkladntext1"/>
        <w:shd w:val="clear" w:color="auto" w:fill="auto"/>
        <w:spacing w:after="220" w:line="211" w:lineRule="auto"/>
        <w:ind w:firstLine="240"/>
      </w:pPr>
      <w:r>
        <w:t xml:space="preserve">ještě loni v červenci byly boje </w:t>
      </w:r>
      <w:r>
        <w:t>rozpoutány na cestě, vedoucí přes Čankufeng do Vladivostoku a ležící na sovětském území; letos se — aspoň zatím — bojuje jen v mongolském pohraničí a severní břeh řeky Khalky patří ještě k Mandžukuu. Loňského července »rc- kognoskovaly« obě strany svoje sí</w:t>
      </w:r>
      <w:r>
        <w:t>ly na svazích Čanku- fengu s výsledkem, který v nich obou utvrdil přesvěd</w:t>
      </w:r>
      <w:r>
        <w:softHyphen/>
        <w:t>čení, že »ten druhý« se neodhodlá k válce. Od té doby je moskevská politika vůči Japonsku hodně bezohled</w:t>
      </w:r>
      <w:r>
        <w:softHyphen/>
        <w:t>ná; nechce mu vyhovět ve věci rybolovu v sovětských teritoriálních vodách a d</w:t>
      </w:r>
      <w:r>
        <w:t>ělá mu potíže v uhelných a naftových koncesích na severním Sachalinu. To obojí je pro Sovětský Svaz bezvýznamnou bagatelou, pro Japonsko však životním zájmem — v Tokiu si takovou politiku vykládají jako zlou vůli, velmi ostentativně zdůrazněnou také jednos</w:t>
      </w:r>
      <w:r>
        <w:t>tranným přerušením diploma</w:t>
      </w:r>
      <w:r>
        <w:softHyphen/>
        <w:t>tických vztahů.</w:t>
      </w:r>
    </w:p>
    <w:p w:rsidR="00500724" w:rsidRDefault="00F30FB8">
      <w:pPr>
        <w:pStyle w:val="Zkladntext1"/>
        <w:shd w:val="clear" w:color="auto" w:fill="auto"/>
        <w:spacing w:line="211" w:lineRule="auto"/>
        <w:ind w:firstLine="240"/>
      </w:pPr>
      <w:r>
        <w:t>I za těchto okolností by však bylo omylem představo</w:t>
      </w:r>
      <w:r>
        <w:softHyphen/>
        <w:t>vat si, že se bojovné akce na mongolských hranicích roz</w:t>
      </w:r>
      <w:r>
        <w:softHyphen/>
        <w:t>víjejí záměrně podle směrnic pověstného Tanakova plá</w:t>
      </w:r>
      <w:r>
        <w:softHyphen/>
        <w:t>nu. V hlavách důstojníků, kteří mají v neutěšených g</w:t>
      </w:r>
      <w:r>
        <w:t>arnisonách uprostřed stepí dost času snít samurajský sen o Asii, sjednocené pod vlajkou s vycházejícím slun</w:t>
      </w:r>
      <w:r>
        <w:softHyphen/>
        <w:t>cem, se ovšem nepochybně udržují velmi živé představy o tom, co všechno by bylo třeba vykonat k dobytí a za</w:t>
      </w:r>
      <w:r>
        <w:softHyphen/>
        <w:t>jištění japonského životního prostoru. T</w:t>
      </w:r>
      <w:r>
        <w:t>okijští politiko</w:t>
      </w:r>
      <w:r>
        <w:softHyphen/>
        <w:t>vé krotí přílišnou nedočkavost vojáků, i když se s nimi jinak shodnou v přesvědčení, že Vnější Mongolsko je nejvhodnějším nástupištěm k ofensivě na Bajkalské jezero a sibiřskou magistrálu. Moudrý lišák si však do</w:t>
      </w:r>
      <w:r>
        <w:softHyphen/>
        <w:t>vede říci, že určité hrozn</w:t>
      </w:r>
      <w:r>
        <w:t>y bývají někdy kyselé.</w:t>
      </w:r>
    </w:p>
    <w:p w:rsidR="00500724" w:rsidRDefault="00F30FB8">
      <w:pPr>
        <w:pStyle w:val="Zkladntext1"/>
        <w:shd w:val="clear" w:color="auto" w:fill="auto"/>
        <w:spacing w:line="209" w:lineRule="auto"/>
        <w:ind w:firstLine="240"/>
      </w:pPr>
      <w:r>
        <w:t xml:space="preserve">A tak se v těchto končinách, kde má lidský život ještě mnohem menší cenu než v naší Evropě, snadno rodí incidenty a stupňují se ve vážné konflikty i mimo rámec cílevědomě sledovaných plánů. Z ostatního světa nevede do pustin kolem </w:t>
      </w:r>
      <w:r>
        <w:t>Buir-noru dost převodů, aby se mohlo myslet na tajné a přímé souvislosti mongolských srážek s událostmi v evropských nebo asijských centrech. Leckdo si už spočítal, že první zprávy o nich přišly letos dost brzy po zahájení britské obkličovací politiky, a p</w:t>
      </w:r>
      <w:r>
        <w:t>očtáři ještě bedlivější dovedou snad na den vřadit ohlas Molotovovy řeči, Strangova příjezdu do Moskvy nebo vyhlášení blokády Tiencinu do řetězu bitev v mon</w:t>
      </w:r>
      <w:r>
        <w:softHyphen/>
        <w:t>golském pohraničí. Přes to lze sotva mluvit o nějaké přímé souvislosti. Věc je tu trochu jiná: všec</w:t>
      </w:r>
      <w:r>
        <w:t>hny ohlasy velké politiky nepůsobí zde jako rozvážené podněty k centrálně řízené a záměrně stupňované akci, nýbrž jako další impulsy k podrážděným činům. K činům, jež nejsou usměrňovány z politického ústředí, nýbrž tryskají z místních středisek, reagujícíc</w:t>
      </w:r>
      <w:r>
        <w:t>h na místní pří</w:t>
      </w:r>
      <w:r>
        <w:softHyphen/>
        <w:t>činy — ovšem v napětí, rostoucím v tempu rozhodují</w:t>
      </w:r>
      <w:r>
        <w:softHyphen/>
        <w:t>cích událostí celého ostatního světa.</w:t>
      </w:r>
    </w:p>
    <w:p w:rsidR="00500724" w:rsidRDefault="00F30FB8">
      <w:pPr>
        <w:pStyle w:val="Zkladntext1"/>
        <w:shd w:val="clear" w:color="auto" w:fill="auto"/>
        <w:spacing w:line="209" w:lineRule="auto"/>
        <w:ind w:firstLine="240"/>
      </w:pPr>
      <w:r>
        <w:t>Tento pořád ještě lokální ráz srážek na mongolských hranicích snižuje jejich bezprostřední význam; boj dvou divisí na březích řeky Khalky není tak nebe</w:t>
      </w:r>
      <w:r>
        <w:t>zpečný pro světový mír, jako by byla přestřelka dvou finančních hlídek kdesi v Evropě.</w:t>
      </w:r>
    </w:p>
    <w:p w:rsidR="00500724" w:rsidRDefault="00F30FB8">
      <w:pPr>
        <w:pStyle w:val="Zkladntext1"/>
        <w:shd w:val="clear" w:color="auto" w:fill="auto"/>
        <w:spacing w:after="180" w:line="209" w:lineRule="auto"/>
        <w:ind w:firstLine="240"/>
      </w:pPr>
      <w:r>
        <w:t>Pro budoucnost, po případě nepříliš vzdálenou, je však nebezpečí právě v nedostatečném politickém zapojení vojenských akcí, jaké přirozeně charakterisuje podniky místníc</w:t>
      </w:r>
      <w:r>
        <w:t>h velitelů, jen dodatečně schvalované adřízenými instancemi. Centrálně řízené akce se mo- ou rozvíjet nebo brzdit v rámci sledovaných cílů; bez</w:t>
      </w:r>
      <w:r>
        <w:softHyphen/>
        <w:t>prostřední reakce na místní podněty dostávají však snadno tendenci vzrůstat ve svém spádu jako lavina. Na jednom</w:t>
      </w:r>
      <w:r>
        <w:t xml:space="preserve"> místě neprojeví banda několika lupičů do</w:t>
      </w:r>
      <w:r>
        <w:softHyphen/>
        <w:t>statečný respekt ke státním hranicím, přepadne vesnicí na jejich druhé straně a stáhne se zase zpátky; o dva dny později ji tam stihá četa trestné expedice. Ta na</w:t>
      </w:r>
      <w:r>
        <w:softHyphen/>
        <w:t>razí na nepřátelské přední hlídky více méně pravide</w:t>
      </w:r>
      <w:r>
        <w:t>l</w:t>
      </w:r>
      <w:r>
        <w:softHyphen/>
        <w:t>ného vojska a je zahnána; přivolá si posily a opakuje svůj pokus s větším úspěchem. Nepřítel vyšle do boje několik stíhaček, odpovědí bůde nálet bombardovacích letounů na jeho zázemí. Do operací zasáhnou první tan</w:t>
      </w:r>
      <w:r>
        <w:softHyphen/>
        <w:t>ky, sousední posádky vypraví motorisovan</w:t>
      </w:r>
      <w:r>
        <w:t>é oddíly. Čety vyrostou na prapory, prapory na pluky — a poslední zprávy od řeky Khalky hlásí už bitvu celých divisí. Co lze potom očekávut pro příští týdny?</w:t>
      </w:r>
    </w:p>
    <w:p w:rsidR="00500724" w:rsidRDefault="00F30FB8">
      <w:pPr>
        <w:pStyle w:val="Zkladntext1"/>
        <w:shd w:val="clear" w:color="auto" w:fill="auto"/>
        <w:spacing w:line="209" w:lineRule="auto"/>
      </w:pPr>
      <w:r>
        <w:t>Už několik let stojí proti sobě na Dálném východě dvě veliké armády, vydražďované neustálými potýč</w:t>
      </w:r>
      <w:r>
        <w:t>kami: poslední vzdechy umírajících kamarádů nejsou nejlepší výzvou k umírněnosti. Jejich hlasy ovšem nepronikají až do politických centrál, kde se rozhodování řídí méně sentimentálními zřeteli. Pokud je jen jedna z obou velmocí angažována jinde, potud je p</w:t>
      </w:r>
      <w:r>
        <w:t>ořád ještě naděje, že požár nepřeskočí sibiřskou hranici. V Tokiu musí za takových okolností převládnout zdrželivost vůči Rusku, zatím co v Moskvě mohou počítat s tím, že pro ně nej</w:t>
      </w:r>
      <w:r>
        <w:softHyphen/>
        <w:t>lépe pracuje čas sám, vyčerpávající síly velikého sou</w:t>
      </w:r>
      <w:r>
        <w:softHyphen/>
        <w:t>peře v nekonečných p</w:t>
      </w:r>
      <w:r>
        <w:t>rostorech Číny. Situace se tu však mění tou měrou, jak evropská »válka nervů« hrozí přejít v otevřený konflikt zbraní.</w:t>
      </w:r>
    </w:p>
    <w:p w:rsidR="00500724" w:rsidRDefault="00F30FB8">
      <w:pPr>
        <w:pStyle w:val="Zkladntext1"/>
        <w:shd w:val="clear" w:color="auto" w:fill="auto"/>
        <w:spacing w:line="209" w:lineRule="auto"/>
      </w:pPr>
      <w:r>
        <w:t>Prozatím má napětí na mongolských hranicích především svoje vlastní zákony, nepříliš poslušné vzdá</w:t>
      </w:r>
      <w:r>
        <w:softHyphen/>
        <w:t>lených ústředních vůlí politických čin</w:t>
      </w:r>
      <w:r>
        <w:t>itelů. Je na obou stranách ovládáno základním příkazem: za žádných okolností neukázat slabost — čím černější noc, tím hlasitěji pískat. Tento příkaz diktuje velitelům ma</w:t>
      </w:r>
      <w:r>
        <w:softHyphen/>
        <w:t>lých úseků kolem Buir-noru nebo na Čankufengu jejich bojové disposice. V měřítku celýc</w:t>
      </w:r>
      <w:r>
        <w:t>h kontinentů může týž příkaz přimět tokijské politiky k tomu, aby dali obsadit tři další smluvní přístavy v Číně, jakmile se rozhodli k experimentu s blokádou anglo-francouzské koncese v Tiencinu; a aby — při nejmenším — dovolili vystup</w:t>
      </w:r>
      <w:r>
        <w:softHyphen/>
        <w:t>ňovat vojenské akce</w:t>
      </w:r>
      <w:r>
        <w:t xml:space="preserve"> i v sousedství Ruska ve chvíli, kdy se octli ve vážném konfliktu s Velkou Britanii.</w:t>
      </w:r>
    </w:p>
    <w:p w:rsidR="00500724" w:rsidRDefault="00F30FB8">
      <w:pPr>
        <w:pStyle w:val="Zkladntext1"/>
        <w:shd w:val="clear" w:color="auto" w:fill="auto"/>
        <w:spacing w:after="240" w:line="211" w:lineRule="auto"/>
      </w:pPr>
      <w:r>
        <w:t xml:space="preserve">Nebof svět je dnes tak malý, že mezinárodní politika pracuje jakoby v systému spojitých nádob. Loni touto dobou napsala novoyorská »The </w:t>
      </w:r>
      <w:r>
        <w:rPr>
          <w:lang w:val="en-US" w:eastAsia="en-US" w:bidi="en-US"/>
        </w:rPr>
        <w:t xml:space="preserve">new </w:t>
      </w:r>
      <w:r>
        <w:t>Republic« v sou</w:t>
      </w:r>
      <w:r>
        <w:softHyphen/>
        <w:t>vislosti s boji</w:t>
      </w:r>
      <w:r>
        <w:t xml:space="preserve"> na Čankufengu: »Na Dálném východě je druhý jícen sopky, jejíž první nebezpečný kráter leží na hranicích Česhoslovenských.« Dnes by se nabízela obdobná metafora s nebezpečím krvavé zátopy, hrozí</w:t>
      </w:r>
      <w:r>
        <w:softHyphen/>
        <w:t xml:space="preserve">cím na jednom konci světa od břehů Visly, na druhém od břehů </w:t>
      </w:r>
      <w:r>
        <w:t xml:space="preserve">řeky Khalky. Jenže letos už možná nebude tak snadno zachránit loňskými metodami pověstnou </w:t>
      </w:r>
      <w:r>
        <w:rPr>
          <w:lang w:val="en-US" w:eastAsia="en-US" w:bidi="en-US"/>
        </w:rPr>
        <w:t xml:space="preserve">Chamber! </w:t>
      </w:r>
      <w:r>
        <w:t>ainovu kytičku míru.</w:t>
      </w:r>
    </w:p>
    <w:p w:rsidR="00500724" w:rsidRDefault="00F30FB8">
      <w:pPr>
        <w:pStyle w:val="Jin0"/>
        <w:shd w:val="clear" w:color="auto" w:fill="auto"/>
        <w:spacing w:after="180"/>
        <w:ind w:firstLine="0"/>
        <w:jc w:val="left"/>
        <w:rPr>
          <w:sz w:val="44"/>
          <w:szCs w:val="44"/>
        </w:rPr>
      </w:pPr>
      <w:r>
        <w:rPr>
          <w:b/>
          <w:bCs/>
          <w:sz w:val="44"/>
          <w:szCs w:val="44"/>
          <w:u w:val="single"/>
        </w:rPr>
        <w:t>národní hospodář</w:t>
      </w:r>
    </w:p>
    <w:p w:rsidR="00500724" w:rsidRDefault="00F30FB8">
      <w:pPr>
        <w:pStyle w:val="Zkladntext1"/>
        <w:shd w:val="clear" w:color="auto" w:fill="auto"/>
        <w:ind w:firstLine="0"/>
        <w:rPr>
          <w:sz w:val="20"/>
          <w:szCs w:val="20"/>
        </w:rPr>
      </w:pPr>
      <w:r>
        <w:rPr>
          <w:i/>
          <w:iCs/>
          <w:sz w:val="20"/>
          <w:szCs w:val="20"/>
        </w:rPr>
        <w:t>V. St.:</w:t>
      </w:r>
    </w:p>
    <w:p w:rsidR="00500724" w:rsidRDefault="00F30FB8">
      <w:pPr>
        <w:pStyle w:val="Nadpis100"/>
        <w:shd w:val="clear" w:color="auto" w:fill="auto"/>
        <w:spacing w:after="60" w:line="221" w:lineRule="auto"/>
        <w:ind w:left="300"/>
        <w:jc w:val="left"/>
      </w:pPr>
      <w:bookmarkStart w:id="703" w:name="bookmark702"/>
      <w:r>
        <w:t>Světová situace hospodářská</w:t>
      </w:r>
      <w:bookmarkEnd w:id="703"/>
    </w:p>
    <w:p w:rsidR="00500724" w:rsidRDefault="00F30FB8">
      <w:pPr>
        <w:pStyle w:val="Zkladntext1"/>
        <w:shd w:val="clear" w:color="auto" w:fill="auto"/>
        <w:spacing w:after="60" w:line="223" w:lineRule="auto"/>
        <w:ind w:firstLine="0"/>
        <w:jc w:val="center"/>
        <w:rPr>
          <w:sz w:val="18"/>
          <w:szCs w:val="18"/>
        </w:rPr>
      </w:pPr>
      <w:r>
        <w:rPr>
          <w:sz w:val="18"/>
          <w:szCs w:val="18"/>
        </w:rPr>
        <w:t>Hospodářství a zbrojení</w:t>
      </w:r>
    </w:p>
    <w:p w:rsidR="00500724" w:rsidRDefault="00F30FB8">
      <w:pPr>
        <w:pStyle w:val="Zkladntext1"/>
        <w:shd w:val="clear" w:color="auto" w:fill="auto"/>
        <w:spacing w:line="223" w:lineRule="auto"/>
        <w:rPr>
          <w:sz w:val="18"/>
          <w:szCs w:val="18"/>
        </w:rPr>
      </w:pPr>
      <w:r>
        <w:rPr>
          <w:sz w:val="18"/>
          <w:szCs w:val="18"/>
        </w:rPr>
        <w:t>Každý rok předkládá ředitel Mezinárodního úřadu práce soubo</w:t>
      </w:r>
      <w:r>
        <w:rPr>
          <w:sz w:val="18"/>
          <w:szCs w:val="18"/>
        </w:rPr>
        <w:t>rnou zprávu o světové hospodářské a sociální situaci Mezinárodní konferenci práce. Zpráva z letošního května je prvá zpráva nového ředitele této instituce, Američana Johna G. Winanía. Nejzajímavější je jím po</w:t>
      </w:r>
      <w:r>
        <w:rPr>
          <w:sz w:val="18"/>
          <w:szCs w:val="18"/>
        </w:rPr>
        <w:softHyphen/>
        <w:t>depsaný úvod, který začíná slovy: »Ve chvíli, k</w:t>
      </w:r>
      <w:r>
        <w:rPr>
          <w:sz w:val="18"/>
          <w:szCs w:val="18"/>
        </w:rPr>
        <w:t>dy vám předkládám tuto zprávu, obzor mezinárodní politické si</w:t>
      </w:r>
      <w:r>
        <w:rPr>
          <w:sz w:val="18"/>
          <w:szCs w:val="18"/>
        </w:rPr>
        <w:softHyphen/>
        <w:t>tuace se rozhodně nevyjasňuje, je tudíž pochopitelné, že výsledky, dosažené Mezinárodní Organisaci Práce v po</w:t>
      </w:r>
      <w:r>
        <w:rPr>
          <w:sz w:val="18"/>
          <w:szCs w:val="18"/>
        </w:rPr>
        <w:softHyphen/>
        <w:t>sledních dvanácti měsících jsou nedostatečné#.</w:t>
      </w:r>
    </w:p>
    <w:p w:rsidR="00500724" w:rsidRDefault="00F30FB8">
      <w:pPr>
        <w:pStyle w:val="Zkladntext1"/>
        <w:shd w:val="clear" w:color="auto" w:fill="auto"/>
        <w:spacing w:after="60" w:line="223" w:lineRule="auto"/>
        <w:rPr>
          <w:sz w:val="18"/>
          <w:szCs w:val="18"/>
        </w:rPr>
        <w:sectPr w:rsidR="00500724">
          <w:footnotePr>
            <w:numFmt w:val="chicago"/>
            <w:numRestart w:val="eachPage"/>
          </w:footnotePr>
          <w:type w:val="continuous"/>
          <w:pgSz w:w="11909" w:h="16834"/>
          <w:pgMar w:top="1169" w:right="947" w:bottom="1020" w:left="572" w:header="0" w:footer="3" w:gutter="0"/>
          <w:cols w:num="2" w:space="109"/>
          <w:noEndnote/>
          <w:docGrid w:linePitch="360"/>
        </w:sectPr>
      </w:pPr>
      <w:r>
        <w:rPr>
          <w:sz w:val="18"/>
          <w:szCs w:val="18"/>
        </w:rPr>
        <w:t xml:space="preserve">Z </w:t>
      </w:r>
      <w:r>
        <w:rPr>
          <w:sz w:val="18"/>
          <w:szCs w:val="18"/>
        </w:rPr>
        <w:t>velkých mocností přistoupily sice v posledních letech’ do této mezistátní sociálně politické organisace Spojené Státy severoamerické a Sovětské Rusko, ale vystoupilo Ně</w:t>
      </w:r>
      <w:r>
        <w:rPr>
          <w:sz w:val="18"/>
          <w:szCs w:val="18"/>
        </w:rPr>
        <w:softHyphen/>
        <w:t>mecko, Itálie a Japonsko. Je tudíž tato světová organisace</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833" w:right="728" w:bottom="484" w:left="814" w:header="0" w:footer="3" w:gutter="0"/>
          <w:cols w:space="720"/>
          <w:noEndnote/>
          <w:docGrid w:linePitch="360"/>
        </w:sectPr>
      </w:pPr>
      <w:bookmarkStart w:id="704" w:name="bookmark703"/>
      <w:r>
        <w:rPr>
          <w:rFonts w:ascii="Times New Roman" w:eastAsia="Times New Roman" w:hAnsi="Times New Roman" w:cs="Times New Roman"/>
        </w:rPr>
        <w:t>Př</w:t>
      </w:r>
      <w:r>
        <w:rPr>
          <w:rFonts w:ascii="Times New Roman" w:eastAsia="Times New Roman" w:hAnsi="Times New Roman" w:cs="Times New Roman"/>
        </w:rPr>
        <w:t>ítomnosti</w:t>
      </w:r>
      <w:bookmarkEnd w:id="704"/>
    </w:p>
    <w:p w:rsidR="00500724" w:rsidRDefault="00500724">
      <w:pPr>
        <w:spacing w:line="72" w:lineRule="exact"/>
        <w:rPr>
          <w:sz w:val="6"/>
          <w:szCs w:val="6"/>
        </w:rPr>
      </w:pPr>
    </w:p>
    <w:p w:rsidR="00500724" w:rsidRDefault="00500724">
      <w:pPr>
        <w:spacing w:line="14" w:lineRule="exact"/>
        <w:sectPr w:rsidR="00500724">
          <w:footnotePr>
            <w:numFmt w:val="chicago"/>
            <w:numRestart w:val="eachPage"/>
          </w:footnotePr>
          <w:type w:val="continuous"/>
          <w:pgSz w:w="11909" w:h="16834"/>
          <w:pgMar w:top="489" w:right="0" w:bottom="828" w:left="0" w:header="0" w:footer="3" w:gutter="0"/>
          <w:cols w:space="720"/>
          <w:noEndnote/>
          <w:docGrid w:linePitch="360"/>
        </w:sectPr>
      </w:pPr>
    </w:p>
    <w:p w:rsidR="00500724" w:rsidRDefault="00F30FB8">
      <w:pPr>
        <w:pStyle w:val="Zkladntext1"/>
        <w:shd w:val="clear" w:color="auto" w:fill="auto"/>
        <w:ind w:firstLine="0"/>
        <w:rPr>
          <w:sz w:val="18"/>
          <w:szCs w:val="18"/>
        </w:rPr>
      </w:pPr>
      <w:r>
        <w:rPr>
          <w:sz w:val="18"/>
          <w:szCs w:val="18"/>
        </w:rPr>
        <w:t>neúplná, neboť v ní chybějí tři průmyslové velmoci a sou</w:t>
      </w:r>
      <w:r>
        <w:rPr>
          <w:sz w:val="18"/>
          <w:szCs w:val="18"/>
        </w:rPr>
        <w:softHyphen/>
        <w:t xml:space="preserve">časně brání její úspěšné činnosti mezinárodní nejistota. Mezinárodní napětí přirozeně podvazuje normální chod </w:t>
      </w:r>
      <w:r>
        <w:rPr>
          <w:b/>
          <w:bCs/>
        </w:rPr>
        <w:t xml:space="preserve">a </w:t>
      </w:r>
      <w:r>
        <w:rPr>
          <w:sz w:val="18"/>
          <w:szCs w:val="18"/>
        </w:rPr>
        <w:t xml:space="preserve">rozvoj mezinárodního obchodu a ve všech </w:t>
      </w:r>
      <w:r>
        <w:rPr>
          <w:sz w:val="18"/>
          <w:szCs w:val="18"/>
        </w:rPr>
        <w:t>zúčastněných zemích snižuje životní standard širokých vrstev vystupňo</w:t>
      </w:r>
      <w:r>
        <w:rPr>
          <w:sz w:val="18"/>
          <w:szCs w:val="18"/>
        </w:rPr>
        <w:softHyphen/>
        <w:t>vané zbrojení.</w:t>
      </w:r>
    </w:p>
    <w:p w:rsidR="00500724" w:rsidRDefault="00F30FB8">
      <w:pPr>
        <w:pStyle w:val="Zkladntext1"/>
        <w:shd w:val="clear" w:color="auto" w:fill="auto"/>
        <w:spacing w:line="221" w:lineRule="auto"/>
        <w:ind w:firstLine="200"/>
        <w:rPr>
          <w:sz w:val="18"/>
          <w:szCs w:val="18"/>
        </w:rPr>
      </w:pPr>
      <w:r>
        <w:rPr>
          <w:sz w:val="18"/>
          <w:szCs w:val="18"/>
        </w:rPr>
        <w:t>Ředitel John G. Winant označuje dnešní situaci za jpředválečnou* a charakterisuje ji takto: sSoučasný stav ozbrojeného míru má řadu důsledků: zrychlení výrob</w:t>
      </w:r>
      <w:r>
        <w:rPr>
          <w:sz w:val="18"/>
          <w:szCs w:val="18"/>
        </w:rPr>
        <w:softHyphen/>
        <w:t xml:space="preserve">ního rytmu v </w:t>
      </w:r>
      <w:r>
        <w:rPr>
          <w:sz w:val="18"/>
          <w:szCs w:val="18"/>
        </w:rPr>
        <w:t>úseku válečného průmyslu, stoupající po</w:t>
      </w:r>
      <w:r>
        <w:rPr>
          <w:sz w:val="18"/>
          <w:szCs w:val="18"/>
        </w:rPr>
        <w:softHyphen/>
        <w:t>volávání mladých mužů k vojenským útvarům, klesající nabídku a stoupající poptávku po pracovních silách, rychlý vzestup veřejných výdajů a veřejného zadlužo- vání, krytí vojenských výdajů a z toho nutně plynoucí infl</w:t>
      </w:r>
      <w:r>
        <w:rPr>
          <w:sz w:val="18"/>
          <w:szCs w:val="18"/>
        </w:rPr>
        <w:t>ační zjevy, které přirozeně způsobují zdražování život</w:t>
      </w:r>
      <w:r>
        <w:rPr>
          <w:sz w:val="18"/>
          <w:szCs w:val="18"/>
        </w:rPr>
        <w:softHyphen/>
        <w:t>ních potřeb a snižují životní úroveň lidových vrstev. Čím déle trvají tyto zjevy, tím více se zesilují jejich důsledky a nastalé ztráty blíží se ztrátám způsobovaným válkou. Jaké jsou bezprostřední důs</w:t>
      </w:r>
      <w:r>
        <w:rPr>
          <w:sz w:val="18"/>
          <w:szCs w:val="18"/>
        </w:rPr>
        <w:t>ledky, pokud jde o pracovní podmínky? Snaha po zrychlení výroby vede k prodlou</w:t>
      </w:r>
      <w:r>
        <w:rPr>
          <w:sz w:val="18"/>
          <w:szCs w:val="18"/>
        </w:rPr>
        <w:softHyphen/>
        <w:t>žení pracovní doby, což má nepříznivý vliv na zdraví a bezpečnost zaměstnanců, zejména trvá-li toto přepínání delší dobu. Zákonných předpisů a ochranných ujednání kolektivních s</w:t>
      </w:r>
      <w:r>
        <w:rPr>
          <w:sz w:val="18"/>
          <w:szCs w:val="18"/>
        </w:rPr>
        <w:t>mluv není dbáno nejen pokud jde o do</w:t>
      </w:r>
      <w:r>
        <w:rPr>
          <w:sz w:val="18"/>
          <w:szCs w:val="18"/>
        </w:rPr>
        <w:softHyphen/>
        <w:t>spělé muže, ale i pokud jde o zaměstnávání žen a mla</w:t>
      </w:r>
      <w:r>
        <w:rPr>
          <w:sz w:val="18"/>
          <w:szCs w:val="18"/>
        </w:rPr>
        <w:softHyphen/>
        <w:t>distvých*.</w:t>
      </w:r>
    </w:p>
    <w:p w:rsidR="00500724" w:rsidRDefault="00F30FB8">
      <w:pPr>
        <w:pStyle w:val="Zkladntext1"/>
        <w:shd w:val="clear" w:color="auto" w:fill="auto"/>
        <w:spacing w:line="221" w:lineRule="auto"/>
        <w:ind w:firstLine="200"/>
        <w:rPr>
          <w:sz w:val="18"/>
          <w:szCs w:val="18"/>
        </w:rPr>
      </w:pPr>
      <w:r>
        <w:rPr>
          <w:sz w:val="18"/>
          <w:szCs w:val="18"/>
        </w:rPr>
        <w:t>V takové době přirozeně státy jsou stavěny před těžké problémy a především se musí připravit na těžký přelom, který vznikne při přechodu od dnešního zbrojn</w:t>
      </w:r>
      <w:r>
        <w:rPr>
          <w:sz w:val="18"/>
          <w:szCs w:val="18"/>
        </w:rPr>
        <w:t>ího hospo</w:t>
      </w:r>
      <w:r>
        <w:rPr>
          <w:sz w:val="18"/>
          <w:szCs w:val="18"/>
        </w:rPr>
        <w:softHyphen/>
        <w:t>dářství ke skutečnému mírovému a světovému hospo</w:t>
      </w:r>
      <w:r>
        <w:rPr>
          <w:sz w:val="18"/>
          <w:szCs w:val="18"/>
        </w:rPr>
        <w:softHyphen/>
        <w:t>dářství. Je nutno připravit plán, jak převést zaměstnance válečného průmyslu do normální výroby, problémy, je</w:t>
      </w:r>
      <w:r>
        <w:rPr>
          <w:sz w:val="18"/>
          <w:szCs w:val="18"/>
        </w:rPr>
        <w:softHyphen/>
        <w:t>jichž obtížnost jsme již poznali po skončení poslední světové války, v údobí, které jsm</w:t>
      </w:r>
      <w:r>
        <w:rPr>
          <w:sz w:val="18"/>
          <w:szCs w:val="18"/>
        </w:rPr>
        <w:t>e nazývali idemobili- sační krisí«. Tyto nové obtíže, které jistě nastanou, jsou též příčinou, proč se Správní Rada Mezinárodní Organi</w:t>
      </w:r>
      <w:r>
        <w:rPr>
          <w:sz w:val="18"/>
          <w:szCs w:val="18"/>
        </w:rPr>
        <w:softHyphen/>
        <w:t>sace Práce, skládající se ze zástupců vlád, zaměstnanců a zaměstnavatelů různých států, jednomyslně usnesla, aby Mezináro</w:t>
      </w:r>
      <w:r>
        <w:rPr>
          <w:sz w:val="18"/>
          <w:szCs w:val="18"/>
        </w:rPr>
        <w:t>dní úřad práce pokračoval ve své, třebaže ome</w:t>
      </w:r>
      <w:r>
        <w:rPr>
          <w:sz w:val="18"/>
          <w:szCs w:val="18"/>
        </w:rPr>
        <w:softHyphen/>
        <w:t>zené činnosti i v případě nové světové války. Ředitel M. 0. P. Winant ve svém úvodě píše: sOkoly, které by nám přinesla válka, by byly naléhavější a osudovější, než které plníme dosud*.</w:t>
      </w:r>
    </w:p>
    <w:p w:rsidR="00500724" w:rsidRDefault="00F30FB8">
      <w:pPr>
        <w:pStyle w:val="Zkladntext1"/>
        <w:shd w:val="clear" w:color="auto" w:fill="auto"/>
        <w:spacing w:line="223" w:lineRule="auto"/>
        <w:ind w:firstLine="200"/>
        <w:rPr>
          <w:sz w:val="18"/>
          <w:szCs w:val="18"/>
        </w:rPr>
      </w:pPr>
      <w:r>
        <w:rPr>
          <w:sz w:val="18"/>
          <w:szCs w:val="18"/>
        </w:rPr>
        <w:t>Lituje, že poměry ho don</w:t>
      </w:r>
      <w:r>
        <w:rPr>
          <w:sz w:val="18"/>
          <w:szCs w:val="18"/>
        </w:rPr>
        <w:t>utily, aby snížil výdaje svého úřadu, ale brání se propuštění hlavního kádru svých spolupracovníků, odborníků osvědčených a zapracova</w:t>
      </w:r>
      <w:r>
        <w:rPr>
          <w:sz w:val="18"/>
          <w:szCs w:val="18"/>
        </w:rPr>
        <w:softHyphen/>
        <w:t>ných. Píše: sVe světě, v němž ročně se vydává 16 miliard dolarů jen na přímé zbrojení a v němž je 8 milionů mužů ve zbrani</w:t>
      </w:r>
      <w:r>
        <w:rPr>
          <w:sz w:val="18"/>
          <w:szCs w:val="18"/>
        </w:rPr>
        <w:t>, výdaje na mezinárodní instituce opravdu nepadají na váhu. Není snad zbytečné připomenout ná</w:t>
      </w:r>
      <w:r>
        <w:rPr>
          <w:sz w:val="18"/>
          <w:szCs w:val="18"/>
        </w:rPr>
        <w:softHyphen/>
        <w:t>rodům, že úhrnné investice do budov a věcného zařízení Paláce Společnosti Národů, Mezinárodního úřadu práce, Mezinárodního zemědělského ústavu v Římě a Stálého me</w:t>
      </w:r>
      <w:r>
        <w:rPr>
          <w:sz w:val="18"/>
          <w:szCs w:val="18"/>
        </w:rPr>
        <w:t>zinárodního soudu v Haagu jsou nižší nežli náklad na jeden moderní válečný velkokřižník, stejně jako počet zaměstnanců všech těchto institucí nedosahuje počtu osob jednoho polního pluku v plném stavu.*</w:t>
      </w:r>
    </w:p>
    <w:p w:rsidR="00500724" w:rsidRDefault="00F30FB8">
      <w:pPr>
        <w:pStyle w:val="Zkladntext1"/>
        <w:shd w:val="clear" w:color="auto" w:fill="auto"/>
        <w:spacing w:after="100" w:line="223" w:lineRule="auto"/>
        <w:ind w:firstLine="200"/>
        <w:rPr>
          <w:sz w:val="18"/>
          <w:szCs w:val="18"/>
        </w:rPr>
      </w:pPr>
      <w:r>
        <w:rPr>
          <w:sz w:val="18"/>
          <w:szCs w:val="18"/>
        </w:rPr>
        <w:t>Tolik z úvodu této zajímavé zprávy.</w:t>
      </w:r>
    </w:p>
    <w:p w:rsidR="00500724" w:rsidRDefault="00F30FB8">
      <w:pPr>
        <w:pStyle w:val="Zkladntext1"/>
        <w:shd w:val="clear" w:color="auto" w:fill="auto"/>
        <w:spacing w:after="80" w:line="221" w:lineRule="auto"/>
        <w:ind w:firstLine="0"/>
        <w:jc w:val="center"/>
        <w:rPr>
          <w:sz w:val="18"/>
          <w:szCs w:val="18"/>
        </w:rPr>
      </w:pPr>
      <w:r>
        <w:rPr>
          <w:sz w:val="18"/>
          <w:szCs w:val="18"/>
        </w:rPr>
        <w:t>Mezinárodní hospod</w:t>
      </w:r>
      <w:r>
        <w:rPr>
          <w:sz w:val="18"/>
          <w:szCs w:val="18"/>
        </w:rPr>
        <w:t>ářská situace</w:t>
      </w:r>
    </w:p>
    <w:p w:rsidR="00500724" w:rsidRDefault="00F30FB8">
      <w:pPr>
        <w:pStyle w:val="Zkladntext1"/>
        <w:shd w:val="clear" w:color="auto" w:fill="auto"/>
        <w:spacing w:line="221" w:lineRule="auto"/>
        <w:ind w:firstLine="200"/>
        <w:rPr>
          <w:sz w:val="18"/>
          <w:szCs w:val="18"/>
        </w:rPr>
      </w:pPr>
      <w:r>
        <w:rPr>
          <w:sz w:val="18"/>
          <w:szCs w:val="18"/>
        </w:rPr>
        <w:t>Zpráva zjišťuje, že většina zemí v prvé polovici roku 1938 cítila pokles hospodářského cyklu, který se počal jevit již v polovici roku 1937. Vznikla vážná obava, aby pokles hospodářského koloběhu nezvrhl se opětně v těž</w:t>
      </w:r>
      <w:r>
        <w:rPr>
          <w:sz w:val="18"/>
          <w:szCs w:val="18"/>
        </w:rPr>
        <w:softHyphen/>
        <w:t xml:space="preserve">kou a dlouho trvající </w:t>
      </w:r>
      <w:r>
        <w:rPr>
          <w:sz w:val="18"/>
          <w:szCs w:val="18"/>
        </w:rPr>
        <w:t>krisi. Proto řada států rychle přikro</w:t>
      </w:r>
      <w:r>
        <w:rPr>
          <w:sz w:val="18"/>
          <w:szCs w:val="18"/>
        </w:rPr>
        <w:softHyphen/>
        <w:t>čila k protikrisovým opatřením, aby uměle oživila hospo</w:t>
      </w:r>
      <w:r>
        <w:rPr>
          <w:sz w:val="18"/>
          <w:szCs w:val="18"/>
        </w:rPr>
        <w:softHyphen/>
        <w:t>dářský běh statků.</w:t>
      </w:r>
    </w:p>
    <w:p w:rsidR="00500724" w:rsidRDefault="00F30FB8">
      <w:pPr>
        <w:pStyle w:val="Zkladntext1"/>
        <w:shd w:val="clear" w:color="auto" w:fill="auto"/>
        <w:spacing w:line="223" w:lineRule="auto"/>
        <w:ind w:firstLine="200"/>
        <w:rPr>
          <w:sz w:val="18"/>
          <w:szCs w:val="18"/>
        </w:rPr>
      </w:pPr>
      <w:r>
        <w:rPr>
          <w:sz w:val="18"/>
          <w:szCs w:val="18"/>
        </w:rPr>
        <w:t xml:space="preserve">Státy se nedopouštěly již chyb z let 1929 a následujících. Nikde nebylo sáhnuto k prostředkům deflačním, které, snižováním mezd a tím spotřeby </w:t>
      </w:r>
      <w:r>
        <w:rPr>
          <w:sz w:val="18"/>
          <w:szCs w:val="18"/>
        </w:rPr>
        <w:t>byly by jen zvýšily ne</w:t>
      </w:r>
      <w:r>
        <w:rPr>
          <w:sz w:val="18"/>
          <w:szCs w:val="18"/>
        </w:rPr>
        <w:softHyphen/>
        <w:t>bezpečí odbytové krise. Naopak, čerpajíce ze zkušeností let 1929-1932 ihned nastoupily - zejména Spojené Státy severoamerické a Anglie - cestou právě opačnou. Jak vážná hospodářská krise hrozila, poznáme z faktu, že ve Spojených Stát</w:t>
      </w:r>
      <w:r>
        <w:rPr>
          <w:sz w:val="18"/>
          <w:szCs w:val="18"/>
        </w:rPr>
        <w:t>ech poklesla od polovice roku 1937 do května 1938 výroba o plných 35 procent. Proto bylo sáhnuto k metodám, osvědčivším se v poslední hospodář</w:t>
      </w:r>
      <w:r>
        <w:rPr>
          <w:sz w:val="18"/>
          <w:szCs w:val="18"/>
        </w:rPr>
        <w:softHyphen/>
        <w:t>ské krisi. Amerika se zřekla sterilisování zlata, plynoucího z Evropy, snížila zákonné krytí měny, státní papíry,</w:t>
      </w:r>
      <w:r>
        <w:rPr>
          <w:sz w:val="18"/>
          <w:szCs w:val="18"/>
        </w:rPr>
        <w:t xml:space="preserve"> kte</w:t>
      </w:r>
      <w:r>
        <w:rPr>
          <w:sz w:val="18"/>
          <w:szCs w:val="18"/>
        </w:rPr>
        <w:softHyphen/>
        <w:t>rými byly rychle financovány veřejné investice, byly cedulovými bankami kupovány prováděním operací na volném trhu. Veřejné investice byly ve velkém měřítku rychle uskutečňovány i za cenu sice přechodného, ale poměrně podstatného rozpočtového deficitu</w:t>
      </w:r>
      <w:r>
        <w:rPr>
          <w:sz w:val="18"/>
          <w:szCs w:val="18"/>
        </w:rPr>
        <w:t>.</w:t>
      </w:r>
    </w:p>
    <w:p w:rsidR="00500724" w:rsidRDefault="00F30FB8">
      <w:pPr>
        <w:pStyle w:val="Zkladntext1"/>
        <w:shd w:val="clear" w:color="auto" w:fill="auto"/>
        <w:spacing w:line="223" w:lineRule="auto"/>
        <w:ind w:firstLine="200"/>
        <w:rPr>
          <w:sz w:val="18"/>
          <w:szCs w:val="18"/>
        </w:rPr>
      </w:pPr>
      <w:r>
        <w:rPr>
          <w:sz w:val="18"/>
          <w:szCs w:val="18"/>
        </w:rPr>
        <w:t>Stejně bylo postupováno v Anglii, Dánsku, Svédsku, ba i ve Francii, kde vesměs tyto tendence byly zesíleny při</w:t>
      </w:r>
      <w:r>
        <w:rPr>
          <w:sz w:val="18"/>
          <w:szCs w:val="18"/>
        </w:rPr>
        <w:softHyphen/>
        <w:t>cházející a mocně stoupající zbrojní horečkou. Hospo</w:t>
      </w:r>
      <w:r>
        <w:rPr>
          <w:sz w:val="18"/>
          <w:szCs w:val="18"/>
        </w:rPr>
        <w:softHyphen/>
        <w:t>dářská krise a zejména pokles zemědělských výrobků a surovin je zažehnán zbrojením,- ovšem</w:t>
      </w:r>
      <w:r>
        <w:rPr>
          <w:sz w:val="18"/>
          <w:szCs w:val="18"/>
        </w:rPr>
        <w:t xml:space="preserve"> toto východisko z hospodářské krise a nezaměstnanosti přináší pro lidstvo těžká utrpení v každém případě. Nebezpečí buď krisi krvavých nebo zvratů sociálních.</w:t>
      </w:r>
    </w:p>
    <w:p w:rsidR="00500724" w:rsidRDefault="00F30FB8">
      <w:pPr>
        <w:pStyle w:val="Zkladntext1"/>
        <w:shd w:val="clear" w:color="auto" w:fill="auto"/>
        <w:spacing w:line="223" w:lineRule="auto"/>
        <w:ind w:firstLine="200"/>
        <w:rPr>
          <w:sz w:val="18"/>
          <w:szCs w:val="18"/>
        </w:rPr>
      </w:pPr>
      <w:r>
        <w:rPr>
          <w:sz w:val="18"/>
          <w:szCs w:val="18"/>
        </w:rPr>
        <w:t xml:space="preserve">Jako zbrojení náhle změnilo hromadnou nezaměstnanost v nedostatek pracovních sil, stejně pokles </w:t>
      </w:r>
      <w:r>
        <w:rPr>
          <w:sz w:val="18"/>
          <w:szCs w:val="18"/>
        </w:rPr>
        <w:t>překotného zbrojení přivodí náhlou nezaměstnanost a hospodářskou poruchu, k jejímuž zdolání by se měly již dnes konat přípravy. Tato krise bude pravděpodobně pro svoji ná</w:t>
      </w:r>
      <w:r>
        <w:rPr>
          <w:sz w:val="18"/>
          <w:szCs w:val="18"/>
        </w:rPr>
        <w:softHyphen/>
        <w:t xml:space="preserve">hlost velmi těžká, ale bude ji možno ve světovém měřítku poměrně snadno odstraňovat. </w:t>
      </w:r>
      <w:r>
        <w:rPr>
          <w:sz w:val="18"/>
          <w:szCs w:val="18"/>
        </w:rPr>
        <w:t>Přistoupí se od hospodářské autarkie k obnovení mezinárodního obchodu a k výrobě a investicím produktivním, vždyť bude velká poptávka, ba hlad po spotřebních statcích.</w:t>
      </w:r>
    </w:p>
    <w:p w:rsidR="00500724" w:rsidRDefault="00F30FB8">
      <w:pPr>
        <w:pStyle w:val="Zkladntext1"/>
        <w:shd w:val="clear" w:color="auto" w:fill="auto"/>
        <w:spacing w:after="120" w:line="221" w:lineRule="auto"/>
        <w:ind w:firstLine="200"/>
        <w:rPr>
          <w:sz w:val="18"/>
          <w:szCs w:val="18"/>
        </w:rPr>
      </w:pPr>
      <w:r>
        <w:rPr>
          <w:sz w:val="18"/>
          <w:szCs w:val="18"/>
        </w:rPr>
        <w:t>K normálnímu udržení hospodářského života zejména v zemích pokročilé civilisace, je třeb</w:t>
      </w:r>
      <w:r>
        <w:rPr>
          <w:sz w:val="18"/>
          <w:szCs w:val="18"/>
        </w:rPr>
        <w:t>a čilé mezinárodní výměny zboží a i lidí. Obojí je od počátku poslední hos</w:t>
      </w:r>
      <w:r>
        <w:rPr>
          <w:sz w:val="18"/>
          <w:szCs w:val="18"/>
        </w:rPr>
        <w:softHyphen/>
        <w:t xml:space="preserve">podářské krise, to je od roku 1929, podvázáno. Tehdy se počaly státy bránit přílivu cizího zboží a přistěhovalectví z důvodu ochrany domácího trhu. Dnes opětně </w:t>
      </w:r>
      <w:r>
        <w:rPr>
          <w:b/>
          <w:bCs/>
        </w:rPr>
        <w:t xml:space="preserve">se </w:t>
      </w:r>
      <w:r>
        <w:rPr>
          <w:sz w:val="18"/>
          <w:szCs w:val="18"/>
        </w:rPr>
        <w:t>země uzavírají ciz</w:t>
      </w:r>
      <w:r>
        <w:rPr>
          <w:sz w:val="18"/>
          <w:szCs w:val="18"/>
        </w:rPr>
        <w:t>ímu zboží i na úkor hospodárnosti z důvodů politicko-sfrategických a zejména ze snahy po poměrně největší hospodářské soběstačnosti v případě války, svo</w:t>
      </w:r>
      <w:r>
        <w:rPr>
          <w:sz w:val="18"/>
          <w:szCs w:val="18"/>
        </w:rPr>
        <w:softHyphen/>
        <w:t>bodnému pak přistěhovalectví se dnes téměř všechny země brání z obav - oprávněných i neoprávněných - př</w:t>
      </w:r>
      <w:r>
        <w:rPr>
          <w:sz w:val="18"/>
          <w:szCs w:val="18"/>
        </w:rPr>
        <w:t>ed nepohodlnými cizinci v případě války.</w:t>
      </w:r>
    </w:p>
    <w:p w:rsidR="00500724" w:rsidRDefault="00F30FB8">
      <w:pPr>
        <w:pStyle w:val="Zkladntext1"/>
        <w:shd w:val="clear" w:color="auto" w:fill="auto"/>
        <w:spacing w:after="60" w:line="223" w:lineRule="auto"/>
        <w:ind w:firstLine="0"/>
        <w:jc w:val="center"/>
        <w:rPr>
          <w:sz w:val="18"/>
          <w:szCs w:val="18"/>
        </w:rPr>
      </w:pPr>
      <w:r>
        <w:rPr>
          <w:sz w:val="18"/>
          <w:szCs w:val="18"/>
        </w:rPr>
        <w:t>Problém uprchlíků</w:t>
      </w:r>
    </w:p>
    <w:p w:rsidR="00500724" w:rsidRDefault="00F30FB8">
      <w:pPr>
        <w:pStyle w:val="Zkladntext1"/>
        <w:shd w:val="clear" w:color="auto" w:fill="auto"/>
        <w:spacing w:line="223" w:lineRule="auto"/>
        <w:ind w:firstLine="200"/>
        <w:rPr>
          <w:sz w:val="18"/>
          <w:szCs w:val="18"/>
        </w:rPr>
      </w:pPr>
      <w:r>
        <w:rPr>
          <w:sz w:val="18"/>
          <w:szCs w:val="18"/>
        </w:rPr>
        <w:t>Počet emigrantů a uprchlíků v důsledku válek a poli</w:t>
      </w:r>
      <w:r>
        <w:rPr>
          <w:sz w:val="18"/>
          <w:szCs w:val="18"/>
        </w:rPr>
        <w:softHyphen/>
        <w:t>tických změn v posledních letech ohromně vzrůstá. Ne</w:t>
      </w:r>
      <w:r>
        <w:rPr>
          <w:sz w:val="18"/>
          <w:szCs w:val="18"/>
        </w:rPr>
        <w:softHyphen/>
        <w:t>mysleme jen na střední Evropu, ale též na skončenou válku ve Španělsku a dosud trvající v Čí</w:t>
      </w:r>
      <w:r>
        <w:rPr>
          <w:sz w:val="18"/>
          <w:szCs w:val="18"/>
        </w:rPr>
        <w:t>ně. Světem blou</w:t>
      </w:r>
      <w:r>
        <w:rPr>
          <w:sz w:val="18"/>
          <w:szCs w:val="18"/>
        </w:rPr>
        <w:softHyphen/>
        <w:t>dí statisíce bezradných uprchlíků ze všech společenských vrstev.</w:t>
      </w:r>
    </w:p>
    <w:p w:rsidR="00500724" w:rsidRDefault="00F30FB8">
      <w:pPr>
        <w:pStyle w:val="Zkladntext1"/>
        <w:shd w:val="clear" w:color="auto" w:fill="auto"/>
        <w:spacing w:line="223" w:lineRule="auto"/>
        <w:ind w:firstLine="200"/>
        <w:rPr>
          <w:sz w:val="18"/>
          <w:szCs w:val="18"/>
        </w:rPr>
      </w:pPr>
      <w:r>
        <w:rPr>
          <w:sz w:val="18"/>
          <w:szCs w:val="18"/>
        </w:rPr>
        <w:t>Správně poukazuje zpráva ředitele Mezinárodního úřadu práce, že problém uprchlíků nelze řešit pouze zemědělskou kolonisaci. Každá hospodářská krise v naší době počíná poměrnou</w:t>
      </w:r>
      <w:r>
        <w:rPr>
          <w:sz w:val="18"/>
          <w:szCs w:val="18"/>
        </w:rPr>
        <w:t xml:space="preserve"> nadvýrobou zemědělských výrobků, neboť se stoupající životní úrovní stoupá poptávka po potravinách v daleko menší míře, nežli po ostatních výrobcích a služ</w:t>
      </w:r>
      <w:r>
        <w:rPr>
          <w:sz w:val="18"/>
          <w:szCs w:val="18"/>
        </w:rPr>
        <w:softHyphen/>
        <w:t>bách. (Studie o rodinných rozpočtech nám prokazují, že výdaje na potraviny při určité výši příjmů s</w:t>
      </w:r>
      <w:r>
        <w:rPr>
          <w:sz w:val="18"/>
          <w:szCs w:val="18"/>
        </w:rPr>
        <w:t>e stabilisují a při vyšších důchodech relativně klesají na prospěch výdajů na bydlení, ošacení, vzdělání, zábavu a jiné.) Proto je neúčeíné odkazovat kvalifikované průmyslové dělníky, natož odborné síly z vrstev studované inteligence na ze</w:t>
      </w:r>
      <w:r>
        <w:rPr>
          <w:sz w:val="18"/>
          <w:szCs w:val="18"/>
        </w:rPr>
        <w:softHyphen/>
        <w:t>mědělskou práci,</w:t>
      </w:r>
      <w:r>
        <w:rPr>
          <w:sz w:val="18"/>
          <w:szCs w:val="18"/>
        </w:rPr>
        <w:t xml:space="preserve"> když by mohli být ve svém oboru celku daleko užitečnější.</w:t>
      </w:r>
    </w:p>
    <w:p w:rsidR="00500724" w:rsidRDefault="00F30FB8">
      <w:pPr>
        <w:pStyle w:val="Zkladntext1"/>
        <w:shd w:val="clear" w:color="auto" w:fill="auto"/>
        <w:spacing w:line="254" w:lineRule="auto"/>
        <w:ind w:firstLine="200"/>
      </w:pPr>
      <w:r>
        <w:rPr>
          <w:sz w:val="18"/>
          <w:szCs w:val="18"/>
        </w:rPr>
        <w:t>Problém uprchlíků ve svém celku je tím obtížnější, po</w:t>
      </w:r>
      <w:r>
        <w:rPr>
          <w:sz w:val="18"/>
          <w:szCs w:val="18"/>
        </w:rPr>
        <w:softHyphen/>
        <w:t>něvadž země, které nejsou přímo účastny na mezinárodním napětí a zbrojení trpí stále trvalou nezaměstnaností. Vždyť ve světě dělba práce a výro</w:t>
      </w:r>
      <w:r>
        <w:rPr>
          <w:sz w:val="18"/>
          <w:szCs w:val="18"/>
        </w:rPr>
        <w:t>by mezi státy, technické vy</w:t>
      </w:r>
      <w:r>
        <w:rPr>
          <w:sz w:val="18"/>
          <w:szCs w:val="18"/>
        </w:rPr>
        <w:softHyphen/>
        <w:t>moženosti a racionalisace v normální mírové výrobě zemědělské a průmyslové stále rychle pokračuje, a to za současného zkracování pracovní doby a vzestupu reál</w:t>
      </w:r>
      <w:r>
        <w:rPr>
          <w:sz w:val="18"/>
          <w:szCs w:val="18"/>
        </w:rPr>
        <w:softHyphen/>
        <w:t xml:space="preserve">ných mezd (koupěschopnosti pracujících vrstev) nad úro- </w:t>
      </w:r>
      <w:r>
        <w:rPr>
          <w:b/>
          <w:bCs/>
        </w:rPr>
        <w:t>433</w:t>
      </w:r>
    </w:p>
    <w:p w:rsidR="00500724" w:rsidRDefault="00F30FB8">
      <w:pPr>
        <w:pStyle w:val="Zkladntext1"/>
        <w:shd w:val="clear" w:color="auto" w:fill="auto"/>
        <w:ind w:firstLine="0"/>
        <w:rPr>
          <w:sz w:val="18"/>
          <w:szCs w:val="18"/>
        </w:rPr>
      </w:pPr>
      <w:r>
        <w:rPr>
          <w:sz w:val="18"/>
          <w:szCs w:val="18"/>
        </w:rPr>
        <w:t xml:space="preserve">veň z </w:t>
      </w:r>
      <w:r>
        <w:rPr>
          <w:b/>
          <w:bCs/>
        </w:rPr>
        <w:t>rok</w:t>
      </w:r>
      <w:r>
        <w:rPr>
          <w:b/>
          <w:bCs/>
        </w:rPr>
        <w:t xml:space="preserve">u </w:t>
      </w:r>
      <w:r>
        <w:rPr>
          <w:sz w:val="18"/>
          <w:szCs w:val="18"/>
        </w:rPr>
        <w:t>1929. Nejtypičlější je tento vývoj ve Spojených Státech severoamerických.</w:t>
      </w:r>
    </w:p>
    <w:p w:rsidR="00500724" w:rsidRDefault="00F30FB8">
      <w:pPr>
        <w:pStyle w:val="Zkladntext1"/>
        <w:shd w:val="clear" w:color="auto" w:fill="auto"/>
        <w:spacing w:after="160"/>
        <w:ind w:firstLine="240"/>
        <w:rPr>
          <w:sz w:val="18"/>
          <w:szCs w:val="18"/>
        </w:rPr>
      </w:pPr>
      <w:r>
        <w:rPr>
          <w:sz w:val="18"/>
          <w:szCs w:val="18"/>
        </w:rPr>
        <w:t>Z velkých zemí není nyní nezaměstnaných pouze v Německu, Japonsku a Sovětském Rusku, v kterýchžto zemích stoupá absolutní i relativní zaměstnanost žen a pracovní doba není zkracová</w:t>
      </w:r>
      <w:r>
        <w:rPr>
          <w:sz w:val="18"/>
          <w:szCs w:val="18"/>
        </w:rPr>
        <w:t>na, ba v řadě oborů musela být v posledních letech prodloužena.</w:t>
      </w:r>
    </w:p>
    <w:p w:rsidR="00500724" w:rsidRDefault="00F30FB8">
      <w:pPr>
        <w:pStyle w:val="Zkladntext1"/>
        <w:shd w:val="clear" w:color="auto" w:fill="auto"/>
        <w:ind w:firstLine="0"/>
        <w:jc w:val="center"/>
        <w:rPr>
          <w:sz w:val="18"/>
          <w:szCs w:val="18"/>
        </w:rPr>
      </w:pPr>
      <w:r>
        <w:rPr>
          <w:sz w:val="18"/>
          <w:szCs w:val="18"/>
        </w:rPr>
        <w:t>Bydlení a placené dovolené</w:t>
      </w:r>
    </w:p>
    <w:p w:rsidR="00500724" w:rsidRDefault="00F30FB8">
      <w:pPr>
        <w:pStyle w:val="Zkladntext1"/>
        <w:shd w:val="clear" w:color="auto" w:fill="auto"/>
        <w:ind w:firstLine="240"/>
        <w:rPr>
          <w:sz w:val="18"/>
          <w:szCs w:val="18"/>
        </w:rPr>
      </w:pPr>
      <w:r>
        <w:rPr>
          <w:sz w:val="18"/>
          <w:szCs w:val="18"/>
        </w:rPr>
        <w:t>Zajímavé kapitoly jsou věnovány ve zprávě ředitele M. 0. P. bydlení a placené dovolené zaměstnanců.</w:t>
      </w:r>
    </w:p>
    <w:p w:rsidR="00500724" w:rsidRDefault="00F30FB8">
      <w:pPr>
        <w:pStyle w:val="Zkladntext1"/>
        <w:shd w:val="clear" w:color="auto" w:fill="auto"/>
        <w:ind w:firstLine="240"/>
        <w:rPr>
          <w:sz w:val="18"/>
          <w:szCs w:val="18"/>
        </w:rPr>
      </w:pPr>
      <w:r>
        <w:rPr>
          <w:sz w:val="18"/>
          <w:szCs w:val="18"/>
        </w:rPr>
        <w:t>Závadné a nedostatečné bydlení podlamuje zdraví fy</w:t>
      </w:r>
      <w:r>
        <w:rPr>
          <w:sz w:val="18"/>
          <w:szCs w:val="18"/>
        </w:rPr>
        <w:softHyphen/>
        <w:t>sické a moráln</w:t>
      </w:r>
      <w:r>
        <w:rPr>
          <w:sz w:val="18"/>
          <w:szCs w:val="18"/>
        </w:rPr>
        <w:t>í, zlepšení bydlení má ihned za následek zvýšení fysického a duševního standardu. Proto evropské státy od skončení světové války všemožně podporovaly lidové bydlení a největší pokrok v tomto směru učinili v Anglii, kde za posledních dvacet let bylo vystavě</w:t>
      </w:r>
      <w:r>
        <w:rPr>
          <w:sz w:val="18"/>
          <w:szCs w:val="18"/>
        </w:rPr>
        <w:t>no 4 miliony nových obytných domů. Ale nyní výdaje na zbrojení podvázaly možnosti veřejné ruky ku podpoře kultury bydlení.</w:t>
      </w:r>
    </w:p>
    <w:p w:rsidR="00500724" w:rsidRDefault="00F30FB8">
      <w:pPr>
        <w:pStyle w:val="Zkladntext1"/>
        <w:shd w:val="clear" w:color="auto" w:fill="auto"/>
        <w:spacing w:after="100"/>
        <w:ind w:firstLine="240"/>
        <w:rPr>
          <w:sz w:val="18"/>
          <w:szCs w:val="18"/>
        </w:rPr>
      </w:pPr>
      <w:r>
        <w:rPr>
          <w:sz w:val="18"/>
          <w:szCs w:val="18"/>
        </w:rPr>
        <w:t>Ve světové sociální politice posledních let, mimo opa</w:t>
      </w:r>
      <w:r>
        <w:rPr>
          <w:sz w:val="18"/>
          <w:szCs w:val="18"/>
        </w:rPr>
        <w:softHyphen/>
        <w:t xml:space="preserve">tření proti nezaměstnanosti, zejména povinné pojištění proti nezaměstnanosti, </w:t>
      </w:r>
      <w:r>
        <w:rPr>
          <w:sz w:val="18"/>
          <w:szCs w:val="18"/>
        </w:rPr>
        <w:t>největší rozvoj lze zjistit na poli placených dovolených zaměstnanců. Jestliže v roce 1920 pouze Rakousko mělo zákon o placených dovolených děl</w:t>
      </w:r>
      <w:r>
        <w:rPr>
          <w:sz w:val="18"/>
          <w:szCs w:val="18"/>
        </w:rPr>
        <w:softHyphen/>
        <w:t>níků, v roce 1933 jsqu placené dovolené uzákoněny ve 23 státech a v 14 dalších státech aspoň pro určité kategori</w:t>
      </w:r>
      <w:r>
        <w:rPr>
          <w:sz w:val="18"/>
          <w:szCs w:val="18"/>
        </w:rPr>
        <w:t>e soukromých zaměstnanců. A tak podle posledních sta</w:t>
      </w:r>
      <w:r>
        <w:rPr>
          <w:sz w:val="18"/>
          <w:szCs w:val="18"/>
        </w:rPr>
        <w:softHyphen/>
        <w:t>tistik má v Itálii právo na placené dovolené 2y</w:t>
      </w:r>
      <w:r>
        <w:rPr>
          <w:sz w:val="18"/>
          <w:szCs w:val="18"/>
          <w:vertAlign w:val="subscript"/>
        </w:rPr>
        <w:t>2</w:t>
      </w:r>
      <w:r>
        <w:rPr>
          <w:sz w:val="18"/>
          <w:szCs w:val="18"/>
        </w:rPr>
        <w:t xml:space="preserve"> milionu osob, ve Velké Britanii 9 milionů, v Německu 16 milionů a v SSSR 25 milionů osob.</w:t>
      </w:r>
    </w:p>
    <w:p w:rsidR="00500724" w:rsidRDefault="00F30FB8">
      <w:pPr>
        <w:pStyle w:val="Zkladntext1"/>
        <w:shd w:val="clear" w:color="auto" w:fill="auto"/>
        <w:ind w:firstLine="0"/>
        <w:jc w:val="center"/>
        <w:rPr>
          <w:sz w:val="18"/>
          <w:szCs w:val="18"/>
        </w:rPr>
      </w:pPr>
      <w:r>
        <w:rPr>
          <w:sz w:val="18"/>
          <w:szCs w:val="18"/>
        </w:rPr>
        <w:t>Výživa</w:t>
      </w:r>
    </w:p>
    <w:p w:rsidR="00500724" w:rsidRDefault="00F30FB8">
      <w:pPr>
        <w:pStyle w:val="Zkladntext1"/>
        <w:shd w:val="clear" w:color="auto" w:fill="auto"/>
        <w:ind w:firstLine="240"/>
        <w:rPr>
          <w:sz w:val="18"/>
          <w:szCs w:val="18"/>
        </w:rPr>
      </w:pPr>
      <w:r>
        <w:rPr>
          <w:sz w:val="18"/>
          <w:szCs w:val="18"/>
        </w:rPr>
        <w:t>Nejobecnější zájem pro pracujícího člověka je bohu</w:t>
      </w:r>
      <w:r>
        <w:rPr>
          <w:sz w:val="18"/>
          <w:szCs w:val="18"/>
        </w:rPr>
        <w:softHyphen/>
        <w:t xml:space="preserve">žel </w:t>
      </w:r>
      <w:r>
        <w:rPr>
          <w:sz w:val="18"/>
          <w:szCs w:val="18"/>
        </w:rPr>
        <w:t>stále otázka obživy a v některých zemích — ze</w:t>
      </w:r>
      <w:r>
        <w:rPr>
          <w:sz w:val="18"/>
          <w:szCs w:val="18"/>
        </w:rPr>
        <w:softHyphen/>
        <w:t>jména v koloniích - především výživa. Její nedostateč</w:t>
      </w:r>
      <w:r>
        <w:rPr>
          <w:sz w:val="18"/>
          <w:szCs w:val="18"/>
        </w:rPr>
        <w:softHyphen/>
        <w:t>nost - pokud jde o množství a jakost - bývá příčinou dětské podvýživy a z toho plynoucí dětské chorobnosli a úmrtnosti, zpravidla pak fysické slabosti a neo</w:t>
      </w:r>
      <w:r>
        <w:rPr>
          <w:sz w:val="18"/>
          <w:szCs w:val="18"/>
        </w:rPr>
        <w:t>dolnosíi pro celý život.</w:t>
      </w:r>
    </w:p>
    <w:p w:rsidR="00500724" w:rsidRDefault="00F30FB8">
      <w:pPr>
        <w:pStyle w:val="Zkladntext1"/>
        <w:shd w:val="clear" w:color="auto" w:fill="auto"/>
        <w:ind w:firstLine="240"/>
        <w:rPr>
          <w:sz w:val="18"/>
          <w:szCs w:val="18"/>
        </w:rPr>
      </w:pPr>
      <w:r>
        <w:rPr>
          <w:sz w:val="18"/>
          <w:szCs w:val="18"/>
        </w:rPr>
        <w:t>V řadě států dbá o zlepšení výživy spotřební družstev</w:t>
      </w:r>
      <w:r>
        <w:rPr>
          <w:sz w:val="18"/>
          <w:szCs w:val="18"/>
        </w:rPr>
        <w:softHyphen/>
        <w:t>nictví, stravování školní mládeže, odborné kursy o účelné výživě atd. Ovšem toto vše je nedostatečné, nezbytnou hlubší sociální reformu nelze nahradit vnějšími téměř jen okrasam</w:t>
      </w:r>
      <w:r>
        <w:rPr>
          <w:sz w:val="18"/>
          <w:szCs w:val="18"/>
        </w:rPr>
        <w:t>i. Správně pravil president Roosevelt na kongresu amerického Červeného kříže: »Všechny přednášky o účel</w:t>
      </w:r>
      <w:r>
        <w:rPr>
          <w:sz w:val="18"/>
          <w:szCs w:val="18"/>
        </w:rPr>
        <w:softHyphen/>
        <w:t>né výživě jsou k ničemu, jestliže děti nemají co jíst*. A věru v řadě států celé vrstvy obyvatelstva hladoví, ačko</w:t>
      </w:r>
      <w:r>
        <w:rPr>
          <w:sz w:val="18"/>
          <w:szCs w:val="18"/>
        </w:rPr>
        <w:softHyphen/>
        <w:t>liv jejich nasycení by bylo nejlepším</w:t>
      </w:r>
      <w:r>
        <w:rPr>
          <w:sz w:val="18"/>
          <w:szCs w:val="18"/>
        </w:rPr>
        <w:t xml:space="preserve"> prostředkem k za</w:t>
      </w:r>
      <w:r>
        <w:rPr>
          <w:sz w:val="18"/>
          <w:szCs w:val="18"/>
        </w:rPr>
        <w:softHyphen/>
        <w:t>žehnání nebezpečí zemědělské odbytové krise na téměř nedohlednou řadu let.</w:t>
      </w:r>
    </w:p>
    <w:p w:rsidR="00500724" w:rsidRDefault="00F30FB8">
      <w:pPr>
        <w:pStyle w:val="Zkladntext1"/>
        <w:shd w:val="clear" w:color="auto" w:fill="auto"/>
        <w:ind w:firstLine="240"/>
        <w:rPr>
          <w:sz w:val="18"/>
          <w:szCs w:val="18"/>
        </w:rPr>
      </w:pPr>
      <w:r>
        <w:rPr>
          <w:sz w:val="18"/>
          <w:szCs w:val="18"/>
        </w:rPr>
        <w:t>Uvědomte si jen miliony zmírajících hladem po každá neúrodě v Číně, Indii a jinde. Kolik národů a kmenů je ještě decimováno trvalou podvýživou a zamořeno epide</w:t>
      </w:r>
      <w:r>
        <w:rPr>
          <w:sz w:val="18"/>
          <w:szCs w:val="18"/>
        </w:rPr>
        <w:softHyphen/>
        <w:t>mie</w:t>
      </w:r>
      <w:r>
        <w:rPr>
          <w:sz w:val="18"/>
          <w:szCs w:val="18"/>
        </w:rPr>
        <w:t>mi, které by bylo snadno zmoci. Naučit je moderním pracovním metodám, opatřit je technickými a hygienic</w:t>
      </w:r>
      <w:r>
        <w:rPr>
          <w:sz w:val="18"/>
          <w:szCs w:val="18"/>
        </w:rPr>
        <w:softHyphen/>
        <w:t>kými vymoženostmi mírové kultury znamenalo by nejen ohromné zvýšení jejich bídného životního standardu, ale i zvýšení blahobytu celého světa.</w:t>
      </w:r>
    </w:p>
    <w:p w:rsidR="00500724" w:rsidRDefault="00F30FB8">
      <w:pPr>
        <w:pStyle w:val="Zkladntext1"/>
        <w:shd w:val="clear" w:color="auto" w:fill="auto"/>
        <w:ind w:firstLine="240"/>
        <w:rPr>
          <w:sz w:val="18"/>
          <w:szCs w:val="18"/>
        </w:rPr>
      </w:pPr>
      <w:r>
        <w:rPr>
          <w:sz w:val="18"/>
          <w:szCs w:val="18"/>
        </w:rPr>
        <w:t>Kdyby vedo</w:t>
      </w:r>
      <w:r>
        <w:rPr>
          <w:sz w:val="18"/>
          <w:szCs w:val="18"/>
        </w:rPr>
        <w:t>ucí národové a zejména Evropa dovedla pracovat za cíli lidskými a v zájmu všem společném, kolik naléhavých problémů mírového hospodářství roz</w:t>
      </w:r>
      <w:r>
        <w:rPr>
          <w:sz w:val="18"/>
          <w:szCs w:val="18"/>
        </w:rPr>
        <w:softHyphen/>
        <w:t xml:space="preserve">měrů opravdu světových a i </w:t>
      </w:r>
      <w:r>
        <w:rPr>
          <w:sz w:val="18"/>
          <w:szCs w:val="18"/>
          <w:lang w:val="en-US" w:eastAsia="en-US" w:bidi="en-US"/>
        </w:rPr>
        <w:t xml:space="preserve">pro </w:t>
      </w:r>
      <w:r>
        <w:rPr>
          <w:sz w:val="18"/>
          <w:szCs w:val="18"/>
        </w:rPr>
        <w:t>XX. století gigantických by tu bylo ještě k zdolání. Vzpomeňme jen našeho ze</w:t>
      </w:r>
      <w:r>
        <w:rPr>
          <w:sz w:val="18"/>
          <w:szCs w:val="18"/>
        </w:rPr>
        <w:softHyphen/>
        <w:t>mřeléh</w:t>
      </w:r>
      <w:r>
        <w:rPr>
          <w:sz w:val="18"/>
          <w:szCs w:val="18"/>
        </w:rPr>
        <w:t>o Tomáše Bati, pro kterého bylo cílem obout vše</w:t>
      </w:r>
      <w:r>
        <w:rPr>
          <w:sz w:val="18"/>
          <w:szCs w:val="18"/>
        </w:rPr>
        <w:softHyphen/>
        <w:t>chny, kteří ještě musí chodit neobuti.</w:t>
      </w:r>
    </w:p>
    <w:p w:rsidR="00500724" w:rsidRDefault="00F30FB8">
      <w:pPr>
        <w:pStyle w:val="Jin0"/>
        <w:shd w:val="clear" w:color="auto" w:fill="auto"/>
        <w:spacing w:after="80"/>
        <w:ind w:firstLine="0"/>
        <w:jc w:val="left"/>
        <w:rPr>
          <w:sz w:val="44"/>
          <w:szCs w:val="44"/>
        </w:rPr>
      </w:pPr>
      <w:r>
        <w:rPr>
          <w:b/>
          <w:bCs/>
          <w:sz w:val="44"/>
          <w:szCs w:val="44"/>
          <w:u w:val="single"/>
        </w:rPr>
        <w:t>literatura a umění</w:t>
      </w:r>
    </w:p>
    <w:p w:rsidR="00500724" w:rsidRDefault="00F30FB8">
      <w:pPr>
        <w:pStyle w:val="Zkladntext1"/>
        <w:shd w:val="clear" w:color="auto" w:fill="auto"/>
        <w:ind w:firstLine="0"/>
        <w:rPr>
          <w:sz w:val="20"/>
          <w:szCs w:val="20"/>
        </w:rPr>
      </w:pPr>
      <w:r>
        <w:rPr>
          <w:i/>
          <w:iCs/>
          <w:sz w:val="20"/>
          <w:szCs w:val="20"/>
        </w:rPr>
        <w:t>Jindřich Chalupecký:</w:t>
      </w:r>
    </w:p>
    <w:p w:rsidR="00500724" w:rsidRDefault="00F30FB8">
      <w:pPr>
        <w:pStyle w:val="Nadpis100"/>
        <w:shd w:val="clear" w:color="auto" w:fill="auto"/>
        <w:spacing w:after="0" w:line="223" w:lineRule="auto"/>
        <w:ind w:left="220" w:firstLine="20"/>
        <w:jc w:val="left"/>
      </w:pPr>
      <w:bookmarkStart w:id="705" w:name="bookmark704"/>
      <w:r>
        <w:t>Nesnáze s moderním uměním</w:t>
      </w:r>
      <w:bookmarkEnd w:id="705"/>
    </w:p>
    <w:p w:rsidR="00500724" w:rsidRDefault="00F30FB8">
      <w:pPr>
        <w:pStyle w:val="Zkladntext1"/>
        <w:shd w:val="clear" w:color="auto" w:fill="auto"/>
        <w:spacing w:line="218" w:lineRule="auto"/>
        <w:ind w:firstLine="240"/>
        <w:rPr>
          <w:sz w:val="18"/>
          <w:szCs w:val="18"/>
        </w:rPr>
      </w:pPr>
      <w:r>
        <w:rPr>
          <w:sz w:val="18"/>
          <w:szCs w:val="18"/>
        </w:rPr>
        <w:t>Na nás, kteří jsme při moderním výtvarném umění, vznesl Karel Horký v nedělním feuilletonu Českého Slov</w:t>
      </w:r>
      <w:r>
        <w:rPr>
          <w:sz w:val="18"/>
          <w:szCs w:val="18"/>
        </w:rPr>
        <w:t>a žádost, které ... těžko vyhovět.</w:t>
      </w:r>
    </w:p>
    <w:p w:rsidR="00500724" w:rsidRDefault="00F30FB8">
      <w:pPr>
        <w:pStyle w:val="Zkladntext1"/>
        <w:shd w:val="clear" w:color="auto" w:fill="auto"/>
        <w:spacing w:line="218" w:lineRule="auto"/>
        <w:ind w:firstLine="240"/>
        <w:rPr>
          <w:sz w:val="18"/>
          <w:szCs w:val="18"/>
        </w:rPr>
      </w:pPr>
      <w:r>
        <w:rPr>
          <w:sz w:val="18"/>
          <w:szCs w:val="18"/>
        </w:rPr>
        <w:t>Navázal na článek Jaroslava Zatloukala, který chtěl při</w:t>
      </w:r>
      <w:r>
        <w:rPr>
          <w:sz w:val="18"/>
          <w:szCs w:val="18"/>
        </w:rPr>
        <w:softHyphen/>
        <w:t>spět k pochopení moderního umění/</w:t>
      </w:r>
    </w:p>
    <w:p w:rsidR="00500724" w:rsidRDefault="00F30FB8">
      <w:pPr>
        <w:pStyle w:val="Zkladntext1"/>
        <w:shd w:val="clear" w:color="auto" w:fill="auto"/>
        <w:spacing w:line="180" w:lineRule="auto"/>
        <w:ind w:firstLine="0"/>
        <w:rPr>
          <w:sz w:val="18"/>
          <w:szCs w:val="18"/>
        </w:rPr>
      </w:pPr>
      <w:r>
        <w:rPr>
          <w:sz w:val="18"/>
          <w:szCs w:val="18"/>
        </w:rPr>
        <w:t>»do dnešního umění vtrhla úžasná obrazotvornost,« psalo se tam; »výtvarník přestal zpodobovat, kopírovat předměty, mo</w:t>
      </w:r>
      <w:r>
        <w:rPr>
          <w:sz w:val="18"/>
          <w:szCs w:val="18"/>
        </w:rPr>
        <w:softHyphen/>
        <w:t xml:space="preserve">derní </w:t>
      </w:r>
      <w:r>
        <w:rPr>
          <w:sz w:val="18"/>
          <w:szCs w:val="18"/>
        </w:rPr>
        <w:t>výtvarník maluje své sny.,. Obecenstvo nestačí držet krok v chápání těchto nových výtvarných výbojů a mělo by být tedy poučováno. Třeba sám vystavující umělec by měl nechá</w:t>
      </w:r>
      <w:r>
        <w:rPr>
          <w:sz w:val="18"/>
          <w:szCs w:val="18"/>
        </w:rPr>
        <w:softHyphen/>
        <w:t>pavým pozorovatelům vysvětlit, co jeho obraz znamená, co jím chtěl říci...«</w:t>
      </w:r>
    </w:p>
    <w:p w:rsidR="00500724" w:rsidRDefault="00F30FB8">
      <w:pPr>
        <w:pStyle w:val="Zkladntext1"/>
        <w:shd w:val="clear" w:color="auto" w:fill="auto"/>
        <w:spacing w:line="180" w:lineRule="auto"/>
        <w:ind w:firstLine="240"/>
        <w:rPr>
          <w:sz w:val="18"/>
          <w:szCs w:val="18"/>
        </w:rPr>
      </w:pPr>
      <w:r>
        <w:rPr>
          <w:sz w:val="18"/>
          <w:szCs w:val="18"/>
        </w:rPr>
        <w:t xml:space="preserve">Potud Zatloukal. A Horký, chytaje pisatele za slovo: »Obraz jako </w:t>
      </w:r>
      <w:r>
        <w:rPr>
          <w:sz w:val="18"/>
          <w:szCs w:val="18"/>
          <w:lang w:val="en-US" w:eastAsia="en-US" w:bidi="en-US"/>
        </w:rPr>
        <w:t xml:space="preserve">rebus? </w:t>
      </w:r>
      <w:r>
        <w:rPr>
          <w:sz w:val="18"/>
          <w:szCs w:val="18"/>
        </w:rPr>
        <w:t>Obraz jako záhada, kterou je třeba teprve řešit a širšímu obecenstvu vysvětlovat? ... Dejte si už jednou s námi tu práci, odbedněte nám hlavy, zatrubte nám své vy</w:t>
      </w:r>
      <w:r>
        <w:rPr>
          <w:sz w:val="18"/>
          <w:szCs w:val="18"/>
        </w:rPr>
        <w:softHyphen/>
        <w:t xml:space="preserve">světlení důkladně do </w:t>
      </w:r>
      <w:r>
        <w:rPr>
          <w:sz w:val="18"/>
          <w:szCs w:val="18"/>
        </w:rPr>
        <w:t>nich, nic se neurazíme. Pozvěte si nás, nechápavý dav, na Slovanský ostrov, rozvěšte tam trochu takových rébusů, ukazujte na ně hůlkou, odhalte nám srozu</w:t>
      </w:r>
      <w:r>
        <w:rPr>
          <w:sz w:val="18"/>
          <w:szCs w:val="18"/>
        </w:rPr>
        <w:softHyphen/>
        <w:t>mitelným slovem jejich tajemství, poučte nás.«</w:t>
      </w:r>
    </w:p>
    <w:p w:rsidR="00500724" w:rsidRDefault="00F30FB8">
      <w:pPr>
        <w:pStyle w:val="Zkladntext1"/>
        <w:shd w:val="clear" w:color="auto" w:fill="auto"/>
        <w:spacing w:line="221" w:lineRule="auto"/>
        <w:ind w:firstLine="240"/>
        <w:rPr>
          <w:sz w:val="18"/>
          <w:szCs w:val="18"/>
        </w:rPr>
      </w:pPr>
      <w:r>
        <w:rPr>
          <w:sz w:val="18"/>
          <w:szCs w:val="18"/>
        </w:rPr>
        <w:t>Je možno odmítnout? Horký odpovídá logicky na Za- ilouk</w:t>
      </w:r>
      <w:r>
        <w:rPr>
          <w:sz w:val="18"/>
          <w:szCs w:val="18"/>
        </w:rPr>
        <w:t>alův návrh, nobecenstvo mělo být poučováno</w:t>
      </w:r>
      <w:r>
        <w:rPr>
          <w:rFonts w:ascii="Arial" w:eastAsia="Arial" w:hAnsi="Arial" w:cs="Arial"/>
          <w:smallCaps/>
          <w:sz w:val="15"/>
          <w:szCs w:val="15"/>
        </w:rPr>
        <w:t>k,</w:t>
      </w:r>
      <w:r>
        <w:rPr>
          <w:sz w:val="18"/>
          <w:szCs w:val="18"/>
        </w:rPr>
        <w:t xml:space="preserve"> jdi tedy a poučuj. Nevěří Horký, že by se někdo tohoto úkolu nepodjal? I podjal, je dost takových. A že by se mu to ne</w:t>
      </w:r>
      <w:r>
        <w:rPr>
          <w:sz w:val="18"/>
          <w:szCs w:val="18"/>
        </w:rPr>
        <w:softHyphen/>
        <w:t>povedlo? Uvidíme.</w:t>
      </w:r>
    </w:p>
    <w:p w:rsidR="00500724" w:rsidRDefault="00F30FB8">
      <w:pPr>
        <w:pStyle w:val="Zkladntext1"/>
        <w:shd w:val="clear" w:color="auto" w:fill="auto"/>
        <w:spacing w:line="221" w:lineRule="auto"/>
        <w:ind w:firstLine="240"/>
        <w:rPr>
          <w:sz w:val="18"/>
          <w:szCs w:val="18"/>
        </w:rPr>
      </w:pPr>
      <w:r>
        <w:rPr>
          <w:sz w:val="18"/>
          <w:szCs w:val="18"/>
        </w:rPr>
        <w:t xml:space="preserve">Zopakujmež </w:t>
      </w:r>
      <w:r>
        <w:rPr>
          <w:sz w:val="18"/>
          <w:szCs w:val="18"/>
          <w:lang w:val="en-US" w:eastAsia="en-US" w:bidi="en-US"/>
        </w:rPr>
        <w:t xml:space="preserve">si: </w:t>
      </w:r>
      <w:r>
        <w:rPr>
          <w:rFonts w:ascii="Arial" w:eastAsia="Arial" w:hAnsi="Arial" w:cs="Arial"/>
          <w:smallCaps/>
          <w:sz w:val="15"/>
          <w:szCs w:val="15"/>
        </w:rPr>
        <w:t>j</w:t>
      </w:r>
      <w:r>
        <w:rPr>
          <w:sz w:val="18"/>
          <w:szCs w:val="18"/>
        </w:rPr>
        <w:t>výtvarník přestal zpodobovat, kopíro</w:t>
      </w:r>
      <w:r>
        <w:rPr>
          <w:sz w:val="18"/>
          <w:szCs w:val="18"/>
        </w:rPr>
        <w:softHyphen/>
        <w:t>vat přírodu...»</w:t>
      </w:r>
    </w:p>
    <w:p w:rsidR="00500724" w:rsidRDefault="00F30FB8">
      <w:pPr>
        <w:pStyle w:val="Zkladntext1"/>
        <w:shd w:val="clear" w:color="auto" w:fill="auto"/>
        <w:spacing w:line="221" w:lineRule="auto"/>
        <w:ind w:firstLine="240"/>
        <w:rPr>
          <w:sz w:val="18"/>
          <w:szCs w:val="18"/>
        </w:rPr>
      </w:pPr>
      <w:r>
        <w:rPr>
          <w:sz w:val="18"/>
          <w:szCs w:val="18"/>
        </w:rPr>
        <w:t xml:space="preserve">Milí </w:t>
      </w:r>
      <w:r>
        <w:rPr>
          <w:sz w:val="18"/>
          <w:szCs w:val="18"/>
        </w:rPr>
        <w:t>a vážení pánové! Ani ten nejmizernější kýčař, ten s břízkami, nezpodobuje, nekopíruje. Snad nedělal je ani v plenéru/ dojista však tu trávu přizelenil, tam nebe při- modřil, tu cestičku přikroutil - aby se to líbilo. Natož pak nějaký mistr renaissanční. Sn</w:t>
      </w:r>
      <w:r>
        <w:rPr>
          <w:sz w:val="18"/>
          <w:szCs w:val="18"/>
        </w:rPr>
        <w:t>ad známo je, že ty jejich obrazy jsou umně a důmyslně komponovány v prostoru, tvaru, barvě, a to je tedy opak zpodobování. Ale snad ale</w:t>
      </w:r>
      <w:r>
        <w:rPr>
          <w:sz w:val="18"/>
          <w:szCs w:val="18"/>
        </w:rPr>
        <w:softHyphen/>
        <w:t>spoň impresionisti Monet, Slavíček ... Znáte Moneta ? A znáte Slavíčka? Myslíte, že ten pathos jeho Kameniček je z kopír</w:t>
      </w:r>
      <w:r>
        <w:rPr>
          <w:sz w:val="18"/>
          <w:szCs w:val="18"/>
        </w:rPr>
        <w:t>ování předmětu? A chce snad někdo dokonce tvrdit, že Vltavu u Tróje namaloval tak, jak ji viděl? Vel</w:t>
      </w:r>
      <w:r>
        <w:rPr>
          <w:sz w:val="18"/>
          <w:szCs w:val="18"/>
        </w:rPr>
        <w:softHyphen/>
        <w:t>mi divně by ji byl viděl, kdyby ji byl takhle viděl a ne teprve namaloval. sVýtvarník přestal kopírovali...« Ale ne. On nepřestal. On totiž vůbec nezačal.</w:t>
      </w:r>
    </w:p>
    <w:p w:rsidR="00500724" w:rsidRDefault="00F30FB8">
      <w:pPr>
        <w:pStyle w:val="Zkladntext1"/>
        <w:shd w:val="clear" w:color="auto" w:fill="auto"/>
        <w:spacing w:line="221" w:lineRule="auto"/>
        <w:ind w:firstLine="240"/>
        <w:rPr>
          <w:sz w:val="18"/>
          <w:szCs w:val="18"/>
        </w:rPr>
      </w:pPr>
      <w:r>
        <w:rPr>
          <w:sz w:val="18"/>
          <w:szCs w:val="18"/>
        </w:rPr>
        <w:t>»Moderní výtvarník maluje své sny.* Tak hle, vlastně tedy moderní umění začalo » zpodobovat, kopírovat před</w:t>
      </w:r>
      <w:r>
        <w:rPr>
          <w:sz w:val="18"/>
          <w:szCs w:val="18"/>
        </w:rPr>
        <w:softHyphen/>
        <w:t>měty*, buďtež těmito předměty sny. Poněvadž sen je také předmět, nezáleží na tom, že vymyšlený, vysněný/ ale na každý způsob je to nzpodobování, kop</w:t>
      </w:r>
      <w:r>
        <w:rPr>
          <w:sz w:val="18"/>
          <w:szCs w:val="18"/>
        </w:rPr>
        <w:t>írování*. Vidíte, až sem jsme došli. Co teď? Vzít hůlku, ukazovat jí na obra</w:t>
      </w:r>
      <w:r>
        <w:rPr>
          <w:sz w:val="18"/>
          <w:szCs w:val="18"/>
        </w:rPr>
        <w:softHyphen/>
        <w:t>zy... Nezbývá nic jiného. Bereme hůlku, jdeme před obrazy.</w:t>
      </w:r>
    </w:p>
    <w:p w:rsidR="00500724" w:rsidRDefault="00F30FB8">
      <w:pPr>
        <w:pStyle w:val="Zkladntext1"/>
        <w:shd w:val="clear" w:color="auto" w:fill="auto"/>
        <w:spacing w:line="194" w:lineRule="auto"/>
        <w:ind w:firstLine="0"/>
        <w:jc w:val="center"/>
        <w:rPr>
          <w:sz w:val="18"/>
          <w:szCs w:val="18"/>
        </w:rPr>
      </w:pPr>
      <w:r>
        <w:rPr>
          <w:sz w:val="18"/>
          <w:szCs w:val="18"/>
        </w:rPr>
        <w:t>•</w:t>
      </w:r>
    </w:p>
    <w:p w:rsidR="00500724" w:rsidRDefault="00F30FB8">
      <w:pPr>
        <w:pStyle w:val="Zkladntext1"/>
        <w:shd w:val="clear" w:color="auto" w:fill="auto"/>
        <w:spacing w:line="221" w:lineRule="auto"/>
        <w:ind w:firstLine="240"/>
        <w:rPr>
          <w:sz w:val="18"/>
          <w:szCs w:val="18"/>
        </w:rPr>
      </w:pPr>
      <w:r>
        <w:rPr>
          <w:sz w:val="18"/>
          <w:szCs w:val="18"/>
        </w:rPr>
        <w:t xml:space="preserve">Abyste nám nevyčítali obmyslnost, nezačneme, jak se to dělává, ani s Negry, ani s Byzancí, ani s praeklasickým uměním </w:t>
      </w:r>
      <w:r>
        <w:rPr>
          <w:sz w:val="18"/>
          <w:szCs w:val="18"/>
        </w:rPr>
        <w:t>řeckým, ani s uměním středověkým.</w:t>
      </w:r>
    </w:p>
    <w:p w:rsidR="00500724" w:rsidRDefault="00F30FB8">
      <w:pPr>
        <w:pStyle w:val="Zkladntext1"/>
        <w:shd w:val="clear" w:color="auto" w:fill="auto"/>
        <w:spacing w:line="221" w:lineRule="auto"/>
        <w:ind w:firstLine="240"/>
        <w:rPr>
          <w:sz w:val="18"/>
          <w:szCs w:val="18"/>
        </w:rPr>
      </w:pPr>
      <w:r>
        <w:rPr>
          <w:sz w:val="18"/>
          <w:szCs w:val="18"/>
        </w:rPr>
        <w:t>Listujme jen tak v reprodukcích nejznámějších děl Lio- nardových, Tizianových, Velasquezových a tak dál a tak dál... vyberte si podle svého gusta.</w:t>
      </w:r>
    </w:p>
    <w:p w:rsidR="00500724" w:rsidRDefault="00F30FB8">
      <w:pPr>
        <w:pStyle w:val="Zkladntext1"/>
        <w:shd w:val="clear" w:color="auto" w:fill="auto"/>
        <w:spacing w:line="221" w:lineRule="auto"/>
        <w:ind w:firstLine="240"/>
        <w:rPr>
          <w:sz w:val="18"/>
          <w:szCs w:val="18"/>
        </w:rPr>
      </w:pPr>
      <w:r>
        <w:rPr>
          <w:sz w:val="18"/>
          <w:szCs w:val="18"/>
        </w:rPr>
        <w:t>A před každým, před každým se ptejme: záleží tento obraz v tom, kolik se op</w:t>
      </w:r>
      <w:r>
        <w:rPr>
          <w:sz w:val="18"/>
          <w:szCs w:val="18"/>
        </w:rPr>
        <w:t>írá o skutečnost, čí v tom, co s ní a z ní dělá?</w:t>
      </w:r>
    </w:p>
    <w:p w:rsidR="00500724" w:rsidRDefault="00F30FB8">
      <w:pPr>
        <w:pStyle w:val="Zkladntext1"/>
        <w:shd w:val="clear" w:color="auto" w:fill="auto"/>
        <w:spacing w:line="221" w:lineRule="auto"/>
        <w:ind w:firstLine="240"/>
        <w:rPr>
          <w:sz w:val="18"/>
          <w:szCs w:val="18"/>
        </w:rPr>
      </w:pPr>
      <w:r>
        <w:rPr>
          <w:sz w:val="18"/>
          <w:szCs w:val="18"/>
        </w:rPr>
        <w:t>To velké, to úžasné, to krásné, v čem je?</w:t>
      </w:r>
    </w:p>
    <w:p w:rsidR="00500724" w:rsidRDefault="00F30FB8">
      <w:pPr>
        <w:pStyle w:val="Zkladntext1"/>
        <w:shd w:val="clear" w:color="auto" w:fill="auto"/>
        <w:spacing w:line="221" w:lineRule="auto"/>
        <w:ind w:firstLine="240"/>
        <w:rPr>
          <w:sz w:val="18"/>
          <w:szCs w:val="18"/>
        </w:rPr>
      </w:pPr>
      <w:r>
        <w:rPr>
          <w:sz w:val="18"/>
          <w:szCs w:val="18"/>
        </w:rPr>
        <w:t>A snad dospějeme v nerušené shodě k tomu, abychom si řekli, že uměleckost obrazu záleží v tom, kolik se od sku</w:t>
      </w:r>
      <w:r>
        <w:rPr>
          <w:sz w:val="18"/>
          <w:szCs w:val="18"/>
        </w:rPr>
        <w:softHyphen/>
        <w:t>tečnosti - tak zvané skutečnosti - liší/ právě v tom o</w:t>
      </w:r>
      <w:r>
        <w:rPr>
          <w:sz w:val="18"/>
          <w:szCs w:val="18"/>
        </w:rPr>
        <w:t>ddálení, divném rozporu, rozryvném, otřásajícím, obluzujícím rozporu, v té závratné skulině, která tu je mezi obrazem a tím, čemu říkáváme skutečnost, v tom je to, proč je obraz uměním. A z té skuliny cosi se line, až to bolí.</w:t>
      </w:r>
    </w:p>
    <w:p w:rsidR="00500724" w:rsidRDefault="00F30FB8">
      <w:pPr>
        <w:pStyle w:val="Zkladntext1"/>
        <w:shd w:val="clear" w:color="auto" w:fill="auto"/>
        <w:spacing w:line="221" w:lineRule="auto"/>
        <w:ind w:firstLine="240"/>
        <w:rPr>
          <w:sz w:val="18"/>
          <w:szCs w:val="18"/>
        </w:rPr>
      </w:pPr>
      <w:r>
        <w:rPr>
          <w:sz w:val="18"/>
          <w:szCs w:val="18"/>
        </w:rPr>
        <w:t>Že je někdy štěrbina široká j</w:t>
      </w:r>
      <w:r>
        <w:rPr>
          <w:sz w:val="18"/>
          <w:szCs w:val="18"/>
        </w:rPr>
        <w:t>ak mezi znenáviděvšími sa protinožci a tma tmoucí? Že jindy štěrbinka uzoučká jako mezi milenci a záře, záře přes celý svět? A naopak. Na lom, jak je skulina široká, záleží ze všeho nejméně. Mamě Zatloukal tvrdí, že od té chvíle, kdy se obrazy přestaly po</w:t>
      </w:r>
      <w:r>
        <w:rPr>
          <w:sz w:val="18"/>
          <w:szCs w:val="18"/>
        </w:rPr>
        <w:softHyphen/>
      </w:r>
      <w:r>
        <w:rPr>
          <w:sz w:val="18"/>
          <w:szCs w:val="18"/>
        </w:rPr>
        <w:t>dobat skutečnosti, súžasná obrazotvornost vtrhla do dneš</w:t>
      </w:r>
      <w:r>
        <w:rPr>
          <w:sz w:val="18"/>
          <w:szCs w:val="18"/>
        </w:rPr>
        <w:softHyphen/>
        <w:t>ního umění.. .&lt; Ale ne</w:t>
      </w:r>
      <w:r>
        <w:rPr>
          <w:sz w:val="18"/>
          <w:szCs w:val="18"/>
          <w:vertAlign w:val="subscript"/>
        </w:rPr>
        <w:t>;</w:t>
      </w:r>
      <w:r>
        <w:rPr>
          <w:sz w:val="18"/>
          <w:szCs w:val="18"/>
        </w:rPr>
        <w:t xml:space="preserve"> netřeba se dovolávat zrovna jen Bosche/ ale </w:t>
      </w:r>
      <w:r>
        <w:rPr>
          <w:sz w:val="18"/>
          <w:szCs w:val="18"/>
          <w:lang w:val="en-US" w:eastAsia="en-US" w:bidi="en-US"/>
        </w:rPr>
        <w:t xml:space="preserve">co Tintoretto, Goya </w:t>
      </w:r>
      <w:r>
        <w:rPr>
          <w:sz w:val="18"/>
          <w:szCs w:val="18"/>
        </w:rPr>
        <w:t>a... a kdo chcete... Což tohle není úžasná obrazotvornost?</w:t>
      </w:r>
    </w:p>
    <w:p w:rsidR="00500724" w:rsidRDefault="00F30FB8">
      <w:pPr>
        <w:pStyle w:val="Zkladntext1"/>
        <w:shd w:val="clear" w:color="auto" w:fill="auto"/>
        <w:spacing w:line="211" w:lineRule="auto"/>
        <w:ind w:firstLine="240"/>
        <w:rPr>
          <w:sz w:val="18"/>
          <w:szCs w:val="18"/>
        </w:rPr>
      </w:pPr>
      <w:r>
        <w:rPr>
          <w:sz w:val="18"/>
          <w:szCs w:val="18"/>
        </w:rPr>
        <w:t>Ne-li, tož zlomme hůlku, již jsme ledva do ruky vzal</w:t>
      </w:r>
      <w:r>
        <w:rPr>
          <w:sz w:val="18"/>
          <w:szCs w:val="18"/>
        </w:rPr>
        <w:t xml:space="preserve">i, </w:t>
      </w:r>
      <w:r>
        <w:rPr>
          <w:b/>
          <w:bCs/>
        </w:rPr>
        <w:t xml:space="preserve">a </w:t>
      </w:r>
      <w:r>
        <w:rPr>
          <w:sz w:val="18"/>
          <w:szCs w:val="18"/>
        </w:rPr>
        <w:t>rkosatá triga přese mnei. (To je z Weinera.)</w:t>
      </w:r>
    </w:p>
    <w:p w:rsidR="00500724" w:rsidRDefault="00F30FB8">
      <w:pPr>
        <w:pStyle w:val="Zkladntext1"/>
        <w:shd w:val="clear" w:color="auto" w:fill="auto"/>
        <w:spacing w:line="218" w:lineRule="auto"/>
        <w:ind w:firstLine="240"/>
        <w:rPr>
          <w:sz w:val="18"/>
          <w:szCs w:val="18"/>
        </w:rPr>
      </w:pPr>
      <w:r>
        <w:rPr>
          <w:sz w:val="18"/>
          <w:szCs w:val="18"/>
        </w:rPr>
        <w:t>Ale jsme-li už tak daleko, že jsme se shodli v tom, že je tu cosi »úžasného«, »divného«, szávratnéhon, nechtějte, ne</w:t>
      </w:r>
      <w:r>
        <w:rPr>
          <w:sz w:val="18"/>
          <w:szCs w:val="18"/>
        </w:rPr>
        <w:softHyphen/>
        <w:t xml:space="preserve">chtějte, prosím, aby kdo řekl, co. »Sám vystavující umělec by měl vysvětlit, co jeho </w:t>
      </w:r>
      <w:r>
        <w:rPr>
          <w:sz w:val="18"/>
          <w:szCs w:val="18"/>
        </w:rPr>
        <w:t>obraz znamená.. .&lt; Pařízku, ne- vyrušujte, a řekněte nám obsah básně vlastními slovy I Co básník praví? Ejhle ho, tupce, ukažte své pochopení a řek</w:t>
      </w:r>
      <w:r>
        <w:rPr>
          <w:sz w:val="18"/>
          <w:szCs w:val="18"/>
        </w:rPr>
        <w:softHyphen/>
        <w:t>něte, co básník říci chtěl? Nevíte? Jděte do praktického života, porta patel, studente. Básník chtěl říci, ž</w:t>
      </w:r>
      <w:r>
        <w:rPr>
          <w:sz w:val="18"/>
          <w:szCs w:val="18"/>
        </w:rPr>
        <w:t>e je květen a že vnitřní sekrece způsobuje, že všecko má chuť se mi</w:t>
      </w:r>
      <w:r>
        <w:rPr>
          <w:sz w:val="18"/>
          <w:szCs w:val="18"/>
        </w:rPr>
        <w:softHyphen/>
        <w:t>lovat. Pročež tato báseň je klenot české poesie, zatím co vy vejráte na ni a nerozumíte jí.</w:t>
      </w:r>
    </w:p>
    <w:p w:rsidR="00500724" w:rsidRDefault="00F30FB8">
      <w:pPr>
        <w:pStyle w:val="Zkladntext1"/>
        <w:shd w:val="clear" w:color="auto" w:fill="auto"/>
        <w:spacing w:line="218" w:lineRule="auto"/>
        <w:ind w:firstLine="240"/>
        <w:rPr>
          <w:sz w:val="18"/>
          <w:szCs w:val="18"/>
        </w:rPr>
      </w:pPr>
      <w:r>
        <w:rPr>
          <w:sz w:val="18"/>
          <w:szCs w:val="18"/>
        </w:rPr>
        <w:t>Vejráme a nerozumíme. Co se dá namalovat, nedá se říci, co se dá říci, nedá se namalovat: tak je</w:t>
      </w:r>
      <w:r>
        <w:rPr>
          <w:sz w:val="18"/>
          <w:szCs w:val="18"/>
        </w:rPr>
        <w:t xml:space="preserve"> to. Obraz je věc bláznivá a záhadná, není pomoc. </w:t>
      </w:r>
      <w:r>
        <w:rPr>
          <w:sz w:val="18"/>
          <w:szCs w:val="18"/>
          <w:lang w:val="en-US" w:eastAsia="en-US" w:bidi="en-US"/>
        </w:rPr>
        <w:t xml:space="preserve">Rebus. Rebus, </w:t>
      </w:r>
      <w:r>
        <w:rPr>
          <w:sz w:val="18"/>
          <w:szCs w:val="18"/>
        </w:rPr>
        <w:t>a ne</w:t>
      </w:r>
      <w:r>
        <w:rPr>
          <w:sz w:val="18"/>
          <w:szCs w:val="18"/>
        </w:rPr>
        <w:softHyphen/>
        <w:t>řešitelný.</w:t>
      </w:r>
    </w:p>
    <w:p w:rsidR="00500724" w:rsidRDefault="00F30FB8">
      <w:pPr>
        <w:pStyle w:val="Zkladntext1"/>
        <w:shd w:val="clear" w:color="auto" w:fill="auto"/>
        <w:spacing w:line="218" w:lineRule="auto"/>
        <w:ind w:firstLine="240"/>
        <w:rPr>
          <w:sz w:val="18"/>
          <w:szCs w:val="18"/>
        </w:rPr>
      </w:pPr>
      <w:r>
        <w:rPr>
          <w:sz w:val="18"/>
          <w:szCs w:val="18"/>
        </w:rPr>
        <w:t>Neřešitelný, jako každá věc živá, jako všecko, jako toto STdce, které bije, jako tento krystal poslušný geometrie, jako tento paprsek, který se odrazil od vody.</w:t>
      </w:r>
    </w:p>
    <w:p w:rsidR="00500724" w:rsidRDefault="00F30FB8">
      <w:pPr>
        <w:pStyle w:val="Jin0"/>
        <w:shd w:val="clear" w:color="auto" w:fill="auto"/>
        <w:ind w:firstLine="0"/>
        <w:jc w:val="center"/>
        <w:rPr>
          <w:sz w:val="16"/>
          <w:szCs w:val="16"/>
        </w:rPr>
      </w:pPr>
      <w:r>
        <w:rPr>
          <w:rFonts w:ascii="Arial" w:eastAsia="Arial" w:hAnsi="Arial" w:cs="Arial"/>
          <w:b/>
          <w:bCs/>
          <w:sz w:val="16"/>
          <w:szCs w:val="16"/>
        </w:rPr>
        <w:t>9</w:t>
      </w:r>
    </w:p>
    <w:p w:rsidR="00500724" w:rsidRDefault="00F30FB8">
      <w:pPr>
        <w:pStyle w:val="Zkladntext1"/>
        <w:shd w:val="clear" w:color="auto" w:fill="auto"/>
        <w:spacing w:line="216" w:lineRule="auto"/>
        <w:ind w:firstLine="240"/>
        <w:rPr>
          <w:sz w:val="18"/>
          <w:szCs w:val="18"/>
        </w:rPr>
      </w:pPr>
      <w:r>
        <w:rPr>
          <w:sz w:val="18"/>
          <w:szCs w:val="18"/>
        </w:rPr>
        <w:t xml:space="preserve">Jděte mi k </w:t>
      </w:r>
      <w:r>
        <w:rPr>
          <w:sz w:val="18"/>
          <w:szCs w:val="18"/>
        </w:rPr>
        <w:t>šípku s uměleckou výchovou I Jediné, co se dá dělat, je, abyste obrazům důkladně, spolehlivě, nevý- vraíně a navždy nerozuměli.</w:t>
      </w:r>
    </w:p>
    <w:p w:rsidR="00500724" w:rsidRDefault="00F30FB8">
      <w:pPr>
        <w:pStyle w:val="Zkladntext1"/>
        <w:shd w:val="clear" w:color="auto" w:fill="auto"/>
        <w:spacing w:line="216" w:lineRule="auto"/>
        <w:ind w:firstLine="240"/>
        <w:rPr>
          <w:sz w:val="18"/>
          <w:szCs w:val="18"/>
        </w:rPr>
      </w:pPr>
      <w:r>
        <w:rPr>
          <w:sz w:val="18"/>
          <w:szCs w:val="18"/>
        </w:rPr>
        <w:t xml:space="preserve">To nemíní býti paradox. Chceme jen říci tolik: umění, obraz, báseň, skladba je věc živá, a nemůže býti chápána jinak než živým. </w:t>
      </w:r>
      <w:r>
        <w:rPr>
          <w:sz w:val="18"/>
          <w:szCs w:val="18"/>
        </w:rPr>
        <w:t>S uměním je třeba žili, používali ho jako pomůcky v životě, pomůcky v životu. Takto tedy/ a ne rozuměti, ne vykládali.</w:t>
      </w:r>
    </w:p>
    <w:p w:rsidR="00500724" w:rsidRDefault="00F30FB8">
      <w:pPr>
        <w:pStyle w:val="Zkladntext1"/>
        <w:shd w:val="clear" w:color="auto" w:fill="auto"/>
        <w:spacing w:line="216" w:lineRule="auto"/>
        <w:ind w:firstLine="240"/>
        <w:rPr>
          <w:sz w:val="18"/>
          <w:szCs w:val="18"/>
        </w:rPr>
      </w:pPr>
      <w:r>
        <w:rPr>
          <w:sz w:val="18"/>
          <w:szCs w:val="18"/>
        </w:rPr>
        <w:t>Má-li býti moderní umění souzeno, musí býti souzeno jen tímto způsobem.</w:t>
      </w:r>
    </w:p>
    <w:p w:rsidR="00500724" w:rsidRDefault="00F30FB8">
      <w:pPr>
        <w:pStyle w:val="Zkladntext1"/>
        <w:shd w:val="clear" w:color="auto" w:fill="auto"/>
        <w:spacing w:line="216" w:lineRule="auto"/>
        <w:ind w:firstLine="240"/>
        <w:rPr>
          <w:sz w:val="18"/>
          <w:szCs w:val="18"/>
        </w:rPr>
      </w:pPr>
      <w:r>
        <w:rPr>
          <w:sz w:val="18"/>
          <w:szCs w:val="18"/>
        </w:rPr>
        <w:t>Pochopitelně tedy může býti souzeno tím spíše, čím mo</w:t>
      </w:r>
      <w:r>
        <w:rPr>
          <w:sz w:val="18"/>
          <w:szCs w:val="18"/>
        </w:rPr>
        <w:softHyphen/>
        <w:t>hutnější ži</w:t>
      </w:r>
      <w:r>
        <w:rPr>
          <w:sz w:val="18"/>
          <w:szCs w:val="18"/>
        </w:rPr>
        <w:t>votní intensita si ho bude používali. Proto snob, který jde za zvláštností, apartnosíí, neobvyklostí, za zají</w:t>
      </w:r>
      <w:r>
        <w:rPr>
          <w:sz w:val="18"/>
          <w:szCs w:val="18"/>
        </w:rPr>
        <w:softHyphen/>
        <w:t>mavostí, soudí nejpovrchněji. Proto společnost, která žije v příznivých životních poměrech, snadno, pohodlně, bez nesnází, bude soudcem málo rozez</w:t>
      </w:r>
      <w:r>
        <w:rPr>
          <w:sz w:val="18"/>
          <w:szCs w:val="18"/>
        </w:rPr>
        <w:t>návajícím,- a společnost, na kterou přijdou těžké doby, která se ocitne bez starých a zavedených jistot, která se bude muset ztěžka orientovat, ta vloží i na umění nové a těžší požadavky, požadavky větší životní výnosnosti.</w:t>
      </w:r>
    </w:p>
    <w:p w:rsidR="00500724" w:rsidRDefault="00F30FB8">
      <w:pPr>
        <w:pStyle w:val="Zkladntext1"/>
        <w:shd w:val="clear" w:color="auto" w:fill="auto"/>
        <w:spacing w:line="218" w:lineRule="auto"/>
        <w:ind w:firstLine="240"/>
        <w:rPr>
          <w:sz w:val="18"/>
          <w:szCs w:val="18"/>
        </w:rPr>
      </w:pPr>
      <w:r>
        <w:rPr>
          <w:sz w:val="18"/>
          <w:szCs w:val="18"/>
        </w:rPr>
        <w:t>Ocitáme se teď v této situaci, n</w:t>
      </w:r>
      <w:r>
        <w:rPr>
          <w:sz w:val="18"/>
          <w:szCs w:val="18"/>
        </w:rPr>
        <w:t>ejen my v Cechách. V moderním umění se již nějakou dobu rozvíjí skrytá krise,- a snad se nemýlíme, soudíme-li, že to moderní umě</w:t>
      </w:r>
      <w:r>
        <w:rPr>
          <w:sz w:val="18"/>
          <w:szCs w:val="18"/>
        </w:rPr>
        <w:softHyphen/>
        <w:t>ní téže se samo sebe, co vykonalo a co je schopno vy</w:t>
      </w:r>
      <w:r>
        <w:rPr>
          <w:sz w:val="18"/>
          <w:szCs w:val="18"/>
        </w:rPr>
        <w:softHyphen/>
        <w:t>konat. Je nutná tato krise a tato revise. Kolik věcí špatných a mátožných,</w:t>
      </w:r>
      <w:r>
        <w:rPr>
          <w:sz w:val="18"/>
          <w:szCs w:val="18"/>
        </w:rPr>
        <w:t xml:space="preserve"> kolik hochšfaplerství a drobných podvůdků, kolik ubohosti a kolik drzosti se přiživilo po válce na mo</w:t>
      </w:r>
      <w:r>
        <w:rPr>
          <w:sz w:val="18"/>
          <w:szCs w:val="18"/>
        </w:rPr>
        <w:softHyphen/>
        <w:t>derním umění! Jak zkorumpovávala jeho konjunktura!</w:t>
      </w:r>
    </w:p>
    <w:p w:rsidR="00500724" w:rsidRDefault="00F30FB8">
      <w:pPr>
        <w:pStyle w:val="Zkladntext1"/>
        <w:shd w:val="clear" w:color="auto" w:fill="auto"/>
        <w:spacing w:line="218" w:lineRule="auto"/>
        <w:ind w:firstLine="240"/>
        <w:rPr>
          <w:sz w:val="18"/>
          <w:szCs w:val="18"/>
        </w:rPr>
      </w:pPr>
      <w:r>
        <w:rPr>
          <w:sz w:val="18"/>
          <w:szCs w:val="18"/>
        </w:rPr>
        <w:t>Ale tato revise nemůže býti vykonána a tedy nebude vykonána ani racíonalistickým rozborem s hůlkou v r</w:t>
      </w:r>
      <w:r>
        <w:rPr>
          <w:sz w:val="18"/>
          <w:szCs w:val="18"/>
        </w:rPr>
        <w:t>uce, ani přísným vyšetřením, co se má a co se nesmí.</w:t>
      </w:r>
    </w:p>
    <w:p w:rsidR="00500724" w:rsidRDefault="00F30FB8">
      <w:pPr>
        <w:pStyle w:val="Zkladntext1"/>
        <w:shd w:val="clear" w:color="auto" w:fill="auto"/>
        <w:spacing w:line="218" w:lineRule="auto"/>
        <w:ind w:firstLine="240"/>
        <w:rPr>
          <w:sz w:val="18"/>
          <w:szCs w:val="18"/>
        </w:rPr>
      </w:pPr>
      <w:r>
        <w:rPr>
          <w:sz w:val="18"/>
          <w:szCs w:val="18"/>
        </w:rPr>
        <w:t>Život sám musí sebou změřit moderní umění, a každý jeho čin zvlášť, každý jeho obraz, každou jeho sochu zvlášť. Nebojte se, vykoná to se spravedlivostí nejneúpros</w:t>
      </w:r>
      <w:r>
        <w:rPr>
          <w:sz w:val="18"/>
          <w:szCs w:val="18"/>
        </w:rPr>
        <w:softHyphen/>
        <w:t>nější. Kdo však dnes může říci, který že</w:t>
      </w:r>
      <w:r>
        <w:rPr>
          <w:sz w:val="18"/>
          <w:szCs w:val="18"/>
        </w:rPr>
        <w:t xml:space="preserve"> obraz a socha zů</w:t>
      </w:r>
      <w:r>
        <w:rPr>
          <w:sz w:val="18"/>
          <w:szCs w:val="18"/>
        </w:rPr>
        <w:softHyphen/>
        <w:t>stanou, mluveno slovy Horkého, isrozumiielné bez rozdílu všem českým srdcím a duším«, a dál ještě, kterému že zmatku, kterému těžkému a jen uzoučkému kroužku za</w:t>
      </w:r>
      <w:r>
        <w:rPr>
          <w:sz w:val="18"/>
          <w:szCs w:val="18"/>
        </w:rPr>
        <w:softHyphen/>
        <w:t>svěcenců určenému experimentu budou vděčit za to, že jim otevřely cestu? Nech</w:t>
      </w:r>
      <w:r>
        <w:rPr>
          <w:sz w:val="18"/>
          <w:szCs w:val="18"/>
        </w:rPr>
        <w:t>te čas zrát, je tajemný a nikdo neví, po čem se pídí. Buďte trpěliví a nepředpisujte mu, stejně se nakonec zařídí po svém.</w:t>
      </w:r>
    </w:p>
    <w:p w:rsidR="00500724" w:rsidRDefault="00F30FB8">
      <w:pPr>
        <w:pStyle w:val="Zkladntext1"/>
        <w:shd w:val="clear" w:color="auto" w:fill="auto"/>
        <w:spacing w:line="218" w:lineRule="auto"/>
        <w:ind w:firstLine="240"/>
        <w:rPr>
          <w:sz w:val="18"/>
          <w:szCs w:val="18"/>
        </w:rPr>
      </w:pPr>
      <w:r>
        <w:rPr>
          <w:sz w:val="18"/>
          <w:szCs w:val="18"/>
        </w:rPr>
        <w:t xml:space="preserve">Jistě od minulého století zase — není to v dějinách po prvé - nabývá umění rysu laboratornosti, jako v nějaké tajné shodě s celkovým </w:t>
      </w:r>
      <w:r>
        <w:rPr>
          <w:sz w:val="18"/>
          <w:szCs w:val="18"/>
        </w:rPr>
        <w:t xml:space="preserve">charakterem moderního ducha, jak se snad nejvýrazněji projevil v současné vědě. Plan- ckova teorie kvant je jistě ještě o kousek záhadnější, rebu- sovitější, nesrozumitelnější než Picassovy obrazy/ a přece nikdo to Planckovi nevyčte. Nejsou to snad </w:t>
      </w:r>
      <w:r>
        <w:rPr>
          <w:b/>
          <w:bCs/>
        </w:rPr>
        <w:t>tyglíky</w:t>
      </w:r>
      <w:r>
        <w:rPr>
          <w:b/>
          <w:bCs/>
        </w:rPr>
        <w:t xml:space="preserve">, </w:t>
      </w:r>
      <w:r>
        <w:rPr>
          <w:sz w:val="18"/>
          <w:szCs w:val="18"/>
        </w:rPr>
        <w:t>v nichž se vaří budoucnost? Je možné, aby toto hrozné úsilí ducha mělo skončit jen ve foliantech knih a kumbá- lech galerií?</w:t>
      </w:r>
    </w:p>
    <w:p w:rsidR="00500724" w:rsidRDefault="00F30FB8">
      <w:pPr>
        <w:pStyle w:val="Zkladntext1"/>
        <w:shd w:val="clear" w:color="auto" w:fill="auto"/>
        <w:spacing w:after="80" w:line="218" w:lineRule="auto"/>
        <w:ind w:firstLine="0"/>
        <w:jc w:val="center"/>
        <w:rPr>
          <w:sz w:val="18"/>
          <w:szCs w:val="18"/>
        </w:rPr>
      </w:pPr>
      <w:r>
        <w:rPr>
          <w:sz w:val="18"/>
          <w:szCs w:val="18"/>
        </w:rPr>
        <w:t>•</w:t>
      </w:r>
    </w:p>
    <w:p w:rsidR="00500724" w:rsidRDefault="00F30FB8">
      <w:pPr>
        <w:pStyle w:val="Zkladntext1"/>
        <w:shd w:val="clear" w:color="auto" w:fill="auto"/>
        <w:spacing w:line="218" w:lineRule="auto"/>
        <w:ind w:firstLine="240"/>
        <w:rPr>
          <w:sz w:val="18"/>
          <w:szCs w:val="18"/>
        </w:rPr>
      </w:pPr>
      <w:r>
        <w:rPr>
          <w:sz w:val="18"/>
          <w:szCs w:val="18"/>
        </w:rPr>
        <w:t xml:space="preserve">Horký žádá nejen umění srozumitelné, ale také české. Srozumitelně české nebo česky srozumitelné. </w:t>
      </w:r>
      <w:r>
        <w:rPr>
          <w:b/>
          <w:bCs/>
        </w:rPr>
        <w:t xml:space="preserve">A </w:t>
      </w:r>
      <w:r>
        <w:rPr>
          <w:sz w:val="18"/>
          <w:szCs w:val="18"/>
        </w:rPr>
        <w:t>hned nás také vede před přík</w:t>
      </w:r>
      <w:r>
        <w:rPr>
          <w:sz w:val="18"/>
          <w:szCs w:val="18"/>
        </w:rPr>
        <w:t>lad: Hynaisovu oponu v Národním divadle.</w:t>
      </w:r>
    </w:p>
    <w:p w:rsidR="00500724" w:rsidRDefault="00F30FB8">
      <w:pPr>
        <w:pStyle w:val="Zkladntext1"/>
        <w:shd w:val="clear" w:color="auto" w:fill="auto"/>
        <w:spacing w:line="221" w:lineRule="auto"/>
        <w:ind w:firstLine="240"/>
        <w:rPr>
          <w:sz w:val="18"/>
          <w:szCs w:val="18"/>
        </w:rPr>
      </w:pPr>
      <w:r>
        <w:rPr>
          <w:sz w:val="18"/>
          <w:szCs w:val="18"/>
        </w:rPr>
        <w:t>Mluvit o národním charakteru, a dokonce o národním charakteru umění, je věc velmi ošemetná. Kdo je fran</w:t>
      </w:r>
      <w:r>
        <w:rPr>
          <w:sz w:val="18"/>
          <w:szCs w:val="18"/>
        </w:rPr>
        <w:softHyphen/>
        <w:t xml:space="preserve">couzště jší: Mallarmé nebo </w:t>
      </w:r>
      <w:r>
        <w:rPr>
          <w:sz w:val="18"/>
          <w:szCs w:val="18"/>
          <w:lang w:val="en-US" w:eastAsia="en-US" w:bidi="en-US"/>
        </w:rPr>
        <w:t>Rabelais?</w:t>
      </w:r>
    </w:p>
    <w:p w:rsidR="00500724" w:rsidRDefault="00F30FB8">
      <w:pPr>
        <w:pStyle w:val="Zkladntext1"/>
        <w:shd w:val="clear" w:color="auto" w:fill="auto"/>
        <w:spacing w:line="223" w:lineRule="auto"/>
        <w:ind w:firstLine="240"/>
        <w:rPr>
          <w:sz w:val="18"/>
          <w:szCs w:val="18"/>
        </w:rPr>
      </w:pPr>
      <w:r>
        <w:rPr>
          <w:sz w:val="18"/>
          <w:szCs w:val="18"/>
        </w:rPr>
        <w:t>Přesto však, pokusme se. S výhradou všech omylů.</w:t>
      </w:r>
    </w:p>
    <w:p w:rsidR="00500724" w:rsidRDefault="00F30FB8">
      <w:pPr>
        <w:pStyle w:val="Zkladntext1"/>
        <w:shd w:val="clear" w:color="auto" w:fill="auto"/>
        <w:spacing w:line="223" w:lineRule="auto"/>
        <w:ind w:firstLine="240"/>
        <w:rPr>
          <w:sz w:val="18"/>
          <w:szCs w:val="18"/>
        </w:rPr>
      </w:pPr>
      <w:r>
        <w:rPr>
          <w:sz w:val="18"/>
          <w:szCs w:val="18"/>
        </w:rPr>
        <w:t xml:space="preserve">Namátkou začněme u Osmy. </w:t>
      </w:r>
      <w:r>
        <w:rPr>
          <w:sz w:val="18"/>
          <w:szCs w:val="18"/>
        </w:rPr>
        <w:t>Počínají od Muncha,- pak jedou do Berlína/ teprve odtamtud do Paříže/ a zase po</w:t>
      </w:r>
      <w:r>
        <w:rPr>
          <w:sz w:val="18"/>
          <w:szCs w:val="18"/>
        </w:rPr>
        <w:softHyphen/>
        <w:t>tkávají Gogha. Ale jak zvláštně reagují! Brání se roz- máchlosti a afektu, ke kterému tyto vzory nejspíš svádí. Ztemní a ztlumí i Gogha, i Muncha, hledají konstrukci, řád. Vizt</w:t>
      </w:r>
      <w:r>
        <w:rPr>
          <w:sz w:val="18"/>
          <w:szCs w:val="18"/>
        </w:rPr>
        <w:t>e Slavíčka/ francouzský impressionismus mu na</w:t>
      </w:r>
      <w:r>
        <w:rPr>
          <w:sz w:val="18"/>
          <w:szCs w:val="18"/>
        </w:rPr>
        <w:softHyphen/>
        <w:t>bízí všechen ohňostroj nevídaných barev a všechny ne</w:t>
      </w:r>
      <w:r>
        <w:rPr>
          <w:sz w:val="18"/>
          <w:szCs w:val="18"/>
        </w:rPr>
        <w:softHyphen/>
        <w:t>známé svobody štětce/ když po této pobídce uvolní svůj štětec od všech pravidel, hned zároveň přinucuje barvu téměř k monochromii a zamýšlí se nad stavbou ob</w:t>
      </w:r>
      <w:r>
        <w:rPr>
          <w:sz w:val="18"/>
          <w:szCs w:val="18"/>
        </w:rPr>
        <w:t>razu. Vizme generaci Národního divadla, kterou Horký tak obdivuje, a ty dva největší z nich, a já říkám jediné velké mezi nimi: Alše a Myslbeka. Aleš: první kresby rozviřují linku v nějaký divoký čardáš - a hned pak přijde Vlast, a tato linie svírá se v tv</w:t>
      </w:r>
      <w:r>
        <w:rPr>
          <w:sz w:val="18"/>
          <w:szCs w:val="18"/>
        </w:rPr>
        <w:t>rdou monumentalitu/ a na konec uzavírá svůj umělecký osud na několik nej</w:t>
      </w:r>
      <w:r>
        <w:rPr>
          <w:sz w:val="18"/>
          <w:szCs w:val="18"/>
        </w:rPr>
        <w:softHyphen/>
        <w:t xml:space="preserve">skromnějších, nejchudších kartiček papíru, jen zlehka popsaných krátkými čárkami špičatého pera, jediné slze není dovoleno, aby je rozpíla, aby prohloubila stín, aby změkčila křivku. </w:t>
      </w:r>
      <w:r>
        <w:rPr>
          <w:sz w:val="18"/>
          <w:szCs w:val="18"/>
        </w:rPr>
        <w:t>A co je jiného Myslbek, než stále stou</w:t>
      </w:r>
      <w:r>
        <w:rPr>
          <w:sz w:val="18"/>
          <w:szCs w:val="18"/>
        </w:rPr>
        <w:softHyphen/>
        <w:t>pající úsilí o přetavení každého lyrického rozmachu v těžký kov uzavřeného tvaru? Pohleďme na generaci realistickou, na Purkyně, na Pinkase, zase totéž. Jako by české malbě ze všeho nejvíce neseděl afekt a efekt. Jako</w:t>
      </w:r>
      <w:r>
        <w:rPr>
          <w:sz w:val="18"/>
          <w:szCs w:val="18"/>
        </w:rPr>
        <w:t xml:space="preserve"> by vždycky vyrovnávala svůj pathos vnitřním utužením a vnější nenápadností/ nikdy si nedovolí rozletět se a rozbouřit se někam ke grimase, k rétorice. Jen vzpomeňte i toho Brandla,- uprostřed vší výmluvné teatrálnosti ba</w:t>
      </w:r>
      <w:r>
        <w:rPr>
          <w:sz w:val="18"/>
          <w:szCs w:val="18"/>
        </w:rPr>
        <w:softHyphen/>
        <w:t>rokní je vždy trochu chudší na poh</w:t>
      </w:r>
      <w:r>
        <w:rPr>
          <w:sz w:val="18"/>
          <w:szCs w:val="18"/>
        </w:rPr>
        <w:t>yb, na gesto/ konden- suje je, usměrňuje je</w:t>
      </w:r>
      <w:r>
        <w:rPr>
          <w:sz w:val="18"/>
          <w:szCs w:val="18"/>
          <w:vertAlign w:val="subscript"/>
        </w:rPr>
        <w:t>ř</w:t>
      </w:r>
      <w:r>
        <w:rPr>
          <w:sz w:val="18"/>
          <w:szCs w:val="18"/>
        </w:rPr>
        <w:t xml:space="preserve"> jak těžko vzlétá jeho anděl na Pozdravení Tobiášově!, jaký neohrabanec mezi svými sou</w:t>
      </w:r>
      <w:r>
        <w:rPr>
          <w:sz w:val="18"/>
          <w:szCs w:val="18"/>
        </w:rPr>
        <w:softHyphen/>
        <w:t>časnými kolegy! A všechnu vášeň chce skrýt v tajnou extasi barvy.</w:t>
      </w:r>
    </w:p>
    <w:p w:rsidR="00500724" w:rsidRDefault="00F30FB8">
      <w:pPr>
        <w:pStyle w:val="Zkladntext1"/>
        <w:shd w:val="clear" w:color="auto" w:fill="auto"/>
        <w:spacing w:line="223" w:lineRule="auto"/>
        <w:ind w:firstLine="240"/>
        <w:rPr>
          <w:sz w:val="18"/>
          <w:szCs w:val="18"/>
        </w:rPr>
      </w:pPr>
      <w:r>
        <w:rPr>
          <w:sz w:val="18"/>
          <w:szCs w:val="18"/>
        </w:rPr>
        <w:t xml:space="preserve">Takové asi musí být umění národa, který ve svých osudových </w:t>
      </w:r>
      <w:r>
        <w:rPr>
          <w:sz w:val="18"/>
          <w:szCs w:val="18"/>
        </w:rPr>
        <w:t>chvílích zmlká a nalézá sebe v nej neokáza</w:t>
      </w:r>
      <w:r>
        <w:rPr>
          <w:sz w:val="18"/>
          <w:szCs w:val="18"/>
        </w:rPr>
        <w:softHyphen/>
        <w:t>lejší síle vnitřní, národa prudké, pestré a srdečné smyslo- vosti, který se naučil trpce se v sebe uzavírat a ze všeho nejvíce nevěřil frázi a pompě. Tento národ, jsou to Češi?</w:t>
      </w:r>
    </w:p>
    <w:p w:rsidR="00500724" w:rsidRDefault="00F30FB8">
      <w:pPr>
        <w:pStyle w:val="Zkladntext1"/>
        <w:shd w:val="clear" w:color="auto" w:fill="auto"/>
        <w:spacing w:line="223" w:lineRule="auto"/>
        <w:ind w:firstLine="240"/>
        <w:rPr>
          <w:sz w:val="18"/>
          <w:szCs w:val="18"/>
        </w:rPr>
      </w:pPr>
      <w:r>
        <w:rPr>
          <w:sz w:val="18"/>
          <w:szCs w:val="18"/>
        </w:rPr>
        <w:t>A nyní, poslechnuvše pokynu, odberme</w:t>
      </w:r>
      <w:r>
        <w:rPr>
          <w:sz w:val="18"/>
          <w:szCs w:val="18"/>
        </w:rPr>
        <w:t xml:space="preserve"> se k oponě Hynaisově. Dovolte, abychom si ji vzali na tu chvíli z Národního divadua, toto prostředí je nepříznivé svo</w:t>
      </w:r>
      <w:r>
        <w:rPr>
          <w:sz w:val="18"/>
          <w:szCs w:val="18"/>
        </w:rPr>
        <w:softHyphen/>
        <w:t>bodnému úsudku. Což i ladění orchestru v Národním divadle nám neznívá lak nějak podivně slavnostně, svá</w:t>
      </w:r>
      <w:r>
        <w:rPr>
          <w:sz w:val="18"/>
          <w:szCs w:val="18"/>
        </w:rPr>
        <w:softHyphen/>
        <w:t>tečně, nepůsobí tak trochu jako p</w:t>
      </w:r>
      <w:r>
        <w:rPr>
          <w:sz w:val="18"/>
          <w:szCs w:val="18"/>
        </w:rPr>
        <w:t>osvátný ceremoniel? Bůhví, v čem to je, že je tak docela jiné než ladění orchestru ve Stromovce.</w:t>
      </w:r>
    </w:p>
    <w:p w:rsidR="00500724" w:rsidRDefault="00F30FB8">
      <w:pPr>
        <w:pStyle w:val="Zkladntext1"/>
        <w:shd w:val="clear" w:color="auto" w:fill="auto"/>
        <w:spacing w:line="223" w:lineRule="auto"/>
        <w:ind w:firstLine="240"/>
        <w:rPr>
          <w:sz w:val="18"/>
          <w:szCs w:val="18"/>
        </w:rPr>
      </w:pPr>
      <w:r>
        <w:rPr>
          <w:sz w:val="18"/>
          <w:szCs w:val="18"/>
        </w:rPr>
        <w:t>Nuže - tento koncert půvabných gest, štíhlých krásek, vzrostlých jinochů, řásnění taftu, jižního slunce a ital</w:t>
      </w:r>
      <w:r>
        <w:rPr>
          <w:sz w:val="18"/>
          <w:szCs w:val="18"/>
        </w:rPr>
        <w:softHyphen/>
        <w:t>ských putti, tento vzlet parátního koloristy, te</w:t>
      </w:r>
      <w:r>
        <w:rPr>
          <w:sz w:val="18"/>
          <w:szCs w:val="18"/>
        </w:rPr>
        <w:t>nto švih bri</w:t>
      </w:r>
      <w:r>
        <w:rPr>
          <w:sz w:val="18"/>
          <w:szCs w:val="18"/>
        </w:rPr>
        <w:softHyphen/>
        <w:t>lantního komponisty... není to od základů jiné než osta</w:t>
      </w:r>
      <w:r>
        <w:rPr>
          <w:sz w:val="18"/>
          <w:szCs w:val="18"/>
        </w:rPr>
        <w:softHyphen/>
        <w:t>tek českého umění, není fo výjimka docela mimo pra</w:t>
      </w:r>
      <w:r>
        <w:rPr>
          <w:sz w:val="18"/>
          <w:szCs w:val="18"/>
        </w:rPr>
        <w:softHyphen/>
        <w:t>vidlo? A je tohle zrovna češství? Tato grácie, tato výmluvnost, tato elegance, bystré placírování pointy, při tom uměřený vkus, kultivov</w:t>
      </w:r>
      <w:r>
        <w:rPr>
          <w:sz w:val="18"/>
          <w:szCs w:val="18"/>
        </w:rPr>
        <w:t>aná dokonalost, jíž není nic nesnadné... nevím,- ale zdá se mi, že cítil-li se Hynais víc Pařížanem než Pražanem, vysvětluje to jeho malbu.</w:t>
      </w:r>
    </w:p>
    <w:p w:rsidR="00500724" w:rsidRDefault="00F30FB8">
      <w:pPr>
        <w:pStyle w:val="Zkladntext1"/>
        <w:shd w:val="clear" w:color="auto" w:fill="auto"/>
        <w:spacing w:line="223" w:lineRule="auto"/>
        <w:ind w:firstLine="240"/>
        <w:rPr>
          <w:sz w:val="18"/>
          <w:szCs w:val="18"/>
        </w:rPr>
        <w:sectPr w:rsidR="00500724">
          <w:footnotePr>
            <w:numFmt w:val="chicago"/>
            <w:numRestart w:val="eachPage"/>
          </w:footnotePr>
          <w:type w:val="continuous"/>
          <w:pgSz w:w="11909" w:h="16834"/>
          <w:pgMar w:top="489" w:right="869" w:bottom="828" w:left="643" w:header="0" w:footer="3" w:gutter="0"/>
          <w:cols w:num="2" w:space="134"/>
          <w:noEndnote/>
          <w:docGrid w:linePitch="360"/>
        </w:sectPr>
      </w:pPr>
      <w:r>
        <w:rPr>
          <w:sz w:val="18"/>
          <w:szCs w:val="18"/>
        </w:rPr>
        <w:t>Chci říci tolik: kdyby se mělo žádat na českém umění, aby si vzalo za vzor »srozumitel</w:t>
      </w:r>
      <w:r>
        <w:rPr>
          <w:sz w:val="18"/>
          <w:szCs w:val="18"/>
        </w:rPr>
        <w:t>nost« Hynaisovu, podtrhla</w:t>
      </w:r>
    </w:p>
    <w:p w:rsidR="00500724" w:rsidRDefault="00F30FB8">
      <w:pPr>
        <w:pStyle w:val="Nadpis90"/>
        <w:keepNext/>
        <w:keepLines/>
        <w:shd w:val="clear" w:color="auto" w:fill="auto"/>
        <w:spacing w:after="0"/>
        <w:ind w:right="120"/>
        <w:jc w:val="center"/>
        <w:rPr>
          <w:sz w:val="42"/>
          <w:szCs w:val="42"/>
        </w:rPr>
        <w:sectPr w:rsidR="00500724">
          <w:footnotePr>
            <w:numFmt w:val="chicago"/>
            <w:numRestart w:val="eachPage"/>
          </w:footnotePr>
          <w:pgSz w:w="11909" w:h="16834"/>
          <w:pgMar w:top="706" w:right="1178" w:bottom="865" w:left="391" w:header="0" w:footer="3" w:gutter="0"/>
          <w:cols w:space="720"/>
          <w:noEndnote/>
          <w:docGrid w:linePitch="360"/>
        </w:sectPr>
      </w:pPr>
      <w:bookmarkStart w:id="706" w:name="bookmark705"/>
      <w:r>
        <w:rPr>
          <w:rFonts w:ascii="Times New Roman" w:eastAsia="Times New Roman" w:hAnsi="Times New Roman" w:cs="Times New Roman"/>
          <w:w w:val="80"/>
          <w:sz w:val="42"/>
          <w:szCs w:val="42"/>
        </w:rPr>
        <w:t>Přítomnosti</w:t>
      </w:r>
      <w:bookmarkEnd w:id="706"/>
    </w:p>
    <w:p w:rsidR="00500724" w:rsidRDefault="00500724">
      <w:pPr>
        <w:spacing w:line="54" w:lineRule="exact"/>
        <w:rPr>
          <w:sz w:val="4"/>
          <w:szCs w:val="4"/>
        </w:rPr>
      </w:pPr>
    </w:p>
    <w:p w:rsidR="00500724" w:rsidRDefault="00500724">
      <w:pPr>
        <w:spacing w:line="14" w:lineRule="exact"/>
        <w:sectPr w:rsidR="00500724">
          <w:footnotePr>
            <w:numFmt w:val="chicago"/>
            <w:numRestart w:val="eachPage"/>
          </w:footnotePr>
          <w:type w:val="continuous"/>
          <w:pgSz w:w="11909" w:h="16834"/>
          <w:pgMar w:top="706" w:right="0" w:bottom="706" w:left="0" w:header="0" w:footer="3" w:gutter="0"/>
          <w:cols w:space="720"/>
          <w:noEndnote/>
          <w:docGrid w:linePitch="360"/>
        </w:sectPr>
      </w:pPr>
    </w:p>
    <w:p w:rsidR="00500724" w:rsidRDefault="00F30FB8">
      <w:pPr>
        <w:pStyle w:val="Zkladntext1"/>
        <w:shd w:val="clear" w:color="auto" w:fill="auto"/>
        <w:spacing w:line="226" w:lineRule="auto"/>
        <w:ind w:firstLine="0"/>
        <w:rPr>
          <w:sz w:val="18"/>
          <w:szCs w:val="18"/>
        </w:rPr>
      </w:pPr>
      <w:r>
        <w:rPr>
          <w:sz w:val="18"/>
          <w:szCs w:val="18"/>
          <w:lang w:val="en-US" w:eastAsia="en-US" w:bidi="en-US"/>
        </w:rPr>
        <w:t xml:space="preserve">by </w:t>
      </w:r>
      <w:r>
        <w:rPr>
          <w:sz w:val="18"/>
          <w:szCs w:val="18"/>
        </w:rPr>
        <w:t>se mu půda pod nohama. Česká půda. Za požadavek »srozumitelnosti« se tu schoval požadavek malby výprav</w:t>
      </w:r>
      <w:r>
        <w:rPr>
          <w:sz w:val="18"/>
          <w:szCs w:val="18"/>
        </w:rPr>
        <w:softHyphen/>
        <w:t>né a snadno pochopitelné, totiž bez námahy, totiž ne</w:t>
      </w:r>
      <w:r>
        <w:rPr>
          <w:sz w:val="18"/>
          <w:szCs w:val="18"/>
        </w:rPr>
        <w:softHyphen/>
      </w:r>
      <w:r>
        <w:rPr>
          <w:sz w:val="18"/>
          <w:szCs w:val="18"/>
        </w:rPr>
        <w:t>vyžadující si od diváka zvýšeného úsilí. Nemusí zmnožit k vůli němu svou životní intensitu, nemusí se snažit mu vyrovnat.</w:t>
      </w:r>
    </w:p>
    <w:p w:rsidR="00500724" w:rsidRDefault="00F30FB8">
      <w:pPr>
        <w:pStyle w:val="Zkladntext1"/>
        <w:shd w:val="clear" w:color="auto" w:fill="auto"/>
        <w:spacing w:line="226" w:lineRule="auto"/>
        <w:rPr>
          <w:sz w:val="18"/>
          <w:szCs w:val="18"/>
        </w:rPr>
      </w:pPr>
      <w:r>
        <w:rPr>
          <w:sz w:val="18"/>
          <w:szCs w:val="18"/>
        </w:rPr>
        <w:t>A chci říci: český národ není zvyklý žít tak snadno.</w:t>
      </w:r>
    </w:p>
    <w:p w:rsidR="00500724" w:rsidRDefault="00F30FB8">
      <w:pPr>
        <w:pStyle w:val="Zkladntext1"/>
        <w:shd w:val="clear" w:color="auto" w:fill="auto"/>
        <w:spacing w:line="226" w:lineRule="auto"/>
        <w:rPr>
          <w:sz w:val="18"/>
          <w:szCs w:val="18"/>
        </w:rPr>
      </w:pPr>
      <w:r>
        <w:rPr>
          <w:sz w:val="18"/>
          <w:szCs w:val="18"/>
        </w:rPr>
        <w:t>Nepotřebuje proto tak snadného umění.</w:t>
      </w:r>
    </w:p>
    <w:p w:rsidR="00500724" w:rsidRDefault="00F30FB8">
      <w:pPr>
        <w:pStyle w:val="Zkladntext1"/>
        <w:shd w:val="clear" w:color="auto" w:fill="auto"/>
        <w:spacing w:line="226" w:lineRule="auto"/>
        <w:rPr>
          <w:sz w:val="18"/>
          <w:szCs w:val="18"/>
        </w:rPr>
      </w:pPr>
      <w:r>
        <w:rPr>
          <w:sz w:val="18"/>
          <w:szCs w:val="18"/>
        </w:rPr>
        <w:t>Nebylo by ho hodno.</w:t>
      </w:r>
    </w:p>
    <w:p w:rsidR="00500724" w:rsidRDefault="00F30FB8">
      <w:pPr>
        <w:pStyle w:val="Zkladntext1"/>
        <w:shd w:val="clear" w:color="auto" w:fill="auto"/>
        <w:spacing w:line="214" w:lineRule="auto"/>
        <w:ind w:firstLine="0"/>
        <w:jc w:val="center"/>
      </w:pPr>
      <w:r>
        <w:t>•</w:t>
      </w:r>
    </w:p>
    <w:p w:rsidR="00500724" w:rsidRDefault="00F30FB8">
      <w:pPr>
        <w:pStyle w:val="Zkladntext1"/>
        <w:shd w:val="clear" w:color="auto" w:fill="auto"/>
        <w:spacing w:after="200" w:line="221" w:lineRule="auto"/>
        <w:rPr>
          <w:sz w:val="18"/>
          <w:szCs w:val="18"/>
        </w:rPr>
      </w:pPr>
      <w:r>
        <w:rPr>
          <w:sz w:val="18"/>
          <w:szCs w:val="18"/>
        </w:rPr>
        <w:t>Pan Horký napsal ve s</w:t>
      </w:r>
      <w:r>
        <w:rPr>
          <w:sz w:val="18"/>
          <w:szCs w:val="18"/>
        </w:rPr>
        <w:t>vém článku dobrá slova o tom, že dnešní snová, pohnutá a krajně odpovědná doba ukládá našemu národu velkou odpovědnost i ve věcech jeho uměníi. Rád bych ho zde ujistil, že tento článek byl psán právě jen z vědomí této odpovědnosti. Domní</w:t>
      </w:r>
      <w:r>
        <w:rPr>
          <w:sz w:val="18"/>
          <w:szCs w:val="18"/>
        </w:rPr>
        <w:softHyphen/>
        <w:t>vám se, že se musí</w:t>
      </w:r>
      <w:r>
        <w:rPr>
          <w:sz w:val="18"/>
          <w:szCs w:val="18"/>
        </w:rPr>
        <w:t>me snažit v těchto věcech se dorozumět a že to alespoň v jisté míře jest možné. Prosím ho proto, aby přijal mou polemiku v dobrém.</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doba a lidé</w:t>
      </w:r>
    </w:p>
    <w:p w:rsidR="00500724" w:rsidRDefault="00F30FB8">
      <w:pPr>
        <w:pStyle w:val="Zkladntext1"/>
        <w:shd w:val="clear" w:color="auto" w:fill="auto"/>
        <w:spacing w:line="199" w:lineRule="auto"/>
        <w:ind w:firstLine="0"/>
        <w:rPr>
          <w:sz w:val="20"/>
          <w:szCs w:val="20"/>
        </w:rPr>
      </w:pPr>
      <w:r>
        <w:rPr>
          <w:i/>
          <w:iCs/>
          <w:sz w:val="20"/>
          <w:szCs w:val="20"/>
        </w:rPr>
        <w:t>J, Dr d a:</w:t>
      </w:r>
    </w:p>
    <w:p w:rsidR="00500724" w:rsidRDefault="00F30FB8">
      <w:pPr>
        <w:pStyle w:val="Nadpis100"/>
        <w:shd w:val="clear" w:color="auto" w:fill="auto"/>
        <w:spacing w:after="0"/>
      </w:pPr>
      <w:bookmarkStart w:id="707" w:name="bookmark706"/>
      <w:r>
        <w:t>Zaměřte Pražana</w:t>
      </w:r>
      <w:bookmarkEnd w:id="707"/>
    </w:p>
    <w:p w:rsidR="00500724" w:rsidRDefault="00F30FB8">
      <w:pPr>
        <w:pStyle w:val="Zkladntext1"/>
        <w:shd w:val="clear" w:color="auto" w:fill="auto"/>
        <w:spacing w:line="211" w:lineRule="auto"/>
      </w:pPr>
      <w:r>
        <w:t xml:space="preserve">Chcete-li zaměřit letadlo ve vzduchu, vezměte aspoň dva pevné body na zeměkouli, </w:t>
      </w:r>
      <w:r>
        <w:t>postavte na nich radio- goniometrické stanice a pomocí příslušných přístrojů najděte směr, v němž je letadlo od gonia. Směr gonia A se vám protne se směrem gonia B a vytvoří průsečík, v němž lze předpokládat ono letadlo. Podobným způso</w:t>
      </w:r>
      <w:r>
        <w:softHyphen/>
        <w:t>bem lze zaměřit čern</w:t>
      </w:r>
      <w:r>
        <w:t>ou vysílačku.</w:t>
      </w:r>
    </w:p>
    <w:p w:rsidR="00500724" w:rsidRDefault="00F30FB8">
      <w:pPr>
        <w:pStyle w:val="Zkladntext1"/>
        <w:shd w:val="clear" w:color="auto" w:fill="auto"/>
        <w:tabs>
          <w:tab w:val="left" w:pos="4954"/>
        </w:tabs>
        <w:spacing w:line="211" w:lineRule="auto"/>
      </w:pPr>
      <w:r>
        <w:t>Budete-li mít pevné body tři, bude měření přesnější. Budete-li jich mít pět a klapne-li vám to, bude to už ne</w:t>
      </w:r>
      <w:r>
        <w:softHyphen/>
        <w:t>omylné.</w:t>
      </w:r>
      <w:r>
        <w:tab/>
      </w:r>
      <w:r>
        <w:rPr>
          <w:vertAlign w:val="superscript"/>
        </w:rPr>
        <w:t>1</w:t>
      </w:r>
    </w:p>
    <w:p w:rsidR="00500724" w:rsidRDefault="00F30FB8">
      <w:pPr>
        <w:pStyle w:val="Zkladntext1"/>
        <w:shd w:val="clear" w:color="auto" w:fill="auto"/>
        <w:spacing w:line="211" w:lineRule="auto"/>
      </w:pPr>
      <w:r>
        <w:t>Pisatel těchto řádků, neposedný diletant psycholo</w:t>
      </w:r>
      <w:r>
        <w:softHyphen/>
        <w:t>gický, si umínil, že z pomyslných pěti bodů zaměří oby</w:t>
      </w:r>
      <w:r>
        <w:softHyphen/>
        <w:t>vatele Prahy čili</w:t>
      </w:r>
      <w:r>
        <w:t xml:space="preserve"> Pražana. Jako bod A si zvolil průvod</w:t>
      </w:r>
      <w:r>
        <w:softHyphen/>
        <w:t>čího tramvaje, bodem B je prodavač novin, bodem C sadový zřízenec, bodem D policejní strážník a bodem E muž, jenž sbírá na ulici špačky. Autoru budiž odpuště</w:t>
      </w:r>
      <w:r>
        <w:softHyphen/>
        <w:t xml:space="preserve">no, že nešel hledat své body do sfér vysloveně vysokých, ba </w:t>
      </w:r>
      <w:r>
        <w:t>že dokonce s bodem E sestoupil až na nejzazší konec chudiny, jejíž morálka je třebas odlišná od morálky středně-vyšších vrstev. Pisatel totiž chová takový do</w:t>
      </w:r>
      <w:r>
        <w:softHyphen/>
        <w:t>jem, že právě lidé, nezatížení příliš společenskými ohle</w:t>
      </w:r>
      <w:r>
        <w:softHyphen/>
        <w:t xml:space="preserve">dy, mohou své soudy pronášet s přesností </w:t>
      </w:r>
      <w:r>
        <w:t>nedeklinova- nou, nevychýlenou atmosférickými i jinými rušivými vlivy.</w:t>
      </w:r>
    </w:p>
    <w:p w:rsidR="00500724" w:rsidRDefault="00F30FB8">
      <w:pPr>
        <w:pStyle w:val="Zkladntext1"/>
        <w:shd w:val="clear" w:color="auto" w:fill="auto"/>
        <w:spacing w:line="211" w:lineRule="auto"/>
        <w:ind w:firstLine="0"/>
        <w:jc w:val="center"/>
      </w:pPr>
      <w:r>
        <w:t>Pět pražských Pé</w:t>
      </w:r>
    </w:p>
    <w:p w:rsidR="00500724" w:rsidRDefault="00F30FB8">
      <w:pPr>
        <w:pStyle w:val="Zkladntext1"/>
        <w:shd w:val="clear" w:color="auto" w:fill="auto"/>
        <w:spacing w:line="209" w:lineRule="auto"/>
      </w:pPr>
      <w:r>
        <w:t>Pokud jde o povahu otázek, vznesených na body A až E, držel se pisatel starého vzoru o pěti P a ptal se na poctivost, pravdomluvnost, přejícnost, pořádkumilov</w:t>
      </w:r>
      <w:r>
        <w:softHyphen/>
        <w:t>nost a ko</w:t>
      </w:r>
      <w:r>
        <w:t>nečně i popudlivost Pražanů.</w:t>
      </w:r>
    </w:p>
    <w:p w:rsidR="00500724" w:rsidRDefault="00F30FB8">
      <w:pPr>
        <w:pStyle w:val="Zkladntext1"/>
        <w:shd w:val="clear" w:color="auto" w:fill="auto"/>
        <w:spacing w:line="209" w:lineRule="auto"/>
      </w:pPr>
      <w:r>
        <w:t>Poctivost? řekl bod A zpytavě. No, celkem jsou Pra</w:t>
      </w:r>
      <w:r>
        <w:softHyphen/>
        <w:t>žáci poctiví. Až na několik notorických zjevů černých pasažérů je na pražských tramvajích zvykem platit řádně svůj lístek. Muži jsou pečlivější než ženy. Ty ně</w:t>
      </w:r>
      <w:r>
        <w:softHyphen/>
        <w:t>kdy drží celou c</w:t>
      </w:r>
      <w:r>
        <w:t>estu z Holešovic až Na můstek v ruce K 1.20 a dávají pozor, aby se tvářily roztržitě a za</w:t>
      </w:r>
      <w:r>
        <w:softHyphen/>
        <w:t>pomnětlivě, kdykoli jde průvodčí kolem. Nejvíc jsou lidé nepoctiví kolem 23. hodiny. Čtvrtina lidí, nastupu</w:t>
      </w:r>
      <w:r>
        <w:softHyphen/>
        <w:t>jících několik minut po této hodině do vozu, se snaží přes</w:t>
      </w:r>
      <w:r>
        <w:t>vědčit průvodčího, že nastoupila minutu před 23. hodinou. Tento zvyk je dost rozšířen mezi studenty, kte</w:t>
      </w:r>
      <w:r>
        <w:softHyphen/>
        <w:t>rým platí legitimace právě do této hodiny.</w:t>
      </w:r>
    </w:p>
    <w:p w:rsidR="00500724" w:rsidRDefault="00F30FB8">
      <w:pPr>
        <w:pStyle w:val="Zkladntext1"/>
        <w:shd w:val="clear" w:color="auto" w:fill="auto"/>
        <w:spacing w:line="254" w:lineRule="auto"/>
        <w:rPr>
          <w:sz w:val="20"/>
          <w:szCs w:val="20"/>
        </w:rPr>
      </w:pPr>
      <w:r>
        <w:t>Prodavač novin, tázán na poctivost Pražanů, prohlá</w:t>
      </w:r>
      <w:r>
        <w:softHyphen/>
        <w:t>sil: — Ale jo, já myslím, že Pražáci sou v jádře poctivý.</w:t>
      </w:r>
      <w:r>
        <w:t xml:space="preserve"> Noviny platěj celkem správně. Sou ovšem takový, kerý se snažej kupovat v poslední chvíli, dyž už je vůz v po</w:t>
      </w:r>
      <w:r>
        <w:softHyphen/>
        <w:t xml:space="preserve">hybu, a pak ten šesták nemůžou najít... Ale těch není </w:t>
      </w:r>
      <w:r>
        <w:rPr>
          <w:sz w:val="20"/>
          <w:szCs w:val="20"/>
        </w:rPr>
        <w:t>45(5</w:t>
      </w:r>
    </w:p>
    <w:p w:rsidR="00500724" w:rsidRDefault="00F30FB8">
      <w:pPr>
        <w:pStyle w:val="Zkladntext1"/>
        <w:shd w:val="clear" w:color="auto" w:fill="auto"/>
        <w:spacing w:line="209" w:lineRule="auto"/>
        <w:ind w:firstLine="0"/>
      </w:pPr>
      <w:r>
        <w:t xml:space="preserve">moc a já už je znám na svěj trati všecky. A jak někerej jede, dělám, že nevidím, kdyby </w:t>
      </w:r>
      <w:r>
        <w:t>si třeba ruku samym máváním utrh.</w:t>
      </w:r>
    </w:p>
    <w:p w:rsidR="00500724" w:rsidRDefault="00F30FB8">
      <w:pPr>
        <w:pStyle w:val="Zkladntext1"/>
        <w:shd w:val="clear" w:color="auto" w:fill="auto"/>
        <w:spacing w:line="209" w:lineRule="auto"/>
      </w:pPr>
      <w:r>
        <w:t>Bod C, sadový zřízenec, napřed položil otázku, mys- lím-li těmi Pražany taky mládež. Když jsem jej ujistil, že tentokrát mám zájem o lidi dospělé, zjasnil tvář. — Teda mládež je sběř, to jo. Ale mládež už taková bejvá. Jin</w:t>
      </w:r>
      <w:r>
        <w:t>ak de s íidma vyjít. Mám rád starý pány, pro</w:t>
      </w:r>
      <w:r>
        <w:softHyphen/>
        <w:t>tože ti mi leckdys vohlídaj lip, než bych to moh já. Nej</w:t>
      </w:r>
      <w:r>
        <w:softHyphen/>
        <w:t>lepší sou starý úředníci. Ty holt to všecko berou ouředně a dyby někdo utrh lísteček, jsou ochotný zavést trestný řízení. Sou ovšem i páni laskavý, kerý u</w:t>
      </w:r>
      <w:r>
        <w:t>dělaj provinilci přednášku. Se starejma paníma je kříž. Už jsem leckdys leckterou viděl, jak si trhá macešky nebo růžičku. Jednu sem dokonce chyt, jak si chtěla do taštičky schovat celý trsík, vyrýpnutý i s kořeny. Plakala a prosila, že to chce na hrob muž</w:t>
      </w:r>
      <w:r>
        <w:t>ovi a že na to nemá. Pak jsem se dověděl, že má na Vinohradech dva domy.</w:t>
      </w:r>
    </w:p>
    <w:p w:rsidR="00500724" w:rsidRDefault="00F30FB8">
      <w:pPr>
        <w:pStyle w:val="Zkladntext1"/>
        <w:shd w:val="clear" w:color="auto" w:fill="auto"/>
        <w:spacing w:line="209" w:lineRule="auto"/>
      </w:pPr>
      <w:r>
        <w:t xml:space="preserve">Bod D, pražský strážník, má lidi rozdělené takto: na lumpy a na slušné. Ti slušní jsou obvykle poctiví, s těmi lumpy holt je kříž. Jsou však i případy, kdy lidé tak zvaně slušní jsou </w:t>
      </w:r>
      <w:r>
        <w:t>nepoctiví. Když se to opakuje víckrát, tak je pan strážník prostě přeřadí z kategorie poctivých do kategorie lumpů a je to. Ale jinak si na poctivost Pra</w:t>
      </w:r>
      <w:r>
        <w:softHyphen/>
        <w:t>žáků nelze stěžovat. A nejpoctivější jsou chudí lidé. Ani nemáte ponětí, kolik poctivých nálezců je pr</w:t>
      </w:r>
      <w:r>
        <w:t>ávě mezi chudáky. Kdy se pokoušejí lidé šidit? No, pokutu nikdo neplatí rád, leckdos řekne, že u sebe nemá, teprve když se mu pohrozí, že bude předveden, tak si vzpomene na nějakou prý docela zapomenutou desetikorunu. A s kým je to těžší? No, to víte, se ž</w:t>
      </w:r>
      <w:r>
        <w:t>enskými. Člověk nikdy neví, co udělá ženská v příštím okamžiku.</w:t>
      </w:r>
    </w:p>
    <w:p w:rsidR="00500724" w:rsidRDefault="00F30FB8">
      <w:pPr>
        <w:pStyle w:val="Zkladntext1"/>
        <w:shd w:val="clear" w:color="auto" w:fill="auto"/>
        <w:spacing w:line="209" w:lineRule="auto"/>
        <w:ind w:firstLine="280"/>
      </w:pPr>
      <w:r>
        <w:t>Bod E se nad otázkou po poctivosti zadrbal ve vla</w:t>
      </w:r>
      <w:r>
        <w:softHyphen/>
        <w:t xml:space="preserve">sech: — Énu, to je těžký. </w:t>
      </w:r>
      <w:r>
        <w:rPr>
          <w:lang w:val="en-US" w:eastAsia="en-US" w:bidi="en-US"/>
        </w:rPr>
        <w:t xml:space="preserve">Chudej </w:t>
      </w:r>
      <w:r>
        <w:t xml:space="preserve">ěověk má holt třebas ínou míru na tu poctivost. Esli myslíte jako zlodějnu </w:t>
      </w:r>
      <w:r>
        <w:rPr>
          <w:sz w:val="20"/>
          <w:szCs w:val="20"/>
        </w:rPr>
        <w:t xml:space="preserve">a </w:t>
      </w:r>
      <w:r>
        <w:t xml:space="preserve">tak, no, to holt zloději sou </w:t>
      </w:r>
      <w:r>
        <w:t>všude. Ai v tej Praze. Něhdo. to mněří podle šatuch, já holt na to nedám. Podívají na mně. Já sem vošumělej, ale poctivec až na kost... a vi</w:t>
      </w:r>
      <w:r>
        <w:softHyphen/>
        <w:t xml:space="preserve">děj támhle toho? To je padlamentář a k vůli ferblu </w:t>
      </w:r>
      <w:r>
        <w:rPr>
          <w:sz w:val="20"/>
          <w:szCs w:val="20"/>
        </w:rPr>
        <w:t xml:space="preserve">a </w:t>
      </w:r>
      <w:r>
        <w:t>gotýsku je na štyrce každou chvíli. Ale hadry holt má fajnový.</w:t>
      </w:r>
    </w:p>
    <w:p w:rsidR="00500724" w:rsidRDefault="00F30FB8">
      <w:pPr>
        <w:pStyle w:val="Zkladntext1"/>
        <w:shd w:val="clear" w:color="auto" w:fill="auto"/>
        <w:spacing w:after="100" w:line="209" w:lineRule="auto"/>
      </w:pPr>
      <w:r>
        <w:t>Shrneme-li tyto odpovědi na první otázku, vidíme, že Pražané vlastně poctiví jsou. Až na těch pár, co jezdí na černo, co kradou květiny v parku, co zapomínají platit za noviny... no, a potom až na ty lumpy, které bohužel má v sobě každá společnost lidská.</w:t>
      </w:r>
    </w:p>
    <w:p w:rsidR="00500724" w:rsidRDefault="00F30FB8">
      <w:pPr>
        <w:pStyle w:val="Zkladntext1"/>
        <w:shd w:val="clear" w:color="auto" w:fill="auto"/>
        <w:spacing w:after="100" w:line="209" w:lineRule="auto"/>
        <w:ind w:firstLine="0"/>
        <w:jc w:val="center"/>
      </w:pPr>
      <w:r>
        <w:t>Pražská pravdomluvnost</w:t>
      </w:r>
    </w:p>
    <w:p w:rsidR="00500724" w:rsidRDefault="00F30FB8">
      <w:pPr>
        <w:pStyle w:val="Zkladntext1"/>
        <w:shd w:val="clear" w:color="auto" w:fill="auto"/>
        <w:spacing w:line="211" w:lineRule="auto"/>
      </w:pPr>
      <w:r>
        <w:t>A jak je to s pravdomluvností?</w:t>
      </w:r>
    </w:p>
    <w:p w:rsidR="00500724" w:rsidRDefault="00F30FB8">
      <w:pPr>
        <w:pStyle w:val="Zkladntext1"/>
        <w:shd w:val="clear" w:color="auto" w:fill="auto"/>
        <w:spacing w:line="211" w:lineRule="auto"/>
      </w:pPr>
      <w:r>
        <w:t>Bod A, průvodčí: — Bože, bože, lidi toho nalžou, až se člověku hlava motá ...</w:t>
      </w:r>
    </w:p>
    <w:p w:rsidR="00500724" w:rsidRDefault="00F30FB8">
      <w:pPr>
        <w:pStyle w:val="Zkladntext1"/>
        <w:shd w:val="clear" w:color="auto" w:fill="auto"/>
        <w:spacing w:line="211" w:lineRule="auto"/>
      </w:pPr>
      <w:r>
        <w:t>Bod B, kamelot: — A kdo, prosím vás, nelže?</w:t>
      </w:r>
    </w:p>
    <w:p w:rsidR="00500724" w:rsidRDefault="00F30FB8">
      <w:pPr>
        <w:pStyle w:val="Zkladntext1"/>
        <w:shd w:val="clear" w:color="auto" w:fill="auto"/>
        <w:spacing w:line="211" w:lineRule="auto"/>
      </w:pPr>
      <w:r>
        <w:t>Bod C, sadař: — Víte, v parku se tak moc nelže. Spiši se zapírá, když se člověk</w:t>
      </w:r>
      <w:r>
        <w:t xml:space="preserve"> ptá na nějaké to proviněníěko. Vy jste šlapal na záhonek. Nešlapal. Na mou duši... A přece můžete vidět celou botu rovnou v tulipánech. —</w:t>
      </w:r>
    </w:p>
    <w:p w:rsidR="00500724" w:rsidRDefault="00F30FB8">
      <w:pPr>
        <w:pStyle w:val="Zkladntext1"/>
        <w:shd w:val="clear" w:color="auto" w:fill="auto"/>
        <w:spacing w:line="211" w:lineRule="auto"/>
      </w:pPr>
      <w:r>
        <w:t xml:space="preserve">Bod D, strážník: — Ani bych neřekl, že lidé lžou. Spíš se nepřiznají. Když na někoho uhodíte, že udělal to nebo ono, </w:t>
      </w:r>
      <w:r>
        <w:t>tak řekne: — Jo, když ono se... nebo: — No, dovolte, já přece...</w:t>
      </w:r>
    </w:p>
    <w:p w:rsidR="00500724" w:rsidRDefault="00F30FB8">
      <w:pPr>
        <w:pStyle w:val="Zkladntext1"/>
        <w:shd w:val="clear" w:color="auto" w:fill="auto"/>
        <w:spacing w:line="211" w:lineRule="auto"/>
      </w:pPr>
      <w:r>
        <w:t>— Většina lidí chce dokázat, že na to nevypadá. Copak já jsem nějaký podvodník? Copak já jsem opilý? ptá se vás chlap, který se nemůže bez cizí pomoci zdvihnout na nohy. Ale jinak to není tak</w:t>
      </w:r>
      <w:r>
        <w:t xml:space="preserve"> zlé. Muži se přiznají k poklesku spíš než ženy. A muži také ochotněji zaplatí pokutu. Někteří to pokládají za samozřejmé, jako třebas jízdní lístek. To hlavně intelektuálové, přecházející no</w:t>
      </w:r>
      <w:r>
        <w:softHyphen/>
        <w:t>toricky špatně...</w:t>
      </w:r>
    </w:p>
    <w:p w:rsidR="00500724" w:rsidRDefault="00F30FB8">
      <w:pPr>
        <w:pStyle w:val="Zkladntext1"/>
        <w:shd w:val="clear" w:color="auto" w:fill="auto"/>
        <w:spacing w:line="214" w:lineRule="auto"/>
      </w:pPr>
      <w:r>
        <w:t>Bod E, špačkař: — Esli Pražáci lžou? To jim bů</w:t>
      </w:r>
      <w:r>
        <w:t>h řek. Přídou k pánovi a řeknou: Pane šéf, takle cigaretku ... a von hned, přej nemám. A ujde tři kroky a už si bání ..</w:t>
      </w:r>
    </w:p>
    <w:p w:rsidR="00500724" w:rsidRDefault="00F30FB8">
      <w:pPr>
        <w:pStyle w:val="Zkladntext1"/>
        <w:shd w:val="clear" w:color="auto" w:fill="auto"/>
        <w:spacing w:after="100" w:line="214" w:lineRule="auto"/>
        <w:sectPr w:rsidR="00500724">
          <w:footnotePr>
            <w:numFmt w:val="chicago"/>
            <w:numRestart w:val="eachPage"/>
          </w:footnotePr>
          <w:type w:val="continuous"/>
          <w:pgSz w:w="11909" w:h="16834"/>
          <w:pgMar w:top="706" w:right="1178" w:bottom="706" w:left="391" w:header="0" w:footer="3" w:gutter="0"/>
          <w:cols w:num="2" w:space="173"/>
          <w:noEndnote/>
          <w:docGrid w:linePitch="360"/>
        </w:sectPr>
      </w:pPr>
      <w:r>
        <w:t>V otázce po pravdomluvnosti nedopadli tedy Pražané zvlášť vynikajícím scorem.</w:t>
      </w:r>
    </w:p>
    <w:p w:rsidR="00500724" w:rsidRDefault="00F30FB8">
      <w:pPr>
        <w:pStyle w:val="Nadpis90"/>
        <w:keepNext/>
        <w:keepLines/>
        <w:pBdr>
          <w:bottom w:val="single" w:sz="4" w:space="0" w:color="auto"/>
        </w:pBdr>
        <w:shd w:val="clear" w:color="auto" w:fill="auto"/>
        <w:spacing w:after="0"/>
        <w:ind w:right="80"/>
        <w:jc w:val="center"/>
        <w:sectPr w:rsidR="00500724">
          <w:footnotePr>
            <w:numFmt w:val="chicago"/>
            <w:numRestart w:val="eachPage"/>
          </w:footnotePr>
          <w:pgSz w:w="11909" w:h="16834"/>
          <w:pgMar w:top="977" w:right="842" w:bottom="768" w:left="722" w:header="0" w:footer="3" w:gutter="0"/>
          <w:cols w:space="720"/>
          <w:noEndnote/>
          <w:docGrid w:linePitch="360"/>
        </w:sectPr>
      </w:pPr>
      <w:bookmarkStart w:id="708" w:name="bookmark707"/>
      <w:r>
        <w:rPr>
          <w:rFonts w:ascii="Times New Roman" w:eastAsia="Times New Roman" w:hAnsi="Times New Roman" w:cs="Times New Roman"/>
        </w:rPr>
        <w:t>Př</w:t>
      </w:r>
      <w:r>
        <w:rPr>
          <w:rFonts w:ascii="Times New Roman" w:eastAsia="Times New Roman" w:hAnsi="Times New Roman" w:cs="Times New Roman"/>
        </w:rPr>
        <w:t>ítomnosti/</w:t>
      </w:r>
      <w:bookmarkEnd w:id="708"/>
    </w:p>
    <w:p w:rsidR="00500724" w:rsidRDefault="00500724">
      <w:pPr>
        <w:spacing w:line="82" w:lineRule="exact"/>
        <w:rPr>
          <w:sz w:val="7"/>
          <w:szCs w:val="7"/>
        </w:rPr>
      </w:pPr>
    </w:p>
    <w:p w:rsidR="00500724" w:rsidRDefault="00500724">
      <w:pPr>
        <w:spacing w:line="14" w:lineRule="exact"/>
        <w:sectPr w:rsidR="00500724">
          <w:footnotePr>
            <w:numFmt w:val="chicago"/>
            <w:numRestart w:val="eachPage"/>
          </w:footnotePr>
          <w:type w:val="continuous"/>
          <w:pgSz w:w="11909" w:h="16834"/>
          <w:pgMar w:top="797" w:right="0" w:bottom="949" w:left="0" w:header="0" w:footer="3" w:gutter="0"/>
          <w:cols w:space="720"/>
          <w:noEndnote/>
          <w:docGrid w:linePitch="360"/>
        </w:sectPr>
      </w:pPr>
    </w:p>
    <w:p w:rsidR="00500724" w:rsidRDefault="00F30FB8">
      <w:pPr>
        <w:pStyle w:val="Zkladntext1"/>
        <w:shd w:val="clear" w:color="auto" w:fill="auto"/>
        <w:spacing w:after="140" w:line="209" w:lineRule="auto"/>
      </w:pPr>
      <w:r>
        <w:t xml:space="preserve">Ale buďme upřímní: kdo </w:t>
      </w:r>
      <w:r>
        <w:rPr>
          <w:sz w:val="20"/>
          <w:szCs w:val="20"/>
        </w:rPr>
        <w:t xml:space="preserve">z </w:t>
      </w:r>
      <w:r>
        <w:t>nás může hodit kamenem po lháři? Copak jste to včera říkal do telefonu, příteli, o té přetíženosti prací, když od vás chtěl kamarád ma</w:t>
      </w:r>
      <w:r>
        <w:softHyphen/>
        <w:t>lou službičku? Tak vidíte... a zatím jste měl od tří do</w:t>
      </w:r>
      <w:r>
        <w:t xml:space="preserve"> šesti nohy na stole a zíval jste nad špatnou detektivkou.</w:t>
      </w:r>
    </w:p>
    <w:p w:rsidR="00500724" w:rsidRDefault="00F30FB8">
      <w:pPr>
        <w:pStyle w:val="Zkladntext1"/>
        <w:shd w:val="clear" w:color="auto" w:fill="auto"/>
        <w:spacing w:after="100" w:line="211" w:lineRule="auto"/>
        <w:ind w:firstLine="0"/>
        <w:jc w:val="center"/>
      </w:pPr>
      <w:r>
        <w:t>Kedlubny, noviny, tabák</w:t>
      </w:r>
    </w:p>
    <w:p w:rsidR="00500724" w:rsidRDefault="00F30FB8">
      <w:pPr>
        <w:pStyle w:val="Zkladntext1"/>
        <w:shd w:val="clear" w:color="auto" w:fill="auto"/>
        <w:spacing w:after="40" w:line="211" w:lineRule="auto"/>
      </w:pPr>
      <w:r>
        <w:t>Ale už chutě přikročíme k otázce třetí: jakpak je to s přejícností Pražanů? Zdá se, že v tomto bodě bude kvalifikace velmi uspokojivá: Bod A, vám všem již zná</w:t>
      </w:r>
      <w:r>
        <w:softHyphen/>
        <w:t xml:space="preserve">mý tramvaják, </w:t>
      </w:r>
      <w:r>
        <w:t>prohlásil, že jsou Pražané celkem přejíc- ný národ. Nemá ovšem rád ony dámy, které na něm vy</w:t>
      </w:r>
      <w:r>
        <w:softHyphen/>
        <w:t>máhají pětihalíř nazpět, i když se pohledem do kabely přesvědčily, že průvodčí nemá ani jeden. Je mnoho dám, a zajímavo, že právě majetných, které jsou ochotny udě</w:t>
      </w:r>
      <w:r>
        <w:t xml:space="preserve">lat pro pětihalíř škandál. Jsou ovšem — a to je snad poznatek zcela nový — lidé, kteří platí korunou padesáti a řeknou: To nechte, to je dobré. — Ale těch je málo. Pražský průměr je slušný. Muži odkládají v tramvaji noviny. Je to už stará tradice, že ten, </w:t>
      </w:r>
      <w:r>
        <w:t>kdo přečte svůj list, zastrčí jej za kovové tyčky, ochraňující sklo. Tak káže mnohaletá nepsaná smlouva mezi pasažé</w:t>
      </w:r>
      <w:r>
        <w:softHyphen/>
        <w:t>ry a průvodčími. Rovněž ženy, hlavně ty z nižších vrstev, jsou přejícné. Jedou-li domů z trhu, nerozpakují se leckdys nabídnout průvodčímu k</w:t>
      </w:r>
      <w:r>
        <w:t>edlubnu ze svazku, který právě koupily. Nabízejí třešně ze sáčku, podarují rybízem, jahodami, ovocem. Jen tak z čisté radosti, že se mohou i z mála dělit. Jistý druh starých pánů, o nichž mluví průvodčí s pochvalou, nabízejí z čista jasna cigaretku, ba i d</w:t>
      </w:r>
      <w:r>
        <w:t>outníček. Hlavně na konečné sta</w:t>
      </w:r>
      <w:r>
        <w:softHyphen/>
        <w:t>nici, kde se čeká chvilku déle. Štamgasti, čili lidé, jezdící denně, mají ovšem k svým průvodčím poměr velmi úzký.</w:t>
      </w:r>
    </w:p>
    <w:p w:rsidR="00500724" w:rsidRDefault="00F30FB8">
      <w:pPr>
        <w:pStyle w:val="Zkladntext1"/>
        <w:numPr>
          <w:ilvl w:val="0"/>
          <w:numId w:val="85"/>
        </w:numPr>
        <w:shd w:val="clear" w:color="auto" w:fill="auto"/>
        <w:tabs>
          <w:tab w:val="left" w:pos="500"/>
        </w:tabs>
        <w:spacing w:after="40" w:line="209" w:lineRule="auto"/>
      </w:pPr>
      <w:r>
        <w:t>Tak co, slečno, kdy pojedete na pouť? — ptá se v pátek pan průvodčí slečny, o níž ví, že denně jezdí do šití.</w:t>
      </w:r>
      <w:r>
        <w:t xml:space="preserve"> Slečna se zeptá, kterou čtrnáctku má pan průvodčí v pondělí a skutečně přinese pytlík koláčků.</w:t>
      </w:r>
    </w:p>
    <w:p w:rsidR="00500724" w:rsidRDefault="00F30FB8">
      <w:pPr>
        <w:pStyle w:val="Zkladntext1"/>
        <w:shd w:val="clear" w:color="auto" w:fill="auto"/>
        <w:spacing w:after="40" w:line="211" w:lineRule="auto"/>
      </w:pPr>
      <w:r>
        <w:t>A nyní zaměřme přejícnost Pražanů z kamelotského bodu B. Dojdeme přibližně k týmž výsledkům. Je mnoho lidí, kteří nejsou skoupí na pětník. Hlavně muži. Těm to a</w:t>
      </w:r>
      <w:r>
        <w:t>ni nepřijde, když kupují dva večerníky a platí padesátníkem bez vrácení. Je i mnoho lidí, kteří přečte</w:t>
      </w:r>
      <w:r>
        <w:softHyphen/>
        <w:t>né a neporušené noviny vrátí kamelotu, aby si je prodal ještě jednou.</w:t>
      </w:r>
    </w:p>
    <w:p w:rsidR="00500724" w:rsidRDefault="00F30FB8">
      <w:pPr>
        <w:pStyle w:val="Zkladntext1"/>
        <w:shd w:val="clear" w:color="auto" w:fill="auto"/>
        <w:spacing w:after="40" w:line="211" w:lineRule="auto"/>
      </w:pPr>
      <w:r>
        <w:t>Bod C, sadový zřízenec, referoval mi v tom smyslu, že od starých pánů v parcích lze</w:t>
      </w:r>
      <w:r>
        <w:t xml:space="preserve"> občas dostat nacpání do fajky nebo nějaké to kuřivo. Slečny s dětmi by leckdys člověku také něco nabídly, ale stydí se. Jsou ovšem kurážné, kvetoucí venkovanky, které svačíce vybízejí hlídače: — Jen si pojďte vzít kousek. — Ale to víte, člověk tak spíš pr</w:t>
      </w:r>
      <w:r>
        <w:t>o radost, že si ho slečny všímají, než snad z lačnosti...</w:t>
      </w:r>
    </w:p>
    <w:p w:rsidR="00500724" w:rsidRDefault="00F30FB8">
      <w:pPr>
        <w:pStyle w:val="Zkladntext1"/>
        <w:shd w:val="clear" w:color="auto" w:fill="auto"/>
        <w:spacing w:after="40" w:line="209" w:lineRule="auto"/>
      </w:pPr>
      <w:r>
        <w:t>Bod D, strážník, mluví o pražské přejícností slova pochvalná: Já vám něco řeknu: když se stane, že na ulici někdo padne, že ho něco přejede nebo tak, a když lidé vidí, že je to chudák, obvykle někdo</w:t>
      </w:r>
      <w:r>
        <w:t xml:space="preserve"> začne dělat sbírku.</w:t>
      </w:r>
    </w:p>
    <w:p w:rsidR="00500724" w:rsidRDefault="00F30FB8">
      <w:pPr>
        <w:pStyle w:val="Zkladntext1"/>
        <w:shd w:val="clear" w:color="auto" w:fill="auto"/>
        <w:spacing w:after="40" w:line="209" w:lineRule="auto"/>
      </w:pPr>
      <w:r>
        <w:t>Jednou jsem měl na Poříčí takového staříka, co padl hlady. Lidé mu nakoupili chleba, máslo, jedna paní mu dala pytlík hrušek, a někdo začal sbírat do čepice. Děda dostal asi 18 korun. Já vím, že to není moc, ale potěší to. A byli to sa</w:t>
      </w:r>
      <w:r>
        <w:t>mi chudí lidé.</w:t>
      </w:r>
    </w:p>
    <w:p w:rsidR="00500724" w:rsidRDefault="00F30FB8">
      <w:pPr>
        <w:pStyle w:val="Zkladntext1"/>
        <w:shd w:val="clear" w:color="auto" w:fill="auto"/>
        <w:spacing w:after="40" w:line="211" w:lineRule="auto"/>
      </w:pPr>
      <w:r>
        <w:t>A copak nám řekne bod E, sběrač špačků:</w:t>
      </w:r>
    </w:p>
    <w:p w:rsidR="00500724" w:rsidRDefault="00F30FB8">
      <w:pPr>
        <w:pStyle w:val="Zkladntext1"/>
        <w:numPr>
          <w:ilvl w:val="0"/>
          <w:numId w:val="85"/>
        </w:numPr>
        <w:shd w:val="clear" w:color="auto" w:fill="auto"/>
        <w:tabs>
          <w:tab w:val="left" w:pos="514"/>
        </w:tabs>
        <w:spacing w:after="120" w:line="211" w:lineRule="auto"/>
      </w:pPr>
      <w:r>
        <w:t xml:space="preserve">Já jim teda řeknu, pane drahej, že teda lidi moc přejícný nejsou. Dyby byli, tak házej špačky na místa přístupný a né do kanálu, nešlapou po nich a kouřej šikovně, aby je nespařili. Eště u tramvaje na </w:t>
      </w:r>
      <w:r>
        <w:t>stanici, to de. Ale to holt lidi nezahazujou půlky cigaret z pře- jícnosti, ale aby jim neujela tramvaj. Jo, taky se najdou slušný lidi. Jeden študent, dyš mně viděl u divadla, jak to sbírám, tak vám mi dal vosům memfis a eště mi do</w:t>
      </w:r>
      <w:r>
        <w:softHyphen/>
        <w:t>mlouval, že ty špačky s</w:t>
      </w:r>
      <w:r>
        <w:t>ou nehygienický kouření A veřeji mi, já si na těch memfis tak nezakouřil jako na těch cpanykách ze špačkovýho tabáku.</w:t>
      </w:r>
    </w:p>
    <w:p w:rsidR="00500724" w:rsidRDefault="00F30FB8">
      <w:pPr>
        <w:pStyle w:val="Zkladntext1"/>
        <w:shd w:val="clear" w:color="auto" w:fill="auto"/>
        <w:spacing w:after="60" w:line="211" w:lineRule="auto"/>
        <w:ind w:firstLine="0"/>
        <w:jc w:val="center"/>
      </w:pPr>
      <w:r>
        <w:t>Čistota mírně problematická</w:t>
      </w:r>
    </w:p>
    <w:p w:rsidR="00500724" w:rsidRDefault="00F30FB8">
      <w:pPr>
        <w:pStyle w:val="Zkladntext1"/>
        <w:shd w:val="clear" w:color="auto" w:fill="auto"/>
        <w:spacing w:line="206" w:lineRule="auto"/>
      </w:pPr>
      <w:r>
        <w:t>Čtvrtá otázka zní: Jsou Pražané lidé pořádku milovní?</w:t>
      </w:r>
    </w:p>
    <w:p w:rsidR="00500724" w:rsidRDefault="00F30FB8">
      <w:pPr>
        <w:pStyle w:val="Zkladntext1"/>
        <w:shd w:val="clear" w:color="auto" w:fill="auto"/>
        <w:spacing w:line="206" w:lineRule="auto"/>
      </w:pPr>
      <w:r>
        <w:t xml:space="preserve">Bod A, průvodčí: Málo. Podívejte se do vozu na konečné </w:t>
      </w:r>
      <w:r>
        <w:t>stanici.</w:t>
      </w:r>
    </w:p>
    <w:p w:rsidR="00500724" w:rsidRDefault="00F30FB8">
      <w:pPr>
        <w:pStyle w:val="Zkladntext1"/>
        <w:shd w:val="clear" w:color="auto" w:fill="auto"/>
        <w:spacing w:line="209" w:lineRule="auto"/>
      </w:pPr>
      <w:r>
        <w:t>Bod B, kamelot: Myslím, že jo. Hodně lidí na stanicích elektriky hází lístky do košíku a ne na zem, starý no</w:t>
      </w:r>
      <w:r>
        <w:softHyphen/>
        <w:t>viny taky odhazujou do smetí.</w:t>
      </w:r>
    </w:p>
    <w:p w:rsidR="00500724" w:rsidRDefault="00F30FB8">
      <w:pPr>
        <w:pStyle w:val="Zkladntext1"/>
        <w:shd w:val="clear" w:color="auto" w:fill="auto"/>
        <w:spacing w:line="211" w:lineRule="auto"/>
      </w:pPr>
      <w:r>
        <w:t xml:space="preserve">Bod C, sadový zřízenec: — Staří lidé mají větší sklon k pořádku. Mladí jsou obvykle nepořádní. Jsou stan </w:t>
      </w:r>
      <w:r>
        <w:t>pensisté, kteří z vlastní píle sbírají po parcích pohozené papírky.</w:t>
      </w:r>
    </w:p>
    <w:p w:rsidR="00500724" w:rsidRDefault="00F30FB8">
      <w:pPr>
        <w:pStyle w:val="Zkladntext1"/>
        <w:shd w:val="clear" w:color="auto" w:fill="auto"/>
        <w:spacing w:line="211" w:lineRule="auto"/>
      </w:pPr>
      <w:r>
        <w:t>Bod D, strážník: Někdy ne. A když člověk dá slečně pokutu, že loupá buráky na ulici nebo že zahodila ba</w:t>
      </w:r>
      <w:r>
        <w:softHyphen/>
        <w:t xml:space="preserve">nánovou slupku, která je přece veřejným nebezpečím pro všechny chodce, dá se slečna </w:t>
      </w:r>
      <w:r>
        <w:t>do pláče. Ale aby tu slupku zvedla, to ne. Člověk těm slzám nemůže odolat, pokutu odpustí, slečna odejde... a tu máš. Za půl hodiny se vracíte stejnou cestou a hned poznáte, že slečna po pěti metrech začala trousit slupky zase. Jenže teď už je pryč a pokut</w:t>
      </w:r>
      <w:r>
        <w:t>u abyste dal sobě za tu lehko- věrnost. To muži jsou lepší. Nic neodhazují, neloupají, netrhají. Leda že si sednou v parku na noviny a pak je nechají ležet.</w:t>
      </w:r>
    </w:p>
    <w:p w:rsidR="00500724" w:rsidRDefault="00F30FB8">
      <w:pPr>
        <w:pStyle w:val="Zkladntext1"/>
        <w:shd w:val="clear" w:color="auto" w:fill="auto"/>
        <w:spacing w:line="206" w:lineRule="auto"/>
      </w:pPr>
      <w:r>
        <w:t>A muž, určený jako bod E, občanským povoláním sběrač, si posteskl:</w:t>
      </w:r>
    </w:p>
    <w:p w:rsidR="00500724" w:rsidRDefault="00F30FB8">
      <w:pPr>
        <w:pStyle w:val="Zkladntext1"/>
        <w:numPr>
          <w:ilvl w:val="0"/>
          <w:numId w:val="85"/>
        </w:numPr>
        <w:shd w:val="clear" w:color="auto" w:fill="auto"/>
        <w:tabs>
          <w:tab w:val="left" w:pos="505"/>
        </w:tabs>
        <w:spacing w:after="120" w:line="209" w:lineRule="auto"/>
      </w:pPr>
      <w:r>
        <w:t>Jo, lidi holt zaliazujou, co nem</w:t>
      </w:r>
      <w:r>
        <w:t>aj. Ale kde by to šlo čoveku k duhu, taková menší nepořádnost, tam aby ji jeden špendlíčkem hrabal.</w:t>
      </w:r>
    </w:p>
    <w:p w:rsidR="00500724" w:rsidRDefault="00F30FB8">
      <w:pPr>
        <w:pStyle w:val="Zkladntext1"/>
        <w:shd w:val="clear" w:color="auto" w:fill="auto"/>
        <w:spacing w:after="80" w:line="211" w:lineRule="auto"/>
        <w:ind w:firstLine="0"/>
        <w:jc w:val="center"/>
      </w:pPr>
      <w:r>
        <w:t>Kdy se Pražák hněvá?</w:t>
      </w:r>
    </w:p>
    <w:p w:rsidR="00500724" w:rsidRDefault="00F30FB8">
      <w:pPr>
        <w:pStyle w:val="Zkladntext1"/>
        <w:shd w:val="clear" w:color="auto" w:fill="auto"/>
        <w:spacing w:line="211" w:lineRule="auto"/>
      </w:pPr>
      <w:r>
        <w:t>A tak jsme se prokousali k tomu poslednímu P, k po</w:t>
      </w:r>
      <w:r>
        <w:softHyphen/>
        <w:t>pudlivosti:</w:t>
      </w:r>
    </w:p>
    <w:p w:rsidR="00500724" w:rsidRDefault="00F30FB8">
      <w:pPr>
        <w:pStyle w:val="Zkladntext1"/>
        <w:shd w:val="clear" w:color="auto" w:fill="auto"/>
        <w:spacing w:line="211" w:lineRule="auto"/>
      </w:pPr>
      <w:r>
        <w:t>Co tomu říkáte, bode A? Jsou Pražané lid popudlivý?</w:t>
      </w:r>
    </w:p>
    <w:p w:rsidR="00500724" w:rsidRDefault="00F30FB8">
      <w:pPr>
        <w:pStyle w:val="Zkladntext1"/>
        <w:shd w:val="clear" w:color="auto" w:fill="auto"/>
        <w:spacing w:line="211" w:lineRule="auto"/>
      </w:pPr>
      <w:r>
        <w:t xml:space="preserve">Depak. Pražáci jsou </w:t>
      </w:r>
      <w:r>
        <w:t>kliďasové. Jako beránci. To se nejlíp pozná, když tak v noční tramvaji jede nějaký podroušenec. Mluví, uráží, a lidé pořád nic. Sem tam si někdo odsedne, ale to je všecko. Ale když se ten ne</w:t>
      </w:r>
      <w:r>
        <w:softHyphen/>
        <w:t>zdvořák dotkne nějakého citlivého místa, to máte vidět ten výbuch</w:t>
      </w:r>
      <w:r>
        <w:t xml:space="preserve"> sopky. Jako tuhle ve čtrnátce. Z Poříče až na Habrmanku nechali jet opilce docela v klidu. Pak začal říkat sousedům: — Jó, Češi, to je pěkná sebranka. Sám byl ovšem také Čech, ale takový nějaký nepodaře</w:t>
      </w:r>
      <w:r>
        <w:softHyphen/>
        <w:t>ný. Najednou vám u libeňského mostu vstanou tři muži</w:t>
      </w:r>
      <w:r>
        <w:t>, jeden byl dělník, jeden úředník a tam ten třetí asi študent a bez jakéhokoli domlouvání řeknou: Ven. Chlap se vzpouzel a já jsem byl bezmocný; strážník tam nikde nebyl. Ale ti tři jej vynesli v takovém chvatu, že jsem nestačil oči vyvalovat. Pak řekli: D</w:t>
      </w:r>
      <w:r>
        <w:t>ále, a jelo se do Libně... Jsou ovšem také lidé, kteří se urazí, když jim řeknu, že mají tři dni starý lístek nebo že ňa tenhle lístek jeli už před dvěma hodinami z Nuslí na Václavák. Ale ostatní obecenstvo ve voze se tváří k popudlivci takovým způsobem, ž</w:t>
      </w:r>
      <w:r>
        <w:t>e za chvíli zmlkne.</w:t>
      </w:r>
    </w:p>
    <w:p w:rsidR="00500724" w:rsidRDefault="00F30FB8">
      <w:pPr>
        <w:pStyle w:val="Zkladntext1"/>
        <w:shd w:val="clear" w:color="auto" w:fill="auto"/>
        <w:spacing w:line="216" w:lineRule="auto"/>
      </w:pPr>
      <w:r>
        <w:t>A což vy, kamelote, jakožto bode B? Jsou Pražáci popudliví?</w:t>
      </w:r>
    </w:p>
    <w:p w:rsidR="00500724" w:rsidRDefault="00F30FB8">
      <w:pPr>
        <w:pStyle w:val="Zkladntext1"/>
        <w:numPr>
          <w:ilvl w:val="0"/>
          <w:numId w:val="85"/>
        </w:numPr>
        <w:shd w:val="clear" w:color="auto" w:fill="auto"/>
        <w:tabs>
          <w:tab w:val="left" w:pos="510"/>
        </w:tabs>
        <w:spacing w:line="214" w:lineRule="auto"/>
      </w:pPr>
      <w:r>
        <w:t>Ani bych neřek. Jé se s lidmi nehádám, já s nimi obchoduju. A co takhle vidím na ulici jináč, ani se mi nezdáli. Víte, já vám řeknu něco, o čem se budete domní</w:t>
      </w:r>
      <w:r>
        <w:softHyphen/>
        <w:t>vat, že to mám v</w:t>
      </w:r>
      <w:r>
        <w:t>yčteno z novin: Pražáci mají schopnost pro tenhleten spravedlivý hněv. To jsem už viděl mockrát.</w:t>
      </w:r>
    </w:p>
    <w:p w:rsidR="00500724" w:rsidRDefault="00F30FB8">
      <w:pPr>
        <w:pStyle w:val="Zkladntext1"/>
        <w:shd w:val="clear" w:color="auto" w:fill="auto"/>
        <w:spacing w:line="214" w:lineRule="auto"/>
      </w:pPr>
      <w:r>
        <w:t>Ale ani v houfu, ani v zástupu se nedají tak snadno popudit. Já vím ze starejch času, když tak byla nějaká demonstrace. Dokud to šlo podle představ těch normál</w:t>
      </w:r>
      <w:r>
        <w:softHyphen/>
        <w:t>ních lidí, tak šli všichni svorně. Jak do toho^skočil něj a- ký zelenáč a najednou chtěl lidi dostat někam jinam a třebas za soukromejma a ne moc čistejma věcma, tak se zástup začal trkat, lidi se odvraceli a jako by se jick to netejkalo, domů. Pane, Praž</w:t>
      </w:r>
      <w:r>
        <w:t>áci hned tak na nějakou vopičku neskočej, to zas ne...</w:t>
      </w:r>
    </w:p>
    <w:p w:rsidR="00500724" w:rsidRDefault="00F30FB8">
      <w:pPr>
        <w:pStyle w:val="Zkladntext1"/>
        <w:shd w:val="clear" w:color="auto" w:fill="auto"/>
        <w:spacing w:line="221" w:lineRule="auto"/>
        <w:ind w:firstLine="240"/>
      </w:pPr>
      <w:r>
        <w:t>Ani bod B si nemyslí že by byli Pražané popndlivci. Bod C dokonce říká:</w:t>
      </w:r>
    </w:p>
    <w:p w:rsidR="00500724" w:rsidRDefault="00F30FB8">
      <w:pPr>
        <w:pStyle w:val="Zkladntext1"/>
        <w:numPr>
          <w:ilvl w:val="0"/>
          <w:numId w:val="85"/>
        </w:numPr>
        <w:shd w:val="clear" w:color="auto" w:fill="auto"/>
        <w:tabs>
          <w:tab w:val="left" w:pos="510"/>
        </w:tabs>
        <w:spacing w:line="211" w:lineRule="auto"/>
        <w:ind w:firstLine="240"/>
      </w:pPr>
      <w:r>
        <w:t>Já se tu v sadech ani s popudlivejma lidma ne</w:t>
      </w:r>
      <w:r>
        <w:softHyphen/>
        <w:t xml:space="preserve">setkám. A prosím vás, proč by se tu měli lidi zlobit? Podívejte se na támhle ten </w:t>
      </w:r>
      <w:r>
        <w:t>habr. Tomu bude aspoň sto padesát let. A dyž je ělověk pod takovým habrem, tak si připadá tak malej, že nemá na zlobení chuť. Lidi se zloběj jenom dyž si připadaj důležitý.</w:t>
      </w:r>
    </w:p>
    <w:p w:rsidR="00500724" w:rsidRDefault="00F30FB8">
      <w:pPr>
        <w:pStyle w:val="Zkladntext1"/>
        <w:shd w:val="clear" w:color="auto" w:fill="auto"/>
        <w:spacing w:line="211" w:lineRule="auto"/>
        <w:ind w:firstLine="240"/>
      </w:pPr>
      <w:r>
        <w:t>Mluvte teď vy, bode D, strážníku.</w:t>
      </w:r>
    </w:p>
    <w:p w:rsidR="00500724" w:rsidRDefault="00F30FB8">
      <w:pPr>
        <w:pStyle w:val="Zkladntext1"/>
        <w:shd w:val="clear" w:color="auto" w:fill="auto"/>
        <w:spacing w:line="211" w:lineRule="auto"/>
        <w:ind w:firstLine="240"/>
      </w:pPr>
      <w:r>
        <w:t>A ani snad ne. Já jsem zažil hodně demonstrací, j</w:t>
      </w:r>
      <w:r>
        <w:t>ed</w:t>
      </w:r>
      <w:r>
        <w:softHyphen/>
        <w:t>nou jsme rozháněli ty a po druhé zase jiné, ale vztek- lounů jsem moc neviděl. A v soukromí je těch popudli</w:t>
      </w:r>
      <w:r>
        <w:softHyphen/>
        <w:t>vých ještě méně. Mužský se spíš zahanbeně usměje, když ho napomenete, ženská třebas něco odsekne, ale když nelejete olej do ohně, tak se taky umo</w:t>
      </w:r>
      <w:r>
        <w:t>udří. Jo, v opici jsou ovšem lidé jiní. Ale já si myslím, že Pražáci mají i tu opici veselou. Spíš to člověka dožere, když takový ochmelka přijde a pořád: Pane komisaři, ty ses f ajnovej kluk, pocem, af tě vobejmu... Myslím, že vy</w:t>
      </w:r>
      <w:r>
        <w:softHyphen/>
        <w:t>provokovat se dají Pražác</w:t>
      </w:r>
      <w:r>
        <w:t>i těžko. Pane, já sloužil třebas na východě, tam už je to horší. Tam najednou hoří a ani nevíte jak. Ale Pražáci hned tak nechytnou od každého bengálu.</w:t>
      </w:r>
    </w:p>
    <w:p w:rsidR="00500724" w:rsidRDefault="00F30FB8">
      <w:pPr>
        <w:pStyle w:val="Zkladntext1"/>
        <w:shd w:val="clear" w:color="auto" w:fill="auto"/>
        <w:spacing w:line="209" w:lineRule="auto"/>
        <w:ind w:firstLine="240"/>
      </w:pPr>
      <w:r>
        <w:t>A nyní nechť promluví bod E.</w:t>
      </w:r>
    </w:p>
    <w:p w:rsidR="00500724" w:rsidRDefault="00F30FB8">
      <w:pPr>
        <w:pStyle w:val="Zkladntext1"/>
        <w:numPr>
          <w:ilvl w:val="0"/>
          <w:numId w:val="85"/>
        </w:numPr>
        <w:shd w:val="clear" w:color="auto" w:fill="auto"/>
        <w:tabs>
          <w:tab w:val="left" w:pos="514"/>
        </w:tabs>
        <w:spacing w:after="100" w:line="209" w:lineRule="auto"/>
        <w:ind w:firstLine="240"/>
      </w:pPr>
      <w:r>
        <w:t>Sim vás, co je to popudlivej? Já sem kliďas, ale dyž holt si někdo koleduje</w:t>
      </w:r>
      <w:r>
        <w:t xml:space="preserve"> a furt si nedá říct, že se to mezi slušnejma lidma nedělá, tak hold může utrpět ouraz, to mu bůh řek. Dyž si holt někdo moc holendí vo jednu zednickou, tak si jí nakonec přivolá ze zduchu. Ďo takovýho vejtahy se dycky něhdo strefí.</w:t>
      </w:r>
    </w:p>
    <w:p w:rsidR="00500724" w:rsidRDefault="00F30FB8">
      <w:pPr>
        <w:pStyle w:val="Zkladntext1"/>
        <w:shd w:val="clear" w:color="auto" w:fill="auto"/>
        <w:spacing w:after="60" w:line="211" w:lineRule="auto"/>
        <w:ind w:firstLine="0"/>
        <w:jc w:val="center"/>
      </w:pPr>
      <w:r>
        <w:t>Na konec mírné resumé</w:t>
      </w:r>
    </w:p>
    <w:p w:rsidR="00500724" w:rsidRDefault="00F30FB8">
      <w:pPr>
        <w:pStyle w:val="Zkladntext1"/>
        <w:shd w:val="clear" w:color="auto" w:fill="auto"/>
        <w:spacing w:after="60" w:line="211" w:lineRule="auto"/>
        <w:ind w:firstLine="240"/>
      </w:pPr>
      <w:r>
        <w:t>Z</w:t>
      </w:r>
      <w:r>
        <w:t>de tedy končí naše zaměřování. Abychom to shrnuli, pražský národ nevypadá na nepoctivce. Sem tam drob</w:t>
      </w:r>
      <w:r>
        <w:softHyphen/>
        <w:t>ný podfuk, vejpečka, bouda na orgán úřední. Ale ve větších a velkých věcech je to s námi dobré. S tou pravdomluvností už je to horší. Ale zase jsou to dro</w:t>
      </w:r>
      <w:r>
        <w:t>bné hříšky, lhaní z pohodlí, zapírání i v malichernostech. A snad hlavně v malichernostech. Otevřenost — to je vlastnost, z níž by mnoho lidí muselo skládat postupnou zkoušku. Ale dost možná, že je tu tolik vnějších vlivů, které člověk ani nepostřehne, a k</w:t>
      </w:r>
      <w:r>
        <w:t>teré přece mají vliv na vypovídání pravdy.</w:t>
      </w:r>
    </w:p>
    <w:p w:rsidR="00500724" w:rsidRDefault="00F30FB8">
      <w:pPr>
        <w:pStyle w:val="Zkladntext1"/>
        <w:shd w:val="clear" w:color="auto" w:fill="auto"/>
        <w:spacing w:line="209" w:lineRule="auto"/>
        <w:ind w:firstLine="240"/>
      </w:pPr>
      <w:r>
        <w:t xml:space="preserve">Za to </w:t>
      </w:r>
      <w:r>
        <w:rPr>
          <w:i/>
          <w:iCs/>
        </w:rPr>
        <w:t>s</w:t>
      </w:r>
      <w:r>
        <w:t xml:space="preserve"> přejícností dopadli Pražané dobře. Hlavně lidové vrstvy pražské jsou účinlivé, pomáhají bližnímu s pocitem samozřejmosti, drží za jeden provaz i s ne</w:t>
      </w:r>
      <w:r>
        <w:softHyphen/>
        <w:t>známými, když se jim ti neznámí zdají být poctiví. Je u</w:t>
      </w:r>
      <w:r>
        <w:t xml:space="preserve"> nich dokonce jakási přejícnost aktivní: udělat lidem radost drobným překvapením, dárkem, pozorností. Ty hospodyně, které nabízejí průvodčím třešni nebo kedlubnu, to dokumentují nejvíce.</w:t>
      </w:r>
    </w:p>
    <w:p w:rsidR="00500724" w:rsidRDefault="00F30FB8">
      <w:pPr>
        <w:pStyle w:val="Zkladntext1"/>
        <w:shd w:val="clear" w:color="auto" w:fill="auto"/>
        <w:spacing w:line="211" w:lineRule="auto"/>
        <w:ind w:firstLine="240"/>
      </w:pPr>
      <w:r>
        <w:t>Pořádkumilovnost ?</w:t>
      </w:r>
    </w:p>
    <w:p w:rsidR="00500724" w:rsidRDefault="00F30FB8">
      <w:pPr>
        <w:pStyle w:val="Zkladntext1"/>
        <w:shd w:val="clear" w:color="auto" w:fill="auto"/>
        <w:spacing w:line="209" w:lineRule="auto"/>
        <w:ind w:firstLine="240"/>
      </w:pPr>
      <w:r>
        <w:t>Zase musíme připomenout ty drobné nepořádky: od</w:t>
      </w:r>
      <w:r>
        <w:softHyphen/>
        <w:t>ha</w:t>
      </w:r>
      <w:r>
        <w:t>zování všeho, co se člověku zrovna nehodí do ruky nebo do kapsy, mírné opovrhování přílišnou čistotou a uklizeností, leckdys nešetření majetku obecného, ne</w:t>
      </w:r>
      <w:r>
        <w:softHyphen/>
        <w:t xml:space="preserve">pozornost k druhým. Nelze tedy říc, že bychom měli smysl pro pořádek jako ve škatulce. Ale na druhé </w:t>
      </w:r>
      <w:r>
        <w:t>stra</w:t>
      </w:r>
      <w:r>
        <w:softHyphen/>
        <w:t>ně se zas dovídáme o lidech, kteří nejen že nedělají nepořádek, ale aktivně se účastní dělání pořádku za druhé. To jsou ovšem apoštolově, jimž přejeme hodně učedníků.</w:t>
      </w:r>
    </w:p>
    <w:p w:rsidR="00500724" w:rsidRDefault="00F30FB8">
      <w:pPr>
        <w:pStyle w:val="Zkladntext1"/>
        <w:shd w:val="clear" w:color="auto" w:fill="auto"/>
        <w:spacing w:after="180" w:line="211" w:lineRule="auto"/>
        <w:ind w:firstLine="240"/>
      </w:pPr>
      <w:r>
        <w:t xml:space="preserve">Páté P? Pražané prosluli pramalou popudlivostí. Přesněji pověděno: pražská Psýché, </w:t>
      </w:r>
      <w:r>
        <w:t>poněkud pohodlná, prahne po pokoji. Když se však někomu usilovnou ná</w:t>
      </w:r>
      <w:r>
        <w:softHyphen/>
        <w:t>mahou podaří ten klid porušit velmi hluboko, jsou Pražáci i s risikem ochotni účtovat. Na tom se shodli všichni bodové od A až do E. Ale ani ve vzrušení se ne</w:t>
      </w:r>
      <w:r>
        <w:softHyphen/>
        <w:t>dají zavléci na cestu, která</w:t>
      </w:r>
      <w:r>
        <w:t xml:space="preserve"> jejich poněkud skeptické duši připadá příliš tatrmanskou, nedomyšlenou nebo ne dost poctivou. A to je vlastnost, která stojí za pěkné peníze.</w:t>
      </w:r>
    </w:p>
    <w:p w:rsidR="00500724" w:rsidRDefault="00F30FB8">
      <w:pPr>
        <w:pStyle w:val="Jin0"/>
        <w:shd w:val="clear" w:color="auto" w:fill="auto"/>
        <w:spacing w:after="260"/>
        <w:ind w:firstLine="0"/>
        <w:jc w:val="left"/>
        <w:rPr>
          <w:sz w:val="46"/>
          <w:szCs w:val="46"/>
        </w:rPr>
      </w:pPr>
      <w:r>
        <w:rPr>
          <w:b/>
          <w:bCs/>
          <w:sz w:val="46"/>
          <w:szCs w:val="46"/>
          <w:u w:val="single"/>
        </w:rPr>
        <w:t>otázky a odpovědi</w:t>
      </w:r>
    </w:p>
    <w:p w:rsidR="00500724" w:rsidRDefault="00F30FB8">
      <w:pPr>
        <w:pStyle w:val="Nadpis100"/>
        <w:shd w:val="clear" w:color="auto" w:fill="auto"/>
        <w:spacing w:line="240" w:lineRule="auto"/>
      </w:pPr>
      <w:bookmarkStart w:id="709" w:name="bookmark708"/>
      <w:r>
        <w:t>Zemědělec a důstojník</w:t>
      </w:r>
      <w:bookmarkEnd w:id="709"/>
    </w:p>
    <w:p w:rsidR="00500724" w:rsidRDefault="00F30FB8">
      <w:pPr>
        <w:pStyle w:val="Zkladntext1"/>
        <w:shd w:val="clear" w:color="auto" w:fill="auto"/>
        <w:spacing w:after="40" w:line="211" w:lineRule="auto"/>
        <w:ind w:firstLine="0"/>
        <w:jc w:val="center"/>
      </w:pPr>
      <w:r>
        <w:t>(Věnováno hlavně paní Mileně Jesenské)</w:t>
      </w:r>
    </w:p>
    <w:p w:rsidR="00500724" w:rsidRDefault="00F30FB8">
      <w:pPr>
        <w:pStyle w:val="Zkladntext1"/>
        <w:shd w:val="clear" w:color="auto" w:fill="auto"/>
        <w:spacing w:after="40" w:line="211" w:lineRule="auto"/>
      </w:pPr>
      <w:r>
        <w:t>Vaše články, vzácná dámo, jsou z t</w:t>
      </w:r>
      <w:r>
        <w:t>ěch, které v dneš</w:t>
      </w:r>
      <w:r>
        <w:softHyphen/>
        <w:t>ních dobách zaujmou, a otevřenost — otevřenost dnešní doby! — je jedním z jejich četných aktiv.</w:t>
      </w:r>
    </w:p>
    <w:p w:rsidR="00500724" w:rsidRDefault="00F30FB8">
      <w:pPr>
        <w:pStyle w:val="Zkladntext1"/>
        <w:shd w:val="clear" w:color="auto" w:fill="auto"/>
        <w:spacing w:after="40" w:line="209" w:lineRule="auto"/>
      </w:pPr>
      <w:r>
        <w:t>Přihlašuji se Vám do oné skupiny údů národa, která prý nedovedla zaopatřit svému lidu práci a tudíž byla jednou z příčin věčné hanby národa, j</w:t>
      </w:r>
      <w:r>
        <w:t>ak Jste se ráčila v č. 25. vyjádřit.</w:t>
      </w:r>
    </w:p>
    <w:p w:rsidR="00500724" w:rsidRDefault="00F30FB8">
      <w:pPr>
        <w:pStyle w:val="Zkladntext1"/>
        <w:shd w:val="clear" w:color="auto" w:fill="auto"/>
        <w:spacing w:after="40" w:line="211" w:lineRule="auto"/>
      </w:pPr>
      <w:r>
        <w:t xml:space="preserve">Poněvadž nám přívaly vod přerušily styk s přírodou, mám k disposici takové roztrhané volné chvíle, a tak po kouscích skládám svou odpověď hlavně za sebe a snad také za stav zemědělský, jehož jsem příslušníkem. Ostatní </w:t>
      </w:r>
      <w:r>
        <w:t>postižení: průmyslníci, výrobci a lidé bohatí af se, líbo-li, hájí sami. Chytl jsem svědomí za pačesy a po</w:t>
      </w:r>
      <w:r>
        <w:softHyphen/>
        <w:t>díval jsem se, jak mi zčernalo. Dovedu se vžít do situace propuštěného důstojníka a gážisty — nejdříve se trochu představím — prodělal jsem celou vál</w:t>
      </w:r>
      <w:r>
        <w:t>ku v lantveráekém kabátu, navrátil se po čtyřech a půl letech do civilního života, dva roky jsem křísil nervy, než jsem se mohl za</w:t>
      </w:r>
      <w:r>
        <w:softHyphen/>
        <w:t>pojit do chodu občanské spolupráce jako výkonný ze</w:t>
      </w:r>
      <w:r>
        <w:softHyphen/>
        <w:t>mědělec.</w:t>
      </w:r>
    </w:p>
    <w:p w:rsidR="00500724" w:rsidRDefault="00F30FB8">
      <w:pPr>
        <w:pStyle w:val="Zkladntext1"/>
        <w:shd w:val="clear" w:color="auto" w:fill="auto"/>
        <w:spacing w:after="40" w:line="211" w:lineRule="auto"/>
      </w:pPr>
      <w:r>
        <w:t>Viděl jsem nyní — jako Vy — důstojníka vyšší kate</w:t>
      </w:r>
      <w:r>
        <w:softHyphen/>
        <w:t>gorie tak smutn</w:t>
      </w:r>
      <w:r>
        <w:t>ého, jak jen může být člověk a muž sta</w:t>
      </w:r>
      <w:r>
        <w:softHyphen/>
        <w:t>tečný, dožije-li se plného zklamání. Větší část těchto lidí chce a musí přejít do občanského života. Tento přesun a přelom není lehký, naopak tím těžší, čím do změně</w:t>
      </w:r>
      <w:r>
        <w:softHyphen/>
        <w:t>nějších poměrů se přejde.</w:t>
      </w:r>
    </w:p>
    <w:p w:rsidR="00500724" w:rsidRDefault="00F30FB8">
      <w:pPr>
        <w:pStyle w:val="Zkladntext1"/>
        <w:shd w:val="clear" w:color="auto" w:fill="auto"/>
        <w:spacing w:after="40" w:line="211" w:lineRule="auto"/>
      </w:pPr>
      <w:r>
        <w:t xml:space="preserve">Zemědělství! Požehnaný a </w:t>
      </w:r>
      <w:r>
        <w:t>proklínaný stav! Krásná vidina mnohých nudících se měšťáků, snících o radost</w:t>
      </w:r>
      <w:r>
        <w:softHyphen/>
        <w:t xml:space="preserve">ném životě xprocul negotiisí, zakoupí-li se statek. A jaké zklamání, došlo-li k aktivování snu, po roce, po dvoti, jak kdo měl příležitost. Kolik podobných příkladů bych mohl sám </w:t>
      </w:r>
      <w:r>
        <w:t>jmenovat, jak je známe od veliké války. Sta</w:t>
      </w:r>
      <w:r>
        <w:softHyphen/>
        <w:t>tek jako lakadlo z těch dob nedostatku bylo příliš svůdné. Beknu to krátce: Do tohoto oboru nechť jdou pouze lidé, kteří budou připraveni:</w:t>
      </w:r>
    </w:p>
    <w:p w:rsidR="00500724" w:rsidRDefault="00F30FB8">
      <w:pPr>
        <w:pStyle w:val="Zkladntext1"/>
        <w:numPr>
          <w:ilvl w:val="0"/>
          <w:numId w:val="86"/>
        </w:numPr>
        <w:shd w:val="clear" w:color="auto" w:fill="auto"/>
        <w:tabs>
          <w:tab w:val="left" w:pos="475"/>
        </w:tabs>
        <w:spacing w:after="40" w:line="211" w:lineRule="auto"/>
      </w:pPr>
      <w:r>
        <w:t>na starosti od rána do noci,</w:t>
      </w:r>
    </w:p>
    <w:p w:rsidR="00500724" w:rsidRDefault="00F30FB8">
      <w:pPr>
        <w:pStyle w:val="Zkladntext1"/>
        <w:numPr>
          <w:ilvl w:val="0"/>
          <w:numId w:val="86"/>
        </w:numPr>
        <w:shd w:val="clear" w:color="auto" w:fill="auto"/>
        <w:tabs>
          <w:tab w:val="left" w:pos="490"/>
        </w:tabs>
        <w:spacing w:after="40" w:line="211" w:lineRule="auto"/>
      </w:pPr>
      <w:r>
        <w:t>vzdát se zábav všeho druhu,</w:t>
      </w:r>
    </w:p>
    <w:p w:rsidR="00500724" w:rsidRDefault="00F30FB8">
      <w:pPr>
        <w:pStyle w:val="Zkladntext1"/>
        <w:numPr>
          <w:ilvl w:val="0"/>
          <w:numId w:val="86"/>
        </w:numPr>
        <w:shd w:val="clear" w:color="auto" w:fill="auto"/>
        <w:tabs>
          <w:tab w:val="left" w:pos="490"/>
        </w:tabs>
        <w:spacing w:after="40" w:line="211" w:lineRule="auto"/>
      </w:pPr>
      <w:r>
        <w:t xml:space="preserve">namáhat mozek i </w:t>
      </w:r>
      <w:r>
        <w:t>ruce velmi intensivně.</w:t>
      </w:r>
    </w:p>
    <w:p w:rsidR="00500724" w:rsidRDefault="00F30FB8">
      <w:pPr>
        <w:pStyle w:val="Zkladntext1"/>
        <w:shd w:val="clear" w:color="auto" w:fill="auto"/>
        <w:spacing w:after="40" w:line="211" w:lineRule="auto"/>
      </w:pPr>
      <w:r>
        <w:t>A všechno to předpokládá nikoliv počáteční elán, nýbrž vytrvalost. O kapitálu nemluvím.</w:t>
      </w:r>
    </w:p>
    <w:p w:rsidR="00500724" w:rsidRDefault="00F30FB8">
      <w:pPr>
        <w:pStyle w:val="Zkladntext1"/>
        <w:shd w:val="clear" w:color="auto" w:fill="auto"/>
        <w:spacing w:after="40" w:line="211" w:lineRule="auto"/>
      </w:pPr>
      <w:r>
        <w:t xml:space="preserve">Nebof tato otázka nebyla onou, na niž jsem chtěl reagovat. Abych však tuto důležitou zmínku Vašeho článku nenechal úplně bez odpovědi, radíni: </w:t>
      </w:r>
      <w:r>
        <w:t>Vstoupit ve styk s naší celostátní, velmi dobře organisačně vede</w:t>
      </w:r>
      <w:r>
        <w:softHyphen/>
        <w:t>nou Zemědělskou jednotou, kde možno společně tuto ožehavou věc probrat, případně i organisovat.</w:t>
      </w:r>
    </w:p>
    <w:p w:rsidR="00500724" w:rsidRDefault="00F30FB8">
      <w:pPr>
        <w:pStyle w:val="Zkladntext1"/>
        <w:shd w:val="clear" w:color="auto" w:fill="auto"/>
        <w:spacing w:after="40" w:line="211" w:lineRule="auto"/>
      </w:pPr>
      <w:r>
        <w:t xml:space="preserve">Mně však jde hlavně o tu »věčnou hanbu*. Vy tvrdíte a nepochybuji, jako všechny Vaše články je </w:t>
      </w:r>
      <w:r>
        <w:t>i tento mo</w:t>
      </w:r>
      <w:r>
        <w:softHyphen/>
        <w:t>tivován ušlechtilou snahou, že jsme nedovedli zaopatřit na statcích práci pro naše lidi. Nezlobím se na Vás, ctěná paní, ale jsem jist, že velké části mých druhů v povolání by se sevřela mohutná či jemnější pravice a zabouchla by aspoň o stůl.</w:t>
      </w:r>
    </w:p>
    <w:p w:rsidR="00500724" w:rsidRDefault="00F30FB8">
      <w:pPr>
        <w:pStyle w:val="Zkladntext1"/>
        <w:shd w:val="clear" w:color="auto" w:fill="auto"/>
        <w:spacing w:after="40" w:line="216" w:lineRule="auto"/>
      </w:pPr>
      <w:r>
        <w:t>J</w:t>
      </w:r>
      <w:r>
        <w:t>á řeknu své mínění bez rozčilení a bez hněvu, nebof plně chápu a sdílím Váš soucit s lidmi tak říkajíc opuš</w:t>
      </w:r>
      <w:r>
        <w:softHyphen/>
        <w:t>těnými. Račte posuzovat situaci takto:</w:t>
      </w:r>
    </w:p>
    <w:p w:rsidR="00500724" w:rsidRDefault="00F30FB8">
      <w:pPr>
        <w:pStyle w:val="Zkladntext40"/>
        <w:shd w:val="clear" w:color="auto" w:fill="auto"/>
        <w:spacing w:after="0" w:line="317" w:lineRule="auto"/>
        <w:ind w:firstLine="240"/>
        <w:rPr>
          <w:sz w:val="14"/>
          <w:szCs w:val="14"/>
        </w:rPr>
      </w:pPr>
      <w:r>
        <w:rPr>
          <w:b/>
          <w:bCs/>
          <w:sz w:val="14"/>
          <w:szCs w:val="14"/>
        </w:rPr>
        <w:t>Statek je odedávna dobré uložení kapitálu na nízký úrok. To znamená: mamě se namáhá kdokoliv by v prů</w:t>
      </w:r>
      <w:r>
        <w:rPr>
          <w:b/>
          <w:bCs/>
          <w:sz w:val="14"/>
          <w:szCs w:val="14"/>
        </w:rPr>
        <w:softHyphen/>
        <w:t>měru vš</w:t>
      </w:r>
      <w:r>
        <w:rPr>
          <w:b/>
          <w:bCs/>
          <w:sz w:val="14"/>
          <w:szCs w:val="14"/>
        </w:rPr>
        <w:t>ech let a v posledním desítiletí zvláště chtěl na</w:t>
      </w:r>
      <w:r>
        <w:rPr>
          <w:b/>
          <w:bCs/>
          <w:sz w:val="14"/>
          <w:szCs w:val="14"/>
        </w:rPr>
        <w:softHyphen/>
        <w:t>lézt vyšší zúročení než 3 až 4 procenta. Najdete-li vý</w:t>
      </w:r>
      <w:r>
        <w:rPr>
          <w:b/>
          <w:bCs/>
          <w:sz w:val="14"/>
          <w:szCs w:val="14"/>
        </w:rPr>
        <w:softHyphen/>
        <w:t>jimky, víte, co si o nich myslet Já bych Vám zjistil víc oněch výjimek, které by Vás nepotěšovaly, jako netěšily a netěší postižené statkáře.</w:t>
      </w:r>
    </w:p>
    <w:p w:rsidR="00500724" w:rsidRDefault="00F30FB8">
      <w:pPr>
        <w:pStyle w:val="Zkladntext40"/>
        <w:shd w:val="clear" w:color="auto" w:fill="auto"/>
        <w:spacing w:after="0" w:line="314" w:lineRule="auto"/>
        <w:ind w:firstLine="240"/>
        <w:rPr>
          <w:sz w:val="14"/>
          <w:szCs w:val="14"/>
        </w:rPr>
      </w:pPr>
      <w:r>
        <w:rPr>
          <w:b/>
          <w:bCs/>
          <w:sz w:val="14"/>
          <w:szCs w:val="14"/>
        </w:rPr>
        <w:t>Tomuto fa</w:t>
      </w:r>
      <w:r>
        <w:rPr>
          <w:b/>
          <w:bCs/>
          <w:sz w:val="14"/>
          <w:szCs w:val="14"/>
        </w:rPr>
        <w:t>ktu nezbytně musí být přizpůsobena před</w:t>
      </w:r>
      <w:r>
        <w:rPr>
          <w:b/>
          <w:bCs/>
          <w:sz w:val="14"/>
          <w:szCs w:val="14"/>
        </w:rPr>
        <w:softHyphen/>
        <w:t>ně vydání osobní, ale ovšem také režie. A režie spočívá hlavně ve výdajích mzdových. Nebof k štěstí lidstva přes všechny nesporně významné vynálezy, stroje, mo</w:t>
      </w:r>
      <w:r>
        <w:rPr>
          <w:b/>
          <w:bCs/>
          <w:sz w:val="14"/>
          <w:szCs w:val="14"/>
        </w:rPr>
        <w:softHyphen/>
        <w:t>tory, samočinná napajedla, případně i elektrické dojení,</w:t>
      </w:r>
      <w:r>
        <w:rPr>
          <w:b/>
          <w:bCs/>
          <w:sz w:val="14"/>
          <w:szCs w:val="14"/>
        </w:rPr>
        <w:t xml:space="preserve"> ruční práce v zemědělství je stále tolik, že bez dostatku dobrého dělnictva nelze hospodařit. O mzdách zeměděl</w:t>
      </w:r>
      <w:r>
        <w:rPr>
          <w:b/>
          <w:bCs/>
          <w:sz w:val="14"/>
          <w:szCs w:val="14"/>
        </w:rPr>
        <w:softHyphen/>
        <w:t>ského dělnictva bylo už napsáno a diskutováno tolik, že by bylo zbytečno se zde rozšiřovat. A svorně konstato</w:t>
      </w:r>
      <w:r>
        <w:rPr>
          <w:b/>
          <w:bCs/>
          <w:sz w:val="14"/>
          <w:szCs w:val="14"/>
        </w:rPr>
        <w:softHyphen/>
        <w:t>váno: jsou nízké. Statkář sociálně</w:t>
      </w:r>
      <w:r>
        <w:rPr>
          <w:b/>
          <w:bCs/>
          <w:sz w:val="14"/>
          <w:szCs w:val="14"/>
        </w:rPr>
        <w:t xml:space="preserve"> cítící to nejen ví, ale i těžce nese, ví však také, když udělá celoroční bilanci, že z ní vyplývá jediné: za nynějších cen hlavních pro</w:t>
      </w:r>
      <w:r>
        <w:rPr>
          <w:b/>
          <w:bCs/>
          <w:sz w:val="14"/>
          <w:szCs w:val="14"/>
        </w:rPr>
        <w:softHyphen/>
        <w:t>duktů se nedá nic dělat. Myslíte snad žít a platit z pod</w:t>
      </w:r>
      <w:r>
        <w:rPr>
          <w:b/>
          <w:bCs/>
          <w:sz w:val="14"/>
          <w:szCs w:val="14"/>
        </w:rPr>
        <w:softHyphen/>
        <w:t>staty? To ovšem by dlouho netrvalo.</w:t>
      </w:r>
    </w:p>
    <w:p w:rsidR="00500724" w:rsidRDefault="00F30FB8">
      <w:pPr>
        <w:pStyle w:val="Zkladntext40"/>
        <w:shd w:val="clear" w:color="auto" w:fill="auto"/>
        <w:spacing w:after="0" w:line="314" w:lineRule="auto"/>
        <w:ind w:firstLine="240"/>
        <w:rPr>
          <w:sz w:val="14"/>
          <w:szCs w:val="14"/>
        </w:rPr>
      </w:pPr>
      <w:r>
        <w:rPr>
          <w:b/>
          <w:bCs/>
          <w:sz w:val="14"/>
          <w:szCs w:val="14"/>
        </w:rPr>
        <w:t>A jaké jsou následky? Děln</w:t>
      </w:r>
      <w:r>
        <w:rPr>
          <w:b/>
          <w:bCs/>
          <w:sz w:val="14"/>
          <w:szCs w:val="14"/>
        </w:rPr>
        <w:t>ictvo, zejména mladší, hle</w:t>
      </w:r>
      <w:r>
        <w:rPr>
          <w:b/>
          <w:bCs/>
          <w:sz w:val="14"/>
          <w:szCs w:val="14"/>
        </w:rPr>
        <w:softHyphen/>
        <w:t>dá, ale často také nehledá anebo nehledalo, kde jakou práci jinou a k zemědělství jdou pouze lidé těchto dvou úplně rozdílných kategorií:</w:t>
      </w:r>
    </w:p>
    <w:p w:rsidR="00500724" w:rsidRDefault="00F30FB8">
      <w:pPr>
        <w:pStyle w:val="Zkladntext40"/>
        <w:numPr>
          <w:ilvl w:val="0"/>
          <w:numId w:val="87"/>
        </w:numPr>
        <w:shd w:val="clear" w:color="auto" w:fill="auto"/>
        <w:tabs>
          <w:tab w:val="left" w:pos="505"/>
        </w:tabs>
        <w:spacing w:after="0" w:line="314" w:lineRule="auto"/>
        <w:ind w:firstLine="240"/>
        <w:rPr>
          <w:sz w:val="14"/>
          <w:szCs w:val="14"/>
        </w:rPr>
      </w:pPr>
      <w:r>
        <w:rPr>
          <w:b/>
          <w:bCs/>
          <w:sz w:val="14"/>
          <w:szCs w:val="14"/>
        </w:rPr>
        <w:t>méně schopní,</w:t>
      </w:r>
    </w:p>
    <w:p w:rsidR="00500724" w:rsidRDefault="00F30FB8">
      <w:pPr>
        <w:pStyle w:val="Zkladntext40"/>
        <w:numPr>
          <w:ilvl w:val="0"/>
          <w:numId w:val="87"/>
        </w:numPr>
        <w:shd w:val="clear" w:color="auto" w:fill="auto"/>
        <w:tabs>
          <w:tab w:val="left" w:pos="486"/>
        </w:tabs>
        <w:spacing w:after="0" w:line="314" w:lineRule="auto"/>
        <w:ind w:firstLine="240"/>
        <w:rPr>
          <w:sz w:val="14"/>
          <w:szCs w:val="14"/>
        </w:rPr>
      </w:pPr>
      <w:r>
        <w:rPr>
          <w:b/>
          <w:bCs/>
          <w:sz w:val="14"/>
          <w:szCs w:val="14"/>
        </w:rPr>
        <w:t>lidé, schopní i jiné práce, ba mnohdy i vyučení ře</w:t>
      </w:r>
      <w:r>
        <w:rPr>
          <w:b/>
          <w:bCs/>
          <w:sz w:val="14"/>
          <w:szCs w:val="14"/>
        </w:rPr>
        <w:softHyphen/>
        <w:t xml:space="preserve">meslníci, jimž zemědělská </w:t>
      </w:r>
      <w:r>
        <w:rPr>
          <w:b/>
          <w:bCs/>
          <w:sz w:val="14"/>
          <w:szCs w:val="14"/>
        </w:rPr>
        <w:t>práce poskytuje ono uspoko</w:t>
      </w:r>
      <w:r>
        <w:rPr>
          <w:b/>
          <w:bCs/>
          <w:sz w:val="14"/>
          <w:szCs w:val="14"/>
        </w:rPr>
        <w:softHyphen/>
        <w:t>jení, jež vyplývá z příchylnosti k přírodě, která je jim vrozena. Lidé, kteří Lez pěkného koně a bez styku s pol- mi se necítí svoji. Není jich mnoho, ale Bůh zaplaf, že se vyskytují</w:t>
      </w:r>
    </w:p>
    <w:p w:rsidR="00500724" w:rsidRDefault="00F30FB8">
      <w:pPr>
        <w:pStyle w:val="Zkladntext40"/>
        <w:shd w:val="clear" w:color="auto" w:fill="auto"/>
        <w:spacing w:after="0" w:line="314" w:lineRule="auto"/>
        <w:ind w:firstLine="240"/>
        <w:rPr>
          <w:sz w:val="14"/>
          <w:szCs w:val="14"/>
        </w:rPr>
      </w:pPr>
      <w:r>
        <w:rPr>
          <w:b/>
          <w:bCs/>
          <w:sz w:val="14"/>
          <w:szCs w:val="14"/>
        </w:rPr>
        <w:t>Mluvíte-li o těch, kteří odcházeli,'zeptejte a</w:t>
      </w:r>
      <w:r>
        <w:rPr>
          <w:b/>
          <w:bCs/>
          <w:sz w:val="14"/>
          <w:szCs w:val="14"/>
        </w:rPr>
        <w:t xml:space="preserve"> přesvědčte se, kolik se opravdově přihlašovalo ku práci zeměděl</w:t>
      </w:r>
      <w:r>
        <w:rPr>
          <w:b/>
          <w:bCs/>
          <w:sz w:val="14"/>
          <w:szCs w:val="14"/>
        </w:rPr>
        <w:softHyphen/>
        <w:t>ské. Kdybyste toto vyšetřila, nemohla byste soudit tak příkře. Budu poněkud netaktním, ale říkává se tomu úsudek od zeleného stolu.</w:t>
      </w:r>
    </w:p>
    <w:p w:rsidR="00500724" w:rsidRDefault="00F30FB8">
      <w:pPr>
        <w:pStyle w:val="Zkladntext40"/>
        <w:shd w:val="clear" w:color="auto" w:fill="auto"/>
        <w:spacing w:after="0" w:line="314" w:lineRule="auto"/>
        <w:ind w:firstLine="240"/>
        <w:rPr>
          <w:sz w:val="14"/>
          <w:szCs w:val="14"/>
        </w:rPr>
      </w:pPr>
      <w:r>
        <w:rPr>
          <w:b/>
          <w:bCs/>
          <w:sz w:val="14"/>
          <w:szCs w:val="14"/>
        </w:rPr>
        <w:t>Ono je to trpká pravda, ale i další je nezbytno zde připome</w:t>
      </w:r>
      <w:r>
        <w:rPr>
          <w:b/>
          <w:bCs/>
          <w:sz w:val="14"/>
          <w:szCs w:val="14"/>
        </w:rPr>
        <w:t>nouti. Způsob, jakým byly rozdělovány podpo</w:t>
      </w:r>
      <w:r>
        <w:rPr>
          <w:b/>
          <w:bCs/>
          <w:sz w:val="14"/>
          <w:szCs w:val="14"/>
        </w:rPr>
        <w:softHyphen/>
        <w:t>ry v nezaměstnanosti, byl toho druhu, že morálka byla natržena. O tom víme my na venkově v bezprostředním styku s lidem více než vy ve městech a slýchali jsme řádné dělníky velmi kriticky hovořit o tomto systému.</w:t>
      </w:r>
    </w:p>
    <w:p w:rsidR="00500724" w:rsidRDefault="00F30FB8">
      <w:pPr>
        <w:pStyle w:val="Zkladntext40"/>
        <w:shd w:val="clear" w:color="auto" w:fill="auto"/>
        <w:spacing w:after="0" w:line="314" w:lineRule="auto"/>
        <w:ind w:firstLine="240"/>
        <w:rPr>
          <w:sz w:val="14"/>
          <w:szCs w:val="14"/>
        </w:rPr>
      </w:pPr>
      <w:r>
        <w:rPr>
          <w:b/>
          <w:bCs/>
          <w:sz w:val="14"/>
          <w:szCs w:val="14"/>
        </w:rPr>
        <w:t xml:space="preserve">My, kteří táhneme s našimi zaměstnanci 10 či 12 hodin denní práce </w:t>
      </w:r>
      <w:r>
        <w:rPr>
          <w:i/>
          <w:iCs/>
          <w:sz w:val="20"/>
          <w:szCs w:val="20"/>
          <w:lang w:val="en-US" w:eastAsia="en-US" w:bidi="en-US"/>
        </w:rPr>
        <w:t>at</w:t>
      </w:r>
      <w:r>
        <w:rPr>
          <w:b/>
          <w:bCs/>
          <w:sz w:val="14"/>
          <w:szCs w:val="14"/>
          <w:lang w:val="en-US" w:eastAsia="en-US" w:bidi="en-US"/>
        </w:rPr>
        <w:t xml:space="preserve"> </w:t>
      </w:r>
      <w:r>
        <w:rPr>
          <w:b/>
          <w:bCs/>
          <w:sz w:val="14"/>
          <w:szCs w:val="14"/>
        </w:rPr>
        <w:t>na poli, či ve stáji nebo sami časně ráno, či pozdě večer u psacího stolu (co administrativy při</w:t>
      </w:r>
      <w:r>
        <w:rPr>
          <w:b/>
          <w:bCs/>
          <w:sz w:val="14"/>
          <w:szCs w:val="14"/>
        </w:rPr>
        <w:softHyphen/>
        <w:t xml:space="preserve">bylo po válce na statcích!) jsme odměňováni jednou společnou radostí. Daří-li se práce — </w:t>
      </w:r>
      <w:r>
        <w:rPr>
          <w:b/>
          <w:bCs/>
          <w:sz w:val="14"/>
          <w:szCs w:val="14"/>
        </w:rPr>
        <w:t>tolik na přírodě závislá — je to naše společné uspokojení, je to onen po</w:t>
      </w:r>
      <w:r>
        <w:rPr>
          <w:b/>
          <w:bCs/>
          <w:sz w:val="14"/>
          <w:szCs w:val="14"/>
        </w:rPr>
        <w:softHyphen/>
        <w:t>žitek, který nám musí nahradit a nahrazuje všechna ona městská pozlátka a zábavy různého druhu, jež jsou venkovu, bohužel i v ušlechtilých druzích, nepřístupná. Že hodnocení této činn</w:t>
      </w:r>
      <w:r>
        <w:rPr>
          <w:b/>
          <w:bCs/>
          <w:sz w:val="14"/>
          <w:szCs w:val="14"/>
        </w:rPr>
        <w:t>osti kulhá, to je náš společný osud, ale nutno se tomu všestranně přizpůsobit.</w:t>
      </w:r>
    </w:p>
    <w:p w:rsidR="00500724" w:rsidRDefault="00F30FB8">
      <w:pPr>
        <w:pStyle w:val="Zkladntext40"/>
        <w:shd w:val="clear" w:color="auto" w:fill="auto"/>
        <w:spacing w:after="0" w:line="276" w:lineRule="auto"/>
        <w:ind w:firstLine="240"/>
        <w:rPr>
          <w:sz w:val="18"/>
          <w:szCs w:val="18"/>
        </w:rPr>
      </w:pPr>
      <w:r>
        <w:rPr>
          <w:b/>
          <w:bCs/>
          <w:sz w:val="14"/>
          <w:szCs w:val="14"/>
        </w:rPr>
        <w:t>A při této situaci, že je možno zvyšovat stav zaměst</w:t>
      </w:r>
      <w:r>
        <w:rPr>
          <w:b/>
          <w:bCs/>
          <w:sz w:val="14"/>
          <w:szCs w:val="14"/>
        </w:rPr>
        <w:softHyphen/>
        <w:t xml:space="preserve">naných i tam, kde je statek pracovními silami — zaplaf </w:t>
      </w:r>
      <w:r>
        <w:rPr>
          <w:sz w:val="18"/>
          <w:szCs w:val="18"/>
        </w:rPr>
        <w:t>líůli^— plně saturován?</w:t>
      </w:r>
    </w:p>
    <w:p w:rsidR="00500724" w:rsidRDefault="00F30FB8">
      <w:pPr>
        <w:pStyle w:val="Zkladntext40"/>
        <w:shd w:val="clear" w:color="auto" w:fill="auto"/>
        <w:spacing w:after="0" w:line="317" w:lineRule="auto"/>
        <w:ind w:firstLine="240"/>
        <w:rPr>
          <w:sz w:val="14"/>
          <w:szCs w:val="14"/>
        </w:rPr>
      </w:pPr>
      <w:r>
        <w:rPr>
          <w:b/>
          <w:bCs/>
          <w:sz w:val="14"/>
          <w:szCs w:val="14"/>
        </w:rPr>
        <w:t xml:space="preserve">Kdyby bylo známo, v jaké finanční situaci je </w:t>
      </w:r>
      <w:r>
        <w:rPr>
          <w:b/>
          <w:bCs/>
          <w:sz w:val="14"/>
          <w:szCs w:val="14"/>
        </w:rPr>
        <w:t>většina středních a velkých statků (a o tyto typy jde přede</w:t>
      </w:r>
      <w:r>
        <w:rPr>
          <w:b/>
          <w:bCs/>
          <w:sz w:val="14"/>
          <w:szCs w:val="14"/>
        </w:rPr>
        <w:softHyphen/>
        <w:t>vším), bylo by pochopeno, že nejde dále přepínat tětivu. Zadluženost mnohých je té výše, že jediné pocit, že v dnešních dobách je půda něco pevného (!?) zdržuje majitele od určitého rozumného rozh</w:t>
      </w:r>
      <w:r>
        <w:rPr>
          <w:b/>
          <w:bCs/>
          <w:sz w:val="14"/>
          <w:szCs w:val="14"/>
        </w:rPr>
        <w:t>odnutí!</w:t>
      </w:r>
    </w:p>
    <w:p w:rsidR="00500724" w:rsidRDefault="00F30FB8">
      <w:pPr>
        <w:pStyle w:val="Zkladntext40"/>
        <w:shd w:val="clear" w:color="auto" w:fill="auto"/>
        <w:spacing w:after="0" w:line="317" w:lineRule="auto"/>
        <w:ind w:firstLine="240"/>
        <w:rPr>
          <w:sz w:val="14"/>
          <w:szCs w:val="14"/>
        </w:rPr>
      </w:pPr>
      <w:r>
        <w:rPr>
          <w:b/>
          <w:bCs/>
          <w:sz w:val="14"/>
          <w:szCs w:val="14"/>
        </w:rPr>
        <w:t>Avšak je mnoho statků i této kategorie, kde zeměděl</w:t>
      </w:r>
      <w:r>
        <w:rPr>
          <w:b/>
          <w:bCs/>
          <w:sz w:val="14"/>
          <w:szCs w:val="14"/>
        </w:rPr>
        <w:softHyphen/>
        <w:t>ského dělnictva potřeba je, a také z takových krajin od</w:t>
      </w:r>
      <w:r>
        <w:rPr>
          <w:b/>
          <w:bCs/>
          <w:sz w:val="14"/>
          <w:szCs w:val="14"/>
        </w:rPr>
        <w:softHyphen/>
      </w:r>
    </w:p>
    <w:p w:rsidR="00500724" w:rsidRDefault="00F30FB8">
      <w:pPr>
        <w:pStyle w:val="Zkladntext1"/>
        <w:shd w:val="clear" w:color="auto" w:fill="auto"/>
        <w:spacing w:line="221" w:lineRule="auto"/>
        <w:ind w:firstLine="0"/>
        <w:rPr>
          <w:sz w:val="20"/>
          <w:szCs w:val="20"/>
        </w:rPr>
      </w:pPr>
      <w:r>
        <w:rPr>
          <w:b/>
          <w:bCs/>
          <w:sz w:val="20"/>
          <w:szCs w:val="20"/>
        </w:rPr>
        <w:t>cházeli lidé z příčin, jež jsem výše naznačil — přes to, že u příslušných úřadů byla tato potřeba hlášena.</w:t>
      </w:r>
    </w:p>
    <w:p w:rsidR="00500724" w:rsidRDefault="00F30FB8">
      <w:pPr>
        <w:pStyle w:val="Zkladntext40"/>
        <w:shd w:val="clear" w:color="auto" w:fill="auto"/>
        <w:spacing w:after="0" w:line="317" w:lineRule="auto"/>
        <w:ind w:firstLine="220"/>
        <w:rPr>
          <w:sz w:val="14"/>
          <w:szCs w:val="14"/>
        </w:rPr>
      </w:pPr>
      <w:r>
        <w:rPr>
          <w:b/>
          <w:bCs/>
          <w:sz w:val="14"/>
          <w:szCs w:val="14"/>
        </w:rPr>
        <w:t>Vy, vzácná paní, a mnozí řeknete</w:t>
      </w:r>
      <w:r>
        <w:rPr>
          <w:b/>
          <w:bCs/>
          <w:sz w:val="14"/>
          <w:szCs w:val="14"/>
        </w:rPr>
        <w:t>: Ó, sacro egoismo selstvíl Ty mazaný sedláku! A já odpovídám předem: nikoliv, moje odpověď není prosáklá sobectvím, je to zkušenostmi opřená pravda. A probírám-li se v těchto dnech novinami, jako na zavolanou čtu úřední zprávu: &gt;Zemědělci trpí letos mimoř</w:t>
      </w:r>
      <w:r>
        <w:rPr>
          <w:b/>
          <w:bCs/>
          <w:sz w:val="14"/>
          <w:szCs w:val="14"/>
        </w:rPr>
        <w:t>ádným nedostatkem pracov</w:t>
      </w:r>
      <w:r>
        <w:rPr>
          <w:b/>
          <w:bCs/>
          <w:sz w:val="14"/>
          <w:szCs w:val="14"/>
        </w:rPr>
        <w:softHyphen/>
        <w:t>ních sil, takže je vážná obava, že nutné zemědělské prá ce, zvláště sklizňové, nebudou včas provedeny. A mi</w:t>
      </w:r>
      <w:r>
        <w:rPr>
          <w:b/>
          <w:bCs/>
          <w:sz w:val="14"/>
          <w:szCs w:val="14"/>
        </w:rPr>
        <w:softHyphen/>
        <w:t>nisterstvo zemědělství vstoupilo ve styk s ministerstvem školství, které vybízí správy vyšších škol, aby v době prázdnin se</w:t>
      </w:r>
      <w:r>
        <w:rPr>
          <w:b/>
          <w:bCs/>
          <w:sz w:val="14"/>
          <w:szCs w:val="14"/>
        </w:rPr>
        <w:t xml:space="preserve"> aktivně žáci vyšších ročníků zúčastnili sklizůových prací zemědělských.*</w:t>
      </w:r>
    </w:p>
    <w:p w:rsidR="00500724" w:rsidRDefault="00F30FB8">
      <w:pPr>
        <w:pStyle w:val="Zkladntext40"/>
        <w:shd w:val="clear" w:color="auto" w:fill="auto"/>
        <w:spacing w:after="0" w:line="317" w:lineRule="auto"/>
        <w:ind w:firstLine="220"/>
        <w:rPr>
          <w:sz w:val="14"/>
          <w:szCs w:val="14"/>
        </w:rPr>
      </w:pPr>
      <w:r>
        <w:rPr>
          <w:b/>
          <w:bCs/>
          <w:sz w:val="14"/>
          <w:szCs w:val="14"/>
        </w:rPr>
        <w:t>Tím bych vlastně mohl skončit. A uznáte-li za hodno, trefíte mě možná svým často břitkým perem, ale prosím Vás, jenom mne. Stav zemědělský za mne nemůže a také mě k odpovědi nesplnom</w:t>
      </w:r>
      <w:r>
        <w:rPr>
          <w:b/>
          <w:bCs/>
          <w:sz w:val="14"/>
          <w:szCs w:val="14"/>
        </w:rPr>
        <w:t>ocnil.</w:t>
      </w:r>
    </w:p>
    <w:p w:rsidR="00500724" w:rsidRDefault="00F30FB8">
      <w:pPr>
        <w:pStyle w:val="Zkladntext40"/>
        <w:shd w:val="clear" w:color="auto" w:fill="auto"/>
        <w:spacing w:after="0" w:line="317" w:lineRule="auto"/>
        <w:ind w:firstLine="220"/>
        <w:rPr>
          <w:sz w:val="14"/>
          <w:szCs w:val="14"/>
        </w:rPr>
      </w:pPr>
      <w:r>
        <w:rPr>
          <w:b/>
          <w:bCs/>
          <w:sz w:val="14"/>
          <w:szCs w:val="14"/>
        </w:rPr>
        <w:t>Stejně ovšem Vám budu moci stěží replikovat, neboť zdá se, že se nyní příroda začíná umoudřovat a my bu</w:t>
      </w:r>
      <w:r>
        <w:rPr>
          <w:b/>
          <w:bCs/>
          <w:sz w:val="14"/>
          <w:szCs w:val="14"/>
        </w:rPr>
        <w:softHyphen/>
        <w:t>deme zatím v plné seči sen a jetelin a vplujeme do žní. V té době já sám jako kapitán malé posádky vezmu ra</w:t>
      </w:r>
      <w:r>
        <w:rPr>
          <w:b/>
          <w:bCs/>
          <w:sz w:val="14"/>
          <w:szCs w:val="14"/>
        </w:rPr>
        <w:softHyphen/>
        <w:t>ději do ruky podávky než pero a tak t</w:t>
      </w:r>
      <w:r>
        <w:rPr>
          <w:b/>
          <w:bCs/>
          <w:sz w:val="14"/>
          <w:szCs w:val="14"/>
        </w:rPr>
        <w:t>o trvává až do vánoc. Avšak žádná sebe intensivnější práce nesmí za</w:t>
      </w:r>
      <w:r>
        <w:rPr>
          <w:b/>
          <w:bCs/>
          <w:sz w:val="14"/>
          <w:szCs w:val="14"/>
        </w:rPr>
        <w:softHyphen/>
        <w:t>bránit, aby mysl se nezabývala problémem, jak umožnit další činnost a život nikoliv svou vinou vyřaděných vo</w:t>
      </w:r>
      <w:r>
        <w:rPr>
          <w:b/>
          <w:bCs/>
          <w:sz w:val="14"/>
          <w:szCs w:val="14"/>
        </w:rPr>
        <w:softHyphen/>
        <w:t>jáků a starost o umístění a jejich zaopatření.</w:t>
      </w:r>
    </w:p>
    <w:p w:rsidR="00500724" w:rsidRDefault="00F30FB8">
      <w:pPr>
        <w:pStyle w:val="Zkladntext40"/>
        <w:shd w:val="clear" w:color="auto" w:fill="auto"/>
        <w:spacing w:after="0" w:line="317" w:lineRule="auto"/>
        <w:ind w:firstLine="220"/>
        <w:rPr>
          <w:sz w:val="14"/>
          <w:szCs w:val="14"/>
        </w:rPr>
      </w:pPr>
      <w:r>
        <w:rPr>
          <w:b/>
          <w:bCs/>
          <w:sz w:val="14"/>
          <w:szCs w:val="14"/>
        </w:rPr>
        <w:t>Všichni pochopitelně musíme napn</w:t>
      </w:r>
      <w:r>
        <w:rPr>
          <w:b/>
          <w:bCs/>
          <w:sz w:val="14"/>
          <w:szCs w:val="14"/>
        </w:rPr>
        <w:t>out mozky a půso</w:t>
      </w:r>
      <w:r>
        <w:rPr>
          <w:b/>
          <w:bCs/>
          <w:sz w:val="14"/>
          <w:szCs w:val="14"/>
        </w:rPr>
        <w:softHyphen/>
        <w:t>bit podle svých sil ke šťastnějším dobám všech členů našeho národa zcela ve smyslu pěkné české písně, která notou a hlavně svou tendencí se tolik líbila Masarykovi:</w:t>
      </w:r>
    </w:p>
    <w:p w:rsidR="00500724" w:rsidRDefault="00F30FB8">
      <w:pPr>
        <w:pStyle w:val="Zkladntext40"/>
        <w:shd w:val="clear" w:color="auto" w:fill="auto"/>
        <w:spacing w:after="0" w:line="307" w:lineRule="auto"/>
        <w:ind w:left="880" w:right="1140"/>
        <w:jc w:val="left"/>
        <w:rPr>
          <w:sz w:val="14"/>
          <w:szCs w:val="14"/>
        </w:rPr>
      </w:pPr>
      <w:r>
        <w:rPr>
          <w:b/>
          <w:bCs/>
          <w:sz w:val="14"/>
          <w:szCs w:val="14"/>
        </w:rPr>
        <w:t>Kdyžs ho rozlámal, dej ho spravit, nauč se, synku, hospodařit.</w:t>
      </w:r>
    </w:p>
    <w:p w:rsidR="00500724" w:rsidRDefault="00F30FB8">
      <w:pPr>
        <w:pStyle w:val="Zkladntext1"/>
        <w:shd w:val="clear" w:color="auto" w:fill="auto"/>
        <w:spacing w:line="221" w:lineRule="auto"/>
      </w:pPr>
      <w:r>
        <w:rPr>
          <w:b/>
          <w:bCs/>
          <w:sz w:val="20"/>
          <w:szCs w:val="20"/>
        </w:rPr>
        <w:t xml:space="preserve">A </w:t>
      </w:r>
      <w:r>
        <w:t>těch kole</w:t>
      </w:r>
      <w:r>
        <w:t>ček se rozlámalo hodně.</w:t>
      </w:r>
    </w:p>
    <w:p w:rsidR="00500724" w:rsidRDefault="00F30FB8">
      <w:pPr>
        <w:pStyle w:val="Zkladntext40"/>
        <w:shd w:val="clear" w:color="auto" w:fill="auto"/>
        <w:tabs>
          <w:tab w:val="left" w:pos="4622"/>
        </w:tabs>
        <w:spacing w:after="80" w:line="283" w:lineRule="auto"/>
        <w:ind w:firstLine="220"/>
        <w:jc w:val="left"/>
        <w:rPr>
          <w:sz w:val="20"/>
          <w:szCs w:val="20"/>
        </w:rPr>
      </w:pPr>
      <w:r>
        <w:rPr>
          <w:b/>
          <w:bCs/>
          <w:sz w:val="14"/>
          <w:szCs w:val="14"/>
        </w:rPr>
        <w:t xml:space="preserve">Já si touto písní donlňuíi nyní naši národní-hymnr </w:t>
      </w:r>
      <w:r>
        <w:rPr>
          <w:sz w:val="18"/>
          <w:szCs w:val="18"/>
        </w:rPr>
        <w:t xml:space="preserve">a </w:t>
      </w:r>
      <w:r>
        <w:rPr>
          <w:b/>
          <w:bCs/>
          <w:sz w:val="14"/>
          <w:szCs w:val="14"/>
        </w:rPr>
        <w:t>nechávám 2ožívat Slováky* samostatně.</w:t>
      </w:r>
      <w:r>
        <w:rPr>
          <w:b/>
          <w:bCs/>
          <w:sz w:val="14"/>
          <w:szCs w:val="14"/>
        </w:rPr>
        <w:tab/>
      </w:r>
      <w:r>
        <w:rPr>
          <w:i/>
          <w:iCs/>
          <w:sz w:val="20"/>
          <w:szCs w:val="20"/>
        </w:rPr>
        <w:t>J. 8.</w:t>
      </w:r>
    </w:p>
    <w:p w:rsidR="00500724" w:rsidRDefault="00F30FB8">
      <w:pPr>
        <w:pStyle w:val="Nadpis100"/>
        <w:shd w:val="clear" w:color="auto" w:fill="auto"/>
        <w:spacing w:after="100" w:line="240" w:lineRule="auto"/>
      </w:pPr>
      <w:bookmarkStart w:id="710" w:name="bookmark709"/>
      <w:r>
        <w:rPr>
          <w:i/>
          <w:iCs/>
        </w:rPr>
        <w:t>Je</w:t>
      </w:r>
      <w:r>
        <w:t xml:space="preserve"> jasnozrivosť možná?</w:t>
      </w:r>
      <w:bookmarkEnd w:id="710"/>
    </w:p>
    <w:p w:rsidR="00500724" w:rsidRDefault="00F30FB8">
      <w:pPr>
        <w:pStyle w:val="Zkladntext1"/>
        <w:shd w:val="clear" w:color="auto" w:fill="auto"/>
        <w:spacing w:after="80"/>
        <w:ind w:left="1040" w:firstLine="0"/>
        <w:jc w:val="left"/>
        <w:rPr>
          <w:sz w:val="18"/>
          <w:szCs w:val="18"/>
        </w:rPr>
      </w:pPr>
      <w:r>
        <w:rPr>
          <w:sz w:val="18"/>
          <w:szCs w:val="18"/>
        </w:rPr>
        <w:t>Pane redaktore,</w:t>
      </w:r>
    </w:p>
    <w:p w:rsidR="00500724" w:rsidRDefault="00F30FB8">
      <w:pPr>
        <w:pStyle w:val="Zkladntext1"/>
        <w:shd w:val="clear" w:color="auto" w:fill="auto"/>
        <w:spacing w:after="40"/>
        <w:ind w:firstLine="0"/>
        <w:rPr>
          <w:sz w:val="18"/>
          <w:szCs w:val="18"/>
        </w:rPr>
        <w:sectPr w:rsidR="00500724">
          <w:footnotePr>
            <w:numFmt w:val="chicago"/>
            <w:numRestart w:val="eachPage"/>
          </w:footnotePr>
          <w:type w:val="continuous"/>
          <w:pgSz w:w="11909" w:h="16834"/>
          <w:pgMar w:top="797" w:right="847" w:bottom="949" w:left="638" w:header="0" w:footer="3" w:gutter="0"/>
          <w:cols w:num="2" w:space="100"/>
          <w:noEndnote/>
          <w:docGrid w:linePitch="360"/>
        </w:sectPr>
      </w:pPr>
      <w:r>
        <w:rPr>
          <w:sz w:val="18"/>
          <w:szCs w:val="18"/>
        </w:rPr>
        <w:t>•víme všichni, že v oblasti lidské duše je ještě hodně ne</w:t>
      </w:r>
      <w:r>
        <w:rPr>
          <w:sz w:val="18"/>
          <w:szCs w:val="18"/>
        </w:rPr>
        <w:softHyphen/>
      </w:r>
      <w:r>
        <w:rPr>
          <w:sz w:val="18"/>
          <w:szCs w:val="18"/>
        </w:rPr>
        <w:t>probádaného a proto také rádi věříme, že mnohá kouzla, o nichž mluví pan Kuchyňka na počátku svého článku, /jsou opravdu možná, i když si je ještě nedovedeme vy</w:t>
      </w:r>
      <w:r>
        <w:rPr>
          <w:sz w:val="18"/>
          <w:szCs w:val="18"/>
        </w:rPr>
        <w:softHyphen/>
        <w:t>světlit. Ale o to přece p. Petrovi K. v 19. čísle Přítom</w:t>
      </w:r>
      <w:r>
        <w:rPr>
          <w:sz w:val="18"/>
          <w:szCs w:val="18"/>
        </w:rPr>
        <w:softHyphen/>
        <w:t xml:space="preserve">nosti neběželo, jde o to, zda opravdu </w:t>
      </w:r>
      <w:r>
        <w:rPr>
          <w:sz w:val="18"/>
          <w:szCs w:val="18"/>
        </w:rPr>
        <w:t>je možno před</w:t>
      </w:r>
      <w:r>
        <w:rPr>
          <w:sz w:val="18"/>
          <w:szCs w:val="18"/>
        </w:rPr>
        <w:softHyphen/>
        <w:t>povídat budoucnost. Myslím, že do určité míry ano. Po</w:t>
      </w:r>
      <w:r>
        <w:rPr>
          <w:sz w:val="18"/>
          <w:szCs w:val="18"/>
        </w:rPr>
        <w:softHyphen/>
        <w:t>vaha, celkové založení, stav tělesného i duševního zdraví, zaměstnání — to vše dává možnost usuzovali na pravdě</w:t>
      </w:r>
      <w:r>
        <w:rPr>
          <w:sz w:val="18"/>
          <w:szCs w:val="18"/>
        </w:rPr>
        <w:softHyphen/>
        <w:t>podobný průběh života. Předpokládáme-li, že pro obrat</w:t>
      </w:r>
      <w:r>
        <w:rPr>
          <w:sz w:val="18"/>
          <w:szCs w:val="18"/>
        </w:rPr>
        <w:softHyphen/>
        <w:t>ného a zkušeného »jasn</w:t>
      </w:r>
      <w:r>
        <w:rPr>
          <w:sz w:val="18"/>
          <w:szCs w:val="18"/>
        </w:rPr>
        <w:t>ovidce« není těžké tyto znalosti si opatřili - (není důvodu, proč nevěřili, že nejen naše písmo, ale i náš zevnějšek, tvar rukou, prstů, nehtů, a jejich barva, oči, atd. prozrazují naši povahu a náš těles</w:t>
      </w:r>
      <w:r>
        <w:rPr>
          <w:sz w:val="18"/>
          <w:szCs w:val="18"/>
        </w:rPr>
        <w:softHyphen/>
        <w:t>ný i duševní stav) můžeme klidně připustili, že ido</w:t>
      </w:r>
      <w:r>
        <w:rPr>
          <w:sz w:val="18"/>
          <w:szCs w:val="18"/>
        </w:rPr>
        <w:t xml:space="preserve"> určíte míry« lze »s určitou pravděpodobností 1 předpovídali budoucnost. Ale právě ovšem jen to, co lze de</w:t>
      </w:r>
      <w:r>
        <w:rPr>
          <w:sz w:val="18"/>
          <w:szCs w:val="18"/>
        </w:rPr>
        <w:softHyphen/>
        <w:t>dukovali ze zjevných známek na těle či na písmu. Předpověděti, že někdo bude střelen do stehna a že po ráně zemře, zdá se býti naprosto neuvěřitelné.</w:t>
      </w:r>
      <w:r>
        <w:rPr>
          <w:sz w:val="18"/>
          <w:szCs w:val="18"/>
        </w:rPr>
        <w:t xml:space="preserve"> Uvažujme: předpokládáme-li, že opravdu je možno bu</w:t>
      </w:r>
      <w:r>
        <w:rPr>
          <w:sz w:val="18"/>
          <w:szCs w:val="18"/>
        </w:rPr>
        <w:softHyphen/>
        <w:t xml:space="preserve">doucnost předpověděti, pak musíme uznati, že náš osud je předem přesně určen a že tedy nutně existuje nějaká vyšší moc, jež tyto osudy stanoví, tedy Bůh — protože </w:t>
      </w:r>
      <w:r>
        <w:rPr>
          <w:b/>
          <w:bCs/>
        </w:rPr>
        <w:t xml:space="preserve">i </w:t>
      </w:r>
      <w:r>
        <w:rPr>
          <w:sz w:val="18"/>
          <w:szCs w:val="18"/>
        </w:rPr>
        <w:t xml:space="preserve">pan Kuchyňka snad připustí, že by bylo </w:t>
      </w:r>
      <w:r>
        <w:rPr>
          <w:sz w:val="18"/>
          <w:szCs w:val="18"/>
        </w:rPr>
        <w:t>absurdní věřil,</w:t>
      </w:r>
    </w:p>
    <w:p w:rsidR="00500724" w:rsidRDefault="00F30FB8">
      <w:pPr>
        <w:pStyle w:val="Nadpis90"/>
        <w:keepNext/>
        <w:keepLines/>
        <w:pBdr>
          <w:bottom w:val="single" w:sz="4" w:space="0" w:color="auto"/>
        </w:pBdr>
        <w:shd w:val="clear" w:color="auto" w:fill="auto"/>
        <w:spacing w:after="0"/>
        <w:ind w:right="120"/>
        <w:jc w:val="center"/>
        <w:sectPr w:rsidR="00500724">
          <w:footnotePr>
            <w:numFmt w:val="chicago"/>
            <w:numRestart w:val="eachPage"/>
          </w:footnotePr>
          <w:pgSz w:w="11909" w:h="16834"/>
          <w:pgMar w:top="706" w:right="1105" w:bottom="1039" w:left="442" w:header="0" w:footer="3" w:gutter="0"/>
          <w:cols w:space="720"/>
          <w:noEndnote/>
          <w:docGrid w:linePitch="360"/>
        </w:sectPr>
      </w:pPr>
      <w:bookmarkStart w:id="711" w:name="bookmark710"/>
      <w:r>
        <w:rPr>
          <w:rFonts w:ascii="Times New Roman" w:eastAsia="Times New Roman" w:hAnsi="Times New Roman" w:cs="Times New Roman"/>
        </w:rPr>
        <w:t>Přítomnosti</w:t>
      </w:r>
      <w:bookmarkEnd w:id="711"/>
    </w:p>
    <w:p w:rsidR="00500724" w:rsidRDefault="00500724">
      <w:pPr>
        <w:spacing w:line="47" w:lineRule="exact"/>
        <w:rPr>
          <w:sz w:val="4"/>
          <w:szCs w:val="4"/>
        </w:rPr>
      </w:pPr>
    </w:p>
    <w:p w:rsidR="00500724" w:rsidRDefault="00500724">
      <w:pPr>
        <w:spacing w:line="14" w:lineRule="exact"/>
        <w:sectPr w:rsidR="00500724">
          <w:footnotePr>
            <w:numFmt w:val="chicago"/>
            <w:numRestart w:val="eachPage"/>
          </w:footnotePr>
          <w:type w:val="continuous"/>
          <w:pgSz w:w="11909" w:h="16834"/>
          <w:pgMar w:top="706" w:right="0" w:bottom="1013" w:left="0" w:header="0" w:footer="3" w:gutter="0"/>
          <w:cols w:space="720"/>
          <w:noEndnote/>
          <w:docGrid w:linePitch="360"/>
        </w:sectPr>
      </w:pPr>
    </w:p>
    <w:p w:rsidR="00500724" w:rsidRDefault="00F30FB8">
      <w:pPr>
        <w:pStyle w:val="Zkladntext1"/>
        <w:shd w:val="clear" w:color="auto" w:fill="auto"/>
        <w:ind w:firstLine="0"/>
        <w:rPr>
          <w:sz w:val="18"/>
          <w:szCs w:val="18"/>
        </w:rPr>
      </w:pPr>
      <w:r>
        <w:rPr>
          <w:sz w:val="18"/>
          <w:szCs w:val="18"/>
        </w:rPr>
        <w:t>že již ve spermatu či vajíčku rodičů bylo »vepsáno*, že tvor, jejich sloučením vzniklý, zahyne ve věku 43 roků na střelnou ránu do stehna. Ať je pan Kuchyňka věřící nebo ne</w:t>
      </w:r>
      <w:r>
        <w:rPr>
          <w:sz w:val="18"/>
          <w:szCs w:val="18"/>
        </w:rPr>
        <w:t>věrec, musí zase uznat, že, přiznáme-li existenci Boha, musíme také přiznat nějaký mravní smysl této exis</w:t>
      </w:r>
      <w:r>
        <w:rPr>
          <w:sz w:val="18"/>
          <w:szCs w:val="18"/>
        </w:rPr>
        <w:softHyphen/>
        <w:t>tence: determinismus tento mravní smysl úplně staví na hlavu.</w:t>
      </w:r>
    </w:p>
    <w:p w:rsidR="00500724" w:rsidRDefault="00F30FB8">
      <w:pPr>
        <w:pStyle w:val="Zkladntext1"/>
        <w:shd w:val="clear" w:color="auto" w:fill="auto"/>
        <w:ind w:firstLine="260"/>
        <w:rPr>
          <w:sz w:val="18"/>
          <w:szCs w:val="18"/>
        </w:rPr>
      </w:pPr>
      <w:r>
        <w:rPr>
          <w:sz w:val="18"/>
          <w:szCs w:val="18"/>
        </w:rPr>
        <w:t>Kdyby se přece v jednotlivém případě podařilo dokázat, že opravdu někdo něco podobného u</w:t>
      </w:r>
      <w:r>
        <w:rPr>
          <w:sz w:val="18"/>
          <w:szCs w:val="18"/>
        </w:rPr>
        <w:t>hodl, není to nic jiného než náhoda. Všechno »hádání&lt; podléhá jistým zá</w:t>
      </w:r>
      <w:r>
        <w:rPr>
          <w:sz w:val="18"/>
          <w:szCs w:val="18"/>
        </w:rPr>
        <w:softHyphen/>
        <w:t>sadám počtu pravděpodobnosti. Poněvadž pravděpodob</w:t>
      </w:r>
      <w:r>
        <w:rPr>
          <w:sz w:val="18"/>
          <w:szCs w:val="18"/>
        </w:rPr>
        <w:softHyphen/>
        <w:t>nost splnění podobné věštby je opravdu nepatrná a blíží se téměř nule, nutně také počet opravdu proká</w:t>
      </w:r>
      <w:r>
        <w:rPr>
          <w:sz w:val="18"/>
          <w:szCs w:val="18"/>
        </w:rPr>
        <w:softHyphen/>
        <w:t>zané předvídaných faktů - (opak</w:t>
      </w:r>
      <w:r>
        <w:rPr>
          <w:sz w:val="18"/>
          <w:szCs w:val="18"/>
        </w:rPr>
        <w:t>uji - jež nelze z ničeho odvodili) je naprosto mizivý. Důkaz o možnosti předpovídali budoucnost bude dán teprve tehdy, když tento počet přesáhne procento pravděpodobnosti »uhod- nulí«.</w:t>
      </w:r>
    </w:p>
    <w:p w:rsidR="00500724" w:rsidRDefault="00F30FB8">
      <w:pPr>
        <w:pStyle w:val="Zkladntext1"/>
        <w:shd w:val="clear" w:color="auto" w:fill="auto"/>
        <w:ind w:firstLine="260"/>
        <w:rPr>
          <w:sz w:val="18"/>
          <w:szCs w:val="18"/>
        </w:rPr>
      </w:pPr>
      <w:r>
        <w:rPr>
          <w:sz w:val="18"/>
          <w:szCs w:val="18"/>
        </w:rPr>
        <w:t>Dávám proto panu Kuchynkovi návrh: Má-li k disposici jasnozřivé medium,</w:t>
      </w:r>
      <w:r>
        <w:rPr>
          <w:sz w:val="18"/>
          <w:szCs w:val="18"/>
        </w:rPr>
        <w:t xml:space="preserve"> ať - za řádné kontroly - si dá před</w:t>
      </w:r>
      <w:r>
        <w:rPr>
          <w:sz w:val="18"/>
          <w:szCs w:val="18"/>
        </w:rPr>
        <w:softHyphen/>
        <w:t>pověděli výsledek několika sportovních utkání vyrov</w:t>
      </w:r>
      <w:r>
        <w:rPr>
          <w:sz w:val="18"/>
          <w:szCs w:val="18"/>
        </w:rPr>
        <w:softHyphen/>
        <w:t>naných soupeřů (v tennise, boxu, dostizích atd.</w:t>
      </w:r>
      <w:r>
        <w:rPr>
          <w:sz w:val="18"/>
          <w:szCs w:val="18"/>
          <w:vertAlign w:val="subscript"/>
        </w:rPr>
        <w:t>;</w:t>
      </w:r>
      <w:r>
        <w:rPr>
          <w:sz w:val="18"/>
          <w:szCs w:val="18"/>
        </w:rPr>
        <w:t xml:space="preserve"> proti ko</w:t>
      </w:r>
      <w:r>
        <w:rPr>
          <w:sz w:val="18"/>
          <w:szCs w:val="18"/>
        </w:rPr>
        <w:softHyphen/>
        <w:t>pané by se dalo namítat, že je to hra kolektivní) a ař nás informuje, jak to dopadlo.</w:t>
      </w:r>
    </w:p>
    <w:p w:rsidR="00500724" w:rsidRDefault="00F30FB8">
      <w:pPr>
        <w:pStyle w:val="Zkladntext1"/>
        <w:shd w:val="clear" w:color="auto" w:fill="auto"/>
        <w:spacing w:after="80"/>
        <w:ind w:firstLine="260"/>
        <w:rPr>
          <w:sz w:val="18"/>
          <w:szCs w:val="18"/>
        </w:rPr>
      </w:pPr>
      <w:r>
        <w:rPr>
          <w:sz w:val="18"/>
          <w:szCs w:val="18"/>
        </w:rPr>
        <w:t>Rozhodně to bude snazší</w:t>
      </w:r>
      <w:r>
        <w:rPr>
          <w:sz w:val="18"/>
          <w:szCs w:val="18"/>
        </w:rPr>
        <w:t xml:space="preserve"> úkol, poněvadž zde je pravdě</w:t>
      </w:r>
      <w:r>
        <w:rPr>
          <w:sz w:val="18"/>
          <w:szCs w:val="18"/>
        </w:rPr>
        <w:softHyphen/>
        <w:t>podobnost správného nuhodnulí* daleko příznivější než u té prostřelené nohy.</w:t>
      </w:r>
    </w:p>
    <w:p w:rsidR="00500724" w:rsidRDefault="00F30FB8">
      <w:pPr>
        <w:pStyle w:val="Zkladntext1"/>
        <w:shd w:val="clear" w:color="auto" w:fill="auto"/>
        <w:spacing w:after="80"/>
        <w:ind w:firstLine="0"/>
        <w:jc w:val="center"/>
        <w:rPr>
          <w:sz w:val="18"/>
          <w:szCs w:val="18"/>
        </w:rPr>
      </w:pPr>
      <w:r>
        <w:rPr>
          <w:sz w:val="18"/>
          <w:szCs w:val="18"/>
        </w:rPr>
        <w:t>Se srdečným pozdravem</w:t>
      </w:r>
    </w:p>
    <w:p w:rsidR="00500724" w:rsidRDefault="00F30FB8">
      <w:pPr>
        <w:pStyle w:val="Zkladntext1"/>
        <w:shd w:val="clear" w:color="auto" w:fill="auto"/>
        <w:spacing w:after="240"/>
        <w:ind w:right="200" w:firstLine="0"/>
        <w:jc w:val="right"/>
        <w:rPr>
          <w:sz w:val="18"/>
          <w:szCs w:val="18"/>
        </w:rPr>
      </w:pPr>
      <w:r>
        <w:rPr>
          <w:sz w:val="18"/>
          <w:szCs w:val="18"/>
        </w:rPr>
        <w:t>Miroslav J a n i š t a.</w:t>
      </w:r>
    </w:p>
    <w:p w:rsidR="00500724" w:rsidRDefault="00F30FB8">
      <w:pPr>
        <w:pStyle w:val="Jin0"/>
        <w:pBdr>
          <w:bottom w:val="single" w:sz="4" w:space="0" w:color="auto"/>
        </w:pBdr>
        <w:shd w:val="clear" w:color="auto" w:fill="auto"/>
        <w:spacing w:after="320"/>
        <w:ind w:firstLine="0"/>
        <w:jc w:val="left"/>
        <w:rPr>
          <w:sz w:val="44"/>
          <w:szCs w:val="44"/>
        </w:rPr>
      </w:pPr>
      <w:r>
        <w:rPr>
          <w:b/>
          <w:bCs/>
          <w:sz w:val="44"/>
          <w:szCs w:val="44"/>
        </w:rPr>
        <w:t>dopisy</w:t>
      </w:r>
    </w:p>
    <w:p w:rsidR="00500724" w:rsidRDefault="00F30FB8">
      <w:pPr>
        <w:pStyle w:val="Zkladntext1"/>
        <w:shd w:val="clear" w:color="auto" w:fill="auto"/>
        <w:spacing w:after="80" w:line="197" w:lineRule="auto"/>
        <w:ind w:firstLine="0"/>
        <w:jc w:val="center"/>
        <w:rPr>
          <w:sz w:val="18"/>
          <w:szCs w:val="18"/>
        </w:rPr>
      </w:pPr>
      <w:r>
        <w:rPr>
          <w:b/>
          <w:bCs/>
          <w:sz w:val="18"/>
          <w:szCs w:val="18"/>
        </w:rPr>
        <w:t>České a německé divadlo v Praze</w:t>
      </w:r>
    </w:p>
    <w:p w:rsidR="00500724" w:rsidRDefault="00F30FB8">
      <w:pPr>
        <w:pStyle w:val="Zkladntext1"/>
        <w:shd w:val="clear" w:color="auto" w:fill="auto"/>
        <w:spacing w:after="80" w:line="197" w:lineRule="auto"/>
        <w:ind w:left="1360" w:firstLine="0"/>
        <w:jc w:val="left"/>
        <w:rPr>
          <w:sz w:val="18"/>
          <w:szCs w:val="18"/>
        </w:rPr>
      </w:pPr>
      <w:r>
        <w:rPr>
          <w:sz w:val="18"/>
          <w:szCs w:val="18"/>
        </w:rPr>
        <w:t>Vážená redakce!</w:t>
      </w:r>
    </w:p>
    <w:p w:rsidR="00500724" w:rsidRDefault="00F30FB8">
      <w:pPr>
        <w:pStyle w:val="Zkladntext1"/>
        <w:shd w:val="clear" w:color="auto" w:fill="auto"/>
        <w:spacing w:line="199" w:lineRule="auto"/>
        <w:ind w:firstLine="300"/>
        <w:rPr>
          <w:sz w:val="18"/>
          <w:szCs w:val="18"/>
        </w:rPr>
      </w:pPr>
      <w:r>
        <w:rPr>
          <w:sz w:val="18"/>
          <w:szCs w:val="18"/>
        </w:rPr>
        <w:t xml:space="preserve">Pod tímto nápisem uveřejnil ve Vašem listě pan </w:t>
      </w:r>
      <w:r>
        <w:rPr>
          <w:sz w:val="18"/>
          <w:szCs w:val="18"/>
        </w:rPr>
        <w:t>Josef Teichman velmi zajímavý článek, který bude míti zajisté znač</w:t>
      </w:r>
      <w:r>
        <w:rPr>
          <w:sz w:val="18"/>
          <w:szCs w:val="18"/>
        </w:rPr>
        <w:softHyphen/>
        <w:t>ný ohlas v nejširších vrstvách přátel umění a divadla v Praze a mimo Prahu, poněvadž se ve stati zrcadlí názor, který v českém lidu převládá již od let osmdesátých. Proto je také pochopitel</w:t>
      </w:r>
      <w:r>
        <w:rPr>
          <w:sz w:val="18"/>
          <w:szCs w:val="18"/>
        </w:rPr>
        <w:t>no, že pisatel článku v přednáškách pořádaných v rámci Týdne německé kultury v Praze postrádal poukaz na dobu, v níž poměr mezi Čechy a Němci na poli kulturním ne</w:t>
      </w:r>
      <w:r>
        <w:rPr>
          <w:sz w:val="18"/>
          <w:szCs w:val="18"/>
        </w:rPr>
        <w:softHyphen/>
        <w:t>byl právě přátelský. S hlediska tohoto názoru pisatel nazývá německé divadlo »jazykovou bašto</w:t>
      </w:r>
      <w:r>
        <w:rPr>
          <w:sz w:val="18"/>
          <w:szCs w:val="18"/>
        </w:rPr>
        <w:t>u Němců« a mluví o »di- vadle jako politickém triumfu« a o »dvou divadelních tvrzích«.</w:t>
      </w:r>
    </w:p>
    <w:p w:rsidR="00500724" w:rsidRDefault="00F30FB8">
      <w:pPr>
        <w:pStyle w:val="Zkladntext1"/>
        <w:shd w:val="clear" w:color="auto" w:fill="auto"/>
        <w:spacing w:line="197" w:lineRule="auto"/>
        <w:ind w:firstLine="300"/>
        <w:rPr>
          <w:sz w:val="18"/>
          <w:szCs w:val="18"/>
        </w:rPr>
      </w:pPr>
      <w:r>
        <w:rPr>
          <w:sz w:val="18"/>
          <w:szCs w:val="18"/>
        </w:rPr>
        <w:t>Kdybychom se chtěli vrátiti do těch dob, pak ovšem ne</w:t>
      </w:r>
      <w:r>
        <w:rPr>
          <w:sz w:val="18"/>
          <w:szCs w:val="18"/>
        </w:rPr>
        <w:softHyphen/>
        <w:t>smíme zapomenouti, že Němci tenkráte právem na zemské hlavní město Prahu hleděli jako na sídlo svého nejvyššího uče</w:t>
      </w:r>
      <w:r>
        <w:rPr>
          <w:sz w:val="18"/>
          <w:szCs w:val="18"/>
        </w:rPr>
        <w:t xml:space="preserve">ní — německé university — a samozřejmě jako na domov prvního německého divadla. Doba Angelo Neumanna, o níž nám autor pověděl tolik dobrého i pro české divadlo, dostatečně dokazuje, jak oprávněny byly tyto city tehdejšího německého lidu. Politické poměry, </w:t>
      </w:r>
      <w:r>
        <w:rPr>
          <w:sz w:val="18"/>
          <w:szCs w:val="18"/>
        </w:rPr>
        <w:t>které neblahým způsobem na praž</w:t>
      </w:r>
      <w:r>
        <w:rPr>
          <w:sz w:val="18"/>
          <w:szCs w:val="18"/>
        </w:rPr>
        <w:softHyphen/>
        <w:t>ských ulicích Němců velmi citelně se dotkly, automaticky vrhaly reflexy na poměr myšlenkový na obou stranách. Ne</w:t>
      </w:r>
      <w:r>
        <w:rPr>
          <w:sz w:val="18"/>
          <w:szCs w:val="18"/>
        </w:rPr>
        <w:softHyphen/>
        <w:t>chtěl bych tim však znovu drásat staré a zhojené rány.</w:t>
      </w:r>
    </w:p>
    <w:p w:rsidR="00500724" w:rsidRDefault="00F30FB8">
      <w:pPr>
        <w:pStyle w:val="Zkladntext1"/>
        <w:shd w:val="clear" w:color="auto" w:fill="auto"/>
        <w:spacing w:after="40" w:line="197" w:lineRule="auto"/>
        <w:ind w:firstLine="300"/>
        <w:rPr>
          <w:sz w:val="18"/>
          <w:szCs w:val="18"/>
        </w:rPr>
      </w:pPr>
      <w:r>
        <w:rPr>
          <w:sz w:val="18"/>
          <w:szCs w:val="18"/>
        </w:rPr>
        <w:t>V posledním odstavci článku autor mluví o vyhlídkách kul</w:t>
      </w:r>
      <w:r>
        <w:rPr>
          <w:sz w:val="18"/>
          <w:szCs w:val="18"/>
        </w:rPr>
        <w:softHyphen/>
        <w:t>turní spolupráce mezi Čechy a Němci a navazuje některé pod</w:t>
      </w:r>
      <w:r>
        <w:rPr>
          <w:sz w:val="18"/>
          <w:szCs w:val="18"/>
        </w:rPr>
        <w:softHyphen/>
        <w:t>mínky, mezi nimi také tu, aby Češi měli kde hráti. Po této stránce myslím, že obavy českého lidu nejsou na místě. Právě naopak: kdo dovedl správně naslouchati tomu, co se v týdnu německé kultury d</w:t>
      </w:r>
      <w:r>
        <w:rPr>
          <w:sz w:val="18"/>
          <w:szCs w:val="18"/>
        </w:rPr>
        <w:t>ělo, zajisté ví, že se Němci usnesli dokonce na vzájemných pohostinských hrách. Nacionálně-soeialistický názor na národní umění nestrpí žádného míšení. Nemůže proto býti řeči o nějakém přehlížení českého dramatu a české opery, rovněž tak jak ovšem nebude ž</w:t>
      </w:r>
      <w:r>
        <w:rPr>
          <w:sz w:val="18"/>
          <w:szCs w:val="18"/>
        </w:rPr>
        <w:t>ádoucno, aby díla ryze německé tvorby přestrojována byla snad do úboru slovanského. Jest zcela lehce možno, že při upřímné shodě a kulturní spolupráci sbory českých umělců na jevištích nového německého divadla anebo německého divadla Stavovského budou hrát</w:t>
      </w:r>
      <w:r>
        <w:rPr>
          <w:sz w:val="18"/>
          <w:szCs w:val="18"/>
        </w:rPr>
        <w:t>i pro němec</w:t>
      </w:r>
      <w:r>
        <w:rPr>
          <w:sz w:val="18"/>
          <w:szCs w:val="18"/>
        </w:rPr>
        <w:softHyphen/>
        <w:t>ké obecenstvo, kdežto na druhé straně zase z Říše často za</w:t>
      </w:r>
      <w:r>
        <w:rPr>
          <w:sz w:val="18"/>
          <w:szCs w:val="18"/>
        </w:rPr>
        <w:softHyphen/>
        <w:t>vítají významní umělci němečtí, aby na jevištích českých české obecenstvo seznamovali s tvorbou divadelnictví německé</w:t>
      </w:r>
      <w:r>
        <w:rPr>
          <w:sz w:val="18"/>
          <w:szCs w:val="18"/>
        </w:rPr>
        <w:softHyphen/>
        <w:t>ho. Proslýchá se však, že z tohoto ujednání české Národní divadlo v</w:t>
      </w:r>
      <w:r>
        <w:rPr>
          <w:sz w:val="18"/>
          <w:szCs w:val="18"/>
        </w:rPr>
        <w:t>ýslovně bylo vyňato.</w:t>
      </w:r>
    </w:p>
    <w:p w:rsidR="00500724" w:rsidRDefault="00F30FB8">
      <w:pPr>
        <w:pStyle w:val="Zkladntext1"/>
        <w:shd w:val="clear" w:color="auto" w:fill="auto"/>
        <w:spacing w:after="40" w:line="199" w:lineRule="auto"/>
        <w:ind w:firstLine="260"/>
        <w:rPr>
          <w:sz w:val="18"/>
          <w:szCs w:val="18"/>
        </w:rPr>
      </w:pPr>
      <w:r>
        <w:rPr>
          <w:sz w:val="18"/>
          <w:szCs w:val="18"/>
        </w:rPr>
        <w:t xml:space="preserve">Z řečeného vyplývá, že německý nacionální socialismus na národní kulturní tvorbu dívá se zcela jinými očima. Má ovšem pevně obrysovanou představu o národním umění, jež svým kořenem tkví pevně v duši a v bytosti národního genia. Uvádím </w:t>
      </w:r>
      <w:r>
        <w:rPr>
          <w:sz w:val="18"/>
          <w:szCs w:val="18"/>
        </w:rPr>
        <w:t>jako zcela nepatrný, ale výmluvný příklad začínajícího kultur</w:t>
      </w:r>
      <w:r>
        <w:rPr>
          <w:sz w:val="18"/>
          <w:szCs w:val="18"/>
        </w:rPr>
        <w:softHyphen/>
        <w:t>ního sblížení obou národů jen radostný souhlas, se kterým minulou středu obecenstvo přijalo podání směsi Smetanovy. »Prodané nevěsty«, kterou zahrál oddíl německého letectva před Národním museem</w:t>
      </w:r>
      <w:r>
        <w:rPr>
          <w:sz w:val="18"/>
          <w:szCs w:val="18"/>
        </w:rPr>
        <w:t>. Citové podání tohoto díla jasně do</w:t>
      </w:r>
      <w:r>
        <w:rPr>
          <w:sz w:val="18"/>
          <w:szCs w:val="18"/>
        </w:rPr>
        <w:softHyphen/>
        <w:t>kazuje, že Němci mají správné pochopení i pro hudební tvorbu českou. Mimo to chtěl bych jen připomenouti slávu, v níž právě »Prodaná nevěsta« letěla přes všechna německá jeviště, ně</w:t>
      </w:r>
      <w:r>
        <w:rPr>
          <w:sz w:val="18"/>
          <w:szCs w:val="18"/>
        </w:rPr>
        <w:softHyphen/>
        <w:t xml:space="preserve">meckým národem všudy nadšeně vítána. </w:t>
      </w:r>
      <w:r>
        <w:rPr>
          <w:sz w:val="18"/>
          <w:szCs w:val="18"/>
        </w:rPr>
        <w:t>Kdybych k tomu měl ještě něco říci, pak by to bylo toto: dramatické a hudební tvorbě českého národa dnes nejsou a nebudou kladeny žádné překážky; naopak: právě v dnešní době otevírá se jí nejširší pole. Bude ovšem záležeti na tom, aby český národ do tohoto</w:t>
      </w:r>
      <w:r>
        <w:rPr>
          <w:sz w:val="18"/>
          <w:szCs w:val="18"/>
        </w:rPr>
        <w:t xml:space="preserve"> kulturního souboje poslal muže, kteří budou míti dostatek od</w:t>
      </w:r>
      <w:r>
        <w:rPr>
          <w:sz w:val="18"/>
          <w:szCs w:val="18"/>
        </w:rPr>
        <w:softHyphen/>
        <w:t>vahy a morální velikosti, aby upřímnou shodu a kulturní spolupráci mezi Čechy a Němci také uskutečnili.</w:t>
      </w:r>
    </w:p>
    <w:p w:rsidR="00500724" w:rsidRDefault="00F30FB8">
      <w:pPr>
        <w:pStyle w:val="Zkladntext1"/>
        <w:shd w:val="clear" w:color="auto" w:fill="auto"/>
        <w:spacing w:after="240" w:line="202" w:lineRule="auto"/>
        <w:ind w:firstLine="0"/>
        <w:jc w:val="right"/>
        <w:rPr>
          <w:sz w:val="18"/>
          <w:szCs w:val="18"/>
        </w:rPr>
      </w:pPr>
      <w:r>
        <w:rPr>
          <w:sz w:val="18"/>
          <w:szCs w:val="18"/>
        </w:rPr>
        <w:t>Pražský Němec</w:t>
      </w:r>
    </w:p>
    <w:p w:rsidR="00500724" w:rsidRDefault="00F30FB8">
      <w:pPr>
        <w:pStyle w:val="Zkladntext40"/>
        <w:shd w:val="clear" w:color="auto" w:fill="auto"/>
        <w:spacing w:after="0" w:line="360" w:lineRule="auto"/>
        <w:ind w:left="1040" w:right="820" w:hanging="200"/>
        <w:jc w:val="left"/>
        <w:rPr>
          <w:sz w:val="18"/>
          <w:szCs w:val="18"/>
        </w:rPr>
      </w:pPr>
      <w:r>
        <w:rPr>
          <w:b/>
          <w:bCs/>
          <w:sz w:val="14"/>
          <w:szCs w:val="14"/>
        </w:rPr>
        <w:t xml:space="preserve">Dopis Češky Slovence, provdané za Čecha </w:t>
      </w:r>
      <w:r>
        <w:rPr>
          <w:sz w:val="18"/>
          <w:szCs w:val="18"/>
        </w:rPr>
        <w:t>Vážená Paní!</w:t>
      </w:r>
    </w:p>
    <w:p w:rsidR="00500724" w:rsidRDefault="00F30FB8">
      <w:pPr>
        <w:pStyle w:val="Zkladntext1"/>
        <w:shd w:val="clear" w:color="auto" w:fill="auto"/>
        <w:spacing w:after="40" w:line="202" w:lineRule="auto"/>
        <w:ind w:firstLine="180"/>
        <w:rPr>
          <w:sz w:val="18"/>
          <w:szCs w:val="18"/>
        </w:rPr>
      </w:pPr>
      <w:r>
        <w:rPr>
          <w:sz w:val="18"/>
          <w:szCs w:val="18"/>
        </w:rPr>
        <w:t xml:space="preserve">Dovolte mně, prosím, </w:t>
      </w:r>
      <w:r>
        <w:rPr>
          <w:sz w:val="18"/>
          <w:szCs w:val="18"/>
        </w:rPr>
        <w:t>abych Vám na Váš krásný dopis v Pří</w:t>
      </w:r>
      <w:r>
        <w:rPr>
          <w:sz w:val="18"/>
          <w:szCs w:val="18"/>
        </w:rPr>
        <w:softHyphen/>
        <w:t>tomnosti č. 26. i já odpověděla. Vždy jsem toužila v dnešním čase pohovořit s nějakým Slovákem upřímným, ale bohužel neměla jsem k tomu příležitosti. Jistě mně tedy nebudete zazlívat, povím-li Vám, — neznámé — prostými s</w:t>
      </w:r>
      <w:r>
        <w:rPr>
          <w:sz w:val="18"/>
          <w:szCs w:val="18"/>
        </w:rPr>
        <w:t xml:space="preserve">lovy své city k Slovákům. Chtěla bych totiž Slovákům říci, proč vlastně jejich chování k nám nás tolik bolí. V nás, českých lidech, byla láska k Slovensku a slov. lidu pěstována už od nejútlej- šího mládí. Učili nás a vštěpovali ji do našich dětských duší </w:t>
      </w:r>
      <w:r>
        <w:rPr>
          <w:sz w:val="18"/>
          <w:szCs w:val="18"/>
        </w:rPr>
        <w:t>zároveň s láskou k Bohu a modlitbě. Dodnes slyším, jak nám p. učitel vypravoval o nešťastných udeptaných našich bratřích Slovácích a vím, že už co dítě bylo mojí touhou vysvobodit je od Maďarů. A když po převratě 1918 jásali jsme nad osvo</w:t>
      </w:r>
      <w:r>
        <w:rPr>
          <w:sz w:val="18"/>
          <w:szCs w:val="18"/>
        </w:rPr>
        <w:softHyphen/>
        <w:t>bozením, věřte, ž</w:t>
      </w:r>
      <w:r>
        <w:rPr>
          <w:sz w:val="18"/>
          <w:szCs w:val="18"/>
        </w:rPr>
        <w:t xml:space="preserve">e jako bych vedle své radosti nějak víc ještě se radovala osvobozením Slováků. Pak, během těch 20 let. viděli jsme, jak Slovensko před našimi zraky roste, krásní, zvelebuje se. Jak přál náš národ lepšího života slov. dobrému lidu! Nikdy mně nepřišlo proti </w:t>
      </w:r>
      <w:r>
        <w:rPr>
          <w:sz w:val="18"/>
          <w:szCs w:val="18"/>
        </w:rPr>
        <w:t>mysli, slyšela-li jsem, o zná</w:t>
      </w:r>
      <w:r>
        <w:rPr>
          <w:sz w:val="18"/>
          <w:szCs w:val="18"/>
        </w:rPr>
        <w:softHyphen/>
        <w:t>mých svých lidech, že se žení se Slovenkami, nebo, že děti našich lidí na Slovensku žijících nedovedou mluvit česky — připadalo nám to zcela samozřejmým a docela milým.</w:t>
      </w:r>
    </w:p>
    <w:p w:rsidR="00500724" w:rsidRDefault="00F30FB8">
      <w:pPr>
        <w:pStyle w:val="Zkladntext1"/>
        <w:shd w:val="clear" w:color="auto" w:fill="auto"/>
        <w:spacing w:after="40" w:line="202" w:lineRule="auto"/>
        <w:ind w:firstLine="180"/>
        <w:rPr>
          <w:sz w:val="18"/>
          <w:szCs w:val="18"/>
        </w:rPr>
      </w:pPr>
      <w:r>
        <w:rPr>
          <w:sz w:val="18"/>
          <w:szCs w:val="18"/>
        </w:rPr>
        <w:t>To jsem Vám, tedy, vážená paní chtěla napsat, že právě pr</w:t>
      </w:r>
      <w:r>
        <w:rPr>
          <w:sz w:val="18"/>
          <w:szCs w:val="18"/>
        </w:rPr>
        <w:t>oto nás Čechy chování Slováků bolí nejvíc, že jsme je měli za bratry rodné, vlastní, se společnou krví s námi. Váš krásný dopis dojal mne k slzám a proto jsem si umínila napsat Vám. Přes to všechno však nemohu ve svém srdci nalézti nejmenší zášti k Slováků</w:t>
      </w:r>
      <w:r>
        <w:rPr>
          <w:sz w:val="18"/>
          <w:szCs w:val="18"/>
        </w:rPr>
        <w:t xml:space="preserve">m, naopak při vzpomínce na ně cítím vždy bolestné píchnutí u srdce a slzy zklamání hrnou se do očí. Kdybych měla vyjádřit své city a věřím, že city celého svého národa, dívám se dnes na Slováky jako na milované mladší naše bratry, kteří každým dnem musejí </w:t>
      </w:r>
      <w:r>
        <w:rPr>
          <w:sz w:val="18"/>
          <w:szCs w:val="18"/>
        </w:rPr>
        <w:t>dospět.</w:t>
      </w:r>
    </w:p>
    <w:p w:rsidR="00500724" w:rsidRDefault="00F30FB8">
      <w:pPr>
        <w:pStyle w:val="Zkladntext1"/>
        <w:shd w:val="clear" w:color="auto" w:fill="auto"/>
        <w:spacing w:after="40" w:line="206" w:lineRule="auto"/>
        <w:ind w:firstLine="180"/>
        <w:rPr>
          <w:sz w:val="18"/>
          <w:szCs w:val="18"/>
        </w:rPr>
      </w:pPr>
      <w:r>
        <w:rPr>
          <w:sz w:val="18"/>
          <w:szCs w:val="18"/>
        </w:rPr>
        <w:t>Promiňte, ale cítím se nějak povinnou za Vaše krásné a ro</w:t>
      </w:r>
      <w:r>
        <w:rPr>
          <w:sz w:val="18"/>
          <w:szCs w:val="18"/>
        </w:rPr>
        <w:softHyphen/>
        <w:t>zumné řádky, jaké jsou teď v libé slovenštině vzácností, srdečně poděkovat.</w:t>
      </w:r>
    </w:p>
    <w:p w:rsidR="00500724" w:rsidRDefault="00F30FB8">
      <w:pPr>
        <w:pStyle w:val="Zkladntext1"/>
        <w:shd w:val="clear" w:color="auto" w:fill="auto"/>
        <w:spacing w:after="40" w:line="202" w:lineRule="auto"/>
        <w:ind w:firstLine="180"/>
        <w:rPr>
          <w:sz w:val="18"/>
          <w:szCs w:val="18"/>
        </w:rPr>
      </w:pPr>
      <w:r>
        <w:rPr>
          <w:sz w:val="18"/>
          <w:szCs w:val="18"/>
        </w:rPr>
        <w:t>Působí jako balsám do našich bolavých duší.</w:t>
      </w:r>
    </w:p>
    <w:p w:rsidR="00500724" w:rsidRDefault="00F30FB8">
      <w:pPr>
        <w:pStyle w:val="Zkladntext1"/>
        <w:shd w:val="clear" w:color="auto" w:fill="auto"/>
        <w:ind w:right="160" w:firstLine="0"/>
        <w:jc w:val="center"/>
        <w:rPr>
          <w:sz w:val="18"/>
          <w:szCs w:val="18"/>
        </w:rPr>
      </w:pPr>
      <w:r>
        <w:rPr>
          <w:sz w:val="18"/>
          <w:szCs w:val="18"/>
        </w:rPr>
        <w:t>s veškerou úctou</w:t>
      </w:r>
    </w:p>
    <w:p w:rsidR="00500724" w:rsidRDefault="00F30FB8">
      <w:pPr>
        <w:pStyle w:val="Zkladntext1"/>
        <w:shd w:val="clear" w:color="auto" w:fill="auto"/>
        <w:spacing w:after="340" w:line="180" w:lineRule="auto"/>
        <w:ind w:firstLine="0"/>
        <w:jc w:val="right"/>
        <w:rPr>
          <w:sz w:val="18"/>
          <w:szCs w:val="18"/>
        </w:rPr>
      </w:pPr>
      <w:r>
        <w:rPr>
          <w:sz w:val="18"/>
          <w:szCs w:val="18"/>
        </w:rPr>
        <w:t>Bož. Smolová</w:t>
      </w:r>
    </w:p>
    <w:p w:rsidR="00500724" w:rsidRDefault="00F30FB8">
      <w:pPr>
        <w:pStyle w:val="Jin0"/>
        <w:shd w:val="clear" w:color="auto" w:fill="auto"/>
        <w:spacing w:after="200"/>
        <w:ind w:firstLine="0"/>
        <w:jc w:val="left"/>
        <w:rPr>
          <w:sz w:val="46"/>
          <w:szCs w:val="46"/>
        </w:rPr>
      </w:pPr>
      <w:r>
        <w:rPr>
          <w:b/>
          <w:bCs/>
          <w:sz w:val="46"/>
          <w:szCs w:val="46"/>
          <w:u w:val="single"/>
        </w:rPr>
        <w:t>listárna redakce</w:t>
      </w:r>
    </w:p>
    <w:p w:rsidR="00500724" w:rsidRDefault="00F30FB8">
      <w:pPr>
        <w:pStyle w:val="Zkladntext1"/>
        <w:shd w:val="clear" w:color="auto" w:fill="auto"/>
        <w:spacing w:after="40" w:line="209" w:lineRule="auto"/>
        <w:ind w:firstLine="180"/>
        <w:rPr>
          <w:sz w:val="18"/>
          <w:szCs w:val="18"/>
        </w:rPr>
        <w:sectPr w:rsidR="00500724">
          <w:footnotePr>
            <w:numFmt w:val="chicago"/>
            <w:numRestart w:val="eachPage"/>
          </w:footnotePr>
          <w:type w:val="continuous"/>
          <w:pgSz w:w="11909" w:h="16834"/>
          <w:pgMar w:top="706" w:right="1105" w:bottom="1013" w:left="442" w:header="0" w:footer="3" w:gutter="0"/>
          <w:cols w:num="2" w:space="182"/>
          <w:noEndnote/>
          <w:docGrid w:linePitch="360"/>
        </w:sectPr>
      </w:pPr>
      <w:r>
        <w:rPr>
          <w:sz w:val="18"/>
          <w:szCs w:val="18"/>
        </w:rPr>
        <w:t>Tvář Prahy. Z ^Průvodců Prahou« Vám doporučujeme zejména tyto publikace: Emil Hlávka: Praha slovem i obra</w:t>
      </w:r>
      <w:r>
        <w:rPr>
          <w:sz w:val="18"/>
          <w:szCs w:val="18"/>
        </w:rPr>
        <w:softHyphen/>
        <w:t xml:space="preserve">zem, Arne Novák: Praha barokní </w:t>
      </w:r>
      <w:r>
        <w:rPr>
          <w:sz w:val="18"/>
          <w:szCs w:val="18"/>
          <w:lang w:val="en-US" w:eastAsia="en-US" w:bidi="en-US"/>
        </w:rPr>
        <w:t xml:space="preserve">a </w:t>
      </w:r>
      <w:r>
        <w:rPr>
          <w:sz w:val="18"/>
          <w:szCs w:val="18"/>
        </w:rPr>
        <w:t>V. V. Stech: Praha, matka měst. Dostanete je u všech knihkupců.</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32" w:line="14" w:lineRule="exact"/>
      </w:pPr>
    </w:p>
    <w:p w:rsidR="00500724" w:rsidRDefault="00500724">
      <w:pPr>
        <w:spacing w:line="14" w:lineRule="exact"/>
        <w:sectPr w:rsidR="00500724">
          <w:footnotePr>
            <w:numFmt w:val="chicago"/>
            <w:numRestart w:val="eachPage"/>
          </w:footnotePr>
          <w:pgSz w:w="11909" w:h="16834"/>
          <w:pgMar w:top="713" w:right="718" w:bottom="657" w:left="703"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30090" behindDoc="0" locked="0" layoutInCell="1" allowOverlap="1">
                <wp:simplePos x="0" y="0"/>
                <wp:positionH relativeFrom="page">
                  <wp:posOffset>2171700</wp:posOffset>
                </wp:positionH>
                <wp:positionV relativeFrom="paragraph">
                  <wp:posOffset>12700</wp:posOffset>
                </wp:positionV>
                <wp:extent cx="3209290" cy="1661160"/>
                <wp:effectExtent l="0" t="0" r="0" b="0"/>
                <wp:wrapTopAndBottom/>
                <wp:docPr id="713" name="Shape 713"/>
                <wp:cNvGraphicFramePr/>
                <a:graphic xmlns:a="http://schemas.openxmlformats.org/drawingml/2006/main">
                  <a:graphicData uri="http://schemas.microsoft.com/office/word/2010/wordprocessingShape">
                    <wps:wsp>
                      <wps:cNvSpPr txBox="1"/>
                      <wps:spPr>
                        <a:xfrm>
                          <a:off x="0" y="0"/>
                          <a:ext cx="3209290" cy="1661160"/>
                        </a:xfrm>
                        <a:prstGeom prst="rect">
                          <a:avLst/>
                        </a:prstGeom>
                        <a:noFill/>
                      </wps:spPr>
                      <wps:txbx>
                        <w:txbxContent>
                          <w:p w:rsidR="00500724" w:rsidRDefault="00F30FB8">
                            <w:pPr>
                              <w:pStyle w:val="Zkladntext1"/>
                              <w:shd w:val="clear" w:color="auto" w:fill="auto"/>
                              <w:spacing w:line="211" w:lineRule="auto"/>
                              <w:ind w:firstLine="0"/>
                              <w:jc w:val="center"/>
                            </w:pPr>
                            <w:r>
                              <w:rPr>
                                <w:b/>
                                <w:bCs/>
                              </w:rPr>
                              <w:t>Žije dodnes romantismus?</w:t>
                            </w:r>
                          </w:p>
                          <w:p w:rsidR="00500724" w:rsidRDefault="00F30FB8">
                            <w:pPr>
                              <w:pStyle w:val="Zkladntext1"/>
                              <w:shd w:val="clear" w:color="auto" w:fill="auto"/>
                              <w:spacing w:line="211" w:lineRule="auto"/>
                              <w:ind w:firstLine="200"/>
                            </w:pPr>
                            <w:r>
                              <w:rPr>
                                <w:b/>
                                <w:bCs/>
                              </w:rPr>
                              <w:t>My že již nejsme romantičtí? Možná. Ale jistě si v roman</w:t>
                            </w:r>
                            <w:r>
                              <w:rPr>
                                <w:b/>
                                <w:bCs/>
                              </w:rPr>
                              <w:softHyphen/>
                              <w:t>tismu libujeme (naše filmy romantismem přetékají). Měšťáci před sto lety také nebyli romantičtí a přece umož</w:t>
                            </w:r>
                            <w:r>
                              <w:rPr>
                                <w:b/>
                                <w:bCs/>
                              </w:rPr>
                              <w:softHyphen/>
                              <w:t>nili úspěchy romantických spisovat</w:t>
                            </w:r>
                            <w:r>
                              <w:rPr>
                                <w:b/>
                                <w:bCs/>
                              </w:rPr>
                              <w:t>elů. Raději se přiznejme, že jsme dodnes silně romantičtí, že každý z nás je aspoň napolo romantický a že bez romantismu by duše nebyla to, co je, protože by byla lidská jenom napolo. Přiznejme si, že bez romantismu by nebylo literatury, a to vůbec žádné l</w:t>
                            </w:r>
                            <w:r>
                              <w:rPr>
                                <w:b/>
                                <w:bCs/>
                              </w:rPr>
                              <w:t>iteratury...</w:t>
                            </w:r>
                          </w:p>
                          <w:p w:rsidR="00500724" w:rsidRDefault="00F30FB8">
                            <w:pPr>
                              <w:pStyle w:val="Zkladntext1"/>
                              <w:shd w:val="clear" w:color="auto" w:fill="auto"/>
                              <w:spacing w:line="211" w:lineRule="auto"/>
                              <w:ind w:firstLine="200"/>
                            </w:pPr>
                            <w:r>
                              <w:rPr>
                                <w:b/>
                                <w:bCs/>
                              </w:rPr>
                              <w:t>Náš romantismus je sice méně výmluvný, méně rozvláčný než býval romantismus našich pradědů, ale je možná hlubší.</w:t>
                            </w:r>
                          </w:p>
                          <w:p w:rsidR="00500724" w:rsidRDefault="00F30FB8">
                            <w:pPr>
                              <w:pStyle w:val="Zkladntext1"/>
                              <w:shd w:val="clear" w:color="auto" w:fill="auto"/>
                              <w:spacing w:line="202" w:lineRule="auto"/>
                              <w:ind w:firstLine="0"/>
                              <w:jc w:val="right"/>
                              <w:rPr>
                                <w:sz w:val="20"/>
                                <w:szCs w:val="20"/>
                              </w:rPr>
                            </w:pPr>
                            <w:r>
                              <w:rPr>
                                <w:i/>
                                <w:iCs/>
                                <w:sz w:val="20"/>
                                <w:szCs w:val="20"/>
                              </w:rPr>
                              <w:t xml:space="preserve">André </w:t>
                            </w:r>
                            <w:r>
                              <w:rPr>
                                <w:i/>
                                <w:iCs/>
                                <w:sz w:val="20"/>
                                <w:szCs w:val="20"/>
                                <w:lang w:val="en-US" w:eastAsia="en-US" w:bidi="en-US"/>
                              </w:rPr>
                              <w:t>Billy</w:t>
                            </w:r>
                          </w:p>
                        </w:txbxContent>
                      </wps:txbx>
                      <wps:bodyPr lIns="0" tIns="0" rIns="0" bIns="0">
                        <a:spAutoFit/>
                      </wps:bodyPr>
                    </wps:wsp>
                  </a:graphicData>
                </a:graphic>
              </wp:anchor>
            </w:drawing>
          </mc:Choice>
          <mc:Fallback>
            <w:pict>
              <v:shape id="_x0000_s1739" type="#_x0000_t202" style="position:absolute;margin-left:171.pt;margin-top:1.pt;width:252.69999999999999pt;height:130.80000000000001pt;z-index:-125828663;mso-wrap-distance-left:0;mso-wrap-distance-right:0;mso-position-horizontal-relative:page" filled="f" stroked="f">
                <v:textbox style="mso-fit-shape-to-text:t" inset="0,0,0,0">
                  <w:txbxContent>
                    <w:p>
                      <w:pPr>
                        <w:pStyle w:val="Style18"/>
                        <w:keepNext w:val="0"/>
                        <w:keepLines w:val="0"/>
                        <w:widowControl w:val="0"/>
                        <w:shd w:val="clear" w:color="auto" w:fill="auto"/>
                        <w:bidi w:val="0"/>
                        <w:spacing w:before="0" w:after="0" w:line="211" w:lineRule="auto"/>
                        <w:ind w:left="0" w:right="0" w:firstLine="0"/>
                        <w:jc w:val="center"/>
                      </w:pPr>
                      <w:r>
                        <w:rPr>
                          <w:b/>
                          <w:bCs/>
                          <w:color w:val="000000"/>
                          <w:spacing w:val="0"/>
                          <w:w w:val="100"/>
                          <w:position w:val="0"/>
                          <w:shd w:val="clear" w:color="auto" w:fill="auto"/>
                          <w:lang w:val="cs-CZ" w:eastAsia="cs-CZ" w:bidi="cs-CZ"/>
                        </w:rPr>
                        <w:t>Žije dodnes romantismus?</w:t>
                      </w:r>
                    </w:p>
                    <w:p>
                      <w:pPr>
                        <w:pStyle w:val="Style18"/>
                        <w:keepNext w:val="0"/>
                        <w:keepLines w:val="0"/>
                        <w:widowControl w:val="0"/>
                        <w:shd w:val="clear" w:color="auto" w:fill="auto"/>
                        <w:bidi w:val="0"/>
                        <w:spacing w:before="0" w:after="0" w:line="211" w:lineRule="auto"/>
                        <w:ind w:left="0" w:right="0" w:firstLine="200"/>
                      </w:pPr>
                      <w:r>
                        <w:rPr>
                          <w:b/>
                          <w:bCs/>
                          <w:color w:val="000000"/>
                          <w:spacing w:val="0"/>
                          <w:w w:val="100"/>
                          <w:position w:val="0"/>
                          <w:shd w:val="clear" w:color="auto" w:fill="auto"/>
                          <w:lang w:val="cs-CZ" w:eastAsia="cs-CZ" w:bidi="cs-CZ"/>
                        </w:rPr>
                        <w:t>My že již nejsme romantičtí? Možná. Ale jistě si v roman</w:t>
                        <w:softHyphen/>
                        <w:t>tismu libujeme (naše filmy romantismem přetékají). Měšťáci před sto lety také nebyli romantičtí a přece umož</w:t>
                        <w:softHyphen/>
                        <w:t>nili úspěchy romantických spisovatelů. Raději se přiznejme, že jsme dodnes silně romantičtí, že každý z nás je aspoň napolo romantický a že bez romantismu by duše nebyla to, co je, protože by byla lidská jenom napolo. Přiznejme si, že bez romantismu by nebylo literatury, a to vůbec žádné literatury...</w:t>
                      </w:r>
                    </w:p>
                    <w:p>
                      <w:pPr>
                        <w:pStyle w:val="Style18"/>
                        <w:keepNext w:val="0"/>
                        <w:keepLines w:val="0"/>
                        <w:widowControl w:val="0"/>
                        <w:shd w:val="clear" w:color="auto" w:fill="auto"/>
                        <w:bidi w:val="0"/>
                        <w:spacing w:before="0" w:after="0" w:line="211" w:lineRule="auto"/>
                        <w:ind w:left="0" w:right="0" w:firstLine="200"/>
                      </w:pPr>
                      <w:r>
                        <w:rPr>
                          <w:b/>
                          <w:bCs/>
                          <w:color w:val="000000"/>
                          <w:spacing w:val="0"/>
                          <w:w w:val="100"/>
                          <w:position w:val="0"/>
                          <w:shd w:val="clear" w:color="auto" w:fill="auto"/>
                          <w:lang w:val="cs-CZ" w:eastAsia="cs-CZ" w:bidi="cs-CZ"/>
                        </w:rPr>
                        <w:t>Náš romantismus je sice méně výmluvný, méně rozvláčný než býval romantismus našich pradědů, ale je možná hlubší.</w:t>
                      </w:r>
                    </w:p>
                    <w:p>
                      <w:pPr>
                        <w:pStyle w:val="Style18"/>
                        <w:keepNext w:val="0"/>
                        <w:keepLines w:val="0"/>
                        <w:widowControl w:val="0"/>
                        <w:shd w:val="clear" w:color="auto" w:fill="auto"/>
                        <w:bidi w:val="0"/>
                        <w:spacing w:before="0" w:after="0" w:line="202"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 xml:space="preserve">André </w:t>
                      </w:r>
                      <w:r>
                        <w:rPr>
                          <w:i/>
                          <w:iCs/>
                          <w:color w:val="000000"/>
                          <w:spacing w:val="0"/>
                          <w:w w:val="100"/>
                          <w:position w:val="0"/>
                          <w:sz w:val="20"/>
                          <w:szCs w:val="20"/>
                          <w:shd w:val="clear" w:color="auto" w:fill="auto"/>
                          <w:lang w:val="en-US" w:eastAsia="en-US" w:bidi="en-US"/>
                        </w:rPr>
                        <w:t>Billy</w:t>
                      </w:r>
                    </w:p>
                  </w:txbxContent>
                </v:textbox>
                <w10:wrap type="topAndBottom" anchorx="page"/>
              </v:shape>
            </w:pict>
          </mc:Fallback>
        </mc:AlternateContent>
      </w:r>
      <w:r>
        <w:rPr>
          <w:noProof/>
        </w:rPr>
        <mc:AlternateContent>
          <mc:Choice Requires="wps">
            <w:drawing>
              <wp:anchor distT="0" distB="0" distL="0" distR="0" simplePos="0" relativeHeight="125830092" behindDoc="0" locked="0" layoutInCell="1" allowOverlap="1">
                <wp:simplePos x="0" y="0"/>
                <wp:positionH relativeFrom="page">
                  <wp:posOffset>2156460</wp:posOffset>
                </wp:positionH>
                <wp:positionV relativeFrom="paragraph">
                  <wp:posOffset>3237230</wp:posOffset>
                </wp:positionV>
                <wp:extent cx="3255010" cy="679450"/>
                <wp:effectExtent l="0" t="0" r="0" b="0"/>
                <wp:wrapSquare wrapText="bothSides"/>
                <wp:docPr id="715" name="Shape 715"/>
                <wp:cNvGraphicFramePr/>
                <a:graphic xmlns:a="http://schemas.openxmlformats.org/drawingml/2006/main">
                  <a:graphicData uri="http://schemas.microsoft.com/office/word/2010/wordprocessingShape">
                    <wps:wsp>
                      <wps:cNvSpPr txBox="1"/>
                      <wps:spPr>
                        <a:xfrm>
                          <a:off x="0" y="0"/>
                          <a:ext cx="3255010" cy="679450"/>
                        </a:xfrm>
                        <a:prstGeom prst="rect">
                          <a:avLst/>
                        </a:prstGeom>
                        <a:solidFill>
                          <a:srgbClr val="E9D2AD"/>
                        </a:solidFill>
                        <a:ln w="6350">
                          <a:solidFill>
                            <a:srgbClr val="000000"/>
                          </a:solidFill>
                        </a:ln>
                      </wps:spPr>
                      <wps:txbx>
                        <w:txbxContent>
                          <w:p w:rsidR="00500724" w:rsidRDefault="00F30FB8">
                            <w:pPr>
                              <w:pStyle w:val="Jin0"/>
                              <w:shd w:val="clear" w:color="auto" w:fill="auto"/>
                              <w:ind w:right="80" w:firstLine="0"/>
                              <w:jc w:val="center"/>
                              <w:rPr>
                                <w:sz w:val="26"/>
                                <w:szCs w:val="26"/>
                              </w:rPr>
                            </w:pPr>
                            <w:r>
                              <w:rPr>
                                <w:rFonts w:ascii="Arial" w:eastAsia="Arial" w:hAnsi="Arial" w:cs="Arial"/>
                                <w:b/>
                                <w:bCs/>
                                <w:sz w:val="26"/>
                                <w:szCs w:val="26"/>
                              </w:rPr>
                              <w:t>Dr. Jiří Weis</w:t>
                            </w:r>
                          </w:p>
                          <w:p w:rsidR="00500724" w:rsidRDefault="00F30FB8">
                            <w:pPr>
                              <w:pStyle w:val="Jin0"/>
                              <w:shd w:val="clear" w:color="auto" w:fill="auto"/>
                              <w:spacing w:line="226" w:lineRule="auto"/>
                              <w:ind w:right="80" w:firstLine="0"/>
                              <w:jc w:val="center"/>
                              <w:rPr>
                                <w:sz w:val="16"/>
                                <w:szCs w:val="16"/>
                              </w:rPr>
                            </w:pPr>
                            <w:r>
                              <w:rPr>
                                <w:rFonts w:ascii="Arial" w:eastAsia="Arial" w:hAnsi="Arial" w:cs="Arial"/>
                                <w:b/>
                                <w:bCs/>
                                <w:sz w:val="16"/>
                                <w:szCs w:val="16"/>
                              </w:rPr>
                              <w:t xml:space="preserve">oznamuje otevření kanceláře jako </w:t>
                            </w:r>
                            <w:r>
                              <w:rPr>
                                <w:rFonts w:ascii="Arial" w:eastAsia="Arial" w:hAnsi="Arial" w:cs="Arial"/>
                                <w:b/>
                                <w:bCs/>
                                <w:sz w:val="16"/>
                                <w:szCs w:val="16"/>
                                <w:lang w:val="en-US" w:eastAsia="en-US" w:bidi="en-US"/>
                              </w:rPr>
                              <w:t>.Consultant for</w:t>
                            </w:r>
                            <w:r>
                              <w:rPr>
                                <w:rFonts w:ascii="Arial" w:eastAsia="Arial" w:hAnsi="Arial" w:cs="Arial"/>
                                <w:b/>
                                <w:bCs/>
                                <w:sz w:val="16"/>
                                <w:szCs w:val="16"/>
                                <w:lang w:val="en-US" w:eastAsia="en-US" w:bidi="en-US"/>
                              </w:rPr>
                              <w:br/>
                            </w:r>
                            <w:r>
                              <w:rPr>
                                <w:rFonts w:ascii="Arial" w:eastAsia="Arial" w:hAnsi="Arial" w:cs="Arial"/>
                                <w:b/>
                                <w:bCs/>
                                <w:sz w:val="16"/>
                                <w:szCs w:val="16"/>
                              </w:rPr>
                              <w:t>Continental Law«</w:t>
                            </w:r>
                          </w:p>
                          <w:p w:rsidR="00500724" w:rsidRDefault="00F30FB8">
                            <w:pPr>
                              <w:pStyle w:val="Jin0"/>
                              <w:shd w:val="clear" w:color="auto" w:fill="auto"/>
                              <w:spacing w:line="226" w:lineRule="auto"/>
                              <w:ind w:left="80" w:firstLine="0"/>
                              <w:jc w:val="center"/>
                              <w:rPr>
                                <w:sz w:val="16"/>
                                <w:szCs w:val="16"/>
                              </w:rPr>
                            </w:pPr>
                            <w:r>
                              <w:rPr>
                                <w:rFonts w:ascii="Arial" w:eastAsia="Arial" w:hAnsi="Arial" w:cs="Arial"/>
                                <w:b/>
                                <w:bCs/>
                                <w:sz w:val="16"/>
                                <w:szCs w:val="16"/>
                              </w:rPr>
                              <w:t xml:space="preserve">V LONDtNĚ, 46 </w:t>
                            </w:r>
                            <w:r>
                              <w:rPr>
                                <w:rFonts w:ascii="Arial" w:eastAsia="Arial" w:hAnsi="Arial" w:cs="Arial"/>
                                <w:b/>
                                <w:bCs/>
                                <w:sz w:val="16"/>
                                <w:szCs w:val="16"/>
                                <w:lang w:val="en-US" w:eastAsia="en-US" w:bidi="en-US"/>
                              </w:rPr>
                              <w:t xml:space="preserve">SOUTHAMPTON ROW, </w:t>
                            </w:r>
                            <w:r>
                              <w:rPr>
                                <w:rFonts w:ascii="Arial" w:eastAsia="Arial" w:hAnsi="Arial" w:cs="Arial"/>
                                <w:b/>
                                <w:bCs/>
                                <w:sz w:val="16"/>
                                <w:szCs w:val="16"/>
                              </w:rPr>
                              <w:t xml:space="preserve">W. </w:t>
                            </w:r>
                            <w:r>
                              <w:rPr>
                                <w:rFonts w:ascii="Arial" w:eastAsia="Arial" w:hAnsi="Arial" w:cs="Arial"/>
                                <w:b/>
                                <w:bCs/>
                                <w:sz w:val="16"/>
                                <w:szCs w:val="16"/>
                              </w:rPr>
                              <w:t>C. 1.</w:t>
                            </w:r>
                          </w:p>
                        </w:txbxContent>
                      </wps:txbx>
                      <wps:bodyPr lIns="0" tIns="0" rIns="0" bIns="0">
                        <a:spAutoFit/>
                      </wps:bodyPr>
                    </wps:wsp>
                  </a:graphicData>
                </a:graphic>
              </wp:anchor>
            </w:drawing>
          </mc:Choice>
          <mc:Fallback>
            <w:pict>
              <v:shape id="_x0000_s1741" type="#_x0000_t202" style="position:absolute;margin-left:169.80000000000001pt;margin-top:254.90000000000001pt;width:256.30000000000001pt;height:53.5pt;z-index:-125828661;mso-wrap-distance-left:0;mso-wrap-distance-right:0;mso-position-horizontal-relative:page" fillcolor="#E9D2AD">
                <v:textbox style="mso-fit-shape-to-text:t" inset="0,0,0,0">
                  <w:txbxContent>
                    <w:p>
                      <w:pPr>
                        <w:pStyle w:val="Style12"/>
                        <w:keepNext w:val="0"/>
                        <w:keepLines w:val="0"/>
                        <w:widowControl w:val="0"/>
                        <w:shd w:val="clear" w:color="auto" w:fill="auto"/>
                        <w:bidi w:val="0"/>
                        <w:spacing w:before="0" w:after="0" w:line="240" w:lineRule="auto"/>
                        <w:ind w:left="0" w:right="80" w:firstLine="0"/>
                        <w:jc w:val="center"/>
                        <w:rPr>
                          <w:sz w:val="26"/>
                          <w:szCs w:val="26"/>
                        </w:rPr>
                      </w:pPr>
                      <w:r>
                        <w:rPr>
                          <w:rFonts w:ascii="Arial" w:eastAsia="Arial" w:hAnsi="Arial" w:cs="Arial"/>
                          <w:b/>
                          <w:bCs/>
                          <w:color w:val="000000"/>
                          <w:spacing w:val="0"/>
                          <w:w w:val="100"/>
                          <w:position w:val="0"/>
                          <w:sz w:val="26"/>
                          <w:szCs w:val="26"/>
                          <w:shd w:val="clear" w:color="auto" w:fill="auto"/>
                          <w:lang w:val="cs-CZ" w:eastAsia="cs-CZ" w:bidi="cs-CZ"/>
                        </w:rPr>
                        <w:t>Dr. Jiří Weis</w:t>
                      </w:r>
                    </w:p>
                    <w:p>
                      <w:pPr>
                        <w:pStyle w:val="Style12"/>
                        <w:keepNext w:val="0"/>
                        <w:keepLines w:val="0"/>
                        <w:widowControl w:val="0"/>
                        <w:shd w:val="clear" w:color="auto" w:fill="auto"/>
                        <w:bidi w:val="0"/>
                        <w:spacing w:before="0" w:after="0" w:line="226" w:lineRule="auto"/>
                        <w:ind w:left="0" w:right="80" w:firstLine="0"/>
                        <w:jc w:val="center"/>
                        <w:rPr>
                          <w:sz w:val="16"/>
                          <w:szCs w:val="16"/>
                        </w:rPr>
                      </w:pPr>
                      <w:r>
                        <w:rPr>
                          <w:rFonts w:ascii="Arial" w:eastAsia="Arial" w:hAnsi="Arial" w:cs="Arial"/>
                          <w:b/>
                          <w:bCs/>
                          <w:color w:val="000000"/>
                          <w:spacing w:val="0"/>
                          <w:w w:val="100"/>
                          <w:position w:val="0"/>
                          <w:sz w:val="16"/>
                          <w:szCs w:val="16"/>
                          <w:shd w:val="clear" w:color="auto" w:fill="auto"/>
                          <w:lang w:val="cs-CZ" w:eastAsia="cs-CZ" w:bidi="cs-CZ"/>
                        </w:rPr>
                        <w:t xml:space="preserve">oznamuje otevření kanceláře jako </w:t>
                      </w:r>
                      <w:r>
                        <w:rPr>
                          <w:rFonts w:ascii="Arial" w:eastAsia="Arial" w:hAnsi="Arial" w:cs="Arial"/>
                          <w:b/>
                          <w:bCs/>
                          <w:color w:val="000000"/>
                          <w:spacing w:val="0"/>
                          <w:w w:val="100"/>
                          <w:position w:val="0"/>
                          <w:sz w:val="16"/>
                          <w:szCs w:val="16"/>
                          <w:shd w:val="clear" w:color="auto" w:fill="auto"/>
                          <w:lang w:val="en-US" w:eastAsia="en-US" w:bidi="en-US"/>
                        </w:rPr>
                        <w:t>.Consultant for</w:t>
                        <w:br/>
                      </w:r>
                      <w:r>
                        <w:rPr>
                          <w:rFonts w:ascii="Arial" w:eastAsia="Arial" w:hAnsi="Arial" w:cs="Arial"/>
                          <w:b/>
                          <w:bCs/>
                          <w:color w:val="000000"/>
                          <w:spacing w:val="0"/>
                          <w:w w:val="100"/>
                          <w:position w:val="0"/>
                          <w:sz w:val="16"/>
                          <w:szCs w:val="16"/>
                          <w:shd w:val="clear" w:color="auto" w:fill="auto"/>
                          <w:lang w:val="cs-CZ" w:eastAsia="cs-CZ" w:bidi="cs-CZ"/>
                        </w:rPr>
                        <w:t>Continental Law«</w:t>
                      </w:r>
                    </w:p>
                    <w:p>
                      <w:pPr>
                        <w:pStyle w:val="Style12"/>
                        <w:keepNext w:val="0"/>
                        <w:keepLines w:val="0"/>
                        <w:widowControl w:val="0"/>
                        <w:shd w:val="clear" w:color="auto" w:fill="auto"/>
                        <w:bidi w:val="0"/>
                        <w:spacing w:before="0" w:after="0" w:line="226" w:lineRule="auto"/>
                        <w:ind w:left="80" w:right="0" w:firstLine="0"/>
                        <w:jc w:val="center"/>
                        <w:rPr>
                          <w:sz w:val="16"/>
                          <w:szCs w:val="16"/>
                        </w:rPr>
                      </w:pPr>
                      <w:r>
                        <w:rPr>
                          <w:rFonts w:ascii="Arial" w:eastAsia="Arial" w:hAnsi="Arial" w:cs="Arial"/>
                          <w:b/>
                          <w:bCs/>
                          <w:color w:val="000000"/>
                          <w:spacing w:val="0"/>
                          <w:w w:val="100"/>
                          <w:position w:val="0"/>
                          <w:sz w:val="16"/>
                          <w:szCs w:val="16"/>
                          <w:shd w:val="clear" w:color="auto" w:fill="auto"/>
                          <w:lang w:val="cs-CZ" w:eastAsia="cs-CZ" w:bidi="cs-CZ"/>
                        </w:rPr>
                        <w:t xml:space="preserve">V LONDtNĚ, 46 </w:t>
                      </w:r>
                      <w:r>
                        <w:rPr>
                          <w:rFonts w:ascii="Arial" w:eastAsia="Arial" w:hAnsi="Arial" w:cs="Arial"/>
                          <w:b/>
                          <w:bCs/>
                          <w:color w:val="000000"/>
                          <w:spacing w:val="0"/>
                          <w:w w:val="100"/>
                          <w:position w:val="0"/>
                          <w:sz w:val="16"/>
                          <w:szCs w:val="16"/>
                          <w:shd w:val="clear" w:color="auto" w:fill="auto"/>
                          <w:lang w:val="en-US" w:eastAsia="en-US" w:bidi="en-US"/>
                        </w:rPr>
                        <w:t xml:space="preserve">SOUTHAMPTON ROW, </w:t>
                      </w:r>
                      <w:r>
                        <w:rPr>
                          <w:rFonts w:ascii="Arial" w:eastAsia="Arial" w:hAnsi="Arial" w:cs="Arial"/>
                          <w:b/>
                          <w:bCs/>
                          <w:color w:val="000000"/>
                          <w:spacing w:val="0"/>
                          <w:w w:val="100"/>
                          <w:position w:val="0"/>
                          <w:sz w:val="16"/>
                          <w:szCs w:val="16"/>
                          <w:shd w:val="clear" w:color="auto" w:fill="auto"/>
                          <w:lang w:val="cs-CZ" w:eastAsia="cs-CZ" w:bidi="cs-CZ"/>
                        </w:rPr>
                        <w:t>W. C. 1.</w:t>
                      </w:r>
                    </w:p>
                  </w:txbxContent>
                </v:textbox>
                <w10:wrap type="square" anchorx="page"/>
              </v:shape>
            </w:pict>
          </mc:Fallback>
        </mc:AlternateContent>
      </w:r>
    </w:p>
    <w:p w:rsidR="00500724" w:rsidRDefault="00F30FB8">
      <w:pPr>
        <w:pStyle w:val="Zkladntext1"/>
        <w:shd w:val="clear" w:color="auto" w:fill="auto"/>
        <w:spacing w:after="80" w:line="228" w:lineRule="auto"/>
        <w:ind w:firstLine="0"/>
        <w:jc w:val="left"/>
        <w:rPr>
          <w:sz w:val="20"/>
          <w:szCs w:val="20"/>
        </w:rPr>
      </w:pPr>
      <w:r>
        <w:rPr>
          <w:b/>
          <w:bCs/>
          <w:i/>
          <w:iCs/>
          <w:sz w:val="20"/>
          <w:szCs w:val="20"/>
        </w:rPr>
        <w:t>Ivan Blatný:</w:t>
      </w:r>
    </w:p>
    <w:p w:rsidR="00500724" w:rsidRDefault="00F30FB8">
      <w:pPr>
        <w:pStyle w:val="Zkladntext1"/>
        <w:shd w:val="clear" w:color="auto" w:fill="auto"/>
        <w:spacing w:line="156" w:lineRule="auto"/>
        <w:ind w:firstLine="0"/>
        <w:jc w:val="left"/>
        <w:rPr>
          <w:sz w:val="18"/>
          <w:szCs w:val="18"/>
        </w:rPr>
      </w:pPr>
      <w:r>
        <w:rPr>
          <w:b/>
          <w:bCs/>
          <w:sz w:val="18"/>
          <w:szCs w:val="18"/>
        </w:rPr>
        <w:t>Stopa ranní krůpěje</w:t>
      </w:r>
    </w:p>
    <w:p w:rsidR="00500724" w:rsidRDefault="00F30FB8">
      <w:pPr>
        <w:pStyle w:val="Zkladntext1"/>
        <w:shd w:val="clear" w:color="auto" w:fill="auto"/>
        <w:spacing w:line="226" w:lineRule="auto"/>
        <w:ind w:firstLine="0"/>
        <w:jc w:val="left"/>
        <w:rPr>
          <w:sz w:val="20"/>
          <w:szCs w:val="20"/>
        </w:rPr>
      </w:pPr>
      <w:r>
        <w:rPr>
          <w:i/>
          <w:iCs/>
          <w:sz w:val="20"/>
          <w:szCs w:val="20"/>
        </w:rPr>
        <w:t>Sleduji z okna haluz forsytie, jak pro svůj tvar si čistý</w:t>
      </w:r>
    </w:p>
    <w:p w:rsidR="00500724" w:rsidRDefault="00F30FB8">
      <w:pPr>
        <w:pStyle w:val="Zkladntext1"/>
        <w:shd w:val="clear" w:color="auto" w:fill="auto"/>
        <w:spacing w:line="226" w:lineRule="auto"/>
        <w:ind w:firstLine="460"/>
        <w:jc w:val="left"/>
        <w:rPr>
          <w:sz w:val="20"/>
          <w:szCs w:val="20"/>
        </w:rPr>
      </w:pPr>
      <w:r>
        <w:rPr>
          <w:i/>
          <w:iCs/>
          <w:sz w:val="20"/>
          <w:szCs w:val="20"/>
        </w:rPr>
        <w:t>prostor pije</w:t>
      </w:r>
    </w:p>
    <w:p w:rsidR="00500724" w:rsidRDefault="00F30FB8">
      <w:pPr>
        <w:pStyle w:val="Zkladntext1"/>
        <w:shd w:val="clear" w:color="auto" w:fill="auto"/>
        <w:spacing w:line="226" w:lineRule="auto"/>
        <w:ind w:firstLine="0"/>
        <w:jc w:val="left"/>
        <w:rPr>
          <w:sz w:val="20"/>
          <w:szCs w:val="20"/>
        </w:rPr>
      </w:pPr>
      <w:r>
        <w:rPr>
          <w:i/>
          <w:iCs/>
          <w:sz w:val="20"/>
          <w:szCs w:val="20"/>
        </w:rPr>
        <w:t>a slyším vánek zadouti, zatím co střechy vlhce</w:t>
      </w:r>
    </w:p>
    <w:p w:rsidR="00500724" w:rsidRDefault="00F30FB8">
      <w:pPr>
        <w:pStyle w:val="Zkladntext1"/>
        <w:shd w:val="clear" w:color="auto" w:fill="auto"/>
        <w:spacing w:line="226" w:lineRule="auto"/>
        <w:ind w:firstLine="460"/>
        <w:jc w:val="left"/>
        <w:rPr>
          <w:sz w:val="20"/>
          <w:szCs w:val="20"/>
        </w:rPr>
      </w:pPr>
      <w:r>
        <w:rPr>
          <w:i/>
          <w:iCs/>
          <w:sz w:val="20"/>
          <w:szCs w:val="20"/>
        </w:rPr>
        <w:t>zlatých lesků</w:t>
      </w:r>
    </w:p>
    <w:p w:rsidR="00500724" w:rsidRDefault="00F30FB8">
      <w:pPr>
        <w:pStyle w:val="Zkladntext1"/>
        <w:shd w:val="clear" w:color="auto" w:fill="auto"/>
        <w:spacing w:line="226" w:lineRule="auto"/>
        <w:ind w:left="460" w:hanging="460"/>
        <w:jc w:val="left"/>
        <w:rPr>
          <w:sz w:val="20"/>
          <w:szCs w:val="20"/>
        </w:rPr>
      </w:pPr>
      <w:r>
        <w:rPr>
          <w:i/>
          <w:iCs/>
          <w:sz w:val="20"/>
          <w:szCs w:val="20"/>
        </w:rPr>
        <w:t>teď rozkolébal do slastného stesku</w:t>
      </w:r>
    </w:p>
    <w:p w:rsidR="00500724" w:rsidRDefault="00F30FB8">
      <w:pPr>
        <w:pStyle w:val="Zkladntext1"/>
        <w:shd w:val="clear" w:color="auto" w:fill="auto"/>
        <w:spacing w:after="120" w:line="226" w:lineRule="auto"/>
        <w:ind w:firstLine="0"/>
        <w:jc w:val="left"/>
        <w:rPr>
          <w:sz w:val="20"/>
          <w:szCs w:val="20"/>
        </w:rPr>
      </w:pPr>
      <w:r>
        <w:rPr>
          <w:i/>
          <w:iCs/>
          <w:sz w:val="20"/>
          <w:szCs w:val="20"/>
        </w:rPr>
        <w:t>růžový plamen kohoutí.</w:t>
      </w:r>
    </w:p>
    <w:p w:rsidR="00500724" w:rsidRDefault="00F30FB8">
      <w:pPr>
        <w:pStyle w:val="Zkladntext1"/>
        <w:shd w:val="clear" w:color="auto" w:fill="auto"/>
        <w:spacing w:line="226" w:lineRule="auto"/>
        <w:ind w:left="460" w:hanging="460"/>
        <w:jc w:val="left"/>
        <w:rPr>
          <w:sz w:val="20"/>
          <w:szCs w:val="20"/>
        </w:rPr>
      </w:pPr>
      <w:r>
        <w:rPr>
          <w:rFonts w:ascii="Arial" w:eastAsia="Arial" w:hAnsi="Arial" w:cs="Arial"/>
          <w:b/>
          <w:bCs/>
          <w:i/>
          <w:iCs/>
        </w:rPr>
        <w:t xml:space="preserve">A </w:t>
      </w:r>
      <w:r>
        <w:rPr>
          <w:i/>
          <w:iCs/>
          <w:sz w:val="20"/>
          <w:szCs w:val="20"/>
        </w:rPr>
        <w:t>to je ráno. Po průzračné</w:t>
      </w:r>
      <w:r>
        <w:rPr>
          <w:i/>
          <w:iCs/>
          <w:sz w:val="20"/>
          <w:szCs w:val="20"/>
        </w:rPr>
        <w:t xml:space="preserve"> vodě</w:t>
      </w:r>
    </w:p>
    <w:p w:rsidR="00500724" w:rsidRDefault="00F30FB8">
      <w:pPr>
        <w:pStyle w:val="Zkladntext1"/>
        <w:shd w:val="clear" w:color="auto" w:fill="auto"/>
        <w:spacing w:line="226" w:lineRule="auto"/>
        <w:ind w:left="460" w:hanging="460"/>
        <w:jc w:val="left"/>
        <w:rPr>
          <w:sz w:val="20"/>
          <w:szCs w:val="20"/>
        </w:rPr>
      </w:pPr>
      <w:r>
        <w:rPr>
          <w:i/>
          <w:iCs/>
          <w:sz w:val="20"/>
          <w:szCs w:val="20"/>
        </w:rPr>
        <w:t>vyplouvá duše kamsi ke svobodě</w:t>
      </w:r>
    </w:p>
    <w:p w:rsidR="00500724" w:rsidRDefault="00F30FB8">
      <w:pPr>
        <w:pStyle w:val="Zkladntext1"/>
        <w:shd w:val="clear" w:color="auto" w:fill="auto"/>
        <w:spacing w:line="226" w:lineRule="auto"/>
        <w:ind w:firstLine="0"/>
        <w:jc w:val="left"/>
        <w:rPr>
          <w:sz w:val="20"/>
          <w:szCs w:val="20"/>
        </w:rPr>
      </w:pPr>
      <w:r>
        <w:rPr>
          <w:b/>
          <w:bCs/>
          <w:i/>
          <w:iCs/>
          <w:sz w:val="20"/>
          <w:szCs w:val="20"/>
        </w:rPr>
        <w:t xml:space="preserve">a </w:t>
      </w:r>
      <w:r>
        <w:rPr>
          <w:i/>
          <w:iCs/>
          <w:sz w:val="20"/>
          <w:szCs w:val="20"/>
        </w:rPr>
        <w:t>snítka snítku zrcadlí.</w:t>
      </w:r>
    </w:p>
    <w:p w:rsidR="00500724" w:rsidRDefault="00F30FB8">
      <w:pPr>
        <w:pStyle w:val="Zkladntext1"/>
        <w:shd w:val="clear" w:color="auto" w:fill="auto"/>
        <w:spacing w:line="226" w:lineRule="auto"/>
        <w:ind w:firstLine="0"/>
        <w:jc w:val="left"/>
        <w:rPr>
          <w:sz w:val="20"/>
          <w:szCs w:val="20"/>
        </w:rPr>
      </w:pPr>
      <w:r>
        <w:rPr>
          <w:i/>
          <w:iCs/>
          <w:sz w:val="20"/>
          <w:szCs w:val="20"/>
        </w:rPr>
        <w:t>Kde je ta krásná?</w:t>
      </w:r>
    </w:p>
    <w:p w:rsidR="00500724" w:rsidRDefault="00F30FB8">
      <w:pPr>
        <w:pStyle w:val="Zkladntext1"/>
        <w:shd w:val="clear" w:color="auto" w:fill="auto"/>
        <w:spacing w:line="226" w:lineRule="auto"/>
        <w:ind w:firstLine="460"/>
        <w:jc w:val="left"/>
        <w:rPr>
          <w:sz w:val="20"/>
          <w:szCs w:val="20"/>
        </w:rPr>
      </w:pPr>
      <w:r>
        <w:rPr>
          <w:i/>
          <w:iCs/>
          <w:sz w:val="20"/>
          <w:szCs w:val="20"/>
        </w:rPr>
        <w:t xml:space="preserve">Rýha pádu růže </w:t>
      </w:r>
      <w:r>
        <w:rPr>
          <w:b/>
          <w:bCs/>
          <w:i/>
          <w:iCs/>
          <w:sz w:val="20"/>
          <w:szCs w:val="20"/>
        </w:rPr>
        <w:t xml:space="preserve">snad </w:t>
      </w:r>
      <w:r>
        <w:rPr>
          <w:i/>
          <w:iCs/>
          <w:sz w:val="20"/>
          <w:szCs w:val="20"/>
        </w:rPr>
        <w:t>se mi o ní něco říci</w:t>
      </w:r>
    </w:p>
    <w:p w:rsidR="00500724" w:rsidRDefault="00F30FB8">
      <w:pPr>
        <w:pStyle w:val="Zkladntext1"/>
        <w:shd w:val="clear" w:color="auto" w:fill="auto"/>
        <w:spacing w:line="226" w:lineRule="auto"/>
        <w:ind w:firstLine="460"/>
        <w:jc w:val="left"/>
        <w:rPr>
          <w:sz w:val="20"/>
          <w:szCs w:val="20"/>
        </w:rPr>
      </w:pPr>
      <w:r>
        <w:rPr>
          <w:i/>
          <w:iCs/>
          <w:sz w:val="20"/>
          <w:szCs w:val="20"/>
        </w:rPr>
        <w:t>může.</w:t>
      </w:r>
    </w:p>
    <w:p w:rsidR="00500724" w:rsidRDefault="00F30FB8">
      <w:pPr>
        <w:pStyle w:val="Zkladntext1"/>
        <w:shd w:val="clear" w:color="auto" w:fill="auto"/>
        <w:spacing w:after="200" w:line="226" w:lineRule="auto"/>
        <w:ind w:firstLine="0"/>
        <w:jc w:val="left"/>
        <w:rPr>
          <w:sz w:val="20"/>
          <w:szCs w:val="20"/>
        </w:rPr>
      </w:pPr>
      <w:r>
        <w:rPr>
          <w:i/>
          <w:iCs/>
          <w:sz w:val="20"/>
          <w:szCs w:val="20"/>
        </w:rPr>
        <w:t xml:space="preserve">Ve kterém jitřním domě dlí </w:t>
      </w:r>
      <w:r>
        <w:rPr>
          <w:b/>
          <w:bCs/>
          <w:i/>
          <w:iCs/>
          <w:sz w:val="20"/>
          <w:szCs w:val="20"/>
        </w:rPr>
        <w:t>f</w:t>
      </w:r>
    </w:p>
    <w:p w:rsidR="00500724" w:rsidRDefault="00F30FB8">
      <w:pPr>
        <w:pStyle w:val="Zkladntext1"/>
        <w:shd w:val="clear" w:color="auto" w:fill="auto"/>
        <w:spacing w:line="228" w:lineRule="auto"/>
        <w:ind w:firstLine="0"/>
        <w:jc w:val="left"/>
        <w:rPr>
          <w:sz w:val="20"/>
          <w:szCs w:val="20"/>
        </w:rPr>
      </w:pPr>
      <w:r>
        <w:rPr>
          <w:i/>
          <w:iCs/>
          <w:sz w:val="20"/>
          <w:szCs w:val="20"/>
        </w:rPr>
        <w:t>Vzlétá tam okno,</w:t>
      </w:r>
    </w:p>
    <w:p w:rsidR="00500724" w:rsidRDefault="00F30FB8">
      <w:pPr>
        <w:pStyle w:val="Zkladntext1"/>
        <w:shd w:val="clear" w:color="auto" w:fill="auto"/>
        <w:spacing w:line="228" w:lineRule="auto"/>
        <w:ind w:firstLine="460"/>
        <w:jc w:val="left"/>
        <w:rPr>
          <w:sz w:val="20"/>
          <w:szCs w:val="20"/>
        </w:rPr>
      </w:pPr>
      <w:r>
        <w:rPr>
          <w:i/>
          <w:iCs/>
          <w:sz w:val="20"/>
          <w:szCs w:val="20"/>
        </w:rPr>
        <w:t>pokoj hudby plný</w:t>
      </w:r>
    </w:p>
    <w:p w:rsidR="00500724" w:rsidRDefault="00F30FB8">
      <w:pPr>
        <w:pStyle w:val="Zkladntext1"/>
        <w:shd w:val="clear" w:color="auto" w:fill="auto"/>
        <w:spacing w:line="228" w:lineRule="auto"/>
        <w:ind w:left="460" w:hanging="460"/>
        <w:jc w:val="left"/>
        <w:rPr>
          <w:sz w:val="20"/>
          <w:szCs w:val="20"/>
        </w:rPr>
      </w:pPr>
      <w:r>
        <w:rPr>
          <w:i/>
          <w:iCs/>
          <w:sz w:val="20"/>
          <w:szCs w:val="20"/>
        </w:rPr>
        <w:t>přelévá přes ni hebké blaho vlny</w:t>
      </w:r>
    </w:p>
    <w:p w:rsidR="00500724" w:rsidRDefault="00F30FB8">
      <w:pPr>
        <w:pStyle w:val="Zkladntext1"/>
        <w:shd w:val="clear" w:color="auto" w:fill="auto"/>
        <w:spacing w:line="228" w:lineRule="auto"/>
        <w:ind w:firstLine="0"/>
        <w:jc w:val="left"/>
        <w:rPr>
          <w:sz w:val="20"/>
          <w:szCs w:val="20"/>
        </w:rPr>
      </w:pPr>
      <w:r>
        <w:rPr>
          <w:b/>
          <w:bCs/>
          <w:i/>
          <w:iCs/>
          <w:sz w:val="20"/>
          <w:szCs w:val="20"/>
        </w:rPr>
        <w:t xml:space="preserve">a </w:t>
      </w:r>
      <w:r>
        <w:rPr>
          <w:i/>
          <w:iCs/>
          <w:sz w:val="20"/>
          <w:szCs w:val="20"/>
        </w:rPr>
        <w:t>když ji vzbudí tato hra, ona se</w:t>
      </w:r>
      <w:r>
        <w:rPr>
          <w:i/>
          <w:iCs/>
          <w:sz w:val="20"/>
          <w:szCs w:val="20"/>
        </w:rPr>
        <w:t xml:space="preserve"> zvedá, tkví jak kalich,</w:t>
      </w:r>
    </w:p>
    <w:p w:rsidR="00500724" w:rsidRDefault="00F30FB8">
      <w:pPr>
        <w:pStyle w:val="Zkladntext1"/>
        <w:shd w:val="clear" w:color="auto" w:fill="auto"/>
        <w:spacing w:line="228" w:lineRule="auto"/>
        <w:ind w:firstLine="460"/>
        <w:jc w:val="left"/>
        <w:rPr>
          <w:sz w:val="20"/>
          <w:szCs w:val="20"/>
        </w:rPr>
      </w:pPr>
      <w:r>
        <w:rPr>
          <w:i/>
          <w:iCs/>
          <w:sz w:val="20"/>
          <w:szCs w:val="20"/>
        </w:rPr>
        <w:t>spíná</w:t>
      </w:r>
    </w:p>
    <w:p w:rsidR="00500724" w:rsidRDefault="00F30FB8">
      <w:pPr>
        <w:pStyle w:val="Zkladntext1"/>
        <w:shd w:val="clear" w:color="auto" w:fill="auto"/>
        <w:spacing w:line="228" w:lineRule="auto"/>
        <w:ind w:left="460" w:hanging="460"/>
        <w:jc w:val="left"/>
        <w:rPr>
          <w:sz w:val="20"/>
          <w:szCs w:val="20"/>
        </w:rPr>
      </w:pPr>
      <w:r>
        <w:rPr>
          <w:i/>
          <w:iCs/>
          <w:sz w:val="20"/>
          <w:szCs w:val="20"/>
        </w:rPr>
        <w:t>paprsky slunce s teplem svého klina</w:t>
      </w:r>
    </w:p>
    <w:p w:rsidR="00500724" w:rsidRDefault="00F30FB8">
      <w:pPr>
        <w:pStyle w:val="Zkladntext1"/>
        <w:shd w:val="clear" w:color="auto" w:fill="auto"/>
        <w:spacing w:after="120" w:line="228" w:lineRule="auto"/>
        <w:ind w:firstLine="0"/>
        <w:jc w:val="left"/>
        <w:rPr>
          <w:sz w:val="20"/>
          <w:szCs w:val="20"/>
        </w:rPr>
      </w:pPr>
      <w:r>
        <w:rPr>
          <w:b/>
          <w:bCs/>
          <w:i/>
          <w:iCs/>
          <w:sz w:val="20"/>
          <w:szCs w:val="20"/>
        </w:rPr>
        <w:t xml:space="preserve">a </w:t>
      </w:r>
      <w:r>
        <w:rPr>
          <w:i/>
          <w:iCs/>
          <w:sz w:val="20"/>
          <w:szCs w:val="20"/>
        </w:rPr>
        <w:t>tělem blankyt nabírá.</w:t>
      </w:r>
    </w:p>
    <w:p w:rsidR="00500724" w:rsidRDefault="00F30FB8">
      <w:pPr>
        <w:pStyle w:val="Zkladntext1"/>
        <w:shd w:val="clear" w:color="auto" w:fill="auto"/>
        <w:spacing w:line="230" w:lineRule="auto"/>
        <w:ind w:firstLine="0"/>
        <w:jc w:val="left"/>
        <w:rPr>
          <w:sz w:val="20"/>
          <w:szCs w:val="20"/>
        </w:rPr>
      </w:pPr>
      <w:r>
        <w:rPr>
          <w:i/>
          <w:iCs/>
          <w:sz w:val="20"/>
          <w:szCs w:val="20"/>
        </w:rPr>
        <w:t>Když pak jde městem,</w:t>
      </w:r>
    </w:p>
    <w:p w:rsidR="00500724" w:rsidRDefault="00F30FB8">
      <w:pPr>
        <w:pStyle w:val="Zkladntext1"/>
        <w:shd w:val="clear" w:color="auto" w:fill="auto"/>
        <w:spacing w:line="230" w:lineRule="auto"/>
        <w:ind w:firstLine="460"/>
        <w:jc w:val="left"/>
        <w:rPr>
          <w:sz w:val="20"/>
          <w:szCs w:val="20"/>
        </w:rPr>
      </w:pPr>
      <w:r>
        <w:rPr>
          <w:i/>
          <w:iCs/>
          <w:sz w:val="20"/>
          <w:szCs w:val="20"/>
        </w:rPr>
        <w:t>jih se k němu sklání,</w:t>
      </w:r>
    </w:p>
    <w:p w:rsidR="00500724" w:rsidRDefault="00F30FB8">
      <w:pPr>
        <w:pStyle w:val="Zkladntext1"/>
        <w:shd w:val="clear" w:color="auto" w:fill="auto"/>
        <w:spacing w:line="230" w:lineRule="auto"/>
        <w:ind w:left="40" w:firstLine="0"/>
        <w:jc w:val="center"/>
        <w:rPr>
          <w:sz w:val="20"/>
          <w:szCs w:val="20"/>
        </w:rPr>
      </w:pPr>
      <w:r>
        <w:rPr>
          <w:i/>
          <w:iCs/>
          <w:sz w:val="20"/>
          <w:szCs w:val="20"/>
        </w:rPr>
        <w:t>zatím co ona svitem</w:t>
      </w:r>
      <w:r>
        <w:rPr>
          <w:i/>
          <w:iCs/>
          <w:sz w:val="20"/>
          <w:szCs w:val="20"/>
        </w:rPr>
        <w:br/>
        <w:t>prodlévání</w:t>
      </w:r>
    </w:p>
    <w:p w:rsidR="00500724" w:rsidRDefault="00F30FB8">
      <w:pPr>
        <w:pStyle w:val="Zkladntext1"/>
        <w:shd w:val="clear" w:color="auto" w:fill="auto"/>
        <w:spacing w:line="230" w:lineRule="auto"/>
        <w:ind w:firstLine="0"/>
        <w:jc w:val="left"/>
        <w:rPr>
          <w:sz w:val="20"/>
          <w:szCs w:val="20"/>
        </w:rPr>
      </w:pPr>
      <w:r>
        <w:rPr>
          <w:i/>
          <w:iCs/>
          <w:sz w:val="20"/>
          <w:szCs w:val="20"/>
        </w:rPr>
        <w:t>obklopí mnohý strom a kout. Zahálka krásná, kterou</w:t>
      </w:r>
    </w:p>
    <w:p w:rsidR="00500724" w:rsidRDefault="00F30FB8">
      <w:pPr>
        <w:pStyle w:val="Zkladntext1"/>
        <w:shd w:val="clear" w:color="auto" w:fill="auto"/>
        <w:spacing w:line="230" w:lineRule="auto"/>
        <w:ind w:left="40" w:firstLine="0"/>
        <w:jc w:val="center"/>
        <w:rPr>
          <w:sz w:val="20"/>
          <w:szCs w:val="20"/>
        </w:rPr>
      </w:pPr>
      <w:r>
        <w:rPr>
          <w:i/>
          <w:iCs/>
          <w:sz w:val="20"/>
          <w:szCs w:val="20"/>
        </w:rPr>
        <w:t>svati v ráji</w:t>
      </w:r>
      <w:r>
        <w:rPr>
          <w:i/>
          <w:iCs/>
          <w:sz w:val="20"/>
          <w:szCs w:val="20"/>
        </w:rPr>
        <w:br/>
        <w:t>v zrcadlech září lehce</w:t>
      </w:r>
    </w:p>
    <w:p w:rsidR="00500724" w:rsidRDefault="00F30FB8">
      <w:pPr>
        <w:pStyle w:val="Zkladntext1"/>
        <w:shd w:val="clear" w:color="auto" w:fill="auto"/>
        <w:spacing w:line="230" w:lineRule="auto"/>
        <w:ind w:firstLine="460"/>
        <w:jc w:val="left"/>
        <w:rPr>
          <w:sz w:val="20"/>
          <w:szCs w:val="20"/>
        </w:rPr>
      </w:pPr>
      <w:r>
        <w:rPr>
          <w:i/>
          <w:iCs/>
          <w:sz w:val="20"/>
          <w:szCs w:val="20"/>
        </w:rPr>
        <w:t>čeřívají:</w:t>
      </w:r>
    </w:p>
    <w:p w:rsidR="00500724" w:rsidRDefault="00F30FB8">
      <w:pPr>
        <w:pStyle w:val="Zkladntext1"/>
        <w:shd w:val="clear" w:color="auto" w:fill="auto"/>
        <w:spacing w:after="120" w:line="230" w:lineRule="auto"/>
        <w:ind w:left="460" w:hanging="460"/>
        <w:jc w:val="left"/>
        <w:rPr>
          <w:sz w:val="20"/>
          <w:szCs w:val="20"/>
        </w:rPr>
      </w:pPr>
      <w:r>
        <w:rPr>
          <w:i/>
          <w:iCs/>
          <w:sz w:val="20"/>
          <w:szCs w:val="20"/>
        </w:rPr>
        <w:t>vdechovat obzor, dýchat, plout.</w:t>
      </w:r>
    </w:p>
    <w:p w:rsidR="00500724" w:rsidRDefault="00F30FB8">
      <w:pPr>
        <w:pStyle w:val="Zkladntext1"/>
        <w:shd w:val="clear" w:color="auto" w:fill="auto"/>
        <w:spacing w:line="230" w:lineRule="auto"/>
        <w:ind w:left="460" w:hanging="460"/>
        <w:jc w:val="left"/>
        <w:rPr>
          <w:sz w:val="20"/>
          <w:szCs w:val="20"/>
        </w:rPr>
      </w:pPr>
      <w:r>
        <w:rPr>
          <w:i/>
          <w:iCs/>
          <w:sz w:val="20"/>
          <w:szCs w:val="20"/>
        </w:rPr>
        <w:t>Zahálka plodná, po níž duše čistá</w:t>
      </w:r>
    </w:p>
    <w:p w:rsidR="00500724" w:rsidRDefault="00F30FB8">
      <w:pPr>
        <w:pStyle w:val="Zkladntext1"/>
        <w:shd w:val="clear" w:color="auto" w:fill="auto"/>
        <w:spacing w:line="230" w:lineRule="auto"/>
        <w:ind w:left="460" w:hanging="460"/>
        <w:jc w:val="left"/>
        <w:rPr>
          <w:sz w:val="20"/>
          <w:szCs w:val="20"/>
        </w:rPr>
      </w:pPr>
      <w:r>
        <w:rPr>
          <w:i/>
          <w:iCs/>
          <w:sz w:val="20"/>
          <w:szCs w:val="20"/>
        </w:rPr>
        <w:t>zvonivým dílem vzkvete dozajista,</w:t>
      </w:r>
    </w:p>
    <w:p w:rsidR="00500724" w:rsidRDefault="00F30FB8">
      <w:pPr>
        <w:pStyle w:val="Zkladntext1"/>
        <w:shd w:val="clear" w:color="auto" w:fill="auto"/>
        <w:spacing w:line="230" w:lineRule="auto"/>
        <w:ind w:firstLine="0"/>
        <w:jc w:val="left"/>
        <w:rPr>
          <w:sz w:val="20"/>
          <w:szCs w:val="20"/>
        </w:rPr>
      </w:pPr>
      <w:r>
        <w:rPr>
          <w:i/>
          <w:iCs/>
          <w:sz w:val="20"/>
          <w:szCs w:val="20"/>
        </w:rPr>
        <w:t>zvedajíc pevně tvrdý štít. Štít váš</w:t>
      </w:r>
      <w:r>
        <w:rPr>
          <w:b/>
          <w:bCs/>
        </w:rPr>
        <w:t xml:space="preserve"> i </w:t>
      </w:r>
      <w:r>
        <w:rPr>
          <w:i/>
          <w:iCs/>
          <w:sz w:val="20"/>
          <w:szCs w:val="20"/>
        </w:rPr>
        <w:t>můj, nás všech,</w:t>
      </w:r>
    </w:p>
    <w:p w:rsidR="00500724" w:rsidRDefault="00F30FB8">
      <w:pPr>
        <w:pStyle w:val="Zkladntext1"/>
        <w:shd w:val="clear" w:color="auto" w:fill="auto"/>
        <w:spacing w:line="230" w:lineRule="auto"/>
        <w:ind w:firstLine="460"/>
        <w:jc w:val="left"/>
        <w:rPr>
          <w:sz w:val="20"/>
          <w:szCs w:val="20"/>
        </w:rPr>
      </w:pPr>
      <w:r>
        <w:rPr>
          <w:i/>
          <w:iCs/>
          <w:sz w:val="20"/>
          <w:szCs w:val="20"/>
        </w:rPr>
        <w:t>v němž je dnes psáno, jitřenko drahá, chci, chceš,</w:t>
      </w:r>
    </w:p>
    <w:p w:rsidR="00500724" w:rsidRDefault="00F30FB8">
      <w:pPr>
        <w:pStyle w:val="Zkladntext1"/>
        <w:shd w:val="clear" w:color="auto" w:fill="auto"/>
        <w:spacing w:line="230" w:lineRule="auto"/>
        <w:ind w:firstLine="460"/>
        <w:jc w:val="left"/>
        <w:rPr>
          <w:sz w:val="20"/>
          <w:szCs w:val="20"/>
        </w:rPr>
      </w:pPr>
      <w:r>
        <w:rPr>
          <w:i/>
          <w:iCs/>
          <w:sz w:val="20"/>
          <w:szCs w:val="20"/>
        </w:rPr>
        <w:t>chceme ráno,</w:t>
      </w:r>
    </w:p>
    <w:p w:rsidR="00500724" w:rsidRDefault="00F30FB8">
      <w:pPr>
        <w:pStyle w:val="Zkladntext1"/>
        <w:shd w:val="clear" w:color="auto" w:fill="auto"/>
        <w:spacing w:after="120" w:line="230" w:lineRule="auto"/>
        <w:ind w:firstLine="0"/>
        <w:jc w:val="left"/>
        <w:rPr>
          <w:sz w:val="20"/>
          <w:szCs w:val="20"/>
        </w:rPr>
      </w:pPr>
      <w:r>
        <w:rPr>
          <w:i/>
          <w:iCs/>
          <w:sz w:val="20"/>
          <w:szCs w:val="20"/>
        </w:rPr>
        <w:t xml:space="preserve">zhluboka dýchat, dýchat, </w:t>
      </w:r>
      <w:r>
        <w:rPr>
          <w:i/>
          <w:iCs/>
          <w:sz w:val="20"/>
          <w:szCs w:val="20"/>
        </w:rPr>
        <w:t>žít.</w:t>
      </w:r>
    </w:p>
    <w:p w:rsidR="00500724" w:rsidRDefault="00F30FB8">
      <w:pPr>
        <w:pStyle w:val="Zkladntext1"/>
        <w:shd w:val="clear" w:color="auto" w:fill="auto"/>
        <w:spacing w:after="100" w:line="156" w:lineRule="auto"/>
        <w:ind w:firstLine="160"/>
        <w:jc w:val="left"/>
        <w:rPr>
          <w:sz w:val="18"/>
          <w:szCs w:val="18"/>
        </w:rPr>
      </w:pPr>
      <w:r>
        <w:rPr>
          <w:sz w:val="18"/>
          <w:szCs w:val="18"/>
        </w:rPr>
        <w:t>Z Kritického měsíčníku B-6.</w:t>
      </w:r>
    </w:p>
    <w:p w:rsidR="00500724" w:rsidRDefault="00F30FB8">
      <w:pPr>
        <w:pStyle w:val="Nadpis120"/>
        <w:shd w:val="clear" w:color="auto" w:fill="auto"/>
        <w:spacing w:after="60"/>
        <w:ind w:left="0"/>
      </w:pPr>
      <w:bookmarkStart w:id="712" w:name="bookmark711"/>
      <w:r>
        <w:rPr>
          <w:rFonts w:ascii="Arial" w:eastAsia="Arial" w:hAnsi="Arial" w:cs="Arial"/>
        </w:rPr>
        <w:t>POZNÁMKY</w:t>
      </w:r>
      <w:bookmarkEnd w:id="712"/>
    </w:p>
    <w:p w:rsidR="00500724" w:rsidRDefault="00F30FB8">
      <w:pPr>
        <w:pStyle w:val="Zkladntext40"/>
        <w:shd w:val="clear" w:color="auto" w:fill="auto"/>
        <w:spacing w:after="1240" w:line="187" w:lineRule="auto"/>
        <w:ind w:firstLine="180"/>
        <w:rPr>
          <w:sz w:val="16"/>
          <w:szCs w:val="16"/>
        </w:rPr>
      </w:pPr>
      <w:r>
        <w:rPr>
          <w:b/>
          <w:bCs/>
          <w:sz w:val="16"/>
          <w:szCs w:val="16"/>
        </w:rPr>
        <w:t>PRÁV® VYŠEL druhý svazek Studil Pražského lingulstického kroužku: Havlíčkovy práce o verši české lidové pís</w:t>
      </w:r>
      <w:r>
        <w:rPr>
          <w:b/>
          <w:bCs/>
          <w:sz w:val="16"/>
          <w:szCs w:val="16"/>
        </w:rPr>
        <w:softHyphen/>
        <w:t>ně s úvodem a rozborem, vydal Bohuslav Indra. Stran 228-1-4 pří</w:t>
      </w:r>
      <w:r>
        <w:rPr>
          <w:b/>
          <w:bCs/>
          <w:sz w:val="16"/>
          <w:szCs w:val="16"/>
        </w:rPr>
        <w:softHyphen/>
        <w:t xml:space="preserve">lohy. Krámská cena K 54.—, sub- skripční </w:t>
      </w:r>
      <w:r>
        <w:rPr>
          <w:b/>
          <w:bCs/>
          <w:sz w:val="16"/>
          <w:szCs w:val="16"/>
        </w:rPr>
        <w:t>cena při přihlášce do 15. července 1939 K 36.—. Práce ne</w:t>
      </w:r>
      <w:r>
        <w:rPr>
          <w:b/>
          <w:bCs/>
          <w:sz w:val="16"/>
          <w:szCs w:val="16"/>
        </w:rPr>
        <w:softHyphen/>
        <w:t>jen otiskuje neznámé práce Karla Havlíčka, nýbrž rozbírá jeho vlastní básně a přináší kritický přehled veškerého dosavadního</w:t>
      </w:r>
    </w:p>
    <w:p w:rsidR="00500724" w:rsidRDefault="00F30FB8">
      <w:pPr>
        <w:pStyle w:val="Zkladntext80"/>
        <w:shd w:val="clear" w:color="auto" w:fill="auto"/>
        <w:spacing w:after="60" w:line="240" w:lineRule="auto"/>
        <w:rPr>
          <w:sz w:val="20"/>
          <w:szCs w:val="20"/>
        </w:rPr>
      </w:pPr>
      <w:r>
        <w:rPr>
          <w:b w:val="0"/>
          <w:bCs w:val="0"/>
          <w:sz w:val="20"/>
          <w:szCs w:val="20"/>
        </w:rPr>
        <w:t>FEUILLETON</w:t>
      </w:r>
    </w:p>
    <w:p w:rsidR="00500724" w:rsidRDefault="00F30FB8">
      <w:pPr>
        <w:pStyle w:val="Zkladntext90"/>
        <w:shd w:val="clear" w:color="auto" w:fill="auto"/>
        <w:spacing w:after="60" w:line="240" w:lineRule="auto"/>
        <w:ind w:firstLine="0"/>
        <w:jc w:val="left"/>
      </w:pPr>
      <w:r>
        <w:t>Dr. Jaroslav Synek:</w:t>
      </w:r>
    </w:p>
    <w:p w:rsidR="00500724" w:rsidRDefault="00F30FB8">
      <w:pPr>
        <w:pStyle w:val="Zkladntext40"/>
        <w:shd w:val="clear" w:color="auto" w:fill="auto"/>
        <w:spacing w:line="240" w:lineRule="auto"/>
        <w:jc w:val="center"/>
        <w:rPr>
          <w:sz w:val="14"/>
          <w:szCs w:val="14"/>
        </w:rPr>
      </w:pPr>
      <w:r>
        <w:rPr>
          <w:b/>
          <w:bCs/>
          <w:sz w:val="14"/>
          <w:szCs w:val="14"/>
        </w:rPr>
        <w:t>O CÍSAŘSKÉM ŘEZU.</w:t>
      </w:r>
    </w:p>
    <w:p w:rsidR="00500724" w:rsidRDefault="00F30FB8">
      <w:pPr>
        <w:pStyle w:val="Zkladntext40"/>
        <w:shd w:val="clear" w:color="auto" w:fill="auto"/>
        <w:spacing w:line="166" w:lineRule="auto"/>
        <w:ind w:firstLine="180"/>
        <w:rPr>
          <w:sz w:val="16"/>
          <w:szCs w:val="16"/>
        </w:rPr>
      </w:pPr>
      <w:r>
        <w:rPr>
          <w:b/>
          <w:bCs/>
          <w:sz w:val="16"/>
          <w:szCs w:val="16"/>
        </w:rPr>
        <w:t>Laická představa císařské</w:t>
      </w:r>
      <w:r>
        <w:rPr>
          <w:b/>
          <w:bCs/>
          <w:sz w:val="16"/>
          <w:szCs w:val="16"/>
        </w:rPr>
        <w:t>ho ře</w:t>
      </w:r>
      <w:r>
        <w:rPr>
          <w:b/>
          <w:bCs/>
          <w:sz w:val="16"/>
          <w:szCs w:val="16"/>
        </w:rPr>
        <w:softHyphen/>
        <w:t>zu je obestřena něčím tajemným. A právem. Vždyť suchá definice — císařský řez je operace, jejímž účelem je vybavit co nejrychleji živé dítě z těla matčina — ani zdaleka nevystihuje pronikavost lidského důmyslu, který se odvá</w:t>
      </w:r>
      <w:r>
        <w:rPr>
          <w:b/>
          <w:bCs/>
          <w:sz w:val="16"/>
          <w:szCs w:val="16"/>
        </w:rPr>
        <w:softHyphen/>
        <w:t xml:space="preserve">žil napravit přírodu i v </w:t>
      </w:r>
      <w:r>
        <w:rPr>
          <w:b/>
          <w:bCs/>
          <w:sz w:val="16"/>
          <w:szCs w:val="16"/>
        </w:rPr>
        <w:t>jednom z největších jejích mystérií, zrození nové lidské bytosti. Císařský řez je vlastně porod uměle vytvoře</w:t>
      </w:r>
      <w:r>
        <w:rPr>
          <w:b/>
          <w:bCs/>
          <w:sz w:val="16"/>
          <w:szCs w:val="16"/>
        </w:rPr>
        <w:softHyphen/>
        <w:t>nou cestou, ovšem velmi urychle</w:t>
      </w:r>
      <w:r>
        <w:rPr>
          <w:b/>
          <w:bCs/>
          <w:sz w:val="16"/>
          <w:szCs w:val="16"/>
        </w:rPr>
        <w:softHyphen/>
        <w:t>ný.</w:t>
      </w:r>
    </w:p>
    <w:p w:rsidR="00500724" w:rsidRDefault="00F30FB8">
      <w:pPr>
        <w:pStyle w:val="Zkladntext40"/>
        <w:shd w:val="clear" w:color="auto" w:fill="auto"/>
        <w:spacing w:after="0" w:line="166" w:lineRule="auto"/>
        <w:ind w:firstLine="180"/>
        <w:rPr>
          <w:sz w:val="16"/>
          <w:szCs w:val="16"/>
        </w:rPr>
      </w:pPr>
      <w:r>
        <w:rPr>
          <w:b/>
          <w:bCs/>
          <w:sz w:val="16"/>
          <w:szCs w:val="16"/>
        </w:rPr>
        <w:t>Vznešný název — ač odpovídá vznešenému účelu: zachránit dva lidské životy — vznikl nespráv</w:t>
      </w:r>
      <w:r>
        <w:rPr>
          <w:b/>
          <w:bCs/>
          <w:sz w:val="16"/>
          <w:szCs w:val="16"/>
        </w:rPr>
        <w:softHyphen/>
        <w:t>ným překladem latin</w:t>
      </w:r>
      <w:r>
        <w:rPr>
          <w:b/>
          <w:bCs/>
          <w:sz w:val="16"/>
          <w:szCs w:val="16"/>
        </w:rPr>
        <w:t>ského »sectio caesareac (lat. sectio = řez). jež se začalo užívat v 17. století pa</w:t>
      </w:r>
      <w:r>
        <w:rPr>
          <w:b/>
          <w:bCs/>
          <w:sz w:val="16"/>
          <w:szCs w:val="16"/>
        </w:rPr>
        <w:softHyphen/>
        <w:t>trně pod vlivem Četby spisů řím</w:t>
      </w:r>
      <w:r>
        <w:rPr>
          <w:b/>
          <w:bCs/>
          <w:sz w:val="16"/>
          <w:szCs w:val="16"/>
        </w:rPr>
        <w:softHyphen/>
        <w:t>ského přírodopisce Plinia, který na jednom místě píše, že zaklada</w:t>
      </w:r>
      <w:r>
        <w:rPr>
          <w:b/>
          <w:bCs/>
          <w:sz w:val="16"/>
          <w:szCs w:val="16"/>
        </w:rPr>
        <w:softHyphen/>
        <w:t>tel slavného římského šlechtické</w:t>
      </w:r>
      <w:r>
        <w:rPr>
          <w:b/>
          <w:bCs/>
          <w:sz w:val="16"/>
          <w:szCs w:val="16"/>
        </w:rPr>
        <w:softHyphen/>
        <w:t>ho rodu Caesarů přišel na svět tímto způso</w:t>
      </w:r>
      <w:r>
        <w:rPr>
          <w:b/>
          <w:bCs/>
          <w:sz w:val="16"/>
          <w:szCs w:val="16"/>
        </w:rPr>
        <w:t>bem. Jméno rodu od</w:t>
      </w:r>
      <w:r>
        <w:rPr>
          <w:b/>
          <w:bCs/>
          <w:sz w:val="16"/>
          <w:szCs w:val="16"/>
        </w:rPr>
        <w:softHyphen/>
        <w:t>vozuje Plinius právě od způsobu zrození praotcova (lat. caedere = řezati. krájeti). Vztahuje se tedy přídavné jméno »caesarea« spíše na rodinu Caesarů než na panov</w:t>
      </w:r>
      <w:r>
        <w:rPr>
          <w:b/>
          <w:bCs/>
          <w:sz w:val="16"/>
          <w:szCs w:val="16"/>
        </w:rPr>
        <w:softHyphen/>
        <w:t>nickou hodnost císařskou, a tudíž jeho překlad do moderních jazyků je při</w:t>
      </w:r>
      <w:r>
        <w:rPr>
          <w:b/>
          <w:bCs/>
          <w:sz w:val="16"/>
          <w:szCs w:val="16"/>
        </w:rPr>
        <w:t>léhavý. To ovšem rozčiluje mnohé lékaře s linguistickými sklony, kteří pro císařský řez vy</w:t>
      </w:r>
      <w:r>
        <w:rPr>
          <w:b/>
          <w:bCs/>
          <w:sz w:val="16"/>
          <w:szCs w:val="16"/>
        </w:rPr>
        <w:softHyphen/>
        <w:t>nalezli několik podle jejich názo</w:t>
      </w:r>
      <w:r>
        <w:rPr>
          <w:b/>
          <w:bCs/>
          <w:sz w:val="16"/>
          <w:szCs w:val="16"/>
        </w:rPr>
        <w:softHyphen/>
        <w:t>ru vhodnějších názvů, ale žádný z nich se neujal.</w:t>
      </w:r>
    </w:p>
    <w:p w:rsidR="00500724" w:rsidRDefault="00F30FB8">
      <w:pPr>
        <w:pStyle w:val="Zkladntext40"/>
        <w:shd w:val="clear" w:color="auto" w:fill="auto"/>
        <w:spacing w:line="166" w:lineRule="auto"/>
        <w:ind w:firstLine="180"/>
        <w:rPr>
          <w:sz w:val="16"/>
          <w:szCs w:val="16"/>
        </w:rPr>
      </w:pPr>
      <w:r>
        <w:rPr>
          <w:b/>
          <w:bCs/>
          <w:sz w:val="16"/>
          <w:szCs w:val="16"/>
        </w:rPr>
        <w:t>Císařský řez je operace prasta</w:t>
      </w:r>
      <w:r>
        <w:rPr>
          <w:b/>
          <w:bCs/>
          <w:sz w:val="16"/>
          <w:szCs w:val="16"/>
        </w:rPr>
        <w:softHyphen/>
        <w:t>rá. Až do 16. století však byl pro</w:t>
      </w:r>
      <w:r>
        <w:rPr>
          <w:b/>
          <w:bCs/>
          <w:sz w:val="16"/>
          <w:szCs w:val="16"/>
        </w:rPr>
        <w:softHyphen/>
        <w:t>váděn toliko na</w:t>
      </w:r>
      <w:r>
        <w:rPr>
          <w:b/>
          <w:bCs/>
          <w:sz w:val="16"/>
          <w:szCs w:val="16"/>
        </w:rPr>
        <w:t xml:space="preserve"> mrtvých ženách;</w:t>
      </w:r>
    </w:p>
    <w:p w:rsidR="00500724" w:rsidRDefault="00F30FB8">
      <w:pPr>
        <w:spacing w:line="1" w:lineRule="exact"/>
        <w:rPr>
          <w:sz w:val="2"/>
          <w:szCs w:val="2"/>
        </w:rPr>
      </w:pPr>
      <w:r>
        <w:br w:type="column"/>
      </w:r>
    </w:p>
    <w:p w:rsidR="00500724" w:rsidRDefault="00F30FB8">
      <w:pPr>
        <w:pStyle w:val="Zkladntext40"/>
        <w:shd w:val="clear" w:color="auto" w:fill="auto"/>
        <w:spacing w:line="194" w:lineRule="auto"/>
        <w:rPr>
          <w:sz w:val="16"/>
          <w:szCs w:val="16"/>
        </w:rPr>
      </w:pPr>
      <w:r>
        <w:rPr>
          <w:b/>
          <w:bCs/>
          <w:sz w:val="16"/>
          <w:szCs w:val="16"/>
        </w:rPr>
        <w:t>badáni o formě české lidové pís</w:t>
      </w:r>
      <w:r>
        <w:rPr>
          <w:b/>
          <w:bCs/>
          <w:sz w:val="16"/>
          <w:szCs w:val="16"/>
        </w:rPr>
        <w:softHyphen/>
        <w:t xml:space="preserve">ně; je to první podrobná práce, věnovaná lidové písni, a zvláště v dnešní době získá jistě zájem </w:t>
      </w:r>
      <w:r>
        <w:rPr>
          <w:sz w:val="18"/>
          <w:szCs w:val="18"/>
        </w:rPr>
        <w:t xml:space="preserve">u </w:t>
      </w:r>
      <w:r>
        <w:rPr>
          <w:b/>
          <w:bCs/>
          <w:sz w:val="16"/>
          <w:szCs w:val="16"/>
        </w:rPr>
        <w:t>každého Čecha.</w:t>
      </w:r>
    </w:p>
    <w:p w:rsidR="00500724" w:rsidRDefault="00F30FB8">
      <w:pPr>
        <w:pStyle w:val="Zkladntext40"/>
        <w:shd w:val="clear" w:color="auto" w:fill="auto"/>
        <w:spacing w:after="1220" w:line="166" w:lineRule="auto"/>
        <w:ind w:firstLine="180"/>
        <w:rPr>
          <w:sz w:val="16"/>
          <w:szCs w:val="16"/>
        </w:rPr>
      </w:pPr>
      <w:r>
        <w:rPr>
          <w:b/>
          <w:bCs/>
          <w:sz w:val="16"/>
          <w:szCs w:val="16"/>
        </w:rPr>
        <w:t>ING. B. VODIČKA: ÚSPORNÉ HOSPODAŘENI. Knihovny Ústa</w:t>
      </w:r>
      <w:r>
        <w:rPr>
          <w:b/>
          <w:bCs/>
          <w:sz w:val="16"/>
          <w:szCs w:val="16"/>
        </w:rPr>
        <w:softHyphen/>
        <w:t xml:space="preserve">vu pro vnitřní obchod č. 10. V gen. </w:t>
      </w:r>
      <w:r>
        <w:rPr>
          <w:b/>
          <w:bCs/>
          <w:sz w:val="16"/>
          <w:szCs w:val="16"/>
        </w:rPr>
        <w:t>komisi A. Neuberta v Praze. Str. 88, cena 9 K. — Spisek ing. Bedřicha Vodičky o úsporném hospodaření předkládá Ústav pro vnitřní obchod nejen kruhům ob</w:t>
      </w:r>
      <w:r>
        <w:rPr>
          <w:b/>
          <w:bCs/>
          <w:sz w:val="16"/>
          <w:szCs w:val="16"/>
        </w:rPr>
        <w:softHyphen/>
        <w:t>chodním, nýbrž širším kruhům živnostenským vůbec pojednání o otázkách, souvisejících s ekonomi- sací veš</w:t>
      </w:r>
      <w:r>
        <w:rPr>
          <w:b/>
          <w:bCs/>
          <w:sz w:val="16"/>
          <w:szCs w:val="16"/>
        </w:rPr>
        <w:t>kerého našeho podnikání.</w:t>
      </w:r>
    </w:p>
    <w:p w:rsidR="00500724" w:rsidRDefault="00F30FB8">
      <w:pPr>
        <w:pStyle w:val="Zkladntext40"/>
        <w:shd w:val="clear" w:color="auto" w:fill="auto"/>
        <w:spacing w:after="0" w:line="168" w:lineRule="auto"/>
        <w:rPr>
          <w:sz w:val="16"/>
          <w:szCs w:val="16"/>
        </w:rPr>
      </w:pPr>
      <w:r>
        <w:rPr>
          <w:b/>
          <w:bCs/>
          <w:sz w:val="16"/>
          <w:szCs w:val="16"/>
        </w:rPr>
        <w:t xml:space="preserve">bylo totiž od nepaměti známo, že dosud nezrozené dítě žije jenom krátkou dobu po smrti matčině. První zprávy o něm nám přináší už řecké bájesloví v pověstech o zrození Dionysa a Asklepia. kteří byli vyříznuti z těl svých matek Semele a Foronis. zhynuvších </w:t>
      </w:r>
      <w:r>
        <w:rPr>
          <w:b/>
          <w:bCs/>
          <w:sz w:val="16"/>
          <w:szCs w:val="16"/>
        </w:rPr>
        <w:t xml:space="preserve">v plamenech. Ve starém Římě byl nakázán známým zákonem »lex </w:t>
      </w:r>
      <w:r>
        <w:rPr>
          <w:b/>
          <w:bCs/>
          <w:sz w:val="16"/>
          <w:szCs w:val="16"/>
          <w:lang w:val="en-US" w:eastAsia="en-US" w:bidi="en-US"/>
        </w:rPr>
        <w:t xml:space="preserve">regia </w:t>
      </w:r>
      <w:r>
        <w:rPr>
          <w:b/>
          <w:bCs/>
          <w:sz w:val="16"/>
          <w:szCs w:val="16"/>
        </w:rPr>
        <w:t>de inferendo mortuo« připi</w:t>
      </w:r>
      <w:r>
        <w:rPr>
          <w:b/>
          <w:bCs/>
          <w:sz w:val="16"/>
          <w:szCs w:val="16"/>
        </w:rPr>
        <w:softHyphen/>
        <w:t>sovaným Numovi Pompiliovi (715 —673 př. Kr.), kterým bylo pod trestem zapověděno pochovat ze</w:t>
      </w:r>
      <w:r>
        <w:rPr>
          <w:b/>
          <w:bCs/>
          <w:sz w:val="16"/>
          <w:szCs w:val="16"/>
        </w:rPr>
        <w:softHyphen/>
        <w:t>mřelou těhotnou ženu, aniž jí před tím byl vyříznut plod z těla. Též v</w:t>
      </w:r>
      <w:r>
        <w:rPr>
          <w:b/>
          <w:bCs/>
          <w:sz w:val="16"/>
          <w:szCs w:val="16"/>
        </w:rPr>
        <w:t>e staré Indii byl předpis vyňat z těla zesnulé těhotné plod, »po- kud se pohybuje«. Podobný před</w:t>
      </w:r>
      <w:r>
        <w:rPr>
          <w:b/>
          <w:bCs/>
          <w:sz w:val="16"/>
          <w:szCs w:val="16"/>
        </w:rPr>
        <w:softHyphen/>
        <w:t>pis. zvaný »Jotze Dofan« je též v talmudu. V křesťanské době byly tyto předpisy obnoveny, ovšem za jiným účelem. Kdežto staří záko</w:t>
      </w:r>
      <w:r>
        <w:rPr>
          <w:b/>
          <w:bCs/>
          <w:sz w:val="16"/>
          <w:szCs w:val="16"/>
        </w:rPr>
        <w:softHyphen/>
        <w:t>nodárci měli patrně v úmyslu</w:t>
      </w:r>
      <w:r>
        <w:rPr>
          <w:b/>
          <w:bCs/>
          <w:sz w:val="16"/>
          <w:szCs w:val="16"/>
        </w:rPr>
        <w:t xml:space="preserve"> za</w:t>
      </w:r>
      <w:r>
        <w:rPr>
          <w:b/>
          <w:bCs/>
          <w:sz w:val="16"/>
          <w:szCs w:val="16"/>
        </w:rPr>
        <w:softHyphen/>
        <w:t>chránit lidský život, chtěla křes</w:t>
      </w:r>
      <w:r>
        <w:rPr>
          <w:b/>
          <w:bCs/>
          <w:sz w:val="16"/>
          <w:szCs w:val="16"/>
        </w:rPr>
        <w:softHyphen/>
        <w:t>ťanská církev zachraňovat hlav- né duši a nařizovala, aby dítě hned po vynětí z těla matčina by</w:t>
      </w:r>
      <w:r>
        <w:rPr>
          <w:b/>
          <w:bCs/>
          <w:sz w:val="16"/>
          <w:szCs w:val="16"/>
        </w:rPr>
        <w:softHyphen/>
        <w:t>lo pokřtěno. Od nejstarších dob se nám zachovala jména několika li</w:t>
      </w:r>
      <w:r>
        <w:rPr>
          <w:b/>
          <w:bCs/>
          <w:sz w:val="16"/>
          <w:szCs w:val="16"/>
        </w:rPr>
        <w:softHyphen/>
        <w:t>dí, kteří takto přišli na svět po smrti svých matek. Ve</w:t>
      </w:r>
      <w:r>
        <w:rPr>
          <w:b/>
          <w:bCs/>
          <w:sz w:val="16"/>
          <w:szCs w:val="16"/>
        </w:rPr>
        <w:t>dle zmíně</w:t>
      </w:r>
      <w:r>
        <w:rPr>
          <w:b/>
          <w:bCs/>
          <w:sz w:val="16"/>
          <w:szCs w:val="16"/>
        </w:rPr>
        <w:softHyphen/>
        <w:t>ného Caesara uvádí Plinius ještě dva Římany. Z pozdější doby víme o dvou šlechticích z 10. století, z nichž jeden se dokonce stal bisku</w:t>
      </w:r>
      <w:r>
        <w:rPr>
          <w:b/>
          <w:bCs/>
          <w:sz w:val="16"/>
          <w:szCs w:val="16"/>
        </w:rPr>
        <w:softHyphen/>
        <w:t>pem. Tento prastarý předpis se udržel až po naši dobu. Skoro ve všech kulturních státech je povi</w:t>
      </w:r>
      <w:r>
        <w:rPr>
          <w:b/>
          <w:bCs/>
          <w:sz w:val="16"/>
          <w:szCs w:val="16"/>
        </w:rPr>
        <w:softHyphen/>
        <w:t>nen lékař, kt</w:t>
      </w:r>
      <w:r>
        <w:rPr>
          <w:b/>
          <w:bCs/>
          <w:sz w:val="16"/>
          <w:szCs w:val="16"/>
        </w:rPr>
        <w:t>erý je zavolán k umírající nebo krátce před jeho příchodem zesnulé ženě s pokroči</w:t>
      </w:r>
      <w:r>
        <w:rPr>
          <w:b/>
          <w:bCs/>
          <w:sz w:val="16"/>
          <w:szCs w:val="16"/>
        </w:rPr>
        <w:softHyphen/>
        <w:t>lým těhotenstvím, provésti na ní císařský řez, možno-li předpoklá</w:t>
      </w:r>
      <w:r>
        <w:rPr>
          <w:b/>
          <w:bCs/>
          <w:sz w:val="16"/>
          <w:szCs w:val="16"/>
        </w:rPr>
        <w:softHyphen/>
        <w:t>dat, že dítě je dostatečně vyvinu</w:t>
      </w:r>
      <w:r>
        <w:rPr>
          <w:b/>
          <w:bCs/>
          <w:sz w:val="16"/>
          <w:szCs w:val="16"/>
        </w:rPr>
        <w:softHyphen/>
        <w:t>té a dosud živé.</w:t>
      </w:r>
    </w:p>
    <w:p w:rsidR="00500724" w:rsidRDefault="00F30FB8">
      <w:pPr>
        <w:pStyle w:val="Zkladntext40"/>
        <w:shd w:val="clear" w:color="auto" w:fill="auto"/>
        <w:spacing w:after="0" w:line="168" w:lineRule="auto"/>
        <w:ind w:firstLine="180"/>
        <w:rPr>
          <w:sz w:val="16"/>
          <w:szCs w:val="16"/>
        </w:rPr>
      </w:pPr>
      <w:r>
        <w:rPr>
          <w:b/>
          <w:bCs/>
          <w:sz w:val="16"/>
          <w:szCs w:val="16"/>
        </w:rPr>
        <w:t>Historie císařského řezu tedy sahá až do nejstarších dob.</w:t>
      </w:r>
      <w:r>
        <w:rPr>
          <w:b/>
          <w:bCs/>
          <w:sz w:val="16"/>
          <w:szCs w:val="16"/>
        </w:rPr>
        <w:t xml:space="preserve"> Je</w:t>
      </w:r>
    </w:p>
    <w:p w:rsidR="00500724" w:rsidRDefault="00F30FB8">
      <w:pPr>
        <w:spacing w:line="1" w:lineRule="exact"/>
        <w:rPr>
          <w:sz w:val="2"/>
          <w:szCs w:val="2"/>
        </w:rPr>
      </w:pPr>
      <w:r>
        <w:br w:type="column"/>
      </w:r>
    </w:p>
    <w:p w:rsidR="00500724" w:rsidRDefault="00F30FB8">
      <w:pPr>
        <w:pStyle w:val="Zkladntext1"/>
        <w:shd w:val="clear" w:color="auto" w:fill="auto"/>
        <w:spacing w:after="100" w:line="202" w:lineRule="auto"/>
        <w:ind w:firstLine="0"/>
        <w:rPr>
          <w:sz w:val="20"/>
          <w:szCs w:val="20"/>
        </w:rPr>
      </w:pPr>
      <w:r>
        <w:rPr>
          <w:b/>
          <w:bCs/>
          <w:i/>
          <w:iCs/>
          <w:sz w:val="20"/>
          <w:szCs w:val="20"/>
        </w:rPr>
        <w:t>Fr. de Miomandre:</w:t>
      </w:r>
    </w:p>
    <w:p w:rsidR="00500724" w:rsidRDefault="00F30FB8">
      <w:pPr>
        <w:pStyle w:val="Zkladntext1"/>
        <w:shd w:val="clear" w:color="auto" w:fill="auto"/>
        <w:spacing w:line="202" w:lineRule="auto"/>
        <w:ind w:firstLine="0"/>
        <w:rPr>
          <w:sz w:val="20"/>
          <w:szCs w:val="20"/>
        </w:rPr>
      </w:pPr>
      <w:r>
        <w:rPr>
          <w:i/>
          <w:iCs/>
          <w:sz w:val="20"/>
          <w:szCs w:val="20"/>
        </w:rPr>
        <w:t>HODNOTA SLOV</w:t>
      </w:r>
    </w:p>
    <w:p w:rsidR="00500724" w:rsidRDefault="00F30FB8">
      <w:pPr>
        <w:pStyle w:val="Zkladntext1"/>
        <w:shd w:val="clear" w:color="auto" w:fill="auto"/>
        <w:spacing w:line="202" w:lineRule="auto"/>
        <w:ind w:left="200" w:firstLine="0"/>
        <w:jc w:val="left"/>
        <w:rPr>
          <w:sz w:val="20"/>
          <w:szCs w:val="20"/>
        </w:rPr>
      </w:pPr>
      <w:r>
        <w:rPr>
          <w:i/>
          <w:iCs/>
          <w:sz w:val="20"/>
          <w:szCs w:val="20"/>
        </w:rPr>
        <w:t>Jenom spisovatelé zůstár</w:t>
      </w:r>
    </w:p>
    <w:p w:rsidR="00500724" w:rsidRDefault="00F30FB8">
      <w:pPr>
        <w:pStyle w:val="Zkladntext1"/>
        <w:shd w:val="clear" w:color="auto" w:fill="auto"/>
        <w:spacing w:line="202" w:lineRule="auto"/>
        <w:ind w:firstLine="0"/>
        <w:rPr>
          <w:sz w:val="20"/>
          <w:szCs w:val="20"/>
        </w:rPr>
      </w:pPr>
      <w:r>
        <w:rPr>
          <w:i/>
          <w:iCs/>
          <w:sz w:val="20"/>
          <w:szCs w:val="20"/>
        </w:rPr>
        <w:t>vaji v kontaktu s původní metaforickou hodnotou slov a jsou ostatně hodni toho krásného jména »spisovate&gt;- lét jenom potud, pokud ten</w:t>
      </w:r>
      <w:r>
        <w:rPr>
          <w:i/>
          <w:iCs/>
          <w:sz w:val="20"/>
          <w:szCs w:val="20"/>
        </w:rPr>
        <w:softHyphen/>
        <w:t xml:space="preserve">to kontakt uchovávají. Kdož ví, zdali genialita netkví </w:t>
      </w:r>
      <w:r>
        <w:rPr>
          <w:b/>
          <w:bCs/>
          <w:i/>
          <w:iCs/>
          <w:sz w:val="20"/>
          <w:szCs w:val="20"/>
        </w:rPr>
        <w:t xml:space="preserve">prár </w:t>
      </w:r>
      <w:r>
        <w:rPr>
          <w:i/>
          <w:iCs/>
          <w:sz w:val="20"/>
          <w:szCs w:val="20"/>
        </w:rPr>
        <w:t>vě v té schopnosti nalézat ustavičně původní a positiv</w:t>
      </w:r>
      <w:r>
        <w:rPr>
          <w:i/>
          <w:iCs/>
          <w:sz w:val="20"/>
          <w:szCs w:val="20"/>
        </w:rPr>
        <w:softHyphen/>
        <w:t>ní význam slov, a používat jich jako současníci toho, kdo je vytvořil ve chvíli pro</w:t>
      </w:r>
      <w:r>
        <w:rPr>
          <w:i/>
          <w:iCs/>
          <w:sz w:val="20"/>
          <w:szCs w:val="20"/>
        </w:rPr>
        <w:softHyphen/>
        <w:t>rockého deliria. Bohužel, jak málo lidí, i mezi spisovateli, to tuší! Někteří z nich se stávají dokonce i slavnými, a</w:t>
      </w:r>
      <w:r>
        <w:rPr>
          <w:i/>
          <w:iCs/>
          <w:sz w:val="20"/>
          <w:szCs w:val="20"/>
        </w:rPr>
        <w:t>niž se nad tím kdy zamys</w:t>
      </w:r>
      <w:r>
        <w:rPr>
          <w:i/>
          <w:iCs/>
          <w:sz w:val="20"/>
          <w:szCs w:val="20"/>
        </w:rPr>
        <w:softHyphen/>
        <w:t>lili. Pomáhá jim v tom ostat</w:t>
      </w:r>
      <w:r>
        <w:rPr>
          <w:i/>
          <w:iCs/>
          <w:sz w:val="20"/>
          <w:szCs w:val="20"/>
        </w:rPr>
        <w:softHyphen/>
        <w:t>ně veřejný předsudek, který se na takovou péči o význam slova dívá jako na nedůstoj</w:t>
      </w:r>
      <w:r>
        <w:rPr>
          <w:i/>
          <w:iCs/>
          <w:sz w:val="20"/>
          <w:szCs w:val="20"/>
        </w:rPr>
        <w:softHyphen/>
        <w:t>nou vážného člověka. Vážný člověk užívá slovnavyjadřo- vání myšlenek, podobně jak číslice vyjadřují cifry, a jak</w:t>
      </w:r>
      <w:r>
        <w:rPr>
          <w:i/>
          <w:iCs/>
          <w:sz w:val="20"/>
          <w:szCs w:val="20"/>
        </w:rPr>
        <w:softHyphen/>
        <w:t xml:space="preserve">mile </w:t>
      </w:r>
      <w:r>
        <w:rPr>
          <w:i/>
          <w:iCs/>
          <w:sz w:val="20"/>
          <w:szCs w:val="20"/>
        </w:rPr>
        <w:t>jich bylo použito, mo</w:t>
      </w:r>
      <w:r>
        <w:rPr>
          <w:i/>
          <w:iCs/>
          <w:sz w:val="20"/>
          <w:szCs w:val="20"/>
        </w:rPr>
        <w:softHyphen/>
        <w:t>hou být zahozena.</w:t>
      </w:r>
    </w:p>
    <w:p w:rsidR="00500724" w:rsidRDefault="00F30FB8">
      <w:pPr>
        <w:pStyle w:val="Zkladntext1"/>
        <w:pBdr>
          <w:bottom w:val="single" w:sz="4" w:space="0" w:color="auto"/>
        </w:pBdr>
        <w:shd w:val="clear" w:color="auto" w:fill="auto"/>
        <w:spacing w:after="100" w:line="202" w:lineRule="auto"/>
        <w:ind w:left="200" w:firstLine="0"/>
        <w:jc w:val="left"/>
        <w:rPr>
          <w:sz w:val="20"/>
          <w:szCs w:val="20"/>
        </w:rPr>
      </w:pPr>
      <w:r>
        <w:rPr>
          <w:i/>
          <w:iCs/>
          <w:sz w:val="20"/>
          <w:szCs w:val="20"/>
        </w:rPr>
        <w:t>Jak je to smutné!</w:t>
      </w:r>
    </w:p>
    <w:p w:rsidR="00500724" w:rsidRDefault="00F30FB8">
      <w:pPr>
        <w:pStyle w:val="Zkladntext40"/>
        <w:shd w:val="clear" w:color="auto" w:fill="auto"/>
        <w:spacing w:line="170" w:lineRule="auto"/>
        <w:rPr>
          <w:sz w:val="16"/>
          <w:szCs w:val="16"/>
        </w:rPr>
      </w:pPr>
      <w:r>
        <w:rPr>
          <w:b/>
          <w:bCs/>
          <w:sz w:val="16"/>
          <w:szCs w:val="16"/>
        </w:rPr>
        <w:t>nám proto s podivem, že až do 16. století nikoho nenapadlo provést jej i na živé osobě. Byl to teprve Němeo Trautmann, o němž prvním víme zcela bezpečně, že provedl císařský řez ženě 1610 ve YVitten</w:t>
      </w:r>
      <w:r>
        <w:rPr>
          <w:b/>
          <w:bCs/>
          <w:sz w:val="16"/>
          <w:szCs w:val="16"/>
        </w:rPr>
        <w:t>burgu. Není ovšem vylou</w:t>
      </w:r>
      <w:r>
        <w:rPr>
          <w:b/>
          <w:bCs/>
          <w:sz w:val="16"/>
          <w:szCs w:val="16"/>
        </w:rPr>
        <w:softHyphen/>
        <w:t>čeno, že měl předchůdce, ale zpráv o nich se nám nedochovalo. Od té doby byl pak císařský řez prová</w:t>
      </w:r>
      <w:r>
        <w:rPr>
          <w:b/>
          <w:bCs/>
          <w:sz w:val="16"/>
          <w:szCs w:val="16"/>
        </w:rPr>
        <w:softHyphen/>
        <w:t>děn i na živých ženách, ne však příliš často, protože úmrtnost po něm byla obrovská. Slavný fran</w:t>
      </w:r>
      <w:r>
        <w:rPr>
          <w:b/>
          <w:bCs/>
          <w:sz w:val="16"/>
          <w:szCs w:val="16"/>
        </w:rPr>
        <w:softHyphen/>
        <w:t xml:space="preserve">couzský porodník </w:t>
      </w:r>
      <w:r>
        <w:rPr>
          <w:b/>
          <w:bCs/>
          <w:sz w:val="16"/>
          <w:szCs w:val="16"/>
          <w:lang w:val="en-US" w:eastAsia="en-US" w:bidi="en-US"/>
        </w:rPr>
        <w:t xml:space="preserve">Mauriceau </w:t>
      </w:r>
      <w:r>
        <w:rPr>
          <w:b/>
          <w:bCs/>
          <w:sz w:val="16"/>
          <w:szCs w:val="16"/>
        </w:rPr>
        <w:t>do</w:t>
      </w:r>
      <w:r>
        <w:rPr>
          <w:b/>
          <w:bCs/>
          <w:sz w:val="16"/>
          <w:szCs w:val="16"/>
        </w:rPr>
        <w:softHyphen/>
        <w:t>poruč</w:t>
      </w:r>
      <w:r>
        <w:rPr>
          <w:b/>
          <w:bCs/>
          <w:sz w:val="16"/>
          <w:szCs w:val="16"/>
        </w:rPr>
        <w:t>uje ještě 1712, aby tato ope</w:t>
      </w:r>
      <w:r>
        <w:rPr>
          <w:b/>
          <w:bCs/>
          <w:sz w:val="16"/>
          <w:szCs w:val="16"/>
        </w:rPr>
        <w:softHyphen/>
        <w:t>race nebyla prováděna na živých osobách, protože má skoro vždy</w:t>
      </w:r>
      <w:r>
        <w:rPr>
          <w:b/>
          <w:bCs/>
          <w:sz w:val="16"/>
          <w:szCs w:val="16"/>
        </w:rPr>
        <w:softHyphen/>
        <w:t>cky v zápětí smrt. Co zaviňovalo tak vysokou úmrtnost po této operaci? Příčiny byly dvě, kráče</w:t>
      </w:r>
      <w:r>
        <w:rPr>
          <w:b/>
          <w:bCs/>
          <w:sz w:val="16"/>
          <w:szCs w:val="16"/>
        </w:rPr>
        <w:softHyphen/>
        <w:t>jící spolu ruku v ruce: nedostaču</w:t>
      </w:r>
      <w:r>
        <w:rPr>
          <w:b/>
          <w:bCs/>
          <w:sz w:val="16"/>
          <w:szCs w:val="16"/>
        </w:rPr>
        <w:softHyphen/>
        <w:t>jící technika a neznalost asepse. V</w:t>
      </w:r>
      <w:r>
        <w:rPr>
          <w:b/>
          <w:bCs/>
          <w:sz w:val="16"/>
          <w:szCs w:val="16"/>
        </w:rPr>
        <w:t xml:space="preserve"> těch dobách bylo operováno vů</w:t>
      </w:r>
      <w:r>
        <w:rPr>
          <w:b/>
          <w:bCs/>
          <w:sz w:val="16"/>
          <w:szCs w:val="16"/>
        </w:rPr>
        <w:softHyphen/>
        <w:t>bec velmi primitivně, takže dnes při četbě popisů tehdejších opera</w:t>
      </w:r>
      <w:r>
        <w:rPr>
          <w:b/>
          <w:bCs/>
          <w:sz w:val="16"/>
          <w:szCs w:val="16"/>
        </w:rPr>
        <w:softHyphen/>
        <w:t>ci naskakuje husí kůže; pro ne</w:t>
      </w:r>
      <w:r>
        <w:rPr>
          <w:b/>
          <w:bCs/>
          <w:sz w:val="16"/>
          <w:szCs w:val="16"/>
        </w:rPr>
        <w:softHyphen/>
        <w:t>znalost narkosy operovalo se při plném vědomí pacientově, cévy se nepodvazovaly a krvácení se za</w:t>
      </w:r>
      <w:r>
        <w:rPr>
          <w:b/>
          <w:bCs/>
          <w:sz w:val="16"/>
          <w:szCs w:val="16"/>
        </w:rPr>
        <w:softHyphen/>
        <w:t>stavovalo mnohdy kuriosně, ope</w:t>
      </w:r>
      <w:r>
        <w:rPr>
          <w:b/>
          <w:bCs/>
          <w:sz w:val="16"/>
          <w:szCs w:val="16"/>
        </w:rPr>
        <w:softHyphen/>
        <w:t>rační rány se nešily a pod. Te</w:t>
      </w:r>
      <w:r>
        <w:rPr>
          <w:b/>
          <w:bCs/>
          <w:sz w:val="16"/>
          <w:szCs w:val="16"/>
        </w:rPr>
        <w:softHyphen/>
        <w:t>prve vynálezem chirurgické asep</w:t>
      </w:r>
      <w:r>
        <w:rPr>
          <w:b/>
          <w:bCs/>
          <w:sz w:val="16"/>
          <w:szCs w:val="16"/>
        </w:rPr>
        <w:softHyphen/>
        <w:t xml:space="preserve">se (Angličan </w:t>
      </w:r>
      <w:r>
        <w:rPr>
          <w:b/>
          <w:bCs/>
          <w:sz w:val="16"/>
          <w:szCs w:val="16"/>
          <w:lang w:val="en-US" w:eastAsia="en-US" w:bidi="en-US"/>
        </w:rPr>
        <w:t xml:space="preserve">Lister, </w:t>
      </w:r>
      <w:r>
        <w:rPr>
          <w:b/>
          <w:bCs/>
          <w:sz w:val="16"/>
          <w:szCs w:val="16"/>
        </w:rPr>
        <w:t>1865), to je způsobu, jak zabrániti vniknutí choroboplodných zárodků do rány a tím zaručit nekomplikované ho</w:t>
      </w:r>
      <w:r>
        <w:rPr>
          <w:b/>
          <w:bCs/>
          <w:sz w:val="16"/>
          <w:szCs w:val="16"/>
        </w:rPr>
        <w:softHyphen/>
        <w:t xml:space="preserve">jení po operací, nastal obrovský rozmach operativní medicíny, </w:t>
      </w:r>
      <w:r>
        <w:rPr>
          <w:b/>
          <w:bCs/>
          <w:sz w:val="16"/>
          <w:szCs w:val="16"/>
        </w:rPr>
        <w:t>kte</w:t>
      </w:r>
      <w:r>
        <w:rPr>
          <w:b/>
          <w:bCs/>
          <w:sz w:val="16"/>
          <w:szCs w:val="16"/>
        </w:rPr>
        <w:softHyphen/>
        <w:t>rá přestala být dobrodružným ha</w:t>
      </w:r>
      <w:r>
        <w:rPr>
          <w:b/>
          <w:bCs/>
          <w:sz w:val="16"/>
          <w:szCs w:val="16"/>
        </w:rPr>
        <w:softHyphen/>
        <w:t>zardováním a nabyla pečeti exaktní vědy. Staré operační me</w:t>
      </w:r>
      <w:r>
        <w:rPr>
          <w:b/>
          <w:bCs/>
          <w:sz w:val="16"/>
          <w:szCs w:val="16"/>
        </w:rPr>
        <w:softHyphen/>
        <w:t>tody se zlepšovaly a nové vynalé</w:t>
      </w:r>
      <w:r>
        <w:rPr>
          <w:b/>
          <w:bCs/>
          <w:sz w:val="16"/>
          <w:szCs w:val="16"/>
        </w:rPr>
        <w:softHyphen/>
        <w:t>zaly. Též císařský řez dosáhl ko</w:t>
      </w:r>
      <w:r>
        <w:rPr>
          <w:b/>
          <w:bCs/>
          <w:sz w:val="16"/>
          <w:szCs w:val="16"/>
        </w:rPr>
        <w:softHyphen/>
        <w:t>nečně svého plného oprávnění, byl postupně stále a stále zdokonalo</w:t>
      </w:r>
      <w:r>
        <w:rPr>
          <w:b/>
          <w:bCs/>
          <w:sz w:val="16"/>
          <w:szCs w:val="16"/>
        </w:rPr>
        <w:softHyphen/>
        <w:t>ván, takže dnes můžeme směle</w:t>
      </w:r>
      <w:r>
        <w:rPr>
          <w:b/>
          <w:bCs/>
          <w:sz w:val="16"/>
          <w:szCs w:val="16"/>
        </w:rPr>
        <w:t xml:space="preserve"> tvrdit, že při něm risiko pro mat-</w:t>
      </w:r>
      <w:r>
        <w:br w:type="page"/>
      </w:r>
    </w:p>
    <w:p w:rsidR="00500724" w:rsidRDefault="00F30FB8">
      <w:pPr>
        <w:pStyle w:val="Zkladntext40"/>
        <w:shd w:val="clear" w:color="auto" w:fill="auto"/>
        <w:spacing w:after="0" w:line="187" w:lineRule="auto"/>
        <w:rPr>
          <w:sz w:val="16"/>
          <w:szCs w:val="16"/>
        </w:rPr>
      </w:pPr>
      <w:r>
        <w:rPr>
          <w:b/>
          <w:bCs/>
          <w:sz w:val="14"/>
          <w:szCs w:val="14"/>
        </w:rPr>
        <w:t xml:space="preserve">POESIE ČESKÉHO OSUDU. VÍRY </w:t>
      </w:r>
      <w:r>
        <w:rPr>
          <w:b/>
          <w:bCs/>
          <w:i/>
          <w:iCs/>
          <w:sz w:val="16"/>
          <w:szCs w:val="16"/>
        </w:rPr>
        <w:t>A</w:t>
      </w:r>
      <w:r>
        <w:rPr>
          <w:b/>
          <w:bCs/>
          <w:sz w:val="16"/>
          <w:szCs w:val="16"/>
        </w:rPr>
        <w:t xml:space="preserve"> DOMOVA</w:t>
      </w:r>
    </w:p>
    <w:p w:rsidR="00500724" w:rsidRDefault="00F30FB8">
      <w:pPr>
        <w:pStyle w:val="Zkladntext40"/>
        <w:shd w:val="clear" w:color="auto" w:fill="auto"/>
        <w:spacing w:after="300"/>
        <w:ind w:firstLine="200"/>
      </w:pPr>
      <w:r>
        <w:t xml:space="preserve">Loňské události, </w:t>
      </w:r>
      <w:r>
        <w:rPr>
          <w:i/>
          <w:iCs/>
        </w:rPr>
        <w:t>let</w:t>
      </w:r>
      <w:r>
        <w:t xml:space="preserve"> náš osamo</w:t>
      </w:r>
      <w:r>
        <w:softHyphen/>
        <w:t>cený národ vystavily prudké vi</w:t>
      </w:r>
      <w:r>
        <w:softHyphen/>
        <w:t>chřici osudu, a jež hrozily vyvrá</w:t>
      </w:r>
      <w:r>
        <w:softHyphen/>
        <w:t xml:space="preserve">tit nás z kořenů, jimiž hluboce tkvíme v rodné zemi, způsobily, že jsme náhle a </w:t>
      </w:r>
      <w:r>
        <w:t>nečekaně přímo začali plně chápat slova, nad jiné drahá a velká, jako domov, rodná zem a vlast. Stala se nám ztěles</w:t>
      </w:r>
      <w:r>
        <w:softHyphen/>
        <w:t>něním a velkým symbolem Jisto</w:t>
      </w:r>
      <w:r>
        <w:softHyphen/>
        <w:t>ty. která plyne z toho nevyslovi</w:t>
      </w:r>
      <w:r>
        <w:softHyphen/>
        <w:t>telného, hlubokého vědomí, že jsme mediem jazyka, kterým nás matky učily pozn</w:t>
      </w:r>
      <w:r>
        <w:t>ávat věci a svět, spoutáni jednou pro vždy se zemí a s koutem ráje, do něhož se ne</w:t>
      </w:r>
      <w:r>
        <w:softHyphen/>
        <w:t>smazatelně vtiskly naše první šlépěje, když jsme prchali plaše a bázlivě lesní stezkou nebo po mezích mezi zrajícím obilím, na</w:t>
      </w:r>
      <w:r>
        <w:softHyphen/>
        <w:t>slouchajíce s úžasem vzlykání les</w:t>
      </w:r>
      <w:r>
        <w:softHyphen/>
        <w:t>ních pramenů</w:t>
      </w:r>
      <w:r>
        <w:t>, bublání divokých holubů a cukrování hrdliček. Z lásky, z úzkosti a víry se rodí vždycky čistá poesie, jejíž veli</w:t>
      </w:r>
      <w:r>
        <w:softHyphen/>
        <w:t xml:space="preserve">kost je mírou velikosti té lásky, s niž Jsme oddáni domovu, kraji a zemi. Vzpomeňme jen </w:t>
      </w:r>
      <w:r>
        <w:rPr>
          <w:rFonts w:ascii="Georgia" w:eastAsia="Georgia" w:hAnsi="Georgia" w:cs="Georgia"/>
          <w:b/>
          <w:bCs/>
          <w:sz w:val="13"/>
          <w:szCs w:val="13"/>
        </w:rPr>
        <w:t xml:space="preserve">na </w:t>
      </w:r>
      <w:r>
        <w:t>Nerudo</w:t>
      </w:r>
      <w:r>
        <w:softHyphen/>
        <w:t>vy Zpěvy páteční, na poesii Vikto</w:t>
      </w:r>
      <w:r>
        <w:softHyphen/>
        <w:t>ra Dýka z</w:t>
      </w:r>
      <w:r>
        <w:t xml:space="preserve"> let válečných, na Leh</w:t>
      </w:r>
      <w:r>
        <w:softHyphen/>
        <w:t>ké a těžké kroky — Anebo a Okno — Poslední rok. To Je vskutku poesie českého osudu, české viry i odhodlání. Jak ne- vzpomenouti na ten slavný Dy- kův monolog, v kterém k svým synům varovně i vroucně mluví rodná zem! Ten kategorický i</w:t>
      </w:r>
      <w:r>
        <w:t>mpe</w:t>
      </w:r>
      <w:r>
        <w:softHyphen/>
        <w:t>rativ: Opustíš-li mne nezahynu, opustíš-li mne zahyneš! zni plat</w:t>
      </w:r>
      <w:r>
        <w:softHyphen/>
        <w:t>ně pro věčné časy a nikdy námi nebyl chápán tak plně a niterně, Jako v dnech prudkých vichřic loňského podzimu. Pochopili jej především básnici a tak dnes řa</w:t>
      </w:r>
      <w:r>
        <w:softHyphen/>
        <w:t xml:space="preserve">da sbírek Je nám svědectvím, </w:t>
      </w:r>
      <w:r>
        <w:t>jak právě oni nejpozorněji nasloucha</w:t>
      </w:r>
      <w:r>
        <w:softHyphen/>
        <w:t>li mluvě domova, jak právě oni v osudových okamžicích mužně mluvili s těžce zkoušenou vlastí a</w:t>
      </w:r>
    </w:p>
    <w:p w:rsidR="00500724" w:rsidRDefault="00F30FB8">
      <w:pPr>
        <w:pStyle w:val="Zkladntext40"/>
        <w:shd w:val="clear" w:color="auto" w:fill="auto"/>
        <w:spacing w:after="0" w:line="163" w:lineRule="auto"/>
        <w:rPr>
          <w:sz w:val="16"/>
          <w:szCs w:val="16"/>
        </w:rPr>
      </w:pPr>
      <w:r>
        <w:rPr>
          <w:b/>
          <w:bCs/>
          <w:sz w:val="16"/>
          <w:szCs w:val="16"/>
        </w:rPr>
        <w:t>ku 1 dítě, je-U správně volen a proveden, je nepatrné.</w:t>
      </w:r>
    </w:p>
    <w:p w:rsidR="00500724" w:rsidRDefault="00F30FB8">
      <w:pPr>
        <w:pStyle w:val="Zkladntext40"/>
        <w:shd w:val="clear" w:color="auto" w:fill="auto"/>
        <w:spacing w:after="0" w:line="166" w:lineRule="auto"/>
        <w:ind w:firstLine="200"/>
        <w:rPr>
          <w:sz w:val="16"/>
          <w:szCs w:val="16"/>
        </w:rPr>
      </w:pPr>
      <w:r>
        <w:rPr>
          <w:b/>
          <w:bCs/>
          <w:sz w:val="16"/>
          <w:szCs w:val="16"/>
        </w:rPr>
        <w:t>Během posledních desetiletí by</w:t>
      </w:r>
      <w:r>
        <w:rPr>
          <w:b/>
          <w:bCs/>
          <w:sz w:val="16"/>
          <w:szCs w:val="16"/>
        </w:rPr>
        <w:softHyphen/>
        <w:t>ly proň zjištěny přesné indikace, to j</w:t>
      </w:r>
      <w:r>
        <w:rPr>
          <w:b/>
          <w:bCs/>
          <w:sz w:val="16"/>
          <w:szCs w:val="16"/>
        </w:rPr>
        <w:t>est chorobné stavy, při nichž je nutno nebo vhodno operaci pro</w:t>
      </w:r>
      <w:r>
        <w:rPr>
          <w:b/>
          <w:bCs/>
          <w:sz w:val="16"/>
          <w:szCs w:val="16"/>
        </w:rPr>
        <w:softHyphen/>
        <w:t>vést. Císařský řez se dělá v zá</w:t>
      </w:r>
      <w:r>
        <w:rPr>
          <w:b/>
          <w:bCs/>
          <w:sz w:val="16"/>
          <w:szCs w:val="16"/>
        </w:rPr>
        <w:softHyphen/>
        <w:t>jmu matčině nebo dítěte, nejěas- tějl v zájmu obou. Stavy, při nichž není vůbec možno, aby po</w:t>
      </w:r>
      <w:r>
        <w:rPr>
          <w:b/>
          <w:bCs/>
          <w:sz w:val="16"/>
          <w:szCs w:val="16"/>
        </w:rPr>
        <w:softHyphen/>
        <w:t>rod nastal přirozenou cestou, vy</w:t>
      </w:r>
      <w:r>
        <w:rPr>
          <w:b/>
          <w:bCs/>
          <w:sz w:val="16"/>
          <w:szCs w:val="16"/>
        </w:rPr>
        <w:softHyphen/>
        <w:t>žadují pochopitelně bezpodmíneč</w:t>
      </w:r>
      <w:r>
        <w:rPr>
          <w:b/>
          <w:bCs/>
          <w:sz w:val="16"/>
          <w:szCs w:val="16"/>
        </w:rPr>
        <w:softHyphen/>
        <w:t>né</w:t>
      </w:r>
      <w:r>
        <w:rPr>
          <w:b/>
          <w:bCs/>
          <w:sz w:val="16"/>
          <w:szCs w:val="16"/>
        </w:rPr>
        <w:t>ho provedení operace; jsou pro</w:t>
      </w:r>
      <w:r>
        <w:rPr>
          <w:b/>
          <w:bCs/>
          <w:sz w:val="16"/>
          <w:szCs w:val="16"/>
        </w:rPr>
        <w:softHyphen/>
        <w:t>to zvány absolutními Indikacemi. Není jich mnoho a přicházejí do</w:t>
      </w:r>
      <w:r>
        <w:rPr>
          <w:b/>
          <w:bCs/>
          <w:sz w:val="16"/>
          <w:szCs w:val="16"/>
        </w:rPr>
        <w:softHyphen/>
        <w:t>sti zřídka. Je to v prvé řadě znač</w:t>
      </w:r>
      <w:r>
        <w:rPr>
          <w:b/>
          <w:bCs/>
          <w:sz w:val="16"/>
          <w:szCs w:val="16"/>
        </w:rPr>
        <w:softHyphen/>
        <w:t>né zúženi nebo znetvoření pánve, nejěastějl jako následek křivice, pak různé nádory dělohy a jejího okolí, které tvoří překáž</w:t>
      </w:r>
      <w:r>
        <w:rPr>
          <w:b/>
          <w:bCs/>
          <w:sz w:val="16"/>
          <w:szCs w:val="16"/>
        </w:rPr>
        <w:t>ku v ces</w:t>
      </w:r>
      <w:r>
        <w:rPr>
          <w:b/>
          <w:bCs/>
          <w:sz w:val="16"/>
          <w:szCs w:val="16"/>
        </w:rPr>
        <w:softHyphen/>
        <w:t>tách porodních a pod. Daleko čas</w:t>
      </w:r>
      <w:r>
        <w:rPr>
          <w:b/>
          <w:bCs/>
          <w:sz w:val="16"/>
          <w:szCs w:val="16"/>
        </w:rPr>
        <w:softHyphen/>
        <w:t>těji jsou tak zvané relativní indi</w:t>
      </w:r>
      <w:r>
        <w:rPr>
          <w:b/>
          <w:bCs/>
          <w:sz w:val="16"/>
          <w:szCs w:val="16"/>
        </w:rPr>
        <w:softHyphen/>
        <w:t>kace, to je stavy, při nichž je po</w:t>
      </w:r>
      <w:r>
        <w:rPr>
          <w:b/>
          <w:bCs/>
          <w:sz w:val="16"/>
          <w:szCs w:val="16"/>
        </w:rPr>
        <w:softHyphen/>
        <w:t>rod přirozenou cestou sice možný, ale jen za cenu oběti života dítě</w:t>
      </w:r>
      <w:r>
        <w:rPr>
          <w:b/>
          <w:bCs/>
          <w:sz w:val="16"/>
          <w:szCs w:val="16"/>
        </w:rPr>
        <w:softHyphen/>
        <w:t>te a často i s velkým nebezpečím pro matku. Je to opět zúžená pá</w:t>
      </w:r>
      <w:r>
        <w:rPr>
          <w:b/>
          <w:bCs/>
          <w:sz w:val="16"/>
          <w:szCs w:val="16"/>
        </w:rPr>
        <w:softHyphen/>
        <w:t>nev; pak vc</w:t>
      </w:r>
      <w:r>
        <w:rPr>
          <w:b/>
          <w:bCs/>
          <w:sz w:val="16"/>
          <w:szCs w:val="16"/>
        </w:rPr>
        <w:t>estné lůžko, to je stav, kdy lůžko je v děloze ulo</w:t>
      </w:r>
      <w:r>
        <w:rPr>
          <w:b/>
          <w:bCs/>
          <w:sz w:val="16"/>
          <w:szCs w:val="16"/>
        </w:rPr>
        <w:softHyphen/>
        <w:t>ženo tak nízko, že tvoří překáž</w:t>
      </w:r>
      <w:r>
        <w:rPr>
          <w:b/>
          <w:bCs/>
          <w:sz w:val="16"/>
          <w:szCs w:val="16"/>
        </w:rPr>
        <w:softHyphen/>
        <w:t>ku a způsobuje nebezpečné, často i smrtelné krvácení; dále eklamp- sie (česky božec), nebezpečné to onemocnění, postihující jen těhot</w:t>
      </w:r>
      <w:r>
        <w:rPr>
          <w:b/>
          <w:bCs/>
          <w:sz w:val="16"/>
          <w:szCs w:val="16"/>
        </w:rPr>
        <w:softHyphen/>
        <w:t>né ženy, při kterém první podmín</w:t>
      </w:r>
      <w:r>
        <w:rPr>
          <w:b/>
          <w:bCs/>
          <w:sz w:val="16"/>
          <w:szCs w:val="16"/>
        </w:rPr>
        <w:softHyphen/>
        <w:t>ka pro</w:t>
      </w:r>
      <w:r>
        <w:rPr>
          <w:b/>
          <w:bCs/>
          <w:sz w:val="16"/>
          <w:szCs w:val="16"/>
        </w:rPr>
        <w:t xml:space="preserve"> úspěšnou léčbu je vyprázd</w:t>
      </w:r>
      <w:r>
        <w:rPr>
          <w:b/>
          <w:bCs/>
          <w:sz w:val="16"/>
          <w:szCs w:val="16"/>
        </w:rPr>
        <w:softHyphen/>
        <w:t>nit co nejrychleji dělohu, a něko</w:t>
      </w:r>
      <w:r>
        <w:rPr>
          <w:b/>
          <w:bCs/>
          <w:sz w:val="16"/>
          <w:szCs w:val="16"/>
        </w:rPr>
        <w:softHyphen/>
        <w:t>lik onemocnění jiných, méně vý</w:t>
      </w:r>
      <w:r>
        <w:rPr>
          <w:b/>
          <w:bCs/>
          <w:sz w:val="16"/>
          <w:szCs w:val="16"/>
        </w:rPr>
        <w:softHyphen/>
        <w:t>znamných. Běží-li jen o život dí</w:t>
      </w:r>
      <w:r>
        <w:rPr>
          <w:b/>
          <w:bCs/>
          <w:sz w:val="16"/>
          <w:szCs w:val="16"/>
        </w:rPr>
        <w:softHyphen/>
        <w:t>těte. nemůžeme pochopitelně dá</w:t>
      </w:r>
      <w:r>
        <w:rPr>
          <w:b/>
          <w:bCs/>
          <w:sz w:val="16"/>
          <w:szCs w:val="16"/>
        </w:rPr>
        <w:softHyphen/>
        <w:t xml:space="preserve">vat v sázku život nebo zdraví matčino a děláme císařský řez jen za dobrých podmínek, to je pokud je </w:t>
      </w:r>
      <w:r>
        <w:rPr>
          <w:b/>
          <w:bCs/>
          <w:sz w:val="16"/>
          <w:szCs w:val="16"/>
        </w:rPr>
        <w:t>voda plodová bezpečně prosta choroboplodných zárodků, poně</w:t>
      </w:r>
      <w:r>
        <w:rPr>
          <w:b/>
          <w:bCs/>
          <w:sz w:val="16"/>
          <w:szCs w:val="16"/>
        </w:rPr>
        <w:softHyphen/>
        <w:t>vadž v opačném případě bychom mohli způsobit infekci břišní du</w:t>
      </w:r>
      <w:r>
        <w:rPr>
          <w:b/>
          <w:bCs/>
          <w:sz w:val="16"/>
          <w:szCs w:val="16"/>
        </w:rPr>
        <w:softHyphen/>
        <w:t>tiny.</w:t>
      </w:r>
    </w:p>
    <w:p w:rsidR="00500724" w:rsidRDefault="00F30FB8">
      <w:pPr>
        <w:pStyle w:val="Zkladntext40"/>
        <w:shd w:val="clear" w:color="auto" w:fill="auto"/>
        <w:spacing w:after="0" w:line="166" w:lineRule="auto"/>
        <w:ind w:firstLine="200"/>
        <w:rPr>
          <w:sz w:val="16"/>
          <w:szCs w:val="16"/>
        </w:rPr>
      </w:pPr>
      <w:r>
        <w:rPr>
          <w:b/>
          <w:bCs/>
          <w:sz w:val="16"/>
          <w:szCs w:val="16"/>
        </w:rPr>
        <w:t>Bylo by nemožno vypsat zde podrobně, jak se císařský řez dě</w:t>
      </w:r>
      <w:r>
        <w:rPr>
          <w:b/>
          <w:bCs/>
          <w:sz w:val="16"/>
          <w:szCs w:val="16"/>
        </w:rPr>
        <w:softHyphen/>
        <w:t>lá. Stačí uvést, že po řádné chi</w:t>
      </w:r>
      <w:r>
        <w:rPr>
          <w:b/>
          <w:bCs/>
          <w:sz w:val="16"/>
          <w:szCs w:val="16"/>
        </w:rPr>
        <w:softHyphen/>
        <w:t>rurgické přípravě se v hluboké nark</w:t>
      </w:r>
      <w:r>
        <w:rPr>
          <w:b/>
          <w:bCs/>
          <w:sz w:val="16"/>
          <w:szCs w:val="16"/>
        </w:rPr>
        <w:t>ose nebo míšním znecitlivění otevře břišní dutina a pak děloha. Tyjme se dítě a hned po něm lůž</w:t>
      </w:r>
      <w:r>
        <w:rPr>
          <w:b/>
          <w:bCs/>
          <w:sz w:val="16"/>
          <w:szCs w:val="16"/>
        </w:rPr>
        <w:softHyphen/>
        <w:t>ko a blány. Krvácení se přesně zastaví a operační rána sešije po vrstvách. Ošetřování po operaci se liší od obvyklého tím. že se ne</w:t>
      </w:r>
      <w:r>
        <w:rPr>
          <w:b/>
          <w:bCs/>
          <w:sz w:val="16"/>
          <w:szCs w:val="16"/>
        </w:rPr>
        <w:softHyphen/>
        <w:t>zapomíná na to. že běží o op</w:t>
      </w:r>
      <w:r>
        <w:rPr>
          <w:b/>
          <w:bCs/>
          <w:sz w:val="16"/>
          <w:szCs w:val="16"/>
        </w:rPr>
        <w:t>ero</w:t>
      </w:r>
      <w:r>
        <w:rPr>
          <w:b/>
          <w:bCs/>
          <w:sz w:val="16"/>
          <w:szCs w:val="16"/>
        </w:rPr>
        <w:softHyphen/>
        <w:t>vanou a šestinedělku v jedné osobě.</w:t>
      </w:r>
    </w:p>
    <w:p w:rsidR="00500724" w:rsidRDefault="00F30FB8">
      <w:pPr>
        <w:pStyle w:val="Zkladntext90"/>
        <w:shd w:val="clear" w:color="auto" w:fill="auto"/>
        <w:spacing w:line="211" w:lineRule="auto"/>
        <w:ind w:firstLine="200"/>
      </w:pPr>
      <w:r>
        <w:t>Je jisto, že císařský řez vzhle</w:t>
      </w:r>
      <w:r>
        <w:softHyphen/>
        <w:t>dem k narkose při operací a pak,</w:t>
      </w:r>
    </w:p>
    <w:p w:rsidR="00500724" w:rsidRDefault="00F30FB8">
      <w:pPr>
        <w:spacing w:line="1" w:lineRule="exact"/>
        <w:rPr>
          <w:sz w:val="2"/>
          <w:szCs w:val="2"/>
        </w:rPr>
      </w:pPr>
      <w:r>
        <w:br w:type="column"/>
      </w:r>
    </w:p>
    <w:p w:rsidR="00500724" w:rsidRDefault="00F30FB8">
      <w:pPr>
        <w:pStyle w:val="Zkladntext40"/>
        <w:shd w:val="clear" w:color="auto" w:fill="auto"/>
        <w:spacing w:after="100"/>
      </w:pPr>
      <w:r>
        <w:t>národem, k němuž patři po zá</w:t>
      </w:r>
      <w:r>
        <w:softHyphen/>
        <w:t xml:space="preserve">konech Jazyka a rodu, svou duší I srdcem. Mluvíme-li o těchto básnících, v jejichž verších zpívají prameny, mluví hory, </w:t>
      </w:r>
      <w:r>
        <w:t>lid a národ tak, jak jim diktovalo srdce, jeho úzkost i vira, a jmenujeme-li je, vidíme, že jsou mezi nimi skuteč</w:t>
      </w:r>
      <w:r>
        <w:softHyphen/>
        <w:t>ně ti největší jako Hora, Kolman Casisus, Halas, Holan, Seilert a Stehlík. Hora svědčí svým Do</w:t>
      </w:r>
      <w:r>
        <w:softHyphen/>
        <w:t>movem, v němž s úžasem čteme zejména nádherný z</w:t>
      </w:r>
      <w:r>
        <w:t xml:space="preserve">ávěrečný Zpěv rodné zemi o loňském jaru; stejně i Kolman </w:t>
      </w:r>
      <w:r>
        <w:rPr>
          <w:lang w:val="en-US" w:eastAsia="en-US" w:bidi="en-US"/>
        </w:rPr>
        <w:t xml:space="preserve">Cassius </w:t>
      </w:r>
      <w:r>
        <w:t>mužnou lyrikou své Železné košile, v níž cítíme již předtuchu neblahého podzimu, který ožívá v celé své osudovosti v monumentálním Ha- lasově Torsu naděje, a v ci</w:t>
      </w:r>
      <w:r>
        <w:softHyphen/>
        <w:t>tově vroucí, zjihlé a úzkost</w:t>
      </w:r>
      <w:r>
        <w:t>né poesii Seifertovy sbírky Z h a sně</w:t>
      </w:r>
      <w:r>
        <w:softHyphen/>
        <w:t>te s v ě 11 a, jímající a to českostí svého výrazu a melodie. Panopti- kálnl až fantastickou hrůzu udá</w:t>
      </w:r>
      <w:r>
        <w:softHyphen/>
        <w:t>lostí, jak nás zavalily a Jak jsme je prožívali loňského podzimu a horečnou apokalyptickou atmosfé</w:t>
      </w:r>
      <w:r>
        <w:softHyphen/>
        <w:t>ru doby, v níž ž</w:t>
      </w:r>
      <w:r>
        <w:t>ijeme, vyslovil Vladimír Holan svým Zářím 19 3 8 a novou velkou lyrickou básní Sen. Připomeňme ještě Stehlíkovu poesii návratu k rod</w:t>
      </w:r>
      <w:r>
        <w:softHyphen/>
        <w:t>nému kraji a kořenům rodu Ko</w:t>
      </w:r>
      <w:r>
        <w:softHyphen/>
        <w:t>řeny a máme tu básnickou, opravdu obhatou žeň, jež vyzrála v těžkých dnech a chvílích, kdy nár</w:t>
      </w:r>
      <w:r>
        <w:t>od stál na křižovatce osudu, žeň, svědčící, že nic nezabrání básníkům zpívat píseň víry. ná</w:t>
      </w:r>
      <w:r>
        <w:softHyphen/>
        <w:t>roda a lásky k zemi, píseň odhod</w:t>
      </w:r>
      <w:r>
        <w:softHyphen/>
        <w:t>láni, Jež nás vrací domovu a činí nás přímými účastníky na Jeho osudu i nositeli jeho těžkého údělu.</w:t>
      </w:r>
    </w:p>
    <w:p w:rsidR="00500724" w:rsidRDefault="00F30FB8">
      <w:pPr>
        <w:pStyle w:val="Zkladntext40"/>
        <w:shd w:val="clear" w:color="auto" w:fill="auto"/>
        <w:spacing w:after="40" w:line="187" w:lineRule="auto"/>
        <w:rPr>
          <w:sz w:val="14"/>
          <w:szCs w:val="14"/>
        </w:rPr>
      </w:pPr>
      <w:r>
        <w:rPr>
          <w:b/>
          <w:bCs/>
          <w:sz w:val="14"/>
          <w:szCs w:val="14"/>
        </w:rPr>
        <w:t>BURIANOVA VOJNA VE VALD</w:t>
      </w:r>
      <w:r>
        <w:rPr>
          <w:b/>
          <w:bCs/>
          <w:sz w:val="14"/>
          <w:szCs w:val="14"/>
        </w:rPr>
        <w:softHyphen/>
        <w:t>ŠTEJNS</w:t>
      </w:r>
      <w:r>
        <w:rPr>
          <w:b/>
          <w:bCs/>
          <w:sz w:val="14"/>
          <w:szCs w:val="14"/>
        </w:rPr>
        <w:t>KÉ ZAHRADĚ</w:t>
      </w:r>
    </w:p>
    <w:p w:rsidR="00500724" w:rsidRDefault="00F30FB8">
      <w:pPr>
        <w:pStyle w:val="Zkladntext40"/>
        <w:shd w:val="clear" w:color="auto" w:fill="auto"/>
        <w:spacing w:after="300"/>
        <w:ind w:firstLine="220"/>
      </w:pPr>
      <w:r>
        <w:t>Po Klicperově hře Každý něco pro vlast, Druhé lidové suitě a Máchově Máji, sehrál divadelní soubor D-39 v rámci ^pražského</w:t>
      </w:r>
    </w:p>
    <w:p w:rsidR="00500724" w:rsidRDefault="00F30FB8">
      <w:pPr>
        <w:pStyle w:val="Zkladntext40"/>
        <w:shd w:val="clear" w:color="auto" w:fill="auto"/>
        <w:spacing w:after="0" w:line="168" w:lineRule="auto"/>
        <w:rPr>
          <w:sz w:val="16"/>
          <w:szCs w:val="16"/>
        </w:rPr>
      </w:pPr>
      <w:r>
        <w:rPr>
          <w:b/>
          <w:bCs/>
          <w:sz w:val="16"/>
          <w:szCs w:val="16"/>
        </w:rPr>
        <w:t>protože se předejde porodním bo</w:t>
      </w:r>
      <w:r>
        <w:rPr>
          <w:b/>
          <w:bCs/>
          <w:sz w:val="16"/>
          <w:szCs w:val="16"/>
        </w:rPr>
        <w:softHyphen/>
        <w:t>lestem, způsobuje ženě daleko menši utrpení, než normální po</w:t>
      </w:r>
      <w:r>
        <w:rPr>
          <w:b/>
          <w:bCs/>
          <w:sz w:val="16"/>
          <w:szCs w:val="16"/>
        </w:rPr>
        <w:softHyphen/>
        <w:t>rod. Není proto divu. že ješt</w:t>
      </w:r>
      <w:r>
        <w:rPr>
          <w:b/>
          <w:bCs/>
          <w:sz w:val="16"/>
          <w:szCs w:val="16"/>
        </w:rPr>
        <w:t>ě po</w:t>
      </w:r>
      <w:r>
        <w:rPr>
          <w:b/>
          <w:bCs/>
          <w:sz w:val="16"/>
          <w:szCs w:val="16"/>
        </w:rPr>
        <w:softHyphen/>
        <w:t>čátkem tohoto století se vyskyto</w:t>
      </w:r>
      <w:r>
        <w:rPr>
          <w:b/>
          <w:bCs/>
          <w:sz w:val="16"/>
          <w:szCs w:val="16"/>
        </w:rPr>
        <w:softHyphen/>
        <w:t>vali horlivci, kteří, zpiti úspěchy operativní medicíny, doporučovali provádět císařský řez na každé, třeba i normální těhotné ženě a vymýtit přirozený porod z lidské fysiologle. Je ovšem nasnadě, že tento radikalismus</w:t>
      </w:r>
      <w:r>
        <w:rPr>
          <w:b/>
          <w:bCs/>
          <w:sz w:val="16"/>
          <w:szCs w:val="16"/>
        </w:rPr>
        <w:t xml:space="preserve"> — jako koneč</w:t>
      </w:r>
      <w:r>
        <w:rPr>
          <w:b/>
          <w:bCs/>
          <w:sz w:val="16"/>
          <w:szCs w:val="16"/>
        </w:rPr>
        <w:softHyphen/>
        <w:t>ně každý radikalismus — by byl nezdravý. Příroda má svá práva a mstí se všude, kde se v jích zci- zováni přepíná. Co by plynulo z toho, kdyby se poslechlo hlasů těchto nadšenců? I kdyby to bylo vůbec možno (vždyt ještě dnes je u nás síť odbor</w:t>
      </w:r>
      <w:r>
        <w:rPr>
          <w:b/>
          <w:bCs/>
          <w:sz w:val="16"/>
          <w:szCs w:val="16"/>
        </w:rPr>
        <w:t>ně vedených ne</w:t>
      </w:r>
      <w:r>
        <w:rPr>
          <w:b/>
          <w:bCs/>
          <w:sz w:val="16"/>
          <w:szCs w:val="16"/>
        </w:rPr>
        <w:softHyphen/>
        <w:t>mocničních odděleni tak řídká, že se stává, že i ženy, u kterých je císařský řez přísně Indikován, při</w:t>
      </w:r>
      <w:r>
        <w:rPr>
          <w:b/>
          <w:bCs/>
          <w:sz w:val="16"/>
          <w:szCs w:val="16"/>
        </w:rPr>
        <w:softHyphen/>
        <w:t>cházejí pozdě, čímž přijde díté o život), a třeba je risiko u císař</w:t>
      </w:r>
      <w:r>
        <w:rPr>
          <w:b/>
          <w:bCs/>
          <w:sz w:val="16"/>
          <w:szCs w:val="16"/>
        </w:rPr>
        <w:softHyphen/>
        <w:t>ského řezu tak nepatrné, a ani když nebereme v úvahu jizvu na kůži bři</w:t>
      </w:r>
      <w:r>
        <w:rPr>
          <w:b/>
          <w:bCs/>
          <w:sz w:val="16"/>
          <w:szCs w:val="16"/>
        </w:rPr>
        <w:t>cha, kterou jen nerozum</w:t>
      </w:r>
      <w:r>
        <w:rPr>
          <w:b/>
          <w:bCs/>
          <w:sz w:val="16"/>
          <w:szCs w:val="16"/>
        </w:rPr>
        <w:softHyphen/>
        <w:t>ný člověk může považovat za zohyzdění, je jisto, že následkem soustavného provádění císařské</w:t>
      </w:r>
      <w:r>
        <w:rPr>
          <w:b/>
          <w:bCs/>
          <w:sz w:val="16"/>
          <w:szCs w:val="16"/>
        </w:rPr>
        <w:softHyphen/>
        <w:t>ho řezu by nebezpečně ubývalo populace. Při druhém a každém dalším císařském řezu jsme totiž nuceni otevřít břišní dutinu 1 dě</w:t>
      </w:r>
      <w:r>
        <w:rPr>
          <w:b/>
          <w:bCs/>
          <w:sz w:val="16"/>
          <w:szCs w:val="16"/>
        </w:rPr>
        <w:softHyphen/>
        <w:t>lohu ve star</w:t>
      </w:r>
      <w:r>
        <w:rPr>
          <w:b/>
          <w:bCs/>
          <w:sz w:val="16"/>
          <w:szCs w:val="16"/>
        </w:rPr>
        <w:t>é jizvě. Hojeni pak již není tak Ideální, jizva ztrácí pevnost a při příštím těhotenství může dojít k samovolnému prask</w:t>
      </w:r>
      <w:r>
        <w:rPr>
          <w:b/>
          <w:bCs/>
          <w:sz w:val="16"/>
          <w:szCs w:val="16"/>
        </w:rPr>
        <w:softHyphen/>
        <w:t>nutí dělohy a k výhřezům břiš</w:t>
      </w:r>
      <w:r>
        <w:rPr>
          <w:b/>
          <w:bCs/>
          <w:sz w:val="16"/>
          <w:szCs w:val="16"/>
        </w:rPr>
        <w:softHyphen/>
        <w:t>ních orgánů — kýlám. Z těchto důvodů doporučujeme ženám, aby při druhém císařském řezu svolily ke sterilis</w:t>
      </w:r>
      <w:r>
        <w:rPr>
          <w:b/>
          <w:bCs/>
          <w:sz w:val="16"/>
          <w:szCs w:val="16"/>
        </w:rPr>
        <w:t>aci, to je podvázání vej</w:t>
      </w:r>
      <w:r>
        <w:rPr>
          <w:b/>
          <w:bCs/>
          <w:sz w:val="16"/>
          <w:szCs w:val="16"/>
        </w:rPr>
        <w:softHyphen/>
        <w:t>covodů, tak aby se zabránilo dal</w:t>
      </w:r>
      <w:r>
        <w:rPr>
          <w:b/>
          <w:bCs/>
          <w:sz w:val="16"/>
          <w:szCs w:val="16"/>
        </w:rPr>
        <w:softHyphen/>
        <w:t>ším těhotenstvím. Proto je císař</w:t>
      </w:r>
      <w:r>
        <w:rPr>
          <w:b/>
          <w:bCs/>
          <w:sz w:val="16"/>
          <w:szCs w:val="16"/>
        </w:rPr>
        <w:softHyphen/>
        <w:t>ský řez. provedený více než dva-</w:t>
      </w:r>
    </w:p>
    <w:p w:rsidR="00500724" w:rsidRDefault="00F30FB8">
      <w:pPr>
        <w:pStyle w:val="Zkladntext40"/>
        <w:shd w:val="clear" w:color="auto" w:fill="auto"/>
        <w:spacing w:after="40" w:line="168" w:lineRule="auto"/>
        <w:rPr>
          <w:sz w:val="16"/>
          <w:szCs w:val="16"/>
        </w:rPr>
      </w:pPr>
      <w:r>
        <w:rPr>
          <w:b/>
          <w:bCs/>
          <w:sz w:val="16"/>
          <w:szCs w:val="16"/>
        </w:rPr>
        <w:t>| krát na jedné ženě, výjimkou. (Jsou ovšem z odborné literatury známy případy čtyř i sedmi císař</w:t>
      </w:r>
      <w:r>
        <w:rPr>
          <w:b/>
          <w:bCs/>
          <w:sz w:val="16"/>
          <w:szCs w:val="16"/>
        </w:rPr>
        <w:softHyphen/>
        <w:t xml:space="preserve">ských řezů, Ital Procopio dokonce </w:t>
      </w:r>
      <w:r>
        <w:rPr>
          <w:b/>
          <w:bCs/>
          <w:sz w:val="16"/>
          <w:szCs w:val="16"/>
        </w:rPr>
        <w:t>uvádí přímo fantastický počet de</w:t>
      </w:r>
      <w:r>
        <w:rPr>
          <w:b/>
          <w:bCs/>
          <w:sz w:val="16"/>
          <w:szCs w:val="16"/>
        </w:rPr>
        <w:softHyphen/>
        <w:t>síti.) Že by to pak s populací vy</w:t>
      </w:r>
      <w:r>
        <w:rPr>
          <w:b/>
          <w:bCs/>
          <w:sz w:val="16"/>
          <w:szCs w:val="16"/>
        </w:rPr>
        <w:softHyphen/>
        <w:t>padalo skutečně zle. netřeba zvlášť rozvádět.</w:t>
      </w:r>
    </w:p>
    <w:p w:rsidR="00500724" w:rsidRDefault="00F30FB8">
      <w:pPr>
        <w:pStyle w:val="Zkladntext40"/>
        <w:shd w:val="clear" w:color="auto" w:fill="auto"/>
        <w:spacing w:line="166" w:lineRule="auto"/>
        <w:ind w:firstLine="220"/>
        <w:rPr>
          <w:sz w:val="16"/>
          <w:szCs w:val="16"/>
        </w:rPr>
      </w:pPr>
      <w:r>
        <w:rPr>
          <w:b/>
          <w:bCs/>
          <w:sz w:val="16"/>
          <w:szCs w:val="16"/>
        </w:rPr>
        <w:t xml:space="preserve">Císařský řez se proto provádí jen tam, kde je vskutku nutný. Pomůžeme tak přivést na svět dětí 1 těm ženám, které by jinak mít nemohly. A kdož </w:t>
      </w:r>
      <w:r>
        <w:rPr>
          <w:b/>
          <w:bCs/>
          <w:sz w:val="16"/>
          <w:szCs w:val="16"/>
        </w:rPr>
        <w:t>ví, zda zrov</w:t>
      </w:r>
      <w:r>
        <w:rPr>
          <w:b/>
          <w:bCs/>
          <w:sz w:val="16"/>
          <w:szCs w:val="16"/>
        </w:rPr>
        <w:softHyphen/>
        <w:t>na císařským řezem nebude na svět přiveden genius, kterému se podaří vyvést lidstvo z nynější bídy? (Věda a život č. 10.)</w:t>
      </w:r>
    </w:p>
    <w:p w:rsidR="00500724" w:rsidRDefault="00F30FB8">
      <w:pPr>
        <w:spacing w:line="1" w:lineRule="exact"/>
        <w:rPr>
          <w:sz w:val="2"/>
          <w:szCs w:val="2"/>
        </w:rPr>
      </w:pPr>
      <w:r>
        <w:br w:type="column"/>
      </w:r>
    </w:p>
    <w:p w:rsidR="00500724" w:rsidRDefault="00F30FB8">
      <w:pPr>
        <w:pStyle w:val="Zkladntext40"/>
        <w:shd w:val="clear" w:color="auto" w:fill="auto"/>
        <w:spacing w:after="0"/>
      </w:pPr>
      <w:r>
        <w:rPr>
          <w:noProof/>
        </w:rPr>
        <mc:AlternateContent>
          <mc:Choice Requires="wps">
            <w:drawing>
              <wp:anchor distT="1435735" distB="356870" distL="635000" distR="674370" simplePos="0" relativeHeight="125830094" behindDoc="0" locked="0" layoutInCell="1" allowOverlap="1">
                <wp:simplePos x="0" y="0"/>
                <wp:positionH relativeFrom="page">
                  <wp:posOffset>4340860</wp:posOffset>
                </wp:positionH>
                <wp:positionV relativeFrom="margin">
                  <wp:posOffset>6949440</wp:posOffset>
                </wp:positionV>
                <wp:extent cx="1950720" cy="2639695"/>
                <wp:effectExtent l="0" t="0" r="0" b="0"/>
                <wp:wrapTopAndBottom/>
                <wp:docPr id="717" name="Shape 717"/>
                <wp:cNvGraphicFramePr/>
                <a:graphic xmlns:a="http://schemas.openxmlformats.org/drawingml/2006/main">
                  <a:graphicData uri="http://schemas.microsoft.com/office/word/2010/wordprocessingShape">
                    <wps:wsp>
                      <wps:cNvSpPr txBox="1"/>
                      <wps:spPr>
                        <a:xfrm>
                          <a:off x="0" y="0"/>
                          <a:ext cx="1950720" cy="2639695"/>
                        </a:xfrm>
                        <a:prstGeom prst="rect">
                          <a:avLst/>
                        </a:prstGeom>
                        <a:noFill/>
                      </wps:spPr>
                      <wps:txbx>
                        <w:txbxContent>
                          <w:p w:rsidR="00500724" w:rsidRDefault="00F30FB8">
                            <w:pPr>
                              <w:pStyle w:val="Zkladntext1"/>
                              <w:shd w:val="clear" w:color="auto" w:fill="auto"/>
                              <w:spacing w:line="178" w:lineRule="auto"/>
                              <w:ind w:firstLine="0"/>
                              <w:rPr>
                                <w:sz w:val="20"/>
                                <w:szCs w:val="20"/>
                              </w:rPr>
                            </w:pPr>
                            <w:r>
                              <w:rPr>
                                <w:i/>
                                <w:iCs/>
                                <w:sz w:val="20"/>
                                <w:szCs w:val="20"/>
                              </w:rPr>
                              <w:t>které vám v dnech dovolené při- blíSí krásu přírody a vzkřísí Sum lesů a zpěv vod.</w:t>
                            </w:r>
                          </w:p>
                          <w:p w:rsidR="00500724" w:rsidRDefault="00F30FB8">
                            <w:pPr>
                              <w:pStyle w:val="Zkladntext50"/>
                              <w:numPr>
                                <w:ilvl w:val="0"/>
                                <w:numId w:val="88"/>
                              </w:numPr>
                              <w:shd w:val="clear" w:color="auto" w:fill="auto"/>
                              <w:tabs>
                                <w:tab w:val="left" w:pos="206"/>
                              </w:tabs>
                              <w:spacing w:after="0" w:line="214" w:lineRule="auto"/>
                              <w:ind w:left="220" w:hanging="220"/>
                            </w:pPr>
                            <w:r>
                              <w:t xml:space="preserve">Josef Hora: </w:t>
                            </w:r>
                            <w:r>
                              <w:rPr>
                                <w:b/>
                                <w:bCs/>
                                <w:sz w:val="16"/>
                                <w:szCs w:val="16"/>
                              </w:rPr>
                              <w:t xml:space="preserve">Tvůj hlas. Básně. </w:t>
                            </w:r>
                            <w:r>
                              <w:t xml:space="preserve">2. </w:t>
                            </w:r>
                            <w:r>
                              <w:t>vydání.</w:t>
                            </w:r>
                          </w:p>
                          <w:p w:rsidR="00500724" w:rsidRDefault="00F30FB8">
                            <w:pPr>
                              <w:pStyle w:val="Zkladntext40"/>
                              <w:shd w:val="clear" w:color="auto" w:fill="auto"/>
                              <w:spacing w:after="0" w:line="240" w:lineRule="auto"/>
                              <w:ind w:left="220" w:hanging="220"/>
                            </w:pPr>
                            <w:r>
                              <w:t>Brož. 20 K. váz. 30 K.</w:t>
                            </w:r>
                          </w:p>
                          <w:p w:rsidR="00500724" w:rsidRDefault="00F30FB8">
                            <w:pPr>
                              <w:pStyle w:val="Zkladntext50"/>
                              <w:numPr>
                                <w:ilvl w:val="0"/>
                                <w:numId w:val="88"/>
                              </w:numPr>
                              <w:shd w:val="clear" w:color="auto" w:fill="auto"/>
                              <w:tabs>
                                <w:tab w:val="left" w:pos="206"/>
                              </w:tabs>
                              <w:spacing w:after="0" w:line="226" w:lineRule="auto"/>
                              <w:ind w:left="220" w:hanging="220"/>
                            </w:pPr>
                            <w:r>
                              <w:t xml:space="preserve">Stanislav K. Neumann: </w:t>
                            </w:r>
                            <w:r>
                              <w:rPr>
                                <w:b/>
                                <w:bCs/>
                                <w:sz w:val="16"/>
                                <w:szCs w:val="16"/>
                              </w:rPr>
                              <w:t>Kniha le</w:t>
                            </w:r>
                            <w:r>
                              <w:rPr>
                                <w:b/>
                                <w:bCs/>
                                <w:sz w:val="16"/>
                                <w:szCs w:val="16"/>
                              </w:rPr>
                              <w:softHyphen/>
                              <w:t xml:space="preserve">sů, vod a strání. </w:t>
                            </w:r>
                            <w:r>
                              <w:t>3. vyd. Básně.</w:t>
                            </w:r>
                          </w:p>
                          <w:p w:rsidR="00500724" w:rsidRDefault="00F30FB8">
                            <w:pPr>
                              <w:pStyle w:val="Zkladntext40"/>
                              <w:shd w:val="clear" w:color="auto" w:fill="auto"/>
                              <w:spacing w:after="0" w:line="180" w:lineRule="auto"/>
                              <w:ind w:left="220" w:hanging="220"/>
                            </w:pPr>
                            <w:r>
                              <w:t>Srož. 25 K, váz. 35 K.</w:t>
                            </w:r>
                          </w:p>
                          <w:p w:rsidR="00500724" w:rsidRDefault="00F30FB8">
                            <w:pPr>
                              <w:pStyle w:val="Zkladntext50"/>
                              <w:numPr>
                                <w:ilvl w:val="0"/>
                                <w:numId w:val="88"/>
                              </w:numPr>
                              <w:shd w:val="clear" w:color="auto" w:fill="auto"/>
                              <w:tabs>
                                <w:tab w:val="left" w:pos="216"/>
                              </w:tabs>
                              <w:spacing w:after="0" w:line="197" w:lineRule="auto"/>
                              <w:ind w:left="220" w:hanging="220"/>
                            </w:pPr>
                            <w:r>
                              <w:t xml:space="preserve">Ladislav Stehlík: </w:t>
                            </w:r>
                            <w:r>
                              <w:rPr>
                                <w:b/>
                                <w:bCs/>
                                <w:sz w:val="16"/>
                                <w:szCs w:val="16"/>
                              </w:rPr>
                              <w:t xml:space="preserve">Zpěv k zemi. </w:t>
                            </w:r>
                            <w:r>
                              <w:t>Básně.</w:t>
                            </w:r>
                          </w:p>
                          <w:p w:rsidR="00500724" w:rsidRDefault="00F30FB8">
                            <w:pPr>
                              <w:pStyle w:val="Zkladntext40"/>
                              <w:shd w:val="clear" w:color="auto" w:fill="auto"/>
                              <w:spacing w:after="0" w:line="223" w:lineRule="auto"/>
                              <w:ind w:left="220" w:hanging="220"/>
                            </w:pPr>
                            <w:r>
                              <w:t>Brož. 15 K. váz. 25 K.</w:t>
                            </w:r>
                          </w:p>
                          <w:p w:rsidR="00500724" w:rsidRDefault="00F30FB8">
                            <w:pPr>
                              <w:pStyle w:val="Zkladntext50"/>
                              <w:numPr>
                                <w:ilvl w:val="0"/>
                                <w:numId w:val="88"/>
                              </w:numPr>
                              <w:shd w:val="clear" w:color="auto" w:fill="auto"/>
                              <w:tabs>
                                <w:tab w:val="left" w:pos="216"/>
                              </w:tabs>
                              <w:spacing w:after="0" w:line="197" w:lineRule="auto"/>
                              <w:ind w:left="220" w:hanging="220"/>
                            </w:pPr>
                            <w:r>
                              <w:t xml:space="preserve">Fráňa Šrámek: </w:t>
                            </w:r>
                            <w:r>
                              <w:rPr>
                                <w:b/>
                                <w:bCs/>
                                <w:sz w:val="16"/>
                                <w:szCs w:val="16"/>
                              </w:rPr>
                              <w:t xml:space="preserve">Bouřky a duhy. </w:t>
                            </w:r>
                            <w:r>
                              <w:t>Povídky.</w:t>
                            </w:r>
                          </w:p>
                          <w:p w:rsidR="00500724" w:rsidRDefault="00F30FB8">
                            <w:pPr>
                              <w:pStyle w:val="Zkladntext40"/>
                              <w:shd w:val="clear" w:color="auto" w:fill="auto"/>
                              <w:spacing w:after="0" w:line="223" w:lineRule="auto"/>
                              <w:ind w:left="220" w:hanging="220"/>
                            </w:pPr>
                            <w:r>
                              <w:t>Brož. 28 K, váz. 40 K.</w:t>
                            </w:r>
                          </w:p>
                          <w:p w:rsidR="00500724" w:rsidRDefault="00F30FB8">
                            <w:pPr>
                              <w:pStyle w:val="Zkladntext50"/>
                              <w:numPr>
                                <w:ilvl w:val="0"/>
                                <w:numId w:val="88"/>
                              </w:numPr>
                              <w:shd w:val="clear" w:color="auto" w:fill="auto"/>
                              <w:tabs>
                                <w:tab w:val="left" w:pos="216"/>
                              </w:tabs>
                              <w:spacing w:after="0" w:line="214" w:lineRule="auto"/>
                              <w:ind w:left="220" w:hanging="220"/>
                            </w:pPr>
                            <w:r>
                              <w:t xml:space="preserve">Rudolf Těsnohlídek: </w:t>
                            </w:r>
                            <w:r>
                              <w:rPr>
                                <w:b/>
                                <w:bCs/>
                                <w:sz w:val="16"/>
                                <w:szCs w:val="16"/>
                              </w:rPr>
                              <w:t xml:space="preserve">Liška By- strouška. </w:t>
                            </w:r>
                            <w:r>
                              <w:t>Bajka o lidech a zví</w:t>
                            </w:r>
                            <w:r>
                              <w:softHyphen/>
                              <w:t>řátkách. 2. vydání.</w:t>
                            </w:r>
                          </w:p>
                          <w:p w:rsidR="00500724" w:rsidRDefault="00F30FB8">
                            <w:pPr>
                              <w:pStyle w:val="Zkladntext40"/>
                              <w:shd w:val="clear" w:color="auto" w:fill="auto"/>
                              <w:spacing w:after="0" w:line="240" w:lineRule="auto"/>
                              <w:ind w:left="220" w:hanging="220"/>
                            </w:pPr>
                            <w:r>
                              <w:t>Brož. 28 K. váz. 40 K.</w:t>
                            </w:r>
                          </w:p>
                          <w:p w:rsidR="00500724" w:rsidRDefault="00F30FB8">
                            <w:pPr>
                              <w:pStyle w:val="Zkladntext50"/>
                              <w:numPr>
                                <w:ilvl w:val="0"/>
                                <w:numId w:val="88"/>
                              </w:numPr>
                              <w:shd w:val="clear" w:color="auto" w:fill="auto"/>
                              <w:tabs>
                                <w:tab w:val="left" w:pos="206"/>
                              </w:tabs>
                              <w:spacing w:after="0" w:line="214" w:lineRule="auto"/>
                              <w:ind w:left="220" w:hanging="220"/>
                            </w:pPr>
                            <w:r>
                              <w:rPr>
                                <w:lang w:val="en-US" w:eastAsia="en-US" w:bidi="en-US"/>
                              </w:rPr>
                              <w:t xml:space="preserve">Henri Williamson: </w:t>
                            </w:r>
                            <w:r>
                              <w:rPr>
                                <w:b/>
                                <w:bCs/>
                                <w:sz w:val="16"/>
                                <w:szCs w:val="16"/>
                              </w:rPr>
                              <w:t>Nesmrtelný lo</w:t>
                            </w:r>
                            <w:r>
                              <w:rPr>
                                <w:b/>
                                <w:bCs/>
                                <w:sz w:val="16"/>
                                <w:szCs w:val="16"/>
                              </w:rPr>
                              <w:softHyphen/>
                              <w:t xml:space="preserve">sos. </w:t>
                            </w:r>
                            <w:r>
                              <w:t>Román lososa. 3. vydání.</w:t>
                            </w:r>
                          </w:p>
                          <w:p w:rsidR="00500724" w:rsidRDefault="00F30FB8">
                            <w:pPr>
                              <w:pStyle w:val="Zkladntext40"/>
                              <w:shd w:val="clear" w:color="auto" w:fill="auto"/>
                              <w:spacing w:after="0" w:line="240" w:lineRule="auto"/>
                              <w:ind w:left="220" w:hanging="220"/>
                            </w:pPr>
                            <w:r>
                              <w:t>Brož. 20 K, váz. 32 K.</w:t>
                            </w:r>
                          </w:p>
                          <w:p w:rsidR="00500724" w:rsidRDefault="00F30FB8">
                            <w:pPr>
                              <w:pStyle w:val="Zkladntext50"/>
                              <w:shd w:val="clear" w:color="auto" w:fill="auto"/>
                              <w:spacing w:after="0" w:line="209" w:lineRule="auto"/>
                              <w:ind w:left="220" w:hanging="220"/>
                            </w:pPr>
                            <w:r>
                              <w:t>Dodá každý knihkupec.</w:t>
                            </w:r>
                          </w:p>
                          <w:p w:rsidR="00500724" w:rsidRDefault="00F30FB8">
                            <w:pPr>
                              <w:pStyle w:val="Zkladntext50"/>
                              <w:shd w:val="clear" w:color="auto" w:fill="auto"/>
                              <w:spacing w:after="0" w:line="221" w:lineRule="auto"/>
                              <w:ind w:left="0"/>
                              <w:jc w:val="right"/>
                              <w:rPr>
                                <w:sz w:val="16"/>
                                <w:szCs w:val="16"/>
                              </w:rPr>
                            </w:pPr>
                            <w:r>
                              <w:rPr>
                                <w:b/>
                                <w:bCs/>
                                <w:sz w:val="16"/>
                                <w:szCs w:val="16"/>
                              </w:rPr>
                              <w:t>FR. BOROVÝ.</w:t>
                            </w:r>
                          </w:p>
                        </w:txbxContent>
                      </wps:txbx>
                      <wps:bodyPr lIns="0" tIns="0" rIns="0" bIns="0">
                        <a:spAutoFit/>
                      </wps:bodyPr>
                    </wps:wsp>
                  </a:graphicData>
                </a:graphic>
              </wp:anchor>
            </w:drawing>
          </mc:Choice>
          <mc:Fallback>
            <w:pict>
              <v:shape id="_x0000_s1743" type="#_x0000_t202" style="position:absolute;margin-left:341.80000000000001pt;margin-top:547.20000000000005pt;width:153.59999999999999pt;height:207.84999999999999pt;z-index:-125828659;mso-wrap-distance-left:50.pt;mso-wrap-distance-top:113.05pt;mso-wrap-distance-right:53.100000000000001pt;mso-wrap-distance-bottom:28.100000000000001pt;mso-position-horizontal-relative:page;mso-position-vertical-relative:margin" filled="f" stroked="f">
                <v:textbox style="mso-fit-shape-to-text:t" inset="0,0,0,0">
                  <w:txbxContent>
                    <w:p>
                      <w:pPr>
                        <w:pStyle w:val="Style18"/>
                        <w:keepNext w:val="0"/>
                        <w:keepLines w:val="0"/>
                        <w:widowControl w:val="0"/>
                        <w:shd w:val="clear" w:color="auto" w:fill="auto"/>
                        <w:bidi w:val="0"/>
                        <w:spacing w:before="0" w:after="0" w:line="178" w:lineRule="auto"/>
                        <w:ind w:left="0" w:right="0" w:firstLine="0"/>
                        <w:rPr>
                          <w:sz w:val="20"/>
                          <w:szCs w:val="20"/>
                        </w:rPr>
                      </w:pPr>
                      <w:r>
                        <w:rPr>
                          <w:i/>
                          <w:iCs/>
                          <w:color w:val="000000"/>
                          <w:spacing w:val="0"/>
                          <w:w w:val="100"/>
                          <w:position w:val="0"/>
                          <w:sz w:val="20"/>
                          <w:szCs w:val="20"/>
                          <w:shd w:val="clear" w:color="auto" w:fill="auto"/>
                          <w:lang w:val="cs-CZ" w:eastAsia="cs-CZ" w:bidi="cs-CZ"/>
                        </w:rPr>
                        <w:t>které vám v dnech dovolené při- blíSí krásu přírody a vzkřísí Sum lesů a zpěv vod.</w:t>
                      </w:r>
                    </w:p>
                    <w:p>
                      <w:pPr>
                        <w:pStyle w:val="Style80"/>
                        <w:keepNext w:val="0"/>
                        <w:keepLines w:val="0"/>
                        <w:widowControl w:val="0"/>
                        <w:numPr>
                          <w:ilvl w:val="0"/>
                          <w:numId w:val="175"/>
                        </w:numPr>
                        <w:shd w:val="clear" w:color="auto" w:fill="auto"/>
                        <w:tabs>
                          <w:tab w:pos="206" w:val="left"/>
                        </w:tabs>
                        <w:bidi w:val="0"/>
                        <w:spacing w:before="0" w:after="0" w:line="214" w:lineRule="auto"/>
                        <w:ind w:left="220" w:right="0" w:hanging="220"/>
                      </w:pPr>
                      <w:r>
                        <w:rPr>
                          <w:color w:val="000000"/>
                          <w:spacing w:val="0"/>
                          <w:w w:val="100"/>
                          <w:position w:val="0"/>
                          <w:shd w:val="clear" w:color="auto" w:fill="auto"/>
                          <w:lang w:val="cs-CZ" w:eastAsia="cs-CZ" w:bidi="cs-CZ"/>
                        </w:rPr>
                        <w:t xml:space="preserve">Josef Hora: </w:t>
                      </w:r>
                      <w:r>
                        <w:rPr>
                          <w:b/>
                          <w:bCs/>
                          <w:color w:val="000000"/>
                          <w:spacing w:val="0"/>
                          <w:w w:val="100"/>
                          <w:position w:val="0"/>
                          <w:sz w:val="16"/>
                          <w:szCs w:val="16"/>
                          <w:shd w:val="clear" w:color="auto" w:fill="auto"/>
                          <w:lang w:val="cs-CZ" w:eastAsia="cs-CZ" w:bidi="cs-CZ"/>
                        </w:rPr>
                        <w:t xml:space="preserve">Tvůj hlas. Básně. </w:t>
                      </w:r>
                      <w:r>
                        <w:rPr>
                          <w:color w:val="000000"/>
                          <w:spacing w:val="0"/>
                          <w:w w:val="100"/>
                          <w:position w:val="0"/>
                          <w:shd w:val="clear" w:color="auto" w:fill="auto"/>
                          <w:lang w:val="cs-CZ" w:eastAsia="cs-CZ" w:bidi="cs-CZ"/>
                        </w:rPr>
                        <w:t>2. vydání.</w:t>
                      </w:r>
                    </w:p>
                    <w:p>
                      <w:pPr>
                        <w:pStyle w:val="Style42"/>
                        <w:keepNext w:val="0"/>
                        <w:keepLines w:val="0"/>
                        <w:widowControl w:val="0"/>
                        <w:shd w:val="clear" w:color="auto" w:fill="auto"/>
                        <w:bidi w:val="0"/>
                        <w:spacing w:before="0" w:after="0" w:line="240" w:lineRule="auto"/>
                        <w:ind w:left="220" w:right="0" w:hanging="220"/>
                      </w:pPr>
                      <w:r>
                        <w:rPr>
                          <w:color w:val="000000"/>
                          <w:spacing w:val="0"/>
                          <w:w w:val="100"/>
                          <w:position w:val="0"/>
                          <w:shd w:val="clear" w:color="auto" w:fill="auto"/>
                          <w:lang w:val="cs-CZ" w:eastAsia="cs-CZ" w:bidi="cs-CZ"/>
                        </w:rPr>
                        <w:t>Brož. 20 K. váz. 30 K.</w:t>
                      </w:r>
                    </w:p>
                    <w:p>
                      <w:pPr>
                        <w:pStyle w:val="Style80"/>
                        <w:keepNext w:val="0"/>
                        <w:keepLines w:val="0"/>
                        <w:widowControl w:val="0"/>
                        <w:numPr>
                          <w:ilvl w:val="0"/>
                          <w:numId w:val="175"/>
                        </w:numPr>
                        <w:shd w:val="clear" w:color="auto" w:fill="auto"/>
                        <w:tabs>
                          <w:tab w:pos="206" w:val="left"/>
                        </w:tabs>
                        <w:bidi w:val="0"/>
                        <w:spacing w:before="0" w:after="0" w:line="226" w:lineRule="auto"/>
                        <w:ind w:left="220" w:right="0" w:hanging="220"/>
                      </w:pPr>
                      <w:r>
                        <w:rPr>
                          <w:color w:val="000000"/>
                          <w:spacing w:val="0"/>
                          <w:w w:val="100"/>
                          <w:position w:val="0"/>
                          <w:shd w:val="clear" w:color="auto" w:fill="auto"/>
                          <w:lang w:val="cs-CZ" w:eastAsia="cs-CZ" w:bidi="cs-CZ"/>
                        </w:rPr>
                        <w:t xml:space="preserve">Stanislav K. Neumann: </w:t>
                      </w:r>
                      <w:r>
                        <w:rPr>
                          <w:b/>
                          <w:bCs/>
                          <w:color w:val="000000"/>
                          <w:spacing w:val="0"/>
                          <w:w w:val="100"/>
                          <w:position w:val="0"/>
                          <w:sz w:val="16"/>
                          <w:szCs w:val="16"/>
                          <w:shd w:val="clear" w:color="auto" w:fill="auto"/>
                          <w:lang w:val="cs-CZ" w:eastAsia="cs-CZ" w:bidi="cs-CZ"/>
                        </w:rPr>
                        <w:t>Kniha le</w:t>
                        <w:softHyphen/>
                        <w:t xml:space="preserve">sů, vod a strání. </w:t>
                      </w:r>
                      <w:r>
                        <w:rPr>
                          <w:color w:val="000000"/>
                          <w:spacing w:val="0"/>
                          <w:w w:val="100"/>
                          <w:position w:val="0"/>
                          <w:shd w:val="clear" w:color="auto" w:fill="auto"/>
                          <w:lang w:val="cs-CZ" w:eastAsia="cs-CZ" w:bidi="cs-CZ"/>
                        </w:rPr>
                        <w:t>3. vyd. Básně.</w:t>
                      </w:r>
                    </w:p>
                    <w:p>
                      <w:pPr>
                        <w:pStyle w:val="Style42"/>
                        <w:keepNext w:val="0"/>
                        <w:keepLines w:val="0"/>
                        <w:widowControl w:val="0"/>
                        <w:shd w:val="clear" w:color="auto" w:fill="auto"/>
                        <w:bidi w:val="0"/>
                        <w:spacing w:before="0" w:after="0" w:line="180" w:lineRule="auto"/>
                        <w:ind w:left="220" w:right="0" w:hanging="220"/>
                      </w:pPr>
                      <w:r>
                        <w:rPr>
                          <w:color w:val="000000"/>
                          <w:spacing w:val="0"/>
                          <w:w w:val="100"/>
                          <w:position w:val="0"/>
                          <w:shd w:val="clear" w:color="auto" w:fill="auto"/>
                          <w:lang w:val="cs-CZ" w:eastAsia="cs-CZ" w:bidi="cs-CZ"/>
                        </w:rPr>
                        <w:t>Srož. 25 K, váz. 35 K.</w:t>
                      </w:r>
                    </w:p>
                    <w:p>
                      <w:pPr>
                        <w:pStyle w:val="Style80"/>
                        <w:keepNext w:val="0"/>
                        <w:keepLines w:val="0"/>
                        <w:widowControl w:val="0"/>
                        <w:numPr>
                          <w:ilvl w:val="0"/>
                          <w:numId w:val="175"/>
                        </w:numPr>
                        <w:shd w:val="clear" w:color="auto" w:fill="auto"/>
                        <w:tabs>
                          <w:tab w:pos="216" w:val="left"/>
                        </w:tabs>
                        <w:bidi w:val="0"/>
                        <w:spacing w:before="0" w:after="0" w:line="197" w:lineRule="auto"/>
                        <w:ind w:left="220" w:right="0" w:hanging="220"/>
                      </w:pPr>
                      <w:r>
                        <w:rPr>
                          <w:color w:val="000000"/>
                          <w:spacing w:val="0"/>
                          <w:w w:val="100"/>
                          <w:position w:val="0"/>
                          <w:shd w:val="clear" w:color="auto" w:fill="auto"/>
                          <w:lang w:val="cs-CZ" w:eastAsia="cs-CZ" w:bidi="cs-CZ"/>
                        </w:rPr>
                        <w:t xml:space="preserve">Ladislav Stehlík: </w:t>
                      </w:r>
                      <w:r>
                        <w:rPr>
                          <w:b/>
                          <w:bCs/>
                          <w:color w:val="000000"/>
                          <w:spacing w:val="0"/>
                          <w:w w:val="100"/>
                          <w:position w:val="0"/>
                          <w:sz w:val="16"/>
                          <w:szCs w:val="16"/>
                          <w:shd w:val="clear" w:color="auto" w:fill="auto"/>
                          <w:lang w:val="cs-CZ" w:eastAsia="cs-CZ" w:bidi="cs-CZ"/>
                        </w:rPr>
                        <w:t xml:space="preserve">Zpěv k zemi. </w:t>
                      </w:r>
                      <w:r>
                        <w:rPr>
                          <w:color w:val="000000"/>
                          <w:spacing w:val="0"/>
                          <w:w w:val="100"/>
                          <w:position w:val="0"/>
                          <w:shd w:val="clear" w:color="auto" w:fill="auto"/>
                          <w:lang w:val="cs-CZ" w:eastAsia="cs-CZ" w:bidi="cs-CZ"/>
                        </w:rPr>
                        <w:t>Básně.</w:t>
                      </w:r>
                    </w:p>
                    <w:p>
                      <w:pPr>
                        <w:pStyle w:val="Style42"/>
                        <w:keepNext w:val="0"/>
                        <w:keepLines w:val="0"/>
                        <w:widowControl w:val="0"/>
                        <w:shd w:val="clear" w:color="auto" w:fill="auto"/>
                        <w:bidi w:val="0"/>
                        <w:spacing w:before="0" w:after="0" w:line="223" w:lineRule="auto"/>
                        <w:ind w:left="220" w:right="0" w:hanging="220"/>
                      </w:pPr>
                      <w:r>
                        <w:rPr>
                          <w:color w:val="000000"/>
                          <w:spacing w:val="0"/>
                          <w:w w:val="100"/>
                          <w:position w:val="0"/>
                          <w:shd w:val="clear" w:color="auto" w:fill="auto"/>
                          <w:lang w:val="cs-CZ" w:eastAsia="cs-CZ" w:bidi="cs-CZ"/>
                        </w:rPr>
                        <w:t>Brož. 15 K. váz. 25 K.</w:t>
                      </w:r>
                    </w:p>
                    <w:p>
                      <w:pPr>
                        <w:pStyle w:val="Style80"/>
                        <w:keepNext w:val="0"/>
                        <w:keepLines w:val="0"/>
                        <w:widowControl w:val="0"/>
                        <w:numPr>
                          <w:ilvl w:val="0"/>
                          <w:numId w:val="175"/>
                        </w:numPr>
                        <w:shd w:val="clear" w:color="auto" w:fill="auto"/>
                        <w:tabs>
                          <w:tab w:pos="216" w:val="left"/>
                        </w:tabs>
                        <w:bidi w:val="0"/>
                        <w:spacing w:before="0" w:after="0" w:line="197" w:lineRule="auto"/>
                        <w:ind w:left="220" w:right="0" w:hanging="220"/>
                      </w:pPr>
                      <w:r>
                        <w:rPr>
                          <w:color w:val="000000"/>
                          <w:spacing w:val="0"/>
                          <w:w w:val="100"/>
                          <w:position w:val="0"/>
                          <w:shd w:val="clear" w:color="auto" w:fill="auto"/>
                          <w:lang w:val="cs-CZ" w:eastAsia="cs-CZ" w:bidi="cs-CZ"/>
                        </w:rPr>
                        <w:t xml:space="preserve">Fráňa Šrámek: </w:t>
                      </w:r>
                      <w:r>
                        <w:rPr>
                          <w:b/>
                          <w:bCs/>
                          <w:color w:val="000000"/>
                          <w:spacing w:val="0"/>
                          <w:w w:val="100"/>
                          <w:position w:val="0"/>
                          <w:sz w:val="16"/>
                          <w:szCs w:val="16"/>
                          <w:shd w:val="clear" w:color="auto" w:fill="auto"/>
                          <w:lang w:val="cs-CZ" w:eastAsia="cs-CZ" w:bidi="cs-CZ"/>
                        </w:rPr>
                        <w:t xml:space="preserve">Bouřky a duhy. </w:t>
                      </w:r>
                      <w:r>
                        <w:rPr>
                          <w:color w:val="000000"/>
                          <w:spacing w:val="0"/>
                          <w:w w:val="100"/>
                          <w:position w:val="0"/>
                          <w:shd w:val="clear" w:color="auto" w:fill="auto"/>
                          <w:lang w:val="cs-CZ" w:eastAsia="cs-CZ" w:bidi="cs-CZ"/>
                        </w:rPr>
                        <w:t>Povídky.</w:t>
                      </w:r>
                    </w:p>
                    <w:p>
                      <w:pPr>
                        <w:pStyle w:val="Style42"/>
                        <w:keepNext w:val="0"/>
                        <w:keepLines w:val="0"/>
                        <w:widowControl w:val="0"/>
                        <w:shd w:val="clear" w:color="auto" w:fill="auto"/>
                        <w:bidi w:val="0"/>
                        <w:spacing w:before="0" w:after="0" w:line="223" w:lineRule="auto"/>
                        <w:ind w:left="220" w:right="0" w:hanging="220"/>
                      </w:pPr>
                      <w:r>
                        <w:rPr>
                          <w:color w:val="000000"/>
                          <w:spacing w:val="0"/>
                          <w:w w:val="100"/>
                          <w:position w:val="0"/>
                          <w:shd w:val="clear" w:color="auto" w:fill="auto"/>
                          <w:lang w:val="cs-CZ" w:eastAsia="cs-CZ" w:bidi="cs-CZ"/>
                        </w:rPr>
                        <w:t>Brož. 28 K, váz. 40 K.</w:t>
                      </w:r>
                    </w:p>
                    <w:p>
                      <w:pPr>
                        <w:pStyle w:val="Style80"/>
                        <w:keepNext w:val="0"/>
                        <w:keepLines w:val="0"/>
                        <w:widowControl w:val="0"/>
                        <w:numPr>
                          <w:ilvl w:val="0"/>
                          <w:numId w:val="175"/>
                        </w:numPr>
                        <w:shd w:val="clear" w:color="auto" w:fill="auto"/>
                        <w:tabs>
                          <w:tab w:pos="216" w:val="left"/>
                        </w:tabs>
                        <w:bidi w:val="0"/>
                        <w:spacing w:before="0" w:after="0" w:line="214" w:lineRule="auto"/>
                        <w:ind w:left="220" w:right="0" w:hanging="220"/>
                      </w:pPr>
                      <w:r>
                        <w:rPr>
                          <w:color w:val="000000"/>
                          <w:spacing w:val="0"/>
                          <w:w w:val="100"/>
                          <w:position w:val="0"/>
                          <w:shd w:val="clear" w:color="auto" w:fill="auto"/>
                          <w:lang w:val="cs-CZ" w:eastAsia="cs-CZ" w:bidi="cs-CZ"/>
                        </w:rPr>
                        <w:t xml:space="preserve">Rudolf Těsnohlídek: </w:t>
                      </w:r>
                      <w:r>
                        <w:rPr>
                          <w:b/>
                          <w:bCs/>
                          <w:color w:val="000000"/>
                          <w:spacing w:val="0"/>
                          <w:w w:val="100"/>
                          <w:position w:val="0"/>
                          <w:sz w:val="16"/>
                          <w:szCs w:val="16"/>
                          <w:shd w:val="clear" w:color="auto" w:fill="auto"/>
                          <w:lang w:val="cs-CZ" w:eastAsia="cs-CZ" w:bidi="cs-CZ"/>
                        </w:rPr>
                        <w:t xml:space="preserve">Liška By- strouška. </w:t>
                      </w:r>
                      <w:r>
                        <w:rPr>
                          <w:color w:val="000000"/>
                          <w:spacing w:val="0"/>
                          <w:w w:val="100"/>
                          <w:position w:val="0"/>
                          <w:shd w:val="clear" w:color="auto" w:fill="auto"/>
                          <w:lang w:val="cs-CZ" w:eastAsia="cs-CZ" w:bidi="cs-CZ"/>
                        </w:rPr>
                        <w:t>Bajka o lidech a zví</w:t>
                        <w:softHyphen/>
                        <w:t>řátkách. 2. vydání.</w:t>
                      </w:r>
                    </w:p>
                    <w:p>
                      <w:pPr>
                        <w:pStyle w:val="Style42"/>
                        <w:keepNext w:val="0"/>
                        <w:keepLines w:val="0"/>
                        <w:widowControl w:val="0"/>
                        <w:shd w:val="clear" w:color="auto" w:fill="auto"/>
                        <w:bidi w:val="0"/>
                        <w:spacing w:before="0" w:after="0" w:line="240" w:lineRule="auto"/>
                        <w:ind w:left="220" w:right="0" w:hanging="220"/>
                      </w:pPr>
                      <w:r>
                        <w:rPr>
                          <w:color w:val="000000"/>
                          <w:spacing w:val="0"/>
                          <w:w w:val="100"/>
                          <w:position w:val="0"/>
                          <w:shd w:val="clear" w:color="auto" w:fill="auto"/>
                          <w:lang w:val="cs-CZ" w:eastAsia="cs-CZ" w:bidi="cs-CZ"/>
                        </w:rPr>
                        <w:t>Brož. 28 K. váz. 40 K.</w:t>
                      </w:r>
                    </w:p>
                    <w:p>
                      <w:pPr>
                        <w:pStyle w:val="Style80"/>
                        <w:keepNext w:val="0"/>
                        <w:keepLines w:val="0"/>
                        <w:widowControl w:val="0"/>
                        <w:numPr>
                          <w:ilvl w:val="0"/>
                          <w:numId w:val="175"/>
                        </w:numPr>
                        <w:shd w:val="clear" w:color="auto" w:fill="auto"/>
                        <w:tabs>
                          <w:tab w:pos="206" w:val="left"/>
                        </w:tabs>
                        <w:bidi w:val="0"/>
                        <w:spacing w:before="0" w:after="0" w:line="214" w:lineRule="auto"/>
                        <w:ind w:left="220" w:right="0" w:hanging="220"/>
                      </w:pPr>
                      <w:r>
                        <w:rPr>
                          <w:color w:val="000000"/>
                          <w:spacing w:val="0"/>
                          <w:w w:val="100"/>
                          <w:position w:val="0"/>
                          <w:shd w:val="clear" w:color="auto" w:fill="auto"/>
                          <w:lang w:val="en-US" w:eastAsia="en-US" w:bidi="en-US"/>
                        </w:rPr>
                        <w:t xml:space="preserve">Henri Williamson: </w:t>
                      </w:r>
                      <w:r>
                        <w:rPr>
                          <w:b/>
                          <w:bCs/>
                          <w:color w:val="000000"/>
                          <w:spacing w:val="0"/>
                          <w:w w:val="100"/>
                          <w:position w:val="0"/>
                          <w:sz w:val="16"/>
                          <w:szCs w:val="16"/>
                          <w:shd w:val="clear" w:color="auto" w:fill="auto"/>
                          <w:lang w:val="cs-CZ" w:eastAsia="cs-CZ" w:bidi="cs-CZ"/>
                        </w:rPr>
                        <w:t>Nesmrtelný lo</w:t>
                        <w:softHyphen/>
                        <w:t xml:space="preserve">sos. </w:t>
                      </w:r>
                      <w:r>
                        <w:rPr>
                          <w:color w:val="000000"/>
                          <w:spacing w:val="0"/>
                          <w:w w:val="100"/>
                          <w:position w:val="0"/>
                          <w:shd w:val="clear" w:color="auto" w:fill="auto"/>
                          <w:lang w:val="cs-CZ" w:eastAsia="cs-CZ" w:bidi="cs-CZ"/>
                        </w:rPr>
                        <w:t>Román lososa. 3. vydání.</w:t>
                      </w:r>
                    </w:p>
                    <w:p>
                      <w:pPr>
                        <w:pStyle w:val="Style42"/>
                        <w:keepNext w:val="0"/>
                        <w:keepLines w:val="0"/>
                        <w:widowControl w:val="0"/>
                        <w:shd w:val="clear" w:color="auto" w:fill="auto"/>
                        <w:bidi w:val="0"/>
                        <w:spacing w:before="0" w:after="0" w:line="240" w:lineRule="auto"/>
                        <w:ind w:left="220" w:right="0" w:hanging="220"/>
                      </w:pPr>
                      <w:r>
                        <w:rPr>
                          <w:color w:val="000000"/>
                          <w:spacing w:val="0"/>
                          <w:w w:val="100"/>
                          <w:position w:val="0"/>
                          <w:shd w:val="clear" w:color="auto" w:fill="auto"/>
                          <w:lang w:val="cs-CZ" w:eastAsia="cs-CZ" w:bidi="cs-CZ"/>
                        </w:rPr>
                        <w:t>Brož. 20 K, váz. 32 K.</w:t>
                      </w:r>
                    </w:p>
                    <w:p>
                      <w:pPr>
                        <w:pStyle w:val="Style80"/>
                        <w:keepNext w:val="0"/>
                        <w:keepLines w:val="0"/>
                        <w:widowControl w:val="0"/>
                        <w:shd w:val="clear" w:color="auto" w:fill="auto"/>
                        <w:bidi w:val="0"/>
                        <w:spacing w:before="0" w:after="0" w:line="209" w:lineRule="auto"/>
                        <w:ind w:left="220" w:right="0" w:hanging="220"/>
                      </w:pPr>
                      <w:r>
                        <w:rPr>
                          <w:color w:val="000000"/>
                          <w:spacing w:val="0"/>
                          <w:w w:val="100"/>
                          <w:position w:val="0"/>
                          <w:shd w:val="clear" w:color="auto" w:fill="auto"/>
                          <w:lang w:val="cs-CZ" w:eastAsia="cs-CZ" w:bidi="cs-CZ"/>
                        </w:rPr>
                        <w:t>Dodá každý knihkupec.</w:t>
                      </w:r>
                    </w:p>
                    <w:p>
                      <w:pPr>
                        <w:pStyle w:val="Style80"/>
                        <w:keepNext w:val="0"/>
                        <w:keepLines w:val="0"/>
                        <w:widowControl w:val="0"/>
                        <w:shd w:val="clear" w:color="auto" w:fill="auto"/>
                        <w:bidi w:val="0"/>
                        <w:spacing w:before="0" w:after="0" w:line="221" w:lineRule="auto"/>
                        <w:ind w:left="0" w:right="0" w:firstLine="0"/>
                        <w:jc w:val="right"/>
                        <w:rPr>
                          <w:sz w:val="16"/>
                          <w:szCs w:val="16"/>
                        </w:rPr>
                      </w:pPr>
                      <w:r>
                        <w:rPr>
                          <w:b/>
                          <w:bCs/>
                          <w:color w:val="000000"/>
                          <w:spacing w:val="0"/>
                          <w:w w:val="100"/>
                          <w:position w:val="0"/>
                          <w:sz w:val="16"/>
                          <w:szCs w:val="16"/>
                          <w:shd w:val="clear" w:color="auto" w:fill="auto"/>
                          <w:lang w:val="cs-CZ" w:eastAsia="cs-CZ" w:bidi="cs-CZ"/>
                        </w:rPr>
                        <w:t>FR. BOROVÝ.</w:t>
                      </w:r>
                    </w:p>
                  </w:txbxContent>
                </v:textbox>
                <w10:wrap type="topAndBottom" anchorx="page" anchory="margin"/>
              </v:shape>
            </w:pict>
          </mc:Fallback>
        </mc:AlternateContent>
      </w:r>
      <w:r>
        <w:t xml:space="preserve">léta* na Jevišti ve Valdštějnské </w:t>
      </w:r>
      <w:r>
        <w:t xml:space="preserve">zahradě také dnes Již slavnou Vojnu. Po provedení Máje v sal- la terreně, kdy jsme se obdivovali skvělé výslovnosti recitujících herců, kteří Máchův Máj podali s Jedinečným smyslem pro Jeho kvality básnické a zvukomalebné, tu jako monolog nebo dialog, tam </w:t>
      </w:r>
      <w:r>
        <w:t>zase jako mnohohlasý antický v Burianově dramatisaci a režii chó, působilo I představení Vojny nezapomenutelným dojmem. Voj</w:t>
      </w:r>
      <w:r>
        <w:softHyphen/>
        <w:t>na je vlastně vybrané pásmo kou</w:t>
      </w:r>
      <w:r>
        <w:softHyphen/>
        <w:t>zelných lidových písní s vojen</w:t>
      </w:r>
      <w:r>
        <w:softHyphen/>
        <w:t>skými náměty; písně sedláků a venkovanů, dívek a vesnických stařenek,</w:t>
      </w:r>
      <w:r>
        <w:t xml:space="preserve"> loučících se s rekruty, sloky milostného žalu tesknících žen a dívek, opuštěných muži a milenci a popěvky vojáků, chlap</w:t>
      </w:r>
      <w:r>
        <w:softHyphen/>
        <w:t>ců i mužů, které vojna vzdálila na hony domova, žen a milenek, popěvky nesené vzpomínkou, ho</w:t>
      </w:r>
      <w:r>
        <w:softHyphen/>
        <w:t>řem i vzdorem mužského srdce, to vše zkomp</w:t>
      </w:r>
      <w:r>
        <w:t>onoval E. F, Burian v jedinečný dramatický celek. Voj</w:t>
      </w:r>
      <w:r>
        <w:softHyphen/>
        <w:t>na v podání jeho herců není pás</w:t>
      </w:r>
      <w:r>
        <w:softHyphen/>
        <w:t>mo, to Je skutečné drama v pra</w:t>
      </w:r>
      <w:r>
        <w:softHyphen/>
        <w:t>vém a plném smyslu tohoto slova. Ba nad to je to antická tragedie s chórem, jehož slova se nesou Jako by echem zásvětí, dálek a tajemných s</w:t>
      </w:r>
      <w:r>
        <w:t>větů. E. F. Burian je Jediný z našich divadelníků, který vi, že drama neni Jen uměni hry, mimiky a dialogu a že jeviště je stejně tak domovem Múz milují</w:t>
      </w:r>
      <w:r>
        <w:softHyphen/>
        <w:t>cích hru, jako Múz milujících zpěv, tanec a poesií. Na jevišti ve Vald- štejné zahradě, budicí v diváko</w:t>
      </w:r>
      <w:r>
        <w:t>vi svým kouzelným osvětlením po</w:t>
      </w:r>
      <w:r>
        <w:softHyphen/>
        <w:t>hádkový dojem, se nejen zname</w:t>
      </w:r>
      <w:r>
        <w:softHyphen/>
        <w:t>nitě hrálo, nýbrž 1 tančilo a zpí</w:t>
      </w:r>
      <w:r>
        <w:softHyphen/>
        <w:t>valo. Svěží poesie lidových vojen</w:t>
      </w:r>
      <w:r>
        <w:softHyphen/>
        <w:t>ských písní tu Ještě zintensivně</w:t>
      </w:r>
      <w:r>
        <w:softHyphen/>
        <w:t>la, zvroucněla a ztragičtěla. Aniž by přestávaly býti lidovou písni, stávaly se sloky Vojny J</w:t>
      </w:r>
      <w:r>
        <w:t>ednotli</w:t>
      </w:r>
      <w:r>
        <w:softHyphen/>
        <w:t>vými silně básnicky a divadelně působivými akty dramatu, nad které neznáme krásnějšího. Jak zapomenout! na ten rej bídy, tan</w:t>
      </w:r>
      <w:r>
        <w:softHyphen/>
        <w:t>čené velkolepě s revolučním pato</w:t>
      </w:r>
      <w:r>
        <w:softHyphen/>
        <w:t>sem skupinou venkovských bab, ťukajících suknicemi výhrůžně do podlahy a vykřikujících v r</w:t>
      </w:r>
      <w:r>
        <w:t>eji své temné poselství bídy. Jak zapo</w:t>
      </w:r>
      <w:r>
        <w:softHyphen/>
        <w:t>menout! na okamžik, kdy z hlou</w:t>
      </w:r>
      <w:r>
        <w:softHyphen/>
        <w:t xml:space="preserve">bi parku se ozve teskně večerka vojáků: Vojáci Jděte už </w:t>
      </w:r>
      <w:r>
        <w:rPr>
          <w:lang w:val="en-US" w:eastAsia="en-US" w:bidi="en-US"/>
        </w:rPr>
        <w:t xml:space="preserve">spat, </w:t>
      </w:r>
      <w:r>
        <w:t>ne</w:t>
      </w:r>
      <w:r>
        <w:softHyphen/>
        <w:t>bo když za zpěvu rekrutů v salla terreně vpadne náhle ženský sbor písní: Aby nás Pán Bůh miloval. Šťastné vyřešení prosto</w:t>
      </w:r>
      <w:r>
        <w:t>ru Jeviště i celé zahrady s přilehlým za</w:t>
      </w:r>
      <w:r>
        <w:softHyphen/>
        <w:t>hradním sálem, podivuhodně syté</w:t>
      </w:r>
      <w:r>
        <w:br w:type="column"/>
        <w:t>akustiky, dokonalý melodický přednes lidových písni, neztrácejí</w:t>
      </w:r>
      <w:r>
        <w:softHyphen/>
        <w:t>cích tu nic ze své zázračné lyrič- nosti, citové vroucnosti a zpěvno- sti, ať už jsou ty písně recitované</w:t>
      </w:r>
    </w:p>
    <w:p w:rsidR="00500724" w:rsidRDefault="00F30FB8">
      <w:pPr>
        <w:pStyle w:val="Zkladntext40"/>
        <w:shd w:val="clear" w:color="auto" w:fill="auto"/>
        <w:tabs>
          <w:tab w:val="left" w:leader="underscore" w:pos="2486"/>
        </w:tabs>
        <w:spacing w:after="0" w:line="187" w:lineRule="auto"/>
      </w:pPr>
      <w:r>
        <w:t xml:space="preserve">— je tu však </w:t>
      </w:r>
      <w:r>
        <w:t xml:space="preserve">jakýsi polozpěv </w:t>
      </w:r>
      <w:r>
        <w:tab/>
      </w:r>
    </w:p>
    <w:p w:rsidR="00500724" w:rsidRDefault="00F30FB8">
      <w:pPr>
        <w:pStyle w:val="Zkladntext40"/>
        <w:shd w:val="clear" w:color="auto" w:fill="auto"/>
        <w:spacing w:line="187" w:lineRule="auto"/>
      </w:pPr>
      <w:r>
        <w:t xml:space="preserve">či zpívané a to úžasně prostě </w:t>
      </w:r>
      <w:r>
        <w:rPr>
          <w:b/>
          <w:bCs/>
          <w:sz w:val="16"/>
          <w:szCs w:val="16"/>
        </w:rPr>
        <w:t xml:space="preserve">a </w:t>
      </w:r>
      <w:r>
        <w:t>přirozeně, to vše přispělo k proni</w:t>
      </w:r>
      <w:r>
        <w:softHyphen/>
        <w:t>kavému úspěchu Vojny. Ale jen divadelní kolektiv D-39. vedneý tak znamenitým divadelníkem Ja</w:t>
      </w:r>
      <w:r>
        <w:softHyphen/>
        <w:t xml:space="preserve">ko je Emil Burian, dramaturg </w:t>
      </w:r>
      <w:r>
        <w:rPr>
          <w:b/>
          <w:bCs/>
          <w:sz w:val="16"/>
          <w:szCs w:val="16"/>
        </w:rPr>
        <w:t xml:space="preserve">s </w:t>
      </w:r>
      <w:r>
        <w:t>divadlem v krvi, s duši hudební</w:t>
      </w:r>
      <w:r>
        <w:softHyphen/>
        <w:t xml:space="preserve">ka, jemuž se k </w:t>
      </w:r>
      <w:r>
        <w:t>hudbě rodí tance, balet a odtud prozuměni a láska k poesii, básnickému slovu je schopen učiniti z Vojny něco tak kouzelného, že myslíte stále na férii. Takové postavy, jako byl selsky vychytralý a sebevědomý sedlák Bolkův, vědmovsky pojatá a podaná bába Ku</w:t>
      </w:r>
      <w:r>
        <w:t>báskové, umí</w:t>
      </w:r>
      <w:r>
        <w:softHyphen/>
        <w:t xml:space="preserve">rající voják Machnlkův, zvedajíc! se do temna večera s ovázanou hlavou jako přízrak a zpívající </w:t>
      </w:r>
      <w:r>
        <w:rPr>
          <w:lang w:val="en-US" w:eastAsia="en-US" w:bidi="en-US"/>
        </w:rPr>
        <w:t xml:space="preserve">in </w:t>
      </w:r>
      <w:r>
        <w:t xml:space="preserve">articulo </w:t>
      </w:r>
      <w:r>
        <w:rPr>
          <w:lang w:val="en-US" w:eastAsia="en-US" w:bidi="en-US"/>
        </w:rPr>
        <w:t xml:space="preserve">mortis </w:t>
      </w:r>
      <w:r>
        <w:t>svá vyznání milence. Již mu hodina smrti tak blizko vzkřísila, způsobem sku</w:t>
      </w:r>
      <w:r>
        <w:softHyphen/>
        <w:t>tečně strhujícím, takové postavy se nevidí na našich</w:t>
      </w:r>
      <w:r>
        <w:t xml:space="preserve"> jevištích čas</w:t>
      </w:r>
      <w:r>
        <w:softHyphen/>
        <w:t>to. Jak k nim nepřiřadit zjev Stránské v úloze nešťastné ves</w:t>
      </w:r>
      <w:r>
        <w:softHyphen/>
        <w:t>nické nevěsty, rekruta Vaňátkova a Kozákova, osobitou hru Lišky jako ženicha a všech vojáků i vesnických dívek, mezi kterými se vznosná postava Burešové, zpí</w:t>
      </w:r>
      <w:r>
        <w:softHyphen/>
        <w:t xml:space="preserve">vající a říkající svá </w:t>
      </w:r>
      <w:r>
        <w:t xml:space="preserve">něhy- i hoře- plná vyznání opuštěného děvčete až neuvěřitelně tak dokonale, po stránce hlasové klaviatury bohatě </w:t>
      </w:r>
      <w:r>
        <w:rPr>
          <w:b/>
          <w:bCs/>
          <w:sz w:val="16"/>
          <w:szCs w:val="16"/>
        </w:rPr>
        <w:t xml:space="preserve">a </w:t>
      </w:r>
      <w:r>
        <w:t xml:space="preserve">melodicky tak libozvučně, že </w:t>
      </w:r>
      <w:r>
        <w:rPr>
          <w:b/>
          <w:bCs/>
          <w:sz w:val="16"/>
          <w:szCs w:val="16"/>
        </w:rPr>
        <w:t xml:space="preserve">je </w:t>
      </w:r>
      <w:r>
        <w:t>to sám zázrak, tyči opravdu jako postva antické tragedie. Jen víc takových večerů básnického i scénického umě</w:t>
      </w:r>
      <w:r>
        <w:t>ni, večerů poesie i příkladné práce divadelní!</w:t>
      </w:r>
    </w:p>
    <w:p w:rsidR="00500724" w:rsidRDefault="00F30FB8">
      <w:pPr>
        <w:pStyle w:val="Zkladntext40"/>
        <w:shd w:val="clear" w:color="auto" w:fill="auto"/>
        <w:spacing w:after="40" w:line="175" w:lineRule="auto"/>
        <w:ind w:firstLine="180"/>
        <w:sectPr w:rsidR="00500724">
          <w:footnotePr>
            <w:numFmt w:val="chicago"/>
            <w:numRestart w:val="eachPage"/>
          </w:footnotePr>
          <w:type w:val="continuous"/>
          <w:pgSz w:w="11909" w:h="16834"/>
          <w:pgMar w:top="745" w:right="1006" w:bottom="617" w:left="527" w:header="0" w:footer="3" w:gutter="0"/>
          <w:cols w:num="4" w:sep="1" w:space="100"/>
          <w:noEndnote/>
          <w:docGrid w:linePitch="360"/>
        </w:sectPr>
      </w:pPr>
      <w:r>
        <w:rPr>
          <w:b/>
          <w:bCs/>
          <w:sz w:val="16"/>
          <w:szCs w:val="16"/>
        </w:rPr>
        <w:t xml:space="preserve">NEOBYČEJNÝ ÚSPĚCH ČESKÉ KNIHY VE VÍDNI. </w:t>
      </w:r>
      <w:r>
        <w:t>V Machátově Lidové knihovně vídeňské vydána byla sbírka českých, moravských a slovenských národních písní. Za tři dny bylo prvé vydáni roz</w:t>
      </w:r>
      <w:r>
        <w:t>ebrá</w:t>
      </w:r>
      <w:r>
        <w:softHyphen/>
        <w:t>no. Ale i druhé vydáni bylo v ně</w:t>
      </w:r>
      <w:r>
        <w:softHyphen/>
        <w:t>kolika dnech rozebráno a tak mu</w:t>
      </w:r>
      <w:r>
        <w:softHyphen/>
        <w:t>silo býti uspořádáno Ještě třetí vydáni — v době necelých tří tý</w:t>
      </w:r>
      <w:r>
        <w:softHyphen/>
        <w:t>dnů. Sborník vyšel ve vkusné úpravě pod názvem &gt;Ta naše pís</w:t>
      </w:r>
      <w:r>
        <w:softHyphen/>
        <w:t>nička česká* a je to 42. svazek »VIdeňské lidové knihovny*. D</w:t>
      </w:r>
      <w:r>
        <w:t>o Cech a na Moravu se posílá za 12 K i s poštovným z nakladatelství Vídeň V.. Margaretenplatz 7.</w:t>
      </w:r>
    </w:p>
    <w:p w:rsidR="00500724" w:rsidRDefault="00F30FB8">
      <w:pPr>
        <w:pStyle w:val="Nadpis40"/>
        <w:keepNext/>
        <w:keepLines/>
        <w:shd w:val="clear" w:color="auto" w:fill="auto"/>
      </w:pPr>
      <w:bookmarkStart w:id="713" w:name="bookmark714"/>
      <w:r>
        <w:t>p @</w:t>
      </w:r>
      <w:bookmarkEnd w:id="713"/>
    </w:p>
    <w:p w:rsidR="00500724" w:rsidRDefault="00F30FB8">
      <w:pPr>
        <w:pStyle w:val="Nadpis40"/>
        <w:keepNext/>
        <w:keepLines/>
        <w:shd w:val="clear" w:color="auto" w:fill="auto"/>
        <w:spacing w:line="180" w:lineRule="auto"/>
      </w:pPr>
      <w:bookmarkStart w:id="714" w:name="bookmark715"/>
      <w:r>
        <w:t>JntomnostS</w:t>
      </w:r>
      <w:bookmarkEnd w:id="714"/>
    </w:p>
    <w:p w:rsidR="00500724" w:rsidRDefault="00F30FB8">
      <w:pPr>
        <w:spacing w:line="14" w:lineRule="exact"/>
      </w:pPr>
      <w:r>
        <w:rPr>
          <w:noProof/>
        </w:rPr>
        <mc:AlternateContent>
          <mc:Choice Requires="wps">
            <w:drawing>
              <wp:anchor distT="198120" distB="0" distL="114300" distR="5713730" simplePos="0" relativeHeight="125830096" behindDoc="0" locked="0" layoutInCell="1" allowOverlap="1">
                <wp:simplePos x="0" y="0"/>
                <wp:positionH relativeFrom="page">
                  <wp:posOffset>473075</wp:posOffset>
                </wp:positionH>
                <wp:positionV relativeFrom="paragraph">
                  <wp:posOffset>198120</wp:posOffset>
                </wp:positionV>
                <wp:extent cx="1191895" cy="170815"/>
                <wp:effectExtent l="0" t="0" r="0" b="0"/>
                <wp:wrapTopAndBottom/>
                <wp:docPr id="719" name="Shape 719"/>
                <wp:cNvGraphicFramePr/>
                <a:graphic xmlns:a="http://schemas.openxmlformats.org/drawingml/2006/main">
                  <a:graphicData uri="http://schemas.microsoft.com/office/word/2010/wordprocessingShape">
                    <wps:wsp>
                      <wps:cNvSpPr txBox="1"/>
                      <wps:spPr>
                        <a:xfrm>
                          <a:off x="0" y="0"/>
                          <a:ext cx="1191895" cy="170815"/>
                        </a:xfrm>
                        <a:prstGeom prst="rect">
                          <a:avLst/>
                        </a:prstGeom>
                        <a:noFill/>
                      </wps:spPr>
                      <wps:txbx>
                        <w:txbxContent>
                          <w:p w:rsidR="00500724" w:rsidRDefault="00F30FB8">
                            <w:pPr>
                              <w:pStyle w:val="Zkladntext1"/>
                              <w:shd w:val="clear" w:color="auto" w:fill="auto"/>
                              <w:ind w:firstLine="0"/>
                              <w:jc w:val="left"/>
                              <w:rPr>
                                <w:sz w:val="20"/>
                                <w:szCs w:val="20"/>
                              </w:rPr>
                            </w:pPr>
                            <w:r>
                              <w:rPr>
                                <w:b/>
                                <w:bCs/>
                                <w:sz w:val="20"/>
                                <w:szCs w:val="20"/>
                              </w:rPr>
                              <w:t>ROCNIKXVL</w:t>
                            </w:r>
                          </w:p>
                        </w:txbxContent>
                      </wps:txbx>
                      <wps:bodyPr lIns="0" tIns="0" rIns="0" bIns="0"/>
                    </wps:wsp>
                  </a:graphicData>
                </a:graphic>
              </wp:anchor>
            </w:drawing>
          </mc:Choice>
          <mc:Fallback>
            <w:pict>
              <v:shape id="_x0000_s1745" type="#_x0000_t202" style="position:absolute;margin-left:37.25pt;margin-top:15.6pt;width:93.849999999999994pt;height:13.449999999999999pt;z-index:-125828657;mso-wrap-distance-left:9.pt;mso-wrap-distance-top:15.6pt;mso-wrap-distance-right:449.89999999999998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ROCNIKXVL</w:t>
                      </w:r>
                    </w:p>
                  </w:txbxContent>
                </v:textbox>
                <w10:wrap type="topAndBottom" anchorx="page"/>
              </v:shape>
            </w:pict>
          </mc:Fallback>
        </mc:AlternateContent>
      </w:r>
      <w:r>
        <w:rPr>
          <w:noProof/>
        </w:rPr>
        <mc:AlternateContent>
          <mc:Choice Requires="wps">
            <w:drawing>
              <wp:anchor distT="158750" distB="0" distL="2336165" distR="2125980" simplePos="0" relativeHeight="125830098" behindDoc="0" locked="0" layoutInCell="1" allowOverlap="1">
                <wp:simplePos x="0" y="0"/>
                <wp:positionH relativeFrom="page">
                  <wp:posOffset>2694940</wp:posOffset>
                </wp:positionH>
                <wp:positionV relativeFrom="paragraph">
                  <wp:posOffset>158750</wp:posOffset>
                </wp:positionV>
                <wp:extent cx="2557145" cy="216535"/>
                <wp:effectExtent l="0" t="0" r="0" b="0"/>
                <wp:wrapTopAndBottom/>
                <wp:docPr id="721" name="Shape 721"/>
                <wp:cNvGraphicFramePr/>
                <a:graphic xmlns:a="http://schemas.openxmlformats.org/drawingml/2006/main">
                  <a:graphicData uri="http://schemas.microsoft.com/office/word/2010/wordprocessingShape">
                    <wps:wsp>
                      <wps:cNvSpPr txBox="1"/>
                      <wps:spPr>
                        <a:xfrm>
                          <a:off x="0" y="0"/>
                          <a:ext cx="2557145" cy="216535"/>
                        </a:xfrm>
                        <a:prstGeom prst="rect">
                          <a:avLst/>
                        </a:prstGeom>
                        <a:noFill/>
                      </wps:spPr>
                      <wps:txbx>
                        <w:txbxContent>
                          <w:p w:rsidR="00500724" w:rsidRDefault="00F30FB8">
                            <w:pPr>
                              <w:pStyle w:val="Zkladntext1"/>
                              <w:shd w:val="clear" w:color="auto" w:fill="auto"/>
                              <w:ind w:firstLine="0"/>
                              <w:jc w:val="left"/>
                              <w:rPr>
                                <w:sz w:val="20"/>
                                <w:szCs w:val="20"/>
                              </w:rPr>
                            </w:pPr>
                            <w:r>
                              <w:rPr>
                                <w:b/>
                                <w:bCs/>
                                <w:sz w:val="20"/>
                                <w:szCs w:val="20"/>
                              </w:rPr>
                              <w:t xml:space="preserve">v </w:t>
                            </w:r>
                            <w:r>
                              <w:rPr>
                                <w:b/>
                                <w:bCs/>
                                <w:smallCaps/>
                                <w:sz w:val="26"/>
                                <w:szCs w:val="26"/>
                              </w:rPr>
                              <w:t>praze</w:t>
                            </w:r>
                            <w:r>
                              <w:rPr>
                                <w:b/>
                                <w:bCs/>
                                <w:sz w:val="20"/>
                                <w:szCs w:val="20"/>
                              </w:rPr>
                              <w:t xml:space="preserve"> 19. </w:t>
                            </w:r>
                            <w:r>
                              <w:rPr>
                                <w:b/>
                                <w:bCs/>
                                <w:smallCaps/>
                                <w:sz w:val="26"/>
                                <w:szCs w:val="26"/>
                              </w:rPr>
                              <w:t>Července</w:t>
                            </w:r>
                            <w:r>
                              <w:rPr>
                                <w:b/>
                                <w:bCs/>
                                <w:sz w:val="20"/>
                                <w:szCs w:val="20"/>
                              </w:rPr>
                              <w:t xml:space="preserve"> 1939</w:t>
                            </w:r>
                          </w:p>
                        </w:txbxContent>
                      </wps:txbx>
                      <wps:bodyPr lIns="0" tIns="0" rIns="0" bIns="0"/>
                    </wps:wsp>
                  </a:graphicData>
                </a:graphic>
              </wp:anchor>
            </w:drawing>
          </mc:Choice>
          <mc:Fallback>
            <w:pict>
              <v:shape id="_x0000_s1747" type="#_x0000_t202" style="position:absolute;margin-left:212.19999999999999pt;margin-top:12.5pt;width:201.34999999999999pt;height:17.050000000000001pt;z-index:-125828655;mso-wrap-distance-left:183.94999999999999pt;mso-wrap-distance-top:12.5pt;mso-wrap-distance-right:167.40000000000001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cs-CZ" w:eastAsia="cs-CZ" w:bidi="cs-CZ"/>
                        </w:rPr>
                        <w:t xml:space="preserve">v </w:t>
                      </w:r>
                      <w:r>
                        <w:rPr>
                          <w:b/>
                          <w:bCs/>
                          <w:smallCaps/>
                          <w:color w:val="000000"/>
                          <w:spacing w:val="0"/>
                          <w:w w:val="100"/>
                          <w:position w:val="0"/>
                          <w:sz w:val="26"/>
                          <w:szCs w:val="26"/>
                          <w:shd w:val="clear" w:color="auto" w:fill="auto"/>
                          <w:lang w:val="cs-CZ" w:eastAsia="cs-CZ" w:bidi="cs-CZ"/>
                        </w:rPr>
                        <w:t>praze</w:t>
                      </w:r>
                      <w:r>
                        <w:rPr>
                          <w:b/>
                          <w:bCs/>
                          <w:color w:val="000000"/>
                          <w:spacing w:val="0"/>
                          <w:w w:val="100"/>
                          <w:position w:val="0"/>
                          <w:sz w:val="20"/>
                          <w:szCs w:val="20"/>
                          <w:shd w:val="clear" w:color="auto" w:fill="auto"/>
                          <w:lang w:val="cs-CZ" w:eastAsia="cs-CZ" w:bidi="cs-CZ"/>
                        </w:rPr>
                        <w:t xml:space="preserve"> 19. </w:t>
                      </w:r>
                      <w:r>
                        <w:rPr>
                          <w:b/>
                          <w:bCs/>
                          <w:smallCaps/>
                          <w:color w:val="000000"/>
                          <w:spacing w:val="0"/>
                          <w:w w:val="100"/>
                          <w:position w:val="0"/>
                          <w:sz w:val="26"/>
                          <w:szCs w:val="26"/>
                          <w:shd w:val="clear" w:color="auto" w:fill="auto"/>
                          <w:lang w:val="cs-CZ" w:eastAsia="cs-CZ" w:bidi="cs-CZ"/>
                        </w:rPr>
                        <w:t>Července</w:t>
                      </w:r>
                      <w:r>
                        <w:rPr>
                          <w:b/>
                          <w:bCs/>
                          <w:color w:val="000000"/>
                          <w:spacing w:val="0"/>
                          <w:w w:val="100"/>
                          <w:position w:val="0"/>
                          <w:sz w:val="20"/>
                          <w:szCs w:val="20"/>
                          <w:shd w:val="clear" w:color="auto" w:fill="auto"/>
                          <w:lang w:val="cs-CZ" w:eastAsia="cs-CZ" w:bidi="cs-CZ"/>
                        </w:rPr>
                        <w:t xml:space="preserve"> 1939</w:t>
                      </w:r>
                    </w:p>
                  </w:txbxContent>
                </v:textbox>
                <w10:wrap type="topAndBottom" anchorx="page"/>
              </v:shape>
            </w:pict>
          </mc:Fallback>
        </mc:AlternateContent>
      </w:r>
      <w:r>
        <w:rPr>
          <w:noProof/>
        </w:rPr>
        <mc:AlternateContent>
          <mc:Choice Requires="wps">
            <w:drawing>
              <wp:anchor distT="152400" distB="0" distL="6155690" distR="114300" simplePos="0" relativeHeight="125830100" behindDoc="0" locked="0" layoutInCell="1" allowOverlap="1">
                <wp:simplePos x="0" y="0"/>
                <wp:positionH relativeFrom="page">
                  <wp:posOffset>6513830</wp:posOffset>
                </wp:positionH>
                <wp:positionV relativeFrom="paragraph">
                  <wp:posOffset>152400</wp:posOffset>
                </wp:positionV>
                <wp:extent cx="749935" cy="216535"/>
                <wp:effectExtent l="0" t="0" r="0" b="0"/>
                <wp:wrapTopAndBottom/>
                <wp:docPr id="723" name="Shape 723"/>
                <wp:cNvGraphicFramePr/>
                <a:graphic xmlns:a="http://schemas.openxmlformats.org/drawingml/2006/main">
                  <a:graphicData uri="http://schemas.microsoft.com/office/word/2010/wordprocessingShape">
                    <wps:wsp>
                      <wps:cNvSpPr txBox="1"/>
                      <wps:spPr>
                        <a:xfrm>
                          <a:off x="0" y="0"/>
                          <a:ext cx="749935" cy="216535"/>
                        </a:xfrm>
                        <a:prstGeom prst="rect">
                          <a:avLst/>
                        </a:prstGeom>
                        <a:noFill/>
                      </wps:spPr>
                      <wps:txbx>
                        <w:txbxContent>
                          <w:p w:rsidR="00500724" w:rsidRDefault="00F30FB8">
                            <w:pPr>
                              <w:pStyle w:val="Jin0"/>
                              <w:shd w:val="clear" w:color="auto" w:fill="auto"/>
                              <w:ind w:firstLine="0"/>
                              <w:jc w:val="left"/>
                              <w:rPr>
                                <w:sz w:val="26"/>
                                <w:szCs w:val="26"/>
                              </w:rPr>
                            </w:pPr>
                            <w:r>
                              <w:rPr>
                                <w:b/>
                                <w:bCs/>
                                <w:sz w:val="26"/>
                                <w:szCs w:val="26"/>
                              </w:rPr>
                              <w:t>SAK 2.—</w:t>
                            </w:r>
                          </w:p>
                        </w:txbxContent>
                      </wps:txbx>
                      <wps:bodyPr lIns="0" tIns="0" rIns="0" bIns="0"/>
                    </wps:wsp>
                  </a:graphicData>
                </a:graphic>
              </wp:anchor>
            </w:drawing>
          </mc:Choice>
          <mc:Fallback>
            <w:pict>
              <v:shape id="_x0000_s1749" type="#_x0000_t202" style="position:absolute;margin-left:512.89999999999998pt;margin-top:12.pt;width:59.049999999999997pt;height:17.050000000000001pt;z-index:-125828653;mso-wrap-distance-left:484.69999999999999pt;mso-wrap-distance-top:12.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b/>
                          <w:bCs/>
                          <w:color w:val="000000"/>
                          <w:spacing w:val="0"/>
                          <w:w w:val="100"/>
                          <w:position w:val="0"/>
                          <w:sz w:val="26"/>
                          <w:szCs w:val="26"/>
                          <w:shd w:val="clear" w:color="auto" w:fill="auto"/>
                          <w:lang w:val="cs-CZ" w:eastAsia="cs-CZ" w:bidi="cs-CZ"/>
                        </w:rPr>
                        <w:t>SAK 2.—</w:t>
                      </w:r>
                    </w:p>
                  </w:txbxContent>
                </v:textbox>
                <w10:wrap type="topAndBottom" anchorx="page"/>
              </v:shape>
            </w:pict>
          </mc:Fallback>
        </mc:AlternateContent>
      </w:r>
    </w:p>
    <w:p w:rsidR="00500724" w:rsidRDefault="00F30FB8">
      <w:pPr>
        <w:spacing w:line="14" w:lineRule="exact"/>
      </w:pPr>
      <w:r>
        <w:rPr>
          <w:noProof/>
        </w:rPr>
        <mc:AlternateContent>
          <mc:Choice Requires="wps">
            <w:drawing>
              <wp:anchor distT="800100" distB="0" distL="114300" distR="5380990" simplePos="0" relativeHeight="125830102" behindDoc="0" locked="0" layoutInCell="1" allowOverlap="1">
                <wp:simplePos x="0" y="0"/>
                <wp:positionH relativeFrom="page">
                  <wp:posOffset>509270</wp:posOffset>
                </wp:positionH>
                <wp:positionV relativeFrom="paragraph">
                  <wp:posOffset>800100</wp:posOffset>
                </wp:positionV>
                <wp:extent cx="1459865" cy="448310"/>
                <wp:effectExtent l="0" t="0" r="0" b="0"/>
                <wp:wrapTopAndBottom/>
                <wp:docPr id="725" name="Shape 725"/>
                <wp:cNvGraphicFramePr/>
                <a:graphic xmlns:a="http://schemas.openxmlformats.org/drawingml/2006/main">
                  <a:graphicData uri="http://schemas.microsoft.com/office/word/2010/wordprocessingShape">
                    <wps:wsp>
                      <wps:cNvSpPr txBox="1"/>
                      <wps:spPr>
                        <a:xfrm>
                          <a:off x="0" y="0"/>
                          <a:ext cx="1459865" cy="448310"/>
                        </a:xfrm>
                        <a:prstGeom prst="rect">
                          <a:avLst/>
                        </a:prstGeom>
                        <a:noFill/>
                      </wps:spPr>
                      <wps:txbx>
                        <w:txbxContent>
                          <w:p w:rsidR="00500724" w:rsidRDefault="00F30FB8">
                            <w:pPr>
                              <w:pStyle w:val="Nadpis70"/>
                              <w:keepNext/>
                              <w:keepLines/>
                              <w:shd w:val="clear" w:color="auto" w:fill="auto"/>
                            </w:pPr>
                            <w:bookmarkStart w:id="715" w:name="bookmark712"/>
                            <w:r>
                              <w:rPr>
                                <w:rFonts w:ascii="Times New Roman" w:eastAsia="Times New Roman" w:hAnsi="Times New Roman" w:cs="Times New Roman"/>
                                <w:w w:val="100"/>
                              </w:rPr>
                              <w:t>Gdaňsko</w:t>
                            </w:r>
                            <w:bookmarkEnd w:id="715"/>
                          </w:p>
                        </w:txbxContent>
                      </wps:txbx>
                      <wps:bodyPr lIns="0" tIns="0" rIns="0" bIns="0"/>
                    </wps:wsp>
                  </a:graphicData>
                </a:graphic>
              </wp:anchor>
            </w:drawing>
          </mc:Choice>
          <mc:Fallback>
            <w:pict>
              <v:shape id="_x0000_s1751" type="#_x0000_t202" style="position:absolute;margin-left:40.100000000000001pt;margin-top:63.pt;width:114.95pt;height:35.299999999999997pt;z-index:-125828651;mso-wrap-distance-left:9.pt;mso-wrap-distance-top:63.pt;mso-wrap-distance-right:423.69999999999999pt;mso-position-horizontal-relative:page" filled="f" stroked="f">
                <v:textbox inset="0,0,0,0">
                  <w:txbxContent>
                    <w:p>
                      <w:pPr>
                        <w:pStyle w:val="Style85"/>
                        <w:keepNext/>
                        <w:keepLines/>
                        <w:widowControl w:val="0"/>
                        <w:shd w:val="clear" w:color="auto" w:fill="auto"/>
                        <w:bidi w:val="0"/>
                        <w:spacing w:before="0" w:after="0" w:line="240" w:lineRule="auto"/>
                        <w:ind w:left="0" w:right="0" w:firstLine="0"/>
                        <w:jc w:val="left"/>
                      </w:pPr>
                      <w:bookmarkStart w:id="712" w:name="bookmark712"/>
                      <w:r>
                        <w:rPr>
                          <w:rFonts w:ascii="Times New Roman" w:eastAsia="Times New Roman" w:hAnsi="Times New Roman" w:cs="Times New Roman"/>
                          <w:color w:val="000000"/>
                          <w:spacing w:val="0"/>
                          <w:w w:val="100"/>
                          <w:position w:val="0"/>
                          <w:shd w:val="clear" w:color="auto" w:fill="auto"/>
                          <w:lang w:val="cs-CZ" w:eastAsia="cs-CZ" w:bidi="cs-CZ"/>
                        </w:rPr>
                        <w:t>Gdaňsko</w:t>
                      </w:r>
                      <w:bookmarkEnd w:id="712"/>
                    </w:p>
                  </w:txbxContent>
                </v:textbox>
                <w10:wrap type="topAndBottom" anchorx="page"/>
              </v:shape>
            </w:pict>
          </mc:Fallback>
        </mc:AlternateContent>
      </w:r>
      <w:r>
        <w:rPr>
          <w:noProof/>
        </w:rPr>
        <mc:AlternateContent>
          <mc:Choice Requires="wps">
            <w:drawing>
              <wp:anchor distT="998220" distB="24765" distL="5405755" distR="114300" simplePos="0" relativeHeight="125830104" behindDoc="0" locked="0" layoutInCell="1" allowOverlap="1">
                <wp:simplePos x="0" y="0"/>
                <wp:positionH relativeFrom="page">
                  <wp:posOffset>5800725</wp:posOffset>
                </wp:positionH>
                <wp:positionV relativeFrom="paragraph">
                  <wp:posOffset>998220</wp:posOffset>
                </wp:positionV>
                <wp:extent cx="1435735" cy="216535"/>
                <wp:effectExtent l="0" t="0" r="0" b="0"/>
                <wp:wrapTopAndBottom/>
                <wp:docPr id="727" name="Shape 727"/>
                <wp:cNvGraphicFramePr/>
                <a:graphic xmlns:a="http://schemas.openxmlformats.org/drawingml/2006/main">
                  <a:graphicData uri="http://schemas.microsoft.com/office/word/2010/wordprocessingShape">
                    <wps:wsp>
                      <wps:cNvSpPr txBox="1"/>
                      <wps:spPr>
                        <a:xfrm>
                          <a:off x="0" y="0"/>
                          <a:ext cx="1435735"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PAVEL HOFMAN</w:t>
                            </w:r>
                          </w:p>
                        </w:txbxContent>
                      </wps:txbx>
                      <wps:bodyPr lIns="0" tIns="0" rIns="0" bIns="0"/>
                    </wps:wsp>
                  </a:graphicData>
                </a:graphic>
              </wp:anchor>
            </w:drawing>
          </mc:Choice>
          <mc:Fallback>
            <w:pict>
              <v:shape id="_x0000_s1753" type="#_x0000_t202" style="position:absolute;margin-left:456.75pt;margin-top:78.599999999999994pt;width:113.05pt;height:17.050000000000001pt;z-index:-125828649;mso-wrap-distance-left:425.64999999999998pt;mso-wrap-distance-top:78.599999999999994pt;mso-wrap-distance-right:9.pt;mso-wrap-distance-bottom:1.9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PAVEL HOFMAN</w:t>
                      </w:r>
                    </w:p>
                  </w:txbxContent>
                </v:textbox>
                <w10:wrap type="topAndBottom" anchorx="page"/>
              </v:shape>
            </w:pict>
          </mc:Fallback>
        </mc:AlternateContent>
      </w:r>
    </w:p>
    <w:p w:rsidR="00500724" w:rsidRDefault="00F30FB8">
      <w:pPr>
        <w:spacing w:line="14" w:lineRule="exact"/>
        <w:sectPr w:rsidR="00500724">
          <w:footnotePr>
            <w:numFmt w:val="chicago"/>
            <w:numRestart w:val="eachPage"/>
          </w:footnotePr>
          <w:pgSz w:w="11909" w:h="16834"/>
          <w:pgMar w:top="857" w:right="324" w:bottom="1176" w:left="329" w:header="0" w:footer="3" w:gutter="0"/>
          <w:cols w:space="720"/>
          <w:noEndnote/>
          <w:docGrid w:linePitch="360"/>
        </w:sectPr>
      </w:pPr>
      <w:r>
        <w:rPr>
          <w:noProof/>
        </w:rPr>
        <mc:AlternateContent>
          <mc:Choice Requires="wps">
            <w:drawing>
              <wp:anchor distT="295910" distB="0" distL="114300" distR="2689860" simplePos="0" relativeHeight="125830106" behindDoc="0" locked="0" layoutInCell="1" allowOverlap="1">
                <wp:simplePos x="0" y="0"/>
                <wp:positionH relativeFrom="page">
                  <wp:posOffset>512445</wp:posOffset>
                </wp:positionH>
                <wp:positionV relativeFrom="paragraph">
                  <wp:posOffset>304800</wp:posOffset>
                </wp:positionV>
                <wp:extent cx="4154170" cy="448310"/>
                <wp:effectExtent l="0" t="0" r="0" b="0"/>
                <wp:wrapTopAndBottom/>
                <wp:docPr id="729" name="Shape 729"/>
                <wp:cNvGraphicFramePr/>
                <a:graphic xmlns:a="http://schemas.openxmlformats.org/drawingml/2006/main">
                  <a:graphicData uri="http://schemas.microsoft.com/office/word/2010/wordprocessingShape">
                    <wps:wsp>
                      <wps:cNvSpPr txBox="1"/>
                      <wps:spPr>
                        <a:xfrm>
                          <a:off x="0" y="0"/>
                          <a:ext cx="4154170" cy="448310"/>
                        </a:xfrm>
                        <a:prstGeom prst="rect">
                          <a:avLst/>
                        </a:prstGeom>
                        <a:noFill/>
                      </wps:spPr>
                      <wps:txbx>
                        <w:txbxContent>
                          <w:p w:rsidR="00500724" w:rsidRDefault="00F30FB8">
                            <w:pPr>
                              <w:pStyle w:val="Nadpis70"/>
                              <w:keepNext/>
                              <w:keepLines/>
                              <w:shd w:val="clear" w:color="auto" w:fill="auto"/>
                            </w:pPr>
                            <w:bookmarkStart w:id="716" w:name="bookmark713"/>
                            <w:r>
                              <w:rPr>
                                <w:rFonts w:ascii="Times New Roman" w:eastAsia="Times New Roman" w:hAnsi="Times New Roman" w:cs="Times New Roman"/>
                                <w:w w:val="100"/>
                              </w:rPr>
                              <w:t>Od Mukdenu do Tiencinu</w:t>
                            </w:r>
                            <w:bookmarkEnd w:id="716"/>
                          </w:p>
                        </w:txbxContent>
                      </wps:txbx>
                      <wps:bodyPr lIns="0" tIns="0" rIns="0" bIns="0"/>
                    </wps:wsp>
                  </a:graphicData>
                </a:graphic>
              </wp:anchor>
            </w:drawing>
          </mc:Choice>
          <mc:Fallback>
            <w:pict>
              <v:shape id="_x0000_s1755" type="#_x0000_t202" style="position:absolute;margin-left:40.350000000000001pt;margin-top:24.pt;width:327.10000000000002pt;height:35.299999999999997pt;z-index:-125828647;mso-wrap-distance-left:9.pt;mso-wrap-distance-top:23.300000000000001pt;mso-wrap-distance-right:211.80000000000001pt;mso-position-horizontal-relative:page" filled="f" stroked="f">
                <v:textbox inset="0,0,0,0">
                  <w:txbxContent>
                    <w:p>
                      <w:pPr>
                        <w:pStyle w:val="Style85"/>
                        <w:keepNext/>
                        <w:keepLines/>
                        <w:widowControl w:val="0"/>
                        <w:shd w:val="clear" w:color="auto" w:fill="auto"/>
                        <w:bidi w:val="0"/>
                        <w:spacing w:before="0" w:after="0" w:line="240" w:lineRule="auto"/>
                        <w:ind w:left="0" w:right="0" w:firstLine="0"/>
                        <w:jc w:val="left"/>
                      </w:pPr>
                      <w:bookmarkStart w:id="713" w:name="bookmark713"/>
                      <w:r>
                        <w:rPr>
                          <w:rFonts w:ascii="Times New Roman" w:eastAsia="Times New Roman" w:hAnsi="Times New Roman" w:cs="Times New Roman"/>
                          <w:color w:val="000000"/>
                          <w:spacing w:val="0"/>
                          <w:w w:val="100"/>
                          <w:position w:val="0"/>
                          <w:shd w:val="clear" w:color="auto" w:fill="auto"/>
                          <w:lang w:val="cs-CZ" w:eastAsia="cs-CZ" w:bidi="cs-CZ"/>
                        </w:rPr>
                        <w:t>Od Mukdenu do Tiencinu</w:t>
                      </w:r>
                      <w:bookmarkEnd w:id="713"/>
                    </w:p>
                  </w:txbxContent>
                </v:textbox>
                <w10:wrap type="topAndBottom" anchorx="page"/>
              </v:shape>
            </w:pict>
          </mc:Fallback>
        </mc:AlternateContent>
      </w:r>
      <w:r>
        <w:rPr>
          <w:noProof/>
        </w:rPr>
        <mc:AlternateContent>
          <mc:Choice Requires="wps">
            <w:drawing>
              <wp:anchor distT="494030" distB="24765" distL="5883910" distR="114300" simplePos="0" relativeHeight="125830108" behindDoc="0" locked="0" layoutInCell="1" allowOverlap="1">
                <wp:simplePos x="0" y="0"/>
                <wp:positionH relativeFrom="page">
                  <wp:posOffset>6282690</wp:posOffset>
                </wp:positionH>
                <wp:positionV relativeFrom="paragraph">
                  <wp:posOffset>502920</wp:posOffset>
                </wp:positionV>
                <wp:extent cx="960120" cy="216535"/>
                <wp:effectExtent l="0" t="0" r="0" b="0"/>
                <wp:wrapTopAndBottom/>
                <wp:docPr id="731" name="Shape 731"/>
                <wp:cNvGraphicFramePr/>
                <a:graphic xmlns:a="http://schemas.openxmlformats.org/drawingml/2006/main">
                  <a:graphicData uri="http://schemas.microsoft.com/office/word/2010/wordprocessingShape">
                    <wps:wsp>
                      <wps:cNvSpPr txBox="1"/>
                      <wps:spPr>
                        <a:xfrm>
                          <a:off x="0" y="0"/>
                          <a:ext cx="960120"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 xml:space="preserve">V. </w:t>
                            </w:r>
                            <w:r>
                              <w:rPr>
                                <w:sz w:val="26"/>
                                <w:szCs w:val="26"/>
                              </w:rPr>
                              <w:t>STRNAD</w:t>
                            </w:r>
                          </w:p>
                        </w:txbxContent>
                      </wps:txbx>
                      <wps:bodyPr lIns="0" tIns="0" rIns="0" bIns="0"/>
                    </wps:wsp>
                  </a:graphicData>
                </a:graphic>
              </wp:anchor>
            </w:drawing>
          </mc:Choice>
          <mc:Fallback>
            <w:pict>
              <v:shape id="_x0000_s1757" type="#_x0000_t202" style="position:absolute;margin-left:494.69999999999999pt;margin-top:39.600000000000001pt;width:75.599999999999994pt;height:17.050000000000001pt;z-index:-125828645;mso-wrap-distance-left:463.30000000000001pt;mso-wrap-distance-top:38.899999999999999pt;mso-wrap-distance-right:9.pt;mso-wrap-distance-bottom:1.9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V. STRNAD</w:t>
                      </w:r>
                    </w:p>
                  </w:txbxContent>
                </v:textbox>
                <w10:wrap type="topAndBottom" anchorx="page"/>
              </v:shape>
            </w:pict>
          </mc:Fallback>
        </mc:AlternateContent>
      </w:r>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857" w:right="0" w:bottom="1176" w:left="0" w:header="0" w:footer="3" w:gutter="0"/>
          <w:cols w:space="720"/>
          <w:noEndnote/>
          <w:docGrid w:linePitch="360"/>
        </w:sectPr>
      </w:pPr>
    </w:p>
    <w:p w:rsidR="00500724" w:rsidRDefault="00F30FB8">
      <w:pPr>
        <w:pStyle w:val="Nadpis70"/>
        <w:keepNext/>
        <w:keepLines/>
        <w:pBdr>
          <w:bottom w:val="single" w:sz="4" w:space="0" w:color="auto"/>
        </w:pBdr>
        <w:shd w:val="clear" w:color="auto" w:fill="auto"/>
        <w:spacing w:after="580"/>
        <w:ind w:left="300"/>
      </w:pPr>
      <w:bookmarkStart w:id="717" w:name="bookmark717"/>
      <w:r>
        <w:rPr>
          <w:rFonts w:ascii="Times New Roman" w:eastAsia="Times New Roman" w:hAnsi="Times New Roman" w:cs="Times New Roman"/>
          <w:w w:val="100"/>
        </w:rPr>
        <w:t>My bývalí poslanci</w:t>
      </w:r>
      <w:bookmarkEnd w:id="717"/>
    </w:p>
    <w:p w:rsidR="00500724" w:rsidRDefault="00F30FB8">
      <w:pPr>
        <w:pStyle w:val="Nadpis70"/>
        <w:keepNext/>
        <w:keepLines/>
        <w:shd w:val="clear" w:color="auto" w:fill="auto"/>
        <w:ind w:left="300"/>
      </w:pPr>
      <w:r>
        <w:rPr>
          <w:noProof/>
        </w:rPr>
        <mc:AlternateContent>
          <mc:Choice Requires="wps">
            <w:drawing>
              <wp:anchor distT="0" distB="0" distL="114300" distR="114300" simplePos="0" relativeHeight="125830110" behindDoc="0" locked="0" layoutInCell="1" allowOverlap="1">
                <wp:simplePos x="0" y="0"/>
                <wp:positionH relativeFrom="page">
                  <wp:posOffset>6200140</wp:posOffset>
                </wp:positionH>
                <wp:positionV relativeFrom="paragraph">
                  <wp:posOffset>203200</wp:posOffset>
                </wp:positionV>
                <wp:extent cx="1073150" cy="216535"/>
                <wp:effectExtent l="0" t="0" r="0" b="0"/>
                <wp:wrapSquare wrapText="left"/>
                <wp:docPr id="733" name="Shape 733"/>
                <wp:cNvGraphicFramePr/>
                <a:graphic xmlns:a="http://schemas.openxmlformats.org/drawingml/2006/main">
                  <a:graphicData uri="http://schemas.microsoft.com/office/word/2010/wordprocessingShape">
                    <wps:wsp>
                      <wps:cNvSpPr txBox="1"/>
                      <wps:spPr>
                        <a:xfrm>
                          <a:off x="0" y="0"/>
                          <a:ext cx="1073150"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PETR VALD</w:t>
                            </w:r>
                          </w:p>
                        </w:txbxContent>
                      </wps:txbx>
                      <wps:bodyPr lIns="0" tIns="0" rIns="0" bIns="0">
                        <a:spAutoFit/>
                      </wps:bodyPr>
                    </wps:wsp>
                  </a:graphicData>
                </a:graphic>
              </wp:anchor>
            </w:drawing>
          </mc:Choice>
          <mc:Fallback>
            <w:pict>
              <v:shape id="_x0000_s1759" type="#_x0000_t202" style="position:absolute;margin-left:488.19999999999999pt;margin-top:16.pt;width:84.5pt;height:17.050000000000001pt;z-index:-125828643;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PETR VALD</w:t>
                      </w:r>
                    </w:p>
                  </w:txbxContent>
                </v:textbox>
                <w10:wrap type="square" side="left" anchorx="page"/>
              </v:shape>
            </w:pict>
          </mc:Fallback>
        </mc:AlternateContent>
      </w:r>
      <w:bookmarkStart w:id="718" w:name="bookmark718"/>
      <w:r>
        <w:rPr>
          <w:rFonts w:ascii="Times New Roman" w:eastAsia="Times New Roman" w:hAnsi="Times New Roman" w:cs="Times New Roman"/>
          <w:w w:val="100"/>
        </w:rPr>
        <w:t>Jenom záchrana českého tisku?</w:t>
      </w:r>
      <w:bookmarkEnd w:id="718"/>
    </w:p>
    <w:p w:rsidR="00500724" w:rsidRDefault="00F30FB8">
      <w:pPr>
        <w:spacing w:line="14" w:lineRule="exact"/>
        <w:sectPr w:rsidR="00500724">
          <w:footnotePr>
            <w:numFmt w:val="chicago"/>
            <w:numRestart w:val="eachPage"/>
          </w:footnotePr>
          <w:type w:val="continuous"/>
          <w:pgSz w:w="11909" w:h="16834"/>
          <w:pgMar w:top="857" w:right="434" w:bottom="1176" w:left="439" w:header="0" w:footer="3" w:gutter="0"/>
          <w:cols w:space="720"/>
          <w:noEndnote/>
          <w:docGrid w:linePitch="360"/>
        </w:sectPr>
      </w:pPr>
      <w:r>
        <w:rPr>
          <w:noProof/>
        </w:rPr>
        <mc:AlternateContent>
          <mc:Choice Requires="wps">
            <w:drawing>
              <wp:anchor distT="181610" distB="0" distL="114300" distR="3997325" simplePos="0" relativeHeight="125830112" behindDoc="0" locked="0" layoutInCell="1" allowOverlap="1">
                <wp:simplePos x="0" y="0"/>
                <wp:positionH relativeFrom="page">
                  <wp:posOffset>512445</wp:posOffset>
                </wp:positionH>
                <wp:positionV relativeFrom="paragraph">
                  <wp:posOffset>190500</wp:posOffset>
                </wp:positionV>
                <wp:extent cx="2889250" cy="450850"/>
                <wp:effectExtent l="0" t="0" r="0" b="0"/>
                <wp:wrapTopAndBottom/>
                <wp:docPr id="735" name="Shape 735"/>
                <wp:cNvGraphicFramePr/>
                <a:graphic xmlns:a="http://schemas.openxmlformats.org/drawingml/2006/main">
                  <a:graphicData uri="http://schemas.microsoft.com/office/word/2010/wordprocessingShape">
                    <wps:wsp>
                      <wps:cNvSpPr txBox="1"/>
                      <wps:spPr>
                        <a:xfrm>
                          <a:off x="0" y="0"/>
                          <a:ext cx="2889250" cy="450850"/>
                        </a:xfrm>
                        <a:prstGeom prst="rect">
                          <a:avLst/>
                        </a:prstGeom>
                        <a:noFill/>
                      </wps:spPr>
                      <wps:txbx>
                        <w:txbxContent>
                          <w:p w:rsidR="00500724" w:rsidRDefault="00F30FB8">
                            <w:pPr>
                              <w:pStyle w:val="Nadpis70"/>
                              <w:keepNext/>
                              <w:keepLines/>
                              <w:shd w:val="clear" w:color="auto" w:fill="auto"/>
                            </w:pPr>
                            <w:bookmarkStart w:id="719" w:name="bookmark716"/>
                            <w:r>
                              <w:rPr>
                                <w:rFonts w:ascii="Times New Roman" w:eastAsia="Times New Roman" w:hAnsi="Times New Roman" w:cs="Times New Roman"/>
                                <w:w w:val="100"/>
                              </w:rPr>
                              <w:t>U hraniční závory</w:t>
                            </w:r>
                            <w:bookmarkEnd w:id="719"/>
                          </w:p>
                        </w:txbxContent>
                      </wps:txbx>
                      <wps:bodyPr lIns="0" tIns="0" rIns="0" bIns="0"/>
                    </wps:wsp>
                  </a:graphicData>
                </a:graphic>
              </wp:anchor>
            </w:drawing>
          </mc:Choice>
          <mc:Fallback>
            <w:pict>
              <v:shape id="_x0000_s1761" type="#_x0000_t202" style="position:absolute;margin-left:40.350000000000001pt;margin-top:15.pt;width:227.5pt;height:35.5pt;z-index:-125828641;mso-wrap-distance-left:9.pt;mso-wrap-distance-top:14.300000000000001pt;mso-wrap-distance-right:314.75pt;mso-position-horizontal-relative:page" filled="f" stroked="f">
                <v:textbox inset="0,0,0,0">
                  <w:txbxContent>
                    <w:p>
                      <w:pPr>
                        <w:pStyle w:val="Style85"/>
                        <w:keepNext/>
                        <w:keepLines/>
                        <w:widowControl w:val="0"/>
                        <w:shd w:val="clear" w:color="auto" w:fill="auto"/>
                        <w:bidi w:val="0"/>
                        <w:spacing w:before="0" w:after="0" w:line="240" w:lineRule="auto"/>
                        <w:ind w:left="0" w:right="0" w:firstLine="0"/>
                        <w:jc w:val="left"/>
                      </w:pPr>
                      <w:bookmarkStart w:id="716" w:name="bookmark716"/>
                      <w:r>
                        <w:rPr>
                          <w:rFonts w:ascii="Times New Roman" w:eastAsia="Times New Roman" w:hAnsi="Times New Roman" w:cs="Times New Roman"/>
                          <w:color w:val="000000"/>
                          <w:spacing w:val="0"/>
                          <w:w w:val="100"/>
                          <w:position w:val="0"/>
                          <w:shd w:val="clear" w:color="auto" w:fill="auto"/>
                          <w:lang w:val="cs-CZ" w:eastAsia="cs-CZ" w:bidi="cs-CZ"/>
                        </w:rPr>
                        <w:t>U hraniční závory</w:t>
                      </w:r>
                      <w:bookmarkEnd w:id="716"/>
                    </w:p>
                  </w:txbxContent>
                </v:textbox>
                <w10:wrap type="topAndBottom" anchorx="page"/>
              </v:shape>
            </w:pict>
          </mc:Fallback>
        </mc:AlternateContent>
      </w:r>
      <w:r>
        <w:rPr>
          <w:noProof/>
        </w:rPr>
        <mc:AlternateContent>
          <mc:Choice Requires="wps">
            <w:drawing>
              <wp:anchor distT="401320" distB="6350" distL="4997450" distR="114300" simplePos="0" relativeHeight="125830114" behindDoc="0" locked="0" layoutInCell="1" allowOverlap="1">
                <wp:simplePos x="0" y="0"/>
                <wp:positionH relativeFrom="page">
                  <wp:posOffset>5395595</wp:posOffset>
                </wp:positionH>
                <wp:positionV relativeFrom="paragraph">
                  <wp:posOffset>410210</wp:posOffset>
                </wp:positionV>
                <wp:extent cx="1889760" cy="216535"/>
                <wp:effectExtent l="0" t="0" r="0" b="0"/>
                <wp:wrapTopAndBottom/>
                <wp:docPr id="737" name="Shape 737"/>
                <wp:cNvGraphicFramePr/>
                <a:graphic xmlns:a="http://schemas.openxmlformats.org/drawingml/2006/main">
                  <a:graphicData uri="http://schemas.microsoft.com/office/word/2010/wordprocessingShape">
                    <wps:wsp>
                      <wps:cNvSpPr txBox="1"/>
                      <wps:spPr>
                        <a:xfrm>
                          <a:off x="0" y="0"/>
                          <a:ext cx="1889760"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JAROSLAV RERÁBEK</w:t>
                            </w:r>
                          </w:p>
                        </w:txbxContent>
                      </wps:txbx>
                      <wps:bodyPr lIns="0" tIns="0" rIns="0" bIns="0"/>
                    </wps:wsp>
                  </a:graphicData>
                </a:graphic>
              </wp:anchor>
            </w:drawing>
          </mc:Choice>
          <mc:Fallback>
            <w:pict>
              <v:shape id="_x0000_s1763" type="#_x0000_t202" style="position:absolute;margin-left:424.85000000000002pt;margin-top:32.299999999999997pt;width:148.80000000000001pt;height:17.050000000000001pt;z-index:-125828639;mso-wrap-distance-left:393.5pt;mso-wrap-distance-top:31.600000000000001pt;mso-wrap-distance-right:9.pt;mso-wrap-distance-bottom:0.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JAROSLAV RERÁBEK</w:t>
                      </w:r>
                    </w:p>
                  </w:txbxContent>
                </v:textbox>
                <w10:wrap type="topAndBottom" anchorx="page"/>
              </v:shape>
            </w:pict>
          </mc:Fallback>
        </mc:AlternateContent>
      </w:r>
    </w:p>
    <w:p w:rsidR="00500724" w:rsidRDefault="00F30FB8">
      <w:pPr>
        <w:pStyle w:val="Jin0"/>
        <w:shd w:val="clear" w:color="auto" w:fill="auto"/>
        <w:spacing w:after="760"/>
        <w:ind w:left="300" w:firstLine="0"/>
        <w:jc w:val="left"/>
        <w:rPr>
          <w:sz w:val="78"/>
          <w:szCs w:val="78"/>
        </w:rPr>
      </w:pPr>
      <w:r>
        <w:rPr>
          <w:noProof/>
        </w:rPr>
        <mc:AlternateContent>
          <mc:Choice Requires="wps">
            <w:drawing>
              <wp:anchor distT="0" distB="0" distL="76200" distR="76200" simplePos="0" relativeHeight="125830116" behindDoc="0" locked="0" layoutInCell="1" allowOverlap="1">
                <wp:simplePos x="0" y="0"/>
                <wp:positionH relativeFrom="page">
                  <wp:posOffset>5426075</wp:posOffset>
                </wp:positionH>
                <wp:positionV relativeFrom="paragraph">
                  <wp:posOffset>317500</wp:posOffset>
                </wp:positionV>
                <wp:extent cx="1852930" cy="216535"/>
                <wp:effectExtent l="0" t="0" r="0" b="0"/>
                <wp:wrapSquare wrapText="bothSides"/>
                <wp:docPr id="739" name="Shape 739"/>
                <wp:cNvGraphicFramePr/>
                <a:graphic xmlns:a="http://schemas.openxmlformats.org/drawingml/2006/main">
                  <a:graphicData uri="http://schemas.microsoft.com/office/word/2010/wordprocessingShape">
                    <wps:wsp>
                      <wps:cNvSpPr txBox="1"/>
                      <wps:spPr>
                        <a:xfrm>
                          <a:off x="0" y="0"/>
                          <a:ext cx="1852930" cy="216535"/>
                        </a:xfrm>
                        <a:prstGeom prst="rect">
                          <a:avLst/>
                        </a:prstGeom>
                        <a:noFill/>
                      </wps:spPr>
                      <wps:txbx>
                        <w:txbxContent>
                          <w:p w:rsidR="00500724" w:rsidRDefault="00F30FB8">
                            <w:pPr>
                              <w:pStyle w:val="Jin0"/>
                              <w:shd w:val="clear" w:color="auto" w:fill="auto"/>
                              <w:ind w:firstLine="0"/>
                              <w:jc w:val="left"/>
                              <w:rPr>
                                <w:sz w:val="26"/>
                                <w:szCs w:val="26"/>
                              </w:rPr>
                            </w:pPr>
                            <w:r>
                              <w:rPr>
                                <w:sz w:val="26"/>
                                <w:szCs w:val="26"/>
                              </w:rPr>
                              <w:t>FRANTIŠEK NEDVĚD</w:t>
                            </w:r>
                          </w:p>
                        </w:txbxContent>
                      </wps:txbx>
                      <wps:bodyPr lIns="0" tIns="0" rIns="0" bIns="0">
                        <a:spAutoFit/>
                      </wps:bodyPr>
                    </wps:wsp>
                  </a:graphicData>
                </a:graphic>
              </wp:anchor>
            </w:drawing>
          </mc:Choice>
          <mc:Fallback>
            <w:pict>
              <v:shape id="_x0000_s1765" type="#_x0000_t202" style="position:absolute;margin-left:427.25pt;margin-top:25.pt;width:145.90000000000001pt;height:17.050000000000001pt;z-index:-125828637;mso-wrap-distance-left:6.pt;mso-wrap-distance-right:6.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FRANTIŠEK NEDVĚD</w:t>
                      </w:r>
                    </w:p>
                  </w:txbxContent>
                </v:textbox>
                <w10:wrap type="square" anchorx="page"/>
              </v:shape>
            </w:pict>
          </mc:Fallback>
        </mc:AlternateContent>
      </w:r>
      <w:r>
        <w:rPr>
          <w:b/>
          <w:bCs/>
          <w:w w:val="60"/>
          <w:sz w:val="78"/>
          <w:szCs w:val="78"/>
        </w:rPr>
        <w:t>Proč se jezdí do prava, a jiná „proč“</w:t>
      </w:r>
    </w:p>
    <w:p w:rsidR="00500724" w:rsidRDefault="00F30FB8">
      <w:pPr>
        <w:pStyle w:val="Jin0"/>
        <w:shd w:val="clear" w:color="auto" w:fill="auto"/>
        <w:spacing w:line="262" w:lineRule="auto"/>
        <w:ind w:right="20" w:firstLine="0"/>
        <w:jc w:val="center"/>
        <w:rPr>
          <w:sz w:val="26"/>
          <w:szCs w:val="26"/>
        </w:rPr>
        <w:sectPr w:rsidR="00500724">
          <w:footnotePr>
            <w:numFmt w:val="chicago"/>
            <w:numRestart w:val="eachPage"/>
          </w:footnotePr>
          <w:type w:val="continuous"/>
          <w:pgSz w:w="11909" w:h="16834"/>
          <w:pgMar w:top="857" w:right="732" w:bottom="857" w:left="439" w:header="0" w:footer="3" w:gutter="0"/>
          <w:cols w:space="720"/>
          <w:noEndnote/>
          <w:docGrid w:linePitch="360"/>
        </w:sectPr>
      </w:pPr>
      <w:r>
        <w:rPr>
          <w:b/>
          <w:bCs/>
          <w:sz w:val="26"/>
          <w:szCs w:val="26"/>
        </w:rPr>
        <w:t>Kam s inteligencí. — Vývoj problému uprchlíků. — Češi v Iránu. — O české přizpůsobi-</w:t>
      </w:r>
      <w:r>
        <w:rPr>
          <w:b/>
          <w:bCs/>
          <w:sz w:val="26"/>
          <w:szCs w:val="26"/>
        </w:rPr>
        <w:br/>
        <w:t>vosti. — Praha a venkov. — Otázka novinám. — Zemědělec a ti ostatní. — Slovenka</w:t>
      </w:r>
      <w:r>
        <w:rPr>
          <w:b/>
          <w:bCs/>
          <w:sz w:val="26"/>
          <w:szCs w:val="26"/>
        </w:rPr>
        <w:br/>
        <w:t>Češke. — Slovenské divadlo a čeští herci. — Svatý Václav a Boleslav.</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1480"/>
        <w:sectPr w:rsidR="00500724">
          <w:footnotePr>
            <w:numFmt w:val="chicago"/>
            <w:numRestart w:val="eachPage"/>
          </w:footnotePr>
          <w:pgSz w:w="11909" w:h="16834"/>
          <w:pgMar w:top="898" w:right="1335" w:bottom="530" w:left="144" w:header="0" w:footer="3" w:gutter="0"/>
          <w:cols w:space="720"/>
          <w:noEndnote/>
          <w:docGrid w:linePitch="360"/>
        </w:sectPr>
      </w:pPr>
      <w:bookmarkStart w:id="720" w:name="bookmark719"/>
      <w:r>
        <w:rPr>
          <w:color w:val="FFFFFF"/>
        </w:rPr>
        <w:t xml:space="preserve">ODBORNÍ </w:t>
      </w:r>
      <w:r>
        <w:rPr>
          <w:color w:val="FFFFFF"/>
          <w:lang w:val="en-US" w:eastAsia="en-US" w:bidi="en-US"/>
        </w:rPr>
        <w:t>UKAftl</w:t>
      </w:r>
      <w:bookmarkEnd w:id="720"/>
    </w:p>
    <w:p w:rsidR="00500724" w:rsidRDefault="00F30FB8">
      <w:pPr>
        <w:spacing w:line="14" w:lineRule="exact"/>
      </w:pPr>
      <w:r>
        <w:rPr>
          <w:noProof/>
        </w:rPr>
        <mc:AlternateContent>
          <mc:Choice Requires="wps">
            <w:drawing>
              <wp:anchor distT="12700" distB="67310" distL="114300" distR="882650" simplePos="0" relativeHeight="125830118" behindDoc="0" locked="0" layoutInCell="1" allowOverlap="1">
                <wp:simplePos x="0" y="0"/>
                <wp:positionH relativeFrom="page">
                  <wp:posOffset>3578225</wp:posOffset>
                </wp:positionH>
                <wp:positionV relativeFrom="paragraph">
                  <wp:posOffset>39370</wp:posOffset>
                </wp:positionV>
                <wp:extent cx="2359025" cy="271145"/>
                <wp:effectExtent l="0" t="0" r="0" b="0"/>
                <wp:wrapTopAndBottom/>
                <wp:docPr id="741" name="Shape 741"/>
                <wp:cNvGraphicFramePr/>
                <a:graphic xmlns:a="http://schemas.openxmlformats.org/drawingml/2006/main">
                  <a:graphicData uri="http://schemas.microsoft.com/office/word/2010/wordprocessingShape">
                    <wps:wsp>
                      <wps:cNvSpPr txBox="1"/>
                      <wps:spPr>
                        <a:xfrm>
                          <a:off x="0" y="0"/>
                          <a:ext cx="2359025"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IMNEVELICHOVKY</w:t>
                            </w:r>
                          </w:p>
                        </w:txbxContent>
                      </wps:txbx>
                      <wps:bodyPr lIns="0" tIns="0" rIns="0" bIns="0">
                        <a:spAutoFit/>
                      </wps:bodyPr>
                    </wps:wsp>
                  </a:graphicData>
                </a:graphic>
              </wp:anchor>
            </w:drawing>
          </mc:Choice>
          <mc:Fallback>
            <w:pict>
              <v:shape id="_x0000_s1767" type="#_x0000_t202" style="position:absolute;margin-left:281.75pt;margin-top:3.1000000000000001pt;width:185.75pt;height:21.350000000000001pt;z-index:-125828635;mso-wrap-distance-left:9.pt;mso-wrap-distance-top:1.pt;mso-wrap-distance-right:69.5pt;mso-wrap-distance-bottom:5.2999999999999998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IMNEVELICHOVKY</w:t>
                      </w:r>
                    </w:p>
                  </w:txbxContent>
                </v:textbox>
                <w10:wrap type="topAndBottom" anchorx="page"/>
              </v:shape>
            </w:pict>
          </mc:Fallback>
        </mc:AlternateContent>
      </w:r>
      <w:r>
        <w:rPr>
          <w:noProof/>
        </w:rPr>
        <mc:AlternateContent>
          <mc:Choice Requires="wps">
            <w:drawing>
              <wp:anchor distT="146685" distB="0" distL="2564765" distR="114300" simplePos="0" relativeHeight="125830120" behindDoc="0" locked="0" layoutInCell="1" allowOverlap="1">
                <wp:simplePos x="0" y="0"/>
                <wp:positionH relativeFrom="page">
                  <wp:posOffset>6028690</wp:posOffset>
                </wp:positionH>
                <wp:positionV relativeFrom="paragraph">
                  <wp:posOffset>173990</wp:posOffset>
                </wp:positionV>
                <wp:extent cx="676910" cy="204470"/>
                <wp:effectExtent l="0" t="0" r="0" b="0"/>
                <wp:wrapTopAndBottom/>
                <wp:docPr id="743" name="Shape 743"/>
                <wp:cNvGraphicFramePr/>
                <a:graphic xmlns:a="http://schemas.openxmlformats.org/drawingml/2006/main">
                  <a:graphicData uri="http://schemas.microsoft.com/office/word/2010/wordprocessingShape">
                    <wps:wsp>
                      <wps:cNvSpPr txBox="1"/>
                      <wps:spPr>
                        <a:xfrm>
                          <a:off x="0" y="0"/>
                          <a:ext cx="676910" cy="204470"/>
                        </a:xfrm>
                        <a:prstGeom prst="rect">
                          <a:avLst/>
                        </a:prstGeom>
                        <a:noFill/>
                      </wps:spPr>
                      <wps:txbx>
                        <w:txbxContent>
                          <w:p w:rsidR="00500724" w:rsidRDefault="00F30FB8">
                            <w:pPr>
                              <w:pStyle w:val="Zkladntext80"/>
                              <w:shd w:val="clear" w:color="auto" w:fill="auto"/>
                              <w:spacing w:line="240" w:lineRule="auto"/>
                              <w:rPr>
                                <w:sz w:val="24"/>
                                <w:szCs w:val="24"/>
                              </w:rPr>
                            </w:pPr>
                            <w:r>
                              <w:rPr>
                                <w:w w:val="70"/>
                                <w:sz w:val="24"/>
                                <w:szCs w:val="24"/>
                              </w:rPr>
                              <w:t>u Jaroměře</w:t>
                            </w:r>
                          </w:p>
                        </w:txbxContent>
                      </wps:txbx>
                      <wps:bodyPr lIns="0" tIns="0" rIns="0" bIns="0">
                        <a:spAutoFit/>
                      </wps:bodyPr>
                    </wps:wsp>
                  </a:graphicData>
                </a:graphic>
              </wp:anchor>
            </w:drawing>
          </mc:Choice>
          <mc:Fallback>
            <w:pict>
              <v:shape id="_x0000_s1769" type="#_x0000_t202" style="position:absolute;margin-left:474.69999999999999pt;margin-top:13.699999999999999pt;width:53.299999999999997pt;height:16.100000000000001pt;z-index:-125828633;mso-wrap-distance-left:201.94999999999999pt;mso-wrap-distance-top:11.550000000000001pt;mso-wrap-distance-right:9.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70"/>
                          <w:position w:val="0"/>
                          <w:sz w:val="24"/>
                          <w:szCs w:val="24"/>
                          <w:shd w:val="clear" w:color="auto" w:fill="auto"/>
                          <w:lang w:val="cs-CZ" w:eastAsia="cs-CZ" w:bidi="cs-CZ"/>
                        </w:rPr>
                        <w:t>u Jaroměře</w:t>
                      </w:r>
                    </w:p>
                  </w:txbxContent>
                </v:textbox>
                <w10:wrap type="topAndBottom" anchorx="page"/>
              </v:shape>
            </w:pict>
          </mc:Fallback>
        </mc:AlternateContent>
      </w:r>
    </w:p>
    <w:p w:rsidR="00500724" w:rsidRDefault="00F30FB8">
      <w:pPr>
        <w:pStyle w:val="Nadpis110"/>
        <w:shd w:val="clear" w:color="auto" w:fill="auto"/>
        <w:spacing w:after="40" w:line="187" w:lineRule="auto"/>
        <w:jc w:val="both"/>
      </w:pPr>
      <w:bookmarkStart w:id="721" w:name="bookmark720"/>
      <w:r>
        <w:t>MUDr. ZDEŇKA NEDVEDOVA-NEJEDLÁ</w:t>
      </w:r>
      <w:bookmarkEnd w:id="721"/>
    </w:p>
    <w:p w:rsidR="00500724" w:rsidRDefault="00F30FB8">
      <w:pPr>
        <w:pStyle w:val="Zkladntext1"/>
        <w:shd w:val="clear" w:color="auto" w:fill="auto"/>
        <w:spacing w:after="220" w:line="228" w:lineRule="auto"/>
        <w:ind w:firstLine="0"/>
        <w:rPr>
          <w:sz w:val="18"/>
          <w:szCs w:val="18"/>
        </w:rPr>
      </w:pPr>
      <w:r>
        <w:rPr>
          <w:sz w:val="18"/>
          <w:szCs w:val="18"/>
        </w:rPr>
        <w:t xml:space="preserve">odb. dětská lékařka, PODOLÍ, PANKRACKA 14 (stanice elektr. </w:t>
      </w:r>
      <w:r>
        <w:rPr>
          <w:sz w:val="18"/>
          <w:szCs w:val="18"/>
          <w:u w:val="single"/>
        </w:rPr>
        <w:t>dráhy za Podol, sanatoriem). Ord. 9—10 a 2—4. Tel. 441-77.</w:t>
      </w:r>
    </w:p>
    <w:p w:rsidR="00500724" w:rsidRDefault="00F30FB8">
      <w:pPr>
        <w:pStyle w:val="Nadpis110"/>
        <w:shd w:val="clear" w:color="auto" w:fill="auto"/>
        <w:spacing w:after="40"/>
        <w:jc w:val="both"/>
      </w:pPr>
      <w:bookmarkStart w:id="722" w:name="bookmark721"/>
      <w:r>
        <w:t>MUDr. ANTONÍN NEUMANN</w:t>
      </w:r>
      <w:bookmarkEnd w:id="722"/>
    </w:p>
    <w:p w:rsidR="00500724" w:rsidRDefault="00F30FB8">
      <w:pPr>
        <w:pStyle w:val="Zkladntext40"/>
        <w:shd w:val="clear" w:color="auto" w:fill="auto"/>
        <w:spacing w:after="40" w:line="204" w:lineRule="auto"/>
        <w:ind w:firstLine="680"/>
        <w:rPr>
          <w:sz w:val="16"/>
          <w:szCs w:val="16"/>
        </w:rPr>
      </w:pPr>
      <w:r>
        <w:t xml:space="preserve">odborný lékař nemoci pohlavních, kožních a kosmetiky </w:t>
      </w:r>
      <w:r>
        <w:rPr>
          <w:b/>
          <w:bCs/>
          <w:sz w:val="16"/>
          <w:szCs w:val="16"/>
        </w:rPr>
        <w:t xml:space="preserve">Praha H.. Na Zbořenci 24 — třetí dům od Karlova náměstí. </w:t>
      </w:r>
      <w:r>
        <w:rPr>
          <w:b/>
          <w:bCs/>
          <w:sz w:val="16"/>
          <w:szCs w:val="16"/>
          <w:u w:val="single"/>
        </w:rPr>
        <w:t>Ordinuje celý den. V neděli a ve svátek dopoledne. Tel. 41.728.</w:t>
      </w:r>
    </w:p>
    <w:p w:rsidR="00500724" w:rsidRDefault="00F30FB8">
      <w:pPr>
        <w:pStyle w:val="Zkladntext1"/>
        <w:shd w:val="clear" w:color="auto" w:fill="auto"/>
        <w:ind w:left="4520" w:firstLine="0"/>
        <w:jc w:val="left"/>
      </w:pPr>
      <w:r>
        <w:rPr>
          <w:b/>
          <w:bCs/>
        </w:rPr>
        <w:t>v</w:t>
      </w:r>
    </w:p>
    <w:p w:rsidR="00500724" w:rsidRDefault="00F30FB8">
      <w:pPr>
        <w:pStyle w:val="Zkladntext1"/>
        <w:shd w:val="clear" w:color="auto" w:fill="auto"/>
        <w:spacing w:after="300" w:line="266" w:lineRule="auto"/>
        <w:ind w:firstLine="0"/>
        <w:rPr>
          <w:sz w:val="18"/>
          <w:szCs w:val="18"/>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 xml:space="preserve">ord. 3—4 (a podle úmluvy). Telefon 393-79. PRAHA </w:t>
      </w:r>
      <w:r>
        <w:rPr>
          <w:b/>
          <w:bCs/>
        </w:rPr>
        <w:t>EL VO</w:t>
      </w:r>
      <w:r>
        <w:rPr>
          <w:b/>
          <w:bCs/>
        </w:rPr>
        <w:softHyphen/>
      </w:r>
      <w:r>
        <w:rPr>
          <w:sz w:val="18"/>
          <w:szCs w:val="18"/>
          <w:u w:val="single"/>
        </w:rPr>
        <w:t>DIČKOVA 15. (Hlávkův palác.)</w:t>
      </w:r>
    </w:p>
    <w:p w:rsidR="00500724" w:rsidRDefault="00F30FB8">
      <w:pPr>
        <w:pStyle w:val="Zkladntext1"/>
        <w:shd w:val="clear" w:color="auto" w:fill="auto"/>
        <w:spacing w:after="40" w:line="192" w:lineRule="auto"/>
        <w:ind w:left="1280" w:right="620" w:hanging="160"/>
        <w:rPr>
          <w:sz w:val="20"/>
          <w:szCs w:val="20"/>
        </w:rPr>
      </w:pPr>
      <w:r>
        <w:rPr>
          <w:sz w:val="20"/>
          <w:szCs w:val="20"/>
        </w:rPr>
        <w:t>Cibulka Josef: Kostel svátého Jiří na hradě pražském. Trojjazyčný text. 31 obrazových příloh na křídě. K48.</w:t>
      </w:r>
    </w:p>
    <w:p w:rsidR="00500724" w:rsidRDefault="00F30FB8">
      <w:pPr>
        <w:pStyle w:val="Zkladntext1"/>
        <w:shd w:val="clear" w:color="auto" w:fill="auto"/>
        <w:tabs>
          <w:tab w:val="left" w:pos="3944"/>
        </w:tabs>
        <w:spacing w:after="40" w:line="199" w:lineRule="auto"/>
        <w:ind w:left="1280" w:right="620" w:hanging="160"/>
        <w:rPr>
          <w:sz w:val="20"/>
          <w:szCs w:val="20"/>
        </w:rPr>
      </w:pPr>
      <w:r>
        <w:rPr>
          <w:sz w:val="20"/>
          <w:szCs w:val="20"/>
        </w:rPr>
        <w:t xml:space="preserve">Gollerová-Plachá Jiřina: Látky </w:t>
      </w:r>
      <w:r>
        <w:rPr>
          <w:b/>
          <w:bCs/>
          <w:sz w:val="18"/>
          <w:szCs w:val="18"/>
        </w:rPr>
        <w:t xml:space="preserve">z </w:t>
      </w:r>
      <w:r>
        <w:rPr>
          <w:sz w:val="20"/>
          <w:szCs w:val="20"/>
        </w:rPr>
        <w:t>praž</w:t>
      </w:r>
      <w:r>
        <w:rPr>
          <w:sz w:val="20"/>
          <w:szCs w:val="20"/>
        </w:rPr>
        <w:softHyphen/>
        <w:t>ské královské hrobky. 21 p</w:t>
      </w:r>
      <w:r>
        <w:rPr>
          <w:sz w:val="20"/>
          <w:szCs w:val="20"/>
        </w:rPr>
        <w:t>říloh vy</w:t>
      </w:r>
      <w:r>
        <w:rPr>
          <w:sz w:val="20"/>
          <w:szCs w:val="20"/>
        </w:rPr>
        <w:softHyphen/>
        <w:t>obrazení na křídě.</w:t>
      </w:r>
      <w:r>
        <w:rPr>
          <w:sz w:val="20"/>
          <w:szCs w:val="20"/>
        </w:rPr>
        <w:tab/>
        <w:t>K 33</w:t>
      </w:r>
    </w:p>
    <w:p w:rsidR="00500724" w:rsidRDefault="00F30FB8">
      <w:pPr>
        <w:pStyle w:val="Zkladntext1"/>
        <w:shd w:val="clear" w:color="auto" w:fill="auto"/>
        <w:tabs>
          <w:tab w:val="left" w:pos="3467"/>
        </w:tabs>
        <w:spacing w:after="40" w:line="199" w:lineRule="auto"/>
        <w:ind w:left="1280" w:right="620" w:hanging="160"/>
        <w:rPr>
          <w:sz w:val="20"/>
          <w:szCs w:val="20"/>
        </w:rPr>
      </w:pPr>
      <w:r>
        <w:rPr>
          <w:sz w:val="20"/>
          <w:szCs w:val="20"/>
        </w:rPr>
        <w:t>Jihočeská gotika musea v Českých Budějovicích. 34 barevných příloh obrazových.</w:t>
      </w:r>
      <w:r>
        <w:rPr>
          <w:sz w:val="20"/>
          <w:szCs w:val="20"/>
        </w:rPr>
        <w:tab/>
        <w:t>Brož. K 25</w:t>
      </w:r>
    </w:p>
    <w:p w:rsidR="00500724" w:rsidRDefault="00F30FB8">
      <w:pPr>
        <w:pStyle w:val="Zkladntext1"/>
        <w:shd w:val="clear" w:color="auto" w:fill="auto"/>
        <w:tabs>
          <w:tab w:val="left" w:pos="3944"/>
        </w:tabs>
        <w:spacing w:after="40" w:line="178" w:lineRule="auto"/>
        <w:ind w:left="1280" w:right="620" w:hanging="160"/>
        <w:rPr>
          <w:sz w:val="20"/>
          <w:szCs w:val="20"/>
        </w:rPr>
      </w:pPr>
      <w:r>
        <w:rPr>
          <w:sz w:val="20"/>
          <w:szCs w:val="20"/>
        </w:rPr>
        <w:t>Kramář Vincenc: Madona se svátou Kateřinou a Markétou městského musea v Českých Budějovicích. Dvojjazyčný text. 4 obrazové pří</w:t>
      </w:r>
      <w:r>
        <w:rPr>
          <w:sz w:val="20"/>
          <w:szCs w:val="20"/>
        </w:rPr>
        <w:softHyphen/>
        <w:t xml:space="preserve">lohy </w:t>
      </w:r>
      <w:r>
        <w:rPr>
          <w:sz w:val="20"/>
          <w:szCs w:val="20"/>
        </w:rPr>
        <w:t>na křídě.</w:t>
      </w:r>
      <w:r>
        <w:rPr>
          <w:sz w:val="20"/>
          <w:szCs w:val="20"/>
        </w:rPr>
        <w:tab/>
        <w:t>K 30</w:t>
      </w:r>
    </w:p>
    <w:p w:rsidR="00500724" w:rsidRDefault="00F30FB8">
      <w:pPr>
        <w:pStyle w:val="Zkladntext1"/>
        <w:shd w:val="clear" w:color="auto" w:fill="auto"/>
        <w:tabs>
          <w:tab w:val="left" w:pos="3944"/>
        </w:tabs>
        <w:spacing w:after="40" w:line="185" w:lineRule="auto"/>
        <w:ind w:left="1280" w:right="620" w:hanging="160"/>
        <w:rPr>
          <w:sz w:val="20"/>
          <w:szCs w:val="20"/>
        </w:rPr>
      </w:pPr>
      <w:r>
        <w:rPr>
          <w:sz w:val="20"/>
          <w:szCs w:val="20"/>
        </w:rPr>
        <w:t>Melniková-Papoušková: Čs. malířství na skle.</w:t>
      </w:r>
      <w:r>
        <w:rPr>
          <w:sz w:val="20"/>
          <w:szCs w:val="20"/>
        </w:rPr>
        <w:tab/>
        <w:t>K 52</w:t>
      </w:r>
    </w:p>
    <w:p w:rsidR="00500724" w:rsidRDefault="00F30FB8">
      <w:pPr>
        <w:pStyle w:val="Zkladntext1"/>
        <w:pBdr>
          <w:bottom w:val="single" w:sz="4" w:space="0" w:color="auto"/>
        </w:pBdr>
        <w:shd w:val="clear" w:color="auto" w:fill="auto"/>
        <w:spacing w:line="192" w:lineRule="auto"/>
        <w:ind w:left="1280" w:hanging="160"/>
        <w:rPr>
          <w:sz w:val="20"/>
          <w:szCs w:val="20"/>
        </w:rPr>
      </w:pPr>
      <w:r>
        <w:rPr>
          <w:sz w:val="20"/>
          <w:szCs w:val="20"/>
        </w:rPr>
        <w:t>Dodá každý knihkupec. FR. BOROVÝ</w:t>
      </w:r>
    </w:p>
    <w:p w:rsidR="00500724" w:rsidRDefault="00F30FB8">
      <w:pPr>
        <w:pStyle w:val="Nadpis120"/>
        <w:pBdr>
          <w:bottom w:val="single" w:sz="4" w:space="0" w:color="auto"/>
        </w:pBdr>
        <w:shd w:val="clear" w:color="auto" w:fill="auto"/>
        <w:spacing w:after="480"/>
        <w:ind w:left="440" w:firstLine="40"/>
        <w:jc w:val="both"/>
      </w:pPr>
      <w:bookmarkStart w:id="723" w:name="bookmark722"/>
      <w:r>
        <w:t>poskytují komfort velkých lázní za mírné ceny, S úspěchem léčí: revma, dnu, ischias, nervosu, ženské choroby.</w:t>
      </w:r>
      <w:bookmarkEnd w:id="723"/>
    </w:p>
    <w:p w:rsidR="00500724" w:rsidRDefault="00F30FB8">
      <w:pPr>
        <w:pStyle w:val="Zkladntext90"/>
        <w:shd w:val="clear" w:color="auto" w:fill="auto"/>
        <w:tabs>
          <w:tab w:val="left" w:pos="3612"/>
        </w:tabs>
        <w:spacing w:after="80" w:line="218" w:lineRule="auto"/>
        <w:ind w:left="440" w:right="260" w:hanging="260"/>
      </w:pPr>
      <w:r>
        <w:t xml:space="preserve">INDRA Bohuslav. Havlíčkovy práce </w:t>
      </w:r>
      <w:r>
        <w:rPr>
          <w:i/>
          <w:iCs/>
        </w:rPr>
        <w:t>o</w:t>
      </w:r>
      <w:r>
        <w:t xml:space="preserve"> verSI ěeské lidové písně. Studie pražského lingulstického kroužku. 24.5X16 cm, 288 stran,</w:t>
      </w:r>
      <w:r>
        <w:tab/>
        <w:t>brož. K 54.—</w:t>
      </w:r>
    </w:p>
    <w:p w:rsidR="00500724" w:rsidRDefault="00F30FB8">
      <w:pPr>
        <w:pStyle w:val="Zkladntext90"/>
        <w:shd w:val="clear" w:color="auto" w:fill="auto"/>
        <w:tabs>
          <w:tab w:val="left" w:pos="3612"/>
        </w:tabs>
        <w:spacing w:after="80" w:line="218" w:lineRule="auto"/>
        <w:ind w:left="440" w:right="260" w:hanging="260"/>
      </w:pPr>
      <w:r>
        <w:t>JERMAN Roman Fr.. Smysl ěeského nacionalismu. 23X16 cm. 36 stran,</w:t>
      </w:r>
      <w:r>
        <w:tab/>
        <w:t>brož. K 9.—</w:t>
      </w:r>
    </w:p>
    <w:p w:rsidR="00500724" w:rsidRDefault="00F30FB8">
      <w:pPr>
        <w:pStyle w:val="Zkladntext90"/>
        <w:shd w:val="clear" w:color="auto" w:fill="auto"/>
        <w:spacing w:line="218" w:lineRule="auto"/>
        <w:ind w:left="440" w:right="260" w:hanging="260"/>
      </w:pPr>
      <w:r>
        <w:t xml:space="preserve">JURÁSEK Stanislav, JUDr., Přlroěí </w:t>
      </w:r>
      <w:r>
        <w:rPr>
          <w:lang w:val="en-US" w:eastAsia="en-US" w:bidi="en-US"/>
        </w:rPr>
        <w:t xml:space="preserve">(moratorium) </w:t>
      </w:r>
      <w:r>
        <w:t xml:space="preserve">peněžních Ústavů a podniků </w:t>
      </w:r>
      <w:r>
        <w:t>a předpisy o uvolňováni peněz židům a o židovském majetku. 22X15 cm, 68 str. K 17.—</w:t>
      </w:r>
    </w:p>
    <w:p w:rsidR="00500724" w:rsidRDefault="00F30FB8">
      <w:pPr>
        <w:pStyle w:val="Zkladntext90"/>
        <w:shd w:val="clear" w:color="auto" w:fill="auto"/>
        <w:tabs>
          <w:tab w:val="left" w:pos="3612"/>
        </w:tabs>
        <w:spacing w:line="218" w:lineRule="auto"/>
        <w:ind w:left="440" w:right="260" w:hanging="260"/>
      </w:pPr>
      <w:r>
        <w:t xml:space="preserve">PAULOVA M., Dějiny </w:t>
      </w:r>
      <w:r>
        <w:rPr>
          <w:lang w:val="en-US" w:eastAsia="en-US" w:bidi="en-US"/>
        </w:rPr>
        <w:t xml:space="preserve">Maffle. Dll </w:t>
      </w:r>
      <w:r>
        <w:t>II. Část prvá. 22X16 cm, 426 stran,</w:t>
      </w:r>
      <w:r>
        <w:tab/>
        <w:t>brož. K 60.—</w:t>
      </w:r>
    </w:p>
    <w:p w:rsidR="00500724" w:rsidRDefault="00F30FB8">
      <w:pPr>
        <w:pStyle w:val="Zkladntext90"/>
        <w:shd w:val="clear" w:color="auto" w:fill="auto"/>
        <w:spacing w:after="80" w:line="218" w:lineRule="auto"/>
        <w:ind w:right="260" w:firstLine="0"/>
        <w:jc w:val="right"/>
      </w:pPr>
      <w:r>
        <w:t>v celoplátěné vazbě K 85.—</w:t>
      </w:r>
    </w:p>
    <w:p w:rsidR="00500724" w:rsidRDefault="00F30FB8">
      <w:pPr>
        <w:pStyle w:val="Zkladntext90"/>
        <w:shd w:val="clear" w:color="auto" w:fill="auto"/>
        <w:spacing w:after="40" w:line="218" w:lineRule="auto"/>
        <w:ind w:right="260" w:firstLine="0"/>
        <w:jc w:val="right"/>
      </w:pPr>
      <w:r>
        <w:t>MlRlCKA - SOLNAR, Nová úprava trestního soudnictví v pro</w:t>
      </w:r>
      <w:r>
        <w:softHyphen/>
      </w:r>
      <w:r>
        <w:t>tektorátu Cechy a Morava. 17 X12 cm, 233 stran, váz. K 30.—</w:t>
      </w:r>
    </w:p>
    <w:p w:rsidR="00500724" w:rsidRDefault="00F30FB8">
      <w:pPr>
        <w:pStyle w:val="Zkladntext90"/>
        <w:shd w:val="clear" w:color="auto" w:fill="auto"/>
        <w:spacing w:line="216" w:lineRule="auto"/>
        <w:ind w:left="440" w:right="260" w:hanging="260"/>
      </w:pPr>
      <w:r>
        <w:t xml:space="preserve">CHAMIER </w:t>
      </w:r>
      <w:r>
        <w:rPr>
          <w:lang w:val="en-US" w:eastAsia="en-US" w:bidi="en-US"/>
        </w:rPr>
        <w:t xml:space="preserve">J. </w:t>
      </w:r>
      <w:r>
        <w:t>D„ Kin Fabeltier unserer Zelt. Glanz und Tra</w:t>
      </w:r>
      <w:r>
        <w:softHyphen/>
        <w:t xml:space="preserve">gedie </w:t>
      </w:r>
      <w:r>
        <w:rPr>
          <w:lang w:val="en-US" w:eastAsia="en-US" w:bidi="en-US"/>
        </w:rPr>
        <w:t xml:space="preserve">Wilhelms </w:t>
      </w:r>
      <w:r>
        <w:t>II. 23X15 cm, 403 stran. váz. K 75.—</w:t>
      </w:r>
    </w:p>
    <w:p w:rsidR="00500724" w:rsidRDefault="00F30FB8">
      <w:pPr>
        <w:pStyle w:val="Zkladntext90"/>
        <w:shd w:val="clear" w:color="auto" w:fill="auto"/>
        <w:spacing w:after="40" w:line="216" w:lineRule="auto"/>
        <w:ind w:right="260" w:firstLine="0"/>
        <w:jc w:val="right"/>
      </w:pPr>
      <w:r>
        <w:rPr>
          <w:lang w:val="en-US" w:eastAsia="en-US" w:bidi="en-US"/>
        </w:rPr>
        <w:t xml:space="preserve">PRICE WARD </w:t>
      </w:r>
      <w:r>
        <w:t xml:space="preserve">G., Fiihrer und Duce wle leh sic kenne. </w:t>
      </w:r>
      <w:r>
        <w:rPr>
          <w:lang w:val="en-US" w:eastAsia="en-US" w:bidi="en-US"/>
        </w:rPr>
        <w:t xml:space="preserve">(I know </w:t>
      </w:r>
      <w:r>
        <w:t xml:space="preserve">these </w:t>
      </w:r>
      <w:r>
        <w:rPr>
          <w:lang w:val="en-US" w:eastAsia="en-US" w:bidi="en-US"/>
        </w:rPr>
        <w:t xml:space="preserve">dictators.) </w:t>
      </w:r>
      <w:r>
        <w:t>20.5X12.5 c</w:t>
      </w:r>
      <w:r>
        <w:t>m, 357 stran, váz. K 60.—</w:t>
      </w:r>
    </w:p>
    <w:p w:rsidR="00500724" w:rsidRDefault="00F30FB8">
      <w:pPr>
        <w:pStyle w:val="Zkladntext90"/>
        <w:shd w:val="clear" w:color="auto" w:fill="auto"/>
        <w:tabs>
          <w:tab w:val="left" w:pos="3612"/>
        </w:tabs>
        <w:spacing w:after="200" w:line="214" w:lineRule="auto"/>
        <w:ind w:left="160" w:right="220" w:firstLine="20"/>
        <w:jc w:val="left"/>
      </w:pPr>
      <w:r>
        <w:t xml:space="preserve">MASSIS </w:t>
      </w:r>
      <w:r>
        <w:rPr>
          <w:lang w:val="en-US" w:eastAsia="en-US" w:bidi="en-US"/>
        </w:rPr>
        <w:t xml:space="preserve">Henri, Chefs. </w:t>
      </w:r>
      <w:r>
        <w:t xml:space="preserve">19X12 </w:t>
      </w:r>
      <w:r>
        <w:rPr>
          <w:lang w:val="en-US" w:eastAsia="en-US" w:bidi="en-US"/>
        </w:rPr>
        <w:t xml:space="preserve">cm, </w:t>
      </w:r>
      <w:r>
        <w:t xml:space="preserve">257 stran, brož. K 18.— </w:t>
      </w:r>
      <w:r>
        <w:rPr>
          <w:lang w:val="en-US" w:eastAsia="en-US" w:bidi="en-US"/>
        </w:rPr>
        <w:t xml:space="preserve">Affaire </w:t>
      </w:r>
      <w:r>
        <w:t xml:space="preserve">du chemin de fer Panevezys-Saldutlskis. — The Panavezys-Saldntiskis </w:t>
      </w:r>
      <w:r>
        <w:rPr>
          <w:lang w:val="en-US" w:eastAsia="en-US" w:bidi="en-US"/>
        </w:rPr>
        <w:t xml:space="preserve">Railway Case. </w:t>
      </w:r>
      <w:r>
        <w:t xml:space="preserve">25X16 </w:t>
      </w:r>
      <w:r>
        <w:rPr>
          <w:lang w:val="en-US" w:eastAsia="en-US" w:bidi="en-US"/>
        </w:rPr>
        <w:t xml:space="preserve">cm, </w:t>
      </w:r>
      <w:r>
        <w:t>756 stran,</w:t>
      </w:r>
      <w:r>
        <w:tab/>
        <w:t>váz. K 258.—</w:t>
      </w:r>
    </w:p>
    <w:p w:rsidR="00500724" w:rsidRDefault="00F30FB8">
      <w:pPr>
        <w:pStyle w:val="Nadpis100"/>
        <w:shd w:val="clear" w:color="auto" w:fill="auto"/>
        <w:spacing w:line="240" w:lineRule="auto"/>
        <w:ind w:left="160" w:firstLine="20"/>
        <w:jc w:val="left"/>
      </w:pPr>
      <w:bookmarkStart w:id="724" w:name="bookmark723"/>
      <w:r>
        <w:t>F. Topič</w:t>
      </w:r>
      <w:bookmarkEnd w:id="724"/>
    </w:p>
    <w:p w:rsidR="00500724" w:rsidRDefault="00F30FB8">
      <w:pPr>
        <w:pStyle w:val="Nadpis120"/>
        <w:shd w:val="clear" w:color="auto" w:fill="auto"/>
        <w:spacing w:after="560"/>
        <w:ind w:left="0" w:right="260"/>
        <w:jc w:val="right"/>
      </w:pPr>
      <w:bookmarkStart w:id="725" w:name="bookmark724"/>
      <w:r>
        <w:rPr>
          <w:rFonts w:ascii="Arial" w:eastAsia="Arial" w:hAnsi="Arial" w:cs="Arial"/>
        </w:rPr>
        <w:t>knihkupectví, Praha L, Národní třída 11</w:t>
      </w:r>
      <w:bookmarkEnd w:id="725"/>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20"/>
        <w:ind w:left="100"/>
        <w:jc w:val="center"/>
      </w:pPr>
      <w:bookmarkStart w:id="726" w:name="bookmark725"/>
      <w:r>
        <w:rPr>
          <w:color w:val="FFFFFF"/>
        </w:rPr>
        <w:t>VAS VKUS I NÁROKY USPOKOJÍ</w:t>
      </w:r>
      <w:bookmarkEnd w:id="726"/>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after="40"/>
        <w:ind w:left="100" w:firstLine="0"/>
        <w:jc w:val="center"/>
        <w:rPr>
          <w:sz w:val="18"/>
          <w:szCs w:val="18"/>
        </w:rPr>
      </w:pPr>
      <w:r>
        <w:rPr>
          <w:b/>
          <w:bCs/>
          <w:smallCaps/>
          <w:sz w:val="18"/>
          <w:szCs w:val="18"/>
        </w:rPr>
        <w:t>obuv pro vyšší nároky</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209" w:lineRule="auto"/>
        <w:ind w:left="100" w:firstLine="0"/>
        <w:jc w:val="center"/>
        <w:rPr>
          <w:sz w:val="30"/>
          <w:szCs w:val="30"/>
        </w:rPr>
      </w:pPr>
      <w:r>
        <w:rPr>
          <w:rFonts w:ascii="Arial" w:eastAsia="Arial" w:hAnsi="Arial" w:cs="Arial"/>
          <w:b/>
          <w:bCs/>
          <w:sz w:val="30"/>
          <w:szCs w:val="30"/>
          <w:lang w:val="en-US" w:eastAsia="en-US" w:bidi="en-US"/>
        </w:rPr>
        <w:t xml:space="preserve">FERRY </w:t>
      </w:r>
      <w:r>
        <w:rPr>
          <w:rFonts w:ascii="Arial" w:eastAsia="Arial" w:hAnsi="Arial" w:cs="Arial"/>
          <w:b/>
          <w:bCs/>
          <w:sz w:val="30"/>
          <w:szCs w:val="30"/>
        </w:rPr>
        <w:t>GRAUMANN</w:t>
      </w:r>
    </w:p>
    <w:p w:rsidR="00500724" w:rsidRDefault="00F30FB8">
      <w:pPr>
        <w:pStyle w:val="Zkladntext100"/>
        <w:pBdr>
          <w:top w:val="single" w:sz="4" w:space="0" w:color="auto"/>
          <w:left w:val="single" w:sz="4" w:space="0" w:color="auto"/>
          <w:bottom w:val="single" w:sz="4" w:space="0" w:color="auto"/>
          <w:right w:val="single" w:sz="4" w:space="0" w:color="auto"/>
        </w:pBdr>
        <w:shd w:val="clear" w:color="auto" w:fill="auto"/>
        <w:spacing w:line="240" w:lineRule="auto"/>
        <w:ind w:firstLine="0"/>
        <w:jc w:val="left"/>
        <w:rPr>
          <w:sz w:val="17"/>
          <w:szCs w:val="17"/>
        </w:rPr>
        <w:sectPr w:rsidR="00500724">
          <w:footnotePr>
            <w:numFmt w:val="chicago"/>
            <w:numRestart w:val="eachPage"/>
          </w:footnotePr>
          <w:type w:val="continuous"/>
          <w:pgSz w:w="11909" w:h="16834"/>
          <w:pgMar w:top="898" w:right="1335" w:bottom="530" w:left="144" w:header="0" w:footer="3" w:gutter="0"/>
          <w:cols w:num="2" w:sep="1" w:space="419"/>
          <w:noEndnote/>
          <w:docGrid w:linePitch="360"/>
        </w:sectPr>
      </w:pPr>
      <w:r>
        <w:rPr>
          <w:b/>
          <w:bCs/>
          <w:sz w:val="17"/>
          <w:szCs w:val="17"/>
        </w:rPr>
        <w:t>PRAHA I., PŘÍKOPY 35, schodiště A. TeL 315-28.</w:t>
      </w:r>
    </w:p>
    <w:p w:rsidR="00500724" w:rsidRDefault="00500724">
      <w:pPr>
        <w:spacing w:before="45" w:after="45"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895" w:right="0" w:bottom="534" w:left="0" w:header="0" w:footer="3" w:gutter="0"/>
          <w:cols w:space="720"/>
          <w:noEndnote/>
          <w:docGrid w:linePitch="360"/>
        </w:sectPr>
      </w:pPr>
    </w:p>
    <w:p w:rsidR="00500724" w:rsidRDefault="00F30FB8">
      <w:pPr>
        <w:spacing w:line="14" w:lineRule="exact"/>
      </w:pPr>
      <w:r>
        <w:rPr>
          <w:noProof/>
        </w:rPr>
        <mc:AlternateContent>
          <mc:Choice Requires="wps">
            <w:drawing>
              <wp:anchor distT="0" distB="496570" distL="114300" distR="114300" simplePos="0" relativeHeight="125830122" behindDoc="0" locked="0" layoutInCell="1" allowOverlap="1">
                <wp:simplePos x="0" y="0"/>
                <wp:positionH relativeFrom="page">
                  <wp:posOffset>133985</wp:posOffset>
                </wp:positionH>
                <wp:positionV relativeFrom="paragraph">
                  <wp:posOffset>1121410</wp:posOffset>
                </wp:positionV>
                <wp:extent cx="2743200" cy="762000"/>
                <wp:effectExtent l="0" t="0" r="0" b="0"/>
                <wp:wrapSquare wrapText="right"/>
                <wp:docPr id="745" name="Shape 745"/>
                <wp:cNvGraphicFramePr/>
                <a:graphic xmlns:a="http://schemas.openxmlformats.org/drawingml/2006/main">
                  <a:graphicData uri="http://schemas.microsoft.com/office/word/2010/wordprocessingShape">
                    <wps:wsp>
                      <wps:cNvSpPr txBox="1"/>
                      <wps:spPr>
                        <a:xfrm>
                          <a:off x="0" y="0"/>
                          <a:ext cx="2743200" cy="762000"/>
                        </a:xfrm>
                        <a:prstGeom prst="rect">
                          <a:avLst/>
                        </a:prstGeom>
                        <a:noFill/>
                      </wps:spPr>
                      <wps:txbx>
                        <w:txbxContent>
                          <w:p w:rsidR="00500724" w:rsidRDefault="00F30FB8">
                            <w:pPr>
                              <w:pStyle w:val="Jin0"/>
                              <w:shd w:val="clear" w:color="auto" w:fill="auto"/>
                              <w:spacing w:before="80"/>
                              <w:ind w:firstLine="0"/>
                              <w:jc w:val="left"/>
                              <w:rPr>
                                <w:sz w:val="78"/>
                                <w:szCs w:val="78"/>
                              </w:rPr>
                            </w:pPr>
                            <w:r>
                              <w:rPr>
                                <w:sz w:val="78"/>
                                <w:szCs w:val="78"/>
                              </w:rPr>
                              <w:t>Přítomnosti</w:t>
                            </w:r>
                          </w:p>
                        </w:txbxContent>
                      </wps:txbx>
                      <wps:bodyPr lIns="0" tIns="0" rIns="0" bIns="0">
                        <a:spAutoFit/>
                      </wps:bodyPr>
                    </wps:wsp>
                  </a:graphicData>
                </a:graphic>
              </wp:anchor>
            </w:drawing>
          </mc:Choice>
          <mc:Fallback>
            <w:pict>
              <v:shape id="_x0000_s1771" type="#_x0000_t202" style="position:absolute;margin-left:10.550000000000001pt;margin-top:88.299999999999997pt;width:216.pt;height:60.pt;z-index:-125828631;mso-wrap-distance-left:9.pt;mso-wrap-distance-right:9.pt;mso-wrap-distance-bottom:39.100000000000001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78"/>
                          <w:szCs w:val="78"/>
                        </w:rPr>
                      </w:pPr>
                      <w:r>
                        <w:rPr>
                          <w:color w:val="000000"/>
                          <w:spacing w:val="0"/>
                          <w:w w:val="100"/>
                          <w:position w:val="0"/>
                          <w:sz w:val="78"/>
                          <w:szCs w:val="78"/>
                          <w:shd w:val="clear" w:color="auto" w:fill="auto"/>
                          <w:lang w:val="cs-CZ" w:eastAsia="cs-CZ" w:bidi="cs-CZ"/>
                        </w:rPr>
                        <w:t>Přítomnosti</w:t>
                      </w:r>
                    </w:p>
                  </w:txbxContent>
                </v:textbox>
                <w10:wrap type="square" side="right" anchorx="page"/>
              </v:shape>
            </w:pict>
          </mc:Fallback>
        </mc:AlternateContent>
      </w:r>
      <w:r>
        <w:rPr>
          <w:noProof/>
        </w:rPr>
        <mc:AlternateContent>
          <mc:Choice Requires="wps">
            <w:drawing>
              <wp:anchor distT="899160" distB="0" distL="120650" distR="114300" simplePos="0" relativeHeight="125830124" behindDoc="0" locked="0" layoutInCell="1" allowOverlap="1">
                <wp:simplePos x="0" y="0"/>
                <wp:positionH relativeFrom="page">
                  <wp:posOffset>140335</wp:posOffset>
                </wp:positionH>
                <wp:positionV relativeFrom="paragraph">
                  <wp:posOffset>2020570</wp:posOffset>
                </wp:positionV>
                <wp:extent cx="2736850" cy="359410"/>
                <wp:effectExtent l="0" t="0" r="0" b="0"/>
                <wp:wrapSquare wrapText="right"/>
                <wp:docPr id="747" name="Shape 747"/>
                <wp:cNvGraphicFramePr/>
                <a:graphic xmlns:a="http://schemas.openxmlformats.org/drawingml/2006/main">
                  <a:graphicData uri="http://schemas.microsoft.com/office/word/2010/wordprocessingShape">
                    <wps:wsp>
                      <wps:cNvSpPr txBox="1"/>
                      <wps:spPr>
                        <a:xfrm>
                          <a:off x="0" y="0"/>
                          <a:ext cx="2736850" cy="359410"/>
                        </a:xfrm>
                        <a:prstGeom prst="rect">
                          <a:avLst/>
                        </a:prstGeom>
                        <a:noFill/>
                      </wps:spPr>
                      <wps:txbx>
                        <w:txbxContent>
                          <w:p w:rsidR="00500724" w:rsidRDefault="00F30FB8">
                            <w:pPr>
                              <w:pStyle w:val="Jin0"/>
                              <w:shd w:val="clear" w:color="auto" w:fill="auto"/>
                              <w:ind w:firstLine="0"/>
                              <w:jc w:val="left"/>
                              <w:rPr>
                                <w:sz w:val="46"/>
                                <w:szCs w:val="46"/>
                              </w:rPr>
                            </w:pPr>
                            <w:r>
                              <w:rPr>
                                <w:sz w:val="46"/>
                                <w:szCs w:val="46"/>
                              </w:rPr>
                              <w:t>řídí Ferd. Peroutka</w:t>
                            </w:r>
                          </w:p>
                        </w:txbxContent>
                      </wps:txbx>
                      <wps:bodyPr lIns="0" tIns="0" rIns="0" bIns="0">
                        <a:spAutoFit/>
                      </wps:bodyPr>
                    </wps:wsp>
                  </a:graphicData>
                </a:graphic>
              </wp:anchor>
            </w:drawing>
          </mc:Choice>
          <mc:Fallback>
            <w:pict>
              <v:shape id="_x0000_s1773" type="#_x0000_t202" style="position:absolute;margin-left:11.050000000000001pt;margin-top:159.09999999999999pt;width:215.5pt;height:28.300000000000001pt;z-index:-125828629;mso-wrap-distance-left:9.5pt;mso-wrap-distance-top:70.799999999999997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
        <w:shd w:val="clear" w:color="auto" w:fill="auto"/>
        <w:spacing w:after="480" w:line="230" w:lineRule="auto"/>
        <w:ind w:left="260" w:hanging="260"/>
      </w:pPr>
      <w:r>
        <w:rPr>
          <w:b/>
          <w:bCs/>
          <w:sz w:val="20"/>
          <w:szCs w:val="20"/>
        </w:rPr>
        <w:t xml:space="preserve">OBSAH PŘÍTOMNOSTI C, 28: </w:t>
      </w:r>
      <w:r>
        <w:rPr>
          <w:b/>
          <w:bCs/>
          <w:lang w:val="en-US" w:eastAsia="en-US" w:bidi="en-US"/>
        </w:rPr>
        <w:t xml:space="preserve">GAMMA: </w:t>
      </w:r>
      <w:r>
        <w:rPr>
          <w:b/>
          <w:bCs/>
        </w:rPr>
        <w:t xml:space="preserve">Němcovo </w:t>
      </w:r>
      <w:r>
        <w:rPr>
          <w:b/>
          <w:bCs/>
        </w:rPr>
        <w:t>naučení — PAVEL HOFMAN: Na březích řeky Khalky — ZDE</w:t>
      </w:r>
      <w:r>
        <w:rPr>
          <w:b/>
          <w:bCs/>
        </w:rPr>
        <w:softHyphen/>
        <w:t>NĚK SMETÁČEK: Změnila se britská politika? — Světová situace hospodářská — JINDÍÍICH CHALUPECKÝ: Ne</w:t>
      </w:r>
      <w:r>
        <w:rPr>
          <w:b/>
          <w:bCs/>
        </w:rPr>
        <w:softHyphen/>
        <w:t xml:space="preserve">snáze s moderním uměním — JAN DRDA: Zaměřte Pražana — Zápas o neutralitu ve Spojených Státech — Radost </w:t>
      </w:r>
      <w:r>
        <w:rPr>
          <w:b/>
          <w:bCs/>
        </w:rPr>
        <w:t xml:space="preserve">ze života — Před dvaceti lety — Lítost nad Alšovým Špalíčkem — Kdy se vyčerpají? — </w:t>
      </w:r>
      <w:r>
        <w:rPr>
          <w:b/>
          <w:bCs/>
          <w:lang w:val="en-US" w:eastAsia="en-US" w:bidi="en-US"/>
        </w:rPr>
        <w:t xml:space="preserve">Televise </w:t>
      </w:r>
      <w:r>
        <w:rPr>
          <w:b/>
          <w:bCs/>
        </w:rPr>
        <w:t>— Zemědělec a důstojník — Je jasnozřivost možná? — České a německé divadlo v Praze — Češka Slovence, provdané za Čecha — Tvář Prahy.</w:t>
      </w:r>
    </w:p>
    <w:p w:rsidR="00500724" w:rsidRDefault="00F30FB8">
      <w:pPr>
        <w:pStyle w:val="Nadpis90"/>
        <w:keepNext/>
        <w:keepLines/>
        <w:shd w:val="clear" w:color="auto" w:fill="auto"/>
        <w:spacing w:after="200"/>
        <w:ind w:left="140"/>
      </w:pPr>
      <w:bookmarkStart w:id="727" w:name="bookmark726"/>
      <w:r>
        <w:rPr>
          <w:u w:val="single"/>
        </w:rPr>
        <w:t>nezávislý týdeník</w:t>
      </w:r>
      <w:bookmarkEnd w:id="727"/>
    </w:p>
    <w:p w:rsidR="00500724" w:rsidRDefault="00F30FB8">
      <w:pPr>
        <w:pStyle w:val="Zkladntext1"/>
        <w:shd w:val="clear" w:color="auto" w:fill="auto"/>
        <w:spacing w:after="40" w:line="226" w:lineRule="auto"/>
        <w:ind w:firstLine="0"/>
        <w:jc w:val="center"/>
        <w:rPr>
          <w:sz w:val="20"/>
          <w:szCs w:val="20"/>
        </w:rPr>
      </w:pPr>
      <w:r>
        <w:rPr>
          <w:sz w:val="20"/>
          <w:szCs w:val="20"/>
        </w:rPr>
        <w:t xml:space="preserve">vychází ve </w:t>
      </w:r>
      <w:r>
        <w:rPr>
          <w:sz w:val="20"/>
          <w:szCs w:val="20"/>
        </w:rPr>
        <w:t>středu v nakladatelství</w:t>
      </w:r>
      <w:r>
        <w:rPr>
          <w:sz w:val="20"/>
          <w:szCs w:val="20"/>
        </w:rPr>
        <w:br/>
        <w:t>FR. BOROVÝ V PRAZE L. NÁRODNÍ TŘÍDA 11.</w:t>
      </w:r>
    </w:p>
    <w:p w:rsidR="00500724" w:rsidRDefault="00F30FB8">
      <w:pPr>
        <w:pStyle w:val="Zkladntext40"/>
        <w:shd w:val="clear" w:color="auto" w:fill="auto"/>
        <w:spacing w:after="40" w:line="187" w:lineRule="auto"/>
      </w:pPr>
      <w:r>
        <w:t>Telefon číslo 390-51 až 54 • Učet poštovní spořitelny číslo 35.622 • Nevy</w:t>
      </w:r>
      <w:r>
        <w:softHyphen/>
      </w:r>
      <w:r>
        <w:t xml:space="preserve">žádané rukopisy se nevracejí • Předplatné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Dohlédací pošt. úřad Brno II. • Novinová sazba povolena v Brně ředitelstvím pošt a teleg</w:t>
      </w:r>
      <w:r>
        <w:t>rafů pod čís. 119.268/HIa. • Odpovědný redaktor J. Dlabač.</w:t>
      </w:r>
    </w:p>
    <w:p w:rsidR="00500724" w:rsidRDefault="00F30FB8">
      <w:pPr>
        <w:pStyle w:val="Zkladntext1"/>
        <w:shd w:val="clear" w:color="auto" w:fill="auto"/>
        <w:spacing w:after="120" w:line="226" w:lineRule="auto"/>
        <w:ind w:left="5340" w:firstLine="0"/>
        <w:jc w:val="left"/>
        <w:rPr>
          <w:sz w:val="20"/>
          <w:szCs w:val="20"/>
        </w:rPr>
      </w:pPr>
      <w:r>
        <w:rPr>
          <w:sz w:val="20"/>
          <w:szCs w:val="20"/>
        </w:rPr>
        <w:t>TISKEM LIDOVÉ TISKÁRNY. BRNO. ČESKÁ 6.</w:t>
      </w:r>
      <w:r>
        <w:br w:type="page"/>
      </w:r>
    </w:p>
    <w:p w:rsidR="00500724" w:rsidRDefault="00F30FB8">
      <w:pPr>
        <w:pStyle w:val="Jin0"/>
        <w:pBdr>
          <w:bottom w:val="single" w:sz="4" w:space="0" w:color="auto"/>
        </w:pBdr>
        <w:shd w:val="clear" w:color="auto" w:fill="auto"/>
        <w:ind w:firstLine="0"/>
        <w:jc w:val="center"/>
        <w:rPr>
          <w:sz w:val="116"/>
          <w:szCs w:val="116"/>
        </w:rPr>
        <w:sectPr w:rsidR="00500724">
          <w:footnotePr>
            <w:numFmt w:val="chicago"/>
            <w:numRestart w:val="eachPage"/>
          </w:footnotePr>
          <w:type w:val="continuous"/>
          <w:pgSz w:w="11909" w:h="16834"/>
          <w:pgMar w:top="895" w:right="1175" w:bottom="534" w:left="304" w:header="0" w:footer="3" w:gutter="0"/>
          <w:cols w:space="720"/>
          <w:noEndnote/>
          <w:docGrid w:linePitch="360"/>
        </w:sectPr>
      </w:pPr>
      <w:r>
        <w:rPr>
          <w:sz w:val="116"/>
          <w:szCs w:val="116"/>
        </w:rPr>
        <w:t>Přítomnosti</w:t>
      </w:r>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982" w:right="0" w:bottom="571" w:left="0" w:header="0" w:footer="3" w:gutter="0"/>
          <w:cols w:space="720"/>
          <w:noEndnote/>
          <w:docGrid w:linePitch="360"/>
        </w:sectPr>
      </w:pPr>
    </w:p>
    <w:p w:rsidR="00500724" w:rsidRDefault="00500724">
      <w:pPr>
        <w:spacing w:line="360" w:lineRule="exact"/>
      </w:pPr>
    </w:p>
    <w:p w:rsidR="00500724" w:rsidRDefault="00500724">
      <w:pPr>
        <w:spacing w:after="370" w:line="14" w:lineRule="exact"/>
      </w:pPr>
    </w:p>
    <w:p w:rsidR="00500724" w:rsidRDefault="00500724">
      <w:pPr>
        <w:spacing w:line="14" w:lineRule="exact"/>
        <w:sectPr w:rsidR="00500724">
          <w:footnotePr>
            <w:numFmt w:val="chicago"/>
            <w:numRestart w:val="eachPage"/>
          </w:footnotePr>
          <w:type w:val="continuous"/>
          <w:pgSz w:w="11909" w:h="16834"/>
          <w:pgMar w:top="982" w:right="1039" w:bottom="571" w:left="487" w:header="0" w:footer="3" w:gutter="0"/>
          <w:cols w:space="720"/>
          <w:noEndnote/>
          <w:docGrid w:linePitch="360"/>
        </w:sectPr>
      </w:pPr>
    </w:p>
    <w:p w:rsidR="00500724" w:rsidRDefault="00F30FB8">
      <w:pPr>
        <w:spacing w:line="14" w:lineRule="exact"/>
      </w:pPr>
      <w:r>
        <w:rPr>
          <w:noProof/>
        </w:rPr>
        <mc:AlternateContent>
          <mc:Choice Requires="wps">
            <w:drawing>
              <wp:anchor distT="0" distB="254000" distL="114300" distR="114300" simplePos="0" relativeHeight="125830126" behindDoc="0" locked="0" layoutInCell="1" allowOverlap="1">
                <wp:simplePos x="0" y="0"/>
                <wp:positionH relativeFrom="page">
                  <wp:posOffset>6590665</wp:posOffset>
                </wp:positionH>
                <wp:positionV relativeFrom="paragraph">
                  <wp:posOffset>7909560</wp:posOffset>
                </wp:positionV>
                <wp:extent cx="204470" cy="213360"/>
                <wp:effectExtent l="0" t="0" r="0" b="0"/>
                <wp:wrapTopAndBottom/>
                <wp:docPr id="749" name="Shape 749"/>
                <wp:cNvGraphicFramePr/>
                <a:graphic xmlns:a="http://schemas.openxmlformats.org/drawingml/2006/main">
                  <a:graphicData uri="http://schemas.microsoft.com/office/word/2010/wordprocessingShape">
                    <wps:wsp>
                      <wps:cNvSpPr txBox="1"/>
                      <wps:spPr>
                        <a:xfrm>
                          <a:off x="0" y="0"/>
                          <a:ext cx="20447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44i</w:t>
                            </w:r>
                          </w:p>
                        </w:txbxContent>
                      </wps:txbx>
                      <wps:bodyPr lIns="0" tIns="0" rIns="0" bIns="0">
                        <a:spAutoFit/>
                      </wps:bodyPr>
                    </wps:wsp>
                  </a:graphicData>
                </a:graphic>
              </wp:anchor>
            </w:drawing>
          </mc:Choice>
          <mc:Fallback>
            <w:pict>
              <v:shape id="_x0000_s1775" type="#_x0000_t202" style="position:absolute;margin-left:518.95000000000005pt;margin-top:622.79999999999995pt;width:16.100000000000001pt;height:16.800000000000001pt;z-index:-125828627;mso-wrap-distance-left:9.pt;mso-wrap-distance-right:9.pt;mso-wrap-distance-bottom:20.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44i</w:t>
                      </w:r>
                    </w:p>
                  </w:txbxContent>
                </v:textbox>
                <w10:wrap type="topAndBottom" anchorx="page"/>
              </v:shape>
            </w:pict>
          </mc:Fallback>
        </mc:AlternateContent>
      </w:r>
    </w:p>
    <w:p w:rsidR="00500724" w:rsidRDefault="00F30FB8">
      <w:pPr>
        <w:pStyle w:val="Nadpis100"/>
        <w:shd w:val="clear" w:color="auto" w:fill="auto"/>
        <w:spacing w:line="240" w:lineRule="auto"/>
      </w:pPr>
      <w:bookmarkStart w:id="728" w:name="bookmark727"/>
      <w:r>
        <w:t>Gdaňsko</w:t>
      </w:r>
      <w:bookmarkEnd w:id="728"/>
    </w:p>
    <w:p w:rsidR="00500724" w:rsidRDefault="00F30FB8">
      <w:pPr>
        <w:pStyle w:val="Zkladntext20"/>
        <w:framePr w:dropCap="drop" w:lines="2" w:hSpace="19" w:vSpace="19" w:wrap="auto" w:vAnchor="text" w:hAnchor="text"/>
        <w:shd w:val="clear" w:color="auto" w:fill="auto"/>
        <w:spacing w:line="314" w:lineRule="exact"/>
        <w:ind w:firstLine="0"/>
      </w:pPr>
      <w:r>
        <w:rPr>
          <w:position w:val="-7"/>
          <w:sz w:val="46"/>
          <w:szCs w:val="46"/>
        </w:rPr>
        <w:t>N</w:t>
      </w:r>
    </w:p>
    <w:p w:rsidR="00500724" w:rsidRDefault="00F30FB8">
      <w:pPr>
        <w:pStyle w:val="Zkladntext20"/>
        <w:shd w:val="clear" w:color="auto" w:fill="auto"/>
        <w:spacing w:line="221" w:lineRule="auto"/>
        <w:ind w:firstLine="0"/>
      </w:pPr>
      <w:r>
        <w:t>a dveřích kanceláře kteréhosi vysokého</w:t>
      </w:r>
      <w:r>
        <w:t xml:space="preserve"> úředníka polského rozhlasu ve Varšavě se v těchto dnech objevil lístek s nápisem: »Upozorňuji, že termín vý</w:t>
      </w:r>
      <w:r>
        <w:softHyphen/>
        <w:t xml:space="preserve">buchu války mi není znám a že neposkytuji informací na toto téma.« — Nejslavnější gdaňský rodák, Artur </w:t>
      </w:r>
      <w:r>
        <w:rPr>
          <w:lang w:val="en-US" w:eastAsia="en-US" w:bidi="en-US"/>
        </w:rPr>
        <w:t xml:space="preserve">Schopenhauer, </w:t>
      </w:r>
      <w:r>
        <w:t>řekl kdysi v klidnějších časec</w:t>
      </w:r>
      <w:r>
        <w:t>h, že na tomto našem naskrze dvojsmyslném světě není nikdy chvíle tak vážné, aby v ní nebylo dost důvodů k žer</w:t>
      </w:r>
      <w:r>
        <w:softHyphen/>
        <w:t>tům. A teď, když je jeho rodné město středem té dvojsmyslné planety, je vtipné upozornění varšav</w:t>
      </w:r>
      <w:r>
        <w:softHyphen/>
        <w:t>ského úředníka zároveň obrázkem z fronty oné :»v</w:t>
      </w:r>
      <w:r>
        <w:t>álky nervů«, která — jak se i podle něho zdá — naštěstí ještě nepřivedla věci k nejhoršímu.</w:t>
      </w:r>
    </w:p>
    <w:p w:rsidR="00500724" w:rsidRDefault="00F30FB8">
      <w:pPr>
        <w:pStyle w:val="Zkladntext20"/>
        <w:shd w:val="clear" w:color="auto" w:fill="auto"/>
        <w:spacing w:after="40" w:line="221" w:lineRule="auto"/>
        <w:ind w:firstLine="280"/>
      </w:pPr>
      <w:r>
        <w:t>Přenecháme-li hádání budoucnosti kartářkám a spřízněným druhům živností, můžeme přece s pro</w:t>
      </w:r>
      <w:r>
        <w:softHyphen/>
        <w:t>spěchem přehlédnout nedávnou minulost a bezpro</w:t>
      </w:r>
      <w:r>
        <w:softHyphen/>
        <w:t>střední současnost se vše</w:t>
      </w:r>
      <w:r>
        <w:t>mi jejich tendencemi dalšího vývoje.</w:t>
      </w:r>
    </w:p>
    <w:p w:rsidR="00500724" w:rsidRDefault="00F30FB8">
      <w:pPr>
        <w:pStyle w:val="Zkladntext20"/>
        <w:shd w:val="clear" w:color="auto" w:fill="auto"/>
        <w:spacing w:after="40" w:line="202" w:lineRule="auto"/>
        <w:ind w:left="160" w:firstLine="0"/>
        <w:jc w:val="center"/>
      </w:pPr>
      <w:r>
        <w:t>LFakta.</w:t>
      </w:r>
    </w:p>
    <w:p w:rsidR="00500724" w:rsidRDefault="00F30FB8">
      <w:pPr>
        <w:pStyle w:val="Zkladntext20"/>
        <w:shd w:val="clear" w:color="auto" w:fill="auto"/>
        <w:spacing w:line="202" w:lineRule="auto"/>
        <w:ind w:firstLine="280"/>
      </w:pPr>
      <w:r>
        <w:t>Být objektem nebo subjektem politiky, a to zna</w:t>
      </w:r>
      <w:r>
        <w:softHyphen/>
        <w:t>mená být otrokem nebo pánem svého osudu: to byla otázka, jež pro Gdaňsko nepřestala být aktuální od roku jeho založení. A byla-li poloha při ústí nej</w:t>
      </w:r>
      <w:r>
        <w:softHyphen/>
        <w:t>důležitější ře</w:t>
      </w:r>
      <w:r>
        <w:t>ky evropského severovýchodu příliš lá</w:t>
      </w:r>
      <w:r>
        <w:softHyphen/>
        <w:t>kavá a tedy příliš exponovaná, než aby tu na křižo</w:t>
      </w:r>
      <w:r>
        <w:softHyphen/>
        <w:t>vatce mocenských zájmů mohl obchod zůstat neruše</w:t>
      </w:r>
      <w:r>
        <w:softHyphen/>
        <w:t>ným obchodem, byl statut svobodného města pod snesitelnou záštitou kompromisem, jaký ještě nej</w:t>
      </w:r>
      <w:r>
        <w:softHyphen/>
        <w:t xml:space="preserve">spíše vyhovoval nátuře </w:t>
      </w:r>
      <w:r>
        <w:t>kupců a kupčíků. To by mohlo vysvětlit, proč se Gdaňsko v r. 1454 vzepřelo režimu Křižáků a dobrovolně se podrobilo suverenitě pol</w:t>
      </w:r>
      <w:r>
        <w:softHyphen/>
        <w:t>ských králů, kteří mu slíbili autonomii; a proč v na</w:t>
      </w:r>
      <w:r>
        <w:softHyphen/>
        <w:t xml:space="preserve">poleonské době nemělo nic proti francouzské posádce ve svých zdech, jen </w:t>
      </w:r>
      <w:r>
        <w:t>když nad nimi směly po sedm let znovu vlát prapory Svobodného města.</w:t>
      </w:r>
    </w:p>
    <w:p w:rsidR="00500724" w:rsidRDefault="00F30FB8">
      <w:pPr>
        <w:pStyle w:val="Zkladntext20"/>
        <w:shd w:val="clear" w:color="auto" w:fill="auto"/>
        <w:spacing w:after="40" w:line="202" w:lineRule="auto"/>
        <w:ind w:firstLine="280"/>
      </w:pPr>
      <w:r>
        <w:t xml:space="preserve">Ve francouzských Versaillích byl o sto let později obnoven podobný stav článkem 100—108 mírové smlouvy, která pak byla v tomto bodě precisována rozhodnutím Rady Společnosti národů ze dne </w:t>
      </w:r>
      <w:r>
        <w:t>22. června 1921:</w:t>
      </w:r>
    </w:p>
    <w:p w:rsidR="00500724" w:rsidRDefault="00F30FB8">
      <w:pPr>
        <w:pStyle w:val="Zkladntext20"/>
        <w:shd w:val="clear" w:color="auto" w:fill="auto"/>
        <w:spacing w:after="40" w:line="175" w:lineRule="auto"/>
        <w:ind w:firstLine="280"/>
        <w:rPr>
          <w:sz w:val="20"/>
          <w:szCs w:val="20"/>
        </w:rPr>
      </w:pPr>
      <w:r>
        <w:rPr>
          <w:sz w:val="20"/>
          <w:szCs w:val="20"/>
        </w:rPr>
        <w:t>»Polská vláda je zvláště pověřena zajistiti v případě po</w:t>
      </w:r>
      <w:r>
        <w:rPr>
          <w:sz w:val="20"/>
          <w:szCs w:val="20"/>
        </w:rPr>
        <w:softHyphen/>
        <w:t>třeby obranu gdaňského území jakož i udržení pořádku na území svobodného města Gdanska v případě, že by se síly místní policie projevily být nedostatečnými. — Vysokému komisaři Spole</w:t>
      </w:r>
      <w:r>
        <w:rPr>
          <w:sz w:val="20"/>
          <w:szCs w:val="20"/>
        </w:rPr>
        <w:t xml:space="preserve">čnosti národů náleží, aby v kterékoli situaci vyzval přímo polskou vládu, aby zajistila ochranu Gdanska nebo aby poskytla nezbytné prostředky k udržení pořádku na území svobodného města Gdanska v těchto případech: </w:t>
      </w:r>
      <w:r>
        <w:rPr>
          <w:sz w:val="20"/>
          <w:szCs w:val="20"/>
          <w:lang w:val="en-US" w:eastAsia="en-US" w:bidi="en-US"/>
        </w:rPr>
        <w:t xml:space="preserve">a) </w:t>
      </w:r>
      <w:r>
        <w:rPr>
          <w:sz w:val="20"/>
          <w:szCs w:val="20"/>
        </w:rPr>
        <w:t>V případě, že by území svobodného města</w:t>
      </w:r>
      <w:r>
        <w:rPr>
          <w:sz w:val="20"/>
          <w:szCs w:val="20"/>
        </w:rPr>
        <w:t xml:space="preserve"> Gdanska se stalo předmětem útoku, hrozby útokem nebo nebezpečí úto</w:t>
      </w:r>
      <w:r>
        <w:rPr>
          <w:sz w:val="20"/>
          <w:szCs w:val="20"/>
        </w:rPr>
        <w:softHyphen/>
        <w:t xml:space="preserve">ku se strany některého sousedního státu; b) v případě, že by z jakékoli příčiny polská vláda pozbyla náhle a skutečně možnosti vykonávati svá práva, jež jí zaručují svobodné </w:t>
      </w:r>
      <w:r>
        <w:rPr>
          <w:rFonts w:ascii="Arial" w:eastAsia="Arial" w:hAnsi="Arial" w:cs="Arial"/>
          <w:sz w:val="17"/>
          <w:szCs w:val="17"/>
        </w:rPr>
        <w:t xml:space="preserve">a </w:t>
      </w:r>
      <w:r>
        <w:rPr>
          <w:sz w:val="20"/>
          <w:szCs w:val="20"/>
        </w:rPr>
        <w:t>úplné použív</w:t>
      </w:r>
      <w:r>
        <w:rPr>
          <w:sz w:val="20"/>
          <w:szCs w:val="20"/>
        </w:rPr>
        <w:t>ání přístavu.«</w:t>
      </w:r>
    </w:p>
    <w:p w:rsidR="00500724" w:rsidRDefault="00F30FB8">
      <w:pPr>
        <w:pStyle w:val="Zkladntext20"/>
        <w:shd w:val="clear" w:color="auto" w:fill="auto"/>
        <w:spacing w:line="206" w:lineRule="auto"/>
        <w:ind w:firstLine="280"/>
      </w:pPr>
      <w:r>
        <w:t xml:space="preserve">Německé obyvatelstvo města bylo zklamáno, </w:t>
      </w:r>
      <w:r>
        <w:rPr>
          <w:b/>
          <w:bCs/>
          <w:sz w:val="26"/>
          <w:szCs w:val="26"/>
        </w:rPr>
        <w:t xml:space="preserve">i </w:t>
      </w:r>
      <w:r>
        <w:t>když mu čísla statistik ukazovala, že celkový roční obrat jeho přístavu, který v r. 1913 činil necelé 2 miliony tun, dosáhl v r. 1928 téměř pětinásobné výše.</w:t>
      </w:r>
    </w:p>
    <w:p w:rsidR="00500724" w:rsidRDefault="00F30FB8">
      <w:pPr>
        <w:pStyle w:val="Zkladntext20"/>
        <w:shd w:val="clear" w:color="auto" w:fill="auto"/>
        <w:spacing w:line="202" w:lineRule="auto"/>
        <w:ind w:firstLine="280"/>
      </w:pPr>
      <w:r>
        <w:t xml:space="preserve">Dnešní Gdaňsko má 240 tisíc obyvatel, </w:t>
      </w:r>
      <w:r>
        <w:t>celé jeho území (1966 km</w:t>
      </w:r>
      <w:r>
        <w:rPr>
          <w:vertAlign w:val="superscript"/>
        </w:rPr>
        <w:t>2</w:t>
      </w:r>
      <w:r>
        <w:t>) jich má přes 400 tisíc. Do nedávná bylo čtvrtým největším přístavem evropské pevniny, jako dlouho bývalo čtvrtým největším přístavem středověké Hansy. Teď už asi šest let muselo postou</w:t>
      </w:r>
      <w:r>
        <w:softHyphen/>
        <w:t>pit toto místo Gdyni, které v Polsku rádi ří</w:t>
      </w:r>
      <w:r>
        <w:t>kají »zá« zračné město«. O tom dost přesvědčivě mluví tabulka s údaji celkového obratu zboží, transportovaného (v dovozu i vývozu) oběma přístavy (v mil. tun):</w:t>
      </w:r>
    </w:p>
    <w:p w:rsidR="00500724" w:rsidRDefault="00F30FB8">
      <w:pPr>
        <w:pStyle w:val="Obsah0"/>
        <w:shd w:val="clear" w:color="auto" w:fill="auto"/>
        <w:tabs>
          <w:tab w:val="right" w:pos="1917"/>
          <w:tab w:val="right" w:pos="2421"/>
          <w:tab w:val="right" w:pos="2977"/>
          <w:tab w:val="right" w:pos="3486"/>
          <w:tab w:val="right" w:pos="3990"/>
          <w:tab w:val="right" w:pos="4494"/>
          <w:tab w:val="right" w:pos="4987"/>
        </w:tabs>
        <w:ind w:firstLine="1060"/>
      </w:pPr>
      <w:r>
        <w:fldChar w:fldCharType="begin"/>
      </w:r>
      <w:r>
        <w:instrText xml:space="preserve"> TOC \o "1-5" \h \z </w:instrText>
      </w:r>
      <w:r>
        <w:fldChar w:fldCharType="separate"/>
      </w:r>
      <w:r>
        <w:t>1928</w:t>
      </w:r>
      <w:r>
        <w:tab/>
        <w:t>1929</w:t>
      </w:r>
      <w:r>
        <w:tab/>
        <w:t>1933</w:t>
      </w:r>
      <w:r>
        <w:tab/>
        <w:t>1934</w:t>
      </w:r>
      <w:r>
        <w:tab/>
        <w:t>1935</w:t>
      </w:r>
      <w:r>
        <w:tab/>
        <w:t>1936</w:t>
      </w:r>
      <w:r>
        <w:tab/>
        <w:t>1937</w:t>
      </w:r>
      <w:r>
        <w:tab/>
        <w:t>1938</w:t>
      </w:r>
    </w:p>
    <w:p w:rsidR="00500724" w:rsidRDefault="00F30FB8">
      <w:pPr>
        <w:pStyle w:val="Obsah0"/>
        <w:shd w:val="clear" w:color="auto" w:fill="auto"/>
        <w:tabs>
          <w:tab w:val="right" w:pos="1382"/>
          <w:tab w:val="right" w:pos="1917"/>
          <w:tab w:val="right" w:pos="2421"/>
          <w:tab w:val="right" w:pos="2977"/>
          <w:tab w:val="right" w:pos="3486"/>
          <w:tab w:val="right" w:pos="3990"/>
          <w:tab w:val="right" w:pos="4494"/>
          <w:tab w:val="right" w:pos="4987"/>
        </w:tabs>
        <w:ind w:firstLine="0"/>
      </w:pPr>
      <w:r>
        <w:t>Gdaňsko</w:t>
      </w:r>
      <w:r>
        <w:tab/>
        <w:t>8.4</w:t>
      </w:r>
      <w:r>
        <w:tab/>
        <w:t>8.4</w:t>
      </w:r>
      <w:r>
        <w:tab/>
        <w:t>4.9</w:t>
      </w:r>
      <w:r>
        <w:tab/>
        <w:t>5.6</w:t>
      </w:r>
      <w:r>
        <w:tab/>
        <w:t>4.6</w:t>
      </w:r>
      <w:r>
        <w:tab/>
        <w:t>4.9</w:t>
      </w:r>
      <w:r>
        <w:tab/>
        <w:t>5.4</w:t>
      </w:r>
      <w:r>
        <w:tab/>
      </w:r>
      <w:r>
        <w:t>6.0</w:t>
      </w:r>
    </w:p>
    <w:p w:rsidR="00500724" w:rsidRDefault="00F30FB8">
      <w:pPr>
        <w:pStyle w:val="Obsah0"/>
        <w:shd w:val="clear" w:color="auto" w:fill="auto"/>
        <w:tabs>
          <w:tab w:val="right" w:pos="1382"/>
          <w:tab w:val="right" w:pos="1917"/>
          <w:tab w:val="right" w:pos="2421"/>
          <w:tab w:val="right" w:pos="2977"/>
          <w:tab w:val="right" w:pos="3486"/>
          <w:tab w:val="right" w:pos="3990"/>
          <w:tab w:val="right" w:pos="4494"/>
          <w:tab w:val="right" w:pos="4987"/>
        </w:tabs>
        <w:ind w:firstLine="0"/>
      </w:pPr>
      <w:r>
        <w:t>Gdyňa</w:t>
      </w:r>
      <w:r>
        <w:tab/>
        <w:t>1.7</w:t>
      </w:r>
      <w:r>
        <w:tab/>
        <w:t>2.7</w:t>
      </w:r>
      <w:r>
        <w:tab/>
        <w:t>5.7</w:t>
      </w:r>
      <w:r>
        <w:tab/>
        <w:t>6.7</w:t>
      </w:r>
      <w:r>
        <w:tab/>
        <w:t>7.1</w:t>
      </w:r>
      <w:r>
        <w:tab/>
        <w:t>7.4</w:t>
      </w:r>
      <w:r>
        <w:tab/>
        <w:t>8.6</w:t>
      </w:r>
      <w:r>
        <w:tab/>
        <w:t>8.7</w:t>
      </w:r>
    </w:p>
    <w:p w:rsidR="00500724" w:rsidRDefault="00F30FB8">
      <w:pPr>
        <w:pStyle w:val="Obsah0"/>
        <w:shd w:val="clear" w:color="auto" w:fill="auto"/>
        <w:spacing w:line="204" w:lineRule="auto"/>
        <w:rPr>
          <w:sz w:val="22"/>
          <w:szCs w:val="22"/>
        </w:rPr>
      </w:pPr>
      <w:r>
        <w:rPr>
          <w:sz w:val="22"/>
          <w:szCs w:val="22"/>
        </w:rPr>
        <w:t>Ještě mnohem výmluvnější je tabulka, podávající přehled vývoje celkové hodnoty vývozu a dovozu</w:t>
      </w:r>
    </w:p>
    <w:p w:rsidR="00500724" w:rsidRDefault="00F30FB8">
      <w:pPr>
        <w:pStyle w:val="Obsah0"/>
        <w:shd w:val="clear" w:color="auto" w:fill="auto"/>
        <w:spacing w:line="204" w:lineRule="auto"/>
        <w:ind w:firstLine="0"/>
        <w:rPr>
          <w:sz w:val="22"/>
          <w:szCs w:val="22"/>
        </w:rPr>
      </w:pPr>
      <w:r>
        <w:rPr>
          <w:sz w:val="22"/>
          <w:szCs w:val="22"/>
        </w:rPr>
        <w:t>(v mil. zlotých):</w:t>
      </w:r>
    </w:p>
    <w:p w:rsidR="00500724" w:rsidRDefault="00F30FB8">
      <w:pPr>
        <w:pStyle w:val="Obsah0"/>
        <w:shd w:val="clear" w:color="auto" w:fill="auto"/>
        <w:tabs>
          <w:tab w:val="left" w:pos="931"/>
          <w:tab w:val="left" w:pos="2045"/>
          <w:tab w:val="left" w:pos="2509"/>
          <w:tab w:val="left" w:pos="3106"/>
          <w:tab w:val="left" w:pos="3610"/>
          <w:tab w:val="left" w:pos="4166"/>
          <w:tab w:val="right" w:pos="4987"/>
        </w:tabs>
        <w:ind w:firstLine="1060"/>
      </w:pPr>
      <w:r>
        <w:t>1928 1929 1933 1934 1935 1936 1937 1938 Gdaňsko</w:t>
      </w:r>
      <w:r>
        <w:tab/>
        <w:t>1476 1492</w:t>
      </w:r>
      <w:r>
        <w:tab/>
        <w:t>408</w:t>
      </w:r>
      <w:r>
        <w:tab/>
        <w:t>412</w:t>
      </w:r>
      <w:r>
        <w:tab/>
        <w:t>355</w:t>
      </w:r>
      <w:r>
        <w:tab/>
        <w:t>377</w:t>
      </w:r>
      <w:r>
        <w:tab/>
        <w:t>416</w:t>
      </w:r>
      <w:r>
        <w:tab/>
        <w:t>376</w:t>
      </w:r>
    </w:p>
    <w:p w:rsidR="00500724" w:rsidRDefault="00F30FB8">
      <w:pPr>
        <w:pStyle w:val="Obsah0"/>
        <w:shd w:val="clear" w:color="auto" w:fill="auto"/>
        <w:tabs>
          <w:tab w:val="left" w:pos="1574"/>
          <w:tab w:val="left" w:pos="2045"/>
          <w:tab w:val="left" w:pos="2509"/>
          <w:tab w:val="left" w:pos="3106"/>
          <w:tab w:val="left" w:pos="3610"/>
          <w:tab w:val="left" w:pos="4580"/>
        </w:tabs>
        <w:spacing w:line="180" w:lineRule="auto"/>
        <w:ind w:firstLine="0"/>
      </w:pPr>
      <w:r>
        <w:t>Gdyňa 79</w:t>
      </w:r>
      <w:r>
        <w:tab/>
        <w:t>135</w:t>
      </w:r>
      <w:r>
        <w:tab/>
        <w:t>536</w:t>
      </w:r>
      <w:r>
        <w:tab/>
        <w:t>65</w:t>
      </w:r>
      <w:r>
        <w:t>5</w:t>
      </w:r>
      <w:r>
        <w:tab/>
        <w:t>762</w:t>
      </w:r>
      <w:r>
        <w:tab/>
        <w:t>948 1198</w:t>
      </w:r>
      <w:r>
        <w:tab/>
        <w:t>1183</w:t>
      </w:r>
      <w:r>
        <w:fldChar w:fldCharType="end"/>
      </w:r>
    </w:p>
    <w:p w:rsidR="00500724" w:rsidRDefault="00F30FB8">
      <w:pPr>
        <w:pStyle w:val="Zkladntext20"/>
        <w:shd w:val="clear" w:color="auto" w:fill="auto"/>
        <w:spacing w:line="202" w:lineRule="auto"/>
        <w:ind w:firstLine="280"/>
      </w:pPr>
      <w:r>
        <w:t>Stačí srovnat obě tabulky, aby se vidělo, že Polsko — daleko největší zákazník obou přístavů — vede přes Gdyni zboži vyšší hodnoty a nižší váhy, zatím co přes Gdaňsko diriguje zásilky opačné charakteri</w:t>
      </w:r>
      <w:r>
        <w:softHyphen/>
        <w:t>stiky. Snad to ani není jen zlá</w:t>
      </w:r>
      <w:r>
        <w:t xml:space="preserve"> vůle varšavských' činitelů; nesmí se totiž zapomínat, že velkolepý gdyn- ský přístav nestačí už pro příliš vzrostlou dopravu zboží, které by se tu zbytečně prodražovalo, kdyby tu proto muselo déle ležet. Ale v kruzích gdaňských obchodníků a loďařů rostlo </w:t>
      </w:r>
      <w:r>
        <w:t>v posledních letech přes</w:t>
      </w:r>
      <w:r>
        <w:softHyphen/>
        <w:t>to rozhořčení, k němuž Varšava dala někdy i přímý, podnět; tak třeba v r. 1937, kdy po výjimečně špat</w:t>
      </w:r>
      <w:r>
        <w:softHyphen/>
        <w:t>ných žních v Polsku vydala zákaz vývozu obilí přes Gdaňsko, kdy však spolehlivé zprávy z Gdyně hlásily jeho export — třeba minimá</w:t>
      </w:r>
      <w:r>
        <w:t>lní — přes tento konku</w:t>
      </w:r>
      <w:r>
        <w:softHyphen/>
      </w:r>
    </w:p>
    <w:p w:rsidR="00500724" w:rsidRDefault="00F30FB8">
      <w:pPr>
        <w:pStyle w:val="Zkladntext20"/>
        <w:shd w:val="clear" w:color="auto" w:fill="auto"/>
        <w:spacing w:line="202" w:lineRule="auto"/>
        <w:ind w:firstLine="0"/>
      </w:pPr>
      <w:r>
        <w:t>renční přístav.</w:t>
      </w:r>
    </w:p>
    <w:p w:rsidR="00500724" w:rsidRDefault="00F30FB8">
      <w:pPr>
        <w:pStyle w:val="Zkladntext20"/>
        <w:shd w:val="clear" w:color="auto" w:fill="auto"/>
        <w:spacing w:after="80" w:line="202" w:lineRule="auto"/>
        <w:ind w:firstLine="280"/>
      </w:pPr>
      <w:r>
        <w:t>Na začátku své nové existence nepomýšlelo Polsko na to, aby v Gdyni zbudovalo velkolepý přístav nákla</w:t>
      </w:r>
      <w:r>
        <w:softHyphen/>
        <w:t xml:space="preserve">dem, který se snad pořád ještě nerentuje. Kdo měl před dvaceti lety zájem na tom, aby mu v sousedství nenarosila </w:t>
      </w:r>
      <w:r>
        <w:t>tato nepříjemná konkurence, mohl tomu tenkrát zabránit rozvážnou obchodní politikou, jež by se nedala vésti jinými zřeteli než čistě komerční</w:t>
      </w:r>
      <w:r>
        <w:softHyphen/>
        <w:t xml:space="preserve">mi. Úvahy tohoto druhu mají ovšem dnes už jen historickou cenu; uprostřed zbraní nemlčí jen músy, nýbrž i chladný </w:t>
      </w:r>
      <w:r>
        <w:t>rozum.</w:t>
      </w:r>
    </w:p>
    <w:p w:rsidR="00500724" w:rsidRDefault="00F30FB8">
      <w:pPr>
        <w:pStyle w:val="Zkladntext20"/>
        <w:numPr>
          <w:ilvl w:val="0"/>
          <w:numId w:val="89"/>
        </w:numPr>
        <w:shd w:val="clear" w:color="auto" w:fill="auto"/>
        <w:tabs>
          <w:tab w:val="left" w:pos="2509"/>
        </w:tabs>
        <w:spacing w:after="60" w:line="202" w:lineRule="auto"/>
        <w:ind w:left="2080" w:firstLine="0"/>
        <w:jc w:val="left"/>
      </w:pPr>
      <w:r>
        <w:t>Činy:</w:t>
      </w:r>
    </w:p>
    <w:p w:rsidR="00500724" w:rsidRDefault="00F30FB8">
      <w:pPr>
        <w:pStyle w:val="Zkladntext20"/>
        <w:shd w:val="clear" w:color="auto" w:fill="auto"/>
        <w:spacing w:line="202" w:lineRule="auto"/>
        <w:ind w:firstLine="280"/>
      </w:pPr>
      <w:r>
        <w:t>Snad si vyslanec polské republiky v Berlíně po</w:t>
      </w:r>
      <w:r>
        <w:softHyphen/>
        <w:t>myslel, že se někdy křivdí příslovečným božím mlý- ným, když jel do Varšavy s návrhy německé říše ná řešení gdaňské otázky — to bylo v těch březnových dnech, kdy svět byl ještě ohlušen rachotem mo</w:t>
      </w:r>
      <w:r>
        <w:t>toriso- vaných oddílů po pražské dlažbě. Berlín žádal změnu statutu Svobodného města, která by znamenala návrat města k Říši, exteritoriální spojení Německa s Gdaňskem přes území polského koridoru a bez</w:t>
      </w:r>
      <w:r>
        <w:softHyphen/>
        <w:t>odkladné řešení otázek německých menšin.</w:t>
      </w:r>
    </w:p>
    <w:p w:rsidR="00500724" w:rsidRDefault="00F30FB8">
      <w:pPr>
        <w:pStyle w:val="Zkladntext20"/>
        <w:shd w:val="clear" w:color="auto" w:fill="auto"/>
        <w:spacing w:after="60" w:line="214" w:lineRule="auto"/>
        <w:ind w:firstLine="260"/>
      </w:pPr>
      <w:r>
        <w:t>První odpově</w:t>
      </w:r>
      <w:r>
        <w:t>dí Polska byla jeho mobilisace z 21. března, druhou byla odmítavá odpovědní nota z 26. března, třetí bylo přijetí britské garancie z 31. března, čtvrtou konečně řeč ministra zahraničních věcí Bečka z 5. května, v níž už odmítavě reagoval na Vůdcovu řeč z 2</w:t>
      </w:r>
      <w:r>
        <w:t>8. dubna, na jeho vypovězení německo-polské smlouvy i na jeho nabídku nové pětadvacetileté úmluvy.</w:t>
      </w:r>
    </w:p>
    <w:p w:rsidR="00500724" w:rsidRDefault="00F30FB8">
      <w:pPr>
        <w:pStyle w:val="Zkladntext20"/>
        <w:shd w:val="clear" w:color="auto" w:fill="auto"/>
        <w:spacing w:after="60" w:line="202" w:lineRule="auto"/>
        <w:ind w:firstLine="260"/>
      </w:pPr>
      <w:r>
        <w:t>To byl počátek prudkého spádu událostí, soustře</w:t>
      </w:r>
      <w:r>
        <w:softHyphen/>
        <w:t>ďujících se letos kolem Gdanska, o němž bylo řečeno, že se stalo novými Sudetami. Jak se zdá, točí se naše pl</w:t>
      </w:r>
      <w:r>
        <w:t>aneta nejen astronomicky, nýbrž i politicky od zá</w:t>
      </w:r>
      <w:r>
        <w:softHyphen/>
        <w:t>padu na východ; o rychlosti, s níž se pohybuje, mohou nejlépe svědčit slova Vůdce a říšského kancléře z 20. února 1938, charakteristická pro tehdejší poho</w:t>
      </w:r>
      <w:r>
        <w:softHyphen/>
        <w:t>du na evropském Blízkém východě:</w:t>
      </w:r>
    </w:p>
    <w:p w:rsidR="00500724" w:rsidRDefault="00F30FB8">
      <w:pPr>
        <w:pStyle w:val="Zkladntext20"/>
        <w:shd w:val="clear" w:color="auto" w:fill="auto"/>
        <w:spacing w:after="60"/>
        <w:ind w:firstLine="260"/>
        <w:rPr>
          <w:sz w:val="20"/>
          <w:szCs w:val="20"/>
        </w:rPr>
      </w:pPr>
      <w:r>
        <w:rPr>
          <w:sz w:val="20"/>
          <w:szCs w:val="20"/>
        </w:rPr>
        <w:t>»Od té doby, co Sp</w:t>
      </w:r>
      <w:r>
        <w:rPr>
          <w:sz w:val="20"/>
          <w:szCs w:val="20"/>
        </w:rPr>
        <w:t>olečnost národů ustala ve svých poku</w:t>
      </w:r>
      <w:r>
        <w:rPr>
          <w:sz w:val="20"/>
          <w:szCs w:val="20"/>
        </w:rPr>
        <w:softHyphen/>
        <w:t>sech vnášeti neklid do Gdanska, ztratil tento bod, nejnebez</w:t>
      </w:r>
      <w:r>
        <w:rPr>
          <w:sz w:val="20"/>
          <w:szCs w:val="20"/>
        </w:rPr>
        <w:softHyphen/>
        <w:t xml:space="preserve">pečnější pro evropský mír, úplně svůj mír ohrožující ráz. Polský stát respektuje národnostní podmínky v Gdaňsku, kde zase Němci se své strany respektují práva </w:t>
      </w:r>
      <w:r>
        <w:rPr>
          <w:sz w:val="20"/>
          <w:szCs w:val="20"/>
        </w:rPr>
        <w:t>Polska.*</w:t>
      </w:r>
    </w:p>
    <w:p w:rsidR="00500724" w:rsidRDefault="00F30FB8">
      <w:pPr>
        <w:pStyle w:val="Zkladntext20"/>
        <w:shd w:val="clear" w:color="auto" w:fill="auto"/>
        <w:spacing w:after="60" w:line="202" w:lineRule="auto"/>
        <w:ind w:firstLine="260"/>
      </w:pPr>
      <w:r>
        <w:t>Od té chvíle se mnoho změnilo, ve světě i v Gdaň</w:t>
      </w:r>
      <w:r>
        <w:softHyphen/>
        <w:t>sku, kde se kritické momenty množily geometrickou řadou. Polsko považovalo za vhodno odpovědět na srazy nacionálněsoeialistickýeh SA a SS v městě sou</w:t>
      </w:r>
      <w:r>
        <w:softHyphen/>
        <w:t xml:space="preserve">stavným obkličováním jeho území. Tvrdí, že v </w:t>
      </w:r>
      <w:r>
        <w:t>gdaň</w:t>
      </w:r>
      <w:r>
        <w:softHyphen/>
        <w:t xml:space="preserve">ských zdech je 10.000 ozbrojených mužů; jisto je, že polské ozbrojené síly dosahují jen v Tčevě, posledním předmostí na Visle, počtu aspoň pětinásobného a že </w:t>
      </w:r>
      <w:r>
        <w:rPr>
          <w:b/>
          <w:bCs/>
          <w:sz w:val="26"/>
          <w:szCs w:val="26"/>
        </w:rPr>
        <w:t xml:space="preserve">v </w:t>
      </w:r>
      <w:r>
        <w:t>celé zemi stojí ve zbrani milion mužů. Ve varšav</w:t>
      </w:r>
      <w:r>
        <w:softHyphen/>
        <w:t>ském tisku se objevily zprávy o dopravě zb</w:t>
      </w:r>
      <w:r>
        <w:t>raní a střeliva do Gdanska; jisto je, že polská Westerplatte se proměnila v jediné muniční skladiště pro těžké dělostřelectvo, rozestavěné kolem města a přístavu, a že celý koridor se ryehle opevňuje. V polovině května byl polskou hlídkou zastřelen německý</w:t>
      </w:r>
      <w:r>
        <w:t xml:space="preserve"> občan Gdanska, načež polská vláda podala protest proti činnosti SA a SS na gdaňském území. V červnu se pokusil papež o prostředkování, brzy však musel jet varšavský nuncius do Říma ohlásit nezdar runci- manovské akce Pia XH. Dne 29. června vyvrcholily za </w:t>
      </w:r>
      <w:r>
        <w:t>účasti presidenta Mošczického demonstrace pro polské pomoří pod heslem »Nedáme se zahnat od Baltu!* Hned nato vyhlásil gdaňský senát utvoření Dobrovolnického sboru, do něhož se měli — nej</w:t>
      </w:r>
      <w:r>
        <w:softHyphen/>
        <w:t>později do 6. července — přihlásit všichni němečtí mužové od 16 do 2</w:t>
      </w:r>
      <w:r>
        <w:t>5 let; což se obešlo bez formálního protestu varšavské vlády.</w:t>
      </w:r>
    </w:p>
    <w:p w:rsidR="00500724" w:rsidRDefault="00F30FB8">
      <w:pPr>
        <w:pStyle w:val="Zkladntext20"/>
        <w:shd w:val="clear" w:color="auto" w:fill="auto"/>
        <w:spacing w:after="60"/>
        <w:ind w:firstLine="260"/>
      </w:pPr>
      <w:r>
        <w:t>Mezitím se polský velvyslanec hrabě Raczynski vrátil z Varšavy do Londýna s novými návrhy na řešení gdaňské otázky. Návrhy mají jak se zdá čtyři hlavní body:</w:t>
      </w:r>
    </w:p>
    <w:p w:rsidR="00500724" w:rsidRDefault="00F30FB8">
      <w:pPr>
        <w:pStyle w:val="Zkladntext20"/>
        <w:numPr>
          <w:ilvl w:val="0"/>
          <w:numId w:val="90"/>
        </w:numPr>
        <w:shd w:val="clear" w:color="auto" w:fill="auto"/>
        <w:tabs>
          <w:tab w:val="left" w:pos="520"/>
        </w:tabs>
        <w:spacing w:after="60" w:line="223" w:lineRule="auto"/>
        <w:ind w:firstLine="260"/>
        <w:rPr>
          <w:sz w:val="20"/>
          <w:szCs w:val="20"/>
        </w:rPr>
      </w:pPr>
      <w:r>
        <w:rPr>
          <w:sz w:val="20"/>
          <w:szCs w:val="20"/>
        </w:rPr>
        <w:t>Polsko zruší svoje diplomatické zast</w:t>
      </w:r>
      <w:r>
        <w:rPr>
          <w:sz w:val="20"/>
          <w:szCs w:val="20"/>
        </w:rPr>
        <w:t>oupení v Gdaňsku;</w:t>
      </w:r>
    </w:p>
    <w:p w:rsidR="00500724" w:rsidRDefault="00F30FB8">
      <w:pPr>
        <w:pStyle w:val="Zkladntext20"/>
        <w:numPr>
          <w:ilvl w:val="0"/>
          <w:numId w:val="90"/>
        </w:numPr>
        <w:shd w:val="clear" w:color="auto" w:fill="auto"/>
        <w:tabs>
          <w:tab w:val="left" w:pos="433"/>
        </w:tabs>
        <w:spacing w:after="60" w:line="194" w:lineRule="auto"/>
        <w:ind w:firstLine="260"/>
        <w:rPr>
          <w:sz w:val="20"/>
          <w:szCs w:val="20"/>
        </w:rPr>
      </w:pPr>
      <w:r>
        <w:rPr>
          <w:sz w:val="20"/>
          <w:szCs w:val="20"/>
        </w:rPr>
        <w:t>dá souhlas k odvolání vysokého komisaře Společnosti národů ze Svobodného města;</w:t>
      </w:r>
    </w:p>
    <w:p w:rsidR="00500724" w:rsidRDefault="00F30FB8">
      <w:pPr>
        <w:pStyle w:val="Zkladntext20"/>
        <w:numPr>
          <w:ilvl w:val="0"/>
          <w:numId w:val="90"/>
        </w:numPr>
        <w:shd w:val="clear" w:color="auto" w:fill="auto"/>
        <w:tabs>
          <w:tab w:val="left" w:pos="428"/>
        </w:tabs>
        <w:spacing w:after="60" w:line="202" w:lineRule="auto"/>
        <w:ind w:firstLine="260"/>
        <w:rPr>
          <w:sz w:val="20"/>
          <w:szCs w:val="20"/>
        </w:rPr>
      </w:pPr>
      <w:r>
        <w:rPr>
          <w:sz w:val="20"/>
          <w:szCs w:val="20"/>
        </w:rPr>
        <w:t>usnadní dopravní spojení mezi Gdaňskem a Říší výstav</w:t>
      </w:r>
      <w:r>
        <w:rPr>
          <w:sz w:val="20"/>
          <w:szCs w:val="20"/>
        </w:rPr>
        <w:softHyphen/>
        <w:t>bou dálnice přes koridor, která však nebude patřiti Němec</w:t>
      </w:r>
      <w:r>
        <w:rPr>
          <w:sz w:val="20"/>
          <w:szCs w:val="20"/>
        </w:rPr>
        <w:softHyphen/>
        <w:t xml:space="preserve">ku, nýbrž Polsku a nebude mít ani </w:t>
      </w:r>
      <w:r>
        <w:rPr>
          <w:sz w:val="20"/>
          <w:szCs w:val="20"/>
        </w:rPr>
        <w:t>exteritoriální ráz;</w:t>
      </w:r>
    </w:p>
    <w:p w:rsidR="00500724" w:rsidRDefault="00F30FB8">
      <w:pPr>
        <w:pStyle w:val="Zkladntext20"/>
        <w:numPr>
          <w:ilvl w:val="0"/>
          <w:numId w:val="90"/>
        </w:numPr>
        <w:shd w:val="clear" w:color="auto" w:fill="auto"/>
        <w:tabs>
          <w:tab w:val="left" w:pos="438"/>
        </w:tabs>
        <w:spacing w:after="60" w:line="190" w:lineRule="auto"/>
        <w:ind w:firstLine="260"/>
        <w:rPr>
          <w:sz w:val="20"/>
          <w:szCs w:val="20"/>
        </w:rPr>
      </w:pPr>
      <w:r>
        <w:rPr>
          <w:sz w:val="20"/>
          <w:szCs w:val="20"/>
        </w:rPr>
        <w:t>Polsko nedá souhlas k žádným změnám v státoprávním a celním postavení Gdanska.</w:t>
      </w:r>
    </w:p>
    <w:p w:rsidR="00500724" w:rsidRDefault="00F30FB8">
      <w:pPr>
        <w:pStyle w:val="Zkladntext20"/>
        <w:shd w:val="clear" w:color="auto" w:fill="auto"/>
        <w:spacing w:after="60" w:line="202" w:lineRule="auto"/>
        <w:ind w:firstLine="260"/>
      </w:pPr>
      <w:r>
        <w:t>Ve Varšavě si asi nedělají zbytečných ilusí o osudu podobných podmíněných návrhů; znají nepodmíněný výrok Vůdce a říšského kancléře: »Gdansko je ně</w:t>
      </w:r>
      <w:r>
        <w:softHyphen/>
        <w:t>meckým mě</w:t>
      </w:r>
      <w:r>
        <w:t>stem a přijde zpátky k Ríši.«</w:t>
      </w:r>
    </w:p>
    <w:p w:rsidR="00500724" w:rsidRDefault="00F30FB8">
      <w:pPr>
        <w:pStyle w:val="Zkladntext20"/>
        <w:numPr>
          <w:ilvl w:val="0"/>
          <w:numId w:val="89"/>
        </w:numPr>
        <w:shd w:val="clear" w:color="auto" w:fill="auto"/>
        <w:tabs>
          <w:tab w:val="left" w:pos="2464"/>
        </w:tabs>
        <w:spacing w:after="60" w:line="202" w:lineRule="auto"/>
        <w:ind w:left="1940" w:firstLine="0"/>
        <w:jc w:val="left"/>
      </w:pPr>
      <w:r>
        <w:t>Slova.</w:t>
      </w:r>
    </w:p>
    <w:p w:rsidR="00500724" w:rsidRDefault="00F30FB8">
      <w:pPr>
        <w:pStyle w:val="Zkladntext20"/>
        <w:shd w:val="clear" w:color="auto" w:fill="auto"/>
        <w:spacing w:line="204" w:lineRule="auto"/>
        <w:ind w:firstLine="260"/>
      </w:pPr>
      <w:r>
        <w:t>^Nechtěli bychom — napsala v těchto dnech »Ga- zeta Polska« — aby Francouz nebo Angličan musel nastavit svůj krk pro jakousi malou gdaňskou chi</w:t>
      </w:r>
      <w:r>
        <w:softHyphen/>
        <w:t>méru. Ukázali jsme už nejednou v dějinách, že se do</w:t>
      </w:r>
      <w:r>
        <w:softHyphen/>
        <w:t>vedeme bít.« Co na tohl</w:t>
      </w:r>
      <w:r>
        <w:t>e říkají Francouzi a Angličané sami?</w:t>
      </w:r>
    </w:p>
    <w:p w:rsidR="00500724" w:rsidRDefault="00F30FB8">
      <w:pPr>
        <w:pStyle w:val="Zkladntext20"/>
        <w:shd w:val="clear" w:color="auto" w:fill="auto"/>
        <w:spacing w:line="202" w:lineRule="auto"/>
        <w:ind w:firstLine="260"/>
      </w:pPr>
      <w:r>
        <w:t>Není tomu tak dávno, co »Times« vyslovily názor, že »Gdansko nemůže nikomu stát za válku.« U nás, kde jsme dosud nezapomněli na velmi podobná slova téhož nejsměrodatnějšího londýnského listu z loňské</w:t>
      </w:r>
      <w:r>
        <w:softHyphen/>
        <w:t>ho podzimu, bylo do</w:t>
      </w:r>
      <w:r>
        <w:t>st nejistoty o tom, co se tou větou vlastně míní. Ostatní britská žurnalistika ji komento</w:t>
      </w:r>
      <w:r>
        <w:softHyphen/>
        <w:t xml:space="preserve">vala v tom smyslu, že každý pokus o změnu </w:t>
      </w:r>
      <w:r>
        <w:rPr>
          <w:lang w:val="en-US" w:eastAsia="en-US" w:bidi="en-US"/>
        </w:rPr>
        <w:t xml:space="preserve">statu quo </w:t>
      </w:r>
      <w:r>
        <w:t>v Gdaňsku by nutně znamenal válku, a že by tedy nemělo k takovému pokusu dojít.</w:t>
      </w:r>
    </w:p>
    <w:p w:rsidR="00500724" w:rsidRDefault="00F30FB8">
      <w:pPr>
        <w:pStyle w:val="Zkladntext20"/>
        <w:shd w:val="clear" w:color="auto" w:fill="auto"/>
        <w:spacing w:line="202" w:lineRule="auto"/>
        <w:ind w:firstLine="260"/>
      </w:pPr>
      <w:r>
        <w:t xml:space="preserve">Ruský tisk zachovává na rozdíl od </w:t>
      </w:r>
      <w:r>
        <w:t>anglického a fran</w:t>
      </w:r>
      <w:r>
        <w:softHyphen/>
        <w:t>couzského velikou reservu, pokud jde o Gdaňsko. A ne</w:t>
      </w:r>
      <w:r>
        <w:softHyphen/>
        <w:t xml:space="preserve">jen ruský tisk, též ruští státníci. </w:t>
      </w:r>
      <w:r>
        <w:rPr>
          <w:lang w:val="en-US" w:eastAsia="en-US" w:bidi="en-US"/>
        </w:rPr>
        <w:t xml:space="preserve">Molotov </w:t>
      </w:r>
      <w:r>
        <w:t>je patrně jedi</w:t>
      </w:r>
      <w:r>
        <w:softHyphen/>
        <w:t>ným vůdčím politikem v Evropě, který dosud neměl co říci ke gdaňskému tématu: patří snad i Gdaňsko k pověstným Stalinovým »kaš</w:t>
      </w:r>
      <w:r>
        <w:t>tanům«, jež nemají být za jiné tahány z ohně? Průtahy moskevských vyjed</w:t>
      </w:r>
      <w:r>
        <w:softHyphen/>
        <w:t>návání v této době by bylo tak lze chápat. Není-li v současné evropské polyfonii slyšet oficiální ruský hlas, nebude nemístno připamatovat starší sovětský názor o gdaňských věcech. Byl</w:t>
      </w:r>
      <w:r>
        <w:t xml:space="preserve"> vysloven v oficiálních moskevských »Izvěstijích« dne 3. října 1928:</w:t>
      </w:r>
    </w:p>
    <w:p w:rsidR="00500724" w:rsidRDefault="00F30FB8">
      <w:pPr>
        <w:pStyle w:val="Zkladntext20"/>
        <w:shd w:val="clear" w:color="auto" w:fill="auto"/>
        <w:spacing w:after="60" w:line="178" w:lineRule="auto"/>
        <w:ind w:firstLine="260"/>
        <w:rPr>
          <w:sz w:val="20"/>
          <w:szCs w:val="20"/>
        </w:rPr>
      </w:pPr>
      <w:r>
        <w:rPr>
          <w:sz w:val="20"/>
          <w:szCs w:val="20"/>
        </w:rPr>
        <w:t>»Autoři versailleské smlouvy — čteme tam — spáchali kromě jiných hanebností i zločin odtržení Východního Prus</w:t>
      </w:r>
      <w:r>
        <w:rPr>
          <w:sz w:val="20"/>
          <w:szCs w:val="20"/>
        </w:rPr>
        <w:softHyphen/>
        <w:t>ka od ostatního Německa. Tím vznikl politický problém ne</w:t>
      </w:r>
      <w:r>
        <w:rPr>
          <w:sz w:val="20"/>
          <w:szCs w:val="20"/>
        </w:rPr>
        <w:softHyphen/>
        <w:t xml:space="preserve">obyčejné ostrosti, </w:t>
      </w:r>
      <w:r>
        <w:rPr>
          <w:sz w:val="20"/>
          <w:szCs w:val="20"/>
        </w:rPr>
        <w:t>jenž znepokojuje celou Evropu. Jde tu o to, aby bylo zachráněno němectví Východních Prus. Jak se to může stát? Kdyby Německo chtělo vidět jasně ve zmatku východní Evropy, počítalo by jen se Sovětským Svazem a s jeho mohutnými prostředky, jež by mohly Prusk</w:t>
      </w:r>
      <w:r>
        <w:rPr>
          <w:sz w:val="20"/>
          <w:szCs w:val="20"/>
        </w:rPr>
        <w:t>u pomoci se pozvednout a splnit svoji německou úlohu na celém evropském východě.*</w:t>
      </w:r>
    </w:p>
    <w:p w:rsidR="00500724" w:rsidRDefault="00F30FB8">
      <w:pPr>
        <w:pStyle w:val="Zkladntext20"/>
        <w:numPr>
          <w:ilvl w:val="0"/>
          <w:numId w:val="89"/>
        </w:numPr>
        <w:shd w:val="clear" w:color="auto" w:fill="auto"/>
        <w:tabs>
          <w:tab w:val="left" w:pos="2241"/>
        </w:tabs>
        <w:spacing w:after="80" w:line="202" w:lineRule="auto"/>
        <w:ind w:left="1760" w:firstLine="0"/>
        <w:jc w:val="left"/>
      </w:pPr>
      <w:r>
        <w:rPr>
          <w:b/>
          <w:bCs/>
        </w:rPr>
        <w:t>Znamení.</w:t>
      </w:r>
    </w:p>
    <w:p w:rsidR="00500724" w:rsidRDefault="00F30FB8">
      <w:pPr>
        <w:pStyle w:val="Zkladntext20"/>
        <w:shd w:val="clear" w:color="auto" w:fill="auto"/>
        <w:spacing w:line="209" w:lineRule="auto"/>
        <w:ind w:firstLine="260"/>
      </w:pPr>
      <w:r>
        <w:t>V mlčení Moskvy odpovídá Londýnu, Paříži a Var</w:t>
      </w:r>
      <w:r>
        <w:softHyphen/>
        <w:t>šavě Gdaňsko samo hlasem svého nacionálně- socialistického orgánu &gt;Danziger Vorposten* z 11. července:</w:t>
      </w:r>
    </w:p>
    <w:p w:rsidR="00500724" w:rsidRDefault="00F30FB8">
      <w:pPr>
        <w:pStyle w:val="Zkladntext20"/>
        <w:shd w:val="clear" w:color="auto" w:fill="auto"/>
        <w:spacing w:line="178" w:lineRule="auto"/>
        <w:ind w:firstLine="260"/>
        <w:rPr>
          <w:sz w:val="20"/>
          <w:szCs w:val="20"/>
        </w:rPr>
      </w:pPr>
      <w:r>
        <w:rPr>
          <w:sz w:val="20"/>
          <w:szCs w:val="20"/>
        </w:rPr>
        <w:t xml:space="preserve">»Stará taktika </w:t>
      </w:r>
      <w:r>
        <w:rPr>
          <w:sz w:val="20"/>
          <w:szCs w:val="20"/>
        </w:rPr>
        <w:t>Varšavy, která chce udělat ze zeměpisné polohy Gdanska na ústí Visly oporu pro polské nároky, je zřejmě potřena taktem, že Polsko tento proud úplně za</w:t>
      </w:r>
      <w:r>
        <w:rPr>
          <w:sz w:val="20"/>
          <w:szCs w:val="20"/>
        </w:rPr>
        <w:softHyphen/>
        <w:t>nedbává a že Visla je pro polskou paroplavbu bezvýznam</w:t>
      </w:r>
      <w:r>
        <w:rPr>
          <w:sz w:val="20"/>
          <w:szCs w:val="20"/>
        </w:rPr>
        <w:softHyphen/>
        <w:t>ná. Na druhé straně vědí obyvatelé Gdanska sami ne</w:t>
      </w:r>
      <w:r>
        <w:rPr>
          <w:sz w:val="20"/>
          <w:szCs w:val="20"/>
        </w:rPr>
        <w:t>jlépe, proč chtějí k Říši. V Gdaňsku jsou rádi ochotni vzdáti se &gt;výhod« polského transitu v přístavu, jenž pro obyvatele města dnes nemá téměř žádného užitku. Je to typicky an</w:t>
      </w:r>
      <w:r>
        <w:rPr>
          <w:sz w:val="20"/>
          <w:szCs w:val="20"/>
        </w:rPr>
        <w:softHyphen/>
        <w:t xml:space="preserve">glickým chováním, tváří-li se </w:t>
      </w:r>
      <w:r>
        <w:rPr>
          <w:sz w:val="20"/>
          <w:szCs w:val="20"/>
          <w:lang w:val="en-US" w:eastAsia="en-US" w:bidi="en-US"/>
        </w:rPr>
        <w:t xml:space="preserve">Chamberlain, </w:t>
      </w:r>
      <w:r>
        <w:rPr>
          <w:sz w:val="20"/>
          <w:szCs w:val="20"/>
        </w:rPr>
        <w:t xml:space="preserve">jako by chtěl chránit zájmy </w:t>
      </w:r>
      <w:r>
        <w:rPr>
          <w:sz w:val="20"/>
          <w:szCs w:val="20"/>
        </w:rPr>
        <w:t>gdaňských občanů, zatím co současně hájí polskou thesi. Ani Anglie ani ženevská liga se v minulých desítiletích nestaraly o Gdaňsko, takže Gdaňsko si nyní vy</w:t>
      </w:r>
      <w:r>
        <w:rPr>
          <w:sz w:val="20"/>
          <w:szCs w:val="20"/>
        </w:rPr>
        <w:softHyphen/>
        <w:t xml:space="preserve">prošuje, aby se předstírala »péče« o jeho potřeby. Anglii a Polsku právě nejde o Gdaňsko, nýbrž o </w:t>
      </w:r>
      <w:r>
        <w:rPr>
          <w:sz w:val="20"/>
          <w:szCs w:val="20"/>
        </w:rPr>
        <w:t>obkličovací politiku, jíž se Polsko dalo k disposici a pro niž od Anglie dostalo bianko-směnku. — Mezinárodní záležitostí je Gdaňsko jenom potud, že svědomí a spravedlnost světa by se byly měly už dávno vyslovit pro revisi nemožného a libovolného rozdělení</w:t>
      </w:r>
      <w:r>
        <w:rPr>
          <w:sz w:val="20"/>
          <w:szCs w:val="20"/>
        </w:rPr>
        <w:t xml:space="preserve"> německého východu.«</w:t>
      </w:r>
    </w:p>
    <w:p w:rsidR="00500724" w:rsidRDefault="00F30FB8">
      <w:pPr>
        <w:pStyle w:val="Zkladntext20"/>
        <w:shd w:val="clear" w:color="auto" w:fill="auto"/>
        <w:tabs>
          <w:tab w:val="left" w:pos="3778"/>
        </w:tabs>
        <w:spacing w:after="40" w:line="204" w:lineRule="auto"/>
        <w:ind w:firstLine="260"/>
        <w:rPr>
          <w:sz w:val="19"/>
          <w:szCs w:val="19"/>
        </w:rPr>
      </w:pPr>
      <w:r>
        <w:t>Situacím, jako je nynější, se v diplomatickém žargo</w:t>
      </w:r>
      <w:r>
        <w:softHyphen/>
        <w:t>nu říkává »neprůhledná«. Z Berlína a Říma je slyšet rozhodné »Zpátky k Ríši!&lt;; z Londýna, Paříže a Var</w:t>
      </w:r>
      <w:r>
        <w:softHyphen/>
        <w:t xml:space="preserve">šavy se odpovídá: »Casus </w:t>
      </w:r>
      <w:r>
        <w:rPr>
          <w:lang w:val="en-US" w:eastAsia="en-US" w:bidi="en-US"/>
        </w:rPr>
        <w:t xml:space="preserve">belli!*; </w:t>
      </w:r>
      <w:r>
        <w:t xml:space="preserve">v Moskvě se očekává — to je smyslem nedávného </w:t>
      </w:r>
      <w:r>
        <w:t>sensačního článku Zdano- vova v »Izvěstijích« — druhý Mnichov. Věru, kdo by chtěl hádat ze všech znamení na smutném nebi Evropy?</w:t>
      </w:r>
      <w:r>
        <w:tab/>
      </w:r>
      <w:r>
        <w:rPr>
          <w:i/>
          <w:iCs/>
          <w:sz w:val="19"/>
          <w:szCs w:val="19"/>
        </w:rPr>
        <w:t>Pavel Hofman</w:t>
      </w:r>
      <w:r>
        <w:br w:type="page"/>
      </w:r>
    </w:p>
    <w:p w:rsidR="00500724" w:rsidRDefault="00F30FB8">
      <w:pPr>
        <w:pStyle w:val="Jin0"/>
        <w:pBdr>
          <w:bottom w:val="single" w:sz="4" w:space="0" w:color="auto"/>
        </w:pBdr>
        <w:shd w:val="clear" w:color="auto" w:fill="auto"/>
        <w:spacing w:after="420"/>
        <w:ind w:firstLine="0"/>
        <w:jc w:val="left"/>
        <w:rPr>
          <w:sz w:val="44"/>
          <w:szCs w:val="44"/>
        </w:rPr>
      </w:pPr>
      <w:r>
        <w:rPr>
          <w:b/>
          <w:bCs/>
          <w:sz w:val="44"/>
          <w:szCs w:val="44"/>
        </w:rPr>
        <w:t>poznámky</w:t>
      </w:r>
    </w:p>
    <w:p w:rsidR="00500724" w:rsidRDefault="00F30FB8">
      <w:pPr>
        <w:pStyle w:val="Zkladntext20"/>
        <w:shd w:val="clear" w:color="auto" w:fill="auto"/>
        <w:spacing w:after="100" w:line="178" w:lineRule="auto"/>
        <w:ind w:firstLine="0"/>
        <w:jc w:val="center"/>
        <w:rPr>
          <w:sz w:val="20"/>
          <w:szCs w:val="20"/>
        </w:rPr>
      </w:pPr>
      <w:r>
        <w:rPr>
          <w:b/>
          <w:bCs/>
          <w:sz w:val="20"/>
          <w:szCs w:val="20"/>
        </w:rPr>
        <w:t>Kam s inteligencí</w:t>
      </w:r>
    </w:p>
    <w:p w:rsidR="00500724" w:rsidRDefault="00F30FB8">
      <w:pPr>
        <w:pStyle w:val="Zkladntext100"/>
        <w:shd w:val="clear" w:color="auto" w:fill="auto"/>
        <w:spacing w:after="40" w:line="187" w:lineRule="auto"/>
        <w:ind w:firstLine="220"/>
        <w:rPr>
          <w:sz w:val="19"/>
          <w:szCs w:val="19"/>
        </w:rPr>
      </w:pPr>
      <w:r>
        <w:rPr>
          <w:b/>
          <w:bCs/>
          <w:sz w:val="19"/>
          <w:szCs w:val="19"/>
        </w:rPr>
        <w:t xml:space="preserve">Každá změna struktury společnosti nebo jenom určitého úseku přináší v zápětí řadu </w:t>
      </w:r>
      <w:r>
        <w:rPr>
          <w:b/>
          <w:bCs/>
          <w:sz w:val="19"/>
          <w:szCs w:val="19"/>
        </w:rPr>
        <w:t xml:space="preserve">problémů, které nebývá nijak lehko řešit. Jeden z nich — a nesporně velmi důležitý — je pro nás umístění studované inteligence. »Přátelé« i odpůrci nám velmi často vytýkali, že jsme nepřihlíželi k možnostem a skutečné potřebě a posílali do škol více lidí, </w:t>
      </w:r>
      <w:r>
        <w:rPr>
          <w:b/>
          <w:bCs/>
          <w:sz w:val="19"/>
          <w:szCs w:val="19"/>
        </w:rPr>
        <w:t>než jsme mohli potřebovat. V letech krise jsme měli nadbytek studovaných lidí, pro které jsme nedovedli opa</w:t>
      </w:r>
      <w:r>
        <w:rPr>
          <w:b/>
          <w:bCs/>
          <w:sz w:val="19"/>
          <w:szCs w:val="19"/>
        </w:rPr>
        <w:softHyphen/>
        <w:t>třit přiměřené zaměstnání. Po podzimních'událostech a ze</w:t>
      </w:r>
      <w:r>
        <w:rPr>
          <w:b/>
          <w:bCs/>
          <w:sz w:val="19"/>
          <w:szCs w:val="19"/>
        </w:rPr>
        <w:softHyphen/>
        <w:t>jména zřízením Protektorátu dostala se otázka zařazení inteligence do stadia, které naléhav</w:t>
      </w:r>
      <w:r>
        <w:rPr>
          <w:b/>
          <w:bCs/>
          <w:sz w:val="19"/>
          <w:szCs w:val="19"/>
        </w:rPr>
        <w:t>ě volá po rychlém a důkladném řešení. Mimo úředníků, učitelů, techniků a spe</w:t>
      </w:r>
      <w:r>
        <w:rPr>
          <w:b/>
          <w:bCs/>
          <w:sz w:val="19"/>
          <w:szCs w:val="19"/>
        </w:rPr>
        <w:softHyphen/>
        <w:t>cialistů pro různé obory přibylo několik tisíc důstojníků á délesloužících vojáků z povolání.</w:t>
      </w:r>
    </w:p>
    <w:p w:rsidR="00500724" w:rsidRDefault="00F30FB8">
      <w:pPr>
        <w:pStyle w:val="Zkladntext100"/>
        <w:shd w:val="clear" w:color="auto" w:fill="auto"/>
        <w:spacing w:after="40" w:line="190" w:lineRule="auto"/>
        <w:ind w:firstLine="220"/>
        <w:rPr>
          <w:sz w:val="19"/>
          <w:szCs w:val="19"/>
        </w:rPr>
      </w:pPr>
      <w:r>
        <w:rPr>
          <w:b/>
          <w:bCs/>
          <w:sz w:val="19"/>
          <w:szCs w:val="19"/>
        </w:rPr>
        <w:t>Hledají se cesty, nacházejí se prostředky, které usnad</w:t>
      </w:r>
      <w:r>
        <w:rPr>
          <w:b/>
          <w:bCs/>
          <w:sz w:val="19"/>
          <w:szCs w:val="19"/>
        </w:rPr>
        <w:softHyphen/>
        <w:t xml:space="preserve">ňují situaci, ale stále máme </w:t>
      </w:r>
      <w:r>
        <w:rPr>
          <w:b/>
          <w:bCs/>
          <w:sz w:val="19"/>
          <w:szCs w:val="19"/>
        </w:rPr>
        <w:t>několik tisíc nadbytečných.</w:t>
      </w:r>
    </w:p>
    <w:p w:rsidR="00500724" w:rsidRDefault="00F30FB8">
      <w:pPr>
        <w:pStyle w:val="Zkladntext100"/>
        <w:shd w:val="clear" w:color="auto" w:fill="auto"/>
        <w:spacing w:after="40" w:line="187" w:lineRule="auto"/>
        <w:ind w:firstLine="220"/>
        <w:rPr>
          <w:sz w:val="19"/>
          <w:szCs w:val="19"/>
        </w:rPr>
      </w:pPr>
      <w:r>
        <w:rPr>
          <w:b/>
          <w:bCs/>
          <w:sz w:val="19"/>
          <w:szCs w:val="19"/>
        </w:rPr>
        <w:t>Nadbytečných! To není pravé slovo. — Skutečnost je však taková: Máme lidi a nemůžeme upotřebit jejich schopností a sil. Na druhé straně pociťujeme různé a vážné nedostatky. Mnoho by mohli říci činovníci osvětových sborů. Často d</w:t>
      </w:r>
      <w:r>
        <w:rPr>
          <w:b/>
          <w:bCs/>
          <w:sz w:val="19"/>
          <w:szCs w:val="19"/>
        </w:rPr>
        <w:t>alo velmi mnoho práce a námahy než byl opatřen řečník pro přednášku na odborné téma. V novém prostředí čeká osvětové sbory velmi mnoho a velmi odpovědné práce. Některé organisace a útvary, zejména pokud měly politický charakter anebo byly součástí, pří</w:t>
      </w:r>
      <w:r>
        <w:rPr>
          <w:b/>
          <w:bCs/>
          <w:sz w:val="19"/>
          <w:szCs w:val="19"/>
        </w:rPr>
        <w:softHyphen/>
        <w:t>pad</w:t>
      </w:r>
      <w:r>
        <w:rPr>
          <w:b/>
          <w:bCs/>
          <w:sz w:val="19"/>
          <w:szCs w:val="19"/>
        </w:rPr>
        <w:t>ně souběžcem politických stran, likvidovaly, jiné ome</w:t>
      </w:r>
      <w:r>
        <w:rPr>
          <w:b/>
          <w:bCs/>
          <w:sz w:val="19"/>
          <w:szCs w:val="19"/>
        </w:rPr>
        <w:softHyphen/>
        <w:t>zily činnost na úzký okruh zájmový. Bude však třeba vy</w:t>
      </w:r>
      <w:r>
        <w:rPr>
          <w:b/>
          <w:bCs/>
          <w:sz w:val="19"/>
          <w:szCs w:val="19"/>
        </w:rPr>
        <w:softHyphen/>
        <w:t>světliti mnoho otázek, které dnes volají a budou volat na</w:t>
      </w:r>
      <w:r>
        <w:rPr>
          <w:b/>
          <w:bCs/>
          <w:sz w:val="19"/>
          <w:szCs w:val="19"/>
        </w:rPr>
        <w:softHyphen/>
        <w:t>léhavě po jasném a dnešnímu duchu odpovídajícím vysvětlení a objasnění. Výchovu nejširšíc</w:t>
      </w:r>
      <w:r>
        <w:rPr>
          <w:b/>
          <w:bCs/>
          <w:sz w:val="19"/>
          <w:szCs w:val="19"/>
        </w:rPr>
        <w:t>h vrstev není možno pone</w:t>
      </w:r>
      <w:r>
        <w:rPr>
          <w:b/>
          <w:bCs/>
          <w:sz w:val="19"/>
          <w:szCs w:val="19"/>
        </w:rPr>
        <w:softHyphen/>
        <w:t>chat na bedrech jedinců, kteří na vlastní pěst studují to či ono. Je zapotřebí ústředně organisované a jedním ústře</w:t>
      </w:r>
      <w:r>
        <w:rPr>
          <w:b/>
          <w:bCs/>
          <w:sz w:val="19"/>
          <w:szCs w:val="19"/>
        </w:rPr>
        <w:softHyphen/>
        <w:t>dím prováděné, plánovité a soustavné práce.</w:t>
      </w:r>
    </w:p>
    <w:p w:rsidR="00500724" w:rsidRDefault="00F30FB8">
      <w:pPr>
        <w:pStyle w:val="Zkladntext100"/>
        <w:shd w:val="clear" w:color="auto" w:fill="auto"/>
        <w:spacing w:after="40" w:line="187" w:lineRule="auto"/>
        <w:ind w:firstLine="220"/>
        <w:rPr>
          <w:sz w:val="19"/>
          <w:szCs w:val="19"/>
        </w:rPr>
      </w:pPr>
      <w:r>
        <w:rPr>
          <w:b/>
          <w:bCs/>
          <w:sz w:val="19"/>
          <w:szCs w:val="19"/>
        </w:rPr>
        <w:t>Zde by měla široké pole působnosti Národní kulturní rada. Nyní, v letní</w:t>
      </w:r>
      <w:r>
        <w:rPr>
          <w:b/>
          <w:bCs/>
          <w:sz w:val="19"/>
          <w:szCs w:val="19"/>
        </w:rPr>
        <w:t>ch měsících, před příchodem podzimu, je nutno zříditi odborné školení referentů pro kulturní činnost. Vytvořiti kádry pracovníků v Praze i sídlech krajů a podle možnosti i okresů, aby byl vždy k disposici refe</w:t>
      </w:r>
      <w:r>
        <w:rPr>
          <w:b/>
          <w:bCs/>
          <w:sz w:val="19"/>
          <w:szCs w:val="19"/>
        </w:rPr>
        <w:softHyphen/>
        <w:t>rent při nejmenší ztrátě energie a za nejmenší</w:t>
      </w:r>
      <w:r>
        <w:rPr>
          <w:b/>
          <w:bCs/>
          <w:sz w:val="19"/>
          <w:szCs w:val="19"/>
        </w:rPr>
        <w:t xml:space="preserve"> možný náklad. Ovšem nikoliv jenom řečník, který dovede hodinu nebo půl druhé vykládati, ale učitel, vykladač, který také dovede odpověděti na otázky posluchačů. A těch bude mnoho.</w:t>
      </w:r>
    </w:p>
    <w:p w:rsidR="00500724" w:rsidRDefault="00F30FB8">
      <w:pPr>
        <w:pStyle w:val="Zkladntext100"/>
        <w:shd w:val="clear" w:color="auto" w:fill="auto"/>
        <w:spacing w:after="40" w:line="187" w:lineRule="auto"/>
        <w:ind w:firstLine="220"/>
        <w:rPr>
          <w:sz w:val="19"/>
          <w:szCs w:val="19"/>
        </w:rPr>
      </w:pPr>
      <w:r>
        <w:rPr>
          <w:b/>
          <w:bCs/>
          <w:sz w:val="19"/>
          <w:szCs w:val="19"/>
        </w:rPr>
        <w:t>Mnohé v našem budoucím národním životě přijme nové formy. Má-li býti proved</w:t>
      </w:r>
      <w:r>
        <w:rPr>
          <w:b/>
          <w:bCs/>
          <w:sz w:val="19"/>
          <w:szCs w:val="19"/>
        </w:rPr>
        <w:t>en přechod hladce, bez nepřízni</w:t>
      </w:r>
      <w:r>
        <w:rPr>
          <w:b/>
          <w:bCs/>
          <w:sz w:val="19"/>
          <w:szCs w:val="19"/>
        </w:rPr>
        <w:softHyphen/>
        <w:t>vých otřesů a snad i tíživých ztrát, může se tak státi jenom dobře promyšlenou a včas prováděnou profylaxí — výchovou národa způsobem odpovídajícím dnešním pomě</w:t>
      </w:r>
      <w:r>
        <w:rPr>
          <w:b/>
          <w:bCs/>
          <w:sz w:val="19"/>
          <w:szCs w:val="19"/>
        </w:rPr>
        <w:softHyphen/>
        <w:t>rům. Poučení o nových poměrech a povinnostech každič</w:t>
      </w:r>
      <w:r>
        <w:rPr>
          <w:b/>
          <w:bCs/>
          <w:sz w:val="19"/>
          <w:szCs w:val="19"/>
        </w:rPr>
        <w:softHyphen/>
        <w:t>kého přísl</w:t>
      </w:r>
      <w:r>
        <w:rPr>
          <w:b/>
          <w:bCs/>
          <w:sz w:val="19"/>
          <w:szCs w:val="19"/>
        </w:rPr>
        <w:t>ušníka národa nebude možno dáti jenom v listech nebo snad na schůzích Národního souručenství.</w:t>
      </w:r>
    </w:p>
    <w:p w:rsidR="00500724" w:rsidRDefault="00F30FB8">
      <w:pPr>
        <w:pStyle w:val="Zkladntext100"/>
        <w:shd w:val="clear" w:color="auto" w:fill="auto"/>
        <w:spacing w:after="40" w:line="185" w:lineRule="auto"/>
        <w:ind w:firstLine="220"/>
        <w:rPr>
          <w:sz w:val="19"/>
          <w:szCs w:val="19"/>
        </w:rPr>
      </w:pPr>
      <w:r>
        <w:rPr>
          <w:b/>
          <w:bCs/>
          <w:sz w:val="19"/>
          <w:szCs w:val="19"/>
        </w:rPr>
        <w:t>Otázka národní svébytnosti vyžádá si velmi mnoho od všech příslušníků národa. Denní život to prokáže.</w:t>
      </w:r>
    </w:p>
    <w:p w:rsidR="00500724" w:rsidRDefault="00F30FB8">
      <w:pPr>
        <w:pStyle w:val="Zkladntext100"/>
        <w:shd w:val="clear" w:color="auto" w:fill="auto"/>
        <w:tabs>
          <w:tab w:val="left" w:pos="4142"/>
        </w:tabs>
        <w:spacing w:after="40" w:line="187" w:lineRule="auto"/>
        <w:ind w:firstLine="220"/>
        <w:rPr>
          <w:sz w:val="19"/>
          <w:szCs w:val="19"/>
        </w:rPr>
      </w:pPr>
      <w:r>
        <w:rPr>
          <w:b/>
          <w:bCs/>
          <w:sz w:val="19"/>
          <w:szCs w:val="19"/>
        </w:rPr>
        <w:t>Velmi mnoho práce na kulturním poli, zejména mezi vrstvami z</w:t>
      </w:r>
      <w:r>
        <w:rPr>
          <w:b/>
          <w:bCs/>
          <w:sz w:val="19"/>
          <w:szCs w:val="19"/>
        </w:rPr>
        <w:t>aměstnaneckými, vykonaly v minulostí odbo</w:t>
      </w:r>
      <w:r>
        <w:rPr>
          <w:b/>
          <w:bCs/>
          <w:sz w:val="19"/>
          <w:szCs w:val="19"/>
        </w:rPr>
        <w:softHyphen/>
        <w:t>rové organisace. I činovníci těchto shodně konstatují, že řečníků, kteří ovládali určité otázky aspoň »dobře«, nebylo mnoho. Často i velké, početně silné a finančně situované organisace s dostatečnými prostředky, m</w:t>
      </w:r>
      <w:r>
        <w:rPr>
          <w:b/>
          <w:bCs/>
          <w:sz w:val="19"/>
          <w:szCs w:val="19"/>
        </w:rPr>
        <w:t>ěly jen několik málo pracovníků, kteří ovládali i jiná témata než úzce organisační. Za změněných poměrů bude možno odboro</w:t>
      </w:r>
      <w:r>
        <w:rPr>
          <w:b/>
          <w:bCs/>
          <w:sz w:val="19"/>
          <w:szCs w:val="19"/>
        </w:rPr>
        <w:softHyphen/>
        <w:t>vým organisacím vykonati více než dříve. Soustředění ve velké celky znamená podstatnou úsporu výdajů proti dří</w:t>
      </w:r>
      <w:r>
        <w:rPr>
          <w:b/>
          <w:bCs/>
          <w:sz w:val="19"/>
          <w:szCs w:val="19"/>
        </w:rPr>
        <w:softHyphen/>
        <w:t>vějšku. Zákaz výluk a s</w:t>
      </w:r>
      <w:r>
        <w:rPr>
          <w:b/>
          <w:bCs/>
          <w:sz w:val="19"/>
          <w:szCs w:val="19"/>
        </w:rPr>
        <w:t>távek a nová úprava námezdního poměru i řešení případných nedorozumění novými meto</w:t>
      </w:r>
      <w:r>
        <w:rPr>
          <w:b/>
          <w:bCs/>
          <w:sz w:val="19"/>
          <w:szCs w:val="19"/>
        </w:rPr>
        <w:softHyphen/>
        <w:t>dami, činí zbytečnými stávkové podpůrné fondy, které hospodářství odborových organisaci značně zatěžovaly. Těchto peněz bude možno — a pokud známe vedoucí činov</w:t>
      </w:r>
      <w:r>
        <w:rPr>
          <w:b/>
          <w:bCs/>
          <w:sz w:val="19"/>
          <w:szCs w:val="19"/>
        </w:rPr>
        <w:softHyphen/>
        <w:t>níky odborov</w:t>
      </w:r>
      <w:r>
        <w:rPr>
          <w:b/>
          <w:bCs/>
          <w:sz w:val="19"/>
          <w:szCs w:val="19"/>
        </w:rPr>
        <w:t>ého hnutí také jistě bude — použito na zvý</w:t>
      </w:r>
      <w:r>
        <w:rPr>
          <w:b/>
          <w:bCs/>
          <w:sz w:val="19"/>
          <w:szCs w:val="19"/>
        </w:rPr>
        <w:softHyphen/>
        <w:t>šení duchovní úrovně členstva.</w:t>
      </w:r>
      <w:r>
        <w:rPr>
          <w:b/>
          <w:bCs/>
          <w:sz w:val="19"/>
          <w:szCs w:val="19"/>
        </w:rPr>
        <w:tab/>
        <w:t>,</w:t>
      </w:r>
    </w:p>
    <w:p w:rsidR="00500724" w:rsidRDefault="00F30FB8">
      <w:pPr>
        <w:pStyle w:val="Zkladntext100"/>
        <w:shd w:val="clear" w:color="auto" w:fill="auto"/>
        <w:spacing w:line="190" w:lineRule="auto"/>
        <w:ind w:firstLine="220"/>
        <w:rPr>
          <w:sz w:val="19"/>
          <w:szCs w:val="19"/>
        </w:rPr>
      </w:pPr>
      <w:r>
        <w:rPr>
          <w:b/>
          <w:bCs/>
          <w:sz w:val="19"/>
          <w:szCs w:val="19"/>
        </w:rPr>
        <w:t>Rozumný zaměstnavatel ví, že dělník vyšší duchovní úrovně je lepší pracovník než dělník zanedbaný nebo za</w:t>
      </w:r>
      <w:r>
        <w:rPr>
          <w:b/>
          <w:bCs/>
          <w:sz w:val="19"/>
          <w:szCs w:val="19"/>
        </w:rPr>
        <w:softHyphen/>
        <w:t>ostalý. Utvořením jediné a jednotné politické strany čes</w:t>
      </w:r>
      <w:r>
        <w:rPr>
          <w:b/>
          <w:bCs/>
          <w:sz w:val="19"/>
          <w:szCs w:val="19"/>
        </w:rPr>
        <w:softHyphen/>
        <w:t>kého národa zmizí</w:t>
      </w:r>
      <w:r>
        <w:rPr>
          <w:b/>
          <w:bCs/>
          <w:sz w:val="19"/>
          <w:szCs w:val="19"/>
        </w:rPr>
        <w:t xml:space="preserve"> politické boje a šarvátky. Nezmizí tím názorové rozdíly. Odstranit je a uvésti život do správných kolejí není možno provésti dekretem, nýbrž jenom usilov</w:t>
      </w:r>
      <w:r>
        <w:rPr>
          <w:b/>
          <w:bCs/>
          <w:sz w:val="19"/>
          <w:szCs w:val="19"/>
        </w:rPr>
        <w:softHyphen/>
        <w:t>nou, soustavnou a plánovitou výchovou.</w:t>
      </w:r>
    </w:p>
    <w:p w:rsidR="00500724" w:rsidRDefault="00F30FB8">
      <w:pPr>
        <w:pStyle w:val="Zkladntext100"/>
        <w:shd w:val="clear" w:color="auto" w:fill="auto"/>
        <w:spacing w:line="187" w:lineRule="auto"/>
        <w:ind w:firstLine="200"/>
        <w:rPr>
          <w:sz w:val="19"/>
          <w:szCs w:val="19"/>
        </w:rPr>
      </w:pPr>
      <w:r>
        <w:rPr>
          <w:b/>
          <w:bCs/>
          <w:sz w:val="19"/>
          <w:szCs w:val="19"/>
        </w:rPr>
        <w:t>Velké podniky, ve kterých pracují stovky a tisíce za</w:t>
      </w:r>
      <w:r>
        <w:rPr>
          <w:b/>
          <w:bCs/>
          <w:sz w:val="19"/>
          <w:szCs w:val="19"/>
        </w:rPr>
        <w:softHyphen/>
        <w:t>městnanců</w:t>
      </w:r>
      <w:r>
        <w:rPr>
          <w:b/>
          <w:bCs/>
          <w:sz w:val="19"/>
          <w:szCs w:val="19"/>
        </w:rPr>
        <w:t>, jsou velmi důležitým polem působnosti. Za</w:t>
      </w:r>
      <w:r>
        <w:rPr>
          <w:b/>
          <w:bCs/>
          <w:sz w:val="19"/>
          <w:szCs w:val="19"/>
        </w:rPr>
        <w:softHyphen/>
        <w:t xml:space="preserve">městnavatelé by neměli čekat na nařízení a zákroky vlády, ale dohodnouti se ve svých stavovských organisacích a zříditi sbory kulturních pracovníků, které by pečovaly o zvýšení duchovní úrovně zaměstnanců. Touhu </w:t>
      </w:r>
      <w:r>
        <w:rPr>
          <w:b/>
          <w:bCs/>
          <w:sz w:val="19"/>
          <w:szCs w:val="19"/>
        </w:rPr>
        <w:t>zaměst</w:t>
      </w:r>
      <w:r>
        <w:rPr>
          <w:b/>
          <w:bCs/>
          <w:sz w:val="19"/>
          <w:szCs w:val="19"/>
        </w:rPr>
        <w:softHyphen/>
        <w:t>nanců po vyšším stupni výchovy, po dosažení odborného vzdělání a poznání oborů, které často nemají s denní prací ničeho společného, dokazují nejlépe četné návštěvy kursů kulturních organisaci. Byla to jenom často otázka hmot</w:t>
      </w:r>
      <w:r>
        <w:rPr>
          <w:b/>
          <w:bCs/>
          <w:sz w:val="19"/>
          <w:szCs w:val="19"/>
        </w:rPr>
        <w:softHyphen/>
        <w:t>ných prostředků, která z</w:t>
      </w:r>
      <w:r>
        <w:rPr>
          <w:b/>
          <w:bCs/>
          <w:sz w:val="19"/>
          <w:szCs w:val="19"/>
        </w:rPr>
        <w:t>nemožnila nadanému chlapci z četné rodiny studium.</w:t>
      </w:r>
    </w:p>
    <w:p w:rsidR="00500724" w:rsidRDefault="00F30FB8">
      <w:pPr>
        <w:pStyle w:val="Zkladntext100"/>
        <w:shd w:val="clear" w:color="auto" w:fill="auto"/>
        <w:spacing w:line="190" w:lineRule="auto"/>
        <w:ind w:firstLine="200"/>
        <w:rPr>
          <w:sz w:val="19"/>
          <w:szCs w:val="19"/>
        </w:rPr>
      </w:pPr>
      <w:r>
        <w:rPr>
          <w:b/>
          <w:bCs/>
          <w:sz w:val="19"/>
          <w:szCs w:val="19"/>
        </w:rPr>
        <w:t>Zvláštní pozornost jest třeba věnovati dospívající mlá</w:t>
      </w:r>
      <w:r>
        <w:rPr>
          <w:b/>
          <w:bCs/>
          <w:sz w:val="19"/>
          <w:szCs w:val="19"/>
        </w:rPr>
        <w:softHyphen/>
        <w:t>deži. Pokračovací školství živnostenské nemůže splniti úkoly, které v nejbližší době bude nutno vyřešit!. Nebylo by v neprospěch podnikatelů, kdyby by</w:t>
      </w:r>
      <w:r>
        <w:rPr>
          <w:b/>
          <w:bCs/>
          <w:sz w:val="19"/>
          <w:szCs w:val="19"/>
        </w:rPr>
        <w:t>ly zavedeny pro mládež kursy s povinnou návštěvou a vyučovací doba za</w:t>
      </w:r>
      <w:r>
        <w:rPr>
          <w:b/>
          <w:bCs/>
          <w:sz w:val="19"/>
          <w:szCs w:val="19"/>
        </w:rPr>
        <w:softHyphen/>
        <w:t>počítána do pracovní doby.</w:t>
      </w:r>
    </w:p>
    <w:p w:rsidR="00500724" w:rsidRDefault="00F30FB8">
      <w:pPr>
        <w:pStyle w:val="Zkladntext100"/>
        <w:shd w:val="clear" w:color="auto" w:fill="auto"/>
        <w:spacing w:line="190" w:lineRule="auto"/>
        <w:ind w:firstLine="200"/>
        <w:rPr>
          <w:sz w:val="19"/>
          <w:szCs w:val="19"/>
        </w:rPr>
      </w:pPr>
      <w:r>
        <w:rPr>
          <w:b/>
          <w:bCs/>
          <w:sz w:val="19"/>
          <w:szCs w:val="19"/>
        </w:rPr>
        <w:t>Vláda má vždy ovšem možnost, aby tam, kde není dosti porozumění a smyslu pro dobrovolnost, zakročila naří</w:t>
      </w:r>
      <w:r>
        <w:rPr>
          <w:b/>
          <w:bCs/>
          <w:sz w:val="19"/>
          <w:szCs w:val="19"/>
        </w:rPr>
        <w:softHyphen/>
        <w:t>zením.</w:t>
      </w:r>
    </w:p>
    <w:p w:rsidR="00500724" w:rsidRDefault="00F30FB8">
      <w:pPr>
        <w:pStyle w:val="Zkladntext100"/>
        <w:shd w:val="clear" w:color="auto" w:fill="auto"/>
        <w:tabs>
          <w:tab w:val="left" w:pos="3869"/>
        </w:tabs>
        <w:spacing w:after="100" w:line="190" w:lineRule="auto"/>
        <w:ind w:firstLine="200"/>
        <w:rPr>
          <w:sz w:val="20"/>
          <w:szCs w:val="20"/>
        </w:rPr>
      </w:pPr>
      <w:r>
        <w:rPr>
          <w:b/>
          <w:bCs/>
          <w:sz w:val="19"/>
          <w:szCs w:val="19"/>
        </w:rPr>
        <w:t>Čeká na nás mnoho práce a záleží na nás, zda n</w:t>
      </w:r>
      <w:r>
        <w:rPr>
          <w:b/>
          <w:bCs/>
          <w:sz w:val="19"/>
          <w:szCs w:val="19"/>
        </w:rPr>
        <w:t>ás histo</w:t>
      </w:r>
      <w:r>
        <w:rPr>
          <w:b/>
          <w:bCs/>
          <w:sz w:val="19"/>
          <w:szCs w:val="19"/>
        </w:rPr>
        <w:softHyphen/>
        <w:t>rie, tento soudce nanejvýš sice přísný, ale ve stejné míře spravedlivý, pochválí či odsoudí. Žijeme v mimořádné době, která vyžaduje mimořádných opatření. Máme dostatek materiálu, pečujme o jeho plné, účelné a národu pro</w:t>
      </w:r>
      <w:r>
        <w:rPr>
          <w:b/>
          <w:bCs/>
          <w:sz w:val="19"/>
          <w:szCs w:val="19"/>
        </w:rPr>
        <w:softHyphen/>
        <w:t>spěšné využití.</w:t>
      </w:r>
      <w:r>
        <w:rPr>
          <w:b/>
          <w:bCs/>
          <w:sz w:val="19"/>
          <w:szCs w:val="19"/>
        </w:rPr>
        <w:tab/>
      </w:r>
      <w:r>
        <w:rPr>
          <w:i/>
          <w:iCs/>
          <w:sz w:val="20"/>
          <w:szCs w:val="20"/>
        </w:rPr>
        <w:t>Josef Žals</w:t>
      </w:r>
      <w:r>
        <w:rPr>
          <w:i/>
          <w:iCs/>
          <w:sz w:val="20"/>
          <w:szCs w:val="20"/>
        </w:rPr>
        <w:t>ký</w:t>
      </w:r>
    </w:p>
    <w:p w:rsidR="00500724" w:rsidRDefault="00F30FB8">
      <w:pPr>
        <w:pStyle w:val="Zkladntext20"/>
        <w:shd w:val="clear" w:color="auto" w:fill="auto"/>
        <w:spacing w:after="80" w:line="240" w:lineRule="auto"/>
        <w:ind w:firstLine="0"/>
        <w:jc w:val="center"/>
        <w:rPr>
          <w:sz w:val="20"/>
          <w:szCs w:val="20"/>
        </w:rPr>
      </w:pPr>
      <w:r>
        <w:rPr>
          <w:b/>
          <w:bCs/>
          <w:sz w:val="20"/>
          <w:szCs w:val="20"/>
        </w:rPr>
        <w:t>Vývoj problému uprchlíků</w:t>
      </w:r>
    </w:p>
    <w:p w:rsidR="00500724" w:rsidRDefault="00F30FB8">
      <w:pPr>
        <w:pStyle w:val="Zkladntext100"/>
        <w:shd w:val="clear" w:color="auto" w:fill="auto"/>
        <w:spacing w:line="187" w:lineRule="auto"/>
        <w:ind w:firstLine="200"/>
        <w:rPr>
          <w:sz w:val="19"/>
          <w:szCs w:val="19"/>
        </w:rPr>
      </w:pPr>
      <w:r>
        <w:rPr>
          <w:b/>
          <w:bCs/>
          <w:sz w:val="19"/>
          <w:szCs w:val="19"/>
        </w:rPr>
        <w:t>Informační sekce Společnosti národů vydala právě knížku pod názvem »Uprchlíci« (Ues Réfugiés), v níž se podrobně popisuje výyoj tohoto poválečného problému, pokud se jun zabývala v nějakém vztahu Společnost národů anebo ně</w:t>
      </w:r>
      <w:r>
        <w:rPr>
          <w:b/>
          <w:bCs/>
          <w:sz w:val="19"/>
          <w:szCs w:val="19"/>
        </w:rPr>
        <w:softHyphen/>
        <w:t>které</w:t>
      </w:r>
      <w:r>
        <w:rPr>
          <w:b/>
          <w:bCs/>
          <w:sz w:val="19"/>
          <w:szCs w:val="19"/>
        </w:rPr>
        <w:t xml:space="preserve"> její instituce. V úvodu se konstatuje, že Nansenův úřad, zřízený Společností národů pro péči o uprchlíky a pro studium a rozřešení tohoto problému, měl býti zrušen v pro</w:t>
      </w:r>
      <w:r>
        <w:rPr>
          <w:b/>
          <w:bCs/>
          <w:sz w:val="19"/>
          <w:szCs w:val="19"/>
        </w:rPr>
        <w:softHyphen/>
        <w:t>sinci 1938. Nestalo se tak proto, že problém uprchlíků, který se již již zdál odumíra</w:t>
      </w:r>
      <w:r>
        <w:rPr>
          <w:b/>
          <w:bCs/>
          <w:sz w:val="19"/>
          <w:szCs w:val="19"/>
        </w:rPr>
        <w:t>tí, dostal mocné injekce novými poli. tickými událostmi v Evropě koncem roku 1938 a počátkem roku 1939.</w:t>
      </w:r>
    </w:p>
    <w:p w:rsidR="00500724" w:rsidRDefault="00F30FB8">
      <w:pPr>
        <w:pStyle w:val="Zkladntext100"/>
        <w:shd w:val="clear" w:color="auto" w:fill="auto"/>
        <w:spacing w:line="187" w:lineRule="auto"/>
        <w:ind w:firstLine="320"/>
        <w:rPr>
          <w:sz w:val="19"/>
          <w:szCs w:val="19"/>
        </w:rPr>
      </w:pPr>
      <w:r>
        <w:rPr>
          <w:b/>
          <w:bCs/>
          <w:sz w:val="19"/>
          <w:szCs w:val="19"/>
        </w:rPr>
        <w:t xml:space="preserve">Uprchlický problém ovšem není nic nového, speciálně evropského anebo poválečného. Války, politické převraty, epidemie, vnitřní boje politické, sociální </w:t>
      </w:r>
      <w:r>
        <w:rPr>
          <w:b/>
          <w:bCs/>
          <w:sz w:val="19"/>
          <w:szCs w:val="19"/>
        </w:rPr>
        <w:t>a náboženské, hlad anebo přírodní katastrofy ve všech stoletích, vytvořily; masy uprchlíků, jimiž se musily zabývat země, kterým do příčin této emigrace vlastně původně nic nebylo.</w:t>
      </w:r>
    </w:p>
    <w:p w:rsidR="00500724" w:rsidRDefault="00F30FB8">
      <w:pPr>
        <w:pStyle w:val="Zkladntext100"/>
        <w:shd w:val="clear" w:color="auto" w:fill="auto"/>
        <w:spacing w:line="187" w:lineRule="auto"/>
        <w:ind w:firstLine="320"/>
        <w:rPr>
          <w:sz w:val="19"/>
          <w:szCs w:val="19"/>
        </w:rPr>
      </w:pPr>
      <w:r>
        <w:rPr>
          <w:b/>
          <w:bCs/>
          <w:sz w:val="19"/>
          <w:szCs w:val="19"/>
        </w:rPr>
        <w:t>Po světové válce zprvu šlo o repatriaci vojen</w:t>
      </w:r>
      <w:r>
        <w:rPr>
          <w:b/>
          <w:bCs/>
          <w:sz w:val="19"/>
          <w:szCs w:val="19"/>
        </w:rPr>
        <w:softHyphen/>
        <w:t>ských zajatců. Proto byl r. 1</w:t>
      </w:r>
      <w:r>
        <w:rPr>
          <w:b/>
          <w:bCs/>
          <w:sz w:val="19"/>
          <w:szCs w:val="19"/>
        </w:rPr>
        <w:t xml:space="preserve">920 vytvořen zvláštní úřad, jehož šéfem byl jmenován dr. </w:t>
      </w:r>
      <w:r>
        <w:rPr>
          <w:b/>
          <w:bCs/>
          <w:sz w:val="19"/>
          <w:szCs w:val="19"/>
          <w:lang w:val="en-US" w:eastAsia="en-US" w:bidi="en-US"/>
        </w:rPr>
        <w:t xml:space="preserve">Nansen. </w:t>
      </w:r>
      <w:r>
        <w:rPr>
          <w:b/>
          <w:bCs/>
          <w:sz w:val="19"/>
          <w:szCs w:val="19"/>
        </w:rPr>
        <w:t>Ve dvou letech se mu podařilo vrátit do jejich domovů 430.000 válečných zajatců 27 národností. V témže okamžiku však se objevil problém uprchlíků ruských, řeckých, asyrských a armén</w:t>
      </w:r>
      <w:r>
        <w:rPr>
          <w:b/>
          <w:bCs/>
          <w:sz w:val="19"/>
          <w:szCs w:val="19"/>
        </w:rPr>
        <w:softHyphen/>
        <w:t>ských, kt</w:t>
      </w:r>
      <w:r>
        <w:rPr>
          <w:b/>
          <w:bCs/>
          <w:sz w:val="19"/>
          <w:szCs w:val="19"/>
        </w:rPr>
        <w:t>erý vznikl z příčin ryze politických. Ruská re</w:t>
      </w:r>
      <w:r>
        <w:rPr>
          <w:b/>
          <w:bCs/>
          <w:sz w:val="19"/>
          <w:szCs w:val="19"/>
        </w:rPr>
        <w:softHyphen/>
        <w:t>voluce vyhnala z ruského velestátu asi dva miliony uprch</w:t>
      </w:r>
      <w:r>
        <w:rPr>
          <w:b/>
          <w:bCs/>
          <w:sz w:val="19"/>
          <w:szCs w:val="19"/>
        </w:rPr>
        <w:softHyphen/>
        <w:t>líků, z nichž část byla civilistů, většina však příslušníků různých armád, Kolčakovy, Denikinovy, Judeničovy a Wran- gelovy. Největší proud se obrátil d</w:t>
      </w:r>
      <w:r>
        <w:rPr>
          <w:b/>
          <w:bCs/>
          <w:sz w:val="19"/>
          <w:szCs w:val="19"/>
        </w:rPr>
        <w:t>o států s Ruskem souse</w:t>
      </w:r>
      <w:r>
        <w:rPr>
          <w:b/>
          <w:bCs/>
          <w:sz w:val="19"/>
          <w:szCs w:val="19"/>
        </w:rPr>
        <w:softHyphen/>
        <w:t>dících v Evropě, ale také do států v Malé Asii, menší pást do zemí Dálného východu. Někteří si přinesli dosti hmot</w:t>
      </w:r>
      <w:r>
        <w:rPr>
          <w:b/>
          <w:bCs/>
          <w:sz w:val="19"/>
          <w:szCs w:val="19"/>
        </w:rPr>
        <w:softHyphen/>
        <w:t>ných prostředků, anebo alespoň mocné styky, většina však byla náhle žebráky. Jejich situace se v zemích asylu rázem zh</w:t>
      </w:r>
      <w:r>
        <w:rPr>
          <w:b/>
          <w:bCs/>
          <w:sz w:val="19"/>
          <w:szCs w:val="19"/>
        </w:rPr>
        <w:t>oršila, když se začala hospodářská krise r. 1922-1924.</w:t>
      </w:r>
    </w:p>
    <w:p w:rsidR="00500724" w:rsidRDefault="00F30FB8">
      <w:pPr>
        <w:pStyle w:val="Zkladntext100"/>
        <w:shd w:val="clear" w:color="auto" w:fill="auto"/>
        <w:spacing w:line="187" w:lineRule="auto"/>
        <w:ind w:firstLine="320"/>
        <w:jc w:val="left"/>
        <w:rPr>
          <w:sz w:val="19"/>
          <w:szCs w:val="19"/>
        </w:rPr>
      </w:pPr>
      <w:r>
        <w:rPr>
          <w:b/>
          <w:bCs/>
          <w:sz w:val="19"/>
          <w:szCs w:val="19"/>
        </w:rPr>
        <w:t>Nešťastná válka Řeků s Turky krátce na to (r. 1922) vy</w:t>
      </w:r>
      <w:r>
        <w:rPr>
          <w:b/>
          <w:bCs/>
          <w:sz w:val="19"/>
          <w:szCs w:val="19"/>
        </w:rPr>
        <w:softHyphen/>
        <w:t xml:space="preserve">hnala skoro všechno řecké obyvatelstvo z Malé Asie. Řeků bylo asi půl druhého milionu. Vítězná turecká vláda v Anka- ře vyhnala však ze země také </w:t>
      </w:r>
      <w:r>
        <w:rPr>
          <w:b/>
          <w:bCs/>
          <w:sz w:val="19"/>
          <w:szCs w:val="19"/>
        </w:rPr>
        <w:t>asi 300.000 Arménů, kteří stejně měli za sebou již děsivou válečnou kalvárii a 30.000 asyrsko-chaldejských křesťanů, asijských křes</w:t>
      </w:r>
      <w:r>
        <w:rPr>
          <w:b/>
          <w:bCs/>
          <w:sz w:val="19"/>
          <w:szCs w:val="19"/>
        </w:rPr>
        <w:softHyphen/>
        <w:t>ťanských vyznání. Ti zaplavili zejména levantské břehy. Do Cařihradu, tou dobou v moci Dohody, vpadlo asi 170.000 Rusů, 75.0</w:t>
      </w:r>
      <w:r>
        <w:rPr>
          <w:b/>
          <w:bCs/>
          <w:sz w:val="19"/>
          <w:szCs w:val="19"/>
        </w:rPr>
        <w:t>00 Turků a 155.000 Řeků a Arménů. Žádné zbra</w:t>
      </w:r>
      <w:r>
        <w:rPr>
          <w:b/>
          <w:bCs/>
          <w:sz w:val="19"/>
          <w:szCs w:val="19"/>
        </w:rPr>
        <w:softHyphen/>
        <w:t>ně, žádná opatření nebyla s to odstrašit tyto zbídačelé ne</w:t>
      </w:r>
      <w:r>
        <w:rPr>
          <w:b/>
          <w:bCs/>
          <w:sz w:val="19"/>
          <w:szCs w:val="19"/>
        </w:rPr>
        <w:softHyphen/>
        <w:t>šťastníky, mezi nimiž řádily hrůzně epidemie.</w:t>
      </w:r>
    </w:p>
    <w:p w:rsidR="00500724" w:rsidRDefault="00F30FB8">
      <w:pPr>
        <w:pStyle w:val="Zkladntext100"/>
        <w:shd w:val="clear" w:color="auto" w:fill="auto"/>
        <w:spacing w:line="190" w:lineRule="auto"/>
        <w:ind w:firstLine="320"/>
        <w:rPr>
          <w:sz w:val="19"/>
          <w:szCs w:val="19"/>
        </w:rPr>
      </w:pPr>
      <w:r>
        <w:rPr>
          <w:noProof/>
        </w:rPr>
        <mc:AlternateContent>
          <mc:Choice Requires="wps">
            <w:drawing>
              <wp:anchor distT="0" distB="254000" distL="114300" distR="114300" simplePos="0" relativeHeight="125830128" behindDoc="0" locked="0" layoutInCell="1" allowOverlap="1">
                <wp:simplePos x="0" y="0"/>
                <wp:positionH relativeFrom="page">
                  <wp:posOffset>6764020</wp:posOffset>
                </wp:positionH>
                <wp:positionV relativeFrom="margin">
                  <wp:posOffset>9081770</wp:posOffset>
                </wp:positionV>
                <wp:extent cx="222250" cy="213360"/>
                <wp:effectExtent l="0" t="0" r="0" b="0"/>
                <wp:wrapTopAndBottom/>
                <wp:docPr id="751" name="Shape 751"/>
                <wp:cNvGraphicFramePr/>
                <a:graphic xmlns:a="http://schemas.openxmlformats.org/drawingml/2006/main">
                  <a:graphicData uri="http://schemas.microsoft.com/office/word/2010/wordprocessingShape">
                    <wps:wsp>
                      <wps:cNvSpPr txBox="1"/>
                      <wps:spPr>
                        <a:xfrm>
                          <a:off x="0" y="0"/>
                          <a:ext cx="222250" cy="213360"/>
                        </a:xfrm>
                        <a:prstGeom prst="rect">
                          <a:avLst/>
                        </a:prstGeom>
                        <a:noFill/>
                      </wps:spPr>
                      <wps:txbx>
                        <w:txbxContent>
                          <w:p w:rsidR="00500724" w:rsidRDefault="00F30FB8">
                            <w:pPr>
                              <w:pStyle w:val="Jin0"/>
                              <w:shd w:val="clear" w:color="auto" w:fill="auto"/>
                              <w:ind w:firstLine="0"/>
                              <w:jc w:val="left"/>
                              <w:rPr>
                                <w:sz w:val="26"/>
                                <w:szCs w:val="26"/>
                              </w:rPr>
                            </w:pPr>
                            <w:r>
                              <w:rPr>
                                <w:rFonts w:ascii="Arial" w:eastAsia="Arial" w:hAnsi="Arial" w:cs="Arial"/>
                                <w:b/>
                                <w:bCs/>
                                <w:i/>
                                <w:iCs/>
                                <w:sz w:val="26"/>
                                <w:szCs w:val="26"/>
                              </w:rPr>
                              <w:t>44-3</w:t>
                            </w:r>
                          </w:p>
                        </w:txbxContent>
                      </wps:txbx>
                      <wps:bodyPr lIns="0" tIns="0" rIns="0" bIns="0">
                        <a:spAutoFit/>
                      </wps:bodyPr>
                    </wps:wsp>
                  </a:graphicData>
                </a:graphic>
              </wp:anchor>
            </w:drawing>
          </mc:Choice>
          <mc:Fallback>
            <w:pict>
              <v:shape id="_x0000_s1777" type="#_x0000_t202" style="position:absolute;margin-left:532.60000000000002pt;margin-top:715.10000000000002pt;width:17.5pt;height:16.800000000000001pt;z-index:-125828625;mso-wrap-distance-left:9.pt;mso-wrap-distance-right:9.pt;mso-wrap-distance-bottom:20.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iCs/>
                          <w:color w:val="000000"/>
                          <w:spacing w:val="0"/>
                          <w:w w:val="100"/>
                          <w:position w:val="0"/>
                          <w:sz w:val="26"/>
                          <w:szCs w:val="26"/>
                          <w:shd w:val="clear" w:color="auto" w:fill="auto"/>
                          <w:lang w:val="cs-CZ" w:eastAsia="cs-CZ" w:bidi="cs-CZ"/>
                        </w:rPr>
                        <w:t>44-3</w:t>
                      </w:r>
                    </w:p>
                  </w:txbxContent>
                </v:textbox>
                <w10:wrap type="topAndBottom" anchorx="page" anchory="margin"/>
              </v:shape>
            </w:pict>
          </mc:Fallback>
        </mc:AlternateContent>
      </w:r>
      <w:r>
        <w:rPr>
          <w:b/>
          <w:bCs/>
          <w:sz w:val="19"/>
          <w:szCs w:val="19"/>
        </w:rPr>
        <w:t xml:space="preserve">Dr. </w:t>
      </w:r>
      <w:r>
        <w:rPr>
          <w:b/>
          <w:bCs/>
          <w:sz w:val="19"/>
          <w:szCs w:val="19"/>
          <w:lang w:val="en-US" w:eastAsia="en-US" w:bidi="en-US"/>
        </w:rPr>
        <w:t xml:space="preserve">Nansen </w:t>
      </w:r>
      <w:r>
        <w:rPr>
          <w:b/>
          <w:bCs/>
          <w:sz w:val="19"/>
          <w:szCs w:val="19"/>
        </w:rPr>
        <w:t>byl proto také jmenován vysokým komisa</w:t>
      </w:r>
      <w:r>
        <w:rPr>
          <w:b/>
          <w:bCs/>
          <w:sz w:val="19"/>
          <w:szCs w:val="19"/>
        </w:rPr>
        <w:softHyphen/>
        <w:t xml:space="preserve">řem pro uprchlíky vůbec a dána mu plná moc, aby </w:t>
      </w:r>
      <w:r>
        <w:rPr>
          <w:b/>
          <w:bCs/>
          <w:sz w:val="19"/>
          <w:szCs w:val="19"/>
        </w:rPr>
        <w:t>spolu</w:t>
      </w:r>
      <w:r>
        <w:rPr>
          <w:b/>
          <w:bCs/>
          <w:sz w:val="19"/>
          <w:szCs w:val="19"/>
        </w:rPr>
        <w:softHyphen/>
        <w:t>pracoval s nesčetnými britskými, americkými, židovskými a jinými pomocnými organisacemi, jež se narychlo tvořily z humanitních společností a ze Společnosti Červeného kříže vc všech zemích. Především bylo třeba jim dáti dokumenty. Byl vytvořen tak zva</w:t>
      </w:r>
      <w:r>
        <w:rPr>
          <w:b/>
          <w:bCs/>
          <w:sz w:val="19"/>
          <w:szCs w:val="19"/>
        </w:rPr>
        <w:t xml:space="preserve">ný »N </w:t>
      </w:r>
      <w:r>
        <w:rPr>
          <w:b/>
          <w:bCs/>
          <w:sz w:val="19"/>
          <w:szCs w:val="19"/>
          <w:lang w:val="en-US" w:eastAsia="en-US" w:bidi="en-US"/>
        </w:rPr>
        <w:t xml:space="preserve">an </w:t>
      </w:r>
      <w:r>
        <w:rPr>
          <w:b/>
          <w:bCs/>
          <w:sz w:val="19"/>
          <w:szCs w:val="19"/>
        </w:rPr>
        <w:t>sen o v s k ý pa s«. Dále bylo třeba peněz, léků a lékařů. Sbíralo se po celém světě.</w:t>
      </w:r>
    </w:p>
    <w:p w:rsidR="00500724" w:rsidRDefault="00F30FB8">
      <w:pPr>
        <w:pStyle w:val="Zkladntext100"/>
        <w:shd w:val="clear" w:color="auto" w:fill="auto"/>
        <w:spacing w:line="187" w:lineRule="auto"/>
        <w:ind w:firstLine="300"/>
        <w:rPr>
          <w:sz w:val="19"/>
          <w:szCs w:val="19"/>
        </w:rPr>
      </w:pPr>
      <w:r>
        <w:rPr>
          <w:b/>
          <w:bCs/>
          <w:sz w:val="19"/>
          <w:szCs w:val="19"/>
        </w:rPr>
        <w:t>Současně se hledalo pro uprchlíky umístění, což se dělo pomocí diplomatického tlaku velmocí. Tak bylo mezi Bul</w:t>
      </w:r>
      <w:r>
        <w:rPr>
          <w:b/>
          <w:bCs/>
          <w:sz w:val="19"/>
          <w:szCs w:val="19"/>
        </w:rPr>
        <w:softHyphen/>
        <w:t xml:space="preserve">harskem a Řeckem vzájemně vyměněno </w:t>
      </w:r>
      <w:r>
        <w:rPr>
          <w:b/>
          <w:bCs/>
          <w:sz w:val="19"/>
          <w:szCs w:val="19"/>
          <w:lang w:val="en-US" w:eastAsia="en-US" w:bidi="en-US"/>
        </w:rPr>
        <w:t xml:space="preserve">me </w:t>
      </w:r>
      <w:r>
        <w:rPr>
          <w:b/>
          <w:bCs/>
          <w:sz w:val="19"/>
          <w:szCs w:val="19"/>
        </w:rPr>
        <w:t>n š i - nové</w:t>
      </w:r>
      <w:r>
        <w:rPr>
          <w:b/>
          <w:bCs/>
          <w:sz w:val="19"/>
          <w:szCs w:val="19"/>
        </w:rPr>
        <w:t xml:space="preserve"> obyvatelstvo, 52.000 Bulharů za 30.000 Řeků a pak mezi ŘeckemaTureckem 358.000 musulmanů za 103.000 Řeků. Popisovat těžkosti politické, dopravní, hmot</w:t>
      </w:r>
      <w:r>
        <w:rPr>
          <w:b/>
          <w:bCs/>
          <w:sz w:val="19"/>
          <w:szCs w:val="19"/>
        </w:rPr>
        <w:softHyphen/>
        <w:t xml:space="preserve">né, zdravotní a všechnu tu lidskou bídu s tím spojenou, je nemožné. Citovaná knížka však suchými větami </w:t>
      </w:r>
      <w:r>
        <w:rPr>
          <w:b/>
          <w:bCs/>
          <w:sz w:val="19"/>
          <w:szCs w:val="19"/>
        </w:rPr>
        <w:t>a daty; podává o ní přímo děsivý obraz. Zvláště hrozné byly epi</w:t>
      </w:r>
      <w:r>
        <w:rPr>
          <w:b/>
          <w:bCs/>
          <w:sz w:val="19"/>
          <w:szCs w:val="19"/>
        </w:rPr>
        <w:softHyphen/>
        <w:t>demie mezi řeckými uprchlíky z Turecka, bydlícími kolem Korintu v nouzových koloniích a politování hodné násilí všeho druhu, včetně vyvražďování a mučení, jímž v téže době trpěli Arméni a Asyř</w:t>
      </w:r>
      <w:r>
        <w:rPr>
          <w:b/>
          <w:bCs/>
          <w:sz w:val="19"/>
          <w:szCs w:val="19"/>
        </w:rPr>
        <w:t>ané v tureckých a syrských krajích. Tito nešťastníci se za války připojili k Dohodě, bo</w:t>
      </w:r>
      <w:r>
        <w:rPr>
          <w:b/>
          <w:bCs/>
          <w:sz w:val="19"/>
          <w:szCs w:val="19"/>
        </w:rPr>
        <w:softHyphen/>
        <w:t xml:space="preserve">jovali v počtu asi 30.000 po jejím boku a po skončení války byli ponecháni bez ochrany v Turecku, zuřícím touhou po pomstě. Knížka, ze které toto tak stručně citujeme, </w:t>
      </w:r>
      <w:r>
        <w:rPr>
          <w:b/>
          <w:bCs/>
          <w:sz w:val="19"/>
          <w:szCs w:val="19"/>
        </w:rPr>
        <w:t>uka</w:t>
      </w:r>
      <w:r>
        <w:rPr>
          <w:b/>
          <w:bCs/>
          <w:sz w:val="19"/>
          <w:szCs w:val="19"/>
        </w:rPr>
        <w:softHyphen/>
        <w:t>zuje, jak putovali s místa na místo, jak ve svém zoufalství bojovali s nejrůznějšími policejními a vojenskými oddíly, jak byli zabíjeni, mučeni a jak umírali. Zbytečně, ale ne</w:t>
      </w:r>
      <w:r>
        <w:rPr>
          <w:b/>
          <w:bCs/>
          <w:sz w:val="19"/>
          <w:szCs w:val="19"/>
        </w:rPr>
        <w:softHyphen/>
        <w:t>mohli jinak. Nakonec se zbytek těchto nešťastníků dostal do Iráku, kde našel</w:t>
      </w:r>
      <w:r>
        <w:rPr>
          <w:b/>
          <w:bCs/>
          <w:sz w:val="19"/>
          <w:szCs w:val="19"/>
        </w:rPr>
        <w:t xml:space="preserve"> útulek. Ale tu, když se zdálo, že konečně jim nastane klidnější život, třebas v bídě, se náhle vzdala britská vláda mandátu nad Irákem. Pronásledování Asy- řanů ovšem ihned začalo zase. Nakonec z nich zbylo asi šest tisíc, kteří se usadili v Sýrii. K nim </w:t>
      </w:r>
      <w:r>
        <w:rPr>
          <w:b/>
          <w:bCs/>
          <w:sz w:val="19"/>
          <w:szCs w:val="19"/>
        </w:rPr>
        <w:t>postupně přibývali další uprchlíci. Nyní je asi 20.000 Asyřanů v severním Iráku, kde tvoří křesťanskou menšinu a 9000 kolem Chaburu v Sýrii.</w:t>
      </w:r>
    </w:p>
    <w:p w:rsidR="00500724" w:rsidRDefault="00F30FB8">
      <w:pPr>
        <w:pStyle w:val="Zkladntext100"/>
        <w:shd w:val="clear" w:color="auto" w:fill="auto"/>
        <w:tabs>
          <w:tab w:val="left" w:pos="490"/>
        </w:tabs>
        <w:spacing w:line="194" w:lineRule="auto"/>
        <w:ind w:firstLine="200"/>
        <w:rPr>
          <w:sz w:val="19"/>
          <w:szCs w:val="19"/>
        </w:rPr>
      </w:pPr>
      <w:r>
        <w:rPr>
          <w:b/>
          <w:bCs/>
          <w:sz w:val="19"/>
          <w:szCs w:val="19"/>
        </w:rPr>
        <w:t>K.</w:t>
      </w:r>
      <w:r>
        <w:rPr>
          <w:b/>
          <w:bCs/>
          <w:sz w:val="19"/>
          <w:szCs w:val="19"/>
        </w:rPr>
        <w:tab/>
        <w:t xml:space="preserve">1930 dr. </w:t>
      </w:r>
      <w:r>
        <w:rPr>
          <w:b/>
          <w:bCs/>
          <w:sz w:val="19"/>
          <w:szCs w:val="19"/>
          <w:lang w:val="en-US" w:eastAsia="en-US" w:bidi="en-US"/>
        </w:rPr>
        <w:t xml:space="preserve">Nansen </w:t>
      </w:r>
      <w:r>
        <w:rPr>
          <w:b/>
          <w:bCs/>
          <w:sz w:val="19"/>
          <w:szCs w:val="19"/>
        </w:rPr>
        <w:t>zemřel, ale úřad pod jeho jménem Zůstal v činnosti za několika dalších vysokých komisařů.</w:t>
      </w:r>
    </w:p>
    <w:p w:rsidR="00500724" w:rsidRDefault="00F30FB8">
      <w:pPr>
        <w:pStyle w:val="Zkladntext100"/>
        <w:shd w:val="clear" w:color="auto" w:fill="auto"/>
        <w:spacing w:line="187" w:lineRule="auto"/>
        <w:ind w:firstLine="300"/>
        <w:rPr>
          <w:sz w:val="19"/>
          <w:szCs w:val="19"/>
        </w:rPr>
      </w:pPr>
      <w:r>
        <w:rPr>
          <w:b/>
          <w:bCs/>
          <w:sz w:val="19"/>
          <w:szCs w:val="19"/>
        </w:rPr>
        <w:t xml:space="preserve">Celá </w:t>
      </w:r>
      <w:r>
        <w:rPr>
          <w:b/>
          <w:bCs/>
          <w:sz w:val="19"/>
          <w:szCs w:val="19"/>
          <w:lang w:val="en-US" w:eastAsia="en-US" w:bidi="en-US"/>
        </w:rPr>
        <w:t>s</w:t>
      </w:r>
      <w:r>
        <w:rPr>
          <w:b/>
          <w:bCs/>
          <w:sz w:val="19"/>
          <w:szCs w:val="19"/>
          <w:lang w:val="en-US" w:eastAsia="en-US" w:bidi="en-US"/>
        </w:rPr>
        <w:t xml:space="preserve">erie </w:t>
      </w:r>
      <w:r>
        <w:rPr>
          <w:b/>
          <w:bCs/>
          <w:sz w:val="19"/>
          <w:szCs w:val="19"/>
        </w:rPr>
        <w:t xml:space="preserve">mezinárodních konvencí, dohod, ujednání, smluv a opatření se pojí s tímto problémem. Nelze je ani Vyjmenovávali, ani se zmínit o jejich obsahu. Tvoří se po prvé právní pojem lidí »bez vlasti« </w:t>
      </w:r>
      <w:r>
        <w:rPr>
          <w:b/>
          <w:bCs/>
          <w:sz w:val="19"/>
          <w:szCs w:val="19"/>
          <w:lang w:val="en-US" w:eastAsia="en-US" w:bidi="en-US"/>
        </w:rPr>
        <w:t xml:space="preserve">(apatride) </w:t>
      </w:r>
      <w:r>
        <w:rPr>
          <w:b/>
          <w:bCs/>
          <w:sz w:val="19"/>
          <w:szCs w:val="19"/>
        </w:rPr>
        <w:t>a určuje se přesně, kdo je uprchlíkem a jak se s</w:t>
      </w:r>
      <w:r>
        <w:rPr>
          <w:b/>
          <w:bCs/>
          <w:sz w:val="19"/>
          <w:szCs w:val="19"/>
        </w:rPr>
        <w:t xml:space="preserve"> nim má podle tohoto nově formulovaného doplňku mezinárodního práva zacházet. Současně byla vybudována asi ve dvaceti zemích síť zvlášt</w:t>
      </w:r>
      <w:r>
        <w:rPr>
          <w:b/>
          <w:bCs/>
          <w:sz w:val="19"/>
          <w:szCs w:val="19"/>
        </w:rPr>
        <w:softHyphen/>
        <w:t>ních úřadů, dobrovolných a dobročinných institucí, které se zabývaly uprchlíky, poskytovaly jim nejnutnější prostředky k</w:t>
      </w:r>
      <w:r>
        <w:rPr>
          <w:b/>
          <w:bCs/>
          <w:sz w:val="19"/>
          <w:szCs w:val="19"/>
        </w:rPr>
        <w:t xml:space="preserve"> živobytí, opatřovaly je dokumenty a posílaly je do zámoř</w:t>
      </w:r>
      <w:r>
        <w:rPr>
          <w:b/>
          <w:bCs/>
          <w:sz w:val="19"/>
          <w:szCs w:val="19"/>
        </w:rPr>
        <w:softHyphen/>
      </w:r>
    </w:p>
    <w:p w:rsidR="00500724" w:rsidRDefault="00F30FB8">
      <w:pPr>
        <w:pStyle w:val="Zkladntext100"/>
        <w:shd w:val="clear" w:color="auto" w:fill="auto"/>
        <w:spacing w:line="187" w:lineRule="auto"/>
        <w:ind w:firstLine="0"/>
        <w:rPr>
          <w:sz w:val="19"/>
          <w:szCs w:val="19"/>
        </w:rPr>
      </w:pPr>
      <w:r>
        <w:rPr>
          <w:b/>
          <w:bCs/>
          <w:sz w:val="19"/>
          <w:szCs w:val="19"/>
        </w:rPr>
        <w:t>ských zemí.</w:t>
      </w:r>
    </w:p>
    <w:p w:rsidR="00500724" w:rsidRDefault="00F30FB8">
      <w:pPr>
        <w:pStyle w:val="Zkladntext100"/>
        <w:shd w:val="clear" w:color="auto" w:fill="auto"/>
        <w:spacing w:line="187" w:lineRule="auto"/>
        <w:ind w:firstLine="200"/>
        <w:rPr>
          <w:sz w:val="19"/>
          <w:szCs w:val="19"/>
        </w:rPr>
      </w:pPr>
      <w:r>
        <w:rPr>
          <w:b/>
          <w:bCs/>
          <w:sz w:val="19"/>
          <w:szCs w:val="19"/>
        </w:rPr>
        <w:t xml:space="preserve">Počátkem roku byl jmenován nový vysoký komisař, </w:t>
      </w:r>
      <w:r>
        <w:rPr>
          <w:b/>
          <w:bCs/>
          <w:sz w:val="19"/>
          <w:szCs w:val="19"/>
          <w:lang w:val="en-US" w:eastAsia="en-US" w:bidi="en-US"/>
        </w:rPr>
        <w:t xml:space="preserve">Sir Herbert </w:t>
      </w:r>
      <w:r>
        <w:rPr>
          <w:b/>
          <w:bCs/>
          <w:sz w:val="19"/>
          <w:szCs w:val="19"/>
        </w:rPr>
        <w:t>Emerson, pro péči o uprchlíky, se síd</w:t>
      </w:r>
      <w:r>
        <w:rPr>
          <w:b/>
          <w:bCs/>
          <w:sz w:val="19"/>
          <w:szCs w:val="19"/>
        </w:rPr>
        <w:softHyphen/>
        <w:t xml:space="preserve">lem v Londýně a jeho náměstek, bývalý švýcarský úředník Společnosti národů dr. Gustav </w:t>
      </w:r>
      <w:r>
        <w:rPr>
          <w:b/>
          <w:bCs/>
          <w:sz w:val="19"/>
          <w:szCs w:val="19"/>
        </w:rPr>
        <w:t>Kullman. Jejich úkolem je vstoupiti ve styk se všemi vládami, jak zemí, z nichž emigranti — na něž se nyní péče také rozšiřuje — a uprch</w:t>
      </w:r>
      <w:r>
        <w:rPr>
          <w:b/>
          <w:bCs/>
          <w:sz w:val="19"/>
          <w:szCs w:val="19"/>
        </w:rPr>
        <w:softHyphen/>
        <w:t>líci pocházejí, tak vyjednávat také se zeměmi, do nichž by bylo možno je poslat, aby tam založili nový domov.</w:t>
      </w:r>
    </w:p>
    <w:p w:rsidR="00500724" w:rsidRDefault="00F30FB8">
      <w:pPr>
        <w:pStyle w:val="Zkladntext20"/>
        <w:shd w:val="clear" w:color="auto" w:fill="auto"/>
        <w:spacing w:after="80" w:line="178" w:lineRule="auto"/>
        <w:ind w:firstLine="0"/>
        <w:jc w:val="right"/>
        <w:rPr>
          <w:sz w:val="20"/>
          <w:szCs w:val="20"/>
        </w:rPr>
      </w:pPr>
      <w:r>
        <w:rPr>
          <w:i/>
          <w:iCs/>
          <w:sz w:val="20"/>
          <w:szCs w:val="20"/>
        </w:rPr>
        <w:t>Jan Skála</w:t>
      </w:r>
    </w:p>
    <w:p w:rsidR="00500724" w:rsidRDefault="00F30FB8">
      <w:pPr>
        <w:pStyle w:val="Zkladntext20"/>
        <w:shd w:val="clear" w:color="auto" w:fill="auto"/>
        <w:spacing w:after="80" w:line="178" w:lineRule="auto"/>
        <w:ind w:firstLine="0"/>
        <w:jc w:val="center"/>
        <w:rPr>
          <w:sz w:val="20"/>
          <w:szCs w:val="20"/>
        </w:rPr>
      </w:pPr>
      <w:r>
        <w:rPr>
          <w:b/>
          <w:bCs/>
          <w:sz w:val="20"/>
          <w:szCs w:val="20"/>
        </w:rPr>
        <w:t>češi v Iránu</w:t>
      </w:r>
    </w:p>
    <w:p w:rsidR="00500724" w:rsidRDefault="00F30FB8">
      <w:pPr>
        <w:pStyle w:val="Zkladntext100"/>
        <w:shd w:val="clear" w:color="auto" w:fill="auto"/>
        <w:spacing w:line="190" w:lineRule="auto"/>
        <w:ind w:firstLine="300"/>
        <w:rPr>
          <w:sz w:val="19"/>
          <w:szCs w:val="19"/>
        </w:rPr>
      </w:pPr>
      <w:r>
        <w:rPr>
          <w:b/>
          <w:bCs/>
          <w:sz w:val="19"/>
          <w:szCs w:val="19"/>
        </w:rPr>
        <w:t>Letos početná skupina českých lidí odešla za prací do Iránu. Zároveň se projevil o jejich osudy zájem v českém tisku, který posléze na sebe vzal formu sdopisů našich kra</w:t>
      </w:r>
      <w:r>
        <w:rPr>
          <w:b/>
          <w:bCs/>
          <w:sz w:val="19"/>
          <w:szCs w:val="19"/>
        </w:rPr>
        <w:softHyphen/>
        <w:t>janů z Iranu«. Bohužel, tisk přejímá obsah i formu tako</w:t>
      </w:r>
      <w:r>
        <w:rPr>
          <w:b/>
          <w:bCs/>
          <w:sz w:val="19"/>
          <w:szCs w:val="19"/>
        </w:rPr>
        <w:softHyphen/>
        <w:t xml:space="preserve">vých dopisů bez </w:t>
      </w:r>
      <w:r>
        <w:rPr>
          <w:b/>
          <w:bCs/>
          <w:sz w:val="19"/>
          <w:szCs w:val="19"/>
        </w:rPr>
        <w:t>kontroly. Celkem jsou to nezávažné věci, podané však způsobem, mírně řečeno ne lichotivým pro po</w:t>
      </w:r>
      <w:r>
        <w:rPr>
          <w:b/>
          <w:bCs/>
          <w:sz w:val="19"/>
          <w:szCs w:val="19"/>
        </w:rPr>
        <w:softHyphen/>
        <w:t>stiženou zemi. Neznalost poměrů a krátký dohled takových pisatelů vytvoří falešný obraz, nadto ještě skreslený not</w:t>
      </w:r>
      <w:r>
        <w:rPr>
          <w:b/>
          <w:bCs/>
          <w:sz w:val="19"/>
          <w:szCs w:val="19"/>
        </w:rPr>
        <w:softHyphen/>
        <w:t>nou dávkou romantismu. Ale druhá stránka tak</w:t>
      </w:r>
      <w:r>
        <w:rPr>
          <w:b/>
          <w:bCs/>
          <w:sz w:val="19"/>
          <w:szCs w:val="19"/>
        </w:rPr>
        <w:t>ových do</w:t>
      </w:r>
      <w:r>
        <w:rPr>
          <w:b/>
          <w:bCs/>
          <w:sz w:val="19"/>
          <w:szCs w:val="19"/>
        </w:rPr>
        <w:softHyphen/>
        <w:t>pisů je vážnější: je to, i když neúmyslné, podkopávání na</w:t>
      </w:r>
      <w:r>
        <w:rPr>
          <w:b/>
          <w:bCs/>
          <w:sz w:val="19"/>
          <w:szCs w:val="19"/>
        </w:rPr>
        <w:softHyphen/>
        <w:t>šeho obchodního podnikání v této části světa.</w:t>
      </w:r>
    </w:p>
    <w:p w:rsidR="00500724" w:rsidRDefault="00F30FB8">
      <w:pPr>
        <w:pStyle w:val="Zkladntext100"/>
        <w:shd w:val="clear" w:color="auto" w:fill="auto"/>
        <w:spacing w:line="190" w:lineRule="auto"/>
        <w:ind w:firstLine="300"/>
        <w:rPr>
          <w:sz w:val="19"/>
          <w:szCs w:val="19"/>
        </w:rPr>
      </w:pPr>
      <w:r>
        <w:rPr>
          <w:b/>
          <w:bCs/>
          <w:sz w:val="19"/>
          <w:szCs w:val="19"/>
          <w:lang w:val="en-US" w:eastAsia="en-US" w:bidi="en-US"/>
        </w:rPr>
        <w:t xml:space="preserve">Iran </w:t>
      </w:r>
      <w:r>
        <w:rPr>
          <w:b/>
          <w:bCs/>
          <w:sz w:val="19"/>
          <w:szCs w:val="19"/>
        </w:rPr>
        <w:t>je země, která mílovými kroky dohání západ. Není to dávno, kdy nynější vládce Iránu vydupal ze ztrouchnivě</w:t>
      </w:r>
      <w:r>
        <w:rPr>
          <w:b/>
          <w:bCs/>
          <w:sz w:val="19"/>
          <w:szCs w:val="19"/>
        </w:rPr>
        <w:softHyphen/>
        <w:t>lého zastaralého řádu nové jisk</w:t>
      </w:r>
      <w:r>
        <w:rPr>
          <w:b/>
          <w:bCs/>
          <w:sz w:val="19"/>
          <w:szCs w:val="19"/>
        </w:rPr>
        <w:t>ry pokroku a civilisace. Vy</w:t>
      </w:r>
      <w:r>
        <w:rPr>
          <w:b/>
          <w:bCs/>
          <w:sz w:val="19"/>
          <w:szCs w:val="19"/>
        </w:rPr>
        <w:softHyphen/>
        <w:t>dupal nové formy života, novou generaci vymaněnou z reakčniho silného vlivu náboženství; vzbudil vlastenectví, dal lidu školy, dal mu inteligenci vychovanou na nejlepších evropských vysokých školách. Zřidil vysoké školy. Zaváděl</w:t>
      </w:r>
      <w:r>
        <w:rPr>
          <w:b/>
          <w:bCs/>
          <w:sz w:val="19"/>
          <w:szCs w:val="19"/>
        </w:rPr>
        <w:t xml:space="preserve"> nové a nové reformy, které přibližují tuto zemi stále více západu. Je to výkon, který nemá hned tak přikladu.</w:t>
      </w:r>
    </w:p>
    <w:p w:rsidR="00500724" w:rsidRDefault="00F30FB8">
      <w:pPr>
        <w:pStyle w:val="Zkladntext100"/>
        <w:shd w:val="clear" w:color="auto" w:fill="auto"/>
        <w:spacing w:line="192" w:lineRule="auto"/>
        <w:ind w:firstLine="300"/>
        <w:rPr>
          <w:sz w:val="19"/>
          <w:szCs w:val="19"/>
        </w:rPr>
      </w:pPr>
      <w:r>
        <w:rPr>
          <w:b/>
          <w:bCs/>
          <w:sz w:val="19"/>
          <w:szCs w:val="19"/>
        </w:rPr>
        <w:t>Vybudoval průmysl a armádu, kterou moderně vyzbrojil. Zavedl v zemi bezpečnost, vystavěl množství moderních to</w:t>
      </w:r>
      <w:r>
        <w:rPr>
          <w:b/>
          <w:bCs/>
          <w:sz w:val="19"/>
          <w:szCs w:val="19"/>
        </w:rPr>
        <w:softHyphen/>
        <w:t>váren, zlepšil zemědělství, vytvoř</w:t>
      </w:r>
      <w:r>
        <w:rPr>
          <w:b/>
          <w:bCs/>
          <w:sz w:val="19"/>
          <w:szCs w:val="19"/>
        </w:rPr>
        <w:t xml:space="preserve">il síť automobilových </w:t>
      </w:r>
      <w:r>
        <w:rPr>
          <w:b/>
          <w:bCs/>
          <w:sz w:val="19"/>
          <w:szCs w:val="19"/>
          <w:vertAlign w:val="superscript"/>
        </w:rPr>
        <w:t>s</w:t>
      </w:r>
      <w:r>
        <w:rPr>
          <w:b/>
          <w:bCs/>
          <w:sz w:val="19"/>
          <w:szCs w:val="19"/>
        </w:rPr>
        <w:t xml:space="preserve">Ppjů, překonávajících rozsáhlé pouště. Zbořil staré město křivých uliček a nemocí a vystavěl nový </w:t>
      </w:r>
      <w:r>
        <w:rPr>
          <w:b/>
          <w:bCs/>
          <w:sz w:val="19"/>
          <w:szCs w:val="19"/>
          <w:lang w:val="en-US" w:eastAsia="en-US" w:bidi="en-US"/>
        </w:rPr>
        <w:t xml:space="preserve">Teheran </w:t>
      </w:r>
      <w:r>
        <w:rPr>
          <w:b/>
          <w:bCs/>
          <w:sz w:val="19"/>
          <w:szCs w:val="19"/>
        </w:rPr>
        <w:t>s širokými asfaltovými třídami. Jeho snem je vytvořit ze svého sídel</w:t>
      </w:r>
      <w:r>
        <w:rPr>
          <w:b/>
          <w:bCs/>
          <w:sz w:val="19"/>
          <w:szCs w:val="19"/>
        </w:rPr>
        <w:softHyphen/>
        <w:t>ního města Paříž orientu. Vytvořil vyhovující státni apará</w:t>
      </w:r>
      <w:r>
        <w:rPr>
          <w:b/>
          <w:bCs/>
          <w:sz w:val="19"/>
          <w:szCs w:val="19"/>
        </w:rPr>
        <w:t>t: ministerstva, pošty, policii. Vymanil zemi z cizích politic</w:t>
      </w:r>
      <w:r>
        <w:rPr>
          <w:b/>
          <w:bCs/>
          <w:sz w:val="19"/>
          <w:szCs w:val="19"/>
        </w:rPr>
        <w:softHyphen/>
        <w:t xml:space="preserve">kých vlivů; dnes </w:t>
      </w:r>
      <w:r>
        <w:rPr>
          <w:b/>
          <w:bCs/>
          <w:sz w:val="19"/>
          <w:szCs w:val="19"/>
          <w:lang w:val="en-US" w:eastAsia="en-US" w:bidi="en-US"/>
        </w:rPr>
        <w:t xml:space="preserve">Iran </w:t>
      </w:r>
      <w:r>
        <w:rPr>
          <w:b/>
          <w:bCs/>
          <w:sz w:val="19"/>
          <w:szCs w:val="19"/>
        </w:rPr>
        <w:t>tvoří významné závaží na politických vahách v blízkém orientu. A jako jednu ze svých hlavních ideí vystavěl první iránskou železnici od Kaspického až k Perskému moři. Dílo</w:t>
      </w:r>
      <w:r>
        <w:rPr>
          <w:b/>
          <w:bCs/>
          <w:sz w:val="19"/>
          <w:szCs w:val="19"/>
        </w:rPr>
        <w:t xml:space="preserve"> technicky velmi nesnadné: dnes na této trati již projíždějí vlaky.</w:t>
      </w:r>
    </w:p>
    <w:p w:rsidR="00500724" w:rsidRDefault="00F30FB8">
      <w:pPr>
        <w:pStyle w:val="Zkladntext100"/>
        <w:shd w:val="clear" w:color="auto" w:fill="auto"/>
        <w:spacing w:line="192" w:lineRule="auto"/>
        <w:ind w:firstLine="200"/>
        <w:rPr>
          <w:sz w:val="19"/>
          <w:szCs w:val="19"/>
        </w:rPr>
      </w:pPr>
      <w:r>
        <w:rPr>
          <w:b/>
          <w:bCs/>
          <w:sz w:val="19"/>
          <w:szCs w:val="19"/>
        </w:rPr>
        <w:t>Je přirozeným výsledkem těchto rozsáhlých změn, že vzniklo značné a citlivé sebevědomí omlazeného národa. Reakce na všechny nepříznivé poznámky ve světovém tisku jsou velmi prudké a mívají</w:t>
      </w:r>
      <w:r>
        <w:rPr>
          <w:b/>
          <w:bCs/>
          <w:sz w:val="19"/>
          <w:szCs w:val="19"/>
        </w:rPr>
        <w:t xml:space="preserve"> za následek různé sankce a i diplomatické zákroky. Není to dávno, kdy urážlivá po</w:t>
      </w:r>
      <w:r>
        <w:rPr>
          <w:b/>
          <w:bCs/>
          <w:sz w:val="19"/>
          <w:szCs w:val="19"/>
        </w:rPr>
        <w:softHyphen/>
        <w:t>známka ve francouzském tisku vynesla Francii velmi ne</w:t>
      </w:r>
      <w:r>
        <w:rPr>
          <w:b/>
          <w:bCs/>
          <w:sz w:val="19"/>
          <w:szCs w:val="19"/>
        </w:rPr>
        <w:softHyphen/>
        <w:t>příjemný diplomatický konflikt. Tolik k osvětlení vnitřních poměrů této země.</w:t>
      </w:r>
    </w:p>
    <w:p w:rsidR="00500724" w:rsidRDefault="00F30FB8">
      <w:pPr>
        <w:pStyle w:val="Zkladntext100"/>
        <w:shd w:val="clear" w:color="auto" w:fill="auto"/>
        <w:spacing w:line="192" w:lineRule="auto"/>
        <w:ind w:firstLine="300"/>
        <w:rPr>
          <w:sz w:val="19"/>
          <w:szCs w:val="19"/>
        </w:rPr>
      </w:pPr>
      <w:r>
        <w:rPr>
          <w:b/>
          <w:bCs/>
          <w:sz w:val="19"/>
          <w:szCs w:val="19"/>
        </w:rPr>
        <w:t>Účast Čechů při výstavbě nového Iránu byl</w:t>
      </w:r>
      <w:r>
        <w:rPr>
          <w:b/>
          <w:bCs/>
          <w:sz w:val="19"/>
          <w:szCs w:val="19"/>
        </w:rPr>
        <w:t>a význačná. Výsledkem těžké a dlouhé práce je dobrý zvuk českého jména a dnes jsou Češi vlivným technickým činitelem. Události v Evropě samozřejmě promítly se i do Iránu. Ale české firmy zachovaly si dosud své konkurenční schopnosti. Ale je třeba jim pomáh</w:t>
      </w:r>
      <w:r>
        <w:rPr>
          <w:b/>
          <w:bCs/>
          <w:sz w:val="19"/>
          <w:szCs w:val="19"/>
        </w:rPr>
        <w:t>at i doma- Je třeba vyvarovat se všech neprozřetelností, které by jim mohly podrážet nohy.</w:t>
      </w:r>
    </w:p>
    <w:p w:rsidR="00500724" w:rsidRDefault="00F30FB8">
      <w:pPr>
        <w:pStyle w:val="Zkladntext100"/>
        <w:shd w:val="clear" w:color="auto" w:fill="auto"/>
        <w:spacing w:line="187" w:lineRule="auto"/>
        <w:ind w:firstLine="300"/>
        <w:rPr>
          <w:sz w:val="19"/>
          <w:szCs w:val="19"/>
        </w:rPr>
      </w:pPr>
      <w:r>
        <w:rPr>
          <w:b/>
          <w:bCs/>
          <w:sz w:val="19"/>
          <w:szCs w:val="19"/>
        </w:rPr>
        <w:t>Je to až pozoruhodné, s jakou nedomyšleností přetiskují naše noviny nekontrolované dopisy. Kdyby na těchto člán</w:t>
      </w:r>
      <w:r>
        <w:rPr>
          <w:b/>
          <w:bCs/>
          <w:sz w:val="19"/>
          <w:szCs w:val="19"/>
        </w:rPr>
        <w:softHyphen/>
        <w:t>cích nebyli podepsáni čeští lidé, zdálo by se, že poc</w:t>
      </w:r>
      <w:r>
        <w:rPr>
          <w:b/>
          <w:bCs/>
          <w:sz w:val="19"/>
          <w:szCs w:val="19"/>
        </w:rPr>
        <w:t>házejí z centrály nepřátelské propagandy s cílem podkopat naše postavení v cizině.</w:t>
      </w:r>
    </w:p>
    <w:p w:rsidR="00500724" w:rsidRDefault="00F30FB8">
      <w:pPr>
        <w:pStyle w:val="Zkladntext100"/>
        <w:shd w:val="clear" w:color="auto" w:fill="auto"/>
        <w:ind w:firstLine="300"/>
        <w:rPr>
          <w:sz w:val="19"/>
          <w:szCs w:val="19"/>
        </w:rPr>
      </w:pPr>
      <w:r>
        <w:rPr>
          <w:b/>
          <w:bCs/>
          <w:sz w:val="19"/>
          <w:szCs w:val="19"/>
        </w:rPr>
        <w:t>Zde, v Iránu, sledují pozorně cizí tisk. Každá poznámka, je kvitována s větším či menším zájmem. Je jistě snadné představit si účinky takové reportáže, kterou na příklad ne</w:t>
      </w:r>
      <w:r>
        <w:rPr>
          <w:b/>
          <w:bCs/>
          <w:sz w:val="19"/>
          <w:szCs w:val="19"/>
        </w:rPr>
        <w:softHyphen/>
      </w:r>
      <w:r>
        <w:rPr>
          <w:b/>
          <w:bCs/>
          <w:sz w:val="19"/>
          <w:szCs w:val="19"/>
        </w:rPr>
        <w:t>dávno otiskl přední pražský list. Jaké asi k nám pociťovali sympatie iránští úředníci, když se dověděli, že jejich slavná železnice, k jejimuž ukončení byly před nedávném vymě</w:t>
      </w:r>
      <w:r>
        <w:rPr>
          <w:b/>
          <w:bCs/>
          <w:sz w:val="19"/>
          <w:szCs w:val="19"/>
        </w:rPr>
        <w:softHyphen/>
        <w:t>ňovány blahopřejné telegramy mezi Iránem a velkými evropskými státy, má ». . . z</w:t>
      </w:r>
      <w:r>
        <w:rPr>
          <w:b/>
          <w:bCs/>
          <w:sz w:val="19"/>
          <w:szCs w:val="19"/>
        </w:rPr>
        <w:t>načné nedostatky .... že . . . správkámy jsou také nedostatečně vybaveny , , že , . . domorodí průvodčí rádi v noci ve službě spí . &lt; .«; ko</w:t>
      </w:r>
      <w:r>
        <w:rPr>
          <w:b/>
          <w:bCs/>
          <w:sz w:val="19"/>
          <w:szCs w:val="19"/>
        </w:rPr>
        <w:softHyphen/>
        <w:t>runou je pak věta, že ». . . na zdejší zámečníky Peršany nelze spoléháte. Takhle se hosté nechovají, i když snad vi</w:t>
      </w:r>
      <w:r>
        <w:rPr>
          <w:b/>
          <w:bCs/>
          <w:sz w:val="19"/>
          <w:szCs w:val="19"/>
        </w:rPr>
        <w:t>dí nějaké nedostatky.</w:t>
      </w:r>
    </w:p>
    <w:p w:rsidR="00500724" w:rsidRDefault="00F30FB8">
      <w:pPr>
        <w:pStyle w:val="Zkladntext100"/>
        <w:shd w:val="clear" w:color="auto" w:fill="auto"/>
        <w:spacing w:line="190" w:lineRule="auto"/>
        <w:ind w:firstLine="300"/>
        <w:rPr>
          <w:sz w:val="19"/>
          <w:szCs w:val="19"/>
        </w:rPr>
      </w:pPr>
      <w:r>
        <w:rPr>
          <w:b/>
          <w:bCs/>
          <w:sz w:val="19"/>
          <w:szCs w:val="19"/>
        </w:rPr>
        <w:t>Ale dojmy pana strojvůdce X se otisknou v nápadné úpravě v předním listě a výsledky pak budou podle toho. Třebaže jde o moderní železnici, již z podtitulku se neinfor</w:t>
      </w:r>
      <w:r>
        <w:rPr>
          <w:b/>
          <w:bCs/>
          <w:sz w:val="19"/>
          <w:szCs w:val="19"/>
        </w:rPr>
        <w:softHyphen/>
        <w:t>movaný čtenář dovídá o sensacich: sTrať v divokých kon</w:t>
      </w:r>
      <w:r>
        <w:rPr>
          <w:b/>
          <w:bCs/>
          <w:sz w:val="19"/>
          <w:szCs w:val="19"/>
        </w:rPr>
        <w:softHyphen/>
        <w:t>činách — Obý</w:t>
      </w:r>
      <w:r>
        <w:rPr>
          <w:b/>
          <w:bCs/>
          <w:sz w:val="19"/>
          <w:szCs w:val="19"/>
        </w:rPr>
        <w:t xml:space="preserve">vací domky z bláta — Jezdí se bez jízdního řádu.« Není snad ani třeba podotýkat, že </w:t>
      </w:r>
      <w:r>
        <w:rPr>
          <w:b/>
          <w:bCs/>
          <w:sz w:val="19"/>
          <w:szCs w:val="19"/>
          <w:lang w:val="en-US" w:eastAsia="en-US" w:bidi="en-US"/>
        </w:rPr>
        <w:t xml:space="preserve">pan </w:t>
      </w:r>
      <w:r>
        <w:rPr>
          <w:b/>
          <w:bCs/>
          <w:sz w:val="19"/>
          <w:szCs w:val="19"/>
        </w:rPr>
        <w:t>X není nucen bydlit v blátěných chatrčích, aspoň ne takových, jaké si u nás doma pod tím názvem představujeme. Takovým způso</w:t>
      </w:r>
      <w:r>
        <w:rPr>
          <w:b/>
          <w:bCs/>
          <w:sz w:val="19"/>
          <w:szCs w:val="19"/>
        </w:rPr>
        <w:softHyphen/>
        <w:t>bem se to tedy nedá dělat.</w:t>
      </w:r>
    </w:p>
    <w:p w:rsidR="00500724" w:rsidRDefault="00F30FB8">
      <w:pPr>
        <w:pStyle w:val="Zkladntext100"/>
        <w:shd w:val="clear" w:color="auto" w:fill="auto"/>
        <w:spacing w:line="190" w:lineRule="auto"/>
        <w:ind w:firstLine="300"/>
        <w:rPr>
          <w:sz w:val="19"/>
          <w:szCs w:val="19"/>
        </w:rPr>
      </w:pPr>
      <w:r>
        <w:rPr>
          <w:b/>
          <w:bCs/>
          <w:sz w:val="19"/>
          <w:szCs w:val="19"/>
        </w:rPr>
        <w:t xml:space="preserve">Je jisté, že po </w:t>
      </w:r>
      <w:r>
        <w:rPr>
          <w:b/>
          <w:bCs/>
          <w:sz w:val="19"/>
          <w:szCs w:val="19"/>
        </w:rPr>
        <w:t>takových dávkách podobných informací, rozhodující činitelé iránští nebudou pociťovat nějaké zvlášt</w:t>
      </w:r>
      <w:r>
        <w:rPr>
          <w:b/>
          <w:bCs/>
          <w:sz w:val="19"/>
          <w:szCs w:val="19"/>
        </w:rPr>
        <w:softHyphen/>
        <w:t>ní příchylnosti k oferujícím českým firmám, a že se tu objeví první následky populárních reportáží z Iránu. A do- čtou-li se, zase v jiných novinách, romanti</w:t>
      </w:r>
      <w:r>
        <w:rPr>
          <w:b/>
          <w:bCs/>
          <w:sz w:val="19"/>
          <w:szCs w:val="19"/>
        </w:rPr>
        <w:t>cké stati o cesto</w:t>
      </w:r>
      <w:r>
        <w:rPr>
          <w:b/>
          <w:bCs/>
          <w:sz w:val="19"/>
          <w:szCs w:val="19"/>
        </w:rPr>
        <w:softHyphen/>
        <w:t>vání na velbloudech, a to na velmi frekventovaném auto</w:t>
      </w:r>
      <w:r>
        <w:rPr>
          <w:b/>
          <w:bCs/>
          <w:sz w:val="19"/>
          <w:szCs w:val="19"/>
        </w:rPr>
        <w:softHyphen/>
        <w:t>mobilovém spoji Pahlevi—</w:t>
      </w:r>
      <w:r>
        <w:rPr>
          <w:b/>
          <w:bCs/>
          <w:sz w:val="19"/>
          <w:szCs w:val="19"/>
          <w:lang w:val="en-US" w:eastAsia="en-US" w:bidi="en-US"/>
        </w:rPr>
        <w:t xml:space="preserve">Teheran, </w:t>
      </w:r>
      <w:r>
        <w:rPr>
          <w:b/>
          <w:bCs/>
          <w:sz w:val="19"/>
          <w:szCs w:val="19"/>
        </w:rPr>
        <w:t>zakroutí nad tim asi hlavou. Bude se jim to zdát příliš silné. Nehledě při tom k další netaktnosti: země, která provádí veškerou osobní dopravu kvalit</w:t>
      </w:r>
      <w:r>
        <w:rPr>
          <w:b/>
          <w:bCs/>
          <w:sz w:val="19"/>
          <w:szCs w:val="19"/>
        </w:rPr>
        <w:t>ními auty, země s dostačující autobusovou sítí, nerada vidí, zapomíná-li se na tento fakt a píše-li se místo toho o dopravě na velbloudím hřbetě. Třebaže ještě zemi křižují nákladní karavany, tento způsob dopravy nese pro moderní Íránce pečeť zastaralosti,</w:t>
      </w:r>
      <w:r>
        <w:rPr>
          <w:b/>
          <w:bCs/>
          <w:sz w:val="19"/>
          <w:szCs w:val="19"/>
        </w:rPr>
        <w:t xml:space="preserve"> a je přímo mar</w:t>
      </w:r>
      <w:r>
        <w:rPr>
          <w:b/>
          <w:bCs/>
          <w:sz w:val="19"/>
          <w:szCs w:val="19"/>
        </w:rPr>
        <w:softHyphen/>
        <w:t>kantní, jakým tempem se nahrazuje moderními prostředky. Není třeba psát o velbloudech, ale o autech, letadlech a že</w:t>
      </w:r>
      <w:r>
        <w:rPr>
          <w:b/>
          <w:bCs/>
          <w:sz w:val="19"/>
          <w:szCs w:val="19"/>
        </w:rPr>
        <w:softHyphen/>
        <w:t xml:space="preserve">leznici. </w:t>
      </w:r>
      <w:r>
        <w:rPr>
          <w:b/>
          <w:bCs/>
          <w:sz w:val="19"/>
          <w:szCs w:val="19"/>
          <w:lang w:val="en-US" w:eastAsia="en-US" w:bidi="en-US"/>
        </w:rPr>
        <w:t xml:space="preserve">Iran </w:t>
      </w:r>
      <w:r>
        <w:rPr>
          <w:b/>
          <w:bCs/>
          <w:sz w:val="19"/>
          <w:szCs w:val="19"/>
        </w:rPr>
        <w:t>dává přednost zprávám o pokroku před zprá</w:t>
      </w:r>
      <w:r>
        <w:rPr>
          <w:b/>
          <w:bCs/>
          <w:sz w:val="19"/>
          <w:szCs w:val="19"/>
        </w:rPr>
        <w:softHyphen/>
        <w:t>vami o blátěných chatrčích. Dává přednost zprávám o no</w:t>
      </w:r>
      <w:r>
        <w:rPr>
          <w:b/>
          <w:bCs/>
          <w:sz w:val="19"/>
          <w:szCs w:val="19"/>
        </w:rPr>
        <w:softHyphen/>
        <w:t>vých továrnác</w:t>
      </w:r>
      <w:r>
        <w:rPr>
          <w:b/>
          <w:bCs/>
          <w:sz w:val="19"/>
          <w:szCs w:val="19"/>
        </w:rPr>
        <w:t>h, o silech pro 65.000 tun obilí s nejmoder</w:t>
      </w:r>
      <w:r>
        <w:rPr>
          <w:b/>
          <w:bCs/>
          <w:sz w:val="19"/>
          <w:szCs w:val="19"/>
        </w:rPr>
        <w:softHyphen/>
        <w:t>nější továrnou na zpracování obilí, kterou postavili Češi; o silnicích, cukrovarech a ostatních dílech, kterými se Češi zasloužili o modernisaci Iránu.</w:t>
      </w:r>
    </w:p>
    <w:p w:rsidR="00500724" w:rsidRDefault="00F30FB8">
      <w:pPr>
        <w:pStyle w:val="Zkladntext100"/>
        <w:shd w:val="clear" w:color="auto" w:fill="auto"/>
        <w:tabs>
          <w:tab w:val="left" w:pos="1862"/>
        </w:tabs>
        <w:spacing w:line="190" w:lineRule="auto"/>
        <w:ind w:firstLine="300"/>
        <w:rPr>
          <w:sz w:val="20"/>
          <w:szCs w:val="20"/>
        </w:rPr>
      </w:pPr>
      <w:r>
        <w:rPr>
          <w:b/>
          <w:bCs/>
          <w:sz w:val="19"/>
          <w:szCs w:val="19"/>
        </w:rPr>
        <w:t>Je třeba informovat o aktivech cizích zemi, pak můžeme mít n</w:t>
      </w:r>
      <w:r>
        <w:rPr>
          <w:b/>
          <w:bCs/>
          <w:sz w:val="19"/>
          <w:szCs w:val="19"/>
        </w:rPr>
        <w:t>aději na úspěch. Je třeba věnovat větší péči při vý</w:t>
      </w:r>
      <w:r>
        <w:rPr>
          <w:b/>
          <w:bCs/>
          <w:sz w:val="19"/>
          <w:szCs w:val="19"/>
        </w:rPr>
        <w:softHyphen/>
        <w:t>běru informativních článků, je třeba zaměřovat dále, než na pouhé pobavení čtenářů. Každý odpovědný redaktor musí uvažovat o následcích každého uveřejněného slova v nejširším slova smyslu. Škody takto nap</w:t>
      </w:r>
      <w:r>
        <w:rPr>
          <w:b/>
          <w:bCs/>
          <w:sz w:val="19"/>
          <w:szCs w:val="19"/>
        </w:rPr>
        <w:t>áchané nám již stačí.</w:t>
      </w:r>
      <w:r>
        <w:rPr>
          <w:b/>
          <w:bCs/>
          <w:sz w:val="19"/>
          <w:szCs w:val="19"/>
        </w:rPr>
        <w:tab/>
      </w:r>
      <w:r>
        <w:rPr>
          <w:i/>
          <w:iCs/>
          <w:sz w:val="20"/>
          <w:szCs w:val="20"/>
        </w:rPr>
        <w:t xml:space="preserve">Inž. H. K., Lanna B. P. M. </w:t>
      </w:r>
      <w:r>
        <w:rPr>
          <w:i/>
          <w:iCs/>
          <w:sz w:val="20"/>
          <w:szCs w:val="20"/>
          <w:lang w:val="en-US" w:eastAsia="en-US" w:bidi="en-US"/>
        </w:rPr>
        <w:t>Teheran</w:t>
      </w:r>
    </w:p>
    <w:p w:rsidR="00500724" w:rsidRDefault="00F30FB8">
      <w:pPr>
        <w:pStyle w:val="Zkladntext20"/>
        <w:shd w:val="clear" w:color="auto" w:fill="auto"/>
        <w:spacing w:after="100" w:line="178" w:lineRule="auto"/>
        <w:ind w:firstLine="0"/>
        <w:jc w:val="center"/>
        <w:rPr>
          <w:sz w:val="20"/>
          <w:szCs w:val="20"/>
        </w:rPr>
      </w:pPr>
      <w:r>
        <w:rPr>
          <w:b/>
          <w:bCs/>
          <w:sz w:val="20"/>
          <w:szCs w:val="20"/>
        </w:rPr>
        <w:t>O české přizpůsobivosti</w:t>
      </w:r>
    </w:p>
    <w:p w:rsidR="00500724" w:rsidRDefault="00F30FB8">
      <w:pPr>
        <w:pStyle w:val="Zkladntext100"/>
        <w:shd w:val="clear" w:color="auto" w:fill="auto"/>
        <w:spacing w:line="190" w:lineRule="auto"/>
        <w:ind w:firstLine="200"/>
        <w:rPr>
          <w:sz w:val="19"/>
          <w:szCs w:val="19"/>
        </w:rPr>
      </w:pPr>
      <w:r>
        <w:rPr>
          <w:b/>
          <w:bCs/>
          <w:sz w:val="19"/>
          <w:szCs w:val="19"/>
        </w:rPr>
        <w:t>Nelze patrně ten zajímavý zjev vyjádřiti Číslicemi, ale byla by asi velmi poučná ta statistika, jež by řekla, kolik českých důstojníků, úředníků a jiných veřejných zaměst</w:t>
      </w:r>
      <w:r>
        <w:rPr>
          <w:b/>
          <w:bCs/>
          <w:sz w:val="19"/>
          <w:szCs w:val="19"/>
        </w:rPr>
        <w:softHyphen/>
      </w:r>
      <w:r>
        <w:rPr>
          <w:b/>
          <w:bCs/>
          <w:sz w:val="19"/>
          <w:szCs w:val="19"/>
        </w:rPr>
        <w:t>nanců uzavřelo za trvání bývalé československé republiky sňatek s ženami jiné národnosti, zejména s Němkami a Ma- ďarkami. A nebylo věru takových smíšených manželství ne</w:t>
      </w:r>
      <w:r>
        <w:rPr>
          <w:b/>
          <w:bCs/>
          <w:sz w:val="19"/>
          <w:szCs w:val="19"/>
        </w:rPr>
        <w:softHyphen/>
        <w:t>mnoho!</w:t>
      </w:r>
    </w:p>
    <w:p w:rsidR="00500724" w:rsidRDefault="00F30FB8">
      <w:pPr>
        <w:pStyle w:val="Zkladntext100"/>
        <w:shd w:val="clear" w:color="auto" w:fill="auto"/>
        <w:spacing w:line="190" w:lineRule="auto"/>
        <w:ind w:firstLine="200"/>
        <w:rPr>
          <w:sz w:val="19"/>
          <w:szCs w:val="19"/>
        </w:rPr>
      </w:pPr>
      <w:r>
        <w:rPr>
          <w:b/>
          <w:bCs/>
          <w:sz w:val="19"/>
          <w:szCs w:val="19"/>
        </w:rPr>
        <w:t>V ryze českých krajích žili sice také veřejní zaměstnanci němečtí, ale jak pomě</w:t>
      </w:r>
      <w:r>
        <w:rPr>
          <w:b/>
          <w:bCs/>
          <w:sz w:val="19"/>
          <w:szCs w:val="19"/>
        </w:rPr>
        <w:t>rně málo z nich bralo si za ženy dívky z prostředí, v němž žili.</w:t>
      </w:r>
    </w:p>
    <w:p w:rsidR="00500724" w:rsidRDefault="00F30FB8">
      <w:pPr>
        <w:pStyle w:val="Zkladntext100"/>
        <w:shd w:val="clear" w:color="auto" w:fill="auto"/>
        <w:spacing w:line="187" w:lineRule="auto"/>
        <w:ind w:firstLine="200"/>
        <w:rPr>
          <w:sz w:val="19"/>
          <w:szCs w:val="19"/>
        </w:rPr>
      </w:pPr>
      <w:r>
        <w:rPr>
          <w:b/>
          <w:bCs/>
          <w:sz w:val="19"/>
          <w:szCs w:val="19"/>
        </w:rPr>
        <w:t>Nebylo tomu konečně jen v rodinách úřednických, neji</w:t>
      </w:r>
      <w:r>
        <w:rPr>
          <w:b/>
          <w:bCs/>
          <w:sz w:val="19"/>
          <w:szCs w:val="19"/>
        </w:rPr>
        <w:softHyphen/>
        <w:t>nak tomu bylo i v rodinách dělnických a řemeslnických. Kolik Čepičků a Pšeničků změnilo se na Czepiczky a Psche- niczky, kolik odnárodnivš</w:t>
      </w:r>
      <w:r>
        <w:rPr>
          <w:b/>
          <w:bCs/>
          <w:sz w:val="19"/>
          <w:szCs w:val="19"/>
        </w:rPr>
        <w:t>ích se našinců přejímalo v ně</w:t>
      </w:r>
      <w:r>
        <w:rPr>
          <w:b/>
          <w:bCs/>
          <w:sz w:val="19"/>
          <w:szCs w:val="19"/>
        </w:rPr>
        <w:softHyphen/>
        <w:t>meckém prostředí nejvášnivější německý nacionalismus! Jak dovedli si Němci uhájit a udržet své národnostní ostrův</w:t>
      </w:r>
      <w:r>
        <w:rPr>
          <w:b/>
          <w:bCs/>
          <w:sz w:val="19"/>
          <w:szCs w:val="19"/>
        </w:rPr>
        <w:softHyphen/>
        <w:t>ky v slovanském moři, jak si na příklad zachovali jazyk a národnost němečtí dřevorubci na Podkarpatské Kuši nebo</w:t>
      </w:r>
      <w:r>
        <w:rPr>
          <w:b/>
          <w:bCs/>
          <w:sz w:val="19"/>
          <w:szCs w:val="19"/>
        </w:rPr>
        <w:t xml:space="preserve"> němečtí vesničané na Štočku! Porušila se sice na přiklad na Štočku stálými sňatky s Čechy jazyková ryzost, vznikal zvláštní německo-český dialekt, jemuž říšští němečtí vojáci rozuměli jen s obtížemi, ale Němci zůstali Němci, i když přiměsek české krve pře</w:t>
      </w:r>
      <w:r>
        <w:rPr>
          <w:b/>
          <w:bCs/>
          <w:sz w:val="19"/>
          <w:szCs w:val="19"/>
        </w:rPr>
        <w:t>barvil jejich mluvu výrazně.</w:t>
      </w:r>
    </w:p>
    <w:p w:rsidR="00500724" w:rsidRDefault="00F30FB8">
      <w:pPr>
        <w:pStyle w:val="Zkladntext100"/>
        <w:shd w:val="clear" w:color="auto" w:fill="auto"/>
        <w:spacing w:line="204" w:lineRule="auto"/>
        <w:ind w:firstLine="200"/>
        <w:rPr>
          <w:sz w:val="19"/>
          <w:szCs w:val="19"/>
        </w:rPr>
      </w:pPr>
      <w:r>
        <w:rPr>
          <w:b/>
          <w:bCs/>
          <w:sz w:val="19"/>
          <w:szCs w:val="19"/>
        </w:rPr>
        <w:t>Na výklad české přizpůsobivosti německému prostředí ne</w:t>
      </w:r>
      <w:r>
        <w:rPr>
          <w:b/>
          <w:bCs/>
          <w:sz w:val="19"/>
          <w:szCs w:val="19"/>
        </w:rPr>
        <w:softHyphen/>
        <w:t>vystačíme teoriemi o hospodářském tlaku a tvrzeními o větší přitažlivosti silnějšího a mocnějšího národa. Zdá se, že v české povaze je cosi podivného, cosi, co souvisí s če</w:t>
      </w:r>
      <w:r>
        <w:rPr>
          <w:b/>
          <w:bCs/>
          <w:sz w:val="19"/>
          <w:szCs w:val="19"/>
        </w:rPr>
        <w:t>s</w:t>
      </w:r>
      <w:r>
        <w:rPr>
          <w:b/>
          <w:bCs/>
          <w:sz w:val="19"/>
          <w:szCs w:val="19"/>
        </w:rPr>
        <w:softHyphen/>
        <w:t>kým cizomilstvím vůbec. Proč jsme vždycky cizí chválívali a domácí hanili, proč jsme znali celý svět, a neznali svůj domov, proč v Tylově pohádce Švanda musel prodělat trpkou Odysseu, než přišel na chuť své vesnici a své Kačen</w:t>
      </w:r>
      <w:r>
        <w:rPr>
          <w:b/>
          <w:bCs/>
          <w:sz w:val="19"/>
          <w:szCs w:val="19"/>
        </w:rPr>
        <w:softHyphen/>
        <w:t xml:space="preserve">ce, již hanebně zradil pro </w:t>
      </w:r>
      <w:r>
        <w:rPr>
          <w:b/>
          <w:bCs/>
          <w:sz w:val="19"/>
          <w:szCs w:val="19"/>
        </w:rPr>
        <w:t>exotická velkoměsta a cizí prin</w:t>
      </w:r>
      <w:r>
        <w:rPr>
          <w:b/>
          <w:bCs/>
          <w:sz w:val="19"/>
          <w:szCs w:val="19"/>
        </w:rPr>
        <w:softHyphen/>
        <w:t>cezny? Ne že bychom schvalovali laciné peciválství a po</w:t>
      </w:r>
      <w:r>
        <w:rPr>
          <w:b/>
          <w:bCs/>
          <w:sz w:val="19"/>
          <w:szCs w:val="19"/>
        </w:rPr>
        <w:softHyphen/>
        <w:t>hodlnou větu: »Co je české, to je hezké«, ale tady někde, v českém cizomilstvi, bude patrně kořen těm houfným ná</w:t>
      </w:r>
      <w:r>
        <w:rPr>
          <w:b/>
          <w:bCs/>
          <w:sz w:val="19"/>
          <w:szCs w:val="19"/>
        </w:rPr>
        <w:softHyphen/>
        <w:t>rodnostním přelomům a přechodům — tady někde bude pří</w:t>
      </w:r>
      <w:r>
        <w:rPr>
          <w:b/>
          <w:bCs/>
          <w:sz w:val="19"/>
          <w:szCs w:val="19"/>
        </w:rPr>
        <w:softHyphen/>
        <w:t>č</w:t>
      </w:r>
      <w:r>
        <w:rPr>
          <w:b/>
          <w:bCs/>
          <w:sz w:val="19"/>
          <w:szCs w:val="19"/>
        </w:rPr>
        <w:t>ina těch tak četných česko-německých smíšených sňatků, i když ovšem není to příčina jediná, příčina všecko vysvět</w:t>
      </w:r>
      <w:r>
        <w:rPr>
          <w:b/>
          <w:bCs/>
          <w:sz w:val="19"/>
          <w:szCs w:val="19"/>
        </w:rPr>
        <w:softHyphen/>
        <w:t>lující.</w:t>
      </w:r>
    </w:p>
    <w:p w:rsidR="00500724" w:rsidRDefault="00F30FB8">
      <w:pPr>
        <w:pStyle w:val="Zkladntext100"/>
        <w:shd w:val="clear" w:color="auto" w:fill="auto"/>
        <w:spacing w:line="187" w:lineRule="auto"/>
        <w:ind w:firstLine="320"/>
        <w:rPr>
          <w:sz w:val="19"/>
          <w:szCs w:val="19"/>
        </w:rPr>
      </w:pPr>
      <w:r>
        <w:rPr>
          <w:b/>
          <w:bCs/>
          <w:sz w:val="19"/>
          <w:szCs w:val="19"/>
        </w:rPr>
        <w:t>Dnes, kdy nás osud zatlačil do národnostní defensivy, musíme — zdá se mi — právě smíšené sňatky veřejně označit za nebezpečí pro náš n</w:t>
      </w:r>
      <w:r>
        <w:rPr>
          <w:b/>
          <w:bCs/>
          <w:sz w:val="19"/>
          <w:szCs w:val="19"/>
        </w:rPr>
        <w:t>árod.</w:t>
      </w:r>
    </w:p>
    <w:p w:rsidR="00500724" w:rsidRDefault="00F30FB8">
      <w:pPr>
        <w:pStyle w:val="Zkladntext100"/>
        <w:shd w:val="clear" w:color="auto" w:fill="auto"/>
        <w:spacing w:line="187" w:lineRule="auto"/>
        <w:ind w:firstLine="320"/>
        <w:rPr>
          <w:sz w:val="19"/>
          <w:szCs w:val="19"/>
        </w:rPr>
      </w:pPr>
      <w:r>
        <w:rPr>
          <w:b/>
          <w:bCs/>
          <w:sz w:val="19"/>
          <w:szCs w:val="19"/>
        </w:rPr>
        <w:t>Ale hranicím české národní přizpůsobivosti hrozí dnes nebezpečí ještě i jinde. Přibývá českých otců a matek, jež se dívají s obavami na jazykové neznalosti svých dětí, ze</w:t>
      </w:r>
      <w:r>
        <w:rPr>
          <w:b/>
          <w:bCs/>
          <w:sz w:val="19"/>
          <w:szCs w:val="19"/>
        </w:rPr>
        <w:softHyphen/>
        <w:t>jména, mluvme konkrétně, na jejich neznalost němčiny, a čas od času slyšíš už č</w:t>
      </w:r>
      <w:r>
        <w:rPr>
          <w:b/>
          <w:bCs/>
          <w:sz w:val="19"/>
          <w:szCs w:val="19"/>
        </w:rPr>
        <w:t xml:space="preserve">eské rodiče uvažovat o tom, že bude nejlépe dát nějaký čas své děti na německou školu. »Tam se naučí nejlépe německému jazyku, tam si nejvíce zvykne stýkat se a hovořit s Němci, a že by se odnárodnilo, o to nejsou žádné strachy, vždyť jsme přece tak dobrá </w:t>
      </w:r>
      <w:r>
        <w:rPr>
          <w:b/>
          <w:bCs/>
          <w:sz w:val="19"/>
          <w:szCs w:val="19"/>
        </w:rPr>
        <w:t>a řádná vlastenecká rodina.«</w:t>
      </w:r>
    </w:p>
    <w:p w:rsidR="00500724" w:rsidRDefault="00F30FB8">
      <w:pPr>
        <w:pStyle w:val="Zkladntext100"/>
        <w:shd w:val="clear" w:color="auto" w:fill="auto"/>
        <w:spacing w:line="187" w:lineRule="auto"/>
        <w:ind w:firstLine="320"/>
        <w:rPr>
          <w:sz w:val="19"/>
          <w:szCs w:val="19"/>
        </w:rPr>
      </w:pPr>
      <w:r>
        <w:rPr>
          <w:b/>
          <w:bCs/>
          <w:sz w:val="19"/>
          <w:szCs w:val="19"/>
        </w:rPr>
        <w:t>Ano, jste, vy staří — ale ta osudná česká přizpůsobivost! — Musíme všichni znát dobře německy, musejí znát per</w:t>
      </w:r>
      <w:r>
        <w:rPr>
          <w:b/>
          <w:bCs/>
          <w:sz w:val="19"/>
          <w:szCs w:val="19"/>
        </w:rPr>
        <w:softHyphen/>
        <w:t xml:space="preserve">fektně německy naše děti, zajisté, nelze o tom pochybovat, ale jsou jiné cesty k té jazykové znalosti a dokonalosti </w:t>
      </w:r>
      <w:r>
        <w:rPr>
          <w:b/>
          <w:bCs/>
          <w:sz w:val="19"/>
          <w:szCs w:val="19"/>
        </w:rPr>
        <w:t>než pobyt na jinonárodní škole.</w:t>
      </w:r>
    </w:p>
    <w:p w:rsidR="00500724" w:rsidRDefault="00F30FB8">
      <w:pPr>
        <w:pStyle w:val="Zkladntext100"/>
        <w:shd w:val="clear" w:color="auto" w:fill="auto"/>
        <w:spacing w:line="187" w:lineRule="auto"/>
        <w:ind w:firstLine="200"/>
        <w:rPr>
          <w:sz w:val="19"/>
          <w:szCs w:val="19"/>
        </w:rPr>
      </w:pPr>
      <w:r>
        <w:rPr>
          <w:b/>
          <w:bCs/>
          <w:sz w:val="19"/>
          <w:szCs w:val="19"/>
        </w:rPr>
        <w:t>»České dítě patří jen do české školy«, snad nikdy nebylo toto heslo časovější než dnes. — Dobří učitelé němčiny, soukromé hodiny němčiny, dobře organisovaný pobyt čes</w:t>
      </w:r>
      <w:r>
        <w:rPr>
          <w:b/>
          <w:bCs/>
          <w:sz w:val="19"/>
          <w:szCs w:val="19"/>
        </w:rPr>
        <w:softHyphen/>
        <w:t>kých dětí v prázdninových jazykových koloniích — to všech</w:t>
      </w:r>
      <w:r>
        <w:rPr>
          <w:b/>
          <w:bCs/>
          <w:sz w:val="19"/>
          <w:szCs w:val="19"/>
        </w:rPr>
        <w:softHyphen/>
        <w:t>no ano — ale jinak české dítě musí v české škole zůstat. Což platí o všech stupnich školských, i o stupni nejvyšším. Doplnit si dodatečně českou školní výchovu výchovou jino- jazyčnou, to už je jiný problém — ale jenom ne začít pova</w:t>
      </w:r>
      <w:r>
        <w:rPr>
          <w:b/>
          <w:bCs/>
          <w:sz w:val="19"/>
          <w:szCs w:val="19"/>
        </w:rPr>
        <w:softHyphen/>
        <w:t>žovat německé školy za</w:t>
      </w:r>
      <w:r>
        <w:rPr>
          <w:b/>
          <w:bCs/>
          <w:sz w:val="19"/>
          <w:szCs w:val="19"/>
        </w:rPr>
        <w:t xml:space="preserve"> něco lepšího, dokonalejšího a užiteč</w:t>
      </w:r>
      <w:r>
        <w:rPr>
          <w:b/>
          <w:bCs/>
          <w:sz w:val="19"/>
          <w:szCs w:val="19"/>
        </w:rPr>
        <w:softHyphen/>
        <w:t>nějšího než jsou školy naše.</w:t>
      </w:r>
    </w:p>
    <w:p w:rsidR="00500724" w:rsidRDefault="00F30FB8">
      <w:pPr>
        <w:pStyle w:val="Zkladntext100"/>
        <w:shd w:val="clear" w:color="auto" w:fill="auto"/>
        <w:spacing w:line="190" w:lineRule="auto"/>
        <w:ind w:firstLine="320"/>
        <w:rPr>
          <w:sz w:val="19"/>
          <w:szCs w:val="19"/>
        </w:rPr>
      </w:pPr>
      <w:r>
        <w:rPr>
          <w:b/>
          <w:bCs/>
          <w:sz w:val="19"/>
          <w:szCs w:val="19"/>
        </w:rPr>
        <w:t>Dnešní nacionálně socialistické Německo národní výcho</w:t>
      </w:r>
      <w:r>
        <w:rPr>
          <w:b/>
          <w:bCs/>
          <w:sz w:val="19"/>
          <w:szCs w:val="19"/>
        </w:rPr>
        <w:softHyphen/>
        <w:t xml:space="preserve">vu označuje za základ výchovy. Pochopí, že vycházíme od stejného předpokladu. Hitlerovo Německo proklamuje dů- razně svou nechuť k </w:t>
      </w:r>
      <w:r>
        <w:rPr>
          <w:b/>
          <w:bCs/>
          <w:sz w:val="19"/>
          <w:szCs w:val="19"/>
        </w:rPr>
        <w:t xml:space="preserve">metodám germanisačnim — věříme, že nás opravdu germanisovati nebude. Bojíme se jen, aby se naši lidé negermanisovali dobrovolně sami. Starost o český jazyk, péče o českou rodinu, starost o českou školu — to jsou dnes naše úkoly největší. A abychom se snad </w:t>
      </w:r>
      <w:r>
        <w:rPr>
          <w:b/>
          <w:bCs/>
          <w:sz w:val="19"/>
          <w:szCs w:val="19"/>
        </w:rPr>
        <w:t>nestali česky mluvícími Němci, to už je věc našeho umění, naší literatury, naší vědy. O to již starosti nemáme.</w:t>
      </w:r>
    </w:p>
    <w:p w:rsidR="00500724" w:rsidRDefault="00F30FB8">
      <w:pPr>
        <w:pStyle w:val="Zkladntext100"/>
        <w:shd w:val="clear" w:color="auto" w:fill="auto"/>
        <w:tabs>
          <w:tab w:val="left" w:pos="4200"/>
        </w:tabs>
        <w:spacing w:after="100" w:line="202" w:lineRule="auto"/>
        <w:rPr>
          <w:sz w:val="20"/>
          <w:szCs w:val="20"/>
        </w:rPr>
      </w:pPr>
      <w:r>
        <w:rPr>
          <w:b/>
          <w:bCs/>
          <w:sz w:val="19"/>
          <w:szCs w:val="19"/>
        </w:rPr>
        <w:t xml:space="preserve">Jen aby ta stará česká přizpůsobivost v těchto vážných dobách náš národ početně neoslabila! »Češi, žeňte se jenom s Češkami, Češky, vdávejte se </w:t>
      </w:r>
      <w:r>
        <w:rPr>
          <w:b/>
          <w:bCs/>
          <w:sz w:val="19"/>
          <w:szCs w:val="19"/>
        </w:rPr>
        <w:t>jenom za Čechy, české dítě jenom do české školy.« Primitivní příkazy, ale na nich je dnes vlastně základ celé české budoucnosti. Na nich, a na dobré české péči sociální a na dobré české politice hospo</w:t>
      </w:r>
      <w:r>
        <w:rPr>
          <w:b/>
          <w:bCs/>
          <w:sz w:val="19"/>
          <w:szCs w:val="19"/>
        </w:rPr>
        <w:softHyphen/>
        <w:t>dářské. Než to již jsou zase kapitoly jiné.</w:t>
      </w:r>
      <w:r>
        <w:rPr>
          <w:b/>
          <w:bCs/>
          <w:sz w:val="19"/>
          <w:szCs w:val="19"/>
        </w:rPr>
        <w:tab/>
      </w:r>
      <w:r>
        <w:rPr>
          <w:i/>
          <w:iCs/>
          <w:sz w:val="20"/>
          <w:szCs w:val="20"/>
        </w:rPr>
        <w:t>Jiří Zhor</w:t>
      </w:r>
    </w:p>
    <w:p w:rsidR="00500724" w:rsidRDefault="00F30FB8">
      <w:pPr>
        <w:pStyle w:val="Zkladntext20"/>
        <w:shd w:val="clear" w:color="auto" w:fill="auto"/>
        <w:spacing w:after="80" w:line="175" w:lineRule="auto"/>
        <w:ind w:firstLine="0"/>
        <w:jc w:val="center"/>
        <w:rPr>
          <w:sz w:val="20"/>
          <w:szCs w:val="20"/>
        </w:rPr>
      </w:pPr>
      <w:r>
        <w:rPr>
          <w:b/>
          <w:bCs/>
          <w:sz w:val="20"/>
          <w:szCs w:val="20"/>
        </w:rPr>
        <w:t>P</w:t>
      </w:r>
      <w:r>
        <w:rPr>
          <w:b/>
          <w:bCs/>
          <w:sz w:val="20"/>
          <w:szCs w:val="20"/>
        </w:rPr>
        <w:t>raha a venkov</w:t>
      </w:r>
    </w:p>
    <w:p w:rsidR="00500724" w:rsidRDefault="00F30FB8">
      <w:pPr>
        <w:pStyle w:val="Zkladntext100"/>
        <w:shd w:val="clear" w:color="auto" w:fill="auto"/>
        <w:spacing w:line="185" w:lineRule="auto"/>
        <w:rPr>
          <w:sz w:val="19"/>
          <w:szCs w:val="19"/>
        </w:rPr>
      </w:pPr>
      <w:r>
        <w:rPr>
          <w:b/>
          <w:bCs/>
          <w:sz w:val="19"/>
          <w:szCs w:val="19"/>
        </w:rPr>
        <w:t>Kdo byl někdy na přednášce na venkově, dosvědčí, jak často byl překvapen daleko větší účastí a daleko větším zájmem, než jaký pozoroval — při různých příležitostech</w:t>
      </w:r>
    </w:p>
    <w:p w:rsidR="00500724" w:rsidRDefault="00F30FB8">
      <w:pPr>
        <w:pStyle w:val="Zkladntext100"/>
        <w:numPr>
          <w:ilvl w:val="0"/>
          <w:numId w:val="91"/>
        </w:numPr>
        <w:shd w:val="clear" w:color="auto" w:fill="auto"/>
        <w:tabs>
          <w:tab w:val="left" w:pos="318"/>
        </w:tabs>
        <w:spacing w:line="185" w:lineRule="auto"/>
        <w:ind w:firstLine="0"/>
        <w:rPr>
          <w:sz w:val="19"/>
          <w:szCs w:val="19"/>
        </w:rPr>
      </w:pPr>
      <w:r>
        <w:rPr>
          <w:b/>
          <w:bCs/>
          <w:sz w:val="19"/>
          <w:szCs w:val="19"/>
        </w:rPr>
        <w:t>v Praze. Leckterý kulturní podnik se vydaří na venkově lépe než v Praze. Říká</w:t>
      </w:r>
      <w:r>
        <w:rPr>
          <w:b/>
          <w:bCs/>
          <w:sz w:val="19"/>
          <w:szCs w:val="19"/>
        </w:rPr>
        <w:t xml:space="preserve"> se: venkov není tak přesycen. Není to tak jednoduché. Ale hlavní je: nezapomínati při orga</w:t>
      </w:r>
      <w:r>
        <w:rPr>
          <w:b/>
          <w:bCs/>
          <w:sz w:val="19"/>
          <w:szCs w:val="19"/>
        </w:rPr>
        <w:softHyphen/>
        <w:t>nisaci kulturní práce na venkov.</w:t>
      </w:r>
    </w:p>
    <w:p w:rsidR="00500724" w:rsidRDefault="00F30FB8">
      <w:pPr>
        <w:pStyle w:val="Zkladntext100"/>
        <w:shd w:val="clear" w:color="auto" w:fill="auto"/>
        <w:spacing w:line="185" w:lineRule="auto"/>
        <w:rPr>
          <w:sz w:val="19"/>
          <w:szCs w:val="19"/>
        </w:rPr>
      </w:pPr>
      <w:r>
        <w:rPr>
          <w:b/>
          <w:bCs/>
          <w:sz w:val="19"/>
          <w:szCs w:val="19"/>
        </w:rPr>
        <w:t>Technika v mnohém — vzpomeňme jen na rozhlas — sblížila velkoměsto s venkovem. Je poměrně snadné si za</w:t>
      </w:r>
      <w:r>
        <w:rPr>
          <w:b/>
          <w:bCs/>
          <w:sz w:val="19"/>
          <w:szCs w:val="19"/>
        </w:rPr>
        <w:softHyphen/>
        <w:t xml:space="preserve">jeti do Prahy, do Brna nebo </w:t>
      </w:r>
      <w:r>
        <w:rPr>
          <w:b/>
          <w:bCs/>
          <w:sz w:val="19"/>
          <w:szCs w:val="19"/>
        </w:rPr>
        <w:t>do většího města na koncert, na výstavu, do divadla. Ale je tu potřebí ještě intensivněj</w:t>
      </w:r>
      <w:r>
        <w:rPr>
          <w:b/>
          <w:bCs/>
          <w:sz w:val="19"/>
          <w:szCs w:val="19"/>
        </w:rPr>
        <w:softHyphen/>
        <w:t>šího styku. Nemohli by pořadatelé různých výstav v Praze již dopředu počítat s tím, že by výstava, kterou právě chy</w:t>
      </w:r>
      <w:r>
        <w:rPr>
          <w:b/>
          <w:bCs/>
          <w:sz w:val="19"/>
          <w:szCs w:val="19"/>
        </w:rPr>
        <w:softHyphen/>
        <w:t xml:space="preserve">stají, prošla několika českými městy, byť i jen ve </w:t>
      </w:r>
      <w:r>
        <w:rPr>
          <w:b/>
          <w:bCs/>
          <w:sz w:val="19"/>
          <w:szCs w:val="19"/>
        </w:rPr>
        <w:t>výběru, reprodukci? Mnohým lidem je přece jen těžko se dostat do Prahy. Ve venkovských městech jsou čiperní lidé, kteří se rádi chytnou podané jim ruky. Rádi pracují, ale nemají tolik možností, jako lidé v Praze, kteří jsou — jak se říká</w:t>
      </w:r>
    </w:p>
    <w:p w:rsidR="00500724" w:rsidRDefault="00F30FB8">
      <w:pPr>
        <w:pStyle w:val="Zkladntext100"/>
        <w:numPr>
          <w:ilvl w:val="0"/>
          <w:numId w:val="91"/>
        </w:numPr>
        <w:shd w:val="clear" w:color="auto" w:fill="auto"/>
        <w:tabs>
          <w:tab w:val="left" w:pos="322"/>
        </w:tabs>
        <w:spacing w:line="185" w:lineRule="auto"/>
        <w:ind w:firstLine="0"/>
        <w:rPr>
          <w:sz w:val="19"/>
          <w:szCs w:val="19"/>
        </w:rPr>
      </w:pPr>
      <w:r>
        <w:rPr>
          <w:b/>
          <w:bCs/>
          <w:sz w:val="19"/>
          <w:szCs w:val="19"/>
        </w:rPr>
        <w:t>u pramene. Jsou ce</w:t>
      </w:r>
      <w:r>
        <w:rPr>
          <w:b/>
          <w:bCs/>
          <w:sz w:val="19"/>
          <w:szCs w:val="19"/>
        </w:rPr>
        <w:t xml:space="preserve">nné výstavy a výstavky v Praze. Ale bylo by dobře, aby jejich pořadatelé lmed uvažovali o tom, nedala-li by se poříditi menší putovní výstavka, která by plnila postupně svůj úkol po českých městech a po českém venkově. V době dobré reprodukce — fotografie </w:t>
      </w:r>
      <w:r>
        <w:rPr>
          <w:b/>
          <w:bCs/>
          <w:sz w:val="19"/>
          <w:szCs w:val="19"/>
        </w:rPr>
        <w:t>a jiné —• není to věc tak nesnadná.</w:t>
      </w:r>
    </w:p>
    <w:p w:rsidR="00500724" w:rsidRDefault="00F30FB8">
      <w:pPr>
        <w:pStyle w:val="Zkladntext100"/>
        <w:shd w:val="clear" w:color="auto" w:fill="auto"/>
        <w:spacing w:line="185" w:lineRule="auto"/>
        <w:rPr>
          <w:sz w:val="19"/>
          <w:szCs w:val="19"/>
        </w:rPr>
      </w:pPr>
      <w:r>
        <w:rPr>
          <w:b/>
          <w:bCs/>
          <w:sz w:val="19"/>
          <w:szCs w:val="19"/>
        </w:rPr>
        <w:t xml:space="preserve">Velké výstavy se pomalu ale jistě přežívají. Ale žijí stále malé výstavy, výstavy krajinské. Bylo by dobře, aby jim v Praze byla věnována dostatečná pozornost; bylo by dobře, aby všechny resorty veřejné správy a vedoucí </w:t>
      </w:r>
      <w:r>
        <w:rPr>
          <w:b/>
          <w:bCs/>
          <w:sz w:val="19"/>
          <w:szCs w:val="19"/>
        </w:rPr>
        <w:t>kul</w:t>
      </w:r>
      <w:r>
        <w:rPr>
          <w:b/>
          <w:bCs/>
          <w:sz w:val="19"/>
          <w:szCs w:val="19"/>
        </w:rPr>
        <w:softHyphen/>
        <w:t>turní instituce měly pro tyto výstavky připraveny svoje — stále doplňované — exposice.</w:t>
      </w:r>
    </w:p>
    <w:p w:rsidR="00500724" w:rsidRDefault="00F30FB8">
      <w:pPr>
        <w:pStyle w:val="Zkladntext100"/>
        <w:shd w:val="clear" w:color="auto" w:fill="auto"/>
        <w:tabs>
          <w:tab w:val="left" w:pos="4490"/>
        </w:tabs>
        <w:spacing w:line="187" w:lineRule="auto"/>
        <w:rPr>
          <w:sz w:val="20"/>
          <w:szCs w:val="20"/>
        </w:rPr>
      </w:pPr>
      <w:r>
        <w:rPr>
          <w:b/>
          <w:bCs/>
          <w:sz w:val="19"/>
          <w:szCs w:val="19"/>
        </w:rPr>
        <w:t>Ne každý může si zajeti do Prahy. Ale při dobré orga</w:t>
      </w:r>
      <w:r>
        <w:rPr>
          <w:b/>
          <w:bCs/>
          <w:sz w:val="19"/>
          <w:szCs w:val="19"/>
        </w:rPr>
        <w:softHyphen/>
        <w:t>nisaci práce by bylo možné, aby i na venkově se účastnili díla, na kterém pracují lidé v Praze. Do kulturní prác</w:t>
      </w:r>
      <w:r>
        <w:rPr>
          <w:b/>
          <w:bCs/>
          <w:sz w:val="19"/>
          <w:szCs w:val="19"/>
        </w:rPr>
        <w:t>e mu</w:t>
      </w:r>
      <w:r>
        <w:rPr>
          <w:b/>
          <w:bCs/>
          <w:sz w:val="19"/>
          <w:szCs w:val="19"/>
        </w:rPr>
        <w:softHyphen/>
        <w:t>síme jiti s novými podněty. I tam, kde je řeč na téma: Praha a venkov.</w:t>
      </w:r>
      <w:r>
        <w:rPr>
          <w:b/>
          <w:bCs/>
          <w:sz w:val="19"/>
          <w:szCs w:val="19"/>
        </w:rPr>
        <w:tab/>
      </w:r>
      <w:r>
        <w:rPr>
          <w:i/>
          <w:iCs/>
          <w:sz w:val="20"/>
          <w:szCs w:val="20"/>
        </w:rPr>
        <w:t>V. G-.</w:t>
      </w:r>
    </w:p>
    <w:p w:rsidR="00500724" w:rsidRDefault="00F30FB8">
      <w:pPr>
        <w:pStyle w:val="Zkladntext20"/>
        <w:shd w:val="clear" w:color="auto" w:fill="auto"/>
        <w:spacing w:after="80" w:line="240" w:lineRule="auto"/>
        <w:ind w:firstLine="0"/>
        <w:jc w:val="center"/>
      </w:pPr>
      <w:r>
        <w:t>Otázka novinám</w:t>
      </w:r>
    </w:p>
    <w:p w:rsidR="00500724" w:rsidRDefault="00F30FB8">
      <w:pPr>
        <w:pStyle w:val="Zkladntext100"/>
        <w:shd w:val="clear" w:color="auto" w:fill="auto"/>
        <w:tabs>
          <w:tab w:val="left" w:pos="4490"/>
        </w:tabs>
        <w:spacing w:after="180" w:line="187" w:lineRule="auto"/>
        <w:rPr>
          <w:sz w:val="20"/>
          <w:szCs w:val="20"/>
        </w:rPr>
      </w:pPr>
      <w:r>
        <w:rPr>
          <w:b/>
          <w:bCs/>
          <w:sz w:val="19"/>
          <w:szCs w:val="19"/>
        </w:rPr>
        <w:t>Zdalipak jste, české noviny, někdy přemýšlely na příklad o tom, jak srovnati křiklavé zprávy a podrobnosti o vraž</w:t>
      </w:r>
      <w:r>
        <w:rPr>
          <w:b/>
          <w:bCs/>
          <w:sz w:val="19"/>
          <w:szCs w:val="19"/>
        </w:rPr>
        <w:softHyphen/>
        <w:t xml:space="preserve">dách, které zálibně někdy uveřejňujete na </w:t>
      </w:r>
      <w:r>
        <w:rPr>
          <w:b/>
          <w:bCs/>
          <w:sz w:val="19"/>
          <w:szCs w:val="19"/>
        </w:rPr>
        <w:t>prvních stra</w:t>
      </w:r>
      <w:r>
        <w:rPr>
          <w:b/>
          <w:bCs/>
          <w:sz w:val="19"/>
          <w:szCs w:val="19"/>
        </w:rPr>
        <w:softHyphen/>
        <w:t>nách, s výchovným posláním mezi naším lidem? Podívejte se: hubujete často rády na školu, ale za celou generaci ne</w:t>
      </w:r>
      <w:r>
        <w:rPr>
          <w:b/>
          <w:bCs/>
          <w:sz w:val="19"/>
          <w:szCs w:val="19"/>
        </w:rPr>
        <w:softHyphen/>
        <w:t>může škola nadělat tolik mravních škod, kolik jich můžete nadělat! vy za jediný den. Můžete zkazit za den, co jsme ve škole stavě</w:t>
      </w:r>
      <w:r>
        <w:rPr>
          <w:b/>
          <w:bCs/>
          <w:sz w:val="19"/>
          <w:szCs w:val="19"/>
        </w:rPr>
        <w:t>li léta. Nemyslíte, že byste měly škole více pomáhat než překážet? Nemohly byste si už jednou tiše, ale upřímně mezi sebou říci, že ty vraždy aspoň s první strany sundáte?</w:t>
      </w:r>
      <w:r>
        <w:rPr>
          <w:b/>
          <w:bCs/>
          <w:sz w:val="19"/>
          <w:szCs w:val="19"/>
        </w:rPr>
        <w:tab/>
      </w:r>
      <w:r>
        <w:rPr>
          <w:i/>
          <w:iCs/>
          <w:sz w:val="20"/>
          <w:szCs w:val="20"/>
        </w:rPr>
        <w:t>K. E.</w:t>
      </w:r>
    </w:p>
    <w:p w:rsidR="00500724" w:rsidRDefault="00F30FB8">
      <w:pPr>
        <w:pStyle w:val="Jin0"/>
        <w:pBdr>
          <w:bottom w:val="single" w:sz="4" w:space="0" w:color="auto"/>
        </w:pBdr>
        <w:shd w:val="clear" w:color="auto" w:fill="auto"/>
        <w:spacing w:after="220"/>
        <w:ind w:firstLine="0"/>
        <w:jc w:val="left"/>
        <w:rPr>
          <w:sz w:val="44"/>
          <w:szCs w:val="44"/>
        </w:rPr>
      </w:pPr>
      <w:r>
        <w:rPr>
          <w:b/>
          <w:bCs/>
          <w:sz w:val="44"/>
          <w:szCs w:val="44"/>
        </w:rPr>
        <w:t>politika</w:t>
      </w:r>
    </w:p>
    <w:p w:rsidR="00500724" w:rsidRDefault="00F30FB8">
      <w:pPr>
        <w:pStyle w:val="Zkladntext20"/>
        <w:shd w:val="clear" w:color="auto" w:fill="auto"/>
        <w:spacing w:line="221" w:lineRule="auto"/>
        <w:ind w:firstLine="0"/>
        <w:rPr>
          <w:sz w:val="20"/>
          <w:szCs w:val="20"/>
        </w:rPr>
      </w:pPr>
      <w:r>
        <w:rPr>
          <w:i/>
          <w:iCs/>
          <w:sz w:val="20"/>
          <w:szCs w:val="20"/>
        </w:rPr>
        <w:t>Bývalý poslanec:</w:t>
      </w:r>
    </w:p>
    <w:p w:rsidR="00500724" w:rsidRDefault="00F30FB8">
      <w:pPr>
        <w:pStyle w:val="Nadpis100"/>
        <w:shd w:val="clear" w:color="auto" w:fill="auto"/>
        <w:spacing w:after="80" w:line="240" w:lineRule="auto"/>
      </w:pPr>
      <w:bookmarkStart w:id="729" w:name="bookmark728"/>
      <w:r>
        <w:t>My bývalí poslanci</w:t>
      </w:r>
      <w:bookmarkEnd w:id="729"/>
    </w:p>
    <w:p w:rsidR="00500724" w:rsidRDefault="00F30FB8">
      <w:pPr>
        <w:pStyle w:val="Zkladntext20"/>
        <w:shd w:val="clear" w:color="auto" w:fill="auto"/>
        <w:spacing w:line="202" w:lineRule="auto"/>
        <w:ind w:firstLine="280"/>
      </w:pPr>
      <w:r>
        <w:t>Tento hlas nepodepsaného bývalého</w:t>
      </w:r>
      <w:r>
        <w:t xml:space="preserve"> poslance naše</w:t>
      </w:r>
      <w:r>
        <w:softHyphen/>
        <w:t>ho Národního shromáždění je hlasem z politického propadliště. Ale jak uvidíte, není diktován žádnou hořkostí ani výčitkami, vždyť šlo o věc, vyplynuvší z dějinných událostí, které jsme se všichni podřídili.</w:t>
      </w:r>
    </w:p>
    <w:p w:rsidR="00500724" w:rsidRDefault="00F30FB8">
      <w:pPr>
        <w:pStyle w:val="Zkladntext100"/>
        <w:shd w:val="clear" w:color="auto" w:fill="auto"/>
        <w:spacing w:after="80" w:line="233" w:lineRule="auto"/>
        <w:ind w:firstLine="0"/>
        <w:jc w:val="center"/>
        <w:rPr>
          <w:sz w:val="19"/>
          <w:szCs w:val="19"/>
        </w:rPr>
      </w:pPr>
      <w:r>
        <w:rPr>
          <w:b/>
          <w:bCs/>
          <w:sz w:val="19"/>
          <w:szCs w:val="19"/>
        </w:rPr>
        <w:t>•</w:t>
      </w:r>
    </w:p>
    <w:p w:rsidR="00500724" w:rsidRDefault="00F30FB8">
      <w:pPr>
        <w:pStyle w:val="Zkladntext20"/>
        <w:shd w:val="clear" w:color="auto" w:fill="auto"/>
        <w:spacing w:after="220" w:line="204" w:lineRule="auto"/>
        <w:ind w:firstLine="280"/>
      </w:pPr>
      <w:r>
        <w:t>Jen jednu trpkou poznámku dám na</w:t>
      </w:r>
      <w:r>
        <w:t xml:space="preserve"> počátek této úvahy. My poslanci jsme se oficiálně dověděli teprve po dvou měsících, že jsme »bývalí« z nějakého cirku- láře, ve věci soukromě administrativního rázu, roze</w:t>
      </w:r>
      <w:r>
        <w:softHyphen/>
        <w:t>slaného kanceláří sněmovny, kde se nám tohoto titulu dostalo. Jinak jsme nebyli o ro</w:t>
      </w:r>
      <w:r>
        <w:t>zpuštění Národního shromáždění ani předsedou sněmovny, ani kanceláří ani kýmkoli jiným vyrozuměni. Dověděli jsme se to z novin. Od převratu bylo naše Národní shromáždění rozpuštěno několikrát. Vždycky bylo mu to oznámeno v závěrečné schůzi, kde předseda po</w:t>
      </w:r>
      <w:r>
        <w:t>dal krátký výkaz vykonané práce, poděkoval poslancům za jejich čin</w:t>
      </w:r>
      <w:r>
        <w:softHyphen/>
        <w:t>nost a přál jim mnoho zdaru do budoucnosti, to jest k nadcházejícím volbám. Tak se parlament rozpouští. Členům našeho Národního shromáždění nebylo však teď oznámeno nic. Ani korespondenčním</w:t>
      </w:r>
      <w:r>
        <w:t xml:space="preserve"> lístkem, por</w:t>
      </w:r>
      <w:r>
        <w:softHyphen/>
        <w:t>ta prostým.</w:t>
      </w:r>
    </w:p>
    <w:p w:rsidR="00500724" w:rsidRDefault="00F30FB8">
      <w:pPr>
        <w:pStyle w:val="Zkladntext20"/>
        <w:shd w:val="clear" w:color="auto" w:fill="auto"/>
        <w:spacing w:line="202" w:lineRule="auto"/>
      </w:pPr>
      <w:r>
        <w:t>Byly k této netaktnosti nějaké důvody? Kdo se trochu podíval po světě, nemohl říkat, že naši bývalí poslanci jsou méněcenní proti svým kolegům v cizině po stránce charakteru i schopnosti. Mohu o tom klid</w:t>
      </w:r>
      <w:r>
        <w:softHyphen/>
        <w:t>ně mluvit, protože sám jse</w:t>
      </w:r>
      <w:r>
        <w:t>m o poslanecký mandát nestál. Byl mi vnucen vedením strany z obavy, že bych mimo parlament mohl být straně nepříjemnější, než budu-li v něm a když už jsem jednou na tomto místě stál, nechtělo se mi zpět zejména z důvodu, že bych vzbudil domněnky, že jsem s</w:t>
      </w:r>
      <w:r>
        <w:t>e něčeho dopustil. Nemiloval jsem nikdy této funkce, ale vykonával jsem ji horlivě. Byl bych jistě miloval úřad zákonodárce, ale z tohoto poslání se vyvinula intervenční agentura, do</w:t>
      </w:r>
      <w:r>
        <w:softHyphen/>
        <w:t>konce s »úředními dny« a pohodlná disciplinovanost vůči straně a klubu, s</w:t>
      </w:r>
      <w:r>
        <w:t>e všemi přívěsky hájení usnesení klubovních nebo příkazů vedení strany v komisích nebo v plenárních schůzích. V komisích a subkomisích parlamentu se skutečně pracovalo. V plenárních schů</w:t>
      </w:r>
      <w:r>
        <w:softHyphen/>
        <w:t>zích se pak mluvilo jen tehdy, když se přihlásili řečníci z ostatních</w:t>
      </w:r>
      <w:r>
        <w:t xml:space="preserve"> stran. Prestyž strany žádala, aby se tedy mluvilo také, mluví-li ostatní, aby »byla debata«, při níž se obyčejně o ničem nedebatovalo.</w:t>
      </w:r>
    </w:p>
    <w:p w:rsidR="00500724" w:rsidRDefault="00F30FB8">
      <w:pPr>
        <w:pStyle w:val="Zkladntext20"/>
        <w:shd w:val="clear" w:color="auto" w:fill="auto"/>
        <w:spacing w:after="260" w:line="204" w:lineRule="auto"/>
      </w:pPr>
      <w:r>
        <w:t xml:space="preserve">A debata? Snad ve všech parlamentech kulturních zemí dostanou poslanci druhého dne stenografický protokol schůze, u nás </w:t>
      </w:r>
      <w:r>
        <w:t>byly vydávány tyto protokoly se zpožděním nejméně týdenním, to vzhledem k pře</w:t>
      </w:r>
      <w:r>
        <w:softHyphen/>
        <w:t>kládání řeči. Jak potom bylo možno doložené polemi- sovat? Tyto plenární schůze byly vnější slabinou naše</w:t>
      </w:r>
      <w:r>
        <w:softHyphen/>
        <w:t xml:space="preserve">ho parlamentarismu. Měly i,yto vlastnosti: Předně byly fádní, protože z </w:t>
      </w:r>
      <w:r>
        <w:t>nich nikdy nevzešlo nic kloudné</w:t>
      </w:r>
      <w:r>
        <w:softHyphen/>
        <w:t>ho a všichni věděli napřed, co se tu bude dít, proto — za druhé — se do nich chodilo nedbale, ani v těch posledních letech života našeho parlamentu tu ne</w:t>
      </w:r>
      <w:r>
        <w:softHyphen/>
        <w:t>bývalo předepsaných aspoň třicet přítomných (a kolik jich bývalo při h</w:t>
      </w:r>
      <w:r>
        <w:t>lasování?), za třetí nikdo z vládních stran neposlouchal řečníky stran oposičních, protože skutečné oposice to jest loyální oposice jsme měli málo. Ani novináři, kteří o nedbalé návštěvě schůzí psali, sami jejich průběh nesledovali. Novinářská ga</w:t>
      </w:r>
      <w:r>
        <w:softHyphen/>
        <w:t>lerie byl</w:t>
      </w:r>
      <w:r>
        <w:t>a zpravidla prázdná, protože novinky se opatřovaly jinde, nikoli na galerii. Také vláda do parlamentu nechodila, přišla-li, byla to krajní nutnost, nikoli událost, zpravidla za vládu sem býval koman</w:t>
      </w:r>
      <w:r>
        <w:softHyphen/>
        <w:t>dován na stráž vždy jeden ministr, ale ani ten tu ne</w:t>
      </w:r>
      <w:r>
        <w:softHyphen/>
        <w:t>býva</w:t>
      </w:r>
      <w:r>
        <w:t>l.</w:t>
      </w:r>
    </w:p>
    <w:p w:rsidR="00500724" w:rsidRDefault="00F30FB8">
      <w:pPr>
        <w:pStyle w:val="Zkladntext20"/>
        <w:shd w:val="clear" w:color="auto" w:fill="auto"/>
        <w:spacing w:line="204" w:lineRule="auto"/>
      </w:pPr>
      <w:r>
        <w:t>Z toho všeho vznikly poznámky, že poslanci jsou ve vykonávání své funkce nedbalí a že náš parlament nemá skoro žádných schopných řečníků.</w:t>
      </w:r>
    </w:p>
    <w:p w:rsidR="00500724" w:rsidRDefault="00F30FB8">
      <w:pPr>
        <w:pStyle w:val="Zkladntext20"/>
        <w:shd w:val="clear" w:color="auto" w:fill="auto"/>
        <w:spacing w:line="206" w:lineRule="auto"/>
      </w:pPr>
      <w:r>
        <w:t xml:space="preserve">Nebylo jich opravdu? Kdo umíte velmi dobře mluvit na veřejném shromáždění, představte si, že budete postaven před </w:t>
      </w:r>
      <w:r>
        <w:t>prázdné lavice. Že v těch lavi</w:t>
      </w:r>
      <w:r>
        <w:softHyphen/>
        <w:t>cích bude jen nejnutnější počet vašich klubovních přátel, pracně sehnaných sekretariátem klubu, který v době zasedání nic jiného téměř nedělal, než volal telefonicky na všechny strany po členech klubu, aby se dostavili nebo a</w:t>
      </w:r>
      <w:r>
        <w:t>spoň omluvili. Ti vaši přátelé v la</w:t>
      </w:r>
      <w:r>
        <w:softHyphen/>
        <w:t>vicích vyřizují si za vaší řeči korespondenci, nebo si něco šuškají ne právě tiše, a smějí se nebo vás vy</w:t>
      </w:r>
      <w:r>
        <w:softHyphen/>
        <w:t>rušují pokřikováním a právě uprostřed oné partie vaší řeči, na které jste si zakládal, vyvolají z dlouhé chvíle ho</w:t>
      </w:r>
      <w:r>
        <w:t>dně hlučnou hádku s náhodou přítomným komunistou, německým poslancem nebo ludáky, kte</w:t>
      </w:r>
      <w:r>
        <w:softHyphen/>
        <w:t>rá se pak v ojedinělém doznívání táhne až do konce vaší řeči. Druhého dne se octne vaše řeč jen v novi</w:t>
      </w:r>
      <w:r>
        <w:softHyphen/>
        <w:t>nách vaší strany, noviny ostatních stran ani muk, protože mají málo</w:t>
      </w:r>
      <w:r>
        <w:t xml:space="preserve"> místa i pro řeči vlastních poslan</w:t>
      </w:r>
      <w:r>
        <w:softHyphen/>
        <w:t xml:space="preserve">ců a tak se dohromady nikdo nedoví, že jste mluvil, nehledě ani k tomu, že jste se svědomitě po několik dnů připravoval. V takovém prostředí nevyrůstali parlamentní řečníci, ač si dovoluji tvrdit, že mezi našimi poslanci </w:t>
      </w:r>
      <w:r>
        <w:t>bylo mnoho velmi dobrých, ba strhu</w:t>
      </w:r>
      <w:r>
        <w:softHyphen/>
        <w:t>jících řečníků, jakož vůbec my Češi máme talent k řečnění — ne pathetickému jako ve Francii, ne baroknímu, jak v Maďarsku, ne okrasnému, jako v Polsku, ne s vojenským komandujícím přídechem, jako v Německu — ale k věcnému</w:t>
      </w:r>
      <w:r>
        <w:t>, prostému a upřím</w:t>
      </w:r>
      <w:r>
        <w:softHyphen/>
        <w:t>ně přesvědčujícímu výkladu, odpovídajicímu povaze našeho lidu.</w:t>
      </w:r>
    </w:p>
    <w:p w:rsidR="00500724" w:rsidRDefault="00F30FB8">
      <w:pPr>
        <w:pStyle w:val="Zkladntext20"/>
        <w:shd w:val="clear" w:color="auto" w:fill="auto"/>
        <w:spacing w:after="40" w:line="204" w:lineRule="auto"/>
        <w:ind w:firstLine="0"/>
        <w:jc w:val="center"/>
      </w:pPr>
      <w:r>
        <w:t>•</w:t>
      </w:r>
    </w:p>
    <w:p w:rsidR="00500724" w:rsidRDefault="00F30FB8">
      <w:pPr>
        <w:pStyle w:val="Zkladntext20"/>
        <w:shd w:val="clear" w:color="auto" w:fill="auto"/>
        <w:spacing w:after="40" w:line="202" w:lineRule="auto"/>
      </w:pPr>
      <w:r>
        <w:t>Jak to mohu tvrdit?</w:t>
      </w:r>
    </w:p>
    <w:p w:rsidR="00500724" w:rsidRDefault="00F30FB8">
      <w:pPr>
        <w:pStyle w:val="Zkladntext20"/>
        <w:shd w:val="clear" w:color="auto" w:fill="auto"/>
        <w:spacing w:after="40" w:line="202" w:lineRule="auto"/>
      </w:pPr>
      <w:r>
        <w:t>Našim novinářům — a ti hlavně šířili řeči o úpad</w:t>
      </w:r>
      <w:r>
        <w:softHyphen/>
        <w:t xml:space="preserve">ku umění řečnického u nás — unikala zcela jedna velmi důležitá složka našeho veřejného života. Byly to </w:t>
      </w:r>
      <w:r>
        <w:t>lidové tábory a schůze veřejné i organisační, poli</w:t>
      </w:r>
      <w:r>
        <w:softHyphen/>
        <w:t>tické, odborové i družstevní, byly to projevy poslanců na slavnostech kulturních a tělovýchovných, byly to i v Praze ty bezpočetné' organisační »plenárky« ve všech částech města, v malých sousedských hospů</w:t>
      </w:r>
      <w:r>
        <w:t>dkách, byly to schůze na vesnicích, konané v zakouřených šenkovnách, kde třetina posluchačů čekala na konec řečí, aby pokračovala v přerušeném maryáši. Byly to zejména ony schůze v městech i na venkově, kde se sváděly prudké řečnické půtky mezi stoupenci r</w:t>
      </w:r>
      <w:r>
        <w:t>ůzných stran, kde byly na př. vybojová</w:t>
      </w:r>
      <w:r>
        <w:softHyphen/>
        <w:t>ny tisíce a tisíce bojů proti t. zv. komunistům a kde byl vysvětlován po většině přátelskou formou — a to si právě posluchači přáli — vzájemný poměr koalič</w:t>
      </w:r>
      <w:r>
        <w:softHyphen/>
        <w:t>ních stran, co je dělí a co je pojí ve společné práci. Byl js</w:t>
      </w:r>
      <w:r>
        <w:t>em jedním z pilných poslanců na tomto poli, a jsou to mé nejmilejší vzpomínky z doby poslanecké. Je to práce, která vyžaduje železného zdraví, o ner</w:t>
      </w:r>
      <w:r>
        <w:softHyphen/>
        <w:t>vech ani nemluvě a při níž musíte být připraven ná zkoušky všeho druhu, při nichž můžete používat automobil</w:t>
      </w:r>
      <w:r>
        <w:t>u, nejste-li tak šťasten, že pár hodin chůze v letním či zimním nečase je ještě to nejmenší. Ještě vzpomenu poslance, který musel ve volební kampani dva dny před volbami odjet na schůzi od lože umí</w:t>
      </w:r>
      <w:r>
        <w:softHyphen/>
        <w:t>rajícího otce, aby se potýkal s negramotným dema</w:t>
      </w:r>
      <w:r>
        <w:softHyphen/>
        <w:t>gogem, kt</w:t>
      </w:r>
      <w:r>
        <w:t>erý v roce 1920 dokazoval, že vláda dělá inflaci. Na doklad, že »se tiskne«, ukazoval z brusu novou malou státovku, kterou prý po celé volby vozil s sebou.</w:t>
      </w:r>
    </w:p>
    <w:p w:rsidR="00500724" w:rsidRDefault="00F30FB8">
      <w:pPr>
        <w:pStyle w:val="Zkladntext20"/>
        <w:shd w:val="clear" w:color="auto" w:fill="auto"/>
        <w:spacing w:line="197" w:lineRule="auto"/>
      </w:pPr>
      <w:r>
        <w:t>Tato schůzová činnost, neznámá v širší veřejnosti, zvláště pražské, měla také ten výsledek, že svědo</w:t>
      </w:r>
      <w:r>
        <w:t>mi</w:t>
      </w:r>
      <w:r>
        <w:softHyphen/>
        <w:t xml:space="preserve">tý bývalý poslanec nevěděl, co je </w:t>
      </w:r>
      <w:r>
        <w:rPr>
          <w:lang w:val="en-US" w:eastAsia="en-US" w:bidi="en-US"/>
        </w:rPr>
        <w:t xml:space="preserve">to weekend, </w:t>
      </w:r>
      <w:r>
        <w:t xml:space="preserve">protože </w:t>
      </w:r>
      <w:r>
        <w:rPr>
          <w:b/>
          <w:bCs/>
          <w:sz w:val="26"/>
          <w:szCs w:val="26"/>
        </w:rPr>
        <w:t xml:space="preserve">z </w:t>
      </w:r>
      <w:r>
        <w:t>jara bývala nejhorlivější schůzová propaganda na venkově, v létě byly neděli co neděli velké okresní či krajské slavnosti všech možných organisačních slo</w:t>
      </w:r>
      <w:r>
        <w:softHyphen/>
        <w:t>žek, na podzim byly schůze hlavně v městech</w:t>
      </w:r>
      <w:r>
        <w:t xml:space="preserve"> a v zimě mrzl se svými stoupenci někde v nevytopeném sále, místo lyžování. Tady všude byste byli našli naše dobré řečníky, kteří třeba v parlamentě vázli v řeči nebo předčítali řeč z napsaného konceptu. Myslím, že tato činnost schůzová byla nejobětavější </w:t>
      </w:r>
      <w:r>
        <w:t>částí práce svědomitého poslance, apoštolováním v pra</w:t>
      </w:r>
      <w:r>
        <w:softHyphen/>
        <w:t xml:space="preserve">vém slova smyslu, přicházel-li k voličům své i jiných stran bez popouzení či dokonce štvaní, ale v úmyslu, dát lidu lekci z politické školy a urovnávat i v lidu cestu k té spolupráci, k níž přistoupily </w:t>
      </w:r>
      <w:r>
        <w:t>strany ve svých centrálách. To byla jistě dobrá příprava pro dny, které nám nadešly.</w:t>
      </w:r>
    </w:p>
    <w:p w:rsidR="00500724" w:rsidRDefault="00F30FB8">
      <w:pPr>
        <w:pStyle w:val="Zkladntext20"/>
        <w:shd w:val="clear" w:color="auto" w:fill="auto"/>
        <w:spacing w:after="100" w:line="209" w:lineRule="auto"/>
        <w:ind w:firstLine="0"/>
        <w:jc w:val="center"/>
      </w:pPr>
      <w:r>
        <w:t>•</w:t>
      </w:r>
    </w:p>
    <w:p w:rsidR="00500724" w:rsidRDefault="00F30FB8">
      <w:pPr>
        <w:pStyle w:val="Zkladntext20"/>
        <w:shd w:val="clear" w:color="auto" w:fill="auto"/>
        <w:spacing w:line="202" w:lineRule="auto"/>
      </w:pPr>
      <w:r>
        <w:t>Jednou se loučil u nás s politickým životem ministr a poslanec, který se rozešel se svou stranou. Ten na</w:t>
      </w:r>
      <w:r>
        <w:softHyphen/>
        <w:t>psal upřímně, že odchodu z politického života a ná</w:t>
      </w:r>
      <w:r>
        <w:softHyphen/>
        <w:t>vratu k svému</w:t>
      </w:r>
      <w:r>
        <w:t xml:space="preserve"> povolání nelituje, že nikdy nežil život tak šedivý, jako když stál na výši politické kariéry. Ten snad myslil jen z malé části na ono apoštolování, spíše měl na mysli tu morovou ránu poslanecké a ministerské činnosti, které se říká intervence. Svědo</w:t>
      </w:r>
      <w:r>
        <w:softHyphen/>
        <w:t xml:space="preserve">mití </w:t>
      </w:r>
      <w:r>
        <w:t>poslanci, kteří chtěli přerůzným přáním svých voličů vyhovět — od opatřování míst a ženichů či nevěst až po ručení za směnky a kupování látek na šaty — nedostali se vlastně k žádné práci. Ministři vážili takovou korespondenci na metráky. Poslanci dopoledne</w:t>
      </w:r>
      <w:r>
        <w:t xml:space="preserve"> proběhali po úřadech a proseděli u telefo</w:t>
      </w:r>
      <w:r>
        <w:softHyphen/>
        <w:t>nu, odpoledne věnovali korespondenci, večer měli schůze. Na ulicích se jim vedlo jako veřejnému po- sluhovi, každé chvíle je někdo zastavil a žádal si či dokonce poroučel to či ono, v kavárně a v hostinci nejinak,</w:t>
      </w:r>
      <w:r>
        <w:t xml:space="preserve"> ani v bytě nebylo chvíle klidu, na letním bytě už ráno v sedm hodin stály deputace u bydliště poslancova, aby jim neunikl, a když všechno vyřídil a vyšel na procházku, bylo pokračování. Na koupa</w:t>
      </w:r>
      <w:r>
        <w:softHyphen/>
        <w:t>lišti musel ovšem lidem, kteří se na sluníčku nudili, několi</w:t>
      </w:r>
      <w:r>
        <w:t>krát vyložit politickou situaci. Tomu se říkalo demokracie.</w:t>
      </w:r>
    </w:p>
    <w:p w:rsidR="00500724" w:rsidRDefault="00F30FB8">
      <w:pPr>
        <w:pStyle w:val="Zkladntext20"/>
        <w:shd w:val="clear" w:color="auto" w:fill="auto"/>
        <w:spacing w:after="100" w:line="202" w:lineRule="auto"/>
        <w:ind w:firstLine="0"/>
        <w:jc w:val="center"/>
      </w:pPr>
      <w:r>
        <w:t>•</w:t>
      </w:r>
    </w:p>
    <w:p w:rsidR="00500724" w:rsidRDefault="00F30FB8">
      <w:pPr>
        <w:pStyle w:val="Zkladntext20"/>
        <w:shd w:val="clear" w:color="auto" w:fill="auto"/>
        <w:spacing w:after="40" w:line="202" w:lineRule="auto"/>
      </w:pPr>
      <w:r>
        <w:t>Úpadek našeho parlamentarismu postupoval od jeho vzniku stále rychlejším tempem. Jeho život byl od počátku, již od převratu, zmechanisován. Snad to muselo být. Pak se objevovaly známky úpadku pa</w:t>
      </w:r>
      <w:r>
        <w:t>rla</w:t>
      </w:r>
      <w:r>
        <w:softHyphen/>
        <w:t>mentarismu v jiných zemích, a u nás byla jeho obra</w:t>
      </w:r>
      <w:r>
        <w:softHyphen/>
        <w:t>na slabá. Na konec už jen živořil. Úřednický a zříze- necký personál sněmovny byl od počátku vypůjčen z různých ministerstev a úřadů, a když se před málo lety jednalo o převedení těchto služebníků parl</w:t>
      </w:r>
      <w:r>
        <w:t>amen</w:t>
      </w:r>
      <w:r>
        <w:softHyphen/>
        <w:t xml:space="preserve">tu, do vlastního statutu, nestáli o to s poukazem, kdož ví, jak to také u nás s parlamentarismem jednou skončí. Nebudu zkoumat ani líčit, kdo byl klesáním vážnosti našeho parlamentu vinen, řeknu jen, že do veliké míry to byli sami poslanci, nejen ti, </w:t>
      </w:r>
      <w:r>
        <w:t>kteří za historických událostí se rozloučili s Prahou, ale i ti, kteří zůstali a kteří z veliké části už dávno šilhali po něčem jiné, buď pravým nebo levým okem.</w:t>
      </w:r>
    </w:p>
    <w:p w:rsidR="00500724" w:rsidRDefault="00F30FB8">
      <w:pPr>
        <w:pStyle w:val="Zkladntext20"/>
        <w:shd w:val="clear" w:color="auto" w:fill="auto"/>
        <w:spacing w:after="340" w:line="206" w:lineRule="auto"/>
      </w:pPr>
      <w:r>
        <w:t xml:space="preserve">Při tom všem však měl náš parlamentarismus své veliké přednosti. Mluvilo se mnoho o korupci v </w:t>
      </w:r>
      <w:r>
        <w:t>řa</w:t>
      </w:r>
      <w:r>
        <w:softHyphen/>
        <w:t>dách jeho členů. Snad byla, ale nikdy nevystoupila tak nestoudně, jako je tomu v mnohých jiných stá</w:t>
      </w:r>
      <w:r>
        <w:softHyphen/>
        <w:t>tech parlamentárních. My jsmeneměli nikdy štěstí na veliké finanční dobrodruhy světového formátu s po</w:t>
      </w:r>
      <w:r>
        <w:softHyphen/>
        <w:t>divnými zahraničními styky, jak je tomu pravidlem '</w:t>
      </w:r>
      <w:r>
        <w:t xml:space="preserve"> jinde. Vyčítaly se poslancům platy, z nichž jim zbý</w:t>
      </w:r>
      <w:r>
        <w:softHyphen/>
        <w:t>valo méně, než vydělá na zpropitném číšník velké kavárny, vyčítala se ministrům auta, která jen umož</w:t>
      </w:r>
      <w:r>
        <w:softHyphen/>
        <w:t>ňovala ještě větší stupňování a kořistění jejich výkon</w:t>
      </w:r>
      <w:r>
        <w:softHyphen/>
        <w:t>nosti. Co do pracovitosti legislativní, iniciat</w:t>
      </w:r>
      <w:r>
        <w:t>ivy v po</w:t>
      </w:r>
      <w:r>
        <w:softHyphen/>
        <w:t>dávání osnov zákonů i v kritice a pozměňovacích návrhů k osnovám vládním nemohl si nikdo spravedli</w:t>
      </w:r>
      <w:r>
        <w:softHyphen/>
        <w:t>vý na bývalé poslance naříkat.</w:t>
      </w:r>
    </w:p>
    <w:p w:rsidR="00500724" w:rsidRDefault="00F30FB8">
      <w:pPr>
        <w:pStyle w:val="Zkladntext20"/>
        <w:shd w:val="clear" w:color="auto" w:fill="auto"/>
        <w:spacing w:after="160" w:line="202" w:lineRule="auto"/>
      </w:pPr>
      <w:r>
        <w:t>Pokud jsem mohl zjistit, velká většina našich poslanců se klidně vrátila ke svému vlastnímu povo</w:t>
      </w:r>
      <w:r>
        <w:softHyphen/>
        <w:t xml:space="preserve">lání a všichni jsou </w:t>
      </w:r>
      <w:r>
        <w:t>naplněni aspoň tím šťastným vě</w:t>
      </w:r>
      <w:r>
        <w:softHyphen/>
        <w:t>domím, že svou věc konali co nejlépe mohli. Byli to lidé, kteří prošli hustým sítem výběru kandidátů a volebními kampaněmi, kde stál muž proti muži, křivdilo se jim, odvozoval-li se jejich poslanecký původ jen od vázaných kan</w:t>
      </w:r>
      <w:r>
        <w:t>didátních listin. Sám jsem čtyřikrát kandidoval, nikdy jsem se nestaral, budu-li kandidován opětně, úmyslně jt-ám nechodil na roz</w:t>
      </w:r>
      <w:r>
        <w:softHyphen/>
        <w:t>hodující schůze volebního kraje strany, kde se na</w:t>
      </w:r>
      <w:r>
        <w:softHyphen/>
        <w:t>vrhovali kandidáti. A takových bylo více. (Ty žaloby na vázané kandidátní li</w:t>
      </w:r>
      <w:r>
        <w:t>stiny jsou dnes překonaným směšným anachronismem, směšným v nových po</w:t>
      </w:r>
      <w:r>
        <w:softHyphen/>
        <w:t>měrech.) Opakuji, že v našem politickém propadlišti není zloby, naopak, všichni snad bychom přáli těm, kteří přišli a ještě přijdou po nás, aby jejich dílo bylo provázeno zdarem. Mají úl</w:t>
      </w:r>
      <w:r>
        <w:t>ohu nepoměrně těžší a od</w:t>
      </w:r>
      <w:r>
        <w:softHyphen/>
        <w:t>povědnější.</w:t>
      </w:r>
    </w:p>
    <w:p w:rsidR="00500724" w:rsidRDefault="00F30FB8">
      <w:pPr>
        <w:pStyle w:val="Zkladntext20"/>
        <w:shd w:val="clear" w:color="auto" w:fill="auto"/>
        <w:spacing w:line="264" w:lineRule="auto"/>
        <w:ind w:firstLine="0"/>
        <w:jc w:val="left"/>
        <w:rPr>
          <w:sz w:val="20"/>
          <w:szCs w:val="20"/>
        </w:rPr>
      </w:pPr>
      <w:r>
        <w:rPr>
          <w:rFonts w:ascii="Arial" w:eastAsia="Arial" w:hAnsi="Arial" w:cs="Arial"/>
          <w:sz w:val="17"/>
          <w:szCs w:val="17"/>
        </w:rPr>
        <w:t xml:space="preserve">F. </w:t>
      </w:r>
      <w:r>
        <w:rPr>
          <w:i/>
          <w:iCs/>
          <w:sz w:val="20"/>
          <w:szCs w:val="20"/>
        </w:rPr>
        <w:t>S trna d:</w:t>
      </w:r>
    </w:p>
    <w:p w:rsidR="00500724" w:rsidRDefault="00F30FB8">
      <w:pPr>
        <w:pStyle w:val="Nadpis100"/>
        <w:shd w:val="clear" w:color="auto" w:fill="auto"/>
        <w:spacing w:after="60" w:line="240" w:lineRule="auto"/>
      </w:pPr>
      <w:bookmarkStart w:id="730" w:name="bookmark729"/>
      <w:r>
        <w:t>Od Mukdenu do Tiencinu</w:t>
      </w:r>
      <w:bookmarkEnd w:id="730"/>
    </w:p>
    <w:p w:rsidR="00500724" w:rsidRDefault="00F30FB8">
      <w:pPr>
        <w:pStyle w:val="Zkladntext20"/>
        <w:shd w:val="clear" w:color="auto" w:fill="auto"/>
        <w:spacing w:line="204" w:lineRule="auto"/>
      </w:pPr>
      <w:r>
        <w:t>Dne 7 července 1937 strhla se na Marko-Polově mostě v Pekingu šarvátka mezi čínskými a japonský</w:t>
      </w:r>
      <w:r>
        <w:softHyphen/>
        <w:t>mi vojáky. Toho dne začala na Dálném východě vál</w:t>
      </w:r>
      <w:r>
        <w:softHyphen/>
        <w:t>ka, jedna z nejkrvavějších válek na sv</w:t>
      </w:r>
      <w:r>
        <w:t>ětě a zároveň nejpodivnější válka: Nebyla totiž nikdy vypověděna a pro oficiální diplomacii ani neexistuje. Oficiální diplomaty různých zahraničních ministerstev nepře</w:t>
      </w:r>
      <w:r>
        <w:softHyphen/>
        <w:t xml:space="preserve">svědčily o její existenci ani miliony lidských obětí, ani zpustošený kraj, veliký téměř </w:t>
      </w:r>
      <w:r>
        <w:t>jako celá Evropa.</w:t>
      </w:r>
    </w:p>
    <w:p w:rsidR="00500724" w:rsidRDefault="00F30FB8">
      <w:pPr>
        <w:pStyle w:val="Zkladntext20"/>
        <w:shd w:val="clear" w:color="auto" w:fill="auto"/>
        <w:spacing w:line="204" w:lineRule="auto"/>
      </w:pPr>
      <w:r>
        <w:t xml:space="preserve">Od roku 1912 od pádu mandžuské dynastie byla obrovská říše s obyvatelstvem čítajícím přes čtyři sta milionů zmítána prudkou občanskou válkou. Tato občanská válka nebyla příliš nevhod velmocem, pro něž Čína byla po celá desetiletí úžasným </w:t>
      </w:r>
      <w:r>
        <w:t>odbytištěm a zdrojem nesmírných zisků. Občanská válka sice zmenšila některé vývozní a dovozní položky, ale za to umožnila velké dodávky zbraní rivalisujícím generá</w:t>
      </w:r>
      <w:r>
        <w:softHyphen/>
        <w:t>lům a hlavně činila z velké země vhodné pole působ</w:t>
      </w:r>
      <w:r>
        <w:softHyphen/>
        <w:t xml:space="preserve">nosti pro boj různých zájmů jednotlivých </w:t>
      </w:r>
      <w:r>
        <w:t>impe</w:t>
      </w:r>
      <w:r>
        <w:softHyphen/>
        <w:t>rialismů. Schopní diplomatičtí rybáři dovedli do čín</w:t>
      </w:r>
      <w:r>
        <w:softHyphen/>
        <w:t>ského chaosu nejednou vhodit udici a vylovit tučný úlovek ve formě upevnění vlivu exteritoriálních práv koncesí, dodávek a podobně.</w:t>
      </w:r>
    </w:p>
    <w:p w:rsidR="00500724" w:rsidRDefault="00F30FB8">
      <w:pPr>
        <w:pStyle w:val="Zkladntext20"/>
        <w:shd w:val="clear" w:color="auto" w:fill="auto"/>
        <w:tabs>
          <w:tab w:val="left" w:pos="4258"/>
        </w:tabs>
        <w:spacing w:after="120" w:line="204" w:lineRule="auto"/>
      </w:pPr>
      <w:r>
        <w:t>Ale z této občanské války začal se krystalisovat činitel, v Číně d</w:t>
      </w:r>
      <w:r>
        <w:t>osud neznámý: Čínský nacionalismus. Čím více bylo v zemi svářících se a nabízejících se generálů, čím více se upevňoval vliv cizinců, tím více se začala probouzet země sama, tím méně byl netečný čínský sedlák ochoten snášet loupeživé armády a tím více se s</w:t>
      </w:r>
      <w:r>
        <w:t>tavěla čínská inteligence v čelo národního odboje.</w:t>
      </w:r>
      <w:r>
        <w:tab/>
        <w:t>'</w:t>
      </w:r>
    </w:p>
    <w:p w:rsidR="00500724" w:rsidRDefault="00F30FB8">
      <w:pPr>
        <w:pStyle w:val="Zkladntext20"/>
        <w:shd w:val="clear" w:color="auto" w:fill="auto"/>
        <w:spacing w:after="40" w:line="223" w:lineRule="auto"/>
      </w:pPr>
      <w:r>
        <w:t>Když se roku 1927 takový činitel vykrystalisoval v jihočínské armádě, která začala pochodovat z Kan</w:t>
      </w:r>
      <w:r>
        <w:softHyphen/>
        <w:t xml:space="preserve">tonu na sever, cítila se nejvíce ohrožena Anglie, která ze všech ostatních velmocí měla tehdy největší </w:t>
      </w:r>
      <w:r>
        <w:t>zájem na tom, aby Čína zůstala rozervána. Nebyl to pouze strach, že sjednocená a obrozená Čína může zrušit exteritoriální práva Angličanů a podvázat jejich ob</w:t>
      </w:r>
      <w:r>
        <w:softHyphen/>
        <w:t>chod. Hlavní byla okolnost, že jihočínskou armádu podporovalo Rusko, že v Čankajšekově štábu sedě</w:t>
      </w:r>
      <w:r>
        <w:t>li ruští poradci, že čínský nacionalismus úzce spolu</w:t>
      </w:r>
      <w:r>
        <w:softHyphen/>
        <w:t xml:space="preserve">pracoval s komunismem a Anglie se právem mohla obávat, že její neúspěch v Čině bude pro ni znamenat nejen vyklizení čínské polokolonie, nýbrž souběžně těžké svízele v ostatním koloniálním panství Anglie </w:t>
      </w:r>
      <w:r>
        <w:t>— v Asii a především v Indii. A toho se konservativní Anglie bála — a bojí se i dnes — nejvíc ze všeho na světě.</w:t>
      </w:r>
    </w:p>
    <w:p w:rsidR="00500724" w:rsidRDefault="00F30FB8">
      <w:pPr>
        <w:pStyle w:val="Zkladntext20"/>
        <w:shd w:val="clear" w:color="auto" w:fill="auto"/>
        <w:spacing w:after="40" w:line="202" w:lineRule="auto"/>
      </w:pPr>
      <w:r>
        <w:t>Tehdy bylo Japonsko anglickým spojencem. Vůbec to byla Anglie, která ze všech nejvíce pomohla Japon</w:t>
      </w:r>
      <w:r>
        <w:softHyphen/>
        <w:t>sku přeměnit se ze zaostalé feudální monarc</w:t>
      </w:r>
      <w:r>
        <w:t>hie v mo</w:t>
      </w:r>
      <w:r>
        <w:softHyphen/>
        <w:t>derní vyvinutý průmyslový stát. Bez anglické pomoci sotva by bylo Japonsko tak hladce zvítězilo nad Rus</w:t>
      </w:r>
      <w:r>
        <w:softHyphen/>
        <w:t>kem roku 1905. Anglie potřebovala Japonsko s počát</w:t>
      </w:r>
      <w:r>
        <w:softHyphen/>
        <w:t>ku proti ruskému carismu, později proti ruskému bol- ševismu a v poválečných letech také tro</w:t>
      </w:r>
      <w:r>
        <w:t>chu proti Americe, která rovněž objevila své zájmy na Dálném východě. Japonsko bylo nejvěrnějším spojencem Anglie — angličtí toryové tehdy netušili, že se tento spojenec promění jednou v nepřítele.</w:t>
      </w:r>
    </w:p>
    <w:p w:rsidR="00500724" w:rsidRDefault="00F30FB8">
      <w:pPr>
        <w:pStyle w:val="Zkladntext20"/>
        <w:shd w:val="clear" w:color="auto" w:fill="auto"/>
        <w:spacing w:after="80" w:line="202" w:lineRule="auto"/>
        <w:ind w:firstLine="0"/>
        <w:jc w:val="center"/>
      </w:pPr>
      <w:r>
        <w:t>•</w:t>
      </w:r>
    </w:p>
    <w:p w:rsidR="00500724" w:rsidRDefault="00F30FB8">
      <w:pPr>
        <w:pStyle w:val="Zkladntext20"/>
        <w:shd w:val="clear" w:color="auto" w:fill="auto"/>
        <w:spacing w:after="40" w:line="202" w:lineRule="auto"/>
      </w:pPr>
      <w:r>
        <w:t xml:space="preserve">Když Japonsko obsadilo Mandžusko, bylo to Anglii docela </w:t>
      </w:r>
      <w:r>
        <w:t>vhod. Tehdy byla ještě Společnost národů v obecné úctě, jejími členy bylo Japonsko i Němec</w:t>
      </w:r>
      <w:r>
        <w:softHyphen/>
        <w:t>ko — tehdy Německo Stresemannovo. Čína — rovněž člen Společnosti národů, žádala Společnost o zákrok. Podle stanov měla na pomoc Společnosti národů všechny nároky. Am</w:t>
      </w:r>
      <w:r>
        <w:t>erika, která měla s Japonskem staré nevyřízené účty, dávala najevo, že zakročí-Ii v tomto případě Společnost a Číně pomůže, bude to mít velmi příznivý vliv na americkou náklonnost ke Spo</w:t>
      </w:r>
      <w:r>
        <w:softHyphen/>
        <w:t>lečnosti. Optimisté a stoupenci Společnosti se už těšili, že se takto</w:t>
      </w:r>
      <w:r>
        <w:t xml:space="preserve"> podaří vrátit Ameriku do Ženevy. Ale Anglie udávala v Ženevě tón. A Anglii nebylo nijak nevhod zřízení Mandžuska, nezávislého na čině, neboť Mandžusko pod japonským vlivem znamenalo hluboký klín, vražený do společného čínsko-ruského pohraničí a v Mandžusk</w:t>
      </w:r>
      <w:r>
        <w:t>u samém Anglie žádné zájmy neměla. Mohla proto svému spojenci všelicos popřát.</w:t>
      </w:r>
    </w:p>
    <w:p w:rsidR="00500724" w:rsidRDefault="00F30FB8">
      <w:pPr>
        <w:pStyle w:val="Zkladntext20"/>
        <w:shd w:val="clear" w:color="auto" w:fill="auto"/>
        <w:spacing w:after="40" w:line="202" w:lineRule="auto"/>
      </w:pPr>
      <w:r>
        <w:t>A proto se Společnost nijak nemohla dohodnout na otázce, zda je přítomnost japonské armády v Mukde- nu a v Charbinu útočným a válečným činem, namíře</w:t>
      </w:r>
      <w:r>
        <w:softHyphen/>
        <w:t>ným proti čínskému státu. Kd</w:t>
      </w:r>
      <w:r>
        <w:t>yž se jednou v jedné resoluci Společnosti vyskytla na japonskou adresu poněkud ostřejší slova, Japonsko ze Společnosti vy</w:t>
      </w:r>
      <w:r>
        <w:softHyphen/>
        <w:t>stoupilo. Na konec se Společnost dohodla, že pošle do Mandžuska studijní komisi, která na místě vyšetří, zda se tam vede válka. Pochop</w:t>
      </w:r>
      <w:r>
        <w:t xml:space="preserve">itelně, že tuto komisi vedl Angličan </w:t>
      </w:r>
      <w:r>
        <w:rPr>
          <w:lang w:val="en-US" w:eastAsia="en-US" w:bidi="en-US"/>
        </w:rPr>
        <w:t xml:space="preserve">lord Lytton. </w:t>
      </w:r>
      <w:r>
        <w:t>Komise odjela, dlouho stu</w:t>
      </w:r>
      <w:r>
        <w:softHyphen/>
        <w:t>dovala — je jasné, že cesta a studium v tak odlehlé zemi, potom návrat a obtížné vypracování zprávy ně</w:t>
      </w:r>
      <w:r>
        <w:softHyphen/>
        <w:t>jakou chvíli trvá. Mezitím bylo Mandžusko obsazeno celé. Ale ani potom nekons</w:t>
      </w:r>
      <w:r>
        <w:t>tatovala Lyttonova komise žádný útočný čin,</w:t>
      </w:r>
    </w:p>
    <w:p w:rsidR="00500724" w:rsidRDefault="00F30FB8">
      <w:pPr>
        <w:pStyle w:val="Zkladntext20"/>
        <w:shd w:val="clear" w:color="auto" w:fill="auto"/>
        <w:spacing w:after="40" w:line="228" w:lineRule="auto"/>
      </w:pPr>
      <w:r>
        <w:t>To byla první rána, po ní následovaly další a každá další znamenala hřebíček do rakve mezinárodního ústavu na březích Ženevského jezera. Tuto ránu vedli angličtí toryové. Nejednou toho potom litovali.</w:t>
      </w:r>
    </w:p>
    <w:p w:rsidR="00500724" w:rsidRDefault="00F30FB8">
      <w:pPr>
        <w:pStyle w:val="Zkladntext20"/>
        <w:shd w:val="clear" w:color="auto" w:fill="auto"/>
        <w:spacing w:after="40" w:line="202" w:lineRule="auto"/>
      </w:pPr>
      <w:r>
        <w:t xml:space="preserve">Nuže, už </w:t>
      </w:r>
      <w:r>
        <w:t>tehdy, roku 1927, když kantonská armáda obsazovala Sanhaj, snažila se Anglie podvázat odboj čínského nacionalismu. Nejlepším prostředkem k tomu bylo vynutit rozchod Kuomintanu s komunisty a tím vyřadit ruský vliv. Tento úkol splnil vrchní velitel kantonské</w:t>
      </w:r>
      <w:r>
        <w:t xml:space="preserve"> armády generál Cankajšek.</w:t>
      </w:r>
    </w:p>
    <w:p w:rsidR="00500724" w:rsidRDefault="00F30FB8">
      <w:pPr>
        <w:pStyle w:val="Zkladntext20"/>
        <w:shd w:val="clear" w:color="auto" w:fill="auto"/>
        <w:spacing w:after="40" w:line="202" w:lineRule="auto"/>
      </w:pPr>
      <w:r>
        <w:t>Cankajšek byl znám jako přítel Japonska. V Japon</w:t>
      </w:r>
      <w:r>
        <w:softHyphen/>
        <w:t>sku studoval a měl výborné styky s japonskými poli</w:t>
      </w:r>
      <w:r>
        <w:softHyphen/>
        <w:t>tiky. Co následovalo je známo. Na krátkou dobu bylo sjednocení Číny zastaveno. Nejen, že generálové po</w:t>
      </w:r>
      <w:r>
        <w:softHyphen/>
        <w:t>kračovali v občanské válce</w:t>
      </w:r>
      <w:r>
        <w:t>, ale k různým navzájem se potírajícím částem Číny přistoupila ještě část nová — oblast čínských sovětů pod vlivem komunistic</w:t>
      </w:r>
      <w:r>
        <w:softHyphen/>
        <w:t>kých partizánů. Vojáci Čankajškovi se dlouhá léta utkávali s komunistickými partizány.</w:t>
      </w:r>
    </w:p>
    <w:p w:rsidR="00500724" w:rsidRDefault="00F30FB8">
      <w:pPr>
        <w:pStyle w:val="Zkladntext20"/>
        <w:shd w:val="clear" w:color="auto" w:fill="auto"/>
        <w:spacing w:after="40" w:line="202" w:lineRule="auto"/>
        <w:ind w:firstLine="0"/>
        <w:jc w:val="center"/>
      </w:pPr>
      <w:r>
        <w:t>•</w:t>
      </w:r>
    </w:p>
    <w:p w:rsidR="00500724" w:rsidRDefault="00F30FB8">
      <w:pPr>
        <w:pStyle w:val="Zkladntext20"/>
        <w:shd w:val="clear" w:color="auto" w:fill="auto"/>
        <w:spacing w:after="40" w:line="202" w:lineRule="auto"/>
      </w:pPr>
      <w:r>
        <w:t>Ale čínský nacionalismus žil dále. S obsa</w:t>
      </w:r>
      <w:r>
        <w:t>zenínť Mandžuska objevil nového nepřítele. Tentokrát nej</w:t>
      </w:r>
      <w:r>
        <w:softHyphen/>
        <w:t>nebezpečnějšího — Japonsko. Neboť Anglie a Ameri</w:t>
      </w:r>
      <w:r>
        <w:softHyphen/>
        <w:t xml:space="preserve">ka, které uchvátily nejlepší části Číny, přály si status </w:t>
      </w:r>
      <w:r>
        <w:rPr>
          <w:lang w:val="en-US" w:eastAsia="en-US" w:bidi="en-US"/>
        </w:rPr>
        <w:t xml:space="preserve">quo, </w:t>
      </w:r>
      <w:r>
        <w:t xml:space="preserve">kdežto nová třetí velmoc — a to velmoc pokrev- něná, asijská — se právě v Číně objevila </w:t>
      </w:r>
      <w:r>
        <w:t>pod zname</w:t>
      </w:r>
      <w:r>
        <w:softHyphen/>
        <w:t xml:space="preserve">ním zrušení </w:t>
      </w:r>
      <w:r>
        <w:rPr>
          <w:lang w:val="en-US" w:eastAsia="en-US" w:bidi="en-US"/>
        </w:rPr>
        <w:t xml:space="preserve">statu quo. </w:t>
      </w:r>
      <w:r>
        <w:t>V Tokiu začala vznikat hesla, která způsobila politikům v Londýně těžké bolení hlavy. Japonsko, které je jednou z nejmladších vel</w:t>
      </w:r>
      <w:r>
        <w:softHyphen/>
        <w:t>mocí, které má velmi málo kolonií, začalo snít o vy* budování velké imperiální říše. V nejprů</w:t>
      </w:r>
      <w:r>
        <w:t>bojnějších' hlavách v Tokiu se zrodily sny o panasijském impériu* o ovládnutí Číny, Indie, Sibiře a konečně i Austrálie. V Tokiu se začaly pořádat panasijské kongresy, jichž se zúčastňují — ó hrůza — i někteří extremní indičtí nacionalisté a na těchto kong</w:t>
      </w:r>
      <w:r>
        <w:t>resech se mluví o Mon- roeově doktríně: Asie Asiatům. Pokud šlo o to, že nejlépe může paralysovat vliv komunistů v Číně Ja</w:t>
      </w:r>
      <w:r>
        <w:softHyphen/>
        <w:t>ponsko, neměla Anglie nic proti japonským výbojům. Horší bylo, když se Japonsko začalo velmi pevně usazovat v Číně, nespokojilo se Ma</w:t>
      </w:r>
      <w:r>
        <w:t>ndžuskem, nýbrž namířilo i na jih na bohatou oblast východní Číny, kde jsou čínské přístavy a kde byla dosud největším pánem Anglie.</w:t>
      </w:r>
    </w:p>
    <w:p w:rsidR="00500724" w:rsidRDefault="00F30FB8">
      <w:pPr>
        <w:pStyle w:val="Zkladntext20"/>
        <w:shd w:val="clear" w:color="auto" w:fill="auto"/>
        <w:spacing w:after="40" w:line="202" w:lineRule="auto"/>
      </w:pPr>
      <w:r>
        <w:t>Jenže ani teď nemínila Anglie sama zasahovat. Je to stará diplomatická zásada spojit se proti nejnebez</w:t>
      </w:r>
      <w:r>
        <w:softHyphen/>
        <w:t>pečnějšímu nepříteli</w:t>
      </w:r>
      <w:r>
        <w:t xml:space="preserve"> třeba i s nepřítelem, který v tom-' to okamžiku není tak nebezpečný. V době, kdy se pro Anglii stávala situace stále nepříznivější i v Evropě a kdy ji v Asii začal ohrožovat bývalý spojenec, od</w:t>
      </w:r>
      <w:r>
        <w:softHyphen/>
        <w:t>hodlala se k tahu na šachovnici. Dříve se spojila s Japonskem</w:t>
      </w:r>
      <w:r>
        <w:t xml:space="preserve"> proti čínskému nacionalismu — protože za tímto nacionalismem stálo Rusko. Nyní Rusko přestalo být tak nebezpečné, už několik let jsou o tom na </w:t>
      </w:r>
      <w:r>
        <w:rPr>
          <w:lang w:val="en-US" w:eastAsia="en-US" w:bidi="en-US"/>
        </w:rPr>
        <w:t xml:space="preserve">Downing </w:t>
      </w:r>
      <w:r>
        <w:t>Streetu pevně přesvědčeni, proto začala Anglie podporovat čínský nacionalismus proti Ja</w:t>
      </w:r>
      <w:r>
        <w:softHyphen/>
        <w:t>ponsku.</w:t>
      </w:r>
    </w:p>
    <w:p w:rsidR="00500724" w:rsidRDefault="00F30FB8">
      <w:pPr>
        <w:pStyle w:val="Zkladntext20"/>
        <w:shd w:val="clear" w:color="auto" w:fill="auto"/>
        <w:spacing w:after="40" w:line="204" w:lineRule="auto"/>
      </w:pPr>
      <w:r>
        <w:t xml:space="preserve">Ovšemže </w:t>
      </w:r>
      <w:r>
        <w:t>zcela nenápadně. Bez smíru mezi Čan- kajškem a čínskými komunisty nemohlo být ani řeči o nějakém vážném odporu proti Japonsku, které z Mandžuska začalo pronikat do severní Číny a ná konec obsadilo i bohatou severní provincii Jehol, těsně hraničící s bývalý</w:t>
      </w:r>
      <w:r>
        <w:t>m hlavním městem Číny Pekingem.</w:t>
      </w:r>
    </w:p>
    <w:p w:rsidR="00500724" w:rsidRDefault="00F30FB8">
      <w:pPr>
        <w:pStyle w:val="Zkladntext20"/>
        <w:shd w:val="clear" w:color="auto" w:fill="auto"/>
        <w:spacing w:line="204" w:lineRule="auto"/>
        <w:ind w:firstLine="260"/>
      </w:pPr>
      <w:r>
        <w:t>Nuže, jakýmsi záhadným způsobem byl Čankajšek unesen důstojníky, kteří zjevně sympatisovali s ko</w:t>
      </w:r>
      <w:r>
        <w:softHyphen/>
        <w:t>munistickými partizány a byl držen v zajetí. A když byl po intervenci své manželky a záhadného austral</w:t>
      </w:r>
      <w:r>
        <w:softHyphen/>
        <w:t xml:space="preserve">ského — tedy anglického </w:t>
      </w:r>
      <w:r>
        <w:t>— vládního poradce a osob</w:t>
      </w:r>
      <w:r>
        <w:softHyphen/>
        <w:t>ního generálova přítele Donalda propuštěn, byla do</w:t>
      </w:r>
      <w:r>
        <w:softHyphen/>
        <w:t>hoda mezi Kuomintanem a komunisty hotovou věcí. Měla v tom prsty politika anglické Inteligence Service. O tom se někdy za padesát let dočteme v nějakých tnemoárech.</w:t>
      </w:r>
    </w:p>
    <w:p w:rsidR="00500724" w:rsidRDefault="00F30FB8">
      <w:pPr>
        <w:pStyle w:val="Zkladntext20"/>
        <w:shd w:val="clear" w:color="auto" w:fill="auto"/>
        <w:spacing w:line="197" w:lineRule="auto"/>
        <w:ind w:firstLine="260"/>
      </w:pPr>
      <w:r>
        <w:t>Teď mělo Japon</w:t>
      </w:r>
      <w:r>
        <w:t xml:space="preserve">sko </w:t>
      </w:r>
      <w:r>
        <w:rPr>
          <w:lang w:val="en-US" w:eastAsia="en-US" w:bidi="en-US"/>
        </w:rPr>
        <w:t xml:space="preserve">casus belli, </w:t>
      </w:r>
      <w:r>
        <w:t xml:space="preserve">nebo spíš </w:t>
      </w:r>
      <w:r>
        <w:rPr>
          <w:lang w:val="en-US" w:eastAsia="en-US" w:bidi="en-US"/>
        </w:rPr>
        <w:t xml:space="preserve">casus </w:t>
      </w:r>
      <w:r>
        <w:rPr>
          <w:b/>
          <w:bCs/>
          <w:sz w:val="26"/>
          <w:szCs w:val="26"/>
        </w:rPr>
        <w:t xml:space="preserve">k </w:t>
      </w:r>
      <w:r>
        <w:t>trestní expedici. Neboť začalo dopravovat do Číny vojsko nikoli aby ji podrobilo, nýbrž aby potíralo ko</w:t>
      </w:r>
      <w:r>
        <w:softHyphen/>
        <w:t>munistické nebezpečí. Čína byla sjednocena, ale dů</w:t>
      </w:r>
      <w:r>
        <w:softHyphen/>
        <w:t>ležitým činitelem tohoto sjednocení byli komunisté.</w:t>
      </w:r>
    </w:p>
    <w:p w:rsidR="00500724" w:rsidRDefault="00F30FB8">
      <w:pPr>
        <w:pStyle w:val="Zkladntext20"/>
        <w:shd w:val="clear" w:color="auto" w:fill="auto"/>
        <w:spacing w:line="204" w:lineRule="auto"/>
        <w:ind w:firstLine="260"/>
      </w:pPr>
      <w:r>
        <w:t>9. srpna byl n</w:t>
      </w:r>
      <w:r>
        <w:t>a letišti Hungjao u Šanhaje záhad</w:t>
      </w:r>
      <w:r>
        <w:softHyphen/>
        <w:t>ným způsobem zavražděn japonský důstojník. Neví se dobře co tam dělal ani jak se vražda udála. Japonsko poslalo do Sanhaje expediční sbor.</w:t>
      </w:r>
    </w:p>
    <w:p w:rsidR="00500724" w:rsidRDefault="00F30FB8">
      <w:pPr>
        <w:pStyle w:val="Zkladntext20"/>
        <w:shd w:val="clear" w:color="auto" w:fill="auto"/>
        <w:spacing w:line="204" w:lineRule="auto"/>
        <w:ind w:firstLine="260"/>
      </w:pPr>
      <w:r>
        <w:t>Tři měsíce trvala bitva o Sanhaj, jedna z nejkrva</w:t>
      </w:r>
      <w:r>
        <w:softHyphen/>
        <w:t>vějších bitev, které znají dějiny</w:t>
      </w:r>
      <w:r>
        <w:t xml:space="preserve"> a hned od začátku ne</w:t>
      </w:r>
      <w:r>
        <w:softHyphen/>
        <w:t>bylo o jejím výsledku pochyb. Proti japonským tan</w:t>
      </w:r>
      <w:r>
        <w:softHyphen/>
        <w:t>kům, letadlům a dělům mohli Číňané postavit pouze vlastní hrdinství. Ale právě v tom byl význam jejich beznadějného odporu. Když po třech měsících byla čínská devatenáctá armáda decimo</w:t>
      </w:r>
      <w:r>
        <w:t>vána a Šanhaj obsa</w:t>
      </w:r>
      <w:r>
        <w:softHyphen/>
        <w:t>zen Japonci, stal se tento zápas velkou vzpruhou čín</w:t>
      </w:r>
      <w:r>
        <w:softHyphen/>
        <w:t>ského nacionalismu. Prodělal svou hrdinskou epopej.</w:t>
      </w:r>
    </w:p>
    <w:p w:rsidR="00500724" w:rsidRDefault="00F30FB8">
      <w:pPr>
        <w:pStyle w:val="Zkladntext20"/>
        <w:shd w:val="clear" w:color="auto" w:fill="auto"/>
        <w:spacing w:line="202" w:lineRule="auto"/>
        <w:ind w:firstLine="260"/>
      </w:pPr>
      <w:r>
        <w:t>Ovšem ani potom nemohli Číňané prokázat nějaký odpor, který by byl vážný. Japonci brzy začali nástu</w:t>
      </w:r>
      <w:r>
        <w:softHyphen/>
        <w:t xml:space="preserve">pem na dvou frontách, ze severu </w:t>
      </w:r>
      <w:r>
        <w:t>i z jihu. Za několik měsíců byla obsazena nejvýznamnější část Číny — bohatá, úrodná, průmyslová východní Čína — se Všemi důležitými přístavy a velkými městy. Čínská Vláda Čankajškova musila prchnout z Nankinu do Hankou a z Hankou do Čungkinu a sám vrchní v</w:t>
      </w:r>
      <w:r>
        <w:t>elitel čínské armády generál Čankajšek jen několikrát zá</w:t>
      </w:r>
      <w:r>
        <w:softHyphen/>
        <w:t xml:space="preserve">zrakem unikl japonským pumám a letadlům. Za dva roky války nevyhráli Číňané ani jednu významnou bitvu. Nepomohly jim ani protržené hráze a záplava oblastí o několika milionech čtverečných kilometrů. </w:t>
      </w:r>
      <w:r>
        <w:t>Celé pobřeží — naposledy Kanton a Svatau — je ob</w:t>
      </w:r>
      <w:r>
        <w:softHyphen/>
        <w:t>sazeno Japonci. Čankajškova Čína nemá dnes ani jediného přístavu, přes který by mohla dostávat zbraně.</w:t>
      </w:r>
    </w:p>
    <w:p w:rsidR="00500724" w:rsidRDefault="00F30FB8">
      <w:pPr>
        <w:pStyle w:val="Zkladntext20"/>
        <w:shd w:val="clear" w:color="auto" w:fill="auto"/>
        <w:spacing w:line="202" w:lineRule="auto"/>
        <w:ind w:firstLine="260"/>
      </w:pPr>
      <w:r>
        <w:t xml:space="preserve">Ale Japonsko válku ještě nevyhrálo, je v situaci, kdy zatím nemůže válku ani prohrát ani vyhrát. Má nad </w:t>
      </w:r>
      <w:r>
        <w:t>Číňany zřejmou převahu, jakmile dochází k ote</w:t>
      </w:r>
      <w:r>
        <w:softHyphen/>
        <w:t>vřenému boji. Ale Čína je obrovská a kdyby Japonsko mohlo poslat na asijskou pevninu všech svých sedm</w:t>
      </w:r>
      <w:r>
        <w:softHyphen/>
        <w:t>desát milionů obyvatel včetně starců, žen a nemluv</w:t>
      </w:r>
      <w:r>
        <w:softHyphen/>
        <w:t>ňat — ani potom by nemělo dost lidí, aby obsadilo Celé úz</w:t>
      </w:r>
      <w:r>
        <w:t>emí Číny.</w:t>
      </w:r>
    </w:p>
    <w:p w:rsidR="00500724" w:rsidRDefault="00F30FB8">
      <w:pPr>
        <w:pStyle w:val="Zkladntext20"/>
        <w:shd w:val="clear" w:color="auto" w:fill="auto"/>
        <w:spacing w:line="194" w:lineRule="auto"/>
        <w:ind w:firstLine="260"/>
      </w:pPr>
      <w:r>
        <w:t xml:space="preserve">Čínský sedlák, mající dříve pudovou nenávist </w:t>
      </w:r>
      <w:r>
        <w:rPr>
          <w:b/>
          <w:bCs/>
          <w:sz w:val="26"/>
          <w:szCs w:val="26"/>
        </w:rPr>
        <w:t xml:space="preserve">k </w:t>
      </w:r>
      <w:r>
        <w:t>jakékoli zbrani, pro nějž vojenské řemeslo bylo totožné s řemeslem loupežníka, velmi se za ta léta pře</w:t>
      </w:r>
      <w:r>
        <w:softHyphen/>
        <w:t>měnil. Naučil se chápat slova jako je vlast, národ a Cizí vetřelci.</w:t>
      </w:r>
    </w:p>
    <w:p w:rsidR="00500724" w:rsidRDefault="00F30FB8">
      <w:pPr>
        <w:pStyle w:val="Zkladntext20"/>
        <w:shd w:val="clear" w:color="auto" w:fill="auto"/>
        <w:spacing w:line="197" w:lineRule="auto"/>
        <w:ind w:firstLine="260"/>
      </w:pPr>
      <w:r>
        <w:t xml:space="preserve">V prvním údobí války čínská </w:t>
      </w:r>
      <w:r>
        <w:t>armáda na ústupu ničila pouze strategické objekty. Ale japonská okupač</w:t>
      </w:r>
      <w:r>
        <w:softHyphen/>
        <w:t>ní armáda dopustila se některých netaktností vůči ci</w:t>
      </w:r>
      <w:r>
        <w:softHyphen/>
        <w:t xml:space="preserve">vilnímu obyvatelstvu. Tak vznikla v Číně partizánšti- </w:t>
      </w:r>
      <w:r>
        <w:rPr>
          <w:b/>
          <w:bCs/>
          <w:sz w:val="26"/>
          <w:szCs w:val="26"/>
        </w:rPr>
        <w:t xml:space="preserve">na, </w:t>
      </w:r>
      <w:r>
        <w:t>které se věnují hlavně komunisté.</w:t>
      </w:r>
    </w:p>
    <w:p w:rsidR="00500724" w:rsidRDefault="00F30FB8">
      <w:pPr>
        <w:pStyle w:val="Zkladntext20"/>
        <w:shd w:val="clear" w:color="auto" w:fill="auto"/>
        <w:spacing w:line="206" w:lineRule="auto"/>
        <w:ind w:firstLine="260"/>
      </w:pPr>
      <w:r>
        <w:t xml:space="preserve">Nedávno stěžoval si mluvčí japonské </w:t>
      </w:r>
      <w:r>
        <w:t>okupační armády v Šanhaji, že už ve vzdálenosti pětadvaceti mil od Šanhaje, tedy v hlubokém zázemí, pohybují s$ čínští partizáni. Na otázku, kde berou zbraně, japon* ský důstojník odpověděl, že jsou v čilém styku se za</w:t>
      </w:r>
      <w:r>
        <w:softHyphen/>
        <w:t>hraničními koncesemi, které je zásobu</w:t>
      </w:r>
      <w:r>
        <w:t>jí.</w:t>
      </w:r>
    </w:p>
    <w:p w:rsidR="00500724" w:rsidRDefault="00F30FB8">
      <w:pPr>
        <w:pStyle w:val="Zkladntext20"/>
        <w:shd w:val="clear" w:color="auto" w:fill="auto"/>
        <w:spacing w:line="202" w:lineRule="auto"/>
        <w:ind w:firstLine="280"/>
      </w:pPr>
      <w:r>
        <w:t>A to je hlavní znak čínské vlády, neboť Japonci,; kteří obsadili třetinu Číny, mohou svou okupační armádou kontrolovat pouze velká města, železnice* silnice a pobřeží velkých řek. Ale už několik mil zač dopravními tepnami vládnou ozbrojení čínští sedlá</w:t>
      </w:r>
      <w:r>
        <w:t>ci* kteří způsobují okupační armádě velké potíže.</w:t>
      </w:r>
    </w:p>
    <w:p w:rsidR="00500724" w:rsidRDefault="00F30FB8">
      <w:pPr>
        <w:pStyle w:val="Zkladntext20"/>
        <w:shd w:val="clear" w:color="auto" w:fill="auto"/>
        <w:spacing w:after="100" w:line="204" w:lineRule="auto"/>
        <w:ind w:left="2460" w:firstLine="20"/>
      </w:pPr>
      <w:r>
        <w:t>•</w:t>
      </w:r>
    </w:p>
    <w:p w:rsidR="00500724" w:rsidRDefault="00F30FB8">
      <w:pPr>
        <w:pStyle w:val="Zkladntext20"/>
        <w:shd w:val="clear" w:color="auto" w:fill="auto"/>
        <w:tabs>
          <w:tab w:val="left" w:pos="4939"/>
        </w:tabs>
        <w:spacing w:line="204" w:lineRule="auto"/>
        <w:ind w:firstLine="280"/>
      </w:pPr>
      <w:r>
        <w:t>V posledním údobí války odhodlali se Číňané k tak* tice, která porazila Napoleona v Rusku. Je jasno, celou Čínu Japonci sotva budou s to obsadit. UsttM pující čínská armáda evakuuje všechno civilní obyvcj</w:t>
      </w:r>
      <w:r>
        <w:t xml:space="preserve">ty telstvo. Ničí silnice, pálí velká města, zahání dobytek. Vítězná armáda obsazuje pouhou poušť. Nemůže s&lt; pohybovat vpřed, dokud nevybuduje nové spoje a né*ř připraví si zázemí. A čím dál na západ, tím více s$ vítězná armáda vzdaluje od svých zásobáren, </w:t>
      </w:r>
      <w:r>
        <w:t>tim víctf ji hrozí nebezpečí, že uvázne v poušti, vyčerpá své síly při zlézání vysokých hor.</w:t>
      </w:r>
      <w:r>
        <w:tab/>
      </w:r>
      <w:r>
        <w:rPr>
          <w:vertAlign w:val="subscript"/>
        </w:rPr>
        <w:t>t</w:t>
      </w:r>
    </w:p>
    <w:p w:rsidR="00500724" w:rsidRDefault="00F30FB8">
      <w:pPr>
        <w:pStyle w:val="Zkladntext20"/>
        <w:shd w:val="clear" w:color="auto" w:fill="auto"/>
        <w:spacing w:line="202" w:lineRule="auto"/>
        <w:ind w:firstLine="280"/>
      </w:pPr>
      <w:r>
        <w:t>A Čína má čas a má dost prostoru, aby ustupovaly a ustupovala. Jistě že při tom hynou miliony vojáků a také civilistů. Jistě že je v Číně několik milionů! uprchl</w:t>
      </w:r>
      <w:r>
        <w:t>íků a nesčetné množství lidí zahynulo hladem^ epidemiemi, leteckými nálety. Ale co to všechno zna,* mená v zemi, která má sta milionů obyvatel, v zemi*! kde na každou pušku čeká deset kandidátů smrti!</w:t>
      </w:r>
    </w:p>
    <w:p w:rsidR="00500724" w:rsidRDefault="00F30FB8">
      <w:pPr>
        <w:pStyle w:val="Zkladntext20"/>
        <w:shd w:val="clear" w:color="auto" w:fill="auto"/>
        <w:tabs>
          <w:tab w:val="left" w:pos="4939"/>
        </w:tabs>
        <w:spacing w:line="194" w:lineRule="auto"/>
        <w:ind w:firstLine="280"/>
      </w:pPr>
      <w:r>
        <w:t>Když byl Čankajšek odříznut od moře, začal bude* vat si</w:t>
      </w:r>
      <w:r>
        <w:t xml:space="preserve">lnice. Z anglické Burmy a ze Singkiangu, kterů je pod sovětským vlivem, budují miliony kuliů doprav* ní tepny a letiště a Čankajšek může objednával </w:t>
      </w:r>
      <w:r>
        <w:rPr>
          <w:b/>
          <w:bCs/>
          <w:sz w:val="26"/>
          <w:szCs w:val="26"/>
        </w:rPr>
        <w:t xml:space="preserve">v </w:t>
      </w:r>
      <w:r>
        <w:t>Evropě zbraně.</w:t>
      </w:r>
      <w:r>
        <w:tab/>
        <w:t>’</w:t>
      </w:r>
    </w:p>
    <w:p w:rsidR="00500724" w:rsidRDefault="00F30FB8">
      <w:pPr>
        <w:pStyle w:val="Zkladntext20"/>
        <w:shd w:val="clear" w:color="auto" w:fill="auto"/>
        <w:tabs>
          <w:tab w:val="center" w:pos="4022"/>
          <w:tab w:val="right" w:pos="5011"/>
        </w:tabs>
        <w:spacing w:line="202" w:lineRule="auto"/>
        <w:ind w:firstLine="280"/>
      </w:pPr>
      <w:r>
        <w:t xml:space="preserve">Číňané si od této taktiky slibují stejný konec, který stihl Napoleona v Rusku. Ovšem ve </w:t>
      </w:r>
      <w:r>
        <w:t>věku letadel a automobilů. Ale Čankajškovi stačí, když nei mohou Japonci dál. Zřejmě čeká, až Japonsko vykrvácí cí dlouhým válečným napětím. A rovněž čeká, až dostane spojence, kteří budou ochotni</w:t>
      </w:r>
      <w:r>
        <w:tab/>
        <w:t>pomáhat</w:t>
      </w:r>
      <w:r>
        <w:tab/>
        <w:t>vy*</w:t>
      </w:r>
    </w:p>
    <w:p w:rsidR="00500724" w:rsidRDefault="00F30FB8">
      <w:pPr>
        <w:pStyle w:val="Zkladntext20"/>
        <w:shd w:val="clear" w:color="auto" w:fill="auto"/>
        <w:tabs>
          <w:tab w:val="right" w:pos="5011"/>
        </w:tabs>
        <w:spacing w:line="202" w:lineRule="auto"/>
        <w:ind w:firstLine="0"/>
      </w:pPr>
      <w:r>
        <w:t>datněji, než jen zásilkami zbraní.</w:t>
      </w:r>
      <w:r>
        <w:tab/>
        <w:t>J</w:t>
      </w:r>
    </w:p>
    <w:p w:rsidR="00500724" w:rsidRDefault="00F30FB8">
      <w:pPr>
        <w:pStyle w:val="Zkladntext20"/>
        <w:shd w:val="clear" w:color="auto" w:fill="auto"/>
        <w:tabs>
          <w:tab w:val="right" w:pos="5011"/>
        </w:tabs>
        <w:spacing w:line="204" w:lineRule="auto"/>
        <w:ind w:left="2460" w:firstLine="20"/>
      </w:pPr>
      <w:r>
        <w:t>•</w:t>
      </w:r>
      <w:r>
        <w:tab/>
        <w:t>J</w:t>
      </w:r>
    </w:p>
    <w:p w:rsidR="00500724" w:rsidRDefault="00F30FB8">
      <w:pPr>
        <w:pStyle w:val="Zkladntext20"/>
        <w:shd w:val="clear" w:color="auto" w:fill="auto"/>
        <w:tabs>
          <w:tab w:val="center" w:pos="3827"/>
          <w:tab w:val="center" w:pos="4538"/>
        </w:tabs>
        <w:spacing w:line="204" w:lineRule="auto"/>
        <w:ind w:firstLine="280"/>
      </w:pPr>
      <w:r>
        <w:t>Japonci zatím zřídili v okupované</w:t>
      </w:r>
      <w:r>
        <w:tab/>
        <w:t>oblasti</w:t>
      </w:r>
      <w:r>
        <w:tab/>
        <w:t>čínský</w:t>
      </w:r>
    </w:p>
    <w:p w:rsidR="00500724" w:rsidRDefault="00F30FB8">
      <w:pPr>
        <w:pStyle w:val="Zkladntext20"/>
        <w:shd w:val="clear" w:color="auto" w:fill="auto"/>
        <w:tabs>
          <w:tab w:val="left" w:pos="4939"/>
        </w:tabs>
        <w:spacing w:line="204" w:lineRule="auto"/>
        <w:ind w:firstLine="0"/>
      </w:pPr>
      <w:r>
        <w:t>vlády. Nyní jednají o zřízení ústřední vlády a našli k tomu vhodného muže v osobě bývalého Čankajškovy zástupce — Vangčinveje, který se s Čankajškem roze* šel pro jeho spolupráci s komunisty a který je ochot</w:t>
      </w:r>
      <w:r>
        <w:t>eh zahájit protikominternovskou politiku s japonskoq pomocí.</w:t>
      </w:r>
      <w:r>
        <w:tab/>
        <w:t>:•</w:t>
      </w:r>
    </w:p>
    <w:p w:rsidR="00500724" w:rsidRDefault="00F30FB8">
      <w:pPr>
        <w:pStyle w:val="Zkladntext20"/>
        <w:shd w:val="clear" w:color="auto" w:fill="auto"/>
        <w:spacing w:after="40" w:line="202" w:lineRule="auto"/>
        <w:ind w:firstLine="280"/>
      </w:pPr>
      <w:r>
        <w:t xml:space="preserve">Jestliže však dospěla japonská válka </w:t>
      </w:r>
      <w:r>
        <w:rPr>
          <w:b/>
          <w:bCs/>
          <w:sz w:val="26"/>
          <w:szCs w:val="26"/>
        </w:rPr>
        <w:t xml:space="preserve">v </w:t>
      </w:r>
      <w:r>
        <w:t>Číně dfl slepé uličky, jestliže se přeměnila ve válku, kterou je právě tak těžko vyhrát jako prohrát — tu se obrátil japonský výboj zatím jiným směrem. C</w:t>
      </w:r>
      <w:r>
        <w:t>hce-li se Ja* ponsko opravdu upevnit v dobytém území, chce-li zne« možnit podporu — byť i skrovnou — kterou posky* tují západní velmoci Čankajškovi, jednaký z Burny. a Indočíny, jednak z exteritoriálních koncesí, tu musí zasadit ránu svým konkurentům v Asi</w:t>
      </w:r>
      <w:r>
        <w:t>i. Je k tomU vhodná příležitost, neboť hlavní z těchto konkurentů má teď hodně starostí v Evropě a jiných dílech světy a sám se sotva bude moci opřít Japoncům ozbrojenou silou. A je k tomu i velmi vhodná zbraň, zbraň který dosud působila proti Japoncům a k</w:t>
      </w:r>
      <w:r>
        <w:t xml:space="preserve">terou se snad </w:t>
      </w:r>
      <w:r>
        <w:rPr>
          <w:b/>
          <w:bCs/>
          <w:sz w:val="26"/>
          <w:szCs w:val="26"/>
        </w:rPr>
        <w:t xml:space="preserve">s </w:t>
      </w:r>
      <w:r>
        <w:t xml:space="preserve">Vangčinvejovou pomocí podaří využít </w:t>
      </w:r>
      <w:r>
        <w:rPr>
          <w:b/>
          <w:bCs/>
          <w:sz w:val="26"/>
          <w:szCs w:val="26"/>
        </w:rPr>
        <w:t xml:space="preserve">ve </w:t>
      </w:r>
      <w:r>
        <w:t>prospěch japonských cílů v Číně. Touto zbraní je čínský na</w:t>
      </w:r>
      <w:r>
        <w:softHyphen/>
        <w:t xml:space="preserve">cionalismus, anebo alespoň to co Vangčinvej a ti ostatní, kteří se dali do japonských služeb, chápou jako nacionalismus. Čínský nacionalismus </w:t>
      </w:r>
      <w:r>
        <w:t xml:space="preserve">— říkají </w:t>
      </w:r>
      <w:r>
        <w:rPr>
          <w:b/>
          <w:bCs/>
          <w:sz w:val="26"/>
          <w:szCs w:val="26"/>
        </w:rPr>
        <w:t xml:space="preserve">y </w:t>
      </w:r>
      <w:r>
        <w:t>Tokiu a říká Vangčinvej — výborně! Čínský na</w:t>
      </w:r>
      <w:r>
        <w:softHyphen/>
        <w:t>cionalismus znamená, že spolu s pokrevními Japonci .vyženeme z Číny a vůbec z Asie Angličany, kteří tam jaemají co dělat.</w:t>
      </w:r>
    </w:p>
    <w:p w:rsidR="00500724" w:rsidRDefault="00F30FB8">
      <w:pPr>
        <w:pStyle w:val="Zkladntext20"/>
        <w:shd w:val="clear" w:color="auto" w:fill="auto"/>
        <w:spacing w:after="40" w:line="194" w:lineRule="auto"/>
        <w:ind w:firstLine="260"/>
        <w:rPr>
          <w:sz w:val="26"/>
          <w:szCs w:val="26"/>
        </w:rPr>
      </w:pPr>
      <w:r>
        <w:t xml:space="preserve">Tak došlo k blokádě anglické koncese v Tiencinu, </w:t>
      </w:r>
      <w:r>
        <w:rPr>
          <w:b/>
          <w:bCs/>
          <w:sz w:val="26"/>
          <w:szCs w:val="26"/>
        </w:rPr>
        <w:t xml:space="preserve">k </w:t>
      </w:r>
      <w:r>
        <w:t>protianglickým demonstracím</w:t>
      </w:r>
      <w:r>
        <w:t xml:space="preserve"> v Japonsku a v oku</w:t>
      </w:r>
      <w:r>
        <w:softHyphen/>
        <w:t xml:space="preserve">pované Číně. Tak utrpěl britský prestyž těžkou ránu. ‘čínská válka trvá tedy dva roky. Trvá vlastně mno- them déle, vlastně od toho dne, kdy za tichého sou- filasu Anglie obsadili Japonci </w:t>
      </w:r>
      <w:r>
        <w:rPr>
          <w:lang w:val="en-US" w:eastAsia="en-US" w:bidi="en-US"/>
        </w:rPr>
        <w:t xml:space="preserve">Mukden. </w:t>
      </w:r>
      <w:r>
        <w:t>Dnes se Chystají obsadit anglickou konce</w:t>
      </w:r>
      <w:r>
        <w:t>si v Tiencinu, v Šan- ,haji a jinde. Teď by Anglie velmi ráda získala ame</w:t>
      </w:r>
      <w:r>
        <w:softHyphen/>
        <w:t xml:space="preserve">rickou pomoc a vlastně by ani nepohrdla pomocí </w:t>
      </w:r>
      <w:r>
        <w:rPr>
          <w:b/>
          <w:bCs/>
          <w:sz w:val="26"/>
          <w:szCs w:val="26"/>
        </w:rPr>
        <w:t>ruskou.</w:t>
      </w:r>
    </w:p>
    <w:p w:rsidR="00500724" w:rsidRDefault="00F30FB8">
      <w:pPr>
        <w:pStyle w:val="Zkladntext20"/>
        <w:shd w:val="clear" w:color="auto" w:fill="auto"/>
        <w:spacing w:after="320" w:line="197" w:lineRule="auto"/>
        <w:ind w:firstLine="0"/>
      </w:pPr>
      <w:r>
        <w:t>! Miliony obětí na životech, velké napětí japonského liospodářství, zpustošená polovina Číny — to je bilance neexistující a nev</w:t>
      </w:r>
      <w:r>
        <w:t xml:space="preserve">ypověděné války. A kromě </w:t>
      </w:r>
      <w:r>
        <w:rPr>
          <w:b/>
          <w:bCs/>
          <w:sz w:val="26"/>
          <w:szCs w:val="26"/>
        </w:rPr>
        <w:t xml:space="preserve">toho </w:t>
      </w:r>
      <w:r>
        <w:t>nebezpečí, že se vznícený požár snadno může přenést do jejich území.</w:t>
      </w:r>
    </w:p>
    <w:p w:rsidR="00500724" w:rsidRDefault="00F30FB8">
      <w:pPr>
        <w:pStyle w:val="Jin0"/>
        <w:pBdr>
          <w:bottom w:val="single" w:sz="4" w:space="0" w:color="auto"/>
        </w:pBdr>
        <w:shd w:val="clear" w:color="auto" w:fill="auto"/>
        <w:spacing w:after="260"/>
        <w:ind w:left="440" w:firstLine="0"/>
        <w:jc w:val="left"/>
        <w:rPr>
          <w:sz w:val="46"/>
          <w:szCs w:val="46"/>
        </w:rPr>
      </w:pPr>
      <w:r>
        <w:rPr>
          <w:b/>
          <w:bCs/>
          <w:sz w:val="46"/>
          <w:szCs w:val="46"/>
        </w:rPr>
        <w:t>i v o t a instituce</w:t>
      </w:r>
    </w:p>
    <w:p w:rsidR="00500724" w:rsidRDefault="00F30FB8">
      <w:pPr>
        <w:pStyle w:val="Zkladntext20"/>
        <w:shd w:val="clear" w:color="auto" w:fill="auto"/>
        <w:spacing w:after="40" w:line="240" w:lineRule="auto"/>
        <w:ind w:firstLine="0"/>
        <w:rPr>
          <w:sz w:val="20"/>
          <w:szCs w:val="20"/>
        </w:rPr>
      </w:pPr>
      <w:r>
        <w:rPr>
          <w:rFonts w:ascii="Arial" w:eastAsia="Arial" w:hAnsi="Arial" w:cs="Arial"/>
          <w:sz w:val="18"/>
          <w:szCs w:val="18"/>
        </w:rPr>
        <w:t xml:space="preserve">jpe/r </w:t>
      </w:r>
      <w:r>
        <w:rPr>
          <w:b/>
          <w:bCs/>
          <w:i/>
          <w:iCs/>
          <w:sz w:val="20"/>
          <w:szCs w:val="20"/>
        </w:rPr>
        <w:t xml:space="preserve">V </w:t>
      </w:r>
      <w:r>
        <w:rPr>
          <w:b/>
          <w:bCs/>
          <w:i/>
          <w:iCs/>
          <w:sz w:val="20"/>
          <w:szCs w:val="20"/>
          <w:lang w:val="en-US" w:eastAsia="en-US" w:bidi="en-US"/>
        </w:rPr>
        <w:t>aid:</w:t>
      </w:r>
    </w:p>
    <w:p w:rsidR="00500724" w:rsidRDefault="00F30FB8">
      <w:pPr>
        <w:pStyle w:val="Nadpis100"/>
        <w:shd w:val="clear" w:color="auto" w:fill="auto"/>
        <w:spacing w:after="120" w:line="240" w:lineRule="auto"/>
        <w:ind w:firstLine="160"/>
        <w:jc w:val="left"/>
      </w:pPr>
      <w:bookmarkStart w:id="731" w:name="bookmark730"/>
      <w:r>
        <w:t>Jenom záchrana českého tisku?</w:t>
      </w:r>
      <w:bookmarkEnd w:id="731"/>
    </w:p>
    <w:p w:rsidR="00500724" w:rsidRDefault="00F30FB8">
      <w:pPr>
        <w:pStyle w:val="Zkladntext100"/>
        <w:shd w:val="clear" w:color="auto" w:fill="auto"/>
        <w:spacing w:after="100" w:line="223" w:lineRule="auto"/>
        <w:ind w:firstLine="0"/>
        <w:jc w:val="center"/>
        <w:rPr>
          <w:sz w:val="19"/>
          <w:szCs w:val="19"/>
        </w:rPr>
      </w:pPr>
      <w:r>
        <w:rPr>
          <w:sz w:val="19"/>
          <w:szCs w:val="19"/>
        </w:rPr>
        <w:t>Jde o víc</w:t>
      </w:r>
    </w:p>
    <w:p w:rsidR="00500724" w:rsidRDefault="00F30FB8">
      <w:pPr>
        <w:pStyle w:val="Zkladntext100"/>
        <w:shd w:val="clear" w:color="auto" w:fill="auto"/>
        <w:spacing w:line="233" w:lineRule="auto"/>
        <w:ind w:firstLine="260"/>
        <w:rPr>
          <w:sz w:val="19"/>
          <w:szCs w:val="19"/>
        </w:rPr>
      </w:pPr>
      <w:r>
        <w:rPr>
          <w:sz w:val="19"/>
          <w:szCs w:val="19"/>
        </w:rPr>
        <w:t>Už přes měsíc se v tisku vede rozprava o tom, jak po-</w:t>
      </w:r>
    </w:p>
    <w:p w:rsidR="00500724" w:rsidRDefault="00F30FB8">
      <w:pPr>
        <w:pStyle w:val="Zkladntext100"/>
        <w:shd w:val="clear" w:color="auto" w:fill="auto"/>
        <w:spacing w:line="230" w:lineRule="auto"/>
        <w:ind w:firstLine="0"/>
        <w:rPr>
          <w:sz w:val="19"/>
          <w:szCs w:val="19"/>
        </w:rPr>
      </w:pPr>
      <w:r>
        <w:rPr>
          <w:sz w:val="19"/>
          <w:szCs w:val="19"/>
        </w:rPr>
        <w:t xml:space="preserve">Xnoci českému tisku a tiskárenskému průmyslu. Při ^menšeném území, na němž se nyní české noviny denní </w:t>
      </w:r>
      <w:r>
        <w:rPr>
          <w:sz w:val="20"/>
          <w:szCs w:val="20"/>
        </w:rPr>
        <w:t xml:space="preserve">i </w:t>
      </w:r>
      <w:r>
        <w:rPr>
          <w:sz w:val="19"/>
          <w:szCs w:val="19"/>
        </w:rPr>
        <w:t>týdenní, odborné i beletristické, vědecké i umělecké iuoliou prodávat a rozšiřovat, přestalo už vycházet na 5000 periodických časopisů, počet zaměstnaný</w:t>
      </w:r>
      <w:r>
        <w:rPr>
          <w:sz w:val="19"/>
          <w:szCs w:val="19"/>
        </w:rPr>
        <w:t xml:space="preserve">ch sazečů klesl na 65 procent, 70 redaktorů je už bez zaměstnání, Jia 170 redaktorů je ve výpovědi, časopisy pozbyly mnoho odběratelů a předplatitelů, inserce poklesla tak, </w:t>
      </w:r>
      <w:r>
        <w:rPr>
          <w:i/>
          <w:iCs/>
          <w:sz w:val="19"/>
          <w:szCs w:val="19"/>
        </w:rPr>
        <w:t>Že</w:t>
      </w:r>
      <w:r>
        <w:rPr>
          <w:sz w:val="19"/>
          <w:szCs w:val="19"/>
        </w:rPr>
        <w:t xml:space="preserve"> to způsobilo pohromu v rozpočtech novinových pod-</w:t>
      </w:r>
    </w:p>
    <w:p w:rsidR="00500724" w:rsidRDefault="00F30FB8">
      <w:pPr>
        <w:pStyle w:val="Zkladntext100"/>
        <w:framePr w:dropCap="drop" w:lines="3" w:wrap="auto" w:vAnchor="text" w:hAnchor="text"/>
        <w:shd w:val="clear" w:color="auto" w:fill="auto"/>
        <w:spacing w:line="584" w:lineRule="exact"/>
        <w:ind w:firstLine="0"/>
        <w:rPr>
          <w:sz w:val="19"/>
          <w:szCs w:val="19"/>
        </w:rPr>
      </w:pPr>
      <w:r>
        <w:rPr>
          <w:rFonts w:ascii="Arial" w:eastAsia="Arial" w:hAnsi="Arial" w:cs="Arial"/>
          <w:position w:val="-12"/>
          <w:sz w:val="32"/>
          <w:szCs w:val="32"/>
        </w:rPr>
        <w:t>!</w:t>
      </w:r>
    </w:p>
    <w:p w:rsidR="00500724" w:rsidRDefault="00F30FB8">
      <w:pPr>
        <w:pStyle w:val="Zkladntext100"/>
        <w:shd w:val="clear" w:color="auto" w:fill="auto"/>
        <w:spacing w:after="40" w:line="233" w:lineRule="auto"/>
        <w:ind w:firstLine="0"/>
        <w:rPr>
          <w:sz w:val="19"/>
          <w:szCs w:val="19"/>
        </w:rPr>
      </w:pPr>
      <w:r>
        <w:rPr>
          <w:sz w:val="19"/>
          <w:szCs w:val="19"/>
        </w:rPr>
        <w:t xml:space="preserve">iiků, tiskárny jsou </w:t>
      </w:r>
      <w:r>
        <w:rPr>
          <w:sz w:val="19"/>
          <w:szCs w:val="19"/>
        </w:rPr>
        <w:t>zaměstnány z polovice, i knih se iskne méně. Vydavatelstva denních listů a nakladatelé e radí už dlouho o tom, jak napravit tyto hrozivé zje- ýy, radí se i činitelé vládou pověření péčí o tiskové věci jediná cesta k nápravě se zatím našla jenom v jedi- ém:</w:t>
      </w:r>
      <w:r>
        <w:rPr>
          <w:sz w:val="19"/>
          <w:szCs w:val="19"/>
        </w:rPr>
        <w:t xml:space="preserve"> ve zdražení novin.</w:t>
      </w:r>
    </w:p>
    <w:p w:rsidR="00500724" w:rsidRDefault="00F30FB8">
      <w:pPr>
        <w:pStyle w:val="Zkladntext100"/>
        <w:shd w:val="clear" w:color="auto" w:fill="auto"/>
        <w:spacing w:line="214" w:lineRule="auto"/>
        <w:ind w:firstLine="260"/>
        <w:rPr>
          <w:sz w:val="19"/>
          <w:szCs w:val="19"/>
        </w:rPr>
      </w:pPr>
      <w:r>
        <w:rPr>
          <w:sz w:val="19"/>
          <w:szCs w:val="19"/>
        </w:rPr>
        <w:t>Není pochyby o tom, že zdraží-li se noviny, bude</w:t>
      </w:r>
    </w:p>
    <w:p w:rsidR="00500724" w:rsidRDefault="00F30FB8">
      <w:pPr>
        <w:pStyle w:val="Zkladntext100"/>
        <w:shd w:val="clear" w:color="auto" w:fill="auto"/>
        <w:spacing w:line="214" w:lineRule="auto"/>
        <w:ind w:firstLine="0"/>
        <w:rPr>
          <w:sz w:val="19"/>
          <w:szCs w:val="19"/>
        </w:rPr>
      </w:pPr>
      <w:r>
        <w:rPr>
          <w:sz w:val="19"/>
          <w:szCs w:val="19"/>
        </w:rPr>
        <w:t>Česky tisk zachráněn, bude zase zaměstnáno dosti redaktorů, dosti sazečů i dosti spisovatelů, bez nichž si nelze dobré noviny představit, není pochyby o tom, že zdražení novin je dnes jed</w:t>
      </w:r>
      <w:r>
        <w:rPr>
          <w:sz w:val="19"/>
          <w:szCs w:val="19"/>
        </w:rPr>
        <w:t xml:space="preserve">iná cesta k rychlé záchraně novin a tiskárenského průmyslu, ale je dobře si otevřeně říci, že nejde jenom o záchranu tisku a tiskáren, ale že jde o budoucnost celé české kultury. Úspěch v této věci nezávisí přímo na zdražení novin. Zdražení novin může být </w:t>
      </w:r>
      <w:r>
        <w:rPr>
          <w:sz w:val="19"/>
          <w:szCs w:val="19"/>
        </w:rPr>
        <w:t>— a patrně bude nařízeno povolanými činiteli vlád</w:t>
      </w:r>
      <w:r>
        <w:rPr>
          <w:sz w:val="19"/>
          <w:szCs w:val="19"/>
        </w:rPr>
        <w:softHyphen/>
        <w:t>ními, tím se zachrání finančně mnoho, ale hlavní pod</w:t>
      </w:r>
      <w:r>
        <w:rPr>
          <w:sz w:val="19"/>
          <w:szCs w:val="19"/>
        </w:rPr>
        <w:softHyphen/>
        <w:t>mínka budoucnosti českého tisku, denního i odborného, revuí i knih musí být splněna celým národem. Musíme se konečně po mnohých desítiletích bloudění pře</w:t>
      </w:r>
      <w:r>
        <w:rPr>
          <w:sz w:val="19"/>
          <w:szCs w:val="19"/>
        </w:rPr>
        <w:t>vycho</w:t>
      </w:r>
      <w:r>
        <w:rPr>
          <w:sz w:val="19"/>
          <w:szCs w:val="19"/>
        </w:rPr>
        <w:softHyphen/>
        <w:t>vat ve svém poměru k novinám a tisku. Vnitřní i hmotný</w:t>
      </w:r>
    </w:p>
    <w:p w:rsidR="00500724" w:rsidRDefault="00F30FB8">
      <w:pPr>
        <w:pStyle w:val="Zkladntext100"/>
        <w:framePr w:dropCap="drop" w:lines="2" w:hSpace="14" w:vSpace="14" w:wrap="auto" w:vAnchor="text" w:hAnchor="text"/>
        <w:shd w:val="clear" w:color="auto" w:fill="auto"/>
        <w:spacing w:line="287" w:lineRule="exact"/>
        <w:ind w:firstLine="0"/>
        <w:rPr>
          <w:sz w:val="19"/>
          <w:szCs w:val="19"/>
        </w:rPr>
      </w:pPr>
      <w:r>
        <w:rPr>
          <w:rFonts w:ascii="Arial" w:eastAsia="Arial" w:hAnsi="Arial" w:cs="Arial"/>
          <w:position w:val="-6"/>
          <w:sz w:val="32"/>
          <w:szCs w:val="32"/>
        </w:rPr>
        <w:t>E</w:t>
      </w:r>
    </w:p>
    <w:p w:rsidR="00500724" w:rsidRDefault="00F30FB8">
      <w:pPr>
        <w:pStyle w:val="Zkladntext100"/>
        <w:shd w:val="clear" w:color="auto" w:fill="auto"/>
        <w:spacing w:after="60" w:line="214" w:lineRule="auto"/>
        <w:ind w:firstLine="0"/>
        <w:rPr>
          <w:sz w:val="19"/>
          <w:szCs w:val="19"/>
        </w:rPr>
      </w:pPr>
      <w:r>
        <w:rPr>
          <w:sz w:val="19"/>
          <w:szCs w:val="19"/>
        </w:rPr>
        <w:t>oměr každého Čecha k novinám, k odbornému tisku, vědecké a umělecké revui se musí změnit od základu.</w:t>
      </w:r>
    </w:p>
    <w:p w:rsidR="00500724" w:rsidRDefault="00F30FB8">
      <w:pPr>
        <w:pStyle w:val="Zkladntext100"/>
        <w:shd w:val="clear" w:color="auto" w:fill="auto"/>
        <w:spacing w:after="120" w:line="209" w:lineRule="auto"/>
        <w:ind w:left="60" w:firstLine="0"/>
        <w:jc w:val="center"/>
        <w:rPr>
          <w:sz w:val="19"/>
          <w:szCs w:val="19"/>
        </w:rPr>
      </w:pPr>
      <w:r>
        <w:rPr>
          <w:sz w:val="19"/>
          <w:szCs w:val="19"/>
        </w:rPr>
        <w:t>Musíme na světovou úroveň</w:t>
      </w:r>
    </w:p>
    <w:p w:rsidR="00500724" w:rsidRDefault="00F30FB8">
      <w:pPr>
        <w:pStyle w:val="Zkladntext100"/>
        <w:shd w:val="clear" w:color="auto" w:fill="auto"/>
        <w:spacing w:after="60" w:line="214" w:lineRule="auto"/>
        <w:ind w:firstLine="220"/>
        <w:rPr>
          <w:sz w:val="19"/>
          <w:szCs w:val="19"/>
        </w:rPr>
      </w:pPr>
      <w:r>
        <w:rPr>
          <w:sz w:val="19"/>
          <w:szCs w:val="19"/>
        </w:rPr>
        <w:t xml:space="preserve">Podíváme-li se kolem dokola po ostatních národech v Evropě, ani </w:t>
      </w:r>
      <w:r>
        <w:rPr>
          <w:sz w:val="19"/>
          <w:szCs w:val="19"/>
        </w:rPr>
        <w:t>raději nemluvme o celém světě, abychom se příliš nemuseli stydět — vidíme, že jsme u nás v osob</w:t>
      </w:r>
      <w:r>
        <w:rPr>
          <w:sz w:val="19"/>
          <w:szCs w:val="19"/>
        </w:rPr>
        <w:softHyphen/>
        <w:t>ním poměru každého jednotlivce k tisku zůstali za vý</w:t>
      </w:r>
      <w:r>
        <w:rPr>
          <w:sz w:val="19"/>
          <w:szCs w:val="19"/>
        </w:rPr>
        <w:softHyphen/>
        <w:t>vojem. Každý národ evropský má už vkořeněn správný; názor, že časopis je určitá hodnota, za kterou každý —&lt;</w:t>
      </w:r>
      <w:r>
        <w:rPr>
          <w:sz w:val="19"/>
          <w:szCs w:val="19"/>
        </w:rPr>
        <w:t xml:space="preserve"> chce-li té hodnoty použít ke svému poučení, k zábavě, k získání vědomostí, k rozšíření svého duševního obzoru, k lepším podmínkám svého uplatnění — musí jzaplatit. Že je to hodnota, která má pro každého zrovna takovou cenu, jako hodnoty jiné, hmotné. Chci</w:t>
      </w:r>
      <w:r>
        <w:rPr>
          <w:sz w:val="19"/>
          <w:szCs w:val="19"/>
        </w:rPr>
        <w:t>-li zahnat tělesný, hlad a chci-li se posílit k tělesnému výkonu, chci-li se ochránit proti zimě nebo se potěšit a rozradostnit zá</w:t>
      </w:r>
      <w:r>
        <w:rPr>
          <w:sz w:val="19"/>
          <w:szCs w:val="19"/>
        </w:rPr>
        <w:softHyphen/>
        <w:t>bavou, musím k tomu mít určité předměty, za něž musím dobrou mincí zaplatit. Musím si koupit chléb, maso, ovoce, musím si zap</w:t>
      </w:r>
      <w:r>
        <w:rPr>
          <w:sz w:val="19"/>
          <w:szCs w:val="19"/>
        </w:rPr>
        <w:t>latit černou kávu v kavárně, musím si koupit cigaretu, musím si koupit teplé ponožky nebo galoše, musím si zaplatit vstupné do taneční zábavy nebo do biografu. To je u nás zrovna tak samozřejmé, jako je to samozřejmé každému člověku na světě.</w:t>
      </w:r>
    </w:p>
    <w:p w:rsidR="00500724" w:rsidRDefault="00F30FB8">
      <w:pPr>
        <w:pStyle w:val="Zkladntext100"/>
        <w:shd w:val="clear" w:color="auto" w:fill="auto"/>
        <w:spacing w:after="60" w:line="209" w:lineRule="auto"/>
        <w:ind w:firstLine="220"/>
        <w:rPr>
          <w:sz w:val="19"/>
          <w:szCs w:val="19"/>
        </w:rPr>
      </w:pPr>
      <w:r>
        <w:rPr>
          <w:sz w:val="19"/>
          <w:szCs w:val="19"/>
        </w:rPr>
        <w:t>Každému člově</w:t>
      </w:r>
      <w:r>
        <w:rPr>
          <w:sz w:val="19"/>
          <w:szCs w:val="19"/>
        </w:rPr>
        <w:t>ku na světě i v celé Evropě je zřejmo, že chci-li si přečíst noviny, chci-li se poučit co je nového ve světě, chci-li si přečíst, co je nového v našem městě a kraji a co je nového v divadle nebo v literatuře nebo zač se prodává zboží na trzích nebo cenné p</w:t>
      </w:r>
      <w:r>
        <w:rPr>
          <w:sz w:val="19"/>
          <w:szCs w:val="19"/>
        </w:rPr>
        <w:t>apíry na bursách, že za to musím zaplatit, to jest, že si musím koupit noviny nebo odborný časopis svého oboru, umě</w:t>
      </w:r>
      <w:r>
        <w:rPr>
          <w:sz w:val="19"/>
          <w:szCs w:val="19"/>
        </w:rPr>
        <w:softHyphen/>
        <w:t>leckou revui nebo módní časopis. Jenom českému člo</w:t>
      </w:r>
      <w:r>
        <w:rPr>
          <w:sz w:val="19"/>
          <w:szCs w:val="19"/>
        </w:rPr>
        <w:softHyphen/>
        <w:t>věku není toto vše samozřejmé, jenom český člověk byl po staletí vychováván v přesvědčení</w:t>
      </w:r>
      <w:r>
        <w:rPr>
          <w:sz w:val="19"/>
          <w:szCs w:val="19"/>
        </w:rPr>
        <w:t xml:space="preserve">, že si může všechny tyto novinky a jejich výhody opatřit tak, </w:t>
      </w:r>
      <w:r>
        <w:rPr>
          <w:sz w:val="20"/>
          <w:szCs w:val="20"/>
        </w:rPr>
        <w:t xml:space="preserve">že </w:t>
      </w:r>
      <w:r>
        <w:rPr>
          <w:sz w:val="19"/>
          <w:szCs w:val="19"/>
        </w:rPr>
        <w:t>si zajde do hospody nebo do kavárny, kde si přečte vyložené noviny a časopisy.</w:t>
      </w:r>
    </w:p>
    <w:p w:rsidR="00500724" w:rsidRDefault="00F30FB8">
      <w:pPr>
        <w:pStyle w:val="Zkladntext100"/>
        <w:shd w:val="clear" w:color="auto" w:fill="auto"/>
        <w:spacing w:after="60" w:line="209" w:lineRule="auto"/>
        <w:ind w:firstLine="220"/>
        <w:rPr>
          <w:sz w:val="19"/>
          <w:szCs w:val="19"/>
        </w:rPr>
      </w:pPr>
      <w:r>
        <w:rPr>
          <w:sz w:val="19"/>
          <w:szCs w:val="19"/>
        </w:rPr>
        <w:t>Každý člověk na světě je si vědom toho, že za noviny a každý časopis musí zaplatiti jejich hodnotu. Proto se na</w:t>
      </w:r>
      <w:r>
        <w:rPr>
          <w:sz w:val="19"/>
          <w:szCs w:val="19"/>
        </w:rPr>
        <w:t xml:space="preserve"> celém světě i u všech sousedů kolem nás, v Polsku i na Slovensku (i tam to bylo obecné do roku 1919), v Maďarsku i Jugoslávii, v Bulharsku i Rumunsku no</w:t>
      </w:r>
      <w:r>
        <w:rPr>
          <w:sz w:val="19"/>
          <w:szCs w:val="19"/>
        </w:rPr>
        <w:softHyphen/>
        <w:t>viny ani revue nevykládají v hospodách ani v kavár</w:t>
      </w:r>
      <w:r>
        <w:rPr>
          <w:sz w:val="19"/>
          <w:szCs w:val="19"/>
        </w:rPr>
        <w:softHyphen/>
        <w:t>nách. Prodávají se v prodejnách, předplácejí se pří</w:t>
      </w:r>
      <w:r>
        <w:rPr>
          <w:sz w:val="19"/>
          <w:szCs w:val="19"/>
        </w:rPr>
        <w:t>mo nebo na poštách, kupují se od prodavačů, kteří každých deset, dvacet minut přijdou nabízet své tiskové zboží do hostinců a kaváren, jako je nabízejí na ulicích. Všechny národy v Evropě mají už v krvi, že noviny jsou hodnota, která stojí za určitý peníz,</w:t>
      </w:r>
      <w:r>
        <w:rPr>
          <w:sz w:val="19"/>
          <w:szCs w:val="19"/>
        </w:rPr>
        <w:t xml:space="preserve"> jenom český člověk by! vy</w:t>
      </w:r>
      <w:r>
        <w:rPr>
          <w:sz w:val="19"/>
          <w:szCs w:val="19"/>
        </w:rPr>
        <w:softHyphen/>
        <w:t>chován v tom, že noviny nebo umělecký týdeník je hod</w:t>
      </w:r>
      <w:r>
        <w:rPr>
          <w:sz w:val="19"/>
          <w:szCs w:val="19"/>
        </w:rPr>
        <w:softHyphen/>
        <w:t>nota, která nestojí ani tolik, jako černá káva nebo deset cigaret.</w:t>
      </w:r>
    </w:p>
    <w:p w:rsidR="00500724" w:rsidRDefault="00F30FB8">
      <w:pPr>
        <w:pStyle w:val="Zkladntext100"/>
        <w:shd w:val="clear" w:color="auto" w:fill="auto"/>
        <w:spacing w:after="120" w:line="209" w:lineRule="auto"/>
        <w:ind w:firstLine="220"/>
        <w:rPr>
          <w:sz w:val="19"/>
          <w:szCs w:val="19"/>
        </w:rPr>
      </w:pPr>
      <w:r>
        <w:rPr>
          <w:sz w:val="19"/>
          <w:szCs w:val="19"/>
        </w:rPr>
        <w:t>Používat novin a časopisů, týdeníků a odborných, vědeckých i uměleckých revuí v kavárnách a hostincích jako p</w:t>
      </w:r>
      <w:r>
        <w:rPr>
          <w:sz w:val="19"/>
          <w:szCs w:val="19"/>
        </w:rPr>
        <w:t>řídavků k tomu, co host spotřebuje pro svůj ža</w:t>
      </w:r>
      <w:r>
        <w:rPr>
          <w:sz w:val="19"/>
          <w:szCs w:val="19"/>
        </w:rPr>
        <w:softHyphen/>
        <w:t>ludek, má ostatně i jakousi příchuť prohřešku proti trestním paragrafům. Kdyby kolportér nebo prodavač novin, dostávající noviny do komise, půjčoval svěřené noviny pravidelně k přečtení nějakému zákazníkovi za</w:t>
      </w:r>
      <w:r>
        <w:rPr>
          <w:sz w:val="19"/>
          <w:szCs w:val="19"/>
        </w:rPr>
        <w:t xml:space="preserve"> peníze, třeba jenom za 10 haléřů, mohl by za den vy</w:t>
      </w:r>
      <w:r>
        <w:rPr>
          <w:sz w:val="19"/>
          <w:szCs w:val="19"/>
        </w:rPr>
        <w:softHyphen/>
        <w:t>dělat jistě u některých novin 50 haléřů za půjčení jedi</w:t>
      </w:r>
      <w:r>
        <w:rPr>
          <w:sz w:val="19"/>
          <w:szCs w:val="19"/>
        </w:rPr>
        <w:softHyphen/>
        <w:t>ného výtisku novin a výtisk ten pak jako neprodaný vrátit administraci, která mu prodej svých novin svě</w:t>
      </w:r>
      <w:r>
        <w:rPr>
          <w:sz w:val="19"/>
          <w:szCs w:val="19"/>
        </w:rPr>
        <w:softHyphen/>
        <w:t>řila. (Že se takové věci dějí, je známo, al</w:t>
      </w:r>
      <w:r>
        <w:rPr>
          <w:sz w:val="19"/>
          <w:szCs w:val="19"/>
        </w:rPr>
        <w:t>e jenom velmi zřídka se podařilo zjistit bezpečně a postihnout takové počínání, které zřejmě se prohřešuje proti ustanovením trestního zákona.) A co jiného je půjčování novin v, ka</w:t>
      </w:r>
      <w:r>
        <w:rPr>
          <w:sz w:val="19"/>
          <w:szCs w:val="19"/>
        </w:rPr>
        <w:softHyphen/>
        <w:t>várnách a hostincích? Za větší diškreci se tu vlastně dává k použití určitá</w:t>
      </w:r>
      <w:r>
        <w:rPr>
          <w:sz w:val="19"/>
          <w:szCs w:val="19"/>
        </w:rPr>
        <w:t xml:space="preserve"> hodnota většímu počtu zájemců,' kteří to použití odměňují zpropitným panu vrchnímu, místo co by za tu hodnotu měli zaplatit tomu, kdo ji vyrobil.</w:t>
      </w:r>
    </w:p>
    <w:p w:rsidR="00500724" w:rsidRDefault="00F30FB8">
      <w:pPr>
        <w:pStyle w:val="Zkladntext100"/>
        <w:shd w:val="clear" w:color="auto" w:fill="auto"/>
        <w:spacing w:after="60" w:line="211" w:lineRule="auto"/>
        <w:ind w:firstLine="220"/>
        <w:jc w:val="left"/>
        <w:rPr>
          <w:sz w:val="19"/>
          <w:szCs w:val="19"/>
        </w:rPr>
        <w:sectPr w:rsidR="00500724">
          <w:footnotePr>
            <w:numFmt w:val="chicago"/>
            <w:numRestart w:val="eachPage"/>
          </w:footnotePr>
          <w:type w:val="continuous"/>
          <w:pgSz w:w="11909" w:h="16834"/>
          <w:pgMar w:top="1137" w:right="933" w:bottom="617" w:left="617" w:header="0" w:footer="3" w:gutter="0"/>
          <w:cols w:num="2" w:space="100"/>
          <w:noEndnote/>
          <w:docGrid w:linePitch="360"/>
        </w:sectPr>
      </w:pPr>
      <w:r>
        <w:rPr>
          <w:sz w:val="19"/>
          <w:szCs w:val="19"/>
        </w:rPr>
        <w:t>Není potřeba pochybovat o tom, že páni vrchní —</w:t>
      </w:r>
      <w:r>
        <w:rPr>
          <w:sz w:val="19"/>
          <w:szCs w:val="19"/>
          <w:vertAlign w:val="superscript"/>
        </w:rPr>
        <w:t>1</w:t>
      </w:r>
      <w:r>
        <w:rPr>
          <w:sz w:val="19"/>
          <w:szCs w:val="19"/>
        </w:rPr>
        <w:t xml:space="preserve"> ■ kteří většinou noviny a obrázkové časopisy i revue musí</w:t>
      </w:r>
    </w:p>
    <w:p w:rsidR="00500724" w:rsidRDefault="00F30FB8">
      <w:pPr>
        <w:pStyle w:val="Nadpis90"/>
        <w:keepNext/>
        <w:keepLines/>
        <w:pBdr>
          <w:bottom w:val="single" w:sz="4" w:space="0" w:color="auto"/>
        </w:pBdr>
        <w:shd w:val="clear" w:color="auto" w:fill="auto"/>
        <w:spacing w:after="0"/>
        <w:jc w:val="center"/>
        <w:rPr>
          <w:sz w:val="42"/>
          <w:szCs w:val="42"/>
        </w:rPr>
        <w:sectPr w:rsidR="00500724">
          <w:footnotePr>
            <w:numFmt w:val="chicago"/>
            <w:numRestart w:val="eachPage"/>
          </w:footnotePr>
          <w:pgSz w:w="11909" w:h="16834"/>
          <w:pgMar w:top="833" w:right="1042" w:bottom="825" w:left="504" w:header="0" w:footer="3" w:gutter="0"/>
          <w:cols w:space="720"/>
          <w:noEndnote/>
          <w:docGrid w:linePitch="360"/>
        </w:sectPr>
      </w:pPr>
      <w:bookmarkStart w:id="732" w:name="bookmark731"/>
      <w:r>
        <w:rPr>
          <w:rFonts w:ascii="Times New Roman" w:eastAsia="Times New Roman" w:hAnsi="Times New Roman" w:cs="Times New Roman"/>
          <w:w w:val="80"/>
          <w:sz w:val="42"/>
          <w:szCs w:val="42"/>
        </w:rPr>
        <w:t>PfňomnosO</w:t>
      </w:r>
      <w:bookmarkEnd w:id="732"/>
    </w:p>
    <w:p w:rsidR="00500724" w:rsidRDefault="00500724">
      <w:pPr>
        <w:spacing w:line="109" w:lineRule="exact"/>
        <w:rPr>
          <w:sz w:val="9"/>
          <w:szCs w:val="9"/>
        </w:rPr>
      </w:pPr>
    </w:p>
    <w:p w:rsidR="00500724" w:rsidRDefault="00500724">
      <w:pPr>
        <w:spacing w:line="14" w:lineRule="exact"/>
        <w:sectPr w:rsidR="00500724">
          <w:footnotePr>
            <w:numFmt w:val="chicago"/>
            <w:numRestart w:val="eachPage"/>
          </w:footnotePr>
          <w:type w:val="continuous"/>
          <w:pgSz w:w="11909" w:h="16834"/>
          <w:pgMar w:top="974" w:right="0" w:bottom="885" w:left="0" w:header="0" w:footer="3" w:gutter="0"/>
          <w:cols w:space="720"/>
          <w:noEndnote/>
          <w:docGrid w:linePitch="360"/>
        </w:sectPr>
      </w:pPr>
    </w:p>
    <w:p w:rsidR="00500724" w:rsidRDefault="00F30FB8">
      <w:pPr>
        <w:pStyle w:val="Zkladntext100"/>
        <w:shd w:val="clear" w:color="auto" w:fill="auto"/>
        <w:spacing w:after="180" w:line="211" w:lineRule="auto"/>
        <w:ind w:firstLine="0"/>
        <w:rPr>
          <w:sz w:val="19"/>
          <w:szCs w:val="19"/>
        </w:rPr>
      </w:pPr>
      <w:r>
        <w:rPr>
          <w:sz w:val="19"/>
          <w:szCs w:val="19"/>
        </w:rPr>
        <w:t>kupovati na svůj čet — by velmi rádi souhlasili s tím, kdyby si hosté přinesli své noviny s sebou nebo kdyby si je kupovali v kavár</w:t>
      </w:r>
      <w:r>
        <w:rPr>
          <w:sz w:val="19"/>
          <w:szCs w:val="19"/>
        </w:rPr>
        <w:t>ně od prodavače, který by tam každých deset, dvacet minut obešel všechny stolky s no</w:t>
      </w:r>
      <w:r>
        <w:rPr>
          <w:sz w:val="19"/>
          <w:szCs w:val="19"/>
        </w:rPr>
        <w:softHyphen/>
        <w:t>vými časopisy. Ale je potřeba připomenout, že čtenář, který za noviny a časopisy neplatí jejich hodnotu, do</w:t>
      </w:r>
      <w:r>
        <w:rPr>
          <w:sz w:val="19"/>
          <w:szCs w:val="19"/>
        </w:rPr>
        <w:softHyphen/>
        <w:t>pouští se také jakéhosi prohřešku proti autorům, jejichž články</w:t>
      </w:r>
      <w:r>
        <w:rPr>
          <w:sz w:val="19"/>
          <w:szCs w:val="19"/>
        </w:rPr>
        <w:t xml:space="preserve"> a příspěvky četl a na jejichž honorář ničím ne</w:t>
      </w:r>
      <w:r>
        <w:rPr>
          <w:sz w:val="19"/>
          <w:szCs w:val="19"/>
        </w:rPr>
        <w:softHyphen/>
        <w:t>přispěl. Dal sice zpropitné, ale z toho žádný autor ne</w:t>
      </w:r>
      <w:r>
        <w:rPr>
          <w:sz w:val="19"/>
          <w:szCs w:val="19"/>
        </w:rPr>
        <w:softHyphen/>
        <w:t>dostane ani zbla, kdežto kdyby každý kavárenský čte</w:t>
      </w:r>
      <w:r>
        <w:rPr>
          <w:sz w:val="19"/>
          <w:szCs w:val="19"/>
        </w:rPr>
        <w:softHyphen/>
        <w:t>nář zaplatil si to, co chce číst, měl by z toho autor přece svůj podíl v lepším honoráři, mohl by pak</w:t>
      </w:r>
      <w:r>
        <w:rPr>
          <w:sz w:val="19"/>
          <w:szCs w:val="19"/>
        </w:rPr>
        <w:t xml:space="preserve"> lépe praco</w:t>
      </w:r>
      <w:r>
        <w:rPr>
          <w:sz w:val="19"/>
          <w:szCs w:val="19"/>
        </w:rPr>
        <w:softHyphen/>
        <w:t>vat, mohl by psát méně, ale lépe a pečlivě, mohl by tvořit hodnotnější věci a pak by i jeho čtenář byl od</w:t>
      </w:r>
      <w:r>
        <w:rPr>
          <w:sz w:val="19"/>
          <w:szCs w:val="19"/>
        </w:rPr>
        <w:softHyphen/>
        <w:t>měněn za svůj podíl na lepším honoráři spisovatelově, protože by od něho četl věci vyspělejší a hodnotnější.</w:t>
      </w:r>
    </w:p>
    <w:p w:rsidR="00500724" w:rsidRDefault="00F30FB8">
      <w:pPr>
        <w:pStyle w:val="Zkladntext100"/>
        <w:shd w:val="clear" w:color="auto" w:fill="auto"/>
        <w:spacing w:after="80" w:line="211" w:lineRule="auto"/>
        <w:ind w:firstLine="0"/>
        <w:jc w:val="center"/>
        <w:rPr>
          <w:sz w:val="19"/>
          <w:szCs w:val="19"/>
        </w:rPr>
      </w:pPr>
      <w:r>
        <w:rPr>
          <w:sz w:val="19"/>
          <w:szCs w:val="19"/>
        </w:rPr>
        <w:t>Natomhlavně záleží</w:t>
      </w:r>
    </w:p>
    <w:p w:rsidR="00500724" w:rsidRDefault="00F30FB8">
      <w:pPr>
        <w:pStyle w:val="Zkladntext100"/>
        <w:shd w:val="clear" w:color="auto" w:fill="auto"/>
        <w:spacing w:after="80" w:line="209" w:lineRule="auto"/>
        <w:ind w:firstLine="220"/>
        <w:rPr>
          <w:sz w:val="19"/>
          <w:szCs w:val="19"/>
        </w:rPr>
      </w:pPr>
      <w:r>
        <w:rPr>
          <w:sz w:val="19"/>
          <w:szCs w:val="19"/>
        </w:rPr>
        <w:t>Ano, na tom hlavně záleží, aby si každý čtenář v čes kém národě konečně uvědomil, že každá stránka novin je jakási hodnota, která je vyjádřena i vyjádřitelná i v penězích, že je to sice hodnota potřebná pro život duchový a citový, ale právě proto, že si ji</w:t>
      </w:r>
      <w:r>
        <w:rPr>
          <w:sz w:val="19"/>
          <w:szCs w:val="19"/>
        </w:rPr>
        <w:t xml:space="preserve"> každý má platit sám a že si ji musí platit sám, chce-li přispět </w:t>
      </w:r>
      <w:r>
        <w:rPr>
          <w:sz w:val="20"/>
          <w:szCs w:val="20"/>
        </w:rPr>
        <w:t xml:space="preserve">k </w:t>
      </w:r>
      <w:r>
        <w:rPr>
          <w:sz w:val="19"/>
          <w:szCs w:val="19"/>
        </w:rPr>
        <w:t>tomu, aby náš osmimilionový národ v oboru duchovém mohl se nejenom povznést na světovou úroveň, ale světu přinést nové duchové hodnoty.</w:t>
      </w:r>
    </w:p>
    <w:p w:rsidR="00500724" w:rsidRDefault="00F30FB8">
      <w:pPr>
        <w:pStyle w:val="Zkladntext100"/>
        <w:shd w:val="clear" w:color="auto" w:fill="auto"/>
        <w:spacing w:after="40" w:line="209" w:lineRule="auto"/>
        <w:ind w:firstLine="220"/>
        <w:rPr>
          <w:sz w:val="19"/>
          <w:szCs w:val="19"/>
        </w:rPr>
      </w:pPr>
      <w:r>
        <w:rPr>
          <w:sz w:val="19"/>
          <w:szCs w:val="19"/>
        </w:rPr>
        <w:t>Nejsou to velká slova, která tu píšeme. Vezměte si tř</w:t>
      </w:r>
      <w:r>
        <w:rPr>
          <w:sz w:val="19"/>
          <w:szCs w:val="19"/>
        </w:rPr>
        <w:t>í- apůlmilionový národ dánský a jeho denní tisk světové úrovně a velkých nákladů. Vzpomeňte si na světovou úroveň tisku norského, švédského, a připomeňte si, že tam v každé rodině odbírají ne jeden, ale dva i tři dení</w:t>
      </w:r>
      <w:r>
        <w:rPr>
          <w:sz w:val="19"/>
          <w:szCs w:val="19"/>
        </w:rPr>
        <w:softHyphen/>
        <w:t>ky a že tam právě proto každá rodina m</w:t>
      </w:r>
      <w:r>
        <w:rPr>
          <w:sz w:val="19"/>
          <w:szCs w:val="19"/>
        </w:rPr>
        <w:t>á také svou pěknou knihovnu a že náklady knih, které se tam vy</w:t>
      </w:r>
      <w:r>
        <w:rPr>
          <w:sz w:val="19"/>
          <w:szCs w:val="19"/>
        </w:rPr>
        <w:softHyphen/>
        <w:t>dávají, jsou mnohokrát větší než u nás. A jsou tam ovšem právě proto také lepší honoráře spisovatelů a redaktorů, jsou tam však také lepší spisovatelé i redak</w:t>
      </w:r>
      <w:r>
        <w:rPr>
          <w:sz w:val="19"/>
          <w:szCs w:val="19"/>
        </w:rPr>
        <w:softHyphen/>
        <w:t>toři. Ne pro ty větší honoráře a l</w:t>
      </w:r>
      <w:r>
        <w:rPr>
          <w:sz w:val="19"/>
          <w:szCs w:val="19"/>
        </w:rPr>
        <w:t>epší hmotné podmínky, ale především proto, že každý člověk těch všech národů, menších než národ český, zná hodnotu novin, knih, ví, že jsou tu hodnoty, za něž musí platit stejně jako za housku nebo jablko nebo banán a má hlubší poměr ne</w:t>
      </w:r>
      <w:r>
        <w:rPr>
          <w:sz w:val="19"/>
          <w:szCs w:val="19"/>
        </w:rPr>
        <w:softHyphen/>
        <w:t>jenom ke všem výrob</w:t>
      </w:r>
      <w:r>
        <w:rPr>
          <w:sz w:val="19"/>
          <w:szCs w:val="19"/>
        </w:rPr>
        <w:t>kům a výtvorům duševních pra</w:t>
      </w:r>
      <w:r>
        <w:rPr>
          <w:sz w:val="19"/>
          <w:szCs w:val="19"/>
        </w:rPr>
        <w:softHyphen/>
        <w:t>covníků, ale také k jejich osobám a osudům. Naopak zase jejich spisovatelé světovou úrovní svých knih i svých novin vracejí národu i s úroky to, co jim národ dal prostě tím, že jejich výrobky poctivě platil, tak jako platí svou</w:t>
      </w:r>
      <w:r>
        <w:rPr>
          <w:sz w:val="19"/>
          <w:szCs w:val="19"/>
        </w:rPr>
        <w:t xml:space="preserve"> snídani nebo svůj tabák do lulky.</w:t>
      </w:r>
    </w:p>
    <w:p w:rsidR="00500724" w:rsidRDefault="00F30FB8">
      <w:pPr>
        <w:pStyle w:val="Zkladntext100"/>
        <w:shd w:val="clear" w:color="auto" w:fill="auto"/>
        <w:spacing w:after="40" w:line="209" w:lineRule="auto"/>
        <w:ind w:firstLine="220"/>
        <w:rPr>
          <w:sz w:val="19"/>
          <w:szCs w:val="19"/>
        </w:rPr>
      </w:pPr>
      <w:r>
        <w:rPr>
          <w:sz w:val="19"/>
          <w:szCs w:val="19"/>
        </w:rPr>
        <w:t>Na tom hlavně záleží, aby celý národ si byl vědom hodnoty toho, co je spisovatelský, novinářský i zpravo</w:t>
      </w:r>
      <w:r>
        <w:rPr>
          <w:sz w:val="19"/>
          <w:szCs w:val="19"/>
        </w:rPr>
        <w:softHyphen/>
        <w:t>dajský výrobek, a aby se naučil tu hodnotu platit spra</w:t>
      </w:r>
      <w:r>
        <w:rPr>
          <w:sz w:val="19"/>
          <w:szCs w:val="19"/>
        </w:rPr>
        <w:softHyphen/>
        <w:t>vedlivě. Šidil-li dosud své redaktory, zpravodaje a spi</w:t>
      </w:r>
      <w:r>
        <w:rPr>
          <w:sz w:val="19"/>
          <w:szCs w:val="19"/>
        </w:rPr>
        <w:softHyphen/>
        <w:t>sovat</w:t>
      </w:r>
      <w:r>
        <w:rPr>
          <w:sz w:val="19"/>
          <w:szCs w:val="19"/>
        </w:rPr>
        <w:t>ele tím, že si jejich práci opatřoval lacino za kou</w:t>
      </w:r>
      <w:r>
        <w:rPr>
          <w:sz w:val="19"/>
          <w:szCs w:val="19"/>
        </w:rPr>
        <w:softHyphen/>
        <w:t>sek zpropitného, šidil tím sám sebe, nebof znemožňoval těm spisovatelům a redaktorům, aby mu dodávali lepší stravu duševní než by byli mohli.</w:t>
      </w:r>
    </w:p>
    <w:p w:rsidR="00500724" w:rsidRDefault="00F30FB8">
      <w:pPr>
        <w:pStyle w:val="Zkladntext100"/>
        <w:shd w:val="clear" w:color="auto" w:fill="auto"/>
        <w:spacing w:after="80" w:line="211" w:lineRule="auto"/>
        <w:ind w:firstLine="220"/>
        <w:rPr>
          <w:sz w:val="20"/>
          <w:szCs w:val="20"/>
        </w:rPr>
      </w:pPr>
      <w:r>
        <w:rPr>
          <w:sz w:val="19"/>
          <w:szCs w:val="19"/>
        </w:rPr>
        <w:t>Naše denní listy jsou ovšem levné proti jiným zemím. Říšské de</w:t>
      </w:r>
      <w:r>
        <w:rPr>
          <w:sz w:val="19"/>
          <w:szCs w:val="19"/>
        </w:rPr>
        <w:t>níky stojí 10 feniků v místě vydávání (»Zeit« v Liberci), jinak stojí aspoň 15 feniků ve všední den. ^Frankfurter Zeitung«, list, který je stále na úrovni svě</w:t>
      </w:r>
      <w:r>
        <w:rPr>
          <w:sz w:val="19"/>
          <w:szCs w:val="19"/>
        </w:rPr>
        <w:softHyphen/>
        <w:t>tové, stojí ve všední den 20 feniků, v neděli s přílohami 30 feniků, tedy aspoň naše 3 K. Jihoslo</w:t>
      </w:r>
      <w:r>
        <w:rPr>
          <w:sz w:val="19"/>
          <w:szCs w:val="19"/>
        </w:rPr>
        <w:t>vanské listy stojí 1.50 až 2 dináry, polské listy jsou také většinou dražší a u nás je papír dražší než kdekoli jinde. Není tedy po</w:t>
      </w:r>
      <w:r>
        <w:rPr>
          <w:sz w:val="19"/>
          <w:szCs w:val="19"/>
        </w:rPr>
        <w:softHyphen/>
        <w:t>chyby o tom, že náš denní tisk je laciný ‘a že zápasí těžce nejenom o zvýšení své úrovně, ale i o holou exi</w:t>
      </w:r>
      <w:r>
        <w:rPr>
          <w:sz w:val="19"/>
          <w:szCs w:val="19"/>
        </w:rPr>
        <w:softHyphen/>
        <w:t>stenci. Ale lepš</w:t>
      </w:r>
      <w:r>
        <w:rPr>
          <w:sz w:val="19"/>
          <w:szCs w:val="19"/>
        </w:rPr>
        <w:t>í ceny, které bude český čtenář platit za své noviny, nepomohou českému tisku k světové úrovni, nezmění-li se vnitřní poměr českého čtenáře k novinám a k tisku vůbec. Předběhli jsme v tolika věcech kultury, civilisace a techniky, umění i vědy tolik evropsk</w:t>
      </w:r>
      <w:r>
        <w:rPr>
          <w:sz w:val="19"/>
          <w:szCs w:val="19"/>
        </w:rPr>
        <w:t xml:space="preserve">ých ná* rodů, proč by český národ nedovedl být </w:t>
      </w:r>
      <w:r>
        <w:rPr>
          <w:sz w:val="20"/>
          <w:szCs w:val="20"/>
        </w:rPr>
        <w:t xml:space="preserve">v </w:t>
      </w:r>
      <w:r>
        <w:rPr>
          <w:sz w:val="19"/>
          <w:szCs w:val="19"/>
        </w:rPr>
        <w:t xml:space="preserve">této </w:t>
      </w:r>
      <w:r>
        <w:rPr>
          <w:sz w:val="20"/>
          <w:szCs w:val="20"/>
        </w:rPr>
        <w:t>věci</w:t>
      </w:r>
    </w:p>
    <w:p w:rsidR="00500724" w:rsidRDefault="00F30FB8">
      <w:pPr>
        <w:pStyle w:val="Zkladntext100"/>
        <w:shd w:val="clear" w:color="auto" w:fill="auto"/>
        <w:spacing w:line="209" w:lineRule="auto"/>
        <w:ind w:firstLine="0"/>
        <w:rPr>
          <w:sz w:val="19"/>
          <w:szCs w:val="19"/>
        </w:rPr>
      </w:pPr>
      <w:r>
        <w:rPr>
          <w:sz w:val="19"/>
          <w:szCs w:val="19"/>
        </w:rPr>
        <w:t>k českému tisku aspoň tak spravedlivý i hmotně, jako ostatní národy v Evropě, i národy daleko menší a ná* rody ve svém celku daleko méně pokročilé?</w:t>
      </w:r>
    </w:p>
    <w:p w:rsidR="00500724" w:rsidRDefault="00F30FB8">
      <w:pPr>
        <w:pStyle w:val="Zkladntext100"/>
        <w:shd w:val="clear" w:color="auto" w:fill="auto"/>
        <w:spacing w:line="209" w:lineRule="auto"/>
        <w:ind w:firstLine="220"/>
        <w:rPr>
          <w:sz w:val="19"/>
          <w:szCs w:val="19"/>
        </w:rPr>
      </w:pPr>
      <w:r>
        <w:rPr>
          <w:sz w:val="19"/>
          <w:szCs w:val="19"/>
        </w:rPr>
        <w:t>Jistě nebude příliš nesnadné přesvědčit český nár</w:t>
      </w:r>
      <w:r>
        <w:rPr>
          <w:sz w:val="19"/>
          <w:szCs w:val="19"/>
        </w:rPr>
        <w:t>od a českého čtenáře o pravdivosti toho, co jsme tu na</w:t>
      </w:r>
      <w:r>
        <w:rPr>
          <w:sz w:val="19"/>
          <w:szCs w:val="19"/>
        </w:rPr>
        <w:softHyphen/>
        <w:t>psali. Statistiky, kterých mají naši vydavatelé a nakla</w:t>
      </w:r>
      <w:r>
        <w:rPr>
          <w:sz w:val="19"/>
          <w:szCs w:val="19"/>
        </w:rPr>
        <w:softHyphen/>
        <w:t>datelé ve svých svazech po ruce dost, jsou příliš pře</w:t>
      </w:r>
      <w:r>
        <w:rPr>
          <w:sz w:val="19"/>
          <w:szCs w:val="19"/>
        </w:rPr>
        <w:softHyphen/>
        <w:t>svědčivé, a pravdivými skutečnostmi se dal český národ vždy přesvědčit a poučit. Dá se jist</w:t>
      </w:r>
      <w:r>
        <w:rPr>
          <w:sz w:val="19"/>
          <w:szCs w:val="19"/>
        </w:rPr>
        <w:t>ě i nyní přesvědčit, třebas to nebude úkol snadný. Příliš dlouho jsme ovšem žili v jiné tradici, abychom naučili přes noc každého českého člověka tomuto správnému poznání.</w:t>
      </w:r>
    </w:p>
    <w:p w:rsidR="00500724" w:rsidRDefault="00F30FB8">
      <w:pPr>
        <w:pStyle w:val="Zkladntext100"/>
        <w:shd w:val="clear" w:color="auto" w:fill="auto"/>
        <w:spacing w:after="60" w:line="211" w:lineRule="auto"/>
        <w:ind w:firstLine="220"/>
        <w:rPr>
          <w:sz w:val="19"/>
          <w:szCs w:val="19"/>
        </w:rPr>
      </w:pPr>
      <w:r>
        <w:rPr>
          <w:sz w:val="19"/>
          <w:szCs w:val="19"/>
        </w:rPr>
        <w:t>Právem také se ozvaly hlasy, že nesmíme omezovat počet svých odborných, uměleckých a</w:t>
      </w:r>
      <w:r>
        <w:rPr>
          <w:sz w:val="19"/>
          <w:szCs w:val="19"/>
        </w:rPr>
        <w:t xml:space="preserve"> literárních revuí. Úkol duchovního zápolení se všemi problémy, které na nás nahrnuly události posledních let, je příliš veliký « odpovědný a na jejch zdolání potřebujeme těchto ne&lt; zbytných pomůcek duchovního tříbení, růstu a tvoření Ale právě všechny naš</w:t>
      </w:r>
      <w:r>
        <w:rPr>
          <w:sz w:val="19"/>
          <w:szCs w:val="19"/>
        </w:rPr>
        <w:t>e revue neměly — až na malé vý</w:t>
      </w:r>
      <w:r>
        <w:rPr>
          <w:sz w:val="19"/>
          <w:szCs w:val="19"/>
        </w:rPr>
        <w:softHyphen/>
        <w:t>jimky — nikdy dostatečně pevného finančního základu^ protože neměly dostatek platících odběratelů. Až si každý dosavadní čtenář v kavárně bude musit koupit svou revui — žádná téměř nestojí více než stojí káva s koláčem nebo d</w:t>
      </w:r>
      <w:r>
        <w:rPr>
          <w:sz w:val="19"/>
          <w:szCs w:val="19"/>
        </w:rPr>
        <w:t>eset cigaret — pak teprve se povede dobře revuím a jejich úroveň poskočí rázem o pořádný; kus výše. A také čtenář na tom bude lépe, protože ko</w:t>
      </w:r>
      <w:r>
        <w:rPr>
          <w:sz w:val="19"/>
          <w:szCs w:val="19"/>
        </w:rPr>
        <w:softHyphen/>
        <w:t>nečně bude spravedlivý sám k sobě: vydá své peníze za dobrou hodnotu, která mu zůstane a k níž se bude moci vrace</w:t>
      </w:r>
      <w:r>
        <w:rPr>
          <w:sz w:val="19"/>
          <w:szCs w:val="19"/>
        </w:rPr>
        <w:t>t dosti dlouho. Jistě déle než k jedinému představení biografu, za které vydá dvakrát, třikrát tolik.</w:t>
      </w:r>
    </w:p>
    <w:p w:rsidR="00500724" w:rsidRDefault="00F30FB8">
      <w:pPr>
        <w:pStyle w:val="Zkladntext100"/>
        <w:shd w:val="clear" w:color="auto" w:fill="auto"/>
        <w:tabs>
          <w:tab w:val="left" w:pos="4968"/>
        </w:tabs>
        <w:spacing w:after="60" w:line="211" w:lineRule="auto"/>
        <w:ind w:left="720" w:firstLine="0"/>
        <w:rPr>
          <w:sz w:val="19"/>
          <w:szCs w:val="19"/>
        </w:rPr>
      </w:pPr>
      <w:r>
        <w:rPr>
          <w:sz w:val="19"/>
          <w:szCs w:val="19"/>
        </w:rPr>
        <w:t>Č e s k ý č t e n á ř n o v i n a r e k 1 a m a</w:t>
      </w:r>
      <w:r>
        <w:rPr>
          <w:sz w:val="19"/>
          <w:szCs w:val="19"/>
        </w:rPr>
        <w:tab/>
        <w:t>&gt;</w:t>
      </w:r>
    </w:p>
    <w:p w:rsidR="00500724" w:rsidRDefault="00F30FB8">
      <w:pPr>
        <w:pStyle w:val="Zkladntext100"/>
        <w:shd w:val="clear" w:color="auto" w:fill="auto"/>
        <w:spacing w:line="211" w:lineRule="auto"/>
        <w:ind w:firstLine="220"/>
        <w:rPr>
          <w:sz w:val="19"/>
          <w:szCs w:val="19"/>
        </w:rPr>
      </w:pPr>
      <w:r>
        <w:rPr>
          <w:sz w:val="19"/>
          <w:szCs w:val="19"/>
        </w:rPr>
        <w:t xml:space="preserve">Český národ si svých spisovatelů a redaktorů začal' vždycky vážit až po jejich smrti. Dokud žili, nechal </w:t>
      </w:r>
      <w:r>
        <w:rPr>
          <w:sz w:val="20"/>
          <w:szCs w:val="20"/>
        </w:rPr>
        <w:t xml:space="preserve">je </w:t>
      </w:r>
      <w:r>
        <w:rPr>
          <w:sz w:val="19"/>
          <w:szCs w:val="19"/>
        </w:rPr>
        <w:t>pracovat bez dostatečného hmotného zajištění, po jejich’ smrti teprve kupoval víc jejich díla, víc, než za jejich' života. (S výtvarnými umělci a hu</w:t>
      </w:r>
      <w:r>
        <w:rPr>
          <w:sz w:val="19"/>
          <w:szCs w:val="19"/>
        </w:rPr>
        <w:t>debníky ovšem také jinak nenakládal.) Jenom výjimkou se u nás spisovatel živil jenom spisovatelstvím, obyčejně úředničil, učitelo* val, redaktoroval, archivařil a po svých lopotných ho* dinách denního plahočení za živobytím sedal večeř k svému psacímu stol</w:t>
      </w:r>
      <w:r>
        <w:rPr>
          <w:sz w:val="19"/>
          <w:szCs w:val="19"/>
        </w:rPr>
        <w:t>u, aby tvořil trvalé hodnoty du| chové a mravní kultury národa. Český čtenář si jednou musí uvědomit, že on sám měl na tom hlavní vinu.</w:t>
      </w:r>
    </w:p>
    <w:p w:rsidR="00500724" w:rsidRDefault="00F30FB8">
      <w:pPr>
        <w:pStyle w:val="Zkladntext100"/>
        <w:shd w:val="clear" w:color="auto" w:fill="auto"/>
        <w:spacing w:line="211" w:lineRule="auto"/>
        <w:ind w:firstLine="220"/>
        <w:rPr>
          <w:sz w:val="19"/>
          <w:szCs w:val="19"/>
        </w:rPr>
      </w:pPr>
      <w:r>
        <w:rPr>
          <w:sz w:val="19"/>
          <w:szCs w:val="19"/>
        </w:rPr>
        <w:t>Umře-li nám ještě více novin než dosud umřelo, za* nikne-li ještě víc dobrých odborných časopisů a revuí uměleckých a vě</w:t>
      </w:r>
      <w:r>
        <w:rPr>
          <w:sz w:val="19"/>
          <w:szCs w:val="19"/>
        </w:rPr>
        <w:t xml:space="preserve">deckých než dosud zahynulo, bude to. také především zásluha českého čtenáře, jenž si dovedé každý den dopřát třeba jednoho piva, ale nedovede </w:t>
      </w:r>
      <w:r>
        <w:rPr>
          <w:sz w:val="20"/>
          <w:szCs w:val="20"/>
        </w:rPr>
        <w:t xml:space="preserve">s| </w:t>
      </w:r>
      <w:r>
        <w:rPr>
          <w:sz w:val="19"/>
          <w:szCs w:val="19"/>
        </w:rPr>
        <w:t xml:space="preserve">denně popřát pořádného čtení a poučení, není-li za* darmo. Český čtenář je také přesvědčen, že noviny ne* mají </w:t>
      </w:r>
      <w:r>
        <w:rPr>
          <w:sz w:val="19"/>
          <w:szCs w:val="19"/>
        </w:rPr>
        <w:t>nic jiného na práci, než sloužit každému jeho přání, třebas by bylo docela osobní. A český čtenář inseruje v novinách tak nerad a co nejlevněji, že admi* nistrace novin musejí mít pocit, že přijímají od inserentflĚ jakousi almužnu.</w:t>
      </w:r>
    </w:p>
    <w:p w:rsidR="00500724" w:rsidRDefault="00F30FB8">
      <w:pPr>
        <w:pStyle w:val="Zkladntext100"/>
        <w:shd w:val="clear" w:color="auto" w:fill="auto"/>
        <w:spacing w:line="211" w:lineRule="auto"/>
        <w:ind w:firstLine="220"/>
        <w:rPr>
          <w:sz w:val="19"/>
          <w:szCs w:val="19"/>
        </w:rPr>
      </w:pPr>
      <w:r>
        <w:rPr>
          <w:sz w:val="19"/>
          <w:szCs w:val="19"/>
        </w:rPr>
        <w:t xml:space="preserve">I to se vyvinulo </w:t>
      </w:r>
      <w:r>
        <w:rPr>
          <w:sz w:val="19"/>
          <w:szCs w:val="19"/>
        </w:rPr>
        <w:t>postupně vývojem českého novinář* ství a mělo různé příčiny. Nezištná podpora, kterou vše* chny české noviny věnovaly každému podniku, jimž se posilovalo národní vědomí, byla vystři* dána podporou, kterou jednotlivé politické strany nebo spolky poskytovaly</w:t>
      </w:r>
      <w:r>
        <w:rPr>
          <w:sz w:val="19"/>
          <w:szCs w:val="19"/>
        </w:rPr>
        <w:t xml:space="preserve"> ve svých denících a časopisech svým straníkům nebo příslušníkům. Věci dospěly tak daleko, že ještě dnes všechen denní tisk český přináší každý den zadarmo mnoho zpráv, které svou povahou jsou ryzími inseráty. Všude jinde v Evropě by za ně každý musil zapl</w:t>
      </w:r>
      <w:r>
        <w:rPr>
          <w:sz w:val="19"/>
          <w:szCs w:val="19"/>
        </w:rPr>
        <w:t>atit podle pevné sazby.</w:t>
      </w:r>
    </w:p>
    <w:p w:rsidR="00500724" w:rsidRDefault="00F30FB8">
      <w:pPr>
        <w:pStyle w:val="Zkladntext100"/>
        <w:shd w:val="clear" w:color="auto" w:fill="auto"/>
        <w:spacing w:after="40" w:line="211" w:lineRule="auto"/>
        <w:ind w:firstLine="220"/>
        <w:rPr>
          <w:sz w:val="19"/>
          <w:szCs w:val="19"/>
        </w:rPr>
      </w:pPr>
      <w:r>
        <w:rPr>
          <w:sz w:val="19"/>
          <w:szCs w:val="19"/>
        </w:rPr>
        <w:t>Všechna oznámení zábav, schůzí, slavností, sjezdů, zájezdů, sjezdů rodáků, sjezdů abiturientů, sbírek, dobročinných akcí, promocí atd. by se měly platit. Koná-li třicet lidí sjezd abiturientů po třiceti letech, jak mohou chtít po no</w:t>
      </w:r>
      <w:r>
        <w:rPr>
          <w:sz w:val="19"/>
          <w:szCs w:val="19"/>
        </w:rPr>
        <w:t>vinách, aby jim to zadarmo otiskly?</w:t>
      </w:r>
    </w:p>
    <w:p w:rsidR="00500724" w:rsidRDefault="00F30FB8">
      <w:pPr>
        <w:pStyle w:val="Zkladntext100"/>
        <w:shd w:val="clear" w:color="auto" w:fill="auto"/>
        <w:spacing w:line="209" w:lineRule="auto"/>
        <w:ind w:firstLine="0"/>
        <w:rPr>
          <w:sz w:val="19"/>
          <w:szCs w:val="19"/>
        </w:rPr>
      </w:pPr>
      <w:r>
        <w:rPr>
          <w:sz w:val="19"/>
          <w:szCs w:val="19"/>
        </w:rPr>
        <w:t>Co je to třicet soukromníků, aby jejich soukromý, třeba radostný podnik musil být zadarmo oznámen 100.000 čtenářů jenom proto, že jeden z těch třiceti je abonent těch novin? Jaký veřejný zájem tu je, aby se český předpla</w:t>
      </w:r>
      <w:r>
        <w:rPr>
          <w:sz w:val="19"/>
          <w:szCs w:val="19"/>
        </w:rPr>
        <w:t>titel nějakých novin odvážil žádat zadarmo oznámení takové výzvy ve svých novinách? — Jistě je to falešný názor českého čtenáře na úkol a povahu no</w:t>
      </w:r>
      <w:r>
        <w:rPr>
          <w:sz w:val="19"/>
          <w:szCs w:val="19"/>
        </w:rPr>
        <w:softHyphen/>
        <w:t>vin. Vysadit a vytisknout takovou zprávu o nastávajícím sjezdu třiceti starých abiturientů stojí práci a hot</w:t>
      </w:r>
      <w:r>
        <w:rPr>
          <w:sz w:val="19"/>
          <w:szCs w:val="19"/>
        </w:rPr>
        <w:t>ové peníze — jak je to možno neuznávat a nevidět?</w:t>
      </w:r>
    </w:p>
    <w:p w:rsidR="00500724" w:rsidRDefault="00F30FB8">
      <w:pPr>
        <w:pStyle w:val="Zkladntext100"/>
        <w:shd w:val="clear" w:color="auto" w:fill="auto"/>
        <w:spacing w:line="209" w:lineRule="auto"/>
        <w:ind w:firstLine="240"/>
        <w:rPr>
          <w:sz w:val="19"/>
          <w:szCs w:val="19"/>
        </w:rPr>
      </w:pPr>
      <w:r>
        <w:rPr>
          <w:sz w:val="19"/>
          <w:szCs w:val="19"/>
        </w:rPr>
        <w:t>Někdo dá místo věnce 50 korun na jakýkoli dobro</w:t>
      </w:r>
      <w:r>
        <w:rPr>
          <w:sz w:val="19"/>
          <w:szCs w:val="19"/>
        </w:rPr>
        <w:softHyphen/>
        <w:t>činný účel a žádá, aby se to zadarmo otisklo v novinách. Je abonent a obdarovaný dobročinný spolek prosí také — noviny s tím mají práci a hotové výlohy, a nik</w:t>
      </w:r>
      <w:r>
        <w:rPr>
          <w:sz w:val="19"/>
          <w:szCs w:val="19"/>
        </w:rPr>
        <w:t>do si neuvědomí, že je to reklama, kterou má zapíatit ten, kdo ji chce v novinách mít (af dárce, či obdarovaný).</w:t>
      </w:r>
    </w:p>
    <w:p w:rsidR="00500724" w:rsidRDefault="00F30FB8">
      <w:pPr>
        <w:pStyle w:val="Zkladntext100"/>
        <w:shd w:val="clear" w:color="auto" w:fill="auto"/>
        <w:spacing w:line="209" w:lineRule="auto"/>
        <w:ind w:firstLine="240"/>
        <w:rPr>
          <w:sz w:val="19"/>
          <w:szCs w:val="19"/>
        </w:rPr>
      </w:pPr>
      <w:r>
        <w:rPr>
          <w:sz w:val="19"/>
          <w:szCs w:val="19"/>
        </w:rPr>
        <w:t>U nás se chce po novinách, aby obdobné re</w:t>
      </w:r>
      <w:r>
        <w:rPr>
          <w:sz w:val="19"/>
          <w:szCs w:val="19"/>
        </w:rPr>
        <w:softHyphen/>
        <w:t>klamy pro jakékoli sbírky tiskly zadarmo. Nehle</w:t>
      </w:r>
      <w:r>
        <w:rPr>
          <w:sz w:val="19"/>
          <w:szCs w:val="19"/>
        </w:rPr>
        <w:softHyphen/>
        <w:t>díc k tomu, že takový dar, který naše noviny podobným</w:t>
      </w:r>
      <w:r>
        <w:rPr>
          <w:sz w:val="19"/>
          <w:szCs w:val="19"/>
        </w:rPr>
        <w:t xml:space="preserve"> bezplatným uveřejňováním jmen dárců dá</w:t>
      </w:r>
      <w:r>
        <w:rPr>
          <w:sz w:val="19"/>
          <w:szCs w:val="19"/>
        </w:rPr>
        <w:softHyphen/>
        <w:t>vají, je účetnicky těžko vyjádřitelný, nepochybuje</w:t>
      </w:r>
      <w:r>
        <w:rPr>
          <w:sz w:val="19"/>
          <w:szCs w:val="19"/>
        </w:rPr>
        <w:softHyphen/>
        <w:t>me, že každé vydavatelstvo novin by raději dalo samo svůj příspěvek a raději by vidělo pořádek ve svém účetnictví a kalkulaci. Ale podstata toho je: všude ve světě s</w:t>
      </w:r>
      <w:r>
        <w:rPr>
          <w:sz w:val="19"/>
          <w:szCs w:val="19"/>
        </w:rPr>
        <w:t>e přísně rozlišuje, co je reklama a zač se musí v novinách platiti. U nás se. chce po novinách všecko zadarmo, jakmile se někdo může vykázat předplatním lístkem nebo ^veřejným zájmem«, dobročinností nebo zájmem spolku o třiceti členech.</w:t>
      </w:r>
    </w:p>
    <w:p w:rsidR="00500724" w:rsidRDefault="00F30FB8">
      <w:pPr>
        <w:pStyle w:val="Zkladntext100"/>
        <w:shd w:val="clear" w:color="auto" w:fill="auto"/>
        <w:spacing w:line="209" w:lineRule="auto"/>
        <w:ind w:firstLine="240"/>
        <w:rPr>
          <w:sz w:val="19"/>
          <w:szCs w:val="19"/>
        </w:rPr>
      </w:pPr>
      <w:r>
        <w:rPr>
          <w:sz w:val="19"/>
          <w:szCs w:val="19"/>
        </w:rPr>
        <w:t>Na celém světě je t</w:t>
      </w:r>
      <w:r>
        <w:rPr>
          <w:sz w:val="19"/>
          <w:szCs w:val="19"/>
        </w:rPr>
        <w:t>aké samozřejmé, že sportovní vý</w:t>
      </w:r>
      <w:r>
        <w:rPr>
          <w:sz w:val="19"/>
          <w:szCs w:val="19"/>
        </w:rPr>
        <w:softHyphen/>
        <w:t xml:space="preserve">dělečné podniky se v novinách inserují. Při posledním mistrovství světa v ledním hockeyi ve Svýcařích mohl český čtenář sledovat ve švýcarských listech, curyš- ských a basilejských, půlstránkové inseráty na polo- íinale </w:t>
      </w:r>
      <w:r>
        <w:rPr>
          <w:sz w:val="19"/>
          <w:szCs w:val="19"/>
          <w:lang w:val="en-US" w:eastAsia="en-US" w:bidi="en-US"/>
        </w:rPr>
        <w:t>a fi</w:t>
      </w:r>
      <w:r>
        <w:rPr>
          <w:sz w:val="19"/>
          <w:szCs w:val="19"/>
          <w:lang w:val="en-US" w:eastAsia="en-US" w:bidi="en-US"/>
        </w:rPr>
        <w:t xml:space="preserve">nale </w:t>
      </w:r>
      <w:r>
        <w:rPr>
          <w:sz w:val="19"/>
          <w:szCs w:val="19"/>
        </w:rPr>
        <w:t>v hockeyovém mistrovství. U nás se tato služba všem i profesionálním podnikům dělala a dělá zadarmo a na celých stránkách.</w:t>
      </w:r>
    </w:p>
    <w:p w:rsidR="00500724" w:rsidRDefault="00F30FB8">
      <w:pPr>
        <w:pStyle w:val="Zkladntext100"/>
        <w:shd w:val="clear" w:color="auto" w:fill="auto"/>
        <w:spacing w:line="209" w:lineRule="auto"/>
        <w:ind w:firstLine="240"/>
        <w:rPr>
          <w:sz w:val="19"/>
          <w:szCs w:val="19"/>
        </w:rPr>
      </w:pPr>
      <w:r>
        <w:rPr>
          <w:sz w:val="19"/>
          <w:szCs w:val="19"/>
        </w:rPr>
        <w:t>Plesy, zejména v Praze, se oznamují většinou v den</w:t>
      </w:r>
      <w:r>
        <w:rPr>
          <w:sz w:val="19"/>
          <w:szCs w:val="19"/>
        </w:rPr>
        <w:softHyphen/>
        <w:t>ním tisku zadarmo. Pořadatelstva plesů dávají tisknout ohromné plakáty, zvláš</w:t>
      </w:r>
      <w:r>
        <w:rPr>
          <w:sz w:val="19"/>
          <w:szCs w:val="19"/>
        </w:rPr>
        <w:t>tní pozvánky, vstupenky, platí Výzdobu, platí sál, platí hudbu, ale noviny mají jim dělat reklamu zadarmo na vlastní náklad. A při tom si plesový výbor dovoluje předpisovat novinám, kdy se jeho čtyřiceti- až padesátiřádkové kecání o maškarním tážu a vynika</w:t>
      </w:r>
      <w:r>
        <w:rPr>
          <w:sz w:val="19"/>
          <w:szCs w:val="19"/>
        </w:rPr>
        <w:t>jících členech čestného předsednictva má otisknout a dokonce žádá, aby se otisklo dvakrát a na tom či onom místě. Plesový výbor zaplatí dobrých 100.000 K na různá vydání plesová, při tom — je-li na takovém »representačním plese« 2000 účastníků, může</w:t>
      </w:r>
      <w:r>
        <w:rPr>
          <w:sz w:val="19"/>
          <w:szCs w:val="19"/>
        </w:rPr>
        <w:softHyphen/>
        <w:t>me smě</w:t>
      </w:r>
      <w:r>
        <w:rPr>
          <w:sz w:val="19"/>
          <w:szCs w:val="19"/>
        </w:rPr>
        <w:t>le počítat, že se za šaty, auta, jídlo, pití, květiny átd. utratí průměrně 300 až 500 korun na jednoho účast</w:t>
      </w:r>
      <w:r>
        <w:rPr>
          <w:sz w:val="19"/>
          <w:szCs w:val="19"/>
        </w:rPr>
        <w:softHyphen/>
        <w:t>níka plesu, čili obrátí se na takovém plese dobře na milion korun, ale všechny pražské české deníky mají této zábavě dělat reklamu zadarmo. Z národ</w:t>
      </w:r>
      <w:r>
        <w:rPr>
          <w:sz w:val="19"/>
          <w:szCs w:val="19"/>
        </w:rPr>
        <w:t>ní povin</w:t>
      </w:r>
      <w:r>
        <w:rPr>
          <w:sz w:val="19"/>
          <w:szCs w:val="19"/>
        </w:rPr>
        <w:softHyphen/>
        <w:t>nosti prý.</w:t>
      </w:r>
    </w:p>
    <w:p w:rsidR="00500724" w:rsidRDefault="00F30FB8">
      <w:pPr>
        <w:pStyle w:val="Zkladntext100"/>
        <w:shd w:val="clear" w:color="auto" w:fill="auto"/>
        <w:spacing w:after="60" w:line="209" w:lineRule="auto"/>
        <w:ind w:firstLine="240"/>
        <w:rPr>
          <w:sz w:val="19"/>
          <w:szCs w:val="19"/>
        </w:rPr>
      </w:pPr>
      <w:r>
        <w:rPr>
          <w:sz w:val="19"/>
          <w:szCs w:val="19"/>
        </w:rPr>
        <w:t xml:space="preserve">To všechno má kořen ve falešném názoru českém na povinnost novin a lze to napravit jenom souručenstvím Všech vydavatelstev novin. Německé noviny ovšem mají </w:t>
      </w:r>
      <w:r>
        <w:rPr>
          <w:sz w:val="20"/>
          <w:szCs w:val="20"/>
        </w:rPr>
        <w:t xml:space="preserve">i </w:t>
      </w:r>
      <w:r>
        <w:rPr>
          <w:sz w:val="19"/>
          <w:szCs w:val="19"/>
        </w:rPr>
        <w:t>v těchto věcech pořádek. Všechna oznámení tohoto druhu spolková a jiná mají vy</w:t>
      </w:r>
      <w:r>
        <w:rPr>
          <w:sz w:val="19"/>
          <w:szCs w:val="19"/>
        </w:rPr>
        <w:t>hrazeno místo před insertní částí zároveň s divadly, koncerty atd., a zprávy spolkové, přednášky, zájezdy, sjezdy atd. by se měly otiskovat v českých listech zásadně jen za peníze, ovšem za nižší sazby než insertní. Všechny tyto zprávy by se musily podávat</w:t>
      </w:r>
      <w:r>
        <w:rPr>
          <w:sz w:val="19"/>
          <w:szCs w:val="19"/>
        </w:rPr>
        <w:t xml:space="preserve"> ne redakci, nýbrž insertnímu oddělení a všechny by se musily platit. Třeba jenom tři až pět korun řádek, aby se tím kryl výrobní náklad a mani</w:t>
      </w:r>
      <w:r>
        <w:rPr>
          <w:sz w:val="19"/>
          <w:szCs w:val="19"/>
        </w:rPr>
        <w:softHyphen/>
        <w:t>pulace. Spolky a korporace by pak měly tu výhodu, že by opravdu si mohly předpisovat datum uveřejnění.</w:t>
      </w:r>
    </w:p>
    <w:p w:rsidR="00500724" w:rsidRDefault="00F30FB8">
      <w:pPr>
        <w:pStyle w:val="Zkladntext100"/>
        <w:shd w:val="clear" w:color="auto" w:fill="auto"/>
        <w:spacing w:line="209" w:lineRule="auto"/>
        <w:ind w:firstLine="0"/>
        <w:jc w:val="center"/>
        <w:rPr>
          <w:sz w:val="19"/>
          <w:szCs w:val="19"/>
        </w:rPr>
      </w:pPr>
      <w:r>
        <w:rPr>
          <w:sz w:val="19"/>
          <w:szCs w:val="19"/>
        </w:rPr>
        <w:t>Proč pokl</w:t>
      </w:r>
      <w:r>
        <w:rPr>
          <w:sz w:val="19"/>
          <w:szCs w:val="19"/>
        </w:rPr>
        <w:t>esla inserce</w:t>
      </w:r>
    </w:p>
    <w:p w:rsidR="00500724" w:rsidRDefault="00F30FB8">
      <w:pPr>
        <w:pStyle w:val="Zkladntext100"/>
        <w:shd w:val="clear" w:color="auto" w:fill="auto"/>
        <w:spacing w:line="209" w:lineRule="auto"/>
        <w:ind w:firstLine="240"/>
        <w:rPr>
          <w:sz w:val="19"/>
          <w:szCs w:val="19"/>
        </w:rPr>
      </w:pPr>
      <w:r>
        <w:rPr>
          <w:sz w:val="19"/>
          <w:szCs w:val="19"/>
        </w:rPr>
        <w:t>Inserce v českých novinách klesala už v minulých letech. Bylo to způsobeno jednak hospodářskou krisi, jednak tvořením kartelů a monopolů. Kdykoli se utvořil kartel nebo zájmové souručenství, ustaly inseráty. Kar- telními smlouvami se často zak</w:t>
      </w:r>
      <w:r>
        <w:rPr>
          <w:sz w:val="19"/>
          <w:szCs w:val="19"/>
        </w:rPr>
        <w:t>azovalo inserovat vůbec. Výrobci si rozdělili zájmové oblasti, určili, kolik kdo čeho smí vyrobit a tak se přestaly zajímat o propagací svých výrobků.</w:t>
      </w:r>
    </w:p>
    <w:p w:rsidR="00500724" w:rsidRDefault="00F30FB8">
      <w:pPr>
        <w:pStyle w:val="Zkladntext100"/>
        <w:shd w:val="clear" w:color="auto" w:fill="auto"/>
        <w:spacing w:line="233" w:lineRule="auto"/>
        <w:ind w:firstLine="220"/>
        <w:rPr>
          <w:sz w:val="19"/>
          <w:szCs w:val="19"/>
        </w:rPr>
      </w:pPr>
      <w:r>
        <w:rPr>
          <w:sz w:val="19"/>
          <w:szCs w:val="19"/>
        </w:rPr>
        <w:t>Česká výroba a obchod vůbec neměly nikdy kladného poměru k inserci, pokládali ji jenom za zlo, jako by ji</w:t>
      </w:r>
      <w:r>
        <w:rPr>
          <w:sz w:val="19"/>
          <w:szCs w:val="19"/>
        </w:rPr>
        <w:t>m inserce nic nepřinášela. Jediný Baťa a některé kon</w:t>
      </w:r>
      <w:r>
        <w:rPr>
          <w:sz w:val="19"/>
          <w:szCs w:val="19"/>
        </w:rPr>
        <w:softHyphen/>
        <w:t>fekční a farmaceutické firmy pěstovaly inserci záměrně a vydělávaly na ní. Převážná většina výroby a obchod- nictva u nás dosud pokládá inserci za zbytečnou inves</w:t>
      </w:r>
      <w:r>
        <w:rPr>
          <w:sz w:val="19"/>
          <w:szCs w:val="19"/>
        </w:rPr>
        <w:softHyphen/>
        <w:t>tici. Ačkoliv cukerní průmysl — na příkl</w:t>
      </w:r>
      <w:r>
        <w:rPr>
          <w:sz w:val="19"/>
          <w:szCs w:val="19"/>
        </w:rPr>
        <w:t>ad — mohl inserci v letech, kdy toho potřeboval, zvýšit značně spo</w:t>
      </w:r>
      <w:r>
        <w:rPr>
          <w:sz w:val="19"/>
          <w:szCs w:val="19"/>
        </w:rPr>
        <w:softHyphen/>
        <w:t>třebu cukru doma, pokoušel se o to málokdy. Naše pivo</w:t>
      </w:r>
      <w:r>
        <w:rPr>
          <w:sz w:val="19"/>
          <w:szCs w:val="19"/>
        </w:rPr>
        <w:softHyphen/>
        <w:t>vary si také myslí, že nepotřebují inserovat vůbec.</w:t>
      </w:r>
    </w:p>
    <w:p w:rsidR="00500724" w:rsidRDefault="00F30FB8">
      <w:pPr>
        <w:pStyle w:val="Zkladntext100"/>
        <w:shd w:val="clear" w:color="auto" w:fill="auto"/>
        <w:spacing w:line="223" w:lineRule="auto"/>
        <w:ind w:firstLine="220"/>
        <w:rPr>
          <w:sz w:val="19"/>
          <w:szCs w:val="19"/>
        </w:rPr>
      </w:pPr>
      <w:r>
        <w:rPr>
          <w:sz w:val="19"/>
          <w:szCs w:val="19"/>
        </w:rPr>
        <w:t xml:space="preserve">Ale bez inserce nemůže být dobrých novin finančně. Je však možno doufat, že v </w:t>
      </w:r>
      <w:r>
        <w:rPr>
          <w:sz w:val="19"/>
          <w:szCs w:val="19"/>
        </w:rPr>
        <w:t>krátké době budou musit naše firmy hledat inseráty ne-li odběratele svého zboží, tedy jistě dělníky, zaměstnance vyšší kvalifikace a úředníky. Dosud se většinou naše firmy spokojují s inserci v Malých oznamovatelích. Říšské (a také švýcarské německé listy)</w:t>
      </w:r>
      <w:r>
        <w:rPr>
          <w:sz w:val="19"/>
          <w:szCs w:val="19"/>
        </w:rPr>
        <w:t xml:space="preserve"> mají naopak už několik let inserci velkých výrobců i obchodníků, kteří hledají inže- nýry, ředitele, tajemníky, stenotypisty, ve velkém měřít</w:t>
      </w:r>
      <w:r>
        <w:rPr>
          <w:sz w:val="19"/>
          <w:szCs w:val="19"/>
        </w:rPr>
        <w:softHyphen/>
        <w:t>ku a v neděli na několika stranách. Je těžko donutit někoho, aby inseroval, nevidí-li v tom svůj vlastní zá</w:t>
      </w:r>
      <w:r>
        <w:rPr>
          <w:sz w:val="19"/>
          <w:szCs w:val="19"/>
        </w:rPr>
        <w:softHyphen/>
        <w:t xml:space="preserve">jem. </w:t>
      </w:r>
      <w:r>
        <w:rPr>
          <w:sz w:val="19"/>
          <w:szCs w:val="19"/>
        </w:rPr>
        <w:t>Ale i v tom, jak málo a špatně česká výroba a obchod inserují, je vidět úzkoprsý a zaostalý názor čes</w:t>
      </w:r>
      <w:r>
        <w:rPr>
          <w:sz w:val="19"/>
          <w:szCs w:val="19"/>
        </w:rPr>
        <w:softHyphen/>
        <w:t>kého člověka na povahu českého denního tisku. Každý textilní továrník by chtěl mít na příklad v novinách, které odbírá, všechny důležité kursy bavlny a vl</w:t>
      </w:r>
      <w:r>
        <w:rPr>
          <w:sz w:val="19"/>
          <w:szCs w:val="19"/>
        </w:rPr>
        <w:t>ny na všech důležitých světových bursách. A vymáhá to na novinách jenom z toho titulu, že je předplatitel těch novin za 22 korun měsíčně. Hrozí, že je nebude odbírat, nenajde-li ty kursy každý den v prvním vydání, které jde z Prahy na venkov. Neuvědomí si,</w:t>
      </w:r>
      <w:r>
        <w:rPr>
          <w:sz w:val="19"/>
          <w:szCs w:val="19"/>
        </w:rPr>
        <w:t xml:space="preserve"> co ty noviny do</w:t>
      </w:r>
      <w:r>
        <w:rPr>
          <w:sz w:val="19"/>
          <w:szCs w:val="19"/>
        </w:rPr>
        <w:softHyphen/>
        <w:t>plácejí na takové bursovní zpravodajství, třebas by těch zájemců o speciální kursy bylo i dohromady sto. Byli obchodníci, kteří si dávali mezi 22. až 24. hodinou telefonovat z některé redakce kursy některého zvlášt</w:t>
      </w:r>
      <w:r>
        <w:rPr>
          <w:sz w:val="19"/>
          <w:szCs w:val="19"/>
        </w:rPr>
        <w:softHyphen/>
        <w:t>ního zboží na cizích bur</w:t>
      </w:r>
      <w:r>
        <w:rPr>
          <w:sz w:val="19"/>
          <w:szCs w:val="19"/>
        </w:rPr>
        <w:t>sách a ještě v noci podle těchto kursů řídili telegraficky i telefonicky obchody v cizině. Mohli by si to zpravodajství obstarat od tiskové kan</w:t>
      </w:r>
      <w:r>
        <w:rPr>
          <w:sz w:val="19"/>
          <w:szCs w:val="19"/>
        </w:rPr>
        <w:softHyphen/>
        <w:t xml:space="preserve">celáře, a dostávat je o půl hodiny dříve. Ale byli by ovšem za ně musili platit. To se jim nechtělo, protože to </w:t>
      </w:r>
      <w:r>
        <w:rPr>
          <w:sz w:val="19"/>
          <w:szCs w:val="19"/>
        </w:rPr>
        <w:t>stojí hodně peněz. Když byli z redakce vyhozeni — redakce nesmějí dávat podle smlouvy žádnou zprávu tiskové kanceláře jinam než do svých novin — čekávali ti obchodníci u tiskárny na první výtisk novin, aby kurs měli ještě večer a mohli v noci dát telegrafi</w:t>
      </w:r>
      <w:r>
        <w:rPr>
          <w:sz w:val="19"/>
          <w:szCs w:val="19"/>
        </w:rPr>
        <w:t>cky své příkazy do ciziny. Byli tedy ochotni dáti nejvýš korunu za zprávu pro sebe svrchovaně důležitou a výnosnou a jenom proto si kupovali jedno číslo novin — takový byl poměr obchodníků k novinám, obchodníků, v jejichž rukou a na jejichž příkaz se obrac</w:t>
      </w:r>
      <w:r>
        <w:rPr>
          <w:sz w:val="19"/>
          <w:szCs w:val="19"/>
        </w:rPr>
        <w:t>ely denně na bursách miliony.</w:t>
      </w:r>
    </w:p>
    <w:p w:rsidR="00500724" w:rsidRDefault="00F30FB8">
      <w:pPr>
        <w:pStyle w:val="Zkladntext100"/>
        <w:shd w:val="clear" w:color="auto" w:fill="auto"/>
        <w:spacing w:line="223" w:lineRule="auto"/>
        <w:ind w:firstLine="220"/>
        <w:rPr>
          <w:sz w:val="19"/>
          <w:szCs w:val="19"/>
        </w:rPr>
      </w:pPr>
      <w:r>
        <w:rPr>
          <w:sz w:val="19"/>
          <w:szCs w:val="19"/>
        </w:rPr>
        <w:t>I to se změní teprve tehdy, když si celý národ bude svých novin vážit jako hodnoty, která má stejně svou peněžní cenu jako houska na krámě, jako půllitr plzeň</w:t>
      </w:r>
      <w:r>
        <w:rPr>
          <w:sz w:val="19"/>
          <w:szCs w:val="19"/>
        </w:rPr>
        <w:softHyphen/>
        <w:t>ského v hospodě, jako jablko na trhu a jako deset nej- levnějších c</w:t>
      </w:r>
      <w:r>
        <w:rPr>
          <w:sz w:val="19"/>
          <w:szCs w:val="19"/>
        </w:rPr>
        <w:t>igaret v trafice. Bez zásadní změny českeho člověka v tom, jakou skutečnou hodnotu přičítá novinám a všemu tisku a tištěnému slovu vůbec, nebude nápravy. Pouhým zdražením zachráníme náš tisk denní i revu</w:t>
      </w:r>
      <w:r>
        <w:rPr>
          <w:sz w:val="19"/>
          <w:szCs w:val="19"/>
        </w:rPr>
        <w:softHyphen/>
        <w:t>ální, ale nepozvedneme jej tam, kde má být, na světo</w:t>
      </w:r>
      <w:r>
        <w:rPr>
          <w:sz w:val="19"/>
          <w:szCs w:val="19"/>
        </w:rPr>
        <w:t>vou úroveň duchovou, mravní i finanční. Bez vnitřní změny českého čtenářstva nepovzneseme ani českého spiso</w:t>
      </w:r>
      <w:r>
        <w:rPr>
          <w:sz w:val="19"/>
          <w:szCs w:val="19"/>
        </w:rPr>
        <w:softHyphen/>
        <w:t>vatele ani redaktora ani umělce.</w:t>
      </w:r>
    </w:p>
    <w:p w:rsidR="00500724" w:rsidRDefault="00F30FB8">
      <w:pPr>
        <w:pStyle w:val="Jin0"/>
        <w:pBdr>
          <w:bottom w:val="single" w:sz="4" w:space="0" w:color="auto"/>
        </w:pBdr>
        <w:shd w:val="clear" w:color="auto" w:fill="auto"/>
        <w:spacing w:after="220"/>
        <w:ind w:firstLine="0"/>
        <w:jc w:val="left"/>
        <w:rPr>
          <w:sz w:val="44"/>
          <w:szCs w:val="44"/>
        </w:rPr>
      </w:pPr>
      <w:r>
        <w:rPr>
          <w:b/>
          <w:bCs/>
          <w:sz w:val="44"/>
          <w:szCs w:val="44"/>
        </w:rPr>
        <w:t>doba a lidé</w:t>
      </w:r>
    </w:p>
    <w:p w:rsidR="00500724" w:rsidRDefault="00F30FB8">
      <w:pPr>
        <w:pStyle w:val="Zkladntext20"/>
        <w:shd w:val="clear" w:color="auto" w:fill="auto"/>
        <w:spacing w:after="80" w:line="223" w:lineRule="auto"/>
        <w:ind w:firstLine="0"/>
        <w:jc w:val="left"/>
        <w:rPr>
          <w:sz w:val="20"/>
          <w:szCs w:val="20"/>
        </w:rPr>
      </w:pPr>
      <w:r>
        <w:rPr>
          <w:i/>
          <w:iCs/>
          <w:sz w:val="20"/>
          <w:szCs w:val="20"/>
        </w:rPr>
        <w:t>Jaroslav R e ř áb e k:</w:t>
      </w:r>
    </w:p>
    <w:p w:rsidR="00500724" w:rsidRDefault="00F30FB8">
      <w:pPr>
        <w:pStyle w:val="Nadpis100"/>
        <w:shd w:val="clear" w:color="auto" w:fill="auto"/>
        <w:spacing w:line="240" w:lineRule="auto"/>
      </w:pPr>
      <w:bookmarkStart w:id="733" w:name="bookmark732"/>
      <w:r>
        <w:t>U hraniční závory</w:t>
      </w:r>
      <w:bookmarkEnd w:id="733"/>
    </w:p>
    <w:p w:rsidR="00500724" w:rsidRDefault="00F30FB8">
      <w:pPr>
        <w:pStyle w:val="Zkladntext20"/>
        <w:shd w:val="clear" w:color="auto" w:fill="auto"/>
        <w:spacing w:after="40" w:line="223" w:lineRule="auto"/>
      </w:pPr>
      <w:r>
        <w:t xml:space="preserve">Bývalo to vždycky tiché, skrovné, a malé venkovské městečko. </w:t>
      </w:r>
      <w:r>
        <w:t>Kdysi mělo čilý průmysl, ale o dobrou polovici toho je připravila krise. Od těch časů žilo teprv zakřiknutě, jakoby šeptem.</w:t>
      </w:r>
    </w:p>
    <w:p w:rsidR="00500724" w:rsidRDefault="00F30FB8">
      <w:pPr>
        <w:pStyle w:val="Zkladntext20"/>
        <w:shd w:val="clear" w:color="auto" w:fill="auto"/>
        <w:spacing w:after="40" w:line="221" w:lineRule="auto"/>
      </w:pPr>
      <w:r>
        <w:t>Okolo něho přechází krajina z roviny do mírně zvlněné lesnaté pahorkatiny na sever, severozápad a severovýchod, oblíbeného cíle výle</w:t>
      </w:r>
      <w:r>
        <w:t>tů a dovolených.</w:t>
      </w:r>
    </w:p>
    <w:p w:rsidR="00500724" w:rsidRDefault="00F30FB8">
      <w:pPr>
        <w:pStyle w:val="Zkladntext20"/>
        <w:shd w:val="clear" w:color="auto" w:fill="auto"/>
        <w:spacing w:after="40" w:line="204" w:lineRule="auto"/>
      </w:pPr>
      <w:r>
        <w:t>Ostrou serpentinou se vyhoupne k městečku silnice, přetne čtvercové náměstí s parčíkem, poštou, soudem a hotelem, a vyběhne ven a vine se jako stužka poli, lesy, loukami dobrých sto kilometrů dál, tam, kde kdysi bývaly hranice.</w:t>
      </w:r>
    </w:p>
    <w:p w:rsidR="00500724" w:rsidRDefault="00F30FB8">
      <w:pPr>
        <w:pStyle w:val="Zkladntext20"/>
        <w:shd w:val="clear" w:color="auto" w:fill="auto"/>
        <w:spacing w:after="40" w:line="204" w:lineRule="auto"/>
      </w:pPr>
      <w:r>
        <w:t>Silnice při</w:t>
      </w:r>
      <w:r>
        <w:t>nášela městečku trochu života. Denně po ní fičely desítky aut oběma směry; některé prolétly a nechaly za sebou jen mráček prachu a trochu čmou</w:t>
      </w:r>
      <w:r>
        <w:softHyphen/>
        <w:t>du, jiné se zastavily na skok, nebo i na déle. Lidé postávali na náměstí a pozorovali život tepny svého města.</w:t>
      </w:r>
    </w:p>
    <w:p w:rsidR="00500724" w:rsidRDefault="00F30FB8">
      <w:pPr>
        <w:pStyle w:val="Zkladntext20"/>
        <w:shd w:val="clear" w:color="auto" w:fill="auto"/>
        <w:spacing w:after="40" w:line="202" w:lineRule="auto"/>
      </w:pPr>
      <w:r>
        <w:t>Kd</w:t>
      </w:r>
      <w:r>
        <w:t>yž se snesl soumrak, proměnilo se náměstí v kor- so, kde se promenovalo od hotelu k soudu, od soudu k poště, od pošty k lékárně, zpátky k hotelu, a zas znova dokola, nebo opačným směrem.</w:t>
      </w:r>
    </w:p>
    <w:p w:rsidR="00500724" w:rsidRDefault="00F30FB8">
      <w:pPr>
        <w:pStyle w:val="Zkladntext20"/>
        <w:shd w:val="clear" w:color="auto" w:fill="auto"/>
        <w:spacing w:after="80" w:line="202" w:lineRule="auto"/>
      </w:pPr>
      <w:r>
        <w:t>Dnes to člověka hned při příchodu překvapí, jak je tu všechno jiné. S</w:t>
      </w:r>
      <w:r>
        <w:t>ilnice je opuštěná, kde ses dříve krčil po straně na uzoučkém pásu, vykračuješ si dnes prostředkem jako pán. Děti si tu nerušeně hrají, a ustarané mámy ani nemusí stále vyhlížet okny, aby se malým uličníkům něco nestalo. Kdyby nebyla asfaltovaná, počala by</w:t>
      </w:r>
      <w:r>
        <w:t xml:space="preserve"> snad silnice zarůstat travou.</w:t>
      </w:r>
    </w:p>
    <w:p w:rsidR="00500724" w:rsidRDefault="00F30FB8">
      <w:pPr>
        <w:pStyle w:val="Zkladntext20"/>
        <w:shd w:val="clear" w:color="auto" w:fill="auto"/>
        <w:spacing w:after="40" w:line="204" w:lineRule="auto"/>
      </w:pPr>
      <w:r>
        <w:t xml:space="preserve">Vcházíme do městečka, a zrovna padá soumrak na střechy. Takový pravý letní podvečer. Avšak co to — náměstí je jako vymetené, nikde človíčka, nikde hlasu, ticho jako v kostele. Promenáda osiřela, a lavičky pod stromy jsou </w:t>
      </w:r>
      <w:r>
        <w:t>prázdné. Ani si neuvědomíš, a táhne tě to po silnici dál z městečka ven.</w:t>
      </w:r>
    </w:p>
    <w:p w:rsidR="00500724" w:rsidRDefault="00F30FB8">
      <w:pPr>
        <w:pStyle w:val="Zkladntext20"/>
        <w:shd w:val="clear" w:color="auto" w:fill="auto"/>
        <w:spacing w:after="40" w:line="206" w:lineRule="auto"/>
      </w:pPr>
      <w:r>
        <w:t>U posledních domků sedí hlouček občanů, u vyso</w:t>
      </w:r>
      <w:r>
        <w:softHyphen/>
        <w:t>kého milníku s orientační cedulí rokují tři mladíci. Dál je cesta zase prázdná.</w:t>
      </w:r>
    </w:p>
    <w:p w:rsidR="00500724" w:rsidRDefault="00F30FB8">
      <w:pPr>
        <w:pStyle w:val="Zkladntext20"/>
        <w:shd w:val="clear" w:color="auto" w:fill="auto"/>
        <w:spacing w:after="40" w:line="204" w:lineRule="auto"/>
      </w:pPr>
      <w:r>
        <w:t>To už jsme v polích. Po stranách šumí lány obilí, a celý</w:t>
      </w:r>
      <w:r>
        <w:t xml:space="preserve"> kraj se před námi rozprostřel jako na dlani. Překrásný kraj s modravými obzory a červánky nad horizontem lesů. V polích čas od času pískne myš, z lesa se ozve sojka. Štěpy u silničního příkopu se červenají třešněmi jako korálky. Připadáš si jako malý kluk</w:t>
      </w:r>
      <w:r>
        <w:t>, jak tě to svádí natáhnout ruku a hrst si utrhnout.</w:t>
      </w:r>
    </w:p>
    <w:p w:rsidR="00500724" w:rsidRDefault="00F30FB8">
      <w:pPr>
        <w:pStyle w:val="Zkladntext20"/>
        <w:shd w:val="clear" w:color="auto" w:fill="auto"/>
        <w:spacing w:after="40" w:line="204" w:lineRule="auto"/>
      </w:pPr>
      <w:r>
        <w:t>V záhybu silnice potkáváme první chodce jdoucí proti nám. A hle, za nimi jdou další, kus dál opět jiní, a v dálce se v šeru rýsují ještě postavy. Také kus cesty před námi míří kdosi stejným směrem jako m</w:t>
      </w:r>
      <w:r>
        <w:t>y. Všichni jdou zvolna, krok za krokem, tu po dvou, jindy zas v malých hloučcích. Ač se již pozdí, nespěchají a neodbočují třeba tady vpravo do polí na nadcházku, kterou by ses přes samotu dostal údolím a lesem k vesnici na kopci, nebo přes bučinu k oboře.</w:t>
      </w:r>
      <w:r>
        <w:t xml:space="preserve"> Ne</w:t>
      </w:r>
      <w:r>
        <w:softHyphen/>
        <w:t>směřují ani k úvozu vlevo, který vede dolů přes trať kolem hájovny a přes paseky k pile a sousední vsi, Jen tak, jakoby nic, se procházejí, jak na promenádě.</w:t>
      </w:r>
    </w:p>
    <w:p w:rsidR="00500724" w:rsidRDefault="00F30FB8">
      <w:pPr>
        <w:pStyle w:val="Zkladntext20"/>
        <w:shd w:val="clear" w:color="auto" w:fill="auto"/>
        <w:spacing w:after="40" w:line="223" w:lineRule="auto"/>
      </w:pPr>
      <w:r>
        <w:t xml:space="preserve">Číslo na milníku ukazuje, že jsme právě kilometr </w:t>
      </w:r>
      <w:r>
        <w:rPr>
          <w:b/>
          <w:bCs/>
          <w:sz w:val="26"/>
          <w:szCs w:val="26"/>
        </w:rPr>
        <w:t xml:space="preserve">za </w:t>
      </w:r>
      <w:r>
        <w:t>městečkem. Za tím ohybem tady se silnice n</w:t>
      </w:r>
      <w:r>
        <w:t>atahuje až je rovná jako šňůra, a líně jak kočičí hřbet se vlní přes nizounké pahrbky. Pane, tady se to vždycky při</w:t>
      </w:r>
      <w:r>
        <w:softHyphen/>
        <w:t>šláplo, až to fičelo, a kdo šel pěšky, ten aspoň přidal do kroku. A tak se rozběhnete jako jindy, ale chyba lávky! Z šera před vámi najednou</w:t>
      </w:r>
      <w:r>
        <w:t xml:space="preserve"> vyvstane závora přes silnici a stojíte.</w:t>
      </w:r>
    </w:p>
    <w:p w:rsidR="00500724" w:rsidRDefault="00F30FB8">
      <w:pPr>
        <w:pStyle w:val="Zkladntext20"/>
        <w:shd w:val="clear" w:color="auto" w:fill="auto"/>
        <w:spacing w:after="40" w:line="204" w:lineRule="auto"/>
      </w:pPr>
      <w:r>
        <w:t>Hranice.</w:t>
      </w:r>
    </w:p>
    <w:p w:rsidR="00500724" w:rsidRDefault="00F30FB8">
      <w:pPr>
        <w:pStyle w:val="Zkladntext20"/>
        <w:shd w:val="clear" w:color="auto" w:fill="auto"/>
        <w:spacing w:after="40" w:line="209" w:lineRule="auto"/>
      </w:pPr>
      <w:r>
        <w:t>Člověku se nechce věřit. Zná zde ten kraj, jako nevím co, málem o každém kameni tu ví. Co se právě tudy nachodil, zvyklý běžet, kam ho nohy nesly. Teď že musí na začátku cesty zůstat stát? Ale není to klam.</w:t>
      </w:r>
      <w:r>
        <w:t xml:space="preserve"> Závora je vskutku tu, hmotná, nová, pěkně čerstvě natřená. Vedle ní úhledný domek, u něho čet- ník a finančník. U závory víc než tucet lidí, mladých, starých, mužů, žen. Opřeni o závoru, hledí dopředu na modrou přímku silnice, ztrácející se pár set metrů </w:t>
      </w:r>
      <w:r>
        <w:t>tam, co je říšská kontrola.</w:t>
      </w:r>
    </w:p>
    <w:p w:rsidR="00500724" w:rsidRDefault="00F30FB8">
      <w:pPr>
        <w:pStyle w:val="Zkladntext20"/>
        <w:shd w:val="clear" w:color="auto" w:fill="auto"/>
        <w:spacing w:after="40" w:line="202" w:lineRule="auto"/>
      </w:pPr>
      <w:r>
        <w:t>Teď už rozumíme, proč ta promenáda po silnici. A proč je korso na náměstí opuštěné. Přestěhovalo se sem, k hraniční závoře. A tady se rokuje tak jako na vsi, kde ještě není vodovod, u pumpy. Marně bys však čekal hlučnou zábavu č</w:t>
      </w:r>
      <w:r>
        <w:t>i křik. To jen tak semhle támhle utrousí slovo, dvě — pak je zas chvilku ticho, až dojde řada na jiného. Reč zní tlumeně, jako z dálky, a slova se utápějí v houstnoucí tmě. Je to docela jako o černé hodince, nebo v podvečer na návsi pod šumí</w:t>
      </w:r>
      <w:r>
        <w:softHyphen/>
        <w:t>cí lípou.</w:t>
      </w:r>
    </w:p>
    <w:p w:rsidR="00500724" w:rsidRDefault="00F30FB8">
      <w:pPr>
        <w:pStyle w:val="Zkladntext20"/>
        <w:shd w:val="clear" w:color="auto" w:fill="auto"/>
        <w:spacing w:after="40" w:line="204" w:lineRule="auto"/>
      </w:pPr>
      <w:r>
        <w:t>I ta</w:t>
      </w:r>
      <w:r>
        <w:t>dy všichni najednou cítí, že jsou si náramně blízcí a že si dobře rozumí, i když mluví víc tichem, než slovy. Za chvíli víš, co koho trápí, od čeho ho ta hraniční závora oddělila, kde má teď rodinu, jak to má s poli, chalupou, obchodem, prací, a co všechno</w:t>
      </w:r>
      <w:r>
        <w:t xml:space="preserve"> má na srdci.</w:t>
      </w:r>
    </w:p>
    <w:p w:rsidR="00500724" w:rsidRDefault="00F30FB8">
      <w:pPr>
        <w:pStyle w:val="Zkladntext20"/>
        <w:shd w:val="clear" w:color="auto" w:fill="auto"/>
        <w:spacing w:after="40" w:line="204" w:lineRule="auto"/>
      </w:pPr>
      <w:r>
        <w:t>Žádný však, řeknu vám, žádný z těch lidí nevydá ani slovo nářku nebo snad zloby. Kdepak. S klidem a rozvahou nesou svůj podíl tíhy všech minulých věcí, jasně a věcně hledí dopředu s otevřenýma očima a napnutými svaly svých tvrdých paží. A ten</w:t>
      </w:r>
      <w:r>
        <w:t xml:space="preserve"> jejich podíl byl po čertech těžký! Víte, ono ve velkém městě se to všechno snadněji přenese, jaksi tak lehčeji se vám to rozleží v hlavě. Početnost, ta dělá, panečku, hodně, dává vám klid, rozvahu, pevnost. Tisíc mozků je víc než jeden. A tady byl každý n</w:t>
      </w:r>
      <w:r>
        <w:t>a všechno vlastně jen sám se svým rozumem. Nedivte se, že to ještě nemá všechno tak stráveno, že je ještě pořád hodně toho, o čem přemýšlet.</w:t>
      </w:r>
    </w:p>
    <w:p w:rsidR="00500724" w:rsidRDefault="00F30FB8">
      <w:pPr>
        <w:pStyle w:val="Zkladntext20"/>
        <w:shd w:val="clear" w:color="auto" w:fill="auto"/>
        <w:spacing w:after="40" w:line="204" w:lineRule="auto"/>
      </w:pPr>
      <w:r>
        <w:t>Ale i fak nikdo nezlořečí, ani nespílá, neběduje ani nezoufá. Takový je český člověk. I když nastanou nej</w:t>
      </w:r>
      <w:r>
        <w:softHyphen/>
        <w:t>těžší chv</w:t>
      </w:r>
      <w:r>
        <w:t>íle, neslábne. Zůstává silný, ba snad ještě silnější než před tím, klidně a pevně stojí na své ne- zcizitelné půdě. Bez záští, ale také bez strachu, mírně, ale s nezlomně pevnou vůlí.</w:t>
      </w:r>
    </w:p>
    <w:p w:rsidR="00500724" w:rsidRDefault="00F30FB8">
      <w:pPr>
        <w:pStyle w:val="Zkladntext20"/>
        <w:shd w:val="clear" w:color="auto" w:fill="auto"/>
        <w:spacing w:after="40" w:line="206" w:lineRule="auto"/>
      </w:pPr>
      <w:r>
        <w:t>Připadá vám to jako stráž, jak jsou tu jeden vedle druhého opřeni o závo</w:t>
      </w:r>
      <w:r>
        <w:t>ru, čely obráceni kupředu, a se zraky upnutými tam nahoru přes hranici. A najednou nevíte, kdo z nich je vlastně četník, a kdo civilista. Vším jsou si podobni jako vejce vejci.</w:t>
      </w:r>
    </w:p>
    <w:p w:rsidR="00500724" w:rsidRDefault="00F30FB8">
      <w:pPr>
        <w:pStyle w:val="Zkladntext20"/>
        <w:shd w:val="clear" w:color="auto" w:fill="auto"/>
        <w:spacing w:after="40" w:line="204" w:lineRule="auto"/>
      </w:pPr>
      <w:r>
        <w:t>Každý z nich je pravý český člověk.</w:t>
      </w:r>
    </w:p>
    <w:p w:rsidR="00500724" w:rsidRDefault="00F30FB8">
      <w:pPr>
        <w:pStyle w:val="Jin0"/>
        <w:shd w:val="clear" w:color="auto" w:fill="auto"/>
        <w:spacing w:after="240"/>
        <w:ind w:firstLine="0"/>
        <w:jc w:val="left"/>
        <w:rPr>
          <w:sz w:val="46"/>
          <w:szCs w:val="46"/>
        </w:rPr>
      </w:pPr>
      <w:r>
        <w:rPr>
          <w:b/>
          <w:bCs/>
          <w:sz w:val="46"/>
          <w:szCs w:val="46"/>
          <w:u w:val="single"/>
        </w:rPr>
        <w:t>otázky a odpovědi</w:t>
      </w:r>
    </w:p>
    <w:p w:rsidR="00500724" w:rsidRDefault="00F30FB8">
      <w:pPr>
        <w:pStyle w:val="Jin0"/>
        <w:shd w:val="clear" w:color="auto" w:fill="auto"/>
        <w:spacing w:after="60"/>
        <w:ind w:firstLine="0"/>
        <w:jc w:val="left"/>
        <w:rPr>
          <w:sz w:val="26"/>
          <w:szCs w:val="26"/>
        </w:rPr>
      </w:pPr>
      <w:r>
        <w:rPr>
          <w:sz w:val="20"/>
          <w:szCs w:val="20"/>
        </w:rPr>
        <w:t xml:space="preserve">F. </w:t>
      </w:r>
      <w:r>
        <w:rPr>
          <w:i/>
          <w:iCs/>
          <w:sz w:val="26"/>
          <w:szCs w:val="26"/>
        </w:rPr>
        <w:t>Kluž á k:</w:t>
      </w:r>
    </w:p>
    <w:p w:rsidR="00500724" w:rsidRDefault="00F30FB8">
      <w:pPr>
        <w:pStyle w:val="Nadpis100"/>
        <w:shd w:val="clear" w:color="auto" w:fill="auto"/>
        <w:spacing w:after="60" w:line="218" w:lineRule="auto"/>
      </w:pPr>
      <w:bookmarkStart w:id="734" w:name="bookmark733"/>
      <w:r>
        <w:t xml:space="preserve">Zemědělec a </w:t>
      </w:r>
      <w:r>
        <w:t>ti ostatní</w:t>
      </w:r>
      <w:bookmarkEnd w:id="734"/>
    </w:p>
    <w:p w:rsidR="00500724" w:rsidRDefault="00F30FB8">
      <w:pPr>
        <w:pStyle w:val="Zkladntext100"/>
        <w:shd w:val="clear" w:color="auto" w:fill="auto"/>
        <w:spacing w:after="60" w:line="259" w:lineRule="auto"/>
        <w:ind w:firstLine="240"/>
        <w:rPr>
          <w:sz w:val="19"/>
          <w:szCs w:val="19"/>
        </w:rPr>
      </w:pPr>
      <w:r>
        <w:rPr>
          <w:sz w:val="19"/>
          <w:szCs w:val="19"/>
        </w:rPr>
        <w:t>Souhlasím s názory paní Mileny Jesenské pokud jde o sociální problémy a proío píši několik poznámek ke stati velkostatkáře p. J. Š. uveřejněné ve 28. čísle »Pří- tomnostic.</w:t>
      </w:r>
    </w:p>
    <w:p w:rsidR="00500724" w:rsidRDefault="00F30FB8">
      <w:pPr>
        <w:pStyle w:val="Zkladntext100"/>
        <w:shd w:val="clear" w:color="auto" w:fill="auto"/>
        <w:spacing w:after="60" w:line="233" w:lineRule="auto"/>
        <w:ind w:firstLine="240"/>
        <w:rPr>
          <w:sz w:val="19"/>
          <w:szCs w:val="19"/>
        </w:rPr>
      </w:pPr>
      <w:r>
        <w:rPr>
          <w:sz w:val="19"/>
          <w:szCs w:val="19"/>
        </w:rPr>
        <w:t>V minulých dvaceti letech jsme opravdu nedovedli zorganisovat práci. Měl</w:t>
      </w:r>
      <w:r>
        <w:rPr>
          <w:sz w:val="19"/>
          <w:szCs w:val="19"/>
        </w:rPr>
        <w:t>i jsme mnoho bystrých hlav, které vypracovaly podrobné plány jak všechny lidi zaměstnat, ale jejich rady vyzněly naprázdno, protože patřily k jiné politické skupině než páni velkovýrobci a velkostatkáři a proto, že velkopodnikatelům šlo více o zisk než o l</w:t>
      </w:r>
      <w:r>
        <w:rPr>
          <w:sz w:val="19"/>
          <w:szCs w:val="19"/>
        </w:rPr>
        <w:t>idi-bratry z národa. Po pravdě konstatu</w:t>
      </w:r>
      <w:r>
        <w:rPr>
          <w:sz w:val="19"/>
          <w:szCs w:val="19"/>
        </w:rPr>
        <w:softHyphen/>
        <w:t>jeme, že byli u nás podnikatelé, kteří mysleli dřív na lidi spolupracovníky než na zisk (jako na příklad Baťa), ale těch bylo málo.</w:t>
      </w:r>
    </w:p>
    <w:p w:rsidR="00500724" w:rsidRDefault="00F30FB8">
      <w:pPr>
        <w:pStyle w:val="Zkladntext100"/>
        <w:shd w:val="clear" w:color="auto" w:fill="auto"/>
        <w:spacing w:after="60" w:line="230" w:lineRule="auto"/>
        <w:ind w:firstLine="240"/>
        <w:rPr>
          <w:sz w:val="19"/>
          <w:szCs w:val="19"/>
        </w:rPr>
      </w:pPr>
      <w:r>
        <w:rPr>
          <w:sz w:val="19"/>
          <w:szCs w:val="19"/>
        </w:rPr>
        <w:t>Žňové práce budou i letos dobře obstarány. Pomáhali jsme (jsem státní zaměstnanec) k</w:t>
      </w:r>
      <w:r>
        <w:rPr>
          <w:sz w:val="19"/>
          <w:szCs w:val="19"/>
        </w:rPr>
        <w:t>aždý rok ve žních bez propagace. Po letošní propagaci nás bude ještě víc — hlavně, aby studentstvo vzalo vše vážně a doopravdy. Ale prosím, aby mi byly dovoleny některé připomínky k tempu žňových prací, zvlášť na velkostatcích. Nor</w:t>
      </w:r>
      <w:r>
        <w:rPr>
          <w:sz w:val="19"/>
          <w:szCs w:val="19"/>
        </w:rPr>
        <w:softHyphen/>
        <w:t>mální pochod žňových pra</w:t>
      </w:r>
      <w:r>
        <w:rPr>
          <w:sz w:val="19"/>
          <w:szCs w:val="19"/>
        </w:rPr>
        <w:t>cí je ten, že suché obilí se sváží do stodol (nač by byly ty stodoly) a po žních se mlátí. Loni mnohé velkostatky, aby ušetřily kus režie, mlátily hned na polích. Tím se ovšem svážení opozdilo, potom nastaly deště a mnoho úrody v mandelích vzrostlo a přišl</w:t>
      </w:r>
      <w:r>
        <w:rPr>
          <w:sz w:val="19"/>
          <w:szCs w:val="19"/>
        </w:rPr>
        <w:t>o vniveč. Prosíme, aby se takto nemrhalo národ</w:t>
      </w:r>
      <w:r>
        <w:rPr>
          <w:sz w:val="19"/>
          <w:szCs w:val="19"/>
        </w:rPr>
        <w:softHyphen/>
        <w:t>ním jměním a obilí bylo včas a rychle uskladněno ve stodolách.</w:t>
      </w:r>
    </w:p>
    <w:p w:rsidR="00500724" w:rsidRDefault="00F30FB8">
      <w:pPr>
        <w:pStyle w:val="Zkladntext100"/>
        <w:shd w:val="clear" w:color="auto" w:fill="auto"/>
        <w:spacing w:after="60" w:line="230" w:lineRule="auto"/>
        <w:ind w:firstLine="240"/>
        <w:rPr>
          <w:sz w:val="19"/>
          <w:szCs w:val="19"/>
        </w:rPr>
      </w:pPr>
      <w:r>
        <w:rPr>
          <w:sz w:val="19"/>
          <w:szCs w:val="19"/>
        </w:rPr>
        <w:t>A potom, nezapomínat na lidi — spolupracovníky. Žně — to je zvýšený výkon, k němuž je třeba také zesí</w:t>
      </w:r>
      <w:r>
        <w:rPr>
          <w:sz w:val="19"/>
          <w:szCs w:val="19"/>
        </w:rPr>
        <w:softHyphen/>
        <w:t>lené stravy a zvýšené mzdy.</w:t>
      </w:r>
    </w:p>
    <w:p w:rsidR="00500724" w:rsidRDefault="00F30FB8">
      <w:pPr>
        <w:pStyle w:val="Zkladntext100"/>
        <w:shd w:val="clear" w:color="auto" w:fill="auto"/>
        <w:spacing w:after="260" w:line="233" w:lineRule="auto"/>
        <w:ind w:firstLine="240"/>
        <w:rPr>
          <w:sz w:val="19"/>
          <w:szCs w:val="19"/>
        </w:rPr>
      </w:pPr>
      <w:r>
        <w:rPr>
          <w:sz w:val="19"/>
          <w:szCs w:val="19"/>
        </w:rPr>
        <w:t>Máme Národní sou</w:t>
      </w:r>
      <w:r>
        <w:rPr>
          <w:sz w:val="19"/>
          <w:szCs w:val="19"/>
        </w:rPr>
        <w:t>ručenství. Jsme tam všichni vedle sebe — všichni bratři. Máme jedno vroucné přáni, abychom o bratrství méně mluvili, ale víc je ukazovali v činech. A tu mají naši zámožní lidé veliké možnosti: ukázat, že nelpí na pozemském majetku, že jim víc zá</w:t>
      </w:r>
      <w:r>
        <w:rPr>
          <w:sz w:val="19"/>
          <w:szCs w:val="19"/>
        </w:rPr>
        <w:softHyphen/>
        <w:t>leží na čl</w:t>
      </w:r>
      <w:r>
        <w:rPr>
          <w:sz w:val="19"/>
          <w:szCs w:val="19"/>
        </w:rPr>
        <w:t>ověku, který vedle něho a s ním a pro něho pracuje. Jak znám českého drobného pracovitého muže, ocení tu dobrou vůli činem: lepším výkonem. Všichni budeme spokojenější a šťastnější.</w:t>
      </w:r>
    </w:p>
    <w:p w:rsidR="00500724" w:rsidRDefault="00F30FB8">
      <w:pPr>
        <w:pStyle w:val="Zkladntext20"/>
        <w:shd w:val="clear" w:color="auto" w:fill="auto"/>
        <w:spacing w:after="60" w:line="218" w:lineRule="auto"/>
        <w:ind w:firstLine="0"/>
        <w:jc w:val="left"/>
        <w:rPr>
          <w:sz w:val="20"/>
          <w:szCs w:val="20"/>
        </w:rPr>
      </w:pPr>
      <w:r>
        <w:rPr>
          <w:i/>
          <w:iCs/>
          <w:sz w:val="20"/>
          <w:szCs w:val="20"/>
        </w:rPr>
        <w:t>František Nedvěd:</w:t>
      </w:r>
    </w:p>
    <w:p w:rsidR="00500724" w:rsidRDefault="00F30FB8">
      <w:pPr>
        <w:pStyle w:val="Nadpis100"/>
        <w:shd w:val="clear" w:color="auto" w:fill="auto"/>
        <w:spacing w:after="60" w:line="218" w:lineRule="auto"/>
      </w:pPr>
      <w:bookmarkStart w:id="735" w:name="bookmark734"/>
      <w:r>
        <w:t>Proě se jezdí do prava,</w:t>
      </w:r>
      <w:r>
        <w:br/>
        <w:t>a jiná „proč“</w:t>
      </w:r>
      <w:bookmarkEnd w:id="735"/>
    </w:p>
    <w:p w:rsidR="00500724" w:rsidRDefault="00F30FB8">
      <w:pPr>
        <w:pStyle w:val="Zkladntext100"/>
        <w:shd w:val="clear" w:color="auto" w:fill="auto"/>
        <w:spacing w:after="60" w:line="230" w:lineRule="auto"/>
        <w:ind w:firstLine="240"/>
        <w:rPr>
          <w:sz w:val="19"/>
          <w:szCs w:val="19"/>
        </w:rPr>
      </w:pPr>
      <w:r>
        <w:rPr>
          <w:sz w:val="19"/>
          <w:szCs w:val="19"/>
        </w:rPr>
        <w:t>Na otázku »Proč se</w:t>
      </w:r>
      <w:r>
        <w:rPr>
          <w:sz w:val="19"/>
          <w:szCs w:val="19"/>
        </w:rPr>
        <w:t xml:space="preserve"> jezdí vpravo« čili: na otázku, proč na velké části zeměkoule zní příkaz policejního doprav</w:t>
      </w:r>
      <w:r>
        <w:rPr>
          <w:sz w:val="19"/>
          <w:szCs w:val="19"/>
        </w:rPr>
        <w:softHyphen/>
        <w:t>ního řádu: vyhýbej se vpravo a předjížděj vlevo — na tuto otázku je (pokud sahají naše četnými dotazy utvrzené vědomosti) odpověď strašlivě stručná. Zní: Nevíme.</w:t>
      </w:r>
    </w:p>
    <w:p w:rsidR="00500724" w:rsidRDefault="00F30FB8">
      <w:pPr>
        <w:pStyle w:val="Zkladntext100"/>
        <w:shd w:val="clear" w:color="auto" w:fill="auto"/>
        <w:tabs>
          <w:tab w:val="left" w:pos="3734"/>
        </w:tabs>
        <w:spacing w:after="60" w:line="226" w:lineRule="auto"/>
        <w:ind w:firstLine="240"/>
        <w:rPr>
          <w:sz w:val="19"/>
          <w:szCs w:val="19"/>
        </w:rPr>
      </w:pPr>
      <w:r>
        <w:rPr>
          <w:sz w:val="19"/>
          <w:szCs w:val="19"/>
        </w:rPr>
        <w:t>Ta</w:t>
      </w:r>
      <w:r>
        <w:rPr>
          <w:sz w:val="19"/>
          <w:szCs w:val="19"/>
        </w:rPr>
        <w:t>hle moudrost si ovšem nezaslouží článkového titul</w:t>
      </w:r>
      <w:r>
        <w:rPr>
          <w:sz w:val="19"/>
          <w:szCs w:val="19"/>
        </w:rPr>
        <w:softHyphen/>
        <w:t>ku v revui a patřila by vlastně spíš do redakční listárny. Hodlajíce však prosit o trpělivost: a) šéfredaktora, b) čtenáře, můžeme se vymluvit na lidský sklon k hlouba</w:t>
      </w:r>
      <w:r>
        <w:rPr>
          <w:sz w:val="19"/>
          <w:szCs w:val="19"/>
        </w:rPr>
        <w:softHyphen/>
        <w:t>vosti.</w:t>
      </w:r>
      <w:r>
        <w:rPr>
          <w:sz w:val="19"/>
          <w:szCs w:val="19"/>
        </w:rPr>
        <w:tab/>
        <w:t>&gt;</w:t>
      </w:r>
    </w:p>
    <w:p w:rsidR="00500724" w:rsidRDefault="00F30FB8">
      <w:pPr>
        <w:pStyle w:val="Zkladntext100"/>
        <w:shd w:val="clear" w:color="auto" w:fill="auto"/>
        <w:spacing w:after="120" w:line="257" w:lineRule="auto"/>
        <w:ind w:firstLine="240"/>
        <w:rPr>
          <w:sz w:val="19"/>
          <w:szCs w:val="19"/>
        </w:rPr>
      </w:pPr>
      <w:r>
        <w:rPr>
          <w:sz w:val="19"/>
          <w:szCs w:val="19"/>
        </w:rPr>
        <w:t>Směr jízdy je v konečné své f</w:t>
      </w:r>
      <w:r>
        <w:rPr>
          <w:sz w:val="19"/>
          <w:szCs w:val="19"/>
        </w:rPr>
        <w:t>ázi stejně věcí kon</w:t>
      </w:r>
      <w:r>
        <w:rPr>
          <w:sz w:val="19"/>
          <w:szCs w:val="19"/>
        </w:rPr>
        <w:softHyphen/>
        <w:t>vence jako tolik jiných ustanovení, jejichž jediným úče</w:t>
      </w:r>
      <w:r>
        <w:rPr>
          <w:sz w:val="19"/>
          <w:szCs w:val="19"/>
        </w:rPr>
        <w:softHyphen/>
        <w:t>lem je, zjednat předem jistotu o tom, co učiní nebo míní učinit váš bližní. Rozmach techniky a komunikace si vynucuje unifikaci konvencí.</w:t>
      </w:r>
    </w:p>
    <w:p w:rsidR="00500724" w:rsidRDefault="00F30FB8">
      <w:pPr>
        <w:pStyle w:val="Zkladntext100"/>
        <w:shd w:val="clear" w:color="auto" w:fill="auto"/>
        <w:spacing w:after="80" w:line="257" w:lineRule="auto"/>
        <w:ind w:firstLine="0"/>
        <w:jc w:val="center"/>
        <w:rPr>
          <w:sz w:val="19"/>
          <w:szCs w:val="19"/>
        </w:rPr>
      </w:pPr>
      <w:r>
        <w:rPr>
          <w:sz w:val="19"/>
          <w:szCs w:val="19"/>
        </w:rPr>
        <w:t>Proč vlevo?</w:t>
      </w:r>
    </w:p>
    <w:p w:rsidR="00500724" w:rsidRDefault="00F30FB8">
      <w:pPr>
        <w:pStyle w:val="Zkladntext100"/>
        <w:shd w:val="clear" w:color="auto" w:fill="auto"/>
        <w:spacing w:line="257" w:lineRule="auto"/>
        <w:ind w:firstLine="240"/>
        <w:rPr>
          <w:sz w:val="19"/>
          <w:szCs w:val="19"/>
        </w:rPr>
      </w:pPr>
      <w:r>
        <w:rPr>
          <w:sz w:val="19"/>
          <w:szCs w:val="19"/>
        </w:rPr>
        <w:t xml:space="preserve">Vlevo se jezdilo v bývalém </w:t>
      </w:r>
      <w:r>
        <w:rPr>
          <w:sz w:val="19"/>
          <w:szCs w:val="19"/>
        </w:rPr>
        <w:t>Československu proto, že se tak jezdilo v Rakousko-Uhersku. Sotva se zmýlíme, řek- neme-li, že se v Rakousku-Uhersku jezdilo vlevo proto, že se tak jezdilo sice bez zákonných předpisů, ale důsledně od dob, kdy první Asiat zapřáhl do primitivních letních sa</w:t>
      </w:r>
      <w:r>
        <w:rPr>
          <w:sz w:val="19"/>
          <w:szCs w:val="19"/>
        </w:rPr>
        <w:t>ní prvního tahouna z čeledi přežvýkavců. Nebof pěší, jenž vede tahouna, nejbezpečněji, to jest u hlavy, jej vede »na své pravé ruce«. Doprava »srstnatým benzinemc jest záležitostí patriarchální a změnila se za oněch mi</w:t>
      </w:r>
      <w:r>
        <w:rPr>
          <w:sz w:val="19"/>
          <w:szCs w:val="19"/>
        </w:rPr>
        <w:softHyphen/>
        <w:t>zerných šest či osm tisíc let jen nep</w:t>
      </w:r>
      <w:r>
        <w:rPr>
          <w:sz w:val="19"/>
          <w:szCs w:val="19"/>
        </w:rPr>
        <w:t>atrně.</w:t>
      </w:r>
    </w:p>
    <w:p w:rsidR="00500724" w:rsidRDefault="00F30FB8">
      <w:pPr>
        <w:pStyle w:val="Zkladntext100"/>
        <w:shd w:val="clear" w:color="auto" w:fill="auto"/>
        <w:spacing w:line="254" w:lineRule="auto"/>
        <w:ind w:firstLine="240"/>
        <w:rPr>
          <w:sz w:val="19"/>
          <w:szCs w:val="19"/>
        </w:rPr>
      </w:pPr>
      <w:r>
        <w:rPr>
          <w:sz w:val="19"/>
          <w:szCs w:val="19"/>
        </w:rPr>
        <w:t>Odedávna — i bez předpisů — nasedal a nasedá jez</w:t>
      </w:r>
      <w:r>
        <w:rPr>
          <w:sz w:val="19"/>
          <w:szCs w:val="19"/>
        </w:rPr>
        <w:softHyphen/>
        <w:t>dec na koně s levé strany — a důvody pro to platí i pro nasedání do vozidel, zejména do těch, které se mohou za nasedání rozjeti. (Stejně jako kůň.) Levá polovina těla je méně »inteligentní« než pravi</w:t>
      </w:r>
      <w:r>
        <w:rPr>
          <w:sz w:val="19"/>
          <w:szCs w:val="19"/>
        </w:rPr>
        <w:t>ce — pořád mluvíme o majoritě lidstva, o fysických »pravičácích« — a proto používá člověk levice bezděky k úkonům prostším: levicí jezdec ještě stojící uchopí otěže, levicí se zachytí předku sedla, levou nohu vstrčí do třmenu. Pravá noha a pravá ruka má př</w:t>
      </w:r>
      <w:r>
        <w:rPr>
          <w:sz w:val="19"/>
          <w:szCs w:val="19"/>
        </w:rPr>
        <w:t>i nasedání úkol mnohem složitější</w:t>
      </w:r>
    </w:p>
    <w:p w:rsidR="00500724" w:rsidRDefault="00F30FB8">
      <w:pPr>
        <w:pStyle w:val="Zkladntext100"/>
        <w:numPr>
          <w:ilvl w:val="0"/>
          <w:numId w:val="91"/>
        </w:numPr>
        <w:shd w:val="clear" w:color="auto" w:fill="auto"/>
        <w:tabs>
          <w:tab w:val="left" w:pos="327"/>
        </w:tabs>
        <w:spacing w:line="254" w:lineRule="auto"/>
        <w:ind w:firstLine="0"/>
        <w:rPr>
          <w:sz w:val="19"/>
          <w:szCs w:val="19"/>
        </w:rPr>
      </w:pPr>
      <w:r>
        <w:rPr>
          <w:sz w:val="19"/>
          <w:szCs w:val="19"/>
        </w:rPr>
        <w:t>pročež je třeba nasedat zleva. Proto je poměrně lehké skákat do tramvaje »levosměrné«, proto Elektrické podniky právem varovaly skokany před podceňováním novoty. (I všechno nerozumné se ovšem člověk naučí — viz skokany z p</w:t>
      </w:r>
      <w:r>
        <w:rPr>
          <w:sz w:val="19"/>
          <w:szCs w:val="19"/>
        </w:rPr>
        <w:t>ařížských autobusů: vozy tam mají jen jedna dvířka, a ta jsou v zadní stěně vozu!)</w:t>
      </w:r>
    </w:p>
    <w:p w:rsidR="00500724" w:rsidRDefault="00F30FB8">
      <w:pPr>
        <w:pStyle w:val="Zkladntext100"/>
        <w:shd w:val="clear" w:color="auto" w:fill="auto"/>
        <w:spacing w:line="257" w:lineRule="auto"/>
        <w:ind w:firstLine="240"/>
        <w:rPr>
          <w:sz w:val="19"/>
          <w:szCs w:val="19"/>
        </w:rPr>
      </w:pPr>
      <w:r>
        <w:rPr>
          <w:sz w:val="19"/>
          <w:szCs w:val="19"/>
        </w:rPr>
        <w:t>Mnohé .důvody mluví, jak vidno, pro jízdu vlevo. Kdy</w:t>
      </w:r>
      <w:r>
        <w:rPr>
          <w:sz w:val="19"/>
          <w:szCs w:val="19"/>
        </w:rPr>
        <w:softHyphen/>
        <w:t>by bylo lze hermeticky oddělit jízdu od chůze, byla by jízda vlevo ideálem. Stejným ideálem však by byla chůze vpravo: n</w:t>
      </w:r>
      <w:r>
        <w:rPr>
          <w:sz w:val="19"/>
          <w:szCs w:val="19"/>
        </w:rPr>
        <w:t>ebof člověk, nenutí-li ho k tomu předpis nebo uměle naučený zvyk, chodí vpravo i tehdy, jde-li domněle přímo. Ukazuje to — mimo jiné</w:t>
      </w:r>
    </w:p>
    <w:p w:rsidR="00500724" w:rsidRDefault="00F30FB8">
      <w:pPr>
        <w:pStyle w:val="Zkladntext100"/>
        <w:numPr>
          <w:ilvl w:val="0"/>
          <w:numId w:val="91"/>
        </w:numPr>
        <w:shd w:val="clear" w:color="auto" w:fill="auto"/>
        <w:tabs>
          <w:tab w:val="left" w:pos="327"/>
        </w:tabs>
        <w:spacing w:line="257" w:lineRule="auto"/>
        <w:ind w:firstLine="0"/>
        <w:rPr>
          <w:sz w:val="19"/>
          <w:szCs w:val="19"/>
        </w:rPr>
      </w:pPr>
      <w:r>
        <w:rPr>
          <w:sz w:val="19"/>
          <w:szCs w:val="19"/>
        </w:rPr>
        <w:t>i bloudění lidí v mlze, tedy za okolností, kdy zrak nemůže kontrolovat a korigovat výsledky pohybu. Mohli bychom říci, že s</w:t>
      </w:r>
      <w:r>
        <w:rPr>
          <w:sz w:val="19"/>
          <w:szCs w:val="19"/>
        </w:rPr>
        <w:t>e člověk bezděky vyhýbá i překážkám napravo — zde však spolurozhoduje i rod člověka: muž obchází v tlačenici překážky — ať už to je jiný chodec nebo trám — čelem k překážce, žena však míjí pře</w:t>
      </w:r>
      <w:r>
        <w:rPr>
          <w:sz w:val="19"/>
          <w:szCs w:val="19"/>
        </w:rPr>
        <w:softHyphen/>
        <w:t xml:space="preserve">kážku zády. Nechť si psychologové nebo fysiologové lámou hlavu </w:t>
      </w:r>
      <w:r>
        <w:rPr>
          <w:sz w:val="19"/>
          <w:szCs w:val="19"/>
        </w:rPr>
        <w:t>nad tím, chrání-li si žena takto vitální a lehce zranitelné orgány, totiž prsy, před případným ne</w:t>
      </w:r>
      <w:r>
        <w:rPr>
          <w:sz w:val="19"/>
          <w:szCs w:val="19"/>
        </w:rPr>
        <w:softHyphen/>
        <w:t>bezpečím, nebo činí-li tak ín memoriam dob, kdy nebylo dětských kočárků, a kdy žena od doby dospění až do doby svého zhasnutí nosila v náruči to které z mláďa</w:t>
      </w:r>
      <w:r>
        <w:rPr>
          <w:sz w:val="19"/>
          <w:szCs w:val="19"/>
        </w:rPr>
        <w:t>t ještě nechodící. Při setkávání s člověkem uhýbá muž bezděky vpravo, patrně z atavismu, asi proto, aby měl pravou ruku volnou.</w:t>
      </w:r>
    </w:p>
    <w:p w:rsidR="00500724" w:rsidRDefault="00F30FB8">
      <w:pPr>
        <w:pStyle w:val="Zkladntext100"/>
        <w:shd w:val="clear" w:color="auto" w:fill="auto"/>
        <w:spacing w:line="240" w:lineRule="auto"/>
        <w:ind w:firstLine="240"/>
        <w:rPr>
          <w:sz w:val="19"/>
          <w:szCs w:val="19"/>
        </w:rPr>
      </w:pPr>
      <w:r>
        <w:rPr>
          <w:sz w:val="19"/>
          <w:szCs w:val="19"/>
        </w:rPr>
        <w:t>Chodí se tedy lépe vpravo, jezdí se lépe vlevo. Oba směry nemohou však existovat v téže zemi vedle sebe. Jednak proto, že chodec</w:t>
      </w:r>
      <w:r>
        <w:rPr>
          <w:sz w:val="19"/>
          <w:szCs w:val="19"/>
        </w:rPr>
        <w:t xml:space="preserve"> je občas řidičem (a opačně), jednak proto, že chodec, na kterého ve městě připadne okraj chodníku, musí jít čelem k té části dopravního proudu, jenž mu je (nebezpečně) blízký.</w:t>
      </w:r>
    </w:p>
    <w:p w:rsidR="00500724" w:rsidRDefault="00F30FB8">
      <w:pPr>
        <w:pStyle w:val="Jin0"/>
        <w:shd w:val="clear" w:color="auto" w:fill="auto"/>
        <w:spacing w:after="80" w:line="233" w:lineRule="auto"/>
        <w:ind w:firstLine="0"/>
        <w:jc w:val="center"/>
      </w:pPr>
      <w:r>
        <w:rPr>
          <w:rFonts w:ascii="Arial" w:eastAsia="Arial" w:hAnsi="Arial" w:cs="Arial"/>
          <w:b/>
          <w:bCs/>
        </w:rPr>
        <w:t>Proč tedy vpravo?</w:t>
      </w:r>
    </w:p>
    <w:p w:rsidR="00500724" w:rsidRDefault="00F30FB8">
      <w:pPr>
        <w:pStyle w:val="Zkladntext100"/>
        <w:shd w:val="clear" w:color="auto" w:fill="auto"/>
        <w:spacing w:line="240" w:lineRule="auto"/>
        <w:ind w:firstLine="260"/>
        <w:rPr>
          <w:sz w:val="19"/>
          <w:szCs w:val="19"/>
        </w:rPr>
      </w:pPr>
      <w:r>
        <w:rPr>
          <w:sz w:val="19"/>
          <w:szCs w:val="19"/>
        </w:rPr>
        <w:t>Bývalá Československá republika se zavázala zavést jízdu vpra</w:t>
      </w:r>
      <w:r>
        <w:rPr>
          <w:sz w:val="19"/>
          <w:szCs w:val="19"/>
        </w:rPr>
        <w:t>vo už před několika lety. Učinila tak proto, že byla obklopena státy, kde se jezdilo vpravo (s výjimkou částí spolkového státu Rakouska) a že přistoupila k do</w:t>
      </w:r>
      <w:r>
        <w:rPr>
          <w:sz w:val="19"/>
          <w:szCs w:val="19"/>
        </w:rPr>
        <w:softHyphen/>
        <w:t>tyčné kontinentální dohodě.</w:t>
      </w:r>
    </w:p>
    <w:p w:rsidR="00500724" w:rsidRDefault="00F30FB8">
      <w:pPr>
        <w:pStyle w:val="Zkladntext100"/>
        <w:shd w:val="clear" w:color="auto" w:fill="auto"/>
        <w:spacing w:after="60" w:line="240" w:lineRule="auto"/>
        <w:ind w:firstLine="260"/>
        <w:rPr>
          <w:sz w:val="19"/>
          <w:szCs w:val="19"/>
        </w:rPr>
      </w:pPr>
      <w:r>
        <w:rPr>
          <w:sz w:val="19"/>
          <w:szCs w:val="19"/>
        </w:rPr>
        <w:t xml:space="preserve">Pátrajíce po příčinách, proč se v oné většině evrop- </w:t>
      </w:r>
      <w:r>
        <w:rPr>
          <w:sz w:val="19"/>
          <w:szCs w:val="19"/>
        </w:rPr>
        <w:t>sko-kontinentálních státech jezdí vpravo, dospějeme k úvodnímu &gt;ignoramus«.</w:t>
      </w:r>
    </w:p>
    <w:p w:rsidR="00500724" w:rsidRDefault="00F30FB8">
      <w:pPr>
        <w:pStyle w:val="Zkladntext100"/>
        <w:shd w:val="clear" w:color="auto" w:fill="auto"/>
        <w:spacing w:line="233" w:lineRule="auto"/>
        <w:ind w:firstLine="260"/>
        <w:rPr>
          <w:sz w:val="19"/>
          <w:szCs w:val="19"/>
        </w:rPr>
      </w:pPr>
      <w:r>
        <w:rPr>
          <w:sz w:val="19"/>
          <w:szCs w:val="19"/>
        </w:rPr>
        <w:t>Smíme-li se pustit do dohadů — a vynechat domněn</w:t>
      </w:r>
      <w:r>
        <w:rPr>
          <w:sz w:val="19"/>
          <w:szCs w:val="19"/>
        </w:rPr>
        <w:softHyphen/>
        <w:t xml:space="preserve">ku, že tam prostě zvítězil zájem chodce nad zájmem jezdce a vozky — vnutí se nám domněnka, že praotcem pravosměrné jízdy byl f </w:t>
      </w:r>
      <w:r>
        <w:rPr>
          <w:sz w:val="19"/>
          <w:szCs w:val="19"/>
          <w:lang w:val="en-US" w:eastAsia="en-US" w:bidi="en-US"/>
        </w:rPr>
        <w:t>Step</w:t>
      </w:r>
      <w:r>
        <w:rPr>
          <w:sz w:val="19"/>
          <w:szCs w:val="19"/>
          <w:lang w:val="en-US" w:eastAsia="en-US" w:bidi="en-US"/>
        </w:rPr>
        <w:t xml:space="preserve">henson, </w:t>
      </w:r>
      <w:r>
        <w:rPr>
          <w:sz w:val="19"/>
          <w:szCs w:val="19"/>
        </w:rPr>
        <w:t>vynálezce loko</w:t>
      </w:r>
      <w:r>
        <w:rPr>
          <w:sz w:val="19"/>
          <w:szCs w:val="19"/>
        </w:rPr>
        <w:softHyphen/>
        <w:t>motivy. Na prvotním parostroji stál skočí«, oděný v bez</w:t>
      </w:r>
      <w:r>
        <w:rPr>
          <w:sz w:val="19"/>
          <w:szCs w:val="19"/>
        </w:rPr>
        <w:softHyphen/>
        <w:t>vadný cylindr, za prvním kotlem, ovšem čelem doko</w:t>
      </w:r>
      <w:r>
        <w:rPr>
          <w:sz w:val="19"/>
          <w:szCs w:val="19"/>
        </w:rPr>
        <w:softHyphen/>
        <w:t>nale k směru jízdy a dával — dívaje se přes nevelký kotel — pozor na cestu. Po jeho pravici byla — v pozděj</w:t>
      </w:r>
      <w:r>
        <w:rPr>
          <w:sz w:val="19"/>
          <w:szCs w:val="19"/>
        </w:rPr>
        <w:softHyphen/>
        <w:t>ších vydáních stroj</w:t>
      </w:r>
      <w:r>
        <w:rPr>
          <w:sz w:val="19"/>
          <w:szCs w:val="19"/>
        </w:rPr>
        <w:t>e — veledůležitá páka, regulující pří</w:t>
      </w:r>
      <w:r>
        <w:rPr>
          <w:sz w:val="19"/>
          <w:szCs w:val="19"/>
        </w:rPr>
        <w:softHyphen/>
        <w:t>vod páry. Páka na tomto místě zůstala dodnes, kdy se jmenuje regulátor, a kdy kotle jsou již tak velké, že se nelze dívat přes ně. Umístění regulátoru vyhovovalo však i nadále, nebof manipulace s ním je celkem jedno</w:t>
      </w:r>
      <w:r>
        <w:rPr>
          <w:sz w:val="19"/>
          <w:szCs w:val="19"/>
        </w:rPr>
        <w:softHyphen/>
        <w:t>du</w:t>
      </w:r>
      <w:r>
        <w:rPr>
          <w:sz w:val="19"/>
          <w:szCs w:val="19"/>
        </w:rPr>
        <w:t>chá a strojvůdce jej může zvládnout cvičenou levou rukou. Topič potřebuje však víc své pravice — stojí tedy i nyní ještě na lokomotivě vlevo.</w:t>
      </w:r>
    </w:p>
    <w:p w:rsidR="00500724" w:rsidRDefault="00F30FB8">
      <w:pPr>
        <w:pStyle w:val="Zkladntext100"/>
        <w:shd w:val="clear" w:color="auto" w:fill="auto"/>
        <w:spacing w:after="60" w:line="233" w:lineRule="auto"/>
        <w:ind w:firstLine="260"/>
        <w:rPr>
          <w:sz w:val="19"/>
          <w:szCs w:val="19"/>
        </w:rPr>
      </w:pPr>
      <w:r>
        <w:rPr>
          <w:sz w:val="19"/>
          <w:szCs w:val="19"/>
        </w:rPr>
        <w:t>Stojí-li strojvůdce — pán jízdy, služebník života a přední hlídka obrany proti smrti — vpravo od směru jízdy, musí</w:t>
      </w:r>
      <w:r>
        <w:rPr>
          <w:sz w:val="19"/>
          <w:szCs w:val="19"/>
        </w:rPr>
        <w:t xml:space="preserve"> býti na této straně i zařízení, jež mu tlumočí zprávy o stavu trati. Také tam jsou: semafory, dálková návěští, vjezdní hradla — příkazy k zmírnění jízdy atd.</w:t>
      </w:r>
    </w:p>
    <w:p w:rsidR="00500724" w:rsidRDefault="00F30FB8">
      <w:pPr>
        <w:pStyle w:val="Zkladntext100"/>
        <w:shd w:val="clear" w:color="auto" w:fill="auto"/>
        <w:spacing w:line="230" w:lineRule="auto"/>
        <w:ind w:firstLine="260"/>
        <w:rPr>
          <w:sz w:val="19"/>
          <w:szCs w:val="19"/>
        </w:rPr>
      </w:pPr>
      <w:r>
        <w:rPr>
          <w:sz w:val="19"/>
          <w:szCs w:val="19"/>
        </w:rPr>
        <w:t>Zkrátka: železnice jezdí — až na určité výjimky — po pravém páru kolejnic, je-li traf zdvojená. J</w:t>
      </w:r>
      <w:r>
        <w:rPr>
          <w:sz w:val="19"/>
          <w:szCs w:val="19"/>
        </w:rPr>
        <w:t>ezdila vpravo i za Rakousko-Uherska, kdy se na silnicích jez</w:t>
      </w:r>
      <w:r>
        <w:rPr>
          <w:sz w:val="19"/>
          <w:szCs w:val="19"/>
        </w:rPr>
        <w:softHyphen/>
        <w:t>dilo vlevo. Tato kombinace je úplně možná, protože vlak má svou vlastní dráhu.</w:t>
      </w:r>
    </w:p>
    <w:p w:rsidR="00500724" w:rsidRDefault="00F30FB8">
      <w:pPr>
        <w:pStyle w:val="Zkladntext100"/>
        <w:shd w:val="clear" w:color="auto" w:fill="auto"/>
        <w:spacing w:after="100" w:line="180" w:lineRule="auto"/>
        <w:ind w:firstLine="0"/>
        <w:jc w:val="center"/>
        <w:rPr>
          <w:sz w:val="19"/>
          <w:szCs w:val="19"/>
        </w:rPr>
      </w:pPr>
      <w:r>
        <w:rPr>
          <w:sz w:val="19"/>
          <w:szCs w:val="19"/>
        </w:rPr>
        <w:t>•</w:t>
      </w:r>
    </w:p>
    <w:p w:rsidR="00500724" w:rsidRDefault="00F30FB8">
      <w:pPr>
        <w:pStyle w:val="Zkladntext100"/>
        <w:shd w:val="clear" w:color="auto" w:fill="auto"/>
        <w:spacing w:line="233" w:lineRule="auto"/>
        <w:ind w:firstLine="260"/>
        <w:rPr>
          <w:sz w:val="19"/>
          <w:szCs w:val="19"/>
        </w:rPr>
      </w:pPr>
      <w:r>
        <w:rPr>
          <w:sz w:val="19"/>
          <w:szCs w:val="19"/>
        </w:rPr>
        <w:t>Zdá se nám, že předpisy o hippomobilní a motorové jízdě napravo vznikly v pořádkumilovném mozku, na</w:t>
      </w:r>
      <w:r>
        <w:rPr>
          <w:sz w:val="19"/>
          <w:szCs w:val="19"/>
        </w:rPr>
        <w:softHyphen/>
        <w:t xml:space="preserve">daném smyslem </w:t>
      </w:r>
      <w:r>
        <w:rPr>
          <w:sz w:val="19"/>
          <w:szCs w:val="19"/>
        </w:rPr>
        <w:t>pro důslednou systematiku: všechno, co jezdí, má jezdit vpravo. A protože přeměna provozu železničního by byla bývala dražší, musely se přizpů</w:t>
      </w:r>
      <w:r>
        <w:rPr>
          <w:sz w:val="19"/>
          <w:szCs w:val="19"/>
        </w:rPr>
        <w:softHyphen/>
        <w:t>sobit vozy a auta.</w:t>
      </w:r>
    </w:p>
    <w:p w:rsidR="00500724" w:rsidRDefault="00F30FB8">
      <w:pPr>
        <w:pStyle w:val="Zkladntext100"/>
        <w:shd w:val="clear" w:color="auto" w:fill="auto"/>
        <w:spacing w:line="233" w:lineRule="auto"/>
        <w:ind w:firstLine="260"/>
        <w:rPr>
          <w:sz w:val="19"/>
          <w:szCs w:val="19"/>
        </w:rPr>
      </w:pPr>
      <w:r>
        <w:rPr>
          <w:sz w:val="19"/>
          <w:szCs w:val="19"/>
        </w:rPr>
        <w:t>Zásada tato nezvítězila na celém světě. Ba lze mít za to, že na většině zeměkoule se jezdí vle</w:t>
      </w:r>
      <w:r>
        <w:rPr>
          <w:sz w:val="19"/>
          <w:szCs w:val="19"/>
        </w:rPr>
        <w:t>vo. Ve střední Evropě ponechali si tento dopravní směr Maďarsko, na severu Švédsko a Norsko. Zejména však se jezdí vlevo v Anglii — lépe a přesněji řečeno: ve Spojených králov</w:t>
      </w:r>
      <w:r>
        <w:rPr>
          <w:sz w:val="19"/>
          <w:szCs w:val="19"/>
        </w:rPr>
        <w:softHyphen/>
        <w:t>stvích Velké Britanie a Irska a v korunních zemích zámořských.</w:t>
      </w:r>
    </w:p>
    <w:p w:rsidR="00500724" w:rsidRDefault="00F30FB8">
      <w:pPr>
        <w:pStyle w:val="Zkladntext100"/>
        <w:shd w:val="clear" w:color="auto" w:fill="auto"/>
        <w:spacing w:after="100" w:line="233" w:lineRule="auto"/>
        <w:ind w:firstLine="0"/>
        <w:jc w:val="center"/>
        <w:rPr>
          <w:sz w:val="19"/>
          <w:szCs w:val="19"/>
        </w:rPr>
      </w:pPr>
      <w:r>
        <w:rPr>
          <w:sz w:val="19"/>
          <w:szCs w:val="19"/>
        </w:rPr>
        <w:t>•</w:t>
      </w:r>
    </w:p>
    <w:p w:rsidR="00500724" w:rsidRDefault="00F30FB8">
      <w:pPr>
        <w:pStyle w:val="Zkladntext100"/>
        <w:shd w:val="clear" w:color="auto" w:fill="auto"/>
        <w:spacing w:line="216" w:lineRule="auto"/>
        <w:ind w:firstLine="260"/>
        <w:rPr>
          <w:sz w:val="19"/>
          <w:szCs w:val="19"/>
        </w:rPr>
      </w:pPr>
      <w:r>
        <w:rPr>
          <w:sz w:val="19"/>
          <w:szCs w:val="19"/>
        </w:rPr>
        <w:t>A další příspěv</w:t>
      </w:r>
      <w:r>
        <w:rPr>
          <w:sz w:val="19"/>
          <w:szCs w:val="19"/>
        </w:rPr>
        <w:t>ky do sbírky konvenčních kuriosit? Podání pravice bylo původně projevem krajní, uváž</w:t>
      </w:r>
      <w:r>
        <w:rPr>
          <w:sz w:val="19"/>
          <w:szCs w:val="19"/>
        </w:rPr>
        <w:softHyphen/>
        <w:t>livé, ale kdysi účelné nedůvěry: rukou, kterou ti držím, mi nemůžeš nic udělat. — Dnes tedy je urážkou opak.</w:t>
      </w:r>
    </w:p>
    <w:p w:rsidR="00500724" w:rsidRDefault="00F30FB8">
      <w:pPr>
        <w:pStyle w:val="Zkladntext100"/>
        <w:shd w:val="clear" w:color="auto" w:fill="auto"/>
        <w:spacing w:line="216" w:lineRule="auto"/>
        <w:ind w:firstLine="260"/>
        <w:rPr>
          <w:sz w:val="19"/>
          <w:szCs w:val="19"/>
        </w:rPr>
      </w:pPr>
      <w:r>
        <w:rPr>
          <w:sz w:val="19"/>
          <w:szCs w:val="19"/>
        </w:rPr>
        <w:t>Smeknutí? Od pradávných dob byl otrok označován určitým, konve</w:t>
      </w:r>
      <w:r>
        <w:rPr>
          <w:sz w:val="19"/>
          <w:szCs w:val="19"/>
        </w:rPr>
        <w:t>nčně stanoveným druhem účesu nebo ne-účesu: byl stříhán dohola v zemích, kde páni chodili s dlouhým vlasem, nebo si musel nechat růst vlasy na půlce hlavy — byla-li to země, kde si občané holili hlavy a kde určité kasty chodily s hřívou. (Chammurabi-ho zák</w:t>
      </w:r>
      <w:r>
        <w:rPr>
          <w:sz w:val="19"/>
          <w:szCs w:val="19"/>
        </w:rPr>
        <w:t>oník určuje trest useknutí pravice holiči, který by otrokovi upravil hlavu &gt;na svobodno«.)</w:t>
      </w:r>
    </w:p>
    <w:p w:rsidR="00500724" w:rsidRDefault="00F30FB8">
      <w:pPr>
        <w:pStyle w:val="Zkladntext100"/>
        <w:shd w:val="clear" w:color="auto" w:fill="auto"/>
        <w:spacing w:line="211" w:lineRule="auto"/>
        <w:ind w:firstLine="260"/>
        <w:rPr>
          <w:sz w:val="19"/>
          <w:szCs w:val="19"/>
        </w:rPr>
      </w:pPr>
      <w:r>
        <w:rPr>
          <w:sz w:val="19"/>
          <w:szCs w:val="19"/>
        </w:rPr>
        <w:t>Protože účes je věc, podléhající přirozeným změnám, ustálilo se primitivní bezpečnostní a kontrolní opatření: každý otrok, jenž potkal svobodného občana, byl povi</w:t>
      </w:r>
      <w:r>
        <w:rPr>
          <w:sz w:val="19"/>
          <w:szCs w:val="19"/>
        </w:rPr>
        <w:softHyphen/>
        <w:t>ne</w:t>
      </w:r>
      <w:r>
        <w:rPr>
          <w:sz w:val="19"/>
          <w:szCs w:val="19"/>
        </w:rPr>
        <w:t>n okamžitě se legitimovat jako otrok: sňal za tím úče-&lt; lem pokrývku hlavy, aby ukázal, že si snad tajně nei dává (nebo dává) růst vlasy.</w:t>
      </w:r>
    </w:p>
    <w:p w:rsidR="00500724" w:rsidRDefault="00F30FB8">
      <w:pPr>
        <w:pStyle w:val="Zkladntext100"/>
        <w:shd w:val="clear" w:color="auto" w:fill="auto"/>
        <w:spacing w:line="230" w:lineRule="auto"/>
        <w:ind w:firstLine="220"/>
        <w:rPr>
          <w:sz w:val="19"/>
          <w:szCs w:val="19"/>
        </w:rPr>
      </w:pPr>
      <w:r>
        <w:rPr>
          <w:sz w:val="19"/>
          <w:szCs w:val="19"/>
        </w:rPr>
        <w:t>Tohle není žádná fantasie. Můžeme každého pochy</w:t>
      </w:r>
      <w:r>
        <w:rPr>
          <w:sz w:val="19"/>
          <w:szCs w:val="19"/>
        </w:rPr>
        <w:softHyphen/>
        <w:t xml:space="preserve">bovače vést samotného za svědka, že dnešní pozdrav a někdejší </w:t>
      </w:r>
      <w:r>
        <w:rPr>
          <w:sz w:val="19"/>
          <w:szCs w:val="19"/>
        </w:rPr>
        <w:t>nevolnictví jsou v úzké souvislosti.</w:t>
      </w:r>
    </w:p>
    <w:p w:rsidR="00500724" w:rsidRDefault="00F30FB8">
      <w:pPr>
        <w:pStyle w:val="Zkladntext100"/>
        <w:shd w:val="clear" w:color="auto" w:fill="auto"/>
        <w:spacing w:line="233" w:lineRule="auto"/>
        <w:ind w:firstLine="220"/>
        <w:rPr>
          <w:sz w:val="19"/>
          <w:szCs w:val="19"/>
        </w:rPr>
      </w:pPr>
      <w:r>
        <w:rPr>
          <w:sz w:val="19"/>
          <w:szCs w:val="19"/>
        </w:rPr>
        <w:t>Je to předně české archaistické j-uctivý sluhac, je to starorakouské j&gt;košamsterdýne«, jež je zkomoleninou ně</w:t>
      </w:r>
      <w:r>
        <w:rPr>
          <w:sz w:val="19"/>
          <w:szCs w:val="19"/>
        </w:rPr>
        <w:softHyphen/>
        <w:t>meckého ígehorsammster Diener«, nejuctivější sluha. Je to dále oslovení &gt;pane«, Herr, Domnul atd., všechno po</w:t>
      </w:r>
      <w:r>
        <w:rPr>
          <w:sz w:val="19"/>
          <w:szCs w:val="19"/>
        </w:rPr>
        <w:t>dle římského dominus. Ale »domine« oslovoval je</w:t>
      </w:r>
      <w:r>
        <w:rPr>
          <w:sz w:val="19"/>
          <w:szCs w:val="19"/>
        </w:rPr>
        <w:softHyphen/>
        <w:t xml:space="preserve">diné otrok svého pána — a i v despotisovaném ftí* mě trvalo dlouho, než si císař dával říkat od občanů Domine. (Dominus vobiscum = pán bůh s vámi. — Jak nádherně subtilní řeč je čeština, jež jediná rozlišuje </w:t>
      </w:r>
      <w:r>
        <w:rPr>
          <w:sz w:val="19"/>
          <w:szCs w:val="19"/>
        </w:rPr>
        <w:t>ve stejném slově Pána pan.)</w:t>
      </w:r>
    </w:p>
    <w:p w:rsidR="00500724" w:rsidRDefault="00F30FB8">
      <w:pPr>
        <w:pStyle w:val="Zkladntext100"/>
        <w:shd w:val="clear" w:color="auto" w:fill="auto"/>
        <w:spacing w:after="340" w:line="233" w:lineRule="auto"/>
        <w:ind w:firstLine="220"/>
        <w:rPr>
          <w:sz w:val="19"/>
          <w:szCs w:val="19"/>
        </w:rPr>
      </w:pPr>
      <w:r>
        <w:rPr>
          <w:sz w:val="19"/>
          <w:szCs w:val="19"/>
        </w:rPr>
        <w:t>Nejprůkaznější však je asi ležérní pozdrav &gt;servus&lt;. Servus servi masculinum je otrok doslova.</w:t>
      </w:r>
    </w:p>
    <w:p w:rsidR="00500724" w:rsidRDefault="00F30FB8">
      <w:pPr>
        <w:pStyle w:val="Jin0"/>
        <w:pBdr>
          <w:bottom w:val="single" w:sz="4" w:space="0" w:color="auto"/>
        </w:pBdr>
        <w:shd w:val="clear" w:color="auto" w:fill="auto"/>
        <w:spacing w:after="300"/>
        <w:ind w:firstLine="0"/>
        <w:jc w:val="left"/>
        <w:rPr>
          <w:sz w:val="44"/>
          <w:szCs w:val="44"/>
        </w:rPr>
      </w:pPr>
      <w:r>
        <w:rPr>
          <w:b/>
          <w:bCs/>
          <w:sz w:val="44"/>
          <w:szCs w:val="44"/>
        </w:rPr>
        <w:t>dopisy</w:t>
      </w:r>
    </w:p>
    <w:p w:rsidR="00500724" w:rsidRDefault="00F30FB8">
      <w:pPr>
        <w:pStyle w:val="Zkladntext100"/>
        <w:shd w:val="clear" w:color="auto" w:fill="auto"/>
        <w:spacing w:after="100" w:line="202" w:lineRule="auto"/>
        <w:ind w:firstLine="0"/>
        <w:jc w:val="center"/>
      </w:pPr>
      <w:r>
        <w:rPr>
          <w:b/>
          <w:bCs/>
        </w:rPr>
        <w:t>Slovenka češke</w:t>
      </w:r>
    </w:p>
    <w:p w:rsidR="00500724" w:rsidRDefault="00F30FB8">
      <w:pPr>
        <w:pStyle w:val="Zkladntext100"/>
        <w:shd w:val="clear" w:color="auto" w:fill="auto"/>
        <w:spacing w:after="100" w:line="202" w:lineRule="auto"/>
        <w:ind w:right="220" w:firstLine="0"/>
        <w:jc w:val="right"/>
      </w:pPr>
      <w:r>
        <w:t>Trnava 13. Júla 1939</w:t>
      </w:r>
    </w:p>
    <w:p w:rsidR="00500724" w:rsidRDefault="00F30FB8">
      <w:pPr>
        <w:pStyle w:val="Zkladntext100"/>
        <w:shd w:val="clear" w:color="auto" w:fill="auto"/>
        <w:spacing w:line="202" w:lineRule="auto"/>
        <w:ind w:left="960" w:firstLine="0"/>
        <w:jc w:val="left"/>
      </w:pPr>
      <w:r>
        <w:t>Vážená pani Smolová!</w:t>
      </w:r>
    </w:p>
    <w:p w:rsidR="00500724" w:rsidRDefault="00F30FB8">
      <w:pPr>
        <w:pStyle w:val="Zkladntext100"/>
        <w:shd w:val="clear" w:color="auto" w:fill="auto"/>
        <w:spacing w:line="202" w:lineRule="auto"/>
        <w:ind w:firstLine="220"/>
      </w:pPr>
      <w:r>
        <w:t>Odpustíte mi prosím, že Vám úplné neznáma Slovenka, do</w:t>
      </w:r>
      <w:r>
        <w:softHyphen/>
        <w:t xml:space="preserve">volím si Vám </w:t>
      </w:r>
      <w:r>
        <w:t>napísať tento list. Hlavnou příčinou však k tomuto listu je právě Váš krásny dopis uverejnený v č. 28. Přítomnosti, ktorým odpovedáte istej Slovenke, vydatej za Čecha. Hovo</w:t>
      </w:r>
      <w:r>
        <w:softHyphen/>
        <w:t>řím o tomto Vašom liste, ako o krásnom a verte mi, že je to pravda. Je to pře nás k</w:t>
      </w:r>
      <w:r>
        <w:t>rásny dar, tých Vašich niekoíko slov, ktorými hovoříte o nás — Slovákov — o Vašich citoch k nám. Ano, je to skutočnosť, že už viacej nežijeme v jednom Státe, ale je svátá pravda, že i keď sú tu dva národy — slovenský a český, sú to národy bratské. A toto v</w:t>
      </w:r>
      <w:r>
        <w:t>edomie sl my — moj slovenský národ •— v svojom srdci stále zachováme.</w:t>
      </w:r>
    </w:p>
    <w:p w:rsidR="00500724" w:rsidRDefault="00F30FB8">
      <w:pPr>
        <w:pStyle w:val="Zkladntext100"/>
        <w:shd w:val="clear" w:color="auto" w:fill="auto"/>
        <w:spacing w:line="202" w:lineRule="auto"/>
        <w:ind w:firstLine="220"/>
      </w:pPr>
      <w:r>
        <w:t>Je tu dnes sice smutná pravda, že medzi námi, stojí teraz hranica neprekročitelná, ako pevná hradba strážená z obidvoch stráň celnikmi a vojskom. Ale my vieme a cítime to, že toto je hra</w:t>
      </w:r>
      <w:r>
        <w:t>nica len a len politická a my preca sme Tudia (nie politikovia), ktori majú svoju slovanská oduševnenosť, bratské cítenie a slovanská krv v tele — slovenský národ od českého nemóže sa rozdeliť len tak rychle takovou mrtvou hraníčnou čiarou.</w:t>
      </w:r>
    </w:p>
    <w:p w:rsidR="00500724" w:rsidRDefault="00F30FB8">
      <w:pPr>
        <w:pStyle w:val="Zkladntext100"/>
        <w:shd w:val="clear" w:color="auto" w:fill="auto"/>
        <w:spacing w:line="202" w:lineRule="auto"/>
        <w:ind w:firstLine="220"/>
      </w:pPr>
      <w:r>
        <w:t xml:space="preserve">Sme Vaši, ako </w:t>
      </w:r>
      <w:r>
        <w:t>Vy ste naši a na to nezabúdame a nezabudne- me na odkaz nášho bohatiera Štefánika. Velmi dlho sme žili spolu, mali sme jednaké žiale před vojnou, jednaké starosti a tiež radosti po světověj vojně. Dnes naše jediné heslo, jediná posilujúca veta, ktorá podpo</w:t>
      </w:r>
      <w:r>
        <w:t>ruje plameň nášho života národ</w:t>
      </w:r>
      <w:r>
        <w:softHyphen/>
        <w:t>ného je:</w:t>
      </w:r>
    </w:p>
    <w:p w:rsidR="00500724" w:rsidRDefault="00F30FB8">
      <w:pPr>
        <w:pStyle w:val="Zkladntext100"/>
        <w:shd w:val="clear" w:color="auto" w:fill="auto"/>
        <w:spacing w:line="202" w:lineRule="auto"/>
        <w:ind w:firstLine="220"/>
      </w:pPr>
      <w:r>
        <w:t>Boli sme a budem.</w:t>
      </w:r>
    </w:p>
    <w:p w:rsidR="00500724" w:rsidRDefault="00F30FB8">
      <w:pPr>
        <w:pStyle w:val="Zkladntext100"/>
        <w:shd w:val="clear" w:color="auto" w:fill="auto"/>
        <w:spacing w:line="202" w:lineRule="auto"/>
        <w:ind w:firstLine="220"/>
      </w:pPr>
      <w:r>
        <w:t xml:space="preserve">Vážená neznáma, i keď nepoznáte vela Slovákov, pravých, poctivých Slovákov, verte mi, že sme hodni Vašej lásky, že </w:t>
      </w:r>
      <w:r>
        <w:rPr>
          <w:b/>
          <w:bCs/>
        </w:rPr>
        <w:t xml:space="preserve">si </w:t>
      </w:r>
      <w:r>
        <w:t>plné zaslúžime Vaše krásné šlová.</w:t>
      </w:r>
    </w:p>
    <w:p w:rsidR="00500724" w:rsidRDefault="00F30FB8">
      <w:pPr>
        <w:pStyle w:val="Zkladntext100"/>
        <w:shd w:val="clear" w:color="auto" w:fill="auto"/>
        <w:spacing w:line="202" w:lineRule="auto"/>
        <w:ind w:firstLine="220"/>
      </w:pPr>
      <w:r>
        <w:t>To ako vďaka za Váš dopis od roduvernej Sloven</w:t>
      </w:r>
      <w:r>
        <w:t>ky,</w:t>
      </w:r>
    </w:p>
    <w:p w:rsidR="00500724" w:rsidRDefault="00F30FB8">
      <w:pPr>
        <w:pStyle w:val="Zkladntext100"/>
        <w:shd w:val="clear" w:color="auto" w:fill="auto"/>
        <w:spacing w:after="220" w:line="202" w:lineRule="auto"/>
        <w:ind w:firstLine="0"/>
        <w:jc w:val="right"/>
      </w:pPr>
      <w:r>
        <w:t>Antonii Blažovej v Trnavě.</w:t>
      </w:r>
    </w:p>
    <w:p w:rsidR="00500724" w:rsidRDefault="00F30FB8">
      <w:pPr>
        <w:pStyle w:val="Zkladntext100"/>
        <w:shd w:val="clear" w:color="auto" w:fill="auto"/>
        <w:spacing w:line="202" w:lineRule="auto"/>
        <w:ind w:firstLine="0"/>
        <w:jc w:val="center"/>
      </w:pPr>
      <w:r>
        <w:rPr>
          <w:b/>
          <w:bCs/>
        </w:rPr>
        <w:t>Slovenské divadlo a čeští herci</w:t>
      </w:r>
    </w:p>
    <w:p w:rsidR="00500724" w:rsidRDefault="00F30FB8">
      <w:pPr>
        <w:pStyle w:val="Zkladntext100"/>
        <w:shd w:val="clear" w:color="auto" w:fill="auto"/>
        <w:spacing w:line="202" w:lineRule="auto"/>
        <w:ind w:right="220" w:firstLine="0"/>
        <w:jc w:val="right"/>
      </w:pPr>
      <w:r>
        <w:t>Bratislava 7./VII. 1939</w:t>
      </w:r>
    </w:p>
    <w:p w:rsidR="00500724" w:rsidRDefault="00F30FB8">
      <w:pPr>
        <w:pStyle w:val="Zkladntext100"/>
        <w:shd w:val="clear" w:color="auto" w:fill="auto"/>
        <w:spacing w:line="202" w:lineRule="auto"/>
        <w:ind w:left="1120" w:firstLine="0"/>
        <w:jc w:val="left"/>
      </w:pPr>
      <w:r>
        <w:t>Vážená redakcia!</w:t>
      </w:r>
    </w:p>
    <w:p w:rsidR="00500724" w:rsidRDefault="00F30FB8">
      <w:pPr>
        <w:pStyle w:val="Zkladntext100"/>
        <w:shd w:val="clear" w:color="auto" w:fill="auto"/>
        <w:spacing w:line="202" w:lineRule="auto"/>
        <w:ind w:firstLine="300"/>
      </w:pPr>
      <w:r>
        <w:t>Na članok ^Slovenské divadlo a češti herci« v 25. čísle Přítomnosti zo dňa 21. Júna, rád by som pripisal niekoTko poznámok, čo by osvětlilo poměr pána p</w:t>
      </w:r>
      <w:r>
        <w:t>isatela článku Josefa Dvořáka k Slovenskému Národnému divadlu.</w:t>
      </w:r>
    </w:p>
    <w:p w:rsidR="00500724" w:rsidRDefault="00F30FB8">
      <w:pPr>
        <w:pStyle w:val="Zkladntext100"/>
        <w:shd w:val="clear" w:color="auto" w:fill="auto"/>
        <w:spacing w:line="202" w:lineRule="auto"/>
        <w:ind w:firstLine="300"/>
      </w:pPr>
      <w:r>
        <w:t>Hněď na začiatku rád by som připomenul, že také pisanie ako v spominanom článku, je vlastně pokračováním onej »blahodárnej«, v tomto případe »kultúrnej činnosti« poniekto- rich Čechov na Sloven</w:t>
      </w:r>
      <w:r>
        <w:t>sku, ktorej ovocie dnes požíváme, — čo na týho rozvadenosti. Vážená redakcia, snažím sa objaviť v umění vždy bez zaujatosti, klady práce, či to robi Čech,</w:t>
      </w:r>
    </w:p>
    <w:p w:rsidR="00500724" w:rsidRDefault="00F30FB8">
      <w:pPr>
        <w:pStyle w:val="Zkladntext100"/>
        <w:shd w:val="clear" w:color="auto" w:fill="auto"/>
        <w:spacing w:after="40"/>
        <w:ind w:firstLine="0"/>
      </w:pPr>
      <w:r>
        <w:t xml:space="preserve">Slovák, Nemec, atd. Ale povedite mi úprimne, čo je toto: Tento pán Josef Dvořák svojho času napísal: </w:t>
      </w:r>
      <w:r>
        <w:t>»— je zarážajúce, že na slávnostné uvítanie presidenta bude hrať slovenská činohra a nie česká(?!) ktorá je na vyššej úrovni a ktorej jedine při</w:t>
      </w:r>
      <w:r>
        <w:softHyphen/>
        <w:t xml:space="preserve">náleží reprezentovat Slov. Nár. divadlo (!!)....« Toto už nie je šovinizmus, to je viac! ... A len tu sa mohla </w:t>
      </w:r>
      <w:r>
        <w:t>zrodiť veta. ako je i v hoře spomenutom článku. A sice: »Puvodne štylisovaná zpráva vzbuzovala dojem, jako by SND chtělo znova angažo- vati bývalý soubor české činohry, v posledních letech režíro</w:t>
      </w:r>
      <w:r>
        <w:softHyphen/>
        <w:t>vaný Viktorem Sulcem.« — Po tom všetkom čo sa udiolo a ako s</w:t>
      </w:r>
      <w:r>
        <w:t>a poměry ustálily?! — Je to tiež viac ako naivita.... Že potom p. Josef Dvořák hovořil stále o vyššej úrovni všetké- ho čo bolo na dohách Slov. nár. divadla české, — je samozřej</w:t>
      </w:r>
      <w:r>
        <w:softHyphen/>
        <w:t>mé, tak právě, ako přežíval duševně muka pri veřkom úspěchu slovenského činohe</w:t>
      </w:r>
      <w:r>
        <w:t xml:space="preserve">rného súboru pri pohostinských hrách v Pra- he, čomu dal priechod v svojich »Poznámkach k pražskému vystúpenim Slov. nár. divadla.« Cinnosť redaktora, kultúrneho teferanta </w:t>
      </w:r>
      <w:r>
        <w:rPr>
          <w:b/>
          <w:bCs/>
          <w:sz w:val="19"/>
          <w:szCs w:val="19"/>
        </w:rPr>
        <w:t xml:space="preserve">a </w:t>
      </w:r>
      <w:r>
        <w:t>kritika p. Dvořáka bola pozoruhodná svojúm obzvláštnym postojom k všetkému, čo bol</w:t>
      </w:r>
      <w:r>
        <w:t>o slovenské.</w:t>
      </w:r>
    </w:p>
    <w:p w:rsidR="00500724" w:rsidRDefault="00F30FB8">
      <w:pPr>
        <w:pStyle w:val="Zkladntext100"/>
        <w:shd w:val="clear" w:color="auto" w:fill="auto"/>
        <w:spacing w:after="40" w:line="197" w:lineRule="auto"/>
        <w:ind w:firstLine="340"/>
      </w:pPr>
      <w:r>
        <w:t xml:space="preserve">A konečne. Je nepochopiteťné, ako niekto chce rozoberať problémy Slov. nár. divadla len </w:t>
      </w:r>
      <w:r>
        <w:rPr>
          <w:lang w:val="en-US" w:eastAsia="en-US" w:bidi="en-US"/>
        </w:rPr>
        <w:t xml:space="preserve">podl’a </w:t>
      </w:r>
      <w:r>
        <w:t xml:space="preserve">toho, čo počul v rádiu, </w:t>
      </w:r>
      <w:r>
        <w:rPr>
          <w:sz w:val="22"/>
          <w:szCs w:val="22"/>
        </w:rPr>
        <w:t xml:space="preserve">z </w:t>
      </w:r>
      <w:r>
        <w:t>Poznatkov (nevecných!), ktoré si odniesol a nepozná súčasný stav věci?!</w:t>
      </w:r>
    </w:p>
    <w:p w:rsidR="00500724" w:rsidRDefault="00F30FB8">
      <w:pPr>
        <w:pStyle w:val="Zkladntext100"/>
        <w:shd w:val="clear" w:color="auto" w:fill="auto"/>
        <w:spacing w:after="100" w:line="202" w:lineRule="auto"/>
        <w:ind w:firstLine="340"/>
      </w:pPr>
      <w:r>
        <w:t xml:space="preserve">Že sa burcovalo v rádiu a v tlačí k hojnejšej </w:t>
      </w:r>
      <w:r>
        <w:t>návštěvě di</w:t>
      </w:r>
      <w:r>
        <w:softHyphen/>
        <w:t xml:space="preserve">vadla a hovořilo sa o poloprázdnom a prázdnom divadle, —. to bola taktická chyba niektorých horečnatých hláv, které z pri- lišnej horlivosti »snadno a rychle« sa chceli zaslúžiť o divadlo. </w:t>
      </w:r>
      <w:r>
        <w:rPr>
          <w:b/>
          <w:bCs/>
          <w:sz w:val="19"/>
          <w:szCs w:val="19"/>
        </w:rPr>
        <w:t xml:space="preserve">V </w:t>
      </w:r>
      <w:r>
        <w:t xml:space="preserve">skutočnosti je to složitejšie a ťažšie, tak, ako na </w:t>
      </w:r>
      <w:r>
        <w:rPr>
          <w:lang w:val="en-US" w:eastAsia="en-US" w:bidi="en-US"/>
        </w:rPr>
        <w:t>t</w:t>
      </w:r>
      <w:r>
        <w:rPr>
          <w:lang w:val="en-US" w:eastAsia="en-US" w:bidi="en-US"/>
        </w:rPr>
        <w:t xml:space="preserve">ie </w:t>
      </w:r>
      <w:r>
        <w:t>výzvy odpovedala ^Slovenská politika«: »— robte to divadlo dobré a potom budeme doň chodíť!« To divadlo sa robilo dobré a aby sa i v budúcnosti robilo dobré, to bude zá« ujmom predovšetkým nášho Ministerstva školstva a všetkých, ktorím budúcnosť Slov. n</w:t>
      </w:r>
      <w:r>
        <w:t>ár. divadla leží na srdci.</w:t>
      </w:r>
    </w:p>
    <w:p w:rsidR="00500724" w:rsidRDefault="00F30FB8">
      <w:pPr>
        <w:pStyle w:val="Zkladntext100"/>
        <w:shd w:val="clear" w:color="auto" w:fill="auto"/>
        <w:spacing w:after="100" w:line="197" w:lineRule="auto"/>
        <w:ind w:firstLine="0"/>
        <w:jc w:val="center"/>
      </w:pPr>
      <w:r>
        <w:t>V hlbokej úctě</w:t>
      </w:r>
    </w:p>
    <w:p w:rsidR="00500724" w:rsidRDefault="00F30FB8">
      <w:pPr>
        <w:pStyle w:val="Zkladntext100"/>
        <w:shd w:val="clear" w:color="auto" w:fill="auto"/>
        <w:spacing w:line="223" w:lineRule="auto"/>
        <w:ind w:right="60" w:firstLine="0"/>
        <w:jc w:val="center"/>
      </w:pPr>
      <w:r>
        <w:t>Stefan Figura,</w:t>
      </w:r>
      <w:r>
        <w:br/>
        <w:t>člen Slov. nár. divadla</w:t>
      </w:r>
    </w:p>
    <w:p w:rsidR="00500724" w:rsidRDefault="00F30FB8">
      <w:pPr>
        <w:pStyle w:val="Zkladntext100"/>
        <w:shd w:val="clear" w:color="auto" w:fill="auto"/>
        <w:spacing w:after="220" w:line="223" w:lineRule="auto"/>
        <w:ind w:right="60" w:firstLine="0"/>
        <w:jc w:val="center"/>
      </w:pPr>
      <w:r>
        <w:t>v Bratislavě.</w:t>
      </w:r>
    </w:p>
    <w:p w:rsidR="00500724" w:rsidRDefault="00F30FB8">
      <w:pPr>
        <w:pStyle w:val="Zkladntext100"/>
        <w:shd w:val="clear" w:color="auto" w:fill="auto"/>
        <w:spacing w:after="100" w:line="197" w:lineRule="auto"/>
        <w:ind w:firstLine="0"/>
        <w:jc w:val="center"/>
      </w:pPr>
      <w:r>
        <w:rPr>
          <w:b/>
          <w:bCs/>
        </w:rPr>
        <w:t>Svatý Václav a Boleslav</w:t>
      </w:r>
    </w:p>
    <w:p w:rsidR="00500724" w:rsidRDefault="00F30FB8">
      <w:pPr>
        <w:pStyle w:val="Zkladntext100"/>
        <w:shd w:val="clear" w:color="auto" w:fill="auto"/>
        <w:spacing w:after="100" w:line="197" w:lineRule="auto"/>
        <w:ind w:left="1240" w:firstLine="0"/>
        <w:jc w:val="left"/>
      </w:pPr>
      <w:r>
        <w:t>Vážená redakce!</w:t>
      </w:r>
    </w:p>
    <w:p w:rsidR="00500724" w:rsidRDefault="00F30FB8">
      <w:pPr>
        <w:pStyle w:val="Zkladntext100"/>
        <w:shd w:val="clear" w:color="auto" w:fill="auto"/>
        <w:spacing w:after="40" w:line="197" w:lineRule="auto"/>
        <w:ind w:firstLine="340"/>
        <w:jc w:val="left"/>
      </w:pPr>
      <w:r>
        <w:t>Je zajímavé, co papíru se už popsalo ve věci našeho národ</w:t>
      </w:r>
      <w:r>
        <w:softHyphen/>
        <w:t>ního svátého a přes to, že je tolik knih už sepsáno a od čelnýc</w:t>
      </w:r>
      <w:r>
        <w:t>h našich dějepisců, přece jen se jaksi nemůžeme dopracovat! jistého jasna.</w:t>
      </w:r>
    </w:p>
    <w:p w:rsidR="00500724" w:rsidRDefault="00F30FB8">
      <w:pPr>
        <w:pStyle w:val="Zkladntext100"/>
        <w:shd w:val="clear" w:color="auto" w:fill="auto"/>
        <w:spacing w:after="40" w:line="197" w:lineRule="auto"/>
        <w:ind w:firstLine="340"/>
      </w:pPr>
      <w:r>
        <w:t>Cistě historicky vzato, víme asi tolik.</w:t>
      </w:r>
    </w:p>
    <w:p w:rsidR="00500724" w:rsidRDefault="00F30FB8">
      <w:pPr>
        <w:pStyle w:val="Zkladntext100"/>
        <w:shd w:val="clear" w:color="auto" w:fill="auto"/>
        <w:spacing w:after="40" w:line="197" w:lineRule="auto"/>
        <w:ind w:firstLine="340"/>
        <w:jc w:val="left"/>
      </w:pPr>
      <w:r>
        <w:t>Kníže Václav byl synem knížete Vratislava, při jehož smrti 1(921) byl chlapcem (asi 121etým), takže místo něho vládla jeho matka Drahomíra, z</w:t>
      </w:r>
      <w:r>
        <w:t xml:space="preserve"> rodu Luticů, tedy Polabanka.</w:t>
      </w:r>
    </w:p>
    <w:p w:rsidR="00500724" w:rsidRDefault="00F30FB8">
      <w:pPr>
        <w:pStyle w:val="Zkladntext100"/>
        <w:shd w:val="clear" w:color="auto" w:fill="auto"/>
        <w:spacing w:after="60" w:line="194" w:lineRule="auto"/>
        <w:ind w:firstLine="340"/>
      </w:pPr>
      <w:r>
        <w:t xml:space="preserve">Situace politická té doby jest ovládána otázkou křesťanství </w:t>
      </w:r>
      <w:r>
        <w:rPr>
          <w:b/>
          <w:bCs/>
          <w:sz w:val="19"/>
          <w:szCs w:val="19"/>
        </w:rPr>
        <w:t xml:space="preserve">a </w:t>
      </w:r>
      <w:r>
        <w:t>pohanství. V Cechách mělo křesťanství dvojí tvářnost: národ</w:t>
      </w:r>
      <w:r>
        <w:softHyphen/>
        <w:t xml:space="preserve">ní, představovanou cyrilometodějstvím a cizí, představovanou křesťanstvím římsko-německým. Toto římské </w:t>
      </w:r>
      <w:r>
        <w:t>křesťanství bylo sloučeno s politickým problémem německé nadvlády nad Slo</w:t>
      </w:r>
      <w:r>
        <w:softHyphen/>
        <w:t>vany. Od roku 895, kdy kníže Spytihněv se přiklonil k církvi římské, bylo cyrilometodějství v Čechách v úpadku a křesťan</w:t>
      </w:r>
      <w:r>
        <w:softHyphen/>
        <w:t>ství římské bylo směrem vládnoucím. K této dvojí tvářnosti kř</w:t>
      </w:r>
      <w:r>
        <w:t xml:space="preserve">esťanství v Cechách přistupoval další rušivý tón v osobě kněžny Drahomíry sice křesťanky, ale jejíž rodina byla ještě pohanská. Tato situace komplikovala zahraniční politiku: křesťanství pojilo Čechy k Němcům, rodová příbuznost k Po- labanům. Tyto rozpory </w:t>
      </w:r>
      <w:r>
        <w:t>se projevily za vladaření Drahomířina, když Jindřich Ptáčník se pustil do boje s polabskými Srby. V Cechách se vytvořily zjevně dvě strany: pro pomoc Luticů (strana slovanská) — strana Drahomířina a později Bolesla</w:t>
      </w:r>
      <w:r>
        <w:softHyphen/>
        <w:t>vova, pro mír (křesťanská) — strana Lidmi</w:t>
      </w:r>
      <w:r>
        <w:t>lina a Václavova. Nejprve měla vrch strana Drahomířina (sv. Ludmila byla za</w:t>
      </w:r>
      <w:r>
        <w:softHyphen/>
        <w:t xml:space="preserve">rdoušena), když se však ujal Václav vlády (někdy po r. 925), poměry se obrátily a straně Ludmilině se dostalo zadostiučinění s tím, že byla povolána opět k vládě (mnozí z ciziny). </w:t>
      </w:r>
      <w:r>
        <w:t>Zatím 928 vypukla válka Jindřicha Ptáčníka se Srby, kteří byli po</w:t>
      </w:r>
      <w:r>
        <w:softHyphen/>
        <w:t>raženi (Braniboř, rodný hrad Drahomířin byl rozbořen). Glo- mačskem táhl Jindřich do Cech, kde zatím strana míru došla plně k veslu. Drahomíra byla vypověděna a jeji stoupenci zčásti pobiti,</w:t>
      </w:r>
      <w:r>
        <w:t xml:space="preserve"> zčásti vypovězeni. Vrátiti se směla až po vykonané persekuci. Kníže Václav se bez boje podrobil, přijal od krále darem rámě sv. Víta, předního saského světce, a uvolil se platiti poplatek,</w:t>
      </w:r>
    </w:p>
    <w:p w:rsidR="00500724" w:rsidRDefault="00F30FB8">
      <w:pPr>
        <w:pStyle w:val="Zkladntext100"/>
        <w:shd w:val="clear" w:color="auto" w:fill="auto"/>
        <w:spacing w:after="60" w:line="197" w:lineRule="auto"/>
        <w:ind w:firstLine="340"/>
      </w:pPr>
      <w:r>
        <w:t xml:space="preserve">Ale v létě 929 Polabané podnikli protiofensivu a její vlny </w:t>
      </w:r>
      <w:r>
        <w:rPr>
          <w:vertAlign w:val="superscript"/>
        </w:rPr>
        <w:t>1</w:t>
      </w:r>
      <w:r>
        <w:t>1 důsl</w:t>
      </w:r>
      <w:r>
        <w:t xml:space="preserve">edky zalehlý i do Cech. Počátkem záři byli Polabané sice opět u Loučina (blízko Vittenberku) poraženi, což způsobilo </w:t>
      </w:r>
      <w:r>
        <w:rPr>
          <w:b/>
          <w:bCs/>
          <w:sz w:val="19"/>
          <w:szCs w:val="19"/>
        </w:rPr>
        <w:t xml:space="preserve">v </w:t>
      </w:r>
      <w:r>
        <w:t>Cechách nesmírný zmatek a současně obavy, co by se dělo, kdyby se Jindřich Ptáčník obrátil do Čech. Dalši persekuca Drahomířiných straník</w:t>
      </w:r>
      <w:r>
        <w:t xml:space="preserve">ů by byly za Václava nevyhnutelné* Z tohoto nebezpečí bylo východiskem jen odstranění Václava* jež znamenalo možnost branného odporu a znemožnění </w:t>
      </w:r>
      <w:r>
        <w:rPr>
          <w:lang w:val="en-US" w:eastAsia="en-US" w:bidi="en-US"/>
        </w:rPr>
        <w:t>perse</w:t>
      </w:r>
      <w:r>
        <w:rPr>
          <w:lang w:val="en-US" w:eastAsia="en-US" w:bidi="en-US"/>
        </w:rPr>
        <w:softHyphen/>
        <w:t xml:space="preserve">kuci </w:t>
      </w:r>
      <w:r>
        <w:t>ohrožených příslušníků, chceme-li slovanské strany.</w:t>
      </w:r>
    </w:p>
    <w:p w:rsidR="00500724" w:rsidRDefault="00F30FB8">
      <w:pPr>
        <w:pStyle w:val="Zkladntext100"/>
        <w:shd w:val="clear" w:color="auto" w:fill="auto"/>
        <w:spacing w:line="197" w:lineRule="auto"/>
        <w:ind w:firstLine="340"/>
      </w:pPr>
      <w:r>
        <w:t xml:space="preserve">To bylo provedeno 28. září 929 ve Staré </w:t>
      </w:r>
      <w:r>
        <w:t>Boleslavi. Výsled</w:t>
      </w:r>
      <w:r>
        <w:softHyphen/>
        <w:t>kem bylo provolání Boleslava knížetem — válka proti Něm</w:t>
      </w:r>
      <w:r>
        <w:softHyphen/>
        <w:t>cům, sjednocení Čech a vytvoření velkého boleslavského státu*</w:t>
      </w:r>
    </w:p>
    <w:p w:rsidR="00500724" w:rsidRDefault="00F30FB8">
      <w:pPr>
        <w:pStyle w:val="Zkladntext100"/>
        <w:shd w:val="clear" w:color="auto" w:fill="auto"/>
        <w:ind w:firstLine="300"/>
      </w:pPr>
      <w:r>
        <w:t>Které závěry plynou z těchto skutečností?</w:t>
      </w:r>
    </w:p>
    <w:p w:rsidR="00500724" w:rsidRDefault="00F30FB8">
      <w:pPr>
        <w:pStyle w:val="Zkladntext100"/>
        <w:numPr>
          <w:ilvl w:val="0"/>
          <w:numId w:val="92"/>
        </w:numPr>
        <w:shd w:val="clear" w:color="auto" w:fill="auto"/>
        <w:tabs>
          <w:tab w:val="left" w:pos="524"/>
        </w:tabs>
        <w:ind w:firstLine="340"/>
      </w:pPr>
      <w:r>
        <w:t>Vražda Václavova nemohla miti v dané chvíli jiné pohnutky než politické a osob</w:t>
      </w:r>
      <w:r>
        <w:t>ní.</w:t>
      </w:r>
    </w:p>
    <w:p w:rsidR="00500724" w:rsidRDefault="00F30FB8">
      <w:pPr>
        <w:pStyle w:val="Zkladntext100"/>
        <w:numPr>
          <w:ilvl w:val="0"/>
          <w:numId w:val="92"/>
        </w:numPr>
        <w:shd w:val="clear" w:color="auto" w:fill="auto"/>
        <w:tabs>
          <w:tab w:val="left" w:pos="524"/>
        </w:tabs>
        <w:ind w:firstLine="340"/>
      </w:pPr>
      <w:r>
        <w:t>Z líčení osobnosti a činů Václavových vysvítá, že směn jeho politiky nebyl nijak dán hlediskem národním, nýbrž hlediskem křesťanským. Václav nebyl ani germanofilem ani zrádcem svého plémě. Václav byl spojencem křesťanského německého krále, proti pohans</w:t>
      </w:r>
      <w:r>
        <w:t>kým Luticům. Podporová! směr římsko-německý jako jeho otec. — Václav, křesťan, není státníkem a nemá vůbec nijakých mocenských cílů. — Nad</w:t>
      </w:r>
      <w:r>
        <w:softHyphen/>
        <w:t>vládu Němců-křesťanů chápe jakožto samozřejmost. Vůči boji s nimi stoji proto cize, neboť Němci jsou křesťané jako on</w:t>
      </w:r>
      <w:r>
        <w:t>. (dostal od nich octatky sv. Víta. čistě germánského svátého)* — Václav chce využiti své vlády a míru k uplatnění křesťan</w:t>
      </w:r>
      <w:r>
        <w:softHyphen/>
        <w:t>ství v životě svém i svých poddaných (podle legendy chtěl svaté chleby, nosí za staré báby z lesa dříví atd.).</w:t>
      </w:r>
    </w:p>
    <w:p w:rsidR="00500724" w:rsidRDefault="00F30FB8">
      <w:pPr>
        <w:pStyle w:val="Zkladntext100"/>
        <w:shd w:val="clear" w:color="auto" w:fill="auto"/>
        <w:spacing w:line="206" w:lineRule="auto"/>
        <w:ind w:firstLine="340"/>
      </w:pPr>
      <w:r>
        <w:t>Proti této koncepci kř</w:t>
      </w:r>
      <w:r>
        <w:t>esťanské, humánní a lze říci nad</w:t>
      </w:r>
      <w:r>
        <w:softHyphen/>
        <w:t>státní, stojí směr naprosto praktický, jehož pohnutky jsou čistě mocenské a osobní (obrana proti podmanitelům, součin</w:t>
      </w:r>
      <w:r>
        <w:softHyphen/>
        <w:t>nost s kmeny téže krve).</w:t>
      </w:r>
    </w:p>
    <w:p w:rsidR="00500724" w:rsidRDefault="00F30FB8">
      <w:pPr>
        <w:pStyle w:val="Zkladntext100"/>
        <w:shd w:val="clear" w:color="auto" w:fill="auto"/>
        <w:spacing w:line="202" w:lineRule="auto"/>
        <w:ind w:firstLine="340"/>
      </w:pPr>
      <w:r>
        <w:t>Moderně vyjádřeno: směr Václavův je vysloveně ideolo</w:t>
      </w:r>
      <w:r>
        <w:softHyphen/>
        <w:t>gický, směr Boleslavův reál</w:t>
      </w:r>
      <w:r>
        <w:t>ní. Při tom kníže Václav oři svém skonu a kníže Boleslav při svém počátku byli v téže situaci a měli téhož nepřítele (král Jindřich zemřel až v roce 936), Výsledek jejich činnosti je názorným a přesvědčivým důkazem, jaké jsou předpoklady pro vznik a uchová</w:t>
      </w:r>
      <w:r>
        <w:t>ní státu. Je to sílá ve službách cílevědomé vůle. Václav svátý chce býti křesťanem, Boleslav chce svobodu a stát! Vše by bylo dokonalé, kdyby: Boleslav i Václav byli sjednoceni v jedné osobě!</w:t>
      </w:r>
    </w:p>
    <w:p w:rsidR="00500724" w:rsidRDefault="00F30FB8">
      <w:pPr>
        <w:pStyle w:val="Zkladntext100"/>
        <w:numPr>
          <w:ilvl w:val="0"/>
          <w:numId w:val="92"/>
        </w:numPr>
        <w:shd w:val="clear" w:color="auto" w:fill="auto"/>
        <w:tabs>
          <w:tab w:val="left" w:pos="534"/>
        </w:tabs>
        <w:spacing w:line="202" w:lineRule="auto"/>
        <w:ind w:firstLine="340"/>
      </w:pPr>
      <w:r>
        <w:t>Výklad Palackého, že Václavova politika zachránila ná</w:t>
      </w:r>
      <w:r>
        <w:softHyphen/>
        <w:t>rod. je sp</w:t>
      </w:r>
      <w:r>
        <w:t>rávný potud, že Václav nebyl s to vésti si jinak (vizte na př. pověst o jeho utkání s Radslavem Zlickým). Kdyby však měl jeho výklad platiti všeobecně, musil by konec vlády Vá</w:t>
      </w:r>
      <w:r>
        <w:softHyphen/>
        <w:t>clavovy znamenati současně katastrofu Cech. Průběh událostí ukázal opak. Bolesla</w:t>
      </w:r>
      <w:r>
        <w:t>v nejenom byl s to vzdorovati německé říši 20 let, nýbrž při tom sjednotil Čechy a utvořil stát nej</w:t>
      </w:r>
      <w:r>
        <w:softHyphen/>
        <w:t>větší, jaký kdy byl! Český stát není tedy dílem Václavovým, nýbrž Boleslavovým! Jeho úpadek ke konci století nepřivodili Němci, nýbrž Poláci.</w:t>
      </w:r>
    </w:p>
    <w:p w:rsidR="00500724" w:rsidRDefault="00F30FB8">
      <w:pPr>
        <w:pStyle w:val="Zkladntext100"/>
        <w:numPr>
          <w:ilvl w:val="0"/>
          <w:numId w:val="92"/>
        </w:numPr>
        <w:shd w:val="clear" w:color="auto" w:fill="auto"/>
        <w:tabs>
          <w:tab w:val="left" w:pos="524"/>
        </w:tabs>
        <w:spacing w:line="202" w:lineRule="auto"/>
        <w:ind w:firstLine="340"/>
      </w:pPr>
      <w:r>
        <w:t xml:space="preserve">Jest rozpor </w:t>
      </w:r>
      <w:r>
        <w:t>mezi postavou Václava knížete a sv. Václava, a jak si ho vytvořilo lidové podání a představa. První byl spo</w:t>
      </w:r>
      <w:r>
        <w:softHyphen/>
        <w:t>jencem křesťanských Němců, druhý ochráncem národa proti nim! Tato představa lidí je příznačná a ospravedlňuje, třebá pozdě, politiku Boleslavovu.</w:t>
      </w:r>
    </w:p>
    <w:p w:rsidR="00500724" w:rsidRDefault="00F30FB8">
      <w:pPr>
        <w:pStyle w:val="Zkladntext100"/>
        <w:shd w:val="clear" w:color="auto" w:fill="auto"/>
        <w:spacing w:line="202" w:lineRule="auto"/>
        <w:ind w:firstLine="340"/>
      </w:pPr>
      <w:r>
        <w:t>Př</w:t>
      </w:r>
      <w:r>
        <w:t>es to jest otázka, proč Boleslav nezískal většího poroz</w:t>
      </w:r>
      <w:r>
        <w:softHyphen/>
        <w:t>umění pro sebe a pro své dílo? Lze odpověděti asi tak:</w:t>
      </w:r>
    </w:p>
    <w:p w:rsidR="00500724" w:rsidRDefault="00F30FB8">
      <w:pPr>
        <w:pStyle w:val="Zkladntext100"/>
        <w:numPr>
          <w:ilvl w:val="0"/>
          <w:numId w:val="93"/>
        </w:numPr>
        <w:shd w:val="clear" w:color="auto" w:fill="auto"/>
        <w:tabs>
          <w:tab w:val="left" w:pos="634"/>
        </w:tabs>
        <w:spacing w:line="178" w:lineRule="auto"/>
        <w:ind w:left="540" w:hanging="200"/>
      </w:pPr>
      <w:r>
        <w:t>Boleslav sice vytvořil stát a sjednotil národ, ale přes toi nestačil svými silami, aby trvale a úspěšně čelil svaté římské říši. Součinnost s Pol</w:t>
      </w:r>
      <w:r>
        <w:t>abany a Poláky nebyla stálá, Povrchní úsudek tedy zní, že Boleslav skončil ve šlépě</w:t>
      </w:r>
      <w:r>
        <w:softHyphen/>
        <w:t>jích Václavových.</w:t>
      </w:r>
    </w:p>
    <w:p w:rsidR="00500724" w:rsidRDefault="00F30FB8">
      <w:pPr>
        <w:pStyle w:val="Zkladntext100"/>
        <w:numPr>
          <w:ilvl w:val="0"/>
          <w:numId w:val="93"/>
        </w:numPr>
        <w:shd w:val="clear" w:color="auto" w:fill="auto"/>
        <w:tabs>
          <w:tab w:val="left" w:pos="634"/>
        </w:tabs>
        <w:ind w:left="540" w:hanging="200"/>
      </w:pPr>
      <w:r>
        <w:t>Boleslav ponechal neřešenu otázku církevní, jež však byla podstatnou součástí problému.</w:t>
      </w:r>
    </w:p>
    <w:p w:rsidR="00500724" w:rsidRDefault="00F30FB8">
      <w:pPr>
        <w:pStyle w:val="Zkladntext100"/>
        <w:numPr>
          <w:ilvl w:val="0"/>
          <w:numId w:val="93"/>
        </w:numPr>
        <w:shd w:val="clear" w:color="auto" w:fill="auto"/>
        <w:tabs>
          <w:tab w:val="left" w:pos="634"/>
        </w:tabs>
        <w:ind w:left="540" w:hanging="200"/>
      </w:pPr>
      <w:r>
        <w:t>Schopnosti a povaha našeho národa od Bílé hory nedo</w:t>
      </w:r>
      <w:r>
        <w:softHyphen/>
        <w:t>spěly ještě ta</w:t>
      </w:r>
      <w:r>
        <w:t>k vysoko, aby byl včas a vždy pochopen skutečný zájem státu. Usuzujeme všichni ještě ideolo</w:t>
      </w:r>
      <w:r>
        <w:softHyphen/>
        <w:t>gicky. Také v republice šlo o demokracii, humanitu, o vývoj (zda vpravo či vlevo), o mír atd., ale nedo</w:t>
      </w:r>
      <w:r>
        <w:softHyphen/>
        <w:t>vedli jsme pochopiti včas a jednomyslně, který je zájem náro</w:t>
      </w:r>
      <w:r>
        <w:t>da a státu a posuzovati jej. Poněvadž nedovedeme mysliti konkrétně a mocensky, nejsme s to oceniti díla Blahoslavova.</w:t>
      </w:r>
    </w:p>
    <w:p w:rsidR="00500724" w:rsidRDefault="00F30FB8">
      <w:pPr>
        <w:pStyle w:val="Zkladntext100"/>
        <w:shd w:val="clear" w:color="auto" w:fill="auto"/>
        <w:tabs>
          <w:tab w:val="left" w:pos="4502"/>
        </w:tabs>
        <w:ind w:firstLine="300"/>
        <w:sectPr w:rsidR="00500724">
          <w:footnotePr>
            <w:numFmt w:val="chicago"/>
            <w:numRestart w:val="eachPage"/>
          </w:footnotePr>
          <w:type w:val="continuous"/>
          <w:pgSz w:w="11909" w:h="16834"/>
          <w:pgMar w:top="974" w:right="1032" w:bottom="885" w:left="476" w:header="0" w:footer="3" w:gutter="0"/>
          <w:cols w:num="2" w:space="100"/>
          <w:noEndnote/>
          <w:docGrid w:linePitch="360"/>
        </w:sectPr>
      </w:pPr>
      <w:r>
        <w:t>Chceme-li kdy pochopiti Václava svátého, dívejme se naň se všech hledisek: s hlediska jeho knížecího poslání</w:t>
      </w:r>
      <w:r>
        <w:t>, jeho činů a jejich výsledků a jeho osudu v podání legendy. A když o něm mluvíme, řekněme hned i hledisko! Pak snad bude jasno vtom, že význam Václavův je v tom, že dal duchovní náplň Bole</w:t>
      </w:r>
      <w:r>
        <w:softHyphen/>
        <w:t>slavovu státu.</w:t>
      </w:r>
      <w:r>
        <w:tab/>
        <w:t>I. Čh.</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461" w:line="14" w:lineRule="exact"/>
      </w:pPr>
    </w:p>
    <w:p w:rsidR="00500724" w:rsidRDefault="00500724">
      <w:pPr>
        <w:spacing w:line="14" w:lineRule="exact"/>
        <w:sectPr w:rsidR="00500724">
          <w:footnotePr>
            <w:numFmt w:val="chicago"/>
            <w:numRestart w:val="eachPage"/>
          </w:footnotePr>
          <w:pgSz w:w="11909" w:h="16834"/>
          <w:pgMar w:top="812" w:right="677" w:bottom="588" w:left="715" w:header="0" w:footer="3" w:gutter="0"/>
          <w:cols w:space="720"/>
          <w:noEndnote/>
          <w:docGrid w:linePitch="360"/>
        </w:sectPr>
      </w:pPr>
    </w:p>
    <w:p w:rsidR="00500724" w:rsidRDefault="00F30FB8">
      <w:pPr>
        <w:spacing w:line="14" w:lineRule="exact"/>
      </w:pPr>
      <w:r>
        <w:rPr>
          <w:noProof/>
        </w:rPr>
        <mc:AlternateContent>
          <mc:Choice Requires="wps">
            <w:drawing>
              <wp:anchor distT="0" distB="50800" distL="12700" distR="12700" simplePos="0" relativeHeight="125830130" behindDoc="0" locked="0" layoutInCell="1" allowOverlap="1">
                <wp:simplePos x="0" y="0"/>
                <wp:positionH relativeFrom="page">
                  <wp:posOffset>2188210</wp:posOffset>
                </wp:positionH>
                <wp:positionV relativeFrom="paragraph">
                  <wp:posOffset>18415</wp:posOffset>
                </wp:positionV>
                <wp:extent cx="3218815" cy="871855"/>
                <wp:effectExtent l="0" t="0" r="0" b="0"/>
                <wp:wrapTopAndBottom/>
                <wp:docPr id="753" name="Shape 753"/>
                <wp:cNvGraphicFramePr/>
                <a:graphic xmlns:a="http://schemas.openxmlformats.org/drawingml/2006/main">
                  <a:graphicData uri="http://schemas.microsoft.com/office/word/2010/wordprocessingShape">
                    <wps:wsp>
                      <wps:cNvSpPr txBox="1"/>
                      <wps:spPr>
                        <a:xfrm>
                          <a:off x="0" y="0"/>
                          <a:ext cx="3218815" cy="871855"/>
                        </a:xfrm>
                        <a:prstGeom prst="rect">
                          <a:avLst/>
                        </a:prstGeom>
                        <a:noFill/>
                      </wps:spPr>
                      <wps:txbx>
                        <w:txbxContent>
                          <w:p w:rsidR="00500724" w:rsidRDefault="00F30FB8">
                            <w:pPr>
                              <w:pStyle w:val="Zkladntext100"/>
                              <w:shd w:val="clear" w:color="auto" w:fill="auto"/>
                              <w:spacing w:after="60" w:line="233" w:lineRule="auto"/>
                              <w:ind w:firstLine="0"/>
                              <w:jc w:val="center"/>
                              <w:rPr>
                                <w:sz w:val="19"/>
                                <w:szCs w:val="19"/>
                              </w:rPr>
                            </w:pPr>
                            <w:r>
                              <w:rPr>
                                <w:b/>
                                <w:bCs/>
                                <w:sz w:val="19"/>
                                <w:szCs w:val="19"/>
                              </w:rPr>
                              <w:t xml:space="preserve">Krása </w:t>
                            </w:r>
                            <w:r>
                              <w:rPr>
                                <w:b/>
                                <w:bCs/>
                                <w:sz w:val="19"/>
                                <w:szCs w:val="19"/>
                              </w:rPr>
                              <w:t>jazyka a zvyk</w:t>
                            </w:r>
                          </w:p>
                          <w:p w:rsidR="00500724" w:rsidRDefault="00F30FB8">
                            <w:pPr>
                              <w:pStyle w:val="Zkladntext100"/>
                              <w:shd w:val="clear" w:color="auto" w:fill="auto"/>
                              <w:tabs>
                                <w:tab w:val="left" w:pos="3701"/>
                              </w:tabs>
                              <w:spacing w:line="233" w:lineRule="auto"/>
                              <w:ind w:firstLine="200"/>
                              <w:rPr>
                                <w:sz w:val="20"/>
                                <w:szCs w:val="20"/>
                              </w:rPr>
                            </w:pPr>
                            <w:r>
                              <w:rPr>
                                <w:b/>
                                <w:bCs/>
                                <w:sz w:val="19"/>
                                <w:szCs w:val="19"/>
                              </w:rPr>
                              <w:t>Národové si neuvědomuji, že mluví řeěi vil své vlasti. Pro většinu lidí, kteří přivykli jistě řeěi, slova ztratila svou heb</w:t>
                            </w:r>
                            <w:r>
                              <w:rPr>
                                <w:b/>
                                <w:bCs/>
                                <w:sz w:val="19"/>
                                <w:szCs w:val="19"/>
                              </w:rPr>
                              <w:softHyphen/>
                              <w:t>kou ojiněnost. Stala se z nich slova běžná, která lidem horlivě slouží od rána do večera, ale ělověk se na ně už ani n</w:t>
                            </w:r>
                            <w:r>
                              <w:rPr>
                                <w:b/>
                                <w:bCs/>
                                <w:sz w:val="19"/>
                                <w:szCs w:val="19"/>
                              </w:rPr>
                              <w:t>eohlíží.</w:t>
                            </w:r>
                            <w:r>
                              <w:rPr>
                                <w:b/>
                                <w:bCs/>
                                <w:sz w:val="19"/>
                                <w:szCs w:val="19"/>
                              </w:rPr>
                              <w:tab/>
                            </w:r>
                            <w:r>
                              <w:rPr>
                                <w:i/>
                                <w:iCs/>
                                <w:sz w:val="20"/>
                                <w:szCs w:val="20"/>
                              </w:rPr>
                              <w:t>René Schickele</w:t>
                            </w:r>
                          </w:p>
                        </w:txbxContent>
                      </wps:txbx>
                      <wps:bodyPr lIns="0" tIns="0" rIns="0" bIns="0">
                        <a:spAutoFit/>
                      </wps:bodyPr>
                    </wps:wsp>
                  </a:graphicData>
                </a:graphic>
              </wp:anchor>
            </w:drawing>
          </mc:Choice>
          <mc:Fallback>
            <w:pict>
              <v:shape id="_x0000_s1779" type="#_x0000_t202" style="position:absolute;margin-left:172.30000000000001pt;margin-top:1.45pt;width:253.44999999999999pt;height:68.650000000000006pt;z-index:-125828623;mso-wrap-distance-left:1.pt;mso-wrap-distance-right:1.pt;mso-wrap-distance-bottom:4.pt;mso-position-horizontal-relative:page" filled="f" stroked="f">
                <v:textbox style="mso-fit-shape-to-text:t" inset="0,0,0,0">
                  <w:txbxContent>
                    <w:p>
                      <w:pPr>
                        <w:pStyle w:val="Style344"/>
                        <w:keepNext w:val="0"/>
                        <w:keepLines w:val="0"/>
                        <w:widowControl w:val="0"/>
                        <w:shd w:val="clear" w:color="auto" w:fill="auto"/>
                        <w:bidi w:val="0"/>
                        <w:spacing w:before="0" w:after="60" w:line="233" w:lineRule="auto"/>
                        <w:ind w:left="0" w:right="0" w:firstLine="0"/>
                        <w:jc w:val="center"/>
                        <w:rPr>
                          <w:sz w:val="19"/>
                          <w:szCs w:val="19"/>
                        </w:rPr>
                      </w:pPr>
                      <w:r>
                        <w:rPr>
                          <w:b/>
                          <w:bCs/>
                          <w:color w:val="000000"/>
                          <w:spacing w:val="0"/>
                          <w:w w:val="100"/>
                          <w:position w:val="0"/>
                          <w:sz w:val="19"/>
                          <w:szCs w:val="19"/>
                          <w:shd w:val="clear" w:color="auto" w:fill="auto"/>
                          <w:lang w:val="cs-CZ" w:eastAsia="cs-CZ" w:bidi="cs-CZ"/>
                        </w:rPr>
                        <w:t>Krása jazyka a zvyk</w:t>
                      </w:r>
                    </w:p>
                    <w:p>
                      <w:pPr>
                        <w:pStyle w:val="Style344"/>
                        <w:keepNext w:val="0"/>
                        <w:keepLines w:val="0"/>
                        <w:widowControl w:val="0"/>
                        <w:shd w:val="clear" w:color="auto" w:fill="auto"/>
                        <w:tabs>
                          <w:tab w:pos="3701" w:val="left"/>
                        </w:tabs>
                        <w:bidi w:val="0"/>
                        <w:spacing w:before="0" w:after="0" w:line="233" w:lineRule="auto"/>
                        <w:ind w:left="0" w:right="0" w:firstLine="200"/>
                        <w:rPr>
                          <w:sz w:val="20"/>
                          <w:szCs w:val="20"/>
                        </w:rPr>
                      </w:pPr>
                      <w:r>
                        <w:rPr>
                          <w:b/>
                          <w:bCs/>
                          <w:color w:val="000000"/>
                          <w:spacing w:val="0"/>
                          <w:w w:val="100"/>
                          <w:position w:val="0"/>
                          <w:sz w:val="19"/>
                          <w:szCs w:val="19"/>
                          <w:shd w:val="clear" w:color="auto" w:fill="auto"/>
                          <w:lang w:val="cs-CZ" w:eastAsia="cs-CZ" w:bidi="cs-CZ"/>
                        </w:rPr>
                        <w:t>Národové si neuvědomuji, že mluví řeěi vil své vlasti. Pro většinu lidí, kteří přivykli jistě řeěi, slova ztratila svou heb</w:t>
                        <w:softHyphen/>
                        <w:t>kou ojiněnost. Stala se z nich slova běžná, která lidem horlivě slouží od rána do večera, ale ělověk se na ně už ani neohlíží.</w:t>
                        <w:tab/>
                      </w:r>
                      <w:r>
                        <w:rPr>
                          <w:i/>
                          <w:iCs/>
                          <w:color w:val="000000"/>
                          <w:spacing w:val="0"/>
                          <w:w w:val="100"/>
                          <w:position w:val="0"/>
                          <w:sz w:val="20"/>
                          <w:szCs w:val="20"/>
                          <w:shd w:val="clear" w:color="auto" w:fill="auto"/>
                          <w:lang w:val="cs-CZ" w:eastAsia="cs-CZ" w:bidi="cs-CZ"/>
                        </w:rPr>
                        <w:t>René Schickele</w:t>
                      </w:r>
                    </w:p>
                  </w:txbxContent>
                </v:textbox>
                <w10:wrap type="topAndBottom" anchorx="page"/>
              </v:shape>
            </w:pict>
          </mc:Fallback>
        </mc:AlternateContent>
      </w:r>
    </w:p>
    <w:p w:rsidR="00500724" w:rsidRDefault="00F30FB8">
      <w:pPr>
        <w:pStyle w:val="Zkladntext20"/>
        <w:shd w:val="clear" w:color="auto" w:fill="auto"/>
        <w:spacing w:after="60" w:line="226" w:lineRule="auto"/>
        <w:ind w:firstLine="0"/>
        <w:jc w:val="left"/>
        <w:rPr>
          <w:sz w:val="20"/>
          <w:szCs w:val="20"/>
        </w:rPr>
      </w:pPr>
      <w:r>
        <w:rPr>
          <w:i/>
          <w:iCs/>
          <w:sz w:val="20"/>
          <w:szCs w:val="20"/>
        </w:rPr>
        <w:t>Tu Fu:</w:t>
      </w:r>
    </w:p>
    <w:p w:rsidR="00500724" w:rsidRDefault="00F30FB8">
      <w:pPr>
        <w:pStyle w:val="Zkladntext20"/>
        <w:shd w:val="clear" w:color="auto" w:fill="auto"/>
        <w:spacing w:after="60" w:line="240" w:lineRule="auto"/>
        <w:ind w:firstLine="0"/>
        <w:jc w:val="right"/>
        <w:rPr>
          <w:sz w:val="24"/>
          <w:szCs w:val="24"/>
        </w:rPr>
      </w:pPr>
      <w:r>
        <w:rPr>
          <w:b/>
          <w:bCs/>
          <w:sz w:val="24"/>
          <w:szCs w:val="24"/>
        </w:rPr>
        <w:t>VERBIŘ. ZE ŠIHAO</w:t>
      </w:r>
    </w:p>
    <w:p w:rsidR="00500724" w:rsidRDefault="00F30FB8">
      <w:pPr>
        <w:pStyle w:val="Zkladntext20"/>
        <w:shd w:val="clear" w:color="auto" w:fill="auto"/>
        <w:spacing w:line="216" w:lineRule="auto"/>
        <w:ind w:firstLine="0"/>
        <w:jc w:val="right"/>
        <w:rPr>
          <w:sz w:val="20"/>
          <w:szCs w:val="20"/>
        </w:rPr>
      </w:pPr>
      <w:r>
        <w:rPr>
          <w:i/>
          <w:iCs/>
          <w:sz w:val="20"/>
          <w:szCs w:val="20"/>
        </w:rPr>
        <w:t xml:space="preserve">Klesalo slunce. Chtěl jsem -právě </w:t>
      </w:r>
      <w:r>
        <w:rPr>
          <w:i/>
          <w:iCs/>
          <w:sz w:val="20"/>
          <w:szCs w:val="20"/>
          <w:lang w:val="en-US" w:eastAsia="en-US" w:bidi="en-US"/>
        </w:rPr>
        <w:t>spat.</w:t>
      </w:r>
    </w:p>
    <w:p w:rsidR="00500724" w:rsidRDefault="00F30FB8">
      <w:pPr>
        <w:pStyle w:val="Zkladntext20"/>
        <w:shd w:val="clear" w:color="auto" w:fill="auto"/>
        <w:spacing w:line="216" w:lineRule="auto"/>
        <w:ind w:firstLine="0"/>
        <w:jc w:val="left"/>
        <w:rPr>
          <w:sz w:val="20"/>
          <w:szCs w:val="20"/>
        </w:rPr>
      </w:pPr>
      <w:r>
        <w:rPr>
          <w:i/>
          <w:iCs/>
          <w:sz w:val="20"/>
          <w:szCs w:val="20"/>
        </w:rPr>
        <w:t>Bel sivý mužík prašnou</w:t>
      </w:r>
    </w:p>
    <w:p w:rsidR="00500724" w:rsidRDefault="00F30FB8">
      <w:pPr>
        <w:pStyle w:val="Zkladntext20"/>
        <w:shd w:val="clear" w:color="auto" w:fill="auto"/>
        <w:spacing w:line="216" w:lineRule="auto"/>
        <w:ind w:firstLine="0"/>
        <w:jc w:val="right"/>
        <w:rPr>
          <w:sz w:val="20"/>
          <w:szCs w:val="20"/>
        </w:rPr>
      </w:pPr>
      <w:r>
        <w:rPr>
          <w:i/>
          <w:iCs/>
          <w:sz w:val="20"/>
          <w:szCs w:val="20"/>
        </w:rPr>
        <w:t>silnici;</w:t>
      </w:r>
    </w:p>
    <w:p w:rsidR="00500724" w:rsidRDefault="00F30FB8">
      <w:pPr>
        <w:pStyle w:val="Zkladntext20"/>
        <w:shd w:val="clear" w:color="auto" w:fill="auto"/>
        <w:spacing w:line="216" w:lineRule="auto"/>
        <w:ind w:firstLine="0"/>
        <w:jc w:val="left"/>
        <w:rPr>
          <w:sz w:val="20"/>
          <w:szCs w:val="20"/>
        </w:rPr>
      </w:pPr>
      <w:r>
        <w:rPr>
          <w:b/>
          <w:bCs/>
          <w:i/>
          <w:iCs/>
          <w:sz w:val="20"/>
          <w:szCs w:val="20"/>
        </w:rPr>
        <w:t>na vršku zdi sed, pusté</w:t>
      </w:r>
    </w:p>
    <w:p w:rsidR="00500724" w:rsidRDefault="00F30FB8">
      <w:pPr>
        <w:pStyle w:val="Zkladntext20"/>
        <w:shd w:val="clear" w:color="auto" w:fill="auto"/>
        <w:spacing w:line="216" w:lineRule="auto"/>
        <w:ind w:firstLine="0"/>
        <w:jc w:val="right"/>
        <w:rPr>
          <w:sz w:val="20"/>
          <w:szCs w:val="20"/>
        </w:rPr>
      </w:pPr>
      <w:r>
        <w:rPr>
          <w:i/>
          <w:iCs/>
          <w:sz w:val="20"/>
          <w:szCs w:val="20"/>
        </w:rPr>
        <w:t>vesnici</w:t>
      </w:r>
    </w:p>
    <w:p w:rsidR="00500724" w:rsidRDefault="00F30FB8">
      <w:pPr>
        <w:pStyle w:val="Zkladntext20"/>
        <w:shd w:val="clear" w:color="auto" w:fill="auto"/>
        <w:spacing w:line="216" w:lineRule="auto"/>
        <w:ind w:firstLine="0"/>
        <w:jc w:val="left"/>
        <w:rPr>
          <w:sz w:val="20"/>
          <w:szCs w:val="20"/>
        </w:rPr>
      </w:pPr>
      <w:r>
        <w:rPr>
          <w:i/>
          <w:iCs/>
          <w:sz w:val="20"/>
          <w:szCs w:val="20"/>
        </w:rPr>
        <w:t>verbířskou píseň začal</w:t>
      </w:r>
    </w:p>
    <w:p w:rsidR="00500724" w:rsidRDefault="00F30FB8">
      <w:pPr>
        <w:pStyle w:val="Zkladntext20"/>
        <w:shd w:val="clear" w:color="auto" w:fill="auto"/>
        <w:spacing w:after="160" w:line="216" w:lineRule="auto"/>
        <w:ind w:firstLine="0"/>
        <w:jc w:val="right"/>
        <w:rPr>
          <w:sz w:val="20"/>
          <w:szCs w:val="20"/>
        </w:rPr>
      </w:pPr>
      <w:r>
        <w:rPr>
          <w:b/>
          <w:bCs/>
          <w:i/>
          <w:iCs/>
          <w:sz w:val="20"/>
          <w:szCs w:val="20"/>
        </w:rPr>
        <w:t>notovat.</w:t>
      </w:r>
    </w:p>
    <w:p w:rsidR="00500724" w:rsidRDefault="00F30FB8">
      <w:pPr>
        <w:pStyle w:val="Zkladntext20"/>
        <w:shd w:val="clear" w:color="auto" w:fill="auto"/>
        <w:spacing w:line="226" w:lineRule="auto"/>
        <w:ind w:firstLine="0"/>
        <w:jc w:val="right"/>
        <w:rPr>
          <w:sz w:val="20"/>
          <w:szCs w:val="20"/>
        </w:rPr>
      </w:pPr>
      <w:r>
        <w:rPr>
          <w:i/>
          <w:iCs/>
          <w:sz w:val="20"/>
          <w:szCs w:val="20"/>
        </w:rPr>
        <w:t>Jste stará Sena — v kupku slitý žal.</w:t>
      </w:r>
    </w:p>
    <w:p w:rsidR="00500724" w:rsidRDefault="00F30FB8">
      <w:pPr>
        <w:pStyle w:val="Zkladntext20"/>
        <w:shd w:val="clear" w:color="auto" w:fill="auto"/>
        <w:spacing w:line="226" w:lineRule="auto"/>
        <w:ind w:firstLine="0"/>
        <w:jc w:val="left"/>
        <w:rPr>
          <w:sz w:val="20"/>
          <w:szCs w:val="20"/>
        </w:rPr>
      </w:pPr>
      <w:r>
        <w:rPr>
          <w:b/>
          <w:bCs/>
          <w:sz w:val="19"/>
          <w:szCs w:val="19"/>
        </w:rPr>
        <w:t xml:space="preserve">.Di — </w:t>
      </w:r>
      <w:r>
        <w:rPr>
          <w:i/>
          <w:iCs/>
          <w:sz w:val="20"/>
          <w:szCs w:val="20"/>
        </w:rPr>
        <w:t>slova duní, kamenů</w:t>
      </w:r>
    </w:p>
    <w:p w:rsidR="00500724" w:rsidRDefault="00F30FB8">
      <w:pPr>
        <w:pStyle w:val="Zkladntext20"/>
        <w:shd w:val="clear" w:color="auto" w:fill="auto"/>
        <w:spacing w:line="226" w:lineRule="auto"/>
        <w:ind w:firstLine="0"/>
        <w:jc w:val="right"/>
        <w:rPr>
          <w:sz w:val="20"/>
          <w:szCs w:val="20"/>
        </w:rPr>
      </w:pPr>
      <w:r>
        <w:rPr>
          <w:i/>
          <w:iCs/>
          <w:sz w:val="20"/>
          <w:szCs w:val="20"/>
        </w:rPr>
        <w:t>jak řada</w:t>
      </w:r>
    </w:p>
    <w:p w:rsidR="00500724" w:rsidRDefault="00F30FB8">
      <w:pPr>
        <w:pStyle w:val="Zkladntext20"/>
        <w:shd w:val="clear" w:color="auto" w:fill="auto"/>
        <w:spacing w:line="226" w:lineRule="auto"/>
        <w:ind w:firstLine="0"/>
        <w:jc w:val="left"/>
        <w:rPr>
          <w:sz w:val="20"/>
          <w:szCs w:val="20"/>
        </w:rPr>
      </w:pPr>
      <w:r>
        <w:rPr>
          <w:i/>
          <w:iCs/>
          <w:sz w:val="20"/>
          <w:szCs w:val="20"/>
        </w:rPr>
        <w:t>když do bezedné studny</w:t>
      </w:r>
    </w:p>
    <w:p w:rsidR="00500724" w:rsidRDefault="00F30FB8">
      <w:pPr>
        <w:pStyle w:val="Zkladntext20"/>
        <w:shd w:val="clear" w:color="auto" w:fill="auto"/>
        <w:spacing w:line="226" w:lineRule="auto"/>
        <w:ind w:firstLine="0"/>
        <w:jc w:val="right"/>
        <w:rPr>
          <w:sz w:val="20"/>
          <w:szCs w:val="20"/>
        </w:rPr>
      </w:pPr>
      <w:r>
        <w:rPr>
          <w:i/>
          <w:iCs/>
          <w:sz w:val="20"/>
          <w:szCs w:val="20"/>
        </w:rPr>
        <w:t>temně padá:</w:t>
      </w:r>
    </w:p>
    <w:p w:rsidR="00500724" w:rsidRDefault="00F30FB8">
      <w:pPr>
        <w:pStyle w:val="Zkladntext20"/>
        <w:shd w:val="clear" w:color="auto" w:fill="auto"/>
        <w:spacing w:line="226" w:lineRule="auto"/>
        <w:ind w:firstLine="0"/>
        <w:jc w:val="left"/>
        <w:rPr>
          <w:sz w:val="20"/>
          <w:szCs w:val="20"/>
        </w:rPr>
      </w:pPr>
      <w:r>
        <w:rPr>
          <w:i/>
          <w:iCs/>
          <w:sz w:val="20"/>
          <w:szCs w:val="20"/>
        </w:rPr>
        <w:t>&gt;Tři syny měla jsem —</w:t>
      </w:r>
    </w:p>
    <w:p w:rsidR="00500724" w:rsidRDefault="00F30FB8">
      <w:pPr>
        <w:pStyle w:val="Zkladntext20"/>
        <w:shd w:val="clear" w:color="auto" w:fill="auto"/>
        <w:spacing w:after="160" w:line="226" w:lineRule="auto"/>
        <w:ind w:firstLine="0"/>
        <w:jc w:val="right"/>
        <w:rPr>
          <w:sz w:val="20"/>
          <w:szCs w:val="20"/>
        </w:rPr>
      </w:pPr>
      <w:r>
        <w:rPr>
          <w:i/>
          <w:iCs/>
          <w:sz w:val="20"/>
          <w:szCs w:val="20"/>
        </w:rPr>
        <w:t>tři císař vzal.</w:t>
      </w:r>
    </w:p>
    <w:p w:rsidR="00500724" w:rsidRDefault="00F30FB8">
      <w:pPr>
        <w:pStyle w:val="Zkladntext20"/>
        <w:shd w:val="clear" w:color="auto" w:fill="auto"/>
        <w:spacing w:line="226" w:lineRule="auto"/>
        <w:ind w:firstLine="0"/>
        <w:jc w:val="left"/>
        <w:rPr>
          <w:sz w:val="20"/>
          <w:szCs w:val="20"/>
        </w:rPr>
      </w:pPr>
      <w:r>
        <w:rPr>
          <w:i/>
          <w:iCs/>
          <w:sz w:val="20"/>
          <w:szCs w:val="20"/>
        </w:rPr>
        <w:t>Psal včera nejstarší —</w:t>
      </w:r>
    </w:p>
    <w:p w:rsidR="00500724" w:rsidRDefault="00F30FB8">
      <w:pPr>
        <w:pStyle w:val="Zkladntext20"/>
        <w:shd w:val="clear" w:color="auto" w:fill="auto"/>
        <w:spacing w:line="226" w:lineRule="auto"/>
        <w:ind w:firstLine="0"/>
        <w:jc w:val="right"/>
        <w:rPr>
          <w:sz w:val="20"/>
          <w:szCs w:val="20"/>
        </w:rPr>
      </w:pPr>
      <w:r>
        <w:rPr>
          <w:i/>
          <w:iCs/>
          <w:sz w:val="20"/>
          <w:szCs w:val="20"/>
        </w:rPr>
        <w:t>eh, nadarmo!</w:t>
      </w:r>
    </w:p>
    <w:p w:rsidR="00500724" w:rsidRDefault="00F30FB8">
      <w:pPr>
        <w:pStyle w:val="Zkladntext20"/>
        <w:shd w:val="clear" w:color="auto" w:fill="auto"/>
        <w:spacing w:line="226" w:lineRule="auto"/>
        <w:ind w:firstLine="0"/>
        <w:jc w:val="right"/>
        <w:rPr>
          <w:sz w:val="20"/>
          <w:szCs w:val="20"/>
        </w:rPr>
      </w:pPr>
      <w:r>
        <w:rPr>
          <w:i/>
          <w:iCs/>
          <w:sz w:val="20"/>
          <w:szCs w:val="20"/>
        </w:rPr>
        <w:t>Psal: Siju. Žije? — Válečná když dobat</w:t>
      </w:r>
    </w:p>
    <w:p w:rsidR="00500724" w:rsidRDefault="00F30FB8">
      <w:pPr>
        <w:pStyle w:val="Zkladntext20"/>
        <w:shd w:val="clear" w:color="auto" w:fill="auto"/>
        <w:spacing w:line="226" w:lineRule="auto"/>
        <w:ind w:firstLine="0"/>
        <w:jc w:val="left"/>
        <w:rPr>
          <w:sz w:val="20"/>
          <w:szCs w:val="20"/>
        </w:rPr>
      </w:pPr>
      <w:r>
        <w:rPr>
          <w:i/>
          <w:iCs/>
          <w:sz w:val="20"/>
          <w:szCs w:val="20"/>
        </w:rPr>
        <w:t>Ti druzi v poli zůstali mi</w:t>
      </w:r>
    </w:p>
    <w:p w:rsidR="00500724" w:rsidRDefault="00F30FB8">
      <w:pPr>
        <w:pStyle w:val="Zkladntext20"/>
        <w:shd w:val="clear" w:color="auto" w:fill="auto"/>
        <w:spacing w:line="226" w:lineRule="auto"/>
        <w:ind w:firstLine="0"/>
        <w:jc w:val="right"/>
        <w:rPr>
          <w:sz w:val="20"/>
          <w:szCs w:val="20"/>
        </w:rPr>
      </w:pPr>
      <w:r>
        <w:rPr>
          <w:i/>
          <w:iCs/>
          <w:sz w:val="20"/>
          <w:szCs w:val="20"/>
        </w:rPr>
        <w:t>oba,</w:t>
      </w:r>
    </w:p>
    <w:p w:rsidR="00500724" w:rsidRDefault="00F30FB8">
      <w:pPr>
        <w:pStyle w:val="Zkladntext20"/>
        <w:shd w:val="clear" w:color="auto" w:fill="auto"/>
        <w:spacing w:line="226" w:lineRule="auto"/>
        <w:ind w:firstLine="0"/>
        <w:jc w:val="left"/>
        <w:rPr>
          <w:sz w:val="20"/>
          <w:szCs w:val="20"/>
        </w:rPr>
      </w:pPr>
      <w:r>
        <w:rPr>
          <w:b/>
          <w:bCs/>
          <w:i/>
          <w:iCs/>
          <w:sz w:val="19"/>
          <w:szCs w:val="19"/>
        </w:rPr>
        <w:t xml:space="preserve">SU, </w:t>
      </w:r>
      <w:r>
        <w:rPr>
          <w:i/>
          <w:iCs/>
          <w:sz w:val="20"/>
          <w:szCs w:val="20"/>
        </w:rPr>
        <w:t>černí voli, ěerné pod</w:t>
      </w:r>
    </w:p>
    <w:p w:rsidR="00500724" w:rsidRDefault="00F30FB8">
      <w:pPr>
        <w:pStyle w:val="Zkladntext20"/>
        <w:shd w:val="clear" w:color="auto" w:fill="auto"/>
        <w:spacing w:after="160" w:line="226" w:lineRule="auto"/>
        <w:ind w:firstLine="0"/>
        <w:jc w:val="right"/>
        <w:rPr>
          <w:sz w:val="20"/>
          <w:szCs w:val="20"/>
        </w:rPr>
      </w:pPr>
      <w:r>
        <w:rPr>
          <w:i/>
          <w:iCs/>
          <w:sz w:val="20"/>
          <w:szCs w:val="20"/>
        </w:rPr>
        <w:t>jarmo.</w:t>
      </w:r>
    </w:p>
    <w:p w:rsidR="00500724" w:rsidRDefault="00F30FB8">
      <w:pPr>
        <w:pStyle w:val="Zkladntext20"/>
        <w:shd w:val="clear" w:color="auto" w:fill="auto"/>
        <w:spacing w:line="228" w:lineRule="auto"/>
        <w:ind w:firstLine="0"/>
        <w:jc w:val="left"/>
        <w:rPr>
          <w:sz w:val="20"/>
          <w:szCs w:val="20"/>
        </w:rPr>
      </w:pPr>
      <w:r>
        <w:rPr>
          <w:i/>
          <w:iCs/>
          <w:sz w:val="20"/>
          <w:szCs w:val="20"/>
        </w:rPr>
        <w:t>A ty chceš muče? Tady?</w:t>
      </w:r>
    </w:p>
    <w:p w:rsidR="00500724" w:rsidRDefault="00F30FB8">
      <w:pPr>
        <w:pStyle w:val="Zkladntext20"/>
        <w:shd w:val="clear" w:color="auto" w:fill="auto"/>
        <w:spacing w:line="228" w:lineRule="auto"/>
        <w:ind w:firstLine="0"/>
        <w:jc w:val="right"/>
        <w:rPr>
          <w:sz w:val="20"/>
          <w:szCs w:val="20"/>
        </w:rPr>
      </w:pPr>
      <w:r>
        <w:rPr>
          <w:i/>
          <w:iCs/>
          <w:sz w:val="20"/>
          <w:szCs w:val="20"/>
        </w:rPr>
        <w:t>Blázníš snad?</w:t>
      </w:r>
    </w:p>
    <w:p w:rsidR="00500724" w:rsidRDefault="00F30FB8">
      <w:pPr>
        <w:pStyle w:val="Zkladntext20"/>
        <w:shd w:val="clear" w:color="auto" w:fill="auto"/>
        <w:spacing w:line="228" w:lineRule="auto"/>
        <w:ind w:firstLine="0"/>
        <w:jc w:val="right"/>
        <w:rPr>
          <w:sz w:val="20"/>
          <w:szCs w:val="20"/>
        </w:rPr>
      </w:pPr>
      <w:r>
        <w:rPr>
          <w:i/>
          <w:iCs/>
          <w:sz w:val="20"/>
          <w:szCs w:val="20"/>
        </w:rPr>
        <w:t xml:space="preserve">Zde </w:t>
      </w:r>
      <w:r>
        <w:rPr>
          <w:i/>
          <w:iCs/>
          <w:sz w:val="20"/>
          <w:szCs w:val="20"/>
        </w:rPr>
        <w:t>jen mé vnouče v stínu matky stoji.</w:t>
      </w:r>
    </w:p>
    <w:p w:rsidR="00500724" w:rsidRDefault="00F30FB8">
      <w:pPr>
        <w:pStyle w:val="Zkladntext20"/>
        <w:shd w:val="clear" w:color="auto" w:fill="auto"/>
        <w:spacing w:line="228" w:lineRule="auto"/>
        <w:ind w:firstLine="0"/>
        <w:jc w:val="right"/>
        <w:rPr>
          <w:sz w:val="20"/>
          <w:szCs w:val="20"/>
        </w:rPr>
      </w:pPr>
      <w:r>
        <w:rPr>
          <w:i/>
          <w:iCs/>
          <w:sz w:val="20"/>
          <w:szCs w:val="20"/>
        </w:rPr>
        <w:t>Hlad mají oba. Pro nahotu svoji</w:t>
      </w:r>
    </w:p>
    <w:p w:rsidR="00500724" w:rsidRDefault="00F30FB8">
      <w:pPr>
        <w:pStyle w:val="Zkladntext20"/>
        <w:shd w:val="clear" w:color="auto" w:fill="auto"/>
        <w:spacing w:after="160" w:line="228" w:lineRule="auto"/>
        <w:ind w:firstLine="0"/>
        <w:jc w:val="right"/>
        <w:rPr>
          <w:sz w:val="20"/>
          <w:szCs w:val="20"/>
        </w:rPr>
      </w:pPr>
      <w:r>
        <w:rPr>
          <w:b/>
          <w:bCs/>
          <w:i/>
          <w:iCs/>
          <w:sz w:val="20"/>
          <w:szCs w:val="20"/>
        </w:rPr>
        <w:t xml:space="preserve">e </w:t>
      </w:r>
      <w:r>
        <w:rPr>
          <w:i/>
          <w:iCs/>
          <w:sz w:val="20"/>
          <w:szCs w:val="20"/>
        </w:rPr>
        <w:t>polního kvítí pletou sobě šat.</w:t>
      </w:r>
    </w:p>
    <w:p w:rsidR="00500724" w:rsidRDefault="00F30FB8">
      <w:pPr>
        <w:pStyle w:val="Zkladntext20"/>
        <w:shd w:val="clear" w:color="auto" w:fill="auto"/>
        <w:spacing w:line="230" w:lineRule="auto"/>
        <w:ind w:firstLine="0"/>
        <w:jc w:val="right"/>
        <w:rPr>
          <w:sz w:val="20"/>
          <w:szCs w:val="20"/>
        </w:rPr>
      </w:pPr>
      <w:r>
        <w:rPr>
          <w:i/>
          <w:iCs/>
          <w:sz w:val="20"/>
          <w:szCs w:val="20"/>
        </w:rPr>
        <w:t>Co chceš tu, starěe? Mě snad bys ty rád?</w:t>
      </w:r>
    </w:p>
    <w:p w:rsidR="00500724" w:rsidRDefault="00F30FB8">
      <w:pPr>
        <w:pStyle w:val="Zkladntext20"/>
        <w:shd w:val="clear" w:color="auto" w:fill="auto"/>
        <w:spacing w:line="230" w:lineRule="auto"/>
        <w:ind w:firstLine="0"/>
        <w:jc w:val="right"/>
        <w:rPr>
          <w:sz w:val="20"/>
          <w:szCs w:val="20"/>
        </w:rPr>
      </w:pPr>
      <w:r>
        <w:rPr>
          <w:i/>
          <w:iCs/>
          <w:sz w:val="20"/>
          <w:szCs w:val="20"/>
        </w:rPr>
        <w:t>Hrst starých kostí — půjdu, je-li třeba, vojákům tvojím budu péci chleba</w:t>
      </w:r>
    </w:p>
    <w:p w:rsidR="00500724" w:rsidRDefault="00F30FB8">
      <w:pPr>
        <w:pStyle w:val="Zkladntext20"/>
        <w:shd w:val="clear" w:color="auto" w:fill="auto"/>
        <w:spacing w:after="100" w:line="230" w:lineRule="auto"/>
        <w:ind w:firstLine="0"/>
        <w:jc w:val="right"/>
        <w:rPr>
          <w:sz w:val="20"/>
          <w:szCs w:val="20"/>
        </w:rPr>
      </w:pPr>
      <w:r>
        <w:rPr>
          <w:i/>
          <w:iCs/>
          <w:sz w:val="20"/>
          <w:szCs w:val="20"/>
        </w:rPr>
        <w:t>e s tvojím vůdcem ve stanu chci spát.*</w:t>
      </w:r>
    </w:p>
    <w:p w:rsidR="00500724" w:rsidRDefault="00F30FB8">
      <w:pPr>
        <w:pStyle w:val="Zkladntext20"/>
        <w:shd w:val="clear" w:color="auto" w:fill="auto"/>
        <w:spacing w:line="230" w:lineRule="auto"/>
        <w:ind w:firstLine="0"/>
        <w:jc w:val="right"/>
        <w:rPr>
          <w:sz w:val="20"/>
          <w:szCs w:val="20"/>
        </w:rPr>
      </w:pPr>
      <w:r>
        <w:rPr>
          <w:i/>
          <w:iCs/>
          <w:sz w:val="20"/>
          <w:szCs w:val="20"/>
        </w:rPr>
        <w:t>Kři</w:t>
      </w:r>
      <w:r>
        <w:rPr>
          <w:i/>
          <w:iCs/>
          <w:sz w:val="20"/>
          <w:szCs w:val="20"/>
        </w:rPr>
        <w:t>k jeji nářkem sovím táh se v dál,</w:t>
      </w:r>
    </w:p>
    <w:p w:rsidR="00500724" w:rsidRDefault="00F30FB8">
      <w:pPr>
        <w:pStyle w:val="Zkladntext20"/>
        <w:shd w:val="clear" w:color="auto" w:fill="auto"/>
        <w:spacing w:line="230" w:lineRule="auto"/>
        <w:ind w:firstLine="0"/>
        <w:jc w:val="right"/>
        <w:rPr>
          <w:sz w:val="20"/>
          <w:szCs w:val="20"/>
        </w:rPr>
      </w:pPr>
      <w:r>
        <w:rPr>
          <w:i/>
          <w:iCs/>
          <w:sz w:val="20"/>
          <w:szCs w:val="20"/>
        </w:rPr>
        <w:t>bolesti vlny do vsi pusté bily; když ráno vstal jsem, den už smál se bílý</w:t>
      </w:r>
    </w:p>
    <w:p w:rsidR="00500724" w:rsidRDefault="00F30FB8">
      <w:pPr>
        <w:pStyle w:val="Zkladntext20"/>
        <w:shd w:val="clear" w:color="auto" w:fill="auto"/>
        <w:spacing w:line="230" w:lineRule="auto"/>
        <w:ind w:firstLine="0"/>
        <w:jc w:val="left"/>
        <w:rPr>
          <w:sz w:val="20"/>
          <w:szCs w:val="20"/>
        </w:rPr>
      </w:pPr>
      <w:r>
        <w:rPr>
          <w:b/>
          <w:bCs/>
          <w:i/>
          <w:iCs/>
          <w:sz w:val="20"/>
          <w:szCs w:val="20"/>
        </w:rPr>
        <w:t xml:space="preserve">a </w:t>
      </w:r>
      <w:r>
        <w:rPr>
          <w:i/>
          <w:iCs/>
          <w:sz w:val="20"/>
          <w:szCs w:val="20"/>
        </w:rPr>
        <w:t>sivý mužík na zdi</w:t>
      </w:r>
    </w:p>
    <w:p w:rsidR="00500724" w:rsidRDefault="00F30FB8">
      <w:pPr>
        <w:pStyle w:val="Zkladntext20"/>
        <w:shd w:val="clear" w:color="auto" w:fill="auto"/>
        <w:spacing w:after="100" w:line="230" w:lineRule="auto"/>
        <w:ind w:firstLine="0"/>
        <w:jc w:val="right"/>
        <w:rPr>
          <w:sz w:val="20"/>
          <w:szCs w:val="20"/>
        </w:rPr>
      </w:pPr>
      <w:r>
        <w:rPr>
          <w:i/>
          <w:iCs/>
          <w:sz w:val="20"/>
          <w:szCs w:val="20"/>
        </w:rPr>
        <w:t>skřehotal.</w:t>
      </w:r>
    </w:p>
    <w:p w:rsidR="00500724" w:rsidRDefault="00F30FB8">
      <w:pPr>
        <w:pStyle w:val="Zkladntext40"/>
        <w:shd w:val="clear" w:color="auto" w:fill="auto"/>
        <w:spacing w:after="0" w:line="233" w:lineRule="auto"/>
        <w:ind w:firstLine="200"/>
      </w:pPr>
      <w:r>
        <w:t>Ukázka z Četných ukázek vel</w:t>
      </w:r>
      <w:r>
        <w:softHyphen/>
      </w:r>
      <w:r>
        <w:rPr>
          <w:b/>
          <w:bCs/>
          <w:sz w:val="16"/>
          <w:szCs w:val="16"/>
        </w:rPr>
        <w:t xml:space="preserve">ká </w:t>
      </w:r>
      <w:r>
        <w:t>kouzelné poesie Čínské, otiště</w:t>
      </w:r>
      <w:r>
        <w:softHyphen/>
        <w:t>ných v knize Můj národ a má vlast.</w:t>
      </w:r>
    </w:p>
    <w:p w:rsidR="00500724" w:rsidRDefault="00F30FB8">
      <w:pPr>
        <w:pStyle w:val="Jin0"/>
        <w:shd w:val="clear" w:color="auto" w:fill="auto"/>
        <w:spacing w:after="80"/>
        <w:ind w:firstLine="0"/>
        <w:rPr>
          <w:sz w:val="24"/>
          <w:szCs w:val="24"/>
        </w:rPr>
      </w:pPr>
      <w:r>
        <w:rPr>
          <w:rFonts w:ascii="Arial" w:eastAsia="Arial" w:hAnsi="Arial" w:cs="Arial"/>
          <w:sz w:val="24"/>
          <w:szCs w:val="24"/>
        </w:rPr>
        <w:t>POZNÁMKY</w:t>
      </w:r>
    </w:p>
    <w:p w:rsidR="00500724" w:rsidRDefault="00F30FB8">
      <w:pPr>
        <w:pStyle w:val="Zkladntext40"/>
        <w:shd w:val="clear" w:color="auto" w:fill="auto"/>
        <w:spacing w:line="206" w:lineRule="auto"/>
      </w:pPr>
      <w:r>
        <w:t>A. M. Píša:</w:t>
      </w:r>
      <w:r>
        <w:t xml:space="preserve"> ZBORTĚNÍ:</w:t>
      </w:r>
    </w:p>
    <w:p w:rsidR="00500724" w:rsidRDefault="00F30FB8">
      <w:pPr>
        <w:pStyle w:val="Zkladntext40"/>
        <w:shd w:val="clear" w:color="auto" w:fill="auto"/>
        <w:spacing w:after="80" w:line="206" w:lineRule="auto"/>
      </w:pPr>
      <w:r>
        <w:t>HARFY TÓN</w:t>
      </w:r>
    </w:p>
    <w:p w:rsidR="00500724" w:rsidRDefault="00F30FB8">
      <w:pPr>
        <w:pStyle w:val="Zkladntext40"/>
        <w:shd w:val="clear" w:color="auto" w:fill="auto"/>
        <w:spacing w:after="140" w:line="206" w:lineRule="auto"/>
      </w:pPr>
      <w:r>
        <w:t>Ve sbírce slok, Jež Vladimíru Holanovi vytryskly z ovzduší »září 1938«, bylo patrno. Jak osudný vír těch dnů přímo vy</w:t>
      </w:r>
      <w:r>
        <w:softHyphen/>
        <w:t>chvátil mladého lyrika ze zakleti Jeho vnitřního světa, dotud Jako</w:t>
      </w:r>
      <w:r>
        <w:softHyphen/>
        <w:t>by pod vývěvou, a naráz postavil tváří v tvář hrom</w:t>
      </w:r>
      <w:r>
        <w:t>adné skuteč</w:t>
      </w:r>
      <w:r>
        <w:softHyphen/>
        <w:t>nosti a Jak jeho obraznost, dotud odtažitě kontemplativní, nebývalé nasytil předmětnostl. »Umřela má samota. Neb před zrakem co míjí, to je už bratrství a jeho rod ,..«, nepadnou nadarmo tato slova v nové skladbě Holanově, příznačně nadepsané »</w:t>
      </w:r>
      <w:r>
        <w:t>S e n« (nákl. Fr. Borového), která pří</w:t>
      </w:r>
      <w:r>
        <w:softHyphen/>
        <w:t>mo navazuje na Jeho podzimní sbírku veršů: vždyt už o Jejích slokách bylo lze říci, že připadají jako »závratný íilm přízračného snu*, a nezpronevěřují se tomu laděni ani Holanovy verše nyněj</w:t>
      </w:r>
      <w:r>
        <w:softHyphen/>
        <w:t>ší. Tlm méně, že jejich z</w:t>
      </w:r>
      <w:r>
        <w:t>droj zů</w:t>
      </w:r>
      <w:r>
        <w:softHyphen/>
        <w:t>stává vlastně týž, ten zářijový otřes, Jehož vlny Jako by se Jen stále víc a víc šířily i vzdouvaly hladinou nitra básníkova, zachva</w:t>
      </w:r>
      <w:r>
        <w:softHyphen/>
        <w:t>cujíce všechno jeho vidění a cí</w:t>
      </w:r>
      <w:r>
        <w:softHyphen/>
        <w:t>tění. Ze vzrušení takto extatie- kého roste Holanova obraznost k visionářské závrat</w:t>
      </w:r>
      <w:r>
        <w:t>i, nalézající sourodý podnět i předmět v sou</w:t>
      </w:r>
      <w:r>
        <w:softHyphen/>
        <w:t>časné naší skutečnosti, která, připadajíc už v zářijových dnech</w:t>
      </w:r>
    </w:p>
    <w:p w:rsidR="00500724" w:rsidRDefault="00F30FB8">
      <w:pPr>
        <w:pStyle w:val="Jin0"/>
        <w:shd w:val="clear" w:color="auto" w:fill="auto"/>
        <w:spacing w:after="80"/>
        <w:ind w:firstLine="0"/>
        <w:rPr>
          <w:sz w:val="20"/>
          <w:szCs w:val="20"/>
        </w:rPr>
      </w:pPr>
      <w:r>
        <w:rPr>
          <w:rFonts w:ascii="Arial" w:eastAsia="Arial" w:hAnsi="Arial" w:cs="Arial"/>
          <w:sz w:val="20"/>
          <w:szCs w:val="20"/>
        </w:rPr>
        <w:t>FEUILLETON</w:t>
      </w:r>
    </w:p>
    <w:p w:rsidR="00500724" w:rsidRDefault="00F30FB8">
      <w:pPr>
        <w:pStyle w:val="Zkladntext40"/>
        <w:shd w:val="clear" w:color="auto" w:fill="auto"/>
        <w:spacing w:after="0" w:line="194" w:lineRule="auto"/>
        <w:rPr>
          <w:sz w:val="14"/>
          <w:szCs w:val="14"/>
        </w:rPr>
      </w:pPr>
      <w:r>
        <w:rPr>
          <w:b/>
          <w:bCs/>
          <w:sz w:val="14"/>
          <w:szCs w:val="14"/>
        </w:rPr>
        <w:t xml:space="preserve">Lín Jut </w:t>
      </w:r>
      <w:r>
        <w:rPr>
          <w:b/>
          <w:bCs/>
          <w:sz w:val="14"/>
          <w:szCs w:val="14"/>
          <w:lang w:val="en-US" w:eastAsia="en-US" w:bidi="en-US"/>
        </w:rPr>
        <w:t xml:space="preserve">an </w:t>
      </w:r>
      <w:r>
        <w:rPr>
          <w:b/>
          <w:bCs/>
          <w:sz w:val="14"/>
          <w:szCs w:val="14"/>
        </w:rPr>
        <w:t>z:</w:t>
      </w:r>
    </w:p>
    <w:p w:rsidR="00500724" w:rsidRDefault="00F30FB8">
      <w:pPr>
        <w:pStyle w:val="Zkladntext100"/>
        <w:shd w:val="clear" w:color="auto" w:fill="auto"/>
        <w:spacing w:after="60" w:line="204" w:lineRule="auto"/>
        <w:ind w:firstLine="0"/>
        <w:jc w:val="center"/>
        <w:rPr>
          <w:sz w:val="19"/>
          <w:szCs w:val="19"/>
        </w:rPr>
      </w:pPr>
      <w:r>
        <w:rPr>
          <w:b/>
          <w:bCs/>
          <w:smallCaps/>
          <w:sz w:val="19"/>
          <w:szCs w:val="19"/>
        </w:rPr>
        <w:t>Láska v Číně</w:t>
      </w:r>
    </w:p>
    <w:p w:rsidR="00500724" w:rsidRDefault="00F30FB8">
      <w:pPr>
        <w:pStyle w:val="Zkladntext40"/>
        <w:shd w:val="clear" w:color="auto" w:fill="auto"/>
        <w:spacing w:after="0" w:line="180" w:lineRule="auto"/>
        <w:ind w:firstLine="180"/>
      </w:pPr>
      <w:r>
        <w:t>Ukázka z Českého překladu kni</w:t>
      </w:r>
      <w:r>
        <w:softHyphen/>
        <w:t xml:space="preserve">hy Můj národ a má vlast o niž spisovatelka </w:t>
      </w:r>
      <w:r>
        <w:rPr>
          <w:lang w:val="en-US" w:eastAsia="en-US" w:bidi="en-US"/>
        </w:rPr>
        <w:t xml:space="preserve">Pearl </w:t>
      </w:r>
      <w:r>
        <w:t>S. Bů</w:t>
      </w:r>
      <w:r>
        <w:softHyphen/>
        <w:t xml:space="preserve">čková napsala, že je to </w:t>
      </w:r>
      <w:r>
        <w:t>nejprav- divější a nejhlubší, r.ejůplnější a nejzávažnějšl kniha, jaká dosud byla v Číně napsána.</w:t>
      </w:r>
    </w:p>
    <w:p w:rsidR="00500724" w:rsidRDefault="00F30FB8">
      <w:pPr>
        <w:pStyle w:val="Zkladntext40"/>
        <w:shd w:val="clear" w:color="auto" w:fill="auto"/>
        <w:spacing w:after="80" w:line="170" w:lineRule="auto"/>
        <w:ind w:firstLine="180"/>
        <w:rPr>
          <w:sz w:val="16"/>
          <w:szCs w:val="16"/>
        </w:rPr>
      </w:pPr>
      <w:r>
        <w:rPr>
          <w:b/>
          <w:bCs/>
          <w:sz w:val="16"/>
          <w:szCs w:val="16"/>
        </w:rPr>
        <w:t>Vynoří se snad otázka: Jakpak byla při ženské odloučenosti v Číně možná romantická láska a namlouvání. Nebo spíše jak půso</w:t>
      </w:r>
      <w:r>
        <w:rPr>
          <w:b/>
          <w:bCs/>
          <w:sz w:val="16"/>
          <w:szCs w:val="16"/>
        </w:rPr>
        <w:softHyphen/>
        <w:t>bila tato klasická tradice na při</w:t>
      </w:r>
      <w:r>
        <w:rPr>
          <w:b/>
          <w:bCs/>
          <w:sz w:val="16"/>
          <w:szCs w:val="16"/>
        </w:rPr>
        <w:softHyphen/>
        <w:t>r</w:t>
      </w:r>
      <w:r>
        <w:rPr>
          <w:b/>
          <w:bCs/>
          <w:sz w:val="16"/>
          <w:szCs w:val="16"/>
        </w:rPr>
        <w:t>ozenou lásku u mladých lidí? Co do mládí, blouzněni a lásky je na tom svět celkem všude stej</w:t>
      </w:r>
      <w:r>
        <w:rPr>
          <w:b/>
          <w:bCs/>
          <w:sz w:val="16"/>
          <w:szCs w:val="16"/>
        </w:rPr>
        <w:softHyphen/>
        <w:t>ně, jenom psychologické reakce se následkem různých sociálních tradici navzájem různí. Při vší ženské odloučenosti žádné klasic</w:t>
      </w:r>
      <w:r>
        <w:rPr>
          <w:b/>
          <w:bCs/>
          <w:sz w:val="16"/>
          <w:szCs w:val="16"/>
        </w:rPr>
        <w:softHyphen/>
        <w:t>ké něeni totiž nedokázalo vylou</w:t>
      </w:r>
      <w:r>
        <w:rPr>
          <w:b/>
          <w:bCs/>
          <w:sz w:val="16"/>
          <w:szCs w:val="16"/>
        </w:rPr>
        <w:softHyphen/>
        <w:t>čit</w:t>
      </w:r>
      <w:r>
        <w:rPr>
          <w:b/>
          <w:bCs/>
          <w:sz w:val="16"/>
          <w:szCs w:val="16"/>
        </w:rPr>
        <w:t xml:space="preserve"> lásku. Je možno změnit její ráz a vzhled, neboť láska, tento výbušný, nezdolný přírodní cit, se může proměnit v tenký hlásek srdce a m—šlení. Kultura lásku třeba přetvoří, ale nikdy ji neza- dusí. Láska trvá stále, a nabý</w:t>
      </w:r>
      <w:r>
        <w:rPr>
          <w:b/>
          <w:bCs/>
          <w:sz w:val="16"/>
          <w:szCs w:val="16"/>
        </w:rPr>
        <w:softHyphen/>
        <w:t>vá jen jiného vzhledu a výrazu,</w:t>
      </w:r>
    </w:p>
    <w:p w:rsidR="00500724" w:rsidRDefault="00F30FB8">
      <w:pPr>
        <w:spacing w:line="1" w:lineRule="exact"/>
        <w:rPr>
          <w:sz w:val="2"/>
          <w:szCs w:val="2"/>
        </w:rPr>
      </w:pPr>
      <w:r>
        <w:br w:type="column"/>
      </w:r>
    </w:p>
    <w:p w:rsidR="00500724" w:rsidRDefault="00F30FB8">
      <w:pPr>
        <w:pStyle w:val="Zkladntext40"/>
        <w:shd w:val="clear" w:color="auto" w:fill="auto"/>
        <w:spacing w:after="0" w:line="206" w:lineRule="auto"/>
      </w:pPr>
      <w:r>
        <w:t>neuvěřitelnou, zdá se tak nesku</w:t>
      </w:r>
      <w:r>
        <w:softHyphen/>
        <w:t>tečnou, tak přeludnou, tak — snovou.</w:t>
      </w:r>
    </w:p>
    <w:p w:rsidR="00500724" w:rsidRDefault="00F30FB8">
      <w:pPr>
        <w:pStyle w:val="Zkladntext40"/>
        <w:shd w:val="clear" w:color="auto" w:fill="auto"/>
        <w:spacing w:after="120" w:line="206" w:lineRule="auto"/>
        <w:ind w:firstLine="180"/>
      </w:pPr>
      <w:r>
        <w:t>Ale právě proto Holanovy ha- luclnované vidiny, jak vy vřelé z půlnoční horečky lidstva a světa, tlm spíš Jako by obrážely pravou podobu i povahu dobové skuteč</w:t>
      </w:r>
      <w:r>
        <w:softHyphen/>
        <w:t xml:space="preserve">nosti, jeji děsivé </w:t>
      </w:r>
      <w:r>
        <w:t>apokalypsy. Je</w:t>
      </w:r>
      <w:r>
        <w:softHyphen/>
        <w:t>jího tance smrti, nad nímž »ná- stroje sl připravují porodní báby nicoty*. Co může být skutečněj</w:t>
      </w:r>
      <w:r>
        <w:softHyphen/>
        <w:t>šího a pravdivějšího nad vidinu na pohled téměř šílenou, Jež rý</w:t>
      </w:r>
      <w:r>
        <w:softHyphen/>
        <w:t>suje barbarský sabat pudů, zví</w:t>
      </w:r>
      <w:r>
        <w:softHyphen/>
        <w:t xml:space="preserve">řecích pudů, které sotva yvzrušl uřezat mužství, </w:t>
      </w:r>
      <w:r>
        <w:t>nos i uši všem, kdož se chytli v tenata*. Jak při</w:t>
      </w:r>
      <w:r>
        <w:softHyphen/>
        <w:t>rozeně z takového pocitu o sou</w:t>
      </w:r>
      <w:r>
        <w:softHyphen/>
        <w:t xml:space="preserve">mraku lidství vyvěrá přímo chl- liastická představa posledního soudu: &gt;Národy dupou... Zříš Je pádit a čistit obě misky vah, vah kupeckých, vah z trhu LI- tic...« A v takovou </w:t>
      </w:r>
      <w:r>
        <w:t>fugu se pak zadírá, Jakoby ozvěnou máchov</w:t>
      </w:r>
      <w:r>
        <w:softHyphen/>
        <w:t>ské noty, apostrofa veršů: »zem bědná, bědná, bědná. bědná, ale zem pouze jednou Jedna a Jako jednu zřít ji chci... Bože, zda zříš ji též, jak leží?... Zda se mnou zříš ten mumraj na ní, kte</w:t>
      </w:r>
      <w:r>
        <w:softHyphen/>
        <w:t xml:space="preserve">rý </w:t>
      </w:r>
      <w:r>
        <w:rPr>
          <w:lang w:val="en-US" w:eastAsia="en-US" w:bidi="en-US"/>
        </w:rPr>
        <w:t xml:space="preserve">Be </w:t>
      </w:r>
      <w:r>
        <w:t>sirně chichotá? T</w:t>
      </w:r>
      <w:r>
        <w:t>ep srdci všech, to nýtování rozhořčeného života ?« A skladba, v níž se ně</w:t>
      </w:r>
      <w:r>
        <w:softHyphen/>
        <w:t>která sloka refrénovitě vrací, zas Jako po zákonu snu, vyznívá re</w:t>
      </w:r>
      <w:r>
        <w:softHyphen/>
        <w:t>frénem příkazu, jejž Jako by lyrik dával sám sobě: ichránit mythy semenité pod hlínou veršů v hloubce, skryté všemu,</w:t>
      </w:r>
      <w:r>
        <w:t xml:space="preserve"> co nemá prvenství svobody, touhy, vyšších</w:t>
      </w:r>
    </w:p>
    <w:p w:rsidR="00500724" w:rsidRDefault="00F30FB8">
      <w:pPr>
        <w:pStyle w:val="Zkladntext40"/>
        <w:shd w:val="clear" w:color="auto" w:fill="auto"/>
        <w:spacing w:after="40" w:line="168" w:lineRule="auto"/>
        <w:rPr>
          <w:sz w:val="16"/>
          <w:szCs w:val="16"/>
        </w:rPr>
      </w:pPr>
      <w:r>
        <w:rPr>
          <w:b/>
          <w:bCs/>
          <w:sz w:val="16"/>
          <w:szCs w:val="16"/>
        </w:rPr>
        <w:t>který takřka namátkou přejímá od různého společenského a kul</w:t>
      </w:r>
      <w:r>
        <w:rPr>
          <w:b/>
          <w:bCs/>
          <w:sz w:val="16"/>
          <w:szCs w:val="16"/>
        </w:rPr>
        <w:softHyphen/>
        <w:t xml:space="preserve">turního prostředí. Vykukuje za korálkovými závěsy, prosycuje vzduch v zahrádce, škube dívčím srdcem. Snad ani ta dívka nemá milence a neví dobře, co ji </w:t>
      </w:r>
      <w:r>
        <w:rPr>
          <w:b/>
          <w:bCs/>
          <w:sz w:val="16"/>
          <w:szCs w:val="16"/>
        </w:rPr>
        <w:t>boli. Snad o žádného určitého muže nestojí, ale je přece zamilována do života. Pustí se tedy trochu pečlivěji do vyšívání a předsta</w:t>
      </w:r>
      <w:r>
        <w:rPr>
          <w:b/>
          <w:bCs/>
          <w:sz w:val="16"/>
          <w:szCs w:val="16"/>
        </w:rPr>
        <w:softHyphen/>
        <w:t xml:space="preserve">vuje si. že je zamilována přímo do té duhové výšivky, symbolu to života, který se ji zdá tak krásný. Vyšívá nejspíše někomu </w:t>
      </w:r>
      <w:r>
        <w:rPr>
          <w:b/>
          <w:bCs/>
          <w:sz w:val="16"/>
          <w:szCs w:val="16"/>
        </w:rPr>
        <w:t>na polštář párek čírek, oněch ěi- rek, které vždycky chodi, plavou i hnízdí spolu, sameček se sa</w:t>
      </w:r>
      <w:r>
        <w:rPr>
          <w:b/>
          <w:bCs/>
          <w:sz w:val="16"/>
          <w:szCs w:val="16"/>
        </w:rPr>
        <w:softHyphen/>
        <w:t>mičkou. Když jl obraznost zavede příliš daleko, lehce se zapomene a udělá chybný steh. Zkusí to znovu a zase chyba. Trhne prud</w:t>
      </w:r>
      <w:r>
        <w:rPr>
          <w:b/>
          <w:bCs/>
          <w:sz w:val="16"/>
          <w:szCs w:val="16"/>
        </w:rPr>
        <w:softHyphen/>
        <w:t>ce, drobet příliš prudce hedváb</w:t>
      </w:r>
      <w:r>
        <w:rPr>
          <w:b/>
          <w:bCs/>
          <w:sz w:val="16"/>
          <w:szCs w:val="16"/>
        </w:rPr>
        <w:softHyphen/>
      </w:r>
      <w:r>
        <w:rPr>
          <w:b/>
          <w:bCs/>
          <w:sz w:val="16"/>
          <w:szCs w:val="16"/>
        </w:rPr>
        <w:t>nou niti, a niť se jí vysmekne z jehly. Kousne se do rtů a za</w:t>
      </w:r>
      <w:r>
        <w:rPr>
          <w:b/>
          <w:bCs/>
          <w:sz w:val="16"/>
          <w:szCs w:val="16"/>
        </w:rPr>
        <w:softHyphen/>
        <w:t>mrzí ji to. Je zamilována.</w:t>
      </w:r>
    </w:p>
    <w:p w:rsidR="00500724" w:rsidRDefault="00F30FB8">
      <w:pPr>
        <w:pStyle w:val="Zkladntext40"/>
        <w:shd w:val="clear" w:color="auto" w:fill="auto"/>
        <w:spacing w:after="80" w:line="170" w:lineRule="auto"/>
        <w:ind w:firstLine="180"/>
        <w:rPr>
          <w:sz w:val="16"/>
          <w:szCs w:val="16"/>
        </w:rPr>
      </w:pPr>
      <w:r>
        <w:rPr>
          <w:b/>
          <w:bCs/>
          <w:sz w:val="16"/>
          <w:szCs w:val="16"/>
        </w:rPr>
        <w:t>Ta rozmrzelost nad čímsi ne</w:t>
      </w:r>
      <w:r>
        <w:rPr>
          <w:b/>
          <w:bCs/>
          <w:sz w:val="16"/>
          <w:szCs w:val="16"/>
        </w:rPr>
        <w:softHyphen/>
        <w:t>určitým, snad nad jarem a kvě</w:t>
      </w:r>
      <w:r>
        <w:rPr>
          <w:b/>
          <w:bCs/>
          <w:sz w:val="16"/>
          <w:szCs w:val="16"/>
        </w:rPr>
        <w:softHyphen/>
        <w:t>tinami, ten náhlý zdrcující pocit stesku, je přírodním znakem, že dívka už dozrála pro lásku a manželství. Po</w:t>
      </w:r>
      <w:r>
        <w:rPr>
          <w:b/>
          <w:bCs/>
          <w:sz w:val="16"/>
          <w:szCs w:val="16"/>
        </w:rPr>
        <w:t>d útlakem společ</w:t>
      </w:r>
      <w:r>
        <w:rPr>
          <w:b/>
          <w:bCs/>
          <w:sz w:val="16"/>
          <w:szCs w:val="16"/>
        </w:rPr>
        <w:softHyphen/>
        <w:t>nosti a společenských konvencí se dívka ze všech sil snažila to</w:t>
      </w:r>
    </w:p>
    <w:p w:rsidR="00500724" w:rsidRDefault="00F30FB8">
      <w:pPr>
        <w:spacing w:line="1" w:lineRule="exact"/>
        <w:rPr>
          <w:sz w:val="2"/>
          <w:szCs w:val="2"/>
        </w:rPr>
      </w:pPr>
      <w:r>
        <w:br w:type="column"/>
      </w:r>
    </w:p>
    <w:p w:rsidR="00500724" w:rsidRDefault="00F30FB8">
      <w:pPr>
        <w:pStyle w:val="Zkladntext20"/>
        <w:shd w:val="clear" w:color="auto" w:fill="auto"/>
        <w:spacing w:after="80" w:line="204" w:lineRule="auto"/>
        <w:ind w:firstLine="0"/>
        <w:rPr>
          <w:sz w:val="20"/>
          <w:szCs w:val="20"/>
        </w:rPr>
      </w:pPr>
      <w:r>
        <w:rPr>
          <w:i/>
          <w:iCs/>
          <w:sz w:val="20"/>
          <w:szCs w:val="20"/>
        </w:rPr>
        <w:t>Edmond J al o ua&gt;:</w:t>
      </w:r>
    </w:p>
    <w:p w:rsidR="00500724" w:rsidRDefault="00F30FB8">
      <w:pPr>
        <w:pStyle w:val="Zkladntext20"/>
        <w:shd w:val="clear" w:color="auto" w:fill="auto"/>
        <w:spacing w:after="80" w:line="204" w:lineRule="auto"/>
        <w:ind w:firstLine="0"/>
        <w:rPr>
          <w:sz w:val="20"/>
          <w:szCs w:val="20"/>
        </w:rPr>
      </w:pPr>
      <w:r>
        <w:rPr>
          <w:i/>
          <w:iCs/>
          <w:sz w:val="20"/>
          <w:szCs w:val="20"/>
        </w:rPr>
        <w:t>O RILKEOVI</w:t>
      </w:r>
    </w:p>
    <w:p w:rsidR="00500724" w:rsidRDefault="00F30FB8">
      <w:pPr>
        <w:pStyle w:val="Zkladntext20"/>
        <w:shd w:val="clear" w:color="auto" w:fill="auto"/>
        <w:spacing w:after="120" w:line="204" w:lineRule="auto"/>
        <w:ind w:firstLine="200"/>
        <w:rPr>
          <w:sz w:val="20"/>
          <w:szCs w:val="20"/>
        </w:rPr>
      </w:pPr>
      <w:r>
        <w:rPr>
          <w:i/>
          <w:iCs/>
          <w:sz w:val="20"/>
          <w:szCs w:val="20"/>
        </w:rPr>
        <w:t>Žil vždycky v mých očích v tom světě pomezném, jenž odděluje současníky od mrtvých, kteří jsou již něja</w:t>
      </w:r>
      <w:r>
        <w:rPr>
          <w:i/>
          <w:iCs/>
          <w:sz w:val="20"/>
          <w:szCs w:val="20"/>
        </w:rPr>
        <w:softHyphen/>
        <w:t>kým způsobem věční. Viděl jsem ovšem ml</w:t>
      </w:r>
      <w:r>
        <w:rPr>
          <w:i/>
          <w:iCs/>
          <w:sz w:val="20"/>
          <w:szCs w:val="20"/>
        </w:rPr>
        <w:t xml:space="preserve">havě, Se on </w:t>
      </w:r>
      <w:r>
        <w:rPr>
          <w:rFonts w:ascii="Arial" w:eastAsia="Arial" w:hAnsi="Arial" w:cs="Arial"/>
          <w:b/>
          <w:bCs/>
          <w:i/>
          <w:iCs/>
          <w:sz w:val="19"/>
          <w:szCs w:val="19"/>
        </w:rPr>
        <w:t xml:space="preserve">je </w:t>
      </w:r>
      <w:r>
        <w:rPr>
          <w:i/>
          <w:iCs/>
          <w:sz w:val="20"/>
          <w:szCs w:val="20"/>
        </w:rPr>
        <w:t>básník, ale viděl jsem ještě mlhavě, Se jeho pravý život náleSÍ jistému řádu věcí, kte</w:t>
      </w:r>
      <w:r>
        <w:rPr>
          <w:i/>
          <w:iCs/>
          <w:sz w:val="20"/>
          <w:szCs w:val="20"/>
        </w:rPr>
        <w:softHyphen/>
        <w:t>ré nejsou našimi, jak jest ustavičně obrácen k prav</w:t>
      </w:r>
      <w:r>
        <w:rPr>
          <w:i/>
          <w:iCs/>
          <w:sz w:val="20"/>
          <w:szCs w:val="20"/>
        </w:rPr>
        <w:softHyphen/>
        <w:t xml:space="preserve">dám, kterých nevyslovujeme. A jako u mnoha romantiků německých a zvláště u Nova lise, tento vnitřni </w:t>
      </w:r>
      <w:r>
        <w:rPr>
          <w:i/>
          <w:iCs/>
          <w:sz w:val="20"/>
          <w:szCs w:val="20"/>
        </w:rPr>
        <w:t>život byl pln zaujetí pro smrt... Smrt nějakým způsobem sebe určující, která by byla zároveň logickým závěrem života</w:t>
      </w:r>
      <w:r>
        <w:rPr>
          <w:b/>
          <w:bCs/>
          <w:sz w:val="19"/>
          <w:szCs w:val="19"/>
        </w:rPr>
        <w:t xml:space="preserve"> i </w:t>
      </w:r>
      <w:r>
        <w:rPr>
          <w:i/>
          <w:iCs/>
          <w:sz w:val="20"/>
          <w:szCs w:val="20"/>
        </w:rPr>
        <w:t>zárodkem nového vývoje... A tato myšlenka byla v něm tak bohatá, hrou- Sila do něho tak hluboké kořeny, Se se nalézá stejně i v jeho poes</w:t>
      </w:r>
      <w:r>
        <w:rPr>
          <w:i/>
          <w:iCs/>
          <w:sz w:val="20"/>
          <w:szCs w:val="20"/>
        </w:rPr>
        <w:t>ii, jejímž je thematem jedním z nejdů</w:t>
      </w:r>
      <w:r>
        <w:rPr>
          <w:i/>
          <w:iCs/>
          <w:sz w:val="20"/>
          <w:szCs w:val="20"/>
        </w:rPr>
        <w:softHyphen/>
      </w:r>
      <w:r>
        <w:rPr>
          <w:i/>
          <w:iCs/>
          <w:sz w:val="20"/>
          <w:szCs w:val="20"/>
          <w:u w:val="single"/>
        </w:rPr>
        <w:t>ležitějších.</w:t>
      </w:r>
    </w:p>
    <w:p w:rsidR="00500724" w:rsidRDefault="00F30FB8">
      <w:pPr>
        <w:pStyle w:val="Zkladntext40"/>
        <w:shd w:val="clear" w:color="auto" w:fill="auto"/>
        <w:spacing w:after="0"/>
      </w:pPr>
      <w:r>
        <w:t>zvaní k velkému světu zživých- vstáni...«</w:t>
      </w:r>
    </w:p>
    <w:p w:rsidR="00500724" w:rsidRDefault="00F30FB8">
      <w:pPr>
        <w:pStyle w:val="Zkladntext40"/>
        <w:shd w:val="clear" w:color="auto" w:fill="auto"/>
        <w:spacing w:after="120"/>
        <w:ind w:firstLine="200"/>
      </w:pPr>
      <w:r>
        <w:t>Tof jen hrst citátů, aby vysvitla nota této Holanovy poesie, která, Jako sen sám, nejednou se nese »v hádankách ...«. Čím však v jediném dechu strhuje, tof niter</w:t>
      </w:r>
      <w:r>
        <w:softHyphen/>
        <w:t>n</w:t>
      </w:r>
      <w:r>
        <w:t>ě vášnivé vzrušeni, jímž básník sám je strhován v peřejích pocitů a představ. Jím se postřehy bez</w:t>
      </w:r>
      <w:r>
        <w:softHyphen/>
        <w:t>prostředně konkrétní, s nimiž se pojívají Intensivni pocity zjitře</w:t>
      </w:r>
      <w:r>
        <w:softHyphen/>
        <w:t xml:space="preserve">ných čivů, v zápětí přetavují v přízračnou vidinu: »v sladovnách </w:t>
      </w:r>
      <w:r>
        <w:rPr>
          <w:u w:val="single"/>
        </w:rPr>
        <w:t>příštích opojení, v cukrár</w:t>
      </w:r>
      <w:r>
        <w:rPr>
          <w:u w:val="single"/>
        </w:rPr>
        <w:t>nách.</w:t>
      </w:r>
    </w:p>
    <w:p w:rsidR="00500724" w:rsidRDefault="00F30FB8">
      <w:pPr>
        <w:pStyle w:val="Zkladntext40"/>
        <w:shd w:val="clear" w:color="auto" w:fill="auto"/>
        <w:spacing w:after="80" w:line="173" w:lineRule="auto"/>
        <w:rPr>
          <w:sz w:val="16"/>
          <w:szCs w:val="16"/>
        </w:rPr>
      </w:pPr>
      <w:r>
        <w:rPr>
          <w:b/>
          <w:bCs/>
          <w:sz w:val="16"/>
          <w:szCs w:val="16"/>
        </w:rPr>
        <w:t>neurčité, prudké dychtěni zata</w:t>
      </w:r>
      <w:r>
        <w:rPr>
          <w:b/>
          <w:bCs/>
          <w:sz w:val="16"/>
          <w:szCs w:val="16"/>
        </w:rPr>
        <w:softHyphen/>
        <w:t>jit, ale podvědomě v ni snilo dále mládi. Leě láska předmanželská byla v Čině zakázaným ovocem, přijímat veřejně dvořeni nebylo možné a tak věděla, že milovat znamená trpět. Proto si netrou</w:t>
      </w:r>
      <w:r>
        <w:rPr>
          <w:b/>
          <w:bCs/>
          <w:sz w:val="16"/>
          <w:szCs w:val="16"/>
        </w:rPr>
        <w:softHyphen/>
        <w:t>fala kochat se příliš zálibně</w:t>
      </w:r>
      <w:r>
        <w:rPr>
          <w:b/>
          <w:bCs/>
          <w:sz w:val="16"/>
          <w:szCs w:val="16"/>
        </w:rPr>
        <w:t xml:space="preserve"> ja</w:t>
      </w:r>
      <w:r>
        <w:rPr>
          <w:b/>
          <w:bCs/>
          <w:sz w:val="16"/>
          <w:szCs w:val="16"/>
        </w:rPr>
        <w:softHyphen/>
        <w:t>rem a květinami a motýly, sym</w:t>
      </w:r>
      <w:r>
        <w:rPr>
          <w:b/>
          <w:bCs/>
          <w:sz w:val="16"/>
          <w:szCs w:val="16"/>
        </w:rPr>
        <w:softHyphen/>
        <w:t>boly to lásky v dávné poesii, a když byla vzdělaná, nedopřávala sl mnoho času na básně, aby Ji hluboce nerozrušlly. Obírala se pilně domácími pracemi a své city střežila tak posvátně, jako se útlá květina chrání předčasné</w:t>
      </w:r>
      <w:r>
        <w:rPr>
          <w:b/>
          <w:bCs/>
          <w:sz w:val="16"/>
          <w:szCs w:val="16"/>
        </w:rPr>
        <w:softHyphen/>
      </w:r>
      <w:r>
        <w:rPr>
          <w:b/>
          <w:bCs/>
          <w:sz w:val="16"/>
          <w:szCs w:val="16"/>
        </w:rPr>
        <w:t>ho styku s motýly. Chtěla vyčkat do té doby, až bude pro ni láska dovolena a posvěcena manžel</w:t>
      </w:r>
      <w:r>
        <w:rPr>
          <w:b/>
          <w:bCs/>
          <w:sz w:val="16"/>
          <w:szCs w:val="16"/>
        </w:rPr>
        <w:softHyphen/>
        <w:t>stvím, a šťastna byla ta, která unikla všem nástrahám vášně. Ale přes všechna lidská pouta přece jen láska občas zvítězila. Jako u všeho zakázaného ovoce 1 palčiv</w:t>
      </w:r>
      <w:r>
        <w:rPr>
          <w:b/>
          <w:bCs/>
          <w:sz w:val="16"/>
          <w:szCs w:val="16"/>
        </w:rPr>
        <w:t>ost pohlavního vábeni zvyšovalo právě to, že bylo tak vzácné. Byl to přírodní zákon kompensace. Podle čínské teorie jakmile se dívčí srdce rozhárá, nelze už lásku ničím zadržet. Toto obecné přesvědčení tkvělo vlastně za pečllvon odloučeností žen.</w:t>
      </w:r>
      <w:r>
        <w:br w:type="page"/>
      </w:r>
    </w:p>
    <w:p w:rsidR="00500724" w:rsidRDefault="00F30FB8">
      <w:pPr>
        <w:pStyle w:val="Zkladntext40"/>
        <w:shd w:val="clear" w:color="auto" w:fill="auto"/>
        <w:spacing w:after="0" w:line="199" w:lineRule="auto"/>
      </w:pPr>
      <w:r>
        <w:rPr>
          <w:sz w:val="18"/>
          <w:szCs w:val="18"/>
        </w:rPr>
        <w:t xml:space="preserve">Jež půst </w:t>
      </w:r>
      <w:r>
        <w:t xml:space="preserve">dlouhý pleni, </w:t>
      </w:r>
      <w:r>
        <w:rPr>
          <w:b/>
          <w:bCs/>
          <w:sz w:val="16"/>
          <w:szCs w:val="16"/>
        </w:rPr>
        <w:t xml:space="preserve">a </w:t>
      </w:r>
      <w:r>
        <w:t>ve všech krocích, jdoucích sem, lze vidět mrtvých umírání.* Lyrikova ho</w:t>
      </w:r>
      <w:r>
        <w:softHyphen/>
        <w:t>rečná fantasie, již však ani ten</w:t>
      </w:r>
      <w:r>
        <w:softHyphen/>
        <w:t>tokrát nechybí duchovní hloubka a rafinovaná složitost, v žáru nej</w:t>
      </w:r>
      <w:r>
        <w:softHyphen/>
        <w:t>vyššího stupně odhmotňuje, pře</w:t>
      </w:r>
      <w:r>
        <w:softHyphen/>
        <w:t>tváří, ba křečovitě znásilňu</w:t>
      </w:r>
      <w:r>
        <w:t>je do bizarních i pitvorných podob a skupenství prvky skutečnosti. Její palčivé postřehy, nejednou natu</w:t>
      </w:r>
      <w:r>
        <w:softHyphen/>
        <w:t>ralisticky syrové, prolínají se tu s erbovními symboly rozkladu, soudu, poprav (skřek havranů, bubny, Černá sukna) a slova den</w:t>
      </w:r>
      <w:r>
        <w:softHyphen/>
        <w:t xml:space="preserve">ní potřeby s výrazy nově </w:t>
      </w:r>
      <w:r>
        <w:t>tvoře</w:t>
      </w:r>
      <w:r>
        <w:softHyphen/>
        <w:t>nými nebo naopak archaickými za opětovné záliby v drsné zvu</w:t>
      </w:r>
      <w:r>
        <w:softHyphen/>
        <w:t>komalbě. Ne nadarmo věnoval Holan tyto sloky památce ruské</w:t>
      </w:r>
      <w:r>
        <w:softHyphen/>
        <w:t>ho básníka, obdobně smělého ve výrazovém novotářství, Velemira Chlebnikova.</w:t>
      </w:r>
    </w:p>
    <w:p w:rsidR="00500724" w:rsidRDefault="00F30FB8">
      <w:pPr>
        <w:pStyle w:val="Zkladntext40"/>
        <w:shd w:val="clear" w:color="auto" w:fill="auto"/>
        <w:spacing w:line="202" w:lineRule="auto"/>
        <w:ind w:firstLine="240"/>
      </w:pPr>
      <w:r>
        <w:t xml:space="preserve">Nepochybně se v nové Holano- vě poesii prozrazuje </w:t>
      </w:r>
      <w:r>
        <w:t>barokní ráz autorova vidění i výrazu. Jen vý</w:t>
      </w:r>
      <w:r>
        <w:softHyphen/>
        <w:t>jimkou se tu ozve důvěrná lyric</w:t>
      </w:r>
      <w:r>
        <w:softHyphen/>
        <w:t>ká melodie, křehce vydechující jakoby lítostnou něhou, jinak celá skladba se nese visionář- ským patosem, dravým i drása- vým. V poesii, jež vyvěrá se so</w:t>
      </w:r>
      <w:r>
        <w:softHyphen/>
        <w:t xml:space="preserve">pečnou téměř vášnivostí, </w:t>
      </w:r>
      <w:r>
        <w:t>nechybí ovšem ani škváry ani míst, kde lyrikova visionářská obraznost, nejúčinnější tam, kde jejími vi</w:t>
      </w:r>
      <w:r>
        <w:softHyphen/>
        <w:t>dinami ještě prosvítají obrysy skutečnosti, upadá již v jakési sebeukájení; zato jí nejednou chybívá jednotící klíč v spřádání představ, leckdy neorganic</w:t>
      </w:r>
      <w:r>
        <w:t>kém. Ale nechtějte přec ladu ani půva</w:t>
      </w:r>
      <w:r>
        <w:softHyphen/>
        <w:t>bu po lyrikovi, jenž podoben poutníku Komenského labyrintem světa, jest extatickým básníkem jeho apokalypsy; vzrušeným žal</w:t>
      </w:r>
      <w:r>
        <w:softHyphen/>
        <w:t>mistou děsu a hněvu; nemilosrd</w:t>
      </w:r>
      <w:r>
        <w:softHyphen/>
        <w:t>ným prorokem hrůzy i hrozby, jehož ohnivý jazyk sám se mu</w:t>
      </w:r>
      <w:r>
        <w:softHyphen/>
        <w:t>čivě s</w:t>
      </w:r>
      <w:r>
        <w:t>víjí.</w:t>
      </w:r>
    </w:p>
    <w:p w:rsidR="00500724" w:rsidRDefault="00F30FB8">
      <w:pPr>
        <w:pStyle w:val="Zkladntext40"/>
        <w:shd w:val="clear" w:color="auto" w:fill="auto"/>
        <w:spacing w:line="202" w:lineRule="auto"/>
        <w:jc w:val="left"/>
      </w:pPr>
      <w:r>
        <w:t>Národní práce z 9. července 1939.</w:t>
      </w:r>
    </w:p>
    <w:p w:rsidR="00500724" w:rsidRDefault="00F30FB8">
      <w:pPr>
        <w:pStyle w:val="Zkladntext90"/>
        <w:shd w:val="clear" w:color="auto" w:fill="auto"/>
        <w:spacing w:after="60" w:line="266" w:lineRule="auto"/>
        <w:ind w:firstLine="0"/>
        <w:jc w:val="left"/>
      </w:pPr>
      <w:r>
        <w:t>VÝSTAVA KNIŽNÍ GRAFIKY K. SVOLINSKÉHO</w:t>
      </w:r>
    </w:p>
    <w:p w:rsidR="00500724" w:rsidRDefault="00F30FB8">
      <w:pPr>
        <w:pStyle w:val="Zkladntext40"/>
        <w:shd w:val="clear" w:color="auto" w:fill="auto"/>
        <w:spacing w:after="120"/>
      </w:pPr>
      <w:r>
        <w:t>Jeden z nejlepších našich kniž</w:t>
      </w:r>
      <w:r>
        <w:softHyphen/>
        <w:t>ních grafiků a ilustrátorů děl krásného písemnictví, který ze</w:t>
      </w:r>
      <w:r>
        <w:softHyphen/>
        <w:t>jména v poslední době na poli knižní kultury vykonal kus cen</w:t>
      </w:r>
      <w:r>
        <w:softHyphen/>
        <w:t>né a velké práce. K. Svo</w:t>
      </w:r>
      <w:r>
        <w:t>linský, vystavuje ukázky své knižní gra</w:t>
      </w:r>
      <w:r>
        <w:softHyphen/>
        <w:t>fiky v nově založeném Kabinetu Krásné knihy. Kabinet Krásné knihy je malá výstavní místnost, spojená zároveň s knihařskou díl</w:t>
      </w:r>
      <w:r>
        <w:softHyphen/>
        <w:t>nou manželů Jiroutových, kteří spojili výstavku ukázek prací Svolinského s výstavkou ukáze</w:t>
      </w:r>
      <w:r>
        <w:t>k svého vyspělého a osobitého umě</w:t>
      </w:r>
      <w:r>
        <w:softHyphen/>
        <w:t>ní knihvazačského. A tak v dů</w:t>
      </w:r>
      <w:r>
        <w:softHyphen/>
        <w:t>věrné bratrské blízkosti vidíte vedle sebe knihy nejrozmanitěj</w:t>
      </w:r>
      <w:r>
        <w:softHyphen/>
        <w:t>ších bibliofilských edicí, tak Win- trovu Rozinu, sebrance v nádherném vydání Elku se svíti</w:t>
      </w:r>
      <w:r>
        <w:softHyphen/>
        <w:t>vými barevnými dřevoryty, Má</w:t>
      </w:r>
      <w:r>
        <w:softHyphen/>
      </w:r>
    </w:p>
    <w:p w:rsidR="00500724" w:rsidRDefault="00F30FB8">
      <w:pPr>
        <w:pStyle w:val="Zkladntext40"/>
        <w:shd w:val="clear" w:color="auto" w:fill="auto"/>
        <w:spacing w:after="0" w:line="168" w:lineRule="auto"/>
        <w:ind w:firstLine="180"/>
        <w:rPr>
          <w:sz w:val="16"/>
          <w:szCs w:val="16"/>
        </w:rPr>
      </w:pPr>
      <w:r>
        <w:rPr>
          <w:b/>
          <w:bCs/>
          <w:sz w:val="16"/>
          <w:szCs w:val="16"/>
        </w:rPr>
        <w:t>I v nej</w:t>
      </w:r>
      <w:r>
        <w:rPr>
          <w:b/>
          <w:bCs/>
          <w:sz w:val="16"/>
          <w:szCs w:val="16"/>
        </w:rPr>
        <w:t>hlubší odloučenosti do</w:t>
      </w:r>
      <w:r>
        <w:rPr>
          <w:b/>
          <w:bCs/>
          <w:sz w:val="16"/>
          <w:szCs w:val="16"/>
        </w:rPr>
        <w:softHyphen/>
        <w:t>věděla se obyčejně každá dívka, kteří mladí příslušníci její třídy ve městě jsou na ženění a v hloubi srdce potají mezi ně roz</w:t>
      </w:r>
      <w:r>
        <w:rPr>
          <w:b/>
          <w:bCs/>
          <w:sz w:val="16"/>
          <w:szCs w:val="16"/>
        </w:rPr>
        <w:softHyphen/>
        <w:t>dělovala svou přízeň nebo ne</w:t>
      </w:r>
      <w:r>
        <w:rPr>
          <w:b/>
          <w:bCs/>
          <w:sz w:val="16"/>
          <w:szCs w:val="16"/>
        </w:rPr>
        <w:softHyphen/>
        <w:t xml:space="preserve">ochotu. Jestliže se čirou náhodou setkala s nějakým mladíkem, který jí nebyl </w:t>
      </w:r>
      <w:r>
        <w:rPr>
          <w:b/>
          <w:bCs/>
          <w:sz w:val="16"/>
          <w:szCs w:val="16"/>
        </w:rPr>
        <w:t>proti mysli, sta</w:t>
      </w:r>
      <w:r>
        <w:rPr>
          <w:b/>
          <w:bCs/>
          <w:sz w:val="16"/>
          <w:szCs w:val="16"/>
        </w:rPr>
        <w:softHyphen/>
        <w:t>čilo jen, aby na sebe pohlédli a hned mu podlehla a bylo veta po jejím duševním klidu, na němž si tolik zakládala. Potom nasta</w:t>
      </w:r>
      <w:r>
        <w:rPr>
          <w:b/>
          <w:bCs/>
          <w:sz w:val="16"/>
          <w:szCs w:val="16"/>
        </w:rPr>
        <w:softHyphen/>
        <w:t>lo období tajného, pokoutního namlouvání. Třebaže prozrazení mívalo v zápětí hanbu a často -i sebevraždu a třeba</w:t>
      </w:r>
      <w:r>
        <w:rPr>
          <w:b/>
          <w:bCs/>
          <w:sz w:val="16"/>
          <w:szCs w:val="16"/>
        </w:rPr>
        <w:t>že si byla dobře vědoma, že se tím prohře</w:t>
      </w:r>
      <w:r>
        <w:rPr>
          <w:b/>
          <w:bCs/>
          <w:sz w:val="16"/>
          <w:szCs w:val="16"/>
        </w:rPr>
        <w:softHyphen/>
        <w:t>šuje proti všem pravidlům mrav</w:t>
      </w:r>
      <w:r>
        <w:rPr>
          <w:b/>
          <w:bCs/>
          <w:sz w:val="16"/>
          <w:szCs w:val="16"/>
        </w:rPr>
        <w:softHyphen/>
        <w:t>ného chování a svolává na sebe důtku celé společnosti, scházela se se svým milým. A láska si vždycky našla průchod.</w:t>
      </w:r>
    </w:p>
    <w:p w:rsidR="00500724" w:rsidRDefault="00F30FB8">
      <w:pPr>
        <w:pStyle w:val="Zkladntext40"/>
        <w:shd w:val="clear" w:color="auto" w:fill="auto"/>
        <w:spacing w:line="168" w:lineRule="auto"/>
        <w:ind w:firstLine="180"/>
        <w:jc w:val="left"/>
        <w:rPr>
          <w:sz w:val="16"/>
          <w:szCs w:val="16"/>
        </w:rPr>
      </w:pPr>
      <w:r>
        <w:rPr>
          <w:b/>
          <w:bCs/>
          <w:sz w:val="16"/>
          <w:szCs w:val="16"/>
        </w:rPr>
        <w:t>V tom vzájemném šíleném po</w:t>
      </w:r>
      <w:r>
        <w:rPr>
          <w:b/>
          <w:bCs/>
          <w:sz w:val="16"/>
          <w:szCs w:val="16"/>
        </w:rPr>
        <w:softHyphen/>
        <w:t xml:space="preserve">hlavním vábení bylo těžko určit, kdo si </w:t>
      </w:r>
      <w:r>
        <w:rPr>
          <w:b/>
          <w:bCs/>
          <w:sz w:val="16"/>
          <w:szCs w:val="16"/>
        </w:rPr>
        <w:t>vlastně koho namlouvá. Dívka uměla na sebe všelijak důmyslně upozornit. Nejnevinější způsob byl ten, že vystrčila pod dřevěnou přepážkou jeden čer</w:t>
      </w:r>
      <w:r>
        <w:rPr>
          <w:b/>
          <w:bCs/>
          <w:sz w:val="16"/>
          <w:szCs w:val="16"/>
        </w:rPr>
        <w:softHyphen/>
        <w:t>vený střevíček. Jindy zas stála při západu slunce na verandě. Jindy zas ukázala náhodou svůj obličej mezi bro</w:t>
      </w:r>
      <w:r>
        <w:rPr>
          <w:b/>
          <w:bCs/>
          <w:sz w:val="16"/>
          <w:szCs w:val="16"/>
        </w:rPr>
        <w:t>skvovými květy.</w:t>
      </w:r>
    </w:p>
    <w:p w:rsidR="00500724" w:rsidRDefault="00F30FB8">
      <w:pPr>
        <w:pStyle w:val="Zkladntext40"/>
        <w:framePr w:w="2530" w:h="4406" w:hSpace="2597" w:vSpace="405" w:wrap="around" w:hAnchor="page" w:x="5725" w:y="10902"/>
        <w:shd w:val="clear" w:color="auto" w:fill="auto"/>
        <w:spacing w:after="0" w:line="168" w:lineRule="auto"/>
        <w:rPr>
          <w:sz w:val="16"/>
          <w:szCs w:val="16"/>
        </w:rPr>
      </w:pPr>
      <w:r>
        <w:rPr>
          <w:b/>
          <w:bCs/>
          <w:sz w:val="16"/>
          <w:szCs w:val="16"/>
        </w:rPr>
        <w:t>pak trpce želela, že ztratila ví</w:t>
      </w:r>
      <w:r>
        <w:rPr>
          <w:b/>
          <w:bCs/>
          <w:sz w:val="16"/>
          <w:szCs w:val="16"/>
        </w:rPr>
        <w:softHyphen/>
        <w:t>nek. Nebo zase mladík odešel pryč a když při zkouškách zdár</w:t>
      </w:r>
      <w:r>
        <w:rPr>
          <w:b/>
          <w:bCs/>
          <w:sz w:val="16"/>
          <w:szCs w:val="16"/>
        </w:rPr>
        <w:softHyphen/>
        <w:t>ně obstál, vnutila mu nějaká vý</w:t>
      </w:r>
      <w:r>
        <w:rPr>
          <w:b/>
          <w:bCs/>
          <w:sz w:val="16"/>
          <w:szCs w:val="16"/>
        </w:rPr>
        <w:softHyphen/>
        <w:t>značnější rodina za ženu jinou. Anebo se jedna rodina odstěho</w:t>
      </w:r>
      <w:r>
        <w:rPr>
          <w:b/>
          <w:bCs/>
          <w:sz w:val="16"/>
          <w:szCs w:val="16"/>
        </w:rPr>
        <w:softHyphen/>
        <w:t>vala do jiného města a tl dva se už nikdy nespatřili.</w:t>
      </w:r>
      <w:r>
        <w:rPr>
          <w:b/>
          <w:bCs/>
          <w:sz w:val="16"/>
          <w:szCs w:val="16"/>
        </w:rPr>
        <w:t xml:space="preserve"> A i když třeba mladík zdržující se v dálce zůstal věrným, přišla do toho válka a nastalo pak nekonečné čekání a průtahy. Děvě. která naň v odloučené komnatě čekala, zbýval jen smutek a žal. Když byla opravdu vášnivě zamilová</w:t>
      </w:r>
      <w:r>
        <w:rPr>
          <w:b/>
          <w:bCs/>
          <w:sz w:val="16"/>
          <w:szCs w:val="16"/>
        </w:rPr>
        <w:softHyphen/>
        <w:t>na, roznemohla se samou láskou</w:t>
      </w:r>
      <w:r>
        <w:rPr>
          <w:b/>
          <w:bCs/>
          <w:sz w:val="16"/>
          <w:szCs w:val="16"/>
        </w:rPr>
        <w:t xml:space="preserve"> (což je v čínských milostných ro</w:t>
      </w:r>
      <w:r>
        <w:rPr>
          <w:b/>
          <w:bCs/>
          <w:sz w:val="16"/>
          <w:szCs w:val="16"/>
        </w:rPr>
        <w:softHyphen/>
        <w:t>mánech úžasně běžné) a z očí jí vyprchala všechna záře í radost; postrašení rodiče začali pak pá</w:t>
      </w:r>
      <w:r>
        <w:rPr>
          <w:b/>
          <w:bCs/>
          <w:sz w:val="16"/>
          <w:szCs w:val="16"/>
        </w:rPr>
        <w:softHyphen/>
        <w:t>trat a když jí umožnili ten vy</w:t>
      </w:r>
      <w:r>
        <w:rPr>
          <w:b/>
          <w:bCs/>
          <w:sz w:val="16"/>
          <w:szCs w:val="16"/>
        </w:rPr>
        <w:softHyphen/>
        <w:t>toužený sňatek, zachránili jí ži</w:t>
      </w:r>
      <w:r>
        <w:rPr>
          <w:b/>
          <w:bCs/>
          <w:sz w:val="16"/>
          <w:szCs w:val="16"/>
        </w:rPr>
        <w:softHyphen/>
        <w:t>vot. A tak přece jen nakonec byli spolu šťastni.</w:t>
      </w:r>
    </w:p>
    <w:p w:rsidR="00500724" w:rsidRDefault="00F30FB8">
      <w:pPr>
        <w:pStyle w:val="Zkladntext40"/>
        <w:framePr w:w="2530" w:h="4406" w:hSpace="2597" w:vSpace="405" w:wrap="around" w:hAnchor="page" w:x="5725" w:y="10902"/>
        <w:shd w:val="clear" w:color="auto" w:fill="auto"/>
        <w:spacing w:after="0" w:line="168" w:lineRule="auto"/>
        <w:ind w:firstLine="180"/>
        <w:rPr>
          <w:sz w:val="16"/>
          <w:szCs w:val="16"/>
        </w:rPr>
      </w:pPr>
      <w:r>
        <w:rPr>
          <w:b/>
          <w:bCs/>
          <w:sz w:val="16"/>
          <w:szCs w:val="16"/>
        </w:rPr>
        <w:t>Láska tedy v</w:t>
      </w:r>
      <w:r>
        <w:rPr>
          <w:b/>
          <w:bCs/>
          <w:sz w:val="16"/>
          <w:szCs w:val="16"/>
        </w:rPr>
        <w:t xml:space="preserve"> čínském myšlení splynula s pláčem, smutkem a touhou a následkem té ženské od</w:t>
      </w:r>
      <w:r>
        <w:rPr>
          <w:b/>
          <w:bCs/>
          <w:sz w:val="16"/>
          <w:szCs w:val="16"/>
        </w:rPr>
        <w:softHyphen/>
        <w:t>loučenosti vnikl do celé čínské milostné poesie žalobný, unylý tón. Od dynastie T*ang jsou čín</w:t>
      </w:r>
      <w:r>
        <w:rPr>
          <w:b/>
          <w:bCs/>
          <w:sz w:val="16"/>
          <w:szCs w:val="16"/>
        </w:rPr>
        <w:softHyphen/>
        <w:t>ské milostné písně vesměs písně</w:t>
      </w:r>
      <w:r>
        <w:rPr>
          <w:b/>
          <w:bCs/>
          <w:sz w:val="16"/>
          <w:szCs w:val="16"/>
        </w:rPr>
        <w:softHyphen/>
        <w:t>mi touhy, resignace a nesmírné</w:t>
      </w:r>
      <w:r>
        <w:rPr>
          <w:b/>
          <w:bCs/>
          <w:sz w:val="16"/>
          <w:szCs w:val="16"/>
        </w:rPr>
        <w:softHyphen/>
        <w:t>ho smutku. Bývá to č</w:t>
      </w:r>
      <w:r>
        <w:rPr>
          <w:b/>
          <w:bCs/>
          <w:sz w:val="16"/>
          <w:szCs w:val="16"/>
        </w:rPr>
        <w:t>asto píseň odloučené děvy, toužící po milen</w:t>
      </w:r>
      <w:r>
        <w:rPr>
          <w:b/>
          <w:bCs/>
          <w:sz w:val="16"/>
          <w:szCs w:val="16"/>
        </w:rPr>
        <w:softHyphen/>
      </w:r>
    </w:p>
    <w:p w:rsidR="00500724" w:rsidRDefault="00F30FB8">
      <w:pPr>
        <w:pStyle w:val="Zkladntext40"/>
        <w:shd w:val="clear" w:color="auto" w:fill="auto"/>
        <w:spacing w:after="120"/>
      </w:pPr>
      <w:r>
        <w:rPr>
          <w:noProof/>
        </w:rPr>
        <mc:AlternateContent>
          <mc:Choice Requires="wps">
            <w:drawing>
              <wp:anchor distT="63500" distB="1147445" distL="121920" distR="76200" simplePos="0" relativeHeight="125830132" behindDoc="0" locked="0" layoutInCell="1" allowOverlap="1">
                <wp:simplePos x="0" y="0"/>
                <wp:positionH relativeFrom="page">
                  <wp:posOffset>2193290</wp:posOffset>
                </wp:positionH>
                <wp:positionV relativeFrom="margin">
                  <wp:posOffset>3060065</wp:posOffset>
                </wp:positionV>
                <wp:extent cx="4580890" cy="1508760"/>
                <wp:effectExtent l="0" t="0" r="0" b="0"/>
                <wp:wrapTopAndBottom/>
                <wp:docPr id="755" name="Shape 755"/>
                <wp:cNvGraphicFramePr/>
                <a:graphic xmlns:a="http://schemas.openxmlformats.org/drawingml/2006/main">
                  <a:graphicData uri="http://schemas.microsoft.com/office/word/2010/wordprocessingShape">
                    <wps:wsp>
                      <wps:cNvSpPr txBox="1"/>
                      <wps:spPr>
                        <a:xfrm>
                          <a:off x="0" y="0"/>
                          <a:ext cx="4580890" cy="1508760"/>
                        </a:xfrm>
                        <a:prstGeom prst="rect">
                          <a:avLst/>
                        </a:prstGeom>
                        <a:noFill/>
                      </wps:spPr>
                      <wps:txbx>
                        <w:txbxContent>
                          <w:p w:rsidR="00500724" w:rsidRDefault="00F30FB8">
                            <w:pPr>
                              <w:pStyle w:val="Zkladntext40"/>
                              <w:shd w:val="clear" w:color="auto" w:fill="auto"/>
                              <w:tabs>
                                <w:tab w:val="left" w:leader="hyphen" w:pos="106"/>
                                <w:tab w:val="left" w:leader="hyphen" w:pos="360"/>
                                <w:tab w:val="left" w:leader="hyphen" w:pos="490"/>
                                <w:tab w:val="left" w:leader="hyphen" w:pos="734"/>
                                <w:tab w:val="left" w:leader="hyphen" w:pos="835"/>
                              </w:tabs>
                              <w:spacing w:after="0" w:line="240" w:lineRule="auto"/>
                              <w:rPr>
                                <w:sz w:val="16"/>
                                <w:szCs w:val="16"/>
                              </w:rPr>
                            </w:pPr>
                            <w:r>
                              <w:rPr>
                                <w:b/>
                                <w:bCs/>
                                <w:sz w:val="16"/>
                                <w:szCs w:val="16"/>
                              </w:rPr>
                              <w:tab/>
                            </w:r>
                            <w:r>
                              <w:rPr>
                                <w:b/>
                                <w:bCs/>
                                <w:sz w:val="16"/>
                                <w:szCs w:val="16"/>
                              </w:rPr>
                              <w:tab/>
                            </w:r>
                            <w:r>
                              <w:rPr>
                                <w:b/>
                                <w:bCs/>
                                <w:sz w:val="16"/>
                                <w:szCs w:val="16"/>
                              </w:rPr>
                              <w:tab/>
                            </w:r>
                            <w:r>
                              <w:rPr>
                                <w:b/>
                                <w:bCs/>
                                <w:sz w:val="16"/>
                                <w:szCs w:val="16"/>
                              </w:rPr>
                              <w:tab/>
                            </w:r>
                            <w:r>
                              <w:rPr>
                                <w:b/>
                                <w:bCs/>
                                <w:sz w:val="16"/>
                                <w:szCs w:val="16"/>
                              </w:rPr>
                              <w:tab/>
                            </w:r>
                          </w:p>
                          <w:p w:rsidR="00500724" w:rsidRDefault="00F30FB8">
                            <w:pPr>
                              <w:pStyle w:val="Zkladntext50"/>
                              <w:shd w:val="clear" w:color="auto" w:fill="auto"/>
                              <w:tabs>
                                <w:tab w:val="left" w:pos="822"/>
                              </w:tabs>
                              <w:spacing w:after="0" w:line="300" w:lineRule="auto"/>
                              <w:ind w:left="400"/>
                            </w:pPr>
                            <w:r>
                              <w:rPr>
                                <w:b/>
                                <w:bCs/>
                                <w:sz w:val="16"/>
                                <w:szCs w:val="16"/>
                              </w:rPr>
                              <w:t>■</w:t>
                            </w:r>
                            <w:r>
                              <w:rPr>
                                <w:b/>
                                <w:bCs/>
                                <w:sz w:val="16"/>
                                <w:szCs w:val="16"/>
                              </w:rPr>
                              <w:tab/>
                              <w:t xml:space="preserve">1 </w:t>
                            </w:r>
                            <w:r>
                              <w:t xml:space="preserve">ato otázka patří k aktuálním úvahám přítomnosti. Kdo chce rychle </w:t>
                            </w:r>
                            <w:r>
                              <w:rPr>
                                <w:b/>
                                <w:bCs/>
                                <w:sz w:val="16"/>
                                <w:szCs w:val="16"/>
                              </w:rPr>
                              <w:t xml:space="preserve">a </w:t>
                            </w:r>
                            <w:r>
                              <w:t>po-</w:t>
                            </w:r>
                          </w:p>
                          <w:p w:rsidR="00500724" w:rsidRDefault="00F30FB8">
                            <w:pPr>
                              <w:pStyle w:val="Zkladntext50"/>
                              <w:shd w:val="clear" w:color="auto" w:fill="auto"/>
                              <w:spacing w:after="0" w:line="300" w:lineRule="auto"/>
                              <w:ind w:left="0"/>
                              <w:jc w:val="right"/>
                            </w:pPr>
                            <w:r>
                              <w:rPr>
                                <w:b/>
                                <w:bCs/>
                                <w:sz w:val="16"/>
                                <w:szCs w:val="16"/>
                              </w:rPr>
                              <w:t xml:space="preserve">H </w:t>
                            </w:r>
                            <w:r>
                              <w:t xml:space="preserve">hodině cestovatl </w:t>
                            </w:r>
                            <w:r>
                              <w:rPr>
                                <w:b/>
                                <w:bCs/>
                                <w:sz w:val="16"/>
                                <w:szCs w:val="16"/>
                              </w:rPr>
                              <w:t xml:space="preserve">s </w:t>
                            </w:r>
                            <w:r>
                              <w:t xml:space="preserve">přáteli neb rodinou, s možností zastavili kdekoliv </w:t>
                            </w:r>
                            <w:r>
                              <w:rPr>
                                <w:b/>
                                <w:bCs/>
                                <w:sz w:val="16"/>
                                <w:szCs w:val="16"/>
                              </w:rPr>
                              <w:t xml:space="preserve">a </w:t>
                            </w:r>
                            <w:r>
                              <w:t xml:space="preserve">kdykoliv v místě s krásným rozhledem, u vody, v lese, u kulturních a histo- rických památek, rozhodne se pro automobil. Při volbě typu dává zkušený automobilista přednost kvalitě před lácí a pořizuje si proto vůz Praga, af </w:t>
                            </w:r>
                            <w:r>
                              <w:rPr>
                                <w:lang w:val="en-US" w:eastAsia="en-US" w:bidi="en-US"/>
                              </w:rPr>
                              <w:t xml:space="preserve">Piccolo, </w:t>
                            </w:r>
                            <w:r>
                              <w:t>Lady neb Alfa, u nichž h</w:t>
                            </w:r>
                            <w:r>
                              <w:t>odnotí pevnou stavbu chassis, jakost materiálu, důkladné zpracování,</w:t>
                            </w:r>
                          </w:p>
                          <w:p w:rsidR="00500724" w:rsidRDefault="00F30FB8">
                            <w:pPr>
                              <w:pStyle w:val="Zkladntext50"/>
                              <w:shd w:val="clear" w:color="auto" w:fill="auto"/>
                              <w:spacing w:after="0" w:line="300" w:lineRule="auto"/>
                              <w:ind w:left="0"/>
                            </w:pPr>
                            <w:r>
                              <w:t>tichý chod motoru, který šetří nervy a dostatek místa pro posádku i zavazadla.</w:t>
                            </w:r>
                          </w:p>
                          <w:p w:rsidR="00500724" w:rsidRDefault="00F30FB8">
                            <w:pPr>
                              <w:pStyle w:val="Zkladntext50"/>
                              <w:shd w:val="clear" w:color="auto" w:fill="auto"/>
                              <w:spacing w:after="0" w:line="300" w:lineRule="auto"/>
                              <w:ind w:left="0"/>
                            </w:pPr>
                            <w:r>
                              <w:t>Tyto vlastnosti vozů Praga jsou tím cennější, že jsou to současně vozy velmi levné v pro</w:t>
                            </w:r>
                            <w:r>
                              <w:softHyphen/>
                              <w:t xml:space="preserve">vozu, takže radost </w:t>
                            </w:r>
                            <w:r>
                              <w:t>z cestování je ještě zvyšována vědomím finanční výhodnosti.</w:t>
                            </w:r>
                          </w:p>
                        </w:txbxContent>
                      </wps:txbx>
                      <wps:bodyPr lIns="0" tIns="0" rIns="0" bIns="0">
                        <a:spAutoFit/>
                      </wps:bodyPr>
                    </wps:wsp>
                  </a:graphicData>
                </a:graphic>
              </wp:anchor>
            </w:drawing>
          </mc:Choice>
          <mc:Fallback>
            <w:pict>
              <v:shape id="_x0000_s1781" type="#_x0000_t202" style="position:absolute;margin-left:172.69999999999999pt;margin-top:240.94999999999999pt;width:360.69999999999999pt;height:118.8pt;z-index:-125828621;mso-wrap-distance-left:9.5999999999999996pt;mso-wrap-distance-top:5.pt;mso-wrap-distance-right:6.pt;mso-wrap-distance-bottom:90.349999999999994pt;mso-position-horizontal-relative:page;mso-position-vertical-relative:margin" filled="f" stroked="f">
                <v:textbox style="mso-fit-shape-to-text:t" inset="0,0,0,0">
                  <w:txbxContent>
                    <w:p>
                      <w:pPr>
                        <w:pStyle w:val="Style42"/>
                        <w:keepNext w:val="0"/>
                        <w:keepLines w:val="0"/>
                        <w:widowControl w:val="0"/>
                        <w:shd w:val="clear" w:color="auto" w:fill="auto"/>
                        <w:tabs>
                          <w:tab w:leader="hyphen" w:pos="106" w:val="left"/>
                          <w:tab w:leader="hyphen" w:pos="360" w:val="left"/>
                          <w:tab w:leader="hyphen" w:pos="490" w:val="left"/>
                          <w:tab w:leader="hyphen" w:pos="734" w:val="left"/>
                          <w:tab w:leader="hyphen" w:pos="835" w:val="left"/>
                        </w:tabs>
                        <w:bidi w:val="0"/>
                        <w:spacing w:before="0" w:after="0" w:line="240" w:lineRule="auto"/>
                        <w:ind w:left="0" w:right="0" w:firstLine="0"/>
                        <w:rPr>
                          <w:sz w:val="16"/>
                          <w:szCs w:val="16"/>
                        </w:rPr>
                      </w:pPr>
                      <w:r>
                        <w:rPr>
                          <w:b/>
                          <w:bCs/>
                          <w:color w:val="000000"/>
                          <w:spacing w:val="0"/>
                          <w:w w:val="100"/>
                          <w:position w:val="0"/>
                          <w:sz w:val="16"/>
                          <w:szCs w:val="16"/>
                          <w:shd w:val="clear" w:color="auto" w:fill="auto"/>
                          <w:lang w:val="cs-CZ" w:eastAsia="cs-CZ" w:bidi="cs-CZ"/>
                        </w:rPr>
                        <w:tab/>
                        <w:tab/>
                        <w:tab/>
                        <w:tab/>
                        <w:tab/>
                      </w:r>
                    </w:p>
                    <w:p>
                      <w:pPr>
                        <w:pStyle w:val="Style80"/>
                        <w:keepNext w:val="0"/>
                        <w:keepLines w:val="0"/>
                        <w:widowControl w:val="0"/>
                        <w:shd w:val="clear" w:color="auto" w:fill="auto"/>
                        <w:tabs>
                          <w:tab w:pos="822" w:val="left"/>
                        </w:tabs>
                        <w:bidi w:val="0"/>
                        <w:spacing w:before="0" w:after="0" w:line="300" w:lineRule="auto"/>
                        <w:ind w:left="400" w:right="0" w:firstLine="0"/>
                      </w:pPr>
                      <w:r>
                        <w:rPr>
                          <w:b/>
                          <w:bCs/>
                          <w:color w:val="000000"/>
                          <w:spacing w:val="0"/>
                          <w:w w:val="100"/>
                          <w:position w:val="0"/>
                          <w:sz w:val="16"/>
                          <w:szCs w:val="16"/>
                          <w:shd w:val="clear" w:color="auto" w:fill="auto"/>
                          <w:lang w:val="cs-CZ" w:eastAsia="cs-CZ" w:bidi="cs-CZ"/>
                        </w:rPr>
                        <w:t>■</w:t>
                        <w:tab/>
                        <w:t xml:space="preserve">1 </w:t>
                      </w:r>
                      <w:r>
                        <w:rPr>
                          <w:color w:val="000000"/>
                          <w:spacing w:val="0"/>
                          <w:w w:val="100"/>
                          <w:position w:val="0"/>
                          <w:shd w:val="clear" w:color="auto" w:fill="auto"/>
                          <w:lang w:val="cs-CZ" w:eastAsia="cs-CZ" w:bidi="cs-CZ"/>
                        </w:rPr>
                        <w:t xml:space="preserve">ato otázka patří k aktuálním úvahám přítomnosti. Kdo chce rychle </w:t>
                      </w:r>
                      <w:r>
                        <w:rPr>
                          <w:b/>
                          <w:bCs/>
                          <w:color w:val="000000"/>
                          <w:spacing w:val="0"/>
                          <w:w w:val="100"/>
                          <w:position w:val="0"/>
                          <w:sz w:val="16"/>
                          <w:szCs w:val="16"/>
                          <w:shd w:val="clear" w:color="auto" w:fill="auto"/>
                          <w:lang w:val="cs-CZ" w:eastAsia="cs-CZ" w:bidi="cs-CZ"/>
                        </w:rPr>
                        <w:t xml:space="preserve">a </w:t>
                      </w:r>
                      <w:r>
                        <w:rPr>
                          <w:color w:val="000000"/>
                          <w:spacing w:val="0"/>
                          <w:w w:val="100"/>
                          <w:position w:val="0"/>
                          <w:shd w:val="clear" w:color="auto" w:fill="auto"/>
                          <w:lang w:val="cs-CZ" w:eastAsia="cs-CZ" w:bidi="cs-CZ"/>
                        </w:rPr>
                        <w:t>po-</w:t>
                      </w:r>
                    </w:p>
                    <w:p>
                      <w:pPr>
                        <w:pStyle w:val="Style80"/>
                        <w:keepNext w:val="0"/>
                        <w:keepLines w:val="0"/>
                        <w:widowControl w:val="0"/>
                        <w:shd w:val="clear" w:color="auto" w:fill="auto"/>
                        <w:bidi w:val="0"/>
                        <w:spacing w:before="0" w:after="0" w:line="300" w:lineRule="auto"/>
                        <w:ind w:left="0" w:right="0" w:firstLine="0"/>
                        <w:jc w:val="right"/>
                      </w:pPr>
                      <w:r>
                        <w:rPr>
                          <w:b/>
                          <w:bCs/>
                          <w:color w:val="000000"/>
                          <w:spacing w:val="0"/>
                          <w:w w:val="100"/>
                          <w:position w:val="0"/>
                          <w:sz w:val="16"/>
                          <w:szCs w:val="16"/>
                          <w:shd w:val="clear" w:color="auto" w:fill="auto"/>
                          <w:lang w:val="cs-CZ" w:eastAsia="cs-CZ" w:bidi="cs-CZ"/>
                        </w:rPr>
                        <w:t xml:space="preserve">H </w:t>
                      </w:r>
                      <w:r>
                        <w:rPr>
                          <w:color w:val="000000"/>
                          <w:spacing w:val="0"/>
                          <w:w w:val="100"/>
                          <w:position w:val="0"/>
                          <w:shd w:val="clear" w:color="auto" w:fill="auto"/>
                          <w:lang w:val="cs-CZ" w:eastAsia="cs-CZ" w:bidi="cs-CZ"/>
                        </w:rPr>
                        <w:t xml:space="preserve">hodině cestovatl </w:t>
                      </w:r>
                      <w:r>
                        <w:rPr>
                          <w:b/>
                          <w:bCs/>
                          <w:color w:val="000000"/>
                          <w:spacing w:val="0"/>
                          <w:w w:val="100"/>
                          <w:position w:val="0"/>
                          <w:sz w:val="16"/>
                          <w:szCs w:val="16"/>
                          <w:shd w:val="clear" w:color="auto" w:fill="auto"/>
                          <w:lang w:val="cs-CZ" w:eastAsia="cs-CZ" w:bidi="cs-CZ"/>
                        </w:rPr>
                        <w:t xml:space="preserve">s </w:t>
                      </w:r>
                      <w:r>
                        <w:rPr>
                          <w:color w:val="000000"/>
                          <w:spacing w:val="0"/>
                          <w:w w:val="100"/>
                          <w:position w:val="0"/>
                          <w:shd w:val="clear" w:color="auto" w:fill="auto"/>
                          <w:lang w:val="cs-CZ" w:eastAsia="cs-CZ" w:bidi="cs-CZ"/>
                        </w:rPr>
                        <w:t xml:space="preserve">přáteli neb rodinou, s možností zastavili kdekoliv </w:t>
                      </w:r>
                      <w:r>
                        <w:rPr>
                          <w:b/>
                          <w:bCs/>
                          <w:color w:val="000000"/>
                          <w:spacing w:val="0"/>
                          <w:w w:val="100"/>
                          <w:position w:val="0"/>
                          <w:sz w:val="16"/>
                          <w:szCs w:val="16"/>
                          <w:shd w:val="clear" w:color="auto" w:fill="auto"/>
                          <w:lang w:val="cs-CZ" w:eastAsia="cs-CZ" w:bidi="cs-CZ"/>
                        </w:rPr>
                        <w:t xml:space="preserve">a </w:t>
                      </w:r>
                      <w:r>
                        <w:rPr>
                          <w:color w:val="000000"/>
                          <w:spacing w:val="0"/>
                          <w:w w:val="100"/>
                          <w:position w:val="0"/>
                          <w:shd w:val="clear" w:color="auto" w:fill="auto"/>
                          <w:lang w:val="cs-CZ" w:eastAsia="cs-CZ" w:bidi="cs-CZ"/>
                        </w:rPr>
                        <w:t xml:space="preserve">kdykoliv v místě s krásným rozhledem, u vody, v lese, u kulturních a histo- rických památek, rozhodne se pro automobil. Při volbě typu dává zkušený automobilista přednost kvalitě před lácí a pořizuje si proto vůz Praga, af </w:t>
                      </w:r>
                      <w:r>
                        <w:rPr>
                          <w:color w:val="000000"/>
                          <w:spacing w:val="0"/>
                          <w:w w:val="100"/>
                          <w:position w:val="0"/>
                          <w:shd w:val="clear" w:color="auto" w:fill="auto"/>
                          <w:lang w:val="en-US" w:eastAsia="en-US" w:bidi="en-US"/>
                        </w:rPr>
                        <w:t xml:space="preserve">Piccolo, </w:t>
                      </w:r>
                      <w:r>
                        <w:rPr>
                          <w:color w:val="000000"/>
                          <w:spacing w:val="0"/>
                          <w:w w:val="100"/>
                          <w:position w:val="0"/>
                          <w:shd w:val="clear" w:color="auto" w:fill="auto"/>
                          <w:lang w:val="cs-CZ" w:eastAsia="cs-CZ" w:bidi="cs-CZ"/>
                        </w:rPr>
                        <w:t>Lady neb Alfa, u nichž hodnotí pevnou stavbu chassis, jakost materiálu, důkladné zpracování,</w:t>
                      </w:r>
                    </w:p>
                    <w:p>
                      <w:pPr>
                        <w:pStyle w:val="Style80"/>
                        <w:keepNext w:val="0"/>
                        <w:keepLines w:val="0"/>
                        <w:widowControl w:val="0"/>
                        <w:shd w:val="clear" w:color="auto" w:fill="auto"/>
                        <w:bidi w:val="0"/>
                        <w:spacing w:before="0" w:after="0" w:line="300" w:lineRule="auto"/>
                        <w:ind w:left="0" w:right="0" w:firstLine="0"/>
                      </w:pPr>
                      <w:r>
                        <w:rPr>
                          <w:color w:val="000000"/>
                          <w:spacing w:val="0"/>
                          <w:w w:val="100"/>
                          <w:position w:val="0"/>
                          <w:shd w:val="clear" w:color="auto" w:fill="auto"/>
                          <w:lang w:val="cs-CZ" w:eastAsia="cs-CZ" w:bidi="cs-CZ"/>
                        </w:rPr>
                        <w:t>tichý chod motoru, který šetří nervy a dostatek místa pro posádku i zavazadla.</w:t>
                      </w:r>
                    </w:p>
                    <w:p>
                      <w:pPr>
                        <w:pStyle w:val="Style80"/>
                        <w:keepNext w:val="0"/>
                        <w:keepLines w:val="0"/>
                        <w:widowControl w:val="0"/>
                        <w:shd w:val="clear" w:color="auto" w:fill="auto"/>
                        <w:bidi w:val="0"/>
                        <w:spacing w:before="0" w:after="0" w:line="300" w:lineRule="auto"/>
                        <w:ind w:left="0" w:right="0" w:firstLine="0"/>
                      </w:pPr>
                      <w:r>
                        <w:rPr>
                          <w:color w:val="000000"/>
                          <w:spacing w:val="0"/>
                          <w:w w:val="100"/>
                          <w:position w:val="0"/>
                          <w:shd w:val="clear" w:color="auto" w:fill="auto"/>
                          <w:lang w:val="cs-CZ" w:eastAsia="cs-CZ" w:bidi="cs-CZ"/>
                        </w:rPr>
                        <w:t>Tyto vlastnosti vozů Praga jsou tím cennější, že jsou to současně vozy velmi levné v pro</w:t>
                        <w:softHyphen/>
                        <w:t>vozu, takže radost z cestování je ještě zvyšována vědomím finanční výhodnosti.</w:t>
                      </w:r>
                    </w:p>
                  </w:txbxContent>
                </v:textbox>
                <w10:wrap type="topAndBottom" anchorx="page" anchory="margin"/>
              </v:shape>
            </w:pict>
          </mc:Fallback>
        </mc:AlternateContent>
      </w:r>
      <w:r>
        <w:rPr>
          <w:noProof/>
        </w:rPr>
        <mc:AlternateContent>
          <mc:Choice Requires="wps">
            <w:drawing>
              <wp:anchor distT="2322195" distB="38100" distL="106680" distR="100330" simplePos="0" relativeHeight="125830134" behindDoc="0" locked="0" layoutInCell="1" allowOverlap="1">
                <wp:simplePos x="0" y="0"/>
                <wp:positionH relativeFrom="page">
                  <wp:posOffset>2178050</wp:posOffset>
                </wp:positionH>
                <wp:positionV relativeFrom="margin">
                  <wp:posOffset>5318760</wp:posOffset>
                </wp:positionV>
                <wp:extent cx="4572000" cy="359410"/>
                <wp:effectExtent l="0" t="0" r="0" b="0"/>
                <wp:wrapTopAndBottom/>
                <wp:docPr id="757" name="Shape 757"/>
                <wp:cNvGraphicFramePr/>
                <a:graphic xmlns:a="http://schemas.openxmlformats.org/drawingml/2006/main">
                  <a:graphicData uri="http://schemas.microsoft.com/office/word/2010/wordprocessingShape">
                    <wps:wsp>
                      <wps:cNvSpPr txBox="1"/>
                      <wps:spPr>
                        <a:xfrm>
                          <a:off x="0" y="0"/>
                          <a:ext cx="4572000" cy="359410"/>
                        </a:xfrm>
                        <a:prstGeom prst="rect">
                          <a:avLst/>
                        </a:prstGeom>
                        <a:noFill/>
                      </wps:spPr>
                      <wps:txbx>
                        <w:txbxContent>
                          <w:p w:rsidR="00500724" w:rsidRDefault="00F30FB8">
                            <w:pPr>
                              <w:pStyle w:val="Jin0"/>
                              <w:shd w:val="clear" w:color="auto" w:fill="auto"/>
                              <w:tabs>
                                <w:tab w:val="left" w:pos="6254"/>
                              </w:tabs>
                              <w:spacing w:line="264" w:lineRule="auto"/>
                              <w:ind w:firstLine="0"/>
                            </w:pPr>
                            <w:r>
                              <w:rPr>
                                <w:rFonts w:ascii="Arial" w:eastAsia="Arial" w:hAnsi="Arial" w:cs="Arial"/>
                                <w:b/>
                                <w:bCs/>
                              </w:rPr>
                              <w:t>ČESKOMORAVSKÁ - KOLBEN - DANĚK, «. &gt;. automobilní oddělení Praha-Karlín, Karlova 22. Telefony 32051 - 5,</w:t>
                            </w:r>
                            <w:r>
                              <w:rPr>
                                <w:rFonts w:ascii="Arial" w:eastAsia="Arial" w:hAnsi="Arial" w:cs="Arial"/>
                                <w:b/>
                                <w:bCs/>
                              </w:rPr>
                              <w:tab/>
                              <w:t>38641-5</w:t>
                            </w:r>
                          </w:p>
                        </w:txbxContent>
                      </wps:txbx>
                      <wps:bodyPr lIns="0" tIns="0" rIns="0" bIns="0">
                        <a:spAutoFit/>
                      </wps:bodyPr>
                    </wps:wsp>
                  </a:graphicData>
                </a:graphic>
              </wp:anchor>
            </w:drawing>
          </mc:Choice>
          <mc:Fallback>
            <w:pict>
              <v:shape id="_x0000_s1783" type="#_x0000_t202" style="position:absolute;margin-left:171.5pt;margin-top:418.80000000000001pt;width:360.pt;height:28.300000000000001pt;z-index:-125828619;mso-wrap-distance-left:8.4000000000000004pt;mso-wrap-distance-top:182.84999999999999pt;mso-wrap-distance-right:7.9000000000000004pt;mso-wrap-distance-bottom:3.pt;mso-position-horizontal-relative:page;mso-position-vertical-relative:margin" filled="f" stroked="f">
                <v:textbox style="mso-fit-shape-to-text:t" inset="0,0,0,0">
                  <w:txbxContent>
                    <w:p>
                      <w:pPr>
                        <w:pStyle w:val="Style12"/>
                        <w:keepNext w:val="0"/>
                        <w:keepLines w:val="0"/>
                        <w:widowControl w:val="0"/>
                        <w:shd w:val="clear" w:color="auto" w:fill="auto"/>
                        <w:tabs>
                          <w:tab w:pos="6254" w:val="left"/>
                        </w:tabs>
                        <w:bidi w:val="0"/>
                        <w:spacing w:before="0" w:after="0" w:line="264" w:lineRule="auto"/>
                        <w:ind w:left="0" w:right="0" w:firstLine="0"/>
                      </w:pPr>
                      <w:r>
                        <w:rPr>
                          <w:rFonts w:ascii="Arial" w:eastAsia="Arial" w:hAnsi="Arial" w:cs="Arial"/>
                          <w:b/>
                          <w:bCs/>
                          <w:color w:val="000000"/>
                          <w:spacing w:val="0"/>
                          <w:w w:val="100"/>
                          <w:position w:val="0"/>
                          <w:shd w:val="clear" w:color="auto" w:fill="auto"/>
                          <w:lang w:val="cs-CZ" w:eastAsia="cs-CZ" w:bidi="cs-CZ"/>
                        </w:rPr>
                        <w:t>ČESKOMORAVSKÁ - KOLBEN - DANĚK, «. &gt;. automobilní oddělení Praha-Karlín, Karlova 22. Telefony 32051 - 5,</w:t>
                        <w:tab/>
                        <w:t>38641-5</w:t>
                      </w:r>
                    </w:p>
                  </w:txbxContent>
                </v:textbox>
                <w10:wrap type="topAndBottom" anchorx="page" anchory="margin"/>
              </v:shape>
            </w:pict>
          </mc:Fallback>
        </mc:AlternateContent>
      </w:r>
      <w:r>
        <w:rPr>
          <w:noProof/>
        </w:rPr>
        <mc:AlternateContent>
          <mc:Choice Requires="wps">
            <w:drawing>
              <wp:anchor distT="127000" distB="0" distL="0" distR="0" simplePos="0" relativeHeight="125830136" behindDoc="0" locked="0" layoutInCell="1" allowOverlap="1">
                <wp:simplePos x="0" y="0"/>
                <wp:positionH relativeFrom="page">
                  <wp:posOffset>1997710</wp:posOffset>
                </wp:positionH>
                <wp:positionV relativeFrom="margin">
                  <wp:posOffset>5794375</wp:posOffset>
                </wp:positionV>
                <wp:extent cx="1606550" cy="1085215"/>
                <wp:effectExtent l="0" t="0" r="0" b="0"/>
                <wp:wrapSquare wrapText="bothSides"/>
                <wp:docPr id="759" name="Shape 759"/>
                <wp:cNvGraphicFramePr/>
                <a:graphic xmlns:a="http://schemas.openxmlformats.org/drawingml/2006/main">
                  <a:graphicData uri="http://schemas.microsoft.com/office/word/2010/wordprocessingShape">
                    <wps:wsp>
                      <wps:cNvSpPr txBox="1"/>
                      <wps:spPr>
                        <a:xfrm>
                          <a:off x="0" y="0"/>
                          <a:ext cx="1606550" cy="1085215"/>
                        </a:xfrm>
                        <a:prstGeom prst="rect">
                          <a:avLst/>
                        </a:prstGeom>
                        <a:noFill/>
                      </wps:spPr>
                      <wps:txbx>
                        <w:txbxContent>
                          <w:p w:rsidR="00500724" w:rsidRDefault="00F30FB8">
                            <w:pPr>
                              <w:pStyle w:val="Zkladntext40"/>
                              <w:shd w:val="clear" w:color="auto" w:fill="auto"/>
                              <w:spacing w:after="0"/>
                            </w:pPr>
                            <w:r>
                              <w:t>chův Máj, Nerudovy Zpěvy páteční, Shakespearův Sen noci svatojánské rovněž ve</w:t>
                            </w:r>
                            <w:r>
                              <w:t xml:space="preserve"> vydání Elku a řadu nejrozmani</w:t>
                            </w:r>
                            <w:r>
                              <w:softHyphen/>
                              <w:t>tějších vynikajících děl naší a světové literatury, všechny pak vidíte v sličném rouše v které je oděl Karel Svolinský vyzdobiv je jistou jemnou rukou umělce per</w:t>
                            </w:r>
                            <w:r>
                              <w:softHyphen/>
                              <w:t>lami, diamanty a drahými kame</w:t>
                            </w:r>
                            <w:r>
                              <w:softHyphen/>
                              <w:t>ny svých osobitých dřevorytů, lit</w:t>
                            </w:r>
                            <w:r>
                              <w:t>ografií a kreseb. Manželé Ji- routovi pak připojili k ukázkám</w:t>
                            </w:r>
                          </w:p>
                        </w:txbxContent>
                      </wps:txbx>
                      <wps:bodyPr lIns="0" tIns="0" rIns="0" bIns="0">
                        <a:spAutoFit/>
                      </wps:bodyPr>
                    </wps:wsp>
                  </a:graphicData>
                </a:graphic>
              </wp:anchor>
            </w:drawing>
          </mc:Choice>
          <mc:Fallback>
            <w:pict>
              <v:shape id="_x0000_s1785" type="#_x0000_t202" style="position:absolute;margin-left:157.30000000000001pt;margin-top:456.25pt;width:126.5pt;height:85.450000000000003pt;z-index:-125828617;mso-wrap-distance-left:0;mso-wrap-distance-top:10.pt;mso-wrap-distance-right:0;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ind w:left="0" w:right="0" w:firstLine="0"/>
                      </w:pPr>
                      <w:r>
                        <w:rPr>
                          <w:color w:val="000000"/>
                          <w:spacing w:val="0"/>
                          <w:w w:val="100"/>
                          <w:position w:val="0"/>
                          <w:shd w:val="clear" w:color="auto" w:fill="auto"/>
                          <w:lang w:val="cs-CZ" w:eastAsia="cs-CZ" w:bidi="cs-CZ"/>
                        </w:rPr>
                        <w:t>chův Máj, Nerudovy Zpěvy páteční, Shakespearův Sen noci svatojánské rovněž ve vydání Elku a řadu nejrozmani</w:t>
                        <w:softHyphen/>
                        <w:t>tějších vynikajících děl naší a světové literatury, všechny pak vidíte v sličném rouše v které je oděl Karel Svolinský vyzdobiv je jistou jemnou rukou umělce per</w:t>
                        <w:softHyphen/>
                        <w:t>lami, diamanty a drahými kame</w:t>
                        <w:softHyphen/>
                        <w:t>ny svých osobitých dřevorytů, litografií a kreseb. Manželé Ji- routovi pak připojili k ukázkám</w:t>
                      </w:r>
                    </w:p>
                  </w:txbxContent>
                </v:textbox>
                <w10:wrap type="square" anchorx="page" anchory="margin"/>
              </v:shape>
            </w:pict>
          </mc:Fallback>
        </mc:AlternateContent>
      </w:r>
      <w:r>
        <w:rPr>
          <w:noProof/>
        </w:rPr>
        <mc:AlternateContent>
          <mc:Choice Requires="wps">
            <w:drawing>
              <wp:anchor distT="3175" distB="254000" distL="0" distR="1615440" simplePos="0" relativeHeight="125830138" behindDoc="0" locked="0" layoutInCell="1" allowOverlap="1">
                <wp:simplePos x="0" y="0"/>
                <wp:positionH relativeFrom="page">
                  <wp:posOffset>1985645</wp:posOffset>
                </wp:positionH>
                <wp:positionV relativeFrom="margin">
                  <wp:posOffset>6925310</wp:posOffset>
                </wp:positionV>
                <wp:extent cx="1639570" cy="2797810"/>
                <wp:effectExtent l="0" t="0" r="0" b="0"/>
                <wp:wrapSquare wrapText="bothSides"/>
                <wp:docPr id="761" name="Shape 761"/>
                <wp:cNvGraphicFramePr/>
                <a:graphic xmlns:a="http://schemas.openxmlformats.org/drawingml/2006/main">
                  <a:graphicData uri="http://schemas.microsoft.com/office/word/2010/wordprocessingShape">
                    <wps:wsp>
                      <wps:cNvSpPr txBox="1"/>
                      <wps:spPr>
                        <a:xfrm>
                          <a:off x="0" y="0"/>
                          <a:ext cx="1639570" cy="2797810"/>
                        </a:xfrm>
                        <a:prstGeom prst="rect">
                          <a:avLst/>
                        </a:prstGeom>
                        <a:noFill/>
                      </wps:spPr>
                      <wps:txbx>
                        <w:txbxContent>
                          <w:p w:rsidR="00500724" w:rsidRDefault="00F30FB8">
                            <w:pPr>
                              <w:pStyle w:val="Zkladntext40"/>
                              <w:shd w:val="clear" w:color="auto" w:fill="auto"/>
                              <w:spacing w:after="0" w:line="168" w:lineRule="auto"/>
                              <w:rPr>
                                <w:sz w:val="16"/>
                                <w:szCs w:val="16"/>
                              </w:rPr>
                            </w:pPr>
                            <w:r>
                              <w:rPr>
                                <w:b/>
                                <w:bCs/>
                                <w:sz w:val="16"/>
                                <w:szCs w:val="16"/>
                              </w:rPr>
                              <w:t>Jindy šla navečer na lednové nebo červnové lampiónové slav</w:t>
                            </w:r>
                            <w:r>
                              <w:rPr>
                                <w:b/>
                                <w:bCs/>
                                <w:sz w:val="16"/>
                                <w:szCs w:val="16"/>
                              </w:rPr>
                              <w:softHyphen/>
                              <w:t>nosti. Jindy zas hrála na stru</w:t>
                            </w:r>
                            <w:r>
                              <w:rPr>
                                <w:b/>
                                <w:bCs/>
                                <w:sz w:val="16"/>
                                <w:szCs w:val="16"/>
                              </w:rPr>
                              <w:softHyphen/>
                              <w:t xml:space="preserve">nový nástroj č ‘ i n tak, aby to mladík v sousedním domě slyšel. Jindy zas poprosila učitele svého </w:t>
                            </w:r>
                            <w:r>
                              <w:rPr>
                                <w:b/>
                                <w:bCs/>
                                <w:sz w:val="16"/>
                                <w:szCs w:val="16"/>
                              </w:rPr>
                              <w:t>mladšího bratra, aby jí opravil básně, při čemž jí byl mladší bratr poslíčkem. Když byl učitel mladý a romantický, třeba jí ta</w:t>
                            </w:r>
                            <w:r>
                              <w:rPr>
                                <w:b/>
                                <w:bCs/>
                                <w:sz w:val="16"/>
                                <w:szCs w:val="16"/>
                              </w:rPr>
                              <w:softHyphen/>
                              <w:t>ké odpověděl verši. Jindy jí zas zprostředkovala zprávy služka nebo soucitná švagrová, nebo ku</w:t>
                            </w:r>
                            <w:r>
                              <w:rPr>
                                <w:b/>
                                <w:bCs/>
                                <w:sz w:val="16"/>
                                <w:szCs w:val="16"/>
                              </w:rPr>
                              <w:softHyphen/>
                              <w:t>chařova žena od vedle, nebo jep</w:t>
                            </w:r>
                            <w:r>
                              <w:rPr>
                                <w:b/>
                                <w:bCs/>
                                <w:sz w:val="16"/>
                                <w:szCs w:val="16"/>
                              </w:rPr>
                              <w:softHyphen/>
                              <w:t>ti</w:t>
                            </w:r>
                            <w:r>
                              <w:rPr>
                                <w:b/>
                                <w:bCs/>
                                <w:sz w:val="16"/>
                                <w:szCs w:val="16"/>
                              </w:rPr>
                              <w:t>ška. Když byl on i ona k sobě vábeni, bylo vždycky možno umluvit tajnou schůzku. Takové schůzky byly vždycky nesmírně chorobné; mladá dívka se neumě</w:t>
                            </w:r>
                            <w:r>
                              <w:rPr>
                                <w:b/>
                                <w:bCs/>
                                <w:sz w:val="16"/>
                                <w:szCs w:val="16"/>
                              </w:rPr>
                              <w:softHyphen/>
                              <w:t>la bránit a láska, zbavená roz</w:t>
                            </w:r>
                            <w:r>
                              <w:rPr>
                                <w:b/>
                                <w:bCs/>
                                <w:sz w:val="16"/>
                                <w:szCs w:val="16"/>
                              </w:rPr>
                              <w:softHyphen/>
                              <w:t>marného koketování, se jim za to vymstila, jak to zpodobují ne</w:t>
                            </w:r>
                            <w:r>
                              <w:rPr>
                                <w:b/>
                                <w:bCs/>
                                <w:sz w:val="16"/>
                                <w:szCs w:val="16"/>
                              </w:rPr>
                              <w:softHyphen/>
                              <w:t>bo by aspoň r</w:t>
                            </w:r>
                            <w:r>
                              <w:rPr>
                                <w:b/>
                                <w:bCs/>
                                <w:sz w:val="16"/>
                                <w:szCs w:val="16"/>
                              </w:rPr>
                              <w:t>ády zpodobnily všechny čínské milostné romány. Dívka třeba otěhotněla. Následo</w:t>
                            </w:r>
                            <w:r>
                              <w:rPr>
                                <w:b/>
                                <w:bCs/>
                                <w:sz w:val="16"/>
                                <w:szCs w:val="16"/>
                              </w:rPr>
                              <w:softHyphen/>
                              <w:t>valo pak období vřelého stýkání a milkování, prudkého a přece jen něžného, vzácného, protože pokoutního, a zpravidla tak bla</w:t>
                            </w:r>
                            <w:r>
                              <w:rPr>
                                <w:b/>
                                <w:bCs/>
                                <w:sz w:val="16"/>
                                <w:szCs w:val="16"/>
                              </w:rPr>
                              <w:softHyphen/>
                              <w:t>ženého, že dlouho nepotrvalo.</w:t>
                            </w:r>
                          </w:p>
                          <w:p w:rsidR="00500724" w:rsidRDefault="00F30FB8">
                            <w:pPr>
                              <w:pStyle w:val="Zkladntext40"/>
                              <w:shd w:val="clear" w:color="auto" w:fill="auto"/>
                              <w:spacing w:after="0" w:line="168" w:lineRule="auto"/>
                              <w:ind w:firstLine="160"/>
                              <w:rPr>
                                <w:sz w:val="16"/>
                                <w:szCs w:val="16"/>
                              </w:rPr>
                            </w:pPr>
                            <w:r>
                              <w:rPr>
                                <w:b/>
                                <w:bCs/>
                                <w:sz w:val="16"/>
                                <w:szCs w:val="16"/>
                              </w:rPr>
                              <w:t>Za té situace se mohlo</w:t>
                            </w:r>
                            <w:r>
                              <w:rPr>
                                <w:b/>
                                <w:bCs/>
                                <w:sz w:val="16"/>
                                <w:szCs w:val="16"/>
                              </w:rPr>
                              <w:t xml:space="preserve"> stát všelicos. Mladík nebo dívka byli třeba bez vlastního souhlasu za</w:t>
                            </w:r>
                            <w:r>
                              <w:rPr>
                                <w:b/>
                                <w:bCs/>
                                <w:sz w:val="16"/>
                                <w:szCs w:val="16"/>
                              </w:rPr>
                              <w:softHyphen/>
                              <w:t>snoubeni s někým jiným a dívka 1</w:t>
                            </w:r>
                          </w:p>
                        </w:txbxContent>
                      </wps:txbx>
                      <wps:bodyPr lIns="0" tIns="0" rIns="0" bIns="0">
                        <a:spAutoFit/>
                      </wps:bodyPr>
                    </wps:wsp>
                  </a:graphicData>
                </a:graphic>
              </wp:anchor>
            </w:drawing>
          </mc:Choice>
          <mc:Fallback>
            <w:pict>
              <v:shape id="_x0000_s1787" type="#_x0000_t202" style="position:absolute;margin-left:156.34999999999999pt;margin-top:545.29999999999995pt;width:129.09999999999999pt;height:220.30000000000001pt;z-index:-125828615;mso-wrap-distance-left:0;mso-wrap-distance-top:0.25pt;mso-wrap-distance-right:127.2pt;mso-wrap-distance-bottom:20.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168" w:lineRule="auto"/>
                        <w:ind w:left="0" w:right="0" w:firstLine="0"/>
                        <w:rPr>
                          <w:sz w:val="16"/>
                          <w:szCs w:val="16"/>
                        </w:rPr>
                      </w:pPr>
                      <w:r>
                        <w:rPr>
                          <w:b/>
                          <w:bCs/>
                          <w:color w:val="000000"/>
                          <w:spacing w:val="0"/>
                          <w:w w:val="100"/>
                          <w:position w:val="0"/>
                          <w:sz w:val="16"/>
                          <w:szCs w:val="16"/>
                          <w:shd w:val="clear" w:color="auto" w:fill="auto"/>
                          <w:lang w:val="cs-CZ" w:eastAsia="cs-CZ" w:bidi="cs-CZ"/>
                        </w:rPr>
                        <w:t>Jindy šla navečer na lednové nebo červnové lampiónové slav</w:t>
                        <w:softHyphen/>
                        <w:t>nosti. Jindy zas hrála na stru</w:t>
                        <w:softHyphen/>
                        <w:t>nový nástroj č ‘ i n tak, aby to mladík v sousedním domě slyšel. Jindy zas poprosila učitele svého mladšího bratra, aby jí opravil básně, při čemž jí byl mladší bratr poslíčkem. Když byl učitel mladý a romantický, třeba jí ta</w:t>
                        <w:softHyphen/>
                        <w:t>ké odpověděl verši. Jindy jí zas zprostředkovala zprávy služka nebo soucitná švagrová, nebo ku</w:t>
                        <w:softHyphen/>
                        <w:t>chařova žena od vedle, nebo jep</w:t>
                        <w:softHyphen/>
                        <w:t>tiška. Když byl on i ona k sobě vábeni, bylo vždycky možno umluvit tajnou schůzku. Takové schůzky byly vždycky nesmírně chorobné; mladá dívka se neumě</w:t>
                        <w:softHyphen/>
                        <w:t>la bránit a láska, zbavená roz</w:t>
                        <w:softHyphen/>
                        <w:t>marného koketování, se jim za to vymstila, jak to zpodobují ne</w:t>
                        <w:softHyphen/>
                        <w:t>bo by aspoň rády zpodobnily všechny čínské milostné romány. Dívka třeba otěhotněla. Následo</w:t>
                        <w:softHyphen/>
                        <w:t>valo pak období vřelého stýkání a milkování, prudkého a přece jen něžného, vzácného, protože pokoutního, a zpravidla tak bla</w:t>
                        <w:softHyphen/>
                        <w:t>ženého, že dlouho nepotrvalo.</w:t>
                      </w:r>
                    </w:p>
                    <w:p>
                      <w:pPr>
                        <w:pStyle w:val="Style42"/>
                        <w:keepNext w:val="0"/>
                        <w:keepLines w:val="0"/>
                        <w:widowControl w:val="0"/>
                        <w:shd w:val="clear" w:color="auto" w:fill="auto"/>
                        <w:bidi w:val="0"/>
                        <w:spacing w:before="0" w:after="0" w:line="168" w:lineRule="auto"/>
                        <w:ind w:left="0" w:right="0" w:firstLine="160"/>
                        <w:rPr>
                          <w:sz w:val="16"/>
                          <w:szCs w:val="16"/>
                        </w:rPr>
                      </w:pPr>
                      <w:r>
                        <w:rPr>
                          <w:b/>
                          <w:bCs/>
                          <w:color w:val="000000"/>
                          <w:spacing w:val="0"/>
                          <w:w w:val="100"/>
                          <w:position w:val="0"/>
                          <w:sz w:val="16"/>
                          <w:szCs w:val="16"/>
                          <w:shd w:val="clear" w:color="auto" w:fill="auto"/>
                          <w:lang w:val="cs-CZ" w:eastAsia="cs-CZ" w:bidi="cs-CZ"/>
                        </w:rPr>
                        <w:t>Za té situace se mohlo stát všelicos. Mladík nebo dívka byli třeba bez vlastního souhlasu za</w:t>
                        <w:softHyphen/>
                        <w:t>snoubeni s někým jiným a dívka 1</w:t>
                      </w:r>
                    </w:p>
                  </w:txbxContent>
                </v:textbox>
                <w10:wrap type="square" anchorx="page" anchory="margin"/>
              </v:shape>
            </w:pict>
          </mc:Fallback>
        </mc:AlternateContent>
      </w:r>
      <w:r>
        <w:t>z dílny výtvarného kouzelníka, inspirujícího se textem knihy řa</w:t>
      </w:r>
      <w:r>
        <w:softHyphen/>
        <w:t>du ukázek ze svého atelieru. Jsou to knihy v krásných a úhledných, vkusných a originální</w:t>
      </w:r>
      <w:r>
        <w:t>ch vazbách, prozrazujících nejen ruku doko</w:t>
      </w:r>
      <w:r>
        <w:softHyphen/>
        <w:t>nalého řemeslníka, ale i vyspělý cit i obraznost čtenáře, který do</w:t>
      </w:r>
      <w:r>
        <w:softHyphen/>
        <w:t>vede obsahu díla, jeho poetické kráse nalézt rovnomocninu v bar</w:t>
      </w:r>
      <w:r>
        <w:softHyphen/>
        <w:t>vě, provedení a tvaru vazby. A tak je nám první výstava v Ka</w:t>
      </w:r>
      <w:r>
        <w:softHyphen/>
        <w:t>binetu Krásné knihy k</w:t>
      </w:r>
      <w:r>
        <w:t xml:space="preserve">rásným svědectvím viditelné spolupráce básníkovy, výtvarníkovy a knih- vazačovy, z nichž jeden každý má svůj podíl na naší radosti </w:t>
      </w:r>
      <w:r>
        <w:rPr>
          <w:sz w:val="18"/>
          <w:szCs w:val="18"/>
        </w:rPr>
        <w:t xml:space="preserve">z </w:t>
      </w:r>
      <w:r>
        <w:t>krásné knihy, z básnického díla i románu, z tvůrčího slovesného projevu, který nakonec, když pro</w:t>
      </w:r>
      <w:r>
        <w:softHyphen/>
        <w:t>šel ještě rukou básníka vý</w:t>
      </w:r>
      <w:r>
        <w:t>tvar</w:t>
      </w:r>
      <w:r>
        <w:softHyphen/>
        <w:t>ného a mistra knihvazačského nás přitahuje svým ušlechtilým a krásným vzhledem uchovávají</w:t>
      </w:r>
      <w:r>
        <w:softHyphen/>
        <w:t>cím zázrak krásy niterné, zářící ze slov, veršů a vět.</w:t>
      </w:r>
    </w:p>
    <w:p w:rsidR="00500724" w:rsidRDefault="00F30FB8">
      <w:pPr>
        <w:pStyle w:val="Zkladntext40"/>
        <w:shd w:val="clear" w:color="auto" w:fill="auto"/>
        <w:spacing w:after="0" w:line="168" w:lineRule="auto"/>
        <w:rPr>
          <w:sz w:val="16"/>
          <w:szCs w:val="16"/>
        </w:rPr>
      </w:pPr>
      <w:r>
        <w:rPr>
          <w:b/>
          <w:bCs/>
          <w:sz w:val="16"/>
          <w:szCs w:val="16"/>
        </w:rPr>
        <w:t>ci, nebo kweijuan. nebo opuš</w:t>
      </w:r>
      <w:r>
        <w:rPr>
          <w:b/>
          <w:bCs/>
          <w:sz w:val="16"/>
          <w:szCs w:val="16"/>
        </w:rPr>
        <w:softHyphen/>
        <w:t>těné manželky, čili č * i fu; obě ta témata jsou ku podivu velmi oblíbena u m</w:t>
      </w:r>
      <w:r>
        <w:rPr>
          <w:b/>
          <w:bCs/>
          <w:sz w:val="16"/>
          <w:szCs w:val="16"/>
        </w:rPr>
        <w:t>užských básníků.</w:t>
      </w:r>
    </w:p>
    <w:p w:rsidR="00500724" w:rsidRDefault="00F30FB8">
      <w:pPr>
        <w:pStyle w:val="Zkladntext40"/>
        <w:shd w:val="clear" w:color="auto" w:fill="auto"/>
        <w:spacing w:after="40" w:line="168" w:lineRule="auto"/>
        <w:ind w:firstLine="180"/>
        <w:rPr>
          <w:sz w:val="16"/>
          <w:szCs w:val="16"/>
        </w:rPr>
      </w:pPr>
      <w:r>
        <w:rPr>
          <w:b/>
          <w:bCs/>
          <w:sz w:val="16"/>
          <w:szCs w:val="16"/>
        </w:rPr>
        <w:t>Ve shodě s celkovým záporným postojem k životu jsou čínské mi</w:t>
      </w:r>
      <w:r>
        <w:rPr>
          <w:b/>
          <w:bCs/>
          <w:sz w:val="16"/>
          <w:szCs w:val="16"/>
        </w:rPr>
        <w:softHyphen/>
        <w:t xml:space="preserve">lostné písně písněmi o odloučení, odchodu, zmařených nadějích a nezkrotných touhách, nebo o dešti a soumraku a prázdné komnatě a »chladném loži*. o teskných výčitkách a záští k </w:t>
      </w:r>
      <w:r>
        <w:rPr>
          <w:b/>
          <w:bCs/>
          <w:sz w:val="16"/>
          <w:szCs w:val="16"/>
        </w:rPr>
        <w:t>mužské vrtkavosti a pohoze</w:t>
      </w:r>
      <w:r>
        <w:rPr>
          <w:b/>
          <w:bCs/>
          <w:sz w:val="16"/>
          <w:szCs w:val="16"/>
        </w:rPr>
        <w:softHyphen/>
        <w:t>ném vějíři na podzim, o zašlém jaru a opadlých květech a zvad</w:t>
      </w:r>
      <w:r>
        <w:rPr>
          <w:b/>
          <w:bCs/>
          <w:sz w:val="16"/>
          <w:szCs w:val="16"/>
        </w:rPr>
        <w:softHyphen/>
        <w:t xml:space="preserve">lé kráse, o blikavých svících a zimních nocích a hluboké zrna- látnělosti a rozlítostněnostl a kvačící smrti. Typického výrazu došla tato nálada v básni Taijii. která </w:t>
      </w:r>
      <w:r>
        <w:rPr>
          <w:b/>
          <w:bCs/>
          <w:sz w:val="16"/>
          <w:szCs w:val="16"/>
        </w:rPr>
        <w:t>napsala krátce před smrtí, když se dověděla, že se má stát ženou Paojiiovou její sestřenice, verše, památné svým nesmírným smutkem:</w:t>
      </w:r>
    </w:p>
    <w:p w:rsidR="00500724" w:rsidRDefault="00F30FB8">
      <w:pPr>
        <w:pStyle w:val="Zkladntext40"/>
        <w:shd w:val="clear" w:color="auto" w:fill="auto"/>
        <w:spacing w:after="40" w:line="180" w:lineRule="auto"/>
      </w:pPr>
      <w:r>
        <w:t>Letos zahrabávám opadlé květy. Kdopak napřesrok zahrabe mne?</w:t>
      </w:r>
    </w:p>
    <w:p w:rsidR="00500724" w:rsidRDefault="00F30FB8">
      <w:pPr>
        <w:pStyle w:val="Zkladntext40"/>
        <w:shd w:val="clear" w:color="auto" w:fill="auto"/>
        <w:spacing w:after="80" w:line="170" w:lineRule="auto"/>
        <w:ind w:firstLine="180"/>
        <w:rPr>
          <w:sz w:val="16"/>
          <w:szCs w:val="16"/>
        </w:rPr>
        <w:sectPr w:rsidR="00500724">
          <w:footnotePr>
            <w:numFmt w:val="chicago"/>
            <w:numRestart w:val="eachPage"/>
          </w:footnotePr>
          <w:type w:val="continuous"/>
          <w:pgSz w:w="11909" w:h="16834"/>
          <w:pgMar w:top="784" w:right="1081" w:bottom="539" w:left="451" w:header="0" w:footer="3" w:gutter="0"/>
          <w:cols w:num="4" w:space="100"/>
          <w:noEndnote/>
          <w:docGrid w:linePitch="360"/>
        </w:sectPr>
      </w:pPr>
      <w:r>
        <w:rPr>
          <w:b/>
          <w:bCs/>
          <w:sz w:val="16"/>
          <w:szCs w:val="16"/>
        </w:rPr>
        <w:t>Někdy má však dívka to štěstí, že</w:t>
      </w:r>
      <w:r>
        <w:rPr>
          <w:b/>
          <w:bCs/>
          <w:sz w:val="16"/>
          <w:szCs w:val="16"/>
        </w:rPr>
        <w:t xml:space="preserve"> je z ní přece jen ^přičinlivá manželka a moudrá matka*. Čín</w:t>
      </w:r>
      <w:r>
        <w:rPr>
          <w:b/>
          <w:bCs/>
          <w:sz w:val="16"/>
          <w:szCs w:val="16"/>
        </w:rPr>
        <w:softHyphen/>
        <w:t>ské drama se končívá šťastně re</w:t>
      </w:r>
      <w:r>
        <w:rPr>
          <w:b/>
          <w:bCs/>
          <w:sz w:val="16"/>
          <w:szCs w:val="16"/>
        </w:rPr>
        <w:softHyphen/>
        <w:t>frénem: »Kéž se všichni milenci světa shledají v manželství!*</w:t>
      </w:r>
    </w:p>
    <w:p w:rsidR="00500724" w:rsidRDefault="00F30FB8">
      <w:pPr>
        <w:pStyle w:val="Nadpis40"/>
        <w:keepNext/>
        <w:keepLines/>
        <w:shd w:val="clear" w:color="auto" w:fill="auto"/>
        <w:ind w:left="720"/>
        <w:rPr>
          <w:sz w:val="238"/>
          <w:szCs w:val="238"/>
        </w:rPr>
      </w:pPr>
      <w:bookmarkStart w:id="736" w:name="bookmark735"/>
      <w:r>
        <w:rPr>
          <w:sz w:val="238"/>
          <w:szCs w:val="238"/>
        </w:rPr>
        <w:t>řítomnosC</w:t>
      </w:r>
      <w:bookmarkEnd w:id="736"/>
    </w:p>
    <w:tbl>
      <w:tblPr>
        <w:tblOverlap w:val="never"/>
        <w:tblW w:w="0" w:type="auto"/>
        <w:jc w:val="center"/>
        <w:tblLayout w:type="fixed"/>
        <w:tblCellMar>
          <w:left w:w="10" w:type="dxa"/>
          <w:right w:w="10" w:type="dxa"/>
        </w:tblCellMar>
        <w:tblLook w:val="04A0" w:firstRow="1" w:lastRow="0" w:firstColumn="1" w:lastColumn="0" w:noHBand="0" w:noVBand="1"/>
      </w:tblPr>
      <w:tblGrid>
        <w:gridCol w:w="8179"/>
        <w:gridCol w:w="3163"/>
      </w:tblGrid>
      <w:tr w:rsidR="00500724">
        <w:tblPrEx>
          <w:tblCellMar>
            <w:top w:w="0" w:type="dxa"/>
            <w:bottom w:w="0" w:type="dxa"/>
          </w:tblCellMar>
        </w:tblPrEx>
        <w:trPr>
          <w:trHeight w:hRule="exact" w:val="907"/>
          <w:jc w:val="center"/>
        </w:trPr>
        <w:tc>
          <w:tcPr>
            <w:tcW w:w="0" w:type="auto"/>
            <w:tcBorders>
              <w:left w:val="single" w:sz="4" w:space="0" w:color="auto"/>
            </w:tcBorders>
            <w:shd w:val="clear" w:color="auto" w:fill="FFFFFF"/>
            <w:vAlign w:val="bottom"/>
          </w:tcPr>
          <w:p w:rsidR="00500724" w:rsidRDefault="00F30FB8">
            <w:pPr>
              <w:pStyle w:val="Jin0"/>
              <w:shd w:val="clear" w:color="auto" w:fill="auto"/>
              <w:tabs>
                <w:tab w:val="left" w:pos="3932"/>
              </w:tabs>
              <w:ind w:left="340" w:firstLine="40"/>
              <w:rPr>
                <w:sz w:val="26"/>
                <w:szCs w:val="26"/>
              </w:rPr>
            </w:pPr>
            <w:r>
              <w:rPr>
                <w:b/>
                <w:bCs/>
                <w:smallCaps/>
                <w:sz w:val="26"/>
                <w:szCs w:val="26"/>
              </w:rPr>
              <w:t>koCníkxvi.</w:t>
            </w:r>
            <w:r>
              <w:rPr>
                <w:b/>
                <w:bCs/>
                <w:sz w:val="20"/>
                <w:szCs w:val="20"/>
              </w:rPr>
              <w:tab/>
              <w:t xml:space="preserve">v </w:t>
            </w:r>
            <w:r>
              <w:rPr>
                <w:b/>
                <w:bCs/>
                <w:smallCaps/>
                <w:sz w:val="26"/>
                <w:szCs w:val="26"/>
              </w:rPr>
              <w:t>praze</w:t>
            </w:r>
            <w:r>
              <w:rPr>
                <w:b/>
                <w:bCs/>
                <w:sz w:val="26"/>
                <w:szCs w:val="26"/>
              </w:rPr>
              <w:t xml:space="preserve"> 26. </w:t>
            </w:r>
            <w:r>
              <w:rPr>
                <w:b/>
                <w:bCs/>
                <w:smallCaps/>
                <w:sz w:val="26"/>
                <w:szCs w:val="26"/>
              </w:rPr>
              <w:t>Července</w:t>
            </w:r>
            <w:r>
              <w:rPr>
                <w:b/>
                <w:bCs/>
                <w:sz w:val="26"/>
                <w:szCs w:val="26"/>
              </w:rPr>
              <w:t xml:space="preserve"> 1939</w:t>
            </w:r>
          </w:p>
        </w:tc>
        <w:tc>
          <w:tcPr>
            <w:tcW w:w="0" w:type="auto"/>
            <w:tcBorders>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b/>
                <w:bCs/>
                <w:sz w:val="20"/>
                <w:szCs w:val="20"/>
              </w:rPr>
              <w:t xml:space="preserve">ZA K </w:t>
            </w:r>
            <w:r>
              <w:rPr>
                <w:b/>
                <w:bCs/>
                <w:sz w:val="26"/>
                <w:szCs w:val="26"/>
              </w:rPr>
              <w:t>2.—</w:t>
            </w:r>
          </w:p>
        </w:tc>
      </w:tr>
      <w:tr w:rsidR="00500724">
        <w:tblPrEx>
          <w:tblCellMar>
            <w:top w:w="0" w:type="dxa"/>
            <w:bottom w:w="0" w:type="dxa"/>
          </w:tblCellMar>
        </w:tblPrEx>
        <w:trPr>
          <w:trHeight w:hRule="exact" w:val="205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40"/>
              <w:jc w:val="left"/>
              <w:rPr>
                <w:sz w:val="58"/>
                <w:szCs w:val="58"/>
              </w:rPr>
            </w:pPr>
            <w:r>
              <w:rPr>
                <w:sz w:val="58"/>
                <w:szCs w:val="58"/>
              </w:rPr>
              <w:t>Druhý dech</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b/>
                <w:bCs/>
                <w:sz w:val="26"/>
                <w:szCs w:val="26"/>
              </w:rPr>
              <w:t>F. PEROUTKA</w:t>
            </w:r>
          </w:p>
        </w:tc>
      </w:tr>
      <w:tr w:rsidR="00500724">
        <w:tblPrEx>
          <w:tblCellMar>
            <w:top w:w="0" w:type="dxa"/>
            <w:bottom w:w="0" w:type="dxa"/>
          </w:tblCellMar>
        </w:tblPrEx>
        <w:trPr>
          <w:trHeight w:hRule="exact" w:val="1162"/>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40"/>
              <w:jc w:val="left"/>
              <w:rPr>
                <w:sz w:val="58"/>
                <w:szCs w:val="58"/>
              </w:rPr>
            </w:pPr>
            <w:r>
              <w:rPr>
                <w:sz w:val="58"/>
                <w:szCs w:val="58"/>
              </w:rPr>
              <w:t xml:space="preserve">Starosti Pavla </w:t>
            </w:r>
            <w:r>
              <w:rPr>
                <w:sz w:val="58"/>
                <w:szCs w:val="58"/>
                <w:lang w:val="en-US" w:eastAsia="en-US" w:bidi="en-US"/>
              </w:rPr>
              <w:t>Grekova</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b/>
                <w:bCs/>
                <w:sz w:val="26"/>
                <w:szCs w:val="26"/>
              </w:rPr>
              <w:t>JAN ALBERT</w:t>
            </w:r>
          </w:p>
        </w:tc>
      </w:tr>
      <w:tr w:rsidR="00500724">
        <w:tblPrEx>
          <w:tblCellMar>
            <w:top w:w="0" w:type="dxa"/>
            <w:bottom w:w="0" w:type="dxa"/>
          </w:tblCellMar>
        </w:tblPrEx>
        <w:trPr>
          <w:trHeight w:hRule="exact" w:val="1219"/>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40"/>
              <w:jc w:val="left"/>
              <w:rPr>
                <w:sz w:val="58"/>
                <w:szCs w:val="58"/>
              </w:rPr>
            </w:pPr>
            <w:r>
              <w:rPr>
                <w:sz w:val="58"/>
                <w:szCs w:val="58"/>
              </w:rPr>
              <w:t>Básnictví nového Německa</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b/>
                <w:bCs/>
                <w:sz w:val="26"/>
                <w:szCs w:val="26"/>
              </w:rPr>
              <w:t xml:space="preserve">ARNOŠT </w:t>
            </w:r>
            <w:r>
              <w:rPr>
                <w:b/>
                <w:bCs/>
                <w:sz w:val="26"/>
                <w:szCs w:val="26"/>
                <w:lang w:val="en-US" w:eastAsia="en-US" w:bidi="en-US"/>
              </w:rPr>
              <w:t>HUBER</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340" w:firstLine="40"/>
              <w:jc w:val="left"/>
              <w:rPr>
                <w:sz w:val="78"/>
                <w:szCs w:val="78"/>
              </w:rPr>
            </w:pPr>
            <w:r>
              <w:rPr>
                <w:b/>
                <w:bCs/>
                <w:w w:val="60"/>
                <w:sz w:val="78"/>
                <w:szCs w:val="78"/>
              </w:rPr>
              <w:t>Češství Mánesovo a Alšovo a jiných</w:t>
            </w:r>
          </w:p>
        </w:tc>
        <w:tc>
          <w:tcPr>
            <w:tcW w:w="0" w:type="auto"/>
            <w:tcBorders>
              <w:top w:val="single" w:sz="4" w:space="0" w:color="auto"/>
              <w:right w:val="single" w:sz="4" w:space="0" w:color="auto"/>
            </w:tcBorders>
            <w:shd w:val="clear" w:color="auto" w:fill="FFFFFF"/>
            <w:vAlign w:val="bottom"/>
          </w:tcPr>
          <w:p w:rsidR="00500724" w:rsidRDefault="00F30FB8">
            <w:pPr>
              <w:pStyle w:val="Jin0"/>
              <w:shd w:val="clear" w:color="auto" w:fill="auto"/>
              <w:ind w:right="360" w:firstLine="0"/>
              <w:jc w:val="right"/>
              <w:rPr>
                <w:sz w:val="26"/>
                <w:szCs w:val="26"/>
              </w:rPr>
            </w:pPr>
            <w:r>
              <w:rPr>
                <w:b/>
                <w:bCs/>
                <w:sz w:val="26"/>
                <w:szCs w:val="26"/>
              </w:rPr>
              <w:t>MIROSLAV MICKO</w:t>
            </w:r>
          </w:p>
        </w:tc>
      </w:tr>
      <w:tr w:rsidR="00500724">
        <w:tblPrEx>
          <w:tblCellMar>
            <w:top w:w="0" w:type="dxa"/>
            <w:bottom w:w="0" w:type="dxa"/>
          </w:tblCellMar>
        </w:tblPrEx>
        <w:trPr>
          <w:trHeight w:hRule="exact" w:val="121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340" w:firstLine="40"/>
              <w:jc w:val="left"/>
              <w:rPr>
                <w:sz w:val="58"/>
                <w:szCs w:val="58"/>
              </w:rPr>
            </w:pPr>
            <w:r>
              <w:rPr>
                <w:sz w:val="58"/>
                <w:szCs w:val="58"/>
              </w:rPr>
              <w:t>Doporučování knih</w:t>
            </w:r>
          </w:p>
        </w:tc>
        <w:tc>
          <w:tcPr>
            <w:tcW w:w="0" w:type="auto"/>
            <w:tcBorders>
              <w:top w:val="single" w:sz="4" w:space="0" w:color="auto"/>
              <w:right w:val="single" w:sz="4" w:space="0" w:color="auto"/>
            </w:tcBorders>
            <w:shd w:val="clear" w:color="auto" w:fill="FFFFFF"/>
            <w:vAlign w:val="center"/>
          </w:tcPr>
          <w:p w:rsidR="00500724" w:rsidRDefault="00F30FB8">
            <w:pPr>
              <w:pStyle w:val="Jin0"/>
              <w:shd w:val="clear" w:color="auto" w:fill="auto"/>
              <w:ind w:right="360" w:firstLine="0"/>
              <w:jc w:val="right"/>
              <w:rPr>
                <w:sz w:val="26"/>
                <w:szCs w:val="26"/>
              </w:rPr>
            </w:pPr>
            <w:r>
              <w:rPr>
                <w:b/>
                <w:bCs/>
                <w:sz w:val="26"/>
                <w:szCs w:val="26"/>
              </w:rPr>
              <w:t>JOSEF PETRTYL</w:t>
            </w:r>
          </w:p>
        </w:tc>
      </w:tr>
      <w:tr w:rsidR="00500724">
        <w:tblPrEx>
          <w:tblCellMar>
            <w:top w:w="0" w:type="dxa"/>
            <w:bottom w:w="0" w:type="dxa"/>
          </w:tblCellMar>
        </w:tblPrEx>
        <w:trPr>
          <w:trHeight w:hRule="exact" w:val="120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320" w:firstLine="0"/>
              <w:jc w:val="right"/>
              <w:rPr>
                <w:sz w:val="26"/>
                <w:szCs w:val="26"/>
              </w:rPr>
            </w:pPr>
            <w:r>
              <w:rPr>
                <w:b/>
                <w:bCs/>
                <w:w w:val="60"/>
                <w:sz w:val="78"/>
                <w:szCs w:val="78"/>
              </w:rPr>
              <w:t xml:space="preserve">Poměr dnešního člověka k dějinám </w:t>
            </w:r>
            <w:r>
              <w:rPr>
                <w:b/>
                <w:bCs/>
                <w:smallCaps/>
                <w:sz w:val="26"/>
                <w:szCs w:val="26"/>
              </w:rPr>
              <w:t xml:space="preserve">bc™^ </w:t>
            </w:r>
            <w:r>
              <w:rPr>
                <w:b/>
                <w:bCs/>
                <w:smallCaps/>
                <w:sz w:val="26"/>
                <w:szCs w:val="26"/>
                <w:lang w:val="en-US" w:eastAsia="en-US" w:bidi="en-US"/>
              </w:rPr>
              <w:t>™ova</w:t>
            </w:r>
          </w:p>
        </w:tc>
      </w:tr>
      <w:tr w:rsidR="00500724">
        <w:tblPrEx>
          <w:tblCellMar>
            <w:top w:w="0" w:type="dxa"/>
            <w:bottom w:w="0" w:type="dxa"/>
          </w:tblCellMar>
        </w:tblPrEx>
        <w:trPr>
          <w:trHeight w:hRule="exact" w:val="989"/>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firstLine="0"/>
              <w:jc w:val="center"/>
              <w:rPr>
                <w:sz w:val="26"/>
                <w:szCs w:val="26"/>
              </w:rPr>
            </w:pPr>
            <w:r>
              <w:rPr>
                <w:b/>
                <w:bCs/>
                <w:sz w:val="26"/>
                <w:szCs w:val="26"/>
              </w:rPr>
              <w:t xml:space="preserve">Americká neutralita — Východní orientace Ruska — Co chce Japonsko — </w:t>
            </w:r>
            <w:r>
              <w:rPr>
                <w:b/>
                <w:bCs/>
                <w:sz w:val="26"/>
                <w:szCs w:val="26"/>
              </w:rPr>
              <w:t>»Slovák«</w:t>
            </w:r>
          </w:p>
        </w:tc>
      </w:tr>
      <w:tr w:rsidR="00500724">
        <w:tblPrEx>
          <w:tblCellMar>
            <w:top w:w="0" w:type="dxa"/>
            <w:bottom w:w="0" w:type="dxa"/>
          </w:tblCellMar>
        </w:tblPrEx>
        <w:trPr>
          <w:trHeight w:hRule="exact" w:val="1445"/>
          <w:jc w:val="center"/>
        </w:trPr>
        <w:tc>
          <w:tcPr>
            <w:tcW w:w="0" w:type="auto"/>
            <w:gridSpan w:val="2"/>
            <w:tcBorders>
              <w:left w:val="single" w:sz="4" w:space="0" w:color="auto"/>
              <w:bottom w:val="single" w:sz="4" w:space="0" w:color="auto"/>
              <w:right w:val="single" w:sz="4" w:space="0" w:color="auto"/>
            </w:tcBorders>
            <w:shd w:val="clear" w:color="auto" w:fill="FFFFFF"/>
          </w:tcPr>
          <w:p w:rsidR="00500724" w:rsidRDefault="00F30FB8">
            <w:pPr>
              <w:pStyle w:val="Jin0"/>
              <w:shd w:val="clear" w:color="auto" w:fill="auto"/>
              <w:ind w:firstLine="0"/>
              <w:jc w:val="center"/>
              <w:rPr>
                <w:sz w:val="26"/>
                <w:szCs w:val="26"/>
              </w:rPr>
            </w:pPr>
            <w:r>
              <w:rPr>
                <w:b/>
                <w:bCs/>
                <w:sz w:val="26"/>
                <w:szCs w:val="26"/>
              </w:rPr>
              <w:t>o Slovensku — Příručka českého jazyka pro německé vojáky a my</w:t>
            </w:r>
          </w:p>
        </w:tc>
      </w:tr>
    </w:tbl>
    <w:p w:rsidR="00500724" w:rsidRDefault="00500724">
      <w:pPr>
        <w:spacing w:line="14" w:lineRule="exact"/>
        <w:sectPr w:rsidR="00500724">
          <w:footnotePr>
            <w:numFmt w:val="chicago"/>
            <w:numRestart w:val="eachPage"/>
          </w:footnotePr>
          <w:pgSz w:w="11909" w:h="16834"/>
          <w:pgMar w:top="2451" w:right="377" w:bottom="370" w:left="190" w:header="0" w:footer="3" w:gutter="0"/>
          <w:cols w:space="720"/>
          <w:noEndnote/>
          <w:docGrid w:linePitch="360"/>
        </w:sectPr>
      </w:pPr>
    </w:p>
    <w:p w:rsidR="00500724" w:rsidRDefault="00F30FB8">
      <w:pPr>
        <w:spacing w:line="14" w:lineRule="exact"/>
      </w:pPr>
      <w:r>
        <w:rPr>
          <w:noProof/>
        </w:rPr>
        <mc:AlternateContent>
          <mc:Choice Requires="wps">
            <w:drawing>
              <wp:anchor distT="6350" distB="48895" distL="114300" distR="669290" simplePos="0" relativeHeight="125830140" behindDoc="0" locked="0" layoutInCell="1" allowOverlap="1">
                <wp:simplePos x="0" y="0"/>
                <wp:positionH relativeFrom="page">
                  <wp:posOffset>1096010</wp:posOffset>
                </wp:positionH>
                <wp:positionV relativeFrom="paragraph">
                  <wp:posOffset>19050</wp:posOffset>
                </wp:positionV>
                <wp:extent cx="1325880" cy="201295"/>
                <wp:effectExtent l="0" t="0" r="0" b="0"/>
                <wp:wrapTopAndBottom/>
                <wp:docPr id="763" name="Shape 763"/>
                <wp:cNvGraphicFramePr/>
                <a:graphic xmlns:a="http://schemas.openxmlformats.org/drawingml/2006/main">
                  <a:graphicData uri="http://schemas.microsoft.com/office/word/2010/wordprocessingShape">
                    <wps:wsp>
                      <wps:cNvSpPr txBox="1"/>
                      <wps:spPr>
                        <a:xfrm>
                          <a:off x="0" y="0"/>
                          <a:ext cx="1325880" cy="201295"/>
                        </a:xfrm>
                        <a:prstGeom prst="rect">
                          <a:avLst/>
                        </a:prstGeom>
                        <a:solidFill>
                          <a:srgbClr val="565B52"/>
                        </a:solidFill>
                      </wps:spPr>
                      <wps:txbx>
                        <w:txbxContent>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line="240" w:lineRule="auto"/>
                            </w:pPr>
                            <w:r>
                              <w:rPr>
                                <w:color w:val="FFFFFF"/>
                              </w:rPr>
                              <w:t>ODBORNÍ LEKARl</w:t>
                            </w:r>
                          </w:p>
                        </w:txbxContent>
                      </wps:txbx>
                      <wps:bodyPr lIns="0" tIns="0" rIns="0" bIns="0">
                        <a:spAutoFit/>
                      </wps:bodyPr>
                    </wps:wsp>
                  </a:graphicData>
                </a:graphic>
              </wp:anchor>
            </w:drawing>
          </mc:Choice>
          <mc:Fallback>
            <w:pict>
              <v:shape id="_x0000_s1789" type="#_x0000_t202" style="position:absolute;margin-left:86.299999999999997pt;margin-top:1.5pt;width:104.40000000000001pt;height:15.85pt;z-index:-125828613;mso-wrap-distance-left:9.pt;mso-wrap-distance-top:0.5pt;mso-wrap-distance-right:52.700000000000003pt;mso-wrap-distance-bottom:3.8500000000000001pt;mso-position-horizontal-relative:page" fillcolor="#565B52" stroked="f">
                <v:textbox style="mso-fit-shape-to-text:t" inset="0,0,0,0">
                  <w:txbxContent>
                    <w:p>
                      <w:pPr>
                        <w:pStyle w:val="Style150"/>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r>
                        <w:rPr>
                          <w:color w:val="FFFFFF"/>
                          <w:spacing w:val="0"/>
                          <w:w w:val="100"/>
                          <w:position w:val="0"/>
                          <w:sz w:val="22"/>
                          <w:szCs w:val="22"/>
                          <w:shd w:val="clear" w:color="auto" w:fill="auto"/>
                          <w:lang w:val="cs-CZ" w:eastAsia="cs-CZ" w:bidi="cs-CZ"/>
                        </w:rPr>
                        <w:t>ODBORNÍ LEKARl</w:t>
                      </w:r>
                    </w:p>
                  </w:txbxContent>
                </v:textbox>
                <w10:wrap type="topAndBottom" anchorx="page"/>
              </v:shape>
            </w:pict>
          </mc:Fallback>
        </mc:AlternateContent>
      </w:r>
      <w:r>
        <w:rPr>
          <w:noProof/>
        </w:rPr>
        <mc:AlternateContent>
          <mc:Choice Requires="wps">
            <w:drawing>
              <wp:anchor distT="215900" distB="0" distL="76200" distR="76200" simplePos="0" relativeHeight="125830142" behindDoc="0" locked="0" layoutInCell="1" allowOverlap="1">
                <wp:simplePos x="0" y="0"/>
                <wp:positionH relativeFrom="page">
                  <wp:posOffset>6094730</wp:posOffset>
                </wp:positionH>
                <wp:positionV relativeFrom="paragraph">
                  <wp:posOffset>426720</wp:posOffset>
                </wp:positionV>
                <wp:extent cx="676910" cy="210185"/>
                <wp:effectExtent l="0" t="0" r="0" b="0"/>
                <wp:wrapSquare wrapText="left"/>
                <wp:docPr id="765" name="Shape 765"/>
                <wp:cNvGraphicFramePr/>
                <a:graphic xmlns:a="http://schemas.openxmlformats.org/drawingml/2006/main">
                  <a:graphicData uri="http://schemas.microsoft.com/office/word/2010/wordprocessingShape">
                    <wps:wsp>
                      <wps:cNvSpPr txBox="1"/>
                      <wps:spPr>
                        <a:xfrm>
                          <a:off x="0" y="0"/>
                          <a:ext cx="676910" cy="210185"/>
                        </a:xfrm>
                        <a:prstGeom prst="rect">
                          <a:avLst/>
                        </a:prstGeom>
                        <a:noFill/>
                      </wps:spPr>
                      <wps:txbx>
                        <w:txbxContent>
                          <w:p w:rsidR="00500724" w:rsidRDefault="00F30FB8">
                            <w:pPr>
                              <w:pStyle w:val="Zkladntext80"/>
                              <w:shd w:val="clear" w:color="auto" w:fill="auto"/>
                              <w:spacing w:line="240" w:lineRule="auto"/>
                              <w:rPr>
                                <w:sz w:val="24"/>
                                <w:szCs w:val="24"/>
                              </w:rPr>
                            </w:pPr>
                            <w:r>
                              <w:rPr>
                                <w:w w:val="70"/>
                                <w:sz w:val="24"/>
                                <w:szCs w:val="24"/>
                              </w:rPr>
                              <w:t>u Jaroměře</w:t>
                            </w:r>
                          </w:p>
                        </w:txbxContent>
                      </wps:txbx>
                      <wps:bodyPr lIns="0" tIns="0" rIns="0" bIns="0">
                        <a:spAutoFit/>
                      </wps:bodyPr>
                    </wps:wsp>
                  </a:graphicData>
                </a:graphic>
              </wp:anchor>
            </w:drawing>
          </mc:Choice>
          <mc:Fallback>
            <w:pict>
              <v:shape id="_x0000_s1791" type="#_x0000_t202" style="position:absolute;margin-left:479.89999999999998pt;margin-top:33.600000000000001pt;width:53.299999999999997pt;height:16.550000000000001pt;z-index:-125828611;mso-wrap-distance-left:6.pt;mso-wrap-distance-top:17.pt;mso-wrap-distance-right:6.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70"/>
                          <w:position w:val="0"/>
                          <w:sz w:val="24"/>
                          <w:szCs w:val="24"/>
                          <w:shd w:val="clear" w:color="auto" w:fill="auto"/>
                          <w:lang w:val="cs-CZ" w:eastAsia="cs-CZ" w:bidi="cs-CZ"/>
                        </w:rPr>
                        <w:t>u Jaroměře</w:t>
                      </w:r>
                    </w:p>
                  </w:txbxContent>
                </v:textbox>
                <w10:wrap type="square" side="left" anchorx="page"/>
              </v:shape>
            </w:pict>
          </mc:Fallback>
        </mc:AlternateContent>
      </w:r>
    </w:p>
    <w:p w:rsidR="00500724" w:rsidRDefault="00F30FB8">
      <w:pPr>
        <w:pStyle w:val="Nadpis110"/>
        <w:shd w:val="clear" w:color="auto" w:fill="auto"/>
        <w:jc w:val="both"/>
      </w:pPr>
      <w:bookmarkStart w:id="737" w:name="bookmark736"/>
      <w:r>
        <w:t>MUDr. ZDEŇKA NEDVĚDOVÁ-NEJEDLÁ</w:t>
      </w:r>
      <w:bookmarkEnd w:id="737"/>
    </w:p>
    <w:p w:rsidR="00500724" w:rsidRDefault="00F30FB8">
      <w:pPr>
        <w:pStyle w:val="Zkladntext100"/>
        <w:shd w:val="clear" w:color="auto" w:fill="auto"/>
        <w:spacing w:after="120" w:line="228" w:lineRule="auto"/>
        <w:ind w:firstLine="0"/>
      </w:pPr>
      <w:r>
        <w:t xml:space="preserve">odb. dětská lékařka. PODOLÍ, PANKRÁCKÁ 14 (stanice elektr. </w:t>
      </w:r>
      <w:r>
        <w:rPr>
          <w:u w:val="single"/>
        </w:rPr>
        <w:t>dráhy za Podol, sanatoriem). Ord.</w:t>
      </w:r>
      <w:r>
        <w:rPr>
          <w:u w:val="single"/>
        </w:rPr>
        <w:t xml:space="preserve"> 9—10 a 2—4. Tel. 441-77.</w:t>
      </w:r>
    </w:p>
    <w:p w:rsidR="00500724" w:rsidRDefault="00F30FB8">
      <w:pPr>
        <w:pStyle w:val="Zkladntext100"/>
        <w:shd w:val="clear" w:color="auto" w:fill="auto"/>
        <w:spacing w:line="190"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tabs>
          <w:tab w:val="left" w:leader="underscore" w:pos="4632"/>
        </w:tabs>
        <w:spacing w:line="228" w:lineRule="auto"/>
        <w:ind w:firstLine="0"/>
      </w:pPr>
      <w:r>
        <w:t>ord. 3—4 (a podle úmluvy). Telefon 393-79. PRAHA H.. VO</w:t>
      </w:r>
      <w:r>
        <w:softHyphen/>
      </w:r>
      <w:r>
        <w:rPr>
          <w:u w:val="single"/>
        </w:rPr>
        <w:t xml:space="preserve">DIČKOVA ÍS. (Hlávkův palác.) </w:t>
      </w:r>
      <w:r>
        <w:rPr>
          <w:u w:val="single"/>
        </w:rPr>
        <w:tab/>
      </w:r>
    </w:p>
    <w:p w:rsidR="00500724" w:rsidRDefault="00F30FB8">
      <w:pPr>
        <w:pStyle w:val="Nadpis110"/>
        <w:shd w:val="clear" w:color="auto" w:fill="auto"/>
        <w:jc w:val="both"/>
      </w:pPr>
      <w:bookmarkStart w:id="738" w:name="bookmark737"/>
      <w:r>
        <w:t>MUDr. ANTONÍN NEUMANN</w:t>
      </w:r>
      <w:bookmarkEnd w:id="738"/>
    </w:p>
    <w:p w:rsidR="00500724" w:rsidRDefault="00F30FB8">
      <w:pPr>
        <w:pStyle w:val="Zkladntext40"/>
        <w:shd w:val="clear" w:color="auto" w:fill="auto"/>
        <w:spacing w:after="120" w:line="216" w:lineRule="auto"/>
        <w:ind w:firstLine="700"/>
      </w:pPr>
      <w:r>
        <w:t xml:space="preserve">odborný lékař nemoci pohlavních, kožních a kosmetiky PraJha DL, Na Zbořenci 24 — třetí dům od Karlova náměstí. </w:t>
      </w:r>
      <w:r>
        <w:rPr>
          <w:u w:val="single"/>
        </w:rPr>
        <w:t xml:space="preserve">Ordinuje celý den. </w:t>
      </w:r>
      <w:r>
        <w:rPr>
          <w:b/>
          <w:bCs/>
          <w:sz w:val="16"/>
          <w:szCs w:val="16"/>
          <w:u w:val="single"/>
        </w:rPr>
        <w:t xml:space="preserve">V </w:t>
      </w:r>
      <w:r>
        <w:rPr>
          <w:u w:val="single"/>
        </w:rPr>
        <w:t>neděli a ve svátek dopoledne. Tel. 41.728.</w:t>
      </w:r>
    </w:p>
    <w:p w:rsidR="00500724" w:rsidRDefault="00F30FB8">
      <w:pPr>
        <w:pStyle w:val="Zkladntext100"/>
        <w:shd w:val="clear" w:color="auto" w:fill="auto"/>
        <w:spacing w:after="160" w:line="221" w:lineRule="auto"/>
        <w:ind w:firstLine="0"/>
      </w:pPr>
      <w:r>
        <w:rPr>
          <w:rFonts w:ascii="Arial" w:eastAsia="Arial" w:hAnsi="Arial" w:cs="Arial"/>
          <w:b/>
          <w:bCs/>
          <w:sz w:val="22"/>
          <w:szCs w:val="22"/>
        </w:rPr>
        <w:t xml:space="preserve">MUDr. STANISLAV TUMPACH </w:t>
      </w:r>
      <w:r>
        <w:t xml:space="preserve">odborný lékař pro chirurgii a urologii. PRAHA XIL, </w:t>
      </w:r>
      <w:r>
        <w:t>Fochova 84 (Nám. krále Jiřího). Ord. 15—17. TeL 512-86, byt: 513-38.</w:t>
      </w:r>
    </w:p>
    <w:p w:rsidR="00500724" w:rsidRDefault="00F30FB8">
      <w:pPr>
        <w:pStyle w:val="Zkladntext50"/>
        <w:shd w:val="clear" w:color="auto" w:fill="auto"/>
        <w:spacing w:after="0" w:line="240" w:lineRule="auto"/>
        <w:ind w:left="0"/>
        <w:jc w:val="center"/>
        <w:rPr>
          <w:sz w:val="16"/>
          <w:szCs w:val="16"/>
        </w:rPr>
      </w:pPr>
      <w:r>
        <w:rPr>
          <w:b/>
          <w:bCs/>
          <w:sz w:val="16"/>
          <w:szCs w:val="16"/>
        </w:rPr>
        <w:t>MOST</w:t>
      </w:r>
    </w:p>
    <w:p w:rsidR="00500724" w:rsidRDefault="00F30FB8">
      <w:pPr>
        <w:pStyle w:val="Zkladntext40"/>
        <w:shd w:val="clear" w:color="auto" w:fill="auto"/>
        <w:spacing w:after="0" w:line="199" w:lineRule="auto"/>
        <w:jc w:val="center"/>
      </w:pPr>
      <w:r>
        <w:t>30 K, váz. 42 K</w:t>
      </w:r>
    </w:p>
    <w:p w:rsidR="00500724" w:rsidRDefault="00F30FB8">
      <w:pPr>
        <w:pStyle w:val="Zkladntext50"/>
        <w:shd w:val="clear" w:color="auto" w:fill="auto"/>
        <w:spacing w:after="0" w:line="214" w:lineRule="auto"/>
        <w:ind w:left="0"/>
        <w:jc w:val="center"/>
        <w:rPr>
          <w:sz w:val="16"/>
          <w:szCs w:val="16"/>
        </w:rPr>
      </w:pPr>
      <w:r>
        <w:rPr>
          <w:b/>
          <w:bCs/>
          <w:sz w:val="16"/>
          <w:szCs w:val="16"/>
        </w:rPr>
        <w:t>BÁSNĚ NOCI</w:t>
      </w:r>
    </w:p>
    <w:p w:rsidR="00500724" w:rsidRDefault="00F30FB8">
      <w:pPr>
        <w:pStyle w:val="Zkladntext40"/>
        <w:shd w:val="clear" w:color="auto" w:fill="auto"/>
        <w:spacing w:after="0" w:line="228" w:lineRule="auto"/>
        <w:jc w:val="center"/>
      </w:pPr>
      <w:r>
        <w:t>25 K, váz. 37 K</w:t>
      </w:r>
    </w:p>
    <w:p w:rsidR="00500724" w:rsidRDefault="00F30FB8">
      <w:pPr>
        <w:pStyle w:val="Zkladntext50"/>
        <w:shd w:val="clear" w:color="auto" w:fill="auto"/>
        <w:spacing w:after="0" w:line="240" w:lineRule="auto"/>
        <w:ind w:left="0"/>
        <w:jc w:val="center"/>
        <w:rPr>
          <w:sz w:val="16"/>
          <w:szCs w:val="16"/>
        </w:rPr>
      </w:pPr>
      <w:r>
        <w:rPr>
          <w:b/>
          <w:bCs/>
          <w:sz w:val="16"/>
          <w:szCs w:val="16"/>
        </w:rPr>
        <w:t>PANTOMIMA</w:t>
      </w:r>
    </w:p>
    <w:p w:rsidR="00500724" w:rsidRDefault="00F30FB8">
      <w:pPr>
        <w:pStyle w:val="Zkladntext40"/>
        <w:shd w:val="clear" w:color="auto" w:fill="auto"/>
        <w:spacing w:after="0" w:line="199" w:lineRule="auto"/>
        <w:jc w:val="center"/>
      </w:pPr>
      <w:r>
        <w:t>40 K, váz. 52 K</w:t>
      </w:r>
    </w:p>
    <w:p w:rsidR="00500724" w:rsidRDefault="00F30FB8">
      <w:pPr>
        <w:pStyle w:val="Zkladntext50"/>
        <w:shd w:val="clear" w:color="auto" w:fill="auto"/>
        <w:spacing w:after="0" w:line="214" w:lineRule="auto"/>
        <w:ind w:left="0"/>
        <w:jc w:val="center"/>
        <w:rPr>
          <w:sz w:val="16"/>
          <w:szCs w:val="16"/>
        </w:rPr>
      </w:pPr>
      <w:r>
        <w:rPr>
          <w:b/>
          <w:bCs/>
          <w:sz w:val="16"/>
          <w:szCs w:val="16"/>
        </w:rPr>
        <w:t>MATKA NADĚJE</w:t>
      </w:r>
    </w:p>
    <w:p w:rsidR="00500724" w:rsidRDefault="00F30FB8">
      <w:pPr>
        <w:pStyle w:val="Zkladntext40"/>
        <w:shd w:val="clear" w:color="auto" w:fill="auto"/>
        <w:spacing w:after="0" w:line="228" w:lineRule="auto"/>
        <w:jc w:val="center"/>
      </w:pPr>
      <w:r>
        <w:t>40 K, váz. 52 K</w:t>
      </w:r>
    </w:p>
    <w:p w:rsidR="00500724" w:rsidRDefault="00F30FB8">
      <w:pPr>
        <w:pStyle w:val="Zkladntext50"/>
        <w:shd w:val="clear" w:color="auto" w:fill="auto"/>
        <w:spacing w:after="0" w:line="214" w:lineRule="auto"/>
        <w:ind w:left="0"/>
        <w:jc w:val="center"/>
        <w:rPr>
          <w:sz w:val="20"/>
          <w:szCs w:val="20"/>
        </w:rPr>
      </w:pPr>
      <w:r>
        <w:rPr>
          <w:b/>
          <w:bCs/>
          <w:sz w:val="16"/>
          <w:szCs w:val="16"/>
        </w:rPr>
        <w:t xml:space="preserve">ZPÁTEČNÍ </w:t>
      </w:r>
      <w:r>
        <w:rPr>
          <w:b/>
          <w:bCs/>
          <w:smallCaps/>
          <w:sz w:val="20"/>
          <w:szCs w:val="20"/>
        </w:rPr>
        <w:t>lístek</w:t>
      </w:r>
    </w:p>
    <w:p w:rsidR="00500724" w:rsidRDefault="00F30FB8">
      <w:pPr>
        <w:pStyle w:val="Zkladntext40"/>
        <w:shd w:val="clear" w:color="auto" w:fill="auto"/>
        <w:spacing w:after="0" w:line="228" w:lineRule="auto"/>
        <w:jc w:val="center"/>
      </w:pPr>
      <w:r>
        <w:t>40 K, váz. 52 K</w:t>
      </w:r>
    </w:p>
    <w:p w:rsidR="00500724" w:rsidRDefault="00F30FB8">
      <w:pPr>
        <w:pStyle w:val="Zkladntext50"/>
        <w:shd w:val="clear" w:color="auto" w:fill="auto"/>
        <w:spacing w:after="0" w:line="240" w:lineRule="auto"/>
        <w:ind w:left="0"/>
        <w:jc w:val="center"/>
        <w:rPr>
          <w:sz w:val="20"/>
          <w:szCs w:val="20"/>
        </w:rPr>
      </w:pPr>
      <w:r>
        <w:rPr>
          <w:b/>
          <w:bCs/>
          <w:sz w:val="16"/>
          <w:szCs w:val="16"/>
        </w:rPr>
        <w:t xml:space="preserve">SKLENĚNÝ </w:t>
      </w:r>
      <w:r>
        <w:rPr>
          <w:b/>
          <w:bCs/>
          <w:smallCaps/>
          <w:sz w:val="20"/>
          <w:szCs w:val="20"/>
        </w:rPr>
        <w:t>havelok</w:t>
      </w:r>
    </w:p>
    <w:p w:rsidR="00500724" w:rsidRDefault="00F30FB8">
      <w:pPr>
        <w:pStyle w:val="Zkladntext40"/>
        <w:shd w:val="clear" w:color="auto" w:fill="auto"/>
        <w:spacing w:after="0" w:line="228" w:lineRule="auto"/>
        <w:jc w:val="center"/>
      </w:pPr>
      <w:r>
        <w:t>40 K, váz. 52 K</w:t>
      </w:r>
    </w:p>
    <w:p w:rsidR="00500724" w:rsidRDefault="00F30FB8">
      <w:pPr>
        <w:pStyle w:val="Zkladntext50"/>
        <w:shd w:val="clear" w:color="auto" w:fill="auto"/>
        <w:spacing w:after="0" w:line="214" w:lineRule="auto"/>
        <w:ind w:left="0"/>
        <w:jc w:val="center"/>
        <w:rPr>
          <w:sz w:val="16"/>
          <w:szCs w:val="16"/>
        </w:rPr>
      </w:pPr>
      <w:r>
        <w:rPr>
          <w:b/>
          <w:bCs/>
          <w:sz w:val="16"/>
          <w:szCs w:val="16"/>
        </w:rPr>
        <w:t>SBOHEM A ŠATEČEK</w:t>
      </w:r>
    </w:p>
    <w:p w:rsidR="00500724" w:rsidRDefault="00F30FB8">
      <w:pPr>
        <w:pStyle w:val="Zkladntext40"/>
        <w:shd w:val="clear" w:color="auto" w:fill="auto"/>
        <w:spacing w:after="0" w:line="228" w:lineRule="auto"/>
        <w:jc w:val="center"/>
      </w:pPr>
      <w:r>
        <w:t>38</w:t>
      </w:r>
      <w:r>
        <w:t xml:space="preserve"> K, váz. 50 K</w:t>
      </w:r>
    </w:p>
    <w:p w:rsidR="00500724" w:rsidRDefault="00F30FB8">
      <w:pPr>
        <w:pStyle w:val="Zkladntext50"/>
        <w:shd w:val="clear" w:color="auto" w:fill="auto"/>
        <w:spacing w:after="0" w:line="240" w:lineRule="auto"/>
        <w:ind w:left="0"/>
        <w:jc w:val="center"/>
        <w:rPr>
          <w:sz w:val="16"/>
          <w:szCs w:val="16"/>
        </w:rPr>
      </w:pPr>
      <w:r>
        <w:rPr>
          <w:b/>
          <w:bCs/>
          <w:sz w:val="16"/>
          <w:szCs w:val="16"/>
        </w:rPr>
        <w:t>ABSOLUTNÍ HROBAŘ</w:t>
      </w:r>
    </w:p>
    <w:p w:rsidR="00500724" w:rsidRDefault="00F30FB8">
      <w:pPr>
        <w:pStyle w:val="Zkladntext40"/>
        <w:shd w:val="clear" w:color="auto" w:fill="auto"/>
        <w:spacing w:after="0" w:line="199" w:lineRule="auto"/>
        <w:jc w:val="center"/>
      </w:pPr>
      <w:r>
        <w:t>40 K, váz. 52 K</w:t>
      </w:r>
    </w:p>
    <w:p w:rsidR="00500724" w:rsidRDefault="00F30FB8">
      <w:pPr>
        <w:pStyle w:val="Zkladntext50"/>
        <w:shd w:val="clear" w:color="auto" w:fill="auto"/>
        <w:spacing w:after="0" w:line="214" w:lineRule="auto"/>
        <w:ind w:left="0"/>
        <w:jc w:val="center"/>
        <w:rPr>
          <w:sz w:val="16"/>
          <w:szCs w:val="16"/>
        </w:rPr>
      </w:pPr>
      <w:r>
        <w:rPr>
          <w:b/>
          <w:bCs/>
          <w:sz w:val="16"/>
          <w:szCs w:val="16"/>
        </w:rPr>
        <w:t>PRAHA S PRSTY DEŠTĚ</w:t>
      </w:r>
    </w:p>
    <w:p w:rsidR="00500724" w:rsidRDefault="00F30FB8">
      <w:pPr>
        <w:pStyle w:val="Zkladntext40"/>
        <w:shd w:val="clear" w:color="auto" w:fill="auto"/>
        <w:spacing w:after="0" w:line="228" w:lineRule="auto"/>
        <w:jc w:val="center"/>
      </w:pPr>
      <w:r>
        <w:t>40 K, váz. 52 K</w:t>
      </w:r>
    </w:p>
    <w:p w:rsidR="00500724" w:rsidRDefault="00F30FB8">
      <w:pPr>
        <w:pStyle w:val="Zkladntext50"/>
        <w:shd w:val="clear" w:color="auto" w:fill="auto"/>
        <w:spacing w:after="0" w:line="240" w:lineRule="auto"/>
        <w:ind w:left="0"/>
        <w:jc w:val="center"/>
        <w:rPr>
          <w:sz w:val="16"/>
          <w:szCs w:val="16"/>
        </w:rPr>
      </w:pPr>
      <w:r>
        <w:rPr>
          <w:b/>
          <w:bCs/>
          <w:sz w:val="16"/>
          <w:szCs w:val="16"/>
        </w:rPr>
        <w:t>ŽENA V MNOŽNÉM ČÍSLE</w:t>
      </w:r>
    </w:p>
    <w:p w:rsidR="00500724" w:rsidRDefault="00F30FB8">
      <w:pPr>
        <w:pStyle w:val="Zkladntext40"/>
        <w:shd w:val="clear" w:color="auto" w:fill="auto"/>
        <w:spacing w:after="100" w:line="199" w:lineRule="auto"/>
        <w:jc w:val="center"/>
      </w:pPr>
      <w:r>
        <w:t>40 K, váz. 52 K</w:t>
      </w:r>
    </w:p>
    <w:p w:rsidR="00500724" w:rsidRDefault="00F30FB8">
      <w:pPr>
        <w:pStyle w:val="Zkladntext50"/>
        <w:shd w:val="clear" w:color="auto" w:fill="auto"/>
        <w:spacing w:after="0" w:line="202" w:lineRule="auto"/>
        <w:ind w:left="0"/>
        <w:jc w:val="center"/>
        <w:rPr>
          <w:sz w:val="16"/>
          <w:szCs w:val="16"/>
        </w:rPr>
      </w:pPr>
      <w:r>
        <w:t xml:space="preserve">Dodá každý knihkupec. </w:t>
      </w:r>
      <w:r>
        <w:rPr>
          <w:b/>
          <w:bCs/>
          <w:sz w:val="16"/>
          <w:szCs w:val="16"/>
        </w:rPr>
        <w:t>FR. BOROVÝ</w:t>
      </w:r>
    </w:p>
    <w:p w:rsidR="00500724" w:rsidRDefault="00F30FB8">
      <w:pPr>
        <w:pStyle w:val="Zkladntext50"/>
        <w:shd w:val="clear" w:color="auto" w:fill="auto"/>
        <w:tabs>
          <w:tab w:val="left" w:leader="underscore" w:pos="2286"/>
          <w:tab w:val="left" w:leader="underscore" w:pos="3725"/>
        </w:tabs>
        <w:spacing w:after="0" w:line="240" w:lineRule="auto"/>
        <w:ind w:left="1220"/>
      </w:pPr>
      <w:r>
        <w:rPr>
          <w:color w:val="FFFFFF"/>
          <w:sz w:val="15"/>
          <w:szCs w:val="15"/>
        </w:rPr>
        <w:t>|L</w:t>
      </w:r>
      <w:r>
        <w:rPr>
          <w:color w:val="EBEBEB"/>
          <w:sz w:val="15"/>
          <w:szCs w:val="15"/>
        </w:rPr>
        <w:tab/>
      </w:r>
      <w:r>
        <w:rPr>
          <w:color w:val="FFFFFF"/>
        </w:rPr>
        <w:t>KftSiKK</w:t>
      </w:r>
      <w:r>
        <w:rPr>
          <w:color w:val="FFFFFF"/>
        </w:rPr>
        <w:tab/>
      </w:r>
    </w:p>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spacing w:after="160" w:line="180" w:lineRule="auto"/>
        <w:ind w:firstLine="0"/>
        <w:jc w:val="left"/>
        <w:rPr>
          <w:sz w:val="36"/>
          <w:szCs w:val="36"/>
        </w:rPr>
      </w:pPr>
      <w:r>
        <w:rPr>
          <w:rFonts w:ascii="Arial" w:eastAsia="Arial" w:hAnsi="Arial" w:cs="Arial"/>
          <w:color w:val="FFFFFF"/>
          <w:sz w:val="32"/>
          <w:szCs w:val="32"/>
        </w:rPr>
        <w:t xml:space="preserve">LUZNÉ </w:t>
      </w:r>
      <w:r>
        <w:rPr>
          <w:b/>
          <w:bCs/>
          <w:color w:val="FFFFFF"/>
          <w:sz w:val="36"/>
          <w:szCs w:val="36"/>
        </w:rPr>
        <w:t>VELICHOVKY</w:t>
      </w:r>
    </w:p>
    <w:p w:rsidR="00500724" w:rsidRDefault="00F30FB8">
      <w:pPr>
        <w:pStyle w:val="Nadpis120"/>
        <w:shd w:val="clear" w:color="auto" w:fill="auto"/>
        <w:spacing w:after="440"/>
        <w:ind w:left="420" w:firstLine="20"/>
        <w:jc w:val="both"/>
      </w:pPr>
      <w:bookmarkStart w:id="739" w:name="bookmark738"/>
      <w:r>
        <w:t xml:space="preserve">poskytují komfort velkých lázní za mírné ceny. S úspěchem léčí: revijia, </w:t>
      </w:r>
      <w:r>
        <w:t>dnu, ischias, nervosu, ženské choroby.</w:t>
      </w:r>
      <w:bookmarkEnd w:id="739"/>
    </w:p>
    <w:p w:rsidR="00500724" w:rsidRDefault="00F30FB8">
      <w:pPr>
        <w:pStyle w:val="Zkladntext100"/>
        <w:shd w:val="clear" w:color="auto" w:fill="auto"/>
        <w:spacing w:line="194" w:lineRule="auto"/>
        <w:ind w:left="420" w:right="220" w:hanging="220"/>
      </w:pPr>
      <w:r>
        <w:t>HALLIBURTON R.. Nádherné dobrodružství. Po stopách Odysseovýeh. 21X13 cm, 267 str.,</w:t>
      </w:r>
    </w:p>
    <w:p w:rsidR="00500724" w:rsidRDefault="00F30FB8">
      <w:pPr>
        <w:pStyle w:val="Zkladntext100"/>
        <w:shd w:val="clear" w:color="auto" w:fill="auto"/>
        <w:spacing w:after="80" w:line="194" w:lineRule="auto"/>
        <w:ind w:right="220" w:firstLine="0"/>
        <w:jc w:val="right"/>
      </w:pPr>
      <w:r>
        <w:t>brož. K 33.—. váz. K 43.—</w:t>
      </w:r>
    </w:p>
    <w:p w:rsidR="00500724" w:rsidRDefault="00F30FB8">
      <w:pPr>
        <w:pStyle w:val="Zkladntext40"/>
        <w:shd w:val="clear" w:color="auto" w:fill="auto"/>
        <w:tabs>
          <w:tab w:val="left" w:pos="3725"/>
        </w:tabs>
        <w:spacing w:after="80" w:line="223" w:lineRule="auto"/>
        <w:ind w:left="420" w:right="220" w:hanging="220"/>
        <w:rPr>
          <w:sz w:val="18"/>
          <w:szCs w:val="18"/>
        </w:rPr>
      </w:pPr>
      <w:r>
        <w:t xml:space="preserve">KOCOUREK Franta: </w:t>
      </w:r>
      <w:r>
        <w:rPr>
          <w:b/>
          <w:bCs/>
          <w:sz w:val="16"/>
          <w:szCs w:val="16"/>
        </w:rPr>
        <w:t xml:space="preserve">O </w:t>
      </w:r>
      <w:r>
        <w:t xml:space="preserve">slávě živého slova. — Zdravice Moravě. — Jaro 1939. Tři rozhlasové projevy. 22X16 </w:t>
      </w:r>
      <w:r>
        <w:rPr>
          <w:sz w:val="18"/>
          <w:szCs w:val="18"/>
        </w:rPr>
        <w:t>cm, 44</w:t>
      </w:r>
      <w:r>
        <w:rPr>
          <w:sz w:val="18"/>
          <w:szCs w:val="18"/>
        </w:rPr>
        <w:t xml:space="preserve"> str.,</w:t>
      </w:r>
      <w:r>
        <w:rPr>
          <w:sz w:val="18"/>
          <w:szCs w:val="18"/>
        </w:rPr>
        <w:tab/>
        <w:t>brož. K 10.—</w:t>
      </w:r>
    </w:p>
    <w:p w:rsidR="00500724" w:rsidRDefault="00F30FB8">
      <w:pPr>
        <w:pStyle w:val="Zkladntext100"/>
        <w:shd w:val="clear" w:color="auto" w:fill="auto"/>
        <w:spacing w:line="187" w:lineRule="auto"/>
        <w:ind w:left="420" w:right="220" w:hanging="220"/>
      </w:pPr>
      <w:r>
        <w:t>MERTL-KLIMECKÝ-HLAVATÝ-SCHNEIDER-KREJCI. Dneš</w:t>
      </w:r>
      <w:r>
        <w:softHyphen/>
        <w:t>ní Německo. Poměr strany a státu, hospodářství Říše. podnikatel v dnešním Německu atd. 21X14 cm, 319 str..</w:t>
      </w:r>
    </w:p>
    <w:p w:rsidR="00500724" w:rsidRDefault="00F30FB8">
      <w:pPr>
        <w:pStyle w:val="Zkladntext100"/>
        <w:shd w:val="clear" w:color="auto" w:fill="auto"/>
        <w:spacing w:after="240" w:line="187" w:lineRule="auto"/>
        <w:ind w:right="220" w:firstLine="0"/>
        <w:jc w:val="right"/>
      </w:pPr>
      <w:r>
        <w:t>brož. K 40.—. váz. K 50.—</w:t>
      </w:r>
    </w:p>
    <w:p w:rsidR="00500724" w:rsidRDefault="00F30FB8">
      <w:pPr>
        <w:pStyle w:val="Zkladntext40"/>
        <w:shd w:val="clear" w:color="auto" w:fill="auto"/>
        <w:spacing w:after="80" w:line="233" w:lineRule="auto"/>
        <w:ind w:left="420" w:hanging="220"/>
      </w:pPr>
      <w:r>
        <w:t>Publikace Společností národů:</w:t>
      </w:r>
    </w:p>
    <w:p w:rsidR="00500724" w:rsidRDefault="00F30FB8">
      <w:pPr>
        <w:pStyle w:val="Zkladntext40"/>
        <w:shd w:val="clear" w:color="auto" w:fill="auto"/>
        <w:tabs>
          <w:tab w:val="left" w:pos="3880"/>
        </w:tabs>
        <w:spacing w:after="0" w:line="233" w:lineRule="auto"/>
        <w:ind w:left="420" w:hanging="220"/>
      </w:pPr>
      <w:r>
        <w:t xml:space="preserve">Aperen Général dn </w:t>
      </w:r>
      <w:r>
        <w:rPr>
          <w:lang w:val="en-US" w:eastAsia="en-US" w:bidi="en-US"/>
        </w:rPr>
        <w:t xml:space="preserve">Commerce </w:t>
      </w:r>
      <w:r>
        <w:rPr>
          <w:lang w:val="en-US" w:eastAsia="en-US" w:bidi="en-US"/>
        </w:rPr>
        <w:t xml:space="preserve">Mondial </w:t>
      </w:r>
      <w:r>
        <w:t>1938.</w:t>
      </w:r>
      <w:r>
        <w:tab/>
        <w:t xml:space="preserve">27X21 </w:t>
      </w:r>
      <w:r>
        <w:rPr>
          <w:lang w:val="en-US" w:eastAsia="en-US" w:bidi="en-US"/>
        </w:rPr>
        <w:t>cm,</w:t>
      </w:r>
    </w:p>
    <w:p w:rsidR="00500724" w:rsidRDefault="00F30FB8">
      <w:pPr>
        <w:pStyle w:val="Zkladntext40"/>
        <w:shd w:val="clear" w:color="auto" w:fill="auto"/>
        <w:tabs>
          <w:tab w:val="left" w:pos="3725"/>
        </w:tabs>
        <w:spacing w:after="80" w:line="233" w:lineRule="auto"/>
        <w:ind w:left="420" w:firstLine="20"/>
      </w:pPr>
      <w:r>
        <w:t>91 str..</w:t>
      </w:r>
      <w:r>
        <w:tab/>
        <w:t>brož. K 18.75</w:t>
      </w:r>
    </w:p>
    <w:p w:rsidR="00500724" w:rsidRDefault="00F30FB8">
      <w:pPr>
        <w:pStyle w:val="Zkladntext40"/>
        <w:shd w:val="clear" w:color="auto" w:fill="auto"/>
        <w:spacing w:after="0" w:line="233" w:lineRule="auto"/>
        <w:ind w:left="420" w:hanging="220"/>
      </w:pPr>
      <w:r>
        <w:rPr>
          <w:lang w:val="en-US" w:eastAsia="en-US" w:bidi="en-US"/>
        </w:rPr>
        <w:t xml:space="preserve">Review </w:t>
      </w:r>
      <w:r>
        <w:t xml:space="preserve">oí World </w:t>
      </w:r>
      <w:r>
        <w:rPr>
          <w:lang w:val="en-US" w:eastAsia="en-US" w:bidi="en-US"/>
        </w:rPr>
        <w:t xml:space="preserve">Trade </w:t>
      </w:r>
      <w:r>
        <w:t>1938. 27X21 cm, 85 str..</w:t>
      </w:r>
    </w:p>
    <w:p w:rsidR="00500724" w:rsidRDefault="00F30FB8">
      <w:pPr>
        <w:pStyle w:val="Zkladntext40"/>
        <w:shd w:val="clear" w:color="auto" w:fill="auto"/>
        <w:spacing w:after="0" w:line="233" w:lineRule="auto"/>
        <w:ind w:right="220"/>
        <w:jc w:val="right"/>
      </w:pPr>
      <w:r>
        <w:t>brož. K 18.75</w:t>
      </w:r>
    </w:p>
    <w:p w:rsidR="00500724" w:rsidRDefault="00F30FB8">
      <w:pPr>
        <w:pStyle w:val="Zkladntext40"/>
        <w:shd w:val="clear" w:color="auto" w:fill="auto"/>
        <w:spacing w:after="0" w:line="233" w:lineRule="auto"/>
        <w:ind w:right="220"/>
        <w:jc w:val="right"/>
      </w:pPr>
      <w:r>
        <w:t>v. OERTZEN F. W.. Das 1st Polen. 21X14 cm. 248 str..</w:t>
      </w:r>
    </w:p>
    <w:p w:rsidR="00500724" w:rsidRDefault="00F30FB8">
      <w:pPr>
        <w:pStyle w:val="Zkladntext40"/>
        <w:shd w:val="clear" w:color="auto" w:fill="auto"/>
        <w:spacing w:line="233" w:lineRule="auto"/>
        <w:ind w:right="220"/>
        <w:jc w:val="right"/>
      </w:pPr>
      <w:r>
        <w:t>váz. K 48.—</w:t>
      </w:r>
    </w:p>
    <w:p w:rsidR="00500724" w:rsidRDefault="00F30FB8">
      <w:pPr>
        <w:pStyle w:val="Zkladntext40"/>
        <w:shd w:val="clear" w:color="auto" w:fill="auto"/>
        <w:spacing w:after="440" w:line="233" w:lineRule="auto"/>
        <w:ind w:right="220"/>
        <w:jc w:val="right"/>
      </w:pPr>
      <w:r>
        <w:rPr>
          <w:lang w:val="en-US" w:eastAsia="en-US" w:bidi="en-US"/>
        </w:rPr>
        <w:t xml:space="preserve">PRICE Ward. </w:t>
      </w:r>
      <w:r>
        <w:t xml:space="preserve">Fiihrer und Duce. Wie leh sie kenne. (I </w:t>
      </w:r>
      <w:r>
        <w:rPr>
          <w:lang w:val="en-US" w:eastAsia="en-US" w:bidi="en-US"/>
        </w:rPr>
        <w:t xml:space="preserve">know </w:t>
      </w:r>
      <w:r>
        <w:t xml:space="preserve">these </w:t>
      </w:r>
      <w:r>
        <w:rPr>
          <w:lang w:val="en-US" w:eastAsia="en-US" w:bidi="en-US"/>
        </w:rPr>
        <w:t xml:space="preserve">dictators.) </w:t>
      </w:r>
      <w:r>
        <w:t xml:space="preserve">20X12 </w:t>
      </w:r>
      <w:r>
        <w:t>cm. 357 str.. váz. K 60.—</w:t>
      </w:r>
    </w:p>
    <w:p w:rsidR="00500724" w:rsidRDefault="00F30FB8">
      <w:pPr>
        <w:pStyle w:val="Jin0"/>
        <w:shd w:val="clear" w:color="auto" w:fill="auto"/>
        <w:ind w:left="420" w:hanging="220"/>
        <w:rPr>
          <w:sz w:val="28"/>
          <w:szCs w:val="28"/>
        </w:rPr>
      </w:pPr>
      <w:r>
        <w:rPr>
          <w:rFonts w:ascii="Arial" w:eastAsia="Arial" w:hAnsi="Arial" w:cs="Arial"/>
          <w:b/>
          <w:bCs/>
          <w:w w:val="70"/>
          <w:sz w:val="28"/>
          <w:szCs w:val="28"/>
        </w:rPr>
        <w:t>F. Topič</w:t>
      </w:r>
    </w:p>
    <w:p w:rsidR="00500724" w:rsidRDefault="00F30FB8">
      <w:pPr>
        <w:pStyle w:val="Zkladntext20"/>
        <w:shd w:val="clear" w:color="auto" w:fill="auto"/>
        <w:spacing w:after="520" w:line="240" w:lineRule="auto"/>
        <w:ind w:right="220" w:firstLine="0"/>
        <w:jc w:val="right"/>
        <w:rPr>
          <w:sz w:val="24"/>
          <w:szCs w:val="24"/>
        </w:rPr>
      </w:pPr>
      <w:r>
        <w:rPr>
          <w:sz w:val="24"/>
          <w:szCs w:val="24"/>
        </w:rPr>
        <w:t>knihkupectví, Praha L, Národní třída 11</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20"/>
        <w:jc w:val="center"/>
      </w:pPr>
      <w:bookmarkStart w:id="740" w:name="bookmark739"/>
      <w:r>
        <w:rPr>
          <w:color w:val="FFFFFF"/>
        </w:rPr>
        <w:t>VAJ VKUS I NÁROKY USPOKOJÍ</w:t>
      </w:r>
      <w:bookmarkEnd w:id="740"/>
    </w:p>
    <w:p w:rsidR="00500724" w:rsidRDefault="00F30FB8">
      <w:pPr>
        <w:pStyle w:val="Zkladntext100"/>
        <w:pBdr>
          <w:top w:val="single" w:sz="4" w:space="0" w:color="auto"/>
          <w:left w:val="single" w:sz="4" w:space="0" w:color="auto"/>
          <w:bottom w:val="single" w:sz="4" w:space="0" w:color="auto"/>
          <w:right w:val="single" w:sz="4" w:space="0" w:color="auto"/>
        </w:pBdr>
        <w:shd w:val="clear" w:color="auto" w:fill="auto"/>
        <w:spacing w:line="240" w:lineRule="auto"/>
        <w:ind w:firstLine="0"/>
        <w:jc w:val="center"/>
      </w:pPr>
      <w:r>
        <w:rPr>
          <w:b/>
          <w:bCs/>
          <w:smallCaps/>
        </w:rPr>
        <w:t>obuv pro vyšší nároky</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190"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GRAUMANM</w:t>
      </w:r>
    </w:p>
    <w:p w:rsidR="00500724" w:rsidRDefault="00F30FB8">
      <w:pPr>
        <w:pStyle w:val="Zkladntext20"/>
        <w:pBdr>
          <w:top w:val="single" w:sz="4" w:space="0" w:color="auto"/>
          <w:left w:val="single" w:sz="4" w:space="0" w:color="auto"/>
          <w:bottom w:val="single" w:sz="4" w:space="0" w:color="auto"/>
          <w:right w:val="single" w:sz="4" w:space="0" w:color="auto"/>
        </w:pBdr>
        <w:shd w:val="clear" w:color="auto" w:fill="auto"/>
        <w:spacing w:line="223" w:lineRule="auto"/>
        <w:ind w:firstLine="0"/>
        <w:jc w:val="left"/>
        <w:rPr>
          <w:sz w:val="20"/>
          <w:szCs w:val="20"/>
        </w:rPr>
        <w:sectPr w:rsidR="00500724">
          <w:footnotePr>
            <w:numFmt w:val="chicago"/>
            <w:numRestart w:val="eachPage"/>
          </w:footnotePr>
          <w:pgSz w:w="11909" w:h="16834"/>
          <w:pgMar w:top="1035" w:right="1226" w:bottom="370" w:left="247" w:header="0" w:footer="3" w:gutter="0"/>
          <w:cols w:num="2" w:sep="1" w:space="427"/>
          <w:noEndnote/>
          <w:docGrid w:linePitch="360"/>
        </w:sectPr>
      </w:pPr>
      <w:r>
        <w:rPr>
          <w:sz w:val="20"/>
          <w:szCs w:val="20"/>
        </w:rPr>
        <w:t>PRAHA I., PŘÍKOPY 35, schodiště A, TeL 315-28.</w:t>
      </w:r>
    </w:p>
    <w:p w:rsidR="00500724" w:rsidRDefault="00500724">
      <w:pPr>
        <w:spacing w:line="145" w:lineRule="exact"/>
        <w:rPr>
          <w:sz w:val="12"/>
          <w:szCs w:val="12"/>
        </w:rPr>
      </w:pPr>
    </w:p>
    <w:p w:rsidR="00500724" w:rsidRDefault="00500724">
      <w:pPr>
        <w:spacing w:line="14" w:lineRule="exact"/>
        <w:sectPr w:rsidR="00500724">
          <w:footnotePr>
            <w:numFmt w:val="chicago"/>
            <w:numRestart w:val="eachPage"/>
          </w:footnotePr>
          <w:type w:val="continuous"/>
          <w:pgSz w:w="11909" w:h="16834"/>
          <w:pgMar w:top="661" w:right="0" w:bottom="744" w:left="0" w:header="0" w:footer="3" w:gutter="0"/>
          <w:cols w:space="720"/>
          <w:noEndnote/>
          <w:docGrid w:linePitch="360"/>
        </w:sectPr>
      </w:pPr>
    </w:p>
    <w:p w:rsidR="00500724" w:rsidRDefault="00F30FB8">
      <w:pPr>
        <w:spacing w:line="14" w:lineRule="exact"/>
      </w:pPr>
      <w:r>
        <w:rPr>
          <w:noProof/>
        </w:rPr>
        <mc:AlternateContent>
          <mc:Choice Requires="wps">
            <w:drawing>
              <wp:anchor distT="0" distB="502920" distL="151130" distR="132715" simplePos="0" relativeHeight="125830144" behindDoc="0" locked="0" layoutInCell="1" allowOverlap="1">
                <wp:simplePos x="0" y="0"/>
                <wp:positionH relativeFrom="page">
                  <wp:posOffset>217805</wp:posOffset>
                </wp:positionH>
                <wp:positionV relativeFrom="paragraph">
                  <wp:posOffset>1012190</wp:posOffset>
                </wp:positionV>
                <wp:extent cx="2743200" cy="749935"/>
                <wp:effectExtent l="0" t="0" r="0" b="0"/>
                <wp:wrapSquare wrapText="right"/>
                <wp:docPr id="767" name="Shape 767"/>
                <wp:cNvGraphicFramePr/>
                <a:graphic xmlns:a="http://schemas.openxmlformats.org/drawingml/2006/main">
                  <a:graphicData uri="http://schemas.microsoft.com/office/word/2010/wordprocessingShape">
                    <wps:wsp>
                      <wps:cNvSpPr txBox="1"/>
                      <wps:spPr>
                        <a:xfrm>
                          <a:off x="0" y="0"/>
                          <a:ext cx="2743200" cy="749935"/>
                        </a:xfrm>
                        <a:prstGeom prst="rect">
                          <a:avLst/>
                        </a:prstGeom>
                        <a:noFill/>
                      </wps:spPr>
                      <wps:txbx>
                        <w:txbxContent>
                          <w:p w:rsidR="00500724" w:rsidRDefault="00F30FB8">
                            <w:pPr>
                              <w:pStyle w:val="Jin0"/>
                              <w:shd w:val="clear" w:color="auto" w:fill="auto"/>
                              <w:spacing w:before="80"/>
                              <w:ind w:firstLine="0"/>
                              <w:jc w:val="left"/>
                              <w:rPr>
                                <w:sz w:val="78"/>
                                <w:szCs w:val="78"/>
                              </w:rPr>
                            </w:pPr>
                            <w:r>
                              <w:rPr>
                                <w:sz w:val="78"/>
                                <w:szCs w:val="78"/>
                              </w:rPr>
                              <w:t>PřítomnosO</w:t>
                            </w:r>
                          </w:p>
                        </w:txbxContent>
                      </wps:txbx>
                      <wps:bodyPr lIns="0" tIns="0" rIns="0" bIns="0">
                        <a:spAutoFit/>
                      </wps:bodyPr>
                    </wps:wsp>
                  </a:graphicData>
                </a:graphic>
              </wp:anchor>
            </w:drawing>
          </mc:Choice>
          <mc:Fallback>
            <w:pict>
              <v:shape id="_x0000_s1793" type="#_x0000_t202" style="position:absolute;margin-left:17.149999999999999pt;margin-top:79.700000000000003pt;width:216.pt;height:59.049999999999997pt;z-index:-125828609;mso-wrap-distance-left:11.9pt;mso-wrap-distance-right:10.449999999999999pt;mso-wrap-distance-bottom:39.600000000000001pt;mso-position-horizontal-relative:page" filled="f" stroked="f">
                <v:textbox style="mso-fit-shape-to-text:t" inset="0,0,0,0">
                  <w:txbxContent>
                    <w:p>
                      <w:pPr>
                        <w:pStyle w:val="Style12"/>
                        <w:keepNext w:val="0"/>
                        <w:keepLines w:val="0"/>
                        <w:widowControl w:val="0"/>
                        <w:shd w:val="clear" w:color="auto" w:fill="auto"/>
                        <w:bidi w:val="0"/>
                        <w:spacing w:before="80" w:after="0" w:line="240" w:lineRule="auto"/>
                        <w:ind w:left="0" w:right="0" w:firstLine="0"/>
                        <w:jc w:val="left"/>
                        <w:rPr>
                          <w:sz w:val="78"/>
                          <w:szCs w:val="78"/>
                        </w:rPr>
                      </w:pPr>
                      <w:r>
                        <w:rPr>
                          <w:color w:val="000000"/>
                          <w:spacing w:val="0"/>
                          <w:w w:val="100"/>
                          <w:position w:val="0"/>
                          <w:sz w:val="78"/>
                          <w:szCs w:val="78"/>
                          <w:shd w:val="clear" w:color="auto" w:fill="auto"/>
                          <w:lang w:val="cs-CZ" w:eastAsia="cs-CZ" w:bidi="cs-CZ"/>
                        </w:rPr>
                        <w:t>PřítomnosO</w:t>
                      </w:r>
                    </w:p>
                  </w:txbxContent>
                </v:textbox>
                <w10:wrap type="square" side="right" anchorx="page"/>
              </v:shape>
            </w:pict>
          </mc:Fallback>
        </mc:AlternateContent>
      </w:r>
      <w:r>
        <w:rPr>
          <w:noProof/>
        </w:rPr>
        <mc:AlternateContent>
          <mc:Choice Requires="wps">
            <w:drawing>
              <wp:anchor distT="892810" distB="0" distL="114300" distR="114300" simplePos="0" relativeHeight="125830146" behindDoc="0" locked="0" layoutInCell="1" allowOverlap="1">
                <wp:simplePos x="0" y="0"/>
                <wp:positionH relativeFrom="page">
                  <wp:posOffset>181610</wp:posOffset>
                </wp:positionH>
                <wp:positionV relativeFrom="paragraph">
                  <wp:posOffset>1905000</wp:posOffset>
                </wp:positionV>
                <wp:extent cx="2797810" cy="359410"/>
                <wp:effectExtent l="0" t="0" r="0" b="0"/>
                <wp:wrapSquare wrapText="right"/>
                <wp:docPr id="769" name="Shape 769"/>
                <wp:cNvGraphicFramePr/>
                <a:graphic xmlns:a="http://schemas.openxmlformats.org/drawingml/2006/main">
                  <a:graphicData uri="http://schemas.microsoft.com/office/word/2010/wordprocessingShape">
                    <wps:wsp>
                      <wps:cNvSpPr txBox="1"/>
                      <wps:spPr>
                        <a:xfrm>
                          <a:off x="0" y="0"/>
                          <a:ext cx="2797810" cy="359410"/>
                        </a:xfrm>
                        <a:prstGeom prst="rect">
                          <a:avLst/>
                        </a:prstGeom>
                        <a:noFill/>
                      </wps:spPr>
                      <wps:txbx>
                        <w:txbxContent>
                          <w:p w:rsidR="00500724" w:rsidRDefault="00F30FB8">
                            <w:pPr>
                              <w:pStyle w:val="Jin0"/>
                              <w:shd w:val="clear" w:color="auto" w:fill="auto"/>
                              <w:ind w:firstLine="0"/>
                              <w:jc w:val="left"/>
                              <w:rPr>
                                <w:sz w:val="46"/>
                                <w:szCs w:val="46"/>
                              </w:rPr>
                            </w:pPr>
                            <w:r>
                              <w:rPr>
                                <w:sz w:val="46"/>
                                <w:szCs w:val="46"/>
                              </w:rPr>
                              <w:t>řídí Ferd. Peroutka</w:t>
                            </w:r>
                          </w:p>
                        </w:txbxContent>
                      </wps:txbx>
                      <wps:bodyPr lIns="0" tIns="0" rIns="0" bIns="0">
                        <a:spAutoFit/>
                      </wps:bodyPr>
                    </wps:wsp>
                  </a:graphicData>
                </a:graphic>
              </wp:anchor>
            </w:drawing>
          </mc:Choice>
          <mc:Fallback>
            <w:pict>
              <v:shape id="_x0000_s1795" type="#_x0000_t202" style="position:absolute;margin-left:14.300000000000001pt;margin-top:150.pt;width:220.30000000000001pt;height:28.300000000000001pt;z-index:-125828607;mso-wrap-distance-left:9.pt;mso-wrap-distance-top:70.299999999999997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320" w:line="252" w:lineRule="auto"/>
        <w:ind w:left="460" w:hanging="460"/>
        <w:rPr>
          <w:sz w:val="19"/>
          <w:szCs w:val="19"/>
        </w:rPr>
      </w:pPr>
      <w:r>
        <w:rPr>
          <w:sz w:val="22"/>
          <w:szCs w:val="22"/>
        </w:rPr>
        <w:t xml:space="preserve">OBSAH </w:t>
      </w:r>
      <w:r>
        <w:rPr>
          <w:b/>
          <w:bCs/>
          <w:sz w:val="19"/>
          <w:szCs w:val="19"/>
        </w:rPr>
        <w:t xml:space="preserve">PŘÍTOMNOSTI C. 29: PAVEL HOFMAN: Gdaňsko — V. STRNAD: Od Mukdenu do Tiencinu — My bývalí poslanci — PETR VALU: Jenom záchrana českého tisku? — JAROSLAV </w:t>
      </w:r>
      <w:r>
        <w:rPr>
          <w:b/>
          <w:bCs/>
          <w:smallCaps/>
          <w:sz w:val="22"/>
          <w:szCs w:val="22"/>
        </w:rPr>
        <w:t>ReRABEK:</w:t>
      </w:r>
      <w:r>
        <w:rPr>
          <w:b/>
          <w:bCs/>
          <w:sz w:val="19"/>
          <w:szCs w:val="19"/>
        </w:rPr>
        <w:t xml:space="preserve"> U hraniční závory — FRANTIŠEK NEDVĚD: Proč se jezdí do prava, a jiná »proč« — Kam s inteligencí — Vývoj problémů uprchlíků — Češi v Iránu — O české přizpůsobivosti — Praha a venkov — Otázka novinám — Zemědělec a ti ostatní — Slovenka píše Češke — Slovensk</w:t>
      </w:r>
      <w:r>
        <w:rPr>
          <w:b/>
          <w:bCs/>
          <w:sz w:val="19"/>
          <w:szCs w:val="19"/>
        </w:rPr>
        <w:t>é divadlo a čeští herci — Svatý Václav a Boleslav.</w:t>
      </w:r>
    </w:p>
    <w:p w:rsidR="00500724" w:rsidRDefault="00F30FB8">
      <w:pPr>
        <w:pStyle w:val="Nadpis90"/>
        <w:keepNext/>
        <w:keepLines/>
        <w:shd w:val="clear" w:color="auto" w:fill="auto"/>
        <w:spacing w:after="200"/>
      </w:pPr>
      <w:bookmarkStart w:id="741" w:name="bookmark740"/>
      <w:r>
        <w:rPr>
          <w:u w:val="single"/>
        </w:rPr>
        <w:t>nezávislý týdeník</w:t>
      </w:r>
      <w:bookmarkEnd w:id="741"/>
    </w:p>
    <w:p w:rsidR="00500724" w:rsidRDefault="00F30FB8">
      <w:pPr>
        <w:pStyle w:val="Zkladntext20"/>
        <w:shd w:val="clear" w:color="auto" w:fill="auto"/>
        <w:spacing w:after="60" w:line="216" w:lineRule="auto"/>
        <w:ind w:firstLine="0"/>
        <w:jc w:val="center"/>
        <w:rPr>
          <w:sz w:val="20"/>
          <w:szCs w:val="20"/>
        </w:rPr>
      </w:pPr>
      <w:r>
        <w:rPr>
          <w:sz w:val="20"/>
          <w:szCs w:val="20"/>
        </w:rPr>
        <w:t>vychází ve středu v nakladatelství</w:t>
      </w:r>
      <w:r>
        <w:rPr>
          <w:sz w:val="20"/>
          <w:szCs w:val="20"/>
        </w:rPr>
        <w:br/>
        <w:t>FR. BOROVÝ V PRAZE I.. NÁRODNÍ TRlDA 11.</w:t>
      </w:r>
    </w:p>
    <w:p w:rsidR="00500724" w:rsidRDefault="00F30FB8">
      <w:pPr>
        <w:pStyle w:val="Zkladntext40"/>
        <w:shd w:val="clear" w:color="auto" w:fill="auto"/>
        <w:spacing w:line="187" w:lineRule="auto"/>
      </w:pPr>
      <w:r>
        <w:t>Telefon číslo 390-51 až 54 • Očet poštovní spořitelny číslo 35.622 • Nevy</w:t>
      </w:r>
      <w:r>
        <w:softHyphen/>
        <w:t>žádané rukopisy se nevracejí • Předpl</w:t>
      </w:r>
      <w:r>
        <w:t xml:space="preserve">atné na rok K 100.—. na půl roku K 50.—. na čtvrt roku K 25.—, Jednotlivá čísla K 2.—. </w:t>
      </w:r>
      <w:r>
        <w:rPr>
          <w:lang w:val="en-US" w:eastAsia="en-US" w:bidi="en-US"/>
        </w:rPr>
        <w:t xml:space="preserve">Pour </w:t>
      </w:r>
      <w:r>
        <w:t>la Fran</w:t>
      </w:r>
      <w:r>
        <w:softHyphen/>
        <w:t xml:space="preserve">ce et ses </w:t>
      </w:r>
      <w:r>
        <w:rPr>
          <w:lang w:val="en-US" w:eastAsia="en-US" w:bidi="en-US"/>
        </w:rPr>
        <w:t xml:space="preserve">Colonies </w:t>
      </w:r>
      <w:r>
        <w:t xml:space="preserve">Frs 2.50. </w:t>
      </w:r>
      <w:r>
        <w:rPr>
          <w:b/>
          <w:bCs/>
          <w:sz w:val="16"/>
          <w:szCs w:val="16"/>
        </w:rPr>
        <w:t xml:space="preserve">e </w:t>
      </w:r>
      <w:r>
        <w:t xml:space="preserve">DohlédacI pošt. úřad Brno II. </w:t>
      </w:r>
      <w:r>
        <w:rPr>
          <w:b/>
          <w:bCs/>
          <w:sz w:val="16"/>
          <w:szCs w:val="16"/>
        </w:rPr>
        <w:t xml:space="preserve">n </w:t>
      </w:r>
      <w:r>
        <w:t>Novinová sazba povolena v Brně ředitelstvím pošt a telegrafů pod čls. 119.268/IIIa » Odpovědn</w:t>
      </w:r>
      <w:r>
        <w:t>ý redaktor J. Dlabač.</w:t>
      </w:r>
    </w:p>
    <w:p w:rsidR="00500724" w:rsidRDefault="00F30FB8">
      <w:pPr>
        <w:pStyle w:val="Zkladntext20"/>
        <w:shd w:val="clear" w:color="auto" w:fill="auto"/>
        <w:spacing w:after="120" w:line="216" w:lineRule="auto"/>
        <w:ind w:left="5380" w:firstLine="0"/>
        <w:jc w:val="left"/>
        <w:rPr>
          <w:sz w:val="20"/>
          <w:szCs w:val="20"/>
        </w:rPr>
      </w:pPr>
      <w:r>
        <w:rPr>
          <w:sz w:val="20"/>
          <w:szCs w:val="20"/>
        </w:rPr>
        <w:t>TISKEM LIDOVÉ TISKÁRNY. BRNO. ČESKÁ 6.</w:t>
      </w:r>
      <w:r>
        <w:br w:type="page"/>
      </w:r>
    </w:p>
    <w:p w:rsidR="00500724" w:rsidRDefault="00F30FB8">
      <w:pPr>
        <w:pStyle w:val="Jin0"/>
        <w:pBdr>
          <w:bottom w:val="single" w:sz="4" w:space="0" w:color="auto"/>
        </w:pBdr>
        <w:shd w:val="clear" w:color="auto" w:fill="auto"/>
        <w:ind w:firstLine="0"/>
        <w:jc w:val="center"/>
        <w:rPr>
          <w:sz w:val="104"/>
          <w:szCs w:val="104"/>
        </w:rPr>
        <w:sectPr w:rsidR="00500724">
          <w:footnotePr>
            <w:numFmt w:val="chicago"/>
            <w:numRestart w:val="eachPage"/>
          </w:footnotePr>
          <w:type w:val="continuous"/>
          <w:pgSz w:w="11909" w:h="16834"/>
          <w:pgMar w:top="661" w:right="1059" w:bottom="744" w:left="396" w:header="0" w:footer="3" w:gutter="0"/>
          <w:cols w:space="720"/>
          <w:noEndnote/>
          <w:docGrid w:linePitch="360"/>
        </w:sectPr>
      </w:pPr>
      <w:r>
        <w:rPr>
          <w:sz w:val="104"/>
          <w:szCs w:val="104"/>
        </w:rPr>
        <w:t>Přítomnosti</w:t>
      </w:r>
    </w:p>
    <w:p w:rsidR="00500724" w:rsidRDefault="00500724">
      <w:pPr>
        <w:spacing w:line="360" w:lineRule="exact"/>
      </w:pPr>
    </w:p>
    <w:p w:rsidR="00500724" w:rsidRDefault="00500724">
      <w:pPr>
        <w:spacing w:after="408" w:line="14" w:lineRule="exact"/>
      </w:pPr>
    </w:p>
    <w:p w:rsidR="00500724" w:rsidRDefault="00500724">
      <w:pPr>
        <w:spacing w:line="14" w:lineRule="exact"/>
        <w:sectPr w:rsidR="00500724">
          <w:footnotePr>
            <w:numFmt w:val="chicago"/>
            <w:numRestart w:val="eachPage"/>
          </w:footnotePr>
          <w:type w:val="continuous"/>
          <w:pgSz w:w="11909" w:h="16834"/>
          <w:pgMar w:top="932" w:right="929" w:bottom="919" w:left="569" w:header="0" w:footer="3" w:gutter="0"/>
          <w:cols w:space="720"/>
          <w:noEndnote/>
          <w:docGrid w:linePitch="360"/>
        </w:sectPr>
      </w:pPr>
    </w:p>
    <w:p w:rsidR="00500724" w:rsidRDefault="00F30FB8">
      <w:pPr>
        <w:pStyle w:val="Nadpis100"/>
        <w:shd w:val="clear" w:color="auto" w:fill="auto"/>
        <w:spacing w:after="0" w:line="240" w:lineRule="auto"/>
      </w:pPr>
      <w:bookmarkStart w:id="742" w:name="bookmark741"/>
      <w:r>
        <w:t>Druhý dech</w:t>
      </w:r>
      <w:bookmarkEnd w:id="742"/>
    </w:p>
    <w:p w:rsidR="00500724" w:rsidRDefault="00F30FB8">
      <w:pPr>
        <w:pStyle w:val="Zkladntext20"/>
        <w:shd w:val="clear" w:color="auto" w:fill="auto"/>
        <w:spacing w:line="221" w:lineRule="auto"/>
        <w:ind w:firstLine="260"/>
      </w:pPr>
      <w:r>
        <w:t xml:space="preserve">15. března stala se nezbytnou důkladná proměna naší národní činnosti. Mnohé z toho, co jsme dělávali, nebudeme </w:t>
      </w:r>
      <w:r>
        <w:t>moci dělat nyní. Sotva jest mezi námi takový talent, aby sám a najednou dovedl určit, jak mají naše národní činnost, naše národní taktika od nynějška vypadat. Nemáme ani čas čekat a vyhlížet, zda se dostaví takový individuální výkon. Spíše bude</w:t>
      </w:r>
      <w:r>
        <w:softHyphen/>
        <w:t xml:space="preserve">me všichni </w:t>
      </w:r>
      <w:r>
        <w:t>dohromady skládat své zkušenosti, spíše se bude kámen po kameni tvořit nové řečiště naší aktivity.</w:t>
      </w:r>
    </w:p>
    <w:p w:rsidR="00500724" w:rsidRDefault="00F30FB8">
      <w:pPr>
        <w:pStyle w:val="Zkladntext20"/>
        <w:shd w:val="clear" w:color="auto" w:fill="auto"/>
        <w:spacing w:line="221" w:lineRule="auto"/>
        <w:ind w:firstLine="260"/>
      </w:pPr>
      <w:r>
        <w:t>Jedno se však jeví naprosto nepochybným: v našem životě bude mnohem méně politiky, než bývalo. Z naše</w:t>
      </w:r>
      <w:r>
        <w:softHyphen/>
        <w:t xml:space="preserve">ho vlivu bylo odstraněno dělání politiky zahraniční; </w:t>
      </w:r>
      <w:r>
        <w:rPr>
          <w:b/>
          <w:bCs/>
          <w:sz w:val="26"/>
          <w:szCs w:val="26"/>
        </w:rPr>
        <w:t xml:space="preserve">z </w:t>
      </w:r>
      <w:r>
        <w:t>našeho života zmizí většina boje mezi stranami a směry a zůstane spíše jen generální a věčný boj mezi dobrými a zlými; i pokud se týká uspořádání našich vnitřních věcí, leccos bylo odňato ze sféry naší samo</w:t>
      </w:r>
      <w:r>
        <w:softHyphen/>
        <w:t>statné působnosti; říšský protektor jest oprávněn</w:t>
      </w:r>
      <w:r>
        <w:t xml:space="preserve"> schvalovati naše zákony a nařízení nebo sám je za nás vydávati. Je-li někdo fanatikem čísel, může se pokusit zjistit, na kolik procent byla takto naše poli</w:t>
      </w:r>
      <w:r>
        <w:softHyphen/>
        <w:t>tická činnost zredukována. My se spokojíme se zcela určitým pocitem, že, měřeno s dřívějškem, polit</w:t>
      </w:r>
      <w:r>
        <w:t>ická činnost pro českého člověka bude nyní spíše poločin- ností, že snad, až na velmi omezený počet výjimek, sotva bude schopna zasytit muže s touhou po činech. Kdyby nyní některý mladý český člověk projevil chuť věnovat se politice jako svému životnímu za</w:t>
      </w:r>
      <w:r>
        <w:t>městnání, bylo by třeba se ho zeptati: ku podivu, to chcete tak málo dělati? Kdyby se kolem politické činnosti mělo tísniti stále tolik lidí jako dříve, vypadalo by to, jako kdyby kolem malé louže seděli lidé s pruty ve třech, čtyřech řadách za sebou, vyčk</w:t>
      </w:r>
      <w:r>
        <w:t>ávajíce, až se místo uvolní, aby mohli také vhodit udici do vody.</w:t>
      </w:r>
    </w:p>
    <w:p w:rsidR="00500724" w:rsidRDefault="00F30FB8">
      <w:pPr>
        <w:pStyle w:val="Zkladntext20"/>
        <w:shd w:val="clear" w:color="auto" w:fill="auto"/>
        <w:spacing w:line="223" w:lineRule="auto"/>
        <w:ind w:firstLine="260"/>
      </w:pPr>
      <w:r>
        <w:t>Pochybuji, že by to bylo vhodné postavení pro člo</w:t>
      </w:r>
      <w:r>
        <w:softHyphen/>
        <w:t>věka s temperamentem a se slušnou ctižádostí. Dlou</w:t>
      </w:r>
      <w:r>
        <w:softHyphen/>
        <w:t>ho nyní neočekávejte, že by se vily vavřínové věnce pro ty, kdo se zabývají českou politi</w:t>
      </w:r>
      <w:r>
        <w:t>kou. Kdo uměl dělat jen politiku, podobá se teď trochu rybě na suchu: marně a těžce pohybuje žábrami.</w:t>
      </w:r>
    </w:p>
    <w:p w:rsidR="00500724" w:rsidRDefault="00F30FB8">
      <w:pPr>
        <w:pStyle w:val="Zkladntext20"/>
        <w:shd w:val="clear" w:color="auto" w:fill="auto"/>
        <w:spacing w:line="223" w:lineRule="auto"/>
        <w:ind w:firstLine="260"/>
      </w:pPr>
      <w:r>
        <w:t>Kdykoli se od 15. března o politice píše, vždy se ne</w:t>
      </w:r>
      <w:r>
        <w:softHyphen/>
        <w:t>odbytně vtírá do pera staré masarykovské a snad už havlíčkovské slovo: politika nepolitická. Sem bude</w:t>
      </w:r>
      <w:r>
        <w:t xml:space="preserve"> nyní asi přenesena hlavní národní aktivita; mnohem více než to, co i politikové dovedou vymyslit, rozhodne o našem postavení suma práce, výkonů, vynalézavosti a energie, již jsme schopni vyvinouti v oborech čin</w:t>
      </w:r>
      <w:r>
        <w:softHyphen/>
        <w:t>nosti politické, od hospodářské až po umělec</w:t>
      </w:r>
      <w:r>
        <w:t>kou. Český politický člověk jest dnes redukce a odmocni</w:t>
      </w:r>
      <w:r>
        <w:softHyphen/>
        <w:t>na; český pracující, vymýšlející a tvořící člověk na</w:t>
      </w:r>
      <w:r>
        <w:softHyphen/>
        <w:t>opak stále ještě stojí rovně a podobá se stromu, jenž své větve rozprostírá. Snadno jest poraditi mládeži, kam se má spíše hrnouti a kde se pravděp</w:t>
      </w:r>
      <w:r>
        <w:t>odobněji dočká úspěchů.</w:t>
      </w:r>
    </w:p>
    <w:p w:rsidR="00500724" w:rsidRDefault="00F30FB8">
      <w:pPr>
        <w:pStyle w:val="Zkladntext20"/>
        <w:shd w:val="clear" w:color="auto" w:fill="auto"/>
        <w:spacing w:line="221" w:lineRule="auto"/>
      </w:pPr>
      <w:r>
        <w:t>Kdo je od minula zvyklý stále jen pomýšlet na poli</w:t>
      </w:r>
      <w:r>
        <w:softHyphen/>
        <w:t>tické boje, musí si uvědomit, že, kdyby poměr českého národa k německému měl býti nyní vyřizován jen takovým bojem, objevil by se brzy velký, tragický, beznadějný nepoměr sil k naše</w:t>
      </w:r>
      <w:r>
        <w:t>mu neprospěchu. Srov</w:t>
      </w:r>
      <w:r>
        <w:softHyphen/>
        <w:t>nejte prostě počet Němců a nás, německou politickou organisaci a naši, jejich a naše mocenské prostředky — ruce spíše klesnou než aby se zdvihaly. Ale jde-li o konkurenci v práci, o soutěžení ve vynalézavosti, o hodnoty na poli umění —</w:t>
      </w:r>
      <w:r>
        <w:t xml:space="preserve"> tu jest pro nás stále ještě dosti příležitosti k vzruchu, dosti pobídek, dosti dů</w:t>
      </w:r>
      <w:r>
        <w:softHyphen/>
        <w:t>vodů, aby oči plály a srdce hořela, dosti způsobů, kdy se budeme setkávat jako rovní s rovnými a kdy lepší zvítězí. Národ, který už jen omezeně se může vy</w:t>
      </w:r>
      <w:r>
        <w:softHyphen/>
        <w:t>jadřovat a udržova</w:t>
      </w:r>
      <w:r>
        <w:t>t politikou, má více důvodů než dříve, aby každý jeho člen pracoval dobře. Musí do</w:t>
      </w:r>
      <w:r>
        <w:softHyphen/>
        <w:t>konce pracovat lépe — svýma rukama nehněte teď jen své osobní postavení, nýbrž i kus národního osudu, rozhoduje svou zdatností o tom, zda naše národní po</w:t>
      </w:r>
      <w:r>
        <w:softHyphen/>
        <w:t>sice se zastaví, zd</w:t>
      </w:r>
      <w:r>
        <w:t>a budou ustupovat nebo se rozvíjet. Jestliže dříve někdo špatně hospodařil ve svém závodě nebo na svém statku a přišel o něj, byla to jeho škoda a ani jsme se po něm neohlédli. Nyní by způsobil ško</w:t>
      </w:r>
      <w:r>
        <w:softHyphen/>
        <w:t>du národní. Ve »Venkově« dosti dlouho už kladou otázku: Do</w:t>
      </w:r>
      <w:r>
        <w:t>vedl jsi udržet svůj grunt aspoň sto roků? To je nyní jedna z nejdůležitějších otázek národních. Vedle toho vynořuje se mnoho otázek jiných: dovedeš pracovat aspoň tak dobře jako Němec? Nebo, sláva, dovedeš něco dokonce lépe?</w:t>
      </w:r>
    </w:p>
    <w:p w:rsidR="00500724" w:rsidRDefault="00F30FB8">
      <w:pPr>
        <w:pStyle w:val="Zkladntext20"/>
        <w:shd w:val="clear" w:color="auto" w:fill="auto"/>
        <w:spacing w:line="221" w:lineRule="auto"/>
      </w:pPr>
      <w:r>
        <w:t>Dovolte, abych užil přirovnání</w:t>
      </w:r>
      <w:r>
        <w:t xml:space="preserve"> ze života sportovní</w:t>
      </w:r>
      <w:r>
        <w:softHyphen/>
        <w:t>ho. Zá^dníci dobře vědí, co jest tak zvaný druhý dech: již již se jim zdá, že jsou se svými silami u kon</w:t>
      </w:r>
      <w:r>
        <w:softHyphen/>
        <w:t>ce, že plíce jsou vyčerpány a srdce na prasknutí, když pojednou se dostaví nová rovnováha v plících, tep se zase nově spořádá, noh</w:t>
      </w:r>
      <w:r>
        <w:t>y zase nabudou síly nésti, a zá</w:t>
      </w:r>
      <w:r>
        <w:softHyphen/>
        <w:t>vod pokračuje. Pro národ, který svou politickou čin</w:t>
      </w:r>
      <w:r>
        <w:softHyphen/>
        <w:t>nost musí omezovat, jest činnost nepolitická oním jakýmsi druhým dechem. Jestliže dříve jen naši poli</w:t>
      </w:r>
      <w:r>
        <w:softHyphen/>
        <w:t>tikové se domnívali, že na ně shlížejí dějiny, dnes může míti tento po</w:t>
      </w:r>
      <w:r>
        <w:t>cit každý prostý Čech, jdoucí za svým zaměstnáním. Tím, co dělá a jak to dělá, buď přisunuje kámen ke stavbě našich národních dějin nebo jej jim ubírá. Nikdy se špatný pracovník tak ne</w:t>
      </w:r>
      <w:r>
        <w:softHyphen/>
        <w:t>podobal zrádci národní fronty jako nyní. Český osud byl s řečnišť přene</w:t>
      </w:r>
      <w:r>
        <w:t>sen do dílen. A co by si ostatně měli počíti lidé s energií, která byla ubrána dříve tak rozvité politické činnosti? Chtějí ji nechat rezavět, nebo ji s touž vášní vrhnout do díla jiného?</w:t>
      </w:r>
    </w:p>
    <w:p w:rsidR="00500724" w:rsidRDefault="00F30FB8">
      <w:pPr>
        <w:pStyle w:val="Zkladntext20"/>
        <w:shd w:val="clear" w:color="auto" w:fill="auto"/>
        <w:spacing w:line="221" w:lineRule="auto"/>
      </w:pPr>
      <w:r>
        <w:t>Nedovedu-li se dobře vyjádřit, nechť to není při</w:t>
      </w:r>
      <w:r>
        <w:softHyphen/>
        <w:t>počítáno na škodu v</w:t>
      </w:r>
      <w:r>
        <w:t>ěci, již zastupuji a v niž věřím.</w:t>
      </w:r>
    </w:p>
    <w:p w:rsidR="00500724" w:rsidRDefault="00F30FB8">
      <w:pPr>
        <w:pStyle w:val="Zkladntext20"/>
        <w:shd w:val="clear" w:color="auto" w:fill="auto"/>
        <w:tabs>
          <w:tab w:val="left" w:pos="3787"/>
        </w:tabs>
        <w:spacing w:line="204" w:lineRule="auto"/>
        <w:ind w:firstLine="0"/>
      </w:pPr>
      <w:r>
        <w:t>Více než jindy bolestně zeje mezi námi ztráta Karla Čapka, tohoto velkého povzbuzovatele, který, sám se vyznav v mnohých pracích, dovedl tak opojivě vy</w:t>
      </w:r>
      <w:r>
        <w:softHyphen/>
        <w:t xml:space="preserve">kládat krásu prosté práce a čest a užitek, jež z ní plynou. Který tak </w:t>
      </w:r>
      <w:r>
        <w:t>dovedl povzbudit chuť k všední čin</w:t>
      </w:r>
      <w:r>
        <w:softHyphen/>
        <w:t>nosti a nalézti v ní tolik, že spojil pracujícího člověka s věčností. Který člověka, na své hroudě působícího, dovedl učinit tak zajímavým, jako jest řečník, politik nebo kapitán. Toho jest nyní našemu národu nejvíce třeb</w:t>
      </w:r>
      <w:r>
        <w:t>a: lidí, kteří dovedou výmluvně pobízet k práci, oslavit ji a učinit půvabnou; kteří neztratí odvahy, než se dostaví druhý dech. Dlouho jsme se hádávali o to, která politická řeč se nám více líbila. Kéž bychom se trochu začali přít také o to, který pracovn</w:t>
      </w:r>
      <w:r>
        <w:t>í výkon jest dokonalejší a záslužnější!</w:t>
      </w:r>
      <w:r>
        <w:tab/>
        <w:t>(Dokončení.)</w:t>
      </w:r>
    </w:p>
    <w:p w:rsidR="00500724" w:rsidRDefault="00F30FB8">
      <w:pPr>
        <w:pStyle w:val="Zkladntext20"/>
        <w:shd w:val="clear" w:color="auto" w:fill="auto"/>
        <w:spacing w:after="100"/>
        <w:ind w:firstLine="0"/>
        <w:jc w:val="right"/>
        <w:rPr>
          <w:sz w:val="20"/>
          <w:szCs w:val="20"/>
        </w:rPr>
      </w:pPr>
      <w:r>
        <w:rPr>
          <w:i/>
          <w:iCs/>
          <w:sz w:val="20"/>
          <w:szCs w:val="20"/>
        </w:rPr>
        <w:t>F. Peroutka</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poznámky</w:t>
      </w:r>
    </w:p>
    <w:p w:rsidR="00500724" w:rsidRDefault="00F30FB8">
      <w:pPr>
        <w:pStyle w:val="Zkladntext20"/>
        <w:shd w:val="clear" w:color="auto" w:fill="auto"/>
        <w:spacing w:after="60" w:line="178" w:lineRule="auto"/>
        <w:ind w:firstLine="0"/>
        <w:jc w:val="center"/>
        <w:rPr>
          <w:sz w:val="20"/>
          <w:szCs w:val="20"/>
        </w:rPr>
      </w:pPr>
      <w:r>
        <w:rPr>
          <w:b/>
          <w:bCs/>
          <w:sz w:val="20"/>
          <w:szCs w:val="20"/>
        </w:rPr>
        <w:t>Americká neutralita</w:t>
      </w:r>
    </w:p>
    <w:p w:rsidR="00500724" w:rsidRDefault="00F30FB8">
      <w:pPr>
        <w:pStyle w:val="Zkladntext100"/>
        <w:shd w:val="clear" w:color="auto" w:fill="auto"/>
        <w:spacing w:line="187" w:lineRule="auto"/>
        <w:ind w:firstLine="260"/>
        <w:rPr>
          <w:sz w:val="19"/>
          <w:szCs w:val="19"/>
        </w:rPr>
      </w:pPr>
      <w:r>
        <w:rPr>
          <w:b/>
          <w:bCs/>
          <w:sz w:val="19"/>
          <w:szCs w:val="19"/>
        </w:rPr>
        <w:t>President Roosevelt si na 19. června pozval představitele obou velkých stran amerického senátu, aby jim vyložil dů</w:t>
      </w:r>
      <w:r>
        <w:rPr>
          <w:b/>
          <w:bCs/>
          <w:sz w:val="19"/>
          <w:szCs w:val="19"/>
        </w:rPr>
        <w:softHyphen/>
        <w:t xml:space="preserve">vody, které jej řídí v jeho úsilí o prosazení </w:t>
      </w:r>
      <w:r>
        <w:rPr>
          <w:b/>
          <w:bCs/>
          <w:sz w:val="19"/>
          <w:szCs w:val="19"/>
        </w:rPr>
        <w:t>změny dosa</w:t>
      </w:r>
      <w:r>
        <w:rPr>
          <w:b/>
          <w:bCs/>
          <w:sz w:val="19"/>
          <w:szCs w:val="19"/>
        </w:rPr>
        <w:softHyphen/>
        <w:t>vadní zahraniční politiky USA, jejímž výrazem je pověst</w:t>
      </w:r>
      <w:r>
        <w:rPr>
          <w:b/>
          <w:bCs/>
          <w:sz w:val="19"/>
          <w:szCs w:val="19"/>
        </w:rPr>
        <w:softHyphen/>
        <w:t>ný zákon o neutralitě. Tříhodinná konference skončila ne</w:t>
      </w:r>
      <w:r>
        <w:rPr>
          <w:b/>
          <w:bCs/>
          <w:sz w:val="19"/>
          <w:szCs w:val="19"/>
        </w:rPr>
        <w:softHyphen/>
        <w:t>gativně: ukázala, že v nynějším senátě nelze prozatím získat většinu pro revisi tohoto zákona, čili pro usnadněni vmísiti se do evro</w:t>
      </w:r>
      <w:r>
        <w:rPr>
          <w:b/>
          <w:bCs/>
          <w:sz w:val="19"/>
          <w:szCs w:val="19"/>
        </w:rPr>
        <w:t>pské války.</w:t>
      </w:r>
    </w:p>
    <w:p w:rsidR="00500724" w:rsidRDefault="00F30FB8">
      <w:pPr>
        <w:pStyle w:val="Zkladntext100"/>
        <w:shd w:val="clear" w:color="auto" w:fill="auto"/>
        <w:spacing w:line="187" w:lineRule="auto"/>
        <w:ind w:firstLine="260"/>
        <w:rPr>
          <w:sz w:val="19"/>
          <w:szCs w:val="19"/>
        </w:rPr>
      </w:pPr>
      <w:r>
        <w:rPr>
          <w:b/>
          <w:bCs/>
          <w:sz w:val="19"/>
          <w:szCs w:val="19"/>
        </w:rPr>
        <w:t>To byl už druhý Rooseveltův neúspěch v téže věci; prvního se dočkal 30. června. Toho dne zamítl kongres pre</w:t>
      </w:r>
      <w:r>
        <w:rPr>
          <w:b/>
          <w:bCs/>
          <w:sz w:val="19"/>
          <w:szCs w:val="19"/>
        </w:rPr>
        <w:softHyphen/>
        <w:t>sidentův návrh, vřele podporovaný státním sekretářem Cordellem Hullem. Návrh žádal, aby byl zrušen hlavní bod neutralitního zákona, vyhl</w:t>
      </w:r>
      <w:r>
        <w:rPr>
          <w:b/>
          <w:bCs/>
          <w:sz w:val="19"/>
          <w:szCs w:val="19"/>
        </w:rPr>
        <w:t>ašující naprostý zákaz vývozu ja</w:t>
      </w:r>
      <w:r>
        <w:rPr>
          <w:b/>
          <w:bCs/>
          <w:sz w:val="19"/>
          <w:szCs w:val="19"/>
        </w:rPr>
        <w:softHyphen/>
        <w:t>kéhokoli válečného materiálu do kterékoli válčící země. Kon</w:t>
      </w:r>
      <w:r>
        <w:rPr>
          <w:b/>
          <w:bCs/>
          <w:sz w:val="19"/>
          <w:szCs w:val="19"/>
        </w:rPr>
        <w:softHyphen/>
        <w:t>gres, zamítnuvší návrh Rooseveltův, přijal jen — ostatně pouze dvouhlasovou většinou — návrh Bloom-Vorysňv, na</w:t>
      </w:r>
      <w:r>
        <w:rPr>
          <w:b/>
          <w:bCs/>
          <w:sz w:val="19"/>
          <w:szCs w:val="19"/>
        </w:rPr>
        <w:softHyphen/>
        <w:t>hrazující úplné embargo zákazem zmírněným. Podle tét</w:t>
      </w:r>
      <w:r>
        <w:rPr>
          <w:b/>
          <w:bCs/>
          <w:sz w:val="19"/>
          <w:szCs w:val="19"/>
        </w:rPr>
        <w:t>o přijaté revisní předlohy se za válečný materiál nepovažuje nafta, nákladní automobily, nevyzbrojená letadla a pod.</w:t>
      </w:r>
    </w:p>
    <w:p w:rsidR="00500724" w:rsidRDefault="00F30FB8">
      <w:pPr>
        <w:pStyle w:val="Zkladntext100"/>
        <w:shd w:val="clear" w:color="auto" w:fill="auto"/>
        <w:spacing w:line="187" w:lineRule="auto"/>
        <w:ind w:firstLine="260"/>
        <w:rPr>
          <w:sz w:val="19"/>
          <w:szCs w:val="19"/>
        </w:rPr>
      </w:pPr>
      <w:r>
        <w:rPr>
          <w:b/>
          <w:bCs/>
          <w:sz w:val="19"/>
          <w:szCs w:val="19"/>
        </w:rPr>
        <w:t>Jak vidět, je tu nyní otevřena ne cestička, nýbrž po</w:t>
      </w:r>
      <w:r>
        <w:rPr>
          <w:b/>
          <w:bCs/>
          <w:sz w:val="19"/>
          <w:szCs w:val="19"/>
        </w:rPr>
        <w:softHyphen/>
        <w:t>řádná dálnice obchodním zájmům USA, jež by byly velmi aktualisovány případnou válkou z</w:t>
      </w:r>
      <w:r>
        <w:rPr>
          <w:b/>
          <w:bCs/>
          <w:sz w:val="19"/>
          <w:szCs w:val="19"/>
        </w:rPr>
        <w:t>a Atlantickým oceánem. Přes druhý, Pacifický oceán bylo možno dodávat zcela vyložený válečný materiál i v době platnosti úplného em</w:t>
      </w:r>
      <w:r>
        <w:rPr>
          <w:b/>
          <w:bCs/>
          <w:sz w:val="19"/>
          <w:szCs w:val="19"/>
        </w:rPr>
        <w:softHyphen/>
        <w:t>barga. Neboť na Východě nebyla, jak známo, válka formál</w:t>
      </w:r>
      <w:r>
        <w:rPr>
          <w:b/>
          <w:bCs/>
          <w:sz w:val="19"/>
          <w:szCs w:val="19"/>
        </w:rPr>
        <w:softHyphen/>
        <w:t>ně vypověděna, takže chybí základní předpoklad americ</w:t>
      </w:r>
      <w:r>
        <w:rPr>
          <w:b/>
          <w:bCs/>
          <w:sz w:val="19"/>
          <w:szCs w:val="19"/>
        </w:rPr>
        <w:softHyphen/>
        <w:t>kého neutralit</w:t>
      </w:r>
      <w:r>
        <w:rPr>
          <w:b/>
          <w:bCs/>
          <w:sz w:val="19"/>
          <w:szCs w:val="19"/>
        </w:rPr>
        <w:t>ního zákona — určitý ohled na něj a na americké dodávky nepochybně působil na tokijskou vlá</w:t>
      </w:r>
      <w:r>
        <w:rPr>
          <w:b/>
          <w:bCs/>
          <w:sz w:val="19"/>
          <w:szCs w:val="19"/>
        </w:rPr>
        <w:softHyphen/>
        <w:t>du. Nelze ovšem dost dobře předpokládat, že by válčící Evropa dovedla podobně obejít úskalí amerického embar</w:t>
      </w:r>
      <w:r>
        <w:rPr>
          <w:b/>
          <w:bCs/>
          <w:sz w:val="19"/>
          <w:szCs w:val="19"/>
        </w:rPr>
        <w:softHyphen/>
        <w:t>ga; klausule smluvních systémů a ustanovení mezinárod</w:t>
      </w:r>
      <w:r>
        <w:rPr>
          <w:b/>
          <w:bCs/>
          <w:sz w:val="19"/>
          <w:szCs w:val="19"/>
        </w:rPr>
        <w:softHyphen/>
        <w:t>n</w:t>
      </w:r>
      <w:r>
        <w:rPr>
          <w:b/>
          <w:bCs/>
          <w:sz w:val="19"/>
          <w:szCs w:val="19"/>
        </w:rPr>
        <w:t>ího práva o blokádě by si tu nejspíš znova vynutily jinak valně zastaralou formalitu s vyhlášením válečného stavu.</w:t>
      </w:r>
    </w:p>
    <w:p w:rsidR="00500724" w:rsidRDefault="00F30FB8">
      <w:pPr>
        <w:pStyle w:val="Zkladntext100"/>
        <w:shd w:val="clear" w:color="auto" w:fill="auto"/>
        <w:spacing w:line="187" w:lineRule="auto"/>
        <w:ind w:firstLine="260"/>
        <w:rPr>
          <w:sz w:val="19"/>
          <w:szCs w:val="19"/>
        </w:rPr>
      </w:pPr>
      <w:r>
        <w:rPr>
          <w:b/>
          <w:bCs/>
          <w:sz w:val="19"/>
          <w:szCs w:val="19"/>
        </w:rPr>
        <w:t>Spojené Státy dodávají už dva roky docela klidně vo</w:t>
      </w:r>
      <w:r>
        <w:rPr>
          <w:b/>
          <w:bCs/>
          <w:sz w:val="19"/>
          <w:szCs w:val="19"/>
        </w:rPr>
        <w:softHyphen/>
        <w:t>jenský materiál Japonsku i Číně. Pokud jde o Evropu, je dostatečně jasno ze všech jeho pr</w:t>
      </w:r>
      <w:r>
        <w:rPr>
          <w:b/>
          <w:bCs/>
          <w:sz w:val="19"/>
          <w:szCs w:val="19"/>
        </w:rPr>
        <w:t>ojevů, že president Roosevelt si nepřeje, aby Amerika zásobovala oba tábo</w:t>
      </w:r>
      <w:r>
        <w:rPr>
          <w:b/>
          <w:bCs/>
          <w:sz w:val="19"/>
          <w:szCs w:val="19"/>
        </w:rPr>
        <w:softHyphen/>
        <w:t>ry. A právě na to poukazují američtí pacifisté a isolacio</w:t>
      </w:r>
      <w:r>
        <w:rPr>
          <w:b/>
          <w:bCs/>
          <w:sz w:val="19"/>
          <w:szCs w:val="19"/>
        </w:rPr>
        <w:softHyphen/>
        <w:t>nisté jako na zárodek dalších nebezpečí. Argumentují asi takto: Kdo začne podporovat jednu z válčících stran, je už tím inte</w:t>
      </w:r>
      <w:r>
        <w:rPr>
          <w:b/>
          <w:bCs/>
          <w:sz w:val="19"/>
          <w:szCs w:val="19"/>
        </w:rPr>
        <w:t>resován na jejím vítězství. Začne-li ji nejprve pod</w:t>
      </w:r>
      <w:r>
        <w:rPr>
          <w:b/>
          <w:bCs/>
          <w:sz w:val="19"/>
          <w:szCs w:val="19"/>
        </w:rPr>
        <w:softHyphen/>
        <w:t>porovat třeba jen materiálem, bude logikou věcí brzy dohnán k tomu, aby ji podporoval i finančně; kam jednou poplují dolary, poplují brzy i vojáci. Kdo vsadí na koně, chce, aby jeho kůň vyhrál; a kdo může</w:t>
      </w:r>
      <w:r>
        <w:rPr>
          <w:b/>
          <w:bCs/>
          <w:sz w:val="19"/>
          <w:szCs w:val="19"/>
        </w:rPr>
        <w:t xml:space="preserve"> pomoci svému favoritu, bude to dříve nebo později chtít udělat.</w:t>
      </w:r>
    </w:p>
    <w:p w:rsidR="00500724" w:rsidRDefault="00F30FB8">
      <w:pPr>
        <w:pStyle w:val="Zkladntext100"/>
        <w:shd w:val="clear" w:color="auto" w:fill="auto"/>
        <w:spacing w:after="100" w:line="187" w:lineRule="auto"/>
        <w:ind w:firstLine="260"/>
        <w:rPr>
          <w:sz w:val="19"/>
          <w:szCs w:val="19"/>
        </w:rPr>
      </w:pPr>
      <w:r>
        <w:rPr>
          <w:b/>
          <w:bCs/>
          <w:sz w:val="19"/>
          <w:szCs w:val="19"/>
        </w:rPr>
        <w:t>Na námitky tohoto druhu odpovídá president Roose</w:t>
      </w:r>
      <w:r>
        <w:rPr>
          <w:b/>
          <w:bCs/>
          <w:sz w:val="19"/>
          <w:szCs w:val="19"/>
        </w:rPr>
        <w:softHyphen/>
        <w:t>velt velmi — řekněme — zajímavým způsobem: přijímá je... a právě tím je chce vyvrátit. Ano, říká, americká politika se má snažit udělat všechn</w:t>
      </w:r>
      <w:r>
        <w:rPr>
          <w:b/>
          <w:bCs/>
          <w:sz w:val="19"/>
          <w:szCs w:val="19"/>
        </w:rPr>
        <w:t>o, aby Spojené Státy nebyly strženy do války. Ale zcela bezpečně nebude Ame</w:t>
      </w:r>
      <w:r>
        <w:rPr>
          <w:b/>
          <w:bCs/>
          <w:sz w:val="19"/>
          <w:szCs w:val="19"/>
        </w:rPr>
        <w:softHyphen/>
        <w:t>rika stržena do evropské války jen tehdy, když — ne</w:t>
      </w:r>
      <w:r>
        <w:rPr>
          <w:b/>
          <w:bCs/>
          <w:sz w:val="19"/>
          <w:szCs w:val="19"/>
        </w:rPr>
        <w:softHyphen/>
        <w:t>bude evropské války. Tedy má usilovat o to, aby jí bylo zabráněno; nejlepším prostředkem k tomu je přesvědči</w:t>
      </w:r>
      <w:r>
        <w:rPr>
          <w:b/>
          <w:bCs/>
          <w:sz w:val="19"/>
          <w:szCs w:val="19"/>
        </w:rPr>
        <w:softHyphen/>
        <w:t>vé prohlášeni, že U</w:t>
      </w:r>
      <w:r>
        <w:rPr>
          <w:b/>
          <w:bCs/>
          <w:sz w:val="19"/>
          <w:szCs w:val="19"/>
        </w:rPr>
        <w:t>SA nezůstanou neutrální. Rooseveltův závěrečný paradox pak zní: právě američtí pacifisté a</w:t>
      </w:r>
    </w:p>
    <w:p w:rsidR="00500724" w:rsidRDefault="00F30FB8">
      <w:pPr>
        <w:pStyle w:val="Zkladntext100"/>
        <w:shd w:val="clear" w:color="auto" w:fill="auto"/>
        <w:spacing w:line="187" w:lineRule="auto"/>
        <w:ind w:firstLine="0"/>
        <w:jc w:val="left"/>
        <w:rPr>
          <w:sz w:val="19"/>
          <w:szCs w:val="19"/>
        </w:rPr>
      </w:pPr>
      <w:r>
        <w:rPr>
          <w:b/>
          <w:bCs/>
          <w:sz w:val="19"/>
          <w:szCs w:val="19"/>
        </w:rPr>
        <w:t>isolacionisté by měli být pro zrušení neutralitního zákona.</w:t>
      </w:r>
    </w:p>
    <w:p w:rsidR="00500724" w:rsidRDefault="00F30FB8">
      <w:pPr>
        <w:pStyle w:val="Zkladntext100"/>
        <w:shd w:val="clear" w:color="auto" w:fill="auto"/>
        <w:spacing w:line="187" w:lineRule="auto"/>
        <w:ind w:firstLine="240"/>
        <w:rPr>
          <w:sz w:val="19"/>
          <w:szCs w:val="19"/>
        </w:rPr>
      </w:pPr>
      <w:r>
        <w:rPr>
          <w:b/>
          <w:bCs/>
          <w:sz w:val="19"/>
          <w:szCs w:val="19"/>
        </w:rPr>
        <w:t>President Roosevelt nemá však dnes proti sobě jen ideology pacifismu a stoupence isolace, dovolávající se</w:t>
      </w:r>
      <w:r>
        <w:rPr>
          <w:b/>
          <w:bCs/>
          <w:sz w:val="19"/>
          <w:szCs w:val="19"/>
        </w:rPr>
        <w:t xml:space="preserve"> Jiřího Washingtona a jeho varování, aby se Amerika ne</w:t>
      </w:r>
      <w:r>
        <w:rPr>
          <w:b/>
          <w:bCs/>
          <w:sz w:val="19"/>
          <w:szCs w:val="19"/>
        </w:rPr>
        <w:softHyphen/>
        <w:t>vázala k žádné jiné velmoci. Pacifismus má svoje přívržen</w:t>
      </w:r>
      <w:r>
        <w:rPr>
          <w:b/>
          <w:bCs/>
          <w:sz w:val="19"/>
          <w:szCs w:val="19"/>
        </w:rPr>
        <w:softHyphen/>
        <w:t>ce v obou velkých stranách amerického politického života; na jeho linii se sejde mnoho demokratů i republikánů bez rozdílu. Avšak republikánská</w:t>
      </w:r>
      <w:r>
        <w:rPr>
          <w:b/>
          <w:bCs/>
          <w:sz w:val="19"/>
          <w:szCs w:val="19"/>
        </w:rPr>
        <w:t xml:space="preserve"> strana jde jako celek proti dnešnímu demokratickému presidentu, kterého chce pora</w:t>
      </w:r>
      <w:r>
        <w:rPr>
          <w:b/>
          <w:bCs/>
          <w:sz w:val="19"/>
          <w:szCs w:val="19"/>
        </w:rPr>
        <w:softHyphen/>
        <w:t>zit při volbách v příštím roce. Velmi mnozí, ba snad vět</w:t>
      </w:r>
      <w:r>
        <w:rPr>
          <w:b/>
          <w:bCs/>
          <w:sz w:val="19"/>
          <w:szCs w:val="19"/>
        </w:rPr>
        <w:softHyphen/>
        <w:t>šina republikánů v senátě i v kongrese nemají jiných ná</w:t>
      </w:r>
      <w:r>
        <w:rPr>
          <w:b/>
          <w:bCs/>
          <w:sz w:val="19"/>
          <w:szCs w:val="19"/>
        </w:rPr>
        <w:softHyphen/>
        <w:t>mitek proti Rooseveltově zahraniční politice, nežli že je to</w:t>
      </w:r>
      <w:r>
        <w:rPr>
          <w:b/>
          <w:bCs/>
          <w:sz w:val="19"/>
          <w:szCs w:val="19"/>
        </w:rPr>
        <w:t xml:space="preserve"> Rooseveltova politika. Litují, že není jejich strana ve vládě — pak by sami prosazovali revisi neutralitního zákona. Prozatím jsou v oposici a obávají se, že by oslabili svoje posice, kdyby projevili souhlas s kteroukoli složitou Rooseveltovy administrati</w:t>
      </w:r>
      <w:r>
        <w:rPr>
          <w:b/>
          <w:bCs/>
          <w:sz w:val="19"/>
          <w:szCs w:val="19"/>
        </w:rPr>
        <w:t>vy.</w:t>
      </w:r>
    </w:p>
    <w:p w:rsidR="00500724" w:rsidRDefault="00F30FB8">
      <w:pPr>
        <w:pStyle w:val="Zkladntext100"/>
        <w:shd w:val="clear" w:color="auto" w:fill="auto"/>
        <w:spacing w:after="180" w:line="187" w:lineRule="auto"/>
        <w:ind w:firstLine="240"/>
        <w:rPr>
          <w:sz w:val="20"/>
          <w:szCs w:val="20"/>
        </w:rPr>
      </w:pPr>
      <w:r>
        <w:rPr>
          <w:b/>
          <w:bCs/>
          <w:sz w:val="19"/>
          <w:szCs w:val="19"/>
        </w:rPr>
        <w:t>Vzdá se teď Roosevelt svého boje? Po svých dvou ne</w:t>
      </w:r>
      <w:r>
        <w:rPr>
          <w:b/>
          <w:bCs/>
          <w:sz w:val="19"/>
          <w:szCs w:val="19"/>
        </w:rPr>
        <w:softHyphen/>
        <w:t>úspěších musí být připraven na to, že zákonodárné sbory se neutralitnim zákonem nebudou už zabývat až do příš</w:t>
      </w:r>
      <w:r>
        <w:rPr>
          <w:b/>
          <w:bCs/>
          <w:sz w:val="19"/>
          <w:szCs w:val="19"/>
        </w:rPr>
        <w:softHyphen/>
        <w:t>tího ledna. Pak, když už bude volební kampaň přede dveř</w:t>
      </w:r>
      <w:r>
        <w:rPr>
          <w:b/>
          <w:bCs/>
          <w:sz w:val="19"/>
          <w:szCs w:val="19"/>
        </w:rPr>
        <w:softHyphen/>
        <w:t>mi, zápas o americkou neutralitu pa</w:t>
      </w:r>
      <w:r>
        <w:rPr>
          <w:b/>
          <w:bCs/>
          <w:sz w:val="19"/>
          <w:szCs w:val="19"/>
        </w:rPr>
        <w:t>trně vyvrcholí. Do té doby bude president nepochybně chtít získat pro svou po</w:t>
      </w:r>
      <w:r>
        <w:rPr>
          <w:b/>
          <w:bCs/>
          <w:sz w:val="19"/>
          <w:szCs w:val="19"/>
        </w:rPr>
        <w:softHyphen/>
        <w:t xml:space="preserve">litiku co nejvíce sympatii. Zprávy z Washingtonu mluví o tom, že se připravuje k rozhlasové kampani. </w:t>
      </w:r>
      <w:r>
        <w:rPr>
          <w:i/>
          <w:iCs/>
          <w:sz w:val="20"/>
          <w:szCs w:val="20"/>
        </w:rPr>
        <w:t>P. H.</w:t>
      </w:r>
    </w:p>
    <w:p w:rsidR="00500724" w:rsidRDefault="00F30FB8">
      <w:pPr>
        <w:pStyle w:val="Zkladntext20"/>
        <w:shd w:val="clear" w:color="auto" w:fill="auto"/>
        <w:spacing w:after="40" w:line="178" w:lineRule="auto"/>
        <w:ind w:firstLine="0"/>
        <w:jc w:val="center"/>
        <w:rPr>
          <w:sz w:val="20"/>
          <w:szCs w:val="20"/>
        </w:rPr>
      </w:pPr>
      <w:r>
        <w:rPr>
          <w:b/>
          <w:bCs/>
          <w:sz w:val="20"/>
          <w:szCs w:val="20"/>
        </w:rPr>
        <w:t>Východní orientace Ruska</w:t>
      </w:r>
    </w:p>
    <w:p w:rsidR="00500724" w:rsidRDefault="00F30FB8">
      <w:pPr>
        <w:pStyle w:val="Zkladntext100"/>
        <w:shd w:val="clear" w:color="auto" w:fill="auto"/>
        <w:spacing w:line="187" w:lineRule="auto"/>
        <w:ind w:firstLine="240"/>
        <w:rPr>
          <w:sz w:val="19"/>
          <w:szCs w:val="19"/>
        </w:rPr>
      </w:pPr>
      <w:r>
        <w:rPr>
          <w:b/>
          <w:bCs/>
          <w:sz w:val="19"/>
          <w:szCs w:val="19"/>
        </w:rPr>
        <w:t>Před dvěma roky vypukl plnou silou japonsko-ěí</w:t>
      </w:r>
      <w:r>
        <w:rPr>
          <w:b/>
          <w:bCs/>
          <w:sz w:val="19"/>
          <w:szCs w:val="19"/>
        </w:rPr>
        <w:t>nský konflikt. Téměř současně, jen s malým zpožděním, vypukl na severním Sachalinu sovětsko-japonský konflikt o naf</w:t>
      </w:r>
      <w:r>
        <w:rPr>
          <w:b/>
          <w:bCs/>
          <w:sz w:val="19"/>
          <w:szCs w:val="19"/>
        </w:rPr>
        <w:softHyphen/>
        <w:t>tové a uhelné koncese: současnost byla v tomto případě dostatečně jasným svědectvím o příčinné souvislosti. Mos</w:t>
      </w:r>
      <w:r>
        <w:rPr>
          <w:b/>
          <w:bCs/>
          <w:sz w:val="19"/>
          <w:szCs w:val="19"/>
        </w:rPr>
        <w:softHyphen/>
        <w:t>kevské úřady považovaly za ú</w:t>
      </w:r>
      <w:r>
        <w:rPr>
          <w:b/>
          <w:bCs/>
          <w:sz w:val="19"/>
          <w:szCs w:val="19"/>
        </w:rPr>
        <w:t>čelno ztižiti Japonsku záso</w:t>
      </w:r>
      <w:r>
        <w:rPr>
          <w:b/>
          <w:bCs/>
          <w:sz w:val="19"/>
          <w:szCs w:val="19"/>
        </w:rPr>
        <w:softHyphen/>
        <w:t>bování naftou v době, kdy jí jeho armáda při svých akcích v Čině potřebovala více než kdy jindy.</w:t>
      </w:r>
    </w:p>
    <w:p w:rsidR="00500724" w:rsidRDefault="00F30FB8">
      <w:pPr>
        <w:pStyle w:val="Zkladntext100"/>
        <w:shd w:val="clear" w:color="auto" w:fill="auto"/>
        <w:spacing w:line="187" w:lineRule="auto"/>
        <w:ind w:firstLine="240"/>
        <w:rPr>
          <w:sz w:val="19"/>
          <w:szCs w:val="19"/>
        </w:rPr>
      </w:pPr>
      <w:r>
        <w:rPr>
          <w:b/>
          <w:bCs/>
          <w:sz w:val="19"/>
          <w:szCs w:val="19"/>
        </w:rPr>
        <w:t>Sovětské koncesní smlouvy jsou neobyčejně tvrdé. Sta</w:t>
      </w:r>
      <w:r>
        <w:rPr>
          <w:b/>
          <w:bCs/>
          <w:sz w:val="19"/>
          <w:szCs w:val="19"/>
        </w:rPr>
        <w:softHyphen/>
        <w:t>noví přesně závazný rozsah roční těžby i sazby dělnických mezd; a na každé ned</w:t>
      </w:r>
      <w:r>
        <w:rPr>
          <w:b/>
          <w:bCs/>
          <w:sz w:val="19"/>
          <w:szCs w:val="19"/>
        </w:rPr>
        <w:t>održení smluvních závazků určují vysoké pokuty. Japonsko podepsalo takovou koncesní smlouvu o těžbu nafty a uhlí na severním Sachalinu už v roce 1929; celých osm let šlo tu všechno celkem hladce, u žádné z obou stran nebylo větších stížností. V polovině ro</w:t>
      </w:r>
      <w:r>
        <w:rPr>
          <w:b/>
          <w:bCs/>
          <w:sz w:val="19"/>
          <w:szCs w:val="19"/>
        </w:rPr>
        <w:t>ku 1937 se to náhle změnilo. Japonské úřady si stěžo</w:t>
      </w:r>
      <w:r>
        <w:rPr>
          <w:b/>
          <w:bCs/>
          <w:sz w:val="19"/>
          <w:szCs w:val="19"/>
        </w:rPr>
        <w:softHyphen/>
        <w:t>valy, že se sovětské strany se začaly dělat těžbě takové překážky, které stlačily její roční produkci ze 200 tisíc tun na 60 tisíc tun čili téměř na pouhou čtvrtinu; podobně tomu bylo i s uhlím. Japonský</w:t>
      </w:r>
      <w:r>
        <w:rPr>
          <w:b/>
          <w:bCs/>
          <w:sz w:val="19"/>
          <w:szCs w:val="19"/>
        </w:rPr>
        <w:t>m protiopatřením bylo citel</w:t>
      </w:r>
      <w:r>
        <w:rPr>
          <w:b/>
          <w:bCs/>
          <w:sz w:val="19"/>
          <w:szCs w:val="19"/>
        </w:rPr>
        <w:softHyphen/>
        <w:t>né snížení mezd; postižené dělnictvo žalovalo na porušení kolektivní smlouvy a Moskva odsoudila japonské koncesní společnosti k vysoké pokutě.</w:t>
      </w:r>
    </w:p>
    <w:p w:rsidR="00500724" w:rsidRDefault="00F30FB8">
      <w:pPr>
        <w:pStyle w:val="Zkladntext100"/>
        <w:shd w:val="clear" w:color="auto" w:fill="auto"/>
        <w:spacing w:line="187" w:lineRule="auto"/>
        <w:ind w:firstLine="240"/>
        <w:rPr>
          <w:sz w:val="19"/>
          <w:szCs w:val="19"/>
        </w:rPr>
      </w:pPr>
      <w:r>
        <w:rPr>
          <w:b/>
          <w:bCs/>
          <w:sz w:val="19"/>
          <w:szCs w:val="19"/>
        </w:rPr>
        <w:t>To bylo už před dvěma roky — pokuta zaplacena ne</w:t>
      </w:r>
      <w:r>
        <w:rPr>
          <w:b/>
          <w:bCs/>
          <w:sz w:val="19"/>
          <w:szCs w:val="19"/>
        </w:rPr>
        <w:softHyphen/>
        <w:t xml:space="preserve">byla. Nyní ji začala Moskva vymáhat </w:t>
      </w:r>
      <w:r>
        <w:rPr>
          <w:b/>
          <w:bCs/>
          <w:sz w:val="19"/>
          <w:szCs w:val="19"/>
        </w:rPr>
        <w:t>hrozbami sankcí: časová i příčinná souvislost je zase jasná. Sovětské Rusko se domnívá, že po dvou letech těžkých bojů v Čině může na Dálném východě vystupovat s větší energií. V tomto přesvědčení odmítlo teď dokonce přijmout japonskou pro</w:t>
      </w:r>
      <w:r>
        <w:rPr>
          <w:b/>
          <w:bCs/>
          <w:sz w:val="19"/>
          <w:szCs w:val="19"/>
        </w:rPr>
        <w:softHyphen/>
        <w:t>testní notu v sa</w:t>
      </w:r>
      <w:r>
        <w:rPr>
          <w:b/>
          <w:bCs/>
          <w:sz w:val="19"/>
          <w:szCs w:val="19"/>
        </w:rPr>
        <w:t>chalinské záležitosti. Odpovědí byl projev mluvčího japonského loďstva, v němž se objevila slova o možnosti válečného konfliktu. Tokio rozhodně odmítá zaplatit pokutu: bude ji Moskva vymáhat krajními pro</w:t>
      </w:r>
      <w:r>
        <w:rPr>
          <w:b/>
          <w:bCs/>
          <w:sz w:val="19"/>
          <w:szCs w:val="19"/>
        </w:rPr>
        <w:softHyphen/>
        <w:t>středky, jakými by bylo na příklad vypovědění konces</w:t>
      </w:r>
      <w:r>
        <w:rPr>
          <w:b/>
          <w:bCs/>
          <w:sz w:val="19"/>
          <w:szCs w:val="19"/>
        </w:rPr>
        <w:softHyphen/>
        <w:t>ních smluv, jež by mělo Japonsko připravit o zdroje naf</w:t>
      </w:r>
      <w:r>
        <w:rPr>
          <w:b/>
          <w:bCs/>
          <w:sz w:val="19"/>
          <w:szCs w:val="19"/>
        </w:rPr>
        <w:softHyphen/>
        <w:t>ty, nezbytné pro jeho loďstvo, letectvo a motorisovanou armádu? Vývoj v tomto směru by mohl být svrchovaně nebezpečný.</w:t>
      </w:r>
    </w:p>
    <w:p w:rsidR="00500724" w:rsidRDefault="00F30FB8">
      <w:pPr>
        <w:pStyle w:val="Zkladntext100"/>
        <w:shd w:val="clear" w:color="auto" w:fill="auto"/>
        <w:tabs>
          <w:tab w:val="left" w:pos="4502"/>
        </w:tabs>
        <w:spacing w:after="120" w:line="187" w:lineRule="auto"/>
        <w:ind w:firstLine="240"/>
        <w:rPr>
          <w:sz w:val="20"/>
          <w:szCs w:val="20"/>
        </w:rPr>
      </w:pPr>
      <w:r>
        <w:rPr>
          <w:b/>
          <w:bCs/>
          <w:sz w:val="19"/>
          <w:szCs w:val="19"/>
        </w:rPr>
        <w:t>V novověkých dějinách Ruska je možno sledovat stří</w:t>
      </w:r>
      <w:r>
        <w:rPr>
          <w:b/>
          <w:bCs/>
          <w:sz w:val="19"/>
          <w:szCs w:val="19"/>
        </w:rPr>
        <w:softHyphen/>
        <w:t>dání západní politiky s polit</w:t>
      </w:r>
      <w:r>
        <w:rPr>
          <w:b/>
          <w:bCs/>
          <w:sz w:val="19"/>
          <w:szCs w:val="19"/>
        </w:rPr>
        <w:t>ikou východní. Na po</w:t>
      </w:r>
      <w:r>
        <w:rPr>
          <w:b/>
          <w:bCs/>
          <w:sz w:val="19"/>
          <w:szCs w:val="19"/>
        </w:rPr>
        <w:softHyphen/>
        <w:t>čátku našeho století byla veliká politika carské říše orientována východně, východočínské železnice a Port Artur tu byly jejími úspěchy. Když tato orientace ztrosko</w:t>
      </w:r>
      <w:r>
        <w:rPr>
          <w:b/>
          <w:bCs/>
          <w:sz w:val="19"/>
          <w:szCs w:val="19"/>
        </w:rPr>
        <w:softHyphen/>
        <w:t>tala v rusko-japonské válce, angažovalo se Rusko v evrop</w:t>
      </w:r>
      <w:r>
        <w:rPr>
          <w:b/>
          <w:bCs/>
          <w:sz w:val="19"/>
          <w:szCs w:val="19"/>
        </w:rPr>
        <w:softHyphen/>
        <w:t xml:space="preserve">ské politice </w:t>
      </w:r>
      <w:r>
        <w:rPr>
          <w:b/>
          <w:bCs/>
          <w:sz w:val="19"/>
          <w:szCs w:val="19"/>
        </w:rPr>
        <w:t>Trojdohody. Sověty zkusily své štěstí nejprve pochodem na Varšavu; po své porážce na Visle se obrátily do Číny. Daly se tu svou neobratnou politikou zamané- vrovat do katastrofy, načež se znovu orientovaly západ</w:t>
      </w:r>
      <w:r>
        <w:rPr>
          <w:b/>
          <w:bCs/>
          <w:sz w:val="19"/>
          <w:szCs w:val="19"/>
        </w:rPr>
        <w:softHyphen/>
        <w:t>ně uzavřením francouzsko-československo-sově</w:t>
      </w:r>
      <w:r>
        <w:rPr>
          <w:b/>
          <w:bCs/>
          <w:sz w:val="19"/>
          <w:szCs w:val="19"/>
        </w:rPr>
        <w:t>tského spol</w:t>
      </w:r>
      <w:r>
        <w:rPr>
          <w:b/>
          <w:bCs/>
          <w:sz w:val="19"/>
          <w:szCs w:val="19"/>
        </w:rPr>
        <w:softHyphen/>
        <w:t>ku. Od Mnichova se konečně datuje počátek nového vý</w:t>
      </w:r>
      <w:r>
        <w:rPr>
          <w:b/>
          <w:bCs/>
          <w:sz w:val="19"/>
          <w:szCs w:val="19"/>
        </w:rPr>
        <w:softHyphen/>
        <w:t>chodního kursu moskevské zahraniční politiky. V její linii leží neústupnost na mandžuských hranicích i neústupnost na severním Sachalinu. Rubem téže politiky je pak Molo</w:t>
      </w:r>
      <w:r>
        <w:rPr>
          <w:b/>
          <w:bCs/>
          <w:sz w:val="19"/>
          <w:szCs w:val="19"/>
        </w:rPr>
        <w:softHyphen/>
        <w:t>tovův nedostatek zájmu</w:t>
      </w:r>
      <w:r>
        <w:rPr>
          <w:b/>
          <w:bCs/>
          <w:sz w:val="19"/>
          <w:szCs w:val="19"/>
        </w:rPr>
        <w:t xml:space="preserve"> na rychlém úspěchu Strangovy misse.</w:t>
      </w:r>
      <w:r>
        <w:rPr>
          <w:b/>
          <w:bCs/>
          <w:sz w:val="19"/>
          <w:szCs w:val="19"/>
        </w:rPr>
        <w:tab/>
        <w:t xml:space="preserve">P, </w:t>
      </w:r>
      <w:r>
        <w:rPr>
          <w:i/>
          <w:iCs/>
          <w:sz w:val="20"/>
          <w:szCs w:val="20"/>
        </w:rPr>
        <w:t>H.</w:t>
      </w:r>
    </w:p>
    <w:p w:rsidR="00500724" w:rsidRDefault="00F30FB8">
      <w:pPr>
        <w:pStyle w:val="Zkladntext20"/>
        <w:shd w:val="clear" w:color="auto" w:fill="auto"/>
        <w:spacing w:after="80" w:line="175" w:lineRule="auto"/>
        <w:ind w:firstLine="0"/>
        <w:jc w:val="center"/>
        <w:rPr>
          <w:sz w:val="20"/>
          <w:szCs w:val="20"/>
        </w:rPr>
      </w:pPr>
      <w:r>
        <w:rPr>
          <w:b/>
          <w:bCs/>
          <w:sz w:val="20"/>
          <w:szCs w:val="20"/>
        </w:rPr>
        <w:t>Co chce Japonsko</w:t>
      </w:r>
    </w:p>
    <w:p w:rsidR="00500724" w:rsidRDefault="00F30FB8">
      <w:pPr>
        <w:pStyle w:val="Zkladntext100"/>
        <w:shd w:val="clear" w:color="auto" w:fill="auto"/>
        <w:spacing w:after="80" w:line="197" w:lineRule="auto"/>
        <w:ind w:left="540" w:firstLine="160"/>
      </w:pPr>
      <w:r>
        <w:t>Známý německý žurnalista Friedrich Sieburg, jenž je nyní na studijní cestě Japonskem, uveřejňuje ve Frank</w:t>
      </w:r>
      <w:r>
        <w:softHyphen/>
        <w:t>furter Zeitung velmi zajímavý rozhovor s japonským důstojníkem. Je to důstojník japonského</w:t>
      </w:r>
      <w:r>
        <w:t xml:space="preserve"> generálního štábu — ovšem nikoliv z vedoucích lidí, jenž patří ke generaci japonských mladých důstojníků, která nyní určuje osudy Japonska. Rozhovor se konal v tokijské restauraci »U mladého měsíce«. Přinášíme některé úryvky z tohoto článku.</w:t>
      </w:r>
    </w:p>
    <w:p w:rsidR="00500724" w:rsidRDefault="00F30FB8">
      <w:pPr>
        <w:pStyle w:val="Zkladntext100"/>
        <w:shd w:val="clear" w:color="auto" w:fill="auto"/>
        <w:spacing w:line="185" w:lineRule="auto"/>
        <w:ind w:firstLine="340"/>
        <w:rPr>
          <w:sz w:val="19"/>
          <w:szCs w:val="19"/>
        </w:rPr>
      </w:pPr>
      <w:r>
        <w:rPr>
          <w:b/>
          <w:bCs/>
          <w:sz w:val="19"/>
          <w:szCs w:val="19"/>
        </w:rPr>
        <w:t>»Japonsko chc</w:t>
      </w:r>
      <w:r>
        <w:rPr>
          <w:b/>
          <w:bCs/>
          <w:sz w:val="19"/>
          <w:szCs w:val="19"/>
        </w:rPr>
        <w:t>e vést a povede,« řekl mladý plukovník Karuizawa, sehnutý nad malým stolem, na němž stály zbytky naší večeře. Řekl to tichým hlasem, bez jakéhokoliv gesta. Řekl to téměř šeptem, jako by jen opakoval to, čím se mu projevil nějaký genius.</w:t>
      </w:r>
    </w:p>
    <w:p w:rsidR="00500724" w:rsidRDefault="00F30FB8">
      <w:pPr>
        <w:pStyle w:val="Zkladntext100"/>
        <w:shd w:val="clear" w:color="auto" w:fill="auto"/>
        <w:spacing w:line="185" w:lineRule="auto"/>
        <w:ind w:firstLine="340"/>
        <w:rPr>
          <w:sz w:val="19"/>
          <w:szCs w:val="19"/>
        </w:rPr>
      </w:pPr>
      <w:r>
        <w:rPr>
          <w:b/>
          <w:bCs/>
          <w:sz w:val="19"/>
          <w:szCs w:val="19"/>
        </w:rPr>
        <w:t>»Opakuji,« pokračov</w:t>
      </w:r>
      <w:r>
        <w:rPr>
          <w:b/>
          <w:bCs/>
          <w:sz w:val="19"/>
          <w:szCs w:val="19"/>
        </w:rPr>
        <w:t>al plukovník, »že Japonsku nejde ani o úplné odstranění Čankajška z Činy, ani o zrušení za</w:t>
      </w:r>
      <w:r>
        <w:rPr>
          <w:b/>
          <w:bCs/>
          <w:sz w:val="19"/>
          <w:szCs w:val="19"/>
        </w:rPr>
        <w:softHyphen/>
        <w:t>hraničních koncesí v Tiencinu a v Šanliaji. To jsou jen eta</w:t>
      </w:r>
      <w:r>
        <w:rPr>
          <w:b/>
          <w:bCs/>
          <w:sz w:val="19"/>
          <w:szCs w:val="19"/>
        </w:rPr>
        <w:softHyphen/>
        <w:t>py na naší cestě, nic více. Nejde ani o získání nových su</w:t>
      </w:r>
      <w:r>
        <w:rPr>
          <w:b/>
          <w:bCs/>
          <w:sz w:val="19"/>
          <w:szCs w:val="19"/>
        </w:rPr>
        <w:softHyphen/>
        <w:t>rovin, nových trhů nebo nového území pro osídle</w:t>
      </w:r>
      <w:r>
        <w:rPr>
          <w:b/>
          <w:bCs/>
          <w:sz w:val="19"/>
          <w:szCs w:val="19"/>
        </w:rPr>
        <w:t>ní. To jsou do jisté míry vedlejší produkty. Jde nám o jedno: o utvo</w:t>
      </w:r>
      <w:r>
        <w:rPr>
          <w:b/>
          <w:bCs/>
          <w:sz w:val="19"/>
          <w:szCs w:val="19"/>
        </w:rPr>
        <w:softHyphen/>
        <w:t>ření nového řádu v Asii. Bylo nám uloženo nebesy, aby</w:t>
      </w:r>
      <w:r>
        <w:rPr>
          <w:b/>
          <w:bCs/>
          <w:sz w:val="19"/>
          <w:szCs w:val="19"/>
        </w:rPr>
        <w:softHyphen/>
        <w:t>chom vytvořili novou Asii, v níž všechny národy budou klidně žít a šťastně žít pod ochranným panováním Japon</w:t>
      </w:r>
      <w:r>
        <w:rPr>
          <w:b/>
          <w:bCs/>
          <w:sz w:val="19"/>
          <w:szCs w:val="19"/>
        </w:rPr>
        <w:softHyphen/>
        <w:t>ska. Tento úkol splníme.</w:t>
      </w:r>
      <w:r>
        <w:rPr>
          <w:b/>
          <w:bCs/>
          <w:sz w:val="19"/>
          <w:szCs w:val="19"/>
        </w:rPr>
        <w:t>..«</w:t>
      </w:r>
    </w:p>
    <w:p w:rsidR="00500724" w:rsidRDefault="00F30FB8">
      <w:pPr>
        <w:pStyle w:val="Zkladntext100"/>
        <w:shd w:val="clear" w:color="auto" w:fill="auto"/>
        <w:spacing w:line="185" w:lineRule="auto"/>
        <w:ind w:firstLine="340"/>
        <w:rPr>
          <w:sz w:val="19"/>
          <w:szCs w:val="19"/>
        </w:rPr>
      </w:pPr>
      <w:r>
        <w:rPr>
          <w:b/>
          <w:bCs/>
          <w:sz w:val="19"/>
          <w:szCs w:val="19"/>
        </w:rPr>
        <w:t>Mluvili jsme o poslání Japonska ve světě, anebo pro</w:t>
      </w:r>
      <w:r>
        <w:rPr>
          <w:b/>
          <w:bCs/>
          <w:sz w:val="19"/>
          <w:szCs w:val="19"/>
        </w:rPr>
        <w:softHyphen/>
        <w:t>stěji řečeno o výbojné politice. Válka v Číně přeměňuje se ponenáhlu v největší válku, která kdy byla na Dálném vý</w:t>
      </w:r>
      <w:r>
        <w:rPr>
          <w:b/>
          <w:bCs/>
          <w:sz w:val="19"/>
          <w:szCs w:val="19"/>
        </w:rPr>
        <w:softHyphen/>
        <w:t>chodě vedena — ačkoli je dosud v japonské úřední řeči tvrdošíjně nazývána »incidentem</w:t>
      </w:r>
      <w:r>
        <w:rPr>
          <w:b/>
          <w:bCs/>
          <w:sz w:val="19"/>
          <w:szCs w:val="19"/>
        </w:rPr>
        <w:t>«. Ačkoliv válka vyžaduje od japonského hospodářství a obyvatelstva větší a větší oběti, a pro nedostatek a omezování četných druhů zboží a látek je ponenáhlu pociťována i v denním životě, ačkoliv se dále stává jasno, že nelze již očekávat skutečně rozho</w:t>
      </w:r>
      <w:r>
        <w:rPr>
          <w:b/>
          <w:bCs/>
          <w:sz w:val="19"/>
          <w:szCs w:val="19"/>
        </w:rPr>
        <w:softHyphen/>
        <w:t>d</w:t>
      </w:r>
      <w:r>
        <w:rPr>
          <w:b/>
          <w:bCs/>
          <w:sz w:val="19"/>
          <w:szCs w:val="19"/>
        </w:rPr>
        <w:t>ující bitvy — nemůže býti o japonském ústupu ani řeči. Ba, problém vůbec nezáleží v tom, jak vyhrát válku — už je totiž vyhrána; neboť žádná moc na světě nemůže Japon</w:t>
      </w:r>
      <w:r>
        <w:rPr>
          <w:b/>
          <w:bCs/>
          <w:sz w:val="19"/>
          <w:szCs w:val="19"/>
        </w:rPr>
        <w:softHyphen/>
        <w:t>sko vytlačit z jeho nynějších posic v Čině — problém záleží v tom, jak skončit tuto válku</w:t>
      </w:r>
      <w:r>
        <w:rPr>
          <w:b/>
          <w:bCs/>
          <w:sz w:val="19"/>
          <w:szCs w:val="19"/>
        </w:rPr>
        <w:t>. Ukazuje se, že pravý úspěch nezáleží ve vojenských vítězstvích, nýbrž v dosažení míru. Japonsko nechce Čínu zničit, chce získat tuto obrovskou zemi pro sebe, chce s ní spolupracovat a dát jí »nový řád®.</w:t>
      </w:r>
    </w:p>
    <w:p w:rsidR="00500724" w:rsidRDefault="00F30FB8">
      <w:pPr>
        <w:pStyle w:val="Zkladntext100"/>
        <w:shd w:val="clear" w:color="auto" w:fill="auto"/>
        <w:spacing w:line="185" w:lineRule="auto"/>
        <w:ind w:firstLine="340"/>
        <w:rPr>
          <w:sz w:val="19"/>
          <w:szCs w:val="19"/>
        </w:rPr>
      </w:pPr>
      <w:r>
        <w:rPr>
          <w:b/>
          <w:bCs/>
          <w:sz w:val="19"/>
          <w:szCs w:val="19"/>
        </w:rPr>
        <w:t>»Nevěří se nám,« říká plukovník, »ale myslíme to do</w:t>
      </w:r>
      <w:r>
        <w:rPr>
          <w:b/>
          <w:bCs/>
          <w:sz w:val="19"/>
          <w:szCs w:val="19"/>
        </w:rPr>
        <w:softHyphen/>
        <w:t>slova, když říkáme, že chceme Číňanům, které krvavě a často surově potíráme, pomoci. Ne Číňané jsou našimi nepřáteli ve Východní Asii, nýbrž ony mocnosti, které po</w:t>
      </w:r>
      <w:r>
        <w:rPr>
          <w:b/>
          <w:bCs/>
          <w:sz w:val="19"/>
          <w:szCs w:val="19"/>
        </w:rPr>
        <w:softHyphen/>
        <w:t>silují jejich odpor proti nám, aniž pro ně konečně něco udělají. Myslím především na Anglii</w:t>
      </w:r>
      <w:r>
        <w:rPr>
          <w:b/>
          <w:bCs/>
          <w:sz w:val="19"/>
          <w:szCs w:val="19"/>
        </w:rPr>
        <w:t xml:space="preserve">. Neříkejte, že je to pouhý boj o moc mezi námi a Anglií. Každý z nás chce něco protichůdného. Anglie nikdy nechtěla stvořit pravou Asii, vždy udržovala tuto obrovskou část světa ve stavu slabosti, aby ji mohla vykořisťovat. My chceme zásadně něco jiného. </w:t>
      </w:r>
      <w:r>
        <w:rPr>
          <w:b/>
          <w:bCs/>
          <w:sz w:val="19"/>
          <w:szCs w:val="19"/>
        </w:rPr>
        <w:t>Chceme nový řád v Asii, chceme, aby moderni- sování a organisaci Asie neprováděli Evropané a Američa</w:t>
      </w:r>
      <w:r>
        <w:rPr>
          <w:b/>
          <w:bCs/>
          <w:sz w:val="19"/>
          <w:szCs w:val="19"/>
        </w:rPr>
        <w:softHyphen/>
        <w:t>né, nýbrž my.«</w:t>
      </w:r>
    </w:p>
    <w:p w:rsidR="00500724" w:rsidRDefault="00F30FB8">
      <w:pPr>
        <w:pStyle w:val="Zkladntext100"/>
        <w:shd w:val="clear" w:color="auto" w:fill="auto"/>
        <w:spacing w:line="190" w:lineRule="auto"/>
        <w:ind w:firstLine="340"/>
        <w:rPr>
          <w:sz w:val="19"/>
          <w:szCs w:val="19"/>
        </w:rPr>
      </w:pPr>
      <w:r>
        <w:rPr>
          <w:b/>
          <w:bCs/>
          <w:sz w:val="19"/>
          <w:szCs w:val="19"/>
        </w:rPr>
        <w:t>»Chcete tedy vyrvat Asii světovému obchodu? Nepřed</w:t>
      </w:r>
      <w:r>
        <w:rPr>
          <w:b/>
          <w:bCs/>
          <w:sz w:val="19"/>
          <w:szCs w:val="19"/>
        </w:rPr>
        <w:softHyphen/>
        <w:t>pokládá to úplné zničení světového kapitalismu?«</w:t>
      </w:r>
    </w:p>
    <w:p w:rsidR="00500724" w:rsidRDefault="00F30FB8">
      <w:pPr>
        <w:pStyle w:val="Zkladntext100"/>
        <w:shd w:val="clear" w:color="auto" w:fill="auto"/>
        <w:spacing w:line="185" w:lineRule="auto"/>
        <w:ind w:firstLine="340"/>
        <w:rPr>
          <w:sz w:val="19"/>
          <w:szCs w:val="19"/>
        </w:rPr>
      </w:pPr>
      <w:r>
        <w:rPr>
          <w:b/>
          <w:bCs/>
          <w:sz w:val="19"/>
          <w:szCs w:val="19"/>
        </w:rPr>
        <w:t xml:space="preserve">»Světový obchod ať si klidně dále hledí </w:t>
      </w:r>
      <w:r>
        <w:rPr>
          <w:b/>
          <w:bCs/>
          <w:sz w:val="19"/>
          <w:szCs w:val="19"/>
        </w:rPr>
        <w:t>svého na Vý</w:t>
      </w:r>
      <w:r>
        <w:rPr>
          <w:b/>
          <w:bCs/>
          <w:sz w:val="19"/>
          <w:szCs w:val="19"/>
        </w:rPr>
        <w:softHyphen/>
        <w:t>chodě, pokud bude vůbec v nejbližších generacích existovat světový obchod ve starém smyslu. Dosud nebyl podniknut ani pokus o skutečné objevení Asie. Velmoci zavedly jen takové reformy a takový pokrok, který sloužil jejich bez</w:t>
      </w:r>
      <w:r>
        <w:rPr>
          <w:b/>
          <w:bCs/>
          <w:sz w:val="19"/>
          <w:szCs w:val="19"/>
        </w:rPr>
        <w:softHyphen/>
        <w:t>prostředním zájmů</w:t>
      </w:r>
      <w:r>
        <w:rPr>
          <w:b/>
          <w:bCs/>
          <w:sz w:val="19"/>
          <w:szCs w:val="19"/>
        </w:rPr>
        <w:t>m. Vnucovaly Číňanům železnice, ačko</w:t>
      </w:r>
      <w:r>
        <w:rPr>
          <w:b/>
          <w:bCs/>
          <w:sz w:val="19"/>
          <w:szCs w:val="19"/>
        </w:rPr>
        <w:softHyphen/>
        <w:t>liv ty vůbec nebyly nutné. Odmítaly jim onu kapitalistickou a organisační pomoc, která by pozdvihla životní úroveň a zmodernisovala zemi v dobrém slova smyslu. To uděláme teď my. Při tom nemůže být už ani řeči o nějakýc</w:t>
      </w:r>
      <w:r>
        <w:rPr>
          <w:b/>
          <w:bCs/>
          <w:sz w:val="19"/>
          <w:szCs w:val="19"/>
        </w:rPr>
        <w:t>h před</w:t>
      </w:r>
      <w:r>
        <w:rPr>
          <w:b/>
          <w:bCs/>
          <w:sz w:val="19"/>
          <w:szCs w:val="19"/>
        </w:rPr>
        <w:softHyphen/>
        <w:t>nostních právech západních velmocí. Koncese a všechny přežitky polokoloniální doby mají zmizet. Pryč s bílými! Toto je naše heslo. Potom uvidíme, co se dá v nové Asii udělat pro jejich obchod — pomocí normálních obchodních smluv...«</w:t>
      </w:r>
    </w:p>
    <w:p w:rsidR="00500724" w:rsidRDefault="00F30FB8">
      <w:pPr>
        <w:pStyle w:val="Zkladntext100"/>
        <w:shd w:val="clear" w:color="auto" w:fill="auto"/>
        <w:spacing w:line="185" w:lineRule="auto"/>
        <w:ind w:firstLine="340"/>
        <w:jc w:val="left"/>
        <w:rPr>
          <w:sz w:val="19"/>
          <w:szCs w:val="19"/>
        </w:rPr>
      </w:pPr>
      <w:r>
        <w:rPr>
          <w:b/>
          <w:bCs/>
          <w:sz w:val="19"/>
          <w:szCs w:val="19"/>
        </w:rPr>
        <w:t>»Musíme se všich</w:t>
      </w:r>
      <w:r>
        <w:rPr>
          <w:b/>
          <w:bCs/>
          <w:sz w:val="19"/>
          <w:szCs w:val="19"/>
        </w:rPr>
        <w:t xml:space="preserve">ni naučit myslit v kontingentech. </w:t>
      </w:r>
      <w:r>
        <w:rPr>
          <w:b/>
          <w:bCs/>
        </w:rPr>
        <w:t xml:space="preserve">I </w:t>
      </w:r>
      <w:r>
        <w:rPr>
          <w:b/>
          <w:bCs/>
          <w:sz w:val="19"/>
          <w:szCs w:val="19"/>
        </w:rPr>
        <w:t>vy v Německu. Evropa není přece jednotný pojem. Poněvadž vytvoření jednotných kontingentů není možné vyjednává</w:t>
      </w:r>
      <w:r>
        <w:rPr>
          <w:b/>
          <w:bCs/>
          <w:sz w:val="19"/>
          <w:szCs w:val="19"/>
        </w:rPr>
        <w:softHyphen/>
        <w:t xml:space="preserve">ním — vzpomeňte jen na osud, který postihl v Ženevě Briandovy plány evropského spolku — musí se to státi </w:t>
      </w:r>
      <w:r>
        <w:rPr>
          <w:b/>
          <w:bCs/>
          <w:sz w:val="19"/>
          <w:szCs w:val="19"/>
        </w:rPr>
        <w:t>pvládnutím.«</w:t>
      </w:r>
    </w:p>
    <w:p w:rsidR="00500724" w:rsidRDefault="00F30FB8">
      <w:pPr>
        <w:pStyle w:val="Zkladntext100"/>
        <w:shd w:val="clear" w:color="auto" w:fill="auto"/>
        <w:spacing w:line="187" w:lineRule="auto"/>
        <w:ind w:firstLine="340"/>
        <w:rPr>
          <w:sz w:val="19"/>
          <w:szCs w:val="19"/>
        </w:rPr>
      </w:pPr>
      <w:r>
        <w:rPr>
          <w:b/>
          <w:bCs/>
          <w:sz w:val="19"/>
          <w:szCs w:val="19"/>
        </w:rPr>
        <w:t>Poslouchám zcela napjatý. Není to úžasné, jak zcela za</w:t>
      </w:r>
      <w:r>
        <w:rPr>
          <w:b/>
          <w:bCs/>
          <w:sz w:val="19"/>
          <w:szCs w:val="19"/>
        </w:rPr>
        <w:softHyphen/>
        <w:t>pomíná tento mladý plukovník na starou Anglii, která přece pořád ještě ovládá všechny úžiny, průlivy a moře, a právě v Asii odporuje japonské snaze po výboji na všech důležitých místech? A</w:t>
      </w:r>
      <w:r>
        <w:rPr>
          <w:b/>
          <w:bCs/>
          <w:sz w:val="19"/>
          <w:szCs w:val="19"/>
        </w:rPr>
        <w:t>nglie byla učitelem skvělé japonské námořní moci, anglo-japonský spolek byl pro Japonsko od</w:t>
      </w:r>
      <w:r>
        <w:rPr>
          <w:b/>
          <w:bCs/>
          <w:sz w:val="19"/>
          <w:szCs w:val="19"/>
        </w:rPr>
        <w:softHyphen/>
        <w:t>razovým můstkem pro skok do postavení velmoci. A ať už nelze popírat sestup Anglie v posledním desítiletí, přece jednou se někde její ústup v Asii zastaví!</w:t>
      </w:r>
    </w:p>
    <w:p w:rsidR="00500724" w:rsidRDefault="00F30FB8">
      <w:pPr>
        <w:pStyle w:val="Zkladntext100"/>
        <w:shd w:val="clear" w:color="auto" w:fill="auto"/>
        <w:spacing w:line="185" w:lineRule="auto"/>
        <w:ind w:firstLine="300"/>
        <w:rPr>
          <w:sz w:val="19"/>
          <w:szCs w:val="19"/>
        </w:rPr>
      </w:pPr>
      <w:r>
        <w:rPr>
          <w:b/>
          <w:bCs/>
          <w:sz w:val="19"/>
          <w:szCs w:val="19"/>
        </w:rPr>
        <w:t>Ale práv</w:t>
      </w:r>
      <w:r>
        <w:rPr>
          <w:b/>
          <w:bCs/>
          <w:sz w:val="19"/>
          <w:szCs w:val="19"/>
        </w:rPr>
        <w:t xml:space="preserve">ě tomu nevěří můj </w:t>
      </w:r>
      <w:r>
        <w:rPr>
          <w:b/>
          <w:bCs/>
          <w:sz w:val="19"/>
          <w:szCs w:val="19"/>
          <w:lang w:val="en-US" w:eastAsia="en-US" w:bidi="en-US"/>
        </w:rPr>
        <w:t xml:space="preserve">debater. </w:t>
      </w:r>
      <w:r>
        <w:rPr>
          <w:b/>
          <w:bCs/>
          <w:sz w:val="19"/>
          <w:szCs w:val="19"/>
        </w:rPr>
        <w:t>»Anglie,« říká, »má před sebou jen dvě cesty, úplný ústup anebo válku. Ale válka znamená válku na všech frontách, v anglickém ka</w:t>
      </w:r>
      <w:r>
        <w:rPr>
          <w:b/>
          <w:bCs/>
          <w:sz w:val="19"/>
          <w:szCs w:val="19"/>
        </w:rPr>
        <w:softHyphen/>
        <w:t xml:space="preserve">nálu, na skotském pobřeží, před Gibraltarem, u ústí Nilu, v Malakkském průlivu, v jihočínském moři. </w:t>
      </w:r>
      <w:r>
        <w:rPr>
          <w:b/>
          <w:bCs/>
          <w:sz w:val="19"/>
          <w:szCs w:val="19"/>
        </w:rPr>
        <w:t>Neboť toto spletení je nevyhnutelným následkem protikomintemov- ské smlouvy, která dnes, kdy mladým státním útvarům má být znemožněn vzestup, nabývá vyššího smyslu. Před touto volbou Anglie couvne, kdežto Japonsko je ihned ochotno se střetnout válečně s An</w:t>
      </w:r>
      <w:r>
        <w:rPr>
          <w:b/>
          <w:bCs/>
          <w:sz w:val="19"/>
          <w:szCs w:val="19"/>
        </w:rPr>
        <w:t>glií, bude-li toho třeba. Jako Němec víte, co znamená taková pohotovost. Nejsou to válečné choutky, je to jen neznámý stupeň obětavosti a následek trvalé morální mobilisace, v níž je nuceno Ja</w:t>
      </w:r>
      <w:r>
        <w:rPr>
          <w:b/>
          <w:bCs/>
          <w:sz w:val="19"/>
          <w:szCs w:val="19"/>
        </w:rPr>
        <w:softHyphen/>
        <w:t>ponsko žít...«</w:t>
      </w:r>
    </w:p>
    <w:p w:rsidR="00500724" w:rsidRDefault="00F30FB8">
      <w:pPr>
        <w:pStyle w:val="Zkladntext100"/>
        <w:shd w:val="clear" w:color="auto" w:fill="auto"/>
        <w:spacing w:line="185" w:lineRule="auto"/>
        <w:ind w:firstLine="300"/>
        <w:rPr>
          <w:sz w:val="19"/>
          <w:szCs w:val="19"/>
        </w:rPr>
      </w:pPr>
      <w:r>
        <w:rPr>
          <w:b/>
          <w:bCs/>
          <w:sz w:val="19"/>
          <w:szCs w:val="19"/>
        </w:rPr>
        <w:t>Plukovník Karuizawa patří k důstojnické skupině,</w:t>
      </w:r>
      <w:r>
        <w:rPr>
          <w:b/>
          <w:bCs/>
          <w:sz w:val="19"/>
          <w:szCs w:val="19"/>
        </w:rPr>
        <w:t xml:space="preserve"> která neustále propaguje tento program. On a jeho přátelé znovu vyzdvihli heslo »Nipponismu«, propagují návrat Japonska k uzavření a k plnění božského úkolu »záchrany světa po</w:t>
      </w:r>
      <w:r>
        <w:rPr>
          <w:b/>
          <w:bCs/>
          <w:sz w:val="19"/>
          <w:szCs w:val="19"/>
        </w:rPr>
        <w:softHyphen/>
        <w:t>mocí japonské nadvlády«. Před několika dny slyšel jsem přednášku jistého důstoj</w:t>
      </w:r>
      <w:r>
        <w:rPr>
          <w:b/>
          <w:bCs/>
          <w:sz w:val="19"/>
          <w:szCs w:val="19"/>
        </w:rPr>
        <w:t>níka, který dovozoval, že Japon</w:t>
      </w:r>
      <w:r>
        <w:rPr>
          <w:b/>
          <w:bCs/>
          <w:sz w:val="19"/>
          <w:szCs w:val="19"/>
        </w:rPr>
        <w:softHyphen/>
        <w:t>sko už dávno skončilo svá učednická léta, a teď má koneč</w:t>
      </w:r>
      <w:r>
        <w:rPr>
          <w:b/>
          <w:bCs/>
          <w:sz w:val="19"/>
          <w:szCs w:val="19"/>
        </w:rPr>
        <w:softHyphen/>
        <w:t xml:space="preserve">ně začít poučovat a vést ostatní svět. Dalekosáhlé výbojné snahy vůbec nejsou podle japonského názoru v protikladu k stále hlasitěji vyslovovanému požadavku, aby země </w:t>
      </w:r>
      <w:r>
        <w:rPr>
          <w:b/>
          <w:bCs/>
          <w:sz w:val="19"/>
          <w:szCs w:val="19"/>
        </w:rPr>
        <w:t>za</w:t>
      </w:r>
      <w:r>
        <w:rPr>
          <w:b/>
          <w:bCs/>
          <w:sz w:val="19"/>
          <w:szCs w:val="19"/>
        </w:rPr>
        <w:softHyphen/>
        <w:t>vrhla všechny západnické vlivy, uzavřela se vůči nim a omezila se na vlastní kulturu. Velká reforma z minulého století za císaře Meijiho je dnes četnými aktivisty považo</w:t>
      </w:r>
      <w:r>
        <w:rPr>
          <w:b/>
          <w:bCs/>
          <w:sz w:val="19"/>
          <w:szCs w:val="19"/>
        </w:rPr>
        <w:softHyphen/>
        <w:t>vána za nutné zlo, které sice umožnilo Japonsku poskyt</w:t>
      </w:r>
      <w:r>
        <w:rPr>
          <w:b/>
          <w:bCs/>
          <w:sz w:val="19"/>
          <w:szCs w:val="19"/>
        </w:rPr>
        <w:softHyphen/>
        <w:t>nout odpor nebezpečí kolonis</w:t>
      </w:r>
      <w:r>
        <w:rPr>
          <w:b/>
          <w:bCs/>
          <w:sz w:val="19"/>
          <w:szCs w:val="19"/>
        </w:rPr>
        <w:t>ace velmocemi, současně však přivolalo do země »proud kapitalistických a utilitaristic- kých chybných nauk«.</w:t>
      </w:r>
    </w:p>
    <w:p w:rsidR="00500724" w:rsidRDefault="00F30FB8">
      <w:pPr>
        <w:pStyle w:val="Zkladntext100"/>
        <w:shd w:val="clear" w:color="auto" w:fill="auto"/>
        <w:spacing w:line="185" w:lineRule="auto"/>
        <w:ind w:firstLine="300"/>
        <w:rPr>
          <w:sz w:val="19"/>
          <w:szCs w:val="19"/>
        </w:rPr>
      </w:pPr>
      <w:r>
        <w:rPr>
          <w:b/>
          <w:bCs/>
          <w:sz w:val="19"/>
          <w:szCs w:val="19"/>
        </w:rPr>
        <w:t>Toto přání po silnějším návratu do vlastní kultury, do »starého Japonska® má bezprostřední souvislost s výbojnou politikou. Japonští aktivisté nech</w:t>
      </w:r>
      <w:r>
        <w:rPr>
          <w:b/>
          <w:bCs/>
          <w:sz w:val="19"/>
          <w:szCs w:val="19"/>
        </w:rPr>
        <w:t>tějí návrat k přírodě anebo zničení moderního průmyslu, nýbrž věří, že už stvo</w:t>
      </w:r>
      <w:r>
        <w:rPr>
          <w:b/>
          <w:bCs/>
          <w:sz w:val="19"/>
          <w:szCs w:val="19"/>
        </w:rPr>
        <w:softHyphen/>
        <w:t>řili ryze japonský produkční aparát, u něhož by se mohla přiučit Evropa. Neodvažuji se upozornit plukovníka, že vo</w:t>
      </w:r>
      <w:r>
        <w:rPr>
          <w:b/>
          <w:bCs/>
          <w:sz w:val="19"/>
          <w:szCs w:val="19"/>
        </w:rPr>
        <w:softHyphen/>
        <w:t xml:space="preserve">jenské potřeby boje za »novou Asil« vyžadují trvalého vzrůstu </w:t>
      </w:r>
      <w:r>
        <w:rPr>
          <w:b/>
          <w:bCs/>
          <w:sz w:val="19"/>
          <w:szCs w:val="19"/>
        </w:rPr>
        <w:t>těžkého průmyslu a státního rozpočtu, a že jsou tedy v rozporu s jeho zamilovaným ideálem — zlepšením situace rolníků. Armáda je v Japonsku opravdu jediným veřejným tělesem, které vážně přemýšlí o hrozném agrár</w:t>
      </w:r>
      <w:r>
        <w:rPr>
          <w:b/>
          <w:bCs/>
          <w:sz w:val="19"/>
          <w:szCs w:val="19"/>
        </w:rPr>
        <w:softHyphen/>
        <w:t>ním problému, a tu a tam podniká pokus učinit</w:t>
      </w:r>
      <w:r>
        <w:rPr>
          <w:b/>
          <w:bCs/>
          <w:sz w:val="19"/>
          <w:szCs w:val="19"/>
        </w:rPr>
        <w:t xml:space="preserve"> tento pro</w:t>
      </w:r>
      <w:r>
        <w:rPr>
          <w:b/>
          <w:bCs/>
          <w:sz w:val="19"/>
          <w:szCs w:val="19"/>
        </w:rPr>
        <w:softHyphen/>
        <w:t>blém těžiskem sociálního plánu. Ale zároveň je právě armá</w:t>
      </w:r>
      <w:r>
        <w:rPr>
          <w:b/>
          <w:bCs/>
          <w:sz w:val="19"/>
          <w:szCs w:val="19"/>
        </w:rPr>
        <w:softHyphen/>
        <w:t>da odkázána na rostoucí daně, které musí platit sedlák a na rychlý vzestup industrialisace.</w:t>
      </w:r>
    </w:p>
    <w:p w:rsidR="00500724" w:rsidRDefault="00F30FB8">
      <w:pPr>
        <w:pStyle w:val="Zkladntext100"/>
        <w:shd w:val="clear" w:color="auto" w:fill="auto"/>
        <w:spacing w:line="185" w:lineRule="auto"/>
        <w:ind w:firstLine="300"/>
        <w:rPr>
          <w:sz w:val="19"/>
          <w:szCs w:val="19"/>
        </w:rPr>
      </w:pPr>
      <w:r>
        <w:rPr>
          <w:b/>
          <w:bCs/>
          <w:sz w:val="19"/>
          <w:szCs w:val="19"/>
        </w:rPr>
        <w:t>Kdybych začal mluvit o tomto tragickém tématu, svěží, inteligentní tvář mého hostitele zatáhl b</w:t>
      </w:r>
      <w:r>
        <w:rPr>
          <w:b/>
          <w:bCs/>
          <w:sz w:val="19"/>
          <w:szCs w:val="19"/>
        </w:rPr>
        <w:t>y stín. Snad by do</w:t>
      </w:r>
      <w:r>
        <w:rPr>
          <w:b/>
          <w:bCs/>
          <w:sz w:val="19"/>
          <w:szCs w:val="19"/>
        </w:rPr>
        <w:softHyphen/>
        <w:t>konce umlkl. Ale právě teď snuje dále niť'své myšlenky, poukazuje ná možnost, že dojde k válce se Sovětským Sva</w:t>
      </w:r>
      <w:r>
        <w:rPr>
          <w:b/>
          <w:bCs/>
          <w:sz w:val="19"/>
          <w:szCs w:val="19"/>
        </w:rPr>
        <w:softHyphen/>
        <w:t>zem, která bez pochyby skončí zabráním Vladivostoku a po</w:t>
      </w:r>
      <w:r>
        <w:rPr>
          <w:b/>
          <w:bCs/>
          <w:sz w:val="19"/>
          <w:szCs w:val="19"/>
        </w:rPr>
        <w:softHyphen/>
        <w:t>břežní oblasti pro Japonsko. Ale přes to se nesmí zapomí</w:t>
      </w:r>
      <w:r>
        <w:rPr>
          <w:b/>
          <w:bCs/>
          <w:sz w:val="19"/>
          <w:szCs w:val="19"/>
        </w:rPr>
        <w:softHyphen/>
        <w:t>nat na nutn</w:t>
      </w:r>
      <w:r>
        <w:rPr>
          <w:b/>
          <w:bCs/>
          <w:sz w:val="19"/>
          <w:szCs w:val="19"/>
        </w:rPr>
        <w:t>ost starat se o Singapúr. Že se jedním slovem blíží doba utvoření a zajištění »nové Asie®. »Žádné hospo</w:t>
      </w:r>
      <w:r>
        <w:rPr>
          <w:b/>
          <w:bCs/>
          <w:sz w:val="19"/>
          <w:szCs w:val="19"/>
        </w:rPr>
        <w:softHyphen/>
        <w:t>dářské války!® volá. »Žádné dobývání, při němž vojáci jsou pouze předvojem kapitalistů. Máme splnit poslání a ne ob</w:t>
      </w:r>
      <w:r>
        <w:rPr>
          <w:b/>
          <w:bCs/>
          <w:sz w:val="19"/>
          <w:szCs w:val="19"/>
        </w:rPr>
        <w:softHyphen/>
        <w:t>chodovat. Přijde den, kdy se ostatní</w:t>
      </w:r>
      <w:r>
        <w:rPr>
          <w:b/>
          <w:bCs/>
          <w:sz w:val="19"/>
          <w:szCs w:val="19"/>
        </w:rPr>
        <w:t xml:space="preserve"> svět bezradně obrátí na Japonsko, aby mu jeho císař poskytl radu a záchranu.«</w:t>
      </w:r>
    </w:p>
    <w:p w:rsidR="00500724" w:rsidRDefault="00F30FB8">
      <w:pPr>
        <w:pStyle w:val="Zkladntext100"/>
        <w:shd w:val="clear" w:color="auto" w:fill="auto"/>
        <w:spacing w:line="190" w:lineRule="auto"/>
        <w:ind w:firstLine="300"/>
        <w:jc w:val="left"/>
        <w:rPr>
          <w:sz w:val="19"/>
          <w:szCs w:val="19"/>
        </w:rPr>
      </w:pPr>
      <w:r>
        <w:rPr>
          <w:b/>
          <w:bCs/>
          <w:sz w:val="19"/>
          <w:szCs w:val="19"/>
        </w:rPr>
        <w:t>Tato poslední slova pronesl plukovník zcela vážně. Z mlčení, které teď přišlo, cítím jeho vzrušení nad příliš</w:t>
      </w:r>
      <w:r>
        <w:rPr>
          <w:b/>
          <w:bCs/>
          <w:sz w:val="19"/>
          <w:szCs w:val="19"/>
        </w:rPr>
        <w:softHyphen/>
        <w:t>nou odvahou jeho slov. Rozpačitě otvírám papírové okno. Od řeky van</w:t>
      </w:r>
      <w:r>
        <w:rPr>
          <w:b/>
          <w:bCs/>
          <w:sz w:val="19"/>
          <w:szCs w:val="19"/>
        </w:rPr>
        <w:t>e vlhko. Na černé vodě pluje vlečný člun, je</w:t>
      </w:r>
      <w:r>
        <w:rPr>
          <w:b/>
          <w:bCs/>
          <w:sz w:val="19"/>
          <w:szCs w:val="19"/>
        </w:rPr>
        <w:softHyphen/>
        <w:t>hož rudé světlo dlouho září tmou. Nebe nad Tokiem je za</w:t>
      </w:r>
      <w:r>
        <w:rPr>
          <w:b/>
          <w:bCs/>
          <w:sz w:val="19"/>
          <w:szCs w:val="19"/>
        </w:rPr>
        <w:softHyphen/>
        <w:t>rudlé a tetelí se.</w:t>
      </w:r>
    </w:p>
    <w:p w:rsidR="00500724" w:rsidRDefault="00F30FB8">
      <w:pPr>
        <w:pStyle w:val="Zkladntext100"/>
        <w:shd w:val="clear" w:color="auto" w:fill="auto"/>
        <w:tabs>
          <w:tab w:val="left" w:pos="4435"/>
        </w:tabs>
        <w:spacing w:after="220" w:line="187" w:lineRule="auto"/>
        <w:ind w:firstLine="300"/>
        <w:jc w:val="left"/>
        <w:rPr>
          <w:sz w:val="19"/>
          <w:szCs w:val="19"/>
        </w:rPr>
      </w:pPr>
      <w:r>
        <w:rPr>
          <w:b/>
          <w:bCs/>
          <w:sz w:val="19"/>
          <w:szCs w:val="19"/>
        </w:rPr>
        <w:t xml:space="preserve">Můj hostitel vstal, jako by chtěl zdůraznit důležitost našeho rozhovoru a zatleskal. Vzadu se otevřely dveře a odhalily pohled do velké </w:t>
      </w:r>
      <w:r>
        <w:rPr>
          <w:b/>
          <w:bCs/>
          <w:sz w:val="19"/>
          <w:szCs w:val="19"/>
        </w:rPr>
        <w:t>místnosti, zcela prázdné. Spatřili jsme tři klečící hudebnice a z tmavé hloubky sálu vynořily se dvě gejšy, do bělá napudrované, v jasně modrém, se zlatými vějíři v rukou. Tanec začíná.</w:t>
      </w:r>
      <w:r>
        <w:rPr>
          <w:b/>
          <w:bCs/>
          <w:sz w:val="19"/>
          <w:szCs w:val="19"/>
        </w:rPr>
        <w:tab/>
        <w:t>—vs—•</w:t>
      </w:r>
    </w:p>
    <w:p w:rsidR="00500724" w:rsidRDefault="00F30FB8">
      <w:pPr>
        <w:pStyle w:val="Zkladntext20"/>
        <w:shd w:val="clear" w:color="auto" w:fill="auto"/>
        <w:spacing w:after="80" w:line="175" w:lineRule="auto"/>
        <w:ind w:firstLine="0"/>
        <w:jc w:val="center"/>
        <w:rPr>
          <w:sz w:val="20"/>
          <w:szCs w:val="20"/>
        </w:rPr>
      </w:pPr>
      <w:r>
        <w:rPr>
          <w:b/>
          <w:bCs/>
          <w:sz w:val="20"/>
          <w:szCs w:val="20"/>
        </w:rPr>
        <w:t>»Slovák« o Slovensku</w:t>
      </w:r>
    </w:p>
    <w:p w:rsidR="00500724" w:rsidRDefault="00F30FB8">
      <w:pPr>
        <w:pStyle w:val="Zkladntext100"/>
        <w:shd w:val="clear" w:color="auto" w:fill="auto"/>
        <w:spacing w:line="202" w:lineRule="auto"/>
        <w:ind w:firstLine="300"/>
        <w:rPr>
          <w:sz w:val="19"/>
          <w:szCs w:val="19"/>
        </w:rPr>
        <w:sectPr w:rsidR="00500724">
          <w:footnotePr>
            <w:numFmt w:val="chicago"/>
            <w:numRestart w:val="eachPage"/>
          </w:footnotePr>
          <w:type w:val="continuous"/>
          <w:pgSz w:w="11909" w:h="16834"/>
          <w:pgMar w:top="1194" w:right="919" w:bottom="957" w:left="586" w:header="0" w:footer="3" w:gutter="0"/>
          <w:cols w:num="2" w:space="162"/>
          <w:noEndnote/>
          <w:docGrid w:linePitch="360"/>
        </w:sectPr>
      </w:pPr>
      <w:r>
        <w:rPr>
          <w:b/>
          <w:bCs/>
          <w:sz w:val="19"/>
          <w:szCs w:val="19"/>
        </w:rPr>
        <w:t xml:space="preserve">Nálady na </w:t>
      </w:r>
      <w:r>
        <w:rPr>
          <w:b/>
          <w:bCs/>
          <w:sz w:val="19"/>
          <w:szCs w:val="19"/>
        </w:rPr>
        <w:t>dnešním Slovensku a úsilí slovenské^ vlády se zrcadlí v pozoruhodném úvodníku »Slováka« ze čtvrtka 20. července.</w:t>
      </w:r>
    </w:p>
    <w:p w:rsidR="00500724" w:rsidRDefault="00500724">
      <w:pPr>
        <w:sectPr w:rsidR="00500724">
          <w:footnotePr>
            <w:numFmt w:val="chicago"/>
            <w:numRestart w:val="eachPage"/>
          </w:footnotePr>
          <w:pgSz w:w="11909" w:h="16834"/>
          <w:pgMar w:top="85" w:right="0" w:bottom="687" w:left="401" w:header="0" w:footer="3" w:gutter="0"/>
          <w:cols w:space="720"/>
          <w:noEndnote/>
          <w:docGrid w:linePitch="360"/>
        </w:sectPr>
      </w:pPr>
    </w:p>
    <w:p w:rsidR="00500724" w:rsidRDefault="00500724">
      <w:pPr>
        <w:spacing w:line="204" w:lineRule="exact"/>
        <w:rPr>
          <w:sz w:val="16"/>
          <w:szCs w:val="16"/>
        </w:rPr>
      </w:pPr>
    </w:p>
    <w:p w:rsidR="00500724" w:rsidRDefault="00500724">
      <w:pPr>
        <w:spacing w:line="14" w:lineRule="exact"/>
        <w:sectPr w:rsidR="00500724">
          <w:footnotePr>
            <w:numFmt w:val="chicago"/>
            <w:numRestart w:val="eachPage"/>
          </w:footnotePr>
          <w:type w:val="continuous"/>
          <w:pgSz w:w="11909" w:h="16834"/>
          <w:pgMar w:top="571" w:right="0" w:bottom="399" w:left="0" w:header="0" w:footer="3" w:gutter="0"/>
          <w:cols w:space="720"/>
          <w:noEndnote/>
          <w:docGrid w:linePitch="360"/>
        </w:sectPr>
      </w:pPr>
    </w:p>
    <w:p w:rsidR="00500724" w:rsidRDefault="00F30FB8">
      <w:pPr>
        <w:pStyle w:val="Zkladntext100"/>
        <w:shd w:val="clear" w:color="auto" w:fill="auto"/>
        <w:spacing w:after="40" w:line="190" w:lineRule="auto"/>
        <w:ind w:firstLine="300"/>
        <w:rPr>
          <w:sz w:val="19"/>
          <w:szCs w:val="19"/>
        </w:rPr>
      </w:pPr>
      <w:r>
        <w:rPr>
          <w:b/>
          <w:bCs/>
          <w:sz w:val="19"/>
          <w:szCs w:val="19"/>
        </w:rPr>
        <w:t xml:space="preserve">&gt; Šeptaná propaganda — čteme zde — okolo nás stále ještě straší... Šeptaná propaganda </w:t>
      </w:r>
      <w:r>
        <w:rPr>
          <w:b/>
          <w:bCs/>
          <w:sz w:val="19"/>
          <w:szCs w:val="19"/>
        </w:rPr>
        <w:t>je dnes velmi působi</w:t>
      </w:r>
      <w:r>
        <w:rPr>
          <w:b/>
          <w:bCs/>
          <w:sz w:val="19"/>
          <w:szCs w:val="19"/>
        </w:rPr>
        <w:softHyphen/>
        <w:t>vým nástrojem politiky. Slouží jistým tendencím, připra</w:t>
      </w:r>
      <w:r>
        <w:rPr>
          <w:b/>
          <w:bCs/>
          <w:sz w:val="19"/>
          <w:szCs w:val="19"/>
        </w:rPr>
        <w:softHyphen/>
        <w:t>vuje půdu jistým záměrům, je skvělým psychologickým prostředkem v dosahování různých politických cílů. To znamená, že má za sebou vypracované plány, programy, že připravuje psycho</w:t>
      </w:r>
      <w:r>
        <w:rPr>
          <w:b/>
          <w:bCs/>
          <w:sz w:val="19"/>
          <w:szCs w:val="19"/>
        </w:rPr>
        <w:t>logické předpoklady situacím, jaké si přeje mít ten který politický směr. Ale u nás? Chyťte si původce nějaké té šeptané zprávy, nějakého dopisu, ode</w:t>
      </w:r>
      <w:r>
        <w:rPr>
          <w:b/>
          <w:bCs/>
          <w:sz w:val="19"/>
          <w:szCs w:val="19"/>
        </w:rPr>
        <w:softHyphen/>
        <w:t>slaného ze zahraničí, nějakého letáku, který rozšiřuje, a ze</w:t>
      </w:r>
      <w:r>
        <w:rPr>
          <w:b/>
          <w:bCs/>
          <w:sz w:val="19"/>
          <w:szCs w:val="19"/>
        </w:rPr>
        <w:softHyphen/>
        <w:t xml:space="preserve">ptejte se ho, ěeho tím chce dosáhnout. Šepta </w:t>
      </w:r>
      <w:r>
        <w:rPr>
          <w:b/>
          <w:bCs/>
          <w:sz w:val="19"/>
          <w:szCs w:val="19"/>
        </w:rPr>
        <w:t>jící propagandis- ta bude mlčet jako zařezaný. Když se ho pak zeptáte, chce-li se dostat pod maďarské jho, vzdychne: »Bůh uchovej! To raději smrt. Vždyť jsem slovenský vlastenec.« Ani k Polá</w:t>
      </w:r>
      <w:r>
        <w:rPr>
          <w:b/>
          <w:bCs/>
          <w:sz w:val="19"/>
          <w:szCs w:val="19"/>
        </w:rPr>
        <w:softHyphen/>
        <w:t>kům ho nic netáhne. Nevěří jim...« Chcete znova s Če- chy?« ptáte</w:t>
      </w:r>
      <w:r>
        <w:rPr>
          <w:b/>
          <w:bCs/>
          <w:sz w:val="19"/>
          <w:szCs w:val="19"/>
        </w:rPr>
        <w:t xml:space="preserve"> se ho dál. Podívá se na vás jako na blázna a usměje se: »Jakpak, když jsou pod německým protek? torátem?« Tak tedy Němci. »Co máte proti nim? Co vám udělali?« dáte mu otázku. Ukáže Se, že nic, dokonce i upřímně uzná, že to, co se stalo 14. března, bylo je</w:t>
      </w:r>
      <w:r>
        <w:rPr>
          <w:b/>
          <w:bCs/>
          <w:sz w:val="19"/>
          <w:szCs w:val="19"/>
        </w:rPr>
        <w:t>diné rozumným, a pro Slováky přijatelným východiskem.</w:t>
      </w:r>
    </w:p>
    <w:p w:rsidR="00500724" w:rsidRDefault="00F30FB8">
      <w:pPr>
        <w:pStyle w:val="Zkladntext100"/>
        <w:shd w:val="clear" w:color="auto" w:fill="auto"/>
        <w:spacing w:after="40" w:line="185" w:lineRule="auto"/>
        <w:ind w:firstLine="300"/>
        <w:rPr>
          <w:sz w:val="19"/>
          <w:szCs w:val="19"/>
        </w:rPr>
      </w:pPr>
      <w:r>
        <w:rPr>
          <w:b/>
          <w:bCs/>
          <w:sz w:val="19"/>
          <w:szCs w:val="19"/>
        </w:rPr>
        <w:t xml:space="preserve">Jen slovanská myšlenka ho ještě trápí. »Nu, dobrá — usmějete se zase vy — povězte mi tedy, co si pod touto myšlenkou představujete? Jaký je v ní konkrétní politický program nebo cíl?« Zamyslí se, dumá, </w:t>
      </w:r>
      <w:r>
        <w:rPr>
          <w:b/>
          <w:bCs/>
          <w:sz w:val="19"/>
          <w:szCs w:val="19"/>
        </w:rPr>
        <w:t>dumá, ale nakonec i tu uzná, že je to holá utopie, že neexistuje žádný kon</w:t>
      </w:r>
      <w:r>
        <w:rPr>
          <w:b/>
          <w:bCs/>
          <w:sz w:val="19"/>
          <w:szCs w:val="19"/>
        </w:rPr>
        <w:softHyphen/>
        <w:t>krétní politický program slovanský, o nějž by se bylo mož</w:t>
      </w:r>
      <w:r>
        <w:rPr>
          <w:b/>
          <w:bCs/>
          <w:sz w:val="19"/>
          <w:szCs w:val="19"/>
        </w:rPr>
        <w:softHyphen/>
        <w:t>no opřít, že slovanské národy se ve své politice neřídily a neřídí slovanstvím, nýbrž jen a jen svými kmenovými zájmy... Ta</w:t>
      </w:r>
      <w:r>
        <w:rPr>
          <w:b/>
          <w:bCs/>
          <w:sz w:val="19"/>
          <w:szCs w:val="19"/>
        </w:rPr>
        <w:t>k nakonec přikývne i na to, že vydat se na pospas této mánii by pro nás Slováky znamenalo nové těžké boje a snad i národní smrt.</w:t>
      </w:r>
    </w:p>
    <w:p w:rsidR="00500724" w:rsidRDefault="00F30FB8">
      <w:pPr>
        <w:pStyle w:val="Zkladntext100"/>
        <w:shd w:val="clear" w:color="auto" w:fill="auto"/>
        <w:spacing w:after="40" w:line="185" w:lineRule="auto"/>
        <w:ind w:firstLine="300"/>
        <w:rPr>
          <w:sz w:val="19"/>
          <w:szCs w:val="19"/>
        </w:rPr>
      </w:pPr>
      <w:r>
        <w:rPr>
          <w:b/>
          <w:bCs/>
          <w:sz w:val="19"/>
          <w:szCs w:val="19"/>
        </w:rPr>
        <w:t>To vás už dopálí. »Tak tedy, člověče boží, proti komu a zač bojujete? Proč mluvíte hlouposti, proč posíláte naivní listy do ciz</w:t>
      </w:r>
      <w:r>
        <w:rPr>
          <w:b/>
          <w:bCs/>
          <w:sz w:val="19"/>
          <w:szCs w:val="19"/>
        </w:rPr>
        <w:t xml:space="preserve">iny a proč tu rozšiřujete ještě naivnější letáky? Nelíbí se vám snad naše vláda nebo režim?« Nuže ano! Uhodli jste. On by si tu vládu představoval jinak. Ten se mu nelíbí, ten a ten, ale ani tu z něho kleštěmi nedostanete důvod, který by plně platil, před </w:t>
      </w:r>
      <w:r>
        <w:rPr>
          <w:b/>
          <w:bCs/>
          <w:sz w:val="19"/>
          <w:szCs w:val="19"/>
        </w:rPr>
        <w:t>nimž byste musili kapitu</w:t>
      </w:r>
      <w:r>
        <w:rPr>
          <w:b/>
          <w:bCs/>
          <w:sz w:val="19"/>
          <w:szCs w:val="19"/>
        </w:rPr>
        <w:softHyphen/>
        <w:t>lovat. Jsou to naivní řeěi, pomluvy často z třetí a čtvrté ruky, které nemají významu a které musí ustoupit před chladným rozumem a před okolnostmi...«</w:t>
      </w:r>
    </w:p>
    <w:p w:rsidR="00500724" w:rsidRDefault="00F30FB8">
      <w:pPr>
        <w:pStyle w:val="Zkladntext100"/>
        <w:shd w:val="clear" w:color="auto" w:fill="auto"/>
        <w:tabs>
          <w:tab w:val="left" w:pos="4541"/>
        </w:tabs>
        <w:spacing w:after="240" w:line="187" w:lineRule="auto"/>
        <w:ind w:firstLine="300"/>
        <w:rPr>
          <w:sz w:val="19"/>
          <w:szCs w:val="19"/>
        </w:rPr>
      </w:pPr>
      <w:r>
        <w:rPr>
          <w:b/>
          <w:bCs/>
          <w:sz w:val="19"/>
          <w:szCs w:val="19"/>
        </w:rPr>
        <w:t xml:space="preserve">Potud »Slovák«. V poznámce bychom chtěli vyslovit přesvědčení, že okolnosti, o </w:t>
      </w:r>
      <w:r>
        <w:rPr>
          <w:b/>
          <w:bCs/>
          <w:sz w:val="19"/>
          <w:szCs w:val="19"/>
        </w:rPr>
        <w:t>nichž tu mluví, jsou něco čistě vnějšího, eo nás Čechy a Slováky vnitřně nijak ne</w:t>
      </w:r>
      <w:r>
        <w:rPr>
          <w:b/>
          <w:bCs/>
          <w:sz w:val="19"/>
          <w:szCs w:val="19"/>
        </w:rPr>
        <w:softHyphen/>
        <w:t>dělí a neodlučuje.</w:t>
      </w:r>
      <w:r>
        <w:rPr>
          <w:b/>
          <w:bCs/>
          <w:sz w:val="19"/>
          <w:szCs w:val="19"/>
        </w:rPr>
        <w:tab/>
      </w:r>
      <w:r>
        <w:rPr>
          <w:i/>
          <w:iCs/>
          <w:sz w:val="19"/>
          <w:szCs w:val="19"/>
        </w:rPr>
        <w:t>P. H.</w:t>
      </w:r>
    </w:p>
    <w:p w:rsidR="00500724" w:rsidRDefault="00F30FB8">
      <w:pPr>
        <w:pStyle w:val="Zkladntext20"/>
        <w:shd w:val="clear" w:color="auto" w:fill="auto"/>
        <w:spacing w:after="80" w:line="180" w:lineRule="auto"/>
        <w:ind w:firstLine="0"/>
        <w:jc w:val="left"/>
        <w:rPr>
          <w:sz w:val="20"/>
          <w:szCs w:val="20"/>
        </w:rPr>
      </w:pPr>
      <w:r>
        <w:rPr>
          <w:b/>
          <w:bCs/>
          <w:sz w:val="20"/>
          <w:szCs w:val="20"/>
        </w:rPr>
        <w:t>Příručka českého jazyka pro německé vojáky a my</w:t>
      </w:r>
    </w:p>
    <w:p w:rsidR="00500724" w:rsidRDefault="00F30FB8">
      <w:pPr>
        <w:pStyle w:val="Zkladntext100"/>
        <w:shd w:val="clear" w:color="auto" w:fill="auto"/>
        <w:spacing w:after="40" w:line="190" w:lineRule="auto"/>
        <w:ind w:firstLine="300"/>
        <w:rPr>
          <w:sz w:val="19"/>
          <w:szCs w:val="19"/>
        </w:rPr>
      </w:pPr>
      <w:r>
        <w:rPr>
          <w:b/>
          <w:bCs/>
          <w:sz w:val="19"/>
          <w:szCs w:val="19"/>
        </w:rPr>
        <w:t xml:space="preserve">Oberstleutnant </w:t>
      </w:r>
      <w:r>
        <w:rPr>
          <w:b/>
          <w:bCs/>
          <w:sz w:val="19"/>
          <w:szCs w:val="19"/>
          <w:lang w:val="en-US" w:eastAsia="en-US" w:bidi="en-US"/>
        </w:rPr>
        <w:t xml:space="preserve">Sulzberger </w:t>
      </w:r>
      <w:r>
        <w:rPr>
          <w:b/>
          <w:bCs/>
          <w:sz w:val="19"/>
          <w:szCs w:val="19"/>
        </w:rPr>
        <w:t>vydal v lipském nakladatel</w:t>
      </w:r>
      <w:r>
        <w:rPr>
          <w:b/>
          <w:bCs/>
          <w:sz w:val="19"/>
          <w:szCs w:val="19"/>
        </w:rPr>
        <w:softHyphen/>
        <w:t xml:space="preserve">ství </w:t>
      </w:r>
      <w:r>
        <w:rPr>
          <w:b/>
          <w:bCs/>
          <w:sz w:val="19"/>
          <w:szCs w:val="19"/>
          <w:lang w:val="en-US" w:eastAsia="en-US" w:bidi="en-US"/>
        </w:rPr>
        <w:t xml:space="preserve">Haehmeister a Thai </w:t>
      </w:r>
      <w:r>
        <w:rPr>
          <w:b/>
          <w:bCs/>
          <w:sz w:val="19"/>
          <w:szCs w:val="19"/>
        </w:rPr>
        <w:t xml:space="preserve">praktickou příručku </w:t>
      </w:r>
      <w:r>
        <w:rPr>
          <w:b/>
          <w:bCs/>
          <w:sz w:val="19"/>
          <w:szCs w:val="19"/>
        </w:rPr>
        <w:t>češtiny »Deutsch-Tschechiseher Soldaten-Sprachfuhrer« o 36 strán</w:t>
      </w:r>
      <w:r>
        <w:rPr>
          <w:b/>
          <w:bCs/>
          <w:sz w:val="19"/>
          <w:szCs w:val="19"/>
        </w:rPr>
        <w:softHyphen/>
        <w:t xml:space="preserve">kách za 30 feniků pro německé vojáky, obsazující Čechy a Moravu. Protože se této knížky patrně i nyní velice užívá, je snad vhodné upozornit na některé nesprávnosti, jež knížka obsahuje, aby </w:t>
      </w:r>
      <w:r>
        <w:rPr>
          <w:b/>
          <w:bCs/>
          <w:sz w:val="19"/>
          <w:szCs w:val="19"/>
        </w:rPr>
        <w:t>bylo zabráněno všelijakému ne</w:t>
      </w:r>
      <w:r>
        <w:rPr>
          <w:b/>
          <w:bCs/>
          <w:sz w:val="19"/>
          <w:szCs w:val="19"/>
        </w:rPr>
        <w:softHyphen/>
        <w:t>dorozuměni, dokonce i nepříjemnostem, jež mohou způsobit.</w:t>
      </w:r>
    </w:p>
    <w:p w:rsidR="00500724" w:rsidRDefault="00F30FB8">
      <w:pPr>
        <w:pStyle w:val="Zkladntext100"/>
        <w:shd w:val="clear" w:color="auto" w:fill="auto"/>
        <w:spacing w:after="40" w:line="187" w:lineRule="auto"/>
        <w:ind w:firstLine="300"/>
        <w:rPr>
          <w:sz w:val="19"/>
          <w:szCs w:val="19"/>
        </w:rPr>
      </w:pPr>
      <w:r>
        <w:rPr>
          <w:b/>
          <w:bCs/>
          <w:sz w:val="19"/>
          <w:szCs w:val="19"/>
        </w:rPr>
        <w:t xml:space="preserve">Pravopis knížky až na nedůsledné označování dlouhých a krátkých slabik je téměř vzorný; jen někde, jako na str. 25, vadí takové psáni, jako je: vydliěky m. vidličky. I v tvarosloví je velmi málo chyb; tak v množném čísle se tu piše jehle (25), pytly (32), </w:t>
      </w:r>
      <w:r>
        <w:rPr>
          <w:b/>
          <w:bCs/>
          <w:sz w:val="19"/>
          <w:szCs w:val="19"/>
        </w:rPr>
        <w:t xml:space="preserve">osle (32), kostele (36), železné řetěze (33) — místo správného znění jehly, pytle, osli, </w:t>
      </w:r>
      <w:r>
        <w:rPr>
          <w:b/>
          <w:bCs/>
          <w:sz w:val="19"/>
          <w:szCs w:val="19"/>
          <w:lang w:val="en-US" w:eastAsia="en-US" w:bidi="en-US"/>
        </w:rPr>
        <w:t xml:space="preserve">event, </w:t>
      </w:r>
      <w:r>
        <w:rPr>
          <w:b/>
          <w:bCs/>
          <w:sz w:val="19"/>
          <w:szCs w:val="19"/>
        </w:rPr>
        <w:t>osly, kostely, železné řetězy.</w:t>
      </w:r>
    </w:p>
    <w:p w:rsidR="00500724" w:rsidRDefault="00F30FB8">
      <w:pPr>
        <w:pStyle w:val="Zkladntext100"/>
        <w:shd w:val="clear" w:color="auto" w:fill="auto"/>
        <w:spacing w:after="40" w:line="187" w:lineRule="auto"/>
        <w:ind w:firstLine="300"/>
        <w:rPr>
          <w:sz w:val="19"/>
          <w:szCs w:val="19"/>
        </w:rPr>
      </w:pPr>
      <w:r>
        <w:rPr>
          <w:b/>
          <w:bCs/>
          <w:sz w:val="19"/>
          <w:szCs w:val="19"/>
        </w:rPr>
        <w:t xml:space="preserve">Komicky působí záměna jednotného čísla za množné; spravte mi kalhotu (23, 24) místo kalhoty, díru na kalho- tech, jsem zraněn na </w:t>
      </w:r>
      <w:r>
        <w:rPr>
          <w:b/>
          <w:bCs/>
          <w:sz w:val="19"/>
          <w:szCs w:val="19"/>
        </w:rPr>
        <w:t>prsu (29) místo: na prsou, neboť byl (teoreticky) zraněn muž. Naproti tomu se u nás v množ</w:t>
      </w:r>
      <w:r>
        <w:rPr>
          <w:b/>
          <w:bCs/>
          <w:sz w:val="19"/>
          <w:szCs w:val="19"/>
        </w:rPr>
        <w:softHyphen/>
        <w:t>ném ěísle neříká: čočky, hrachy (33, 34), i když je čočky a hrachu hromada.</w:t>
      </w:r>
    </w:p>
    <w:p w:rsidR="00500724" w:rsidRDefault="00F30FB8">
      <w:pPr>
        <w:pStyle w:val="Zkladntext100"/>
        <w:shd w:val="clear" w:color="auto" w:fill="auto"/>
        <w:spacing w:after="40" w:line="190" w:lineRule="auto"/>
        <w:ind w:firstLine="300"/>
        <w:rPr>
          <w:sz w:val="20"/>
          <w:szCs w:val="20"/>
        </w:rPr>
      </w:pPr>
      <w:r>
        <w:rPr>
          <w:b/>
          <w:bCs/>
          <w:sz w:val="19"/>
          <w:szCs w:val="19"/>
        </w:rPr>
        <w:t>Pro Němce je asi nedostupným tajemstvím střídání zá- jmenného tvaru »jich(ž)« s tvarem »n</w:t>
      </w:r>
      <w:r>
        <w:rPr>
          <w:b/>
          <w:bCs/>
          <w:sz w:val="19"/>
          <w:szCs w:val="19"/>
        </w:rPr>
        <w:t>ich(ž)« po předlož</w:t>
      </w:r>
      <w:r>
        <w:rPr>
          <w:b/>
          <w:bCs/>
          <w:sz w:val="19"/>
          <w:szCs w:val="19"/>
        </w:rPr>
        <w:softHyphen/>
        <w:t>kách: »domy, z jich obyvatelé střílejí, se spálí« (15, 20) místo: domy, z nichž. Při dobré vůli, a té musí mít vždycky dost, pochopí Čech i kostrbatý výraz: »Před kolik hodin byly oddíly zde?« (18) místo před kolika hodinami. Nehne brvou</w:t>
      </w:r>
      <w:r>
        <w:rPr>
          <w:b/>
          <w:bCs/>
          <w:sz w:val="19"/>
          <w:szCs w:val="19"/>
        </w:rPr>
        <w:t xml:space="preserve"> ani při otázce, zda styto oddíly jsou dobře ošatěny« (28) místo ošaceny, oblečeny. Ba tento Čech se nepodiví ani, když slyší: »Potřebuji pro odvoz (dopravu, Abtransport) ihned deset zapřahněných kočárů s kočím« (32) místo za</w:t>
      </w:r>
      <w:r>
        <w:rPr>
          <w:b/>
          <w:bCs/>
          <w:sz w:val="19"/>
          <w:szCs w:val="19"/>
        </w:rPr>
        <w:softHyphen/>
        <w:t>přažených, zvláště když musí z</w:t>
      </w:r>
      <w:r>
        <w:rPr>
          <w:b/>
          <w:bCs/>
          <w:sz w:val="19"/>
          <w:szCs w:val="19"/>
        </w:rPr>
        <w:t xml:space="preserve">apřahněné kočáry jeti </w:t>
      </w:r>
      <w:r>
        <w:rPr>
          <w:b/>
          <w:bCs/>
          <w:sz w:val="20"/>
          <w:szCs w:val="20"/>
        </w:rPr>
        <w:t>přes</w:t>
      </w:r>
    </w:p>
    <w:p w:rsidR="00500724" w:rsidRDefault="00F30FB8">
      <w:pPr>
        <w:pStyle w:val="Zkladntext100"/>
        <w:shd w:val="clear" w:color="auto" w:fill="auto"/>
        <w:spacing w:line="187" w:lineRule="auto"/>
        <w:ind w:firstLine="0"/>
        <w:rPr>
          <w:sz w:val="19"/>
          <w:szCs w:val="19"/>
        </w:rPr>
      </w:pPr>
      <w:r>
        <w:rPr>
          <w:b/>
          <w:bCs/>
          <w:sz w:val="19"/>
          <w:szCs w:val="19"/>
        </w:rPr>
        <w:t>rozbahněné silnice. Nu a (33) skop? Toť jenom povětší skopec.</w:t>
      </w:r>
    </w:p>
    <w:p w:rsidR="00500724" w:rsidRDefault="00F30FB8">
      <w:pPr>
        <w:pStyle w:val="Zkladntext100"/>
        <w:shd w:val="clear" w:color="auto" w:fill="auto"/>
        <w:spacing w:line="187" w:lineRule="auto"/>
        <w:rPr>
          <w:sz w:val="19"/>
          <w:szCs w:val="19"/>
        </w:rPr>
      </w:pPr>
      <w:r>
        <w:rPr>
          <w:b/>
          <w:bCs/>
          <w:sz w:val="19"/>
          <w:szCs w:val="19"/>
        </w:rPr>
        <w:t>Neobyčejně důležitá je ěást řeěi, kterou se vyjadřuje pohyb, činnost, děj, práce, boj, stav, změna stavu, zkrátka všechny projevy života od narozeni až k smrti — slove</w:t>
      </w:r>
      <w:r>
        <w:rPr>
          <w:b/>
          <w:bCs/>
          <w:sz w:val="19"/>
          <w:szCs w:val="19"/>
        </w:rPr>
        <w:t>so. Česká výslovnost je pro Němce nesnadná, skloňování i časo</w:t>
      </w:r>
      <w:r>
        <w:rPr>
          <w:b/>
          <w:bCs/>
          <w:sz w:val="19"/>
          <w:szCs w:val="19"/>
        </w:rPr>
        <w:softHyphen/>
        <w:t>vání ještě nesnadnější, ale jemné rozlišování míry děje, ve slovanských jazycích tak bohatě vyvinuté, je pro cizozemce nejpernějším oříškem.</w:t>
      </w:r>
    </w:p>
    <w:p w:rsidR="00500724" w:rsidRDefault="00F30FB8">
      <w:pPr>
        <w:pStyle w:val="Zkladntext100"/>
        <w:shd w:val="clear" w:color="auto" w:fill="auto"/>
        <w:spacing w:line="190" w:lineRule="auto"/>
        <w:rPr>
          <w:sz w:val="19"/>
          <w:szCs w:val="19"/>
        </w:rPr>
      </w:pPr>
      <w:r>
        <w:rPr>
          <w:b/>
          <w:bCs/>
          <w:sz w:val="19"/>
          <w:szCs w:val="19"/>
        </w:rPr>
        <w:t>Rozkazu je-li Němec Čechovi po česku, octnou se oba v</w:t>
      </w:r>
      <w:r>
        <w:rPr>
          <w:b/>
          <w:bCs/>
          <w:sz w:val="19"/>
          <w:szCs w:val="19"/>
        </w:rPr>
        <w:t xml:space="preserve">elmi lehce (gramaticky) na nejisté půdě. Chybné tvoření rozkazovacího způsobu: čtete, prosím m. čtěte; </w:t>
      </w:r>
      <w:r>
        <w:rPr>
          <w:b/>
          <w:bCs/>
          <w:sz w:val="19"/>
          <w:szCs w:val="19"/>
          <w:lang w:val="en-US" w:eastAsia="en-US" w:bidi="en-US"/>
        </w:rPr>
        <w:t xml:space="preserve">spite </w:t>
      </w:r>
      <w:r>
        <w:rPr>
          <w:b/>
          <w:bCs/>
          <w:sz w:val="19"/>
          <w:szCs w:val="19"/>
        </w:rPr>
        <w:t xml:space="preserve">klidně, zůstanu u vás (m. spěte), jsou snad jen tiskové chyby. Ale v příručce je mnoho slovesných tvarů, jinak zcela správných, kterých je, nemile </w:t>
      </w:r>
      <w:r>
        <w:rPr>
          <w:b/>
          <w:bCs/>
          <w:sz w:val="19"/>
          <w:szCs w:val="19"/>
        </w:rPr>
        <w:t>se opakujícím nedopatřením, ve větné souvislosti nesprávně používáno co do jejich vidu.</w:t>
      </w:r>
    </w:p>
    <w:p w:rsidR="00500724" w:rsidRDefault="00F30FB8">
      <w:pPr>
        <w:pStyle w:val="Zkladntext100"/>
        <w:shd w:val="clear" w:color="auto" w:fill="auto"/>
        <w:spacing w:line="187" w:lineRule="auto"/>
        <w:rPr>
          <w:sz w:val="19"/>
          <w:szCs w:val="19"/>
        </w:rPr>
      </w:pPr>
      <w:r>
        <w:rPr>
          <w:b/>
          <w:bCs/>
          <w:sz w:val="19"/>
          <w:szCs w:val="19"/>
        </w:rPr>
        <w:t>Nejde o filologické hříčky tam, kde se ukládá všelijaká povinnost. Je velmi různé, mám-li jen tu chvíli poslechnout, ěi přejmout úkol na mnoho hodin anebo být zavázán d</w:t>
      </w:r>
      <w:r>
        <w:rPr>
          <w:b/>
          <w:bCs/>
          <w:sz w:val="19"/>
          <w:szCs w:val="19"/>
        </w:rPr>
        <w:t>ělat příslušnou věc po týdny a po měsíce... A je různá citová reakce na břitký rozkaz, proti němuž není výmluvy a od</w:t>
      </w:r>
      <w:r>
        <w:rPr>
          <w:b/>
          <w:bCs/>
          <w:sz w:val="19"/>
          <w:szCs w:val="19"/>
        </w:rPr>
        <w:softHyphen/>
        <w:t>mluvy, a na zdvořilou celkem žádost, dopřávající ilusi důle</w:t>
      </w:r>
      <w:r>
        <w:rPr>
          <w:b/>
          <w:bCs/>
          <w:sz w:val="19"/>
          <w:szCs w:val="19"/>
        </w:rPr>
        <w:softHyphen/>
        <w:t>žitosti vzájemné.</w:t>
      </w:r>
    </w:p>
    <w:p w:rsidR="00500724" w:rsidRDefault="00F30FB8">
      <w:pPr>
        <w:pStyle w:val="Zkladntext100"/>
        <w:shd w:val="clear" w:color="auto" w:fill="auto"/>
        <w:spacing w:line="187" w:lineRule="auto"/>
        <w:rPr>
          <w:sz w:val="19"/>
          <w:szCs w:val="19"/>
        </w:rPr>
      </w:pPr>
      <w:r>
        <w:rPr>
          <w:b/>
          <w:bCs/>
          <w:sz w:val="19"/>
          <w:szCs w:val="19"/>
        </w:rPr>
        <w:t>Chybné tvary rozkazovacího způsobu v Sulzbergerově knížce jso</w:t>
      </w:r>
      <w:r>
        <w:rPr>
          <w:b/>
          <w:bCs/>
          <w:sz w:val="19"/>
          <w:szCs w:val="19"/>
        </w:rPr>
        <w:t>u ve shodě s běžnými chybami Němců česky mlu</w:t>
      </w:r>
      <w:r>
        <w:rPr>
          <w:b/>
          <w:bCs/>
          <w:sz w:val="19"/>
          <w:szCs w:val="19"/>
        </w:rPr>
        <w:softHyphen/>
        <w:t>vících vůbec. Proto je užitečné upozorniti, že Čech si může rozkazy drsnější nebo ukládající nadměrné povinnosti vy</w:t>
      </w:r>
      <w:r>
        <w:rPr>
          <w:b/>
          <w:bCs/>
          <w:sz w:val="19"/>
          <w:szCs w:val="19"/>
        </w:rPr>
        <w:softHyphen/>
        <w:t xml:space="preserve">kládati velmi často v podobě k svému prospěchu zmírněné: choďte napřed, choďte zvolna (str. 5, </w:t>
      </w:r>
      <w:r>
        <w:rPr>
          <w:b/>
          <w:bCs/>
          <w:sz w:val="19"/>
          <w:szCs w:val="19"/>
        </w:rPr>
        <w:t>30) neznamená pořád, ale jděte teď; spěchejte — pospěšte si teď; měňte mi marku</w:t>
      </w:r>
    </w:p>
    <w:p w:rsidR="00500724" w:rsidRDefault="00F30FB8">
      <w:pPr>
        <w:pStyle w:val="Zkladntext100"/>
        <w:numPr>
          <w:ilvl w:val="0"/>
          <w:numId w:val="91"/>
        </w:numPr>
        <w:shd w:val="clear" w:color="auto" w:fill="auto"/>
        <w:tabs>
          <w:tab w:val="left" w:pos="322"/>
        </w:tabs>
        <w:spacing w:line="187" w:lineRule="auto"/>
        <w:ind w:firstLine="0"/>
        <w:rPr>
          <w:sz w:val="19"/>
          <w:szCs w:val="19"/>
        </w:rPr>
      </w:pPr>
      <w:r>
        <w:rPr>
          <w:b/>
          <w:bCs/>
          <w:sz w:val="19"/>
          <w:szCs w:val="19"/>
        </w:rPr>
        <w:t>jen teď a jen tu jednu; střihejte, holte mě (22), ostří</w:t>
      </w:r>
      <w:r>
        <w:rPr>
          <w:b/>
          <w:bCs/>
          <w:sz w:val="19"/>
          <w:szCs w:val="19"/>
        </w:rPr>
        <w:softHyphen/>
        <w:t>hejte, oholte mě — jen dnes, po druhé půjdu k jinému ka</w:t>
      </w:r>
      <w:r>
        <w:rPr>
          <w:b/>
          <w:bCs/>
          <w:sz w:val="19"/>
          <w:szCs w:val="19"/>
        </w:rPr>
        <w:softHyphen/>
        <w:t>deřníkovi; donášejte pro každého koně seno, řezanku (24);</w:t>
      </w:r>
    </w:p>
    <w:p w:rsidR="00500724" w:rsidRDefault="00F30FB8">
      <w:pPr>
        <w:pStyle w:val="Zkladntext100"/>
        <w:numPr>
          <w:ilvl w:val="0"/>
          <w:numId w:val="91"/>
        </w:numPr>
        <w:shd w:val="clear" w:color="auto" w:fill="auto"/>
        <w:tabs>
          <w:tab w:val="left" w:pos="322"/>
        </w:tabs>
        <w:spacing w:line="187" w:lineRule="auto"/>
        <w:ind w:firstLine="0"/>
        <w:rPr>
          <w:sz w:val="19"/>
          <w:szCs w:val="19"/>
        </w:rPr>
      </w:pPr>
      <w:r>
        <w:rPr>
          <w:b/>
          <w:bCs/>
          <w:sz w:val="19"/>
          <w:szCs w:val="19"/>
        </w:rPr>
        <w:t>donest</w:t>
      </w:r>
      <w:r>
        <w:rPr>
          <w:b/>
          <w:bCs/>
          <w:sz w:val="19"/>
          <w:szCs w:val="19"/>
        </w:rPr>
        <w:t>e teď; je mi zima, topte (24) — snad jen tento</w:t>
      </w:r>
      <w:r>
        <w:rPr>
          <w:b/>
          <w:bCs/>
          <w:sz w:val="19"/>
          <w:szCs w:val="19"/>
        </w:rPr>
        <w:softHyphen/>
        <w:t>krát, protože prší.</w:t>
      </w:r>
    </w:p>
    <w:p w:rsidR="00500724" w:rsidRDefault="00F30FB8">
      <w:pPr>
        <w:pStyle w:val="Zkladntext100"/>
        <w:shd w:val="clear" w:color="auto" w:fill="auto"/>
        <w:spacing w:line="187" w:lineRule="auto"/>
        <w:rPr>
          <w:sz w:val="19"/>
          <w:szCs w:val="19"/>
        </w:rPr>
      </w:pPr>
      <w:r>
        <w:rPr>
          <w:b/>
          <w:bCs/>
          <w:sz w:val="19"/>
          <w:szCs w:val="19"/>
        </w:rPr>
        <w:t>»Kozstříhejte podšívku do rukávu« (28, při osobní pro</w:t>
      </w:r>
      <w:r>
        <w:rPr>
          <w:b/>
          <w:bCs/>
          <w:sz w:val="19"/>
          <w:szCs w:val="19"/>
        </w:rPr>
        <w:softHyphen/>
        <w:t xml:space="preserve">hlídce) neznamená zničit ěást těžce získaného oděvu, ale na některém místě rozstřihnout podšívku, aby bylo možno dovnitř vsunout ruku. </w:t>
      </w:r>
      <w:r>
        <w:rPr>
          <w:b/>
          <w:bCs/>
          <w:sz w:val="19"/>
          <w:szCs w:val="19"/>
        </w:rPr>
        <w:t>xPomozte nosit tohoto muže, jeho výstroj« (m. výzbroj, str. 34) znamená pomoci nešťastnému vojákovi, odnésti ho, jen toho jistého dne, snad jen na půl hodiny.</w:t>
      </w:r>
    </w:p>
    <w:p w:rsidR="00500724" w:rsidRDefault="00F30FB8">
      <w:pPr>
        <w:pStyle w:val="Zkladntext100"/>
        <w:shd w:val="clear" w:color="auto" w:fill="auto"/>
        <w:spacing w:line="187" w:lineRule="auto"/>
        <w:rPr>
          <w:sz w:val="19"/>
          <w:szCs w:val="19"/>
        </w:rPr>
      </w:pPr>
      <w:r>
        <w:rPr>
          <w:b/>
          <w:bCs/>
          <w:sz w:val="19"/>
          <w:szCs w:val="19"/>
        </w:rPr>
        <w:t>Naproti tomu zákazu: sTrestem smrti se zapovídá podati telegramy« (15) nutno rozuměti tak, že nej</w:t>
      </w:r>
      <w:r>
        <w:rPr>
          <w:b/>
          <w:bCs/>
          <w:sz w:val="19"/>
          <w:szCs w:val="19"/>
        </w:rPr>
        <w:t>en dnes, ale i zítra, pozejtří, také později se nesmějí podávati telegramy, Ani ve větách — »Okna mají býti osvětlena« (15), »TytO pokoje mají býti vyěištěny« (24) nejde o teoretickou úvahu mravního ěi hygienického dosahu, nýbrž o striktní vojenský rozkaz,</w:t>
      </w:r>
      <w:r>
        <w:rPr>
          <w:b/>
          <w:bCs/>
          <w:sz w:val="19"/>
          <w:szCs w:val="19"/>
        </w:rPr>
        <w:t xml:space="preserve"> vyslovený pro české ucho nesmírně neosobně, jako</w:t>
      </w:r>
      <w:r>
        <w:rPr>
          <w:b/>
          <w:bCs/>
          <w:sz w:val="19"/>
          <w:szCs w:val="19"/>
        </w:rPr>
        <w:softHyphen/>
        <w:t>by vzdáleně, ve skutečnosti však tím naléhavěji. Správně' tedy dlužno rozuměti: »Ihned osvětlete okna, ihned Vý- čistěte pokoje!«</w:t>
      </w:r>
    </w:p>
    <w:p w:rsidR="00500724" w:rsidRDefault="00F30FB8">
      <w:pPr>
        <w:pStyle w:val="Zkladntext100"/>
        <w:shd w:val="clear" w:color="auto" w:fill="auto"/>
        <w:spacing w:line="187" w:lineRule="auto"/>
        <w:rPr>
          <w:sz w:val="19"/>
          <w:szCs w:val="19"/>
        </w:rPr>
      </w:pPr>
      <w:r>
        <w:rPr>
          <w:b/>
          <w:bCs/>
          <w:sz w:val="19"/>
          <w:szCs w:val="19"/>
        </w:rPr>
        <w:t>V náhlých situacích by vůbec měly zniti rozkazy zvláště přesně, to jest zvlá</w:t>
      </w:r>
      <w:r>
        <w:rPr>
          <w:b/>
          <w:bCs/>
          <w:sz w:val="19"/>
          <w:szCs w:val="19"/>
        </w:rPr>
        <w:t>ště dobře česky. Dosti nezaviněného zla bývá způsobeno, když se z rozkazu nepozná, jde-li o přítom</w:t>
      </w:r>
      <w:r>
        <w:rPr>
          <w:b/>
          <w:bCs/>
          <w:sz w:val="19"/>
          <w:szCs w:val="19"/>
        </w:rPr>
        <w:softHyphen/>
        <w:t>nost či o budoucnost, o pouhou výstrahu ěi o naplňující se právě skuteěnost. sKde přistojí česká letadla« (27) j0 správně: přistávají, to jest pravidelně; kd</w:t>
      </w:r>
      <w:r>
        <w:rPr>
          <w:b/>
          <w:bCs/>
          <w:sz w:val="19"/>
          <w:szCs w:val="19"/>
        </w:rPr>
        <w:t>e se shromáždějí oddíly (26), správně shromažďují; obsadím tyto dva pokoje (24) je: už ohsazuju, teď hned, co to říkám, obsazuji; Buče vzhůru, obvazuji vám oěi, znamená zase futurum: zavážu vám oěi, až budete mít ruce vzhůru; domy, z jich obyvatelé střílej</w:t>
      </w:r>
      <w:r>
        <w:rPr>
          <w:b/>
          <w:bCs/>
          <w:sz w:val="19"/>
          <w:szCs w:val="19"/>
        </w:rPr>
        <w:t>í (5, 26) — správně střelí, vystřelí, budou střileti — se spálí a obyvatelé se zastřílí, správně postřílejí.</w:t>
      </w:r>
    </w:p>
    <w:p w:rsidR="00500724" w:rsidRDefault="00F30FB8">
      <w:pPr>
        <w:pStyle w:val="Zkladntext100"/>
        <w:shd w:val="clear" w:color="auto" w:fill="auto"/>
        <w:spacing w:line="187" w:lineRule="auto"/>
        <w:rPr>
          <w:sz w:val="19"/>
          <w:szCs w:val="19"/>
        </w:rPr>
      </w:pPr>
      <w:r>
        <w:rPr>
          <w:b/>
          <w:bCs/>
          <w:sz w:val="19"/>
          <w:szCs w:val="19"/>
          <w:lang w:val="en-US" w:eastAsia="en-US" w:bidi="en-US"/>
        </w:rPr>
        <w:t xml:space="preserve">Sulzberger </w:t>
      </w:r>
      <w:r>
        <w:rPr>
          <w:b/>
          <w:bCs/>
          <w:sz w:val="19"/>
          <w:szCs w:val="19"/>
        </w:rPr>
        <w:t xml:space="preserve">se těehto a podobných omylů nedopouští z nedbalosti. Jeho snaha správně česky se vyjadřovat je dokonce místy až upřilišená: Jste osobně </w:t>
      </w:r>
      <w:r>
        <w:rPr>
          <w:b/>
          <w:bCs/>
          <w:sz w:val="19"/>
          <w:szCs w:val="19"/>
        </w:rPr>
        <w:t>zodpovědným (5, 20), jste obyvatelem, přeběhlíkem, vyzvědačein, vyjed- návatelem je nepřirozené a strojené mluvení. Říkáme čas</w:t>
      </w:r>
      <w:r>
        <w:rPr>
          <w:b/>
          <w:bCs/>
          <w:sz w:val="19"/>
          <w:szCs w:val="19"/>
        </w:rPr>
        <w:softHyphen/>
        <w:t>těji prostě: Jste starousedlík, jste občan, jste renegát. Uze někdy říci: sNemáte se ničeho háti« s důrazem na slově ne</w:t>
      </w:r>
      <w:r>
        <w:rPr>
          <w:b/>
          <w:bCs/>
          <w:sz w:val="19"/>
          <w:szCs w:val="19"/>
        </w:rPr>
        <w:softHyphen/>
        <w:t>máte, ale</w:t>
      </w:r>
      <w:r>
        <w:rPr>
          <w:b/>
          <w:bCs/>
          <w:sz w:val="19"/>
          <w:szCs w:val="19"/>
        </w:rPr>
        <w:t xml:space="preserve"> na str. 5, 10, 19 má býti dojista: Nemáte se ěeho bát.</w:t>
      </w:r>
    </w:p>
    <w:p w:rsidR="00500724" w:rsidRDefault="00F30FB8">
      <w:pPr>
        <w:pStyle w:val="Zkladntext100"/>
        <w:shd w:val="clear" w:color="auto" w:fill="auto"/>
        <w:spacing w:line="192" w:lineRule="auto"/>
        <w:rPr>
          <w:sz w:val="19"/>
          <w:szCs w:val="19"/>
        </w:rPr>
      </w:pPr>
      <w:r>
        <w:rPr>
          <w:b/>
          <w:bCs/>
          <w:sz w:val="19"/>
          <w:szCs w:val="19"/>
        </w:rPr>
        <w:t>Otázka: sJsou v místě nakažlivé nemoci pro člověka nebo dobytek« (14, 36) je groteskní otázka podivného ob</w:t>
      </w:r>
      <w:r>
        <w:rPr>
          <w:b/>
          <w:bCs/>
          <w:sz w:val="19"/>
          <w:szCs w:val="19"/>
        </w:rPr>
        <w:softHyphen/>
        <w:t>chodníka, který se shání po určitém druhu nežádoucího, zboží ke koupi, zatím co tazatel patrn</w:t>
      </w:r>
      <w:r>
        <w:rPr>
          <w:b/>
          <w:bCs/>
          <w:sz w:val="19"/>
          <w:szCs w:val="19"/>
        </w:rPr>
        <w:t xml:space="preserve">ě pátrá se starostí </w:t>
      </w:r>
      <w:r>
        <w:rPr>
          <w:b/>
          <w:bCs/>
          <w:sz w:val="20"/>
          <w:szCs w:val="20"/>
        </w:rPr>
        <w:t xml:space="preserve">ve. </w:t>
      </w:r>
      <w:r>
        <w:rPr>
          <w:b/>
          <w:bCs/>
          <w:sz w:val="19"/>
          <w:szCs w:val="19"/>
        </w:rPr>
        <w:t>své duši, nehrozí-li nebezpečí: Nejsou snad ve vaší obci ne</w:t>
      </w:r>
      <w:r>
        <w:rPr>
          <w:b/>
          <w:bCs/>
          <w:sz w:val="19"/>
          <w:szCs w:val="19"/>
        </w:rPr>
        <w:softHyphen/>
        <w:t>moci, nakažlivé pro člověka nebo pro dobytek, to jest ne</w:t>
      </w:r>
      <w:r>
        <w:rPr>
          <w:b/>
          <w:bCs/>
          <w:sz w:val="19"/>
          <w:szCs w:val="19"/>
        </w:rPr>
        <w:softHyphen/>
        <w:t>moci, kterými by se mohli nakazit lidé nebo dobytek?</w:t>
      </w:r>
    </w:p>
    <w:p w:rsidR="00500724" w:rsidRDefault="00F30FB8">
      <w:pPr>
        <w:pStyle w:val="Zkladntext100"/>
        <w:shd w:val="clear" w:color="auto" w:fill="auto"/>
        <w:spacing w:line="192" w:lineRule="auto"/>
        <w:rPr>
          <w:sz w:val="19"/>
          <w:szCs w:val="19"/>
        </w:rPr>
      </w:pPr>
      <w:r>
        <w:rPr>
          <w:b/>
          <w:bCs/>
          <w:sz w:val="19"/>
          <w:szCs w:val="19"/>
        </w:rPr>
        <w:t>Sděleni: Obdržíte za všecko dodané stvrzení (31) může</w:t>
      </w:r>
    </w:p>
    <w:p w:rsidR="00500724" w:rsidRDefault="00F30FB8">
      <w:pPr>
        <w:pStyle w:val="Zkladntext100"/>
        <w:shd w:val="clear" w:color="auto" w:fill="auto"/>
        <w:spacing w:line="190" w:lineRule="auto"/>
        <w:ind w:firstLine="0"/>
        <w:rPr>
          <w:sz w:val="19"/>
          <w:szCs w:val="19"/>
        </w:rPr>
      </w:pPr>
      <w:r>
        <w:rPr>
          <w:b/>
          <w:bCs/>
          <w:sz w:val="19"/>
          <w:szCs w:val="19"/>
        </w:rPr>
        <w:t>Znamenat</w:t>
      </w:r>
      <w:r>
        <w:rPr>
          <w:b/>
          <w:bCs/>
          <w:sz w:val="19"/>
          <w:szCs w:val="19"/>
        </w:rPr>
        <w:t xml:space="preserve"> jen: Za všecko, co jste pro nás udělal, dostanete Stvrzení, jež bylo komusi dodáno. Mluvící osoba chce zatím fičí: Na všecko, co jste dodal, dostanete potvrzenku.</w:t>
      </w:r>
    </w:p>
    <w:p w:rsidR="00500724" w:rsidRDefault="00F30FB8">
      <w:pPr>
        <w:pStyle w:val="Zkladntext100"/>
        <w:shd w:val="clear" w:color="auto" w:fill="auto"/>
        <w:spacing w:line="192" w:lineRule="auto"/>
        <w:ind w:firstLine="300"/>
        <w:rPr>
          <w:sz w:val="19"/>
          <w:szCs w:val="19"/>
        </w:rPr>
      </w:pPr>
      <w:r>
        <w:rPr>
          <w:b/>
          <w:bCs/>
          <w:sz w:val="19"/>
          <w:szCs w:val="19"/>
        </w:rPr>
        <w:t>Čím jest jazyková příručka menší, tím je populárnější, ale tím obezřetnější by měl také býti</w:t>
      </w:r>
      <w:r>
        <w:rPr>
          <w:b/>
          <w:bCs/>
          <w:sz w:val="19"/>
          <w:szCs w:val="19"/>
        </w:rPr>
        <w:t xml:space="preserve"> výběr slov, aby čtenář ani nepřejímal všelijaké nejasnosti v chápání věc</w:t>
      </w:r>
      <w:r>
        <w:rPr>
          <w:b/>
          <w:bCs/>
          <w:sz w:val="19"/>
          <w:szCs w:val="19"/>
        </w:rPr>
        <w:softHyphen/>
        <w:t>ného významu slov, ani si neosvojoval slova, v životní praksi chráněného národa neobvyklá.</w:t>
      </w:r>
    </w:p>
    <w:p w:rsidR="00500724" w:rsidRDefault="00F30FB8">
      <w:pPr>
        <w:pStyle w:val="Zkladntext100"/>
        <w:shd w:val="clear" w:color="auto" w:fill="auto"/>
        <w:spacing w:line="190" w:lineRule="auto"/>
        <w:ind w:firstLine="300"/>
        <w:rPr>
          <w:sz w:val="19"/>
          <w:szCs w:val="19"/>
        </w:rPr>
      </w:pPr>
      <w:r>
        <w:rPr>
          <w:b/>
          <w:bCs/>
          <w:sz w:val="19"/>
          <w:szCs w:val="19"/>
        </w:rPr>
        <w:t>Spočítejte číslo na Vašich prstech (4) je místo správ</w:t>
      </w:r>
      <w:r>
        <w:rPr>
          <w:b/>
          <w:bCs/>
          <w:sz w:val="19"/>
          <w:szCs w:val="19"/>
        </w:rPr>
        <w:softHyphen/>
        <w:t>ného: Naznačte počet něčeho prsty! Ja</w:t>
      </w:r>
      <w:r>
        <w:rPr>
          <w:b/>
          <w:bCs/>
          <w:sz w:val="19"/>
          <w:szCs w:val="19"/>
        </w:rPr>
        <w:t>k široké je bahno? (12), tak se n nás nikdo neptá (myslí jen na hloubku). Je však možno se ptát na šířku bahniska, bahniště, močálu. Je</w:t>
      </w:r>
    </w:p>
    <w:p w:rsidR="00500724" w:rsidRDefault="00F30FB8">
      <w:pPr>
        <w:pStyle w:val="Zkladntext100"/>
        <w:framePr w:dropCap="drop" w:lines="2" w:wrap="auto" w:vAnchor="text" w:hAnchor="text"/>
        <w:shd w:val="clear" w:color="auto" w:fill="auto"/>
        <w:spacing w:line="301" w:lineRule="exact"/>
        <w:ind w:firstLine="0"/>
        <w:rPr>
          <w:sz w:val="19"/>
          <w:szCs w:val="19"/>
        </w:rPr>
      </w:pPr>
      <w:r>
        <w:rPr>
          <w:rFonts w:ascii="Arial" w:eastAsia="Arial" w:hAnsi="Arial" w:cs="Arial"/>
          <w:b/>
          <w:bCs/>
          <w:position w:val="-6"/>
          <w:sz w:val="38"/>
          <w:szCs w:val="38"/>
        </w:rPr>
        <w:t>8</w:t>
      </w:r>
    </w:p>
    <w:p w:rsidR="00500724" w:rsidRDefault="00F30FB8">
      <w:pPr>
        <w:pStyle w:val="Zkladntext100"/>
        <w:shd w:val="clear" w:color="auto" w:fill="auto"/>
        <w:spacing w:line="190" w:lineRule="auto"/>
        <w:ind w:firstLine="0"/>
        <w:rPr>
          <w:sz w:val="19"/>
          <w:szCs w:val="19"/>
        </w:rPr>
      </w:pPr>
      <w:r>
        <w:rPr>
          <w:b/>
          <w:bCs/>
          <w:sz w:val="19"/>
          <w:szCs w:val="19"/>
        </w:rPr>
        <w:t xml:space="preserve">rtovina, kočičina, ale je těžko okamžitě ošetřit vojáka, erý žádá: Dejte mi mast’, pudr proti vlkovině (21), pokud se </w:t>
      </w:r>
      <w:r>
        <w:rPr>
          <w:b/>
          <w:bCs/>
          <w:sz w:val="19"/>
          <w:szCs w:val="19"/>
        </w:rPr>
        <w:t xml:space="preserve">zkroušeně nepřizná, že má prostě »vlka«. Přinésti pod- břišek (34, něm. </w:t>
      </w:r>
      <w:r>
        <w:rPr>
          <w:b/>
          <w:bCs/>
          <w:sz w:val="19"/>
          <w:szCs w:val="19"/>
          <w:lang w:val="en-US" w:eastAsia="en-US" w:bidi="en-US"/>
        </w:rPr>
        <w:t xml:space="preserve">Speck) </w:t>
      </w:r>
      <w:r>
        <w:rPr>
          <w:b/>
          <w:bCs/>
          <w:sz w:val="19"/>
          <w:szCs w:val="19"/>
        </w:rPr>
        <w:t>by se snad někdo rozpakoval, kdyby se nedovtipil — a je dost těžko se dovtípit, že má dodat sla</w:t>
      </w:r>
      <w:r>
        <w:rPr>
          <w:b/>
          <w:bCs/>
          <w:sz w:val="19"/>
          <w:szCs w:val="19"/>
        </w:rPr>
        <w:softHyphen/>
        <w:t>ninu. Je příliš nákladné nosit spodní kalhoty (22)'; spodky, podvléčky, zvláště l</w:t>
      </w:r>
      <w:r>
        <w:rPr>
          <w:b/>
          <w:bCs/>
          <w:sz w:val="19"/>
          <w:szCs w:val="19"/>
        </w:rPr>
        <w:t>etní, krátké, již tolik neobtěžují.</w:t>
      </w:r>
    </w:p>
    <w:p w:rsidR="00500724" w:rsidRDefault="00F30FB8">
      <w:pPr>
        <w:pStyle w:val="Zkladntext100"/>
        <w:shd w:val="clear" w:color="auto" w:fill="auto"/>
        <w:spacing w:line="190" w:lineRule="auto"/>
        <w:ind w:firstLine="300"/>
        <w:rPr>
          <w:sz w:val="19"/>
          <w:szCs w:val="19"/>
        </w:rPr>
      </w:pPr>
      <w:r>
        <w:rPr>
          <w:b/>
          <w:bCs/>
          <w:sz w:val="19"/>
          <w:szCs w:val="19"/>
        </w:rPr>
        <w:t xml:space="preserve">Jsou však slova mnohem choulostivější. »Auflehnung« </w:t>
      </w:r>
      <w:r>
        <w:rPr>
          <w:b/>
          <w:bCs/>
          <w:sz w:val="20"/>
          <w:szCs w:val="20"/>
        </w:rPr>
        <w:t xml:space="preserve">je </w:t>
      </w:r>
      <w:r>
        <w:rPr>
          <w:b/>
          <w:bCs/>
          <w:sz w:val="19"/>
          <w:szCs w:val="19"/>
        </w:rPr>
        <w:t>jen vzpouzení, vzpěěování, odpor, nikoli vzbouření, jež držitel moci musí trestati smrtí (29). Potřebuji osle (místo Osly; osle jen při oslovení) by naši lidé i ve s</w:t>
      </w:r>
      <w:r>
        <w:rPr>
          <w:b/>
          <w:bCs/>
          <w:sz w:val="19"/>
          <w:szCs w:val="19"/>
        </w:rPr>
        <w:t>právném tvaru mohli chápat jako zbytečnou nadávku. Čtyřnohý a ušatý osel je přece v našich krajinách dosti vzácný; ani se jim tu valně nedaří.</w:t>
      </w:r>
    </w:p>
    <w:p w:rsidR="00500724" w:rsidRDefault="00F30FB8">
      <w:pPr>
        <w:pStyle w:val="Zkladntext100"/>
        <w:shd w:val="clear" w:color="auto" w:fill="auto"/>
        <w:spacing w:line="190" w:lineRule="auto"/>
        <w:ind w:firstLine="300"/>
        <w:rPr>
          <w:sz w:val="19"/>
          <w:szCs w:val="19"/>
        </w:rPr>
      </w:pPr>
      <w:r>
        <w:rPr>
          <w:b/>
          <w:bCs/>
          <w:sz w:val="19"/>
          <w:szCs w:val="19"/>
        </w:rPr>
        <w:t>Protiklad k přívlastku sladký není solný (6), ale slaný.</w:t>
      </w:r>
    </w:p>
    <w:p w:rsidR="00500724" w:rsidRDefault="00F30FB8">
      <w:pPr>
        <w:pStyle w:val="Zkladntext100"/>
        <w:shd w:val="clear" w:color="auto" w:fill="auto"/>
        <w:spacing w:line="190" w:lineRule="auto"/>
        <w:ind w:firstLine="0"/>
        <w:rPr>
          <w:sz w:val="19"/>
          <w:szCs w:val="19"/>
        </w:rPr>
      </w:pPr>
      <w:r>
        <w:rPr>
          <w:b/>
          <w:bCs/>
          <w:sz w:val="19"/>
          <w:szCs w:val="19"/>
        </w:rPr>
        <w:t xml:space="preserve">Most není povozný pro těžké vozy (12), ale sjízdný nebo </w:t>
      </w:r>
      <w:r>
        <w:rPr>
          <w:b/>
          <w:bCs/>
          <w:sz w:val="19"/>
          <w:szCs w:val="19"/>
        </w:rPr>
        <w:t>ještě lépe: Po tom mostě se dá ěi nedá s těžkými povozy jezdit. Jste mi zavázán nebo zaručen za to Vaší hlavou (15, 17) zní velmi drsně. Tázaný sice porozumí ihned aspoň tomu, co je pro něho nejdůležitější. Zůstane však na po</w:t>
      </w:r>
      <w:r>
        <w:rPr>
          <w:b/>
          <w:bCs/>
          <w:sz w:val="19"/>
          <w:szCs w:val="19"/>
        </w:rPr>
        <w:softHyphen/>
        <w:t>chybnostech, co má zavázat a k</w:t>
      </w:r>
      <w:r>
        <w:rPr>
          <w:b/>
          <w:bCs/>
          <w:sz w:val="19"/>
          <w:szCs w:val="19"/>
        </w:rPr>
        <w:t>olika rukama to má udělat. Řekněte mu raději: Hučíte mi za to osobně; svou hlavou — je tak neobvyklé a tak se těžko tomu názvosloví přivyká... Ihned vstaňte! nemusí být o nic laskavější než: Na raz Vstát! (30), ale zní to rozhodně příjemněji.</w:t>
      </w:r>
    </w:p>
    <w:p w:rsidR="00500724" w:rsidRDefault="00F30FB8">
      <w:pPr>
        <w:pStyle w:val="Zkladntext100"/>
        <w:shd w:val="clear" w:color="auto" w:fill="auto"/>
        <w:spacing w:line="187" w:lineRule="auto"/>
        <w:ind w:firstLine="300"/>
        <w:rPr>
          <w:sz w:val="19"/>
          <w:szCs w:val="19"/>
        </w:rPr>
      </w:pPr>
      <w:r>
        <w:rPr>
          <w:b/>
          <w:bCs/>
          <w:sz w:val="19"/>
          <w:szCs w:val="19"/>
        </w:rPr>
        <w:t>Mám potřeba (</w:t>
      </w:r>
      <w:r>
        <w:rPr>
          <w:b/>
          <w:bCs/>
          <w:sz w:val="19"/>
          <w:szCs w:val="19"/>
        </w:rPr>
        <w:t>str. 5, spr. potřebu) místo potřebuji zní příliš komicky, mám bolesti v žaludku (21) příliš tragicky, dejte mému koni piti příliš filantropicky, máme zde přede- vzíti připuzení potravin (31) příliš filosoficky.</w:t>
      </w:r>
    </w:p>
    <w:p w:rsidR="00500724" w:rsidRDefault="00F30FB8">
      <w:pPr>
        <w:pStyle w:val="Zkladntext100"/>
        <w:shd w:val="clear" w:color="auto" w:fill="auto"/>
        <w:spacing w:line="190" w:lineRule="auto"/>
        <w:ind w:firstLine="300"/>
        <w:rPr>
          <w:sz w:val="19"/>
          <w:szCs w:val="19"/>
        </w:rPr>
      </w:pPr>
      <w:r>
        <w:rPr>
          <w:b/>
          <w:bCs/>
          <w:sz w:val="19"/>
          <w:szCs w:val="19"/>
        </w:rPr>
        <w:t xml:space="preserve">Nebezpečně mírný je překlad věty: Alle Deute </w:t>
      </w:r>
      <w:r>
        <w:rPr>
          <w:b/>
          <w:bCs/>
          <w:sz w:val="19"/>
          <w:szCs w:val="19"/>
        </w:rPr>
        <w:t>werden sof ort dar auf durchsucht. To přece není: Veškerý lid se vy</w:t>
      </w:r>
      <w:r>
        <w:rPr>
          <w:b/>
          <w:bCs/>
          <w:sz w:val="19"/>
          <w:szCs w:val="19"/>
        </w:rPr>
        <w:softHyphen/>
        <w:t>šetří ihned na to (29), to jest: vyšetří se, dejme tomu, so</w:t>
      </w:r>
      <w:r>
        <w:rPr>
          <w:b/>
          <w:bCs/>
          <w:sz w:val="19"/>
          <w:szCs w:val="19"/>
        </w:rPr>
        <w:softHyphen/>
        <w:t>ciální a zdravotní poměry našeho (prostého) lidu, ale správně je: Všichni lidé (zadržení nebo zatčení) budou hned potom prohledá</w:t>
      </w:r>
      <w:r>
        <w:rPr>
          <w:b/>
          <w:bCs/>
          <w:sz w:val="19"/>
          <w:szCs w:val="19"/>
        </w:rPr>
        <w:t>ni anebo: U všech lidí bude hned po</w:t>
      </w:r>
      <w:r>
        <w:rPr>
          <w:b/>
          <w:bCs/>
          <w:sz w:val="19"/>
          <w:szCs w:val="19"/>
        </w:rPr>
        <w:softHyphen/>
        <w:t>lom vykonána prohlídka.</w:t>
      </w:r>
    </w:p>
    <w:p w:rsidR="00500724" w:rsidRDefault="00F30FB8">
      <w:pPr>
        <w:pStyle w:val="Zkladntext100"/>
        <w:shd w:val="clear" w:color="auto" w:fill="auto"/>
        <w:spacing w:after="120" w:line="190" w:lineRule="auto"/>
        <w:ind w:firstLine="300"/>
        <w:rPr>
          <w:sz w:val="19"/>
          <w:szCs w:val="19"/>
        </w:rPr>
      </w:pPr>
      <w:r>
        <w:rPr>
          <w:b/>
          <w:bCs/>
          <w:sz w:val="19"/>
          <w:szCs w:val="19"/>
        </w:rPr>
        <w:t>Autoru příručky Deutsch-Tschechischer Soldaten-Sprach- fiihrer nelze upřít snahu, aby vojáci při vší oprávněné a ne</w:t>
      </w:r>
      <w:r>
        <w:rPr>
          <w:b/>
          <w:bCs/>
          <w:sz w:val="19"/>
          <w:szCs w:val="19"/>
        </w:rPr>
        <w:softHyphen/>
        <w:t>povolností vynucené přísnosti jednali jako příslušníci veli</w:t>
      </w:r>
      <w:r>
        <w:rPr>
          <w:b/>
          <w:bCs/>
          <w:sz w:val="19"/>
          <w:szCs w:val="19"/>
        </w:rPr>
        <w:softHyphen/>
        <w:t>kého národa s důstoj</w:t>
      </w:r>
      <w:r>
        <w:rPr>
          <w:b/>
          <w:bCs/>
          <w:sz w:val="19"/>
          <w:szCs w:val="19"/>
        </w:rPr>
        <w:t xml:space="preserve">nou zdvořilostí. Hned v první řádce textu je u záhlaví »Allgemeine Kedewendungenc pokyn, aby se hodně užívalo výrazu »Bitte-prosím«. </w:t>
      </w:r>
      <w:r>
        <w:rPr>
          <w:i/>
          <w:iCs/>
          <w:sz w:val="19"/>
          <w:szCs w:val="19"/>
        </w:rPr>
        <w:t xml:space="preserve">Josef </w:t>
      </w:r>
      <w:r>
        <w:rPr>
          <w:i/>
          <w:iCs/>
          <w:sz w:val="19"/>
          <w:szCs w:val="19"/>
          <w:lang w:val="en-US" w:eastAsia="en-US" w:bidi="en-US"/>
        </w:rPr>
        <w:t>Vladyko,</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politika</w:t>
      </w:r>
    </w:p>
    <w:p w:rsidR="00500724" w:rsidRDefault="00F30FB8">
      <w:pPr>
        <w:pStyle w:val="Zkladntext100"/>
        <w:shd w:val="clear" w:color="auto" w:fill="auto"/>
        <w:spacing w:line="240" w:lineRule="auto"/>
        <w:ind w:firstLine="0"/>
        <w:rPr>
          <w:sz w:val="19"/>
          <w:szCs w:val="19"/>
        </w:rPr>
      </w:pPr>
      <w:r>
        <w:rPr>
          <w:i/>
          <w:iCs/>
          <w:sz w:val="19"/>
          <w:szCs w:val="19"/>
        </w:rPr>
        <w:t>’Jan Albert:</w:t>
      </w:r>
    </w:p>
    <w:p w:rsidR="00500724" w:rsidRDefault="00F30FB8">
      <w:pPr>
        <w:pStyle w:val="Nadpis100"/>
        <w:shd w:val="clear" w:color="auto" w:fill="auto"/>
        <w:spacing w:after="0" w:line="223" w:lineRule="auto"/>
      </w:pPr>
      <w:bookmarkStart w:id="743" w:name="bookmark742"/>
      <w:r>
        <w:t xml:space="preserve">Starosti Pavla </w:t>
      </w:r>
      <w:r>
        <w:rPr>
          <w:lang w:val="en-US" w:eastAsia="en-US" w:bidi="en-US"/>
        </w:rPr>
        <w:t>Grekova</w:t>
      </w:r>
      <w:bookmarkEnd w:id="743"/>
    </w:p>
    <w:p w:rsidR="00500724" w:rsidRDefault="00F30FB8">
      <w:pPr>
        <w:pStyle w:val="Zkladntext20"/>
        <w:shd w:val="clear" w:color="auto" w:fill="auto"/>
        <w:spacing w:line="204" w:lineRule="auto"/>
      </w:pPr>
      <w:r>
        <w:t>Ještě v polovině března dávali na moskevském Revolučním divadle</w:t>
      </w:r>
      <w:r>
        <w:t xml:space="preserve"> hru »Pavel Grekov«. Byla už na programu od Nového roku a třeba svými uměleckými hodnotami nijak nevynikala nad běžný špatný prů</w:t>
      </w:r>
      <w:r>
        <w:softHyphen/>
        <w:t>měr, byla daleko nejúspěšnější hrou roku.</w:t>
      </w:r>
    </w:p>
    <w:p w:rsidR="00500724" w:rsidRDefault="00F30FB8">
      <w:pPr>
        <w:pStyle w:val="Zkladntext20"/>
        <w:shd w:val="clear" w:color="auto" w:fill="auto"/>
        <w:spacing w:line="202" w:lineRule="auto"/>
      </w:pPr>
      <w:r>
        <w:t xml:space="preserve">Hrdinou hry je sovětský inženýr. Průměrný typ </w:t>
      </w:r>
      <w:r>
        <w:rPr>
          <w:b/>
          <w:bCs/>
          <w:sz w:val="26"/>
          <w:szCs w:val="26"/>
        </w:rPr>
        <w:t xml:space="preserve">s </w:t>
      </w:r>
      <w:r>
        <w:t>průměrnou dávkou odpovědnosti ve věčn</w:t>
      </w:r>
      <w:r>
        <w:t>ých závo</w:t>
      </w:r>
      <w:r>
        <w:softHyphen/>
        <w:t>dech na splnění plánů a s průměrným osudem ruské</w:t>
      </w:r>
      <w:r>
        <w:softHyphen/>
        <w:t xml:space="preserve">ho člověka </w:t>
      </w:r>
      <w:r>
        <w:rPr>
          <w:b/>
          <w:bCs/>
          <w:sz w:val="26"/>
          <w:szCs w:val="26"/>
        </w:rPr>
        <w:t xml:space="preserve">v </w:t>
      </w:r>
      <w:r>
        <w:t xml:space="preserve">těchto posledních letech: Jen o vlas ujde nebezpečím »čistky«. Jako tisíce jiných ředitelů, mistrů, mechaniků, dělníků je i inženýr </w:t>
      </w:r>
      <w:r>
        <w:rPr>
          <w:lang w:val="en-US" w:eastAsia="en-US" w:bidi="en-US"/>
        </w:rPr>
        <w:t xml:space="preserve">Grekov </w:t>
      </w:r>
      <w:r>
        <w:t>obvi</w:t>
      </w:r>
      <w:r>
        <w:softHyphen/>
        <w:t>něn orgány GPU ze »sabotáže«; jako tisíce</w:t>
      </w:r>
      <w:r>
        <w:t xml:space="preserve"> jejich ostatních obětí je i náš hrdina nařčen neprávem — to jest, cítí se být nevinen. Je přesvědčen, že ne</w:t>
      </w:r>
      <w:r>
        <w:softHyphen/>
        <w:t xml:space="preserve">může za to, pokazily-li se stroje jeho oddělení. Prostě nebylo oleje, stroje se zavařily, když Pavel </w:t>
      </w:r>
      <w:r>
        <w:rPr>
          <w:lang w:val="en-US" w:eastAsia="en-US" w:bidi="en-US"/>
        </w:rPr>
        <w:t xml:space="preserve">Grekov </w:t>
      </w:r>
      <w:r>
        <w:t>vždycky znova a vždycky marně žádal spr</w:t>
      </w:r>
      <w:r>
        <w:t>ávu závodu, aby mu olej dodala. Ale příslušný rudý ředitel má v lepším pořádku svoji proletářskou babičku než inže</w:t>
      </w:r>
      <w:r>
        <w:softHyphen/>
        <w:t xml:space="preserve">nýr </w:t>
      </w:r>
      <w:r>
        <w:rPr>
          <w:lang w:val="en-US" w:eastAsia="en-US" w:bidi="en-US"/>
        </w:rPr>
        <w:t xml:space="preserve">Grekov </w:t>
      </w:r>
      <w:r>
        <w:t xml:space="preserve">a GPU je tedy ochotna vidět »nepřítele lidu« spíše v něm nežli v jeho představeném. — Až sem se obecenstvo zdržuje všech projevů. </w:t>
      </w:r>
      <w:r>
        <w:t xml:space="preserve">Pak se však na scéně začne Pavel </w:t>
      </w:r>
      <w:r>
        <w:rPr>
          <w:lang w:val="en-US" w:eastAsia="en-US" w:bidi="en-US"/>
        </w:rPr>
        <w:t xml:space="preserve">Grekov </w:t>
      </w:r>
      <w:r>
        <w:t>bránit: bránit proti vše</w:t>
      </w:r>
      <w:r>
        <w:softHyphen/>
        <w:t>mocné GPU! Ta se sama ocitá v defensivě. Konečně, kde vlastně mají její orgány chytit »vinníka«? Půjdou-li na ředitele, ukáže jim svoje žádosti o příděl oleje u vrchního ředitele; skočí-li na</w:t>
      </w:r>
      <w:r>
        <w:t xml:space="preserve"> vrchního ředitele, vy</w:t>
      </w:r>
      <w:r>
        <w:softHyphen/>
        <w:t xml:space="preserve">káže se jim urgencemi u správy trustu; odtamtud by řetěz odvolávání pokračoval k průmyslové centrále </w:t>
      </w:r>
      <w:r>
        <w:rPr>
          <w:i/>
          <w:iCs/>
        </w:rPr>
        <w:t>a</w:t>
      </w:r>
      <w:r>
        <w:t xml:space="preserve"> ke komisariátů, přeskočil by do naftového trustu, odtud do kompetence komisariátů dopravy a kde se tam má zatýkat? Nahoře v ústředí nebo dole v míst</w:t>
      </w:r>
      <w:r>
        <w:softHyphen/>
        <w:t xml:space="preserve">ních skladištích? Ne, ne, řetěz je nekonečný a stálou praxí GPU je prostě zachytit jeho nejbližší článek. </w:t>
      </w:r>
      <w:r>
        <w:t>Kdyby GPU filosofovala, mohla by říci, že je »spra- vedlivá« jako osud, jako náhoda, jako nevypočitatel</w:t>
      </w:r>
      <w:r>
        <w:softHyphen/>
        <w:t>ný běh světa, kde také nejsou nejtěžší zkoušky sou</w:t>
      </w:r>
      <w:r>
        <w:softHyphen/>
        <w:t>zeny vždycky právě těm, kdo by si toho nejvíc za</w:t>
      </w:r>
      <w:r>
        <w:softHyphen/>
        <w:t>sloužili.</w:t>
      </w:r>
    </w:p>
    <w:p w:rsidR="00500724" w:rsidRDefault="00F30FB8">
      <w:pPr>
        <w:pStyle w:val="Zkladntext20"/>
        <w:shd w:val="clear" w:color="auto" w:fill="auto"/>
        <w:spacing w:line="204" w:lineRule="auto"/>
      </w:pPr>
      <w:r>
        <w:t xml:space="preserve">Ale Pavel </w:t>
      </w:r>
      <w:r>
        <w:rPr>
          <w:lang w:val="en-US" w:eastAsia="en-US" w:bidi="en-US"/>
        </w:rPr>
        <w:t xml:space="preserve">Grekov </w:t>
      </w:r>
      <w:r>
        <w:t xml:space="preserve">si troufá ozvat se proti </w:t>
      </w:r>
      <w:r>
        <w:t xml:space="preserve">této pro- zřetelnostní praxi: </w:t>
      </w:r>
      <w:r>
        <w:rPr>
          <w:i/>
          <w:iCs/>
        </w:rPr>
        <w:t>a</w:t>
      </w:r>
      <w:r>
        <w:t xml:space="preserve"> publiku se tají dech. Na schůzi buňky se </w:t>
      </w:r>
      <w:r>
        <w:rPr>
          <w:lang w:val="en-US" w:eastAsia="en-US" w:bidi="en-US"/>
        </w:rPr>
        <w:t xml:space="preserve">Grekov </w:t>
      </w:r>
      <w:r>
        <w:t>nechce »kát«, odmítá všechna obvi</w:t>
      </w:r>
      <w:r>
        <w:softHyphen/>
        <w:t>nění, obviňuje sám... orgány GPU, dokazuje na schůzi jejich »škůdnictví« — a vyhrává! Buňka mu dává za pravdu, »nepřítelem lidu« není hodný in</w:t>
      </w:r>
      <w:r>
        <w:t>že</w:t>
      </w:r>
      <w:r>
        <w:softHyphen/>
        <w:t>nýr, nýbrž zlý čekista, ten zmizí v propadlišti spravedl</w:t>
      </w:r>
      <w:r>
        <w:softHyphen/>
        <w:t xml:space="preserve">nosti a Pavel </w:t>
      </w:r>
      <w:r>
        <w:rPr>
          <w:lang w:val="en-US" w:eastAsia="en-US" w:bidi="en-US"/>
        </w:rPr>
        <w:t xml:space="preserve">Grekov </w:t>
      </w:r>
      <w:r>
        <w:t>dostane řád. Opona padá v orgiích potlesku.</w:t>
      </w:r>
    </w:p>
    <w:p w:rsidR="00500724" w:rsidRDefault="00F30FB8">
      <w:pPr>
        <w:pStyle w:val="Zkladntext20"/>
        <w:shd w:val="clear" w:color="auto" w:fill="auto"/>
        <w:spacing w:line="204" w:lineRule="auto"/>
      </w:pPr>
      <w:r>
        <w:t>Obecenstvo tleská nadšeně, radostně, osvobozeně. Neboť sál je při každém představení nabit Grekovy nebo skoro-Grekovy, lidskými člá</w:t>
      </w:r>
      <w:r>
        <w:t>nky nelidského řetě</w:t>
      </w:r>
      <w:r>
        <w:softHyphen/>
        <w:t>zu odpovědností, články, jež také nemohly být nikdy jisty, kdy se octnou mezi koly čistky. Teď, když mohli vidět na oficiální scéně, že se jim dává za pravdu; když mohli na veřejném představení slyšet slova, jaká se ještě do nedávná nes</w:t>
      </w:r>
      <w:r>
        <w:t>měli odvážit říci ani před dů</w:t>
      </w:r>
      <w:r>
        <w:softHyphen/>
        <w:t>věrným přítelem — teď si konečně, konečně mohli oddechnout: éra čistky je u konce. Hra toho byla důkazem.</w:t>
      </w:r>
    </w:p>
    <w:p w:rsidR="00500724" w:rsidRDefault="00F30FB8">
      <w:pPr>
        <w:pStyle w:val="Zkladntext20"/>
        <w:shd w:val="clear" w:color="auto" w:fill="auto"/>
        <w:spacing w:line="204" w:lineRule="auto"/>
      </w:pPr>
      <w:r>
        <w:t xml:space="preserve">Po čtyřech letech! Na scéně ovšem nesměl Pavel </w:t>
      </w:r>
      <w:r>
        <w:rPr>
          <w:lang w:val="en-US" w:eastAsia="en-US" w:bidi="en-US"/>
        </w:rPr>
        <w:t xml:space="preserve">Grekov </w:t>
      </w:r>
      <w:r>
        <w:t>připomínat všechno, co se v té době stalo; ale tisíce Grekovů v hl</w:t>
      </w:r>
      <w:r>
        <w:t>edišti mělo za vyprodaných večerů právě to na mysli, když tleskalo svému hrdinovi. Když je na jevišti sražen vyšší spravedlností nepatrný čekista, tleskali vlastně pádu kdysi všemoc</w:t>
      </w:r>
      <w:r>
        <w:softHyphen/>
        <w:t>ného Ježova.</w:t>
      </w:r>
    </w:p>
    <w:p w:rsidR="00500724" w:rsidRDefault="00F30FB8">
      <w:pPr>
        <w:pStyle w:val="Zkladntext20"/>
        <w:shd w:val="clear" w:color="auto" w:fill="auto"/>
        <w:spacing w:line="202" w:lineRule="auto"/>
      </w:pPr>
      <w:r>
        <w:t>Ten vystřídal Jagodu, když tento šéf GPU odešel loni v březnu</w:t>
      </w:r>
      <w:r>
        <w:t xml:space="preserve"> za všemi svými obětmi, jichž nebylo málo od 1. prosince 1934, kdy atentát na </w:t>
      </w:r>
      <w:r>
        <w:rPr>
          <w:lang w:val="en-US" w:eastAsia="en-US" w:bidi="en-US"/>
        </w:rPr>
        <w:t xml:space="preserve">Kirova </w:t>
      </w:r>
      <w:r>
        <w:t>dal signál k zahájení největší čistky v sovětské historii.</w:t>
      </w:r>
    </w:p>
    <w:p w:rsidR="00500724" w:rsidRDefault="00F30FB8">
      <w:pPr>
        <w:pStyle w:val="Zkladntext20"/>
        <w:shd w:val="clear" w:color="auto" w:fill="auto"/>
        <w:spacing w:line="204" w:lineRule="auto"/>
        <w:ind w:firstLine="0"/>
        <w:jc w:val="center"/>
      </w:pPr>
      <w:r>
        <w:t>•</w:t>
      </w:r>
    </w:p>
    <w:p w:rsidR="00500724" w:rsidRDefault="00F30FB8">
      <w:pPr>
        <w:pStyle w:val="Zkladntext20"/>
        <w:shd w:val="clear" w:color="auto" w:fill="auto"/>
        <w:spacing w:line="206" w:lineRule="auto"/>
      </w:pPr>
      <w:r>
        <w:t>Všichni objektivní návštěvníci SSSR v posledních letech se shodují v líčení jejích neutěšených následků. Kde j</w:t>
      </w:r>
      <w:r>
        <w:t>í měl být zachráněn mja t e r i á 1 »socialistického budování«, byl jí ve skutečnosti jen ničen duch budo</w:t>
      </w:r>
      <w:r>
        <w:softHyphen/>
        <w:t xml:space="preserve">vatelů, duch iniciativy a aktivní spolupráce všech. Na konci »očištného« řádění konstatoval </w:t>
      </w:r>
      <w:r>
        <w:rPr>
          <w:lang w:val="en-US" w:eastAsia="en-US" w:bidi="en-US"/>
        </w:rPr>
        <w:t xml:space="preserve">Walter </w:t>
      </w:r>
      <w:r>
        <w:t xml:space="preserve">D u- r a n t y, dlouholetý dopisovatel londýnského </w:t>
      </w:r>
      <w:r>
        <w:t>»Specta- tora« v Moskvě:</w:t>
      </w:r>
    </w:p>
    <w:p w:rsidR="00500724" w:rsidRDefault="00F30FB8">
      <w:pPr>
        <w:pStyle w:val="Zkladntext20"/>
        <w:shd w:val="clear" w:color="auto" w:fill="auto"/>
        <w:spacing w:line="185" w:lineRule="auto"/>
        <w:rPr>
          <w:sz w:val="20"/>
          <w:szCs w:val="20"/>
        </w:rPr>
      </w:pPr>
      <w:r>
        <w:rPr>
          <w:sz w:val="20"/>
          <w:szCs w:val="20"/>
        </w:rPr>
        <w:t>»Desorganisovala-li čistka všechno plánování, není těžko si představit, jaké byly její následky na výkon a disciplinu v průmyslu. Nešlo jen o zmatek, vznikající náhlým, jinak leckdy zdravým odvoláním vedoucích osob, nýbrž především</w:t>
      </w:r>
      <w:r>
        <w:rPr>
          <w:sz w:val="20"/>
          <w:szCs w:val="20"/>
        </w:rPr>
        <w:t xml:space="preserve"> o všeobecného ducha neklidu a strachu před odpovědností. A nevěděl-li nikdo od ředitele po mistra, co se po něm žádá a čeho se má vystříhat, aby se zítra neoctl v pasti, do níž už tolik jiných upadlo, jak bylo ještě vůbec možno udržet pracovní výkonnost a</w:t>
      </w:r>
      <w:r>
        <w:rPr>
          <w:sz w:val="20"/>
          <w:szCs w:val="20"/>
        </w:rPr>
        <w:t xml:space="preserve"> pořádek u prostých dělniků? Statistiky ukazovaly každý den znovu, jak tím trpěla celá výroba.«</w:t>
      </w:r>
    </w:p>
    <w:p w:rsidR="00500724" w:rsidRDefault="00F30FB8">
      <w:pPr>
        <w:pStyle w:val="Zkladntext20"/>
        <w:shd w:val="clear" w:color="auto" w:fill="auto"/>
        <w:spacing w:line="202" w:lineRule="auto"/>
      </w:pPr>
      <w:r>
        <w:t>Výjimkou byl stav zbrojního průmyslu a duch armády. Zahraniční korespondent, jenž žil v Moskvě od dob občanské války, napsal o tom v těchto dnech velmi zajímavě</w:t>
      </w:r>
      <w:r>
        <w:t>:</w:t>
      </w:r>
    </w:p>
    <w:p w:rsidR="00500724" w:rsidRDefault="00F30FB8">
      <w:pPr>
        <w:pStyle w:val="Zkladntext20"/>
        <w:shd w:val="clear" w:color="auto" w:fill="auto"/>
        <w:spacing w:line="180" w:lineRule="auto"/>
        <w:rPr>
          <w:sz w:val="20"/>
          <w:szCs w:val="20"/>
        </w:rPr>
      </w:pPr>
      <w:r>
        <w:rPr>
          <w:sz w:val="20"/>
          <w:szCs w:val="20"/>
        </w:rPr>
        <w:t>»V občanském průmyslu SSSR se ostatně ani neočekává vysoká kvalita, má-li při tom stát zaručen svůj vysoký zisk. Kromě toho není zde těžko skrýti před dohlédacími instan</w:t>
      </w:r>
      <w:r>
        <w:rPr>
          <w:sz w:val="20"/>
          <w:szCs w:val="20"/>
        </w:rPr>
        <w:softHyphen/>
        <w:t xml:space="preserve">cemi zboží špatné jakosti. Ale ve zbrojním průmyslu je tomu docela jinak. Koupí-li </w:t>
      </w:r>
      <w:r>
        <w:rPr>
          <w:sz w:val="20"/>
          <w:szCs w:val="20"/>
        </w:rPr>
        <w:t>si prostý občan ve státním podniku hůl ze špatného dřeva, jednoduše ji zahodí a nejde si stěžo</w:t>
      </w:r>
      <w:r>
        <w:rPr>
          <w:sz w:val="20"/>
          <w:szCs w:val="20"/>
        </w:rPr>
        <w:softHyphen/>
        <w:t>vat úřadům. Čím méně má s nimi co dělat, tím lépe, říká mu jeho zkušenost. Jinak to vypadá v případě dělostřelecké</w:t>
      </w:r>
      <w:r>
        <w:rPr>
          <w:sz w:val="20"/>
          <w:szCs w:val="20"/>
        </w:rPr>
        <w:softHyphen/>
        <w:t>ho výboru, přejímajícího nové dělo ve zbrojovc</w:t>
      </w:r>
      <w:r>
        <w:rPr>
          <w:sz w:val="20"/>
          <w:szCs w:val="20"/>
        </w:rPr>
        <w:t>e. Jeho čle</w:t>
      </w:r>
      <w:r>
        <w:rPr>
          <w:sz w:val="20"/>
          <w:szCs w:val="20"/>
        </w:rPr>
        <w:softHyphen/>
        <w:t>nové nemají nejmenšího důvodu, proč by se měli vydávat nebezpečí, že budou zastřeleni, kdyby na sebe vzali odpověd</w:t>
      </w:r>
      <w:r>
        <w:rPr>
          <w:sz w:val="20"/>
          <w:szCs w:val="20"/>
        </w:rPr>
        <w:softHyphen/>
        <w:t>nost za převzetí děla špatné jakosti. Připusťme však pro okamžik, že tento výbor by mohl býti podplacen. Přijme tedy delektní děl</w:t>
      </w:r>
      <w:r>
        <w:rPr>
          <w:sz w:val="20"/>
          <w:szCs w:val="20"/>
        </w:rPr>
        <w:t xml:space="preserve">o a odešle je někam do posádky. Dělo se dostane — řekněme — na mandžuskou hranici. Tamní velitel baterie nedbá ani za groš o ředitele zbrojovky XYZ na Urale, kterého nezná a s nímž se nikdy nesetká. Ohlásí ústřednímu dělostřeleckému výboru v Moskvě, že to </w:t>
      </w:r>
      <w:r>
        <w:rPr>
          <w:sz w:val="20"/>
          <w:szCs w:val="20"/>
        </w:rPr>
        <w:t>a to dodané dělo nemělo předepsanou jakost. Oheň je na střeše a ředitel zbrojovky i páni z podplaceného výboru si v něm těžce popálí prsty. Věru, není radno dodávat brak armádě, miláčku vládců sovětského Ruska.«</w:t>
      </w:r>
    </w:p>
    <w:p w:rsidR="00500724" w:rsidRDefault="00F30FB8">
      <w:pPr>
        <w:pStyle w:val="Zkladntext20"/>
        <w:shd w:val="clear" w:color="auto" w:fill="auto"/>
        <w:spacing w:line="202" w:lineRule="auto"/>
      </w:pPr>
      <w:r>
        <w:t>Dobrá; ale při tom všem byla rudá armáda sna</w:t>
      </w:r>
      <w:r>
        <w:t>d jedinou armádou současné doby, kde se objevilo tolik »zrádců« až v nejvyšším velení; a byla zcela jistě jedi</w:t>
      </w:r>
      <w:r>
        <w:softHyphen/>
        <w:t>nou armádou, kde se sáhlo k prostředkům tak drastic</w:t>
      </w:r>
      <w:r>
        <w:softHyphen/>
        <w:t>kým. Náš svět žije příliš horečně, než aby ho dnes ještě zajímalo, zda byli Tuchačevskij a sp</w:t>
      </w:r>
      <w:r>
        <w:t>ol. opravdu vinni; tím více ho zajímá, zda bylo možno na</w:t>
      </w:r>
      <w:r>
        <w:softHyphen/>
        <w:t>hradit popravené nejschopnější generály. Vojevůd</w:t>
      </w:r>
      <w:r>
        <w:softHyphen/>
        <w:t>cové nerostou jako houby po dešti a mezery v »pro- čištěných« štábech nelze vyplnit povýšením subalter- ních sil. Historiky bude jednou zajímat otázka</w:t>
      </w:r>
      <w:r>
        <w:t>, jaké byly skutečné příčiny loňské čistky v rudé armádě; nás dnes mnohem více zajímají její následky. Po</w:t>
      </w:r>
      <w:r>
        <w:softHyphen/>
        <w:t>kud jde o následky, jež se bezprostředně dotýkají nás samotných, můžeme dát zase slovo už citovanému W. Durantymu: »Lze se domnívati, že důsledky čist</w:t>
      </w:r>
      <w:r>
        <w:t>ky zmenšily u Rusů chuť dostati se do většího konfliktu.«</w:t>
      </w:r>
    </w:p>
    <w:p w:rsidR="00500724" w:rsidRDefault="00F30FB8">
      <w:pPr>
        <w:pStyle w:val="Zkladntext20"/>
        <w:shd w:val="clear" w:color="auto" w:fill="auto"/>
        <w:spacing w:line="202" w:lineRule="auto"/>
      </w:pPr>
      <w:r>
        <w:t>Vskutku, to se lze právem domnívati. Neboť ve dnech, kdy se to v Evropě jen hemžilo ultimaty, kdy je podalo sousední Polsko i neveliké Maďarsko, ne</w:t>
      </w:r>
      <w:r>
        <w:softHyphen/>
        <w:t>sáhlo Rusko k témuž prostředku, který by byl hodil</w:t>
      </w:r>
      <w:r>
        <w:t xml:space="preserve"> jeho meč na váhy. Zůstalo raději stranou, jako zůstá</w:t>
      </w:r>
      <w:r>
        <w:softHyphen/>
        <w:t xml:space="preserve">vá stranou i dnes. Od popravy maršála Tuchačevské- ho vede tak linie logického vývoje k odstranění </w:t>
      </w:r>
      <w:r>
        <w:rPr>
          <w:lang w:val="en-US" w:eastAsia="en-US" w:bidi="en-US"/>
        </w:rPr>
        <w:t>Litvi</w:t>
      </w:r>
      <w:r>
        <w:rPr>
          <w:lang w:val="en-US" w:eastAsia="en-US" w:bidi="en-US"/>
        </w:rPr>
        <w:softHyphen/>
        <w:t xml:space="preserve">nova. </w:t>
      </w:r>
      <w:r>
        <w:t xml:space="preserve">Výsledky se tu sbíhají k jedinému bodu: rudá armáda je na západě dnes jen nástrojem obrany </w:t>
      </w:r>
      <w:r>
        <w:t>země, sovětská zahraniční politika má tu dnes jen obranné cíle — sovětské Rusko není aktivním činitelem evropské politiky.</w:t>
      </w:r>
    </w:p>
    <w:p w:rsidR="00500724" w:rsidRDefault="00F30FB8">
      <w:pPr>
        <w:pStyle w:val="Zkladntext20"/>
        <w:shd w:val="clear" w:color="auto" w:fill="auto"/>
        <w:spacing w:line="202" w:lineRule="auto"/>
        <w:ind w:firstLine="0"/>
        <w:jc w:val="center"/>
      </w:pPr>
      <w:r>
        <w:t>•</w:t>
      </w:r>
    </w:p>
    <w:p w:rsidR="00500724" w:rsidRDefault="00F30FB8">
      <w:pPr>
        <w:pStyle w:val="Zkladntext20"/>
        <w:shd w:val="clear" w:color="auto" w:fill="auto"/>
        <w:spacing w:line="202" w:lineRule="auto"/>
      </w:pPr>
      <w:r>
        <w:t xml:space="preserve">Pavel </w:t>
      </w:r>
      <w:r>
        <w:rPr>
          <w:lang w:val="en-US" w:eastAsia="en-US" w:bidi="en-US"/>
        </w:rPr>
        <w:t xml:space="preserve">Grekov </w:t>
      </w:r>
      <w:r>
        <w:t>má jiné starosti.</w:t>
      </w:r>
    </w:p>
    <w:p w:rsidR="00500724" w:rsidRDefault="00F30FB8">
      <w:pPr>
        <w:pStyle w:val="Zkladntext20"/>
        <w:shd w:val="clear" w:color="auto" w:fill="auto"/>
        <w:spacing w:line="202" w:lineRule="auto"/>
      </w:pPr>
      <w:r>
        <w:t>V jeho zemi se často vyslovuje heslo »Kdo ne</w:t>
      </w:r>
      <w:r>
        <w:softHyphen/>
        <w:t>pracuje, ať nejí a nevládne.« Sovětské statistiky hlá</w:t>
      </w:r>
      <w:r>
        <w:softHyphen/>
        <w:t>s</w:t>
      </w:r>
      <w:r>
        <w:t>ají, že u nich není těch, kdo nepracují — ani nahoře, kde je jinde několik desítek tisíc »vykořisťovatelů«, ani dole, kde jsou jinde miliony nezaměstnaných. Není tu prý ani těch, kteří nejedí a podle slov stalinské ústavy tu — zcela důsledně — není ani těc</w:t>
      </w:r>
      <w:r>
        <w:t>h, kdo by nebyli zúčastněni na vládě.</w:t>
      </w:r>
    </w:p>
    <w:p w:rsidR="00500724" w:rsidRDefault="00F30FB8">
      <w:pPr>
        <w:pStyle w:val="Zkladntext20"/>
        <w:shd w:val="clear" w:color="auto" w:fill="auto"/>
        <w:spacing w:line="223" w:lineRule="auto"/>
      </w:pPr>
      <w:r>
        <w:t xml:space="preserve">Co se týče Pavla </w:t>
      </w:r>
      <w:r>
        <w:rPr>
          <w:lang w:val="en-US" w:eastAsia="en-US" w:bidi="en-US"/>
        </w:rPr>
        <w:t xml:space="preserve">Grekova, </w:t>
      </w:r>
      <w:r>
        <w:t xml:space="preserve">této ústřední postavy dnešního Ruska, ten zajisté pracuje, třeba méně tvrdě než dělník nebo kolchozník. Pavel </w:t>
      </w:r>
      <w:r>
        <w:rPr>
          <w:lang w:val="en-US" w:eastAsia="en-US" w:bidi="en-US"/>
        </w:rPr>
        <w:t xml:space="preserve">Grekov </w:t>
      </w:r>
      <w:r>
        <w:t>— pochopi</w:t>
      </w:r>
      <w:r>
        <w:softHyphen/>
        <w:t>telně — také jí, a jí lépe a víc, »žije lépe a veseleji« nežli dě</w:t>
      </w:r>
      <w:r>
        <w:t xml:space="preserve">lník a kolchozník. Ale pokud jde o vládu — vládne Pavel </w:t>
      </w:r>
      <w:r>
        <w:rPr>
          <w:lang w:val="en-US" w:eastAsia="en-US" w:bidi="en-US"/>
        </w:rPr>
        <w:t>Grekov?</w:t>
      </w:r>
    </w:p>
    <w:p w:rsidR="00500724" w:rsidRDefault="00F30FB8">
      <w:pPr>
        <w:pStyle w:val="Zkladntext20"/>
        <w:shd w:val="clear" w:color="auto" w:fill="auto"/>
        <w:spacing w:line="214" w:lineRule="auto"/>
      </w:pPr>
      <w:r>
        <w:t>Určitě na něm leží jedno břemeno vlády: její od</w:t>
      </w:r>
      <w:r>
        <w:softHyphen/>
        <w:t xml:space="preserve">povědnost. Pavel </w:t>
      </w:r>
      <w:r>
        <w:rPr>
          <w:lang w:val="en-US" w:eastAsia="en-US" w:bidi="en-US"/>
        </w:rPr>
        <w:t xml:space="preserve">Grekov </w:t>
      </w:r>
      <w:r>
        <w:t>je odpověden za splnění plá</w:t>
      </w:r>
      <w:r>
        <w:softHyphen/>
      </w:r>
      <w:r>
        <w:t xml:space="preserve">nů v závodě, na dole, na trati, na kolchoze. Má také jednu výhodu vládnoucích: jejich společenské privi- leje. Pavel </w:t>
      </w:r>
      <w:r>
        <w:rPr>
          <w:lang w:val="en-US" w:eastAsia="en-US" w:bidi="en-US"/>
        </w:rPr>
        <w:t xml:space="preserve">Grekov </w:t>
      </w:r>
      <w:r>
        <w:t>má slušný byt o několika pokojích a dobrou stravu, má nárok na příjemnou dovolenou, nárok na vyšší vzdělání svých dětí. Ale to je ta</w:t>
      </w:r>
      <w:r>
        <w:t>k asi všechno. Jaké budou plány, které bude muset plnit, o tom se rozhoduje nahoře bez něho; bez něho se nahoře rozhoduje i o tom, jaká bude jeho odměna — nebo jeho trest.</w:t>
      </w:r>
    </w:p>
    <w:p w:rsidR="00500724" w:rsidRDefault="00F30FB8">
      <w:pPr>
        <w:pStyle w:val="Zkladntext20"/>
        <w:shd w:val="clear" w:color="auto" w:fill="auto"/>
        <w:spacing w:line="204" w:lineRule="auto"/>
      </w:pPr>
      <w:r>
        <w:t xml:space="preserve">Podle toho vypadají starosti Pavla </w:t>
      </w:r>
      <w:r>
        <w:rPr>
          <w:lang w:val="en-US" w:eastAsia="en-US" w:bidi="en-US"/>
        </w:rPr>
        <w:t xml:space="preserve">Grekova. </w:t>
      </w:r>
      <w:r>
        <w:t xml:space="preserve">Jsou to starosti »budovatele socialismu </w:t>
      </w:r>
      <w:r>
        <w:t>v jedné zemic Ne</w:t>
      </w:r>
      <w:r>
        <w:softHyphen/>
        <w:t>mají už nic společného s kosmopolitickým pathosem revolucionářů. Ve svém čistém límečku, s pečlivě upra</w:t>
      </w:r>
      <w:r>
        <w:softHyphen/>
        <w:t xml:space="preserve">venou vázankou Pavel </w:t>
      </w:r>
      <w:r>
        <w:rPr>
          <w:lang w:val="en-US" w:eastAsia="en-US" w:bidi="en-US"/>
        </w:rPr>
        <w:t xml:space="preserve">Grekov </w:t>
      </w:r>
      <w:r>
        <w:t>už nečítává knížky o hrdinských činech partyzánských otrhanců, kteří kdysi velmi iniciativně zkoušeli pod V</w:t>
      </w:r>
      <w:r>
        <w:t>aršavou hroty svých bajonetů, jak uzrála situace v Evropě. Tleskává ovšem nadšeně na přehlídkách rudé armády, ví, že může postavit do pole osmnáct milionů vycvičených mužů, vyzbrojených od pušky až k tanku a letadlu ve zbrojovkách sovětského Ruska, třetí n</w:t>
      </w:r>
      <w:r>
        <w:t>ejvětší prů</w:t>
      </w:r>
      <w:r>
        <w:softHyphen/>
        <w:t>myslové země světa. A nevěnuje příliš pozornosti tomu, c o se to vlastně změnilo v textu přísahy jejích vojáků, kde dříve stávalo: »Jsem vždy připraven bránit SSSR před každým nebezpečím a bojovati za SSSR, za socialismus a za bratrství národů,</w:t>
      </w:r>
      <w:r>
        <w:t xml:space="preserve"> nešetře svých sil ani svého života« — a kde stojí dnes: »Jsem vždy připraven brániti svoji vlast nešetře své krve ani svého života, abych dosáhl úplného vítězství nad jejími nepřáteli.«</w:t>
      </w:r>
    </w:p>
    <w:p w:rsidR="00500724" w:rsidRDefault="00F30FB8">
      <w:pPr>
        <w:pStyle w:val="Zkladntext20"/>
        <w:shd w:val="clear" w:color="auto" w:fill="auto"/>
        <w:spacing w:line="211" w:lineRule="auto"/>
      </w:pPr>
      <w:r>
        <w:t xml:space="preserve">Pavel </w:t>
      </w:r>
      <w:r>
        <w:rPr>
          <w:lang w:val="en-US" w:eastAsia="en-US" w:bidi="en-US"/>
        </w:rPr>
        <w:t xml:space="preserve">Grekov </w:t>
      </w:r>
      <w:r>
        <w:t>čítával kdysi ve svých novinách reso</w:t>
      </w:r>
      <w:r>
        <w:softHyphen/>
        <w:t xml:space="preserve">luce, přijímané po </w:t>
      </w:r>
      <w:r>
        <w:t>Evropě a Americe »na obranu SSSR«. Snad při svých domácích starostech s pláno</w:t>
      </w:r>
      <w:r>
        <w:softHyphen/>
        <w:t>váním ani pořádně nezpozoroval, jak těch resoluci v posledních letech ubylo. A ti, kdo pro ně tehdy hlasovali, si snad také ještě neuvědomili, jaké důsled</w:t>
      </w:r>
      <w:r>
        <w:softHyphen/>
        <w:t>ky má dnes p r o n ě ta</w:t>
      </w:r>
      <w:r>
        <w:t>to velmi jednostranná politika »obrany SSSR« — v době, kdy věru není nejaktuál</w:t>
      </w:r>
      <w:r>
        <w:softHyphen/>
        <w:t>nějším problémem světa.</w:t>
      </w:r>
    </w:p>
    <w:p w:rsidR="00500724" w:rsidRDefault="00F30FB8">
      <w:pPr>
        <w:pStyle w:val="Zkladntext20"/>
        <w:shd w:val="clear" w:color="auto" w:fill="auto"/>
        <w:spacing w:line="204" w:lineRule="auto"/>
      </w:pPr>
      <w:r>
        <w:t xml:space="preserve">Už celý měsíc nečetl Pavel </w:t>
      </w:r>
      <w:r>
        <w:rPr>
          <w:lang w:val="en-US" w:eastAsia="en-US" w:bidi="en-US"/>
        </w:rPr>
        <w:t xml:space="preserve">Grekov </w:t>
      </w:r>
      <w:r>
        <w:t>ve svých žurná</w:t>
      </w:r>
      <w:r>
        <w:softHyphen/>
        <w:t>lech vlastně nic o moskevských vyjednáváních sira Williama Stranga. Za hranicemi jeho země sledují je st</w:t>
      </w:r>
      <w:r>
        <w:t>amiliony, v tisku všech ostatních národů jsou o nich třikrát denně zprávy a den co den dohady a komen</w:t>
      </w:r>
      <w:r>
        <w:softHyphen/>
        <w:t xml:space="preserve">táře. Pro Pavla </w:t>
      </w:r>
      <w:r>
        <w:rPr>
          <w:lang w:val="en-US" w:eastAsia="en-US" w:bidi="en-US"/>
        </w:rPr>
        <w:t xml:space="preserve">Grekova </w:t>
      </w:r>
      <w:r>
        <w:t>se zprávy o nich skoro vůbec nevydávají — a komentáře? Posledním byl Ždanovův komentář v »Izvěstijích«, který sám potřebuje ko</w:t>
      </w:r>
      <w:r>
        <w:softHyphen/>
        <w:t>men</w:t>
      </w:r>
      <w:r>
        <w:t>táře.</w:t>
      </w:r>
    </w:p>
    <w:p w:rsidR="00500724" w:rsidRDefault="00F30FB8">
      <w:pPr>
        <w:pStyle w:val="Zkladntext20"/>
        <w:shd w:val="clear" w:color="auto" w:fill="auto"/>
        <w:spacing w:line="204" w:lineRule="auto"/>
      </w:pPr>
      <w:r>
        <w:t>Vyslovuje se v něm přesvědčení, že Anglie nemyslí svoji obkličovací politiku vážně a že se připravuje k »druhému Mnichovu*. Čím byl pro Moskvu první</w:t>
      </w:r>
    </w:p>
    <w:p w:rsidR="00500724" w:rsidRDefault="00F30FB8">
      <w:pPr>
        <w:pStyle w:val="Zkladntext20"/>
        <w:shd w:val="clear" w:color="auto" w:fill="auto"/>
        <w:spacing w:line="211" w:lineRule="auto"/>
        <w:ind w:firstLine="0"/>
      </w:pPr>
      <w:r>
        <w:t>Mnichov? Ranou pro její velmocenský prestyž, to je příliš jasné. Ale nejen to. Moskva se znovu poděsi</w:t>
      </w:r>
      <w:r>
        <w:t>la starého přízraku: co kdysi napovídalo Locamo, co naznačovala Stresa, co se rýsovalo v perspektivách »bloku čtyř«, to se náhle konkrétně objevilo na mni</w:t>
      </w:r>
      <w:r>
        <w:softHyphen/>
        <w:t>chovské konferenci. Ovšem jen na chvíli; neboť brzy se ukázalo, že to vlastně nebylo tak zlé — pro Ru</w:t>
      </w:r>
      <w:r>
        <w:t>sko. »Ať už to bylo jakkoli — píše W. Duranty — faktem zůstalo, že Evropa po Mnichovu byla rozděle</w:t>
      </w:r>
      <w:r>
        <w:softHyphen/>
        <w:t>na ve dva tábory, což Rusy příjemně zbavilo jejich staré můry ze sjednoceného kapitalistického útoku na SSSR.« Po počátečním úleku sé Moskvě pak tím spíše mo</w:t>
      </w:r>
      <w:r>
        <w:t xml:space="preserve">hlo zdát být vrcholem politické moudrosti co možná udržet pomnichovský stav v Evropě: </w:t>
      </w:r>
      <w:r>
        <w:rPr>
          <w:lang w:val="en-US" w:eastAsia="en-US" w:bidi="en-US"/>
        </w:rPr>
        <w:t>Litvi</w:t>
      </w:r>
      <w:r>
        <w:rPr>
          <w:lang w:val="en-US" w:eastAsia="en-US" w:bidi="en-US"/>
        </w:rPr>
        <w:softHyphen/>
        <w:t xml:space="preserve">nov </w:t>
      </w:r>
      <w:r>
        <w:t xml:space="preserve">musel odejít </w:t>
      </w:r>
      <w:r>
        <w:rPr>
          <w:lang w:val="en-US" w:eastAsia="en-US" w:bidi="en-US"/>
        </w:rPr>
        <w:t xml:space="preserve">a Molotov </w:t>
      </w:r>
      <w:r>
        <w:t>nespěchá.</w:t>
      </w:r>
    </w:p>
    <w:p w:rsidR="00500724" w:rsidRDefault="00F30FB8">
      <w:pPr>
        <w:pStyle w:val="Zkladntext20"/>
        <w:shd w:val="clear" w:color="auto" w:fill="auto"/>
        <w:spacing w:line="204" w:lineRule="auto"/>
      </w:pPr>
      <w:r>
        <w:t>O »druhém« Mnichovu se Ždanov vyslovil poněkud diplomaticky čili velmi nejasně. Potřebný výklad se nám podává z druhého konce s</w:t>
      </w:r>
      <w:r>
        <w:t xml:space="preserve">věta, ale z téže fronty, z Nového Yorku, kde stalinsky orientovaná revue &gt;The </w:t>
      </w:r>
      <w:r>
        <w:rPr>
          <w:lang w:val="en-US" w:eastAsia="en-US" w:bidi="en-US"/>
        </w:rPr>
        <w:t xml:space="preserve">new </w:t>
      </w:r>
      <w:r>
        <w:t>Republic« napsala 31. května:</w:t>
      </w:r>
    </w:p>
    <w:p w:rsidR="00500724" w:rsidRDefault="00F30FB8">
      <w:pPr>
        <w:pStyle w:val="Zkladntext20"/>
        <w:shd w:val="clear" w:color="auto" w:fill="auto"/>
        <w:spacing w:line="182" w:lineRule="auto"/>
        <w:rPr>
          <w:sz w:val="20"/>
          <w:szCs w:val="20"/>
        </w:rPr>
      </w:pPr>
      <w:r>
        <w:rPr>
          <w:sz w:val="20"/>
          <w:szCs w:val="20"/>
        </w:rPr>
        <w:t xml:space="preserve">»Nebude-li při anglo-sovětském vyjednávání přijata cena Moskvy, pak </w:t>
      </w:r>
      <w:r>
        <w:rPr>
          <w:sz w:val="20"/>
          <w:szCs w:val="20"/>
          <w:lang w:val="en-US" w:eastAsia="en-US" w:bidi="en-US"/>
        </w:rPr>
        <w:t xml:space="preserve">Molotov </w:t>
      </w:r>
      <w:r>
        <w:rPr>
          <w:sz w:val="20"/>
          <w:szCs w:val="20"/>
        </w:rPr>
        <w:t xml:space="preserve">patrně nastoupí cestu isolacionistické neutrality. Porážka Francie a Velké Britanie by byla stejně nebezpečná pro SSSR jako pro Ameriku. Byla by však menším nebezpečím, než kdyby se SSSR zapletlo do veliké války, zatím </w:t>
      </w:r>
      <w:r>
        <w:rPr>
          <w:sz w:val="20"/>
          <w:szCs w:val="20"/>
          <w:lang w:val="en-US" w:eastAsia="en-US" w:bidi="en-US"/>
        </w:rPr>
        <w:t xml:space="preserve">co by Chamberlain </w:t>
      </w:r>
      <w:r>
        <w:rPr>
          <w:sz w:val="20"/>
          <w:szCs w:val="20"/>
        </w:rPr>
        <w:t>a Daladier desertov</w:t>
      </w:r>
      <w:r>
        <w:rPr>
          <w:sz w:val="20"/>
          <w:szCs w:val="20"/>
        </w:rPr>
        <w:t xml:space="preserve">ali na druhou stranu. Jsou dvě alternativy: sovětské uváznutí v Chamberlainově pasti nebo sovětská isolace. Tato isolace by měla za následek porážku Anglie a Francie. Není proč vésti války, jež jsou rozhodnuty ještě dříve, než začaly. </w:t>
      </w:r>
      <w:r>
        <w:rPr>
          <w:sz w:val="20"/>
          <w:szCs w:val="20"/>
          <w:lang w:val="en-US" w:eastAsia="en-US" w:bidi="en-US"/>
        </w:rPr>
        <w:t xml:space="preserve">Downing </w:t>
      </w:r>
      <w:r>
        <w:rPr>
          <w:sz w:val="20"/>
          <w:szCs w:val="20"/>
        </w:rPr>
        <w:t>Street raději</w:t>
      </w:r>
      <w:r>
        <w:rPr>
          <w:sz w:val="20"/>
          <w:szCs w:val="20"/>
        </w:rPr>
        <w:t xml:space="preserve"> zase vykoupí mír, tentokráte na útraty Polska, Rumunska a Francie.«</w:t>
      </w:r>
    </w:p>
    <w:p w:rsidR="00500724" w:rsidRDefault="00F30FB8">
      <w:pPr>
        <w:pStyle w:val="Zkladntext20"/>
        <w:shd w:val="clear" w:color="auto" w:fill="auto"/>
        <w:spacing w:line="202" w:lineRule="auto"/>
      </w:pPr>
      <w:r>
        <w:t>Menší nebezpečí pro Sovětský Svaz je — zůstat mimo každý velký evropský konflikt: tedy je to pro SSSR nejsprávnější politika. Takto bez okras definována se ovšem nijak zvlášť nevyjímá; te</w:t>
      </w:r>
      <w:r>
        <w:t xml:space="preserve">dy se ruská diplomacie a žurnalistika stará o její vhodné zkrášlení. Podezírá hned předem Anglii a Francii, že by v příští válce desertovaly — t e d y co se s nimi vůbec spojovat? Oficiósní »Journal de Moscou« napsal už 4. dubna, jen několik dní po polské </w:t>
      </w:r>
      <w:r>
        <w:t>mobilisaci: »Je známo, jak Polsko jednalo v září 1938. Otázka nyní je, zda se jeho politika od té doby vskutku změ</w:t>
      </w:r>
      <w:r>
        <w:softHyphen/>
        <w:t xml:space="preserve">nila, zda svůj nový kurs myslí Polsko opravdu vážně.« Tutéž otázku opakoval moskevský tisk od té doby na všechny možné adresy, francouzskou, </w:t>
      </w:r>
      <w:r>
        <w:t>anglickou, tu</w:t>
      </w:r>
      <w:r>
        <w:softHyphen/>
        <w:t>reckou, rumunskou; vskutku, opakoval ji tak často, že se sama sebou vnucuje ještě i poslední otázka v téže řadě: a myslí to vážně — Sovětský Svaz? Prů</w:t>
      </w:r>
      <w:r>
        <w:softHyphen/>
        <w:t>tahy v moskevských jednáních tomu věru ne</w:t>
      </w:r>
      <w:r>
        <w:softHyphen/>
        <w:t>nasvědčují.</w:t>
      </w:r>
    </w:p>
    <w:p w:rsidR="00500724" w:rsidRDefault="00F30FB8">
      <w:pPr>
        <w:pStyle w:val="Zkladntext20"/>
        <w:shd w:val="clear" w:color="auto" w:fill="auto"/>
        <w:spacing w:after="60" w:line="180" w:lineRule="auto"/>
        <w:ind w:firstLine="0"/>
        <w:jc w:val="center"/>
      </w:pPr>
      <w:r>
        <w:t>•</w:t>
      </w:r>
    </w:p>
    <w:p w:rsidR="00500724" w:rsidRDefault="00F30FB8">
      <w:pPr>
        <w:pStyle w:val="Zkladntext20"/>
        <w:shd w:val="clear" w:color="auto" w:fill="auto"/>
        <w:spacing w:line="202" w:lineRule="auto"/>
      </w:pPr>
      <w:r>
        <w:t xml:space="preserve">A Pavel </w:t>
      </w:r>
      <w:r>
        <w:rPr>
          <w:lang w:val="en-US" w:eastAsia="en-US" w:bidi="en-US"/>
        </w:rPr>
        <w:t xml:space="preserve">Grekov </w:t>
      </w:r>
      <w:r>
        <w:t>je spokojen. Šéf jeh</w:t>
      </w:r>
      <w:r>
        <w:t>o politiky po</w:t>
      </w:r>
      <w:r>
        <w:softHyphen/>
        <w:t xml:space="preserve">jede teď nejspíš na Kavkaz. Pavel </w:t>
      </w:r>
      <w:r>
        <w:rPr>
          <w:lang w:val="en-US" w:eastAsia="en-US" w:bidi="en-US"/>
        </w:rPr>
        <w:t xml:space="preserve">Grekov </w:t>
      </w:r>
      <w:r>
        <w:t>se také chystá někam na dovolenou, i když to nebude zrovna do mondénního Suchum Kale. Až si tam potom při čaji rozevře svoji »Večorku«, doví se o splněných a nesplněných plánech, o postupu žní, o sensa</w:t>
      </w:r>
      <w:r>
        <w:t>čních ^našich dostiženiach« na frontě umělého líhnutí kuřat. Dočte se také dost a dost o bojích na mandžuských hranicích; neboť zahraniční sovětská politika se nyní obrací čelem k východu, kde se jí po dvou letech japonsko-čínského válčení zdá, že smí vyst</w:t>
      </w:r>
      <w:r>
        <w:t>upovat s důrazem, jaký se může opírat o jeji vlastní neopotře- bované síly. Ale v prázdninové náladě se snadno pře</w:t>
      </w:r>
      <w:r>
        <w:softHyphen/>
        <w:t>hlédne pár řádek o nějakém tom přístavním městě, jehož osud nás tady zajímá.</w:t>
      </w:r>
    </w:p>
    <w:p w:rsidR="00500724" w:rsidRDefault="00F30FB8">
      <w:pPr>
        <w:pStyle w:val="Zkladntext20"/>
        <w:shd w:val="clear" w:color="auto" w:fill="auto"/>
        <w:spacing w:line="221" w:lineRule="auto"/>
        <w:ind w:firstLine="220"/>
      </w:pPr>
      <w:r>
        <w:t xml:space="preserve">Pavel </w:t>
      </w:r>
      <w:r>
        <w:rPr>
          <w:lang w:val="en-US" w:eastAsia="en-US" w:bidi="en-US"/>
        </w:rPr>
        <w:t xml:space="preserve">Grekov </w:t>
      </w:r>
      <w:r>
        <w:t xml:space="preserve">odloží noviny a zapálí si papirosu. Vzpomene si na </w:t>
      </w:r>
      <w:r>
        <w:t>svůj vzdálený úřad, usměje se nad příjemnou představou, že se už — až na další — ne</w:t>
      </w:r>
      <w:r>
        <w:softHyphen/>
        <w:t>musí bát žádné čistky. Naopak, snad dostane k 7. listo</w:t>
      </w:r>
      <w:r>
        <w:softHyphen/>
        <w:t>padu přidáno. Myslí na daču, jakou má jeho rudý ředitel, sní o řádu, který by snad mohl letos dostat. Stalin mluvil o</w:t>
      </w:r>
      <w:r>
        <w:t xml:space="preserve"> kaštanech, které nechce za jiné tahat z ohně: to prěkrasno zkazal ljubimyj vožď«, to mluvil Pavlu Grekovu z duše.</w:t>
      </w:r>
    </w:p>
    <w:p w:rsidR="00500724" w:rsidRDefault="00F30FB8">
      <w:pPr>
        <w:pStyle w:val="Zkladntext20"/>
        <w:shd w:val="clear" w:color="auto" w:fill="auto"/>
        <w:spacing w:after="160" w:line="221" w:lineRule="auto"/>
        <w:ind w:firstLine="220"/>
      </w:pPr>
      <w:r>
        <w:t xml:space="preserve">Neboť Pavel </w:t>
      </w:r>
      <w:r>
        <w:rPr>
          <w:lang w:val="en-US" w:eastAsia="en-US" w:bidi="en-US"/>
        </w:rPr>
        <w:t xml:space="preserve">Grekov, </w:t>
      </w:r>
      <w:r>
        <w:t>ústřední postava Stalinova Ruska, je — třeba ani nezná ten cizí výraz — přesvědčeným isolacionistou.</w:t>
      </w:r>
    </w:p>
    <w:p w:rsidR="00500724" w:rsidRDefault="00F30FB8">
      <w:pPr>
        <w:pStyle w:val="Jin0"/>
        <w:shd w:val="clear" w:color="auto" w:fill="auto"/>
        <w:spacing w:after="180"/>
        <w:ind w:firstLine="0"/>
        <w:jc w:val="left"/>
        <w:rPr>
          <w:sz w:val="44"/>
          <w:szCs w:val="44"/>
        </w:rPr>
      </w:pPr>
      <w:r>
        <w:rPr>
          <w:b/>
          <w:bCs/>
          <w:sz w:val="44"/>
          <w:szCs w:val="44"/>
          <w:u w:val="single"/>
        </w:rPr>
        <w:t>literatura a uměni</w:t>
      </w:r>
    </w:p>
    <w:p w:rsidR="00500724" w:rsidRDefault="00F30FB8">
      <w:pPr>
        <w:pStyle w:val="Zkladntext20"/>
        <w:shd w:val="clear" w:color="auto" w:fill="auto"/>
        <w:spacing w:line="240" w:lineRule="auto"/>
        <w:ind w:firstLine="0"/>
        <w:jc w:val="left"/>
        <w:rPr>
          <w:sz w:val="20"/>
          <w:szCs w:val="20"/>
        </w:rPr>
      </w:pPr>
      <w:r>
        <w:rPr>
          <w:i/>
          <w:iCs/>
          <w:sz w:val="20"/>
          <w:szCs w:val="20"/>
        </w:rPr>
        <w:t>Arnošt H ub er:</w:t>
      </w:r>
    </w:p>
    <w:p w:rsidR="00500724" w:rsidRDefault="00F30FB8">
      <w:pPr>
        <w:pStyle w:val="Nadpis100"/>
        <w:shd w:val="clear" w:color="auto" w:fill="auto"/>
        <w:spacing w:after="60" w:line="240" w:lineRule="auto"/>
        <w:ind w:left="440"/>
        <w:jc w:val="left"/>
      </w:pPr>
      <w:bookmarkStart w:id="744" w:name="bookmark743"/>
      <w:r>
        <w:t>Básnictví nového Německa</w:t>
      </w:r>
      <w:bookmarkEnd w:id="744"/>
    </w:p>
    <w:p w:rsidR="00500724" w:rsidRDefault="00F30FB8">
      <w:pPr>
        <w:pStyle w:val="Zkladntext100"/>
        <w:shd w:val="clear" w:color="auto" w:fill="auto"/>
        <w:spacing w:line="226" w:lineRule="auto"/>
        <w:ind w:firstLine="220"/>
      </w:pPr>
      <w:r>
        <w:t>Svět pochopil to, co se v Německu stalo od roku 1933 především proto tak pozdě, že nevěděl nic o tom, co bylo v Německu před rokem 1933. Snad věděli současníci údo</w:t>
      </w:r>
      <w:r>
        <w:softHyphen/>
        <w:t>bí Ludvíka XVI. kolem roku 1785 o Francii právě tak</w:t>
      </w:r>
      <w:r>
        <w:t xml:space="preserve"> málo, jako současníci Výmarského Německa r. 1930 věděli o této zemi. Revoluce přicházejí z hlubin, vybuchují náhle a ži</w:t>
      </w:r>
      <w:r>
        <w:softHyphen/>
        <w:t>velně, ale dříve než se země zvlní a sopky vyvrhují lávu, prozrazuje chvění půdy, že se blíží přírodní katastrofa. A přes to si většina</w:t>
      </w:r>
      <w:r>
        <w:t xml:space="preserve"> nevšímá těchto příznaků. Svět posu</w:t>
      </w:r>
      <w:r>
        <w:softHyphen/>
        <w:t xml:space="preserve">zoval Německo před r. 1933 podle zcela bezpodstatných příznaků. Viděl říšský sněm, strany, demokratický tisk, viděl velká židovská a liberální nakladatelství a divadla, viděl velká vydání Emila Ludwiga a Remarqua, slávu </w:t>
      </w:r>
      <w:r>
        <w:t>Maxe Reinhardta, četl kritiky Alfreda Kerra, četl nWelt- bůhne« a »Tagebuch« a myslil, že to všechno je Německo. Ve skutečnosti už r. 1930 representovala tato jména a tyto jevy pouhou menšinu, více a více od živoucího národního těla se oddělující vrstvu, j</w:t>
      </w:r>
      <w:r>
        <w:t>ejíž kultura neměla nic společ</w:t>
      </w:r>
      <w:r>
        <w:softHyphen/>
        <w:t>ného se šedesátimilionovým národem, především nic s myšlením a cítěním mladé generace. V této době už rostlo nové Německo.</w:t>
      </w:r>
    </w:p>
    <w:p w:rsidR="00500724" w:rsidRDefault="00F30FB8">
      <w:pPr>
        <w:pStyle w:val="Zkladntext100"/>
        <w:shd w:val="clear" w:color="auto" w:fill="auto"/>
        <w:spacing w:line="233" w:lineRule="auto"/>
        <w:ind w:firstLine="220"/>
      </w:pPr>
      <w:r>
        <w:t xml:space="preserve">Přelom v německém myšlení lze pozorovat dokonce už před válkou. Německé hnutí mládeže nebylo ničím </w:t>
      </w:r>
      <w:r>
        <w:t>jiným než předvojem německé revoluce. Německá mládež, která kolem roku 1910 revoltovala proti vnitřní prolhanosti měš</w:t>
      </w:r>
      <w:r>
        <w:softHyphen/>
        <w:t>ťanské civilisace, proti mrtvým formám společenského života, proti dekadenci, sociální neodpovědnosti, proti po</w:t>
      </w:r>
      <w:r>
        <w:softHyphen/>
        <w:t>vrchnosti a bezduchému for</w:t>
      </w:r>
      <w:r>
        <w:t xml:space="preserve">malismu, která žádala novou výchovu, která vypověděla válku svým rodičům, státu </w:t>
      </w:r>
      <w:r>
        <w:rPr>
          <w:b/>
          <w:bCs/>
          <w:sz w:val="19"/>
          <w:szCs w:val="19"/>
        </w:rPr>
        <w:t xml:space="preserve">a </w:t>
      </w:r>
      <w:r>
        <w:t>kultuře, už tehdy napsala na svých praporech téměř všechno, co se po válce vrátilo jako politické heslo. A právě tak jako v Itálii existoval před válkou literární předvoj bud</w:t>
      </w:r>
      <w:r>
        <w:t>oucí revoluce — futuristé - tak i Německo mělo před válkou své literární rebely. Revoluční proud - sice znetvořený snobismem - vynořuje se asi r. 1910; jsou to expresionistó, především skupina kolem jAktions, k níž jednu dobu patřil nynější vedoucí muž něm</w:t>
      </w:r>
      <w:r>
        <w:t xml:space="preserve">eckého spisovafelstva </w:t>
      </w:r>
      <w:r>
        <w:rPr>
          <w:lang w:val="en-US" w:eastAsia="en-US" w:bidi="en-US"/>
        </w:rPr>
        <w:t xml:space="preserve">Hanns </w:t>
      </w:r>
      <w:r>
        <w:t>Johsí.</w:t>
      </w:r>
    </w:p>
    <w:p w:rsidR="00500724" w:rsidRDefault="00F30FB8">
      <w:pPr>
        <w:pStyle w:val="Zkladntext100"/>
        <w:shd w:val="clear" w:color="auto" w:fill="auto"/>
        <w:spacing w:line="233" w:lineRule="auto"/>
        <w:ind w:firstLine="220"/>
      </w:pPr>
      <w:r>
        <w:t>Roku 1913 sněmovala německá mládež na Hohenmeiss- neru. Její program byl revoluční a odvážný, ale nejasný a neurčitý. Rok po tom vynutila si válka velké rozhodo</w:t>
      </w:r>
      <w:r>
        <w:softHyphen/>
        <w:t xml:space="preserve">vání. Statisíce mladých lidí z vysokoškolských škamen, od </w:t>
      </w:r>
      <w:r>
        <w:t>pultů a z dílen hlásili se jako dobrovolníci. Pět armádních sborů, složených téměř zcela z mladých dobrovolníků, po</w:t>
      </w:r>
      <w:r>
        <w:softHyphen/>
        <w:t>slalo velitelství na podzim 1914 do Flander. Pluky němec</w:t>
      </w:r>
      <w:r>
        <w:softHyphen/>
        <w:t>ké mládeže vykrvácely v útoku na Langemarck, se zpě</w:t>
      </w:r>
      <w:r>
        <w:softHyphen/>
        <w:t xml:space="preserve">vem se vrhaly proti nepříteli, </w:t>
      </w:r>
      <w:r>
        <w:t>nesmyslně útočily proti jeho dělům. Langemarckská oběť se stala od té doby symbo</w:t>
      </w:r>
      <w:r>
        <w:softHyphen/>
        <w:t>lem nové německé mládeže. Romantika Hohenmeissneru zmizela, byla pokropena krví-mládeže u Langemarcku. Ale 4ÓS ideologicky lze zaznamenat nepřetržitou linii od Hohen- meissner</w:t>
      </w:r>
      <w:r>
        <w:t>ů až k flanderským bojištím.</w:t>
      </w:r>
    </w:p>
    <w:p w:rsidR="00500724" w:rsidRDefault="00F30FB8">
      <w:pPr>
        <w:pStyle w:val="Zkladntext100"/>
        <w:shd w:val="clear" w:color="auto" w:fill="auto"/>
        <w:spacing w:line="228" w:lineRule="auto"/>
        <w:ind w:firstLine="220"/>
      </w:pPr>
      <w:r>
        <w:t>Všechno, co z této mládeže zbylo, všechno co přežilo peklo u Verdunu, a šílené umírání na Sommě a bitvy r. 19Í8 vrátilo se na podzim německého nešťastného roku do proměněného Německa. Všechno se tu změnilo, nic neplatilo, co pl</w:t>
      </w:r>
      <w:r>
        <w:t>atilo roku 1913. Ale změnilo se to k lepší</w:t>
      </w:r>
      <w:r>
        <w:softHyphen/>
        <w:t>mu? Odpovídalo Německo z listopadu 1918 obrazu toho Německa, které "spatřovala mládež z Hohenmeissneru v oblacích, která roku 1914 připínala si na hruď odznaky dobrovolníků?</w:t>
      </w:r>
    </w:p>
    <w:p w:rsidR="00500724" w:rsidRDefault="00F30FB8">
      <w:pPr>
        <w:pStyle w:val="Zkladntext100"/>
        <w:shd w:val="clear" w:color="auto" w:fill="auto"/>
        <w:spacing w:line="223" w:lineRule="auto"/>
        <w:ind w:firstLine="220"/>
      </w:pPr>
      <w:r>
        <w:t>Nikoli. Bylo jim právě lak cizí a právě</w:t>
      </w:r>
      <w:r>
        <w:t xml:space="preserve"> tak nenáviděné, jako Německo, které zaniklo. Ovšemže vedoucí postavy staré doby, sociální představitelé padli, císař Vilém uprchl do Holandska právě v hodině, která byla pro zemi nejtěžší. Fešácký poručík, gardový důstojník zmizeli, důstojníci, kteří ovlá</w:t>
      </w:r>
      <w:r>
        <w:t>dali německou armádu od r. 1914, ne</w:t>
      </w:r>
      <w:r>
        <w:softHyphen/>
        <w:t>měli s karikaturami ze »Simplicissimu« nic společného. Vousatí profesoři, hospodští politikové a maloměstští šo- sáci dohráli svou úlohu. Kdo však vládl, kdo vítal vrace</w:t>
      </w:r>
      <w:r>
        <w:softHyphen/>
        <w:t>jící se válečníky, kdo utvářel nové Německo? Vedle</w:t>
      </w:r>
      <w:r>
        <w:t xml:space="preserve"> sně</w:t>
      </w:r>
      <w:r>
        <w:softHyphen/>
        <w:t>movních řečníků, kteří dokázali svou neschopnost k jaké</w:t>
      </w:r>
      <w:r>
        <w:softHyphen/>
        <w:t>mukoliv činu a jakémukoliv vedení již za války, seděli za zelenými stoly bodří odborářští byrokrati bez vzletu, odvahy a myšlenky. Pokud byla tato nová vedoucí vrstva poctivá, chyběl jí jakýkoliv</w:t>
      </w:r>
      <w:r>
        <w:t xml:space="preserve"> vzlet a pokud se pohybovala, chyběla jí jakákoliv poctivost.</w:t>
      </w:r>
    </w:p>
    <w:p w:rsidR="00500724" w:rsidRDefault="00F30FB8">
      <w:pPr>
        <w:pStyle w:val="Zkladntext100"/>
        <w:shd w:val="clear" w:color="auto" w:fill="auto"/>
        <w:spacing w:after="320" w:line="223" w:lineRule="auto"/>
        <w:ind w:firstLine="220"/>
      </w:pPr>
      <w:r>
        <w:t>Struska polní armády, zbytky ročníků 1890 až 1910 byly příliš slabé, příliš chudokrevné, příliš zmrzačelé, aby se dovedly ujmout kormidla státu. Německá republika 1918 zvítězila v politickém a d</w:t>
      </w:r>
      <w:r>
        <w:t>uchovním vakuu, stará vedoucí vrstva desertovala, nové zde ještě nebylo. Přešel celý lidský věk, než si válečná generace získala posilu v mla</w:t>
      </w:r>
      <w:r>
        <w:softHyphen/>
        <w:t>dých dospívajících ročnících z roku 1906 a než se odhod</w:t>
      </w:r>
      <w:r>
        <w:softHyphen/>
        <w:t>lala k úderu na Německo. Prozatím nemohla dělat nic, jenom</w:t>
      </w:r>
      <w:r>
        <w:t xml:space="preserve"> se soustředili, připravovali a uchovávali to, co bylo dřív v naději a vůli k novému počátku.</w:t>
      </w:r>
    </w:p>
    <w:p w:rsidR="00500724" w:rsidRDefault="00F30FB8">
      <w:pPr>
        <w:pStyle w:val="Zkladntext100"/>
        <w:shd w:val="clear" w:color="auto" w:fill="auto"/>
        <w:spacing w:line="223" w:lineRule="auto"/>
        <w:ind w:firstLine="220"/>
      </w:pPr>
      <w:r>
        <w:t>V tomto vývoji mají tři data význam: Hohenmeissner, Langemarck a 28. června 1919, den, kdy vyslanci němec</w:t>
      </w:r>
      <w:r>
        <w:softHyphen/>
        <w:t>ké republiky musili ve Versaillích podepsat diktát vítěz</w:t>
      </w:r>
      <w:r>
        <w:t xml:space="preserve">ů a kdy </w:t>
      </w:r>
      <w:r>
        <w:rPr>
          <w:lang w:val="en-US" w:eastAsia="en-US" w:bidi="en-US"/>
        </w:rPr>
        <w:t xml:space="preserve">Moeller </w:t>
      </w:r>
      <w:r>
        <w:t>van der Bruck založil v Berlíně sJuniklub# (Červnový klub). Tím vstupuje revoluce ze stadia snění ve stadium akce. Vedení přechází brzy na politiky, ale bás</w:t>
      </w:r>
      <w:r>
        <w:softHyphen/>
        <w:t>níci hrají dále velkou úlohu.</w:t>
      </w:r>
    </w:p>
    <w:p w:rsidR="00500724" w:rsidRDefault="00F30FB8">
      <w:pPr>
        <w:pStyle w:val="Zkladntext100"/>
        <w:shd w:val="clear" w:color="auto" w:fill="auto"/>
        <w:spacing w:line="223" w:lineRule="auto"/>
        <w:ind w:firstLine="220"/>
      </w:pPr>
      <w:r>
        <w:t>Hledáme-li dnes literární prapočátky německého dneš</w:t>
      </w:r>
      <w:r>
        <w:softHyphen/>
        <w:t>n</w:t>
      </w:r>
      <w:r>
        <w:t>ího básnictví, jehož sociologické postavení jsem se po</w:t>
      </w:r>
      <w:r>
        <w:softHyphen/>
        <w:t xml:space="preserve">kusil nakresliti, musíme stále znovu klásti na vedoucí místa dvě jména: Richard </w:t>
      </w:r>
      <w:r>
        <w:rPr>
          <w:lang w:val="en-US" w:eastAsia="en-US" w:bidi="en-US"/>
        </w:rPr>
        <w:t xml:space="preserve">Wagner </w:t>
      </w:r>
      <w:r>
        <w:t xml:space="preserve">a Friedrich </w:t>
      </w:r>
      <w:r>
        <w:rPr>
          <w:lang w:val="en-US" w:eastAsia="en-US" w:bidi="en-US"/>
        </w:rPr>
        <w:t xml:space="preserve">Nietzsche. </w:t>
      </w:r>
      <w:r>
        <w:t xml:space="preserve">Teprve jako jejich nástupci vynořují se jména jako Stefan </w:t>
      </w:r>
      <w:r>
        <w:rPr>
          <w:lang w:val="en-US" w:eastAsia="en-US" w:bidi="en-US"/>
        </w:rPr>
        <w:t xml:space="preserve">George </w:t>
      </w:r>
      <w:r>
        <w:t xml:space="preserve">nebo </w:t>
      </w:r>
      <w:r>
        <w:rPr>
          <w:lang w:val="en-US" w:eastAsia="en-US" w:bidi="en-US"/>
        </w:rPr>
        <w:t xml:space="preserve">Moeller </w:t>
      </w:r>
      <w:r>
        <w:t>van der Bruck</w:t>
      </w:r>
      <w:r>
        <w:t xml:space="preserve">. </w:t>
      </w:r>
      <w:r>
        <w:rPr>
          <w:lang w:val="en-US" w:eastAsia="en-US" w:bidi="en-US"/>
        </w:rPr>
        <w:t xml:space="preserve">Wagner a Nietzsche </w:t>
      </w:r>
      <w:r>
        <w:t xml:space="preserve">s počátku přátelé, později hořce rozkmotření protagonisté zapadajícího XIX. století, jsou nejsilnějšími vzory století XX. A toto století XX. pokouší se oba soupeře znovu smířit. Vyškrtává z Wagnera právě </w:t>
      </w:r>
      <w:r>
        <w:rPr>
          <w:lang w:val="en-US" w:eastAsia="en-US" w:bidi="en-US"/>
        </w:rPr>
        <w:t xml:space="preserve">to, co </w:t>
      </w:r>
      <w:r>
        <w:t xml:space="preserve">mu </w:t>
      </w:r>
      <w:r>
        <w:rPr>
          <w:lang w:val="en-US" w:eastAsia="en-US" w:bidi="en-US"/>
        </w:rPr>
        <w:t xml:space="preserve">Nietzsche </w:t>
      </w:r>
      <w:r>
        <w:t>nikdy nedov</w:t>
      </w:r>
      <w:r>
        <w:t>edl odpustit, totiž návrat do křesťanství, a ponechá</w:t>
      </w:r>
      <w:r>
        <w:softHyphen/>
        <w:t>vá si jeho romantickou mythologii, naopak vynechává u Nietzscheho vše, co bylo na samotáři ze Sils-Maria deka</w:t>
      </w:r>
      <w:r>
        <w:softHyphen/>
        <w:t>dentního, francouzského a sensibilního. XX. století uchva</w:t>
      </w:r>
      <w:r>
        <w:softHyphen/>
        <w:t>cuje ho z heroické stránky, ale pot</w:t>
      </w:r>
      <w:r>
        <w:t xml:space="preserve">řebuje ho, neboť </w:t>
      </w:r>
      <w:r>
        <w:rPr>
          <w:lang w:val="en-US" w:eastAsia="en-US" w:bidi="en-US"/>
        </w:rPr>
        <w:t>Nie</w:t>
      </w:r>
      <w:r>
        <w:rPr>
          <w:lang w:val="en-US" w:eastAsia="en-US" w:bidi="en-US"/>
        </w:rPr>
        <w:softHyphen/>
        <w:t xml:space="preserve">tzsche </w:t>
      </w:r>
      <w:r>
        <w:t xml:space="preserve">- to je most k Středomoří, na jih, do latinského světa (právě jak Stefan </w:t>
      </w:r>
      <w:r>
        <w:rPr>
          <w:lang w:val="en-US" w:eastAsia="en-US" w:bidi="en-US"/>
        </w:rPr>
        <w:t xml:space="preserve">George) </w:t>
      </w:r>
      <w:r>
        <w:t>a německá revoluce není ve své tendenci omezena na hnutí čistě německé, nýbrž usiluje duchovně a politicky o evropskou úlohu. Velké programové dílo</w:t>
      </w:r>
      <w:r>
        <w:t xml:space="preserve"> Moellera van der Brucka končí slovy, která právě dnes v rozhodujících sporech mezi Německem a Anglií působí přímo prorocky: sGermány jsme byli, Němci jsme a Evropany se chceme stát«.</w:t>
      </w:r>
    </w:p>
    <w:p w:rsidR="00500724" w:rsidRDefault="00F30FB8">
      <w:pPr>
        <w:pStyle w:val="Zkladntext100"/>
        <w:shd w:val="clear" w:color="auto" w:fill="auto"/>
        <w:spacing w:after="40" w:line="226" w:lineRule="auto"/>
        <w:ind w:firstLine="220"/>
      </w:pPr>
      <w:r>
        <w:t>Tématicky byl válečný zážitek ve středu pozornosti ně</w:t>
      </w:r>
      <w:r>
        <w:softHyphen/>
        <w:t>meckého básnictví,</w:t>
      </w:r>
      <w:r>
        <w:t xml:space="preserve"> které se váhavě rozvilo kolem r. 1920 a ku sklonku desetiletí stalo se širokým proudem, oplod</w:t>
      </w:r>
      <w:r>
        <w:softHyphen/>
        <w:t>ňujícím život národa. Válka, jako začátek přelomu, obro</w:t>
      </w:r>
      <w:r>
        <w:softHyphen/>
        <w:t>zení, revoluce - to je téma, které třeba u Franze Schau- weckera, zní už v názvu jeho velkého válečného r</w:t>
      </w:r>
      <w:r>
        <w:t xml:space="preserve">ománu sPozdvižení národa« (Aufbruch der </w:t>
      </w:r>
      <w:r>
        <w:rPr>
          <w:lang w:val="en-US" w:eastAsia="en-US" w:bidi="en-US"/>
        </w:rPr>
        <w:t xml:space="preserve">Nation). </w:t>
      </w:r>
      <w:r>
        <w:t>Je to velmi rozšířený omyl všech těch, kteří znají jen jednu stranu ně</w:t>
      </w:r>
      <w:r>
        <w:softHyphen/>
        <w:t>mecké válečné literatury, která jim byla předkládána v levicovém tisku, že válečné romány mladých Němců válku zkrášlují, idealisují a ro</w:t>
      </w:r>
      <w:r>
        <w:t>mantisují. Pro výslovně »pa- cifické« a liberální válečné romány Remarqueovy, Renno- vy a některých jiných, jejichž knihy nikoli náhodou vy</w:t>
      </w:r>
      <w:r>
        <w:softHyphen/>
        <w:t xml:space="preserve">cházely v nakladatelstvích, jimž patřil i velký levicový tisk, se dělala taková reklama, že je cizina považovala za </w:t>
      </w:r>
      <w:r>
        <w:t>jediné realistické. Je to docela nesprávné. Schauwecker, Dwinger, Beumelburg, Jůnger nelíčí válku romanticky, ne- zkrašlují ji. Snad není jiného epického díla, které by líčilo nadlidské hrůzy fronty takovou sugestivní formou jako Schauweckerovo uPozdvižení</w:t>
      </w:r>
      <w:r>
        <w:t xml:space="preserve"> národa«, zde se nic ne- zkrášluje, nic se nezatajuje, mládeži, která nezažila válku, se nepředkládá barvotisk romantického boje rytířů. Válka je zde líčena barvami apokalypsy, jako něco nepochopi</w:t>
      </w:r>
      <w:r>
        <w:softHyphen/>
        <w:t>telného, jako zážitek, který nemůže pojmout lidská duše, kt</w:t>
      </w:r>
      <w:r>
        <w:t>erým nemůže nikdo projít, aniž se nezmění. Rozdíl mezí touto a liberálně-demokratickou válečnou literaturou zá</w:t>
      </w:r>
      <w:r>
        <w:softHyphen/>
        <w:t>leží v něčem jiném. Kdežto u Renna a Remarquea tyto hrůzné zážitky jsou bezsmyslné, hromada špíny a krve nemá hlubší smysl, než leda ten, že se p</w:t>
      </w:r>
      <w:r>
        <w:t>oznají a opraví politické omyly, hledají revoluční Němci hlubší smysl války a porážky. Nejjasněji to zní v závěru Schauwecke- rova románu. Student dobrovolec, který prožil ty čtyři léta, říká tady:</w:t>
      </w:r>
    </w:p>
    <w:p w:rsidR="00500724" w:rsidRDefault="00F30FB8">
      <w:pPr>
        <w:pStyle w:val="Zkladntext20"/>
        <w:shd w:val="clear" w:color="auto" w:fill="auto"/>
        <w:spacing w:after="40" w:line="178" w:lineRule="auto"/>
        <w:rPr>
          <w:sz w:val="20"/>
          <w:szCs w:val="20"/>
        </w:rPr>
      </w:pPr>
      <w:r>
        <w:rPr>
          <w:sz w:val="20"/>
          <w:szCs w:val="20"/>
        </w:rPr>
        <w:t xml:space="preserve">»... Teď mne zas něco napadá. Nelze to dnes říci hlasitě, </w:t>
      </w:r>
      <w:r>
        <w:rPr>
          <w:sz w:val="20"/>
          <w:szCs w:val="20"/>
        </w:rPr>
        <w:t xml:space="preserve">protože to není pro každého. Nevěřím, že velké neštěstí je beze smyslu a bez viny. Má to určitě smysl a oprávnění, že jsme prohráli tuto válku. Svět by se mi zdál šíleným, kdyby to bylo jinak. Musíme jednou vypátrat, proč jsme prohráli válku. Protože jsme </w:t>
      </w:r>
      <w:r>
        <w:rPr>
          <w:sz w:val="20"/>
          <w:szCs w:val="20"/>
        </w:rPr>
        <w:t>sami byli vinni, protože jsme byli plni prázdnoty, náročnosti, vnějškové moci, rozdvojení národa, pouhého biflování, nadpráví, povrchnosti, nesamostatnosti, programu, který už předem byl ve všem — ach, bože, tolik, tak strašně mnoho toho je! Kde byli Bedři</w:t>
      </w:r>
      <w:r>
        <w:rPr>
          <w:sz w:val="20"/>
          <w:szCs w:val="20"/>
        </w:rPr>
        <w:t xml:space="preserve">ch </w:t>
      </w:r>
      <w:r>
        <w:rPr>
          <w:sz w:val="20"/>
          <w:szCs w:val="20"/>
          <w:lang w:val="en-US" w:eastAsia="en-US" w:bidi="en-US"/>
        </w:rPr>
        <w:t xml:space="preserve">a Bismarck </w:t>
      </w:r>
      <w:r>
        <w:rPr>
          <w:sz w:val="20"/>
          <w:szCs w:val="20"/>
        </w:rPr>
        <w:t>a velcí panovníci německého středověku? Kde?! Ne, ne —■ nemíním pouhé skutky, míním — slyšíš? — to, co ty skut</w:t>
      </w:r>
      <w:r>
        <w:rPr>
          <w:sz w:val="20"/>
          <w:szCs w:val="20"/>
        </w:rPr>
        <w:softHyphen/>
        <w:t>ky umožnilo, velikost, hloubku, sílu těchto mužů, šíři jejich obzoru, ráznost jejich rozhodnutí, dobro v jejich hněvu.. Všechno byl</w:t>
      </w:r>
      <w:r>
        <w:rPr>
          <w:sz w:val="20"/>
          <w:szCs w:val="20"/>
        </w:rPr>
        <w:t>o pryč! Ale teď můžeme konečně začít od za</w:t>
      </w:r>
      <w:r>
        <w:rPr>
          <w:sz w:val="20"/>
          <w:szCs w:val="20"/>
        </w:rPr>
        <w:softHyphen/>
        <w:t>čátku, osvobodit to, co chce žít, ale nenarodilo se ještě! A proto nelituji, že jsme prohráli válku.«</w:t>
      </w:r>
    </w:p>
    <w:p w:rsidR="00500724" w:rsidRDefault="00F30FB8">
      <w:pPr>
        <w:pStyle w:val="Zkladntext20"/>
        <w:shd w:val="clear" w:color="auto" w:fill="auto"/>
        <w:spacing w:after="40" w:line="175" w:lineRule="auto"/>
        <w:rPr>
          <w:sz w:val="20"/>
          <w:szCs w:val="20"/>
        </w:rPr>
      </w:pPr>
      <w:r>
        <w:rPr>
          <w:sz w:val="20"/>
          <w:szCs w:val="20"/>
        </w:rPr>
        <w:t>Učinil přestávku a pak řekl tichým a pronikavým hla</w:t>
      </w:r>
      <w:r>
        <w:rPr>
          <w:sz w:val="20"/>
          <w:szCs w:val="20"/>
        </w:rPr>
        <w:softHyphen/>
        <w:t>sem: »Musili jsme ztratit válku, abychom získali národ.«</w:t>
      </w:r>
    </w:p>
    <w:p w:rsidR="00500724" w:rsidRDefault="00F30FB8">
      <w:pPr>
        <w:pStyle w:val="Zkladntext100"/>
        <w:shd w:val="clear" w:color="auto" w:fill="auto"/>
        <w:spacing w:after="40" w:line="223" w:lineRule="auto"/>
        <w:ind w:firstLine="240"/>
      </w:pPr>
      <w:r>
        <w:t>Tá</w:t>
      </w:r>
      <w:r>
        <w:t>ž nálada panuje v knize o Verdunu od Edgara Maasse, která byla napsána dvacet let po hrozném krve</w:t>
      </w:r>
      <w:r>
        <w:softHyphen/>
        <w:t>prolití, v románech Edwina Dwingera íMezi bílými a ru</w:t>
      </w:r>
      <w:r>
        <w:softHyphen/>
        <w:t>dými#, sArmáda za ostnatým drátem#, uVoláme Německo#, sBezejmenné vojsko#, sPoslední jezdci«, sA Bůh mlč</w:t>
      </w:r>
      <w:r>
        <w:t>í?# atd. Vyznačuje romány Wernera Beumelburga sSkupina Bosemůller«, sBubnová palba kolem Německa#; Beumel</w:t>
      </w:r>
      <w:r>
        <w:softHyphen/>
        <w:t>burg přechází k otázkám poválečným sNěmecko v řetě</w:t>
      </w:r>
      <w:r>
        <w:softHyphen/>
        <w:t>zech#, aby se nakonec v četných historických románech a novelách dotkl problémů, které vzrušovaly n</w:t>
      </w:r>
      <w:r>
        <w:t xml:space="preserve">ěmecký národ kolem r. 1930: Prusko a Rakousko, sever a jih, </w:t>
      </w:r>
      <w:r>
        <w:rPr>
          <w:lang w:val="en-US" w:eastAsia="en-US" w:bidi="en-US"/>
        </w:rPr>
        <w:t>Bis</w:t>
      </w:r>
      <w:r>
        <w:rPr>
          <w:lang w:val="en-US" w:eastAsia="en-US" w:bidi="en-US"/>
        </w:rPr>
        <w:softHyphen/>
        <w:t xml:space="preserve">marck </w:t>
      </w:r>
      <w:r>
        <w:t>a Vilém II., římský katolicismus a reformace. Ernst Jůnger (sV ocelové bouři#, »Oheň a krev#, sBoj jako vnitř</w:t>
      </w:r>
      <w:r>
        <w:softHyphen/>
        <w:t>ní prožitek#) patří svými epickými a sociologicko-filosof- skými spisy rovně</w:t>
      </w:r>
      <w:r>
        <w:t>ž sem. Jestliže už Dwinger svou románo</w:t>
      </w:r>
      <w:r>
        <w:softHyphen/>
        <w:t>vou sérií sSibiřský deník# obrátil pozornost Němců z Evro</w:t>
      </w:r>
      <w:r>
        <w:softHyphen/>
        <w:t>py do toho dálního světa, který byl objeven válkou, za</w:t>
      </w:r>
      <w:r>
        <w:softHyphen/>
        <w:t xml:space="preserve">jetím a bojem s novými mocnostmi v Rusku, pak kniha Hanse Grimma sNárod bez prostoru#, která vyšla 1926 </w:t>
      </w:r>
      <w:r>
        <w:t>a měla úžasný úspěch, rozšířila maloněmecký obzor do světových dálek. Zde se stal název románu politickým heslem, a dnes se neví, co bylo dřív, heslo nebo román.</w:t>
      </w:r>
    </w:p>
    <w:p w:rsidR="00500724" w:rsidRDefault="00F30FB8">
      <w:pPr>
        <w:pStyle w:val="Zkladntext100"/>
        <w:shd w:val="clear" w:color="auto" w:fill="auto"/>
        <w:spacing w:line="228" w:lineRule="auto"/>
        <w:ind w:firstLine="0"/>
        <w:jc w:val="center"/>
      </w:pPr>
      <w:r>
        <w:t>•</w:t>
      </w:r>
    </w:p>
    <w:p w:rsidR="00500724" w:rsidRDefault="00F30FB8">
      <w:pPr>
        <w:pStyle w:val="Zkladntext100"/>
        <w:shd w:val="clear" w:color="auto" w:fill="auto"/>
        <w:spacing w:after="40" w:line="228" w:lineRule="auto"/>
        <w:ind w:firstLine="240"/>
        <w:rPr>
          <w:sz w:val="19"/>
          <w:szCs w:val="19"/>
        </w:rPr>
      </w:pPr>
      <w:r>
        <w:t xml:space="preserve">Je zajímavé pro německé básnictví poválečné doby, že většina básníků, epikové, právě tak jako dramatikové </w:t>
      </w:r>
      <w:r>
        <w:rPr>
          <w:b/>
          <w:bCs/>
          <w:sz w:val="19"/>
          <w:szCs w:val="19"/>
        </w:rPr>
        <w:t>a</w:t>
      </w:r>
    </w:p>
    <w:p w:rsidR="00500724" w:rsidRDefault="00F30FB8">
      <w:pPr>
        <w:pStyle w:val="Zkladntext1"/>
        <w:shd w:val="clear" w:color="auto" w:fill="auto"/>
        <w:spacing w:after="60"/>
        <w:ind w:firstLine="0"/>
        <w:rPr>
          <w:sz w:val="18"/>
          <w:szCs w:val="18"/>
        </w:rPr>
      </w:pPr>
      <w:r>
        <w:rPr>
          <w:sz w:val="18"/>
          <w:szCs w:val="18"/>
        </w:rPr>
        <w:t>lyrikové, jsou současně politickými a filosofickými spiso</w:t>
      </w:r>
      <w:r>
        <w:rPr>
          <w:sz w:val="18"/>
          <w:szCs w:val="18"/>
        </w:rPr>
        <w:softHyphen/>
        <w:t>vateli a přispívali k tomu, aby německý tisk a politické spisy pabyly nové tvářnosti. Toto</w:t>
      </w:r>
      <w:r>
        <w:rPr>
          <w:sz w:val="18"/>
          <w:szCs w:val="18"/>
        </w:rPr>
        <w:t xml:space="preserve"> básnictví má jasný prorocký charakter, ohlašuje přicházející, budí, bubnuje. Vojenský symbol bubnu a vlajky se stále vrací. Heinrich Anacker napsal svazek veršů sBuben«. iTři hvězdy září: Čest, svo</w:t>
      </w:r>
      <w:r>
        <w:rPr>
          <w:sz w:val="18"/>
          <w:szCs w:val="18"/>
        </w:rPr>
        <w:softHyphen/>
        <w:t>boda, mír!« prohlašuje Anacker v jedné básni a shrnuje fa</w:t>
      </w:r>
      <w:r>
        <w:rPr>
          <w:sz w:val="18"/>
          <w:szCs w:val="18"/>
        </w:rPr>
        <w:t>k v jednom verši všechno, co je politickým cílem revo</w:t>
      </w:r>
      <w:r>
        <w:rPr>
          <w:sz w:val="18"/>
          <w:szCs w:val="18"/>
        </w:rPr>
        <w:softHyphen/>
        <w:t>luce. Mír ovšem není možný bez boje a bez obětí. Stále se vrací myšlenky o souručenství, oběti, a o smrti Ne</w:t>
      </w:r>
      <w:r>
        <w:rPr>
          <w:sz w:val="18"/>
          <w:szCs w:val="18"/>
        </w:rPr>
        <w:softHyphen/>
        <w:t>známého vojína revoluce a války:</w:t>
      </w:r>
    </w:p>
    <w:p w:rsidR="00500724" w:rsidRDefault="00F30FB8">
      <w:pPr>
        <w:pStyle w:val="Zkladntext1"/>
        <w:shd w:val="clear" w:color="auto" w:fill="auto"/>
        <w:spacing w:line="206" w:lineRule="auto"/>
        <w:ind w:left="800" w:firstLine="20"/>
        <w:jc w:val="left"/>
        <w:rPr>
          <w:sz w:val="20"/>
          <w:szCs w:val="20"/>
        </w:rPr>
      </w:pPr>
      <w:r>
        <w:rPr>
          <w:sz w:val="20"/>
          <w:szCs w:val="20"/>
        </w:rPr>
        <w:t>»Wenn einer stirbt, wenn einer fallt,</w:t>
      </w:r>
    </w:p>
    <w:p w:rsidR="00500724" w:rsidRDefault="00F30FB8">
      <w:pPr>
        <w:pStyle w:val="Zkladntext1"/>
        <w:shd w:val="clear" w:color="auto" w:fill="auto"/>
        <w:spacing w:line="206" w:lineRule="auto"/>
        <w:ind w:left="800" w:firstLine="20"/>
        <w:jc w:val="left"/>
        <w:rPr>
          <w:sz w:val="20"/>
          <w:szCs w:val="20"/>
        </w:rPr>
      </w:pPr>
      <w:r>
        <w:rPr>
          <w:sz w:val="20"/>
          <w:szCs w:val="20"/>
        </w:rPr>
        <w:t xml:space="preserve">Geht kalt ein </w:t>
      </w:r>
      <w:r>
        <w:rPr>
          <w:sz w:val="20"/>
          <w:szCs w:val="20"/>
          <w:lang w:val="en-US" w:eastAsia="en-US" w:bidi="en-US"/>
        </w:rPr>
        <w:t xml:space="preserve">Schauer </w:t>
      </w:r>
      <w:r>
        <w:rPr>
          <w:sz w:val="20"/>
          <w:szCs w:val="20"/>
        </w:rPr>
        <w:t xml:space="preserve">durch </w:t>
      </w:r>
      <w:r>
        <w:rPr>
          <w:sz w:val="20"/>
          <w:szCs w:val="20"/>
          <w:lang w:val="en-US" w:eastAsia="en-US" w:bidi="en-US"/>
        </w:rPr>
        <w:t xml:space="preserve">die Welt; Aulrauscht </w:t>
      </w:r>
      <w:r>
        <w:rPr>
          <w:sz w:val="20"/>
          <w:szCs w:val="20"/>
        </w:rPr>
        <w:t xml:space="preserve">ein </w:t>
      </w:r>
      <w:r>
        <w:rPr>
          <w:sz w:val="20"/>
          <w:szCs w:val="20"/>
          <w:lang w:val="en-US" w:eastAsia="en-US" w:bidi="en-US"/>
        </w:rPr>
        <w:t>ewig’ Heldenlied:</w:t>
      </w:r>
    </w:p>
    <w:p w:rsidR="00500724" w:rsidRDefault="00F30FB8">
      <w:pPr>
        <w:pStyle w:val="Zkladntext1"/>
        <w:shd w:val="clear" w:color="auto" w:fill="auto"/>
        <w:spacing w:after="60" w:line="206" w:lineRule="auto"/>
        <w:ind w:left="800" w:firstLine="20"/>
        <w:jc w:val="left"/>
        <w:rPr>
          <w:sz w:val="20"/>
          <w:szCs w:val="20"/>
        </w:rPr>
      </w:pPr>
      <w:r>
        <w:rPr>
          <w:sz w:val="20"/>
          <w:szCs w:val="20"/>
          <w:lang w:val="en-US" w:eastAsia="en-US" w:bidi="en-US"/>
        </w:rPr>
        <w:t xml:space="preserve">Auch </w:t>
      </w:r>
      <w:r>
        <w:rPr>
          <w:sz w:val="20"/>
          <w:szCs w:val="20"/>
        </w:rPr>
        <w:t xml:space="preserve">du </w:t>
      </w:r>
      <w:r>
        <w:rPr>
          <w:sz w:val="20"/>
          <w:szCs w:val="20"/>
          <w:lang w:val="en-US" w:eastAsia="en-US" w:bidi="en-US"/>
        </w:rPr>
        <w:t xml:space="preserve">musst </w:t>
      </w:r>
      <w:r>
        <w:rPr>
          <w:sz w:val="20"/>
          <w:szCs w:val="20"/>
        </w:rPr>
        <w:t xml:space="preserve">mit </w:t>
      </w:r>
      <w:r>
        <w:rPr>
          <w:sz w:val="20"/>
          <w:szCs w:val="20"/>
          <w:lang w:val="en-US" w:eastAsia="en-US" w:bidi="en-US"/>
        </w:rPr>
        <w:t xml:space="preserve">in </w:t>
      </w:r>
      <w:r>
        <w:rPr>
          <w:sz w:val="20"/>
          <w:szCs w:val="20"/>
        </w:rPr>
        <w:t>Reih’ und Glied!«</w:t>
      </w:r>
    </w:p>
    <w:p w:rsidR="00500724" w:rsidRDefault="00F30FB8">
      <w:pPr>
        <w:pStyle w:val="Zkladntext1"/>
        <w:shd w:val="clear" w:color="auto" w:fill="auto"/>
        <w:spacing w:line="226" w:lineRule="auto"/>
        <w:ind w:firstLine="240"/>
        <w:rPr>
          <w:sz w:val="18"/>
          <w:szCs w:val="18"/>
        </w:rPr>
      </w:pPr>
      <w:r>
        <w:rPr>
          <w:sz w:val="18"/>
          <w:szCs w:val="18"/>
        </w:rPr>
        <w:t>Nad velkým umíráním, nad milionovou žatvou smrii na válečných polích, nad pominutelností jedince, jenž ničím není v moderním světě, stvořeném z techniky, rekordu a kole</w:t>
      </w:r>
      <w:r>
        <w:rPr>
          <w:sz w:val="18"/>
          <w:szCs w:val="18"/>
        </w:rPr>
        <w:t>ktivismu, nad vším tím stojí vroucí víra ve věčnost národa, souručenství, rasy, druhu. Tak v rázných verších Mariina Damsse:</w:t>
      </w:r>
    </w:p>
    <w:p w:rsidR="00500724" w:rsidRDefault="00F30FB8">
      <w:pPr>
        <w:pStyle w:val="Zkladntext1"/>
        <w:shd w:val="clear" w:color="auto" w:fill="auto"/>
        <w:spacing w:line="199" w:lineRule="auto"/>
        <w:ind w:left="1320" w:right="1220" w:firstLine="20"/>
        <w:jc w:val="left"/>
        <w:rPr>
          <w:sz w:val="20"/>
          <w:szCs w:val="20"/>
        </w:rPr>
      </w:pPr>
      <w:r>
        <w:rPr>
          <w:sz w:val="20"/>
          <w:szCs w:val="20"/>
        </w:rPr>
        <w:t xml:space="preserve">»Das ist </w:t>
      </w:r>
      <w:r>
        <w:rPr>
          <w:sz w:val="20"/>
          <w:szCs w:val="20"/>
          <w:lang w:val="en-US" w:eastAsia="en-US" w:bidi="en-US"/>
        </w:rPr>
        <w:t xml:space="preserve">uns alien </w:t>
      </w:r>
      <w:r>
        <w:rPr>
          <w:sz w:val="20"/>
          <w:szCs w:val="20"/>
        </w:rPr>
        <w:t>Wie ein Gebet:</w:t>
      </w:r>
    </w:p>
    <w:p w:rsidR="00500724" w:rsidRDefault="00F30FB8">
      <w:pPr>
        <w:pStyle w:val="Zkladntext1"/>
        <w:shd w:val="clear" w:color="auto" w:fill="auto"/>
        <w:spacing w:line="199" w:lineRule="auto"/>
        <w:ind w:left="1320" w:firstLine="20"/>
        <w:jc w:val="left"/>
        <w:rPr>
          <w:sz w:val="20"/>
          <w:szCs w:val="20"/>
        </w:rPr>
      </w:pPr>
      <w:r>
        <w:rPr>
          <w:sz w:val="20"/>
          <w:szCs w:val="20"/>
        </w:rPr>
        <w:t xml:space="preserve">Wir mogen </w:t>
      </w:r>
      <w:r>
        <w:rPr>
          <w:sz w:val="20"/>
          <w:szCs w:val="20"/>
          <w:lang w:val="en-US" w:eastAsia="en-US" w:bidi="en-US"/>
        </w:rPr>
        <w:t>fallen,</w:t>
      </w:r>
    </w:p>
    <w:p w:rsidR="00500724" w:rsidRDefault="00F30FB8">
      <w:pPr>
        <w:pStyle w:val="Zkladntext1"/>
        <w:shd w:val="clear" w:color="auto" w:fill="auto"/>
        <w:spacing w:line="199" w:lineRule="auto"/>
        <w:ind w:left="1320" w:firstLine="20"/>
        <w:jc w:val="left"/>
        <w:rPr>
          <w:sz w:val="20"/>
          <w:szCs w:val="20"/>
        </w:rPr>
      </w:pPr>
      <w:r>
        <w:rPr>
          <w:sz w:val="20"/>
          <w:szCs w:val="20"/>
        </w:rPr>
        <w:t>Die Fahne steht.</w:t>
      </w:r>
    </w:p>
    <w:p w:rsidR="00500724" w:rsidRDefault="00F30FB8">
      <w:pPr>
        <w:pStyle w:val="Zkladntext1"/>
        <w:shd w:val="clear" w:color="auto" w:fill="auto"/>
        <w:spacing w:line="199" w:lineRule="auto"/>
        <w:ind w:left="1320" w:right="1220" w:firstLine="20"/>
        <w:jc w:val="left"/>
        <w:rPr>
          <w:sz w:val="20"/>
          <w:szCs w:val="20"/>
        </w:rPr>
      </w:pPr>
      <w:r>
        <w:rPr>
          <w:sz w:val="20"/>
          <w:szCs w:val="20"/>
        </w:rPr>
        <w:t>Wir mogen vergehen Namenlos —</w:t>
      </w:r>
    </w:p>
    <w:p w:rsidR="00500724" w:rsidRDefault="00F30FB8">
      <w:pPr>
        <w:pStyle w:val="Zkladntext1"/>
        <w:shd w:val="clear" w:color="auto" w:fill="auto"/>
        <w:spacing w:line="199" w:lineRule="auto"/>
        <w:ind w:left="1320" w:firstLine="20"/>
        <w:jc w:val="left"/>
        <w:rPr>
          <w:sz w:val="20"/>
          <w:szCs w:val="20"/>
        </w:rPr>
      </w:pPr>
      <w:r>
        <w:rPr>
          <w:sz w:val="20"/>
          <w:szCs w:val="20"/>
          <w:lang w:val="en-US" w:eastAsia="en-US" w:bidi="en-US"/>
        </w:rPr>
        <w:t xml:space="preserve">Deutschland muss </w:t>
      </w:r>
      <w:r>
        <w:rPr>
          <w:sz w:val="20"/>
          <w:szCs w:val="20"/>
        </w:rPr>
        <w:t>stehen,</w:t>
      </w:r>
    </w:p>
    <w:p w:rsidR="00500724" w:rsidRDefault="00F30FB8">
      <w:pPr>
        <w:pStyle w:val="Zkladntext1"/>
        <w:shd w:val="clear" w:color="auto" w:fill="auto"/>
        <w:spacing w:line="199" w:lineRule="auto"/>
        <w:ind w:left="1320" w:firstLine="20"/>
        <w:jc w:val="left"/>
        <w:rPr>
          <w:sz w:val="20"/>
          <w:szCs w:val="20"/>
        </w:rPr>
      </w:pPr>
      <w:r>
        <w:rPr>
          <w:sz w:val="20"/>
          <w:szCs w:val="20"/>
          <w:lang w:val="en-US" w:eastAsia="en-US" w:bidi="en-US"/>
        </w:rPr>
        <w:t xml:space="preserve">Ewig </w:t>
      </w:r>
      <w:r>
        <w:rPr>
          <w:sz w:val="20"/>
          <w:szCs w:val="20"/>
        </w:rPr>
        <w:t xml:space="preserve">und </w:t>
      </w:r>
      <w:r>
        <w:rPr>
          <w:sz w:val="20"/>
          <w:szCs w:val="20"/>
          <w:lang w:val="en-US" w:eastAsia="en-US" w:bidi="en-US"/>
        </w:rPr>
        <w:t>gross.</w:t>
      </w:r>
      <w:r>
        <w:rPr>
          <w:sz w:val="20"/>
          <w:szCs w:val="20"/>
        </w:rPr>
        <w:t>«</w:t>
      </w:r>
    </w:p>
    <w:p w:rsidR="00500724" w:rsidRDefault="00F30FB8">
      <w:pPr>
        <w:pStyle w:val="Zkladntext1"/>
        <w:shd w:val="clear" w:color="auto" w:fill="auto"/>
        <w:spacing w:line="226" w:lineRule="auto"/>
        <w:ind w:firstLine="240"/>
        <w:rPr>
          <w:sz w:val="18"/>
          <w:szCs w:val="18"/>
        </w:rPr>
      </w:pPr>
      <w:r>
        <w:rPr>
          <w:sz w:val="18"/>
          <w:szCs w:val="18"/>
        </w:rPr>
        <w:t>Anebo u téhož básníka:</w:t>
      </w:r>
    </w:p>
    <w:p w:rsidR="00500724" w:rsidRDefault="00F30FB8">
      <w:pPr>
        <w:pStyle w:val="Zkladntext1"/>
        <w:shd w:val="clear" w:color="auto" w:fill="auto"/>
        <w:spacing w:line="194" w:lineRule="auto"/>
        <w:ind w:left="1320" w:firstLine="20"/>
        <w:jc w:val="left"/>
        <w:rPr>
          <w:sz w:val="20"/>
          <w:szCs w:val="20"/>
        </w:rPr>
      </w:pPr>
      <w:r>
        <w:rPr>
          <w:sz w:val="20"/>
          <w:szCs w:val="20"/>
        </w:rPr>
        <w:t>»Menschen gehen dahin,</w:t>
      </w:r>
    </w:p>
    <w:p w:rsidR="00500724" w:rsidRDefault="00F30FB8">
      <w:pPr>
        <w:pStyle w:val="Zkladntext1"/>
        <w:shd w:val="clear" w:color="auto" w:fill="auto"/>
        <w:spacing w:line="194" w:lineRule="auto"/>
        <w:ind w:left="1320" w:firstLine="20"/>
        <w:jc w:val="left"/>
        <w:rPr>
          <w:sz w:val="20"/>
          <w:szCs w:val="20"/>
        </w:rPr>
      </w:pPr>
      <w:r>
        <w:rPr>
          <w:sz w:val="20"/>
          <w:szCs w:val="20"/>
          <w:lang w:val="en-US" w:eastAsia="en-US" w:bidi="en-US"/>
        </w:rPr>
        <w:t xml:space="preserve">Denkmale </w:t>
      </w:r>
      <w:r>
        <w:rPr>
          <w:sz w:val="20"/>
          <w:szCs w:val="20"/>
        </w:rPr>
        <w:t xml:space="preserve">sturzen und </w:t>
      </w:r>
      <w:r>
        <w:rPr>
          <w:sz w:val="20"/>
          <w:szCs w:val="20"/>
          <w:lang w:val="en-US" w:eastAsia="en-US" w:bidi="en-US"/>
        </w:rPr>
        <w:t>Stein,</w:t>
      </w:r>
    </w:p>
    <w:p w:rsidR="00500724" w:rsidRDefault="00F30FB8">
      <w:pPr>
        <w:pStyle w:val="Zkladntext1"/>
        <w:shd w:val="clear" w:color="auto" w:fill="auto"/>
        <w:spacing w:line="194" w:lineRule="auto"/>
        <w:ind w:left="1320" w:right="1220" w:firstLine="20"/>
        <w:jc w:val="left"/>
        <w:rPr>
          <w:sz w:val="20"/>
          <w:szCs w:val="20"/>
        </w:rPr>
      </w:pPr>
      <w:r>
        <w:rPr>
          <w:sz w:val="20"/>
          <w:szCs w:val="20"/>
        </w:rPr>
        <w:t xml:space="preserve">Namen begrabt der </w:t>
      </w:r>
      <w:r>
        <w:rPr>
          <w:sz w:val="20"/>
          <w:szCs w:val="20"/>
          <w:lang w:val="en-US" w:eastAsia="en-US" w:bidi="en-US"/>
        </w:rPr>
        <w:t xml:space="preserve">Sand </w:t>
      </w:r>
      <w:r>
        <w:rPr>
          <w:sz w:val="20"/>
          <w:szCs w:val="20"/>
        </w:rPr>
        <w:t>Und sie erloschen bald —</w:t>
      </w:r>
    </w:p>
    <w:p w:rsidR="00500724" w:rsidRDefault="00F30FB8">
      <w:pPr>
        <w:pStyle w:val="Zkladntext1"/>
        <w:shd w:val="clear" w:color="auto" w:fill="auto"/>
        <w:spacing w:line="194" w:lineRule="auto"/>
        <w:ind w:left="1320" w:right="1220" w:firstLine="20"/>
        <w:jc w:val="left"/>
        <w:rPr>
          <w:sz w:val="20"/>
          <w:szCs w:val="20"/>
        </w:rPr>
      </w:pPr>
      <w:r>
        <w:rPr>
          <w:sz w:val="20"/>
          <w:szCs w:val="20"/>
        </w:rPr>
        <w:t xml:space="preserve">Doch </w:t>
      </w:r>
      <w:r>
        <w:rPr>
          <w:sz w:val="20"/>
          <w:szCs w:val="20"/>
          <w:lang w:val="en-US" w:eastAsia="en-US" w:bidi="en-US"/>
        </w:rPr>
        <w:t xml:space="preserve">in </w:t>
      </w:r>
      <w:r>
        <w:rPr>
          <w:sz w:val="20"/>
          <w:szCs w:val="20"/>
        </w:rPr>
        <w:t>den Helden lebt Ewigen Volkes Gestalt.«</w:t>
      </w:r>
    </w:p>
    <w:p w:rsidR="00500724" w:rsidRDefault="00F30FB8">
      <w:pPr>
        <w:pStyle w:val="Zkladntext1"/>
        <w:shd w:val="clear" w:color="auto" w:fill="auto"/>
        <w:spacing w:line="223" w:lineRule="auto"/>
        <w:ind w:firstLine="240"/>
        <w:rPr>
          <w:sz w:val="18"/>
          <w:szCs w:val="18"/>
        </w:rPr>
      </w:pPr>
      <w:r>
        <w:rPr>
          <w:sz w:val="18"/>
          <w:szCs w:val="18"/>
        </w:rPr>
        <w:t>Stále je tu pocit odpovědnosti za velký celek, za spo</w:t>
      </w:r>
      <w:r>
        <w:rPr>
          <w:sz w:val="18"/>
          <w:szCs w:val="18"/>
        </w:rPr>
        <w:softHyphen/>
        <w:t xml:space="preserve">lečnost. </w:t>
      </w:r>
      <w:r>
        <w:rPr>
          <w:sz w:val="18"/>
          <w:szCs w:val="18"/>
          <w:lang w:val="en-US" w:eastAsia="en-US" w:bidi="en-US"/>
        </w:rPr>
        <w:t xml:space="preserve">Ludwig </w:t>
      </w:r>
      <w:r>
        <w:rPr>
          <w:sz w:val="18"/>
          <w:szCs w:val="18"/>
        </w:rPr>
        <w:t>Finckh píše:</w:t>
      </w:r>
    </w:p>
    <w:p w:rsidR="00500724" w:rsidRDefault="00F30FB8">
      <w:pPr>
        <w:pStyle w:val="Zkladntext1"/>
        <w:shd w:val="clear" w:color="auto" w:fill="auto"/>
        <w:spacing w:line="202" w:lineRule="auto"/>
        <w:ind w:left="800" w:firstLine="20"/>
        <w:jc w:val="left"/>
        <w:rPr>
          <w:sz w:val="20"/>
          <w:szCs w:val="20"/>
        </w:rPr>
      </w:pPr>
      <w:r>
        <w:rPr>
          <w:sz w:val="20"/>
          <w:szCs w:val="20"/>
          <w:lang w:val="en-US" w:eastAsia="en-US" w:bidi="en-US"/>
        </w:rPr>
        <w:t xml:space="preserve">^Deutschland </w:t>
      </w:r>
      <w:r>
        <w:rPr>
          <w:sz w:val="20"/>
          <w:szCs w:val="20"/>
        </w:rPr>
        <w:t>wird fragen:</w:t>
      </w:r>
    </w:p>
    <w:p w:rsidR="00500724" w:rsidRDefault="00F30FB8">
      <w:pPr>
        <w:pStyle w:val="Zkladntext1"/>
        <w:shd w:val="clear" w:color="auto" w:fill="auto"/>
        <w:spacing w:line="202" w:lineRule="auto"/>
        <w:ind w:left="800" w:firstLine="20"/>
        <w:jc w:val="left"/>
        <w:rPr>
          <w:sz w:val="20"/>
          <w:szCs w:val="20"/>
        </w:rPr>
      </w:pPr>
      <w:r>
        <w:rPr>
          <w:sz w:val="20"/>
          <w:szCs w:val="20"/>
          <w:lang w:val="en-US" w:eastAsia="en-US" w:bidi="en-US"/>
        </w:rPr>
        <w:t xml:space="preserve">Was hast </w:t>
      </w:r>
      <w:r>
        <w:rPr>
          <w:sz w:val="20"/>
          <w:szCs w:val="20"/>
        </w:rPr>
        <w:t xml:space="preserve">du um mich </w:t>
      </w:r>
      <w:r>
        <w:rPr>
          <w:sz w:val="20"/>
          <w:szCs w:val="20"/>
          <w:lang w:val="en-US" w:eastAsia="en-US" w:bidi="en-US"/>
        </w:rPr>
        <w:t>get an?</w:t>
      </w:r>
    </w:p>
    <w:p w:rsidR="00500724" w:rsidRDefault="00F30FB8">
      <w:pPr>
        <w:pStyle w:val="Zkladntext1"/>
        <w:shd w:val="clear" w:color="auto" w:fill="auto"/>
        <w:spacing w:line="202" w:lineRule="auto"/>
        <w:ind w:left="800" w:firstLine="20"/>
        <w:jc w:val="left"/>
        <w:rPr>
          <w:sz w:val="20"/>
          <w:szCs w:val="20"/>
        </w:rPr>
      </w:pPr>
      <w:r>
        <w:rPr>
          <w:sz w:val="20"/>
          <w:szCs w:val="20"/>
          <w:lang w:val="en-US" w:eastAsia="en-US" w:bidi="en-US"/>
        </w:rPr>
        <w:t xml:space="preserve">Was </w:t>
      </w:r>
      <w:r>
        <w:rPr>
          <w:sz w:val="20"/>
          <w:szCs w:val="20"/>
        </w:rPr>
        <w:t xml:space="preserve">ging ich dich </w:t>
      </w:r>
      <w:r>
        <w:rPr>
          <w:sz w:val="20"/>
          <w:szCs w:val="20"/>
          <w:lang w:val="en-US" w:eastAsia="en-US" w:bidi="en-US"/>
        </w:rPr>
        <w:t>an?</w:t>
      </w:r>
    </w:p>
    <w:p w:rsidR="00500724" w:rsidRDefault="00F30FB8">
      <w:pPr>
        <w:pStyle w:val="Zkladntext1"/>
        <w:shd w:val="clear" w:color="auto" w:fill="auto"/>
        <w:spacing w:line="202" w:lineRule="auto"/>
        <w:ind w:left="800" w:firstLine="20"/>
        <w:jc w:val="left"/>
        <w:rPr>
          <w:sz w:val="20"/>
          <w:szCs w:val="20"/>
        </w:rPr>
      </w:pPr>
      <w:r>
        <w:rPr>
          <w:sz w:val="20"/>
          <w:szCs w:val="20"/>
          <w:lang w:val="en-US" w:eastAsia="en-US" w:bidi="en-US"/>
        </w:rPr>
        <w:t xml:space="preserve">Was hast </w:t>
      </w:r>
      <w:r>
        <w:rPr>
          <w:sz w:val="20"/>
          <w:szCs w:val="20"/>
        </w:rPr>
        <w:t>du fůr Frucht getragen?</w:t>
      </w:r>
    </w:p>
    <w:p w:rsidR="00500724" w:rsidRDefault="00F30FB8">
      <w:pPr>
        <w:pStyle w:val="Zkladntext1"/>
        <w:shd w:val="clear" w:color="auto" w:fill="auto"/>
        <w:spacing w:line="202" w:lineRule="auto"/>
        <w:ind w:left="800" w:firstLine="20"/>
        <w:jc w:val="left"/>
        <w:rPr>
          <w:sz w:val="20"/>
          <w:szCs w:val="20"/>
        </w:rPr>
      </w:pPr>
      <w:r>
        <w:rPr>
          <w:sz w:val="20"/>
          <w:szCs w:val="20"/>
          <w:lang w:val="en-US" w:eastAsia="en-US" w:bidi="en-US"/>
        </w:rPr>
        <w:t xml:space="preserve">Hast </w:t>
      </w:r>
      <w:r>
        <w:rPr>
          <w:sz w:val="20"/>
          <w:szCs w:val="20"/>
        </w:rPr>
        <w:t xml:space="preserve">du mich wie eine </w:t>
      </w:r>
      <w:r>
        <w:rPr>
          <w:sz w:val="20"/>
          <w:szCs w:val="20"/>
          <w:lang w:val="en-US" w:eastAsia="en-US" w:bidi="en-US"/>
        </w:rPr>
        <w:t xml:space="preserve">Mutter </w:t>
      </w:r>
      <w:r>
        <w:rPr>
          <w:sz w:val="20"/>
          <w:szCs w:val="20"/>
        </w:rPr>
        <w:t xml:space="preserve">getragen? </w:t>
      </w:r>
      <w:r>
        <w:rPr>
          <w:sz w:val="20"/>
          <w:szCs w:val="20"/>
          <w:lang w:val="en-US" w:eastAsia="en-US" w:bidi="en-US"/>
        </w:rPr>
        <w:t xml:space="preserve">Deutschland </w:t>
      </w:r>
      <w:r>
        <w:rPr>
          <w:sz w:val="20"/>
          <w:szCs w:val="20"/>
        </w:rPr>
        <w:t>wird fragen.«</w:t>
      </w:r>
    </w:p>
    <w:p w:rsidR="00500724" w:rsidRDefault="00F30FB8">
      <w:pPr>
        <w:pStyle w:val="Zkladntext1"/>
        <w:shd w:val="clear" w:color="auto" w:fill="auto"/>
        <w:spacing w:line="262" w:lineRule="auto"/>
        <w:ind w:left="800" w:hanging="560"/>
        <w:jc w:val="left"/>
        <w:rPr>
          <w:sz w:val="18"/>
          <w:szCs w:val="18"/>
        </w:rPr>
      </w:pPr>
      <w:r>
        <w:rPr>
          <w:sz w:val="18"/>
          <w:szCs w:val="18"/>
          <w:lang w:val="en-US" w:eastAsia="en-US" w:bidi="en-US"/>
        </w:rPr>
        <w:t xml:space="preserve">Hanns </w:t>
      </w:r>
      <w:r>
        <w:rPr>
          <w:sz w:val="18"/>
          <w:szCs w:val="18"/>
        </w:rPr>
        <w:t xml:space="preserve">Gottschalk pěje v cizině píseň touhy po domověi »Und du sagst </w:t>
      </w:r>
      <w:r>
        <w:rPr>
          <w:sz w:val="18"/>
          <w:szCs w:val="18"/>
        </w:rPr>
        <w:t>zu mir,</w:t>
      </w:r>
    </w:p>
    <w:p w:rsidR="00500724" w:rsidRDefault="00F30FB8">
      <w:pPr>
        <w:pStyle w:val="Zkladntext1"/>
        <w:shd w:val="clear" w:color="auto" w:fill="auto"/>
        <w:spacing w:line="202" w:lineRule="auto"/>
        <w:ind w:left="800" w:firstLine="20"/>
        <w:jc w:val="left"/>
        <w:rPr>
          <w:sz w:val="20"/>
          <w:szCs w:val="20"/>
        </w:rPr>
      </w:pPr>
      <w:r>
        <w:rPr>
          <w:sz w:val="20"/>
          <w:szCs w:val="20"/>
        </w:rPr>
        <w:t xml:space="preserve">Und ich </w:t>
      </w:r>
      <w:r>
        <w:rPr>
          <w:sz w:val="20"/>
          <w:szCs w:val="20"/>
          <w:lang w:val="en-US" w:eastAsia="en-US" w:bidi="en-US"/>
        </w:rPr>
        <w:t xml:space="preserve">sage </w:t>
      </w:r>
      <w:r>
        <w:rPr>
          <w:sz w:val="20"/>
          <w:szCs w:val="20"/>
        </w:rPr>
        <w:t>zu dir,</w:t>
      </w:r>
    </w:p>
    <w:p w:rsidR="00500724" w:rsidRDefault="00F30FB8">
      <w:pPr>
        <w:pStyle w:val="Zkladntext1"/>
        <w:shd w:val="clear" w:color="auto" w:fill="auto"/>
        <w:spacing w:line="202" w:lineRule="auto"/>
        <w:ind w:left="800" w:firstLine="20"/>
        <w:jc w:val="left"/>
        <w:rPr>
          <w:sz w:val="20"/>
          <w:szCs w:val="20"/>
        </w:rPr>
      </w:pPr>
      <w:r>
        <w:rPr>
          <w:sz w:val="20"/>
          <w:szCs w:val="20"/>
        </w:rPr>
        <w:t xml:space="preserve">Und </w:t>
      </w:r>
      <w:r>
        <w:rPr>
          <w:sz w:val="20"/>
          <w:szCs w:val="20"/>
          <w:lang w:val="en-US" w:eastAsia="en-US" w:bidi="en-US"/>
        </w:rPr>
        <w:t xml:space="preserve">die </w:t>
      </w:r>
      <w:r>
        <w:rPr>
          <w:sz w:val="20"/>
          <w:szCs w:val="20"/>
        </w:rPr>
        <w:t xml:space="preserve">Winde tragens </w:t>
      </w:r>
      <w:r>
        <w:rPr>
          <w:sz w:val="20"/>
          <w:szCs w:val="20"/>
          <w:lang w:val="en-US" w:eastAsia="en-US" w:bidi="en-US"/>
        </w:rPr>
        <w:t xml:space="preserve">ins Land </w:t>
      </w:r>
      <w:r>
        <w:rPr>
          <w:sz w:val="20"/>
          <w:szCs w:val="20"/>
        </w:rPr>
        <w:t xml:space="preserve">hineins </w:t>
      </w:r>
      <w:r>
        <w:rPr>
          <w:sz w:val="20"/>
          <w:szCs w:val="20"/>
          <w:lang w:val="en-US" w:eastAsia="en-US" w:bidi="en-US"/>
        </w:rPr>
        <w:t>Deutschland</w:t>
      </w:r>
      <w:r>
        <w:rPr>
          <w:sz w:val="20"/>
          <w:szCs w:val="20"/>
        </w:rPr>
        <w:t>...</w:t>
      </w:r>
    </w:p>
    <w:p w:rsidR="00500724" w:rsidRDefault="00F30FB8">
      <w:pPr>
        <w:pStyle w:val="Zkladntext1"/>
        <w:shd w:val="clear" w:color="auto" w:fill="auto"/>
        <w:spacing w:line="202" w:lineRule="auto"/>
        <w:ind w:left="800" w:firstLine="20"/>
        <w:jc w:val="left"/>
        <w:rPr>
          <w:sz w:val="20"/>
          <w:szCs w:val="20"/>
        </w:rPr>
      </w:pPr>
      <w:r>
        <w:rPr>
          <w:sz w:val="20"/>
          <w:szCs w:val="20"/>
          <w:lang w:val="en-US" w:eastAsia="en-US" w:bidi="en-US"/>
        </w:rPr>
        <w:t xml:space="preserve">Da </w:t>
      </w:r>
      <w:r>
        <w:rPr>
          <w:sz w:val="20"/>
          <w:szCs w:val="20"/>
        </w:rPr>
        <w:t xml:space="preserve">druben ist </w:t>
      </w:r>
      <w:r>
        <w:rPr>
          <w:sz w:val="20"/>
          <w:szCs w:val="20"/>
          <w:lang w:val="en-US" w:eastAsia="en-US" w:bidi="en-US"/>
        </w:rPr>
        <w:t>Deutschland</w:t>
      </w:r>
      <w:r>
        <w:rPr>
          <w:sz w:val="20"/>
          <w:szCs w:val="20"/>
        </w:rPr>
        <w:t>!«</w:t>
      </w:r>
    </w:p>
    <w:p w:rsidR="00500724" w:rsidRDefault="00F30FB8">
      <w:pPr>
        <w:pStyle w:val="Zkladntext1"/>
        <w:shd w:val="clear" w:color="auto" w:fill="auto"/>
        <w:spacing w:line="226" w:lineRule="auto"/>
        <w:ind w:firstLine="240"/>
        <w:rPr>
          <w:sz w:val="18"/>
          <w:szCs w:val="18"/>
        </w:rPr>
      </w:pPr>
      <w:r>
        <w:rPr>
          <w:sz w:val="18"/>
          <w:szCs w:val="18"/>
        </w:rPr>
        <w:t>Od vojáckého, od úderu bubnů v rytmu pochodového zpěvu táhnou se stejné motivy všemi formami lyrické tvorby až k hymně, k těžké ódě, na příklad v</w:t>
      </w:r>
      <w:r>
        <w:rPr>
          <w:sz w:val="18"/>
          <w:szCs w:val="18"/>
        </w:rPr>
        <w:t xml:space="preserve"> «Písni« He- ryberta Menzelse:</w:t>
      </w:r>
    </w:p>
    <w:p w:rsidR="00500724" w:rsidRDefault="00F30FB8">
      <w:pPr>
        <w:pStyle w:val="Zkladntext1"/>
        <w:shd w:val="clear" w:color="auto" w:fill="auto"/>
        <w:spacing w:line="199" w:lineRule="auto"/>
        <w:ind w:left="800" w:firstLine="20"/>
        <w:jc w:val="left"/>
        <w:rPr>
          <w:sz w:val="20"/>
          <w:szCs w:val="20"/>
        </w:rPr>
      </w:pPr>
      <w:r>
        <w:rPr>
          <w:sz w:val="20"/>
          <w:szCs w:val="20"/>
        </w:rPr>
        <w:t xml:space="preserve">»Deutschland, </w:t>
      </w:r>
      <w:r>
        <w:rPr>
          <w:sz w:val="20"/>
          <w:szCs w:val="20"/>
          <w:lang w:val="en-US" w:eastAsia="en-US" w:bidi="en-US"/>
        </w:rPr>
        <w:t>eiliges Deutschland,</w:t>
      </w:r>
    </w:p>
    <w:p w:rsidR="00500724" w:rsidRDefault="00F30FB8">
      <w:pPr>
        <w:pStyle w:val="Zkladntext1"/>
        <w:shd w:val="clear" w:color="auto" w:fill="auto"/>
        <w:spacing w:line="199" w:lineRule="auto"/>
        <w:ind w:left="800" w:firstLine="20"/>
        <w:jc w:val="left"/>
        <w:rPr>
          <w:sz w:val="20"/>
          <w:szCs w:val="20"/>
        </w:rPr>
      </w:pPr>
      <w:r>
        <w:rPr>
          <w:sz w:val="20"/>
          <w:szCs w:val="20"/>
        </w:rPr>
        <w:t>Du von den Sternen umkreist,</w:t>
      </w:r>
    </w:p>
    <w:p w:rsidR="00500724" w:rsidRDefault="00F30FB8">
      <w:pPr>
        <w:pStyle w:val="Zkladntext1"/>
        <w:shd w:val="clear" w:color="auto" w:fill="auto"/>
        <w:spacing w:line="199" w:lineRule="auto"/>
        <w:ind w:left="800" w:firstLine="20"/>
        <w:jc w:val="left"/>
        <w:rPr>
          <w:sz w:val="20"/>
          <w:szCs w:val="20"/>
        </w:rPr>
      </w:pPr>
      <w:r>
        <w:rPr>
          <w:sz w:val="20"/>
          <w:szCs w:val="20"/>
          <w:lang w:val="en-US" w:eastAsia="en-US" w:bidi="en-US"/>
        </w:rPr>
        <w:t xml:space="preserve">Deutschland, </w:t>
      </w:r>
      <w:r>
        <w:rPr>
          <w:sz w:val="20"/>
          <w:szCs w:val="20"/>
        </w:rPr>
        <w:t xml:space="preserve">eiliges </w:t>
      </w:r>
      <w:r>
        <w:rPr>
          <w:sz w:val="20"/>
          <w:szCs w:val="20"/>
          <w:lang w:val="en-US" w:eastAsia="en-US" w:bidi="en-US"/>
        </w:rPr>
        <w:t>Deutschland,</w:t>
      </w:r>
    </w:p>
    <w:p w:rsidR="00500724" w:rsidRDefault="00F30FB8">
      <w:pPr>
        <w:pStyle w:val="Zkladntext1"/>
        <w:shd w:val="clear" w:color="auto" w:fill="auto"/>
        <w:spacing w:line="199" w:lineRule="auto"/>
        <w:ind w:left="800" w:firstLine="20"/>
        <w:jc w:val="left"/>
        <w:rPr>
          <w:sz w:val="20"/>
          <w:szCs w:val="20"/>
        </w:rPr>
      </w:pPr>
      <w:r>
        <w:rPr>
          <w:sz w:val="20"/>
          <w:szCs w:val="20"/>
          <w:lang w:val="en-US" w:eastAsia="en-US" w:bidi="en-US"/>
        </w:rPr>
        <w:t>Dein Schwert in die Ewigkeit weist.</w:t>
      </w:r>
    </w:p>
    <w:p w:rsidR="00500724" w:rsidRDefault="00F30FB8">
      <w:pPr>
        <w:pStyle w:val="Zkladntext1"/>
        <w:shd w:val="clear" w:color="auto" w:fill="auto"/>
        <w:spacing w:line="199" w:lineRule="auto"/>
        <w:ind w:left="800" w:firstLine="20"/>
        <w:jc w:val="left"/>
        <w:rPr>
          <w:sz w:val="20"/>
          <w:szCs w:val="20"/>
        </w:rPr>
      </w:pPr>
      <w:r>
        <w:rPr>
          <w:sz w:val="20"/>
          <w:szCs w:val="20"/>
          <w:lang w:val="en-US" w:eastAsia="en-US" w:bidi="en-US"/>
        </w:rPr>
        <w:t xml:space="preserve">Deutschland, dich </w:t>
      </w:r>
      <w:r>
        <w:rPr>
          <w:sz w:val="20"/>
          <w:szCs w:val="20"/>
        </w:rPr>
        <w:t xml:space="preserve">wůrden </w:t>
      </w:r>
      <w:r>
        <w:rPr>
          <w:sz w:val="20"/>
          <w:szCs w:val="20"/>
          <w:lang w:val="en-US" w:eastAsia="en-US" w:bidi="en-US"/>
        </w:rPr>
        <w:t xml:space="preserve">sie </w:t>
      </w:r>
      <w:r>
        <w:rPr>
          <w:sz w:val="20"/>
          <w:szCs w:val="20"/>
        </w:rPr>
        <w:t>tráumen,</w:t>
      </w:r>
    </w:p>
    <w:p w:rsidR="00500724" w:rsidRDefault="00F30FB8">
      <w:pPr>
        <w:pStyle w:val="Zkladntext1"/>
        <w:shd w:val="clear" w:color="auto" w:fill="auto"/>
        <w:spacing w:line="199" w:lineRule="auto"/>
        <w:ind w:left="800" w:firstLine="20"/>
        <w:jc w:val="left"/>
        <w:rPr>
          <w:sz w:val="20"/>
          <w:szCs w:val="20"/>
        </w:rPr>
      </w:pPr>
      <w:r>
        <w:rPr>
          <w:sz w:val="20"/>
          <w:szCs w:val="20"/>
          <w:lang w:val="en-US" w:eastAsia="en-US" w:bidi="en-US"/>
        </w:rPr>
        <w:t>Konntest du jemals vergehen,</w:t>
      </w:r>
    </w:p>
    <w:p w:rsidR="00500724" w:rsidRDefault="00F30FB8">
      <w:pPr>
        <w:pStyle w:val="Zkladntext1"/>
        <w:shd w:val="clear" w:color="auto" w:fill="auto"/>
        <w:spacing w:line="199" w:lineRule="auto"/>
        <w:ind w:left="800" w:firstLine="20"/>
        <w:jc w:val="left"/>
        <w:rPr>
          <w:sz w:val="20"/>
          <w:szCs w:val="20"/>
        </w:rPr>
      </w:pPr>
      <w:r>
        <w:rPr>
          <w:sz w:val="20"/>
          <w:szCs w:val="20"/>
          <w:lang w:val="en-US" w:eastAsia="en-US" w:bidi="en-US"/>
        </w:rPr>
        <w:t xml:space="preserve">Weit </w:t>
      </w:r>
      <w:r>
        <w:rPr>
          <w:sz w:val="20"/>
          <w:szCs w:val="20"/>
        </w:rPr>
        <w:t xml:space="preserve">uber </w:t>
      </w:r>
      <w:r>
        <w:rPr>
          <w:sz w:val="20"/>
          <w:szCs w:val="20"/>
          <w:lang w:val="en-US" w:eastAsia="en-US" w:bidi="en-US"/>
        </w:rPr>
        <w:t>Zeiten und Rau</w:t>
      </w:r>
      <w:r>
        <w:rPr>
          <w:sz w:val="20"/>
          <w:szCs w:val="20"/>
          <w:lang w:val="en-US" w:eastAsia="en-US" w:bidi="en-US"/>
        </w:rPr>
        <w:t>men,</w:t>
      </w:r>
    </w:p>
    <w:p w:rsidR="00500724" w:rsidRDefault="00F30FB8">
      <w:pPr>
        <w:pStyle w:val="Zkladntext1"/>
        <w:shd w:val="clear" w:color="auto" w:fill="auto"/>
        <w:spacing w:line="199" w:lineRule="auto"/>
        <w:ind w:left="800" w:firstLine="20"/>
        <w:jc w:val="left"/>
        <w:rPr>
          <w:sz w:val="20"/>
          <w:szCs w:val="20"/>
        </w:rPr>
      </w:pPr>
      <w:r>
        <w:rPr>
          <w:sz w:val="20"/>
          <w:szCs w:val="20"/>
          <w:lang w:val="en-US" w:eastAsia="en-US" w:bidi="en-US"/>
        </w:rPr>
        <w:t>Immer als Glanz wirst du stehen.«</w:t>
      </w:r>
    </w:p>
    <w:p w:rsidR="00500724" w:rsidRDefault="00F30FB8">
      <w:pPr>
        <w:pStyle w:val="Zkladntext1"/>
        <w:shd w:val="clear" w:color="auto" w:fill="auto"/>
        <w:spacing w:after="60" w:line="221" w:lineRule="auto"/>
        <w:ind w:firstLine="240"/>
        <w:rPr>
          <w:sz w:val="18"/>
          <w:szCs w:val="18"/>
        </w:rPr>
      </w:pPr>
      <w:r>
        <w:rPr>
          <w:sz w:val="18"/>
          <w:szCs w:val="18"/>
        </w:rPr>
        <w:t xml:space="preserve">Tato generace zcela vědomě považuje sebe za nositele úžasného přelomu. Lyricky nadaný </w:t>
      </w:r>
      <w:r>
        <w:rPr>
          <w:sz w:val="18"/>
          <w:szCs w:val="18"/>
          <w:lang w:val="en-US" w:eastAsia="en-US" w:bidi="en-US"/>
        </w:rPr>
        <w:t xml:space="preserve">Franz Holler, </w:t>
      </w:r>
      <w:r>
        <w:rPr>
          <w:sz w:val="18"/>
          <w:szCs w:val="18"/>
        </w:rPr>
        <w:t>který jako i jiní sudetští Němci má značnou účast na tvoření nových forem, básní:</w:t>
      </w:r>
    </w:p>
    <w:p w:rsidR="00500724" w:rsidRDefault="00F30FB8">
      <w:pPr>
        <w:pStyle w:val="Zkladntext1"/>
        <w:shd w:val="clear" w:color="auto" w:fill="auto"/>
        <w:spacing w:line="199" w:lineRule="auto"/>
        <w:ind w:left="1320" w:firstLine="20"/>
        <w:jc w:val="left"/>
        <w:rPr>
          <w:sz w:val="20"/>
          <w:szCs w:val="20"/>
        </w:rPr>
      </w:pPr>
      <w:r>
        <w:rPr>
          <w:sz w:val="20"/>
          <w:szCs w:val="20"/>
        </w:rPr>
        <w:t xml:space="preserve">»Wir tragen </w:t>
      </w:r>
      <w:r>
        <w:rPr>
          <w:sz w:val="20"/>
          <w:szCs w:val="20"/>
          <w:lang w:val="en-US" w:eastAsia="en-US" w:bidi="en-US"/>
        </w:rPr>
        <w:t xml:space="preserve">die </w:t>
      </w:r>
      <w:r>
        <w:rPr>
          <w:sz w:val="20"/>
          <w:szCs w:val="20"/>
        </w:rPr>
        <w:t>Wende,</w:t>
      </w:r>
    </w:p>
    <w:p w:rsidR="00500724" w:rsidRDefault="00F30FB8">
      <w:pPr>
        <w:pStyle w:val="Zkladntext1"/>
        <w:shd w:val="clear" w:color="auto" w:fill="auto"/>
        <w:spacing w:line="199" w:lineRule="auto"/>
        <w:ind w:left="1320" w:firstLine="20"/>
        <w:jc w:val="left"/>
        <w:rPr>
          <w:sz w:val="20"/>
          <w:szCs w:val="20"/>
        </w:rPr>
      </w:pPr>
      <w:r>
        <w:rPr>
          <w:sz w:val="20"/>
          <w:szCs w:val="20"/>
        </w:rPr>
        <w:t xml:space="preserve">Kameraden </w:t>
      </w:r>
      <w:r>
        <w:rPr>
          <w:sz w:val="20"/>
          <w:szCs w:val="20"/>
        </w:rPr>
        <w:t>der Zeit!</w:t>
      </w:r>
    </w:p>
    <w:p w:rsidR="00500724" w:rsidRDefault="00F30FB8">
      <w:pPr>
        <w:pStyle w:val="Zkladntext1"/>
        <w:shd w:val="clear" w:color="auto" w:fill="auto"/>
        <w:spacing w:line="199" w:lineRule="auto"/>
        <w:ind w:left="1320" w:firstLine="20"/>
        <w:jc w:val="left"/>
        <w:rPr>
          <w:sz w:val="20"/>
          <w:szCs w:val="20"/>
        </w:rPr>
      </w:pPr>
      <w:r>
        <w:rPr>
          <w:sz w:val="20"/>
          <w:szCs w:val="20"/>
        </w:rPr>
        <w:t>Dass sie sich vollende,</w:t>
      </w:r>
    </w:p>
    <w:p w:rsidR="00500724" w:rsidRDefault="00F30FB8">
      <w:pPr>
        <w:pStyle w:val="Zkladntext1"/>
        <w:shd w:val="clear" w:color="auto" w:fill="auto"/>
        <w:spacing w:line="226" w:lineRule="auto"/>
        <w:ind w:left="1320" w:firstLine="20"/>
        <w:jc w:val="left"/>
        <w:rPr>
          <w:sz w:val="18"/>
          <w:szCs w:val="18"/>
        </w:rPr>
      </w:pPr>
      <w:r>
        <w:rPr>
          <w:sz w:val="18"/>
          <w:szCs w:val="18"/>
        </w:rPr>
        <w:t>Stehn wir num bereit,«</w:t>
      </w:r>
    </w:p>
    <w:p w:rsidR="00500724" w:rsidRDefault="00F30FB8">
      <w:pPr>
        <w:pStyle w:val="Zkladntext1"/>
        <w:shd w:val="clear" w:color="auto" w:fill="auto"/>
        <w:spacing w:line="223" w:lineRule="auto"/>
        <w:rPr>
          <w:sz w:val="18"/>
          <w:szCs w:val="18"/>
        </w:rPr>
      </w:pPr>
      <w:r>
        <w:rPr>
          <w:sz w:val="18"/>
          <w:szCs w:val="18"/>
        </w:rPr>
        <w:t>Snad nejpůsobivějším dokumentem a v jistém smyslu nejzralejším plodem německé lyriky tohoto druhu je malá sbírka, uveřejněná Baldurem von Schirachem nPíseň věr</w:t>
      </w:r>
      <w:r>
        <w:rPr>
          <w:sz w:val="18"/>
          <w:szCs w:val="18"/>
        </w:rPr>
        <w:softHyphen/>
        <w:t>ných# (verše nejmenovaných členů rakous</w:t>
      </w:r>
      <w:r>
        <w:rPr>
          <w:sz w:val="18"/>
          <w:szCs w:val="18"/>
        </w:rPr>
        <w:t>ké Hitlerovy mládeže z doby pronásledování). Nikdo nezná autory těchto básní, které byly poslány jako dar illegální rakou</w:t>
      </w:r>
      <w:r>
        <w:rPr>
          <w:sz w:val="18"/>
          <w:szCs w:val="18"/>
        </w:rPr>
        <w:softHyphen/>
        <w:t>ské Hitlerovy mládeže Schirachovi.</w:t>
      </w:r>
    </w:p>
    <w:p w:rsidR="00500724" w:rsidRDefault="00F30FB8">
      <w:pPr>
        <w:pStyle w:val="Zkladntext1"/>
        <w:shd w:val="clear" w:color="auto" w:fill="auto"/>
        <w:spacing w:line="218" w:lineRule="auto"/>
        <w:ind w:firstLine="280"/>
        <w:rPr>
          <w:sz w:val="18"/>
          <w:szCs w:val="18"/>
        </w:rPr>
      </w:pPr>
      <w:r>
        <w:rPr>
          <w:sz w:val="18"/>
          <w:szCs w:val="18"/>
        </w:rPr>
        <w:t>Stranou této politické lyriky existuje jistě i dnes citová, nikoli pochody a boj, nýbrž vůbec lidsk</w:t>
      </w:r>
      <w:r>
        <w:rPr>
          <w:sz w:val="18"/>
          <w:szCs w:val="18"/>
        </w:rPr>
        <w:t>é opěvující ly</w:t>
      </w:r>
      <w:r>
        <w:rPr>
          <w:sz w:val="18"/>
          <w:szCs w:val="18"/>
        </w:rPr>
        <w:softHyphen/>
        <w:t xml:space="preserve">rické básnictví. Světovým názorem katolicismu vázaná </w:t>
      </w:r>
      <w:r>
        <w:rPr>
          <w:sz w:val="18"/>
          <w:szCs w:val="18"/>
          <w:lang w:val="en-US" w:eastAsia="en-US" w:bidi="en-US"/>
        </w:rPr>
        <w:t xml:space="preserve">Ruth </w:t>
      </w:r>
      <w:r>
        <w:rPr>
          <w:sz w:val="18"/>
          <w:szCs w:val="18"/>
        </w:rPr>
        <w:t>Schaumann, Rakušan Josef Weinheber, sudetský Ně</w:t>
      </w:r>
      <w:r>
        <w:rPr>
          <w:sz w:val="18"/>
          <w:szCs w:val="18"/>
        </w:rPr>
        <w:softHyphen/>
        <w:t>mec Emil Merker mohou tu být uvedeni jako příklady, nikoli jako úplný seznam. Rovněž by mohl tu být pojme</w:t>
      </w:r>
      <w:r>
        <w:rPr>
          <w:sz w:val="18"/>
          <w:szCs w:val="18"/>
        </w:rPr>
        <w:softHyphen/>
        <w:t xml:space="preserve">nován </w:t>
      </w:r>
      <w:r>
        <w:rPr>
          <w:sz w:val="18"/>
          <w:szCs w:val="18"/>
          <w:lang w:val="en-US" w:eastAsia="en-US" w:bidi="en-US"/>
        </w:rPr>
        <w:t xml:space="preserve">Binding, </w:t>
      </w:r>
      <w:r>
        <w:rPr>
          <w:sz w:val="18"/>
          <w:szCs w:val="18"/>
        </w:rPr>
        <w:t xml:space="preserve">jehož tvorba </w:t>
      </w:r>
      <w:r>
        <w:rPr>
          <w:sz w:val="18"/>
          <w:szCs w:val="18"/>
        </w:rPr>
        <w:t>se ovšem více schyluje do politiky, snad jako vypravěč i Blunck.</w:t>
      </w:r>
    </w:p>
    <w:p w:rsidR="00500724" w:rsidRDefault="00F30FB8">
      <w:pPr>
        <w:pStyle w:val="Zkladntext1"/>
        <w:shd w:val="clear" w:color="auto" w:fill="auto"/>
        <w:spacing w:line="226" w:lineRule="auto"/>
        <w:ind w:firstLine="280"/>
        <w:rPr>
          <w:sz w:val="18"/>
          <w:szCs w:val="18"/>
        </w:rPr>
      </w:pPr>
      <w:r>
        <w:rPr>
          <w:sz w:val="18"/>
          <w:szCs w:val="18"/>
        </w:rPr>
        <w:t>V epice odpovídá postava Hansa Carossy tomuto klasic</w:t>
      </w:r>
      <w:r>
        <w:rPr>
          <w:sz w:val="18"/>
          <w:szCs w:val="18"/>
        </w:rPr>
        <w:softHyphen/>
        <w:t>ky zabarvenému směru soudobé literatury. Rovněž Erwin Quido Kolbenheyer musí býti zaznamenán v této souvi</w:t>
      </w:r>
      <w:r>
        <w:rPr>
          <w:sz w:val="18"/>
          <w:szCs w:val="18"/>
        </w:rPr>
        <w:softHyphen/>
        <w:t>slosti.</w:t>
      </w:r>
    </w:p>
    <w:p w:rsidR="00500724" w:rsidRDefault="00F30FB8">
      <w:pPr>
        <w:pStyle w:val="Zkladntext1"/>
        <w:shd w:val="clear" w:color="auto" w:fill="auto"/>
        <w:spacing w:after="60" w:line="180" w:lineRule="auto"/>
        <w:ind w:firstLine="0"/>
        <w:jc w:val="center"/>
        <w:rPr>
          <w:sz w:val="18"/>
          <w:szCs w:val="18"/>
        </w:rPr>
      </w:pPr>
      <w:r>
        <w:rPr>
          <w:sz w:val="18"/>
          <w:szCs w:val="18"/>
        </w:rPr>
        <w:t>•</w:t>
      </w:r>
    </w:p>
    <w:p w:rsidR="00500724" w:rsidRDefault="00F30FB8">
      <w:pPr>
        <w:pStyle w:val="Zkladntext1"/>
        <w:shd w:val="clear" w:color="auto" w:fill="auto"/>
        <w:spacing w:line="218" w:lineRule="auto"/>
        <w:ind w:firstLine="280"/>
        <w:rPr>
          <w:sz w:val="18"/>
          <w:szCs w:val="18"/>
        </w:rPr>
      </w:pPr>
      <w:r>
        <w:rPr>
          <w:sz w:val="18"/>
          <w:szCs w:val="18"/>
        </w:rPr>
        <w:t>Tou měrou, jak německá</w:t>
      </w:r>
      <w:r>
        <w:rPr>
          <w:sz w:val="18"/>
          <w:szCs w:val="18"/>
        </w:rPr>
        <w:t xml:space="preserve"> revoluce přešla ze stadia boje a příprav k uskutečnění a výstavbě, měnila se i tematika německé literatury. Charakteristickým příkladem tohoto nového směru je nositel národní ceny roku 1939 sudetský Němec Bruno Brehm. Brehm je mistrem ívyprávění« v úzkém </w:t>
      </w:r>
      <w:r>
        <w:rPr>
          <w:sz w:val="18"/>
          <w:szCs w:val="18"/>
        </w:rPr>
        <w:t>slova smyslu, tedy onoho druhu epiky, který patří mezi román a novelu, básnicky utvářené zprávy, nej</w:t>
      </w:r>
      <w:r>
        <w:rPr>
          <w:sz w:val="18"/>
          <w:szCs w:val="18"/>
        </w:rPr>
        <w:softHyphen/>
        <w:t>objektivnější formy epiky. Velká trilogie o světové válce, nebo spíš o zániku habsburského císařství, za kterou Brehm dostal cenu, není pořadím tří románů,</w:t>
      </w:r>
      <w:r>
        <w:rPr>
          <w:sz w:val="18"/>
          <w:szCs w:val="18"/>
        </w:rPr>
        <w:t xml:space="preserve"> nýbrž každý z nich je svazkem povídek, spojených sice hlavními oso</w:t>
      </w:r>
      <w:r>
        <w:rPr>
          <w:sz w:val="18"/>
          <w:szCs w:val="18"/>
        </w:rPr>
        <w:softHyphen/>
        <w:t xml:space="preserve">bami a historickým průběhem událostí, ale každá z těchto povídek je klasickou zprávou o jedné události. Jsou to knihy </w:t>
      </w:r>
      <w:r>
        <w:rPr>
          <w:sz w:val="18"/>
          <w:szCs w:val="18"/>
          <w:lang w:val="en-US" w:eastAsia="en-US" w:bidi="en-US"/>
        </w:rPr>
        <w:t xml:space="preserve">Apis </w:t>
      </w:r>
      <w:r>
        <w:rPr>
          <w:sz w:val="18"/>
          <w:szCs w:val="18"/>
        </w:rPr>
        <w:t xml:space="preserve">a Este, To byl konec a Ani císař ani král. První - který vyšel i </w:t>
      </w:r>
      <w:r>
        <w:rPr>
          <w:sz w:val="18"/>
          <w:szCs w:val="18"/>
        </w:rPr>
        <w:t>česky - vyzdvihuje z úžasného množství historických zjevů z roku 1914 pouze dva, v nichž se ztělesňuje epocha: Františka Ferdinanda — Este, posledního mocného představitele starého konserva</w:t>
      </w:r>
      <w:r>
        <w:rPr>
          <w:sz w:val="18"/>
          <w:szCs w:val="18"/>
        </w:rPr>
        <w:softHyphen/>
        <w:t>tivního světa habsburské císařské myšlenky a katolického západu, a</w:t>
      </w:r>
      <w:r>
        <w:rPr>
          <w:sz w:val="18"/>
          <w:szCs w:val="18"/>
        </w:rPr>
        <w:t xml:space="preserve"> plukovníka Dragutina Dimitrijeviče jako ztě</w:t>
      </w:r>
      <w:r>
        <w:rPr>
          <w:sz w:val="18"/>
          <w:szCs w:val="18"/>
        </w:rPr>
        <w:softHyphen/>
        <w:t>lesnění vzestupných sil, nacionalismu, který se stal nábo</w:t>
      </w:r>
      <w:r>
        <w:rPr>
          <w:sz w:val="18"/>
          <w:szCs w:val="18"/>
        </w:rPr>
        <w:softHyphen/>
        <w:t>ženstvím revoluce, bojovného fatalismu. Oba hrdinové skončí tragicky, nositel k smrti zralého starého světa od kulky vraha, kterého poslal rebel, a rebel</w:t>
      </w:r>
      <w:r>
        <w:rPr>
          <w:sz w:val="18"/>
          <w:szCs w:val="18"/>
        </w:rPr>
        <w:t xml:space="preserve"> sám jako ne</w:t>
      </w:r>
      <w:r>
        <w:rPr>
          <w:sz w:val="18"/>
          <w:szCs w:val="18"/>
        </w:rPr>
        <w:softHyphen/>
        <w:t>kompromisní ničitel shoří ve vlastním ohni. Druhá kniha Brehmovy trilogie líčí v řadě povídek, z nichž každá je jako mistrovské dílo uzavřena, rok zhroucení, mezi brest- litovským a versaillským mírem. Ani císař ani král pokou</w:t>
      </w:r>
      <w:r>
        <w:rPr>
          <w:sz w:val="18"/>
          <w:szCs w:val="18"/>
        </w:rPr>
        <w:softHyphen/>
        <w:t xml:space="preserve">ší se vysvětlit </w:t>
      </w:r>
      <w:r>
        <w:rPr>
          <w:sz w:val="18"/>
          <w:szCs w:val="18"/>
        </w:rPr>
        <w:t>tragiku posledního vládnoucího Habsburka jako projev hlubokého historického smyslu, jako bezna</w:t>
      </w:r>
      <w:r>
        <w:rPr>
          <w:sz w:val="18"/>
          <w:szCs w:val="18"/>
        </w:rPr>
        <w:softHyphen/>
        <w:t>dějný protest pozdního dědice proti zániku jeho rodu. Po této trilogii sáhl Brehm ještě hlouběji do národních dě</w:t>
      </w:r>
      <w:r>
        <w:rPr>
          <w:sz w:val="18"/>
          <w:szCs w:val="18"/>
        </w:rPr>
        <w:softHyphen/>
        <w:t>jin. Šťastně zkouší svůj talent na velké látce z</w:t>
      </w:r>
      <w:r>
        <w:rPr>
          <w:sz w:val="18"/>
          <w:szCs w:val="18"/>
        </w:rPr>
        <w:t xml:space="preserve"> rakouského pozdvižení z roku 1809 (uPříliš brzy - příliš pozdě&lt;) a v po</w:t>
      </w:r>
      <w:r>
        <w:rPr>
          <w:sz w:val="18"/>
          <w:szCs w:val="18"/>
        </w:rPr>
        <w:softHyphen/>
        <w:t>slední době na události z novodobých dějin Hrozné koně.</w:t>
      </w:r>
    </w:p>
    <w:p w:rsidR="00500724" w:rsidRDefault="00F30FB8">
      <w:pPr>
        <w:pStyle w:val="Zkladntext1"/>
        <w:shd w:val="clear" w:color="auto" w:fill="auto"/>
        <w:spacing w:line="221" w:lineRule="auto"/>
        <w:ind w:firstLine="380"/>
        <w:rPr>
          <w:sz w:val="18"/>
          <w:szCs w:val="18"/>
        </w:rPr>
      </w:pPr>
      <w:r>
        <w:rPr>
          <w:sz w:val="18"/>
          <w:szCs w:val="18"/>
        </w:rPr>
        <w:t>Jak velká je náchylnost k této, do jisté míry nové umělecké formě, která se značně liší od historického romá</w:t>
      </w:r>
      <w:r>
        <w:rPr>
          <w:sz w:val="18"/>
          <w:szCs w:val="18"/>
        </w:rPr>
        <w:softHyphen/>
        <w:t xml:space="preserve">nu starého stylu, </w:t>
      </w:r>
      <w:r>
        <w:rPr>
          <w:sz w:val="18"/>
          <w:szCs w:val="18"/>
        </w:rPr>
        <w:t>jak od romantického Walíera Scotta, íak i od profesorského románu Dahnova, Ebersova a Wolffo- va, ukazuje okolnost, že takový známý autor jako Frank Thiess náhle opouští pole společenských románů a píše v epopeji Čušima o plavbě a boji ubalíického loďstva#</w:t>
      </w:r>
      <w:r>
        <w:rPr>
          <w:sz w:val="18"/>
          <w:szCs w:val="18"/>
        </w:rPr>
        <w:t xml:space="preserve"> ruského námořnictva v roce 1904 a 1905. Anebo </w:t>
      </w:r>
      <w:r>
        <w:rPr>
          <w:sz w:val="18"/>
          <w:szCs w:val="18"/>
          <w:lang w:val="en-US" w:eastAsia="en-US" w:bidi="en-US"/>
        </w:rPr>
        <w:t xml:space="preserve">Fritz </w:t>
      </w:r>
      <w:r>
        <w:rPr>
          <w:sz w:val="18"/>
          <w:szCs w:val="18"/>
        </w:rPr>
        <w:t xml:space="preserve">Reck- Malleczewen, nadaný autor pololiterárních, polosensač- ních románů, píše příběh Jana Bokelsona, novokřtěnského krále Můnsiru. Do této kategorie patří kniha Eckardta von Naso o Moltkovi, poloromán, </w:t>
      </w:r>
      <w:r>
        <w:rPr>
          <w:sz w:val="18"/>
          <w:szCs w:val="18"/>
        </w:rPr>
        <w:t>polobiografie.</w:t>
      </w:r>
    </w:p>
    <w:p w:rsidR="00500724" w:rsidRDefault="00F30FB8">
      <w:pPr>
        <w:pStyle w:val="Zkladntext1"/>
        <w:shd w:val="clear" w:color="auto" w:fill="auto"/>
        <w:spacing w:line="218" w:lineRule="auto"/>
        <w:ind w:firstLine="280"/>
        <w:rPr>
          <w:sz w:val="18"/>
          <w:szCs w:val="18"/>
        </w:rPr>
      </w:pPr>
      <w:r>
        <w:rPr>
          <w:sz w:val="18"/>
          <w:szCs w:val="18"/>
        </w:rPr>
        <w:t>Nechceme tu vypočítávat jména, nýbrž mluvit na zá</w:t>
      </w:r>
      <w:r>
        <w:rPr>
          <w:sz w:val="18"/>
          <w:szCs w:val="18"/>
        </w:rPr>
        <w:softHyphen/>
        <w:t>kladě typických zjevů o formách a směrech soudobého ně</w:t>
      </w:r>
      <w:r>
        <w:rPr>
          <w:sz w:val="18"/>
          <w:szCs w:val="18"/>
        </w:rPr>
        <w:softHyphen/>
        <w:t>meckého básnictví. Proto můžeme ukončit projednání epi</w:t>
      </w:r>
      <w:r>
        <w:rPr>
          <w:sz w:val="18"/>
          <w:szCs w:val="18"/>
        </w:rPr>
        <w:softHyphen/>
        <w:t>ky zjištěním, že vedle hojného bohatství politických a ná</w:t>
      </w:r>
      <w:r>
        <w:rPr>
          <w:sz w:val="18"/>
          <w:szCs w:val="18"/>
        </w:rPr>
        <w:softHyphen/>
      </w:r>
      <w:r>
        <w:rPr>
          <w:sz w:val="18"/>
          <w:szCs w:val="18"/>
        </w:rPr>
        <w:t xml:space="preserve">zorových knih, historických románů </w:t>
      </w:r>
      <w:r>
        <w:rPr>
          <w:b/>
          <w:bCs/>
        </w:rPr>
        <w:t xml:space="preserve">a </w:t>
      </w:r>
      <w:r>
        <w:rPr>
          <w:sz w:val="18"/>
          <w:szCs w:val="18"/>
        </w:rPr>
        <w:t>básnicky ztvárně</w:t>
      </w:r>
      <w:r>
        <w:rPr>
          <w:sz w:val="18"/>
          <w:szCs w:val="18"/>
        </w:rPr>
        <w:softHyphen/>
        <w:t>ných reportáží je velký nedostatek moderních společen</w:t>
      </w:r>
      <w:r>
        <w:rPr>
          <w:sz w:val="18"/>
          <w:szCs w:val="18"/>
        </w:rPr>
        <w:softHyphen/>
        <w:t>ských románů. Od íé doby co vymřel úspěšný žánr so</w:t>
      </w:r>
      <w:r>
        <w:rPr>
          <w:sz w:val="18"/>
          <w:szCs w:val="18"/>
        </w:rPr>
        <w:softHyphen/>
        <w:t>ciálních románů, jak je pěstovali Hans Fallada (Občánku, co teď, Vlk mezi vlky) a jiní - a vymřel</w:t>
      </w:r>
      <w:r>
        <w:rPr>
          <w:sz w:val="18"/>
          <w:szCs w:val="18"/>
        </w:rPr>
        <w:t xml:space="preserve"> tento žánr z jed</w:t>
      </w:r>
      <w:r>
        <w:rPr>
          <w:sz w:val="18"/>
          <w:szCs w:val="18"/>
        </w:rPr>
        <w:softHyphen/>
        <w:t>noduchého důvodu, že není nezaměstnaných ve sta</w:t>
      </w:r>
      <w:r>
        <w:rPr>
          <w:sz w:val="18"/>
          <w:szCs w:val="18"/>
        </w:rPr>
        <w:softHyphen/>
        <w:t>rém smyslu, a není problému bídy a sociální nouze - chybí látka a zájem o velký román, který by líčil společ</w:t>
      </w:r>
      <w:r>
        <w:rPr>
          <w:sz w:val="18"/>
          <w:szCs w:val="18"/>
        </w:rPr>
        <w:softHyphen/>
        <w:t>nost. Souvisí to s tím, že všechno je v pohybu, v procesu tvoření a růstu. Společ</w:t>
      </w:r>
      <w:r>
        <w:rPr>
          <w:sz w:val="18"/>
          <w:szCs w:val="18"/>
        </w:rPr>
        <w:t>enský román téměř vždy líčí hoto</w:t>
      </w:r>
      <w:r>
        <w:rPr>
          <w:sz w:val="18"/>
          <w:szCs w:val="18"/>
        </w:rPr>
        <w:softHyphen/>
        <w:t xml:space="preserve">vý, většinou dokonce zapadávající svět </w:t>
      </w:r>
      <w:r>
        <w:rPr>
          <w:sz w:val="18"/>
          <w:szCs w:val="18"/>
          <w:lang w:val="en-US" w:eastAsia="en-US" w:bidi="en-US"/>
        </w:rPr>
        <w:t xml:space="preserve">(Balzac, Zola), </w:t>
      </w:r>
      <w:r>
        <w:rPr>
          <w:sz w:val="18"/>
          <w:szCs w:val="18"/>
        </w:rPr>
        <w:t xml:space="preserve">i estetickému románu ve stylu Wildeově nebo Maupas- santově nedostává se v novém Německu zájmu, a idyle, která je vlastně přiměřená německé próze </w:t>
      </w:r>
      <w:r>
        <w:rPr>
          <w:sz w:val="18"/>
          <w:szCs w:val="18"/>
          <w:lang w:val="en-US" w:eastAsia="en-US" w:bidi="en-US"/>
        </w:rPr>
        <w:t>(Gottfried Kel</w:t>
      </w:r>
      <w:r>
        <w:rPr>
          <w:sz w:val="18"/>
          <w:szCs w:val="18"/>
          <w:lang w:val="en-US" w:eastAsia="en-US" w:bidi="en-US"/>
        </w:rPr>
        <w:softHyphen/>
        <w:t xml:space="preserve">ler, </w:t>
      </w:r>
      <w:r>
        <w:rPr>
          <w:sz w:val="18"/>
          <w:szCs w:val="18"/>
        </w:rPr>
        <w:t>St</w:t>
      </w:r>
      <w:r>
        <w:rPr>
          <w:sz w:val="18"/>
          <w:szCs w:val="18"/>
        </w:rPr>
        <w:t xml:space="preserve">ifter, </w:t>
      </w:r>
      <w:r>
        <w:rPr>
          <w:sz w:val="18"/>
          <w:szCs w:val="18"/>
          <w:lang w:val="en-US" w:eastAsia="en-US" w:bidi="en-US"/>
        </w:rPr>
        <w:t xml:space="preserve">Storm) </w:t>
      </w:r>
      <w:r>
        <w:rPr>
          <w:sz w:val="18"/>
          <w:szCs w:val="18"/>
        </w:rPr>
        <w:t>je ovzduší revolučního dynamismu ještě méně příznivé. Proto ovládají v Německu úsek knižního trhu, věnovaný velkému společenskému románu, pořád ještě Angličané a Američané.</w:t>
      </w:r>
    </w:p>
    <w:p w:rsidR="00500724" w:rsidRDefault="00F30FB8">
      <w:pPr>
        <w:pStyle w:val="Zkladntext1"/>
        <w:shd w:val="clear" w:color="auto" w:fill="auto"/>
        <w:spacing w:line="218" w:lineRule="auto"/>
        <w:ind w:firstLine="280"/>
        <w:rPr>
          <w:sz w:val="18"/>
          <w:szCs w:val="18"/>
        </w:rPr>
      </w:pPr>
      <w:r>
        <w:rPr>
          <w:sz w:val="18"/>
          <w:szCs w:val="18"/>
        </w:rPr>
        <w:t>Rovněž i v oboru dramatu není velkých děl, důstoj</w:t>
      </w:r>
      <w:r>
        <w:rPr>
          <w:sz w:val="18"/>
          <w:szCs w:val="18"/>
        </w:rPr>
        <w:softHyphen/>
        <w:t>ných epochy. Nejvýz</w:t>
      </w:r>
      <w:r>
        <w:rPr>
          <w:sz w:val="18"/>
          <w:szCs w:val="18"/>
        </w:rPr>
        <w:t>namnější pochází i zde z doby bojů. »Thomas Paine# Hannse Johsta se právem hraje velmi často, »Schlageter« téhož autora má sílu a vzlet. Přítomná doba přináší mnoho děl, i dobrých, ale osobnost, rozhodu</w:t>
      </w:r>
      <w:r>
        <w:rPr>
          <w:sz w:val="18"/>
          <w:szCs w:val="18"/>
        </w:rPr>
        <w:softHyphen/>
        <w:t>jící v kulturních záležitostech, ministr Goebbels, ne</w:t>
      </w:r>
      <w:r>
        <w:rPr>
          <w:sz w:val="18"/>
          <w:szCs w:val="18"/>
        </w:rPr>
        <w:t>jednou vyzýval autory, aby byli odvážnější, aby tvořili živé, sou</w:t>
      </w:r>
      <w:r>
        <w:rPr>
          <w:sz w:val="18"/>
          <w:szCs w:val="18"/>
        </w:rPr>
        <w:softHyphen/>
        <w:t>dobé, opravdu dramatické divadlo. Na jevišti panuje vel</w:t>
      </w:r>
      <w:r>
        <w:rPr>
          <w:sz w:val="18"/>
          <w:szCs w:val="18"/>
        </w:rPr>
        <w:softHyphen/>
        <w:t>kou měrou historická látka a téměř epická forma. Ovšem, musí se tu uvážit, že vůbec prožíváme kritickou dobu v di</w:t>
      </w:r>
      <w:r>
        <w:rPr>
          <w:sz w:val="18"/>
          <w:szCs w:val="18"/>
        </w:rPr>
        <w:softHyphen/>
        <w:t>vadle, které se ješt</w:t>
      </w:r>
      <w:r>
        <w:rPr>
          <w:sz w:val="18"/>
          <w:szCs w:val="18"/>
        </w:rPr>
        <w:t>ě nevyrovnalo s problémem filmu, s nímž se často stýká. Jsou významná historická dramata, žel málo známá. Jsou ío především pruská dramata Reh- bergova, Moellerova sFrankenburger Wůrfelspiel#, Beth- geova sRebellion um Preussen#, Lůtzkendorfova »Alpen- zug</w:t>
      </w:r>
      <w:r>
        <w:rPr>
          <w:sz w:val="18"/>
          <w:szCs w:val="18"/>
        </w:rPr>
        <w:t>i, Kolbenheyerova »Řehoř a Jindřichu, Můller-Scheld- sova tiLislopadová balada#. Ale právě tak jako v epice je málo dramatiků, kteří se zabývají soudobými tématy. Mohl by býti pojmenován Richard Billinger, alpský Němec, a Heinz Ortner. Veselá lidová hra, s</w:t>
      </w:r>
      <w:r>
        <w:rPr>
          <w:sz w:val="18"/>
          <w:szCs w:val="18"/>
        </w:rPr>
        <w:t xml:space="preserve">elská komedie, fraškovitá maloměstská komedie našly úspěšné a nadané autory. Jsou to především </w:t>
      </w:r>
      <w:r>
        <w:rPr>
          <w:sz w:val="18"/>
          <w:szCs w:val="18"/>
          <w:lang w:val="en-US" w:eastAsia="en-US" w:bidi="en-US"/>
        </w:rPr>
        <w:t xml:space="preserve">Lippi </w:t>
      </w:r>
      <w:r>
        <w:rPr>
          <w:sz w:val="18"/>
          <w:szCs w:val="18"/>
        </w:rPr>
        <w:t>(»Die Pfingstorgel«) a Hans Fitz (»Der Frontgockels).</w:t>
      </w:r>
    </w:p>
    <w:p w:rsidR="00500724" w:rsidRDefault="00F30FB8">
      <w:pPr>
        <w:pStyle w:val="Zkladntext1"/>
        <w:shd w:val="clear" w:color="auto" w:fill="auto"/>
        <w:spacing w:line="218" w:lineRule="auto"/>
        <w:ind w:firstLine="0"/>
        <w:jc w:val="center"/>
        <w:rPr>
          <w:sz w:val="18"/>
          <w:szCs w:val="18"/>
        </w:rPr>
      </w:pPr>
      <w:r>
        <w:rPr>
          <w:sz w:val="18"/>
          <w:szCs w:val="18"/>
        </w:rPr>
        <w:t>•</w:t>
      </w:r>
    </w:p>
    <w:p w:rsidR="00500724" w:rsidRDefault="00F30FB8">
      <w:pPr>
        <w:pStyle w:val="Zkladntext1"/>
        <w:shd w:val="clear" w:color="auto" w:fill="auto"/>
        <w:spacing w:line="218" w:lineRule="auto"/>
        <w:ind w:firstLine="280"/>
        <w:rPr>
          <w:sz w:val="18"/>
          <w:szCs w:val="18"/>
        </w:rPr>
      </w:pPr>
      <w:r>
        <w:rPr>
          <w:sz w:val="18"/>
          <w:szCs w:val="18"/>
        </w:rPr>
        <w:t>Je pozoru hodné, že spisovatelé, kteří zůstali z doby předválečné — zůstali tělesně a také duchovně</w:t>
      </w:r>
      <w:r>
        <w:rPr>
          <w:sz w:val="18"/>
          <w:szCs w:val="18"/>
        </w:rPr>
        <w:t xml:space="preserve"> - dnes mnoho neznamenají. </w:t>
      </w:r>
      <w:r>
        <w:rPr>
          <w:sz w:val="18"/>
          <w:szCs w:val="18"/>
          <w:lang w:val="en-US" w:eastAsia="en-US" w:bidi="en-US"/>
        </w:rPr>
        <w:t xml:space="preserve">Gerhart Hauptmann </w:t>
      </w:r>
      <w:r>
        <w:rPr>
          <w:sz w:val="18"/>
          <w:szCs w:val="18"/>
        </w:rPr>
        <w:t>se ještě hraje a je vážen, ale stojí v pozadí. Thomas Mann je ve vyhnan</w:t>
      </w:r>
      <w:r>
        <w:rPr>
          <w:sz w:val="18"/>
          <w:szCs w:val="18"/>
        </w:rPr>
        <w:softHyphen/>
        <w:t>ství a vládnoucí kritika ho odmítá jako dekadenta, o poli</w:t>
      </w:r>
      <w:r>
        <w:rPr>
          <w:sz w:val="18"/>
          <w:szCs w:val="18"/>
        </w:rPr>
        <w:softHyphen/>
        <w:t>tické kritice jeho chování ani nemluvíc. Co má význam a jméno, patří mladé genera</w:t>
      </w:r>
      <w:r>
        <w:rPr>
          <w:sz w:val="18"/>
          <w:szCs w:val="18"/>
        </w:rPr>
        <w:t>ci. Její básnický původ byl už vysvětlen: zrodila se v prožitcích války a revoluce. Lyrika a bojovný román jsou na značné úrovni, historická po</w:t>
      </w:r>
      <w:r>
        <w:rPr>
          <w:sz w:val="18"/>
          <w:szCs w:val="18"/>
        </w:rPr>
        <w:softHyphen/>
        <w:t xml:space="preserve">vídka našla nové formy, historické drama má hodnotná díla. Německému básnictví nedostává se klidu a rozvahy, je </w:t>
      </w:r>
      <w:r>
        <w:rPr>
          <w:sz w:val="18"/>
          <w:szCs w:val="18"/>
        </w:rPr>
        <w:t>ještě příliš proniknuto žárem boje, aby mohlo ztvárňo</w:t>
      </w:r>
      <w:r>
        <w:rPr>
          <w:sz w:val="18"/>
          <w:szCs w:val="18"/>
        </w:rPr>
        <w:softHyphen/>
        <w:t>vat současnou dobu, přítomnost. Jenom v dějinách může hledat odraz současnosti. Nesmí se ovšem v každém histo</w:t>
      </w:r>
      <w:r>
        <w:rPr>
          <w:sz w:val="18"/>
          <w:szCs w:val="18"/>
        </w:rPr>
        <w:softHyphen/>
        <w:t>rickém románu hledat odraz přítomnosti. Útěk do histori- cismu má ještě jednu příčinu: hledá</w:t>
      </w:r>
      <w:r>
        <w:rPr>
          <w:sz w:val="18"/>
          <w:szCs w:val="18"/>
        </w:rPr>
        <w:t>ní kontinuity, původu, souvislosti. To dělá každá revoluce, aby za uhánění ku</w:t>
      </w:r>
      <w:r>
        <w:rPr>
          <w:sz w:val="18"/>
          <w:szCs w:val="18"/>
        </w:rPr>
        <w:softHyphen/>
        <w:t>předu neztratila půdu pod nohama. Angličané hledali kořeny své revoluce v starém Zákonu, Francouzi v římské republice, Němci u středověkých císařů, v Prusku a v Ra</w:t>
      </w:r>
      <w:r>
        <w:rPr>
          <w:sz w:val="18"/>
          <w:szCs w:val="18"/>
        </w:rPr>
        <w:softHyphen/>
        <w:t>kousku.</w:t>
      </w:r>
    </w:p>
    <w:p w:rsidR="00500724" w:rsidRDefault="00F30FB8">
      <w:pPr>
        <w:pStyle w:val="Zkladntext1"/>
        <w:shd w:val="clear" w:color="auto" w:fill="auto"/>
        <w:spacing w:line="218" w:lineRule="auto"/>
        <w:rPr>
          <w:sz w:val="18"/>
          <w:szCs w:val="18"/>
        </w:rPr>
      </w:pPr>
      <w:r>
        <w:rPr>
          <w:sz w:val="18"/>
          <w:szCs w:val="18"/>
        </w:rPr>
        <w:t xml:space="preserve">Právě </w:t>
      </w:r>
      <w:r>
        <w:rPr>
          <w:sz w:val="18"/>
          <w:szCs w:val="18"/>
        </w:rPr>
        <w:t>zde je třeba si všimnout účasti pohraničních Němců na obrození literatury. Sudetští Němci jsou v ně</w:t>
      </w:r>
      <w:r>
        <w:rPr>
          <w:sz w:val="18"/>
          <w:szCs w:val="18"/>
        </w:rPr>
        <w:softHyphen/>
        <w:t>meckém básnictví zastoupeni četnými jmény a pozoru hod</w:t>
      </w:r>
      <w:r>
        <w:rPr>
          <w:sz w:val="18"/>
          <w:szCs w:val="18"/>
        </w:rPr>
        <w:softHyphen/>
        <w:t>nými talenty, rovněž značně Východní Marka, sedmi</w:t>
      </w:r>
      <w:r>
        <w:rPr>
          <w:sz w:val="18"/>
          <w:szCs w:val="18"/>
        </w:rPr>
        <w:softHyphen/>
        <w:t xml:space="preserve">hradští Němci a východní části říše. I v tom je do </w:t>
      </w:r>
      <w:r>
        <w:rPr>
          <w:sz w:val="18"/>
          <w:szCs w:val="18"/>
        </w:rPr>
        <w:t>jisté míry ohlas politických událostí. Neboř zahraničně-poli- íicky znamená totiž německá revoluce především odvrat od pohledu po staletí upřeného na západ, a nokus Němců vypořádat se s problémy Východu. Tato okolnost znovu přivedla do popředí německé vých</w:t>
      </w:r>
      <w:r>
        <w:rPr>
          <w:sz w:val="18"/>
          <w:szCs w:val="18"/>
        </w:rPr>
        <w:t>odní kmeny, které od dob Turků nehrály politické úlohy a oď dob Herderových neměly ani velký duchovní úkol.</w:t>
      </w:r>
    </w:p>
    <w:p w:rsidR="00500724" w:rsidRDefault="00F30FB8">
      <w:pPr>
        <w:pStyle w:val="Zkladntext1"/>
        <w:shd w:val="clear" w:color="auto" w:fill="auto"/>
        <w:spacing w:line="166" w:lineRule="auto"/>
        <w:ind w:firstLine="0"/>
        <w:jc w:val="left"/>
        <w:rPr>
          <w:sz w:val="20"/>
          <w:szCs w:val="20"/>
        </w:rPr>
      </w:pPr>
      <w:r>
        <w:rPr>
          <w:i/>
          <w:iCs/>
          <w:sz w:val="20"/>
          <w:szCs w:val="20"/>
        </w:rPr>
        <w:t>Miroslav Micko:</w:t>
      </w:r>
    </w:p>
    <w:p w:rsidR="00500724" w:rsidRDefault="00F30FB8">
      <w:pPr>
        <w:pStyle w:val="Zkladntext40"/>
        <w:shd w:val="clear" w:color="auto" w:fill="auto"/>
        <w:spacing w:after="0" w:line="166" w:lineRule="auto"/>
        <w:ind w:left="540"/>
        <w:jc w:val="left"/>
        <w:rPr>
          <w:sz w:val="14"/>
          <w:szCs w:val="14"/>
        </w:rPr>
      </w:pPr>
      <w:r>
        <w:rPr>
          <w:sz w:val="14"/>
          <w:szCs w:val="14"/>
        </w:rPr>
        <w:t>v</w:t>
      </w:r>
    </w:p>
    <w:p w:rsidR="00500724" w:rsidRDefault="00F30FB8">
      <w:pPr>
        <w:pStyle w:val="Nadpis100"/>
        <w:shd w:val="clear" w:color="auto" w:fill="auto"/>
        <w:spacing w:line="218" w:lineRule="auto"/>
      </w:pPr>
      <w:bookmarkStart w:id="745" w:name="bookmark744"/>
      <w:r>
        <w:t>Češství Mánesovo a Alšovo</w:t>
      </w:r>
      <w:r>
        <w:br/>
        <w:t>— a jiných</w:t>
      </w:r>
      <w:bookmarkEnd w:id="745"/>
    </w:p>
    <w:p w:rsidR="00500724" w:rsidRDefault="00F30FB8">
      <w:pPr>
        <w:pStyle w:val="Zkladntext1"/>
        <w:shd w:val="clear" w:color="auto" w:fill="auto"/>
        <w:spacing w:line="226" w:lineRule="auto"/>
        <w:ind w:firstLine="260"/>
        <w:rPr>
          <w:sz w:val="18"/>
          <w:szCs w:val="18"/>
        </w:rPr>
      </w:pPr>
      <w:r>
        <w:rPr>
          <w:sz w:val="18"/>
          <w:szCs w:val="18"/>
        </w:rPr>
        <w:t>Myslím-li na Mánesa, vidím jej vždycky, jak v pro</w:t>
      </w:r>
      <w:r>
        <w:rPr>
          <w:sz w:val="18"/>
          <w:szCs w:val="18"/>
        </w:rPr>
        <w:softHyphen/>
        <w:t xml:space="preserve">pukajícím šílenství bloudí po šumavských </w:t>
      </w:r>
      <w:r>
        <w:rPr>
          <w:sz w:val="18"/>
          <w:szCs w:val="18"/>
        </w:rPr>
        <w:t>lesích a hledá žlutou divokou růži. Zdá se mi, že nic tak nevyjadřuje jeho nejhlubší bytost, jako toto nostalgické gesto, nic ne</w:t>
      </w:r>
      <w:r>
        <w:rPr>
          <w:sz w:val="18"/>
          <w:szCs w:val="18"/>
        </w:rPr>
        <w:softHyphen/>
        <w:t xml:space="preserve">vystihuje lépe tohoto chimérického poutníka, somnambul- ního hledače ideálu, zajatce touhy a snu. Nad vstupem do země Mánesovy </w:t>
      </w:r>
      <w:r>
        <w:rPr>
          <w:sz w:val="18"/>
          <w:szCs w:val="18"/>
        </w:rPr>
        <w:t>by mohlo stát jako nad branou do vlasti všech romantiků: Moje království není z tohoto světa. Je cizincem na této zemi. Aristokrat duchem a cho</w:t>
      </w:r>
      <w:r>
        <w:rPr>
          <w:sz w:val="18"/>
          <w:szCs w:val="18"/>
        </w:rPr>
        <w:softHyphen/>
        <w:t>váním i přirozenou noblesou své povahy, je cizí ve spo</w:t>
      </w:r>
      <w:r>
        <w:rPr>
          <w:sz w:val="18"/>
          <w:szCs w:val="18"/>
        </w:rPr>
        <w:softHyphen/>
        <w:t>lečnosti aristokratů svým rodem,- je cizí mezi umělci vý</w:t>
      </w:r>
      <w:r>
        <w:rPr>
          <w:sz w:val="18"/>
          <w:szCs w:val="18"/>
        </w:rPr>
        <w:softHyphen/>
      </w:r>
      <w:r>
        <w:rPr>
          <w:sz w:val="18"/>
          <w:szCs w:val="18"/>
        </w:rPr>
        <w:t>jimečností svého nadání i svým grandseigneurstvím, jež si vynucuje odstup a pro něž mu jeho druhové posměšně přezdívají #pan baroni,- je cizí mezi Němci svou vlastenec</w:t>
      </w:r>
      <w:r>
        <w:rPr>
          <w:sz w:val="18"/>
          <w:szCs w:val="18"/>
        </w:rPr>
        <w:softHyphen/>
        <w:t>kou vírou a mezi Čechy svým jazykem i legendou o svém holandském původu, s níž si (mysli</w:t>
      </w:r>
      <w:r>
        <w:rPr>
          <w:sz w:val="18"/>
          <w:szCs w:val="18"/>
        </w:rPr>
        <w:t>fikátorsky?) pohrává; je cizí v pruderii maloměšťáckého prostředí svou přiroze</w:t>
      </w:r>
      <w:r>
        <w:rPr>
          <w:sz w:val="18"/>
          <w:szCs w:val="18"/>
        </w:rPr>
        <w:softHyphen/>
        <w:t>ností, je cizí mezi lidem svou jemnou kulturou. Jeho blud</w:t>
      </w:r>
      <w:r>
        <w:rPr>
          <w:sz w:val="18"/>
          <w:szCs w:val="18"/>
        </w:rPr>
        <w:softHyphen/>
        <w:t>ný osud i tragické ztroskotání, těkavost jeho ducha i srdce, jeho snadno zranitelná citlivost a podlomená vůle, jeho st</w:t>
      </w:r>
      <w:r>
        <w:rPr>
          <w:sz w:val="18"/>
          <w:szCs w:val="18"/>
        </w:rPr>
        <w:t>ále dychtivá touha a nadšení, neschopnost sžít se s všed</w:t>
      </w:r>
      <w:r>
        <w:rPr>
          <w:sz w:val="18"/>
          <w:szCs w:val="18"/>
        </w:rPr>
        <w:softHyphen/>
        <w:t>ní skutečností a podat ji v její drastické nahotě, jeho hu</w:t>
      </w:r>
      <w:r>
        <w:rPr>
          <w:sz w:val="18"/>
          <w:szCs w:val="18"/>
        </w:rPr>
        <w:softHyphen/>
        <w:t>debnost, kult báje, vzpomínky a snu i zlomkovitost jeho díla - ío všechno z něho dělá čirý typ romantika. Takto by bylo třeba opravit mínění</w:t>
      </w:r>
      <w:r>
        <w:rPr>
          <w:sz w:val="18"/>
          <w:szCs w:val="18"/>
        </w:rPr>
        <w:t xml:space="preserve"> Jiránkovo, který jej nazývá romantikem německým. Jeho bytostný romantismus roz</w:t>
      </w:r>
      <w:r>
        <w:rPr>
          <w:sz w:val="18"/>
          <w:szCs w:val="18"/>
        </w:rPr>
        <w:softHyphen/>
        <w:t>hoduje víc, než to, čím vnějšně souvisí s historicky vy</w:t>
      </w:r>
      <w:r>
        <w:rPr>
          <w:sz w:val="18"/>
          <w:szCs w:val="18"/>
        </w:rPr>
        <w:softHyphen/>
        <w:t>mezeným směrem.</w:t>
      </w:r>
    </w:p>
    <w:p w:rsidR="00500724" w:rsidRDefault="00F30FB8">
      <w:pPr>
        <w:pStyle w:val="Zkladntext1"/>
        <w:shd w:val="clear" w:color="auto" w:fill="auto"/>
        <w:spacing w:after="40" w:line="226" w:lineRule="auto"/>
        <w:ind w:firstLine="0"/>
        <w:jc w:val="center"/>
        <w:rPr>
          <w:sz w:val="18"/>
          <w:szCs w:val="18"/>
        </w:rPr>
      </w:pPr>
      <w:r>
        <w:rPr>
          <w:sz w:val="18"/>
          <w:szCs w:val="18"/>
        </w:rPr>
        <w:t>•</w:t>
      </w:r>
    </w:p>
    <w:p w:rsidR="00500724" w:rsidRDefault="00F30FB8">
      <w:pPr>
        <w:pStyle w:val="Zkladntext1"/>
        <w:shd w:val="clear" w:color="auto" w:fill="auto"/>
        <w:spacing w:line="218" w:lineRule="auto"/>
        <w:ind w:firstLine="260"/>
        <w:rPr>
          <w:sz w:val="18"/>
          <w:szCs w:val="18"/>
        </w:rPr>
      </w:pPr>
      <w:r>
        <w:rPr>
          <w:sz w:val="18"/>
          <w:szCs w:val="18"/>
        </w:rPr>
        <w:t>»Německý romantik,# říká Jiránek, »a mírný vlastenec.#</w:t>
      </w:r>
    </w:p>
    <w:p w:rsidR="00500724" w:rsidRDefault="00F30FB8">
      <w:pPr>
        <w:pStyle w:val="Zkladntext1"/>
        <w:shd w:val="clear" w:color="auto" w:fill="auto"/>
        <w:spacing w:after="40" w:line="218" w:lineRule="auto"/>
        <w:ind w:firstLine="260"/>
        <w:rPr>
          <w:sz w:val="18"/>
          <w:szCs w:val="18"/>
        </w:rPr>
      </w:pPr>
      <w:r>
        <w:rPr>
          <w:sz w:val="18"/>
          <w:szCs w:val="18"/>
        </w:rPr>
        <w:t xml:space="preserve">Vlastenectví, v němž Mánes vyrůstal, byla ona </w:t>
      </w:r>
      <w:r>
        <w:rPr>
          <w:sz w:val="18"/>
          <w:szCs w:val="18"/>
        </w:rPr>
        <w:t>umírně</w:t>
      </w:r>
      <w:r>
        <w:rPr>
          <w:sz w:val="18"/>
          <w:szCs w:val="18"/>
        </w:rPr>
        <w:softHyphen/>
        <w:t>ná a dosud nerozštěpená láska, živená historickými vzpo</w:t>
      </w:r>
      <w:r>
        <w:rPr>
          <w:sz w:val="18"/>
          <w:szCs w:val="18"/>
        </w:rPr>
        <w:softHyphen/>
        <w:t>mínkami, jež pojila Čechy i české Němce k společné vlasti spíš ve smyslu státoprávním než národním, spíš k Bohemii než k Čechám. Toto vlastenectví umožňovalo na př. ně</w:t>
      </w:r>
      <w:r>
        <w:rPr>
          <w:sz w:val="18"/>
          <w:szCs w:val="18"/>
        </w:rPr>
        <w:softHyphen/>
        <w:t>meckému básníkovi K. E. E</w:t>
      </w:r>
      <w:r>
        <w:rPr>
          <w:sz w:val="18"/>
          <w:szCs w:val="18"/>
        </w:rPr>
        <w:t>bertovi, autoru »Vlasty«, aby zaprorokoval šestnáctiletému Mánesovi: »Vy nám Čechům budete na velikou čest.# Mánesovo vlastenecké uvědo</w:t>
      </w:r>
      <w:r>
        <w:rPr>
          <w:sz w:val="18"/>
          <w:szCs w:val="18"/>
        </w:rPr>
        <w:softHyphen/>
        <w:t>mení sílilo v přátelském styku s mladým Bedřichem hrabě</w:t>
      </w:r>
      <w:r>
        <w:rPr>
          <w:sz w:val="18"/>
          <w:szCs w:val="18"/>
        </w:rPr>
        <w:softHyphen/>
        <w:t>tem Sylva-Tarouccou, procital k česky národnímu horo</w:t>
      </w:r>
      <w:r>
        <w:rPr>
          <w:sz w:val="18"/>
          <w:szCs w:val="18"/>
        </w:rPr>
        <w:softHyphen/>
        <w:t>vání odraze</w:t>
      </w:r>
      <w:r>
        <w:rPr>
          <w:sz w:val="18"/>
          <w:szCs w:val="18"/>
        </w:rPr>
        <w:t>m národního zápalu německých romantiků za svého mnichovského pobytu, byl stržen všeslovanským nadšením roku osmačtyřicátého. Ale národně se spasil svými cestami na český venkov, na Moravu a Slovensko, do Slezska a Haliče — zde jeho láska našla ukojení, jeh</w:t>
      </w:r>
      <w:r>
        <w:rPr>
          <w:sz w:val="18"/>
          <w:szCs w:val="18"/>
        </w:rPr>
        <w:t>o život smysl, jeho dílo svůj tvar. On, jemuž zůstala do smrti přirozenou řečí němčina, jehož české poznámky a dopisy se hemží nejen pravopisnými chybami, ale i ne</w:t>
      </w:r>
      <w:r>
        <w:rPr>
          <w:sz w:val="18"/>
          <w:szCs w:val="18"/>
        </w:rPr>
        <w:softHyphen/>
        <w:t>srozumitelnými jazykovými nehoráznostmi, stvořil tak sobě i nám z nej sladších darů domova v</w:t>
      </w:r>
      <w:r>
        <w:rPr>
          <w:sz w:val="18"/>
          <w:szCs w:val="18"/>
        </w:rPr>
        <w:t>ýtvarnou mateřštinu, položil základy k básnické češtině výfvarnické. A mohli bychom v tom vidět symbolickou hříčku náhody, že se v r. 1847 objevil na maškarním plese Concordie v podivu</w:t>
      </w:r>
      <w:r>
        <w:rPr>
          <w:sz w:val="18"/>
          <w:szCs w:val="18"/>
        </w:rPr>
        <w:softHyphen/>
        <w:t>hodně výstižné masce Danteho. Jako by to bylo před</w:t>
      </w:r>
      <w:r>
        <w:rPr>
          <w:sz w:val="18"/>
          <w:szCs w:val="18"/>
        </w:rPr>
        <w:softHyphen/>
        <w:t>znamenání, že se sta</w:t>
      </w:r>
      <w:r>
        <w:rPr>
          <w:sz w:val="18"/>
          <w:szCs w:val="18"/>
        </w:rPr>
        <w:t>ne Dantem českého malířství, tím, kdo proti ztrnulému akademismu vynese ze zanedbávaného bohatství lidového života svůj »dolce stil nuovon.</w:t>
      </w:r>
    </w:p>
    <w:p w:rsidR="00500724" w:rsidRDefault="00F30FB8">
      <w:pPr>
        <w:pStyle w:val="Zkladntext1"/>
        <w:shd w:val="clear" w:color="auto" w:fill="auto"/>
        <w:spacing w:line="221" w:lineRule="auto"/>
        <w:ind w:firstLine="0"/>
        <w:jc w:val="center"/>
        <w:rPr>
          <w:sz w:val="18"/>
          <w:szCs w:val="18"/>
        </w:rPr>
      </w:pPr>
      <w:r>
        <w:rPr>
          <w:sz w:val="18"/>
          <w:szCs w:val="18"/>
        </w:rPr>
        <w:t>•</w:t>
      </w:r>
    </w:p>
    <w:p w:rsidR="00500724" w:rsidRDefault="00F30FB8">
      <w:pPr>
        <w:pStyle w:val="Zkladntext1"/>
        <w:shd w:val="clear" w:color="auto" w:fill="auto"/>
        <w:spacing w:line="221" w:lineRule="auto"/>
        <w:ind w:firstLine="260"/>
        <w:rPr>
          <w:sz w:val="18"/>
          <w:szCs w:val="18"/>
        </w:rPr>
      </w:pPr>
      <w:r>
        <w:rPr>
          <w:sz w:val="18"/>
          <w:szCs w:val="18"/>
        </w:rPr>
        <w:t xml:space="preserve">Romantické horování Mánesovo pro lid, na němž si cení jeho nezkaženost civilisaci a prostotu ještě pravěkou, tkví </w:t>
      </w:r>
      <w:r>
        <w:rPr>
          <w:sz w:val="18"/>
          <w:szCs w:val="18"/>
        </w:rPr>
        <w:t>jedním kořínkem v rokokové zálibě v pastýřských hrách. V jeho selských idylách, v takových Líbánkách na Hané a v Slovácké rodině je cosi z přecitlivělosti vpravdě pasto</w:t>
      </w:r>
      <w:r>
        <w:rPr>
          <w:sz w:val="18"/>
          <w:szCs w:val="18"/>
        </w:rPr>
        <w:softHyphen/>
        <w:t>rální. Jeho sedláci jsou, zdálo by se, převlečeni šlechtici. Takto se v Mánesovi nezapř</w:t>
      </w:r>
      <w:r>
        <w:rPr>
          <w:sz w:val="18"/>
          <w:szCs w:val="18"/>
        </w:rPr>
        <w:t>e docela odchovanec roko</w:t>
      </w:r>
      <w:r>
        <w:rPr>
          <w:sz w:val="18"/>
          <w:szCs w:val="18"/>
        </w:rPr>
        <w:softHyphen/>
        <w:t>kové kultury, člen šlechtické společnosti a důvěrný přítel lidí vznešeného světa. Ale vznešenost, která vyzařuje z ce</w:t>
      </w:r>
      <w:r>
        <w:rPr>
          <w:sz w:val="18"/>
          <w:szCs w:val="18"/>
        </w:rPr>
        <w:softHyphen/>
        <w:t>lého jeho díla, je mnohem víc než vznešenost šviháckého' světáka a kulturního návyku. Je to vrozená vznešenost du</w:t>
      </w:r>
      <w:r>
        <w:rPr>
          <w:sz w:val="18"/>
          <w:szCs w:val="18"/>
        </w:rPr>
        <w:t>cha, který je nesmísitelný s věcmi nízkými a~ všedními a který nobilisuje všechno, čeho se dotkne. A přece z této vznešenosti nevane na nás chlad a v lidových typech, na něž je naroubován ideál jiné, nezemské krásy, poznáváme svůj lid. To dělá Mánesova vro</w:t>
      </w:r>
      <w:r>
        <w:rPr>
          <w:sz w:val="18"/>
          <w:szCs w:val="18"/>
        </w:rPr>
        <w:t xml:space="preserve">ucnost. Blíží se lidu jako milenec, prostřednictvím svých Fanynek a Josef </w:t>
      </w:r>
      <w:r>
        <w:rPr>
          <w:sz w:val="18"/>
          <w:szCs w:val="18"/>
          <w:lang w:val="en-US" w:eastAsia="en-US" w:bidi="en-US"/>
        </w:rPr>
        <w:t xml:space="preserve">in, </w:t>
      </w:r>
      <w:r>
        <w:rPr>
          <w:sz w:val="18"/>
          <w:szCs w:val="18"/>
        </w:rPr>
        <w:t>a vidí jej očima oblouzenýma láskou. Je to láska, která bere i dává. Bere smyslné zdraví a sílu a všechny poklady ži</w:t>
      </w:r>
      <w:r>
        <w:rPr>
          <w:sz w:val="18"/>
          <w:szCs w:val="18"/>
        </w:rPr>
        <w:softHyphen/>
        <w:t>vota, který neporušil svůj svazek se zemí, a pozdvihuje k vel</w:t>
      </w:r>
      <w:r>
        <w:rPr>
          <w:sz w:val="18"/>
          <w:szCs w:val="18"/>
        </w:rPr>
        <w:t>kosti v odměnu za to. Jeho lid, to jsou nádherné a rekovné bytosti, žijící ve stavu rajské prostoty, v mytické zemi zlatého věku. Proto ilustrace k Rukopisům, jež dával svým žákům na pražské akademii za úlohu již Němec Ruben (co z toho tenkrát vzešlo, nest</w:t>
      </w:r>
      <w:r>
        <w:rPr>
          <w:sz w:val="18"/>
          <w:szCs w:val="18"/>
        </w:rPr>
        <w:t>álo ovšem za nic), byly Mánesovi víc než zakázkou pro Bellmannovo po prvním čísle ztroskotané vydání: byly mu nej vnitřnějším dobrodružstvím, uskutečněním vlastních snů o krásném dávnověku. V nich se slučuje dvojí kouzlo Mánesova světa: milostnost a hrdins</w:t>
      </w:r>
      <w:r>
        <w:rPr>
          <w:sz w:val="18"/>
          <w:szCs w:val="18"/>
        </w:rPr>
        <w:t>tví.</w:t>
      </w:r>
    </w:p>
    <w:p w:rsidR="00500724" w:rsidRDefault="00F30FB8">
      <w:pPr>
        <w:pStyle w:val="Zkladntext1"/>
        <w:shd w:val="clear" w:color="auto" w:fill="auto"/>
        <w:spacing w:line="218" w:lineRule="auto"/>
        <w:ind w:firstLine="0"/>
        <w:jc w:val="center"/>
        <w:rPr>
          <w:sz w:val="18"/>
          <w:szCs w:val="18"/>
        </w:rPr>
      </w:pPr>
      <w:r>
        <w:rPr>
          <w:sz w:val="18"/>
          <w:szCs w:val="18"/>
        </w:rPr>
        <w:t>•</w:t>
      </w:r>
    </w:p>
    <w:p w:rsidR="00500724" w:rsidRDefault="00F30FB8">
      <w:pPr>
        <w:pStyle w:val="Zkladntext1"/>
        <w:shd w:val="clear" w:color="auto" w:fill="auto"/>
        <w:spacing w:line="218" w:lineRule="auto"/>
        <w:ind w:firstLine="240"/>
        <w:rPr>
          <w:sz w:val="18"/>
          <w:szCs w:val="18"/>
        </w:rPr>
      </w:pPr>
      <w:r>
        <w:rPr>
          <w:sz w:val="18"/>
          <w:szCs w:val="18"/>
        </w:rPr>
        <w:t>Jarobujný duch - tento dobový přívlastek je zde na místě - oživuje Mánesovo dílo. Všechno je tu křepké a útlé, statné a svěží, líbezné a spanilé. Jak málo tu najdete starých nebo dokonce stářím znetvořených postav! Neumí je ani malovat; vyhlazuje ji</w:t>
      </w:r>
      <w:r>
        <w:rPr>
          <w:sz w:val="18"/>
          <w:szCs w:val="18"/>
        </w:rPr>
        <w:t>m s tváří vrásky a dává pruž</w:t>
      </w:r>
      <w:r>
        <w:rPr>
          <w:sz w:val="18"/>
          <w:szCs w:val="18"/>
        </w:rPr>
        <w:softHyphen/>
        <w:t>nost jejich údům, jako by je chtěl posílit v zápase se smrtí. Jeho hlavy svátých kmetů pro karlínský kostel bezmála připomínají retušované fotografie,- tak jsou falešné. On sám zůstane jinošským milencem života a žen, až k muči</w:t>
      </w:r>
      <w:r>
        <w:rPr>
          <w:sz w:val="18"/>
          <w:szCs w:val="18"/>
        </w:rPr>
        <w:softHyphen/>
        <w:t>vému rozporu stárnoucích sil a mladistvé touhy. Snad že v sobě tuší dosud skryté nebezpečí rozkladu, číhající ne</w:t>
      </w:r>
      <w:r>
        <w:rPr>
          <w:sz w:val="18"/>
          <w:szCs w:val="18"/>
        </w:rPr>
        <w:softHyphen/>
        <w:t>moc, že se leká stárnutí a toho, co přijde potom: zahání od sebe všechno, co by mohlo zohyzdit a ohrozit jeho blažené hájemství. Je mnoho věcí</w:t>
      </w:r>
      <w:r>
        <w:rPr>
          <w:sz w:val="18"/>
          <w:szCs w:val="18"/>
        </w:rPr>
        <w:t>, jimž se vyhýbá, mnoho věcí, jež nenávidí. Cítí se nešťastný v zimě; ji přímo na</w:t>
      </w:r>
      <w:r>
        <w:rPr>
          <w:sz w:val="18"/>
          <w:szCs w:val="18"/>
        </w:rPr>
        <w:softHyphen/>
        <w:t>zývá svým nepřítelem. Podívejte se na čtyři alegorie, v nichž představuje roční doby dětskými postavičkami, vznášejícími se nad krajinou. I do zimní krajiny maluje polonahé d</w:t>
      </w:r>
      <w:r>
        <w:rPr>
          <w:sz w:val="18"/>
          <w:szCs w:val="18"/>
        </w:rPr>
        <w:t>ítě - je to zima viděná atmosféricky, v ma</w:t>
      </w:r>
      <w:r>
        <w:rPr>
          <w:sz w:val="18"/>
          <w:szCs w:val="18"/>
        </w:rPr>
        <w:softHyphen/>
        <w:t>lebně vlahém půvabu svého zamžení. (Jak tu nevzpome</w:t>
      </w:r>
      <w:r>
        <w:rPr>
          <w:sz w:val="18"/>
          <w:szCs w:val="18"/>
        </w:rPr>
        <w:softHyphen/>
        <w:t>nout na Alšovy kluky v beranicích a s tvářemi zčervena</w:t>
      </w:r>
      <w:r>
        <w:rPr>
          <w:sz w:val="18"/>
          <w:szCs w:val="18"/>
        </w:rPr>
        <w:softHyphen/>
        <w:t>lými mrazem, kteří si dýchají do dlaní?) Postaven tváří v tvář skutečnosti, přečasto zavírá oči a maluje t</w:t>
      </w:r>
      <w:r>
        <w:rPr>
          <w:sz w:val="18"/>
          <w:szCs w:val="18"/>
        </w:rPr>
        <w:t>o, co vidí na rubu svých víček. Hleďte, to je on: malíř jara a mládí, jitra a soumraku, nálad a vůní, vzpomínky a snu.</w:t>
      </w:r>
    </w:p>
    <w:p w:rsidR="00500724" w:rsidRDefault="00F30FB8">
      <w:pPr>
        <w:pStyle w:val="Zkladntext1"/>
        <w:shd w:val="clear" w:color="auto" w:fill="auto"/>
        <w:spacing w:line="228" w:lineRule="auto"/>
        <w:ind w:firstLine="0"/>
        <w:jc w:val="center"/>
        <w:rPr>
          <w:sz w:val="18"/>
          <w:szCs w:val="18"/>
        </w:rPr>
      </w:pPr>
      <w:r>
        <w:rPr>
          <w:sz w:val="18"/>
          <w:szCs w:val="18"/>
        </w:rPr>
        <w:t>•</w:t>
      </w:r>
    </w:p>
    <w:p w:rsidR="00500724" w:rsidRDefault="00F30FB8">
      <w:pPr>
        <w:pStyle w:val="Zkladntext1"/>
        <w:shd w:val="clear" w:color="auto" w:fill="auto"/>
        <w:spacing w:line="228" w:lineRule="auto"/>
        <w:ind w:firstLine="240"/>
        <w:rPr>
          <w:sz w:val="18"/>
          <w:szCs w:val="18"/>
        </w:rPr>
      </w:pPr>
      <w:r>
        <w:rPr>
          <w:sz w:val="18"/>
          <w:szCs w:val="18"/>
        </w:rPr>
        <w:t>Aleš má také romantické rysy, ale jeho romantismus je jen spodním živným pramenem, jenž napájí jeho díla, po</w:t>
      </w:r>
      <w:r>
        <w:rPr>
          <w:sz w:val="18"/>
          <w:szCs w:val="18"/>
        </w:rPr>
        <w:softHyphen/>
        <w:t>zemsky skutečné a vyrovnan</w:t>
      </w:r>
      <w:r>
        <w:rPr>
          <w:sz w:val="18"/>
          <w:szCs w:val="18"/>
        </w:rPr>
        <w:t>é. Postavte si tohoto valibuka, bodrého cechmistra, tátu a živitele rodiny, vedle orlické</w:t>
      </w:r>
      <w:r>
        <w:rPr>
          <w:sz w:val="18"/>
          <w:szCs w:val="18"/>
        </w:rPr>
        <w:softHyphen/>
        <w:t xml:space="preserve">ho Mánesa, krále elfů a náměsíčníka, jenž chodí po Praze s rozžatou lucernou za bílého dne. Nevypadá-li vedle něho jako </w:t>
      </w:r>
      <w:r>
        <w:rPr>
          <w:sz w:val="18"/>
          <w:szCs w:val="18"/>
          <w:lang w:val="en-US" w:eastAsia="en-US" w:bidi="en-US"/>
        </w:rPr>
        <w:t xml:space="preserve">Sancho </w:t>
      </w:r>
      <w:r>
        <w:rPr>
          <w:sz w:val="18"/>
          <w:szCs w:val="18"/>
        </w:rPr>
        <w:t>Panza vedle dona Quijota, oddaný služeb</w:t>
      </w:r>
      <w:r>
        <w:rPr>
          <w:sz w:val="18"/>
          <w:szCs w:val="18"/>
        </w:rPr>
        <w:t>ník a žák, který se nakazil vznešeným šílenstvím svého pána, ale jemuž jeho nadšení nebrání vidět věci, jak jsou? Oba nesli svůj úděl bídy a nepochopení, přečnívajíce svou dobu; první zašel na nesouzvuk skutečnosti a snu, ale druhý vydržel a dočkal se svéh</w:t>
      </w:r>
      <w:r>
        <w:rPr>
          <w:sz w:val="18"/>
          <w:szCs w:val="18"/>
        </w:rPr>
        <w:t>o vítězství, protože jeho jistota ležela v samém srdci skutečnosti.</w:t>
      </w:r>
    </w:p>
    <w:p w:rsidR="00500724" w:rsidRDefault="00F30FB8">
      <w:pPr>
        <w:pStyle w:val="Zkladntext1"/>
        <w:shd w:val="clear" w:color="auto" w:fill="auto"/>
        <w:ind w:firstLine="240"/>
        <w:rPr>
          <w:sz w:val="18"/>
          <w:szCs w:val="18"/>
        </w:rPr>
      </w:pPr>
      <w:r>
        <w:rPr>
          <w:sz w:val="18"/>
          <w:szCs w:val="18"/>
        </w:rPr>
        <w:t>Aleš se nikdy neodloučil z prostředí, z něhož vyšel; a i když se cítil opuštěn v měšťácké Praze, byl přece doma mezi prostými lidmi. Jeho češství je lidové a samozřejmé, jen víc se utvrzuj</w:t>
      </w:r>
      <w:r>
        <w:rPr>
          <w:sz w:val="18"/>
          <w:szCs w:val="18"/>
        </w:rPr>
        <w:t>e utrpením. Mánesovo češství je nostal</w:t>
      </w:r>
      <w:r>
        <w:rPr>
          <w:sz w:val="18"/>
          <w:szCs w:val="18"/>
        </w:rPr>
        <w:softHyphen/>
        <w:t>gické - je to hledání domova, touha vrátit se ke svému původu, sen o vykoupení. Mánes se blíží ke svému lidu s mileneckou zbožností, dobývá si ho milostným úsilím, získává si ho láskou, zasnubuje se s ním - Aleš je to</w:t>
      </w:r>
      <w:r>
        <w:rPr>
          <w:sz w:val="18"/>
          <w:szCs w:val="18"/>
        </w:rPr>
        <w:t>tožný s lidem. Také jinak je Aleš češtější - a tu abychom snad citovali Jiránka, který píše o Mánesovi: íNevím, jak bych lépe charakterisoval všechno, co pro nás dnes žije z jeho díla, nežli řeknu-li, že on vyjádřil nejplněji a nejušlechti</w:t>
      </w:r>
      <w:r>
        <w:rPr>
          <w:sz w:val="18"/>
          <w:szCs w:val="18"/>
        </w:rPr>
        <w:softHyphen/>
        <w:t>leji slováckou s</w:t>
      </w:r>
      <w:r>
        <w:rPr>
          <w:sz w:val="18"/>
          <w:szCs w:val="18"/>
        </w:rPr>
        <w:t>tránku naší povahy.« Alšovo dílo tkví ko</w:t>
      </w:r>
      <w:r>
        <w:rPr>
          <w:sz w:val="18"/>
          <w:szCs w:val="18"/>
        </w:rPr>
        <w:softHyphen/>
        <w:t>řeny především v české půdě, třebaže toužilo obsáhnout celý slovanský svět - Mánesovo prozrazuje svou morav</w:t>
      </w:r>
      <w:r>
        <w:rPr>
          <w:sz w:val="18"/>
          <w:szCs w:val="18"/>
        </w:rPr>
        <w:softHyphen/>
        <w:t>skou a slovenskou inspiraci. Aleš je češtější o tolik, o ko</w:t>
      </w:r>
      <w:r>
        <w:rPr>
          <w:sz w:val="18"/>
          <w:szCs w:val="18"/>
        </w:rPr>
        <w:softHyphen/>
        <w:t>lik je střízlivější, humornější, nesentimentáln</w:t>
      </w:r>
      <w:r>
        <w:rPr>
          <w:sz w:val="18"/>
          <w:szCs w:val="18"/>
        </w:rPr>
        <w:t>ější, jadrnější a pitvornější než slovenský zjevný a roztoužený Mánes.</w:t>
      </w:r>
    </w:p>
    <w:p w:rsidR="00500724" w:rsidRDefault="00F30FB8">
      <w:pPr>
        <w:pStyle w:val="Zkladntext1"/>
        <w:shd w:val="clear" w:color="auto" w:fill="auto"/>
        <w:spacing w:line="218" w:lineRule="auto"/>
        <w:ind w:firstLine="260"/>
        <w:rPr>
          <w:sz w:val="18"/>
          <w:szCs w:val="18"/>
        </w:rPr>
      </w:pPr>
      <w:r>
        <w:rPr>
          <w:sz w:val="18"/>
          <w:szCs w:val="18"/>
        </w:rPr>
        <w:t>Aleš, toť život sám ve své bídě i slávě, se všemi svými zjevy, trampotami i radostmi, stíny i světly, tragikou i mí</w:t>
      </w:r>
      <w:r>
        <w:rPr>
          <w:sz w:val="18"/>
          <w:szCs w:val="18"/>
        </w:rPr>
        <w:softHyphen/>
        <w:t>rem, v celé své přeobsáhlé rozmanitosti. Mánesův výluč</w:t>
      </w:r>
      <w:r>
        <w:rPr>
          <w:sz w:val="18"/>
          <w:szCs w:val="18"/>
        </w:rPr>
        <w:softHyphen/>
        <w:t>ný duch jen zř</w:t>
      </w:r>
      <w:r>
        <w:rPr>
          <w:sz w:val="18"/>
          <w:szCs w:val="18"/>
        </w:rPr>
        <w:t>ídka zní se skutečností; uznává jen to, co miluje. Aleš miluje věci z toho prostého důvodu, že jsou. Jeho dílo je úplným obrazem života lidu a přírody. Nic tu nechybí - jen co je mimo lid: mondénní krasavice a elegáni z Příkopů, a i ti tu jsou v lidové kar</w:t>
      </w:r>
      <w:r>
        <w:rPr>
          <w:sz w:val="18"/>
          <w:szCs w:val="18"/>
        </w:rPr>
        <w:t>ikatuře. Vzne</w:t>
      </w:r>
      <w:r>
        <w:rPr>
          <w:sz w:val="18"/>
          <w:szCs w:val="18"/>
        </w:rPr>
        <w:softHyphen/>
        <w:t>šený svět u Alše, to jsou zjasněné postavy lidové fantasie, princové a princezny z pohádek, králové posvěcení ději</w:t>
      </w:r>
      <w:r>
        <w:rPr>
          <w:sz w:val="18"/>
          <w:szCs w:val="18"/>
        </w:rPr>
        <w:softHyphen/>
        <w:t>nami, báječní rekové-vykupitelé. Anebo zas groteskní po</w:t>
      </w:r>
      <w:r>
        <w:rPr>
          <w:sz w:val="18"/>
          <w:szCs w:val="18"/>
        </w:rPr>
        <w:softHyphen/>
        <w:t>stavičky, na nichž se vybíjí posměvačná zášť proti pan</w:t>
      </w:r>
      <w:r>
        <w:rPr>
          <w:sz w:val="18"/>
          <w:szCs w:val="18"/>
        </w:rPr>
        <w:softHyphen/>
        <w:t>stvu: copatí pán</w:t>
      </w:r>
      <w:r>
        <w:rPr>
          <w:sz w:val="18"/>
          <w:szCs w:val="18"/>
        </w:rPr>
        <w:t>i Francové, rokoková hrabátka, jejichž ti</w:t>
      </w:r>
      <w:r>
        <w:rPr>
          <w:sz w:val="18"/>
          <w:szCs w:val="18"/>
        </w:rPr>
        <w:softHyphen/>
        <w:t>těrné způsoby jsou selskému lidu pro smích. U Mánesa není propasti mezi šlechtou a lidem, tak jako jí není u Bo</w:t>
      </w:r>
      <w:r>
        <w:rPr>
          <w:sz w:val="18"/>
          <w:szCs w:val="18"/>
        </w:rPr>
        <w:softHyphen/>
        <w:t>ženy Němcové. Mánesův lid, to je podivuhodné plémě, jakoby vzešlé z objetí bohů a smrtelných žen. Jist</w:t>
      </w:r>
      <w:r>
        <w:rPr>
          <w:sz w:val="18"/>
          <w:szCs w:val="18"/>
        </w:rPr>
        <w:t>ě že i Aleš někdy idealisuje, i on zjasňuje a nadnáší své venkov</w:t>
      </w:r>
      <w:r>
        <w:rPr>
          <w:sz w:val="18"/>
          <w:szCs w:val="18"/>
        </w:rPr>
        <w:softHyphen/>
        <w:t>ské krásky a šohaje, ale zevnitř, ze samotné lidové touhy.</w:t>
      </w:r>
    </w:p>
    <w:p w:rsidR="00500724" w:rsidRDefault="00F30FB8">
      <w:pPr>
        <w:pStyle w:val="Zkladntext1"/>
        <w:shd w:val="clear" w:color="auto" w:fill="auto"/>
        <w:spacing w:line="218" w:lineRule="auto"/>
        <w:ind w:firstLine="260"/>
        <w:rPr>
          <w:sz w:val="18"/>
          <w:szCs w:val="18"/>
        </w:rPr>
      </w:pPr>
      <w:r>
        <w:rPr>
          <w:sz w:val="18"/>
          <w:szCs w:val="18"/>
        </w:rPr>
        <w:t xml:space="preserve">Všimněme si na dotvrzení toho všeho mytologie u obou malířů. Rusálky a světýlka v »Seru«, hemžení amoretů ve »Venušině sluji&lt;, </w:t>
      </w:r>
      <w:r>
        <w:rPr>
          <w:sz w:val="18"/>
          <w:szCs w:val="18"/>
        </w:rPr>
        <w:t>personifikované vůně v sZahradníkově jitrua - toť individuální poetická mytologie Mánesova. Alšova mytologie má všechny znaky lidovosti: hle, jeho pidimužíci a obři, jeho potvorní hastrmani, víly, poled</w:t>
      </w:r>
      <w:r>
        <w:rPr>
          <w:sz w:val="18"/>
          <w:szCs w:val="18"/>
        </w:rPr>
        <w:softHyphen/>
        <w:t>nice a klekánice, čarodějné báby a čerti, podobní pot</w:t>
      </w:r>
      <w:r>
        <w:rPr>
          <w:sz w:val="18"/>
          <w:szCs w:val="18"/>
        </w:rPr>
        <w:t>mě</w:t>
      </w:r>
      <w:r>
        <w:rPr>
          <w:sz w:val="18"/>
          <w:szCs w:val="18"/>
        </w:rPr>
        <w:softHyphen/>
        <w:t>šilým strejcům, zrůdy a zmetkové a všelijaká ta strašidla, velmi věrohodná při vší své nadpřirozené výstřednosti.</w:t>
      </w:r>
    </w:p>
    <w:p w:rsidR="00500724" w:rsidRDefault="00F30FB8">
      <w:pPr>
        <w:pStyle w:val="Zkladntext1"/>
        <w:shd w:val="clear" w:color="auto" w:fill="auto"/>
        <w:spacing w:line="218" w:lineRule="auto"/>
        <w:ind w:firstLine="260"/>
        <w:rPr>
          <w:sz w:val="18"/>
          <w:szCs w:val="18"/>
        </w:rPr>
      </w:pPr>
      <w:r>
        <w:rPr>
          <w:sz w:val="18"/>
          <w:szCs w:val="18"/>
        </w:rPr>
        <w:t>Svět Alšův i Mánesův je zabydlen dětmi. Alšovy děti, to jsou usmrkanci s roztrhanými gatěmi, nezbedové, pa- sáčci a holčičky v kartounových</w:t>
      </w:r>
      <w:r>
        <w:rPr>
          <w:sz w:val="18"/>
          <w:szCs w:val="18"/>
        </w:rPr>
        <w:t xml:space="preserve"> sukýnkách — děti Máne</w:t>
      </w:r>
      <w:r>
        <w:rPr>
          <w:sz w:val="18"/>
          <w:szCs w:val="18"/>
        </w:rPr>
        <w:softHyphen/>
        <w:t>sovy košiláči a naháčkové, andílkové a amoreti. Mánes má vůbec rád nahé tělo,- kdykoli sní a básní, vidí své po</w:t>
      </w:r>
      <w:r>
        <w:rPr>
          <w:sz w:val="18"/>
          <w:szCs w:val="18"/>
        </w:rPr>
        <w:softHyphen/>
        <w:t>stavy nahé nebo v nejprostším šatě. Aleš má naopak rád všechno určité a charakterisované, rozmanitost typologic- kou i kr</w:t>
      </w:r>
      <w:r>
        <w:rPr>
          <w:sz w:val="18"/>
          <w:szCs w:val="18"/>
        </w:rPr>
        <w:t>ojovou, dobovou i sociální. Nahota u Alše je vždy</w:t>
      </w:r>
      <w:r>
        <w:rPr>
          <w:sz w:val="18"/>
          <w:szCs w:val="18"/>
        </w:rPr>
        <w:softHyphen/>
        <w:t>cky oprávněna situací; je to nahota koupající se dívky, jak ji vidí chlapec ukrytý v rákosí, nebo horce smyslná nahota tančící cikánky. U Mánesa je nahota nejvlasfnější a božsky přirozený oděv člověka. (Bož</w:t>
      </w:r>
      <w:r>
        <w:rPr>
          <w:sz w:val="18"/>
          <w:szCs w:val="18"/>
        </w:rPr>
        <w:t>e, jak to uráželo cit té cudné dobyl Do kvěfů udělal záhlaví, kde kolem žen</w:t>
      </w:r>
      <w:r>
        <w:rPr>
          <w:sz w:val="18"/>
          <w:szCs w:val="18"/>
        </w:rPr>
        <w:softHyphen/>
        <w:t>ské postavy s odhaleným prsem poskakují nevinní naháč</w:t>
      </w:r>
      <w:r>
        <w:rPr>
          <w:sz w:val="18"/>
          <w:szCs w:val="18"/>
        </w:rPr>
        <w:softHyphen/>
        <w:t>kové: na protest čtenářů musela být žena přistrojena a pohlaví těch robátek zakryto.)</w:t>
      </w:r>
    </w:p>
    <w:p w:rsidR="00500724" w:rsidRDefault="00F30FB8">
      <w:pPr>
        <w:pStyle w:val="Zkladntext1"/>
        <w:shd w:val="clear" w:color="auto" w:fill="auto"/>
        <w:spacing w:line="218" w:lineRule="auto"/>
        <w:ind w:firstLine="260"/>
        <w:rPr>
          <w:sz w:val="18"/>
          <w:szCs w:val="18"/>
        </w:rPr>
      </w:pPr>
      <w:r>
        <w:rPr>
          <w:sz w:val="18"/>
          <w:szCs w:val="18"/>
        </w:rPr>
        <w:t>Ne že by Mánes neuměl charakterisoval. I</w:t>
      </w:r>
      <w:r>
        <w:rPr>
          <w:sz w:val="18"/>
          <w:szCs w:val="18"/>
        </w:rPr>
        <w:t xml:space="preserve"> on studuje co nejsvědomitěji lidové kroje a pečlivě, ba pečlivěji než Aleš, kterému stačí často jen jediný pohled, kreslí své modely a připravuje si jejich gesta. Ale </w:t>
      </w:r>
      <w:r>
        <w:rPr>
          <w:b/>
          <w:bCs/>
        </w:rPr>
        <w:t xml:space="preserve">i </w:t>
      </w:r>
      <w:r>
        <w:rPr>
          <w:sz w:val="18"/>
          <w:szCs w:val="18"/>
        </w:rPr>
        <w:t>v nejpodrob</w:t>
      </w:r>
      <w:r>
        <w:rPr>
          <w:sz w:val="18"/>
          <w:szCs w:val="18"/>
        </w:rPr>
        <w:softHyphen/>
        <w:t>nějších náčrtech a přípravných studiích se pozná ideali</w:t>
      </w:r>
      <w:r>
        <w:rPr>
          <w:sz w:val="18"/>
          <w:szCs w:val="18"/>
        </w:rPr>
        <w:softHyphen/>
        <w:t xml:space="preserve">sující sklon jeho </w:t>
      </w:r>
      <w:r>
        <w:rPr>
          <w:sz w:val="18"/>
          <w:szCs w:val="18"/>
        </w:rPr>
        <w:t>čáry, která analysuje a vybírá, či aske</w:t>
      </w:r>
      <w:r>
        <w:rPr>
          <w:sz w:val="18"/>
          <w:szCs w:val="18"/>
        </w:rPr>
        <w:softHyphen/>
        <w:t>ticky zaznamenává a pozorně ohmatává, tam, kde Alšova čára radostně přitakává. Mánes je realistou ze svědomi</w:t>
      </w:r>
      <w:r>
        <w:rPr>
          <w:sz w:val="18"/>
          <w:szCs w:val="18"/>
        </w:rPr>
        <w:softHyphen/>
        <w:t>tosti a z donucení, Aleš je realista spontánní.</w:t>
      </w:r>
    </w:p>
    <w:p w:rsidR="00500724" w:rsidRDefault="00F30FB8">
      <w:pPr>
        <w:pStyle w:val="Zkladntext1"/>
        <w:shd w:val="clear" w:color="auto" w:fill="auto"/>
        <w:spacing w:line="218" w:lineRule="auto"/>
        <w:ind w:firstLine="0"/>
        <w:jc w:val="center"/>
        <w:rPr>
          <w:sz w:val="18"/>
          <w:szCs w:val="18"/>
        </w:rPr>
      </w:pPr>
      <w:r>
        <w:rPr>
          <w:sz w:val="18"/>
          <w:szCs w:val="18"/>
        </w:rPr>
        <w:t>•</w:t>
      </w:r>
    </w:p>
    <w:p w:rsidR="00500724" w:rsidRDefault="00F30FB8">
      <w:pPr>
        <w:pStyle w:val="Zkladntext1"/>
        <w:shd w:val="clear" w:color="auto" w:fill="auto"/>
        <w:spacing w:line="218" w:lineRule="auto"/>
        <w:ind w:firstLine="260"/>
        <w:rPr>
          <w:sz w:val="18"/>
          <w:szCs w:val="18"/>
        </w:rPr>
      </w:pPr>
      <w:r>
        <w:rPr>
          <w:sz w:val="18"/>
          <w:szCs w:val="18"/>
        </w:rPr>
        <w:t xml:space="preserve">Jak divnou úlohu hraje Itálie, zaslíbená země umělců, v </w:t>
      </w:r>
      <w:r>
        <w:rPr>
          <w:sz w:val="18"/>
          <w:szCs w:val="18"/>
        </w:rPr>
        <w:t>životě těchto malířů, jimž bylo souzeno stát se národní</w:t>
      </w:r>
      <w:r>
        <w:rPr>
          <w:sz w:val="18"/>
          <w:szCs w:val="18"/>
        </w:rPr>
        <w:softHyphen/>
        <w:t>mi proroky! Italská cesta spadá do samého sklonku života Mánesova a do prvního rozmachu Alšova mládí. Jednomu ani druhému neposkytla nic umělecky podstatného, ne</w:t>
      </w:r>
      <w:r>
        <w:rPr>
          <w:sz w:val="18"/>
          <w:szCs w:val="18"/>
        </w:rPr>
        <w:softHyphen/>
        <w:t>mohla se stát jejich dílu ani posilou,</w:t>
      </w:r>
      <w:r>
        <w:rPr>
          <w:sz w:val="18"/>
          <w:szCs w:val="18"/>
        </w:rPr>
        <w:t xml:space="preserve"> ani nebezpečím.</w:t>
      </w:r>
    </w:p>
    <w:p w:rsidR="00500724" w:rsidRDefault="00F30FB8">
      <w:pPr>
        <w:pStyle w:val="Zkladntext1"/>
        <w:shd w:val="clear" w:color="auto" w:fill="auto"/>
        <w:spacing w:line="221" w:lineRule="auto"/>
        <w:ind w:firstLine="260"/>
        <w:rPr>
          <w:sz w:val="18"/>
          <w:szCs w:val="18"/>
        </w:rPr>
      </w:pPr>
      <w:r>
        <w:rPr>
          <w:sz w:val="18"/>
          <w:szCs w:val="18"/>
        </w:rPr>
        <w:t>Když Mánes vystudoval na zaostalé pražské akademii, měl dvojí možnost dalšího školení: Rím nebo Mnichov. (Do Paříže se ještě tenkrát od nás nejezdilo.) Jel do Mni</w:t>
      </w:r>
      <w:r>
        <w:rPr>
          <w:sz w:val="18"/>
          <w:szCs w:val="18"/>
        </w:rPr>
        <w:softHyphen/>
        <w:t>chova - snad s úmyslem pokračovat později dál na jih - a pobyl tam tři roky.</w:t>
      </w:r>
      <w:r>
        <w:rPr>
          <w:sz w:val="18"/>
          <w:szCs w:val="18"/>
        </w:rPr>
        <w:t xml:space="preserve"> Vliv, jímž tu nasákl, zanechal snad v jeho díle nějaké stopy, ale událostí umělecky roz</w:t>
      </w:r>
      <w:r>
        <w:rPr>
          <w:sz w:val="18"/>
          <w:szCs w:val="18"/>
        </w:rPr>
        <w:softHyphen/>
        <w:t>hodující bylo pro něho poznání českého venkova. Odtud jeho cesty povedou ne již na západ a na jih, ale na vý</w:t>
      </w:r>
      <w:r>
        <w:rPr>
          <w:sz w:val="18"/>
          <w:szCs w:val="18"/>
        </w:rPr>
        <w:softHyphen/>
        <w:t>chod, až k poslední ruské pouti v r. 67, jíž přísluší už j</w:t>
      </w:r>
      <w:r>
        <w:rPr>
          <w:sz w:val="18"/>
          <w:szCs w:val="18"/>
        </w:rPr>
        <w:t>enom význam symbolický,- je obřadným vyjádřením Mánesovy slovanské víry.</w:t>
      </w:r>
    </w:p>
    <w:p w:rsidR="00500724" w:rsidRDefault="00F30FB8">
      <w:pPr>
        <w:pStyle w:val="Zkladntext1"/>
        <w:shd w:val="clear" w:color="auto" w:fill="auto"/>
        <w:spacing w:line="218" w:lineRule="auto"/>
        <w:ind w:firstLine="260"/>
        <w:rPr>
          <w:sz w:val="18"/>
          <w:szCs w:val="18"/>
        </w:rPr>
      </w:pPr>
      <w:r>
        <w:rPr>
          <w:sz w:val="18"/>
          <w:szCs w:val="18"/>
        </w:rPr>
        <w:t>A teprve potom poznal Itálii, po Moskvě Rím, již jen jak troska umělce i člověka. Poslali ho tam přátelé v na</w:t>
      </w:r>
      <w:r>
        <w:rPr>
          <w:sz w:val="18"/>
          <w:szCs w:val="18"/>
        </w:rPr>
        <w:softHyphen/>
        <w:t>ději, že se tam vyléčí ze své duševní poruchy. Zatím se z cesty léčebné s</w:t>
      </w:r>
      <w:r>
        <w:rPr>
          <w:sz w:val="18"/>
          <w:szCs w:val="18"/>
        </w:rPr>
        <w:t>tala cesta vražedná. Jeho často zmatené dcpisy, jež odtud posílá, jsou krutou četbou. Rozvrácený, strádající a okrádaný nelidskými šejdíři, přece má ještě několik jasnějších chvilek. Nadšen klesá na kolena v Sixti- ně, jindy zas pozoruje zpovzdálečí německ</w:t>
      </w:r>
      <w:r>
        <w:rPr>
          <w:sz w:val="18"/>
          <w:szCs w:val="18"/>
        </w:rPr>
        <w:t>ou malířskou kolonii v Římě, kde avšechno žije jen imitací®, a zase touží po Paříži (kam už ho to ostatně táhlo skoro před dvacíti lety): a Cítím, že se zcela hodím do Paříže, mám jako Fran</w:t>
      </w:r>
      <w:r>
        <w:rPr>
          <w:sz w:val="18"/>
          <w:szCs w:val="18"/>
        </w:rPr>
        <w:softHyphen/>
        <w:t>couzi rychlé a pohyblivé myšlenky.® Ale jinak jsou jeho dopisy dlo</w:t>
      </w:r>
      <w:r>
        <w:rPr>
          <w:sz w:val="18"/>
          <w:szCs w:val="18"/>
        </w:rPr>
        <w:t>uhou řadou nářků a zoufalých výkřiků, až k to</w:t>
      </w:r>
      <w:r>
        <w:rPr>
          <w:sz w:val="18"/>
          <w:szCs w:val="18"/>
        </w:rPr>
        <w:softHyphen/>
        <w:t>mu strašnému: sBůh mě opustil - teď mě opouštějí i moji bližní.® Fontána di Trevi, nad kterou bydlí, lhostejně šumí do jeho šílenství; a na ulici před ní se také odehraje kata</w:t>
      </w:r>
      <w:r>
        <w:rPr>
          <w:sz w:val="18"/>
          <w:szCs w:val="18"/>
        </w:rPr>
        <w:softHyphen/>
        <w:t xml:space="preserve">strofa poslední. </w:t>
      </w:r>
      <w:r>
        <w:rPr>
          <w:sz w:val="18"/>
          <w:szCs w:val="18"/>
          <w:lang w:val="en-US" w:eastAsia="en-US" w:bidi="en-US"/>
        </w:rPr>
        <w:t xml:space="preserve">Amalie, </w:t>
      </w:r>
      <w:r>
        <w:rPr>
          <w:sz w:val="18"/>
          <w:szCs w:val="18"/>
        </w:rPr>
        <w:t xml:space="preserve">která si </w:t>
      </w:r>
      <w:r>
        <w:rPr>
          <w:sz w:val="18"/>
          <w:szCs w:val="18"/>
        </w:rPr>
        <w:t>pro něho přijela, se pří vzpomínce na ni hrůzou otřásá, kdykoli slyší později zmínku o Itálii.</w:t>
      </w:r>
    </w:p>
    <w:p w:rsidR="00500724" w:rsidRDefault="00F30FB8">
      <w:pPr>
        <w:pStyle w:val="Zkladntext1"/>
        <w:shd w:val="clear" w:color="auto" w:fill="auto"/>
        <w:spacing w:line="218" w:lineRule="auto"/>
        <w:ind w:firstLine="260"/>
        <w:rPr>
          <w:sz w:val="18"/>
          <w:szCs w:val="18"/>
        </w:rPr>
      </w:pPr>
      <w:r>
        <w:rPr>
          <w:sz w:val="18"/>
          <w:szCs w:val="18"/>
        </w:rPr>
        <w:t>Po devíti letech se vypraví do Itálie Aleš na přání sta</w:t>
      </w:r>
      <w:r>
        <w:rPr>
          <w:sz w:val="18"/>
          <w:szCs w:val="18"/>
        </w:rPr>
        <w:softHyphen/>
        <w:t>vebního výboru Národního divadla, aby se tam zvelebil v uměleckém názoru a freskové technice. Pobude si t</w:t>
      </w:r>
      <w:r>
        <w:rPr>
          <w:sz w:val="18"/>
          <w:szCs w:val="18"/>
        </w:rPr>
        <w:t>am asi měsíc v letním vedru. V bujarých dopisech, jež píše svému příznivci Brandejsovi, nadává na to vedro a na Taliány.</w:t>
      </w:r>
    </w:p>
    <w:p w:rsidR="00500724" w:rsidRDefault="00F30FB8">
      <w:pPr>
        <w:pStyle w:val="Zkladntext1"/>
        <w:shd w:val="clear" w:color="auto" w:fill="auto"/>
        <w:spacing w:line="218" w:lineRule="auto"/>
        <w:ind w:firstLine="260"/>
        <w:rPr>
          <w:sz w:val="18"/>
          <w:szCs w:val="18"/>
        </w:rPr>
      </w:pPr>
      <w:r>
        <w:rPr>
          <w:sz w:val="18"/>
          <w:szCs w:val="18"/>
        </w:rPr>
        <w:t>Stýská se mu po Čechách a hlavně po nevěstě, chodí sice do kostelů a obrazáren, ale stejně rád se prochází po ulicích, vysedává v hospo</w:t>
      </w:r>
      <w:r>
        <w:rPr>
          <w:sz w:val="18"/>
          <w:szCs w:val="18"/>
        </w:rPr>
        <w:t>dách a pozoruje živě vše</w:t>
      </w:r>
      <w:r>
        <w:rPr>
          <w:sz w:val="18"/>
          <w:szCs w:val="18"/>
        </w:rPr>
        <w:softHyphen/>
        <w:t>chno kolem sebe. Potěšme se úryvkem jednoho jeho psa</w:t>
      </w:r>
      <w:r>
        <w:rPr>
          <w:sz w:val="18"/>
          <w:szCs w:val="18"/>
        </w:rPr>
        <w:softHyphen/>
        <w:t>ní a představme si v tomto duchu celé jeho italské pu</w:t>
      </w:r>
      <w:r>
        <w:rPr>
          <w:sz w:val="18"/>
          <w:szCs w:val="18"/>
        </w:rPr>
        <w:softHyphen/>
        <w:t>tování:</w:t>
      </w:r>
    </w:p>
    <w:p w:rsidR="00500724" w:rsidRDefault="00F30FB8">
      <w:pPr>
        <w:pStyle w:val="Zkladntext1"/>
        <w:shd w:val="clear" w:color="auto" w:fill="auto"/>
        <w:spacing w:line="218" w:lineRule="auto"/>
        <w:ind w:firstLine="260"/>
        <w:rPr>
          <w:sz w:val="18"/>
          <w:szCs w:val="18"/>
        </w:rPr>
      </w:pPr>
      <w:r>
        <w:rPr>
          <w:sz w:val="18"/>
          <w:szCs w:val="18"/>
        </w:rPr>
        <w:t>sVosfafně tuhdas v jedné kavárně jsem se sešel s 2ma mouřeníny — a ejhle jeden láme češtinu, je černej jak viks a zp</w:t>
      </w:r>
      <w:r>
        <w:rPr>
          <w:sz w:val="18"/>
          <w:szCs w:val="18"/>
        </w:rPr>
        <w:t>ívá si jim ta potvora »žežulička kuká«, byl totiž u hraběte Šlika v Kopidlně. Tak jsme se zkama- rádili, takže mě si nechal dělat z jeho tabáku cigareta.®</w:t>
      </w:r>
    </w:p>
    <w:p w:rsidR="00500724" w:rsidRDefault="00F30FB8">
      <w:pPr>
        <w:pStyle w:val="Zkladntext1"/>
        <w:shd w:val="clear" w:color="auto" w:fill="auto"/>
        <w:spacing w:line="218" w:lineRule="auto"/>
        <w:ind w:firstLine="260"/>
        <w:rPr>
          <w:sz w:val="18"/>
          <w:szCs w:val="18"/>
        </w:rPr>
      </w:pPr>
      <w:r>
        <w:rPr>
          <w:sz w:val="18"/>
          <w:szCs w:val="18"/>
        </w:rPr>
        <w:t>A íak se vrací z Itálie takový, jaký tam přijel. Nikdy víc už neopustí domov.</w:t>
      </w:r>
    </w:p>
    <w:p w:rsidR="00500724" w:rsidRDefault="00F30FB8">
      <w:pPr>
        <w:pStyle w:val="Zkladntext1"/>
        <w:shd w:val="clear" w:color="auto" w:fill="auto"/>
        <w:spacing w:after="140" w:line="223" w:lineRule="auto"/>
        <w:ind w:firstLine="260"/>
        <w:rPr>
          <w:sz w:val="18"/>
          <w:szCs w:val="18"/>
        </w:rPr>
      </w:pPr>
      <w:r>
        <w:rPr>
          <w:sz w:val="18"/>
          <w:szCs w:val="18"/>
        </w:rPr>
        <w:t>Dal by se z tohoto přík</w:t>
      </w:r>
      <w:r>
        <w:rPr>
          <w:sz w:val="18"/>
          <w:szCs w:val="18"/>
        </w:rPr>
        <w:t>ladu odvodit recept na zaru</w:t>
      </w:r>
      <w:r>
        <w:rPr>
          <w:sz w:val="18"/>
          <w:szCs w:val="18"/>
        </w:rPr>
        <w:softHyphen/>
        <w:t>čené ryzí domácí umění, který by zněl: Seď, malíři, doma, a nešilhej mi po cizině? Podobně aspoň doporučoval Cico spisovatelům neučit se cizím řečem, aby uchránili čistotu své vlastní (a sám ovšem, neuměje než italsky, psal špat</w:t>
      </w:r>
      <w:r>
        <w:rPr>
          <w:sz w:val="18"/>
          <w:szCs w:val="18"/>
        </w:rPr>
        <w:t>ně). Bylo by to pravidlo možná nepředložené, ale při nejmenším nespolehlivé a příliš prostinké.</w:t>
      </w:r>
    </w:p>
    <w:p w:rsidR="00500724" w:rsidRDefault="00F30FB8">
      <w:pPr>
        <w:pStyle w:val="Zkladntext1"/>
        <w:shd w:val="clear" w:color="auto" w:fill="auto"/>
        <w:spacing w:after="80" w:line="218" w:lineRule="auto"/>
        <w:ind w:firstLine="0"/>
        <w:jc w:val="center"/>
        <w:rPr>
          <w:sz w:val="18"/>
          <w:szCs w:val="18"/>
        </w:rPr>
      </w:pPr>
      <w:r>
        <w:rPr>
          <w:sz w:val="18"/>
          <w:szCs w:val="18"/>
        </w:rPr>
        <w:t>Jednoduše půjdu cestou Mánesovou</w:t>
      </w:r>
    </w:p>
    <w:p w:rsidR="00500724" w:rsidRDefault="00F30FB8">
      <w:pPr>
        <w:pStyle w:val="Zkladntext1"/>
        <w:shd w:val="clear" w:color="auto" w:fill="auto"/>
        <w:spacing w:line="223" w:lineRule="auto"/>
        <w:ind w:firstLine="260"/>
        <w:rPr>
          <w:sz w:val="18"/>
          <w:szCs w:val="18"/>
        </w:rPr>
      </w:pPr>
      <w:r>
        <w:rPr>
          <w:sz w:val="18"/>
          <w:szCs w:val="18"/>
        </w:rPr>
        <w:t>Těžko si dnes představíme, že Mánesovo dílo, jemuž národ už dlouho splácí lásku, kterou bylo vykoupeno, se setkalo u svých souč</w:t>
      </w:r>
      <w:r>
        <w:rPr>
          <w:sz w:val="18"/>
          <w:szCs w:val="18"/>
        </w:rPr>
        <w:t>asníků s neporozuměním. Málo bylo těch, kteří je poznali a přivítali včas. V r. 1860, když vyjde skvostné vydání Rukopisů, přihlásí se v Praze vše</w:t>
      </w:r>
      <w:r>
        <w:rPr>
          <w:sz w:val="18"/>
          <w:szCs w:val="18"/>
        </w:rPr>
        <w:softHyphen/>
        <w:t>ho všudy pět odběratelů — a podnik zajde hned v počát</w:t>
      </w:r>
      <w:r>
        <w:rPr>
          <w:sz w:val="18"/>
          <w:szCs w:val="18"/>
        </w:rPr>
        <w:softHyphen/>
        <w:t xml:space="preserve">ku. Tři léta po Mánesově smrti rozdává F. Skrejšovský, </w:t>
      </w:r>
      <w:r>
        <w:rPr>
          <w:sz w:val="18"/>
          <w:szCs w:val="18"/>
        </w:rPr>
        <w:t>redaktor Svěíozora, svým čtenářům reprodukci Mánesovy Hudby pohřební. A poslechněme si jeho samého, pro</w:t>
      </w:r>
      <w:r>
        <w:rPr>
          <w:sz w:val="18"/>
          <w:szCs w:val="18"/>
        </w:rPr>
        <w:softHyphen/>
        <w:t>tože jinak by se nám nechtělo věřit.</w:t>
      </w:r>
    </w:p>
    <w:p w:rsidR="00500724" w:rsidRDefault="00F30FB8">
      <w:pPr>
        <w:pStyle w:val="Zkladntext1"/>
        <w:shd w:val="clear" w:color="auto" w:fill="auto"/>
        <w:spacing w:line="223" w:lineRule="auto"/>
        <w:ind w:firstLine="260"/>
        <w:rPr>
          <w:sz w:val="18"/>
          <w:szCs w:val="18"/>
        </w:rPr>
      </w:pPr>
      <w:r>
        <w:rPr>
          <w:sz w:val="18"/>
          <w:szCs w:val="18"/>
        </w:rPr>
        <w:t>»A obrazem tímto klasickým nezavděčil jsem se obe</w:t>
      </w:r>
      <w:r>
        <w:rPr>
          <w:sz w:val="18"/>
          <w:szCs w:val="18"/>
        </w:rPr>
        <w:softHyphen/>
        <w:t>censtvu, ba z mnohých, arciť nepovolaných stran, dostalo se mi vý</w:t>
      </w:r>
      <w:r>
        <w:rPr>
          <w:sz w:val="18"/>
          <w:szCs w:val="18"/>
        </w:rPr>
        <w:t>čitek a hany,- ba z několika stran vrácen mně byl tento obraz - zadarmo jako prémie dávaný.«</w:t>
      </w:r>
    </w:p>
    <w:p w:rsidR="00500724" w:rsidRDefault="00F30FB8">
      <w:pPr>
        <w:pStyle w:val="Zkladntext1"/>
        <w:shd w:val="clear" w:color="auto" w:fill="auto"/>
        <w:spacing w:line="223" w:lineRule="auto"/>
        <w:ind w:firstLine="260"/>
        <w:rPr>
          <w:sz w:val="18"/>
          <w:szCs w:val="18"/>
        </w:rPr>
      </w:pPr>
      <w:r>
        <w:rPr>
          <w:sz w:val="18"/>
          <w:szCs w:val="18"/>
        </w:rPr>
        <w:t>Ale Mánesovo umění má už přec jen hlouček svých vyznavačů,- je mezi nimi Neruda a Tyrš. A brzy se jeho jméno stane přímo uměleckým programem, sdružujíc jako korouh</w:t>
      </w:r>
      <w:r>
        <w:rPr>
          <w:sz w:val="18"/>
          <w:szCs w:val="18"/>
        </w:rPr>
        <w:t>ev t. zv. generaci Národního divadla. Aleš si řekne hned s počátku a jasně: i Jednoduše půjdu cestou Mánesovou® a jde jí jako věrný žák po vlastním sklonu své povahy. Zeníšek, jeho hýčkaný přítel a sok, až příliš přeslazuje Mánesovskou něhu, až příliš vyhl</w:t>
      </w:r>
      <w:r>
        <w:rPr>
          <w:sz w:val="18"/>
          <w:szCs w:val="18"/>
        </w:rPr>
        <w:t>azuje oblost jeho linie. (A proč ne? Vždyť obecenstvo tleskalo a v salonech se to líbí. Jdi se schovat, Alši, se svou škare</w:t>
      </w:r>
      <w:r>
        <w:rPr>
          <w:sz w:val="18"/>
          <w:szCs w:val="18"/>
        </w:rPr>
        <w:softHyphen/>
        <w:t>dou a zadrchanou čarou!) Za Mánesem jde Tulka i mladý Myslbek. Tak duch Mánesův se setkává na jednom místě s duchem Smetanovým a děl</w:t>
      </w:r>
      <w:r>
        <w:rPr>
          <w:sz w:val="18"/>
          <w:szCs w:val="18"/>
        </w:rPr>
        <w:t>í se s ním o vládu nad domem umění, jak s bratrem královský bratr. Mánesovská tradice žije dál. Zjevně a vědomě v ní pokračuje Švabin- ský; rozvíjí kouzlo Mánesových žen, jeho smyslnost trochu sentimentální stupňuje do nezakrytého paganismu. Zůstane Svabin</w:t>
      </w:r>
      <w:r>
        <w:rPr>
          <w:sz w:val="18"/>
          <w:szCs w:val="18"/>
        </w:rPr>
        <w:t>ský posledním přímým dědicem Máneso</w:t>
      </w:r>
      <w:r>
        <w:rPr>
          <w:sz w:val="18"/>
          <w:szCs w:val="18"/>
        </w:rPr>
        <w:softHyphen/>
        <w:t>vým? S Mánesovskými ozvuky se ovšem setkáváme i jinde, i tam, kde bychom se toho nejmíň nadáli; Mánes nám už prostě přešel do krve.</w:t>
      </w:r>
    </w:p>
    <w:p w:rsidR="00500724" w:rsidRDefault="00F30FB8">
      <w:pPr>
        <w:pStyle w:val="Zkladntext1"/>
        <w:shd w:val="clear" w:color="auto" w:fill="auto"/>
        <w:spacing w:line="223" w:lineRule="auto"/>
        <w:ind w:firstLine="260"/>
        <w:rPr>
          <w:sz w:val="18"/>
          <w:szCs w:val="18"/>
        </w:rPr>
      </w:pPr>
      <w:r>
        <w:rPr>
          <w:sz w:val="18"/>
          <w:szCs w:val="18"/>
        </w:rPr>
        <w:t xml:space="preserve">A může vůbec dnes ještě platit heslo Alšovo? Je to tak jednoduché, jít dnes cestou </w:t>
      </w:r>
      <w:r>
        <w:rPr>
          <w:sz w:val="18"/>
          <w:szCs w:val="18"/>
        </w:rPr>
        <w:t>Mánesovou? Jisto je, že to není jediná možná cesta českého malířství.</w:t>
      </w:r>
    </w:p>
    <w:p w:rsidR="00500724" w:rsidRDefault="00F30FB8">
      <w:pPr>
        <w:pStyle w:val="Zkladntext1"/>
        <w:shd w:val="clear" w:color="auto" w:fill="auto"/>
        <w:spacing w:line="223" w:lineRule="auto"/>
        <w:ind w:firstLine="260"/>
        <w:rPr>
          <w:sz w:val="18"/>
          <w:szCs w:val="18"/>
        </w:rPr>
      </w:pPr>
      <w:r>
        <w:rPr>
          <w:sz w:val="18"/>
          <w:szCs w:val="18"/>
        </w:rPr>
        <w:t>Vedle Mánesa a současně s ním jsou tu Josef Navrátil a Karel Purkyně. Českost těchto malířů je méně nápadná, neboť u nich nenajdete národní kroje a tak, ale malují-ii paštiku a cibuli, j</w:t>
      </w:r>
      <w:r>
        <w:rPr>
          <w:sz w:val="18"/>
          <w:szCs w:val="18"/>
        </w:rPr>
        <w:t>sou proto opravdu málo čeští? Jejich dílo nic nehlásá a nechce hlásat, je samo v sobě uzavře</w:t>
      </w:r>
      <w:r>
        <w:rPr>
          <w:sz w:val="18"/>
          <w:szCs w:val="18"/>
        </w:rPr>
        <w:softHyphen/>
        <w:t>né a tiše zahleděné v krásu prostých věcí. Češství mu není programem a látkou, a přece se stává národním svou poctivostí a kvalitou i výrazem bytostných národ</w:t>
      </w:r>
      <w:r>
        <w:rPr>
          <w:sz w:val="18"/>
          <w:szCs w:val="18"/>
        </w:rPr>
        <w:softHyphen/>
        <w:t>ních</w:t>
      </w:r>
      <w:r>
        <w:rPr>
          <w:sz w:val="18"/>
          <w:szCs w:val="18"/>
        </w:rPr>
        <w:t xml:space="preserve"> sklonů. Tato dvě jména naznačují jinou dráhu naši tradice, rýsují směr, v němž leží závažná část naší umě</w:t>
      </w:r>
      <w:r>
        <w:rPr>
          <w:sz w:val="18"/>
          <w:szCs w:val="18"/>
        </w:rPr>
        <w:softHyphen/>
        <w:t>lecké produkce až po tvorbu nejnovější. Samozvaní lékaři našeho umění nepochodí asi příliš u malířů se svými radami: Malujte české náměty, českou kra</w:t>
      </w:r>
      <w:r>
        <w:rPr>
          <w:sz w:val="18"/>
          <w:szCs w:val="18"/>
        </w:rPr>
        <w:t>jinu, český lidi Co je české, to je hezké. Ne, fak prostě to není. Chce</w:t>
      </w:r>
      <w:r>
        <w:rPr>
          <w:sz w:val="18"/>
          <w:szCs w:val="18"/>
        </w:rPr>
        <w:softHyphen/>
        <w:t>me-li se už spokojit s banalitou tohoto hesla, obraťme je aspoň: Musí to být hezké, aby to bylo české. To jest, přiznáme charakter národního umění jen tvorbě umělecky ryzí.</w:t>
      </w:r>
    </w:p>
    <w:p w:rsidR="00500724" w:rsidRDefault="00F30FB8">
      <w:pPr>
        <w:pStyle w:val="Zkladntext1"/>
        <w:shd w:val="clear" w:color="auto" w:fill="auto"/>
        <w:spacing w:after="40" w:line="223" w:lineRule="auto"/>
        <w:ind w:firstLine="260"/>
        <w:rPr>
          <w:sz w:val="18"/>
          <w:szCs w:val="18"/>
        </w:rPr>
      </w:pPr>
      <w:r>
        <w:rPr>
          <w:sz w:val="18"/>
          <w:szCs w:val="18"/>
        </w:rPr>
        <w:t>Mánes a Ale</w:t>
      </w:r>
      <w:r>
        <w:rPr>
          <w:sz w:val="18"/>
          <w:szCs w:val="18"/>
        </w:rPr>
        <w:t>š jsou nám ze všech našich malířů nej</w:t>
      </w:r>
      <w:r>
        <w:rPr>
          <w:sz w:val="18"/>
          <w:szCs w:val="18"/>
        </w:rPr>
        <w:softHyphen/>
        <w:t>bližší v dobách zlých. Ne proto, že zpodobňují český lid - ale proto, že se u nich v malířský tvar vtělila samotná láska k vlasti. Jen proto, že dovedli namalovat tuto lásku, zní nám jejich češství jako zvon.</w:t>
      </w:r>
    </w:p>
    <w:p w:rsidR="00500724" w:rsidRDefault="00F30FB8">
      <w:pPr>
        <w:pStyle w:val="Jin0"/>
        <w:pBdr>
          <w:bottom w:val="single" w:sz="4" w:space="0" w:color="auto"/>
        </w:pBdr>
        <w:shd w:val="clear" w:color="auto" w:fill="auto"/>
        <w:spacing w:after="140" w:line="223" w:lineRule="auto"/>
        <w:ind w:firstLine="0"/>
        <w:jc w:val="left"/>
        <w:rPr>
          <w:sz w:val="44"/>
          <w:szCs w:val="44"/>
        </w:rPr>
      </w:pPr>
      <w:r>
        <w:rPr>
          <w:b/>
          <w:bCs/>
          <w:sz w:val="44"/>
          <w:szCs w:val="44"/>
        </w:rPr>
        <w:t>doba a li</w:t>
      </w:r>
      <w:r>
        <w:rPr>
          <w:b/>
          <w:bCs/>
          <w:sz w:val="44"/>
          <w:szCs w:val="44"/>
        </w:rPr>
        <w:t>dé</w:t>
      </w:r>
    </w:p>
    <w:p w:rsidR="00500724" w:rsidRDefault="00F30FB8">
      <w:pPr>
        <w:pStyle w:val="Zkladntext1"/>
        <w:shd w:val="clear" w:color="auto" w:fill="auto"/>
        <w:spacing w:after="40" w:line="226" w:lineRule="auto"/>
        <w:ind w:firstLine="0"/>
        <w:rPr>
          <w:sz w:val="20"/>
          <w:szCs w:val="20"/>
        </w:rPr>
      </w:pPr>
      <w:r>
        <w:rPr>
          <w:i/>
          <w:iCs/>
          <w:sz w:val="20"/>
          <w:szCs w:val="20"/>
        </w:rPr>
        <w:t>Josef P etrt yl:</w:t>
      </w:r>
    </w:p>
    <w:p w:rsidR="00500724" w:rsidRDefault="00F30FB8">
      <w:pPr>
        <w:pStyle w:val="Nadpis100"/>
        <w:shd w:val="clear" w:color="auto" w:fill="auto"/>
        <w:spacing w:line="240" w:lineRule="auto"/>
      </w:pPr>
      <w:bookmarkStart w:id="746" w:name="bookmark745"/>
      <w:r>
        <w:t>Doporučování knih</w:t>
      </w:r>
      <w:bookmarkEnd w:id="746"/>
    </w:p>
    <w:p w:rsidR="00500724" w:rsidRDefault="00F30FB8">
      <w:pPr>
        <w:pStyle w:val="Zkladntext30"/>
        <w:shd w:val="clear" w:color="auto" w:fill="auto"/>
        <w:spacing w:after="0" w:line="206" w:lineRule="auto"/>
      </w:pPr>
      <w:r>
        <w:t>Umění tvoří jedinec, dav jen konsumuje, bylo kdesi řečeno. Výrobce — konsument. Jenže v každém hospo</w:t>
      </w:r>
      <w:r>
        <w:softHyphen/>
        <w:t xml:space="preserve">dářském procesu je vždycky mezi okrajovými činiteli nějaký prostředkovatel. Kniha je také zboží. Davu se musí kniha </w:t>
      </w:r>
      <w:r>
        <w:t>doporučit. Psát knihy znamená prodávat knihy.</w:t>
      </w:r>
    </w:p>
    <w:p w:rsidR="00500724" w:rsidRDefault="00F30FB8">
      <w:pPr>
        <w:pStyle w:val="Zkladntext30"/>
        <w:shd w:val="clear" w:color="auto" w:fill="auto"/>
        <w:spacing w:after="0" w:line="180" w:lineRule="auto"/>
        <w:rPr>
          <w:sz w:val="20"/>
          <w:szCs w:val="20"/>
        </w:rPr>
      </w:pPr>
      <w:r>
        <w:rPr>
          <w:sz w:val="20"/>
          <w:szCs w:val="20"/>
        </w:rPr>
        <w:t>»Konvalinka pod smrkem«, jak dosvědčují tisíce čtenářů, řadí se čestně mezi nejpoutavější a nejpoučnější díla, jaká kdy byla napsána. Cena díla o 300 stranách je mimořádně nízká...</w:t>
      </w:r>
    </w:p>
    <w:p w:rsidR="00500724" w:rsidRDefault="00F30FB8">
      <w:pPr>
        <w:pStyle w:val="Zkladntext30"/>
        <w:shd w:val="clear" w:color="auto" w:fill="auto"/>
        <w:spacing w:after="0" w:line="204" w:lineRule="auto"/>
      </w:pPr>
      <w:r>
        <w:t xml:space="preserve">Podobně a v různých obměnách </w:t>
      </w:r>
      <w:r>
        <w:t>čteme na záložkách knih, v inserátech novinářských a hlavně v knižních cenících. Tyto charakteristiky nepatří sice do litera</w:t>
      </w:r>
      <w:r>
        <w:softHyphen/>
        <w:t>tury, ale je třeba si jich všímat. Jsou někdy obměnou referátů, ba od nich nerozeznatelné, či parafrázují li</w:t>
      </w:r>
      <w:r>
        <w:softHyphen/>
        <w:t>terární dílo a jeví do</w:t>
      </w:r>
      <w:r>
        <w:t>konce znaky a úmysly autorovy.</w:t>
      </w:r>
    </w:p>
    <w:p w:rsidR="00500724" w:rsidRDefault="00F30FB8">
      <w:pPr>
        <w:pStyle w:val="Zkladntext30"/>
        <w:shd w:val="clear" w:color="auto" w:fill="auto"/>
        <w:spacing w:line="204" w:lineRule="auto"/>
        <w:sectPr w:rsidR="00500724">
          <w:footnotePr>
            <w:numFmt w:val="chicago"/>
            <w:numRestart w:val="eachPage"/>
          </w:footnotePr>
          <w:type w:val="continuous"/>
          <w:pgSz w:w="11909" w:h="16834"/>
          <w:pgMar w:top="571" w:right="1015" w:bottom="399" w:left="484" w:header="0" w:footer="3" w:gutter="0"/>
          <w:cols w:num="2" w:space="110"/>
          <w:noEndnote/>
          <w:docGrid w:linePitch="360"/>
        </w:sectPr>
      </w:pPr>
      <w:r>
        <w:t>Základním rysem vydavatelských recensí je kladný postoj ke kritisovanému či spíše doporučovanému dílu, a to bez výhrady. Jen výjimečně — v případech zvláště rafinovaných — vsune se lehká výtka, n</w:t>
      </w:r>
      <w:r>
        <w:t>e</w:t>
      </w:r>
      <w:r>
        <w:softHyphen/>
        <w:t>škodná poznámka, jež se však ihned vyvrátí: ... že sice ... nicméně však ... S hlediska propagační mo</w:t>
      </w:r>
      <w:r>
        <w:softHyphen/>
        <w:t>rálky nelze ani tu nic vytknout, pokud věc zůstává průhledná, to jest nikým nepodepsaná, byť umně na</w:t>
      </w:r>
      <w:r>
        <w:softHyphen/>
        <w:t>psaná chvála nadměrně vyvyšující klady díla a kon-</w:t>
      </w:r>
    </w:p>
    <w:p w:rsidR="00500724" w:rsidRDefault="00F30FB8">
      <w:pPr>
        <w:pStyle w:val="Zkladntext30"/>
        <w:shd w:val="clear" w:color="auto" w:fill="auto"/>
        <w:spacing w:after="0" w:line="211" w:lineRule="auto"/>
        <w:ind w:firstLine="0"/>
        <w:jc w:val="left"/>
      </w:pPr>
      <w:r>
        <w:t>statující, že právě touto prací autor dosáhl vrcholu.</w:t>
      </w:r>
    </w:p>
    <w:p w:rsidR="00500724" w:rsidRDefault="00F30FB8">
      <w:pPr>
        <w:pStyle w:val="Zkladntext30"/>
        <w:shd w:val="clear" w:color="auto" w:fill="auto"/>
        <w:spacing w:after="0" w:line="211" w:lineRule="auto"/>
        <w:ind w:firstLine="240"/>
      </w:pPr>
      <w:r>
        <w:t>To je další znak doporučujících recensí. Kdyby autor vydal čtyřicet svazků, v každém sama sebe pře</w:t>
      </w:r>
      <w:r>
        <w:softHyphen/>
        <w:t>konává.</w:t>
      </w:r>
    </w:p>
    <w:p w:rsidR="00500724" w:rsidRDefault="00F30FB8">
      <w:pPr>
        <w:pStyle w:val="Zkladntext30"/>
        <w:shd w:val="clear" w:color="auto" w:fill="auto"/>
        <w:spacing w:after="0" w:line="180" w:lineRule="auto"/>
        <w:ind w:firstLine="240"/>
        <w:rPr>
          <w:sz w:val="20"/>
          <w:szCs w:val="20"/>
        </w:rPr>
      </w:pPr>
      <w:r>
        <w:rPr>
          <w:sz w:val="20"/>
          <w:szCs w:val="20"/>
        </w:rPr>
        <w:t xml:space="preserve">Když spisovatelka napsala čtyřdílný román »Zklamaná duše ženy«, který v mnohatisícovém nákladu </w:t>
      </w:r>
      <w:r>
        <w:rPr>
          <w:sz w:val="20"/>
          <w:szCs w:val="20"/>
        </w:rPr>
        <w:t>byl rozeslán do světa a úplně rqzebrán, byli čtenáři a její ctitelé pře</w:t>
      </w:r>
      <w:r>
        <w:rPr>
          <w:sz w:val="20"/>
          <w:szCs w:val="20"/>
        </w:rPr>
        <w:softHyphen/>
        <w:t>svědčeni, že není snad již možno, aby z jejího pera vyšlo ještě něco úchvatnějšího a napínavějšího. Mýlili se však! Svým dalším románem prokázala úžasnou tvořivost a dnes máme tisíce d</w:t>
      </w:r>
      <w:r>
        <w:rPr>
          <w:sz w:val="20"/>
          <w:szCs w:val="20"/>
        </w:rPr>
        <w:t>opisů, ve kterých čtenáři nadšeně a jedno</w:t>
      </w:r>
      <w:r>
        <w:rPr>
          <w:sz w:val="20"/>
          <w:szCs w:val="20"/>
        </w:rPr>
        <w:softHyphen/>
        <w:t>hlasně dokazují, že jím překonala všechna díla dosavadní a že dlužno je řaditi mezi nejkrásnější, jež vůbec v české tvorbě byla vydána.</w:t>
      </w:r>
    </w:p>
    <w:p w:rsidR="00500724" w:rsidRDefault="00F30FB8">
      <w:pPr>
        <w:pStyle w:val="Zkladntext30"/>
        <w:shd w:val="clear" w:color="auto" w:fill="auto"/>
        <w:spacing w:after="0" w:line="206" w:lineRule="auto"/>
        <w:ind w:firstLine="240"/>
      </w:pPr>
      <w:r>
        <w:t>Doporučení ve formě recensí je třeba psáti přede</w:t>
      </w:r>
      <w:r>
        <w:softHyphen/>
        <w:t>vším záživně. Je nutno napově</w:t>
      </w:r>
      <w:r>
        <w:t>dít děj, nejlépe napína</w:t>
      </w:r>
      <w:r>
        <w:softHyphen/>
        <w:t>vým, přitažlivým způsobem, a ocenit formální nebo psychologickou stránku i jedinečnost díla. Hledání stručné formy není věcí snadnou, což poznáváme po</w:t>
      </w:r>
      <w:r>
        <w:softHyphen/>
        <w:t>dle křečovité, učenecké nebo filosofické hutnoty pro- referátů.</w:t>
      </w:r>
    </w:p>
    <w:p w:rsidR="00500724" w:rsidRDefault="00F30FB8">
      <w:pPr>
        <w:pStyle w:val="Zkladntext30"/>
        <w:shd w:val="clear" w:color="auto" w:fill="auto"/>
        <w:spacing w:after="0" w:line="204" w:lineRule="auto"/>
        <w:ind w:firstLine="240"/>
      </w:pPr>
      <w:r>
        <w:t>Ale zdrcující vět</w:t>
      </w:r>
      <w:r>
        <w:t>šinou se neliší doporučování knih od reklam mýdla nebo cikorky, až na vtipné, ironické obměny běžných reklamních hesel: Když Večery — tak na slamníku! Nezval jednou — Nezval vždycky!</w:t>
      </w:r>
    </w:p>
    <w:p w:rsidR="00500724" w:rsidRDefault="00F30FB8">
      <w:pPr>
        <w:pStyle w:val="Zkladntext30"/>
        <w:shd w:val="clear" w:color="auto" w:fill="auto"/>
        <w:spacing w:after="0" w:line="204" w:lineRule="auto"/>
        <w:ind w:firstLine="240"/>
      </w:pPr>
      <w:r>
        <w:t>Často se rozvádí jen lákavý titul — Čistá láska ví</w:t>
      </w:r>
      <w:r>
        <w:softHyphen/>
        <w:t>tězí — Když se dva v l</w:t>
      </w:r>
      <w:r>
        <w:t>ásce sejdou — Bez tebe mi nelze žít — Koho nezranila láska? — Láska je hří</w:t>
      </w:r>
      <w:r>
        <w:softHyphen/>
        <w:t>chem mým — Vražda o půlnoci — Vila smrti — Zlo</w:t>
      </w:r>
      <w:r>
        <w:softHyphen/>
        <w:t>čin ve spacím vagoně — Muž temna — protože tyto názvy knih slibují napínavý obsah a sotva lze psát něco působivějšího.</w:t>
      </w:r>
    </w:p>
    <w:p w:rsidR="00500724" w:rsidRDefault="00F30FB8">
      <w:pPr>
        <w:pStyle w:val="Zkladntext30"/>
        <w:shd w:val="clear" w:color="auto" w:fill="auto"/>
        <w:spacing w:after="0" w:line="206" w:lineRule="auto"/>
        <w:ind w:firstLine="240"/>
      </w:pPr>
      <w:r>
        <w:t>Než kniha vyjde</w:t>
      </w:r>
      <w:r>
        <w:t>, uveřejní se rozsáhlý interview s autorem na téma: Jak jsem se dostal k peru? — Když jsem byla malým děckem — Jak vznikla myšlen</w:t>
      </w:r>
      <w:r>
        <w:softHyphen/>
        <w:t>ka Horoucích lásek?</w:t>
      </w:r>
    </w:p>
    <w:p w:rsidR="00500724" w:rsidRDefault="00F30FB8">
      <w:pPr>
        <w:pStyle w:val="Zkladntext30"/>
        <w:shd w:val="clear" w:color="auto" w:fill="auto"/>
        <w:spacing w:after="0" w:line="206" w:lineRule="auto"/>
        <w:ind w:firstLine="240"/>
      </w:pPr>
      <w:r>
        <w:t>Doporučování se děje vždycky extensivně, do šíře, přemírou, přeháněním, nadsazováním.</w:t>
      </w:r>
    </w:p>
    <w:p w:rsidR="00500724" w:rsidRDefault="00F30FB8">
      <w:pPr>
        <w:pStyle w:val="Zkladntext30"/>
        <w:shd w:val="clear" w:color="auto" w:fill="auto"/>
        <w:spacing w:after="0" w:line="180" w:lineRule="auto"/>
        <w:ind w:firstLine="240"/>
        <w:rPr>
          <w:sz w:val="20"/>
          <w:szCs w:val="20"/>
        </w:rPr>
      </w:pPr>
      <w:r>
        <w:rPr>
          <w:sz w:val="20"/>
          <w:szCs w:val="20"/>
        </w:rPr>
        <w:t>Tyto povídky jsou ja</w:t>
      </w:r>
      <w:r>
        <w:rPr>
          <w:sz w:val="20"/>
          <w:szCs w:val="20"/>
        </w:rPr>
        <w:t>ko těžké víno, z něhož buď usrká</w:t>
      </w:r>
      <w:r>
        <w:rPr>
          <w:sz w:val="20"/>
          <w:szCs w:val="20"/>
        </w:rPr>
        <w:softHyphen/>
        <w:t>váme lék, nebo vypíjíme opojení.</w:t>
      </w:r>
    </w:p>
    <w:p w:rsidR="00500724" w:rsidRDefault="00F30FB8">
      <w:pPr>
        <w:pStyle w:val="Zkladntext30"/>
        <w:shd w:val="clear" w:color="auto" w:fill="auto"/>
        <w:spacing w:after="0" w:line="180" w:lineRule="auto"/>
        <w:ind w:firstLine="240"/>
        <w:rPr>
          <w:sz w:val="20"/>
          <w:szCs w:val="20"/>
        </w:rPr>
      </w:pPr>
      <w:r>
        <w:rPr>
          <w:sz w:val="20"/>
          <w:szCs w:val="20"/>
        </w:rPr>
        <w:t>Román tento vyznamenává!’ se vedle výborné spisovatel</w:t>
      </w:r>
      <w:r>
        <w:rPr>
          <w:sz w:val="20"/>
          <w:szCs w:val="20"/>
        </w:rPr>
        <w:softHyphen/>
        <w:t>ské techniky i ušlechtilou tendencí, když roztomilé scény milostné se střídají se scénami bouřlivými...</w:t>
      </w:r>
    </w:p>
    <w:p w:rsidR="00500724" w:rsidRDefault="00F30FB8">
      <w:pPr>
        <w:pStyle w:val="Zkladntext30"/>
        <w:shd w:val="clear" w:color="auto" w:fill="auto"/>
        <w:spacing w:after="0" w:line="206" w:lineRule="auto"/>
        <w:ind w:firstLine="240"/>
      </w:pPr>
      <w:r>
        <w:t>Právě vyšlý román je vždy nejhod</w:t>
      </w:r>
      <w:r>
        <w:t>notnější, nej</w:t>
      </w:r>
      <w:r>
        <w:softHyphen/>
        <w:t>poučnější, nejzajímavější. Autor je mistr odvážného pera.</w:t>
      </w:r>
    </w:p>
    <w:p w:rsidR="00500724" w:rsidRDefault="00F30FB8">
      <w:pPr>
        <w:pStyle w:val="Zkladntext30"/>
        <w:shd w:val="clear" w:color="auto" w:fill="auto"/>
        <w:spacing w:after="0" w:line="180" w:lineRule="auto"/>
        <w:ind w:firstLine="240"/>
        <w:rPr>
          <w:sz w:val="20"/>
          <w:szCs w:val="20"/>
        </w:rPr>
      </w:pPr>
      <w:r>
        <w:rPr>
          <w:sz w:val="20"/>
          <w:szCs w:val="20"/>
        </w:rPr>
        <w:t>Autor měl odvahu k odhalení šklebné pravdy o našem společenském životě.</w:t>
      </w:r>
    </w:p>
    <w:p w:rsidR="00500724" w:rsidRDefault="00F30FB8">
      <w:pPr>
        <w:pStyle w:val="Zkladntext30"/>
        <w:shd w:val="clear" w:color="auto" w:fill="auto"/>
        <w:spacing w:after="0" w:line="180" w:lineRule="auto"/>
        <w:ind w:firstLine="240"/>
        <w:rPr>
          <w:sz w:val="20"/>
          <w:szCs w:val="20"/>
        </w:rPr>
      </w:pPr>
      <w:r>
        <w:rPr>
          <w:sz w:val="20"/>
          <w:szCs w:val="20"/>
        </w:rPr>
        <w:t>Nejnovější románek, který je báječným obohacením dívčí literatury, setká se s bouří nadšení, protože je nabit pr</w:t>
      </w:r>
      <w:r>
        <w:rPr>
          <w:sz w:val="20"/>
          <w:szCs w:val="20"/>
        </w:rPr>
        <w:t>oblémy dnešní ‘ mládeže, jež autorka s úžasnou odvahou a mistrovstvím řeší v závěru svatbou.</w:t>
      </w:r>
    </w:p>
    <w:p w:rsidR="00500724" w:rsidRDefault="00F30FB8">
      <w:pPr>
        <w:pStyle w:val="Zkladntext30"/>
        <w:shd w:val="clear" w:color="auto" w:fill="auto"/>
        <w:spacing w:after="0" w:line="180" w:lineRule="auto"/>
        <w:ind w:firstLine="240"/>
        <w:rPr>
          <w:sz w:val="20"/>
          <w:szCs w:val="20"/>
        </w:rPr>
      </w:pPr>
      <w:r>
        <w:rPr>
          <w:sz w:val="20"/>
          <w:szCs w:val="20"/>
        </w:rPr>
        <w:t>Autor, získavší si dřívějšími pracemi svými příjmí čes- ského Vernea, odkrývá tímto románem fantastickým způ</w:t>
      </w:r>
      <w:r>
        <w:rPr>
          <w:sz w:val="20"/>
          <w:szCs w:val="20"/>
        </w:rPr>
        <w:softHyphen/>
        <w:t xml:space="preserve">sobem závoj, rozložený nad tajemstvím severní točny a </w:t>
      </w:r>
      <w:r>
        <w:rPr>
          <w:sz w:val="20"/>
          <w:szCs w:val="20"/>
        </w:rPr>
        <w:t>za</w:t>
      </w:r>
      <w:r>
        <w:rPr>
          <w:sz w:val="20"/>
          <w:szCs w:val="20"/>
        </w:rPr>
        <w:softHyphen/>
        <w:t>vádí čtenáře do krajů, o jichž existenci inteligentní člověk dosud nevěděl.</w:t>
      </w:r>
    </w:p>
    <w:p w:rsidR="00500724" w:rsidRDefault="00F30FB8">
      <w:pPr>
        <w:pStyle w:val="Zkladntext30"/>
        <w:shd w:val="clear" w:color="auto" w:fill="auto"/>
        <w:spacing w:after="0" w:line="202" w:lineRule="auto"/>
        <w:ind w:firstLine="240"/>
      </w:pPr>
      <w:r>
        <w:t>Je velkou výhodou, může-li recensent ukázat k etické hodnotě knihy:</w:t>
      </w:r>
    </w:p>
    <w:p w:rsidR="00500724" w:rsidRDefault="00F30FB8">
      <w:pPr>
        <w:pStyle w:val="Zkladntext30"/>
        <w:shd w:val="clear" w:color="auto" w:fill="auto"/>
        <w:spacing w:after="0" w:line="178" w:lineRule="auto"/>
        <w:ind w:firstLine="240"/>
        <w:rPr>
          <w:sz w:val="20"/>
          <w:szCs w:val="20"/>
        </w:rPr>
      </w:pPr>
      <w:r>
        <w:rPr>
          <w:sz w:val="20"/>
          <w:szCs w:val="20"/>
        </w:rPr>
        <w:t>Kniha má velký výchovný význam pro dítě.</w:t>
      </w:r>
    </w:p>
    <w:p w:rsidR="00500724" w:rsidRDefault="00F30FB8">
      <w:pPr>
        <w:pStyle w:val="Zkladntext30"/>
        <w:shd w:val="clear" w:color="auto" w:fill="auto"/>
        <w:spacing w:after="0" w:line="178" w:lineRule="auto"/>
        <w:ind w:firstLine="240"/>
        <w:rPr>
          <w:sz w:val="20"/>
          <w:szCs w:val="20"/>
        </w:rPr>
      </w:pPr>
      <w:r>
        <w:rPr>
          <w:sz w:val="20"/>
          <w:szCs w:val="20"/>
        </w:rPr>
        <w:t xml:space="preserve">Vysoce etické jádro dojemných povídek je krásně skryto v bohatém </w:t>
      </w:r>
      <w:r>
        <w:rPr>
          <w:sz w:val="20"/>
          <w:szCs w:val="20"/>
        </w:rPr>
        <w:t>dynamismu svérázného slohu, plného mistrných líčení, jež zachycují realisticky veselé a dovádivé dětství v řadě roztomilých a jemných obrázků.</w:t>
      </w:r>
    </w:p>
    <w:p w:rsidR="00500724" w:rsidRDefault="00F30FB8">
      <w:pPr>
        <w:pStyle w:val="Zkladntext30"/>
        <w:shd w:val="clear" w:color="auto" w:fill="auto"/>
        <w:spacing w:after="0" w:line="202" w:lineRule="auto"/>
        <w:ind w:firstLine="240"/>
      </w:pPr>
      <w:r>
        <w:t>Kniha jako pomůcka k poučení je jinou cestou k čtenářově srdci a kapse:</w:t>
      </w:r>
    </w:p>
    <w:p w:rsidR="00500724" w:rsidRDefault="00F30FB8">
      <w:pPr>
        <w:pStyle w:val="Zkladntext30"/>
        <w:shd w:val="clear" w:color="auto" w:fill="auto"/>
        <w:spacing w:after="0" w:line="178" w:lineRule="auto"/>
        <w:ind w:firstLine="240"/>
        <w:rPr>
          <w:sz w:val="20"/>
          <w:szCs w:val="20"/>
        </w:rPr>
      </w:pPr>
      <w:r>
        <w:rPr>
          <w:sz w:val="20"/>
          <w:szCs w:val="20"/>
        </w:rPr>
        <w:t>Hřešila jsem... je dílo velmi poučné a ne</w:t>
      </w:r>
      <w:r>
        <w:rPr>
          <w:sz w:val="20"/>
          <w:szCs w:val="20"/>
        </w:rPr>
        <w:t>mělo by být děvčete, které by ji nečetlo.</w:t>
      </w:r>
    </w:p>
    <w:p w:rsidR="00500724" w:rsidRDefault="00F30FB8">
      <w:pPr>
        <w:pStyle w:val="Zkladntext30"/>
        <w:shd w:val="clear" w:color="auto" w:fill="auto"/>
        <w:spacing w:after="0" w:line="178" w:lineRule="auto"/>
        <w:ind w:firstLine="240"/>
        <w:rPr>
          <w:sz w:val="20"/>
          <w:szCs w:val="20"/>
        </w:rPr>
      </w:pPr>
      <w:r>
        <w:rPr>
          <w:sz w:val="20"/>
          <w:szCs w:val="20"/>
        </w:rPr>
        <w:t>Románek dívky, plný romantiky, tužeb, ale též velmi potřebného poučení.</w:t>
      </w:r>
    </w:p>
    <w:p w:rsidR="00500724" w:rsidRDefault="00F30FB8">
      <w:pPr>
        <w:pStyle w:val="Zkladntext30"/>
        <w:shd w:val="clear" w:color="auto" w:fill="auto"/>
        <w:spacing w:after="0" w:line="180" w:lineRule="auto"/>
        <w:ind w:left="300" w:hanging="60"/>
        <w:jc w:val="left"/>
        <w:rPr>
          <w:sz w:val="20"/>
          <w:szCs w:val="20"/>
        </w:rPr>
      </w:pPr>
      <w:r>
        <w:rPr>
          <w:sz w:val="20"/>
          <w:szCs w:val="20"/>
        </w:rPr>
        <w:t>Vedle neobyčejně jímavé látky dějové zachytil zde autor poučné obrazy z různých končin slovanského světa.</w:t>
      </w:r>
    </w:p>
    <w:p w:rsidR="00500724" w:rsidRDefault="00F30FB8">
      <w:pPr>
        <w:pStyle w:val="Zkladntext30"/>
        <w:shd w:val="clear" w:color="auto" w:fill="auto"/>
        <w:spacing w:after="0" w:line="204" w:lineRule="auto"/>
        <w:jc w:val="left"/>
      </w:pPr>
      <w:r>
        <w:t>Není takřka doporučení, kde by nebyl</w:t>
      </w:r>
      <w:r>
        <w:t>o ukázáno k psychologickým motivům, jež autor vynikajícím způsobem probírá do hloubky i do šířky u každé po</w:t>
      </w:r>
      <w:r>
        <w:softHyphen/>
        <w:t>stavy.</w:t>
      </w:r>
    </w:p>
    <w:p w:rsidR="00500724" w:rsidRDefault="00F30FB8">
      <w:pPr>
        <w:pStyle w:val="Zkladntext30"/>
        <w:shd w:val="clear" w:color="auto" w:fill="auto"/>
        <w:spacing w:after="0" w:line="175" w:lineRule="auto"/>
        <w:rPr>
          <w:sz w:val="20"/>
          <w:szCs w:val="20"/>
        </w:rPr>
      </w:pPr>
      <w:r>
        <w:rPr>
          <w:sz w:val="20"/>
          <w:szCs w:val="20"/>
        </w:rPr>
        <w:t>Nové pohledy na lásku, zejména na první lásku, v úchvatných scénách, neočekávané příhody, proměny i zá</w:t>
      </w:r>
      <w:r>
        <w:rPr>
          <w:sz w:val="20"/>
          <w:szCs w:val="20"/>
        </w:rPr>
        <w:softHyphen/>
        <w:t>hady s kořeny mystickými objevuje spis</w:t>
      </w:r>
      <w:r>
        <w:rPr>
          <w:sz w:val="20"/>
          <w:szCs w:val="20"/>
        </w:rPr>
        <w:t>ovatel v tomto novém díle zvídavým čtenářkám.</w:t>
      </w:r>
    </w:p>
    <w:p w:rsidR="00500724" w:rsidRDefault="00F30FB8">
      <w:pPr>
        <w:pStyle w:val="Zkladntext30"/>
        <w:shd w:val="clear" w:color="auto" w:fill="auto"/>
        <w:spacing w:after="0" w:line="178" w:lineRule="auto"/>
        <w:rPr>
          <w:sz w:val="20"/>
          <w:szCs w:val="20"/>
        </w:rPr>
      </w:pPr>
      <w:r>
        <w:rPr>
          <w:sz w:val="20"/>
          <w:szCs w:val="20"/>
        </w:rPr>
        <w:t>Obraz z kruhů uhlobaronských, kde své intriky uplat</w:t>
      </w:r>
      <w:r>
        <w:rPr>
          <w:sz w:val="20"/>
          <w:szCs w:val="20"/>
        </w:rPr>
        <w:softHyphen/>
        <w:t>ňuje, vypočítává psychologie smilné kokety. Čtenář nevy</w:t>
      </w:r>
      <w:r>
        <w:rPr>
          <w:sz w:val="20"/>
          <w:szCs w:val="20"/>
        </w:rPr>
        <w:softHyphen/>
        <w:t>chází z úžasu, co žena nízkých vlastností všechno dokáže.</w:t>
      </w:r>
    </w:p>
    <w:p w:rsidR="00500724" w:rsidRDefault="00F30FB8">
      <w:pPr>
        <w:pStyle w:val="Zkladntext30"/>
        <w:shd w:val="clear" w:color="auto" w:fill="auto"/>
        <w:spacing w:after="0" w:line="163" w:lineRule="auto"/>
        <w:jc w:val="left"/>
      </w:pPr>
      <w:r>
        <w:t>Nesmíme se pak divit,</w:t>
      </w:r>
    </w:p>
    <w:p w:rsidR="00500724" w:rsidRDefault="00F30FB8">
      <w:pPr>
        <w:pStyle w:val="Zkladntext30"/>
        <w:shd w:val="clear" w:color="auto" w:fill="auto"/>
        <w:spacing w:after="0" w:line="178" w:lineRule="auto"/>
        <w:ind w:firstLine="0"/>
        <w:rPr>
          <w:sz w:val="20"/>
          <w:szCs w:val="20"/>
        </w:rPr>
      </w:pPr>
      <w:r>
        <w:rPr>
          <w:sz w:val="20"/>
          <w:szCs w:val="20"/>
        </w:rPr>
        <w:t>. . .že po přečtení ně</w:t>
      </w:r>
      <w:r>
        <w:rPr>
          <w:sz w:val="20"/>
          <w:szCs w:val="20"/>
        </w:rPr>
        <w:t>kolika stran pozná čtenář sám, jak bohatá je dějová a psychologická náplň tohoto úchvatného románu. Každá kapitola je novým překvapením, novým zauzlením, takže děj plyne jako dravá řeka, rozlévá se ně kolika proudy a nedává čtenáři odpočinouti, neboť poutá</w:t>
      </w:r>
      <w:r>
        <w:rPr>
          <w:sz w:val="20"/>
          <w:szCs w:val="20"/>
        </w:rPr>
        <w:t xml:space="preserve"> neodolatelně každý psychologický atom jeho pozornosti.</w:t>
      </w:r>
    </w:p>
    <w:p w:rsidR="00500724" w:rsidRDefault="00F30FB8">
      <w:pPr>
        <w:pStyle w:val="Zkladntext30"/>
        <w:shd w:val="clear" w:color="auto" w:fill="auto"/>
        <w:spacing w:after="0" w:line="202" w:lineRule="auto"/>
        <w:jc w:val="left"/>
      </w:pPr>
      <w:r>
        <w:t>O poutavosti díla sebrali jsme bohatý materiál, z něhož vybíráme jeden jediný, klasický:</w:t>
      </w:r>
    </w:p>
    <w:p w:rsidR="00500724" w:rsidRDefault="00F30FB8">
      <w:pPr>
        <w:pStyle w:val="Zkladntext30"/>
        <w:shd w:val="clear" w:color="auto" w:fill="auto"/>
        <w:spacing w:after="0" w:line="185" w:lineRule="auto"/>
        <w:jc w:val="left"/>
        <w:rPr>
          <w:sz w:val="20"/>
          <w:szCs w:val="20"/>
        </w:rPr>
      </w:pPr>
      <w:r>
        <w:rPr>
          <w:sz w:val="20"/>
          <w:szCs w:val="20"/>
        </w:rPr>
        <w:t>Autorka se o lásce rozepisuje tak poutavě, že se nelze od knihy odpoutati.</w:t>
      </w:r>
    </w:p>
    <w:p w:rsidR="00500724" w:rsidRDefault="00F30FB8">
      <w:pPr>
        <w:pStyle w:val="Zkladntext30"/>
        <w:shd w:val="clear" w:color="auto" w:fill="auto"/>
        <w:spacing w:after="0" w:line="163" w:lineRule="auto"/>
        <w:jc w:val="left"/>
      </w:pPr>
      <w:r>
        <w:t>V závěru se shrnou přednosti díla:</w:t>
      </w:r>
    </w:p>
    <w:p w:rsidR="00500724" w:rsidRDefault="00F30FB8">
      <w:pPr>
        <w:pStyle w:val="Zkladntext30"/>
        <w:shd w:val="clear" w:color="auto" w:fill="auto"/>
        <w:spacing w:after="0" w:line="178" w:lineRule="auto"/>
        <w:rPr>
          <w:sz w:val="20"/>
          <w:szCs w:val="20"/>
        </w:rPr>
      </w:pPr>
      <w:r>
        <w:rPr>
          <w:sz w:val="20"/>
          <w:szCs w:val="20"/>
        </w:rPr>
        <w:t>Pro svou poučnost, poutavost, myšlenkovou i psycholo</w:t>
      </w:r>
      <w:r>
        <w:rPr>
          <w:sz w:val="20"/>
          <w:szCs w:val="20"/>
        </w:rPr>
        <w:softHyphen/>
        <w:t>gickou bohatost je každý román tohoto spisovatele očekáván nedočkavou čtenářskou obcí, jak dosvědčují hlasy kritiky.</w:t>
      </w:r>
    </w:p>
    <w:p w:rsidR="00500724" w:rsidRDefault="00F30FB8">
      <w:pPr>
        <w:pStyle w:val="Zkladntext30"/>
        <w:shd w:val="clear" w:color="auto" w:fill="auto"/>
        <w:spacing w:after="0" w:line="178" w:lineRule="auto"/>
        <w:rPr>
          <w:sz w:val="20"/>
          <w:szCs w:val="20"/>
        </w:rPr>
      </w:pPr>
      <w:r>
        <w:rPr>
          <w:sz w:val="20"/>
          <w:szCs w:val="20"/>
        </w:rPr>
        <w:t>Na dokončení poutavého a mistrně povahy líčícího ro</w:t>
      </w:r>
      <w:r>
        <w:rPr>
          <w:sz w:val="20"/>
          <w:szCs w:val="20"/>
        </w:rPr>
        <w:softHyphen/>
        <w:t>mánu čekalo tisíce čtenářů a z nic</w:t>
      </w:r>
      <w:r>
        <w:rPr>
          <w:sz w:val="20"/>
          <w:szCs w:val="20"/>
        </w:rPr>
        <w:t>h 1234 poslali dopisy, plné nedočkavosti a proseb, aby vydávání co nejvíce bylo urychleno, že by již rádi zvěděli, jak to skončí..., což je zjev u žádného jiného spisovatele dosud nevídaný!</w:t>
      </w:r>
    </w:p>
    <w:p w:rsidR="00500724" w:rsidRDefault="00F30FB8">
      <w:pPr>
        <w:pStyle w:val="Zkladntext30"/>
        <w:shd w:val="clear" w:color="auto" w:fill="auto"/>
        <w:spacing w:after="0" w:line="202" w:lineRule="auto"/>
        <w:jc w:val="left"/>
      </w:pPr>
      <w:r>
        <w:t>O jednom spise A. Wetherellové byl před čtyřiceti lety tento posud</w:t>
      </w:r>
      <w:r>
        <w:t>ek v mnoha jihočeských listech:</w:t>
      </w:r>
    </w:p>
    <w:p w:rsidR="00500724" w:rsidRDefault="00F30FB8">
      <w:pPr>
        <w:pStyle w:val="Zkladntext30"/>
        <w:shd w:val="clear" w:color="auto" w:fill="auto"/>
        <w:spacing w:after="0" w:line="178" w:lineRule="auto"/>
        <w:rPr>
          <w:sz w:val="20"/>
          <w:szCs w:val="20"/>
        </w:rPr>
      </w:pPr>
      <w:r>
        <w:rPr>
          <w:sz w:val="20"/>
          <w:szCs w:val="20"/>
        </w:rPr>
        <w:t>Často slýchati u nás žaloby, že pro dospívající mládež ženskou nemáme dosti knih původních; kniha svrchu jmenovaná jest jednou z oněch knih, jež pro útlou dívčí mysl v onom věku, kdy se jí počíná otvírati svět se vše</w:t>
      </w:r>
      <w:r>
        <w:rPr>
          <w:sz w:val="20"/>
          <w:szCs w:val="20"/>
        </w:rPr>
        <w:softHyphen/>
        <w:t>mi svým</w:t>
      </w:r>
      <w:r>
        <w:rPr>
          <w:sz w:val="20"/>
          <w:szCs w:val="20"/>
        </w:rPr>
        <w:t>i vnadami i se svou spustlostí — jest jako stvo</w:t>
      </w:r>
      <w:r>
        <w:rPr>
          <w:sz w:val="20"/>
          <w:szCs w:val="20"/>
        </w:rPr>
        <w:softHyphen/>
        <w:t>řena.</w:t>
      </w:r>
    </w:p>
    <w:p w:rsidR="00500724" w:rsidRDefault="00F30FB8">
      <w:pPr>
        <w:pStyle w:val="Zkladntext30"/>
        <w:shd w:val="clear" w:color="auto" w:fill="auto"/>
        <w:spacing w:after="0" w:line="206" w:lineRule="auto"/>
        <w:jc w:val="left"/>
      </w:pPr>
      <w:r>
        <w:t>Pak bychom měli lapidární, dobromyslné pádnosti, velmi vzácné v české literární reklamě. Dva příkt.dy:</w:t>
      </w:r>
    </w:p>
    <w:p w:rsidR="00500724" w:rsidRDefault="00F30FB8">
      <w:pPr>
        <w:pStyle w:val="Zkladntext30"/>
        <w:shd w:val="clear" w:color="auto" w:fill="auto"/>
        <w:spacing w:after="0" w:line="180" w:lineRule="auto"/>
        <w:jc w:val="left"/>
        <w:rPr>
          <w:sz w:val="20"/>
          <w:szCs w:val="20"/>
        </w:rPr>
      </w:pPr>
      <w:r>
        <w:rPr>
          <w:sz w:val="20"/>
          <w:szCs w:val="20"/>
        </w:rPr>
        <w:t xml:space="preserve">Český voják zamiloval se v jižních krajích do žhavé Jihoslovanky. Ale ty konce! Velmi zajímavý </w:t>
      </w:r>
      <w:r>
        <w:rPr>
          <w:sz w:val="20"/>
          <w:szCs w:val="20"/>
        </w:rPr>
        <w:t>obrázek.</w:t>
      </w:r>
    </w:p>
    <w:p w:rsidR="00500724" w:rsidRDefault="00F30FB8">
      <w:pPr>
        <w:pStyle w:val="Zkladntext30"/>
        <w:shd w:val="clear" w:color="auto" w:fill="auto"/>
        <w:spacing w:after="0" w:line="180" w:lineRule="auto"/>
        <w:jc w:val="left"/>
        <w:rPr>
          <w:sz w:val="20"/>
          <w:szCs w:val="20"/>
        </w:rPr>
      </w:pPr>
      <w:r>
        <w:rPr>
          <w:sz w:val="20"/>
          <w:szCs w:val="20"/>
        </w:rPr>
        <w:t>A jak to již bývá, chudičký malíř a bohatá šlechtična se zamilovali... Ale pak — no — to se musí číst!</w:t>
      </w:r>
    </w:p>
    <w:p w:rsidR="00500724" w:rsidRDefault="00F30FB8">
      <w:pPr>
        <w:pStyle w:val="Zkladntext30"/>
        <w:shd w:val="clear" w:color="auto" w:fill="auto"/>
        <w:spacing w:after="0" w:line="206" w:lineRule="auto"/>
      </w:pPr>
      <w:r>
        <w:t>Sotva zaslouží zmínky frázovitá stručnost, na pří</w:t>
      </w:r>
      <w:r>
        <w:softHyphen/>
        <w:t>klad: »Kniha uchvátí svou básnickou silou.« — »Je to vrcholné literární dílo.« — »Sličná knížk</w:t>
      </w:r>
      <w:r>
        <w:t>a vyniká pěknou úpravou i obsahem.«</w:t>
      </w:r>
    </w:p>
    <w:p w:rsidR="00500724" w:rsidRDefault="00F30FB8">
      <w:pPr>
        <w:pStyle w:val="Zkladntext30"/>
        <w:shd w:val="clear" w:color="auto" w:fill="auto"/>
        <w:spacing w:after="0" w:line="206" w:lineRule="auto"/>
      </w:pPr>
      <w:r>
        <w:t>Často se obrací reklamní recensent na čtenáře, ape</w:t>
      </w:r>
      <w:r>
        <w:softHyphen/>
        <w:t>luje na jeho pochopení, inteligenci, vemlouvá se mu do srdce lichocením, že se nemůže, ba nesmí stát u ně</w:t>
      </w:r>
      <w:r>
        <w:softHyphen/>
        <w:t>ho, tak kulturního člověka, že by si nekoupil knihu, jež je »pr</w:t>
      </w:r>
      <w:r>
        <w:t>avým skvostem literatury a která nesmí chybět v žádné rodině.« Podobné upozorňovací pro</w:t>
      </w:r>
      <w:r>
        <w:softHyphen/>
        <w:t>středky lze dobře datovat lety, kdy na titulních strán</w:t>
      </w:r>
      <w:r>
        <w:softHyphen/>
        <w:t>kách seznamů knih se objevovali trubači, vytrubující slávu literárních děl, bubeníci, svolávající koupěchtivé dav</w:t>
      </w:r>
      <w:r>
        <w:t>y obecenstva, a kdy se řítily na obálce spousty svazků s nebe, provázené širokým úsměvem elegant</w:t>
      </w:r>
      <w:r>
        <w:softHyphen/>
        <w:t>ního prodavače, spousty knih, po nichž zástup dychti</w:t>
      </w:r>
      <w:r>
        <w:softHyphen/>
        <w:t>vě natahoval les svých rukou.</w:t>
      </w:r>
    </w:p>
    <w:p w:rsidR="00500724" w:rsidRDefault="00F30FB8">
      <w:pPr>
        <w:pStyle w:val="Zkladntext30"/>
        <w:shd w:val="clear" w:color="auto" w:fill="auto"/>
        <w:spacing w:after="0" w:line="206" w:lineRule="auto"/>
      </w:pPr>
      <w:r>
        <w:t>Zvláštní studie by vyžadovalo doporučení knih, jednajících o sexuální otázce</w:t>
      </w:r>
      <w:r>
        <w:t>, celá erotická literatura, »knihy s rozkošným, dobrodružně divokým i žhavě erotickým dějem, jež si zaslouží, aby byly čteny«, spi</w:t>
      </w:r>
      <w:r>
        <w:softHyphen/>
        <w:t>sy dobrodružné a zajímavý druh reklamních doporu</w:t>
      </w:r>
      <w:r>
        <w:softHyphen/>
        <w:t>čení náladových:</w:t>
      </w:r>
    </w:p>
    <w:p w:rsidR="00500724" w:rsidRDefault="00F30FB8">
      <w:pPr>
        <w:pStyle w:val="Zkladntext30"/>
        <w:shd w:val="clear" w:color="auto" w:fill="auto"/>
        <w:spacing w:after="0" w:line="230" w:lineRule="auto"/>
        <w:jc w:val="left"/>
        <w:rPr>
          <w:sz w:val="19"/>
          <w:szCs w:val="19"/>
        </w:rPr>
      </w:pPr>
      <w:r>
        <w:rPr>
          <w:sz w:val="20"/>
          <w:szCs w:val="20"/>
        </w:rPr>
        <w:t xml:space="preserve">Štíhlé kmeny palem tiše se chvějí nad azurovými vlnami jižních moří — avšak americké křižníky jsou věčně na stráži. Bdi, neboť pokojné vody třeba již zítra zrudnou krví a zuřivé svištění šípů ohlásí vpád žlutých plenitelů </w:t>
      </w:r>
      <w:r>
        <w:rPr>
          <w:b/>
          <w:bCs/>
          <w:sz w:val="19"/>
          <w:szCs w:val="19"/>
        </w:rPr>
        <w:t>^60</w:t>
      </w:r>
    </w:p>
    <w:p w:rsidR="00500724" w:rsidRDefault="00F30FB8">
      <w:pPr>
        <w:pStyle w:val="Zkladntext30"/>
        <w:shd w:val="clear" w:color="auto" w:fill="auto"/>
        <w:spacing w:after="0" w:line="180" w:lineRule="auto"/>
        <w:ind w:firstLine="0"/>
        <w:jc w:val="left"/>
        <w:rPr>
          <w:sz w:val="20"/>
          <w:szCs w:val="20"/>
        </w:rPr>
      </w:pPr>
      <w:r>
        <w:rPr>
          <w:sz w:val="20"/>
          <w:szCs w:val="20"/>
        </w:rPr>
        <w:t>Polynesie. Divoši útočí s ostr</w:t>
      </w:r>
      <w:r>
        <w:rPr>
          <w:sz w:val="20"/>
          <w:szCs w:val="20"/>
        </w:rPr>
        <w:t>ým a pronikavým křikem.. ohnivá čára výstřelů vroubí pažení válečných lodí..pirát Seypan nedává milosti a sám jí nepotřebuje... Strhne a upoutá vás tento román o lásce a válce na divokých ostro</w:t>
      </w:r>
      <w:r>
        <w:rPr>
          <w:sz w:val="20"/>
          <w:szCs w:val="20"/>
        </w:rPr>
        <w:softHyphen/>
        <w:t>vech strašných kanibalů...</w:t>
      </w:r>
    </w:p>
    <w:p w:rsidR="00500724" w:rsidRDefault="00F30FB8">
      <w:pPr>
        <w:pStyle w:val="Zkladntext30"/>
        <w:shd w:val="clear" w:color="auto" w:fill="auto"/>
        <w:spacing w:after="0" w:line="209" w:lineRule="auto"/>
      </w:pPr>
      <w:r>
        <w:t xml:space="preserve">Rčení, používaná v nakladatelských </w:t>
      </w:r>
      <w:r>
        <w:t>doporučeních, většinou se stávají formulí, jíž se pohodlně odbude jakákoliv recense.</w:t>
      </w:r>
    </w:p>
    <w:p w:rsidR="00500724" w:rsidRDefault="00F30FB8">
      <w:pPr>
        <w:pStyle w:val="Zkladntext30"/>
        <w:shd w:val="clear" w:color="auto" w:fill="auto"/>
        <w:spacing w:after="0" w:line="230" w:lineRule="auto"/>
        <w:rPr>
          <w:sz w:val="20"/>
          <w:szCs w:val="20"/>
        </w:rPr>
      </w:pPr>
      <w:r>
        <w:rPr>
          <w:sz w:val="20"/>
          <w:szCs w:val="20"/>
        </w:rPr>
        <w:t>Literární perla pro cituplné čtenáře.</w:t>
      </w:r>
    </w:p>
    <w:p w:rsidR="00500724" w:rsidRDefault="00F30FB8">
      <w:pPr>
        <w:pStyle w:val="Zkladntext30"/>
        <w:shd w:val="clear" w:color="auto" w:fill="auto"/>
        <w:spacing w:after="0" w:line="230" w:lineRule="auto"/>
        <w:rPr>
          <w:sz w:val="20"/>
          <w:szCs w:val="20"/>
        </w:rPr>
      </w:pPr>
      <w:r>
        <w:rPr>
          <w:sz w:val="20"/>
          <w:szCs w:val="20"/>
        </w:rPr>
        <w:t>Jedinečné dílo v literatuře.</w:t>
      </w:r>
    </w:p>
    <w:p w:rsidR="00500724" w:rsidRDefault="00F30FB8">
      <w:pPr>
        <w:pStyle w:val="Zkladntext30"/>
        <w:shd w:val="clear" w:color="auto" w:fill="auto"/>
        <w:spacing w:after="0" w:line="180" w:lineRule="auto"/>
        <w:rPr>
          <w:sz w:val="20"/>
          <w:szCs w:val="20"/>
        </w:rPr>
      </w:pPr>
      <w:r>
        <w:rPr>
          <w:sz w:val="20"/>
          <w:szCs w:val="20"/>
        </w:rPr>
        <w:t>Kniha je velikým přínosem do našeho písemnictví.</w:t>
      </w:r>
    </w:p>
    <w:p w:rsidR="00500724" w:rsidRDefault="00F30FB8">
      <w:pPr>
        <w:pStyle w:val="Zkladntext30"/>
        <w:shd w:val="clear" w:color="auto" w:fill="auto"/>
        <w:spacing w:after="0" w:line="163" w:lineRule="auto"/>
      </w:pPr>
      <w:r>
        <w:t>Doporučení vychvaluje spisovatele:</w:t>
      </w:r>
    </w:p>
    <w:p w:rsidR="00500724" w:rsidRDefault="00F30FB8">
      <w:pPr>
        <w:pStyle w:val="Zkladntext30"/>
        <w:shd w:val="clear" w:color="auto" w:fill="auto"/>
        <w:spacing w:after="0" w:line="180" w:lineRule="auto"/>
        <w:rPr>
          <w:sz w:val="20"/>
          <w:szCs w:val="20"/>
        </w:rPr>
      </w:pPr>
      <w:r>
        <w:rPr>
          <w:sz w:val="20"/>
          <w:szCs w:val="20"/>
        </w:rPr>
        <w:t>Autor se dovede pono</w:t>
      </w:r>
      <w:r>
        <w:rPr>
          <w:sz w:val="20"/>
          <w:szCs w:val="20"/>
        </w:rPr>
        <w:t>řit do života a vytěžit z něho za</w:t>
      </w:r>
      <w:r>
        <w:rPr>
          <w:sz w:val="20"/>
          <w:szCs w:val="20"/>
        </w:rPr>
        <w:softHyphen/>
        <w:t>jímavé náměty.</w:t>
      </w:r>
    </w:p>
    <w:p w:rsidR="00500724" w:rsidRDefault="00F30FB8">
      <w:pPr>
        <w:pStyle w:val="Zkladntext30"/>
        <w:shd w:val="clear" w:color="auto" w:fill="auto"/>
        <w:spacing w:after="0" w:line="180" w:lineRule="auto"/>
        <w:rPr>
          <w:sz w:val="20"/>
          <w:szCs w:val="20"/>
        </w:rPr>
      </w:pPr>
      <w:r>
        <w:rPr>
          <w:sz w:val="20"/>
          <w:szCs w:val="20"/>
        </w:rPr>
        <w:t>Dovedl uhodit na pravou strunu lidského srdce a nalézti teplý tón, který rozehřeje.</w:t>
      </w:r>
    </w:p>
    <w:p w:rsidR="00500724" w:rsidRDefault="00F30FB8">
      <w:pPr>
        <w:pStyle w:val="Zkladntext30"/>
        <w:shd w:val="clear" w:color="auto" w:fill="auto"/>
        <w:spacing w:after="0" w:line="180" w:lineRule="auto"/>
        <w:rPr>
          <w:sz w:val="20"/>
          <w:szCs w:val="20"/>
        </w:rPr>
      </w:pPr>
      <w:r>
        <w:rPr>
          <w:sz w:val="20"/>
          <w:szCs w:val="20"/>
        </w:rPr>
        <w:t>Autorovi se podivuhodně podařilo uvésti čtenáře do tajemství erotického života krvelačné královny.</w:t>
      </w:r>
    </w:p>
    <w:p w:rsidR="00500724" w:rsidRDefault="00F30FB8">
      <w:pPr>
        <w:pStyle w:val="Zkladntext30"/>
        <w:shd w:val="clear" w:color="auto" w:fill="auto"/>
        <w:spacing w:after="0" w:line="204" w:lineRule="auto"/>
      </w:pPr>
      <w:r>
        <w:t>»Děj se odehrává na divo</w:t>
      </w:r>
      <w:r>
        <w:t>kém západě . . .« Dlouho jsem myslel, že tato věta, dnes tak obecně rozšířená, je novějšího data, ale objevila se už v devadesátých letech ve Vilímkově knižním seznamu.</w:t>
      </w:r>
    </w:p>
    <w:p w:rsidR="00500724" w:rsidRDefault="00F30FB8">
      <w:pPr>
        <w:pStyle w:val="Zkladntext30"/>
        <w:shd w:val="clear" w:color="auto" w:fill="auto"/>
        <w:spacing w:after="0" w:line="204" w:lineRule="auto"/>
      </w:pPr>
      <w:r>
        <w:t>Tehdy ovšem zněly sice recense poněkud jinak, ale měly dosti společného:</w:t>
      </w:r>
    </w:p>
    <w:p w:rsidR="00500724" w:rsidRDefault="00F30FB8">
      <w:pPr>
        <w:pStyle w:val="Zkladntext30"/>
        <w:shd w:val="clear" w:color="auto" w:fill="auto"/>
        <w:spacing w:after="0" w:line="178" w:lineRule="auto"/>
        <w:rPr>
          <w:sz w:val="20"/>
          <w:szCs w:val="20"/>
        </w:rPr>
      </w:pPr>
      <w:r>
        <w:rPr>
          <w:sz w:val="20"/>
          <w:szCs w:val="20"/>
        </w:rPr>
        <w:t>Obsahem románu</w:t>
      </w:r>
      <w:r>
        <w:rPr>
          <w:sz w:val="20"/>
          <w:szCs w:val="20"/>
        </w:rPr>
        <w:t>, rozvitého s obrazností a poutavostí jen peru Daudetovu vlastní, jest nevěra venkovského stat</w:t>
      </w:r>
      <w:r>
        <w:rPr>
          <w:sz w:val="20"/>
          <w:szCs w:val="20"/>
        </w:rPr>
        <w:softHyphen/>
        <w:t>káře a z hříchu tohoto následující rozrušující důsledky.</w:t>
      </w:r>
    </w:p>
    <w:p w:rsidR="00500724" w:rsidRDefault="00F30FB8">
      <w:pPr>
        <w:pStyle w:val="Zkladntext30"/>
        <w:shd w:val="clear" w:color="auto" w:fill="auto"/>
        <w:spacing w:after="0" w:line="202" w:lineRule="auto"/>
      </w:pPr>
      <w:r>
        <w:t xml:space="preserve">Dobově se změnila stylisace i tendenčnost knihy. Po starodávnu: Hodný Fridolín a zlovolný Dětřich. — </w:t>
      </w:r>
      <w:r>
        <w:t>Potom znělo doporučení: »Pěkná a užitečná zábava pro útlejší mládež k poučení i potěšení všelikému.« — Dnes: Jirka — postrach rodiny, s podtitulkem: »Epos o králi darebáků dětských, o stoprocentním klukovi, jaký má být.«</w:t>
      </w:r>
    </w:p>
    <w:p w:rsidR="00500724" w:rsidRDefault="00F30FB8">
      <w:pPr>
        <w:pStyle w:val="Zkladntext30"/>
        <w:shd w:val="clear" w:color="auto" w:fill="auto"/>
        <w:spacing w:after="0" w:line="202" w:lineRule="auto"/>
      </w:pPr>
      <w:r>
        <w:t>Z doporučujících kurios aspoň jednu</w:t>
      </w:r>
      <w:r>
        <w:t xml:space="preserve"> z krajinského tisku:</w:t>
      </w:r>
    </w:p>
    <w:p w:rsidR="00500724" w:rsidRDefault="00F30FB8">
      <w:pPr>
        <w:pStyle w:val="Zkladntext30"/>
        <w:shd w:val="clear" w:color="auto" w:fill="auto"/>
        <w:spacing w:after="0" w:line="223" w:lineRule="auto"/>
        <w:rPr>
          <w:sz w:val="20"/>
          <w:szCs w:val="20"/>
        </w:rPr>
      </w:pPr>
      <w:r>
        <w:rPr>
          <w:sz w:val="20"/>
          <w:szCs w:val="20"/>
        </w:rPr>
        <w:t>Tiskneme spisovateli vřele ruku za výbornou knihu tuto.</w:t>
      </w:r>
    </w:p>
    <w:p w:rsidR="00500724" w:rsidRDefault="00F30FB8">
      <w:pPr>
        <w:pStyle w:val="Zkladntext30"/>
        <w:shd w:val="clear" w:color="auto" w:fill="auto"/>
        <w:spacing w:after="0" w:line="202" w:lineRule="auto"/>
      </w:pPr>
      <w:r>
        <w:t>Z prosaické statičnosti se vběhne často do jiných luhů, najde se lecjaký nový tón, bohatší, jenž je po</w:t>
      </w:r>
      <w:r>
        <w:softHyphen/>
        <w:t>tom po desítiletí opakován, použije se mnohých pa- ralelických, metaforický</w:t>
      </w:r>
      <w:r>
        <w:t>ch a opisových útvarů.</w:t>
      </w:r>
    </w:p>
    <w:p w:rsidR="00500724" w:rsidRDefault="00F30FB8">
      <w:pPr>
        <w:pStyle w:val="Zkladntext30"/>
        <w:shd w:val="clear" w:color="auto" w:fill="auto"/>
        <w:spacing w:after="0" w:line="202" w:lineRule="auto"/>
      </w:pPr>
      <w:r>
        <w:t>Recense se zrakovými motivy »nahazuje širokým štětcem velkolepá dějová plátna«, »maluje žhavými barvami bohaté autorovy palety«.</w:t>
      </w:r>
    </w:p>
    <w:p w:rsidR="00500724" w:rsidRDefault="00F30FB8">
      <w:pPr>
        <w:pStyle w:val="Zkladntext30"/>
        <w:shd w:val="clear" w:color="auto" w:fill="auto"/>
        <w:spacing w:after="0" w:line="202" w:lineRule="auto"/>
      </w:pPr>
      <w:r>
        <w:t>Sluchové prostředky: »Autor hraje na všech stru</w:t>
      </w:r>
      <w:r>
        <w:softHyphen/>
        <w:t xml:space="preserve">nách srdcí i duší«. — ^Komorní skladba o hrdinské lásce </w:t>
      </w:r>
      <w:r>
        <w:t>a oběti mladé selky .. .«.</w:t>
      </w:r>
    </w:p>
    <w:p w:rsidR="00500724" w:rsidRDefault="00F30FB8">
      <w:pPr>
        <w:pStyle w:val="Zkladntext30"/>
        <w:shd w:val="clear" w:color="auto" w:fill="auto"/>
        <w:spacing w:after="0" w:line="202" w:lineRule="auto"/>
      </w:pPr>
      <w:r>
        <w:t>Dynamický činitel je vlastní většině doporučení:</w:t>
      </w:r>
    </w:p>
    <w:p w:rsidR="00500724" w:rsidRDefault="00F30FB8">
      <w:pPr>
        <w:pStyle w:val="Zkladntext30"/>
        <w:shd w:val="clear" w:color="auto" w:fill="auto"/>
        <w:spacing w:after="0" w:line="175" w:lineRule="auto"/>
        <w:rPr>
          <w:sz w:val="20"/>
          <w:szCs w:val="20"/>
        </w:rPr>
      </w:pPr>
      <w:r>
        <w:rPr>
          <w:sz w:val="20"/>
          <w:szCs w:val="20"/>
        </w:rPr>
        <w:t>Tato kniha vyzvedne každého na vrchol napětí, kde jej bude držet až do posledních stran, aby v nich čtenáře rychlým spádem přivedla k spokojenému oddechu a srdce k normálnímu tepu.</w:t>
      </w:r>
    </w:p>
    <w:p w:rsidR="00500724" w:rsidRDefault="00F30FB8">
      <w:pPr>
        <w:pStyle w:val="Zkladntext30"/>
        <w:shd w:val="clear" w:color="auto" w:fill="auto"/>
        <w:spacing w:after="0" w:line="192" w:lineRule="auto"/>
      </w:pPr>
      <w:r>
        <w:t>Protože se chce říci mnoho, vzniká zvláštní sle</w:t>
      </w:r>
      <w:r>
        <w:softHyphen/>
        <w:t>penec:</w:t>
      </w:r>
    </w:p>
    <w:p w:rsidR="00500724" w:rsidRDefault="00F30FB8">
      <w:pPr>
        <w:pStyle w:val="Zkladntext30"/>
        <w:shd w:val="clear" w:color="auto" w:fill="auto"/>
        <w:spacing w:after="0" w:line="175" w:lineRule="auto"/>
        <w:rPr>
          <w:sz w:val="20"/>
          <w:szCs w:val="20"/>
        </w:rPr>
      </w:pPr>
      <w:r>
        <w:rPr>
          <w:sz w:val="20"/>
          <w:szCs w:val="20"/>
        </w:rPr>
        <w:t>Čím se provinil Václav Hron, pytlák, milenec lesa a vy</w:t>
      </w:r>
      <w:r>
        <w:rPr>
          <w:sz w:val="20"/>
          <w:szCs w:val="20"/>
        </w:rPr>
        <w:softHyphen/>
        <w:t>znavač volnosti, že musí projít peklem, aby se dostal zpět k slunci a kráse? Byla to vášeň, kterou zahořel k vlastní dceři, bytosti stejně vyšinu</w:t>
      </w:r>
      <w:r>
        <w:rPr>
          <w:sz w:val="20"/>
          <w:szCs w:val="20"/>
        </w:rPr>
        <w:t>lé, jak byl sám? Byl to jeho odpor proti řádu, který je věčný, nebo co jiného? Je jisto, že sešel s cesty a jeho bloudění a tápání bude sledovat čtenář na stránkách knihy, která směle a přece něžně sahá ke kořenu lidské bytosti a nezastavuje se před žádnou</w:t>
      </w:r>
      <w:r>
        <w:rPr>
          <w:sz w:val="20"/>
          <w:szCs w:val="20"/>
        </w:rPr>
        <w:t xml:space="preserve"> pro</w:t>
      </w:r>
      <w:r>
        <w:rPr>
          <w:sz w:val="20"/>
          <w:szCs w:val="20"/>
        </w:rPr>
        <w:softHyphen/>
        <w:t>pastí života... Pod zdánlivou silou výrazu a pod náno</w:t>
      </w:r>
      <w:r>
        <w:rPr>
          <w:sz w:val="20"/>
          <w:szCs w:val="20"/>
        </w:rPr>
        <w:softHyphen/>
        <w:t>sem vášní najde tu něhu i krásu, stejně jako vzrušení a zaujetí.</w:t>
      </w:r>
    </w:p>
    <w:p w:rsidR="00500724" w:rsidRDefault="00F30FB8">
      <w:pPr>
        <w:pStyle w:val="Zkladntext30"/>
        <w:shd w:val="clear" w:color="auto" w:fill="auto"/>
        <w:spacing w:after="0" w:line="204" w:lineRule="auto"/>
      </w:pPr>
      <w:r>
        <w:t>Nakladatelská doporučení jsou pomůckou prodeje knih. Celkem je to mizerná lampička, svítící mnohdy na něco jiného, než kam je namíře</w:t>
      </w:r>
      <w:r>
        <w:t>n její lesklý reflektor. Že je v něm přehnanost, ví každý, leč podle míry přehnanosti můžeme soudit jak o povaze, jakosti d&gt;la, tak o úrovni vrstvy, k níž se obrací. Na lid se jde s tureckým bubnem. Na vzdělanější s bubínkem.</w:t>
      </w:r>
    </w:p>
    <w:p w:rsidR="00500724" w:rsidRDefault="00F30FB8">
      <w:pPr>
        <w:pStyle w:val="Zkladntext30"/>
        <w:shd w:val="clear" w:color="auto" w:fill="auto"/>
        <w:spacing w:after="0" w:line="223" w:lineRule="auto"/>
        <w:ind w:firstLine="0"/>
      </w:pPr>
      <w:r>
        <w:t xml:space="preserve">Tenké vrstvě nejvzdělanějších </w:t>
      </w:r>
      <w:r>
        <w:t>stačí jméno autora a trochu inteligentně psaných informací a dat o auto</w:t>
      </w:r>
      <w:r>
        <w:softHyphen/>
        <w:t>rovi, charakteristika jeho díla; u cizích děl zmínka i o překladateli.</w:t>
      </w:r>
    </w:p>
    <w:p w:rsidR="00500724" w:rsidRDefault="00F30FB8">
      <w:pPr>
        <w:pStyle w:val="Zkladntext30"/>
        <w:shd w:val="clear" w:color="auto" w:fill="auto"/>
        <w:spacing w:after="0" w:line="223" w:lineRule="auto"/>
      </w:pPr>
      <w:r>
        <w:t>Zamyslíme-li se nad doporučováním knih z let sedm</w:t>
      </w:r>
      <w:r>
        <w:softHyphen/>
        <w:t>desátých až devadesátých, psaným s prostomyslným, avšak upřímný</w:t>
      </w:r>
      <w:r>
        <w:t>m vlastenectvím, jež tehdy nebylo ještě komerční maskou, nýbrž šlo často z nakladatel</w:t>
      </w:r>
      <w:r>
        <w:softHyphen/>
        <w:t>ského idealismu, a vidíme-li dnešní hlučný trh knih s orchestriony organisované reklamy, nemůžeme se ubránit jistému pocitu zahanbení.</w:t>
      </w:r>
    </w:p>
    <w:p w:rsidR="00500724" w:rsidRDefault="00F30FB8">
      <w:pPr>
        <w:pStyle w:val="Zkladntext30"/>
        <w:shd w:val="clear" w:color="auto" w:fill="auto"/>
        <w:spacing w:after="0" w:line="221" w:lineRule="auto"/>
      </w:pPr>
      <w:r>
        <w:t xml:space="preserve">Boj o četbu lepší úrovně byl ovšem </w:t>
      </w:r>
      <w:r>
        <w:t xml:space="preserve">vždycky. </w:t>
      </w:r>
      <w:r>
        <w:rPr>
          <w:lang w:val="en-US" w:eastAsia="en-US" w:bidi="en-US"/>
        </w:rPr>
        <w:t xml:space="preserve">J. </w:t>
      </w:r>
      <w:r>
        <w:t>K. Solnický (Hradec Králové a česká literatura, Jan Hostivít Pospišil, 1885) píše:</w:t>
      </w:r>
    </w:p>
    <w:p w:rsidR="00500724" w:rsidRDefault="00F30FB8">
      <w:pPr>
        <w:pStyle w:val="Zkladntext30"/>
        <w:shd w:val="clear" w:color="auto" w:fill="auto"/>
        <w:spacing w:after="0" w:line="202" w:lineRule="auto"/>
        <w:rPr>
          <w:sz w:val="20"/>
          <w:szCs w:val="20"/>
        </w:rPr>
      </w:pPr>
      <w:r>
        <w:rPr>
          <w:sz w:val="20"/>
          <w:szCs w:val="20"/>
        </w:rPr>
        <w:t>Byl jsem kdysi v jednom nakladatelství, v němž vše ovanuto bylo přídechem jakýmsi cizím, v němž nebyla »kniha« hlavní věcí, ale »obchod« a jen hodně »vydatný obc</w:t>
      </w:r>
      <w:r>
        <w:rPr>
          <w:sz w:val="20"/>
          <w:szCs w:val="20"/>
        </w:rPr>
        <w:t>hod«! Bylo to zde přímo k úžasu! Nad knihou jakousi skláněla se tvář knihtiskaře — a usmívala se ne tak, jak usmívali se staří kněhkupci v ten okamžik, v němž nadše</w:t>
      </w:r>
      <w:r>
        <w:rPr>
          <w:sz w:val="20"/>
          <w:szCs w:val="20"/>
        </w:rPr>
        <w:softHyphen/>
        <w:t>ně vypravovali do českého světa knížku vlasteneckou; ne* v tom úsměvu Iškariotském byla vyp</w:t>
      </w:r>
      <w:r>
        <w:rPr>
          <w:sz w:val="20"/>
          <w:szCs w:val="20"/>
        </w:rPr>
        <w:t>očítavosť, mnoho-li ta kniha vynese! A jaká to byla asi kniha? Česká! Ale nad</w:t>
      </w:r>
      <w:r>
        <w:rPr>
          <w:sz w:val="20"/>
          <w:szCs w:val="20"/>
        </w:rPr>
        <w:softHyphen/>
        <w:t>pis, ten nadpis! Ten zněl: »Provaz oběšence« — velikolepý prý román! Já zadíval se po jiných knihách! Tam nadpis: »Pytláci« nebo »Loupežníci z českých lesů« a onde »Krva- vá svat</w:t>
      </w:r>
      <w:r>
        <w:rPr>
          <w:sz w:val="20"/>
          <w:szCs w:val="20"/>
        </w:rPr>
        <w:t>ba«! Hrozno! A pro koho byly ty knihy? Kdesi na anonci stálo: »pro lid českoslovanský«! —</w:t>
      </w:r>
    </w:p>
    <w:p w:rsidR="00500724" w:rsidRDefault="00F30FB8">
      <w:pPr>
        <w:pStyle w:val="Zkladntext30"/>
        <w:shd w:val="clear" w:color="auto" w:fill="auto"/>
        <w:spacing w:after="0" w:line="202" w:lineRule="auto"/>
        <w:rPr>
          <w:sz w:val="20"/>
          <w:szCs w:val="20"/>
        </w:rPr>
      </w:pPr>
      <w:r>
        <w:rPr>
          <w:sz w:val="20"/>
          <w:szCs w:val="20"/>
        </w:rPr>
        <w:t>Trhl jsem sebou tak, jako trhává sebou člověk, když zavadí o cosi nemilého — a zadumal se! Byl jsem nuceníi Vzpomněl jsem si, jak bývalo v Čechách lépe, když od chaty</w:t>
      </w:r>
      <w:r>
        <w:rPr>
          <w:sz w:val="20"/>
          <w:szCs w:val="20"/>
        </w:rPr>
        <w:t>, k chatě putovala sice malá knížka a nesnášela v ty chaty zápach krve, mor a spoustu rouhání; nýbrž zápal čistá vlastenecký a zápal pro to, co člověku má býti svata! A vzpomněl jsem dále toho, že byli šlechetnějšími ti staří nakladatelé, než někdy ti nyně</w:t>
      </w:r>
      <w:r>
        <w:rPr>
          <w:sz w:val="20"/>
          <w:szCs w:val="20"/>
        </w:rPr>
        <w:t>jší, kteří »k vůli kšeftu« ne</w:t>
      </w:r>
      <w:r>
        <w:rPr>
          <w:sz w:val="20"/>
          <w:szCs w:val="20"/>
        </w:rPr>
        <w:softHyphen/>
        <w:t>dbají toho, co vydávají a jak to může působit mezi lidem zhoubně!</w:t>
      </w:r>
    </w:p>
    <w:p w:rsidR="00500724" w:rsidRDefault="00F30FB8">
      <w:pPr>
        <w:pStyle w:val="Zkladntext30"/>
        <w:shd w:val="clear" w:color="auto" w:fill="auto"/>
        <w:spacing w:after="0" w:line="197" w:lineRule="auto"/>
        <w:rPr>
          <w:sz w:val="20"/>
          <w:szCs w:val="20"/>
        </w:rPr>
      </w:pPr>
      <w:r>
        <w:rPr>
          <w:sz w:val="20"/>
          <w:szCs w:val="20"/>
        </w:rPr>
        <w:t xml:space="preserve">Vyrostl jsem totiž mezi »naším lidem« a znám tudíž to, jak! to působí, když u večeře sejdou se v osadě četby a »histo- rií« chtiví a když pročítají anebo slyší </w:t>
      </w:r>
      <w:r>
        <w:rPr>
          <w:sz w:val="20"/>
          <w:szCs w:val="20"/>
        </w:rPr>
        <w:t>historii, která je povznáší. Toho úsměvu, toho zápalu či těch slz upřímných tolik, že to až dojímá! A naproti tomuhle vím, co to je, když takovýhle člověk dostane do ruky knihu, z jejíž každé řádky vane omamujícím výparem otrava!</w:t>
      </w:r>
    </w:p>
    <w:p w:rsidR="00500724" w:rsidRDefault="00F30FB8">
      <w:pPr>
        <w:pStyle w:val="Zkladntext30"/>
        <w:shd w:val="clear" w:color="auto" w:fill="auto"/>
        <w:spacing w:after="0" w:line="204" w:lineRule="auto"/>
      </w:pPr>
      <w:r>
        <w:t>Zdálo by se, že jsme chtěl</w:t>
      </w:r>
      <w:r>
        <w:t>i čtenáře pobavit. Ve sku</w:t>
      </w:r>
      <w:r>
        <w:softHyphen/>
        <w:t>tečnosti tvoří nakladatelská doporučení významné praejudicium nejen davovou sugescí, nýbrž i v refe- rentských a kritických soudech. Kolik jen vyjde u nás novinářských, vážným člověkem podepsaných kniž</w:t>
      </w:r>
      <w:r>
        <w:softHyphen/>
        <w:t>ních referátů, jež nejsou ni</w:t>
      </w:r>
      <w:r>
        <w:t>čím jiným, než myšlenko</w:t>
      </w:r>
      <w:r>
        <w:softHyphen/>
        <w:t>vým rozvedením prospektu či textu knižní záložky! To ví zvláště ten, kdo sám psal tuto antecedenci, a bý</w:t>
      </w:r>
      <w:r>
        <w:softHyphen/>
        <w:t>vá to velmi často sám autor, který je smluvně za</w:t>
      </w:r>
      <w:r>
        <w:softHyphen/>
        <w:t>vázán dodati potřebné texty. A to se ještě nestalo, aby autor sám sebe strhal.</w:t>
      </w:r>
      <w:r>
        <w:t xml:space="preserve"> A tak i působením mnoha jiných činitelů, jež třebas vůbec s literaturou nemají nic společného, tvoří u nás dosti autorů pod povzne</w:t>
      </w:r>
      <w:r>
        <w:softHyphen/>
        <w:t>senou maskou určité literární hodnoty, aniž si kdo dá práci podívat se zevrubně, co vlastně maska kryje.</w:t>
      </w:r>
    </w:p>
    <w:p w:rsidR="00500724" w:rsidRDefault="00F30FB8">
      <w:pPr>
        <w:pStyle w:val="Zkladntext30"/>
        <w:shd w:val="clear" w:color="auto" w:fill="auto"/>
        <w:spacing w:after="180" w:line="204" w:lineRule="auto"/>
      </w:pPr>
      <w:r>
        <w:t>Obratný autor, přej</w:t>
      </w:r>
      <w:r>
        <w:t>í-li mu podmínky, může »sám sebe udělat«. Správněji řečeno, musí se »udělat«, chce-li dál pracovat, protože není nikoho, kdo by ho »udělal«. Při tom se nám zjevuje bledá tvář vzděla</w:t>
      </w:r>
      <w:r>
        <w:softHyphen/>
        <w:t>ného muže středních let, jenž byl činný jako propagá</w:t>
      </w:r>
      <w:r>
        <w:softHyphen/>
        <w:t>tor v kumbálku staréh</w:t>
      </w:r>
      <w:r>
        <w:t>o domu jednoho pražského na</w:t>
      </w:r>
      <w:r>
        <w:softHyphen/>
        <w:t>kladatelství, pokojíku, zaneseném papíry, knihami a kresbami obálek, v němž se po celý den musilo svítit. Tento muž, vyřídiv pět telefonních rozhovorů, po</w:t>
      </w:r>
      <w:r>
        <w:softHyphen/>
        <w:t xml:space="preserve">zdvihl svou umučenou hlavu a pravil jednomu spiso- vateli-začátečníkovi: </w:t>
      </w:r>
      <w:r>
        <w:t>»Koukejte na ty hromady! Já nevím ani, jak se jmenujete. My vydáváme všecko možné. Průměrem v sezóně čtyři až pět knih týdně. Jsem na všecko sám. Abych četl knihy, k tomu se vů</w:t>
      </w:r>
      <w:r>
        <w:softHyphen/>
        <w:t xml:space="preserve">bec nedostanu. Tady není nakladatelství, tady je fabrika. Napište si to všecko </w:t>
      </w:r>
      <w:r>
        <w:t>sám!«</w:t>
      </w:r>
    </w:p>
    <w:p w:rsidR="00500724" w:rsidRDefault="00F30FB8">
      <w:pPr>
        <w:pStyle w:val="Jin0"/>
        <w:shd w:val="clear" w:color="auto" w:fill="auto"/>
        <w:spacing w:after="140"/>
        <w:ind w:firstLine="0"/>
        <w:jc w:val="left"/>
        <w:rPr>
          <w:sz w:val="44"/>
          <w:szCs w:val="44"/>
        </w:rPr>
      </w:pPr>
      <w:r>
        <w:rPr>
          <w:b/>
          <w:bCs/>
          <w:sz w:val="44"/>
          <w:szCs w:val="44"/>
          <w:u w:val="single"/>
        </w:rPr>
        <w:t>život a Instituce</w:t>
      </w:r>
    </w:p>
    <w:p w:rsidR="00500724" w:rsidRDefault="00F30FB8">
      <w:pPr>
        <w:pStyle w:val="Zkladntext30"/>
        <w:shd w:val="clear" w:color="auto" w:fill="auto"/>
        <w:spacing w:after="60" w:line="240" w:lineRule="auto"/>
        <w:ind w:firstLine="0"/>
        <w:rPr>
          <w:sz w:val="20"/>
          <w:szCs w:val="20"/>
        </w:rPr>
      </w:pPr>
      <w:r>
        <w:rPr>
          <w:i/>
          <w:iCs/>
          <w:sz w:val="20"/>
          <w:szCs w:val="20"/>
        </w:rPr>
        <w:t>Bohumila Fiedlerová:</w:t>
      </w:r>
    </w:p>
    <w:p w:rsidR="00500724" w:rsidRDefault="00F30FB8">
      <w:pPr>
        <w:pStyle w:val="Jin0"/>
        <w:shd w:val="clear" w:color="auto" w:fill="auto"/>
        <w:spacing w:line="192" w:lineRule="auto"/>
        <w:ind w:firstLine="0"/>
        <w:jc w:val="center"/>
        <w:rPr>
          <w:sz w:val="36"/>
          <w:szCs w:val="36"/>
        </w:rPr>
      </w:pPr>
      <w:r>
        <w:rPr>
          <w:sz w:val="36"/>
          <w:szCs w:val="36"/>
        </w:rPr>
        <w:t>Poměr dnešního člověka</w:t>
      </w:r>
      <w:r>
        <w:rPr>
          <w:sz w:val="36"/>
          <w:szCs w:val="36"/>
        </w:rPr>
        <w:br/>
        <w:t>k dějinám</w:t>
      </w:r>
    </w:p>
    <w:p w:rsidR="00500724" w:rsidRDefault="00F30FB8">
      <w:pPr>
        <w:pStyle w:val="Zkladntext30"/>
        <w:shd w:val="clear" w:color="auto" w:fill="auto"/>
        <w:spacing w:after="0" w:line="223" w:lineRule="auto"/>
        <w:ind w:firstLine="300"/>
      </w:pPr>
      <w:r>
        <w:t>Často člověk hodnotí minulé doby hodnotami doby přítomné. Tak se stává, že myšlenková ideová mě</w:t>
      </w:r>
      <w:r>
        <w:softHyphen/>
        <w:t xml:space="preserve">řítka dnešní přikládá na dobu historickou, která jsou jí cizí, a hodnotí tehdejší </w:t>
      </w:r>
      <w:r>
        <w:t>generaci podle úsudku dneška. Snad ještě žádná dosavadní doba nedovolá- vala se historie a jejího svědectví tak, jako neklidná doba dnešní. Snažíme se v ní opříti a zdůvodniti všecko, co pro sebe, svůj prospěch a své zájmy dnešní jako jednotlivci nebo jako</w:t>
      </w:r>
      <w:r>
        <w:t xml:space="preserve"> národ potřebujeme.</w:t>
      </w:r>
    </w:p>
    <w:p w:rsidR="00500724" w:rsidRDefault="00F30FB8">
      <w:pPr>
        <w:pStyle w:val="Zkladntext30"/>
        <w:shd w:val="clear" w:color="auto" w:fill="auto"/>
        <w:spacing w:after="0" w:line="223" w:lineRule="auto"/>
        <w:ind w:firstLine="300"/>
      </w:pPr>
      <w:r>
        <w:t>Při charakteristice osobitosti národa jest nutno vžiti do počtu všecko to, co během svého historického vývoje prožil a vykonal, oč se zdarem menším nebo větším se pokoušel, oč zápasil, čeho po marném úsilí vzdáti se musil buď pro vnitřn</w:t>
      </w:r>
      <w:r>
        <w:t>í své vývojové překáž</w:t>
      </w:r>
      <w:r>
        <w:softHyphen/>
        <w:t>ky nebo pro nepříznivé vnější okolnosti. Jest nutno přihlížeti i k tomu, co je nám o něm známo před jeho dobou historickou, tedy k jeho době mytické: k po</w:t>
      </w:r>
      <w:r>
        <w:softHyphen/>
        <w:t>věstem, pohádkám, báchorkám, písním, k lidové kul</w:t>
      </w:r>
      <w:r>
        <w:softHyphen/>
        <w:t>tuře vůbec. To vše, až do dob</w:t>
      </w:r>
      <w:r>
        <w:t>y historické, spadá v ši</w:t>
      </w:r>
      <w:r>
        <w:softHyphen/>
        <w:t>roké hledisko, s něhož je třeba dívati se na dějiny světa a vlastního národa.</w:t>
      </w:r>
    </w:p>
    <w:p w:rsidR="00500724" w:rsidRDefault="00F30FB8">
      <w:pPr>
        <w:pStyle w:val="Zkladntext30"/>
        <w:shd w:val="clear" w:color="auto" w:fill="auto"/>
        <w:spacing w:after="0" w:line="185" w:lineRule="auto"/>
        <w:ind w:firstLine="0"/>
        <w:jc w:val="center"/>
      </w:pPr>
      <w:r>
        <w:t>•</w:t>
      </w:r>
    </w:p>
    <w:p w:rsidR="00500724" w:rsidRDefault="00F30FB8">
      <w:pPr>
        <w:pStyle w:val="Zkladntext30"/>
        <w:shd w:val="clear" w:color="auto" w:fill="auto"/>
        <w:spacing w:after="0" w:line="221" w:lineRule="auto"/>
        <w:ind w:firstLine="300"/>
      </w:pPr>
      <w:r>
        <w:t>Historie zaznamenává, že naše české země byly v dávných dobách před pátým stoletím kryty hlubo</w:t>
      </w:r>
      <w:r>
        <w:softHyphen/>
        <w:t>kými lesy, téměř bez obyvatelstva. Po galském kmenu Bojí</w:t>
      </w:r>
      <w:r>
        <w:t>ch přešly německé kmeny Markomani a jiní jako lovci a kočovníci se svými stády těmito kraji a po využití lovišť a pastvišť odtáhli dále do okolních kra</w:t>
      </w:r>
      <w:r>
        <w:softHyphen/>
        <w:t>jin, dosud nevyužitých. Na jejich místo v pátém sto</w:t>
      </w:r>
      <w:r>
        <w:softHyphen/>
        <w:t xml:space="preserve">letí před Kristem nastoupily kmeny slovanské, které </w:t>
      </w:r>
      <w:r>
        <w:t>přišly od Karpat a řeky Volhy, kde byla jejich ko</w:t>
      </w:r>
      <w:r>
        <w:softHyphen/>
        <w:t>lébka. Byli též lovci a pastýři, ale na rozdíl od pře</w:t>
      </w:r>
      <w:r>
        <w:softHyphen/>
        <w:t>dešlých změnili tvářnost dosud divoké země, změnivše ji z pouhých pastvišť v kraje a zemi trvale a účinně vzdělávanou a zužitkovanou. Je zřejmo tedy, že</w:t>
      </w:r>
      <w:r>
        <w:t xml:space="preserve"> staří Čechové nebyli v této zemi kolonisty do původního obyvatelstva usazenými, nýbrž že zaujali kraje pře</w:t>
      </w:r>
      <w:r>
        <w:softHyphen/>
        <w:t>chodným bývalým obyvatelstvem využitkované a pak opuštěné.</w:t>
      </w:r>
    </w:p>
    <w:p w:rsidR="00500724" w:rsidRDefault="00F30FB8">
      <w:pPr>
        <w:pStyle w:val="Zkladntext30"/>
        <w:shd w:val="clear" w:color="auto" w:fill="auto"/>
        <w:spacing w:after="0" w:line="221" w:lineRule="auto"/>
        <w:ind w:firstLine="300"/>
      </w:pPr>
      <w:r>
        <w:t>Pod svými knížaty žili Čechové svobodná a ne</w:t>
      </w:r>
      <w:r>
        <w:softHyphen/>
        <w:t xml:space="preserve">závisle na svých sousedech až do roku 806, </w:t>
      </w:r>
      <w:r>
        <w:t>kdy musili pro pokoj uzavřití s mocným králem franckým, Karlem Velikým, poplatek 500 hřiven stříbra a 120 volů. Tento poplatek, který ve střídajících se bojích českých se zahraničními sousedy zanikal, byl obnoven za Václava Svatého a krále německého Jindři</w:t>
      </w:r>
      <w:r>
        <w:t>cha Ptáčníka. To byla tedy první forma našich styků s nejbližším sousedem. Jinak zůstávaly naše země na sousední říši nezávislé přes boje, které v té věci byly vedeny. Není v dějinách našich řeči o žádném opano</w:t>
      </w:r>
      <w:r>
        <w:softHyphen/>
        <w:t>vání země české, nejvýše jen o přechodném obs</w:t>
      </w:r>
      <w:r>
        <w:t>azení válečném, jako se stalo na krátký čas za Karla Veli</w:t>
      </w:r>
      <w:r>
        <w:softHyphen/>
        <w:t>kého. Naši panovníci přijímali pouze zemi svou od ně</w:t>
      </w:r>
      <w:r>
        <w:softHyphen/>
        <w:t>meckého panovníka v léno obřadem, při němž panov</w:t>
      </w:r>
      <w:r>
        <w:softHyphen/>
        <w:t>ník německý podal českému lénní korouhev, podáním ruky sliboval český kníže věrnost manskou a po</w:t>
      </w:r>
      <w:r>
        <w:t>zději pomoc vojenskou 300 oděnců ke slavnostní jízdě němec</w:t>
      </w:r>
      <w:r>
        <w:softHyphen/>
        <w:t>kého krále ke korunovaci na císaře římského do Ří</w:t>
      </w:r>
      <w:r>
        <w:softHyphen/>
        <w:t>ma nebo 300 hřiven stříbra. Počet těchto oděnců a hřiven stříbra byl později za Jiřího Poděbradského snížen na 150 oděnců nebo 150 hřiven stříbra z</w:t>
      </w:r>
      <w:r>
        <w:t>a služ</w:t>
      </w:r>
      <w:r>
        <w:softHyphen/>
        <w:t xml:space="preserve">by, které prokázal Jiří císaři Fridrichu </w:t>
      </w:r>
      <w:r>
        <w:rPr>
          <w:lang w:val="en-US" w:eastAsia="en-US" w:bidi="en-US"/>
        </w:rPr>
        <w:t xml:space="preserve">III. </w:t>
      </w:r>
      <w:r>
        <w:t>V pozděj</w:t>
      </w:r>
      <w:r>
        <w:softHyphen/>
        <w:t>ších dobách zanikl tento poplatek úplně.</w:t>
      </w:r>
    </w:p>
    <w:p w:rsidR="00500724" w:rsidRDefault="00F30FB8">
      <w:pPr>
        <w:pStyle w:val="Zkladntext30"/>
        <w:shd w:val="clear" w:color="auto" w:fill="auto"/>
        <w:spacing w:after="0" w:line="223" w:lineRule="auto"/>
        <w:ind w:firstLine="240"/>
      </w:pPr>
      <w:r>
        <w:t>Že Čechové nebyli pravým říšským lénem, to je skutečnou součástí říše, toho nejlepší důkaz je, že po vymření svých panovnických rodin domácích Pře</w:t>
      </w:r>
      <w:r>
        <w:softHyphen/>
        <w:t>myslov</w:t>
      </w:r>
      <w:r>
        <w:t>ců, Lucemburků, Jagajlovců, nepřipadli k říši jako léno odumřelé čili odúmrť. To bylo území, jímž králové němečtí mohli volně jako skutečnou součástí své říše disponovati a v ní nové panovníky podle své vůle po vymření domácích rodů panovnických dosazo- va</w:t>
      </w:r>
      <w:r>
        <w:t>ti. Tak stalo se v Marce Východní po vymření Ba-, benberků a v jiných vévodstvích. Toho v českém pří</w:t>
      </w:r>
      <w:r>
        <w:softHyphen/>
        <w:t>padě nebylo. I když se němečtí panovníci pokoušeli po vymření našich panovnických rodů své syny nebo jiné členy svého rodu na český trůn dosaditi,. volbu n</w:t>
      </w:r>
      <w:r>
        <w:t>a trůn vykonal vždy národ a panovníci němečtí ucházeli se o korunu českou jako kandidáti s jinými zahraničními konkurenty. Většinou činili si nároky na trůn sňatky s dcerami z domácích rodů, ale svo</w:t>
      </w:r>
      <w:r>
        <w:softHyphen/>
        <w:t>lení národa bylo vždy podstatným doplňkem při této svobod</w:t>
      </w:r>
      <w:r>
        <w:t>né volbě. Tak po vymření Přemyslovců dostal se na krátký čas na trůn Rudolf Habsburský, syn Albrechtův, pojav za choť vdovu po Václavu II. Sňat</w:t>
      </w:r>
      <w:r>
        <w:softHyphen/>
        <w:t>kem nastoupil též Jindřich Korutanský, jenž pojal za ženu Annu Přemyslovnu, Jan Lucemburský jako choť Elišky Pře</w:t>
      </w:r>
      <w:r>
        <w:t>myslovny, Ferdinand I. Habsburský sňat</w:t>
      </w:r>
      <w:r>
        <w:softHyphen/>
        <w:t>kem svým s Annou Jagajlovnou.</w:t>
      </w:r>
    </w:p>
    <w:p w:rsidR="00500724" w:rsidRDefault="00F30FB8">
      <w:pPr>
        <w:pStyle w:val="Zkladntext30"/>
        <w:shd w:val="clear" w:color="auto" w:fill="auto"/>
        <w:spacing w:after="0" w:line="223" w:lineRule="auto"/>
        <w:ind w:firstLine="240"/>
      </w:pPr>
      <w:r>
        <w:t>Nezávislosti českých panovníků prospělo, že jim se strany německých králů byl potvrzen titul královský napřed osobně, pak dědičně, a uděleno právo investi</w:t>
      </w:r>
      <w:r>
        <w:softHyphen/>
        <w:t>tury, volby pražských biskupů, c</w:t>
      </w:r>
      <w:r>
        <w:t>ož bylo právo pa</w:t>
      </w:r>
      <w:r>
        <w:softHyphen/>
        <w:t>novnické.</w:t>
      </w:r>
    </w:p>
    <w:p w:rsidR="00500724" w:rsidRDefault="00F30FB8">
      <w:pPr>
        <w:pStyle w:val="Zkladntext30"/>
        <w:shd w:val="clear" w:color="auto" w:fill="auto"/>
        <w:spacing w:after="0" w:line="240" w:lineRule="auto"/>
        <w:ind w:firstLine="240"/>
        <w:sectPr w:rsidR="00500724">
          <w:footnotePr>
            <w:numFmt w:val="chicago"/>
            <w:numRestart w:val="eachPage"/>
          </w:footnotePr>
          <w:pgSz w:w="11909" w:h="16834"/>
          <w:pgMar w:top="1652" w:right="1005" w:bottom="635" w:left="473" w:header="0" w:footer="3" w:gutter="0"/>
          <w:cols w:num="2" w:space="131"/>
          <w:noEndnote/>
          <w:docGrid w:linePitch="360"/>
        </w:sectPr>
      </w:pPr>
      <w:r>
        <w:t>Ke zvýšení moci českých panovníků přispělo také udělení práva kurfiřtského, právo voličů německého panovníka, což bylo slavně, zejména zlatou bulou Karla IV. jako císaře potvrzeno. Že při tom nescházel</w:t>
      </w:r>
      <w:r>
        <w:t>o pokusů německých panovníků do vykonávání těchto práv českých knížat zasahovati, rozumí se v těchto dobách samo sebou. Nejvážnější pokus byl za Pře</w:t>
      </w:r>
      <w:r>
        <w:softHyphen/>
        <w:t>mysla II., kterého vyzval německý král Rudolf Habs</w:t>
      </w:r>
      <w:r>
        <w:softHyphen/>
        <w:t>burský, aby přijal od něho nejen země alpské a koru- tan</w:t>
      </w:r>
      <w:r>
        <w:t xml:space="preserve">ské, ale i země české jako léno na říši závislé. To </w:t>
      </w:r>
      <w:r>
        <w:rPr>
          <w:i/>
          <w:iCs/>
        </w:rPr>
        <w:t>471</w:t>
      </w:r>
    </w:p>
    <w:p w:rsidR="00500724" w:rsidRDefault="00F30FB8">
      <w:pPr>
        <w:pStyle w:val="Jin0"/>
        <w:pBdr>
          <w:bottom w:val="single" w:sz="4" w:space="0" w:color="auto"/>
        </w:pBdr>
        <w:shd w:val="clear" w:color="auto" w:fill="auto"/>
        <w:ind w:firstLine="0"/>
        <w:jc w:val="center"/>
        <w:rPr>
          <w:sz w:val="38"/>
          <w:szCs w:val="38"/>
        </w:rPr>
        <w:sectPr w:rsidR="00500724">
          <w:footnotePr>
            <w:numFmt w:val="chicago"/>
            <w:numRestart w:val="eachPage"/>
          </w:footnotePr>
          <w:pgSz w:w="11909" w:h="16834"/>
          <w:pgMar w:top="685" w:right="943" w:bottom="1013" w:left="583" w:header="0" w:footer="3" w:gutter="0"/>
          <w:cols w:space="720"/>
          <w:noEndnote/>
          <w:docGrid w:linePitch="360"/>
        </w:sectPr>
      </w:pPr>
      <w:r>
        <w:rPr>
          <w:sz w:val="38"/>
          <w:szCs w:val="38"/>
        </w:rPr>
        <w:t>Přítomnosti</w:t>
      </w:r>
    </w:p>
    <w:p w:rsidR="00500724" w:rsidRDefault="00500724">
      <w:pPr>
        <w:spacing w:line="84" w:lineRule="exact"/>
        <w:rPr>
          <w:sz w:val="7"/>
          <w:szCs w:val="7"/>
        </w:rPr>
      </w:pPr>
    </w:p>
    <w:p w:rsidR="00500724" w:rsidRDefault="00500724">
      <w:pPr>
        <w:spacing w:line="14" w:lineRule="exact"/>
        <w:sectPr w:rsidR="00500724">
          <w:footnotePr>
            <w:numFmt w:val="chicago"/>
            <w:numRestart w:val="eachPage"/>
          </w:footnotePr>
          <w:type w:val="continuous"/>
          <w:pgSz w:w="11909" w:h="16834"/>
          <w:pgMar w:top="685" w:right="0" w:bottom="685" w:left="0" w:header="0" w:footer="3" w:gutter="0"/>
          <w:cols w:space="720"/>
          <w:noEndnote/>
          <w:docGrid w:linePitch="360"/>
        </w:sectPr>
      </w:pPr>
    </w:p>
    <w:p w:rsidR="00500724" w:rsidRDefault="00F30FB8">
      <w:pPr>
        <w:pStyle w:val="Zkladntext30"/>
        <w:shd w:val="clear" w:color="auto" w:fill="auto"/>
        <w:spacing w:after="0" w:line="221" w:lineRule="auto"/>
        <w:ind w:firstLine="0"/>
      </w:pPr>
      <w:r>
        <w:t>bylo před osudnou bitvou na Moravském poli. Pře</w:t>
      </w:r>
      <w:r>
        <w:softHyphen/>
        <w:t>mysl IL odmítl tuto žádost a za svobodu a nezávislost své země raději život položil.</w:t>
      </w:r>
    </w:p>
    <w:p w:rsidR="00500724" w:rsidRDefault="00F30FB8">
      <w:pPr>
        <w:pStyle w:val="Zkladntext30"/>
        <w:shd w:val="clear" w:color="auto" w:fill="auto"/>
        <w:spacing w:after="0" w:line="221" w:lineRule="auto"/>
      </w:pPr>
      <w:r>
        <w:t>Jaký význam měli a jaké mezinárodní vážnosti se těšili naši panovníci v zahraničí, jest nejlépe viděti na moci tohoto velkého krále Přemysla II., jehož sláva dotkla se až břehů moře Baltického. Věhlas císaře Karla IV., jeho veliké vzdělání a kulturní význ</w:t>
      </w:r>
      <w:r>
        <w:t>am mezinárodní je všeobecně znám.</w:t>
      </w:r>
    </w:p>
    <w:p w:rsidR="00500724" w:rsidRDefault="00F30FB8">
      <w:pPr>
        <w:pStyle w:val="Zkladntext30"/>
        <w:shd w:val="clear" w:color="auto" w:fill="auto"/>
        <w:spacing w:after="0" w:line="221" w:lineRule="auto"/>
      </w:pPr>
      <w:r>
        <w:t xml:space="preserve">Nejlepší král náš z domácí krve, Jiří Poděbradský, těšil se takové vážnosti, že jej vyhledávala na dvoře jeho ve svých rozepřích německá knížata, ba, že se uvažovalo i o tom, aby byl zvolen za krále římského, jako vedoucí </w:t>
      </w:r>
      <w:r>
        <w:t xml:space="preserve">státník v Německu za nedostatečného císaře Fridricha </w:t>
      </w:r>
      <w:r>
        <w:rPr>
          <w:lang w:val="en-US" w:eastAsia="en-US" w:bidi="en-US"/>
        </w:rPr>
        <w:t xml:space="preserve">III. </w:t>
      </w:r>
      <w:r>
        <w:t>S Jiřím uzavírala ráda okolní kní</w:t>
      </w:r>
      <w:r>
        <w:softHyphen/>
        <w:t>žata sňatky svých dětí, vědouce o velikém významu a vážnosti jeho mezinárodní. Jiří byl tvůrcem myšlenky všeobecného míru světa, zejména křesťan</w:t>
      </w:r>
      <w:r>
        <w:softHyphen/>
        <w:t>ského, který je pod</w:t>
      </w:r>
      <w:r>
        <w:t>nes největší tužbou přítomné doby.</w:t>
      </w:r>
    </w:p>
    <w:p w:rsidR="00500724" w:rsidRDefault="00F30FB8">
      <w:pPr>
        <w:pStyle w:val="Zkladntext30"/>
        <w:shd w:val="clear" w:color="auto" w:fill="auto"/>
        <w:spacing w:after="0" w:line="221" w:lineRule="auto"/>
      </w:pPr>
      <w:r>
        <w:t xml:space="preserve">Našim panovníkům holdovali jako zvoleným a uznaným panovníkům svým národové dnes mocní a silní. Tak Přemyslovi II., jako zvolenému vévodovi rakouskému, holdovali stavové rakouští, Václavu II., jako svému králi, holdovali </w:t>
      </w:r>
      <w:r>
        <w:t>Poláci, Václavu III., jako dočasně zvolenému svému panovníku, Maďaři, Janu Lucemburskému část severní Itálie a Lužice, synu jeho Karlu IV. holdovali stavové němečtí 1346 jako králi, 1355 jako císaři. I my jsme holdovali císařům cizího původu, ale vždy např</w:t>
      </w:r>
      <w:r>
        <w:t>ed jako českému králi a teprve jako císaři.</w:t>
      </w:r>
    </w:p>
    <w:p w:rsidR="00500724" w:rsidRDefault="00F30FB8">
      <w:pPr>
        <w:pStyle w:val="Zkladntext30"/>
        <w:shd w:val="clear" w:color="auto" w:fill="auto"/>
        <w:spacing w:after="0" w:line="221" w:lineRule="auto"/>
      </w:pPr>
      <w:r>
        <w:t>Německé vlivy u nás byly následkem německého jazyka dynastie, úřadů, ale nezávislost říše trvá a většina obyvatelstva jejího je slovanská. Minulost na</w:t>
      </w:r>
      <w:r>
        <w:softHyphen/>
        <w:t>še tehdy byla: do roku 1526 nezávislost zemí českých, po roku</w:t>
      </w:r>
      <w:r>
        <w:t xml:space="preserve"> 1526 připojení jich k říši rakousko-uherské pod vládou Habsburků s obražením státoprávním, které panovníci rakouští uznávali a vždy potvrzovali.</w:t>
      </w:r>
    </w:p>
    <w:p w:rsidR="00500724" w:rsidRDefault="00F30FB8">
      <w:pPr>
        <w:pStyle w:val="Zkladntext30"/>
        <w:shd w:val="clear" w:color="auto" w:fill="auto"/>
        <w:spacing w:after="0" w:line="221" w:lineRule="auto"/>
        <w:ind w:firstLine="0"/>
        <w:jc w:val="center"/>
      </w:pPr>
      <w:r>
        <w:t>•</w:t>
      </w:r>
    </w:p>
    <w:p w:rsidR="00500724" w:rsidRDefault="00F30FB8">
      <w:pPr>
        <w:pStyle w:val="Zkladntext30"/>
        <w:shd w:val="clear" w:color="auto" w:fill="auto"/>
        <w:spacing w:after="0" w:line="221" w:lineRule="auto"/>
      </w:pPr>
      <w:r>
        <w:t>Individualita národa projevuje se nejsilněji a nej</w:t>
      </w:r>
      <w:r>
        <w:softHyphen/>
        <w:t xml:space="preserve">určitěji v životě a cítění jeho lidu, tím, co prošlo jím </w:t>
      </w:r>
      <w:r>
        <w:t>až do nejhlubších kořenů jeho bytosti, do morku jeho kostí, tak jako u nás prošla a až do krve národa se vžila náboženská idea v době husitské reformace. Vy</w:t>
      </w:r>
      <w:r>
        <w:softHyphen/>
        <w:t>rostla z krve a z duše národa, uraženého laxní morál</w:t>
      </w:r>
      <w:r>
        <w:softHyphen/>
        <w:t xml:space="preserve">kou tehdejšího života, žila v něm v plné síle </w:t>
      </w:r>
      <w:r>
        <w:t>a mohut</w:t>
      </w:r>
      <w:r>
        <w:softHyphen/>
        <w:t>nosti. Žádná přítomnost nesmaže z duše národa jeho minulost; slavné doby i utrpení jeho přešla v jeho krev a životní mizu. Zapomenutí národa na jeho mi</w:t>
      </w:r>
      <w:r>
        <w:softHyphen/>
        <w:t>nulost jest duševní smrtí.</w:t>
      </w:r>
    </w:p>
    <w:p w:rsidR="00500724" w:rsidRDefault="00F30FB8">
      <w:pPr>
        <w:pStyle w:val="Zkladntext30"/>
        <w:shd w:val="clear" w:color="auto" w:fill="auto"/>
        <w:spacing w:after="0" w:line="221" w:lineRule="auto"/>
      </w:pPr>
      <w:r>
        <w:t>»Malá, neznámá země,« usoudil o nás na podzim vý</w:t>
      </w:r>
      <w:r>
        <w:softHyphen/>
        <w:t>značný anglický poli</w:t>
      </w:r>
      <w:r>
        <w:t>tik, posuzuje ji počtem kilometrů a nečetnými miliony jejích obyvatel. Ale mravně jsme veliká země, kulturnímu světu dobře známá kolébka hnutí, z něhož vyšlo obrození křesťanského života. Veliká jest hřivna srdce a ducha našeho národa, jevící se v bohatstv</w:t>
      </w:r>
      <w:r>
        <w:t>í našich dějin, jímž překonali jsme mno</w:t>
      </w:r>
      <w:r>
        <w:softHyphen/>
        <w:t>hou bohatou a mocnou zemi, která se honosí nabitým měšcem hmotných statků tohoto světa.</w:t>
      </w:r>
    </w:p>
    <w:p w:rsidR="00500724" w:rsidRDefault="00F30FB8">
      <w:pPr>
        <w:pStyle w:val="Zkladntext30"/>
        <w:shd w:val="clear" w:color="auto" w:fill="auto"/>
        <w:spacing w:after="0" w:line="221" w:lineRule="auto"/>
      </w:pPr>
      <w:r>
        <w:t>Malá, neznámá země ..., ale není tomu tak dávno, co ve středu našem žil velký duch, první Evropan, jak jej zvala cizina, k němuž</w:t>
      </w:r>
      <w:r>
        <w:t xml:space="preserve"> s úctou vzhlížel celý známý vzdělaný svět. Muž, jenž bezelstným, spravedlivým, poctivým bojem vydobyl národu svému svobodný stát a nezávislost.</w:t>
      </w:r>
    </w:p>
    <w:p w:rsidR="00500724" w:rsidRDefault="00F30FB8">
      <w:pPr>
        <w:pStyle w:val="Zkladntext30"/>
        <w:shd w:val="clear" w:color="auto" w:fill="auto"/>
        <w:spacing w:after="0" w:line="223" w:lineRule="auto"/>
      </w:pPr>
      <w:r>
        <w:t>Malá, neznámá země, ale jsme před celým světem na ni hrdi, milujeme ji. V duši každého národa jest a zůstává ně</w:t>
      </w:r>
      <w:r>
        <w:t>co nesmrtelného.</w:t>
      </w:r>
    </w:p>
    <w:p w:rsidR="00500724" w:rsidRDefault="00F30FB8">
      <w:pPr>
        <w:pStyle w:val="Zkladntext30"/>
        <w:shd w:val="clear" w:color="auto" w:fill="auto"/>
        <w:spacing w:after="0" w:line="223" w:lineRule="auto"/>
      </w:pPr>
      <w:r>
        <w:t>Z dějin světa zůstávají dějiny vlastního národa vý</w:t>
      </w:r>
      <w:r>
        <w:softHyphen/>
        <w:t>sečí jeho kulturní a hospodářské mohoucnosti. Jsme hrdi právem na to, že naše historie jest v tom kruhu dílkem ne malým a bezvýznamným. Masaryk věřil, že Prozřetelnost určila našemu národu</w:t>
      </w:r>
      <w:r>
        <w:t xml:space="preserve"> zvláštní poslání v dějinách světa a snažil se svou výchovou jej k němu vésti.</w:t>
      </w:r>
    </w:p>
    <w:p w:rsidR="00500724" w:rsidRDefault="00F30FB8">
      <w:pPr>
        <w:pStyle w:val="Zkladntext30"/>
        <w:shd w:val="clear" w:color="auto" w:fill="auto"/>
        <w:spacing w:after="0" w:line="223" w:lineRule="auto"/>
      </w:pPr>
      <w:r>
        <w:t>Není však možno při péči o další vývoj národa pra</w:t>
      </w:r>
      <w:r>
        <w:softHyphen/>
        <w:t>covati jen na historických základech. Historie jest ko</w:t>
      </w:r>
      <w:r>
        <w:softHyphen/>
        <w:t>řen, co nová doba k němu přičiňuje jako větev, list, květ, plod, jest př</w:t>
      </w:r>
      <w:r>
        <w:t>ítomnost a budoucnost národa. Ne</w:t>
      </w:r>
      <w:r>
        <w:softHyphen/>
        <w:t>můžeme žiti jen ze svých bohatých historických hod</w:t>
      </w:r>
      <w:r>
        <w:softHyphen/>
        <w:t>not, abychom v kultuře své neuztrnuli a nezpozdili se za těmi, kteří žijí třeba s chudou historií, ale s boha</w:t>
      </w:r>
      <w:r>
        <w:softHyphen/>
        <w:t>tým smyslem pro přítomnost a budoucnost.</w:t>
      </w:r>
    </w:p>
    <w:p w:rsidR="00500724" w:rsidRDefault="00F30FB8">
      <w:pPr>
        <w:pStyle w:val="Zkladntext30"/>
        <w:shd w:val="clear" w:color="auto" w:fill="auto"/>
        <w:spacing w:after="0" w:line="221" w:lineRule="auto"/>
      </w:pPr>
      <w:r>
        <w:t>Sli jsme v dějinách s</w:t>
      </w:r>
      <w:r>
        <w:t xml:space="preserve">vými cestami, půjdeme jimi </w:t>
      </w:r>
      <w:r>
        <w:rPr>
          <w:b/>
          <w:bCs/>
          <w:sz w:val="26"/>
          <w:szCs w:val="26"/>
        </w:rPr>
        <w:t xml:space="preserve">i </w:t>
      </w:r>
      <w:r>
        <w:t>dále. Kulturní národ má svůj přirozený, zacílený směr, jen v něm může býti silný a svůj. Světlem na této cestě bude nám naše národní tradice. Není jen svatováclavská, ale i Husova, Jiřího Poděbradského, Havlíčkova a Masarykova,</w:t>
      </w:r>
      <w:r>
        <w:t xml:space="preserve"> který ve své osobnosti a svém učení spojil všecky v organickou jednotu. Národ náš nemůže přijímat snadno cizí kulturu, poněvadž má svou vlastní, bohatou a vyspělou jako Němci. Jen národ s chudší kulturou podléhá asimilaci kulturní snáze než my. Na vývoj k</w:t>
      </w:r>
      <w:r>
        <w:t>ultury české měla vliv kul</w:t>
      </w:r>
      <w:r>
        <w:softHyphen/>
        <w:t>tura německá, právě tak jako na německou kultura římská, na tuto. řecká, která založena jest na starých kulturách předoasijských: babylonské, fénické a j. Tak i umění a zejména stavitelství naše čerpajíc z ně</w:t>
      </w:r>
      <w:r>
        <w:softHyphen/>
        <w:t>meckého čerpalo vlas</w:t>
      </w:r>
      <w:r>
        <w:t>tně ze všech těchto jmenova</w:t>
      </w:r>
      <w:r>
        <w:softHyphen/>
        <w:t>ných kultur a pramenů. Vidíme tedy, že kultura lid</w:t>
      </w:r>
      <w:r>
        <w:softHyphen/>
        <w:t>ská je dlouhým řetězem, který se táhl všemi vzděla</w:t>
      </w:r>
      <w:r>
        <w:softHyphen/>
        <w:t xml:space="preserve">nými národy </w:t>
      </w:r>
      <w:r>
        <w:rPr>
          <w:i/>
          <w:iCs/>
        </w:rPr>
        <w:t>a</w:t>
      </w:r>
      <w:r>
        <w:t xml:space="preserve"> všemi věky.</w:t>
      </w:r>
    </w:p>
    <w:p w:rsidR="00500724" w:rsidRDefault="00F30FB8">
      <w:pPr>
        <w:pStyle w:val="Zkladntext30"/>
        <w:shd w:val="clear" w:color="auto" w:fill="auto"/>
        <w:spacing w:after="0" w:line="223" w:lineRule="auto"/>
      </w:pPr>
      <w:r>
        <w:t>Naše síla jeví se dnes v práci pro naši budoucnost, v ní semkli jsme se všichni, v ní ukážeme, kdo j</w:t>
      </w:r>
      <w:r>
        <w:t>sme a jací jsme.</w:t>
      </w:r>
    </w:p>
    <w:p w:rsidR="00500724" w:rsidRDefault="00F30FB8">
      <w:pPr>
        <w:pStyle w:val="Zkladntext30"/>
        <w:shd w:val="clear" w:color="auto" w:fill="auto"/>
        <w:spacing w:after="0" w:line="223" w:lineRule="auto"/>
        <w:sectPr w:rsidR="00500724">
          <w:footnotePr>
            <w:numFmt w:val="chicago"/>
            <w:numRestart w:val="eachPage"/>
          </w:footnotePr>
          <w:type w:val="continuous"/>
          <w:pgSz w:w="11909" w:h="16834"/>
          <w:pgMar w:top="685" w:right="943" w:bottom="685" w:left="583" w:header="0" w:footer="3" w:gutter="0"/>
          <w:cols w:num="2" w:space="149"/>
          <w:noEndnote/>
          <w:docGrid w:linePitch="360"/>
        </w:sectPr>
      </w:pPr>
      <w:r>
        <w:t>Krásná jsou slova Fichteho, velkého německého spisovatele, která napsal v »Řeči k národu německé- mu« v bojích napoleonských. Vlast jeho byla tehdáž ponížená. A on v bolesti své jako věrný syn svého ná</w:t>
      </w:r>
      <w:r>
        <w:softHyphen/>
        <w:t>roda na</w:t>
      </w:r>
      <w:r>
        <w:t>šel krásná slova, která se na dnešní naši si</w:t>
      </w:r>
      <w:r>
        <w:softHyphen/>
        <w:t>tuaci hodí lépe než kterákoliv jiná: »Jsme přemoženi; zdali však chceme nyní upadnouti zároveň do pohrdání a to právem, chceme-li ke všem svým ostatním ztrá</w:t>
      </w:r>
      <w:r>
        <w:softHyphen/>
        <w:t>tám přidati ještě ztrátu cti, to ještě stále závisí na</w:t>
      </w:r>
      <w:r>
        <w:t xml:space="preserve"> nás. Boj zbraněmi je skončen; chceme-li, začíná se nový zápas, zápas zásad, mravů, charakterů.« A dále: &gt;&gt;Chraňme se vybízeti je k tomu, aby námi pohrdali; toho bychom ničím tak jistě nedosáhli, jako tím, že bychom se buď nesmírně báli nebo odhodili podst</w:t>
      </w:r>
      <w:r>
        <w:t>atu svého bytí, abychom se jim podobali.«</w:t>
      </w:r>
    </w:p>
    <w:p w:rsidR="00500724" w:rsidRDefault="00F30FB8">
      <w:pPr>
        <w:pStyle w:val="Nadpis50"/>
        <w:keepNext/>
        <w:keepLines/>
        <w:framePr w:w="6994" w:h="1714" w:wrap="none" w:vAnchor="text" w:hAnchor="page" w:x="3661" w:y="303"/>
        <w:shd w:val="clear" w:color="auto" w:fill="auto"/>
      </w:pPr>
      <w:bookmarkStart w:id="747" w:name="bookmark746"/>
      <w:r>
        <w:t>vět knih</w:t>
      </w:r>
      <w:bookmarkEnd w:id="747"/>
    </w:p>
    <w:p w:rsidR="00500724" w:rsidRDefault="00F30FB8">
      <w:pPr>
        <w:pStyle w:val="Nadpis90"/>
        <w:keepNext/>
        <w:keepLines/>
        <w:framePr w:w="7238" w:h="523" w:wrap="none" w:vAnchor="text" w:hAnchor="page" w:x="3445" w:y="2017"/>
        <w:shd w:val="clear" w:color="auto" w:fill="auto"/>
        <w:spacing w:after="0"/>
        <w:rPr>
          <w:sz w:val="42"/>
          <w:szCs w:val="42"/>
        </w:rPr>
      </w:pPr>
      <w:bookmarkStart w:id="748" w:name="bookmark747"/>
      <w:r>
        <w:rPr>
          <w:b/>
          <w:bCs/>
          <w:sz w:val="34"/>
          <w:szCs w:val="34"/>
        </w:rPr>
        <w:t xml:space="preserve">KULTURNÍ </w:t>
      </w:r>
      <w:r>
        <w:rPr>
          <w:smallCaps/>
          <w:sz w:val="42"/>
          <w:szCs w:val="42"/>
        </w:rPr>
        <w:t>zpravodaj</w:t>
      </w:r>
      <w:bookmarkEnd w:id="748"/>
    </w:p>
    <w:p w:rsidR="00500724" w:rsidRDefault="00F30FB8">
      <w:pPr>
        <w:pStyle w:val="slonadpisu110"/>
        <w:framePr w:w="413" w:h="1757" w:wrap="none" w:vAnchor="text" w:hAnchor="page" w:x="10962" w:y="21"/>
        <w:shd w:val="clear" w:color="auto" w:fill="auto"/>
      </w:pPr>
      <w:r>
        <w:t>90</w:t>
      </w:r>
    </w:p>
    <w:p w:rsidR="00500724" w:rsidRDefault="00F30FB8">
      <w:pPr>
        <w:pStyle w:val="Nadpis110"/>
        <w:framePr w:w="413" w:h="1757" w:wrap="none" w:vAnchor="text" w:hAnchor="page" w:x="10962" w:y="21"/>
        <w:shd w:val="clear" w:color="auto" w:fill="auto"/>
        <w:spacing w:line="180" w:lineRule="auto"/>
      </w:pPr>
      <w:bookmarkStart w:id="749" w:name="bookmark748"/>
      <w:r>
        <w:t>O</w:t>
      </w:r>
      <w:bookmarkEnd w:id="749"/>
    </w:p>
    <w:p w:rsidR="00500724" w:rsidRDefault="00F30FB8">
      <w:pPr>
        <w:pStyle w:val="Nadpis110"/>
        <w:framePr w:w="413" w:h="1757" w:wrap="none" w:vAnchor="text" w:hAnchor="page" w:x="10962" w:y="21"/>
        <w:shd w:val="clear" w:color="auto" w:fill="auto"/>
        <w:spacing w:line="226" w:lineRule="auto"/>
      </w:pPr>
      <w:bookmarkStart w:id="750" w:name="bookmark749"/>
      <w:r>
        <w:t>í*</w:t>
      </w:r>
      <w:bookmarkEnd w:id="750"/>
    </w:p>
    <w:p w:rsidR="00500724" w:rsidRDefault="00F30FB8">
      <w:pPr>
        <w:pStyle w:val="Nadpis110"/>
        <w:framePr w:w="413" w:h="1757" w:wrap="none" w:vAnchor="text" w:hAnchor="page" w:x="10962" w:y="21"/>
        <w:shd w:val="clear" w:color="auto" w:fill="auto"/>
        <w:spacing w:after="100" w:line="180" w:lineRule="auto"/>
      </w:pPr>
      <w:bookmarkStart w:id="751" w:name="bookmark750"/>
      <w:r>
        <w:t>&gt;©</w:t>
      </w:r>
      <w:bookmarkEnd w:id="751"/>
    </w:p>
    <w:p w:rsidR="00500724" w:rsidRDefault="00F30FB8">
      <w:pPr>
        <w:pStyle w:val="Nadpis110"/>
        <w:framePr w:w="413" w:h="1757" w:wrap="none" w:vAnchor="text" w:hAnchor="page" w:x="10962" w:y="21"/>
        <w:shd w:val="clear" w:color="auto" w:fill="auto"/>
      </w:pPr>
      <w:bookmarkStart w:id="752" w:name="bookmark751"/>
      <w:r>
        <w:t>o«</w:t>
      </w:r>
      <w:bookmarkEnd w:id="752"/>
    </w:p>
    <w:p w:rsidR="00500724" w:rsidRDefault="00F30FB8">
      <w:pPr>
        <w:pStyle w:val="Nadpis110"/>
        <w:framePr w:w="413" w:h="1757" w:wrap="none" w:vAnchor="text" w:hAnchor="page" w:x="10962" w:y="21"/>
        <w:shd w:val="clear" w:color="auto" w:fill="auto"/>
      </w:pPr>
      <w:bookmarkStart w:id="753" w:name="bookmark752"/>
      <w:r>
        <w:t>&lt;*»</w:t>
      </w:r>
      <w:bookmarkEnd w:id="753"/>
    </w:p>
    <w:p w:rsidR="00500724" w:rsidRDefault="00F30FB8">
      <w:pPr>
        <w:pStyle w:val="Nadpis110"/>
        <w:framePr w:w="413" w:h="1757" w:wrap="none" w:vAnchor="text" w:hAnchor="page" w:x="10962" w:y="21"/>
        <w:shd w:val="clear" w:color="auto" w:fill="auto"/>
        <w:spacing w:after="60"/>
      </w:pPr>
      <w:bookmarkStart w:id="754" w:name="bookmark753"/>
      <w:r>
        <w:t>o</w:t>
      </w:r>
      <w:bookmarkEnd w:id="754"/>
    </w:p>
    <w:p w:rsidR="00500724" w:rsidRDefault="00500724">
      <w:pPr>
        <w:spacing w:after="97" w:line="14" w:lineRule="exact"/>
      </w:pPr>
    </w:p>
    <w:p w:rsidR="00500724" w:rsidRDefault="00500724">
      <w:pPr>
        <w:spacing w:line="14" w:lineRule="exact"/>
        <w:sectPr w:rsidR="00500724">
          <w:footnotePr>
            <w:numFmt w:val="chicago"/>
            <w:numRestart w:val="eachPage"/>
          </w:footnotePr>
          <w:pgSz w:w="11909" w:h="16834"/>
          <w:pgMar w:top="3204" w:right="482" w:bottom="723" w:left="842" w:header="0" w:footer="3" w:gutter="0"/>
          <w:cols w:space="720"/>
          <w:noEndnote/>
          <w:docGrid w:linePitch="360"/>
        </w:sectPr>
      </w:pPr>
    </w:p>
    <w:p w:rsidR="00500724" w:rsidRDefault="00500724">
      <w:pPr>
        <w:spacing w:line="42" w:lineRule="exact"/>
        <w:rPr>
          <w:sz w:val="3"/>
          <w:szCs w:val="3"/>
        </w:rPr>
      </w:pPr>
    </w:p>
    <w:p w:rsidR="00500724" w:rsidRDefault="00500724">
      <w:pPr>
        <w:spacing w:line="14" w:lineRule="exact"/>
        <w:sectPr w:rsidR="00500724">
          <w:footnotePr>
            <w:numFmt w:val="chicago"/>
            <w:numRestart w:val="eachPage"/>
          </w:footnotePr>
          <w:type w:val="continuous"/>
          <w:pgSz w:w="11909" w:h="16834"/>
          <w:pgMar w:top="3104" w:right="0" w:bottom="723"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30148" behindDoc="0" locked="0" layoutInCell="1" allowOverlap="1">
                <wp:simplePos x="0" y="0"/>
                <wp:positionH relativeFrom="page">
                  <wp:posOffset>2275205</wp:posOffset>
                </wp:positionH>
                <wp:positionV relativeFrom="paragraph">
                  <wp:posOffset>12700</wp:posOffset>
                </wp:positionV>
                <wp:extent cx="3215640" cy="1130935"/>
                <wp:effectExtent l="0" t="0" r="0" b="0"/>
                <wp:wrapSquare wrapText="bothSides"/>
                <wp:docPr id="771" name="Shape 771"/>
                <wp:cNvGraphicFramePr/>
                <a:graphic xmlns:a="http://schemas.openxmlformats.org/drawingml/2006/main">
                  <a:graphicData uri="http://schemas.microsoft.com/office/word/2010/wordprocessingShape">
                    <wps:wsp>
                      <wps:cNvSpPr txBox="1"/>
                      <wps:spPr>
                        <a:xfrm>
                          <a:off x="0" y="0"/>
                          <a:ext cx="3215640" cy="1130935"/>
                        </a:xfrm>
                        <a:prstGeom prst="rect">
                          <a:avLst/>
                        </a:prstGeom>
                        <a:noFill/>
                      </wps:spPr>
                      <wps:txbx>
                        <w:txbxContent>
                          <w:p w:rsidR="00500724" w:rsidRDefault="00F30FB8">
                            <w:pPr>
                              <w:pStyle w:val="Zkladntext1"/>
                              <w:shd w:val="clear" w:color="auto" w:fill="auto"/>
                              <w:ind w:firstLine="0"/>
                              <w:jc w:val="center"/>
                            </w:pPr>
                            <w:r>
                              <w:rPr>
                                <w:b/>
                                <w:bCs/>
                              </w:rPr>
                              <w:t>Srdce a doba</w:t>
                            </w:r>
                          </w:p>
                          <w:p w:rsidR="00500724" w:rsidRDefault="00F30FB8">
                            <w:pPr>
                              <w:pStyle w:val="Zkladntext1"/>
                              <w:shd w:val="clear" w:color="auto" w:fill="auto"/>
                              <w:ind w:firstLine="180"/>
                            </w:pPr>
                            <w:r>
                              <w:rPr>
                                <w:b/>
                                <w:bCs/>
                              </w:rPr>
                              <w:t xml:space="preserve">Naše srdce zápoli každého dne s pohanami světa, které je přivádějí na jeho vlastní </w:t>
                            </w:r>
                            <w:r>
                              <w:rPr>
                                <w:b/>
                                <w:bCs/>
                              </w:rPr>
                              <w:t>tajemství; je vydáno bez od</w:t>
                            </w:r>
                            <w:r>
                              <w:rPr>
                                <w:b/>
                                <w:bCs/>
                              </w:rPr>
                              <w:softHyphen/>
                              <w:t>dechu nejkrutějším bojům ve vnitřní tvrzi. Má svoje smrtelné zápasy každého dne, své krvavé oběti, z nichž po</w:t>
                            </w:r>
                            <w:r>
                              <w:rPr>
                                <w:b/>
                                <w:bCs/>
                              </w:rPr>
                              <w:softHyphen/>
                              <w:t>vstává z mrtvých. Nikdy doba nebyla tedy tragičtější v těch, kdož mají sílu žiti, ani krásnější nežli tato doba.</w:t>
                            </w:r>
                          </w:p>
                          <w:p w:rsidR="00500724" w:rsidRDefault="00F30FB8">
                            <w:pPr>
                              <w:pStyle w:val="Zkladntext1"/>
                              <w:shd w:val="clear" w:color="auto" w:fill="auto"/>
                              <w:spacing w:line="223" w:lineRule="auto"/>
                              <w:ind w:firstLine="0"/>
                              <w:jc w:val="right"/>
                              <w:rPr>
                                <w:sz w:val="20"/>
                                <w:szCs w:val="20"/>
                              </w:rPr>
                            </w:pPr>
                            <w:r>
                              <w:rPr>
                                <w:b/>
                                <w:bCs/>
                                <w:i/>
                                <w:iCs/>
                                <w:sz w:val="20"/>
                                <w:szCs w:val="20"/>
                              </w:rPr>
                              <w:t>André</w:t>
                            </w:r>
                            <w:r>
                              <w:rPr>
                                <w:b/>
                                <w:bCs/>
                                <w:i/>
                                <w:iCs/>
                                <w:sz w:val="20"/>
                                <w:szCs w:val="20"/>
                              </w:rPr>
                              <w:t xml:space="preserve"> Suarés</w:t>
                            </w:r>
                          </w:p>
                        </w:txbxContent>
                      </wps:txbx>
                      <wps:bodyPr lIns="0" tIns="0" rIns="0" bIns="0">
                        <a:spAutoFit/>
                      </wps:bodyPr>
                    </wps:wsp>
                  </a:graphicData>
                </a:graphic>
              </wp:anchor>
            </w:drawing>
          </mc:Choice>
          <mc:Fallback>
            <w:pict>
              <v:shape id="_x0000_s1797" type="#_x0000_t202" style="position:absolute;margin-left:179.15000000000001pt;margin-top:1.pt;width:253.19999999999999pt;height:89.049999999999997pt;z-index:-125828605;mso-wrap-distance-left:0;mso-wrap-distance-right:0;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cs-CZ" w:eastAsia="cs-CZ" w:bidi="cs-CZ"/>
                        </w:rPr>
                        <w:t>Srdce a doba</w:t>
                      </w:r>
                    </w:p>
                    <w:p>
                      <w:pPr>
                        <w:pStyle w:val="Style18"/>
                        <w:keepNext w:val="0"/>
                        <w:keepLines w:val="0"/>
                        <w:widowControl w:val="0"/>
                        <w:shd w:val="clear" w:color="auto" w:fill="auto"/>
                        <w:bidi w:val="0"/>
                        <w:spacing w:before="0" w:after="0" w:line="240" w:lineRule="auto"/>
                        <w:ind w:left="0" w:right="0" w:firstLine="180"/>
                      </w:pPr>
                      <w:r>
                        <w:rPr>
                          <w:b/>
                          <w:bCs/>
                          <w:color w:val="000000"/>
                          <w:spacing w:val="0"/>
                          <w:w w:val="100"/>
                          <w:position w:val="0"/>
                          <w:shd w:val="clear" w:color="auto" w:fill="auto"/>
                          <w:lang w:val="cs-CZ" w:eastAsia="cs-CZ" w:bidi="cs-CZ"/>
                        </w:rPr>
                        <w:t>Naše srdce zápoli každého dne s pohanami světa, které je přivádějí na jeho vlastní tajemství; je vydáno bez od</w:t>
                        <w:softHyphen/>
                        <w:t>dechu nejkrutějším bojům ve vnitřní tvrzi. Má svoje smrtelné zápasy každého dne, své krvavé oběti, z nichž po</w:t>
                        <w:softHyphen/>
                        <w:t>vstává z mrtvých. Nikdy doba nebyla tedy tragičtější v těch, kdož mají sílu žiti, ani krásnější nežli tato doba.</w:t>
                      </w:r>
                    </w:p>
                    <w:p>
                      <w:pPr>
                        <w:pStyle w:val="Style18"/>
                        <w:keepNext w:val="0"/>
                        <w:keepLines w:val="0"/>
                        <w:widowControl w:val="0"/>
                        <w:shd w:val="clear" w:color="auto" w:fill="auto"/>
                        <w:bidi w:val="0"/>
                        <w:spacing w:before="0" w:after="0" w:line="223" w:lineRule="auto"/>
                        <w:ind w:left="0" w:right="0" w:firstLine="0"/>
                        <w:jc w:val="right"/>
                        <w:rPr>
                          <w:sz w:val="20"/>
                          <w:szCs w:val="20"/>
                        </w:rPr>
                      </w:pPr>
                      <w:r>
                        <w:rPr>
                          <w:b/>
                          <w:bCs/>
                          <w:i/>
                          <w:iCs/>
                          <w:color w:val="000000"/>
                          <w:spacing w:val="0"/>
                          <w:w w:val="100"/>
                          <w:position w:val="0"/>
                          <w:sz w:val="20"/>
                          <w:szCs w:val="20"/>
                          <w:shd w:val="clear" w:color="auto" w:fill="auto"/>
                          <w:lang w:val="cs-CZ" w:eastAsia="cs-CZ" w:bidi="cs-CZ"/>
                        </w:rPr>
                        <w:t>André Suarés</w:t>
                      </w:r>
                    </w:p>
                  </w:txbxContent>
                </v:textbox>
                <w10:wrap type="square" anchorx="page"/>
              </v:shape>
            </w:pict>
          </mc:Fallback>
        </mc:AlternateContent>
      </w:r>
      <w:r>
        <w:rPr>
          <w:noProof/>
        </w:rPr>
        <mc:AlternateContent>
          <mc:Choice Requires="wps">
            <w:drawing>
              <wp:anchor distT="0" distB="0" distL="0" distR="0" simplePos="0" relativeHeight="125830150" behindDoc="0" locked="0" layoutInCell="1" allowOverlap="1">
                <wp:simplePos x="0" y="0"/>
                <wp:positionH relativeFrom="page">
                  <wp:posOffset>3915410</wp:posOffset>
                </wp:positionH>
                <wp:positionV relativeFrom="paragraph">
                  <wp:posOffset>1176655</wp:posOffset>
                </wp:positionV>
                <wp:extent cx="1645920" cy="2871470"/>
                <wp:effectExtent l="0" t="0" r="0" b="0"/>
                <wp:wrapSquare wrapText="bothSides"/>
                <wp:docPr id="773" name="Shape 773"/>
                <wp:cNvGraphicFramePr/>
                <a:graphic xmlns:a="http://schemas.openxmlformats.org/drawingml/2006/main">
                  <a:graphicData uri="http://schemas.microsoft.com/office/word/2010/wordprocessingShape">
                    <wps:wsp>
                      <wps:cNvSpPr txBox="1"/>
                      <wps:spPr>
                        <a:xfrm>
                          <a:off x="0" y="0"/>
                          <a:ext cx="1645920" cy="2871470"/>
                        </a:xfrm>
                        <a:prstGeom prst="rect">
                          <a:avLst/>
                        </a:prstGeom>
                        <a:noFill/>
                      </wps:spPr>
                      <wps:txbx>
                        <w:txbxContent>
                          <w:p w:rsidR="00500724" w:rsidRDefault="00F30FB8">
                            <w:pPr>
                              <w:pStyle w:val="Zkladntext40"/>
                              <w:shd w:val="clear" w:color="auto" w:fill="auto"/>
                              <w:spacing w:after="0" w:line="190" w:lineRule="auto"/>
                            </w:pPr>
                            <w:r>
                              <w:t>množství speciálních fotografií slavných malířských děl zhotove</w:t>
                            </w:r>
                            <w:r>
                              <w:softHyphen/>
                              <w:t>ných zvláštními procesy, ponej</w:t>
                            </w:r>
                            <w:r>
                              <w:softHyphen/>
                              <w:t xml:space="preserve">více </w:t>
                            </w:r>
                            <w:r>
                              <w:rPr>
                                <w:b/>
                                <w:bCs/>
                              </w:rPr>
                              <w:t xml:space="preserve">v </w:t>
                            </w:r>
                            <w:r>
                              <w:t>laboratoři obrazárny v Louvru. Stejně objevitelsky jako bohatá část obrazová, obsahující celkem 55 reprodukci na křído</w:t>
                            </w:r>
                            <w:r>
                              <w:softHyphen/>
                              <w:t>vém papíře — mezi těmito</w:t>
                            </w:r>
                            <w:r>
                              <w:t xml:space="preserve"> repro</w:t>
                            </w:r>
                            <w:r>
                              <w:softHyphen/>
                              <w:t>dukcemi se nalézá také fotografie slavného obrazu malíře Walteana Lhostejný, Jehož krádež v Louvru vzbudila v těchto dnech pozornost kulturního světa — je zaměřen 1 text. Malířský rukopis je tu po prvé definován a zařaděn do sou</w:t>
                            </w:r>
                            <w:r>
                              <w:softHyphen/>
                              <w:t>stavy dějin umění. K</w:t>
                            </w:r>
                            <w:r>
                              <w:t>niha neni však určena jenom odborníkům. Obraci se ke všem milovníkům malby a výtvarného uměni. Jimiž odkrývá jim mnohé z dosud skry</w:t>
                            </w:r>
                            <w:r>
                              <w:softHyphen/>
                              <w:t>tých tajemství, tvůrčího umělec</w:t>
                            </w:r>
                            <w:r>
                              <w:softHyphen/>
                              <w:t>kého pochodu. Dílo, uvedené před</w:t>
                            </w:r>
                            <w:r>
                              <w:softHyphen/>
                              <w:t>mluvou konservátora pro odděle</w:t>
                            </w:r>
                            <w:r>
                              <w:softHyphen/>
                              <w:t>ní maleb v Louvru René Huygh</w:t>
                            </w:r>
                            <w:r>
                              <w:t>ea a doplněné trojjazyčným resumé, francouzským, anglickým a ně</w:t>
                            </w:r>
                            <w:r>
                              <w:softHyphen/>
                              <w:t>meckým, představuje ve svém do</w:t>
                            </w:r>
                            <w:r>
                              <w:softHyphen/>
                              <w:t>konalém celku také ušlechtilý, sličný svazek, který pro jeho krásný vzhled uvítají 1 všichni milovnici bibliofilských tisků. Knihu má v generální komisi Kr. Boro</w:t>
                            </w:r>
                            <w:r>
                              <w:t>vý. Cena je 100 K.</w:t>
                            </w:r>
                          </w:p>
                        </w:txbxContent>
                      </wps:txbx>
                      <wps:bodyPr lIns="0" tIns="0" rIns="0" bIns="0">
                        <a:spAutoFit/>
                      </wps:bodyPr>
                    </wps:wsp>
                  </a:graphicData>
                </a:graphic>
              </wp:anchor>
            </w:drawing>
          </mc:Choice>
          <mc:Fallback>
            <w:pict>
              <v:shape id="_x0000_s1799" type="#_x0000_t202" style="position:absolute;margin-left:308.30000000000001pt;margin-top:92.650000000000006pt;width:129.59999999999999pt;height:226.09999999999999pt;z-index:-125828603;mso-wrap-distance-left:0;mso-wrap-distance-right:0;mso-position-horizontal-relative:page" filled="f" stroked="f">
                <v:textbox style="mso-fit-shape-to-text:t" inset="0,0,0,0">
                  <w:txbxContent>
                    <w:p>
                      <w:pPr>
                        <w:pStyle w:val="Style42"/>
                        <w:keepNext w:val="0"/>
                        <w:keepLines w:val="0"/>
                        <w:widowControl w:val="0"/>
                        <w:shd w:val="clear" w:color="auto" w:fill="auto"/>
                        <w:bidi w:val="0"/>
                        <w:spacing w:before="0" w:after="0" w:line="190" w:lineRule="auto"/>
                        <w:ind w:left="0" w:right="0" w:firstLine="0"/>
                      </w:pPr>
                      <w:r>
                        <w:rPr>
                          <w:color w:val="000000"/>
                          <w:spacing w:val="0"/>
                          <w:w w:val="100"/>
                          <w:position w:val="0"/>
                          <w:shd w:val="clear" w:color="auto" w:fill="auto"/>
                          <w:lang w:val="cs-CZ" w:eastAsia="cs-CZ" w:bidi="cs-CZ"/>
                        </w:rPr>
                        <w:t>množství speciálních fotografií slavných malířských děl zhotove</w:t>
                        <w:softHyphen/>
                        <w:t>ných zvláštními procesy, ponej</w:t>
                        <w:softHyphen/>
                        <w:t xml:space="preserve">více </w:t>
                      </w:r>
                      <w:r>
                        <w:rPr>
                          <w:b/>
                          <w:bCs/>
                          <w:color w:val="000000"/>
                          <w:spacing w:val="0"/>
                          <w:w w:val="100"/>
                          <w:position w:val="0"/>
                          <w:shd w:val="clear" w:color="auto" w:fill="auto"/>
                          <w:lang w:val="cs-CZ" w:eastAsia="cs-CZ" w:bidi="cs-CZ"/>
                        </w:rPr>
                        <w:t xml:space="preserve">v </w:t>
                      </w:r>
                      <w:r>
                        <w:rPr>
                          <w:color w:val="000000"/>
                          <w:spacing w:val="0"/>
                          <w:w w:val="100"/>
                          <w:position w:val="0"/>
                          <w:shd w:val="clear" w:color="auto" w:fill="auto"/>
                          <w:lang w:val="cs-CZ" w:eastAsia="cs-CZ" w:bidi="cs-CZ"/>
                        </w:rPr>
                        <w:t>laboratoři obrazárny v Louvru. Stejně objevitelsky jako bohatá část obrazová, obsahující celkem 55 reprodukci na křído</w:t>
                        <w:softHyphen/>
                        <w:t>vém papíře — mezi těmito repro</w:t>
                        <w:softHyphen/>
                        <w:t>dukcemi se nalézá také fotografie slavného obrazu malíře Walteana Lhostejný, Jehož krádež v Louvru vzbudila v těchto dnech pozornost kulturního světa — je zaměřen 1 text. Malířský rukopis je tu po prvé definován a zařaděn do sou</w:t>
                        <w:softHyphen/>
                        <w:t>stavy dějin umění. Kniha neni však určena jenom odborníkům. Obraci se ke všem milovníkům malby a výtvarného uměni. Jimiž odkrývá jim mnohé z dosud skry</w:t>
                        <w:softHyphen/>
                        <w:t>tých tajemství, tvůrčího umělec</w:t>
                        <w:softHyphen/>
                        <w:t>kého pochodu. Dílo, uvedené před</w:t>
                        <w:softHyphen/>
                        <w:t>mluvou konservátora pro odděle</w:t>
                        <w:softHyphen/>
                        <w:t>ní maleb v Louvru René Huyghea a doplněné trojjazyčným resumé, francouzským, anglickým a ně</w:t>
                        <w:softHyphen/>
                        <w:t>meckým, představuje ve svém do</w:t>
                        <w:softHyphen/>
                        <w:t>konalém celku také ušlechtilý, sličný svazek, který pro jeho krásný vzhled uvítají 1 všichni milovnici bibliofilských tisků. Knihu má v generální komisi Kr. Borový. Cena je 100 K.</w:t>
                      </w:r>
                    </w:p>
                  </w:txbxContent>
                </v:textbox>
                <w10:wrap type="square" anchorx="page"/>
              </v:shape>
            </w:pict>
          </mc:Fallback>
        </mc:AlternateContent>
      </w:r>
      <w:r>
        <w:rPr>
          <w:noProof/>
        </w:rPr>
        <mc:AlternateContent>
          <mc:Choice Requires="wps">
            <w:drawing>
              <wp:anchor distT="114300" distB="254000" distL="0" distR="0" simplePos="0" relativeHeight="125830152" behindDoc="0" locked="0" layoutInCell="1" allowOverlap="1">
                <wp:simplePos x="0" y="0"/>
                <wp:positionH relativeFrom="page">
                  <wp:posOffset>3939540</wp:posOffset>
                </wp:positionH>
                <wp:positionV relativeFrom="paragraph">
                  <wp:posOffset>4099560</wp:posOffset>
                </wp:positionV>
                <wp:extent cx="1639570" cy="3803650"/>
                <wp:effectExtent l="0" t="0" r="0" b="0"/>
                <wp:wrapSquare wrapText="bothSides"/>
                <wp:docPr id="775" name="Shape 775"/>
                <wp:cNvGraphicFramePr/>
                <a:graphic xmlns:a="http://schemas.openxmlformats.org/drawingml/2006/main">
                  <a:graphicData uri="http://schemas.microsoft.com/office/word/2010/wordprocessingShape">
                    <wps:wsp>
                      <wps:cNvSpPr txBox="1"/>
                      <wps:spPr>
                        <a:xfrm>
                          <a:off x="0" y="0"/>
                          <a:ext cx="1639570" cy="3803650"/>
                        </a:xfrm>
                        <a:prstGeom prst="rect">
                          <a:avLst/>
                        </a:prstGeom>
                        <a:noFill/>
                      </wps:spPr>
                      <wps:txbx>
                        <w:txbxContent>
                          <w:p w:rsidR="00500724" w:rsidRDefault="00F30FB8">
                            <w:pPr>
                              <w:pStyle w:val="Zkladntext40"/>
                              <w:shd w:val="clear" w:color="auto" w:fill="auto"/>
                              <w:spacing w:after="0" w:line="173" w:lineRule="auto"/>
                              <w:rPr>
                                <w:sz w:val="16"/>
                                <w:szCs w:val="16"/>
                              </w:rPr>
                            </w:pPr>
                            <w:r>
                              <w:rPr>
                                <w:b/>
                                <w:bCs/>
                                <w:sz w:val="16"/>
                                <w:szCs w:val="16"/>
                              </w:rPr>
                              <w:t>tehdy, byl-11 král zajat, zabit nebo dohnán k sebevraždě nebo utekl-li navždy ze země. Tak na př. bylo úplně dobyto Egypta tím, že královna Kleopatra skon</w:t>
                            </w:r>
                            <w:r>
                              <w:rPr>
                                <w:b/>
                                <w:bCs/>
                                <w:sz w:val="16"/>
                                <w:szCs w:val="16"/>
                              </w:rPr>
                              <w:softHyphen/>
                              <w:t>čila svůj život sebevraždou r. 30 př. Kr.</w:t>
                            </w:r>
                          </w:p>
                          <w:p w:rsidR="00500724" w:rsidRDefault="00F30FB8">
                            <w:pPr>
                              <w:pStyle w:val="Zkladntext40"/>
                              <w:shd w:val="clear" w:color="auto" w:fill="auto"/>
                              <w:spacing w:after="0" w:line="173" w:lineRule="auto"/>
                              <w:ind w:firstLine="180"/>
                              <w:rPr>
                                <w:sz w:val="16"/>
                                <w:szCs w:val="16"/>
                              </w:rPr>
                            </w:pPr>
                            <w:r>
                              <w:rPr>
                                <w:b/>
                                <w:bCs/>
                                <w:sz w:val="16"/>
                                <w:szCs w:val="16"/>
                              </w:rPr>
                              <w:t xml:space="preserve">Někdy však Římanům samým záleželo na </w:t>
                            </w:r>
                            <w:r>
                              <w:rPr>
                                <w:b/>
                                <w:bCs/>
                                <w:sz w:val="16"/>
                                <w:szCs w:val="16"/>
                              </w:rPr>
                              <w:t>tom — a to zvláště z důvodů hospodářských —, aby protivník nebyl úplně vyhlazen, jindy dokonce pokládali za pro</w:t>
                            </w:r>
                            <w:r>
                              <w:rPr>
                                <w:b/>
                                <w:bCs/>
                                <w:sz w:val="16"/>
                                <w:szCs w:val="16"/>
                              </w:rPr>
                              <w:softHyphen/>
                              <w:t>spěšnou další existenci nepřátel</w:t>
                            </w:r>
                            <w:r>
                              <w:rPr>
                                <w:b/>
                                <w:bCs/>
                                <w:sz w:val="16"/>
                                <w:szCs w:val="16"/>
                              </w:rPr>
                              <w:softHyphen/>
                              <w:t>ského státu, uvedeného ovšem v určitou závislost na Římu, jindy opět nepřátelská strana sa</w:t>
                            </w:r>
                            <w:r>
                              <w:rPr>
                                <w:b/>
                                <w:bCs/>
                                <w:sz w:val="16"/>
                                <w:szCs w:val="16"/>
                              </w:rPr>
                              <w:softHyphen/>
                              <w:t>ma, chtějíc se vyhno</w:t>
                            </w:r>
                            <w:r>
                              <w:rPr>
                                <w:b/>
                                <w:bCs/>
                                <w:sz w:val="16"/>
                                <w:szCs w:val="16"/>
                              </w:rPr>
                              <w:t>uti svému úplnému zničení, prosila o ukon</w:t>
                            </w:r>
                            <w:r>
                              <w:rPr>
                                <w:b/>
                                <w:bCs/>
                                <w:sz w:val="16"/>
                                <w:szCs w:val="16"/>
                              </w:rPr>
                              <w:softHyphen/>
                              <w:t>čení války. V těchto případech byla válka ukončena smlouvami rozmanitého obsahu.</w:t>
                            </w:r>
                          </w:p>
                          <w:p w:rsidR="00500724" w:rsidRDefault="00F30FB8">
                            <w:pPr>
                              <w:pStyle w:val="Zkladntext40"/>
                              <w:shd w:val="clear" w:color="auto" w:fill="auto"/>
                              <w:spacing w:after="0" w:line="173" w:lineRule="auto"/>
                              <w:ind w:firstLine="180"/>
                              <w:rPr>
                                <w:sz w:val="16"/>
                                <w:szCs w:val="16"/>
                              </w:rPr>
                            </w:pPr>
                            <w:r>
                              <w:rPr>
                                <w:b/>
                                <w:bCs/>
                                <w:sz w:val="16"/>
                                <w:szCs w:val="16"/>
                              </w:rPr>
                              <w:t>Jestliže se některý stát, ohrožo</w:t>
                            </w:r>
                            <w:r>
                              <w:rPr>
                                <w:b/>
                                <w:bCs/>
                                <w:sz w:val="16"/>
                                <w:szCs w:val="16"/>
                              </w:rPr>
                              <w:softHyphen/>
                              <w:t xml:space="preserve">vaný Římem, obával zpustošení země a vyhubení občanstva, mohl se tomu vyhnouti vzdáním se na milost </w:t>
                            </w:r>
                            <w:r>
                              <w:rPr>
                                <w:b/>
                                <w:bCs/>
                                <w:sz w:val="16"/>
                                <w:szCs w:val="16"/>
                              </w:rPr>
                              <w:t xml:space="preserve">a nemilost (dedltlo). Tato dedice musila býti oznámena </w:t>
                            </w:r>
                            <w:r>
                              <w:rPr>
                                <w:sz w:val="14"/>
                                <w:szCs w:val="14"/>
                              </w:rPr>
                              <w:t xml:space="preserve">vždy na půdě </w:t>
                            </w:r>
                            <w:r>
                              <w:rPr>
                                <w:b/>
                                <w:bCs/>
                                <w:sz w:val="16"/>
                                <w:szCs w:val="16"/>
                              </w:rPr>
                              <w:t>římské nebo v tá</w:t>
                            </w:r>
                            <w:r>
                              <w:rPr>
                                <w:b/>
                                <w:bCs/>
                                <w:sz w:val="16"/>
                                <w:szCs w:val="16"/>
                              </w:rPr>
                              <w:softHyphen/>
                              <w:t>boře římského vojska. Základní podmínkou přijetí smlouvy bylo vydání zbraní a vůdce. Vítězní Římané se stávali přijetím smlou</w:t>
                            </w:r>
                            <w:r>
                              <w:rPr>
                                <w:b/>
                                <w:bCs/>
                                <w:sz w:val="16"/>
                                <w:szCs w:val="16"/>
                              </w:rPr>
                              <w:softHyphen/>
                              <w:t>vy pány nad územím, nad chrá</w:t>
                            </w:r>
                            <w:r>
                              <w:rPr>
                                <w:b/>
                                <w:bCs/>
                                <w:sz w:val="16"/>
                                <w:szCs w:val="16"/>
                              </w:rPr>
                              <w:softHyphen/>
                              <w:t xml:space="preserve">my a veřejným i </w:t>
                            </w:r>
                            <w:r>
                              <w:rPr>
                                <w:b/>
                                <w:bCs/>
                                <w:sz w:val="16"/>
                                <w:szCs w:val="16"/>
                              </w:rPr>
                              <w:t>soukromým vlastnictvím poraženého státu, nad jeho obyvateli, které mohli pobiti nebo zotročiti, po případě podle svého uznání i obdařiti vlastní samosprávou nebo dokon</w:t>
                            </w:r>
                            <w:r>
                              <w:rPr>
                                <w:b/>
                                <w:bCs/>
                                <w:sz w:val="16"/>
                                <w:szCs w:val="16"/>
                              </w:rPr>
                              <w:softHyphen/>
                              <w:t>ce římským právem občanským. Dedice znamenala tedy úplný zánik státní existence podrobu</w:t>
                            </w:r>
                            <w:r>
                              <w:rPr>
                                <w:b/>
                                <w:bCs/>
                                <w:sz w:val="16"/>
                                <w:szCs w:val="16"/>
                              </w:rPr>
                              <w:softHyphen/>
                            </w:r>
                            <w:r>
                              <w:rPr>
                                <w:b/>
                                <w:bCs/>
                                <w:sz w:val="16"/>
                                <w:szCs w:val="16"/>
                              </w:rPr>
                              <w:t>jící se strany.</w:t>
                            </w:r>
                          </w:p>
                          <w:p w:rsidR="00500724" w:rsidRDefault="00F30FB8">
                            <w:pPr>
                              <w:pStyle w:val="Zkladntext40"/>
                              <w:shd w:val="clear" w:color="auto" w:fill="auto"/>
                              <w:spacing w:after="0" w:line="173" w:lineRule="auto"/>
                              <w:ind w:firstLine="180"/>
                              <w:rPr>
                                <w:sz w:val="16"/>
                                <w:szCs w:val="16"/>
                              </w:rPr>
                            </w:pPr>
                            <w:r>
                              <w:rPr>
                                <w:b/>
                                <w:bCs/>
                                <w:sz w:val="16"/>
                                <w:szCs w:val="16"/>
                              </w:rPr>
                              <w:t>Dalšími smlouvami, ukončující</w:t>
                            </w:r>
                            <w:r>
                              <w:rPr>
                                <w:b/>
                                <w:bCs/>
                                <w:sz w:val="16"/>
                                <w:szCs w:val="16"/>
                              </w:rPr>
                              <w:softHyphen/>
                              <w:t>mi válku, byly smlouva o přátel-</w:t>
                            </w:r>
                          </w:p>
                        </w:txbxContent>
                      </wps:txbx>
                      <wps:bodyPr lIns="0" tIns="0" rIns="0" bIns="0">
                        <a:spAutoFit/>
                      </wps:bodyPr>
                    </wps:wsp>
                  </a:graphicData>
                </a:graphic>
              </wp:anchor>
            </w:drawing>
          </mc:Choice>
          <mc:Fallback>
            <w:pict>
              <v:shape id="_x0000_s1801" type="#_x0000_t202" style="position:absolute;margin-left:310.19999999999999pt;margin-top:322.80000000000001pt;width:129.09999999999999pt;height:299.5pt;z-index:-125828601;mso-wrap-distance-left:0;mso-wrap-distance-top:9.pt;mso-wrap-distance-right:0;mso-wrap-distance-bottom:20.pt;mso-position-horizontal-relative:page" filled="f" stroked="f">
                <v:textbox style="mso-fit-shape-to-text:t" inset="0,0,0,0">
                  <w:txbxContent>
                    <w:p>
                      <w:pPr>
                        <w:pStyle w:val="Style42"/>
                        <w:keepNext w:val="0"/>
                        <w:keepLines w:val="0"/>
                        <w:widowControl w:val="0"/>
                        <w:shd w:val="clear" w:color="auto" w:fill="auto"/>
                        <w:bidi w:val="0"/>
                        <w:spacing w:before="0" w:after="0" w:line="173" w:lineRule="auto"/>
                        <w:ind w:left="0" w:right="0" w:firstLine="0"/>
                        <w:rPr>
                          <w:sz w:val="16"/>
                          <w:szCs w:val="16"/>
                        </w:rPr>
                      </w:pPr>
                      <w:r>
                        <w:rPr>
                          <w:b/>
                          <w:bCs/>
                          <w:color w:val="000000"/>
                          <w:spacing w:val="0"/>
                          <w:w w:val="100"/>
                          <w:position w:val="0"/>
                          <w:sz w:val="16"/>
                          <w:szCs w:val="16"/>
                          <w:shd w:val="clear" w:color="auto" w:fill="auto"/>
                          <w:lang w:val="cs-CZ" w:eastAsia="cs-CZ" w:bidi="cs-CZ"/>
                        </w:rPr>
                        <w:t>tehdy, byl-11 král zajat, zabit nebo dohnán k sebevraždě nebo utekl-li navždy ze země. Tak na př. bylo úplně dobyto Egypta tím, že královna Kleopatra skon</w:t>
                        <w:softHyphen/>
                        <w:t>čila svůj život sebevraždou r. 30 př. Kr.</w:t>
                      </w:r>
                    </w:p>
                    <w:p>
                      <w:pPr>
                        <w:pStyle w:val="Style42"/>
                        <w:keepNext w:val="0"/>
                        <w:keepLines w:val="0"/>
                        <w:widowControl w:val="0"/>
                        <w:shd w:val="clear" w:color="auto" w:fill="auto"/>
                        <w:bidi w:val="0"/>
                        <w:spacing w:before="0" w:after="0" w:line="173" w:lineRule="auto"/>
                        <w:ind w:left="0" w:right="0" w:firstLine="180"/>
                        <w:rPr>
                          <w:sz w:val="16"/>
                          <w:szCs w:val="16"/>
                        </w:rPr>
                      </w:pPr>
                      <w:r>
                        <w:rPr>
                          <w:b/>
                          <w:bCs/>
                          <w:color w:val="000000"/>
                          <w:spacing w:val="0"/>
                          <w:w w:val="100"/>
                          <w:position w:val="0"/>
                          <w:sz w:val="16"/>
                          <w:szCs w:val="16"/>
                          <w:shd w:val="clear" w:color="auto" w:fill="auto"/>
                          <w:lang w:val="cs-CZ" w:eastAsia="cs-CZ" w:bidi="cs-CZ"/>
                        </w:rPr>
                        <w:t>Někdy však Římanům samým záleželo na tom — a to zvláště z důvodů hospodářských —, aby protivník nebyl úplně vyhlazen, jindy dokonce pokládali za pro</w:t>
                        <w:softHyphen/>
                        <w:t>spěšnou další existenci nepřátel</w:t>
                        <w:softHyphen/>
                        <w:t>ského státu, uvedeného ovšem v určitou závislost na Římu, jindy opět nepřátelská strana sa</w:t>
                        <w:softHyphen/>
                        <w:t>ma, chtějíc se vyhnouti svému úplnému zničení, prosila o ukon</w:t>
                        <w:softHyphen/>
                        <w:t>čení války. V těchto případech byla válka ukončena smlouvami rozmanitého obsahu.</w:t>
                      </w:r>
                    </w:p>
                    <w:p>
                      <w:pPr>
                        <w:pStyle w:val="Style42"/>
                        <w:keepNext w:val="0"/>
                        <w:keepLines w:val="0"/>
                        <w:widowControl w:val="0"/>
                        <w:shd w:val="clear" w:color="auto" w:fill="auto"/>
                        <w:bidi w:val="0"/>
                        <w:spacing w:before="0" w:after="0" w:line="173" w:lineRule="auto"/>
                        <w:ind w:left="0" w:right="0" w:firstLine="180"/>
                        <w:rPr>
                          <w:sz w:val="16"/>
                          <w:szCs w:val="16"/>
                        </w:rPr>
                      </w:pPr>
                      <w:r>
                        <w:rPr>
                          <w:b/>
                          <w:bCs/>
                          <w:color w:val="000000"/>
                          <w:spacing w:val="0"/>
                          <w:w w:val="100"/>
                          <w:position w:val="0"/>
                          <w:sz w:val="16"/>
                          <w:szCs w:val="16"/>
                          <w:shd w:val="clear" w:color="auto" w:fill="auto"/>
                          <w:lang w:val="cs-CZ" w:eastAsia="cs-CZ" w:bidi="cs-CZ"/>
                        </w:rPr>
                        <w:t>Jestliže se některý stát, ohrožo</w:t>
                        <w:softHyphen/>
                        <w:t xml:space="preserve">vaný Římem, obával zpustošení země a vyhubení občanstva, mohl se tomu vyhnouti vzdáním se na milost a nemilost (dedltlo). Tato dedice musila býti oznámena </w:t>
                      </w:r>
                      <w:r>
                        <w:rPr>
                          <w:color w:val="000000"/>
                          <w:spacing w:val="0"/>
                          <w:w w:val="100"/>
                          <w:position w:val="0"/>
                          <w:sz w:val="14"/>
                          <w:szCs w:val="14"/>
                          <w:shd w:val="clear" w:color="auto" w:fill="auto"/>
                          <w:lang w:val="cs-CZ" w:eastAsia="cs-CZ" w:bidi="cs-CZ"/>
                        </w:rPr>
                        <w:t xml:space="preserve">vždy na půdě </w:t>
                      </w:r>
                      <w:r>
                        <w:rPr>
                          <w:b/>
                          <w:bCs/>
                          <w:color w:val="000000"/>
                          <w:spacing w:val="0"/>
                          <w:w w:val="100"/>
                          <w:position w:val="0"/>
                          <w:sz w:val="16"/>
                          <w:szCs w:val="16"/>
                          <w:shd w:val="clear" w:color="auto" w:fill="auto"/>
                          <w:lang w:val="cs-CZ" w:eastAsia="cs-CZ" w:bidi="cs-CZ"/>
                        </w:rPr>
                        <w:t>římské nebo v tá</w:t>
                        <w:softHyphen/>
                        <w:t>boře římského vojska. Základní podmínkou přijetí smlouvy bylo vydání zbraní a vůdce. Vítězní Římané se stávali přijetím smlou</w:t>
                        <w:softHyphen/>
                        <w:t>vy pány nad územím, nad chrá</w:t>
                        <w:softHyphen/>
                        <w:t>my a veřejným i soukromým vlastnictvím poraženého státu, nad jeho obyvateli, které mohli pobiti nebo zotročiti, po případě podle svého uznání i obdařiti vlastní samosprávou nebo dokon</w:t>
                        <w:softHyphen/>
                        <w:t>ce římským právem občanským. Dedice znamenala tedy úplný zánik státní existence podrobu</w:t>
                        <w:softHyphen/>
                        <w:t>jící se strany.</w:t>
                      </w:r>
                    </w:p>
                    <w:p>
                      <w:pPr>
                        <w:pStyle w:val="Style42"/>
                        <w:keepNext w:val="0"/>
                        <w:keepLines w:val="0"/>
                        <w:widowControl w:val="0"/>
                        <w:shd w:val="clear" w:color="auto" w:fill="auto"/>
                        <w:bidi w:val="0"/>
                        <w:spacing w:before="0" w:after="0" w:line="173" w:lineRule="auto"/>
                        <w:ind w:left="0" w:right="0" w:firstLine="180"/>
                        <w:rPr>
                          <w:sz w:val="16"/>
                          <w:szCs w:val="16"/>
                        </w:rPr>
                      </w:pPr>
                      <w:r>
                        <w:rPr>
                          <w:b/>
                          <w:bCs/>
                          <w:color w:val="000000"/>
                          <w:spacing w:val="0"/>
                          <w:w w:val="100"/>
                          <w:position w:val="0"/>
                          <w:sz w:val="16"/>
                          <w:szCs w:val="16"/>
                          <w:shd w:val="clear" w:color="auto" w:fill="auto"/>
                          <w:lang w:val="cs-CZ" w:eastAsia="cs-CZ" w:bidi="cs-CZ"/>
                        </w:rPr>
                        <w:t>Dalšími smlouvami, ukončující</w:t>
                        <w:softHyphen/>
                        <w:t>mi válku, byly smlouva o přátel-</w:t>
                      </w:r>
                    </w:p>
                  </w:txbxContent>
                </v:textbox>
                <w10:wrap type="square" anchorx="page"/>
              </v:shape>
            </w:pict>
          </mc:Fallback>
        </mc:AlternateContent>
      </w:r>
    </w:p>
    <w:p w:rsidR="00500724" w:rsidRDefault="00F30FB8">
      <w:pPr>
        <w:pStyle w:val="Zkladntext1"/>
        <w:shd w:val="clear" w:color="auto" w:fill="auto"/>
        <w:spacing w:after="60" w:line="221" w:lineRule="auto"/>
        <w:ind w:firstLine="0"/>
        <w:jc w:val="left"/>
        <w:rPr>
          <w:sz w:val="20"/>
          <w:szCs w:val="20"/>
        </w:rPr>
      </w:pPr>
      <w:r>
        <w:rPr>
          <w:b/>
          <w:bCs/>
          <w:i/>
          <w:iCs/>
          <w:sz w:val="20"/>
          <w:szCs w:val="20"/>
        </w:rPr>
        <w:t>Viktor Dyk:</w:t>
      </w:r>
    </w:p>
    <w:p w:rsidR="00500724" w:rsidRDefault="00F30FB8">
      <w:pPr>
        <w:pStyle w:val="Nadpis120"/>
        <w:shd w:val="clear" w:color="auto" w:fill="auto"/>
        <w:spacing w:after="40" w:line="202" w:lineRule="auto"/>
        <w:ind w:left="0"/>
      </w:pPr>
      <w:bookmarkStart w:id="755" w:name="bookmark754"/>
      <w:r>
        <w:rPr>
          <w:rFonts w:ascii="Arial" w:eastAsia="Arial" w:hAnsi="Arial" w:cs="Arial"/>
        </w:rPr>
        <w:t>ODPOVĚĎ</w:t>
      </w:r>
      <w:bookmarkEnd w:id="755"/>
    </w:p>
    <w:p w:rsidR="00500724" w:rsidRDefault="00F30FB8">
      <w:pPr>
        <w:pStyle w:val="Nadpis120"/>
        <w:shd w:val="clear" w:color="auto" w:fill="auto"/>
        <w:spacing w:after="80" w:line="202" w:lineRule="auto"/>
        <w:ind w:left="0"/>
      </w:pPr>
      <w:bookmarkStart w:id="756" w:name="bookmark755"/>
      <w:r>
        <w:rPr>
          <w:rFonts w:ascii="Arial" w:eastAsia="Arial" w:hAnsi="Arial" w:cs="Arial"/>
        </w:rPr>
        <w:t>NEZNÁMÉMU</w:t>
      </w:r>
      <w:bookmarkEnd w:id="756"/>
    </w:p>
    <w:p w:rsidR="00500724" w:rsidRDefault="00F30FB8">
      <w:pPr>
        <w:pStyle w:val="Zkladntext1"/>
        <w:shd w:val="clear" w:color="auto" w:fill="auto"/>
        <w:spacing w:line="221" w:lineRule="auto"/>
        <w:ind w:firstLine="0"/>
        <w:jc w:val="left"/>
        <w:rPr>
          <w:sz w:val="20"/>
          <w:szCs w:val="20"/>
        </w:rPr>
      </w:pPr>
      <w:r>
        <w:rPr>
          <w:i/>
          <w:iCs/>
          <w:sz w:val="20"/>
          <w:szCs w:val="20"/>
        </w:rPr>
        <w:t>A mohl-li vám sílu dát kterýsi verš můj v těžké</w:t>
      </w:r>
    </w:p>
    <w:p w:rsidR="00500724" w:rsidRDefault="00F30FB8">
      <w:pPr>
        <w:pStyle w:val="Zkladntext1"/>
        <w:shd w:val="clear" w:color="auto" w:fill="auto"/>
        <w:spacing w:line="221" w:lineRule="auto"/>
        <w:ind w:left="1360" w:firstLine="0"/>
        <w:jc w:val="left"/>
        <w:rPr>
          <w:sz w:val="20"/>
          <w:szCs w:val="20"/>
        </w:rPr>
      </w:pPr>
      <w:r>
        <w:rPr>
          <w:i/>
          <w:iCs/>
          <w:sz w:val="20"/>
          <w:szCs w:val="20"/>
        </w:rPr>
        <w:t>chvíli,</w:t>
      </w:r>
    </w:p>
    <w:p w:rsidR="00500724" w:rsidRDefault="00F30FB8">
      <w:pPr>
        <w:pStyle w:val="Zkladntext1"/>
        <w:shd w:val="clear" w:color="auto" w:fill="auto"/>
        <w:spacing w:after="220" w:line="221" w:lineRule="auto"/>
        <w:ind w:firstLine="0"/>
        <w:jc w:val="left"/>
        <w:rPr>
          <w:sz w:val="20"/>
          <w:szCs w:val="20"/>
        </w:rPr>
      </w:pPr>
      <w:r>
        <w:rPr>
          <w:i/>
          <w:iCs/>
          <w:sz w:val="20"/>
          <w:szCs w:val="20"/>
        </w:rPr>
        <w:t>mně neděkujte. Chci se znát, Se mně téš bylo třeba síly.</w:t>
      </w:r>
    </w:p>
    <w:p w:rsidR="00500724" w:rsidRDefault="00F30FB8">
      <w:pPr>
        <w:pStyle w:val="Zkladntext1"/>
        <w:shd w:val="clear" w:color="auto" w:fill="auto"/>
        <w:spacing w:line="223" w:lineRule="auto"/>
        <w:ind w:firstLine="0"/>
        <w:jc w:val="left"/>
        <w:rPr>
          <w:sz w:val="20"/>
          <w:szCs w:val="20"/>
        </w:rPr>
      </w:pPr>
      <w:r>
        <w:rPr>
          <w:i/>
          <w:iCs/>
          <w:sz w:val="20"/>
          <w:szCs w:val="20"/>
        </w:rPr>
        <w:t xml:space="preserve">A vlil-li ve vás důvěru, kdyS </w:t>
      </w:r>
      <w:r>
        <w:rPr>
          <w:i/>
          <w:iCs/>
          <w:sz w:val="20"/>
          <w:szCs w:val="20"/>
        </w:rPr>
        <w:t>bylo krušno v srdci,</w:t>
      </w:r>
    </w:p>
    <w:p w:rsidR="00500724" w:rsidRDefault="00F30FB8">
      <w:pPr>
        <w:pStyle w:val="Zkladntext1"/>
        <w:shd w:val="clear" w:color="auto" w:fill="auto"/>
        <w:spacing w:line="223" w:lineRule="auto"/>
        <w:ind w:firstLine="1420"/>
        <w:jc w:val="left"/>
        <w:rPr>
          <w:sz w:val="20"/>
          <w:szCs w:val="20"/>
        </w:rPr>
      </w:pPr>
      <w:r>
        <w:rPr>
          <w:i/>
          <w:iCs/>
          <w:sz w:val="20"/>
          <w:szCs w:val="20"/>
        </w:rPr>
        <w:t>v hlavě, mně neděkujte. K večeru jsem v tmu téS hleděl</w:t>
      </w:r>
    </w:p>
    <w:p w:rsidR="00500724" w:rsidRDefault="00F30FB8">
      <w:pPr>
        <w:pStyle w:val="Zkladntext1"/>
        <w:shd w:val="clear" w:color="auto" w:fill="auto"/>
        <w:spacing w:after="220" w:line="223" w:lineRule="auto"/>
        <w:ind w:firstLine="1420"/>
        <w:jc w:val="left"/>
        <w:rPr>
          <w:sz w:val="20"/>
          <w:szCs w:val="20"/>
        </w:rPr>
      </w:pPr>
      <w:r>
        <w:rPr>
          <w:i/>
          <w:iCs/>
          <w:sz w:val="20"/>
          <w:szCs w:val="20"/>
        </w:rPr>
        <w:t>nedočkavě.</w:t>
      </w:r>
    </w:p>
    <w:p w:rsidR="00500724" w:rsidRDefault="00F30FB8">
      <w:pPr>
        <w:pStyle w:val="Zkladntext1"/>
        <w:shd w:val="clear" w:color="auto" w:fill="auto"/>
        <w:spacing w:after="220" w:line="223" w:lineRule="auto"/>
        <w:ind w:firstLine="0"/>
        <w:jc w:val="left"/>
        <w:rPr>
          <w:sz w:val="20"/>
          <w:szCs w:val="20"/>
        </w:rPr>
      </w:pPr>
      <w:r>
        <w:rPr>
          <w:i/>
          <w:iCs/>
          <w:sz w:val="20"/>
          <w:szCs w:val="20"/>
        </w:rPr>
        <w:t>A lepší vzduch-li z něho vál, van, který vězení zdi boří, mně neděkujte. TéS jsem stál, pěst zatatá a srdce v hoři.</w:t>
      </w:r>
    </w:p>
    <w:p w:rsidR="00500724" w:rsidRDefault="00F30FB8">
      <w:pPr>
        <w:pStyle w:val="Zkladntext1"/>
        <w:shd w:val="clear" w:color="auto" w:fill="auto"/>
        <w:spacing w:line="218" w:lineRule="auto"/>
        <w:ind w:left="1420" w:hanging="1420"/>
        <w:jc w:val="left"/>
        <w:rPr>
          <w:sz w:val="20"/>
          <w:szCs w:val="20"/>
        </w:rPr>
      </w:pPr>
      <w:r>
        <w:rPr>
          <w:i/>
          <w:iCs/>
          <w:sz w:val="20"/>
          <w:szCs w:val="20"/>
        </w:rPr>
        <w:t>Kdo v prudkém vichru zmítáni</w:t>
      </w:r>
    </w:p>
    <w:p w:rsidR="00500724" w:rsidRDefault="00F30FB8">
      <w:pPr>
        <w:pStyle w:val="Zkladntext1"/>
        <w:shd w:val="clear" w:color="auto" w:fill="auto"/>
        <w:spacing w:after="80" w:line="218" w:lineRule="auto"/>
        <w:ind w:firstLine="0"/>
        <w:jc w:val="left"/>
        <w:rPr>
          <w:sz w:val="20"/>
          <w:szCs w:val="20"/>
        </w:rPr>
      </w:pPr>
      <w:r>
        <w:rPr>
          <w:i/>
          <w:iCs/>
          <w:sz w:val="20"/>
          <w:szCs w:val="20"/>
        </w:rPr>
        <w:t xml:space="preserve">se nezapotácel nikdy z </w:t>
      </w:r>
      <w:r>
        <w:rPr>
          <w:i/>
          <w:iCs/>
          <w:sz w:val="20"/>
          <w:szCs w:val="20"/>
        </w:rPr>
        <w:t>násf 1 slabá ruka zachrání, podalarli se v pravý čas!</w:t>
      </w:r>
    </w:p>
    <w:p w:rsidR="00500724" w:rsidRDefault="00F30FB8">
      <w:pPr>
        <w:pStyle w:val="Zkladntext90"/>
        <w:shd w:val="clear" w:color="auto" w:fill="auto"/>
        <w:spacing w:after="140" w:line="228" w:lineRule="auto"/>
        <w:ind w:firstLine="0"/>
        <w:jc w:val="center"/>
      </w:pPr>
      <w:r>
        <w:rPr>
          <w:rFonts w:ascii="Times New Roman" w:eastAsia="Times New Roman" w:hAnsi="Times New Roman" w:cs="Times New Roman"/>
          <w:b w:val="0"/>
          <w:bCs w:val="0"/>
          <w:i/>
          <w:iCs/>
          <w:sz w:val="18"/>
          <w:szCs w:val="18"/>
        </w:rPr>
        <w:t>Ze</w:t>
      </w:r>
      <w:r>
        <w:t xml:space="preserve"> sbírky Lehké a těžké</w:t>
      </w:r>
      <w:r>
        <w:br/>
        <w:t>kroky. Anebo</w:t>
      </w:r>
    </w:p>
    <w:p w:rsidR="00500724" w:rsidRDefault="00F30FB8">
      <w:pPr>
        <w:pStyle w:val="Nadpis120"/>
        <w:shd w:val="clear" w:color="auto" w:fill="auto"/>
        <w:spacing w:after="40"/>
        <w:ind w:left="0"/>
      </w:pPr>
      <w:bookmarkStart w:id="757" w:name="bookmark756"/>
      <w:r>
        <w:rPr>
          <w:rFonts w:ascii="Arial" w:eastAsia="Arial" w:hAnsi="Arial" w:cs="Arial"/>
        </w:rPr>
        <w:t>FEUILLETON</w:t>
      </w:r>
      <w:bookmarkEnd w:id="757"/>
    </w:p>
    <w:p w:rsidR="00500724" w:rsidRDefault="00F30FB8">
      <w:pPr>
        <w:pStyle w:val="Zkladntext40"/>
        <w:shd w:val="clear" w:color="auto" w:fill="auto"/>
        <w:spacing w:after="0" w:line="173" w:lineRule="auto"/>
        <w:jc w:val="left"/>
        <w:rPr>
          <w:sz w:val="16"/>
          <w:szCs w:val="16"/>
        </w:rPr>
      </w:pPr>
      <w:r>
        <w:rPr>
          <w:b/>
          <w:bCs/>
          <w:sz w:val="16"/>
          <w:szCs w:val="16"/>
        </w:rPr>
        <w:t>Josef Klíma</w:t>
      </w:r>
    </w:p>
    <w:p w:rsidR="00500724" w:rsidRDefault="00F30FB8">
      <w:pPr>
        <w:pStyle w:val="Zkladntext40"/>
        <w:shd w:val="clear" w:color="auto" w:fill="auto"/>
        <w:spacing w:line="173" w:lineRule="auto"/>
        <w:jc w:val="left"/>
        <w:rPr>
          <w:sz w:val="16"/>
          <w:szCs w:val="16"/>
        </w:rPr>
      </w:pPr>
      <w:r>
        <w:rPr>
          <w:b/>
          <w:bCs/>
          <w:sz w:val="16"/>
          <w:szCs w:val="16"/>
        </w:rPr>
        <w:t>JAK ROSTLA ŘÍMSKÁ R1ŠE</w:t>
      </w:r>
    </w:p>
    <w:p w:rsidR="00500724" w:rsidRDefault="00F30FB8">
      <w:pPr>
        <w:pStyle w:val="Zkladntext40"/>
        <w:shd w:val="clear" w:color="auto" w:fill="auto"/>
        <w:spacing w:after="0" w:line="173" w:lineRule="auto"/>
        <w:ind w:firstLine="220"/>
        <w:rPr>
          <w:sz w:val="16"/>
          <w:szCs w:val="16"/>
        </w:rPr>
      </w:pPr>
      <w:r>
        <w:rPr>
          <w:b/>
          <w:bCs/>
          <w:sz w:val="16"/>
          <w:szCs w:val="16"/>
        </w:rPr>
        <w:t>Odedávna se velikost státu po</w:t>
      </w:r>
      <w:r>
        <w:rPr>
          <w:b/>
          <w:bCs/>
          <w:sz w:val="16"/>
          <w:szCs w:val="16"/>
        </w:rPr>
        <w:softHyphen/>
        <w:t xml:space="preserve">suzuje spíše podle rozsáhlosti </w:t>
      </w:r>
      <w:r>
        <w:rPr>
          <w:rFonts w:ascii="Georgia" w:eastAsia="Georgia" w:hAnsi="Georgia" w:cs="Georgia"/>
          <w:b/>
          <w:bCs/>
          <w:sz w:val="13"/>
          <w:szCs w:val="13"/>
        </w:rPr>
        <w:t xml:space="preserve">a </w:t>
      </w:r>
      <w:r>
        <w:rPr>
          <w:b/>
          <w:bCs/>
          <w:sz w:val="16"/>
          <w:szCs w:val="16"/>
        </w:rPr>
        <w:t xml:space="preserve">bohatství jeho územi než podle kulturních kvalit jeho </w:t>
      </w:r>
      <w:r>
        <w:rPr>
          <w:b/>
          <w:bCs/>
          <w:sz w:val="16"/>
          <w:szCs w:val="16"/>
        </w:rPr>
        <w:t>obyvatel</w:t>
      </w:r>
      <w:r>
        <w:rPr>
          <w:b/>
          <w:bCs/>
          <w:sz w:val="16"/>
          <w:szCs w:val="16"/>
        </w:rPr>
        <w:softHyphen/>
        <w:t>stva. Tato územní velikost je ovšem do značné míry výsledkem schopností příslušníků státu, je</w:t>
      </w:r>
      <w:r>
        <w:rPr>
          <w:b/>
          <w:bCs/>
          <w:sz w:val="16"/>
          <w:szCs w:val="16"/>
        </w:rPr>
        <w:softHyphen/>
        <w:t>jich statečnosti, umění strategic</w:t>
      </w:r>
      <w:r>
        <w:rPr>
          <w:b/>
          <w:bCs/>
          <w:sz w:val="16"/>
          <w:szCs w:val="16"/>
        </w:rPr>
        <w:softHyphen/>
        <w:t>kého a také diplomatické obrat</w:t>
      </w:r>
      <w:r>
        <w:rPr>
          <w:b/>
          <w:bCs/>
          <w:sz w:val="16"/>
          <w:szCs w:val="16"/>
        </w:rPr>
        <w:softHyphen/>
        <w:t>nosti. To jsou vlastnosti, které dávají vznik světovým říším, které také byly základem p</w:t>
      </w:r>
      <w:r>
        <w:rPr>
          <w:b/>
          <w:bCs/>
          <w:sz w:val="16"/>
          <w:szCs w:val="16"/>
        </w:rPr>
        <w:t>ro největší světovou říši starého věku — říši římskou.</w:t>
      </w:r>
    </w:p>
    <w:p w:rsidR="00500724" w:rsidRDefault="00F30FB8">
      <w:pPr>
        <w:pStyle w:val="Zkladntext40"/>
        <w:shd w:val="clear" w:color="auto" w:fill="auto"/>
        <w:spacing w:after="0" w:line="173" w:lineRule="auto"/>
        <w:ind w:firstLine="220"/>
        <w:rPr>
          <w:sz w:val="16"/>
          <w:szCs w:val="16"/>
        </w:rPr>
      </w:pPr>
      <w:r>
        <w:rPr>
          <w:b/>
          <w:bCs/>
          <w:sz w:val="16"/>
          <w:szCs w:val="16"/>
        </w:rPr>
        <w:t>Terrítoriální vývoj Říma po</w:t>
      </w:r>
      <w:r>
        <w:rPr>
          <w:b/>
          <w:bCs/>
          <w:sz w:val="16"/>
          <w:szCs w:val="16"/>
        </w:rPr>
        <w:softHyphen/>
        <w:t>stupoval velmi pozoruhodně. Z malého státečku, který obsaho</w:t>
      </w:r>
      <w:r>
        <w:rPr>
          <w:b/>
          <w:bCs/>
          <w:sz w:val="16"/>
          <w:szCs w:val="16"/>
        </w:rPr>
        <w:softHyphen/>
        <w:t>val město Rím a jeho nejbližší okolí, stal se pánem Itálie a za</w:t>
      </w:r>
      <w:r>
        <w:rPr>
          <w:b/>
          <w:bCs/>
          <w:sz w:val="16"/>
          <w:szCs w:val="16"/>
        </w:rPr>
        <w:softHyphen/>
        <w:t>nedlouho potom dokonce pánem celého tehdy známého</w:t>
      </w:r>
      <w:r>
        <w:rPr>
          <w:b/>
          <w:bCs/>
          <w:sz w:val="16"/>
          <w:szCs w:val="16"/>
        </w:rPr>
        <w:t xml:space="preserve"> světa ko</w:t>
      </w:r>
      <w:r>
        <w:rPr>
          <w:b/>
          <w:bCs/>
          <w:sz w:val="16"/>
          <w:szCs w:val="16"/>
        </w:rPr>
        <w:softHyphen/>
        <w:t>lem Středozemního moře. Jakými způsoby dosáhl Řím této neoby</w:t>
      </w:r>
      <w:r>
        <w:rPr>
          <w:b/>
          <w:bCs/>
          <w:sz w:val="16"/>
          <w:szCs w:val="16"/>
        </w:rPr>
        <w:softHyphen/>
        <w:t>čejné velikosti? Prostředkem k tomu byly mu jednak války, jed</w:t>
      </w:r>
      <w:r>
        <w:rPr>
          <w:b/>
          <w:bCs/>
          <w:sz w:val="16"/>
          <w:szCs w:val="16"/>
        </w:rPr>
        <w:softHyphen/>
        <w:t>nak smlouvy, které buď ukončo</w:t>
      </w:r>
      <w:r>
        <w:rPr>
          <w:b/>
          <w:bCs/>
          <w:sz w:val="16"/>
          <w:szCs w:val="16"/>
        </w:rPr>
        <w:softHyphen/>
        <w:t>valy válku anebo získávaly Ří</w:t>
      </w:r>
      <w:r>
        <w:rPr>
          <w:b/>
          <w:bCs/>
          <w:sz w:val="16"/>
          <w:szCs w:val="16"/>
        </w:rPr>
        <w:softHyphen/>
        <w:t>mu území a i jiné výhody bez války.</w:t>
      </w:r>
    </w:p>
    <w:p w:rsidR="00500724" w:rsidRDefault="00F30FB8">
      <w:pPr>
        <w:pStyle w:val="Zkladntext40"/>
        <w:shd w:val="clear" w:color="auto" w:fill="auto"/>
        <w:spacing w:line="173" w:lineRule="auto"/>
        <w:ind w:firstLine="220"/>
        <w:rPr>
          <w:sz w:val="16"/>
          <w:szCs w:val="16"/>
        </w:rPr>
      </w:pPr>
      <w:r>
        <w:rPr>
          <w:b/>
          <w:bCs/>
          <w:sz w:val="16"/>
          <w:szCs w:val="16"/>
        </w:rPr>
        <w:t xml:space="preserve">Válek vedli Římané velmi </w:t>
      </w:r>
      <w:r>
        <w:rPr>
          <w:b/>
          <w:bCs/>
          <w:sz w:val="16"/>
          <w:szCs w:val="16"/>
        </w:rPr>
        <w:t>mno</w:t>
      </w:r>
      <w:r>
        <w:rPr>
          <w:b/>
          <w:bCs/>
          <w:sz w:val="16"/>
          <w:szCs w:val="16"/>
        </w:rPr>
        <w:softHyphen/>
        <w:t>ho. Na válku se však tehdy — na rozdíl od dneška — hledělo jako na zjev normální, kdežto mír musel býti zvláště vymíněn. O tom, vede-li právě Rím válku čl je-li mír, poučoval Římany chrám boha lana, vlastně prostý průchodní oblouk, který byl ve válce o</w:t>
      </w:r>
      <w:r>
        <w:rPr>
          <w:b/>
          <w:bCs/>
          <w:sz w:val="16"/>
          <w:szCs w:val="16"/>
        </w:rPr>
        <w:t>tevřen, v míru zavřen. Že se tak stávalo velmi zřídka,</w:t>
      </w:r>
    </w:p>
    <w:p w:rsidR="00500724" w:rsidRDefault="00F30FB8">
      <w:pPr>
        <w:pStyle w:val="Nadpis120"/>
        <w:shd w:val="clear" w:color="auto" w:fill="auto"/>
        <w:tabs>
          <w:tab w:val="left" w:pos="2525"/>
        </w:tabs>
        <w:ind w:left="0"/>
        <w:jc w:val="both"/>
        <w:rPr>
          <w:sz w:val="42"/>
          <w:szCs w:val="42"/>
        </w:rPr>
      </w:pPr>
      <w:bookmarkStart w:id="758" w:name="bookmark757"/>
      <w:r>
        <w:rPr>
          <w:rFonts w:ascii="Arial" w:eastAsia="Arial" w:hAnsi="Arial" w:cs="Arial"/>
        </w:rPr>
        <w:t>POZNÁMKY</w:t>
      </w:r>
      <w:r>
        <w:rPr>
          <w:rFonts w:ascii="Arial" w:eastAsia="Arial" w:hAnsi="Arial" w:cs="Arial"/>
        </w:rPr>
        <w:tab/>
      </w:r>
      <w:r>
        <w:rPr>
          <w:rFonts w:ascii="Arial" w:eastAsia="Arial" w:hAnsi="Arial" w:cs="Arial"/>
          <w:sz w:val="42"/>
          <w:szCs w:val="42"/>
        </w:rPr>
        <w:t>j</w:t>
      </w:r>
      <w:bookmarkEnd w:id="758"/>
    </w:p>
    <w:p w:rsidR="00500724" w:rsidRDefault="00F30FB8">
      <w:pPr>
        <w:pStyle w:val="Zkladntext90"/>
        <w:shd w:val="clear" w:color="auto" w:fill="auto"/>
        <w:spacing w:line="240" w:lineRule="auto"/>
        <w:ind w:firstLine="0"/>
      </w:pPr>
      <w:r>
        <w:t>VOJTĚCH VOLAVKA: MALBA A' MALÍŘSKÝ RUKOPIS</w:t>
      </w:r>
    </w:p>
    <w:p w:rsidR="00500724" w:rsidRDefault="00F30FB8">
      <w:pPr>
        <w:pStyle w:val="Zkladntext40"/>
        <w:shd w:val="clear" w:color="auto" w:fill="auto"/>
        <w:spacing w:after="120" w:line="199" w:lineRule="auto"/>
        <w:ind w:firstLine="200"/>
      </w:pPr>
      <w:r>
        <w:t>Péči Státní grafické školy vy</w:t>
      </w:r>
      <w:r>
        <w:softHyphen/>
        <w:t>šlo pozoruhodné a zajímavé dílo, zasvěcující do studia malířského rukopisu. Je to kniha vynikajícího českého znalce z</w:t>
      </w:r>
      <w:r>
        <w:t xml:space="preserve"> oboru dějin, kri</w:t>
      </w:r>
      <w:r>
        <w:softHyphen/>
        <w:t>tiky výtvarného uměni Vojtěcha Volavky, nazvaná Malbaama- llřský rukopis, poutavě, za</w:t>
      </w:r>
      <w:r>
        <w:softHyphen/>
        <w:t>svěceně 1 odborně pojednávajíc! o věcech výtvarného uměni, a ze</w:t>
      </w:r>
      <w:r>
        <w:softHyphen/>
        <w:t>jména pak o problému malířské</w:t>
      </w:r>
      <w:r>
        <w:softHyphen/>
        <w:t>ho rukopisu, který Je do značné míry zrcadlem umělecké oso</w:t>
      </w:r>
      <w:r>
        <w:t>bno</w:t>
      </w:r>
      <w:r>
        <w:softHyphen/>
        <w:t>sti toho či onoho výtvarníka. Je to tedy Jakýsi rozbor písma malí</w:t>
      </w:r>
      <w:r>
        <w:softHyphen/>
        <w:t>řova, malířská grafologie, která se pokouši nalézt klíč k vnitřní bytosti umělce i poznat a určit jeho charakter jak lidský, tak umělecký. Po stránce reprodukční 1 obsahové je nový soukr</w:t>
      </w:r>
      <w:r>
        <w:t>omý tisk Státní grafické školy, jejíž tisky mají dnes již svou tradici publi</w:t>
      </w:r>
      <w:r>
        <w:softHyphen/>
        <w:t>kací opravdu jedinečnou nejenom v domácí, nýbrž také ve světové literatuře. Je zde reprodukováno</w:t>
      </w:r>
    </w:p>
    <w:p w:rsidR="00500724" w:rsidRDefault="00F30FB8">
      <w:pPr>
        <w:pStyle w:val="Zkladntext40"/>
        <w:shd w:val="clear" w:color="auto" w:fill="auto"/>
        <w:spacing w:after="0" w:line="173" w:lineRule="auto"/>
        <w:rPr>
          <w:sz w:val="16"/>
          <w:szCs w:val="16"/>
        </w:rPr>
      </w:pPr>
      <w:r>
        <w:rPr>
          <w:b/>
          <w:bCs/>
          <w:sz w:val="16"/>
          <w:szCs w:val="16"/>
        </w:rPr>
        <w:t>je patrno již z toho, že se o za</w:t>
      </w:r>
      <w:r>
        <w:rPr>
          <w:b/>
          <w:bCs/>
          <w:sz w:val="16"/>
          <w:szCs w:val="16"/>
        </w:rPr>
        <w:softHyphen/>
        <w:t>vřeni chrámu zmiňuji starověcí spisovatelé jako o</w:t>
      </w:r>
      <w:r>
        <w:rPr>
          <w:b/>
          <w:bCs/>
          <w:sz w:val="16"/>
          <w:szCs w:val="16"/>
        </w:rPr>
        <w:t xml:space="preserve"> nějaké zvlášt</w:t>
      </w:r>
      <w:r>
        <w:rPr>
          <w:b/>
          <w:bCs/>
          <w:sz w:val="16"/>
          <w:szCs w:val="16"/>
        </w:rPr>
        <w:softHyphen/>
        <w:t>nosti. Pokud se nám zachovaly zprávy o tom, dovídáme se z nich, že do doby Augustovy byl chrám Ianův zavřen toliko dvakráte, a to za krále Numy, který tento zvyk zavedl, po druhé r. 235 př. Kr.</w:t>
      </w:r>
    </w:p>
    <w:p w:rsidR="00500724" w:rsidRDefault="00F30FB8">
      <w:pPr>
        <w:pStyle w:val="Zkladntext40"/>
        <w:shd w:val="clear" w:color="auto" w:fill="auto"/>
        <w:spacing w:after="0" w:line="173" w:lineRule="auto"/>
        <w:ind w:firstLine="200"/>
        <w:rPr>
          <w:sz w:val="16"/>
          <w:szCs w:val="16"/>
        </w:rPr>
      </w:pPr>
      <w:r>
        <w:rPr>
          <w:b/>
          <w:bCs/>
          <w:sz w:val="16"/>
          <w:szCs w:val="16"/>
        </w:rPr>
        <w:t>Válka bývala často přerušena smlouvou o příměří</w:t>
      </w:r>
      <w:r>
        <w:rPr>
          <w:b/>
          <w:bCs/>
          <w:sz w:val="16"/>
          <w:szCs w:val="16"/>
        </w:rPr>
        <w:t>. Toto přimě</w:t>
      </w:r>
      <w:r>
        <w:rPr>
          <w:b/>
          <w:bCs/>
          <w:sz w:val="16"/>
          <w:szCs w:val="16"/>
        </w:rPr>
        <w:softHyphen/>
        <w:t>ří trvalo určitou dobu, na př. je</w:t>
      </w:r>
      <w:r>
        <w:rPr>
          <w:b/>
          <w:bCs/>
          <w:sz w:val="16"/>
          <w:szCs w:val="16"/>
        </w:rPr>
        <w:softHyphen/>
        <w:t>den nebo více dni, nutných na př. k pohřbeni padlých. Ale často též byla uzavřena smlouva o pří</w:t>
      </w:r>
      <w:r>
        <w:rPr>
          <w:b/>
          <w:bCs/>
          <w:sz w:val="16"/>
          <w:szCs w:val="16"/>
        </w:rPr>
        <w:softHyphen/>
        <w:t>měří, trvající 1, 2 i více roků. Po vypršení tohoto déle trvající</w:t>
      </w:r>
      <w:r>
        <w:rPr>
          <w:b/>
          <w:bCs/>
          <w:sz w:val="16"/>
          <w:szCs w:val="16"/>
        </w:rPr>
        <w:softHyphen/>
        <w:t>ho příměří oživuje zase sám o sobě poměr válečn</w:t>
      </w:r>
      <w:r>
        <w:rPr>
          <w:b/>
          <w:bCs/>
          <w:sz w:val="16"/>
          <w:szCs w:val="16"/>
        </w:rPr>
        <w:t>ý. K zahájení války před uplynutím smluvené doby došlo tehdy, jestliže pří</w:t>
      </w:r>
      <w:r>
        <w:rPr>
          <w:b/>
          <w:bCs/>
          <w:sz w:val="16"/>
          <w:szCs w:val="16"/>
        </w:rPr>
        <w:softHyphen/>
        <w:t>měří bylo jednou stranou poruše</w:t>
      </w:r>
      <w:r>
        <w:rPr>
          <w:b/>
          <w:bCs/>
          <w:sz w:val="16"/>
          <w:szCs w:val="16"/>
        </w:rPr>
        <w:softHyphen/>
        <w:t>no nebo byla-li znova vypovědě</w:t>
      </w:r>
      <w:r>
        <w:rPr>
          <w:b/>
          <w:bCs/>
          <w:sz w:val="16"/>
          <w:szCs w:val="16"/>
        </w:rPr>
        <w:softHyphen/>
        <w:t>na válka. Smlouva o příměří byla jedinou smlouvou, která zastavo</w:t>
      </w:r>
      <w:r>
        <w:rPr>
          <w:b/>
          <w:bCs/>
          <w:sz w:val="16"/>
          <w:szCs w:val="16"/>
        </w:rPr>
        <w:softHyphen/>
        <w:t>vala nepřátelství na určitou, přesně stanovenou dobu,</w:t>
      </w:r>
      <w:r>
        <w:rPr>
          <w:b/>
          <w:bCs/>
          <w:sz w:val="16"/>
          <w:szCs w:val="16"/>
        </w:rPr>
        <w:t xml:space="preserve"> kdežto ostatní smlouvy, jež níže vede</w:t>
      </w:r>
      <w:r>
        <w:rPr>
          <w:b/>
          <w:bCs/>
          <w:sz w:val="16"/>
          <w:szCs w:val="16"/>
        </w:rPr>
        <w:softHyphen/>
        <w:t>me, ukončovaly válku na věčné časy.</w:t>
      </w:r>
    </w:p>
    <w:p w:rsidR="00500724" w:rsidRDefault="00F30FB8">
      <w:pPr>
        <w:pStyle w:val="Zkladntext40"/>
        <w:shd w:val="clear" w:color="auto" w:fill="auto"/>
        <w:spacing w:after="0" w:line="173" w:lineRule="auto"/>
        <w:ind w:firstLine="240"/>
        <w:rPr>
          <w:sz w:val="16"/>
          <w:szCs w:val="16"/>
        </w:rPr>
      </w:pPr>
      <w:r>
        <w:rPr>
          <w:b/>
          <w:bCs/>
          <w:sz w:val="16"/>
          <w:szCs w:val="16"/>
        </w:rPr>
        <w:t>K ukončení války došlo buď faktickým zničením jedné z bo</w:t>
      </w:r>
      <w:r>
        <w:rPr>
          <w:b/>
          <w:bCs/>
          <w:sz w:val="16"/>
          <w:szCs w:val="16"/>
        </w:rPr>
        <w:softHyphen/>
        <w:t>jujících stran a okupací jejího státního území, anebo smlouvou. Byla-ll poraženou stranou re</w:t>
      </w:r>
      <w:r>
        <w:rPr>
          <w:b/>
          <w:bCs/>
          <w:sz w:val="16"/>
          <w:szCs w:val="16"/>
        </w:rPr>
        <w:softHyphen/>
        <w:t>publika, pokládala se za zniče</w:t>
      </w:r>
      <w:r>
        <w:rPr>
          <w:b/>
          <w:bCs/>
          <w:sz w:val="16"/>
          <w:szCs w:val="16"/>
        </w:rPr>
        <w:softHyphen/>
      </w:r>
      <w:r>
        <w:rPr>
          <w:b/>
          <w:bCs/>
          <w:sz w:val="16"/>
          <w:szCs w:val="16"/>
        </w:rPr>
        <w:t>nu tehdy, bylo-li dobyto hlavní</w:t>
      </w:r>
      <w:r>
        <w:rPr>
          <w:b/>
          <w:bCs/>
          <w:sz w:val="16"/>
          <w:szCs w:val="16"/>
        </w:rPr>
        <w:softHyphen/>
        <w:t xml:space="preserve">ho města a obyvatelstvo bylo buď vyhubeno nebo zotročeno. K takovémuto ukončení války se státem </w:t>
      </w:r>
      <w:r>
        <w:rPr>
          <w:sz w:val="14"/>
          <w:szCs w:val="14"/>
        </w:rPr>
        <w:t xml:space="preserve">s </w:t>
      </w:r>
      <w:r>
        <w:rPr>
          <w:b/>
          <w:bCs/>
          <w:sz w:val="16"/>
          <w:szCs w:val="16"/>
        </w:rPr>
        <w:t>republikánským zříze</w:t>
      </w:r>
      <w:r>
        <w:rPr>
          <w:b/>
          <w:bCs/>
          <w:sz w:val="16"/>
          <w:szCs w:val="16"/>
        </w:rPr>
        <w:softHyphen/>
        <w:t>ním došlo na příklad zničením ííorlnthu roku 146 před Kris</w:t>
      </w:r>
      <w:r>
        <w:rPr>
          <w:b/>
          <w:bCs/>
          <w:sz w:val="16"/>
          <w:szCs w:val="16"/>
        </w:rPr>
        <w:softHyphen/>
        <w:t>tem. Monarchie byla poražena</w:t>
      </w:r>
    </w:p>
    <w:p w:rsidR="00500724" w:rsidRDefault="00F30FB8">
      <w:pPr>
        <w:spacing w:line="1" w:lineRule="exact"/>
        <w:rPr>
          <w:sz w:val="2"/>
          <w:szCs w:val="2"/>
        </w:rPr>
      </w:pPr>
      <w:r>
        <w:br w:type="column"/>
      </w:r>
    </w:p>
    <w:p w:rsidR="00500724" w:rsidRDefault="00F30FB8">
      <w:pPr>
        <w:pStyle w:val="Zkladntext1"/>
        <w:shd w:val="clear" w:color="auto" w:fill="auto"/>
        <w:spacing w:after="60" w:line="202" w:lineRule="auto"/>
        <w:ind w:firstLine="0"/>
        <w:rPr>
          <w:sz w:val="20"/>
          <w:szCs w:val="20"/>
        </w:rPr>
      </w:pPr>
      <w:r>
        <w:rPr>
          <w:i/>
          <w:iCs/>
          <w:sz w:val="20"/>
          <w:szCs w:val="20"/>
        </w:rPr>
        <w:t xml:space="preserve">Bohuslav </w:t>
      </w:r>
      <w:r>
        <w:rPr>
          <w:i/>
          <w:iCs/>
          <w:sz w:val="20"/>
          <w:szCs w:val="20"/>
        </w:rPr>
        <w:t>Bouček:</w:t>
      </w:r>
    </w:p>
    <w:p w:rsidR="00500724" w:rsidRDefault="00F30FB8">
      <w:pPr>
        <w:pStyle w:val="Zkladntext1"/>
        <w:shd w:val="clear" w:color="auto" w:fill="auto"/>
        <w:spacing w:after="60" w:line="202" w:lineRule="auto"/>
        <w:ind w:firstLine="0"/>
        <w:rPr>
          <w:sz w:val="20"/>
          <w:szCs w:val="20"/>
        </w:rPr>
      </w:pPr>
      <w:r>
        <w:rPr>
          <w:i/>
          <w:iCs/>
          <w:sz w:val="20"/>
          <w:szCs w:val="20"/>
        </w:rPr>
        <w:t>DUŠE NÁRODA V UMĚNÍ</w:t>
      </w:r>
    </w:p>
    <w:p w:rsidR="00500724" w:rsidRDefault="00F30FB8">
      <w:pPr>
        <w:pStyle w:val="Zkladntext1"/>
        <w:shd w:val="clear" w:color="auto" w:fill="auto"/>
        <w:spacing w:line="202" w:lineRule="auto"/>
        <w:ind w:firstLine="240"/>
        <w:rPr>
          <w:sz w:val="20"/>
          <w:szCs w:val="20"/>
        </w:rPr>
      </w:pPr>
      <w:r>
        <w:rPr>
          <w:i/>
          <w:iCs/>
          <w:sz w:val="20"/>
          <w:szCs w:val="20"/>
        </w:rPr>
        <w:t>Národ měl štěstí, Se vSdy nalézal v sobě velikány. A zvlášt v době Purkyňově. V této souvislosti nelze vyne- chati ani dva další koryfeje, kteří byli světově proslulými spoluzakladateli moderního lékařství, K. Rokytanského, otce</w:t>
      </w:r>
      <w:r>
        <w:rPr>
          <w:i/>
          <w:iCs/>
          <w:sz w:val="20"/>
          <w:szCs w:val="20"/>
        </w:rPr>
        <w:t xml:space="preserve"> pathologie, a 3. Škodu, velkého internistu. I kdyS se neúčastnili na díle národního obrození, proudila jim v cé</w:t>
      </w:r>
      <w:r>
        <w:rPr>
          <w:i/>
          <w:iCs/>
          <w:sz w:val="20"/>
          <w:szCs w:val="20"/>
        </w:rPr>
        <w:softHyphen/>
        <w:t>vách krev této země, k níS se hlásili jako k mateřské zemi aspoň ve smyslu geo</w:t>
      </w:r>
      <w:r>
        <w:rPr>
          <w:i/>
          <w:iCs/>
          <w:sz w:val="20"/>
          <w:szCs w:val="20"/>
        </w:rPr>
        <w:softHyphen/>
        <w:t>grafickém.</w:t>
      </w:r>
    </w:p>
    <w:p w:rsidR="00500724" w:rsidRDefault="00F30FB8">
      <w:pPr>
        <w:pStyle w:val="Zkladntext1"/>
        <w:shd w:val="clear" w:color="auto" w:fill="auto"/>
        <w:spacing w:after="100" w:line="202" w:lineRule="auto"/>
        <w:ind w:firstLine="240"/>
        <w:rPr>
          <w:sz w:val="20"/>
          <w:szCs w:val="20"/>
        </w:rPr>
      </w:pPr>
      <w:r>
        <w:rPr>
          <w:i/>
          <w:iCs/>
          <w:sz w:val="20"/>
          <w:szCs w:val="20"/>
        </w:rPr>
        <w:t>Národně kulturní pocho</w:t>
      </w:r>
      <w:r>
        <w:rPr>
          <w:i/>
          <w:iCs/>
          <w:sz w:val="20"/>
          <w:szCs w:val="20"/>
        </w:rPr>
        <w:softHyphen/>
        <w:t>deň přešla do rukou gene</w:t>
      </w:r>
      <w:r>
        <w:rPr>
          <w:i/>
          <w:iCs/>
          <w:sz w:val="20"/>
          <w:szCs w:val="20"/>
        </w:rPr>
        <w:softHyphen/>
        <w:t xml:space="preserve">race </w:t>
      </w:r>
      <w:r>
        <w:rPr>
          <w:i/>
          <w:iCs/>
          <w:sz w:val="20"/>
          <w:szCs w:val="20"/>
        </w:rPr>
        <w:t>Národního divadla, jíS předzvěstí byl Smetanův nár vrat z ciziny, vykonaný opět vědomě za účelem budování díla národního. I Smetana měl neodolatelnou předtuchu, cítil povinnost stvořiti český sloh hudební a předem po</w:t>
      </w:r>
      <w:r>
        <w:rPr>
          <w:i/>
          <w:iCs/>
          <w:sz w:val="20"/>
          <w:szCs w:val="20"/>
        </w:rPr>
        <w:softHyphen/>
        <w:t>chopil význam toho všeho. I on anticipo</w:t>
      </w:r>
      <w:r>
        <w:rPr>
          <w:i/>
          <w:iCs/>
          <w:sz w:val="20"/>
          <w:szCs w:val="20"/>
        </w:rPr>
        <w:t>val. Jen pozvol</w:t>
      </w:r>
      <w:r>
        <w:rPr>
          <w:i/>
          <w:iCs/>
          <w:sz w:val="20"/>
          <w:szCs w:val="20"/>
        </w:rPr>
        <w:softHyphen/>
        <w:t>na naučili jsme se poslou</w:t>
      </w:r>
      <w:r>
        <w:rPr>
          <w:i/>
          <w:iCs/>
          <w:sz w:val="20"/>
          <w:szCs w:val="20"/>
        </w:rPr>
        <w:softHyphen/>
        <w:t>chat Mou vlast jako ztěles-</w:t>
      </w:r>
    </w:p>
    <w:p w:rsidR="00500724" w:rsidRDefault="00F30FB8">
      <w:pPr>
        <w:pStyle w:val="Zkladntext40"/>
        <w:shd w:val="clear" w:color="auto" w:fill="auto"/>
        <w:spacing w:after="0" w:line="173" w:lineRule="auto"/>
        <w:rPr>
          <w:sz w:val="16"/>
          <w:szCs w:val="16"/>
        </w:rPr>
      </w:pPr>
      <w:r>
        <w:rPr>
          <w:b/>
          <w:bCs/>
          <w:sz w:val="16"/>
          <w:szCs w:val="16"/>
        </w:rPr>
        <w:t>ství, zvaná amicitia, a jí podob</w:t>
      </w:r>
      <w:r>
        <w:rPr>
          <w:b/>
          <w:bCs/>
          <w:sz w:val="16"/>
          <w:szCs w:val="16"/>
        </w:rPr>
        <w:softHyphen/>
        <w:t xml:space="preserve">ná smlouva spojenecká, zvaná foedus amicitiae causa </w:t>
      </w:r>
      <w:r>
        <w:rPr>
          <w:b/>
          <w:bCs/>
          <w:sz w:val="16"/>
          <w:szCs w:val="16"/>
          <w:lang w:val="en-US" w:eastAsia="en-US" w:bidi="en-US"/>
        </w:rPr>
        <w:t xml:space="preserve">factum. </w:t>
      </w:r>
      <w:r>
        <w:rPr>
          <w:b/>
          <w:bCs/>
          <w:sz w:val="16"/>
          <w:szCs w:val="16"/>
        </w:rPr>
        <w:t>Obě tyto smlouvy zavazují stá</w:t>
      </w:r>
      <w:r>
        <w:rPr>
          <w:b/>
          <w:bCs/>
          <w:sz w:val="16"/>
          <w:szCs w:val="16"/>
        </w:rPr>
        <w:softHyphen/>
        <w:t xml:space="preserve">ty, je uzavírající, k přátelství na věčné časy, ale jen tehdy, </w:t>
      </w:r>
      <w:r>
        <w:rPr>
          <w:b/>
          <w:bCs/>
          <w:sz w:val="16"/>
          <w:szCs w:val="16"/>
        </w:rPr>
        <w:t>jsou-li oba tyto státy republikami. Je-li jeden z nich královstvím, pak přátelský poměr zaniká smrti panovníkovou. Došlo-Ii potom k obnovení smlouvy na žádost no</w:t>
      </w:r>
      <w:r>
        <w:rPr>
          <w:b/>
          <w:bCs/>
          <w:sz w:val="16"/>
          <w:szCs w:val="16"/>
        </w:rPr>
        <w:softHyphen/>
        <w:t>vého panovníka, dovedl Rím vy</w:t>
      </w:r>
      <w:r>
        <w:rPr>
          <w:b/>
          <w:bCs/>
          <w:sz w:val="16"/>
          <w:szCs w:val="16"/>
        </w:rPr>
        <w:softHyphen/>
        <w:t>užiti svého mocnějšího postaveni k tomu, aby si diktoval nové po</w:t>
      </w:r>
      <w:r>
        <w:rPr>
          <w:b/>
          <w:bCs/>
          <w:sz w:val="16"/>
          <w:szCs w:val="16"/>
        </w:rPr>
        <w:t>d</w:t>
      </w:r>
      <w:r>
        <w:rPr>
          <w:b/>
          <w:bCs/>
          <w:sz w:val="16"/>
          <w:szCs w:val="16"/>
        </w:rPr>
        <w:softHyphen/>
        <w:t>mínky a oklestil práva žadate</w:t>
      </w:r>
      <w:r>
        <w:rPr>
          <w:b/>
          <w:bCs/>
          <w:sz w:val="16"/>
          <w:szCs w:val="16"/>
        </w:rPr>
        <w:softHyphen/>
        <w:t>lova.</w:t>
      </w:r>
    </w:p>
    <w:p w:rsidR="00500724" w:rsidRDefault="00F30FB8">
      <w:pPr>
        <w:pStyle w:val="Zkladntext40"/>
        <w:shd w:val="clear" w:color="auto" w:fill="auto"/>
        <w:spacing w:line="173" w:lineRule="auto"/>
        <w:ind w:firstLine="240"/>
        <w:rPr>
          <w:sz w:val="16"/>
          <w:szCs w:val="16"/>
        </w:rPr>
        <w:sectPr w:rsidR="00500724">
          <w:footnotePr>
            <w:numFmt w:val="chicago"/>
            <w:numRestart w:val="eachPage"/>
          </w:footnotePr>
          <w:type w:val="continuous"/>
          <w:pgSz w:w="11909" w:h="16834"/>
          <w:pgMar w:top="3104" w:right="596" w:bottom="723" w:left="895" w:header="0" w:footer="3" w:gutter="0"/>
          <w:cols w:num="3" w:space="720" w:equalWidth="0">
            <w:col w:w="2545" w:space="100"/>
            <w:col w:w="2545" w:space="2682"/>
            <w:col w:w="2545"/>
          </w:cols>
          <w:noEndnote/>
          <w:docGrid w:linePitch="360"/>
        </w:sectPr>
      </w:pPr>
      <w:r>
        <w:rPr>
          <w:b/>
          <w:bCs/>
          <w:sz w:val="16"/>
          <w:szCs w:val="16"/>
        </w:rPr>
        <w:t>Na ochranu obchodních styků byly vedle právě zmíněné smlou</w:t>
      </w:r>
      <w:r>
        <w:rPr>
          <w:b/>
          <w:bCs/>
          <w:sz w:val="16"/>
          <w:szCs w:val="16"/>
        </w:rPr>
        <w:softHyphen/>
        <w:t>vy uzavírány ještě smlouvy jiné. Při nich nešlo jen o úpravu ob</w:t>
      </w:r>
      <w:r>
        <w:rPr>
          <w:b/>
          <w:bCs/>
          <w:sz w:val="16"/>
          <w:szCs w:val="16"/>
        </w:rPr>
        <w:softHyphen/>
        <w:t>chodních styků ve vlastním, užším slova smyslu, nýb</w:t>
      </w:r>
      <w:r>
        <w:rPr>
          <w:b/>
          <w:bCs/>
          <w:sz w:val="16"/>
          <w:szCs w:val="16"/>
        </w:rPr>
        <w:t>rž též o úpravu podmínek, na jejichž pod</w:t>
      </w:r>
      <w:r>
        <w:rPr>
          <w:b/>
          <w:bCs/>
          <w:sz w:val="16"/>
          <w:szCs w:val="16"/>
        </w:rPr>
        <w:softHyphen/>
        <w:t xml:space="preserve">kladě by se mohl obchodní styk svobodně a nerušeně vyvíjet! a jimiž by byl chráněn </w:t>
      </w:r>
      <w:r>
        <w:rPr>
          <w:rFonts w:ascii="Georgia" w:eastAsia="Georgia" w:hAnsi="Georgia" w:cs="Georgia"/>
          <w:b/>
          <w:bCs/>
          <w:sz w:val="13"/>
          <w:szCs w:val="13"/>
        </w:rPr>
        <w:t xml:space="preserve">i </w:t>
      </w:r>
      <w:r>
        <w:rPr>
          <w:b/>
          <w:bCs/>
          <w:sz w:val="16"/>
          <w:szCs w:val="16"/>
        </w:rPr>
        <w:t>před útoč</w:t>
      </w:r>
      <w:r>
        <w:rPr>
          <w:b/>
          <w:bCs/>
          <w:sz w:val="16"/>
          <w:szCs w:val="16"/>
        </w:rPr>
        <w:softHyphen/>
        <w:t>nými zásahy třetích, jimiž by klidný styk obchodní měl býti mařen. Proto byla základem všech těchto smluv především do</w:t>
      </w:r>
      <w:r>
        <w:rPr>
          <w:b/>
          <w:bCs/>
          <w:sz w:val="16"/>
          <w:szCs w:val="16"/>
        </w:rPr>
        <w:softHyphen/>
        <w:t>h</w:t>
      </w:r>
      <w:r>
        <w:rPr>
          <w:b/>
          <w:bCs/>
          <w:sz w:val="16"/>
          <w:szCs w:val="16"/>
        </w:rPr>
        <w:t xml:space="preserve">oda o neútoěení, míru </w:t>
      </w:r>
      <w:r>
        <w:rPr>
          <w:b/>
          <w:bCs/>
          <w:sz w:val="16"/>
          <w:szCs w:val="16"/>
          <w:lang w:val="en-US" w:eastAsia="en-US" w:bidi="en-US"/>
        </w:rPr>
        <w:t xml:space="preserve">(pax) </w:t>
      </w:r>
      <w:r>
        <w:rPr>
          <w:b/>
          <w:bCs/>
          <w:sz w:val="16"/>
          <w:szCs w:val="16"/>
        </w:rPr>
        <w:t>a teprve z ní se vyvozovalo navá</w:t>
      </w:r>
      <w:r>
        <w:rPr>
          <w:b/>
          <w:bCs/>
          <w:sz w:val="16"/>
          <w:szCs w:val="16"/>
        </w:rPr>
        <w:softHyphen/>
        <w:t>zání přátelského styku (amici</w:t>
      </w:r>
      <w:r>
        <w:rPr>
          <w:b/>
          <w:bCs/>
          <w:sz w:val="16"/>
          <w:szCs w:val="16"/>
        </w:rPr>
        <w:softHyphen/>
        <w:t>tia), jenž se jevil zejména v po</w:t>
      </w:r>
      <w:r>
        <w:rPr>
          <w:b/>
          <w:bCs/>
          <w:sz w:val="16"/>
          <w:szCs w:val="16"/>
        </w:rPr>
        <w:softHyphen/>
        <w:t>skytnutí soukromoprávní ochra</w:t>
      </w:r>
      <w:r>
        <w:rPr>
          <w:b/>
          <w:bCs/>
          <w:sz w:val="16"/>
          <w:szCs w:val="16"/>
        </w:rPr>
        <w:softHyphen/>
        <w:t>ny. Vrcholným článkem byla úmluva o poskytnuti vzájemné vojenské pomoci (societas). Tak</w:t>
      </w:r>
      <w:r>
        <w:rPr>
          <w:b/>
          <w:bCs/>
          <w:sz w:val="16"/>
          <w:szCs w:val="16"/>
        </w:rPr>
        <w:softHyphen/>
        <w:t>to formulovaná</w:t>
      </w:r>
      <w:r>
        <w:rPr>
          <w:b/>
          <w:bCs/>
          <w:sz w:val="16"/>
          <w:szCs w:val="16"/>
        </w:rPr>
        <w:t xml:space="preserve"> smlouva bývala nazývána foedus. Etymologický výklad tohoto slova poukazuje na souvislost s výrazy fidus = poctivý a fidcs = důvěra, takže je patrno, že foedus má vyjadřo</w:t>
      </w:r>
      <w:r>
        <w:rPr>
          <w:b/>
          <w:bCs/>
          <w:sz w:val="16"/>
          <w:szCs w:val="16"/>
        </w:rPr>
        <w:softHyphen/>
        <w:t>vat! vzájemnou důvěru stran,</w:t>
      </w:r>
    </w:p>
    <w:p w:rsidR="00500724" w:rsidRDefault="00F30FB8">
      <w:pPr>
        <w:spacing w:line="14" w:lineRule="exact"/>
      </w:pPr>
      <w:r>
        <w:rPr>
          <w:noProof/>
        </w:rPr>
        <mc:AlternateContent>
          <mc:Choice Requires="wps">
            <w:drawing>
              <wp:anchor distT="0" distB="254000" distL="0" distR="0" simplePos="0" relativeHeight="125830154" behindDoc="0" locked="0" layoutInCell="1" allowOverlap="1">
                <wp:simplePos x="0" y="0"/>
                <wp:positionH relativeFrom="page">
                  <wp:posOffset>1650365</wp:posOffset>
                </wp:positionH>
                <wp:positionV relativeFrom="paragraph">
                  <wp:posOffset>4946650</wp:posOffset>
                </wp:positionV>
                <wp:extent cx="1639570" cy="4742815"/>
                <wp:effectExtent l="0" t="0" r="0" b="0"/>
                <wp:wrapSquare wrapText="bothSides"/>
                <wp:docPr id="777" name="Shape 777"/>
                <wp:cNvGraphicFramePr/>
                <a:graphic xmlns:a="http://schemas.openxmlformats.org/drawingml/2006/main">
                  <a:graphicData uri="http://schemas.microsoft.com/office/word/2010/wordprocessingShape">
                    <wps:wsp>
                      <wps:cNvSpPr txBox="1"/>
                      <wps:spPr>
                        <a:xfrm>
                          <a:off x="0" y="0"/>
                          <a:ext cx="1639570" cy="4742815"/>
                        </a:xfrm>
                        <a:prstGeom prst="rect">
                          <a:avLst/>
                        </a:prstGeom>
                        <a:noFill/>
                      </wps:spPr>
                      <wps:txbx>
                        <w:txbxContent>
                          <w:p w:rsidR="00500724" w:rsidRDefault="00F30FB8">
                            <w:pPr>
                              <w:pStyle w:val="Zkladntext1"/>
                              <w:shd w:val="clear" w:color="auto" w:fill="auto"/>
                              <w:spacing w:after="120" w:line="180" w:lineRule="auto"/>
                              <w:ind w:firstLine="0"/>
                              <w:rPr>
                                <w:sz w:val="20"/>
                                <w:szCs w:val="20"/>
                              </w:rPr>
                            </w:pPr>
                            <w:r>
                              <w:rPr>
                                <w:i/>
                                <w:iCs/>
                                <w:sz w:val="20"/>
                                <w:szCs w:val="20"/>
                              </w:rPr>
                              <w:t xml:space="preserve">chorál sv. Václava a Božích bojovníků i zákona jeho, </w:t>
                            </w:r>
                            <w:r>
                              <w:rPr>
                                <w:i/>
                                <w:iCs/>
                                <w:sz w:val="20"/>
                                <w:szCs w:val="20"/>
                              </w:rPr>
                              <w:t>co ěini srozumitelnými slova pana Buška z Vilhartic, pro</w:t>
                            </w:r>
                            <w:r>
                              <w:rPr>
                                <w:i/>
                                <w:iCs/>
                                <w:sz w:val="20"/>
                                <w:szCs w:val="20"/>
                              </w:rPr>
                              <w:softHyphen/>
                              <w:t>nesená v Nerudově baladě o trpké mělniěině, naě myslí</w:t>
                            </w:r>
                            <w:r>
                              <w:rPr>
                                <w:i/>
                                <w:iCs/>
                                <w:sz w:val="20"/>
                                <w:szCs w:val="20"/>
                              </w:rPr>
                              <w:softHyphen/>
                              <w:t>me v díle Komenského, v Kot</w:t>
                            </w:r>
                            <w:r>
                              <w:rPr>
                                <w:i/>
                                <w:iCs/>
                                <w:sz w:val="20"/>
                                <w:szCs w:val="20"/>
                              </w:rPr>
                              <w:softHyphen/>
                              <w:t>lářovi, Pálackém, Havlíěko-</w:t>
                            </w:r>
                          </w:p>
                          <w:p w:rsidR="00500724" w:rsidRDefault="00F30FB8">
                            <w:pPr>
                              <w:pStyle w:val="Zkladntext40"/>
                              <w:shd w:val="clear" w:color="auto" w:fill="auto"/>
                              <w:spacing w:after="0" w:line="170" w:lineRule="auto"/>
                              <w:rPr>
                                <w:sz w:val="16"/>
                                <w:szCs w:val="16"/>
                              </w:rPr>
                            </w:pPr>
                            <w:r>
                              <w:rPr>
                                <w:b/>
                                <w:bCs/>
                                <w:sz w:val="16"/>
                                <w:szCs w:val="16"/>
                              </w:rPr>
                              <w:t xml:space="preserve">konečně sl přibral dalšího člena sboru jako průvodce (pater patratus). ŠIo-11 o </w:t>
                            </w:r>
                            <w:r>
                              <w:rPr>
                                <w:b/>
                                <w:bCs/>
                                <w:sz w:val="16"/>
                                <w:szCs w:val="16"/>
                              </w:rPr>
                              <w:t>vypovědění války, tedy pater patratus. sta</w:t>
                            </w:r>
                            <w:r>
                              <w:rPr>
                                <w:b/>
                                <w:bCs/>
                                <w:sz w:val="16"/>
                                <w:szCs w:val="16"/>
                              </w:rPr>
                              <w:softHyphen/>
                              <w:t>nuv na hranicích nepřátelského území, mrštil do něho kopím, smočeným v krví, a pronesl for- mulkou pro takový případ pře</w:t>
                            </w:r>
                            <w:r>
                              <w:rPr>
                                <w:b/>
                                <w:bCs/>
                                <w:sz w:val="16"/>
                                <w:szCs w:val="16"/>
                              </w:rPr>
                              <w:softHyphen/>
                              <w:t>depsanou. Později ovšem, když se území římské velmi rozrostlo, nechodili fetialové až na hra</w:t>
                            </w:r>
                            <w:r>
                              <w:rPr>
                                <w:b/>
                                <w:bCs/>
                                <w:sz w:val="16"/>
                                <w:szCs w:val="16"/>
                              </w:rPr>
                              <w:t>níce, nýbrž byl k tomuto účelu pro</w:t>
                            </w:r>
                            <w:r>
                              <w:rPr>
                                <w:b/>
                                <w:bCs/>
                                <w:sz w:val="16"/>
                                <w:szCs w:val="16"/>
                              </w:rPr>
                              <w:softHyphen/>
                              <w:t>hlášen na pláni Martově kus po</w:t>
                            </w:r>
                            <w:r>
                              <w:rPr>
                                <w:b/>
                                <w:bCs/>
                                <w:sz w:val="16"/>
                                <w:szCs w:val="16"/>
                              </w:rPr>
                              <w:softHyphen/>
                              <w:t>zemku za fiktivní nepřátelské území. Měla-11 se uzavřití smlou</w:t>
                            </w:r>
                            <w:r>
                              <w:rPr>
                                <w:b/>
                                <w:bCs/>
                                <w:sz w:val="16"/>
                                <w:szCs w:val="16"/>
                              </w:rPr>
                              <w:softHyphen/>
                              <w:t>va, tedy po sjednání jejího obsa</w:t>
                            </w:r>
                            <w:r>
                              <w:rPr>
                                <w:b/>
                                <w:bCs/>
                                <w:sz w:val="16"/>
                                <w:szCs w:val="16"/>
                              </w:rPr>
                              <w:softHyphen/>
                              <w:t>hu a formy se setkali patres patratl obou stran. smlouvu přečtli a prohlásili, že jejich ná</w:t>
                            </w:r>
                            <w:r>
                              <w:rPr>
                                <w:b/>
                                <w:bCs/>
                                <w:sz w:val="16"/>
                                <w:szCs w:val="16"/>
                              </w:rPr>
                              <w:softHyphen/>
                              <w:t>ro</w:t>
                            </w:r>
                            <w:r>
                              <w:rPr>
                                <w:b/>
                                <w:bCs/>
                                <w:sz w:val="16"/>
                                <w:szCs w:val="16"/>
                              </w:rPr>
                              <w:t>dy ji chtějí věrně zachovávat!; při tom se dovolávali nejenom přítomných jako svědků, ale i bo</w:t>
                            </w:r>
                            <w:r>
                              <w:rPr>
                                <w:b/>
                                <w:bCs/>
                                <w:sz w:val="16"/>
                                <w:szCs w:val="16"/>
                              </w:rPr>
                              <w:softHyphen/>
                              <w:t>hů, zejména Jova, a pronesli slo</w:t>
                            </w:r>
                            <w:r>
                              <w:rPr>
                                <w:b/>
                                <w:bCs/>
                                <w:sz w:val="16"/>
                                <w:szCs w:val="16"/>
                              </w:rPr>
                              <w:softHyphen/>
                              <w:t>va, že poruší-11 národ tuto smlou</w:t>
                            </w:r>
                            <w:r>
                              <w:rPr>
                                <w:b/>
                                <w:bCs/>
                                <w:sz w:val="16"/>
                                <w:szCs w:val="16"/>
                              </w:rPr>
                              <w:softHyphen/>
                              <w:t>vu, má býti Jovovým bleskem zasažen stejně jako fetial zabíjí kamenem obětní sele. Je pocho</w:t>
                            </w:r>
                            <w:r>
                              <w:rPr>
                                <w:b/>
                                <w:bCs/>
                                <w:sz w:val="16"/>
                                <w:szCs w:val="16"/>
                              </w:rPr>
                              <w:softHyphen/>
                              <w:t>pi</w:t>
                            </w:r>
                            <w:r>
                              <w:rPr>
                                <w:b/>
                                <w:bCs/>
                                <w:sz w:val="16"/>
                                <w:szCs w:val="16"/>
                              </w:rPr>
                              <w:t>telno, že tento starobylý oby</w:t>
                            </w:r>
                            <w:r>
                              <w:rPr>
                                <w:b/>
                                <w:bCs/>
                                <w:sz w:val="16"/>
                                <w:szCs w:val="16"/>
                              </w:rPr>
                              <w:softHyphen/>
                              <w:t>čej mohl zůstávat! v platností jen dotud, dokud Římané válčili a uzavírali smlouvy s blízkými sousedy, majícími stejná nebo po</w:t>
                            </w:r>
                            <w:r>
                              <w:rPr>
                                <w:b/>
                                <w:bCs/>
                                <w:sz w:val="16"/>
                                <w:szCs w:val="16"/>
                              </w:rPr>
                              <w:softHyphen/>
                              <w:t>dobná zřízení. Šlo-li o protivníka, který neměl takové instituce, jako byli římští fetialové, nebyl</w:t>
                            </w:r>
                            <w:r>
                              <w:rPr>
                                <w:b/>
                                <w:bCs/>
                                <w:sz w:val="16"/>
                                <w:szCs w:val="16"/>
                              </w:rPr>
                              <w:t>o to překážkou, aby na římské stra</w:t>
                            </w:r>
                            <w:r>
                              <w:rPr>
                                <w:b/>
                                <w:bCs/>
                                <w:sz w:val="16"/>
                                <w:szCs w:val="16"/>
                              </w:rPr>
                              <w:softHyphen/>
                              <w:t>ně fetialové nesplnili svůj úkol. Další působení fetíalů nastávalo [ v případech, kdy řádně uzavřená smlouva byla porušena a tu fe</w:t>
                            </w:r>
                            <w:r>
                              <w:rPr>
                                <w:b/>
                                <w:bCs/>
                                <w:sz w:val="16"/>
                                <w:szCs w:val="16"/>
                              </w:rPr>
                              <w:softHyphen/>
                              <w:t>tialové buď vydali nepříteli vinnl- ka, nebo naopak žádali náhradu škody způsobené Římanům</w:t>
                            </w:r>
                            <w:r>
                              <w:rPr>
                                <w:b/>
                                <w:bCs/>
                                <w:sz w:val="16"/>
                                <w:szCs w:val="16"/>
                              </w:rPr>
                              <w:t xml:space="preserve"> ne</w:t>
                            </w:r>
                            <w:r>
                              <w:rPr>
                                <w:b/>
                                <w:bCs/>
                                <w:sz w:val="16"/>
                                <w:szCs w:val="16"/>
                              </w:rPr>
                              <w:softHyphen/>
                              <w:t>dodržením úmluvy.</w:t>
                            </w:r>
                          </w:p>
                          <w:p w:rsidR="00500724" w:rsidRDefault="00F30FB8">
                            <w:pPr>
                              <w:pStyle w:val="Zkladntext40"/>
                              <w:shd w:val="clear" w:color="auto" w:fill="auto"/>
                              <w:spacing w:line="170" w:lineRule="auto"/>
                              <w:ind w:left="160"/>
                              <w:jc w:val="left"/>
                              <w:rPr>
                                <w:sz w:val="16"/>
                                <w:szCs w:val="16"/>
                              </w:rPr>
                            </w:pPr>
                            <w:r>
                              <w:rPr>
                                <w:b/>
                                <w:bCs/>
                                <w:sz w:val="16"/>
                                <w:szCs w:val="16"/>
                              </w:rPr>
                              <w:t xml:space="preserve">Jak jsme </w:t>
                            </w:r>
                            <w:r>
                              <w:t xml:space="preserve">z </w:t>
                            </w:r>
                            <w:r>
                              <w:rPr>
                                <w:b/>
                                <w:bCs/>
                                <w:sz w:val="16"/>
                                <w:szCs w:val="16"/>
                              </w:rPr>
                              <w:t>uvedeného poznali.</w:t>
                            </w:r>
                          </w:p>
                        </w:txbxContent>
                      </wps:txbx>
                      <wps:bodyPr lIns="0" tIns="0" rIns="0" bIns="0">
                        <a:spAutoFit/>
                      </wps:bodyPr>
                    </wps:wsp>
                  </a:graphicData>
                </a:graphic>
              </wp:anchor>
            </w:drawing>
          </mc:Choice>
          <mc:Fallback>
            <w:pict>
              <v:shape id="_x0000_s1803" type="#_x0000_t202" style="position:absolute;margin-left:129.94999999999999pt;margin-top:389.5pt;width:129.09999999999999pt;height:373.44999999999999pt;z-index:-125828599;mso-wrap-distance-left:0;mso-wrap-distance-right:0;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120" w:line="180" w:lineRule="auto"/>
                        <w:ind w:left="0" w:right="0" w:firstLine="0"/>
                        <w:rPr>
                          <w:sz w:val="20"/>
                          <w:szCs w:val="20"/>
                        </w:rPr>
                      </w:pPr>
                      <w:r>
                        <w:rPr>
                          <w:i/>
                          <w:iCs/>
                          <w:color w:val="000000"/>
                          <w:spacing w:val="0"/>
                          <w:w w:val="100"/>
                          <w:position w:val="0"/>
                          <w:sz w:val="20"/>
                          <w:szCs w:val="20"/>
                          <w:shd w:val="clear" w:color="auto" w:fill="auto"/>
                          <w:lang w:val="cs-CZ" w:eastAsia="cs-CZ" w:bidi="cs-CZ"/>
                        </w:rPr>
                        <w:t>chorál sv. Václava a Božích bojovníků i zákona jeho, co ěini srozumitelnými slova pana Buška z Vilhartic, pro</w:t>
                        <w:softHyphen/>
                        <w:t>nesená v Nerudově baladě o trpké mělniěině, naě myslí</w:t>
                        <w:softHyphen/>
                        <w:t>me v díle Komenského, v Kot</w:t>
                        <w:softHyphen/>
                        <w:t>lářovi, Pálackém, Havlíěko-</w:t>
                      </w:r>
                    </w:p>
                    <w:p>
                      <w:pPr>
                        <w:pStyle w:val="Style42"/>
                        <w:keepNext w:val="0"/>
                        <w:keepLines w:val="0"/>
                        <w:widowControl w:val="0"/>
                        <w:shd w:val="clear" w:color="auto" w:fill="auto"/>
                        <w:bidi w:val="0"/>
                        <w:spacing w:before="0" w:after="0" w:line="170" w:lineRule="auto"/>
                        <w:ind w:left="0" w:right="0" w:firstLine="0"/>
                        <w:rPr>
                          <w:sz w:val="16"/>
                          <w:szCs w:val="16"/>
                        </w:rPr>
                      </w:pPr>
                      <w:r>
                        <w:rPr>
                          <w:b/>
                          <w:bCs/>
                          <w:color w:val="000000"/>
                          <w:spacing w:val="0"/>
                          <w:w w:val="100"/>
                          <w:position w:val="0"/>
                          <w:sz w:val="16"/>
                          <w:szCs w:val="16"/>
                          <w:shd w:val="clear" w:color="auto" w:fill="auto"/>
                          <w:lang w:val="cs-CZ" w:eastAsia="cs-CZ" w:bidi="cs-CZ"/>
                        </w:rPr>
                        <w:t>konečně sl přibral dalšího člena sboru jako průvodce (pater patratus). ŠIo-11 o vypovědění války, tedy pater patratus. sta</w:t>
                        <w:softHyphen/>
                        <w:t>nuv na hranicích nepřátelského území, mrštil do něho kopím, smočeným v krví, a pronesl for- mulkou pro takový případ pře</w:t>
                        <w:softHyphen/>
                        <w:t>depsanou. Později ovšem, když se území římské velmi rozrostlo, nechodili fetialové až na hraníce, nýbrž byl k tomuto účelu pro</w:t>
                        <w:softHyphen/>
                        <w:t>hlášen na pláni Martově kus po</w:t>
                        <w:softHyphen/>
                        <w:t>zemku za fiktivní nepřátelské území. Měla-11 se uzavřití smlou</w:t>
                        <w:softHyphen/>
                        <w:t>va, tedy po sjednání jejího obsa</w:t>
                        <w:softHyphen/>
                        <w:t>hu a formy se setkali patres patratl obou stran. smlouvu přečtli a prohlásili, že jejich ná</w:t>
                        <w:softHyphen/>
                        <w:t>rody ji chtějí věrně zachovávat!; při tom se dovolávali nejenom přítomných jako svědků, ale i bo</w:t>
                        <w:softHyphen/>
                        <w:t>hů, zejména Jova, a pronesli slo</w:t>
                        <w:softHyphen/>
                        <w:t>va, že poruší-11 národ tuto smlou</w:t>
                        <w:softHyphen/>
                        <w:t>vu, má býti Jovovým bleskem zasažen stejně jako fetial zabíjí kamenem obětní sele. Je pocho</w:t>
                        <w:softHyphen/>
                        <w:t>pitelno, že tento starobylý oby</w:t>
                        <w:softHyphen/>
                        <w:t>čej mohl zůstávat! v platností jen dotud, dokud Římané válčili a uzavírali smlouvy s blízkými sousedy, majícími stejná nebo po</w:t>
                        <w:softHyphen/>
                        <w:t>dobná zřízení. Šlo-li o protivníka, který neměl takové instituce, jako byli římští fetialové, nebylo to překážkou, aby na římské stra</w:t>
                        <w:softHyphen/>
                        <w:t>ně fetialové nesplnili svůj úkol. Další působení fetíalů nastávalo [ v případech, kdy řádně uzavřená smlouva byla porušena a tu fe</w:t>
                        <w:softHyphen/>
                        <w:t>tialové buď vydali nepříteli vinnl- ka, nebo naopak žádali náhradu škody způsobené Římanům ne</w:t>
                        <w:softHyphen/>
                        <w:t>dodržením úmluvy.</w:t>
                      </w:r>
                    </w:p>
                    <w:p>
                      <w:pPr>
                        <w:pStyle w:val="Style42"/>
                        <w:keepNext w:val="0"/>
                        <w:keepLines w:val="0"/>
                        <w:widowControl w:val="0"/>
                        <w:shd w:val="clear" w:color="auto" w:fill="auto"/>
                        <w:bidi w:val="0"/>
                        <w:spacing w:before="0" w:line="170" w:lineRule="auto"/>
                        <w:ind w:left="160" w:right="0" w:firstLine="0"/>
                        <w:jc w:val="left"/>
                        <w:rPr>
                          <w:sz w:val="16"/>
                          <w:szCs w:val="16"/>
                        </w:rPr>
                      </w:pPr>
                      <w:r>
                        <w:rPr>
                          <w:b/>
                          <w:bCs/>
                          <w:color w:val="000000"/>
                          <w:spacing w:val="0"/>
                          <w:w w:val="100"/>
                          <w:position w:val="0"/>
                          <w:sz w:val="16"/>
                          <w:szCs w:val="16"/>
                          <w:shd w:val="clear" w:color="auto" w:fill="auto"/>
                          <w:lang w:val="cs-CZ" w:eastAsia="cs-CZ" w:bidi="cs-CZ"/>
                        </w:rPr>
                        <w:t xml:space="preserve">Jak jsme </w:t>
                      </w:r>
                      <w:r>
                        <w:rPr>
                          <w:color w:val="000000"/>
                          <w:spacing w:val="0"/>
                          <w:w w:val="100"/>
                          <w:position w:val="0"/>
                          <w:sz w:val="15"/>
                          <w:szCs w:val="15"/>
                          <w:shd w:val="clear" w:color="auto" w:fill="auto"/>
                          <w:lang w:val="cs-CZ" w:eastAsia="cs-CZ" w:bidi="cs-CZ"/>
                        </w:rPr>
                        <w:t xml:space="preserve">z </w:t>
                      </w:r>
                      <w:r>
                        <w:rPr>
                          <w:b/>
                          <w:bCs/>
                          <w:color w:val="000000"/>
                          <w:spacing w:val="0"/>
                          <w:w w:val="100"/>
                          <w:position w:val="0"/>
                          <w:sz w:val="16"/>
                          <w:szCs w:val="16"/>
                          <w:shd w:val="clear" w:color="auto" w:fill="auto"/>
                          <w:lang w:val="cs-CZ" w:eastAsia="cs-CZ" w:bidi="cs-CZ"/>
                        </w:rPr>
                        <w:t>uvedeného poznali.</w:t>
                      </w:r>
                    </w:p>
                  </w:txbxContent>
                </v:textbox>
                <w10:wrap type="square" anchorx="page"/>
              </v:shape>
            </w:pict>
          </mc:Fallback>
        </mc:AlternateContent>
      </w:r>
    </w:p>
    <w:p w:rsidR="00500724" w:rsidRDefault="00F30FB8">
      <w:pPr>
        <w:pStyle w:val="Zkladntext1"/>
        <w:shd w:val="clear" w:color="auto" w:fill="auto"/>
        <w:spacing w:line="202" w:lineRule="auto"/>
        <w:ind w:firstLine="0"/>
        <w:rPr>
          <w:sz w:val="20"/>
          <w:szCs w:val="20"/>
        </w:rPr>
      </w:pPr>
      <w:r>
        <w:rPr>
          <w:i/>
          <w:iCs/>
          <w:sz w:val="20"/>
          <w:szCs w:val="20"/>
        </w:rPr>
        <w:t>nění smyslu a filosofie nár rodních dějin. Není Prodaná nevěsta nejpodstatnějším vý</w:t>
      </w:r>
      <w:r>
        <w:rPr>
          <w:i/>
          <w:iCs/>
          <w:sz w:val="20"/>
          <w:szCs w:val="20"/>
        </w:rPr>
        <w:softHyphen/>
        <w:t>ronem Smetanova genia f Smetana sám pociťoval úspě</w:t>
      </w:r>
      <w:r>
        <w:rPr>
          <w:i/>
          <w:iCs/>
          <w:sz w:val="20"/>
          <w:szCs w:val="20"/>
        </w:rPr>
        <w:softHyphen/>
        <w:t>chy Prodané jako křivdu pá</w:t>
      </w:r>
      <w:r>
        <w:rPr>
          <w:i/>
          <w:iCs/>
          <w:sz w:val="20"/>
          <w:szCs w:val="20"/>
        </w:rPr>
        <w:softHyphen/>
        <w:t>chanou na ostatních svých zpěvohrách. Kva</w:t>
      </w:r>
      <w:r>
        <w:rPr>
          <w:i/>
          <w:iCs/>
          <w:sz w:val="20"/>
          <w:szCs w:val="20"/>
        </w:rPr>
        <w:t>rtet</w:t>
      </w:r>
      <w:r>
        <w:rPr>
          <w:sz w:val="24"/>
          <w:szCs w:val="24"/>
        </w:rPr>
        <w:t xml:space="preserve"> Z </w:t>
      </w:r>
      <w:r>
        <w:rPr>
          <w:i/>
          <w:iCs/>
          <w:sz w:val="20"/>
          <w:szCs w:val="20"/>
        </w:rPr>
        <w:t>mého života, tato ojedinělá trage</w:t>
      </w:r>
      <w:r>
        <w:rPr>
          <w:i/>
          <w:iCs/>
          <w:sz w:val="20"/>
          <w:szCs w:val="20"/>
        </w:rPr>
        <w:softHyphen/>
        <w:t>die, jež nemá sobě rovné, byl původně přijat s nepo</w:t>
      </w:r>
      <w:r>
        <w:rPr>
          <w:i/>
          <w:iCs/>
          <w:sz w:val="20"/>
          <w:szCs w:val="20"/>
        </w:rPr>
        <w:softHyphen/>
        <w:t>chopením, a podnes je málo srdcí, která dovedou při něm prožít celou autorovu bolest</w:t>
      </w:r>
      <w:r>
        <w:rPr>
          <w:i/>
          <w:iCs/>
          <w:sz w:val="20"/>
          <w:szCs w:val="20"/>
        </w:rPr>
        <w:softHyphen/>
        <w:t>nou dráhu životní, přes to však až do posledního kroku prozářenou opět tou nez</w:t>
      </w:r>
      <w:r>
        <w:rPr>
          <w:i/>
          <w:iCs/>
          <w:sz w:val="20"/>
          <w:szCs w:val="20"/>
        </w:rPr>
        <w:t>vrat</w:t>
      </w:r>
      <w:r>
        <w:rPr>
          <w:i/>
          <w:iCs/>
          <w:sz w:val="20"/>
          <w:szCs w:val="20"/>
        </w:rPr>
        <w:softHyphen/>
        <w:t>nou vírou v národní posvěce</w:t>
      </w:r>
      <w:r>
        <w:rPr>
          <w:i/>
          <w:iCs/>
          <w:sz w:val="20"/>
          <w:szCs w:val="20"/>
        </w:rPr>
        <w:softHyphen/>
        <w:t>ní. Kdyby Libuše nevyvrcho- lila svým strhujícím závě</w:t>
      </w:r>
      <w:r>
        <w:rPr>
          <w:i/>
          <w:iCs/>
          <w:sz w:val="20"/>
          <w:szCs w:val="20"/>
        </w:rPr>
        <w:softHyphen/>
        <w:t>rem, sotva by byla plně po</w:t>
      </w:r>
      <w:r>
        <w:rPr>
          <w:i/>
          <w:iCs/>
          <w:sz w:val="20"/>
          <w:szCs w:val="20"/>
        </w:rPr>
        <w:softHyphen/>
        <w:t>chopena, proě byla kompo</w:t>
      </w:r>
      <w:r>
        <w:rPr>
          <w:i/>
          <w:iCs/>
          <w:sz w:val="20"/>
          <w:szCs w:val="20"/>
        </w:rPr>
        <w:softHyphen/>
        <w:t>nována jako slavnostní dílo jen pro zvláštní příležitosti.</w:t>
      </w:r>
    </w:p>
    <w:p w:rsidR="00500724" w:rsidRDefault="00F30FB8">
      <w:pPr>
        <w:pStyle w:val="Zkladntext1"/>
        <w:shd w:val="clear" w:color="auto" w:fill="auto"/>
        <w:spacing w:line="202" w:lineRule="auto"/>
        <w:ind w:firstLine="0"/>
        <w:rPr>
          <w:sz w:val="20"/>
          <w:szCs w:val="20"/>
        </w:rPr>
      </w:pPr>
      <w:r>
        <w:rPr>
          <w:i/>
          <w:iCs/>
          <w:sz w:val="20"/>
          <w:szCs w:val="20"/>
        </w:rPr>
        <w:t>I ve Smetanovi máme genia budoucnosti, který ještě dlou</w:t>
      </w:r>
      <w:r>
        <w:rPr>
          <w:i/>
          <w:iCs/>
          <w:sz w:val="20"/>
          <w:szCs w:val="20"/>
        </w:rPr>
        <w:softHyphen/>
        <w:t>ho</w:t>
      </w:r>
      <w:r>
        <w:rPr>
          <w:i/>
          <w:iCs/>
          <w:sz w:val="20"/>
          <w:szCs w:val="20"/>
        </w:rPr>
        <w:t xml:space="preserve"> bude znovu objevován, jak jeho tragedii vystihl již Neruda.</w:t>
      </w:r>
    </w:p>
    <w:p w:rsidR="00500724" w:rsidRDefault="00F30FB8">
      <w:pPr>
        <w:pStyle w:val="Zkladntext1"/>
        <w:shd w:val="clear" w:color="auto" w:fill="auto"/>
        <w:spacing w:line="197" w:lineRule="auto"/>
        <w:ind w:firstLine="180"/>
        <w:rPr>
          <w:sz w:val="20"/>
          <w:szCs w:val="20"/>
        </w:rPr>
      </w:pPr>
      <w:r>
        <w:rPr>
          <w:i/>
          <w:iCs/>
          <w:sz w:val="20"/>
          <w:szCs w:val="20"/>
        </w:rPr>
        <w:t>Je nápadné, že i Purkyně shledával v hudbě zvlášť mo</w:t>
      </w:r>
      <w:r>
        <w:rPr>
          <w:i/>
          <w:iCs/>
          <w:sz w:val="20"/>
          <w:szCs w:val="20"/>
        </w:rPr>
        <w:softHyphen/>
        <w:t>hutný prostředek výchovný a národně posilující. Je po</w:t>
      </w:r>
      <w:r>
        <w:rPr>
          <w:i/>
          <w:iCs/>
          <w:sz w:val="20"/>
          <w:szCs w:val="20"/>
        </w:rPr>
        <w:softHyphen/>
        <w:t>divné, jak tón, zmírající oka</w:t>
      </w:r>
      <w:r>
        <w:rPr>
          <w:i/>
          <w:iCs/>
          <w:sz w:val="20"/>
          <w:szCs w:val="20"/>
        </w:rPr>
        <w:softHyphen/>
        <w:t xml:space="preserve">mžikem, kdy se zrodil, se stal u Smetany prostředkem </w:t>
      </w:r>
      <w:r>
        <w:rPr>
          <w:i/>
          <w:iCs/>
          <w:sz w:val="20"/>
          <w:szCs w:val="20"/>
        </w:rPr>
        <w:t>výrazu národního ducha. To tím, že Smetanův tán je du</w:t>
      </w:r>
      <w:r>
        <w:rPr>
          <w:i/>
          <w:iCs/>
          <w:sz w:val="20"/>
          <w:szCs w:val="20"/>
        </w:rPr>
        <w:softHyphen/>
        <w:t>chem naplněn, a pravou řeěi mluví jen k ěeskému duchu, k ěeskému srdci. Měřítkem umělecké dokonalosti je hod</w:t>
      </w:r>
      <w:r>
        <w:rPr>
          <w:i/>
          <w:iCs/>
          <w:sz w:val="20"/>
          <w:szCs w:val="20"/>
        </w:rPr>
        <w:softHyphen/>
        <w:t>nota dila sama. Úspěch Sme</w:t>
      </w:r>
      <w:r>
        <w:rPr>
          <w:i/>
          <w:iCs/>
          <w:sz w:val="20"/>
          <w:szCs w:val="20"/>
        </w:rPr>
        <w:softHyphen/>
        <w:t>tanova dila je však měřítkem ěeskosti lidských duchů a srdcí.</w:t>
      </w:r>
    </w:p>
    <w:p w:rsidR="00500724" w:rsidRDefault="00F30FB8">
      <w:pPr>
        <w:pStyle w:val="Zkladntext1"/>
        <w:shd w:val="clear" w:color="auto" w:fill="auto"/>
        <w:spacing w:after="120" w:line="197" w:lineRule="auto"/>
        <w:ind w:firstLine="180"/>
        <w:rPr>
          <w:sz w:val="20"/>
          <w:szCs w:val="20"/>
        </w:rPr>
      </w:pPr>
      <w:r>
        <w:rPr>
          <w:b/>
          <w:bCs/>
          <w:i/>
          <w:iCs/>
          <w:sz w:val="20"/>
          <w:szCs w:val="20"/>
        </w:rPr>
        <w:t xml:space="preserve">A v </w:t>
      </w:r>
      <w:r>
        <w:rPr>
          <w:b/>
          <w:bCs/>
          <w:i/>
          <w:iCs/>
          <w:sz w:val="20"/>
          <w:szCs w:val="20"/>
        </w:rPr>
        <w:t>celku je to pořád jed</w:t>
      </w:r>
      <w:r>
        <w:rPr>
          <w:b/>
          <w:bCs/>
          <w:i/>
          <w:iCs/>
          <w:sz w:val="20"/>
          <w:szCs w:val="20"/>
        </w:rPr>
        <w:softHyphen/>
        <w:t>no a totéž, ěím naplněn je |</w:t>
      </w:r>
    </w:p>
    <w:p w:rsidR="00500724" w:rsidRDefault="00F30FB8">
      <w:pPr>
        <w:pStyle w:val="Zkladntext40"/>
        <w:shd w:val="clear" w:color="auto" w:fill="auto"/>
        <w:spacing w:after="0" w:line="170" w:lineRule="auto"/>
        <w:rPr>
          <w:sz w:val="16"/>
          <w:szCs w:val="16"/>
        </w:rPr>
      </w:pPr>
      <w:r>
        <w:rPr>
          <w:b/>
          <w:bCs/>
          <w:sz w:val="16"/>
          <w:szCs w:val="16"/>
        </w:rPr>
        <w:t xml:space="preserve">smlouva uzavírajících. Takoví úmluvě, </w:t>
      </w:r>
      <w:r>
        <w:rPr>
          <w:b/>
          <w:bCs/>
        </w:rPr>
        <w:t xml:space="preserve">v </w:t>
      </w:r>
      <w:r>
        <w:rPr>
          <w:b/>
          <w:bCs/>
          <w:sz w:val="16"/>
          <w:szCs w:val="16"/>
        </w:rPr>
        <w:t>niž oběma smluvním stranám vznikají stojná práva a stejné závazky, říkají římské prameny foedus aequum.</w:t>
      </w:r>
    </w:p>
    <w:p w:rsidR="00500724" w:rsidRDefault="00F30FB8">
      <w:pPr>
        <w:pStyle w:val="Zkladntext40"/>
        <w:shd w:val="clear" w:color="auto" w:fill="auto"/>
        <w:spacing w:after="0" w:line="170" w:lineRule="auto"/>
        <w:ind w:firstLine="180"/>
        <w:rPr>
          <w:sz w:val="16"/>
          <w:szCs w:val="16"/>
        </w:rPr>
      </w:pPr>
      <w:r>
        <w:rPr>
          <w:b/>
          <w:bCs/>
          <w:sz w:val="16"/>
          <w:szCs w:val="16"/>
        </w:rPr>
        <w:t>Tento systém smluv, spočívají</w:t>
      </w:r>
      <w:r>
        <w:rPr>
          <w:b/>
          <w:bCs/>
          <w:sz w:val="16"/>
          <w:szCs w:val="16"/>
        </w:rPr>
        <w:softHyphen/>
        <w:t>cích na rovném spojenectví, byl</w:t>
      </w:r>
      <w:r>
        <w:rPr>
          <w:b/>
          <w:bCs/>
          <w:sz w:val="16"/>
          <w:szCs w:val="16"/>
        </w:rPr>
        <w:t xml:space="preserve"> však poměrně záhy opuštěn (r. 838 př. Kr. po vítězné válce nad latinskými spojenci) a vy</w:t>
      </w:r>
      <w:r>
        <w:rPr>
          <w:b/>
          <w:bCs/>
          <w:sz w:val="16"/>
          <w:szCs w:val="16"/>
        </w:rPr>
        <w:softHyphen/>
        <w:t>střídán systémem novým, odpo</w:t>
      </w:r>
      <w:r>
        <w:rPr>
          <w:b/>
          <w:bCs/>
          <w:sz w:val="16"/>
          <w:szCs w:val="16"/>
        </w:rPr>
        <w:softHyphen/>
        <w:t>vídajícím většímu mocenskému postavení ftíma. Římská obec ne</w:t>
      </w:r>
      <w:r>
        <w:rPr>
          <w:b/>
          <w:bCs/>
          <w:sz w:val="16"/>
          <w:szCs w:val="16"/>
        </w:rPr>
        <w:softHyphen/>
        <w:t>musila jíž při uzavírání smluv považovati druhou stranu za rov</w:t>
      </w:r>
      <w:r>
        <w:rPr>
          <w:b/>
          <w:bCs/>
          <w:sz w:val="16"/>
          <w:szCs w:val="16"/>
        </w:rPr>
        <w:softHyphen/>
        <w:t>nocennou, a p</w:t>
      </w:r>
      <w:r>
        <w:rPr>
          <w:b/>
          <w:bCs/>
          <w:sz w:val="16"/>
          <w:szCs w:val="16"/>
        </w:rPr>
        <w:t>roto smlouvy, uza</w:t>
      </w:r>
      <w:r>
        <w:rPr>
          <w:b/>
          <w:bCs/>
          <w:sz w:val="16"/>
          <w:szCs w:val="16"/>
        </w:rPr>
        <w:softHyphen/>
        <w:t>vírané nyní filmem a vyžadující od ruhé strany daleko více po</w:t>
      </w:r>
      <w:r>
        <w:rPr>
          <w:b/>
          <w:bCs/>
          <w:sz w:val="16"/>
          <w:szCs w:val="16"/>
        </w:rPr>
        <w:softHyphen/>
        <w:t>vinností, než bylo výhod se stra</w:t>
      </w:r>
      <w:r>
        <w:rPr>
          <w:b/>
          <w:bCs/>
          <w:sz w:val="16"/>
          <w:szCs w:val="16"/>
        </w:rPr>
        <w:softHyphen/>
        <w:t>ny římské, lze charakterisovatl Jako foedus iniquum. Ovšem Rím z diplomatické opatrností nikdy takto tyto smlouvy nenazýval. Mluvilo se I nadál</w:t>
      </w:r>
      <w:r>
        <w:rPr>
          <w:b/>
          <w:bCs/>
          <w:sz w:val="16"/>
          <w:szCs w:val="16"/>
        </w:rPr>
        <w:t>e vždy jen o sspojcncíchc národa římského.</w:t>
      </w:r>
    </w:p>
    <w:p w:rsidR="00500724" w:rsidRDefault="00F30FB8">
      <w:pPr>
        <w:pStyle w:val="Zkladntext40"/>
        <w:shd w:val="clear" w:color="auto" w:fill="auto"/>
        <w:spacing w:after="0" w:line="170" w:lineRule="auto"/>
        <w:ind w:firstLine="180"/>
        <w:rPr>
          <w:sz w:val="16"/>
          <w:szCs w:val="16"/>
        </w:rPr>
      </w:pPr>
      <w:r>
        <w:rPr>
          <w:b/>
          <w:bCs/>
          <w:sz w:val="16"/>
          <w:szCs w:val="16"/>
        </w:rPr>
        <w:t>Všechny tyto smlouvy byly po</w:t>
      </w:r>
      <w:r>
        <w:rPr>
          <w:b/>
          <w:bCs/>
          <w:sz w:val="16"/>
          <w:szCs w:val="16"/>
        </w:rPr>
        <w:softHyphen/>
        <w:t>važovány za posvátné a neporuši</w:t>
      </w:r>
      <w:r>
        <w:rPr>
          <w:b/>
          <w:bCs/>
          <w:sz w:val="16"/>
          <w:szCs w:val="16"/>
        </w:rPr>
        <w:softHyphen/>
        <w:t>telné. Výraz tomuto nazírání byl dán tím, že všechna ujednání mu</w:t>
      </w:r>
      <w:r>
        <w:rPr>
          <w:b/>
          <w:bCs/>
          <w:sz w:val="16"/>
          <w:szCs w:val="16"/>
        </w:rPr>
        <w:softHyphen/>
        <w:t>sila býti posvěcena od fetíalů.</w:t>
      </w:r>
    </w:p>
    <w:p w:rsidR="00500724" w:rsidRDefault="00F30FB8">
      <w:pPr>
        <w:pStyle w:val="Zkladntext40"/>
        <w:shd w:val="clear" w:color="auto" w:fill="auto"/>
        <w:spacing w:after="0" w:line="170" w:lineRule="auto"/>
        <w:ind w:firstLine="180"/>
        <w:rPr>
          <w:sz w:val="16"/>
          <w:szCs w:val="16"/>
        </w:rPr>
      </w:pPr>
      <w:r>
        <w:rPr>
          <w:b/>
          <w:bCs/>
          <w:sz w:val="16"/>
          <w:szCs w:val="16"/>
        </w:rPr>
        <w:t>Fetialové bylí sborem kultov</w:t>
      </w:r>
      <w:r>
        <w:rPr>
          <w:b/>
          <w:bCs/>
          <w:sz w:val="16"/>
          <w:szCs w:val="16"/>
        </w:rPr>
        <w:softHyphen/>
        <w:t>ních hodnostářů, jemuž pří</w:t>
      </w:r>
      <w:r>
        <w:rPr>
          <w:b/>
          <w:bCs/>
          <w:sz w:val="16"/>
          <w:szCs w:val="16"/>
        </w:rPr>
        <w:t>slušelo peěovatl o to, aby byla náležitou formou vypověděna válka nebo vyžádáno dostiučinění v přípa</w:t>
      </w:r>
      <w:r>
        <w:rPr>
          <w:b/>
          <w:bCs/>
          <w:sz w:val="16"/>
          <w:szCs w:val="16"/>
        </w:rPr>
        <w:softHyphen/>
        <w:t>dech, kdy se Římané domnívali miti k tomu právo. Nastala-li potřeba takového jednání, tedy jeden z členů sboru fetíalů se odebral na kapitolskou tvrz a tam</w:t>
      </w:r>
      <w:r>
        <w:rPr>
          <w:b/>
          <w:bCs/>
          <w:sz w:val="16"/>
          <w:szCs w:val="16"/>
        </w:rPr>
        <w:t xml:space="preserve"> utrhl několik stonků posvát</w:t>
      </w:r>
      <w:r>
        <w:rPr>
          <w:b/>
          <w:bCs/>
          <w:sz w:val="16"/>
          <w:szCs w:val="16"/>
        </w:rPr>
        <w:softHyphen/>
        <w:t>ných travin (sagmlna). pak při</w:t>
      </w:r>
      <w:r>
        <w:rPr>
          <w:b/>
          <w:bCs/>
          <w:sz w:val="16"/>
          <w:szCs w:val="16"/>
        </w:rPr>
        <w:softHyphen/>
        <w:t>jal od příslušného představitele národa římského příkaz pověřují</w:t>
      </w:r>
      <w:r>
        <w:rPr>
          <w:b/>
          <w:bCs/>
          <w:sz w:val="16"/>
          <w:szCs w:val="16"/>
        </w:rPr>
        <w:softHyphen/>
        <w:t>cí ho Jako představitele státu a</w:t>
      </w:r>
    </w:p>
    <w:p w:rsidR="00500724" w:rsidRDefault="00F30FB8">
      <w:pPr>
        <w:spacing w:line="1" w:lineRule="exact"/>
        <w:rPr>
          <w:sz w:val="2"/>
          <w:szCs w:val="2"/>
        </w:rPr>
      </w:pPr>
      <w:r>
        <w:br w:type="column"/>
      </w:r>
    </w:p>
    <w:p w:rsidR="00500724" w:rsidRDefault="00F30FB8">
      <w:pPr>
        <w:pStyle w:val="Zkladntext90"/>
        <w:shd w:val="clear" w:color="auto" w:fill="auto"/>
        <w:ind w:firstLine="0"/>
        <w:jc w:val="left"/>
      </w:pPr>
      <w:r>
        <w:t>Edmond Jaloux: MRAKY NA OBZORU</w:t>
      </w:r>
    </w:p>
    <w:p w:rsidR="00500724" w:rsidRDefault="00F30FB8">
      <w:pPr>
        <w:pStyle w:val="Zkladntext40"/>
        <w:shd w:val="clear" w:color="auto" w:fill="auto"/>
        <w:spacing w:after="0"/>
        <w:ind w:firstLine="180"/>
      </w:pPr>
      <w:r>
        <w:t>Nový svazek Lidí dobré v ů 1 e se začíná 1 končí tím, čemu Romain</w:t>
      </w:r>
      <w:r>
        <w:t xml:space="preserve">s říká »severní periferie«. Tato ouvertura a zároveň </w:t>
      </w:r>
      <w:r>
        <w:rPr>
          <w:lang w:val="en-US" w:eastAsia="en-US" w:bidi="en-US"/>
        </w:rPr>
        <w:t xml:space="preserve">finale </w:t>
      </w:r>
      <w:r>
        <w:t xml:space="preserve">jsou z nejlepšlch, nejpoutavějších partií Jeho díla. A Jejich četba Je právě dnes naprosto aktuální, protože nám pomáhá pochopit dnešní stav socialistického hnutí. Ostatně </w:t>
      </w:r>
      <w:r>
        <w:rPr>
          <w:lang w:val="en-US" w:eastAsia="en-US" w:bidi="en-US"/>
        </w:rPr>
        <w:t xml:space="preserve">Jules </w:t>
      </w:r>
      <w:r>
        <w:t>Romains je nejlepš</w:t>
      </w:r>
      <w:r>
        <w:t>í ^průmyslový krajináři, jakého kdy měla francouzská literatura. V této věci stoji velmi vysoko nad Zolou 1 nad Verhaerenem a je, po pravdě řečeno. Jediný v tomto oboru.</w:t>
      </w:r>
    </w:p>
    <w:p w:rsidR="00500724" w:rsidRDefault="00F30FB8">
      <w:pPr>
        <w:pStyle w:val="Zkladntext40"/>
        <w:shd w:val="clear" w:color="auto" w:fill="auto"/>
        <w:spacing w:after="0"/>
        <w:ind w:firstLine="180"/>
      </w:pPr>
      <w:r>
        <w:t>V Mracích na obzoru vy</w:t>
      </w:r>
      <w:r>
        <w:softHyphen/>
        <w:t>pravuje ve skvělých kapitolách, jak se v tom prostředí každoden</w:t>
      </w:r>
      <w:r>
        <w:softHyphen/>
        <w:t>ního pařížského života nakupily síly a prostředky, bez kterých Pa</w:t>
      </w:r>
      <w:r>
        <w:softHyphen/>
        <w:t>říž nemůže Již žiti; tak se stalo, že rozvoj dělnického hnutí se při</w:t>
      </w:r>
      <w:r>
        <w:softHyphen/>
        <w:t>řadil k rozvoji a průmyslu a že nakonec vyrostly naproti sobě na Jedné straně čtvrt vládni — s pre- sldentským palácem a</w:t>
      </w:r>
      <w:r>
        <w:t xml:space="preserve"> s minister</w:t>
      </w:r>
      <w:r>
        <w:softHyphen/>
        <w:t>stvy —■ a na straně druhé to hrozné ohnisko socialistické a re</w:t>
      </w:r>
      <w:r>
        <w:softHyphen/>
        <w:t>voluční akce. Je možné, že Je to obraz poněkud sumární, ale přes to je to obraz pravdivý, silný a vrývajíci se do ducha. Již zde je vidět, že v Lidech dobré v ů- 1 e budeme mit souh</w:t>
      </w:r>
      <w:r>
        <w:t>ru soudů, které budou nezbytné pro pocho</w:t>
      </w:r>
      <w:r>
        <w:softHyphen/>
        <w:t>pení dějin naši doby.</w:t>
      </w:r>
    </w:p>
    <w:p w:rsidR="00500724" w:rsidRDefault="00F30FB8">
      <w:pPr>
        <w:pStyle w:val="Zkladntext40"/>
        <w:shd w:val="clear" w:color="auto" w:fill="auto"/>
        <w:spacing w:after="0"/>
        <w:ind w:firstLine="180"/>
      </w:pPr>
      <w:r>
        <w:t>A v tomto prostředí nám. J. Ro</w:t>
      </w:r>
      <w:r>
        <w:softHyphen/>
        <w:t>mains ukazuje Jednoho člověka, dělníka Maillecottina, kterého Jsme Již Jednou viděli, a to ten</w:t>
      </w:r>
      <w:r>
        <w:softHyphen/>
        <w:t>krát, když svou sestru Isabelu varoval před jejím milencem. Vi</w:t>
      </w:r>
      <w:r>
        <w:softHyphen/>
        <w:t>díme</w:t>
      </w:r>
      <w:r>
        <w:t xml:space="preserve"> zde tohoto dělníka u sou</w:t>
      </w:r>
      <w:r>
        <w:softHyphen/>
        <w:t>struhu v automobilce. Také zde nalézáme nejlepšího Romainse; nikdo jiný nedovede o ruční prá</w:t>
      </w:r>
      <w:r>
        <w:softHyphen/>
        <w:t>ci mluvit tak půvabně, tak svěže, tak odborně. Nenalézáme zde možná ty oslnivé zkratky a ty dojmy téměř experimentální, kte</w:t>
      </w:r>
      <w:r>
        <w:softHyphen/>
        <w:t>ré přináší R.</w:t>
      </w:r>
      <w:r>
        <w:t xml:space="preserve"> </w:t>
      </w:r>
      <w:r>
        <w:rPr>
          <w:lang w:val="en-US" w:eastAsia="en-US" w:bidi="en-US"/>
        </w:rPr>
        <w:t xml:space="preserve">Kipling, </w:t>
      </w:r>
      <w:r>
        <w:t>když ně</w:t>
      </w:r>
      <w:r>
        <w:softHyphen/>
        <w:t>kdy mluví o takových věcech, ale máme zde zato opravdu fran</w:t>
      </w:r>
      <w:r>
        <w:softHyphen/>
        <w:t>couzskou lásku k řemeslu.</w:t>
      </w:r>
    </w:p>
    <w:p w:rsidR="00500724" w:rsidRDefault="00F30FB8">
      <w:pPr>
        <w:pStyle w:val="Zkladntext40"/>
        <w:shd w:val="clear" w:color="auto" w:fill="auto"/>
        <w:spacing w:after="0"/>
        <w:ind w:firstLine="180"/>
      </w:pPr>
      <w:r>
        <w:t>Proti tomuto světu dělnému stoji svět vládní: nádherné strán</w:t>
      </w:r>
      <w:r>
        <w:softHyphen/>
        <w:t>ky, věnované Briandovi. Pokud Je</w:t>
      </w:r>
      <w:r>
        <w:br w:type="column"/>
        <w:t>vůbec možné, aby se člověk, kte</w:t>
      </w:r>
      <w:r>
        <w:softHyphen/>
        <w:t xml:space="preserve">rý nikdy nebyl ministrem, </w:t>
      </w:r>
      <w:r>
        <w:t>vžil do toho, co se děje v hlavě ministrů, potud se Romains vživá do myš</w:t>
      </w:r>
      <w:r>
        <w:softHyphen/>
        <w:t>lenek Briandových. A všechno, co se týká poměru mezí Briandem a Gurauem, Je stejně znamenité. A je to tak napínavé, že když nám dalši kapitoly ukazuj! zase dělní</w:t>
      </w:r>
      <w:r>
        <w:softHyphen/>
        <w:t>ka Maillecottina a je</w:t>
      </w:r>
      <w:r>
        <w:t>ho spory se sestrou a s pasákem Romualdem nebo kněžské Intriky kolem abbé Mioneta, máme chuť dostat se co nejdříve zase k nejzajímavější části knihy, která se týká přípra</w:t>
      </w:r>
      <w:r>
        <w:softHyphen/>
        <w:t>vy světové války a toho. Jak JI předvídá Briand. Gurau a lidé z Jejich okolí. Je důle</w:t>
      </w:r>
      <w:r>
        <w:t>žité, že Ro</w:t>
      </w:r>
      <w:r>
        <w:softHyphen/>
        <w:t>mains pří tom neposuzuje tehdej</w:t>
      </w:r>
      <w:r>
        <w:softHyphen/>
        <w:t>ší situaci podle toho, co o ni víme dnes. Bylo by příliš snadné, ob</w:t>
      </w:r>
      <w:r>
        <w:softHyphen/>
        <w:t>jasňovat minulost tím, co přines</w:t>
      </w:r>
      <w:r>
        <w:softHyphen/>
        <w:t>la a co dnes již známe. Briand a Gurau posuzují danou situaci tak, jak asi to bylo možné toho roku 1911, ve chv</w:t>
      </w:r>
      <w:r>
        <w:t>íli, kdy se katastrofa osnovala Ještě potají.</w:t>
      </w:r>
    </w:p>
    <w:p w:rsidR="00500724" w:rsidRDefault="00F30FB8">
      <w:pPr>
        <w:pStyle w:val="Zkladntext40"/>
        <w:shd w:val="clear" w:color="auto" w:fill="auto"/>
        <w:spacing w:after="100"/>
        <w:ind w:firstLine="220"/>
      </w:pPr>
      <w:r>
        <w:t>Znovu jsme přerušeni dvěma příběhy, Jedním dlouhým a zatím ne zcela jasným; druhým dojem</w:t>
      </w:r>
      <w:r>
        <w:softHyphen/>
        <w:t xml:space="preserve">ným, lidským a vyjádřeným </w:t>
      </w:r>
      <w:r>
        <w:rPr>
          <w:b/>
          <w:bCs/>
        </w:rPr>
        <w:t xml:space="preserve">v </w:t>
      </w:r>
      <w:r>
        <w:t>nejjemnějších odstínech. První Je cesta toho učitele Laulerquea, člena teroristické organisac</w:t>
      </w:r>
      <w:r>
        <w:t>e. do jižní Francie. Hledá tam se zá</w:t>
      </w:r>
      <w:r>
        <w:softHyphen/>
        <w:t>hadným člověkem, patrně Něm</w:t>
      </w:r>
      <w:r>
        <w:softHyphen/>
        <w:t>cem, který si dává říkat »pan Karl« nějaký opuštěný dům. Celá ta věc zavání špionáží. Druhý příběh se týká milostných rozpa</w:t>
      </w:r>
      <w:r>
        <w:softHyphen/>
        <w:t>ků Matyldy Cazalisové, napolo zasnoubené s učitelem Clammi- cardem,</w:t>
      </w:r>
      <w:r>
        <w:t xml:space="preserve"> ale zamilované do Jer- phaniona. Německý zájem o Fran</w:t>
      </w:r>
      <w:r>
        <w:softHyphen/>
        <w:t>cii je zdůrazněn také v osobě lucemburského průmyslníka Zůl- pichera, který má zbrojovky v Německu i v Belgii a rád by teď založil továrnu na zbraně také ve Francii. Za Jeho rozhovoru s pa</w:t>
      </w:r>
      <w:r>
        <w:softHyphen/>
        <w:t>nem de Champ</w:t>
      </w:r>
      <w:r>
        <w:t>cenais slyšíme také tuto zajímavou větu; »Jako mnozí lidé ve Francii se také p. de Champcenais bál sociálních bou</w:t>
      </w:r>
      <w:r>
        <w:softHyphen/>
        <w:t>ři a zároveň cítil blízkost války, ale nevěděl, co z toho vypukne dříve.c Opravdu se nedá říci, že bychom v této věci — přes ty ne</w:t>
      </w:r>
      <w:r>
        <w:softHyphen/>
        <w:t>smírné obět</w:t>
      </w:r>
      <w:r>
        <w:t>i světové války — byli udělali nějaký pokrok. Ze</w:t>
      </w:r>
    </w:p>
    <w:p w:rsidR="00500724" w:rsidRDefault="00F30FB8">
      <w:pPr>
        <w:pStyle w:val="Zkladntext1"/>
        <w:shd w:val="clear" w:color="auto" w:fill="auto"/>
        <w:spacing w:line="202" w:lineRule="auto"/>
        <w:ind w:firstLine="0"/>
        <w:rPr>
          <w:sz w:val="20"/>
          <w:szCs w:val="20"/>
        </w:rPr>
      </w:pPr>
      <w:r>
        <w:rPr>
          <w:i/>
          <w:iCs/>
          <w:sz w:val="20"/>
          <w:szCs w:val="20"/>
        </w:rPr>
        <w:t>vi, Masarykovi. Všichni ti šli za svým údělem na roli ná</w:t>
      </w:r>
      <w:r>
        <w:rPr>
          <w:i/>
          <w:iCs/>
          <w:sz w:val="20"/>
          <w:szCs w:val="20"/>
        </w:rPr>
        <w:softHyphen/>
        <w:t>roda. Roli brázdili a osévali. Nevzešlo ještě všechno sémě; na štěstí má toto sémě ne</w:t>
      </w:r>
      <w:r>
        <w:rPr>
          <w:i/>
          <w:iCs/>
          <w:sz w:val="20"/>
          <w:szCs w:val="20"/>
        </w:rPr>
        <w:softHyphen/>
        <w:t>omezenou klíčivost.</w:t>
      </w:r>
    </w:p>
    <w:p w:rsidR="00500724" w:rsidRDefault="00F30FB8">
      <w:pPr>
        <w:pStyle w:val="Zkladntext40"/>
        <w:shd w:val="clear" w:color="auto" w:fill="auto"/>
        <w:spacing w:after="140" w:line="240" w:lineRule="auto"/>
        <w:jc w:val="right"/>
      </w:pPr>
      <w:r>
        <w:t>Věda a život</w:t>
      </w:r>
    </w:p>
    <w:p w:rsidR="00500724" w:rsidRDefault="00F30FB8">
      <w:pPr>
        <w:pStyle w:val="Zkladntext40"/>
        <w:shd w:val="clear" w:color="auto" w:fill="auto"/>
        <w:spacing w:after="0" w:line="173" w:lineRule="auto"/>
        <w:rPr>
          <w:sz w:val="16"/>
          <w:szCs w:val="16"/>
        </w:rPr>
      </w:pPr>
      <w:r>
        <w:rPr>
          <w:b/>
          <w:bCs/>
          <w:sz w:val="16"/>
          <w:szCs w:val="16"/>
        </w:rPr>
        <w:t xml:space="preserve">byly to nejen války, ale 1 </w:t>
      </w:r>
      <w:r>
        <w:rPr>
          <w:b/>
          <w:bCs/>
          <w:sz w:val="16"/>
          <w:szCs w:val="16"/>
        </w:rPr>
        <w:t>smlou</w:t>
      </w:r>
      <w:r>
        <w:rPr>
          <w:b/>
          <w:bCs/>
          <w:sz w:val="16"/>
          <w:szCs w:val="16"/>
        </w:rPr>
        <w:softHyphen/>
        <w:t>vy. jež rozšířily území římské</w:t>
      </w:r>
      <w:r>
        <w:rPr>
          <w:b/>
          <w:bCs/>
          <w:sz w:val="16"/>
          <w:szCs w:val="16"/>
        </w:rPr>
        <w:softHyphen/>
        <w:t>ho státu. Je vskutku podivuhod</w:t>
      </w:r>
      <w:r>
        <w:rPr>
          <w:b/>
          <w:bCs/>
          <w:sz w:val="16"/>
          <w:szCs w:val="16"/>
        </w:rPr>
        <w:softHyphen/>
        <w:t>né. jak rychle se tento nepatrný státeček rozrostl ve světovou říši. Největšího územního rozsa</w:t>
      </w:r>
      <w:r>
        <w:rPr>
          <w:b/>
          <w:bCs/>
          <w:sz w:val="16"/>
          <w:szCs w:val="16"/>
        </w:rPr>
        <w:softHyphen/>
        <w:t>hu dosáhla říše římská za císaře Trajana na začátku druhého sto</w:t>
      </w:r>
      <w:r>
        <w:rPr>
          <w:b/>
          <w:bCs/>
          <w:sz w:val="16"/>
          <w:szCs w:val="16"/>
        </w:rPr>
        <w:softHyphen/>
        <w:t>letí po Kr. Zaujímala tehdy č</w:t>
      </w:r>
      <w:r>
        <w:rPr>
          <w:b/>
          <w:bCs/>
          <w:sz w:val="16"/>
          <w:szCs w:val="16"/>
        </w:rPr>
        <w:t>ást ostrovů britských, poloostrov Py</w:t>
      </w:r>
      <w:r>
        <w:rPr>
          <w:b/>
          <w:bCs/>
          <w:sz w:val="16"/>
          <w:szCs w:val="16"/>
        </w:rPr>
        <w:softHyphen/>
        <w:t>renejský, Galií na území dnešní Francie až k Rýnu. Od Rýna pře</w:t>
      </w:r>
      <w:r>
        <w:rPr>
          <w:b/>
          <w:bCs/>
          <w:sz w:val="16"/>
          <w:szCs w:val="16"/>
        </w:rPr>
        <w:softHyphen/>
        <w:t>cházela pak hranice na Dunaj a přecházela na sever do Dácie tam. kde se rozkládá dnešní Ru</w:t>
      </w:r>
      <w:r>
        <w:rPr>
          <w:b/>
          <w:bCs/>
          <w:sz w:val="16"/>
          <w:szCs w:val="16"/>
        </w:rPr>
        <w:softHyphen/>
        <w:t>munsko. Dále obsahovala říše vlastni Itálii, celý poloostrov Balk</w:t>
      </w:r>
      <w:r>
        <w:rPr>
          <w:b/>
          <w:bCs/>
          <w:sz w:val="16"/>
          <w:szCs w:val="16"/>
        </w:rPr>
        <w:t>ánský, severní pobřeží afric</w:t>
      </w:r>
      <w:r>
        <w:rPr>
          <w:b/>
          <w:bCs/>
          <w:sz w:val="16"/>
          <w:szCs w:val="16"/>
        </w:rPr>
        <w:softHyphen/>
        <w:t>ké, středomořské pobřeží polo</w:t>
      </w:r>
      <w:r>
        <w:rPr>
          <w:b/>
          <w:bCs/>
          <w:sz w:val="16"/>
          <w:szCs w:val="16"/>
        </w:rPr>
        <w:softHyphen/>
        <w:t>ostrova Arabského, Malou Asií až ke Kavkazu a poříčí řek Eufratu a Tigridu. Byla to tedy říše i podle dnešních našich mě</w:t>
      </w:r>
      <w:r>
        <w:rPr>
          <w:b/>
          <w:bCs/>
          <w:sz w:val="16"/>
          <w:szCs w:val="16"/>
        </w:rPr>
        <w:softHyphen/>
        <w:t>řítek vskutku obrovská.</w:t>
      </w:r>
    </w:p>
    <w:p w:rsidR="00500724" w:rsidRDefault="00F30FB8">
      <w:pPr>
        <w:pStyle w:val="Zkladntext40"/>
        <w:shd w:val="clear" w:color="auto" w:fill="auto"/>
        <w:spacing w:after="0" w:line="173" w:lineRule="auto"/>
        <w:ind w:firstLine="220"/>
        <w:rPr>
          <w:sz w:val="16"/>
          <w:szCs w:val="16"/>
        </w:rPr>
      </w:pPr>
      <w:r>
        <w:rPr>
          <w:b/>
          <w:bCs/>
          <w:sz w:val="16"/>
          <w:szCs w:val="16"/>
        </w:rPr>
        <w:t>Je jisté, že se právem i dnes obdivujeme této ohromn</w:t>
      </w:r>
      <w:r>
        <w:rPr>
          <w:b/>
          <w:bCs/>
          <w:sz w:val="16"/>
          <w:szCs w:val="16"/>
        </w:rPr>
        <w:t>é říší a imperialistickému duchu starých Římanů, který jl vytvořil. Ale stejný, ba ještě spíše větší obdiv než veliké říší. dávno již zahy</w:t>
      </w:r>
      <w:r>
        <w:rPr>
          <w:b/>
          <w:bCs/>
          <w:sz w:val="16"/>
          <w:szCs w:val="16"/>
        </w:rPr>
        <w:softHyphen/>
        <w:t>nuvší, patří tomu, co přetrvalo věky a co tedy dal Řím světu trvalého. Není málo těchto věč</w:t>
      </w:r>
      <w:r>
        <w:rPr>
          <w:b/>
          <w:bCs/>
          <w:sz w:val="16"/>
          <w:szCs w:val="16"/>
        </w:rPr>
        <w:softHyphen/>
        <w:t>ných darů a největší z ni</w:t>
      </w:r>
      <w:r>
        <w:rPr>
          <w:b/>
          <w:bCs/>
          <w:sz w:val="16"/>
          <w:szCs w:val="16"/>
        </w:rPr>
        <w:t>ch je snad onen právní řád. na jehož základech spočívá ještě 1 dnešní zákonodárství. Za tento výtvor duševních schopností Římanů je 1 dnešní svět zajisté daleko vděč</w:t>
      </w:r>
      <w:r>
        <w:rPr>
          <w:b/>
          <w:bCs/>
          <w:sz w:val="16"/>
          <w:szCs w:val="16"/>
        </w:rPr>
        <w:softHyphen/>
        <w:t>nější než za příklad světovládné říše, založené — třebas na práv</w:t>
      </w:r>
      <w:r>
        <w:rPr>
          <w:b/>
          <w:bCs/>
          <w:sz w:val="16"/>
          <w:szCs w:val="16"/>
        </w:rPr>
        <w:softHyphen/>
        <w:t>ním podkladě — na mocensk</w:t>
      </w:r>
      <w:r>
        <w:rPr>
          <w:b/>
          <w:bCs/>
          <w:sz w:val="16"/>
          <w:szCs w:val="16"/>
        </w:rPr>
        <w:t>ém výboji.</w:t>
      </w:r>
    </w:p>
    <w:p w:rsidR="00500724" w:rsidRDefault="00F30FB8">
      <w:pPr>
        <w:pStyle w:val="Zkladntext40"/>
        <w:shd w:val="clear" w:color="auto" w:fill="auto"/>
        <w:spacing w:after="40" w:line="182" w:lineRule="auto"/>
        <w:ind w:right="40"/>
        <w:jc w:val="center"/>
      </w:pPr>
      <w:r>
        <w:t>Z právě vyšlého dvojčísla</w:t>
      </w:r>
      <w:r>
        <w:br/>
        <w:t>Vědy a života.</w:t>
      </w:r>
    </w:p>
    <w:p w:rsidR="00500724" w:rsidRDefault="00F30FB8">
      <w:pPr>
        <w:spacing w:line="1" w:lineRule="exact"/>
        <w:rPr>
          <w:sz w:val="2"/>
          <w:szCs w:val="2"/>
        </w:rPr>
      </w:pPr>
      <w:r>
        <w:br w:type="column"/>
      </w:r>
    </w:p>
    <w:p w:rsidR="00500724" w:rsidRDefault="00F30FB8">
      <w:pPr>
        <w:pStyle w:val="Zkladntext40"/>
        <w:shd w:val="clear" w:color="auto" w:fill="auto"/>
        <w:spacing w:after="0" w:line="175" w:lineRule="auto"/>
      </w:pPr>
      <w:r>
        <w:t>strachu před revoluci se chystá</w:t>
      </w:r>
      <w:r>
        <w:softHyphen/>
        <w:t>me do nové války. Lidstvo Je ne</w:t>
      </w:r>
      <w:r>
        <w:softHyphen/>
        <w:t xml:space="preserve">napravitelné ve svém hledáni </w:t>
      </w:r>
      <w:r>
        <w:rPr>
          <w:b/>
          <w:bCs/>
        </w:rPr>
        <w:t>ka</w:t>
      </w:r>
      <w:r>
        <w:rPr>
          <w:b/>
          <w:bCs/>
        </w:rPr>
        <w:softHyphen/>
      </w:r>
      <w:r>
        <w:t>tastrof.</w:t>
      </w:r>
    </w:p>
    <w:p w:rsidR="00500724" w:rsidRDefault="00F30FB8">
      <w:pPr>
        <w:pStyle w:val="Zkladntext40"/>
        <w:shd w:val="clear" w:color="auto" w:fill="auto"/>
        <w:spacing w:after="80" w:line="175" w:lineRule="auto"/>
        <w:ind w:firstLine="220"/>
      </w:pPr>
      <w:r>
        <w:t>A pak se znovu shledáváme s těmi dvěma mladými přáteli: s Jallezem a Jenpahnlonem. Tito dva vysok</w:t>
      </w:r>
      <w:r>
        <w:t xml:space="preserve">oškoláci vystupuji </w:t>
      </w:r>
      <w:r>
        <w:rPr>
          <w:rFonts w:ascii="Georgia" w:eastAsia="Georgia" w:hAnsi="Georgia" w:cs="Georgia"/>
          <w:b/>
          <w:bCs/>
          <w:sz w:val="13"/>
          <w:szCs w:val="13"/>
        </w:rPr>
        <w:t xml:space="preserve">z </w:t>
      </w:r>
      <w:r>
        <w:t>houfu Romainsových postav zřej</w:t>
      </w:r>
      <w:r>
        <w:softHyphen/>
        <w:t>mě nejvýrazněji a čtenář prodlé</w:t>
      </w:r>
      <w:r>
        <w:softHyphen/>
        <w:t>vá v Jejich společnosti nejraději.</w:t>
      </w:r>
    </w:p>
    <w:p w:rsidR="00500724" w:rsidRDefault="00F30FB8">
      <w:pPr>
        <w:pStyle w:val="Zkladntext40"/>
        <w:shd w:val="clear" w:color="auto" w:fill="auto"/>
        <w:spacing w:after="80" w:line="194" w:lineRule="auto"/>
        <w:ind w:firstLine="220"/>
      </w:pPr>
      <w:r>
        <w:t xml:space="preserve">KYTICE </w:t>
      </w:r>
      <w:r>
        <w:rPr>
          <w:b/>
          <w:bCs/>
          <w:sz w:val="14"/>
          <w:szCs w:val="14"/>
        </w:rPr>
        <w:t xml:space="preserve">A </w:t>
      </w:r>
      <w:r>
        <w:t>MÁJ. Jmény dvou klasických děl naši literatury na</w:t>
      </w:r>
      <w:r>
        <w:softHyphen/>
        <w:t>zval pražský knihomil a vydava</w:t>
      </w:r>
      <w:r>
        <w:softHyphen/>
        <w:t>tel Vilém Smidt své dvě bibliofil</w:t>
      </w:r>
      <w:r>
        <w:softHyphen/>
        <w:t xml:space="preserve">ské edice, v </w:t>
      </w:r>
      <w:r>
        <w:t>kterých vydal jíž řa</w:t>
      </w:r>
      <w:r>
        <w:softHyphen/>
        <w:t>du pozoruhodných svazků. Uvedl- 11 edici Máj úhlednými a sličný</w:t>
      </w:r>
      <w:r>
        <w:softHyphen/>
        <w:t>mi svazečky arcidíla Máchova. Šolcových Zpěvů svatovác</w:t>
      </w:r>
      <w:r>
        <w:softHyphen/>
        <w:t>lavských, Nerudovy prvotiny Hřbitovní kvit i. proslulou lyrikou Hálkových Večerních písni a revolučních Fričových Pí</w:t>
      </w:r>
      <w:r>
        <w:t>sni z bašty, osvědčil tento vydavatel vkus i poučeni zcela mimořádné. Vidíme, že edice Je cílevědomě plár. rvána tak, aby shrnula především ta díla české poesie, jejichž autoři vystoupili v okruhu Májistů nebo se přihlásili ve znamení pěvce Máje. Na po</w:t>
      </w:r>
      <w:r>
        <w:softHyphen/>
        <w:t>hle</w:t>
      </w:r>
      <w:r>
        <w:t>d opravdu spanilé a obsahem svazečky této edice nemálo cenné Jsou Jednotlivé svazečky Smidto- vy edice Máj doprovázeny ještě grafickými listy jednotlivých ma</w:t>
      </w:r>
      <w:r>
        <w:softHyphen/>
        <w:t>lířů, z nichž alespoň poukažme na Svolinského výzdobu Máje a Moravcovu Zpěvů svatováclav</w:t>
      </w:r>
      <w:r>
        <w:softHyphen/>
        <w:t xml:space="preserve">ských. V </w:t>
      </w:r>
      <w:r>
        <w:t>druhé knižnici, nazvané Jménem klasického díla Erbeno</w:t>
      </w:r>
      <w:r>
        <w:softHyphen/>
        <w:t>va, která si vzala za úkol rovněž přinášet! vybraná díla české poesie za výtvarného doprovodu vhodně volených původních malí</w:t>
      </w:r>
      <w:r>
        <w:softHyphen/>
        <w:t xml:space="preserve">řů a grafiků, vyšel Čechův </w:t>
      </w:r>
      <w:r>
        <w:rPr>
          <w:sz w:val="19"/>
          <w:szCs w:val="19"/>
        </w:rPr>
        <w:t xml:space="preserve">Z </w:t>
      </w:r>
      <w:r>
        <w:t>i ž k a, doprovázený rázovitými kolorovanými lin</w:t>
      </w:r>
      <w:r>
        <w:t>oryty Aloise Moravce a slavné památné Neru</w:t>
      </w:r>
      <w:r>
        <w:softHyphen/>
        <w:t>dovy Zpěvy páteční, k nimž připojil dva dřevoryty Karel Svo- linský, vystihnuvši zejména v druhém z nich, postavou mladé české dívky vzrušené tváře a ohnivého gesta vztyčených paži a náznakem husitského bojovní</w:t>
      </w:r>
      <w:r>
        <w:softHyphen/>
        <w:t>ka</w:t>
      </w:r>
      <w:r>
        <w:t>, základní ladění a ducha hrdinské české básně, dopínajíci se svými nezapomenutelnými slo</w:t>
      </w:r>
      <w:r>
        <w:softHyphen/>
        <w:t>kami opravdu mohutných účinů. Obě edice Viléma Šmidta, Jak Máj, tak Kytice, se dosavadními svazky představuji opravdu sym</w:t>
      </w:r>
      <w:r>
        <w:softHyphen/>
        <w:t xml:space="preserve">paticky a nelze než uvítatl Je Jako přiklad </w:t>
      </w:r>
      <w:r>
        <w:t>plánovité vydava</w:t>
      </w:r>
      <w:r>
        <w:softHyphen/>
        <w:t>telské práce.</w:t>
      </w:r>
    </w:p>
    <w:p w:rsidR="00500724" w:rsidRDefault="00F30FB8">
      <w:pPr>
        <w:pStyle w:val="Zkladntext40"/>
        <w:shd w:val="clear" w:color="auto" w:fill="auto"/>
        <w:spacing w:after="0" w:line="182" w:lineRule="auto"/>
        <w:ind w:firstLine="180"/>
      </w:pPr>
      <w:r>
        <w:t>DNEŠNÍ NĚMECKO. Několik českých vědeckých pracovníků, Jan Mertl, Vlád. KHmeckf Ad. Hlavatý, Jos. Schneider a T. Krej</w:t>
      </w:r>
      <w:r>
        <w:softHyphen/>
        <w:t>čí, většinou z okruhu Vysoké školy obchodní, se rozhodlo po- dati naší veřejnosti Jasný obraz o myšleni a pr</w:t>
      </w:r>
      <w:r>
        <w:t>ácí dnešního ná- rodně-socialistického Německa. Myšlenka vydat! tuto společnou práci vznikla Již v létě minulého roku, kdy někteří ze spolupra</w:t>
      </w:r>
      <w:r>
        <w:softHyphen/>
        <w:t>covníků navštívili Mezinárodní hospodářský kurs a kongres v Německu. Vedlo Je k tomu po</w:t>
      </w:r>
      <w:r>
        <w:softHyphen/>
        <w:t>znání, jak málo a Jak špa</w:t>
      </w:r>
      <w:r>
        <w:t>tně Je naše veřejnost o dnešním Němec</w:t>
      </w:r>
      <w:r>
        <w:softHyphen/>
        <w:t>ku informována. Historické udá</w:t>
      </w:r>
      <w:r>
        <w:softHyphen/>
        <w:t>losti, jež mezitím nastaly, jen zvýšily potřebu vědecké publika</w:t>
      </w:r>
      <w:r>
        <w:softHyphen/>
        <w:t>ce. která by našemu čtenáři ob</w:t>
      </w:r>
      <w:r>
        <w:softHyphen/>
        <w:t>jasnila veliký dosah národně- socialistické revoluce, která tak hluboko zasáhla do celého ži</w:t>
      </w:r>
      <w:r>
        <w:t>vota nejen v Německu, ale i v ostatní střední Evropě. Z obsahu: Ideo</w:t>
      </w:r>
      <w:r>
        <w:softHyphen/>
        <w:t>logie něm. národního socialismu</w:t>
      </w:r>
    </w:p>
    <w:p w:rsidR="00500724" w:rsidRDefault="00F30FB8">
      <w:pPr>
        <w:pStyle w:val="Zkladntext40"/>
        <w:numPr>
          <w:ilvl w:val="0"/>
          <w:numId w:val="94"/>
        </w:numPr>
        <w:shd w:val="clear" w:color="auto" w:fill="auto"/>
        <w:tabs>
          <w:tab w:val="left" w:pos="294"/>
        </w:tabs>
        <w:spacing w:after="0" w:line="182" w:lineRule="auto"/>
      </w:pPr>
      <w:r>
        <w:t>Poměr strany a státu — Právní a organisační základy ná- rodně-socialistlckého státu — So</w:t>
      </w:r>
      <w:r>
        <w:softHyphen/>
        <w:t>ciální politika v dnešním Ně</w:t>
      </w:r>
      <w:r>
        <w:softHyphen/>
        <w:t xml:space="preserve">mecku — Hospodářství říše — </w:t>
      </w:r>
      <w:r>
        <w:t>Podnikatel v dnešním Německu</w:t>
      </w:r>
    </w:p>
    <w:p w:rsidR="00500724" w:rsidRDefault="00F30FB8">
      <w:pPr>
        <w:pStyle w:val="Zkladntext40"/>
        <w:numPr>
          <w:ilvl w:val="0"/>
          <w:numId w:val="94"/>
        </w:numPr>
        <w:shd w:val="clear" w:color="auto" w:fill="auto"/>
        <w:tabs>
          <w:tab w:val="left" w:pos="303"/>
        </w:tabs>
        <w:spacing w:after="80" w:line="182" w:lineRule="auto"/>
        <w:sectPr w:rsidR="00500724">
          <w:footnotePr>
            <w:numFmt w:val="chicago"/>
            <w:numRestart w:val="eachPage"/>
          </w:footnotePr>
          <w:pgSz w:w="11909" w:h="16834"/>
          <w:pgMar w:top="766" w:right="1613" w:bottom="605" w:left="0" w:header="0" w:footer="3" w:gutter="0"/>
          <w:cols w:num="4" w:sep="1" w:space="100"/>
          <w:noEndnote/>
          <w:docGrid w:linePitch="360"/>
        </w:sectPr>
      </w:pPr>
      <w:r>
        <w:t>Technický pokrok Německa v posledních letech — Organisace školství a cíl výchovy v Němec</w:t>
      </w:r>
      <w:r>
        <w:softHyphen/>
        <w:t>ku — Slovnik běžných výrazů, užívaných v dnešním Německu. Kniha vyšla za redakce profesora Vysoké školy obch</w:t>
      </w:r>
      <w:r>
        <w:t>odní JUDr. Ja</w:t>
      </w:r>
      <w:r>
        <w:softHyphen/>
        <w:t>na Mertla s názvem Dnešní Ně</w:t>
      </w:r>
      <w:r>
        <w:softHyphen/>
        <w:t>mecko v Politické knihovně, kte</w:t>
      </w:r>
      <w:r>
        <w:softHyphen/>
        <w:t>rou vydává nakladatelství Orbis. Brož. je za 40 K</w:t>
      </w:r>
    </w:p>
    <w:p w:rsidR="00500724" w:rsidRDefault="00F30FB8">
      <w:pPr>
        <w:pStyle w:val="Nadpis40"/>
        <w:keepNext/>
        <w:keepLines/>
        <w:shd w:val="clear" w:color="auto" w:fill="auto"/>
      </w:pPr>
      <w:bookmarkStart w:id="759" w:name="bookmark758"/>
      <w:r>
        <w:t>ĚřtomnosG</w:t>
      </w:r>
      <w:bookmarkEnd w:id="759"/>
    </w:p>
    <w:tbl>
      <w:tblPr>
        <w:tblOverlap w:val="never"/>
        <w:tblW w:w="0" w:type="auto"/>
        <w:jc w:val="center"/>
        <w:tblLayout w:type="fixed"/>
        <w:tblCellMar>
          <w:left w:w="10" w:type="dxa"/>
          <w:right w:w="10" w:type="dxa"/>
        </w:tblCellMar>
        <w:tblLook w:val="04A0" w:firstRow="1" w:lastRow="0" w:firstColumn="1" w:lastColumn="0" w:noHBand="0" w:noVBand="1"/>
      </w:tblPr>
      <w:tblGrid>
        <w:gridCol w:w="7555"/>
        <w:gridCol w:w="3547"/>
      </w:tblGrid>
      <w:tr w:rsidR="00500724">
        <w:tblPrEx>
          <w:tblCellMar>
            <w:top w:w="0" w:type="dxa"/>
            <w:bottom w:w="0" w:type="dxa"/>
          </w:tblCellMar>
        </w:tblPrEx>
        <w:trPr>
          <w:trHeight w:hRule="exact" w:val="634"/>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4120"/>
              </w:tabs>
              <w:ind w:left="220" w:firstLine="60"/>
              <w:rPr>
                <w:sz w:val="22"/>
                <w:szCs w:val="22"/>
              </w:rPr>
            </w:pPr>
            <w:r>
              <w:rPr>
                <w:b/>
                <w:bCs/>
                <w:sz w:val="22"/>
                <w:szCs w:val="22"/>
              </w:rPr>
              <w:t>KOCNlK XVI.</w:t>
            </w:r>
            <w:r>
              <w:rPr>
                <w:b/>
                <w:bCs/>
                <w:sz w:val="22"/>
                <w:szCs w:val="22"/>
              </w:rPr>
              <w:tab/>
              <w:t>V PRAZE 2. SRPNA 1939</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2"/>
                <w:szCs w:val="22"/>
              </w:rPr>
            </w:pPr>
            <w:r>
              <w:rPr>
                <w:b/>
                <w:bCs/>
                <w:sz w:val="22"/>
                <w:szCs w:val="22"/>
              </w:rPr>
              <w:t>ZA K 2.—</w:t>
            </w:r>
          </w:p>
        </w:tc>
      </w:tr>
      <w:tr w:rsidR="00500724">
        <w:tblPrEx>
          <w:tblCellMar>
            <w:top w:w="0" w:type="dxa"/>
            <w:bottom w:w="0" w:type="dxa"/>
          </w:tblCellMar>
        </w:tblPrEx>
        <w:trPr>
          <w:trHeight w:hRule="exact" w:val="2002"/>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280" w:firstLine="20"/>
              <w:jc w:val="left"/>
              <w:rPr>
                <w:sz w:val="26"/>
                <w:szCs w:val="26"/>
              </w:rPr>
            </w:pPr>
            <w:r>
              <w:rPr>
                <w:b/>
                <w:bCs/>
                <w:w w:val="60"/>
                <w:sz w:val="78"/>
                <w:szCs w:val="78"/>
              </w:rPr>
              <w:t xml:space="preserve">Od „slavného praporu“ k „fajfce tabáku“ </w:t>
            </w:r>
            <w:r>
              <w:rPr>
                <w:b/>
                <w:bCs/>
                <w:w w:val="60"/>
                <w:sz w:val="78"/>
                <w:szCs w:val="78"/>
                <w:vertAlign w:val="subscript"/>
              </w:rPr>
              <w:t>JAN</w:t>
            </w:r>
            <w:r>
              <w:rPr>
                <w:b/>
                <w:bCs/>
                <w:w w:val="60"/>
                <w:sz w:val="78"/>
                <w:szCs w:val="78"/>
              </w:rPr>
              <w:t xml:space="preserve"> </w:t>
            </w:r>
            <w:r>
              <w:rPr>
                <w:b/>
                <w:bCs/>
                <w:smallCaps/>
                <w:sz w:val="26"/>
                <w:szCs w:val="26"/>
              </w:rPr>
              <w:t>alb</w:t>
            </w:r>
            <w:r>
              <w:rPr>
                <w:b/>
                <w:bCs/>
                <w:smallCaps/>
                <w:sz w:val="26"/>
                <w:szCs w:val="26"/>
                <w:vertAlign w:val="subscript"/>
              </w:rPr>
              <w:t>ERT</w:t>
            </w:r>
          </w:p>
        </w:tc>
      </w:tr>
      <w:tr w:rsidR="00500724">
        <w:tblPrEx>
          <w:tblCellMar>
            <w:top w:w="0" w:type="dxa"/>
            <w:bottom w:w="0" w:type="dxa"/>
          </w:tblCellMar>
        </w:tblPrEx>
        <w:trPr>
          <w:trHeight w:hRule="exact" w:val="1157"/>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20" w:firstLine="60"/>
              <w:jc w:val="left"/>
              <w:rPr>
                <w:sz w:val="58"/>
                <w:szCs w:val="58"/>
              </w:rPr>
            </w:pPr>
            <w:r>
              <w:rPr>
                <w:sz w:val="58"/>
                <w:szCs w:val="58"/>
              </w:rPr>
              <w:t xml:space="preserve">Dejte pozor, </w:t>
            </w:r>
            <w:r>
              <w:rPr>
                <w:sz w:val="58"/>
                <w:szCs w:val="58"/>
              </w:rPr>
              <w:t>konsulové...!</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b/>
                <w:bCs/>
                <w:sz w:val="26"/>
                <w:szCs w:val="26"/>
              </w:rPr>
              <w:t>LADISLAV MACHÝCEK</w:t>
            </w:r>
          </w:p>
          <w:p w:rsidR="00500724" w:rsidRDefault="00F30FB8">
            <w:pPr>
              <w:pStyle w:val="Jin0"/>
              <w:shd w:val="clear" w:color="auto" w:fill="auto"/>
              <w:ind w:left="2060" w:firstLine="0"/>
              <w:jc w:val="left"/>
              <w:rPr>
                <w:sz w:val="8"/>
                <w:szCs w:val="8"/>
              </w:rPr>
            </w:pPr>
            <w:r>
              <w:rPr>
                <w:rFonts w:ascii="Arial" w:eastAsia="Arial" w:hAnsi="Arial" w:cs="Arial"/>
                <w:i/>
                <w:iCs/>
                <w:sz w:val="8"/>
                <w:szCs w:val="8"/>
              </w:rPr>
              <w:t>1</w:t>
            </w:r>
          </w:p>
        </w:tc>
      </w:tr>
      <w:tr w:rsidR="00500724">
        <w:tblPrEx>
          <w:tblCellMar>
            <w:top w:w="0" w:type="dxa"/>
            <w:bottom w:w="0" w:type="dxa"/>
          </w:tblCellMar>
        </w:tblPrEx>
        <w:trPr>
          <w:trHeight w:hRule="exact" w:val="1219"/>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280" w:firstLine="20"/>
              <w:jc w:val="left"/>
              <w:rPr>
                <w:sz w:val="58"/>
                <w:szCs w:val="58"/>
              </w:rPr>
            </w:pPr>
            <w:r>
              <w:rPr>
                <w:sz w:val="58"/>
                <w:szCs w:val="58"/>
              </w:rPr>
              <w:t>Nové tajnosti Kremlu</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20" w:firstLine="60"/>
              <w:jc w:val="left"/>
              <w:rPr>
                <w:sz w:val="58"/>
                <w:szCs w:val="58"/>
              </w:rPr>
            </w:pPr>
            <w:r>
              <w:rPr>
                <w:sz w:val="58"/>
                <w:szCs w:val="58"/>
              </w:rPr>
              <w:t>Jména pražských ulic</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b/>
                <w:bCs/>
                <w:sz w:val="26"/>
                <w:szCs w:val="26"/>
              </w:rPr>
              <w:t>V. STRNAD</w:t>
            </w:r>
          </w:p>
        </w:tc>
      </w:tr>
      <w:tr w:rsidR="00500724">
        <w:tblPrEx>
          <w:tblCellMar>
            <w:top w:w="0" w:type="dxa"/>
            <w:bottom w:w="0" w:type="dxa"/>
          </w:tblCellMar>
        </w:tblPrEx>
        <w:trPr>
          <w:trHeight w:hRule="exact" w:val="1210"/>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20" w:firstLine="60"/>
              <w:jc w:val="left"/>
              <w:rPr>
                <w:sz w:val="58"/>
                <w:szCs w:val="58"/>
              </w:rPr>
            </w:pPr>
            <w:r>
              <w:rPr>
                <w:sz w:val="58"/>
                <w:szCs w:val="58"/>
              </w:rPr>
              <w:t>Bydlení a střecha nad hlavou</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20" w:firstLine="0"/>
              <w:jc w:val="right"/>
              <w:rPr>
                <w:sz w:val="26"/>
                <w:szCs w:val="26"/>
              </w:rPr>
            </w:pPr>
            <w:r>
              <w:rPr>
                <w:b/>
                <w:bCs/>
                <w:sz w:val="26"/>
                <w:szCs w:val="26"/>
              </w:rPr>
              <w:t>JAN FRANK</w:t>
            </w:r>
          </w:p>
        </w:tc>
      </w:tr>
      <w:tr w:rsidR="00500724">
        <w:tblPrEx>
          <w:tblCellMar>
            <w:top w:w="0" w:type="dxa"/>
            <w:bottom w:w="0" w:type="dxa"/>
          </w:tblCellMar>
        </w:tblPrEx>
        <w:trPr>
          <w:trHeight w:hRule="exact" w:val="1200"/>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20" w:firstLine="60"/>
              <w:jc w:val="left"/>
              <w:rPr>
                <w:sz w:val="58"/>
                <w:szCs w:val="58"/>
              </w:rPr>
            </w:pPr>
            <w:r>
              <w:rPr>
                <w:sz w:val="58"/>
                <w:szCs w:val="58"/>
              </w:rPr>
              <w:t>Vzpomínka na Viléma II.</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20" w:firstLine="0"/>
              <w:jc w:val="right"/>
              <w:rPr>
                <w:sz w:val="26"/>
                <w:szCs w:val="26"/>
              </w:rPr>
            </w:pPr>
            <w:r>
              <w:rPr>
                <w:b/>
                <w:bCs/>
                <w:sz w:val="26"/>
                <w:szCs w:val="26"/>
              </w:rPr>
              <w:t>J. DANIEL CHAMIER</w:t>
            </w:r>
          </w:p>
        </w:tc>
      </w:tr>
      <w:tr w:rsidR="00500724">
        <w:tblPrEx>
          <w:tblCellMar>
            <w:top w:w="0" w:type="dxa"/>
            <w:bottom w:w="0" w:type="dxa"/>
          </w:tblCellMar>
        </w:tblPrEx>
        <w:trPr>
          <w:trHeight w:hRule="exact" w:val="2496"/>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ind w:firstLine="0"/>
              <w:jc w:val="right"/>
              <w:rPr>
                <w:sz w:val="26"/>
                <w:szCs w:val="26"/>
              </w:rPr>
            </w:pPr>
            <w:r>
              <w:rPr>
                <w:b/>
                <w:bCs/>
                <w:sz w:val="26"/>
                <w:szCs w:val="26"/>
              </w:rPr>
              <w:t xml:space="preserve">Mezi Anglií a Amerikou. — Britská politika v Číně. — </w:t>
            </w:r>
            <w:r>
              <w:rPr>
                <w:b/>
                <w:bCs/>
                <w:w w:val="60"/>
                <w:sz w:val="78"/>
                <w:szCs w:val="78"/>
                <w:lang w:val="en-US" w:eastAsia="en-US" w:bidi="en-US"/>
              </w:rPr>
              <w:t xml:space="preserve">I. </w:t>
            </w:r>
            <w:r>
              <w:rPr>
                <w:b/>
                <w:bCs/>
                <w:w w:val="60"/>
                <w:sz w:val="78"/>
                <w:szCs w:val="78"/>
              </w:rPr>
              <w:t xml:space="preserve">K. </w:t>
            </w:r>
            <w:r>
              <w:rPr>
                <w:b/>
                <w:bCs/>
                <w:sz w:val="26"/>
                <w:szCs w:val="26"/>
              </w:rPr>
              <w:t>A.</w:t>
            </w:r>
          </w:p>
          <w:p w:rsidR="00500724" w:rsidRDefault="00F30FB8">
            <w:pPr>
              <w:pStyle w:val="Jin0"/>
              <w:shd w:val="clear" w:color="auto" w:fill="auto"/>
              <w:ind w:firstLine="0"/>
              <w:jc w:val="right"/>
              <w:rPr>
                <w:sz w:val="26"/>
                <w:szCs w:val="26"/>
              </w:rPr>
            </w:pPr>
            <w:r>
              <w:rPr>
                <w:b/>
                <w:bCs/>
                <w:sz w:val="26"/>
                <w:szCs w:val="26"/>
              </w:rPr>
              <w:t xml:space="preserve">o právnících. — </w:t>
            </w:r>
            <w:r>
              <w:rPr>
                <w:b/>
                <w:bCs/>
                <w:sz w:val="26"/>
                <w:szCs w:val="26"/>
              </w:rPr>
              <w:t>Zakázat noviny v kavárnách? —:</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00724" w:rsidRDefault="00F30FB8">
            <w:pPr>
              <w:pStyle w:val="Jin0"/>
              <w:shd w:val="clear" w:color="auto" w:fill="auto"/>
              <w:spacing w:before="280" w:after="80"/>
              <w:ind w:left="1940" w:firstLine="0"/>
              <w:jc w:val="left"/>
              <w:rPr>
                <w:sz w:val="26"/>
                <w:szCs w:val="26"/>
              </w:rPr>
            </w:pPr>
            <w:r>
              <w:rPr>
                <w:b/>
                <w:bCs/>
                <w:sz w:val="26"/>
                <w:szCs w:val="26"/>
              </w:rPr>
              <w:t>1</w:t>
            </w:r>
          </w:p>
          <w:p w:rsidR="00500724" w:rsidRDefault="00F30FB8">
            <w:pPr>
              <w:pStyle w:val="Jin0"/>
              <w:shd w:val="clear" w:color="auto" w:fill="auto"/>
              <w:ind w:firstLine="0"/>
              <w:jc w:val="left"/>
              <w:rPr>
                <w:sz w:val="26"/>
                <w:szCs w:val="26"/>
              </w:rPr>
            </w:pPr>
            <w:r>
              <w:rPr>
                <w:b/>
                <w:bCs/>
                <w:sz w:val="26"/>
                <w:szCs w:val="26"/>
              </w:rPr>
              <w:t>— Národní soud. — Úvaha »Ubozí a holí«.</w:t>
            </w:r>
          </w:p>
        </w:tc>
      </w:tr>
    </w:tbl>
    <w:p w:rsidR="00500724" w:rsidRDefault="00500724">
      <w:pPr>
        <w:spacing w:line="14" w:lineRule="exact"/>
        <w:sectPr w:rsidR="00500724">
          <w:footnotePr>
            <w:numFmt w:val="chicago"/>
            <w:numRestart w:val="eachPage"/>
          </w:footnotePr>
          <w:pgSz w:w="11909" w:h="16834"/>
          <w:pgMar w:top="1107" w:right="319" w:bottom="288" w:left="266"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ind w:left="1480"/>
        <w:sectPr w:rsidR="00500724">
          <w:footnotePr>
            <w:numFmt w:val="chicago"/>
            <w:numRestart w:val="eachPage"/>
          </w:footnotePr>
          <w:pgSz w:w="11909" w:h="16834"/>
          <w:pgMar w:top="891" w:right="744" w:bottom="461" w:left="62" w:header="0" w:footer="3" w:gutter="0"/>
          <w:cols w:space="720"/>
          <w:noEndnote/>
          <w:docGrid w:linePitch="360"/>
        </w:sectPr>
      </w:pPr>
      <w:bookmarkStart w:id="760" w:name="bookmark759"/>
      <w:r>
        <w:rPr>
          <w:color w:val="FFFFFF"/>
        </w:rPr>
        <w:t>ODBORNÍ LEKAftl</w:t>
      </w:r>
      <w:bookmarkEnd w:id="760"/>
    </w:p>
    <w:p w:rsidR="00500724" w:rsidRDefault="00F30FB8">
      <w:pPr>
        <w:spacing w:line="14" w:lineRule="exact"/>
      </w:pPr>
      <w:r>
        <w:rPr>
          <w:noProof/>
        </w:rPr>
        <mc:AlternateContent>
          <mc:Choice Requires="wps">
            <w:drawing>
              <wp:anchor distT="38100" distB="0" distL="38100" distR="38100" simplePos="0" relativeHeight="125830156" behindDoc="0" locked="0" layoutInCell="1" allowOverlap="1">
                <wp:simplePos x="0" y="0"/>
                <wp:positionH relativeFrom="page">
                  <wp:posOffset>4011295</wp:posOffset>
                </wp:positionH>
                <wp:positionV relativeFrom="paragraph">
                  <wp:posOffset>69850</wp:posOffset>
                </wp:positionV>
                <wp:extent cx="1938655" cy="271145"/>
                <wp:effectExtent l="0" t="0" r="0" b="0"/>
                <wp:wrapSquare wrapText="right"/>
                <wp:docPr id="779" name="Shape 779"/>
                <wp:cNvGraphicFramePr/>
                <a:graphic xmlns:a="http://schemas.openxmlformats.org/drawingml/2006/main">
                  <a:graphicData uri="http://schemas.microsoft.com/office/word/2010/wordprocessingShape">
                    <wps:wsp>
                      <wps:cNvSpPr txBox="1"/>
                      <wps:spPr>
                        <a:xfrm>
                          <a:off x="0" y="0"/>
                          <a:ext cx="1938655" cy="27114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34"/>
                                <w:szCs w:val="34"/>
                              </w:rPr>
                            </w:pPr>
                            <w:r>
                              <w:rPr>
                                <w:b/>
                                <w:bCs/>
                                <w:color w:val="FFFFFF"/>
                                <w:sz w:val="34"/>
                                <w:szCs w:val="34"/>
                              </w:rPr>
                              <w:t>VELIChOVKy</w:t>
                            </w:r>
                          </w:p>
                        </w:txbxContent>
                      </wps:txbx>
                      <wps:bodyPr lIns="0" tIns="0" rIns="0" bIns="0">
                        <a:spAutoFit/>
                      </wps:bodyPr>
                    </wps:wsp>
                  </a:graphicData>
                </a:graphic>
              </wp:anchor>
            </w:drawing>
          </mc:Choice>
          <mc:Fallback>
            <w:pict>
              <v:shape id="_x0000_s1805" type="#_x0000_t202" style="position:absolute;margin-left:315.85000000000002pt;margin-top:5.5pt;width:152.65000000000001pt;height:21.350000000000001pt;z-index:-125828597;mso-wrap-distance-left:3.pt;mso-wrap-distance-top:3.pt;mso-wrap-distance-right:3.pt;mso-position-horizontal-relative:page"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34"/>
                          <w:szCs w:val="34"/>
                        </w:rPr>
                      </w:pPr>
                      <w:r>
                        <w:rPr>
                          <w:b/>
                          <w:bCs/>
                          <w:color w:val="FFFFFF"/>
                          <w:spacing w:val="0"/>
                          <w:w w:val="100"/>
                          <w:position w:val="0"/>
                          <w:sz w:val="34"/>
                          <w:szCs w:val="34"/>
                          <w:shd w:val="clear" w:color="auto" w:fill="auto"/>
                          <w:lang w:val="cs-CZ" w:eastAsia="cs-CZ" w:bidi="cs-CZ"/>
                        </w:rPr>
                        <w:t>VELIChOVKy</w:t>
                      </w:r>
                    </w:p>
                  </w:txbxContent>
                </v:textbox>
                <w10:wrap type="square" side="right" anchorx="page"/>
              </v:shape>
            </w:pict>
          </mc:Fallback>
        </mc:AlternateContent>
      </w:r>
    </w:p>
    <w:p w:rsidR="00500724" w:rsidRDefault="00F30FB8">
      <w:pPr>
        <w:pStyle w:val="Nadpis110"/>
        <w:shd w:val="clear" w:color="auto" w:fill="auto"/>
        <w:spacing w:after="40" w:line="187" w:lineRule="auto"/>
        <w:jc w:val="both"/>
      </w:pPr>
      <w:bookmarkStart w:id="761" w:name="bookmark760"/>
      <w:r>
        <w:t>MUDr. ZDEŇKA NEDVĚDOVÁ-NEJEDLÁ</w:t>
      </w:r>
      <w:bookmarkEnd w:id="761"/>
    </w:p>
    <w:p w:rsidR="00500724" w:rsidRDefault="00F30FB8">
      <w:pPr>
        <w:pStyle w:val="Zkladntext100"/>
        <w:shd w:val="clear" w:color="auto" w:fill="auto"/>
        <w:spacing w:after="40" w:line="228" w:lineRule="auto"/>
        <w:ind w:firstLine="0"/>
      </w:pPr>
      <w:r>
        <w:t xml:space="preserve">odb. dětská lékařka, PODOLÍ, PANKRÁCKÁ 14 (stanice elektr. </w:t>
      </w:r>
      <w:r>
        <w:rPr>
          <w:u w:val="single"/>
        </w:rPr>
        <w:t>dráhy za</w:t>
      </w:r>
      <w:r>
        <w:rPr>
          <w:u w:val="single"/>
        </w:rPr>
        <w:t xml:space="preserve"> Podol, sanatoriem). Ord. 9—10 a 2—4. Tel. 441-77.</w:t>
      </w:r>
    </w:p>
    <w:p w:rsidR="00500724" w:rsidRDefault="00F30FB8">
      <w:pPr>
        <w:pStyle w:val="Nadpis110"/>
        <w:pBdr>
          <w:top w:val="single" w:sz="4" w:space="0" w:color="auto"/>
        </w:pBdr>
        <w:shd w:val="clear" w:color="auto" w:fill="auto"/>
        <w:spacing w:after="40" w:line="187" w:lineRule="auto"/>
        <w:jc w:val="both"/>
      </w:pPr>
      <w:bookmarkStart w:id="762" w:name="bookmark761"/>
      <w:r>
        <w:t>MUDr. ANTONÍN NEUMANN</w:t>
      </w:r>
      <w:bookmarkEnd w:id="762"/>
    </w:p>
    <w:p w:rsidR="00500724" w:rsidRDefault="00F30FB8">
      <w:pPr>
        <w:pStyle w:val="Zkladntext100"/>
        <w:shd w:val="clear" w:color="auto" w:fill="auto"/>
        <w:spacing w:after="40" w:line="178" w:lineRule="auto"/>
        <w:ind w:firstLine="680"/>
      </w:pPr>
      <w:r>
        <w:t xml:space="preserve">odborný lékař nemoci pohlavních, kožních a kosmetiky Praha </w:t>
      </w:r>
      <w:r>
        <w:rPr>
          <w:b/>
          <w:bCs/>
          <w:sz w:val="17"/>
          <w:szCs w:val="17"/>
        </w:rPr>
        <w:t xml:space="preserve">n.. </w:t>
      </w:r>
      <w:r>
        <w:t xml:space="preserve">Na Zbořenci 24 — třetí dům od Karlova náměstí. </w:t>
      </w:r>
      <w:r>
        <w:rPr>
          <w:u w:val="single"/>
        </w:rPr>
        <w:t>Ordinqje celý den. V neděli a ve svátek dopoledne. Tel. 41.728.</w:t>
      </w:r>
    </w:p>
    <w:p w:rsidR="00500724" w:rsidRDefault="00F30FB8">
      <w:pPr>
        <w:pStyle w:val="Zkladntext100"/>
        <w:shd w:val="clear" w:color="auto" w:fill="auto"/>
        <w:spacing w:after="40" w:line="146" w:lineRule="auto"/>
        <w:ind w:firstLine="0"/>
        <w:rPr>
          <w:sz w:val="22"/>
          <w:szCs w:val="22"/>
        </w:rPr>
      </w:pPr>
      <w:r>
        <w:t>Pro plast</w:t>
      </w:r>
      <w:r>
        <w:t xml:space="preserve">ickou chirurgii </w:t>
      </w:r>
      <w:r>
        <w:rPr>
          <w:rFonts w:ascii="Arial" w:eastAsia="Arial" w:hAnsi="Arial" w:cs="Arial"/>
          <w:b/>
          <w:bCs/>
          <w:sz w:val="22"/>
          <w:szCs w:val="22"/>
        </w:rPr>
        <w:t>Dr. RUDOLF SLUNEČKO</w:t>
      </w:r>
    </w:p>
    <w:p w:rsidR="00500724" w:rsidRDefault="00F30FB8">
      <w:pPr>
        <w:pStyle w:val="Zkladntext100"/>
        <w:shd w:val="clear" w:color="auto" w:fill="auto"/>
        <w:spacing w:after="120" w:line="173" w:lineRule="auto"/>
        <w:ind w:firstLine="0"/>
      </w:pPr>
      <w:r>
        <w:t>ord. 3—4 (a podle úmluvy). Telefon 393-79. PRAHA H.. VO</w:t>
      </w:r>
      <w:r>
        <w:softHyphen/>
      </w:r>
      <w:r>
        <w:rPr>
          <w:u w:val="single"/>
        </w:rPr>
        <w:t>DIČKOVA 15. (Hlávkův palác.)</w:t>
      </w:r>
    </w:p>
    <w:p w:rsidR="00500724" w:rsidRDefault="00F30FB8">
      <w:pPr>
        <w:pStyle w:val="Jin0"/>
        <w:shd w:val="clear" w:color="auto" w:fill="auto"/>
        <w:spacing w:after="40"/>
        <w:ind w:firstLine="0"/>
        <w:jc w:val="left"/>
        <w:rPr>
          <w:sz w:val="50"/>
          <w:szCs w:val="50"/>
        </w:rPr>
      </w:pPr>
      <w:r>
        <w:rPr>
          <w:sz w:val="50"/>
          <w:szCs w:val="50"/>
        </w:rPr>
        <w:t>Sanatorium Dr. Borůvka</w:t>
      </w:r>
    </w:p>
    <w:p w:rsidR="00500724" w:rsidRDefault="00F30FB8">
      <w:pPr>
        <w:pStyle w:val="Zkladntext100"/>
        <w:shd w:val="clear" w:color="auto" w:fill="auto"/>
        <w:spacing w:line="218" w:lineRule="auto"/>
        <w:ind w:firstLine="0"/>
      </w:pPr>
      <w:r>
        <w:t xml:space="preserve">ústav pro choroby chirurgické, ženské a porody, PRAHA H., </w:t>
      </w:r>
      <w:r>
        <w:rPr>
          <w:u w:val="single"/>
        </w:rPr>
        <w:t>LEGEROVA 61/68. Telefony 212-37. 379-06. 332-38.</w:t>
      </w:r>
    </w:p>
    <w:p w:rsidR="00500724" w:rsidRDefault="00F30FB8">
      <w:pPr>
        <w:pStyle w:val="Zkladntext80"/>
        <w:shd w:val="clear" w:color="auto" w:fill="auto"/>
        <w:spacing w:line="228" w:lineRule="auto"/>
        <w:rPr>
          <w:sz w:val="24"/>
          <w:szCs w:val="24"/>
        </w:rPr>
      </w:pPr>
      <w:r>
        <w:rPr>
          <w:w w:val="70"/>
          <w:sz w:val="24"/>
          <w:szCs w:val="24"/>
        </w:rPr>
        <w:t xml:space="preserve">u </w:t>
      </w:r>
      <w:r>
        <w:rPr>
          <w:w w:val="70"/>
          <w:sz w:val="24"/>
          <w:szCs w:val="24"/>
        </w:rPr>
        <w:t>Jaroměře</w:t>
      </w:r>
    </w:p>
    <w:p w:rsidR="00500724" w:rsidRDefault="00F30FB8">
      <w:pPr>
        <w:pStyle w:val="Nadpis120"/>
        <w:pBdr>
          <w:bottom w:val="single" w:sz="4" w:space="0" w:color="auto"/>
        </w:pBdr>
        <w:shd w:val="clear" w:color="auto" w:fill="auto"/>
        <w:spacing w:after="520"/>
        <w:ind w:left="440"/>
        <w:jc w:val="both"/>
        <w:sectPr w:rsidR="00500724">
          <w:footnotePr>
            <w:numFmt w:val="chicago"/>
            <w:numRestart w:val="eachPage"/>
          </w:footnotePr>
          <w:type w:val="continuous"/>
          <w:pgSz w:w="11909" w:h="16834"/>
          <w:pgMar w:top="891" w:right="1377" w:bottom="461" w:left="62" w:header="0" w:footer="3" w:gutter="0"/>
          <w:cols w:num="2" w:space="431"/>
          <w:noEndnote/>
          <w:docGrid w:linePitch="360"/>
        </w:sectPr>
      </w:pPr>
      <w:bookmarkStart w:id="763" w:name="bookmark762"/>
      <w:r>
        <w:t>poskytují komfort velkých lázní za mírné ceny. S úspěchem léčí: revma, dnu. ischias, nervosu, ženské choroby.</w:t>
      </w:r>
      <w:bookmarkEnd w:id="763"/>
    </w:p>
    <w:p w:rsidR="00500724" w:rsidRDefault="00500724">
      <w:pPr>
        <w:spacing w:line="6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91" w:right="0" w:bottom="461" w:left="0" w:header="0" w:footer="3" w:gutter="0"/>
          <w:cols w:space="720"/>
          <w:noEndnote/>
          <w:docGrid w:linePitch="360"/>
        </w:sectPr>
      </w:pPr>
    </w:p>
    <w:p w:rsidR="00500724" w:rsidRDefault="00F30FB8">
      <w:pPr>
        <w:pStyle w:val="Zkladntext100"/>
        <w:shd w:val="clear" w:color="auto" w:fill="auto"/>
        <w:spacing w:after="80" w:line="228" w:lineRule="auto"/>
        <w:ind w:firstLine="0"/>
        <w:rPr>
          <w:sz w:val="19"/>
          <w:szCs w:val="19"/>
        </w:rPr>
      </w:pPr>
      <w:r>
        <w:rPr>
          <w:b/>
          <w:bCs/>
          <w:sz w:val="19"/>
          <w:szCs w:val="19"/>
        </w:rPr>
        <w:t>Poesie, v níž zpívají prameny rodné země a z níž k nám mluví strážný duch nár</w:t>
      </w:r>
      <w:r>
        <w:rPr>
          <w:b/>
          <w:bCs/>
          <w:sz w:val="19"/>
          <w:szCs w:val="19"/>
        </w:rPr>
        <w:t>oda.</w:t>
      </w:r>
    </w:p>
    <w:p w:rsidR="00500724" w:rsidRDefault="00F30FB8">
      <w:pPr>
        <w:pStyle w:val="Zkladntext100"/>
        <w:shd w:val="clear" w:color="auto" w:fill="auto"/>
        <w:spacing w:after="80" w:line="190" w:lineRule="auto"/>
        <w:ind w:left="240" w:firstLine="20"/>
        <w:rPr>
          <w:sz w:val="20"/>
          <w:szCs w:val="20"/>
        </w:rPr>
      </w:pPr>
      <w:r>
        <w:rPr>
          <w:b/>
          <w:bCs/>
          <w:sz w:val="19"/>
          <w:szCs w:val="19"/>
        </w:rPr>
        <w:t xml:space="preserve">Viktor Dyk: EKIIKÉ A TĚŽKÉ KROKY — ANEBO. </w:t>
      </w:r>
      <w:r>
        <w:rPr>
          <w:sz w:val="20"/>
          <w:szCs w:val="20"/>
        </w:rPr>
        <w:t>Brož. 28 K, váz. 40 K.</w:t>
      </w:r>
    </w:p>
    <w:p w:rsidR="00500724" w:rsidRDefault="00F30FB8">
      <w:pPr>
        <w:pStyle w:val="Zkladntext100"/>
        <w:shd w:val="clear" w:color="auto" w:fill="auto"/>
        <w:spacing w:after="80" w:line="175" w:lineRule="auto"/>
        <w:ind w:left="240" w:firstLine="20"/>
        <w:rPr>
          <w:sz w:val="20"/>
          <w:szCs w:val="20"/>
        </w:rPr>
      </w:pPr>
      <w:r>
        <w:rPr>
          <w:b/>
          <w:bCs/>
          <w:sz w:val="19"/>
          <w:szCs w:val="19"/>
        </w:rPr>
        <w:t xml:space="preserve">Vladimír Holan: ZÁŘI 1938. 2. vyd. Brož. 10 K, </w:t>
      </w:r>
      <w:r>
        <w:rPr>
          <w:sz w:val="20"/>
          <w:szCs w:val="20"/>
        </w:rPr>
        <w:t>váz. 20 K.</w:t>
      </w:r>
    </w:p>
    <w:p w:rsidR="00500724" w:rsidRDefault="00F30FB8">
      <w:pPr>
        <w:pStyle w:val="Zkladntext30"/>
        <w:shd w:val="clear" w:color="auto" w:fill="auto"/>
        <w:spacing w:after="80" w:line="180" w:lineRule="auto"/>
        <w:ind w:firstLine="0"/>
        <w:jc w:val="right"/>
        <w:rPr>
          <w:sz w:val="20"/>
          <w:szCs w:val="20"/>
        </w:rPr>
      </w:pPr>
      <w:r>
        <w:rPr>
          <w:b/>
          <w:bCs/>
          <w:sz w:val="19"/>
          <w:szCs w:val="19"/>
        </w:rPr>
        <w:t xml:space="preserve">Josef Hora: </w:t>
      </w:r>
      <w:r>
        <w:rPr>
          <w:sz w:val="18"/>
          <w:szCs w:val="18"/>
        </w:rPr>
        <w:t xml:space="preserve">DOMOV. </w:t>
      </w:r>
      <w:r>
        <w:rPr>
          <w:sz w:val="20"/>
          <w:szCs w:val="20"/>
        </w:rPr>
        <w:t>Brož. 15 K, váz. 25 K.</w:t>
      </w:r>
    </w:p>
    <w:p w:rsidR="00500724" w:rsidRDefault="00F30FB8">
      <w:pPr>
        <w:pStyle w:val="Zkladntext100"/>
        <w:shd w:val="clear" w:color="auto" w:fill="auto"/>
        <w:spacing w:after="80" w:line="180" w:lineRule="auto"/>
        <w:ind w:left="240" w:firstLine="20"/>
        <w:rPr>
          <w:sz w:val="20"/>
          <w:szCs w:val="20"/>
        </w:rPr>
      </w:pPr>
      <w:r>
        <w:rPr>
          <w:b/>
          <w:bCs/>
          <w:sz w:val="19"/>
          <w:szCs w:val="19"/>
        </w:rPr>
        <w:t xml:space="preserve">Kolman </w:t>
      </w:r>
      <w:r>
        <w:rPr>
          <w:b/>
          <w:bCs/>
          <w:sz w:val="19"/>
          <w:szCs w:val="19"/>
          <w:lang w:val="en-US" w:eastAsia="en-US" w:bidi="en-US"/>
        </w:rPr>
        <w:t xml:space="preserve">Cassius: </w:t>
      </w:r>
      <w:r>
        <w:rPr>
          <w:b/>
          <w:bCs/>
          <w:sz w:val="19"/>
          <w:szCs w:val="19"/>
        </w:rPr>
        <w:t xml:space="preserve">ŽELEZNÁ KOŠILE. </w:t>
      </w:r>
      <w:r>
        <w:rPr>
          <w:sz w:val="20"/>
          <w:szCs w:val="20"/>
        </w:rPr>
        <w:t xml:space="preserve">2. vyd. </w:t>
      </w:r>
      <w:r>
        <w:rPr>
          <w:b/>
          <w:bCs/>
          <w:sz w:val="19"/>
          <w:szCs w:val="19"/>
        </w:rPr>
        <w:t xml:space="preserve">Brož. </w:t>
      </w:r>
      <w:r>
        <w:rPr>
          <w:sz w:val="20"/>
          <w:szCs w:val="20"/>
        </w:rPr>
        <w:t>15 K, váz. 25 K.</w:t>
      </w:r>
    </w:p>
    <w:p w:rsidR="00500724" w:rsidRDefault="00F30FB8">
      <w:pPr>
        <w:pStyle w:val="Zkladntext100"/>
        <w:shd w:val="clear" w:color="auto" w:fill="auto"/>
        <w:spacing w:after="80" w:line="180" w:lineRule="auto"/>
        <w:ind w:left="240" w:firstLine="20"/>
        <w:rPr>
          <w:sz w:val="20"/>
          <w:szCs w:val="20"/>
        </w:rPr>
      </w:pPr>
      <w:r>
        <w:rPr>
          <w:b/>
          <w:bCs/>
          <w:sz w:val="19"/>
          <w:szCs w:val="19"/>
        </w:rPr>
        <w:t xml:space="preserve">Jaroslav Seifert: ZHASNĚTE SVĚTLA. </w:t>
      </w:r>
      <w:r>
        <w:rPr>
          <w:sz w:val="20"/>
          <w:szCs w:val="20"/>
        </w:rPr>
        <w:t xml:space="preserve">4. vyd. </w:t>
      </w:r>
      <w:r>
        <w:rPr>
          <w:b/>
          <w:bCs/>
          <w:sz w:val="19"/>
          <w:szCs w:val="19"/>
        </w:rPr>
        <w:t xml:space="preserve">Brož. </w:t>
      </w:r>
      <w:r>
        <w:rPr>
          <w:sz w:val="20"/>
          <w:szCs w:val="20"/>
        </w:rPr>
        <w:t>12 K, váz. 22 K.</w:t>
      </w:r>
    </w:p>
    <w:p w:rsidR="00500724" w:rsidRDefault="00F30FB8">
      <w:pPr>
        <w:pStyle w:val="Zkladntext100"/>
        <w:shd w:val="clear" w:color="auto" w:fill="auto"/>
        <w:spacing w:line="180" w:lineRule="auto"/>
        <w:ind w:firstLine="0"/>
        <w:jc w:val="right"/>
        <w:rPr>
          <w:sz w:val="19"/>
          <w:szCs w:val="19"/>
        </w:rPr>
      </w:pPr>
      <w:r>
        <w:rPr>
          <w:b/>
          <w:bCs/>
          <w:sz w:val="19"/>
          <w:szCs w:val="19"/>
        </w:rPr>
        <w:t>Karel Toman: MĚSÍCE — HLAS TICHA.</w:t>
      </w:r>
    </w:p>
    <w:p w:rsidR="00500724" w:rsidRDefault="00F30FB8">
      <w:pPr>
        <w:pStyle w:val="Zkladntext30"/>
        <w:shd w:val="clear" w:color="auto" w:fill="auto"/>
        <w:spacing w:after="80" w:line="170" w:lineRule="auto"/>
        <w:ind w:firstLine="0"/>
        <w:jc w:val="right"/>
        <w:rPr>
          <w:sz w:val="20"/>
          <w:szCs w:val="20"/>
        </w:rPr>
      </w:pPr>
      <w:r>
        <w:rPr>
          <w:sz w:val="20"/>
          <w:szCs w:val="20"/>
        </w:rPr>
        <w:t>Brož. 30 K, váz. 45 K.</w:t>
      </w:r>
    </w:p>
    <w:p w:rsidR="00500724" w:rsidRDefault="00F30FB8">
      <w:pPr>
        <w:pStyle w:val="Zkladntext30"/>
        <w:shd w:val="clear" w:color="auto" w:fill="auto"/>
        <w:spacing w:after="80" w:line="170" w:lineRule="auto"/>
        <w:ind w:firstLine="0"/>
        <w:jc w:val="center"/>
        <w:rPr>
          <w:sz w:val="20"/>
          <w:szCs w:val="20"/>
        </w:rPr>
      </w:pPr>
      <w:r>
        <w:rPr>
          <w:sz w:val="20"/>
          <w:szCs w:val="20"/>
        </w:rPr>
        <w:t>Dodá každý knihkupec.</w:t>
      </w:r>
    </w:p>
    <w:p w:rsidR="00500724" w:rsidRDefault="00F30FB8">
      <w:pPr>
        <w:pStyle w:val="Zkladntext100"/>
        <w:shd w:val="clear" w:color="auto" w:fill="auto"/>
        <w:spacing w:line="180" w:lineRule="auto"/>
        <w:ind w:firstLine="0"/>
        <w:jc w:val="right"/>
        <w:rPr>
          <w:sz w:val="19"/>
          <w:szCs w:val="19"/>
        </w:rPr>
      </w:pPr>
      <w:r>
        <w:rPr>
          <w:b/>
          <w:bCs/>
          <w:sz w:val="19"/>
          <w:szCs w:val="19"/>
        </w:rPr>
        <w:t>FR. BOROVÝ</w:t>
      </w:r>
    </w:p>
    <w:p w:rsidR="00500724" w:rsidRDefault="00F30FB8">
      <w:pPr>
        <w:pStyle w:val="Zkladntext100"/>
        <w:shd w:val="clear" w:color="auto" w:fill="auto"/>
        <w:spacing w:after="80" w:line="202" w:lineRule="auto"/>
        <w:ind w:firstLine="0"/>
        <w:jc w:val="right"/>
      </w:pPr>
      <w:r>
        <w:t>FORMÁNKOVA-KUBlNOV A—FORMÁNEK, Cesko-německá konversace a frazeologie. 20.5 X 13.5 cm, 391 stran, vá</w:t>
      </w:r>
      <w:r>
        <w:t>z. K 36.—</w:t>
      </w:r>
    </w:p>
    <w:p w:rsidR="00500724" w:rsidRDefault="00F30FB8">
      <w:pPr>
        <w:pStyle w:val="Zkladntext100"/>
        <w:shd w:val="clear" w:color="auto" w:fill="auto"/>
        <w:tabs>
          <w:tab w:val="left" w:pos="3640"/>
        </w:tabs>
        <w:spacing w:line="202" w:lineRule="auto"/>
        <w:ind w:left="440" w:hanging="300"/>
      </w:pPr>
      <w:r>
        <w:t>HORKÝ KAREL, Pískáni v lese. Ze sbírky Srdcových knih dobré nálady. 17X12 cm, 181 stran,</w:t>
      </w:r>
      <w:r>
        <w:tab/>
        <w:t>brož. K 20.—</w:t>
      </w:r>
    </w:p>
    <w:p w:rsidR="00500724" w:rsidRDefault="00F30FB8">
      <w:pPr>
        <w:pStyle w:val="Zkladntext100"/>
        <w:shd w:val="clear" w:color="auto" w:fill="auto"/>
        <w:spacing w:after="80" w:line="202" w:lineRule="auto"/>
        <w:ind w:firstLine="0"/>
        <w:jc w:val="right"/>
      </w:pPr>
      <w:r>
        <w:t>váz. K 25.—</w:t>
      </w:r>
    </w:p>
    <w:p w:rsidR="00500724" w:rsidRDefault="00F30FB8">
      <w:pPr>
        <w:pStyle w:val="Zkladntext100"/>
        <w:shd w:val="clear" w:color="auto" w:fill="auto"/>
        <w:spacing w:after="60" w:line="202" w:lineRule="auto"/>
        <w:ind w:firstLine="0"/>
        <w:jc w:val="right"/>
      </w:pPr>
      <w:r>
        <w:t>HORNIČEK IGN., dr., Kniha o rodopisu. (Každý urél sám svůj rod a původ.) 24X16 cm, 227 stran, brož. K 39.—</w:t>
      </w:r>
    </w:p>
    <w:p w:rsidR="00500724" w:rsidRDefault="00F30FB8">
      <w:pPr>
        <w:pStyle w:val="Zkladntext100"/>
        <w:shd w:val="clear" w:color="auto" w:fill="auto"/>
        <w:tabs>
          <w:tab w:val="left" w:pos="3640"/>
        </w:tabs>
        <w:spacing w:after="80" w:line="197" w:lineRule="auto"/>
        <w:ind w:left="440" w:hanging="300"/>
      </w:pPr>
      <w:r>
        <w:t xml:space="preserve">Vhodné typy pro stavbu a </w:t>
      </w:r>
      <w:r>
        <w:t>zařízeni lesních chat, vilek a ro</w:t>
      </w:r>
      <w:r>
        <w:softHyphen/>
        <w:t>dinných domků. S mnoha fotografiemi a plánky. 19x14 cm, 127 stran</w:t>
      </w:r>
      <w:r>
        <w:tab/>
        <w:t>brož. K 15.—</w:t>
      </w:r>
    </w:p>
    <w:p w:rsidR="00500724" w:rsidRDefault="00F30FB8">
      <w:pPr>
        <w:pStyle w:val="Zkladntext100"/>
        <w:shd w:val="clear" w:color="auto" w:fill="auto"/>
        <w:tabs>
          <w:tab w:val="left" w:pos="3640"/>
        </w:tabs>
        <w:spacing w:after="60" w:line="206" w:lineRule="auto"/>
        <w:ind w:left="440" w:hanging="300"/>
      </w:pPr>
      <w:r>
        <w:rPr>
          <w:lang w:val="en-US" w:eastAsia="en-US" w:bidi="en-US"/>
        </w:rPr>
        <w:t xml:space="preserve">BERNDT </w:t>
      </w:r>
      <w:r>
        <w:t>ALFRED INGEMAR, Der Marsch ins Grossdeutsche Reich. 22.5X15.5 cm, 503 stran,</w:t>
      </w:r>
      <w:r>
        <w:tab/>
        <w:t>váz. K 54.—</w:t>
      </w:r>
    </w:p>
    <w:p w:rsidR="00500724" w:rsidRDefault="00F30FB8">
      <w:pPr>
        <w:pStyle w:val="Zkladntext100"/>
        <w:shd w:val="clear" w:color="auto" w:fill="auto"/>
        <w:spacing w:after="60" w:line="206" w:lineRule="auto"/>
        <w:ind w:left="440" w:hanging="300"/>
      </w:pPr>
      <w:r>
        <w:t xml:space="preserve">Les </w:t>
      </w:r>
      <w:r>
        <w:rPr>
          <w:lang w:val="en-US" w:eastAsia="en-US" w:bidi="en-US"/>
        </w:rPr>
        <w:t xml:space="preserve">pages immortelles </w:t>
      </w:r>
      <w:r>
        <w:t xml:space="preserve">de Darwin choisies et explinuées </w:t>
      </w:r>
      <w:r>
        <w:rPr>
          <w:lang w:val="en-US" w:eastAsia="en-US" w:bidi="en-US"/>
        </w:rPr>
        <w:t xml:space="preserve">par Julian HUXLEY. </w:t>
      </w:r>
      <w:r>
        <w:t xml:space="preserve">19 X12 </w:t>
      </w:r>
      <w:r>
        <w:rPr>
          <w:lang w:val="en-US" w:eastAsia="en-US" w:bidi="en-US"/>
        </w:rPr>
        <w:t xml:space="preserve">cm, </w:t>
      </w:r>
      <w:r>
        <w:t>232 stran, brož. K 21.—</w:t>
      </w:r>
    </w:p>
    <w:p w:rsidR="00500724" w:rsidRDefault="00F30FB8">
      <w:pPr>
        <w:pStyle w:val="Zkladntext100"/>
        <w:shd w:val="clear" w:color="auto" w:fill="auto"/>
        <w:tabs>
          <w:tab w:val="left" w:pos="3640"/>
        </w:tabs>
        <w:spacing w:after="480" w:line="202" w:lineRule="auto"/>
        <w:ind w:left="440" w:hanging="300"/>
      </w:pPr>
      <w:r>
        <w:t xml:space="preserve">Annuaire statistlque de la Société des </w:t>
      </w:r>
      <w:r>
        <w:rPr>
          <w:lang w:val="en-US" w:eastAsia="en-US" w:bidi="en-US"/>
        </w:rPr>
        <w:t xml:space="preserve">Nations </w:t>
      </w:r>
      <w:r>
        <w:t xml:space="preserve">1938/39. — </w:t>
      </w:r>
      <w:r>
        <w:rPr>
          <w:lang w:val="en-US" w:eastAsia="en-US" w:bidi="en-US"/>
        </w:rPr>
        <w:t xml:space="preserve">Statistical Year-Book of the League of Nations 1938/39. 25X19 cm, </w:t>
      </w:r>
      <w:r>
        <w:t xml:space="preserve">každý svazek </w:t>
      </w:r>
      <w:r>
        <w:rPr>
          <w:lang w:val="en-US" w:eastAsia="en-US" w:bidi="en-US"/>
        </w:rPr>
        <w:t xml:space="preserve">330 </w:t>
      </w:r>
      <w:r>
        <w:t>stran, cena jednoho svaz</w:t>
      </w:r>
      <w:r>
        <w:softHyphen/>
        <w:t>ku</w:t>
      </w:r>
      <w:r>
        <w:tab/>
      </w:r>
      <w:r>
        <w:rPr>
          <w:lang w:val="en-US" w:eastAsia="en-US" w:bidi="en-US"/>
        </w:rPr>
        <w:t xml:space="preserve">kart. </w:t>
      </w:r>
      <w:r>
        <w:t>K 75.—</w:t>
      </w:r>
    </w:p>
    <w:p w:rsidR="00500724" w:rsidRDefault="00F30FB8">
      <w:pPr>
        <w:pStyle w:val="Nadpis100"/>
        <w:pBdr>
          <w:top w:val="single" w:sz="4" w:space="0" w:color="auto"/>
        </w:pBdr>
        <w:shd w:val="clear" w:color="auto" w:fill="auto"/>
        <w:spacing w:after="0" w:line="240" w:lineRule="auto"/>
        <w:ind w:firstLine="140"/>
        <w:jc w:val="left"/>
      </w:pPr>
      <w:bookmarkStart w:id="764" w:name="bookmark763"/>
      <w:r>
        <w:t>F. Topič</w:t>
      </w:r>
      <w:bookmarkEnd w:id="764"/>
    </w:p>
    <w:p w:rsidR="00500724" w:rsidRDefault="00F30FB8">
      <w:pPr>
        <w:pStyle w:val="Zkladntext30"/>
        <w:shd w:val="clear" w:color="auto" w:fill="auto"/>
        <w:spacing w:after="480" w:line="240" w:lineRule="auto"/>
        <w:ind w:firstLine="0"/>
        <w:jc w:val="right"/>
        <w:rPr>
          <w:sz w:val="24"/>
          <w:szCs w:val="24"/>
        </w:rPr>
      </w:pPr>
      <w:r>
        <w:rPr>
          <w:b/>
          <w:bCs/>
          <w:sz w:val="24"/>
          <w:szCs w:val="24"/>
        </w:rPr>
        <w:t>knihkupectví, Praha I., Národní třída 11</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20"/>
        <w:jc w:val="center"/>
      </w:pPr>
      <w:bookmarkStart w:id="765" w:name="bookmark764"/>
      <w:r>
        <w:rPr>
          <w:color w:val="FFFFFF"/>
        </w:rPr>
        <w:t>VAS VKUS I NÁROKY USPOKOJÍ</w:t>
      </w:r>
      <w:bookmarkEnd w:id="765"/>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ind w:firstLine="0"/>
        <w:jc w:val="center"/>
        <w:rPr>
          <w:sz w:val="18"/>
          <w:szCs w:val="18"/>
        </w:rPr>
      </w:pPr>
      <w:r>
        <w:rPr>
          <w:b/>
          <w:bCs/>
          <w:smallCaps/>
          <w:sz w:val="18"/>
          <w:szCs w:val="18"/>
        </w:rPr>
        <w:t>obuv pro vyšší nároky</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line="192" w:lineRule="auto"/>
        <w:ind w:firstLine="0"/>
        <w:jc w:val="center"/>
        <w:rPr>
          <w:sz w:val="32"/>
          <w:szCs w:val="32"/>
        </w:rPr>
      </w:pPr>
      <w:r>
        <w:rPr>
          <w:rFonts w:ascii="Arial" w:eastAsia="Arial" w:hAnsi="Arial" w:cs="Arial"/>
          <w:b/>
          <w:bCs/>
          <w:sz w:val="32"/>
          <w:szCs w:val="32"/>
          <w:lang w:val="en-US" w:eastAsia="en-US" w:bidi="en-US"/>
        </w:rPr>
        <w:t xml:space="preserve">FERRY </w:t>
      </w:r>
      <w:r>
        <w:rPr>
          <w:rFonts w:ascii="Arial" w:eastAsia="Arial" w:hAnsi="Arial" w:cs="Arial"/>
          <w:b/>
          <w:bCs/>
          <w:sz w:val="32"/>
          <w:szCs w:val="32"/>
        </w:rPr>
        <w:t>GRAUMANN</w:t>
      </w:r>
    </w:p>
    <w:p w:rsidR="00500724" w:rsidRDefault="00F30FB8">
      <w:pPr>
        <w:pStyle w:val="Zkladntext100"/>
        <w:pBdr>
          <w:top w:val="single" w:sz="4" w:space="0" w:color="auto"/>
          <w:left w:val="single" w:sz="4" w:space="0" w:color="auto"/>
          <w:bottom w:val="single" w:sz="4" w:space="0" w:color="auto"/>
          <w:right w:val="single" w:sz="4" w:space="0" w:color="auto"/>
        </w:pBdr>
        <w:shd w:val="clear" w:color="auto" w:fill="auto"/>
        <w:spacing w:line="240" w:lineRule="auto"/>
        <w:ind w:firstLine="0"/>
        <w:jc w:val="left"/>
        <w:rPr>
          <w:sz w:val="17"/>
          <w:szCs w:val="17"/>
        </w:rPr>
        <w:sectPr w:rsidR="00500724">
          <w:footnotePr>
            <w:numFmt w:val="chicago"/>
            <w:numRestart w:val="eachPage"/>
          </w:footnotePr>
          <w:type w:val="continuous"/>
          <w:pgSz w:w="11909" w:h="16834"/>
          <w:pgMar w:top="891" w:right="1569" w:bottom="461" w:left="326" w:header="0" w:footer="3" w:gutter="0"/>
          <w:cols w:num="2" w:sep="1" w:space="451"/>
          <w:noEndnote/>
          <w:docGrid w:linePitch="360"/>
        </w:sectPr>
      </w:pPr>
      <w:r>
        <w:rPr>
          <w:b/>
          <w:bCs/>
          <w:sz w:val="17"/>
          <w:szCs w:val="17"/>
        </w:rPr>
        <w:t>PRAHA L, PŘÍKOPY 35, schodiště A, TeL 315-28.</w:t>
      </w:r>
    </w:p>
    <w:p w:rsidR="00500724" w:rsidRDefault="00500724">
      <w:pPr>
        <w:spacing w:before="25" w:after="25"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605" w:right="0" w:bottom="746" w:left="0" w:header="0" w:footer="3" w:gutter="0"/>
          <w:cols w:space="720"/>
          <w:noEndnote/>
          <w:docGrid w:linePitch="360"/>
        </w:sectPr>
      </w:pPr>
    </w:p>
    <w:p w:rsidR="00500724" w:rsidRDefault="00F30FB8">
      <w:pPr>
        <w:pStyle w:val="Zkladntext100"/>
        <w:shd w:val="clear" w:color="auto" w:fill="auto"/>
        <w:spacing w:after="380" w:line="240" w:lineRule="auto"/>
        <w:ind w:left="380" w:hanging="380"/>
        <w:rPr>
          <w:sz w:val="20"/>
          <w:szCs w:val="20"/>
        </w:rPr>
      </w:pPr>
      <w:r>
        <w:rPr>
          <w:b/>
          <w:bCs/>
          <w:sz w:val="20"/>
          <w:szCs w:val="20"/>
        </w:rPr>
        <w:t xml:space="preserve">OBSAH PŘÍTOMNOSTI C. </w:t>
      </w:r>
      <w:r>
        <w:rPr>
          <w:b/>
          <w:bCs/>
          <w:sz w:val="19"/>
          <w:szCs w:val="19"/>
        </w:rPr>
        <w:t xml:space="preserve">30: F. PEROUTKA: Druhý dech — JAN ALBERT: Starosti Pavla </w:t>
      </w:r>
      <w:r>
        <w:rPr>
          <w:b/>
          <w:bCs/>
          <w:sz w:val="19"/>
          <w:szCs w:val="19"/>
          <w:lang w:val="en-US" w:eastAsia="en-US" w:bidi="en-US"/>
        </w:rPr>
        <w:t xml:space="preserve">Grekova </w:t>
      </w:r>
      <w:r>
        <w:rPr>
          <w:b/>
          <w:bCs/>
          <w:sz w:val="19"/>
          <w:szCs w:val="19"/>
        </w:rPr>
        <w:t xml:space="preserve">— ARNOŠT </w:t>
      </w:r>
      <w:r>
        <w:rPr>
          <w:b/>
          <w:bCs/>
          <w:sz w:val="19"/>
          <w:szCs w:val="19"/>
          <w:lang w:val="en-US" w:eastAsia="en-US" w:bidi="en-US"/>
        </w:rPr>
        <w:t xml:space="preserve">HUBER: </w:t>
      </w:r>
      <w:r>
        <w:rPr>
          <w:b/>
          <w:bCs/>
          <w:sz w:val="19"/>
          <w:szCs w:val="19"/>
        </w:rPr>
        <w:t>Básnictví nového Německa — MIROSLAV MÍČKO: Češství Mánesovo a Alšovo a jiných — JOSEF PETR</w:t>
      </w:r>
      <w:r>
        <w:rPr>
          <w:b/>
          <w:bCs/>
          <w:sz w:val="19"/>
          <w:szCs w:val="19"/>
        </w:rPr>
        <w:softHyphen/>
      </w:r>
      <w:r>
        <w:rPr>
          <w:b/>
          <w:bCs/>
          <w:sz w:val="19"/>
          <w:szCs w:val="19"/>
        </w:rPr>
        <w:t xml:space="preserve">TYL: Doporučování knih — BOHUMILA FIEDUEROVÁ: Poměr dnešního člověka k dějinám — Americká neutralita — Východní orientace Ruska — Co chce Japonsko — »SIovák« o Slovensku — Příručka českého jazyka pro německé vojáky; </w:t>
      </w:r>
      <w:r>
        <w:rPr>
          <w:b/>
          <w:bCs/>
          <w:sz w:val="19"/>
          <w:szCs w:val="19"/>
          <w:lang w:val="en-US" w:eastAsia="en-US" w:bidi="en-US"/>
        </w:rPr>
        <w:t xml:space="preserve">a </w:t>
      </w:r>
      <w:r>
        <w:rPr>
          <w:b/>
          <w:bCs/>
          <w:i/>
          <w:iCs/>
          <w:sz w:val="20"/>
          <w:szCs w:val="20"/>
        </w:rPr>
        <w:t>mg.</w:t>
      </w:r>
    </w:p>
    <w:p w:rsidR="00500724" w:rsidRDefault="00F30FB8">
      <w:pPr>
        <w:pStyle w:val="Nadpis90"/>
        <w:keepNext/>
        <w:keepLines/>
        <w:shd w:val="clear" w:color="auto" w:fill="auto"/>
        <w:spacing w:after="240"/>
        <w:jc w:val="right"/>
      </w:pPr>
      <w:bookmarkStart w:id="766" w:name="bookmark765"/>
      <w:r>
        <w:rPr>
          <w:u w:val="single"/>
        </w:rPr>
        <w:t>nezávislý týdeník</w:t>
      </w:r>
      <w:bookmarkEnd w:id="766"/>
    </w:p>
    <w:p w:rsidR="00500724" w:rsidRDefault="00F30FB8">
      <w:pPr>
        <w:pStyle w:val="Zkladntext40"/>
        <w:shd w:val="clear" w:color="auto" w:fill="auto"/>
        <w:spacing w:after="40" w:line="295" w:lineRule="auto"/>
        <w:ind w:right="260"/>
        <w:jc w:val="center"/>
      </w:pPr>
      <w:r>
        <w:rPr>
          <w:b/>
          <w:bCs/>
        </w:rPr>
        <w:t>vychází ve střed</w:t>
      </w:r>
      <w:r>
        <w:rPr>
          <w:b/>
          <w:bCs/>
        </w:rPr>
        <w:t>u v nakladatelství</w:t>
      </w:r>
      <w:r>
        <w:rPr>
          <w:b/>
          <w:bCs/>
        </w:rPr>
        <w:br/>
        <w:t>FR. BOROVÝ V PRAZE I.. NÁRODNÍ TftlDA 11.</w:t>
      </w:r>
    </w:p>
    <w:p w:rsidR="00500724" w:rsidRDefault="00F30FB8">
      <w:pPr>
        <w:pStyle w:val="Zkladntext100"/>
        <w:shd w:val="clear" w:color="auto" w:fill="auto"/>
        <w:spacing w:after="40" w:line="156" w:lineRule="auto"/>
        <w:ind w:firstLine="0"/>
      </w:pPr>
      <w:r>
        <w:rPr>
          <w:noProof/>
        </w:rPr>
        <mc:AlternateContent>
          <mc:Choice Requires="wps">
            <w:drawing>
              <wp:anchor distT="0" distB="0" distL="114300" distR="114300" simplePos="0" relativeHeight="125830158" behindDoc="0" locked="0" layoutInCell="1" allowOverlap="1">
                <wp:simplePos x="0" y="0"/>
                <wp:positionH relativeFrom="page">
                  <wp:posOffset>267970</wp:posOffset>
                </wp:positionH>
                <wp:positionV relativeFrom="paragraph">
                  <wp:posOffset>152400</wp:posOffset>
                </wp:positionV>
                <wp:extent cx="2551430" cy="347345"/>
                <wp:effectExtent l="0" t="0" r="0" b="0"/>
                <wp:wrapSquare wrapText="right"/>
                <wp:docPr id="781" name="Shape 781"/>
                <wp:cNvGraphicFramePr/>
                <a:graphic xmlns:a="http://schemas.openxmlformats.org/drawingml/2006/main">
                  <a:graphicData uri="http://schemas.microsoft.com/office/word/2010/wordprocessingShape">
                    <wps:wsp>
                      <wps:cNvSpPr txBox="1"/>
                      <wps:spPr>
                        <a:xfrm>
                          <a:off x="0" y="0"/>
                          <a:ext cx="2551430" cy="34734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í d ■ Ferd. Peroutka</w:t>
                            </w:r>
                          </w:p>
                        </w:txbxContent>
                      </wps:txbx>
                      <wps:bodyPr lIns="0" tIns="0" rIns="0" bIns="0">
                        <a:spAutoFit/>
                      </wps:bodyPr>
                    </wps:wsp>
                  </a:graphicData>
                </a:graphic>
              </wp:anchor>
            </w:drawing>
          </mc:Choice>
          <mc:Fallback>
            <w:pict>
              <v:shape id="_x0000_s1807" type="#_x0000_t202" style="position:absolute;margin-left:21.100000000000001pt;margin-top:12.pt;width:200.90000000000001pt;height:27.350000000000001pt;z-index:-125828595;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í d ■ Ferd. Peroutka</w:t>
                      </w:r>
                    </w:p>
                  </w:txbxContent>
                </v:textbox>
                <w10:wrap type="square" side="right" anchorx="page"/>
              </v:shape>
            </w:pict>
          </mc:Fallback>
        </mc:AlternateContent>
      </w:r>
      <w:r>
        <w:t>Telefon Cislo 390-51 až 54 • Očet poStovní spořitelny Cislo 35.622 • Nevy</w:t>
      </w:r>
      <w:r>
        <w:softHyphen/>
        <w:t>žádané rukopisy se nevracejí • Předplatné na rok K 100.—, na půl roku K 50.—. na čtvrt roku K 25.</w:t>
      </w:r>
      <w:r>
        <w:t xml:space="preserve">—, Jednotlivá čísla K 2.—. </w:t>
      </w:r>
      <w:r>
        <w:rPr>
          <w:lang w:val="en-US" w:eastAsia="en-US" w:bidi="en-US"/>
        </w:rPr>
        <w:t xml:space="preserve">Pour </w:t>
      </w:r>
      <w:r>
        <w:t>la Fran</w:t>
      </w:r>
      <w:r>
        <w:softHyphen/>
        <w:t xml:space="preserve">ce et ses </w:t>
      </w:r>
      <w:r>
        <w:rPr>
          <w:lang w:val="en-US" w:eastAsia="en-US" w:bidi="en-US"/>
        </w:rPr>
        <w:t xml:space="preserve">Colonies </w:t>
      </w:r>
      <w:r>
        <w:t>Frs 2.50. • Dohlédaci pošt. úřad Brno H. • Novinová sazba povolena v Brně ředitelstvím pošt a telegrafů pod čís. 119.268/nia. • Odpovědný redaktor J. Dlabač.</w:t>
      </w:r>
    </w:p>
    <w:p w:rsidR="00500724" w:rsidRDefault="00F30FB8">
      <w:pPr>
        <w:pStyle w:val="Zkladntext40"/>
        <w:shd w:val="clear" w:color="auto" w:fill="auto"/>
        <w:spacing w:after="140" w:line="295" w:lineRule="auto"/>
        <w:ind w:right="260"/>
        <w:jc w:val="center"/>
      </w:pPr>
      <w:r>
        <w:rPr>
          <w:b/>
          <w:bCs/>
        </w:rPr>
        <w:t>TISKEM LIDOVÉ TISKÁRNY. BRNO. ČESKÁ 6.</w:t>
      </w:r>
    </w:p>
    <w:p w:rsidR="00500724" w:rsidRDefault="00F30FB8">
      <w:pPr>
        <w:pStyle w:val="Nadpis60"/>
        <w:keepNext/>
        <w:keepLines/>
        <w:shd w:val="clear" w:color="auto" w:fill="auto"/>
      </w:pPr>
      <w:bookmarkStart w:id="767" w:name="bookmark766"/>
      <w:r>
        <w:t>Přítomnosti</w:t>
      </w:r>
      <w:bookmarkEnd w:id="767"/>
    </w:p>
    <w:p w:rsidR="00500724" w:rsidRDefault="00F30FB8">
      <w:pPr>
        <w:pStyle w:val="Nadpis60"/>
        <w:keepNext/>
        <w:keepLines/>
        <w:pBdr>
          <w:top w:val="single" w:sz="4" w:space="0" w:color="auto"/>
        </w:pBdr>
        <w:shd w:val="clear" w:color="auto" w:fill="auto"/>
        <w:tabs>
          <w:tab w:val="left" w:pos="2574"/>
          <w:tab w:val="left" w:leader="dot" w:pos="2800"/>
          <w:tab w:val="left" w:leader="dot" w:pos="5770"/>
          <w:tab w:val="left" w:pos="10240"/>
        </w:tabs>
        <w:spacing w:line="180" w:lineRule="auto"/>
        <w:ind w:left="1720"/>
        <w:jc w:val="both"/>
      </w:pPr>
      <w:bookmarkStart w:id="768" w:name="bookmark767"/>
      <w:r>
        <w:t>—</w:t>
      </w:r>
      <w:r>
        <w:tab/>
      </w:r>
      <w:r>
        <w:tab/>
        <w:t xml:space="preserve"> </w:t>
      </w:r>
      <w:r>
        <w:tab/>
        <w:t xml:space="preserve"> </w:t>
      </w:r>
      <w:r>
        <w:rPr>
          <w:lang w:val="en-US" w:eastAsia="en-US" w:bidi="en-US"/>
        </w:rPr>
        <w:t>I</w:t>
      </w:r>
      <w:r>
        <w:rPr>
          <w:lang w:val="en-US" w:eastAsia="en-US" w:bidi="en-US"/>
        </w:rPr>
        <w:tab/>
        <w:t>J</w:t>
      </w:r>
      <w:bookmarkEnd w:id="768"/>
    </w:p>
    <w:p w:rsidR="00500724" w:rsidRDefault="00F30FB8">
      <w:pPr>
        <w:pStyle w:val="Zkladntext100"/>
        <w:shd w:val="clear" w:color="auto" w:fill="auto"/>
        <w:tabs>
          <w:tab w:val="left" w:pos="3466"/>
          <w:tab w:val="left" w:pos="9010"/>
        </w:tabs>
        <w:spacing w:line="240" w:lineRule="auto"/>
        <w:ind w:firstLine="0"/>
        <w:rPr>
          <w:sz w:val="17"/>
          <w:szCs w:val="17"/>
        </w:rPr>
        <w:sectPr w:rsidR="00500724">
          <w:footnotePr>
            <w:numFmt w:val="chicago"/>
            <w:numRestart w:val="eachPage"/>
          </w:footnotePr>
          <w:type w:val="continuous"/>
          <w:pgSz w:w="11909" w:h="16834"/>
          <w:pgMar w:top="605" w:right="1131" w:bottom="746" w:left="310" w:header="0" w:footer="3" w:gutter="0"/>
          <w:cols w:space="720"/>
          <w:noEndnote/>
          <w:docGrid w:linePitch="360"/>
        </w:sectPr>
      </w:pPr>
      <w:r>
        <w:rPr>
          <w:sz w:val="17"/>
          <w:szCs w:val="17"/>
          <w:lang w:val="en-US" w:eastAsia="en-US" w:bidi="en-US"/>
        </w:rPr>
        <w:t>ROCNlK XVL</w:t>
      </w:r>
      <w:r>
        <w:rPr>
          <w:sz w:val="17"/>
          <w:szCs w:val="17"/>
          <w:lang w:val="en-US" w:eastAsia="en-US" w:bidi="en-US"/>
        </w:rPr>
        <w:tab/>
        <w:t>VPRAZE2. SRPNA 1939</w:t>
      </w:r>
      <w:r>
        <w:rPr>
          <w:sz w:val="17"/>
          <w:szCs w:val="17"/>
          <w:lang w:val="en-US" w:eastAsia="en-US" w:bidi="en-US"/>
        </w:rPr>
        <w:tab/>
      </w:r>
      <w:r>
        <w:rPr>
          <w:sz w:val="17"/>
          <w:szCs w:val="17"/>
        </w:rPr>
        <w:t xml:space="preserve">ČÍSLO </w:t>
      </w:r>
      <w:r>
        <w:rPr>
          <w:sz w:val="17"/>
          <w:szCs w:val="17"/>
          <w:lang w:val="en-US" w:eastAsia="en-US" w:bidi="en-US"/>
        </w:rPr>
        <w:t>3t</w:t>
      </w:r>
    </w:p>
    <w:p w:rsidR="00500724" w:rsidRDefault="00500724">
      <w:pPr>
        <w:spacing w:before="103" w:after="10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260" w:right="0" w:bottom="882" w:left="0" w:header="0" w:footer="3" w:gutter="0"/>
          <w:cols w:space="720"/>
          <w:noEndnote/>
          <w:docGrid w:linePitch="360"/>
        </w:sectPr>
      </w:pPr>
    </w:p>
    <w:p w:rsidR="00500724" w:rsidRDefault="00F30FB8">
      <w:pPr>
        <w:pStyle w:val="Nadpis100"/>
        <w:shd w:val="clear" w:color="auto" w:fill="auto"/>
        <w:spacing w:after="0" w:line="240" w:lineRule="auto"/>
      </w:pPr>
      <w:bookmarkStart w:id="769" w:name="bookmark768"/>
      <w:r>
        <w:t>Od „slavného praporu“</w:t>
      </w:r>
      <w:bookmarkEnd w:id="769"/>
    </w:p>
    <w:p w:rsidR="00500724" w:rsidRDefault="00F30FB8">
      <w:pPr>
        <w:pStyle w:val="Nadpis100"/>
        <w:shd w:val="clear" w:color="auto" w:fill="auto"/>
        <w:spacing w:after="60" w:line="218" w:lineRule="auto"/>
      </w:pPr>
      <w:bookmarkStart w:id="770" w:name="bookmark769"/>
      <w:r>
        <w:rPr>
          <w:lang w:val="en-US" w:eastAsia="en-US" w:bidi="en-US"/>
        </w:rPr>
        <w:t xml:space="preserve">k </w:t>
      </w:r>
      <w:r>
        <w:t>„fajfce tabáku“</w:t>
      </w:r>
      <w:bookmarkEnd w:id="770"/>
    </w:p>
    <w:p w:rsidR="00500724" w:rsidRDefault="00F30FB8">
      <w:pPr>
        <w:pStyle w:val="Zkladntext30"/>
        <w:shd w:val="clear" w:color="auto" w:fill="auto"/>
        <w:spacing w:after="60" w:line="223" w:lineRule="auto"/>
        <w:ind w:firstLine="280"/>
      </w:pPr>
      <w:r>
        <w:t>Na první srpnové dny připadá významné jubileum: je tomu právě šedesát let, co se dokonal přechod</w:t>
      </w:r>
      <w:r>
        <w:t xml:space="preserve"> české politiky v Rakousku od pasivity k aktivitě. »Vy- volejme dívku z Luthy, tož časy, které dávno po- minuly« (naši otcové přece milovali Ossiana) — za</w:t>
      </w:r>
      <w:r>
        <w:softHyphen/>
        <w:t>slouží si naší vzpomínky.</w:t>
      </w:r>
    </w:p>
    <w:p w:rsidR="00500724" w:rsidRDefault="00F30FB8">
      <w:pPr>
        <w:pStyle w:val="Zkladntext30"/>
        <w:shd w:val="clear" w:color="auto" w:fill="auto"/>
        <w:spacing w:after="60" w:line="202" w:lineRule="auto"/>
        <w:ind w:firstLine="280"/>
      </w:pPr>
      <w:r>
        <w:t>Nejprve stručné kalendárium oné rozhodující eta</w:t>
      </w:r>
      <w:r>
        <w:softHyphen/>
        <w:t>py. Na 28. a 30. června 187</w:t>
      </w:r>
      <w:r>
        <w:t>9 byly vypsány všeobecné volby do říšské rady. Mladočeši vystupovali rozhodně pro její obeslání, Eduard Grégr agitoval pro ně v účin</w:t>
      </w:r>
      <w:r>
        <w:softHyphen/>
        <w:t>né brožuře »Politické rozjímání před volbami do říš</w:t>
      </w:r>
      <w:r>
        <w:softHyphen/>
        <w:t>ské rady«. Staročeši se na veřejnosti vyslovovali ještě den před volbam</w:t>
      </w:r>
      <w:r>
        <w:t>i pro setrvání v pasivním odporu, vě</w:t>
      </w:r>
      <w:r>
        <w:softHyphen/>
        <w:t>dělo se však, že už navázáli jednání s Vídní, které by jim umožnilo přechod k aktivitě. Tato vyjednávání, vedená designovaným ministerským předsedou hrabě</w:t>
      </w:r>
      <w:r>
        <w:softHyphen/>
        <w:t>tem Taaffem, vedla k úspěchu v těch prvních srpno</w:t>
      </w:r>
      <w:r>
        <w:softHyphen/>
        <w:t>vých dnech, te</w:t>
      </w:r>
      <w:r>
        <w:t>ď právě před šedesáti lety. 12. srpna mohl už Taaffe sestavit svůj kabinet, v němž byl za Čechy zastoupen dr. Alois Pražák. 16. září slíbil mi</w:t>
      </w:r>
      <w:r>
        <w:softHyphen/>
        <w:t>nisterský předseda vyhovět Čechům v jejich dvou po</w:t>
      </w:r>
      <w:r>
        <w:softHyphen/>
        <w:t>žadavcích: slíbil jim rovnoprávnost v úřadech a přízni</w:t>
      </w:r>
      <w:r>
        <w:softHyphen/>
        <w:t>vější v</w:t>
      </w:r>
      <w:r>
        <w:t>olební řád do českého sněmu. 23. září uznal státoprávní klub český Taaffovy sliby za tak uspo</w:t>
      </w:r>
      <w:r>
        <w:softHyphen/>
        <w:t>kojivé, že se zdrcující většinou usnesl opustiti šestnáct let praktikovanou politiku pasivity. 7. října se čeští poslanci do jednoho objevili na zasedání vídeňské</w:t>
      </w:r>
      <w:r>
        <w:t>ho parlamentu — nový kurs, kurs aktivity byl zahájen.</w:t>
      </w:r>
    </w:p>
    <w:p w:rsidR="00500724" w:rsidRDefault="00F30FB8">
      <w:pPr>
        <w:pStyle w:val="Zkladntext30"/>
        <w:shd w:val="clear" w:color="auto" w:fill="auto"/>
        <w:spacing w:after="60" w:line="204" w:lineRule="auto"/>
        <w:ind w:firstLine="280"/>
      </w:pPr>
      <w:r>
        <w:t>Kolem tohoto rozhodnutí se před ním i po něm roz</w:t>
      </w:r>
      <w:r>
        <w:softHyphen/>
        <w:t>vinulo mnoho politických soubojů, novinářských kam</w:t>
      </w:r>
      <w:r>
        <w:softHyphen/>
        <w:t>paní a hospodských hádek. Ve starších dějinách na</w:t>
      </w:r>
      <w:r>
        <w:softHyphen/>
        <w:t>šeho parlamentarismu není druhého příkladu pro ta</w:t>
      </w:r>
      <w:r>
        <w:softHyphen/>
        <w:t>ko</w:t>
      </w:r>
      <w:r>
        <w:t>vé vzplanutí politických vášní, vybíjejících se ve vzájemném osočování a zrádcování, v němž nebylo místečka pro vzájemné pochopení. Tím spíše je dnes záhodno pokusit se tu být na všechny strany ob</w:t>
      </w:r>
      <w:r>
        <w:softHyphen/>
        <w:t>jektivní; vždyť objektivnosti potřebujeme teď vůbec víc než</w:t>
      </w:r>
      <w:r>
        <w:t xml:space="preserve"> kdy jindy.</w:t>
      </w:r>
    </w:p>
    <w:p w:rsidR="00500724" w:rsidRDefault="00F30FB8">
      <w:pPr>
        <w:pStyle w:val="Zkladntext30"/>
        <w:shd w:val="clear" w:color="auto" w:fill="auto"/>
        <w:spacing w:after="60" w:line="202" w:lineRule="auto"/>
        <w:ind w:firstLine="0"/>
        <w:jc w:val="center"/>
      </w:pPr>
      <w:r>
        <w:t>Dvě linie</w:t>
      </w:r>
    </w:p>
    <w:p w:rsidR="00500724" w:rsidRDefault="00F30FB8">
      <w:pPr>
        <w:pStyle w:val="Zkladntext30"/>
        <w:shd w:val="clear" w:color="auto" w:fill="auto"/>
        <w:spacing w:after="60" w:line="202" w:lineRule="auto"/>
        <w:ind w:firstLine="280"/>
      </w:pPr>
      <w:r>
        <w:t xml:space="preserve">Jména Hohenwart, Auersperg, Taaffe, Badeni, </w:t>
      </w:r>
      <w:r>
        <w:rPr>
          <w:lang w:val="en-US" w:eastAsia="en-US" w:bidi="en-US"/>
        </w:rPr>
        <w:t xml:space="preserve">Gautsch </w:t>
      </w:r>
      <w:r>
        <w:t>už nám dnes vlastně nic neříkají, ožívají ještě nejspíš při maturitách, kde jsou nepřehledné změny vídeňských kabinetů postrachem i nejpilněj</w:t>
      </w:r>
      <w:r>
        <w:softHyphen/>
      </w:r>
      <w:r>
        <w:t xml:space="preserve">ších Fridolínů. Na české straně jsou jména Clam- -Martinic, Skrejšovský, Zeithammer, Klaudy, Eim, Trojan, </w:t>
      </w:r>
      <w:r>
        <w:rPr>
          <w:lang w:val="en-US" w:eastAsia="en-US" w:bidi="en-US"/>
        </w:rPr>
        <w:t xml:space="preserve">Engel </w:t>
      </w:r>
      <w:r>
        <w:t xml:space="preserve">také už skoro jen </w:t>
      </w:r>
      <w:r>
        <w:rPr>
          <w:lang w:val="en-US" w:eastAsia="en-US" w:bidi="en-US"/>
        </w:rPr>
        <w:t xml:space="preserve">flatus </w:t>
      </w:r>
      <w:r>
        <w:t>vocis. A nad jejich zápasy se dávno zavřel hrob zapomenutí — při této jubilejní příležitosti se chceme pokusit o jejich</w:t>
      </w:r>
      <w:r>
        <w:t xml:space="preserve"> exhumaci.</w:t>
      </w:r>
    </w:p>
    <w:p w:rsidR="00500724" w:rsidRDefault="00F30FB8">
      <w:pPr>
        <w:pStyle w:val="Zkladntext30"/>
        <w:shd w:val="clear" w:color="auto" w:fill="auto"/>
        <w:spacing w:after="0" w:line="206" w:lineRule="auto"/>
        <w:ind w:firstLine="280"/>
      </w:pPr>
      <w:r>
        <w:t>Jejich zápasy se netočily vždy kolem otázky: pasi</w:t>
      </w:r>
      <w:r>
        <w:softHyphen/>
        <w:t>vita nebo aktivita. Byly doby, kdy nikdo v českém ná</w:t>
      </w:r>
      <w:r>
        <w:softHyphen/>
        <w:t>rodě nepochyboval o jediné možnosti, účelnosti a čest</w:t>
      </w:r>
      <w:r>
        <w:softHyphen/>
        <w:t>nosti pasivní oposice. Když vídeňská vláda prováděla, politiku, která — podle slov památ</w:t>
      </w:r>
      <w:r>
        <w:t>né Deklarace z 22. srpna 1868 — »nemůže vésti než k hmotné záhubě království českého, k úplnému zrušení a k potlačení jeho odvěké zvláštní, ve financích úplné autonomie, ba konečně následkem toho k podmanění národnosti českoslovanské pod vládu živlů cizích</w:t>
      </w:r>
      <w:r>
        <w:t>«; když — jak prohlásil dr. Sladkovský na českém sněmu v březnu 1863 — »v národě našem utvrdilo se mínění, že tato země má býti pouhou kolonií«; když — jak psali čeští vlastenci v roce 1861 — »národ po trpkých zkuše</w:t>
      </w:r>
      <w:r>
        <w:softHyphen/>
        <w:t>nostech neočekává spravedlnosti již od n</w:t>
      </w:r>
      <w:r>
        <w:t>ikoho jiného než od sebe«; když nad Prahou vyhlášen výjimečný stav, tisková, shromažďovací, spolčovací svoboda fak</w:t>
      </w:r>
      <w:r>
        <w:softHyphen/>
        <w:t>ticky zrušena a na českém místodržitelství oživeny windischgrátzovské tradice: tu nebylo nikoho v čes</w:t>
      </w:r>
      <w:r>
        <w:softHyphen/>
        <w:t>kém národě, kdo by byl chtěl jiti jinou</w:t>
      </w:r>
      <w:r>
        <w:t xml:space="preserve"> cestou než cestou pasivity.</w:t>
      </w:r>
    </w:p>
    <w:p w:rsidR="00500724" w:rsidRDefault="00F30FB8">
      <w:pPr>
        <w:pStyle w:val="Zkladntext30"/>
        <w:shd w:val="clear" w:color="auto" w:fill="auto"/>
        <w:spacing w:after="0" w:line="202" w:lineRule="auto"/>
        <w:ind w:firstLine="240"/>
      </w:pPr>
      <w:r>
        <w:t>Další vývoj názory postupně různil. Dnes už není proč sledovat jej v jeho jednotlivých etapách; mno</w:t>
      </w:r>
      <w:r>
        <w:softHyphen/>
        <w:t>hem poučnější je vypreparovat jeho celkové tendence a prohlédnout si jejich hlavní nositele, i když se při ta</w:t>
      </w:r>
      <w:r>
        <w:softHyphen/>
        <w:t>kovém pohledu ztr</w:t>
      </w:r>
      <w:r>
        <w:t>atí jemnější nuance. Pak můžeme zhruba říci, že v dobách, kdy se stanulo na rozcestí, byli představitelé pasivní oposice Staročeši, kdežto Mladočeši byli hlasateli politiky aktivistické.</w:t>
      </w:r>
    </w:p>
    <w:p w:rsidR="00500724" w:rsidRDefault="00F30FB8">
      <w:pPr>
        <w:pStyle w:val="Zkladntext30"/>
        <w:shd w:val="clear" w:color="auto" w:fill="auto"/>
        <w:spacing w:after="0" w:line="202" w:lineRule="auto"/>
        <w:ind w:firstLine="240"/>
      </w:pPr>
      <w:r>
        <w:t>Palladiem Staročechů bylo »nezadatelné« historic</w:t>
      </w:r>
      <w:r>
        <w:softHyphen/>
        <w:t>ké státní právo král</w:t>
      </w:r>
      <w:r>
        <w:t>ovství českého a celé koruny svatováclavské, sledované od kapitulací Ferdinada I, z roku 1526 přes konfirmaci privilejí Ferdinandem II, z roku 1627 a pragmatickou sankci Karla VI. až k říjnovému diplomu Františka Josefa I. z roku 1860, Toto právo bylo zákl</w:t>
      </w:r>
      <w:r>
        <w:t>adem zvláštního státoprávního poměru zemí koruny české v rámci habsburské říše a nemohlo býti »podle podstaty dvoustranného po</w:t>
      </w:r>
      <w:r>
        <w:softHyphen/>
        <w:t>měru právního, spočívajícího na obapolné úmluvě« se</w:t>
      </w:r>
      <w:r>
        <w:softHyphen/>
        <w:t xml:space="preserve">shora jednostranně měněno a rušeno. Historické státní právo české bylo alfou </w:t>
      </w:r>
      <w:r>
        <w:t>a omegou politické koncepce Staročechů; to byl jejich »slavný, neposkvrněný pra</w:t>
      </w:r>
      <w:r>
        <w:softHyphen/>
        <w:t>pore, k němu měl národ věrně stát »až do těch hrdel a statků«, všechno ostatní mu mělo být pak, jednou, později přidáno jaksi samo sebou.</w:t>
      </w:r>
    </w:p>
    <w:p w:rsidR="00500724" w:rsidRDefault="00F30FB8">
      <w:pPr>
        <w:pStyle w:val="Zkladntext30"/>
        <w:shd w:val="clear" w:color="auto" w:fill="auto"/>
        <w:spacing w:after="0" w:line="204" w:lineRule="auto"/>
        <w:ind w:firstLine="240"/>
      </w:pPr>
      <w:r>
        <w:t xml:space="preserve">Postupem času a hromaděním zkušeností </w:t>
      </w:r>
      <w:r>
        <w:t>se v části národa vykrystalisoval názor, že toto staročeské »nej- prve« a »potom« je mystické, nesprávné a dokonce podezřelé; že je ilusorní chtít dříve prosadit uznání celku českého státního práva a odsunout na pozdější, bůhví jak pozdější dobu prosazován</w:t>
      </w:r>
      <w:r>
        <w:t>í jednotlivých ná</w:t>
      </w:r>
      <w:r>
        <w:softHyphen/>
        <w:t>rodních práv; že úspěšná cesta může vésti jen naopak přes řadu drobných zápasů za rozšíření politických práv českého národa až k závěrečnému vítězství jeho státní myšlenky.</w:t>
      </w:r>
    </w:p>
    <w:p w:rsidR="00500724" w:rsidRDefault="00F30FB8">
      <w:pPr>
        <w:pStyle w:val="Zkladntext30"/>
        <w:shd w:val="clear" w:color="auto" w:fill="auto"/>
        <w:spacing w:after="120" w:line="206" w:lineRule="auto"/>
        <w:ind w:firstLine="240"/>
      </w:pPr>
      <w:r>
        <w:t>Vývoj dal za pravdu těm, kdo sami chtěli jít s vý</w:t>
      </w:r>
      <w:r>
        <w:softHyphen/>
        <w:t>vojem, dal v to</w:t>
      </w:r>
      <w:r>
        <w:t>mto bodě za pravdu Mladočechům proti Staročechům. Historik však proto ještě nezapomene na to, že v koloběhu času narazil i aktivistický kurs na odpor v našem národě, jaký o něco dříve vyvolala politika pasivity. A kde se tak hlasitě ozvala nespoko</w:t>
      </w:r>
      <w:r>
        <w:softHyphen/>
        <w:t>jenost a</w:t>
      </w:r>
      <w:r>
        <w:t xml:space="preserve"> rozhořčení, je jen spravedlivo se ptát po jeho příčinách a po jeho oprávněnosti v obojím případě. Dnes, kdy máme od těch dob dostatečný časový od</w:t>
      </w:r>
      <w:r>
        <w:softHyphen/>
        <w:t>stup a kdy to nejlepší, co můžeme dělat, je učit se z chyb vlastní minulosti, stojí za to pokusit se o kri</w:t>
      </w:r>
      <w:r>
        <w:softHyphen/>
        <w:t>ti</w:t>
      </w:r>
      <w:r>
        <w:t>cké zhodnocení obojí linie staré české politiky, akti</w:t>
      </w:r>
      <w:r>
        <w:softHyphen/>
        <w:t>vistické i pasivní.</w:t>
      </w:r>
    </w:p>
    <w:p w:rsidR="00500724" w:rsidRDefault="00F30FB8">
      <w:pPr>
        <w:pStyle w:val="Zkladntext30"/>
        <w:shd w:val="clear" w:color="auto" w:fill="auto"/>
        <w:spacing w:after="80" w:line="202" w:lineRule="auto"/>
        <w:ind w:firstLine="0"/>
        <w:jc w:val="center"/>
      </w:pPr>
      <w:r>
        <w:t>Tragická kolise</w:t>
      </w:r>
    </w:p>
    <w:p w:rsidR="00500724" w:rsidRDefault="00F30FB8">
      <w:pPr>
        <w:pStyle w:val="Zkladntext30"/>
        <w:shd w:val="clear" w:color="auto" w:fill="auto"/>
        <w:spacing w:line="202" w:lineRule="auto"/>
      </w:pPr>
      <w:r>
        <w:t>Její nejhlubší jádro vystihl snad nejjasněji Franti</w:t>
      </w:r>
      <w:r>
        <w:softHyphen/>
        <w:t xml:space="preserve">šek Ladislav </w:t>
      </w:r>
      <w:r>
        <w:rPr>
          <w:lang w:val="en-US" w:eastAsia="en-US" w:bidi="en-US"/>
        </w:rPr>
        <w:t xml:space="preserve">Rieger </w:t>
      </w:r>
      <w:r>
        <w:t>v jedné z osudových chvil našeho národa.</w:t>
      </w:r>
    </w:p>
    <w:p w:rsidR="00500724" w:rsidRDefault="00F30FB8">
      <w:pPr>
        <w:pStyle w:val="Zkladntext30"/>
        <w:shd w:val="clear" w:color="auto" w:fill="auto"/>
        <w:spacing w:line="204" w:lineRule="auto"/>
      </w:pPr>
      <w:r>
        <w:t>To bylo v těch dnech, kdy císařská vláda přijala cars</w:t>
      </w:r>
      <w:r>
        <w:t>kou pomoc proti maďarské revoluci; kdy na přání carských generálů daly rakouské úřady zastavit čes</w:t>
      </w:r>
      <w:r>
        <w:softHyphen/>
        <w:t>ké noviny; kdy svobodomyslná Evropa byla pobouře</w:t>
      </w:r>
      <w:r>
        <w:softHyphen/>
        <w:t>na nad nelidským postupem spojené reakce proti Kossuthovu Maďarsku a kdy se v Cechách řítily iluse o příštím</w:t>
      </w:r>
      <w:r>
        <w:t xml:space="preserve"> »slovanském Rakousku«. Tehdy psal </w:t>
      </w:r>
      <w:r>
        <w:rPr>
          <w:lang w:val="en-US" w:eastAsia="en-US" w:bidi="en-US"/>
        </w:rPr>
        <w:t xml:space="preserve">Rieger </w:t>
      </w:r>
      <w:r>
        <w:t>domů ze svého dobrovolného pařížského vyhnanství:</w:t>
      </w:r>
    </w:p>
    <w:p w:rsidR="00500724" w:rsidRDefault="00F30FB8">
      <w:pPr>
        <w:pStyle w:val="Zkladntext30"/>
        <w:shd w:val="clear" w:color="auto" w:fill="auto"/>
        <w:spacing w:line="178" w:lineRule="auto"/>
        <w:rPr>
          <w:sz w:val="20"/>
          <w:szCs w:val="20"/>
        </w:rPr>
      </w:pPr>
      <w:r>
        <w:rPr>
          <w:sz w:val="20"/>
          <w:szCs w:val="20"/>
        </w:rPr>
        <w:t>»Není snad pro žádný jiný národ na světě postavení po</w:t>
      </w:r>
      <w:r>
        <w:rPr>
          <w:sz w:val="20"/>
          <w:szCs w:val="20"/>
        </w:rPr>
        <w:softHyphen/>
        <w:t xml:space="preserve">litické tak zapletené, nejasné a obtížné jako pro nás Čechy, kdežto se interesy svobody a interesy národnosti </w:t>
      </w:r>
      <w:r>
        <w:rPr>
          <w:sz w:val="20"/>
          <w:szCs w:val="20"/>
        </w:rPr>
        <w:t>a bratr</w:t>
      </w:r>
      <w:r>
        <w:rPr>
          <w:sz w:val="20"/>
          <w:szCs w:val="20"/>
        </w:rPr>
        <w:softHyphen/>
        <w:t>ství národního tak mocně zpírají. Jest tu stav náš jako bojovníka v nočním boji, kdežto neví od koho rány smrtel</w:t>
      </w:r>
      <w:r>
        <w:rPr>
          <w:sz w:val="20"/>
          <w:szCs w:val="20"/>
        </w:rPr>
        <w:softHyphen/>
        <w:t>né dostává a na koho udeřiti má, chce-li se zachovati. Jest! to kolise povinností v pravdě tragická.«</w:t>
      </w:r>
    </w:p>
    <w:p w:rsidR="00500724" w:rsidRDefault="00F30FB8">
      <w:pPr>
        <w:pStyle w:val="Zkladntext30"/>
        <w:shd w:val="clear" w:color="auto" w:fill="auto"/>
        <w:spacing w:line="202" w:lineRule="auto"/>
      </w:pPr>
      <w:r>
        <w:t>Ano, a nebylo to jenom tenkrát. P</w:t>
      </w:r>
      <w:r>
        <w:t>o celá desítiletí byla rozhodující politická většina rakouských Němců liberalistická a centralistická. Liberalistická, to zna</w:t>
      </w:r>
      <w:r>
        <w:softHyphen/>
        <w:t>menalo: šla s duchem nové Evropy proti rozpadáva</w:t>
      </w:r>
      <w:r>
        <w:softHyphen/>
        <w:t>jícím se zbytkům hospodářství a moci feudalismu. A byla centralistická: nepřála Č</w:t>
      </w:r>
      <w:r>
        <w:t>echům ani autonomii a ústy svých poslanců hlásala, že »není v celém Ra</w:t>
      </w:r>
      <w:r>
        <w:softHyphen/>
        <w:t>kousku žádného Němce, který by české státní právo neprohlásil za velezradu«. Statečný národ, jehož celá minulost jej poutala k silám evropského pokroku; malý národ, jehož celá lepší bud</w:t>
      </w:r>
      <w:r>
        <w:t>oucnost závisela na osudu progresivních složek světového vývoje: ten ná</w:t>
      </w:r>
      <w:r>
        <w:softHyphen/>
        <w:t>rod se z obav o svoji nejskromnější existenci octl ve vleku nejuvědomělejší reakce na kontinentu ... Jaká situace! Zdálo se, že v boji o holý život musí ničit předpoklady svého lepšího</w:t>
      </w:r>
      <w:r>
        <w:t>, svobodnějšího příští.</w:t>
      </w:r>
    </w:p>
    <w:p w:rsidR="00500724" w:rsidRDefault="00F30FB8">
      <w:pPr>
        <w:pStyle w:val="Zkladntext30"/>
        <w:shd w:val="clear" w:color="auto" w:fill="auto"/>
        <w:spacing w:after="120" w:line="202" w:lineRule="auto"/>
      </w:pPr>
      <w:r>
        <w:t>Z d á 1 o se. Nejautoritativnější vůdcové národa byli G tom v kritických dobách skálopevně přesvědčeni a utvrzovali toto přesvědčení v národě i tehdy, když se v něm už objevily pochyby o tom, zda pro českou po</w:t>
      </w:r>
      <w:r>
        <w:softHyphen/>
        <w:t>litiku opravdu neexist</w:t>
      </w:r>
      <w:r>
        <w:t>ovaly možnosti žádné jiné takti</w:t>
      </w:r>
      <w:r>
        <w:softHyphen/>
        <w:t>ky než byla taktika z nešťastného roku 1848.</w:t>
      </w:r>
    </w:p>
    <w:p w:rsidR="00500724" w:rsidRDefault="00F30FB8">
      <w:pPr>
        <w:pStyle w:val="Zkladntext30"/>
        <w:shd w:val="clear" w:color="auto" w:fill="auto"/>
        <w:spacing w:after="80" w:line="202" w:lineRule="auto"/>
        <w:ind w:firstLine="0"/>
        <w:jc w:val="center"/>
      </w:pPr>
      <w:r>
        <w:t>Naštítěaza štítem</w:t>
      </w:r>
    </w:p>
    <w:p w:rsidR="00500724" w:rsidRDefault="00F30FB8">
      <w:pPr>
        <w:pStyle w:val="Zkladntext30"/>
        <w:shd w:val="clear" w:color="auto" w:fill="auto"/>
        <w:spacing w:line="202" w:lineRule="auto"/>
      </w:pPr>
      <w:r>
        <w:t xml:space="preserve">V dějepisectví přestává naivnost tam, kde se epoše přestává věřit na slovo; kde se nedáme okouzlovat hrou na jevišti, nýbrž kde chceme nahlédnout i do zákulisí; </w:t>
      </w:r>
      <w:r>
        <w:t>kde se nedáváme oslnit hlásanými ideály, nýbrž chceme podrobiti zkoušce motivy těch, kdo je hlásají. Na svoje štíty napsalo lidstvo už mnoho krásných hesel: historik si však zasluhuje svého jmé</w:t>
      </w:r>
      <w:r>
        <w:softHyphen/>
        <w:t>na teprve tehdy, když se odváží nahlédnout za tyto štíty.</w:t>
      </w:r>
    </w:p>
    <w:p w:rsidR="00500724" w:rsidRDefault="00F30FB8">
      <w:pPr>
        <w:pStyle w:val="Zkladntext30"/>
        <w:shd w:val="clear" w:color="auto" w:fill="auto"/>
        <w:spacing w:line="202" w:lineRule="auto"/>
      </w:pPr>
      <w:r>
        <w:t>Štít</w:t>
      </w:r>
      <w:r>
        <w:t xml:space="preserve"> Staročechů nebyl horší než jiné štíty. Histo</w:t>
      </w:r>
      <w:r>
        <w:softHyphen/>
        <w:t xml:space="preserve">rické státní právo české bylo skvělým heslem a nade všechny pochybnosti oprávněným požadavkem. Tak, jak byl vepsán na štít, nebylo niu co vytknout; byla v něm vůle národa a politika Palackého a Riegrova byla v </w:t>
      </w:r>
      <w:r>
        <w:t>tomto smyslu dlouho jediným jejím výstižným projevem. Navazovat na minulost v boji o budoucnost národa: to bylo jejím výtečným principem. Ale v pra</w:t>
      </w:r>
      <w:r>
        <w:softHyphen/>
        <w:t>xi — v praxi to až příliš často znamenalo tarasení cesty k lepší budoucnosti balastem minulosti dávno přežil</w:t>
      </w:r>
      <w:r>
        <w:t>é. Ernest Denis právem chválil ve své kondo</w:t>
      </w:r>
      <w:r>
        <w:softHyphen/>
        <w:t>lenci k Riegrovu úmrtí ducha generace našich osmačtyřicátníků, »plného šlechetnosti a odvahy, vy</w:t>
      </w:r>
      <w:r>
        <w:softHyphen/>
        <w:t>trvalosti a dobroty, spravedlnosti a obětavosti, ducha, který v sobě spojoval oddanost k vlasti s láskou k lid- stv</w:t>
      </w:r>
      <w:r>
        <w:t>u«; a přece je nutno dokreslit tuto chválu stinnými rysy zaslepenosti a úzkoprsosti, jichž mohla reakce stále znova využívat ve svůj prospěch a k naší škodě.</w:t>
      </w:r>
    </w:p>
    <w:p w:rsidR="00500724" w:rsidRDefault="00F30FB8">
      <w:pPr>
        <w:pStyle w:val="Zkladntext30"/>
        <w:shd w:val="clear" w:color="auto" w:fill="auto"/>
        <w:spacing w:line="202" w:lineRule="auto"/>
        <w:ind w:firstLine="240"/>
      </w:pPr>
      <w:r>
        <w:t xml:space="preserve">Někteří čeští konservativní šlechtici dovedli najít krásná slova o tom, co bylo národu nejdražší, </w:t>
      </w:r>
      <w:r>
        <w:t>a říkati jako Bedřich ze Schwarzenberka: »Nedokážu toho ni</w:t>
      </w:r>
      <w:r>
        <w:softHyphen/>
        <w:t>kdy, abych korunu českou nepovažoval za drahocen</w:t>
      </w:r>
      <w:r>
        <w:softHyphen/>
        <w:t>ný, posvátný poklad, nýbrž za pouhou historickou zvláštnost, která by se v některé sbírce starožitností uschovati měla.« Takové výroky se skvěle odr</w:t>
      </w:r>
      <w:r>
        <w:t>ážely na pozadí málo taktních projevů německých liberálů, vyjadřujících se s despektem o »mystickém vynálezu nového věku, tak zvané koruně české, domnělé ko</w:t>
      </w:r>
      <w:r>
        <w:softHyphen/>
        <w:t>runě sv. Václava, jako on by byl někdy nosil korunu královskou, jako by koruna královská nebyla v Č</w:t>
      </w:r>
      <w:r>
        <w:t>e</w:t>
      </w:r>
      <w:r>
        <w:softHyphen/>
        <w:t>chách dědičně pořízena teprve roku 1215, v době, kdy po sv. Václavu zůstávala sotva kostra«. A přece to bylo »opravdu neštěstím pro českou věc« — jak kon</w:t>
      </w:r>
      <w:r>
        <w:softHyphen/>
        <w:t xml:space="preserve">statoval Karel Kramář — »že se </w:t>
      </w:r>
      <w:r>
        <w:rPr>
          <w:lang w:val="en-US" w:eastAsia="en-US" w:bidi="en-US"/>
        </w:rPr>
        <w:t xml:space="preserve">Rieger </w:t>
      </w:r>
      <w:r>
        <w:t>a Palacký se šlechtou dorozuměli«.</w:t>
      </w:r>
    </w:p>
    <w:p w:rsidR="00500724" w:rsidRDefault="00F30FB8">
      <w:pPr>
        <w:pStyle w:val="Zkladntext30"/>
        <w:shd w:val="clear" w:color="auto" w:fill="auto"/>
        <w:spacing w:line="202" w:lineRule="auto"/>
        <w:ind w:firstLine="240"/>
      </w:pPr>
      <w:r>
        <w:t xml:space="preserve">Bylo to neštěstím a nebylo </w:t>
      </w:r>
      <w:r>
        <w:t xml:space="preserve">to náhodou: spojit se s feudálně smýšlející šlechtou, s církevní hierarchií a nakonec až i s tyroláckým ultramontanisniem bylo v politické praxi dost přirozeným řešením oné Riegro- vy »tragické kolise« pro lidi, kteří — jako právě </w:t>
      </w:r>
      <w:r>
        <w:rPr>
          <w:lang w:val="en-US" w:eastAsia="en-US" w:bidi="en-US"/>
        </w:rPr>
        <w:t xml:space="preserve">Rieger </w:t>
      </w:r>
      <w:r>
        <w:t>sám — se s rostouc</w:t>
      </w:r>
      <w:r>
        <w:t xml:space="preserve">ím neklidem rozhlíželi po Evropě, kde všude už »ta židovsko-liberální klika pod firmou zednářství a svobody nyní vládne«; a kteří —- jako zase </w:t>
      </w:r>
      <w:r>
        <w:rPr>
          <w:lang w:val="en-US" w:eastAsia="en-US" w:bidi="en-US"/>
        </w:rPr>
        <w:t xml:space="preserve">Rieger </w:t>
      </w:r>
      <w:r>
        <w:t>— si velice přáli takových kněží, kteří by mohli »teď lid zmoralisovat — a my máme s lidem pořád co dělat,</w:t>
      </w:r>
      <w:r>
        <w:t xml:space="preserve"> beztoho se to bezbožství </w:t>
      </w:r>
      <w:r>
        <w:rPr>
          <w:b/>
          <w:bCs/>
          <w:sz w:val="26"/>
          <w:szCs w:val="26"/>
        </w:rPr>
        <w:t xml:space="preserve">a </w:t>
      </w:r>
      <w:r>
        <w:t>so</w:t>
      </w:r>
      <w:r>
        <w:softHyphen/>
        <w:t>cialismus již také i mezi dělnictvo rolnické dostává.«</w:t>
      </w:r>
    </w:p>
    <w:p w:rsidR="00500724" w:rsidRDefault="00F30FB8">
      <w:pPr>
        <w:pStyle w:val="Zkladntext30"/>
        <w:shd w:val="clear" w:color="auto" w:fill="auto"/>
        <w:spacing w:line="202" w:lineRule="auto"/>
        <w:ind w:firstLine="240"/>
      </w:pPr>
      <w:r>
        <w:t>Staročeské »nejprve — později«, jak jsme o něm už mluvili, se mohlo zdát dost logické. Ale skutečná lo</w:t>
      </w:r>
      <w:r>
        <w:softHyphen/>
        <w:t>gika zájmů, skrytých za tímto parádním štítem, se ob</w:t>
      </w:r>
      <w:r>
        <w:softHyphen/>
        <w:t xml:space="preserve">jevila tehdy, </w:t>
      </w:r>
      <w:r>
        <w:t>když se Staročeši sami postavili proti bezodkladnému provedení některých z těch politických vymožeností, které byly obsaženy v jejich vlastním »později« — jak aspoň byly přesvědčeny ši</w:t>
      </w:r>
      <w:r>
        <w:softHyphen/>
        <w:t>roké vrstvy národa. Tak tomu bylo zejména se vše</w:t>
      </w:r>
      <w:r>
        <w:softHyphen/>
        <w:t>obecným hlasovacím prá</w:t>
      </w:r>
      <w:r>
        <w:t xml:space="preserve">vem, které </w:t>
      </w:r>
      <w:r>
        <w:rPr>
          <w:lang w:val="en-US" w:eastAsia="en-US" w:bidi="en-US"/>
        </w:rPr>
        <w:t xml:space="preserve">Rieger </w:t>
      </w:r>
      <w:r>
        <w:t>odmítal jako »od Němců vypůjčené« a jehož se obával proto, že odstraňovalo stavovské zastoupení a dávalo veliké šance demokratům i socialistům. Pak už bylo dost snadno vidět, co bylo skutečným smyslem taktiky »nejprve — pozdě ji«.</w:t>
      </w:r>
    </w:p>
    <w:p w:rsidR="00500724" w:rsidRDefault="00F30FB8">
      <w:pPr>
        <w:pStyle w:val="Zkladntext30"/>
        <w:shd w:val="clear" w:color="auto" w:fill="auto"/>
        <w:spacing w:after="120" w:line="204" w:lineRule="auto"/>
        <w:ind w:firstLine="240"/>
      </w:pPr>
      <w:r>
        <w:t>A vystř</w:t>
      </w:r>
      <w:r>
        <w:t>ízlivění v národě bylo úplné, jakmile se ukázalo, že staročeští vůdcové, kteří tak dlouho hlá</w:t>
      </w:r>
      <w:r>
        <w:softHyphen/>
        <w:t>sali samospasitelnost stoprocentní pasivity, ji odvrhli ve chvíli, kdy ji ze svých důvodů opustila šlechta. Tehdy národ prohlédl, že to, co mu bylo hlásáno jako c</w:t>
      </w:r>
      <w:r>
        <w:t>íl v budoucnosti, sloužilo vůdcům také jako prostře</w:t>
      </w:r>
      <w:r>
        <w:softHyphen/>
        <w:t>dek v přítomnosti — pro cíle, k nimž se ovšem netrou</w:t>
      </w:r>
      <w:r>
        <w:softHyphen/>
        <w:t>fali veřejně se přiznat. Také jako tento prostředek, sluší se zdůraznit; ale ty, kdo jednou nahlédnou za štít, bývá těžko přesvědčit, že slova na štítě</w:t>
      </w:r>
      <w:r>
        <w:t xml:space="preserve"> byla mí</w:t>
      </w:r>
      <w:r>
        <w:softHyphen/>
        <w:t>něna upřímně a vážně, i když tomu tak opravdu bylo. Neboť pak je mrtva důvěra a důvěra je v politice vším.</w:t>
      </w:r>
    </w:p>
    <w:p w:rsidR="00500724" w:rsidRDefault="00F30FB8">
      <w:pPr>
        <w:pStyle w:val="Zkladntext30"/>
        <w:shd w:val="clear" w:color="auto" w:fill="auto"/>
        <w:spacing w:after="80" w:line="202" w:lineRule="auto"/>
        <w:ind w:firstLine="0"/>
        <w:jc w:val="center"/>
      </w:pPr>
      <w:r>
        <w:t>Všeobecné zklamání</w:t>
      </w:r>
    </w:p>
    <w:p w:rsidR="00500724" w:rsidRDefault="00F30FB8">
      <w:pPr>
        <w:pStyle w:val="Zkladntext30"/>
        <w:shd w:val="clear" w:color="auto" w:fill="auto"/>
        <w:spacing w:after="80" w:line="202" w:lineRule="auto"/>
        <w:ind w:firstLine="280"/>
      </w:pPr>
      <w:r>
        <w:t xml:space="preserve">Pak mohl Julius Grégr říci o »nezadatelném, slav- ném« historickém státním právu českém, že »nestojí za fajfku tabáku« — </w:t>
      </w:r>
      <w:r>
        <w:t>a národ nesmetl prostořekého rouhače, nýbrž dával mu celkem za pravdu. »Zářivý lesk a rozněcující kouzlo programu státoprávního«, jak o něm ve své staročeské éře mluvil dr. J. Kaizl, se valně otřelo mnohaletým omíláním ve frázích mono</w:t>
      </w:r>
      <w:r>
        <w:softHyphen/>
        <w:t>tónních úvodníků. Lid</w:t>
      </w:r>
      <w:r>
        <w:t xml:space="preserve">em se začalo zdát, že historické právo je patrně jediné, jehož se pro svoje cíle může dovolávat česká šlechta; ale šestimilionový národ, mysleli teď, má přece též prostě přirozené právo na plný, státní život. Staročeští vůdcové se sami postarali </w:t>
      </w:r>
      <w:r>
        <w:rPr>
          <w:b/>
          <w:bCs/>
          <w:sz w:val="26"/>
          <w:szCs w:val="26"/>
        </w:rPr>
        <w:t xml:space="preserve">o </w:t>
      </w:r>
      <w:r>
        <w:t xml:space="preserve">to, aby </w:t>
      </w:r>
      <w:r>
        <w:t>pasivita nakonec vypadala jako truc, truc hodně směšný a málo účinný. Po šestnácti letech za</w:t>
      </w:r>
      <w:r>
        <w:softHyphen/>
        <w:t>čal národ přitakávat mladočeským argumentům pro přechod do aktivity.</w:t>
      </w:r>
    </w:p>
    <w:p w:rsidR="00500724" w:rsidRDefault="00F30FB8">
      <w:pPr>
        <w:pStyle w:val="Zkladntext30"/>
        <w:shd w:val="clear" w:color="auto" w:fill="auto"/>
        <w:spacing w:line="175" w:lineRule="auto"/>
        <w:ind w:firstLine="300"/>
        <w:rPr>
          <w:sz w:val="20"/>
          <w:szCs w:val="20"/>
        </w:rPr>
      </w:pPr>
      <w:r>
        <w:rPr>
          <w:sz w:val="20"/>
          <w:szCs w:val="20"/>
        </w:rPr>
        <w:t xml:space="preserve">»Nuže tedy — psal Eduard Grégr ve své předvolební brožuře z r. 1879, o níž jsme se už zmínili </w:t>
      </w:r>
      <w:r>
        <w:rPr>
          <w:sz w:val="20"/>
          <w:szCs w:val="20"/>
        </w:rPr>
        <w:t>— když ani od vlády, ani od panujících politických stran, ani od zahra</w:t>
      </w:r>
      <w:r>
        <w:rPr>
          <w:sz w:val="20"/>
          <w:szCs w:val="20"/>
        </w:rPr>
        <w:softHyphen/>
        <w:t>ničních událostí nelze očekávati takových změn nynější ústavy, jakých by nevyhnutelně zapotřebí bylo, aby histo</w:t>
      </w:r>
      <w:r>
        <w:rPr>
          <w:sz w:val="20"/>
          <w:szCs w:val="20"/>
        </w:rPr>
        <w:softHyphen/>
        <w:t>rické a státní právo naše přišlo k platnosti, kdo nám ještě zbývá?</w:t>
      </w:r>
    </w:p>
    <w:p w:rsidR="00500724" w:rsidRDefault="00F30FB8">
      <w:pPr>
        <w:pStyle w:val="Zkladntext30"/>
        <w:shd w:val="clear" w:color="auto" w:fill="auto"/>
        <w:spacing w:line="223" w:lineRule="auto"/>
        <w:ind w:firstLine="280"/>
        <w:rPr>
          <w:sz w:val="20"/>
          <w:szCs w:val="20"/>
        </w:rPr>
      </w:pPr>
      <w:r>
        <w:rPr>
          <w:sz w:val="20"/>
          <w:szCs w:val="20"/>
        </w:rPr>
        <w:t>Patrně</w:t>
      </w:r>
      <w:r>
        <w:rPr>
          <w:sz w:val="20"/>
          <w:szCs w:val="20"/>
        </w:rPr>
        <w:t xml:space="preserve"> nikdo jiný než my sami.</w:t>
      </w:r>
    </w:p>
    <w:p w:rsidR="00500724" w:rsidRDefault="00F30FB8">
      <w:pPr>
        <w:pStyle w:val="Zkladntext30"/>
        <w:shd w:val="clear" w:color="auto" w:fill="auto"/>
        <w:spacing w:line="178" w:lineRule="auto"/>
        <w:ind w:firstLine="300"/>
        <w:rPr>
          <w:sz w:val="20"/>
          <w:szCs w:val="20"/>
        </w:rPr>
      </w:pPr>
      <w:r>
        <w:rPr>
          <w:sz w:val="20"/>
          <w:szCs w:val="20"/>
        </w:rPr>
        <w:t>Ano, my sami, národ český musí si vydobýti opět po</w:t>
      </w:r>
      <w:r>
        <w:rPr>
          <w:sz w:val="20"/>
          <w:szCs w:val="20"/>
        </w:rPr>
        <w:softHyphen/>
        <w:t>stavení, jaké mu podle historického a státního práva, jaké mu ale též podle věčně platného a nezadatelného práva přirozeného patří, — právo sebeurčení, svéprávnosti a samostatnosti</w:t>
      </w:r>
      <w:r>
        <w:rPr>
          <w:sz w:val="20"/>
          <w:szCs w:val="20"/>
        </w:rPr>
        <w:t>.</w:t>
      </w:r>
    </w:p>
    <w:p w:rsidR="00500724" w:rsidRDefault="00F30FB8">
      <w:pPr>
        <w:pStyle w:val="Zkladntext30"/>
        <w:shd w:val="clear" w:color="auto" w:fill="auto"/>
        <w:spacing w:line="175" w:lineRule="auto"/>
        <w:ind w:firstLine="300"/>
        <w:rPr>
          <w:sz w:val="20"/>
          <w:szCs w:val="20"/>
        </w:rPr>
      </w:pPr>
      <w:r>
        <w:rPr>
          <w:sz w:val="20"/>
          <w:szCs w:val="20"/>
        </w:rPr>
        <w:t>Když jsme tedy dokázali, že obesláním rady říšské ani jedinému zájmu národa českého se uškoditi nemůže, když jsme dále dokázali, že nynější ústava podle požadavků historického a státního práva našeho jinak měniti se nedá než na říšské radě... — co tedy p</w:t>
      </w:r>
      <w:r>
        <w:rPr>
          <w:sz w:val="20"/>
          <w:szCs w:val="20"/>
        </w:rPr>
        <w:t>robůh! zbývá jiného než obeslat říšskou radu.«</w:t>
      </w:r>
    </w:p>
    <w:p w:rsidR="00500724" w:rsidRDefault="00F30FB8">
      <w:pPr>
        <w:pStyle w:val="Zkladntext30"/>
        <w:shd w:val="clear" w:color="auto" w:fill="auto"/>
        <w:spacing w:line="202" w:lineRule="auto"/>
        <w:ind w:firstLine="280"/>
      </w:pPr>
      <w:r>
        <w:t>Aktivita ve svém principu — to bylo úsilí začít ihned rozšiřovat a rozmnožovat přirozená práva čes</w:t>
      </w:r>
      <w:r>
        <w:softHyphen/>
        <w:t>kého národa bez čekání na zázračné seslání státního práva v jeho bezúhonném stu procent. Aktivita v praxi — to</w:t>
      </w:r>
      <w:r>
        <w:t xml:space="preserve"> byla pověstná »drobečková politika«, která sama o sobě zajisté ještě nebyla onou kvinte- sencí zla, za jakou ji vydávali její odpůrci. Upadala však stále hlouběji tím, že mnozí z pánů politiků hle</w:t>
      </w:r>
      <w:r>
        <w:softHyphen/>
        <w:t>dali neprve drobečky pro sebe, jako třeba »ten pan Hubáček</w:t>
      </w:r>
      <w:r>
        <w:t xml:space="preserve">«, o němž psal </w:t>
      </w:r>
      <w:r>
        <w:rPr>
          <w:lang w:val="en-US" w:eastAsia="en-US" w:bidi="en-US"/>
        </w:rPr>
        <w:t xml:space="preserve">Rieger </w:t>
      </w:r>
      <w:r>
        <w:t>v jednom svém do</w:t>
      </w:r>
      <w:r>
        <w:softHyphen/>
        <w:t>pise, že »tomu člověku jde jen o to, aby mu Badeni dal nějaké zaopatření, protože zblbnutím Julia Grégra, pro nějž celý věk takřka zákeřné proti mně psal, neví, z čeho bude na stará kolena živ; a při tom dělá, jako by</w:t>
      </w:r>
      <w:r>
        <w:t xml:space="preserve"> byl svrchovaně povýšen nade všechny ohledy osob</w:t>
      </w:r>
      <w:r>
        <w:softHyphen/>
        <w:t>ního prospěchu.« Současně narůstala tato aktivistická drobečkovina přes oportunistickou bezpáteřnost v ochotu přejímat odpovědnost i za věci národu škod</w:t>
      </w:r>
      <w:r>
        <w:softHyphen/>
        <w:t>livé. Když to dělali Staročeši, maskovali to předstíra</w:t>
      </w:r>
      <w:r>
        <w:softHyphen/>
        <w:t>nými obavami před pověstnými Riegrovými »faktory politickými, kteří jsou mocnější než my a s nimiž do boje se pouštěti bylo by nemoudré«; a když to dělali Mladočeši, zakrývali to — abychom užili slov Clama- Martinice — »dílem planým žvaněním, dílem líčidl</w:t>
      </w:r>
      <w:r>
        <w:t>em pro lid nedospělý a nedočkavý«.</w:t>
      </w:r>
    </w:p>
    <w:p w:rsidR="00500724" w:rsidRDefault="00F30FB8">
      <w:pPr>
        <w:pStyle w:val="Zkladntext30"/>
        <w:shd w:val="clear" w:color="auto" w:fill="auto"/>
        <w:spacing w:line="226" w:lineRule="auto"/>
      </w:pPr>
      <w:r>
        <w:t>Jedni i druzí to dělali celkem marně. Tak se potom zklamanému Riegrovi zdálo, že »ten lid je strašně pitomý« a zklamané nejschopnější hlavě Mladočechů bylo líto, že je »tak málo vděčnosti nahoře i dole.«</w:t>
      </w:r>
    </w:p>
    <w:p w:rsidR="00500724" w:rsidRDefault="00F30FB8">
      <w:pPr>
        <w:pStyle w:val="Zkladntext30"/>
        <w:shd w:val="clear" w:color="auto" w:fill="auto"/>
        <w:spacing w:after="80" w:line="211" w:lineRule="auto"/>
      </w:pPr>
      <w:r>
        <w:t>Zklamání národa b</w:t>
      </w:r>
      <w:r>
        <w:t>ylo ovšem co možná ještě větší. Zklamání nad »aktivismem« Staročechů z doby jejich posledního živoření, který »vybojoval« punktace trap</w:t>
      </w:r>
      <w:r>
        <w:softHyphen/>
        <w:t>né pověsti, i nad mladočeskými drobty, přinášenými z Vídně čas od času v nepatrné výslužce, kterou by si i podle tehdejš</w:t>
      </w:r>
      <w:r>
        <w:t>ích Národních listů »česká delegace snadno svázala do malého ranečku«. To nechtěl ná</w:t>
      </w:r>
      <w:r>
        <w:softHyphen/>
        <w:t>rod, když posílal v září 1879 svoje poslance na říšskou radu; to chtěla vídeňská vláda, když je tam vítala a když jim tam výměnou za jejich nepříliš vážně mí</w:t>
      </w:r>
      <w:r>
        <w:softHyphen/>
        <w:t>něná státoprá</w:t>
      </w:r>
      <w:r>
        <w:t>vní ohrazení dávala svoje ještě méně vážně míněné sliby.</w:t>
      </w:r>
    </w:p>
    <w:p w:rsidR="00500724" w:rsidRDefault="00F30FB8">
      <w:pPr>
        <w:pStyle w:val="Zkladntext30"/>
        <w:shd w:val="clear" w:color="auto" w:fill="auto"/>
        <w:spacing w:after="80" w:line="204" w:lineRule="auto"/>
        <w:ind w:firstLine="0"/>
        <w:jc w:val="center"/>
      </w:pPr>
      <w:r>
        <w:t>Vůle národa</w:t>
      </w:r>
    </w:p>
    <w:p w:rsidR="00500724" w:rsidRDefault="00F30FB8">
      <w:pPr>
        <w:pStyle w:val="Zkladntext30"/>
        <w:shd w:val="clear" w:color="auto" w:fill="auto"/>
        <w:spacing w:after="0" w:line="204" w:lineRule="auto"/>
      </w:pPr>
      <w:r>
        <w:t>Problém vedení a vedených se v životě každého ná</w:t>
      </w:r>
      <w:r>
        <w:softHyphen/>
        <w:t>roda hlásívá dosti často. Spleť drobných zájmů může snadno zatemnit nebo i zfalšovat velikou linii národ</w:t>
      </w:r>
      <w:r>
        <w:softHyphen/>
        <w:t>ního úsilí. Poohlédli jsme se tro</w:t>
      </w:r>
      <w:r>
        <w:t>chu po zákulisí této matoucí spleti v době před šedesáti lety; zbývá ještě to nejdůležitější: konstatovat, co bylo při tom všem vůlí národa; zjistit, co podle jeho vůle mělo b ý t, už bez ohledu na to, z d a to bylo a j a k to bylo.</w:t>
      </w:r>
    </w:p>
    <w:p w:rsidR="00500724" w:rsidRDefault="00F30FB8">
      <w:pPr>
        <w:pStyle w:val="Zkladntext30"/>
        <w:shd w:val="clear" w:color="auto" w:fill="auto"/>
        <w:spacing w:line="204" w:lineRule="auto"/>
      </w:pPr>
      <w:r>
        <w:t>Začněme starší, staroče</w:t>
      </w:r>
      <w:r>
        <w:t>skou etapou. Čím tedy měla být politika pasivity v bývalém Rakouskou v letech 1863 až 1879?</w:t>
      </w:r>
    </w:p>
    <w:p w:rsidR="00500724" w:rsidRDefault="00F30FB8">
      <w:pPr>
        <w:pStyle w:val="Zkladntext30"/>
        <w:shd w:val="clear" w:color="auto" w:fill="auto"/>
        <w:spacing w:line="204" w:lineRule="auto"/>
      </w:pPr>
      <w:r>
        <w:t>Měla být výrazem české vůle udržeti neporušenou kontinuitu ve vývoji českého státního práva, pro</w:t>
      </w:r>
      <w:r>
        <w:softHyphen/>
        <w:t>jevem věrnosti k dějinám našeho národa. Nešlo jen o kontinuitu, šlo</w:t>
      </w:r>
      <w:r>
        <w:t xml:space="preserve"> též o rozsah státního práva, které mělo být zajištěno nejen Čechám samotným nebo snad Čechám zvlášť a Moravě zvlášť, nýbrž všem ze</w:t>
      </w:r>
      <w:r>
        <w:softHyphen/>
        <w:t>mím české koruny společně. Za nejmenší, právě ještě přijatelný dosah tohoto státního práva byla pokládá</w:t>
      </w:r>
      <w:r>
        <w:softHyphen/>
        <w:t xml:space="preserve">na široká politická </w:t>
      </w:r>
      <w:r>
        <w:t>autonomie českých zemí v rámci Rakouska, přebudovaného na federalistických zákla</w:t>
      </w:r>
      <w:r>
        <w:softHyphen/>
        <w:t>dech. — Druhou stránkou této vůle byl odpor pře</w:t>
      </w:r>
      <w:r>
        <w:softHyphen/>
        <w:t>jímat sebemenší část vládní odpovědnosti za cokoli, co odporovalo českému státnímu právu, nebo co nebylo slučitelno s jeho duch</w:t>
      </w:r>
      <w:r>
        <w:t>em. Nezadat — to bylo slovo tenkrát zvláště drahé — ničím nezadat ani své minu</w:t>
      </w:r>
      <w:r>
        <w:softHyphen/>
        <w:t>losti ani své budoucnosti, v tom byl smysl pasivní po</w:t>
      </w:r>
      <w:r>
        <w:softHyphen/>
        <w:t>litiky, jak ji chtěl tehdy národ mít.</w:t>
      </w:r>
    </w:p>
    <w:p w:rsidR="00500724" w:rsidRDefault="00F30FB8">
      <w:pPr>
        <w:pStyle w:val="Zkladntext30"/>
        <w:shd w:val="clear" w:color="auto" w:fill="auto"/>
        <w:spacing w:line="209" w:lineRule="auto"/>
        <w:ind w:firstLine="320"/>
        <w:jc w:val="left"/>
      </w:pPr>
      <w:r>
        <w:t>A čím měla být v rakouských poměrech politika aktivity, jak jí rozuměl národ sám?</w:t>
      </w:r>
    </w:p>
    <w:p w:rsidR="00500724" w:rsidRDefault="00F30FB8">
      <w:pPr>
        <w:pStyle w:val="Zkladntext30"/>
        <w:shd w:val="clear" w:color="auto" w:fill="auto"/>
        <w:spacing w:line="204" w:lineRule="auto"/>
        <w:ind w:firstLine="320"/>
      </w:pPr>
      <w:r>
        <w:t>Měla být projevem jeho odhodlání domáhat se všemi danými politickými prostředky každého z těch práv, na jaká si činil nárok jako součást lidstva, žijí</w:t>
      </w:r>
      <w:r>
        <w:softHyphen/>
        <w:t>cího v moderní Evropě. Měla být každodenní čino</w:t>
      </w:r>
      <w:r>
        <w:softHyphen/>
        <w:t>rodou praxí obrany proti jakýmkoli snahám jedno</w:t>
      </w:r>
      <w:r>
        <w:softHyphen/>
        <w:t>stranně m</w:t>
      </w:r>
      <w:r>
        <w:t>ěniti dvoustrannou úmluvu, na níž spočí</w:t>
      </w:r>
      <w:r>
        <w:softHyphen/>
        <w:t>vala státoprávní existence českého národa. Měla být konečně ochotou přejímat politickou odpovědnost v té míře, v jaké se mu podařilo zajistiti si podíl na řízení státních věcí.</w:t>
      </w:r>
    </w:p>
    <w:p w:rsidR="00500724" w:rsidRDefault="00F30FB8">
      <w:pPr>
        <w:pStyle w:val="Zkladntext30"/>
        <w:shd w:val="clear" w:color="auto" w:fill="auto"/>
        <w:spacing w:line="204" w:lineRule="auto"/>
        <w:ind w:firstLine="320"/>
      </w:pPr>
      <w:r>
        <w:t>Co před padesáti — šedesáti lety žilo v</w:t>
      </w:r>
      <w:r>
        <w:t xml:space="preserve"> národě, i když si to vždycky zcela jasně neuvědomoval, proto</w:t>
      </w:r>
      <w:r>
        <w:softHyphen/>
        <w:t>že mu úzké zájmy některých jeho složek výhled často zatemňovaly, to nebylo — pokud jde o otázku pasi</w:t>
      </w:r>
      <w:r>
        <w:softHyphen/>
        <w:t>vity a aktivity — nějaké nesmiřitelné, neslučitelné »buď — anebo«. To byl určitý celek obou t</w:t>
      </w:r>
      <w:r>
        <w:t>ěchto částí,</w:t>
      </w:r>
    </w:p>
    <w:p w:rsidR="00500724" w:rsidRDefault="00F30FB8">
      <w:pPr>
        <w:pStyle w:val="Zkladntext30"/>
        <w:shd w:val="clear" w:color="auto" w:fill="auto"/>
        <w:tabs>
          <w:tab w:val="left" w:pos="4210"/>
        </w:tabs>
        <w:spacing w:after="100" w:line="204" w:lineRule="auto"/>
        <w:ind w:firstLine="0"/>
      </w:pPr>
      <w:r>
        <w:t>které se navzájem měly doplňovat, které k sobě patři</w:t>
      </w:r>
      <w:r>
        <w:softHyphen/>
        <w:t>ly a bez škody pro národ se nedaly od sebe trhat. Ne</w:t>
      </w:r>
      <w:r>
        <w:softHyphen/>
        <w:t>boť jako je astronomická dráha každé planety výsled</w:t>
      </w:r>
      <w:r>
        <w:softHyphen/>
        <w:t>nicí všech přitažlivých a odpudivých sil, jež na ni pů</w:t>
      </w:r>
      <w:r>
        <w:softHyphen/>
        <w:t>sobí, tak je politická dráha k</w:t>
      </w:r>
      <w:r>
        <w:t>aždého národa určována všemi jeho »ano« a všemi jeho »ne« k ostatnímu světu. A bylo-li nejvlastnějším principem byrokratického systému starého Rakouska »oben bůcken, unten driickencc, pak měl taktický celek pasivity a aktivity českého národa vyjadřovat jeh</w:t>
      </w:r>
      <w:r>
        <w:t>o docela, docela jiný poměr k tomu, co bylo »nahoře« a co bylo »dole« v soustavě habsburské monarchie.</w:t>
      </w:r>
      <w:r>
        <w:tab/>
      </w:r>
      <w:r>
        <w:rPr>
          <w:i/>
          <w:iCs/>
        </w:rPr>
        <w:t>Jan Albert</w:t>
      </w:r>
    </w:p>
    <w:p w:rsidR="00500724" w:rsidRDefault="00F30FB8">
      <w:pPr>
        <w:pStyle w:val="Jin0"/>
        <w:pBdr>
          <w:bottom w:val="single" w:sz="4" w:space="0" w:color="auto"/>
        </w:pBdr>
        <w:shd w:val="clear" w:color="auto" w:fill="auto"/>
        <w:spacing w:after="300"/>
        <w:ind w:firstLine="0"/>
        <w:jc w:val="left"/>
        <w:rPr>
          <w:sz w:val="44"/>
          <w:szCs w:val="44"/>
        </w:rPr>
      </w:pPr>
      <w:r>
        <w:rPr>
          <w:b/>
          <w:bCs/>
          <w:sz w:val="44"/>
          <w:szCs w:val="44"/>
        </w:rPr>
        <w:t>poznámky</w:t>
      </w:r>
    </w:p>
    <w:p w:rsidR="00500724" w:rsidRDefault="00F30FB8">
      <w:pPr>
        <w:pStyle w:val="Zkladntext30"/>
        <w:shd w:val="clear" w:color="auto" w:fill="auto"/>
        <w:spacing w:after="60" w:line="178" w:lineRule="auto"/>
        <w:ind w:firstLine="0"/>
        <w:jc w:val="center"/>
        <w:rPr>
          <w:sz w:val="20"/>
          <w:szCs w:val="20"/>
        </w:rPr>
      </w:pPr>
      <w:r>
        <w:rPr>
          <w:b/>
          <w:bCs/>
          <w:sz w:val="20"/>
          <w:szCs w:val="20"/>
        </w:rPr>
        <w:t>Mezi Anglií a Amerikou</w:t>
      </w:r>
    </w:p>
    <w:p w:rsidR="00500724" w:rsidRDefault="00F30FB8">
      <w:pPr>
        <w:pStyle w:val="Zkladntext100"/>
        <w:shd w:val="clear" w:color="auto" w:fill="auto"/>
        <w:spacing w:line="187" w:lineRule="auto"/>
        <w:ind w:firstLine="220"/>
        <w:rPr>
          <w:sz w:val="19"/>
          <w:szCs w:val="19"/>
        </w:rPr>
      </w:pPr>
      <w:r>
        <w:rPr>
          <w:b/>
          <w:bCs/>
          <w:sz w:val="19"/>
          <w:szCs w:val="19"/>
        </w:rPr>
        <w:t>Pražský »Der Neue Tag« uveřejnil 27. července zajíma</w:t>
      </w:r>
      <w:r>
        <w:rPr>
          <w:b/>
          <w:bCs/>
          <w:sz w:val="19"/>
          <w:szCs w:val="19"/>
        </w:rPr>
        <w:softHyphen/>
      </w:r>
      <w:r>
        <w:rPr>
          <w:b/>
          <w:bCs/>
          <w:sz w:val="19"/>
          <w:szCs w:val="19"/>
        </w:rPr>
        <w:t xml:space="preserve">vou statistiku o výsledku amerických veřejných hlasování — t. zv. </w:t>
      </w:r>
      <w:r>
        <w:rPr>
          <w:b/>
          <w:bCs/>
          <w:sz w:val="19"/>
          <w:szCs w:val="19"/>
          <w:lang w:val="en-US" w:eastAsia="en-US" w:bidi="en-US"/>
        </w:rPr>
        <w:t xml:space="preserve">survey, </w:t>
      </w:r>
      <w:r>
        <w:rPr>
          <w:b/>
          <w:bCs/>
          <w:sz w:val="19"/>
          <w:szCs w:val="19"/>
        </w:rPr>
        <w:t>která občas podnikají mezi svými čtenáři velké americké deníky. Američané jsou většinou přesvěd</w:t>
      </w:r>
      <w:r>
        <w:rPr>
          <w:b/>
          <w:bCs/>
          <w:sz w:val="19"/>
          <w:szCs w:val="19"/>
        </w:rPr>
        <w:softHyphen/>
        <w:t>čeni, že velmi brzy dojde k nové světové válce. 73 procent účastníků hlasování odpověd</w:t>
      </w:r>
      <w:r>
        <w:rPr>
          <w:b/>
          <w:bCs/>
          <w:sz w:val="19"/>
          <w:szCs w:val="19"/>
        </w:rPr>
        <w:t xml:space="preserve">ělo na tuto otázku kladně. Za loňské zářijové krise odpovědělo </w:t>
      </w:r>
      <w:r>
        <w:rPr>
          <w:i/>
          <w:iCs/>
          <w:sz w:val="19"/>
          <w:szCs w:val="19"/>
        </w:rPr>
        <w:t>57</w:t>
      </w:r>
      <w:r>
        <w:rPr>
          <w:b/>
          <w:bCs/>
          <w:sz w:val="19"/>
          <w:szCs w:val="19"/>
        </w:rPr>
        <w:t xml:space="preserve"> procent dotázaných kladně na otázku, mají-li Spojené Státy pomáhat demo</w:t>
      </w:r>
      <w:r>
        <w:rPr>
          <w:b/>
          <w:bCs/>
          <w:sz w:val="19"/>
          <w:szCs w:val="19"/>
        </w:rPr>
        <w:softHyphen/>
        <w:t>kraciím hospodářsky v případě války. Když však přišel Mnichov, který vzbudil ve Spojených Státech rozhořčení proti Cha</w:t>
      </w:r>
      <w:r>
        <w:rPr>
          <w:b/>
          <w:bCs/>
          <w:sz w:val="19"/>
          <w:szCs w:val="19"/>
        </w:rPr>
        <w:t>mberlainovi, zesílilo hnutí isolacionistů, kteří si nepřejí žádného zásahu v evropských záležitostech. Za této pomnichovské nálady se konaly v listopadu 1938 volby do kongresu. Isolacionisté využili této nálady, obratně ji spo</w:t>
      </w:r>
      <w:r>
        <w:rPr>
          <w:b/>
          <w:bCs/>
          <w:sz w:val="19"/>
          <w:szCs w:val="19"/>
        </w:rPr>
        <w:softHyphen/>
        <w:t>jili s kampaní proti roosevel</w:t>
      </w:r>
      <w:r>
        <w:rPr>
          <w:b/>
          <w:bCs/>
          <w:sz w:val="19"/>
          <w:szCs w:val="19"/>
        </w:rPr>
        <w:t xml:space="preserve">tovskému </w:t>
      </w:r>
      <w:r>
        <w:rPr>
          <w:b/>
          <w:bCs/>
          <w:sz w:val="19"/>
          <w:szCs w:val="19"/>
          <w:lang w:val="en-US" w:eastAsia="en-US" w:bidi="en-US"/>
        </w:rPr>
        <w:t xml:space="preserve">New Deal </w:t>
      </w:r>
      <w:r>
        <w:rPr>
          <w:b/>
          <w:bCs/>
          <w:sz w:val="19"/>
          <w:szCs w:val="19"/>
        </w:rPr>
        <w:t>— a vy</w:t>
      </w:r>
      <w:r>
        <w:rPr>
          <w:b/>
          <w:bCs/>
          <w:sz w:val="19"/>
          <w:szCs w:val="19"/>
        </w:rPr>
        <w:softHyphen/>
        <w:t>hráli volby. Roosevelt dostal kongres, který mu začal ztěžo</w:t>
      </w:r>
      <w:r>
        <w:rPr>
          <w:b/>
          <w:bCs/>
          <w:sz w:val="19"/>
          <w:szCs w:val="19"/>
        </w:rPr>
        <w:softHyphen/>
        <w:t>vat jeho politiku.</w:t>
      </w:r>
    </w:p>
    <w:p w:rsidR="00500724" w:rsidRDefault="00F30FB8">
      <w:pPr>
        <w:pStyle w:val="Zkladntext100"/>
        <w:shd w:val="clear" w:color="auto" w:fill="auto"/>
        <w:spacing w:line="187" w:lineRule="auto"/>
        <w:ind w:firstLine="220"/>
        <w:rPr>
          <w:sz w:val="19"/>
          <w:szCs w:val="19"/>
        </w:rPr>
      </w:pPr>
      <w:r>
        <w:rPr>
          <w:b/>
          <w:bCs/>
          <w:sz w:val="19"/>
          <w:szCs w:val="19"/>
        </w:rPr>
        <w:t>V dubnu t. r., podle statistiky, uveřejněné v »Der Neue Tag«, se zase nálada změnila ve prospěch Anglie a Francie. Dokonce 16 procent účastníků si přálo</w:t>
      </w:r>
      <w:r>
        <w:rPr>
          <w:b/>
          <w:bCs/>
          <w:sz w:val="19"/>
          <w:szCs w:val="19"/>
        </w:rPr>
        <w:t>, aby se Amerika zúčastnila evropské války i aktivně, t; j. vysláním vojska, a 82 procent žádalo hospodářskou podporu. Když k tomu ještě zajel anglický král do Nového Yorku a Washingtonu, pokusili se Rooseveltovi stoupenci využít nálady a prosadit změnu ne</w:t>
      </w:r>
      <w:r>
        <w:rPr>
          <w:b/>
          <w:bCs/>
          <w:sz w:val="19"/>
          <w:szCs w:val="19"/>
        </w:rPr>
        <w:t>utrálního zákona. Kongresmeni sice říkali králi »bratranče« a dvořili se »sestřence« královně, že »je téměř tak hezká, jako holky v Texasu®, ale zrušení americké ne</w:t>
      </w:r>
      <w:r>
        <w:rPr>
          <w:b/>
          <w:bCs/>
          <w:sz w:val="19"/>
          <w:szCs w:val="19"/>
        </w:rPr>
        <w:softHyphen/>
        <w:t>utrality nepovolili.</w:t>
      </w:r>
    </w:p>
    <w:p w:rsidR="00500724" w:rsidRDefault="00F30FB8">
      <w:pPr>
        <w:pStyle w:val="Zkladntext100"/>
        <w:shd w:val="clear" w:color="auto" w:fill="auto"/>
        <w:spacing w:line="187" w:lineRule="auto"/>
        <w:ind w:firstLine="220"/>
        <w:rPr>
          <w:sz w:val="19"/>
          <w:szCs w:val="19"/>
        </w:rPr>
      </w:pPr>
      <w:r>
        <w:rPr>
          <w:b/>
          <w:bCs/>
          <w:sz w:val="19"/>
          <w:szCs w:val="19"/>
        </w:rPr>
        <w:t>Nyní došlo k anglo-japonskému jednání. Kdyby byl ame</w:t>
      </w:r>
      <w:r>
        <w:rPr>
          <w:b/>
          <w:bCs/>
          <w:sz w:val="19"/>
          <w:szCs w:val="19"/>
        </w:rPr>
        <w:softHyphen/>
        <w:t>rický neutralitní</w:t>
      </w:r>
      <w:r>
        <w:rPr>
          <w:b/>
          <w:bCs/>
          <w:sz w:val="19"/>
          <w:szCs w:val="19"/>
        </w:rPr>
        <w:t xml:space="preserve"> zákon zrušen, měla by Anglie, která na to hodně spoléhala, jistě více kuráže a japonským požadav</w:t>
      </w:r>
      <w:r>
        <w:rPr>
          <w:b/>
          <w:bCs/>
          <w:sz w:val="19"/>
          <w:szCs w:val="19"/>
        </w:rPr>
        <w:softHyphen/>
        <w:t>kům by se vzepřela. Ale nejen, že nebyl zákon zrušen, ale dokonce i pokus rooseveltovce Fittmanna, prosadit embargo na vývoz zbraní do Japonska, byl znemožněn</w:t>
      </w:r>
      <w:r>
        <w:rPr>
          <w:b/>
          <w:bCs/>
          <w:sz w:val="19"/>
          <w:szCs w:val="19"/>
        </w:rPr>
        <w:t xml:space="preserve"> samotným ministrem zahraničních věcí </w:t>
      </w:r>
      <w:r>
        <w:rPr>
          <w:b/>
          <w:bCs/>
          <w:sz w:val="19"/>
          <w:szCs w:val="19"/>
          <w:lang w:val="en-US" w:eastAsia="en-US" w:bidi="en-US"/>
        </w:rPr>
        <w:t xml:space="preserve">Cordell </w:t>
      </w:r>
      <w:r>
        <w:rPr>
          <w:b/>
          <w:bCs/>
          <w:sz w:val="19"/>
          <w:szCs w:val="19"/>
        </w:rPr>
        <w:t>Hullem, který se bál další překážky v kongresu. Japonsko tedy i nadále může 70 procent dovozu zbraní krýt z Ameriky. Za takových okolnosti došlo k známému jednáni mezi japonským mi</w:t>
      </w:r>
      <w:r>
        <w:rPr>
          <w:b/>
          <w:bCs/>
          <w:sz w:val="19"/>
          <w:szCs w:val="19"/>
        </w:rPr>
        <w:softHyphen/>
        <w:t>nistrem zahraničních věcí Ari</w:t>
      </w:r>
      <w:r>
        <w:rPr>
          <w:b/>
          <w:bCs/>
          <w:sz w:val="19"/>
          <w:szCs w:val="19"/>
        </w:rPr>
        <w:t xml:space="preserve">tou a anglickým vyslancem Craigiem. V tomto jednání Anglie uznala — přes to, že se </w:t>
      </w:r>
      <w:r>
        <w:rPr>
          <w:b/>
          <w:bCs/>
          <w:sz w:val="19"/>
          <w:szCs w:val="19"/>
          <w:lang w:val="en-US" w:eastAsia="en-US" w:bidi="en-US"/>
        </w:rPr>
        <w:t xml:space="preserve">to Chamberlain </w:t>
      </w:r>
      <w:r>
        <w:rPr>
          <w:b/>
          <w:bCs/>
          <w:sz w:val="19"/>
          <w:szCs w:val="19"/>
        </w:rPr>
        <w:t>snažil popřít — současný stav v Čině, t. j. uznala japonskou okupaci značné části Činy.</w:t>
      </w:r>
    </w:p>
    <w:p w:rsidR="00500724" w:rsidRDefault="00F30FB8">
      <w:pPr>
        <w:pStyle w:val="Zkladntext100"/>
        <w:shd w:val="clear" w:color="auto" w:fill="auto"/>
        <w:spacing w:line="187" w:lineRule="auto"/>
        <w:ind w:firstLine="220"/>
        <w:rPr>
          <w:sz w:val="19"/>
          <w:szCs w:val="19"/>
        </w:rPr>
      </w:pPr>
      <w:r>
        <w:rPr>
          <w:b/>
          <w:bCs/>
          <w:sz w:val="19"/>
          <w:szCs w:val="19"/>
        </w:rPr>
        <w:t xml:space="preserve">Americké noviny nazvaly toto jednání »východoasijským Mnichovem«, a </w:t>
      </w:r>
      <w:r>
        <w:rPr>
          <w:b/>
          <w:bCs/>
          <w:sz w:val="19"/>
          <w:szCs w:val="19"/>
        </w:rPr>
        <w:t>obviňují Anglii, že porušila takto smlouvu devíti mocností, podle niž se v Čině uznává zásada sotevře- ných dveří«. Už dnes triumfují američtí isolacionisté: vi- dítě, s takovou Anglií chcete nás spojit!</w:t>
      </w:r>
    </w:p>
    <w:p w:rsidR="00500724" w:rsidRDefault="00F30FB8">
      <w:pPr>
        <w:pStyle w:val="Zkladntext100"/>
        <w:shd w:val="clear" w:color="auto" w:fill="auto"/>
        <w:tabs>
          <w:tab w:val="left" w:pos="4430"/>
        </w:tabs>
        <w:spacing w:after="200" w:line="187" w:lineRule="auto"/>
        <w:ind w:firstLine="220"/>
        <w:rPr>
          <w:sz w:val="19"/>
          <w:szCs w:val="19"/>
        </w:rPr>
      </w:pPr>
      <w:r>
        <w:rPr>
          <w:b/>
          <w:bCs/>
          <w:sz w:val="19"/>
          <w:szCs w:val="19"/>
        </w:rPr>
        <w:t>A tak angloamerický kolotoč pokračuje.</w:t>
      </w:r>
      <w:r>
        <w:rPr>
          <w:b/>
          <w:bCs/>
          <w:sz w:val="19"/>
          <w:szCs w:val="19"/>
        </w:rPr>
        <w:tab/>
      </w:r>
      <w:r>
        <w:rPr>
          <w:i/>
          <w:iCs/>
          <w:sz w:val="19"/>
          <w:szCs w:val="19"/>
        </w:rPr>
        <w:t>—vs</w:t>
      </w:r>
      <w:r>
        <w:rPr>
          <w:b/>
          <w:bCs/>
          <w:sz w:val="19"/>
          <w:szCs w:val="19"/>
        </w:rPr>
        <w:t>—i</w:t>
      </w:r>
    </w:p>
    <w:p w:rsidR="00500724" w:rsidRDefault="00F30FB8">
      <w:pPr>
        <w:pStyle w:val="Zkladntext30"/>
        <w:shd w:val="clear" w:color="auto" w:fill="auto"/>
        <w:spacing w:after="60" w:line="178" w:lineRule="auto"/>
        <w:ind w:firstLine="0"/>
        <w:jc w:val="center"/>
        <w:rPr>
          <w:sz w:val="20"/>
          <w:szCs w:val="20"/>
        </w:rPr>
      </w:pPr>
      <w:r>
        <w:rPr>
          <w:b/>
          <w:bCs/>
          <w:sz w:val="20"/>
          <w:szCs w:val="20"/>
        </w:rPr>
        <w:t>Nové ta</w:t>
      </w:r>
      <w:r>
        <w:rPr>
          <w:b/>
          <w:bCs/>
          <w:sz w:val="20"/>
          <w:szCs w:val="20"/>
        </w:rPr>
        <w:t>jnosti Kremlu</w:t>
      </w:r>
    </w:p>
    <w:p w:rsidR="00500724" w:rsidRDefault="00F30FB8">
      <w:pPr>
        <w:pStyle w:val="Zkladntext100"/>
        <w:shd w:val="clear" w:color="auto" w:fill="auto"/>
        <w:spacing w:after="80" w:line="190" w:lineRule="auto"/>
        <w:ind w:firstLine="300"/>
        <w:rPr>
          <w:sz w:val="19"/>
          <w:szCs w:val="19"/>
        </w:rPr>
      </w:pPr>
      <w:r>
        <w:rPr>
          <w:b/>
          <w:bCs/>
          <w:sz w:val="19"/>
          <w:szCs w:val="19"/>
        </w:rPr>
        <w:t>Počítá ještě někdo porady v Moskvě? Devátá, desátá, je</w:t>
      </w:r>
      <w:r>
        <w:rPr>
          <w:b/>
          <w:bCs/>
          <w:sz w:val="19"/>
          <w:szCs w:val="19"/>
        </w:rPr>
        <w:softHyphen/>
        <w:t>denáctá .,. všechny světové rekordy v diplomatické louda- vosti byly za tři měsíce překonány. Objektivně lze zjistiti snad aspoň tolik, že nyní dojde k poradám generálních štá</w:t>
      </w:r>
      <w:r>
        <w:rPr>
          <w:b/>
          <w:bCs/>
          <w:sz w:val="19"/>
          <w:szCs w:val="19"/>
        </w:rPr>
        <w:softHyphen/>
      </w:r>
      <w:r>
        <w:rPr>
          <w:b/>
          <w:bCs/>
          <w:sz w:val="19"/>
          <w:szCs w:val="19"/>
        </w:rPr>
        <w:t xml:space="preserve">bů. Jaké potíže se objeví tady? V tomto směru není dosud zkušeností, z nichž by se dalo předvídat; jen některé osobní nesnáze se už rýsují. Tak třeba nebude asi moci jet do Moskvy generál </w:t>
      </w:r>
      <w:r>
        <w:rPr>
          <w:b/>
          <w:bCs/>
          <w:sz w:val="19"/>
          <w:szCs w:val="19"/>
          <w:lang w:val="en-US" w:eastAsia="en-US" w:bidi="en-US"/>
        </w:rPr>
        <w:t xml:space="preserve">Ironside; </w:t>
      </w:r>
      <w:r>
        <w:rPr>
          <w:b/>
          <w:bCs/>
          <w:sz w:val="19"/>
          <w:szCs w:val="19"/>
        </w:rPr>
        <w:t>válčil před dvaceti lety v Mur- mansku proti sovětům..■</w:t>
      </w:r>
    </w:p>
    <w:p w:rsidR="00500724" w:rsidRDefault="00F30FB8">
      <w:pPr>
        <w:pStyle w:val="Zkladntext100"/>
        <w:shd w:val="clear" w:color="auto" w:fill="auto"/>
        <w:spacing w:line="187" w:lineRule="auto"/>
        <w:ind w:firstLine="320"/>
        <w:rPr>
          <w:sz w:val="19"/>
          <w:szCs w:val="19"/>
        </w:rPr>
      </w:pPr>
      <w:r>
        <w:rPr>
          <w:b/>
          <w:bCs/>
          <w:sz w:val="19"/>
          <w:szCs w:val="19"/>
        </w:rPr>
        <w:t>Pr</w:t>
      </w:r>
      <w:r>
        <w:rPr>
          <w:b/>
          <w:bCs/>
          <w:sz w:val="19"/>
          <w:szCs w:val="19"/>
        </w:rPr>
        <w:t>ůhlednější jsou další politické obtíže, stále nové a stále stejné. Tentokrát se zdá, že se točí hlavně kolem definice ^nepřímého útoku®. Moskva by ji chtěla mít co nejširší. Molotov si prý přeje, aby se také pozvání mohlo vyložit jako nepřímý útok, ba snad</w:t>
      </w:r>
      <w:r>
        <w:rPr>
          <w:b/>
          <w:bCs/>
          <w:sz w:val="19"/>
          <w:szCs w:val="19"/>
        </w:rPr>
        <w:t xml:space="preserve"> i jen hrozící nebezpečí tako</w:t>
      </w:r>
      <w:r>
        <w:rPr>
          <w:b/>
          <w:bCs/>
          <w:sz w:val="19"/>
          <w:szCs w:val="19"/>
        </w:rPr>
        <w:softHyphen/>
        <w:t xml:space="preserve">vého pozvání. </w:t>
      </w:r>
      <w:r>
        <w:rPr>
          <w:b/>
          <w:bCs/>
          <w:sz w:val="19"/>
          <w:szCs w:val="19"/>
          <w:lang w:val="en-US" w:eastAsia="en-US" w:bidi="en-US"/>
        </w:rPr>
        <w:t xml:space="preserve">Chamberlain </w:t>
      </w:r>
      <w:r>
        <w:rPr>
          <w:b/>
          <w:bCs/>
          <w:sz w:val="19"/>
          <w:szCs w:val="19"/>
        </w:rPr>
        <w:t>se zdráhá vyjít mu tak daleko vstříc. Není si totiž docela jist, zda by jednou nemohlo ně</w:t>
      </w:r>
      <w:r>
        <w:rPr>
          <w:b/>
          <w:bCs/>
          <w:sz w:val="19"/>
          <w:szCs w:val="19"/>
        </w:rPr>
        <w:softHyphen/>
        <w:t xml:space="preserve">komu v Kremlu napadnout ohlásit, že podle jeho míněni hrozí podobné nebezpečí některému baltickému státu. Šéf </w:t>
      </w:r>
      <w:r>
        <w:rPr>
          <w:b/>
          <w:bCs/>
          <w:sz w:val="19"/>
          <w:szCs w:val="19"/>
        </w:rPr>
        <w:t>britské politiky se dost pochopitelně rozpakuje přijmout zá</w:t>
      </w:r>
      <w:r>
        <w:rPr>
          <w:b/>
          <w:bCs/>
          <w:sz w:val="19"/>
          <w:szCs w:val="19"/>
        </w:rPr>
        <w:softHyphen/>
        <w:t>vazek tak dalekosáhlý, který by i v každém takovém pří- pádě nutil Anglii jít automaticky do války. Není v dějinách přikladu, že by jedna velmoc svěřila druhé tak universální klíč ke své vlastní p</w:t>
      </w:r>
      <w:r>
        <w:rPr>
          <w:b/>
          <w:bCs/>
          <w:sz w:val="19"/>
          <w:szCs w:val="19"/>
        </w:rPr>
        <w:t xml:space="preserve">olitice. Vždyť kdyby </w:t>
      </w:r>
      <w:r>
        <w:rPr>
          <w:b/>
          <w:bCs/>
          <w:sz w:val="19"/>
          <w:szCs w:val="19"/>
          <w:lang w:val="en-US" w:eastAsia="en-US" w:bidi="en-US"/>
        </w:rPr>
        <w:t xml:space="preserve">Chamberlain </w:t>
      </w:r>
      <w:r>
        <w:rPr>
          <w:b/>
          <w:bCs/>
          <w:sz w:val="19"/>
          <w:szCs w:val="19"/>
        </w:rPr>
        <w:t>při</w:t>
      </w:r>
      <w:r>
        <w:rPr>
          <w:b/>
          <w:bCs/>
          <w:sz w:val="19"/>
          <w:szCs w:val="19"/>
        </w:rPr>
        <w:softHyphen/>
        <w:t>stoupil na Molotovův požadavek, stačilo by Moskvě, kdykoli vytáhnout svoji smlouvu a její kouzelné »sézame, otevři se« by pro ni odemklo poklady britského válečného poten</w:t>
      </w:r>
      <w:r>
        <w:rPr>
          <w:b/>
          <w:bCs/>
          <w:sz w:val="19"/>
          <w:szCs w:val="19"/>
        </w:rPr>
        <w:softHyphen/>
        <w:t>ciálu. Část anglického tisku, více méně proticha</w:t>
      </w:r>
      <w:r>
        <w:rPr>
          <w:b/>
          <w:bCs/>
          <w:sz w:val="19"/>
          <w:szCs w:val="19"/>
        </w:rPr>
        <w:t>mberlainov- sky naladěná, si přeje, aby Anglie uzavřela smlouvu za kaž</w:t>
      </w:r>
      <w:r>
        <w:rPr>
          <w:b/>
          <w:bCs/>
          <w:sz w:val="19"/>
          <w:szCs w:val="19"/>
        </w:rPr>
        <w:softHyphen/>
        <w:t>dou cenu, kterou Rusko žádá. Ale která oposice by byla ochotna jednat podle tohoto receptu, kdyby měla za něj sama nést odpovědnost?</w:t>
      </w:r>
    </w:p>
    <w:p w:rsidR="00500724" w:rsidRDefault="00F30FB8">
      <w:pPr>
        <w:pStyle w:val="Zkladntext100"/>
        <w:shd w:val="clear" w:color="auto" w:fill="auto"/>
        <w:tabs>
          <w:tab w:val="left" w:pos="4522"/>
        </w:tabs>
        <w:spacing w:after="120" w:line="187" w:lineRule="auto"/>
        <w:ind w:firstLine="320"/>
        <w:jc w:val="left"/>
        <w:rPr>
          <w:sz w:val="19"/>
          <w:szCs w:val="19"/>
        </w:rPr>
      </w:pPr>
      <w:r>
        <w:rPr>
          <w:b/>
          <w:bCs/>
          <w:sz w:val="19"/>
          <w:szCs w:val="19"/>
          <w:lang w:val="en-US" w:eastAsia="en-US" w:bidi="en-US"/>
        </w:rPr>
        <w:t xml:space="preserve">Chamberlain a Halifax </w:t>
      </w:r>
      <w:r>
        <w:rPr>
          <w:b/>
          <w:bCs/>
          <w:sz w:val="19"/>
          <w:szCs w:val="19"/>
        </w:rPr>
        <w:t>zatím zřejmě doufají, že Moskv</w:t>
      </w:r>
      <w:r>
        <w:rPr>
          <w:b/>
          <w:bCs/>
          <w:sz w:val="19"/>
          <w:szCs w:val="19"/>
        </w:rPr>
        <w:t>a nakonec přece něco sleví. To nejmenší, s čim se Londýn prozatím spokojuje, je aspoň pokračování v seriálu konfe</w:t>
      </w:r>
      <w:r>
        <w:rPr>
          <w:b/>
          <w:bCs/>
          <w:sz w:val="19"/>
          <w:szCs w:val="19"/>
        </w:rPr>
        <w:softHyphen/>
        <w:t>rencí; pro nynější měsíce Londýn asi nechtěl přerušit vy</w:t>
      </w:r>
      <w:r>
        <w:rPr>
          <w:b/>
          <w:bCs/>
          <w:sz w:val="19"/>
          <w:szCs w:val="19"/>
        </w:rPr>
        <w:softHyphen/>
        <w:t>jednávání s Moskvou, i kdyby už sám ztratil naději v jejich úspěch.</w:t>
      </w:r>
      <w:r>
        <w:rPr>
          <w:b/>
          <w:bCs/>
          <w:sz w:val="19"/>
          <w:szCs w:val="19"/>
        </w:rPr>
        <w:tab/>
      </w:r>
      <w:r>
        <w:rPr>
          <w:i/>
          <w:iCs/>
          <w:sz w:val="19"/>
          <w:szCs w:val="19"/>
        </w:rPr>
        <w:t>P. H.</w:t>
      </w:r>
    </w:p>
    <w:p w:rsidR="00500724" w:rsidRDefault="00F30FB8">
      <w:pPr>
        <w:pStyle w:val="Zkladntext30"/>
        <w:shd w:val="clear" w:color="auto" w:fill="auto"/>
        <w:spacing w:after="60" w:line="178" w:lineRule="auto"/>
        <w:ind w:firstLine="0"/>
        <w:jc w:val="center"/>
        <w:rPr>
          <w:sz w:val="20"/>
          <w:szCs w:val="20"/>
        </w:rPr>
      </w:pPr>
      <w:r>
        <w:rPr>
          <w:b/>
          <w:bCs/>
          <w:sz w:val="20"/>
          <w:szCs w:val="20"/>
        </w:rPr>
        <w:t>Britská pol</w:t>
      </w:r>
      <w:r>
        <w:rPr>
          <w:b/>
          <w:bCs/>
          <w:sz w:val="20"/>
          <w:szCs w:val="20"/>
        </w:rPr>
        <w:t>itika v Cíne</w:t>
      </w:r>
    </w:p>
    <w:p w:rsidR="00500724" w:rsidRDefault="00F30FB8">
      <w:pPr>
        <w:pStyle w:val="Zkladntext100"/>
        <w:shd w:val="clear" w:color="auto" w:fill="auto"/>
        <w:spacing w:line="190" w:lineRule="auto"/>
        <w:ind w:firstLine="200"/>
        <w:rPr>
          <w:sz w:val="19"/>
          <w:szCs w:val="19"/>
        </w:rPr>
      </w:pPr>
      <w:r>
        <w:rPr>
          <w:b/>
          <w:bCs/>
          <w:sz w:val="19"/>
          <w:szCs w:val="19"/>
        </w:rPr>
        <w:t>Dohody o Tiencinu bylo dosaženo, blokáda Tiencinu trvá dále: tak bylo lze minulého týdne shrnout poslední zprávy z Dálného východu.</w:t>
      </w:r>
    </w:p>
    <w:p w:rsidR="00500724" w:rsidRDefault="00F30FB8">
      <w:pPr>
        <w:pStyle w:val="Zkladntext100"/>
        <w:shd w:val="clear" w:color="auto" w:fill="auto"/>
        <w:spacing w:line="187" w:lineRule="auto"/>
        <w:ind w:firstLine="200"/>
        <w:rPr>
          <w:sz w:val="19"/>
          <w:szCs w:val="19"/>
        </w:rPr>
      </w:pPr>
      <w:r>
        <w:rPr>
          <w:b/>
          <w:bCs/>
          <w:sz w:val="19"/>
          <w:szCs w:val="19"/>
        </w:rPr>
        <w:t>Nebyla to právě klidná atmosféra, v níž po dlouhých odkladech zasedli britští a japonští zástupci k jednání o m</w:t>
      </w:r>
      <w:r>
        <w:rPr>
          <w:b/>
          <w:bCs/>
          <w:sz w:val="19"/>
          <w:szCs w:val="19"/>
        </w:rPr>
        <w:t>ožnostech smírného řešení tiencinského incidentu. Celé Japonsko a čtvrtina Číny zněla bouřlivým pokřikem proti</w:t>
      </w:r>
      <w:r>
        <w:rPr>
          <w:b/>
          <w:bCs/>
          <w:sz w:val="19"/>
          <w:szCs w:val="19"/>
        </w:rPr>
        <w:softHyphen/>
        <w:t>britských demonstrantů; britské konsuláty byly ohrožovány sroceným davem a britští občané vyzývání japonskými úřa</w:t>
      </w:r>
      <w:r>
        <w:rPr>
          <w:b/>
          <w:bCs/>
          <w:sz w:val="19"/>
          <w:szCs w:val="19"/>
        </w:rPr>
        <w:softHyphen/>
        <w:t>dy, aby opustili svoje koncese.</w:t>
      </w:r>
      <w:r>
        <w:rPr>
          <w:b/>
          <w:bCs/>
          <w:sz w:val="19"/>
          <w:szCs w:val="19"/>
        </w:rPr>
        <w:t xml:space="preserve"> A když byl konečně ohlášen výsledek tokijské konference, nebyl si svět jist, co vlastně znamená.</w:t>
      </w:r>
    </w:p>
    <w:p w:rsidR="00500724" w:rsidRDefault="00F30FB8">
      <w:pPr>
        <w:pStyle w:val="Zkladntext100"/>
        <w:shd w:val="clear" w:color="auto" w:fill="auto"/>
        <w:spacing w:line="187" w:lineRule="auto"/>
        <w:ind w:firstLine="200"/>
        <w:rPr>
          <w:sz w:val="19"/>
          <w:szCs w:val="19"/>
        </w:rPr>
      </w:pPr>
      <w:r>
        <w:rPr>
          <w:b/>
          <w:bCs/>
          <w:sz w:val="19"/>
          <w:szCs w:val="19"/>
        </w:rPr>
        <w:t xml:space="preserve">Text společného komuniké byl opravdu pythický: »Vláda Jeho Veličenstva ve Spojeném království — pravilo se v něm — plně uznává nynější situaci v Číně, kde ve </w:t>
      </w:r>
      <w:r>
        <w:rPr>
          <w:b/>
          <w:bCs/>
          <w:sz w:val="19"/>
          <w:szCs w:val="19"/>
        </w:rPr>
        <w:t>velkém rozsahu pokračují nepřátelské operace, a konstatuje, že pokud trvá tento stav, mají japonské vojenské síly v Číně zvláštní potřeby v ochraně své vlastní bezpečnosti i v udržo</w:t>
      </w:r>
      <w:r>
        <w:rPr>
          <w:b/>
          <w:bCs/>
          <w:sz w:val="19"/>
          <w:szCs w:val="19"/>
        </w:rPr>
        <w:softHyphen/>
        <w:t>vání veřejného pořádku v obsazených krajích, a že musí potlačovat! nebo od</w:t>
      </w:r>
      <w:r>
        <w:rPr>
          <w:b/>
          <w:bCs/>
          <w:sz w:val="19"/>
          <w:szCs w:val="19"/>
        </w:rPr>
        <w:t>straňovati takové akce nebo jejich zdroje, jež by jim mohly překážeti nebo sloužiti jejich ne</w:t>
      </w:r>
      <w:r>
        <w:rPr>
          <w:b/>
          <w:bCs/>
          <w:sz w:val="19"/>
          <w:szCs w:val="19"/>
        </w:rPr>
        <w:softHyphen/>
        <w:t>příteli. Vláda Jeho Veličenstva nemá v úmyslu podporovat! jakékoli činy nebo opatření, jež by odporovala naznačeným cílům japonských vojenských sil a použije této</w:t>
      </w:r>
      <w:r>
        <w:rPr>
          <w:b/>
          <w:bCs/>
          <w:sz w:val="19"/>
          <w:szCs w:val="19"/>
        </w:rPr>
        <w:t xml:space="preserve"> příležitosti k tomu, aby v tomto směru utvrdila svoji politiku tím, že vysvětlí britským úřadům a britským občanům v Číně, že se mají zdržeti takových činů a opatření.«</w:t>
      </w:r>
    </w:p>
    <w:p w:rsidR="00500724" w:rsidRDefault="00F30FB8">
      <w:pPr>
        <w:pStyle w:val="Zkladntext100"/>
        <w:shd w:val="clear" w:color="auto" w:fill="auto"/>
        <w:spacing w:line="187" w:lineRule="auto"/>
        <w:ind w:firstLine="200"/>
        <w:rPr>
          <w:sz w:val="19"/>
          <w:szCs w:val="19"/>
        </w:rPr>
      </w:pPr>
      <w:r>
        <w:rPr>
          <w:b/>
          <w:bCs/>
          <w:sz w:val="19"/>
          <w:szCs w:val="19"/>
        </w:rPr>
        <w:t xml:space="preserve">Každý termín této dvouvěté formule je dokonale pružný. Jak rozuměti scílům japonských </w:t>
      </w:r>
      <w:r>
        <w:rPr>
          <w:b/>
          <w:bCs/>
          <w:sz w:val="19"/>
          <w:szCs w:val="19"/>
        </w:rPr>
        <w:t>vojenských sil v Číně«?i Tokio může podkládat tomuto výrazu nejširší význam, Londýn význam nejužší. A stejně může Londýn vykládat si velmi úzce a čistě lokálně »6iny nebo opatření, odporující japonským cílům«, kdežto Tokio může pod tento pojem subsumovat t</w:t>
      </w:r>
      <w:r>
        <w:rPr>
          <w:b/>
          <w:bCs/>
          <w:sz w:val="19"/>
          <w:szCs w:val="19"/>
        </w:rPr>
        <w:t>řebas celou britskou politiku v Asii.</w:t>
      </w:r>
    </w:p>
    <w:p w:rsidR="00500724" w:rsidRDefault="00F30FB8">
      <w:pPr>
        <w:pStyle w:val="Zkladntext100"/>
        <w:shd w:val="clear" w:color="auto" w:fill="auto"/>
        <w:spacing w:line="187" w:lineRule="auto"/>
        <w:ind w:firstLine="200"/>
        <w:rPr>
          <w:sz w:val="19"/>
          <w:szCs w:val="19"/>
        </w:rPr>
      </w:pPr>
      <w:r>
        <w:rPr>
          <w:b/>
          <w:bCs/>
          <w:sz w:val="19"/>
          <w:szCs w:val="19"/>
        </w:rPr>
        <w:t xml:space="preserve">Japonská oficiální místa už naznačila, že takový výklad nejspíše odpovídá jejich představám o smyslu dosažené dohody. </w:t>
      </w:r>
      <w:r>
        <w:rPr>
          <w:b/>
          <w:bCs/>
          <w:sz w:val="19"/>
          <w:szCs w:val="19"/>
          <w:lang w:val="en-US" w:eastAsia="en-US" w:bidi="en-US"/>
        </w:rPr>
        <w:t xml:space="preserve">Chamberlain a Halifax </w:t>
      </w:r>
      <w:r>
        <w:rPr>
          <w:b/>
          <w:bCs/>
          <w:sz w:val="19"/>
          <w:szCs w:val="19"/>
        </w:rPr>
        <w:t>si zase pospíšili odpovědět v obou britských sněmovnách, že dohoda neznamená z</w:t>
      </w:r>
      <w:r>
        <w:rPr>
          <w:b/>
          <w:bCs/>
          <w:sz w:val="19"/>
          <w:szCs w:val="19"/>
        </w:rPr>
        <w:t>měnu dosavadní celkové politiky Velké Britanie v Číně, která si tam nedá žádnou cizí mocí diktovat, co má a co nemá dělat. Londýnský tisk použil této příležitosti k tomu, aby znovu oslavoval sstatečný odpor Číny pod vedenim hrdinného maršála Čankajšeka«.</w:t>
      </w:r>
    </w:p>
    <w:p w:rsidR="00500724" w:rsidRDefault="00F30FB8">
      <w:pPr>
        <w:pStyle w:val="Zkladntext100"/>
        <w:shd w:val="clear" w:color="auto" w:fill="auto"/>
        <w:spacing w:line="190" w:lineRule="auto"/>
        <w:ind w:firstLine="200"/>
        <w:rPr>
          <w:sz w:val="19"/>
          <w:szCs w:val="19"/>
        </w:rPr>
      </w:pPr>
      <w:r>
        <w:rPr>
          <w:b/>
          <w:bCs/>
          <w:sz w:val="19"/>
          <w:szCs w:val="19"/>
        </w:rPr>
        <w:t>Z</w:t>
      </w:r>
      <w:r>
        <w:rPr>
          <w:b/>
          <w:bCs/>
          <w:sz w:val="19"/>
          <w:szCs w:val="19"/>
        </w:rPr>
        <w:t xml:space="preserve"> tokijského tisku se dovídáme aspoň něco bližšího o tom, od jakých »činů nebo opatření« se má Anglie na</w:t>
      </w:r>
      <w:r>
        <w:rPr>
          <w:b/>
          <w:bCs/>
          <w:sz w:val="19"/>
          <w:szCs w:val="19"/>
        </w:rPr>
        <w:softHyphen/>
        <w:t>příště zdržovat: má přestat podporovat Čankajšekovu mě</w:t>
      </w:r>
      <w:r>
        <w:rPr>
          <w:b/>
          <w:bCs/>
          <w:sz w:val="19"/>
          <w:szCs w:val="19"/>
        </w:rPr>
        <w:softHyphen/>
        <w:t>nu, Čankajšekovu armádu a Čankajšekovu vládu. Za tím účelem má zrušit veliký fond na obranu čínsk</w:t>
      </w:r>
      <w:r>
        <w:rPr>
          <w:b/>
          <w:bCs/>
          <w:sz w:val="19"/>
          <w:szCs w:val="19"/>
        </w:rPr>
        <w:t>ého dolaru, zastavit dopravu válečného materiálu do Činy přes svoje území v Burmě, odvolat svého vyslance v Cunkinu a jme</w:t>
      </w:r>
      <w:r>
        <w:rPr>
          <w:b/>
          <w:bCs/>
          <w:sz w:val="19"/>
          <w:szCs w:val="19"/>
        </w:rPr>
        <w:softHyphen/>
        <w:t>novat svého představitele u Japonsku přátelské vlády;</w:t>
      </w:r>
    </w:p>
    <w:p w:rsidR="00500724" w:rsidRDefault="00F30FB8">
      <w:pPr>
        <w:pStyle w:val="Zkladntext100"/>
        <w:shd w:val="clear" w:color="auto" w:fill="auto"/>
        <w:spacing w:after="40" w:line="209" w:lineRule="auto"/>
        <w:ind w:firstLine="0"/>
        <w:rPr>
          <w:sz w:val="19"/>
          <w:szCs w:val="19"/>
        </w:rPr>
      </w:pPr>
      <w:r>
        <w:rPr>
          <w:b/>
          <w:bCs/>
          <w:sz w:val="19"/>
          <w:szCs w:val="19"/>
        </w:rPr>
        <w:t>v Nankinu. Splní Anglie některý z těchto japonských poža</w:t>
      </w:r>
      <w:r>
        <w:rPr>
          <w:b/>
          <w:bCs/>
          <w:sz w:val="19"/>
          <w:szCs w:val="19"/>
        </w:rPr>
        <w:softHyphen/>
        <w:t>davků? Splní snad všech</w:t>
      </w:r>
      <w:r>
        <w:rPr>
          <w:b/>
          <w:bCs/>
          <w:sz w:val="19"/>
          <w:szCs w:val="19"/>
        </w:rPr>
        <w:t>ny k uspokojení Japonska, nebo nesplní vůbec žádný? Odpověď, kterou dají příští události na tyto otázky, podá zároveň nejautentiětější výklad o tom, ěeho bylo opravdu dosaženo na tokijské konferenci. Dnes je jisto jen tolik, že Velká Britanie se tam snažil</w:t>
      </w:r>
      <w:r>
        <w:rPr>
          <w:b/>
          <w:bCs/>
          <w:sz w:val="19"/>
          <w:szCs w:val="19"/>
        </w:rPr>
        <w:t>a najiti takové východisko, které by jí nebránilo pokraěovat v její dosavadní politice podpory čínského odporu proti Japonsku, jež by se však přece vyhnulo nebezpečí válečné zápletky na Dálném východě, kde si teď v Evropě angažovaná Anglie nechce vázat ruc</w:t>
      </w:r>
      <w:r>
        <w:rPr>
          <w:b/>
          <w:bCs/>
          <w:sz w:val="19"/>
          <w:szCs w:val="19"/>
        </w:rPr>
        <w:t>e.</w:t>
      </w:r>
    </w:p>
    <w:p w:rsidR="00500724" w:rsidRDefault="00F30FB8">
      <w:pPr>
        <w:pStyle w:val="Zkladntext100"/>
        <w:shd w:val="clear" w:color="auto" w:fill="auto"/>
        <w:spacing w:line="187" w:lineRule="auto"/>
        <w:ind w:firstLine="200"/>
        <w:rPr>
          <w:sz w:val="19"/>
          <w:szCs w:val="19"/>
        </w:rPr>
      </w:pPr>
      <w:r>
        <w:rPr>
          <w:b/>
          <w:bCs/>
          <w:sz w:val="19"/>
          <w:szCs w:val="19"/>
        </w:rPr>
        <w:t>Není divu, že podobné řešení vlastně nikoho neuspoko</w:t>
      </w:r>
      <w:r>
        <w:rPr>
          <w:b/>
          <w:bCs/>
          <w:sz w:val="19"/>
          <w:szCs w:val="19"/>
        </w:rPr>
        <w:softHyphen/>
        <w:t>juje. Britská obchodní komora v Sanhaji poslala už do Lon</w:t>
      </w:r>
      <w:r>
        <w:rPr>
          <w:b/>
          <w:bCs/>
          <w:sz w:val="19"/>
          <w:szCs w:val="19"/>
        </w:rPr>
        <w:softHyphen/>
        <w:t>dýna protestní telegram, naříkající nad »možností, že do</w:t>
      </w:r>
      <w:r>
        <w:rPr>
          <w:b/>
          <w:bCs/>
          <w:sz w:val="19"/>
          <w:szCs w:val="19"/>
        </w:rPr>
        <w:softHyphen/>
        <w:t>hoda povede k politováníhodné zradě britských práv, zájmů a závazků v Cíně«. Americká</w:t>
      </w:r>
      <w:r>
        <w:rPr>
          <w:b/>
          <w:bCs/>
          <w:sz w:val="19"/>
          <w:szCs w:val="19"/>
        </w:rPr>
        <w:t xml:space="preserve"> veřejnost vidí v nevinně vy</w:t>
      </w:r>
      <w:r>
        <w:rPr>
          <w:b/>
          <w:bCs/>
          <w:sz w:val="19"/>
          <w:szCs w:val="19"/>
        </w:rPr>
        <w:softHyphen/>
        <w:t xml:space="preserve">padajících slovech o »nepřátelských operacích v Čině« uznání práv válčící mocnosti, poskytnuté tu zakrytě Anglií Japonsku. Maršál Čankajšek se prý vyslovil, že na východě nebude Mnichova. A orgán japonské armády v severní Číně </w:t>
      </w:r>
      <w:r>
        <w:rPr>
          <w:b/>
          <w:bCs/>
          <w:sz w:val="19"/>
          <w:szCs w:val="19"/>
        </w:rPr>
        <w:t>se vyjadřuje o textu dohody v hypotetické větě, že »by byl docela v pořádku, kdyby šlo o upřímně smýšlející národ, že však optimismus není oprávněn v tomto případě, kde jde o Anglii, jež je známa svým diplomatickým uměním«.</w:t>
      </w:r>
    </w:p>
    <w:p w:rsidR="00500724" w:rsidRDefault="00F30FB8">
      <w:pPr>
        <w:pStyle w:val="Zkladntext100"/>
        <w:shd w:val="clear" w:color="auto" w:fill="auto"/>
        <w:tabs>
          <w:tab w:val="left" w:pos="4509"/>
        </w:tabs>
        <w:spacing w:after="200" w:line="187" w:lineRule="auto"/>
        <w:ind w:firstLine="200"/>
        <w:rPr>
          <w:sz w:val="19"/>
          <w:szCs w:val="19"/>
        </w:rPr>
      </w:pPr>
      <w:r>
        <w:rPr>
          <w:b/>
          <w:bCs/>
          <w:sz w:val="19"/>
          <w:szCs w:val="19"/>
        </w:rPr>
        <w:t>Nedůvěra je tedy obecná. ,</w:t>
      </w:r>
      <w:r>
        <w:rPr>
          <w:b/>
          <w:bCs/>
          <w:sz w:val="19"/>
          <w:szCs w:val="19"/>
        </w:rPr>
        <w:tab/>
      </w:r>
      <w:r>
        <w:rPr>
          <w:i/>
          <w:iCs/>
          <w:sz w:val="19"/>
          <w:szCs w:val="19"/>
        </w:rPr>
        <w:t>P. H.</w:t>
      </w:r>
    </w:p>
    <w:p w:rsidR="00500724" w:rsidRDefault="00F30FB8">
      <w:pPr>
        <w:pStyle w:val="Zkladntext30"/>
        <w:numPr>
          <w:ilvl w:val="0"/>
          <w:numId w:val="95"/>
        </w:numPr>
        <w:shd w:val="clear" w:color="auto" w:fill="auto"/>
        <w:tabs>
          <w:tab w:val="left" w:pos="2410"/>
        </w:tabs>
        <w:spacing w:line="178" w:lineRule="auto"/>
        <w:ind w:left="2140" w:firstLine="0"/>
        <w:jc w:val="left"/>
        <w:rPr>
          <w:sz w:val="20"/>
          <w:szCs w:val="20"/>
        </w:rPr>
      </w:pPr>
      <w:r>
        <w:rPr>
          <w:b/>
          <w:bCs/>
          <w:sz w:val="20"/>
          <w:szCs w:val="20"/>
        </w:rPr>
        <w:t>K. A.</w:t>
      </w:r>
    </w:p>
    <w:p w:rsidR="00500724" w:rsidRDefault="00F30FB8">
      <w:pPr>
        <w:pStyle w:val="Zkladntext100"/>
        <w:shd w:val="clear" w:color="auto" w:fill="auto"/>
        <w:spacing w:after="40" w:line="187" w:lineRule="auto"/>
        <w:ind w:firstLine="300"/>
        <w:rPr>
          <w:sz w:val="19"/>
          <w:szCs w:val="19"/>
        </w:rPr>
      </w:pPr>
      <w:r>
        <w:rPr>
          <w:b/>
          <w:bCs/>
          <w:sz w:val="19"/>
          <w:szCs w:val="19"/>
        </w:rPr>
        <w:t>Vysoce vážení členové britského parlamentu vypukli ve smích, když jim v pondělí 23. července sdělil ministr vnitra sir Samuel Hoare mezi jiným, že tak zvaná Irská republi</w:t>
      </w:r>
      <w:r>
        <w:rPr>
          <w:b/>
          <w:bCs/>
          <w:sz w:val="19"/>
          <w:szCs w:val="19"/>
        </w:rPr>
        <w:softHyphen/>
        <w:t>kánská armáda chtěla vyhodit do povětří i jejich sněmovní budovu. To poněkud p</w:t>
      </w:r>
      <w:r>
        <w:rPr>
          <w:b/>
          <w:bCs/>
          <w:sz w:val="19"/>
          <w:szCs w:val="19"/>
        </w:rPr>
        <w:t>řipomíná historku ze starých časů, kdy anglický soudce s úsměvem propustil obžalovaného, jenž se přiznával, že chce zničiti Britskou říši. Jinak ovšem celá věc není Angličanům právě k smíchu.</w:t>
      </w:r>
    </w:p>
    <w:p w:rsidR="00500724" w:rsidRDefault="00F30FB8">
      <w:pPr>
        <w:pStyle w:val="Zkladntext100"/>
        <w:shd w:val="clear" w:color="auto" w:fill="auto"/>
        <w:spacing w:after="40" w:line="187" w:lineRule="auto"/>
        <w:ind w:firstLine="300"/>
        <w:rPr>
          <w:sz w:val="19"/>
          <w:szCs w:val="19"/>
        </w:rPr>
      </w:pPr>
      <w:r>
        <w:rPr>
          <w:b/>
          <w:bCs/>
          <w:sz w:val="19"/>
          <w:szCs w:val="19"/>
        </w:rPr>
        <w:t>Ministr vnitra podal ve své zprávě v dolní sněmovně seznam dosav</w:t>
      </w:r>
      <w:r>
        <w:rPr>
          <w:b/>
          <w:bCs/>
          <w:sz w:val="19"/>
          <w:szCs w:val="19"/>
        </w:rPr>
        <w:t xml:space="preserve">adních násilných činů </w:t>
      </w:r>
      <w:r>
        <w:rPr>
          <w:b/>
          <w:bCs/>
          <w:sz w:val="19"/>
          <w:szCs w:val="19"/>
          <w:lang w:val="en-US" w:eastAsia="en-US" w:bidi="en-US"/>
        </w:rPr>
        <w:t xml:space="preserve">I. </w:t>
      </w:r>
      <w:r>
        <w:rPr>
          <w:b/>
          <w:bCs/>
          <w:sz w:val="19"/>
          <w:szCs w:val="19"/>
        </w:rPr>
        <w:t>K. A. Není jich málo: od ledna bylo jen v Londýně samotném spácháno 57 tero</w:t>
      </w:r>
      <w:r>
        <w:rPr>
          <w:b/>
          <w:bCs/>
          <w:sz w:val="19"/>
          <w:szCs w:val="19"/>
        </w:rPr>
        <w:softHyphen/>
        <w:t>ristických činů, na území celé Anglie jich bylo 127; jedna osoba byla při nich zabita (zatím už zemřela další oběť), 56 zraněno; věcná škoda je vysoká. Dop</w:t>
      </w:r>
      <w:r>
        <w:rPr>
          <w:b/>
          <w:bCs/>
          <w:sz w:val="19"/>
          <w:szCs w:val="19"/>
        </w:rPr>
        <w:t>adeno a odsouzeno bylo dosud 66 teroristů. Policii se podařilo objevit různá skladiště I. K. A., v nichž zabavila 1000 rozbušek a takové množství gelignitu, kyseliny sírové, aluminiového prášku a jiných složek výbušných látek, jaké by stačilo zabít tisíc l</w:t>
      </w:r>
      <w:r>
        <w:rPr>
          <w:b/>
          <w:bCs/>
          <w:sz w:val="19"/>
          <w:szCs w:val="19"/>
        </w:rPr>
        <w:t>idí a způsobit škody v ceně několika milionů liber..</w:t>
      </w:r>
    </w:p>
    <w:p w:rsidR="00500724" w:rsidRDefault="00F30FB8">
      <w:pPr>
        <w:pStyle w:val="Zkladntext100"/>
        <w:shd w:val="clear" w:color="auto" w:fill="auto"/>
        <w:spacing w:after="40" w:line="187" w:lineRule="auto"/>
        <w:ind w:firstLine="300"/>
        <w:rPr>
          <w:sz w:val="19"/>
          <w:szCs w:val="19"/>
        </w:rPr>
      </w:pPr>
      <w:r>
        <w:rPr>
          <w:b/>
          <w:bCs/>
          <w:sz w:val="19"/>
          <w:szCs w:val="19"/>
        </w:rPr>
        <w:t>Největším aktivem na straně policie je však nález tajné</w:t>
      </w:r>
      <w:r>
        <w:rPr>
          <w:b/>
          <w:bCs/>
          <w:sz w:val="19"/>
          <w:szCs w:val="19"/>
        </w:rPr>
        <w:softHyphen/>
        <w:t>ho »plánu S«, v němž dával generální štáb I. K. A. všeobec</w:t>
      </w:r>
      <w:r>
        <w:rPr>
          <w:b/>
          <w:bCs/>
          <w:sz w:val="19"/>
          <w:szCs w:val="19"/>
        </w:rPr>
        <w:softHyphen/>
        <w:t>né směrnice i podrobné instrukce k rozvinutí další tero</w:t>
      </w:r>
      <w:r>
        <w:rPr>
          <w:b/>
          <w:bCs/>
          <w:sz w:val="19"/>
          <w:szCs w:val="19"/>
        </w:rPr>
        <w:softHyphen/>
        <w:t>ristické kampaně. Je to značně o</w:t>
      </w:r>
      <w:r>
        <w:rPr>
          <w:b/>
          <w:bCs/>
          <w:sz w:val="19"/>
          <w:szCs w:val="19"/>
        </w:rPr>
        <w:t>bsáhlý dokument o něko</w:t>
      </w:r>
      <w:r>
        <w:rPr>
          <w:b/>
          <w:bCs/>
          <w:sz w:val="19"/>
          <w:szCs w:val="19"/>
        </w:rPr>
        <w:softHyphen/>
        <w:t>lika tisících slov, rozdělený do jednotlivých kapitol ve dvou hlavních částech, věnovaných propagandě a přímé akci. Plán poukazuje na známé úspěchy propagandy někte</w:t>
      </w:r>
      <w:r>
        <w:rPr>
          <w:b/>
          <w:bCs/>
          <w:sz w:val="19"/>
          <w:szCs w:val="19"/>
        </w:rPr>
        <w:softHyphen/>
        <w:t>rých evropských států, jež staví za vzor; obecenstvo má být zaplaven</w:t>
      </w:r>
      <w:r>
        <w:rPr>
          <w:b/>
          <w:bCs/>
          <w:sz w:val="19"/>
          <w:szCs w:val="19"/>
        </w:rPr>
        <w:t>o letáky a ohlušeno rozhlasem. Zbytku léta má být využito zejména k těmto psychologickým přípravám. Pak nadejde doba přímé akce ve větším rozsahu, až kratší dny a delší temnota vytvoří nejpříznivější podmínky pro teroristické útoky; z plánu se lze dohadova</w:t>
      </w:r>
      <w:r>
        <w:rPr>
          <w:b/>
          <w:bCs/>
          <w:sz w:val="19"/>
          <w:szCs w:val="19"/>
        </w:rPr>
        <w:t>t, že počátek této velkorysé akce je stanoven buď na 20. října nebo na 18. listopadu. Pak — stojí tam — »bude třeba ukázati, že je na čase udeřit, že Anglie nebyla nikdy v tak kritické situaci, jelikož jí její politické tradice brání použiti jediných metod</w:t>
      </w:r>
      <w:r>
        <w:rPr>
          <w:b/>
          <w:bCs/>
          <w:sz w:val="19"/>
          <w:szCs w:val="19"/>
        </w:rPr>
        <w:t>, které by jí mohly zajistiti dostatečnou sílu, totiž totalitních metod«. Za objekty útoků jsou v plánu vyhlédnuty zbro</w:t>
      </w:r>
      <w:r>
        <w:rPr>
          <w:b/>
          <w:bCs/>
          <w:sz w:val="19"/>
          <w:szCs w:val="19"/>
        </w:rPr>
        <w:softHyphen/>
        <w:t>jovky, letecké dílny, poštovní úřady, rozhlasové stanice, vo</w:t>
      </w:r>
      <w:r>
        <w:rPr>
          <w:b/>
          <w:bCs/>
          <w:sz w:val="19"/>
          <w:szCs w:val="19"/>
        </w:rPr>
        <w:softHyphen/>
        <w:t>dovody, elektrárny, státní úřady, redakce a tiskárny, atd., atd.</w:t>
      </w:r>
    </w:p>
    <w:p w:rsidR="00500724" w:rsidRDefault="00F30FB8">
      <w:pPr>
        <w:pStyle w:val="Zkladntext100"/>
        <w:shd w:val="clear" w:color="auto" w:fill="auto"/>
        <w:tabs>
          <w:tab w:val="left" w:pos="4509"/>
        </w:tabs>
        <w:spacing w:after="40" w:line="187" w:lineRule="auto"/>
        <w:ind w:firstLine="300"/>
        <w:rPr>
          <w:sz w:val="19"/>
          <w:szCs w:val="19"/>
        </w:rPr>
      </w:pPr>
      <w:r>
        <w:rPr>
          <w:b/>
          <w:bCs/>
          <w:sz w:val="19"/>
          <w:szCs w:val="19"/>
        </w:rPr>
        <w:t>Odhalení t</w:t>
      </w:r>
      <w:r>
        <w:rPr>
          <w:b/>
          <w:bCs/>
          <w:sz w:val="19"/>
          <w:szCs w:val="19"/>
        </w:rPr>
        <w:t xml:space="preserve">ohoto plánu bylo pro vládu důvodem k tomu, aby požádala sněmovnu o schválení výjimečného zákona proti </w:t>
      </w:r>
      <w:r>
        <w:rPr>
          <w:b/>
          <w:bCs/>
          <w:sz w:val="19"/>
          <w:szCs w:val="19"/>
          <w:lang w:val="en-US" w:eastAsia="en-US" w:bidi="en-US"/>
        </w:rPr>
        <w:t xml:space="preserve">I. </w:t>
      </w:r>
      <w:r>
        <w:rPr>
          <w:b/>
          <w:bCs/>
          <w:sz w:val="19"/>
          <w:szCs w:val="19"/>
        </w:rPr>
        <w:t>K. A. Zákon byl zatím už schválen, podepsán krá</w:t>
      </w:r>
      <w:r>
        <w:rPr>
          <w:b/>
          <w:bCs/>
          <w:sz w:val="19"/>
          <w:szCs w:val="19"/>
        </w:rPr>
        <w:softHyphen/>
        <w:t>lem a vstoupil v platnost. Jeho působnost je omezena na dva roky a jeho opatření, třeba v rámci ostatní</w:t>
      </w:r>
      <w:r>
        <w:rPr>
          <w:b/>
          <w:bCs/>
          <w:sz w:val="19"/>
          <w:szCs w:val="19"/>
        </w:rPr>
        <w:t>ho britského zákonodárství mimořádná, nepoužívají metod, o nichž s ta</w:t>
      </w:r>
      <w:r>
        <w:rPr>
          <w:b/>
          <w:bCs/>
          <w:sz w:val="19"/>
          <w:szCs w:val="19"/>
        </w:rPr>
        <w:softHyphen/>
        <w:t>kovým respektem mluví »plán S«. Milovníky anglických detektivek bude zajímat, že podle jeho nejdrastičtějšího ustanovení může britská policie provádět zatčení osob, po</w:t>
      </w:r>
      <w:r>
        <w:rPr>
          <w:b/>
          <w:bCs/>
          <w:sz w:val="19"/>
          <w:szCs w:val="19"/>
        </w:rPr>
        <w:softHyphen/>
        <w:t>dezřelých ze styků</w:t>
      </w:r>
      <w:r>
        <w:rPr>
          <w:b/>
          <w:bCs/>
          <w:sz w:val="19"/>
          <w:szCs w:val="19"/>
        </w:rPr>
        <w:t xml:space="preserve"> s L B. A., aniž by si dříve musela opatřit soudní zatykač.</w:t>
      </w:r>
      <w:r>
        <w:rPr>
          <w:b/>
          <w:bCs/>
          <w:sz w:val="19"/>
          <w:szCs w:val="19"/>
        </w:rPr>
        <w:tab/>
      </w:r>
      <w:r>
        <w:rPr>
          <w:i/>
          <w:iCs/>
          <w:sz w:val="19"/>
          <w:szCs w:val="19"/>
        </w:rPr>
        <w:t>P. H.</w:t>
      </w:r>
    </w:p>
    <w:p w:rsidR="00500724" w:rsidRDefault="00F30FB8">
      <w:pPr>
        <w:pStyle w:val="Zkladntext30"/>
        <w:shd w:val="clear" w:color="auto" w:fill="auto"/>
        <w:spacing w:after="100" w:line="175" w:lineRule="auto"/>
        <w:ind w:firstLine="0"/>
        <w:jc w:val="center"/>
        <w:rPr>
          <w:sz w:val="20"/>
          <w:szCs w:val="20"/>
        </w:rPr>
      </w:pPr>
      <w:r>
        <w:rPr>
          <w:b/>
          <w:bCs/>
          <w:sz w:val="20"/>
          <w:szCs w:val="20"/>
        </w:rPr>
        <w:t>Národní soud</w:t>
      </w:r>
    </w:p>
    <w:p w:rsidR="00500724" w:rsidRDefault="00F30FB8">
      <w:pPr>
        <w:pStyle w:val="Zkladntext100"/>
        <w:shd w:val="clear" w:color="auto" w:fill="auto"/>
        <w:spacing w:line="187" w:lineRule="auto"/>
        <w:ind w:firstLine="220"/>
        <w:rPr>
          <w:sz w:val="19"/>
          <w:szCs w:val="19"/>
        </w:rPr>
      </w:pPr>
      <w:r>
        <w:rPr>
          <w:b/>
          <w:bCs/>
          <w:sz w:val="19"/>
          <w:szCs w:val="19"/>
        </w:rPr>
        <w:t>Chtěli bychom, aby mezi námi nebylo nikoho, kdo by si z čistého srdce nepřál očisty našeho veřejného života. A víme také, že každé upřímné úsilí o ni má vždy a všude dva druhy n</w:t>
      </w:r>
      <w:r>
        <w:rPr>
          <w:b/>
          <w:bCs/>
          <w:sz w:val="19"/>
          <w:szCs w:val="19"/>
        </w:rPr>
        <w:t>epřátel: jedny, kteří se musí takové čistoty pro sebe bát, a druhé, kteří by jí chtěli pro sebe využít. Má-li se očista podařit, nesmí na ni mít vliv ani ti první ani ti dr</w:t>
      </w:r>
      <w:r>
        <w:rPr>
          <w:b/>
          <w:bCs/>
          <w:sz w:val="19"/>
          <w:szCs w:val="19"/>
          <w:u w:val="single"/>
        </w:rPr>
        <w:t xml:space="preserve">uzi. </w:t>
      </w:r>
      <w:r>
        <w:rPr>
          <w:b/>
          <w:bCs/>
          <w:sz w:val="19"/>
          <w:szCs w:val="19"/>
        </w:rPr>
        <w:t>Vliv prvního druhu odpůrců každé očisty je dnes roven nule; s této strany netře</w:t>
      </w:r>
      <w:r>
        <w:rPr>
          <w:b/>
          <w:bCs/>
          <w:sz w:val="19"/>
          <w:szCs w:val="19"/>
        </w:rPr>
        <w:t>ba mít obav. To bohužel nelze říci o škůdcích očisty té druhé sorty — jejich řemeslo vzkvétá. A je jen jedna věc, jež tu může zabránit vážným škodám: národní kázeň, posilovaná důvěrou k Národnímu souručen</w:t>
      </w:r>
      <w:r>
        <w:rPr>
          <w:b/>
          <w:bCs/>
          <w:sz w:val="19"/>
          <w:szCs w:val="19"/>
        </w:rPr>
        <w:softHyphen/>
        <w:t>ství.</w:t>
      </w:r>
    </w:p>
    <w:p w:rsidR="00500724" w:rsidRDefault="00F30FB8">
      <w:pPr>
        <w:pStyle w:val="Zkladntext100"/>
        <w:shd w:val="clear" w:color="auto" w:fill="auto"/>
        <w:spacing w:line="185" w:lineRule="auto"/>
        <w:ind w:firstLine="220"/>
        <w:rPr>
          <w:sz w:val="19"/>
          <w:szCs w:val="19"/>
        </w:rPr>
      </w:pPr>
      <w:r>
        <w:rPr>
          <w:b/>
          <w:bCs/>
          <w:sz w:val="19"/>
          <w:szCs w:val="19"/>
        </w:rPr>
        <w:t>Jde nám všem o očistu našeho politického živo</w:t>
      </w:r>
      <w:r>
        <w:rPr>
          <w:b/>
          <w:bCs/>
          <w:sz w:val="19"/>
          <w:szCs w:val="19"/>
        </w:rPr>
        <w:t>ta, ne o pošpinění celé naší minulosti. Žijeme v přítomnosti, a ne</w:t>
      </w:r>
      <w:r>
        <w:rPr>
          <w:b/>
          <w:bCs/>
          <w:sz w:val="19"/>
          <w:szCs w:val="19"/>
        </w:rPr>
        <w:softHyphen/>
        <w:t>dosáhlo by se účelu očistné akce, kdyby se měly před ná</w:t>
      </w:r>
      <w:r>
        <w:rPr>
          <w:b/>
          <w:bCs/>
          <w:sz w:val="19"/>
          <w:szCs w:val="19"/>
        </w:rPr>
        <w:softHyphen/>
        <w:t>rodní soud postavit jen odbyté veličiny. Vláda a vedení Národního souručenství to nejen správně postihly, nýbrž — což je mnohem víc —</w:t>
      </w:r>
      <w:r>
        <w:rPr>
          <w:b/>
          <w:bCs/>
          <w:sz w:val="19"/>
          <w:szCs w:val="19"/>
        </w:rPr>
        <w:t xml:space="preserve"> samy nastoupily správnou cestu tím, že prvnímu vyšetřování podrobily svoje vlastní členy, tedy politické osobnosti dneška.</w:t>
      </w:r>
    </w:p>
    <w:p w:rsidR="00500724" w:rsidRDefault="00F30FB8">
      <w:pPr>
        <w:pStyle w:val="Zkladntext100"/>
        <w:shd w:val="clear" w:color="auto" w:fill="auto"/>
        <w:spacing w:line="185" w:lineRule="auto"/>
        <w:ind w:firstLine="220"/>
        <w:rPr>
          <w:sz w:val="19"/>
          <w:szCs w:val="19"/>
        </w:rPr>
      </w:pPr>
      <w:r>
        <w:rPr>
          <w:b/>
          <w:bCs/>
          <w:sz w:val="19"/>
          <w:szCs w:val="19"/>
        </w:rPr>
        <w:t>Mělo by to být příkladem k následování. V poslední době se objevila různá »hnutí«, která zajisté mají také nějaké vůdce. Národ o nic</w:t>
      </w:r>
      <w:r>
        <w:rPr>
          <w:b/>
          <w:bCs/>
          <w:sz w:val="19"/>
          <w:szCs w:val="19"/>
        </w:rPr>
        <w:t>h nic neví — leda to, že mezi jiným usi</w:t>
      </w:r>
      <w:r>
        <w:rPr>
          <w:b/>
          <w:bCs/>
          <w:sz w:val="19"/>
          <w:szCs w:val="19"/>
        </w:rPr>
        <w:softHyphen/>
        <w:t>lovně horlí po očistě a volají na soud národa kdekoho. Bu</w:t>
      </w:r>
      <w:r>
        <w:rPr>
          <w:b/>
          <w:bCs/>
          <w:sz w:val="19"/>
          <w:szCs w:val="19"/>
        </w:rPr>
        <w:softHyphen/>
        <w:t>dou následovat příkladu těch našich vůdců, kteří mají dů</w:t>
      </w:r>
      <w:r>
        <w:rPr>
          <w:b/>
          <w:bCs/>
          <w:sz w:val="19"/>
          <w:szCs w:val="19"/>
        </w:rPr>
        <w:softHyphen/>
        <w:t>věru dvou milionů českých mužů?</w:t>
      </w:r>
    </w:p>
    <w:p w:rsidR="00500724" w:rsidRDefault="00F30FB8">
      <w:pPr>
        <w:pStyle w:val="Zkladntext100"/>
        <w:shd w:val="clear" w:color="auto" w:fill="auto"/>
        <w:spacing w:line="187" w:lineRule="auto"/>
        <w:ind w:firstLine="220"/>
        <w:rPr>
          <w:sz w:val="19"/>
          <w:szCs w:val="19"/>
        </w:rPr>
      </w:pPr>
      <w:r>
        <w:rPr>
          <w:b/>
          <w:bCs/>
          <w:sz w:val="19"/>
          <w:szCs w:val="19"/>
        </w:rPr>
        <w:t>Aby nám bylo rozuměno: nemyslíme, že by lidé, o něž tu jde, měli vysv</w:t>
      </w:r>
      <w:r>
        <w:rPr>
          <w:b/>
          <w:bCs/>
          <w:sz w:val="19"/>
          <w:szCs w:val="19"/>
        </w:rPr>
        <w:t>ětlovat původ svého majetku. Patrně ještě nejsou dost daleko od svého politického startu, aby se už dnes doporučovalo takové vyšetření; na to je ještě dost času. Ale dnes by národ zajímalo nahlédnout do běžného účetnictví jejich podniků, zejména tiskových,</w:t>
      </w:r>
      <w:r>
        <w:rPr>
          <w:b/>
          <w:bCs/>
          <w:sz w:val="19"/>
          <w:szCs w:val="19"/>
        </w:rPr>
        <w:t xml:space="preserve"> těch daleko nejnákladnějších. Kdyby chtěli následovat příklad vlády a výboru Národního souručenství, měli by předložit národ</w:t>
      </w:r>
      <w:r>
        <w:rPr>
          <w:b/>
          <w:bCs/>
          <w:sz w:val="19"/>
          <w:szCs w:val="19"/>
        </w:rPr>
        <w:softHyphen/>
        <w:t>nímu soudu podrobné doklady o tom, jaký je náklad jejich tiskovin, kolik mají abonentů, jaká je jejich remitenda, jak se u nich pr</w:t>
      </w:r>
      <w:r>
        <w:rPr>
          <w:b/>
          <w:bCs/>
          <w:sz w:val="19"/>
          <w:szCs w:val="19"/>
        </w:rPr>
        <w:t>aktikuje sbírání inserátů; měli by prostě před</w:t>
      </w:r>
      <w:r>
        <w:rPr>
          <w:b/>
          <w:bCs/>
          <w:sz w:val="19"/>
          <w:szCs w:val="19"/>
        </w:rPr>
        <w:softHyphen/>
        <w:t>ložit aktiva a pasiva svých redakcí a administrací. Není přece žádným tajemstvím, že v bývalém režimu byly tak mnohé listy financovány stranami — velikými stranami, zajisté mnohonásobně většími a bohatšími než</w:t>
      </w:r>
      <w:r>
        <w:rPr>
          <w:b/>
          <w:bCs/>
          <w:sz w:val="19"/>
          <w:szCs w:val="19"/>
        </w:rPr>
        <w:t xml:space="preserve"> jsou hnutí, stojící dnes mimo Národní souručenství.</w:t>
      </w:r>
    </w:p>
    <w:p w:rsidR="00500724" w:rsidRDefault="00F30FB8">
      <w:pPr>
        <w:pStyle w:val="Zkladntext100"/>
        <w:shd w:val="clear" w:color="auto" w:fill="auto"/>
        <w:tabs>
          <w:tab w:val="left" w:pos="4478"/>
        </w:tabs>
        <w:spacing w:after="100" w:line="187" w:lineRule="auto"/>
        <w:ind w:firstLine="220"/>
        <w:rPr>
          <w:sz w:val="19"/>
          <w:szCs w:val="19"/>
        </w:rPr>
      </w:pPr>
      <w:r>
        <w:rPr>
          <w:b/>
          <w:bCs/>
          <w:sz w:val="19"/>
          <w:szCs w:val="19"/>
        </w:rPr>
        <w:t>Nevezmou-li si tito pánové přiklad z vlády a vůdců Ná</w:t>
      </w:r>
      <w:r>
        <w:rPr>
          <w:b/>
          <w:bCs/>
          <w:sz w:val="19"/>
          <w:szCs w:val="19"/>
        </w:rPr>
        <w:softHyphen/>
        <w:t>rodního souručenství, nevadí, nikdo je nebude nutit. Bude jen těžko se pak nesmát, až budou zase jednou volat někoho na očistný soud.</w:t>
      </w:r>
      <w:r>
        <w:rPr>
          <w:b/>
          <w:bCs/>
          <w:sz w:val="19"/>
          <w:szCs w:val="19"/>
        </w:rPr>
        <w:tab/>
      </w:r>
      <w:r>
        <w:rPr>
          <w:i/>
          <w:iCs/>
          <w:sz w:val="19"/>
          <w:szCs w:val="19"/>
        </w:rPr>
        <w:t>p. H.</w:t>
      </w:r>
    </w:p>
    <w:p w:rsidR="00500724" w:rsidRDefault="00F30FB8">
      <w:pPr>
        <w:pStyle w:val="Nadpis120"/>
        <w:shd w:val="clear" w:color="auto" w:fill="auto"/>
        <w:spacing w:line="161" w:lineRule="auto"/>
        <w:ind w:left="0"/>
        <w:jc w:val="center"/>
      </w:pPr>
      <w:bookmarkStart w:id="771" w:name="bookmark770"/>
      <w:r>
        <w:t xml:space="preserve">Úvaha o </w:t>
      </w:r>
      <w:r>
        <w:t>právnících</w:t>
      </w:r>
      <w:bookmarkEnd w:id="771"/>
    </w:p>
    <w:p w:rsidR="00500724" w:rsidRDefault="00F30FB8">
      <w:pPr>
        <w:pStyle w:val="Zkladntext100"/>
        <w:shd w:val="clear" w:color="auto" w:fill="auto"/>
        <w:spacing w:line="185" w:lineRule="auto"/>
        <w:ind w:firstLine="220"/>
        <w:rPr>
          <w:sz w:val="19"/>
          <w:szCs w:val="19"/>
        </w:rPr>
      </w:pPr>
      <w:r>
        <w:rPr>
          <w:b/>
          <w:bCs/>
          <w:sz w:val="19"/>
          <w:szCs w:val="19"/>
        </w:rPr>
        <w:t>V rámci širší akce, která má zapojit všecky ruce a vše</w:t>
      </w:r>
      <w:r>
        <w:rPr>
          <w:b/>
          <w:bCs/>
          <w:sz w:val="19"/>
          <w:szCs w:val="19"/>
        </w:rPr>
        <w:softHyphen/>
        <w:t>cky mozky práce schopné a dovést k celkovému hospodář</w:t>
      </w:r>
      <w:r>
        <w:rPr>
          <w:b/>
          <w:bCs/>
          <w:sz w:val="19"/>
          <w:szCs w:val="19"/>
        </w:rPr>
        <w:softHyphen/>
        <w:t>skému blahobytu, chybí dosud systematické začlenění inte</w:t>
      </w:r>
      <w:r>
        <w:rPr>
          <w:b/>
          <w:bCs/>
          <w:sz w:val="19"/>
          <w:szCs w:val="19"/>
        </w:rPr>
        <w:softHyphen/>
        <w:t>ligence všeho druhu. Říkám: systematické; a je na povola</w:t>
      </w:r>
      <w:r>
        <w:rPr>
          <w:b/>
          <w:bCs/>
          <w:sz w:val="19"/>
          <w:szCs w:val="19"/>
        </w:rPr>
        <w:softHyphen/>
        <w:t xml:space="preserve">ných, aby vydali svůj </w:t>
      </w:r>
      <w:r>
        <w:rPr>
          <w:b/>
          <w:bCs/>
          <w:sz w:val="19"/>
          <w:szCs w:val="19"/>
        </w:rPr>
        <w:t>počet v podobě konkrétního plánu, jenž by odpovídal hospodářské soustavě, ať bude jakákoliv. Než však dojde k tomu, je tu naléhavá potřeba zařadit ně</w:t>
      </w:r>
      <w:r>
        <w:rPr>
          <w:b/>
          <w:bCs/>
          <w:sz w:val="19"/>
          <w:szCs w:val="19"/>
        </w:rPr>
        <w:softHyphen/>
        <w:t>jak do hospodářského koloběhu ty, kteří už tady jsou, totiž vysokoškoláků všeho druhu i středoškoláků, z v</w:t>
      </w:r>
      <w:r>
        <w:rPr>
          <w:b/>
          <w:bCs/>
          <w:sz w:val="19"/>
          <w:szCs w:val="19"/>
        </w:rPr>
        <w:t>ysokoško</w:t>
      </w:r>
      <w:r>
        <w:rPr>
          <w:b/>
          <w:bCs/>
          <w:sz w:val="19"/>
          <w:szCs w:val="19"/>
        </w:rPr>
        <w:softHyphen/>
        <w:t>láků pak onoho stavu, který nedostatek plánů, pravidel a řádů snáší nejtíže, to jest právníků.</w:t>
      </w:r>
    </w:p>
    <w:p w:rsidR="00500724" w:rsidRDefault="00F30FB8">
      <w:pPr>
        <w:pStyle w:val="Zkladntext100"/>
        <w:shd w:val="clear" w:color="auto" w:fill="auto"/>
        <w:spacing w:line="185" w:lineRule="auto"/>
        <w:ind w:firstLine="220"/>
        <w:rPr>
          <w:sz w:val="19"/>
          <w:szCs w:val="19"/>
        </w:rPr>
      </w:pPr>
      <w:r>
        <w:rPr>
          <w:b/>
          <w:bCs/>
          <w:sz w:val="19"/>
          <w:szCs w:val="19"/>
        </w:rPr>
        <w:t>O koho vlastně jde? Týká se to mnohých (a bude týkat); zde však mám na mysli hlavně těch několik ročníků absol</w:t>
      </w:r>
      <w:r>
        <w:rPr>
          <w:b/>
          <w:bCs/>
          <w:sz w:val="19"/>
          <w:szCs w:val="19"/>
        </w:rPr>
        <w:softHyphen/>
        <w:t>vovaných právníků, kteří dokončili studia</w:t>
      </w:r>
      <w:r>
        <w:rPr>
          <w:b/>
          <w:bCs/>
          <w:sz w:val="19"/>
          <w:szCs w:val="19"/>
        </w:rPr>
        <w:t xml:space="preserve"> v roce 1936 anebo později, což jsou mezi postiženými ti nejpostiženější. Před</w:t>
      </w:r>
      <w:r>
        <w:rPr>
          <w:b/>
          <w:bCs/>
          <w:sz w:val="19"/>
          <w:szCs w:val="19"/>
        </w:rPr>
        <w:softHyphen/>
        <w:t>pokládám při tom, že většina z nich byla vojáky, t. j. odbyla si aspoň rok vojenské služby — neboť ti nevojáci, kteří absolvovali nejpozději počátkem roku 1938, jsou celkem zamě</w:t>
      </w:r>
      <w:r>
        <w:rPr>
          <w:b/>
          <w:bCs/>
          <w:sz w:val="19"/>
          <w:szCs w:val="19"/>
        </w:rPr>
        <w:t>stnáni.</w:t>
      </w:r>
    </w:p>
    <w:p w:rsidR="00500724" w:rsidRDefault="00F30FB8">
      <w:pPr>
        <w:pStyle w:val="Zkladntext100"/>
        <w:shd w:val="clear" w:color="auto" w:fill="auto"/>
        <w:spacing w:line="185" w:lineRule="auto"/>
        <w:ind w:firstLine="220"/>
        <w:rPr>
          <w:sz w:val="19"/>
          <w:szCs w:val="19"/>
        </w:rPr>
      </w:pPr>
      <w:r>
        <w:rPr>
          <w:b/>
          <w:bCs/>
          <w:sz w:val="19"/>
          <w:szCs w:val="19"/>
        </w:rPr>
        <w:t>Samozřejmě, že vojenská služba není jediné kriterium a že třeba dále rozlišovat podle sociálního postavení. Je však zřejmo, že vojenská služba, jíž podléhala většina práv</w:t>
      </w:r>
      <w:r>
        <w:rPr>
          <w:b/>
          <w:bCs/>
          <w:sz w:val="19"/>
          <w:szCs w:val="19"/>
        </w:rPr>
        <w:softHyphen/>
        <w:t xml:space="preserve">níků, vykonávala určitou regulativní funkci v přírůstku právnického dorostu; </w:t>
      </w:r>
      <w:r>
        <w:rPr>
          <w:b/>
          <w:bCs/>
          <w:sz w:val="19"/>
          <w:szCs w:val="19"/>
        </w:rPr>
        <w:t>tato funkce vzala za své v důsledku změněných poměrů, čímž se navršily ětyři právnické roč</w:t>
      </w:r>
      <w:r>
        <w:rPr>
          <w:b/>
          <w:bCs/>
          <w:sz w:val="19"/>
          <w:szCs w:val="19"/>
        </w:rPr>
        <w:softHyphen/>
        <w:t>níky; protože pak změněné poměry měly ještě hospodářské důsledky, nastal stav, který nutně vyžaduje zakročení.</w:t>
      </w:r>
    </w:p>
    <w:p w:rsidR="00500724" w:rsidRDefault="00F30FB8">
      <w:pPr>
        <w:pStyle w:val="Zkladntext100"/>
        <w:shd w:val="clear" w:color="auto" w:fill="auto"/>
        <w:spacing w:line="185" w:lineRule="auto"/>
        <w:ind w:firstLine="220"/>
        <w:rPr>
          <w:sz w:val="19"/>
          <w:szCs w:val="19"/>
        </w:rPr>
      </w:pPr>
      <w:r>
        <w:rPr>
          <w:b/>
          <w:bCs/>
          <w:sz w:val="19"/>
          <w:szCs w:val="19"/>
        </w:rPr>
        <w:t xml:space="preserve">Snad nebude — přes všecky řeči o přeškolování — sporu </w:t>
      </w:r>
      <w:r>
        <w:rPr>
          <w:b/>
          <w:bCs/>
          <w:sz w:val="19"/>
          <w:szCs w:val="19"/>
        </w:rPr>
        <w:t>o tom, že právník je člověk, který se má zabývat právem. To zmámená právním řádem, jaký je, tvořit ho, když není vůbec a zlepšovat ho, je-li špatný. Tato nikterak nová for</w:t>
      </w:r>
      <w:r>
        <w:rPr>
          <w:b/>
          <w:bCs/>
          <w:sz w:val="19"/>
          <w:szCs w:val="19"/>
        </w:rPr>
        <w:softHyphen/>
        <w:t xml:space="preserve">mulace je příliš úzká i příliš široká. Právník jako takový nemůže mít akční </w:t>
      </w:r>
      <w:r>
        <w:rPr>
          <w:b/>
          <w:bCs/>
          <w:sz w:val="19"/>
          <w:szCs w:val="19"/>
          <w:lang w:val="en-US" w:eastAsia="en-US" w:bidi="en-US"/>
        </w:rPr>
        <w:t xml:space="preserve">radius </w:t>
      </w:r>
      <w:r>
        <w:rPr>
          <w:b/>
          <w:bCs/>
          <w:sz w:val="19"/>
          <w:szCs w:val="19"/>
        </w:rPr>
        <w:t>p</w:t>
      </w:r>
      <w:r>
        <w:rPr>
          <w:b/>
          <w:bCs/>
          <w:sz w:val="19"/>
          <w:szCs w:val="19"/>
        </w:rPr>
        <w:t>řes hranice státu, neboť ne</w:t>
      </w:r>
      <w:r>
        <w:rPr>
          <w:b/>
          <w:bCs/>
          <w:sz w:val="19"/>
          <w:szCs w:val="19"/>
        </w:rPr>
        <w:softHyphen/>
        <w:t>mluvíc o vědecké činnosti nikdo za hranicemi nepotřebuje jeho znalostí, aspoň ne tak jako na př. znalostí zeměděl</w:t>
      </w:r>
      <w:r>
        <w:rPr>
          <w:b/>
          <w:bCs/>
          <w:sz w:val="19"/>
          <w:szCs w:val="19"/>
        </w:rPr>
        <w:softHyphen/>
        <w:t xml:space="preserve">ského inženýra. Na druhé straně široký pojem právního řádu neříká určitěji, na jaké místo se ten který právník má </w:t>
      </w:r>
      <w:r>
        <w:rPr>
          <w:b/>
          <w:bCs/>
          <w:sz w:val="19"/>
          <w:szCs w:val="19"/>
        </w:rPr>
        <w:t>postavit, aby byl toho řádu platným členem. Kdysi — za Marie Terezie — na tom nezáleželo; umístil se tak jako tak a právní řád už si to se svými strážci-národohospodáři srovnal nějak sám. Výhody těch dob už dnes ovšem ne</w:t>
      </w:r>
      <w:r>
        <w:rPr>
          <w:b/>
          <w:bCs/>
          <w:sz w:val="19"/>
          <w:szCs w:val="19"/>
        </w:rPr>
        <w:softHyphen/>
        <w:t>platí, zato však trvá jako jejich n</w:t>
      </w:r>
      <w:r>
        <w:rPr>
          <w:b/>
          <w:bCs/>
          <w:sz w:val="19"/>
          <w:szCs w:val="19"/>
        </w:rPr>
        <w:t>ásledek, že se ponechává mladému právníkovi, aby se umístil jak dovede, a že o ji</w:t>
      </w:r>
      <w:r>
        <w:rPr>
          <w:b/>
          <w:bCs/>
          <w:sz w:val="19"/>
          <w:szCs w:val="19"/>
        </w:rPr>
        <w:softHyphen/>
        <w:t>ném než vědeckém právnickém dorostu se vůbec nedá mlu</w:t>
      </w:r>
      <w:r>
        <w:rPr>
          <w:b/>
          <w:bCs/>
          <w:sz w:val="19"/>
          <w:szCs w:val="19"/>
        </w:rPr>
        <w:softHyphen/>
        <w:t>vit, neboť tu chybí jakákoliv organisace. Jinak řečeno, do</w:t>
      </w:r>
      <w:r>
        <w:rPr>
          <w:b/>
          <w:bCs/>
          <w:sz w:val="19"/>
          <w:szCs w:val="19"/>
        </w:rPr>
        <w:softHyphen/>
        <w:t>kud není mladý právník členem nějakého cechu, dejme tomu advo</w:t>
      </w:r>
      <w:r>
        <w:rPr>
          <w:b/>
          <w:bCs/>
          <w:sz w:val="19"/>
          <w:szCs w:val="19"/>
        </w:rPr>
        <w:t>kátních koncipientů, nechce se o něho starat vůbec nikdo.</w:t>
      </w:r>
    </w:p>
    <w:p w:rsidR="00500724" w:rsidRDefault="00F30FB8">
      <w:pPr>
        <w:pStyle w:val="Zkladntext100"/>
        <w:shd w:val="clear" w:color="auto" w:fill="auto"/>
        <w:spacing w:line="185" w:lineRule="auto"/>
        <w:ind w:firstLine="260"/>
        <w:rPr>
          <w:sz w:val="19"/>
          <w:szCs w:val="19"/>
        </w:rPr>
      </w:pPr>
      <w:r>
        <w:rPr>
          <w:b/>
          <w:bCs/>
          <w:sz w:val="19"/>
          <w:szCs w:val="19"/>
        </w:rPr>
        <w:t>Z toho plyne předně požadavek evidence a kontroly pří</w:t>
      </w:r>
      <w:r>
        <w:rPr>
          <w:b/>
          <w:bCs/>
          <w:sz w:val="19"/>
          <w:szCs w:val="19"/>
        </w:rPr>
        <w:softHyphen/>
        <w:t>růstku právnického dorostu; tomu účelu má vyhovovat v tyto dny obnovená Statistická kancelář nezaměstnané inteligence. Čím se tento dorost má ko</w:t>
      </w:r>
      <w:r>
        <w:rPr>
          <w:b/>
          <w:bCs/>
          <w:sz w:val="19"/>
          <w:szCs w:val="19"/>
        </w:rPr>
        <w:t>nkrétně zabývat, je anebo měla by být otázka podrobného plánu, jak jsem již řekl. Zbývá zaujmout stanovisko k t zv. přeškolování a označit zhruba cestu k odstranění nynější stagnace.</w:t>
      </w:r>
    </w:p>
    <w:p w:rsidR="00500724" w:rsidRDefault="00F30FB8">
      <w:pPr>
        <w:pStyle w:val="Zkladntext100"/>
        <w:shd w:val="clear" w:color="auto" w:fill="auto"/>
        <w:spacing w:line="185" w:lineRule="auto"/>
        <w:ind w:firstLine="260"/>
        <w:rPr>
          <w:sz w:val="19"/>
          <w:szCs w:val="19"/>
        </w:rPr>
      </w:pPr>
      <w:r>
        <w:rPr>
          <w:b/>
          <w:bCs/>
          <w:sz w:val="19"/>
          <w:szCs w:val="19"/>
        </w:rPr>
        <w:t>Zásadně si dovoluji tvrdit, že přeškolovat vysokoškoláka je škoda. Přibra</w:t>
      </w:r>
      <w:r>
        <w:rPr>
          <w:b/>
          <w:bCs/>
          <w:sz w:val="19"/>
          <w:szCs w:val="19"/>
        </w:rPr>
        <w:t>t k tomu, co nás učili na fakultě, ještě bůhvíjaké odborné znalosti — proč ne; ale máme důvod se obávat, že takto to přeškolení není myšleno. Šlo by patrně o takové přeškolení, při němž by právník práv vůbec nechal. Jaké asi má pocity ten, jehož se to týče</w:t>
      </w:r>
      <w:r>
        <w:rPr>
          <w:b/>
          <w:bCs/>
          <w:sz w:val="19"/>
          <w:szCs w:val="19"/>
        </w:rPr>
        <w:t>, je na bíle- dni. Ostatně je znamenitá pravděpodobnost, že bude tento předčasně emeritní právník vystaven konkurenčnímu boji, v němž neobstojí bez státního zásahu, půjdeJi o odborné discipliny dejme tomu obchodní, proti lidem po případě zrovna tak vysokoš</w:t>
      </w:r>
      <w:r>
        <w:rPr>
          <w:b/>
          <w:bCs/>
          <w:sz w:val="19"/>
          <w:szCs w:val="19"/>
        </w:rPr>
        <w:t>kolsky kvalifikovaným.</w:t>
      </w:r>
    </w:p>
    <w:p w:rsidR="00500724" w:rsidRDefault="00F30FB8">
      <w:pPr>
        <w:pStyle w:val="Zkladntext100"/>
        <w:shd w:val="clear" w:color="auto" w:fill="auto"/>
        <w:spacing w:line="182" w:lineRule="auto"/>
        <w:ind w:firstLine="260"/>
        <w:rPr>
          <w:sz w:val="19"/>
          <w:szCs w:val="19"/>
        </w:rPr>
      </w:pPr>
      <w:r>
        <w:rPr>
          <w:b/>
          <w:bCs/>
          <w:sz w:val="19"/>
          <w:szCs w:val="19"/>
        </w:rPr>
        <w:t>Pokud jde o jiný právnický chléb než státní (soudy a jiné úřady), přichází v úvahu jako nejlepší prakse advo</w:t>
      </w:r>
      <w:r>
        <w:rPr>
          <w:b/>
          <w:bCs/>
          <w:sz w:val="19"/>
          <w:szCs w:val="19"/>
        </w:rPr>
        <w:softHyphen/>
        <w:t>kátní. Svatá prakse — to je vůbec bolest těchto mladých právníků, kterou si nezavinili. Advokáti koncipienty zásad</w:t>
      </w:r>
      <w:r>
        <w:rPr>
          <w:b/>
          <w:bCs/>
          <w:sz w:val="19"/>
          <w:szCs w:val="19"/>
        </w:rPr>
        <w:softHyphen/>
        <w:t>ně nepřij</w:t>
      </w:r>
      <w:r>
        <w:rPr>
          <w:b/>
          <w:bCs/>
          <w:sz w:val="19"/>
          <w:szCs w:val="19"/>
        </w:rPr>
        <w:t>ímají, tvrdíce, že nemohou dát koncipientovi pro začátek 800 K měsíčně a unést daňové zatížení při základu asi o 60.000 K ročně vyšším. Není ovšem pravda, že to říkají všichni, nýbrž je pravda, že někteří to neříkají. Skrze advo</w:t>
      </w:r>
      <w:r>
        <w:rPr>
          <w:b/>
          <w:bCs/>
          <w:sz w:val="19"/>
          <w:szCs w:val="19"/>
        </w:rPr>
        <w:softHyphen/>
        <w:t>kátní nebo soudcovskou prak</w:t>
      </w:r>
      <w:r>
        <w:rPr>
          <w:b/>
          <w:bCs/>
          <w:sz w:val="19"/>
          <w:szCs w:val="19"/>
        </w:rPr>
        <w:t>si pak vede cesta k soukromé</w:t>
      </w:r>
      <w:r>
        <w:rPr>
          <w:b/>
          <w:bCs/>
          <w:sz w:val="19"/>
          <w:szCs w:val="19"/>
        </w:rPr>
        <w:softHyphen/>
        <w:t>mu zaměstnání; aby se mladý právník naučil, co potřebuje v tom kterém podniku, není pomyšlení.</w:t>
      </w:r>
    </w:p>
    <w:p w:rsidR="00500724" w:rsidRDefault="00F30FB8">
      <w:pPr>
        <w:pStyle w:val="Zkladntext100"/>
        <w:shd w:val="clear" w:color="auto" w:fill="auto"/>
        <w:spacing w:line="182" w:lineRule="auto"/>
        <w:ind w:firstLine="260"/>
        <w:rPr>
          <w:sz w:val="19"/>
          <w:szCs w:val="19"/>
        </w:rPr>
      </w:pPr>
      <w:r>
        <w:rPr>
          <w:b/>
          <w:bCs/>
          <w:sz w:val="19"/>
          <w:szCs w:val="19"/>
        </w:rPr>
        <w:t>Je tu však kus svépomoci, kterou si může dopřát každý okres ve formě umístění svých rodáků. Je málo okresů, které by nedokázaly tuto</w:t>
      </w:r>
      <w:r>
        <w:rPr>
          <w:b/>
          <w:bCs/>
          <w:sz w:val="19"/>
          <w:szCs w:val="19"/>
        </w:rPr>
        <w:t xml:space="preserve"> okamžitou výpomoc mladým li</w:t>
      </w:r>
      <w:r>
        <w:rPr>
          <w:b/>
          <w:bCs/>
          <w:sz w:val="19"/>
          <w:szCs w:val="19"/>
        </w:rPr>
        <w:softHyphen/>
        <w:t>dem, jichž požadavky jsou dnes tak malé, že se za to sami stydí, a naopak je mnoho okresů, které mohou zaměstnat všecky. Není třeba k tomu ani přímého nařízení, stačí kus dobré vůle, hlavně soukromých podniků (na př. velkých ak</w:t>
      </w:r>
      <w:r>
        <w:rPr>
          <w:b/>
          <w:bCs/>
          <w:sz w:val="19"/>
          <w:szCs w:val="19"/>
        </w:rPr>
        <w:t>ciových společností, peněžních ústavů atd.).</w:t>
      </w:r>
    </w:p>
    <w:p w:rsidR="00500724" w:rsidRDefault="00F30FB8">
      <w:pPr>
        <w:pStyle w:val="Zkladntext100"/>
        <w:shd w:val="clear" w:color="auto" w:fill="auto"/>
        <w:tabs>
          <w:tab w:val="left" w:pos="4589"/>
        </w:tabs>
        <w:spacing w:after="60" w:line="182" w:lineRule="auto"/>
        <w:ind w:firstLine="260"/>
        <w:rPr>
          <w:sz w:val="19"/>
          <w:szCs w:val="19"/>
        </w:rPr>
      </w:pPr>
      <w:r>
        <w:rPr>
          <w:b/>
          <w:bCs/>
          <w:sz w:val="19"/>
          <w:szCs w:val="19"/>
        </w:rPr>
        <w:t>Jestliže stát v dohledné době nemůže právnickému do</w:t>
      </w:r>
      <w:r>
        <w:rPr>
          <w:b/>
          <w:bCs/>
          <w:sz w:val="19"/>
          <w:szCs w:val="19"/>
        </w:rPr>
        <w:softHyphen/>
        <w:t xml:space="preserve">rostu otevřít soudy ani správní úřady a nemá-li se tento ubírat do beznaděje starými cestičkami, je třeba vyššího plánovitého zásahu. Buď jak buď: dnešní doba </w:t>
      </w:r>
      <w:r>
        <w:rPr>
          <w:b/>
          <w:bCs/>
          <w:sz w:val="19"/>
          <w:szCs w:val="19"/>
        </w:rPr>
        <w:t>neslyne zrovna skvělou právní jistotou, a při tom je právníků pra</w:t>
      </w:r>
      <w:r>
        <w:rPr>
          <w:b/>
          <w:bCs/>
          <w:sz w:val="19"/>
          <w:szCs w:val="19"/>
        </w:rPr>
        <w:softHyphen/>
        <w:t xml:space="preserve">podivný nadbytek. Je jakési pojítko mezi ministerstvem dejme tomu Národní obrany a posledním délesloužícím; věříme, že je i mezi státní svrchovaností a doktory práv, zvlášť těmi, kteří byli </w:t>
      </w:r>
      <w:r>
        <w:rPr>
          <w:b/>
          <w:bCs/>
          <w:sz w:val="19"/>
          <w:szCs w:val="19"/>
        </w:rPr>
        <w:t>také vojáky. Nechá-li jednou právník poctivého řemesla a půjde jen za chlebem, půjde tam, kde ho bude nejvíc.</w:t>
      </w:r>
      <w:r>
        <w:rPr>
          <w:b/>
          <w:bCs/>
          <w:sz w:val="19"/>
          <w:szCs w:val="19"/>
        </w:rPr>
        <w:tab/>
      </w:r>
      <w:r>
        <w:rPr>
          <w:i/>
          <w:iCs/>
          <w:sz w:val="19"/>
          <w:szCs w:val="19"/>
        </w:rPr>
        <w:t>—ék</w:t>
      </w:r>
    </w:p>
    <w:p w:rsidR="00500724" w:rsidRDefault="00F30FB8">
      <w:pPr>
        <w:pStyle w:val="Jin0"/>
        <w:shd w:val="clear" w:color="auto" w:fill="auto"/>
        <w:spacing w:after="160" w:line="209" w:lineRule="auto"/>
        <w:ind w:firstLine="0"/>
        <w:jc w:val="left"/>
        <w:rPr>
          <w:sz w:val="46"/>
          <w:szCs w:val="46"/>
        </w:rPr>
      </w:pPr>
      <w:r>
        <w:rPr>
          <w:b/>
          <w:bCs/>
          <w:sz w:val="46"/>
          <w:szCs w:val="46"/>
          <w:u w:val="single"/>
        </w:rPr>
        <w:t>život a Instituce</w:t>
      </w:r>
    </w:p>
    <w:p w:rsidR="00500724" w:rsidRDefault="00F30FB8">
      <w:pPr>
        <w:pStyle w:val="Zkladntext30"/>
        <w:shd w:val="clear" w:color="auto" w:fill="auto"/>
        <w:spacing w:after="0" w:line="175" w:lineRule="auto"/>
        <w:ind w:firstLine="0"/>
        <w:rPr>
          <w:sz w:val="20"/>
          <w:szCs w:val="20"/>
        </w:rPr>
      </w:pPr>
      <w:r>
        <w:rPr>
          <w:i/>
          <w:iCs/>
          <w:sz w:val="20"/>
          <w:szCs w:val="20"/>
        </w:rPr>
        <w:t>Ladislav Machýček:</w:t>
      </w:r>
    </w:p>
    <w:p w:rsidR="00500724" w:rsidRDefault="00F30FB8">
      <w:pPr>
        <w:pStyle w:val="Nadpis100"/>
        <w:shd w:val="clear" w:color="auto" w:fill="auto"/>
        <w:spacing w:after="60" w:line="228" w:lineRule="auto"/>
        <w:ind w:left="520"/>
        <w:jc w:val="left"/>
      </w:pPr>
      <w:bookmarkStart w:id="772" w:name="bookmark771"/>
      <w:r>
        <w:t>Dejte pozor, konsulové...!</w:t>
      </w:r>
      <w:bookmarkEnd w:id="772"/>
    </w:p>
    <w:p w:rsidR="00500724" w:rsidRDefault="00F30FB8">
      <w:pPr>
        <w:pStyle w:val="Zkladntext100"/>
        <w:shd w:val="clear" w:color="auto" w:fill="auto"/>
        <w:spacing w:line="226" w:lineRule="auto"/>
        <w:ind w:firstLine="260"/>
      </w:pPr>
      <w:r>
        <w:t xml:space="preserve">O mladých se říká, že jsou nadějí a chloubou národa. To je krásná řeč a mnozí </w:t>
      </w:r>
      <w:r>
        <w:t>lidé, kteří takto hovoří, bijí se do prsou a halasně volají: «Ve vás se národ nezklame.« Při tom mají ovšem za to, že jest slušné, aby mladí zů</w:t>
      </w:r>
      <w:r>
        <w:softHyphen/>
        <w:t>stali nadějí při nejmenším na dobu jejich požehnaného života. Mladí se přirozeně nepředstavují jako Naděje a Chl</w:t>
      </w:r>
      <w:r>
        <w:t>ouba, protože znají malou cenu vlastní chvály. Záro</w:t>
      </w:r>
      <w:r>
        <w:softHyphen/>
        <w:t>veň si uvědomují, že není důvodu k vypínání hrudi, jelikož doposud nic neudělali anebo jen málo. Snad pro</w:t>
      </w:r>
      <w:r>
        <w:softHyphen/>
        <w:t>to, že jim nebylo dovoleno, aby něco udělali.</w:t>
      </w:r>
    </w:p>
    <w:p w:rsidR="00500724" w:rsidRDefault="00F30FB8">
      <w:pPr>
        <w:pStyle w:val="Zkladntext100"/>
        <w:shd w:val="clear" w:color="auto" w:fill="auto"/>
        <w:spacing w:after="40" w:line="223" w:lineRule="auto"/>
        <w:ind w:firstLine="220"/>
      </w:pPr>
      <w:r>
        <w:t>Předesíláme-li tyto řádky, doufáme, že je uznáváte j</w:t>
      </w:r>
      <w:r>
        <w:t>ako pravdivé. Jsme však přesvědčeni, že uvažujete trošku jinak, než my, mladí. Nejsme totiž zatíženi dobrým bydlem, jehož přílišností tělo tuční a duch leniví. Konec konců, není vděčnějších posluchačů, než býváme my, když vás posloucháme. Tož si poslechnět</w:t>
      </w:r>
      <w:r>
        <w:t>e zase jednou nás. My víme, co si o nás, mladých, myslíte. (Naděje, Chlouba.) Říkáte nám to často. Poslechněte proto, jak my o vás smýšlíme, což nevyjadřujeme často.</w:t>
      </w:r>
    </w:p>
    <w:p w:rsidR="00500724" w:rsidRDefault="00F30FB8">
      <w:pPr>
        <w:pStyle w:val="Zkladntext30"/>
        <w:shd w:val="clear" w:color="auto" w:fill="auto"/>
        <w:spacing w:after="60" w:line="240" w:lineRule="auto"/>
        <w:ind w:firstLine="0"/>
        <w:jc w:val="center"/>
        <w:rPr>
          <w:sz w:val="20"/>
          <w:szCs w:val="20"/>
        </w:rPr>
      </w:pPr>
      <w:r>
        <w:rPr>
          <w:b/>
          <w:bCs/>
          <w:sz w:val="20"/>
          <w:szCs w:val="20"/>
        </w:rPr>
        <w:t>Otcové a děti</w:t>
      </w:r>
    </w:p>
    <w:p w:rsidR="00500724" w:rsidRDefault="00F30FB8">
      <w:pPr>
        <w:pStyle w:val="Zkladntext100"/>
        <w:shd w:val="clear" w:color="auto" w:fill="auto"/>
        <w:spacing w:line="223" w:lineRule="auto"/>
        <w:ind w:firstLine="220"/>
      </w:pPr>
      <w:r>
        <w:t>Mezi oblíbené výchovné pomůcky patří srovnání: ro</w:t>
      </w:r>
      <w:r>
        <w:softHyphen/>
        <w:t>dina a stát. V státě má bý</w:t>
      </w:r>
      <w:r>
        <w:t>ti vše jako v rodině. Otcové se starají, aby zaopatřili své děti, aby měly na čem hospodařit. Vytkneme velmi vážně jako chybu otci, který nenaučil svého potomka, aby dovedl' spravovat svůj statek. Nebof otcové umírají a na jejich grunty přichá</w:t>
      </w:r>
      <w:r>
        <w:softHyphen/>
        <w:t>zejí synové.</w:t>
      </w:r>
      <w:r>
        <w:t xml:space="preserve"> Ze synů se stanou rázem hlavy rodin, s od</w:t>
      </w:r>
      <w:r>
        <w:softHyphen/>
        <w:t>povědností, které nikdy dříve nepoznaly a jejíž tíhu ne</w:t>
      </w:r>
      <w:r>
        <w:softHyphen/>
        <w:t>měly příležitost pocítit. Z nedostatku zkušeností napáchají mnoho chyb, a trvá jim dlouho, než naleznou správné stanovisko k současnému běhu živoia, pokud je</w:t>
      </w:r>
      <w:r>
        <w:t xml:space="preserve"> vůbec naleznou.</w:t>
      </w:r>
    </w:p>
    <w:p w:rsidR="00500724" w:rsidRDefault="00F30FB8">
      <w:pPr>
        <w:pStyle w:val="Zkladntext100"/>
        <w:shd w:val="clear" w:color="auto" w:fill="auto"/>
        <w:spacing w:after="60" w:line="223" w:lineRule="auto"/>
        <w:ind w:firstLine="220"/>
      </w:pPr>
      <w:r>
        <w:t>I když nebylo mladým dovoleno, aby pomáhali spra</w:t>
      </w:r>
      <w:r>
        <w:softHyphen/>
        <w:t>vovat statek, otcům ostatně jen svěřený, přece jim nikdo nezabránil, aby nepozorovali práci stařešinů. Všímali si a viděli. Někdy zářili a jindy byli smutní. Slušelo se však, aby vždycky mlč</w:t>
      </w:r>
      <w:r>
        <w:t>eli.</w:t>
      </w:r>
    </w:p>
    <w:p w:rsidR="00500724" w:rsidRDefault="00F30FB8">
      <w:pPr>
        <w:pStyle w:val="Zkladntext100"/>
        <w:shd w:val="clear" w:color="auto" w:fill="auto"/>
        <w:spacing w:after="60" w:line="223" w:lineRule="auto"/>
        <w:ind w:firstLine="0"/>
        <w:jc w:val="center"/>
      </w:pPr>
      <w:r>
        <w:t>O špatných a dobrých vzorech</w:t>
      </w:r>
    </w:p>
    <w:p w:rsidR="00500724" w:rsidRDefault="00F30FB8">
      <w:pPr>
        <w:pStyle w:val="Zkladntext100"/>
        <w:shd w:val="clear" w:color="auto" w:fill="auto"/>
        <w:spacing w:line="223" w:lineRule="auto"/>
        <w:ind w:firstLine="180"/>
      </w:pPr>
      <w:r>
        <w:t xml:space="preserve">Mladí počali chápat a poznávat povahy lidí, žijících v tomto podivném století, kteří více méně živě přetřásali otázky, dotýkající se jich bezprostředně či nepřímo, nebo se jich vůbec nedotýkající, při čemž viděli vyrůstat </w:t>
      </w:r>
      <w:r>
        <w:t>dva nebo více táborů. Leckde bývalo zvykem, že se pro kaž</w:t>
      </w:r>
      <w:r>
        <w:softHyphen/>
        <w:t>dou otázku vytvářelo velmi mnoho táborů.</w:t>
      </w:r>
    </w:p>
    <w:p w:rsidR="00500724" w:rsidRDefault="00F30FB8">
      <w:pPr>
        <w:pStyle w:val="Zkladntext100"/>
        <w:shd w:val="clear" w:color="auto" w:fill="auto"/>
        <w:spacing w:line="223" w:lineRule="auto"/>
        <w:ind w:firstLine="220"/>
      </w:pPr>
      <w:r>
        <w:t>Bývalo věcí cli a proslulosti, že se na veřejné kolbiště vyhrnulo více výtečníků, kteří, obklopeni hloučkem věr</w:t>
      </w:r>
      <w:r>
        <w:softHyphen/>
        <w:t xml:space="preserve">ných, zahajovali svá klání - žel, že málo </w:t>
      </w:r>
      <w:r>
        <w:t>rytířská - bohopustými nadávkami, za zuřivého potlesku beznaděj</w:t>
      </w:r>
      <w:r>
        <w:softHyphen/>
        <w:t>ných pošetilců. Vytrvali zpravidla vždycky, s houžev</w:t>
      </w:r>
      <w:r>
        <w:softHyphen/>
        <w:t>natostí, vysvětlitelnou jen profesionalismem a řemeslnou dovedností. Přirozeně, že méně šlechetné stránky jejich života byly pietně přikryt</w:t>
      </w:r>
      <w:r>
        <w:t>y fanfárami vzácně krásných slov, nad nimiž sami často slzeli jako dovední herci.</w:t>
      </w:r>
    </w:p>
    <w:p w:rsidR="00500724" w:rsidRDefault="00F30FB8">
      <w:pPr>
        <w:pStyle w:val="Zkladntext100"/>
        <w:shd w:val="clear" w:color="auto" w:fill="auto"/>
        <w:spacing w:line="223" w:lineRule="auto"/>
        <w:ind w:firstLine="220"/>
      </w:pPr>
      <w:r>
        <w:t xml:space="preserve">Nikdy jsme nevěřili, že takoví lidé representují celý národ, přes to, že z jejich řečí se fak zdálo. Ovšem, že představovali jen zlomek národa, případně jen sebe, s použitím </w:t>
      </w:r>
      <w:r>
        <w:t>svého majetku.</w:t>
      </w:r>
    </w:p>
    <w:p w:rsidR="00500724" w:rsidRDefault="00F30FB8">
      <w:pPr>
        <w:pStyle w:val="Zkladntext100"/>
        <w:shd w:val="clear" w:color="auto" w:fill="auto"/>
        <w:spacing w:line="223" w:lineRule="auto"/>
        <w:ind w:firstLine="220"/>
      </w:pPr>
      <w:r>
        <w:t>Jejich činnost lze lépe kvalifikovali jako řádění, které svobodomyslnost demokratického režimu dovolovala, ač</w:t>
      </w:r>
      <w:r>
        <w:softHyphen/>
        <w:t xml:space="preserve">koliv to byl zrůdný výplod ústavou zaručených svobod. Ale i dnes se takoví lidé vyskytují, jako by nevěděli, že hazardují s osudem </w:t>
      </w:r>
      <w:r>
        <w:t>národa.</w:t>
      </w:r>
    </w:p>
    <w:p w:rsidR="00500724" w:rsidRDefault="00F30FB8">
      <w:pPr>
        <w:pStyle w:val="Zkladntext100"/>
        <w:shd w:val="clear" w:color="auto" w:fill="auto"/>
        <w:spacing w:line="223" w:lineRule="auto"/>
        <w:ind w:firstLine="220"/>
      </w:pPr>
      <w:r>
        <w:t>Všímali jsme si pozorně lidí, veřejně činných, brojí</w:t>
      </w:r>
      <w:r>
        <w:softHyphen/>
        <w:t>cích proti bujícím nešvarům - schovaných pod pláštíkem demokratických hesel - ale přes to nebylo zamezeno cílevědomému odbourávání i primitivních zásad slušné veřejné činnosti.</w:t>
      </w:r>
    </w:p>
    <w:p w:rsidR="00500724" w:rsidRDefault="00F30FB8">
      <w:pPr>
        <w:pStyle w:val="Zkladntext100"/>
        <w:shd w:val="clear" w:color="auto" w:fill="auto"/>
        <w:spacing w:line="223" w:lineRule="auto"/>
        <w:ind w:firstLine="220"/>
      </w:pPr>
      <w:r>
        <w:t>Národ se měl sklou</w:t>
      </w:r>
      <w:r>
        <w:t>bit a vnitřně sjednotit. Zatím se rozbil na tolik směrů, že pomalu každý občan byl nosite</w:t>
      </w:r>
      <w:r>
        <w:softHyphen/>
        <w:t>lem nějakého »svělového« názoru. Při tom se vtírala na mysl představa louky, plné kvítí, na které se páslo mno</w:t>
      </w:r>
      <w:r>
        <w:softHyphen/>
        <w:t>ho ovcí, přiměřeně tučných. Vrstevníci těch, kdož pro</w:t>
      </w:r>
      <w:r>
        <w:softHyphen/>
        <w:t>v</w:t>
      </w:r>
      <w:r>
        <w:t>ozovali takovéto chytračení, apaticky mlčeli a choulili se do svého soukromí. Někteří tlumeně poznamenávali, že to tak dlouho nepůjde.</w:t>
      </w:r>
    </w:p>
    <w:p w:rsidR="00500724" w:rsidRDefault="00F30FB8">
      <w:pPr>
        <w:pStyle w:val="Zkladntext100"/>
        <w:shd w:val="clear" w:color="auto" w:fill="auto"/>
        <w:spacing w:line="223" w:lineRule="auto"/>
        <w:ind w:firstLine="220"/>
      </w:pPr>
      <w:r>
        <w:t>My, mladí, jsme dobře slyšeli a dobře viděli. Tak jako jsme dovedli oceňovat poctivou práci, a jí si vážit, zrovna tak js</w:t>
      </w:r>
      <w:r>
        <w:t>me chtěli zatratit upíry různých jmen a růz</w:t>
      </w:r>
      <w:r>
        <w:softHyphen/>
        <w:t>ných cílů.</w:t>
      </w:r>
    </w:p>
    <w:p w:rsidR="00500724" w:rsidRDefault="00F30FB8">
      <w:pPr>
        <w:pStyle w:val="Zkladntext100"/>
        <w:shd w:val="clear" w:color="auto" w:fill="auto"/>
        <w:spacing w:line="223" w:lineRule="auto"/>
        <w:ind w:firstLine="220"/>
        <w:rPr>
          <w:sz w:val="19"/>
          <w:szCs w:val="19"/>
        </w:rPr>
        <w:sectPr w:rsidR="00500724">
          <w:footnotePr>
            <w:numFmt w:val="chicago"/>
            <w:numRestart w:val="eachPage"/>
          </w:footnotePr>
          <w:type w:val="continuous"/>
          <w:pgSz w:w="11909" w:h="16834"/>
          <w:pgMar w:top="1260" w:right="954" w:bottom="882" w:left="532" w:header="0" w:footer="3" w:gutter="0"/>
          <w:cols w:num="2" w:space="102"/>
          <w:noEndnote/>
          <w:docGrid w:linePitch="360"/>
        </w:sectPr>
      </w:pPr>
      <w:r>
        <w:t>Snad namítnete, že chceme všechno paušálně odsuzo</w:t>
      </w:r>
      <w:r>
        <w:softHyphen/>
        <w:t xml:space="preserve">vali. Zajisté, že tomu tak není: bylo mnoho dobrého </w:t>
      </w:r>
      <w:r>
        <w:rPr>
          <w:b/>
          <w:bCs/>
          <w:sz w:val="19"/>
          <w:szCs w:val="19"/>
        </w:rPr>
        <w:t>a</w:t>
      </w:r>
    </w:p>
    <w:p w:rsidR="00500724" w:rsidRDefault="00F30FB8">
      <w:pPr>
        <w:pStyle w:val="Zkladntext100"/>
        <w:shd w:val="clear" w:color="auto" w:fill="auto"/>
        <w:spacing w:line="223" w:lineRule="auto"/>
        <w:ind w:firstLine="0"/>
      </w:pPr>
      <w:r>
        <w:t>daleko více dobrého než jiného vykonáno a bylo pra</w:t>
      </w:r>
      <w:r>
        <w:softHyphen/>
        <w:t xml:space="preserve">cováno dobře. A </w:t>
      </w:r>
      <w:r>
        <w:t>k chvále dobré práce dlužno dodati, že byla úspěšná zejména ve sféře hospodářských, kul</w:t>
      </w:r>
      <w:r>
        <w:softHyphen/>
        <w:t>turní ch a sociálních zájmů.</w:t>
      </w:r>
    </w:p>
    <w:p w:rsidR="00500724" w:rsidRDefault="00F30FB8">
      <w:pPr>
        <w:pStyle w:val="Zkladntext100"/>
        <w:shd w:val="clear" w:color="auto" w:fill="auto"/>
        <w:spacing w:line="223" w:lineRule="auto"/>
        <w:ind w:firstLine="200"/>
      </w:pPr>
      <w:r>
        <w:t>Žel bohu, malé nechutnosti bývaly rozkřičeny do všech (koutů světa a vlastní dobrá věc v pokřiku zanikala. Stará chyba bodrých Cechů, kteří</w:t>
      </w:r>
      <w:r>
        <w:t xml:space="preserve"> si tvrdošíjně namlouvají, že dobré zboží se chválí samo. Není to sice správné, ale jistě pohodlné.</w:t>
      </w:r>
    </w:p>
    <w:p w:rsidR="00500724" w:rsidRDefault="00F30FB8">
      <w:pPr>
        <w:pStyle w:val="Zkladntext100"/>
        <w:shd w:val="clear" w:color="auto" w:fill="auto"/>
        <w:spacing w:after="60" w:line="223" w:lineRule="auto"/>
        <w:ind w:firstLine="0"/>
        <w:jc w:val="center"/>
      </w:pPr>
      <w:r>
        <w:t>Skandály a politika</w:t>
      </w:r>
    </w:p>
    <w:p w:rsidR="00500724" w:rsidRDefault="00F30FB8">
      <w:pPr>
        <w:pStyle w:val="Zkladntext100"/>
        <w:shd w:val="clear" w:color="auto" w:fill="auto"/>
        <w:spacing w:line="223" w:lineRule="auto"/>
        <w:ind w:firstLine="200"/>
      </w:pPr>
      <w:r>
        <w:t>Osoby veřejně činné jsou prohlíženy se všech stran a mohou býti jisty, že ani vlásek na nich nezůstane nepro- třepán. Pozornost, s jakou</w:t>
      </w:r>
      <w:r>
        <w:t xml:space="preserve"> bylo pitváno jejich soukromí, a konečně každý krůček na vrátké lávce, na níž se po</w:t>
      </w:r>
      <w:r>
        <w:softHyphen/>
        <w:t>hybovaly, by leckterým mohla závidět kterákoli filmová hvězda, při čemž srovnáváme jen míru zájmu, nikoli veli</w:t>
      </w:r>
      <w:r>
        <w:softHyphen/>
        <w:t>kost příjmů.</w:t>
      </w:r>
    </w:p>
    <w:p w:rsidR="00500724" w:rsidRDefault="00F30FB8">
      <w:pPr>
        <w:pStyle w:val="Zkladntext100"/>
        <w:shd w:val="clear" w:color="auto" w:fill="auto"/>
        <w:spacing w:line="223" w:lineRule="auto"/>
        <w:ind w:firstLine="200"/>
      </w:pPr>
      <w:r>
        <w:t>Nevíme, na kolik si politikové zakládali na tom,</w:t>
      </w:r>
      <w:r>
        <w:t xml:space="preserve"> aby vypadali přijatelně na všechny strany, aniž by opouštěli zásady, na nichž vybudovali své posice.</w:t>
      </w:r>
    </w:p>
    <w:p w:rsidR="00500724" w:rsidRDefault="00F30FB8">
      <w:pPr>
        <w:pStyle w:val="Zkladntext100"/>
        <w:shd w:val="clear" w:color="auto" w:fill="auto"/>
        <w:spacing w:line="223" w:lineRule="auto"/>
        <w:ind w:firstLine="200"/>
      </w:pPr>
      <w:r>
        <w:t>Jisté však jest, že naráz se počalo volatí po mužích čis</w:t>
      </w:r>
      <w:r>
        <w:softHyphen/>
        <w:t>tých rukou, a lid se poškleboval při vyslovování určitých jmen. Stěží vždycky oprávněně, ale stač</w:t>
      </w:r>
      <w:r>
        <w:t>ilo, aby podezření nejasně vyslovované se ukázalo pravděpodobným a již bylo po důvěře. A důvěra v lidi veřejně činné jest zá</w:t>
      </w:r>
      <w:r>
        <w:softHyphen/>
        <w:t>kladem jejich úspěchů, při čemž, ař si mají slávu, jen když činnost jest národu prospěšná. Jde o věc morálky, zásadu daleko nej důl</w:t>
      </w:r>
      <w:r>
        <w:t>ežitější, o pilíř, na němž jest zbudováno ve</w:t>
      </w:r>
      <w:r>
        <w:softHyphen/>
        <w:t>řejné blaho.</w:t>
      </w:r>
    </w:p>
    <w:p w:rsidR="00500724" w:rsidRDefault="00F30FB8">
      <w:pPr>
        <w:pStyle w:val="Zkladntext100"/>
        <w:shd w:val="clear" w:color="auto" w:fill="auto"/>
        <w:spacing w:after="60" w:line="223" w:lineRule="auto"/>
        <w:ind w:firstLine="0"/>
        <w:jc w:val="center"/>
      </w:pPr>
      <w:r>
        <w:t>Peníze a politika</w:t>
      </w:r>
    </w:p>
    <w:p w:rsidR="00500724" w:rsidRDefault="00F30FB8">
      <w:pPr>
        <w:pStyle w:val="Zkladntext100"/>
        <w:shd w:val="clear" w:color="auto" w:fill="auto"/>
        <w:spacing w:line="223" w:lineRule="auto"/>
        <w:ind w:firstLine="200"/>
      </w:pPr>
      <w:r>
        <w:t>Vliv a peníze - moc a bohatství - sláva a blahobyt - jaké to kouzelné společenství!</w:t>
      </w:r>
    </w:p>
    <w:p w:rsidR="00500724" w:rsidRDefault="00F30FB8">
      <w:pPr>
        <w:pStyle w:val="Zkladntext100"/>
        <w:shd w:val="clear" w:color="auto" w:fill="auto"/>
        <w:spacing w:line="223" w:lineRule="auto"/>
        <w:ind w:firstLine="200"/>
      </w:pPr>
      <w:r>
        <w:t xml:space="preserve">Není divu, že hodně lidí podlehne lákavému svodu. Mnozí, přemnozí zapomenou na mladé ideály, na </w:t>
      </w:r>
      <w:r>
        <w:t>dobré a ušlechtilé cíle, na blaho národa.</w:t>
      </w:r>
    </w:p>
    <w:p w:rsidR="00500724" w:rsidRDefault="00F30FB8">
      <w:pPr>
        <w:pStyle w:val="Zkladntext100"/>
        <w:shd w:val="clear" w:color="auto" w:fill="auto"/>
        <w:spacing w:line="223" w:lineRule="auto"/>
        <w:ind w:firstLine="200"/>
      </w:pPr>
      <w:r>
        <w:t>Jedna doba se ozdobila heslem, že co prospívá jedinci, prospívá i celku. Není to nesprávné vždycky. Sílí-li je</w:t>
      </w:r>
      <w:r>
        <w:softHyphen/>
        <w:t xml:space="preserve">dinec, může to prospívat i národu. Někdy národ na to může doplácet. Zejména tehdy, je-li zájem vlastní </w:t>
      </w:r>
      <w:r>
        <w:t>vy</w:t>
      </w:r>
      <w:r>
        <w:softHyphen/>
        <w:t>výšen nad zájmy národa.</w:t>
      </w:r>
    </w:p>
    <w:p w:rsidR="00500724" w:rsidRDefault="00F30FB8">
      <w:pPr>
        <w:pStyle w:val="Zkladntext100"/>
        <w:shd w:val="clear" w:color="auto" w:fill="auto"/>
        <w:spacing w:line="221" w:lineRule="auto"/>
        <w:ind w:firstLine="200"/>
      </w:pPr>
      <w:r>
        <w:t xml:space="preserve">Časem se lid zvedne a nepokrytě dává najevo nelibost </w:t>
      </w:r>
      <w:r>
        <w:rPr>
          <w:b/>
          <w:bCs/>
          <w:sz w:val="19"/>
          <w:szCs w:val="19"/>
        </w:rPr>
        <w:t xml:space="preserve">z </w:t>
      </w:r>
      <w:r>
        <w:t xml:space="preserve">takového počínání vzniklou. Objeví se všeobecný pocit nedůvěry ve veřejné činitele, šmahem jsou odsuzováni </w:t>
      </w:r>
      <w:r>
        <w:rPr>
          <w:b/>
          <w:bCs/>
          <w:sz w:val="19"/>
          <w:szCs w:val="19"/>
        </w:rPr>
        <w:t xml:space="preserve">i </w:t>
      </w:r>
      <w:r>
        <w:t>lidé velmi počestní. Nastalá skutečnost se těžce napra</w:t>
      </w:r>
      <w:r>
        <w:softHyphen/>
        <w:t xml:space="preserve">vuje. Lid </w:t>
      </w:r>
      <w:r>
        <w:t>jest přesvědčen, že jest klamán, že se každý stará jen o sebe, že není lidí, kteří by se starali též o pro</w:t>
      </w:r>
      <w:r>
        <w:softHyphen/>
        <w:t>spěch veřejný a nejenom o sebe. Celek by se rád opřel o někoho, kdo by jeho důvěru získal a jí si zasloužil.</w:t>
      </w:r>
    </w:p>
    <w:p w:rsidR="00500724" w:rsidRDefault="00F30FB8">
      <w:pPr>
        <w:pStyle w:val="Zkladntext100"/>
        <w:shd w:val="clear" w:color="auto" w:fill="auto"/>
        <w:spacing w:line="223" w:lineRule="auto"/>
        <w:ind w:firstLine="200"/>
      </w:pPr>
      <w:r>
        <w:t xml:space="preserve">Ke všemu začnou ještě pracovat přízemní </w:t>
      </w:r>
      <w:r>
        <w:t>živly, začne se šeptat. Najde se málo rozumných lidí, kteří, když ně</w:t>
      </w:r>
      <w:r>
        <w:softHyphen/>
        <w:t>jaké šeptání zaslechnou, je u sebe ponechají a věc uvedou na pravou míru. Málokdy se přesvědčí o šalebnosti šepta</w:t>
      </w:r>
      <w:r>
        <w:softHyphen/>
        <w:t>ného slova, jindy - a to nejčastěji - tajemství pošeptají dále. To jest z</w:t>
      </w:r>
      <w:r>
        <w:t>ačátek dnes již proslulé šeptané propagandy.</w:t>
      </w:r>
    </w:p>
    <w:p w:rsidR="00500724" w:rsidRDefault="00F30FB8">
      <w:pPr>
        <w:pStyle w:val="Zkladntext100"/>
        <w:shd w:val="clear" w:color="auto" w:fill="auto"/>
        <w:spacing w:after="140" w:line="218" w:lineRule="auto"/>
        <w:ind w:firstLine="200"/>
      </w:pPr>
      <w:r>
        <w:t xml:space="preserve">Známe její vznik a její příčiny. Měli bychom znáti tedy </w:t>
      </w:r>
      <w:r>
        <w:rPr>
          <w:b/>
          <w:bCs/>
          <w:sz w:val="19"/>
          <w:szCs w:val="19"/>
        </w:rPr>
        <w:t xml:space="preserve">i </w:t>
      </w:r>
      <w:r>
        <w:t>lék. Jest mnoho spolupůsobících činitelů, ale stručně řečeno: obnovte důvěru, potlačíte šeptání.</w:t>
      </w:r>
    </w:p>
    <w:p w:rsidR="00500724" w:rsidRDefault="00F30FB8">
      <w:pPr>
        <w:pStyle w:val="Zkladntext100"/>
        <w:shd w:val="clear" w:color="auto" w:fill="auto"/>
        <w:spacing w:after="80" w:line="223" w:lineRule="auto"/>
        <w:ind w:firstLine="0"/>
        <w:jc w:val="center"/>
      </w:pPr>
      <w:r>
        <w:t>čeho všeho jest zapotřebí?</w:t>
      </w:r>
    </w:p>
    <w:p w:rsidR="00500724" w:rsidRDefault="00F30FB8">
      <w:pPr>
        <w:pStyle w:val="Zkladntext100"/>
        <w:shd w:val="clear" w:color="auto" w:fill="auto"/>
        <w:spacing w:line="218" w:lineRule="auto"/>
        <w:ind w:firstLine="200"/>
      </w:pPr>
      <w:r>
        <w:t xml:space="preserve">Vyložte srozumitelně všem </w:t>
      </w:r>
      <w:r>
        <w:t>věrným Čechům, co všechno od nich očekáváte a co oni mohou očekávat od vás.</w:t>
      </w:r>
    </w:p>
    <w:p w:rsidR="00500724" w:rsidRDefault="00F30FB8">
      <w:pPr>
        <w:pStyle w:val="Zkladntext100"/>
        <w:shd w:val="clear" w:color="auto" w:fill="auto"/>
        <w:spacing w:line="218" w:lineRule="auto"/>
        <w:ind w:firstLine="200"/>
      </w:pPr>
      <w:r>
        <w:t>Řekněte a trvejte na tom, aby žádný jedinec se svým zájmem, ani žádný stav se nestavěl nad zájmy národa.</w:t>
      </w:r>
    </w:p>
    <w:p w:rsidR="00500724" w:rsidRDefault="00F30FB8">
      <w:pPr>
        <w:pStyle w:val="Zkladntext100"/>
        <w:shd w:val="clear" w:color="auto" w:fill="auto"/>
        <w:spacing w:line="218" w:lineRule="auto"/>
        <w:ind w:firstLine="200"/>
      </w:pPr>
      <w:r>
        <w:t>Neřešte problém návrhem, nýbrž činem.</w:t>
      </w:r>
    </w:p>
    <w:p w:rsidR="00500724" w:rsidRDefault="00F30FB8">
      <w:pPr>
        <w:pStyle w:val="Zkladntext100"/>
        <w:shd w:val="clear" w:color="auto" w:fill="auto"/>
        <w:spacing w:line="218" w:lineRule="auto"/>
        <w:ind w:firstLine="200"/>
      </w:pPr>
      <w:r>
        <w:t>Dbejte, aby byla rozlišena důležitost</w:t>
      </w:r>
      <w:r>
        <w:t xml:space="preserve"> toho kterého úkolu a v pořadí naléhavosti jej vyřiďte.</w:t>
      </w:r>
    </w:p>
    <w:p w:rsidR="00500724" w:rsidRDefault="00F30FB8">
      <w:pPr>
        <w:pStyle w:val="Zkladntext100"/>
        <w:shd w:val="clear" w:color="auto" w:fill="auto"/>
        <w:spacing w:line="223" w:lineRule="auto"/>
        <w:ind w:firstLine="200"/>
      </w:pPr>
      <w:r>
        <w:t xml:space="preserve">Nemáme lehké úkoly. Nedejte se však zastrašit velko- hubým žvaněním hrstky lidí, kteří pod firmou Vlastenectví si chtějí založit výnosný obchod. Upozorňují-li na šlen- driánství, vymyťte je a seberte </w:t>
      </w:r>
      <w:r>
        <w:t>jim tak vítr z plachet. Rozhodně je neignorujte proto, že jsou nepříjemní. Tak se rychle dohodneme sami a budeme silní pro jednání s jinými.</w:t>
      </w:r>
    </w:p>
    <w:p w:rsidR="00500724" w:rsidRDefault="00F30FB8">
      <w:pPr>
        <w:pStyle w:val="Zkladntext100"/>
        <w:shd w:val="clear" w:color="auto" w:fill="auto"/>
        <w:spacing w:line="233" w:lineRule="auto"/>
        <w:ind w:firstLine="200"/>
      </w:pPr>
      <w:r>
        <w:t>A co bychom si snažně přáli: postarejte se, aby každý člen národa odbíral opravdu českým duchem nesený ča</w:t>
      </w:r>
      <w:r>
        <w:softHyphen/>
        <w:t>sopis, ab</w:t>
      </w:r>
      <w:r>
        <w:t>y byl informován o všem, co se děje a co má význam pro náš národ. Plakát, náhodně slyšené slovo vevytvoří jednolitého ducha národa.</w:t>
      </w:r>
    </w:p>
    <w:p w:rsidR="00500724" w:rsidRDefault="00F30FB8">
      <w:pPr>
        <w:pStyle w:val="Zkladntext100"/>
        <w:shd w:val="clear" w:color="auto" w:fill="auto"/>
        <w:spacing w:line="233" w:lineRule="auto"/>
        <w:ind w:firstLine="200"/>
      </w:pPr>
      <w:r>
        <w:t>Spojili jsme národ v jedno tělo, spojme jej i v jednu duši.</w:t>
      </w:r>
    </w:p>
    <w:p w:rsidR="00500724" w:rsidRDefault="00F30FB8">
      <w:pPr>
        <w:pStyle w:val="Zkladntext100"/>
        <w:shd w:val="clear" w:color="auto" w:fill="auto"/>
        <w:spacing w:line="223" w:lineRule="auto"/>
        <w:ind w:firstLine="200"/>
      </w:pPr>
      <w:r>
        <w:t>Máme organisaci, která nahrazuje přečetné stranická sekretariáty</w:t>
      </w:r>
      <w:r>
        <w:t>. Úkoly vzrostly. Odpovědnost jest ohromná. Pokud víme, v sekretariátech okresů sedí zpravidla jeden tajemník, tak jako by nešlo o nic jiného, než o bývalou stranu Národní jednoty, nebo lépe, dříve ještě bývalou jednu stranu. Jelikož tajemník Národního sou</w:t>
      </w:r>
      <w:r>
        <w:t>ručenství býval v sekretariátech těchto stran rovněž sekretářem, bo</w:t>
      </w:r>
      <w:r>
        <w:softHyphen/>
        <w:t>jíme se, aby ne vnesl do budoucna praksi minulosti. Zda si uvědomí a zvykne na ohromný okruh práce, o němž dříve ani nesnil?</w:t>
      </w:r>
    </w:p>
    <w:p w:rsidR="00500724" w:rsidRDefault="00F30FB8">
      <w:pPr>
        <w:pStyle w:val="Zkladntext100"/>
        <w:shd w:val="clear" w:color="auto" w:fill="auto"/>
        <w:spacing w:after="80" w:line="226" w:lineRule="auto"/>
        <w:ind w:firstLine="200"/>
      </w:pPr>
      <w:r>
        <w:t>I když předpokládáme, že výkonný aparát jest velmi schopný, jes</w:t>
      </w:r>
      <w:r>
        <w:t>t nutně potřebí, aby řídící orgány dispono</w:t>
      </w:r>
      <w:r>
        <w:softHyphen/>
        <w:t>valy vedle tajemnických sil rozsáhlou sítí drobných pra</w:t>
      </w:r>
      <w:r>
        <w:softHyphen/>
        <w:t>covní ků-důvěrníků, a jejich prostřednictvím aby byly ve stálém styku s lidem. Jest důležité, aby každá čtvrt a každá ulice měly vybudovánu službu N. s., tak</w:t>
      </w:r>
      <w:r>
        <w:t>že ovlád</w:t>
      </w:r>
      <w:r>
        <w:softHyphen/>
        <w:t xml:space="preserve">nutí zorganisovaného národa by bylo dokonalé. Jeden vedoucí a jeden tajemník neshromáždí všechen lid, </w:t>
      </w:r>
      <w:r>
        <w:rPr>
          <w:b/>
          <w:bCs/>
          <w:sz w:val="19"/>
          <w:szCs w:val="19"/>
        </w:rPr>
        <w:t xml:space="preserve">i </w:t>
      </w:r>
      <w:r>
        <w:t>kdy</w:t>
      </w:r>
      <w:r>
        <w:softHyphen/>
        <w:t>by to bylo dovoleno, ale drobný pracovník snadno infor</w:t>
      </w:r>
      <w:r>
        <w:softHyphen/>
        <w:t>muje svůj malý okruh. A čím dříve, tím lépe.</w:t>
      </w:r>
    </w:p>
    <w:p w:rsidR="00500724" w:rsidRDefault="00F30FB8">
      <w:pPr>
        <w:pStyle w:val="Zkladntext100"/>
        <w:shd w:val="clear" w:color="auto" w:fill="auto"/>
        <w:spacing w:after="60" w:line="223" w:lineRule="auto"/>
        <w:ind w:firstLine="0"/>
        <w:jc w:val="center"/>
      </w:pPr>
      <w:r>
        <w:t>Mnohoobročnictví jako překážka</w:t>
      </w:r>
      <w:r>
        <w:br/>
        <w:t>dorozumě</w:t>
      </w:r>
      <w:r>
        <w:t>ní</w:t>
      </w:r>
    </w:p>
    <w:p w:rsidR="00500724" w:rsidRDefault="00F30FB8">
      <w:pPr>
        <w:pStyle w:val="Zkladntext100"/>
        <w:shd w:val="clear" w:color="auto" w:fill="auto"/>
        <w:spacing w:line="223" w:lineRule="auto"/>
        <w:ind w:firstLine="200"/>
      </w:pPr>
      <w:r>
        <w:t>Mezi nej delikátnější zjevy našeho veřejného života pa</w:t>
      </w:r>
      <w:r>
        <w:softHyphen/>
        <w:t>třila a patří záležitost správních radovství a vůbec účasti veřejných pracovníků na vedoucích místech velkých ka</w:t>
      </w:r>
      <w:r>
        <w:softHyphen/>
        <w:t>pitálových podniků.</w:t>
      </w:r>
    </w:p>
    <w:p w:rsidR="00500724" w:rsidRDefault="00F30FB8">
      <w:pPr>
        <w:pStyle w:val="Zkladntext100"/>
        <w:shd w:val="clear" w:color="auto" w:fill="auto"/>
        <w:spacing w:line="223" w:lineRule="auto"/>
        <w:ind w:firstLine="200"/>
      </w:pPr>
      <w:r>
        <w:t>Možná, že se mnohým osobnostem příliš nezavděčíme, budeme-li se t</w:t>
      </w:r>
      <w:r>
        <w:t>outo stránkou trochu zabývat. Ale jest věcí naší hrdosti a touhy, říci, jak my, mladí, na věc pohlížíme, bez ohledu, dotkneme-li se něčí citlivosti, která jest roze</w:t>
      </w:r>
      <w:r>
        <w:softHyphen/>
        <w:t>chvěna častými útoky, jak připouštíme.</w:t>
      </w:r>
    </w:p>
    <w:p w:rsidR="00500724" w:rsidRDefault="00F30FB8">
      <w:pPr>
        <w:pStyle w:val="Zkladntext100"/>
        <w:shd w:val="clear" w:color="auto" w:fill="auto"/>
        <w:spacing w:line="223" w:lineRule="auto"/>
        <w:ind w:firstLine="200"/>
      </w:pPr>
      <w:r>
        <w:t>Považujeme za samozřejmé, že podnik v snaze po lepší</w:t>
      </w:r>
      <w:r>
        <w:t xml:space="preserve"> prosperitě, znazším a rychlejším provozu, si zajišťuje přízeň mocnějších a mocných vysoce ceněnými důkazy pozor</w:t>
      </w:r>
      <w:r>
        <w:softHyphen/>
        <w:t>nosti ve formě správně radovských míst.</w:t>
      </w:r>
    </w:p>
    <w:p w:rsidR="00500724" w:rsidRDefault="00F30FB8">
      <w:pPr>
        <w:pStyle w:val="Zkladntext100"/>
        <w:shd w:val="clear" w:color="auto" w:fill="auto"/>
        <w:spacing w:line="223" w:lineRule="auto"/>
        <w:ind w:firstLine="200"/>
      </w:pPr>
      <w:r>
        <w:t>Nemáme již tak za docela přirozené, když lidé veřejně činní propůjčují odznaky svých důstojenství obcho</w:t>
      </w:r>
      <w:r>
        <w:t>dním snahám podniku, aby mu dopomohli k lepšímu místu na slunci. Aby veřejný pracovník jako správní rada mohl pro podnik vůbec něco hodnotného vykonat, musí užít svého vlivu, nebo se jeho vlivu užije.</w:t>
      </w:r>
    </w:p>
    <w:p w:rsidR="00500724" w:rsidRDefault="00F30FB8">
      <w:pPr>
        <w:pStyle w:val="Zkladntext100"/>
        <w:shd w:val="clear" w:color="auto" w:fill="auto"/>
        <w:spacing w:line="223" w:lineRule="auto"/>
        <w:ind w:firstLine="200"/>
      </w:pPr>
      <w:r>
        <w:t>Spekuluje-li obchodník, jak zvelebit podnik, nalezne zp</w:t>
      </w:r>
      <w:r>
        <w:t>ravidla naše sympatie, nikoliv však politik, kšeftující s důvěrou národa. Zde máte to, co chceme zdůrazniti: proč dáváte tak živnou půdu do rukou řemeslných štvá</w:t>
      </w:r>
      <w:r>
        <w:softHyphen/>
        <w:t>čů, kteří zveličováním věci - i o sobě dosti trapné — zvrací důvěru ve veřejný život a rozbíje</w:t>
      </w:r>
      <w:r>
        <w:t>jí národ?</w:t>
      </w:r>
    </w:p>
    <w:p w:rsidR="00500724" w:rsidRDefault="00F30FB8">
      <w:pPr>
        <w:pStyle w:val="Zkladntext100"/>
        <w:shd w:val="clear" w:color="auto" w:fill="auto"/>
        <w:spacing w:line="223" w:lineRule="auto"/>
        <w:ind w:firstLine="200"/>
      </w:pPr>
      <w:r>
        <w:t xml:space="preserve">Víte dobře, jako my, co si lid o tomto hromadění </w:t>
      </w:r>
      <w:r>
        <w:rPr>
          <w:lang w:val="en-US" w:eastAsia="en-US" w:bidi="en-US"/>
        </w:rPr>
        <w:t>pre</w:t>
      </w:r>
      <w:r>
        <w:rPr>
          <w:lang w:val="en-US" w:eastAsia="en-US" w:bidi="en-US"/>
        </w:rPr>
        <w:softHyphen/>
        <w:t xml:space="preserve">bend </w:t>
      </w:r>
      <w:r>
        <w:t xml:space="preserve">myslí. Neslibujte, že se tento problém -au nás je to pořádný problém - bude řešit na rozumném podkladě. To se dříve slibovalo dvacet let a byl vydán též jeden dobrý zákon, který </w:t>
      </w:r>
      <w:r>
        <w:t>nedodržovali samotní zákonodárci. Rozumný podklad totiž - podle našeho názoru — jako slib jest příliš závislý na tom, kdo bude pojem urozum- ného pokladui definovat. Zda-li ti, kteří jsou jaksi mimo</w:t>
      </w:r>
      <w:r>
        <w:softHyphen/>
        <w:t>chodem správními rady, nebo ti, kteří proti kumulaci ve</w:t>
      </w:r>
      <w:r>
        <w:softHyphen/>
        <w:t>ř</w:t>
      </w:r>
      <w:r>
        <w:t>ejných a správně radovských funkcí brojí.</w:t>
      </w:r>
    </w:p>
    <w:p w:rsidR="00500724" w:rsidRDefault="00F30FB8">
      <w:pPr>
        <w:pStyle w:val="Zkladntext100"/>
        <w:shd w:val="clear" w:color="auto" w:fill="auto"/>
        <w:spacing w:after="200" w:line="223" w:lineRule="auto"/>
        <w:ind w:firstLine="200"/>
      </w:pPr>
      <w:r>
        <w:t>Jsou též obhájci mnohoobročnictví, kteří upozorňují, že radovství jsou většinou funkce čestné a pokud jsou pla</w:t>
      </w:r>
      <w:r>
        <w:softHyphen/>
        <w:t xml:space="preserve">cené, že jsou z přemíry namáhavé, takže první vůbec žádného, druhé neúměrného užitku vlastně nositelům </w:t>
      </w:r>
      <w:r>
        <w:t>ne</w:t>
      </w:r>
      <w:r>
        <w:softHyphen/>
        <w:t>přinášejí.</w:t>
      </w:r>
    </w:p>
    <w:p w:rsidR="00500724" w:rsidRDefault="00F30FB8">
      <w:pPr>
        <w:pStyle w:val="Zkladntext100"/>
        <w:shd w:val="clear" w:color="auto" w:fill="auto"/>
        <w:spacing w:after="40" w:line="223" w:lineRule="auto"/>
        <w:ind w:firstLine="0"/>
        <w:jc w:val="right"/>
      </w:pPr>
      <w:r>
        <w:t>/ZX&gt;</w:t>
      </w:r>
    </w:p>
    <w:p w:rsidR="00500724" w:rsidRDefault="00F30FB8">
      <w:pPr>
        <w:pStyle w:val="Zkladntext100"/>
        <w:shd w:val="clear" w:color="auto" w:fill="auto"/>
        <w:spacing w:line="240" w:lineRule="auto"/>
        <w:ind w:firstLine="200"/>
      </w:pPr>
      <w:r>
        <w:t>Tato řeč nám připomíná nápadně řeč Angličanů, když mluví o koloniích: nenesou žádného užiiku, přinášejí jen, starosti.</w:t>
      </w:r>
    </w:p>
    <w:p w:rsidR="00500724" w:rsidRDefault="00F30FB8">
      <w:pPr>
        <w:pStyle w:val="Zkladntext100"/>
        <w:shd w:val="clear" w:color="auto" w:fill="auto"/>
        <w:spacing w:line="218" w:lineRule="auto"/>
        <w:ind w:firstLine="200"/>
      </w:pPr>
      <w:r>
        <w:t>A přece se jich jedni i druzí drží jako klíště.</w:t>
      </w:r>
    </w:p>
    <w:p w:rsidR="00500724" w:rsidRDefault="00F30FB8">
      <w:pPr>
        <w:pStyle w:val="Zkladntext100"/>
        <w:shd w:val="clear" w:color="auto" w:fill="auto"/>
        <w:spacing w:line="218" w:lineRule="auto"/>
        <w:ind w:firstLine="200"/>
      </w:pPr>
      <w:r>
        <w:t xml:space="preserve">Ozývají se hlasy vážených stařešinů, kteří na svůj věk příliš hlasitě </w:t>
      </w:r>
      <w:r>
        <w:t>zdůrazňují, že ne každé místo v správní radě jest sinekurou, to jest, sže někdo má jisté postavení, z něhož požívá jisté odměny, jež není v poměru s prací, kterou za odměnu tu vykonává,« nýbrž že jde mnohdy o funkce, s nimiž jest spojeno mnoho práce a to p</w:t>
      </w:r>
      <w:r>
        <w:t>ráce vy</w:t>
      </w:r>
      <w:r>
        <w:softHyphen/>
        <w:t>soce odborné, a že jest tudíž správné, aby taková práce byla placena.</w:t>
      </w:r>
    </w:p>
    <w:p w:rsidR="00500724" w:rsidRDefault="00F30FB8">
      <w:pPr>
        <w:pStyle w:val="Zkladntext100"/>
        <w:shd w:val="clear" w:color="auto" w:fill="auto"/>
        <w:spacing w:line="218" w:lineRule="auto"/>
        <w:ind w:firstLine="200"/>
      </w:pPr>
      <w:r>
        <w:t>V tom smyslu jste to asi napsal, ctihodný pane ka</w:t>
      </w:r>
      <w:r>
        <w:softHyphen/>
        <w:t>novníku. Můžeme Vám radostně sdělit, že s Vámi živě souhlasíme, pokud jde o to, aby práce vůbec, tedy i správ</w:t>
      </w:r>
      <w:r>
        <w:softHyphen/>
        <w:t xml:space="preserve">ně radovská, byla </w:t>
      </w:r>
      <w:r>
        <w:t>po zásluze honorována. To jest mravné.</w:t>
      </w:r>
    </w:p>
    <w:p w:rsidR="00500724" w:rsidRDefault="00F30FB8">
      <w:pPr>
        <w:pStyle w:val="Zkladntext100"/>
        <w:shd w:val="clear" w:color="auto" w:fill="auto"/>
        <w:spacing w:line="221" w:lineRule="auto"/>
        <w:ind w:firstLine="200"/>
      </w:pPr>
      <w:r>
        <w:t>Předpokládáme však takřka všeobecný souhlas s naším názorem, že jest nemravné, aby jeden pro nával práce nevěděl,, co je noc a co je den - věříme-li už, že s každou z četných funkcí je spojeno hodně práce - a druhý ab</w:t>
      </w:r>
      <w:r>
        <w:t>y k práci ani nebyl připuštěn.</w:t>
      </w:r>
    </w:p>
    <w:p w:rsidR="00500724" w:rsidRDefault="00F30FB8">
      <w:pPr>
        <w:pStyle w:val="Zkladntext100"/>
        <w:shd w:val="clear" w:color="auto" w:fill="auto"/>
        <w:spacing w:line="218" w:lineRule="auto"/>
        <w:ind w:firstLine="200"/>
      </w:pPr>
      <w:r>
        <w:t>Osoby, které se věnují záslužné práci pro národ, af se jí věnují cele a nechť za dobrou práci jest národ uznalý. Neboť na hodnotě takovéto práce záleží velikost a sláva národa.</w:t>
      </w:r>
    </w:p>
    <w:p w:rsidR="00500724" w:rsidRDefault="00F30FB8">
      <w:pPr>
        <w:pStyle w:val="Zkladntext100"/>
        <w:shd w:val="clear" w:color="auto" w:fill="auto"/>
        <w:spacing w:line="216" w:lineRule="auto"/>
        <w:ind w:firstLine="200"/>
      </w:pPr>
      <w:r>
        <w:t>Ať se však pod maskou obětavé práce pro národ ne</w:t>
      </w:r>
      <w:r>
        <w:t>za</w:t>
      </w:r>
      <w:r>
        <w:softHyphen/>
        <w:t>krývá hrabivý zájem hmotný. To si snažně přejeme a jsme přesvědčeni, že naše řeč nebude označena za opovážlivou a drzou.</w:t>
      </w:r>
    </w:p>
    <w:p w:rsidR="00500724" w:rsidRDefault="00F30FB8">
      <w:pPr>
        <w:pStyle w:val="Zkladntext100"/>
        <w:shd w:val="clear" w:color="auto" w:fill="auto"/>
        <w:spacing w:line="216" w:lineRule="auto"/>
        <w:ind w:firstLine="0"/>
        <w:jc w:val="center"/>
      </w:pPr>
      <w:r>
        <w:t>•</w:t>
      </w:r>
    </w:p>
    <w:p w:rsidR="00500724" w:rsidRDefault="00F30FB8">
      <w:pPr>
        <w:pStyle w:val="Zkladntext100"/>
        <w:shd w:val="clear" w:color="auto" w:fill="auto"/>
        <w:spacing w:after="140" w:line="216" w:lineRule="auto"/>
        <w:ind w:firstLine="200"/>
      </w:pPr>
      <w:r>
        <w:t xml:space="preserve">Pohlížejíce truchlivým pohledem na minulé události, zdviháme svůj hlas raději dříve a hlasitěji, aniž bychom zdůrazňovali osoby, </w:t>
      </w:r>
      <w:r>
        <w:t>nýbrž jen věc a abychom všem řekli, jak velice nám záleží na budoucnosti národa.</w:t>
      </w:r>
    </w:p>
    <w:p w:rsidR="00500724" w:rsidRDefault="00F30FB8">
      <w:pPr>
        <w:pStyle w:val="Zkladntext30"/>
        <w:numPr>
          <w:ilvl w:val="0"/>
          <w:numId w:val="96"/>
        </w:numPr>
        <w:shd w:val="clear" w:color="auto" w:fill="auto"/>
        <w:tabs>
          <w:tab w:val="left" w:pos="318"/>
        </w:tabs>
        <w:spacing w:after="0" w:line="240" w:lineRule="auto"/>
        <w:ind w:firstLine="0"/>
        <w:jc w:val="left"/>
        <w:rPr>
          <w:sz w:val="20"/>
          <w:szCs w:val="20"/>
        </w:rPr>
      </w:pPr>
      <w:r>
        <w:rPr>
          <w:i/>
          <w:iCs/>
          <w:sz w:val="20"/>
          <w:szCs w:val="20"/>
        </w:rPr>
        <w:t>S irn a d:</w:t>
      </w:r>
    </w:p>
    <w:p w:rsidR="00500724" w:rsidRDefault="00F30FB8">
      <w:pPr>
        <w:pStyle w:val="Nadpis100"/>
        <w:shd w:val="clear" w:color="auto" w:fill="auto"/>
        <w:spacing w:after="60" w:line="233" w:lineRule="auto"/>
      </w:pPr>
      <w:bookmarkStart w:id="773" w:name="bookmark772"/>
      <w:r>
        <w:t>Jména pražských ulic</w:t>
      </w:r>
      <w:bookmarkEnd w:id="773"/>
    </w:p>
    <w:p w:rsidR="00500724" w:rsidRDefault="00F30FB8">
      <w:pPr>
        <w:pStyle w:val="Zkladntext100"/>
        <w:shd w:val="clear" w:color="auto" w:fill="auto"/>
        <w:spacing w:line="223" w:lineRule="auto"/>
        <w:ind w:firstLine="200"/>
      </w:pPr>
      <w:r>
        <w:t xml:space="preserve">Když přijde poutník do cizího města, první, čím se mu město představí, není ani nádraží, ani úprava náměstí </w:t>
      </w:r>
      <w:r>
        <w:rPr>
          <w:b/>
          <w:bCs/>
          <w:sz w:val="19"/>
          <w:szCs w:val="19"/>
        </w:rPr>
        <w:t xml:space="preserve">a </w:t>
      </w:r>
      <w:r>
        <w:t>ulic, ani starobylé budovy nebo p</w:t>
      </w:r>
      <w:r>
        <w:t>řepychové pomníky - první, co vidí cizinec v městě, a zvláště ve velko</w:t>
      </w:r>
      <w:r>
        <w:softHyphen/>
        <w:t>městě - jsou názvy ulic. Člověk neznalý místní řeči snaží se luštit názvy ulic a náměstí, a tyto názvy jsou mu prvním úvodem do jazyka, kultury a dějin národa, v jehož městě se ocitl. U</w:t>
      </w:r>
      <w:r>
        <w:t>lice evropských velkoměst jsou nevyčerpatelným zdrojem takového poučení. Kdyby ne</w:t>
      </w:r>
      <w:r>
        <w:softHyphen/>
        <w:t>existovalo nic jiného — z podrobného seznamu ulic, doloženého patřičným výkladem, poučí se zvědavý cizi</w:t>
      </w:r>
      <w:r>
        <w:softHyphen/>
        <w:t>nec o národě, který navštívil, více než z nej silnějších učebnic a pří</w:t>
      </w:r>
      <w:r>
        <w:t>ruček. A takový seznam je pravděpodobně první knihou, která se cizinci o dějinách a kultuře ná</w:t>
      </w:r>
      <w:r>
        <w:softHyphen/>
        <w:t>roda, který navštívil, dostane do ruky - neboť je zá</w:t>
      </w:r>
      <w:r>
        <w:softHyphen/>
        <w:t>roveň nejlepším orientačním prostředkem, ve velko</w:t>
      </w:r>
      <w:r>
        <w:softHyphen/>
        <w:t>městě nezbytným.</w:t>
      </w:r>
    </w:p>
    <w:p w:rsidR="00500724" w:rsidRDefault="00F30FB8">
      <w:pPr>
        <w:pStyle w:val="Zkladntext100"/>
        <w:shd w:val="clear" w:color="auto" w:fill="auto"/>
        <w:spacing w:after="80" w:line="223" w:lineRule="auto"/>
        <w:ind w:firstLine="200"/>
      </w:pPr>
      <w:r>
        <w:t>Ovšem, soudobá strojová civilisace toto p</w:t>
      </w:r>
      <w:r>
        <w:t>oučení zne</w:t>
      </w:r>
      <w:r>
        <w:softHyphen/>
        <w:t>možňuje. Nová města na nových kontinentech, města bez dějin, založená teprve v nedávné době, nevědí nic o národní kultuře a národních dějinách v názvech ulic. Americká a australská velkoměsta mají ulice pojmeno</w:t>
      </w:r>
      <w:r>
        <w:softHyphen/>
        <w:t>vané podle čísel: ulice číslo 1 až</w:t>
      </w:r>
      <w:r>
        <w:t xml:space="preserve"> ulice číslo 257. Ale bohudíky, to jsou jen velkoměsta daleko za mořem, do nichž poutník obyčejně cestuje za jiným účelem — v žádném případě za poučením. Ale zato názvy ulic v evropských městech - jakási to bohatá kniha lidové poesie, lidové moudrosti, jak</w:t>
      </w:r>
      <w:r>
        <w:t>á je fo kronika dějin evrop</w:t>
      </w:r>
      <w:r>
        <w:softHyphen/>
        <w:t>ského zápasu!</w:t>
      </w:r>
    </w:p>
    <w:p w:rsidR="00500724" w:rsidRDefault="00F30FB8">
      <w:pPr>
        <w:pStyle w:val="Zkladntext100"/>
        <w:shd w:val="clear" w:color="auto" w:fill="auto"/>
        <w:spacing w:after="60" w:line="223" w:lineRule="auto"/>
        <w:ind w:firstLine="0"/>
        <w:jc w:val="center"/>
      </w:pPr>
      <w:r>
        <w:t>Poesie popisného úřadu</w:t>
      </w:r>
    </w:p>
    <w:p w:rsidR="00500724" w:rsidRDefault="00F30FB8">
      <w:pPr>
        <w:pStyle w:val="Zkladntext100"/>
        <w:shd w:val="clear" w:color="auto" w:fill="auto"/>
        <w:spacing w:line="226" w:lineRule="auto"/>
        <w:ind w:firstLine="200"/>
      </w:pPr>
      <w:r>
        <w:t>Většina obyvatel velkoměsta zná obyčejně nejhůř své vlastní město. Jsou tisíce Pražanů, kteří výborně znají Paříž, Berlín, Vídeň, Rím, vyznají se v dějinách těchto měst, dovedou vyložit původ</w:t>
      </w:r>
      <w:r>
        <w:t xml:space="preserve"> nejsložitějších místních jmen v těchto městech - nemají však tušení, proč se jmenuje tak ulice, v níž bydlí od narození.</w:t>
      </w:r>
    </w:p>
    <w:p w:rsidR="00500724" w:rsidRDefault="00F30FB8">
      <w:pPr>
        <w:pStyle w:val="Zkladntext100"/>
        <w:shd w:val="clear" w:color="auto" w:fill="auto"/>
        <w:spacing w:line="226" w:lineRule="auto"/>
        <w:ind w:firstLine="200"/>
      </w:pPr>
      <w:r>
        <w:t xml:space="preserve">Jsou ovšem ulice, u kterých ani nejučenější archivář nedovede vypátrat, proč je pojmenována tak a ne jinak. Pražský místní zeměpis je </w:t>
      </w:r>
      <w:r>
        <w:t>bohatý na takové názvy. Jsou io hlavně ulice, jejichž jméno začíná předložkou N a, U, V, Pod atd. Je sice známo, že ulice Na rybníčku se jmenuje tak proto, že tam byl kdysi rybník, právě tak blízká V tůních znamená, že tam byly tůně. Známé pražské Na Příko</w:t>
      </w:r>
      <w:r>
        <w:t>pě, kde sídlí pražský kapitál a praž</w:t>
      </w:r>
      <w:r>
        <w:softHyphen/>
        <w:t>ské finance, byly kdysi opravdu příkopem, oddělujícím Staré město od Nového; příkop byl nečistý, plný rumu a smetí, zdržovala se zde městská luza, a nynější Můstek na konci Václavského náměstí byl kdysi opravdu můst</w:t>
      </w:r>
      <w:r>
        <w:softHyphen/>
        <w:t>kem</w:t>
      </w:r>
      <w:r>
        <w:t xml:space="preserve"> přes tento příkop. Ulice Ve Smečkách, ještě dříve než se stala ulicí, byla plna zahrad, kde se zdržo</w:t>
      </w:r>
      <w:r>
        <w:softHyphen/>
        <w:t xml:space="preserve">vali psi, vyhoštění z obydlí Starého a Nového města, a tito psi, kteří tu k zděšení procházejících se měšťanů pobíhali ve smečkách, se zasloužili </w:t>
      </w:r>
      <w:r>
        <w:rPr>
          <w:b/>
          <w:bCs/>
          <w:sz w:val="19"/>
          <w:szCs w:val="19"/>
        </w:rPr>
        <w:t xml:space="preserve">o </w:t>
      </w:r>
      <w:r>
        <w:t xml:space="preserve">pozdější název. Ulice Na Rejdišti dostala své jméno, protože za dob Karla IV. to bylo místo, kde se konaly souboje, kde vůbec Jrejdily# podezřelé živly, pročež se toto místo nazývalo iRejdivý placu, sTummelplatz«. Dlážděná ulice se jmenuje ne proto, že je </w:t>
      </w:r>
      <w:r>
        <w:t>jednoduše dlážděná, nýbrž proto, že byla první dlážděná ulice v Praze a po</w:t>
      </w:r>
      <w:r>
        <w:softHyphen/>
        <w:t>dle všeho i v Evropě vůbec. Stalo se to za Jana Lucem</w:t>
      </w:r>
      <w:r>
        <w:softHyphen/>
        <w:t>burského r. 1329, neboť nečistota a smetí, které se dříve jednoduše vyhazovaly na ulice, škodily pověsti hlavního města. Císařs</w:t>
      </w:r>
      <w:r>
        <w:t>ký dekret z této doby praví, že ssíran do</w:t>
      </w:r>
      <w:r>
        <w:softHyphen/>
        <w:t xml:space="preserve">bytka sviňového, který se po ulicích toulá, přikazujeme, aby více trpěno nebylo; kdo by se nezachoval, dobytek nechať se mu pobéře do špitálu.# Koncem XVI. století byla uložena sedlákům z Kojetic povinnost odvážet </w:t>
      </w:r>
      <w:r>
        <w:t xml:space="preserve">z Prahy bláto </w:t>
      </w:r>
      <w:r>
        <w:rPr>
          <w:rFonts w:ascii="Arial" w:eastAsia="Arial" w:hAnsi="Arial" w:cs="Arial"/>
          <w:smallCaps/>
          <w:sz w:val="15"/>
          <w:szCs w:val="15"/>
        </w:rPr>
        <w:t>jí</w:t>
      </w:r>
      <w:r>
        <w:t xml:space="preserve"> jiné smrady všeliké#. A protože kojetic- kým sedlákům nebyly známy nynější vozy čisticího odboru magistrátu hlavního města, a prkny žebřiňáků, na nichž se smetí odváželo, se smetí zase jinými ulicemi roztrušovalo, byl vydán rozkaz: ujesíli</w:t>
      </w:r>
      <w:r>
        <w:t>že se toho který ještě dopustí, takovému ta prkna nehodná do školy k spálení vzata býti mají a ten soused šatlavním vězením trestán býti má«.</w:t>
      </w:r>
    </w:p>
    <w:p w:rsidR="00500724" w:rsidRDefault="00F30FB8">
      <w:pPr>
        <w:pStyle w:val="Zkladntext100"/>
        <w:shd w:val="clear" w:color="auto" w:fill="auto"/>
        <w:spacing w:line="223" w:lineRule="auto"/>
        <w:ind w:firstLine="200"/>
      </w:pPr>
      <w:r>
        <w:t>Nekázanka vznikla tak, že Karel IV., který sám prováděl regulaci města a křtil nové ulice, na ni jaksi zapomněl, j</w:t>
      </w:r>
      <w:r>
        <w:t>nenakázal#, a proto byla pokřtěna jNekázal- ka«. Později se v této ulici Jzahnízdily nekázeň a různé neplechy« - proto iNekázanka#.</w:t>
      </w:r>
    </w:p>
    <w:p w:rsidR="00500724" w:rsidRDefault="00F30FB8">
      <w:pPr>
        <w:pStyle w:val="Zkladntext100"/>
        <w:shd w:val="clear" w:color="auto" w:fill="auto"/>
        <w:spacing w:line="228" w:lineRule="auto"/>
        <w:ind w:firstLine="200"/>
      </w:pPr>
      <w:r>
        <w:t>Naši otcové vůbec nebyli tak jemnocitní a nestyděli se pojmenovávat věci pravými jmény. Kamzíková uli</w:t>
      </w:r>
      <w:r>
        <w:softHyphen/>
        <w:t xml:space="preserve">ce na Starém městě se </w:t>
      </w:r>
      <w:r>
        <w:t>jmenuje po domu &gt;U bílého kam</w:t>
      </w:r>
      <w:r>
        <w:softHyphen/>
        <w:t xml:space="preserve">zíka#, kterýžto dům byl svého času znám jako dům </w:t>
      </w:r>
      <w:r>
        <w:rPr>
          <w:rFonts w:ascii="Arial" w:eastAsia="Arial" w:hAnsi="Arial" w:cs="Arial"/>
          <w:smallCaps/>
          <w:sz w:val="15"/>
          <w:szCs w:val="15"/>
        </w:rPr>
        <w:t>jU</w:t>
      </w:r>
      <w:r>
        <w:t xml:space="preserve"> tří pannen#, &gt;v němž se mnohé nešlechetnosti provo</w:t>
      </w:r>
      <w:r>
        <w:softHyphen/>
        <w:t>zují#. Liliová ulice dostala tento název proto, že špína a nečistoty v ní vzbuzovaly v chodcích touhu po čistém květu lilie</w:t>
      </w:r>
      <w:r>
        <w:t>. Na místě nynější Josefovské ulice bylo kdysi židovské ghetto, a v něm ulice Hampejz- s k á.</w:t>
      </w:r>
    </w:p>
    <w:p w:rsidR="00500724" w:rsidRDefault="00F30FB8">
      <w:pPr>
        <w:pStyle w:val="Zkladntext100"/>
        <w:shd w:val="clear" w:color="auto" w:fill="auto"/>
        <w:spacing w:line="233" w:lineRule="auto"/>
        <w:ind w:firstLine="200"/>
      </w:pPr>
      <w:r>
        <w:t xml:space="preserve">Spálená ulice dostala svůj název </w:t>
      </w:r>
      <w:r>
        <w:rPr>
          <w:b/>
          <w:bCs/>
          <w:sz w:val="19"/>
          <w:szCs w:val="19"/>
        </w:rPr>
        <w:t xml:space="preserve">r. </w:t>
      </w:r>
      <w:r>
        <w:t xml:space="preserve">1506 po požáru tak velkém, že kronikář považoval za nutné zaznamenat, že </w:t>
      </w:r>
      <w:r>
        <w:rPr>
          <w:rFonts w:ascii="Arial" w:eastAsia="Arial" w:hAnsi="Arial" w:cs="Arial"/>
          <w:smallCaps/>
          <w:sz w:val="15"/>
          <w:szCs w:val="15"/>
        </w:rPr>
        <w:t>jí</w:t>
      </w:r>
      <w:r>
        <w:t xml:space="preserve"> židé hasili s pochvalou a kat oheň zaklínal#. Praž</w:t>
      </w:r>
      <w:r>
        <w:t>ský Nebozízek byl tak pojmenován proto, že svede k němu cesta klikatá jako nebozez«.</w:t>
      </w:r>
    </w:p>
    <w:p w:rsidR="00500724" w:rsidRDefault="00F30FB8">
      <w:pPr>
        <w:pStyle w:val="Zkladntext100"/>
        <w:shd w:val="clear" w:color="auto" w:fill="auto"/>
        <w:spacing w:after="40" w:line="226" w:lineRule="auto"/>
        <w:ind w:firstLine="200"/>
      </w:pPr>
      <w:r>
        <w:t>Ale svede-li nás mluvnická podoba názvu k tomu, abychom vždy hledali vysvětlení názvu ulice z nějaké události anebo z vlastnosti místa, často se pravdy ne- dopátráme. Kaná</w:t>
      </w:r>
      <w:r>
        <w:t>lská ulice na Vinohradech není ka</w:t>
      </w:r>
      <w:r>
        <w:softHyphen/>
        <w:t>nálská, protože tam byly jakési kanály, nýbrž proto, že tam byly zahrady hraběte Jos. Em. Canala z Malabaily. Dušní ulice v Praze I. není dusná, nýbrž proto, že tam je kostel sv. Ducha. Havířská nebyla pojmeno</w:t>
      </w:r>
      <w:r>
        <w:softHyphen/>
        <w:t>vána po něja</w:t>
      </w:r>
      <w:r>
        <w:t>kých havířích, nýbrž po panu Hallerovi; kterému patřil dům v této ulici, a jehož lidová mluva předělala v Havéře, potom v Havíře. Hadovna v Po</w:t>
      </w:r>
      <w:r>
        <w:softHyphen/>
        <w:t>dolí se nevyznačuje zmijemi, nýbrž starým rodem Hadů z Proseče. Nynější ulice Elišky Krásnohorské se jmenovala dř</w:t>
      </w:r>
      <w:r>
        <w:t>íve Cikánská, nikoliv po příslušnících toula</w:t>
      </w:r>
      <w:r>
        <w:softHyphen/>
        <w:t>vého národa, nýbrž po bohatém židovi Zigeunerovi, jenž tu vlastnil domy.</w:t>
      </w:r>
    </w:p>
    <w:p w:rsidR="00500724" w:rsidRDefault="00F30FB8">
      <w:pPr>
        <w:pStyle w:val="Zkladntext100"/>
        <w:shd w:val="clear" w:color="auto" w:fill="auto"/>
        <w:spacing w:after="40" w:line="223" w:lineRule="auto"/>
        <w:ind w:firstLine="180"/>
      </w:pPr>
      <w:r>
        <w:t>Ale kdo vysvětlí, proč mají na Žižkově ulici V B e z- p e č i, v Libni U Svobodných, Na Jetele e, Na Koráb ě, Na Okrohlíku, Na Slovance, N</w:t>
      </w:r>
      <w:r>
        <w:t>a Žertvách, Pod Labuťkou, v Praze VII. U Stu</w:t>
      </w:r>
      <w:r>
        <w:softHyphen/>
        <w:t>dánky, V Závětří, v Praze XIII. Na Palouku, Na Skálee. Na Spádu, Na Viktoree, U Krbu, V Úžlabině, V Zelení, v Praze XVI. Na Farkáně, Na Vršku, Na Zatulance, U šalamounky, v Dejvicích Na Klínku, Na Růžku, V Tišin</w:t>
      </w:r>
      <w:r>
        <w:t>ě atd. atd.?</w:t>
      </w:r>
    </w:p>
    <w:p w:rsidR="00500724" w:rsidRDefault="00F30FB8">
      <w:pPr>
        <w:pStyle w:val="Zkladntext100"/>
        <w:shd w:val="clear" w:color="auto" w:fill="auto"/>
        <w:spacing w:after="40" w:line="226" w:lineRule="auto"/>
        <w:ind w:firstLine="0"/>
        <w:jc w:val="center"/>
      </w:pPr>
      <w:r>
        <w:t>Místopis hospodářský a náboženský</w:t>
      </w:r>
    </w:p>
    <w:p w:rsidR="00500724" w:rsidRDefault="00F30FB8">
      <w:pPr>
        <w:pStyle w:val="Zkladntext100"/>
        <w:shd w:val="clear" w:color="auto" w:fill="auto"/>
        <w:spacing w:after="40" w:line="226" w:lineRule="auto"/>
        <w:ind w:firstLine="180"/>
      </w:pPr>
      <w:r>
        <w:t>Jestliže při pojmenovávání ulic neúčinkovala fantasie a lidová poesie a v místě se nepřihodila žádná významná událost - vypomáhala si představiíost prostě okolností, že řečená ulice byla střediskem nějakého ho</w:t>
      </w:r>
      <w:r>
        <w:t>spodářského odboru. To platilo zejména pro ulice středověkého města, kde sídlily cechy. A tak máme v Praze C e 1 e t n o u ulici — kde byly pekařské krámy, v nichž se prodá</w:t>
      </w:r>
      <w:r>
        <w:softHyphen/>
        <w:t>valy calty, neb celty - pletené housky, Dřevnou, kde podskalští plavci prodávali dř</w:t>
      </w:r>
      <w:r>
        <w:t>íví s vltavských vorů, Hopfenštokovou - dříve Řeznickou, anebo ješ</w:t>
      </w:r>
      <w:r>
        <w:softHyphen/>
        <w:t xml:space="preserve">tě dříve Proti Šatlavě, Ječnou - dříve Svinský trh, Žitnou, Koňský trh (Václavské náměstí), Dobytčí trh (Karlovo náměstí), Ovocný trh, Uhelný trh, Masnou, Rybnou, Zvonařskou (nyní Jungman- </w:t>
      </w:r>
      <w:r>
        <w:t>nova třída), Mlýnskou (nyní Klimentská), Kozí, Kur- ný trh (nyní Linhartská), Věnečný trh (nyní Malé náměstí), Pasířskou (nyní Mikulandská), Platnéř</w:t>
      </w:r>
      <w:r>
        <w:softHyphen/>
        <w:t>skou, Vaječný trh (nyní Rytířská), V Jirchářích — dříve Ve Smradlařích nebo V Kalabrii, protože jircháři, k</w:t>
      </w:r>
      <w:r>
        <w:t>oželužníci přišli prý do Prahy z Kalabrie.</w:t>
      </w:r>
    </w:p>
    <w:p w:rsidR="00500724" w:rsidRDefault="00F30FB8">
      <w:pPr>
        <w:pStyle w:val="Zkladntext100"/>
        <w:shd w:val="clear" w:color="auto" w:fill="auto"/>
        <w:spacing w:line="226" w:lineRule="auto"/>
        <w:ind w:firstLine="180"/>
      </w:pPr>
      <w:r>
        <w:t>Právě tak si vypomáhali i v poslední době tam, kde rostla průmyslová Praha, a kde vlasteneckému magistrátu už nestačila jména národních hrdinů a buditelů k pojme</w:t>
      </w:r>
      <w:r>
        <w:softHyphen/>
        <w:t>nování ulic. Tak vznikly v těchto továrních čtvrtíc</w:t>
      </w:r>
      <w:r>
        <w:t>h Dělnická, Jateční, Kamenická, Kloboučnic</w:t>
      </w:r>
      <w:r>
        <w:softHyphen/>
        <w:t>ká, Plynární, Pivovarská, Přádelní, Přístav</w:t>
      </w:r>
      <w:r>
        <w:softHyphen/>
        <w:t>ní, Strojnická, Tiskařská, Tovární, U Elek</w:t>
      </w:r>
      <w:r>
        <w:softHyphen/>
        <w:t>trárny, U Pivovaru, U Parního mlýnu, U Pa</w:t>
      </w:r>
      <w:r>
        <w:softHyphen/>
        <w:t>pírny, U Topíren, U Vozovky atd. atd.</w:t>
      </w:r>
    </w:p>
    <w:p w:rsidR="00500724" w:rsidRDefault="00F30FB8">
      <w:pPr>
        <w:pStyle w:val="Zkladntext100"/>
        <w:shd w:val="clear" w:color="auto" w:fill="auto"/>
        <w:spacing w:after="40" w:line="226" w:lineRule="auto"/>
        <w:ind w:firstLine="180"/>
      </w:pPr>
      <w:r>
        <w:t>S oblibou se v staré Praze pojmenovávaly ulice</w:t>
      </w:r>
      <w:r>
        <w:t xml:space="preserve"> po kos</w:t>
      </w:r>
      <w:r>
        <w:softHyphen/>
        <w:t>telech a po různých svátých. Jsou v staré Praze ulice Haštalská (kostel řádu německých rytířů), A n e ž s k á, Havelská, Hybernská (původně Horská silnice, směrem ke Kutné Hoře, potom Svatoambrožská, a konečně Hybernská po irských františkánech, kt</w:t>
      </w:r>
      <w:r>
        <w:t>eří se tam r. 1630 usídlili), Jilská, Jiřská, Jindřišská, Mariánské náměstí (původně úžasně poetický název Ryneček Matky Boží na loužích), Betlémské náměstí, Kláš</w:t>
      </w:r>
      <w:r>
        <w:softHyphen/>
        <w:t xml:space="preserve">terská, Křížovnická, Michalská, Salvátor- ská, Seminářská, Templová, Valentinská, Biskupská, </w:t>
      </w:r>
      <w:r>
        <w:t>Petrská, Jerusalemská, Voršil- ská, Vojtěšská, Karmelitská adt. atd. Význační mužové na pouličních nárožích</w:t>
      </w:r>
    </w:p>
    <w:p w:rsidR="00500724" w:rsidRDefault="00F30FB8">
      <w:pPr>
        <w:pStyle w:val="Zkladntext100"/>
        <w:shd w:val="clear" w:color="auto" w:fill="auto"/>
        <w:spacing w:after="40" w:line="218" w:lineRule="auto"/>
        <w:ind w:firstLine="180"/>
      </w:pPr>
      <w:r>
        <w:t>V staré Praze neexistoval zvyk pojmenovávat ulice po nějakých slavných mužích. Existoval sice Juditin most, ale to byla tehdy v Evropě opravdu zvláš</w:t>
      </w:r>
      <w:r>
        <w:t>tnost, která za</w:t>
      </w:r>
      <w:r>
        <w:softHyphen/>
        <w:t>sluhovala, aby připomínala potomkům jméno královny, která most postavila. I pozdější Karlův most se dlouho jmenoval prostě Kamenný most.</w:t>
      </w:r>
    </w:p>
    <w:p w:rsidR="00500724" w:rsidRDefault="00F30FB8">
      <w:pPr>
        <w:pStyle w:val="Zkladntext100"/>
        <w:shd w:val="clear" w:color="auto" w:fill="auto"/>
        <w:spacing w:line="221" w:lineRule="auto"/>
        <w:ind w:firstLine="180"/>
      </w:pPr>
      <w:r>
        <w:t>Obyvatel středověkého města si prostě neuvědomoval, že má zvěčnit na tabulkách na nárožích ulic jména s</w:t>
      </w:r>
      <w:r>
        <w:t>vých slavných lidí, snad proto, že tehdy ani tabulky neexisto</w:t>
      </w:r>
      <w:r>
        <w:softHyphen/>
        <w:t>valy, a jména se zachovávala prostě v lidové paměti.</w:t>
      </w:r>
    </w:p>
    <w:p w:rsidR="00500724" w:rsidRDefault="00F30FB8">
      <w:pPr>
        <w:pStyle w:val="Zkladntext30"/>
        <w:shd w:val="clear" w:color="auto" w:fill="auto"/>
        <w:spacing w:line="199" w:lineRule="auto"/>
        <w:ind w:firstLine="180"/>
        <w:rPr>
          <w:sz w:val="19"/>
          <w:szCs w:val="19"/>
        </w:rPr>
      </w:pPr>
      <w:r>
        <w:rPr>
          <w:b/>
          <w:bCs/>
          <w:sz w:val="20"/>
          <w:szCs w:val="20"/>
        </w:rPr>
        <w:t xml:space="preserve">Později se začaly některé ulice pojmenovávat po </w:t>
      </w:r>
      <w:r>
        <w:rPr>
          <w:sz w:val="19"/>
          <w:szCs w:val="19"/>
        </w:rPr>
        <w:t>vý</w:t>
      </w:r>
      <w:r>
        <w:rPr>
          <w:sz w:val="19"/>
          <w:szCs w:val="19"/>
        </w:rPr>
        <w:softHyphen/>
      </w:r>
    </w:p>
    <w:p w:rsidR="00500724" w:rsidRDefault="00F30FB8">
      <w:pPr>
        <w:pStyle w:val="Zkladntext100"/>
        <w:shd w:val="clear" w:color="auto" w:fill="auto"/>
        <w:spacing w:line="240" w:lineRule="auto"/>
        <w:ind w:firstLine="0"/>
      </w:pPr>
      <w:r>
        <w:t xml:space="preserve">znamných měšťanech, členech starých pražských palricij- ských rodin. A to se stávalo jen </w:t>
      </w:r>
      <w:r>
        <w:t>tam, když řečený měšťan vlastnil v této ulici několik domů. Tak vznikly ulice Ci</w:t>
      </w:r>
      <w:r>
        <w:softHyphen/>
        <w:t>kánská, Maiselova, Kaprova, Vodičkova (po řezníku Janu Vodičkovi, a nikoliv podle vody, jak se do</w:t>
      </w:r>
      <w:r>
        <w:softHyphen/>
        <w:t>mnívají Němci, kteří si tuto ulici překládají Wassergasse), Pštrosova atd.</w:t>
      </w:r>
    </w:p>
    <w:p w:rsidR="00500724" w:rsidRDefault="00F30FB8">
      <w:pPr>
        <w:pStyle w:val="Zkladntext100"/>
        <w:shd w:val="clear" w:color="auto" w:fill="auto"/>
        <w:spacing w:line="240" w:lineRule="auto"/>
        <w:ind w:firstLine="200"/>
      </w:pPr>
      <w:r>
        <w:t>Po</w:t>
      </w:r>
      <w:r>
        <w:t>tom si začali křtít ulice po sobě majitelé šlechtických paláců na Malé straně. Tak vznikly Chotkova, Nosti- cova, Sporkova, Kinského, Thunovská, V a 1 d- štýnská, Černínská, Kounicova atd.</w:t>
      </w:r>
    </w:p>
    <w:p w:rsidR="00500724" w:rsidRDefault="00F30FB8">
      <w:pPr>
        <w:pStyle w:val="Zkladntext100"/>
        <w:shd w:val="clear" w:color="auto" w:fill="auto"/>
        <w:spacing w:line="240" w:lineRule="auto"/>
        <w:ind w:firstLine="200"/>
      </w:pPr>
      <w:r>
        <w:t>Ale když ke konci minulého století začaly růst dřívější vesnice kol</w:t>
      </w:r>
      <w:r>
        <w:t>em Prahy a přeměňovat se v průmyslová před</w:t>
      </w:r>
      <w:r>
        <w:softHyphen/>
        <w:t>městí, nastal v názvech ulic úplný chaos. Neboť byla to doba vypjatého národního vědomí, doba, kdy celý národ se soustřeďoval kolem staročeské a potom mladočeské strany, a kdy každá nová ulice v pražských předměst</w:t>
      </w:r>
      <w:r>
        <w:t>ích a četné ulice v starém městě byly pojmenovány po národ</w:t>
      </w:r>
      <w:r>
        <w:softHyphen/>
        <w:t>ních buditelích a spisovatelích. Tak vznikl názorný děje</w:t>
      </w:r>
      <w:r>
        <w:softHyphen/>
        <w:t>pis na pouličních tabulkách v Nuslích a na Žižkově, fak vznikly v každé pražské čtvrti ulice Palackého, Hav</w:t>
      </w:r>
      <w:r>
        <w:softHyphen/>
        <w:t>líčkovy, Tyršovy, Tylovy, Purkyn</w:t>
      </w:r>
      <w:r>
        <w:t>ěho, Hu</w:t>
      </w:r>
      <w:r>
        <w:softHyphen/>
        <w:t>sovy atd. Když byla vytvořena Velká Praha a všechna předměstí spojena v jednu správní jednotku, stal se tento chaos velkou překážkou orientace, a začala nová horečka přejmenovávání ulic, která neskončila ani dnes. Ještě dnes máme v 19 pražských čtv</w:t>
      </w:r>
      <w:r>
        <w:t>rtích 12 ulic Palackého, 7 Husových, 10 Havlíčkových, 8 Karlových, 10 Riegro- vých atd.</w:t>
      </w:r>
    </w:p>
    <w:p w:rsidR="00500724" w:rsidRDefault="00F30FB8">
      <w:pPr>
        <w:pStyle w:val="Zkladntext100"/>
        <w:shd w:val="clear" w:color="auto" w:fill="auto"/>
        <w:spacing w:line="240" w:lineRule="auto"/>
        <w:ind w:firstLine="200"/>
      </w:pPr>
      <w:r>
        <w:t>A poněvadž české obrození bylo převážně umělecké a literární, je na pražských ulicích zastoupena celá litera</w:t>
      </w:r>
      <w:r>
        <w:softHyphen/>
        <w:t>tura, celá hudba, celé malířství. Myslíme, že neexistuje žá</w:t>
      </w:r>
      <w:r>
        <w:t>dný jiný národ, který by tak vášnivě pojmenovával své ulice po svých umělcích. Stálo by to za pokus vzít si do ruky dějiny české literatury od Arne Nováka a kontrolo</w:t>
      </w:r>
      <w:r>
        <w:softHyphen/>
        <w:t>vat, zda existuje nějaký básník v národě českém, který by byl pražským magistrátem ošizen.</w:t>
      </w:r>
      <w:r>
        <w:t xml:space="preserve"> Ovšem pochopitelně, až na básníky žijící. Ale nepochybujeme, že když ne my, tedy naše děti určitě budou jednou bydlet v ulici Hala- sově, Nezvalově, Čapkově, Horově, Seifertově, Medkově, Olbrachtově atd.</w:t>
      </w:r>
    </w:p>
    <w:p w:rsidR="00500724" w:rsidRDefault="00F30FB8">
      <w:pPr>
        <w:pStyle w:val="Zkladntext100"/>
        <w:shd w:val="clear" w:color="auto" w:fill="auto"/>
        <w:spacing w:line="240" w:lineRule="auto"/>
        <w:ind w:firstLine="200"/>
      </w:pPr>
      <w:r>
        <w:t>Při tom z důvodů, které se nám nepodařilo vypátrat,</w:t>
      </w:r>
      <w:r>
        <w:t xml:space="preserve"> za</w:t>
      </w:r>
      <w:r>
        <w:softHyphen/>
        <w:t>líbil si na příklad Smíchov zejména hudebníky. Na Smí</w:t>
      </w:r>
      <w:r>
        <w:softHyphen/>
        <w:t>chově je zastoupena celá česká hudba: Bendi, Dvořák, Fibich, Malát, Mozart, Smetana.</w:t>
      </w:r>
    </w:p>
    <w:p w:rsidR="00500724" w:rsidRDefault="00F30FB8">
      <w:pPr>
        <w:pStyle w:val="Zkladntext100"/>
        <w:shd w:val="clear" w:color="auto" w:fill="auto"/>
        <w:spacing w:after="80" w:line="240" w:lineRule="auto"/>
        <w:ind w:firstLine="200"/>
      </w:pPr>
      <w:r>
        <w:t>Převrat z r. 1918 ještě více zvětšil počet pražských ulic, věnovaných slavným mužům. Jednak se horečně přejme</w:t>
      </w:r>
      <w:r>
        <w:softHyphen/>
        <w:t>nov</w:t>
      </w:r>
      <w:r>
        <w:t>ávaly ulice po mužích z českých dějin a z českého obrození - až se ještě zvětšil chaos, o němž jsme už mlu</w:t>
      </w:r>
      <w:r>
        <w:softHyphen/>
        <w:t>vili. Ale jednak nová doba přinesla názvy ulic po cizin</w:t>
      </w:r>
      <w:r>
        <w:softHyphen/>
        <w:t>cích, jejichž činnost byla spojena s vznikem nového státu. Tak byli vzpomenuti Petr Osvobodit</w:t>
      </w:r>
      <w:r>
        <w:t xml:space="preserve">el srbský, Wilson, </w:t>
      </w:r>
      <w:r>
        <w:rPr>
          <w:lang w:val="en-US" w:eastAsia="en-US" w:bidi="en-US"/>
        </w:rPr>
        <w:t xml:space="preserve">Hoover, </w:t>
      </w:r>
      <w:r>
        <w:t xml:space="preserve">Washington, maršál Foch, Denis, Leger atd. </w:t>
      </w:r>
      <w:r>
        <w:rPr>
          <w:b/>
          <w:bCs/>
          <w:sz w:val="19"/>
          <w:szCs w:val="19"/>
        </w:rPr>
        <w:t xml:space="preserve">A </w:t>
      </w:r>
      <w:r>
        <w:t>kro</w:t>
      </w:r>
      <w:r>
        <w:softHyphen/>
        <w:t>mě toho vznikly Národní třída, Třída 28. října, most Legií, Revoluční třída, Náměstí Republiky, kdežto nábřeží nové metropole byla zasvěcována mužům domácím: Masary</w:t>
      </w:r>
      <w:r>
        <w:softHyphen/>
        <w:t>kovo, Švehlovo,</w:t>
      </w:r>
      <w:r>
        <w:t xml:space="preserve"> Rašínovo, Kramářovo.</w:t>
      </w:r>
    </w:p>
    <w:p w:rsidR="00500724" w:rsidRDefault="00F30FB8">
      <w:pPr>
        <w:pStyle w:val="Zkladntext100"/>
        <w:shd w:val="clear" w:color="auto" w:fill="auto"/>
        <w:spacing w:after="40" w:line="240" w:lineRule="auto"/>
        <w:ind w:firstLine="0"/>
        <w:jc w:val="center"/>
      </w:pPr>
      <w:r>
        <w:t>Vinohrady - čili kamenný atlas.</w:t>
      </w:r>
    </w:p>
    <w:p w:rsidR="00500724" w:rsidRDefault="00F30FB8">
      <w:pPr>
        <w:pStyle w:val="Zkladntext100"/>
        <w:shd w:val="clear" w:color="auto" w:fill="auto"/>
        <w:spacing w:after="100" w:line="240" w:lineRule="auto"/>
        <w:ind w:firstLine="200"/>
      </w:pPr>
      <w:r>
        <w:t>Když pojmenováním ulic v různých čtvrtích po těchže slavných mužích vznikl orientační chaos, a když bylo třeba přistoupit k přejmenování ulic, byla provedena jistá dělba práce. Nevíme, zda se to stalo d</w:t>
      </w:r>
      <w:r>
        <w:t>ohodou anebo nařízením, anebo prostě měla v tom prsty náhoda — ale můžeme pozorovat jistou pravidelnost. Vinohrady s při</w:t>
      </w:r>
      <w:r>
        <w:softHyphen/>
        <w:t xml:space="preserve">lehlou částí Horního Nového města a S’ Vršovicemi </w:t>
      </w:r>
      <w:r>
        <w:rPr>
          <w:b/>
          <w:bCs/>
          <w:sz w:val="19"/>
          <w:szCs w:val="19"/>
        </w:rPr>
        <w:t xml:space="preserve">se </w:t>
      </w:r>
      <w:r>
        <w:t>pře</w:t>
      </w:r>
      <w:r>
        <w:softHyphen/>
        <w:t xml:space="preserve">měnily v kamenný atlas - a žáci nižších tříd gymnasií mohou studovat evropský </w:t>
      </w:r>
      <w:r>
        <w:t>zeměpis procházkou po Krá</w:t>
      </w:r>
      <w:r>
        <w:softHyphen/>
        <w:t>lovských Vinohradech. Opravdu, jen si všimněme jmen vinohradských ulic. Napřed jde vlastivěda se zřejmým zdůrazněním lokálního patriotismu středních Čech: Bene- ^ovská, Blanická, Boleslavská, Čáslavská, Hradecká, Chodská, Chrudims</w:t>
      </w:r>
      <w:r>
        <w:t>ká, Jičínská, Kolínská, Kouřimská, Krkonošská, Libická, Vinohradské náměstí, Nitranská, Orlická, Moravská, Písecká, Radhošť ská, Ríčanská, Řipská, Sázavská, Slezská, Slovenská, Šu</w:t>
      </w:r>
      <w:r>
        <w:softHyphen/>
        <w:t>mavská, Uhříněveská, Velehradská, Vlašim- ská, Votická, Vyšehradská. Potom j</w:t>
      </w:r>
      <w:r>
        <w:t>de Evropa: Anglická, Bělehradská, Belgická, Brusel</w:t>
      </w:r>
      <w:r>
        <w:softHyphen/>
        <w:t>ská, Finská, Estonská, Lotyšská, Norská, Ko</w:t>
      </w:r>
      <w:r>
        <w:softHyphen/>
        <w:t>daňská, Madridská, Francouzská, Chorvat</w:t>
      </w:r>
      <w:r>
        <w:softHyphen/>
        <w:t>ská, Italská, Jugoslávská; Londýnská, Lub</w:t>
      </w:r>
      <w:r>
        <w:softHyphen/>
        <w:t>laňská, Lucemburská, Polská, Rumunská, Ruská, Římská, Holandská, Varšavská, Zá</w:t>
      </w:r>
      <w:r>
        <w:softHyphen/>
      </w:r>
      <w:r>
        <w:t>hřebská, španělská, Bulharská. A je dokonce zastoupeno i zámoří: Americká a Uruguayská.</w:t>
      </w:r>
    </w:p>
    <w:p w:rsidR="00500724" w:rsidRDefault="00F30FB8">
      <w:pPr>
        <w:pStyle w:val="Zkladntext100"/>
        <w:shd w:val="clear" w:color="auto" w:fill="auto"/>
        <w:spacing w:after="60" w:line="223" w:lineRule="auto"/>
        <w:ind w:firstLine="0"/>
        <w:jc w:val="center"/>
      </w:pPr>
      <w:r>
        <w:t>Nusle — nebo rukopisy a dávnověk</w:t>
      </w:r>
    </w:p>
    <w:p w:rsidR="00500724" w:rsidRDefault="00F30FB8">
      <w:pPr>
        <w:pStyle w:val="Zkladntext100"/>
        <w:shd w:val="clear" w:color="auto" w:fill="auto"/>
        <w:spacing w:after="120" w:line="223" w:lineRule="auto"/>
        <w:ind w:firstLine="220"/>
      </w:pPr>
      <w:r>
        <w:t>Právě tak může zvědavec studovat rukopisy Zelenohorský a Královédvorský, aniž musí do Musea nebo studia dějin rukopisných bojů, a český</w:t>
      </w:r>
      <w:r>
        <w:t xml:space="preserve"> dávnověk, aniž musí hledat učebnice dějin. Stačí procházka XIV. čtvrtí, čili Nuslí, Nuslí-Odolím, Pankráci a Vyšehradem. Prosím: Hosti- vítova, Libušina, Neklánová, Přemyslova, Soběslavova, Vratislavova - to je ovšem pa</w:t>
      </w:r>
      <w:r>
        <w:softHyphen/>
        <w:t xml:space="preserve">mátný Vyšehrad, kterému tyto názvy </w:t>
      </w:r>
      <w:r>
        <w:t>sluší. Ale hned va</w:t>
      </w:r>
      <w:r>
        <w:softHyphen/>
        <w:t>dle sousední Nusle: Boleslavova, Božetěchova, Ctiborova, Čestmírova, Horymírova, Hosti- vítova, Jaromírova, Kroková, Libušina, Lu</w:t>
      </w:r>
      <w:r>
        <w:softHyphen/>
        <w:t>mírova, Mečislavova, Mojmírova, Nezamys- lova, Oldřichova, Otakarova, Přemyslova, Rostislavova, Sámova, Sez</w:t>
      </w:r>
      <w:r>
        <w:t>imova, Slavojova, Soběslavova, Spytihněvova, Svatoplukova, Svatoslavova, Vlastislavova, Zábojova, Zá- v i š o v a. Stačí?</w:t>
      </w:r>
    </w:p>
    <w:p w:rsidR="00500724" w:rsidRDefault="00F30FB8">
      <w:pPr>
        <w:pStyle w:val="Zkladntext100"/>
        <w:shd w:val="clear" w:color="auto" w:fill="auto"/>
        <w:spacing w:after="60" w:line="223" w:lineRule="auto"/>
        <w:ind w:firstLine="0"/>
        <w:jc w:val="center"/>
      </w:pPr>
      <w:r>
        <w:t>2 i ž k o v - čili husitská revoluce</w:t>
      </w:r>
    </w:p>
    <w:p w:rsidR="00500724" w:rsidRDefault="00F30FB8">
      <w:pPr>
        <w:pStyle w:val="Zkladntext100"/>
        <w:shd w:val="clear" w:color="auto" w:fill="auto"/>
        <w:spacing w:after="60" w:line="230" w:lineRule="auto"/>
        <w:ind w:firstLine="220"/>
      </w:pPr>
      <w:r>
        <w:t xml:space="preserve">Právě tak se specialisoval Zižkov — kterému to ovšem patří podle slavné bitvy u vrchu Vítkova a </w:t>
      </w:r>
      <w:r>
        <w:t>podle samot</w:t>
      </w:r>
      <w:r>
        <w:softHyphen/>
        <w:t>ného názvu obce - na dějinách husitských bojů a na pozdějších událostech až do bitvy na Bílé hoře. Neboť ačkoliv v každém českém městě jsou ulice Husova, Žiž- kova, Chelčického, Komenského atd., nikdo se Žižkovem soutěžit nemůže. Má totiž ulice</w:t>
      </w:r>
      <w:r>
        <w:t>: Budovcovu, Česko</w:t>
      </w:r>
      <w:r>
        <w:softHyphen/>
        <w:t>bratrskou, Domažlickou, Harantovu, Husi- neckou, Husovu, Chelčického, Chlumovu, Chodskou, Jakoubkovu, Jeronýmovu, Jese- niovu, Kališnickou, Kaplířovu, Komenského nám., Kostnické nám., Kříšťanovu, Lipan- skou, Milíčovu, Orebitskou, Poděbr</w:t>
      </w:r>
      <w:r>
        <w:t>adovu, Prokopovu (ulice a náměstí), Roháčovu, Roky ca- novu, Žižkův vrch, Štítného, Táboritskou, Tovačovského, Trocnovskou, U Božích Bo</w:t>
      </w:r>
      <w:r>
        <w:softHyphen/>
        <w:t>jovníků, Vítkovu, Zelivského, Žerotínovu. Dejvice — nebo dějiny anabase</w:t>
      </w:r>
    </w:p>
    <w:p w:rsidR="00500724" w:rsidRDefault="00F30FB8">
      <w:pPr>
        <w:pStyle w:val="Zkladntext100"/>
        <w:shd w:val="clear" w:color="auto" w:fill="auto"/>
        <w:spacing w:after="80" w:line="240" w:lineRule="auto"/>
        <w:ind w:firstLine="220"/>
        <w:rPr>
          <w:sz w:val="20"/>
          <w:szCs w:val="20"/>
        </w:rPr>
      </w:pPr>
      <w:r>
        <w:t>Jestliže se Nusle specialisovaly na český dávnov</w:t>
      </w:r>
      <w:r>
        <w:t>ěk a Zižkov na českou středověkou revoluci, nezbylo nové čtvrti Dejvicům, než se věnovat českým novodobým dě</w:t>
      </w:r>
      <w:r>
        <w:softHyphen/>
        <w:t>jinám. A poněvadž v Dejvicích bylo sídlo hlavních orgánů bývalé československé armády, zvolily si Dejvice historii československých legií. A tak mů</w:t>
      </w:r>
      <w:r>
        <w:t>žeme za jedno odpoledne proputovat všemi bojišti světové války. Bach- m a č s k á ulice a náměstí, Kazaňská, Kyjevská, Na Magistrále, Náměstí Nár. Obrany, Na Piavě, Pelléova, Klecandova, Sibiřská, Srbská, Sta- rodružiníků, švecova, Terronská, Uralské náměs</w:t>
      </w:r>
      <w:r>
        <w:t xml:space="preserve">tí a ulice, Verdunská. Jen Zborovskou třídu a štefánikovu třídu vzal Dejvicím blízký Smíchov. </w:t>
      </w:r>
      <w:r>
        <w:rPr>
          <w:i/>
          <w:iCs/>
          <w:sz w:val="20"/>
          <w:szCs w:val="20"/>
        </w:rPr>
        <w:t>4S2</w:t>
      </w:r>
    </w:p>
    <w:p w:rsidR="00500724" w:rsidRDefault="00F30FB8">
      <w:pPr>
        <w:pStyle w:val="Jin0"/>
        <w:pBdr>
          <w:bottom w:val="single" w:sz="4" w:space="0" w:color="auto"/>
        </w:pBdr>
        <w:shd w:val="clear" w:color="auto" w:fill="auto"/>
        <w:spacing w:after="140"/>
        <w:ind w:firstLine="0"/>
        <w:jc w:val="left"/>
        <w:rPr>
          <w:sz w:val="46"/>
          <w:szCs w:val="46"/>
        </w:rPr>
      </w:pPr>
      <w:r>
        <w:rPr>
          <w:b/>
          <w:bCs/>
          <w:sz w:val="46"/>
          <w:szCs w:val="46"/>
        </w:rPr>
        <w:t>doba a lidé</w:t>
      </w:r>
    </w:p>
    <w:p w:rsidR="00500724" w:rsidRDefault="00F30FB8">
      <w:pPr>
        <w:pStyle w:val="Zkladntext30"/>
        <w:shd w:val="clear" w:color="auto" w:fill="auto"/>
        <w:spacing w:after="0" w:line="223" w:lineRule="auto"/>
        <w:ind w:firstLine="0"/>
        <w:jc w:val="left"/>
        <w:rPr>
          <w:sz w:val="20"/>
          <w:szCs w:val="20"/>
        </w:rPr>
      </w:pPr>
      <w:r>
        <w:rPr>
          <w:i/>
          <w:iCs/>
          <w:sz w:val="20"/>
          <w:szCs w:val="20"/>
        </w:rPr>
        <w:t>Jan Fran k:</w:t>
      </w:r>
    </w:p>
    <w:p w:rsidR="00500724" w:rsidRDefault="00F30FB8">
      <w:pPr>
        <w:pStyle w:val="Nadpis100"/>
        <w:shd w:val="clear" w:color="auto" w:fill="auto"/>
        <w:spacing w:after="0" w:line="240" w:lineRule="auto"/>
        <w:ind w:firstLine="240"/>
        <w:jc w:val="both"/>
      </w:pPr>
      <w:bookmarkStart w:id="774" w:name="bookmark773"/>
      <w:r>
        <w:t>Bydlení a střecha nad hlavou</w:t>
      </w:r>
      <w:bookmarkEnd w:id="774"/>
    </w:p>
    <w:p w:rsidR="00500724" w:rsidRDefault="00F30FB8">
      <w:pPr>
        <w:pStyle w:val="Zkladntext30"/>
        <w:shd w:val="clear" w:color="auto" w:fill="auto"/>
        <w:spacing w:after="0" w:line="204" w:lineRule="auto"/>
        <w:ind w:firstLine="240"/>
      </w:pPr>
      <w:r>
        <w:t>Novodobí architekti nás poučili o tom, že bydlit a mít střechu nad hlavou jsou dva různé pojmy. Po</w:t>
      </w:r>
      <w:r>
        <w:softHyphen/>
      </w:r>
      <w:r>
        <w:t>válečná civilisace razila mimo mnoho jiných hezkých hesel také heslo, že člověk, který pracuje, má dobře bydlit. Za posledních dvacet let vyrostla celá nová města, stará města se rozrostla i tam, kde ještě před třiceti lety byla úrodná pole a odkud se do m</w:t>
      </w:r>
      <w:r>
        <w:t>ěsta jezdívalo vlakem. Rozmach Prahy za posledních dva</w:t>
      </w:r>
      <w:r>
        <w:softHyphen/>
        <w:t>cet let je toho důkazem nejpřesvědčujícím. A přece i toto nesmírné zvětšení obydlené plochy stále a stále nedostačuje. Další pole a louky ustupují novým vilám a činžovním domům a přece stále a stále po</w:t>
      </w:r>
      <w:r>
        <w:t>ptávka po volných bytech je tak veliká, že se majitelé domů ne</w:t>
      </w:r>
      <w:r>
        <w:softHyphen/>
        <w:t>musí obávat, že by jejich byty mohly být prázdné a že by se nenašel nájemník, který by jim pomohl nésti břímě majitele realit.</w:t>
      </w:r>
    </w:p>
    <w:p w:rsidR="00500724" w:rsidRDefault="00F30FB8">
      <w:pPr>
        <w:pStyle w:val="Zkladntext30"/>
        <w:shd w:val="clear" w:color="auto" w:fill="auto"/>
        <w:spacing w:after="0" w:line="204" w:lineRule="auto"/>
        <w:ind w:firstLine="240"/>
      </w:pPr>
      <w:r>
        <w:t>Je pravda, že situace v našich zemích se zhoršila osamostatněním S</w:t>
      </w:r>
      <w:r>
        <w:t>lovenska, protože příchod mnoha tisíc lidí do Protektorátu se jen zčásti přelil na český a moravský venkov, většinou však ústil do velkých měst, kde jsou umístěny centrální úřady, tedy na prvém místě zase do Prahy. Mimo tento fakt spolu</w:t>
      </w:r>
      <w:r>
        <w:softHyphen/>
        <w:t>působí na vzrůstu v</w:t>
      </w:r>
      <w:r>
        <w:t>elkoměstského obyvatelstva ne</w:t>
      </w:r>
      <w:r>
        <w:softHyphen/>
        <w:t>popiratelný útěk obyvatelstva z vesnic a jeho cesta za snadnější obživou ve velkém městě. Pokud je tento zjev zdravý nebo nezdravý, pokud je logickým důsled</w:t>
      </w:r>
      <w:r>
        <w:softHyphen/>
        <w:t>kem sociologických příčin, pokud je změnitelný a po</w:t>
      </w:r>
      <w:r>
        <w:softHyphen/>
        <w:t>kud je s ním nutn</w:t>
      </w:r>
      <w:r>
        <w:t>o počítat jako se zjevem trvalým, tvoří souhrn otázek a problémů, jež není možno v tomto článku řešit.</w:t>
      </w:r>
    </w:p>
    <w:p w:rsidR="00500724" w:rsidRDefault="00F30FB8">
      <w:pPr>
        <w:pStyle w:val="Zkladntext30"/>
        <w:shd w:val="clear" w:color="auto" w:fill="auto"/>
        <w:spacing w:after="0" w:line="206" w:lineRule="auto"/>
        <w:ind w:firstLine="240"/>
      </w:pPr>
      <w:r>
        <w:t>Je jisto, že velký vzrůst městského obyvatelstva vyvolal potřebu zvětšení zabydleného místa. A proto</w:t>
      </w:r>
      <w:r>
        <w:softHyphen/>
        <w:t>že mimo tisíce jiných rozdílů je mezi městem a ves</w:t>
      </w:r>
      <w:r>
        <w:softHyphen/>
        <w:t>n</w:t>
      </w:r>
      <w:r>
        <w:t>icí ještě rozdíl ten, že obyvatelstvo městské bydlí vět</w:t>
      </w:r>
      <w:r>
        <w:softHyphen/>
        <w:t>šinou v nájmu, kdežto obyvatelstvo vesnické ve svých vlastních domcích, stalo se bydlení ve městech jedním ze sociálních problémů města, a to už v době, kdy se města zakládala a kdy se do měst stěhova</w:t>
      </w:r>
      <w:r>
        <w:t>li prví oby</w:t>
      </w:r>
      <w:r>
        <w:softHyphen/>
        <w:t>vatelé.</w:t>
      </w:r>
    </w:p>
    <w:p w:rsidR="00500724" w:rsidRDefault="00F30FB8">
      <w:pPr>
        <w:pStyle w:val="Zkladntext30"/>
        <w:shd w:val="clear" w:color="auto" w:fill="auto"/>
        <w:spacing w:after="120" w:line="204" w:lineRule="auto"/>
        <w:ind w:firstLine="240"/>
      </w:pPr>
      <w:r>
        <w:t>Protože problémy sociální jsou neodlučitelně od pro</w:t>
      </w:r>
      <w:r>
        <w:softHyphen/>
        <w:t xml:space="preserve">blémů hospodářských, jsouce na nich přímo závislé, stalo se bydlení jednou z největších hospodářských starostí všeho městského obyvatelstva. Vesnice tento problém žije také, ale po </w:t>
      </w:r>
      <w:r>
        <w:t>svém. Zde problém bydlení je zredukován na kapitálovou sílu každého obyvatele, representovanou spořivostí generací nebo bankovním úvěrem. I když je to problém jednodušší problému městského, přece jen bychom si netroufali říci, že je méně těžký.</w:t>
      </w:r>
    </w:p>
    <w:p w:rsidR="00500724" w:rsidRDefault="00F30FB8">
      <w:pPr>
        <w:pStyle w:val="Zkladntext30"/>
        <w:shd w:val="clear" w:color="auto" w:fill="auto"/>
        <w:spacing w:after="0" w:line="204" w:lineRule="auto"/>
        <w:ind w:firstLine="0"/>
        <w:jc w:val="center"/>
      </w:pPr>
      <w:r>
        <w:t>Bydlení jak</w:t>
      </w:r>
      <w:r>
        <w:t>o stupeň kultury</w:t>
      </w:r>
    </w:p>
    <w:p w:rsidR="00500724" w:rsidRDefault="00F30FB8">
      <w:pPr>
        <w:pStyle w:val="Zkladntext30"/>
        <w:shd w:val="clear" w:color="auto" w:fill="auto"/>
        <w:spacing w:after="0" w:line="204" w:lineRule="auto"/>
        <w:ind w:firstLine="240"/>
      </w:pPr>
      <w:r>
        <w:t>Ríkalo-li se dříve, že civilisační výše národů se po</w:t>
      </w:r>
      <w:r>
        <w:softHyphen/>
        <w:t>znává podle spotřeby mýdla, byla tato formule v po</w:t>
      </w:r>
      <w:r>
        <w:softHyphen/>
        <w:t>sledních letech upravena na spotřebu kubických metrů bytu. A jako pro prvé, tak i pro druhé byly vy</w:t>
      </w:r>
      <w:r>
        <w:softHyphen/>
        <w:t xml:space="preserve">tvořeny určité normy, mlčky uznané </w:t>
      </w:r>
      <w:r>
        <w:t>za obecně plat</w:t>
      </w:r>
      <w:r>
        <w:softHyphen/>
        <w:t>né. V bydlení platí na příklad dodnes formule anglic</w:t>
      </w:r>
      <w:r>
        <w:softHyphen/>
        <w:t xml:space="preserve">ká, že cena bytu má tvořit sedminu ročního důchodu bydlící rodiny. I když je to formule stará, přece jen musíme přiznat, že vcelku v Anglii platí dodnes. Ve Francii, kde tato formule byla </w:t>
      </w:r>
      <w:r>
        <w:t>taktéž přijata, není tak cele dodržována. Činže ve městech stejně jako úrok a úmor na vesnicích jsou poněkud vyšší, než sedmina ročního důchodu, ve většině případů však nejsou větší než jeho pětina.</w:t>
      </w:r>
    </w:p>
    <w:p w:rsidR="00500724" w:rsidRDefault="00F30FB8">
      <w:pPr>
        <w:pStyle w:val="Zkladntext30"/>
        <w:shd w:val="clear" w:color="auto" w:fill="auto"/>
        <w:spacing w:after="0" w:line="204" w:lineRule="auto"/>
      </w:pPr>
      <w:r>
        <w:t>Zcela jinou je situace u nás. Velká společenská pře</w:t>
      </w:r>
      <w:r>
        <w:softHyphen/>
        <w:t>skupo</w:t>
      </w:r>
      <w:r>
        <w:t>vání ve dvacátých letech tohoto století vyvolala u nás čilý stavební ruch, podporovaný státem, proto</w:t>
      </w:r>
      <w:r>
        <w:softHyphen/>
        <w:t>že bylo nutno zastavět v nejkratší možné době velké plochy, aby chod státního aparátu, budovaného v hlavním městě státu neutrpěl a aby sta a tisíce no</w:t>
      </w:r>
      <w:r>
        <w:softHyphen/>
        <w:t>vých</w:t>
      </w:r>
      <w:r>
        <w:t xml:space="preserve"> zaměstnanců měly kde bydlit.</w:t>
      </w:r>
    </w:p>
    <w:p w:rsidR="00500724" w:rsidRDefault="00F30FB8">
      <w:pPr>
        <w:pStyle w:val="Zkladntext30"/>
        <w:shd w:val="clear" w:color="auto" w:fill="auto"/>
        <w:spacing w:after="0" w:line="204" w:lineRule="auto"/>
      </w:pPr>
      <w:r>
        <w:t>Horečný spěch ve výstavbě Velké Prahy byl a ve struktuře bývalého Československa musil být prová</w:t>
      </w:r>
      <w:r>
        <w:softHyphen/>
        <w:t>zen stínem spekulace, který se vlekl za vším podniká</w:t>
      </w:r>
      <w:r>
        <w:softHyphen/>
        <w:t>ním, jež nestačil z jakýchkoliv příčin realisovat stát. Proto jsou příčiny i</w:t>
      </w:r>
      <w:r>
        <w:t xml:space="preserve"> následky tohoto zjevu srozumitel</w:t>
      </w:r>
      <w:r>
        <w:softHyphen/>
        <w:t>né a není v nich tajemství. I jiné státy prožívaly stej</w:t>
      </w:r>
      <w:r>
        <w:softHyphen/>
        <w:t>nou bytovou krisi, a to i státy nedemokratické struk</w:t>
      </w:r>
      <w:r>
        <w:softHyphen/>
        <w:t xml:space="preserve">tury, jako na příklad SSSR, kde bytová krise byla ve městech zdolávána plných dvacet let a dodnes nebyla vlastně </w:t>
      </w:r>
      <w:r>
        <w:t>odstraněna. I když poměry bytové v Praze nebyly nejlepší, přece jen nebylo možno je ani srovnat s poměry moskevskými, kde Žilkoop a Žilprotkom (zkratky institucí, majících na starosti bydlení), byly bezradné.</w:t>
      </w:r>
    </w:p>
    <w:p w:rsidR="00500724" w:rsidRDefault="00F30FB8">
      <w:pPr>
        <w:pStyle w:val="Zkladntext30"/>
        <w:shd w:val="clear" w:color="auto" w:fill="auto"/>
        <w:spacing w:after="200" w:line="204" w:lineRule="auto"/>
      </w:pPr>
      <w:r>
        <w:t>Cesta k objasnění dnešních našich bytových po</w:t>
      </w:r>
      <w:r>
        <w:softHyphen/>
        <w:t>m</w:t>
      </w:r>
      <w:r>
        <w:t>ěrů je tedy přímá a není v ní zákrutů, kam by ne</w:t>
      </w:r>
      <w:r>
        <w:softHyphen/>
        <w:t>mohlo oko obyčejného člověka vidět, protože historie prodlužených bytových družstev, státem zachraňova</w:t>
      </w:r>
      <w:r>
        <w:softHyphen/>
        <w:t>ných, byly podobny jedna druhé jako vejce vejci.</w:t>
      </w:r>
    </w:p>
    <w:p w:rsidR="00500724" w:rsidRDefault="00F30FB8">
      <w:pPr>
        <w:pStyle w:val="Zkladntext30"/>
        <w:shd w:val="clear" w:color="auto" w:fill="auto"/>
        <w:spacing w:after="80" w:line="202" w:lineRule="auto"/>
        <w:ind w:firstLine="0"/>
        <w:jc w:val="center"/>
      </w:pPr>
      <w:r>
        <w:t>Příkaz doby: malý byt</w:t>
      </w:r>
    </w:p>
    <w:p w:rsidR="00500724" w:rsidRDefault="00F30FB8">
      <w:pPr>
        <w:pStyle w:val="Zkladntext30"/>
        <w:shd w:val="clear" w:color="auto" w:fill="auto"/>
        <w:spacing w:after="0" w:line="202" w:lineRule="auto"/>
      </w:pPr>
      <w:r>
        <w:t>Nebylo to heslo, byl to příkaz, p</w:t>
      </w:r>
      <w:r>
        <w:t>roti němuž nebylo odvolání. Městský člověk, který musí ze svého platu uživit rodinu, ošatit ji a propočítat třikrát každou po</w:t>
      </w:r>
      <w:r>
        <w:softHyphen/>
        <w:t>ložku, odkládá měsíc od měsíce ze své mzdy částku, která zůstává od prvního do posledního dne v měsíci nedotčena. Je to činže a ta</w:t>
      </w:r>
      <w:r>
        <w:t xml:space="preserve"> musí být zaplacena přesně a v plné ceně, nemá-li se nájemník vystavovat přísné</w:t>
      </w:r>
      <w:r>
        <w:softHyphen/>
        <w:t>mu bytovému zákonu, jehož tíha není malá. Konečně, to jsou věci, s nimiž je nutno počítat a s nimiž je nut</w:t>
      </w:r>
      <w:r>
        <w:softHyphen/>
        <w:t>no se smířit. Další výpočty vám ale ukáží, že toto smiřování je stejn</w:t>
      </w:r>
      <w:r>
        <w:t>ě nesnadné u vyššího státního úřed</w:t>
      </w:r>
      <w:r>
        <w:softHyphen/>
        <w:t>níka, jako u řidiče elektrické dráhy. Jeden jako druhý bydlí v bytě, který je vždycky menší než byt. jaký by si přál a jaký by potřeboval. Přes to, že bydlení je jed</w:t>
      </w:r>
      <w:r>
        <w:softHyphen/>
        <w:t>nou z nejzákladnějších potřeb člověka, bydlí jeden jako</w:t>
      </w:r>
      <w:r>
        <w:t xml:space="preserve"> druhý na minimální ploše čtverečných metrů s minimálním komfortem, protože prostě bydlit tak, jak by potřeboval, je nad únosnost jeho kapsy. To, čemu se říká na světě representace, mělo u nás vždycky špatný zvuk a náš prostý člověk, i když jeho závistivos</w:t>
      </w:r>
      <w:r>
        <w:t>t se nemůže rovnat stejné vlastnosti jiných národů, ji nenese právě lehce. Representativní bydlení se proto u nás nemohlo stát potřebou, protože bylo odevždy pokládáno za luxus. Na druhé straně ti, po nichž by to jejich společenské postavení žádalo, vy</w:t>
      </w:r>
      <w:r>
        <w:softHyphen/>
        <w:t>hýb</w:t>
      </w:r>
      <w:r>
        <w:t>ali se bydlení v bytě přiměřené velikosti, a to z prostého ostychu, nebyly-li po ruce motivy finanční.</w:t>
      </w:r>
    </w:p>
    <w:p w:rsidR="00500724" w:rsidRDefault="00F30FB8">
      <w:pPr>
        <w:pStyle w:val="Zkladntext30"/>
        <w:shd w:val="clear" w:color="auto" w:fill="auto"/>
        <w:spacing w:after="200" w:line="202" w:lineRule="auto"/>
      </w:pPr>
      <w:r>
        <w:t>Starý pan domácí s čepičkou na hlavě, jak jsme jej poznávali z předválečných karikatur, zemřel. Jeho rozmazlené dcerky se tak dlouho soudily o jeho pozů</w:t>
      </w:r>
      <w:r>
        <w:softHyphen/>
      </w:r>
      <w:r>
        <w:t>stalost, až jim ji sebrala banka. Pana domácího dnes zastupuje majitel domu. I když je to skutečná osoba, dědic vlastností předválečného pana domácího, přece jen jeho role je nyní jiná. I když vina za nemožné po</w:t>
      </w:r>
      <w:r>
        <w:softHyphen/>
        <w:t xml:space="preserve">měry bytové ve Velké Praze je zaviněna cele </w:t>
      </w:r>
      <w:r>
        <w:t>jen a jen jimi, přece jen je nutno být spravedlivým: je nutno říci, že ne všemi, a toto tvrzení není jen obojetnou frází. Jsou majitelé domů, kteří do stavby nebo kou</w:t>
      </w:r>
      <w:r>
        <w:softHyphen/>
        <w:t>pě budovy uložili většinu svého kapitálu nebo kapitál všechen, nebo jsou i ti, kteří se k</w:t>
      </w:r>
      <w:r>
        <w:t>oupí zadlužili a vinou malé chyby v kalkulaci nesou břímě, které není malé. O těch zde nebudiž mluveno. Je však mimo ně u nás velké množství majitelů anonymních, s nimiž se ná</w:t>
      </w:r>
      <w:r>
        <w:softHyphen/>
        <w:t>jemníci nikdy nesetkají, s nimiž se nemohou pozdravit a jimž si nemohou postěžov</w:t>
      </w:r>
      <w:r>
        <w:t>at. Jsou to banky, kon</w:t>
      </w:r>
      <w:r>
        <w:softHyphen/>
        <w:t>cerny, spekulující podnikatelé a překupníci domů. Není možno míti někomu za zlé, že kupuje dům, který je na prodej, ale je nutno u toho mít na paměti, že v domě bydlí lidé, že tito lidé mají své těžkosti, své lidské drobné starosti a</w:t>
      </w:r>
      <w:r>
        <w:t xml:space="preserve"> že jsou na těch několika čtverečných metrech do jisté míry závislí.</w:t>
      </w:r>
    </w:p>
    <w:p w:rsidR="00500724" w:rsidRDefault="00F30FB8">
      <w:pPr>
        <w:pStyle w:val="Zkladntext30"/>
        <w:shd w:val="clear" w:color="auto" w:fill="auto"/>
        <w:spacing w:after="60" w:line="202" w:lineRule="auto"/>
        <w:ind w:firstLine="0"/>
        <w:jc w:val="center"/>
      </w:pPr>
      <w:r>
        <w:t>A nyní trochu počtů</w:t>
      </w:r>
    </w:p>
    <w:p w:rsidR="00500724" w:rsidRDefault="00F30FB8">
      <w:pPr>
        <w:pStyle w:val="Zkladntext30"/>
        <w:shd w:val="clear" w:color="auto" w:fill="auto"/>
        <w:spacing w:after="0" w:line="202" w:lineRule="auto"/>
        <w:ind w:firstLine="240"/>
      </w:pPr>
      <w:r>
        <w:t>Železniční, poštovní, ministerský zřízenec stejně ja</w:t>
      </w:r>
      <w:r>
        <w:softHyphen/>
        <w:t>ko zřízenec elektrické dráhy, plynárny, obchodní za</w:t>
      </w:r>
      <w:r>
        <w:softHyphen/>
        <w:t xml:space="preserve">městnanec a učitel pohybují se v průměrné hranici příjmů od </w:t>
      </w:r>
      <w:r>
        <w:t xml:space="preserve">1200 do 1700 korun měsíčně. Maximální byt, který mohou ještě zaplatit, je pokoj a kuchyň. Ceny těchto bytů se v Praze pohybují v mezích od tří do sedmi tisíc ročně. Není třeba vykládat, že jde o byty tak zvané »nové« proti bytům se starou činží, to jest s </w:t>
      </w:r>
      <w:r>
        <w:t>činží předválečnou, úměrně zvětšenou. Stejně tak není nutno dokládat, že všecky tyto byty jsou vzdáleny centru města, protože uvnitř města je tato částka ještě vyšší. Spočítáme-li si jednoduchým způ</w:t>
      </w:r>
      <w:r>
        <w:softHyphen/>
        <w:t>sobem vydání rodiny obývající tak zvaný malý byt, dostane</w:t>
      </w:r>
      <w:r>
        <w:t>me přibližně tento obraz:</w:t>
      </w:r>
    </w:p>
    <w:p w:rsidR="00500724" w:rsidRDefault="00F30FB8">
      <w:pPr>
        <w:pStyle w:val="Obsah0"/>
        <w:shd w:val="clear" w:color="auto" w:fill="auto"/>
        <w:tabs>
          <w:tab w:val="center" w:pos="1847"/>
          <w:tab w:val="center" w:pos="2025"/>
          <w:tab w:val="right" w:pos="2356"/>
          <w:tab w:val="right" w:pos="3273"/>
          <w:tab w:val="right" w:pos="3465"/>
        </w:tabs>
        <w:spacing w:line="206" w:lineRule="auto"/>
        <w:ind w:left="860" w:right="1560" w:firstLine="0"/>
        <w:jc w:val="left"/>
        <w:rPr>
          <w:sz w:val="22"/>
          <w:szCs w:val="22"/>
        </w:rPr>
      </w:pPr>
      <w:r>
        <w:fldChar w:fldCharType="begin"/>
      </w:r>
      <w:r>
        <w:instrText xml:space="preserve"> TOC \o "1-5" \h \z </w:instrText>
      </w:r>
      <w:r>
        <w:fldChar w:fldCharType="separate"/>
      </w:r>
      <w:r>
        <w:rPr>
          <w:sz w:val="22"/>
          <w:szCs w:val="22"/>
        </w:rPr>
        <w:t>Činže . , , 4800.— K otop .</w:t>
      </w:r>
      <w:r>
        <w:rPr>
          <w:sz w:val="22"/>
          <w:szCs w:val="22"/>
        </w:rPr>
        <w:tab/>
        <w:t>,</w:t>
      </w:r>
      <w:r>
        <w:rPr>
          <w:sz w:val="22"/>
          <w:szCs w:val="22"/>
        </w:rPr>
        <w:tab/>
        <w:t>.</w:t>
      </w:r>
      <w:r>
        <w:rPr>
          <w:sz w:val="22"/>
          <w:szCs w:val="22"/>
        </w:rPr>
        <w:tab/>
        <w:t>,</w:t>
      </w:r>
      <w:r>
        <w:rPr>
          <w:sz w:val="22"/>
          <w:szCs w:val="22"/>
        </w:rPr>
        <w:tab/>
        <w:t>800.—</w:t>
      </w:r>
      <w:r>
        <w:rPr>
          <w:sz w:val="22"/>
          <w:szCs w:val="22"/>
        </w:rPr>
        <w:tab/>
        <w:t>K</w:t>
      </w:r>
    </w:p>
    <w:p w:rsidR="00500724" w:rsidRDefault="00F30FB8">
      <w:pPr>
        <w:pStyle w:val="Obsah0"/>
        <w:shd w:val="clear" w:color="auto" w:fill="auto"/>
        <w:tabs>
          <w:tab w:val="center" w:pos="1847"/>
          <w:tab w:val="center" w:pos="2025"/>
          <w:tab w:val="right" w:pos="2356"/>
          <w:tab w:val="right" w:pos="3273"/>
          <w:tab w:val="right" w:pos="3465"/>
        </w:tabs>
        <w:spacing w:line="206" w:lineRule="auto"/>
        <w:ind w:left="860" w:firstLine="0"/>
        <w:rPr>
          <w:sz w:val="22"/>
          <w:szCs w:val="22"/>
        </w:rPr>
      </w:pPr>
      <w:r>
        <w:rPr>
          <w:sz w:val="22"/>
          <w:szCs w:val="22"/>
        </w:rPr>
        <w:t>Plyn .</w:t>
      </w:r>
      <w:r>
        <w:rPr>
          <w:sz w:val="22"/>
          <w:szCs w:val="22"/>
        </w:rPr>
        <w:tab/>
        <w:t>.</w:t>
      </w:r>
      <w:r>
        <w:rPr>
          <w:sz w:val="22"/>
          <w:szCs w:val="22"/>
        </w:rPr>
        <w:tab/>
        <w:t>,</w:t>
      </w:r>
      <w:r>
        <w:rPr>
          <w:sz w:val="22"/>
          <w:szCs w:val="22"/>
        </w:rPr>
        <w:tab/>
        <w:t>■,</w:t>
      </w:r>
      <w:r>
        <w:rPr>
          <w:sz w:val="22"/>
          <w:szCs w:val="22"/>
        </w:rPr>
        <w:tab/>
        <w:t>700.—</w:t>
      </w:r>
      <w:r>
        <w:rPr>
          <w:sz w:val="22"/>
          <w:szCs w:val="22"/>
        </w:rPr>
        <w:tab/>
        <w:t>K</w:t>
      </w:r>
    </w:p>
    <w:p w:rsidR="00500724" w:rsidRDefault="00F30FB8">
      <w:pPr>
        <w:pStyle w:val="Obsah0"/>
        <w:shd w:val="clear" w:color="auto" w:fill="auto"/>
        <w:tabs>
          <w:tab w:val="center" w:pos="1847"/>
          <w:tab w:val="center" w:pos="2025"/>
          <w:tab w:val="right" w:pos="2356"/>
          <w:tab w:val="right" w:pos="3273"/>
          <w:tab w:val="right" w:pos="3465"/>
        </w:tabs>
        <w:spacing w:after="200" w:line="206" w:lineRule="auto"/>
        <w:ind w:left="860" w:firstLine="0"/>
        <w:rPr>
          <w:sz w:val="22"/>
          <w:szCs w:val="22"/>
        </w:rPr>
      </w:pPr>
      <w:r>
        <w:rPr>
          <w:sz w:val="22"/>
          <w:szCs w:val="22"/>
        </w:rPr>
        <w:t>Světlo</w:t>
      </w:r>
      <w:r>
        <w:rPr>
          <w:sz w:val="22"/>
          <w:szCs w:val="22"/>
        </w:rPr>
        <w:tab/>
        <w:t>.</w:t>
      </w:r>
      <w:r>
        <w:rPr>
          <w:sz w:val="22"/>
          <w:szCs w:val="22"/>
        </w:rPr>
        <w:tab/>
        <w:t>.</w:t>
      </w:r>
      <w:r>
        <w:rPr>
          <w:sz w:val="22"/>
          <w:szCs w:val="22"/>
        </w:rPr>
        <w:tab/>
        <w:t>.</w:t>
      </w:r>
      <w:r>
        <w:rPr>
          <w:sz w:val="22"/>
          <w:szCs w:val="22"/>
        </w:rPr>
        <w:tab/>
        <w:t>250.—</w:t>
      </w:r>
      <w:r>
        <w:rPr>
          <w:sz w:val="22"/>
          <w:szCs w:val="22"/>
        </w:rPr>
        <w:tab/>
        <w:t>K</w:t>
      </w:r>
      <w:r>
        <w:fldChar w:fldCharType="end"/>
      </w:r>
    </w:p>
    <w:p w:rsidR="00500724" w:rsidRDefault="00F30FB8">
      <w:pPr>
        <w:pStyle w:val="Zkladntext30"/>
        <w:shd w:val="clear" w:color="auto" w:fill="auto"/>
        <w:spacing w:after="0" w:line="204" w:lineRule="auto"/>
        <w:ind w:left="860" w:firstLine="0"/>
      </w:pPr>
      <w:r>
        <w:t>Celkem . . . 6550.— K ročně.</w:t>
      </w:r>
    </w:p>
    <w:p w:rsidR="00500724" w:rsidRDefault="00F30FB8">
      <w:pPr>
        <w:pStyle w:val="Zkladntext30"/>
        <w:shd w:val="clear" w:color="auto" w:fill="auto"/>
        <w:spacing w:after="0" w:line="204" w:lineRule="auto"/>
        <w:ind w:firstLine="240"/>
      </w:pPr>
      <w:r>
        <w:t>Doplníme-li tento počet číslicí příjmů živitele rodi</w:t>
      </w:r>
      <w:r>
        <w:softHyphen/>
        <w:t>ny, která je maximálně po všech přídavcí</w:t>
      </w:r>
      <w:r>
        <w:t>ch i sráž</w:t>
      </w:r>
      <w:r>
        <w:softHyphen/>
        <w:t>kách 18.000 K ročně, přijdeme k závěru, že částka, jež pohltí bydlení našeho občana střední kategorie, činí více jak jednu třetinu jeho celoročního příjmu. Připočteme-li k těmto položkám ještě vydání za elek</w:t>
      </w:r>
      <w:r>
        <w:softHyphen/>
        <w:t>triku, jež činí průměrně 1400 K ročně,</w:t>
      </w:r>
      <w:r>
        <w:t xml:space="preserve"> blíží se vydání za bydlení polovině všech příjmů rodiny.</w:t>
      </w:r>
    </w:p>
    <w:p w:rsidR="00500724" w:rsidRDefault="00F30FB8">
      <w:pPr>
        <w:pStyle w:val="Zkladntext30"/>
        <w:shd w:val="clear" w:color="auto" w:fill="auto"/>
        <w:spacing w:after="0" w:line="204" w:lineRule="auto"/>
        <w:ind w:firstLine="240"/>
      </w:pPr>
      <w:r>
        <w:t>Nesmíme však zapomenout na to, že jsou také byty levnější než uvedený a že tisíce lidí přinese ročně do</w:t>
      </w:r>
      <w:r>
        <w:softHyphen/>
        <w:t>mů méně než 18.000 K. Na tato úměrná zmenšení a zvětšení však vystačíme s obyčejnou trojčlenko</w:t>
      </w:r>
      <w:r>
        <w:t>u.</w:t>
      </w:r>
    </w:p>
    <w:p w:rsidR="00500724" w:rsidRDefault="00F30FB8">
      <w:pPr>
        <w:pStyle w:val="Zkladntext30"/>
        <w:shd w:val="clear" w:color="auto" w:fill="auto"/>
        <w:spacing w:after="0" w:line="204" w:lineRule="auto"/>
        <w:ind w:firstLine="240"/>
      </w:pPr>
      <w:r>
        <w:t>Stejně tak nesmíme zapomenout, že se v poslední době staví v Praze většina domů s ústředním topením a ohřívači vody pro kuchyni a koupelny. Zde kalku</w:t>
      </w:r>
      <w:r>
        <w:softHyphen/>
        <w:t>lace není rozdílná příliš od uvedené. To, co rodina in</w:t>
      </w:r>
      <w:r>
        <w:softHyphen/>
        <w:t xml:space="preserve">vestuje do nákupu uhlí, je zpravidla započteno </w:t>
      </w:r>
      <w:r>
        <w:t>do výše nájemného a obraz je stejný.</w:t>
      </w:r>
    </w:p>
    <w:p w:rsidR="00500724" w:rsidRDefault="00F30FB8">
      <w:pPr>
        <w:pStyle w:val="Zkladntext30"/>
        <w:shd w:val="clear" w:color="auto" w:fill="auto"/>
        <w:spacing w:after="0" w:line="204" w:lineRule="auto"/>
        <w:ind w:firstLine="240"/>
      </w:pPr>
      <w:r>
        <w:t>Jdeme-li ještě dále, nemůžeme nechat bez povšim</w:t>
      </w:r>
      <w:r>
        <w:softHyphen/>
        <w:t>nutí ty, kteří se do pokoje a kuchyně prostě nevejdou. Jsou-li jejich příjmy větší než uvedených 18.000 ko</w:t>
      </w:r>
      <w:r>
        <w:softHyphen/>
        <w:t>run, mohou pomýšlet na byt o dvou pokojích a kuchy</w:t>
      </w:r>
      <w:r>
        <w:softHyphen/>
        <w:t>ni. Jeho cena</w:t>
      </w:r>
      <w:r>
        <w:t xml:space="preserve"> kolísá od 6 do 15 tisíc. Počítáme-li, že</w:t>
      </w:r>
      <w:r>
        <w:br w:type="page"/>
        <w:t>průměrný dvoupokojový byt stojí 8000 K ročně, činí třetinu ročního příjmu rodiny až tehdy, když příjem rodiny po všech srážkách činí čistých 25.000 korun. O bytech větších se už nezmiňujeme, protože jsme chtěli pou</w:t>
      </w:r>
      <w:r>
        <w:t>kázat jen na závažnost hospodářsko-sociál- ních otázek, nakupených okolo problému tak zvaných malých bytů.</w:t>
      </w:r>
    </w:p>
    <w:p w:rsidR="00500724" w:rsidRDefault="00F30FB8">
      <w:pPr>
        <w:pStyle w:val="Zkladntext30"/>
        <w:shd w:val="clear" w:color="auto" w:fill="auto"/>
        <w:spacing w:after="200" w:line="204" w:lineRule="auto"/>
      </w:pPr>
      <w:r>
        <w:t xml:space="preserve">Z toho, co tu bylo vypočteno, je vidět, že průměrný zaměstnanec nestačí svými prostředky ani na tak zvaný malý byt a proto v poslední době vzniklo </w:t>
      </w:r>
      <w:r>
        <w:t>mno</w:t>
      </w:r>
      <w:r>
        <w:softHyphen/>
        <w:t>ho bytů ještě menších než malé. Jsou to tak zvané</w:t>
      </w:r>
    </w:p>
    <w:p w:rsidR="00500724" w:rsidRDefault="00F30FB8">
      <w:pPr>
        <w:pStyle w:val="Zkladntext30"/>
        <w:shd w:val="clear" w:color="auto" w:fill="auto"/>
        <w:spacing w:after="60" w:line="202" w:lineRule="auto"/>
        <w:ind w:firstLine="0"/>
        <w:jc w:val="center"/>
      </w:pPr>
      <w:r>
        <w:t>garsoniéry.</w:t>
      </w:r>
    </w:p>
    <w:p w:rsidR="00500724" w:rsidRDefault="00F30FB8">
      <w:pPr>
        <w:pStyle w:val="Zkladntext30"/>
        <w:shd w:val="clear" w:color="auto" w:fill="auto"/>
        <w:spacing w:after="0" w:line="202" w:lineRule="auto"/>
      </w:pPr>
      <w:r>
        <w:t>Z francouzského kořenu slova je znát na prvý po</w:t>
      </w:r>
      <w:r>
        <w:softHyphen/>
        <w:t>hled, že garsoniéry byly původně určeny pro svobodné muže, jimž se nechtělo bydlit pod přísným okem byt</w:t>
      </w:r>
      <w:r>
        <w:softHyphen/>
        <w:t>né a kteří pro svou samotu potřebovali</w:t>
      </w:r>
      <w:r>
        <w:t xml:space="preserve"> minimální po</w:t>
      </w:r>
      <w:r>
        <w:softHyphen/>
        <w:t>čet čtverečných metrů podlahy, stropu a stěn.</w:t>
      </w:r>
    </w:p>
    <w:p w:rsidR="00500724" w:rsidRDefault="00F30FB8">
      <w:pPr>
        <w:pStyle w:val="Zkladntext30"/>
        <w:shd w:val="clear" w:color="auto" w:fill="auto"/>
        <w:spacing w:after="0" w:line="202" w:lineRule="auto"/>
      </w:pPr>
      <w:r>
        <w:t>Tyto byty však nejsou v poslední době vyhledávány jen svobodnými muži a samostatně výdělečnými žena</w:t>
      </w:r>
      <w:r>
        <w:softHyphen/>
        <w:t>mi, naopak, jsou nyní většinou obydleny rodinami drobných úředníků, učitelů, zaměstnanců všech k</w:t>
      </w:r>
      <w:r>
        <w:t>ate</w:t>
      </w:r>
      <w:r>
        <w:softHyphen/>
        <w:t>gorií, kteří se na 25 čtverečných metrech směstnají, kde jedí, spí, učí se a baví všichni pohromadě. Ještě přede dvěma roky platilo se v Praze za jednotlivý pokoj s příslušenstvím přibližně 3000 korun. Dnes se tento průměr zvedl na 3900 korun. Zdá se v</w:t>
      </w:r>
      <w:r>
        <w:t>ám asi, že tedy není podstatného rozdílu mezi tak zvanou garso</w:t>
      </w:r>
      <w:r>
        <w:softHyphen/>
        <w:t>niérou a malým bytem. Zcela právem, ale dříve než obviníme malého člověka z chyby v kalkulaci, musíme uvážit jedno, že totiž necelých sto korun, které za</w:t>
      </w:r>
      <w:r>
        <w:softHyphen/>
        <w:t>městnanec měsíčně ušetří tím, že odejde</w:t>
      </w:r>
      <w:r>
        <w:t xml:space="preserve"> z malého bytu do garsoniéry, hraje v jeho měsíčním rozpočtu vel</w:t>
      </w:r>
      <w:r>
        <w:softHyphen/>
        <w:t>kou roli.</w:t>
      </w:r>
    </w:p>
    <w:p w:rsidR="00500724" w:rsidRDefault="00F30FB8">
      <w:pPr>
        <w:pStyle w:val="Zkladntext30"/>
        <w:shd w:val="clear" w:color="auto" w:fill="auto"/>
        <w:spacing w:after="60" w:line="202" w:lineRule="auto"/>
      </w:pPr>
      <w:r>
        <w:t>Kapitolou samou o sobě by mohla být kapitola o bydlení svobodných zaměstnanců, o cenách nájmů a podnájmů, o pensionátech, jež pensionáty nejsou, protože tu jde jen o samostatné poko</w:t>
      </w:r>
      <w:r>
        <w:t>je, vybavené nej</w:t>
      </w:r>
      <w:r>
        <w:softHyphen/>
        <w:t>nutnějším nábytkem, několikráte nájemníky zaplace</w:t>
      </w:r>
      <w:r>
        <w:softHyphen/>
        <w:t>ným, ale tím vším bychom se dostali z mezí svých úmyslů.</w:t>
      </w:r>
    </w:p>
    <w:p w:rsidR="00500724" w:rsidRDefault="00F30FB8">
      <w:pPr>
        <w:pStyle w:val="Zkladntext30"/>
        <w:shd w:val="clear" w:color="auto" w:fill="auto"/>
        <w:spacing w:after="0" w:line="202" w:lineRule="auto"/>
        <w:ind w:firstLine="0"/>
        <w:jc w:val="center"/>
      </w:pPr>
      <w:r>
        <w:t>Dům jako kapitál</w:t>
      </w:r>
    </w:p>
    <w:p w:rsidR="00500724" w:rsidRDefault="00F30FB8">
      <w:pPr>
        <w:pStyle w:val="Zkladntext30"/>
        <w:shd w:val="clear" w:color="auto" w:fill="auto"/>
        <w:spacing w:line="202" w:lineRule="auto"/>
      </w:pPr>
      <w:r>
        <w:t xml:space="preserve">I zde, protože problém je velmi diferencovaný, zůstaňme u schématu: Majitel domu kupuje činžovní dům s malými byty </w:t>
      </w:r>
      <w:r>
        <w:t>přibližně za jeden a půl milionu korun. Zde jako v nájemném jsou rozdíly velmi znač</w:t>
      </w:r>
      <w:r>
        <w:softHyphen/>
        <w:t>né. K našemu účelu však použijme sazeb nízkých, abychom se, pokud je to možno, vystříhali neobjektiv- nosti. Kdyby si kapitalista uložil kapitál této výše v peněžním ústavu</w:t>
      </w:r>
      <w:r>
        <w:t>, vynesl by mu ročně asi 45 tisíc korun. Kapitalista, který se rozhodl koupit dům, je však na věci podstatně jinak. Nájemníci takového domu totiž odvedou ročně na činži přibližně 75.000 korun. Daňové zatížení kapitálu v peněžním ústavu se dosti citelně liš</w:t>
      </w:r>
      <w:r>
        <w:t>í od daňového zatížení domu. Majitel domu má však mimo daně také povinnost mnoha jiných platů. Vyrovná-li se správně se všemi svými povinnostmi, nezbývá mu mnohem více, než kdyby měl peníze uloženy u peněžního ústavu. To je případ těch, kterým jsme řekli n</w:t>
      </w:r>
      <w:r>
        <w:t>a počátku, že jsou dědici vlastností bývalých pánů domácích. Ty obviňovat z ne</w:t>
      </w:r>
      <w:r>
        <w:softHyphen/>
        <w:t>lidské spekulace by bylo nespravedlností, k níž máme stejně daleko jako k tomu, abychom tvrdili, že na koupi domu může prodělat nebo přijít na mizinu.</w:t>
      </w:r>
    </w:p>
    <w:p w:rsidR="00500724" w:rsidRDefault="00F30FB8">
      <w:pPr>
        <w:pStyle w:val="Zkladntext30"/>
        <w:shd w:val="clear" w:color="auto" w:fill="auto"/>
        <w:spacing w:after="80" w:line="221" w:lineRule="auto"/>
        <w:ind w:firstLine="0"/>
      </w:pPr>
      <w:r>
        <w:t>České lidové rčení tomu ří</w:t>
      </w:r>
      <w:r>
        <w:t>ká krátce a jasně »že je na svých«. I těmto majitelům domů se leckdy těžko dýchá, ale stejně těžko se dýchá těm, kteří jim po</w:t>
      </w:r>
      <w:r>
        <w:softHyphen/>
        <w:t>máhají jejich břemeno nést.</w:t>
      </w:r>
    </w:p>
    <w:p w:rsidR="00500724" w:rsidRDefault="00F30FB8">
      <w:pPr>
        <w:pStyle w:val="Zkladntext30"/>
        <w:shd w:val="clear" w:color="auto" w:fill="auto"/>
        <w:spacing w:after="0" w:line="204" w:lineRule="auto"/>
        <w:ind w:firstLine="0"/>
        <w:jc w:val="center"/>
      </w:pPr>
      <w:r>
        <w:t>Je to jen jedna otázka?</w:t>
      </w:r>
    </w:p>
    <w:p w:rsidR="00500724" w:rsidRDefault="00F30FB8">
      <w:pPr>
        <w:pStyle w:val="Zkladntext30"/>
        <w:shd w:val="clear" w:color="auto" w:fill="auto"/>
        <w:spacing w:after="0" w:line="204" w:lineRule="auto"/>
        <w:ind w:firstLine="220"/>
      </w:pPr>
      <w:r>
        <w:t>Otázka bydlení stala se úhelní otázkou snažení so</w:t>
      </w:r>
      <w:r>
        <w:softHyphen/>
      </w:r>
    </w:p>
    <w:p w:rsidR="00500724" w:rsidRDefault="00F30FB8">
      <w:pPr>
        <w:pStyle w:val="Zkladntext30"/>
        <w:shd w:val="clear" w:color="auto" w:fill="auto"/>
        <w:spacing w:after="180" w:line="204" w:lineRule="auto"/>
        <w:ind w:firstLine="0"/>
      </w:pPr>
      <w:r>
        <w:t xml:space="preserve">ciálně hygienického, tvoří </w:t>
      </w:r>
      <w:r>
        <w:t>základ zdravé sociální po</w:t>
      </w:r>
      <w:r>
        <w:softHyphen/>
        <w:t>litiky, ale stala se mimo to ještě otázkou dnes nej</w:t>
      </w:r>
      <w:r>
        <w:softHyphen/>
        <w:t>závažnější — otázkou populační, a tedy otázkou celo</w:t>
      </w:r>
      <w:r>
        <w:softHyphen/>
        <w:t>národní budoucnosti. Zeptejte se manželů, proč nemají děti, odpovědí vám, že se bojí, že by je neuživili. A mohli byste uživit</w:t>
      </w:r>
      <w:r>
        <w:t xml:space="preserve"> dvě nebo více dětí, když se váš měsíční příjem jenom náklady za bydlení zmenší na necelé dvě třetiny? Úbytek sňatků a to, že se ženám nechce vzdát se výdělečné činnosti, pokud k tomu ne</w:t>
      </w:r>
      <w:r>
        <w:softHyphen/>
        <w:t>jsou rozkazem přinuceny, má stejné kořeny. Poslední zákrok vlády v ot</w:t>
      </w:r>
      <w:r>
        <w:t>ázce bytové znamená alespoň zasta</w:t>
      </w:r>
      <w:r>
        <w:softHyphen/>
        <w:t>vení dalšího zhoršování situace. I to je velký klad, za nějž jsou lidé, bydlící v nájmu, vládě vděčni. Ale otázky další, které se na bytový problém navíjejí, trvají dále. Vzali-li jsme si za příklad poměry praž</w:t>
      </w:r>
      <w:r>
        <w:softHyphen/>
        <w:t>ské, měli j</w:t>
      </w:r>
      <w:r>
        <w:t>sme k tomu svůj důvod. Velká Praha zna</w:t>
      </w:r>
      <w:r>
        <w:softHyphen/>
        <w:t>mená nyní početně více jak jednu sedminu všeho oby</w:t>
      </w:r>
      <w:r>
        <w:softHyphen/>
        <w:t>vatelstva naší země. Jsme příliš malí, než aby její příklad neinfikoval venkov. Uvážíme-li, že platové po</w:t>
      </w:r>
      <w:r>
        <w:softHyphen/>
        <w:t>měry na venkově jsou menší než v Praze, nebudeme daleko od p</w:t>
      </w:r>
      <w:r>
        <w:t>ravdy, řekneme-li, že ani v této otázce není mezi Prahou a venkovem rozdíl příliš velký. V Praze se nyní horečně staví a zase především domy s malými byty. Je tedy vidět, že ani nedávná akce města Prahy na vybudování 2000 malých bytů neodstranila jejich ci</w:t>
      </w:r>
      <w:r>
        <w:t>telný nedostatek. Chceme-li nyní řešit mnoho pro</w:t>
      </w:r>
      <w:r>
        <w:softHyphen/>
        <w:t>blémů základní důležitosti pro budoucnost národa, ne</w:t>
      </w:r>
      <w:r>
        <w:softHyphen/>
        <w:t>bylo by dobré obrátit zřetel k jednomu problému, s nímž mnoho ostatních splývá a najiti k zamčeným dveřím naší populační budoucnosti vhodný klíč?</w:t>
      </w:r>
    </w:p>
    <w:p w:rsidR="00500724" w:rsidRDefault="00F30FB8">
      <w:pPr>
        <w:pStyle w:val="Jin0"/>
        <w:shd w:val="clear" w:color="auto" w:fill="auto"/>
        <w:spacing w:after="180"/>
        <w:ind w:firstLine="0"/>
        <w:jc w:val="left"/>
        <w:rPr>
          <w:sz w:val="46"/>
          <w:szCs w:val="46"/>
        </w:rPr>
      </w:pPr>
      <w:r>
        <w:rPr>
          <w:b/>
          <w:bCs/>
          <w:sz w:val="46"/>
          <w:szCs w:val="46"/>
          <w:u w:val="single"/>
        </w:rPr>
        <w:t>dokument</w:t>
      </w:r>
      <w:r>
        <w:rPr>
          <w:b/>
          <w:bCs/>
          <w:sz w:val="46"/>
          <w:szCs w:val="46"/>
          <w:u w:val="single"/>
        </w:rPr>
        <w:t>y a vzpomínky</w:t>
      </w:r>
    </w:p>
    <w:p w:rsidR="00500724" w:rsidRDefault="00F30FB8">
      <w:pPr>
        <w:pStyle w:val="Zkladntext30"/>
        <w:shd w:val="clear" w:color="auto" w:fill="auto"/>
        <w:spacing w:after="0" w:line="240" w:lineRule="auto"/>
        <w:ind w:firstLine="0"/>
        <w:rPr>
          <w:sz w:val="20"/>
          <w:szCs w:val="20"/>
        </w:rPr>
      </w:pPr>
      <w:r>
        <w:rPr>
          <w:i/>
          <w:iCs/>
          <w:sz w:val="20"/>
          <w:szCs w:val="20"/>
        </w:rPr>
        <w:t>J. Daniel Chamier:</w:t>
      </w:r>
    </w:p>
    <w:p w:rsidR="00500724" w:rsidRDefault="00F30FB8">
      <w:pPr>
        <w:pStyle w:val="Nadpis100"/>
        <w:shd w:val="clear" w:color="auto" w:fill="auto"/>
        <w:spacing w:after="100" w:line="230" w:lineRule="auto"/>
      </w:pPr>
      <w:bookmarkStart w:id="775" w:name="bookmark774"/>
      <w:r>
        <w:t>Vzpomínka na Viléma II.</w:t>
      </w:r>
      <w:bookmarkEnd w:id="775"/>
    </w:p>
    <w:p w:rsidR="00500724" w:rsidRDefault="00F30FB8">
      <w:pPr>
        <w:pStyle w:val="Zkladntext100"/>
        <w:shd w:val="clear" w:color="auto" w:fill="auto"/>
        <w:spacing w:line="178" w:lineRule="auto"/>
        <w:ind w:left="540" w:firstLine="160"/>
      </w:pPr>
      <w:r>
        <w:t>V těchto dnech vzpomíná Evropa 25. výročí začátku světové války. Je zajímavé, oživit si v této souvislosti portrét císaře Viléma, jednu z ústředních postav tehdej</w:t>
      </w:r>
      <w:r>
        <w:softHyphen/>
        <w:t>ších dnů. Vyjímáme proto z knihy spi</w:t>
      </w:r>
      <w:r>
        <w:t>sovatele Cha- miera »Ein Falbetier unserer Zeit«, která právě vyšla v Amalthea Verlag ve Vídni, tuto stať:</w:t>
      </w:r>
    </w:p>
    <w:p w:rsidR="00500724" w:rsidRDefault="00F30FB8">
      <w:pPr>
        <w:pStyle w:val="Zkladntext100"/>
        <w:shd w:val="clear" w:color="auto" w:fill="auto"/>
        <w:spacing w:line="223" w:lineRule="auto"/>
        <w:ind w:firstLine="220"/>
      </w:pPr>
      <w:r>
        <w:t xml:space="preserve">Vilém Hohenzollerský překročil holandsko-belgická hranice u Eysdenu 10. listopadu 1918. Vyprávělo se, </w:t>
      </w:r>
      <w:r>
        <w:rPr>
          <w:i/>
          <w:iCs/>
        </w:rPr>
        <w:t xml:space="preserve">že </w:t>
      </w:r>
      <w:r>
        <w:t xml:space="preserve">chtěl odevzdali udivené holandské stráži </w:t>
      </w:r>
      <w:r>
        <w:t>svůj kord. (Tak ícmu však nebylo. Pozn.) Trvalo několik hodin, než přijel zvláštní vlak, v němž císař pobyl až do příštího rána, za</w:t>
      </w:r>
      <w:r>
        <w:softHyphen/>
        <w:t xml:space="preserve">tím co se rozhodovalo, kam zvláštní vlak pojede. Takoví hosté působívají trochu rozpaků, avšak hrabě </w:t>
      </w:r>
      <w:r>
        <w:rPr>
          <w:lang w:val="en-US" w:eastAsia="en-US" w:bidi="en-US"/>
        </w:rPr>
        <w:t xml:space="preserve">Godard </w:t>
      </w:r>
      <w:r>
        <w:t>Beutinck, holand</w:t>
      </w:r>
      <w:r>
        <w:t>sko-anglický říšský hrabě a rytíř řádu Johanitů, na něhož se obrátila vláda, prohlásil, věren sli</w:t>
      </w:r>
      <w:r>
        <w:softHyphen/>
        <w:t>bu, že je ochoten přispět v nouzi jinému řádovému rytíři. »Kdo je tenhle Beutinck? Myslím, že ho vůbec neznám,« pravil vyhnanec, a opravdu viděli se po prvé o</w:t>
      </w:r>
      <w:r>
        <w:t>dpoledne 11. listopadu na nádraží maarnském.</w:t>
      </w:r>
    </w:p>
    <w:p w:rsidR="00500724" w:rsidRDefault="00F30FB8">
      <w:pPr>
        <w:pStyle w:val="Zkladntext100"/>
        <w:framePr w:h="264" w:hSpace="180" w:vSpace="60" w:wrap="notBeside" w:hAnchor="page" w:x="617" w:y="14262"/>
        <w:shd w:val="clear" w:color="auto" w:fill="auto"/>
        <w:spacing w:line="240" w:lineRule="auto"/>
        <w:ind w:firstLine="0"/>
        <w:jc w:val="left"/>
        <w:rPr>
          <w:sz w:val="19"/>
          <w:szCs w:val="19"/>
        </w:rPr>
      </w:pPr>
      <w:r>
        <w:rPr>
          <w:b/>
          <w:bCs/>
          <w:i/>
          <w:iCs/>
          <w:sz w:val="19"/>
          <w:szCs w:val="19"/>
        </w:rPr>
        <w:t>4*4</w:t>
      </w:r>
    </w:p>
    <w:p w:rsidR="00500724" w:rsidRDefault="00F30FB8">
      <w:pPr>
        <w:pStyle w:val="Zkladntext100"/>
        <w:shd w:val="clear" w:color="auto" w:fill="auto"/>
        <w:spacing w:line="223" w:lineRule="auto"/>
        <w:ind w:firstLine="220"/>
      </w:pPr>
      <w:r>
        <w:t>Lilo se potoky. Císař, v uniformě, s holí v ruce, vystou</w:t>
      </w:r>
      <w:r>
        <w:softHyphen/>
        <w:t>pil rychle a pozdravil svého hostitele a hraběte Lyndena, guvernéra provincie utrechtské, jenž přišel s ním. Jeli do Amerongen, krásného starého domu,</w:t>
      </w:r>
      <w:r>
        <w:t xml:space="preserve"> obklopeného hlubo</w:t>
      </w:r>
      <w:r>
        <w:softHyphen/>
        <w:t>kým příkopem, přes nějž jsou dva mosty. Přes všechnu energii by nebyl psanec smrtelník, kdyby leď nebýval velmi blízko konci svých sil/ když překročili mosl, pozna</w:t>
      </w:r>
      <w:r>
        <w:softHyphen/>
        <w:t>menal ledy nenadále: iTeď mi musíle dál přinesl šálek horkého, dobrého, p</w:t>
      </w:r>
      <w:r>
        <w:t>ravého anglického čaje.«</w:t>
      </w:r>
    </w:p>
    <w:p w:rsidR="00500724" w:rsidRDefault="00F30FB8">
      <w:pPr>
        <w:pStyle w:val="Zkladntext100"/>
        <w:shd w:val="clear" w:color="auto" w:fill="auto"/>
        <w:spacing w:line="226" w:lineRule="auto"/>
        <w:ind w:firstLine="240"/>
      </w:pPr>
      <w:r>
        <w:t>Se členy rodiny a průvodem člrnádi osob shromáždilo se loho večera v Amerongen u labule skoro člyřicel lidí. Při překolnosli příprav a zvláštnosti událostí kladly se •velmi značné požadavky na duchapřílomnosl a všechny možné rozpak</w:t>
      </w:r>
      <w:r>
        <w:t>y vyvstávaly v pozadí jako přízraky/ jen Vilémovo úsilí pomohlo přenésti se přese vše. Této noci spal v posteli, jíž užíval Ludvík XIV. v roce, v němž do</w:t>
      </w:r>
      <w:r>
        <w:softHyphen/>
        <w:t>byl Holandska.</w:t>
      </w:r>
    </w:p>
    <w:p w:rsidR="00500724" w:rsidRDefault="00F30FB8">
      <w:pPr>
        <w:pStyle w:val="Zkladntext100"/>
        <w:shd w:val="clear" w:color="auto" w:fill="auto"/>
        <w:spacing w:line="226" w:lineRule="auto"/>
        <w:ind w:firstLine="240"/>
      </w:pPr>
      <w:r>
        <w:t>Do zámku byla poslána silná ochranná stráž a ná</w:t>
      </w:r>
      <w:r>
        <w:softHyphen/>
        <w:t>vštěvníci byli vpouštěni jen s průkazy.</w:t>
      </w:r>
      <w:r>
        <w:t xml:space="preserve"> Dne 23. listopadu, když přišlo a zase odešlo několik slavnostně vypadajících civilistů, přišel psanec ke svému hostiteli a pravil mu, Ěe se v jeho domě nesmí udát nic, o čem by ničeho nevě</w:t>
      </w:r>
      <w:r>
        <w:softHyphen/>
        <w:t>děl, a proto že mu chce oznámit, že ráno podepsal podě</w:t>
      </w:r>
      <w:r>
        <w:softHyphen/>
        <w:t>kování.</w:t>
      </w:r>
    </w:p>
    <w:p w:rsidR="00500724" w:rsidRDefault="00F30FB8">
      <w:pPr>
        <w:pStyle w:val="Zkladntext100"/>
        <w:shd w:val="clear" w:color="auto" w:fill="auto"/>
        <w:spacing w:line="226" w:lineRule="auto"/>
        <w:ind w:firstLine="240"/>
      </w:pPr>
      <w:r>
        <w:t>Nemluvilo se o tom dále, avšak dokument byl brzy nato uveřejněn. Zněl takto:</w:t>
      </w:r>
    </w:p>
    <w:p w:rsidR="00500724" w:rsidRDefault="00F30FB8">
      <w:pPr>
        <w:pStyle w:val="Zkladntext30"/>
        <w:shd w:val="clear" w:color="auto" w:fill="auto"/>
        <w:spacing w:after="0" w:line="178" w:lineRule="auto"/>
        <w:ind w:firstLine="240"/>
        <w:rPr>
          <w:sz w:val="20"/>
          <w:szCs w:val="20"/>
        </w:rPr>
      </w:pPr>
      <w:r>
        <w:rPr>
          <w:sz w:val="20"/>
          <w:szCs w:val="20"/>
        </w:rPr>
        <w:t>Vzdávám se tímto pro veškeru budoucnost práv na pruskou korunu a práv na německou císařskou korunu, s ní spojených. Zároveň zprošťuji všechny úředníky Ně</w:t>
      </w:r>
      <w:r>
        <w:rPr>
          <w:sz w:val="20"/>
          <w:szCs w:val="20"/>
        </w:rPr>
        <w:softHyphen/>
        <w:t>mecké Říše a Pruska, rovn</w:t>
      </w:r>
      <w:r>
        <w:rPr>
          <w:sz w:val="20"/>
          <w:szCs w:val="20"/>
        </w:rPr>
        <w:t>ěž všechny důstojníky, pod</w:t>
      </w:r>
      <w:r>
        <w:rPr>
          <w:sz w:val="20"/>
          <w:szCs w:val="20"/>
        </w:rPr>
        <w:softHyphen/>
        <w:t>důstojníky a mužstvo námořnictva, pruského vojska a od</w:t>
      </w:r>
      <w:r>
        <w:rPr>
          <w:sz w:val="20"/>
          <w:szCs w:val="20"/>
        </w:rPr>
        <w:softHyphen/>
        <w:t>díly spolkových útvarů přísahy, kterou mi složili jako své</w:t>
      </w:r>
      <w:r>
        <w:rPr>
          <w:sz w:val="20"/>
          <w:szCs w:val="20"/>
        </w:rPr>
        <w:softHyphen/>
        <w:t>mu císaři, králi a nejvyššímu veliteli. Očekávám od nich, že pomohou do nového uspořádání Německé říše držitelům sk</w:t>
      </w:r>
      <w:r>
        <w:rPr>
          <w:sz w:val="20"/>
          <w:szCs w:val="20"/>
        </w:rPr>
        <w:t>utečné moci v Německu chránit německý národ před hrozícím nebezpečím bezvládí, bídy a cizího panství..</w:t>
      </w:r>
    </w:p>
    <w:p w:rsidR="00500724" w:rsidRDefault="00F30FB8">
      <w:pPr>
        <w:pStyle w:val="Zkladntext30"/>
        <w:shd w:val="clear" w:color="auto" w:fill="auto"/>
        <w:spacing w:after="0" w:line="178" w:lineRule="auto"/>
        <w:ind w:firstLine="240"/>
        <w:rPr>
          <w:sz w:val="20"/>
          <w:szCs w:val="20"/>
        </w:rPr>
      </w:pPr>
      <w:r>
        <w:rPr>
          <w:sz w:val="20"/>
          <w:szCs w:val="20"/>
        </w:rPr>
        <w:t>Na dosvědčení pod Naším nejvyšším vlastnoručním pod</w:t>
      </w:r>
      <w:r>
        <w:rPr>
          <w:sz w:val="20"/>
          <w:szCs w:val="20"/>
        </w:rPr>
        <w:softHyphen/>
        <w:t>pisem a přitištěnou císařskou pečetí.</w:t>
      </w:r>
    </w:p>
    <w:p w:rsidR="00500724" w:rsidRDefault="00F30FB8">
      <w:pPr>
        <w:pStyle w:val="Zkladntext30"/>
        <w:shd w:val="clear" w:color="auto" w:fill="auto"/>
        <w:spacing w:after="0" w:line="178" w:lineRule="auto"/>
        <w:ind w:firstLine="240"/>
        <w:rPr>
          <w:sz w:val="20"/>
          <w:szCs w:val="20"/>
        </w:rPr>
      </w:pPr>
      <w:r>
        <w:rPr>
          <w:sz w:val="20"/>
          <w:szCs w:val="20"/>
        </w:rPr>
        <w:t>Dáno v Amerongen 28. listopadu 1918.</w:t>
      </w:r>
    </w:p>
    <w:p w:rsidR="00500724" w:rsidRDefault="00F30FB8">
      <w:pPr>
        <w:pStyle w:val="Zkladntext30"/>
        <w:shd w:val="clear" w:color="auto" w:fill="auto"/>
        <w:spacing w:after="0" w:line="178" w:lineRule="auto"/>
        <w:ind w:firstLine="0"/>
        <w:jc w:val="right"/>
        <w:rPr>
          <w:sz w:val="20"/>
          <w:szCs w:val="20"/>
        </w:rPr>
      </w:pPr>
      <w:r>
        <w:rPr>
          <w:sz w:val="20"/>
          <w:szCs w:val="20"/>
        </w:rPr>
        <w:t>Podepsán Vilém.</w:t>
      </w:r>
    </w:p>
    <w:p w:rsidR="00500724" w:rsidRDefault="00F30FB8">
      <w:pPr>
        <w:pStyle w:val="Zkladntext100"/>
        <w:shd w:val="clear" w:color="auto" w:fill="auto"/>
        <w:spacing w:line="226" w:lineRule="auto"/>
        <w:ind w:firstLine="240"/>
      </w:pPr>
      <w:r>
        <w:t>sMůj dojem</w:t>
      </w:r>
      <w:r>
        <w:t xml:space="preserve"> je, že Vilém II., Max badenský, </w:t>
      </w:r>
      <w:r>
        <w:rPr>
          <w:lang w:val="en-US" w:eastAsia="en-US" w:bidi="en-US"/>
        </w:rPr>
        <w:t xml:space="preserve">Ebert </w:t>
      </w:r>
      <w:r>
        <w:t>a spol. jednají ve vzájemné dohodě, aby zachránili stůj co stůj německou jednotu,# psal Hanotaux 11. listopadu Í1918 Fochovi, když rýsoval francouzskou politiku roz- kouskování Německa. Tato záchrana byla skutečně cíl</w:t>
      </w:r>
      <w:r>
        <w:t>em, i když nebylo mnoho porozumění, a byl to Vilém, kdo za</w:t>
      </w:r>
      <w:r>
        <w:softHyphen/>
        <w:t>platil cenu. Poslední jednání jeho císařské dráhy dýchalo součinností a to nejen slovy. Formální poděkování, kte- (ré se stalo za okolností, znemožňujících každý nátlak, bylo dobrovolnou službou ně</w:t>
      </w:r>
      <w:r>
        <w:t>meckému národu.</w:t>
      </w:r>
    </w:p>
    <w:p w:rsidR="00500724" w:rsidRDefault="00F30FB8">
      <w:pPr>
        <w:pStyle w:val="Zkladntext100"/>
        <w:shd w:val="clear" w:color="auto" w:fill="auto"/>
        <w:spacing w:line="226" w:lineRule="auto"/>
        <w:ind w:firstLine="240"/>
      </w:pPr>
      <w:r>
        <w:t>Téhož dne přibyla císařovna, hluboce znepokojena a plna úzkosti o chotě.</w:t>
      </w:r>
    </w:p>
    <w:p w:rsidR="00500724" w:rsidRDefault="00F30FB8">
      <w:pPr>
        <w:pStyle w:val="Zkladntext100"/>
        <w:shd w:val="clear" w:color="auto" w:fill="auto"/>
        <w:spacing w:line="221" w:lineRule="auto"/>
        <w:ind w:firstLine="240"/>
      </w:pPr>
      <w:r>
        <w:t>Císařův sútěk# byl jak těmi v cizině, kdo jej požado</w:t>
      </w:r>
      <w:r>
        <w:softHyphen/>
        <w:t>vali, tak těmi doma, kteří si jej vymodlili a nakonec vy</w:t>
      </w:r>
      <w:r>
        <w:softHyphen/>
        <w:t>nutili, pozdraven posměchem a mnohou upřímnou duší v Něme</w:t>
      </w:r>
      <w:r>
        <w:t xml:space="preserve">cku se slzami a ohromením. »Proč jsi musil odejít od nás?# Kdyby byl zůstal déle, pravila jedna strana, bývali bychom ušetřeni podrobení. Kdyby byl šel dříve, volala druhá, bývali bychom ušetřeni revoluce. Tato protivná tvrzení však nám dávají poznati, že </w:t>
      </w:r>
      <w:r>
        <w:t>jen nejed- nostnost národa zamezila, aby byl ušetřen obého. Jeho odchod nebyl příčinou, nýbrž příznakem a symbolem, zhroucení Německa/ nelze ani popřít, že se asi zdálo vhodným vzdálit jeho překážející osobu, když byl donu</w:t>
      </w:r>
      <w:r>
        <w:softHyphen/>
        <w:t>cen vzdáti se své překážející nep</w:t>
      </w:r>
      <w:r>
        <w:t>oddajnosti. Zbývalo tedy ještě jen říci, že měl jiti ještě dále — do hrobu sebevrahů.</w:t>
      </w:r>
    </w:p>
    <w:p w:rsidR="00500724" w:rsidRDefault="00F30FB8">
      <w:pPr>
        <w:pStyle w:val="Zkladntext100"/>
        <w:shd w:val="clear" w:color="auto" w:fill="auto"/>
        <w:spacing w:line="221" w:lineRule="auto"/>
        <w:ind w:firstLine="240"/>
      </w:pPr>
      <w:r>
        <w:t>Ze veřejné mínění v dohodových zemích bylo znechu</w:t>
      </w:r>
      <w:r>
        <w:softHyphen/>
        <w:t>ceno jeho zbabělostí žiti dále, je pochopitelné. Ve svých vzpomínkách se zabývá jejich vřelým doporučením sebe</w:t>
      </w:r>
      <w:r>
        <w:softHyphen/>
        <w:t xml:space="preserve">vraždy s </w:t>
      </w:r>
      <w:r>
        <w:t xml:space="preserve">otevřeností sobě vlastní: &gt;A neřeklo by se pak: Jak zbabělé! Teď uniká vší odpovědnosti sebevraždou.# Čekali jsme jen na to, a více než to, čekali jsme, abychom pozdravili čin jako důkaz viny a šílenství. Henry </w:t>
      </w:r>
      <w:r>
        <w:rPr>
          <w:lang w:val="en-US" w:eastAsia="en-US" w:bidi="en-US"/>
        </w:rPr>
        <w:t>Kings</w:t>
      </w:r>
      <w:r>
        <w:rPr>
          <w:lang w:val="en-US" w:eastAsia="en-US" w:bidi="en-US"/>
        </w:rPr>
        <w:softHyphen/>
        <w:t xml:space="preserve">ley </w:t>
      </w:r>
      <w:r>
        <w:t>nazývá sebevraha sšíleným hrdým zba</w:t>
      </w:r>
      <w:r>
        <w:t>bělcem# — i právě tím, zač chtějí Vilémovi nepřátelé jej považovat. Nejen na pevnině, kde se schvaluje sebevražda, je-li po</w:t>
      </w:r>
      <w:r>
        <w:softHyphen/>
        <w:t>kálena čest, nýbrž i v Anglii, kde není schvalována v žád</w:t>
      </w:r>
      <w:r>
        <w:softHyphen/>
        <w:t>ném případě, byly pronášeny ve sboru stížnosti na ne</w:t>
      </w:r>
      <w:r>
        <w:softHyphen/>
        <w:t>slušnost, že se vyhnu</w:t>
      </w:r>
      <w:r>
        <w:t>l sebevraždě. Mnozí mínili, že měl izemřít v čele svých vojsk#. U moderního krále rovnalo by se arci sebevraždě, kdyby vystrčil hlavu nad okraj zá</w:t>
      </w:r>
      <w:r>
        <w:softHyphen/>
        <w:t>kopu, ale jistě si lidé představovali, že by se trochu teatrální šalby hodilo nádherně.</w:t>
      </w:r>
    </w:p>
    <w:p w:rsidR="00500724" w:rsidRDefault="00F30FB8">
      <w:pPr>
        <w:pStyle w:val="Zkladntext100"/>
        <w:shd w:val="clear" w:color="auto" w:fill="auto"/>
        <w:spacing w:line="223" w:lineRule="auto"/>
        <w:ind w:firstLine="240"/>
      </w:pPr>
      <w:r>
        <w:t xml:space="preserve">Myslelo se, že jsme </w:t>
      </w:r>
      <w:r>
        <w:t>mezi samými Japonci. Ježto však ani náboženství převládající v zemi ani tehdejší okolnosti nedoporučovaly Vilémovi podle jeho zdání, aby se jed</w:t>
      </w:r>
      <w:r>
        <w:softHyphen/>
        <w:t>ním rázem připravil o život i pověst, pokračoval v životě. Císařovně bylo však hrozně ze všech těch řečí/ i když</w:t>
      </w:r>
      <w:r>
        <w:t xml:space="preserve"> se sám nechtěl připravit o život, zdálo se, že jiní tomu chtěli a ve' své moci a záměrnosti byli dosti hrozní. Rozčilení britští voličové v listopadu 1918 dali se nachytat sliby, že císař bude pověšen - ,hang </w:t>
      </w:r>
      <w:r>
        <w:rPr>
          <w:lang w:val="en-US" w:eastAsia="en-US" w:bidi="en-US"/>
        </w:rPr>
        <w:t xml:space="preserve">the Kaiser#. </w:t>
      </w:r>
      <w:r>
        <w:t>V 227. článku versailleské smlouv</w:t>
      </w:r>
      <w:r>
        <w:t xml:space="preserve">y obžalovali spojenci bývalého císaře </w:t>
      </w:r>
      <w:r>
        <w:rPr>
          <w:rFonts w:ascii="Arial" w:eastAsia="Arial" w:hAnsi="Arial" w:cs="Arial"/>
          <w:smallCaps/>
          <w:sz w:val="15"/>
          <w:szCs w:val="15"/>
        </w:rPr>
        <w:t>jz</w:t>
      </w:r>
      <w:r>
        <w:t xml:space="preserve"> nejtěžšího porušení mezinárodního mravního zákona a svatosti smluv#, a měl být dosazen zvláštní soudní dvůr pěti soudců, aby ho odsoudil, a soudce měly jmenovat — Spojené Státy, Velká Britanie, Francie, Itálie a Jap</w:t>
      </w:r>
      <w:r>
        <w:t>onsko,</w:t>
      </w:r>
    </w:p>
    <w:p w:rsidR="00500724" w:rsidRDefault="00F30FB8">
      <w:pPr>
        <w:pStyle w:val="Zkladntext100"/>
        <w:shd w:val="clear" w:color="auto" w:fill="auto"/>
        <w:spacing w:line="221" w:lineRule="auto"/>
        <w:ind w:firstLine="240"/>
      </w:pPr>
      <w:r>
        <w:t xml:space="preserve">Byla uznána námitka, že by toto zamýšlené řízení bylo bez všech prvků soudního řízení, ale považovala se za pedantskou. Af je právní forma neobvyklá, ale účelem je prý spravedlnost. Snad se ani stejně jasně nepoznalo, že soudní dvůr, ať by chtěl či </w:t>
      </w:r>
      <w:r>
        <w:t>ne, by byl naprosto neschopen osvobodit obžalovaného. Obžaloba z porušení belgické neutrality mohla se potírat jen námitkou nejvyšší obrany z nouze, jíž by se ihned rozvinula otázka válečného sporu/ zbytek jednání by byl vyplněn obhájcovými pokusy do</w:t>
      </w:r>
      <w:r>
        <w:softHyphen/>
        <w:t>kázal</w:t>
      </w:r>
      <w:r>
        <w:t>i soudcům, že patřili na lavici obžalovaných. To byl vlastní spor. Muž na ulici se svým instinktem skutečnosti viděl v popravě císaře trest za to, že Judělal válku#, a to také chtěli vítězové potrestat. Myšlenka považovat válku za zločin byla výtečná/ jest</w:t>
      </w:r>
      <w:r>
        <w:t>liže se však na ni odvolávaly národy, které byly ještě zbroceny krví z boje a nacpány kořistí, byla zřejmě uplatněna s výhradami. Lehkomyslná válka, vysvětlovalo se nyní, je zločin/ za dobrou věc se prý smí bojovat. Zajisté! A kdo rozhoduje o tom, která vě</w:t>
      </w:r>
      <w:r>
        <w:t>c je dobrá? Vítěz? Výborně! To je pak pravý boží soud bitvou: prohrál jsi, jsi vinen.</w:t>
      </w:r>
    </w:p>
    <w:p w:rsidR="00500724" w:rsidRDefault="00F30FB8">
      <w:pPr>
        <w:pStyle w:val="Zkladntext100"/>
        <w:shd w:val="clear" w:color="auto" w:fill="auto"/>
        <w:spacing w:line="218" w:lineRule="auto"/>
        <w:ind w:firstLine="240"/>
      </w:pPr>
      <w:r>
        <w:t>Jestliže toto přirozené, ale primitivní rozhodnutí už ne</w:t>
      </w:r>
      <w:r>
        <w:softHyphen/>
        <w:t>uspokojovalo moderní svědomí, bylo alternativou pravé mezinárodní soudní řízení, nikoli však zdánlivé řízení, jež</w:t>
      </w:r>
      <w:r>
        <w:t xml:space="preserve"> mělo jen maskovat mstu.</w:t>
      </w:r>
    </w:p>
    <w:p w:rsidR="00500724" w:rsidRDefault="00F30FB8">
      <w:pPr>
        <w:pStyle w:val="Zkladntext100"/>
        <w:shd w:val="clear" w:color="auto" w:fill="auto"/>
        <w:spacing w:line="218" w:lineRule="auto"/>
        <w:ind w:firstLine="240"/>
      </w:pPr>
      <w:r>
        <w:t>Plán ztroskotal na nepřítomnosti obžalovaného. Podnět, aby se sám dostavil v obvyklé své úloze jako beránek snímající hříchy, měl proti sebevraždě pro něho imnoho svůdného#, jak poznamenal, ale daly se proti tomu vznésti tytéž námi</w:t>
      </w:r>
      <w:r>
        <w:t>tky. Divadlo pseudo-soudního odsouzení Ně</w:t>
      </w:r>
      <w:r>
        <w:softHyphen/>
        <w:t>mecka bylo sotva něco, pro co by byl mohl cítit pohnut</w:t>
      </w:r>
      <w:r>
        <w:softHyphen/>
        <w:t>ku, aby to usnadnil/ vždyť bylo ještě méně vhodné, aby dostavením se k soudu bylo podáno přiznání, že někdo v Německu musí být pověšen. Zakázal nabídku, kterou</w:t>
      </w:r>
      <w:r>
        <w:t xml:space="preserve"> podal jeho syn, aby se jako zástupce Německa podrobil řízení pro Jzločin války#. V lednu 1920 podali spojenci formální žalobu a žádali jeho vydání. Holandská vláda prohlásila, že nepodepsala mírovou smlouvu a že jí zapo</w:t>
      </w:r>
      <w:r>
        <w:softHyphen/>
        <w:t>vídá čest, aby vydala někoho, kdo h</w:t>
      </w:r>
      <w:r>
        <w:t xml:space="preserve">ledal </w:t>
      </w:r>
      <w:r>
        <w:rPr>
          <w:b/>
          <w:bCs/>
          <w:sz w:val="19"/>
          <w:szCs w:val="19"/>
        </w:rPr>
        <w:t xml:space="preserve">v </w:t>
      </w:r>
      <w:r>
        <w:t>její zemi úto</w:t>
      </w:r>
      <w:r>
        <w:softHyphen/>
        <w:t>čiště. Spojenci opakovali svůj požadavek a stěžovali si, že může uniknout. Nato mu vykázala holandská vláda na</w:t>
      </w:r>
      <w:r>
        <w:softHyphen/>
        <w:t xml:space="preserve">řízením bydliště v provincii utrechtské a určila ostrov Wieringen za pobyt pro korunního prince. Spojenci nyní pravili, že </w:t>
      </w:r>
      <w:r>
        <w:t>odpovědnost padla na Holandsko, a to byl ko</w:t>
      </w:r>
      <w:r>
        <w:softHyphen/>
        <w:t>nec věci.</w:t>
      </w:r>
    </w:p>
    <w:p w:rsidR="00500724" w:rsidRDefault="00F30FB8">
      <w:pPr>
        <w:pStyle w:val="Zkladntext100"/>
        <w:shd w:val="clear" w:color="auto" w:fill="auto"/>
        <w:spacing w:line="221" w:lineRule="auto"/>
        <w:ind w:firstLine="240"/>
      </w:pPr>
      <w:r>
        <w:t>Rok, v němž se debatovalo o této otázce, prošel v Ame</w:t>
      </w:r>
      <w:r>
        <w:softHyphen/>
        <w:t xml:space="preserve">rongen, aniž se vlastně čekal jiný výsledek. Přes io se stalo, že se Augusta Viktoria náhle zvedla ve spánku a volala: sPřicházejí si pro něho!#, a </w:t>
      </w:r>
      <w:r>
        <w:t>dokud nebyla tato věc vyřízena, nestálo za námahu kupovat dům. Amerongen byl vlídný útulek. Pokoje, které obýval, byly vyloženy dřívím z Marky braniborské a příkopy plnila voda z Rý</w:t>
      </w:r>
      <w:r>
        <w:softHyphen/>
        <w:t>na: »Tak mě neopustily aspoň mé stromy a má voda!# Když byly známky, že to</w:t>
      </w:r>
      <w:r>
        <w:t xml:space="preserve"> učinili mnozí z jeho lidských druhů, nebylo od něho nikdy slyšet trpké nebo vyčítavé slovo, </w:t>
      </w:r>
      <w:r>
        <w:rPr>
          <w:b/>
          <w:bCs/>
          <w:sz w:val="19"/>
          <w:szCs w:val="19"/>
        </w:rPr>
        <w:t xml:space="preserve">a </w:t>
      </w:r>
      <w:r>
        <w:t>io bylo zvláště nápadné hraběti Bodardovi. sOd onoho dne,« vyprávěl hrabě své neteři, mepřešlo jeho rty nikdy trpké slovo proti nikomu, Angličanovi nebo Němci, s</w:t>
      </w:r>
      <w:r>
        <w:t xml:space="preserve"> jedinou výjimkou prince Maxe badenského, o němž řekl, »Max badenský mě oklamal!#. Byl by našel dost vzorů, kdyby býval se chtěl stát nápadným. Pro svět nyní jeho povahu snižovali cizinci, kteří ho teď považovali za ne</w:t>
      </w:r>
      <w:r>
        <w:softHyphen/>
        <w:t xml:space="preserve">přítele své země, ministři, kteří se </w:t>
      </w:r>
      <w:r>
        <w:t>chtěli umývat, dvorní úředníci, kteří měli nějakou osobní zášť - a který Němec by ji neměl? — a stoupenci nového režimu. Za to, že se už nevrátil k moci, pomstil se Bůlow po smrti pamětmi (Denkwůrdingkeiten), které měly tak podivuhodně mno</w:t>
      </w:r>
      <w:r>
        <w:softHyphen/>
        <w:t>ho smyšlenek, že</w:t>
      </w:r>
      <w:r>
        <w:t xml:space="preserve"> je v Německu nazvali jeho paměti- nehodnostmi (Denk-Unwůrdigkeiten). Cizí lidé sdělovali poštou psanci, co si o něm mysleli, a vynořily se povídky o ukrutnostech, jejichž původcem prý byl, takže nemohl zachovat klid a dlouho běhal nahoru a dolů po velké g</w:t>
      </w:r>
      <w:r>
        <w:t>alerii.</w:t>
      </w:r>
    </w:p>
    <w:p w:rsidR="00500724" w:rsidRDefault="00F30FB8">
      <w:pPr>
        <w:pStyle w:val="Zkladntext100"/>
        <w:shd w:val="clear" w:color="auto" w:fill="auto"/>
        <w:spacing w:line="223" w:lineRule="auto"/>
        <w:ind w:firstLine="260"/>
      </w:pPr>
      <w:r>
        <w:t>Omezení jeho osobní svobody pohybu přestalo, ale každá vyjížďka značila policejní ochranu a zvědavost obe</w:t>
      </w:r>
      <w:r>
        <w:softHyphen/>
        <w:t xml:space="preserve">censtva, takže dával přednost tomu, aby sa pohyboval doma a svět bavil tím, že opatřil zásobami palivového dříví nejdříve kamna hraběte </w:t>
      </w:r>
      <w:r>
        <w:t>Godarda a potom i své. Neoddával se už honbě ani kartám. Rozmluvy, skvělé a poutavé jako vždy, byly stále ještě jeho zotavením. Za</w:t>
      </w:r>
      <w:r>
        <w:softHyphen/>
        <w:t>jímal se o život kolem sebe, o starosti vesnice, o kachny přicházející až k domu, aby se daly krmit - malé sku</w:t>
      </w:r>
      <w:r>
        <w:softHyphen/>
        <w:t>tečnosti, kter</w:t>
      </w:r>
      <w:r>
        <w:t>á se hodily do poválečné nálady.</w:t>
      </w:r>
    </w:p>
    <w:p w:rsidR="00500724" w:rsidRDefault="00F30FB8">
      <w:pPr>
        <w:pStyle w:val="Zkladntext100"/>
        <w:shd w:val="clear" w:color="auto" w:fill="auto"/>
        <w:spacing w:line="223" w:lineRule="auto"/>
        <w:ind w:firstLine="260"/>
      </w:pPr>
      <w:r>
        <w:t xml:space="preserve">Počátkem r. 1920, když už přestaly řeči o vydání, získal dům </w:t>
      </w:r>
      <w:r>
        <w:rPr>
          <w:lang w:val="en-US" w:eastAsia="en-US" w:bidi="en-US"/>
        </w:rPr>
        <w:t xml:space="preserve">Doom, </w:t>
      </w:r>
      <w:r>
        <w:t>do něhož se nastěhoval v květnu. Obci Ame- longen daroval při odchodu malou nemocnici s nej mo</w:t>
      </w:r>
      <w:r>
        <w:softHyphen/>
        <w:t>dernějším zařízením, z něhož měli obyvatelé zprvu trochu hrůz</w:t>
      </w:r>
      <w:r>
        <w:t>y.</w:t>
      </w:r>
    </w:p>
    <w:p w:rsidR="00500724" w:rsidRDefault="00F30FB8">
      <w:pPr>
        <w:pStyle w:val="Zkladntext100"/>
        <w:shd w:val="clear" w:color="auto" w:fill="auto"/>
        <w:spacing w:line="223" w:lineRule="auto"/>
        <w:ind w:firstLine="260"/>
      </w:pPr>
      <w:r>
        <w:t xml:space="preserve">V Doornu zemřela Augusta Viktoria r. 1921 po dlouhém utrpení. Otřes nad sebevraždou jejího nejmladšího syna rok před tím — byl, jak napsal </w:t>
      </w:r>
      <w:r>
        <w:rPr>
          <w:lang w:val="en-US" w:eastAsia="en-US" w:bidi="en-US"/>
        </w:rPr>
        <w:t xml:space="preserve">Niemann, </w:t>
      </w:r>
      <w:r>
        <w:t>uzlomen# »potu- pou vlasti# a inelítostností života* - uspíšil, co se už nedalo zadržet. Pro její choré s</w:t>
      </w:r>
      <w:r>
        <w:t>rdce byl už několik let potřebný naprostý klid právě v době, kdy pro ni nebylo klidu. Trpěla nesmírně jistými revolučními jevy. Ale to utrpení mělo základ, který nebyl bolestný. nUmínili jsme si, že poneseme vše společně,# pravila jako nevěsta a smlouva ne</w:t>
      </w:r>
      <w:r>
        <w:t>byla nikdy porušena až teď, kdy ho musila opustit, když ho opustili všichni. Měl by se zase brzy oženit, pravila jedné ze svým dám, hraběnce Brock- dorffové.</w:t>
      </w:r>
    </w:p>
    <w:p w:rsidR="00500724" w:rsidRDefault="00F30FB8">
      <w:pPr>
        <w:pStyle w:val="Zkladntext100"/>
        <w:shd w:val="clear" w:color="auto" w:fill="auto"/>
        <w:spacing w:line="223" w:lineRule="auto"/>
        <w:ind w:firstLine="260"/>
      </w:pPr>
      <w:r>
        <w:t>Osamělá žena v Doornu potvrdila těm, kdo byli okolo něho, moudrost císařovny. Svět by byl o něm sm</w:t>
      </w:r>
      <w:r>
        <w:t>ýšlel lépe, kdyby býval odpověděl hned jak jeho zbožný pře</w:t>
      </w:r>
      <w:r>
        <w:softHyphen/>
        <w:t xml:space="preserve">dek: íNon, </w:t>
      </w:r>
      <w:r>
        <w:rPr>
          <w:lang w:val="en-US" w:eastAsia="en-US" w:bidi="en-US"/>
        </w:rPr>
        <w:t xml:space="preserve">non, j'aurai </w:t>
      </w:r>
      <w:r>
        <w:t>des maitresses!# Metresy nebyly však jeho zvykem a nemohly mu ani dát, čeho mu bylo třeba. Sběhlo se to však tak, že se měl rozvinout zvláštní román.</w:t>
      </w:r>
    </w:p>
    <w:p w:rsidR="00500724" w:rsidRDefault="00F30FB8">
      <w:pPr>
        <w:pStyle w:val="Zkladntext100"/>
        <w:shd w:val="clear" w:color="auto" w:fill="auto"/>
        <w:spacing w:line="223" w:lineRule="auto"/>
        <w:ind w:firstLine="260"/>
      </w:pPr>
      <w:r>
        <w:t>Přirozeně, všechna škol</w:t>
      </w:r>
      <w:r>
        <w:t>ní děvčata vzdychala v devade</w:t>
      </w:r>
      <w:r>
        <w:softHyphen/>
        <w:t>sátých letech po mladém císaři. I malá princezna Hermi</w:t>
      </w:r>
      <w:r>
        <w:softHyphen/>
        <w:t>ně Reuss, vzdálená sestřenice, po něm toužila, což jí ovšem nebránilo, aby se brzy neprovdala za prince Schónaich- Carolatha. V roce 1922, když byla pětatřiceíiletou vdovo</w:t>
      </w:r>
      <w:r>
        <w:t>u s pěti dětmi, napsal její malý synek psanci dětský blaho</w:t>
      </w:r>
      <w:r>
        <w:softHyphen/>
        <w:t>přejný dopis, jehož následkem bylo pozvání do Doornu. Takové legendy se připínaly stále ještě na Viléma Ho- henzollerského, že se princezna starala, aby vzala s sebou děti, kdyby byl přece snad čás</w:t>
      </w:r>
      <w:r>
        <w:t>tečně duševně nemocen. Slyšela častokráte jako i jiní, že je zcela ponořen v me</w:t>
      </w:r>
      <w:r>
        <w:softHyphen/>
        <w:t>lancholii a že si dal narůst dlouhý bílý vous, jindy, že propadl náboženskému šílenství. Vdala se za něho 5. listo</w:t>
      </w:r>
      <w:r>
        <w:softHyphen/>
        <w:t>padu 1922.</w:t>
      </w:r>
    </w:p>
    <w:p w:rsidR="00500724" w:rsidRDefault="00F30FB8">
      <w:pPr>
        <w:pStyle w:val="Zkladntext100"/>
        <w:shd w:val="clear" w:color="auto" w:fill="auto"/>
        <w:spacing w:line="223" w:lineRule="auto"/>
        <w:ind w:firstLine="260"/>
      </w:pPr>
      <w:r>
        <w:t>Ponuré novinářské legendy, které opředly brzy i je</w:t>
      </w:r>
      <w:r>
        <w:t>ho druhé šťastné manželství, byly důsledek názoru rozšíře</w:t>
      </w:r>
      <w:r>
        <w:softHyphen/>
        <w:t>ného po jeho pádu, že vyhnanec je prý šílený nebo trud- nomyslný a že u něho nikdo nemůže vydržet. On sám, uměje ocenit správně stanovisko ciziny, poznamenal, že se na něho v dohodových zemích dívaj</w:t>
      </w:r>
      <w:r>
        <w:t>í jako na «no- sitele nejbrutálnější dobyvačnosti, samovládného utla- čovatele každé svobodné vlády v německém národě# —</w:t>
      </w:r>
    </w:p>
    <w:p w:rsidR="00500724" w:rsidRDefault="00F30FB8">
      <w:pPr>
        <w:pStyle w:val="Zkladntext100"/>
        <w:shd w:val="clear" w:color="auto" w:fill="auto"/>
        <w:spacing w:line="230" w:lineRule="auto"/>
        <w:ind w:firstLine="0"/>
      </w:pPr>
      <w:r>
        <w:t>»jaksi princip nekulturní#. Zřejmě odporovalo každému pocitu přiměřenosti, že by taková osobnost měla vnitřní mír. Jestliže se domníval</w:t>
      </w:r>
      <w:r>
        <w:t xml:space="preserve"> ještě, že je v právu, musil být bičován zuřivostí nad nespravedlností světa; nebo muka</w:t>
      </w:r>
      <w:r>
        <w:softHyphen/>
        <w:t>mi svědomí, uznal-li, že není v právu.</w:t>
      </w:r>
    </w:p>
    <w:p w:rsidR="00500724" w:rsidRDefault="00F30FB8">
      <w:pPr>
        <w:pStyle w:val="Zkladntext100"/>
        <w:numPr>
          <w:ilvl w:val="0"/>
          <w:numId w:val="97"/>
        </w:numPr>
        <w:shd w:val="clear" w:color="auto" w:fill="auto"/>
        <w:tabs>
          <w:tab w:val="left" w:pos="481"/>
        </w:tabs>
        <w:spacing w:line="223" w:lineRule="auto"/>
        <w:ind w:firstLine="260"/>
      </w:pPr>
      <w:r>
        <w:t>Německu nastávala po jeho pádu znenáhla komická změna v mínění o něm. Ve světle otevřených archivů sě poznalo, že zhouba, jež byl</w:t>
      </w:r>
      <w:r>
        <w:t>a věštěna jako nutný násle</w:t>
      </w:r>
      <w:r>
        <w:softHyphen/>
        <w:t>dek jeho osobního vměšování do politiky a jeho myšle</w:t>
      </w:r>
      <w:r>
        <w:softHyphen/>
        <w:t>nek o útocích jezdectva, musí mít ve skutečnosti jinou příčinu. Sníží to jeho vinu, to by však vedlo ke zřejmým nepříjemnostem. Tak byla vytvořena teorie, jejíž stano</w:t>
      </w:r>
      <w:r>
        <w:softHyphen/>
        <w:t>visko byl</w:t>
      </w:r>
      <w:r>
        <w:t>a opačná krajnost. Byl nyní považován za druh hrdličky, jež zabloudila do světa příliš surového. Spis Walthera Rathenaua vyjádřil tuto novou představu poetic</w:t>
      </w:r>
      <w:r>
        <w:softHyphen/>
        <w:t>ky. Tu se udála přiměřená změna i na vnějším zjevu císa</w:t>
      </w:r>
      <w:r>
        <w:softHyphen/>
        <w:t xml:space="preserve">řově; dostal teď ukřehkou pokožku#, ubílé </w:t>
      </w:r>
      <w:r>
        <w:t>ruce«, »malé bílé zuby# atd. Stanovisko Rathenauovo bylo, že monar</w:t>
      </w:r>
      <w:r>
        <w:softHyphen/>
        <w:t>chie je něco tak špatného, že i muž s tak nezničitelně dobrým srdcem je ničen svým postavením a tak je držen pod skleněným zvonem, že mu nezbývá možnosti pro mužné činy. Ježto bylo nyní dok</w:t>
      </w:r>
      <w:r>
        <w:t>ázáno, že nebyl tyranem svých ministrů, byl teď považován za jejich nástroj.</w:t>
      </w:r>
    </w:p>
    <w:p w:rsidR="00500724" w:rsidRDefault="00F30FB8">
      <w:pPr>
        <w:pStyle w:val="Zkladntext100"/>
        <w:shd w:val="clear" w:color="auto" w:fill="auto"/>
        <w:spacing w:line="223" w:lineRule="auto"/>
        <w:ind w:firstLine="260"/>
      </w:pPr>
      <w:r>
        <w:t>Na to, co tomu řekne sám, čekalo se hlavně v naději na zábavné indiskrece.</w:t>
      </w:r>
    </w:p>
    <w:p w:rsidR="00500724" w:rsidRDefault="00F30FB8">
      <w:pPr>
        <w:pStyle w:val="Zkladntext100"/>
        <w:shd w:val="clear" w:color="auto" w:fill="auto"/>
        <w:spacing w:line="223" w:lineRule="auto"/>
        <w:ind w:firstLine="260"/>
      </w:pPr>
      <w:r>
        <w:t>Jeho první publikace (1921) »Srovnávací dějinné ta</w:t>
      </w:r>
      <w:r>
        <w:softHyphen/>
        <w:t>bulky od r. 1878 do vypuknutí války r. 1914# byla pol</w:t>
      </w:r>
      <w:r>
        <w:t>e</w:t>
      </w:r>
      <w:r>
        <w:softHyphen/>
        <w:t>mika, jejímž účelem bylo dokázat chronologicky podaný</w:t>
      </w:r>
      <w:r>
        <w:softHyphen/>
        <w:t>mi skutečnostmi, že všechny mezinárodní poruchy od r. 1878 vyšly od nepřátel Německa. R. 1922: »Události a postavy«, vydané v Anglii v bezbarvém překladě »My Memoiresit. R. 1926: »Z mého života 1859-1</w:t>
      </w:r>
      <w:r>
        <w:t xml:space="preserve">888#. O několik </w:t>
      </w:r>
      <w:r>
        <w:rPr>
          <w:lang w:val="en-US" w:eastAsia="en-US" w:bidi="en-US"/>
        </w:rPr>
        <w:t xml:space="preserve">let </w:t>
      </w:r>
      <w:r>
        <w:t>později náčrt dějin hohenzollerského domu v jednot</w:t>
      </w:r>
      <w:r>
        <w:softHyphen/>
        <w:t>livých obrazech, jako odpověď lidem, kteří se snažili snížit jeho předky.</w:t>
      </w:r>
    </w:p>
    <w:p w:rsidR="00500724" w:rsidRDefault="00F30FB8">
      <w:pPr>
        <w:pStyle w:val="Zkladntext100"/>
        <w:numPr>
          <w:ilvl w:val="0"/>
          <w:numId w:val="97"/>
        </w:numPr>
        <w:shd w:val="clear" w:color="auto" w:fill="auto"/>
        <w:tabs>
          <w:tab w:val="left" w:pos="476"/>
        </w:tabs>
        <w:spacing w:line="223" w:lineRule="auto"/>
        <w:ind w:firstLine="260"/>
      </w:pPr>
      <w:r>
        <w:t>r. 1922 vyšla i kniha podplukovníka Niemanna, »mi- lého, věrného kamaráda* z války, jenž mu byl průvodcem i v D</w:t>
      </w:r>
      <w:r>
        <w:t xml:space="preserve">oornu. </w:t>
      </w:r>
      <w:r>
        <w:rPr>
          <w:lang w:val="en-US" w:eastAsia="en-US" w:bidi="en-US"/>
        </w:rPr>
        <w:t xml:space="preserve">Niemann </w:t>
      </w:r>
      <w:r>
        <w:t>dosáhl otázkami od něho spoustu mnohem metodičtějších výroků, než by je kdy zazna</w:t>
      </w:r>
      <w:r>
        <w:softHyphen/>
        <w:t>menal Vilém sám; tím bylo umožněno zhuštění vylíčení všeho, co se dalo ovšem vybrat i v záhrnu jeho vlastních spisů. Kdokoliv může přimět přítele, aby napsal k</w:t>
      </w:r>
      <w:r>
        <w:t>nihu, v níž je vylíčen jako výlupek ctnosti a osvícenosti; u ni</w:t>
      </w:r>
      <w:r>
        <w:softHyphen/>
        <w:t>koho, kdo čtli vlastní knihy Vilémovy, nemůže obstát hypotésa, že tu převládá neupřímnost. Mohl toho být schopen, lidé vycházeli vždy z domněnky, že dovede spojovat nezvládnutou prudkost s pro</w:t>
      </w:r>
      <w:r>
        <w:t>pastnou obojet</w:t>
      </w:r>
      <w:r>
        <w:softHyphen/>
        <w:t>ností, ale to se přece jen nedalo předpokládat, že jeho sloh se vysmívá přírodním zákonům, a nikdo nemůže psát něco jiného mimo sebe sama. Co říká, může být předivo lží, ale způsob, jak se to říká, bude vždy pravda. Co Vilém řekl ve svých kn</w:t>
      </w:r>
      <w:r>
        <w:t>ihách a hovorech, bylo pře</w:t>
      </w:r>
      <w:r>
        <w:softHyphen/>
        <w:t>divo nečekaných diškreci, ale způsob, jak to neřekl, dává poznati nezatížené svědomí a ducha, jemuž scházela, jak</w:t>
      </w:r>
      <w:r>
        <w:softHyphen/>
        <w:t>koliv byl skvělý, schopnost přetvářky: svědomí a duch, jimž byla snazší pravda než lež a velkomyslnost lehčí než zd</w:t>
      </w:r>
      <w:r>
        <w:t xml:space="preserve">ání velkomyslnosti. Jasná, přímá a bystrá řeč, nerozpa- čité vrhání se </w:t>
      </w:r>
      <w:r>
        <w:rPr>
          <w:lang w:val="en-US" w:eastAsia="en-US" w:bidi="en-US"/>
        </w:rPr>
        <w:t xml:space="preserve">in </w:t>
      </w:r>
      <w:r>
        <w:t>medias res, překotná důvěra, že najde víru, tu a tam nezaujaté srdečnosti, těkavý zájem o život a nerozvinuté schopnost sebepozorování, naprosté zane</w:t>
      </w:r>
      <w:r>
        <w:softHyphen/>
        <w:t xml:space="preserve">dbávání každého pokusu hovět </w:t>
      </w:r>
      <w:r>
        <w:t>protivným názorům, a rychlé rozplývání ve věci, zvláštní lhostejnost, polo oddě- lovatelnost a polo styl depeší při úvahách, které by sa jinému zdály nesnesitelné a působily rozpaky - kritikovi, který u Viléma mohl objevit druh Machiavelliho, scházel rozho</w:t>
      </w:r>
      <w:r>
        <w:t>dně i nejmenší cit pro sloh.</w:t>
      </w:r>
    </w:p>
    <w:p w:rsidR="00500724" w:rsidRDefault="00F30FB8">
      <w:pPr>
        <w:pStyle w:val="Zkladntext100"/>
        <w:shd w:val="clear" w:color="auto" w:fill="auto"/>
        <w:spacing w:after="40" w:line="226" w:lineRule="auto"/>
        <w:ind w:firstLine="260"/>
      </w:pPr>
      <w:r>
        <w:t>První odhalení, že věří stále ještě, že je v právu, ne</w:t>
      </w:r>
      <w:r>
        <w:softHyphen/>
        <w:t xml:space="preserve">mohlo způsobit zvláštní překvapení, ježto opačné mínění je u autobiografií vzácné, ne-li neznámo. Jeho nepoddaj- nost šla však mnohem dále. Věřil ještě, že jeho vláda byla </w:t>
      </w:r>
      <w:r>
        <w:t>v právu. Obecně ujasňovali němečtí političtí pisa- íelé pamětí prostě čtenáři, že kdosi jiný, obyčejně Vilém nese vinu za chybnost minulé politiky a že oni sami vždy prorokovali hrozné důsledky. Ani jejich memoiry ne</w:t>
      </w:r>
      <w:r>
        <w:softHyphen/>
        <w:t xml:space="preserve">mohly otřásti jeho vírou v ně. Ztrávil </w:t>
      </w:r>
      <w:r>
        <w:t>život jako panov</w:t>
      </w:r>
      <w:r>
        <w:softHyphen/>
        <w:t>ník mezi ctnostnými, skvělými, pracovitými, vážnými přá</w:t>
      </w:r>
      <w:r>
        <w:softHyphen/>
        <w:t>teli vlasti. Lišil se svými názory od jejich jen ve vel</w:t>
      </w:r>
      <w:r>
        <w:softHyphen/>
        <w:t>kých případech, nikoliv aby odmítal odpovědnost, nýbrž aby popíral neodpovědnost. Na politiku, kterou prováděl on i oni v plném</w:t>
      </w:r>
      <w:r>
        <w:t xml:space="preserve"> souladu, ohlížel se jako na čestný po</w:t>
      </w:r>
      <w:r>
        <w:softHyphen/>
        <w:t>kus plnění povinnosti podle zásad, pro něž neměl důvo</w:t>
      </w:r>
      <w:r>
        <w:softHyphen/>
        <w:t xml:space="preserve">du, aby je považoval za mylné. Jak tomu je už u živlů, nelze vysvětlovat každé ztroskotání chybou kapitánovou. Viděl přicházet nebezpečí a bděl i činil se, aby se </w:t>
      </w:r>
      <w:r>
        <w:t>jim vyhnul, podle svého nejlepšího názoru a svého nejlep</w:t>
      </w:r>
      <w:r>
        <w:softHyphen/>
        <w:t>šího umění, a byl přemožen: je to důvod, abychom mě</w:t>
      </w:r>
      <w:r>
        <w:softHyphen/>
        <w:t>nili vlajku a vlastní svědomí? Nečiní si nároků, že by se byl nikdy nemýlil, řekl k Niemannovi, ale jeho úloha byla jnadlidsky těžkán.</w:t>
      </w:r>
    </w:p>
    <w:p w:rsidR="00500724" w:rsidRDefault="00F30FB8">
      <w:pPr>
        <w:pStyle w:val="Zkladntext100"/>
        <w:shd w:val="clear" w:color="auto" w:fill="auto"/>
        <w:spacing w:after="40" w:line="223" w:lineRule="auto"/>
        <w:ind w:firstLine="220"/>
      </w:pPr>
      <w:r>
        <w:t>Patrně měl ú</w:t>
      </w:r>
      <w:r>
        <w:t>plně pravdu.</w:t>
      </w:r>
    </w:p>
    <w:p w:rsidR="00500724" w:rsidRDefault="00F30FB8">
      <w:pPr>
        <w:pStyle w:val="Zkladntext100"/>
        <w:shd w:val="clear" w:color="auto" w:fill="auto"/>
        <w:spacing w:after="40" w:line="223" w:lineRule="auto"/>
        <w:ind w:firstLine="220"/>
      </w:pPr>
      <w:r>
        <w:t>Bylo a je přirozené, že jeho vláda byla napadána její</w:t>
      </w:r>
      <w:r>
        <w:softHyphen/>
        <w:t>mi nástupci pro hanlivé cíle a špatná opatření; bylo tře</w:t>
      </w:r>
      <w:r>
        <w:softHyphen/>
        <w:t>ba, aby byla napadena vášnivě, neboť kritikové by ne</w:t>
      </w:r>
      <w:r>
        <w:softHyphen/>
        <w:t>byli odolali žádné střízlivé zkoušce. Cíle jeho vlády by nebývaly s to budit po</w:t>
      </w:r>
      <w:r>
        <w:t>horšení; její opatření nepodléhala o nic méně ani více oprávněným rozdílům názorovým než většina lidských opatření. Posuzována jako článek v řetězu národního vývoje bez ohledu na válku, byla její vnitřní politika beze sporu úspěšná. Sloučila v sobě lépe, n</w:t>
      </w:r>
      <w:r>
        <w:t>ež by ío dovedla rozhodně liberální vláda, oba prvky úchovy a pokroku, jichž bylo třeba, aby se volně spojená říše spájela v národ. Osobní postavení císařovo bylo původně postavení ústředního a nadřízeného člena, ale bylo sníženo duchem doby v postavení po</w:t>
      </w:r>
      <w:r>
        <w:t>uze ne</w:t>
      </w:r>
      <w:r>
        <w:softHyphen/>
        <w:t>závislého člena s právy a funkcemi vysokou měrou ne</w:t>
      </w:r>
      <w:r>
        <w:softHyphen/>
        <w:t>určitými, a to v mašinérii, jež byla určena sloužit auto</w:t>
      </w:r>
      <w:r>
        <w:softHyphen/>
        <w:t>kracii, avšak jejím mizením se silně vyšinovala z rovno</w:t>
      </w:r>
      <w:r>
        <w:softHyphen/>
        <w:t xml:space="preserve">váhy. Moderní pruská koruna nebyla ani autokratická ani bezmocná, a její nositel se </w:t>
      </w:r>
      <w:r>
        <w:t>musil zplna spolehnout na svůj politický hmat, aby zůstal ústavní - a dějiny uká</w:t>
      </w:r>
      <w:r>
        <w:softHyphen/>
        <w:t>zaly dávno, že Vilém ústavní zůstal - aniž se vystavo</w:t>
      </w:r>
      <w:r>
        <w:softHyphen/>
        <w:t>val nebezpečí, že bude odsunut stranou.</w:t>
      </w:r>
    </w:p>
    <w:p w:rsidR="00500724" w:rsidRDefault="00F30FB8">
      <w:pPr>
        <w:pStyle w:val="Zkladntext100"/>
        <w:shd w:val="clear" w:color="auto" w:fill="auto"/>
        <w:spacing w:after="40" w:line="218" w:lineRule="auto"/>
        <w:ind w:firstLine="220"/>
      </w:pPr>
      <w:r>
        <w:t>Co se týče zahraniční politiky, je třeba srovnávat ně</w:t>
      </w:r>
      <w:r>
        <w:softHyphen/>
        <w:t>mecké snahy a úspěchy jen s</w:t>
      </w:r>
      <w:r>
        <w:t xml:space="preserve"> ostatními státy téhož údobí, aby se poznalo, že byly naprosto umírněné, zasloužily Benckendorffova vysvědčení o své mírové povaze,- i v tom byl Vilém jejich nejrozumnější zástupce. Byl v jednotlivostech protivníkem jejích hlavních přehmatů; kdyby byly pro</w:t>
      </w:r>
      <w:r>
        <w:t>nikly jeho rady, nebylo by bývalo ani depeše Krůgerovi ani tangerské návštěvy ani Algecirasu ani Agadiru - bylo těžké, obnovit jeho obraz bez těchto perel v jeho koruně. Jeho osobnost byla haněna pro zlost- nost a dráždivost, které jsou neodlučitelné od me</w:t>
      </w:r>
      <w:r>
        <w:t>zinárod</w:t>
      </w:r>
      <w:r>
        <w:softHyphen/>
        <w:t xml:space="preserve">ních styků; a přece, podnikl-li pokus osobního jednání, museli by jeho partneři v jednání, jako </w:t>
      </w:r>
      <w:r>
        <w:rPr>
          <w:lang w:val="en-US" w:eastAsia="en-US" w:bidi="en-US"/>
        </w:rPr>
        <w:t xml:space="preserve">Haldane </w:t>
      </w:r>
      <w:r>
        <w:t>a car, být vlečeni jejich zděšenými přáteli z dosahu jeho smi</w:t>
      </w:r>
      <w:r>
        <w:softHyphen/>
        <w:t>řujícího vlivu. Lze dokázat, že příčinou skutečného ne</w:t>
      </w:r>
      <w:r>
        <w:softHyphen/>
        <w:t>zdaru jeho zahraniční polit</w:t>
      </w:r>
      <w:r>
        <w:t>iky, nezdaru dorozumění s Ang</w:t>
      </w:r>
      <w:r>
        <w:softHyphen/>
        <w:t>lií, nebylo jeho loďstvo, tolik vytýkané; ale v žádném ji</w:t>
      </w:r>
      <w:r>
        <w:softHyphen/>
        <w:t>ném směru nebyl ani svými ministry podporován tak málo, jestliže našel u svého národa tak Drudké protivníky. Mohli bychom jej nazvat ve skutečnosti jediným vážným přívr</w:t>
      </w:r>
      <w:r>
        <w:t>žencem stálé anglofilské politiky nebo anglo-němec</w:t>
      </w:r>
      <w:r>
        <w:softHyphen/>
        <w:t>kého dorozumění; zavrhnouti jej pro zmar, který byl dů</w:t>
      </w:r>
      <w:r>
        <w:softHyphen/>
        <w:t>sledkem anglické protiváhy na misce moci, znamená tedy vytýkat, že neuložil své vládě, své zemi a Evropě neodo</w:t>
      </w:r>
      <w:r>
        <w:softHyphen/>
        <w:t>latelné osobní vládnutí.</w:t>
      </w:r>
    </w:p>
    <w:p w:rsidR="00500724" w:rsidRDefault="00F30FB8">
      <w:pPr>
        <w:pStyle w:val="Zkladntext100"/>
        <w:shd w:val="clear" w:color="auto" w:fill="auto"/>
        <w:spacing w:after="60" w:line="218" w:lineRule="auto"/>
        <w:ind w:firstLine="220"/>
      </w:pPr>
      <w:r>
        <w:t>Důvod, proč ne</w:t>
      </w:r>
      <w:r>
        <w:t>jsou svědomitěji posuzovány soustavy, jež trpíme a udržujeme, nutno hledati v tom, že užíváme své mírné dávky inteligence na obžalobu mužů, kteří jsou oběti těchto soustav. Ještě dnes jsme aníhropomorfisty jako naši nejdávnější předkové, ještě dnes setrváv</w:t>
      </w:r>
      <w:r>
        <w:t>áme při názoru, že síly, jež způsobují naše mezinárodní tragedie, nesou osobní lidské postavy. Pokud Německo považuje Viléma II. za fenomenálního břídila, pokud jej považu</w:t>
      </w:r>
      <w:r>
        <w:softHyphen/>
        <w:t>jeme za korunovaného darebáka, který porušil meziná</w:t>
      </w:r>
      <w:r>
        <w:softHyphen/>
        <w:t>rodní Arkadie svými nemravnými n</w:t>
      </w:r>
      <w:r>
        <w:t>ebo šíleně ctižádosti</w:t>
      </w:r>
      <w:r>
        <w:softHyphen/>
        <w:t>vými snahami - potud nebude možné mít z jeho historie plodný užitek. Pak nám poskytuje toliko sladký jed sebe- spokojenosti a spokojenosti se skutečnostmi svrchovaně neuspokojivými. Najdeme-li v sobě ochotu vidět v něm čestného, schop</w:t>
      </w:r>
      <w:r>
        <w:t>ného, inteligentního vládce, jenž převzal soustavu, jak ji našel, a pokusil se udělat z ní nejlepší, co se dá, pak budeme s to mít prospěch z pokusu, který se odehrál před našima očima. Z prvního kovu, který se v údobí světového míru získá z roztavených dě</w:t>
      </w:r>
      <w:r>
        <w:t>l, měla by být ulita socha Viléma Hohenzollera za jeho zásluhy o lid</w:t>
      </w:r>
      <w:r>
        <w:softHyphen/>
        <w:t>stvo, jichž si dobyl tím, že ukázal ve své osobě, v oka</w:t>
      </w:r>
      <w:r>
        <w:softHyphen/>
        <w:t>mžiku, kdy otázka byla ve vzduchu, neužitečnost zajištění proti záhubě ve válce za nynějšího stavu společnosti ná</w:t>
      </w:r>
      <w:r>
        <w:softHyphen/>
        <w:t>rodů.</w:t>
      </w:r>
    </w:p>
    <w:p w:rsidR="00500724" w:rsidRDefault="00F30FB8">
      <w:pPr>
        <w:pStyle w:val="Zkladntext100"/>
        <w:shd w:val="clear" w:color="auto" w:fill="auto"/>
        <w:spacing w:line="218" w:lineRule="auto"/>
        <w:ind w:firstLine="260"/>
      </w:pPr>
      <w:r>
        <w:t>Kdyby byl V</w:t>
      </w:r>
      <w:r>
        <w:t>ilém prožil poválečný svět jako vládce Německa, třebas ruinovaného, byla by ručila celá jeho minulost, že se vrhne živě na nové myšlenky světové jed</w:t>
      </w:r>
      <w:r>
        <w:softHyphen/>
        <w:t>noty, kterou si sám vysnil. Plakat pro ztracené není hohen- zollerské a minulost je podle jeho robustní fil</w:t>
      </w:r>
      <w:r>
        <w:t>osofie právě jen minulost. Vilém arci považoval versailleský mír za křiklavou křivdu - »člověk však nesmí být farizejec; do jistého stupně je podle světového zápolení o život a smrt přepětí podmínek zvítězivší části přirozený následek osvo</w:t>
      </w:r>
      <w:r>
        <w:softHyphen/>
        <w:t>bozujícího pocit</w:t>
      </w:r>
      <w:r>
        <w:t>u, že jsme unikli smrti#. Měl za to, že do</w:t>
      </w:r>
      <w:r>
        <w:softHyphen/>
        <w:t>hoda vnutila Německu válku, ale nepřestal se podivovat způsobu řízení před anglickými policejními soudy a ucho</w:t>
      </w:r>
      <w:r>
        <w:softHyphen/>
        <w:t>vával si nejpříjemnější vzpomínky na návštěvy v Anglii. Nesnížil se tolik, aby se zabýval revolucí jak</w:t>
      </w:r>
      <w:r>
        <w:t>o věcí osobní nenávisti vůči sobě, ba sotva jen jako nepřístojností vůči sobě, pokud byla výsledkem nčestného přesvědčením Doba jen z ní učinila szločin na národě#; co však bylo za- vržitelné, to bylo štvaní po léta, jež vedlo k výsledkům, nad nimiž neměli</w:t>
      </w:r>
      <w:r>
        <w:t xml:space="preserve"> moci ani vůdcové národa. Povzbuzoval ty, kdo mu zůstali věrni, aby podporovali republikánskou vládu, jejíž ústavu ovšem považoval za příliš centralistic</w:t>
      </w:r>
      <w:r>
        <w:softHyphen/>
        <w:t>kou, neboť se mu zdálo, že jí chybí organické kořeny v ně</w:t>
      </w:r>
      <w:r>
        <w:softHyphen/>
        <w:t>meckých federalistických zvláštnostech, zatí</w:t>
      </w:r>
      <w:r>
        <w:t>m co se szá- sadně« zdržoval každé kritiky vládních opatření.</w:t>
      </w:r>
    </w:p>
    <w:p w:rsidR="00500724" w:rsidRDefault="00F30FB8">
      <w:pPr>
        <w:pStyle w:val="Zkladntext100"/>
        <w:shd w:val="clear" w:color="auto" w:fill="auto"/>
        <w:spacing w:after="200" w:line="218" w:lineRule="auto"/>
        <w:ind w:firstLine="260"/>
      </w:pPr>
      <w:r>
        <w:t xml:space="preserve">Při prodloužení zákona na ochranu republiky v r. 1929 padla doložka </w:t>
      </w:r>
      <w:r>
        <w:rPr>
          <w:i/>
          <w:iCs/>
        </w:rPr>
        <w:t>p</w:t>
      </w:r>
      <w:r>
        <w:t xml:space="preserve"> vyhnanství. Korunní princ se vrátil už dávno do Německa. Vilém, který i v Doornu musel vy</w:t>
      </w:r>
      <w:r>
        <w:softHyphen/>
        <w:t>loučit novinářské fotografy ostnat</w:t>
      </w:r>
      <w:r>
        <w:t>ým drátem, nedal se po</w:t>
      </w:r>
      <w:r>
        <w:softHyphen/>
        <w:t>hnout k tomu, aby bydlel v Německu jako jakýsi museál</w:t>
      </w:r>
      <w:r>
        <w:softHyphen/>
        <w:t>ní kus ze starých špatných časů. Věřil, že se dějiny za</w:t>
      </w:r>
      <w:r>
        <w:softHyphen/>
        <w:t>chovají spravedlivě k jeho pohnutkám, ale spočáteční za</w:t>
      </w:r>
      <w:r>
        <w:softHyphen/>
        <w:t>temnění a pokroucení událostí# pro žijící prý &gt;nelze už nikdy napra</w:t>
      </w:r>
      <w:r>
        <w:t xml:space="preserve">vit#. Bral skutečnost s rovnováhou, jež byla druhým a nejméně očekávaným jeho projevem. </w:t>
      </w:r>
      <w:r>
        <w:rPr>
          <w:lang w:val="en-US" w:eastAsia="en-US" w:bidi="en-US"/>
        </w:rPr>
        <w:t xml:space="preserve">I Niemann </w:t>
      </w:r>
      <w:r>
        <w:t>se domníval, že v Amerongen najde sosudem shrbeného, zalrpklého nepřítele lidí#. Nepomyslil na víru, kterou Eulenburg nazval fatalistickou. Bůh ví, jak prostě</w:t>
      </w:r>
      <w:r>
        <w:t xml:space="preserve"> Vilém vyjádřil, co činí; Německo prý má mírové poslání na světě a znovu povstane.</w:t>
      </w:r>
    </w:p>
    <w:p w:rsidR="00500724" w:rsidRDefault="00F30FB8">
      <w:pPr>
        <w:pStyle w:val="Nadpis80"/>
        <w:keepNext/>
        <w:keepLines/>
        <w:shd w:val="clear" w:color="auto" w:fill="auto"/>
        <w:spacing w:after="300"/>
        <w:rPr>
          <w:sz w:val="44"/>
          <w:szCs w:val="44"/>
        </w:rPr>
      </w:pPr>
      <w:bookmarkStart w:id="776" w:name="bookmark775"/>
      <w:r>
        <w:rPr>
          <w:sz w:val="44"/>
          <w:szCs w:val="44"/>
          <w:u w:val="none"/>
        </w:rPr>
        <w:t>dopisy</w:t>
      </w:r>
      <w:bookmarkEnd w:id="776"/>
    </w:p>
    <w:p w:rsidR="00500724" w:rsidRDefault="00F30FB8">
      <w:pPr>
        <w:pStyle w:val="Zkladntext100"/>
        <w:shd w:val="clear" w:color="auto" w:fill="auto"/>
        <w:spacing w:after="60" w:line="175" w:lineRule="auto"/>
        <w:ind w:firstLine="0"/>
        <w:jc w:val="center"/>
      </w:pPr>
      <w:r>
        <w:rPr>
          <w:b/>
          <w:bCs/>
        </w:rPr>
        <w:t>Zakázat noviny v kavárnách?</w:t>
      </w:r>
    </w:p>
    <w:p w:rsidR="00500724" w:rsidRDefault="00F30FB8">
      <w:pPr>
        <w:pStyle w:val="Zkladntext100"/>
        <w:shd w:val="clear" w:color="auto" w:fill="auto"/>
        <w:spacing w:after="60" w:line="175" w:lineRule="auto"/>
        <w:ind w:right="200" w:firstLine="0"/>
        <w:jc w:val="right"/>
      </w:pPr>
      <w:r>
        <w:t>V Praze dne 24. července 1939</w:t>
      </w:r>
    </w:p>
    <w:p w:rsidR="00500724" w:rsidRDefault="00F30FB8">
      <w:pPr>
        <w:pStyle w:val="Zkladntext100"/>
        <w:shd w:val="clear" w:color="auto" w:fill="auto"/>
        <w:spacing w:after="60" w:line="175" w:lineRule="auto"/>
        <w:ind w:left="1020" w:firstLine="0"/>
        <w:jc w:val="left"/>
      </w:pPr>
      <w:r>
        <w:t>Vážený pane Valdel</w:t>
      </w:r>
    </w:p>
    <w:p w:rsidR="00500724" w:rsidRDefault="00F30FB8">
      <w:pPr>
        <w:pStyle w:val="Zkladntext100"/>
        <w:shd w:val="clear" w:color="auto" w:fill="auto"/>
        <w:spacing w:line="175" w:lineRule="auto"/>
        <w:ind w:firstLine="260"/>
      </w:pPr>
      <w:r>
        <w:t>Vzhledem k Vašemu článku v »Přítomnosti« — xjenom zá</w:t>
      </w:r>
      <w:r>
        <w:softHyphen/>
        <w:t xml:space="preserve">chrana tisku ?«, dovoluji si </w:t>
      </w:r>
      <w:r>
        <w:t>podotknouti následující.</w:t>
      </w:r>
    </w:p>
    <w:p w:rsidR="00500724" w:rsidRDefault="00F30FB8">
      <w:pPr>
        <w:pStyle w:val="Zkladntext100"/>
        <w:shd w:val="clear" w:color="auto" w:fill="auto"/>
        <w:spacing w:line="175" w:lineRule="auto"/>
        <w:ind w:firstLine="260"/>
      </w:pPr>
      <w:r>
        <w:t>Kdybyste skutečné dosáhl toho, že by v kavárnách nesměly býti hostům předkládány noviny, časopisy, revue, odborně listy atd., pak by patrně kavárenský život skoro zanikl. Neboť podle mého úsudku dobře přes polovinu denních hostů, a</w:t>
      </w:r>
      <w:r>
        <w:t>spoň pražských kaváren, chodí do kavárny ne za zábavou a pro potěšení posezení v kavárně, nýbrž právě jen pro tu duševní potravu, kterou mu skýtaji noviny a všechny možné časopisy a revue zdejší i cizí. Pražské kavárny neplní lidé zámozni, nýbrž lidé střed</w:t>
      </w:r>
      <w:r>
        <w:t xml:space="preserve">ních vrstev, ne samostatní obchodníci, nýbrž zaměstnanci s určitým měsíčním příjmem, při kterém si mohou dovoliti řekněme </w:t>
      </w:r>
      <w:r>
        <w:rPr>
          <w:rFonts w:ascii="Arial" w:eastAsia="Arial" w:hAnsi="Arial" w:cs="Arial"/>
          <w:b/>
          <w:bCs/>
          <w:sz w:val="17"/>
          <w:szCs w:val="17"/>
        </w:rPr>
        <w:t xml:space="preserve">i </w:t>
      </w:r>
      <w:r>
        <w:t xml:space="preserve">třeba denně jednu černou kávu v kavárně — při které mohou seděti 3 až 4 hodiny, což jest zvláště v zimě příjemné a velice výhodné — </w:t>
      </w:r>
      <w:r>
        <w:t>neboť tím ušetří doma světlo a topivo — a k tomu obdrží nádavkem všechny možné noviny a časopisy z domova i ciziny. To, co takový host v kavárnách spotřebuje pro svůj žaludek, toho jest velice málo, aspoň u těch hostů, jež já míním, ti tam jdou ukojiti hla</w:t>
      </w:r>
      <w:r>
        <w:t>d duševní. Jejich příjem jim rozhodně nedovoluje, aby si mohli koupiti aspoň jen denních novin tolik, kolik si jich v kavárně za ty K 3.— za černou kávu, smějí přečisti, natož potom, aby si ještě mohli koupiti aspoň jeden časopis, revui, odborné listy, atd</w:t>
      </w:r>
      <w:r>
        <w:t>. A věřte, že těchto kavárenských hostů jest jediná zábava po celý rok čtení novin a časopisů v kavárně, ti nehledí napravo, nalevo, a jen čtou a čtou, listují a prohlížejí, a pak když jdou z kavárny nasycení a plní vší možné »litera- tury«, zas snadněji s</w:t>
      </w:r>
      <w:r>
        <w:t>nášejí ty svoje trampoty snad v rodině, snad v zaměstnání a i snad povšechné. To když si třeba pře</w:t>
      </w:r>
      <w:r>
        <w:softHyphen/>
        <w:t>četli nějakou hezkou povídku, neb zhlédli pár hezkých obrázků, třeba přírodních z dalekých a neznámých krajů světa — hned se jim zdá, že svět je přece jen kr</w:t>
      </w:r>
      <w:r>
        <w:t>ásný — a i když vědí, že tím se v jejich životě nic nezmění, přec jim to dá hezkou chvilku.</w:t>
      </w:r>
    </w:p>
    <w:p w:rsidR="00500724" w:rsidRDefault="00F30FB8">
      <w:pPr>
        <w:pStyle w:val="Zkladntext100"/>
        <w:shd w:val="clear" w:color="auto" w:fill="auto"/>
        <w:spacing w:after="60" w:line="175" w:lineRule="auto"/>
        <w:ind w:firstLine="300"/>
      </w:pPr>
      <w:r>
        <w:t>Vím to sama podle sebe, ačkoliv nejsem ani tak šťastná, abych mohla míti tento požitek každý den, neboť posezení v kavárně jsem si mohla dosud při svém měsíčním pla</w:t>
      </w:r>
      <w:r>
        <w:t>tu K 500.— jako soukromá úřednice, jen jednou v týdnu — v ne</w:t>
      </w:r>
      <w:r>
        <w:softHyphen/>
        <w:t>děli večer dovolit, pak jsem přečetla a prohlídla všechny časo</w:t>
      </w:r>
      <w:r>
        <w:softHyphen/>
        <w:t>pisy a revue za celý týden vyšlé a k tomu ještě nedělní noviny. Jen někdy a to byl jako svátek, jsem šla do kavárny i v sobotu odpol</w:t>
      </w:r>
      <w:r>
        <w:t>edne. Nedovedete si ani představiti Vy — vážený pane. který snad můžete býti v kavárně každý den, jak jsem se celý týden na toto posezení v kavárně těšila a jak jsem při tom lehčeji snášela všechny trampoty. Nyní žel, nebudu již si moci dopřáti ani tento l</w:t>
      </w:r>
      <w:r>
        <w:t xml:space="preserve">evný a skromný požitek — jsem bez práce. Ani já jsem však nečetla »vše zadarmo*, jak Vy říkáte, dosud jsem si denně ráno kupovala — a to jsem již měsíc bez místa — noviny za 80 h a každý týden — ještě i tento týden, revui za 2 K. Teď, když nebudu míti ani </w:t>
      </w:r>
      <w:r>
        <w:t>na chleba — a naději na místo nemám, tak budu číst noviny jen když mi je někdo půjčí. To sem však nepatří — ale chci Vám ještě říci, že mnoha malým lidem vezmete tím kus radosti ze života, když jim zakážete zdarma k tomu »co spotřebuje pro svůj žaludek* či</w:t>
      </w:r>
      <w:r>
        <w:t>sti noviny a časopisy v kavárně.</w:t>
      </w:r>
    </w:p>
    <w:p w:rsidR="00500724" w:rsidRDefault="00F30FB8">
      <w:pPr>
        <w:pStyle w:val="Zkladntext100"/>
        <w:shd w:val="clear" w:color="auto" w:fill="auto"/>
        <w:spacing w:line="175" w:lineRule="auto"/>
        <w:ind w:left="1500" w:firstLine="0"/>
        <w:jc w:val="left"/>
      </w:pPr>
      <w:r>
        <w:t>V hluboké úctě</w:t>
      </w:r>
    </w:p>
    <w:p w:rsidR="00500724" w:rsidRDefault="00F30FB8">
      <w:pPr>
        <w:pStyle w:val="Zkladntext100"/>
        <w:shd w:val="clear" w:color="auto" w:fill="auto"/>
        <w:spacing w:after="280" w:line="175" w:lineRule="auto"/>
        <w:ind w:firstLine="0"/>
        <w:jc w:val="right"/>
      </w:pPr>
      <w:r>
        <w:t>Marie Hubrová</w:t>
      </w:r>
    </w:p>
    <w:p w:rsidR="00500724" w:rsidRDefault="00F30FB8">
      <w:pPr>
        <w:pStyle w:val="Zkladntext100"/>
        <w:shd w:val="clear" w:color="auto" w:fill="auto"/>
        <w:spacing w:after="60"/>
        <w:ind w:firstLine="0"/>
        <w:jc w:val="center"/>
      </w:pPr>
      <w:r>
        <w:rPr>
          <w:b/>
          <w:bCs/>
        </w:rPr>
        <w:t>»Ubozí a holí.«</w:t>
      </w:r>
    </w:p>
    <w:p w:rsidR="00500724" w:rsidRDefault="00F30FB8">
      <w:pPr>
        <w:pStyle w:val="Zkladntext100"/>
        <w:shd w:val="clear" w:color="auto" w:fill="auto"/>
        <w:spacing w:after="40"/>
        <w:ind w:left="1320" w:firstLine="0"/>
        <w:jc w:val="left"/>
      </w:pPr>
      <w:r>
        <w:t>Paní Mileno,</w:t>
      </w:r>
    </w:p>
    <w:p w:rsidR="00500724" w:rsidRDefault="00F30FB8">
      <w:pPr>
        <w:pStyle w:val="Zkladntext100"/>
        <w:shd w:val="clear" w:color="auto" w:fill="auto"/>
        <w:ind w:firstLine="0"/>
      </w:pPr>
      <w:r>
        <w:t xml:space="preserve">vyslechněte moje úvahy a odpovědi na své náměty, které nám podáváte a které přímo mučí, když se o nich přemýšlí. Proč jsou tak mučivé? Jsou to náměty všem nám hodně </w:t>
      </w:r>
      <w:r>
        <w:t>blízké. Píše se o nich v novinách, hovoří se o nich. A rozdíly mezi tím, co slyšíte z úst nejrůznějších lidí a co si přečtete, jsou takové, že způsobují — alespoň ve mně — trapný zmatek. Čemu věřit? Nač se upnout? Jak si překlenout ty propasti rozdílů?</w:t>
      </w:r>
    </w:p>
    <w:p w:rsidR="00500724" w:rsidRDefault="00F30FB8">
      <w:pPr>
        <w:pStyle w:val="Zkladntext100"/>
        <w:shd w:val="clear" w:color="auto" w:fill="auto"/>
        <w:ind w:firstLine="240"/>
      </w:pPr>
      <w:r>
        <w:t>Nak</w:t>
      </w:r>
      <w:r>
        <w:t>onec se člověk snaží prostě vnímat, zatím nevěřit, jen si ověřovat a srovnávat. Srovnávat zprávy s tím skuteč</w:t>
      </w:r>
      <w:r>
        <w:softHyphen/>
        <w:t>ným životem, který je kolem. Život vlastní a život spoluobčanů jsou sice jen drobné kapky našeho národního života, ale může se mu věřit, protože s</w:t>
      </w:r>
      <w:r>
        <w:t>kutečně j e. A tu je možno předpokládat, že tak, jak se žije kolem mne, se asi žije .kolem každého z nás, protože život u nás v Čechách a na Moravě je ve svém celku stejný a tak dospívám zvolna k jakémusi závěru svých úvah o nás.</w:t>
      </w:r>
    </w:p>
    <w:p w:rsidR="00500724" w:rsidRDefault="00F30FB8">
      <w:pPr>
        <w:pStyle w:val="Zkladntext100"/>
        <w:shd w:val="clear" w:color="auto" w:fill="auto"/>
        <w:tabs>
          <w:tab w:val="left" w:leader="hyphen" w:pos="1714"/>
        </w:tabs>
        <w:ind w:firstLine="240"/>
      </w:pPr>
      <w:r>
        <w:t xml:space="preserve">Tedy závěr? </w:t>
      </w:r>
      <w:r>
        <w:tab/>
      </w:r>
    </w:p>
    <w:p w:rsidR="00500724" w:rsidRDefault="00F30FB8">
      <w:pPr>
        <w:pStyle w:val="Zkladntext100"/>
        <w:shd w:val="clear" w:color="auto" w:fill="auto"/>
        <w:ind w:firstLine="240"/>
      </w:pPr>
      <w:r>
        <w:t xml:space="preserve">Vidím kolem </w:t>
      </w:r>
      <w:r>
        <w:t>sebe tolik »pánů Matesů*, kteří zuby nehty drží svou pečínku a zase tolik »ubohých a holých*, kteří ani tu kůrčičku nemají. Chodí si ji jinam hledat, »penízky se rozbí</w:t>
      </w:r>
      <w:r>
        <w:softHyphen/>
        <w:t>hají*. A při tom se volá na ně: Žít jakkoliv, ale doma!</w:t>
      </w:r>
    </w:p>
    <w:p w:rsidR="00500724" w:rsidRDefault="00F30FB8">
      <w:pPr>
        <w:pStyle w:val="Zkladntext100"/>
        <w:shd w:val="clear" w:color="auto" w:fill="auto"/>
        <w:ind w:firstLine="240"/>
      </w:pPr>
      <w:r>
        <w:t>Je to pravda, ale ti »ubozí a ho</w:t>
      </w:r>
      <w:r>
        <w:t>lí* jsou nespokojeni. Slyšeli slova a slova a jsou jimi přesyceni. Skutky zůstaly daleko za slovy slibů.</w:t>
      </w:r>
    </w:p>
    <w:p w:rsidR="00500724" w:rsidRDefault="00F30FB8">
      <w:pPr>
        <w:pStyle w:val="Zkladntext100"/>
        <w:shd w:val="clear" w:color="auto" w:fill="auto"/>
        <w:ind w:firstLine="240"/>
      </w:pPr>
      <w:r>
        <w:t>Poslyšte, jak se nám jeví — jsem jedna z tisíců, ale vím, že mnoho lidí smýšlí podobně — slova a skutky.</w:t>
      </w:r>
    </w:p>
    <w:p w:rsidR="00500724" w:rsidRDefault="00F30FB8">
      <w:pPr>
        <w:pStyle w:val="Zkladntext100"/>
        <w:shd w:val="clear" w:color="auto" w:fill="auto"/>
        <w:ind w:firstLine="240"/>
      </w:pPr>
      <w:r>
        <w:t>Vdané ženy a pensisté měli ustoupit z veřejnýc</w:t>
      </w:r>
      <w:r>
        <w:t>h a státních služeb, aby uvolnili místa nezaměstnaným, zejména mužům. Prostě jsem si to vysvětlila tak, že zaměstnaní mužové založí nové rodiny, jejich ženy najdou svůj úkol v rodině a uvolní svoje bývalé místo zase mladším potřebným a tak se zadržené kolo</w:t>
      </w:r>
      <w:r>
        <w:t xml:space="preserve"> znova pomalu roztočí. Tak se alespoň o tom taky psalo. Vypočítávalo se, kolik tisíc míst se uvolní, i když se bude při</w:t>
      </w:r>
      <w:r>
        <w:softHyphen/>
        <w:t>hlížet! k majetkovým poměrům rodin, kde má žena ztratit práci.</w:t>
      </w:r>
    </w:p>
    <w:p w:rsidR="00500724" w:rsidRDefault="00F30FB8">
      <w:pPr>
        <w:pStyle w:val="Zkladntext30"/>
        <w:shd w:val="clear" w:color="auto" w:fill="auto"/>
        <w:spacing w:after="0" w:line="209" w:lineRule="auto"/>
        <w:ind w:firstLine="240"/>
        <w:rPr>
          <w:sz w:val="20"/>
          <w:szCs w:val="20"/>
        </w:rPr>
      </w:pPr>
      <w:r>
        <w:rPr>
          <w:sz w:val="20"/>
          <w:szCs w:val="20"/>
        </w:rPr>
        <w:t>Něco z toho se už stalo.</w:t>
      </w:r>
    </w:p>
    <w:p w:rsidR="00500724" w:rsidRDefault="00F30FB8">
      <w:pPr>
        <w:pStyle w:val="Zkladntext100"/>
        <w:shd w:val="clear" w:color="auto" w:fill="auto"/>
        <w:spacing w:line="178" w:lineRule="auto"/>
        <w:ind w:firstLine="220"/>
      </w:pPr>
      <w:r>
        <w:t>Je pravda, že způsob propouštění vdaných žen byl</w:t>
      </w:r>
      <w:r>
        <w:t xml:space="preserve"> tak náhlý, že mnohou ženu poranil do hloubi duše. Nejdříve přišel soupis, která žena odejde dobrovolně, která ne, dotaz po mužově příjmu, atd. — a pak k 1. únoru byl všem vdaným ženám ve státní službě zastaven plat, i těm, které svým příjmem sku</w:t>
      </w:r>
      <w:r>
        <w:softHyphen/>
        <w:t>tečně drž</w:t>
      </w:r>
      <w:r>
        <w:t>ely rodinu. Bylo z toho veliké rozhořčení a mnoho citových projevů, ale hned nabylo převahy počítání, uvažování, hledání důvodů a shon po přímluvách — teď se díváme na výsledky.</w:t>
      </w:r>
    </w:p>
    <w:p w:rsidR="00500724" w:rsidRDefault="00F30FB8">
      <w:pPr>
        <w:pStyle w:val="Zkladntext100"/>
        <w:shd w:val="clear" w:color="auto" w:fill="auto"/>
        <w:spacing w:line="178" w:lineRule="auto"/>
        <w:ind w:firstLine="220"/>
      </w:pPr>
      <w:r>
        <w:t>Jaké jsou? Někdy lidsky krásné. Znám učitelku — její muž je právník — která ře</w:t>
      </w:r>
      <w:r>
        <w:t>kla: Měli jsme s mužem takový příjem, že jsme přemýšleli, zač peníze utratit. Ráda přestanu učit, chci mít děti.</w:t>
      </w:r>
    </w:p>
    <w:p w:rsidR="00500724" w:rsidRDefault="00F30FB8">
      <w:pPr>
        <w:pStyle w:val="Zkladntext100"/>
        <w:shd w:val="clear" w:color="auto" w:fill="auto"/>
        <w:spacing w:line="178" w:lineRule="auto"/>
        <w:ind w:firstLine="220"/>
      </w:pPr>
      <w:r>
        <w:t>Bývalá poštovní úřednice, jejíž muž má v Brně něco málo přes tisíc K, mi řekla: První dva měsíce jsem byla zoufalá, jeden příjem mi nestačil. A</w:t>
      </w:r>
      <w:r>
        <w:t>le už umím lépe hospodařit a půjde to.</w:t>
      </w:r>
    </w:p>
    <w:p w:rsidR="00500724" w:rsidRDefault="00F30FB8">
      <w:pPr>
        <w:pStyle w:val="Zkladntext100"/>
        <w:shd w:val="clear" w:color="auto" w:fill="auto"/>
        <w:spacing w:line="178" w:lineRule="auto"/>
        <w:ind w:firstLine="220"/>
      </w:pPr>
      <w:r>
        <w:t>Jiná učitelka dovede dobře vést domácnost jen z mužova příjmu — je menším úředníkem — jen to ji mrzí, že musí zrušit příspěvek rodičům.</w:t>
      </w:r>
    </w:p>
    <w:p w:rsidR="00500724" w:rsidRDefault="00F30FB8">
      <w:pPr>
        <w:pStyle w:val="Zkladntext100"/>
        <w:shd w:val="clear" w:color="auto" w:fill="auto"/>
        <w:spacing w:line="178" w:lineRule="auto"/>
        <w:ind w:firstLine="220"/>
      </w:pPr>
      <w:r>
        <w:t xml:space="preserve">A je ještě víc takových žen, které dobře pochopily </w:t>
      </w:r>
      <w:r>
        <w:rPr>
          <w:rFonts w:ascii="Arial" w:eastAsia="Arial" w:hAnsi="Arial" w:cs="Arial"/>
          <w:b/>
          <w:bCs/>
          <w:sz w:val="17"/>
          <w:szCs w:val="17"/>
        </w:rPr>
        <w:t xml:space="preserve">a </w:t>
      </w:r>
      <w:r>
        <w:t>splnily svou národní povinno</w:t>
      </w:r>
      <w:r>
        <w:t>st. Odešly, když toho bylo třeba, aniž se cítily okradeny o svou ženskou rovnoprávnost. Jsou si vědomy</w:t>
      </w:r>
    </w:p>
    <w:p w:rsidR="00500724" w:rsidRDefault="00F30FB8">
      <w:pPr>
        <w:pStyle w:val="Zkladntext100"/>
        <w:numPr>
          <w:ilvl w:val="0"/>
          <w:numId w:val="94"/>
        </w:numPr>
        <w:shd w:val="clear" w:color="auto" w:fill="auto"/>
        <w:tabs>
          <w:tab w:val="left" w:pos="313"/>
        </w:tabs>
        <w:spacing w:line="178" w:lineRule="auto"/>
        <w:ind w:firstLine="0"/>
      </w:pPr>
      <w:r>
        <w:t>a jejich mužové taky — že dobré vedení domácnosti je cen</w:t>
      </w:r>
      <w:r>
        <w:softHyphen/>
        <w:t>nější než rozptýlené úřadování i znervosnělá, odbytá práce domácí. Chtějí mít děti a vychovat je</w:t>
      </w:r>
      <w:r>
        <w:t xml:space="preserve"> dobře. Ale mohou se i domnívat, že jejich maturitní vysvědčení má stále svou cenu a mohlo by být podkladem k žádosti o místo, kdyby vlast po</w:t>
      </w:r>
      <w:r>
        <w:softHyphen/>
        <w:t>třebovala zase ve zvýšené míře veřejné práce žen nebo kdyby mužův příjem se ztenčil. A konečně, zbývá-li těmto žen</w:t>
      </w:r>
      <w:r>
        <w:t>ám nyní volný čas, dovede ho namnoze nezištně dát ve prospěch dobré věci v Červeném kříži, v sociálních institucích, v Sokole a jinde.</w:t>
      </w:r>
    </w:p>
    <w:p w:rsidR="00500724" w:rsidRDefault="00F30FB8">
      <w:pPr>
        <w:pStyle w:val="Zkladntext100"/>
        <w:shd w:val="clear" w:color="auto" w:fill="auto"/>
        <w:spacing w:line="178" w:lineRule="auto"/>
        <w:ind w:firstLine="220"/>
      </w:pPr>
      <w:r>
        <w:t>Ale poznala jsem bohužel i jiné příklady. Dovolte mi. uvedu je, protože je tak těžko mlčet k té nespravedlnosti a sobectv</w:t>
      </w:r>
      <w:r>
        <w:t>í.</w:t>
      </w:r>
    </w:p>
    <w:p w:rsidR="00500724" w:rsidRDefault="00F30FB8">
      <w:pPr>
        <w:pStyle w:val="Zkladntext100"/>
        <w:shd w:val="clear" w:color="auto" w:fill="auto"/>
        <w:spacing w:line="178" w:lineRule="auto"/>
        <w:ind w:firstLine="220"/>
      </w:pPr>
      <w:r>
        <w:t>Muž odborný učitel, žena učitelka. Mají děvčátko, domác</w:t>
      </w:r>
      <w:r>
        <w:softHyphen/>
        <w:t xml:space="preserve">nost jim vede babička. Mají oba dohromady měsíčně přes 3000 K a kromě toho má muž ještě vedlejší příjem. Žena byla' k 1. únoru propuštěna, ale po třech měsících znovu zařazená do služby, a za ty 3 </w:t>
      </w:r>
      <w:r>
        <w:t>měsíce dostala dodatečně plat. Na tomtéž okresu byla současně propuštěna mladá učitelka, která se po čtyři roky občas výpomocné protloukala a která přišla teď matce domů. Matka a dvě dcery mají na měsíc asi 500 K. A ještě si posteskla shora uvedená paní, ž</w:t>
      </w:r>
      <w:r>
        <w:t>e učitelský sbor na jejich škole se k ní teď chová odmítavě. Divíte se tomu?</w:t>
      </w:r>
    </w:p>
    <w:p w:rsidR="00500724" w:rsidRDefault="00F30FB8">
      <w:pPr>
        <w:pStyle w:val="Zkladntext100"/>
        <w:shd w:val="clear" w:color="auto" w:fill="auto"/>
        <w:spacing w:line="178" w:lineRule="auto"/>
        <w:ind w:firstLine="220"/>
      </w:pPr>
      <w:r>
        <w:t>Znám takovou rodinu: rodiče — otec pensista — s dcerou úřednicí, obývají přízemí vlastního domu v Brně, v poschodí bydlí vdaná dcera. Její muž je lékař, ona odborná učitelka. Mají</w:t>
      </w:r>
      <w:r>
        <w:t xml:space="preserve"> jedno dítě, přepychově zařízený byt — jaké důvody našla tato paní, že zůstala ve svém zaměstnání?</w:t>
      </w:r>
    </w:p>
    <w:p w:rsidR="00500724" w:rsidRDefault="00F30FB8">
      <w:pPr>
        <w:pStyle w:val="Zkladntext100"/>
        <w:shd w:val="clear" w:color="auto" w:fill="auto"/>
        <w:spacing w:line="178" w:lineRule="auto"/>
        <w:ind w:firstLine="220"/>
      </w:pPr>
      <w:r>
        <w:t>Jiný příklad, skoro tentýž, jen s tím rozdílem, že muž je inženýrem, žena profesorkou a mají dvě děti. Mužovo místo prý není jisté —■ ale už je v něm několik</w:t>
      </w:r>
      <w:r>
        <w:t xml:space="preserve"> roků. Vidíte, jak se »pan Mates bojí o svou pečínku*?</w:t>
      </w:r>
    </w:p>
    <w:p w:rsidR="00500724" w:rsidRDefault="00F30FB8">
      <w:pPr>
        <w:pStyle w:val="Zkladntext100"/>
        <w:shd w:val="clear" w:color="auto" w:fill="auto"/>
        <w:spacing w:line="178" w:lineRule="auto"/>
        <w:ind w:firstLine="220"/>
      </w:pPr>
      <w:r>
        <w:t>A ještě dvě paní znám, které se jako nevěsty chlubily, jak dobře situované muže si berou, jak pěkné mají postavení —■ jedna si vzala inženýra v zemských službách, druhá úředníka</w:t>
      </w:r>
    </w:p>
    <w:p w:rsidR="00500724" w:rsidRDefault="00F30FB8">
      <w:pPr>
        <w:pStyle w:val="Zkladntext100"/>
        <w:numPr>
          <w:ilvl w:val="0"/>
          <w:numId w:val="94"/>
        </w:numPr>
        <w:shd w:val="clear" w:color="auto" w:fill="auto"/>
        <w:tabs>
          <w:tab w:val="left" w:pos="313"/>
        </w:tabs>
        <w:spacing w:line="178" w:lineRule="auto"/>
        <w:ind w:firstLine="0"/>
      </w:pPr>
      <w:r>
        <w:t>po svatbě si své domácn</w:t>
      </w:r>
      <w:r>
        <w:t>osti co nejlépe zařizovaly — a teď, když měly opustit svoje zaměstnání, hovořily svým známým pravý opak: malý příjem, dluhy, živí rodiče (i když tito mají třeba vlastní dům a starobní pojištění), nemohli prý by být živi, atd.</w:t>
      </w:r>
    </w:p>
    <w:p w:rsidR="00500724" w:rsidRDefault="00F30FB8">
      <w:pPr>
        <w:pStyle w:val="Zkladntext100"/>
        <w:shd w:val="clear" w:color="auto" w:fill="auto"/>
        <w:spacing w:line="178" w:lineRule="auto"/>
        <w:ind w:firstLine="220"/>
      </w:pPr>
      <w:r>
        <w:t>To jsou příklady z okruhu mých</w:t>
      </w:r>
      <w:r>
        <w:t xml:space="preserve"> nečetných známých. Kolik by se našlo takových příkladů sobeckosti, kdyby nás mluvilo víc?</w:t>
      </w:r>
    </w:p>
    <w:p w:rsidR="00500724" w:rsidRDefault="00F30FB8">
      <w:pPr>
        <w:pStyle w:val="Zkladntext100"/>
        <w:shd w:val="clear" w:color="auto" w:fill="auto"/>
        <w:spacing w:line="178" w:lineRule="auto"/>
        <w:ind w:firstLine="220"/>
      </w:pPr>
      <w:r>
        <w:t>A nejsou to smyšlenky. Znám skutečně tyto ženy, o kterých' píšu.</w:t>
      </w:r>
    </w:p>
    <w:p w:rsidR="00500724" w:rsidRDefault="00F30FB8">
      <w:pPr>
        <w:pStyle w:val="Zkladntext100"/>
        <w:shd w:val="clear" w:color="auto" w:fill="auto"/>
        <w:spacing w:line="178" w:lineRule="auto"/>
        <w:ind w:firstLine="220"/>
      </w:pPr>
      <w:r>
        <w:t xml:space="preserve">Když jsem se dověděla, že ta či ona bohatá paní </w:t>
      </w:r>
      <w:r>
        <w:rPr>
          <w:lang w:val="en-US" w:eastAsia="en-US" w:bidi="en-US"/>
        </w:rPr>
        <w:t xml:space="preserve">neode'sla </w:t>
      </w:r>
      <w:r>
        <w:t>ze svého zaměstnání, bylo mi tak hořko! Vž</w:t>
      </w:r>
      <w:r>
        <w:t>dy jsme se utěšovali: Semkneme se dohromady, pomůžeme si navzájem, zaměstnáme všecky svoje propuštěné hraničáře, ty svoje nej</w:t>
      </w:r>
      <w:r>
        <w:softHyphen/>
        <w:t>lepší lidi — a teď z'išťujeme tu smutnou skutečnost, že mno</w:t>
      </w:r>
      <w:r>
        <w:softHyphen/>
        <w:t>hým je zase jen vlastní měšec první povinností. Že lidé nám chodí prac</w:t>
      </w:r>
      <w:r>
        <w:t>ovat do ciziny, jako když se ty peníze rozkutálejí.</w:t>
      </w:r>
    </w:p>
    <w:p w:rsidR="00500724" w:rsidRDefault="00F30FB8">
      <w:pPr>
        <w:pStyle w:val="Zkladntext100"/>
        <w:shd w:val="clear" w:color="auto" w:fill="auto"/>
        <w:spacing w:line="178" w:lineRule="auto"/>
        <w:ind w:firstLine="220"/>
      </w:pPr>
      <w:r>
        <w:t>Můj muž má v dílně mezi dělnicemi učitelku z postoupeného území a dvě středoškolačky s maturitou, které pracují za 1.30 K na hodinu. Nebylo pro ně místa, vzaly práci jakoukoliv. A vedle si postavte rodinu</w:t>
      </w:r>
      <w:r>
        <w:t>, v níž se sejdou k prvnímu čtyři pěkné příjmy.</w:t>
      </w:r>
    </w:p>
    <w:p w:rsidR="00500724" w:rsidRDefault="00F30FB8">
      <w:pPr>
        <w:pStyle w:val="Zkladntext100"/>
        <w:shd w:val="clear" w:color="auto" w:fill="auto"/>
        <w:spacing w:line="178" w:lineRule="auto"/>
        <w:ind w:firstLine="220"/>
      </w:pPr>
      <w:r>
        <w:t>Já tu píšu o lidech úřednického stavu, ke kterým mám nej</w:t>
      </w:r>
      <w:r>
        <w:softHyphen/>
        <w:t>blíž. Z vlastní zkušenosti mohu přibližně odhadnout jejich’ příjmy i vydání a řeknu si: Hle, tito ukládají přebytky, ale drží se sobecky svých míst. za</w:t>
      </w:r>
      <w:r>
        <w:t>tím co studovaná , mládež pra</w:t>
      </w:r>
      <w:r>
        <w:softHyphen/>
        <w:t>cuje v továrnách. Tam ovšem zabírá místa dělníkům^ a proto tito odcházejí z domova. Je 1.30 K na hodinu skutečně plat* z kterého může být člověk živ? Stačí zemědělskému dělníku 10 až 12 K denně, aby uživil rodinu?</w:t>
      </w:r>
    </w:p>
    <w:p w:rsidR="00500724" w:rsidRDefault="00F30FB8">
      <w:pPr>
        <w:pStyle w:val="Zkladntext100"/>
        <w:shd w:val="clear" w:color="auto" w:fill="auto"/>
        <w:tabs>
          <w:tab w:val="left" w:pos="3398"/>
        </w:tabs>
        <w:spacing w:line="178" w:lineRule="auto"/>
        <w:ind w:firstLine="220"/>
        <w:sectPr w:rsidR="00500724">
          <w:footnotePr>
            <w:numFmt w:val="chicago"/>
            <w:numRestart w:val="eachPage"/>
          </w:footnotePr>
          <w:pgSz w:w="11909" w:h="16834"/>
          <w:pgMar w:top="1476" w:right="915" w:bottom="820" w:left="606" w:header="0" w:footer="3" w:gutter="0"/>
          <w:cols w:num="2" w:space="137"/>
          <w:noEndnote/>
          <w:docGrid w:linePitch="360"/>
        </w:sectPr>
      </w:pPr>
      <w:r>
        <w:t xml:space="preserve">Myslím, že nemáme dost lidí vnitřně svobodných. Zejména' mezi bohatými jsou úplní otroci své touhy </w:t>
      </w:r>
      <w:r>
        <w:rPr>
          <w:smallCaps/>
        </w:rPr>
        <w:t>do</w:t>
      </w:r>
      <w:r>
        <w:t xml:space="preserve"> majetku. Jinak si ani nelze vysvětlit jejich počínání. Když už té lidské spra</w:t>
      </w:r>
      <w:r>
        <w:softHyphen/>
        <w:t>vedlnosti není. ať promluví příslušné úřady žel</w:t>
      </w:r>
      <w:r>
        <w:t>eznou nutností, stejnou pro všeckyi</w:t>
      </w:r>
      <w:r>
        <w:tab/>
        <w:t>Věra Zemlíkova</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58" w:line="14" w:lineRule="exact"/>
      </w:pPr>
    </w:p>
    <w:p w:rsidR="00500724" w:rsidRDefault="00500724">
      <w:pPr>
        <w:spacing w:line="14" w:lineRule="exact"/>
        <w:sectPr w:rsidR="00500724">
          <w:footnotePr>
            <w:numFmt w:val="chicago"/>
            <w:numRestart w:val="eachPage"/>
          </w:footnotePr>
          <w:pgSz w:w="11909" w:h="16834"/>
          <w:pgMar w:top="826" w:right="574" w:bottom="621" w:left="910"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30160" behindDoc="0" locked="0" layoutInCell="1" allowOverlap="1">
                <wp:simplePos x="0" y="0"/>
                <wp:positionH relativeFrom="page">
                  <wp:posOffset>2272030</wp:posOffset>
                </wp:positionH>
                <wp:positionV relativeFrom="paragraph">
                  <wp:posOffset>12700</wp:posOffset>
                </wp:positionV>
                <wp:extent cx="3194050" cy="777240"/>
                <wp:effectExtent l="0" t="0" r="0" b="0"/>
                <wp:wrapTopAndBottom/>
                <wp:docPr id="783" name="Shape 783"/>
                <wp:cNvGraphicFramePr/>
                <a:graphic xmlns:a="http://schemas.openxmlformats.org/drawingml/2006/main">
                  <a:graphicData uri="http://schemas.microsoft.com/office/word/2010/wordprocessingShape">
                    <wps:wsp>
                      <wps:cNvSpPr txBox="1"/>
                      <wps:spPr>
                        <a:xfrm>
                          <a:off x="0" y="0"/>
                          <a:ext cx="3194050" cy="777240"/>
                        </a:xfrm>
                        <a:prstGeom prst="rect">
                          <a:avLst/>
                        </a:prstGeom>
                        <a:noFill/>
                      </wps:spPr>
                      <wps:txbx>
                        <w:txbxContent>
                          <w:p w:rsidR="00500724" w:rsidRDefault="00F30FB8">
                            <w:pPr>
                              <w:pStyle w:val="Zkladntext1"/>
                              <w:shd w:val="clear" w:color="auto" w:fill="auto"/>
                              <w:spacing w:line="257" w:lineRule="auto"/>
                              <w:ind w:firstLine="0"/>
                              <w:jc w:val="center"/>
                            </w:pPr>
                            <w:r>
                              <w:rPr>
                                <w:b/>
                                <w:bCs/>
                              </w:rPr>
                              <w:t>DOBA</w:t>
                            </w:r>
                          </w:p>
                          <w:p w:rsidR="00500724" w:rsidRDefault="00F30FB8">
                            <w:pPr>
                              <w:pStyle w:val="Zkladntext1"/>
                              <w:shd w:val="clear" w:color="auto" w:fill="auto"/>
                              <w:spacing w:line="257" w:lineRule="auto"/>
                              <w:ind w:firstLine="180"/>
                            </w:pPr>
                            <w:r>
                              <w:rPr>
                                <w:b/>
                                <w:bCs/>
                              </w:rPr>
                              <w:t>Tato doba by nebyla nejkrásnější, kdyby nebyla dobou, která nás stojí nejvíce; a náš život by byl méně krásný, kdyby nebyl takovou tvrdou a takovou neustálou zkoušk</w:t>
                            </w:r>
                            <w:r>
                              <w:rPr>
                                <w:b/>
                                <w:bCs/>
                              </w:rPr>
                              <w:t>ou.</w:t>
                            </w:r>
                          </w:p>
                          <w:p w:rsidR="00500724" w:rsidRDefault="00F30FB8">
                            <w:pPr>
                              <w:pStyle w:val="Zkladntext1"/>
                              <w:shd w:val="clear" w:color="auto" w:fill="auto"/>
                              <w:ind w:firstLine="0"/>
                              <w:jc w:val="right"/>
                              <w:rPr>
                                <w:sz w:val="20"/>
                                <w:szCs w:val="20"/>
                              </w:rPr>
                            </w:pPr>
                            <w:r>
                              <w:rPr>
                                <w:i/>
                                <w:iCs/>
                                <w:sz w:val="20"/>
                                <w:szCs w:val="20"/>
                              </w:rPr>
                              <w:t>André Suarés</w:t>
                            </w:r>
                          </w:p>
                        </w:txbxContent>
                      </wps:txbx>
                      <wps:bodyPr lIns="0" tIns="0" rIns="0" bIns="0">
                        <a:spAutoFit/>
                      </wps:bodyPr>
                    </wps:wsp>
                  </a:graphicData>
                </a:graphic>
              </wp:anchor>
            </w:drawing>
          </mc:Choice>
          <mc:Fallback>
            <w:pict>
              <v:shape id="_x0000_s1809" type="#_x0000_t202" style="position:absolute;margin-left:178.90000000000001pt;margin-top:1.pt;width:251.5pt;height:61.200000000000003pt;z-index:-125828593;mso-wrap-distance-left:0;mso-wrap-distance-right:0;mso-position-horizontal-relative:page" filled="f" stroked="f">
                <v:textbox style="mso-fit-shape-to-text:t" inset="0,0,0,0">
                  <w:txbxContent>
                    <w:p>
                      <w:pPr>
                        <w:pStyle w:val="Style18"/>
                        <w:keepNext w:val="0"/>
                        <w:keepLines w:val="0"/>
                        <w:widowControl w:val="0"/>
                        <w:shd w:val="clear" w:color="auto" w:fill="auto"/>
                        <w:bidi w:val="0"/>
                        <w:spacing w:before="0" w:after="0" w:line="257" w:lineRule="auto"/>
                        <w:ind w:left="0" w:right="0" w:firstLine="0"/>
                        <w:jc w:val="center"/>
                      </w:pPr>
                      <w:r>
                        <w:rPr>
                          <w:b/>
                          <w:bCs/>
                          <w:color w:val="000000"/>
                          <w:spacing w:val="0"/>
                          <w:w w:val="100"/>
                          <w:position w:val="0"/>
                          <w:shd w:val="clear" w:color="auto" w:fill="auto"/>
                          <w:lang w:val="cs-CZ" w:eastAsia="cs-CZ" w:bidi="cs-CZ"/>
                        </w:rPr>
                        <w:t>DOBA</w:t>
                      </w:r>
                    </w:p>
                    <w:p>
                      <w:pPr>
                        <w:pStyle w:val="Style18"/>
                        <w:keepNext w:val="0"/>
                        <w:keepLines w:val="0"/>
                        <w:widowControl w:val="0"/>
                        <w:shd w:val="clear" w:color="auto" w:fill="auto"/>
                        <w:bidi w:val="0"/>
                        <w:spacing w:before="0" w:after="0" w:line="257" w:lineRule="auto"/>
                        <w:ind w:left="0" w:right="0" w:firstLine="180"/>
                      </w:pPr>
                      <w:r>
                        <w:rPr>
                          <w:b/>
                          <w:bCs/>
                          <w:color w:val="000000"/>
                          <w:spacing w:val="0"/>
                          <w:w w:val="100"/>
                          <w:position w:val="0"/>
                          <w:shd w:val="clear" w:color="auto" w:fill="auto"/>
                          <w:lang w:val="cs-CZ" w:eastAsia="cs-CZ" w:bidi="cs-CZ"/>
                        </w:rPr>
                        <w:t>Tato doba by nebyla nejkrásnější, kdyby nebyla dobou, která nás stojí nejvíce; a náš život by byl méně krásný, kdyby nebyl takovou tvrdou a takovou neustálou zkouškou.</w:t>
                      </w:r>
                    </w:p>
                    <w:p>
                      <w:pPr>
                        <w:pStyle w:val="Style18"/>
                        <w:keepNext w:val="0"/>
                        <w:keepLines w:val="0"/>
                        <w:widowControl w:val="0"/>
                        <w:shd w:val="clear" w:color="auto" w:fill="auto"/>
                        <w:bidi w:val="0"/>
                        <w:spacing w:before="0" w:after="0" w:line="240" w:lineRule="auto"/>
                        <w:ind w:left="0" w:right="0" w:firstLine="0"/>
                        <w:jc w:val="right"/>
                        <w:rPr>
                          <w:sz w:val="20"/>
                          <w:szCs w:val="20"/>
                        </w:rPr>
                      </w:pPr>
                      <w:r>
                        <w:rPr>
                          <w:i/>
                          <w:iCs/>
                          <w:color w:val="000000"/>
                          <w:spacing w:val="0"/>
                          <w:w w:val="100"/>
                          <w:position w:val="0"/>
                          <w:sz w:val="20"/>
                          <w:szCs w:val="20"/>
                          <w:shd w:val="clear" w:color="auto" w:fill="auto"/>
                          <w:lang w:val="cs-CZ" w:eastAsia="cs-CZ" w:bidi="cs-CZ"/>
                        </w:rPr>
                        <w:t>André Suarés</w:t>
                      </w:r>
                    </w:p>
                  </w:txbxContent>
                </v:textbox>
                <w10:wrap type="topAndBottom" anchorx="page"/>
              </v:shape>
            </w:pict>
          </mc:Fallback>
        </mc:AlternateContent>
      </w:r>
    </w:p>
    <w:p w:rsidR="00500724" w:rsidRDefault="00F30FB8">
      <w:pPr>
        <w:pStyle w:val="Zkladntext1"/>
        <w:shd w:val="clear" w:color="auto" w:fill="auto"/>
        <w:spacing w:after="80" w:line="202" w:lineRule="auto"/>
        <w:ind w:firstLine="0"/>
        <w:jc w:val="left"/>
        <w:rPr>
          <w:sz w:val="20"/>
          <w:szCs w:val="20"/>
        </w:rPr>
      </w:pPr>
      <w:r>
        <w:rPr>
          <w:i/>
          <w:iCs/>
          <w:sz w:val="20"/>
          <w:szCs w:val="20"/>
        </w:rPr>
        <w:t>Vladimír Holan:</w:t>
      </w:r>
    </w:p>
    <w:p w:rsidR="00500724" w:rsidRDefault="00F30FB8">
      <w:pPr>
        <w:pStyle w:val="Zkladntext1"/>
        <w:shd w:val="clear" w:color="auto" w:fill="auto"/>
        <w:spacing w:after="80" w:line="211" w:lineRule="auto"/>
        <w:ind w:firstLine="0"/>
        <w:jc w:val="left"/>
      </w:pPr>
      <w:r>
        <w:rPr>
          <w:b/>
          <w:bCs/>
        </w:rPr>
        <w:t>SEN</w:t>
      </w:r>
    </w:p>
    <w:p w:rsidR="00500724" w:rsidRDefault="00F30FB8">
      <w:pPr>
        <w:pStyle w:val="Zkladntext1"/>
        <w:shd w:val="clear" w:color="auto" w:fill="auto"/>
        <w:spacing w:line="180" w:lineRule="auto"/>
        <w:ind w:left="2120" w:hanging="2120"/>
        <w:jc w:val="left"/>
        <w:rPr>
          <w:sz w:val="20"/>
          <w:szCs w:val="20"/>
        </w:rPr>
      </w:pPr>
      <w:r>
        <w:rPr>
          <w:i/>
          <w:iCs/>
          <w:sz w:val="20"/>
          <w:szCs w:val="20"/>
        </w:rPr>
        <w:t>To, co by v rakvi součkem bylo,</w:t>
      </w:r>
    </w:p>
    <w:p w:rsidR="00500724" w:rsidRDefault="00F30FB8">
      <w:pPr>
        <w:pStyle w:val="Zkladntext1"/>
        <w:shd w:val="clear" w:color="auto" w:fill="auto"/>
        <w:spacing w:line="180" w:lineRule="auto"/>
        <w:ind w:firstLine="0"/>
        <w:jc w:val="left"/>
        <w:rPr>
          <w:sz w:val="20"/>
          <w:szCs w:val="20"/>
        </w:rPr>
      </w:pPr>
      <w:r>
        <w:rPr>
          <w:i/>
          <w:iCs/>
          <w:sz w:val="20"/>
          <w:szCs w:val="20"/>
        </w:rPr>
        <w:t>jak luna tvrdne nad</w:t>
      </w:r>
    </w:p>
    <w:p w:rsidR="00500724" w:rsidRDefault="00F30FB8">
      <w:pPr>
        <w:pStyle w:val="Zkladntext1"/>
        <w:shd w:val="clear" w:color="auto" w:fill="auto"/>
        <w:spacing w:line="202" w:lineRule="auto"/>
        <w:ind w:firstLine="0"/>
        <w:jc w:val="right"/>
        <w:rPr>
          <w:sz w:val="20"/>
          <w:szCs w:val="20"/>
        </w:rPr>
      </w:pPr>
      <w:r>
        <w:rPr>
          <w:i/>
          <w:iCs/>
          <w:sz w:val="20"/>
          <w:szCs w:val="20"/>
        </w:rPr>
        <w:t>městem....</w:t>
      </w:r>
    </w:p>
    <w:p w:rsidR="00500724" w:rsidRDefault="00F30FB8">
      <w:pPr>
        <w:pStyle w:val="Zkladntext1"/>
        <w:shd w:val="clear" w:color="auto" w:fill="auto"/>
        <w:spacing w:after="140" w:line="202" w:lineRule="auto"/>
        <w:ind w:firstLine="0"/>
        <w:jc w:val="left"/>
        <w:rPr>
          <w:sz w:val="20"/>
          <w:szCs w:val="20"/>
        </w:rPr>
      </w:pPr>
      <w:r>
        <w:rPr>
          <w:i/>
          <w:iCs/>
          <w:sz w:val="20"/>
          <w:szCs w:val="20"/>
        </w:rPr>
        <w:t xml:space="preserve">Jen paprskům, a větru zbylo ležatým písmem psáti v zem o všem, co nebe nepřijímá, z čeho je boží ruce zima, té ruce, jež má politi benzinem dějin blízké </w:t>
      </w:r>
      <w:r>
        <w:rPr>
          <w:i/>
          <w:iCs/>
          <w:sz w:val="20"/>
          <w:szCs w:val="20"/>
        </w:rPr>
        <w:t>časy a lupou hněvu sžehnout asi hlad, lup a krveprolití.</w:t>
      </w:r>
    </w:p>
    <w:p w:rsidR="00500724" w:rsidRDefault="00F30FB8">
      <w:pPr>
        <w:pStyle w:val="Zkladntext1"/>
        <w:shd w:val="clear" w:color="auto" w:fill="auto"/>
        <w:spacing w:line="202" w:lineRule="auto"/>
        <w:ind w:firstLine="0"/>
        <w:jc w:val="left"/>
        <w:rPr>
          <w:sz w:val="20"/>
          <w:szCs w:val="20"/>
        </w:rPr>
      </w:pPr>
      <w:r>
        <w:rPr>
          <w:i/>
          <w:iCs/>
          <w:sz w:val="20"/>
          <w:szCs w:val="20"/>
        </w:rPr>
        <w:t>Z děr orákula fičí k tomu rady, jak skvrny pochyb</w:t>
      </w:r>
    </w:p>
    <w:p w:rsidR="00500724" w:rsidRDefault="00F30FB8">
      <w:pPr>
        <w:pStyle w:val="Zkladntext1"/>
        <w:shd w:val="clear" w:color="auto" w:fill="auto"/>
        <w:spacing w:line="202" w:lineRule="auto"/>
        <w:ind w:firstLine="0"/>
        <w:jc w:val="right"/>
        <w:rPr>
          <w:sz w:val="20"/>
          <w:szCs w:val="20"/>
        </w:rPr>
      </w:pPr>
      <w:r>
        <w:rPr>
          <w:i/>
          <w:iCs/>
          <w:sz w:val="20"/>
          <w:szCs w:val="20"/>
        </w:rPr>
        <w:t>smýt,</w:t>
      </w:r>
    </w:p>
    <w:p w:rsidR="00500724" w:rsidRDefault="00F30FB8">
      <w:pPr>
        <w:pStyle w:val="Zkladntext1"/>
        <w:shd w:val="clear" w:color="auto" w:fill="auto"/>
        <w:spacing w:line="202" w:lineRule="auto"/>
        <w:ind w:firstLine="0"/>
        <w:jc w:val="left"/>
        <w:rPr>
          <w:sz w:val="20"/>
          <w:szCs w:val="20"/>
        </w:rPr>
      </w:pPr>
      <w:r>
        <w:rPr>
          <w:i/>
          <w:iCs/>
          <w:sz w:val="20"/>
          <w:szCs w:val="20"/>
        </w:rPr>
        <w:t>jak ucpat uši vatou hromů a lebečně se uzavřít, jak chránit mythy semenité pod Klinou veršů v hloubce,</w:t>
      </w:r>
    </w:p>
    <w:p w:rsidR="00500724" w:rsidRDefault="00F30FB8">
      <w:pPr>
        <w:pStyle w:val="Zkladntext1"/>
        <w:shd w:val="clear" w:color="auto" w:fill="auto"/>
        <w:spacing w:line="202" w:lineRule="auto"/>
        <w:ind w:firstLine="0"/>
        <w:jc w:val="right"/>
        <w:rPr>
          <w:sz w:val="20"/>
          <w:szCs w:val="20"/>
        </w:rPr>
      </w:pPr>
      <w:r>
        <w:rPr>
          <w:i/>
          <w:iCs/>
          <w:sz w:val="20"/>
          <w:szCs w:val="20"/>
        </w:rPr>
        <w:t>skryté</w:t>
      </w:r>
    </w:p>
    <w:p w:rsidR="00500724" w:rsidRDefault="00F30FB8">
      <w:pPr>
        <w:pStyle w:val="Zkladntext1"/>
        <w:shd w:val="clear" w:color="auto" w:fill="auto"/>
        <w:spacing w:line="202" w:lineRule="auto"/>
        <w:ind w:firstLine="0"/>
        <w:jc w:val="left"/>
        <w:rPr>
          <w:sz w:val="20"/>
          <w:szCs w:val="20"/>
        </w:rPr>
      </w:pPr>
      <w:r>
        <w:rPr>
          <w:i/>
          <w:iCs/>
          <w:sz w:val="20"/>
          <w:szCs w:val="20"/>
        </w:rPr>
        <w:t>všemu, co nemá prvenství svobody,</w:t>
      </w:r>
      <w:r>
        <w:rPr>
          <w:i/>
          <w:iCs/>
          <w:sz w:val="20"/>
          <w:szCs w:val="20"/>
        </w:rPr>
        <w:t xml:space="preserve"> touhy, vyšších zvaní k velkému světa zživých-</w:t>
      </w:r>
    </w:p>
    <w:p w:rsidR="00500724" w:rsidRDefault="00F30FB8">
      <w:pPr>
        <w:pStyle w:val="Zkladntext1"/>
        <w:shd w:val="clear" w:color="auto" w:fill="auto"/>
        <w:spacing w:line="202" w:lineRule="auto"/>
        <w:ind w:firstLine="0"/>
        <w:jc w:val="right"/>
        <w:rPr>
          <w:sz w:val="20"/>
          <w:szCs w:val="20"/>
        </w:rPr>
      </w:pPr>
      <w:r>
        <w:rPr>
          <w:i/>
          <w:iCs/>
          <w:sz w:val="20"/>
          <w:szCs w:val="20"/>
        </w:rPr>
        <w:t>vstánl</w:t>
      </w:r>
    </w:p>
    <w:p w:rsidR="00500724" w:rsidRDefault="00F30FB8">
      <w:pPr>
        <w:pStyle w:val="Zkladntext1"/>
        <w:shd w:val="clear" w:color="auto" w:fill="auto"/>
        <w:spacing w:after="80" w:line="202" w:lineRule="auto"/>
        <w:ind w:firstLine="0"/>
        <w:jc w:val="left"/>
        <w:rPr>
          <w:sz w:val="20"/>
          <w:szCs w:val="20"/>
        </w:rPr>
      </w:pPr>
      <w:r>
        <w:rPr>
          <w:i/>
          <w:iCs/>
          <w:sz w:val="20"/>
          <w:szCs w:val="20"/>
        </w:rPr>
        <w:t>při rythmu milosrdenství.</w:t>
      </w:r>
    </w:p>
    <w:p w:rsidR="00500724" w:rsidRDefault="00F30FB8">
      <w:pPr>
        <w:pStyle w:val="Zkladntext40"/>
        <w:shd w:val="clear" w:color="auto" w:fill="auto"/>
        <w:spacing w:after="160"/>
        <w:ind w:firstLine="180"/>
      </w:pPr>
      <w:r>
        <w:t>Úryvek z básnické skladby Sen. Jež vyšla jako svazek Čes</w:t>
      </w:r>
      <w:r>
        <w:softHyphen/>
      </w:r>
      <w:r>
        <w:rPr>
          <w:u w:val="single"/>
        </w:rPr>
        <w:t>kých básní.</w:t>
      </w:r>
    </w:p>
    <w:p w:rsidR="00500724" w:rsidRDefault="00F30FB8">
      <w:pPr>
        <w:pStyle w:val="Nadpis120"/>
        <w:shd w:val="clear" w:color="auto" w:fill="auto"/>
        <w:spacing w:after="80"/>
        <w:ind w:left="0"/>
      </w:pPr>
      <w:bookmarkStart w:id="777" w:name="bookmark776"/>
      <w:r>
        <w:rPr>
          <w:rFonts w:ascii="Arial" w:eastAsia="Arial" w:hAnsi="Arial" w:cs="Arial"/>
        </w:rPr>
        <w:t>POZNÁMKY</w:t>
      </w:r>
      <w:bookmarkEnd w:id="777"/>
    </w:p>
    <w:p w:rsidR="00500724" w:rsidRDefault="00F30FB8">
      <w:pPr>
        <w:pStyle w:val="Zkladntext40"/>
        <w:shd w:val="clear" w:color="auto" w:fill="auto"/>
        <w:spacing w:after="80" w:line="192" w:lineRule="auto"/>
      </w:pPr>
      <w:r>
        <w:rPr>
          <w:b/>
          <w:bCs/>
          <w:sz w:val="16"/>
          <w:szCs w:val="16"/>
        </w:rPr>
        <w:t xml:space="preserve">AMBROISE VOLLARD ZEMŘEL </w:t>
      </w:r>
      <w:r>
        <w:t>V těchto dnech, 22. Července, ze</w:t>
      </w:r>
      <w:r>
        <w:softHyphen/>
        <w:t xml:space="preserve">mřel </w:t>
      </w:r>
      <w:r>
        <w:rPr>
          <w:b/>
          <w:bCs/>
        </w:rPr>
        <w:t xml:space="preserve">v </w:t>
      </w:r>
      <w:r>
        <w:t>Paříži, podlehnuv násled</w:t>
      </w:r>
      <w:r>
        <w:softHyphen/>
        <w:t xml:space="preserve">kům </w:t>
      </w:r>
      <w:r>
        <w:t>automobilového zranění, Ambroise Vollard, známý a pro</w:t>
      </w:r>
      <w:r>
        <w:softHyphen/>
        <w:t>slulý obchodník s obrazy i Jejich vášnivý sběratel. Lze říci, že s ním odchází Jedna z nejoriginál</w:t>
      </w:r>
      <w:r>
        <w:softHyphen/>
        <w:t>nějších postav umělecké Paříže, velký přítel malířů, vyznavač i ctitel Jejich uměni a zároveň i Jedineč</w:t>
      </w:r>
      <w:r>
        <w:t>ný pamětník slavných bi</w:t>
      </w:r>
      <w:r>
        <w:softHyphen/>
        <w:t>tev, které vybojovali Jak velel je</w:t>
      </w:r>
      <w:r>
        <w:softHyphen/>
        <w:t>dinci od Cézanna až po Picassa a Utrilla, tak 1 umělecké celé skupiny, sdružené pod štítem jed</w:t>
      </w:r>
      <w:r>
        <w:softHyphen/>
        <w:t>notlivých směrů. Jako byl impre- sionallsmus, který mezi své bo</w:t>
      </w:r>
      <w:r>
        <w:softHyphen/>
        <w:t>jovníky nejstatečnější, smi prá</w:t>
      </w:r>
      <w:r>
        <w:softHyphen/>
        <w:t>vem po</w:t>
      </w:r>
      <w:r>
        <w:t>čítati nemalíře Ambroise Vollarda, prvního sběratele im- presionistů a prvního pořadatele jejich výstav. Ten průkopnický podíl, který má Vollard — v je</w:t>
      </w:r>
      <w:r>
        <w:softHyphen/>
        <w:t>ho malém krámku v pařížské ulici Laííitte nalezly na dlouhý čas svůj domov nejskvělejší kusy umění Cézan</w:t>
      </w:r>
      <w:r>
        <w:t>nova, Manetova, Re- nolrova, obrazy Sisleyovy, Gan- glnovy. Van Goghovy, Picassovy a Utrlllovy — na konečném uznáni a vítězství moderny i váš- nivost s Jakou se bil za své mi</w:t>
      </w:r>
      <w:r>
        <w:softHyphen/>
        <w:t>láčky, dosvědčuje, že nebyl sbě</w:t>
      </w:r>
      <w:r>
        <w:softHyphen/>
        <w:t>ratelem Jen z profese, nýbrž pře</w:t>
      </w:r>
      <w:r>
        <w:softHyphen/>
        <w:t>devším z nesmírn</w:t>
      </w:r>
      <w:r>
        <w:t>é lásky k umění, z vášně 1 touhy po kráse, Jak se mu zjevovala v obrazech Pegaso</w:t>
      </w:r>
      <w:r>
        <w:softHyphen/>
        <w:t>vých, ve výtvorech Rodinových nebo na svítivých plátnech Renol- rových. Měl prostě k uměni vztah toho, který tuši jeho velkou silu</w:t>
      </w:r>
    </w:p>
    <w:p w:rsidR="00500724" w:rsidRDefault="00F30FB8">
      <w:pPr>
        <w:pStyle w:val="Zkladntext40"/>
        <w:shd w:val="clear" w:color="auto" w:fill="auto"/>
        <w:spacing w:after="100" w:line="190" w:lineRule="auto"/>
      </w:pPr>
      <w:r>
        <w:t>a moc a sloužil mu s příkladnou oddaností je</w:t>
      </w:r>
      <w:r>
        <w:t>ho zasvěceného znal</w:t>
      </w:r>
      <w:r>
        <w:softHyphen/>
        <w:t>ce, který dovede být nad to i Jeho tlumočníkem a propagátorem. A tak mnoho z velkých zjevů mo</w:t>
      </w:r>
      <w:r>
        <w:softHyphen/>
        <w:t xml:space="preserve">derní Francie. Cézanne, </w:t>
      </w:r>
      <w:r>
        <w:rPr>
          <w:lang w:val="en-US" w:eastAsia="en-US" w:bidi="en-US"/>
        </w:rPr>
        <w:t xml:space="preserve">Renoir. Degas, </w:t>
      </w:r>
      <w:r>
        <w:t>o nichž ostatně napsal po</w:t>
      </w:r>
      <w:r>
        <w:softHyphen/>
        <w:t xml:space="preserve">zoruhodné a cenné knihy, a </w:t>
      </w:r>
      <w:r>
        <w:rPr>
          <w:rFonts w:ascii="Georgia" w:eastAsia="Georgia" w:hAnsi="Georgia" w:cs="Georgia"/>
          <w:b/>
          <w:bCs/>
          <w:sz w:val="13"/>
          <w:szCs w:val="13"/>
        </w:rPr>
        <w:t xml:space="preserve">s </w:t>
      </w:r>
      <w:r>
        <w:t>ni</w:t>
      </w:r>
      <w:r>
        <w:softHyphen/>
        <w:t xml:space="preserve">mi mnoho jiných a jiných jako </w:t>
      </w:r>
      <w:r>
        <w:rPr>
          <w:lang w:val="en-US" w:eastAsia="en-US" w:bidi="en-US"/>
        </w:rPr>
        <w:t xml:space="preserve">Manet, </w:t>
      </w:r>
      <w:r>
        <w:t xml:space="preserve">Monet, </w:t>
      </w:r>
      <w:r>
        <w:rPr>
          <w:lang w:val="en-US" w:eastAsia="en-US" w:bidi="en-US"/>
        </w:rPr>
        <w:t>D</w:t>
      </w:r>
      <w:r>
        <w:rPr>
          <w:lang w:val="en-US" w:eastAsia="en-US" w:bidi="en-US"/>
        </w:rPr>
        <w:t xml:space="preserve">erain, Picasso a Matisse, </w:t>
      </w:r>
      <w:r>
        <w:t xml:space="preserve">vděčí </w:t>
      </w:r>
      <w:r>
        <w:rPr>
          <w:lang w:val="en-US" w:eastAsia="en-US" w:bidi="en-US"/>
        </w:rPr>
        <w:t xml:space="preserve">Vollardovi </w:t>
      </w:r>
      <w:r>
        <w:t xml:space="preserve">za </w:t>
      </w:r>
      <w:r>
        <w:rPr>
          <w:lang w:val="en-US" w:eastAsia="en-US" w:bidi="en-US"/>
        </w:rPr>
        <w:t xml:space="preserve">to, </w:t>
      </w:r>
      <w:r>
        <w:t>že jim upravoval cestu do světa, aniž v nejmenším myslel vypo</w:t>
      </w:r>
      <w:r>
        <w:softHyphen/>
        <w:t>čítavě na sebe. Ambroise Vollard napsal o všem tom, co prožil a zakusil jako sběratel, obchodník a člověk, o svých stycích s malíři, o jejich li</w:t>
      </w:r>
      <w:r>
        <w:t>dských 1 uměleckých osudech, Jak je on poznal i viděl, rozkošnou, duchaplnou a bystrou knihu Vzpomínky obchod</w:t>
      </w:r>
      <w:r>
        <w:softHyphen/>
        <w:t>níka obrazy, Jež vyšla v českém překladu před rokem. Její pronikavý úspěch u čtenářů byl nejlepším dokladem toho. jak Vollard dovede živě a poutav</w:t>
      </w:r>
      <w:r>
        <w:t>ě vyprávět, Jak dovede strhnout a zaujmout. Skutečně Vollard tu nezůstal ničeho dlužen. Vyprávěje o umělcích a osudech jejich děl, o Jejich lidských slabostech a po- divínstvl a kořeně své originální vyprávěni anekdotou, humorem a vtipem, zůstává stále pok</w:t>
      </w:r>
      <w:r>
        <w:t xml:space="preserve">orným a vroucím tlumočníkem velikosti svých drahých kouzelníků štětce: Bez nadsázky: Vzpomínky obchodníka obrazy, které </w:t>
      </w:r>
      <w:r>
        <w:rPr>
          <w:b/>
          <w:bCs/>
        </w:rPr>
        <w:t xml:space="preserve">v </w:t>
      </w:r>
      <w:r>
        <w:t>českém překladu Jsou doprová</w:t>
      </w:r>
      <w:r>
        <w:softHyphen/>
        <w:t>zeny řadou příloh, reprodukujl-</w:t>
      </w:r>
    </w:p>
    <w:p w:rsidR="00500724" w:rsidRDefault="00F30FB8">
      <w:pPr>
        <w:pStyle w:val="Zkladntext80"/>
        <w:shd w:val="clear" w:color="auto" w:fill="auto"/>
        <w:spacing w:line="240" w:lineRule="auto"/>
        <w:jc w:val="both"/>
        <w:rPr>
          <w:sz w:val="20"/>
          <w:szCs w:val="20"/>
        </w:rPr>
      </w:pPr>
      <w:r>
        <w:rPr>
          <w:b w:val="0"/>
          <w:bCs w:val="0"/>
          <w:sz w:val="20"/>
          <w:szCs w:val="20"/>
        </w:rPr>
        <w:t>FEUILLETON</w:t>
      </w:r>
    </w:p>
    <w:p w:rsidR="00500724" w:rsidRDefault="00F30FB8">
      <w:pPr>
        <w:pStyle w:val="Zkladntext90"/>
        <w:shd w:val="clear" w:color="auto" w:fill="auto"/>
        <w:spacing w:line="240" w:lineRule="auto"/>
        <w:ind w:firstLine="0"/>
      </w:pPr>
      <w:r>
        <w:t>Ambroise Vollard:</w:t>
      </w:r>
    </w:p>
    <w:p w:rsidR="00500724" w:rsidRDefault="00F30FB8">
      <w:pPr>
        <w:pStyle w:val="Zkladntext40"/>
        <w:shd w:val="clear" w:color="auto" w:fill="auto"/>
        <w:spacing w:after="0" w:line="168" w:lineRule="auto"/>
        <w:rPr>
          <w:sz w:val="16"/>
          <w:szCs w:val="16"/>
        </w:rPr>
      </w:pPr>
      <w:r>
        <w:rPr>
          <w:b/>
          <w:bCs/>
          <w:sz w:val="16"/>
          <w:szCs w:val="16"/>
          <w:lang w:val="en-US" w:eastAsia="en-US" w:bidi="en-US"/>
        </w:rPr>
        <w:t xml:space="preserve">DEGAS </w:t>
      </w:r>
      <w:r>
        <w:rPr>
          <w:b/>
          <w:bCs/>
          <w:sz w:val="16"/>
          <w:szCs w:val="16"/>
        </w:rPr>
        <w:t xml:space="preserve">A TANEČNICE </w:t>
      </w:r>
      <w:r>
        <w:rPr>
          <w:b/>
          <w:bCs/>
          <w:sz w:val="16"/>
          <w:szCs w:val="16"/>
        </w:rPr>
        <w:footnoteReference w:id="9"/>
      </w:r>
      <w:r>
        <w:rPr>
          <w:b/>
          <w:bCs/>
          <w:sz w:val="16"/>
          <w:szCs w:val="16"/>
        </w:rPr>
        <w:t>)</w:t>
      </w:r>
    </w:p>
    <w:p w:rsidR="00500724" w:rsidRDefault="00F30FB8">
      <w:pPr>
        <w:pStyle w:val="Zkladntext40"/>
        <w:shd w:val="clear" w:color="auto" w:fill="auto"/>
        <w:spacing w:after="0" w:line="168" w:lineRule="auto"/>
        <w:ind w:left="180"/>
        <w:jc w:val="left"/>
        <w:rPr>
          <w:sz w:val="16"/>
          <w:szCs w:val="16"/>
        </w:rPr>
      </w:pPr>
      <w:r>
        <w:rPr>
          <w:b/>
          <w:bCs/>
          <w:sz w:val="16"/>
          <w:szCs w:val="16"/>
        </w:rPr>
        <w:t xml:space="preserve">Bylo mi asi deset let, </w:t>
      </w:r>
      <w:r>
        <w:rPr>
          <w:b/>
          <w:bCs/>
          <w:sz w:val="16"/>
          <w:szCs w:val="16"/>
        </w:rPr>
        <w:t>když</w:t>
      </w:r>
    </w:p>
    <w:p w:rsidR="00500724" w:rsidRDefault="00F30FB8">
      <w:pPr>
        <w:pStyle w:val="Zkladntext40"/>
        <w:shd w:val="clear" w:color="auto" w:fill="auto"/>
        <w:spacing w:after="0" w:line="168" w:lineRule="auto"/>
        <w:rPr>
          <w:sz w:val="16"/>
          <w:szCs w:val="16"/>
        </w:rPr>
      </w:pPr>
      <w:r>
        <w:rPr>
          <w:b/>
          <w:bCs/>
          <w:sz w:val="16"/>
          <w:szCs w:val="16"/>
        </w:rPr>
        <w:t>jsem po prvé viděl kresby koní od Degase. Bylo to za zvláštních okolností; Konservátor musea na Réunion dostal z Francie bednič</w:t>
      </w:r>
      <w:r>
        <w:rPr>
          <w:b/>
          <w:bCs/>
          <w:sz w:val="16"/>
          <w:szCs w:val="16"/>
        </w:rPr>
        <w:softHyphen/>
        <w:t xml:space="preserve">ku, v níž bylo vejce s nápisem: Vejce epiornisovo. Zdálo se mi nesmírně veliké, ačkoli to byla jenom zmenšená napodobenina </w:t>
      </w:r>
      <w:r>
        <w:rPr>
          <w:b/>
          <w:bCs/>
          <w:sz w:val="16"/>
          <w:szCs w:val="16"/>
        </w:rPr>
        <w:t>vejce obrovského prehistorického ptáka. Přiběhl jsem, abych byl při otvírání bedničky. Mezi papí</w:t>
      </w:r>
      <w:r>
        <w:rPr>
          <w:b/>
          <w:bCs/>
          <w:sz w:val="16"/>
          <w:szCs w:val="16"/>
        </w:rPr>
        <w:softHyphen/>
        <w:t>ry, kterými byl předmět obložen, jsem spatřil stránku, vytrženou z obrázkového časopisu, předsta</w:t>
      </w:r>
      <w:r>
        <w:rPr>
          <w:b/>
          <w:bCs/>
          <w:sz w:val="16"/>
          <w:szCs w:val="16"/>
        </w:rPr>
        <w:softHyphen/>
        <w:t>vující cválající koně. Moje dětská fantasie se nadchla. Koně m</w:t>
      </w:r>
      <w:r>
        <w:rPr>
          <w:b/>
          <w:bCs/>
          <w:sz w:val="16"/>
          <w:szCs w:val="16"/>
        </w:rPr>
        <w:t>i při</w:t>
      </w:r>
      <w:r>
        <w:rPr>
          <w:b/>
          <w:bCs/>
          <w:sz w:val="16"/>
          <w:szCs w:val="16"/>
        </w:rPr>
        <w:softHyphen/>
        <w:t>padali tak živí jako ti, které jsem vídal každoročně při dosti</w:t>
      </w:r>
      <w:r>
        <w:rPr>
          <w:b/>
          <w:bCs/>
          <w:sz w:val="16"/>
          <w:szCs w:val="16"/>
        </w:rPr>
        <w:softHyphen/>
        <w:t>zích. Ach, ty závody na Réunion, kterým dodávali hemžící se divá</w:t>
      </w:r>
      <w:r>
        <w:rPr>
          <w:b/>
          <w:bCs/>
          <w:sz w:val="16"/>
          <w:szCs w:val="16"/>
        </w:rPr>
        <w:softHyphen/>
        <w:t>ci tolik lesku. Koně běželi údo</w:t>
      </w:r>
      <w:r>
        <w:rPr>
          <w:b/>
          <w:bCs/>
          <w:sz w:val="16"/>
          <w:szCs w:val="16"/>
        </w:rPr>
        <w:softHyphen/>
        <w:t>lím, na jehož úbočích bylo shro</w:t>
      </w:r>
      <w:r>
        <w:rPr>
          <w:b/>
          <w:bCs/>
          <w:sz w:val="16"/>
          <w:szCs w:val="16"/>
        </w:rPr>
        <w:softHyphen/>
        <w:t>mážděno všechno obyvatelstvo; Číňané, Indové, Arabové a ne</w:t>
      </w:r>
      <w:r>
        <w:rPr>
          <w:b/>
          <w:bCs/>
          <w:sz w:val="16"/>
          <w:szCs w:val="16"/>
        </w:rPr>
        <w:t>gři, oblečeni do pestrobarevných lá</w:t>
      </w:r>
      <w:r>
        <w:rPr>
          <w:b/>
          <w:bCs/>
          <w:sz w:val="16"/>
          <w:szCs w:val="16"/>
        </w:rPr>
        <w:softHyphen/>
        <w:t>tek, které se zdály na slunci ještě měnivější. Zachoval jsem si na tuto oslňující krásu tak živou vzpomínku, že mne závodiště ve Francii nedovedla nadchnout. Když jsem v Montpellieru studo</w:t>
      </w:r>
      <w:r>
        <w:rPr>
          <w:b/>
          <w:bCs/>
          <w:sz w:val="16"/>
          <w:szCs w:val="16"/>
        </w:rPr>
        <w:softHyphen/>
        <w:t>val práva, listoval jsem jednou</w:t>
      </w:r>
      <w:r>
        <w:rPr>
          <w:b/>
          <w:bCs/>
          <w:sz w:val="16"/>
          <w:szCs w:val="16"/>
        </w:rPr>
        <w:t xml:space="preserve"> večer náhodou v Journal des </w:t>
      </w:r>
      <w:r>
        <w:rPr>
          <w:b/>
          <w:bCs/>
          <w:sz w:val="16"/>
          <w:szCs w:val="16"/>
          <w:lang w:val="en-US" w:eastAsia="en-US" w:bidi="en-US"/>
        </w:rPr>
        <w:t xml:space="preserve">Artistes </w:t>
      </w:r>
      <w:r>
        <w:rPr>
          <w:b/>
          <w:bCs/>
          <w:sz w:val="16"/>
          <w:szCs w:val="16"/>
        </w:rPr>
        <w:t>a našel jsem tam tytéž</w:t>
      </w:r>
    </w:p>
    <w:p w:rsidR="00500724" w:rsidRDefault="00F30FB8">
      <w:pPr>
        <w:pStyle w:val="Zkladntext40"/>
        <w:shd w:val="clear" w:color="auto" w:fill="auto"/>
        <w:spacing w:after="0" w:line="168" w:lineRule="auto"/>
        <w:rPr>
          <w:sz w:val="16"/>
          <w:szCs w:val="16"/>
        </w:rPr>
      </w:pPr>
      <w:r>
        <w:rPr>
          <w:b/>
          <w:bCs/>
          <w:sz w:val="16"/>
          <w:szCs w:val="16"/>
        </w:rPr>
        <w:t>kresby koní, které na mne udě</w:t>
      </w:r>
      <w:r>
        <w:rPr>
          <w:b/>
          <w:bCs/>
          <w:sz w:val="16"/>
          <w:szCs w:val="16"/>
        </w:rPr>
        <w:softHyphen/>
        <w:t>laly kdysi na Réunion takový dojem. Kdo by byl řekl, že se později seznámím s jejich tvůr</w:t>
      </w:r>
      <w:r>
        <w:rPr>
          <w:b/>
          <w:bCs/>
          <w:sz w:val="16"/>
          <w:szCs w:val="16"/>
        </w:rPr>
        <w:softHyphen/>
        <w:t>cem, a že se stanu dokonce jeho přítelem. Stalo se to takto:</w:t>
      </w:r>
    </w:p>
    <w:p w:rsidR="00500724" w:rsidRDefault="00F30FB8">
      <w:pPr>
        <w:pStyle w:val="Zkladntext40"/>
        <w:shd w:val="clear" w:color="auto" w:fill="auto"/>
        <w:spacing w:after="0" w:line="168" w:lineRule="auto"/>
        <w:ind w:firstLine="200"/>
        <w:rPr>
          <w:sz w:val="16"/>
          <w:szCs w:val="16"/>
        </w:rPr>
      </w:pPr>
      <w:r>
        <w:rPr>
          <w:b/>
          <w:bCs/>
          <w:sz w:val="16"/>
          <w:szCs w:val="16"/>
        </w:rPr>
        <w:t xml:space="preserve">Odjakživa mne </w:t>
      </w:r>
      <w:r>
        <w:rPr>
          <w:b/>
          <w:bCs/>
          <w:sz w:val="16"/>
          <w:szCs w:val="16"/>
        </w:rPr>
        <w:t>zajímala otáz</w:t>
      </w:r>
      <w:r>
        <w:rPr>
          <w:b/>
          <w:bCs/>
          <w:sz w:val="16"/>
          <w:szCs w:val="16"/>
        </w:rPr>
        <w:softHyphen/>
        <w:t>ka rámování obrazů. Dal jsem svému rámaři Jacquetovi několik kousků exotických dřev, pochá</w:t>
      </w:r>
      <w:r>
        <w:rPr>
          <w:b/>
          <w:bCs/>
          <w:sz w:val="16"/>
          <w:szCs w:val="16"/>
        </w:rPr>
        <w:softHyphen/>
        <w:t xml:space="preserve">zejících z výstavy roku 1899. aby z nich udělal rámy. Když jsem ho opět navštívil, řekl mi Jac- Quet: »Víte, že </w:t>
      </w:r>
      <w:r>
        <w:rPr>
          <w:b/>
          <w:bCs/>
          <w:sz w:val="16"/>
          <w:szCs w:val="16"/>
          <w:lang w:val="en-US" w:eastAsia="en-US" w:bidi="en-US"/>
        </w:rPr>
        <w:t xml:space="preserve">pan Degas </w:t>
      </w:r>
      <w:r>
        <w:rPr>
          <w:b/>
          <w:bCs/>
          <w:sz w:val="16"/>
          <w:szCs w:val="16"/>
        </w:rPr>
        <w:t xml:space="preserve">dává rád své pastely do rámů </w:t>
      </w:r>
      <w:r>
        <w:rPr>
          <w:b/>
          <w:bCs/>
          <w:sz w:val="16"/>
          <w:szCs w:val="16"/>
        </w:rPr>
        <w:t>z pří</w:t>
      </w:r>
      <w:r>
        <w:rPr>
          <w:b/>
          <w:bCs/>
          <w:sz w:val="16"/>
          <w:szCs w:val="16"/>
        </w:rPr>
        <w:softHyphen/>
        <w:t>rodního dřeva? Viděl tahle exo</w:t>
      </w:r>
      <w:r>
        <w:rPr>
          <w:b/>
          <w:bCs/>
          <w:sz w:val="16"/>
          <w:szCs w:val="16"/>
        </w:rPr>
        <w:softHyphen/>
        <w:t>tická dřeva a žádal mne, abych se vás zeptal, zdali byste mu je neprodal.« To byla pro mne pří</w:t>
      </w:r>
      <w:r>
        <w:rPr>
          <w:b/>
          <w:bCs/>
          <w:sz w:val="16"/>
          <w:szCs w:val="16"/>
        </w:rPr>
        <w:softHyphen/>
        <w:t>ležitost, abych se sblížil s »hroz- ným Degasem«. Odpověděl jsem, že za ně nechci peněz, že bych však byl spokojen, kdyby mi</w:t>
      </w:r>
      <w:r>
        <w:rPr>
          <w:b/>
          <w:bCs/>
          <w:sz w:val="16"/>
          <w:szCs w:val="16"/>
        </w:rPr>
        <w:t xml:space="preserve"> dal výměnou sebemenší kresbu. Malíř souhlasil. Tak jsem se dostal do jeho atelieru.</w:t>
      </w:r>
    </w:p>
    <w:p w:rsidR="00500724" w:rsidRDefault="00F30FB8">
      <w:pPr>
        <w:pStyle w:val="Zkladntext40"/>
        <w:shd w:val="clear" w:color="auto" w:fill="auto"/>
        <w:spacing w:after="0" w:line="166" w:lineRule="auto"/>
        <w:ind w:firstLine="200"/>
        <w:rPr>
          <w:sz w:val="16"/>
          <w:szCs w:val="16"/>
        </w:rPr>
      </w:pPr>
      <w:r>
        <w:rPr>
          <w:b/>
          <w:bCs/>
          <w:sz w:val="16"/>
          <w:szCs w:val="16"/>
        </w:rPr>
        <w:t xml:space="preserve">»Co vám mám dát?« řekl </w:t>
      </w:r>
      <w:r>
        <w:rPr>
          <w:b/>
          <w:bCs/>
          <w:sz w:val="16"/>
          <w:szCs w:val="16"/>
          <w:lang w:val="en-US" w:eastAsia="en-US" w:bidi="en-US"/>
        </w:rPr>
        <w:t>De</w:t>
      </w:r>
      <w:r>
        <w:rPr>
          <w:b/>
          <w:bCs/>
          <w:sz w:val="16"/>
          <w:szCs w:val="16"/>
          <w:lang w:val="en-US" w:eastAsia="en-US" w:bidi="en-US"/>
        </w:rPr>
        <w:softHyphen/>
        <w:t xml:space="preserve">gas. </w:t>
      </w:r>
      <w:r>
        <w:rPr>
          <w:b/>
          <w:bCs/>
          <w:sz w:val="16"/>
          <w:szCs w:val="16"/>
        </w:rPr>
        <w:t>»Kresbu tanečnice, trochu vrstvenou pastelem ?«</w:t>
      </w:r>
    </w:p>
    <w:p w:rsidR="00500724" w:rsidRDefault="00F30FB8">
      <w:pPr>
        <w:pStyle w:val="Zkladntext40"/>
        <w:shd w:val="clear" w:color="auto" w:fill="auto"/>
        <w:spacing w:after="0" w:line="163" w:lineRule="auto"/>
        <w:ind w:firstLine="200"/>
        <w:rPr>
          <w:sz w:val="16"/>
          <w:szCs w:val="16"/>
        </w:rPr>
      </w:pPr>
      <w:r>
        <w:rPr>
          <w:b/>
          <w:bCs/>
          <w:sz w:val="16"/>
          <w:szCs w:val="16"/>
        </w:rPr>
        <w:t>»Och, za kousek dřeva!« řekl jsem neopatrně.</w:t>
      </w:r>
    </w:p>
    <w:p w:rsidR="00500724" w:rsidRDefault="00F30FB8">
      <w:pPr>
        <w:pStyle w:val="Zkladntext40"/>
        <w:shd w:val="clear" w:color="auto" w:fill="auto"/>
        <w:spacing w:after="0" w:line="168" w:lineRule="auto"/>
        <w:ind w:firstLine="200"/>
        <w:rPr>
          <w:sz w:val="16"/>
          <w:szCs w:val="16"/>
        </w:rPr>
      </w:pPr>
      <w:r>
        <w:rPr>
          <w:b/>
          <w:bCs/>
          <w:sz w:val="16"/>
          <w:szCs w:val="16"/>
        </w:rPr>
        <w:t>Slyšel mne až příliš dobře, po</w:t>
      </w:r>
      <w:r>
        <w:rPr>
          <w:b/>
          <w:bCs/>
          <w:sz w:val="16"/>
          <w:szCs w:val="16"/>
        </w:rPr>
        <w:softHyphen/>
        <w:t>něvadž ani neote</w:t>
      </w:r>
      <w:r>
        <w:rPr>
          <w:b/>
          <w:bCs/>
          <w:sz w:val="16"/>
          <w:szCs w:val="16"/>
        </w:rPr>
        <w:t>vřel desky, kte</w:t>
      </w:r>
      <w:r>
        <w:rPr>
          <w:b/>
          <w:bCs/>
          <w:sz w:val="16"/>
          <w:szCs w:val="16"/>
        </w:rPr>
        <w:softHyphen/>
        <w:t>ré si nejdříve přitáhl, vzal jiné a dal mi malý monotyp.</w:t>
      </w:r>
    </w:p>
    <w:p w:rsidR="00500724" w:rsidRDefault="00F30FB8">
      <w:pPr>
        <w:pStyle w:val="Zkladntext40"/>
        <w:shd w:val="clear" w:color="auto" w:fill="auto"/>
        <w:spacing w:after="0" w:line="168" w:lineRule="auto"/>
        <w:ind w:firstLine="200"/>
        <w:rPr>
          <w:sz w:val="16"/>
          <w:szCs w:val="16"/>
        </w:rPr>
      </w:pPr>
      <w:r>
        <w:rPr>
          <w:b/>
          <w:bCs/>
          <w:sz w:val="16"/>
          <w:szCs w:val="16"/>
          <w:lang w:val="en-US" w:eastAsia="en-US" w:bidi="en-US"/>
        </w:rPr>
        <w:t xml:space="preserve">Degas </w:t>
      </w:r>
      <w:r>
        <w:rPr>
          <w:b/>
          <w:bCs/>
          <w:sz w:val="16"/>
          <w:szCs w:val="16"/>
        </w:rPr>
        <w:t>se tenkrát přestěhoval z ulice Ballu, kde bydlel ve dvou poschodích malého domu, do ulice de Eaval, nyní nazvané Victor- Massé. Měl tam také dvě patra a atelier.</w:t>
      </w:r>
    </w:p>
    <w:p w:rsidR="00500724" w:rsidRDefault="00F30FB8">
      <w:pPr>
        <w:pStyle w:val="Zkladntext40"/>
        <w:shd w:val="clear" w:color="auto" w:fill="auto"/>
        <w:spacing w:after="0" w:line="168" w:lineRule="auto"/>
        <w:ind w:firstLine="200"/>
        <w:rPr>
          <w:sz w:val="16"/>
          <w:szCs w:val="16"/>
        </w:rPr>
      </w:pPr>
      <w:r>
        <w:rPr>
          <w:b/>
          <w:bCs/>
          <w:sz w:val="16"/>
          <w:szCs w:val="16"/>
        </w:rPr>
        <w:t xml:space="preserve">Zdá se, že při </w:t>
      </w:r>
      <w:r>
        <w:rPr>
          <w:b/>
          <w:bCs/>
          <w:sz w:val="16"/>
          <w:szCs w:val="16"/>
        </w:rPr>
        <w:t>stěhování nabý-</w:t>
      </w:r>
    </w:p>
    <w:p w:rsidR="00500724" w:rsidRDefault="00F30FB8">
      <w:pPr>
        <w:pStyle w:val="Zkladntext1"/>
        <w:shd w:val="clear" w:color="auto" w:fill="auto"/>
        <w:spacing w:after="60"/>
        <w:ind w:firstLine="0"/>
        <w:rPr>
          <w:sz w:val="18"/>
          <w:szCs w:val="18"/>
        </w:rPr>
      </w:pPr>
      <w:r>
        <w:rPr>
          <w:i/>
          <w:iCs/>
          <w:sz w:val="18"/>
          <w:szCs w:val="18"/>
        </w:rPr>
        <w:t>Viktor Hugo:</w:t>
      </w:r>
    </w:p>
    <w:p w:rsidR="00500724" w:rsidRDefault="00F30FB8">
      <w:pPr>
        <w:pStyle w:val="Zkladntext1"/>
        <w:shd w:val="clear" w:color="auto" w:fill="auto"/>
        <w:spacing w:line="182" w:lineRule="auto"/>
        <w:ind w:firstLine="0"/>
        <w:jc w:val="center"/>
        <w:rPr>
          <w:sz w:val="20"/>
          <w:szCs w:val="20"/>
        </w:rPr>
      </w:pPr>
      <w:r>
        <w:rPr>
          <w:i/>
          <w:iCs/>
          <w:sz w:val="20"/>
          <w:szCs w:val="20"/>
        </w:rPr>
        <w:t>GENIOVĚ</w:t>
      </w:r>
    </w:p>
    <w:p w:rsidR="00500724" w:rsidRDefault="00F30FB8">
      <w:pPr>
        <w:pStyle w:val="Zkladntext1"/>
        <w:shd w:val="clear" w:color="auto" w:fill="auto"/>
        <w:spacing w:line="182" w:lineRule="auto"/>
        <w:ind w:firstLine="200"/>
        <w:rPr>
          <w:sz w:val="20"/>
          <w:szCs w:val="20"/>
        </w:rPr>
      </w:pPr>
      <w:r>
        <w:rPr>
          <w:i/>
          <w:iCs/>
          <w:sz w:val="20"/>
          <w:szCs w:val="20"/>
        </w:rPr>
        <w:t xml:space="preserve">Homér, Job, Aischylos, Isaiáš, Ezechiel, Lukretius, </w:t>
      </w:r>
      <w:r>
        <w:rPr>
          <w:i/>
          <w:iCs/>
          <w:sz w:val="20"/>
          <w:szCs w:val="20"/>
          <w:lang w:val="en-US" w:eastAsia="en-US" w:bidi="en-US"/>
        </w:rPr>
        <w:t xml:space="preserve">Juvenal, </w:t>
      </w:r>
      <w:r>
        <w:rPr>
          <w:i/>
          <w:iCs/>
          <w:sz w:val="20"/>
          <w:szCs w:val="20"/>
        </w:rPr>
        <w:t xml:space="preserve">svátý Jan, sv. Pavel, Tacitus, Dante, </w:t>
      </w:r>
      <w:r>
        <w:rPr>
          <w:i/>
          <w:iCs/>
          <w:sz w:val="20"/>
          <w:szCs w:val="20"/>
          <w:lang w:val="en-US" w:eastAsia="en-US" w:bidi="en-US"/>
        </w:rPr>
        <w:t>Rabelais, Cer</w:t>
      </w:r>
      <w:r>
        <w:rPr>
          <w:i/>
          <w:iCs/>
          <w:sz w:val="20"/>
          <w:szCs w:val="20"/>
          <w:lang w:val="en-US" w:eastAsia="en-US" w:bidi="en-US"/>
        </w:rPr>
        <w:softHyphen/>
        <w:t xml:space="preserve">vantes, </w:t>
      </w:r>
      <w:r>
        <w:rPr>
          <w:i/>
          <w:iCs/>
          <w:sz w:val="20"/>
          <w:szCs w:val="20"/>
        </w:rPr>
        <w:t xml:space="preserve">Shakespeare. </w:t>
      </w:r>
      <w:r>
        <w:rPr>
          <w:i/>
          <w:iCs/>
          <w:sz w:val="20"/>
          <w:szCs w:val="20"/>
          <w:lang w:val="en-US" w:eastAsia="en-US" w:bidi="en-US"/>
        </w:rPr>
        <w:t xml:space="preserve">Tot </w:t>
      </w:r>
      <w:r>
        <w:rPr>
          <w:i/>
          <w:iCs/>
          <w:sz w:val="20"/>
          <w:szCs w:val="20"/>
        </w:rPr>
        <w:t>řada nepohnutých obrů ducha lid</w:t>
      </w:r>
      <w:r>
        <w:rPr>
          <w:i/>
          <w:iCs/>
          <w:sz w:val="20"/>
          <w:szCs w:val="20"/>
        </w:rPr>
        <w:softHyphen/>
        <w:t>ského.</w:t>
      </w:r>
    </w:p>
    <w:p w:rsidR="00500724" w:rsidRDefault="00F30FB8">
      <w:pPr>
        <w:pStyle w:val="Zkladntext1"/>
        <w:shd w:val="clear" w:color="auto" w:fill="auto"/>
        <w:spacing w:line="182" w:lineRule="auto"/>
        <w:ind w:firstLine="200"/>
        <w:rPr>
          <w:sz w:val="20"/>
          <w:szCs w:val="20"/>
        </w:rPr>
      </w:pPr>
      <w:r>
        <w:rPr>
          <w:i/>
          <w:iCs/>
          <w:sz w:val="20"/>
          <w:szCs w:val="20"/>
        </w:rPr>
        <w:t xml:space="preserve">Geniové jsou dynastií. Ba, není jiné </w:t>
      </w:r>
      <w:r>
        <w:rPr>
          <w:i/>
          <w:iCs/>
          <w:sz w:val="20"/>
          <w:szCs w:val="20"/>
        </w:rPr>
        <w:t>dynastie. Všichni mají korunu,</w:t>
      </w:r>
      <w:r>
        <w:rPr>
          <w:rFonts w:ascii="Arial" w:eastAsia="Arial" w:hAnsi="Arial" w:cs="Arial"/>
          <w:sz w:val="18"/>
          <w:szCs w:val="18"/>
        </w:rPr>
        <w:t xml:space="preserve"> i </w:t>
      </w:r>
      <w:r>
        <w:rPr>
          <w:i/>
          <w:iCs/>
          <w:sz w:val="20"/>
          <w:szCs w:val="20"/>
        </w:rPr>
        <w:t>korunu trno</w:t>
      </w:r>
      <w:r>
        <w:rPr>
          <w:i/>
          <w:iCs/>
          <w:sz w:val="20"/>
          <w:szCs w:val="20"/>
        </w:rPr>
        <w:softHyphen/>
        <w:t>vou. Každý z nich předsta</w:t>
      </w:r>
      <w:r>
        <w:rPr>
          <w:i/>
          <w:iCs/>
          <w:sz w:val="20"/>
          <w:szCs w:val="20"/>
        </w:rPr>
        <w:softHyphen/>
        <w:t>vuje plnost absolutna, jíž možno člověku dosíci.</w:t>
      </w:r>
    </w:p>
    <w:p w:rsidR="00500724" w:rsidRDefault="00F30FB8">
      <w:pPr>
        <w:pStyle w:val="Zkladntext1"/>
        <w:shd w:val="clear" w:color="auto" w:fill="auto"/>
        <w:spacing w:line="182" w:lineRule="auto"/>
        <w:ind w:firstLine="200"/>
        <w:rPr>
          <w:sz w:val="20"/>
          <w:szCs w:val="20"/>
        </w:rPr>
      </w:pPr>
      <w:r>
        <w:rPr>
          <w:i/>
          <w:iCs/>
          <w:sz w:val="20"/>
          <w:szCs w:val="20"/>
        </w:rPr>
        <w:t>Opakuji, že si nelze volili mezi těmito muži, dáti před</w:t>
      </w:r>
      <w:r>
        <w:rPr>
          <w:i/>
          <w:iCs/>
          <w:sz w:val="20"/>
          <w:szCs w:val="20"/>
        </w:rPr>
        <w:softHyphen/>
        <w:t>nost tomu neb onomu, uká</w:t>
      </w:r>
      <w:r>
        <w:rPr>
          <w:i/>
          <w:iCs/>
          <w:sz w:val="20"/>
          <w:szCs w:val="20"/>
        </w:rPr>
        <w:softHyphen/>
        <w:t>zati prstem na prvého z těchto prvých. Všichni jsou z D</w:t>
      </w:r>
      <w:r>
        <w:rPr>
          <w:i/>
          <w:iCs/>
          <w:sz w:val="20"/>
          <w:szCs w:val="20"/>
        </w:rPr>
        <w:t>ucha.</w:t>
      </w:r>
    </w:p>
    <w:p w:rsidR="00500724" w:rsidRDefault="00F30FB8">
      <w:pPr>
        <w:pStyle w:val="Zkladntext1"/>
        <w:shd w:val="clear" w:color="auto" w:fill="auto"/>
        <w:spacing w:line="182" w:lineRule="auto"/>
        <w:ind w:firstLine="200"/>
        <w:rPr>
          <w:sz w:val="20"/>
          <w:szCs w:val="20"/>
        </w:rPr>
      </w:pPr>
      <w:r>
        <w:rPr>
          <w:i/>
          <w:iCs/>
          <w:sz w:val="20"/>
          <w:szCs w:val="20"/>
        </w:rPr>
        <w:t>Snad, kdybychom byli na</w:t>
      </w:r>
      <w:r>
        <w:rPr>
          <w:i/>
          <w:iCs/>
          <w:sz w:val="20"/>
          <w:szCs w:val="20"/>
        </w:rPr>
        <w:softHyphen/>
        <w:t>prosto k tomu dohnáni, a tehdy ještě všecky námitky by byly v právu, mohli by</w:t>
      </w:r>
      <w:r>
        <w:rPr>
          <w:i/>
          <w:iCs/>
          <w:sz w:val="20"/>
          <w:szCs w:val="20"/>
        </w:rPr>
        <w:softHyphen/>
        <w:t>chom označiti jako vrcholy nejvyšší z oněch vrcholů Ho</w:t>
      </w:r>
      <w:r>
        <w:rPr>
          <w:i/>
          <w:iCs/>
          <w:sz w:val="20"/>
          <w:szCs w:val="20"/>
        </w:rPr>
        <w:softHyphen/>
        <w:t>méra, Aischyla, Joba, Isai- áše, Danteho a Shakespeara.</w:t>
      </w:r>
    </w:p>
    <w:p w:rsidR="00500724" w:rsidRDefault="00F30FB8">
      <w:pPr>
        <w:pStyle w:val="Zkladntext1"/>
        <w:shd w:val="clear" w:color="auto" w:fill="auto"/>
        <w:spacing w:line="182" w:lineRule="auto"/>
        <w:ind w:firstLine="200"/>
        <w:rPr>
          <w:sz w:val="20"/>
          <w:szCs w:val="20"/>
        </w:rPr>
      </w:pPr>
      <w:r>
        <w:rPr>
          <w:i/>
          <w:iCs/>
          <w:sz w:val="20"/>
          <w:szCs w:val="20"/>
        </w:rPr>
        <w:t>Rozumí</w:t>
      </w:r>
      <w:r>
        <w:rPr>
          <w:sz w:val="24"/>
          <w:szCs w:val="24"/>
        </w:rPr>
        <w:t xml:space="preserve"> se, </w:t>
      </w:r>
      <w:r>
        <w:rPr>
          <w:i/>
          <w:iCs/>
          <w:sz w:val="20"/>
          <w:szCs w:val="20"/>
        </w:rPr>
        <w:t>že zde mluvíme jen s hledi</w:t>
      </w:r>
      <w:r>
        <w:rPr>
          <w:i/>
          <w:iCs/>
          <w:sz w:val="20"/>
          <w:szCs w:val="20"/>
        </w:rPr>
        <w:t>ska umění, a v umění s hlediska literár</w:t>
      </w:r>
      <w:r>
        <w:rPr>
          <w:i/>
          <w:iCs/>
          <w:sz w:val="20"/>
          <w:szCs w:val="20"/>
        </w:rPr>
        <w:softHyphen/>
        <w:t>ního.</w:t>
      </w:r>
    </w:p>
    <w:p w:rsidR="00500724" w:rsidRDefault="00F30FB8">
      <w:pPr>
        <w:pStyle w:val="Zkladntext1"/>
        <w:shd w:val="clear" w:color="auto" w:fill="auto"/>
        <w:spacing w:line="182" w:lineRule="auto"/>
        <w:ind w:firstLine="200"/>
        <w:rPr>
          <w:sz w:val="20"/>
          <w:szCs w:val="20"/>
        </w:rPr>
      </w:pPr>
      <w:r>
        <w:rPr>
          <w:i/>
          <w:iCs/>
          <w:sz w:val="20"/>
          <w:szCs w:val="20"/>
        </w:rPr>
        <w:t>Dva muži té skupiny, Aischylos a Shakespeare, zvláště zastupují drama.</w:t>
      </w:r>
    </w:p>
    <w:p w:rsidR="00500724" w:rsidRDefault="00F30FB8">
      <w:pPr>
        <w:pStyle w:val="Zkladntext1"/>
        <w:shd w:val="clear" w:color="auto" w:fill="auto"/>
        <w:spacing w:after="120" w:line="182" w:lineRule="auto"/>
        <w:ind w:firstLine="200"/>
        <w:rPr>
          <w:sz w:val="20"/>
          <w:szCs w:val="20"/>
        </w:rPr>
      </w:pPr>
      <w:r>
        <w:rPr>
          <w:i/>
          <w:iCs/>
          <w:sz w:val="20"/>
          <w:szCs w:val="20"/>
        </w:rPr>
        <w:t>Aischylos, jakýsi genius mimo kruh, hodný známe-</w:t>
      </w:r>
    </w:p>
    <w:p w:rsidR="00500724" w:rsidRDefault="00F30FB8">
      <w:pPr>
        <w:pStyle w:val="Zkladntext40"/>
        <w:shd w:val="clear" w:color="auto" w:fill="auto"/>
        <w:spacing w:after="0" w:line="168" w:lineRule="auto"/>
        <w:rPr>
          <w:sz w:val="16"/>
          <w:szCs w:val="16"/>
        </w:rPr>
      </w:pPr>
      <w:r>
        <w:rPr>
          <w:b/>
          <w:bCs/>
          <w:sz w:val="16"/>
          <w:szCs w:val="16"/>
        </w:rPr>
        <w:t>vaji věci na objemu. Ať tomu bylo jakkoli, obě poschodí byla brzy plná. Všechno, co se tam</w:t>
      </w:r>
      <w:r>
        <w:rPr>
          <w:b/>
          <w:bCs/>
          <w:sz w:val="16"/>
          <w:szCs w:val="16"/>
        </w:rPr>
        <w:t xml:space="preserve"> ne</w:t>
      </w:r>
      <w:r>
        <w:rPr>
          <w:b/>
          <w:bCs/>
          <w:sz w:val="16"/>
          <w:szCs w:val="16"/>
        </w:rPr>
        <w:softHyphen/>
        <w:t>vešlo. se vyneslo do atelieru. Tak se tam sešly zcela různorodé vě</w:t>
      </w:r>
      <w:r>
        <w:rPr>
          <w:b/>
          <w:bCs/>
          <w:sz w:val="16"/>
          <w:szCs w:val="16"/>
        </w:rPr>
        <w:softHyphen/>
        <w:t>ci. Vedle vany stála skládací postel a v rohu byl prádelník bez zásuvek. Pamatuji se také na vysoký pult. na jaké se kla</w:t>
      </w:r>
      <w:r>
        <w:rPr>
          <w:b/>
          <w:bCs/>
          <w:sz w:val="16"/>
          <w:szCs w:val="16"/>
        </w:rPr>
        <w:softHyphen/>
        <w:t xml:space="preserve">dou zpěvníky v kostele na kůru. </w:t>
      </w:r>
      <w:r>
        <w:rPr>
          <w:b/>
          <w:bCs/>
          <w:sz w:val="16"/>
          <w:szCs w:val="16"/>
          <w:lang w:val="en-US" w:eastAsia="en-US" w:bidi="en-US"/>
        </w:rPr>
        <w:t xml:space="preserve">Degas </w:t>
      </w:r>
      <w:r>
        <w:rPr>
          <w:b/>
          <w:bCs/>
          <w:sz w:val="16"/>
          <w:szCs w:val="16"/>
        </w:rPr>
        <w:t>na něm kreslíval ve stoje.</w:t>
      </w:r>
      <w:r>
        <w:rPr>
          <w:b/>
          <w:bCs/>
          <w:sz w:val="16"/>
          <w:szCs w:val="16"/>
        </w:rPr>
        <w:t xml:space="preserve"> Tu a tam byla na štaflích nedo</w:t>
      </w:r>
      <w:r>
        <w:rPr>
          <w:b/>
          <w:bCs/>
          <w:sz w:val="16"/>
          <w:szCs w:val="16"/>
        </w:rPr>
        <w:softHyphen/>
        <w:t>končená plátna. Jakmile se do</w:t>
      </w:r>
      <w:r>
        <w:rPr>
          <w:b/>
          <w:bCs/>
          <w:sz w:val="16"/>
          <w:szCs w:val="16"/>
        </w:rPr>
        <w:softHyphen/>
        <w:t>stalo jednou něco do atelieru, nejen že se to neodneslo, ale ne</w:t>
      </w:r>
      <w:r>
        <w:rPr>
          <w:b/>
          <w:bCs/>
          <w:sz w:val="16"/>
          <w:szCs w:val="16"/>
        </w:rPr>
        <w:softHyphen/>
        <w:t>smělo se tím vůbec hnout.</w:t>
      </w:r>
    </w:p>
    <w:p w:rsidR="00500724" w:rsidRDefault="00F30FB8">
      <w:pPr>
        <w:pStyle w:val="Zkladntext40"/>
        <w:shd w:val="clear" w:color="auto" w:fill="auto"/>
        <w:spacing w:after="0" w:line="168" w:lineRule="auto"/>
        <w:ind w:firstLine="200"/>
        <w:rPr>
          <w:sz w:val="16"/>
          <w:szCs w:val="16"/>
        </w:rPr>
      </w:pPr>
      <w:r>
        <w:rPr>
          <w:b/>
          <w:bCs/>
          <w:sz w:val="16"/>
          <w:szCs w:val="16"/>
        </w:rPr>
        <w:t xml:space="preserve">»Miluji pořádek,« říkával </w:t>
      </w:r>
      <w:r>
        <w:rPr>
          <w:b/>
          <w:bCs/>
          <w:sz w:val="16"/>
          <w:szCs w:val="16"/>
          <w:lang w:val="en-US" w:eastAsia="en-US" w:bidi="en-US"/>
        </w:rPr>
        <w:t xml:space="preserve">Degas </w:t>
      </w:r>
      <w:r>
        <w:rPr>
          <w:b/>
          <w:bCs/>
          <w:sz w:val="16"/>
          <w:szCs w:val="16"/>
        </w:rPr>
        <w:t>často mezi tím haraburdím.</w:t>
      </w:r>
    </w:p>
    <w:p w:rsidR="00500724" w:rsidRDefault="00F30FB8">
      <w:pPr>
        <w:pStyle w:val="Zkladntext40"/>
        <w:shd w:val="clear" w:color="auto" w:fill="auto"/>
        <w:spacing w:after="0" w:line="168" w:lineRule="auto"/>
        <w:ind w:firstLine="200"/>
        <w:rPr>
          <w:sz w:val="16"/>
          <w:szCs w:val="16"/>
        </w:rPr>
      </w:pPr>
      <w:r>
        <w:rPr>
          <w:b/>
          <w:bCs/>
          <w:sz w:val="16"/>
          <w:szCs w:val="16"/>
        </w:rPr>
        <w:t>Jednou jsem mu přinesl obraz, na který se cht</w:t>
      </w:r>
      <w:r>
        <w:rPr>
          <w:b/>
          <w:bCs/>
          <w:sz w:val="16"/>
          <w:szCs w:val="16"/>
        </w:rPr>
        <w:t>ěl podívat. Když jsem jej rozbaloval, utrhl se ma</w:t>
      </w:r>
      <w:r>
        <w:rPr>
          <w:b/>
          <w:bCs/>
          <w:sz w:val="16"/>
          <w:szCs w:val="16"/>
        </w:rPr>
        <w:softHyphen/>
        <w:t xml:space="preserve">linký kousek papíru, velký asi jako </w:t>
      </w:r>
      <w:r>
        <w:rPr>
          <w:b/>
          <w:bCs/>
          <w:sz w:val="16"/>
          <w:szCs w:val="16"/>
          <w:lang w:val="en-US" w:eastAsia="en-US" w:bidi="en-US"/>
        </w:rPr>
        <w:t xml:space="preserve">confetti, </w:t>
      </w:r>
      <w:r>
        <w:rPr>
          <w:b/>
          <w:bCs/>
          <w:sz w:val="16"/>
          <w:szCs w:val="16"/>
        </w:rPr>
        <w:t>poletoval chvilku a nakonec zapadl do rýhy v podla</w:t>
      </w:r>
      <w:r>
        <w:rPr>
          <w:b/>
          <w:bCs/>
          <w:sz w:val="16"/>
          <w:szCs w:val="16"/>
        </w:rPr>
        <w:softHyphen/>
        <w:t xml:space="preserve">ze. </w:t>
      </w:r>
      <w:r>
        <w:rPr>
          <w:b/>
          <w:bCs/>
          <w:sz w:val="16"/>
          <w:szCs w:val="16"/>
          <w:lang w:val="en-US" w:eastAsia="en-US" w:bidi="en-US"/>
        </w:rPr>
        <w:t xml:space="preserve">Degas </w:t>
      </w:r>
      <w:r>
        <w:rPr>
          <w:b/>
          <w:bCs/>
          <w:sz w:val="16"/>
          <w:szCs w:val="16"/>
        </w:rPr>
        <w:t>se po něm hnal:</w:t>
      </w:r>
    </w:p>
    <w:p w:rsidR="00500724" w:rsidRDefault="00F30FB8">
      <w:pPr>
        <w:pStyle w:val="Zkladntext40"/>
        <w:shd w:val="clear" w:color="auto" w:fill="auto"/>
        <w:spacing w:after="0" w:line="168" w:lineRule="auto"/>
        <w:ind w:firstLine="200"/>
        <w:rPr>
          <w:sz w:val="16"/>
          <w:szCs w:val="16"/>
        </w:rPr>
      </w:pPr>
      <w:r>
        <w:rPr>
          <w:b/>
          <w:bCs/>
          <w:sz w:val="16"/>
          <w:szCs w:val="16"/>
        </w:rPr>
        <w:t>»Dejte pozor, Vollarde, abyste nenadělal v atelieru nepořádek!^</w:t>
      </w:r>
    </w:p>
    <w:p w:rsidR="00500724" w:rsidRDefault="00F30FB8">
      <w:pPr>
        <w:pStyle w:val="Zkladntext40"/>
        <w:shd w:val="clear" w:color="auto" w:fill="auto"/>
        <w:spacing w:after="0" w:line="168" w:lineRule="auto"/>
        <w:ind w:firstLine="200"/>
        <w:rPr>
          <w:sz w:val="16"/>
          <w:szCs w:val="16"/>
        </w:rPr>
      </w:pPr>
      <w:r>
        <w:rPr>
          <w:b/>
          <w:bCs/>
          <w:sz w:val="16"/>
          <w:szCs w:val="16"/>
        </w:rPr>
        <w:t>Když už jsme se dél</w:t>
      </w:r>
      <w:r>
        <w:rPr>
          <w:b/>
          <w:bCs/>
          <w:sz w:val="16"/>
          <w:szCs w:val="16"/>
        </w:rPr>
        <w:t>e stýkali, troufal jsem si pozvat Degase k večeři.</w:t>
      </w:r>
    </w:p>
    <w:p w:rsidR="00500724" w:rsidRDefault="00F30FB8">
      <w:pPr>
        <w:pStyle w:val="Zkladntext40"/>
        <w:shd w:val="clear" w:color="auto" w:fill="auto"/>
        <w:spacing w:after="0" w:line="170" w:lineRule="auto"/>
        <w:ind w:firstLine="200"/>
        <w:rPr>
          <w:sz w:val="16"/>
          <w:szCs w:val="16"/>
        </w:rPr>
      </w:pPr>
      <w:r>
        <w:rPr>
          <w:b/>
          <w:bCs/>
          <w:sz w:val="16"/>
          <w:szCs w:val="16"/>
        </w:rPr>
        <w:t>»Přijdu rád, Vollarde, ale pa</w:t>
      </w:r>
      <w:r>
        <w:rPr>
          <w:b/>
          <w:bCs/>
          <w:sz w:val="16"/>
          <w:szCs w:val="16"/>
        </w:rPr>
        <w:softHyphen/>
        <w:t>matujte si: dostanu jídlo bez másla. Na stole nebudou žádné květiny. Málo světla. Zavřete svou kočku a ať nikdo z hostí nepřivede psa. Budou-li tam dá</w:t>
      </w:r>
      <w:r>
        <w:rPr>
          <w:b/>
          <w:bCs/>
          <w:sz w:val="16"/>
          <w:szCs w:val="16"/>
        </w:rPr>
        <w:softHyphen/>
        <w:t>my, poproste je, ať se n</w:t>
      </w:r>
      <w:r>
        <w:rPr>
          <w:b/>
          <w:bCs/>
          <w:sz w:val="16"/>
          <w:szCs w:val="16"/>
        </w:rPr>
        <w:t>eparfu- mují. — Voňavky! Vždyť jsou na světě věci, které tak krásně voní! Na příklad čerstvě pečený chleba. — A bude se večeřet přesně o půl osmé.ff</w:t>
      </w:r>
    </w:p>
    <w:p w:rsidR="00500724" w:rsidRDefault="00F30FB8">
      <w:pPr>
        <w:pStyle w:val="Zkladntext1"/>
        <w:shd w:val="clear" w:color="auto" w:fill="auto"/>
        <w:spacing w:line="182" w:lineRule="auto"/>
        <w:ind w:firstLine="0"/>
        <w:rPr>
          <w:sz w:val="20"/>
          <w:szCs w:val="20"/>
        </w:rPr>
      </w:pPr>
      <w:r>
        <w:rPr>
          <w:i/>
          <w:iCs/>
          <w:sz w:val="20"/>
          <w:szCs w:val="20"/>
        </w:rPr>
        <w:t xml:space="preserve">nati začátek nebo konec </w:t>
      </w:r>
      <w:r>
        <w:rPr>
          <w:rFonts w:ascii="Arial" w:eastAsia="Arial" w:hAnsi="Arial" w:cs="Arial"/>
          <w:b/>
          <w:bCs/>
          <w:sz w:val="18"/>
          <w:szCs w:val="18"/>
        </w:rPr>
        <w:t xml:space="preserve">v </w:t>
      </w:r>
      <w:r>
        <w:rPr>
          <w:i/>
          <w:iCs/>
          <w:sz w:val="20"/>
          <w:szCs w:val="20"/>
        </w:rPr>
        <w:t xml:space="preserve">člověčenstvu, jako by ani nebyl časově na svém místě v pořadí, zdá se starší ne&amp; </w:t>
      </w:r>
      <w:r>
        <w:rPr>
          <w:i/>
          <w:iCs/>
          <w:sz w:val="20"/>
          <w:szCs w:val="20"/>
        </w:rPr>
        <w:t>Homér. Rozpomeneme-li se, &amp;e Aischylos téměř celý je zaplacen stoupající tmou v paměti lidské, kdyS si při</w:t>
      </w:r>
      <w:r>
        <w:rPr>
          <w:i/>
          <w:iCs/>
          <w:sz w:val="20"/>
          <w:szCs w:val="20"/>
        </w:rPr>
        <w:softHyphen/>
        <w:t>pomeneme, Se se devadesát jeho her ztratilo, Se z oné povzneSené stovky jiS nezbý</w:t>
      </w:r>
      <w:r>
        <w:rPr>
          <w:i/>
          <w:iCs/>
          <w:sz w:val="20"/>
          <w:szCs w:val="20"/>
        </w:rPr>
        <w:softHyphen/>
        <w:t>vá neS sedm dramat, která vidíme z tohoto genia, a té</w:t>
      </w:r>
      <w:r>
        <w:rPr>
          <w:i/>
          <w:iCs/>
          <w:sz w:val="20"/>
          <w:szCs w:val="20"/>
        </w:rPr>
        <w:softHyphen/>
        <w:t>měř se hrozím</w:t>
      </w:r>
      <w:r>
        <w:rPr>
          <w:i/>
          <w:iCs/>
          <w:sz w:val="20"/>
          <w:szCs w:val="20"/>
        </w:rPr>
        <w:t>e toho, čeho nevidíme.</w:t>
      </w:r>
    </w:p>
    <w:p w:rsidR="00500724" w:rsidRDefault="00F30FB8">
      <w:pPr>
        <w:pStyle w:val="Zkladntext1"/>
        <w:shd w:val="clear" w:color="auto" w:fill="auto"/>
        <w:spacing w:line="182" w:lineRule="auto"/>
        <w:ind w:firstLine="200"/>
        <w:rPr>
          <w:sz w:val="20"/>
          <w:szCs w:val="20"/>
        </w:rPr>
      </w:pPr>
      <w:r>
        <w:rPr>
          <w:i/>
          <w:iCs/>
          <w:sz w:val="20"/>
          <w:szCs w:val="20"/>
        </w:rPr>
        <w:t>Kdo jen byl ten Aischylos? Jaké rozměry a jaké podoby má v těch stínech a tmách? Aischylos má aS po ramena popel věků, je zasypán a jen hlava mu vyčnívá, a, podo</w:t>
      </w:r>
      <w:r>
        <w:rPr>
          <w:i/>
          <w:iCs/>
          <w:sz w:val="20"/>
          <w:szCs w:val="20"/>
        </w:rPr>
        <w:softHyphen/>
        <w:t>ben obru samot, pouhou hla</w:t>
      </w:r>
      <w:r>
        <w:rPr>
          <w:i/>
          <w:iCs/>
          <w:sz w:val="20"/>
          <w:szCs w:val="20"/>
        </w:rPr>
        <w:softHyphen/>
        <w:t>vou jest právě tak veliký ja</w:t>
      </w:r>
      <w:r>
        <w:rPr>
          <w:i/>
          <w:iCs/>
          <w:sz w:val="20"/>
          <w:szCs w:val="20"/>
        </w:rPr>
        <w:softHyphen/>
        <w:t>ko všichni sous</w:t>
      </w:r>
      <w:r>
        <w:rPr>
          <w:i/>
          <w:iCs/>
          <w:sz w:val="20"/>
          <w:szCs w:val="20"/>
        </w:rPr>
        <w:t>ední bohové, vyvýšení na svých podstav</w:t>
      </w:r>
      <w:r>
        <w:rPr>
          <w:i/>
          <w:iCs/>
          <w:sz w:val="20"/>
          <w:szCs w:val="20"/>
        </w:rPr>
        <w:softHyphen/>
        <w:t>cích.</w:t>
      </w:r>
    </w:p>
    <w:p w:rsidR="00500724" w:rsidRDefault="00F30FB8">
      <w:pPr>
        <w:pStyle w:val="Zkladntext1"/>
        <w:shd w:val="clear" w:color="auto" w:fill="auto"/>
        <w:spacing w:line="182" w:lineRule="auto"/>
        <w:ind w:firstLine="200"/>
        <w:rPr>
          <w:sz w:val="20"/>
          <w:szCs w:val="20"/>
        </w:rPr>
      </w:pPr>
      <w:r>
        <w:rPr>
          <w:i/>
          <w:iCs/>
          <w:sz w:val="20"/>
          <w:szCs w:val="20"/>
        </w:rPr>
        <w:t>Člověk obchází toho nepo</w:t>
      </w:r>
      <w:r>
        <w:rPr>
          <w:i/>
          <w:iCs/>
          <w:sz w:val="20"/>
          <w:szCs w:val="20"/>
        </w:rPr>
        <w:softHyphen/>
        <w:t>chopitelného ztroskotance. Zbývá ho dosti pro slávu ne</w:t>
      </w:r>
      <w:r>
        <w:rPr>
          <w:i/>
          <w:iCs/>
          <w:sz w:val="20"/>
          <w:szCs w:val="20"/>
        </w:rPr>
        <w:softHyphen/>
        <w:t>skonalou. Co temnoty po</w:t>
      </w:r>
      <w:r>
        <w:rPr>
          <w:i/>
          <w:iCs/>
          <w:sz w:val="20"/>
          <w:szCs w:val="20"/>
        </w:rPr>
        <w:softHyphen/>
        <w:t xml:space="preserve">hltily, to neznámo přidává k té velikosti. Pohřben a věčný, s čelem čnějícím z hrobu, Aischylos se dívá </w:t>
      </w:r>
      <w:r>
        <w:rPr>
          <w:i/>
          <w:iCs/>
          <w:sz w:val="20"/>
          <w:szCs w:val="20"/>
          <w:u w:val="single"/>
        </w:rPr>
        <w:t xml:space="preserve">na </w:t>
      </w:r>
      <w:r>
        <w:rPr>
          <w:i/>
          <w:iCs/>
          <w:sz w:val="20"/>
          <w:szCs w:val="20"/>
          <w:u w:val="single"/>
        </w:rPr>
        <w:t>pokolení a pokolení.</w:t>
      </w:r>
    </w:p>
    <w:p w:rsidR="00500724" w:rsidRDefault="00F30FB8">
      <w:pPr>
        <w:pStyle w:val="Zkladntext40"/>
        <w:shd w:val="clear" w:color="auto" w:fill="auto"/>
        <w:spacing w:after="0" w:line="185" w:lineRule="auto"/>
      </w:pPr>
      <w:r>
        <w:t>s pokroky v lékařství Jako stavi</w:t>
      </w:r>
      <w:r>
        <w:softHyphen/>
        <w:t>telství, stejně tak s objevy v his</w:t>
      </w:r>
      <w:r>
        <w:softHyphen/>
        <w:t>torii Jako v chemii a konfrontu- jicích poučně i zajímavě nové ba</w:t>
      </w:r>
      <w:r>
        <w:softHyphen/>
        <w:t xml:space="preserve">datelské metody a směry s tím, co zde už bylo, nebo s tím, co už dávno bylo zapomenuto, to Je </w:t>
      </w:r>
      <w:r>
        <w:t>největší přednost Vědy a ži</w:t>
      </w:r>
      <w:r>
        <w:softHyphen/>
        <w:t>vota. která stejně názorně i poutavě seznamuje s metodami starověkých lékařů — s jejich chirurgií, jako poučně seznámí s postupem práce moderního chi</w:t>
      </w:r>
      <w:r>
        <w:softHyphen/>
        <w:t>rurga. Nikdo z čtenářů V ě d y a života nebyl zklamán tím, co mu tento časopis</w:t>
      </w:r>
      <w:r>
        <w:t xml:space="preserve"> podal v přístup</w:t>
      </w:r>
      <w:r>
        <w:softHyphen/>
        <w:t>né formě populárního článku, jas</w:t>
      </w:r>
      <w:r>
        <w:softHyphen/>
        <w:t>né poznámky nebo přístupného feuilletonu. Vždyt jen nahlédnutí do rejstříku a obsahu jednotli</w:t>
      </w:r>
      <w:r>
        <w:softHyphen/>
        <w:t>vých ročníků znamená jedno pře</w:t>
      </w:r>
      <w:r>
        <w:softHyphen/>
        <w:t>kvapení za druhým. Ptáte se na něco z dějin lidstva, na osudy ná</w:t>
      </w:r>
      <w:r>
        <w:softHyphen/>
        <w:t>rodů, na umění a</w:t>
      </w:r>
      <w:r>
        <w:t xml:space="preserve"> jeho vývoj? Jste zvědavi na to. Jaký pokrok byl učiněn v stavitelství pozem</w:t>
      </w:r>
      <w:r>
        <w:softHyphen/>
        <w:t>ním i vodním, chcete se poněkud vyznat v labyrintu lidské psy</w:t>
      </w:r>
      <w:r>
        <w:softHyphen/>
        <w:t>chy nebo snad dokonce v prak</w:t>
      </w:r>
      <w:r>
        <w:softHyphen/>
        <w:t>tickém lékařství? Chcete znát podstatu chorob a epidemií, Jež dnes ohrožuji lidstvo a sv</w:t>
      </w:r>
      <w:r>
        <w:t>ět? Chcete projít kosmem a nezablou</w:t>
      </w:r>
      <w:r>
        <w:softHyphen/>
        <w:t>dit v Jeho závratných dálkách a výších, mezi hvězdami a oceány? Díváte se tváři v tvář událostem, jež kolem vás míjí, stavíce náš národ na osudnou křižovatku dě</w:t>
      </w:r>
      <w:r>
        <w:softHyphen/>
        <w:t>jin, tváři v tvář vichřicím časů a chcete mlti pevný, určit</w:t>
      </w:r>
      <w:r>
        <w:t>ý po</w:t>
      </w:r>
      <w:r>
        <w:softHyphen/>
        <w:t>stoj k všemu tomu, co národ i vás samé vystavuje zkouškám, co vás z problémů dneška mate a zneklidňuje, co doléhá na vaše srdce 1 rozum trýznivými otázka</w:t>
      </w:r>
      <w:r>
        <w:softHyphen/>
        <w:t>mi po smyslu života i smrti, lid</w:t>
      </w:r>
      <w:r>
        <w:softHyphen/>
        <w:t>ství a národa? Nuže, ani zde vás Věda a život nenechává na pochy</w:t>
      </w:r>
      <w:r>
        <w:t>bách a v nejistotě, jak svědčí zejména úvodní státi jed</w:t>
      </w:r>
      <w:r>
        <w:softHyphen/>
        <w:t>notlivých čísel, kde čtete o duši národa a krocích dějin, o celku a svobodě, o malém národě a úkolech filosofie! Lze říci, že Vědaaživotje něčím víc než měsíčníkem, šířícím poznáni vě</w:t>
      </w:r>
      <w:r>
        <w:softHyphen/>
        <w:t>decké práce a je</w:t>
      </w:r>
      <w:r>
        <w:t>jich výsledků. Tento úkol, který si vytkla při prvním ročníku plni svědomitě. Avšak prohloubila a rozšířila tak. že se stává úvodem do studia a základním pramenem poznání, které Je nám všem prostě ne</w:t>
      </w:r>
      <w:r>
        <w:softHyphen/>
        <w:t>zbytné. Krásně to dokládají po</w:t>
      </w:r>
      <w:r>
        <w:softHyphen/>
        <w:t>slední dva ročníky, kde p</w:t>
      </w:r>
      <w:r>
        <w:t>řiřadila ke každému číslu oddíl Základů, Jimiž až dosud uvedla své čtenáře do fysiky, chemie a biologie a zpestřila každé ěislo popu</w:t>
      </w:r>
      <w:r>
        <w:softHyphen/>
        <w:t>lárně psaným feullletonem.</w:t>
      </w:r>
    </w:p>
    <w:p w:rsidR="00500724" w:rsidRDefault="00F30FB8">
      <w:pPr>
        <w:pStyle w:val="Zkladntext40"/>
        <w:shd w:val="clear" w:color="auto" w:fill="auto"/>
        <w:spacing w:after="120"/>
        <w:ind w:firstLine="200"/>
      </w:pPr>
      <w:r>
        <w:t>Závěrečné dvojčíslo letošního ročníku Vědy a života přináší úvodní článek Bohuslava Boučka: Duše</w:t>
      </w:r>
      <w:r>
        <w:t xml:space="preserve"> národa, věnovaný osobnosti a geniu J. Ev. Purkyně k sedmde</w:t>
      </w:r>
      <w:r>
        <w:softHyphen/>
      </w:r>
    </w:p>
    <w:p w:rsidR="00500724" w:rsidRDefault="00F30FB8">
      <w:pPr>
        <w:pStyle w:val="Zkladntext40"/>
        <w:shd w:val="clear" w:color="auto" w:fill="auto"/>
        <w:spacing w:after="0" w:line="168" w:lineRule="auto"/>
        <w:rPr>
          <w:sz w:val="16"/>
          <w:szCs w:val="16"/>
        </w:rPr>
      </w:pPr>
      <w:r>
        <w:rPr>
          <w:b/>
          <w:bCs/>
          <w:sz w:val="16"/>
          <w:szCs w:val="16"/>
        </w:rPr>
        <w:t>nim býval skutečně velkodušný.</w:t>
      </w:r>
    </w:p>
    <w:p w:rsidR="00500724" w:rsidRDefault="00F30FB8">
      <w:pPr>
        <w:pStyle w:val="Zkladntext40"/>
        <w:shd w:val="clear" w:color="auto" w:fill="auto"/>
        <w:spacing w:after="0" w:line="168" w:lineRule="auto"/>
        <w:ind w:firstLine="200"/>
        <w:rPr>
          <w:sz w:val="16"/>
          <w:szCs w:val="16"/>
        </w:rPr>
      </w:pPr>
      <w:r>
        <w:rPr>
          <w:b/>
          <w:bCs/>
          <w:sz w:val="16"/>
          <w:szCs w:val="16"/>
        </w:rPr>
        <w:t xml:space="preserve">•Jedna vaše bývalá modelka, malá tanečnice z </w:t>
      </w:r>
      <w:r>
        <w:rPr>
          <w:b/>
          <w:bCs/>
          <w:sz w:val="16"/>
          <w:szCs w:val="16"/>
          <w:lang w:val="en-US" w:eastAsia="en-US" w:bidi="en-US"/>
        </w:rPr>
        <w:t xml:space="preserve">Moulin </w:t>
      </w:r>
      <w:r>
        <w:rPr>
          <w:b/>
          <w:bCs/>
          <w:sz w:val="16"/>
          <w:szCs w:val="16"/>
        </w:rPr>
        <w:t>Rouge, má prý od vás svůj portrét,* řekl jsem mu jédnou.</w:t>
      </w:r>
    </w:p>
    <w:p w:rsidR="00500724" w:rsidRDefault="00F30FB8">
      <w:pPr>
        <w:pStyle w:val="Zkladntext40"/>
        <w:shd w:val="clear" w:color="auto" w:fill="auto"/>
        <w:spacing w:after="0" w:line="168" w:lineRule="auto"/>
        <w:ind w:firstLine="200"/>
        <w:jc w:val="left"/>
        <w:rPr>
          <w:sz w:val="16"/>
          <w:szCs w:val="16"/>
        </w:rPr>
      </w:pPr>
      <w:r>
        <w:rPr>
          <w:b/>
          <w:bCs/>
          <w:sz w:val="16"/>
          <w:szCs w:val="16"/>
        </w:rPr>
        <w:t xml:space="preserve">•Není to vlastně portrét,* řekl </w:t>
      </w:r>
      <w:r>
        <w:rPr>
          <w:b/>
          <w:bCs/>
          <w:sz w:val="16"/>
          <w:szCs w:val="16"/>
          <w:lang w:val="en-US" w:eastAsia="en-US" w:bidi="en-US"/>
        </w:rPr>
        <w:t xml:space="preserve">Degas, </w:t>
      </w:r>
      <w:r>
        <w:rPr>
          <w:b/>
          <w:bCs/>
          <w:sz w:val="16"/>
          <w:szCs w:val="16"/>
        </w:rPr>
        <w:t xml:space="preserve">nnamaloval jsem </w:t>
      </w:r>
      <w:r>
        <w:rPr>
          <w:b/>
          <w:bCs/>
          <w:sz w:val="16"/>
          <w:szCs w:val="16"/>
        </w:rPr>
        <w:t>ji, když se probudila. Mezi záclonami lůž</w:t>
      </w:r>
      <w:r>
        <w:rPr>
          <w:b/>
          <w:bCs/>
          <w:sz w:val="16"/>
          <w:szCs w:val="16"/>
        </w:rPr>
        <w:softHyphen/>
        <w:t>ka je vidět jenom nohy. tápajíc! na perském koberci po pantoflích. Pamatuji se dokonce na čer</w:t>
      </w:r>
      <w:r>
        <w:rPr>
          <w:b/>
          <w:bCs/>
          <w:sz w:val="16"/>
          <w:szCs w:val="16"/>
        </w:rPr>
        <w:softHyphen/>
        <w:t xml:space="preserve">vené a žluté barvy koberce. A na dvě zelené punčochy. Chtěl jsem si to plátno nechat, ale té chudince se tak líbilo, že </w:t>
      </w:r>
      <w:r>
        <w:rPr>
          <w:b/>
          <w:bCs/>
          <w:sz w:val="16"/>
          <w:szCs w:val="16"/>
        </w:rPr>
        <w:t>jsem jl Je dal. Dověděl jsem se potom, že začala malovat, a že se stala žákyní Josefa Baila.*</w:t>
      </w:r>
    </w:p>
    <w:p w:rsidR="00500724" w:rsidRDefault="00F30FB8">
      <w:pPr>
        <w:pStyle w:val="Zkladntext40"/>
        <w:shd w:val="clear" w:color="auto" w:fill="auto"/>
        <w:spacing w:after="0" w:line="166" w:lineRule="auto"/>
        <w:ind w:firstLine="200"/>
        <w:rPr>
          <w:sz w:val="16"/>
          <w:szCs w:val="16"/>
        </w:rPr>
      </w:pPr>
      <w:r>
        <w:rPr>
          <w:b/>
          <w:bCs/>
          <w:sz w:val="16"/>
          <w:szCs w:val="16"/>
        </w:rPr>
        <w:t>Vyptával jsem se Degase na další podrobnosti, týkajíc! se ma</w:t>
      </w:r>
      <w:r>
        <w:rPr>
          <w:b/>
          <w:bCs/>
          <w:sz w:val="16"/>
          <w:szCs w:val="16"/>
        </w:rPr>
        <w:softHyphen/>
        <w:t>jitelky obrazu.</w:t>
      </w:r>
    </w:p>
    <w:p w:rsidR="00500724" w:rsidRDefault="00F30FB8">
      <w:pPr>
        <w:pStyle w:val="Zkladntext40"/>
        <w:shd w:val="clear" w:color="auto" w:fill="auto"/>
        <w:spacing w:after="0" w:line="166" w:lineRule="auto"/>
        <w:ind w:firstLine="200"/>
        <w:rPr>
          <w:sz w:val="16"/>
          <w:szCs w:val="16"/>
        </w:rPr>
      </w:pPr>
      <w:r>
        <w:rPr>
          <w:b/>
          <w:bCs/>
          <w:sz w:val="16"/>
          <w:szCs w:val="16"/>
        </w:rPr>
        <w:t>•Vidím, kam míříte, Vollarde. Chcete ten obraz od nl koupit. Myslím, že to nebude tak</w:t>
      </w:r>
      <w:r>
        <w:rPr>
          <w:b/>
          <w:bCs/>
          <w:sz w:val="16"/>
          <w:szCs w:val="16"/>
        </w:rPr>
        <w:t xml:space="preserve"> snadné. Měla jej tolik ráda! A pak prý se jí teď docela dobře daří.*</w:t>
      </w:r>
    </w:p>
    <w:p w:rsidR="00500724" w:rsidRDefault="00F30FB8">
      <w:pPr>
        <w:pStyle w:val="Zkladntext40"/>
        <w:shd w:val="clear" w:color="auto" w:fill="auto"/>
        <w:spacing w:after="0" w:line="166" w:lineRule="auto"/>
        <w:ind w:firstLine="200"/>
        <w:rPr>
          <w:sz w:val="16"/>
          <w:szCs w:val="16"/>
        </w:rPr>
      </w:pPr>
      <w:r>
        <w:rPr>
          <w:b/>
          <w:bCs/>
          <w:sz w:val="16"/>
          <w:szCs w:val="16"/>
          <w:lang w:val="en-US" w:eastAsia="en-US" w:bidi="en-US"/>
        </w:rPr>
        <w:t xml:space="preserve">Degas </w:t>
      </w:r>
      <w:r>
        <w:rPr>
          <w:b/>
          <w:bCs/>
          <w:sz w:val="16"/>
          <w:szCs w:val="16"/>
        </w:rPr>
        <w:t>se nemýlil v mých úmyslech. Jednalo se o to, najít bývalou tanečnici. Dal jsem se do toho a konečně jsem dostal její adresu. Nosil jsem rád neko</w:t>
      </w:r>
      <w:r>
        <w:rPr>
          <w:b/>
          <w:bCs/>
          <w:sz w:val="16"/>
          <w:szCs w:val="16"/>
        </w:rPr>
        <w:softHyphen/>
        <w:t>nečně dlouho staré šaty a obno</w:t>
      </w:r>
      <w:r>
        <w:rPr>
          <w:b/>
          <w:bCs/>
          <w:sz w:val="16"/>
          <w:szCs w:val="16"/>
        </w:rPr>
        <w:softHyphen/>
        <w:t>šený</w:t>
      </w:r>
      <w:r>
        <w:rPr>
          <w:b/>
          <w:bCs/>
          <w:sz w:val="16"/>
          <w:szCs w:val="16"/>
        </w:rPr>
        <w:t xml:space="preserve"> klobouk. Svrchník, který jsem měl na sobě, také nevzbuzo</w:t>
      </w:r>
      <w:r>
        <w:rPr>
          <w:b/>
          <w:bCs/>
          <w:sz w:val="16"/>
          <w:szCs w:val="16"/>
        </w:rPr>
        <w:softHyphen/>
        <w:t>val ke mně důvěru. Když jsem zazvonil u dveří bytu. nechala mne služka, která přišla otevřít, stát na chodbě. Vysvětloval jsem jí obšírně důvod své návštěvy.</w:t>
      </w:r>
    </w:p>
    <w:p w:rsidR="00500724" w:rsidRDefault="00F30FB8">
      <w:pPr>
        <w:pStyle w:val="Zkladntext40"/>
        <w:shd w:val="clear" w:color="auto" w:fill="auto"/>
        <w:spacing w:after="100" w:line="206" w:lineRule="auto"/>
      </w:pPr>
      <w:r>
        <w:t>sátému výročí Purkyňovy smrti. Dále tu p</w:t>
      </w:r>
      <w:r>
        <w:t>íše Frant. Oberpfalcer o Jazyce lidovém, Oldřich Hlaváč o zubním kazu, Václav Neumann O zrůdách a zrádnostech, Vladi</w:t>
      </w:r>
      <w:r>
        <w:softHyphen/>
        <w:t>mír Rypáček o biologii rostlin, Josef Klíma o tom. Jak rostla římská řiše. Číslo bohatě ilustro</w:t>
      </w:r>
      <w:r>
        <w:softHyphen/>
        <w:t>vané a doplněné četnými vysoce zajímavými p</w:t>
      </w:r>
      <w:r>
        <w:t>oznámkami a zprá</w:t>
      </w:r>
      <w:r>
        <w:softHyphen/>
        <w:t>vami, z nichž jmenujeme alespoň tu o páleni žáhy. o hledáni ztra</w:t>
      </w:r>
      <w:r>
        <w:softHyphen/>
        <w:t>ceného radia a neviditelném ne</w:t>
      </w:r>
      <w:r>
        <w:softHyphen/>
        <w:t>příteli automobilů, přináší Ještě Jedinečný feuilleton Vladimíra Olehly, odpovídající na otázku, maji-li rostliny duši. Cena dvoj</w:t>
      </w:r>
      <w:r>
        <w:softHyphen/>
        <w:t>čísla je 10 K</w:t>
      </w:r>
      <w:r>
        <w:t>.</w:t>
      </w:r>
    </w:p>
    <w:p w:rsidR="00500724" w:rsidRDefault="00F30FB8">
      <w:pPr>
        <w:pStyle w:val="Zkladntext40"/>
        <w:shd w:val="clear" w:color="auto" w:fill="auto"/>
        <w:spacing w:after="0" w:line="190" w:lineRule="auto"/>
      </w:pPr>
      <w:r>
        <w:rPr>
          <w:b/>
          <w:bCs/>
          <w:sz w:val="16"/>
          <w:szCs w:val="16"/>
        </w:rPr>
        <w:t xml:space="preserve">NOVINKY EDICE ATLANTIS </w:t>
      </w:r>
      <w:r>
        <w:t>Brněnský bibliofil a vydavatel edice Atlantis, jejíž svazky slič- nostl svého vzhledu, dokonalosti své výpravy, básnickou hodnotou 1 vybraností svého obsahu, patři k tomu nejcennějšimu, co u nás vycházi knihomilsky, vydal Jako dalš</w:t>
      </w:r>
      <w:r>
        <w:t>í dva svazky své Atlantidy dvě významná a pozoruhodná dí</w:t>
      </w:r>
      <w:r>
        <w:softHyphen/>
        <w:t>la světové literatury. Z nich prvni Příběh o Abindarrae- zovi a krásné Charlíě, krásná, rozkošná novela staro- španělská z doby bojů s Maury, krásně vyzdvihující a podtrhující svým dějem několik zákl</w:t>
      </w:r>
      <w:r>
        <w:t>adních vlastnosti čestného mužství a pří</w:t>
      </w:r>
      <w:r>
        <w:softHyphen/>
        <w:t>kladného hrdinství, Jak se rodí len v skutečně mužných srdcích, Je dílem starošpanělského básní</w:t>
      </w:r>
      <w:r>
        <w:softHyphen/>
        <w:t xml:space="preserve">ka jménem Antonio de </w:t>
      </w:r>
      <w:r>
        <w:rPr>
          <w:lang w:val="en-US" w:eastAsia="en-US" w:bidi="en-US"/>
        </w:rPr>
        <w:t xml:space="preserve">Villegas. </w:t>
      </w:r>
      <w:r>
        <w:t>Má všecky vlastnosti vynikající klasické novely; okouzluje vypra</w:t>
      </w:r>
      <w:r>
        <w:softHyphen/>
        <w:t>věčskou předmětnosti, d</w:t>
      </w:r>
      <w:r>
        <w:t>ějovou dramatičností a výraznými cha</w:t>
      </w:r>
      <w:r>
        <w:softHyphen/>
        <w:t>rakteristikami typů. Přeložil Jl pečlivě Zdeněk Šmíd a krásnou kresbou ji vyzdobil Antonín Pro</w:t>
      </w:r>
      <w:r>
        <w:softHyphen/>
        <w:t>cházka.</w:t>
      </w:r>
    </w:p>
    <w:p w:rsidR="00500724" w:rsidRDefault="00F30FB8">
      <w:pPr>
        <w:pStyle w:val="Zkladntext40"/>
        <w:shd w:val="clear" w:color="auto" w:fill="auto"/>
        <w:spacing w:after="120" w:line="190" w:lineRule="auto"/>
        <w:ind w:firstLine="220"/>
      </w:pPr>
      <w:r>
        <w:t>Druhým dilem Je klasické, vy</w:t>
      </w:r>
      <w:r>
        <w:softHyphen/>
        <w:t xml:space="preserve">nikající dílo Rozhovory </w:t>
      </w:r>
      <w:r>
        <w:rPr>
          <w:b/>
          <w:bCs/>
        </w:rPr>
        <w:t xml:space="preserve">o </w:t>
      </w:r>
      <w:r>
        <w:t>životě a smrti, jehož auto</w:t>
      </w:r>
      <w:r>
        <w:softHyphen/>
        <w:t xml:space="preserve">rem Je velký básník francouzský </w:t>
      </w:r>
      <w:r>
        <w:rPr>
          <w:lang w:val="en-US" w:eastAsia="en-US" w:bidi="en-US"/>
        </w:rPr>
        <w:t>Pa</w:t>
      </w:r>
      <w:r>
        <w:rPr>
          <w:lang w:val="en-US" w:eastAsia="en-US" w:bidi="en-US"/>
        </w:rPr>
        <w:t xml:space="preserve">ul Claudel. </w:t>
      </w:r>
      <w:r>
        <w:t>Je to básnický dia</w:t>
      </w:r>
      <w:r>
        <w:softHyphen/>
        <w:t>log. pojednávající výsostné a svrchovaně o posledních věcech člověka, o tajemství života l smrti, o záhadě býti a o nejzá- važnějšich věcech uměni a krásy. To, co nás na těchto rozhovorech především oslňuje, okouzluje 1 překv</w:t>
      </w:r>
      <w:r>
        <w:t>apuje, je básnickost a bo</w:t>
      </w:r>
      <w:r>
        <w:softHyphen/>
        <w:t>hatost Claudelovy věty, její přís</w:t>
      </w:r>
      <w:r>
        <w:softHyphen/>
        <w:t>ná zákonitost a básnická inten</w:t>
      </w:r>
      <w:r>
        <w:softHyphen/>
        <w:t>sita, její myšlenková zralost i hloubka, osvědčující Claudelovo ryze básnické poznáni světa 1 ži</w:t>
      </w:r>
      <w:r>
        <w:softHyphen/>
        <w:t>vota, poznání, které prozrazuje především a jedině tvůrce, jemuž krá</w:t>
      </w:r>
      <w:r>
        <w:t>sa a umění Jsou sumou živo</w:t>
      </w:r>
      <w:r>
        <w:softHyphen/>
        <w:t>ta, jeho dovršením a požehnáním. Tento nejobsáhlejši svazek, který</w:t>
      </w:r>
    </w:p>
    <w:p w:rsidR="00500724" w:rsidRDefault="00F30FB8">
      <w:pPr>
        <w:pStyle w:val="Zkladntext40"/>
        <w:shd w:val="clear" w:color="auto" w:fill="auto"/>
        <w:spacing w:after="0" w:line="168" w:lineRule="auto"/>
        <w:rPr>
          <w:sz w:val="16"/>
          <w:szCs w:val="16"/>
        </w:rPr>
      </w:pPr>
      <w:r>
        <w:rPr>
          <w:b/>
          <w:bCs/>
          <w:sz w:val="16"/>
          <w:szCs w:val="16"/>
        </w:rPr>
        <w:t>Asi že mi dobře neporozuměla, protože z místností, kde jsem če</w:t>
      </w:r>
      <w:r>
        <w:rPr>
          <w:b/>
          <w:bCs/>
          <w:sz w:val="16"/>
          <w:szCs w:val="16"/>
        </w:rPr>
        <w:softHyphen/>
        <w:t>kal. Jsem slyšel, jak hlásí své pani: »Je zde nějaký nuzně vy</w:t>
      </w:r>
      <w:r>
        <w:rPr>
          <w:b/>
          <w:bCs/>
          <w:sz w:val="16"/>
          <w:szCs w:val="16"/>
        </w:rPr>
        <w:softHyphen/>
        <w:t xml:space="preserve">padajíc! člověk. Říká. že jde pro </w:t>
      </w:r>
      <w:r>
        <w:rPr>
          <w:b/>
          <w:bCs/>
          <w:sz w:val="16"/>
          <w:szCs w:val="16"/>
        </w:rPr>
        <w:t>nohy a punčochy milostivé pani.*</w:t>
      </w:r>
    </w:p>
    <w:p w:rsidR="00500724" w:rsidRDefault="00F30FB8">
      <w:pPr>
        <w:pStyle w:val="Zkladntext40"/>
        <w:shd w:val="clear" w:color="auto" w:fill="auto"/>
        <w:spacing w:after="0" w:line="168" w:lineRule="auto"/>
        <w:ind w:firstLine="220"/>
        <w:rPr>
          <w:sz w:val="16"/>
          <w:szCs w:val="16"/>
        </w:rPr>
      </w:pPr>
      <w:r>
        <w:rPr>
          <w:b/>
          <w:bCs/>
          <w:sz w:val="16"/>
          <w:szCs w:val="16"/>
        </w:rPr>
        <w:t>•Vyhoď ho, Andělo!*</w:t>
      </w:r>
    </w:p>
    <w:p w:rsidR="00500724" w:rsidRDefault="00F30FB8">
      <w:pPr>
        <w:pStyle w:val="Zkladntext40"/>
        <w:shd w:val="clear" w:color="auto" w:fill="auto"/>
        <w:spacing w:after="0" w:line="168" w:lineRule="auto"/>
        <w:ind w:firstLine="220"/>
        <w:jc w:val="left"/>
        <w:rPr>
          <w:sz w:val="16"/>
          <w:szCs w:val="16"/>
        </w:rPr>
      </w:pPr>
      <w:r>
        <w:rPr>
          <w:b/>
          <w:bCs/>
          <w:sz w:val="16"/>
          <w:szCs w:val="16"/>
        </w:rPr>
        <w:t>Neprotestoval jsem. když ml komorná přišla oznámit, že mne pani nemůže přijmout. Po návra</w:t>
      </w:r>
      <w:r>
        <w:rPr>
          <w:b/>
          <w:bCs/>
          <w:sz w:val="16"/>
          <w:szCs w:val="16"/>
        </w:rPr>
        <w:softHyphen/>
        <w:t>tu domů jsem bývalé modelce napsal a vysvětlil jí své počínáni. Nazítří přišla do mého krámu.</w:t>
      </w:r>
    </w:p>
    <w:p w:rsidR="00500724" w:rsidRDefault="00F30FB8">
      <w:pPr>
        <w:pStyle w:val="Zkladntext40"/>
        <w:shd w:val="clear" w:color="auto" w:fill="auto"/>
        <w:spacing w:after="0" w:line="166" w:lineRule="auto"/>
        <w:ind w:firstLine="220"/>
        <w:jc w:val="left"/>
        <w:rPr>
          <w:sz w:val="16"/>
          <w:szCs w:val="16"/>
        </w:rPr>
      </w:pPr>
      <w:r>
        <w:rPr>
          <w:b/>
          <w:bCs/>
          <w:sz w:val="16"/>
          <w:szCs w:val="16"/>
        </w:rPr>
        <w:t>•Prodávají se Degas</w:t>
      </w:r>
      <w:r>
        <w:rPr>
          <w:b/>
          <w:bCs/>
          <w:sz w:val="16"/>
          <w:szCs w:val="16"/>
        </w:rPr>
        <w:t>ové dobře?* ptala se bez obalu.</w:t>
      </w:r>
    </w:p>
    <w:p w:rsidR="00500724" w:rsidRDefault="00F30FB8">
      <w:pPr>
        <w:pStyle w:val="Zkladntext40"/>
        <w:shd w:val="clear" w:color="auto" w:fill="auto"/>
        <w:spacing w:after="0" w:line="166" w:lineRule="auto"/>
        <w:ind w:firstLine="220"/>
        <w:rPr>
          <w:sz w:val="16"/>
          <w:szCs w:val="16"/>
        </w:rPr>
      </w:pPr>
      <w:r>
        <w:rPr>
          <w:b/>
          <w:bCs/>
          <w:sz w:val="16"/>
          <w:szCs w:val="16"/>
        </w:rPr>
        <w:t>•Můj Bože, a jak!*</w:t>
      </w:r>
    </w:p>
    <w:p w:rsidR="00500724" w:rsidRDefault="00F30FB8">
      <w:pPr>
        <w:pStyle w:val="Zkladntext40"/>
        <w:shd w:val="clear" w:color="auto" w:fill="auto"/>
        <w:spacing w:after="0" w:line="166" w:lineRule="auto"/>
        <w:ind w:firstLine="220"/>
        <w:rPr>
          <w:sz w:val="16"/>
          <w:szCs w:val="16"/>
        </w:rPr>
      </w:pPr>
      <w:r>
        <w:rPr>
          <w:b/>
          <w:bCs/>
          <w:sz w:val="16"/>
          <w:szCs w:val="16"/>
        </w:rPr>
        <w:t>»To je škoda!*</w:t>
      </w:r>
    </w:p>
    <w:p w:rsidR="00500724" w:rsidRDefault="00F30FB8">
      <w:pPr>
        <w:pStyle w:val="Zkladntext40"/>
        <w:shd w:val="clear" w:color="auto" w:fill="auto"/>
        <w:spacing w:after="0" w:line="166" w:lineRule="auto"/>
        <w:ind w:firstLine="220"/>
        <w:rPr>
          <w:sz w:val="16"/>
          <w:szCs w:val="16"/>
        </w:rPr>
      </w:pPr>
      <w:r>
        <w:rPr>
          <w:b/>
          <w:bCs/>
          <w:sz w:val="16"/>
          <w:szCs w:val="16"/>
        </w:rPr>
        <w:t>•Vy už ten obraz nemáte?*</w:t>
      </w:r>
    </w:p>
    <w:p w:rsidR="00500724" w:rsidRDefault="00F30FB8">
      <w:pPr>
        <w:pStyle w:val="Zkladntext40"/>
        <w:shd w:val="clear" w:color="auto" w:fill="auto"/>
        <w:spacing w:after="120" w:line="166" w:lineRule="auto"/>
        <w:ind w:firstLine="220"/>
        <w:rPr>
          <w:sz w:val="16"/>
          <w:szCs w:val="16"/>
        </w:rPr>
      </w:pPr>
      <w:r>
        <w:rPr>
          <w:b/>
          <w:bCs/>
          <w:sz w:val="16"/>
          <w:szCs w:val="16"/>
        </w:rPr>
        <w:t xml:space="preserve">•Měla jsem kopírovat </w:t>
      </w:r>
      <w:r>
        <w:rPr>
          <w:b/>
          <w:bCs/>
          <w:sz w:val="16"/>
          <w:szCs w:val="16"/>
          <w:lang w:val="en-US" w:eastAsia="en-US" w:bidi="en-US"/>
        </w:rPr>
        <w:t xml:space="preserve">Kucha- </w:t>
      </w:r>
      <w:r>
        <w:rPr>
          <w:b/>
          <w:bCs/>
          <w:sz w:val="16"/>
          <w:szCs w:val="16"/>
        </w:rPr>
        <w:t xml:space="preserve">říčka od Josefa </w:t>
      </w:r>
      <w:r>
        <w:rPr>
          <w:b/>
          <w:bCs/>
          <w:sz w:val="16"/>
          <w:szCs w:val="16"/>
          <w:lang w:val="en-US" w:eastAsia="en-US" w:bidi="en-US"/>
        </w:rPr>
        <w:t xml:space="preserve">Balia </w:t>
      </w:r>
      <w:r>
        <w:rPr>
          <w:b/>
          <w:bCs/>
          <w:sz w:val="16"/>
          <w:szCs w:val="16"/>
        </w:rPr>
        <w:t>a pro</w:t>
      </w:r>
      <w:r>
        <w:rPr>
          <w:b/>
          <w:bCs/>
          <w:sz w:val="16"/>
          <w:szCs w:val="16"/>
        </w:rPr>
        <w:softHyphen/>
        <w:t>tože jsem neměla po ruce plátno, vzala jsem tam to a přemalovala</w:t>
      </w:r>
    </w:p>
    <w:p w:rsidR="00500724" w:rsidRDefault="00F30FB8">
      <w:pPr>
        <w:pStyle w:val="Zkladntext40"/>
        <w:shd w:val="clear" w:color="auto" w:fill="auto"/>
        <w:spacing w:after="0" w:line="168" w:lineRule="auto"/>
        <w:ind w:firstLine="220"/>
        <w:jc w:val="left"/>
        <w:rPr>
          <w:sz w:val="16"/>
          <w:szCs w:val="16"/>
        </w:rPr>
      </w:pPr>
      <w:r>
        <w:rPr>
          <w:b/>
          <w:bCs/>
          <w:sz w:val="16"/>
          <w:szCs w:val="16"/>
        </w:rPr>
        <w:t>•Máte ještě KHchařlčka?* ptal jsem se.</w:t>
      </w:r>
    </w:p>
    <w:p w:rsidR="00500724" w:rsidRDefault="00F30FB8">
      <w:pPr>
        <w:pStyle w:val="Zkladntext40"/>
        <w:shd w:val="clear" w:color="auto" w:fill="auto"/>
        <w:spacing w:after="0" w:line="168" w:lineRule="auto"/>
        <w:ind w:firstLine="220"/>
        <w:rPr>
          <w:sz w:val="16"/>
          <w:szCs w:val="16"/>
        </w:rPr>
      </w:pPr>
      <w:r>
        <w:rPr>
          <w:b/>
          <w:bCs/>
          <w:sz w:val="16"/>
          <w:szCs w:val="16"/>
        </w:rPr>
        <w:t xml:space="preserve">•Ne </w:t>
      </w:r>
      <w:r>
        <w:rPr>
          <w:b/>
          <w:bCs/>
          <w:sz w:val="16"/>
          <w:szCs w:val="16"/>
        </w:rPr>
        <w:t>prodala jsem jej. Ani ne</w:t>
      </w:r>
      <w:r>
        <w:rPr>
          <w:b/>
          <w:bCs/>
          <w:sz w:val="16"/>
          <w:szCs w:val="16"/>
        </w:rPr>
        <w:softHyphen/>
        <w:t>vím komu. Avšak přinesla jsem vám něco. z čeho budete mit ra</w:t>
      </w:r>
      <w:r>
        <w:rPr>
          <w:b/>
          <w:bCs/>
          <w:sz w:val="16"/>
          <w:szCs w:val="16"/>
        </w:rPr>
        <w:softHyphen/>
        <w:t>dost. Upozorňuji vás předem, že za to žádám slušnou cenu.*</w:t>
      </w:r>
    </w:p>
    <w:p w:rsidR="00500724" w:rsidRDefault="00F30FB8">
      <w:pPr>
        <w:pStyle w:val="Zkladntext40"/>
        <w:shd w:val="clear" w:color="auto" w:fill="auto"/>
        <w:spacing w:after="0" w:line="168" w:lineRule="auto"/>
        <w:ind w:firstLine="220"/>
        <w:rPr>
          <w:sz w:val="16"/>
          <w:szCs w:val="16"/>
        </w:rPr>
      </w:pPr>
      <w:r>
        <w:rPr>
          <w:b/>
          <w:bCs/>
          <w:sz w:val="16"/>
          <w:szCs w:val="16"/>
        </w:rPr>
        <w:t>Otevřela pompadurku a vytáh</w:t>
      </w:r>
      <w:r>
        <w:rPr>
          <w:b/>
          <w:bCs/>
          <w:sz w:val="16"/>
          <w:szCs w:val="16"/>
        </w:rPr>
        <w:softHyphen/>
        <w:t>la školní sešít, v němž byla kra</w:t>
      </w:r>
      <w:r>
        <w:rPr>
          <w:b/>
          <w:bCs/>
          <w:sz w:val="16"/>
          <w:szCs w:val="16"/>
        </w:rPr>
        <w:softHyphen/>
        <w:t>sopisně předepsána písmena, a Je</w:t>
      </w:r>
      <w:r>
        <w:rPr>
          <w:b/>
          <w:bCs/>
          <w:sz w:val="16"/>
          <w:szCs w:val="16"/>
        </w:rPr>
        <w:softHyphen/>
        <w:t>hož okraje byly P</w:t>
      </w:r>
      <w:r>
        <w:rPr>
          <w:b/>
          <w:bCs/>
          <w:sz w:val="16"/>
          <w:szCs w:val="16"/>
        </w:rPr>
        <w:t>očmárány ně</w:t>
      </w:r>
      <w:r>
        <w:rPr>
          <w:b/>
          <w:bCs/>
          <w:sz w:val="16"/>
          <w:szCs w:val="16"/>
        </w:rPr>
        <w:softHyphen/>
        <w:t>čím, co jsem nakonec rozluštil jako obrysy vojáků a koni.</w:t>
      </w:r>
    </w:p>
    <w:p w:rsidR="00500724" w:rsidRDefault="00F30FB8">
      <w:pPr>
        <w:pStyle w:val="Zkladntext40"/>
        <w:shd w:val="clear" w:color="auto" w:fill="auto"/>
        <w:spacing w:after="0" w:line="168" w:lineRule="auto"/>
        <w:ind w:firstLine="220"/>
        <w:rPr>
          <w:sz w:val="16"/>
          <w:szCs w:val="16"/>
        </w:rPr>
      </w:pPr>
      <w:r>
        <w:rPr>
          <w:b/>
          <w:bCs/>
          <w:sz w:val="16"/>
          <w:szCs w:val="16"/>
        </w:rPr>
        <w:t>•To je Detaillův skizzák. Zná</w:t>
      </w:r>
      <w:r>
        <w:rPr>
          <w:b/>
          <w:bCs/>
          <w:sz w:val="16"/>
          <w:szCs w:val="16"/>
        </w:rPr>
        <w:softHyphen/>
        <w:t>te ho? Sám ml jej dal a pravil: •Bylo ml devět let. když jsem</w:t>
      </w:r>
    </w:p>
    <w:p w:rsidR="00500724" w:rsidRDefault="00F30FB8">
      <w:pPr>
        <w:pStyle w:val="Zkladntext40"/>
        <w:shd w:val="clear" w:color="auto" w:fill="auto"/>
        <w:spacing w:after="100" w:line="204" w:lineRule="auto"/>
      </w:pPr>
      <w:r>
        <w:t>až dosud vyšel v krásném, oso</w:t>
      </w:r>
      <w:r>
        <w:softHyphen/>
        <w:t>bitém rouchu, vlastním všem svazkům Atlantidy a připomína</w:t>
      </w:r>
      <w:r>
        <w:softHyphen/>
        <w:t>jící f</w:t>
      </w:r>
      <w:r>
        <w:t>ormou rozhovoru slavné dia</w:t>
      </w:r>
      <w:r>
        <w:softHyphen/>
        <w:t>logy Platonovy, přeložil dokonale a s nevšední péči Josef Hejduk.</w:t>
      </w:r>
    </w:p>
    <w:p w:rsidR="00500724" w:rsidRDefault="00F30FB8">
      <w:pPr>
        <w:pStyle w:val="Zkladntext40"/>
        <w:shd w:val="clear" w:color="auto" w:fill="auto"/>
        <w:spacing w:line="209" w:lineRule="auto"/>
        <w:jc w:val="left"/>
        <w:rPr>
          <w:sz w:val="16"/>
          <w:szCs w:val="16"/>
        </w:rPr>
      </w:pPr>
      <w:r>
        <w:rPr>
          <w:b/>
          <w:bCs/>
          <w:sz w:val="16"/>
          <w:szCs w:val="16"/>
        </w:rPr>
        <w:t>Albert Thlbaudet: DÉJINY FRANCOUZSKÉ LITERATURY OD R. 1789 AŽ PO NA§E DNY</w:t>
      </w:r>
    </w:p>
    <w:p w:rsidR="00500724" w:rsidRDefault="00F30FB8">
      <w:pPr>
        <w:pStyle w:val="Zkladntext40"/>
        <w:shd w:val="clear" w:color="auto" w:fill="auto"/>
        <w:spacing w:after="0" w:line="206" w:lineRule="auto"/>
      </w:pPr>
      <w:r>
        <w:t>Když před časem zemřel náhle na vrcholu své slávy kritik světo</w:t>
      </w:r>
      <w:r>
        <w:softHyphen/>
        <w:t xml:space="preserve">vého jména Albert </w:t>
      </w:r>
      <w:r>
        <w:t>Thlbaudet, profesor dějin francouzského pí</w:t>
      </w:r>
      <w:r>
        <w:softHyphen/>
        <w:t>semnictví na universitě v Žene</w:t>
      </w:r>
      <w:r>
        <w:softHyphen/>
        <w:t>vě, zanechal na svém stole ruko</w:t>
      </w:r>
      <w:r>
        <w:softHyphen/>
        <w:t>pis Dějin francouzské literatury, o nichž pracoval po 10 let.</w:t>
      </w:r>
    </w:p>
    <w:p w:rsidR="00500724" w:rsidRDefault="00F30FB8">
      <w:pPr>
        <w:pStyle w:val="Zkladntext40"/>
        <w:shd w:val="clear" w:color="auto" w:fill="auto"/>
        <w:spacing w:after="0" w:line="206" w:lineRule="auto"/>
        <w:ind w:firstLine="200"/>
      </w:pPr>
      <w:r>
        <w:t>Je to stěžejní dílo, které oso</w:t>
      </w:r>
      <w:r>
        <w:softHyphen/>
        <w:t>bitě a duchaplně podává historii literatury od počátku do</w:t>
      </w:r>
      <w:r>
        <w:t xml:space="preserve"> fran</w:t>
      </w:r>
      <w:r>
        <w:softHyphen/>
        <w:t>couzské revoluce a od této, od r 1789, až po současnou dobu.</w:t>
      </w:r>
    </w:p>
    <w:p w:rsidR="00500724" w:rsidRDefault="00F30FB8">
      <w:pPr>
        <w:pStyle w:val="Zkladntext40"/>
        <w:shd w:val="clear" w:color="auto" w:fill="auto"/>
        <w:tabs>
          <w:tab w:val="left" w:pos="998"/>
        </w:tabs>
        <w:spacing w:after="0" w:line="202" w:lineRule="auto"/>
        <w:ind w:firstLine="200"/>
      </w:pPr>
      <w:r>
        <w:t>Jinými slovy je to především nesmírná freska literárního XIX. století, kde vystupuji zejména čtyři portréty, které Jsou skvěle provedeny:</w:t>
      </w:r>
      <w:r>
        <w:tab/>
        <w:t>Lamartině, Viktor</w:t>
      </w:r>
    </w:p>
    <w:p w:rsidR="00500724" w:rsidRDefault="00F30FB8">
      <w:pPr>
        <w:pStyle w:val="Zkladntext40"/>
        <w:shd w:val="clear" w:color="auto" w:fill="auto"/>
        <w:tabs>
          <w:tab w:val="right" w:pos="2486"/>
        </w:tabs>
        <w:spacing w:after="0" w:line="202" w:lineRule="auto"/>
      </w:pPr>
      <w:r>
        <w:rPr>
          <w:lang w:val="en-US" w:eastAsia="en-US" w:bidi="en-US"/>
        </w:rPr>
        <w:t xml:space="preserve">Hugo, </w:t>
      </w:r>
      <w:r>
        <w:t xml:space="preserve">Sainte-Beuve, </w:t>
      </w:r>
      <w:r>
        <w:rPr>
          <w:lang w:val="en-US" w:eastAsia="en-US" w:bidi="en-US"/>
        </w:rPr>
        <w:t xml:space="preserve">Balzac. </w:t>
      </w:r>
      <w:r>
        <w:t>Ale n</w:t>
      </w:r>
      <w:r>
        <w:t>a okraji těchto velkých postav není koutečku, který by zůstal neprobádán, a vidíme objevovat! se lidi, u nichž se — neprávem — znalo sotva Jméno. Nebot Albert Thlbaudet ví všecko. Cl nenapsal o něm Paul Valéry: »Je vševě</w:t>
      </w:r>
      <w:r>
        <w:softHyphen/>
        <w:t>doucí*? Ani anekdota se mu ni</w:t>
      </w:r>
      <w:r>
        <w:softHyphen/>
        <w:t>kdy n</w:t>
      </w:r>
      <w:r>
        <w:t>ezdála bezvýznamnou. A nejen, že vl všecko o literárním jevišti a jeho kulisách, má také dar všecko to oživiti s láskou. Není tu nic suchého. Před námi se střídají jednotlivci. Ideje po</w:t>
      </w:r>
      <w:r>
        <w:softHyphen/>
        <w:t>rážejí Ideje, mravy nastupuji po mravech. V těchto Dějinách, po</w:t>
      </w:r>
      <w:r>
        <w:softHyphen/>
        <w:t>jatých</w:t>
      </w:r>
      <w:r>
        <w:t xml:space="preserve"> pod zorným úhlem lite</w:t>
      </w:r>
      <w:r>
        <w:softHyphen/>
        <w:t>rárních generaci (1789,</w:t>
      </w:r>
      <w:r>
        <w:tab/>
        <w:t>1820.</w:t>
      </w:r>
    </w:p>
    <w:p w:rsidR="00500724" w:rsidRDefault="00F30FB8">
      <w:pPr>
        <w:pStyle w:val="Zkladntext40"/>
        <w:shd w:val="clear" w:color="auto" w:fill="auto"/>
        <w:spacing w:after="0" w:line="202" w:lineRule="auto"/>
      </w:pPr>
      <w:r>
        <w:t>1850, 1885, 1914) Je celé hýba</w:t>
      </w:r>
      <w:r>
        <w:softHyphen/>
        <w:t xml:space="preserve">jící se lidstvo, představované všemi těmi, kteří zanechali svou stopu </w:t>
      </w:r>
      <w:r>
        <w:rPr>
          <w:b/>
          <w:bCs/>
        </w:rPr>
        <w:t xml:space="preserve">v </w:t>
      </w:r>
      <w:r>
        <w:t>písemnictví.</w:t>
      </w:r>
    </w:p>
    <w:p w:rsidR="00500724" w:rsidRDefault="00F30FB8">
      <w:pPr>
        <w:pStyle w:val="Zkladntext40"/>
        <w:shd w:val="clear" w:color="auto" w:fill="auto"/>
        <w:spacing w:after="100" w:line="202" w:lineRule="auto"/>
        <w:ind w:firstLine="200"/>
      </w:pPr>
      <w:r>
        <w:t>Co se týče současné doby, uká</w:t>
      </w:r>
      <w:r>
        <w:softHyphen/>
        <w:t>zal se Albert Thlbaudet ovšem stručnějším, poněvadž se oc</w:t>
      </w:r>
      <w:r>
        <w:t>ital. Jak praví sám, před literaturou ještě nevytříděnou*. ale eo tu du</w:t>
      </w:r>
      <w:r>
        <w:softHyphen/>
        <w:t>chaplných a krásných stránek o generaci r. 1914, o těch, které na</w:t>
      </w:r>
      <w:r>
        <w:softHyphen/>
        <w:t>zývá »zeměbranci«, o Claudelovi, Péguym. Gldeovi, Valérym. kteři k slávě přišli až po válce a o Je</w:t>
      </w:r>
      <w:r>
        <w:softHyphen/>
        <w:t>jich mladších druzí</w:t>
      </w:r>
      <w:r>
        <w:t>ch, •záložní</w:t>
      </w:r>
      <w:r>
        <w:softHyphen/>
        <w:t xml:space="preserve">cích*, jako jsou Chardonne </w:t>
      </w:r>
      <w:r>
        <w:rPr>
          <w:b/>
          <w:bCs/>
        </w:rPr>
        <w:t xml:space="preserve">a </w:t>
      </w:r>
      <w:r>
        <w:t>Mauriac, Maurois a Morand. Dí</w:t>
      </w:r>
      <w:r>
        <w:softHyphen/>
        <w:t>lo Thibaudetovo, Jež přeložili Jar. a Růžena Pochovl, vydal nakla</w:t>
      </w:r>
      <w:r>
        <w:softHyphen/>
        <w:t>datel Josef Svoboda. Cena brož. svazku 56 K.</w:t>
      </w:r>
    </w:p>
    <w:p w:rsidR="00500724" w:rsidRDefault="00F30FB8">
      <w:pPr>
        <w:pStyle w:val="Zkladntext40"/>
        <w:shd w:val="clear" w:color="auto" w:fill="auto"/>
        <w:spacing w:after="0" w:line="168" w:lineRule="auto"/>
        <w:rPr>
          <w:sz w:val="16"/>
          <w:szCs w:val="16"/>
        </w:rPr>
      </w:pPr>
      <w:r>
        <w:rPr>
          <w:b/>
          <w:bCs/>
          <w:sz w:val="16"/>
          <w:szCs w:val="16"/>
        </w:rPr>
        <w:t>tohle kreslil. Střežil jsem ten se</w:t>
      </w:r>
      <w:r>
        <w:rPr>
          <w:b/>
          <w:bCs/>
          <w:sz w:val="16"/>
          <w:szCs w:val="16"/>
        </w:rPr>
        <w:softHyphen/>
        <w:t xml:space="preserve">šit jako oko v hlavě. Odmítl jsem jej </w:t>
      </w:r>
      <w:r>
        <w:rPr>
          <w:b/>
          <w:bCs/>
          <w:sz w:val="16"/>
          <w:szCs w:val="16"/>
        </w:rPr>
        <w:t>dát carově sestřenici a musel jsem slíbit svým přátelům, že jej odkáži Louvru. Protože jsi byla na mne milá, daruji tl jej.*</w:t>
      </w:r>
    </w:p>
    <w:p w:rsidR="00500724" w:rsidRDefault="00F30FB8">
      <w:pPr>
        <w:pStyle w:val="Zkladntext40"/>
        <w:shd w:val="clear" w:color="auto" w:fill="auto"/>
        <w:spacing w:after="0" w:line="168" w:lineRule="auto"/>
        <w:ind w:firstLine="200"/>
        <w:jc w:val="left"/>
        <w:rPr>
          <w:sz w:val="16"/>
          <w:szCs w:val="16"/>
        </w:rPr>
      </w:pPr>
      <w:r>
        <w:rPr>
          <w:b/>
          <w:bCs/>
          <w:sz w:val="16"/>
          <w:szCs w:val="16"/>
        </w:rPr>
        <w:t xml:space="preserve">Když jsem bývalé Detaillově přítelkyni vysvětlil, že </w:t>
      </w:r>
      <w:r>
        <w:rPr>
          <w:b/>
          <w:bCs/>
          <w:sz w:val="16"/>
          <w:szCs w:val="16"/>
          <w:lang w:val="en-US" w:eastAsia="en-US" w:bidi="en-US"/>
        </w:rPr>
        <w:t xml:space="preserve">jeji Degas </w:t>
      </w:r>
      <w:r>
        <w:rPr>
          <w:b/>
          <w:bCs/>
          <w:sz w:val="16"/>
          <w:szCs w:val="16"/>
        </w:rPr>
        <w:t>b' byl měl velkou cenu, avšak Detaille že nemá žádnou, řekla:</w:t>
      </w:r>
    </w:p>
    <w:p w:rsidR="00500724" w:rsidRDefault="00F30FB8">
      <w:pPr>
        <w:pStyle w:val="Zkladntext40"/>
        <w:shd w:val="clear" w:color="auto" w:fill="auto"/>
        <w:spacing w:after="0" w:line="168" w:lineRule="auto"/>
        <w:ind w:firstLine="200"/>
        <w:jc w:val="left"/>
        <w:rPr>
          <w:sz w:val="16"/>
          <w:szCs w:val="16"/>
        </w:rPr>
      </w:pPr>
      <w:r>
        <w:rPr>
          <w:b/>
          <w:bCs/>
          <w:sz w:val="16"/>
          <w:szCs w:val="16"/>
        </w:rPr>
        <w:t>•Niče</w:t>
      </w:r>
      <w:r>
        <w:rPr>
          <w:b/>
          <w:bCs/>
          <w:sz w:val="16"/>
          <w:szCs w:val="16"/>
        </w:rPr>
        <w:t>mu se nedivím. Je to pa- káž, tl kumštýřl! Jeden vás vů</w:t>
      </w:r>
      <w:r>
        <w:rPr>
          <w:b/>
          <w:bCs/>
          <w:sz w:val="16"/>
          <w:szCs w:val="16"/>
        </w:rPr>
        <w:softHyphen/>
        <w:t>bec neupozorni, jakou bude mít</w:t>
      </w:r>
    </w:p>
    <w:p w:rsidR="00500724" w:rsidRDefault="00F30FB8">
      <w:pPr>
        <w:pStyle w:val="Zkladntext40"/>
        <w:framePr w:dropCap="drop" w:lines="2" w:wrap="auto" w:vAnchor="text" w:hAnchor="text"/>
        <w:shd w:val="clear" w:color="auto" w:fill="auto"/>
        <w:spacing w:line="214" w:lineRule="exact"/>
        <w:rPr>
          <w:sz w:val="16"/>
          <w:szCs w:val="16"/>
        </w:rPr>
      </w:pPr>
      <w:r>
        <w:rPr>
          <w:rFonts w:ascii="Arial" w:eastAsia="Arial" w:hAnsi="Arial" w:cs="Arial"/>
          <w:b/>
          <w:bCs/>
          <w:position w:val="-5"/>
          <w:sz w:val="24"/>
          <w:szCs w:val="24"/>
        </w:rPr>
        <w:t>Í</w:t>
      </w:r>
    </w:p>
    <w:p w:rsidR="00500724" w:rsidRDefault="00F30FB8">
      <w:pPr>
        <w:pStyle w:val="Zkladntext40"/>
        <w:shd w:val="clear" w:color="auto" w:fill="auto"/>
        <w:spacing w:after="0" w:line="168" w:lineRule="auto"/>
        <w:jc w:val="left"/>
        <w:rPr>
          <w:sz w:val="16"/>
          <w:szCs w:val="16"/>
        </w:rPr>
      </w:pPr>
      <w:r>
        <w:rPr>
          <w:b/>
          <w:bCs/>
          <w:sz w:val="16"/>
          <w:szCs w:val="16"/>
        </w:rPr>
        <w:t>ednou jeho obraz cenu. a druhý, : němuž jsem byla tak hod</w:t>
      </w:r>
      <w:r>
        <w:rPr>
          <w:b/>
          <w:bCs/>
          <w:sz w:val="16"/>
          <w:szCs w:val="16"/>
        </w:rPr>
        <w:softHyphen/>
        <w:t>ná —x</w:t>
      </w:r>
    </w:p>
    <w:p w:rsidR="00500724" w:rsidRDefault="00F30FB8">
      <w:pPr>
        <w:pStyle w:val="Zkladntext40"/>
        <w:shd w:val="clear" w:color="auto" w:fill="auto"/>
        <w:spacing w:after="0" w:line="168" w:lineRule="auto"/>
        <w:ind w:firstLine="200"/>
        <w:rPr>
          <w:sz w:val="16"/>
          <w:szCs w:val="16"/>
        </w:rPr>
      </w:pPr>
      <w:r>
        <w:rPr>
          <w:b/>
          <w:bCs/>
          <w:sz w:val="16"/>
          <w:szCs w:val="16"/>
        </w:rPr>
        <w:t>Když jsem se setkal s Degasem, ani jsem mu raději neřekl. že Je</w:t>
      </w:r>
      <w:r>
        <w:rPr>
          <w:b/>
          <w:bCs/>
          <w:sz w:val="16"/>
          <w:szCs w:val="16"/>
        </w:rPr>
        <w:softHyphen/>
        <w:t>ho obraz běhá po světě pod ně</w:t>
      </w:r>
      <w:r>
        <w:rPr>
          <w:b/>
          <w:bCs/>
          <w:sz w:val="16"/>
          <w:szCs w:val="16"/>
        </w:rPr>
        <w:softHyphen/>
        <w:t xml:space="preserve">jakým </w:t>
      </w:r>
      <w:r>
        <w:rPr>
          <w:b/>
          <w:bCs/>
          <w:sz w:val="16"/>
          <w:szCs w:val="16"/>
        </w:rPr>
        <w:t>Kuchařičkem druhu Josefa Balla.</w:t>
      </w:r>
    </w:p>
    <w:p w:rsidR="00500724" w:rsidRDefault="00F30FB8">
      <w:pPr>
        <w:pStyle w:val="Zkladntext40"/>
        <w:shd w:val="clear" w:color="auto" w:fill="auto"/>
        <w:spacing w:after="0" w:line="168" w:lineRule="auto"/>
        <w:ind w:firstLine="200"/>
        <w:rPr>
          <w:sz w:val="16"/>
          <w:szCs w:val="16"/>
        </w:rPr>
      </w:pPr>
      <w:r>
        <w:rPr>
          <w:b/>
          <w:bCs/>
          <w:sz w:val="16"/>
          <w:szCs w:val="16"/>
        </w:rPr>
        <w:t>Jednou jsem zastihl Degase při práci na pastelu. Jednom z těch barevných dlvů, jež byly srovná</w:t>
      </w:r>
      <w:r>
        <w:rPr>
          <w:b/>
          <w:bCs/>
          <w:sz w:val="16"/>
          <w:szCs w:val="16"/>
        </w:rPr>
        <w:softHyphen/>
        <w:t xml:space="preserve">vány s pestrobarevnými křidly motýlů. Vypravoval jsem o tom malíři </w:t>
      </w:r>
      <w:r>
        <w:rPr>
          <w:b/>
          <w:bCs/>
          <w:sz w:val="16"/>
          <w:szCs w:val="16"/>
          <w:lang w:val="en-US" w:eastAsia="en-US" w:bidi="en-US"/>
        </w:rPr>
        <w:t>La Touche.</w:t>
      </w:r>
    </w:p>
    <w:p w:rsidR="00500724" w:rsidRDefault="00F30FB8">
      <w:pPr>
        <w:pStyle w:val="Zkladntext40"/>
        <w:shd w:val="clear" w:color="auto" w:fill="auto"/>
        <w:spacing w:after="0" w:line="168" w:lineRule="auto"/>
        <w:ind w:firstLine="200"/>
        <w:rPr>
          <w:sz w:val="16"/>
          <w:szCs w:val="16"/>
        </w:rPr>
      </w:pPr>
      <w:r>
        <w:rPr>
          <w:b/>
          <w:bCs/>
          <w:sz w:val="16"/>
          <w:szCs w:val="16"/>
        </w:rPr>
        <w:t>•Nemohl byste se pokusit vy</w:t>
      </w:r>
      <w:r>
        <w:rPr>
          <w:b/>
          <w:bCs/>
          <w:sz w:val="16"/>
          <w:szCs w:val="16"/>
        </w:rPr>
        <w:softHyphen/>
        <w:t>zvědět od Degase. kde k</w:t>
      </w:r>
      <w:r>
        <w:rPr>
          <w:b/>
          <w:bCs/>
          <w:sz w:val="16"/>
          <w:szCs w:val="16"/>
        </w:rPr>
        <w:t>upuje pastely, kterými dociluje tak zvláštních tónů?* žádal mne.</w:t>
      </w:r>
    </w:p>
    <w:p w:rsidR="00500724" w:rsidRDefault="00F30FB8">
      <w:pPr>
        <w:pStyle w:val="Zkladntext40"/>
        <w:shd w:val="clear" w:color="auto" w:fill="auto"/>
        <w:spacing w:after="0" w:line="168" w:lineRule="auto"/>
        <w:ind w:firstLine="200"/>
        <w:rPr>
          <w:sz w:val="16"/>
          <w:szCs w:val="16"/>
        </w:rPr>
      </w:pPr>
      <w:r>
        <w:rPr>
          <w:b/>
          <w:bCs/>
          <w:sz w:val="16"/>
          <w:szCs w:val="16"/>
        </w:rPr>
        <w:t>Přišel Jsem k Degasovl právě, když měl v rukou pastely a rov</w:t>
      </w:r>
      <w:r>
        <w:rPr>
          <w:b/>
          <w:bCs/>
          <w:sz w:val="16"/>
          <w:szCs w:val="16"/>
        </w:rPr>
        <w:softHyphen/>
        <w:t>nal je na poličku u okna. Bekl mi:</w:t>
      </w:r>
    </w:p>
    <w:p w:rsidR="00500724" w:rsidRDefault="00F30FB8">
      <w:pPr>
        <w:pStyle w:val="Zkladntext40"/>
        <w:shd w:val="clear" w:color="auto" w:fill="auto"/>
        <w:spacing w:after="0" w:line="168" w:lineRule="auto"/>
        <w:ind w:firstLine="200"/>
        <w:jc w:val="left"/>
        <w:rPr>
          <w:sz w:val="16"/>
          <w:szCs w:val="16"/>
        </w:rPr>
      </w:pPr>
      <w:r>
        <w:rPr>
          <w:b/>
          <w:bCs/>
          <w:sz w:val="16"/>
          <w:szCs w:val="16"/>
        </w:rPr>
        <w:t>•Dávám je na slunce, aby bar</w:t>
      </w:r>
      <w:r>
        <w:rPr>
          <w:b/>
          <w:bCs/>
          <w:sz w:val="16"/>
          <w:szCs w:val="16"/>
        </w:rPr>
        <w:softHyphen/>
        <w:t>va co možná nejvíce vybledla.* •Ale jak docilujete oněch sví</w:t>
      </w:r>
      <w:r>
        <w:rPr>
          <w:b/>
          <w:bCs/>
          <w:sz w:val="16"/>
          <w:szCs w:val="16"/>
        </w:rPr>
        <w:softHyphen/>
        <w:t>tivýc</w:t>
      </w:r>
      <w:r>
        <w:rPr>
          <w:b/>
          <w:bCs/>
          <w:sz w:val="16"/>
          <w:szCs w:val="16"/>
        </w:rPr>
        <w:t>h tónů?*</w:t>
      </w:r>
    </w:p>
    <w:p w:rsidR="00500724" w:rsidRDefault="00F30FB8">
      <w:pPr>
        <w:pStyle w:val="Zkladntext40"/>
        <w:shd w:val="clear" w:color="auto" w:fill="auto"/>
        <w:spacing w:after="40" w:line="168" w:lineRule="auto"/>
        <w:ind w:firstLine="200"/>
        <w:rPr>
          <w:sz w:val="16"/>
          <w:szCs w:val="16"/>
        </w:rPr>
        <w:sectPr w:rsidR="00500724">
          <w:footnotePr>
            <w:numFmt w:val="chicago"/>
            <w:numRestart w:val="eachPage"/>
          </w:footnotePr>
          <w:type w:val="continuous"/>
          <w:pgSz w:w="11909" w:h="16834"/>
          <w:pgMar w:top="820" w:right="1028" w:bottom="450" w:left="521" w:header="0" w:footer="3" w:gutter="0"/>
          <w:cols w:num="4" w:sep="1" w:space="100"/>
          <w:noEndnote/>
          <w:docGrid w:linePitch="360"/>
        </w:sectPr>
      </w:pPr>
      <w:r>
        <w:rPr>
          <w:b/>
          <w:bCs/>
          <w:sz w:val="16"/>
          <w:szCs w:val="16"/>
        </w:rPr>
        <w:t>•Vybledlou barvou, pane!*</w:t>
      </w:r>
    </w:p>
    <w:p w:rsidR="00500724" w:rsidRDefault="00F30FB8">
      <w:pPr>
        <w:pStyle w:val="Nadpis30"/>
        <w:keepNext/>
        <w:keepLines/>
        <w:shd w:val="clear" w:color="auto" w:fill="auto"/>
        <w:spacing w:after="0"/>
      </w:pPr>
      <w:bookmarkStart w:id="778" w:name="bookmark777"/>
      <w:r>
        <w:t>PítniinostL</w:t>
      </w:r>
      <w:bookmarkEnd w:id="778"/>
    </w:p>
    <w:tbl>
      <w:tblPr>
        <w:tblOverlap w:val="never"/>
        <w:tblW w:w="0" w:type="auto"/>
        <w:jc w:val="center"/>
        <w:tblLayout w:type="fixed"/>
        <w:tblCellMar>
          <w:left w:w="10" w:type="dxa"/>
          <w:right w:w="10" w:type="dxa"/>
        </w:tblCellMar>
        <w:tblLook w:val="04A0" w:firstRow="1" w:lastRow="0" w:firstColumn="1" w:lastColumn="0" w:noHBand="0" w:noVBand="1"/>
      </w:tblPr>
      <w:tblGrid>
        <w:gridCol w:w="8218"/>
        <w:gridCol w:w="2890"/>
      </w:tblGrid>
      <w:tr w:rsidR="00500724">
        <w:tblPrEx>
          <w:tblCellMar>
            <w:top w:w="0" w:type="dxa"/>
            <w:bottom w:w="0" w:type="dxa"/>
          </w:tblCellMar>
        </w:tblPrEx>
        <w:trPr>
          <w:trHeight w:hRule="exact" w:val="638"/>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tabs>
                <w:tab w:val="left" w:pos="3793"/>
              </w:tabs>
              <w:ind w:left="260" w:firstLine="0"/>
              <w:rPr>
                <w:sz w:val="22"/>
                <w:szCs w:val="22"/>
              </w:rPr>
            </w:pPr>
            <w:r>
              <w:rPr>
                <w:b/>
                <w:bCs/>
                <w:sz w:val="22"/>
                <w:szCs w:val="22"/>
              </w:rPr>
              <w:t>ROČNÍK XVI.</w:t>
            </w:r>
            <w:r>
              <w:rPr>
                <w:b/>
                <w:bCs/>
                <w:sz w:val="22"/>
                <w:szCs w:val="22"/>
              </w:rPr>
              <w:tab/>
              <w:t>V PRAZE 9. SRPNA 1939</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60" w:firstLine="0"/>
              <w:jc w:val="right"/>
              <w:rPr>
                <w:sz w:val="28"/>
                <w:szCs w:val="28"/>
              </w:rPr>
            </w:pPr>
            <w:r>
              <w:rPr>
                <w:b/>
                <w:bCs/>
                <w:sz w:val="22"/>
                <w:szCs w:val="22"/>
              </w:rPr>
              <w:t xml:space="preserve">ZA K </w:t>
            </w:r>
            <w:r>
              <w:rPr>
                <w:b/>
                <w:bCs/>
                <w:sz w:val="28"/>
                <w:szCs w:val="28"/>
              </w:rPr>
              <w:t>2.—</w:t>
            </w:r>
          </w:p>
        </w:tc>
      </w:tr>
      <w:tr w:rsidR="00500724">
        <w:tblPrEx>
          <w:tblCellMar>
            <w:top w:w="0" w:type="dxa"/>
            <w:bottom w:w="0" w:type="dxa"/>
          </w:tblCellMar>
        </w:tblPrEx>
        <w:trPr>
          <w:trHeight w:hRule="exact" w:val="1834"/>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0"/>
              <w:jc w:val="left"/>
              <w:rPr>
                <w:sz w:val="52"/>
                <w:szCs w:val="52"/>
              </w:rPr>
            </w:pPr>
            <w:r>
              <w:rPr>
                <w:rFonts w:ascii="Cambria" w:eastAsia="Cambria" w:hAnsi="Cambria" w:cs="Cambria"/>
                <w:sz w:val="52"/>
                <w:szCs w:val="52"/>
              </w:rPr>
              <w:t>Irsko v boji</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60" w:firstLine="0"/>
              <w:jc w:val="right"/>
              <w:rPr>
                <w:sz w:val="28"/>
                <w:szCs w:val="28"/>
              </w:rPr>
            </w:pPr>
            <w:r>
              <w:rPr>
                <w:b/>
                <w:bCs/>
                <w:sz w:val="28"/>
                <w:szCs w:val="28"/>
              </w:rPr>
              <w:t>PAVEL HOFMAN</w:t>
            </w:r>
          </w:p>
        </w:tc>
      </w:tr>
      <w:tr w:rsidR="00500724">
        <w:tblPrEx>
          <w:tblCellMar>
            <w:top w:w="0" w:type="dxa"/>
            <w:bottom w:w="0" w:type="dxa"/>
          </w:tblCellMar>
        </w:tblPrEx>
        <w:trPr>
          <w:trHeight w:hRule="exact" w:val="1166"/>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tabs>
                <w:tab w:val="left" w:pos="7714"/>
              </w:tabs>
              <w:ind w:left="260" w:firstLine="0"/>
              <w:rPr>
                <w:sz w:val="40"/>
                <w:szCs w:val="40"/>
              </w:rPr>
            </w:pPr>
            <w:r>
              <w:rPr>
                <w:rFonts w:ascii="Cambria" w:eastAsia="Cambria" w:hAnsi="Cambria" w:cs="Cambria"/>
                <w:sz w:val="52"/>
                <w:szCs w:val="52"/>
              </w:rPr>
              <w:t>Chemie ve světové válce</w:t>
            </w:r>
            <w:r>
              <w:rPr>
                <w:rFonts w:ascii="Cambria" w:eastAsia="Cambria" w:hAnsi="Cambria" w:cs="Cambria"/>
                <w:sz w:val="52"/>
                <w:szCs w:val="52"/>
              </w:rPr>
              <w:tab/>
            </w:r>
            <w:r>
              <w:rPr>
                <w:smallCaps/>
                <w:sz w:val="40"/>
                <w:szCs w:val="40"/>
              </w:rPr>
              <w:t>walter greiling</w:t>
            </w:r>
          </w:p>
        </w:tc>
      </w:tr>
      <w:tr w:rsidR="00500724">
        <w:tblPrEx>
          <w:tblCellMar>
            <w:top w:w="0" w:type="dxa"/>
            <w:bottom w:w="0" w:type="dxa"/>
          </w:tblCellMar>
        </w:tblPrEx>
        <w:trPr>
          <w:trHeight w:hRule="exact" w:val="121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260" w:firstLine="0"/>
              <w:rPr>
                <w:sz w:val="52"/>
                <w:szCs w:val="52"/>
              </w:rPr>
            </w:pPr>
            <w:r>
              <w:rPr>
                <w:rFonts w:ascii="Cambria" w:eastAsia="Cambria" w:hAnsi="Cambria" w:cs="Cambria"/>
                <w:sz w:val="52"/>
                <w:szCs w:val="52"/>
              </w:rPr>
              <w:t>Jugoslávská federace</w:t>
            </w:r>
          </w:p>
        </w:tc>
      </w:tr>
      <w:tr w:rsidR="00500724">
        <w:tblPrEx>
          <w:tblCellMar>
            <w:top w:w="0" w:type="dxa"/>
            <w:bottom w:w="0" w:type="dxa"/>
          </w:tblCellMar>
        </w:tblPrEx>
        <w:trPr>
          <w:trHeight w:hRule="exact" w:val="1210"/>
          <w:jc w:val="center"/>
        </w:trPr>
        <w:tc>
          <w:tcPr>
            <w:tcW w:w="0" w:type="auto"/>
            <w:gridSpan w:val="2"/>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left="260" w:firstLine="0"/>
              <w:rPr>
                <w:sz w:val="52"/>
                <w:szCs w:val="52"/>
              </w:rPr>
            </w:pPr>
            <w:r>
              <w:rPr>
                <w:rFonts w:ascii="Cambria" w:eastAsia="Cambria" w:hAnsi="Cambria" w:cs="Cambria"/>
                <w:sz w:val="52"/>
                <w:szCs w:val="52"/>
              </w:rPr>
              <w:t>Vrchní velitel ílofeody</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bottom"/>
          </w:tcPr>
          <w:p w:rsidR="00500724" w:rsidRDefault="00F30FB8">
            <w:pPr>
              <w:pStyle w:val="Jin0"/>
              <w:shd w:val="clear" w:color="auto" w:fill="auto"/>
              <w:ind w:left="260" w:firstLine="0"/>
              <w:jc w:val="left"/>
              <w:rPr>
                <w:sz w:val="52"/>
                <w:szCs w:val="52"/>
              </w:rPr>
            </w:pPr>
            <w:r>
              <w:rPr>
                <w:rFonts w:ascii="Cambria" w:eastAsia="Cambria" w:hAnsi="Cambria" w:cs="Cambria"/>
                <w:sz w:val="52"/>
                <w:szCs w:val="52"/>
              </w:rPr>
              <w:t xml:space="preserve">0 mladých a o </w:t>
            </w:r>
            <w:r>
              <w:rPr>
                <w:rFonts w:ascii="Cambria" w:eastAsia="Cambria" w:hAnsi="Cambria" w:cs="Cambria"/>
                <w:sz w:val="52"/>
                <w:szCs w:val="52"/>
              </w:rPr>
              <w:t>morálce provisoria</w:t>
            </w:r>
          </w:p>
        </w:tc>
        <w:tc>
          <w:tcPr>
            <w:tcW w:w="0" w:type="auto"/>
            <w:tcBorders>
              <w:top w:val="single" w:sz="4" w:space="0" w:color="auto"/>
              <w:left w:val="single" w:sz="4" w:space="0" w:color="auto"/>
              <w:right w:val="single" w:sz="4" w:space="0" w:color="auto"/>
            </w:tcBorders>
            <w:shd w:val="clear" w:color="auto" w:fill="FFFFFF"/>
            <w:vAlign w:val="bottom"/>
          </w:tcPr>
          <w:p w:rsidR="00500724" w:rsidRDefault="00F30FB8">
            <w:pPr>
              <w:pStyle w:val="Jin0"/>
              <w:shd w:val="clear" w:color="auto" w:fill="auto"/>
              <w:ind w:right="260" w:firstLine="0"/>
              <w:jc w:val="right"/>
              <w:rPr>
                <w:sz w:val="28"/>
                <w:szCs w:val="28"/>
              </w:rPr>
            </w:pPr>
            <w:r>
              <w:rPr>
                <w:b/>
                <w:bCs/>
                <w:sz w:val="28"/>
                <w:szCs w:val="28"/>
              </w:rPr>
              <w:t>LUMÍR CIVRNY</w:t>
            </w:r>
          </w:p>
        </w:tc>
      </w:tr>
      <w:tr w:rsidR="00500724">
        <w:tblPrEx>
          <w:tblCellMar>
            <w:top w:w="0" w:type="dxa"/>
            <w:bottom w:w="0" w:type="dxa"/>
          </w:tblCellMar>
        </w:tblPrEx>
        <w:trPr>
          <w:trHeight w:hRule="exact" w:val="1205"/>
          <w:jc w:val="center"/>
        </w:trPr>
        <w:tc>
          <w:tcPr>
            <w:tcW w:w="0" w:type="auto"/>
            <w:tcBorders>
              <w:top w:val="single" w:sz="4" w:space="0" w:color="auto"/>
              <w:left w:val="single" w:sz="4" w:space="0" w:color="auto"/>
            </w:tcBorders>
            <w:shd w:val="clear" w:color="auto" w:fill="FFFFFF"/>
            <w:vAlign w:val="center"/>
          </w:tcPr>
          <w:p w:rsidR="00500724" w:rsidRDefault="00F30FB8">
            <w:pPr>
              <w:pStyle w:val="Jin0"/>
              <w:shd w:val="clear" w:color="auto" w:fill="auto"/>
              <w:ind w:left="260" w:firstLine="0"/>
              <w:jc w:val="left"/>
              <w:rPr>
                <w:sz w:val="52"/>
                <w:szCs w:val="52"/>
              </w:rPr>
            </w:pPr>
            <w:r>
              <w:rPr>
                <w:rFonts w:ascii="Cambria" w:eastAsia="Cambria" w:hAnsi="Cambria" w:cs="Cambria"/>
                <w:sz w:val="52"/>
                <w:szCs w:val="52"/>
              </w:rPr>
              <w:t>Universitní a vědecká čtvrt v Praze</w:t>
            </w:r>
          </w:p>
        </w:tc>
        <w:tc>
          <w:tcPr>
            <w:tcW w:w="0" w:type="auto"/>
            <w:tcBorders>
              <w:top w:val="single" w:sz="4" w:space="0" w:color="auto"/>
              <w:left w:val="single" w:sz="4" w:space="0" w:color="auto"/>
              <w:right w:val="single" w:sz="4" w:space="0" w:color="auto"/>
            </w:tcBorders>
            <w:shd w:val="clear" w:color="auto" w:fill="FFFFFF"/>
            <w:vAlign w:val="center"/>
          </w:tcPr>
          <w:p w:rsidR="00500724" w:rsidRDefault="00F30FB8">
            <w:pPr>
              <w:pStyle w:val="Jin0"/>
              <w:shd w:val="clear" w:color="auto" w:fill="auto"/>
              <w:ind w:right="260" w:firstLine="0"/>
              <w:jc w:val="right"/>
              <w:rPr>
                <w:sz w:val="28"/>
                <w:szCs w:val="28"/>
              </w:rPr>
            </w:pPr>
            <w:r>
              <w:rPr>
                <w:b/>
                <w:bCs/>
                <w:sz w:val="28"/>
                <w:szCs w:val="28"/>
              </w:rPr>
              <w:t>OTTO JÍROVEC</w:t>
            </w:r>
          </w:p>
        </w:tc>
      </w:tr>
      <w:tr w:rsidR="00500724">
        <w:tblPrEx>
          <w:tblCellMar>
            <w:top w:w="0" w:type="dxa"/>
            <w:bottom w:w="0" w:type="dxa"/>
          </w:tblCellMar>
        </w:tblPrEx>
        <w:trPr>
          <w:trHeight w:hRule="exact" w:val="2448"/>
          <w:jc w:val="center"/>
        </w:trPr>
        <w:tc>
          <w:tcPr>
            <w:tcW w:w="0" w:type="auto"/>
            <w:tcBorders>
              <w:top w:val="single" w:sz="4" w:space="0" w:color="auto"/>
              <w:left w:val="single" w:sz="4" w:space="0" w:color="auto"/>
              <w:bottom w:val="single" w:sz="4" w:space="0" w:color="auto"/>
            </w:tcBorders>
            <w:shd w:val="clear" w:color="auto" w:fill="FFFFFF"/>
            <w:vAlign w:val="center"/>
          </w:tcPr>
          <w:p w:rsidR="00500724" w:rsidRDefault="00F30FB8">
            <w:pPr>
              <w:pStyle w:val="Jin0"/>
              <w:shd w:val="clear" w:color="auto" w:fill="auto"/>
              <w:spacing w:line="326" w:lineRule="auto"/>
              <w:ind w:firstLine="0"/>
              <w:jc w:val="right"/>
              <w:rPr>
                <w:sz w:val="28"/>
                <w:szCs w:val="28"/>
              </w:rPr>
            </w:pPr>
            <w:r>
              <w:rPr>
                <w:b/>
                <w:bCs/>
                <w:sz w:val="28"/>
                <w:szCs w:val="28"/>
              </w:rPr>
              <w:t>Týdenní přehled — Organisace a duch — Přeměny — Podivné záhavičky — Konec okružních lístků — Nesnáze 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500724" w:rsidRDefault="00F30FB8">
            <w:pPr>
              <w:pStyle w:val="Jin0"/>
              <w:shd w:val="clear" w:color="auto" w:fill="auto"/>
              <w:spacing w:after="100"/>
              <w:ind w:firstLine="0"/>
              <w:jc w:val="left"/>
              <w:rPr>
                <w:sz w:val="28"/>
                <w:szCs w:val="28"/>
              </w:rPr>
            </w:pPr>
            <w:r>
              <w:rPr>
                <w:b/>
                <w:bCs/>
                <w:sz w:val="28"/>
                <w:szCs w:val="28"/>
              </w:rPr>
              <w:t>O nová jména</w:t>
            </w:r>
          </w:p>
          <w:p w:rsidR="00500724" w:rsidRDefault="00F30FB8">
            <w:pPr>
              <w:pStyle w:val="Jin0"/>
              <w:shd w:val="clear" w:color="auto" w:fill="auto"/>
              <w:spacing w:after="720"/>
              <w:ind w:firstLine="0"/>
              <w:jc w:val="left"/>
              <w:rPr>
                <w:sz w:val="28"/>
                <w:szCs w:val="28"/>
              </w:rPr>
            </w:pPr>
            <w:r>
              <w:rPr>
                <w:b/>
                <w:bCs/>
                <w:sz w:val="28"/>
                <w:szCs w:val="28"/>
              </w:rPr>
              <w:t>moderním uměním</w:t>
            </w:r>
          </w:p>
          <w:p w:rsidR="00500724" w:rsidRDefault="00F30FB8">
            <w:pPr>
              <w:pStyle w:val="Jin0"/>
              <w:shd w:val="clear" w:color="auto" w:fill="auto"/>
              <w:tabs>
                <w:tab w:val="left" w:pos="1966"/>
                <w:tab w:val="left" w:pos="2302"/>
              </w:tabs>
              <w:ind w:left="1740" w:firstLine="0"/>
              <w:rPr>
                <w:sz w:val="8"/>
                <w:szCs w:val="8"/>
              </w:rPr>
            </w:pPr>
            <w:r>
              <w:rPr>
                <w:rFonts w:ascii="Arial" w:eastAsia="Arial" w:hAnsi="Arial" w:cs="Arial"/>
                <w:i/>
                <w:iCs/>
                <w:sz w:val="8"/>
                <w:szCs w:val="8"/>
              </w:rPr>
              <w:t>4</w:t>
            </w:r>
            <w:r>
              <w:rPr>
                <w:rFonts w:ascii="Arial" w:eastAsia="Arial" w:hAnsi="Arial" w:cs="Arial"/>
                <w:i/>
                <w:iCs/>
                <w:sz w:val="8"/>
                <w:szCs w:val="8"/>
              </w:rPr>
              <w:tab/>
              <w:t>. .</w:t>
            </w:r>
            <w:r>
              <w:rPr>
                <w:rFonts w:ascii="Arial" w:eastAsia="Arial" w:hAnsi="Arial" w:cs="Arial"/>
                <w:i/>
                <w:iCs/>
                <w:sz w:val="8"/>
                <w:szCs w:val="8"/>
              </w:rPr>
              <w:tab/>
              <w:t>«</w:t>
            </w:r>
          </w:p>
        </w:tc>
      </w:tr>
    </w:tbl>
    <w:p w:rsidR="00500724" w:rsidRDefault="00500724">
      <w:pPr>
        <w:spacing w:line="14" w:lineRule="exact"/>
        <w:sectPr w:rsidR="00500724">
          <w:footnotePr>
            <w:numFmt w:val="chicago"/>
            <w:numRestart w:val="eachPage"/>
          </w:footnotePr>
          <w:pgSz w:w="11909" w:h="16834"/>
          <w:pgMar w:top="1256" w:right="208" w:bottom="399" w:left="371" w:header="0" w:footer="3" w:gutter="0"/>
          <w:cols w:space="720"/>
          <w:noEndnote/>
          <w:docGrid w:linePitch="360"/>
        </w:sectPr>
      </w:pPr>
    </w:p>
    <w:p w:rsidR="00500724" w:rsidRDefault="00F30FB8">
      <w:pPr>
        <w:pStyle w:val="Nadpis110"/>
        <w:shd w:val="clear" w:color="auto" w:fill="auto"/>
        <w:jc w:val="both"/>
      </w:pPr>
      <w:bookmarkStart w:id="779" w:name="bookmark778"/>
      <w:r>
        <w:t>MUDr.</w:t>
      </w:r>
      <w:r>
        <w:t xml:space="preserve"> ZDENKA NEDVĚDOVÁ-NEJEDLÁ</w:t>
      </w:r>
      <w:bookmarkEnd w:id="779"/>
    </w:p>
    <w:p w:rsidR="00500724" w:rsidRDefault="00F30FB8">
      <w:pPr>
        <w:pStyle w:val="Zkladntext100"/>
        <w:shd w:val="clear" w:color="auto" w:fill="auto"/>
        <w:spacing w:after="80" w:line="240" w:lineRule="auto"/>
        <w:ind w:firstLine="0"/>
      </w:pPr>
      <w:r>
        <w:t xml:space="preserve">odb. dětská lékařka. </w:t>
      </w:r>
      <w:r>
        <w:rPr>
          <w:b/>
          <w:bCs/>
        </w:rPr>
        <w:t xml:space="preserve">PODOLÍ, PANKRÁCKÁ </w:t>
      </w:r>
      <w:r>
        <w:t>14 (stanice elektr. dráhy za Podol, sanatoriem). Ord. 9-10 a 2—4. Tel. 441-77.</w:t>
      </w:r>
    </w:p>
    <w:p w:rsidR="00500724" w:rsidRDefault="00F30FB8">
      <w:pPr>
        <w:pStyle w:val="Nadpis110"/>
        <w:pBdr>
          <w:top w:val="single" w:sz="4" w:space="0" w:color="auto"/>
        </w:pBdr>
        <w:shd w:val="clear" w:color="auto" w:fill="auto"/>
        <w:jc w:val="both"/>
      </w:pPr>
      <w:bookmarkStart w:id="780" w:name="bookmark779"/>
      <w:r>
        <w:t>MUDr. ANTONÍN NEUMANN</w:t>
      </w:r>
      <w:bookmarkEnd w:id="780"/>
    </w:p>
    <w:p w:rsidR="00500724" w:rsidRDefault="00F30FB8">
      <w:pPr>
        <w:pStyle w:val="Zkladntext40"/>
        <w:shd w:val="clear" w:color="auto" w:fill="auto"/>
        <w:spacing w:line="240" w:lineRule="auto"/>
        <w:ind w:firstLine="1040"/>
      </w:pPr>
      <w:r>
        <w:t xml:space="preserve">odborný lékař nemocí pohlavních, kožních a kosmetiky </w:t>
      </w:r>
      <w:r>
        <w:rPr>
          <w:b/>
          <w:bCs/>
          <w:sz w:val="14"/>
          <w:szCs w:val="14"/>
        </w:rPr>
        <w:t xml:space="preserve">PRAHA II., </w:t>
      </w:r>
      <w:r>
        <w:t>iNa Zbořenci 24 — třetí dů</w:t>
      </w:r>
      <w:r>
        <w:t>m”od Karlova náměstí. Ordinuje celý den. V neděli a ve svátek dopoledne. Telefon 41.728.</w:t>
      </w:r>
    </w:p>
    <w:p w:rsidR="00500724" w:rsidRDefault="00F30FB8">
      <w:pPr>
        <w:pStyle w:val="Zkladntext100"/>
        <w:shd w:val="clear" w:color="auto" w:fill="auto"/>
        <w:spacing w:line="240" w:lineRule="auto"/>
        <w:ind w:firstLine="0"/>
        <w:rPr>
          <w:sz w:val="22"/>
          <w:szCs w:val="22"/>
        </w:rPr>
      </w:pPr>
      <w:r>
        <w:t xml:space="preserve">Pro plastickou chirurgii </w:t>
      </w:r>
      <w:r>
        <w:rPr>
          <w:rFonts w:ascii="Arial" w:eastAsia="Arial" w:hAnsi="Arial" w:cs="Arial"/>
          <w:b/>
          <w:bCs/>
          <w:sz w:val="22"/>
          <w:szCs w:val="22"/>
        </w:rPr>
        <w:t>Dr. RUDOLF SLUNEČKO</w:t>
      </w:r>
    </w:p>
    <w:p w:rsidR="00500724" w:rsidRDefault="00F30FB8">
      <w:pPr>
        <w:pStyle w:val="Zkladntext100"/>
        <w:shd w:val="clear" w:color="auto" w:fill="auto"/>
        <w:spacing w:after="140" w:line="240" w:lineRule="auto"/>
        <w:ind w:firstLine="0"/>
      </w:pPr>
      <w:r>
        <w:t xml:space="preserve">ord. 3—4 (a podle úmluvy). Telefon 393-79. PRAHA II., </w:t>
      </w:r>
      <w:r>
        <w:rPr>
          <w:u w:val="single"/>
        </w:rPr>
        <w:t>VODIČKOVA 15 (Hlávkův palác).</w:t>
      </w:r>
    </w:p>
    <w:p w:rsidR="00500724" w:rsidRDefault="00F30FB8">
      <w:pPr>
        <w:pStyle w:val="Zkladntext1"/>
        <w:shd w:val="clear" w:color="auto" w:fill="auto"/>
        <w:spacing w:after="300" w:line="221" w:lineRule="auto"/>
        <w:ind w:firstLine="0"/>
        <w:rPr>
          <w:sz w:val="18"/>
          <w:szCs w:val="18"/>
        </w:rPr>
      </w:pPr>
      <w:r>
        <w:rPr>
          <w:rFonts w:ascii="Arial" w:eastAsia="Arial" w:hAnsi="Arial" w:cs="Arial"/>
          <w:b/>
          <w:bCs/>
          <w:sz w:val="22"/>
          <w:szCs w:val="22"/>
        </w:rPr>
        <w:t xml:space="preserve">MUDr. STANISLAV TUMPACH </w:t>
      </w:r>
      <w:r>
        <w:rPr>
          <w:sz w:val="18"/>
          <w:szCs w:val="18"/>
        </w:rPr>
        <w:t xml:space="preserve">odborný lékař pro chirurgii a urologii. </w:t>
      </w:r>
      <w:r>
        <w:rPr>
          <w:b/>
          <w:bCs/>
          <w:sz w:val="18"/>
          <w:szCs w:val="18"/>
        </w:rPr>
        <w:t>PRAHA XII.,</w:t>
      </w:r>
      <w:r>
        <w:rPr>
          <w:sz w:val="18"/>
          <w:szCs w:val="18"/>
        </w:rPr>
        <w:t>Fochova84 (Nám.krále Jiřího). Ord. 15—17. Tel. 512-86, byt: 513-38.</w:t>
      </w:r>
    </w:p>
    <w:p w:rsidR="00500724" w:rsidRDefault="00F30FB8">
      <w:pPr>
        <w:pStyle w:val="Zkladntext40"/>
        <w:shd w:val="clear" w:color="auto" w:fill="auto"/>
        <w:spacing w:after="0" w:line="240" w:lineRule="auto"/>
        <w:ind w:left="320" w:right="360" w:firstLine="280"/>
      </w:pPr>
      <w:r>
        <w:t>VALENTA EDVARD. Lidé. které jsem potkal cestou, 22X14, 181 str., brož. K 20.—, váz. K 32.—.</w:t>
      </w:r>
    </w:p>
    <w:p w:rsidR="00500724" w:rsidRDefault="00F30FB8">
      <w:pPr>
        <w:pStyle w:val="Zkladntext40"/>
        <w:pBdr>
          <w:bottom w:val="single" w:sz="4" w:space="0" w:color="auto"/>
        </w:pBdr>
        <w:shd w:val="clear" w:color="auto" w:fill="auto"/>
        <w:spacing w:after="240" w:line="240" w:lineRule="auto"/>
        <w:ind w:left="320" w:right="360" w:firstLine="280"/>
      </w:pPr>
      <w:r>
        <w:t>WAGNER-ZELLHOFF-KYZLINK. Národní hospodářství</w:t>
      </w:r>
      <w:r>
        <w:t>. Kniha, která dává odpověď na otázku: Kam směřuje dnešní hospodářský vývoj? 21X13, 288 str., brož. 28.—, váz. 38.—.</w:t>
      </w:r>
    </w:p>
    <w:p w:rsidR="00500724" w:rsidRDefault="00F30FB8">
      <w:pPr>
        <w:pStyle w:val="Jin0"/>
        <w:shd w:val="clear" w:color="auto" w:fill="auto"/>
        <w:ind w:left="260" w:firstLine="0"/>
        <w:rPr>
          <w:sz w:val="28"/>
          <w:szCs w:val="28"/>
        </w:rPr>
      </w:pPr>
      <w:r>
        <w:rPr>
          <w:rFonts w:ascii="Arial" w:eastAsia="Arial" w:hAnsi="Arial" w:cs="Arial"/>
          <w:b/>
          <w:bCs/>
          <w:w w:val="70"/>
          <w:sz w:val="28"/>
          <w:szCs w:val="28"/>
        </w:rPr>
        <w:t>F. Topič</w:t>
      </w:r>
    </w:p>
    <w:p w:rsidR="00500724" w:rsidRDefault="00F30FB8">
      <w:pPr>
        <w:pStyle w:val="Jin0"/>
        <w:shd w:val="clear" w:color="auto" w:fill="auto"/>
        <w:spacing w:after="500"/>
        <w:ind w:left="260" w:firstLine="0"/>
        <w:rPr>
          <w:sz w:val="28"/>
          <w:szCs w:val="28"/>
        </w:rPr>
      </w:pPr>
      <w:r>
        <w:rPr>
          <w:sz w:val="28"/>
          <w:szCs w:val="28"/>
        </w:rPr>
        <w:t>knihkupectví, Praha I., Národní třída 11</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00"/>
        <w:jc w:val="center"/>
      </w:pPr>
      <w:bookmarkStart w:id="781" w:name="bookmark780"/>
      <w:r>
        <w:rPr>
          <w:color w:val="FFFFFF"/>
        </w:rPr>
        <w:t>VAÍ VKUS I NÁROKY USPOKOJÍ</w:t>
      </w:r>
      <w:bookmarkEnd w:id="781"/>
    </w:p>
    <w:p w:rsidR="00500724" w:rsidRDefault="00F30FB8">
      <w:pPr>
        <w:pStyle w:val="Zkladntext40"/>
        <w:shd w:val="clear" w:color="auto" w:fill="auto"/>
        <w:spacing w:after="0" w:line="240" w:lineRule="auto"/>
        <w:jc w:val="center"/>
        <w:rPr>
          <w:sz w:val="14"/>
          <w:szCs w:val="14"/>
        </w:rPr>
      </w:pPr>
      <w:r>
        <w:rPr>
          <w:b/>
          <w:bCs/>
          <w:sz w:val="14"/>
          <w:szCs w:val="14"/>
        </w:rPr>
        <w:t>OBUV PRO VYŠŠÍ NÁROKY</w:t>
      </w:r>
    </w:p>
    <w:p w:rsidR="00500724" w:rsidRDefault="00F30FB8">
      <w:pPr>
        <w:pStyle w:val="Jin0"/>
        <w:shd w:val="clear" w:color="auto" w:fill="auto"/>
        <w:spacing w:line="202" w:lineRule="auto"/>
        <w:ind w:firstLine="0"/>
        <w:jc w:val="center"/>
        <w:rPr>
          <w:sz w:val="30"/>
          <w:szCs w:val="30"/>
        </w:rPr>
      </w:pPr>
      <w:r>
        <w:rPr>
          <w:rFonts w:ascii="Arial" w:eastAsia="Arial" w:hAnsi="Arial" w:cs="Arial"/>
          <w:b/>
          <w:bCs/>
          <w:sz w:val="30"/>
          <w:szCs w:val="30"/>
          <w:lang w:val="en-US" w:eastAsia="en-US" w:bidi="en-US"/>
        </w:rPr>
        <w:t xml:space="preserve">FERRY </w:t>
      </w:r>
      <w:r>
        <w:rPr>
          <w:rFonts w:ascii="Arial" w:eastAsia="Arial" w:hAnsi="Arial" w:cs="Arial"/>
          <w:b/>
          <w:bCs/>
          <w:sz w:val="30"/>
          <w:szCs w:val="30"/>
        </w:rPr>
        <w:t>GRAUHANN</w:t>
      </w:r>
    </w:p>
    <w:p w:rsidR="00500724" w:rsidRDefault="00F30FB8">
      <w:pPr>
        <w:pStyle w:val="Zkladntext1"/>
        <w:shd w:val="clear" w:color="auto" w:fill="auto"/>
        <w:tabs>
          <w:tab w:val="left" w:pos="4090"/>
        </w:tabs>
        <w:ind w:left="260" w:firstLine="0"/>
        <w:rPr>
          <w:sz w:val="18"/>
          <w:szCs w:val="18"/>
        </w:rPr>
      </w:pPr>
      <w:r>
        <w:rPr>
          <w:sz w:val="18"/>
          <w:szCs w:val="18"/>
        </w:rPr>
        <w:t xml:space="preserve">PRAHA I„ PŘÍKOPY, </w:t>
      </w:r>
      <w:r>
        <w:rPr>
          <w:sz w:val="18"/>
          <w:szCs w:val="18"/>
        </w:rPr>
        <w:t>schodiště A.</w:t>
      </w:r>
      <w:r>
        <w:rPr>
          <w:sz w:val="18"/>
          <w:szCs w:val="18"/>
        </w:rPr>
        <w:tab/>
        <w:t>Tel. 315-28.</w:t>
      </w:r>
    </w:p>
    <w:p w:rsidR="00500724" w:rsidRDefault="00F30FB8">
      <w:pPr>
        <w:pStyle w:val="Jin0"/>
        <w:shd w:val="clear" w:color="auto" w:fill="auto"/>
        <w:spacing w:line="262" w:lineRule="auto"/>
        <w:ind w:left="600" w:firstLine="140"/>
        <w:jc w:val="left"/>
        <w:rPr>
          <w:sz w:val="34"/>
          <w:szCs w:val="34"/>
        </w:rPr>
      </w:pPr>
      <w:r>
        <w:rPr>
          <w:rFonts w:ascii="Arial" w:eastAsia="Arial" w:hAnsi="Arial" w:cs="Arial"/>
          <w:i/>
          <w:iCs/>
          <w:sz w:val="34"/>
          <w:szCs w:val="34"/>
        </w:rPr>
        <w:t>Výběr /etničetby z nejlepších původních románů</w:t>
      </w:r>
    </w:p>
    <w:p w:rsidR="00500724" w:rsidRDefault="00F30FB8">
      <w:pPr>
        <w:pStyle w:val="Zkladntext1"/>
        <w:shd w:val="clear" w:color="auto" w:fill="auto"/>
        <w:tabs>
          <w:tab w:val="left" w:pos="1043"/>
        </w:tabs>
        <w:ind w:left="680" w:firstLine="0"/>
        <w:rPr>
          <w:sz w:val="18"/>
          <w:szCs w:val="18"/>
        </w:rPr>
      </w:pPr>
      <w:r>
        <w:rPr>
          <w:sz w:val="18"/>
          <w:szCs w:val="18"/>
        </w:rPr>
        <w:t>K.</w:t>
      </w:r>
      <w:r>
        <w:rPr>
          <w:sz w:val="18"/>
          <w:szCs w:val="18"/>
        </w:rPr>
        <w:tab/>
        <w:t>M. Capek-Chod: JINDROVÉ</w:t>
      </w:r>
    </w:p>
    <w:p w:rsidR="00500724" w:rsidRDefault="00F30FB8">
      <w:pPr>
        <w:pStyle w:val="Zkladntext1"/>
        <w:shd w:val="clear" w:color="auto" w:fill="auto"/>
        <w:spacing w:line="204" w:lineRule="auto"/>
        <w:ind w:left="3020" w:firstLine="20"/>
        <w:jc w:val="left"/>
        <w:rPr>
          <w:sz w:val="18"/>
          <w:szCs w:val="18"/>
        </w:rPr>
      </w:pPr>
      <w:r>
        <w:rPr>
          <w:sz w:val="18"/>
          <w:szCs w:val="18"/>
        </w:rPr>
        <w:t>36. K. Váz. 48 K</w:t>
      </w:r>
    </w:p>
    <w:p w:rsidR="00500724" w:rsidRDefault="00F30FB8">
      <w:pPr>
        <w:pStyle w:val="Zkladntext1"/>
        <w:shd w:val="clear" w:color="auto" w:fill="auto"/>
        <w:ind w:left="600" w:firstLine="60"/>
        <w:rPr>
          <w:sz w:val="18"/>
          <w:szCs w:val="18"/>
        </w:rPr>
      </w:pPr>
      <w:r>
        <w:rPr>
          <w:sz w:val="18"/>
          <w:szCs w:val="18"/>
        </w:rPr>
        <w:t>Gapek Josef: STlN KAPRADINY.</w:t>
      </w:r>
    </w:p>
    <w:p w:rsidR="00500724" w:rsidRDefault="00F30FB8">
      <w:pPr>
        <w:pStyle w:val="Zkladntext1"/>
        <w:shd w:val="clear" w:color="auto" w:fill="auto"/>
        <w:ind w:left="2960" w:firstLine="0"/>
        <w:jc w:val="left"/>
        <w:rPr>
          <w:sz w:val="18"/>
          <w:szCs w:val="18"/>
        </w:rPr>
      </w:pPr>
      <w:r>
        <w:rPr>
          <w:sz w:val="18"/>
          <w:szCs w:val="18"/>
        </w:rPr>
        <w:t>24 K. Váz. 34 K</w:t>
      </w:r>
    </w:p>
    <w:p w:rsidR="00500724" w:rsidRDefault="00F30FB8">
      <w:pPr>
        <w:pStyle w:val="Zkladntext1"/>
        <w:shd w:val="clear" w:color="auto" w:fill="auto"/>
        <w:ind w:left="680" w:right="520" w:firstLine="0"/>
        <w:jc w:val="left"/>
        <w:rPr>
          <w:sz w:val="18"/>
          <w:szCs w:val="18"/>
        </w:rPr>
      </w:pPr>
      <w:r>
        <w:rPr>
          <w:sz w:val="18"/>
          <w:szCs w:val="18"/>
        </w:rPr>
        <w:t>Gapek Karel: KRAKATIT. 35 K. Váz. 45 K Hora Josef: DECH NA SKDE.</w:t>
      </w:r>
    </w:p>
    <w:p w:rsidR="00500724" w:rsidRDefault="00F30FB8">
      <w:pPr>
        <w:pStyle w:val="Zkladntext1"/>
        <w:shd w:val="clear" w:color="auto" w:fill="auto"/>
        <w:spacing w:line="211" w:lineRule="auto"/>
        <w:ind w:left="3020" w:firstLine="20"/>
        <w:jc w:val="left"/>
        <w:rPr>
          <w:sz w:val="18"/>
          <w:szCs w:val="18"/>
        </w:rPr>
      </w:pPr>
      <w:r>
        <w:rPr>
          <w:sz w:val="18"/>
          <w:szCs w:val="18"/>
        </w:rPr>
        <w:t>25 K. Váz. 35 K</w:t>
      </w:r>
    </w:p>
    <w:p w:rsidR="00500724" w:rsidRDefault="00F30FB8">
      <w:pPr>
        <w:pStyle w:val="Zkladntext1"/>
        <w:shd w:val="clear" w:color="auto" w:fill="auto"/>
        <w:ind w:left="600" w:firstLine="60"/>
        <w:rPr>
          <w:sz w:val="18"/>
          <w:szCs w:val="18"/>
        </w:rPr>
      </w:pPr>
      <w:r>
        <w:rPr>
          <w:sz w:val="18"/>
          <w:szCs w:val="18"/>
        </w:rPr>
        <w:t xml:space="preserve">Neumann St. </w:t>
      </w:r>
      <w:r>
        <w:rPr>
          <w:sz w:val="18"/>
          <w:szCs w:val="18"/>
        </w:rPr>
        <w:t>K.: ZLATÝ OBLAK.</w:t>
      </w:r>
    </w:p>
    <w:p w:rsidR="00500724" w:rsidRDefault="00F30FB8">
      <w:pPr>
        <w:pStyle w:val="Zkladntext1"/>
        <w:shd w:val="clear" w:color="auto" w:fill="auto"/>
        <w:spacing w:line="204" w:lineRule="auto"/>
        <w:ind w:left="3020" w:firstLine="20"/>
        <w:jc w:val="left"/>
        <w:rPr>
          <w:sz w:val="18"/>
          <w:szCs w:val="18"/>
        </w:rPr>
      </w:pPr>
      <w:r>
        <w:rPr>
          <w:sz w:val="18"/>
          <w:szCs w:val="18"/>
        </w:rPr>
        <w:t>39 K. Váz. 49 K</w:t>
      </w:r>
    </w:p>
    <w:p w:rsidR="00500724" w:rsidRDefault="00F30FB8">
      <w:pPr>
        <w:pStyle w:val="Zkladntext1"/>
        <w:shd w:val="clear" w:color="auto" w:fill="auto"/>
        <w:ind w:left="600" w:firstLine="60"/>
        <w:rPr>
          <w:sz w:val="18"/>
          <w:szCs w:val="18"/>
        </w:rPr>
      </w:pPr>
      <w:r>
        <w:rPr>
          <w:sz w:val="18"/>
          <w:szCs w:val="18"/>
        </w:rPr>
        <w:t>Poláček Karel: HLAVNI PftELlCENl.</w:t>
      </w:r>
    </w:p>
    <w:p w:rsidR="00500724" w:rsidRDefault="00F30FB8">
      <w:pPr>
        <w:pStyle w:val="Zkladntext1"/>
        <w:shd w:val="clear" w:color="auto" w:fill="auto"/>
        <w:spacing w:line="199" w:lineRule="auto"/>
        <w:ind w:left="3020" w:firstLine="20"/>
        <w:jc w:val="left"/>
        <w:rPr>
          <w:sz w:val="18"/>
          <w:szCs w:val="18"/>
        </w:rPr>
      </w:pPr>
      <w:r>
        <w:rPr>
          <w:sz w:val="18"/>
          <w:szCs w:val="18"/>
        </w:rPr>
        <w:t>32 K. Váz. 44 K</w:t>
      </w:r>
    </w:p>
    <w:p w:rsidR="00500724" w:rsidRDefault="00F30FB8">
      <w:pPr>
        <w:pStyle w:val="Zkladntext1"/>
        <w:shd w:val="clear" w:color="auto" w:fill="auto"/>
        <w:spacing w:line="257" w:lineRule="auto"/>
        <w:ind w:left="600" w:firstLine="60"/>
        <w:rPr>
          <w:sz w:val="18"/>
          <w:szCs w:val="18"/>
        </w:rPr>
      </w:pPr>
      <w:r>
        <w:rPr>
          <w:sz w:val="18"/>
          <w:szCs w:val="18"/>
        </w:rPr>
        <w:t>Pujmanová Marie:</w:t>
      </w:r>
    </w:p>
    <w:p w:rsidR="00500724" w:rsidRDefault="00F30FB8">
      <w:pPr>
        <w:pStyle w:val="Zkladntext1"/>
        <w:shd w:val="clear" w:color="auto" w:fill="auto"/>
        <w:spacing w:line="257" w:lineRule="auto"/>
        <w:ind w:left="600" w:right="520" w:firstLine="240"/>
        <w:jc w:val="left"/>
        <w:rPr>
          <w:sz w:val="18"/>
          <w:szCs w:val="18"/>
        </w:rPr>
      </w:pPr>
      <w:r>
        <w:rPr>
          <w:sz w:val="18"/>
          <w:szCs w:val="18"/>
        </w:rPr>
        <w:t>LIDÉ NA KŘIŽOVATCE. 35 K. Váz. 47 K Řezáč Václav: SLEPÁ ULIČKA.</w:t>
      </w:r>
    </w:p>
    <w:p w:rsidR="00500724" w:rsidRDefault="00F30FB8">
      <w:pPr>
        <w:pStyle w:val="Zkladntext1"/>
        <w:shd w:val="clear" w:color="auto" w:fill="auto"/>
        <w:spacing w:line="199" w:lineRule="auto"/>
        <w:ind w:left="3020" w:firstLine="20"/>
        <w:jc w:val="left"/>
        <w:rPr>
          <w:sz w:val="18"/>
          <w:szCs w:val="18"/>
        </w:rPr>
      </w:pPr>
      <w:r>
        <w:rPr>
          <w:sz w:val="18"/>
          <w:szCs w:val="18"/>
        </w:rPr>
        <w:t>35 K. Váz. 47 K</w:t>
      </w:r>
    </w:p>
    <w:p w:rsidR="00500724" w:rsidRDefault="00F30FB8">
      <w:pPr>
        <w:pStyle w:val="Zkladntext1"/>
        <w:shd w:val="clear" w:color="auto" w:fill="auto"/>
        <w:ind w:left="600" w:firstLine="60"/>
        <w:rPr>
          <w:sz w:val="18"/>
          <w:szCs w:val="18"/>
        </w:rPr>
      </w:pPr>
      <w:r>
        <w:rPr>
          <w:sz w:val="18"/>
          <w:szCs w:val="18"/>
        </w:rPr>
        <w:t>Scheinpflugová Olga: KLÍC OD DOMU.</w:t>
      </w:r>
    </w:p>
    <w:p w:rsidR="00500724" w:rsidRDefault="00F30FB8">
      <w:pPr>
        <w:pStyle w:val="Zkladntext1"/>
        <w:shd w:val="clear" w:color="auto" w:fill="auto"/>
        <w:spacing w:line="199" w:lineRule="auto"/>
        <w:ind w:left="3020" w:firstLine="20"/>
        <w:jc w:val="left"/>
        <w:rPr>
          <w:sz w:val="18"/>
          <w:szCs w:val="18"/>
        </w:rPr>
      </w:pPr>
      <w:r>
        <w:rPr>
          <w:sz w:val="18"/>
          <w:szCs w:val="18"/>
        </w:rPr>
        <w:t>28 K. Váz. 40 K</w:t>
      </w:r>
    </w:p>
    <w:p w:rsidR="00500724" w:rsidRDefault="00F30FB8">
      <w:pPr>
        <w:pStyle w:val="Zkladntext1"/>
        <w:shd w:val="clear" w:color="auto" w:fill="auto"/>
        <w:tabs>
          <w:tab w:val="left" w:pos="2959"/>
        </w:tabs>
        <w:spacing w:line="254" w:lineRule="auto"/>
        <w:ind w:left="600" w:firstLine="60"/>
        <w:rPr>
          <w:sz w:val="18"/>
          <w:szCs w:val="18"/>
        </w:rPr>
      </w:pPr>
      <w:r>
        <w:rPr>
          <w:sz w:val="18"/>
          <w:szCs w:val="18"/>
        </w:rPr>
        <w:t>Šrámek Fráňa: TÉLO.</w:t>
      </w:r>
      <w:r>
        <w:rPr>
          <w:sz w:val="18"/>
          <w:szCs w:val="18"/>
        </w:rPr>
        <w:tab/>
        <w:t>35 K.</w:t>
      </w:r>
      <w:r>
        <w:rPr>
          <w:sz w:val="18"/>
          <w:szCs w:val="18"/>
        </w:rPr>
        <w:t xml:space="preserve"> Váz. 47 K</w:t>
      </w:r>
    </w:p>
    <w:p w:rsidR="00500724" w:rsidRDefault="00F30FB8">
      <w:pPr>
        <w:pStyle w:val="Zkladntext1"/>
        <w:shd w:val="clear" w:color="auto" w:fill="auto"/>
        <w:ind w:left="600" w:firstLine="60"/>
        <w:rPr>
          <w:sz w:val="18"/>
          <w:szCs w:val="18"/>
        </w:rPr>
      </w:pPr>
      <w:r>
        <w:rPr>
          <w:sz w:val="18"/>
          <w:szCs w:val="18"/>
        </w:rPr>
        <w:t>Tilschová Marie: ALMA MATER.</w:t>
      </w:r>
    </w:p>
    <w:p w:rsidR="00500724" w:rsidRDefault="00F30FB8">
      <w:pPr>
        <w:pStyle w:val="Zkladntext1"/>
        <w:pBdr>
          <w:bottom w:val="single" w:sz="4" w:space="0" w:color="auto"/>
        </w:pBdr>
        <w:shd w:val="clear" w:color="auto" w:fill="auto"/>
        <w:spacing w:after="160" w:line="199" w:lineRule="auto"/>
        <w:ind w:left="3020" w:firstLine="20"/>
        <w:jc w:val="left"/>
        <w:rPr>
          <w:sz w:val="18"/>
          <w:szCs w:val="18"/>
        </w:rPr>
      </w:pPr>
      <w:r>
        <w:rPr>
          <w:sz w:val="18"/>
          <w:szCs w:val="18"/>
        </w:rPr>
        <w:t>35 K. Váz. 47 K</w:t>
      </w:r>
    </w:p>
    <w:p w:rsidR="00500724" w:rsidRDefault="00F30FB8">
      <w:pPr>
        <w:pStyle w:val="Jin0"/>
        <w:shd w:val="clear" w:color="auto" w:fill="auto"/>
        <w:spacing w:after="720"/>
        <w:ind w:left="600" w:firstLine="60"/>
        <w:rPr>
          <w:sz w:val="28"/>
          <w:szCs w:val="28"/>
        </w:rPr>
      </w:pPr>
      <w:r>
        <w:rPr>
          <w:rFonts w:ascii="Arial" w:eastAsia="Arial" w:hAnsi="Arial" w:cs="Arial"/>
          <w:b/>
          <w:bCs/>
          <w:w w:val="80"/>
        </w:rPr>
        <w:t xml:space="preserve">Dodá každý knihkupec! </w:t>
      </w:r>
      <w:r>
        <w:rPr>
          <w:rFonts w:ascii="Arial" w:eastAsia="Arial" w:hAnsi="Arial" w:cs="Arial"/>
          <w:b/>
          <w:bCs/>
          <w:w w:val="60"/>
          <w:sz w:val="28"/>
          <w:szCs w:val="28"/>
        </w:rPr>
        <w:t>• FR.BOROVÝ</w:t>
      </w:r>
    </w:p>
    <w:p w:rsidR="00500724" w:rsidRDefault="00F30FB8">
      <w:pPr>
        <w:pStyle w:val="Jin0"/>
        <w:shd w:val="clear" w:color="auto" w:fill="auto"/>
        <w:spacing w:after="60"/>
        <w:ind w:firstLine="0"/>
        <w:jc w:val="left"/>
        <w:rPr>
          <w:sz w:val="28"/>
          <w:szCs w:val="28"/>
        </w:rPr>
      </w:pPr>
      <w:r>
        <w:rPr>
          <w:sz w:val="40"/>
          <w:szCs w:val="40"/>
        </w:rPr>
        <w:t>P</w:t>
      </w:r>
      <w:r>
        <w:rPr>
          <w:sz w:val="28"/>
          <w:szCs w:val="28"/>
        </w:rPr>
        <w:t>oužívejte aktivního uhlí</w:t>
      </w:r>
    </w:p>
    <w:p w:rsidR="00500724" w:rsidRDefault="00F30FB8">
      <w:pPr>
        <w:pStyle w:val="Jin0"/>
        <w:shd w:val="clear" w:color="auto" w:fill="auto"/>
        <w:spacing w:line="209" w:lineRule="auto"/>
        <w:ind w:firstLine="0"/>
        <w:jc w:val="right"/>
        <w:rPr>
          <w:sz w:val="68"/>
          <w:szCs w:val="68"/>
        </w:rPr>
      </w:pPr>
      <w:r>
        <w:rPr>
          <w:rFonts w:ascii="Calibri" w:eastAsia="Calibri" w:hAnsi="Calibri" w:cs="Calibri"/>
          <w:b/>
          <w:bCs/>
          <w:sz w:val="68"/>
          <w:szCs w:val="68"/>
        </w:rPr>
        <w:t>OSTACOL!</w:t>
      </w:r>
    </w:p>
    <w:p w:rsidR="00500724" w:rsidRDefault="00F30FB8">
      <w:pPr>
        <w:pStyle w:val="Zkladntext100"/>
        <w:shd w:val="clear" w:color="auto" w:fill="auto"/>
        <w:spacing w:line="240" w:lineRule="auto"/>
        <w:ind w:firstLine="0"/>
        <w:jc w:val="left"/>
        <w:rPr>
          <w:sz w:val="17"/>
          <w:szCs w:val="17"/>
        </w:rPr>
        <w:sectPr w:rsidR="00500724">
          <w:footnotePr>
            <w:numFmt w:val="chicago"/>
            <w:numRestart w:val="eachPage"/>
          </w:footnotePr>
          <w:pgSz w:w="11909" w:h="16834"/>
          <w:pgMar w:top="1035" w:right="1217" w:bottom="326" w:left="180" w:header="0" w:footer="3" w:gutter="0"/>
          <w:cols w:num="2" w:sep="1" w:space="263"/>
          <w:noEndnote/>
          <w:docGrid w:linePitch="360"/>
        </w:sectPr>
      </w:pPr>
      <w:r>
        <w:rPr>
          <w:rFonts w:ascii="Arial" w:eastAsia="Arial" w:hAnsi="Arial" w:cs="Arial"/>
          <w:sz w:val="24"/>
          <w:szCs w:val="24"/>
        </w:rPr>
        <w:t>V</w:t>
      </w:r>
      <w:r>
        <w:rPr>
          <w:sz w:val="17"/>
          <w:szCs w:val="17"/>
        </w:rPr>
        <w:t>yrábí iSpolek pro chemickou a kutní výroku, Praku</w:t>
      </w:r>
    </w:p>
    <w:p w:rsidR="00500724" w:rsidRDefault="00500724">
      <w:pPr>
        <w:spacing w:before="107" w:after="107"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959" w:right="0" w:bottom="402" w:left="0" w:header="0" w:footer="3" w:gutter="0"/>
          <w:cols w:space="720"/>
          <w:noEndnote/>
          <w:docGrid w:linePitch="360"/>
        </w:sectPr>
      </w:pPr>
    </w:p>
    <w:p w:rsidR="00500724" w:rsidRDefault="00F30FB8">
      <w:pPr>
        <w:spacing w:line="14" w:lineRule="exact"/>
      </w:pPr>
      <w:r>
        <w:rPr>
          <w:noProof/>
        </w:rPr>
        <mc:AlternateContent>
          <mc:Choice Requires="wps">
            <w:drawing>
              <wp:anchor distT="0" distB="530225" distL="114300" distR="132715" simplePos="0" relativeHeight="125830162" behindDoc="0" locked="0" layoutInCell="1" allowOverlap="1">
                <wp:simplePos x="0" y="0"/>
                <wp:positionH relativeFrom="page">
                  <wp:posOffset>80645</wp:posOffset>
                </wp:positionH>
                <wp:positionV relativeFrom="paragraph">
                  <wp:posOffset>1073150</wp:posOffset>
                </wp:positionV>
                <wp:extent cx="2825750" cy="725170"/>
                <wp:effectExtent l="0" t="0" r="0" b="0"/>
                <wp:wrapSquare wrapText="bothSides"/>
                <wp:docPr id="785" name="Shape 785"/>
                <wp:cNvGraphicFramePr/>
                <a:graphic xmlns:a="http://schemas.openxmlformats.org/drawingml/2006/main">
                  <a:graphicData uri="http://schemas.microsoft.com/office/word/2010/wordprocessingShape">
                    <wps:wsp>
                      <wps:cNvSpPr txBox="1"/>
                      <wps:spPr>
                        <a:xfrm>
                          <a:off x="0" y="0"/>
                          <a:ext cx="2825750" cy="725170"/>
                        </a:xfrm>
                        <a:prstGeom prst="rect">
                          <a:avLst/>
                        </a:prstGeom>
                        <a:noFill/>
                      </wps:spPr>
                      <wps:txbx>
                        <w:txbxContent>
                          <w:p w:rsidR="00500724" w:rsidRDefault="00F30FB8">
                            <w:pPr>
                              <w:pStyle w:val="Jin0"/>
                              <w:shd w:val="clear" w:color="auto" w:fill="auto"/>
                              <w:ind w:firstLine="0"/>
                              <w:jc w:val="left"/>
                              <w:rPr>
                                <w:sz w:val="88"/>
                                <w:szCs w:val="88"/>
                              </w:rPr>
                            </w:pPr>
                            <w:r>
                              <w:rPr>
                                <w:sz w:val="88"/>
                                <w:szCs w:val="88"/>
                              </w:rPr>
                              <w:t>Přítomnosti</w:t>
                            </w:r>
                          </w:p>
                        </w:txbxContent>
                      </wps:txbx>
                      <wps:bodyPr lIns="0" tIns="0" rIns="0" bIns="0">
                        <a:spAutoFit/>
                      </wps:bodyPr>
                    </wps:wsp>
                  </a:graphicData>
                </a:graphic>
              </wp:anchor>
            </w:drawing>
          </mc:Choice>
          <mc:Fallback>
            <w:pict>
              <v:shape id="_x0000_s1811" type="#_x0000_t202" style="position:absolute;margin-left:6.3499999999999996pt;margin-top:84.5pt;width:222.5pt;height:57.100000000000001pt;z-index:-125828591;mso-wrap-distance-left:9.pt;mso-wrap-distance-right:10.449999999999999pt;mso-wrap-distance-bottom:41.75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88"/>
                          <w:szCs w:val="88"/>
                        </w:rPr>
                      </w:pPr>
                      <w:r>
                        <w:rPr>
                          <w:color w:val="000000"/>
                          <w:spacing w:val="0"/>
                          <w:w w:val="100"/>
                          <w:position w:val="0"/>
                          <w:sz w:val="88"/>
                          <w:szCs w:val="88"/>
                          <w:shd w:val="clear" w:color="auto" w:fill="auto"/>
                          <w:lang w:val="cs-CZ" w:eastAsia="cs-CZ" w:bidi="cs-CZ"/>
                        </w:rPr>
                        <w:t>Přítomnosti</w:t>
                      </w:r>
                    </w:p>
                  </w:txbxContent>
                </v:textbox>
                <w10:wrap type="square" anchorx="page"/>
              </v:shape>
            </w:pict>
          </mc:Fallback>
        </mc:AlternateContent>
      </w:r>
      <w:r>
        <w:rPr>
          <w:noProof/>
        </w:rPr>
        <mc:AlternateContent>
          <mc:Choice Requires="wps">
            <w:drawing>
              <wp:anchor distT="938530" distB="0" distL="147955" distR="114300" simplePos="0" relativeHeight="125830164" behindDoc="0" locked="0" layoutInCell="1" allowOverlap="1">
                <wp:simplePos x="0" y="0"/>
                <wp:positionH relativeFrom="page">
                  <wp:posOffset>114300</wp:posOffset>
                </wp:positionH>
                <wp:positionV relativeFrom="paragraph">
                  <wp:posOffset>2011680</wp:posOffset>
                </wp:positionV>
                <wp:extent cx="2810510" cy="316865"/>
                <wp:effectExtent l="0" t="0" r="0" b="0"/>
                <wp:wrapSquare wrapText="bothSides"/>
                <wp:docPr id="787" name="Shape 787"/>
                <wp:cNvGraphicFramePr/>
                <a:graphic xmlns:a="http://schemas.openxmlformats.org/drawingml/2006/main">
                  <a:graphicData uri="http://schemas.microsoft.com/office/word/2010/wordprocessingShape">
                    <wps:wsp>
                      <wps:cNvSpPr txBox="1"/>
                      <wps:spPr>
                        <a:xfrm>
                          <a:off x="0" y="0"/>
                          <a:ext cx="2810510" cy="316865"/>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813" type="#_x0000_t202" style="position:absolute;margin-left:9.pt;margin-top:158.40000000000001pt;width:221.30000000000001pt;height:24.949999999999999pt;z-index:-125828589;mso-wrap-distance-left:11.65pt;mso-wrap-distance-top:73.900000000000006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anchorx="page"/>
              </v:shape>
            </w:pict>
          </mc:Fallback>
        </mc:AlternateContent>
      </w:r>
    </w:p>
    <w:p w:rsidR="00500724" w:rsidRDefault="00F30FB8">
      <w:pPr>
        <w:pStyle w:val="Zkladntext1"/>
        <w:shd w:val="clear" w:color="auto" w:fill="auto"/>
        <w:spacing w:after="460" w:line="331" w:lineRule="auto"/>
        <w:ind w:left="280" w:hanging="280"/>
        <w:rPr>
          <w:sz w:val="18"/>
          <w:szCs w:val="18"/>
        </w:rPr>
      </w:pPr>
      <w:r>
        <w:rPr>
          <w:b/>
          <w:bCs/>
          <w:sz w:val="18"/>
          <w:szCs w:val="18"/>
        </w:rPr>
        <w:t xml:space="preserve">OBSAH PŘÍTOMNOSTI </w:t>
      </w:r>
      <w:r>
        <w:rPr>
          <w:b/>
          <w:bCs/>
          <w:smallCaps/>
          <w:sz w:val="22"/>
          <w:szCs w:val="22"/>
        </w:rPr>
        <w:t>č.</w:t>
      </w:r>
      <w:r>
        <w:rPr>
          <w:b/>
          <w:bCs/>
          <w:sz w:val="18"/>
          <w:szCs w:val="18"/>
        </w:rPr>
        <w:t xml:space="preserve"> 31.: Jan Albert: Od „slavného praporu“ k „fajfce tabáku“. — Ladislav Machýček: Dejte pozor, kon- sulové . . .! — Nové tajnosti Kremlu. — </w:t>
      </w:r>
      <w:r>
        <w:rPr>
          <w:b/>
          <w:bCs/>
        </w:rPr>
        <w:t xml:space="preserve">v. </w:t>
      </w:r>
      <w:r>
        <w:rPr>
          <w:b/>
          <w:bCs/>
          <w:sz w:val="18"/>
          <w:szCs w:val="18"/>
        </w:rPr>
        <w:t>Strnad: Jména pražských ulic. — Jan Frank: Bydlení a střecha nad hlavou. —</w:t>
      </w:r>
      <w:r>
        <w:rPr>
          <w:b/>
          <w:bCs/>
          <w:sz w:val="18"/>
          <w:szCs w:val="18"/>
        </w:rPr>
        <w:t xml:space="preserve"> J. Daniel Chamier: Vzpomínka na Viléma </w:t>
      </w:r>
      <w:r>
        <w:rPr>
          <w:b/>
          <w:bCs/>
        </w:rPr>
        <w:t xml:space="preserve">n. </w:t>
      </w:r>
      <w:r>
        <w:rPr>
          <w:b/>
          <w:bCs/>
          <w:sz w:val="18"/>
          <w:szCs w:val="18"/>
        </w:rPr>
        <w:t xml:space="preserve">— Mezi Anglií a Amerikou. — Britská politika v Číně. — </w:t>
      </w:r>
      <w:r>
        <w:rPr>
          <w:b/>
          <w:bCs/>
          <w:sz w:val="18"/>
          <w:szCs w:val="18"/>
          <w:lang w:val="en-US" w:eastAsia="en-US" w:bidi="en-US"/>
        </w:rPr>
        <w:t xml:space="preserve">I. </w:t>
      </w:r>
      <w:r>
        <w:rPr>
          <w:b/>
          <w:bCs/>
          <w:sz w:val="18"/>
          <w:szCs w:val="18"/>
        </w:rPr>
        <w:t xml:space="preserve">R. A. — </w:t>
      </w:r>
      <w:r>
        <w:rPr>
          <w:b/>
          <w:bCs/>
          <w:sz w:val="18"/>
          <w:szCs w:val="18"/>
          <w:u w:val="single"/>
        </w:rPr>
        <w:t>Národní soud. — Úvaha o právnících. — Zakázat noviny v kavárnách ? — „Ubozí a holí“.</w:t>
      </w:r>
    </w:p>
    <w:p w:rsidR="00500724" w:rsidRDefault="00F30FB8">
      <w:pPr>
        <w:pStyle w:val="Nadpis90"/>
        <w:keepNext/>
        <w:keepLines/>
        <w:shd w:val="clear" w:color="auto" w:fill="auto"/>
        <w:spacing w:after="140"/>
        <w:ind w:left="220"/>
      </w:pPr>
      <w:bookmarkStart w:id="782" w:name="bookmark781"/>
      <w:r>
        <w:rPr>
          <w:u w:val="single"/>
        </w:rPr>
        <w:t>nezávislý týdeník</w:t>
      </w:r>
      <w:bookmarkEnd w:id="782"/>
    </w:p>
    <w:p w:rsidR="00500724" w:rsidRDefault="00F30FB8">
      <w:pPr>
        <w:pStyle w:val="Zkladntext100"/>
        <w:shd w:val="clear" w:color="auto" w:fill="auto"/>
        <w:spacing w:line="300" w:lineRule="auto"/>
        <w:ind w:right="40" w:firstLine="0"/>
        <w:jc w:val="center"/>
      </w:pPr>
      <w:r>
        <w:t>vychází ve středu v nakladatelství</w:t>
      </w:r>
      <w:r>
        <w:br/>
        <w:t xml:space="preserve">FR. </w:t>
      </w:r>
      <w:r>
        <w:t>BOROVÝ V PRAZE I., NÁRODNÍ TŘÍDA 11.</w:t>
      </w:r>
    </w:p>
    <w:p w:rsidR="00500724" w:rsidRDefault="00F30FB8">
      <w:pPr>
        <w:pStyle w:val="Zkladntext40"/>
        <w:shd w:val="clear" w:color="auto" w:fill="auto"/>
        <w:spacing w:after="140" w:line="240" w:lineRule="auto"/>
        <w:ind w:left="280" w:firstLine="80"/>
        <w:rPr>
          <w:sz w:val="18"/>
          <w:szCs w:val="18"/>
        </w:rPr>
      </w:pPr>
      <w:r>
        <w:t xml:space="preserve">Telefon číslo 390-51 až 54 • Účet poštovní spořitelny číslo 35.622 • Nevyžádané rukopisy se nevracejí • Předplatné na rok K 100.—. na půl roku K 50.—. na čtvrt roku K 25.—. jednotlivá čísla K 2.—. </w:t>
      </w:r>
      <w:r>
        <w:rPr>
          <w:lang w:val="en-US" w:eastAsia="en-US" w:bidi="en-US"/>
        </w:rPr>
        <w:t xml:space="preserve">Pour </w:t>
      </w:r>
      <w:r>
        <w:t xml:space="preserve">la France et ses </w:t>
      </w:r>
      <w:r>
        <w:rPr>
          <w:lang w:val="en-US" w:eastAsia="en-US" w:bidi="en-US"/>
        </w:rPr>
        <w:t xml:space="preserve">Colonies </w:t>
      </w:r>
      <w:r>
        <w:t xml:space="preserve">Frs 2.50. • Dohléd. pošt. úřad Praha 25. • Odpovědný redaktor Zdeněk Richter. </w:t>
      </w:r>
      <w:r>
        <w:rPr>
          <w:sz w:val="18"/>
          <w:szCs w:val="18"/>
        </w:rPr>
        <w:t>TISKEM ORBIS, PRAHA XII., FOCHOVA 62.</w:t>
      </w:r>
      <w:r>
        <w:br w:type="page"/>
      </w:r>
    </w:p>
    <w:p w:rsidR="00500724" w:rsidRDefault="00F30FB8">
      <w:pPr>
        <w:pStyle w:val="Jin0"/>
        <w:pBdr>
          <w:bottom w:val="single" w:sz="4" w:space="0" w:color="auto"/>
        </w:pBdr>
        <w:shd w:val="clear" w:color="auto" w:fill="auto"/>
        <w:ind w:firstLine="0"/>
        <w:jc w:val="center"/>
        <w:rPr>
          <w:sz w:val="108"/>
          <w:szCs w:val="108"/>
        </w:rPr>
        <w:sectPr w:rsidR="00500724">
          <w:footnotePr>
            <w:numFmt w:val="chicago"/>
            <w:numRestart w:val="eachPage"/>
          </w:footnotePr>
          <w:type w:val="continuous"/>
          <w:pgSz w:w="11909" w:h="16834"/>
          <w:pgMar w:top="959" w:right="962" w:bottom="402" w:left="242" w:header="0" w:footer="3" w:gutter="0"/>
          <w:cols w:space="720"/>
          <w:noEndnote/>
          <w:docGrid w:linePitch="360"/>
        </w:sectPr>
      </w:pPr>
      <w:r>
        <w:rPr>
          <w:sz w:val="108"/>
          <w:szCs w:val="108"/>
        </w:rPr>
        <w:t>Přítomnosti</w:t>
      </w:r>
    </w:p>
    <w:p w:rsidR="00500724" w:rsidRDefault="00500724">
      <w:pPr>
        <w:spacing w:after="596" w:line="14" w:lineRule="exact"/>
      </w:pPr>
    </w:p>
    <w:p w:rsidR="00500724" w:rsidRDefault="00500724">
      <w:pPr>
        <w:spacing w:line="14" w:lineRule="exact"/>
        <w:sectPr w:rsidR="00500724">
          <w:footnotePr>
            <w:numFmt w:val="chicago"/>
            <w:numRestart w:val="eachPage"/>
          </w:footnotePr>
          <w:type w:val="continuous"/>
          <w:pgSz w:w="11909" w:h="16834"/>
          <w:pgMar w:top="884" w:right="1039" w:bottom="675" w:left="444" w:header="0" w:footer="3" w:gutter="0"/>
          <w:cols w:space="720"/>
          <w:noEndnote/>
          <w:docGrid w:linePitch="360"/>
        </w:sectPr>
      </w:pPr>
    </w:p>
    <w:p w:rsidR="00500724" w:rsidRDefault="00F30FB8">
      <w:pPr>
        <w:pStyle w:val="Jin0"/>
        <w:shd w:val="clear" w:color="auto" w:fill="auto"/>
        <w:spacing w:after="120"/>
        <w:ind w:firstLine="0"/>
        <w:jc w:val="center"/>
        <w:rPr>
          <w:sz w:val="28"/>
          <w:szCs w:val="28"/>
        </w:rPr>
      </w:pPr>
      <w:r>
        <w:rPr>
          <w:b/>
          <w:bCs/>
          <w:sz w:val="28"/>
          <w:szCs w:val="28"/>
        </w:rPr>
        <w:t>Irsko v boji</w:t>
      </w:r>
    </w:p>
    <w:p w:rsidR="00500724" w:rsidRDefault="00F30FB8">
      <w:pPr>
        <w:pStyle w:val="Zkladntext1"/>
        <w:shd w:val="clear" w:color="auto" w:fill="auto"/>
        <w:spacing w:line="218" w:lineRule="auto"/>
        <w:ind w:firstLine="260"/>
        <w:rPr>
          <w:sz w:val="20"/>
          <w:szCs w:val="20"/>
        </w:rPr>
      </w:pPr>
      <w:r>
        <w:rPr>
          <w:sz w:val="20"/>
          <w:szCs w:val="20"/>
        </w:rPr>
        <w:t>ač teď vlastně bojuje Irsko? Až do nedávná jsme</w:t>
      </w:r>
      <w:r>
        <w:rPr>
          <w:sz w:val="20"/>
          <w:szCs w:val="20"/>
        </w:rPr>
        <w:t xml:space="preserve"> byli zvyklí vidět je bojovat za svobodu, za její větší nebo menší míru, podle toho, kdo všechno se vložil do staleté</w:t>
      </w:r>
      <w:r>
        <w:rPr>
          <w:sz w:val="20"/>
          <w:szCs w:val="20"/>
        </w:rPr>
        <w:softHyphen/>
        <w:t xml:space="preserve">ho odboje proti Anglii. Dnes je však </w:t>
      </w:r>
      <w:r>
        <w:rPr>
          <w:sz w:val="20"/>
          <w:szCs w:val="20"/>
          <w:lang w:val="en-US" w:eastAsia="en-US" w:bidi="en-US"/>
        </w:rPr>
        <w:t xml:space="preserve">Eire </w:t>
      </w:r>
      <w:r>
        <w:rPr>
          <w:sz w:val="20"/>
          <w:szCs w:val="20"/>
        </w:rPr>
        <w:t>svobodno, má svoji republiku, která jen z vlastní vůle a do odvo</w:t>
      </w:r>
      <w:r>
        <w:rPr>
          <w:sz w:val="20"/>
          <w:szCs w:val="20"/>
        </w:rPr>
        <w:softHyphen/>
        <w:t>lání zůstává ve volném rámci Br</w:t>
      </w:r>
      <w:r>
        <w:rPr>
          <w:sz w:val="20"/>
          <w:szCs w:val="20"/>
        </w:rPr>
        <w:t xml:space="preserve">itské říše, jejimuž králi vypověděla poslušnost — věru, dnešní Irsko se mnohem oprávněněji nazývá svobodným státem než leckterá země na evropské pevnině. Odbojný </w:t>
      </w:r>
      <w:r>
        <w:rPr>
          <w:sz w:val="20"/>
          <w:szCs w:val="20"/>
          <w:lang w:val="en-US" w:eastAsia="en-US" w:bidi="en-US"/>
        </w:rPr>
        <w:t xml:space="preserve">O’Connell </w:t>
      </w:r>
      <w:r>
        <w:rPr>
          <w:sz w:val="20"/>
          <w:szCs w:val="20"/>
        </w:rPr>
        <w:t>má po</w:t>
      </w:r>
      <w:r>
        <w:rPr>
          <w:sz w:val="20"/>
          <w:szCs w:val="20"/>
        </w:rPr>
        <w:softHyphen/>
        <w:t>mník na nejkrásnějším místě Dublina, vášnivý a ne</w:t>
      </w:r>
      <w:r>
        <w:rPr>
          <w:sz w:val="20"/>
          <w:szCs w:val="20"/>
        </w:rPr>
        <w:softHyphen/>
        <w:t xml:space="preserve">šťastný </w:t>
      </w:r>
      <w:r>
        <w:rPr>
          <w:sz w:val="20"/>
          <w:szCs w:val="20"/>
          <w:lang w:val="en-US" w:eastAsia="en-US" w:bidi="en-US"/>
        </w:rPr>
        <w:t xml:space="preserve">Parnell </w:t>
      </w:r>
      <w:r>
        <w:rPr>
          <w:sz w:val="20"/>
          <w:szCs w:val="20"/>
        </w:rPr>
        <w:t>je oslavován</w:t>
      </w:r>
      <w:r>
        <w:rPr>
          <w:sz w:val="20"/>
          <w:szCs w:val="20"/>
        </w:rPr>
        <w:t xml:space="preserve"> filmem, rebel Wolfe Tone je ctěn jako národní hrdina: všichni bojovníci za irskou svobodu mohou už od několika let klidně spát ve svých hrobech na bojištích nebo popravištích ... a irská re</w:t>
      </w:r>
      <w:r>
        <w:rPr>
          <w:sz w:val="20"/>
          <w:szCs w:val="20"/>
        </w:rPr>
        <w:softHyphen/>
        <w:t xml:space="preserve">publikánská armáda vrhla letos snad už tolik pum, co </w:t>
      </w:r>
      <w:r>
        <w:rPr>
          <w:sz w:val="20"/>
          <w:szCs w:val="20"/>
          <w:lang w:val="en-US" w:eastAsia="en-US" w:bidi="en-US"/>
        </w:rPr>
        <w:t>Repeal, Sinn</w:t>
      </w:r>
      <w:r>
        <w:rPr>
          <w:sz w:val="20"/>
          <w:szCs w:val="20"/>
          <w:lang w:val="en-US" w:eastAsia="en-US" w:bidi="en-US"/>
        </w:rPr>
        <w:t xml:space="preserve"> Fein a Black-and-Tans </w:t>
      </w:r>
      <w:r>
        <w:rPr>
          <w:sz w:val="20"/>
          <w:szCs w:val="20"/>
        </w:rPr>
        <w:t>dohromady za</w:t>
      </w:r>
    </w:p>
    <w:p w:rsidR="00500724" w:rsidRDefault="00F30FB8">
      <w:pPr>
        <w:pStyle w:val="Zkladntext1"/>
        <w:shd w:val="clear" w:color="auto" w:fill="auto"/>
        <w:spacing w:line="218" w:lineRule="auto"/>
        <w:ind w:firstLine="0"/>
        <w:jc w:val="left"/>
        <w:rPr>
          <w:sz w:val="20"/>
          <w:szCs w:val="20"/>
        </w:rPr>
      </w:pPr>
      <w:r>
        <w:rPr>
          <w:sz w:val="20"/>
          <w:szCs w:val="20"/>
        </w:rPr>
        <w:t>celou dobu jejich někdejší působnosti.</w:t>
      </w:r>
    </w:p>
    <w:p w:rsidR="00500724" w:rsidRDefault="00F30FB8">
      <w:pPr>
        <w:pStyle w:val="Zkladntext1"/>
        <w:shd w:val="clear" w:color="auto" w:fill="auto"/>
        <w:spacing w:after="180" w:line="226" w:lineRule="auto"/>
        <w:ind w:firstLine="260"/>
        <w:rPr>
          <w:sz w:val="20"/>
          <w:szCs w:val="20"/>
        </w:rPr>
      </w:pPr>
      <w:r>
        <w:rPr>
          <w:sz w:val="20"/>
          <w:szCs w:val="20"/>
        </w:rPr>
        <w:t>Britský parlament odhlasoval teď proti IRA mimo</w:t>
      </w:r>
      <w:r>
        <w:rPr>
          <w:sz w:val="20"/>
          <w:szCs w:val="20"/>
        </w:rPr>
        <w:softHyphen/>
        <w:t>řádný zákon; ale Valerova vláda vydala proti ní už dva zákony. Arcibiskup canterburský horlil proti metodám jejích „vojáků“; ale iršt</w:t>
      </w:r>
      <w:r>
        <w:rPr>
          <w:sz w:val="20"/>
          <w:szCs w:val="20"/>
        </w:rPr>
        <w:t>í biskupové zakázali jim posky</w:t>
      </w:r>
      <w:r>
        <w:rPr>
          <w:sz w:val="20"/>
          <w:szCs w:val="20"/>
        </w:rPr>
        <w:softHyphen/>
        <w:t xml:space="preserve">tovat svátost posledního pomazání. Londýnská policie vlídně přihlížela k irským demonstracím na oslavu Wol- fea Tonea v </w:t>
      </w:r>
      <w:r>
        <w:rPr>
          <w:sz w:val="20"/>
          <w:szCs w:val="20"/>
          <w:lang w:val="en-US" w:eastAsia="en-US" w:bidi="en-US"/>
        </w:rPr>
        <w:t xml:space="preserve">Hyde </w:t>
      </w:r>
      <w:r>
        <w:rPr>
          <w:sz w:val="20"/>
          <w:szCs w:val="20"/>
        </w:rPr>
        <w:t>Paritu; ale dublinská policie provedla při téže příležitosti několik zatčení za srážek s demon</w:t>
      </w:r>
      <w:r>
        <w:rPr>
          <w:sz w:val="20"/>
          <w:szCs w:val="20"/>
        </w:rPr>
        <w:softHyphen/>
        <w:t>stran</w:t>
      </w:r>
      <w:r>
        <w:rPr>
          <w:sz w:val="20"/>
          <w:szCs w:val="20"/>
        </w:rPr>
        <w:t xml:space="preserve">ty na ulicích hlavního města Svobodného státu! Už z toho je snad dost jasno, že naše úvodní otázka nebyla správně formulována. Dnes nebojuje Irsko, nýbrž </w:t>
      </w:r>
      <w:r>
        <w:rPr>
          <w:sz w:val="20"/>
          <w:szCs w:val="20"/>
          <w:lang w:val="en-US" w:eastAsia="en-US" w:bidi="en-US"/>
        </w:rPr>
        <w:t xml:space="preserve">I </w:t>
      </w:r>
      <w:r>
        <w:rPr>
          <w:sz w:val="20"/>
          <w:szCs w:val="20"/>
        </w:rPr>
        <w:t>R A; je tedy třeba se tázat: jak, zač a proč bo</w:t>
      </w:r>
      <w:r>
        <w:rPr>
          <w:sz w:val="20"/>
          <w:szCs w:val="20"/>
        </w:rPr>
        <w:softHyphen/>
        <w:t>juje tato tajná organisace, kdo v ní stojí proti kom</w:t>
      </w:r>
      <w:r>
        <w:rPr>
          <w:sz w:val="20"/>
          <w:szCs w:val="20"/>
        </w:rPr>
        <w:t>u.</w:t>
      </w:r>
    </w:p>
    <w:p w:rsidR="00500724" w:rsidRDefault="00F30FB8">
      <w:pPr>
        <w:pStyle w:val="Zkladntext1"/>
        <w:shd w:val="clear" w:color="auto" w:fill="auto"/>
        <w:spacing w:after="120" w:line="223" w:lineRule="auto"/>
        <w:ind w:firstLine="0"/>
        <w:jc w:val="center"/>
        <w:rPr>
          <w:sz w:val="20"/>
          <w:szCs w:val="20"/>
        </w:rPr>
      </w:pPr>
      <w:r>
        <w:rPr>
          <w:sz w:val="20"/>
          <w:szCs w:val="20"/>
        </w:rPr>
        <w:t>Jak bojuje IRA.</w:t>
      </w:r>
    </w:p>
    <w:p w:rsidR="00500724" w:rsidRDefault="00F30FB8">
      <w:pPr>
        <w:pStyle w:val="Zkladntext1"/>
        <w:shd w:val="clear" w:color="auto" w:fill="auto"/>
        <w:spacing w:line="228" w:lineRule="auto"/>
        <w:ind w:firstLine="260"/>
        <w:rPr>
          <w:sz w:val="20"/>
          <w:szCs w:val="20"/>
        </w:rPr>
      </w:pPr>
      <w:r>
        <w:rPr>
          <w:sz w:val="20"/>
          <w:szCs w:val="20"/>
        </w:rPr>
        <w:t>Začalo to jako řádné vypovědění války ultimatem, podaným dne 12. ledna t. r. příslušnému britskému mi</w:t>
      </w:r>
      <w:r>
        <w:rPr>
          <w:sz w:val="20"/>
          <w:szCs w:val="20"/>
        </w:rPr>
        <w:softHyphen/>
        <w:t>nistru, lordu Halifaxovi. Ultimatum žádalo, aby všechno britské vojsko bylo do čtyř dnů odvoláno a staženo ze severního Irska; jinak že</w:t>
      </w:r>
      <w:r>
        <w:rPr>
          <w:sz w:val="20"/>
          <w:szCs w:val="20"/>
        </w:rPr>
        <w:t xml:space="preserve"> by po vypršení lhůty vypra</w:t>
      </w:r>
      <w:r>
        <w:rPr>
          <w:sz w:val="20"/>
          <w:szCs w:val="20"/>
        </w:rPr>
        <w:softHyphen/>
        <w:t xml:space="preserve">vila IRA do Anglie svůj „expediční sbor“. </w:t>
      </w:r>
      <w:r>
        <w:rPr>
          <w:sz w:val="20"/>
          <w:szCs w:val="20"/>
          <w:lang w:val="en-US" w:eastAsia="en-US" w:bidi="en-US"/>
        </w:rPr>
        <w:t>Lord Hali</w:t>
      </w:r>
      <w:r>
        <w:rPr>
          <w:sz w:val="20"/>
          <w:szCs w:val="20"/>
          <w:lang w:val="en-US" w:eastAsia="en-US" w:bidi="en-US"/>
        </w:rPr>
        <w:softHyphen/>
        <w:t xml:space="preserve">fax </w:t>
      </w:r>
      <w:r>
        <w:rPr>
          <w:sz w:val="20"/>
          <w:szCs w:val="20"/>
        </w:rPr>
        <w:t xml:space="preserve">nepomýšlel v tomto případě na kapitulaci </w:t>
      </w:r>
      <w:r>
        <w:rPr>
          <w:sz w:val="20"/>
          <w:szCs w:val="20"/>
          <w:lang w:val="en-US" w:eastAsia="en-US" w:bidi="en-US"/>
        </w:rPr>
        <w:t xml:space="preserve">a Mr. Chamberlain </w:t>
      </w:r>
      <w:r>
        <w:rPr>
          <w:sz w:val="20"/>
          <w:szCs w:val="20"/>
        </w:rPr>
        <w:t xml:space="preserve">nedostal chuť cestovat; uvědomili prostě o celé věci </w:t>
      </w:r>
      <w:r>
        <w:rPr>
          <w:sz w:val="20"/>
          <w:szCs w:val="20"/>
          <w:lang w:val="en-US" w:eastAsia="en-US" w:bidi="en-US"/>
        </w:rPr>
        <w:t xml:space="preserve">Scotland </w:t>
      </w:r>
      <w:r>
        <w:rPr>
          <w:sz w:val="20"/>
          <w:szCs w:val="20"/>
        </w:rPr>
        <w:t>Yard.</w:t>
      </w:r>
    </w:p>
    <w:p w:rsidR="00500724" w:rsidRDefault="00F30FB8">
      <w:pPr>
        <w:pStyle w:val="Zkladntext1"/>
        <w:numPr>
          <w:ilvl w:val="0"/>
          <w:numId w:val="98"/>
        </w:numPr>
        <w:shd w:val="clear" w:color="auto" w:fill="auto"/>
        <w:tabs>
          <w:tab w:val="left" w:pos="606"/>
        </w:tabs>
        <w:spacing w:after="120" w:line="223" w:lineRule="auto"/>
        <w:ind w:firstLine="260"/>
        <w:rPr>
          <w:sz w:val="20"/>
          <w:szCs w:val="20"/>
        </w:rPr>
      </w:pPr>
      <w:r>
        <w:rPr>
          <w:sz w:val="20"/>
          <w:szCs w:val="20"/>
        </w:rPr>
        <w:t xml:space="preserve">ledna vybuchly první pumy u elektrických </w:t>
      </w:r>
      <w:r>
        <w:rPr>
          <w:sz w:val="20"/>
          <w:szCs w:val="20"/>
        </w:rPr>
        <w:t>trans</w:t>
      </w:r>
      <w:r>
        <w:rPr>
          <w:sz w:val="20"/>
          <w:szCs w:val="20"/>
        </w:rPr>
        <w:softHyphen/>
        <w:t>formátorů, do konce měsíce byl tu už první mrtvý, na</w:t>
      </w:r>
      <w:r>
        <w:rPr>
          <w:sz w:val="20"/>
          <w:szCs w:val="20"/>
        </w:rPr>
        <w:softHyphen/>
        <w:t>hoře v Manchestru. Následovaly dva veliké výbuchy na nádražích londýnské podzemní dráhy a množství drob</w:t>
      </w:r>
      <w:r>
        <w:rPr>
          <w:sz w:val="20"/>
          <w:szCs w:val="20"/>
        </w:rPr>
        <w:softHyphen/>
        <w:t xml:space="preserve">nějších útoků na obchody a kanceláře. Koncem června došlo k celé sérii výbuchů v elegantních </w:t>
      </w:r>
      <w:r>
        <w:rPr>
          <w:sz w:val="20"/>
          <w:szCs w:val="20"/>
        </w:rPr>
        <w:t>čtvrtích lon</w:t>
      </w:r>
      <w:r>
        <w:rPr>
          <w:sz w:val="20"/>
          <w:szCs w:val="20"/>
        </w:rPr>
        <w:softHyphen/>
        <w:t>dýnského West Endu, kde IRA tímto způsobem pro</w:t>
      </w:r>
      <w:r>
        <w:rPr>
          <w:sz w:val="20"/>
          <w:szCs w:val="20"/>
        </w:rPr>
        <w:softHyphen/>
        <w:t>testovala proti — vypovědění několika svých členů z Irska Valerovou vládou: Angličané se s podivem ptali, proč mají oni pykat za činy irských stát</w:t>
      </w:r>
      <w:r>
        <w:rPr>
          <w:sz w:val="20"/>
          <w:szCs w:val="20"/>
        </w:rPr>
        <w:softHyphen/>
        <w:t>níků? Jedné červencové soboty byly Picadilly, Oxf</w:t>
      </w:r>
      <w:r>
        <w:rPr>
          <w:sz w:val="20"/>
          <w:szCs w:val="20"/>
        </w:rPr>
        <w:t xml:space="preserve">ord </w:t>
      </w:r>
      <w:r>
        <w:rPr>
          <w:sz w:val="20"/>
          <w:szCs w:val="20"/>
          <w:lang w:val="en-US" w:eastAsia="en-US" w:bidi="en-US"/>
        </w:rPr>
        <w:t xml:space="preserve">Circus a Park Lane </w:t>
      </w:r>
      <w:r>
        <w:rPr>
          <w:sz w:val="20"/>
          <w:szCs w:val="20"/>
        </w:rPr>
        <w:t>pořádně pocuchány irskými puma</w:t>
      </w:r>
      <w:r>
        <w:rPr>
          <w:sz w:val="20"/>
          <w:szCs w:val="20"/>
        </w:rPr>
        <w:softHyphen/>
        <w:t>mi, a v neděli nato mohly tudy klidně táhnout irské de</w:t>
      </w:r>
      <w:r>
        <w:rPr>
          <w:sz w:val="20"/>
          <w:szCs w:val="20"/>
        </w:rPr>
        <w:softHyphen/>
        <w:t>monstrace se standartami „Propusťte naše vězně!“</w:t>
      </w:r>
    </w:p>
    <w:p w:rsidR="00500724" w:rsidRDefault="00F30FB8">
      <w:pPr>
        <w:pStyle w:val="Zkladntext1"/>
        <w:shd w:val="clear" w:color="auto" w:fill="auto"/>
        <w:spacing w:line="216" w:lineRule="auto"/>
        <w:ind w:firstLine="240"/>
        <w:rPr>
          <w:sz w:val="20"/>
          <w:szCs w:val="20"/>
        </w:rPr>
      </w:pPr>
      <w:r>
        <w:rPr>
          <w:sz w:val="20"/>
          <w:szCs w:val="20"/>
        </w:rPr>
        <w:t>Ministr vnitra sir Samuel Hoare vypočetl celkem 127 teroristických činů, spáchaných IRA v Anglii d</w:t>
      </w:r>
      <w:r>
        <w:rPr>
          <w:sz w:val="20"/>
          <w:szCs w:val="20"/>
        </w:rPr>
        <w:t>o 25. čer</w:t>
      </w:r>
      <w:r>
        <w:rPr>
          <w:sz w:val="20"/>
          <w:szCs w:val="20"/>
        </w:rPr>
        <w:softHyphen/>
        <w:t xml:space="preserve">vence, při nichž byla jedna osoba zabita a 56 zraněno. A jen co domluvil svoji řeč, přibyla druhá zavražděná oběť s patnácti raněnými z londýnské stanice </w:t>
      </w:r>
      <w:r>
        <w:rPr>
          <w:sz w:val="20"/>
          <w:szCs w:val="20"/>
          <w:lang w:val="en-US" w:eastAsia="en-US" w:bidi="en-US"/>
        </w:rPr>
        <w:t xml:space="preserve">King’s Cross, </w:t>
      </w:r>
      <w:r>
        <w:rPr>
          <w:sz w:val="20"/>
          <w:szCs w:val="20"/>
        </w:rPr>
        <w:t xml:space="preserve">kde pak detektivové </w:t>
      </w:r>
      <w:r>
        <w:rPr>
          <w:sz w:val="20"/>
          <w:szCs w:val="20"/>
          <w:lang w:val="en-US" w:eastAsia="en-US" w:bidi="en-US"/>
        </w:rPr>
        <w:t xml:space="preserve">Scotland </w:t>
      </w:r>
      <w:r>
        <w:rPr>
          <w:sz w:val="20"/>
          <w:szCs w:val="20"/>
        </w:rPr>
        <w:t>Yardu sledovali stopu podezřelého „muže v širáku“</w:t>
      </w:r>
      <w:r>
        <w:rPr>
          <w:sz w:val="20"/>
          <w:szCs w:val="20"/>
        </w:rPr>
        <w:t>; téhož dne byl pro</w:t>
      </w:r>
      <w:r>
        <w:rPr>
          <w:sz w:val="20"/>
          <w:szCs w:val="20"/>
        </w:rPr>
        <w:softHyphen/>
        <w:t xml:space="preserve">veden podobný útok na stejně známou </w:t>
      </w:r>
      <w:r>
        <w:rPr>
          <w:sz w:val="20"/>
          <w:szCs w:val="20"/>
          <w:lang w:val="en-US" w:eastAsia="en-US" w:bidi="en-US"/>
        </w:rPr>
        <w:t xml:space="preserve">Victoria </w:t>
      </w:r>
      <w:r>
        <w:rPr>
          <w:sz w:val="20"/>
          <w:szCs w:val="20"/>
        </w:rPr>
        <w:t>Station. Současně nalezena puma na mostě přes Temži a ve vnitř</w:t>
      </w:r>
      <w:r>
        <w:rPr>
          <w:sz w:val="20"/>
          <w:szCs w:val="20"/>
        </w:rPr>
        <w:softHyphen/>
        <w:t>ním městě přeřezány dráty u šesti telefonních budek. V Liverpoolu objevena puma v kanalisaci pod nejživější ulicí; jinde učiněny</w:t>
      </w:r>
      <w:r>
        <w:rPr>
          <w:sz w:val="20"/>
          <w:szCs w:val="20"/>
        </w:rPr>
        <w:t xml:space="preserve"> stejné objevy v tramvajích, v trafi</w:t>
      </w:r>
      <w:r>
        <w:rPr>
          <w:sz w:val="20"/>
          <w:szCs w:val="20"/>
        </w:rPr>
        <w:softHyphen/>
        <w:t>kách, v sadech. V Birkenheadu přinesla žena do doků balíček; „To je svačina pro Paddyho Regana!“ Za chvíli však slyšel překvapený dozorce Iron „svačinu“ tikat Jako hodiny a mohl v ní ještě včas najít pekelný stroj, naří</w:t>
      </w:r>
      <w:r>
        <w:rPr>
          <w:sz w:val="20"/>
          <w:szCs w:val="20"/>
        </w:rPr>
        <w:t xml:space="preserve">zený na dobu, kdy dělníci z doků obědvají. Detektiv Evans pozoroval </w:t>
      </w:r>
      <w:r>
        <w:rPr>
          <w:sz w:val="20"/>
          <w:szCs w:val="20"/>
          <w:lang w:val="en-US" w:eastAsia="en-US" w:bidi="en-US"/>
        </w:rPr>
        <w:t xml:space="preserve">Mrs </w:t>
      </w:r>
      <w:r>
        <w:rPr>
          <w:sz w:val="20"/>
          <w:szCs w:val="20"/>
        </w:rPr>
        <w:t xml:space="preserve">Woodsovou, jak v podzemní dráze předává jakýsi balíček paní Convayové; sledoval ji do jejího hotelového bytu a tam nalezl v balíčku pumu, ve skříni 44 kusů gelignitu a 16 sáčkii </w:t>
      </w:r>
      <w:r>
        <w:rPr>
          <w:sz w:val="20"/>
          <w:szCs w:val="20"/>
        </w:rPr>
        <w:t>střelného prachu. „Měl jste štěstí — řekla mu paní Convayová — za ho</w:t>
      </w:r>
      <w:r>
        <w:rPr>
          <w:sz w:val="20"/>
          <w:szCs w:val="20"/>
        </w:rPr>
        <w:softHyphen/>
        <w:t>dinu by to bylo dalo hezkou ránu . .</w:t>
      </w:r>
      <w:r>
        <w:rPr>
          <w:i/>
          <w:iCs/>
          <w:sz w:val="20"/>
          <w:szCs w:val="20"/>
        </w:rPr>
        <w:t>V</w:t>
      </w:r>
      <w:r>
        <w:rPr>
          <w:sz w:val="20"/>
          <w:szCs w:val="20"/>
        </w:rPr>
        <w:t xml:space="preserve"> zásuvce kre</w:t>
      </w:r>
      <w:r>
        <w:rPr>
          <w:sz w:val="20"/>
          <w:szCs w:val="20"/>
        </w:rPr>
        <w:softHyphen/>
        <w:t>dence byl oběžník IRA: Politika a ústava IRA, přijatá generálním shromážděním armády v březnu 1933 —■ ano, už v březnu 1933. „Nestačí — p</w:t>
      </w:r>
      <w:r>
        <w:rPr>
          <w:sz w:val="20"/>
          <w:szCs w:val="20"/>
        </w:rPr>
        <w:t>raví se v něm na straně 3 — organisovati ozbrojenou avantgardu, je třeba též zajistiti, aby myšlení lidu bylo řízeno revolučním směrem.“</w:t>
      </w:r>
    </w:p>
    <w:p w:rsidR="00500724" w:rsidRDefault="00F30FB8">
      <w:pPr>
        <w:pStyle w:val="Zkladntext1"/>
        <w:shd w:val="clear" w:color="auto" w:fill="auto"/>
        <w:spacing w:after="200" w:line="218" w:lineRule="auto"/>
        <w:ind w:firstLine="240"/>
        <w:rPr>
          <w:sz w:val="20"/>
          <w:szCs w:val="20"/>
        </w:rPr>
      </w:pPr>
      <w:r>
        <w:rPr>
          <w:sz w:val="20"/>
          <w:szCs w:val="20"/>
        </w:rPr>
        <w:t>V červenci se dostal do rukou policie i mnohem no</w:t>
      </w:r>
      <w:r>
        <w:rPr>
          <w:sz w:val="20"/>
          <w:szCs w:val="20"/>
        </w:rPr>
        <w:softHyphen/>
        <w:t>vější tajný dokument IRA, její „Plán S“. Obsahuje po</w:t>
      </w:r>
      <w:r>
        <w:rPr>
          <w:sz w:val="20"/>
          <w:szCs w:val="20"/>
        </w:rPr>
        <w:softHyphen/>
        <w:t>kyny k rozšíření</w:t>
      </w:r>
      <w:r>
        <w:rPr>
          <w:sz w:val="20"/>
          <w:szCs w:val="20"/>
        </w:rPr>
        <w:t xml:space="preserve"> propagandy a k přípravám pro zahájení „rozhodné“ akce v říjnu nebo v listopadu, kdy bude dříve soumrak.</w:t>
      </w:r>
    </w:p>
    <w:p w:rsidR="00500724" w:rsidRDefault="00F30FB8">
      <w:pPr>
        <w:pStyle w:val="Zkladntext1"/>
        <w:shd w:val="clear" w:color="auto" w:fill="auto"/>
        <w:spacing w:after="140" w:line="216" w:lineRule="auto"/>
        <w:ind w:firstLine="0"/>
        <w:jc w:val="center"/>
        <w:rPr>
          <w:sz w:val="20"/>
          <w:szCs w:val="20"/>
        </w:rPr>
      </w:pPr>
      <w:r>
        <w:rPr>
          <w:sz w:val="20"/>
          <w:szCs w:val="20"/>
        </w:rPr>
        <w:t>Zač bojuje IRA.</w:t>
      </w:r>
    </w:p>
    <w:p w:rsidR="00500724" w:rsidRDefault="00F30FB8">
      <w:pPr>
        <w:pStyle w:val="Zkladntext1"/>
        <w:shd w:val="clear" w:color="auto" w:fill="auto"/>
        <w:spacing w:line="218" w:lineRule="auto"/>
        <w:ind w:firstLine="240"/>
        <w:rPr>
          <w:sz w:val="20"/>
          <w:szCs w:val="20"/>
        </w:rPr>
      </w:pPr>
      <w:r>
        <w:rPr>
          <w:sz w:val="20"/>
          <w:szCs w:val="20"/>
        </w:rPr>
        <w:t>Cílem bojující IRA jesjednocenílrska. Proto žádala ve svém ultimatu odvolání britského vojska ze šesti severních hrabství Ulsteru: poto</w:t>
      </w:r>
      <w:r>
        <w:rPr>
          <w:sz w:val="20"/>
          <w:szCs w:val="20"/>
        </w:rPr>
        <w:t xml:space="preserve">m by už bylo lehko provést jeho okupaci a připojení k ostatní zemi, jemuž se </w:t>
      </w:r>
      <w:r>
        <w:rPr>
          <w:sz w:val="20"/>
          <w:szCs w:val="20"/>
          <w:lang w:val="en-US" w:eastAsia="en-US" w:bidi="en-US"/>
        </w:rPr>
        <w:t xml:space="preserve">Ulster </w:t>
      </w:r>
      <w:r>
        <w:rPr>
          <w:sz w:val="20"/>
          <w:szCs w:val="20"/>
        </w:rPr>
        <w:t>tak dlouho vzpírá.</w:t>
      </w:r>
    </w:p>
    <w:p w:rsidR="00500724" w:rsidRDefault="00F30FB8">
      <w:pPr>
        <w:pStyle w:val="Zkladntext1"/>
        <w:shd w:val="clear" w:color="auto" w:fill="auto"/>
        <w:spacing w:line="218" w:lineRule="auto"/>
        <w:ind w:firstLine="240"/>
        <w:rPr>
          <w:sz w:val="20"/>
          <w:szCs w:val="20"/>
        </w:rPr>
      </w:pPr>
      <w:r>
        <w:rPr>
          <w:sz w:val="20"/>
          <w:szCs w:val="20"/>
        </w:rPr>
        <w:t>Neboť napětí mezi irským severem a jihem se neda</w:t>
      </w:r>
      <w:r>
        <w:rPr>
          <w:sz w:val="20"/>
          <w:szCs w:val="20"/>
        </w:rPr>
        <w:softHyphen/>
        <w:t>tuje od včerejška, je staré už dva tisíce let. Jako ve Spo</w:t>
      </w:r>
      <w:r>
        <w:rPr>
          <w:sz w:val="20"/>
          <w:szCs w:val="20"/>
        </w:rPr>
        <w:softHyphen/>
        <w:t xml:space="preserve">jených státech nebo v Itálii má na něm první </w:t>
      </w:r>
      <w:r>
        <w:rPr>
          <w:sz w:val="20"/>
          <w:szCs w:val="20"/>
        </w:rPr>
        <w:t>vinu pří</w:t>
      </w:r>
      <w:r>
        <w:rPr>
          <w:sz w:val="20"/>
          <w:szCs w:val="20"/>
        </w:rPr>
        <w:softHyphen/>
        <w:t>roda sama. Na jihu (přesněji: jihozápadě) ostrova roste vavřín a kvete oranžovník, na severu (přesněji severo</w:t>
      </w:r>
      <w:r>
        <w:rPr>
          <w:sz w:val="20"/>
          <w:szCs w:val="20"/>
        </w:rPr>
        <w:softHyphen/>
        <w:t xml:space="preserve">východě) se daří sotva oves a brambory; na jihu se žije jako ve Španělsku, na severu jako ve Skandinávii. Už v pohanských dobách byl jih </w:t>
      </w:r>
      <w:r>
        <w:rPr>
          <w:sz w:val="20"/>
          <w:szCs w:val="20"/>
        </w:rPr>
        <w:t>domovem lehkomyslných básníků, sever obydlím přísných učitelů a zákonodárců. Dějiny stupňovaly napětí tím, že nechaly sever propad</w:t>
      </w:r>
      <w:r>
        <w:rPr>
          <w:sz w:val="20"/>
          <w:szCs w:val="20"/>
        </w:rPr>
        <w:softHyphen/>
        <w:t>nout anglické a skotské kolonisaci: odtud pak mohli pro</w:t>
      </w:r>
      <w:r>
        <w:rPr>
          <w:sz w:val="20"/>
          <w:szCs w:val="20"/>
        </w:rPr>
        <w:softHyphen/>
        <w:t>testantští lordi ovládat katolické farmáře. Civilisace do</w:t>
      </w:r>
      <w:r>
        <w:rPr>
          <w:sz w:val="20"/>
          <w:szCs w:val="20"/>
        </w:rPr>
        <w:softHyphen/>
        <w:t>vršila dílo</w:t>
      </w:r>
      <w:r>
        <w:rPr>
          <w:sz w:val="20"/>
          <w:szCs w:val="20"/>
        </w:rPr>
        <w:t xml:space="preserve"> industrialisací severu, zatím co ostatek ostrova zůstal zemědělský.</w:t>
      </w:r>
    </w:p>
    <w:p w:rsidR="00500724" w:rsidRDefault="00F30FB8">
      <w:pPr>
        <w:pStyle w:val="Zkladntext1"/>
        <w:shd w:val="clear" w:color="auto" w:fill="auto"/>
        <w:spacing w:after="240" w:line="221" w:lineRule="auto"/>
        <w:ind w:firstLine="240"/>
        <w:rPr>
          <w:sz w:val="20"/>
          <w:szCs w:val="20"/>
        </w:rPr>
      </w:pPr>
      <w:r>
        <w:rPr>
          <w:sz w:val="20"/>
          <w:szCs w:val="20"/>
        </w:rPr>
        <w:t>Od té doby váže sever k Anglii trojí pouto: stejná krev, stejné náboženství a stejné zájmy obchodu a prů</w:t>
      </w:r>
      <w:r>
        <w:rPr>
          <w:sz w:val="20"/>
          <w:szCs w:val="20"/>
        </w:rPr>
        <w:softHyphen/>
        <w:t>myslu. A každému z těchto pout odpovídá na druhé</w:t>
      </w:r>
    </w:p>
    <w:p w:rsidR="00500724" w:rsidRDefault="00F30FB8">
      <w:pPr>
        <w:pStyle w:val="Zkladntext1"/>
        <w:shd w:val="clear" w:color="auto" w:fill="auto"/>
        <w:spacing w:after="80" w:line="228" w:lineRule="auto"/>
        <w:ind w:firstLine="0"/>
        <w:jc w:val="right"/>
        <w:sectPr w:rsidR="00500724">
          <w:footnotePr>
            <w:numFmt w:val="chicago"/>
            <w:numRestart w:val="eachPage"/>
          </w:footnotePr>
          <w:type w:val="continuous"/>
          <w:pgSz w:w="11909" w:h="16834"/>
          <w:pgMar w:top="884" w:right="1039" w:bottom="675" w:left="444" w:header="0" w:footer="3" w:gutter="0"/>
          <w:cols w:num="2" w:space="154"/>
          <w:noEndnote/>
          <w:docGrid w:linePitch="360"/>
        </w:sectPr>
      </w:pPr>
      <w:r>
        <w:rPr>
          <w:b/>
          <w:bCs/>
          <w:i/>
          <w:iCs/>
        </w:rPr>
        <w:t>4J9</w:t>
      </w:r>
    </w:p>
    <w:p w:rsidR="00500724" w:rsidRDefault="00F30FB8">
      <w:pPr>
        <w:pStyle w:val="Nadpis90"/>
        <w:keepNext/>
        <w:keepLines/>
        <w:shd w:val="clear" w:color="auto" w:fill="auto"/>
        <w:spacing w:after="0"/>
        <w:ind w:right="60"/>
        <w:jc w:val="center"/>
        <w:sectPr w:rsidR="00500724">
          <w:footnotePr>
            <w:numFmt w:val="chicago"/>
            <w:numRestart w:val="eachPage"/>
          </w:footnotePr>
          <w:pgSz w:w="11909" w:h="16834"/>
          <w:pgMar w:top="812" w:right="845" w:bottom="1001" w:left="557" w:header="0" w:footer="3" w:gutter="0"/>
          <w:cols w:space="720"/>
          <w:noEndnote/>
          <w:docGrid w:linePitch="360"/>
        </w:sectPr>
      </w:pPr>
      <w:bookmarkStart w:id="783" w:name="bookmark782"/>
      <w:r>
        <w:rPr>
          <w:rFonts w:ascii="Times New Roman" w:eastAsia="Times New Roman" w:hAnsi="Times New Roman" w:cs="Times New Roman"/>
        </w:rPr>
        <w:t>PfttonmosL,</w:t>
      </w:r>
      <w:bookmarkEnd w:id="783"/>
    </w:p>
    <w:p w:rsidR="00500724" w:rsidRDefault="00F30FB8">
      <w:pPr>
        <w:pStyle w:val="Zkladntext1"/>
        <w:shd w:val="clear" w:color="auto" w:fill="auto"/>
        <w:spacing w:line="228" w:lineRule="auto"/>
        <w:ind w:firstLine="0"/>
        <w:rPr>
          <w:sz w:val="20"/>
          <w:szCs w:val="20"/>
        </w:rPr>
      </w:pPr>
      <w:r>
        <w:rPr>
          <w:sz w:val="20"/>
          <w:szCs w:val="20"/>
        </w:rPr>
        <w:t xml:space="preserve">straně jeden rozpor čtveru a jihu: rasový, náboženský a kulturní. Lze proto pochopit, </w:t>
      </w:r>
      <w:r>
        <w:rPr>
          <w:b/>
          <w:bCs/>
          <w:sz w:val="20"/>
          <w:szCs w:val="20"/>
        </w:rPr>
        <w:t xml:space="preserve">že odtud, ze severních </w:t>
      </w:r>
      <w:r>
        <w:rPr>
          <w:sz w:val="20"/>
          <w:szCs w:val="20"/>
        </w:rPr>
        <w:t xml:space="preserve">hrabství Ulsteru, vycházel vždy nejrozhodnější odpor proti odtržení Irska od Anglie. </w:t>
      </w:r>
      <w:r>
        <w:rPr>
          <w:sz w:val="20"/>
          <w:szCs w:val="20"/>
          <w:lang w:val="en-US" w:eastAsia="en-US" w:bidi="en-US"/>
        </w:rPr>
        <w:t xml:space="preserve">Ulster </w:t>
      </w:r>
      <w:r>
        <w:rPr>
          <w:sz w:val="20"/>
          <w:szCs w:val="20"/>
        </w:rPr>
        <w:t xml:space="preserve">se postavil proti Gladstonovým návrhům Home rule a připravoval </w:t>
      </w:r>
      <w:r>
        <w:rPr>
          <w:b/>
          <w:bCs/>
          <w:sz w:val="20"/>
          <w:szCs w:val="20"/>
        </w:rPr>
        <w:t xml:space="preserve">se </w:t>
      </w:r>
      <w:r>
        <w:rPr>
          <w:sz w:val="20"/>
          <w:szCs w:val="20"/>
        </w:rPr>
        <w:t xml:space="preserve">k občanské válce, když </w:t>
      </w:r>
      <w:r>
        <w:rPr>
          <w:sz w:val="20"/>
          <w:szCs w:val="20"/>
          <w:lang w:val="en-US" w:eastAsia="en-US" w:bidi="en-US"/>
        </w:rPr>
        <w:t xml:space="preserve">Asquith </w:t>
      </w:r>
      <w:r>
        <w:rPr>
          <w:sz w:val="20"/>
          <w:szCs w:val="20"/>
        </w:rPr>
        <w:t>prosazoval podobné zákony v letech 1912—13. Výbuchu občanské války v Irsku zabránil tehdy jen výbuch války světové.</w:t>
      </w:r>
    </w:p>
    <w:p w:rsidR="00500724" w:rsidRDefault="00F30FB8">
      <w:pPr>
        <w:pStyle w:val="Zkladntext1"/>
        <w:shd w:val="clear" w:color="auto" w:fill="auto"/>
        <w:spacing w:line="226" w:lineRule="auto"/>
        <w:ind w:firstLine="280"/>
        <w:rPr>
          <w:sz w:val="20"/>
          <w:szCs w:val="20"/>
        </w:rPr>
      </w:pPr>
      <w:r>
        <w:rPr>
          <w:sz w:val="20"/>
          <w:szCs w:val="20"/>
        </w:rPr>
        <w:t>Už v jejích prvních dvou letech šířila prop</w:t>
      </w:r>
      <w:r>
        <w:rPr>
          <w:sz w:val="20"/>
          <w:szCs w:val="20"/>
        </w:rPr>
        <w:t>aganda po Irsku přesvědčení, že bude dost půdy pro každého a že nikdo nebude muset platit daně, bude-li Anglie ve válce poražena. Velikonoční povstání roku 1916 mělo také při</w:t>
      </w:r>
      <w:r>
        <w:rPr>
          <w:sz w:val="20"/>
          <w:szCs w:val="20"/>
        </w:rPr>
        <w:softHyphen/>
        <w:t>spěti k dosažení tohoto cíle. Loď „Aud“ vezla povstal</w:t>
      </w:r>
      <w:r>
        <w:rPr>
          <w:sz w:val="20"/>
          <w:szCs w:val="20"/>
        </w:rPr>
        <w:softHyphen/>
        <w:t xml:space="preserve">cům zbraně —— byla však na </w:t>
      </w:r>
      <w:r>
        <w:rPr>
          <w:sz w:val="20"/>
          <w:szCs w:val="20"/>
        </w:rPr>
        <w:t>moři lapena Angličany; ponorka vezla povstalcům jejich vůdce, sira Rogera Casementa — avšak Angličané ho chytili a zastřelili. Povstání bylo tehdy snadno potřeno ... po pěti letech propuklo znovu větší silou v t. zv. „anglo-irské válce“, jež skončila v pro</w:t>
      </w:r>
      <w:r>
        <w:rPr>
          <w:sz w:val="20"/>
          <w:szCs w:val="20"/>
        </w:rPr>
        <w:t xml:space="preserve">sinci 1921 uzavřením smírné dohody. Na základech jí položených bylo později utvořeno </w:t>
      </w:r>
      <w:r>
        <w:rPr>
          <w:sz w:val="20"/>
          <w:szCs w:val="20"/>
          <w:lang w:val="en-US" w:eastAsia="en-US" w:bidi="en-US"/>
        </w:rPr>
        <w:t xml:space="preserve">Eire, </w:t>
      </w:r>
      <w:r>
        <w:rPr>
          <w:sz w:val="20"/>
          <w:szCs w:val="20"/>
        </w:rPr>
        <w:t>dnešní svobodná irská republika, k níž patří celý ostrov — kromě šesti ulsterských hrabství na severu.</w:t>
      </w:r>
    </w:p>
    <w:p w:rsidR="00500724" w:rsidRDefault="00F30FB8">
      <w:pPr>
        <w:pStyle w:val="Zkladntext1"/>
        <w:shd w:val="clear" w:color="auto" w:fill="auto"/>
        <w:spacing w:line="230" w:lineRule="auto"/>
        <w:ind w:firstLine="280"/>
        <w:rPr>
          <w:sz w:val="20"/>
          <w:szCs w:val="20"/>
        </w:rPr>
      </w:pPr>
      <w:r>
        <w:rPr>
          <w:sz w:val="20"/>
          <w:szCs w:val="20"/>
        </w:rPr>
        <w:t>A nyní bojuje IRA za sjednocení celého Irska pod jeho republik</w:t>
      </w:r>
      <w:r>
        <w:rPr>
          <w:sz w:val="20"/>
          <w:szCs w:val="20"/>
        </w:rPr>
        <w:t>ánskou vládou.</w:t>
      </w:r>
    </w:p>
    <w:p w:rsidR="00500724" w:rsidRDefault="00F30FB8">
      <w:pPr>
        <w:pStyle w:val="Zkladntext1"/>
        <w:shd w:val="clear" w:color="auto" w:fill="auto"/>
        <w:spacing w:line="226" w:lineRule="auto"/>
        <w:ind w:firstLine="280"/>
        <w:rPr>
          <w:sz w:val="20"/>
          <w:szCs w:val="20"/>
        </w:rPr>
      </w:pPr>
      <w:r>
        <w:rPr>
          <w:sz w:val="20"/>
          <w:szCs w:val="20"/>
        </w:rPr>
        <w:t>Jak to vidí a cítí Irové. Jejich vlast dostala od samé přírody pevné hranice, jen moře smí tvořit mez irské svobody. Co jim má býti po tom, že skotští přivandro- valci na severu se chtějí pro sebe dovolávat principu o sebeurčení národů? Spra</w:t>
      </w:r>
      <w:r>
        <w:rPr>
          <w:sz w:val="20"/>
          <w:szCs w:val="20"/>
        </w:rPr>
        <w:t>vedlnost k Ulsteru, který tak dlouho neznal spravedlnosti k jihu? Ne — Irsko musí být sjednoceno ve svých přirozených hranicích!</w:t>
      </w:r>
    </w:p>
    <w:p w:rsidR="00500724" w:rsidRDefault="00F30FB8">
      <w:pPr>
        <w:pStyle w:val="Zkladntext1"/>
        <w:shd w:val="clear" w:color="auto" w:fill="auto"/>
        <w:spacing w:line="233" w:lineRule="auto"/>
        <w:ind w:firstLine="280"/>
        <w:rPr>
          <w:sz w:val="20"/>
          <w:szCs w:val="20"/>
        </w:rPr>
      </w:pPr>
      <w:r>
        <w:rPr>
          <w:sz w:val="20"/>
          <w:szCs w:val="20"/>
        </w:rPr>
        <w:t>Lidé z Ulsteru to ovšem vidí jinak. Oni dovedli ze své části země udělat nejvyspělejší kus Irska: proč by měli zničit toto dílo</w:t>
      </w:r>
      <w:r>
        <w:rPr>
          <w:sz w:val="20"/>
          <w:szCs w:val="20"/>
        </w:rPr>
        <w:t xml:space="preserve"> staletí tím, že by přetrhali svoje hospodářské svazky s bohatou Anglií a nahradili je po</w:t>
      </w:r>
      <w:r>
        <w:rPr>
          <w:sz w:val="20"/>
          <w:szCs w:val="20"/>
        </w:rPr>
        <w:softHyphen/>
        <w:t xml:space="preserve">chybným soužitím s chudým, zaostalým jihem ostrova? Mají k němu všechny antipatie kultivovanějšího národa k národu málo gramotnému: proč by mu měli svěřit svůj další </w:t>
      </w:r>
      <w:r>
        <w:rPr>
          <w:sz w:val="20"/>
          <w:szCs w:val="20"/>
        </w:rPr>
        <w:t>osud, jako menšina, která se od většiny může nadíti jen toho, že bude soustavně znásilňována reakč- ním duchem jižního zákonodárství? A co se týče prin</w:t>
      </w:r>
      <w:r>
        <w:rPr>
          <w:sz w:val="20"/>
          <w:szCs w:val="20"/>
        </w:rPr>
        <w:softHyphen/>
        <w:t>cipů, je sever přesvědčen, že sebeurčovací právo není horší zásadou než přirozenost hranic.</w:t>
      </w:r>
    </w:p>
    <w:p w:rsidR="00500724" w:rsidRDefault="00F30FB8">
      <w:pPr>
        <w:pStyle w:val="Zkladntext1"/>
        <w:shd w:val="clear" w:color="auto" w:fill="auto"/>
        <w:spacing w:line="230" w:lineRule="auto"/>
        <w:ind w:firstLine="280"/>
        <w:rPr>
          <w:sz w:val="20"/>
          <w:szCs w:val="20"/>
        </w:rPr>
      </w:pPr>
      <w:r>
        <w:rPr>
          <w:sz w:val="20"/>
          <w:szCs w:val="20"/>
        </w:rPr>
        <w:t xml:space="preserve">Angličané v </w:t>
      </w:r>
      <w:r>
        <w:rPr>
          <w:sz w:val="20"/>
          <w:szCs w:val="20"/>
        </w:rPr>
        <w:t>říši by se konečně mohli dovolávat třetí, dosti běžné zásady: nutností, diktovaných životním prostorem. Dělají to opravdu? Slovy ne, jejich politika nějak pohrdá prostředky takové propagandy, jejich činy však dozajista směřují k tomu cíli. Ani se tomu nelz</w:t>
      </w:r>
      <w:r>
        <w:rPr>
          <w:sz w:val="20"/>
          <w:szCs w:val="20"/>
        </w:rPr>
        <w:t>e divit. Irsko by se vskutku mohlo stát válečným letiš</w:t>
      </w:r>
      <w:r>
        <w:rPr>
          <w:sz w:val="20"/>
          <w:szCs w:val="20"/>
        </w:rPr>
        <w:softHyphen/>
        <w:t>těm cizích mocností a operační základnou cizích loď</w:t>
      </w:r>
      <w:r>
        <w:rPr>
          <w:sz w:val="20"/>
          <w:szCs w:val="20"/>
        </w:rPr>
        <w:softHyphen/>
        <w:t>stev proti Anglii, kdyby je britské síly neměly v pří</w:t>
      </w:r>
      <w:r>
        <w:rPr>
          <w:sz w:val="20"/>
          <w:szCs w:val="20"/>
        </w:rPr>
        <w:softHyphen/>
        <w:t>padě války zcela ve své moci. Odtud dosáhne letadlo kteroukoli průmyslovou oblast Spojeného krá</w:t>
      </w:r>
      <w:r>
        <w:rPr>
          <w:sz w:val="20"/>
          <w:szCs w:val="20"/>
        </w:rPr>
        <w:t>lovství ve zlomku hodiny a pro ponorku trvá nejkratší cesta od irských břehů k anglickým sotva dvě hodiny. Proto je pro Velkou Britanii věcí životní důležitosti míti v Ulste</w:t>
      </w:r>
      <w:r>
        <w:rPr>
          <w:sz w:val="20"/>
          <w:szCs w:val="20"/>
        </w:rPr>
        <w:softHyphen/>
        <w:t>ru posádky dosti silné, aby mohly včas samy provést nezbytné protiopatření v přípa</w:t>
      </w:r>
      <w:r>
        <w:rPr>
          <w:sz w:val="20"/>
          <w:szCs w:val="20"/>
        </w:rPr>
        <w:t>dě evropského konfliktu: okupaci celého ostrova. Nemohou tedy sympatiso- vat s heslem sjednocení Irska, jehož uskutečnění by je zbavilo jejich operační základny a postavilo před ne</w:t>
      </w:r>
      <w:r>
        <w:rPr>
          <w:sz w:val="20"/>
          <w:szCs w:val="20"/>
        </w:rPr>
        <w:softHyphen/>
        <w:t>bezpečné vyhlídky. A tak podporují i tentokrát sever proti jihu.</w:t>
      </w:r>
    </w:p>
    <w:p w:rsidR="00500724" w:rsidRDefault="00F30FB8">
      <w:pPr>
        <w:pStyle w:val="Zkladntext1"/>
        <w:shd w:val="clear" w:color="auto" w:fill="auto"/>
        <w:spacing w:after="120" w:line="218" w:lineRule="auto"/>
        <w:ind w:firstLine="0"/>
        <w:jc w:val="center"/>
        <w:rPr>
          <w:sz w:val="20"/>
          <w:szCs w:val="20"/>
        </w:rPr>
      </w:pPr>
      <w:r>
        <w:rPr>
          <w:b/>
          <w:bCs/>
          <w:sz w:val="20"/>
          <w:szCs w:val="20"/>
        </w:rPr>
        <w:t>Proč bojuj</w:t>
      </w:r>
      <w:r>
        <w:rPr>
          <w:b/>
          <w:bCs/>
          <w:sz w:val="20"/>
          <w:szCs w:val="20"/>
        </w:rPr>
        <w:t>e IRA?</w:t>
      </w:r>
    </w:p>
    <w:p w:rsidR="00500724" w:rsidRDefault="00F30FB8">
      <w:pPr>
        <w:pStyle w:val="Zkladntext1"/>
        <w:shd w:val="clear" w:color="auto" w:fill="auto"/>
        <w:spacing w:line="218" w:lineRule="auto"/>
        <w:ind w:firstLine="260"/>
        <w:rPr>
          <w:sz w:val="20"/>
          <w:szCs w:val="20"/>
        </w:rPr>
      </w:pPr>
      <w:r>
        <w:rPr>
          <w:sz w:val="20"/>
          <w:szCs w:val="20"/>
        </w:rPr>
        <w:t xml:space="preserve">Mezi otázkou „zač“ </w:t>
      </w:r>
      <w:r>
        <w:rPr>
          <w:b/>
          <w:bCs/>
          <w:sz w:val="20"/>
          <w:szCs w:val="20"/>
        </w:rPr>
        <w:t xml:space="preserve">a </w:t>
      </w:r>
      <w:r>
        <w:rPr>
          <w:sz w:val="20"/>
          <w:szCs w:val="20"/>
        </w:rPr>
        <w:t>„proč“ je rozdíl v přízvuku aktuálnosti. Boj za sjednocení Irska patří k těm zápa</w:t>
      </w:r>
      <w:r>
        <w:rPr>
          <w:sz w:val="20"/>
          <w:szCs w:val="20"/>
        </w:rPr>
        <w:softHyphen/>
        <w:t>sům, jimž se s jakousi oblibou říká „odvěké“; právě proto je třeba se zeptat, jaké příčiny způsobily, že ve své nejnovější formě vypukl zrovna nyn</w:t>
      </w:r>
      <w:r>
        <w:rPr>
          <w:sz w:val="20"/>
          <w:szCs w:val="20"/>
        </w:rPr>
        <w:t>í. Ukáže se pak, že jsou toho příčiny jednak vnitřní, jednak vnější.</w:t>
      </w:r>
    </w:p>
    <w:p w:rsidR="00500724" w:rsidRDefault="00F30FB8">
      <w:pPr>
        <w:pStyle w:val="Zkladntext1"/>
        <w:shd w:val="clear" w:color="auto" w:fill="auto"/>
        <w:spacing w:line="218" w:lineRule="auto"/>
        <w:ind w:firstLine="260"/>
        <w:rPr>
          <w:sz w:val="20"/>
          <w:szCs w:val="20"/>
        </w:rPr>
      </w:pPr>
      <w:r>
        <w:rPr>
          <w:sz w:val="20"/>
          <w:szCs w:val="20"/>
        </w:rPr>
        <w:t>Vnitřní příčiny rostou z nynějších obtíží irské re</w:t>
      </w:r>
      <w:r>
        <w:rPr>
          <w:sz w:val="20"/>
          <w:szCs w:val="20"/>
        </w:rPr>
        <w:softHyphen/>
        <w:t xml:space="preserve">publiky, na jejichž řešení má IRA docela jiné názory než de </w:t>
      </w:r>
      <w:r>
        <w:rPr>
          <w:sz w:val="20"/>
          <w:szCs w:val="20"/>
          <w:lang w:val="en-US" w:eastAsia="en-US" w:bidi="en-US"/>
        </w:rPr>
        <w:t xml:space="preserve">Valera </w:t>
      </w:r>
      <w:r>
        <w:rPr>
          <w:sz w:val="20"/>
          <w:szCs w:val="20"/>
        </w:rPr>
        <w:t>a jeho vláda.</w:t>
      </w:r>
    </w:p>
    <w:p w:rsidR="00500724" w:rsidRDefault="00F30FB8">
      <w:pPr>
        <w:pStyle w:val="Zkladntext1"/>
        <w:shd w:val="clear" w:color="auto" w:fill="auto"/>
        <w:spacing w:line="218" w:lineRule="auto"/>
        <w:ind w:firstLine="260"/>
        <w:rPr>
          <w:sz w:val="20"/>
          <w:szCs w:val="20"/>
        </w:rPr>
      </w:pPr>
      <w:r>
        <w:rPr>
          <w:sz w:val="20"/>
          <w:szCs w:val="20"/>
        </w:rPr>
        <w:t xml:space="preserve">De </w:t>
      </w:r>
      <w:r>
        <w:rPr>
          <w:sz w:val="20"/>
          <w:szCs w:val="20"/>
          <w:lang w:val="en-US" w:eastAsia="en-US" w:bidi="en-US"/>
        </w:rPr>
        <w:t xml:space="preserve">Valera </w:t>
      </w:r>
      <w:r>
        <w:rPr>
          <w:sz w:val="20"/>
          <w:szCs w:val="20"/>
        </w:rPr>
        <w:t>se musí starat, aby jeho národ nezahynul na s</w:t>
      </w:r>
      <w:r>
        <w:rPr>
          <w:sz w:val="20"/>
          <w:szCs w:val="20"/>
        </w:rPr>
        <w:t>voji svobodu: v tomto směru prodělává teď Irsko trpké zkušenosti, jaké v poslední době zažívá i jiný osamostatněný národ. Chudé Irsko, z něhož se za po</w:t>
      </w:r>
      <w:r>
        <w:rPr>
          <w:sz w:val="20"/>
          <w:szCs w:val="20"/>
        </w:rPr>
        <w:softHyphen/>
        <w:t xml:space="preserve">sledních sto let vystěhovalo plných šedesát procent všeho obyvatelstva, ztratilo hospodářsky mnoho svým </w:t>
      </w:r>
      <w:r>
        <w:rPr>
          <w:sz w:val="20"/>
          <w:szCs w:val="20"/>
        </w:rPr>
        <w:t>odtržením od Anglie i odloučením od svých průmyslo</w:t>
      </w:r>
      <w:r>
        <w:rPr>
          <w:sz w:val="20"/>
          <w:szCs w:val="20"/>
        </w:rPr>
        <w:softHyphen/>
        <w:t>vých severních hrabství — jak teď vyrovnat ztráty? Valerova vláda má na to dva starobylé recepty, které mají jednu společnou vadu, že jsou v Irsku oba stejně nepopulární. Prvním z nich je uzavření výhodněj</w:t>
      </w:r>
      <w:r>
        <w:rPr>
          <w:sz w:val="20"/>
          <w:szCs w:val="20"/>
        </w:rPr>
        <w:t xml:space="preserve">ší obchodní smlouvy s Anglií, </w:t>
      </w:r>
      <w:r>
        <w:rPr>
          <w:sz w:val="20"/>
          <w:szCs w:val="20"/>
          <w:lang w:val="en-US" w:eastAsia="en-US" w:bidi="en-US"/>
        </w:rPr>
        <w:t xml:space="preserve">a </w:t>
      </w:r>
      <w:r>
        <w:rPr>
          <w:sz w:val="20"/>
          <w:szCs w:val="20"/>
        </w:rPr>
        <w:t xml:space="preserve">de </w:t>
      </w:r>
      <w:r>
        <w:rPr>
          <w:sz w:val="20"/>
          <w:szCs w:val="20"/>
          <w:lang w:val="en-US" w:eastAsia="en-US" w:bidi="en-US"/>
        </w:rPr>
        <w:t xml:space="preserve">Valera </w:t>
      </w:r>
      <w:r>
        <w:rPr>
          <w:sz w:val="20"/>
          <w:szCs w:val="20"/>
        </w:rPr>
        <w:t>o ní právě vy</w:t>
      </w:r>
      <w:r>
        <w:rPr>
          <w:sz w:val="20"/>
          <w:szCs w:val="20"/>
        </w:rPr>
        <w:softHyphen/>
        <w:t xml:space="preserve">jednává s Chamberlainem. Druhým je — to už je běh tohoto světa — zvýšení daní; po této cestě Valerova vláda jde už po nějakou dobu k větším příjmům </w:t>
      </w:r>
      <w:r>
        <w:rPr>
          <w:b/>
          <w:bCs/>
          <w:sz w:val="20"/>
          <w:szCs w:val="20"/>
        </w:rPr>
        <w:t xml:space="preserve">a </w:t>
      </w:r>
      <w:r>
        <w:rPr>
          <w:sz w:val="20"/>
          <w:szCs w:val="20"/>
        </w:rPr>
        <w:t>k menší oblibě.</w:t>
      </w:r>
    </w:p>
    <w:p w:rsidR="00500724" w:rsidRDefault="00F30FB8">
      <w:pPr>
        <w:pStyle w:val="Zkladntext1"/>
        <w:shd w:val="clear" w:color="auto" w:fill="auto"/>
        <w:spacing w:line="218" w:lineRule="auto"/>
        <w:ind w:firstLine="260"/>
        <w:rPr>
          <w:sz w:val="20"/>
          <w:szCs w:val="20"/>
        </w:rPr>
      </w:pPr>
      <w:r>
        <w:rPr>
          <w:sz w:val="20"/>
          <w:szCs w:val="20"/>
        </w:rPr>
        <w:t>IRA je v nejostřejší oposici proti</w:t>
      </w:r>
      <w:r>
        <w:rPr>
          <w:sz w:val="20"/>
          <w:szCs w:val="20"/>
        </w:rPr>
        <w:t xml:space="preserve"> oběma těmto meto</w:t>
      </w:r>
      <w:r>
        <w:rPr>
          <w:sz w:val="20"/>
          <w:szCs w:val="20"/>
        </w:rPr>
        <w:softHyphen/>
        <w:t>dám. Lepší obchodní smlouvu s Anglií? Nejlepší smlou</w:t>
      </w:r>
      <w:r>
        <w:rPr>
          <w:sz w:val="20"/>
          <w:szCs w:val="20"/>
        </w:rPr>
        <w:softHyphen/>
        <w:t>va s ní je vůbec žádná smlouva! Irský národ se ne</w:t>
      </w:r>
      <w:r>
        <w:rPr>
          <w:sz w:val="20"/>
          <w:szCs w:val="20"/>
        </w:rPr>
        <w:softHyphen/>
        <w:t>prodá za mísu čočovice. A vyšší daně? To teprve ne, žádné daně vůbec, jak to už hlásala propaganda Sinn Feinu před pětadvaceti lety.</w:t>
      </w:r>
    </w:p>
    <w:p w:rsidR="00500724" w:rsidRDefault="00F30FB8">
      <w:pPr>
        <w:pStyle w:val="Zkladntext1"/>
        <w:shd w:val="clear" w:color="auto" w:fill="auto"/>
        <w:spacing w:line="218" w:lineRule="auto"/>
        <w:ind w:firstLine="260"/>
        <w:rPr>
          <w:sz w:val="20"/>
          <w:szCs w:val="20"/>
        </w:rPr>
      </w:pPr>
      <w:r>
        <w:rPr>
          <w:sz w:val="20"/>
          <w:szCs w:val="20"/>
        </w:rPr>
        <w:t>To</w:t>
      </w:r>
      <w:r>
        <w:rPr>
          <w:sz w:val="20"/>
          <w:szCs w:val="20"/>
        </w:rPr>
        <w:t xml:space="preserve"> by byly záporné stránky politiky IRA; její posi</w:t>
      </w:r>
      <w:r>
        <w:rPr>
          <w:sz w:val="20"/>
          <w:szCs w:val="20"/>
        </w:rPr>
        <w:softHyphen/>
        <w:t>tivní tendence jsou zase v nejlepší shodě s jejím základ</w:t>
      </w:r>
      <w:r>
        <w:rPr>
          <w:sz w:val="20"/>
          <w:szCs w:val="20"/>
        </w:rPr>
        <w:softHyphen/>
        <w:t xml:space="preserve">ním programem irského sjednocení. V jejím poněkud neskrupulosním pojetí by mohlo připojení Ulsteru k ostatnímu </w:t>
      </w:r>
      <w:r>
        <w:rPr>
          <w:sz w:val="20"/>
          <w:szCs w:val="20"/>
          <w:lang w:val="en-US" w:eastAsia="en-US" w:bidi="en-US"/>
        </w:rPr>
        <w:t xml:space="preserve">Eire </w:t>
      </w:r>
      <w:r>
        <w:rPr>
          <w:sz w:val="20"/>
          <w:szCs w:val="20"/>
        </w:rPr>
        <w:t>rázem rozřešit všechny vnitřní obt</w:t>
      </w:r>
      <w:r>
        <w:rPr>
          <w:sz w:val="20"/>
          <w:szCs w:val="20"/>
        </w:rPr>
        <w:t xml:space="preserve">íže chudé republiky: </w:t>
      </w:r>
      <w:r>
        <w:rPr>
          <w:sz w:val="20"/>
          <w:szCs w:val="20"/>
          <w:lang w:val="en-US" w:eastAsia="en-US" w:bidi="en-US"/>
        </w:rPr>
        <w:t xml:space="preserve">Ulster </w:t>
      </w:r>
      <w:r>
        <w:rPr>
          <w:sz w:val="20"/>
          <w:szCs w:val="20"/>
        </w:rPr>
        <w:t>je přece bohatý a Ulsterští jsou lidmi jiné, nekeltské rasy — co by tedy bylo jedno</w:t>
      </w:r>
      <w:r>
        <w:rPr>
          <w:sz w:val="20"/>
          <w:szCs w:val="20"/>
        </w:rPr>
        <w:softHyphen/>
        <w:t xml:space="preserve">duššího než pořádně a z gruntu keltisovat </w:t>
      </w:r>
      <w:r>
        <w:rPr>
          <w:sz w:val="20"/>
          <w:szCs w:val="20"/>
          <w:lang w:val="en-US" w:eastAsia="en-US" w:bidi="en-US"/>
        </w:rPr>
        <w:t xml:space="preserve">Ulster? </w:t>
      </w:r>
      <w:r>
        <w:rPr>
          <w:sz w:val="20"/>
          <w:szCs w:val="20"/>
        </w:rPr>
        <w:t>Státu by to naplnilo prázdné pokladny, zaměstnancům by se mohla dát drahotní výpomoc a na plov</w:t>
      </w:r>
      <w:r>
        <w:rPr>
          <w:sz w:val="20"/>
          <w:szCs w:val="20"/>
        </w:rPr>
        <w:t>árnách by se mohlo snížit vstupné. Daně by se nezvyšovaly, zvyšo</w:t>
      </w:r>
      <w:r>
        <w:rPr>
          <w:sz w:val="20"/>
          <w:szCs w:val="20"/>
        </w:rPr>
        <w:softHyphen/>
        <w:t xml:space="preserve">val by se jen počet pokladničních poukázek. </w:t>
      </w:r>
      <w:r>
        <w:rPr>
          <w:b/>
          <w:bCs/>
          <w:sz w:val="20"/>
          <w:szCs w:val="20"/>
        </w:rPr>
        <w:t xml:space="preserve">Ó, </w:t>
      </w:r>
      <w:r>
        <w:rPr>
          <w:sz w:val="20"/>
          <w:szCs w:val="20"/>
        </w:rPr>
        <w:t>pak by bylo rozkoší v Irsku žít... a ne-li zrovna žít, tedy jistě vládnout.</w:t>
      </w:r>
    </w:p>
    <w:p w:rsidR="00500724" w:rsidRDefault="00F30FB8">
      <w:pPr>
        <w:pStyle w:val="Zkladntext1"/>
        <w:shd w:val="clear" w:color="auto" w:fill="auto"/>
        <w:spacing w:line="218" w:lineRule="auto"/>
        <w:ind w:firstLine="260"/>
        <w:rPr>
          <w:sz w:val="20"/>
          <w:szCs w:val="20"/>
        </w:rPr>
      </w:pPr>
      <w:r>
        <w:rPr>
          <w:sz w:val="20"/>
          <w:szCs w:val="20"/>
        </w:rPr>
        <w:t xml:space="preserve">Posice Valerovy vlády proti oposici tohoto druhu je dosti nesnadná. </w:t>
      </w:r>
      <w:r>
        <w:rPr>
          <w:sz w:val="20"/>
          <w:szCs w:val="20"/>
        </w:rPr>
        <w:t xml:space="preserve">Ukázaly jí to naposledy velmi názorně doplňovací volby v její dosavadní baště Jižní Dublin město; počet jejích hlasů tu klesl s loňských 30.768 na pouhých 20.059 při všeobecném nezájmu voličstva, které zase jednou věří spíše v radikálnější prostředky, než </w:t>
      </w:r>
      <w:r>
        <w:rPr>
          <w:sz w:val="20"/>
          <w:szCs w:val="20"/>
        </w:rPr>
        <w:t>je hlasovací lístek. Za takových okolností nepřekva</w:t>
      </w:r>
      <w:r>
        <w:rPr>
          <w:sz w:val="20"/>
          <w:szCs w:val="20"/>
        </w:rPr>
        <w:softHyphen/>
        <w:t xml:space="preserve">puje, že vládní senátor </w:t>
      </w:r>
      <w:r>
        <w:rPr>
          <w:sz w:val="20"/>
          <w:szCs w:val="20"/>
          <w:lang w:val="en-US" w:eastAsia="en-US" w:bidi="en-US"/>
        </w:rPr>
        <w:t xml:space="preserve">Desmond Fitzgerald </w:t>
      </w:r>
      <w:r>
        <w:rPr>
          <w:sz w:val="20"/>
          <w:szCs w:val="20"/>
        </w:rPr>
        <w:t>prohlásil v těchto dnech dopisovateli pařížského listu: „Můžeme pohlížet na činy teroristů s odmítáním a nesouhlasem, nemůžeme však na ně pohlížet s odporem a hr</w:t>
      </w:r>
      <w:r>
        <w:rPr>
          <w:sz w:val="20"/>
          <w:szCs w:val="20"/>
        </w:rPr>
        <w:t>ůzou. Ne</w:t>
      </w:r>
      <w:r>
        <w:rPr>
          <w:sz w:val="20"/>
          <w:szCs w:val="20"/>
        </w:rPr>
        <w:softHyphen/>
        <w:t>smíte zapomínat, že my všichni jsme byli popravováni Angličany.“</w:t>
      </w:r>
    </w:p>
    <w:p w:rsidR="00500724" w:rsidRDefault="00F30FB8">
      <w:pPr>
        <w:pStyle w:val="Zkladntext1"/>
        <w:shd w:val="clear" w:color="auto" w:fill="auto"/>
        <w:spacing w:line="218" w:lineRule="auto"/>
        <w:ind w:firstLine="260"/>
        <w:rPr>
          <w:sz w:val="20"/>
          <w:szCs w:val="20"/>
        </w:rPr>
      </w:pPr>
      <w:r>
        <w:rPr>
          <w:sz w:val="20"/>
          <w:szCs w:val="20"/>
        </w:rPr>
        <w:t xml:space="preserve">V tom už je zase vzpomínka na nešťastný rok 1916, kdy také </w:t>
      </w:r>
      <w:r>
        <w:rPr>
          <w:sz w:val="20"/>
          <w:szCs w:val="20"/>
          <w:lang w:val="en-US" w:eastAsia="en-US" w:bidi="en-US"/>
        </w:rPr>
        <w:t xml:space="preserve">Desmond Fitzgerald </w:t>
      </w:r>
      <w:r>
        <w:rPr>
          <w:sz w:val="20"/>
          <w:szCs w:val="20"/>
        </w:rPr>
        <w:t>byl mezi popravenými povstalci — jen rány popravčí čety nebyly v jeho pří</w:t>
      </w:r>
      <w:r>
        <w:rPr>
          <w:sz w:val="20"/>
          <w:szCs w:val="20"/>
        </w:rPr>
        <w:softHyphen/>
        <w:t>padě dost přesně mířeny.</w:t>
      </w:r>
    </w:p>
    <w:p w:rsidR="00500724" w:rsidRDefault="00F30FB8">
      <w:pPr>
        <w:pStyle w:val="Zkladntext1"/>
        <w:shd w:val="clear" w:color="auto" w:fill="auto"/>
        <w:spacing w:after="80" w:line="185" w:lineRule="auto"/>
        <w:ind w:firstLine="0"/>
        <w:jc w:val="center"/>
        <w:rPr>
          <w:sz w:val="20"/>
          <w:szCs w:val="20"/>
        </w:rPr>
      </w:pPr>
      <w:r>
        <w:rPr>
          <w:sz w:val="20"/>
          <w:szCs w:val="20"/>
        </w:rPr>
        <w:t>•</w:t>
      </w:r>
    </w:p>
    <w:p w:rsidR="00500724" w:rsidRDefault="00F30FB8">
      <w:pPr>
        <w:pStyle w:val="Zkladntext1"/>
        <w:shd w:val="clear" w:color="auto" w:fill="auto"/>
        <w:spacing w:after="40" w:line="216" w:lineRule="auto"/>
        <w:ind w:firstLine="260"/>
        <w:rPr>
          <w:sz w:val="20"/>
          <w:szCs w:val="20"/>
        </w:rPr>
        <w:sectPr w:rsidR="00500724">
          <w:footnotePr>
            <w:numFmt w:val="chicago"/>
            <w:numRestart w:val="eachPage"/>
          </w:footnotePr>
          <w:type w:val="continuous"/>
          <w:pgSz w:w="11909" w:h="16834"/>
          <w:pgMar w:top="812" w:right="845" w:bottom="927" w:left="557" w:header="0" w:footer="3" w:gutter="0"/>
          <w:cols w:num="2" w:space="130"/>
          <w:noEndnote/>
          <w:docGrid w:linePitch="360"/>
        </w:sectPr>
      </w:pPr>
      <w:r>
        <w:rPr>
          <w:sz w:val="20"/>
          <w:szCs w:val="20"/>
        </w:rPr>
        <w:t xml:space="preserve">Irsko je významně položený ostrov. Pokud tedy jde </w:t>
      </w:r>
      <w:r>
        <w:rPr>
          <w:b/>
          <w:bCs/>
          <w:sz w:val="20"/>
          <w:szCs w:val="20"/>
        </w:rPr>
        <w:t xml:space="preserve">o </w:t>
      </w:r>
      <w:r>
        <w:rPr>
          <w:sz w:val="20"/>
          <w:szCs w:val="20"/>
        </w:rPr>
        <w:t>nynější teroristické akce IRA, má zajisté pravdu</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853" w:right="1289" w:bottom="1056" w:left="199" w:header="0" w:footer="3" w:gutter="0"/>
          <w:cols w:space="720"/>
          <w:noEndnote/>
          <w:docGrid w:linePitch="360"/>
        </w:sectPr>
      </w:pPr>
      <w:bookmarkStart w:id="784" w:name="bookmark783"/>
      <w:r>
        <w:rPr>
          <w:rFonts w:ascii="Times New Roman" w:eastAsia="Times New Roman" w:hAnsi="Times New Roman" w:cs="Times New Roman"/>
        </w:rPr>
        <w:t>ÍVltoimosO</w:t>
      </w:r>
      <w:bookmarkEnd w:id="784"/>
    </w:p>
    <w:p w:rsidR="00500724" w:rsidRDefault="00500724">
      <w:pPr>
        <w:spacing w:line="38" w:lineRule="exact"/>
        <w:rPr>
          <w:sz w:val="3"/>
          <w:szCs w:val="3"/>
        </w:rPr>
      </w:pPr>
    </w:p>
    <w:p w:rsidR="00500724" w:rsidRDefault="00500724">
      <w:pPr>
        <w:spacing w:line="14" w:lineRule="exact"/>
        <w:sectPr w:rsidR="00500724">
          <w:footnotePr>
            <w:numFmt w:val="chicago"/>
            <w:numRestart w:val="eachPage"/>
          </w:footnotePr>
          <w:type w:val="continuous"/>
          <w:pgSz w:w="11909" w:h="16834"/>
          <w:pgMar w:top="1125" w:right="0" w:bottom="983" w:left="0" w:header="0" w:footer="3" w:gutter="0"/>
          <w:cols w:space="720"/>
          <w:noEndnote/>
          <w:docGrid w:linePitch="360"/>
        </w:sectPr>
      </w:pPr>
    </w:p>
    <w:p w:rsidR="00500724" w:rsidRDefault="00F30FB8">
      <w:pPr>
        <w:pStyle w:val="Zkladntext1"/>
        <w:shd w:val="clear" w:color="auto" w:fill="auto"/>
        <w:spacing w:after="40" w:line="216" w:lineRule="auto"/>
        <w:ind w:firstLine="0"/>
        <w:rPr>
          <w:sz w:val="20"/>
          <w:szCs w:val="20"/>
        </w:rPr>
      </w:pPr>
      <w:r>
        <w:rPr>
          <w:sz w:val="20"/>
          <w:szCs w:val="20"/>
        </w:rPr>
        <w:t>italský list T e v e r e: „Anglie — napsal minulého týdne</w:t>
      </w:r>
      <w:r>
        <w:rPr>
          <w:sz w:val="20"/>
          <w:szCs w:val="20"/>
        </w:rPr>
        <w:t xml:space="preserve"> — si konečně musí uvědomit, že má nepřítele ve svém vlastním týlu.“</w:t>
      </w:r>
    </w:p>
    <w:p w:rsidR="00500724" w:rsidRDefault="00F30FB8">
      <w:pPr>
        <w:pStyle w:val="Zkladntext1"/>
        <w:shd w:val="clear" w:color="auto" w:fill="auto"/>
        <w:tabs>
          <w:tab w:val="left" w:pos="3149"/>
        </w:tabs>
        <w:spacing w:after="300" w:line="218" w:lineRule="auto"/>
        <w:ind w:firstLine="240"/>
        <w:rPr>
          <w:sz w:val="22"/>
          <w:szCs w:val="22"/>
        </w:rPr>
      </w:pPr>
      <w:r>
        <w:rPr>
          <w:sz w:val="20"/>
          <w:szCs w:val="20"/>
          <w:lang w:val="en-US" w:eastAsia="en-US" w:bidi="en-US"/>
        </w:rPr>
        <w:t xml:space="preserve">Prevention of Violence Bill, </w:t>
      </w:r>
      <w:r>
        <w:rPr>
          <w:sz w:val="20"/>
          <w:szCs w:val="20"/>
        </w:rPr>
        <w:t>právě vydaný mimořád</w:t>
      </w:r>
      <w:r>
        <w:rPr>
          <w:sz w:val="20"/>
          <w:szCs w:val="20"/>
        </w:rPr>
        <w:softHyphen/>
        <w:t xml:space="preserve">ný zákon proti IRA a jeho ostré provádění </w:t>
      </w:r>
      <w:r>
        <w:rPr>
          <w:sz w:val="20"/>
          <w:szCs w:val="20"/>
          <w:lang w:val="en-US" w:eastAsia="en-US" w:bidi="en-US"/>
        </w:rPr>
        <w:t xml:space="preserve">Scotland </w:t>
      </w:r>
      <w:r>
        <w:rPr>
          <w:sz w:val="20"/>
          <w:szCs w:val="20"/>
        </w:rPr>
        <w:t>Yardem se zdá nasvědčovati tomu, že Anglie si to ko</w:t>
      </w:r>
      <w:r>
        <w:rPr>
          <w:sz w:val="20"/>
          <w:szCs w:val="20"/>
        </w:rPr>
        <w:softHyphen/>
        <w:t>nečně opravdu uvědomuje.</w:t>
      </w:r>
      <w:r>
        <w:rPr>
          <w:sz w:val="20"/>
          <w:szCs w:val="20"/>
        </w:rPr>
        <w:tab/>
      </w:r>
      <w:r>
        <w:rPr>
          <w:i/>
          <w:iCs/>
          <w:sz w:val="22"/>
          <w:szCs w:val="22"/>
        </w:rPr>
        <w:t>Pavel H o</w:t>
      </w:r>
      <w:r>
        <w:rPr>
          <w:i/>
          <w:iCs/>
          <w:sz w:val="22"/>
          <w:szCs w:val="22"/>
        </w:rPr>
        <w:t xml:space="preserve"> í m a n.</w:t>
      </w:r>
    </w:p>
    <w:p w:rsidR="00500724" w:rsidRDefault="00F30FB8">
      <w:pPr>
        <w:pStyle w:val="Jin0"/>
        <w:pBdr>
          <w:bottom w:val="single" w:sz="4" w:space="0" w:color="auto"/>
        </w:pBdr>
        <w:shd w:val="clear" w:color="auto" w:fill="auto"/>
        <w:spacing w:after="320"/>
        <w:ind w:firstLine="0"/>
        <w:jc w:val="left"/>
        <w:rPr>
          <w:sz w:val="40"/>
          <w:szCs w:val="40"/>
        </w:rPr>
      </w:pPr>
      <w:r>
        <w:rPr>
          <w:rFonts w:ascii="Cambria" w:eastAsia="Cambria" w:hAnsi="Cambria" w:cs="Cambria"/>
          <w:b/>
          <w:bCs/>
          <w:sz w:val="40"/>
          <w:szCs w:val="40"/>
        </w:rPr>
        <w:t>týdenní přehled</w:t>
      </w:r>
    </w:p>
    <w:p w:rsidR="00500724" w:rsidRDefault="00F30FB8">
      <w:pPr>
        <w:pStyle w:val="Nadpis120"/>
        <w:shd w:val="clear" w:color="auto" w:fill="auto"/>
        <w:spacing w:after="100"/>
        <w:ind w:left="0"/>
        <w:jc w:val="center"/>
      </w:pPr>
      <w:bookmarkStart w:id="785" w:name="bookmark784"/>
      <w:r>
        <w:t>Jak řešit jazykovou otázku v Protektorátu?</w:t>
      </w:r>
      <w:bookmarkEnd w:id="785"/>
    </w:p>
    <w:p w:rsidR="00500724" w:rsidRDefault="00F30FB8">
      <w:pPr>
        <w:pStyle w:val="Zkladntext1"/>
        <w:shd w:val="clear" w:color="auto" w:fill="auto"/>
        <w:spacing w:after="40" w:line="194" w:lineRule="auto"/>
        <w:ind w:firstLine="240"/>
        <w:rPr>
          <w:sz w:val="18"/>
          <w:szCs w:val="18"/>
        </w:rPr>
      </w:pPr>
      <w:r>
        <w:rPr>
          <w:sz w:val="18"/>
          <w:szCs w:val="18"/>
        </w:rPr>
        <w:t xml:space="preserve">Dnes se schyluje 1 k řešení t. zv. jazykové otázky </w:t>
      </w:r>
      <w:r>
        <w:rPr>
          <w:b/>
          <w:bCs/>
          <w:sz w:val="18"/>
          <w:szCs w:val="18"/>
        </w:rPr>
        <w:t xml:space="preserve">v </w:t>
      </w:r>
      <w:r>
        <w:rPr>
          <w:sz w:val="18"/>
          <w:szCs w:val="18"/>
        </w:rPr>
        <w:t xml:space="preserve">novém našem státoprávním útvaru. S německé strany bylo v minulých dnech na řešení této otázky veřejně naléháno a bylo zejména důrazně </w:t>
      </w:r>
      <w:r>
        <w:rPr>
          <w:sz w:val="18"/>
          <w:szCs w:val="18"/>
        </w:rPr>
        <w:t>vysloveno mínění, že by se měla projevit iniciativa na straně české.... česká veřejnost může býti jista, že nikdo z vedoucích mužů českého národa nepůjde v této otázce nikdy za mez, která by zadala našemu národnímu důstojenství, cti a celé budoucnosti na</w:t>
      </w:r>
      <w:r>
        <w:rPr>
          <w:sz w:val="18"/>
          <w:szCs w:val="18"/>
        </w:rPr>
        <w:softHyphen/>
        <w:t>š</w:t>
      </w:r>
      <w:r>
        <w:rPr>
          <w:sz w:val="18"/>
          <w:szCs w:val="18"/>
        </w:rPr>
        <w:t xml:space="preserve">eho svébytného života. </w:t>
      </w:r>
      <w:r>
        <w:rPr>
          <w:i/>
          <w:iCs/>
          <w:sz w:val="18"/>
          <w:szCs w:val="18"/>
        </w:rPr>
        <w:t>Sa</w:t>
      </w:r>
      <w:r>
        <w:rPr>
          <w:sz w:val="18"/>
          <w:szCs w:val="18"/>
        </w:rPr>
        <w:t xml:space="preserve"> nemyslitelně, abychom se v revisi některých stanovisek vraceli tak daleko, že bychom se zří</w:t>
      </w:r>
      <w:r>
        <w:rPr>
          <w:sz w:val="18"/>
          <w:szCs w:val="18"/>
        </w:rPr>
        <w:softHyphen/>
        <w:t>kali dokonce i postavení, které měl český jazyk a český národ před celými desítiletími za režimu rakouského. Již před čtvrt rokem (26. dub</w:t>
      </w:r>
      <w:r>
        <w:rPr>
          <w:sz w:val="18"/>
          <w:szCs w:val="18"/>
        </w:rPr>
        <w:t>na) bylo tu navrhováno, aby</w:t>
      </w:r>
      <w:r>
        <w:rPr>
          <w:sz w:val="18"/>
          <w:szCs w:val="18"/>
        </w:rPr>
        <w:softHyphen/>
        <w:t>chom vyšli z požadavků Sudetendeutsche Parte i.</w:t>
      </w:r>
    </w:p>
    <w:p w:rsidR="00500724" w:rsidRDefault="00F30FB8">
      <w:pPr>
        <w:pStyle w:val="Zkladntext1"/>
        <w:shd w:val="clear" w:color="auto" w:fill="auto"/>
        <w:spacing w:line="194" w:lineRule="auto"/>
        <w:ind w:firstLine="240"/>
        <w:rPr>
          <w:sz w:val="18"/>
          <w:szCs w:val="18"/>
        </w:rPr>
      </w:pPr>
      <w:r>
        <w:rPr>
          <w:sz w:val="18"/>
          <w:szCs w:val="18"/>
        </w:rPr>
        <w:t>Bývalá československá vláda předložila před rokem sudet- ským Němcům řadu návrhů, označovaných obecně jako „ná</w:t>
      </w:r>
      <w:r>
        <w:rPr>
          <w:sz w:val="18"/>
          <w:szCs w:val="18"/>
        </w:rPr>
        <w:softHyphen/>
        <w:t>rodnostní statut“. SdP vydala je tehdy v souborné publikaci:</w:t>
      </w:r>
    </w:p>
    <w:p w:rsidR="00500724" w:rsidRDefault="00F30FB8">
      <w:pPr>
        <w:pStyle w:val="Zkladntext1"/>
        <w:numPr>
          <w:ilvl w:val="0"/>
          <w:numId w:val="99"/>
        </w:numPr>
        <w:shd w:val="clear" w:color="auto" w:fill="auto"/>
        <w:tabs>
          <w:tab w:val="left" w:pos="318"/>
        </w:tabs>
        <w:spacing w:line="194" w:lineRule="auto"/>
        <w:ind w:firstLine="0"/>
        <w:rPr>
          <w:sz w:val="18"/>
          <w:szCs w:val="18"/>
        </w:rPr>
      </w:pPr>
      <w:r>
        <w:rPr>
          <w:sz w:val="18"/>
          <w:szCs w:val="18"/>
        </w:rPr>
        <w:t>,,D as N</w:t>
      </w:r>
      <w:r>
        <w:rPr>
          <w:sz w:val="18"/>
          <w:szCs w:val="18"/>
        </w:rPr>
        <w:t>ationalitatenstatut — eine LiSsung des Nationalitátenproblems?“ — (t. j. Národ</w:t>
      </w:r>
      <w:r>
        <w:rPr>
          <w:sz w:val="18"/>
          <w:szCs w:val="18"/>
        </w:rPr>
        <w:softHyphen/>
        <w:t>nostní statut — řešením národnostního problému?). Publi</w:t>
      </w:r>
      <w:r>
        <w:rPr>
          <w:sz w:val="18"/>
          <w:szCs w:val="18"/>
        </w:rPr>
        <w:softHyphen/>
        <w:t>kace vyšla v nakladatelství Karl H. Frank (Karlovy Vary</w:t>
      </w:r>
    </w:p>
    <w:p w:rsidR="00500724" w:rsidRDefault="00F30FB8">
      <w:pPr>
        <w:pStyle w:val="Zkladntext1"/>
        <w:numPr>
          <w:ilvl w:val="0"/>
          <w:numId w:val="99"/>
        </w:numPr>
        <w:shd w:val="clear" w:color="auto" w:fill="auto"/>
        <w:tabs>
          <w:tab w:val="left" w:pos="322"/>
        </w:tabs>
        <w:spacing w:after="40" w:line="194" w:lineRule="auto"/>
        <w:ind w:firstLine="0"/>
        <w:rPr>
          <w:sz w:val="18"/>
          <w:szCs w:val="18"/>
        </w:rPr>
      </w:pPr>
      <w:r>
        <w:rPr>
          <w:sz w:val="18"/>
          <w:szCs w:val="18"/>
        </w:rPr>
        <w:t>Lipsko), a to ve dvou dílech, z nichž druhý je kritikou a odmítnu</w:t>
      </w:r>
      <w:r>
        <w:rPr>
          <w:sz w:val="18"/>
          <w:szCs w:val="18"/>
        </w:rPr>
        <w:t>tím tehdejších národnostních a jazykových návrhů bývalé československé vlády.</w:t>
      </w:r>
    </w:p>
    <w:p w:rsidR="00500724" w:rsidRDefault="00F30FB8">
      <w:pPr>
        <w:pStyle w:val="Zkladntext1"/>
        <w:shd w:val="clear" w:color="auto" w:fill="auto"/>
        <w:spacing w:after="40" w:line="194" w:lineRule="auto"/>
        <w:ind w:firstLine="240"/>
        <w:rPr>
          <w:sz w:val="18"/>
          <w:szCs w:val="18"/>
        </w:rPr>
      </w:pPr>
      <w:r>
        <w:rPr>
          <w:sz w:val="18"/>
          <w:szCs w:val="18"/>
        </w:rPr>
        <w:t>Spatřuji v této kritice a v návrzích tam naopak obsaže</w:t>
      </w:r>
      <w:r>
        <w:rPr>
          <w:sz w:val="18"/>
          <w:szCs w:val="18"/>
        </w:rPr>
        <w:softHyphen/>
        <w:t>ných solidní východisko k řešení celého problému. Je to práce důkladná a pozoruhodná. Žádá zejména důslednou ochranu národn</w:t>
      </w:r>
      <w:r>
        <w:rPr>
          <w:sz w:val="18"/>
          <w:szCs w:val="18"/>
        </w:rPr>
        <w:t>í příslušnosti, trestnost každé</w:t>
      </w:r>
      <w:r>
        <w:rPr>
          <w:sz w:val="18"/>
          <w:szCs w:val="18"/>
        </w:rPr>
        <w:softHyphen/>
        <w:t>ho pokusu o odnárodňování, přesné zjištění národnosti každého občana a založení národnostního ka</w:t>
      </w:r>
      <w:r>
        <w:rPr>
          <w:sz w:val="18"/>
          <w:szCs w:val="18"/>
        </w:rPr>
        <w:softHyphen/>
        <w:t>tastru, který by odstranil všechny spory o národní pří</w:t>
      </w:r>
      <w:r>
        <w:rPr>
          <w:sz w:val="18"/>
          <w:szCs w:val="18"/>
        </w:rPr>
        <w:softHyphen/>
        <w:t>slušnost. Žádá úplnou a všestrannou rovnost před zá</w:t>
      </w:r>
      <w:r>
        <w:rPr>
          <w:sz w:val="18"/>
          <w:szCs w:val="18"/>
        </w:rPr>
        <w:softHyphen/>
        <w:t>konem, zaručenou pro</w:t>
      </w:r>
      <w:r>
        <w:rPr>
          <w:sz w:val="18"/>
          <w:szCs w:val="18"/>
        </w:rPr>
        <w:t>ti každému zneužití atd., atd., prostě všechno, čeho je třeba k plnému a svobodnému národnímu životu a všechno, co by sloužilo k odstranění ohniska ne</w:t>
      </w:r>
      <w:r>
        <w:rPr>
          <w:sz w:val="18"/>
          <w:szCs w:val="18"/>
        </w:rPr>
        <w:softHyphen/>
        <w:t>klidu v poměru česko-německém ve střední Evropě. Bekli jsme, že se nevyhýbáme povinnosti k iniciativě a ž</w:t>
      </w:r>
      <w:r>
        <w:rPr>
          <w:sz w:val="18"/>
          <w:szCs w:val="18"/>
        </w:rPr>
        <w:t>e se jí na ěeské straně chceme chopit. Jak a jakými však návrhy? Jakými hledisky a s jakými myšlenkovými předpokla</w:t>
      </w:r>
      <w:r>
        <w:rPr>
          <w:sz w:val="18"/>
          <w:szCs w:val="18"/>
        </w:rPr>
        <w:softHyphen/>
        <w:t>dy? Naším míněním je, že tato hlediska a předpoklady jsou dány požadavky bývalé Sudetoněmecké strany. Chceme do</w:t>
      </w:r>
      <w:r>
        <w:rPr>
          <w:sz w:val="18"/>
          <w:szCs w:val="18"/>
        </w:rPr>
        <w:softHyphen/>
        <w:t>konce věřit, že to Němci přiv</w:t>
      </w:r>
      <w:r>
        <w:rPr>
          <w:sz w:val="18"/>
          <w:szCs w:val="18"/>
        </w:rPr>
        <w:t>ítají, tak aby už jednou opravdu odpadly ty neustálé výtky, že se nechceme ničemu z nových situací naučit a že zůstáváme hluší a slepí k změněným po</w:t>
      </w:r>
      <w:r>
        <w:rPr>
          <w:sz w:val="18"/>
          <w:szCs w:val="18"/>
        </w:rPr>
        <w:softHyphen/>
        <w:t>měrům. Že to přivítají konečně i jako příležitost k uplatnění oněch svých stanovisek v novém státoprávním ú</w:t>
      </w:r>
      <w:r>
        <w:rPr>
          <w:sz w:val="18"/>
          <w:szCs w:val="18"/>
        </w:rPr>
        <w:t>tvaru, i když v něm zbylo jen malé procento Němců. Je přece jasné, že nemůže býti nepřijatelné to, co ještě nedávno bylo nalé</w:t>
      </w:r>
      <w:r>
        <w:rPr>
          <w:sz w:val="18"/>
          <w:szCs w:val="18"/>
        </w:rPr>
        <w:softHyphen/>
        <w:t>havě nutné, že nebude ěerné, co bylo věera bílé, a špatné to, co bylo dobré, správné a spravedlivé. Německé návrhy nesly se zejmén</w:t>
      </w:r>
      <w:r>
        <w:rPr>
          <w:sz w:val="18"/>
          <w:szCs w:val="18"/>
        </w:rPr>
        <w:t>a k odstranění onoho trpkého a neudržitelného sta</w:t>
      </w:r>
      <w:r>
        <w:rPr>
          <w:sz w:val="18"/>
          <w:szCs w:val="18"/>
        </w:rPr>
        <w:softHyphen/>
        <w:t>vu, jemuž Němci dali výstižný název „Seelenfan g“, t. j. lapání duší. Všechny německé návrhy vycházely z přesvěd</w:t>
      </w:r>
      <w:r>
        <w:rPr>
          <w:sz w:val="18"/>
          <w:szCs w:val="18"/>
        </w:rPr>
        <w:softHyphen/>
        <w:t>čení, že ochrana příslušníka každé národnosti před tímto la</w:t>
      </w:r>
      <w:r>
        <w:rPr>
          <w:sz w:val="18"/>
          <w:szCs w:val="18"/>
        </w:rPr>
        <w:softHyphen/>
        <w:t>páním duší je krajně naléhavá, ne</w:t>
      </w:r>
      <w:r>
        <w:rPr>
          <w:sz w:val="18"/>
          <w:szCs w:val="18"/>
        </w:rPr>
        <w:t>bot v onom lapání je „ne</w:t>
      </w:r>
      <w:r>
        <w:rPr>
          <w:sz w:val="18"/>
          <w:szCs w:val="18"/>
        </w:rPr>
        <w:softHyphen/>
        <w:t>ustálý pramen těžkých národních sporů a stížností a stálý boj o národní příslušnost státních občanů“. Je to svátá pravda a domníváme se, že pro každou budoucnost musí býti za základ každé úpravě dáno odsouzení každého lapaěství duš</w:t>
      </w:r>
      <w:r>
        <w:rPr>
          <w:sz w:val="18"/>
          <w:szCs w:val="18"/>
        </w:rPr>
        <w:t>í, a to těmito ětyřmi základními thesemi Sudetoněmecké strany, která prohlásila, že takový „Seelenfang“ může jen tím býti odstraněn, když —</w:t>
      </w:r>
    </w:p>
    <w:p w:rsidR="00500724" w:rsidRDefault="00F30FB8">
      <w:pPr>
        <w:pStyle w:val="Zkladntext1"/>
        <w:numPr>
          <w:ilvl w:val="0"/>
          <w:numId w:val="100"/>
        </w:numPr>
        <w:shd w:val="clear" w:color="auto" w:fill="auto"/>
        <w:tabs>
          <w:tab w:val="left" w:pos="529"/>
        </w:tabs>
        <w:spacing w:after="60" w:line="202" w:lineRule="auto"/>
        <w:ind w:firstLine="240"/>
        <w:rPr>
          <w:sz w:val="18"/>
          <w:szCs w:val="18"/>
        </w:rPr>
      </w:pPr>
      <w:r>
        <w:rPr>
          <w:b/>
          <w:bCs/>
          <w:sz w:val="18"/>
          <w:szCs w:val="18"/>
        </w:rPr>
        <w:t>národní příslušnost státních občanů a jejich potomků je jednoznačně a veřejně určena,</w:t>
      </w:r>
    </w:p>
    <w:p w:rsidR="00500724" w:rsidRDefault="00F30FB8">
      <w:pPr>
        <w:pStyle w:val="Zkladntext1"/>
        <w:numPr>
          <w:ilvl w:val="0"/>
          <w:numId w:val="100"/>
        </w:numPr>
        <w:shd w:val="clear" w:color="auto" w:fill="auto"/>
        <w:tabs>
          <w:tab w:val="left" w:pos="514"/>
        </w:tabs>
        <w:spacing w:line="192" w:lineRule="auto"/>
        <w:ind w:firstLine="260"/>
        <w:rPr>
          <w:sz w:val="18"/>
          <w:szCs w:val="18"/>
        </w:rPr>
      </w:pPr>
      <w:r>
        <w:rPr>
          <w:sz w:val="18"/>
          <w:szCs w:val="18"/>
        </w:rPr>
        <w:t>když bude umožněno míti národn</w:t>
      </w:r>
      <w:r>
        <w:rPr>
          <w:sz w:val="18"/>
          <w:szCs w:val="18"/>
        </w:rPr>
        <w:t>í příslušnost jednot</w:t>
      </w:r>
      <w:r>
        <w:rPr>
          <w:sz w:val="18"/>
          <w:szCs w:val="18"/>
        </w:rPr>
        <w:softHyphen/>
        <w:t>livých státních občanů kdykoliv tak v evidenci, tak aby všechny otázky, v nichž hraje roli národní příslušnost, mohly býti ihned a za veřejné kontroly rozhodnuty,</w:t>
      </w:r>
    </w:p>
    <w:p w:rsidR="00500724" w:rsidRDefault="00F30FB8">
      <w:pPr>
        <w:pStyle w:val="Zkladntext1"/>
        <w:numPr>
          <w:ilvl w:val="0"/>
          <w:numId w:val="100"/>
        </w:numPr>
        <w:shd w:val="clear" w:color="auto" w:fill="auto"/>
        <w:tabs>
          <w:tab w:val="left" w:pos="510"/>
        </w:tabs>
        <w:spacing w:line="194" w:lineRule="auto"/>
        <w:ind w:firstLine="260"/>
        <w:rPr>
          <w:sz w:val="18"/>
          <w:szCs w:val="18"/>
        </w:rPr>
      </w:pPr>
      <w:r>
        <w:rPr>
          <w:sz w:val="18"/>
          <w:szCs w:val="18"/>
        </w:rPr>
        <w:t>když příslušní zástupci národů a národních skupin bu</w:t>
      </w:r>
      <w:r>
        <w:rPr>
          <w:sz w:val="18"/>
          <w:szCs w:val="18"/>
        </w:rPr>
        <w:softHyphen/>
        <w:t>dou moci kdykoliv z</w:t>
      </w:r>
      <w:r>
        <w:rPr>
          <w:sz w:val="18"/>
          <w:szCs w:val="18"/>
        </w:rPr>
        <w:t>akročiti ve prospěch s národní přísluš</w:t>
      </w:r>
      <w:r>
        <w:rPr>
          <w:sz w:val="18"/>
          <w:szCs w:val="18"/>
        </w:rPr>
        <w:softHyphen/>
        <w:t>ností spojených práv svých příslušníků, a konečně</w:t>
      </w:r>
    </w:p>
    <w:p w:rsidR="00500724" w:rsidRDefault="00F30FB8">
      <w:pPr>
        <w:pStyle w:val="Zkladntext1"/>
        <w:numPr>
          <w:ilvl w:val="0"/>
          <w:numId w:val="100"/>
        </w:numPr>
        <w:shd w:val="clear" w:color="auto" w:fill="auto"/>
        <w:tabs>
          <w:tab w:val="left" w:pos="519"/>
        </w:tabs>
        <w:spacing w:line="194" w:lineRule="auto"/>
        <w:ind w:firstLine="260"/>
        <w:rPr>
          <w:sz w:val="18"/>
          <w:szCs w:val="18"/>
        </w:rPr>
      </w:pPr>
      <w:r>
        <w:rPr>
          <w:sz w:val="18"/>
          <w:szCs w:val="18"/>
        </w:rPr>
        <w:t>když národům a národním skupinám bude zaručena bezpečnost jejich osobního stavu a tím také poskytnuta zá</w:t>
      </w:r>
      <w:r>
        <w:rPr>
          <w:sz w:val="18"/>
          <w:szCs w:val="18"/>
        </w:rPr>
        <w:softHyphen/>
        <w:t xml:space="preserve">kladna pro uplatnění a vykonávání kolektivních národnostních </w:t>
      </w:r>
      <w:r>
        <w:rPr>
          <w:sz w:val="18"/>
          <w:szCs w:val="18"/>
        </w:rPr>
        <w:t>práv (na přiklad samospráva ve školství a vzdělávání na osobním základě).</w:t>
      </w:r>
    </w:p>
    <w:p w:rsidR="00500724" w:rsidRDefault="00F30FB8">
      <w:pPr>
        <w:pStyle w:val="Zkladntext1"/>
        <w:shd w:val="clear" w:color="auto" w:fill="auto"/>
        <w:spacing w:line="194" w:lineRule="auto"/>
        <w:ind w:firstLine="260"/>
        <w:rPr>
          <w:sz w:val="18"/>
          <w:szCs w:val="18"/>
        </w:rPr>
      </w:pPr>
      <w:r>
        <w:rPr>
          <w:sz w:val="18"/>
          <w:szCs w:val="18"/>
        </w:rPr>
        <w:t>Domníváme se, že nelze míti naprosto nic proti tomu, aby se při budoucím řešení vyšlo z těchto rozumných a spraved</w:t>
      </w:r>
      <w:r>
        <w:rPr>
          <w:sz w:val="18"/>
          <w:szCs w:val="18"/>
        </w:rPr>
        <w:softHyphen/>
        <w:t>livých stanovisek. Němci odmítli čechisaci a my odmítáme germanisac</w:t>
      </w:r>
      <w:r>
        <w:rPr>
          <w:sz w:val="18"/>
          <w:szCs w:val="18"/>
        </w:rPr>
        <w:t>i. A všichni bychom se mohli shodnout ve spo</w:t>
      </w:r>
      <w:r>
        <w:rPr>
          <w:sz w:val="18"/>
          <w:szCs w:val="18"/>
        </w:rPr>
        <w:softHyphen/>
        <w:t>lečném mínění, že jsou věci, které nemohou míti dlouhého trvání, jsou-li postaveny na násilí a nepoctivosti, která ne</w:t>
      </w:r>
      <w:r>
        <w:rPr>
          <w:sz w:val="18"/>
          <w:szCs w:val="18"/>
        </w:rPr>
        <w:softHyphen/>
        <w:t>chce něco nejen pevnějšího, ale i lepšího a spravedlivějšího.</w:t>
      </w:r>
    </w:p>
    <w:p w:rsidR="00500724" w:rsidRDefault="00F30FB8">
      <w:pPr>
        <w:pStyle w:val="Zkladntext1"/>
        <w:shd w:val="clear" w:color="auto" w:fill="auto"/>
        <w:spacing w:after="200" w:line="194" w:lineRule="auto"/>
        <w:ind w:firstLine="0"/>
        <w:jc w:val="right"/>
        <w:rPr>
          <w:sz w:val="18"/>
          <w:szCs w:val="18"/>
        </w:rPr>
      </w:pPr>
      <w:r>
        <w:rPr>
          <w:i/>
          <w:iCs/>
          <w:sz w:val="18"/>
          <w:szCs w:val="18"/>
        </w:rPr>
        <w:t>Karel Kut v „Poledním, listě“.</w:t>
      </w:r>
    </w:p>
    <w:p w:rsidR="00500724" w:rsidRDefault="00F30FB8">
      <w:pPr>
        <w:pStyle w:val="Nadpis120"/>
        <w:shd w:val="clear" w:color="auto" w:fill="auto"/>
        <w:spacing w:after="140"/>
        <w:ind w:left="0"/>
        <w:jc w:val="center"/>
      </w:pPr>
      <w:bookmarkStart w:id="786" w:name="bookmark785"/>
      <w:r>
        <w:t>Nepříznivý vliv incidentů.</w:t>
      </w:r>
      <w:bookmarkEnd w:id="786"/>
    </w:p>
    <w:p w:rsidR="00500724" w:rsidRDefault="00F30FB8">
      <w:pPr>
        <w:pStyle w:val="Zkladntext1"/>
        <w:shd w:val="clear" w:color="auto" w:fill="auto"/>
        <w:spacing w:line="197" w:lineRule="auto"/>
        <w:ind w:firstLine="260"/>
        <w:rPr>
          <w:sz w:val="18"/>
          <w:szCs w:val="18"/>
        </w:rPr>
      </w:pPr>
      <w:r>
        <w:rPr>
          <w:sz w:val="18"/>
          <w:szCs w:val="18"/>
        </w:rPr>
        <w:t>češi, kteří bez snění dovedou klást vedle sebe skutečnosti a podle nich vyvozovat logické závěry, pamatují se na kla</w:t>
      </w:r>
      <w:r>
        <w:rPr>
          <w:sz w:val="18"/>
          <w:szCs w:val="18"/>
        </w:rPr>
        <w:softHyphen/>
        <w:t>denský případ. Padl zrovna do týdne, ve kterém jednalo se o důležité věci povahy národní i politické. České náro</w:t>
      </w:r>
      <w:r>
        <w:rPr>
          <w:sz w:val="18"/>
          <w:szCs w:val="18"/>
        </w:rPr>
        <w:t>dní hnutí, které mělo na programu právě ony důležité věci celo</w:t>
      </w:r>
      <w:r>
        <w:rPr>
          <w:sz w:val="18"/>
          <w:szCs w:val="18"/>
        </w:rPr>
        <w:softHyphen/>
        <w:t>národního významu, musilo najednou obrátiti všechen svůj zřetel na Kladensko. Důsledky jsou známy. Kladenským pří</w:t>
      </w:r>
      <w:r>
        <w:rPr>
          <w:sz w:val="18"/>
          <w:szCs w:val="18"/>
        </w:rPr>
        <w:softHyphen/>
        <w:t>padem bylo zmařeno hodně dobrých věcí celonárodního význa</w:t>
      </w:r>
      <w:r>
        <w:rPr>
          <w:sz w:val="18"/>
          <w:szCs w:val="18"/>
        </w:rPr>
        <w:softHyphen/>
        <w:t>mu. Také na jiných in</w:t>
      </w:r>
      <w:r>
        <w:rPr>
          <w:sz w:val="18"/>
          <w:szCs w:val="18"/>
        </w:rPr>
        <w:t>cidentech, vyvolaných nerozumnými jedinci (Mnichovo Hradiště), mohli bychom dokázat, že vy</w:t>
      </w:r>
      <w:r>
        <w:rPr>
          <w:sz w:val="18"/>
          <w:szCs w:val="18"/>
        </w:rPr>
        <w:softHyphen/>
        <w:t>volané incidenty poškozují na konec jen českou věc.</w:t>
      </w:r>
    </w:p>
    <w:p w:rsidR="00500724" w:rsidRDefault="00F30FB8">
      <w:pPr>
        <w:pStyle w:val="Zkladntext1"/>
        <w:shd w:val="clear" w:color="auto" w:fill="auto"/>
        <w:spacing w:line="197" w:lineRule="auto"/>
        <w:ind w:firstLine="260"/>
        <w:rPr>
          <w:sz w:val="18"/>
          <w:szCs w:val="18"/>
        </w:rPr>
      </w:pPr>
      <w:r>
        <w:rPr>
          <w:sz w:val="18"/>
          <w:szCs w:val="18"/>
        </w:rPr>
        <w:t>Národní hnutí české považovalo už tenkrát vydati do řad českého národa naléhavou výzvu, aby chladný rozum chlapců</w:t>
      </w:r>
      <w:r>
        <w:rPr>
          <w:sz w:val="18"/>
          <w:szCs w:val="18"/>
        </w:rPr>
        <w:t xml:space="preserve"> držel na uzdě nervy a city za každých ok o I- n o t í. V Jaroměři považoval městský úřad za potřebné vydati v těchto dnech veřejné vyhlášky, kterými oznamuje, jak někteří jedinci, kteří zničili nebo poškodili dvojjazyčné uliční tabulky, škodí přímo poplat</w:t>
      </w:r>
      <w:r>
        <w:rPr>
          <w:sz w:val="18"/>
          <w:szCs w:val="18"/>
        </w:rPr>
        <w:t>nictvu a svému městu, které musí pořizovat nové tabulky.</w:t>
      </w:r>
    </w:p>
    <w:p w:rsidR="00500724" w:rsidRDefault="00F30FB8">
      <w:pPr>
        <w:pStyle w:val="Zkladntext1"/>
        <w:shd w:val="clear" w:color="auto" w:fill="auto"/>
        <w:spacing w:line="197" w:lineRule="auto"/>
        <w:ind w:firstLine="260"/>
        <w:rPr>
          <w:sz w:val="18"/>
          <w:szCs w:val="18"/>
        </w:rPr>
      </w:pPr>
      <w:r>
        <w:rPr>
          <w:sz w:val="18"/>
          <w:szCs w:val="18"/>
        </w:rPr>
        <w:t>V Nymburce v železničních dílnách byly spáchány dvě urážky Němc_ a krajské vedení NSDAP vyslalo z Prahy komisi, kí-rá případ vyšetří. Na stanici Sadské byla napa</w:t>
      </w:r>
      <w:r>
        <w:rPr>
          <w:sz w:val="18"/>
          <w:szCs w:val="18"/>
        </w:rPr>
        <w:softHyphen/>
        <w:t xml:space="preserve">dena žena německého dopravního </w:t>
      </w:r>
      <w:r>
        <w:rPr>
          <w:sz w:val="18"/>
          <w:szCs w:val="18"/>
        </w:rPr>
        <w:t>úředníka, soudní vyšetřo</w:t>
      </w:r>
      <w:r>
        <w:rPr>
          <w:sz w:val="18"/>
          <w:szCs w:val="18"/>
        </w:rPr>
        <w:softHyphen/>
        <w:t>vání proti Čechu bylo zahájeno. — Národní hnutí české přísně odsuzuje jakékoliv vyvolávání incidentů. Dnes je potřeba uvědomělé kázně každého příslušníka českého ná</w:t>
      </w:r>
      <w:r>
        <w:rPr>
          <w:sz w:val="18"/>
          <w:szCs w:val="18"/>
        </w:rPr>
        <w:softHyphen/>
        <w:t>roda. — Hájit národní zájmy přísluší v každém případě českému náro</w:t>
      </w:r>
      <w:r>
        <w:rPr>
          <w:sz w:val="18"/>
          <w:szCs w:val="18"/>
        </w:rPr>
        <w:t>dnímu hnutí; povolaným mužům do Vý</w:t>
      </w:r>
      <w:r>
        <w:rPr>
          <w:sz w:val="18"/>
          <w:szCs w:val="18"/>
        </w:rPr>
        <w:softHyphen/>
        <w:t>boru Nárcdního souručenství a vládě, nikoliv jedin</w:t>
      </w:r>
      <w:r>
        <w:rPr>
          <w:sz w:val="18"/>
          <w:szCs w:val="18"/>
        </w:rPr>
        <w:softHyphen/>
        <w:t>cům. Děje se tak cestami přímými, ve dne a nikoliv v noci. V čele stojí přece čeští muži, kteří snad dovedou jednat přímo, rovně a česky. Každý svévolný incident oslabuje</w:t>
      </w:r>
      <w:r>
        <w:rPr>
          <w:sz w:val="18"/>
          <w:szCs w:val="18"/>
        </w:rPr>
        <w:t xml:space="preserve"> jejich práci. Kdo pozorně čte zprávy o jednání Výboru pracovních komisí N. S. a ěeské vlády, ten ví, že i v příštích dnech bude rozhodováno o několika významných a důležitých věcech celonárodního významu. Vláda oznámila, že jednala o nutné změně jazykovýc</w:t>
      </w:r>
      <w:r>
        <w:rPr>
          <w:sz w:val="18"/>
          <w:szCs w:val="18"/>
        </w:rPr>
        <w:t>h nařízení. P.ovněž o pracovní povinnosti. Také Výbor Národního sou</w:t>
      </w:r>
      <w:r>
        <w:rPr>
          <w:sz w:val="18"/>
          <w:szCs w:val="18"/>
        </w:rPr>
        <w:softHyphen/>
        <w:t>ručenství a zvláštní jeho komise jednala o naléhavosti úpra</w:t>
      </w:r>
      <w:r>
        <w:rPr>
          <w:sz w:val="18"/>
          <w:szCs w:val="18"/>
        </w:rPr>
        <w:softHyphen/>
        <w:t>vy jazykové otázky, tolik zdůrazňované s německé rtrany, pak o židovské otázce a jiných, důležitých věcech.</w:t>
      </w:r>
    </w:p>
    <w:p w:rsidR="00500724" w:rsidRDefault="00F30FB8">
      <w:pPr>
        <w:pStyle w:val="Zkladntext1"/>
        <w:shd w:val="clear" w:color="auto" w:fill="auto"/>
        <w:tabs>
          <w:tab w:val="left" w:pos="3010"/>
        </w:tabs>
        <w:spacing w:after="200" w:line="197" w:lineRule="auto"/>
        <w:ind w:firstLine="260"/>
        <w:rPr>
          <w:sz w:val="18"/>
          <w:szCs w:val="18"/>
        </w:rPr>
      </w:pPr>
      <w:r>
        <w:rPr>
          <w:sz w:val="18"/>
          <w:szCs w:val="18"/>
        </w:rPr>
        <w:t xml:space="preserve">Bíkáme českým lidem </w:t>
      </w:r>
      <w:r>
        <w:rPr>
          <w:sz w:val="18"/>
          <w:szCs w:val="18"/>
        </w:rPr>
        <w:t>otevřeně, že podobné incidenty, jako oznamuje německý tisk z Nymburka, Oseká a z Jaroměře, snadno by mohly znovu těžce poškodit celonárodní zájmy, nři rozhodování o těchto otázkách.</w:t>
      </w:r>
      <w:r>
        <w:rPr>
          <w:sz w:val="18"/>
          <w:szCs w:val="18"/>
        </w:rPr>
        <w:tab/>
        <w:t xml:space="preserve">(Č. </w:t>
      </w:r>
      <w:r>
        <w:rPr>
          <w:i/>
          <w:iCs/>
          <w:sz w:val="18"/>
          <w:szCs w:val="18"/>
        </w:rPr>
        <w:t>Ježek ve „Venkově“.)</w:t>
      </w:r>
    </w:p>
    <w:p w:rsidR="00500724" w:rsidRDefault="00F30FB8">
      <w:pPr>
        <w:pStyle w:val="Nadpis120"/>
        <w:shd w:val="clear" w:color="auto" w:fill="auto"/>
        <w:spacing w:after="140"/>
        <w:ind w:left="0"/>
        <w:jc w:val="center"/>
      </w:pPr>
      <w:bookmarkStart w:id="787" w:name="bookmark786"/>
      <w:r>
        <w:t>Národní soud.</w:t>
      </w:r>
      <w:bookmarkEnd w:id="787"/>
    </w:p>
    <w:p w:rsidR="00500724" w:rsidRDefault="00F30FB8">
      <w:pPr>
        <w:pStyle w:val="Zkladntext1"/>
        <w:shd w:val="clear" w:color="auto" w:fill="auto"/>
        <w:spacing w:line="197" w:lineRule="auto"/>
        <w:ind w:firstLine="260"/>
        <w:rPr>
          <w:sz w:val="18"/>
          <w:szCs w:val="18"/>
        </w:rPr>
      </w:pPr>
      <w:r>
        <w:rPr>
          <w:sz w:val="18"/>
          <w:szCs w:val="18"/>
        </w:rPr>
        <w:t>Za dvacet uplynulých let bylo ve ve</w:t>
      </w:r>
      <w:r>
        <w:rPr>
          <w:sz w:val="18"/>
          <w:szCs w:val="18"/>
        </w:rPr>
        <w:t>řejném životě učiněno opravdu víc než dost, aby plevel podezírání a nedůvěry se náležitě rozbujel. Z dědictví mnoha hříchů je tento hřích nej</w:t>
      </w:r>
      <w:r>
        <w:rPr>
          <w:sz w:val="18"/>
          <w:szCs w:val="18"/>
        </w:rPr>
        <w:softHyphen/>
        <w:t>větší, protože i teď z něho čerpají lidé, kteří — i když česky mluví a česky píši — česky necítí, a kteří pod zámi</w:t>
      </w:r>
      <w:r>
        <w:rPr>
          <w:sz w:val="18"/>
          <w:szCs w:val="18"/>
        </w:rPr>
        <w:t>nkou ob</w:t>
      </w:r>
      <w:r>
        <w:rPr>
          <w:sz w:val="18"/>
          <w:szCs w:val="18"/>
        </w:rPr>
        <w:softHyphen/>
        <w:t>rody šíří jed nedůvěry, nečiníce rozdílu mezi vinníky a ne</w:t>
      </w:r>
      <w:r>
        <w:rPr>
          <w:sz w:val="18"/>
          <w:szCs w:val="18"/>
        </w:rPr>
        <w:softHyphen/>
        <w:t>vinnými, mezi vinou skutečnou a domnělou.</w:t>
      </w:r>
    </w:p>
    <w:p w:rsidR="00500724" w:rsidRDefault="00F30FB8">
      <w:pPr>
        <w:pStyle w:val="Zkladntext1"/>
        <w:shd w:val="clear" w:color="auto" w:fill="auto"/>
        <w:spacing w:line="199" w:lineRule="auto"/>
        <w:ind w:firstLine="340"/>
        <w:rPr>
          <w:sz w:val="18"/>
          <w:szCs w:val="18"/>
        </w:rPr>
      </w:pPr>
      <w:r>
        <w:rPr>
          <w:sz w:val="18"/>
          <w:szCs w:val="18"/>
        </w:rPr>
        <w:t>Proto je včasným opatřením rozhodnutí státního presi</w:t>
      </w:r>
      <w:r>
        <w:rPr>
          <w:sz w:val="18"/>
          <w:szCs w:val="18"/>
        </w:rPr>
        <w:softHyphen/>
        <w:t xml:space="preserve">denta — dalo k němu popud Národní souručenství — aby byla provedena revise jmění osob činných </w:t>
      </w:r>
      <w:r>
        <w:rPr>
          <w:sz w:val="18"/>
          <w:szCs w:val="18"/>
        </w:rPr>
        <w:t>v politickém a veřejném životě. Byl zřízen Národní soud, sestávající z právníků, ni</w:t>
      </w:r>
      <w:r>
        <w:rPr>
          <w:sz w:val="18"/>
          <w:szCs w:val="18"/>
        </w:rPr>
        <w:softHyphen/>
        <w:t>koliv z politiků, který prozkoumá, zda a které osoby veřejně činné v době od října 1918 do července 1939 se provinily tím, že se obohatily z titulu svých veřejných a politi</w:t>
      </w:r>
      <w:r>
        <w:rPr>
          <w:sz w:val="18"/>
          <w:szCs w:val="18"/>
        </w:rPr>
        <w:t>ckých funkcí.</w:t>
      </w:r>
    </w:p>
    <w:p w:rsidR="00500724" w:rsidRDefault="00F30FB8">
      <w:pPr>
        <w:pStyle w:val="Zkladntext1"/>
        <w:shd w:val="clear" w:color="auto" w:fill="auto"/>
        <w:spacing w:line="197" w:lineRule="auto"/>
        <w:ind w:firstLine="340"/>
        <w:rPr>
          <w:sz w:val="18"/>
          <w:szCs w:val="18"/>
        </w:rPr>
      </w:pPr>
      <w:r>
        <w:rPr>
          <w:sz w:val="18"/>
          <w:szCs w:val="18"/>
        </w:rPr>
        <w:t xml:space="preserve">V rozhodnutí o zřízení Národního soudu je velká hodnota mfavní. Především v tom, že je tu zřetelně dáno najevo, že vše bude zjištěno, vše bude přezkoušeno, všechno spravedlivě rozsouzeno — a kde bude nalezena vina, tam nebude nic před </w:t>
      </w:r>
      <w:r>
        <w:rPr>
          <w:sz w:val="18"/>
          <w:szCs w:val="18"/>
        </w:rPr>
        <w:t>veřejností skryto. A také v tom je velká cena tohoto opatření, že každý má možnost, aby místo našeptávání sdělil na pra</w:t>
      </w:r>
      <w:r>
        <w:rPr>
          <w:sz w:val="18"/>
          <w:szCs w:val="18"/>
        </w:rPr>
        <w:softHyphen/>
        <w:t xml:space="preserve">vou adresu skutečnosti, o které svoje tvrzení opírá — ovšem jako muž, který za svým tvrzením také důsledně stojí. Kdo tak neučiní, bude </w:t>
      </w:r>
      <w:r>
        <w:rPr>
          <w:sz w:val="18"/>
          <w:szCs w:val="18"/>
        </w:rPr>
        <w:t>vždy se svými pozdějšími náznaky každým poctivým Čechem odmítán jako škůdce, jako člověk zlé vůle, pracující proti zájmům národa.</w:t>
      </w:r>
    </w:p>
    <w:p w:rsidR="00500724" w:rsidRDefault="00F30FB8">
      <w:pPr>
        <w:pStyle w:val="Zkladntext1"/>
        <w:shd w:val="clear" w:color="auto" w:fill="auto"/>
        <w:spacing w:line="197" w:lineRule="auto"/>
        <w:ind w:firstLine="340"/>
        <w:rPr>
          <w:sz w:val="18"/>
          <w:szCs w:val="18"/>
        </w:rPr>
      </w:pPr>
      <w:r>
        <w:rPr>
          <w:sz w:val="18"/>
          <w:szCs w:val="18"/>
        </w:rPr>
        <w:t>Jistě není úkolem příjemným, prohlížeti hromadně kapsy vinným stejně jako nevinným. Ale toto opatření muselo býti učiněno povš</w:t>
      </w:r>
      <w:r>
        <w:rPr>
          <w:sz w:val="18"/>
          <w:szCs w:val="18"/>
        </w:rPr>
        <w:t>echně, aby vítr pravdy rozptýlil otravné ovzduší paušálního obviňování a aby se v českém ovzduší lépe dý</w:t>
      </w:r>
      <w:r>
        <w:rPr>
          <w:sz w:val="18"/>
          <w:szCs w:val="18"/>
        </w:rPr>
        <w:softHyphen/>
        <w:t>chalo. Není k necti, jestliže v tom směru činíme, co neučinil ještě žádný jiný národ. Chceme přece zjistiti pravdu a oddě- liti ji od smyšlenek a klepa</w:t>
      </w:r>
      <w:r>
        <w:rPr>
          <w:sz w:val="18"/>
          <w:szCs w:val="18"/>
        </w:rPr>
        <w:t>ření — a v tom je obnova i posila důvěry, tedy statků dnes nejdůležitějších.</w:t>
      </w:r>
    </w:p>
    <w:p w:rsidR="00500724" w:rsidRDefault="00F30FB8">
      <w:pPr>
        <w:pStyle w:val="Zkladntext1"/>
        <w:shd w:val="clear" w:color="auto" w:fill="auto"/>
        <w:spacing w:after="200" w:line="197" w:lineRule="auto"/>
        <w:ind w:firstLine="0"/>
        <w:jc w:val="right"/>
        <w:rPr>
          <w:sz w:val="18"/>
          <w:szCs w:val="18"/>
        </w:rPr>
      </w:pPr>
      <w:r>
        <w:rPr>
          <w:i/>
          <w:iCs/>
          <w:sz w:val="18"/>
          <w:szCs w:val="18"/>
        </w:rPr>
        <w:t>(Jos. Friedl, v „Národních listech“.)</w:t>
      </w:r>
    </w:p>
    <w:p w:rsidR="00500724" w:rsidRDefault="00F30FB8">
      <w:pPr>
        <w:pStyle w:val="Zkladntext1"/>
        <w:shd w:val="clear" w:color="auto" w:fill="auto"/>
        <w:spacing w:after="100"/>
        <w:ind w:firstLine="0"/>
        <w:jc w:val="center"/>
        <w:rPr>
          <w:sz w:val="20"/>
          <w:szCs w:val="20"/>
        </w:rPr>
      </w:pPr>
      <w:r>
        <w:rPr>
          <w:b/>
          <w:bCs/>
          <w:sz w:val="20"/>
          <w:szCs w:val="20"/>
        </w:rPr>
        <w:t>Novinář odpovídá šéfu propagandy.</w:t>
      </w:r>
    </w:p>
    <w:p w:rsidR="00500724" w:rsidRDefault="00F30FB8">
      <w:pPr>
        <w:pStyle w:val="Zkladntext1"/>
        <w:shd w:val="clear" w:color="auto" w:fill="auto"/>
        <w:spacing w:line="197" w:lineRule="auto"/>
        <w:ind w:firstLine="260"/>
        <w:rPr>
          <w:sz w:val="18"/>
          <w:szCs w:val="18"/>
        </w:rPr>
      </w:pPr>
      <w:r>
        <w:rPr>
          <w:sz w:val="18"/>
          <w:szCs w:val="18"/>
        </w:rPr>
        <w:t>Jak těžko se dnes pracuje novinářům, vysvětluje politický redaktor „Slováka“ slovenské veřejnosti. Z jeho č</w:t>
      </w:r>
      <w:r>
        <w:rPr>
          <w:sz w:val="18"/>
          <w:szCs w:val="18"/>
        </w:rPr>
        <w:t>lánku může mít užitek i naše veřejnost. Redaktor „Slováka“ na</w:t>
      </w:r>
      <w:r>
        <w:rPr>
          <w:sz w:val="18"/>
          <w:szCs w:val="18"/>
        </w:rPr>
        <w:softHyphen/>
        <w:t>vazuje na kritiku šéfa propagandy Macha, že není tuze spo</w:t>
      </w:r>
      <w:r>
        <w:rPr>
          <w:sz w:val="18"/>
          <w:szCs w:val="18"/>
        </w:rPr>
        <w:softHyphen/>
        <w:t>kojen se slovenskými novinami. Redaktor „Slováka“ se hájí, že úroveň novin je závislá od úrovně politiky, a píše:</w:t>
      </w:r>
    </w:p>
    <w:p w:rsidR="00500724" w:rsidRDefault="00F30FB8">
      <w:pPr>
        <w:pStyle w:val="Zkladntext1"/>
        <w:shd w:val="clear" w:color="auto" w:fill="auto"/>
        <w:tabs>
          <w:tab w:val="left" w:pos="4085"/>
        </w:tabs>
        <w:spacing w:after="120" w:line="197" w:lineRule="auto"/>
        <w:ind w:firstLine="260"/>
        <w:rPr>
          <w:sz w:val="18"/>
          <w:szCs w:val="18"/>
        </w:rPr>
      </w:pPr>
      <w:r>
        <w:rPr>
          <w:sz w:val="18"/>
          <w:szCs w:val="18"/>
        </w:rPr>
        <w:t>U nás se vžil zvyk, že</w:t>
      </w:r>
      <w:r>
        <w:rPr>
          <w:sz w:val="18"/>
          <w:szCs w:val="18"/>
        </w:rPr>
        <w:t xml:space="preserve"> bude nejlépe, když se národ doví na shromážděních o podrobnostech slovenské politiky. Každou neděli poslouchá národ své ministry, poslance a velitele. Ale co nového znamenají tyto řeči po stránce obsahové a for</w:t>
      </w:r>
      <w:r>
        <w:rPr>
          <w:sz w:val="18"/>
          <w:szCs w:val="18"/>
        </w:rPr>
        <w:softHyphen/>
        <w:t>mální? Týdny se opakuje totéž, jen snad hlas</w:t>
      </w:r>
      <w:r>
        <w:rPr>
          <w:sz w:val="18"/>
          <w:szCs w:val="18"/>
        </w:rPr>
        <w:t xml:space="preserve"> řečníkův je jednou čistší a po druhé chraptivější. Výjimky se ztrácejí v moři průměrnosti. Dosud jsme nenašli způsob, jak z těchto na jedno kopyto dělaných řečí dát něco nového, čtenářstvu, když je odvahou na zprávě něco měnit. Rozkaz je uveřejňo</w:t>
      </w:r>
      <w:r>
        <w:rPr>
          <w:sz w:val="18"/>
          <w:szCs w:val="18"/>
        </w:rPr>
        <w:softHyphen/>
        <w:t>vat, a t</w:t>
      </w:r>
      <w:r>
        <w:rPr>
          <w:sz w:val="18"/>
          <w:szCs w:val="18"/>
        </w:rPr>
        <w:t>o se také dělá. Měl by přijít druhý rozkaz pro čte</w:t>
      </w:r>
      <w:r>
        <w:rPr>
          <w:sz w:val="18"/>
          <w:szCs w:val="18"/>
        </w:rPr>
        <w:softHyphen/>
        <w:t>náře, aby si podrobně všímali věcí, které se pravidelně opa</w:t>
      </w:r>
      <w:r>
        <w:rPr>
          <w:sz w:val="18"/>
          <w:szCs w:val="18"/>
        </w:rPr>
        <w:softHyphen/>
        <w:t>kují. Většina lidí, kteří se dostali k novinám, má odvahu vidět věci, tak jak jsou. Od odvážného pohledu na situaci k napsání článku je dlouhá ce</w:t>
      </w:r>
      <w:r>
        <w:rPr>
          <w:sz w:val="18"/>
          <w:szCs w:val="18"/>
        </w:rPr>
        <w:t>sta úvah. Člověk musí hledat slova, jak by to pověděl, aby zůstal i vlk sytý i beran celý. Volá se po zdravé kritice, po novinářské iniciativě. Co by se asi stalo takovému odvážnému redaktorovi, který by poukázal na ceny obilí a žádal jejich zvýšení? Šéf p</w:t>
      </w:r>
      <w:r>
        <w:rPr>
          <w:sz w:val="18"/>
          <w:szCs w:val="18"/>
        </w:rPr>
        <w:t>ropa</w:t>
      </w:r>
      <w:r>
        <w:rPr>
          <w:sz w:val="18"/>
          <w:szCs w:val="18"/>
        </w:rPr>
        <w:softHyphen/>
        <w:t>gandy dal novinám lekci. Pisatel nemůže si dovolit napsat, jak se má dělat propaganda, za to může pozvat šéfa propa</w:t>
      </w:r>
      <w:r>
        <w:rPr>
          <w:sz w:val="18"/>
          <w:szCs w:val="18"/>
        </w:rPr>
        <w:softHyphen/>
        <w:t>gandy dělat noviny. Od prvé do poslední strany, tedy nejen schůze. To by snad stačilo, aby se přišlo na chyby. Potom by ve vnitřní poli</w:t>
      </w:r>
      <w:r>
        <w:rPr>
          <w:sz w:val="18"/>
          <w:szCs w:val="18"/>
        </w:rPr>
        <w:t>tice bylo víc iniciativy a méně slov. Ani novináři nejsou spokojeni. Chybou je, že nemají prostředků věci napravovat.“</w:t>
      </w:r>
      <w:r>
        <w:rPr>
          <w:sz w:val="18"/>
          <w:szCs w:val="18"/>
        </w:rPr>
        <w:tab/>
      </w:r>
      <w:r>
        <w:rPr>
          <w:i/>
          <w:iCs/>
          <w:sz w:val="18"/>
          <w:szCs w:val="18"/>
        </w:rPr>
        <w:t>(„Venkov“)</w:t>
      </w:r>
    </w:p>
    <w:p w:rsidR="00500724" w:rsidRDefault="00F30FB8">
      <w:pPr>
        <w:pStyle w:val="Nadpis120"/>
        <w:shd w:val="clear" w:color="auto" w:fill="auto"/>
        <w:spacing w:after="100"/>
        <w:ind w:left="0"/>
        <w:jc w:val="center"/>
      </w:pPr>
      <w:bookmarkStart w:id="788" w:name="bookmark787"/>
      <w:r>
        <w:t>čeští fašisté žádají pomoc.</w:t>
      </w:r>
      <w:bookmarkEnd w:id="788"/>
    </w:p>
    <w:p w:rsidR="00500724" w:rsidRDefault="00F30FB8">
      <w:pPr>
        <w:pStyle w:val="Zkladntext1"/>
        <w:shd w:val="clear" w:color="auto" w:fill="auto"/>
        <w:spacing w:after="40" w:line="197" w:lineRule="auto"/>
        <w:ind w:firstLine="260"/>
        <w:rPr>
          <w:sz w:val="18"/>
          <w:szCs w:val="18"/>
        </w:rPr>
      </w:pPr>
      <w:r>
        <w:rPr>
          <w:sz w:val="18"/>
          <w:szCs w:val="18"/>
        </w:rPr>
        <w:t>Židozednářstvo bylo po všechen čas mezinárodní. Z meziná- rodnosti žilo a získávalo na vlivu a síl</w:t>
      </w:r>
      <w:r>
        <w:rPr>
          <w:sz w:val="18"/>
          <w:szCs w:val="18"/>
        </w:rPr>
        <w:t>e. Když přetočily se větry politických proudů a ve světě bylo již jasně znát, že mezi</w:t>
      </w:r>
      <w:r>
        <w:rPr>
          <w:sz w:val="18"/>
          <w:szCs w:val="18"/>
        </w:rPr>
        <w:softHyphen/>
        <w:t>národní bolševismus representovaný třetí a podporovaný dru</w:t>
      </w:r>
      <w:r>
        <w:rPr>
          <w:sz w:val="18"/>
          <w:szCs w:val="18"/>
        </w:rPr>
        <w:softHyphen/>
        <w:t xml:space="preserve">hou internacionálou začíná svoji věc ztrácet, tu židovství ihned obrátilo a z bývalých internacionálních bojců </w:t>
      </w:r>
      <w:r>
        <w:rPr>
          <w:sz w:val="18"/>
          <w:szCs w:val="18"/>
        </w:rPr>
        <w:t>stali se obratem lidé přísného, ba fanatického národovectví. Bolševismus začíná hrát na národní strunu a tímto zpě</w:t>
      </w:r>
      <w:r>
        <w:rPr>
          <w:sz w:val="18"/>
          <w:szCs w:val="18"/>
        </w:rPr>
        <w:softHyphen/>
        <w:t xml:space="preserve">vem chce nalákat národy. Židovská mazanost je vidět i v tomto obratu. Před několika roky nacionalismus potírali a nyní tyto svaté, v srdcích </w:t>
      </w:r>
      <w:r>
        <w:rPr>
          <w:sz w:val="18"/>
          <w:szCs w:val="18"/>
        </w:rPr>
        <w:t>všech národů hluboko zakořeněné myšlenky využívají k svému prospěchu. Jaká to drzost ajakáto špinavá mazanost. Takového obratu je sku</w:t>
      </w:r>
      <w:r>
        <w:rPr>
          <w:sz w:val="18"/>
          <w:szCs w:val="18"/>
        </w:rPr>
        <w:softHyphen/>
        <w:t>tečně schopna jen mezinárodní židozednářská smečka, jíž není nic svátého, ani čestného. Je schopna však zase obrátit znovu</w:t>
      </w:r>
      <w:r>
        <w:rPr>
          <w:sz w:val="18"/>
          <w:szCs w:val="18"/>
        </w:rPr>
        <w:t xml:space="preserve">, jakmile by měla pevnou půdu pod nohama </w:t>
      </w:r>
      <w:r>
        <w:rPr>
          <w:b/>
          <w:bCs/>
          <w:sz w:val="18"/>
          <w:szCs w:val="18"/>
        </w:rPr>
        <w:t xml:space="preserve">a </w:t>
      </w:r>
      <w:r>
        <w:rPr>
          <w:sz w:val="18"/>
          <w:szCs w:val="18"/>
        </w:rPr>
        <w:t xml:space="preserve">třeba i krvavě potlačit zase vše, co by smýšlelo </w:t>
      </w:r>
      <w:r>
        <w:rPr>
          <w:b/>
          <w:bCs/>
          <w:sz w:val="18"/>
          <w:szCs w:val="18"/>
        </w:rPr>
        <w:t xml:space="preserve">a </w:t>
      </w:r>
      <w:r>
        <w:rPr>
          <w:sz w:val="18"/>
          <w:szCs w:val="18"/>
        </w:rPr>
        <w:t>dýchalo národně. Toto nebezpečí je nutno paralysovat. Je to povinnost států fašistických jako států národních, pod</w:t>
      </w:r>
      <w:r>
        <w:rPr>
          <w:sz w:val="18"/>
          <w:szCs w:val="18"/>
        </w:rPr>
        <w:softHyphen/>
        <w:t>chytit a podpořit myšlenku národní u všech náro</w:t>
      </w:r>
      <w:r>
        <w:rPr>
          <w:sz w:val="18"/>
          <w:szCs w:val="18"/>
        </w:rPr>
        <w:t>dů, kde mají vliv. Fašismus musí být v prvé řadě národo- vecký a potom může snad si potrpět na trochu imperialismu, ale nikdy nesmí býti imperialistickým na úkor myšlenek národoveckých. Zde je nebezpečí ztrát! Fašistické režimy musí vystupovat jako ochránc</w:t>
      </w:r>
      <w:r>
        <w:rPr>
          <w:sz w:val="18"/>
          <w:szCs w:val="18"/>
        </w:rPr>
        <w:t>i fašis</w:t>
      </w:r>
      <w:r>
        <w:rPr>
          <w:sz w:val="18"/>
          <w:szCs w:val="18"/>
        </w:rPr>
        <w:softHyphen/>
        <w:t>tických hnutí toho kterého národa a nesmí národovec</w:t>
      </w:r>
      <w:r>
        <w:rPr>
          <w:sz w:val="18"/>
          <w:szCs w:val="18"/>
        </w:rPr>
        <w:softHyphen/>
        <w:t xml:space="preserve">tví a národní rozvoj národů potlačovat, jinak toho zednáři využijí a potlačované národy získají na svoji stranu. Tak je to a ne jinak! S tímto chytráctvím židozednářů je nutno počítat. Fašistické </w:t>
      </w:r>
      <w:r>
        <w:rPr>
          <w:sz w:val="18"/>
          <w:szCs w:val="18"/>
        </w:rPr>
        <w:t>režimy budou silné, budou-li v národech — v každém národě — podporovat národovecky fašistické proudy. Budou slabé, nepochopí-li a n e- využijí-li pro sebe národovec kost národů, jak to dělají zednáři. Židozednáři jsou ještě silní, mají zlato, mají suroviny</w:t>
      </w:r>
      <w:r>
        <w:rPr>
          <w:sz w:val="18"/>
          <w:szCs w:val="18"/>
        </w:rPr>
        <w:t xml:space="preserve"> a propaganda jejich je ohromná. Je ji třeba paralysovat vhodnými opatřeními.</w:t>
      </w:r>
    </w:p>
    <w:p w:rsidR="00500724" w:rsidRDefault="00F30FB8">
      <w:pPr>
        <w:pStyle w:val="Zkladntext1"/>
        <w:shd w:val="clear" w:color="auto" w:fill="auto"/>
        <w:spacing w:after="40" w:line="194" w:lineRule="auto"/>
        <w:ind w:firstLine="300"/>
        <w:rPr>
          <w:sz w:val="18"/>
          <w:szCs w:val="18"/>
        </w:rPr>
      </w:pPr>
      <w:r>
        <w:rPr>
          <w:sz w:val="18"/>
          <w:szCs w:val="18"/>
        </w:rPr>
        <w:t>Jinak je tu i nebezpečí, že židozednářstvo bude míti ještě nečekané úspěchy.</w:t>
      </w:r>
    </w:p>
    <w:p w:rsidR="00500724" w:rsidRDefault="00F30FB8">
      <w:pPr>
        <w:pStyle w:val="Zkladntext1"/>
        <w:shd w:val="clear" w:color="auto" w:fill="auto"/>
        <w:spacing w:after="160" w:line="206" w:lineRule="auto"/>
        <w:ind w:firstLine="300"/>
        <w:rPr>
          <w:sz w:val="18"/>
          <w:szCs w:val="18"/>
        </w:rPr>
      </w:pPr>
      <w:r>
        <w:rPr>
          <w:sz w:val="18"/>
          <w:szCs w:val="18"/>
        </w:rPr>
        <w:t>Vidíme jasně nebezpečí hrozící nám od židozednářů a vidíme chyby, které se se strany fašistic</w:t>
      </w:r>
      <w:r>
        <w:rPr>
          <w:sz w:val="18"/>
          <w:szCs w:val="18"/>
        </w:rPr>
        <w:softHyphen/>
        <w:t xml:space="preserve">kých </w:t>
      </w:r>
      <w:r>
        <w:rPr>
          <w:sz w:val="18"/>
          <w:szCs w:val="18"/>
        </w:rPr>
        <w:t>států dělají tím, že nepodporují národo- veckou a fašistickou myšlenku tak, jak podporo</w:t>
      </w:r>
      <w:r>
        <w:rPr>
          <w:sz w:val="18"/>
          <w:szCs w:val="18"/>
        </w:rPr>
        <w:softHyphen/>
        <w:t>vána by být měla v zájmu národů a států fašistic</w:t>
      </w:r>
      <w:r>
        <w:rPr>
          <w:sz w:val="18"/>
          <w:szCs w:val="18"/>
        </w:rPr>
        <w:softHyphen/>
        <w:t>kých. A hlavně v zájmu států fašistických. Vidíme, že fašistické státy jsou sice silné, že však židozednáři nejsou slab</w:t>
      </w:r>
      <w:r>
        <w:rPr>
          <w:sz w:val="18"/>
          <w:szCs w:val="18"/>
        </w:rPr>
        <w:t>í. K rozhodnému boji je třeba sbirati všechny síly!! Tou silou je i zdravé národovectví kaž</w:t>
      </w:r>
      <w:r>
        <w:rPr>
          <w:sz w:val="18"/>
          <w:szCs w:val="18"/>
        </w:rPr>
        <w:softHyphen/>
        <w:t xml:space="preserve">dého národa. Ještě není vyhráno! Je předčasně výskat! Boj — ten rozhodný — teprve začíná. Toto nechť si uvědomí všichni, kteří rozhodují. </w:t>
      </w:r>
      <w:r>
        <w:rPr>
          <w:i/>
          <w:iCs/>
          <w:sz w:val="18"/>
          <w:szCs w:val="18"/>
        </w:rPr>
        <w:t xml:space="preserve">(Z dopisu čtenáře </w:t>
      </w:r>
      <w:r>
        <w:rPr>
          <w:i/>
          <w:iCs/>
          <w:sz w:val="18"/>
          <w:szCs w:val="18"/>
        </w:rPr>
        <w:t>„Poledního listu“)</w:t>
      </w:r>
    </w:p>
    <w:p w:rsidR="00500724" w:rsidRDefault="00F30FB8">
      <w:pPr>
        <w:pStyle w:val="Zkladntext1"/>
        <w:shd w:val="clear" w:color="auto" w:fill="auto"/>
        <w:spacing w:after="100" w:line="226" w:lineRule="auto"/>
        <w:ind w:firstLine="0"/>
        <w:jc w:val="center"/>
        <w:rPr>
          <w:sz w:val="20"/>
          <w:szCs w:val="20"/>
        </w:rPr>
      </w:pPr>
      <w:r>
        <w:rPr>
          <w:b/>
          <w:bCs/>
          <w:sz w:val="20"/>
          <w:szCs w:val="20"/>
        </w:rPr>
        <w:t>Postavení Němců v Protektoráte do budoucnosti</w:t>
      </w:r>
      <w:r>
        <w:rPr>
          <w:b/>
          <w:bCs/>
          <w:sz w:val="20"/>
          <w:szCs w:val="20"/>
        </w:rPr>
        <w:br/>
        <w:t>zabezpečeno.</w:t>
      </w:r>
    </w:p>
    <w:p w:rsidR="00500724" w:rsidRDefault="00F30FB8">
      <w:pPr>
        <w:pStyle w:val="Zkladntext1"/>
        <w:shd w:val="clear" w:color="auto" w:fill="auto"/>
        <w:spacing w:after="140" w:line="197" w:lineRule="auto"/>
        <w:ind w:firstLine="300"/>
        <w:rPr>
          <w:sz w:val="18"/>
          <w:szCs w:val="18"/>
        </w:rPr>
      </w:pPr>
      <w:r>
        <w:rPr>
          <w:sz w:val="18"/>
          <w:szCs w:val="18"/>
        </w:rPr>
        <w:t xml:space="preserve">Na veřejném projevu NSDAF v Německém domě v Králo- vém Dvoře promluvil v sobotu večer místní vedoucí </w:t>
      </w:r>
      <w:r>
        <w:rPr>
          <w:sz w:val="18"/>
          <w:szCs w:val="18"/>
          <w:lang w:val="en-US" w:eastAsia="en-US" w:bidi="en-US"/>
        </w:rPr>
        <w:t xml:space="preserve">Dietrich </w:t>
      </w:r>
      <w:r>
        <w:rPr>
          <w:sz w:val="18"/>
          <w:szCs w:val="18"/>
        </w:rPr>
        <w:t>o úkolech německé diaspory: Jest přímým spojem mezi Němci Velkoněmec</w:t>
      </w:r>
      <w:r>
        <w:rPr>
          <w:sz w:val="18"/>
          <w:szCs w:val="18"/>
        </w:rPr>
        <w:t>ká a říšskými občany německými v Čechách a na Moravě, ale také nejpovolanějším hlasatelem německého ducha a zástupcem německé moci vůči českému národu. Za dnešních poměrů stále ještě tu a tam Němci v Protektorátě stávají se obětí českého teroru nebo českéh</w:t>
      </w:r>
      <w:r>
        <w:rPr>
          <w:sz w:val="18"/>
          <w:szCs w:val="18"/>
        </w:rPr>
        <w:t>o bojkotu a cítí důsledky pasivní resistence, vedené z této strany. Také Němci, žijící úplně ojediněle v české oblasti, mohou dnes nésti v sobě hrdé vědomí, že jako vojáci Vůdcovi stojí v boji a mohou býti jisti ochranou a podporou Velkoněmecká. Postavem N</w:t>
      </w:r>
      <w:r>
        <w:rPr>
          <w:sz w:val="18"/>
          <w:szCs w:val="18"/>
        </w:rPr>
        <w:t>ěmectva v Protektorátu bylo od základů a pro všechnu budoucnost za</w:t>
      </w:r>
      <w:r>
        <w:rPr>
          <w:sz w:val="18"/>
          <w:szCs w:val="18"/>
        </w:rPr>
        <w:softHyphen/>
        <w:t xml:space="preserve">bezpečeno, k čemuž vytvořil Vůdce předpoklady. </w:t>
      </w:r>
      <w:r>
        <w:rPr>
          <w:i/>
          <w:iCs/>
          <w:sz w:val="18"/>
          <w:szCs w:val="18"/>
        </w:rPr>
        <w:t>(„Venkov“)</w:t>
      </w:r>
    </w:p>
    <w:p w:rsidR="00500724" w:rsidRDefault="00F30FB8">
      <w:pPr>
        <w:pStyle w:val="Zkladntext1"/>
        <w:shd w:val="clear" w:color="auto" w:fill="auto"/>
        <w:spacing w:after="100" w:line="226" w:lineRule="auto"/>
        <w:ind w:firstLine="0"/>
        <w:jc w:val="center"/>
        <w:rPr>
          <w:sz w:val="20"/>
          <w:szCs w:val="20"/>
        </w:rPr>
      </w:pPr>
      <w:r>
        <w:rPr>
          <w:b/>
          <w:bCs/>
          <w:sz w:val="20"/>
          <w:szCs w:val="20"/>
        </w:rPr>
        <w:t>Židovská otázka.</w:t>
      </w:r>
    </w:p>
    <w:p w:rsidR="00500724" w:rsidRDefault="00F30FB8">
      <w:pPr>
        <w:pStyle w:val="Zkladntext1"/>
        <w:shd w:val="clear" w:color="auto" w:fill="auto"/>
        <w:spacing w:after="40" w:line="204" w:lineRule="auto"/>
        <w:ind w:firstLine="300"/>
        <w:rPr>
          <w:sz w:val="18"/>
          <w:szCs w:val="18"/>
        </w:rPr>
      </w:pPr>
      <w:r>
        <w:rPr>
          <w:sz w:val="18"/>
          <w:szCs w:val="18"/>
        </w:rPr>
        <w:t>Podle zprávy listu DNT. podala česká arijská kulturní jednota pražské vládě návrh na řešení židovské otázky. Z náv</w:t>
      </w:r>
      <w:r>
        <w:rPr>
          <w:sz w:val="18"/>
          <w:szCs w:val="18"/>
        </w:rPr>
        <w:t>rhu uvádíme: Státním občanem Pro</w:t>
      </w:r>
      <w:r>
        <w:rPr>
          <w:sz w:val="18"/>
          <w:szCs w:val="18"/>
        </w:rPr>
        <w:softHyphen/>
        <w:t>tektorátu Čechy a Morava, je pouze příslušník české nebo jiné arijské krve, který není židem a který činy dokazuje, že je schopen věrně sloužit ěeskému národu a jeho poslání v rámci Protektorátu a Velkoněmecké říše.</w:t>
      </w:r>
    </w:p>
    <w:p w:rsidR="00500724" w:rsidRDefault="00F30FB8">
      <w:pPr>
        <w:pStyle w:val="Zkladntext1"/>
        <w:shd w:val="clear" w:color="auto" w:fill="auto"/>
        <w:tabs>
          <w:tab w:val="left" w:pos="4411"/>
        </w:tabs>
        <w:spacing w:after="160" w:line="199" w:lineRule="auto"/>
        <w:ind w:firstLine="300"/>
        <w:rPr>
          <w:sz w:val="18"/>
          <w:szCs w:val="18"/>
        </w:rPr>
      </w:pPr>
      <w:r>
        <w:rPr>
          <w:sz w:val="18"/>
          <w:szCs w:val="18"/>
        </w:rPr>
        <w:t>Ve vypo</w:t>
      </w:r>
      <w:r>
        <w:rPr>
          <w:sz w:val="18"/>
          <w:szCs w:val="18"/>
        </w:rPr>
        <w:t>čítávání toho, kdo je židem, je zajímavé, že za žida může býti prohlášen také ten, kdo žije podle zásad židovské víry, stýká se společensky nebo jinak výhradně se židy, podporuje židovské snahy o potlačení arijské rasy a zvládnutí světa, zejména když je vý</w:t>
      </w:r>
      <w:r>
        <w:rPr>
          <w:sz w:val="18"/>
          <w:szCs w:val="18"/>
        </w:rPr>
        <w:t>značným členem židovské neb židy ovládané lóže a provinil se těžce na svém národě nebo na arijské rase.</w:t>
      </w:r>
      <w:r>
        <w:rPr>
          <w:sz w:val="18"/>
          <w:szCs w:val="18"/>
        </w:rPr>
        <w:tab/>
      </w:r>
      <w:r>
        <w:rPr>
          <w:i/>
          <w:iCs/>
          <w:sz w:val="18"/>
          <w:szCs w:val="18"/>
        </w:rPr>
        <w:t>(A-Zet)</w:t>
      </w:r>
    </w:p>
    <w:p w:rsidR="00500724" w:rsidRDefault="00F30FB8">
      <w:pPr>
        <w:pStyle w:val="Zkladntext1"/>
        <w:shd w:val="clear" w:color="auto" w:fill="auto"/>
        <w:spacing w:after="100" w:line="226" w:lineRule="auto"/>
        <w:ind w:left="60" w:firstLine="0"/>
        <w:jc w:val="center"/>
        <w:rPr>
          <w:sz w:val="20"/>
          <w:szCs w:val="20"/>
        </w:rPr>
      </w:pPr>
      <w:r>
        <w:rPr>
          <w:b/>
          <w:bCs/>
          <w:sz w:val="20"/>
          <w:szCs w:val="20"/>
        </w:rPr>
        <w:t>Změna v rejstříku.</w:t>
      </w:r>
    </w:p>
    <w:p w:rsidR="00500724" w:rsidRDefault="00F30FB8">
      <w:pPr>
        <w:pStyle w:val="Zkladntext1"/>
        <w:shd w:val="clear" w:color="auto" w:fill="auto"/>
        <w:spacing w:after="120" w:line="202" w:lineRule="auto"/>
        <w:ind w:firstLine="240"/>
        <w:rPr>
          <w:sz w:val="18"/>
          <w:szCs w:val="18"/>
        </w:rPr>
      </w:pPr>
      <w:r>
        <w:rPr>
          <w:sz w:val="18"/>
          <w:szCs w:val="18"/>
        </w:rPr>
        <w:t>V obchodním rejstříku při krajském obchodním soudu bylo při firmě A-B, akc. filmové továrny a. s. v Praze, zapsána tato změna</w:t>
      </w:r>
      <w:r>
        <w:rPr>
          <w:sz w:val="18"/>
          <w:szCs w:val="18"/>
        </w:rPr>
        <w:t xml:space="preserve">: Zapisuje se podle § 9 nařízení Říšského protektora v Cechách a na Moravě o židovském majetku ze dne 21. června 1939 správce Karl </w:t>
      </w:r>
      <w:r>
        <w:rPr>
          <w:sz w:val="18"/>
          <w:szCs w:val="18"/>
          <w:lang w:val="en-US" w:eastAsia="en-US" w:bidi="en-US"/>
        </w:rPr>
        <w:t xml:space="preserve">Schulz. </w:t>
      </w:r>
      <w:r>
        <w:rPr>
          <w:sz w:val="18"/>
          <w:szCs w:val="18"/>
        </w:rPr>
        <w:t>Jeho zmocnění nahrazuje v tomto rámci každou zákonnou plnou moc. Veškerá oprávnění správní rady, dozorčí rady, prokur</w:t>
      </w:r>
      <w:r>
        <w:rPr>
          <w:sz w:val="18"/>
          <w:szCs w:val="18"/>
        </w:rPr>
        <w:t>istů firmy i veškerých jiných plno- mocníků se po dobu trvání správy zastavují. Správce je zmoc</w:t>
      </w:r>
      <w:r>
        <w:rPr>
          <w:sz w:val="18"/>
          <w:szCs w:val="18"/>
        </w:rPr>
        <w:softHyphen/>
        <w:t xml:space="preserve">něn ke všem soudním a mimosoudním ebehodům a právním jednáním, která vyžaduje další vedení podniku. Správce bude znamenati firmu tak, že k jejímu znění připojí </w:t>
      </w:r>
      <w:r>
        <w:rPr>
          <w:sz w:val="18"/>
          <w:szCs w:val="18"/>
        </w:rPr>
        <w:t>svůj vlastno</w:t>
      </w:r>
      <w:r>
        <w:rPr>
          <w:sz w:val="18"/>
          <w:szCs w:val="18"/>
        </w:rPr>
        <w:softHyphen/>
        <w:t>ruční podpis s dodatkem „Treuhánder“.</w:t>
      </w:r>
    </w:p>
    <w:p w:rsidR="00500724" w:rsidRDefault="00F30FB8">
      <w:pPr>
        <w:pStyle w:val="Nadpis120"/>
        <w:shd w:val="clear" w:color="auto" w:fill="auto"/>
        <w:spacing w:after="120"/>
        <w:ind w:left="0"/>
        <w:jc w:val="center"/>
      </w:pPr>
      <w:bookmarkStart w:id="789" w:name="bookmark788"/>
      <w:r>
        <w:t>Rychlé změny v českém filmu.</w:t>
      </w:r>
      <w:bookmarkEnd w:id="789"/>
    </w:p>
    <w:p w:rsidR="00500724" w:rsidRDefault="00F30FB8">
      <w:pPr>
        <w:pStyle w:val="Zkladntext1"/>
        <w:shd w:val="clear" w:color="auto" w:fill="auto"/>
        <w:tabs>
          <w:tab w:val="left" w:pos="3130"/>
        </w:tabs>
        <w:spacing w:after="120" w:line="194" w:lineRule="auto"/>
        <w:ind w:firstLine="280"/>
        <w:rPr>
          <w:sz w:val="18"/>
          <w:szCs w:val="18"/>
        </w:rPr>
      </w:pPr>
      <w:r>
        <w:rPr>
          <w:sz w:val="18"/>
          <w:szCs w:val="18"/>
        </w:rPr>
        <w:t>Úprava filmového podnikání pokračuje v posledních dnech zrychleným tempem. V Praze byl pro celý filmový obor zřízen arisační úřad, který důsledně vyřadí všechny nearijské osoby</w:t>
      </w:r>
      <w:r>
        <w:rPr>
          <w:sz w:val="18"/>
          <w:szCs w:val="18"/>
        </w:rPr>
        <w:t xml:space="preserve"> z filmového podnikání. Do půjčoven a biografů, v je</w:t>
      </w:r>
      <w:r>
        <w:rPr>
          <w:sz w:val="18"/>
          <w:szCs w:val="18"/>
        </w:rPr>
        <w:softHyphen/>
        <w:t>jichž vedení se doposud uplatňovali nearijci, budou dosazeni důvěrníci z příslušníků Protektorátu, pokud nebudou provedeny příslušné majetkové změny. Zatím bylí jmenováni důvěrníci pro pražské kinematogr</w:t>
      </w:r>
      <w:r>
        <w:rPr>
          <w:sz w:val="18"/>
          <w:szCs w:val="18"/>
        </w:rPr>
        <w:t xml:space="preserve">afy Adrie, Hvězda, Koruna a Maceška. Pokud jde o výrobu, bylo našim producentům svěřeno, aby se sami postarali o náležitou produkci českých filmů. Teprve kdyby na úkol nestačili, zasáhly by německé koncerny </w:t>
      </w:r>
      <w:r>
        <w:rPr>
          <w:sz w:val="18"/>
          <w:szCs w:val="18"/>
          <w:lang w:val="en-US" w:eastAsia="en-US" w:bidi="en-US"/>
        </w:rPr>
        <w:t xml:space="preserve">Tobis a Ufa. </w:t>
      </w:r>
      <w:r>
        <w:rPr>
          <w:sz w:val="18"/>
          <w:szCs w:val="18"/>
        </w:rPr>
        <w:t xml:space="preserve">Tři ateliery, </w:t>
      </w:r>
      <w:r>
        <w:rPr>
          <w:sz w:val="18"/>
          <w:szCs w:val="18"/>
          <w:lang w:val="en-US" w:eastAsia="en-US" w:bidi="en-US"/>
        </w:rPr>
        <w:t xml:space="preserve">AB, </w:t>
      </w:r>
      <w:r>
        <w:rPr>
          <w:sz w:val="18"/>
          <w:szCs w:val="18"/>
        </w:rPr>
        <w:t>Host a Foja na</w:t>
      </w:r>
      <w:r>
        <w:rPr>
          <w:sz w:val="18"/>
          <w:szCs w:val="18"/>
        </w:rPr>
        <w:softHyphen/>
        <w:t>váž</w:t>
      </w:r>
      <w:r>
        <w:rPr>
          <w:sz w:val="18"/>
          <w:szCs w:val="18"/>
        </w:rPr>
        <w:t>í takovou spolupráci, aby náležitým usměrněním natáčeni byly po celý rok všechny rovnoměrně zaměstnány a žádný den nezůstal nevyužit, k čemuž doposud docházelo v mrtvé sezóně. Jejich zaměstnanost se ovšem zvýší natáčením filmů německých. Filmový obchod bud</w:t>
      </w:r>
      <w:r>
        <w:rPr>
          <w:sz w:val="18"/>
          <w:szCs w:val="18"/>
        </w:rPr>
        <w:t>e přizpůsoben říšským po</w:t>
      </w:r>
      <w:r>
        <w:rPr>
          <w:sz w:val="18"/>
          <w:szCs w:val="18"/>
        </w:rPr>
        <w:softHyphen/>
        <w:t>měrům, zejména pokud jde o dovoz. Počet zahraničních filmů bude u nás z důvodů šetření devis omezen. Uznává se ovšem potřeba zahraničních filmů poněkud vyšší než v Říši, která z velké části vystačuje vlastní výrobou a proto snad po</w:t>
      </w:r>
      <w:r>
        <w:rPr>
          <w:sz w:val="18"/>
          <w:szCs w:val="18"/>
        </w:rPr>
        <w:t>čet připuštěných zahraničních filmů bude u nás větší než v Německu.</w:t>
      </w:r>
      <w:r>
        <w:rPr>
          <w:sz w:val="18"/>
          <w:szCs w:val="18"/>
        </w:rPr>
        <w:tab/>
      </w:r>
      <w:r>
        <w:rPr>
          <w:i/>
          <w:iCs/>
          <w:sz w:val="18"/>
          <w:szCs w:val="18"/>
        </w:rPr>
        <w:t>(Hospodářský rozhled.)</w:t>
      </w:r>
    </w:p>
    <w:p w:rsidR="00500724" w:rsidRDefault="00F30FB8">
      <w:pPr>
        <w:pStyle w:val="Nadpis120"/>
        <w:shd w:val="clear" w:color="auto" w:fill="auto"/>
        <w:spacing w:after="120"/>
        <w:ind w:left="180"/>
      </w:pPr>
      <w:bookmarkStart w:id="790" w:name="bookmark789"/>
      <w:r>
        <w:t>Tři až šest měsíců pro urážku říšské branné moci.</w:t>
      </w:r>
      <w:bookmarkEnd w:id="790"/>
    </w:p>
    <w:p w:rsidR="00500724" w:rsidRDefault="00F30FB8">
      <w:pPr>
        <w:pStyle w:val="Zkladntext1"/>
        <w:shd w:val="clear" w:color="auto" w:fill="auto"/>
        <w:spacing w:after="120" w:line="197" w:lineRule="auto"/>
        <w:ind w:firstLine="280"/>
        <w:rPr>
          <w:sz w:val="18"/>
          <w:szCs w:val="18"/>
        </w:rPr>
      </w:pPr>
      <w:r>
        <w:rPr>
          <w:sz w:val="18"/>
          <w:szCs w:val="18"/>
        </w:rPr>
        <w:t>(DNB) Před krátkou dobou byl odsouzen bývalý poručík českého vojska pro veřejnou urážku říšské branné moci. Zatím p</w:t>
      </w:r>
      <w:r>
        <w:rPr>
          <w:sz w:val="18"/>
          <w:szCs w:val="18"/>
        </w:rPr>
        <w:t>rojednával soud branné moci Cechy a Morava několik podob</w:t>
      </w:r>
      <w:r>
        <w:rPr>
          <w:sz w:val="18"/>
          <w:szCs w:val="18"/>
        </w:rPr>
        <w:softHyphen/>
        <w:t>ných případů a pachatelé byli odsouzeni podle toho, jak vážná byla urážka, do vězení na tři, čtyři a šest měsíců.</w:t>
      </w:r>
    </w:p>
    <w:p w:rsidR="00500724" w:rsidRDefault="00F30FB8">
      <w:pPr>
        <w:pStyle w:val="Nadpis120"/>
        <w:shd w:val="clear" w:color="auto" w:fill="auto"/>
        <w:spacing w:after="60"/>
        <w:ind w:left="0"/>
        <w:jc w:val="center"/>
      </w:pPr>
      <w:bookmarkStart w:id="791" w:name="bookmark790"/>
      <w:r>
        <w:t>Zde se pije a nepolitisuje.</w:t>
      </w:r>
      <w:bookmarkEnd w:id="791"/>
    </w:p>
    <w:p w:rsidR="00500724" w:rsidRDefault="00F30FB8">
      <w:pPr>
        <w:pStyle w:val="Zkladntext1"/>
        <w:numPr>
          <w:ilvl w:val="0"/>
          <w:numId w:val="101"/>
        </w:numPr>
        <w:shd w:val="clear" w:color="auto" w:fill="auto"/>
        <w:tabs>
          <w:tab w:val="left" w:pos="554"/>
        </w:tabs>
        <w:spacing w:line="202" w:lineRule="auto"/>
        <w:ind w:firstLine="280"/>
        <w:rPr>
          <w:sz w:val="18"/>
          <w:szCs w:val="18"/>
        </w:rPr>
      </w:pPr>
      <w:r>
        <w:rPr>
          <w:sz w:val="18"/>
          <w:szCs w:val="18"/>
        </w:rPr>
        <w:t>některých hostincích, zejména v okrajových čtvrtích</w:t>
      </w:r>
    </w:p>
    <w:p w:rsidR="00500724" w:rsidRDefault="00F30FB8">
      <w:pPr>
        <w:pStyle w:val="Zkladntext1"/>
        <w:shd w:val="clear" w:color="auto" w:fill="auto"/>
        <w:tabs>
          <w:tab w:val="left" w:pos="3763"/>
        </w:tabs>
        <w:spacing w:after="120" w:line="202" w:lineRule="auto"/>
        <w:ind w:firstLine="0"/>
        <w:rPr>
          <w:sz w:val="18"/>
          <w:szCs w:val="18"/>
        </w:rPr>
      </w:pPr>
      <w:r>
        <w:rPr>
          <w:sz w:val="18"/>
          <w:szCs w:val="18"/>
        </w:rPr>
        <w:t>Prahy, objevily se tabulky s nápisem: „Zde se pije a nepoli</w:t>
      </w:r>
      <w:r>
        <w:rPr>
          <w:sz w:val="18"/>
          <w:szCs w:val="18"/>
        </w:rPr>
        <w:softHyphen/>
        <w:t>tisuje !“</w:t>
      </w:r>
      <w:r>
        <w:rPr>
          <w:sz w:val="18"/>
          <w:szCs w:val="18"/>
        </w:rPr>
        <w:tab/>
      </w:r>
      <w:r>
        <w:rPr>
          <w:i/>
          <w:iCs/>
          <w:sz w:val="18"/>
          <w:szCs w:val="18"/>
        </w:rPr>
        <w:t>( „Poledni list“)</w:t>
      </w:r>
    </w:p>
    <w:p w:rsidR="00500724" w:rsidRDefault="00F30FB8">
      <w:pPr>
        <w:pStyle w:val="Nadpis120"/>
        <w:shd w:val="clear" w:color="auto" w:fill="auto"/>
        <w:spacing w:after="120"/>
        <w:ind w:left="0"/>
        <w:jc w:val="center"/>
      </w:pPr>
      <w:bookmarkStart w:id="792" w:name="bookmark791"/>
      <w:r>
        <w:t>Upravuje se české prozatímní divadlo.</w:t>
      </w:r>
      <w:bookmarkEnd w:id="792"/>
    </w:p>
    <w:p w:rsidR="00500724" w:rsidRDefault="00F30FB8">
      <w:pPr>
        <w:pStyle w:val="Zkladntext1"/>
        <w:shd w:val="clear" w:color="auto" w:fill="auto"/>
        <w:spacing w:line="194" w:lineRule="auto"/>
        <w:ind w:firstLine="240"/>
        <w:rPr>
          <w:sz w:val="18"/>
          <w:szCs w:val="18"/>
        </w:rPr>
      </w:pPr>
      <w:r>
        <w:rPr>
          <w:sz w:val="18"/>
          <w:szCs w:val="18"/>
        </w:rPr>
        <w:t>Školská správa Protektorátu Cechy a Morava najala, jak je známo již z předběžných zpráv, budovu bývalého divadla Variété v Karlině</w:t>
      </w:r>
      <w:r>
        <w:rPr>
          <w:sz w:val="18"/>
          <w:szCs w:val="18"/>
        </w:rPr>
        <w:t>, která se stane Prozatímním divadlem a bude podle disposic od 5. září sloužit! jako druhá státní scéna zejména činoherním, z části však i operním a baletním účelům Národního divadla.</w:t>
      </w:r>
    </w:p>
    <w:p w:rsidR="00500724" w:rsidRDefault="00F30FB8">
      <w:pPr>
        <w:pStyle w:val="Zkladntext1"/>
        <w:shd w:val="clear" w:color="auto" w:fill="auto"/>
        <w:spacing w:line="194" w:lineRule="auto"/>
        <w:ind w:firstLine="280"/>
        <w:rPr>
          <w:sz w:val="18"/>
          <w:szCs w:val="18"/>
        </w:rPr>
      </w:pPr>
      <w:r>
        <w:rPr>
          <w:sz w:val="18"/>
          <w:szCs w:val="18"/>
        </w:rPr>
        <w:t>Budova nebyla po dvacet let vůbec udržována. Již v listo</w:t>
      </w:r>
      <w:r>
        <w:rPr>
          <w:sz w:val="18"/>
          <w:szCs w:val="18"/>
        </w:rPr>
        <w:softHyphen/>
        <w:t>padu 1938 vytkl</w:t>
      </w:r>
      <w:r>
        <w:rPr>
          <w:sz w:val="18"/>
          <w:szCs w:val="18"/>
        </w:rPr>
        <w:t xml:space="preserve"> Zemský úřad S3 těžkých závad. Divadlo vyho</w:t>
      </w:r>
      <w:r>
        <w:rPr>
          <w:sz w:val="18"/>
          <w:szCs w:val="18"/>
        </w:rPr>
        <w:softHyphen/>
        <w:t>vovalo bezpečnosti a hygieně uboze, zvláště účinkující těmito poměry velmi trpěli. Do 23. srpna bude divadlo odevzdáno uměl</w:t>
      </w:r>
      <w:r>
        <w:rPr>
          <w:sz w:val="18"/>
          <w:szCs w:val="18"/>
        </w:rPr>
        <w:softHyphen/>
        <w:t>cům ke zkouškám. Do té doby musí býti všechny závady zcela odstraněny. Vedení rozsáhlých</w:t>
      </w:r>
      <w:r>
        <w:rPr>
          <w:sz w:val="18"/>
          <w:szCs w:val="18"/>
        </w:rPr>
        <w:t xml:space="preserve"> úprav a oprav bylo svěřeno tech</w:t>
      </w:r>
      <w:r>
        <w:rPr>
          <w:sz w:val="18"/>
          <w:szCs w:val="18"/>
        </w:rPr>
        <w:softHyphen/>
        <w:t>nickému správci Národního divadla Ing. arch. Jaroslavu Vot- tovi. Na všechny práce má S3 pracovních dnů, k tomu nedosta</w:t>
      </w:r>
      <w:r>
        <w:rPr>
          <w:sz w:val="18"/>
          <w:szCs w:val="18"/>
        </w:rPr>
        <w:softHyphen/>
        <w:t>tek pracovních sil a nedostatek vhodného materiálu. V budově pracuje denně 150 lidí ve dne v noci.</w:t>
      </w:r>
    </w:p>
    <w:p w:rsidR="00500724" w:rsidRDefault="00F30FB8">
      <w:pPr>
        <w:pStyle w:val="Zkladntext1"/>
        <w:numPr>
          <w:ilvl w:val="0"/>
          <w:numId w:val="101"/>
        </w:numPr>
        <w:shd w:val="clear" w:color="auto" w:fill="auto"/>
        <w:tabs>
          <w:tab w:val="left" w:pos="510"/>
        </w:tabs>
        <w:spacing w:line="194" w:lineRule="auto"/>
        <w:ind w:firstLine="280"/>
        <w:rPr>
          <w:sz w:val="18"/>
          <w:szCs w:val="18"/>
        </w:rPr>
      </w:pPr>
      <w:r>
        <w:rPr>
          <w:sz w:val="18"/>
          <w:szCs w:val="18"/>
        </w:rPr>
        <w:t>hled</w:t>
      </w:r>
      <w:r>
        <w:rPr>
          <w:sz w:val="18"/>
          <w:szCs w:val="18"/>
        </w:rPr>
        <w:t>išti nebude míst k stání. Z 1316 pohodlných sedadel bude značný počet těch, na které se bude platiti nejnižší vstup</w:t>
      </w:r>
      <w:r>
        <w:rPr>
          <w:sz w:val="18"/>
          <w:szCs w:val="18"/>
        </w:rPr>
        <w:softHyphen/>
        <w:t>né. Ze všech těchto míst bude jeviště, které je oproti jevišti Národního divadla, 20 metrů širokému, široké 28 metrů, doko</w:t>
      </w:r>
      <w:r>
        <w:rPr>
          <w:sz w:val="18"/>
          <w:szCs w:val="18"/>
        </w:rPr>
        <w:softHyphen/>
        <w:t>nale vidět, divák</w:t>
      </w:r>
      <w:r>
        <w:rPr>
          <w:sz w:val="18"/>
          <w:szCs w:val="18"/>
        </w:rPr>
        <w:t xml:space="preserve"> na nejzadnějším místě uvidí 6 metrů výšky zadního prospektu, zatím co v Národním divadle vidí na galerii jen několik metrů za nápovědní budkou. Tyto poměry budou odpovídati požadavkům, kladeným na moderní divadlo, t. j. větší šíři při menší výšce. Zmíněné</w:t>
      </w:r>
      <w:r>
        <w:rPr>
          <w:sz w:val="18"/>
          <w:szCs w:val="18"/>
        </w:rPr>
        <w:t xml:space="preserve"> přednosti padla v oběť část bývalých míst na galerii.</w:t>
      </w:r>
    </w:p>
    <w:p w:rsidR="00500724" w:rsidRDefault="00F30FB8">
      <w:pPr>
        <w:pStyle w:val="Zkladntext1"/>
        <w:shd w:val="clear" w:color="auto" w:fill="auto"/>
        <w:spacing w:after="120" w:line="194" w:lineRule="auto"/>
        <w:ind w:firstLine="280"/>
        <w:rPr>
          <w:sz w:val="18"/>
          <w:szCs w:val="18"/>
        </w:rPr>
      </w:pPr>
      <w:r>
        <w:rPr>
          <w:sz w:val="18"/>
          <w:szCs w:val="18"/>
        </w:rPr>
        <w:t>Jedním z předních požadavků, kterým musí divadlo vyhovo- vati, je dobrá akustika. Ing. Vott provedl v budově zkoušky spolu s RNDr. Ing. B. Slavíkem z ěeské techniky, který má pro takové účely zcela jed</w:t>
      </w:r>
      <w:r>
        <w:rPr>
          <w:sz w:val="18"/>
          <w:szCs w:val="18"/>
        </w:rPr>
        <w:t>inečný stroj. Bylo zjištěno, že i při prázd</w:t>
      </w:r>
      <w:r>
        <w:rPr>
          <w:sz w:val="18"/>
          <w:szCs w:val="18"/>
        </w:rPr>
        <w:softHyphen/>
        <w:t>ném hledišti má divadlo akustický účin dokonalý. Proto bude tím spíše se všech míst dobře slyšet nyní, kdy budou postaveny jako odrazné stěny zadní stěny v ložích, až dosud otevřených, a bu</w:t>
      </w:r>
      <w:r>
        <w:rPr>
          <w:sz w:val="18"/>
          <w:szCs w:val="18"/>
        </w:rPr>
        <w:softHyphen/>
        <w:t xml:space="preserve">dou zrušena postranní </w:t>
      </w:r>
      <w:r>
        <w:rPr>
          <w:sz w:val="18"/>
          <w:szCs w:val="18"/>
        </w:rPr>
        <w:t>sedadla na galeriích, neboť do bočních oblouků kleneb budou pro zvukový útlum zavěšeny plyšové zá</w:t>
      </w:r>
      <w:r>
        <w:rPr>
          <w:sz w:val="18"/>
          <w:szCs w:val="18"/>
        </w:rPr>
        <w:softHyphen/>
        <w:t>věsy. Ovšem i stoupající podlaha přižení bude míti příznivý vliv na jakost zvuku.</w:t>
      </w:r>
    </w:p>
    <w:p w:rsidR="00500724" w:rsidRDefault="00F30FB8">
      <w:pPr>
        <w:pStyle w:val="Zkladntext1"/>
        <w:shd w:val="clear" w:color="auto" w:fill="auto"/>
        <w:spacing w:line="192" w:lineRule="auto"/>
        <w:ind w:firstLine="340"/>
        <w:rPr>
          <w:sz w:val="18"/>
          <w:szCs w:val="18"/>
        </w:rPr>
      </w:pPr>
      <w:r>
        <w:rPr>
          <w:sz w:val="18"/>
          <w:szCs w:val="18"/>
        </w:rPr>
        <w:t>Orchestr je na přání profesora Talicha a dramaturga Zd. Chalabaly rozšířen t</w:t>
      </w:r>
      <w:r>
        <w:rPr>
          <w:sz w:val="18"/>
          <w:szCs w:val="18"/>
        </w:rPr>
        <w:t>ak, aby v něm mohlo hrát! místo 40 až 70 hudebníků, takže zaujme prostor 15X5.50 metrů, jakého u nás orchestr dosud neměl.</w:t>
      </w:r>
    </w:p>
    <w:p w:rsidR="00500724" w:rsidRDefault="00F30FB8">
      <w:pPr>
        <w:pStyle w:val="Zkladntext1"/>
        <w:shd w:val="clear" w:color="auto" w:fill="auto"/>
        <w:spacing w:line="192" w:lineRule="auto"/>
        <w:ind w:firstLine="380"/>
        <w:rPr>
          <w:sz w:val="18"/>
          <w:szCs w:val="18"/>
        </w:rPr>
      </w:pPr>
      <w:r>
        <w:rPr>
          <w:sz w:val="18"/>
          <w:szCs w:val="18"/>
        </w:rPr>
        <w:t>Na jevišti, ve zkušebnách a sborových sálech provádějí se zvukotěsnící úpravy, zejména na všech oknech, směrem k ná</w:t>
      </w:r>
      <w:r>
        <w:rPr>
          <w:sz w:val="18"/>
          <w:szCs w:val="18"/>
        </w:rPr>
        <w:softHyphen/>
        <w:t>draží.</w:t>
      </w:r>
    </w:p>
    <w:p w:rsidR="00500724" w:rsidRDefault="00F30FB8">
      <w:pPr>
        <w:pStyle w:val="Zkladntext1"/>
        <w:shd w:val="clear" w:color="auto" w:fill="auto"/>
        <w:spacing w:line="192" w:lineRule="auto"/>
        <w:ind w:firstLine="280"/>
        <w:rPr>
          <w:sz w:val="18"/>
          <w:szCs w:val="18"/>
        </w:rPr>
      </w:pPr>
      <w:r>
        <w:rPr>
          <w:sz w:val="18"/>
          <w:szCs w:val="18"/>
        </w:rPr>
        <w:t>Vnější úpr</w:t>
      </w:r>
      <w:r>
        <w:rPr>
          <w:sz w:val="18"/>
          <w:szCs w:val="18"/>
        </w:rPr>
        <w:t>ava budovy není ovšem řešena nákladně. Není na ni času ani peněz. Nápis Théátre Variété již zmizel, aby byl nahrazen zlaceným Prozatímní divadlo, nad nímž bude umís</w:t>
      </w:r>
      <w:r>
        <w:rPr>
          <w:sz w:val="18"/>
          <w:szCs w:val="18"/>
        </w:rPr>
        <w:softHyphen/>
        <w:t>těna krásná symbolická maska, dílo akademického sochaře Vojty Suchardy. Zůstane tedy fasáda</w:t>
      </w:r>
      <w:r>
        <w:rPr>
          <w:sz w:val="18"/>
          <w:szCs w:val="18"/>
        </w:rPr>
        <w:t xml:space="preserve"> stará. Jen postranní fa</w:t>
      </w:r>
      <w:r>
        <w:rPr>
          <w:sz w:val="18"/>
          <w:szCs w:val="18"/>
        </w:rPr>
        <w:softHyphen/>
        <w:t>sáda, opadávající na zdi, bude z nařízení stavební policie od</w:t>
      </w:r>
      <w:r>
        <w:rPr>
          <w:sz w:val="18"/>
          <w:szCs w:val="18"/>
        </w:rPr>
        <w:softHyphen/>
        <w:t>straněna a s ní zmizí i reklamy, které by na budově státní scény stejně nemohly obstáti. Ředitelství divadla požádalo, elektrické dráhy, aby zavedly k Prozatímnímu divad</w:t>
      </w:r>
      <w:r>
        <w:rPr>
          <w:sz w:val="18"/>
          <w:szCs w:val="18"/>
        </w:rPr>
        <w:t>lu od sta</w:t>
      </w:r>
      <w:r>
        <w:rPr>
          <w:sz w:val="18"/>
          <w:szCs w:val="18"/>
        </w:rPr>
        <w:softHyphen/>
        <w:t>nici na Poříčí vlečky, po př. aby zřídily spojení autobusové.</w:t>
      </w:r>
    </w:p>
    <w:p w:rsidR="00500724" w:rsidRDefault="00F30FB8">
      <w:pPr>
        <w:pStyle w:val="Zkladntext1"/>
        <w:shd w:val="clear" w:color="auto" w:fill="auto"/>
        <w:spacing w:line="341" w:lineRule="auto"/>
        <w:ind w:firstLine="0"/>
        <w:jc w:val="right"/>
        <w:rPr>
          <w:sz w:val="18"/>
          <w:szCs w:val="18"/>
        </w:rPr>
      </w:pPr>
      <w:r>
        <w:rPr>
          <w:i/>
          <w:iCs/>
          <w:sz w:val="18"/>
          <w:szCs w:val="18"/>
        </w:rPr>
        <w:t>(„Polední list")</w:t>
      </w:r>
    </w:p>
    <w:p w:rsidR="00500724" w:rsidRDefault="00F30FB8">
      <w:pPr>
        <w:pStyle w:val="Nadpis120"/>
        <w:shd w:val="clear" w:color="auto" w:fill="auto"/>
        <w:spacing w:line="341" w:lineRule="auto"/>
        <w:ind w:left="0"/>
        <w:jc w:val="center"/>
      </w:pPr>
      <w:bookmarkStart w:id="793" w:name="bookmark792"/>
      <w:r>
        <w:t>Nedostatek českých kněží.</w:t>
      </w:r>
      <w:bookmarkEnd w:id="793"/>
    </w:p>
    <w:p w:rsidR="00500724" w:rsidRDefault="00F30FB8">
      <w:pPr>
        <w:pStyle w:val="Zkladntext1"/>
        <w:shd w:val="clear" w:color="auto" w:fill="auto"/>
        <w:tabs>
          <w:tab w:val="left" w:pos="4080"/>
        </w:tabs>
        <w:spacing w:after="120" w:line="197" w:lineRule="auto"/>
        <w:ind w:firstLine="280"/>
        <w:rPr>
          <w:sz w:val="18"/>
          <w:szCs w:val="18"/>
        </w:rPr>
      </w:pPr>
      <w:r>
        <w:rPr>
          <w:sz w:val="18"/>
          <w:szCs w:val="18"/>
        </w:rPr>
        <w:t xml:space="preserve">Kníže arcibiskup pražský, kardinál dr. Karel Kašpar, vydal pastýřský list, ve kterém velmi vážně a důtklivě upozorňuje na nedostatek českých </w:t>
      </w:r>
      <w:r>
        <w:rPr>
          <w:sz w:val="18"/>
          <w:szCs w:val="18"/>
        </w:rPr>
        <w:t>kněží. Ze 618 far v arcibiskupově správě je přes 100 far neobsazeno a chybí také 200 kaplanů. Na 200 laických katechetů a katechetek pomáhá vyučovat místo kněží. Přes 50% kněží jest ve věku přes 50 let.</w:t>
      </w:r>
      <w:r>
        <w:rPr>
          <w:sz w:val="18"/>
          <w:szCs w:val="18"/>
        </w:rPr>
        <w:tab/>
      </w:r>
      <w:r>
        <w:rPr>
          <w:i/>
          <w:iCs/>
          <w:sz w:val="18"/>
          <w:szCs w:val="18"/>
        </w:rPr>
        <w:t>(„Venkov“)</w:t>
      </w:r>
    </w:p>
    <w:p w:rsidR="00500724" w:rsidRDefault="00F30FB8">
      <w:pPr>
        <w:pStyle w:val="Nadpis120"/>
        <w:shd w:val="clear" w:color="auto" w:fill="auto"/>
        <w:spacing w:after="80"/>
        <w:ind w:left="0"/>
        <w:jc w:val="center"/>
      </w:pPr>
      <w:bookmarkStart w:id="794" w:name="bookmark793"/>
      <w:r>
        <w:t>Jednání o české školství v Sudetech.</w:t>
      </w:r>
      <w:bookmarkEnd w:id="794"/>
    </w:p>
    <w:p w:rsidR="00500724" w:rsidRDefault="00F30FB8">
      <w:pPr>
        <w:pStyle w:val="Zkladntext1"/>
        <w:shd w:val="clear" w:color="auto" w:fill="auto"/>
        <w:spacing w:line="197" w:lineRule="auto"/>
        <w:ind w:firstLine="280"/>
        <w:rPr>
          <w:sz w:val="18"/>
          <w:szCs w:val="18"/>
        </w:rPr>
      </w:pPr>
      <w:r>
        <w:rPr>
          <w:sz w:val="18"/>
          <w:szCs w:val="18"/>
        </w:rPr>
        <w:t xml:space="preserve">—lk— </w:t>
      </w:r>
      <w:r>
        <w:rPr>
          <w:sz w:val="18"/>
          <w:szCs w:val="18"/>
        </w:rPr>
        <w:t>Psali jsme již několikrát v našem listě o snaze české menšiny v Sudetech, aby na německých úředních místech bylo docíleno povolení k vyučování na českých školách, které právně stále trvají. Byla vedena jednání jak na říšském úřadě libereckého místodržitels</w:t>
      </w:r>
      <w:r>
        <w:rPr>
          <w:sz w:val="18"/>
          <w:szCs w:val="18"/>
        </w:rPr>
        <w:t>tví, tak 1 přímo v Berlíně. Ně</w:t>
      </w:r>
      <w:r>
        <w:rPr>
          <w:sz w:val="18"/>
          <w:szCs w:val="18"/>
        </w:rPr>
        <w:softHyphen/>
        <w:t>mecká úřední místa nestavila se k požadavkům českého škol</w:t>
      </w:r>
      <w:r>
        <w:rPr>
          <w:sz w:val="18"/>
          <w:szCs w:val="18"/>
        </w:rPr>
        <w:softHyphen/>
        <w:t>ství zamítavě a jedině musilo býti splněno několik okolností, aby ve vyjednávání mohlo býti dále pokračováno. Tento tý</w:t>
      </w:r>
      <w:r>
        <w:rPr>
          <w:sz w:val="18"/>
          <w:szCs w:val="18"/>
        </w:rPr>
        <w:softHyphen/>
        <w:t xml:space="preserve">den, ve středu byl zástupce české menšiny znovu </w:t>
      </w:r>
      <w:r>
        <w:rPr>
          <w:sz w:val="18"/>
          <w:szCs w:val="18"/>
        </w:rPr>
        <w:t>v Liberci, kde jednání pokračovalo. Další porada koná se příští týden, kde snad dojde i ke konkrétnímu rozhodnutí. Jednání se zú</w:t>
      </w:r>
      <w:r>
        <w:rPr>
          <w:sz w:val="18"/>
          <w:szCs w:val="18"/>
        </w:rPr>
        <w:softHyphen/>
        <w:t xml:space="preserve">častní sám říšský místodržící Konrád Henlein, jemuž osobně byla zaslána petice Čechů z moravských Sudet. Pokud máme informace, </w:t>
      </w:r>
      <w:r>
        <w:rPr>
          <w:sz w:val="18"/>
          <w:szCs w:val="18"/>
        </w:rPr>
        <w:t xml:space="preserve">budou města a vesnice, kde zřízení českých škol přichází v úvahu, vyzvány, aby neprodleně podaly žádost na příslušný San </w:t>
      </w:r>
      <w:r>
        <w:rPr>
          <w:sz w:val="18"/>
          <w:szCs w:val="18"/>
          <w:lang w:val="en-US" w:eastAsia="en-US" w:bidi="en-US"/>
        </w:rPr>
        <w:t xml:space="preserve">drat </w:t>
      </w:r>
      <w:r>
        <w:rPr>
          <w:sz w:val="18"/>
          <w:szCs w:val="18"/>
        </w:rPr>
        <w:t>a opis této žádosti zaslali na Reich- statthalterei, Abteilung fůr Schul wesen. V žádosti musí býti uvedeno, kolik žactva navštěvo</w:t>
      </w:r>
      <w:r>
        <w:rPr>
          <w:sz w:val="18"/>
          <w:szCs w:val="18"/>
        </w:rPr>
        <w:t>valo školu před připojením a kolik by činil počet v nynější době.</w:t>
      </w:r>
    </w:p>
    <w:p w:rsidR="00500724" w:rsidRDefault="00F30FB8">
      <w:pPr>
        <w:pStyle w:val="Zkladntext1"/>
        <w:shd w:val="clear" w:color="auto" w:fill="auto"/>
        <w:spacing w:line="197" w:lineRule="auto"/>
        <w:ind w:firstLine="280"/>
        <w:rPr>
          <w:sz w:val="18"/>
          <w:szCs w:val="18"/>
        </w:rPr>
      </w:pPr>
      <w:r>
        <w:rPr>
          <w:sz w:val="18"/>
          <w:szCs w:val="18"/>
        </w:rPr>
        <w:t>Rovněž nutno podotknouti, že na Novojičínsk ubyla povolena náborová akce pro získání člen</w:t>
      </w:r>
      <w:r>
        <w:rPr>
          <w:sz w:val="18"/>
          <w:szCs w:val="18"/>
        </w:rPr>
        <w:softHyphen/>
        <w:t>stva do Sokola. Soupis četných bratrů Sokolů byl již proveden a v nejbližších dnech bude odevzdán zá</w:t>
      </w:r>
      <w:r>
        <w:rPr>
          <w:sz w:val="18"/>
          <w:szCs w:val="18"/>
        </w:rPr>
        <w:t>stupci Statt- halterkomissara, který v okrese má dohled nad všemi spolky. Není vyloučeno, že „Sokol“ může být později povolen v celé sudetské oblasti. Rovněž tak jednání o povolení organisace „Obce českého lidu v Sudetech“ je stále v proudu.</w:t>
      </w:r>
    </w:p>
    <w:p w:rsidR="00500724" w:rsidRDefault="00F30FB8">
      <w:pPr>
        <w:pStyle w:val="Jin0"/>
        <w:shd w:val="clear" w:color="auto" w:fill="auto"/>
        <w:spacing w:after="120"/>
        <w:ind w:firstLine="0"/>
        <w:jc w:val="right"/>
        <w:rPr>
          <w:sz w:val="13"/>
          <w:szCs w:val="13"/>
        </w:rPr>
      </w:pPr>
      <w:r>
        <w:rPr>
          <w:i/>
          <w:iCs/>
          <w:sz w:val="13"/>
          <w:szCs w:val="13"/>
        </w:rPr>
        <w:t>( „Venkov“.)</w:t>
      </w:r>
    </w:p>
    <w:p w:rsidR="00500724" w:rsidRDefault="00F30FB8">
      <w:pPr>
        <w:pStyle w:val="Nadpis120"/>
        <w:shd w:val="clear" w:color="auto" w:fill="auto"/>
        <w:spacing w:after="60"/>
        <w:ind w:left="0" w:firstLine="340"/>
        <w:jc w:val="both"/>
      </w:pPr>
      <w:bookmarkStart w:id="795" w:name="bookmark794"/>
      <w:r>
        <w:t>Vyznamenání „Německého ochranného válu“.</w:t>
      </w:r>
      <w:bookmarkEnd w:id="795"/>
    </w:p>
    <w:p w:rsidR="00500724" w:rsidRDefault="00F30FB8">
      <w:pPr>
        <w:pStyle w:val="Zkladntext1"/>
        <w:shd w:val="clear" w:color="auto" w:fill="auto"/>
        <w:spacing w:after="120" w:line="197" w:lineRule="auto"/>
        <w:ind w:firstLine="280"/>
        <w:rPr>
          <w:sz w:val="18"/>
          <w:szCs w:val="18"/>
        </w:rPr>
      </w:pPr>
      <w:r>
        <w:rPr>
          <w:sz w:val="18"/>
          <w:szCs w:val="18"/>
        </w:rPr>
        <w:t>Berlín, 2. srpna. Čtlc. — Vůdce a říšský kancléř zřídil na</w:t>
      </w:r>
      <w:r>
        <w:rPr>
          <w:sz w:val="18"/>
          <w:szCs w:val="18"/>
        </w:rPr>
        <w:softHyphen/>
        <w:t>řízením ze dne 2. srpna 1939 k viďtelnému výrazu svého díku a svého uznání zásluh o zřízení a vybudování německého ochranného válu vyznamenání „Německého oc</w:t>
      </w:r>
      <w:r>
        <w:rPr>
          <w:sz w:val="18"/>
          <w:szCs w:val="18"/>
        </w:rPr>
        <w:t>hranného válu“. Toto vyznamenání je bronzová medaile, na jejíž přední straně je obraz kulometného betonového hnízda se zkříženým mečem a lopatou a výsostným znakem. Druhá strana má nápis: „Práci pro ochranu Německa“. Medaile bude se no iti na levé straně p</w:t>
      </w:r>
      <w:r>
        <w:rPr>
          <w:sz w:val="18"/>
          <w:szCs w:val="18"/>
        </w:rPr>
        <w:t>rsou. Vyznamenání Německého ochranného válu bude propůj</w:t>
      </w:r>
      <w:r>
        <w:rPr>
          <w:sz w:val="18"/>
          <w:szCs w:val="18"/>
        </w:rPr>
        <w:softHyphen/>
        <w:t>čováno osobám, které spolupracovaly na vytvoření německého ochranného válu, zřízeného k ochraně německého národa. Vy</w:t>
      </w:r>
      <w:r>
        <w:rPr>
          <w:sz w:val="18"/>
          <w:szCs w:val="18"/>
        </w:rPr>
        <w:softHyphen/>
        <w:t>znamenání udílí Vůdce a říšský kancléř na návrh šéfa vrchního velitelství branné mo</w:t>
      </w:r>
      <w:r>
        <w:rPr>
          <w:sz w:val="18"/>
          <w:szCs w:val="18"/>
        </w:rPr>
        <w:t>ci, nebo generálního inspektora němec</w:t>
      </w:r>
      <w:r>
        <w:rPr>
          <w:sz w:val="18"/>
          <w:szCs w:val="18"/>
        </w:rPr>
        <w:softHyphen/>
        <w:t>kých silnic, nebo říšského vůdce práce.</w:t>
      </w:r>
    </w:p>
    <w:p w:rsidR="00500724" w:rsidRDefault="00F30FB8">
      <w:pPr>
        <w:pStyle w:val="Nadpis120"/>
        <w:shd w:val="clear" w:color="auto" w:fill="auto"/>
        <w:spacing w:after="60"/>
        <w:ind w:left="0"/>
        <w:jc w:val="center"/>
      </w:pPr>
      <w:bookmarkStart w:id="796" w:name="bookmark795"/>
      <w:r>
        <w:t>Osa se neoddává ilusím.</w:t>
      </w:r>
      <w:bookmarkEnd w:id="796"/>
    </w:p>
    <w:p w:rsidR="00500724" w:rsidRDefault="00F30FB8">
      <w:pPr>
        <w:pStyle w:val="Zkladntext1"/>
        <w:shd w:val="clear" w:color="auto" w:fill="auto"/>
        <w:spacing w:after="80" w:line="204" w:lineRule="auto"/>
        <w:ind w:firstLine="280"/>
        <w:rPr>
          <w:sz w:val="18"/>
          <w:szCs w:val="18"/>
        </w:rPr>
      </w:pPr>
      <w:r>
        <w:rPr>
          <w:sz w:val="18"/>
          <w:szCs w:val="18"/>
        </w:rPr>
        <w:t xml:space="preserve">Milán 5. srpna (CER). Známý italský novinář </w:t>
      </w:r>
      <w:r>
        <w:rPr>
          <w:sz w:val="18"/>
          <w:szCs w:val="18"/>
          <w:lang w:val="en-US" w:eastAsia="en-US" w:bidi="en-US"/>
        </w:rPr>
        <w:t xml:space="preserve">Giovanni </w:t>
      </w:r>
      <w:r>
        <w:rPr>
          <w:sz w:val="18"/>
          <w:szCs w:val="18"/>
        </w:rPr>
        <w:t>Ansaldo, který se těší důvěře italského ministra zahraničních věcí hraběte Ciana, zdůrazňuje v „Gazze</w:t>
      </w:r>
      <w:r>
        <w:rPr>
          <w:sz w:val="18"/>
          <w:szCs w:val="18"/>
        </w:rPr>
        <w:t xml:space="preserve">tta </w:t>
      </w:r>
      <w:r>
        <w:rPr>
          <w:sz w:val="18"/>
          <w:szCs w:val="18"/>
          <w:lang w:val="en-US" w:eastAsia="en-US" w:bidi="en-US"/>
        </w:rPr>
        <w:t xml:space="preserve">del Popo’o“ </w:t>
      </w:r>
      <w:r>
        <w:rPr>
          <w:sz w:val="18"/>
          <w:szCs w:val="18"/>
        </w:rPr>
        <w:t>vý</w:t>
      </w:r>
      <w:r>
        <w:rPr>
          <w:sz w:val="18"/>
          <w:szCs w:val="18"/>
        </w:rPr>
        <w:softHyphen/>
        <w:t>znam letošních italských manévrů se zřetelem na napětí v me</w:t>
      </w:r>
      <w:r>
        <w:rPr>
          <w:sz w:val="18"/>
          <w:szCs w:val="18"/>
        </w:rPr>
        <w:softHyphen/>
        <w:t>zinárodní situaci.</w:t>
      </w:r>
    </w:p>
    <w:p w:rsidR="00500724" w:rsidRDefault="00F30FB8">
      <w:pPr>
        <w:pStyle w:val="Zkladntext1"/>
        <w:shd w:val="clear" w:color="auto" w:fill="auto"/>
        <w:spacing w:line="197" w:lineRule="auto"/>
        <w:ind w:firstLine="280"/>
        <w:rPr>
          <w:sz w:val="18"/>
          <w:szCs w:val="18"/>
        </w:rPr>
      </w:pPr>
      <w:r>
        <w:rPr>
          <w:sz w:val="18"/>
          <w:szCs w:val="18"/>
          <w:lang w:val="en-US" w:eastAsia="en-US" w:bidi="en-US"/>
        </w:rPr>
        <w:t xml:space="preserve">An </w:t>
      </w:r>
      <w:r>
        <w:rPr>
          <w:sz w:val="18"/>
          <w:szCs w:val="18"/>
        </w:rPr>
        <w:t>saldo píše m. j.: „Nesmíme se oddávati ilusím. Velké demokratické a konservativní mocnosti pokračují v přípra</w:t>
      </w:r>
      <w:r>
        <w:rPr>
          <w:sz w:val="18"/>
          <w:szCs w:val="18"/>
        </w:rPr>
        <w:softHyphen/>
        <w:t>vách velké koaliční války proti státům osy. A</w:t>
      </w:r>
      <w:r>
        <w:rPr>
          <w:sz w:val="18"/>
          <w:szCs w:val="18"/>
        </w:rPr>
        <w:t>nglie, která je mozkem a motorem koalice, sleduje vytrvale svůj cíl: poli</w:t>
      </w:r>
      <w:r>
        <w:rPr>
          <w:sz w:val="18"/>
          <w:szCs w:val="18"/>
        </w:rPr>
        <w:softHyphen/>
        <w:t>tickou a hospodářskou desorganisací pevniny, přes diploma</w:t>
      </w:r>
      <w:r>
        <w:rPr>
          <w:sz w:val="18"/>
          <w:szCs w:val="18"/>
        </w:rPr>
        <w:softHyphen/>
        <w:t>tické porážky, přes ústupky, kapitulace, blamáž všeho druhu, přes údobí zdánlivého ochabování s pokryteckým rozumem a předst</w:t>
      </w:r>
      <w:r>
        <w:rPr>
          <w:sz w:val="18"/>
          <w:szCs w:val="18"/>
        </w:rPr>
        <w:t>íranou dobrou vůlí k jednání.</w:t>
      </w:r>
    </w:p>
    <w:p w:rsidR="00500724" w:rsidRDefault="00F30FB8">
      <w:pPr>
        <w:pStyle w:val="Zkladntext1"/>
        <w:shd w:val="clear" w:color="auto" w:fill="auto"/>
        <w:spacing w:line="197" w:lineRule="auto"/>
        <w:ind w:firstLine="280"/>
        <w:rPr>
          <w:sz w:val="18"/>
          <w:szCs w:val="18"/>
        </w:rPr>
      </w:pPr>
      <w:r>
        <w:rPr>
          <w:sz w:val="18"/>
          <w:szCs w:val="18"/>
        </w:rPr>
        <w:t>Anglická vláda, anglická diplomacie, anglické banky pra</w:t>
      </w:r>
      <w:r>
        <w:rPr>
          <w:sz w:val="18"/>
          <w:szCs w:val="18"/>
        </w:rPr>
        <w:softHyphen/>
        <w:t>cují proti mocnostem osy ve všech evropských státech. Po</w:t>
      </w:r>
      <w:r>
        <w:rPr>
          <w:sz w:val="18"/>
          <w:szCs w:val="18"/>
        </w:rPr>
        <w:softHyphen/>
        <w:t xml:space="preserve">slední episoda anglických intrik na Slovensku je nejnovějším důkazem stavu již známého. Anglická podpora pohnula </w:t>
      </w:r>
      <w:r>
        <w:rPr>
          <w:sz w:val="18"/>
          <w:szCs w:val="18"/>
        </w:rPr>
        <w:t>Po</w:t>
      </w:r>
      <w:r>
        <w:rPr>
          <w:sz w:val="18"/>
          <w:szCs w:val="18"/>
        </w:rPr>
        <w:softHyphen/>
        <w:t>láky, aby byli naprosto neústupní v otázce Gdánska, anglické rady dodávají poloúřednímu tureckému tisku odvahy, aby se dotýkal otázky Dodekanesu. Angličtí agenti chtějí přesvědčiti Beky, že Itálie chce dnes nebo zítra vpadnouti do Bečka. Angličtí bankéř</w:t>
      </w:r>
      <w:r>
        <w:rPr>
          <w:sz w:val="18"/>
          <w:szCs w:val="18"/>
        </w:rPr>
        <w:t>i se snaží strhnouti určité jugoslávské kruhy do záhubné politiky nabídkami půjček a obrovskými nákupy dříví. Anglická diplomacie, která si již zajistila potravu pro děla v Polsku a v Turecku, chystá se zajistiti si ji také v Rusku. Ani pokořováni, ani odk</w:t>
      </w:r>
      <w:r>
        <w:rPr>
          <w:sz w:val="18"/>
          <w:szCs w:val="18"/>
        </w:rPr>
        <w:t>lady, ani váhání nejsou s to, aby pohnuly Anglii, aby odvolala Stranga z Moskvy.</w:t>
      </w:r>
    </w:p>
    <w:p w:rsidR="00500724" w:rsidRDefault="00F30FB8">
      <w:pPr>
        <w:pStyle w:val="Zkladntext1"/>
        <w:shd w:val="clear" w:color="auto" w:fill="auto"/>
        <w:spacing w:after="80" w:line="197" w:lineRule="auto"/>
        <w:ind w:firstLine="280"/>
        <w:rPr>
          <w:sz w:val="18"/>
          <w:szCs w:val="18"/>
        </w:rPr>
      </w:pPr>
      <w:r>
        <w:rPr>
          <w:sz w:val="18"/>
          <w:szCs w:val="18"/>
        </w:rPr>
        <w:t>A jak jí leží na srdci nezávislost států baltických! Anglická vláda jest dokonce ochotna dáti souhlas k hromadné deportaci obyvatelstva baltických států, jen aby mohla uzavřit</w:t>
      </w:r>
      <w:r>
        <w:rPr>
          <w:sz w:val="18"/>
          <w:szCs w:val="18"/>
        </w:rPr>
        <w:t>í pakt se Stalinem.“</w:t>
      </w:r>
    </w:p>
    <w:p w:rsidR="00500724" w:rsidRDefault="00F30FB8">
      <w:pPr>
        <w:pStyle w:val="Nadpis120"/>
        <w:shd w:val="clear" w:color="auto" w:fill="auto"/>
        <w:spacing w:after="80"/>
        <w:ind w:left="0"/>
        <w:jc w:val="center"/>
      </w:pPr>
      <w:bookmarkStart w:id="797" w:name="bookmark796"/>
      <w:r>
        <w:t>Anglie šetří síly pro Evropu.</w:t>
      </w:r>
      <w:bookmarkEnd w:id="797"/>
    </w:p>
    <w:p w:rsidR="00500724" w:rsidRDefault="00F30FB8">
      <w:pPr>
        <w:pStyle w:val="Zkladntext1"/>
        <w:shd w:val="clear" w:color="auto" w:fill="auto"/>
        <w:spacing w:line="197" w:lineRule="auto"/>
        <w:ind w:firstLine="280"/>
        <w:rPr>
          <w:sz w:val="18"/>
          <w:szCs w:val="18"/>
        </w:rPr>
      </w:pPr>
      <w:r>
        <w:rPr>
          <w:sz w:val="18"/>
          <w:szCs w:val="18"/>
        </w:rPr>
        <w:t>V dolní sněmovně konala se porada, v níž ministerský před</w:t>
      </w:r>
      <w:r>
        <w:rPr>
          <w:sz w:val="18"/>
          <w:szCs w:val="18"/>
        </w:rPr>
        <w:softHyphen/>
        <w:t xml:space="preserve">seda </w:t>
      </w:r>
      <w:r>
        <w:rPr>
          <w:sz w:val="18"/>
          <w:szCs w:val="18"/>
          <w:lang w:val="en-US" w:eastAsia="en-US" w:bidi="en-US"/>
        </w:rPr>
        <w:t xml:space="preserve">Chamberlain </w:t>
      </w:r>
      <w:r>
        <w:rPr>
          <w:sz w:val="18"/>
          <w:szCs w:val="18"/>
        </w:rPr>
        <w:t xml:space="preserve">upozornil na to, že dnešní situace je pro Velkou Britanii obzvlášť obtížnou a že není možno, aby Anglie jednala dnes jako Spojené </w:t>
      </w:r>
      <w:r>
        <w:rPr>
          <w:sz w:val="18"/>
          <w:szCs w:val="18"/>
        </w:rPr>
        <w:t>státy, které mají na Dálném vý</w:t>
      </w:r>
      <w:r>
        <w:rPr>
          <w:sz w:val="18"/>
          <w:szCs w:val="18"/>
        </w:rPr>
        <w:softHyphen/>
        <w:t>chodě zcela odlišnou posici. Anglie nemá dnes na Dálném vý</w:t>
      </w:r>
      <w:r>
        <w:rPr>
          <w:sz w:val="18"/>
          <w:szCs w:val="18"/>
        </w:rPr>
        <w:softHyphen/>
        <w:t xml:space="preserve">chodě tak silné loďstvo jako Japonsko. Kdyby bylo nezbytné, musila by tam sice vyslati své evropské loďstvo, ale </w:t>
      </w:r>
      <w:r>
        <w:rPr>
          <w:sz w:val="18"/>
          <w:szCs w:val="18"/>
          <w:lang w:val="en-US" w:eastAsia="en-US" w:bidi="en-US"/>
        </w:rPr>
        <w:t xml:space="preserve">Chamber- lain </w:t>
      </w:r>
      <w:r>
        <w:rPr>
          <w:sz w:val="18"/>
          <w:szCs w:val="18"/>
        </w:rPr>
        <w:t>prý chce raději vyřešiti japonské spory</w:t>
      </w:r>
      <w:r>
        <w:rPr>
          <w:sz w:val="18"/>
          <w:szCs w:val="18"/>
        </w:rPr>
        <w:t xml:space="preserve"> smírně, aniž by při tom bylo nutno obětovat podstatné principy.</w:t>
      </w:r>
    </w:p>
    <w:p w:rsidR="00500724" w:rsidRDefault="00F30FB8">
      <w:pPr>
        <w:pStyle w:val="Zkladntext1"/>
        <w:shd w:val="clear" w:color="auto" w:fill="auto"/>
        <w:tabs>
          <w:tab w:val="left" w:pos="3792"/>
        </w:tabs>
        <w:spacing w:after="80" w:line="197" w:lineRule="auto"/>
        <w:ind w:firstLine="280"/>
        <w:rPr>
          <w:sz w:val="18"/>
          <w:szCs w:val="18"/>
        </w:rPr>
      </w:pPr>
      <w:r>
        <w:rPr>
          <w:sz w:val="18"/>
          <w:szCs w:val="18"/>
        </w:rPr>
        <w:t xml:space="preserve">Dále </w:t>
      </w:r>
      <w:r>
        <w:rPr>
          <w:sz w:val="18"/>
          <w:szCs w:val="18"/>
          <w:lang w:val="en-US" w:eastAsia="en-US" w:bidi="en-US"/>
        </w:rPr>
        <w:t xml:space="preserve">Chamberlain </w:t>
      </w:r>
      <w:r>
        <w:rPr>
          <w:sz w:val="18"/>
          <w:szCs w:val="18"/>
        </w:rPr>
        <w:t>poznamenal, že by pro Anglii nebylo vhodné, kdyby přebírala na sebe ještě další závazky na Dál</w:t>
      </w:r>
      <w:r>
        <w:rPr>
          <w:sz w:val="18"/>
          <w:szCs w:val="18"/>
        </w:rPr>
        <w:softHyphen/>
        <w:t>ném východě, když již má řadu smluvních povinností v Evropě a když by důsledkem</w:t>
      </w:r>
      <w:r>
        <w:rPr>
          <w:sz w:val="18"/>
          <w:szCs w:val="18"/>
        </w:rPr>
        <w:t xml:space="preserve"> těchto závazků musela pod vlivem urči</w:t>
      </w:r>
      <w:r>
        <w:rPr>
          <w:sz w:val="18"/>
          <w:szCs w:val="18"/>
        </w:rPr>
        <w:softHyphen/>
        <w:t xml:space="preserve">tých událostí přistoupiti k válce. Nesmí se zapomenouti, že během příštích měsíců bude třeba snad přistoupiti k vážnějším a bližším problémům, a Anglie musí proto šetřiti svých sil, aby byla s to, čeliti každé krisi, </w:t>
      </w:r>
      <w:r>
        <w:rPr>
          <w:sz w:val="18"/>
          <w:szCs w:val="18"/>
        </w:rPr>
        <w:t>která by se zde mohla vy- vinoHti.</w:t>
      </w:r>
      <w:r>
        <w:rPr>
          <w:sz w:val="18"/>
          <w:szCs w:val="18"/>
        </w:rPr>
        <w:tab/>
      </w:r>
      <w:r>
        <w:rPr>
          <w:i/>
          <w:iCs/>
          <w:sz w:val="18"/>
          <w:szCs w:val="18"/>
        </w:rPr>
        <w:t>(„Poledni list“)</w:t>
      </w:r>
    </w:p>
    <w:p w:rsidR="00500724" w:rsidRDefault="00F30FB8">
      <w:pPr>
        <w:pStyle w:val="Nadpis120"/>
        <w:shd w:val="clear" w:color="auto" w:fill="auto"/>
        <w:spacing w:after="80"/>
        <w:ind w:left="0"/>
        <w:jc w:val="center"/>
      </w:pPr>
      <w:bookmarkStart w:id="798" w:name="bookmark797"/>
      <w:r>
        <w:t>Zatím — politické prázdniny.</w:t>
      </w:r>
      <w:bookmarkEnd w:id="798"/>
    </w:p>
    <w:p w:rsidR="00500724" w:rsidRDefault="00F30FB8">
      <w:pPr>
        <w:pStyle w:val="Zkladntext1"/>
        <w:shd w:val="clear" w:color="auto" w:fill="auto"/>
        <w:spacing w:line="197" w:lineRule="auto"/>
        <w:ind w:firstLine="280"/>
        <w:rPr>
          <w:sz w:val="18"/>
          <w:szCs w:val="18"/>
        </w:rPr>
      </w:pPr>
      <w:r>
        <w:rPr>
          <w:sz w:val="18"/>
          <w:szCs w:val="18"/>
        </w:rPr>
        <w:t>Ani poslední řeč Chamberlainova v dolní sněmovně nemohla přiměti německý tisk, aby vystoupil ze své zdrželivosti a za</w:t>
      </w:r>
      <w:r>
        <w:rPr>
          <w:sz w:val="18"/>
          <w:szCs w:val="18"/>
        </w:rPr>
        <w:softHyphen/>
        <w:t>ujal stanovisko k neurovnaným otázkám mezinárodní politik</w:t>
      </w:r>
      <w:r>
        <w:rPr>
          <w:sz w:val="18"/>
          <w:szCs w:val="18"/>
        </w:rPr>
        <w:t>y. V několika málo komentářích berlínských listů se jen pouka</w:t>
      </w:r>
      <w:r>
        <w:rPr>
          <w:sz w:val="18"/>
          <w:szCs w:val="18"/>
        </w:rPr>
        <w:softHyphen/>
        <w:t>zuje na to, že prohlášení britského ministerského předsedy ne</w:t>
      </w:r>
      <w:r>
        <w:rPr>
          <w:sz w:val="18"/>
          <w:szCs w:val="18"/>
        </w:rPr>
        <w:softHyphen/>
        <w:t>obsahovala nových momentů ani k moskevskému jednání o pakt, ani k událostem na Dálném východě nebo ke gdánské otázce.</w:t>
      </w:r>
    </w:p>
    <w:p w:rsidR="00500724" w:rsidRDefault="00F30FB8">
      <w:pPr>
        <w:pStyle w:val="Zkladntext1"/>
        <w:shd w:val="clear" w:color="auto" w:fill="auto"/>
        <w:spacing w:line="197" w:lineRule="auto"/>
        <w:ind w:firstLine="280"/>
        <w:rPr>
          <w:sz w:val="18"/>
          <w:szCs w:val="18"/>
        </w:rPr>
      </w:pPr>
      <w:r>
        <w:rPr>
          <w:sz w:val="18"/>
          <w:szCs w:val="18"/>
        </w:rPr>
        <w:t>I vůči Angliča</w:t>
      </w:r>
      <w:r>
        <w:rPr>
          <w:sz w:val="18"/>
          <w:szCs w:val="18"/>
        </w:rPr>
        <w:t>nům možno nyní v Berlíně pozorovat ustání v polemice. Přesto by nebylo správné vyvozovati jakékoliv politické závěry z berlínské zdrželivosti, která je způsobena snad především náladou politických prázdnin. Na všech stra</w:t>
      </w:r>
      <w:r>
        <w:rPr>
          <w:sz w:val="18"/>
          <w:szCs w:val="18"/>
        </w:rPr>
        <w:softHyphen/>
        <w:t>nách hlásí se o slovo určitá potřeb</w:t>
      </w:r>
      <w:r>
        <w:rPr>
          <w:sz w:val="18"/>
          <w:szCs w:val="18"/>
        </w:rPr>
        <w:t>a oddechu v těchto dnech plného léta, aniž se tím ovšem mezinárodní situace kdekoliv skutečně uvolnila z napětí. Za vnějším klidem skrývá se v hlavních městech všech velmocí živá diplomatická činnost. Diplomatický nástup k politickým rozpravám, které ne be</w:t>
      </w:r>
      <w:r>
        <w:rPr>
          <w:sz w:val="18"/>
          <w:szCs w:val="18"/>
        </w:rPr>
        <w:t>z důvodu jsou očekávány na konci léta, není dosud ukončen.</w:t>
      </w:r>
    </w:p>
    <w:p w:rsidR="00500724" w:rsidRDefault="00F30FB8">
      <w:pPr>
        <w:pStyle w:val="Zkladntext1"/>
        <w:shd w:val="clear" w:color="auto" w:fill="auto"/>
        <w:spacing w:after="80" w:line="197" w:lineRule="auto"/>
        <w:ind w:firstLine="0"/>
        <w:jc w:val="right"/>
        <w:rPr>
          <w:sz w:val="18"/>
          <w:szCs w:val="18"/>
        </w:rPr>
      </w:pPr>
      <w:r>
        <w:rPr>
          <w:i/>
          <w:iCs/>
          <w:sz w:val="18"/>
          <w:szCs w:val="18"/>
        </w:rPr>
        <w:t>(„Národní listy“)</w:t>
      </w:r>
    </w:p>
    <w:p w:rsidR="00500724" w:rsidRDefault="00F30FB8">
      <w:pPr>
        <w:pStyle w:val="Nadpis120"/>
        <w:shd w:val="clear" w:color="auto" w:fill="auto"/>
        <w:spacing w:after="80"/>
        <w:ind w:left="0"/>
        <w:jc w:val="center"/>
      </w:pPr>
      <w:bookmarkStart w:id="799" w:name="bookmark798"/>
      <w:r>
        <w:t>Jak si to Poláci a Angličané představují.</w:t>
      </w:r>
      <w:bookmarkEnd w:id="799"/>
    </w:p>
    <w:p w:rsidR="00500724" w:rsidRDefault="00F30FB8">
      <w:pPr>
        <w:pStyle w:val="Zkladntext1"/>
        <w:shd w:val="clear" w:color="auto" w:fill="auto"/>
        <w:spacing w:line="192" w:lineRule="auto"/>
        <w:ind w:firstLine="280"/>
        <w:rPr>
          <w:sz w:val="18"/>
          <w:szCs w:val="18"/>
        </w:rPr>
      </w:pPr>
      <w:r>
        <w:rPr>
          <w:sz w:val="18"/>
          <w:szCs w:val="18"/>
        </w:rPr>
        <w:t>Z Berlína, 28. července (ČTK). Několik ranních listů se obrací proti štvavým článkům nejmenovaných anglických po</w:t>
      </w:r>
      <w:r>
        <w:rPr>
          <w:sz w:val="18"/>
          <w:szCs w:val="18"/>
        </w:rPr>
        <w:softHyphen/>
        <w:t xml:space="preserve">litiků v polských </w:t>
      </w:r>
      <w:r>
        <w:rPr>
          <w:sz w:val="18"/>
          <w:szCs w:val="18"/>
        </w:rPr>
        <w:t>listech. Tak na příklad otiskl „Express Po- ranny“ a „Kurjer Warszawsky“ výpočet podmínek míru, které Anglie nadiktuje Německu po nové světové válce.</w:t>
      </w:r>
    </w:p>
    <w:p w:rsidR="00500724" w:rsidRDefault="00F30FB8">
      <w:pPr>
        <w:pStyle w:val="Zkladntext1"/>
        <w:shd w:val="clear" w:color="auto" w:fill="auto"/>
        <w:spacing w:after="80" w:line="192" w:lineRule="auto"/>
        <w:ind w:firstLine="280"/>
        <w:rPr>
          <w:sz w:val="18"/>
          <w:szCs w:val="18"/>
        </w:rPr>
      </w:pPr>
      <w:r>
        <w:rPr>
          <w:sz w:val="18"/>
          <w:szCs w:val="18"/>
        </w:rPr>
        <w:t>Pražský „Der Neue Tag“ přináší výčet těchto pošetilých ,,podmínek“, rozpalujících do bělá polské velikášst</w:t>
      </w:r>
      <w:r>
        <w:rPr>
          <w:sz w:val="18"/>
          <w:szCs w:val="18"/>
        </w:rPr>
        <w:t>ví a vá</w:t>
      </w:r>
      <w:r>
        <w:rPr>
          <w:sz w:val="18"/>
          <w:szCs w:val="18"/>
        </w:rPr>
        <w:softHyphen/>
        <w:t xml:space="preserve">lečné chutě jejich. „Podmínky“ ty znějí: „1. </w:t>
      </w:r>
      <w:r>
        <w:rPr>
          <w:sz w:val="18"/>
          <w:szCs w:val="18"/>
          <w:lang w:val="en-US" w:eastAsia="en-US" w:bidi="en-US"/>
        </w:rPr>
        <w:t xml:space="preserve">Helgoland </w:t>
      </w:r>
      <w:r>
        <w:rPr>
          <w:sz w:val="18"/>
          <w:szCs w:val="18"/>
        </w:rPr>
        <w:t>přejde do vlastnictví Anglie. 2. Průplav císaře Viléma s příslušně širokým pobřežním pásmem po obou březích bude zinterna- cionalisován a postaven pod kontrolu mezinárodní policie.- 8;</w:t>
      </w:r>
    </w:p>
    <w:p w:rsidR="00500724" w:rsidRDefault="00F30FB8">
      <w:pPr>
        <w:pStyle w:val="Zkladntext1"/>
        <w:shd w:val="clear" w:color="auto" w:fill="auto"/>
        <w:spacing w:line="197" w:lineRule="auto"/>
        <w:ind w:firstLine="0"/>
        <w:rPr>
          <w:sz w:val="18"/>
          <w:szCs w:val="18"/>
        </w:rPr>
      </w:pPr>
      <w:r>
        <w:rPr>
          <w:sz w:val="18"/>
          <w:szCs w:val="18"/>
        </w:rPr>
        <w:t>Bavorsko</w:t>
      </w:r>
      <w:r>
        <w:rPr>
          <w:sz w:val="18"/>
          <w:szCs w:val="18"/>
        </w:rPr>
        <w:t xml:space="preserve"> a Rakousko budou odděleny od Bíše a stanou se samostatným katolickým královstvím. 4. Československo bude obnoveno ve svých „historických“ hranicích. 5. Memel opět připadne Litvě. 6. Východní Prusko spolu s Gdaňskem bude připojeno k Polsku. 7. Západní hran</w:t>
      </w:r>
      <w:r>
        <w:rPr>
          <w:sz w:val="18"/>
          <w:szCs w:val="18"/>
        </w:rPr>
        <w:t>ice koridoru bude přeložena až do Kolbergu. 8. Horní Slezsko připadne Polsku.</w:t>
      </w:r>
    </w:p>
    <w:p w:rsidR="00500724" w:rsidRDefault="00F30FB8">
      <w:pPr>
        <w:pStyle w:val="Zkladntext1"/>
        <w:numPr>
          <w:ilvl w:val="0"/>
          <w:numId w:val="102"/>
        </w:numPr>
        <w:shd w:val="clear" w:color="auto" w:fill="auto"/>
        <w:tabs>
          <w:tab w:val="left" w:pos="265"/>
        </w:tabs>
        <w:spacing w:line="197" w:lineRule="auto"/>
        <w:ind w:firstLine="0"/>
        <w:rPr>
          <w:sz w:val="18"/>
          <w:szCs w:val="18"/>
        </w:rPr>
      </w:pPr>
      <w:r>
        <w:rPr>
          <w:sz w:val="18"/>
          <w:szCs w:val="18"/>
        </w:rPr>
        <w:t>Německo-francouzskou hranicí stane se řeka Rýn.“ Vrabců na střeše tedy hned celé hejno.</w:t>
      </w:r>
    </w:p>
    <w:p w:rsidR="00500724" w:rsidRDefault="00F30FB8">
      <w:pPr>
        <w:pStyle w:val="Zkladntext1"/>
        <w:shd w:val="clear" w:color="auto" w:fill="auto"/>
        <w:spacing w:line="197" w:lineRule="auto"/>
        <w:ind w:firstLine="280"/>
        <w:rPr>
          <w:sz w:val="18"/>
          <w:szCs w:val="18"/>
        </w:rPr>
      </w:pPr>
      <w:r>
        <w:rPr>
          <w:sz w:val="18"/>
          <w:szCs w:val="18"/>
          <w:lang w:val="en-US" w:eastAsia="en-US" w:bidi="en-US"/>
        </w:rPr>
        <w:t xml:space="preserve">„Berliner </w:t>
      </w:r>
      <w:r>
        <w:rPr>
          <w:sz w:val="18"/>
          <w:szCs w:val="18"/>
        </w:rPr>
        <w:t>Borsen-Zeitung“ píše, že za nejmenovaným mi</w:t>
      </w:r>
      <w:r>
        <w:rPr>
          <w:sz w:val="18"/>
          <w:szCs w:val="18"/>
        </w:rPr>
        <w:softHyphen/>
      </w:r>
      <w:r>
        <w:rPr>
          <w:sz w:val="18"/>
          <w:szCs w:val="18"/>
        </w:rPr>
        <w:t xml:space="preserve">nistrem „Expressu Poranného“ se podle všeobecného názoru skrývá </w:t>
      </w:r>
      <w:r>
        <w:rPr>
          <w:sz w:val="18"/>
          <w:szCs w:val="18"/>
          <w:lang w:val="en-US" w:eastAsia="en-US" w:bidi="en-US"/>
        </w:rPr>
        <w:t xml:space="preserve">Duff Cooper, </w:t>
      </w:r>
      <w:r>
        <w:rPr>
          <w:sz w:val="18"/>
          <w:szCs w:val="18"/>
        </w:rPr>
        <w:t xml:space="preserve">kdežto za článkem uveřejněným v „Kur- jeru Warszawském“ by mohl být </w:t>
      </w:r>
      <w:r>
        <w:rPr>
          <w:sz w:val="18"/>
          <w:szCs w:val="18"/>
          <w:lang w:val="en-US" w:eastAsia="en-US" w:bidi="en-US"/>
        </w:rPr>
        <w:t xml:space="preserve">pan Churchill, </w:t>
      </w:r>
      <w:r>
        <w:rPr>
          <w:sz w:val="18"/>
          <w:szCs w:val="18"/>
        </w:rPr>
        <w:t>který v jedné své knize o válce vyslovil stejně pošetilé myšlenky, které dnes čteme ve varšavské</w:t>
      </w:r>
      <w:r>
        <w:rPr>
          <w:sz w:val="18"/>
          <w:szCs w:val="18"/>
        </w:rPr>
        <w:t xml:space="preserve">m listě. </w:t>
      </w:r>
      <w:r>
        <w:rPr>
          <w:sz w:val="18"/>
          <w:szCs w:val="18"/>
          <w:lang w:val="en-US" w:eastAsia="en-US" w:bidi="en-US"/>
        </w:rPr>
        <w:t xml:space="preserve">Duff Cooper </w:t>
      </w:r>
      <w:r>
        <w:rPr>
          <w:sz w:val="18"/>
          <w:szCs w:val="18"/>
        </w:rPr>
        <w:t>se snaží na</w:t>
      </w:r>
      <w:r>
        <w:rPr>
          <w:sz w:val="18"/>
          <w:szCs w:val="18"/>
        </w:rPr>
        <w:softHyphen/>
        <w:t xml:space="preserve">značit Polákům, že válka s Německem bude procházkou. </w:t>
      </w:r>
      <w:r>
        <w:rPr>
          <w:sz w:val="18"/>
          <w:szCs w:val="18"/>
          <w:lang w:val="en-US" w:eastAsia="en-US" w:bidi="en-US"/>
        </w:rPr>
        <w:t xml:space="preserve">Pan Churchill </w:t>
      </w:r>
      <w:r>
        <w:rPr>
          <w:sz w:val="18"/>
          <w:szCs w:val="18"/>
        </w:rPr>
        <w:t>hází Polákům vnadidlo, které uvádí nejdivo</w:t>
      </w:r>
      <w:r>
        <w:rPr>
          <w:sz w:val="18"/>
          <w:szCs w:val="18"/>
        </w:rPr>
        <w:softHyphen/>
        <w:t>čejší polské šovinisty v závratné vytržení a šílenou útočnost. Oba jednají a píší proti svému lepšímu přesvědčení</w:t>
      </w:r>
      <w:r>
        <w:rPr>
          <w:sz w:val="18"/>
          <w:szCs w:val="18"/>
        </w:rPr>
        <w:t>. Jde jim o to, aby veštvali zaslepené Poláky do války všemi pro</w:t>
      </w:r>
      <w:r>
        <w:rPr>
          <w:sz w:val="18"/>
          <w:szCs w:val="18"/>
        </w:rPr>
        <w:softHyphen/>
        <w:t xml:space="preserve">středky, nevyjímajíc prostředků zločinných. Od války si pak Anglie slibuje oslabení Bíše. Vynikající angličtí muži, kteří štvou v zakuklení polský tisk, ať už se jmenují </w:t>
      </w:r>
      <w:r>
        <w:rPr>
          <w:sz w:val="18"/>
          <w:szCs w:val="18"/>
          <w:lang w:val="en-US" w:eastAsia="en-US" w:bidi="en-US"/>
        </w:rPr>
        <w:t>Duff Cooper, Churchil</w:t>
      </w:r>
      <w:r>
        <w:rPr>
          <w:sz w:val="18"/>
          <w:szCs w:val="18"/>
          <w:lang w:val="en-US" w:eastAsia="en-US" w:bidi="en-US"/>
        </w:rPr>
        <w:t xml:space="preserve">l, </w:t>
      </w:r>
      <w:r>
        <w:rPr>
          <w:sz w:val="18"/>
          <w:szCs w:val="18"/>
        </w:rPr>
        <w:t>Eden anebo jakkoliv jinak, jsou titíž muži, kteří ovlivňují nž celého půl roku úřední politiku anglické vlády. „Pacifistická“ a proto také v tomto případě obzvláště ne</w:t>
      </w:r>
      <w:r>
        <w:rPr>
          <w:sz w:val="18"/>
          <w:szCs w:val="18"/>
        </w:rPr>
        <w:softHyphen/>
        <w:t>bezpečná oposice v Anglii je dnes rozhodující, a to stejně za kulisami, kde funguje j</w:t>
      </w:r>
      <w:r>
        <w:rPr>
          <w:sz w:val="18"/>
          <w:szCs w:val="18"/>
        </w:rPr>
        <w:t>ako režisér Chamberlainovy politiky, tak i před kulisami, kde jí připadá úloha popohánět veřejné mínění.</w:t>
      </w:r>
    </w:p>
    <w:p w:rsidR="00500724" w:rsidRDefault="00F30FB8">
      <w:pPr>
        <w:pStyle w:val="Zkladntext1"/>
        <w:shd w:val="clear" w:color="auto" w:fill="auto"/>
        <w:spacing w:line="197" w:lineRule="auto"/>
        <w:ind w:firstLine="280"/>
        <w:rPr>
          <w:sz w:val="18"/>
          <w:szCs w:val="18"/>
        </w:rPr>
      </w:pPr>
      <w:r>
        <w:rPr>
          <w:sz w:val="18"/>
          <w:szCs w:val="18"/>
        </w:rPr>
        <w:t>Polský list „Illustrowany Kurjer Codzienny“ uveřejňuje pustou štvanici proti Bíši u příležitosti 25. vý</w:t>
      </w:r>
      <w:r>
        <w:rPr>
          <w:sz w:val="18"/>
          <w:szCs w:val="18"/>
        </w:rPr>
        <w:softHyphen/>
        <w:t xml:space="preserve">ročí vypuknutí světové války. Při srovnávání s </w:t>
      </w:r>
      <w:r>
        <w:rPr>
          <w:sz w:val="18"/>
          <w:szCs w:val="18"/>
        </w:rPr>
        <w:t>dnešní situací nenapadá listu nic lepšího, než ohřívati znovu dávno vyvrá</w:t>
      </w:r>
      <w:r>
        <w:rPr>
          <w:sz w:val="18"/>
          <w:szCs w:val="18"/>
        </w:rPr>
        <w:softHyphen/>
        <w:t>cené lži, že stejně jako v roce 1914, tak také v roce 1939 j« „jediným vinníkem za vývoj událostí“ Německo. Kdyby tent&lt; „nepřítel lidstva, který v roce 1914 vehnal svět do války“ měl</w:t>
      </w:r>
      <w:r>
        <w:rPr>
          <w:sz w:val="18"/>
          <w:szCs w:val="18"/>
        </w:rPr>
        <w:t xml:space="preserve"> znovu rozpoutati světový požár, pak by bylo jediné heslo totiž: že po druhé by se neopakovaly Versailles. „Nepřítel lidstva“ musí býti jednou pro vždy poražen a železem vy</w:t>
      </w:r>
      <w:r>
        <w:rPr>
          <w:sz w:val="18"/>
          <w:szCs w:val="18"/>
        </w:rPr>
        <w:softHyphen/>
        <w:t>pálen. Tvůrci polovičatostí mírových smluv prý nesou odpo</w:t>
      </w:r>
      <w:r>
        <w:rPr>
          <w:sz w:val="18"/>
          <w:szCs w:val="18"/>
        </w:rPr>
        <w:softHyphen/>
        <w:t>vědnost, že pokolení z ro</w:t>
      </w:r>
      <w:r>
        <w:rPr>
          <w:sz w:val="18"/>
          <w:szCs w:val="18"/>
        </w:rPr>
        <w:t>ku 1914 znovu půjde na bojiště. Tato chyba se již nesmí opakovati.</w:t>
      </w:r>
    </w:p>
    <w:p w:rsidR="00500724" w:rsidRDefault="00F30FB8">
      <w:pPr>
        <w:pStyle w:val="Zkladntext1"/>
        <w:shd w:val="clear" w:color="auto" w:fill="auto"/>
        <w:spacing w:after="180" w:line="197" w:lineRule="auto"/>
        <w:ind w:firstLine="240"/>
        <w:rPr>
          <w:sz w:val="18"/>
          <w:szCs w:val="18"/>
        </w:rPr>
      </w:pPr>
      <w:r>
        <w:rPr>
          <w:sz w:val="18"/>
          <w:szCs w:val="18"/>
        </w:rPr>
        <w:t>Z povolaného berlínského místa se k tomuto útoku polského listu prohlašuje: „Notorickému polskému štvavému Uštu mů</w:t>
      </w:r>
      <w:r>
        <w:rPr>
          <w:sz w:val="18"/>
          <w:szCs w:val="18"/>
        </w:rPr>
        <w:softHyphen/>
        <w:t>žeme jen znovu říci, že již se vůbec nebudou opakovati nejen polovičatosti</w:t>
      </w:r>
      <w:r>
        <w:rPr>
          <w:sz w:val="18"/>
          <w:szCs w:val="18"/>
        </w:rPr>
        <w:t>, nýbrž i „mírové smlouvy“ versaiUeského for</w:t>
      </w:r>
      <w:r>
        <w:rPr>
          <w:sz w:val="18"/>
          <w:szCs w:val="18"/>
        </w:rPr>
        <w:softHyphen/>
        <w:t>mátu. Umíme tomu zabrániti nejen jako ,,nepřátelé lidstva“, nýbrž ve službách skutečného míru. Ostatně můžeme krakov</w:t>
      </w:r>
      <w:r>
        <w:rPr>
          <w:sz w:val="18"/>
          <w:szCs w:val="18"/>
        </w:rPr>
        <w:softHyphen/>
        <w:t>ský „Kurjer“ ubezpečiti, že nám jeho nemístné sebevědomí velmi málo imponuje. Nepříjemné vystř</w:t>
      </w:r>
      <w:r>
        <w:rPr>
          <w:sz w:val="18"/>
          <w:szCs w:val="18"/>
        </w:rPr>
        <w:t>ízlivění, ke kterému by mohlo dojít po opojení vodkou, se jistě dostaví.</w:t>
      </w:r>
    </w:p>
    <w:p w:rsidR="00500724" w:rsidRDefault="00F30FB8">
      <w:pPr>
        <w:pStyle w:val="Nadpis120"/>
        <w:shd w:val="clear" w:color="auto" w:fill="auto"/>
        <w:spacing w:after="100" w:line="192" w:lineRule="auto"/>
        <w:ind w:left="0"/>
        <w:jc w:val="center"/>
      </w:pPr>
      <w:bookmarkStart w:id="800" w:name="bookmark799"/>
      <w:r>
        <w:t>Londýn nespěchá na Moskvo.</w:t>
      </w:r>
      <w:bookmarkEnd w:id="800"/>
    </w:p>
    <w:p w:rsidR="00500724" w:rsidRDefault="00F30FB8">
      <w:pPr>
        <w:pStyle w:val="Zkladntext1"/>
        <w:shd w:val="clear" w:color="auto" w:fill="auto"/>
        <w:spacing w:line="194" w:lineRule="auto"/>
        <w:ind w:firstLine="240"/>
        <w:rPr>
          <w:sz w:val="18"/>
          <w:szCs w:val="18"/>
        </w:rPr>
      </w:pPr>
      <w:r>
        <w:rPr>
          <w:sz w:val="18"/>
          <w:szCs w:val="18"/>
        </w:rPr>
        <w:t xml:space="preserve">Londýn, 30. července </w:t>
      </w:r>
      <w:r>
        <w:rPr>
          <w:sz w:val="18"/>
          <w:szCs w:val="18"/>
          <w:lang w:val="en-US" w:eastAsia="en-US" w:bidi="en-US"/>
        </w:rPr>
        <w:t xml:space="preserve">(European </w:t>
      </w:r>
      <w:r>
        <w:rPr>
          <w:sz w:val="18"/>
          <w:szCs w:val="18"/>
        </w:rPr>
        <w:t>Press). Londýn je ocho</w:t>
      </w:r>
      <w:r>
        <w:rPr>
          <w:sz w:val="18"/>
          <w:szCs w:val="18"/>
        </w:rPr>
        <w:softHyphen/>
        <w:t>ten na výsledek vojenských rozhovorů s Moskvou počkat třeba celé týdny, ba i celé měsíce. Diplomatický</w:t>
      </w:r>
      <w:r>
        <w:rPr>
          <w:sz w:val="18"/>
          <w:szCs w:val="18"/>
        </w:rPr>
        <w:t xml:space="preserve"> zpravodaj Uštu </w:t>
      </w:r>
      <w:r>
        <w:rPr>
          <w:sz w:val="18"/>
          <w:szCs w:val="18"/>
          <w:lang w:val="en-US" w:eastAsia="en-US" w:bidi="en-US"/>
        </w:rPr>
        <w:t xml:space="preserve">„Sunday </w:t>
      </w:r>
      <w:r>
        <w:rPr>
          <w:sz w:val="18"/>
          <w:szCs w:val="18"/>
        </w:rPr>
        <w:t>Times“, který je považován za nejlépe zpravený ne</w:t>
      </w:r>
      <w:r>
        <w:rPr>
          <w:sz w:val="18"/>
          <w:szCs w:val="18"/>
        </w:rPr>
        <w:softHyphen/>
        <w:t>dělní list v celém Londýně, píše dnes, že porady potrvají pravděpodobně několik týdnů, poněvadž bude při nich nutno vyřešiti celou řadu důležitých i strategických otázek, které vznik</w:t>
      </w:r>
      <w:r>
        <w:rPr>
          <w:sz w:val="18"/>
          <w:szCs w:val="18"/>
        </w:rPr>
        <w:t>nou ze spojenectví AngUe a Francie se sovětským Rus</w:t>
      </w:r>
      <w:r>
        <w:rPr>
          <w:sz w:val="18"/>
          <w:szCs w:val="18"/>
        </w:rPr>
        <w:softHyphen/>
        <w:t>kem. Ostatní Ušty píší také podobně.</w:t>
      </w:r>
    </w:p>
    <w:p w:rsidR="00500724" w:rsidRDefault="00F30FB8">
      <w:pPr>
        <w:pStyle w:val="Zkladntext1"/>
        <w:shd w:val="clear" w:color="auto" w:fill="auto"/>
        <w:spacing w:after="180" w:line="194" w:lineRule="auto"/>
        <w:ind w:firstLine="240"/>
        <w:rPr>
          <w:sz w:val="18"/>
          <w:szCs w:val="18"/>
        </w:rPr>
      </w:pPr>
      <w:r>
        <w:rPr>
          <w:sz w:val="18"/>
          <w:szCs w:val="18"/>
        </w:rPr>
        <w:t>Současně se ukazuje, že poUtické rozhovory nepokroěily ještě tak daleko, aby záležitosti vojenské mohly být ve všech třech státech usměrněny tak, jak by si to přálo so</w:t>
      </w:r>
      <w:r>
        <w:rPr>
          <w:sz w:val="18"/>
          <w:szCs w:val="18"/>
        </w:rPr>
        <w:t>větské Rusko. Vojenské otázky jsou nyní právě tak nepropracovány, jako před 10 týdny byly otázky poUtické. Nejlepším vyřeše</w:t>
      </w:r>
      <w:r>
        <w:rPr>
          <w:sz w:val="18"/>
          <w:szCs w:val="18"/>
        </w:rPr>
        <w:softHyphen/>
        <w:t>ním bylo by úplné oddělení otázek poUtických od otázek vo</w:t>
      </w:r>
      <w:r>
        <w:rPr>
          <w:sz w:val="18"/>
          <w:szCs w:val="18"/>
        </w:rPr>
        <w:softHyphen/>
        <w:t>jenských. Přesto však prý úkol anglické mise nebude malý.</w:t>
      </w:r>
    </w:p>
    <w:p w:rsidR="00500724" w:rsidRDefault="00F30FB8">
      <w:pPr>
        <w:pStyle w:val="Nadpis120"/>
        <w:shd w:val="clear" w:color="auto" w:fill="auto"/>
        <w:spacing w:after="100" w:line="192" w:lineRule="auto"/>
        <w:ind w:left="0"/>
        <w:jc w:val="center"/>
      </w:pPr>
      <w:bookmarkStart w:id="801" w:name="bookmark800"/>
      <w:r>
        <w:t>Chtějí oznámit m</w:t>
      </w:r>
      <w:r>
        <w:t>írové podmínky — ještě</w:t>
      </w:r>
      <w:r>
        <w:br/>
        <w:t>před válkou.</w:t>
      </w:r>
      <w:bookmarkEnd w:id="801"/>
    </w:p>
    <w:p w:rsidR="00500724" w:rsidRDefault="00F30FB8">
      <w:pPr>
        <w:pStyle w:val="Zkladntext1"/>
        <w:shd w:val="clear" w:color="auto" w:fill="auto"/>
        <w:spacing w:after="160" w:line="194" w:lineRule="auto"/>
        <w:ind w:firstLine="240"/>
        <w:rPr>
          <w:sz w:val="18"/>
          <w:szCs w:val="18"/>
        </w:rPr>
      </w:pPr>
      <w:r>
        <w:rPr>
          <w:sz w:val="18"/>
          <w:szCs w:val="18"/>
        </w:rPr>
        <w:t>Londýn, 29. července. CTK. — Londýnské Ušty oče</w:t>
      </w:r>
      <w:r>
        <w:rPr>
          <w:sz w:val="18"/>
          <w:szCs w:val="18"/>
        </w:rPr>
        <w:softHyphen/>
        <w:t>kávají, že ministerskému předsedovi Chamberlainovi ne</w:t>
      </w:r>
      <w:r>
        <w:rPr>
          <w:sz w:val="18"/>
          <w:szCs w:val="18"/>
        </w:rPr>
        <w:softHyphen/>
        <w:t>bude v ponděU ještě možno podati žádné závěrečné pro</w:t>
      </w:r>
      <w:r>
        <w:rPr>
          <w:sz w:val="18"/>
          <w:szCs w:val="18"/>
        </w:rPr>
        <w:softHyphen/>
        <w:t>hlášení o vojenském vyjednávání. Oznámí prý toliko, že vojenské m</w:t>
      </w:r>
      <w:r>
        <w:rPr>
          <w:sz w:val="18"/>
          <w:szCs w:val="18"/>
        </w:rPr>
        <w:t xml:space="preserve">ise odjedou do Moskvy k zahájení rozhovorů generálních štábů. — „News </w:t>
      </w:r>
      <w:r>
        <w:rPr>
          <w:sz w:val="18"/>
          <w:szCs w:val="18"/>
          <w:lang w:val="en-US" w:eastAsia="en-US" w:bidi="en-US"/>
        </w:rPr>
        <w:t xml:space="preserve">Chronicle“ </w:t>
      </w:r>
      <w:r>
        <w:rPr>
          <w:sz w:val="18"/>
          <w:szCs w:val="18"/>
        </w:rPr>
        <w:t>k tomu píše, že dlouhé čekání na ukončení moskevského vyjednávání není beze změn.- Po období sklíčenosti následovaly náhlé výbuchy optimismu. Nyní se prý podává zase dávka opt</w:t>
      </w:r>
      <w:r>
        <w:rPr>
          <w:sz w:val="18"/>
          <w:szCs w:val="18"/>
        </w:rPr>
        <w:t xml:space="preserve">imismu. Jen bohužel, že tento optimismus nemá žádného ohlasu v Moskvě. Snad prý se tento optimismus staví v úředních londýnských kruzích na odiv z důvodů ryze vnitropolitických. </w:t>
      </w:r>
      <w:r>
        <w:rPr>
          <w:sz w:val="18"/>
          <w:szCs w:val="18"/>
          <w:lang w:val="en-US" w:eastAsia="en-US" w:bidi="en-US"/>
        </w:rPr>
        <w:t xml:space="preserve">Chamber- lain </w:t>
      </w:r>
      <w:r>
        <w:rPr>
          <w:sz w:val="18"/>
          <w:szCs w:val="18"/>
        </w:rPr>
        <w:t>by prý totiž chtěl, aby britský parlament šel 4. srpna ve vší ti</w:t>
      </w:r>
      <w:r>
        <w:rPr>
          <w:sz w:val="18"/>
          <w:szCs w:val="18"/>
        </w:rPr>
        <w:t>chosti a klidně na prázdniny. List nakonec míní, že až bude obklíěení hotovo, měly by být Německu oznámeny mírové podmínky dříve, než by vypukla válka.</w:t>
      </w:r>
    </w:p>
    <w:p w:rsidR="00500724" w:rsidRDefault="00F30FB8">
      <w:pPr>
        <w:pStyle w:val="Nadpis120"/>
        <w:shd w:val="clear" w:color="auto" w:fill="auto"/>
        <w:spacing w:after="100" w:line="202" w:lineRule="auto"/>
        <w:ind w:left="0"/>
        <w:jc w:val="center"/>
      </w:pPr>
      <w:bookmarkStart w:id="802" w:name="bookmark801"/>
      <w:r>
        <w:t>Jedno americké letadlo denně</w:t>
      </w:r>
      <w:r>
        <w:br/>
        <w:t>pro anglickou armádu.</w:t>
      </w:r>
      <w:bookmarkEnd w:id="802"/>
    </w:p>
    <w:p w:rsidR="00500724" w:rsidRDefault="00F30FB8">
      <w:pPr>
        <w:pStyle w:val="Zkladntext1"/>
        <w:shd w:val="clear" w:color="auto" w:fill="auto"/>
        <w:spacing w:line="197" w:lineRule="auto"/>
        <w:ind w:firstLine="240"/>
        <w:rPr>
          <w:sz w:val="18"/>
          <w:szCs w:val="18"/>
        </w:rPr>
      </w:pPr>
      <w:r>
        <w:rPr>
          <w:sz w:val="18"/>
          <w:szCs w:val="18"/>
        </w:rPr>
        <w:t xml:space="preserve">Podle zpráv londýnských listů britské letectvo objednalo u </w:t>
      </w:r>
      <w:r>
        <w:rPr>
          <w:sz w:val="18"/>
          <w:szCs w:val="18"/>
          <w:lang w:val="en-US" w:eastAsia="en-US" w:bidi="en-US"/>
        </w:rPr>
        <w:t xml:space="preserve">Lockhead Aircraft </w:t>
      </w:r>
      <w:r>
        <w:rPr>
          <w:sz w:val="18"/>
          <w:szCs w:val="18"/>
        </w:rPr>
        <w:t>Corporation 250 dálkovýzvědných bom</w:t>
      </w:r>
      <w:r>
        <w:rPr>
          <w:sz w:val="18"/>
          <w:szCs w:val="18"/>
        </w:rPr>
        <w:softHyphen/>
        <w:t xml:space="preserve">bardovacích letounů. 140 jich bylo již dodáno, a nyní prý budou ostatní dodávána s matematickou přesností — denně jedno. Doprava děje se na </w:t>
      </w:r>
      <w:r>
        <w:rPr>
          <w:sz w:val="18"/>
          <w:szCs w:val="18"/>
        </w:rPr>
        <w:t>lodích Panamským průplavem.</w:t>
      </w:r>
    </w:p>
    <w:p w:rsidR="00500724" w:rsidRDefault="00F30FB8">
      <w:pPr>
        <w:pStyle w:val="Zkladntext1"/>
        <w:shd w:val="clear" w:color="auto" w:fill="auto"/>
        <w:spacing w:after="100" w:line="197" w:lineRule="auto"/>
        <w:ind w:firstLine="0"/>
        <w:jc w:val="right"/>
        <w:rPr>
          <w:sz w:val="18"/>
          <w:szCs w:val="18"/>
        </w:rPr>
      </w:pPr>
      <w:r>
        <w:rPr>
          <w:i/>
          <w:iCs/>
          <w:sz w:val="18"/>
          <w:szCs w:val="18"/>
        </w:rPr>
        <w:t>(„Venkov"),</w:t>
      </w:r>
    </w:p>
    <w:p w:rsidR="00500724" w:rsidRDefault="00F30FB8">
      <w:pPr>
        <w:pStyle w:val="Nadpis120"/>
        <w:shd w:val="clear" w:color="auto" w:fill="auto"/>
        <w:spacing w:after="100" w:line="202" w:lineRule="auto"/>
        <w:ind w:left="0"/>
        <w:jc w:val="center"/>
      </w:pPr>
      <w:bookmarkStart w:id="803" w:name="bookmark802"/>
      <w:r>
        <w:t>Anglický výklad, o čem je spor v Moskvě.</w:t>
      </w:r>
      <w:bookmarkEnd w:id="803"/>
    </w:p>
    <w:p w:rsidR="00500724" w:rsidRDefault="00F30FB8">
      <w:pPr>
        <w:pStyle w:val="Zkladntext1"/>
        <w:shd w:val="clear" w:color="auto" w:fill="auto"/>
        <w:spacing w:line="197" w:lineRule="auto"/>
        <w:ind w:firstLine="260"/>
        <w:rPr>
          <w:sz w:val="18"/>
          <w:szCs w:val="18"/>
        </w:rPr>
      </w:pPr>
      <w:r>
        <w:rPr>
          <w:sz w:val="18"/>
          <w:szCs w:val="18"/>
        </w:rPr>
        <w:t xml:space="preserve">Včerejší řeě min. předsedy Chamberlaina a jeho odpovědi na dotazy poslanců ukazují, v jaké těžké situaci ocitla se anglická politika. </w:t>
      </w:r>
      <w:r>
        <w:rPr>
          <w:sz w:val="18"/>
          <w:szCs w:val="18"/>
          <w:lang w:val="en-US" w:eastAsia="en-US" w:bidi="en-US"/>
        </w:rPr>
        <w:t xml:space="preserve">Chamberlain </w:t>
      </w:r>
      <w:r>
        <w:rPr>
          <w:sz w:val="18"/>
          <w:szCs w:val="18"/>
        </w:rPr>
        <w:t xml:space="preserve">přiznal, že Anglie a Francie </w:t>
      </w:r>
      <w:r>
        <w:rPr>
          <w:sz w:val="18"/>
          <w:szCs w:val="18"/>
        </w:rPr>
        <w:t xml:space="preserve">vyhověla požadavku Moskvy, aby okamžitě bylo započato s vojenskými poradami Anglie, Francie a Ruska. Tím však není řečeno, že je vše dohodnuto. Výslovně řekl </w:t>
      </w:r>
      <w:r>
        <w:rPr>
          <w:sz w:val="18"/>
          <w:szCs w:val="18"/>
          <w:lang w:val="en-US" w:eastAsia="en-US" w:bidi="en-US"/>
        </w:rPr>
        <w:t xml:space="preserve">Chamberlain, </w:t>
      </w:r>
      <w:r>
        <w:rPr>
          <w:sz w:val="18"/>
          <w:szCs w:val="18"/>
        </w:rPr>
        <w:t>že politické porady budou pokraěovat souběžně.</w:t>
      </w:r>
    </w:p>
    <w:p w:rsidR="00500724" w:rsidRDefault="00F30FB8">
      <w:pPr>
        <w:pStyle w:val="Zkladntext1"/>
        <w:shd w:val="clear" w:color="auto" w:fill="auto"/>
        <w:spacing w:line="197" w:lineRule="auto"/>
        <w:ind w:firstLine="240"/>
        <w:rPr>
          <w:sz w:val="18"/>
          <w:szCs w:val="18"/>
        </w:rPr>
      </w:pPr>
      <w:r>
        <w:rPr>
          <w:sz w:val="18"/>
          <w:szCs w:val="18"/>
        </w:rPr>
        <w:t>Odjezd vojenských misí oznámil na tent</w:t>
      </w:r>
      <w:r>
        <w:rPr>
          <w:sz w:val="18"/>
          <w:szCs w:val="18"/>
        </w:rPr>
        <w:t>o týden.</w:t>
      </w:r>
    </w:p>
    <w:p w:rsidR="00500724" w:rsidRDefault="00F30FB8">
      <w:pPr>
        <w:pStyle w:val="Zkladntext1"/>
        <w:shd w:val="clear" w:color="auto" w:fill="auto"/>
        <w:spacing w:line="197" w:lineRule="auto"/>
        <w:ind w:firstLine="240"/>
        <w:rPr>
          <w:sz w:val="18"/>
          <w:szCs w:val="18"/>
        </w:rPr>
      </w:pPr>
      <w:r>
        <w:rPr>
          <w:sz w:val="18"/>
          <w:szCs w:val="18"/>
        </w:rPr>
        <w:t>Po prvé mluvil také o příčinách dosavadních nezdarů ve vyjednávání s Moskvou. Anglie dosud zdráhala se přistoupiti na sovětskou definici „nepřímého útoku“.</w:t>
      </w:r>
    </w:p>
    <w:p w:rsidR="00500724" w:rsidRDefault="00F30FB8">
      <w:pPr>
        <w:pStyle w:val="Zkladntext1"/>
        <w:shd w:val="clear" w:color="auto" w:fill="auto"/>
        <w:spacing w:line="197" w:lineRule="auto"/>
        <w:ind w:firstLine="240"/>
        <w:rPr>
          <w:sz w:val="18"/>
          <w:szCs w:val="18"/>
        </w:rPr>
      </w:pPr>
      <w:r>
        <w:rPr>
          <w:sz w:val="18"/>
          <w:szCs w:val="18"/>
        </w:rPr>
        <w:t>Zajímavé jsou hlasy anglického tisku. Zatím co většina v čele s polooficielními „Times“ hle</w:t>
      </w:r>
      <w:r>
        <w:rPr>
          <w:sz w:val="18"/>
          <w:szCs w:val="18"/>
        </w:rPr>
        <w:t>dí vyvolati v anglickém čtenáři optimistickou náladu — „Daily Express“ podle tel. zprávy „Angriffu“ objasňuje blíže ty diference. Prohlašuje, že je proti spojeneckým svazkům na východě. „Angličtí a so</w:t>
      </w:r>
      <w:r>
        <w:rPr>
          <w:sz w:val="18"/>
          <w:szCs w:val="18"/>
        </w:rPr>
        <w:softHyphen/>
        <w:t>větští diplomati přou se o výklad „nepřímého útoku“. Je</w:t>
      </w:r>
      <w:r>
        <w:rPr>
          <w:sz w:val="18"/>
          <w:szCs w:val="18"/>
        </w:rPr>
        <w:t>stliže prý Rusové prosadili by svou, bude Moskva moci rozhodovati, zda došlo k nepřímému útoku, proti kterému se musí vystou- piti. To je příliš mnoho pro Anglii. My už jsme mnoho rozhodnutí, která jsou pro anglický národ životní dů</w:t>
      </w:r>
      <w:r>
        <w:rPr>
          <w:sz w:val="18"/>
          <w:szCs w:val="18"/>
        </w:rPr>
        <w:softHyphen/>
        <w:t>ležitostí, přenechali z</w:t>
      </w:r>
      <w:r>
        <w:rPr>
          <w:sz w:val="18"/>
          <w:szCs w:val="18"/>
        </w:rPr>
        <w:t>ahraničním vládám. My musíme bojo</w:t>
      </w:r>
      <w:r>
        <w:rPr>
          <w:sz w:val="18"/>
          <w:szCs w:val="18"/>
        </w:rPr>
        <w:softHyphen/>
        <w:t xml:space="preserve">vati, když to Poláci uznají za správné! Když plukovník </w:t>
      </w:r>
      <w:r>
        <w:rPr>
          <w:sz w:val="18"/>
          <w:szCs w:val="18"/>
          <w:lang w:val="en-US" w:eastAsia="en-US" w:bidi="en-US"/>
        </w:rPr>
        <w:t xml:space="preserve">Beck </w:t>
      </w:r>
      <w:r>
        <w:rPr>
          <w:sz w:val="18"/>
          <w:szCs w:val="18"/>
        </w:rPr>
        <w:t>řekne: Válku, tak je to válka. Měli bychom si nechati právo v budoucnosti s ohledem na nepřímv útok a o svém osudu sami rozhodovati a nedávati to do rukou Stalina</w:t>
      </w:r>
      <w:r>
        <w:rPr>
          <w:sz w:val="18"/>
          <w:szCs w:val="18"/>
        </w:rPr>
        <w:t>“.</w:t>
      </w:r>
    </w:p>
    <w:p w:rsidR="00500724" w:rsidRDefault="00F30FB8">
      <w:pPr>
        <w:pStyle w:val="Zkladntext1"/>
        <w:shd w:val="clear" w:color="auto" w:fill="auto"/>
        <w:spacing w:after="100" w:line="197" w:lineRule="auto"/>
        <w:ind w:firstLine="0"/>
        <w:jc w:val="right"/>
        <w:rPr>
          <w:sz w:val="18"/>
          <w:szCs w:val="18"/>
        </w:rPr>
      </w:pPr>
      <w:r>
        <w:rPr>
          <w:i/>
          <w:iCs/>
          <w:sz w:val="18"/>
          <w:szCs w:val="18"/>
        </w:rPr>
        <w:t>(„Poledni list.")</w:t>
      </w:r>
    </w:p>
    <w:p w:rsidR="00500724" w:rsidRDefault="00F30FB8">
      <w:pPr>
        <w:pStyle w:val="Nadpis120"/>
        <w:shd w:val="clear" w:color="auto" w:fill="auto"/>
        <w:spacing w:after="100" w:line="202" w:lineRule="auto"/>
        <w:ind w:left="0"/>
        <w:jc w:val="center"/>
      </w:pPr>
      <w:bookmarkStart w:id="804" w:name="bookmark803"/>
      <w:r>
        <w:t>Vůdce určí okamžik.</w:t>
      </w:r>
      <w:bookmarkEnd w:id="804"/>
    </w:p>
    <w:p w:rsidR="00500724" w:rsidRDefault="00F30FB8">
      <w:pPr>
        <w:pStyle w:val="Zkladntext1"/>
        <w:shd w:val="clear" w:color="auto" w:fill="auto"/>
        <w:spacing w:after="100" w:line="197" w:lineRule="auto"/>
        <w:ind w:firstLine="240"/>
        <w:rPr>
          <w:sz w:val="18"/>
          <w:szCs w:val="18"/>
        </w:rPr>
      </w:pPr>
      <w:r>
        <w:rPr>
          <w:sz w:val="18"/>
          <w:szCs w:val="18"/>
        </w:rPr>
        <w:t>Gdánsko, 3. srpna. Čtk. — V Gdánsku promluvil věera před velkým veřejným shromážděním ředitel Říšského svazu ně</w:t>
      </w:r>
      <w:r>
        <w:rPr>
          <w:sz w:val="18"/>
          <w:szCs w:val="18"/>
        </w:rPr>
        <w:softHyphen/>
        <w:t>meckého námořního obchodu viceadmirál šl. Trotha po úvod</w:t>
      </w:r>
      <w:r>
        <w:rPr>
          <w:sz w:val="18"/>
          <w:szCs w:val="18"/>
        </w:rPr>
        <w:softHyphen/>
        <w:t>ním proslovu státního komisaře mořeplavby Droe</w:t>
      </w:r>
      <w:r>
        <w:rPr>
          <w:sz w:val="18"/>
          <w:szCs w:val="18"/>
        </w:rPr>
        <w:t>schera, který odmítl polské tvrzení, že německá slavnost jest jen odezvou na polský „Den moře“. Hlavní řečník, viceadmirál Trotha, zdůraznil spojitost mezi námořním významem Gdanska a Ně</w:t>
      </w:r>
      <w:r>
        <w:rPr>
          <w:sz w:val="18"/>
          <w:szCs w:val="18"/>
        </w:rPr>
        <w:softHyphen/>
        <w:t xml:space="preserve">mecké říše, která nemůže býti přetržena. Celý svět ví, že Němci dnes </w:t>
      </w:r>
      <w:r>
        <w:rPr>
          <w:sz w:val="18"/>
          <w:szCs w:val="18"/>
        </w:rPr>
        <w:t>jsou v konečné fázi svého boje proti versaille- skému bezpráví. Víidce vzal osud Gdánska do svých rukou a Gdánsko ví tedy, že je jeho osud v dobrých rukou. Je důležito, že je v Gdánsku znám cíl. Okamžik určí Vůdce. Na Gdánsku jest, aby se chránilo před pří</w:t>
      </w:r>
      <w:r>
        <w:rPr>
          <w:sz w:val="18"/>
          <w:szCs w:val="18"/>
        </w:rPr>
        <w:t>padnými přepady. To také Gdán</w:t>
      </w:r>
      <w:r>
        <w:rPr>
          <w:sz w:val="18"/>
          <w:szCs w:val="18"/>
        </w:rPr>
        <w:softHyphen/>
        <w:t>sko činí.</w:t>
      </w:r>
    </w:p>
    <w:p w:rsidR="00500724" w:rsidRDefault="00F30FB8">
      <w:pPr>
        <w:pStyle w:val="Nadpis120"/>
        <w:shd w:val="clear" w:color="auto" w:fill="auto"/>
        <w:spacing w:after="100" w:line="202" w:lineRule="auto"/>
        <w:ind w:left="0"/>
        <w:jc w:val="center"/>
      </w:pPr>
      <w:bookmarkStart w:id="805" w:name="bookmark804"/>
      <w:r>
        <w:t>Říše sama udá tempo v gdaňské otázce.</w:t>
      </w:r>
      <w:bookmarkEnd w:id="805"/>
    </w:p>
    <w:p w:rsidR="00500724" w:rsidRDefault="00F30FB8">
      <w:pPr>
        <w:pStyle w:val="Zkladntext1"/>
        <w:shd w:val="clear" w:color="auto" w:fill="auto"/>
        <w:spacing w:line="199" w:lineRule="auto"/>
        <w:ind w:firstLine="240"/>
        <w:rPr>
          <w:sz w:val="18"/>
          <w:szCs w:val="18"/>
        </w:rPr>
      </w:pPr>
      <w:r>
        <w:rPr>
          <w:sz w:val="18"/>
          <w:szCs w:val="18"/>
        </w:rPr>
        <w:t xml:space="preserve">(CER.) „Frankfurter Zeitung“ odpovídá </w:t>
      </w:r>
      <w:r>
        <w:rPr>
          <w:b/>
          <w:bCs/>
          <w:sz w:val="18"/>
          <w:szCs w:val="18"/>
        </w:rPr>
        <w:t xml:space="preserve">v </w:t>
      </w:r>
      <w:r>
        <w:rPr>
          <w:sz w:val="18"/>
          <w:szCs w:val="18"/>
        </w:rPr>
        <w:t>článku, nade</w:t>
      </w:r>
      <w:r>
        <w:rPr>
          <w:sz w:val="18"/>
          <w:szCs w:val="18"/>
        </w:rPr>
        <w:softHyphen/>
        <w:t>psaném „Ani spravedlivé, ani logické“, na nedávné prohlášení britského ministerského předsedy Chamberlaina o německo- polskýc</w:t>
      </w:r>
      <w:r>
        <w:rPr>
          <w:sz w:val="18"/>
          <w:szCs w:val="18"/>
        </w:rPr>
        <w:t>h vztazích v souvislosti s gdánskou otázkou a píše m. j.:</w:t>
      </w:r>
    </w:p>
    <w:p w:rsidR="00500724" w:rsidRDefault="00F30FB8">
      <w:pPr>
        <w:pStyle w:val="Zkladntext1"/>
        <w:shd w:val="clear" w:color="auto" w:fill="auto"/>
        <w:spacing w:line="199" w:lineRule="auto"/>
        <w:ind w:firstLine="260"/>
        <w:rPr>
          <w:sz w:val="18"/>
          <w:szCs w:val="18"/>
        </w:rPr>
      </w:pPr>
      <w:r>
        <w:rPr>
          <w:sz w:val="18"/>
          <w:szCs w:val="18"/>
        </w:rPr>
        <w:t>„S realismem, za který je nutno poděkovati, upozornil britský ministerský předseda na to, že napětí v německo-pol- ských vztazích se opět spíše přiostřilo než zmenšilo. Sku</w:t>
      </w:r>
      <w:r>
        <w:rPr>
          <w:sz w:val="18"/>
          <w:szCs w:val="18"/>
        </w:rPr>
        <w:softHyphen/>
        <w:t xml:space="preserve">tečně: když gdaňský „puě </w:t>
      </w:r>
      <w:r>
        <w:rPr>
          <w:sz w:val="18"/>
          <w:szCs w:val="18"/>
        </w:rPr>
        <w:t>koncem týdne“, který byl určitými kruhy tak jasně prorokován, se nekonal, domnívaly se tytéž kruhy, že mohou s pozoruhodným klidem konstatovati, že nyní je všechno překonáno. Měli sl však již minulého roku za Benešovy květnové mobilisace uvědomiti, že niko</w:t>
      </w:r>
      <w:r>
        <w:rPr>
          <w:sz w:val="18"/>
          <w:szCs w:val="18"/>
        </w:rPr>
        <w:t>li výmysly o německých plánech, nýbrž německá rozhodnutí jsou hybnou pákou evropského vývoje. Ani tempo, ani prostředky německé politiky nejsou určovány naprostým nedostatkem fantasie za</w:t>
      </w:r>
      <w:r>
        <w:rPr>
          <w:sz w:val="18"/>
          <w:szCs w:val="18"/>
        </w:rPr>
        <w:softHyphen/>
        <w:t>hraničních kritiků. Mluviti o nějakém zmírnění napětí jo právě tak be</w:t>
      </w:r>
      <w:r>
        <w:rPr>
          <w:sz w:val="18"/>
          <w:szCs w:val="18"/>
        </w:rPr>
        <w:t>zmyšlenkovité jako žvanění o nových „termí</w:t>
      </w:r>
      <w:r>
        <w:rPr>
          <w:sz w:val="18"/>
          <w:szCs w:val="18"/>
        </w:rPr>
        <w:softHyphen/>
        <w:t>nech“, které neustále slibují neúspěšní proroci.</w:t>
      </w:r>
    </w:p>
    <w:p w:rsidR="00500724" w:rsidRDefault="00F30FB8">
      <w:pPr>
        <w:pStyle w:val="Zkladntext1"/>
        <w:shd w:val="clear" w:color="auto" w:fill="auto"/>
        <w:spacing w:after="120" w:line="197" w:lineRule="auto"/>
        <w:ind w:firstLine="240"/>
        <w:rPr>
          <w:sz w:val="18"/>
          <w:szCs w:val="18"/>
        </w:rPr>
      </w:pPr>
      <w:r>
        <w:rPr>
          <w:sz w:val="18"/>
          <w:szCs w:val="18"/>
        </w:rPr>
        <w:t>Nesmíme ztráceti se zřetele, že na počátku mezinárodního rozčilení kolem gdánské otázky byla německá nabídka k vy</w:t>
      </w:r>
      <w:r>
        <w:rPr>
          <w:sz w:val="18"/>
          <w:szCs w:val="18"/>
        </w:rPr>
        <w:softHyphen/>
        <w:t xml:space="preserve">jednávání; umírněná německá nabídka byla Polskem </w:t>
      </w:r>
      <w:r>
        <w:rPr>
          <w:sz w:val="18"/>
          <w:szCs w:val="18"/>
        </w:rPr>
        <w:t>zamít</w:t>
      </w:r>
      <w:r>
        <w:rPr>
          <w:sz w:val="18"/>
          <w:szCs w:val="18"/>
        </w:rPr>
        <w:softHyphen/>
        <w:t>nuta za potlesku západních mocností. Ony „metody“, které nakonec vynutily mnichovské vyrovnání, rozčilují, avšak každý německý pokus, dosáhnouti logiky a spravedlnosti ji</w:t>
      </w:r>
      <w:r>
        <w:rPr>
          <w:sz w:val="18"/>
          <w:szCs w:val="18"/>
        </w:rPr>
        <w:softHyphen/>
        <w:t>nou cestou, je odmítán. Není třeba se hádat! o data: Polsko, když v březnu zamí</w:t>
      </w:r>
      <w:r>
        <w:rPr>
          <w:sz w:val="18"/>
          <w:szCs w:val="18"/>
        </w:rPr>
        <w:t xml:space="preserve">tlo německou nabídku, bylo nepochybně vedeno přesvědčením, že se může v případě nouze spolehnout! na britskou pomoc; a to mu bylo později také potvrzeno. Na tomto základě je polská vláda tak „podivuhodně klidná“, jak jí </w:t>
      </w:r>
      <w:r>
        <w:rPr>
          <w:sz w:val="18"/>
          <w:szCs w:val="18"/>
          <w:lang w:val="en-US" w:eastAsia="en-US" w:bidi="en-US"/>
        </w:rPr>
        <w:t xml:space="preserve">to Chamberlain </w:t>
      </w:r>
      <w:r>
        <w:rPr>
          <w:sz w:val="18"/>
          <w:szCs w:val="18"/>
        </w:rPr>
        <w:t>potvrdil.</w:t>
      </w:r>
    </w:p>
    <w:p w:rsidR="00500724" w:rsidRDefault="00F30FB8">
      <w:pPr>
        <w:pStyle w:val="Nadpis120"/>
        <w:shd w:val="clear" w:color="auto" w:fill="auto"/>
        <w:spacing w:after="120"/>
        <w:ind w:left="0"/>
        <w:jc w:val="center"/>
      </w:pPr>
      <w:bookmarkStart w:id="806" w:name="bookmark805"/>
      <w:r>
        <w:t>Polské obav</w:t>
      </w:r>
      <w:r>
        <w:t>y v gdánské otázce.</w:t>
      </w:r>
      <w:bookmarkEnd w:id="806"/>
    </w:p>
    <w:p w:rsidR="00500724" w:rsidRDefault="00F30FB8">
      <w:pPr>
        <w:pStyle w:val="Zkladntext1"/>
        <w:shd w:val="clear" w:color="auto" w:fill="auto"/>
        <w:spacing w:line="197" w:lineRule="auto"/>
        <w:ind w:firstLine="240"/>
        <w:rPr>
          <w:sz w:val="18"/>
          <w:szCs w:val="18"/>
        </w:rPr>
      </w:pPr>
      <w:r>
        <w:rPr>
          <w:sz w:val="18"/>
          <w:szCs w:val="18"/>
        </w:rPr>
        <w:t>Pařížské listy přinášejí zprávy z Varšavy o rostoucích pol</w:t>
      </w:r>
      <w:r>
        <w:rPr>
          <w:sz w:val="18"/>
          <w:szCs w:val="18"/>
        </w:rPr>
        <w:softHyphen/>
        <w:t xml:space="preserve">ských starostech s gdánskou otázkou. Polské kruhy totiž jsou znepokojeny pověstmi, že koncem srpna dojde k nové kapitolo v gdánské krisi. Nejvíce starostí působí polskému tisku </w:t>
      </w:r>
      <w:r>
        <w:rPr>
          <w:sz w:val="18"/>
          <w:szCs w:val="18"/>
        </w:rPr>
        <w:t>návštěva křižníku „Kónigsberg“, ohlášená na 21. srpen a při</w:t>
      </w:r>
      <w:r>
        <w:rPr>
          <w:sz w:val="18"/>
          <w:szCs w:val="18"/>
        </w:rPr>
        <w:softHyphen/>
        <w:t xml:space="preserve">padající do téhož týdne, kdy bude německou Říší oslaveno vítězství i. Tannenbergu ve východním Prusku slavnostmi, jimž bude předsedati sám Vůdce a říšský kancléř Hitler. Tyto manifestace, spojené </w:t>
      </w:r>
      <w:r>
        <w:rPr>
          <w:sz w:val="18"/>
          <w:szCs w:val="18"/>
        </w:rPr>
        <w:t>s poctami německému námořnictvu za přítomnosti Vůdce a říšského kancléře na několik kilometrů od Gdánska, vytvoří prý ve svobod, městě ovzduší velmi vzru</w:t>
      </w:r>
      <w:r>
        <w:rPr>
          <w:sz w:val="18"/>
          <w:szCs w:val="18"/>
        </w:rPr>
        <w:softHyphen/>
        <w:t>šené, z něhož by snadno mohly vzniknouti rušivé příhody gdánsko-polské.</w:t>
      </w:r>
    </w:p>
    <w:p w:rsidR="00500724" w:rsidRDefault="00F30FB8">
      <w:pPr>
        <w:pStyle w:val="Zkladntext1"/>
        <w:shd w:val="clear" w:color="auto" w:fill="auto"/>
        <w:spacing w:line="197" w:lineRule="auto"/>
        <w:ind w:firstLine="240"/>
        <w:rPr>
          <w:sz w:val="18"/>
          <w:szCs w:val="18"/>
        </w:rPr>
      </w:pPr>
      <w:r>
        <w:rPr>
          <w:sz w:val="18"/>
          <w:szCs w:val="18"/>
        </w:rPr>
        <w:t>Varšavský zpravodaj „Petit Par</w:t>
      </w:r>
      <w:r>
        <w:rPr>
          <w:sz w:val="18"/>
          <w:szCs w:val="18"/>
        </w:rPr>
        <w:t>isienu“ píše: Co by so stalo, kdyby Vůdce cestou letadlem z Tannenbergu přerušil nenadále let a přistál ve Gdánsku? Možno prý počítati s růz</w:t>
      </w:r>
      <w:r>
        <w:rPr>
          <w:sz w:val="18"/>
          <w:szCs w:val="18"/>
        </w:rPr>
        <w:softHyphen/>
        <w:t>nými eventualitami. Tato návštěva by mohla míti jen ráz slavnostní demonstrace, aby bylo světu dokázáno, že Gdánsko</w:t>
      </w:r>
      <w:r>
        <w:rPr>
          <w:sz w:val="18"/>
          <w:szCs w:val="18"/>
        </w:rPr>
        <w:t xml:space="preserve"> je německým městem. Ale mohlo by také dojiti k proklamaci Spojení Gdánska s Velkým Německem. To by pak mělo za následek určitě ozbrojenou intervenci Polska. Zpravodaj pa</w:t>
      </w:r>
      <w:r>
        <w:rPr>
          <w:sz w:val="18"/>
          <w:szCs w:val="18"/>
        </w:rPr>
        <w:softHyphen/>
        <w:t>řížského listu však sám dodává, že německé kruhy jsou roz</w:t>
      </w:r>
      <w:r>
        <w:rPr>
          <w:sz w:val="18"/>
          <w:szCs w:val="18"/>
        </w:rPr>
        <w:softHyphen/>
        <w:t>hodnuty k jiné politice, ne</w:t>
      </w:r>
      <w:r>
        <w:rPr>
          <w:sz w:val="18"/>
          <w:szCs w:val="18"/>
        </w:rPr>
        <w:t>bof před několika dny prohlás'1 mluvčí říšského ministerstva zahraničních věcí, že gdánská otázka bude upravena podle německých zájmů bez války.</w:t>
      </w:r>
    </w:p>
    <w:p w:rsidR="00500724" w:rsidRDefault="00F30FB8">
      <w:pPr>
        <w:pStyle w:val="Zkladntext1"/>
        <w:shd w:val="clear" w:color="auto" w:fill="auto"/>
        <w:spacing w:line="197" w:lineRule="auto"/>
        <w:ind w:firstLine="240"/>
        <w:rPr>
          <w:sz w:val="18"/>
          <w:szCs w:val="18"/>
        </w:rPr>
      </w:pPr>
      <w:r>
        <w:rPr>
          <w:sz w:val="18"/>
          <w:szCs w:val="18"/>
        </w:rPr>
        <w:t>Ale i toto mírové řešení působí polským kruhům starosti a tak stále uvažují a spekulují, jaký postup Říše zvolí</w:t>
      </w:r>
      <w:r>
        <w:rPr>
          <w:sz w:val="18"/>
          <w:szCs w:val="18"/>
        </w:rPr>
        <w:t>, aby provedla vřadění Gdánska do Velikého Německa přes ne</w:t>
      </w:r>
      <w:r>
        <w:rPr>
          <w:sz w:val="18"/>
          <w:szCs w:val="18"/>
        </w:rPr>
        <w:softHyphen/>
        <w:t>ústupnost Polska a podporu, kterou Polsku dávají jeho spo</w:t>
      </w:r>
      <w:r>
        <w:rPr>
          <w:sz w:val="18"/>
          <w:szCs w:val="18"/>
        </w:rPr>
        <w:softHyphen/>
        <w:t>jenci. Ve Varšavě se nejvíce udržuje názor, že Vůdce a říšeký kancléř Hitler místo vyhlášení přímého návratu svobodného města do Říše učiní</w:t>
      </w:r>
      <w:r>
        <w:rPr>
          <w:sz w:val="18"/>
          <w:szCs w:val="18"/>
        </w:rPr>
        <w:t xml:space="preserve"> prohlášení zásadní, podle něhož se budou moci obyvatelé Gdánska napříště pokládati za občany Velké</w:t>
      </w:r>
      <w:r>
        <w:rPr>
          <w:sz w:val="18"/>
          <w:szCs w:val="18"/>
        </w:rPr>
        <w:softHyphen/>
        <w:t>ho Německa, i když budou žiti mimo politické hranice ně</w:t>
      </w:r>
      <w:r>
        <w:rPr>
          <w:sz w:val="18"/>
          <w:szCs w:val="18"/>
        </w:rPr>
        <w:softHyphen/>
        <w:t>mecké. Výklad tohoto prohlášení bude v praksi ponechán gdánským úřadům, které by potom mohly samy či</w:t>
      </w:r>
      <w:r>
        <w:rPr>
          <w:sz w:val="18"/>
          <w:szCs w:val="18"/>
        </w:rPr>
        <w:t>niti opat</w:t>
      </w:r>
      <w:r>
        <w:rPr>
          <w:sz w:val="18"/>
          <w:szCs w:val="18"/>
        </w:rPr>
        <w:softHyphen/>
        <w:t>ření „vnitřního rázu“ k uskutečnění postupného spojení jako výměnu pasů gdánských za německé, zavedení měny a ně</w:t>
      </w:r>
      <w:r>
        <w:rPr>
          <w:sz w:val="18"/>
          <w:szCs w:val="18"/>
        </w:rPr>
        <w:softHyphen/>
        <w:t>meckých poštovních známek atd? To všecko jsou ovšem jen domněnky — jak dodává zpravodaj „Petit Parisienu“ — ale varšavské kruhy jim v</w:t>
      </w:r>
      <w:r>
        <w:rPr>
          <w:sz w:val="18"/>
          <w:szCs w:val="18"/>
        </w:rPr>
        <w:t>ěnují nyní plnou pozornost“.</w:t>
      </w:r>
    </w:p>
    <w:p w:rsidR="00500724" w:rsidRDefault="00F30FB8">
      <w:pPr>
        <w:pStyle w:val="Zkladntext1"/>
        <w:shd w:val="clear" w:color="auto" w:fill="auto"/>
        <w:spacing w:after="120" w:line="197" w:lineRule="auto"/>
        <w:ind w:firstLine="0"/>
        <w:jc w:val="right"/>
        <w:rPr>
          <w:sz w:val="18"/>
          <w:szCs w:val="18"/>
        </w:rPr>
      </w:pPr>
      <w:r>
        <w:rPr>
          <w:i/>
          <w:iCs/>
          <w:sz w:val="18"/>
          <w:szCs w:val="18"/>
        </w:rPr>
        <w:t>(„Národní listy".)</w:t>
      </w:r>
    </w:p>
    <w:p w:rsidR="00500724" w:rsidRDefault="00F30FB8">
      <w:pPr>
        <w:pStyle w:val="Nadpis120"/>
        <w:shd w:val="clear" w:color="auto" w:fill="auto"/>
        <w:spacing w:after="60"/>
        <w:ind w:left="0"/>
        <w:jc w:val="center"/>
      </w:pPr>
      <w:bookmarkStart w:id="807" w:name="bookmark806"/>
      <w:r>
        <w:t>Proroctví o Gdánsku.</w:t>
      </w:r>
      <w:bookmarkEnd w:id="807"/>
    </w:p>
    <w:p w:rsidR="00500724" w:rsidRDefault="00F30FB8">
      <w:pPr>
        <w:pStyle w:val="Zkladntext1"/>
        <w:shd w:val="clear" w:color="auto" w:fill="auto"/>
        <w:spacing w:after="120" w:line="197" w:lineRule="auto"/>
        <w:ind w:firstLine="240"/>
        <w:rPr>
          <w:sz w:val="18"/>
          <w:szCs w:val="18"/>
        </w:rPr>
      </w:pPr>
      <w:r>
        <w:rPr>
          <w:sz w:val="18"/>
          <w:szCs w:val="18"/>
        </w:rPr>
        <w:t>Pěkný obrázek parlamentarismu a názorné zhodnocení ceny parlamentního systému přineslo poslední předprázdnino- vé zasedání anglické dolní sněmovny. Přinesli jsme již krát</w:t>
      </w:r>
      <w:r>
        <w:rPr>
          <w:sz w:val="18"/>
          <w:szCs w:val="18"/>
        </w:rPr>
        <w:softHyphen/>
        <w:t>kou zprávu o tét</w:t>
      </w:r>
      <w:r>
        <w:rPr>
          <w:sz w:val="18"/>
          <w:szCs w:val="18"/>
        </w:rPr>
        <w:t xml:space="preserve">o schůzi, v níž </w:t>
      </w:r>
      <w:r>
        <w:rPr>
          <w:sz w:val="18"/>
          <w:szCs w:val="18"/>
          <w:lang w:val="en-US" w:eastAsia="en-US" w:bidi="en-US"/>
        </w:rPr>
        <w:t xml:space="preserve">Chamberlain </w:t>
      </w:r>
      <w:r>
        <w:rPr>
          <w:sz w:val="18"/>
          <w:szCs w:val="18"/>
        </w:rPr>
        <w:t>na požadavek oposice, aby sněmovna nebyla odročována až do října, odpo</w:t>
      </w:r>
      <w:r>
        <w:rPr>
          <w:sz w:val="18"/>
          <w:szCs w:val="18"/>
        </w:rPr>
        <w:softHyphen/>
        <w:t xml:space="preserve">věděl, že zasedání sněmovny stejně nemůže nic změnit na událostech: „Připojení Východní marky bylo provedeno v době, kdy dolní sněmovna zasedala, a sněmovna </w:t>
      </w:r>
      <w:r>
        <w:rPr>
          <w:sz w:val="18"/>
          <w:szCs w:val="18"/>
        </w:rPr>
        <w:t>zasedala rovněž ve chvíli německého pochodu do Prahy. Parlament o tom disku</w:t>
      </w:r>
      <w:r>
        <w:rPr>
          <w:sz w:val="18"/>
          <w:szCs w:val="18"/>
        </w:rPr>
        <w:softHyphen/>
        <w:t>toval, ale nezadržel to.“ Nyni přináší „Frankfurter Zeitung“ podrobnou zprávu svého londýnského dopisovatele o debatě, jejímž vyvrcholením právě byla citovaná Chamberlainova řeč. Z</w:t>
      </w:r>
      <w:r>
        <w:rPr>
          <w:sz w:val="18"/>
          <w:szCs w:val="18"/>
        </w:rPr>
        <w:t>ejména ostrá slova pronesl liberál Mander, který přednesl toto satirické proroctví: „Až se parlament rozejde na prázd</w:t>
      </w:r>
      <w:r>
        <w:rPr>
          <w:sz w:val="18"/>
          <w:szCs w:val="18"/>
        </w:rPr>
        <w:softHyphen/>
        <w:t xml:space="preserve">niny, vyjde v „Times“ úvodník — ovšem, vládou nijak ne- autorisovaný —, a v tomto úvodníku se dočteme, že gdánská otázka nestojí za válku </w:t>
      </w:r>
      <w:r>
        <w:rPr>
          <w:sz w:val="18"/>
          <w:szCs w:val="18"/>
        </w:rPr>
        <w:t xml:space="preserve">a že by se mělo raději vyjednávat. Potom bude vyprávěno, že Polsko poprosilo </w:t>
      </w:r>
      <w:r>
        <w:rPr>
          <w:b/>
          <w:bCs/>
        </w:rPr>
        <w:t xml:space="preserve">o </w:t>
      </w:r>
      <w:r>
        <w:rPr>
          <w:sz w:val="18"/>
          <w:szCs w:val="18"/>
        </w:rPr>
        <w:t>vysláni Lorda</w:t>
      </w:r>
    </w:p>
    <w:p w:rsidR="00500724" w:rsidRDefault="00F30FB8">
      <w:pPr>
        <w:pStyle w:val="Zkladntext1"/>
        <w:shd w:val="clear" w:color="auto" w:fill="auto"/>
        <w:tabs>
          <w:tab w:val="left" w:pos="3672"/>
        </w:tabs>
        <w:spacing w:after="180" w:line="197" w:lineRule="auto"/>
        <w:ind w:firstLine="0"/>
        <w:rPr>
          <w:sz w:val="18"/>
          <w:szCs w:val="18"/>
        </w:rPr>
      </w:pPr>
      <w:r>
        <w:rPr>
          <w:sz w:val="18"/>
          <w:szCs w:val="18"/>
        </w:rPr>
        <w:t xml:space="preserve">Buncimana, aby prostředkoval. Den nato přidruží se k němu velvyslanec v Berlíně </w:t>
      </w:r>
      <w:r>
        <w:rPr>
          <w:sz w:val="18"/>
          <w:szCs w:val="18"/>
          <w:lang w:val="en-US" w:eastAsia="en-US" w:bidi="en-US"/>
        </w:rPr>
        <w:t xml:space="preserve">Sir Neville Henderson. </w:t>
      </w:r>
      <w:r>
        <w:rPr>
          <w:sz w:val="18"/>
          <w:szCs w:val="18"/>
        </w:rPr>
        <w:t xml:space="preserve">Také </w:t>
      </w:r>
      <w:r>
        <w:rPr>
          <w:sz w:val="18"/>
          <w:szCs w:val="18"/>
          <w:lang w:val="en-US" w:eastAsia="en-US" w:bidi="en-US"/>
        </w:rPr>
        <w:t xml:space="preserve">Sir Horace </w:t>
      </w:r>
      <w:r>
        <w:rPr>
          <w:sz w:val="18"/>
          <w:szCs w:val="18"/>
        </w:rPr>
        <w:t>Wilson se objeví na scéně. K závěrečné scéně</w:t>
      </w:r>
      <w:r>
        <w:rPr>
          <w:sz w:val="18"/>
          <w:szCs w:val="18"/>
        </w:rPr>
        <w:t xml:space="preserve"> dojde, až do Gdanska odstartuje letadlo s ministerským předsedou, kanclé</w:t>
      </w:r>
      <w:r>
        <w:rPr>
          <w:sz w:val="18"/>
          <w:szCs w:val="18"/>
        </w:rPr>
        <w:softHyphen/>
        <w:t>řem pokladu a ministrem vnitra, zatím co ministr věcí zahra</w:t>
      </w:r>
      <w:r>
        <w:rPr>
          <w:sz w:val="18"/>
          <w:szCs w:val="18"/>
        </w:rPr>
        <w:softHyphen/>
        <w:t xml:space="preserve">ničních bude zanechán ve slatích yorkshireských (kde má </w:t>
      </w:r>
      <w:r>
        <w:rPr>
          <w:sz w:val="18"/>
          <w:szCs w:val="18"/>
          <w:lang w:val="en-US" w:eastAsia="en-US" w:bidi="en-US"/>
        </w:rPr>
        <w:t xml:space="preserve">Halifax </w:t>
      </w:r>
      <w:r>
        <w:rPr>
          <w:sz w:val="18"/>
          <w:szCs w:val="18"/>
        </w:rPr>
        <w:t>letní sídlo).“</w:t>
      </w:r>
      <w:r>
        <w:rPr>
          <w:sz w:val="18"/>
          <w:szCs w:val="18"/>
        </w:rPr>
        <w:tab/>
      </w:r>
      <w:r>
        <w:rPr>
          <w:i/>
          <w:iCs/>
          <w:sz w:val="18"/>
          <w:szCs w:val="18"/>
        </w:rPr>
        <w:t>„Národní prácef</w:t>
      </w:r>
      <w:r>
        <w:rPr>
          <w:i/>
          <w:iCs/>
          <w:sz w:val="18"/>
          <w:szCs w:val="18"/>
          <w:vertAlign w:val="superscript"/>
        </w:rPr>
        <w:t>1</w:t>
      </w:r>
    </w:p>
    <w:p w:rsidR="00500724" w:rsidRDefault="00F30FB8">
      <w:pPr>
        <w:pStyle w:val="Jin0"/>
        <w:shd w:val="clear" w:color="auto" w:fill="auto"/>
        <w:spacing w:after="320"/>
        <w:ind w:firstLine="0"/>
        <w:jc w:val="left"/>
        <w:rPr>
          <w:sz w:val="46"/>
          <w:szCs w:val="46"/>
        </w:rPr>
      </w:pPr>
      <w:r>
        <w:rPr>
          <w:b/>
          <w:bCs/>
          <w:sz w:val="46"/>
          <w:szCs w:val="46"/>
        </w:rPr>
        <w:t>poznámky</w:t>
      </w:r>
    </w:p>
    <w:p w:rsidR="00500724" w:rsidRDefault="00F30FB8">
      <w:pPr>
        <w:pStyle w:val="Nadpis120"/>
        <w:shd w:val="clear" w:color="auto" w:fill="auto"/>
        <w:spacing w:after="120"/>
        <w:ind w:left="0"/>
        <w:jc w:val="center"/>
      </w:pPr>
      <w:bookmarkStart w:id="808" w:name="bookmark807"/>
      <w:r>
        <w:t xml:space="preserve">Jugoslávská </w:t>
      </w:r>
      <w:r>
        <w:t>federace.</w:t>
      </w:r>
      <w:bookmarkEnd w:id="808"/>
    </w:p>
    <w:p w:rsidR="00500724" w:rsidRDefault="00F30FB8">
      <w:pPr>
        <w:pStyle w:val="Zkladntext1"/>
        <w:shd w:val="clear" w:color="auto" w:fill="auto"/>
        <w:spacing w:line="194" w:lineRule="auto"/>
        <w:ind w:firstLine="280"/>
        <w:rPr>
          <w:sz w:val="18"/>
          <w:szCs w:val="18"/>
        </w:rPr>
      </w:pPr>
      <w:r>
        <w:rPr>
          <w:sz w:val="18"/>
          <w:szCs w:val="18"/>
        </w:rPr>
        <w:t>Poslední zprávy mluví znovu o tom, že prý bylo dosaženo dohody mezi Srby a Ghorvaty a že úmluva dra Cvetkoviěe s drem Máčkem čeká už jen na schválení prince vladaře. Ve</w:t>
      </w:r>
      <w:r>
        <w:rPr>
          <w:sz w:val="18"/>
          <w:szCs w:val="18"/>
        </w:rPr>
        <w:softHyphen/>
        <w:t xml:space="preserve">řejnosti nejsou dosud známy ani její hlavní linie; je ovšem prakticky jisto, </w:t>
      </w:r>
      <w:r>
        <w:rPr>
          <w:sz w:val="18"/>
          <w:szCs w:val="18"/>
        </w:rPr>
        <w:t>že podobné dohody by sotva bylo možno do</w:t>
      </w:r>
      <w:r>
        <w:rPr>
          <w:sz w:val="18"/>
          <w:szCs w:val="18"/>
        </w:rPr>
        <w:softHyphen/>
        <w:t>sáhnout na jiném základě nežli federativním.</w:t>
      </w:r>
    </w:p>
    <w:p w:rsidR="00500724" w:rsidRDefault="00F30FB8">
      <w:pPr>
        <w:pStyle w:val="Zkladntext1"/>
        <w:shd w:val="clear" w:color="auto" w:fill="auto"/>
        <w:spacing w:line="194" w:lineRule="auto"/>
        <w:ind w:firstLine="280"/>
        <w:rPr>
          <w:sz w:val="18"/>
          <w:szCs w:val="18"/>
        </w:rPr>
      </w:pPr>
      <w:r>
        <w:rPr>
          <w:sz w:val="18"/>
          <w:szCs w:val="18"/>
        </w:rPr>
        <w:t>Princ Pavel už jednou zamítl plán takové dohody — jak se zachová tentokrát? V r. 1939 se nikdo na světě nemůže klamat o tom, že řešení federativní nemusi být vždycky Zrov</w:t>
      </w:r>
      <w:r>
        <w:rPr>
          <w:sz w:val="18"/>
          <w:szCs w:val="18"/>
        </w:rPr>
        <w:t>na nejspolehlivějším řešením. Na druhé straně roste autonomistická aktivita Chorvátů úměrně se vzrůstem evrop</w:t>
      </w:r>
      <w:r>
        <w:rPr>
          <w:sz w:val="18"/>
          <w:szCs w:val="18"/>
        </w:rPr>
        <w:softHyphen/>
        <w:t>ského napětí a věci dospěly už tak daleko, že dr. Maček pro</w:t>
      </w:r>
      <w:r>
        <w:rPr>
          <w:sz w:val="18"/>
          <w:szCs w:val="18"/>
        </w:rPr>
        <w:softHyphen/>
        <w:t>hlásil zástupci západního tisku: „Za otroctví bojovat ne</w:t>
      </w:r>
      <w:r>
        <w:rPr>
          <w:sz w:val="18"/>
          <w:szCs w:val="18"/>
        </w:rPr>
        <w:softHyphen/>
        <w:t>budeme.“ Koneěně, řeě se mluv</w:t>
      </w:r>
      <w:r>
        <w:rPr>
          <w:sz w:val="18"/>
          <w:szCs w:val="18"/>
        </w:rPr>
        <w:t>í; ale po některých cizích Zkušenostech si dnes v Bělehradě opravdu nemohou být jisti, je-li pro jednotu Jugoslávie nebezpečnější bělehradský cen</w:t>
      </w:r>
      <w:r>
        <w:rPr>
          <w:sz w:val="18"/>
          <w:szCs w:val="18"/>
        </w:rPr>
        <w:softHyphen/>
        <w:t>tralismus nebo chorvatská autonomie.</w:t>
      </w:r>
    </w:p>
    <w:p w:rsidR="00500724" w:rsidRDefault="00F30FB8">
      <w:pPr>
        <w:pStyle w:val="Zkladntext1"/>
        <w:shd w:val="clear" w:color="auto" w:fill="auto"/>
        <w:spacing w:line="194" w:lineRule="auto"/>
        <w:ind w:firstLine="280"/>
        <w:rPr>
          <w:sz w:val="18"/>
          <w:szCs w:val="18"/>
        </w:rPr>
      </w:pPr>
      <w:r>
        <w:rPr>
          <w:sz w:val="18"/>
          <w:szCs w:val="18"/>
        </w:rPr>
        <w:t>A přece Jugoslávie musí řešit svůj národnostní problém. Musí jej řešit tí</w:t>
      </w:r>
      <w:r>
        <w:rPr>
          <w:sz w:val="18"/>
          <w:szCs w:val="18"/>
        </w:rPr>
        <w:t>m nezbytněji, že ze všech těžkých problé</w:t>
      </w:r>
      <w:r>
        <w:rPr>
          <w:sz w:val="18"/>
          <w:szCs w:val="18"/>
        </w:rPr>
        <w:softHyphen/>
        <w:t>mů, které na ni dnes doléhají, je to jediný problém, jejž řešit m ů ž e.</w:t>
      </w:r>
    </w:p>
    <w:p w:rsidR="00500724" w:rsidRDefault="00F30FB8">
      <w:pPr>
        <w:pStyle w:val="Zkladntext1"/>
        <w:shd w:val="clear" w:color="auto" w:fill="auto"/>
        <w:spacing w:line="194" w:lineRule="auto"/>
        <w:ind w:firstLine="280"/>
        <w:rPr>
          <w:sz w:val="18"/>
          <w:szCs w:val="18"/>
        </w:rPr>
      </w:pPr>
      <w:r>
        <w:rPr>
          <w:sz w:val="18"/>
          <w:szCs w:val="18"/>
        </w:rPr>
        <w:t>Její zeměpisný problém je těžko řešitelný u státu bez přirozených hranic s dlouhým nechráněným pobřežím. Hospodářsky je Jugoslávie v slepé uli</w:t>
      </w:r>
      <w:r>
        <w:rPr>
          <w:sz w:val="18"/>
          <w:szCs w:val="18"/>
        </w:rPr>
        <w:t>čce od té doby, co 50 procent jejího zahraničního obchodu se provádí clea</w:t>
      </w:r>
      <w:r>
        <w:rPr>
          <w:sz w:val="18"/>
          <w:szCs w:val="18"/>
        </w:rPr>
        <w:softHyphen/>
        <w:t>ringem. Chudá státní pokladna nemůže rozřešit ani vojen</w:t>
      </w:r>
      <w:r>
        <w:rPr>
          <w:sz w:val="18"/>
          <w:szCs w:val="18"/>
        </w:rPr>
        <w:softHyphen/>
        <w:t>ský problém; tanky a protitanková děla, děla protiletecké obrany lze v jugoslávské armádě dosud spočítat na prstech, moderní p</w:t>
      </w:r>
      <w:r>
        <w:rPr>
          <w:sz w:val="18"/>
          <w:szCs w:val="18"/>
        </w:rPr>
        <w:t>evnostní pásma chybějí úplně.</w:t>
      </w:r>
    </w:p>
    <w:p w:rsidR="00500724" w:rsidRDefault="00F30FB8">
      <w:pPr>
        <w:pStyle w:val="Zkladntext1"/>
        <w:shd w:val="clear" w:color="auto" w:fill="auto"/>
        <w:tabs>
          <w:tab w:val="left" w:pos="4594"/>
        </w:tabs>
        <w:spacing w:after="180" w:line="194" w:lineRule="auto"/>
        <w:ind w:firstLine="280"/>
        <w:rPr>
          <w:sz w:val="18"/>
          <w:szCs w:val="18"/>
        </w:rPr>
      </w:pPr>
      <w:r>
        <w:rPr>
          <w:sz w:val="18"/>
          <w:szCs w:val="18"/>
        </w:rPr>
        <w:t>A tak je prostým příkazem sebezáchovy udržet doma klid za každou cenu. Jedna překážka uklidnění byla už odstra</w:t>
      </w:r>
      <w:r>
        <w:rPr>
          <w:sz w:val="18"/>
          <w:szCs w:val="18"/>
        </w:rPr>
        <w:softHyphen/>
        <w:t>něna spolu s ministerským předsedou Stojadinovičem, jeho svržení otevřelo cestu k možnosti dohody s Chorvaty. V Ju</w:t>
      </w:r>
      <w:r>
        <w:rPr>
          <w:sz w:val="18"/>
          <w:szCs w:val="18"/>
        </w:rPr>
        <w:softHyphen/>
      </w:r>
      <w:r>
        <w:rPr>
          <w:sz w:val="18"/>
          <w:szCs w:val="18"/>
        </w:rPr>
        <w:t>goslávii nežijí však jen Srbové, Chorvati a Slovinei, jsou tu i německé, maďarské a bulharské menšiny. A udržet je v klidu —~ na to u nepříliš silného státu nestačí prostředky vnitřní politiky, to je nejožehavějším úkolem jeho politiky zahranični. Jen ta m</w:t>
      </w:r>
      <w:r>
        <w:rPr>
          <w:sz w:val="18"/>
          <w:szCs w:val="18"/>
        </w:rPr>
        <w:t>ůže zabránit výbuchu propagační války a všem jejím možným důsledkům; neboť za dnešního stavu evropských věcí není prostě v silách žádného státu uspokojit jeho jinonárodní menšiny. Je však možno vyřešit včas vzá</w:t>
      </w:r>
      <w:r>
        <w:rPr>
          <w:sz w:val="18"/>
          <w:szCs w:val="18"/>
        </w:rPr>
        <w:softHyphen/>
        <w:t>jemné vztahy Srbů, Chorvátů a Slovinců; přáli</w:t>
      </w:r>
      <w:r>
        <w:rPr>
          <w:sz w:val="18"/>
          <w:szCs w:val="18"/>
        </w:rPr>
        <w:t xml:space="preserve"> bychom Ju</w:t>
      </w:r>
      <w:r>
        <w:rPr>
          <w:sz w:val="18"/>
          <w:szCs w:val="18"/>
        </w:rPr>
        <w:softHyphen/>
        <w:t>goslávii, aby se jí to podařilo.</w:t>
      </w:r>
      <w:r>
        <w:rPr>
          <w:sz w:val="18"/>
          <w:szCs w:val="18"/>
        </w:rPr>
        <w:tab/>
      </w:r>
      <w:r>
        <w:rPr>
          <w:i/>
          <w:iCs/>
          <w:sz w:val="18"/>
          <w:szCs w:val="18"/>
        </w:rPr>
        <w:t>p. H.</w:t>
      </w:r>
    </w:p>
    <w:p w:rsidR="00500724" w:rsidRDefault="00F30FB8">
      <w:pPr>
        <w:pStyle w:val="Nadpis120"/>
        <w:shd w:val="clear" w:color="auto" w:fill="auto"/>
        <w:spacing w:after="100"/>
        <w:ind w:left="0"/>
        <w:jc w:val="center"/>
      </w:pPr>
      <w:bookmarkStart w:id="809" w:name="bookmark808"/>
      <w:r>
        <w:t>Vrchní velitel Dohody.</w:t>
      </w:r>
      <w:bookmarkEnd w:id="809"/>
    </w:p>
    <w:p w:rsidR="00500724" w:rsidRDefault="00F30FB8">
      <w:pPr>
        <w:pStyle w:val="Zkladntext1"/>
        <w:shd w:val="clear" w:color="auto" w:fill="auto"/>
        <w:spacing w:line="199" w:lineRule="auto"/>
        <w:ind w:firstLine="200"/>
        <w:jc w:val="left"/>
        <w:rPr>
          <w:sz w:val="18"/>
          <w:szCs w:val="18"/>
        </w:rPr>
      </w:pPr>
      <w:r>
        <w:rPr>
          <w:sz w:val="18"/>
          <w:szCs w:val="18"/>
        </w:rPr>
        <w:t>Při slavnostních večerech Comédie Franpaise sedává ve Skryté loži štíhlý, starší muž, jehož ostře a jemně modelovaný profil mohl by patřiti učenci. Sleduje s napjatou pozorností Corne</w:t>
      </w:r>
      <w:r>
        <w:rPr>
          <w:sz w:val="18"/>
          <w:szCs w:val="18"/>
        </w:rPr>
        <w:t>illovy verše, které se dole deklamují na jevišti s klasic</w:t>
      </w:r>
      <w:r>
        <w:rPr>
          <w:sz w:val="18"/>
          <w:szCs w:val="18"/>
        </w:rPr>
        <w:softHyphen/>
        <w:t>kou pathetičností. Tento osamělý muž v lóži Comédie Fran- Caise je generalissimus Francie, generál Gamelin.</w:t>
      </w:r>
    </w:p>
    <w:p w:rsidR="00500724" w:rsidRDefault="00F30FB8">
      <w:pPr>
        <w:pStyle w:val="Zkladntext1"/>
        <w:shd w:val="clear" w:color="auto" w:fill="auto"/>
        <w:spacing w:after="100" w:line="199" w:lineRule="auto"/>
        <w:ind w:firstLine="200"/>
        <w:rPr>
          <w:sz w:val="18"/>
          <w:szCs w:val="18"/>
        </w:rPr>
      </w:pPr>
      <w:r>
        <w:rPr>
          <w:sz w:val="18"/>
          <w:szCs w:val="18"/>
        </w:rPr>
        <w:t>Ještě před hodinou se skláněl nad mapami u velkého stolu v Paláci Invalidů, v tradičním do</w:t>
      </w:r>
      <w:r>
        <w:rPr>
          <w:sz w:val="18"/>
          <w:szCs w:val="18"/>
        </w:rPr>
        <w:t>mě francouzského generál</w:t>
      </w:r>
      <w:r>
        <w:rPr>
          <w:sz w:val="18"/>
          <w:szCs w:val="18"/>
        </w:rPr>
        <w:softHyphen/>
        <w:t>ního štábu. Vysoké místnosti tohoto domu, holé stěny bez ozdob dýchají ovzduším kláštera. Zde se sbíhají všecnny ’titky francouzské domobrany a francouzského generálního. štábu. Generál Gamelin je drží pevně v ruce. Báno v osm hodi</w:t>
      </w:r>
      <w:r>
        <w:rPr>
          <w:sz w:val="18"/>
          <w:szCs w:val="18"/>
        </w:rPr>
        <w:t>n po</w:t>
      </w:r>
      <w:r>
        <w:rPr>
          <w:sz w:val="18"/>
          <w:szCs w:val="18"/>
        </w:rPr>
        <w:softHyphen/>
        <w:t>číná jeho práce, často opouští obrovskou budovu poslední — jen noční hlídky a stráže přecházejí pevnými kroky chodba</w:t>
      </w:r>
      <w:r>
        <w:rPr>
          <w:sz w:val="18"/>
          <w:szCs w:val="18"/>
        </w:rPr>
        <w:softHyphen/>
        <w:t>mi, plnými ozvěny. Gamelin je velký pracovník, největší ze všech v tomto velikém domě, hemžícím se velkými pracovní</w:t>
      </w:r>
      <w:r>
        <w:rPr>
          <w:sz w:val="18"/>
          <w:szCs w:val="18"/>
        </w:rPr>
        <w:softHyphen/>
        <w:t>ky. Nikdy neustává</w:t>
      </w:r>
      <w:r>
        <w:rPr>
          <w:sz w:val="18"/>
          <w:szCs w:val="18"/>
        </w:rPr>
        <w:t xml:space="preserve"> s prací před osmou hodinou večerní. Vět</w:t>
      </w:r>
      <w:r>
        <w:rPr>
          <w:sz w:val="18"/>
          <w:szCs w:val="18"/>
        </w:rPr>
        <w:softHyphen/>
        <w:t>šinou si popřává za celý rok jenom několik dnů osvěžení. TT svého mohutného psacího stolu přijal i za světové výstavy pařížské svého německého kolegu, generála Bečka.</w:t>
      </w:r>
    </w:p>
    <w:p w:rsidR="00500724" w:rsidRDefault="00F30FB8">
      <w:pPr>
        <w:pStyle w:val="Zkladntext1"/>
        <w:shd w:val="clear" w:color="auto" w:fill="auto"/>
        <w:spacing w:line="199" w:lineRule="auto"/>
        <w:ind w:firstLine="280"/>
        <w:rPr>
          <w:sz w:val="18"/>
          <w:szCs w:val="18"/>
        </w:rPr>
      </w:pPr>
      <w:r>
        <w:rPr>
          <w:sz w:val="18"/>
          <w:szCs w:val="18"/>
        </w:rPr>
        <w:t>Vojenský vzestup dnešního nejvyššího vojáka fran</w:t>
      </w:r>
      <w:r>
        <w:rPr>
          <w:sz w:val="18"/>
          <w:szCs w:val="18"/>
        </w:rPr>
        <w:t>couzské armády má dva zřetelné úseky. První končí pádem generála Joffra, jenž byl jeho velikým příznivcem. Od r. 1902 do r. 1901 pracoval jako kapitán generálního štábu 15. armádního sbo</w:t>
      </w:r>
      <w:r>
        <w:rPr>
          <w:sz w:val="18"/>
          <w:szCs w:val="18"/>
        </w:rPr>
        <w:softHyphen/>
        <w:t xml:space="preserve">ru. B. 1906 stal se velitelem roty loveckého praporu. Tam ho objevil </w:t>
      </w:r>
      <w:r>
        <w:rPr>
          <w:sz w:val="18"/>
          <w:szCs w:val="18"/>
        </w:rPr>
        <w:t>Joffre. Od r. 1906 až do začátku války byl stále ve štábu tohoto nejznámějšího francouzského stratéga první vá</w:t>
      </w:r>
      <w:r>
        <w:rPr>
          <w:sz w:val="18"/>
          <w:szCs w:val="18"/>
        </w:rPr>
        <w:softHyphen/>
        <w:t>lečné doby. Šel s ním od počátku války do operačního oddě</w:t>
      </w:r>
      <w:r>
        <w:rPr>
          <w:sz w:val="18"/>
          <w:szCs w:val="18"/>
        </w:rPr>
        <w:softHyphen/>
        <w:t>lení vrchního velitelství. Prvního listopadu r. 1914 byl jmeno</w:t>
      </w:r>
      <w:r>
        <w:rPr>
          <w:sz w:val="18"/>
          <w:szCs w:val="18"/>
        </w:rPr>
        <w:softHyphen/>
        <w:t>ván plukovníkem. Joffrův</w:t>
      </w:r>
      <w:r>
        <w:rPr>
          <w:sz w:val="18"/>
          <w:szCs w:val="18"/>
        </w:rPr>
        <w:t xml:space="preserve"> pád přivedl štábního důstojníka na frontu.</w:t>
      </w:r>
    </w:p>
    <w:p w:rsidR="00500724" w:rsidRDefault="00F30FB8">
      <w:pPr>
        <w:pStyle w:val="Zkladntext1"/>
        <w:shd w:val="clear" w:color="auto" w:fill="auto"/>
        <w:spacing w:line="199" w:lineRule="auto"/>
        <w:ind w:firstLine="280"/>
        <w:rPr>
          <w:sz w:val="18"/>
          <w:szCs w:val="18"/>
        </w:rPr>
      </w:pPr>
      <w:r>
        <w:rPr>
          <w:sz w:val="18"/>
          <w:szCs w:val="18"/>
        </w:rPr>
        <w:t>Druhá část jeho kariéry začíná vojensko-diplomatickým posláním. B. 1919 byl poslán jako šéf francouzské vojenské mise do Brazílie. Skutečný jeho vzestup začíná teprve roku 1926 po návratu a v poměrně krátké době,</w:t>
      </w:r>
      <w:r>
        <w:rPr>
          <w:sz w:val="18"/>
          <w:szCs w:val="18"/>
        </w:rPr>
        <w:t xml:space="preserve"> po pensionování Weyganda přivádí ho v čelo francouzského vojska. V hodnosti divisního generála stává se po návratu z Brazílie velitelem francouzské armády v Sýrii a šťastně vede tažení proti Dru- zům. Vyznamenává se nejen vojenskými výkony, ale také po</w:t>
      </w:r>
      <w:r>
        <w:rPr>
          <w:sz w:val="18"/>
          <w:szCs w:val="18"/>
        </w:rPr>
        <w:softHyphen/>
        <w:t>li</w:t>
      </w:r>
      <w:r>
        <w:rPr>
          <w:sz w:val="18"/>
          <w:szCs w:val="18"/>
        </w:rPr>
        <w:t xml:space="preserve">tickou obratností. Pak se stává velitelem 20. armádního sboru v </w:t>
      </w:r>
      <w:r>
        <w:rPr>
          <w:sz w:val="18"/>
          <w:szCs w:val="18"/>
          <w:lang w:val="en-US" w:eastAsia="en-US" w:bidi="en-US"/>
        </w:rPr>
        <w:t xml:space="preserve">Nancy, </w:t>
      </w:r>
      <w:r>
        <w:rPr>
          <w:sz w:val="18"/>
          <w:szCs w:val="18"/>
        </w:rPr>
        <w:t>rok potom je už generálem vrchním ubyto</w:t>
      </w:r>
      <w:r>
        <w:rPr>
          <w:sz w:val="18"/>
          <w:szCs w:val="18"/>
        </w:rPr>
        <w:softHyphen/>
        <w:t>vatelem a zase po roce náčelníkem hlavního štábu francouz</w:t>
      </w:r>
      <w:r>
        <w:rPr>
          <w:sz w:val="18"/>
          <w:szCs w:val="18"/>
        </w:rPr>
        <w:softHyphen/>
        <w:t>ské armády.</w:t>
      </w:r>
    </w:p>
    <w:p w:rsidR="00500724" w:rsidRDefault="00F30FB8">
      <w:pPr>
        <w:pStyle w:val="Zkladntext1"/>
        <w:shd w:val="clear" w:color="auto" w:fill="auto"/>
        <w:spacing w:line="199" w:lineRule="auto"/>
        <w:ind w:firstLine="280"/>
        <w:rPr>
          <w:sz w:val="18"/>
          <w:szCs w:val="18"/>
        </w:rPr>
      </w:pPr>
      <w:r>
        <w:rPr>
          <w:sz w:val="18"/>
          <w:szCs w:val="18"/>
        </w:rPr>
        <w:t>Jednou poskytl Gamelin interview francouzskému žurna</w:t>
      </w:r>
      <w:r>
        <w:rPr>
          <w:sz w:val="18"/>
          <w:szCs w:val="18"/>
        </w:rPr>
        <w:softHyphen/>
        <w:t>listovi. Žurnalista se</w:t>
      </w:r>
      <w:r>
        <w:rPr>
          <w:sz w:val="18"/>
          <w:szCs w:val="18"/>
        </w:rPr>
        <w:t xml:space="preserve"> ho otázal, který z jeho četných vojen</w:t>
      </w:r>
      <w:r>
        <w:rPr>
          <w:sz w:val="18"/>
          <w:szCs w:val="18"/>
        </w:rPr>
        <w:softHyphen/>
        <w:t>ských výkonů je mu nejmilejší. Odpověď na tuto otázku byla ryze vojácká: „Le commandement,“ řekl; „je omyl domnívati se, že činnost v hlavním štábu je zvlášť přitažlivá pro důstoj</w:t>
      </w:r>
      <w:r>
        <w:rPr>
          <w:sz w:val="18"/>
          <w:szCs w:val="18"/>
        </w:rPr>
        <w:softHyphen/>
        <w:t>níka. Co vězí v muži, to se objeví te</w:t>
      </w:r>
      <w:r>
        <w:rPr>
          <w:sz w:val="18"/>
          <w:szCs w:val="18"/>
        </w:rPr>
        <w:t>prve, když velí oddílu. Byl jsem nejvíce šťasten, když jsem stál na opuštěném místě vzdálen civilisovanému světu. Hory, poušť, moře přitahují mne právě tak, jako nekonečno. Jsou nepřátelské slabochům a pro silné povahy jsou vzpruhou a vzněcují je.“</w:t>
      </w:r>
    </w:p>
    <w:p w:rsidR="00500724" w:rsidRDefault="00F30FB8">
      <w:pPr>
        <w:pStyle w:val="Zkladntext1"/>
        <w:shd w:val="clear" w:color="auto" w:fill="auto"/>
        <w:tabs>
          <w:tab w:val="left" w:pos="3514"/>
        </w:tabs>
        <w:spacing w:after="120" w:line="199" w:lineRule="auto"/>
        <w:ind w:firstLine="280"/>
        <w:rPr>
          <w:sz w:val="18"/>
          <w:szCs w:val="18"/>
        </w:rPr>
      </w:pPr>
      <w:r>
        <w:rPr>
          <w:sz w:val="18"/>
          <w:szCs w:val="18"/>
        </w:rPr>
        <w:t xml:space="preserve">Tentýž </w:t>
      </w:r>
      <w:r>
        <w:rPr>
          <w:sz w:val="18"/>
          <w:szCs w:val="18"/>
        </w:rPr>
        <w:t xml:space="preserve">Gamelin, který formuloval tyto krásné, mužné věty, patří k obvyklému typu francouzských důstojníků, kteří se v soukromí hodně zabývají problémy umění a filosofie. Jeho soukromá knihovna by mohla patřit filosofovi. Jeho zamilo. vánými spisovateli jsou </w:t>
      </w:r>
      <w:r>
        <w:rPr>
          <w:sz w:val="18"/>
          <w:szCs w:val="18"/>
          <w:lang w:val="en-US" w:eastAsia="en-US" w:bidi="en-US"/>
        </w:rPr>
        <w:t>Desca</w:t>
      </w:r>
      <w:r>
        <w:rPr>
          <w:sz w:val="18"/>
          <w:szCs w:val="18"/>
          <w:lang w:val="en-US" w:eastAsia="en-US" w:bidi="en-US"/>
        </w:rPr>
        <w:t xml:space="preserve">rtes, </w:t>
      </w:r>
      <w:r>
        <w:rPr>
          <w:sz w:val="18"/>
          <w:szCs w:val="18"/>
        </w:rPr>
        <w:t>Pascal a Kant. V řídkých volných chvílích vždy znovu studuje spisy těchto filosofů, je kromě toho jemným znalcem francouzského impresionismu a obdivovatel divadla.</w:t>
      </w:r>
      <w:r>
        <w:rPr>
          <w:sz w:val="18"/>
          <w:szCs w:val="18"/>
        </w:rPr>
        <w:tab/>
      </w:r>
      <w:r>
        <w:rPr>
          <w:i/>
          <w:iCs/>
          <w:sz w:val="18"/>
          <w:szCs w:val="18"/>
        </w:rPr>
        <w:t xml:space="preserve">(„Der neue </w:t>
      </w:r>
      <w:r>
        <w:rPr>
          <w:i/>
          <w:iCs/>
          <w:sz w:val="18"/>
          <w:szCs w:val="18"/>
          <w:lang w:val="en-US" w:eastAsia="en-US" w:bidi="en-US"/>
        </w:rPr>
        <w:t>Tag“.)</w:t>
      </w:r>
    </w:p>
    <w:p w:rsidR="00500724" w:rsidRDefault="00F30FB8">
      <w:pPr>
        <w:pStyle w:val="Nadpis120"/>
        <w:shd w:val="clear" w:color="auto" w:fill="auto"/>
        <w:spacing w:after="100"/>
        <w:ind w:left="0"/>
        <w:jc w:val="center"/>
      </w:pPr>
      <w:bookmarkStart w:id="810" w:name="bookmark809"/>
      <w:r>
        <w:t>Organisace a duch.</w:t>
      </w:r>
      <w:bookmarkEnd w:id="810"/>
    </w:p>
    <w:p w:rsidR="00500724" w:rsidRDefault="00F30FB8">
      <w:pPr>
        <w:pStyle w:val="Zkladntext1"/>
        <w:shd w:val="clear" w:color="auto" w:fill="auto"/>
        <w:spacing w:line="197" w:lineRule="auto"/>
        <w:ind w:firstLine="280"/>
        <w:rPr>
          <w:sz w:val="18"/>
          <w:szCs w:val="18"/>
        </w:rPr>
      </w:pPr>
      <w:r>
        <w:rPr>
          <w:sz w:val="18"/>
          <w:szCs w:val="18"/>
        </w:rPr>
        <w:t xml:space="preserve">Politické strany u nás likvidovaly a vše se </w:t>
      </w:r>
      <w:r>
        <w:rPr>
          <w:sz w:val="18"/>
          <w:szCs w:val="18"/>
        </w:rPr>
        <w:t>soustředilo do jednoho politického hnutí. Je přirozeno, že to mělo a má vliv i na jiné obory národni a veřejné práce. Někde toto sjedno</w:t>
      </w:r>
      <w:r>
        <w:rPr>
          <w:sz w:val="18"/>
          <w:szCs w:val="18"/>
        </w:rPr>
        <w:softHyphen/>
        <w:t>cování se může opřít o dřívější již pokusy a snahy. Už dříve — z těch či oněch důvodů — se uvažovalo o větších blocích a</w:t>
      </w:r>
      <w:r>
        <w:rPr>
          <w:sz w:val="18"/>
          <w:szCs w:val="18"/>
        </w:rPr>
        <w:t>td.</w:t>
      </w:r>
    </w:p>
    <w:p w:rsidR="00500724" w:rsidRDefault="00F30FB8">
      <w:pPr>
        <w:pStyle w:val="Zkladntext1"/>
        <w:shd w:val="clear" w:color="auto" w:fill="auto"/>
        <w:spacing w:line="197" w:lineRule="auto"/>
        <w:ind w:firstLine="280"/>
        <w:rPr>
          <w:sz w:val="18"/>
          <w:szCs w:val="18"/>
        </w:rPr>
      </w:pPr>
      <w:r>
        <w:rPr>
          <w:sz w:val="18"/>
          <w:szCs w:val="18"/>
        </w:rPr>
        <w:t>Někde však bude nutno s tímto sjednocováním zacházet velmi opatrně a jemně. To platí zejména o poli kulturní práce. Jistě: v jednotě je síla. Ale kultura je mnohotvárnost obsahová i výrazová. Kultura je pole, kde mechanické sjedno</w:t>
      </w:r>
      <w:r>
        <w:rPr>
          <w:sz w:val="18"/>
          <w:szCs w:val="18"/>
        </w:rPr>
        <w:softHyphen/>
        <w:t>cování by nerozmnožil</w:t>
      </w:r>
      <w:r>
        <w:rPr>
          <w:sz w:val="18"/>
          <w:szCs w:val="18"/>
        </w:rPr>
        <w:t>o a nepodnítilo tvořivé síly. Naopak.</w:t>
      </w:r>
    </w:p>
    <w:p w:rsidR="00500724" w:rsidRDefault="00F30FB8">
      <w:pPr>
        <w:pStyle w:val="Zkladntext1"/>
        <w:shd w:val="clear" w:color="auto" w:fill="auto"/>
        <w:spacing w:line="197" w:lineRule="auto"/>
        <w:ind w:firstLine="280"/>
        <w:rPr>
          <w:sz w:val="18"/>
          <w:szCs w:val="18"/>
        </w:rPr>
      </w:pPr>
      <w:r>
        <w:rPr>
          <w:sz w:val="18"/>
          <w:szCs w:val="18"/>
        </w:rPr>
        <w:t>Mechanická redukce tisku by snad splnila přání některých podniků, ale nezvýšila by účinek tištěného slova a nevyřešila by krisi denního tisku. Totéž, měrou ještě větší, platí o slu</w:t>
      </w:r>
      <w:r>
        <w:rPr>
          <w:sz w:val="18"/>
          <w:szCs w:val="18"/>
        </w:rPr>
        <w:softHyphen/>
        <w:t>čování a redukci různých týdeníků, re</w:t>
      </w:r>
      <w:r>
        <w:rPr>
          <w:sz w:val="18"/>
          <w:szCs w:val="18"/>
        </w:rPr>
        <w:t xml:space="preserve">vuí </w:t>
      </w:r>
      <w:r>
        <w:rPr>
          <w:i/>
          <w:iCs/>
          <w:sz w:val="18"/>
          <w:szCs w:val="18"/>
        </w:rPr>
        <w:t>a</w:t>
      </w:r>
      <w:r>
        <w:rPr>
          <w:sz w:val="18"/>
          <w:szCs w:val="18"/>
        </w:rPr>
        <w:t xml:space="preserve"> měsíčníků. Také jednotlivé kulturní organisace a instituce nelze jen tak likvi</w:t>
      </w:r>
      <w:r>
        <w:rPr>
          <w:sz w:val="18"/>
          <w:szCs w:val="18"/>
        </w:rPr>
        <w:softHyphen/>
        <w:t>dovat: nesmíme podtínat to, co bylo vykonáno. Organisace může tvořit vnější a hmotné předpoklady pro kulturní práci. Tu je před námi velký kus práce (hmotné zajištění tisk</w:t>
      </w:r>
      <w:r>
        <w:rPr>
          <w:sz w:val="18"/>
          <w:szCs w:val="18"/>
        </w:rPr>
        <w:t>u, hmotné zajištění umělců a j.).</w:t>
      </w:r>
    </w:p>
    <w:p w:rsidR="00500724" w:rsidRDefault="00F30FB8">
      <w:pPr>
        <w:pStyle w:val="Zkladntext1"/>
        <w:shd w:val="clear" w:color="auto" w:fill="auto"/>
        <w:tabs>
          <w:tab w:val="left" w:pos="4608"/>
        </w:tabs>
        <w:spacing w:after="120" w:line="197" w:lineRule="auto"/>
        <w:ind w:firstLine="280"/>
        <w:rPr>
          <w:sz w:val="18"/>
          <w:szCs w:val="18"/>
        </w:rPr>
      </w:pPr>
      <w:r>
        <w:rPr>
          <w:sz w:val="18"/>
          <w:szCs w:val="18"/>
        </w:rPr>
        <w:t>Vlastní tvořivá práce? Je to jako v knihovně. Vezměte si knížky českých spisovatelů z kterékoli doby. Bozcházejí se v námětech, formě a podání. Ale přes to je spojuje jednotná myšlenka. Ta není věcí (jen) organisace. Organ</w:t>
      </w:r>
      <w:r>
        <w:rPr>
          <w:sz w:val="18"/>
          <w:szCs w:val="18"/>
        </w:rPr>
        <w:t>isace je jenom jedním prvkem, který se nesmí křížit s jinými.</w:t>
      </w:r>
      <w:r>
        <w:rPr>
          <w:sz w:val="18"/>
          <w:szCs w:val="18"/>
        </w:rPr>
        <w:tab/>
        <w:t xml:space="preserve">V. </w:t>
      </w:r>
      <w:r>
        <w:rPr>
          <w:i/>
          <w:iCs/>
          <w:sz w:val="18"/>
          <w:szCs w:val="18"/>
        </w:rPr>
        <w:t>G.</w:t>
      </w:r>
    </w:p>
    <w:p w:rsidR="00500724" w:rsidRDefault="00F30FB8">
      <w:pPr>
        <w:pStyle w:val="Nadpis120"/>
        <w:shd w:val="clear" w:color="auto" w:fill="auto"/>
        <w:spacing w:after="100"/>
        <w:ind w:left="0"/>
        <w:jc w:val="center"/>
      </w:pPr>
      <w:bookmarkStart w:id="811" w:name="bookmark810"/>
      <w:r>
        <w:t>Podivné zábavičky.</w:t>
      </w:r>
      <w:bookmarkEnd w:id="811"/>
    </w:p>
    <w:p w:rsidR="00500724" w:rsidRDefault="00F30FB8">
      <w:pPr>
        <w:pStyle w:val="Zkladntext1"/>
        <w:shd w:val="clear" w:color="auto" w:fill="auto"/>
        <w:spacing w:after="120" w:line="199" w:lineRule="auto"/>
        <w:ind w:firstLine="200"/>
        <w:rPr>
          <w:sz w:val="18"/>
          <w:szCs w:val="18"/>
        </w:rPr>
      </w:pPr>
      <w:r>
        <w:rPr>
          <w:sz w:val="18"/>
          <w:szCs w:val="18"/>
        </w:rPr>
        <w:t>Sotva státní president z popudu Národního souručenství zřídil Národní soud, aby věcně a svědomitě a nedemagogic- ky před tribunálem soudců z povolání byly prozkoumány ma</w:t>
      </w:r>
      <w:r>
        <w:rPr>
          <w:sz w:val="18"/>
          <w:szCs w:val="18"/>
        </w:rPr>
        <w:softHyphen/>
        <w:t>jetkové poměry českých politiků, už zase ti, kdo nejvíce a nejhlasitěji po vyšetření všech těch věcí volali, protestují proti úpravě řízení před Národním soudem, a už zase po</w:t>
      </w:r>
      <w:r>
        <w:rPr>
          <w:sz w:val="18"/>
          <w:szCs w:val="18"/>
        </w:rPr>
        <w:softHyphen/>
        <w:t>dezíravě hovoří a píší o těch, jež státní president pověřil k úkolu a poslání ta</w:t>
      </w:r>
      <w:r>
        <w:rPr>
          <w:sz w:val="18"/>
          <w:szCs w:val="18"/>
        </w:rPr>
        <w:t>k odpovědnému. Že prý by nejprve mělo býti zkoumáno, zda soudci, presidentem vybraní, nedostali se svého času k nejvyšším soudním tribunálům vlivem stranic</w:t>
      </w:r>
      <w:r>
        <w:rPr>
          <w:sz w:val="18"/>
          <w:szCs w:val="18"/>
        </w:rPr>
        <w:softHyphen/>
        <w:t>kým, židovským, rotaryánským nebo zednářským, že prý vedle nich měli by býti přibráni soudcové z lid</w:t>
      </w:r>
      <w:r>
        <w:rPr>
          <w:sz w:val="18"/>
          <w:szCs w:val="18"/>
        </w:rPr>
        <w:t>u (proto asi se tak dlouho volalo po vládě odborníků!), a že prý i úřad říšského protektora měl by býti svými funkcionáři u Ná</w:t>
      </w:r>
      <w:r>
        <w:rPr>
          <w:sz w:val="18"/>
          <w:szCs w:val="18"/>
        </w:rPr>
        <w:softHyphen/>
        <w:t>rodního soudu zastoupen. Tak tedy již předem je znovu otřá</w:t>
      </w:r>
      <w:r>
        <w:rPr>
          <w:sz w:val="18"/>
          <w:szCs w:val="18"/>
        </w:rPr>
        <w:softHyphen/>
        <w:t xml:space="preserve">sáno důvěrou k rozsudkům sotva ustanoveného tribunálu, tak je veřejně </w:t>
      </w:r>
      <w:r>
        <w:rPr>
          <w:sz w:val="18"/>
          <w:szCs w:val="18"/>
        </w:rPr>
        <w:t>pochybováno o soudcovské nestrannosti v našich zemích a o kvalitě členů nejvyšších soudních tribunálů, a tak lidé, česky hovořící a píšící, sami spontánně žádají další omezení české samosprávy. Nebojí se ti, kdo se tak syste</w:t>
      </w:r>
      <w:r>
        <w:rPr>
          <w:sz w:val="18"/>
          <w:szCs w:val="18"/>
        </w:rPr>
        <w:softHyphen/>
        <w:t>maticky a důsledně pokoušejí pr</w:t>
      </w:r>
      <w:r>
        <w:rPr>
          <w:sz w:val="18"/>
          <w:szCs w:val="18"/>
        </w:rPr>
        <w:t>olomit železnou českou ná</w:t>
      </w:r>
      <w:r>
        <w:rPr>
          <w:sz w:val="18"/>
          <w:szCs w:val="18"/>
        </w:rPr>
        <w:softHyphen/>
        <w:t xml:space="preserve">rodní pospolitost, že i oni, jejich mravní charakter, jejich motivy, jejich pohnutky, přijdou před neúprosný soud dějin? Takoví Češi Němcům dobře imponovat nemohou. </w:t>
      </w:r>
      <w:r>
        <w:rPr>
          <w:i/>
          <w:iCs/>
          <w:sz w:val="18"/>
          <w:szCs w:val="18"/>
        </w:rPr>
        <w:t>J. Zhor.</w:t>
      </w:r>
    </w:p>
    <w:p w:rsidR="00500724" w:rsidRDefault="00F30FB8">
      <w:pPr>
        <w:pStyle w:val="Nadpis120"/>
        <w:shd w:val="clear" w:color="auto" w:fill="auto"/>
        <w:spacing w:after="120"/>
        <w:ind w:left="0"/>
        <w:jc w:val="center"/>
      </w:pPr>
      <w:bookmarkStart w:id="812" w:name="bookmark811"/>
      <w:r>
        <w:t>Universitní a vědecká čtvrt v Praze!</w:t>
      </w:r>
      <w:bookmarkEnd w:id="812"/>
    </w:p>
    <w:p w:rsidR="00500724" w:rsidRDefault="00F30FB8">
      <w:pPr>
        <w:pStyle w:val="Zkladntext1"/>
        <w:shd w:val="clear" w:color="auto" w:fill="auto"/>
        <w:spacing w:line="197" w:lineRule="auto"/>
        <w:ind w:firstLine="260"/>
        <w:rPr>
          <w:sz w:val="18"/>
          <w:szCs w:val="18"/>
        </w:rPr>
      </w:pPr>
      <w:r>
        <w:rPr>
          <w:sz w:val="18"/>
          <w:szCs w:val="18"/>
        </w:rPr>
        <w:t>Z denního tisku jsm</w:t>
      </w:r>
      <w:r>
        <w:rPr>
          <w:sz w:val="18"/>
          <w:szCs w:val="18"/>
        </w:rPr>
        <w:t>e se dozvěděli, že se má stavět nová budova Národního musea na Výstavišti, a sice pro část pří</w:t>
      </w:r>
      <w:r>
        <w:rPr>
          <w:sz w:val="18"/>
          <w:szCs w:val="18"/>
        </w:rPr>
        <w:softHyphen/>
        <w:t>rodopisnou. V nedávném čísle „Přítomnosti“ napsal J. Havlí</w:t>
      </w:r>
      <w:r>
        <w:rPr>
          <w:sz w:val="18"/>
          <w:szCs w:val="18"/>
        </w:rPr>
        <w:softHyphen/>
        <w:t>ček několik úvah o tomto projektu a na konec se přimlouvá o jednotné řešení velké vědecké čtvrti, zahr</w:t>
      </w:r>
      <w:r>
        <w:rPr>
          <w:sz w:val="18"/>
          <w:szCs w:val="18"/>
        </w:rPr>
        <w:t>nující fakultu lé</w:t>
      </w:r>
      <w:r>
        <w:rPr>
          <w:sz w:val="18"/>
          <w:szCs w:val="18"/>
        </w:rPr>
        <w:softHyphen/>
        <w:t>kařskou, přírodovědeckou a příbuzné ústavy (museum příro</w:t>
      </w:r>
      <w:r>
        <w:rPr>
          <w:sz w:val="18"/>
          <w:szCs w:val="18"/>
        </w:rPr>
        <w:softHyphen/>
        <w:t>dopisné a j.) v oblasti od Karlova náměstí až k nuselskému údolí a kostela u Karlova. K jeho návrhu připojuji několik poznámek. Je jedině správné, když se universitní a vůbec vědeck</w:t>
      </w:r>
      <w:r>
        <w:rPr>
          <w:sz w:val="18"/>
          <w:szCs w:val="18"/>
        </w:rPr>
        <w:t>é ústavy řeší tak, aby ležely co možná blízko sebe, nejlépe když tvoří celou jednotně řešenou čtvrť. Všude v ci</w:t>
      </w:r>
      <w:r>
        <w:rPr>
          <w:sz w:val="18"/>
          <w:szCs w:val="18"/>
        </w:rPr>
        <w:softHyphen/>
        <w:t>zině byla již před válkou tato tendence plně propagována a zejména Po válce vznikaly uprostřed zeleně celé universitní a vědecké čtvrti (Rím, Ma</w:t>
      </w:r>
      <w:r>
        <w:rPr>
          <w:sz w:val="18"/>
          <w:szCs w:val="18"/>
        </w:rPr>
        <w:t xml:space="preserve">drid, </w:t>
      </w:r>
      <w:r>
        <w:rPr>
          <w:sz w:val="18"/>
          <w:szCs w:val="18"/>
          <w:lang w:val="en-US" w:eastAsia="en-US" w:bidi="en-US"/>
        </w:rPr>
        <w:t xml:space="preserve">Berlin </w:t>
      </w:r>
      <w:r>
        <w:rPr>
          <w:sz w:val="18"/>
          <w:szCs w:val="18"/>
        </w:rPr>
        <w:t xml:space="preserve">a j.). Bohužel jsme se v Praze nedostali k tak velkorysému řešení, ač jsme k němu měli velmi příznivé předpoklady právě na Albertově, XT Karlova a kolem Karlova náměstí, kde mohla vzniknout vzorná čtvrť. Dnes máme v Praze zhruba </w:t>
      </w:r>
      <w:r>
        <w:rPr>
          <w:b/>
          <w:bCs/>
          <w:sz w:val="18"/>
          <w:szCs w:val="18"/>
        </w:rPr>
        <w:t xml:space="preserve">4 </w:t>
      </w:r>
      <w:r>
        <w:rPr>
          <w:sz w:val="18"/>
          <w:szCs w:val="18"/>
        </w:rPr>
        <w:t>centra: 1. F</w:t>
      </w:r>
      <w:r>
        <w:rPr>
          <w:sz w:val="18"/>
          <w:szCs w:val="18"/>
        </w:rPr>
        <w:t>ilo</w:t>
      </w:r>
      <w:r>
        <w:rPr>
          <w:sz w:val="18"/>
          <w:szCs w:val="18"/>
        </w:rPr>
        <w:softHyphen/>
        <w:t>sofická a právnická fakulta a Akademie výtvarných umění jsou poblíž Klementina, kde jsou také soustředěny knihovny universitní, technická a knihovny České akademie věd a umění a Král. čes. spol. nauk. 2. Technika je roztržena na dva kusy, fakulta zeměd</w:t>
      </w:r>
      <w:r>
        <w:rPr>
          <w:sz w:val="18"/>
          <w:szCs w:val="18"/>
        </w:rPr>
        <w:t>ělská, chemická a stavitelství je v Dejvicích v nových budovách přepychového vzhledu.</w:t>
      </w:r>
    </w:p>
    <w:p w:rsidR="00500724" w:rsidRDefault="00F30FB8">
      <w:pPr>
        <w:pStyle w:val="Zkladntext1"/>
        <w:shd w:val="clear" w:color="auto" w:fill="auto"/>
        <w:tabs>
          <w:tab w:val="left" w:pos="279"/>
        </w:tabs>
        <w:spacing w:line="197" w:lineRule="auto"/>
        <w:ind w:firstLine="0"/>
        <w:rPr>
          <w:sz w:val="18"/>
          <w:szCs w:val="18"/>
        </w:rPr>
      </w:pPr>
      <w:r>
        <w:rPr>
          <w:sz w:val="18"/>
          <w:szCs w:val="18"/>
        </w:rPr>
        <w:t>S.</w:t>
      </w:r>
      <w:r>
        <w:rPr>
          <w:sz w:val="18"/>
          <w:szCs w:val="18"/>
        </w:rPr>
        <w:tab/>
      </w:r>
      <w:r>
        <w:rPr>
          <w:sz w:val="18"/>
          <w:szCs w:val="18"/>
        </w:rPr>
        <w:t>Ostatní obory (strojnictví elektrotechnika a j.) zbyly ve staré budově na Karlově náměstí a v několika ještě starších nájemných domech. (Snad by bylo aspoň teď možno získati pro zbylou techniku budovy v Dejvicích po vojenských úřadech a soustřediti aspoň t</w:t>
      </w:r>
      <w:r>
        <w:rPr>
          <w:sz w:val="18"/>
          <w:szCs w:val="18"/>
        </w:rPr>
        <w:t xml:space="preserve">echniku na jedno místo.) </w:t>
      </w:r>
      <w:r>
        <w:rPr>
          <w:b/>
          <w:bCs/>
          <w:sz w:val="18"/>
          <w:szCs w:val="18"/>
        </w:rPr>
        <w:t>4. lé</w:t>
      </w:r>
      <w:r>
        <w:rPr>
          <w:b/>
          <w:bCs/>
          <w:sz w:val="18"/>
          <w:szCs w:val="18"/>
        </w:rPr>
        <w:softHyphen/>
      </w:r>
      <w:r>
        <w:rPr>
          <w:sz w:val="18"/>
          <w:szCs w:val="18"/>
        </w:rPr>
        <w:t>kařská a přírodovědecká fakulta je soustředěna na Alber</w:t>
      </w:r>
      <w:r>
        <w:rPr>
          <w:sz w:val="18"/>
          <w:szCs w:val="18"/>
        </w:rPr>
        <w:softHyphen/>
        <w:t>tově, TJ Karlova a na pozemcích dávno již nevyhovu</w:t>
      </w:r>
      <w:r>
        <w:rPr>
          <w:sz w:val="18"/>
          <w:szCs w:val="18"/>
        </w:rPr>
        <w:softHyphen/>
        <w:t>jící Všeobecné nemocnice. Jakožto přírodovědce mne zajímají přirozeně nejvíce obory přírodovědné a lékař</w:t>
      </w:r>
      <w:r>
        <w:rPr>
          <w:sz w:val="18"/>
          <w:szCs w:val="18"/>
        </w:rPr>
        <w:softHyphen/>
        <w:t>ské. Všimněme</w:t>
      </w:r>
      <w:r>
        <w:rPr>
          <w:sz w:val="18"/>
          <w:szCs w:val="18"/>
        </w:rPr>
        <w:t>ž si, že vědecké ústavy právě těchto oborů mají umístění velmi nepříznivé. Státní zdravotní ústav na opačném konci Prahy u Vinohradské nemocnice, Museum na Václavském náměstí a jedno jeho oddělení dokonce v Tróji, zemědělské výzkumné ústavy a Zemědělská fa</w:t>
      </w:r>
      <w:r>
        <w:rPr>
          <w:sz w:val="18"/>
          <w:szCs w:val="18"/>
        </w:rPr>
        <w:t>kulta čes. tech</w:t>
      </w:r>
      <w:r>
        <w:rPr>
          <w:sz w:val="18"/>
          <w:szCs w:val="18"/>
        </w:rPr>
        <w:softHyphen/>
        <w:t>niky, jak již řečeno, v Dejvicích.</w:t>
      </w:r>
    </w:p>
    <w:p w:rsidR="00500724" w:rsidRDefault="00F30FB8">
      <w:pPr>
        <w:pStyle w:val="Zkladntext1"/>
        <w:shd w:val="clear" w:color="auto" w:fill="auto"/>
        <w:spacing w:line="202" w:lineRule="auto"/>
        <w:ind w:firstLine="260"/>
        <w:rPr>
          <w:sz w:val="18"/>
          <w:szCs w:val="18"/>
        </w:rPr>
      </w:pPr>
      <w:r>
        <w:rPr>
          <w:sz w:val="18"/>
          <w:szCs w:val="18"/>
        </w:rPr>
        <w:t>V poslední době se u nás hodně mluví o spolupráci mezi příbuznými vědními obory. S jakými technickými pře</w:t>
      </w:r>
      <w:r>
        <w:rPr>
          <w:sz w:val="18"/>
          <w:szCs w:val="18"/>
        </w:rPr>
        <w:softHyphen/>
        <w:t>kážkami se však taková spolupráce setkává, uvedu na pří</w:t>
      </w:r>
      <w:r>
        <w:rPr>
          <w:sz w:val="18"/>
          <w:szCs w:val="18"/>
        </w:rPr>
        <w:softHyphen/>
        <w:t>kladě botaniky: Botanici pracují v universi</w:t>
      </w:r>
      <w:r>
        <w:rPr>
          <w:sz w:val="18"/>
          <w:szCs w:val="18"/>
        </w:rPr>
        <w:t>tních ústavech na Slupi, v Nár. museu v Tróji a v Zemědělských ústavech v Dejvicích. Představme si jen tu ztrátu času, má-li jeden navštívit druhého na opačném konci Prahy, natož pak kdyby chtěli společně pracovat na nějakém problému (za součas</w:t>
      </w:r>
      <w:r>
        <w:rPr>
          <w:sz w:val="18"/>
          <w:szCs w:val="18"/>
        </w:rPr>
        <w:softHyphen/>
        <w:t>ného konání</w:t>
      </w:r>
      <w:r>
        <w:rPr>
          <w:sz w:val="18"/>
          <w:szCs w:val="18"/>
        </w:rPr>
        <w:t xml:space="preserve"> svých normálních učebných povinností ovšem). Jen jízda elektrikou by zabrala denně skoro 2 hodiny. A po</w:t>
      </w:r>
      <w:r>
        <w:rPr>
          <w:sz w:val="18"/>
          <w:szCs w:val="18"/>
        </w:rPr>
        <w:softHyphen/>
        <w:t>dobné poměry jsou skoro všude. Následek této neplánovité stavby vědeckých ústavů je, že se o spolupráci mnoho mluví, ale málokdy k ní dojde, hlavně z t</w:t>
      </w:r>
      <w:r>
        <w:rPr>
          <w:sz w:val="18"/>
          <w:szCs w:val="18"/>
        </w:rPr>
        <w:t>echnických a organisačních potíží, které by byly při dobře promyšleném stavebním plánu předem vyloučeny. — Podobná potíž je s umístěním našich velkých vědeckých knihoven. Uprostřed Prahy le</w:t>
      </w:r>
      <w:r>
        <w:rPr>
          <w:sz w:val="18"/>
          <w:szCs w:val="18"/>
        </w:rPr>
        <w:softHyphen/>
        <w:t>žící universitní a přidružené knihovny (v Klementinu) vyho</w:t>
      </w:r>
      <w:r>
        <w:rPr>
          <w:sz w:val="18"/>
          <w:szCs w:val="18"/>
        </w:rPr>
        <w:softHyphen/>
        <w:t>vují sv</w:t>
      </w:r>
      <w:r>
        <w:rPr>
          <w:sz w:val="18"/>
          <w:szCs w:val="18"/>
        </w:rPr>
        <w:t>ou polohou přirozeně nejvíce oborům duchovědným (filosofickým a právnickým), ale naprosto nevyhovují obo</w:t>
      </w:r>
      <w:r>
        <w:rPr>
          <w:sz w:val="18"/>
          <w:szCs w:val="18"/>
        </w:rPr>
        <w:softHyphen/>
        <w:t>rům přírodovědným, lékařským a technickým, které jsou vzdáleny od nich 30, 60 i více minut pěší chůze. Výlet do uni</w:t>
      </w:r>
      <w:r>
        <w:rPr>
          <w:sz w:val="18"/>
          <w:szCs w:val="18"/>
        </w:rPr>
        <w:softHyphen/>
        <w:t>versitní knihovny zabere celé půldn</w:t>
      </w:r>
      <w:r>
        <w:rPr>
          <w:sz w:val="18"/>
          <w:szCs w:val="18"/>
        </w:rPr>
        <w:t>e, neboť je vyloučeno od laboratorní práce odskočit na půl hodiny do universitní knihov</w:t>
      </w:r>
      <w:r>
        <w:rPr>
          <w:sz w:val="18"/>
          <w:szCs w:val="18"/>
        </w:rPr>
        <w:softHyphen/>
        <w:t>ny, prohlédnout, co potřebuji, a zase se do laboratoře vrátit. Z toho důvodu snaží se každý ústav míti knihovnu svou, která ani zdaleka nepostačuje, neboť na ni nestačí</w:t>
      </w:r>
      <w:r>
        <w:rPr>
          <w:sz w:val="18"/>
          <w:szCs w:val="18"/>
        </w:rPr>
        <w:t xml:space="preserve"> omezené ústavní dotace. Přitom je v Praze mnoho časopisů a knih odebíraných vlastně zbytečně na několika ústavech a ještě v universitní knihovně, ač by stačilo, kdyby byly jen v této, za předpokladu ovšem, že by byla zlepšena dislokace a půj</w:t>
      </w:r>
      <w:r>
        <w:rPr>
          <w:sz w:val="18"/>
          <w:szCs w:val="18"/>
        </w:rPr>
        <w:softHyphen/>
        <w:t>čovní řád.</w:t>
      </w:r>
    </w:p>
    <w:p w:rsidR="00500724" w:rsidRDefault="00F30FB8">
      <w:pPr>
        <w:pStyle w:val="Zkladntext1"/>
        <w:shd w:val="clear" w:color="auto" w:fill="auto"/>
        <w:spacing w:line="197" w:lineRule="auto"/>
        <w:ind w:firstLine="260"/>
        <w:rPr>
          <w:sz w:val="18"/>
          <w:szCs w:val="18"/>
        </w:rPr>
      </w:pPr>
      <w:r>
        <w:rPr>
          <w:sz w:val="18"/>
          <w:szCs w:val="18"/>
        </w:rPr>
        <w:t>Má</w:t>
      </w:r>
      <w:r>
        <w:rPr>
          <w:sz w:val="18"/>
          <w:szCs w:val="18"/>
        </w:rPr>
        <w:t>me opravdu poslední příležitost soustředit aspoň vše</w:t>
      </w:r>
      <w:r>
        <w:rPr>
          <w:sz w:val="18"/>
          <w:szCs w:val="18"/>
        </w:rPr>
        <w:softHyphen/>
        <w:t>chny ústavy přírodovědecké a lékařské fa</w:t>
      </w:r>
      <w:r>
        <w:rPr>
          <w:sz w:val="18"/>
          <w:szCs w:val="18"/>
        </w:rPr>
        <w:softHyphen/>
        <w:t>kulty (když jednotné velkorysé řešení všech našich vyso</w:t>
      </w:r>
      <w:r>
        <w:rPr>
          <w:sz w:val="18"/>
          <w:szCs w:val="18"/>
        </w:rPr>
        <w:softHyphen/>
        <w:t>kých ústavů už není možné). Nesmíme se nechat předem od</w:t>
      </w:r>
      <w:r>
        <w:rPr>
          <w:sz w:val="18"/>
          <w:szCs w:val="18"/>
        </w:rPr>
        <w:softHyphen/>
        <w:t>radit, že tento pozemek patří zemi české, jiný stá</w:t>
      </w:r>
      <w:r>
        <w:rPr>
          <w:sz w:val="18"/>
          <w:szCs w:val="18"/>
        </w:rPr>
        <w:t>tu, třetí soukromníku, který ho zatím nechce prodat, to jsou celkem malichernosti, které při dobré vůli se dají odstranit, nebo které se prostě musí vyřešit ve prospěch věci. Proč by nemohl stát se zemí si určité pozemky vyměnit, nebo část jich koupit či n</w:t>
      </w:r>
      <w:r>
        <w:rPr>
          <w:sz w:val="18"/>
          <w:szCs w:val="18"/>
        </w:rPr>
        <w:t>aopak zase zemi prodat, proě by se nemohly určité pozemky soukromníkům za přiměřenou náhradu vyvlastnit.</w:t>
      </w:r>
    </w:p>
    <w:p w:rsidR="00500724" w:rsidRDefault="00F30FB8">
      <w:pPr>
        <w:pStyle w:val="Zkladntext1"/>
        <w:shd w:val="clear" w:color="auto" w:fill="auto"/>
        <w:spacing w:line="194" w:lineRule="auto"/>
        <w:ind w:firstLine="260"/>
        <w:rPr>
          <w:sz w:val="18"/>
          <w:szCs w:val="18"/>
        </w:rPr>
      </w:pPr>
      <w:r>
        <w:rPr>
          <w:sz w:val="18"/>
          <w:szCs w:val="18"/>
        </w:rPr>
        <w:t>Všechny prestižní, osobní a jiné úzkoprsé zájmy musí ustoupit stranou, jen se musí chtít a nesmí se předem hledat důvody proti, proč to nejde.. Na</w:t>
      </w:r>
      <w:r>
        <w:rPr>
          <w:sz w:val="18"/>
          <w:szCs w:val="18"/>
        </w:rPr>
        <w:softHyphen/>
      </w:r>
      <w:r>
        <w:rPr>
          <w:sz w:val="18"/>
          <w:szCs w:val="18"/>
        </w:rPr>
        <w:t>opak, všechno úsilí povolaných osob se musí nésti k tomu, že se dobrá věc musí prosadit. Není zapotřebí stavět re</w:t>
      </w:r>
      <w:r>
        <w:rPr>
          <w:sz w:val="18"/>
          <w:szCs w:val="18"/>
        </w:rPr>
        <w:softHyphen/>
        <w:t>presentační paláce (naopak moderní věda potřebuje labora</w:t>
      </w:r>
      <w:r>
        <w:rPr>
          <w:sz w:val="18"/>
          <w:szCs w:val="18"/>
        </w:rPr>
        <w:softHyphen/>
        <w:t>toře snadno proměnlivé), můžeme využít všech vymožeností stavitelské techniky (proč s</w:t>
      </w:r>
      <w:r>
        <w:rPr>
          <w:sz w:val="18"/>
          <w:szCs w:val="18"/>
        </w:rPr>
        <w:t>tavět na metrové základní zdi jen 2—3 patra, když tyto by snesly docela dobře pater 6, proč roztahovat budovy na drahocenných pozemcích do plochy, když je mnohem úspornější rozumně zvýšit počet pater, proě stavět representativní schodiště a široké chodby n</w:t>
      </w:r>
      <w:r>
        <w:rPr>
          <w:sz w:val="18"/>
          <w:szCs w:val="18"/>
        </w:rPr>
        <w:t>ebo několi</w:t>
      </w:r>
      <w:r>
        <w:rPr>
          <w:sz w:val="18"/>
          <w:szCs w:val="18"/>
        </w:rPr>
        <w:softHyphen/>
        <w:t xml:space="preserve">kerá postranní schodiště, po kterých chodí denně jen pár osob, když můžeme stavět laboratoře účelněji a úsporněji. Proč dávat do každé budovy zvláštní kotelnu, když můžeme pro celou čtvrť postavit velkou teplárnu atd.). </w:t>
      </w:r>
      <w:r>
        <w:rPr>
          <w:b/>
          <w:bCs/>
          <w:sz w:val="18"/>
          <w:szCs w:val="18"/>
        </w:rPr>
        <w:t xml:space="preserve">I </w:t>
      </w:r>
      <w:r>
        <w:rPr>
          <w:sz w:val="18"/>
          <w:szCs w:val="18"/>
        </w:rPr>
        <w:t>vnitřní or</w:t>
      </w:r>
      <w:r>
        <w:rPr>
          <w:sz w:val="18"/>
          <w:szCs w:val="18"/>
        </w:rPr>
        <w:softHyphen/>
        <w:t>ganisace úst</w:t>
      </w:r>
      <w:r>
        <w:rPr>
          <w:sz w:val="18"/>
          <w:szCs w:val="18"/>
        </w:rPr>
        <w:t>avu může býti mnohem účelnější než dosud. Malé knihovny jednotlivých ústavů bude možno sloučit v nových budovách do knihoven větších, odborně knihovnicky vedených (vzpomínám na jeden velký ústav postavený asi před 10 lety, ve kterém 3 ústavy velmi příbuzný</w:t>
      </w:r>
      <w:r>
        <w:rPr>
          <w:sz w:val="18"/>
          <w:szCs w:val="18"/>
        </w:rPr>
        <w:t>ch oborů mají každý svou vlastni knihovnu, kde je i mnoho stejných knih a stejných časopisů, ač by bylo daleko úspornější sloučit tyto knihovny v jednu a dát do ní pořádného knihovníka, který by se jí opravdu věnoval). Musíme se naučit lepší šetřit časem n</w:t>
      </w:r>
      <w:r>
        <w:rPr>
          <w:sz w:val="18"/>
          <w:szCs w:val="18"/>
        </w:rPr>
        <w:t>ašich vědeckých pracovníků, ať jsou to profesoři, docenti, asistenti či vědečtí úředníci.</w:t>
      </w:r>
    </w:p>
    <w:p w:rsidR="00500724" w:rsidRDefault="00F30FB8">
      <w:pPr>
        <w:pStyle w:val="Zkladntext1"/>
        <w:shd w:val="clear" w:color="auto" w:fill="auto"/>
        <w:spacing w:line="197" w:lineRule="auto"/>
        <w:ind w:firstLine="260"/>
        <w:rPr>
          <w:sz w:val="18"/>
          <w:szCs w:val="18"/>
        </w:rPr>
      </w:pPr>
      <w:r>
        <w:rPr>
          <w:sz w:val="18"/>
          <w:szCs w:val="18"/>
        </w:rPr>
        <w:t>Je velmi nehospodárné, když z úsporných důvodů necháme naše vědecké pracovníky konat práce mechanické a kancelář</w:t>
      </w:r>
      <w:r>
        <w:rPr>
          <w:sz w:val="18"/>
          <w:szCs w:val="18"/>
        </w:rPr>
        <w:softHyphen/>
        <w:t>ské, na které by stačila písařka na stroji nebo úředn</w:t>
      </w:r>
      <w:r>
        <w:rPr>
          <w:sz w:val="18"/>
          <w:szCs w:val="18"/>
        </w:rPr>
        <w:t>ík s niž</w:t>
      </w:r>
      <w:r>
        <w:rPr>
          <w:sz w:val="18"/>
          <w:szCs w:val="18"/>
        </w:rPr>
        <w:softHyphen/>
        <w:t>ším vzděláním. Musíme zvýšit počet pomocného personálu ve vědeckých ústavech (laborantů, laborantek, preparátorů, ústavních fotografů, knihovníků atd.), vždyť nezaměstnaných lidí máme dnes dost, hlavně středoškolské inteligence, a zde je příležito</w:t>
      </w:r>
      <w:r>
        <w:rPr>
          <w:sz w:val="18"/>
          <w:szCs w:val="18"/>
        </w:rPr>
        <w:t>st zaměstnat aspoň několik desítek lidí.</w:t>
      </w:r>
    </w:p>
    <w:p w:rsidR="00500724" w:rsidRDefault="00F30FB8">
      <w:pPr>
        <w:pStyle w:val="Zkladntext1"/>
        <w:shd w:val="clear" w:color="auto" w:fill="auto"/>
        <w:spacing w:line="197" w:lineRule="auto"/>
        <w:ind w:firstLine="260"/>
        <w:rPr>
          <w:sz w:val="18"/>
          <w:szCs w:val="18"/>
        </w:rPr>
      </w:pPr>
      <w:r>
        <w:rPr>
          <w:sz w:val="18"/>
          <w:szCs w:val="18"/>
        </w:rPr>
        <w:t>Konkrétně bych si představoval řešení čtvrti lékařské a přírodovědecké fakulty takto: O vybudování lékařské fakulty na pozemcích nynější Všeobecné nemocnice byl vypracován podrobný návrh (Havlíček-Uklein-Albert-Jirá</w:t>
      </w:r>
      <w:r>
        <w:rPr>
          <w:sz w:val="18"/>
          <w:szCs w:val="18"/>
        </w:rPr>
        <w:t>sek), který po některých změnách, vyvolaných nynější situací dá se při dobré vůli jistě uskutečnit. Přírodovědecká fakulta po</w:t>
      </w:r>
      <w:r>
        <w:rPr>
          <w:sz w:val="18"/>
          <w:szCs w:val="18"/>
        </w:rPr>
        <w:softHyphen/>
        <w:t>třebuje jen pro své biologické ústavy (botanické a zoologické) nové moderní budovy, vybavené speciálními labo</w:t>
      </w:r>
      <w:r>
        <w:rPr>
          <w:sz w:val="18"/>
          <w:szCs w:val="18"/>
        </w:rPr>
        <w:softHyphen/>
        <w:t>ratořemi, kterých dn</w:t>
      </w:r>
      <w:r>
        <w:rPr>
          <w:sz w:val="18"/>
          <w:szCs w:val="18"/>
        </w:rPr>
        <w:t>ešní ústavy naprosto postrádají. O ostat</w:t>
      </w:r>
      <w:r>
        <w:rPr>
          <w:sz w:val="18"/>
          <w:szCs w:val="18"/>
        </w:rPr>
        <w:softHyphen/>
        <w:t>ní přírodovědné obory je zatím postaráno a přišly by na řadu až naposled. K přírodovědecké fakultě nutně patří také pří</w:t>
      </w:r>
      <w:r>
        <w:rPr>
          <w:sz w:val="18"/>
          <w:szCs w:val="18"/>
        </w:rPr>
        <w:softHyphen/>
        <w:t>rodovědecká oddělení Národního musea, kte</w:t>
      </w:r>
      <w:r>
        <w:rPr>
          <w:sz w:val="18"/>
          <w:szCs w:val="18"/>
        </w:rPr>
        <w:softHyphen/>
        <w:t>rá zahrnují, jak Havlíček ve svém článku správně podo</w:t>
      </w:r>
      <w:r>
        <w:rPr>
          <w:sz w:val="18"/>
          <w:szCs w:val="18"/>
        </w:rPr>
        <w:t>týká, nejen výstavní sály pro veřejnost, ale také vědecké la</w:t>
      </w:r>
      <w:r>
        <w:rPr>
          <w:sz w:val="18"/>
          <w:szCs w:val="18"/>
        </w:rPr>
        <w:softHyphen/>
        <w:t>boratoře a bohatý vědecký materiál ve sbírkách, který není a nemůže býti vystaven pro obecenstvo. Pro po</w:t>
      </w:r>
      <w:r>
        <w:rPr>
          <w:sz w:val="18"/>
          <w:szCs w:val="18"/>
        </w:rPr>
        <w:softHyphen/>
        <w:t>třebu všech těchto vědeckých ústavů by bylo zapotřebí zříditi v jejich středu oddělení uni</w:t>
      </w:r>
      <w:r>
        <w:rPr>
          <w:sz w:val="18"/>
          <w:szCs w:val="18"/>
        </w:rPr>
        <w:t>versitní knihovny, obsahující co možná úplnou knihovnu přírodovědecko-Iékař- skou, které by bylo samostatně vedeno knihovníky, vzděla</w:t>
      </w:r>
      <w:r>
        <w:rPr>
          <w:sz w:val="18"/>
          <w:szCs w:val="18"/>
        </w:rPr>
        <w:softHyphen/>
        <w:t>nými jak v přírodních vědách, tak v lékařství a znajícími po</w:t>
      </w:r>
      <w:r>
        <w:rPr>
          <w:sz w:val="18"/>
          <w:szCs w:val="18"/>
        </w:rPr>
        <w:softHyphen/>
        <w:t>třeby těchto oborů. Přírodovědecká fakulta by potřebovala pro</w:t>
      </w:r>
      <w:r>
        <w:rPr>
          <w:sz w:val="18"/>
          <w:szCs w:val="18"/>
        </w:rPr>
        <w:t xml:space="preserve"> pedagogickou výchovu středoškolských profesorů . také vzorně vybavenou střední školu, se vzornými kabinety, třídami, hřišti atd., kam by kandidáti profesury chodili hospi- tovat a zkoušeli i vyučovat pod vedením příslušných lektorů, a kde by viděli, jak m</w:t>
      </w:r>
      <w:r>
        <w:rPr>
          <w:sz w:val="18"/>
          <w:szCs w:val="18"/>
        </w:rPr>
        <w:t>á vypadat vzorná škola po strán</w:t>
      </w:r>
      <w:r>
        <w:rPr>
          <w:sz w:val="18"/>
          <w:szCs w:val="18"/>
        </w:rPr>
        <w:softHyphen/>
        <w:t>ce technické. Všechny tyto budovy by měly ležet uprostřed zeleně, uprostřed jakési velké botanické zahrady, je</w:t>
      </w:r>
      <w:r>
        <w:rPr>
          <w:sz w:val="18"/>
          <w:szCs w:val="18"/>
        </w:rPr>
        <w:softHyphen/>
        <w:t>jíž menši ěást by byla urěena jen vysokoškolským potřebám, ostatek přístupen i veřejnosti.</w:t>
      </w:r>
    </w:p>
    <w:p w:rsidR="00500724" w:rsidRDefault="00F30FB8">
      <w:pPr>
        <w:pStyle w:val="Zkladntext1"/>
        <w:shd w:val="clear" w:color="auto" w:fill="auto"/>
        <w:spacing w:line="197" w:lineRule="auto"/>
        <w:rPr>
          <w:sz w:val="18"/>
          <w:szCs w:val="18"/>
        </w:rPr>
      </w:pPr>
      <w:r>
        <w:rPr>
          <w:sz w:val="18"/>
          <w:szCs w:val="18"/>
        </w:rPr>
        <w:t>Nezbytnou součástí toh</w:t>
      </w:r>
      <w:r>
        <w:rPr>
          <w:sz w:val="18"/>
          <w:szCs w:val="18"/>
        </w:rPr>
        <w:t>oto universitního města by byly ovšem také studentské koleje, byty pro profesory, asistenty a jiný personál. Jak neúěelně jsme řešili otázku studentských kolejí! Místo abychom postavili studentské koleje v nejbliž</w:t>
      </w:r>
      <w:r>
        <w:rPr>
          <w:sz w:val="18"/>
          <w:szCs w:val="18"/>
        </w:rPr>
        <w:softHyphen/>
        <w:t>ším okolí příslušných fakult, a sice pro k</w:t>
      </w:r>
      <w:r>
        <w:rPr>
          <w:sz w:val="18"/>
          <w:szCs w:val="18"/>
        </w:rPr>
        <w:t>aždou fakultu zvlášt</w:t>
      </w:r>
      <w:r>
        <w:rPr>
          <w:sz w:val="18"/>
          <w:szCs w:val="18"/>
        </w:rPr>
        <w:softHyphen/>
        <w:t xml:space="preserve">ní kolej, měli jsme studentské koleje rozesety porůznu po Praze a organisované k tomu ještě buď podle politických stran nebo podle náboženství či národností. Zbytečně jsme tím zdražovali studentům jejich studium o jízdné v elektrice a </w:t>
      </w:r>
      <w:r>
        <w:rPr>
          <w:sz w:val="18"/>
          <w:szCs w:val="18"/>
        </w:rPr>
        <w:t>zbytečně jsme zatěžovali pouliční provoz denní dopravou několika tisíc studentů z jednoho konce Prahy na druhý. Při</w:t>
      </w:r>
      <w:r>
        <w:rPr>
          <w:sz w:val="18"/>
          <w:szCs w:val="18"/>
        </w:rPr>
        <w:softHyphen/>
        <w:t>rozeně, že nemohl vzniknout takto žádný pravý fakultní stu</w:t>
      </w:r>
      <w:r>
        <w:rPr>
          <w:sz w:val="18"/>
          <w:szCs w:val="18"/>
        </w:rPr>
        <w:softHyphen/>
        <w:t>dentský život, když bydlili pohromadě studenti různých fa</w:t>
      </w:r>
      <w:r>
        <w:rPr>
          <w:sz w:val="18"/>
          <w:szCs w:val="18"/>
        </w:rPr>
        <w:softHyphen/>
        <w:t>kult a tím i různých zá</w:t>
      </w:r>
      <w:r>
        <w:rPr>
          <w:sz w:val="18"/>
          <w:szCs w:val="18"/>
        </w:rPr>
        <w:t>jmů.</w:t>
      </w:r>
    </w:p>
    <w:p w:rsidR="00500724" w:rsidRDefault="00F30FB8">
      <w:pPr>
        <w:pStyle w:val="Zkladntext1"/>
        <w:shd w:val="clear" w:color="auto" w:fill="auto"/>
        <w:spacing w:line="197" w:lineRule="auto"/>
        <w:rPr>
          <w:sz w:val="18"/>
          <w:szCs w:val="18"/>
        </w:rPr>
      </w:pPr>
      <w:r>
        <w:rPr>
          <w:sz w:val="18"/>
          <w:szCs w:val="18"/>
        </w:rPr>
        <w:t>Máme poslední příležitost v Praze zřídit aspoň částečnou universitní čtvrť na místě přímo ide</w:t>
      </w:r>
      <w:r>
        <w:rPr>
          <w:sz w:val="18"/>
          <w:szCs w:val="18"/>
        </w:rPr>
        <w:softHyphen/>
        <w:t>álním, skoro uprostřed Prahy a přece v zeleni na slunných svazích, nekažme si ji proto nepromyšlenými dílčími stavba</w:t>
      </w:r>
      <w:r>
        <w:rPr>
          <w:sz w:val="18"/>
          <w:szCs w:val="18"/>
        </w:rPr>
        <w:softHyphen/>
        <w:t>mi, jako je projekt Národního musea na V</w:t>
      </w:r>
      <w:r>
        <w:rPr>
          <w:sz w:val="18"/>
          <w:szCs w:val="18"/>
        </w:rPr>
        <w:t>ýstavišti, které jen zhorší již tak dost špatnou dislokaci našich vědeckých ústavů.</w:t>
      </w:r>
    </w:p>
    <w:p w:rsidR="00500724" w:rsidRDefault="00F30FB8">
      <w:pPr>
        <w:pStyle w:val="Zkladntext1"/>
        <w:shd w:val="clear" w:color="auto" w:fill="auto"/>
        <w:spacing w:after="60" w:line="197" w:lineRule="auto"/>
        <w:ind w:firstLine="0"/>
        <w:jc w:val="right"/>
        <w:rPr>
          <w:sz w:val="18"/>
          <w:szCs w:val="18"/>
        </w:rPr>
      </w:pPr>
      <w:r>
        <w:rPr>
          <w:i/>
          <w:iCs/>
          <w:sz w:val="18"/>
          <w:szCs w:val="18"/>
        </w:rPr>
        <w:t>Doc. Dr. Otto Jírovec.</w:t>
      </w:r>
    </w:p>
    <w:p w:rsidR="00500724" w:rsidRDefault="00F30FB8">
      <w:pPr>
        <w:pStyle w:val="Zkladntext1"/>
        <w:shd w:val="clear" w:color="auto" w:fill="auto"/>
        <w:spacing w:after="60"/>
        <w:ind w:firstLine="0"/>
        <w:jc w:val="center"/>
        <w:rPr>
          <w:sz w:val="20"/>
          <w:szCs w:val="20"/>
        </w:rPr>
      </w:pPr>
      <w:r>
        <w:rPr>
          <w:b/>
          <w:bCs/>
          <w:sz w:val="20"/>
          <w:szCs w:val="20"/>
        </w:rPr>
        <w:t>Přeměny.</w:t>
      </w:r>
    </w:p>
    <w:p w:rsidR="00500724" w:rsidRDefault="00F30FB8">
      <w:pPr>
        <w:pStyle w:val="Zkladntext1"/>
        <w:shd w:val="clear" w:color="auto" w:fill="auto"/>
        <w:tabs>
          <w:tab w:val="left" w:pos="4272"/>
        </w:tabs>
        <w:spacing w:after="60" w:line="197" w:lineRule="auto"/>
        <w:rPr>
          <w:sz w:val="18"/>
          <w:szCs w:val="18"/>
        </w:rPr>
      </w:pPr>
      <w:r>
        <w:rPr>
          <w:sz w:val="18"/>
          <w:szCs w:val="18"/>
        </w:rPr>
        <w:t>Jsou to na štěstí případy zcela výjimečné, zcela řídké, zcela ojedinělé, ale vyskytly se už i ony — někteří lidé, kteří se ještě do 15. břez</w:t>
      </w:r>
      <w:r>
        <w:rPr>
          <w:sz w:val="18"/>
          <w:szCs w:val="18"/>
        </w:rPr>
        <w:t>na hlásili k českému národu, najednou obje</w:t>
      </w:r>
      <w:r>
        <w:rPr>
          <w:sz w:val="18"/>
          <w:szCs w:val="18"/>
        </w:rPr>
        <w:softHyphen/>
        <w:t>vili zázračným pochodem v své duši a srdci i v své krvi příslušnost k národu jinému. A tak slyšíte o státním úřed</w:t>
      </w:r>
      <w:r>
        <w:rPr>
          <w:sz w:val="18"/>
          <w:szCs w:val="18"/>
        </w:rPr>
        <w:softHyphen/>
        <w:t>níkovi, který deset let vyplňoval v osobním výkaze rubriku Národnost slůvkem česká, a který teď naj</w:t>
      </w:r>
      <w:r>
        <w:rPr>
          <w:sz w:val="18"/>
          <w:szCs w:val="18"/>
        </w:rPr>
        <w:t>ednou ohlásil změnu národnosti. Slyšíš o jiném, který najednou objevil, že jeho předkové byli vlastně Němci. Snad doufají tito pánové, že se svým rozhodnutím šikovně posunou na kariérovém žebříčku — nevím, jak o těchto Němcích pobřeznových soudí skuteční a</w:t>
      </w:r>
      <w:r>
        <w:rPr>
          <w:sz w:val="18"/>
          <w:szCs w:val="18"/>
        </w:rPr>
        <w:t xml:space="preserve"> poctiví Němci. Ale my Češi ztrácíme těch několik svých lidiček celkem bez bolesti — i nejzdravější strom nemá jen zdravé ovoce. A Čechem je pro nás pro dnešek i pro budouc</w:t>
      </w:r>
      <w:r>
        <w:rPr>
          <w:sz w:val="18"/>
          <w:szCs w:val="18"/>
        </w:rPr>
        <w:softHyphen/>
        <w:t>nost jen ten, kdo právě dnes — a také dnes — hrdě a mužně vyznává svůj životní osud</w:t>
      </w:r>
      <w:r>
        <w:rPr>
          <w:sz w:val="18"/>
          <w:szCs w:val="18"/>
        </w:rPr>
        <w:t>, své češství.</w:t>
      </w:r>
      <w:r>
        <w:rPr>
          <w:sz w:val="18"/>
          <w:szCs w:val="18"/>
        </w:rPr>
        <w:tab/>
        <w:t xml:space="preserve">Jiří </w:t>
      </w:r>
      <w:r>
        <w:rPr>
          <w:i/>
          <w:iCs/>
          <w:sz w:val="18"/>
          <w:szCs w:val="18"/>
        </w:rPr>
        <w:t>Zhor.</w:t>
      </w:r>
    </w:p>
    <w:p w:rsidR="00500724" w:rsidRDefault="00F30FB8">
      <w:pPr>
        <w:pStyle w:val="Zkladntext1"/>
        <w:shd w:val="clear" w:color="auto" w:fill="auto"/>
        <w:spacing w:after="60"/>
        <w:ind w:firstLine="0"/>
        <w:jc w:val="center"/>
        <w:rPr>
          <w:sz w:val="20"/>
          <w:szCs w:val="20"/>
        </w:rPr>
      </w:pPr>
      <w:r>
        <w:rPr>
          <w:b/>
          <w:bCs/>
          <w:sz w:val="20"/>
          <w:szCs w:val="20"/>
        </w:rPr>
        <w:t>O nová jména.</w:t>
      </w:r>
    </w:p>
    <w:p w:rsidR="00500724" w:rsidRDefault="00F30FB8">
      <w:pPr>
        <w:pStyle w:val="Zkladntext1"/>
        <w:shd w:val="clear" w:color="auto" w:fill="auto"/>
        <w:spacing w:line="199" w:lineRule="auto"/>
        <w:rPr>
          <w:sz w:val="18"/>
          <w:szCs w:val="18"/>
        </w:rPr>
      </w:pPr>
      <w:r>
        <w:rPr>
          <w:sz w:val="18"/>
          <w:szCs w:val="18"/>
        </w:rPr>
        <w:t>Označování ulic v rychle rostoucích amerických městech nedalo mnoho starostí. První, Druhá, Pátá, Padesátá ulice nebo třída a hotovo. Evropané si věc trochu zkomplikovali. Chtěli vyjádřit! úctu k velikánům a lidem za</w:t>
      </w:r>
      <w:r>
        <w:rPr>
          <w:sz w:val="18"/>
          <w:szCs w:val="18"/>
        </w:rPr>
        <w:t>sloužilým a proto ulice nesou jména básníků, spisovatelů, umělců. Jaké však za</w:t>
      </w:r>
      <w:r>
        <w:rPr>
          <w:sz w:val="18"/>
          <w:szCs w:val="18"/>
        </w:rPr>
        <w:softHyphen/>
        <w:t>sloužilých mužů o stát, zemi, okres nebo konečně místo. Jed</w:t>
      </w:r>
      <w:r>
        <w:rPr>
          <w:sz w:val="18"/>
          <w:szCs w:val="18"/>
        </w:rPr>
        <w:softHyphen/>
        <w:t xml:space="preserve">notného měřítka není. Zvláště ne u nás. </w:t>
      </w:r>
      <w:r>
        <w:rPr>
          <w:sz w:val="18"/>
          <w:szCs w:val="18"/>
          <w:lang w:val="en-US" w:eastAsia="en-US" w:bidi="en-US"/>
        </w:rPr>
        <w:t xml:space="preserve">Casto </w:t>
      </w:r>
      <w:r>
        <w:rPr>
          <w:sz w:val="18"/>
          <w:szCs w:val="18"/>
        </w:rPr>
        <w:t>záleželo mnoho na tom, kdo seděl v obecním zastupitelstvu a dovedl pros</w:t>
      </w:r>
      <w:r>
        <w:rPr>
          <w:sz w:val="18"/>
          <w:szCs w:val="18"/>
        </w:rPr>
        <w:t xml:space="preserve">a- diti návrhy komise, která jmenování připravovala. S oblibou, pochopitelnou u malého národa, který se na kulturním poli obrodil, bylo sáhnuto po jménech těch, kteří byli tvůrci </w:t>
      </w:r>
      <w:r>
        <w:rPr>
          <w:b/>
          <w:bCs/>
          <w:sz w:val="18"/>
          <w:szCs w:val="18"/>
        </w:rPr>
        <w:t xml:space="preserve">a </w:t>
      </w:r>
      <w:r>
        <w:rPr>
          <w:sz w:val="18"/>
          <w:szCs w:val="18"/>
        </w:rPr>
        <w:t>vůdci Obrození. Proto ta přemíra ulic, která nesla jméno Pa</w:t>
      </w:r>
      <w:r>
        <w:rPr>
          <w:sz w:val="18"/>
          <w:szCs w:val="18"/>
        </w:rPr>
        <w:softHyphen/>
        <w:t>lackého, Havlíč</w:t>
      </w:r>
      <w:r>
        <w:rPr>
          <w:sz w:val="18"/>
          <w:szCs w:val="18"/>
        </w:rPr>
        <w:t>ka, Jungmanna, Dobrovského a ostatních. Byli při tom i některé zajímavé zvláštnosti. Tak na předvá. léčných Královských Vinohradech si libovali v duchovních vůdcích a měli ulice Puchmajerovu, Wenzigovu, Hálkovu, Pa</w:t>
      </w:r>
      <w:r>
        <w:rPr>
          <w:sz w:val="18"/>
          <w:szCs w:val="18"/>
        </w:rPr>
        <w:softHyphen/>
        <w:t>lackého. Na Žižkově se hlásili ke kališni</w:t>
      </w:r>
      <w:r>
        <w:rPr>
          <w:sz w:val="18"/>
          <w:szCs w:val="18"/>
        </w:rPr>
        <w:t>ctví svou ulicí Ei- panskou, Dupáčovou, Prokopovým náměstím a jinými. V Nus</w:t>
      </w:r>
      <w:r>
        <w:rPr>
          <w:sz w:val="18"/>
          <w:szCs w:val="18"/>
        </w:rPr>
        <w:softHyphen/>
        <w:t>lích zvěčnili na nárožních tabulkách prvé příslušníky Pře</w:t>
      </w:r>
      <w:r>
        <w:rPr>
          <w:sz w:val="18"/>
          <w:szCs w:val="18"/>
        </w:rPr>
        <w:softHyphen/>
        <w:t>myslovců: Mečislava, Rostislava, Mojmíra, Čestmíra a jiné. Nechybělo ovšem ani jmen, která připomínala panující dy. nastii</w:t>
      </w:r>
      <w:r>
        <w:rPr>
          <w:sz w:val="18"/>
          <w:szCs w:val="18"/>
        </w:rPr>
        <w:t>: Ferdinandova, Františkovo nábřeží.</w:t>
      </w:r>
    </w:p>
    <w:p w:rsidR="00500724" w:rsidRDefault="00F30FB8">
      <w:pPr>
        <w:pStyle w:val="Zkladntext1"/>
        <w:shd w:val="clear" w:color="auto" w:fill="auto"/>
        <w:spacing w:line="199" w:lineRule="auto"/>
        <w:rPr>
          <w:sz w:val="18"/>
          <w:szCs w:val="18"/>
        </w:rPr>
      </w:pPr>
      <w:r>
        <w:rPr>
          <w:sz w:val="18"/>
          <w:szCs w:val="18"/>
        </w:rPr>
        <w:t>Poválečná změna politických poměrů a příchod nových lidí na radnice se odrazil i ve jménech ulic. Zmizelo pojmenování Josefské a přišlo Náměstí republiky, z Eliščiny se stala Re</w:t>
      </w:r>
      <w:r>
        <w:rPr>
          <w:sz w:val="18"/>
          <w:szCs w:val="18"/>
        </w:rPr>
        <w:softHyphen/>
        <w:t>voluční. Do pozadí také ustoupili Palacký</w:t>
      </w:r>
      <w:r>
        <w:rPr>
          <w:sz w:val="18"/>
          <w:szCs w:val="18"/>
        </w:rPr>
        <w:t xml:space="preserve"> (v Praze v někte</w:t>
      </w:r>
      <w:r>
        <w:rPr>
          <w:sz w:val="18"/>
          <w:szCs w:val="18"/>
        </w:rPr>
        <w:softHyphen/>
        <w:t>rých případech z praktických důvodů, protože každá čtvrt Velké Prahy měla jednu ulici Palackého), Wenzig, Málek, Havlíček, ba 1 Mánes a na jejich místo byly dosazeny názvy po zemích a národech, lidech, kteří ve válce něco znamenali, a pol</w:t>
      </w:r>
      <w:r>
        <w:rPr>
          <w:sz w:val="18"/>
          <w:szCs w:val="18"/>
        </w:rPr>
        <w:t xml:space="preserve">iticích a státnících osmnáctého roku. Tak jsme se dostali k ulici Londýnské, Rumunské, Polské, ale také Uruguajské </w:t>
      </w:r>
      <w:r>
        <w:rPr>
          <w:b/>
          <w:bCs/>
          <w:sz w:val="18"/>
          <w:szCs w:val="18"/>
        </w:rPr>
        <w:t xml:space="preserve">a </w:t>
      </w:r>
      <w:r>
        <w:rPr>
          <w:sz w:val="18"/>
          <w:szCs w:val="18"/>
        </w:rPr>
        <w:t>Fochově n bo Barthouově.</w:t>
      </w:r>
    </w:p>
    <w:p w:rsidR="00500724" w:rsidRDefault="00F30FB8">
      <w:pPr>
        <w:pStyle w:val="Zkladntext1"/>
        <w:shd w:val="clear" w:color="auto" w:fill="auto"/>
        <w:spacing w:line="199" w:lineRule="auto"/>
        <w:rPr>
          <w:sz w:val="18"/>
          <w:szCs w:val="18"/>
        </w:rPr>
      </w:pPr>
      <w:r>
        <w:rPr>
          <w:b/>
          <w:bCs/>
          <w:sz w:val="18"/>
          <w:szCs w:val="18"/>
        </w:rPr>
        <w:t>Nyní se opět provádí změna jmen ulic, protože některá označení nevyhovují duchu doby. A tu snad by bylo dobře, kdy</w:t>
      </w:r>
      <w:r>
        <w:rPr>
          <w:b/>
          <w:bCs/>
          <w:sz w:val="18"/>
          <w:szCs w:val="18"/>
        </w:rPr>
        <w:t xml:space="preserve">by ti, kdo přejmenování připravují, si uvědomili slova, která pronesl Vůdce a říšský kancléř Adolf Hitler </w:t>
      </w:r>
      <w:r>
        <w:rPr>
          <w:b/>
          <w:bCs/>
          <w:sz w:val="20"/>
          <w:szCs w:val="20"/>
        </w:rPr>
        <w:t xml:space="preserve">v </w:t>
      </w:r>
      <w:r>
        <w:rPr>
          <w:b/>
          <w:bCs/>
          <w:sz w:val="18"/>
          <w:szCs w:val="18"/>
        </w:rPr>
        <w:t xml:space="preserve">neděli </w:t>
      </w:r>
      <w:r>
        <w:rPr>
          <w:sz w:val="18"/>
          <w:szCs w:val="18"/>
        </w:rPr>
        <w:t>dne 16. července při zahájení výstavy umění v Mnichově. Pra</w:t>
      </w:r>
      <w:r>
        <w:rPr>
          <w:sz w:val="18"/>
          <w:szCs w:val="18"/>
        </w:rPr>
        <w:softHyphen/>
        <w:t>vil podle referátu „V. B.“:</w:t>
      </w:r>
    </w:p>
    <w:p w:rsidR="00500724" w:rsidRDefault="00F30FB8">
      <w:pPr>
        <w:pStyle w:val="Zkladntext1"/>
        <w:shd w:val="clear" w:color="auto" w:fill="auto"/>
        <w:spacing w:line="199" w:lineRule="auto"/>
        <w:ind w:firstLine="240"/>
        <w:rPr>
          <w:sz w:val="18"/>
          <w:szCs w:val="18"/>
        </w:rPr>
      </w:pPr>
      <w:r>
        <w:rPr>
          <w:sz w:val="18"/>
          <w:szCs w:val="18"/>
        </w:rPr>
        <w:t xml:space="preserve">„Auch </w:t>
      </w:r>
      <w:r>
        <w:rPr>
          <w:sz w:val="18"/>
          <w:szCs w:val="18"/>
          <w:lang w:val="en-US" w:eastAsia="en-US" w:bidi="en-US"/>
        </w:rPr>
        <w:t xml:space="preserve">in </w:t>
      </w:r>
      <w:r>
        <w:rPr>
          <w:sz w:val="18"/>
          <w:szCs w:val="18"/>
        </w:rPr>
        <w:t xml:space="preserve">anderen Kunsten leben </w:t>
      </w:r>
      <w:r>
        <w:rPr>
          <w:sz w:val="18"/>
          <w:szCs w:val="18"/>
          <w:lang w:val="en-US" w:eastAsia="en-US" w:bidi="en-US"/>
        </w:rPr>
        <w:t xml:space="preserve">die </w:t>
      </w:r>
      <w:r>
        <w:rPr>
          <w:sz w:val="18"/>
          <w:szCs w:val="18"/>
        </w:rPr>
        <w:t>vergangenen Zeital</w:t>
      </w:r>
      <w:r>
        <w:rPr>
          <w:sz w:val="18"/>
          <w:szCs w:val="18"/>
        </w:rPr>
        <w:t xml:space="preserve">ter mit. Ihre Leistungen gehoren nicht nur zum vergangeneu Gesamtkulturschatz eines Volkes ais eine </w:t>
      </w:r>
      <w:r>
        <w:rPr>
          <w:sz w:val="18"/>
          <w:szCs w:val="18"/>
          <w:lang w:val="en-US" w:eastAsia="en-US" w:bidi="en-US"/>
        </w:rPr>
        <w:t xml:space="preserve">Art </w:t>
      </w:r>
      <w:r>
        <w:rPr>
          <w:sz w:val="18"/>
          <w:szCs w:val="18"/>
        </w:rPr>
        <w:t xml:space="preserve">kostbarer Erb- masse, soudem daruber hinaus auch zum Bildungsgut, aus dem heraus und mittels dem </w:t>
      </w:r>
      <w:r>
        <w:rPr>
          <w:sz w:val="18"/>
          <w:szCs w:val="18"/>
          <w:lang w:val="en-US" w:eastAsia="en-US" w:bidi="en-US"/>
        </w:rPr>
        <w:t xml:space="preserve">weiter </w:t>
      </w:r>
      <w:r>
        <w:rPr>
          <w:sz w:val="18"/>
          <w:szCs w:val="18"/>
        </w:rPr>
        <w:t xml:space="preserve">geschaffen und </w:t>
      </w:r>
      <w:r>
        <w:rPr>
          <w:sz w:val="18"/>
          <w:szCs w:val="18"/>
          <w:lang w:val="en-US" w:eastAsia="en-US" w:bidi="en-US"/>
        </w:rPr>
        <w:t xml:space="preserve">fort, </w:t>
      </w:r>
      <w:r>
        <w:rPr>
          <w:sz w:val="18"/>
          <w:szCs w:val="18"/>
        </w:rPr>
        <w:t>entwickelt wird.“</w:t>
      </w:r>
    </w:p>
    <w:p w:rsidR="00500724" w:rsidRDefault="00F30FB8">
      <w:pPr>
        <w:pStyle w:val="Zkladntext1"/>
        <w:shd w:val="clear" w:color="auto" w:fill="auto"/>
        <w:tabs>
          <w:tab w:val="left" w:pos="4464"/>
        </w:tabs>
        <w:spacing w:line="199" w:lineRule="auto"/>
        <w:ind w:firstLine="240"/>
        <w:rPr>
          <w:sz w:val="18"/>
          <w:szCs w:val="18"/>
        </w:rPr>
      </w:pPr>
      <w:r>
        <w:rPr>
          <w:sz w:val="18"/>
          <w:szCs w:val="18"/>
        </w:rPr>
        <w:t xml:space="preserve">Nežijeme </w:t>
      </w:r>
      <w:r>
        <w:rPr>
          <w:sz w:val="18"/>
          <w:szCs w:val="18"/>
        </w:rPr>
        <w:t>jenom dneškem, ale také z fondů minulosti. Čer</w:t>
      </w:r>
      <w:r>
        <w:rPr>
          <w:sz w:val="18"/>
          <w:szCs w:val="18"/>
        </w:rPr>
        <w:softHyphen/>
        <w:t>páme z bohatých dějin národa mnohá poučení. Na svou minu</w:t>
      </w:r>
      <w:r>
        <w:rPr>
          <w:sz w:val="18"/>
          <w:szCs w:val="18"/>
        </w:rPr>
        <w:softHyphen/>
        <w:t>lost můžeme býti hrdi. Malý národ, často i vnitřně velmi ro</w:t>
      </w:r>
      <w:r>
        <w:rPr>
          <w:sz w:val="18"/>
          <w:szCs w:val="18"/>
        </w:rPr>
        <w:softHyphen/>
        <w:t>zervaný, ale vždy se probíjející do řad národů kulturně nej</w:t>
      </w:r>
      <w:r>
        <w:rPr>
          <w:sz w:val="18"/>
          <w:szCs w:val="18"/>
        </w:rPr>
        <w:softHyphen/>
        <w:t>vyspělejších. Od zřízení Protekt</w:t>
      </w:r>
      <w:r>
        <w:rPr>
          <w:sz w:val="18"/>
          <w:szCs w:val="18"/>
        </w:rPr>
        <w:t>orátu bylo několikráte povo. lanými činiteli mluveno o slavné naší národní tradici. Buďme si této skutečnosti vědomt Odstraňujíce pojmenování, která nejsou v souladu s dnešní dobou a jejím duchem, sáhněme po jménech, která nejsou a nebudou pro žádného Čech</w:t>
      </w:r>
      <w:r>
        <w:rPr>
          <w:sz w:val="18"/>
          <w:szCs w:val="18"/>
        </w:rPr>
        <w:t>a nikdy jenom zvukem, ale která znamenají důležitý úsek národního bytí.</w:t>
      </w:r>
      <w:r>
        <w:rPr>
          <w:sz w:val="18"/>
          <w:szCs w:val="18"/>
        </w:rPr>
        <w:tab/>
      </w:r>
      <w:r>
        <w:rPr>
          <w:i/>
          <w:iCs/>
          <w:sz w:val="18"/>
          <w:szCs w:val="18"/>
        </w:rPr>
        <w:t>Žalský.</w:t>
      </w:r>
    </w:p>
    <w:p w:rsidR="00500724" w:rsidRDefault="00F30FB8">
      <w:pPr>
        <w:pStyle w:val="Zkladntext1"/>
        <w:shd w:val="clear" w:color="auto" w:fill="auto"/>
        <w:spacing w:after="60" w:line="214" w:lineRule="auto"/>
        <w:ind w:firstLine="0"/>
        <w:jc w:val="center"/>
        <w:rPr>
          <w:sz w:val="20"/>
          <w:szCs w:val="20"/>
        </w:rPr>
      </w:pPr>
      <w:r>
        <w:rPr>
          <w:b/>
          <w:bCs/>
          <w:sz w:val="20"/>
          <w:szCs w:val="20"/>
        </w:rPr>
        <w:t>Konec okružních lístků.</w:t>
      </w:r>
    </w:p>
    <w:p w:rsidR="00500724" w:rsidRDefault="00F30FB8">
      <w:pPr>
        <w:pStyle w:val="Zkladntext1"/>
        <w:shd w:val="clear" w:color="auto" w:fill="auto"/>
        <w:spacing w:after="100" w:line="197" w:lineRule="auto"/>
        <w:ind w:firstLine="240"/>
        <w:rPr>
          <w:sz w:val="18"/>
          <w:szCs w:val="18"/>
        </w:rPr>
      </w:pPr>
      <w:r>
        <w:rPr>
          <w:sz w:val="18"/>
          <w:szCs w:val="18"/>
        </w:rPr>
        <w:t>Už je to prý několik měsíců (kdo dovede v této dravé době sledovat spád událostí tak přesně, aby si všiml všech nejmenších detailů?), co naše dráhy zruš</w:t>
      </w:r>
      <w:r>
        <w:rPr>
          <w:sz w:val="18"/>
          <w:szCs w:val="18"/>
        </w:rPr>
        <w:t>ily tak zvané okružní lístky. Bylo to pěkné zařízení, umožňovalo turistovi se znač</w:t>
      </w:r>
      <w:r>
        <w:rPr>
          <w:sz w:val="18"/>
          <w:szCs w:val="18"/>
        </w:rPr>
        <w:softHyphen/>
        <w:t>nou slevou vidět vzdálené kraje bývalé republiky, Slovensko, Podkarpatskou Rus, země historické. Nelze už v Protektorátě jezdit ve vzdálenostech, na něž okružní lístky posky</w:t>
      </w:r>
      <w:r>
        <w:rPr>
          <w:sz w:val="18"/>
          <w:szCs w:val="18"/>
        </w:rPr>
        <w:t>tovaly slevu. Růžové okružní lístky vzaly za své — a přece, když se v starém cestovním albu na starou okružní jízdenku podíváš, když sí vzpomínáš, jak jsi před několika lety jel do Rachova, do Jasiny, do Užoku, do Rožnavy, vidíš teprve, jak rychle krá</w:t>
      </w:r>
      <w:r>
        <w:rPr>
          <w:sz w:val="18"/>
          <w:szCs w:val="18"/>
        </w:rPr>
        <w:softHyphen/>
        <w:t>čela</w:t>
      </w:r>
      <w:r>
        <w:rPr>
          <w:sz w:val="18"/>
          <w:szCs w:val="18"/>
        </w:rPr>
        <w:t xml:space="preserve"> v posledních měsících těmito zeměmi historie. „Nemáme kam jezdit, okružní jízdenky už nevydáváme,“ říká pokladní. Nu, máme ještě kam jezdit, je ještě přemnoho bohatých krás v naší zemi, ale ten starý, neplatný okružní lístek, ten nej</w:t>
      </w:r>
      <w:r>
        <w:rPr>
          <w:sz w:val="18"/>
          <w:szCs w:val="18"/>
        </w:rPr>
        <w:softHyphen/>
        <w:t>více ti řekne, jak se</w:t>
      </w:r>
      <w:r>
        <w:rPr>
          <w:sz w:val="18"/>
          <w:szCs w:val="18"/>
        </w:rPr>
        <w:t xml:space="preserve"> zmenšil náš svět, naše možnosti, naše příležitosti. A naopak, ten růžový okružní lístek ti poví, že jsme se opravdu starali dobře o rozvoj turistiky 1 do nej</w:t>
      </w:r>
      <w:r>
        <w:rPr>
          <w:sz w:val="18"/>
          <w:szCs w:val="18"/>
        </w:rPr>
        <w:softHyphen/>
        <w:t>východnějších zemí republiky, vzpomeneš, co se vykonalo na Podkarpatské Rusi pro větší blahobyt t</w:t>
      </w:r>
      <w:r>
        <w:rPr>
          <w:sz w:val="18"/>
          <w:szCs w:val="18"/>
        </w:rPr>
        <w:t>é nuzné země, vzpo</w:t>
      </w:r>
      <w:r>
        <w:rPr>
          <w:sz w:val="18"/>
          <w:szCs w:val="18"/>
        </w:rPr>
        <w:softHyphen/>
        <w:t xml:space="preserve">meneš, jak opravdu byl probuzen zájem o kraj, kde k srdcí hovořily hory a staletí, a znovu uložíš ten starý okružní lístek do vzpomínek na dobu dvaceti let bývalé republiky, té republiky, jejíž délková osa měřila 900 km ... J. </w:t>
      </w:r>
      <w:r>
        <w:rPr>
          <w:i/>
          <w:iCs/>
          <w:sz w:val="18"/>
          <w:szCs w:val="18"/>
        </w:rPr>
        <w:t>Zhor.</w:t>
      </w:r>
    </w:p>
    <w:p w:rsidR="00500724" w:rsidRDefault="00F30FB8">
      <w:pPr>
        <w:pStyle w:val="Jin0"/>
        <w:pBdr>
          <w:bottom w:val="single" w:sz="4" w:space="0" w:color="auto"/>
        </w:pBdr>
        <w:shd w:val="clear" w:color="auto" w:fill="auto"/>
        <w:spacing w:after="200"/>
        <w:ind w:firstLine="0"/>
        <w:jc w:val="left"/>
        <w:rPr>
          <w:sz w:val="46"/>
          <w:szCs w:val="46"/>
        </w:rPr>
      </w:pPr>
      <w:r>
        <w:rPr>
          <w:b/>
          <w:bCs/>
          <w:sz w:val="46"/>
          <w:szCs w:val="46"/>
        </w:rPr>
        <w:t>doba</w:t>
      </w:r>
      <w:r>
        <w:rPr>
          <w:b/>
          <w:bCs/>
          <w:sz w:val="46"/>
          <w:szCs w:val="46"/>
        </w:rPr>
        <w:t xml:space="preserve"> a lidé</w:t>
      </w:r>
    </w:p>
    <w:p w:rsidR="00500724" w:rsidRDefault="00F30FB8">
      <w:pPr>
        <w:pStyle w:val="Zkladntext1"/>
        <w:shd w:val="clear" w:color="auto" w:fill="auto"/>
        <w:spacing w:after="80" w:line="218" w:lineRule="auto"/>
        <w:ind w:firstLine="0"/>
        <w:rPr>
          <w:sz w:val="20"/>
          <w:szCs w:val="20"/>
        </w:rPr>
      </w:pPr>
      <w:r>
        <w:rPr>
          <w:i/>
          <w:iCs/>
          <w:sz w:val="20"/>
          <w:szCs w:val="20"/>
        </w:rPr>
        <w:t>Lumír Č i v r ný:</w:t>
      </w:r>
    </w:p>
    <w:p w:rsidR="00500724" w:rsidRDefault="00F30FB8">
      <w:pPr>
        <w:pStyle w:val="Jin0"/>
        <w:shd w:val="clear" w:color="auto" w:fill="auto"/>
        <w:spacing w:after="80"/>
        <w:ind w:firstLine="0"/>
        <w:jc w:val="center"/>
        <w:rPr>
          <w:sz w:val="28"/>
          <w:szCs w:val="28"/>
        </w:rPr>
      </w:pPr>
      <w:r>
        <w:rPr>
          <w:b/>
          <w:bCs/>
          <w:i/>
          <w:iCs/>
          <w:sz w:val="28"/>
          <w:szCs w:val="28"/>
        </w:rPr>
        <w:t>O</w:t>
      </w:r>
      <w:r>
        <w:rPr>
          <w:b/>
          <w:bCs/>
          <w:sz w:val="28"/>
          <w:szCs w:val="28"/>
        </w:rPr>
        <w:t xml:space="preserve"> mladých a o morálce provisoria</w:t>
      </w:r>
    </w:p>
    <w:p w:rsidR="00500724" w:rsidRDefault="00F30FB8">
      <w:pPr>
        <w:pStyle w:val="Zkladntext1"/>
        <w:shd w:val="clear" w:color="auto" w:fill="auto"/>
        <w:spacing w:line="218" w:lineRule="auto"/>
        <w:ind w:firstLine="0"/>
        <w:jc w:val="right"/>
        <w:rPr>
          <w:sz w:val="20"/>
          <w:szCs w:val="20"/>
        </w:rPr>
      </w:pPr>
      <w:r>
        <w:rPr>
          <w:rFonts w:ascii="Arial" w:eastAsia="Arial" w:hAnsi="Arial" w:cs="Arial"/>
          <w:sz w:val="16"/>
          <w:szCs w:val="16"/>
        </w:rPr>
        <w:t xml:space="preserve">"í </w:t>
      </w:r>
      <w:r>
        <w:rPr>
          <w:sz w:val="20"/>
          <w:szCs w:val="20"/>
        </w:rPr>
        <w:t>Zždy, když mezi lidmi něco neklape, mluvívá se » o nutnosti vystřídat mladé starými, o generačním problému. Psát o generacích patří k periodickým cho</w:t>
      </w:r>
      <w:r>
        <w:rPr>
          <w:sz w:val="20"/>
          <w:szCs w:val="20"/>
        </w:rPr>
        <w:softHyphen/>
        <w:t>robám žurnalistiky hned vedle úvah o národní</w:t>
      </w:r>
      <w:r>
        <w:rPr>
          <w:sz w:val="20"/>
          <w:szCs w:val="20"/>
        </w:rPr>
        <w:t xml:space="preserve"> povaze.</w:t>
      </w:r>
    </w:p>
    <w:p w:rsidR="00500724" w:rsidRDefault="00F30FB8">
      <w:pPr>
        <w:pStyle w:val="Zkladntext1"/>
        <w:shd w:val="clear" w:color="auto" w:fill="auto"/>
        <w:spacing w:line="218" w:lineRule="auto"/>
        <w:ind w:firstLine="0"/>
        <w:rPr>
          <w:sz w:val="20"/>
          <w:szCs w:val="20"/>
        </w:rPr>
      </w:pPr>
      <w:r>
        <w:rPr>
          <w:sz w:val="20"/>
          <w:szCs w:val="20"/>
        </w:rPr>
        <w:t>Slůvko „generace“ je slůvko kouzelné, je to zakli</w:t>
      </w:r>
      <w:r>
        <w:rPr>
          <w:sz w:val="20"/>
          <w:szCs w:val="20"/>
        </w:rPr>
        <w:softHyphen/>
        <w:t>nadlo, hromosvod, útočiště slepců, když se před nimi otevře neznámé, neprobadané prázdno, na př. hospo</w:t>
      </w:r>
      <w:r>
        <w:rPr>
          <w:sz w:val="20"/>
          <w:szCs w:val="20"/>
        </w:rPr>
        <w:softHyphen/>
        <w:t>dářská krise, potíže s populací, prohra národního foot</w:t>
      </w:r>
      <w:r>
        <w:rPr>
          <w:sz w:val="20"/>
          <w:szCs w:val="20"/>
        </w:rPr>
        <w:softHyphen/>
        <w:t>ballového mužstva, vzrůst sebevražednos</w:t>
      </w:r>
      <w:r>
        <w:rPr>
          <w:sz w:val="20"/>
          <w:szCs w:val="20"/>
        </w:rPr>
        <w:t>ti. Jako by občas bylo nutno nějaký ten „generační problém“ spolknout jako pilulku — pro zdraví. Beze škody se stráví, a nic se nestane. Je možno se klidně vrátit k dennímu pořadu.</w:t>
      </w:r>
    </w:p>
    <w:p w:rsidR="00500724" w:rsidRDefault="00F30FB8">
      <w:pPr>
        <w:pStyle w:val="Zkladntext1"/>
        <w:shd w:val="clear" w:color="auto" w:fill="auto"/>
        <w:spacing w:line="216" w:lineRule="auto"/>
        <w:ind w:firstLine="240"/>
        <w:rPr>
          <w:sz w:val="20"/>
          <w:szCs w:val="20"/>
        </w:rPr>
      </w:pPr>
      <w:r>
        <w:rPr>
          <w:sz w:val="20"/>
          <w:szCs w:val="20"/>
        </w:rPr>
        <w:t xml:space="preserve">A přece generace jsou; nezávisle na tom, jak se s nimi v tisku nakládá. Je </w:t>
      </w:r>
      <w:r>
        <w:rPr>
          <w:sz w:val="20"/>
          <w:szCs w:val="20"/>
        </w:rPr>
        <w:t>to v celku přirozené: ne</w:t>
      </w:r>
      <w:r>
        <w:rPr>
          <w:sz w:val="20"/>
          <w:szCs w:val="20"/>
        </w:rPr>
        <w:softHyphen/>
        <w:t>spokojujeme se tím, co lidé před lety pokládali za ukončené. Život se nekončí, pracuje se stále o jeho dokonalejších formách a velmi často se za ně bojuje. Jeho rytmus a styl se mění: s lidmi a v nich. Tu jde vskutku o generace, je</w:t>
      </w:r>
      <w:r>
        <w:rPr>
          <w:sz w:val="20"/>
          <w:szCs w:val="20"/>
        </w:rPr>
        <w:t>nže mají mnohem větší rozsah a hlubší smysl, než jaký jim přiřkne úvaha v denním tisku. A vypozorovat pak znaky odlišnosti životního rytmu, to není snadná úloha. Jde o změny mentality u velkých společenských celků, o generace národů; majíť lidé po všem svě</w:t>
      </w:r>
      <w:r>
        <w:rPr>
          <w:sz w:val="20"/>
          <w:szCs w:val="20"/>
        </w:rPr>
        <w:t>tě stále více rysů společných než rozdílných, žijí v podmínkách ekonomicko-sociál- ních stále vyrovnanějších, takže jsou často větší roz</w:t>
      </w:r>
      <w:r>
        <w:rPr>
          <w:sz w:val="20"/>
          <w:szCs w:val="20"/>
        </w:rPr>
        <w:softHyphen/>
        <w:t>pory uvnitř národních celků než mezi nimi. Hledat generační znaky znamená pak ptát se po typu; nachá</w:t>
      </w:r>
      <w:r>
        <w:rPr>
          <w:sz w:val="20"/>
          <w:szCs w:val="20"/>
        </w:rPr>
        <w:softHyphen/>
        <w:t>zet ne zvláštnost,</w:t>
      </w:r>
      <w:r>
        <w:rPr>
          <w:sz w:val="20"/>
          <w:szCs w:val="20"/>
        </w:rPr>
        <w:t xml:space="preserve"> ale obecnost, ne vrcholky, ale prů</w:t>
      </w:r>
      <w:r>
        <w:rPr>
          <w:sz w:val="20"/>
          <w:szCs w:val="20"/>
        </w:rPr>
        <w:softHyphen/>
        <w:t>měr. A při tom mít trvale na paměti, že průměr ne- experimentuje; že myšlenka, jde-li z ruky do ruky, zatemňuje se.</w:t>
      </w:r>
    </w:p>
    <w:p w:rsidR="00500724" w:rsidRDefault="00F30FB8">
      <w:pPr>
        <w:pStyle w:val="Zkladntext1"/>
        <w:shd w:val="clear" w:color="auto" w:fill="auto"/>
        <w:spacing w:line="216" w:lineRule="auto"/>
        <w:ind w:firstLine="260"/>
        <w:rPr>
          <w:sz w:val="20"/>
          <w:szCs w:val="20"/>
        </w:rPr>
      </w:pPr>
      <w:r>
        <w:rPr>
          <w:sz w:val="20"/>
          <w:szCs w:val="20"/>
        </w:rPr>
        <w:t>Generace sama (jako souhrn lodí určitého rytmu životního z určitého období) není nic statického a pevnéh</w:t>
      </w:r>
      <w:r>
        <w:rPr>
          <w:sz w:val="20"/>
          <w:szCs w:val="20"/>
        </w:rPr>
        <w:t>o; mění se, vyvíjí a přetváří s každým jedin</w:t>
      </w:r>
      <w:r>
        <w:rPr>
          <w:sz w:val="20"/>
          <w:szCs w:val="20"/>
        </w:rPr>
        <w:softHyphen/>
        <w:t>cem, vklíněna mezi generaci předchozí a následující ve své dospělosti. Jsou období, kdy je dočasně pohlce</w:t>
      </w:r>
      <w:r>
        <w:rPr>
          <w:sz w:val="20"/>
          <w:szCs w:val="20"/>
        </w:rPr>
        <w:softHyphen/>
        <w:t>na. Otevrou-li se před lidmi otázky, s něž nejsou, dobrovolně zahazují individualitu a vrhají se do oblud</w:t>
      </w:r>
      <w:r>
        <w:rPr>
          <w:sz w:val="20"/>
          <w:szCs w:val="20"/>
        </w:rPr>
        <w:t>ného vědomí množství. Bylo tomu tak, myslím, při vypuknutí války. Jedince i generace pohltil do</w:t>
      </w:r>
      <w:r>
        <w:rPr>
          <w:sz w:val="20"/>
          <w:szCs w:val="20"/>
        </w:rPr>
        <w:softHyphen/>
        <w:t>časně fantom národa.</w:t>
      </w:r>
    </w:p>
    <w:p w:rsidR="00500724" w:rsidRDefault="00F30FB8">
      <w:pPr>
        <w:pStyle w:val="Zkladntext1"/>
        <w:shd w:val="clear" w:color="auto" w:fill="auto"/>
        <w:spacing w:line="216" w:lineRule="auto"/>
        <w:ind w:firstLine="260"/>
        <w:rPr>
          <w:sz w:val="20"/>
          <w:szCs w:val="20"/>
        </w:rPr>
      </w:pPr>
      <w:r>
        <w:rPr>
          <w:sz w:val="20"/>
          <w:szCs w:val="20"/>
        </w:rPr>
        <w:t xml:space="preserve">Ani šablonovitá otázka „starší proti mladým“ ne- vnese mnoho světla do temnot kolem „generačních problémů“. Přečetné křepké mladíky vidíme </w:t>
      </w:r>
      <w:r>
        <w:rPr>
          <w:sz w:val="20"/>
          <w:szCs w:val="20"/>
        </w:rPr>
        <w:t>kysat ve společnosti starců, jak svorně s nimi dusí, co roste, zavírají okna, brzdí vše pohyblivé. A jsou naopak lidé fysicky staří, kteří dokonce vedou ty nejmladší k prá</w:t>
      </w:r>
      <w:r>
        <w:rPr>
          <w:sz w:val="20"/>
          <w:szCs w:val="20"/>
        </w:rPr>
        <w:softHyphen/>
        <w:t>ci a při práci o nějaké skutečné novotě, o nějaké do</w:t>
      </w:r>
      <w:r>
        <w:rPr>
          <w:sz w:val="20"/>
          <w:szCs w:val="20"/>
        </w:rPr>
        <w:softHyphen/>
        <w:t>konalejší formě životní.</w:t>
      </w:r>
    </w:p>
    <w:p w:rsidR="00500724" w:rsidRDefault="00F30FB8">
      <w:pPr>
        <w:pStyle w:val="Zkladntext1"/>
        <w:shd w:val="clear" w:color="auto" w:fill="auto"/>
        <w:spacing w:line="216" w:lineRule="auto"/>
        <w:ind w:firstLine="260"/>
        <w:rPr>
          <w:sz w:val="20"/>
          <w:szCs w:val="20"/>
        </w:rPr>
      </w:pPr>
      <w:r>
        <w:rPr>
          <w:sz w:val="20"/>
          <w:szCs w:val="20"/>
        </w:rPr>
        <w:t>Co ted</w:t>
      </w:r>
      <w:r>
        <w:rPr>
          <w:sz w:val="20"/>
          <w:szCs w:val="20"/>
        </w:rPr>
        <w:t>y s generací?</w:t>
      </w:r>
    </w:p>
    <w:p w:rsidR="00500724" w:rsidRDefault="00F30FB8">
      <w:pPr>
        <w:pStyle w:val="Zkladntext1"/>
        <w:shd w:val="clear" w:color="auto" w:fill="auto"/>
        <w:spacing w:line="216" w:lineRule="auto"/>
        <w:ind w:firstLine="260"/>
        <w:rPr>
          <w:sz w:val="20"/>
          <w:szCs w:val="20"/>
        </w:rPr>
      </w:pPr>
      <w:r>
        <w:rPr>
          <w:sz w:val="20"/>
          <w:szCs w:val="20"/>
        </w:rPr>
        <w:t>Je třeba říci, že v širším smyslu slova ji určují tech</w:t>
      </w:r>
      <w:r>
        <w:rPr>
          <w:sz w:val="20"/>
          <w:szCs w:val="20"/>
        </w:rPr>
        <w:softHyphen/>
        <w:t>nika a práce, společnost a její hybné síly, hospodářství, poměr k hmotě. V užším smyslu pak toliko věk, da</w:t>
      </w:r>
      <w:r>
        <w:rPr>
          <w:sz w:val="20"/>
          <w:szCs w:val="20"/>
        </w:rPr>
        <w:softHyphen/>
        <w:t>tum zrození jejích členů.</w:t>
      </w:r>
    </w:p>
    <w:p w:rsidR="00500724" w:rsidRDefault="00F30FB8">
      <w:pPr>
        <w:pStyle w:val="Zkladntext1"/>
        <w:shd w:val="clear" w:color="auto" w:fill="auto"/>
        <w:spacing w:line="216" w:lineRule="auto"/>
        <w:ind w:firstLine="0"/>
        <w:jc w:val="center"/>
        <w:rPr>
          <w:sz w:val="20"/>
          <w:szCs w:val="20"/>
        </w:rPr>
      </w:pPr>
      <w:r>
        <w:rPr>
          <w:sz w:val="20"/>
          <w:szCs w:val="20"/>
        </w:rPr>
        <w:t>•</w:t>
      </w:r>
    </w:p>
    <w:p w:rsidR="00500724" w:rsidRDefault="00F30FB8">
      <w:pPr>
        <w:pStyle w:val="Zkladntext1"/>
        <w:shd w:val="clear" w:color="auto" w:fill="auto"/>
        <w:spacing w:line="216" w:lineRule="auto"/>
        <w:ind w:firstLine="260"/>
        <w:rPr>
          <w:sz w:val="20"/>
          <w:szCs w:val="20"/>
        </w:rPr>
      </w:pPr>
      <w:r>
        <w:rPr>
          <w:sz w:val="20"/>
          <w:szCs w:val="20"/>
        </w:rPr>
        <w:t>A co nyní s generací nejmladších?</w:t>
      </w:r>
    </w:p>
    <w:p w:rsidR="00500724" w:rsidRDefault="00F30FB8">
      <w:pPr>
        <w:pStyle w:val="Zkladntext1"/>
        <w:shd w:val="clear" w:color="auto" w:fill="auto"/>
        <w:spacing w:line="216" w:lineRule="auto"/>
        <w:ind w:firstLine="260"/>
        <w:rPr>
          <w:sz w:val="20"/>
          <w:szCs w:val="20"/>
        </w:rPr>
      </w:pPr>
      <w:r>
        <w:rPr>
          <w:sz w:val="20"/>
          <w:szCs w:val="20"/>
        </w:rPr>
        <w:t xml:space="preserve">Jednou o ní bylo </w:t>
      </w:r>
      <w:r>
        <w:rPr>
          <w:sz w:val="20"/>
          <w:szCs w:val="20"/>
        </w:rPr>
        <w:t>řečeno, že je zcela jiná než gene</w:t>
      </w:r>
      <w:r>
        <w:rPr>
          <w:sz w:val="20"/>
          <w:szCs w:val="20"/>
        </w:rPr>
        <w:softHyphen/>
        <w:t>race třicetiletých: reservovanější, skeptičtější, stříd</w:t>
      </w:r>
      <w:r>
        <w:rPr>
          <w:sz w:val="20"/>
          <w:szCs w:val="20"/>
        </w:rPr>
        <w:softHyphen/>
        <w:t>mější, ba chudá ve výrazu, střízlivá a mlčelivá. Jindy, že trpí obecným komplexem méněcennosti, že je pa</w:t>
      </w:r>
      <w:r>
        <w:rPr>
          <w:sz w:val="20"/>
          <w:szCs w:val="20"/>
        </w:rPr>
        <w:softHyphen/>
        <w:t>sivní, zakřiknutá. Jednou se tvrdilo, že je realistická, jind</w:t>
      </w:r>
      <w:r>
        <w:rPr>
          <w:sz w:val="20"/>
          <w:szCs w:val="20"/>
        </w:rPr>
        <w:t>y zas, že je sentimentální, neboť prý zaměnila Torna Mixe za operetu; jindy, že je příliš sportovní, a posléze, že je vůbec k ničemu. Vyskytly se i rady, vesměs dosti laciné.</w:t>
      </w:r>
    </w:p>
    <w:p w:rsidR="00500724" w:rsidRDefault="00F30FB8">
      <w:pPr>
        <w:pStyle w:val="Zkladntext1"/>
        <w:shd w:val="clear" w:color="auto" w:fill="auto"/>
        <w:spacing w:line="216" w:lineRule="auto"/>
        <w:ind w:firstLine="260"/>
        <w:rPr>
          <w:sz w:val="20"/>
          <w:szCs w:val="20"/>
        </w:rPr>
      </w:pPr>
      <w:r>
        <w:rPr>
          <w:sz w:val="20"/>
          <w:szCs w:val="20"/>
        </w:rPr>
        <w:t>Jelikož nemáme pocit viny a můžeme mluviti o ge</w:t>
      </w:r>
      <w:r>
        <w:rPr>
          <w:sz w:val="20"/>
          <w:szCs w:val="20"/>
        </w:rPr>
        <w:softHyphen/>
        <w:t>neraci nejmladších prostě z dobré</w:t>
      </w:r>
      <w:r>
        <w:rPr>
          <w:sz w:val="20"/>
          <w:szCs w:val="20"/>
        </w:rPr>
        <w:t xml:space="preserve"> vůle poznat ji či pro</w:t>
      </w:r>
      <w:r>
        <w:rPr>
          <w:sz w:val="20"/>
          <w:szCs w:val="20"/>
        </w:rPr>
        <w:softHyphen/>
        <w:t>mluvit za ni, pohovořme o ní. Především o jejím spor</w:t>
      </w:r>
      <w:r>
        <w:rPr>
          <w:sz w:val="20"/>
          <w:szCs w:val="20"/>
        </w:rPr>
        <w:softHyphen/>
        <w:t>tovním formalismu. Na příklad tohle: menší kluby, hlavně footballové, vlekou s sebou mladé lidi, kteří nikdy kopanou nehrají, ale nosívají hráčům kufry, mají v malí</w:t>
      </w:r>
      <w:r>
        <w:rPr>
          <w:sz w:val="20"/>
          <w:szCs w:val="20"/>
        </w:rPr>
        <w:softHyphen/>
        <w:t>ku všechny jeji</w:t>
      </w:r>
      <w:r>
        <w:rPr>
          <w:sz w:val="20"/>
          <w:szCs w:val="20"/>
        </w:rPr>
        <w:t>ch slabiny i přednosti i jejich rozmary a vůbec psychologii, vykouří spoustu cigaret v hádkách, je-li výhodnější hrát proti „A. F. K. Příchlupy“ systé</w:t>
      </w:r>
      <w:r>
        <w:rPr>
          <w:sz w:val="20"/>
          <w:szCs w:val="20"/>
        </w:rPr>
        <w:softHyphen/>
        <w:t>mem dvojitého W či nějakým jiným, udržují morálku mužstva i náladu na hřišti, aspirují tajně na funkci tr</w:t>
      </w:r>
      <w:r>
        <w:rPr>
          <w:sz w:val="20"/>
          <w:szCs w:val="20"/>
        </w:rPr>
        <w:t>e</w:t>
      </w:r>
      <w:r>
        <w:rPr>
          <w:sz w:val="20"/>
          <w:szCs w:val="20"/>
        </w:rPr>
        <w:softHyphen/>
        <w:t>néra, klubovního lékaře nebo soudce. Někdy se z nich stanou funkcionáři sportovních klubů. Většinou však zůstávají pouhými sportovními formalisty. Fanoušky. Ve velkém pak plní hlediště na zápasech slavných klu</w:t>
      </w:r>
      <w:r>
        <w:rPr>
          <w:sz w:val="20"/>
          <w:szCs w:val="20"/>
        </w:rPr>
        <w:softHyphen/>
        <w:t>bů, o jejichž vítězství se předem úporně hád</w:t>
      </w:r>
      <w:r>
        <w:rPr>
          <w:sz w:val="20"/>
          <w:szCs w:val="20"/>
        </w:rPr>
        <w:t>ají. — Teoretický poměr ke sportu, formalismus, fanouškov- ství, to je mor mladých lidí. Souvisí to jistě poněkud s výskytem typu, dosud u nás nevyhynuvšího, typu lokajského. A ještě s něčím podstatnějším.</w:t>
      </w:r>
    </w:p>
    <w:p w:rsidR="00500724" w:rsidRDefault="00F30FB8">
      <w:pPr>
        <w:pStyle w:val="Zkladntext1"/>
        <w:shd w:val="clear" w:color="auto" w:fill="auto"/>
        <w:spacing w:line="216" w:lineRule="auto"/>
        <w:ind w:firstLine="260"/>
        <w:jc w:val="left"/>
        <w:rPr>
          <w:sz w:val="20"/>
          <w:szCs w:val="20"/>
        </w:rPr>
      </w:pPr>
      <w:r>
        <w:rPr>
          <w:sz w:val="20"/>
          <w:szCs w:val="20"/>
        </w:rPr>
        <w:t>Výkonnost ve všech sportovních odvětvích stále sto</w:t>
      </w:r>
      <w:r>
        <w:rPr>
          <w:sz w:val="20"/>
          <w:szCs w:val="20"/>
        </w:rPr>
        <w:t>upá: srovnejme jen deset let staré rekordy s dneš</w:t>
      </w:r>
      <w:r>
        <w:rPr>
          <w:sz w:val="20"/>
          <w:szCs w:val="20"/>
        </w:rPr>
        <w:softHyphen/>
        <w:t>ními. Sportovní generace? Ne, jen speeialisaee. Gla</w:t>
      </w:r>
      <w:r>
        <w:rPr>
          <w:sz w:val="20"/>
          <w:szCs w:val="20"/>
        </w:rPr>
        <w:softHyphen/>
        <w:t>diátoři trhají rekordy, zatím co se hrudníky ostatních rozšiřují jen nepatrně. Mladé lidi ovládl systém hvězd, ~ oslepuje je, těží z nich: prostý obchod.</w:t>
      </w:r>
    </w:p>
    <w:p w:rsidR="00500724" w:rsidRDefault="00F30FB8">
      <w:pPr>
        <w:pStyle w:val="Zkladntext1"/>
        <w:shd w:val="clear" w:color="auto" w:fill="auto"/>
        <w:spacing w:line="214" w:lineRule="auto"/>
        <w:ind w:right="340" w:firstLine="280"/>
        <w:rPr>
          <w:sz w:val="20"/>
          <w:szCs w:val="20"/>
        </w:rPr>
      </w:pPr>
      <w:r>
        <w:rPr>
          <w:sz w:val="20"/>
          <w:szCs w:val="20"/>
        </w:rPr>
        <w:t>Prakticky má nejmladší generace ke sportu stále ještě dosti daleko. Ke sportu-jako rekreaci, jako po</w:t>
      </w:r>
      <w:r>
        <w:rPr>
          <w:sz w:val="20"/>
          <w:szCs w:val="20"/>
        </w:rPr>
        <w:softHyphen/>
        <w:t>sile, jako zdokonalení. Nepochybně mají mladí sport rádi. I když nemrhají časem jako fanoušci, mají času málo. Ani hřišť není tolik, kolik by bylo třeba, a</w:t>
      </w:r>
      <w:r>
        <w:rPr>
          <w:sz w:val="20"/>
          <w:szCs w:val="20"/>
        </w:rPr>
        <w:t>ni nářadí. A člověk, znavený běžícím pásem, mnohdy vy</w:t>
      </w:r>
      <w:r>
        <w:rPr>
          <w:sz w:val="20"/>
          <w:szCs w:val="20"/>
        </w:rPr>
        <w:softHyphen/>
        <w:t>hladovělý a utýraný, nemyslí na sport. A pak: sport stojí peníze.</w:t>
      </w:r>
    </w:p>
    <w:p w:rsidR="00500724" w:rsidRDefault="00F30FB8">
      <w:pPr>
        <w:pStyle w:val="Zkladntext1"/>
        <w:shd w:val="clear" w:color="auto" w:fill="auto"/>
        <w:spacing w:line="214" w:lineRule="auto"/>
        <w:ind w:right="340" w:firstLine="280"/>
        <w:rPr>
          <w:sz w:val="20"/>
          <w:szCs w:val="20"/>
        </w:rPr>
      </w:pPr>
      <w:r>
        <w:rPr>
          <w:sz w:val="20"/>
          <w:szCs w:val="20"/>
        </w:rPr>
        <w:t>To vše se týká především chlapců. Děvčata jsou na tom ještě hůře; větší měrou sportují jen ta bohatší a studentky. Ostatním zbývá jen tr</w:t>
      </w:r>
      <w:r>
        <w:rPr>
          <w:sz w:val="20"/>
          <w:szCs w:val="20"/>
        </w:rPr>
        <w:t>ochu koupání, wolley- ballu, turistiky. Jsou pozadu za chlapci, jejich situace povšechná je horší, neboť jsou závislejší, na rodině, na morálce, na výdělku. Mají proto i méně odvahy zlomit konvenci.</w:t>
      </w:r>
    </w:p>
    <w:p w:rsidR="00500724" w:rsidRDefault="00F30FB8">
      <w:pPr>
        <w:pStyle w:val="Zkladntext1"/>
        <w:shd w:val="clear" w:color="auto" w:fill="auto"/>
        <w:spacing w:line="214" w:lineRule="auto"/>
        <w:ind w:right="340" w:firstLine="280"/>
        <w:rPr>
          <w:sz w:val="20"/>
          <w:szCs w:val="20"/>
        </w:rPr>
      </w:pPr>
      <w:r>
        <w:rPr>
          <w:sz w:val="20"/>
          <w:szCs w:val="20"/>
        </w:rPr>
        <w:t xml:space="preserve">Nedá se tedy, myslím, mluvit o nejmladší generaci jako o </w:t>
      </w:r>
      <w:r>
        <w:rPr>
          <w:sz w:val="20"/>
          <w:szCs w:val="20"/>
        </w:rPr>
        <w:t>sportovní. Ona dosud čeká na dobu, kdy bude moci opravdu sportovat. A sem, do tohoto čekání, spa</w:t>
      </w:r>
      <w:r>
        <w:rPr>
          <w:sz w:val="20"/>
          <w:szCs w:val="20"/>
        </w:rPr>
        <w:softHyphen/>
        <w:t>dá trochu i fanouškovství. Také ono je poněkud sou</w:t>
      </w:r>
      <w:r>
        <w:rPr>
          <w:sz w:val="20"/>
          <w:szCs w:val="20"/>
        </w:rPr>
        <w:softHyphen/>
        <w:t>částí morálky provisoria, morálky dnešního mládí.</w:t>
      </w:r>
    </w:p>
    <w:p w:rsidR="00500724" w:rsidRDefault="00F30FB8">
      <w:pPr>
        <w:pStyle w:val="Zkladntext1"/>
        <w:shd w:val="clear" w:color="auto" w:fill="auto"/>
        <w:spacing w:line="214" w:lineRule="auto"/>
        <w:ind w:right="340" w:firstLine="280"/>
        <w:rPr>
          <w:sz w:val="20"/>
          <w:szCs w:val="20"/>
        </w:rPr>
      </w:pPr>
      <w:r>
        <w:rPr>
          <w:sz w:val="20"/>
          <w:szCs w:val="20"/>
        </w:rPr>
        <w:t>Nic nevyplňuje dokonale život mladých lidí, nic jim nedává</w:t>
      </w:r>
      <w:r>
        <w:rPr>
          <w:sz w:val="20"/>
          <w:szCs w:val="20"/>
        </w:rPr>
        <w:t xml:space="preserve"> jistotu: ani sport, ani tramping, ani škola, ani práce, ani kultura, ani láska.</w:t>
      </w:r>
    </w:p>
    <w:p w:rsidR="00500724" w:rsidRDefault="00F30FB8">
      <w:pPr>
        <w:pStyle w:val="Zkladntext1"/>
        <w:shd w:val="clear" w:color="auto" w:fill="auto"/>
        <w:spacing w:line="214" w:lineRule="auto"/>
        <w:ind w:right="340" w:firstLine="280"/>
        <w:rPr>
          <w:sz w:val="20"/>
          <w:szCs w:val="20"/>
        </w:rPr>
      </w:pPr>
      <w:r>
        <w:rPr>
          <w:sz w:val="20"/>
          <w:szCs w:val="20"/>
        </w:rPr>
        <w:t>Je tomu už víc než deset let, co vznikl a rozbujel tramping, zprvu jeden z protestů proti drillu, mecha- nisaci, morálce, kšeftu, později v dusném ovzduší mnohem méně romantic</w:t>
      </w:r>
      <w:r>
        <w:rPr>
          <w:sz w:val="20"/>
          <w:szCs w:val="20"/>
        </w:rPr>
        <w:t>ký a velmi zchladlý i poho</w:t>
      </w:r>
      <w:r>
        <w:rPr>
          <w:sz w:val="20"/>
          <w:szCs w:val="20"/>
        </w:rPr>
        <w:softHyphen/>
        <w:t>dlný sobotní odchod do přírody. Mladí stále ještě hoj</w:t>
      </w:r>
      <w:r>
        <w:rPr>
          <w:sz w:val="20"/>
          <w:szCs w:val="20"/>
        </w:rPr>
        <w:softHyphen/>
        <w:t>ně trampují. Milují na trampingu nedostatek drillu, mnohým nahrazuje sport, mnohým přibližuje lásku; všem pak přírodu. Že ztratil na průboj nosti — sotva asi s generací — vidí</w:t>
      </w:r>
      <w:r>
        <w:rPr>
          <w:sz w:val="20"/>
          <w:szCs w:val="20"/>
        </w:rPr>
        <w:t>me z toho, že mnozí mladí lidé na př. stolují v chatách se vším hamparátím obě</w:t>
      </w:r>
      <w:r>
        <w:rPr>
          <w:sz w:val="20"/>
          <w:szCs w:val="20"/>
        </w:rPr>
        <w:softHyphen/>
        <w:t xml:space="preserve">dového komfortu. Nepatrné procento romantiků se vláčí v okolí Prahy s výstrojí, vhodnou na výpravu do tajgy. Ti první i ti druzí jsou na tom stejně: kazí si radost z přírody, z </w:t>
      </w:r>
      <w:r>
        <w:rPr>
          <w:sz w:val="20"/>
          <w:szCs w:val="20"/>
        </w:rPr>
        <w:t>pohybu. Obojích však ubývá, jak ubývá vlivu starších.</w:t>
      </w:r>
    </w:p>
    <w:p w:rsidR="00500724" w:rsidRDefault="00F30FB8">
      <w:pPr>
        <w:pStyle w:val="Zkladntext1"/>
        <w:shd w:val="clear" w:color="auto" w:fill="auto"/>
        <w:spacing w:line="214" w:lineRule="auto"/>
        <w:ind w:right="340" w:firstLine="280"/>
        <w:rPr>
          <w:sz w:val="20"/>
          <w:szCs w:val="20"/>
        </w:rPr>
      </w:pPr>
      <w:r>
        <w:rPr>
          <w:sz w:val="20"/>
          <w:szCs w:val="20"/>
        </w:rPr>
        <w:t>V přírodě se mladí mohou vrátit k přirozené vnitřní poloze; vzniká tam často mezi chlapci a děvčaty pěk</w:t>
      </w:r>
      <w:r>
        <w:rPr>
          <w:sz w:val="20"/>
          <w:szCs w:val="20"/>
        </w:rPr>
        <w:softHyphen/>
        <w:t>ná, věcná, nesentimentální láska (nedejme se klamat t. zv. trampskými písněmi). Jediné tam má lásk</w:t>
      </w:r>
      <w:r>
        <w:rPr>
          <w:sz w:val="20"/>
          <w:szCs w:val="20"/>
        </w:rPr>
        <w:t>a dneš</w:t>
      </w:r>
      <w:r>
        <w:rPr>
          <w:sz w:val="20"/>
          <w:szCs w:val="20"/>
        </w:rPr>
        <w:softHyphen/>
        <w:t>ních mladých lidí trochu volnosti. I ona trpí proviso- riem, jež způsobuje neupřímnost a náhlé, bolestné zvraty. Citový, smyslový život mladých lidí je ujař</w:t>
      </w:r>
      <w:r>
        <w:rPr>
          <w:sz w:val="20"/>
          <w:szCs w:val="20"/>
        </w:rPr>
        <w:softHyphen/>
        <w:t>men, zdupán a zasypán hmotou, čísly, seschlý nejisto</w:t>
      </w:r>
      <w:r>
        <w:rPr>
          <w:sz w:val="20"/>
          <w:szCs w:val="20"/>
        </w:rPr>
        <w:softHyphen/>
        <w:t>tou. Zdá se, že také proto tolik mladýc</w:t>
      </w:r>
      <w:r>
        <w:rPr>
          <w:sz w:val="20"/>
          <w:szCs w:val="20"/>
        </w:rPr>
        <w:t>h děvčat čte sentimentální romány; jejich citové jádro je v ne</w:t>
      </w:r>
      <w:r>
        <w:rPr>
          <w:sz w:val="20"/>
          <w:szCs w:val="20"/>
        </w:rPr>
        <w:softHyphen/>
        <w:t>pravé poloze, nechápou skutečnost, nevzrušuje je.</w:t>
      </w:r>
    </w:p>
    <w:p w:rsidR="00500724" w:rsidRDefault="00F30FB8">
      <w:pPr>
        <w:pStyle w:val="Zkladntext1"/>
        <w:shd w:val="clear" w:color="auto" w:fill="auto"/>
        <w:spacing w:line="214" w:lineRule="auto"/>
        <w:ind w:right="340" w:firstLine="0"/>
        <w:rPr>
          <w:sz w:val="20"/>
          <w:szCs w:val="20"/>
        </w:rPr>
      </w:pPr>
      <w:r>
        <w:rPr>
          <w:sz w:val="20"/>
          <w:szCs w:val="20"/>
        </w:rPr>
        <w:t xml:space="preserve">S pudovou, tělesnou svou částí si přemnoho mladých děvčat neví rady, a do té trochy volnosti, jíž se jim na rozdíl od jejich maminek zřejmě </w:t>
      </w:r>
      <w:r>
        <w:rPr>
          <w:sz w:val="20"/>
          <w:szCs w:val="20"/>
        </w:rPr>
        <w:t>přece jen dostalo, se vydávají nepoučena. O něco lépe jsou na tom chlap</w:t>
      </w:r>
      <w:r>
        <w:rPr>
          <w:sz w:val="20"/>
          <w:szCs w:val="20"/>
        </w:rPr>
        <w:softHyphen/>
        <w:t>ci; o to jim zase přibylo cynismu. A i ten, třebaže ho není tolik, aby se mohla generace dvacetiletých pro</w:t>
      </w:r>
      <w:r>
        <w:rPr>
          <w:sz w:val="20"/>
          <w:szCs w:val="20"/>
        </w:rPr>
        <w:softHyphen/>
        <w:t>hlásit za generaci cyniků, je součástí morálky provi</w:t>
      </w:r>
      <w:r>
        <w:rPr>
          <w:sz w:val="20"/>
          <w:szCs w:val="20"/>
        </w:rPr>
        <w:softHyphen/>
        <w:t>soria. Je jakousi solí č</w:t>
      </w:r>
      <w:r>
        <w:rPr>
          <w:sz w:val="20"/>
          <w:szCs w:val="20"/>
        </w:rPr>
        <w:t>ekání, napjatého, vyčerpávají</w:t>
      </w:r>
      <w:r>
        <w:rPr>
          <w:sz w:val="20"/>
          <w:szCs w:val="20"/>
        </w:rPr>
        <w:softHyphen/>
        <w:t>cího. Nebýt ironie, pohrdání a clownství — jež se pro</w:t>
      </w:r>
      <w:r>
        <w:rPr>
          <w:sz w:val="20"/>
          <w:szCs w:val="20"/>
        </w:rPr>
        <w:softHyphen/>
        <w:t>jevilo důrazně i na mladé české scéně a jež nikterak nevymřelo (pomysleme jen na studentskou „recesi“)</w:t>
      </w:r>
    </w:p>
    <w:p w:rsidR="00500724" w:rsidRDefault="00F30FB8">
      <w:pPr>
        <w:pStyle w:val="Zkladntext1"/>
        <w:shd w:val="clear" w:color="auto" w:fill="auto"/>
        <w:spacing w:line="214" w:lineRule="auto"/>
        <w:ind w:firstLine="0"/>
        <w:jc w:val="left"/>
        <w:rPr>
          <w:sz w:val="20"/>
          <w:szCs w:val="20"/>
        </w:rPr>
      </w:pPr>
      <w:r>
        <w:rPr>
          <w:sz w:val="20"/>
          <w:szCs w:val="20"/>
        </w:rPr>
        <w:t>— trpěli by mladí vskutku hromadně silným komple</w:t>
      </w:r>
      <w:r>
        <w:rPr>
          <w:sz w:val="20"/>
          <w:szCs w:val="20"/>
        </w:rPr>
        <w:softHyphen/>
        <w:t>xem méněcennosti.</w:t>
      </w:r>
    </w:p>
    <w:p w:rsidR="00500724" w:rsidRDefault="00F30FB8">
      <w:pPr>
        <w:pStyle w:val="Zkladntext1"/>
        <w:shd w:val="clear" w:color="auto" w:fill="auto"/>
        <w:spacing w:line="221" w:lineRule="auto"/>
        <w:ind w:right="340" w:firstLine="280"/>
        <w:rPr>
          <w:sz w:val="20"/>
          <w:szCs w:val="20"/>
        </w:rPr>
        <w:sectPr w:rsidR="00500724">
          <w:footnotePr>
            <w:numFmt w:val="chicago"/>
            <w:numRestart w:val="eachPage"/>
          </w:footnotePr>
          <w:type w:val="continuous"/>
          <w:pgSz w:w="11909" w:h="16834"/>
          <w:pgMar w:top="1125" w:right="1083" w:bottom="983" w:left="357" w:header="0" w:footer="3" w:gutter="0"/>
          <w:cols w:num="2" w:space="100"/>
          <w:noEndnote/>
          <w:docGrid w:linePitch="360"/>
        </w:sectPr>
      </w:pPr>
      <w:r>
        <w:rPr>
          <w:sz w:val="20"/>
          <w:szCs w:val="20"/>
        </w:rPr>
        <w:t>Vždyť je jim očkován již ve škole. Škola je něco, co si mladí sami nevytvořili, něco, čemu byli vydáni</w:t>
      </w:r>
    </w:p>
    <w:p w:rsidR="00500724" w:rsidRDefault="00F30FB8">
      <w:pPr>
        <w:spacing w:line="14" w:lineRule="exact"/>
      </w:pPr>
      <w:r>
        <w:rPr>
          <w:noProof/>
        </w:rPr>
        <mc:AlternateContent>
          <mc:Choice Requires="wps">
            <w:drawing>
              <wp:anchor distT="0" distB="63500" distL="114300" distR="1043940" simplePos="0" relativeHeight="125830166" behindDoc="0" locked="0" layoutInCell="1" allowOverlap="1">
                <wp:simplePos x="0" y="0"/>
                <wp:positionH relativeFrom="page">
                  <wp:posOffset>2985135</wp:posOffset>
                </wp:positionH>
                <wp:positionV relativeFrom="paragraph">
                  <wp:posOffset>12700</wp:posOffset>
                </wp:positionV>
                <wp:extent cx="384175" cy="402590"/>
                <wp:effectExtent l="0" t="0" r="0" b="0"/>
                <wp:wrapTopAndBottom/>
                <wp:docPr id="789" name="Shape 789"/>
                <wp:cNvGraphicFramePr/>
                <a:graphic xmlns:a="http://schemas.openxmlformats.org/drawingml/2006/main">
                  <a:graphicData uri="http://schemas.microsoft.com/office/word/2010/wordprocessingShape">
                    <wps:wsp>
                      <wps:cNvSpPr txBox="1"/>
                      <wps:spPr>
                        <a:xfrm>
                          <a:off x="0" y="0"/>
                          <a:ext cx="384175" cy="402590"/>
                        </a:xfrm>
                        <a:prstGeom prst="rect">
                          <a:avLst/>
                        </a:prstGeom>
                        <a:noFill/>
                      </wps:spPr>
                      <wps:txbx>
                        <w:txbxContent>
                          <w:p w:rsidR="00500724" w:rsidRDefault="00F30FB8">
                            <w:pPr>
                              <w:pStyle w:val="Nadpis90"/>
                              <w:keepNext/>
                              <w:keepLines/>
                              <w:shd w:val="clear" w:color="auto" w:fill="auto"/>
                              <w:spacing w:before="80" w:after="0"/>
                            </w:pPr>
                            <w:bookmarkStart w:id="813" w:name="bookmark812"/>
                            <w:r>
                              <w:rPr>
                                <w:rFonts w:ascii="Times New Roman" w:eastAsia="Times New Roman" w:hAnsi="Times New Roman" w:cs="Times New Roman"/>
                              </w:rPr>
                              <w:t>Přít</w:t>
                            </w:r>
                            <w:bookmarkEnd w:id="813"/>
                          </w:p>
                        </w:txbxContent>
                      </wps:txbx>
                      <wps:bodyPr lIns="0" tIns="0" rIns="0" bIns="0">
                        <a:spAutoFit/>
                      </wps:bodyPr>
                    </wps:wsp>
                  </a:graphicData>
                </a:graphic>
              </wp:anchor>
            </w:drawing>
          </mc:Choice>
          <mc:Fallback>
            <w:pict>
              <v:shape id="_x0000_s1815" type="#_x0000_t202" style="position:absolute;margin-left:235.05000000000001pt;margin-top:1.pt;width:30.25pt;height:31.699999999999999pt;z-index:-125828587;mso-wrap-distance-left:9.pt;mso-wrap-distance-right:82.200000000000003pt;mso-wrap-distance-bottom:5.pt;mso-position-horizontal-relative:page" filled="f" stroked="f">
                <v:textbox style="mso-fit-shape-to-text:t" inset="0,0,0,0">
                  <w:txbxContent>
                    <w:p>
                      <w:pPr>
                        <w:pStyle w:val="Style26"/>
                        <w:keepNext/>
                        <w:keepLines/>
                        <w:widowControl w:val="0"/>
                        <w:shd w:val="clear" w:color="auto" w:fill="auto"/>
                        <w:bidi w:val="0"/>
                        <w:spacing w:before="80" w:after="0" w:line="240" w:lineRule="auto"/>
                        <w:ind w:left="0" w:right="0" w:firstLine="0"/>
                        <w:jc w:val="left"/>
                      </w:pPr>
                      <w:bookmarkStart w:id="812" w:name="bookmark812"/>
                      <w:r>
                        <w:rPr>
                          <w:rFonts w:ascii="Times New Roman" w:eastAsia="Times New Roman" w:hAnsi="Times New Roman" w:cs="Times New Roman"/>
                          <w:color w:val="000000"/>
                          <w:spacing w:val="0"/>
                          <w:w w:val="100"/>
                          <w:position w:val="0"/>
                          <w:shd w:val="clear" w:color="auto" w:fill="auto"/>
                          <w:lang w:val="cs-CZ" w:eastAsia="cs-CZ" w:bidi="cs-CZ"/>
                        </w:rPr>
                        <w:t>Přít</w:t>
                      </w:r>
                      <w:bookmarkEnd w:id="812"/>
                    </w:p>
                  </w:txbxContent>
                </v:textbox>
                <w10:wrap type="topAndBottom" anchorx="page"/>
              </v:shape>
            </w:pict>
          </mc:Fallback>
        </mc:AlternateContent>
      </w:r>
      <w:r>
        <w:rPr>
          <w:noProof/>
        </w:rPr>
        <mc:AlternateContent>
          <mc:Choice Requires="wps">
            <w:drawing>
              <wp:anchor distT="176530" distB="102870" distL="467995" distR="715010" simplePos="0" relativeHeight="125830168" behindDoc="0" locked="0" layoutInCell="1" allowOverlap="1">
                <wp:simplePos x="0" y="0"/>
                <wp:positionH relativeFrom="page">
                  <wp:posOffset>3338830</wp:posOffset>
                </wp:positionH>
                <wp:positionV relativeFrom="paragraph">
                  <wp:posOffset>189230</wp:posOffset>
                </wp:positionV>
                <wp:extent cx="359410" cy="186055"/>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359410" cy="186055"/>
                        </a:xfrm>
                        <a:prstGeom prst="rect">
                          <a:avLst/>
                        </a:prstGeom>
                        <a:noFill/>
                      </wps:spPr>
                      <wps:txbx>
                        <w:txbxContent>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pPr>
                            <w:bookmarkStart w:id="814" w:name="bookmark813"/>
                            <w:r>
                              <w:rPr>
                                <w:color w:val="FFFFFF"/>
                                <w:lang w:val="en-US" w:eastAsia="en-US" w:bidi="en-US"/>
                              </w:rPr>
                              <w:t>(•Jill</w:t>
                            </w:r>
                            <w:bookmarkEnd w:id="814"/>
                          </w:p>
                        </w:txbxContent>
                      </wps:txbx>
                      <wps:bodyPr lIns="0" tIns="0" rIns="0" bIns="0">
                        <a:spAutoFit/>
                      </wps:bodyPr>
                    </wps:wsp>
                  </a:graphicData>
                </a:graphic>
              </wp:anchor>
            </w:drawing>
          </mc:Choice>
          <mc:Fallback>
            <w:pict>
              <v:shape id="_x0000_s1817" type="#_x0000_t202" style="position:absolute;margin-left:262.89999999999998pt;margin-top:14.9pt;width:28.300000000000001pt;height:14.65pt;z-index:-125828585;mso-wrap-distance-left:36.850000000000001pt;mso-wrap-distance-top:13.9pt;mso-wrap-distance-right:56.299999999999997pt;mso-wrap-distance-bottom:8.0999999999999996pt;mso-position-horizontal-relative:page" filled="f" stroked="f">
                <v:textbox style="mso-fit-shape-to-text:t" inset="0,0,0,0">
                  <w:txbxContent>
                    <w:p>
                      <w:pPr>
                        <w:pStyle w:val="Style5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813" w:name="bookmark813"/>
                      <w:r>
                        <w:rPr>
                          <w:color w:val="FFFFFF"/>
                          <w:spacing w:val="0"/>
                          <w:w w:val="100"/>
                          <w:position w:val="0"/>
                          <w:sz w:val="22"/>
                          <w:szCs w:val="22"/>
                          <w:shd w:val="clear" w:color="auto" w:fill="auto"/>
                          <w:lang w:val="en-US" w:eastAsia="en-US" w:bidi="en-US"/>
                        </w:rPr>
                        <w:t>(•Jill</w:t>
                      </w:r>
                      <w:bookmarkEnd w:id="813"/>
                    </w:p>
                  </w:txbxContent>
                </v:textbox>
                <w10:wrap type="topAndBottom" anchorx="page"/>
              </v:shape>
            </w:pict>
          </mc:Fallback>
        </mc:AlternateContent>
      </w:r>
      <w:r>
        <w:rPr>
          <w:noProof/>
        </w:rPr>
        <mc:AlternateContent>
          <mc:Choice Requires="wps">
            <w:drawing>
              <wp:anchor distT="79375" distB="85090" distL="833755" distR="114300" simplePos="0" relativeHeight="125830170" behindDoc="0" locked="0" layoutInCell="1" allowOverlap="1">
                <wp:simplePos x="0" y="0"/>
                <wp:positionH relativeFrom="page">
                  <wp:posOffset>3704590</wp:posOffset>
                </wp:positionH>
                <wp:positionV relativeFrom="paragraph">
                  <wp:posOffset>92075</wp:posOffset>
                </wp:positionV>
                <wp:extent cx="594360" cy="301625"/>
                <wp:effectExtent l="0" t="0" r="0" b="0"/>
                <wp:wrapTopAndBottom/>
                <wp:docPr id="793" name="Shape 793"/>
                <wp:cNvGraphicFramePr/>
                <a:graphic xmlns:a="http://schemas.openxmlformats.org/drawingml/2006/main">
                  <a:graphicData uri="http://schemas.microsoft.com/office/word/2010/wordprocessingShape">
                    <wps:wsp>
                      <wps:cNvSpPr txBox="1"/>
                      <wps:spPr>
                        <a:xfrm>
                          <a:off x="0" y="0"/>
                          <a:ext cx="594360" cy="301625"/>
                        </a:xfrm>
                        <a:prstGeom prst="rect">
                          <a:avLst/>
                        </a:prstGeom>
                        <a:noFill/>
                      </wps:spPr>
                      <wps:txbx>
                        <w:txbxContent>
                          <w:p w:rsidR="00500724" w:rsidRDefault="00F30FB8">
                            <w:pPr>
                              <w:pStyle w:val="Jin0"/>
                              <w:shd w:val="clear" w:color="auto" w:fill="auto"/>
                              <w:ind w:firstLine="0"/>
                              <w:jc w:val="left"/>
                              <w:rPr>
                                <w:sz w:val="38"/>
                                <w:szCs w:val="38"/>
                              </w:rPr>
                            </w:pPr>
                            <w:r>
                              <w:rPr>
                                <w:rFonts w:ascii="Arial" w:eastAsia="Arial" w:hAnsi="Arial" w:cs="Arial"/>
                                <w:sz w:val="38"/>
                                <w:szCs w:val="38"/>
                              </w:rPr>
                              <w:t>aosLz</w:t>
                            </w:r>
                          </w:p>
                        </w:txbxContent>
                      </wps:txbx>
                      <wps:bodyPr lIns="0" tIns="0" rIns="0" bIns="0">
                        <a:spAutoFit/>
                      </wps:bodyPr>
                    </wps:wsp>
                  </a:graphicData>
                </a:graphic>
              </wp:anchor>
            </w:drawing>
          </mc:Choice>
          <mc:Fallback>
            <w:pict>
              <v:shape id="_x0000_s1819" type="#_x0000_t202" style="position:absolute;margin-left:291.69999999999999pt;margin-top:7.25pt;width:46.799999999999997pt;height:23.75pt;z-index:-125828583;mso-wrap-distance-left:65.650000000000006pt;mso-wrap-distance-top:6.25pt;mso-wrap-distance-right:9.pt;mso-wrap-distance-bottom:6.7000000000000002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8"/>
                          <w:szCs w:val="38"/>
                        </w:rPr>
                      </w:pPr>
                      <w:r>
                        <w:rPr>
                          <w:rFonts w:ascii="Arial" w:eastAsia="Arial" w:hAnsi="Arial" w:cs="Arial"/>
                          <w:color w:val="000000"/>
                          <w:spacing w:val="0"/>
                          <w:w w:val="100"/>
                          <w:position w:val="0"/>
                          <w:sz w:val="38"/>
                          <w:szCs w:val="38"/>
                          <w:shd w:val="clear" w:color="auto" w:fill="auto"/>
                          <w:lang w:val="cs-CZ" w:eastAsia="cs-CZ" w:bidi="cs-CZ"/>
                        </w:rPr>
                        <w:t>aosLz</w:t>
                      </w:r>
                    </w:p>
                  </w:txbxContent>
                </v:textbox>
                <w10:wrap type="topAndBottom" anchorx="page"/>
              </v:shape>
            </w:pict>
          </mc:Fallback>
        </mc:AlternateContent>
      </w:r>
      <w:r>
        <w:rPr>
          <w:noProof/>
        </w:rPr>
        <mc:AlternateContent>
          <mc:Choice Requires="wps">
            <w:drawing>
              <wp:anchor distT="63500" distB="254000" distL="114300" distR="114300" simplePos="0" relativeHeight="125830172" behindDoc="0" locked="0" layoutInCell="1" allowOverlap="1">
                <wp:simplePos x="0" y="0"/>
                <wp:positionH relativeFrom="page">
                  <wp:posOffset>361315</wp:posOffset>
                </wp:positionH>
                <wp:positionV relativeFrom="paragraph">
                  <wp:posOffset>9479280</wp:posOffset>
                </wp:positionV>
                <wp:extent cx="228600" cy="164465"/>
                <wp:effectExtent l="0" t="0" r="0" b="0"/>
                <wp:wrapTopAndBottom/>
                <wp:docPr id="795" name="Shape 795"/>
                <wp:cNvGraphicFramePr/>
                <a:graphic xmlns:a="http://schemas.openxmlformats.org/drawingml/2006/main">
                  <a:graphicData uri="http://schemas.microsoft.com/office/word/2010/wordprocessingShape">
                    <wps:wsp>
                      <wps:cNvSpPr txBox="1"/>
                      <wps:spPr>
                        <a:xfrm>
                          <a:off x="0" y="0"/>
                          <a:ext cx="228600" cy="164465"/>
                        </a:xfrm>
                        <a:prstGeom prst="rect">
                          <a:avLst/>
                        </a:prstGeom>
                        <a:noFill/>
                      </wps:spPr>
                      <wps:txbx>
                        <w:txbxContent>
                          <w:p w:rsidR="00500724" w:rsidRDefault="00F30FB8">
                            <w:pPr>
                              <w:pStyle w:val="Zkladntext1"/>
                              <w:shd w:val="clear" w:color="auto" w:fill="auto"/>
                              <w:ind w:firstLine="0"/>
                              <w:jc w:val="left"/>
                            </w:pPr>
                            <w:r>
                              <w:rPr>
                                <w:b/>
                                <w:bCs/>
                                <w:i/>
                                <w:iCs/>
                              </w:rPr>
                              <w:t>SOO</w:t>
                            </w:r>
                          </w:p>
                        </w:txbxContent>
                      </wps:txbx>
                      <wps:bodyPr lIns="0" tIns="0" rIns="0" bIns="0">
                        <a:spAutoFit/>
                      </wps:bodyPr>
                    </wps:wsp>
                  </a:graphicData>
                </a:graphic>
              </wp:anchor>
            </w:drawing>
          </mc:Choice>
          <mc:Fallback>
            <w:pict>
              <v:shape id="_x0000_s1821" type="#_x0000_t202" style="position:absolute;margin-left:28.449999999999999pt;margin-top:746.39999999999998pt;width:18.pt;height:12.949999999999999pt;z-index:-125828581;mso-wrap-distance-left:9.pt;mso-wrap-distance-top:5.pt;mso-wrap-distance-right:9.pt;mso-wrap-distance-bottom:20.pt;mso-position-horizontal-relative:page"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shd w:val="clear" w:color="auto" w:fill="auto"/>
                          <w:lang w:val="cs-CZ" w:eastAsia="cs-CZ" w:bidi="cs-CZ"/>
                        </w:rPr>
                        <w:t>SOO</w:t>
                      </w:r>
                    </w:p>
                  </w:txbxContent>
                </v:textbox>
                <w10:wrap type="topAndBottom" anchorx="page"/>
              </v:shape>
            </w:pict>
          </mc:Fallback>
        </mc:AlternateContent>
      </w:r>
    </w:p>
    <w:p w:rsidR="00500724" w:rsidRDefault="00F30FB8">
      <w:pPr>
        <w:pStyle w:val="Zkladntext1"/>
        <w:shd w:val="clear" w:color="auto" w:fill="auto"/>
        <w:spacing w:line="218" w:lineRule="auto"/>
        <w:ind w:firstLine="0"/>
        <w:rPr>
          <w:sz w:val="20"/>
          <w:szCs w:val="20"/>
        </w:rPr>
      </w:pPr>
      <w:r>
        <w:rPr>
          <w:sz w:val="20"/>
          <w:szCs w:val="20"/>
        </w:rPr>
        <w:t xml:space="preserve">bez pomoci a příkazem. V samém jejím základu není život, nýbrž provisorium. „Škola, to </w:t>
      </w:r>
      <w:r>
        <w:rPr>
          <w:sz w:val="20"/>
          <w:szCs w:val="20"/>
        </w:rPr>
        <w:t>nic není, to je jen příprava, život teprve přijde,“ říká se žákům. Zá</w:t>
      </w:r>
      <w:r>
        <w:rPr>
          <w:sz w:val="20"/>
          <w:szCs w:val="20"/>
        </w:rPr>
        <w:softHyphen/>
        <w:t>kon je ve škole stále ještě nepohyblivý a ztrnulý. Ne</w:t>
      </w:r>
      <w:r>
        <w:rPr>
          <w:sz w:val="20"/>
          <w:szCs w:val="20"/>
        </w:rPr>
        <w:softHyphen/>
        <w:t>tečnost ke všemu hromadnému, oficielnímu, veřejné</w:t>
      </w:r>
      <w:r>
        <w:rPr>
          <w:sz w:val="20"/>
          <w:szCs w:val="20"/>
        </w:rPr>
        <w:softHyphen/>
        <w:t xml:space="preserve">mu vzniká u mladých lidí ve škole. Škola nechce být životem; což však mladí mohou </w:t>
      </w:r>
      <w:r>
        <w:rPr>
          <w:sz w:val="20"/>
          <w:szCs w:val="20"/>
        </w:rPr>
        <w:t>nevidět, že život jest, a že jsou sami jeho částí? Snaží se tedy žít mimo ško</w:t>
      </w:r>
      <w:r>
        <w:rPr>
          <w:sz w:val="20"/>
          <w:szCs w:val="20"/>
        </w:rPr>
        <w:softHyphen/>
        <w:t>lu. Ve škole, ve studentském prostředí je slovo „vo- trava“ téměř nejčastějším dorozumívacím prostřed</w:t>
      </w:r>
      <w:r>
        <w:rPr>
          <w:sz w:val="20"/>
          <w:szCs w:val="20"/>
        </w:rPr>
        <w:softHyphen/>
        <w:t>kem.</w:t>
      </w:r>
    </w:p>
    <w:p w:rsidR="00500724" w:rsidRDefault="00F30FB8">
      <w:pPr>
        <w:pStyle w:val="Zkladntext1"/>
        <w:shd w:val="clear" w:color="auto" w:fill="auto"/>
        <w:spacing w:line="218" w:lineRule="auto"/>
        <w:ind w:firstLine="260"/>
        <w:rPr>
          <w:sz w:val="20"/>
          <w:szCs w:val="20"/>
        </w:rPr>
      </w:pPr>
      <w:r>
        <w:rPr>
          <w:sz w:val="20"/>
          <w:szCs w:val="20"/>
        </w:rPr>
        <w:t xml:space="preserve">A přece byla škola lidem, kteří vyrostli v dvaceti poválečných letech, </w:t>
      </w:r>
      <w:r>
        <w:rPr>
          <w:sz w:val="20"/>
          <w:szCs w:val="20"/>
        </w:rPr>
        <w:t>jedním z mála zákoutí šťastněj</w:t>
      </w:r>
      <w:r>
        <w:rPr>
          <w:sz w:val="20"/>
          <w:szCs w:val="20"/>
        </w:rPr>
        <w:softHyphen/>
        <w:t>šího života.</w:t>
      </w:r>
    </w:p>
    <w:p w:rsidR="00500724" w:rsidRDefault="00F30FB8">
      <w:pPr>
        <w:pStyle w:val="Zkladntext1"/>
        <w:shd w:val="clear" w:color="auto" w:fill="auto"/>
        <w:spacing w:line="218" w:lineRule="auto"/>
        <w:ind w:firstLine="260"/>
        <w:rPr>
          <w:sz w:val="20"/>
          <w:szCs w:val="20"/>
        </w:rPr>
      </w:pPr>
      <w:r>
        <w:rPr>
          <w:sz w:val="20"/>
          <w:szCs w:val="20"/>
        </w:rPr>
        <w:t>Kdykoliv z ní vyšli, přivalila se na ně vlna závazků současně s nemožností použít školského vzdělání.</w:t>
      </w:r>
    </w:p>
    <w:p w:rsidR="00500724" w:rsidRDefault="00F30FB8">
      <w:pPr>
        <w:pStyle w:val="Zkladntext1"/>
        <w:shd w:val="clear" w:color="auto" w:fill="auto"/>
        <w:spacing w:line="218" w:lineRule="auto"/>
        <w:ind w:firstLine="260"/>
        <w:rPr>
          <w:sz w:val="20"/>
          <w:szCs w:val="20"/>
        </w:rPr>
      </w:pPr>
      <w:r>
        <w:rPr>
          <w:sz w:val="20"/>
          <w:szCs w:val="20"/>
        </w:rPr>
        <w:t>Často se mladým vytýká, že nedovedou psát, že je</w:t>
      </w:r>
      <w:r>
        <w:rPr>
          <w:sz w:val="20"/>
          <w:szCs w:val="20"/>
        </w:rPr>
        <w:softHyphen/>
        <w:t>jich styl je suchý. Snad je to pravda. Pokud píší, je jich zn</w:t>
      </w:r>
      <w:r>
        <w:rPr>
          <w:sz w:val="20"/>
          <w:szCs w:val="20"/>
        </w:rPr>
        <w:t>ačná část zachvácených estétstvím, opičením po svébytném výrazu někoho ze starších spisovatelů, formalismem.</w:t>
      </w:r>
    </w:p>
    <w:p w:rsidR="00500724" w:rsidRDefault="00F30FB8">
      <w:pPr>
        <w:pStyle w:val="Zkladntext1"/>
        <w:shd w:val="clear" w:color="auto" w:fill="auto"/>
        <w:spacing w:line="228" w:lineRule="auto"/>
        <w:ind w:firstLine="260"/>
        <w:rPr>
          <w:sz w:val="20"/>
          <w:szCs w:val="20"/>
        </w:rPr>
      </w:pPr>
      <w:r>
        <w:rPr>
          <w:sz w:val="20"/>
          <w:szCs w:val="20"/>
        </w:rPr>
        <w:t>O kulturu se starají, pokud mohou. Dobrá divadla, na př. Divadlo E. F. Buriana, mají publikum po výtce mladé. Ale jsou to také mladí, kteří naplňuj</w:t>
      </w:r>
      <w:r>
        <w:rPr>
          <w:sz w:val="20"/>
          <w:szCs w:val="20"/>
        </w:rPr>
        <w:t>í operety (po této stránce vedou opět dívky). Nuže, je pravda, že na poměru mladých ke kultuře velmi záleží. Kul</w:t>
      </w:r>
      <w:r>
        <w:rPr>
          <w:sz w:val="20"/>
          <w:szCs w:val="20"/>
        </w:rPr>
        <w:softHyphen/>
        <w:t>turní pracovníci a samy organisace mládeže se dost často staraly o to, aby všichni mladí přešli z operet do výstavních sálů, do dobrých divadel</w:t>
      </w:r>
      <w:r>
        <w:rPr>
          <w:sz w:val="20"/>
          <w:szCs w:val="20"/>
        </w:rPr>
        <w:t>, do koncertních síní. Nemělo to mnoho úspěchu, protože v celku nejde o to, vychovávat v poslední chvíli člověka k chápání dobrého umění, nýbrž jde o to: dát mu možnost s dob</w:t>
      </w:r>
      <w:r>
        <w:rPr>
          <w:sz w:val="20"/>
          <w:szCs w:val="20"/>
        </w:rPr>
        <w:softHyphen/>
        <w:t>rou kulturou stále žít. Ale tohle dnes mladí neočeká</w:t>
      </w:r>
      <w:r>
        <w:rPr>
          <w:sz w:val="20"/>
          <w:szCs w:val="20"/>
        </w:rPr>
        <w:softHyphen/>
        <w:t>vají. Říkají si tedy opět: „</w:t>
      </w:r>
      <w:r>
        <w:rPr>
          <w:sz w:val="20"/>
          <w:szCs w:val="20"/>
        </w:rPr>
        <w:t>Jednou . . .“ Snad je mezi nimi dost takových, kteří nedají umřít opravdovým hodnotám.</w:t>
      </w:r>
    </w:p>
    <w:p w:rsidR="00500724" w:rsidRDefault="00F30FB8">
      <w:pPr>
        <w:pStyle w:val="Zkladntext1"/>
        <w:shd w:val="clear" w:color="auto" w:fill="auto"/>
        <w:spacing w:after="100" w:line="221" w:lineRule="auto"/>
        <w:ind w:firstLine="0"/>
        <w:jc w:val="center"/>
        <w:rPr>
          <w:sz w:val="20"/>
          <w:szCs w:val="20"/>
        </w:rPr>
      </w:pPr>
      <w:r>
        <w:rPr>
          <w:sz w:val="20"/>
          <w:szCs w:val="20"/>
        </w:rPr>
        <w:t>•</w:t>
      </w:r>
    </w:p>
    <w:p w:rsidR="00500724" w:rsidRDefault="00F30FB8">
      <w:pPr>
        <w:pStyle w:val="Zkladntext1"/>
        <w:shd w:val="clear" w:color="auto" w:fill="auto"/>
        <w:spacing w:line="226" w:lineRule="auto"/>
        <w:ind w:firstLine="260"/>
        <w:rPr>
          <w:sz w:val="20"/>
          <w:szCs w:val="20"/>
        </w:rPr>
      </w:pPr>
      <w:r>
        <w:rPr>
          <w:sz w:val="20"/>
          <w:szCs w:val="20"/>
        </w:rPr>
        <w:t>O postavení mladých lidí v „praktickém životě“ se nedá mnoho mluvit s hlediska jen generačního. Otáz</w:t>
      </w:r>
      <w:r>
        <w:rPr>
          <w:sz w:val="20"/>
          <w:szCs w:val="20"/>
        </w:rPr>
        <w:softHyphen/>
        <w:t>ka se týká stejně padesátníků jako dvacetiletých a je zakloubena v</w:t>
      </w:r>
      <w:r>
        <w:rPr>
          <w:sz w:val="20"/>
          <w:szCs w:val="20"/>
        </w:rPr>
        <w:t>e společenském systému. Lze se jenom ptát, jak působí události, jako byla hospodářská krise nebo loňský podzim, na poměr mladých k práci. Nuže, dvanáctiletí kluci se ve škole oddávali nečinnosti ne z flákačství, ale z pocitu zbytečnosti, prázdna, nejis</w:t>
      </w:r>
      <w:r>
        <w:rPr>
          <w:sz w:val="20"/>
          <w:szCs w:val="20"/>
        </w:rPr>
        <w:softHyphen/>
        <w:t>tot</w:t>
      </w:r>
      <w:r>
        <w:rPr>
          <w:sz w:val="20"/>
          <w:szCs w:val="20"/>
        </w:rPr>
        <w:t>y. Kdo jim dá mravní sílu? Je mírně k smíchu, mluví-li ještě dnes někdo o tom, že je třeba „vytvořit generaci podnikatelů“.</w:t>
      </w:r>
    </w:p>
    <w:p w:rsidR="00500724" w:rsidRDefault="00F30FB8">
      <w:pPr>
        <w:pStyle w:val="Zkladntext1"/>
        <w:shd w:val="clear" w:color="auto" w:fill="auto"/>
        <w:spacing w:line="206" w:lineRule="auto"/>
        <w:ind w:firstLine="260"/>
        <w:rPr>
          <w:sz w:val="20"/>
          <w:szCs w:val="20"/>
        </w:rPr>
      </w:pPr>
      <w:r>
        <w:rPr>
          <w:sz w:val="20"/>
          <w:szCs w:val="20"/>
        </w:rPr>
        <w:t>V těchto stojatých vodách hledejme nakonec ko</w:t>
      </w:r>
      <w:r>
        <w:rPr>
          <w:sz w:val="20"/>
          <w:szCs w:val="20"/>
        </w:rPr>
        <w:softHyphen/>
        <w:t>tevní řetěz mravního řádu mladých lidí.</w:t>
      </w:r>
    </w:p>
    <w:p w:rsidR="00500724" w:rsidRDefault="00F30FB8">
      <w:pPr>
        <w:pStyle w:val="Zkladntext1"/>
        <w:shd w:val="clear" w:color="auto" w:fill="auto"/>
        <w:spacing w:line="202" w:lineRule="auto"/>
        <w:ind w:firstLine="260"/>
        <w:rPr>
          <w:sz w:val="20"/>
          <w:szCs w:val="20"/>
        </w:rPr>
      </w:pPr>
      <w:r>
        <w:rPr>
          <w:sz w:val="20"/>
          <w:szCs w:val="20"/>
        </w:rPr>
        <w:t xml:space="preserve">Narodili se ve válce a kolem ní, prošli </w:t>
      </w:r>
      <w:r>
        <w:rPr>
          <w:sz w:val="20"/>
          <w:szCs w:val="20"/>
        </w:rPr>
        <w:t>hospodář</w:t>
      </w:r>
      <w:r>
        <w:rPr>
          <w:sz w:val="20"/>
          <w:szCs w:val="20"/>
        </w:rPr>
        <w:softHyphen/>
        <w:t>skou krisi.</w:t>
      </w:r>
    </w:p>
    <w:p w:rsidR="00500724" w:rsidRDefault="00F30FB8">
      <w:pPr>
        <w:pStyle w:val="Zkladntext1"/>
        <w:shd w:val="clear" w:color="auto" w:fill="auto"/>
        <w:spacing w:line="221" w:lineRule="auto"/>
        <w:ind w:firstLine="260"/>
        <w:rPr>
          <w:sz w:val="20"/>
          <w:szCs w:val="20"/>
        </w:rPr>
      </w:pPr>
      <w:r>
        <w:rPr>
          <w:sz w:val="20"/>
          <w:szCs w:val="20"/>
        </w:rPr>
        <w:t>Odtud jejich skepse, reservovanost, mlčelivost, cy</w:t>
      </w:r>
      <w:r>
        <w:rPr>
          <w:sz w:val="20"/>
          <w:szCs w:val="20"/>
        </w:rPr>
        <w:softHyphen/>
        <w:t>nismus i sentimentalita, nestálost, netečnost, smutek i ironie. Nevím, co se dá od nich očekávat. Sami če</w:t>
      </w:r>
      <w:r>
        <w:rPr>
          <w:sz w:val="20"/>
          <w:szCs w:val="20"/>
        </w:rPr>
        <w:softHyphen/>
        <w:t>kají. Mají už svou historii. Je asi taková:</w:t>
      </w:r>
    </w:p>
    <w:p w:rsidR="00500724" w:rsidRDefault="00F30FB8">
      <w:pPr>
        <w:pStyle w:val="Zkladntext1"/>
        <w:shd w:val="clear" w:color="auto" w:fill="auto"/>
        <w:spacing w:after="120" w:line="221" w:lineRule="auto"/>
        <w:ind w:firstLine="260"/>
        <w:rPr>
          <w:sz w:val="20"/>
          <w:szCs w:val="20"/>
        </w:rPr>
      </w:pPr>
      <w:r>
        <w:rPr>
          <w:sz w:val="20"/>
          <w:szCs w:val="20"/>
        </w:rPr>
        <w:t>Od války žili ve stínu velkých myš</w:t>
      </w:r>
      <w:r>
        <w:rPr>
          <w:sz w:val="20"/>
          <w:szCs w:val="20"/>
        </w:rPr>
        <w:t>lenek, starších i nových i zdánlivě nových. Ve stínu: většinou je příliš nezkoumali. Připjali se na ně s nadšením, s tou</w:t>
      </w:r>
      <w:r>
        <w:rPr>
          <w:sz w:val="20"/>
          <w:szCs w:val="20"/>
        </w:rPr>
        <w:softHyphen/>
        <w:t>hou a výsadou mládí spálit se v kolektivním úsilí. Ži</w:t>
      </w:r>
      <w:r>
        <w:rPr>
          <w:sz w:val="20"/>
          <w:szCs w:val="20"/>
        </w:rPr>
        <w:softHyphen/>
        <w:t>vot je odmítl, přijala je hesla. A že myšlenky nežijí samy, nýbrž v lidech, připj</w:t>
      </w:r>
      <w:r>
        <w:rPr>
          <w:sz w:val="20"/>
          <w:szCs w:val="20"/>
        </w:rPr>
        <w:t>ali se mladí i na lidi. Na své starší spoluobčany. Narazili spolu s nimi. Tisíckrát opakovaná hesla se odpoutala jako balony a vichřice je odnáší. Dnes mladí čekají, zkoumají nosnost myšle</w:t>
      </w:r>
      <w:r>
        <w:rPr>
          <w:sz w:val="20"/>
          <w:szCs w:val="20"/>
        </w:rPr>
        <w:softHyphen/>
        <w:t>nek, pokud mají sílu, a pokud nemají, snaží se zapo</w:t>
      </w:r>
      <w:r>
        <w:rPr>
          <w:sz w:val="20"/>
          <w:szCs w:val="20"/>
        </w:rPr>
        <w:softHyphen/>
        <w:t>menout a žít ze</w:t>
      </w:r>
      <w:r>
        <w:rPr>
          <w:sz w:val="20"/>
          <w:szCs w:val="20"/>
        </w:rPr>
        <w:t xml:space="preserve"> dne na den. Neklesá jich možná o nic víc než těch starších. A život pokračuje: jíst, milo</w:t>
      </w:r>
      <w:r>
        <w:rPr>
          <w:sz w:val="20"/>
          <w:szCs w:val="20"/>
        </w:rPr>
        <w:softHyphen/>
        <w:t>vat, vzněcovat se a tesknit a smát se chce každý den. Ale pod tím je ticho, ticho čekání. Z pochybností se pomalu rodí představa, přesnější představa o práci, a také</w:t>
      </w:r>
      <w:r>
        <w:rPr>
          <w:sz w:val="20"/>
          <w:szCs w:val="20"/>
        </w:rPr>
        <w:t xml:space="preserve"> vůle. Není jí ještě mnoho. Mladí nebudou tolik trousit formulky jako jejich otcové, a jak rychlý spád života v této době, nebudou moci zestárnout v nečin</w:t>
      </w:r>
      <w:r>
        <w:rPr>
          <w:sz w:val="20"/>
          <w:szCs w:val="20"/>
        </w:rPr>
        <w:softHyphen/>
        <w:t>nosti. Je to jejich štěstí.</w:t>
      </w:r>
    </w:p>
    <w:p w:rsidR="00500724" w:rsidRDefault="00F30FB8">
      <w:pPr>
        <w:pStyle w:val="Jin0"/>
        <w:pBdr>
          <w:bottom w:val="single" w:sz="4" w:space="0" w:color="auto"/>
        </w:pBdr>
        <w:shd w:val="clear" w:color="auto" w:fill="auto"/>
        <w:spacing w:after="280"/>
        <w:ind w:firstLine="0"/>
        <w:jc w:val="left"/>
        <w:rPr>
          <w:sz w:val="44"/>
          <w:szCs w:val="44"/>
        </w:rPr>
      </w:pPr>
      <w:r>
        <w:rPr>
          <w:b/>
          <w:bCs/>
          <w:sz w:val="44"/>
          <w:szCs w:val="44"/>
        </w:rPr>
        <w:t>věda a práce</w:t>
      </w:r>
    </w:p>
    <w:p w:rsidR="00500724" w:rsidRDefault="00F30FB8">
      <w:pPr>
        <w:pStyle w:val="Zkladntext1"/>
        <w:shd w:val="clear" w:color="auto" w:fill="auto"/>
        <w:spacing w:after="60" w:line="218" w:lineRule="auto"/>
        <w:ind w:firstLine="0"/>
        <w:rPr>
          <w:sz w:val="20"/>
          <w:szCs w:val="20"/>
        </w:rPr>
      </w:pPr>
      <w:r>
        <w:rPr>
          <w:i/>
          <w:iCs/>
          <w:sz w:val="20"/>
          <w:szCs w:val="20"/>
          <w:lang w:val="en-US" w:eastAsia="en-US" w:bidi="en-US"/>
        </w:rPr>
        <w:t xml:space="preserve">Walter </w:t>
      </w:r>
      <w:r>
        <w:rPr>
          <w:i/>
          <w:iCs/>
          <w:sz w:val="20"/>
          <w:szCs w:val="20"/>
        </w:rPr>
        <w:t>Greiling:</w:t>
      </w:r>
    </w:p>
    <w:p w:rsidR="00500724" w:rsidRDefault="00F30FB8">
      <w:pPr>
        <w:pStyle w:val="Jin0"/>
        <w:shd w:val="clear" w:color="auto" w:fill="auto"/>
        <w:ind w:firstLine="0"/>
        <w:jc w:val="center"/>
        <w:rPr>
          <w:sz w:val="28"/>
          <w:szCs w:val="28"/>
        </w:rPr>
      </w:pPr>
      <w:r>
        <w:rPr>
          <w:b/>
          <w:bCs/>
          <w:sz w:val="28"/>
          <w:szCs w:val="28"/>
        </w:rPr>
        <w:t>Chemie ve světové válce</w:t>
      </w:r>
    </w:p>
    <w:p w:rsidR="00500724" w:rsidRDefault="00F30FB8">
      <w:pPr>
        <w:pStyle w:val="Zkladntext40"/>
        <w:shd w:val="clear" w:color="auto" w:fill="auto"/>
        <w:spacing w:line="221" w:lineRule="auto"/>
        <w:ind w:left="520" w:firstLine="180"/>
        <w:rPr>
          <w:sz w:val="16"/>
          <w:szCs w:val="16"/>
        </w:rPr>
      </w:pPr>
      <w:r>
        <w:rPr>
          <w:b/>
          <w:bCs/>
          <w:sz w:val="16"/>
          <w:szCs w:val="16"/>
        </w:rPr>
        <w:t xml:space="preserve">Ze zajímavé knihy </w:t>
      </w:r>
      <w:r>
        <w:rPr>
          <w:b/>
          <w:bCs/>
          <w:sz w:val="16"/>
          <w:szCs w:val="16"/>
        </w:rPr>
        <w:t>Waltera Greilinga „Chemie dobývá svět“, která vyšla roku 1938 v nakladatelství Limperta v Berlíně uve</w:t>
      </w:r>
      <w:r>
        <w:rPr>
          <w:b/>
          <w:bCs/>
          <w:sz w:val="16"/>
          <w:szCs w:val="16"/>
        </w:rPr>
        <w:softHyphen/>
        <w:t>řejňujeme zkrácenou kapitolu o významu chemie za světové války.</w:t>
      </w:r>
    </w:p>
    <w:p w:rsidR="00500724" w:rsidRDefault="00F30FB8">
      <w:pPr>
        <w:pStyle w:val="Zkladntext1"/>
        <w:shd w:val="clear" w:color="auto" w:fill="auto"/>
        <w:spacing w:line="221" w:lineRule="auto"/>
        <w:ind w:firstLine="0"/>
        <w:rPr>
          <w:sz w:val="20"/>
          <w:szCs w:val="20"/>
        </w:rPr>
      </w:pPr>
      <w:r>
        <w:rPr>
          <w:sz w:val="20"/>
          <w:szCs w:val="20"/>
        </w:rPr>
        <w:t xml:space="preserve">ultura a technika západu vznikly spoluprací evropských národů. Bylo by marným zaměstnáním </w:t>
      </w:r>
      <w:r>
        <w:rPr>
          <w:sz w:val="20"/>
          <w:szCs w:val="20"/>
        </w:rPr>
        <w:t>hledat podíl jed</w:t>
      </w:r>
      <w:r>
        <w:rPr>
          <w:sz w:val="20"/>
          <w:szCs w:val="20"/>
        </w:rPr>
        <w:softHyphen/>
        <w:t>notlivých národů a jednotlivých osobností na tomto vzniku. Každý národ má svou vlastní povahu a proto zvláštní na</w:t>
      </w:r>
      <w:r>
        <w:rPr>
          <w:sz w:val="20"/>
          <w:szCs w:val="20"/>
        </w:rPr>
        <w:softHyphen/>
        <w:t>dání. A tak každý přispěl svým dílem k vytvoření západu. Toto poznání by mělo národy přibližovat k sobě. Vědomí vzájemného vý</w:t>
      </w:r>
      <w:r>
        <w:rPr>
          <w:sz w:val="20"/>
          <w:szCs w:val="20"/>
        </w:rPr>
        <w:t>konu vede k uznání. Uznání zase je popudem k zvýšení výkonu. Avšak nevědomost jen zesílila na začátku XX. století nenávist mezi národy.</w:t>
      </w:r>
    </w:p>
    <w:p w:rsidR="00500724" w:rsidRDefault="00F30FB8">
      <w:pPr>
        <w:pStyle w:val="Zkladntext1"/>
        <w:shd w:val="clear" w:color="auto" w:fill="auto"/>
        <w:spacing w:line="218" w:lineRule="auto"/>
        <w:ind w:firstLine="240"/>
        <w:rPr>
          <w:sz w:val="20"/>
          <w:szCs w:val="20"/>
        </w:rPr>
      </w:pPr>
      <w:r>
        <w:rPr>
          <w:sz w:val="20"/>
          <w:szCs w:val="20"/>
        </w:rPr>
        <w:t>Průběh světové války je jediným příkladem toho, jak se zneuznával význam techniky a hlavně chemie. A to na obou stranách</w:t>
      </w:r>
      <w:r>
        <w:rPr>
          <w:sz w:val="20"/>
          <w:szCs w:val="20"/>
        </w:rPr>
        <w:t>. Spojenci byli překvapeni vulkanickým výbuchem německé síly, jak to řekl jeden anglický politik. Byli pře</w:t>
      </w:r>
      <w:r>
        <w:rPr>
          <w:sz w:val="20"/>
          <w:szCs w:val="20"/>
        </w:rPr>
        <w:softHyphen/>
        <w:t>kvapeni, že celá léta nebylo na frontě poznat účinek blokády. Toto německé „Durchhalten“ bylo ze značné části umož</w:t>
      </w:r>
      <w:r>
        <w:rPr>
          <w:sz w:val="20"/>
          <w:szCs w:val="20"/>
        </w:rPr>
        <w:softHyphen/>
        <w:t>něno novými chemickými vynálezy. T</w:t>
      </w:r>
      <w:r>
        <w:rPr>
          <w:sz w:val="20"/>
          <w:szCs w:val="20"/>
        </w:rPr>
        <w:t>ato skutečnost vynesla německému chemickému průmyslu v úředním americkém memorandu výtku, že prý dlouho a systematicky připravoval válku.</w:t>
      </w:r>
    </w:p>
    <w:p w:rsidR="00500724" w:rsidRDefault="00F30FB8">
      <w:pPr>
        <w:pStyle w:val="Zkladntext1"/>
        <w:shd w:val="clear" w:color="auto" w:fill="auto"/>
        <w:spacing w:line="218" w:lineRule="auto"/>
        <w:ind w:firstLine="240"/>
        <w:rPr>
          <w:sz w:val="20"/>
          <w:szCs w:val="20"/>
        </w:rPr>
      </w:pPr>
      <w:r>
        <w:rPr>
          <w:sz w:val="20"/>
          <w:szCs w:val="20"/>
        </w:rPr>
        <w:t>Ve skutečnosti se Německo nestaralo o nic, co by přesa</w:t>
      </w:r>
      <w:r>
        <w:rPr>
          <w:sz w:val="20"/>
          <w:szCs w:val="20"/>
        </w:rPr>
        <w:softHyphen/>
        <w:t>hovalo rámec normální vojenské výchovy. Továrny na střel</w:t>
      </w:r>
      <w:r>
        <w:rPr>
          <w:sz w:val="20"/>
          <w:szCs w:val="20"/>
        </w:rPr>
        <w:softHyphen/>
        <w:t xml:space="preserve">ný </w:t>
      </w:r>
      <w:r>
        <w:rPr>
          <w:sz w:val="20"/>
          <w:szCs w:val="20"/>
        </w:rPr>
        <w:t>prach a výbušniny sice měly „válečné smlouvy“, které je zavazovaly dodávat za války armádě mnohonásobek míro</w:t>
      </w:r>
      <w:r>
        <w:rPr>
          <w:sz w:val="20"/>
          <w:szCs w:val="20"/>
        </w:rPr>
        <w:softHyphen/>
        <w:t>vého množství výrobků. Ale nikdo se nestaral o přípravu surovin potřebných pro tak stupňovanou výrobu. Byla to čirá náhoda, že výroba čpavku z dusí</w:t>
      </w:r>
      <w:r>
        <w:rPr>
          <w:sz w:val="20"/>
          <w:szCs w:val="20"/>
        </w:rPr>
        <w:t>ku ze vzduchu pomocí uhlí a vody byla vyvinuta před rokem 1913, a že právě roku 1914 se podařilo zahájit velkovýrobu kyseliny ledkové spa</w:t>
      </w:r>
      <w:r>
        <w:rPr>
          <w:sz w:val="20"/>
          <w:szCs w:val="20"/>
        </w:rPr>
        <w:softHyphen/>
        <w:t>lováním čpavku.</w:t>
      </w:r>
    </w:p>
    <w:p w:rsidR="00500724" w:rsidRDefault="00F30FB8">
      <w:pPr>
        <w:pStyle w:val="Zkladntext1"/>
        <w:shd w:val="clear" w:color="auto" w:fill="auto"/>
        <w:spacing w:line="218" w:lineRule="auto"/>
        <w:ind w:firstLine="240"/>
        <w:rPr>
          <w:sz w:val="20"/>
          <w:szCs w:val="20"/>
        </w:rPr>
      </w:pPr>
      <w:r>
        <w:rPr>
          <w:sz w:val="20"/>
          <w:szCs w:val="20"/>
        </w:rPr>
        <w:t>Angličané ovšem už koncem XIX. století poukázali na tento zranitelný bod německého zbrojení. Roku 1898</w:t>
      </w:r>
      <w:r>
        <w:rPr>
          <w:sz w:val="20"/>
          <w:szCs w:val="20"/>
        </w:rPr>
        <w:t xml:space="preserve"> před</w:t>
      </w:r>
      <w:r>
        <w:rPr>
          <w:sz w:val="20"/>
          <w:szCs w:val="20"/>
        </w:rPr>
        <w:softHyphen/>
        <w:t xml:space="preserve">nášel </w:t>
      </w:r>
      <w:r>
        <w:rPr>
          <w:sz w:val="20"/>
          <w:szCs w:val="20"/>
          <w:lang w:val="en-US" w:eastAsia="en-US" w:bidi="en-US"/>
        </w:rPr>
        <w:t xml:space="preserve">Sir William Crookes </w:t>
      </w:r>
      <w:r>
        <w:rPr>
          <w:sz w:val="20"/>
          <w:szCs w:val="20"/>
        </w:rPr>
        <w:t xml:space="preserve">před </w:t>
      </w:r>
      <w:r>
        <w:rPr>
          <w:sz w:val="20"/>
          <w:szCs w:val="20"/>
          <w:lang w:val="en-US" w:eastAsia="en-US" w:bidi="en-US"/>
        </w:rPr>
        <w:t xml:space="preserve">British Association </w:t>
      </w:r>
      <w:r>
        <w:rPr>
          <w:sz w:val="20"/>
          <w:szCs w:val="20"/>
        </w:rPr>
        <w:t>v Bristolu „o problému pšenice“. Řekl tehdy:</w:t>
      </w:r>
    </w:p>
    <w:p w:rsidR="00500724" w:rsidRDefault="00F30FB8">
      <w:pPr>
        <w:pStyle w:val="Zkladntext1"/>
        <w:shd w:val="clear" w:color="auto" w:fill="auto"/>
        <w:spacing w:line="218" w:lineRule="auto"/>
        <w:ind w:firstLine="240"/>
        <w:rPr>
          <w:sz w:val="20"/>
          <w:szCs w:val="20"/>
        </w:rPr>
        <w:sectPr w:rsidR="00500724">
          <w:footnotePr>
            <w:numFmt w:val="chicago"/>
            <w:numRestart w:val="eachPage"/>
          </w:footnotePr>
          <w:pgSz w:w="11909" w:h="16834"/>
          <w:pgMar w:top="699" w:right="920" w:bottom="699" w:left="550" w:header="0" w:footer="3" w:gutter="0"/>
          <w:cols w:num="2" w:space="173"/>
          <w:noEndnote/>
          <w:docGrid w:linePitch="360"/>
        </w:sectPr>
      </w:pPr>
      <w:r>
        <w:rPr>
          <w:sz w:val="20"/>
          <w:szCs w:val="20"/>
        </w:rPr>
        <w:t>„Světová sklizeň pšenice závisí na nálezištích chilského ledku. Kdyby se nepodařilo uměle přeměnit dusík ze vzdu</w:t>
      </w:r>
      <w:r>
        <w:rPr>
          <w:sz w:val="20"/>
          <w:szCs w:val="20"/>
        </w:rPr>
        <w:softHyphen/>
        <w:t>chu v hnojivo</w:t>
      </w:r>
      <w:r>
        <w:rPr>
          <w:sz w:val="20"/>
          <w:szCs w:val="20"/>
        </w:rPr>
        <w:t xml:space="preserve"> — světu hrozí hladová katastrofa“. Přednášce naslouchali chemičtí, zemědělští a vojenští odborníci. Musili vědět, že umělé hnojení je životním problémem jen pro hustě obydlené země střední Evropy. Ani v Severní nebo v Jižní Americe, ani v Rusku nebo v Rum</w:t>
      </w:r>
      <w:r>
        <w:rPr>
          <w:sz w:val="20"/>
          <w:szCs w:val="20"/>
        </w:rPr>
        <w:t>unsku, ani v Austrálii a v Indii není třeba uměle hnojit pšeničná pole. Tam není zapotřebí ani kilogramu chilského ledku. A právě</w:t>
      </w:r>
    </w:p>
    <w:p w:rsidR="00500724" w:rsidRDefault="00500724">
      <w:pPr>
        <w:spacing w:before="57" w:after="57" w:line="240" w:lineRule="exact"/>
        <w:rPr>
          <w:sz w:val="19"/>
          <w:szCs w:val="19"/>
        </w:rPr>
      </w:pPr>
    </w:p>
    <w:p w:rsidR="00500724" w:rsidRDefault="00500724">
      <w:pPr>
        <w:spacing w:line="14" w:lineRule="exact"/>
        <w:sectPr w:rsidR="00500724">
          <w:footnotePr>
            <w:numFmt w:val="chicago"/>
            <w:numRestart w:val="eachPage"/>
          </w:footnotePr>
          <w:pgSz w:w="11909" w:h="16834"/>
          <w:pgMar w:top="1597" w:right="0" w:bottom="1122" w:left="0" w:header="0" w:footer="3" w:gutter="0"/>
          <w:cols w:space="720"/>
          <w:noEndnote/>
          <w:docGrid w:linePitch="360"/>
        </w:sectPr>
      </w:pPr>
    </w:p>
    <w:p w:rsidR="00500724" w:rsidRDefault="00F30FB8">
      <w:pPr>
        <w:pStyle w:val="Zkladntext1"/>
        <w:shd w:val="clear" w:color="auto" w:fill="auto"/>
        <w:spacing w:line="218" w:lineRule="auto"/>
        <w:ind w:firstLine="0"/>
        <w:rPr>
          <w:sz w:val="20"/>
          <w:szCs w:val="20"/>
        </w:rPr>
      </w:pPr>
      <w:r>
        <w:rPr>
          <w:sz w:val="20"/>
          <w:szCs w:val="20"/>
        </w:rPr>
        <w:t xml:space="preserve">tak věděli tito odborníci, že sklizeň ve střední Evropě závisí na chilském ledku a na </w:t>
      </w:r>
      <w:r>
        <w:rPr>
          <w:sz w:val="20"/>
          <w:szCs w:val="20"/>
        </w:rPr>
        <w:t>severoafrickém fosfátu. Kdyby přestal dovoz do střední Evropy, byl by tam hlad nevyhnutelný. V tomto smyslu platila věta Crookesova: „Problém dusíko</w:t>
      </w:r>
      <w:r>
        <w:rPr>
          <w:sz w:val="20"/>
          <w:szCs w:val="20"/>
        </w:rPr>
        <w:softHyphen/>
        <w:t>vých sloučenin je problémem života a smrti příští generace.“</w:t>
      </w:r>
    </w:p>
    <w:p w:rsidR="00500724" w:rsidRDefault="00F30FB8">
      <w:pPr>
        <w:pStyle w:val="Zkladntext1"/>
        <w:shd w:val="clear" w:color="auto" w:fill="auto"/>
        <w:spacing w:after="160" w:line="218" w:lineRule="auto"/>
        <w:ind w:firstLine="260"/>
        <w:rPr>
          <w:sz w:val="20"/>
          <w:szCs w:val="20"/>
        </w:rPr>
      </w:pPr>
      <w:r>
        <w:rPr>
          <w:sz w:val="20"/>
          <w:szCs w:val="20"/>
        </w:rPr>
        <w:t>Vojenští odborníci kromě toho věděli, že chils</w:t>
      </w:r>
      <w:r>
        <w:rPr>
          <w:sz w:val="20"/>
          <w:szCs w:val="20"/>
        </w:rPr>
        <w:t>ký ledek je nezbytnou surovinou pro výrobu střelného a trhavého pra</w:t>
      </w:r>
      <w:r>
        <w:rPr>
          <w:sz w:val="20"/>
          <w:szCs w:val="20"/>
        </w:rPr>
        <w:softHyphen/>
        <w:t xml:space="preserve">chu pro náboje </w:t>
      </w:r>
      <w:r>
        <w:rPr>
          <w:i/>
          <w:iCs/>
          <w:sz w:val="20"/>
          <w:szCs w:val="20"/>
        </w:rPr>
        <w:t>a</w:t>
      </w:r>
      <w:r>
        <w:rPr>
          <w:sz w:val="20"/>
          <w:szCs w:val="20"/>
        </w:rPr>
        <w:t xml:space="preserve"> granáty. Tito odborníci si z celé řeči pama</w:t>
      </w:r>
      <w:r>
        <w:rPr>
          <w:sz w:val="20"/>
          <w:szCs w:val="20"/>
        </w:rPr>
        <w:softHyphen/>
        <w:t>tovali výzvu: tak zesílit britské loďstvo, aby kdykoliv mohlo znemožnit dovoz chilského ledku.</w:t>
      </w:r>
    </w:p>
    <w:p w:rsidR="00500724" w:rsidRDefault="00F30FB8">
      <w:pPr>
        <w:pStyle w:val="Zkladntext1"/>
        <w:shd w:val="clear" w:color="auto" w:fill="auto"/>
        <w:spacing w:after="120" w:line="218" w:lineRule="auto"/>
        <w:ind w:firstLine="0"/>
        <w:jc w:val="center"/>
        <w:rPr>
          <w:sz w:val="20"/>
          <w:szCs w:val="20"/>
        </w:rPr>
      </w:pPr>
      <w:r>
        <w:rPr>
          <w:sz w:val="20"/>
          <w:szCs w:val="20"/>
        </w:rPr>
        <w:t>Sůl ze vzduchu.</w:t>
      </w:r>
    </w:p>
    <w:p w:rsidR="00500724" w:rsidRDefault="00F30FB8">
      <w:pPr>
        <w:pStyle w:val="Zkladntext1"/>
        <w:shd w:val="clear" w:color="auto" w:fill="auto"/>
        <w:spacing w:line="218" w:lineRule="auto"/>
        <w:ind w:firstLine="260"/>
        <w:rPr>
          <w:sz w:val="20"/>
          <w:szCs w:val="20"/>
        </w:rPr>
      </w:pPr>
      <w:r>
        <w:rPr>
          <w:sz w:val="20"/>
          <w:szCs w:val="20"/>
        </w:rPr>
        <w:t>Život na zemi je</w:t>
      </w:r>
      <w:r>
        <w:rPr>
          <w:sz w:val="20"/>
          <w:szCs w:val="20"/>
        </w:rPr>
        <w:t xml:space="preserve"> možný díky jedné okolnosti v dějinách země. Za jistého ochlazení se spojily plyny kyslík a vodík a vytvořily moře, kdežto dusík zůstal stranou. Na jiných planetách spojily se dusík s vodíkem ve čpavek, a kyslík místo aby s vodíkem vytvořil vodu, spojil se</w:t>
      </w:r>
      <w:r>
        <w:rPr>
          <w:sz w:val="20"/>
          <w:szCs w:val="20"/>
        </w:rPr>
        <w:t xml:space="preserve"> s uhlíkem a vytvořil kysličník uhličitý. Proto není tam v atmosféře z čpavku a kysličníku uhličitého života v našem smyslu. Ale vzdušný obal země se skládá ze čtyř pětin z volného dusíku. Využít těchto úžasných množství dusíku k zvětšení přírod</w:t>
      </w:r>
      <w:r>
        <w:rPr>
          <w:sz w:val="20"/>
          <w:szCs w:val="20"/>
        </w:rPr>
        <w:softHyphen/>
        <w:t xml:space="preserve">ních darů </w:t>
      </w:r>
      <w:r>
        <w:rPr>
          <w:sz w:val="20"/>
          <w:szCs w:val="20"/>
        </w:rPr>
        <w:t>země — tof úkol, který může nadchnout kdekoho. Proč byli právě zde chemikové tak zdrželiví? Odstrašovalo je vědění.</w:t>
      </w:r>
    </w:p>
    <w:p w:rsidR="00500724" w:rsidRDefault="00F30FB8">
      <w:pPr>
        <w:pStyle w:val="Zkladntext1"/>
        <w:shd w:val="clear" w:color="auto" w:fill="auto"/>
        <w:spacing w:line="218" w:lineRule="auto"/>
        <w:ind w:firstLine="260"/>
        <w:rPr>
          <w:sz w:val="20"/>
          <w:szCs w:val="20"/>
        </w:rPr>
      </w:pPr>
      <w:r>
        <w:rPr>
          <w:sz w:val="20"/>
          <w:szCs w:val="20"/>
        </w:rPr>
        <w:t>Věděli, že všechny použitelné způsoby vázání dusíku vy</w:t>
      </w:r>
      <w:r>
        <w:rPr>
          <w:sz w:val="20"/>
          <w:szCs w:val="20"/>
        </w:rPr>
        <w:softHyphen/>
        <w:t>žadují úžasných nákladů energie. Dusík se spojuje s kyslí</w:t>
      </w:r>
      <w:r>
        <w:rPr>
          <w:sz w:val="20"/>
          <w:szCs w:val="20"/>
        </w:rPr>
        <w:softHyphen/>
        <w:t>kem za bouřky při vysoké te</w:t>
      </w:r>
      <w:r>
        <w:rPr>
          <w:sz w:val="20"/>
          <w:szCs w:val="20"/>
        </w:rPr>
        <w:t>plotě blesku. Tak vzniká kyselina ledková, kterou déšť snáší na zemi a hnojí jí pole. To se ví už od roku 1800.</w:t>
      </w:r>
    </w:p>
    <w:p w:rsidR="00500724" w:rsidRDefault="00F30FB8">
      <w:pPr>
        <w:pStyle w:val="Zkladntext1"/>
        <w:numPr>
          <w:ilvl w:val="0"/>
          <w:numId w:val="101"/>
        </w:numPr>
        <w:shd w:val="clear" w:color="auto" w:fill="auto"/>
        <w:tabs>
          <w:tab w:val="left" w:pos="495"/>
        </w:tabs>
        <w:spacing w:line="218" w:lineRule="auto"/>
        <w:ind w:firstLine="260"/>
        <w:rPr>
          <w:sz w:val="20"/>
          <w:szCs w:val="20"/>
        </w:rPr>
      </w:pPr>
      <w:r>
        <w:rPr>
          <w:sz w:val="20"/>
          <w:szCs w:val="20"/>
        </w:rPr>
        <w:t>Německu už dlouho před válkou pracovali na pokusech vázání dusíku ze vzduchu. Byly docíleny velké úspěchy na tomto poli. Ale válka přerušila mír</w:t>
      </w:r>
      <w:r>
        <w:rPr>
          <w:sz w:val="20"/>
          <w:szCs w:val="20"/>
        </w:rPr>
        <w:t>ový vývoj.</w:t>
      </w:r>
    </w:p>
    <w:p w:rsidR="00500724" w:rsidRDefault="00F30FB8">
      <w:pPr>
        <w:pStyle w:val="Zkladntext1"/>
        <w:numPr>
          <w:ilvl w:val="0"/>
          <w:numId w:val="101"/>
        </w:numPr>
        <w:shd w:val="clear" w:color="auto" w:fill="auto"/>
        <w:tabs>
          <w:tab w:val="left" w:pos="519"/>
        </w:tabs>
        <w:spacing w:line="218" w:lineRule="auto"/>
        <w:ind w:firstLine="260"/>
        <w:rPr>
          <w:sz w:val="20"/>
          <w:szCs w:val="20"/>
        </w:rPr>
      </w:pPr>
      <w:r>
        <w:rPr>
          <w:sz w:val="20"/>
          <w:szCs w:val="20"/>
        </w:rPr>
        <w:t xml:space="preserve">novém závodě v Oppau právě narukovali poslední mistři a montéři. Brzy bylo nutno je povolat zpátky. Válka vznesla velké požadavky na továrny výbušnin a na jejich hlavní surovinu: kyselinu ledkovou. Jen závod v Ludwigs- hafenu mohl krýt potřebu </w:t>
      </w:r>
      <w:r>
        <w:rPr>
          <w:sz w:val="20"/>
          <w:szCs w:val="20"/>
        </w:rPr>
        <w:t>kyseliny ledkové, a to jen, když byl závod zvětšen. Už na podzim roku 1914 musila se zá</w:t>
      </w:r>
      <w:r>
        <w:rPr>
          <w:sz w:val="20"/>
          <w:szCs w:val="20"/>
        </w:rPr>
        <w:softHyphen/>
        <w:t>vodní správa odhodlat k přestavbě a k zvětšení ročního vý</w:t>
      </w:r>
      <w:r>
        <w:rPr>
          <w:sz w:val="20"/>
          <w:szCs w:val="20"/>
        </w:rPr>
        <w:softHyphen/>
        <w:t>konu na 100.000 t čpavku. Bylo to téměř tolik, kolik mohly dodávat všechny německé plynárny a koksovny za plné</w:t>
      </w:r>
      <w:r>
        <w:rPr>
          <w:sz w:val="20"/>
          <w:szCs w:val="20"/>
        </w:rPr>
        <w:t>ho provozu.</w:t>
      </w:r>
    </w:p>
    <w:p w:rsidR="00500724" w:rsidRDefault="00F30FB8">
      <w:pPr>
        <w:pStyle w:val="Zkladntext1"/>
        <w:shd w:val="clear" w:color="auto" w:fill="auto"/>
        <w:spacing w:line="218" w:lineRule="auto"/>
        <w:ind w:firstLine="260"/>
        <w:rPr>
          <w:sz w:val="20"/>
          <w:szCs w:val="20"/>
        </w:rPr>
      </w:pPr>
      <w:r>
        <w:rPr>
          <w:sz w:val="20"/>
          <w:szCs w:val="20"/>
        </w:rPr>
        <w:t>Ale už koncem roku 1915 se ukázalo, že ani to nestačí. Bylo zapotřebí zase zdvojnásobit výrobu. Na to ale nestačilo místo v Oppau. Válka vyžadovala, aby byla postavena to</w:t>
      </w:r>
      <w:r>
        <w:rPr>
          <w:sz w:val="20"/>
          <w:szCs w:val="20"/>
        </w:rPr>
        <w:softHyphen/>
        <w:t>várna na čpavek největších rozměrů, která by se byla mohla ještě rozšířit</w:t>
      </w:r>
      <w:r>
        <w:rPr>
          <w:sz w:val="20"/>
          <w:szCs w:val="20"/>
        </w:rPr>
        <w:t>. K synthese čpavku je zapotřebí kromě vzduchu a vody především uhlí, které odstraňuje z vody a ze vzdu</w:t>
      </w:r>
      <w:r>
        <w:rPr>
          <w:sz w:val="20"/>
          <w:szCs w:val="20"/>
        </w:rPr>
        <w:softHyphen/>
        <w:t>chu rušící kyslík, aby zůstaly samy obě součásti čpavku — dusík a vodík. Bylo tedy třeba jít tam, kde bylo uhlí nej</w:t>
      </w:r>
      <w:r>
        <w:rPr>
          <w:sz w:val="20"/>
          <w:szCs w:val="20"/>
        </w:rPr>
        <w:softHyphen/>
        <w:t>lacinější. Tímto místem bylo střední</w:t>
      </w:r>
      <w:r>
        <w:rPr>
          <w:sz w:val="20"/>
          <w:szCs w:val="20"/>
        </w:rPr>
        <w:t xml:space="preserve"> Německo, kde v údolí Geisely je pod dvacetimetrovou vrstvou písku 90 m silná vrstva hnědého uhlí.</w:t>
      </w:r>
    </w:p>
    <w:p w:rsidR="00500724" w:rsidRDefault="00F30FB8">
      <w:pPr>
        <w:pStyle w:val="Zkladntext1"/>
        <w:shd w:val="clear" w:color="auto" w:fill="auto"/>
        <w:spacing w:line="218" w:lineRule="auto"/>
        <w:ind w:firstLine="260"/>
        <w:rPr>
          <w:sz w:val="20"/>
          <w:szCs w:val="20"/>
        </w:rPr>
      </w:pPr>
      <w:r>
        <w:rPr>
          <w:sz w:val="20"/>
          <w:szCs w:val="20"/>
        </w:rPr>
        <w:t>Stavba tohoto závodu v době válečných útrap byla po</w:t>
      </w:r>
      <w:r>
        <w:rPr>
          <w:sz w:val="20"/>
          <w:szCs w:val="20"/>
        </w:rPr>
        <w:softHyphen/>
        <w:t>divuhodným výkonem. Na velké rovné pláni byly na jaře roku 1916 tři malé vesnice a větrný mlýn. Na kolech</w:t>
      </w:r>
      <w:r>
        <w:rPr>
          <w:sz w:val="20"/>
          <w:szCs w:val="20"/>
        </w:rPr>
        <w:t xml:space="preserve"> přijela skupina mužů a 19. května 1916 se konal na pšeničném poli první výkop. V dalších týdnech přišly tisíce dělníků a byl dovezen ve velkém množství stavební materiál. Tři ves</w:t>
      </w:r>
      <w:r>
        <w:rPr>
          <w:sz w:val="20"/>
          <w:szCs w:val="20"/>
        </w:rPr>
        <w:softHyphen/>
        <w:t>nice byly srovnány se zemí, pole pošlapána tisíci kroků, půda rozryta. Dělní</w:t>
      </w:r>
      <w:r>
        <w:rPr>
          <w:sz w:val="20"/>
          <w:szCs w:val="20"/>
        </w:rPr>
        <w:t>kům, kteří pracovali pod širým nebem, se lepila hlína na paty, jako vojákům v zákopech ve Flandrech. V zimě byly zazděny kotle. Pro velký mráz bylo nutno instalovat koše se žhavým koksem. Ještě nebyla ani střecha hotová — a v kotlech se už topilo. Přesto b</w:t>
      </w:r>
      <w:r>
        <w:rPr>
          <w:sz w:val="20"/>
          <w:szCs w:val="20"/>
        </w:rPr>
        <w:t>yl první synthetický čpavek dodán necelý rok po zahájení prací. V roce 1917 dodával závod 100.000 t čpavku a hned se přistoupilo k další stavbě. Bylo třeba ještě 70.000 t. Těch se dosáhlo v srpnu 1918. Ale zatím už vzrostla potřeba na 250.000 t. Ani voda z</w:t>
      </w:r>
      <w:r>
        <w:rPr>
          <w:sz w:val="20"/>
          <w:szCs w:val="20"/>
        </w:rPr>
        <w:t>e Sály nestačila, protože závod spotřeboval za hodinu 60.000 kubických centimetrů vody.</w:t>
      </w:r>
    </w:p>
    <w:p w:rsidR="00500724" w:rsidRDefault="00F30FB8">
      <w:pPr>
        <w:pStyle w:val="Zkladntext1"/>
        <w:shd w:val="clear" w:color="auto" w:fill="auto"/>
        <w:spacing w:after="160" w:line="216" w:lineRule="auto"/>
        <w:ind w:firstLine="280"/>
        <w:rPr>
          <w:sz w:val="20"/>
          <w:szCs w:val="20"/>
        </w:rPr>
      </w:pPr>
      <w:r>
        <w:rPr>
          <w:sz w:val="20"/>
          <w:szCs w:val="20"/>
        </w:rPr>
        <w:t>Přeměna dusíku ze vzduchu ve čpavek, a čpavku v led</w:t>
      </w:r>
      <w:r>
        <w:rPr>
          <w:sz w:val="20"/>
          <w:szCs w:val="20"/>
        </w:rPr>
        <w:softHyphen/>
        <w:t>kovou kyselinu za světové války byla příliš pomalá, aby kryla potřebu. Co se nehodilo muničním továrnám pro vý</w:t>
      </w:r>
      <w:r>
        <w:rPr>
          <w:sz w:val="20"/>
          <w:szCs w:val="20"/>
        </w:rPr>
        <w:softHyphen/>
        <w:t xml:space="preserve">robu </w:t>
      </w:r>
      <w:r>
        <w:rPr>
          <w:sz w:val="20"/>
          <w:szCs w:val="20"/>
        </w:rPr>
        <w:t>střelného a výbušného prachu, to nutně potřebovalo zemědělství pro hnojení polí. Osevní plocha, která byla v rukou Němců, musila krýt potřeby národa a armády. Blo</w:t>
      </w:r>
      <w:r>
        <w:rPr>
          <w:sz w:val="20"/>
          <w:szCs w:val="20"/>
        </w:rPr>
        <w:softHyphen/>
        <w:t>káda znemožňovala zcela dovoz ze světových trhů. Ale ně</w:t>
      </w:r>
      <w:r>
        <w:rPr>
          <w:sz w:val="20"/>
          <w:szCs w:val="20"/>
        </w:rPr>
        <w:softHyphen/>
        <w:t>mecká pole i beztak nestačila, protož</w:t>
      </w:r>
      <w:r>
        <w:rPr>
          <w:sz w:val="20"/>
          <w:szCs w:val="20"/>
        </w:rPr>
        <w:t>e byl nedostatek pra</w:t>
      </w:r>
      <w:r>
        <w:rPr>
          <w:sz w:val="20"/>
          <w:szCs w:val="20"/>
        </w:rPr>
        <w:softHyphen/>
        <w:t>covních sil a koní. Nesmělo dojít k ještě většímu zmenšení sklizně pro nedostatečné hnojení.</w:t>
      </w:r>
    </w:p>
    <w:p w:rsidR="00500724" w:rsidRDefault="00F30FB8">
      <w:pPr>
        <w:pStyle w:val="Zkladntext1"/>
        <w:shd w:val="clear" w:color="auto" w:fill="auto"/>
        <w:spacing w:after="120" w:line="218" w:lineRule="auto"/>
        <w:ind w:firstLine="0"/>
        <w:jc w:val="center"/>
        <w:rPr>
          <w:sz w:val="20"/>
          <w:szCs w:val="20"/>
        </w:rPr>
      </w:pPr>
      <w:r>
        <w:rPr>
          <w:sz w:val="20"/>
          <w:szCs w:val="20"/>
        </w:rPr>
        <w:t>Chemie pomáhá armádě.</w:t>
      </w:r>
    </w:p>
    <w:p w:rsidR="00500724" w:rsidRDefault="00F30FB8">
      <w:pPr>
        <w:pStyle w:val="Zkladntext1"/>
        <w:shd w:val="clear" w:color="auto" w:fill="auto"/>
        <w:spacing w:line="218" w:lineRule="auto"/>
        <w:ind w:firstLine="280"/>
        <w:rPr>
          <w:sz w:val="20"/>
          <w:szCs w:val="20"/>
        </w:rPr>
      </w:pPr>
      <w:r>
        <w:rPr>
          <w:sz w:val="20"/>
          <w:szCs w:val="20"/>
        </w:rPr>
        <w:t>Co nepřipravená německá chemie mohla vykonat, to sku</w:t>
      </w:r>
      <w:r>
        <w:rPr>
          <w:sz w:val="20"/>
          <w:szCs w:val="20"/>
        </w:rPr>
        <w:softHyphen/>
        <w:t>tečně vykonala. Nemohla sice krýt spotřebu umělých hnojiv, ale v mu</w:t>
      </w:r>
      <w:r>
        <w:rPr>
          <w:sz w:val="20"/>
          <w:szCs w:val="20"/>
        </w:rPr>
        <w:t>ničních továrnách nebyl nedostatek ledkové kyse</w:t>
      </w:r>
      <w:r>
        <w:rPr>
          <w:sz w:val="20"/>
          <w:szCs w:val="20"/>
        </w:rPr>
        <w:softHyphen/>
        <w:t>liny. Ale ledková kyselina je jen jednou surovinou při vý</w:t>
      </w:r>
      <w:r>
        <w:rPr>
          <w:sz w:val="20"/>
          <w:szCs w:val="20"/>
        </w:rPr>
        <w:softHyphen/>
        <w:t>robě prachu. Bylo třeba opatřit další. U střelného prachu bylo zapotřebí ještě buničiny a glycerinu, u výbušného pra</w:t>
      </w:r>
      <w:r>
        <w:rPr>
          <w:sz w:val="20"/>
          <w:szCs w:val="20"/>
        </w:rPr>
        <w:softHyphen/>
        <w:t xml:space="preserve">chu kromě toho toluolu a fenolu. </w:t>
      </w:r>
      <w:r>
        <w:rPr>
          <w:sz w:val="20"/>
          <w:szCs w:val="20"/>
        </w:rPr>
        <w:t>Dehtu pro výrobu toluolu a fenolu bylo dost, protože koksovny pracovaly s plným výkonem. Byl však velký nedostatek glycerinu, který se získává v mydlářském průmyslu z olejů a tuků. Nutné suro</w:t>
      </w:r>
      <w:r>
        <w:rPr>
          <w:sz w:val="20"/>
          <w:szCs w:val="20"/>
        </w:rPr>
        <w:softHyphen/>
        <w:t>viny se dovážejí z tropů. První, čeho se nedostávalo v Ně</w:t>
      </w:r>
      <w:r>
        <w:rPr>
          <w:sz w:val="20"/>
          <w:szCs w:val="20"/>
        </w:rPr>
        <w:softHyphen/>
        <w:t>mecku,</w:t>
      </w:r>
      <w:r>
        <w:rPr>
          <w:sz w:val="20"/>
          <w:szCs w:val="20"/>
        </w:rPr>
        <w:t xml:space="preserve"> odříznutém od světových trhů, byl právě tuk! A pro</w:t>
      </w:r>
      <w:r>
        <w:rPr>
          <w:sz w:val="20"/>
          <w:szCs w:val="20"/>
        </w:rPr>
        <w:softHyphen/>
        <w:t>tože nebylo dost tuků pro mydlářský a margarínový prů</w:t>
      </w:r>
      <w:r>
        <w:rPr>
          <w:sz w:val="20"/>
          <w:szCs w:val="20"/>
        </w:rPr>
        <w:softHyphen/>
        <w:t>mysl, nebylo také dost glycerinu pro výrobu výbušnin.</w:t>
      </w:r>
    </w:p>
    <w:p w:rsidR="00500724" w:rsidRDefault="00F30FB8">
      <w:pPr>
        <w:pStyle w:val="Zkladntext1"/>
        <w:shd w:val="clear" w:color="auto" w:fill="auto"/>
        <w:spacing w:line="218" w:lineRule="auto"/>
        <w:ind w:firstLine="280"/>
        <w:rPr>
          <w:sz w:val="20"/>
          <w:szCs w:val="20"/>
        </w:rPr>
      </w:pPr>
      <w:r>
        <w:rPr>
          <w:sz w:val="20"/>
          <w:szCs w:val="20"/>
        </w:rPr>
        <w:t>Nikdo se o to v Německu nepostaral, nikdo nepředvídal tento nedostatek. Politické a vojenské kru</w:t>
      </w:r>
      <w:r>
        <w:rPr>
          <w:sz w:val="20"/>
          <w:szCs w:val="20"/>
        </w:rPr>
        <w:t>hy vilémovského Německa se nezabývaly technickými otázkami. Ani nikoho nenapadlo, že jednou bude třeba bránit se proti blokádě.</w:t>
      </w:r>
    </w:p>
    <w:p w:rsidR="00500724" w:rsidRDefault="00F30FB8">
      <w:pPr>
        <w:pStyle w:val="Zkladntext1"/>
        <w:shd w:val="clear" w:color="auto" w:fill="auto"/>
        <w:spacing w:line="218" w:lineRule="auto"/>
        <w:ind w:firstLine="0"/>
        <w:rPr>
          <w:sz w:val="20"/>
          <w:szCs w:val="20"/>
        </w:rPr>
      </w:pPr>
      <w:r>
        <w:rPr>
          <w:sz w:val="20"/>
          <w:szCs w:val="20"/>
        </w:rPr>
        <w:t>I diplomaté se těžce mýlili, když šlo o úlohu, kterou bude mít Anglie v evropském konfliktu. Nikdo si nechtěl zne</w:t>
      </w:r>
      <w:r>
        <w:rPr>
          <w:sz w:val="20"/>
          <w:szCs w:val="20"/>
        </w:rPr>
        <w:softHyphen/>
        <w:t>přátelit Angli</w:t>
      </w:r>
      <w:r>
        <w:rPr>
          <w:sz w:val="20"/>
          <w:szCs w:val="20"/>
        </w:rPr>
        <w:t>i. Proto považovali za nemožné, aby Anglie spatřovala v Německu nepřítele. Lidé se ukolébávali ilusí, že to není v zájmu Anglie vést válku se všemi důsledky proti Německu. Bylo by přirozené, kdyby se někdo postaral o to, aby nikdy se nemohlo podařit, a pro</w:t>
      </w:r>
      <w:r>
        <w:rPr>
          <w:sz w:val="20"/>
          <w:szCs w:val="20"/>
        </w:rPr>
        <w:t>to aby nebyl učiněn ani pokus o vyhladovění celého národa, jak to bylo cílem blokády a jak se to skutečně podařilo. V syté předválečné době byla zcela cizí myšlenka, že by moderní válka mohla býti vedena i proti ženám, dětem a starcům. Už když byla blokáda</w:t>
      </w:r>
      <w:r>
        <w:rPr>
          <w:sz w:val="20"/>
          <w:szCs w:val="20"/>
        </w:rPr>
        <w:t xml:space="preserve"> skutečností, bylo hodně zmeškáno, co se mohlo stát, aby byly zeslabeny její následky. Teprve v květnu 1916 se začaly hledat cesty, jak odstranit nedostatek glycerinu. Chemický průmysl musil sám dát podnět. V téže době se objevilo, že i zásoby bavlny jsou </w:t>
      </w:r>
      <w:r>
        <w:rPr>
          <w:sz w:val="20"/>
          <w:szCs w:val="20"/>
        </w:rPr>
        <w:t>u konce a že se nedostává bavlnových odpadků k výrobě střeliva. Buničiny z dříví bylo sice dost, ale bylo třeba složitých pokusů k zjištění, jaký druh dříví se nejlépe hodí pro muniční továrny.</w:t>
      </w:r>
    </w:p>
    <w:p w:rsidR="00500724" w:rsidRDefault="00F30FB8">
      <w:pPr>
        <w:pStyle w:val="Zkladntext1"/>
        <w:shd w:val="clear" w:color="auto" w:fill="auto"/>
        <w:spacing w:line="218" w:lineRule="auto"/>
        <w:rPr>
          <w:sz w:val="20"/>
          <w:szCs w:val="20"/>
        </w:rPr>
      </w:pPr>
      <w:r>
        <w:rPr>
          <w:sz w:val="20"/>
          <w:szCs w:val="20"/>
        </w:rPr>
        <w:t>Právě tak nikdo nepředpokládal, že se blokáda ihned pro</w:t>
      </w:r>
      <w:r>
        <w:rPr>
          <w:sz w:val="20"/>
          <w:szCs w:val="20"/>
        </w:rPr>
        <w:softHyphen/>
        <w:t>jeví n</w:t>
      </w:r>
      <w:r>
        <w:rPr>
          <w:sz w:val="20"/>
          <w:szCs w:val="20"/>
        </w:rPr>
        <w:t>edostatkem kovů. Kdyby se chemický průmysl byl aspoň jen trochu připravoval na válku, pak by továrny na hliník a magnesium byly postaveny už před 10 lety, a ne teprve r. 1915—17! Právě tak nikdo nepomýšlel využít vo</w:t>
      </w:r>
      <w:r>
        <w:rPr>
          <w:sz w:val="20"/>
          <w:szCs w:val="20"/>
        </w:rPr>
        <w:softHyphen/>
        <w:t xml:space="preserve">jensky velkou převahu Německa v chemii. </w:t>
      </w:r>
      <w:r>
        <w:rPr>
          <w:sz w:val="20"/>
          <w:szCs w:val="20"/>
        </w:rPr>
        <w:t>Velké továrny na dehtová barviva, které kryly 85% světové spotřeby, byly ze začátku téměř uzavřeny. Správy továren byly velmi udi</w:t>
      </w:r>
      <w:r>
        <w:rPr>
          <w:sz w:val="20"/>
          <w:szCs w:val="20"/>
        </w:rPr>
        <w:softHyphen/>
        <w:t>veny, když se jich vojenské úřady dotázaly, zda mohou vy</w:t>
      </w:r>
      <w:r>
        <w:rPr>
          <w:sz w:val="20"/>
          <w:szCs w:val="20"/>
        </w:rPr>
        <w:softHyphen/>
        <w:t>rábět výbušniny. Továrna na barviva v Hochstu odpověděla toto: „Na vá</w:t>
      </w:r>
      <w:r>
        <w:rPr>
          <w:sz w:val="20"/>
          <w:szCs w:val="20"/>
        </w:rPr>
        <w:t>š dopis sdělujeme, že nejsme továrnou na vý</w:t>
      </w:r>
      <w:r>
        <w:rPr>
          <w:sz w:val="20"/>
          <w:szCs w:val="20"/>
        </w:rPr>
        <w:softHyphen/>
        <w:t>bušniny a nemůžeme zařídit výrobu trinitrotoluolu a pikri- nové kyseliny.“ Na konec přece byli ochotni pomáhat armádě svými chemickými znalostmi. Ale vojenská správa dlouho nepomýšlela na využití možností továren</w:t>
      </w:r>
      <w:r>
        <w:rPr>
          <w:sz w:val="20"/>
          <w:szCs w:val="20"/>
        </w:rPr>
        <w:t xml:space="preserve"> na dehtová bar</w:t>
      </w:r>
      <w:r>
        <w:rPr>
          <w:sz w:val="20"/>
          <w:szCs w:val="20"/>
        </w:rPr>
        <w:softHyphen/>
        <w:t>vivá. V továrnách na indigo byly uskladněny velké zásoby tekutého chloru. V jiných továrnách bylo sta tun fosgenu. Chlor a fosgen mohly být použity jako bojové plyny.</w:t>
      </w:r>
    </w:p>
    <w:p w:rsidR="00500724" w:rsidRDefault="00F30FB8">
      <w:pPr>
        <w:pStyle w:val="Zkladntext1"/>
        <w:shd w:val="clear" w:color="auto" w:fill="auto"/>
        <w:spacing w:line="218" w:lineRule="auto"/>
        <w:ind w:firstLine="260"/>
        <w:rPr>
          <w:sz w:val="20"/>
          <w:szCs w:val="20"/>
        </w:rPr>
      </w:pPr>
      <w:r>
        <w:rPr>
          <w:sz w:val="20"/>
          <w:szCs w:val="20"/>
        </w:rPr>
        <w:t xml:space="preserve">První pokus o zhotovení bojového plynu podniklo vrchní velitelství, když </w:t>
      </w:r>
      <w:r>
        <w:rPr>
          <w:sz w:val="20"/>
          <w:szCs w:val="20"/>
        </w:rPr>
        <w:t>se přesvědčilo, že i odpůrčí strana podniká pokusy s granáty, plněnými plynem. Bylo to roku 1915. Teprve po několika měsících zasedli chemikové nad úkolem systematického propracování možností chemické války. Ně</w:t>
      </w:r>
      <w:r>
        <w:rPr>
          <w:sz w:val="20"/>
          <w:szCs w:val="20"/>
        </w:rPr>
        <w:softHyphen/>
        <w:t xml:space="preserve">mečtí chemikové Steinkopf a Lommel vynalezli </w:t>
      </w:r>
      <w:r>
        <w:rPr>
          <w:sz w:val="20"/>
          <w:szCs w:val="20"/>
        </w:rPr>
        <w:t xml:space="preserve">při tom v roce 1916 první bojový plyn, který byl pojmenován podle počátečních slabik jmen vynálezců </w:t>
      </w:r>
      <w:r>
        <w:rPr>
          <w:sz w:val="20"/>
          <w:szCs w:val="20"/>
          <w:lang w:val="en-US" w:eastAsia="en-US" w:bidi="en-US"/>
        </w:rPr>
        <w:t xml:space="preserve">„Lost“. </w:t>
      </w:r>
      <w:r>
        <w:rPr>
          <w:sz w:val="20"/>
          <w:szCs w:val="20"/>
        </w:rPr>
        <w:t>Brzy po prvém plynovém útoku na německé straně použila i odpůrčí strana chloru a fosgenu.</w:t>
      </w:r>
    </w:p>
    <w:p w:rsidR="00500724" w:rsidRDefault="00F30FB8">
      <w:pPr>
        <w:pStyle w:val="Zkladntext1"/>
        <w:shd w:val="clear" w:color="auto" w:fill="auto"/>
        <w:spacing w:line="218" w:lineRule="auto"/>
        <w:ind w:firstLine="260"/>
        <w:rPr>
          <w:sz w:val="20"/>
          <w:szCs w:val="20"/>
        </w:rPr>
      </w:pPr>
      <w:r>
        <w:rPr>
          <w:sz w:val="20"/>
          <w:szCs w:val="20"/>
        </w:rPr>
        <w:t>Současně s použitím bojových plynů bylo zapotřebí také och</w:t>
      </w:r>
      <w:r>
        <w:rPr>
          <w:sz w:val="20"/>
          <w:szCs w:val="20"/>
        </w:rPr>
        <w:t>ranných opatření proti důsledkům plynu. Plynové masky byly už dřív používány v závodech, kde dělníci pracovali s jedovatými plyny. Působení masky záleží v tom, že po- resní dřevné uhlí, t. zv. aktivní uhlí může zadržet plyn. Ale plynová maska způsobila, že</w:t>
      </w:r>
      <w:r>
        <w:rPr>
          <w:sz w:val="20"/>
          <w:szCs w:val="20"/>
        </w:rPr>
        <w:t xml:space="preserve"> plynová válka už nebyla tak hrozná. Nedostatek příprav a dlouhé váhání německého vrchního velitelství zavinily, že chemická převaha Německa nemohla se rozhodným způsobem projevit v plynové válce.</w:t>
      </w:r>
    </w:p>
    <w:p w:rsidR="00500724" w:rsidRDefault="00F30FB8">
      <w:pPr>
        <w:pStyle w:val="Zkladntext1"/>
        <w:shd w:val="clear" w:color="auto" w:fill="auto"/>
        <w:spacing w:after="120" w:line="226" w:lineRule="auto"/>
        <w:ind w:firstLine="260"/>
        <w:rPr>
          <w:sz w:val="20"/>
          <w:szCs w:val="20"/>
        </w:rPr>
      </w:pPr>
      <w:r>
        <w:rPr>
          <w:sz w:val="20"/>
          <w:szCs w:val="20"/>
        </w:rPr>
        <w:t>Ale jestliže chemie zasáhla pozdě na ryze vojenském poli, c</w:t>
      </w:r>
      <w:r>
        <w:rPr>
          <w:sz w:val="20"/>
          <w:szCs w:val="20"/>
        </w:rPr>
        <w:t>o teprve tam, kde šlo o výživu a ošacení obyvatelstva v pří</w:t>
      </w:r>
      <w:r>
        <w:rPr>
          <w:sz w:val="20"/>
          <w:szCs w:val="20"/>
        </w:rPr>
        <w:softHyphen/>
        <w:t>padě blokády! Při tom už dvacet let byly známy chemické pochody k tomu nutné. Už dvacet let před válkou byly známy způsoby chemického vytvoření textilního vlákna. Těsně před válkou se v Německu vy</w:t>
      </w:r>
      <w:r>
        <w:rPr>
          <w:sz w:val="20"/>
          <w:szCs w:val="20"/>
        </w:rPr>
        <w:t>ráběla třetina celého umělého hed</w:t>
      </w:r>
      <w:r>
        <w:rPr>
          <w:sz w:val="20"/>
          <w:szCs w:val="20"/>
        </w:rPr>
        <w:softHyphen/>
        <w:t>vábí na světě. Bylo to však pouze 3500 t, ani ne 1% ně</w:t>
      </w:r>
      <w:r>
        <w:rPr>
          <w:sz w:val="20"/>
          <w:szCs w:val="20"/>
        </w:rPr>
        <w:softHyphen/>
        <w:t>mecké spotřeby textilních vláken. A ze začátku války byl tento skromný průmysl úplně zastaven. V továrně na umělé hedvábí v Kelsterbachu se začala vyrábět sušená zelen</w:t>
      </w:r>
      <w:r>
        <w:rPr>
          <w:sz w:val="20"/>
          <w:szCs w:val="20"/>
        </w:rPr>
        <w:t>ina. Teprve koncem roku 1915 bylo usneseno něco učinit, aby byl zmenšen nedostatek textilních látek. V únoru začala továrna Sydowsaue u štětina po prvé vyrábět vlákno z bu- ničiny, a to tak, aby bylo možno je zpracovávat na starých strojích na bavlněné lát</w:t>
      </w:r>
      <w:r>
        <w:rPr>
          <w:sz w:val="20"/>
          <w:szCs w:val="20"/>
        </w:rPr>
        <w:t xml:space="preserve">ky. Výroba začala 1. srpna 1917. Ze začátku se vyrábělo denně 3000 t, potom 10.000 t. Ale byla to jen kapka v moři německé potřeby. Malé množství těchto umělých látek, vyrobených za války způsobilo však věci, které ještě dnes pociťujeme v Německu. Protože </w:t>
      </w:r>
      <w:r>
        <w:rPr>
          <w:sz w:val="20"/>
          <w:szCs w:val="20"/>
        </w:rPr>
        <w:t>vý</w:t>
      </w:r>
      <w:r>
        <w:rPr>
          <w:sz w:val="20"/>
          <w:szCs w:val="20"/>
        </w:rPr>
        <w:softHyphen/>
        <w:t>roba byla zahájena unáhleně, nebylo umělé vlákno dobrým novým produktem, nýbrž typickou náhražkou. Při tom bylo ještě spojováno s velmi nepevnou trhavou vlnou. Látka, která takto vznikla, působila spiš dojmem papíru než textilie. Dlou</w:t>
      </w:r>
      <w:r>
        <w:rPr>
          <w:sz w:val="20"/>
          <w:szCs w:val="20"/>
        </w:rPr>
        <w:softHyphen/>
        <w:t>hou dobu trpěl odb</w:t>
      </w:r>
      <w:r>
        <w:rPr>
          <w:sz w:val="20"/>
          <w:szCs w:val="20"/>
        </w:rPr>
        <w:t>yt umělého hedvábí a buničité vlny v Ně</w:t>
      </w:r>
      <w:r>
        <w:rPr>
          <w:sz w:val="20"/>
          <w:szCs w:val="20"/>
        </w:rPr>
        <w:softHyphen/>
        <w:t>mecku pro dojem, který zanechaly za války textilní náhražky. Chemie láme blokádu.</w:t>
      </w:r>
    </w:p>
    <w:p w:rsidR="00500724" w:rsidRDefault="00F30FB8">
      <w:pPr>
        <w:pStyle w:val="Zkladntext1"/>
        <w:shd w:val="clear" w:color="auto" w:fill="auto"/>
        <w:spacing w:line="223" w:lineRule="auto"/>
        <w:ind w:firstLine="260"/>
        <w:rPr>
          <w:sz w:val="20"/>
          <w:szCs w:val="20"/>
        </w:rPr>
      </w:pPr>
      <w:r>
        <w:rPr>
          <w:sz w:val="20"/>
          <w:szCs w:val="20"/>
        </w:rPr>
        <w:t>I chemie kvasnic by se byla mohla dlouho před válkou při</w:t>
      </w:r>
      <w:r>
        <w:rPr>
          <w:sz w:val="20"/>
          <w:szCs w:val="20"/>
        </w:rPr>
        <w:softHyphen/>
        <w:t xml:space="preserve">pravit na blokádu. Četní němečtí učenci se už od roku 1900 zabývali </w:t>
      </w:r>
      <w:r>
        <w:rPr>
          <w:sz w:val="20"/>
          <w:szCs w:val="20"/>
        </w:rPr>
        <w:t>chemickými pochody v kvasnicovém průmyslu. Bylo dost peněz na pokusy. Tehdy v Německu vzkvétaly pivovary, lihovary, octárny atd.</w:t>
      </w:r>
    </w:p>
    <w:p w:rsidR="00500724" w:rsidRDefault="00F30FB8">
      <w:pPr>
        <w:pStyle w:val="Zkladntext1"/>
        <w:shd w:val="clear" w:color="auto" w:fill="auto"/>
        <w:spacing w:line="233" w:lineRule="auto"/>
        <w:ind w:firstLine="260"/>
        <w:rPr>
          <w:sz w:val="20"/>
          <w:szCs w:val="20"/>
        </w:rPr>
      </w:pPr>
      <w:r>
        <w:rPr>
          <w:sz w:val="20"/>
          <w:szCs w:val="20"/>
        </w:rPr>
        <w:t>Už za války se z cukru, z řepy a ze dřeva dělalo krmivo. Jen deset let zkušeností, a byly by tu statisíce tun potravin a krmiv,</w:t>
      </w:r>
      <w:r>
        <w:rPr>
          <w:sz w:val="20"/>
          <w:szCs w:val="20"/>
        </w:rPr>
        <w:t xml:space="preserve"> u nichž by nikdo nepoznal podle chuti původ. Za války nešlo o cenu. Německo mělo ve skladištích mnoho cukru určeného pro vývoz, a tento cukr by mohl být pře</w:t>
      </w:r>
      <w:r>
        <w:rPr>
          <w:sz w:val="20"/>
          <w:szCs w:val="20"/>
        </w:rPr>
        <w:softHyphen/>
        <w:t>měněn po malých přípravách ve vydatné krmivo, kterého byl náhle pro blokádu nedostatek. Ale v prvn</w:t>
      </w:r>
      <w:r>
        <w:rPr>
          <w:sz w:val="20"/>
          <w:szCs w:val="20"/>
        </w:rPr>
        <w:t>ích válečných letech byl přebytek cukru spotřebován a pro přehnané obavy o nedostatek krmiv způsobeno pověstné vyvraždění vepřů v roce 1915.</w:t>
      </w:r>
    </w:p>
    <w:p w:rsidR="00500724" w:rsidRDefault="00F30FB8">
      <w:pPr>
        <w:pStyle w:val="Zkladntext1"/>
        <w:shd w:val="clear" w:color="auto" w:fill="auto"/>
        <w:spacing w:line="218" w:lineRule="auto"/>
        <w:ind w:firstLine="240"/>
        <w:rPr>
          <w:sz w:val="20"/>
          <w:szCs w:val="20"/>
        </w:rPr>
      </w:pPr>
      <w:r>
        <w:rPr>
          <w:sz w:val="20"/>
          <w:szCs w:val="20"/>
        </w:rPr>
        <w:t>I pokles výroby cukru pro nedostatek pracovních sil v ře- pařství mohl být zmírněn. Už od roku 1860 existuje způsob</w:t>
      </w:r>
      <w:r>
        <w:rPr>
          <w:sz w:val="20"/>
          <w:szCs w:val="20"/>
        </w:rPr>
        <w:t xml:space="preserve">, jak pomocí koncentrovaných nebo zředěných kyselin dělat cukr ze dřeva. V Německu se však do toho dali unáhleně teprve za války. Ale protože nebylo dost času na vědecké prozkoumání pochodů, nebyly výsledky valné. Teprve po válce objevil Scholler příčinu: </w:t>
      </w:r>
      <w:r>
        <w:rPr>
          <w:sz w:val="20"/>
          <w:szCs w:val="20"/>
        </w:rPr>
        <w:t>rozklad hroznového cukru přímo v aparatuře přítomností kyseliny ve vodě. Pak už ne</w:t>
      </w:r>
      <w:r>
        <w:rPr>
          <w:sz w:val="20"/>
          <w:szCs w:val="20"/>
        </w:rPr>
        <w:softHyphen/>
        <w:t>bylo těžké upravit aparát tak, aby byl cukr rychle isolován od zředěné kyseliny sírové. Kdyby němečtí chemikové včas před r. 1914 poukázali na to, že dobývání cukru ze dřeva</w:t>
      </w:r>
      <w:r>
        <w:rPr>
          <w:sz w:val="20"/>
          <w:szCs w:val="20"/>
        </w:rPr>
        <w:t xml:space="preserve"> bude jednou za války důležité pro výživu obyvatelstva, bylo by velmi snadno získat tolik dřevného cukru a z toho tolik krmiv, že by bylo zachráněno statisíce krav. Rychle za války zřízené továrny by stačily k znemožnění nedostatku mléka, protože by byl do</w:t>
      </w:r>
      <w:r>
        <w:rPr>
          <w:sz w:val="20"/>
          <w:szCs w:val="20"/>
        </w:rPr>
        <w:t>statek krmiv, a pak by nebyla ani tak velká dětská úmrtnost — kdyby jen výkon činil 60—70% dřevné substance, a nikoliv jen 10%, jako za války.</w:t>
      </w:r>
    </w:p>
    <w:p w:rsidR="00500724" w:rsidRDefault="00F30FB8">
      <w:pPr>
        <w:pStyle w:val="Zkladntext1"/>
        <w:shd w:val="clear" w:color="auto" w:fill="auto"/>
        <w:spacing w:line="218" w:lineRule="auto"/>
        <w:ind w:firstLine="240"/>
        <w:rPr>
          <w:sz w:val="20"/>
          <w:szCs w:val="20"/>
        </w:rPr>
      </w:pPr>
      <w:r>
        <w:rPr>
          <w:sz w:val="20"/>
          <w:szCs w:val="20"/>
        </w:rPr>
        <w:t>Úžasná převaha spojenců nad obleženým Německem, po</w:t>
      </w:r>
      <w:r>
        <w:rPr>
          <w:sz w:val="20"/>
          <w:szCs w:val="20"/>
        </w:rPr>
        <w:softHyphen/>
        <w:t>kud šlo o suroviny, se zejména projevila v dopravních pro</w:t>
      </w:r>
      <w:r>
        <w:rPr>
          <w:sz w:val="20"/>
          <w:szCs w:val="20"/>
        </w:rPr>
        <w:softHyphen/>
        <w:t>stře</w:t>
      </w:r>
      <w:r>
        <w:rPr>
          <w:sz w:val="20"/>
          <w:szCs w:val="20"/>
        </w:rPr>
        <w:t>dcích a v letadlech. Už za bitvy na Marně vrhli Fran</w:t>
      </w:r>
      <w:r>
        <w:rPr>
          <w:sz w:val="20"/>
          <w:szCs w:val="20"/>
        </w:rPr>
        <w:softHyphen/>
        <w:t>couzové pomocí autodrožek a nákladních aut, stažených z celé Paříže, čerstvé síly na frontu. Roku 1916 u Verdunu byla celá francouzská armáda převezena za několik hodin na ohro</w:t>
      </w:r>
      <w:r>
        <w:rPr>
          <w:sz w:val="20"/>
          <w:szCs w:val="20"/>
        </w:rPr>
        <w:softHyphen/>
        <w:t xml:space="preserve">žené místo a nastoupila o </w:t>
      </w:r>
      <w:r>
        <w:rPr>
          <w:sz w:val="20"/>
          <w:szCs w:val="20"/>
        </w:rPr>
        <w:t>den dříve než Němci spoléhali. 1918 byla vojska na spojenecké straně téměř zcela moto- risována, kdežto u Němců byl stále větší nedostatek koní. Spojence donesla k vítězství olejová vlna, řekl jeden ame</w:t>
      </w:r>
      <w:r>
        <w:rPr>
          <w:sz w:val="20"/>
          <w:szCs w:val="20"/>
        </w:rPr>
        <w:softHyphen/>
        <w:t>rický znalec, a myslil tím naftu, která poháněla moto</w:t>
      </w:r>
      <w:r>
        <w:rPr>
          <w:sz w:val="20"/>
          <w:szCs w:val="20"/>
        </w:rPr>
        <w:t>ry leta</w:t>
      </w:r>
      <w:r>
        <w:rPr>
          <w:sz w:val="20"/>
          <w:szCs w:val="20"/>
        </w:rPr>
        <w:softHyphen/>
        <w:t>del a automobilů.</w:t>
      </w:r>
    </w:p>
    <w:p w:rsidR="00500724" w:rsidRDefault="00F30FB8">
      <w:pPr>
        <w:pStyle w:val="Zkladntext1"/>
        <w:shd w:val="clear" w:color="auto" w:fill="auto"/>
        <w:spacing w:line="218" w:lineRule="auto"/>
        <w:ind w:firstLine="240"/>
        <w:rPr>
          <w:sz w:val="20"/>
          <w:szCs w:val="20"/>
        </w:rPr>
      </w:pPr>
      <w:r>
        <w:rPr>
          <w:sz w:val="20"/>
          <w:szCs w:val="20"/>
        </w:rPr>
        <w:t xml:space="preserve">Oproti milionům tun nafty u spojenců měli Němci 350.000 t benzolu </w:t>
      </w:r>
      <w:r>
        <w:rPr>
          <w:i/>
          <w:iCs/>
          <w:sz w:val="22"/>
          <w:szCs w:val="22"/>
        </w:rPr>
        <w:t>a</w:t>
      </w:r>
      <w:r>
        <w:rPr>
          <w:sz w:val="20"/>
          <w:szCs w:val="20"/>
        </w:rPr>
        <w:t xml:space="preserve"> od roku 1917 asi 110.000 t benzinu ze zničených a znovu upravených haličských a rumunských naftových pramenů. Ale co všechno se nedělá z benzolu!</w:t>
      </w:r>
    </w:p>
    <w:p w:rsidR="00500724" w:rsidRDefault="00F30FB8">
      <w:pPr>
        <w:pStyle w:val="Zkladntext1"/>
        <w:shd w:val="clear" w:color="auto" w:fill="auto"/>
        <w:spacing w:line="218" w:lineRule="auto"/>
        <w:ind w:firstLine="240"/>
        <w:rPr>
          <w:sz w:val="20"/>
          <w:szCs w:val="20"/>
        </w:rPr>
      </w:pPr>
      <w:r>
        <w:rPr>
          <w:sz w:val="20"/>
          <w:szCs w:val="20"/>
        </w:rPr>
        <w:t xml:space="preserve">Motorisace však </w:t>
      </w:r>
      <w:r>
        <w:rPr>
          <w:sz w:val="20"/>
          <w:szCs w:val="20"/>
        </w:rPr>
        <w:t>ztroskotala nejen na pohonných látkách, chyběla jí také guma. Nákladní auta musila mít ocelová kola, a majitelé kol dostávali papír místo gumových obručí. Ne</w:t>
      </w:r>
      <w:r>
        <w:rPr>
          <w:sz w:val="20"/>
          <w:szCs w:val="20"/>
        </w:rPr>
        <w:softHyphen/>
        <w:t>musilo to být. Je to nej jasnější důkaz, jak málo prakticky pomýšlel německý chemický průmysl na v</w:t>
      </w:r>
      <w:r>
        <w:rPr>
          <w:sz w:val="20"/>
          <w:szCs w:val="20"/>
        </w:rPr>
        <w:t>álku.</w:t>
      </w:r>
    </w:p>
    <w:p w:rsidR="00500724" w:rsidRDefault="00F30FB8">
      <w:pPr>
        <w:pStyle w:val="Zkladntext1"/>
        <w:shd w:val="clear" w:color="auto" w:fill="auto"/>
        <w:spacing w:line="218" w:lineRule="auto"/>
        <w:ind w:firstLine="240"/>
        <w:rPr>
          <w:sz w:val="20"/>
          <w:szCs w:val="20"/>
        </w:rPr>
      </w:pPr>
      <w:r>
        <w:rPr>
          <w:sz w:val="20"/>
          <w:szCs w:val="20"/>
        </w:rPr>
        <w:t>Německo už tehdy mělo vhodné zařízení k výrobě umě</w:t>
      </w:r>
      <w:r>
        <w:rPr>
          <w:sz w:val="20"/>
          <w:szCs w:val="20"/>
        </w:rPr>
        <w:softHyphen/>
        <w:t>lého kaučuku. Ale výrobní cena byla mnohem větší než cena přirozeného kaučuku, ačkoliv tento stál tenkrát 20 marek za kilogram, kdežto dnes stojí 1 M. Když však začala válka, byla výroba umělého kauč</w:t>
      </w:r>
      <w:r>
        <w:rPr>
          <w:sz w:val="20"/>
          <w:szCs w:val="20"/>
        </w:rPr>
        <w:t>uku úplně zastavena, protože ne</w:t>
      </w:r>
      <w:r>
        <w:rPr>
          <w:sz w:val="20"/>
          <w:szCs w:val="20"/>
        </w:rPr>
        <w:softHyphen/>
        <w:t>byly suroviny. Methylkaučuk se totiž dělal z acetonu, re</w:t>
      </w:r>
      <w:r>
        <w:rPr>
          <w:sz w:val="20"/>
          <w:szCs w:val="20"/>
        </w:rPr>
        <w:softHyphen/>
        <w:t>dukcí hliníku za přítomnosti rtuťových solí. Tyto tři suro</w:t>
      </w:r>
      <w:r>
        <w:rPr>
          <w:sz w:val="20"/>
          <w:szCs w:val="20"/>
        </w:rPr>
        <w:softHyphen/>
        <w:t>viny byly však potřebné pro jiné vojenské účely.</w:t>
      </w:r>
    </w:p>
    <w:p w:rsidR="00500724" w:rsidRDefault="00F30FB8">
      <w:pPr>
        <w:pStyle w:val="Zkladntext1"/>
        <w:shd w:val="clear" w:color="auto" w:fill="auto"/>
        <w:spacing w:after="140" w:line="218" w:lineRule="auto"/>
        <w:ind w:firstLine="240"/>
        <w:rPr>
          <w:sz w:val="20"/>
          <w:szCs w:val="20"/>
        </w:rPr>
      </w:pPr>
      <w:r>
        <w:rPr>
          <w:sz w:val="20"/>
          <w:szCs w:val="20"/>
        </w:rPr>
        <w:t>K získání acetonu bylo třeba karbidu. Hlavní dodavatel karb</w:t>
      </w:r>
      <w:r>
        <w:rPr>
          <w:sz w:val="20"/>
          <w:szCs w:val="20"/>
        </w:rPr>
        <w:t xml:space="preserve">idu, závod </w:t>
      </w:r>
      <w:r>
        <w:rPr>
          <w:sz w:val="20"/>
          <w:szCs w:val="20"/>
          <w:lang w:val="en-US" w:eastAsia="en-US" w:bidi="en-US"/>
        </w:rPr>
        <w:t xml:space="preserve">Knapsack, </w:t>
      </w:r>
      <w:r>
        <w:rPr>
          <w:sz w:val="20"/>
          <w:szCs w:val="20"/>
        </w:rPr>
        <w:t>byl příliš malý. Teprve o vánocích roku 1915 byl vyroben první karbid v Piesteritz, kde dnes stojí velká továrna. V tomto závodě byla postavena první pec na 10.000 kW, kdežto dříve existovaly pece jen o 800 až 1500 kW. Když tedy na kon</w:t>
      </w:r>
      <w:r>
        <w:rPr>
          <w:sz w:val="20"/>
          <w:szCs w:val="20"/>
        </w:rPr>
        <w:t>ec roku 1917 bylo dost ace</w:t>
      </w:r>
      <w:r>
        <w:rPr>
          <w:sz w:val="20"/>
          <w:szCs w:val="20"/>
        </w:rPr>
        <w:softHyphen/>
        <w:t>tonu, získaného z karbidu a kyseliny octové, aby měla to</w:t>
      </w:r>
      <w:r>
        <w:rPr>
          <w:sz w:val="20"/>
          <w:szCs w:val="20"/>
        </w:rPr>
        <w:softHyphen/>
        <w:t>várna na umělý kaučuk v Elberfeldu dost surovin, podařilo se do konce války vyrobit asi 2000 t umělého kaučuku. I tento úžasný výkon německé chemie za války stál ve zna</w:t>
      </w:r>
      <w:r>
        <w:rPr>
          <w:sz w:val="20"/>
          <w:szCs w:val="20"/>
        </w:rPr>
        <w:softHyphen/>
        <w:t>men</w:t>
      </w:r>
      <w:r>
        <w:rPr>
          <w:sz w:val="20"/>
          <w:szCs w:val="20"/>
        </w:rPr>
        <w:t>í hesla: Příliš pozdě!</w:t>
      </w:r>
    </w:p>
    <w:p w:rsidR="00500724" w:rsidRDefault="00F30FB8">
      <w:pPr>
        <w:pStyle w:val="Zkladntext1"/>
        <w:shd w:val="clear" w:color="auto" w:fill="auto"/>
        <w:spacing w:after="100" w:line="218" w:lineRule="auto"/>
        <w:ind w:firstLine="0"/>
        <w:jc w:val="center"/>
        <w:rPr>
          <w:sz w:val="20"/>
          <w:szCs w:val="20"/>
        </w:rPr>
      </w:pPr>
      <w:r>
        <w:rPr>
          <w:sz w:val="20"/>
          <w:szCs w:val="20"/>
        </w:rPr>
        <w:t>Loupež patentů.</w:t>
      </w:r>
    </w:p>
    <w:p w:rsidR="00500724" w:rsidRDefault="00F30FB8">
      <w:pPr>
        <w:pStyle w:val="Zkladntext1"/>
        <w:shd w:val="clear" w:color="auto" w:fill="auto"/>
        <w:spacing w:line="218" w:lineRule="auto"/>
        <w:ind w:firstLine="240"/>
        <w:rPr>
          <w:sz w:val="20"/>
          <w:szCs w:val="20"/>
        </w:rPr>
      </w:pPr>
      <w:r>
        <w:rPr>
          <w:sz w:val="20"/>
          <w:szCs w:val="20"/>
        </w:rPr>
        <w:t>Spojenci právě tak jako Němci nepomýšleli na význam chemie za války. Náhle se tam nedostávalo barviv a léků, protože dříve dodávalo toto zboží Německo, a teď víc do</w:t>
      </w:r>
      <w:r>
        <w:rPr>
          <w:sz w:val="20"/>
          <w:szCs w:val="20"/>
        </w:rPr>
        <w:softHyphen/>
        <w:t>dávat nemohlo. Nedostatek dehtových barviv a pomocný</w:t>
      </w:r>
      <w:r>
        <w:rPr>
          <w:sz w:val="20"/>
          <w:szCs w:val="20"/>
        </w:rPr>
        <w:t>ch prostředků vážně ohrozil celý anglický textilní průmysl, je</w:t>
      </w:r>
      <w:r>
        <w:rPr>
          <w:sz w:val="20"/>
          <w:szCs w:val="20"/>
        </w:rPr>
        <w:softHyphen/>
        <w:t>hož výroba obnáší 4 miliardy marek ročně. Je to komické, ale bylo tomu tak: anglická vláda potřebovala statisíc vlajek v anglických národních barvách, ale v Anglii nebylo barviv. Vláda zadala d</w:t>
      </w:r>
      <w:r>
        <w:rPr>
          <w:sz w:val="20"/>
          <w:szCs w:val="20"/>
        </w:rPr>
        <w:t>odávku vlajek do Ameriky, protože doufala, že tam je ještě dostatek německých barviv. Vlajky byly do</w:t>
      </w:r>
      <w:r>
        <w:rPr>
          <w:sz w:val="20"/>
          <w:szCs w:val="20"/>
        </w:rPr>
        <w:softHyphen/>
        <w:t>dány, ale brzy vybledly. Vznikl právní spor, protože doda</w:t>
      </w:r>
      <w:r>
        <w:rPr>
          <w:sz w:val="20"/>
          <w:szCs w:val="20"/>
        </w:rPr>
        <w:softHyphen/>
        <w:t xml:space="preserve">vatelé slíbili použiti německých barviv. Věc se dostala na veřejnost a způsobila uprostřed války </w:t>
      </w:r>
      <w:r>
        <w:rPr>
          <w:sz w:val="20"/>
          <w:szCs w:val="20"/>
        </w:rPr>
        <w:t>téměř ministerskou krisi.</w:t>
      </w:r>
    </w:p>
    <w:p w:rsidR="00500724" w:rsidRDefault="00F30FB8">
      <w:pPr>
        <w:pStyle w:val="Zkladntext1"/>
        <w:shd w:val="clear" w:color="auto" w:fill="auto"/>
        <w:spacing w:line="218" w:lineRule="auto"/>
        <w:ind w:firstLine="240"/>
        <w:rPr>
          <w:sz w:val="20"/>
          <w:szCs w:val="20"/>
        </w:rPr>
      </w:pPr>
      <w:r>
        <w:rPr>
          <w:sz w:val="20"/>
          <w:szCs w:val="20"/>
        </w:rPr>
        <w:t>Švýcarsko nemohlo dodávat dost barviv. Čínští obchodníci prodali své zásoby německýcb barviv s velkým ziskem do Ameriky. Cena indiga stoupla osmnáctkrát.</w:t>
      </w:r>
    </w:p>
    <w:p w:rsidR="00500724" w:rsidRDefault="00F30FB8">
      <w:pPr>
        <w:pStyle w:val="Zkladntext1"/>
        <w:shd w:val="clear" w:color="auto" w:fill="auto"/>
        <w:spacing w:line="218" w:lineRule="auto"/>
        <w:ind w:firstLine="240"/>
        <w:rPr>
          <w:sz w:val="20"/>
          <w:szCs w:val="20"/>
        </w:rPr>
      </w:pPr>
      <w:r>
        <w:rPr>
          <w:sz w:val="20"/>
          <w:szCs w:val="20"/>
        </w:rPr>
        <w:t>Ale pravá barviva nejsou nejdůležitější ve válce. Důleži</w:t>
      </w:r>
      <w:r>
        <w:rPr>
          <w:sz w:val="20"/>
          <w:szCs w:val="20"/>
        </w:rPr>
        <w:softHyphen/>
        <w:t>tější jsou výbušnin</w:t>
      </w:r>
      <w:r>
        <w:rPr>
          <w:sz w:val="20"/>
          <w:szCs w:val="20"/>
        </w:rPr>
        <w:t>y. Anglie a Francie zpozorovaly, že válka vyžaduje víc munice, než kolik může dodat jejich průmysl. Pro tyto země, které měly volný přístup k moři, bylo to sice trapné, ale nikoliv nebezpečné. Musily se jen vypsat do</w:t>
      </w:r>
      <w:r>
        <w:rPr>
          <w:sz w:val="20"/>
          <w:szCs w:val="20"/>
        </w:rPr>
        <w:softHyphen/>
        <w:t>dávky, a Amerika dodala všechno, čeho s</w:t>
      </w:r>
      <w:r>
        <w:rPr>
          <w:sz w:val="20"/>
          <w:szCs w:val="20"/>
        </w:rPr>
        <w:t>e nedostávalo. Ale přece vyšlo najevo nedostatečné vybavení vlastního prů</w:t>
      </w:r>
      <w:r>
        <w:rPr>
          <w:sz w:val="20"/>
          <w:szCs w:val="20"/>
        </w:rPr>
        <w:softHyphen/>
        <w:t>myslu. Věcí se začal zabývat tisk, politikové, vládní úředníci. A bylo prokázáno, že příčinou je nedostatek chemikálií.</w:t>
      </w:r>
    </w:p>
    <w:p w:rsidR="00500724" w:rsidRDefault="00F30FB8">
      <w:pPr>
        <w:pStyle w:val="Zkladntext1"/>
        <w:shd w:val="clear" w:color="auto" w:fill="auto"/>
        <w:spacing w:line="218" w:lineRule="auto"/>
        <w:ind w:firstLine="240"/>
        <w:rPr>
          <w:sz w:val="20"/>
          <w:szCs w:val="20"/>
        </w:rPr>
      </w:pPr>
      <w:r>
        <w:rPr>
          <w:sz w:val="20"/>
          <w:szCs w:val="20"/>
        </w:rPr>
        <w:t>Teď spojenci a s nimi i všichni neutrálové propadli do opačnéh</w:t>
      </w:r>
      <w:r>
        <w:rPr>
          <w:sz w:val="20"/>
          <w:szCs w:val="20"/>
        </w:rPr>
        <w:t>o omylu. Nedoceňování chemie přeměnilo se v pře</w:t>
      </w:r>
      <w:r>
        <w:rPr>
          <w:sz w:val="20"/>
          <w:szCs w:val="20"/>
        </w:rPr>
        <w:softHyphen/>
        <w:t>ceňování chemie. Chemický průmysl byl prohlášen za nej</w:t>
      </w:r>
      <w:r>
        <w:rPr>
          <w:sz w:val="20"/>
          <w:szCs w:val="20"/>
        </w:rPr>
        <w:softHyphen/>
        <w:t>důležitější. Z Anglie a z Ameriky šlo všemi novinami světa heslo o chemické převaze Německa. Každá větší země začala zakládat chemický průmysl. Začalo ví</w:t>
      </w:r>
      <w:r>
        <w:rPr>
          <w:sz w:val="20"/>
          <w:szCs w:val="20"/>
        </w:rPr>
        <w:t>tězné tažení chemie světem.</w:t>
      </w:r>
    </w:p>
    <w:p w:rsidR="00500724" w:rsidRDefault="00F30FB8">
      <w:pPr>
        <w:pStyle w:val="Zkladntext1"/>
        <w:shd w:val="clear" w:color="auto" w:fill="auto"/>
        <w:spacing w:line="218" w:lineRule="auto"/>
        <w:ind w:firstLine="240"/>
        <w:rPr>
          <w:sz w:val="20"/>
          <w:szCs w:val="20"/>
        </w:rPr>
      </w:pPr>
      <w:r>
        <w:rPr>
          <w:sz w:val="20"/>
          <w:szCs w:val="20"/>
        </w:rPr>
        <w:t>Za několik týdnů měla teď Anglie dohnat to, co zmeš</w:t>
      </w:r>
      <w:r>
        <w:rPr>
          <w:sz w:val="20"/>
          <w:szCs w:val="20"/>
        </w:rPr>
        <w:softHyphen/>
        <w:t>kala za třicet let. Miliony měly nahradit třicetiletou píli a vůli. Ale tak lze jen převzít hotové, nikoliv však vytvořit nové. Ještě jsou Angličané, kteří si váží německého vý</w:t>
      </w:r>
      <w:r>
        <w:rPr>
          <w:sz w:val="20"/>
          <w:szCs w:val="20"/>
        </w:rPr>
        <w:t>konu a spatřují pravou příčinu německé převahy v důkladné vě</w:t>
      </w:r>
      <w:r>
        <w:rPr>
          <w:sz w:val="20"/>
          <w:szCs w:val="20"/>
        </w:rPr>
        <w:softHyphen/>
        <w:t>decké a technické práci. Ale přece si chtěla Anglie přisvojit výkon penězi a mocí.</w:t>
      </w:r>
    </w:p>
    <w:p w:rsidR="00500724" w:rsidRDefault="00F30FB8">
      <w:pPr>
        <w:pStyle w:val="Zkladntext1"/>
        <w:numPr>
          <w:ilvl w:val="0"/>
          <w:numId w:val="101"/>
        </w:numPr>
        <w:shd w:val="clear" w:color="auto" w:fill="auto"/>
        <w:tabs>
          <w:tab w:val="left" w:pos="500"/>
        </w:tabs>
        <w:spacing w:line="218" w:lineRule="auto"/>
        <w:ind w:firstLine="240"/>
        <w:rPr>
          <w:sz w:val="20"/>
          <w:szCs w:val="20"/>
        </w:rPr>
      </w:pPr>
      <w:r>
        <w:rPr>
          <w:sz w:val="20"/>
          <w:szCs w:val="20"/>
        </w:rPr>
        <w:t>Anglii, Francii a Americe byly zabaveny patenty a fi</w:t>
      </w:r>
      <w:r>
        <w:rPr>
          <w:sz w:val="20"/>
          <w:szCs w:val="20"/>
        </w:rPr>
        <w:softHyphen/>
        <w:t>liálky německých chemických závodů. Marně se však sna</w:t>
      </w:r>
      <w:r>
        <w:rPr>
          <w:sz w:val="20"/>
          <w:szCs w:val="20"/>
        </w:rPr>
        <w:softHyphen/>
        <w:t xml:space="preserve">žili </w:t>
      </w:r>
      <w:r>
        <w:rPr>
          <w:sz w:val="20"/>
          <w:szCs w:val="20"/>
        </w:rPr>
        <w:t>udržet tyto závody v provozu. Proto se hledali odbor</w:t>
      </w:r>
      <w:r>
        <w:rPr>
          <w:sz w:val="20"/>
          <w:szCs w:val="20"/>
        </w:rPr>
        <w:softHyphen/>
        <w:t>níci. Bývalý chemik elberfelderských závodů na barviva za</w:t>
      </w:r>
      <w:r>
        <w:rPr>
          <w:sz w:val="20"/>
          <w:szCs w:val="20"/>
        </w:rPr>
        <w:softHyphen/>
        <w:t xml:space="preserve">ložil v Americe </w:t>
      </w:r>
      <w:r>
        <w:rPr>
          <w:sz w:val="20"/>
          <w:szCs w:val="20"/>
          <w:lang w:val="en-US" w:eastAsia="en-US" w:bidi="en-US"/>
        </w:rPr>
        <w:t xml:space="preserve">Beckers </w:t>
      </w:r>
      <w:r>
        <w:rPr>
          <w:sz w:val="20"/>
          <w:szCs w:val="20"/>
        </w:rPr>
        <w:t>Aniline and Chemical Works s ka</w:t>
      </w:r>
      <w:r>
        <w:rPr>
          <w:sz w:val="20"/>
          <w:szCs w:val="20"/>
        </w:rPr>
        <w:softHyphen/>
        <w:t xml:space="preserve">pitálem 25 milionů dolarů. V Anglii založil muž jménem </w:t>
      </w:r>
      <w:r>
        <w:rPr>
          <w:sz w:val="20"/>
          <w:szCs w:val="20"/>
          <w:lang w:val="en-US" w:eastAsia="en-US" w:bidi="en-US"/>
        </w:rPr>
        <w:t xml:space="preserve">Levinstein </w:t>
      </w:r>
      <w:r>
        <w:rPr>
          <w:sz w:val="20"/>
          <w:szCs w:val="20"/>
        </w:rPr>
        <w:t xml:space="preserve">s vládní podporou </w:t>
      </w:r>
      <w:r>
        <w:rPr>
          <w:sz w:val="20"/>
          <w:szCs w:val="20"/>
          <w:lang w:val="en-US" w:eastAsia="en-US" w:bidi="en-US"/>
        </w:rPr>
        <w:t>Briti</w:t>
      </w:r>
      <w:r>
        <w:rPr>
          <w:sz w:val="20"/>
          <w:szCs w:val="20"/>
          <w:lang w:val="en-US" w:eastAsia="en-US" w:bidi="en-US"/>
        </w:rPr>
        <w:t xml:space="preserve">sh Dyestuff </w:t>
      </w:r>
      <w:r>
        <w:rPr>
          <w:sz w:val="20"/>
          <w:szCs w:val="20"/>
        </w:rPr>
        <w:t>Corporation.</w:t>
      </w:r>
    </w:p>
    <w:p w:rsidR="00500724" w:rsidRDefault="00F30FB8">
      <w:pPr>
        <w:pStyle w:val="Zkladntext1"/>
        <w:numPr>
          <w:ilvl w:val="0"/>
          <w:numId w:val="101"/>
        </w:numPr>
        <w:shd w:val="clear" w:color="auto" w:fill="auto"/>
        <w:tabs>
          <w:tab w:val="left" w:pos="514"/>
        </w:tabs>
        <w:spacing w:line="218" w:lineRule="auto"/>
        <w:ind w:firstLine="240"/>
        <w:rPr>
          <w:sz w:val="20"/>
          <w:szCs w:val="20"/>
        </w:rPr>
      </w:pPr>
      <w:r>
        <w:rPr>
          <w:sz w:val="20"/>
          <w:szCs w:val="20"/>
        </w:rPr>
        <w:t>listopadu 1918 obsadili spojenci nejdůležitější německé továrny. Pod záštitou spojeneckých vojáků přišli nejlepší spojenečtí inženýři a chemikové, aby všechno prostudovali a vyfotografovali. I v neobsazené části Německa byly che</w:t>
      </w:r>
      <w:r>
        <w:rPr>
          <w:sz w:val="20"/>
          <w:szCs w:val="20"/>
        </w:rPr>
        <w:softHyphen/>
      </w:r>
      <w:r>
        <w:rPr>
          <w:sz w:val="20"/>
          <w:szCs w:val="20"/>
        </w:rPr>
        <w:t>mické továrny prohledány vojenskými komisemi spojenců. Vše, co mohlo býti použito pro výrobu výbušnin bylo zni</w:t>
      </w:r>
      <w:r>
        <w:rPr>
          <w:sz w:val="20"/>
          <w:szCs w:val="20"/>
        </w:rPr>
        <w:softHyphen/>
        <w:t>čeno. Žádost přeměnit aparaturu pro mírovou výrobu byla odmítnuta. Vojenská kontrolní komise žádala, aby jí byly vy</w:t>
      </w:r>
      <w:r>
        <w:rPr>
          <w:sz w:val="20"/>
          <w:szCs w:val="20"/>
        </w:rPr>
        <w:softHyphen/>
        <w:t>dány nejen pochody pro výrobu</w:t>
      </w:r>
      <w:r>
        <w:rPr>
          <w:sz w:val="20"/>
          <w:szCs w:val="20"/>
        </w:rPr>
        <w:t xml:space="preserve"> prachu a výbušnin, což by odpovídalo podmínkám Versailleské smlouvy, ale také po</w:t>
      </w:r>
      <w:r>
        <w:rPr>
          <w:sz w:val="20"/>
          <w:szCs w:val="20"/>
        </w:rPr>
        <w:softHyphen/>
        <w:t>chody pro výrobu původních látek, kyseliny sírové a led</w:t>
      </w:r>
      <w:r>
        <w:rPr>
          <w:sz w:val="20"/>
          <w:szCs w:val="20"/>
        </w:rPr>
        <w:softHyphen/>
        <w:t>kové, čpavku atd. Žádala, aby jí bylo přesně oznámeno, jak se v Leverkusenu dělala kyselina sírová ze sádry — byl to v</w:t>
      </w:r>
      <w:r>
        <w:rPr>
          <w:sz w:val="20"/>
          <w:szCs w:val="20"/>
        </w:rPr>
        <w:t>álečný vynález, jehož vedlejším produktem byl cement překvapující pevnosti. Žádala dále, aby jí byly oznámeny všechny podrobnosti nepodařených pokusů, aby si tak uspo</w:t>
      </w:r>
      <w:r>
        <w:rPr>
          <w:sz w:val="20"/>
          <w:szCs w:val="20"/>
        </w:rPr>
        <w:softHyphen/>
        <w:t>řila stejnou cestu.</w:t>
      </w:r>
    </w:p>
    <w:p w:rsidR="00500724" w:rsidRDefault="00F30FB8">
      <w:pPr>
        <w:pStyle w:val="Zkladntext1"/>
        <w:shd w:val="clear" w:color="auto" w:fill="auto"/>
        <w:spacing w:line="218" w:lineRule="auto"/>
        <w:ind w:firstLine="240"/>
        <w:rPr>
          <w:sz w:val="20"/>
          <w:szCs w:val="20"/>
        </w:rPr>
      </w:pPr>
      <w:r>
        <w:rPr>
          <w:sz w:val="20"/>
          <w:szCs w:val="20"/>
        </w:rPr>
        <w:t>Když vlády měly takový zájem o německá barviva, pak ani velké americk</w:t>
      </w:r>
      <w:r>
        <w:rPr>
          <w:sz w:val="20"/>
          <w:szCs w:val="20"/>
        </w:rPr>
        <w:t>é firmy nezůstaly pozadu a začaly lákat německé odborníky k přestěhování do zámoří. Někdy se to podařilo. Dva známí odborníci pomohli Dupontovu koncernu rozšířit výrobu. Dupontův koncern kromě toho podnikl ještě pokus získat 5000 německých patentů, které b</w:t>
      </w:r>
      <w:r>
        <w:rPr>
          <w:sz w:val="20"/>
          <w:szCs w:val="20"/>
        </w:rPr>
        <w:t xml:space="preserve">yly za války zabaveny v Americe. Tyto patenty spravoval </w:t>
      </w:r>
      <w:r>
        <w:rPr>
          <w:sz w:val="20"/>
          <w:szCs w:val="20"/>
          <w:lang w:val="en-US" w:eastAsia="en-US" w:bidi="en-US"/>
        </w:rPr>
        <w:t xml:space="preserve">Francis </w:t>
      </w:r>
      <w:r>
        <w:rPr>
          <w:sz w:val="20"/>
          <w:szCs w:val="20"/>
        </w:rPr>
        <w:t>P. Garvan, zástupce generálního prokurátora Mitshella Palmera, který byl zase zástupcem presidenta Spojených států, a po</w:t>
      </w:r>
      <w:r>
        <w:rPr>
          <w:sz w:val="20"/>
          <w:szCs w:val="20"/>
        </w:rPr>
        <w:softHyphen/>
        <w:t>depsal zprávu o těchto patentech. V této zprávě stálo, že zástupci něme</w:t>
      </w:r>
      <w:r>
        <w:rPr>
          <w:sz w:val="20"/>
          <w:szCs w:val="20"/>
        </w:rPr>
        <w:t>ckého chemického průmyslu v Americe pro</w:t>
      </w:r>
      <w:r>
        <w:rPr>
          <w:sz w:val="20"/>
          <w:szCs w:val="20"/>
        </w:rPr>
        <w:softHyphen/>
        <w:t>vozovali za války a po válce špionáž, že znemožnili, aby vznikl americký chemický průmysl, že ho ničili dumpingem, že podbízeli ceny atd. Pod dojmem této zprávy byla roku 1919 svolána schůze amerických chemiků a zalo</w:t>
      </w:r>
      <w:r>
        <w:rPr>
          <w:sz w:val="20"/>
          <w:szCs w:val="20"/>
        </w:rPr>
        <w:t>žena Che</w:t>
      </w:r>
      <w:r>
        <w:rPr>
          <w:sz w:val="20"/>
          <w:szCs w:val="20"/>
        </w:rPr>
        <w:softHyphen/>
        <w:t>mical Foundation. Věc připravili advokáti Dupontova kon</w:t>
      </w:r>
      <w:r>
        <w:rPr>
          <w:sz w:val="20"/>
          <w:szCs w:val="20"/>
        </w:rPr>
        <w:softHyphen/>
        <w:t>cernu. Během dvou let nato prodal Garvan 4767 patentů této Chemical Foundation, jejichž skutečná cena byla znalci odhadnuta na 10 milionů dolarů, které byly však prodány za 250.000 dolarů. Čt</w:t>
      </w:r>
      <w:r>
        <w:rPr>
          <w:sz w:val="20"/>
          <w:szCs w:val="20"/>
        </w:rPr>
        <w:t>rnáct dní po tomto výprodeji složil Garvan svůj úřad a stal se presidentem Chemical Founda</w:t>
      </w:r>
      <w:r>
        <w:rPr>
          <w:sz w:val="20"/>
          <w:szCs w:val="20"/>
        </w:rPr>
        <w:softHyphen/>
        <w:t>tion, téže firmy, které předtím poskytl tak úžasný dar.</w:t>
      </w:r>
    </w:p>
    <w:p w:rsidR="00500724" w:rsidRDefault="00F30FB8">
      <w:pPr>
        <w:pStyle w:val="Zkladntext1"/>
        <w:shd w:val="clear" w:color="auto" w:fill="auto"/>
        <w:spacing w:line="218" w:lineRule="auto"/>
        <w:ind w:firstLine="240"/>
        <w:rPr>
          <w:sz w:val="20"/>
          <w:szCs w:val="20"/>
        </w:rPr>
      </w:pPr>
      <w:r>
        <w:rPr>
          <w:sz w:val="20"/>
          <w:szCs w:val="20"/>
        </w:rPr>
        <w:t xml:space="preserve">Garvan poškodil ovšem nejen Němce, ale i americký stát. Válečné ministerstvo chtělo totiž samo koupit patent </w:t>
      </w:r>
      <w:r>
        <w:rPr>
          <w:sz w:val="20"/>
          <w:szCs w:val="20"/>
        </w:rPr>
        <w:t>ledkové kyseliny a nabídlo Garvanovi jistou cenu. Garvan však prodal patent soukromé firmě za čtvrtinu této ceny. Byl z toho proces, ale Garvan odsouzen nebyl, protože se prokázal plnou mocí presidenta Wilsona a soudce prohlásil, že nesmí soudit jednání bý</w:t>
      </w:r>
      <w:r>
        <w:rPr>
          <w:sz w:val="20"/>
          <w:szCs w:val="20"/>
        </w:rPr>
        <w:t>valého presidenta.</w:t>
      </w:r>
    </w:p>
    <w:p w:rsidR="00500724" w:rsidRDefault="00F30FB8">
      <w:pPr>
        <w:pStyle w:val="Zkladntext1"/>
        <w:shd w:val="clear" w:color="auto" w:fill="auto"/>
        <w:spacing w:line="218" w:lineRule="auto"/>
        <w:ind w:firstLine="240"/>
        <w:rPr>
          <w:sz w:val="20"/>
          <w:szCs w:val="20"/>
        </w:rPr>
      </w:pPr>
      <w:r>
        <w:rPr>
          <w:sz w:val="20"/>
          <w:szCs w:val="20"/>
        </w:rPr>
        <w:t>Garvanovi se podařilo docílit neuvěřitelného a nestoud</w:t>
      </w:r>
      <w:r>
        <w:rPr>
          <w:sz w:val="20"/>
          <w:szCs w:val="20"/>
        </w:rPr>
        <w:softHyphen/>
        <w:t>ného usnesení shromáždění Chemical Society, na němž byly přítomny tisíce chemiků a inženýrů. V usnesení se žádá, aby byl německý průmysl barviv tak zničen, aby příště mohl krýt jen v</w:t>
      </w:r>
      <w:r>
        <w:rPr>
          <w:sz w:val="20"/>
          <w:szCs w:val="20"/>
        </w:rPr>
        <w:t xml:space="preserve">nitřní spotřebu Německa a nemohl exportovat. V Anglii se objevila kniha zaměstnance </w:t>
      </w:r>
      <w:r>
        <w:rPr>
          <w:sz w:val="20"/>
          <w:szCs w:val="20"/>
          <w:lang w:val="en-US" w:eastAsia="en-US" w:bidi="en-US"/>
        </w:rPr>
        <w:t xml:space="preserve">British Dyestuff </w:t>
      </w:r>
      <w:r>
        <w:rPr>
          <w:sz w:val="20"/>
          <w:szCs w:val="20"/>
        </w:rPr>
        <w:t xml:space="preserve">Corporation, </w:t>
      </w:r>
      <w:r>
        <w:rPr>
          <w:sz w:val="20"/>
          <w:szCs w:val="20"/>
          <w:lang w:val="en-US" w:eastAsia="en-US" w:bidi="en-US"/>
        </w:rPr>
        <w:t xml:space="preserve">The Riddle of the Rhine, </w:t>
      </w:r>
      <w:r>
        <w:rPr>
          <w:sz w:val="20"/>
          <w:szCs w:val="20"/>
        </w:rPr>
        <w:t>Rýnská záhada. I tam se žádá totéž: zničení německých továren, protože trvale ohrožují mír a znemožňují vzestup chemi</w:t>
      </w:r>
      <w:r>
        <w:rPr>
          <w:sz w:val="20"/>
          <w:szCs w:val="20"/>
        </w:rPr>
        <w:t>ckého prů</w:t>
      </w:r>
      <w:r>
        <w:rPr>
          <w:sz w:val="20"/>
          <w:szCs w:val="20"/>
        </w:rPr>
        <w:softHyphen/>
        <w:t>myslu v jiných zemích.</w:t>
      </w:r>
    </w:p>
    <w:p w:rsidR="00500724" w:rsidRDefault="00F30FB8">
      <w:pPr>
        <w:pStyle w:val="Zkladntext1"/>
        <w:shd w:val="clear" w:color="auto" w:fill="auto"/>
        <w:spacing w:line="218" w:lineRule="auto"/>
        <w:ind w:firstLine="240"/>
        <w:rPr>
          <w:sz w:val="20"/>
          <w:szCs w:val="20"/>
        </w:rPr>
      </w:pPr>
      <w:r>
        <w:rPr>
          <w:sz w:val="20"/>
          <w:szCs w:val="20"/>
        </w:rPr>
        <w:t>Na štěstí protestovali spotřebitelé barviv na celém světě. Mohli poukázat, že nový průmysl dehtových barviv v Anglii a v Americe se těší nejsilnější obraně: povolovací řízení při</w:t>
      </w:r>
      <w:r>
        <w:rPr>
          <w:sz w:val="20"/>
          <w:szCs w:val="20"/>
        </w:rPr>
        <w:softHyphen/>
        <w:t>pouští jen taková barviva, která vlastní prů</w:t>
      </w:r>
      <w:r>
        <w:rPr>
          <w:sz w:val="20"/>
          <w:szCs w:val="20"/>
        </w:rPr>
        <w:t>mysl ještě ne</w:t>
      </w:r>
      <w:r>
        <w:rPr>
          <w:sz w:val="20"/>
          <w:szCs w:val="20"/>
        </w:rPr>
        <w:softHyphen/>
        <w:t>může vyrábět. Na místě zákazu dovozu přišla potom v Ame</w:t>
      </w:r>
      <w:r>
        <w:rPr>
          <w:sz w:val="20"/>
          <w:szCs w:val="20"/>
        </w:rPr>
        <w:softHyphen/>
        <w:t>rice nemožná cla. I jiné chemické výrobky jsou ve všech ze</w:t>
      </w:r>
      <w:r>
        <w:rPr>
          <w:sz w:val="20"/>
          <w:szCs w:val="20"/>
        </w:rPr>
        <w:softHyphen/>
        <w:t>mích zatíženy vysokými cly, aby se pomohlo vlastnímu průmyslu. V Německu činí clo na chemické výrobky 5% hodnoty, ve Francii 20</w:t>
      </w:r>
      <w:r>
        <w:rPr>
          <w:sz w:val="20"/>
          <w:szCs w:val="20"/>
        </w:rPr>
        <w:t xml:space="preserve"> až 80%, v Itálii 28 až 36%, ve Spojených státech 40%, v Japonsku 50%, v Polsku 65%, v Jižní Americe 80%.</w:t>
      </w:r>
    </w:p>
    <w:p w:rsidR="00500724" w:rsidRDefault="00F30FB8">
      <w:pPr>
        <w:pStyle w:val="Zkladntext1"/>
        <w:shd w:val="clear" w:color="auto" w:fill="auto"/>
        <w:spacing w:after="300" w:line="218" w:lineRule="auto"/>
        <w:ind w:firstLine="240"/>
        <w:rPr>
          <w:sz w:val="20"/>
          <w:szCs w:val="20"/>
        </w:rPr>
      </w:pPr>
      <w:r>
        <w:rPr>
          <w:sz w:val="20"/>
          <w:szCs w:val="20"/>
        </w:rPr>
        <w:t xml:space="preserve">Prohibitivní cla a zákaz dovozu jsou charakteristickými znaky zanikajícího hospodářství. Svoboda lidí, svoboda zboží a svoboda ducha nad celým světem </w:t>
      </w:r>
      <w:r>
        <w:rPr>
          <w:sz w:val="20"/>
          <w:szCs w:val="20"/>
        </w:rPr>
        <w:t>existovala jen několik desetiletí. Válka znamenala její konec. Byla kdysi příčinou mohutného rozmachu techniky. Teď převzaly její úlohu organisované národy. Národy, které dříve závisely na světovém trhu, a teď jsou obchodními uzávěrami od trhu odříznuty, s</w:t>
      </w:r>
      <w:r>
        <w:rPr>
          <w:sz w:val="20"/>
          <w:szCs w:val="20"/>
        </w:rPr>
        <w:t>tavějí se na vlastní nohy. Překonávají nedosta</w:t>
      </w:r>
      <w:r>
        <w:rPr>
          <w:sz w:val="20"/>
          <w:szCs w:val="20"/>
        </w:rPr>
        <w:softHyphen/>
        <w:t>tek surovin technikou a organisaci. Tak znamenala světová válka konec hospodářství světoobčana a začátek výměnného hospodářství silných národů.</w:t>
      </w:r>
    </w:p>
    <w:p w:rsidR="00500724" w:rsidRDefault="00F30FB8">
      <w:pPr>
        <w:pStyle w:val="Jin0"/>
        <w:pBdr>
          <w:bottom w:val="single" w:sz="4" w:space="0" w:color="auto"/>
        </w:pBdr>
        <w:shd w:val="clear" w:color="auto" w:fill="auto"/>
        <w:spacing w:after="340"/>
        <w:ind w:firstLine="0"/>
        <w:jc w:val="left"/>
        <w:rPr>
          <w:sz w:val="44"/>
          <w:szCs w:val="44"/>
        </w:rPr>
      </w:pPr>
      <w:r>
        <w:rPr>
          <w:b/>
          <w:bCs/>
          <w:sz w:val="44"/>
          <w:szCs w:val="44"/>
        </w:rPr>
        <w:t>dopisy</w:t>
      </w:r>
    </w:p>
    <w:p w:rsidR="00500724" w:rsidRDefault="00F30FB8">
      <w:pPr>
        <w:pStyle w:val="Zkladntext1"/>
        <w:shd w:val="clear" w:color="auto" w:fill="auto"/>
        <w:spacing w:after="80" w:line="218" w:lineRule="auto"/>
        <w:ind w:firstLine="0"/>
        <w:jc w:val="center"/>
        <w:rPr>
          <w:sz w:val="20"/>
          <w:szCs w:val="20"/>
        </w:rPr>
      </w:pPr>
      <w:r>
        <w:rPr>
          <w:b/>
          <w:bCs/>
          <w:sz w:val="20"/>
          <w:szCs w:val="20"/>
        </w:rPr>
        <w:t>Nesnáze s moderním uměním.</w:t>
      </w:r>
    </w:p>
    <w:p w:rsidR="00500724" w:rsidRDefault="00F30FB8">
      <w:pPr>
        <w:pStyle w:val="Zkladntext1"/>
        <w:shd w:val="clear" w:color="auto" w:fill="auto"/>
        <w:ind w:left="720" w:firstLine="0"/>
        <w:jc w:val="left"/>
        <w:rPr>
          <w:sz w:val="18"/>
          <w:szCs w:val="18"/>
        </w:rPr>
      </w:pPr>
      <w:r>
        <w:rPr>
          <w:sz w:val="18"/>
          <w:szCs w:val="18"/>
        </w:rPr>
        <w:t>Vážená redakce!</w:t>
      </w:r>
    </w:p>
    <w:p w:rsidR="00500724" w:rsidRDefault="00F30FB8">
      <w:pPr>
        <w:pStyle w:val="Zkladntext1"/>
        <w:shd w:val="clear" w:color="auto" w:fill="auto"/>
        <w:ind w:firstLine="200"/>
        <w:rPr>
          <w:sz w:val="18"/>
          <w:szCs w:val="18"/>
        </w:rPr>
      </w:pPr>
      <w:r>
        <w:rPr>
          <w:sz w:val="18"/>
          <w:szCs w:val="18"/>
        </w:rPr>
        <w:t xml:space="preserve">Účastníci diskuse (Zatloukal, Horký, Chalupecký), jež vznikla kolem této otázky (viz 28. č. „Přítomnosti“), mají jednu společnou vlastnost, pro kterou se sotva budou moci dorozuměti. A nejen oni, ale snad všichni dnešní horlitelé </w:t>
      </w:r>
      <w:r>
        <w:rPr>
          <w:sz w:val="18"/>
          <w:szCs w:val="18"/>
          <w:lang w:val="en-US" w:eastAsia="en-US" w:bidi="en-US"/>
        </w:rPr>
        <w:t xml:space="preserve">pro </w:t>
      </w:r>
      <w:r>
        <w:rPr>
          <w:sz w:val="18"/>
          <w:szCs w:val="18"/>
        </w:rPr>
        <w:t>moderní umění, jakož i</w:t>
      </w:r>
      <w:r>
        <w:rPr>
          <w:sz w:val="18"/>
          <w:szCs w:val="18"/>
        </w:rPr>
        <w:t xml:space="preserve"> jeho neméně rozhorlení odpůrci stojí na stanovisku příliš krajním a tak trochu dogmatic</w:t>
      </w:r>
      <w:r>
        <w:rPr>
          <w:sz w:val="18"/>
          <w:szCs w:val="18"/>
        </w:rPr>
        <w:softHyphen/>
        <w:t>kém a doktrinářském, a proto se nemohou navzájem pocho</w:t>
      </w:r>
      <w:r>
        <w:rPr>
          <w:sz w:val="18"/>
          <w:szCs w:val="18"/>
        </w:rPr>
        <w:softHyphen/>
        <w:t>pit. Je pravda, že podstatou všeho umění je přetváření, jenomže nesmíme zapomínat, že toto přetváření má jisté h</w:t>
      </w:r>
      <w:r>
        <w:rPr>
          <w:sz w:val="18"/>
          <w:szCs w:val="18"/>
        </w:rPr>
        <w:t>ranice a meze, za které nelze jít, chceme-li býti chápáni. Uměleckost nezávisí ani tak na množství a smělosti v onom přetváření, jako spíše na jeho kvalitě, ukázněnosti a jem</w:t>
      </w:r>
      <w:r>
        <w:rPr>
          <w:sz w:val="18"/>
          <w:szCs w:val="18"/>
        </w:rPr>
        <w:softHyphen/>
        <w:t>nosti. Jak říkával v přednáškách F. X. Salda: Umělec se pozná podle toho, kolik s</w:t>
      </w:r>
      <w:r>
        <w:rPr>
          <w:sz w:val="18"/>
          <w:szCs w:val="18"/>
        </w:rPr>
        <w:t>il dovede rozrušit a rozpoutat a kolik jich zase dovede spojit a spoutat. Velikost umění není v tom, kolik se od skutečnosti liší, nýbrž jak se od ní liší. Právě velcí a stále živí mistři, na př. Mánes nebo Aleš, vy</w:t>
      </w:r>
      <w:r>
        <w:rPr>
          <w:sz w:val="18"/>
          <w:szCs w:val="18"/>
        </w:rPr>
        <w:softHyphen/>
        <w:t>nikli v kvalitativním přetváření, nikoli</w:t>
      </w:r>
      <w:r>
        <w:rPr>
          <w:sz w:val="18"/>
          <w:szCs w:val="18"/>
        </w:rPr>
        <w:t xml:space="preserve"> v kvantitativním. Snad mnohé z nás poněkud popletly některé these moderní estetiky, zdůrazňující v umění především onen deformační, přetvorující princip formální. Tomu však nelze rozumět ve smyslu: ěím větší odklon od skutečnosti, tím větší umění.</w:t>
      </w:r>
    </w:p>
    <w:p w:rsidR="00500724" w:rsidRDefault="00F30FB8">
      <w:pPr>
        <w:pStyle w:val="Zkladntext1"/>
        <w:shd w:val="clear" w:color="auto" w:fill="auto"/>
        <w:ind w:firstLine="260"/>
        <w:rPr>
          <w:sz w:val="18"/>
          <w:szCs w:val="18"/>
        </w:rPr>
      </w:pPr>
      <w:r>
        <w:rPr>
          <w:sz w:val="18"/>
          <w:szCs w:val="18"/>
        </w:rPr>
        <w:t xml:space="preserve">Umělec </w:t>
      </w:r>
      <w:r>
        <w:rPr>
          <w:sz w:val="18"/>
          <w:szCs w:val="18"/>
        </w:rPr>
        <w:t>skutečnost přetvářet musí, bez toho by nebylo vůbec umění, ale toto odchýlení samo o sobě není a nemůže být ještě uměním, nehledíc už k tomu, že i v tom přetváření skutečnosti, jak již řečeno, jsou jisté hranice. Jsou jistě hodně proměnlivé podle doby a in</w:t>
      </w:r>
      <w:r>
        <w:rPr>
          <w:sz w:val="18"/>
          <w:szCs w:val="18"/>
        </w:rPr>
        <w:t>dividuálního vkusu, ale dějiny — tato nejspravedlivější a nejspolehlivějši kritická instance — samy vždy nejlépe ukáží, co v poznání uměleckém je možné a co nikoli, co přetrvá věky a co zhasne hned v prvním módním halasném rozmachu. Ale ovšem — i ty vášniv</w:t>
      </w:r>
      <w:r>
        <w:rPr>
          <w:sz w:val="18"/>
          <w:szCs w:val="18"/>
        </w:rPr>
        <w:t>é á smělé rozmachy, i když plné omylů, zmatků nebo bohorov</w:t>
      </w:r>
      <w:r>
        <w:rPr>
          <w:sz w:val="18"/>
          <w:szCs w:val="18"/>
        </w:rPr>
        <w:softHyphen/>
        <w:t>nosti, jsou přece jen pro umělecký vývoj důležité a plodné. Nesmíme se však potom tak přiliš zlobit na ty, kteří nevidí hned anebo vůbec v tom experimentování a hledání hlubší smysl, na ty, kteří m</w:t>
      </w:r>
      <w:r>
        <w:rPr>
          <w:sz w:val="18"/>
          <w:szCs w:val="18"/>
        </w:rPr>
        <w:t>ají ve svém bytě raději obraz pro po</w:t>
      </w:r>
      <w:r>
        <w:rPr>
          <w:sz w:val="18"/>
          <w:szCs w:val="18"/>
        </w:rPr>
        <w:softHyphen/>
        <w:t>těšení zraku a srdce než obraz jako umělečký problém nebo experiment. Lidí, kteří půjdou vždy nadšeně a nekompromisně za moderním uměním, bylo vždy málo, nad tím není třeba zoufati. Ale po pravdě budiž také řečeno, že m</w:t>
      </w:r>
      <w:r>
        <w:rPr>
          <w:sz w:val="18"/>
          <w:szCs w:val="18"/>
        </w:rPr>
        <w:t>ezi nimi bylo také vždy dost snobů, kteří každé novotě v umění škodili i prospívali víc než všichni její odpůrci dohromady. Kdyby</w:t>
      </w:r>
      <w:r>
        <w:rPr>
          <w:sz w:val="18"/>
          <w:szCs w:val="18"/>
        </w:rPr>
        <w:softHyphen/>
        <w:t>chom se uměleckou výchovou snažili co nejvíce lidi získat a nadchnout pro moderní umění, mohlo by se nám lehko stát, že bychom</w:t>
      </w:r>
      <w:r>
        <w:rPr>
          <w:sz w:val="18"/>
          <w:szCs w:val="18"/>
        </w:rPr>
        <w:t xml:space="preserve"> vychovali více snobů než skutečných znalců </w:t>
      </w:r>
      <w:r>
        <w:rPr>
          <w:b/>
          <w:bCs/>
        </w:rPr>
        <w:t xml:space="preserve">a </w:t>
      </w:r>
      <w:r>
        <w:rPr>
          <w:sz w:val="18"/>
          <w:szCs w:val="18"/>
        </w:rPr>
        <w:t>milovníků umění.</w:t>
      </w:r>
    </w:p>
    <w:p w:rsidR="00500724" w:rsidRDefault="00F30FB8">
      <w:pPr>
        <w:pStyle w:val="Zkladntext1"/>
        <w:shd w:val="clear" w:color="auto" w:fill="auto"/>
        <w:tabs>
          <w:tab w:val="left" w:pos="4272"/>
        </w:tabs>
        <w:ind w:firstLine="260"/>
        <w:rPr>
          <w:sz w:val="18"/>
          <w:szCs w:val="18"/>
        </w:rPr>
      </w:pPr>
      <w:r>
        <w:rPr>
          <w:sz w:val="18"/>
          <w:szCs w:val="18"/>
        </w:rPr>
        <w:t>Na druhé straně však zase ti, kteří horlí proti nesrozumi</w:t>
      </w:r>
      <w:r>
        <w:rPr>
          <w:sz w:val="18"/>
          <w:szCs w:val="18"/>
        </w:rPr>
        <w:softHyphen/>
        <w:t>telnosti moderního umění, si snad ani neuvědomují, jaké ne</w:t>
      </w:r>
      <w:r>
        <w:rPr>
          <w:sz w:val="18"/>
          <w:szCs w:val="18"/>
        </w:rPr>
        <w:softHyphen/>
        <w:t>bezpečenství se pro umění skrývá v jejich požadavku, aby každé umění bylo vš</w:t>
      </w:r>
      <w:r>
        <w:rPr>
          <w:sz w:val="18"/>
          <w:szCs w:val="18"/>
        </w:rPr>
        <w:t>em srozumitelné. Nezapomínejme, že umění je nejen nejvyššim lidským poznáním, nýbrž také nej</w:t>
      </w:r>
      <w:r>
        <w:rPr>
          <w:sz w:val="18"/>
          <w:szCs w:val="18"/>
        </w:rPr>
        <w:softHyphen/>
        <w:t>těžším.. Ta „těžkost“ vyplývá už z jeho podstaty, a proto je docela přirozené, že není každému dáno, aby je chápal, zvláště když jde o umění nejnovější nebo proble</w:t>
      </w:r>
      <w:r>
        <w:rPr>
          <w:sz w:val="18"/>
          <w:szCs w:val="18"/>
        </w:rPr>
        <w:t>matické. Na štěstí chápání uměleckého díla není výsadou jen lidí školených nebo majetných; každý z nás je zahříván jeho plamenem, je-li v nás aspoň malinká jiskřička boží. Co na př. 1 graduovaných lidí nemá žádného vztahu k mnění, a co zase často i mezi pr</w:t>
      </w:r>
      <w:r>
        <w:rPr>
          <w:sz w:val="18"/>
          <w:szCs w:val="18"/>
        </w:rPr>
        <w:t>ostými lidmi je dojemných uměleckých zálib a neobyčej</w:t>
      </w:r>
      <w:r>
        <w:rPr>
          <w:sz w:val="18"/>
          <w:szCs w:val="18"/>
        </w:rPr>
        <w:softHyphen/>
        <w:t>ného pochopení! Chtít srozumitelnost umění stůj co stůj — toť úplné nepochopeni a popření všeho umění a v tom zase veliké nebezpečí duchovního pohodlí a zakrňování, což jistě žádný rozumný člověk našemu</w:t>
      </w:r>
      <w:r>
        <w:rPr>
          <w:sz w:val="18"/>
          <w:szCs w:val="18"/>
        </w:rPr>
        <w:t xml:space="preserve"> umění nepřeje. Nezamítejme umění nikdy jenom proto, že je nám nepřístupné nebo ne</w:t>
      </w:r>
      <w:r>
        <w:rPr>
          <w:sz w:val="18"/>
          <w:szCs w:val="18"/>
        </w:rPr>
        <w:softHyphen/>
        <w:t>dostupné. To nám ovšem nezabrání, abychom si vybrali svo</w:t>
      </w:r>
      <w:r>
        <w:rPr>
          <w:sz w:val="18"/>
          <w:szCs w:val="18"/>
        </w:rPr>
        <w:softHyphen/>
        <w:t>bodně obrazy podle srdce svého, neboť — jak Karel Čapek kdesi napsal — není větší pošetilosti a marnosti, než snažit</w:t>
      </w:r>
      <w:r>
        <w:rPr>
          <w:sz w:val="18"/>
          <w:szCs w:val="18"/>
        </w:rPr>
        <w:t>i se někoho přinutit, aby se mu líbilo to, co se mu nelíbí, a naopak.</w:t>
      </w:r>
      <w:r>
        <w:rPr>
          <w:sz w:val="18"/>
          <w:szCs w:val="18"/>
        </w:rPr>
        <w:tab/>
      </w:r>
      <w:r>
        <w:rPr>
          <w:i/>
          <w:iCs/>
          <w:sz w:val="18"/>
          <w:szCs w:val="18"/>
        </w:rPr>
        <w:t>K. Erban.</w:t>
      </w:r>
    </w:p>
    <w:p w:rsidR="00500724" w:rsidRDefault="00F30FB8">
      <w:pPr>
        <w:pStyle w:val="Zkladntext1"/>
        <w:shd w:val="clear" w:color="auto" w:fill="auto"/>
        <w:spacing w:line="216" w:lineRule="auto"/>
        <w:ind w:left="2340" w:firstLine="0"/>
        <w:jc w:val="left"/>
        <w:rPr>
          <w:sz w:val="18"/>
          <w:szCs w:val="18"/>
        </w:rPr>
      </w:pPr>
      <w:r>
        <w:rPr>
          <w:sz w:val="18"/>
          <w:szCs w:val="18"/>
        </w:rPr>
        <w:t>Kukleny, dne 25. července 1939</w:t>
      </w:r>
    </w:p>
    <w:p w:rsidR="00500724" w:rsidRDefault="00F30FB8">
      <w:pPr>
        <w:pStyle w:val="Zkladntext1"/>
        <w:shd w:val="clear" w:color="auto" w:fill="auto"/>
        <w:spacing w:after="60" w:line="216" w:lineRule="auto"/>
        <w:ind w:left="1040" w:firstLine="0"/>
        <w:jc w:val="left"/>
        <w:rPr>
          <w:sz w:val="18"/>
          <w:szCs w:val="18"/>
        </w:rPr>
      </w:pPr>
      <w:r>
        <w:rPr>
          <w:sz w:val="18"/>
          <w:szCs w:val="18"/>
        </w:rPr>
        <w:t>Vážený pane!</w:t>
      </w:r>
    </w:p>
    <w:p w:rsidR="00500724" w:rsidRDefault="00F30FB8">
      <w:pPr>
        <w:pStyle w:val="Zkladntext1"/>
        <w:shd w:val="clear" w:color="auto" w:fill="auto"/>
        <w:spacing w:line="221" w:lineRule="auto"/>
        <w:rPr>
          <w:sz w:val="18"/>
          <w:szCs w:val="18"/>
        </w:rPr>
      </w:pPr>
      <w:r>
        <w:rPr>
          <w:sz w:val="18"/>
          <w:szCs w:val="18"/>
        </w:rPr>
        <w:t>Prosím, přečtěte laskavě několik poznámek ke svému člán</w:t>
      </w:r>
      <w:r>
        <w:rPr>
          <w:sz w:val="18"/>
          <w:szCs w:val="18"/>
        </w:rPr>
        <w:softHyphen/>
        <w:t>ku „Nesnáze s modernim uměnim“ v .Přítomnosti* ze dne 12. července 1939.</w:t>
      </w:r>
    </w:p>
    <w:p w:rsidR="00500724" w:rsidRDefault="00F30FB8">
      <w:pPr>
        <w:pStyle w:val="Zkladntext1"/>
        <w:shd w:val="clear" w:color="auto" w:fill="auto"/>
        <w:spacing w:line="214" w:lineRule="auto"/>
        <w:rPr>
          <w:sz w:val="18"/>
          <w:szCs w:val="18"/>
        </w:rPr>
      </w:pPr>
      <w:r>
        <w:rPr>
          <w:sz w:val="18"/>
          <w:szCs w:val="18"/>
        </w:rPr>
        <w:t>Nej</w:t>
      </w:r>
      <w:r>
        <w:rPr>
          <w:sz w:val="18"/>
          <w:szCs w:val="18"/>
        </w:rPr>
        <w:t>sem umělec ani znalec umění, pouze ctitel všeho krás</w:t>
      </w:r>
      <w:r>
        <w:rPr>
          <w:sz w:val="18"/>
          <w:szCs w:val="18"/>
        </w:rPr>
        <w:softHyphen/>
        <w:t>ného a ušlechtilého (důraz kladu na ušlechtilost napřed, pak na krásu). Výtvarné umění cením vysoko a lituji proto (sou</w:t>
      </w:r>
      <w:r>
        <w:rPr>
          <w:sz w:val="18"/>
          <w:szCs w:val="18"/>
        </w:rPr>
        <w:softHyphen/>
        <w:t>hlasně s Horkým), když umělecká díla některá jsou nepří</w:t>
      </w:r>
      <w:r>
        <w:rPr>
          <w:sz w:val="18"/>
          <w:szCs w:val="18"/>
        </w:rPr>
        <w:softHyphen/>
        <w:t>stupná lidu, protože nesroz</w:t>
      </w:r>
      <w:r>
        <w:rPr>
          <w:sz w:val="18"/>
          <w:szCs w:val="18"/>
        </w:rPr>
        <w:t>umitelná. Mám dojem, že někteří nadaní výtvarnici jsou sobci, nemající dost smyslu pro příslu</w:t>
      </w:r>
      <w:r>
        <w:rPr>
          <w:sz w:val="18"/>
          <w:szCs w:val="18"/>
        </w:rPr>
        <w:softHyphen/>
        <w:t>šenství k celku a pro povinnosti z toho plynoucí. Tvořit jen pro sebe nebo pro úzký kruh lidí je snad příjemné a pohodlné, ale lepší je mluvit svým uměním k lidu,</w:t>
      </w:r>
      <w:r>
        <w:rPr>
          <w:sz w:val="18"/>
          <w:szCs w:val="18"/>
        </w:rPr>
        <w:t xml:space="preserve"> k mnohým lidem. Myslím, že to první považují někteří za vydržené právo umělců.</w:t>
      </w:r>
    </w:p>
    <w:p w:rsidR="00500724" w:rsidRDefault="00F30FB8">
      <w:pPr>
        <w:pStyle w:val="Zkladntext1"/>
        <w:shd w:val="clear" w:color="auto" w:fill="auto"/>
        <w:spacing w:line="216" w:lineRule="auto"/>
        <w:rPr>
          <w:sz w:val="18"/>
          <w:szCs w:val="18"/>
        </w:rPr>
      </w:pPr>
      <w:r>
        <w:rPr>
          <w:sz w:val="18"/>
          <w:szCs w:val="18"/>
        </w:rPr>
        <w:t>Každý člen malého národa má povinnost (větší než člen velkého národa) užít svýeh sil a svého nadání k prospěchu obce. A povinnost neplní, kdo mluví, píše, kreslí, maluje ne</w:t>
      </w:r>
      <w:r>
        <w:rPr>
          <w:sz w:val="18"/>
          <w:szCs w:val="18"/>
        </w:rPr>
        <w:softHyphen/>
      </w:r>
      <w:r>
        <w:rPr>
          <w:sz w:val="18"/>
          <w:szCs w:val="18"/>
        </w:rPr>
        <w:t>srozumitelně. Týká se to i jiných oborů než výtvarného umění, tohoto však nejvíc.</w:t>
      </w:r>
    </w:p>
    <w:p w:rsidR="00500724" w:rsidRDefault="00F30FB8">
      <w:pPr>
        <w:pStyle w:val="Zkladntext1"/>
        <w:shd w:val="clear" w:color="auto" w:fill="auto"/>
        <w:spacing w:line="216" w:lineRule="auto"/>
        <w:rPr>
          <w:sz w:val="18"/>
          <w:szCs w:val="18"/>
        </w:rPr>
      </w:pPr>
      <w:r>
        <w:rPr>
          <w:sz w:val="18"/>
          <w:szCs w:val="18"/>
        </w:rPr>
        <w:t>Jsem prostřední člověk a žiju v prostředním okoli. Pozo- ruju své okolí, ptám se často, proč do tohoto mého světa ne</w:t>
      </w:r>
      <w:r>
        <w:rPr>
          <w:sz w:val="18"/>
          <w:szCs w:val="18"/>
        </w:rPr>
        <w:softHyphen/>
        <w:t>dosahuje moc výtvarníků. Upřímně řečeno: pro jejich pový</w:t>
      </w:r>
      <w:r>
        <w:rPr>
          <w:sz w:val="18"/>
          <w:szCs w:val="18"/>
        </w:rPr>
        <w:softHyphen/>
      </w:r>
      <w:r>
        <w:rPr>
          <w:sz w:val="18"/>
          <w:szCs w:val="18"/>
        </w:rPr>
        <w:t xml:space="preserve">šenost. Nejdou mezi lid, nesnaží se </w:t>
      </w:r>
      <w:r>
        <w:rPr>
          <w:b/>
          <w:bCs/>
        </w:rPr>
        <w:t xml:space="preserve">o </w:t>
      </w:r>
      <w:r>
        <w:rPr>
          <w:sz w:val="18"/>
          <w:szCs w:val="18"/>
        </w:rPr>
        <w:t>takovou formu své prá</w:t>
      </w:r>
      <w:r>
        <w:rPr>
          <w:sz w:val="18"/>
          <w:szCs w:val="18"/>
        </w:rPr>
        <w:softHyphen/>
        <w:t>ce, aby se lidu přiblížili. Uměleckou touhu lidu pak ukojit musí kýčaři, jimiž tak opovrhujete. Neprávem. Ti dělaji umě</w:t>
      </w:r>
      <w:r>
        <w:rPr>
          <w:sz w:val="18"/>
          <w:szCs w:val="18"/>
        </w:rPr>
        <w:softHyphen/>
        <w:t>leckou práci pro lid, ovšem tak, jak dovedou. Nadanější vý</w:t>
      </w:r>
      <w:r>
        <w:rPr>
          <w:sz w:val="18"/>
          <w:szCs w:val="18"/>
        </w:rPr>
        <w:softHyphen/>
        <w:t xml:space="preserve">tvarníci pracují </w:t>
      </w:r>
      <w:r>
        <w:rPr>
          <w:sz w:val="18"/>
          <w:szCs w:val="18"/>
        </w:rPr>
        <w:t>lip, ale jejich snaha je málo účinná. Jejich obrazy visí na stěnách atelierů, museí, galerii a bytů horních deseti tisic.</w:t>
      </w:r>
    </w:p>
    <w:p w:rsidR="00500724" w:rsidRDefault="00F30FB8">
      <w:pPr>
        <w:pStyle w:val="Zkladntext1"/>
        <w:shd w:val="clear" w:color="auto" w:fill="auto"/>
        <w:spacing w:line="216" w:lineRule="auto"/>
        <w:rPr>
          <w:sz w:val="18"/>
          <w:szCs w:val="18"/>
        </w:rPr>
      </w:pPr>
      <w:r>
        <w:rPr>
          <w:sz w:val="18"/>
          <w:szCs w:val="18"/>
        </w:rPr>
        <w:t>Dám příklad:</w:t>
      </w:r>
    </w:p>
    <w:p w:rsidR="00500724" w:rsidRDefault="00F30FB8">
      <w:pPr>
        <w:pStyle w:val="Zkladntext1"/>
        <w:shd w:val="clear" w:color="auto" w:fill="auto"/>
        <w:spacing w:line="226" w:lineRule="auto"/>
        <w:rPr>
          <w:sz w:val="18"/>
          <w:szCs w:val="18"/>
        </w:rPr>
      </w:pPr>
      <w:r>
        <w:rPr>
          <w:sz w:val="18"/>
          <w:szCs w:val="18"/>
        </w:rPr>
        <w:t>Přišel k nám vlasatý mládenec, že nám nakreslí naši cha</w:t>
      </w:r>
      <w:r>
        <w:rPr>
          <w:sz w:val="18"/>
          <w:szCs w:val="18"/>
        </w:rPr>
        <w:softHyphen/>
        <w:t>lupu. Za pět korun. Nakreslil. Možná, že byste kresbu odsou</w:t>
      </w:r>
      <w:r>
        <w:rPr>
          <w:sz w:val="18"/>
          <w:szCs w:val="18"/>
        </w:rPr>
        <w:softHyphen/>
        <w:t xml:space="preserve">dil. </w:t>
      </w:r>
      <w:r>
        <w:rPr>
          <w:sz w:val="18"/>
          <w:szCs w:val="18"/>
        </w:rPr>
        <w:t>Mně je milá, je to obrázek chalupy, kterou jsem si se že</w:t>
      </w:r>
      <w:r>
        <w:rPr>
          <w:sz w:val="18"/>
          <w:szCs w:val="18"/>
        </w:rPr>
        <w:softHyphen/>
        <w:t xml:space="preserve">nou postavil z dlouholetých úspor. Rád bych měl její obrázek lepší, umělečtější, ale nadanější umělec nepřijde a nevyma- luje, nenakreslí za 15 až 20 K. Rád bych měl obrázek svých dětí. Léta utíkají </w:t>
      </w:r>
      <w:r>
        <w:rPr>
          <w:sz w:val="18"/>
          <w:szCs w:val="18"/>
        </w:rPr>
        <w:t xml:space="preserve">a obrázek nemám a asi nebudu mít, protože není umělce, který by se snížil a chtěl malovat děti chalupní- kům za 100 až 200 K. Raději maluje plátna za tisíce — která neprodá, protože jejich náměty a jejich provedení a forma mluví jen k němu a jsou němá pro </w:t>
      </w:r>
      <w:r>
        <w:rPr>
          <w:sz w:val="18"/>
          <w:szCs w:val="18"/>
        </w:rPr>
        <w:t>většinu lidí ostatních.</w:t>
      </w:r>
    </w:p>
    <w:p w:rsidR="00500724" w:rsidRDefault="00F30FB8">
      <w:pPr>
        <w:pStyle w:val="Zkladntext1"/>
        <w:shd w:val="clear" w:color="auto" w:fill="auto"/>
        <w:spacing w:line="228" w:lineRule="auto"/>
        <w:rPr>
          <w:sz w:val="18"/>
          <w:szCs w:val="18"/>
        </w:rPr>
      </w:pPr>
      <w:r>
        <w:rPr>
          <w:sz w:val="18"/>
          <w:szCs w:val="18"/>
        </w:rPr>
        <w:t>Příklad z jiného oboru, nakladatelství. Před 26 až 27 lety zaplavil nás nakladatel Kočí lacinými knížkami. Němcové Babičku za 30 hal. tehdy dostalo skoro každé školní dítě (já také, dosud ji mám). I jiné spisky rozhodil, i obrázkové</w:t>
      </w:r>
      <w:r>
        <w:rPr>
          <w:sz w:val="18"/>
          <w:szCs w:val="18"/>
        </w:rPr>
        <w:t xml:space="preserve"> knihy a reprodukce obrazů. Snad si také pamatujete na tehdejší bouři proti Kočímu, nejen bouři konkurentů, ale i uměleckých kritiků. Snížil umění, tiskl na laciném papíře! Ano, ale byla to práce pro umění, protože obrazy a lit. díla přišla mnoha lidem do </w:t>
      </w:r>
      <w:r>
        <w:rPr>
          <w:sz w:val="18"/>
          <w:szCs w:val="18"/>
        </w:rPr>
        <w:t>ruky. Ti druzí, co křičeli, neudělali pro uměleckou výchovu lidu nic, neboť se k lidu nepropracovali, nesnížili.</w:t>
      </w:r>
    </w:p>
    <w:p w:rsidR="00500724" w:rsidRDefault="00F30FB8">
      <w:pPr>
        <w:pStyle w:val="Zkladntext1"/>
        <w:shd w:val="clear" w:color="auto" w:fill="auto"/>
        <w:spacing w:line="214" w:lineRule="auto"/>
        <w:rPr>
          <w:sz w:val="18"/>
          <w:szCs w:val="18"/>
        </w:rPr>
      </w:pPr>
      <w:r>
        <w:rPr>
          <w:sz w:val="18"/>
          <w:szCs w:val="18"/>
        </w:rPr>
        <w:t>Promiňte laskavě, že dám ještě příklad Vám nejbližší. Váš citovaný článek. Lámu si hlavu, proč o dobré věci píšete slo</w:t>
      </w:r>
      <w:r>
        <w:rPr>
          <w:sz w:val="18"/>
          <w:szCs w:val="18"/>
        </w:rPr>
        <w:softHyphen/>
        <w:t>hem, kterému běžně rozum</w:t>
      </w:r>
      <w:r>
        <w:rPr>
          <w:sz w:val="18"/>
          <w:szCs w:val="18"/>
        </w:rPr>
        <w:t>í jen člověk vyškolený v umělec</w:t>
      </w:r>
      <w:r>
        <w:rPr>
          <w:sz w:val="18"/>
          <w:szCs w:val="18"/>
        </w:rPr>
        <w:softHyphen/>
        <w:t>ké hantýrce. Nepovažujte, prosím, tento výraz za silný, pře. hnaný, přesvědčil jsem se ve svém okolí, že posudky o umění průměrný člověk nečte hlavně pro jejich zvláštní sloh a pře</w:t>
      </w:r>
      <w:r>
        <w:rPr>
          <w:sz w:val="18"/>
          <w:szCs w:val="18"/>
        </w:rPr>
        <w:softHyphen/>
        <w:t>míru frází neběžných.</w:t>
      </w:r>
    </w:p>
    <w:p w:rsidR="00500724" w:rsidRDefault="00F30FB8">
      <w:pPr>
        <w:pStyle w:val="Zkladntext1"/>
        <w:shd w:val="clear" w:color="auto" w:fill="auto"/>
        <w:spacing w:after="60" w:line="211" w:lineRule="auto"/>
        <w:rPr>
          <w:sz w:val="18"/>
          <w:szCs w:val="18"/>
        </w:rPr>
      </w:pPr>
      <w:r>
        <w:rPr>
          <w:sz w:val="18"/>
          <w:szCs w:val="18"/>
        </w:rPr>
        <w:t xml:space="preserve">Psát, kreslit, </w:t>
      </w:r>
      <w:r>
        <w:rPr>
          <w:sz w:val="18"/>
          <w:szCs w:val="18"/>
        </w:rPr>
        <w:t>malovat, zpívat, hrát prostě, to jest sroz</w:t>
      </w:r>
      <w:r>
        <w:rPr>
          <w:sz w:val="18"/>
          <w:szCs w:val="18"/>
        </w:rPr>
        <w:softHyphen/>
        <w:t>umitelně každému, umělecky, ale neumělkovaně, nehledaně.</w:t>
      </w:r>
    </w:p>
    <w:p w:rsidR="00500724" w:rsidRDefault="00F30FB8">
      <w:pPr>
        <w:pStyle w:val="Zkladntext1"/>
        <w:shd w:val="clear" w:color="auto" w:fill="auto"/>
        <w:spacing w:line="209" w:lineRule="auto"/>
        <w:ind w:firstLine="300"/>
        <w:rPr>
          <w:sz w:val="18"/>
          <w:szCs w:val="18"/>
        </w:rPr>
      </w:pPr>
      <w:r>
        <w:rPr>
          <w:sz w:val="18"/>
          <w:szCs w:val="18"/>
        </w:rPr>
        <w:t>Umělci mají na vybranou: Tvořit srozumitelně (nebo snadno pochopitelně, jak Vy říkáte), nebo mlčet; neboť umění, jemuž lid nerozumí, je němé. A umělci k nám</w:t>
      </w:r>
      <w:r>
        <w:rPr>
          <w:sz w:val="18"/>
          <w:szCs w:val="18"/>
        </w:rPr>
        <w:t xml:space="preserve"> mají mluvit. Budou dobrovolně mlčet, nebo zkusí mluvit srozumitelně? Uvědomí</w:t>
      </w:r>
    </w:p>
    <w:p w:rsidR="00500724" w:rsidRDefault="00F30FB8">
      <w:pPr>
        <w:pStyle w:val="Zkladntext1"/>
        <w:shd w:val="clear" w:color="auto" w:fill="auto"/>
        <w:spacing w:line="209" w:lineRule="auto"/>
        <w:ind w:firstLine="0"/>
        <w:jc w:val="left"/>
        <w:rPr>
          <w:sz w:val="18"/>
          <w:szCs w:val="18"/>
        </w:rPr>
      </w:pPr>
      <w:r>
        <w:rPr>
          <w:sz w:val="18"/>
          <w:szCs w:val="18"/>
        </w:rPr>
        <w:t>si odpovědnost?</w:t>
      </w:r>
    </w:p>
    <w:p w:rsidR="00500724" w:rsidRDefault="00F30FB8">
      <w:pPr>
        <w:pStyle w:val="Zkladntext1"/>
        <w:shd w:val="clear" w:color="auto" w:fill="auto"/>
        <w:spacing w:line="209" w:lineRule="auto"/>
        <w:rPr>
          <w:sz w:val="18"/>
          <w:szCs w:val="18"/>
        </w:rPr>
      </w:pPr>
      <w:r>
        <w:rPr>
          <w:sz w:val="18"/>
          <w:szCs w:val="18"/>
        </w:rPr>
        <w:t>Poslední odstavec Vašeho článku a zdůraznění dobré vůle dalo mně odvahu napsati Vám své laické myšlenky. Prosim, přijměte je laskavě v dobrém.</w:t>
      </w:r>
    </w:p>
    <w:p w:rsidR="00500724" w:rsidRDefault="00F30FB8">
      <w:pPr>
        <w:pStyle w:val="Zkladntext1"/>
        <w:shd w:val="clear" w:color="auto" w:fill="auto"/>
        <w:ind w:left="1420" w:firstLine="0"/>
        <w:jc w:val="left"/>
        <w:rPr>
          <w:sz w:val="18"/>
          <w:szCs w:val="18"/>
        </w:rPr>
      </w:pPr>
      <w:r>
        <w:rPr>
          <w:sz w:val="18"/>
          <w:szCs w:val="18"/>
        </w:rPr>
        <w:t>V plné úctě</w:t>
      </w:r>
    </w:p>
    <w:p w:rsidR="00500724" w:rsidRDefault="00F30FB8">
      <w:pPr>
        <w:pStyle w:val="Zkladntext1"/>
        <w:shd w:val="clear" w:color="auto" w:fill="auto"/>
        <w:spacing w:line="180" w:lineRule="auto"/>
        <w:ind w:right="180" w:firstLine="0"/>
        <w:jc w:val="right"/>
        <w:rPr>
          <w:sz w:val="18"/>
          <w:szCs w:val="18"/>
        </w:rPr>
        <w:sectPr w:rsidR="00500724">
          <w:footnotePr>
            <w:numFmt w:val="chicago"/>
            <w:numRestart w:val="eachPage"/>
          </w:footnotePr>
          <w:type w:val="continuous"/>
          <w:pgSz w:w="11909" w:h="16834"/>
          <w:pgMar w:top="1597" w:right="839" w:bottom="1122" w:left="558" w:header="0" w:footer="3" w:gutter="0"/>
          <w:cols w:num="2" w:space="104"/>
          <w:noEndnote/>
          <w:docGrid w:linePitch="360"/>
        </w:sectPr>
      </w:pPr>
      <w:r>
        <w:rPr>
          <w:i/>
          <w:iCs/>
          <w:sz w:val="18"/>
          <w:szCs w:val="18"/>
        </w:rPr>
        <w:t>Jan Sochor, techn. úředník</w:t>
      </w:r>
    </w:p>
    <w:p w:rsidR="00500724" w:rsidRDefault="00F30FB8">
      <w:pPr>
        <w:pStyle w:val="Nadpis50"/>
        <w:keepNext/>
        <w:keepLines/>
        <w:framePr w:w="7186" w:h="1488" w:wrap="none" w:vAnchor="text" w:hAnchor="page" w:x="3383" w:y="452"/>
        <w:shd w:val="clear" w:color="auto" w:fill="auto"/>
        <w:rPr>
          <w:sz w:val="152"/>
          <w:szCs w:val="152"/>
        </w:rPr>
      </w:pPr>
      <w:bookmarkStart w:id="815" w:name="bookmark814"/>
      <w:r>
        <w:rPr>
          <w:sz w:val="152"/>
          <w:szCs w:val="152"/>
        </w:rPr>
        <w:t>vět knih</w:t>
      </w:r>
      <w:bookmarkEnd w:id="815"/>
    </w:p>
    <w:p w:rsidR="00500724" w:rsidRDefault="00F30FB8">
      <w:pPr>
        <w:pStyle w:val="Nadpis80"/>
        <w:keepNext/>
        <w:keepLines/>
        <w:framePr w:w="7430" w:h="542" w:wrap="none" w:vAnchor="text" w:hAnchor="page" w:x="3167" w:y="1940"/>
        <w:shd w:val="clear" w:color="auto" w:fill="auto"/>
        <w:spacing w:after="0"/>
        <w:rPr>
          <w:sz w:val="44"/>
          <w:szCs w:val="44"/>
        </w:rPr>
      </w:pPr>
      <w:bookmarkStart w:id="816" w:name="bookmark815"/>
      <w:r>
        <w:rPr>
          <w:rFonts w:ascii="Arial" w:eastAsia="Arial" w:hAnsi="Arial" w:cs="Arial"/>
          <w:b/>
          <w:bCs/>
          <w:sz w:val="34"/>
          <w:szCs w:val="34"/>
          <w:u w:val="none"/>
        </w:rPr>
        <w:t xml:space="preserve">KULTURNÍ </w:t>
      </w:r>
      <w:r>
        <w:rPr>
          <w:rFonts w:ascii="Arial" w:eastAsia="Arial" w:hAnsi="Arial" w:cs="Arial"/>
          <w:smallCaps/>
          <w:sz w:val="44"/>
          <w:szCs w:val="44"/>
          <w:u w:val="none"/>
        </w:rPr>
        <w:t>zpravodaj</w:t>
      </w:r>
      <w:bookmarkEnd w:id="816"/>
    </w:p>
    <w:p w:rsidR="00500724" w:rsidRDefault="00F30FB8">
      <w:pPr>
        <w:pStyle w:val="Nadpis110"/>
        <w:framePr w:w="326" w:h="288" w:wrap="none" w:vAnchor="text" w:hAnchor="page" w:x="10875" w:y="164"/>
        <w:shd w:val="clear" w:color="auto" w:fill="auto"/>
        <w:spacing w:line="180" w:lineRule="auto"/>
      </w:pPr>
      <w:bookmarkStart w:id="817" w:name="bookmark816"/>
      <w:r>
        <w:t>o</w:t>
      </w:r>
      <w:bookmarkEnd w:id="817"/>
    </w:p>
    <w:p w:rsidR="00500724" w:rsidRDefault="00F30FB8">
      <w:pPr>
        <w:pStyle w:val="Nadpis110"/>
        <w:framePr w:w="326" w:h="288" w:wrap="none" w:vAnchor="text" w:hAnchor="page" w:x="10875" w:y="164"/>
        <w:shd w:val="clear" w:color="auto" w:fill="auto"/>
        <w:spacing w:line="180" w:lineRule="auto"/>
      </w:pPr>
      <w:bookmarkStart w:id="818" w:name="bookmark817"/>
      <w:r>
        <w:t>«&lt;</w:t>
      </w:r>
      <w:bookmarkEnd w:id="818"/>
    </w:p>
    <w:p w:rsidR="00500724" w:rsidRDefault="00F30FB8">
      <w:pPr>
        <w:pStyle w:val="Zkladntext80"/>
        <w:framePr w:w="374" w:h="826" w:wrap="none" w:vAnchor="text" w:hAnchor="page" w:x="10866" w:y="831"/>
        <w:shd w:val="clear" w:color="auto" w:fill="auto"/>
        <w:spacing w:line="240" w:lineRule="auto"/>
        <w:rPr>
          <w:sz w:val="24"/>
          <w:szCs w:val="24"/>
        </w:rPr>
      </w:pPr>
      <w:r>
        <w:rPr>
          <w:sz w:val="24"/>
          <w:szCs w:val="24"/>
        </w:rPr>
        <w:t>n&lt;</w:t>
      </w:r>
    </w:p>
    <w:p w:rsidR="00500724" w:rsidRDefault="00F30FB8">
      <w:pPr>
        <w:pStyle w:val="Jin0"/>
        <w:framePr w:w="374" w:h="826" w:wrap="none" w:vAnchor="text" w:hAnchor="page" w:x="10866" w:y="831"/>
        <w:shd w:val="clear" w:color="auto" w:fill="auto"/>
        <w:spacing w:line="180" w:lineRule="auto"/>
        <w:ind w:firstLine="0"/>
        <w:jc w:val="left"/>
        <w:rPr>
          <w:sz w:val="28"/>
          <w:szCs w:val="28"/>
        </w:rPr>
      </w:pPr>
      <w:r>
        <w:rPr>
          <w:rFonts w:ascii="Arial" w:eastAsia="Arial" w:hAnsi="Arial" w:cs="Arial"/>
          <w:sz w:val="28"/>
          <w:szCs w:val="28"/>
        </w:rPr>
        <w:t>»'</w:t>
      </w:r>
    </w:p>
    <w:p w:rsidR="00500724" w:rsidRDefault="00F30FB8">
      <w:pPr>
        <w:pStyle w:val="Jin0"/>
        <w:framePr w:w="374" w:h="826" w:wrap="none" w:vAnchor="text" w:hAnchor="page" w:x="10866" w:y="831"/>
        <w:shd w:val="clear" w:color="auto" w:fill="auto"/>
        <w:spacing w:line="204" w:lineRule="auto"/>
        <w:ind w:firstLine="0"/>
        <w:jc w:val="left"/>
        <w:rPr>
          <w:sz w:val="28"/>
          <w:szCs w:val="28"/>
        </w:rPr>
      </w:pPr>
      <w:r>
        <w:rPr>
          <w:rFonts w:ascii="Arial" w:eastAsia="Arial" w:hAnsi="Arial" w:cs="Arial"/>
          <w:sz w:val="28"/>
          <w:szCs w:val="28"/>
        </w:rPr>
        <w:t>5"</w:t>
      </w:r>
    </w:p>
    <w:p w:rsidR="00500724" w:rsidRDefault="00500724">
      <w:pPr>
        <w:spacing w:after="88" w:line="14" w:lineRule="exact"/>
      </w:pPr>
    </w:p>
    <w:p w:rsidR="00500724" w:rsidRDefault="00500724">
      <w:pPr>
        <w:spacing w:line="14" w:lineRule="exact"/>
        <w:sectPr w:rsidR="00500724">
          <w:footnotePr>
            <w:numFmt w:val="chicago"/>
            <w:numRestart w:val="eachPage"/>
          </w:footnotePr>
          <w:pgSz w:w="11909" w:h="16834"/>
          <w:pgMar w:top="3000" w:right="617" w:bottom="860" w:left="478" w:header="0" w:footer="3" w:gutter="0"/>
          <w:cols w:space="720"/>
          <w:noEndnote/>
          <w:docGrid w:linePitch="360"/>
        </w:sectPr>
      </w:pPr>
    </w:p>
    <w:p w:rsidR="00500724" w:rsidRDefault="00F30FB8">
      <w:pPr>
        <w:spacing w:line="14" w:lineRule="exact"/>
      </w:pPr>
      <w:r>
        <w:rPr>
          <w:noProof/>
        </w:rPr>
        <mc:AlternateContent>
          <mc:Choice Requires="wps">
            <w:drawing>
              <wp:anchor distT="0" distB="88900" distL="12700" distR="12700" simplePos="0" relativeHeight="125830174" behindDoc="0" locked="0" layoutInCell="1" allowOverlap="1">
                <wp:simplePos x="0" y="0"/>
                <wp:positionH relativeFrom="page">
                  <wp:posOffset>2095500</wp:posOffset>
                </wp:positionH>
                <wp:positionV relativeFrom="paragraph">
                  <wp:posOffset>12700</wp:posOffset>
                </wp:positionV>
                <wp:extent cx="3291840" cy="953770"/>
                <wp:effectExtent l="0" t="0" r="0" b="0"/>
                <wp:wrapTopAndBottom/>
                <wp:docPr id="797" name="Shape 797"/>
                <wp:cNvGraphicFramePr/>
                <a:graphic xmlns:a="http://schemas.openxmlformats.org/drawingml/2006/main">
                  <a:graphicData uri="http://schemas.microsoft.com/office/word/2010/wordprocessingShape">
                    <wps:wsp>
                      <wps:cNvSpPr txBox="1"/>
                      <wps:spPr>
                        <a:xfrm>
                          <a:off x="0" y="0"/>
                          <a:ext cx="3291840" cy="953770"/>
                        </a:xfrm>
                        <a:prstGeom prst="rect">
                          <a:avLst/>
                        </a:prstGeom>
                        <a:noFill/>
                      </wps:spPr>
                      <wps:txbx>
                        <w:txbxContent>
                          <w:p w:rsidR="00500724" w:rsidRDefault="00F30FB8">
                            <w:pPr>
                              <w:pStyle w:val="Zkladntext80"/>
                              <w:shd w:val="clear" w:color="auto" w:fill="auto"/>
                              <w:spacing w:after="100" w:line="240" w:lineRule="auto"/>
                              <w:jc w:val="center"/>
                              <w:rPr>
                                <w:sz w:val="24"/>
                                <w:szCs w:val="24"/>
                              </w:rPr>
                            </w:pPr>
                            <w:r>
                              <w:rPr>
                                <w:sz w:val="24"/>
                                <w:szCs w:val="24"/>
                              </w:rPr>
                              <w:t>Historická věda a umění</w:t>
                            </w:r>
                          </w:p>
                          <w:p w:rsidR="00500724" w:rsidRDefault="00F30FB8">
                            <w:pPr>
                              <w:pStyle w:val="Zkladntext50"/>
                              <w:shd w:val="clear" w:color="auto" w:fill="auto"/>
                              <w:tabs>
                                <w:tab w:val="left" w:pos="3974"/>
                              </w:tabs>
                              <w:spacing w:after="0" w:line="216" w:lineRule="auto"/>
                              <w:ind w:left="0" w:firstLine="200"/>
                              <w:rPr>
                                <w:sz w:val="12"/>
                                <w:szCs w:val="12"/>
                              </w:rPr>
                            </w:pPr>
                            <w:r>
                              <w:t xml:space="preserve">Historická věda ponechává nás v nejistotě o individuích. Neodhaluje než body, jimiž byli spojeni s </w:t>
                            </w:r>
                            <w:r>
                              <w:t>všeobecnými činy. Umění je opakem všeobecných ideí, nepopisuje než individuálně, netouží než po jedinečném. Netřídí, nevylučuje. Ideje velikých lidí jsou společným majetkem lidstva: Každý z nich měl vskutku jedině svoje podivínství.</w:t>
                            </w:r>
                            <w:r>
                              <w:tab/>
                            </w:r>
                            <w:r>
                              <w:rPr>
                                <w:i/>
                                <w:iCs/>
                                <w:sz w:val="12"/>
                                <w:szCs w:val="12"/>
                              </w:rPr>
                              <w:t>Maree! Schwab</w:t>
                            </w:r>
                          </w:p>
                        </w:txbxContent>
                      </wps:txbx>
                      <wps:bodyPr lIns="0" tIns="0" rIns="0" bIns="0">
                        <a:spAutoFit/>
                      </wps:bodyPr>
                    </wps:wsp>
                  </a:graphicData>
                </a:graphic>
              </wp:anchor>
            </w:drawing>
          </mc:Choice>
          <mc:Fallback>
            <w:pict>
              <v:shape id="_x0000_s1823" type="#_x0000_t202" style="position:absolute;margin-left:165.pt;margin-top:1.pt;width:259.19999999999999pt;height:75.099999999999994pt;z-index:-125828579;mso-wrap-distance-left:1.pt;mso-wrap-distance-right:1.pt;mso-wrap-distance-bottom:7.pt;mso-position-horizontal-relative:page" filled="f" stroked="f">
                <v:textbox style="mso-fit-shape-to-text:t" inset="0,0,0,0">
                  <w:txbxContent>
                    <w:p>
                      <w:pPr>
                        <w:pStyle w:val="Style150"/>
                        <w:keepNext w:val="0"/>
                        <w:keepLines w:val="0"/>
                        <w:widowControl w:val="0"/>
                        <w:shd w:val="clear" w:color="auto" w:fill="auto"/>
                        <w:bidi w:val="0"/>
                        <w:spacing w:before="0" w:after="10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Historická věda a umění</w:t>
                      </w:r>
                    </w:p>
                    <w:p>
                      <w:pPr>
                        <w:pStyle w:val="Style80"/>
                        <w:keepNext w:val="0"/>
                        <w:keepLines w:val="0"/>
                        <w:widowControl w:val="0"/>
                        <w:shd w:val="clear" w:color="auto" w:fill="auto"/>
                        <w:tabs>
                          <w:tab w:pos="3974" w:val="left"/>
                        </w:tabs>
                        <w:bidi w:val="0"/>
                        <w:spacing w:before="0" w:after="0" w:line="216" w:lineRule="auto"/>
                        <w:ind w:left="0" w:right="0" w:firstLine="200"/>
                        <w:rPr>
                          <w:sz w:val="12"/>
                          <w:szCs w:val="12"/>
                        </w:rPr>
                      </w:pPr>
                      <w:r>
                        <w:rPr>
                          <w:color w:val="000000"/>
                          <w:spacing w:val="0"/>
                          <w:w w:val="100"/>
                          <w:position w:val="0"/>
                          <w:sz w:val="17"/>
                          <w:szCs w:val="17"/>
                          <w:shd w:val="clear" w:color="auto" w:fill="auto"/>
                          <w:lang w:val="cs-CZ" w:eastAsia="cs-CZ" w:bidi="cs-CZ"/>
                        </w:rPr>
                        <w:t>Historická věda ponechává nás v nejistotě o individuích. Neodhaluje než body, jimiž byli spojeni s všeobecnými činy. Umění je opakem všeobecných ideí, nepopisuje než individuálně, netouží než po jedinečném. Netřídí, nevylučuje. Ideje velikých lidí jsou společným majetkem lidstva: Každý z nich měl vskutku jedině svoje podivínství.</w:t>
                        <w:tab/>
                      </w:r>
                      <w:r>
                        <w:rPr>
                          <w:i/>
                          <w:iCs/>
                          <w:color w:val="000000"/>
                          <w:spacing w:val="0"/>
                          <w:w w:val="100"/>
                          <w:position w:val="0"/>
                          <w:sz w:val="12"/>
                          <w:szCs w:val="12"/>
                          <w:shd w:val="clear" w:color="auto" w:fill="auto"/>
                          <w:lang w:val="cs-CZ" w:eastAsia="cs-CZ" w:bidi="cs-CZ"/>
                        </w:rPr>
                        <w:t>Maree! Schwab</w:t>
                      </w:r>
                    </w:p>
                  </w:txbxContent>
                </v:textbox>
                <w10:wrap type="topAndBottom" anchorx="page"/>
              </v:shape>
            </w:pict>
          </mc:Fallback>
        </mc:AlternateContent>
      </w:r>
    </w:p>
    <w:p w:rsidR="00500724" w:rsidRDefault="00F30FB8">
      <w:pPr>
        <w:pStyle w:val="Zkladntext100"/>
        <w:shd w:val="clear" w:color="auto" w:fill="auto"/>
        <w:spacing w:after="120" w:line="180" w:lineRule="auto"/>
        <w:ind w:firstLine="0"/>
        <w:jc w:val="left"/>
        <w:rPr>
          <w:sz w:val="17"/>
          <w:szCs w:val="17"/>
        </w:rPr>
      </w:pPr>
      <w:r>
        <w:rPr>
          <w:i/>
          <w:iCs/>
          <w:sz w:val="17"/>
          <w:szCs w:val="17"/>
        </w:rPr>
        <w:t xml:space="preserve">Viktor </w:t>
      </w:r>
      <w:r>
        <w:rPr>
          <w:i/>
          <w:iCs/>
          <w:sz w:val="17"/>
          <w:szCs w:val="17"/>
        </w:rPr>
        <w:t>Dyk:</w:t>
      </w:r>
    </w:p>
    <w:p w:rsidR="00500724" w:rsidRDefault="00F30FB8">
      <w:pPr>
        <w:pStyle w:val="Zkladntext100"/>
        <w:shd w:val="clear" w:color="auto" w:fill="auto"/>
        <w:spacing w:after="120" w:line="168" w:lineRule="auto"/>
        <w:ind w:firstLine="0"/>
        <w:jc w:val="left"/>
      </w:pPr>
      <w:r>
        <w:rPr>
          <w:b/>
          <w:bCs/>
        </w:rPr>
        <w:t>NA HROB NEZNÁMÉHO</w:t>
      </w:r>
      <w:r>
        <w:rPr>
          <w:b/>
          <w:bCs/>
        </w:rPr>
        <w:footnoteReference w:id="10"/>
      </w:r>
      <w:r>
        <w:rPr>
          <w:b/>
          <w:bCs/>
        </w:rPr>
        <w:t>)</w:t>
      </w:r>
    </w:p>
    <w:p w:rsidR="00500724" w:rsidRDefault="00F30FB8">
      <w:pPr>
        <w:pStyle w:val="Zkladntext100"/>
        <w:shd w:val="clear" w:color="auto" w:fill="auto"/>
        <w:spacing w:line="178" w:lineRule="auto"/>
        <w:ind w:firstLine="0"/>
        <w:jc w:val="left"/>
        <w:rPr>
          <w:sz w:val="17"/>
          <w:szCs w:val="17"/>
        </w:rPr>
      </w:pPr>
      <w:r>
        <w:rPr>
          <w:i/>
          <w:iCs/>
          <w:sz w:val="17"/>
          <w:szCs w:val="17"/>
        </w:rPr>
        <w:t>Začarovaný prolomil jste kruh a Oblomovú ubyl se mdloby Škodné. Brd, pospíchal jste splatit čestný</w:t>
      </w:r>
    </w:p>
    <w:p w:rsidR="00500724" w:rsidRDefault="00F30FB8">
      <w:pPr>
        <w:pStyle w:val="Zkladntext100"/>
        <w:shd w:val="clear" w:color="auto" w:fill="auto"/>
        <w:spacing w:line="178" w:lineRule="auto"/>
        <w:ind w:firstLine="0"/>
        <w:jc w:val="right"/>
        <w:rPr>
          <w:sz w:val="17"/>
          <w:szCs w:val="17"/>
        </w:rPr>
      </w:pPr>
      <w:r>
        <w:rPr>
          <w:i/>
          <w:iCs/>
          <w:sz w:val="17"/>
          <w:szCs w:val="17"/>
        </w:rPr>
        <w:t>dluh</w:t>
      </w:r>
    </w:p>
    <w:p w:rsidR="00500724" w:rsidRDefault="00F30FB8">
      <w:pPr>
        <w:pStyle w:val="Zkladntext100"/>
        <w:shd w:val="clear" w:color="auto" w:fill="auto"/>
        <w:spacing w:after="120" w:line="178" w:lineRule="auto"/>
        <w:ind w:firstLine="0"/>
        <w:jc w:val="left"/>
        <w:rPr>
          <w:sz w:val="17"/>
          <w:szCs w:val="17"/>
        </w:rPr>
      </w:pPr>
      <w:r>
        <w:rPr>
          <w:i/>
          <w:iCs/>
          <w:sz w:val="17"/>
          <w:szCs w:val="17"/>
        </w:rPr>
        <w:t>života svého zemi svoji rodné.</w:t>
      </w:r>
    </w:p>
    <w:p w:rsidR="00500724" w:rsidRDefault="00F30FB8">
      <w:pPr>
        <w:pStyle w:val="Zkladntext100"/>
        <w:shd w:val="clear" w:color="auto" w:fill="auto"/>
        <w:spacing w:line="175" w:lineRule="auto"/>
        <w:ind w:firstLine="0"/>
        <w:jc w:val="left"/>
        <w:rPr>
          <w:sz w:val="17"/>
          <w:szCs w:val="17"/>
        </w:rPr>
      </w:pPr>
      <w:r>
        <w:rPr>
          <w:i/>
          <w:iCs/>
          <w:sz w:val="17"/>
          <w:szCs w:val="17"/>
        </w:rPr>
        <w:t>Pod vzdálené jste země oblohou snil o domové, o krásném žiti.</w:t>
      </w:r>
    </w:p>
    <w:p w:rsidR="00500724" w:rsidRDefault="00F30FB8">
      <w:pPr>
        <w:pStyle w:val="Zkladntext100"/>
        <w:shd w:val="clear" w:color="auto" w:fill="auto"/>
        <w:spacing w:after="120" w:line="175" w:lineRule="auto"/>
        <w:ind w:firstLine="0"/>
        <w:jc w:val="left"/>
        <w:rPr>
          <w:sz w:val="17"/>
          <w:szCs w:val="17"/>
        </w:rPr>
      </w:pPr>
      <w:r>
        <w:rPr>
          <w:i/>
          <w:iCs/>
          <w:sz w:val="17"/>
          <w:szCs w:val="17"/>
        </w:rPr>
        <w:t xml:space="preserve">Bil jste se za ty, kteří nemohou, </w:t>
      </w:r>
      <w:r>
        <w:rPr>
          <w:i/>
          <w:iCs/>
          <w:sz w:val="17"/>
          <w:szCs w:val="17"/>
        </w:rPr>
        <w:t>a za ty, kteři nechtéji se biti.</w:t>
      </w:r>
    </w:p>
    <w:p w:rsidR="00500724" w:rsidRDefault="00F30FB8">
      <w:pPr>
        <w:pStyle w:val="Zkladntext100"/>
        <w:shd w:val="clear" w:color="auto" w:fill="auto"/>
        <w:spacing w:line="175" w:lineRule="auto"/>
        <w:ind w:firstLine="0"/>
        <w:jc w:val="left"/>
        <w:rPr>
          <w:sz w:val="17"/>
          <w:szCs w:val="17"/>
        </w:rPr>
      </w:pPr>
      <w:r>
        <w:rPr>
          <w:i/>
          <w:iCs/>
          <w:sz w:val="17"/>
          <w:szCs w:val="17"/>
        </w:rPr>
        <w:t>Nedůvěřujem’ póze hrdiny, jež s marností se chladně louči</w:t>
      </w:r>
    </w:p>
    <w:p w:rsidR="00500724" w:rsidRDefault="00F30FB8">
      <w:pPr>
        <w:pStyle w:val="Zkladntext100"/>
        <w:shd w:val="clear" w:color="auto" w:fill="auto"/>
        <w:spacing w:line="175" w:lineRule="auto"/>
        <w:ind w:firstLine="0"/>
        <w:jc w:val="right"/>
        <w:rPr>
          <w:sz w:val="17"/>
          <w:szCs w:val="17"/>
        </w:rPr>
      </w:pPr>
      <w:r>
        <w:rPr>
          <w:i/>
          <w:iCs/>
          <w:sz w:val="17"/>
          <w:szCs w:val="17"/>
        </w:rPr>
        <w:t>světskou.</w:t>
      </w:r>
    </w:p>
    <w:p w:rsidR="00500724" w:rsidRDefault="00F30FB8">
      <w:pPr>
        <w:pStyle w:val="Zkladntext100"/>
        <w:shd w:val="clear" w:color="auto" w:fill="auto"/>
        <w:spacing w:after="120" w:line="175" w:lineRule="auto"/>
        <w:ind w:firstLine="0"/>
        <w:jc w:val="right"/>
        <w:rPr>
          <w:sz w:val="17"/>
          <w:szCs w:val="17"/>
        </w:rPr>
      </w:pPr>
      <w:r>
        <w:rPr>
          <w:i/>
          <w:iCs/>
          <w:sz w:val="17"/>
          <w:szCs w:val="17"/>
        </w:rPr>
        <w:t>Snad též vám byly těžké hodiny, když zahradou jste kráčel Olivet</w:t>
      </w:r>
      <w:r>
        <w:rPr>
          <w:i/>
          <w:iCs/>
          <w:sz w:val="17"/>
          <w:szCs w:val="17"/>
        </w:rPr>
        <w:softHyphen/>
        <w:t>skou.</w:t>
      </w:r>
    </w:p>
    <w:p w:rsidR="00500724" w:rsidRDefault="00F30FB8">
      <w:pPr>
        <w:pStyle w:val="Zkladntext100"/>
        <w:numPr>
          <w:ilvl w:val="0"/>
          <w:numId w:val="101"/>
        </w:numPr>
        <w:shd w:val="clear" w:color="auto" w:fill="auto"/>
        <w:tabs>
          <w:tab w:val="left" w:pos="250"/>
        </w:tabs>
        <w:spacing w:line="180" w:lineRule="auto"/>
        <w:ind w:firstLine="0"/>
        <w:jc w:val="left"/>
        <w:rPr>
          <w:sz w:val="17"/>
          <w:szCs w:val="17"/>
        </w:rPr>
      </w:pPr>
      <w:r>
        <w:rPr>
          <w:i/>
          <w:iCs/>
          <w:sz w:val="17"/>
          <w:szCs w:val="17"/>
        </w:rPr>
        <w:t xml:space="preserve">požáru dýmu, za hřímání děl noc byla někdy vražedná a chladná. A PokuSitel slovy </w:t>
      </w:r>
      <w:r>
        <w:rPr>
          <w:i/>
          <w:iCs/>
          <w:sz w:val="17"/>
          <w:szCs w:val="17"/>
        </w:rPr>
        <w:t>Písma děl: ..Jestliže budeS klaněti se. padna</w:t>
      </w:r>
    </w:p>
    <w:p w:rsidR="00500724" w:rsidRDefault="00F30FB8">
      <w:pPr>
        <w:pStyle w:val="Jin0"/>
        <w:shd w:val="clear" w:color="auto" w:fill="auto"/>
        <w:tabs>
          <w:tab w:val="left" w:leader="underscore" w:pos="2274"/>
          <w:tab w:val="left" w:leader="underscore" w:pos="2481"/>
        </w:tabs>
        <w:spacing w:after="120" w:line="226" w:lineRule="auto"/>
        <w:ind w:left="2120" w:firstLine="0"/>
        <w:rPr>
          <w:sz w:val="8"/>
          <w:szCs w:val="8"/>
        </w:rPr>
      </w:pPr>
      <w:r>
        <w:rPr>
          <w:rFonts w:ascii="Arial" w:eastAsia="Arial" w:hAnsi="Arial" w:cs="Arial"/>
          <w:b/>
          <w:bCs/>
          <w:i/>
          <w:iCs/>
          <w:sz w:val="8"/>
          <w:szCs w:val="8"/>
        </w:rPr>
        <w:t>,</w:t>
      </w:r>
      <w:r>
        <w:rPr>
          <w:rFonts w:ascii="Arial" w:eastAsia="Arial" w:hAnsi="Arial" w:cs="Arial"/>
          <w:b/>
          <w:bCs/>
          <w:i/>
          <w:iCs/>
          <w:sz w:val="8"/>
          <w:szCs w:val="8"/>
        </w:rPr>
        <w:tab/>
        <w:t xml:space="preserve"> </w:t>
      </w:r>
      <w:r>
        <w:rPr>
          <w:rFonts w:ascii="Arial" w:eastAsia="Arial" w:hAnsi="Arial" w:cs="Arial"/>
          <w:b/>
          <w:bCs/>
          <w:i/>
          <w:iCs/>
          <w:sz w:val="8"/>
          <w:szCs w:val="8"/>
        </w:rPr>
        <w:tab/>
        <w:t>t(</w:t>
      </w:r>
    </w:p>
    <w:p w:rsidR="00500724" w:rsidRDefault="00F30FB8">
      <w:pPr>
        <w:pStyle w:val="Zkladntext100"/>
        <w:shd w:val="clear" w:color="auto" w:fill="auto"/>
        <w:spacing w:line="180" w:lineRule="auto"/>
        <w:ind w:firstLine="0"/>
        <w:jc w:val="left"/>
        <w:rPr>
          <w:sz w:val="17"/>
          <w:szCs w:val="17"/>
        </w:rPr>
      </w:pPr>
      <w:r>
        <w:rPr>
          <w:i/>
          <w:iCs/>
          <w:sz w:val="17"/>
          <w:szCs w:val="17"/>
        </w:rPr>
        <w:t>A někde doma, v hluku ulice, po moudrosti se jiná moudrost roji. Chodili jsme tam, rozumujíce:</w:t>
      </w:r>
    </w:p>
    <w:p w:rsidR="00500724" w:rsidRDefault="00F30FB8">
      <w:pPr>
        <w:pStyle w:val="Zkladntext100"/>
        <w:shd w:val="clear" w:color="auto" w:fill="auto"/>
        <w:spacing w:line="180" w:lineRule="auto"/>
        <w:ind w:firstLine="0"/>
        <w:jc w:val="left"/>
        <w:rPr>
          <w:sz w:val="17"/>
          <w:szCs w:val="17"/>
        </w:rPr>
      </w:pPr>
      <w:r>
        <w:rPr>
          <w:i/>
          <w:iCs/>
          <w:sz w:val="17"/>
          <w:szCs w:val="17"/>
        </w:rPr>
        <w:t>„Je život jeden. Povinnost je</w:t>
      </w:r>
    </w:p>
    <w:p w:rsidR="00500724" w:rsidRDefault="00F30FB8">
      <w:pPr>
        <w:pStyle w:val="Zkladntext100"/>
        <w:shd w:val="clear" w:color="auto" w:fill="auto"/>
        <w:spacing w:after="120" w:line="180" w:lineRule="auto"/>
        <w:ind w:firstLine="0"/>
        <w:jc w:val="right"/>
        <w:rPr>
          <w:sz w:val="17"/>
          <w:szCs w:val="17"/>
        </w:rPr>
      </w:pPr>
      <w:r>
        <w:rPr>
          <w:i/>
          <w:iCs/>
          <w:sz w:val="17"/>
          <w:szCs w:val="17"/>
        </w:rPr>
        <w:t>dvojí!"</w:t>
      </w:r>
    </w:p>
    <w:p w:rsidR="00500724" w:rsidRDefault="00F30FB8">
      <w:pPr>
        <w:pStyle w:val="Zkladntext100"/>
        <w:shd w:val="clear" w:color="auto" w:fill="auto"/>
        <w:spacing w:line="180" w:lineRule="auto"/>
        <w:ind w:firstLine="0"/>
        <w:rPr>
          <w:sz w:val="17"/>
          <w:szCs w:val="17"/>
        </w:rPr>
      </w:pPr>
      <w:r>
        <w:rPr>
          <w:i/>
          <w:iCs/>
          <w:sz w:val="17"/>
          <w:szCs w:val="17"/>
        </w:rPr>
        <w:t xml:space="preserve">Vy mladistvý vSak upíral jste zrak do budoucnosti, jež je nedohledná. </w:t>
      </w:r>
      <w:r>
        <w:rPr>
          <w:i/>
          <w:iCs/>
          <w:sz w:val="17"/>
          <w:szCs w:val="17"/>
        </w:rPr>
        <w:t>A řekl jste, když síru soptil drak: „Je život jeden. Povinnost je</w:t>
      </w:r>
    </w:p>
    <w:p w:rsidR="00500724" w:rsidRDefault="00F30FB8">
      <w:pPr>
        <w:pStyle w:val="Zkladntext100"/>
        <w:shd w:val="clear" w:color="auto" w:fill="auto"/>
        <w:spacing w:after="120" w:line="180" w:lineRule="auto"/>
        <w:ind w:firstLine="0"/>
        <w:jc w:val="right"/>
        <w:rPr>
          <w:sz w:val="17"/>
          <w:szCs w:val="17"/>
        </w:rPr>
      </w:pPr>
      <w:r>
        <w:rPr>
          <w:i/>
          <w:iCs/>
          <w:sz w:val="17"/>
          <w:szCs w:val="17"/>
        </w:rPr>
        <w:t>jedna!"</w:t>
      </w:r>
    </w:p>
    <w:p w:rsidR="00500724" w:rsidRDefault="00F30FB8">
      <w:pPr>
        <w:pStyle w:val="Zkladntext100"/>
        <w:numPr>
          <w:ilvl w:val="0"/>
          <w:numId w:val="101"/>
        </w:numPr>
        <w:shd w:val="clear" w:color="auto" w:fill="auto"/>
        <w:tabs>
          <w:tab w:val="left" w:pos="255"/>
        </w:tabs>
        <w:spacing w:line="182" w:lineRule="auto"/>
        <w:ind w:firstLine="0"/>
        <w:jc w:val="left"/>
        <w:rPr>
          <w:sz w:val="17"/>
          <w:szCs w:val="17"/>
        </w:rPr>
      </w:pPr>
      <w:r>
        <w:rPr>
          <w:i/>
          <w:iCs/>
          <w:sz w:val="17"/>
          <w:szCs w:val="17"/>
        </w:rPr>
        <w:t>té době krisi, v době katastrof Sel jste a zažel v mladém, krásném</w:t>
      </w:r>
    </w:p>
    <w:p w:rsidR="00500724" w:rsidRDefault="00F30FB8">
      <w:pPr>
        <w:pStyle w:val="Zkladntext100"/>
        <w:shd w:val="clear" w:color="auto" w:fill="auto"/>
        <w:spacing w:line="182" w:lineRule="auto"/>
        <w:ind w:firstLine="0"/>
        <w:jc w:val="right"/>
        <w:rPr>
          <w:sz w:val="17"/>
          <w:szCs w:val="17"/>
        </w:rPr>
      </w:pPr>
      <w:r>
        <w:rPr>
          <w:i/>
          <w:iCs/>
          <w:sz w:val="17"/>
          <w:szCs w:val="17"/>
        </w:rPr>
        <w:t>spěchu.</w:t>
      </w:r>
    </w:p>
    <w:p w:rsidR="00500724" w:rsidRDefault="00F30FB8">
      <w:pPr>
        <w:pStyle w:val="Zkladntext100"/>
        <w:shd w:val="clear" w:color="auto" w:fill="auto"/>
        <w:spacing w:line="182" w:lineRule="auto"/>
        <w:ind w:firstLine="0"/>
        <w:jc w:val="left"/>
        <w:rPr>
          <w:sz w:val="17"/>
          <w:szCs w:val="17"/>
        </w:rPr>
      </w:pPr>
      <w:r>
        <w:rPr>
          <w:i/>
          <w:iCs/>
          <w:sz w:val="17"/>
          <w:szCs w:val="17"/>
        </w:rPr>
        <w:t>Své strofy kladu na neznámý rov. Dobrou noc, muži! Spěte ve cti.</w:t>
      </w:r>
    </w:p>
    <w:p w:rsidR="00500724" w:rsidRDefault="00F30FB8">
      <w:pPr>
        <w:pStyle w:val="Zkladntext100"/>
        <w:shd w:val="clear" w:color="auto" w:fill="auto"/>
        <w:spacing w:after="120" w:line="180" w:lineRule="auto"/>
        <w:ind w:firstLine="0"/>
        <w:jc w:val="right"/>
        <w:rPr>
          <w:sz w:val="17"/>
          <w:szCs w:val="17"/>
        </w:rPr>
      </w:pPr>
      <w:r>
        <w:rPr>
          <w:i/>
          <w:iCs/>
          <w:sz w:val="17"/>
          <w:szCs w:val="17"/>
        </w:rPr>
        <w:t>Cechu!</w:t>
      </w:r>
    </w:p>
    <w:p w:rsidR="00500724" w:rsidRDefault="00F30FB8">
      <w:pPr>
        <w:pStyle w:val="Zkladntext100"/>
        <w:shd w:val="clear" w:color="auto" w:fill="auto"/>
        <w:spacing w:after="200" w:line="170" w:lineRule="auto"/>
        <w:ind w:firstLine="0"/>
        <w:jc w:val="left"/>
        <w:rPr>
          <w:sz w:val="17"/>
          <w:szCs w:val="17"/>
        </w:rPr>
      </w:pPr>
      <w:r>
        <w:rPr>
          <w:i/>
          <w:iCs/>
          <w:sz w:val="17"/>
          <w:szCs w:val="17"/>
        </w:rPr>
        <w:t xml:space="preserve">•) Ze sbírky Lehké a těžké kroky — </w:t>
      </w:r>
      <w:r>
        <w:rPr>
          <w:i/>
          <w:iCs/>
          <w:sz w:val="17"/>
          <w:szCs w:val="17"/>
        </w:rPr>
        <w:t>Anebo.</w:t>
      </w:r>
    </w:p>
    <w:p w:rsidR="00500724" w:rsidRDefault="00F30FB8">
      <w:pPr>
        <w:pStyle w:val="Jin0"/>
        <w:shd w:val="clear" w:color="auto" w:fill="auto"/>
        <w:spacing w:after="260"/>
        <w:ind w:left="320" w:firstLine="0"/>
        <w:jc w:val="left"/>
        <w:rPr>
          <w:sz w:val="30"/>
          <w:szCs w:val="30"/>
        </w:rPr>
      </w:pPr>
      <w:r>
        <w:rPr>
          <w:b/>
          <w:bCs/>
          <w:sz w:val="30"/>
          <w:szCs w:val="30"/>
        </w:rPr>
        <w:t>FEUILLETON</w:t>
      </w:r>
    </w:p>
    <w:p w:rsidR="00500724" w:rsidRDefault="00F30FB8">
      <w:pPr>
        <w:pStyle w:val="Zkladntext40"/>
        <w:shd w:val="clear" w:color="auto" w:fill="auto"/>
        <w:spacing w:after="120" w:line="173" w:lineRule="auto"/>
        <w:jc w:val="left"/>
        <w:rPr>
          <w:sz w:val="16"/>
          <w:szCs w:val="16"/>
        </w:rPr>
      </w:pPr>
      <w:r>
        <w:rPr>
          <w:b/>
          <w:bCs/>
          <w:sz w:val="16"/>
          <w:szCs w:val="16"/>
        </w:rPr>
        <w:t>Ambroise Vollard:</w:t>
      </w:r>
    </w:p>
    <w:p w:rsidR="00500724" w:rsidRDefault="00F30FB8">
      <w:pPr>
        <w:pStyle w:val="Zkladntext40"/>
        <w:shd w:val="clear" w:color="auto" w:fill="auto"/>
        <w:spacing w:after="120" w:line="182" w:lineRule="auto"/>
        <w:jc w:val="center"/>
        <w:rPr>
          <w:sz w:val="16"/>
          <w:szCs w:val="16"/>
        </w:rPr>
      </w:pPr>
      <w:r>
        <w:rPr>
          <w:b/>
          <w:bCs/>
          <w:sz w:val="16"/>
          <w:szCs w:val="16"/>
          <w:lang w:val="en-US" w:eastAsia="en-US" w:bidi="en-US"/>
        </w:rPr>
        <w:t xml:space="preserve">RENOIR </w:t>
      </w:r>
      <w:r>
        <w:rPr>
          <w:b/>
          <w:bCs/>
          <w:sz w:val="16"/>
          <w:szCs w:val="16"/>
        </w:rPr>
        <w:t>JAK JSEM HO</w:t>
      </w:r>
      <w:r>
        <w:rPr>
          <w:b/>
          <w:bCs/>
          <w:sz w:val="16"/>
          <w:szCs w:val="16"/>
        </w:rPr>
        <w:br/>
        <w:t>POZNAL.*)</w:t>
      </w:r>
    </w:p>
    <w:p w:rsidR="00500724" w:rsidRDefault="00F30FB8">
      <w:pPr>
        <w:pStyle w:val="Zkladntext40"/>
        <w:shd w:val="clear" w:color="auto" w:fill="auto"/>
        <w:spacing w:after="0" w:line="173" w:lineRule="auto"/>
        <w:ind w:firstLine="180"/>
        <w:rPr>
          <w:sz w:val="16"/>
          <w:szCs w:val="16"/>
        </w:rPr>
      </w:pPr>
      <w:r>
        <w:rPr>
          <w:b/>
          <w:bCs/>
          <w:sz w:val="16"/>
          <w:szCs w:val="16"/>
        </w:rPr>
        <w:t xml:space="preserve">Jak jsem poznal Renoira? Chtěl jsem vědět, kdo byl modelem k Ma- netovu obrazu, který jsem získal. Byl to portrét muže v aleji buloň- ského lesa. oblečeného v kabát slézové barvy, žlutou </w:t>
      </w:r>
      <w:r>
        <w:rPr>
          <w:b/>
          <w:bCs/>
          <w:sz w:val="16"/>
          <w:szCs w:val="16"/>
        </w:rPr>
        <w:t>vestu, bílé kalhoty a lakové střevíce, s šedým kloboukem na hlavě. Málem bych byl zapomněl na růži v knoflíkové dírce. .’Řekli mi: .</w:t>
      </w:r>
      <w:r>
        <w:rPr>
          <w:b/>
          <w:bCs/>
          <w:sz w:val="16"/>
          <w:szCs w:val="16"/>
          <w:lang w:val="en-US" w:eastAsia="en-US" w:bidi="en-US"/>
        </w:rPr>
        <w:t xml:space="preserve">.Renoir </w:t>
      </w:r>
      <w:r>
        <w:rPr>
          <w:b/>
          <w:bCs/>
          <w:sz w:val="16"/>
          <w:szCs w:val="16"/>
        </w:rPr>
        <w:t>bude vě</w:t>
      </w:r>
      <w:r>
        <w:rPr>
          <w:b/>
          <w:bCs/>
          <w:sz w:val="16"/>
          <w:szCs w:val="16"/>
        </w:rPr>
        <w:softHyphen/>
        <w:t>dět. kdo to je.“ Vydal jsem se za malířem, který bydlel na Mont- martu ve starém domě. nazývaném ,,</w:t>
      </w:r>
      <w:r>
        <w:rPr>
          <w:b/>
          <w:bCs/>
          <w:sz w:val="16"/>
          <w:szCs w:val="16"/>
          <w:lang w:val="en-US" w:eastAsia="en-US" w:bidi="en-US"/>
        </w:rPr>
        <w:t xml:space="preserve">Chateau </w:t>
      </w:r>
      <w:r>
        <w:rPr>
          <w:b/>
          <w:bCs/>
          <w:sz w:val="16"/>
          <w:szCs w:val="16"/>
        </w:rPr>
        <w:t>d</w:t>
      </w:r>
      <w:r>
        <w:rPr>
          <w:b/>
          <w:bCs/>
          <w:sz w:val="16"/>
          <w:szCs w:val="16"/>
        </w:rPr>
        <w:t>es Brouillards“. V za</w:t>
      </w:r>
      <w:r>
        <w:rPr>
          <w:b/>
          <w:bCs/>
          <w:sz w:val="16"/>
          <w:szCs w:val="16"/>
        </w:rPr>
        <w:softHyphen/>
        <w:t>hradě jsem potkal služku, podob</w:t>
      </w:r>
      <w:r>
        <w:rPr>
          <w:b/>
          <w:bCs/>
          <w:sz w:val="16"/>
          <w:szCs w:val="16"/>
        </w:rPr>
        <w:softHyphen/>
        <w:t>nou cikánce, s dítětem v náručí, která mi řekla, abych počkal v do</w:t>
      </w:r>
      <w:r>
        <w:rPr>
          <w:b/>
          <w:bCs/>
          <w:sz w:val="16"/>
          <w:szCs w:val="16"/>
        </w:rPr>
        <w:softHyphen/>
        <w:t>mě na chodbě. Vtom přišla mladá paní, kulatá a dobrácká jako měš- ťanky z doby Ludvíka XV. na ně</w:t>
      </w:r>
      <w:r>
        <w:rPr>
          <w:b/>
          <w:bCs/>
          <w:sz w:val="16"/>
          <w:szCs w:val="16"/>
        </w:rPr>
        <w:softHyphen/>
        <w:t>kterých pastelech od Perroneau. Byla t</w:t>
      </w:r>
      <w:r>
        <w:rPr>
          <w:b/>
          <w:bCs/>
          <w:sz w:val="16"/>
          <w:szCs w:val="16"/>
        </w:rPr>
        <w:t>o paní Renoirová.</w:t>
      </w:r>
    </w:p>
    <w:p w:rsidR="00500724" w:rsidRDefault="00F30FB8">
      <w:pPr>
        <w:pStyle w:val="Zkladntext40"/>
        <w:shd w:val="clear" w:color="auto" w:fill="auto"/>
        <w:spacing w:after="0" w:line="173" w:lineRule="auto"/>
        <w:ind w:firstLine="180"/>
        <w:rPr>
          <w:sz w:val="16"/>
          <w:szCs w:val="16"/>
        </w:rPr>
      </w:pPr>
      <w:r>
        <w:rPr>
          <w:b/>
          <w:bCs/>
          <w:sz w:val="16"/>
          <w:szCs w:val="16"/>
        </w:rPr>
        <w:t>„Jak to. pane. že vás zde nechali čekat ? Gabrielo! * *</w:t>
      </w:r>
    </w:p>
    <w:p w:rsidR="00500724" w:rsidRDefault="00F30FB8">
      <w:pPr>
        <w:pStyle w:val="Zkladntext40"/>
        <w:shd w:val="clear" w:color="auto" w:fill="auto"/>
        <w:spacing w:after="0" w:line="173" w:lineRule="auto"/>
        <w:ind w:firstLine="180"/>
        <w:rPr>
          <w:sz w:val="16"/>
          <w:szCs w:val="16"/>
        </w:rPr>
      </w:pPr>
      <w:r>
        <w:rPr>
          <w:b/>
          <w:bCs/>
          <w:sz w:val="16"/>
          <w:szCs w:val="16"/>
        </w:rPr>
        <w:t>Služka odpověděla:</w:t>
      </w:r>
    </w:p>
    <w:p w:rsidR="00500724" w:rsidRDefault="00F30FB8">
      <w:pPr>
        <w:pStyle w:val="Zkladntext40"/>
        <w:shd w:val="clear" w:color="auto" w:fill="auto"/>
        <w:spacing w:after="0" w:line="173" w:lineRule="auto"/>
        <w:ind w:firstLine="180"/>
        <w:rPr>
          <w:sz w:val="16"/>
          <w:szCs w:val="16"/>
        </w:rPr>
      </w:pPr>
      <w:r>
        <w:rPr>
          <w:b/>
          <w:bCs/>
          <w:sz w:val="16"/>
          <w:szCs w:val="16"/>
        </w:rPr>
        <w:t>„Vždyť je venku plno bláta.“</w:t>
      </w:r>
    </w:p>
    <w:p w:rsidR="00500724" w:rsidRDefault="00F30FB8">
      <w:pPr>
        <w:pStyle w:val="Zkladntext40"/>
        <w:shd w:val="clear" w:color="auto" w:fill="auto"/>
        <w:spacing w:after="120" w:line="173" w:lineRule="auto"/>
        <w:ind w:firstLine="180"/>
        <w:rPr>
          <w:sz w:val="16"/>
          <w:szCs w:val="16"/>
        </w:rPr>
      </w:pPr>
      <w:r>
        <w:rPr>
          <w:b/>
          <w:bCs/>
          <w:sz w:val="16"/>
          <w:szCs w:val="16"/>
        </w:rPr>
        <w:t>Paní Renoirová mne zavedla do jídelny, kde jsem si prohlédl ně</w:t>
      </w:r>
      <w:r>
        <w:rPr>
          <w:b/>
          <w:bCs/>
          <w:sz w:val="16"/>
          <w:szCs w:val="16"/>
        </w:rPr>
        <w:softHyphen/>
        <w:t>kolik nádherných Renoirových plá-</w:t>
      </w:r>
    </w:p>
    <w:p w:rsidR="00500724" w:rsidRDefault="00F30FB8">
      <w:pPr>
        <w:pStyle w:val="Zkladntext40"/>
        <w:shd w:val="clear" w:color="auto" w:fill="auto"/>
        <w:spacing w:after="120" w:line="194" w:lineRule="auto"/>
        <w:jc w:val="left"/>
      </w:pPr>
      <w:r>
        <w:t>•) Úryvek z knihy Vzpomínky obchodník</w:t>
      </w:r>
      <w:r>
        <w:t>a obrazy.</w:t>
      </w:r>
    </w:p>
    <w:p w:rsidR="00500724" w:rsidRDefault="00F30FB8">
      <w:pPr>
        <w:pStyle w:val="Nadpis120"/>
        <w:shd w:val="clear" w:color="auto" w:fill="auto"/>
        <w:spacing w:after="120"/>
        <w:ind w:left="0"/>
        <w:jc w:val="right"/>
      </w:pPr>
      <w:bookmarkStart w:id="819" w:name="bookmark818"/>
      <w:r>
        <w:rPr>
          <w:rFonts w:ascii="Arial" w:eastAsia="Arial" w:hAnsi="Arial" w:cs="Arial"/>
        </w:rPr>
        <w:t>POZNÁMKY</w:t>
      </w:r>
      <w:bookmarkEnd w:id="819"/>
    </w:p>
    <w:p w:rsidR="00500724" w:rsidRDefault="00F30FB8">
      <w:pPr>
        <w:pStyle w:val="Zkladntext40"/>
        <w:shd w:val="clear" w:color="auto" w:fill="auto"/>
        <w:spacing w:after="120"/>
        <w:ind w:left="240"/>
        <w:jc w:val="left"/>
        <w:rPr>
          <w:sz w:val="16"/>
          <w:szCs w:val="16"/>
        </w:rPr>
      </w:pPr>
      <w:r>
        <w:rPr>
          <w:b/>
          <w:bCs/>
          <w:sz w:val="16"/>
          <w:szCs w:val="16"/>
        </w:rPr>
        <w:t>Z ODKAZU KABLA ČAPKA.</w:t>
      </w:r>
    </w:p>
    <w:p w:rsidR="00500724" w:rsidRDefault="00F30FB8">
      <w:pPr>
        <w:pStyle w:val="Zkladntext40"/>
        <w:shd w:val="clear" w:color="auto" w:fill="auto"/>
        <w:spacing w:after="0" w:line="187" w:lineRule="auto"/>
        <w:ind w:firstLine="180"/>
      </w:pPr>
      <w:r>
        <w:t>Znali jsme knižně jen Čapkovu Dášeňku. život štěněte, která vy</w:t>
      </w:r>
      <w:r>
        <w:softHyphen/>
        <w:t>šla v úhledné úpravě s autorovými kresbami a fotografiemi: ostatní Čapkovy kapitoly o domácích zví</w:t>
      </w:r>
      <w:r>
        <w:softHyphen/>
        <w:t>řatech. psech a kočkách vycházely porůznu na stránkác</w:t>
      </w:r>
      <w:r>
        <w:t>h Lidových no</w:t>
      </w:r>
      <w:r>
        <w:softHyphen/>
        <w:t>vin. Nyní vyšly v knižním souboru s názvem Měl jsem psa a kočku iako další, posmrtný svazek spisů Karla Čapka u Fr. Bo</w:t>
      </w:r>
      <w:r>
        <w:softHyphen/>
        <w:t>rového (186 stran, za 20 K.)</w:t>
      </w:r>
    </w:p>
    <w:p w:rsidR="00500724" w:rsidRDefault="00F30FB8">
      <w:pPr>
        <w:pStyle w:val="Zkladntext40"/>
        <w:shd w:val="clear" w:color="auto" w:fill="auto"/>
        <w:spacing w:after="300" w:line="187" w:lineRule="auto"/>
        <w:ind w:firstLine="180"/>
      </w:pPr>
      <w:r>
        <w:t>S obvyklým důvěrným zasvěce</w:t>
      </w:r>
      <w:r>
        <w:softHyphen/>
        <w:t>ním do předmětu svého literárního vyprávění líčí Karel Čapek život</w:t>
      </w:r>
      <w:r>
        <w:t xml:space="preserve"> svých zvířecích svěřenců a přátel: není jen jejich chovatelem a jejich lidským druhem, ale odhaluje do</w:t>
      </w:r>
      <w:r>
        <w:softHyphen/>
        <w:t>cela psychologii těchto tvorů. A ze všech těchto pohledů vznikají roz</w:t>
      </w:r>
      <w:r>
        <w:softHyphen/>
        <w:t>marné. bystré, vtipné a vážné stra</w:t>
      </w:r>
      <w:r>
        <w:softHyphen/>
        <w:t>ny jeho knížky. Poměr člověka a zvířete není tu</w:t>
      </w:r>
      <w:r>
        <w:t xml:space="preserve"> osvětlován sobecky jen s hlediska pána. ale také z od</w:t>
      </w:r>
      <w:r>
        <w:softHyphen/>
        <w:t>hadovaných a pozorovaných zkuše</w:t>
      </w:r>
      <w:r>
        <w:softHyphen/>
        <w:t>ností psa či kočky s člověkem — a to vytváří nové okolnosti a vzta</w:t>
      </w:r>
      <w:r>
        <w:softHyphen/>
        <w:t>hy a dokonaleji to určuje - soužití pána tvorstva a jeho domácích zví</w:t>
      </w:r>
      <w:r>
        <w:softHyphen/>
        <w:t>řecích poddaných. Čapek nejen ur</w:t>
      </w:r>
      <w:r>
        <w:softHyphen/>
        <w:t>čuje rysy obou karikovaných pře</w:t>
      </w:r>
      <w:r>
        <w:softHyphen/>
        <w:t>háněním nejtypičtějších vlastností, ale také vesele zaměňuje zkušenosti</w:t>
      </w:r>
    </w:p>
    <w:p w:rsidR="00500724" w:rsidRDefault="00F30FB8">
      <w:pPr>
        <w:pStyle w:val="Zkladntext40"/>
        <w:shd w:val="clear" w:color="auto" w:fill="auto"/>
        <w:spacing w:after="0" w:line="175" w:lineRule="auto"/>
        <w:rPr>
          <w:sz w:val="16"/>
          <w:szCs w:val="16"/>
        </w:rPr>
      </w:pPr>
      <w:r>
        <w:rPr>
          <w:b/>
          <w:bCs/>
          <w:sz w:val="16"/>
          <w:szCs w:val="16"/>
        </w:rPr>
        <w:t>ten. a šla mne ohlásit svému man</w:t>
      </w:r>
      <w:r>
        <w:rPr>
          <w:b/>
          <w:bCs/>
          <w:sz w:val="16"/>
          <w:szCs w:val="16"/>
        </w:rPr>
        <w:softHyphen/>
        <w:t>želu.</w:t>
      </w:r>
    </w:p>
    <w:p w:rsidR="00500724" w:rsidRDefault="00F30FB8">
      <w:pPr>
        <w:pStyle w:val="Zkladntext40"/>
        <w:shd w:val="clear" w:color="auto" w:fill="auto"/>
        <w:spacing w:after="0" w:line="175" w:lineRule="auto"/>
        <w:ind w:firstLine="180"/>
        <w:rPr>
          <w:sz w:val="16"/>
          <w:szCs w:val="16"/>
        </w:rPr>
      </w:pPr>
      <w:r>
        <w:rPr>
          <w:b/>
          <w:bCs/>
          <w:sz w:val="16"/>
          <w:szCs w:val="16"/>
          <w:lang w:val="en-US" w:eastAsia="en-US" w:bidi="en-US"/>
        </w:rPr>
        <w:t xml:space="preserve">Renoir </w:t>
      </w:r>
      <w:r>
        <w:rPr>
          <w:b/>
          <w:bCs/>
          <w:sz w:val="16"/>
          <w:szCs w:val="16"/>
        </w:rPr>
        <w:t>brzy přišel.</w:t>
      </w:r>
    </w:p>
    <w:p w:rsidR="00500724" w:rsidRDefault="00F30FB8">
      <w:pPr>
        <w:pStyle w:val="Zkladntext40"/>
        <w:shd w:val="clear" w:color="auto" w:fill="auto"/>
        <w:spacing w:after="0" w:line="175" w:lineRule="auto"/>
        <w:ind w:firstLine="180"/>
        <w:rPr>
          <w:sz w:val="16"/>
          <w:szCs w:val="16"/>
        </w:rPr>
      </w:pPr>
      <w:r>
        <w:rPr>
          <w:b/>
          <w:bCs/>
          <w:sz w:val="16"/>
          <w:szCs w:val="16"/>
        </w:rPr>
        <w:t>Řekl jsem mu. co mne k němu přivedlo.</w:t>
      </w:r>
    </w:p>
    <w:p w:rsidR="00500724" w:rsidRDefault="00F30FB8">
      <w:pPr>
        <w:pStyle w:val="Zkladntext40"/>
        <w:shd w:val="clear" w:color="auto" w:fill="auto"/>
        <w:spacing w:after="0" w:line="175" w:lineRule="auto"/>
        <w:ind w:firstLine="180"/>
        <w:rPr>
          <w:sz w:val="16"/>
          <w:szCs w:val="16"/>
        </w:rPr>
      </w:pPr>
      <w:r>
        <w:rPr>
          <w:b/>
          <w:bCs/>
          <w:sz w:val="16"/>
          <w:szCs w:val="16"/>
        </w:rPr>
        <w:t xml:space="preserve">„To je pan Brun. Manetův přítel. Nechcete jít se mnou </w:t>
      </w:r>
      <w:r>
        <w:rPr>
          <w:b/>
          <w:bCs/>
          <w:sz w:val="16"/>
          <w:szCs w:val="16"/>
        </w:rPr>
        <w:t>do atelieru? Bude se nám tam lépe povídat.“</w:t>
      </w:r>
    </w:p>
    <w:p w:rsidR="00500724" w:rsidRDefault="00F30FB8">
      <w:pPr>
        <w:pStyle w:val="Zkladntext40"/>
        <w:shd w:val="clear" w:color="auto" w:fill="auto"/>
        <w:spacing w:after="0" w:line="175" w:lineRule="auto"/>
        <w:ind w:firstLine="180"/>
        <w:rPr>
          <w:sz w:val="16"/>
          <w:szCs w:val="16"/>
        </w:rPr>
      </w:pPr>
      <w:r>
        <w:rPr>
          <w:b/>
          <w:bCs/>
          <w:sz w:val="16"/>
          <w:szCs w:val="16"/>
          <w:lang w:val="en-US" w:eastAsia="en-US" w:bidi="en-US"/>
        </w:rPr>
        <w:t xml:space="preserve">Renoir </w:t>
      </w:r>
      <w:r>
        <w:rPr>
          <w:b/>
          <w:bCs/>
          <w:sz w:val="16"/>
          <w:szCs w:val="16"/>
        </w:rPr>
        <w:t>mne zavedl do zcela oby</w:t>
      </w:r>
      <w:r>
        <w:rPr>
          <w:b/>
          <w:bCs/>
          <w:sz w:val="16"/>
          <w:szCs w:val="16"/>
        </w:rPr>
        <w:softHyphen/>
        <w:t>čejné místnosti: štafle, dva nebo tři kusy nábytku, které k sobě ne</w:t>
      </w:r>
      <w:r>
        <w:rPr>
          <w:b/>
          <w:bCs/>
          <w:sz w:val="16"/>
          <w:szCs w:val="16"/>
        </w:rPr>
        <w:softHyphen/>
        <w:t>patřily. hromada látek a několik slaměných klobouků, které malíř rád mačkal mezi prsty, než si své modely postavi</w:t>
      </w:r>
      <w:r>
        <w:rPr>
          <w:b/>
          <w:bCs/>
          <w:sz w:val="16"/>
          <w:szCs w:val="16"/>
        </w:rPr>
        <w:t>l. Ve všech koutech plátna, obrácená k sobě. Před židlí, určenou pro model, byla hro</w:t>
      </w:r>
      <w:r>
        <w:rPr>
          <w:b/>
          <w:bCs/>
          <w:sz w:val="16"/>
          <w:szCs w:val="16"/>
        </w:rPr>
        <w:softHyphen/>
        <w:t xml:space="preserve">mada sešitů avantgardního časopisu Revue </w:t>
      </w:r>
      <w:r>
        <w:rPr>
          <w:b/>
          <w:bCs/>
          <w:sz w:val="16"/>
          <w:szCs w:val="16"/>
          <w:lang w:val="en-US" w:eastAsia="en-US" w:bidi="en-US"/>
        </w:rPr>
        <w:t xml:space="preserve">Blanche, </w:t>
      </w:r>
      <w:r>
        <w:rPr>
          <w:b/>
          <w:bCs/>
          <w:sz w:val="16"/>
          <w:szCs w:val="16"/>
        </w:rPr>
        <w:t>dosud přelepených páskami.</w:t>
      </w:r>
    </w:p>
    <w:p w:rsidR="00500724" w:rsidRDefault="00F30FB8">
      <w:pPr>
        <w:pStyle w:val="Zkladntext40"/>
        <w:shd w:val="clear" w:color="auto" w:fill="auto"/>
        <w:spacing w:after="0" w:line="175" w:lineRule="auto"/>
        <w:ind w:firstLine="180"/>
        <w:rPr>
          <w:sz w:val="16"/>
          <w:szCs w:val="16"/>
        </w:rPr>
      </w:pPr>
      <w:r>
        <w:rPr>
          <w:b/>
          <w:bCs/>
          <w:sz w:val="16"/>
          <w:szCs w:val="16"/>
        </w:rPr>
        <w:t>„To je velmi zajímavá publika</w:t>
      </w:r>
      <w:r>
        <w:rPr>
          <w:b/>
          <w:bCs/>
          <w:sz w:val="16"/>
          <w:szCs w:val="16"/>
        </w:rPr>
        <w:softHyphen/>
        <w:t>ce.“ pravil jsem.</w:t>
      </w:r>
    </w:p>
    <w:p w:rsidR="00500724" w:rsidRDefault="00F30FB8">
      <w:pPr>
        <w:pStyle w:val="Zkladntext40"/>
        <w:shd w:val="clear" w:color="auto" w:fill="auto"/>
        <w:spacing w:after="0" w:line="175" w:lineRule="auto"/>
        <w:ind w:firstLine="180"/>
        <w:rPr>
          <w:sz w:val="16"/>
          <w:szCs w:val="16"/>
        </w:rPr>
      </w:pPr>
      <w:r>
        <w:rPr>
          <w:b/>
          <w:bCs/>
          <w:sz w:val="16"/>
          <w:szCs w:val="16"/>
        </w:rPr>
        <w:t>„Myslím, že ano. Poslal mi je přítel Natanson.</w:t>
      </w:r>
      <w:r>
        <w:rPr>
          <w:b/>
          <w:bCs/>
          <w:sz w:val="16"/>
          <w:szCs w:val="16"/>
        </w:rPr>
        <w:t>“</w:t>
      </w:r>
    </w:p>
    <w:p w:rsidR="00500724" w:rsidRDefault="00F30FB8">
      <w:pPr>
        <w:pStyle w:val="Zkladntext40"/>
        <w:shd w:val="clear" w:color="auto" w:fill="auto"/>
        <w:spacing w:after="0" w:line="175" w:lineRule="auto"/>
        <w:ind w:firstLine="180"/>
        <w:rPr>
          <w:sz w:val="16"/>
          <w:szCs w:val="16"/>
        </w:rPr>
      </w:pPr>
      <w:r>
        <w:rPr>
          <w:b/>
          <w:bCs/>
          <w:sz w:val="16"/>
          <w:szCs w:val="16"/>
        </w:rPr>
        <w:t xml:space="preserve">Vztáhl jsem po ní ruku. ale </w:t>
      </w:r>
      <w:r>
        <w:rPr>
          <w:b/>
          <w:bCs/>
          <w:sz w:val="16"/>
          <w:szCs w:val="16"/>
          <w:lang w:val="en-US" w:eastAsia="en-US" w:bidi="en-US"/>
        </w:rPr>
        <w:t>Re</w:t>
      </w:r>
      <w:r>
        <w:rPr>
          <w:b/>
          <w:bCs/>
          <w:sz w:val="16"/>
          <w:szCs w:val="16"/>
          <w:lang w:val="en-US" w:eastAsia="en-US" w:bidi="en-US"/>
        </w:rPr>
        <w:softHyphen/>
        <w:t xml:space="preserve">noir </w:t>
      </w:r>
      <w:r>
        <w:rPr>
          <w:b/>
          <w:bCs/>
          <w:sz w:val="16"/>
          <w:szCs w:val="16"/>
        </w:rPr>
        <w:t>rychle zvolal:</w:t>
      </w:r>
    </w:p>
    <w:p w:rsidR="00500724" w:rsidRDefault="00F30FB8">
      <w:pPr>
        <w:pStyle w:val="Zkladntext40"/>
        <w:shd w:val="clear" w:color="auto" w:fill="auto"/>
        <w:spacing w:after="0" w:line="175" w:lineRule="auto"/>
        <w:ind w:firstLine="180"/>
        <w:rPr>
          <w:sz w:val="16"/>
          <w:szCs w:val="16"/>
        </w:rPr>
      </w:pPr>
      <w:r>
        <w:rPr>
          <w:b/>
          <w:bCs/>
          <w:sz w:val="16"/>
          <w:szCs w:val="16"/>
        </w:rPr>
        <w:t>„Nebourejte to. to je podložka pro nohu mého modelu!“</w:t>
      </w:r>
    </w:p>
    <w:p w:rsidR="00500724" w:rsidRDefault="00F30FB8">
      <w:pPr>
        <w:pStyle w:val="Zkladntext40"/>
        <w:shd w:val="clear" w:color="auto" w:fill="auto"/>
        <w:spacing w:after="0" w:line="175" w:lineRule="auto"/>
        <w:ind w:firstLine="180"/>
        <w:rPr>
          <w:sz w:val="16"/>
          <w:szCs w:val="16"/>
        </w:rPr>
      </w:pPr>
      <w:r>
        <w:rPr>
          <w:b/>
          <w:bCs/>
          <w:sz w:val="16"/>
          <w:szCs w:val="16"/>
          <w:lang w:val="en-US" w:eastAsia="en-US" w:bidi="en-US"/>
        </w:rPr>
        <w:t xml:space="preserve">Renoir </w:t>
      </w:r>
      <w:r>
        <w:rPr>
          <w:b/>
          <w:bCs/>
          <w:sz w:val="16"/>
          <w:szCs w:val="16"/>
        </w:rPr>
        <w:t>si sedl ke štaflím (a otevřel svou krabici s barvami. Udivil mne pořádek a čistota, kterou jsem tam spatřil. Paleta, štětce, tuby vymáč</w:t>
      </w:r>
      <w:r>
        <w:rPr>
          <w:b/>
          <w:bCs/>
          <w:sz w:val="16"/>
          <w:szCs w:val="16"/>
        </w:rPr>
        <w:softHyphen/>
        <w:t xml:space="preserve">knuté </w:t>
      </w:r>
      <w:r>
        <w:rPr>
          <w:b/>
          <w:bCs/>
          <w:sz w:val="16"/>
          <w:szCs w:val="16"/>
        </w:rPr>
        <w:t>a stočené podle toho. kolik v fnich ještě bylo barvy, všecko dě</w:t>
      </w:r>
      <w:r>
        <w:rPr>
          <w:b/>
          <w:bCs/>
          <w:sz w:val="16"/>
          <w:szCs w:val="16"/>
        </w:rPr>
        <w:softHyphen/>
        <w:t>lalo dojem přímo ženské pořádku</w:t>
      </w:r>
      <w:r>
        <w:rPr>
          <w:b/>
          <w:bCs/>
          <w:sz w:val="16"/>
          <w:szCs w:val="16"/>
        </w:rPr>
        <w:softHyphen/>
        <w:t>milovnosti.</w:t>
      </w:r>
    </w:p>
    <w:p w:rsidR="00500724" w:rsidRDefault="00F30FB8">
      <w:pPr>
        <w:pStyle w:val="Zkladntext40"/>
        <w:shd w:val="clear" w:color="auto" w:fill="auto"/>
        <w:spacing w:after="0" w:line="175" w:lineRule="auto"/>
        <w:ind w:firstLine="180"/>
        <w:rPr>
          <w:sz w:val="16"/>
          <w:szCs w:val="16"/>
        </w:rPr>
      </w:pPr>
      <w:r>
        <w:rPr>
          <w:b/>
          <w:bCs/>
          <w:sz w:val="16"/>
          <w:szCs w:val="16"/>
        </w:rPr>
        <w:t>Řekl jsem Renoirovi, jak jsem nadšen dvěma akty. které visí v jí</w:t>
      </w:r>
      <w:r>
        <w:rPr>
          <w:b/>
          <w:bCs/>
          <w:sz w:val="16"/>
          <w:szCs w:val="16"/>
        </w:rPr>
        <w:softHyphen/>
        <w:t>delně.</w:t>
      </w:r>
    </w:p>
    <w:p w:rsidR="00500724" w:rsidRDefault="00F30FB8">
      <w:pPr>
        <w:pStyle w:val="Zkladntext40"/>
        <w:shd w:val="clear" w:color="auto" w:fill="auto"/>
        <w:spacing w:after="220" w:line="175" w:lineRule="auto"/>
        <w:jc w:val="right"/>
        <w:rPr>
          <w:sz w:val="16"/>
          <w:szCs w:val="16"/>
        </w:rPr>
      </w:pPr>
      <w:r>
        <w:rPr>
          <w:b/>
          <w:bCs/>
          <w:sz w:val="16"/>
          <w:szCs w:val="16"/>
        </w:rPr>
        <w:t>„To jsou studie podle mých slu</w:t>
      </w:r>
      <w:r>
        <w:rPr>
          <w:b/>
          <w:bCs/>
          <w:sz w:val="16"/>
          <w:szCs w:val="16"/>
        </w:rPr>
        <w:softHyphen/>
        <w:t>žek. Některé byly krásně rostlé a</w:t>
      </w:r>
    </w:p>
    <w:p w:rsidR="00500724" w:rsidRDefault="00F30FB8">
      <w:pPr>
        <w:spacing w:line="1" w:lineRule="exact"/>
        <w:rPr>
          <w:sz w:val="2"/>
          <w:szCs w:val="2"/>
        </w:rPr>
      </w:pPr>
      <w:r>
        <w:br w:type="column"/>
      </w:r>
    </w:p>
    <w:p w:rsidR="00500724" w:rsidRDefault="00F30FB8">
      <w:pPr>
        <w:pStyle w:val="Zkladntext40"/>
        <w:shd w:val="clear" w:color="auto" w:fill="auto"/>
        <w:spacing w:after="0" w:line="187" w:lineRule="auto"/>
      </w:pPr>
      <w:r>
        <w:t>člověka s</w:t>
      </w:r>
      <w:r>
        <w:t>e zkušeností zvířete a na</w:t>
      </w:r>
      <w:r>
        <w:softHyphen/>
        <w:t>opak. Přibližují se sobě ctnostmi i nectnostmi, o nichž Čapek umí vy</w:t>
      </w:r>
      <w:r>
        <w:softHyphen/>
        <w:t>právět -tu se střízlivým a suchým, tu zase s bujným humorem. Ale vždy je za ním hlubší důvěrné pozorování a kus lidské moudrosti v poměru k nejbližšímu okolí.</w:t>
      </w:r>
    </w:p>
    <w:p w:rsidR="00500724" w:rsidRDefault="00F30FB8">
      <w:pPr>
        <w:pStyle w:val="Zkladntext40"/>
        <w:shd w:val="clear" w:color="auto" w:fill="auto"/>
        <w:tabs>
          <w:tab w:val="left" w:pos="931"/>
        </w:tabs>
        <w:spacing w:after="300" w:line="187" w:lineRule="auto"/>
        <w:ind w:firstLine="180"/>
      </w:pPr>
      <w:r>
        <w:t xml:space="preserve">K </w:t>
      </w:r>
      <w:r>
        <w:t>hlavním kapitolám knihy patří vyprávění o fenkách Mindě a Iris a o životě štěněte, o Dášeňce. Z rozmarně psaných a obrázky autorovými i Josefa Čapka dopro</w:t>
      </w:r>
      <w:r>
        <w:softHyphen/>
        <w:t>vázených zkušeností obšťastnělého i utrápeného chovatele psího ple</w:t>
      </w:r>
      <w:r>
        <w:softHyphen/>
        <w:t>mene se tu bezmála dospívá ke ka</w:t>
      </w:r>
      <w:r>
        <w:softHyphen/>
        <w:t>p</w:t>
      </w:r>
      <w:r>
        <w:t>itolám odborně kynologickým, v nichž se vykládá o psích rasách, plemenitbě a chovu, v čemž je zá</w:t>
      </w:r>
      <w:r>
        <w:softHyphen/>
        <w:t>roveň už obsaženo kus vážného po</w:t>
      </w:r>
      <w:r>
        <w:softHyphen/>
        <w:t>učení pro městské chovatele psů utlačující všechnu přirozenost do</w:t>
      </w:r>
      <w:r>
        <w:softHyphen/>
        <w:t>mácích zvířat. V drobných kapitol</w:t>
      </w:r>
      <w:r>
        <w:softHyphen/>
        <w:t>kách se stále opakují a ro</w:t>
      </w:r>
      <w:r>
        <w:t>zvádějí některé základní potřeby, k nimž Čapek dospěl svým pozorováním a srovnáváním života, chování, zvyků, a sklonů psů a koček, z nichž pak také humorně vyvozuje určité zá</w:t>
      </w:r>
      <w:r>
        <w:softHyphen/>
        <w:t>kony zvířecí psychologie. K hle</w:t>
      </w:r>
      <w:r>
        <w:softHyphen/>
        <w:t>dané a oblíbené četbě o zvířatech podala česká li</w:t>
      </w:r>
      <w:r>
        <w:t>teratura v Čapkově knize Měl jsem p s a a kočku umělecky význačný a obsahově poutavý přírůstek. Po</w:t>
      </w:r>
      <w:r>
        <w:softHyphen/>
        <w:t>tvrdil to již dřívější překlad Dá- šeňky do několika světových ja</w:t>
      </w:r>
      <w:r>
        <w:softHyphen/>
        <w:t>zyků.</w:t>
      </w:r>
      <w:r>
        <w:tab/>
      </w:r>
      <w:r>
        <w:rPr>
          <w:i/>
          <w:iCs/>
        </w:rPr>
        <w:t>Národní práce 2.</w:t>
      </w:r>
      <w:r>
        <w:t xml:space="preserve"> 7. </w:t>
      </w:r>
      <w:r>
        <w:rPr>
          <w:i/>
          <w:iCs/>
        </w:rPr>
        <w:t>39.</w:t>
      </w:r>
    </w:p>
    <w:p w:rsidR="00500724" w:rsidRDefault="00F30FB8">
      <w:pPr>
        <w:pStyle w:val="Zkladntext40"/>
        <w:shd w:val="clear" w:color="auto" w:fill="auto"/>
        <w:spacing w:after="0" w:line="173" w:lineRule="auto"/>
        <w:rPr>
          <w:sz w:val="16"/>
          <w:szCs w:val="16"/>
        </w:rPr>
      </w:pPr>
      <w:r>
        <w:rPr>
          <w:b/>
          <w:bCs/>
          <w:sz w:val="16"/>
          <w:szCs w:val="16"/>
        </w:rPr>
        <w:t>stály mi modelem jako andělé. Mu</w:t>
      </w:r>
      <w:r>
        <w:rPr>
          <w:b/>
          <w:bCs/>
          <w:sz w:val="16"/>
          <w:szCs w:val="16"/>
        </w:rPr>
        <w:softHyphen/>
        <w:t>sím však podotknout, že jsem</w:t>
      </w:r>
      <w:r>
        <w:rPr>
          <w:b/>
          <w:bCs/>
          <w:sz w:val="16"/>
          <w:szCs w:val="16"/>
        </w:rPr>
        <w:t xml:space="preserve"> leh</w:t>
      </w:r>
      <w:r>
        <w:rPr>
          <w:b/>
          <w:bCs/>
          <w:sz w:val="16"/>
          <w:szCs w:val="16"/>
        </w:rPr>
        <w:softHyphen/>
        <w:t>ce (spokojen, jen když najdu pleť. která neodpuzuje světlo. Nevím, jak to jiní dělají, že dovedou ma</w:t>
      </w:r>
      <w:r>
        <w:rPr>
          <w:b/>
          <w:bCs/>
          <w:sz w:val="16"/>
          <w:szCs w:val="16"/>
        </w:rPr>
        <w:softHyphen/>
        <w:t>lovat dámy ze ispolečnosti. Viděl jste někdy ženu ze společnosti s ru</w:t>
      </w:r>
      <w:r>
        <w:rPr>
          <w:b/>
          <w:bCs/>
          <w:sz w:val="16"/>
          <w:szCs w:val="16"/>
        </w:rPr>
        <w:softHyphen/>
        <w:t>kama. které by 'bylo radost malo</w:t>
      </w:r>
      <w:r>
        <w:rPr>
          <w:b/>
          <w:bCs/>
          <w:sz w:val="16"/>
          <w:szCs w:val="16"/>
        </w:rPr>
        <w:softHyphen/>
        <w:t>vat? A já tak rád maluji ženské ruce. ale jenom</w:t>
      </w:r>
      <w:r>
        <w:rPr>
          <w:b/>
          <w:bCs/>
          <w:sz w:val="16"/>
          <w:szCs w:val="16"/>
        </w:rPr>
        <w:t xml:space="preserve"> takové, které dělají domácí práce. V Římě je ve vile Farnesině Venuše od Rafaela, která přichází (prosit Jupitera. Ta má ruce. — to je rozkoš! Je na ní vidět dobrá, tlustá kmotra, která se zase vrátí do kuchyně. </w:t>
      </w:r>
      <w:r>
        <w:rPr>
          <w:b/>
          <w:bCs/>
          <w:sz w:val="16"/>
          <w:szCs w:val="16"/>
          <w:lang w:val="en-US" w:eastAsia="en-US" w:bidi="en-US"/>
        </w:rPr>
        <w:t xml:space="preserve">Stendhal </w:t>
      </w:r>
      <w:r>
        <w:rPr>
          <w:b/>
          <w:bCs/>
          <w:sz w:val="16"/>
          <w:szCs w:val="16"/>
        </w:rPr>
        <w:t>proto tvrdil, že jsou Rafaelovy že</w:t>
      </w:r>
      <w:r>
        <w:rPr>
          <w:b/>
          <w:bCs/>
          <w:sz w:val="16"/>
          <w:szCs w:val="16"/>
        </w:rPr>
        <w:t>ny sprosté a (těžké!“</w:t>
      </w:r>
    </w:p>
    <w:p w:rsidR="00500724" w:rsidRDefault="00F30FB8">
      <w:pPr>
        <w:pStyle w:val="Zkladntext40"/>
        <w:shd w:val="clear" w:color="auto" w:fill="auto"/>
        <w:spacing w:after="0" w:line="173" w:lineRule="auto"/>
        <w:ind w:firstLine="180"/>
        <w:rPr>
          <w:sz w:val="16"/>
          <w:szCs w:val="16"/>
        </w:rPr>
      </w:pPr>
      <w:r>
        <w:rPr>
          <w:b/>
          <w:bCs/>
          <w:sz w:val="16"/>
          <w:szCs w:val="16"/>
        </w:rPr>
        <w:t>Příchod modelu přerušil rozmlu</w:t>
      </w:r>
      <w:r>
        <w:rPr>
          <w:b/>
          <w:bCs/>
          <w:sz w:val="16"/>
          <w:szCs w:val="16"/>
        </w:rPr>
        <w:softHyphen/>
        <w:t>vu. Rozloučil jsem 6e s malířem a vyžádal jsem si dovolení, abych ho směl opět navštívit.</w:t>
      </w:r>
    </w:p>
    <w:p w:rsidR="00500724" w:rsidRDefault="00F30FB8">
      <w:pPr>
        <w:pStyle w:val="Zkladntext40"/>
        <w:shd w:val="clear" w:color="auto" w:fill="auto"/>
        <w:spacing w:after="0" w:line="173" w:lineRule="auto"/>
        <w:ind w:firstLine="180"/>
        <w:rPr>
          <w:sz w:val="16"/>
          <w:szCs w:val="16"/>
        </w:rPr>
      </w:pPr>
      <w:r>
        <w:rPr>
          <w:b/>
          <w:bCs/>
          <w:sz w:val="16"/>
          <w:szCs w:val="16"/>
        </w:rPr>
        <w:t>„Kdykoliv budete chtít. Ale nej</w:t>
      </w:r>
      <w:r>
        <w:rPr>
          <w:b/>
          <w:bCs/>
          <w:sz w:val="16"/>
          <w:szCs w:val="16"/>
        </w:rPr>
        <w:softHyphen/>
        <w:t>raději 'za soumraku, po skončení práce.“</w:t>
      </w:r>
    </w:p>
    <w:p w:rsidR="00500724" w:rsidRDefault="00F30FB8">
      <w:pPr>
        <w:pStyle w:val="Zkladntext40"/>
        <w:shd w:val="clear" w:color="auto" w:fill="auto"/>
        <w:spacing w:after="0" w:line="173" w:lineRule="auto"/>
        <w:ind w:firstLine="180"/>
        <w:rPr>
          <w:sz w:val="16"/>
          <w:szCs w:val="16"/>
        </w:rPr>
      </w:pPr>
      <w:r>
        <w:rPr>
          <w:b/>
          <w:bCs/>
          <w:sz w:val="16"/>
          <w:szCs w:val="16"/>
        </w:rPr>
        <w:t xml:space="preserve">Domyslíte si, jak horlivě jsem využil </w:t>
      </w:r>
      <w:r>
        <w:rPr>
          <w:b/>
          <w:bCs/>
          <w:sz w:val="16"/>
          <w:szCs w:val="16"/>
        </w:rPr>
        <w:t>tohoto dovolení.</w:t>
      </w:r>
    </w:p>
    <w:p w:rsidR="00500724" w:rsidRDefault="00F30FB8">
      <w:pPr>
        <w:pStyle w:val="Zkladntext40"/>
        <w:shd w:val="clear" w:color="auto" w:fill="auto"/>
        <w:spacing w:after="0" w:line="173" w:lineRule="auto"/>
        <w:ind w:firstLine="180"/>
        <w:rPr>
          <w:sz w:val="16"/>
          <w:szCs w:val="16"/>
        </w:rPr>
      </w:pPr>
      <w:r>
        <w:rPr>
          <w:b/>
          <w:bCs/>
          <w:sz w:val="16"/>
          <w:szCs w:val="16"/>
        </w:rPr>
        <w:t>Za týden jsem byl zase u Re</w:t>
      </w:r>
      <w:r>
        <w:rPr>
          <w:b/>
          <w:bCs/>
          <w:sz w:val="16"/>
          <w:szCs w:val="16"/>
        </w:rPr>
        <w:softHyphen/>
        <w:t>noira. Bylo ' to večer po večeři. Právě si lehl do postele.</w:t>
      </w:r>
    </w:p>
    <w:p w:rsidR="00500724" w:rsidRDefault="00F30FB8">
      <w:pPr>
        <w:pStyle w:val="Zkladntext40"/>
        <w:shd w:val="clear" w:color="auto" w:fill="auto"/>
        <w:spacing w:after="0" w:line="173" w:lineRule="auto"/>
        <w:ind w:firstLine="180"/>
      </w:pPr>
      <w:r>
        <w:rPr>
          <w:b/>
          <w:bCs/>
          <w:sz w:val="16"/>
          <w:szCs w:val="16"/>
        </w:rPr>
        <w:t>Jsem dnes sám doma a lehl jsem si dříve než obyčejně. Gabri</w:t>
      </w:r>
      <w:r>
        <w:rPr>
          <w:b/>
          <w:bCs/>
          <w:sz w:val="16"/>
          <w:szCs w:val="16"/>
        </w:rPr>
        <w:softHyphen/>
        <w:t xml:space="preserve">ela mi bude předčítat. Zva vás k této malé slavnosti.“ </w:t>
      </w:r>
      <w:r>
        <w:rPr>
          <w:i/>
          <w:iCs/>
        </w:rPr>
        <w:t>I</w:t>
      </w:r>
    </w:p>
    <w:p w:rsidR="00500724" w:rsidRDefault="00F30FB8">
      <w:pPr>
        <w:pStyle w:val="Zkladntext40"/>
        <w:shd w:val="clear" w:color="auto" w:fill="auto"/>
        <w:spacing w:after="0"/>
        <w:ind w:firstLine="180"/>
        <w:rPr>
          <w:sz w:val="16"/>
          <w:szCs w:val="16"/>
        </w:rPr>
      </w:pPr>
      <w:r>
        <w:rPr>
          <w:b/>
          <w:bCs/>
          <w:i/>
          <w:iCs/>
        </w:rPr>
        <w:t>„Četl</w:t>
      </w:r>
      <w:r>
        <w:rPr>
          <w:b/>
          <w:bCs/>
          <w:sz w:val="16"/>
          <w:szCs w:val="16"/>
        </w:rPr>
        <w:t xml:space="preserve"> jste v novinách, pane Re- no</w:t>
      </w:r>
      <w:r>
        <w:rPr>
          <w:b/>
          <w:bCs/>
          <w:sz w:val="16"/>
          <w:szCs w:val="16"/>
        </w:rPr>
        <w:t xml:space="preserve">ire. že </w:t>
      </w:r>
      <w:r>
        <w:rPr>
          <w:b/>
          <w:bCs/>
          <w:sz w:val="16"/>
          <w:szCs w:val="16"/>
          <w:lang w:val="en-US" w:eastAsia="en-US" w:bidi="en-US"/>
        </w:rPr>
        <w:t xml:space="preserve">pan </w:t>
      </w:r>
      <w:r>
        <w:rPr>
          <w:b/>
          <w:bCs/>
          <w:sz w:val="16"/>
          <w:szCs w:val="16"/>
        </w:rPr>
        <w:t>X. byl jmenován ry</w:t>
      </w:r>
      <w:r>
        <w:rPr>
          <w:b/>
          <w:bCs/>
          <w:sz w:val="16"/>
          <w:szCs w:val="16"/>
        </w:rPr>
        <w:softHyphen/>
        <w:t>tířem cizinecké legie?“ řekla Ga</w:t>
      </w:r>
      <w:r>
        <w:rPr>
          <w:b/>
          <w:bCs/>
          <w:sz w:val="16"/>
          <w:szCs w:val="16"/>
        </w:rPr>
        <w:softHyphen/>
        <w:t>briela.</w:t>
      </w:r>
    </w:p>
    <w:p w:rsidR="00500724" w:rsidRDefault="00F30FB8">
      <w:pPr>
        <w:pStyle w:val="Zkladntext40"/>
        <w:shd w:val="clear" w:color="auto" w:fill="auto"/>
        <w:spacing w:after="0" w:line="173" w:lineRule="auto"/>
        <w:ind w:firstLine="180"/>
        <w:rPr>
          <w:sz w:val="16"/>
          <w:szCs w:val="16"/>
        </w:rPr>
      </w:pPr>
      <w:r>
        <w:rPr>
          <w:b/>
          <w:bCs/>
          <w:sz w:val="16"/>
          <w:szCs w:val="16"/>
        </w:rPr>
        <w:t>„Čestné legie. Gabrielo.*'</w:t>
      </w:r>
    </w:p>
    <w:p w:rsidR="00500724" w:rsidRDefault="00F30FB8">
      <w:pPr>
        <w:pStyle w:val="Zkladntext40"/>
        <w:shd w:val="clear" w:color="auto" w:fill="auto"/>
        <w:tabs>
          <w:tab w:val="left" w:pos="2551"/>
        </w:tabs>
        <w:spacing w:after="0" w:line="173" w:lineRule="auto"/>
        <w:ind w:firstLine="180"/>
        <w:rPr>
          <w:sz w:val="16"/>
          <w:szCs w:val="16"/>
        </w:rPr>
      </w:pPr>
      <w:r>
        <w:rPr>
          <w:b/>
          <w:bCs/>
          <w:sz w:val="16"/>
          <w:szCs w:val="16"/>
        </w:rPr>
        <w:t>A Gabriela:</w:t>
      </w:r>
      <w:r>
        <w:rPr>
          <w:b/>
          <w:bCs/>
          <w:sz w:val="16"/>
          <w:szCs w:val="16"/>
        </w:rPr>
        <w:tab/>
        <w:t>.</w:t>
      </w:r>
    </w:p>
    <w:p w:rsidR="00500724" w:rsidRDefault="00F30FB8">
      <w:pPr>
        <w:pStyle w:val="Zkladntext40"/>
        <w:shd w:val="clear" w:color="auto" w:fill="auto"/>
        <w:spacing w:after="0" w:line="173" w:lineRule="auto"/>
        <w:ind w:firstLine="180"/>
        <w:rPr>
          <w:sz w:val="16"/>
          <w:szCs w:val="16"/>
        </w:rPr>
      </w:pPr>
      <w:r>
        <w:rPr>
          <w:b/>
          <w:bCs/>
          <w:sz w:val="16"/>
          <w:szCs w:val="16"/>
        </w:rPr>
        <w:t>„Aha, já jsem myslela.“ (Pokr.)</w:t>
      </w:r>
    </w:p>
    <w:p w:rsidR="00500724" w:rsidRDefault="00F30FB8">
      <w:pPr>
        <w:spacing w:line="1" w:lineRule="exact"/>
        <w:rPr>
          <w:sz w:val="2"/>
          <w:szCs w:val="2"/>
        </w:rPr>
      </w:pPr>
      <w:r>
        <w:br w:type="column"/>
      </w:r>
    </w:p>
    <w:p w:rsidR="00500724" w:rsidRDefault="00F30FB8">
      <w:pPr>
        <w:pStyle w:val="Zkladntext100"/>
        <w:shd w:val="clear" w:color="auto" w:fill="auto"/>
        <w:spacing w:after="80" w:line="194" w:lineRule="auto"/>
        <w:ind w:firstLine="0"/>
        <w:rPr>
          <w:sz w:val="17"/>
          <w:szCs w:val="17"/>
        </w:rPr>
      </w:pPr>
      <w:r>
        <w:rPr>
          <w:i/>
          <w:iCs/>
          <w:sz w:val="17"/>
          <w:szCs w:val="17"/>
        </w:rPr>
        <w:t>Frant. Oberpfalcer:</w:t>
      </w:r>
    </w:p>
    <w:p w:rsidR="00500724" w:rsidRDefault="00F30FB8">
      <w:pPr>
        <w:pStyle w:val="Zkladntext100"/>
        <w:shd w:val="clear" w:color="auto" w:fill="auto"/>
        <w:spacing w:after="80" w:line="185" w:lineRule="auto"/>
        <w:ind w:firstLine="0"/>
      </w:pPr>
      <w:r>
        <w:rPr>
          <w:b/>
          <w:bCs/>
        </w:rPr>
        <w:t>STUDIUM LIDOVÉ MLUVY*)</w:t>
      </w:r>
    </w:p>
    <w:p w:rsidR="00500724" w:rsidRDefault="00F30FB8">
      <w:pPr>
        <w:pStyle w:val="Zkladntext100"/>
        <w:shd w:val="clear" w:color="auto" w:fill="auto"/>
        <w:spacing w:line="194" w:lineRule="auto"/>
        <w:ind w:firstLine="180"/>
        <w:rPr>
          <w:sz w:val="17"/>
          <w:szCs w:val="17"/>
        </w:rPr>
      </w:pPr>
      <w:r>
        <w:rPr>
          <w:i/>
          <w:iCs/>
          <w:sz w:val="17"/>
          <w:szCs w:val="17"/>
        </w:rPr>
        <w:t>Je to studium lidové mluvy, jež sounáležitost všech Čechů mnoho</w:t>
      </w:r>
      <w:r>
        <w:rPr>
          <w:i/>
          <w:iCs/>
          <w:sz w:val="17"/>
          <w:szCs w:val="17"/>
        </w:rPr>
        <w:softHyphen/>
      </w:r>
      <w:r>
        <w:rPr>
          <w:i/>
          <w:iCs/>
          <w:sz w:val="17"/>
          <w:szCs w:val="17"/>
        </w:rPr>
        <w:t>násobně potvrzuje. Lid byl prvním našim buditelům strážcem národ</w:t>
      </w:r>
      <w:r>
        <w:rPr>
          <w:i/>
          <w:iCs/>
          <w:sz w:val="17"/>
          <w:szCs w:val="17"/>
        </w:rPr>
        <w:softHyphen/>
        <w:t>ního 'svérázu. Horlivě se pak účast</w:t>
      </w:r>
      <w:r>
        <w:rPr>
          <w:i/>
          <w:iCs/>
          <w:sz w:val="17"/>
          <w:szCs w:val="17"/>
        </w:rPr>
        <w:softHyphen/>
        <w:t>nil bojů za práva českého národa. V staletých zápasech se znamenitě otužil a politicky vyzrál, což nád</w:t>
      </w:r>
      <w:r>
        <w:rPr>
          <w:i/>
          <w:iCs/>
          <w:sz w:val="17"/>
          <w:szCs w:val="17"/>
        </w:rPr>
        <w:softHyphen/>
        <w:t>herně ukázal v událostech poslední doby. Velikou lás</w:t>
      </w:r>
      <w:r>
        <w:rPr>
          <w:i/>
          <w:iCs/>
          <w:sz w:val="17"/>
          <w:szCs w:val="17"/>
        </w:rPr>
        <w:t>ku k vlasti osvěd</w:t>
      </w:r>
      <w:r>
        <w:rPr>
          <w:i/>
          <w:iCs/>
          <w:sz w:val="17"/>
          <w:szCs w:val="17"/>
        </w:rPr>
        <w:softHyphen/>
        <w:t>čil i městský dělník: bezzemek, ne</w:t>
      </w:r>
      <w:r>
        <w:rPr>
          <w:i/>
          <w:iCs/>
          <w:sz w:val="17"/>
          <w:szCs w:val="17"/>
        </w:rPr>
        <w:softHyphen/>
        <w:t>znalý krás české domoviny, cítil, že jsou v sázce hodnoty, které stoji za oběti nejvyšší, dovedl se čes</w:t>
      </w:r>
      <w:r>
        <w:rPr>
          <w:i/>
          <w:iCs/>
          <w:sz w:val="17"/>
          <w:szCs w:val="17"/>
        </w:rPr>
        <w:softHyphen/>
        <w:t>ký člověk podrobit vnějším podmín</w:t>
      </w:r>
      <w:r>
        <w:rPr>
          <w:i/>
          <w:iCs/>
          <w:sz w:val="17"/>
          <w:szCs w:val="17"/>
        </w:rPr>
        <w:softHyphen/>
        <w:t>kám s vyrovnaným klidem a upjal svůj pohled k novým úkolům.</w:t>
      </w:r>
    </w:p>
    <w:p w:rsidR="00500724" w:rsidRDefault="00F30FB8">
      <w:pPr>
        <w:pStyle w:val="Zkladntext100"/>
        <w:shd w:val="clear" w:color="auto" w:fill="auto"/>
        <w:spacing w:line="194" w:lineRule="auto"/>
        <w:ind w:firstLine="180"/>
        <w:rPr>
          <w:sz w:val="17"/>
          <w:szCs w:val="17"/>
        </w:rPr>
      </w:pPr>
      <w:r>
        <w:rPr>
          <w:i/>
          <w:iCs/>
          <w:sz w:val="17"/>
          <w:szCs w:val="17"/>
        </w:rPr>
        <w:t>Vysok</w:t>
      </w:r>
      <w:r>
        <w:rPr>
          <w:i/>
          <w:iCs/>
          <w:sz w:val="17"/>
          <w:szCs w:val="17"/>
        </w:rPr>
        <w:t>o se dnes cení zdravý roz</w:t>
      </w:r>
      <w:r>
        <w:rPr>
          <w:i/>
          <w:iCs/>
          <w:sz w:val="17"/>
          <w:szCs w:val="17"/>
        </w:rPr>
        <w:softHyphen/>
        <w:t>um \a střízlivá soudnost našeho lidu. Tep jeho krve bije také v řeči. I k té se musíme obracet, když se soustřeďujeme ke kořenům své národní podstaty. Ústrojnosti a svérázu lidové mluvy se podivo</w:t>
      </w:r>
      <w:r>
        <w:rPr>
          <w:i/>
          <w:iCs/>
          <w:sz w:val="17"/>
          <w:szCs w:val="17"/>
        </w:rPr>
        <w:softHyphen/>
        <w:t>vali už v minulosti vynikající zna</w:t>
      </w:r>
      <w:r>
        <w:rPr>
          <w:i/>
          <w:iCs/>
          <w:sz w:val="17"/>
          <w:szCs w:val="17"/>
        </w:rPr>
        <w:t>l</w:t>
      </w:r>
      <w:r>
        <w:rPr>
          <w:i/>
          <w:iCs/>
          <w:sz w:val="17"/>
          <w:szCs w:val="17"/>
        </w:rPr>
        <w:softHyphen/>
        <w:t>ci našeho jazyka. Proto zajdeme na besedu do těch pomezních krajů, v nichž jsme shledali tolik vzájem</w:t>
      </w:r>
      <w:r>
        <w:rPr>
          <w:i/>
          <w:iCs/>
          <w:sz w:val="17"/>
          <w:szCs w:val="17"/>
        </w:rPr>
        <w:softHyphen/>
        <w:t>ných vztahů. Z dialektické pest</w:t>
      </w:r>
      <w:r>
        <w:rPr>
          <w:i/>
          <w:iCs/>
          <w:sz w:val="17"/>
          <w:szCs w:val="17"/>
        </w:rPr>
        <w:softHyphen/>
        <w:t>rosti naší jazykové oblasti si vy</w:t>
      </w:r>
      <w:r>
        <w:rPr>
          <w:i/>
          <w:iCs/>
          <w:sz w:val="17"/>
          <w:szCs w:val="17"/>
        </w:rPr>
        <w:softHyphen/>
        <w:t xml:space="preserve">bereme čtyři nářečí v hlavních úhlech Čech a Moravy. Vyjdeme od severu, odtud se dáme </w:t>
      </w:r>
      <w:r>
        <w:rPr>
          <w:i/>
          <w:iCs/>
          <w:sz w:val="17"/>
          <w:szCs w:val="17"/>
        </w:rPr>
        <w:t>na západ a k jihu. Tyto tři body jsou v Če</w:t>
      </w:r>
      <w:r>
        <w:rPr>
          <w:i/>
          <w:iCs/>
          <w:sz w:val="17"/>
          <w:szCs w:val="17"/>
        </w:rPr>
        <w:softHyphen/>
        <w:t>chách; to je dáno přirozenou po</w:t>
      </w:r>
      <w:r>
        <w:rPr>
          <w:i/>
          <w:iCs/>
          <w:sz w:val="17"/>
          <w:szCs w:val="17"/>
        </w:rPr>
        <w:softHyphen/>
        <w:t>dobou naší země. Do šíře je naše vlast protáhlá a východní kraj má až tam, kde se stýkáme s Poláky. Čím 'dále od Prahy, tim je rozdílů v řeči více. Historický vývoj na</w:t>
      </w:r>
      <w:r>
        <w:rPr>
          <w:i/>
          <w:iCs/>
          <w:sz w:val="17"/>
          <w:szCs w:val="17"/>
        </w:rPr>
        <w:softHyphen/>
        <w:t>šeho jazyka u</w:t>
      </w:r>
      <w:r>
        <w:rPr>
          <w:i/>
          <w:iCs/>
          <w:sz w:val="17"/>
          <w:szCs w:val="17"/>
        </w:rPr>
        <w:t>kazuje, že změny vy</w:t>
      </w:r>
      <w:r>
        <w:rPr>
          <w:i/>
          <w:iCs/>
          <w:sz w:val="17"/>
          <w:szCs w:val="17"/>
        </w:rPr>
        <w:softHyphen/>
        <w:t>cházely z Čech a směrem k výcho</w:t>
      </w:r>
      <w:r>
        <w:rPr>
          <w:i/>
          <w:iCs/>
          <w:sz w:val="17"/>
          <w:szCs w:val="17"/>
        </w:rPr>
        <w:softHyphen/>
        <w:t>du se síla měnivých tendencí osla</w:t>
      </w:r>
      <w:r>
        <w:rPr>
          <w:i/>
          <w:iCs/>
          <w:sz w:val="17"/>
          <w:szCs w:val="17"/>
        </w:rPr>
        <w:softHyphen/>
        <w:t>bovala. Proto jsme &lt;u Lachů nachá</w:t>
      </w:r>
      <w:r>
        <w:rPr>
          <w:i/>
          <w:iCs/>
          <w:sz w:val="17"/>
          <w:szCs w:val="17"/>
        </w:rPr>
        <w:softHyphen/>
        <w:t>zeli tolik paralel k archaismům okrajových oblasti českých. Lašské nářečí má také mnoho poučného pro studium vzájemných vlivů dvou příbu</w:t>
      </w:r>
      <w:r>
        <w:rPr>
          <w:i/>
          <w:iCs/>
          <w:sz w:val="17"/>
          <w:szCs w:val="17"/>
        </w:rPr>
        <w:t>zných jazyků, které jsou v odvěkém kontaktu, t. j. češtiny a polštiny. Jazykovou cestu po hra</w:t>
      </w:r>
      <w:r>
        <w:rPr>
          <w:i/>
          <w:iCs/>
          <w:sz w:val="17"/>
          <w:szCs w:val="17"/>
        </w:rPr>
        <w:softHyphen/>
        <w:t>nicích našeho národa ukončíme v pásmu, jež se od Hanáků na se</w:t>
      </w:r>
      <w:r>
        <w:rPr>
          <w:i/>
          <w:iCs/>
          <w:sz w:val="17"/>
          <w:szCs w:val="17"/>
        </w:rPr>
        <w:softHyphen/>
        <w:t>verní Moravě přes město Zábřeh táhne po německém území do vý</w:t>
      </w:r>
      <w:r>
        <w:rPr>
          <w:i/>
          <w:iCs/>
          <w:sz w:val="17"/>
          <w:szCs w:val="17"/>
        </w:rPr>
        <w:softHyphen/>
        <w:t>chodních Čech. Tato úzká šíje jest jako</w:t>
      </w:r>
      <w:r>
        <w:rPr>
          <w:i/>
          <w:iCs/>
          <w:sz w:val="17"/>
          <w:szCs w:val="17"/>
        </w:rPr>
        <w:t>by ruka, kterou moravská češ</w:t>
      </w:r>
      <w:r>
        <w:rPr>
          <w:i/>
          <w:iCs/>
          <w:sz w:val="17"/>
          <w:szCs w:val="17"/>
        </w:rPr>
        <w:softHyphen/>
        <w:t>tina ukazuje do Čech, k severu, jenž jest naším východištěm.</w:t>
      </w:r>
    </w:p>
    <w:p w:rsidR="00500724" w:rsidRDefault="00F30FB8">
      <w:pPr>
        <w:pStyle w:val="Zkladntext100"/>
        <w:shd w:val="clear" w:color="auto" w:fill="auto"/>
        <w:spacing w:after="100" w:line="194" w:lineRule="auto"/>
        <w:ind w:firstLine="180"/>
        <w:rPr>
          <w:sz w:val="17"/>
          <w:szCs w:val="17"/>
        </w:rPr>
      </w:pPr>
      <w:r>
        <w:rPr>
          <w:i/>
          <w:iCs/>
          <w:sz w:val="17"/>
          <w:szCs w:val="17"/>
        </w:rPr>
        <w:t xml:space="preserve">Máme mnoho příčin, abychom si pozorně všímali českého lidu. Jeho řeč nás vábí svou přirozeností, prvým poměrem k věcem a lidem jsou naše vztahy k rodnému kraji tím </w:t>
      </w:r>
      <w:r>
        <w:rPr>
          <w:i/>
          <w:iCs/>
          <w:sz w:val="17"/>
          <w:szCs w:val="17"/>
        </w:rPr>
        <w:t>vroucnější. Z hloubi duše k nám mluvi verše velkých umělců slova, na př. Sovovy strofy o na</w:t>
      </w:r>
      <w:r>
        <w:rPr>
          <w:i/>
          <w:iCs/>
          <w:sz w:val="17"/>
          <w:szCs w:val="17"/>
        </w:rPr>
        <w:softHyphen/>
        <w:t>šich polích:</w:t>
      </w:r>
    </w:p>
    <w:p w:rsidR="00500724" w:rsidRDefault="00F30FB8">
      <w:pPr>
        <w:pStyle w:val="Zkladntext100"/>
        <w:shd w:val="clear" w:color="auto" w:fill="auto"/>
        <w:spacing w:line="204" w:lineRule="auto"/>
        <w:ind w:firstLine="0"/>
        <w:jc w:val="right"/>
        <w:rPr>
          <w:sz w:val="17"/>
          <w:szCs w:val="17"/>
        </w:rPr>
      </w:pPr>
      <w:r>
        <w:rPr>
          <w:i/>
          <w:iCs/>
          <w:sz w:val="17"/>
          <w:szCs w:val="17"/>
        </w:rPr>
        <w:t>Kam dohlédneš, jdou dlouhé řady poli,</w:t>
      </w:r>
    </w:p>
    <w:p w:rsidR="00500724" w:rsidRDefault="00F30FB8">
      <w:pPr>
        <w:pStyle w:val="Zkladntext100"/>
        <w:shd w:val="clear" w:color="auto" w:fill="auto"/>
        <w:spacing w:after="40" w:line="204" w:lineRule="auto"/>
        <w:ind w:firstLine="0"/>
        <w:rPr>
          <w:sz w:val="17"/>
          <w:szCs w:val="17"/>
        </w:rPr>
        <w:sectPr w:rsidR="00500724">
          <w:footnotePr>
            <w:numFmt w:val="chicago"/>
            <w:numRestart w:val="eachPage"/>
          </w:footnotePr>
          <w:type w:val="continuous"/>
          <w:pgSz w:w="11909" w:h="16834"/>
          <w:pgMar w:top="2900" w:right="683" w:bottom="860" w:left="535" w:header="0" w:footer="3" w:gutter="0"/>
          <w:cols w:num="4" w:sep="1" w:space="100"/>
          <w:noEndnote/>
          <w:docGrid w:linePitch="360"/>
        </w:sectPr>
      </w:pPr>
      <w:r>
        <w:rPr>
          <w:i/>
          <w:iCs/>
          <w:sz w:val="17"/>
          <w:szCs w:val="17"/>
        </w:rPr>
        <w:t>z jablůněk přečnívají střechy chat. Lid zachutnal ti země drsnou solí a ty jej mus</w:t>
      </w:r>
      <w:r>
        <w:rPr>
          <w:i/>
          <w:iCs/>
          <w:sz w:val="17"/>
          <w:szCs w:val="17"/>
        </w:rPr>
        <w:t>íš, musíš milovat . . .</w:t>
      </w:r>
    </w:p>
    <w:p w:rsidR="00500724" w:rsidRDefault="00F30FB8">
      <w:pPr>
        <w:pStyle w:val="Nadpis40"/>
        <w:keepNext/>
        <w:keepLines/>
        <w:shd w:val="clear" w:color="auto" w:fill="auto"/>
      </w:pPr>
      <w:bookmarkStart w:id="820" w:name="bookmark819"/>
      <w:r>
        <w:t>IřítoiímostL</w:t>
      </w:r>
      <w:bookmarkEnd w:id="820"/>
    </w:p>
    <w:p w:rsidR="00500724" w:rsidRDefault="00F30FB8">
      <w:pPr>
        <w:spacing w:line="14" w:lineRule="exact"/>
        <w:sectPr w:rsidR="00500724">
          <w:footnotePr>
            <w:numFmt w:val="chicago"/>
            <w:numRestart w:val="eachPage"/>
          </w:footnotePr>
          <w:pgSz w:w="11909" w:h="16834"/>
          <w:pgMar w:top="817" w:right="380" w:bottom="814" w:left="308" w:header="0" w:footer="3" w:gutter="0"/>
          <w:cols w:space="720"/>
          <w:noEndnote/>
          <w:docGrid w:linePitch="360"/>
        </w:sectPr>
      </w:pPr>
      <w:r>
        <w:rPr>
          <w:noProof/>
        </w:rPr>
        <mc:AlternateContent>
          <mc:Choice Requires="wps">
            <w:drawing>
              <wp:anchor distT="54610" distB="0" distL="114300" distR="5622290" simplePos="0" relativeHeight="125830176" behindDoc="0" locked="0" layoutInCell="1" allowOverlap="1">
                <wp:simplePos x="0" y="0"/>
                <wp:positionH relativeFrom="page">
                  <wp:posOffset>444500</wp:posOffset>
                </wp:positionH>
                <wp:positionV relativeFrom="paragraph">
                  <wp:posOffset>63500</wp:posOffset>
                </wp:positionV>
                <wp:extent cx="1222375" cy="186055"/>
                <wp:effectExtent l="0" t="0" r="0" b="0"/>
                <wp:wrapTopAndBottom/>
                <wp:docPr id="799" name="Shape 799"/>
                <wp:cNvGraphicFramePr/>
                <a:graphic xmlns:a="http://schemas.openxmlformats.org/drawingml/2006/main">
                  <a:graphicData uri="http://schemas.microsoft.com/office/word/2010/wordprocessingShape">
                    <wps:wsp>
                      <wps:cNvSpPr txBox="1"/>
                      <wps:spPr>
                        <a:xfrm>
                          <a:off x="0" y="0"/>
                          <a:ext cx="1222375" cy="186055"/>
                        </a:xfrm>
                        <a:prstGeom prst="rect">
                          <a:avLst/>
                        </a:prstGeom>
                        <a:noFill/>
                      </wps:spPr>
                      <wps:txbx>
                        <w:txbxContent>
                          <w:p w:rsidR="00500724" w:rsidRDefault="00F30FB8">
                            <w:pPr>
                              <w:pStyle w:val="Zkladntext20"/>
                              <w:shd w:val="clear" w:color="auto" w:fill="auto"/>
                              <w:spacing w:line="240" w:lineRule="auto"/>
                              <w:ind w:firstLine="0"/>
                              <w:jc w:val="left"/>
                            </w:pPr>
                            <w:r>
                              <w:rPr>
                                <w:b/>
                                <w:bCs/>
                              </w:rPr>
                              <w:t>ROČNÍK XVI.</w:t>
                            </w:r>
                          </w:p>
                        </w:txbxContent>
                      </wps:txbx>
                      <wps:bodyPr lIns="0" tIns="0" rIns="0" bIns="0"/>
                    </wps:wsp>
                  </a:graphicData>
                </a:graphic>
              </wp:anchor>
            </w:drawing>
          </mc:Choice>
          <mc:Fallback>
            <w:pict>
              <v:shape id="_x0000_s1825" type="#_x0000_t202" style="position:absolute;margin-left:35.pt;margin-top:5.pt;width:96.25pt;height:14.65pt;z-index:-125828577;mso-wrap-distance-left:9.pt;mso-wrap-distance-top:4.2999999999999998pt;mso-wrap-distance-right:442.69999999999999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ROČNÍK XVI.</w:t>
                      </w:r>
                    </w:p>
                  </w:txbxContent>
                </v:textbox>
                <w10:wrap type="topAndBottom" anchorx="page"/>
              </v:shape>
            </w:pict>
          </mc:Fallback>
        </mc:AlternateContent>
      </w:r>
      <w:r>
        <w:rPr>
          <w:noProof/>
        </w:rPr>
        <mc:AlternateContent>
          <mc:Choice Requires="wps">
            <w:drawing>
              <wp:anchor distT="54610" distB="0" distL="2317750" distR="2305685" simplePos="0" relativeHeight="125830178" behindDoc="0" locked="0" layoutInCell="1" allowOverlap="1">
                <wp:simplePos x="0" y="0"/>
                <wp:positionH relativeFrom="page">
                  <wp:posOffset>2647950</wp:posOffset>
                </wp:positionH>
                <wp:positionV relativeFrom="paragraph">
                  <wp:posOffset>63500</wp:posOffset>
                </wp:positionV>
                <wp:extent cx="2334895" cy="186055"/>
                <wp:effectExtent l="0" t="0" r="0" b="0"/>
                <wp:wrapTopAndBottom/>
                <wp:docPr id="801" name="Shape 801"/>
                <wp:cNvGraphicFramePr/>
                <a:graphic xmlns:a="http://schemas.openxmlformats.org/drawingml/2006/main">
                  <a:graphicData uri="http://schemas.microsoft.com/office/word/2010/wordprocessingShape">
                    <wps:wsp>
                      <wps:cNvSpPr txBox="1"/>
                      <wps:spPr>
                        <a:xfrm>
                          <a:off x="0" y="0"/>
                          <a:ext cx="2334895" cy="186055"/>
                        </a:xfrm>
                        <a:prstGeom prst="rect">
                          <a:avLst/>
                        </a:prstGeom>
                        <a:noFill/>
                      </wps:spPr>
                      <wps:txbx>
                        <w:txbxContent>
                          <w:p w:rsidR="00500724" w:rsidRDefault="00F30FB8">
                            <w:pPr>
                              <w:pStyle w:val="Zkladntext20"/>
                              <w:shd w:val="clear" w:color="auto" w:fill="auto"/>
                              <w:spacing w:line="240" w:lineRule="auto"/>
                              <w:ind w:firstLine="0"/>
                              <w:jc w:val="left"/>
                            </w:pPr>
                            <w:r>
                              <w:rPr>
                                <w:b/>
                                <w:bCs/>
                              </w:rPr>
                              <w:t>V PRAZE 16. SRPNA 1939</w:t>
                            </w:r>
                          </w:p>
                        </w:txbxContent>
                      </wps:txbx>
                      <wps:bodyPr lIns="0" tIns="0" rIns="0" bIns="0"/>
                    </wps:wsp>
                  </a:graphicData>
                </a:graphic>
              </wp:anchor>
            </w:drawing>
          </mc:Choice>
          <mc:Fallback>
            <w:pict>
              <v:shape id="_x0000_s1827" type="#_x0000_t202" style="position:absolute;margin-left:208.5pt;margin-top:5.pt;width:183.84999999999999pt;height:14.65pt;z-index:-125828575;mso-wrap-distance-left:182.5pt;mso-wrap-distance-top:4.2999999999999998pt;mso-wrap-distance-right:181.55000000000001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V PRAZE 16. SRPNA 1939</w:t>
                      </w:r>
                    </w:p>
                  </w:txbxContent>
                </v:textbox>
                <w10:wrap type="topAndBottom" anchorx="page"/>
              </v:shape>
            </w:pict>
          </mc:Fallback>
        </mc:AlternateContent>
      </w:r>
      <w:r>
        <w:rPr>
          <w:noProof/>
        </w:rPr>
        <mc:AlternateContent>
          <mc:Choice Requires="wps">
            <w:drawing>
              <wp:anchor distT="54610" distB="0" distL="6066790" distR="114300" simplePos="0" relativeHeight="125830180" behindDoc="0" locked="0" layoutInCell="1" allowOverlap="1">
                <wp:simplePos x="0" y="0"/>
                <wp:positionH relativeFrom="page">
                  <wp:posOffset>6396990</wp:posOffset>
                </wp:positionH>
                <wp:positionV relativeFrom="paragraph">
                  <wp:posOffset>63500</wp:posOffset>
                </wp:positionV>
                <wp:extent cx="777240" cy="186055"/>
                <wp:effectExtent l="0" t="0" r="0" b="0"/>
                <wp:wrapTopAndBottom/>
                <wp:docPr id="803" name="Shape 803"/>
                <wp:cNvGraphicFramePr/>
                <a:graphic xmlns:a="http://schemas.openxmlformats.org/drawingml/2006/main">
                  <a:graphicData uri="http://schemas.microsoft.com/office/word/2010/wordprocessingShape">
                    <wps:wsp>
                      <wps:cNvSpPr txBox="1"/>
                      <wps:spPr>
                        <a:xfrm>
                          <a:off x="0" y="0"/>
                          <a:ext cx="777240" cy="186055"/>
                        </a:xfrm>
                        <a:prstGeom prst="rect">
                          <a:avLst/>
                        </a:prstGeom>
                        <a:noFill/>
                      </wps:spPr>
                      <wps:txbx>
                        <w:txbxContent>
                          <w:p w:rsidR="00500724" w:rsidRDefault="00F30FB8">
                            <w:pPr>
                              <w:pStyle w:val="Zkladntext20"/>
                              <w:shd w:val="clear" w:color="auto" w:fill="auto"/>
                              <w:spacing w:line="240" w:lineRule="auto"/>
                              <w:ind w:firstLine="0"/>
                              <w:jc w:val="left"/>
                            </w:pPr>
                            <w:r>
                              <w:rPr>
                                <w:b/>
                                <w:bCs/>
                              </w:rPr>
                              <w:t>ZA K 2.—</w:t>
                            </w:r>
                          </w:p>
                        </w:txbxContent>
                      </wps:txbx>
                      <wps:bodyPr lIns="0" tIns="0" rIns="0" bIns="0"/>
                    </wps:wsp>
                  </a:graphicData>
                </a:graphic>
              </wp:anchor>
            </w:drawing>
          </mc:Choice>
          <mc:Fallback>
            <w:pict>
              <v:shape id="_x0000_s1829" type="#_x0000_t202" style="position:absolute;margin-left:503.69999999999999pt;margin-top:5.pt;width:61.200000000000003pt;height:14.65pt;z-index:-125828573;mso-wrap-distance-left:477.69999999999999pt;mso-wrap-distance-top:4.2999999999999998pt;mso-wrap-distance-right:9.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ZA K 2.—</w:t>
                      </w:r>
                    </w:p>
                  </w:txbxContent>
                </v:textbox>
                <w10:wrap type="topAndBottom" anchorx="page"/>
              </v:shape>
            </w:pict>
          </mc:Fallback>
        </mc:AlternateConten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51" w:after="51"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193" w:right="0" w:bottom="868" w:left="0" w:header="0" w:footer="3" w:gutter="0"/>
          <w:cols w:space="720"/>
          <w:noEndnote/>
          <w:docGrid w:linePitch="360"/>
        </w:sectPr>
      </w:pPr>
    </w:p>
    <w:p w:rsidR="00500724" w:rsidRDefault="00F30FB8">
      <w:pPr>
        <w:pStyle w:val="Jin0"/>
        <w:shd w:val="clear" w:color="auto" w:fill="auto"/>
        <w:spacing w:after="120"/>
        <w:ind w:firstLine="140"/>
        <w:jc w:val="left"/>
        <w:rPr>
          <w:sz w:val="30"/>
          <w:szCs w:val="30"/>
        </w:rPr>
      </w:pPr>
      <w:r>
        <w:rPr>
          <w:b/>
          <w:bCs/>
          <w:sz w:val="38"/>
          <w:szCs w:val="38"/>
        </w:rPr>
        <w:t xml:space="preserve">Soumrak evropského parlamentarismu </w:t>
      </w:r>
      <w:r>
        <w:rPr>
          <w:smallCaps/>
          <w:sz w:val="30"/>
          <w:szCs w:val="30"/>
        </w:rPr>
        <w:t>zdenek smetáček</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90"/>
        <w:gridCol w:w="2285"/>
      </w:tblGrid>
      <w:tr w:rsidR="00500724">
        <w:tblPrEx>
          <w:tblCellMar>
            <w:top w:w="0" w:type="dxa"/>
            <w:bottom w:w="0" w:type="dxa"/>
          </w:tblCellMar>
        </w:tblPrEx>
        <w:trPr>
          <w:trHeight w:hRule="exact" w:val="1234"/>
          <w:jc w:val="center"/>
        </w:trPr>
        <w:tc>
          <w:tcPr>
            <w:tcW w:w="0" w:type="auto"/>
            <w:gridSpan w:val="2"/>
            <w:tcBorders>
              <w:top w:val="single" w:sz="4" w:space="0" w:color="auto"/>
            </w:tcBorders>
            <w:shd w:val="clear" w:color="auto" w:fill="FFFFFF"/>
            <w:vAlign w:val="bottom"/>
          </w:tcPr>
          <w:p w:rsidR="00500724" w:rsidRDefault="00F30FB8">
            <w:pPr>
              <w:pStyle w:val="Jin0"/>
              <w:shd w:val="clear" w:color="auto" w:fill="auto"/>
              <w:ind w:firstLine="0"/>
              <w:rPr>
                <w:sz w:val="30"/>
                <w:szCs w:val="30"/>
              </w:rPr>
            </w:pPr>
            <w:r>
              <w:rPr>
                <w:b/>
                <w:bCs/>
                <w:sz w:val="38"/>
                <w:szCs w:val="38"/>
              </w:rPr>
              <w:t xml:space="preserve">Obhajoba nezaměstnané inteligence </w:t>
            </w:r>
            <w:r>
              <w:rPr>
                <w:smallCaps/>
                <w:sz w:val="30"/>
                <w:szCs w:val="30"/>
              </w:rPr>
              <w:t>l. machýcek</w:t>
            </w:r>
          </w:p>
        </w:tc>
      </w:tr>
      <w:tr w:rsidR="00500724">
        <w:tblPrEx>
          <w:tblCellMar>
            <w:top w:w="0" w:type="dxa"/>
            <w:bottom w:w="0" w:type="dxa"/>
          </w:tblCellMar>
        </w:tblPrEx>
        <w:trPr>
          <w:trHeight w:hRule="exact" w:val="1214"/>
          <w:jc w:val="center"/>
        </w:trPr>
        <w:tc>
          <w:tcPr>
            <w:tcW w:w="0" w:type="auto"/>
            <w:gridSpan w:val="2"/>
            <w:tcBorders>
              <w:top w:val="single" w:sz="4" w:space="0" w:color="auto"/>
            </w:tcBorders>
            <w:shd w:val="clear" w:color="auto" w:fill="FFFFFF"/>
            <w:vAlign w:val="center"/>
          </w:tcPr>
          <w:p w:rsidR="00500724" w:rsidRDefault="00F30FB8">
            <w:pPr>
              <w:pStyle w:val="Jin0"/>
              <w:shd w:val="clear" w:color="auto" w:fill="auto"/>
              <w:tabs>
                <w:tab w:val="left" w:pos="7723"/>
              </w:tabs>
              <w:ind w:firstLine="0"/>
              <w:rPr>
                <w:sz w:val="30"/>
                <w:szCs w:val="30"/>
              </w:rPr>
            </w:pPr>
            <w:r>
              <w:rPr>
                <w:b/>
                <w:bCs/>
                <w:sz w:val="38"/>
                <w:szCs w:val="38"/>
              </w:rPr>
              <w:t>Básník už</w:t>
            </w:r>
            <w:r>
              <w:rPr>
                <w:b/>
                <w:bCs/>
                <w:sz w:val="38"/>
                <w:szCs w:val="38"/>
              </w:rPr>
              <w:t xml:space="preserve"> není sám</w:t>
            </w:r>
            <w:r>
              <w:rPr>
                <w:b/>
                <w:bCs/>
                <w:sz w:val="38"/>
                <w:szCs w:val="38"/>
              </w:rPr>
              <w:tab/>
            </w:r>
            <w:r>
              <w:rPr>
                <w:smallCaps/>
                <w:sz w:val="30"/>
                <w:szCs w:val="30"/>
              </w:rPr>
              <w:t>miroslav micko</w:t>
            </w:r>
          </w:p>
        </w:tc>
      </w:tr>
      <w:tr w:rsidR="00500724">
        <w:tblPrEx>
          <w:tblCellMar>
            <w:top w:w="0" w:type="dxa"/>
            <w:bottom w:w="0" w:type="dxa"/>
          </w:tblCellMar>
        </w:tblPrEx>
        <w:trPr>
          <w:trHeight w:hRule="exact" w:val="1200"/>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38"/>
                <w:szCs w:val="38"/>
              </w:rPr>
            </w:pPr>
            <w:r>
              <w:rPr>
                <w:b/>
                <w:bCs/>
                <w:sz w:val="38"/>
                <w:szCs w:val="38"/>
              </w:rPr>
              <w:t>Jde o typ mladého Čecha</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30"/>
                <w:szCs w:val="30"/>
              </w:rPr>
            </w:pPr>
            <w:r>
              <w:rPr>
                <w:b/>
                <w:bCs/>
                <w:sz w:val="30"/>
                <w:szCs w:val="30"/>
              </w:rPr>
              <w:t>OTA JAHODA</w:t>
            </w:r>
          </w:p>
        </w:tc>
      </w:tr>
      <w:tr w:rsidR="00500724">
        <w:tblPrEx>
          <w:tblCellMar>
            <w:top w:w="0" w:type="dxa"/>
            <w:bottom w:w="0" w:type="dxa"/>
          </w:tblCellMar>
        </w:tblPrEx>
        <w:trPr>
          <w:trHeight w:hRule="exact" w:val="1210"/>
          <w:jc w:val="center"/>
        </w:trPr>
        <w:tc>
          <w:tcPr>
            <w:tcW w:w="0" w:type="auto"/>
            <w:tcBorders>
              <w:top w:val="single" w:sz="4" w:space="0" w:color="auto"/>
            </w:tcBorders>
            <w:shd w:val="clear" w:color="auto" w:fill="FFFFFF"/>
            <w:vAlign w:val="bottom"/>
          </w:tcPr>
          <w:p w:rsidR="00500724" w:rsidRDefault="00F30FB8">
            <w:pPr>
              <w:pStyle w:val="Jin0"/>
              <w:shd w:val="clear" w:color="auto" w:fill="auto"/>
              <w:ind w:firstLine="0"/>
              <w:jc w:val="left"/>
              <w:rPr>
                <w:sz w:val="38"/>
                <w:szCs w:val="38"/>
              </w:rPr>
            </w:pPr>
            <w:r>
              <w:rPr>
                <w:b/>
                <w:bCs/>
                <w:sz w:val="38"/>
                <w:szCs w:val="38"/>
              </w:rPr>
              <w:t>Člověk, který zcela podle předpisu přišel o rozum</w:t>
            </w:r>
          </w:p>
        </w:tc>
        <w:tc>
          <w:tcPr>
            <w:tcW w:w="0" w:type="auto"/>
            <w:tcBorders>
              <w:top w:val="single" w:sz="4" w:space="0" w:color="auto"/>
            </w:tcBorders>
            <w:shd w:val="clear" w:color="auto" w:fill="FFFFFF"/>
            <w:vAlign w:val="bottom"/>
          </w:tcPr>
          <w:p w:rsidR="00500724" w:rsidRDefault="00F30FB8">
            <w:pPr>
              <w:pStyle w:val="Jin0"/>
              <w:shd w:val="clear" w:color="auto" w:fill="auto"/>
              <w:ind w:firstLine="0"/>
              <w:jc w:val="right"/>
              <w:rPr>
                <w:sz w:val="30"/>
                <w:szCs w:val="30"/>
              </w:rPr>
            </w:pPr>
            <w:r>
              <w:rPr>
                <w:b/>
                <w:bCs/>
                <w:sz w:val="30"/>
                <w:szCs w:val="30"/>
              </w:rPr>
              <w:t>K. KOVACIC</w:t>
            </w:r>
          </w:p>
        </w:tc>
      </w:tr>
      <w:tr w:rsidR="00500724">
        <w:tblPrEx>
          <w:tblCellMar>
            <w:top w:w="0" w:type="dxa"/>
            <w:bottom w:w="0" w:type="dxa"/>
          </w:tblCellMar>
        </w:tblPrEx>
        <w:trPr>
          <w:trHeight w:hRule="exact" w:val="1272"/>
          <w:jc w:val="center"/>
        </w:trPr>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left"/>
              <w:rPr>
                <w:sz w:val="38"/>
                <w:szCs w:val="38"/>
              </w:rPr>
            </w:pPr>
            <w:r>
              <w:rPr>
                <w:b/>
                <w:bCs/>
                <w:sz w:val="38"/>
                <w:szCs w:val="38"/>
              </w:rPr>
              <w:t>Slovenské kulturní otázky</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right"/>
              <w:rPr>
                <w:sz w:val="30"/>
                <w:szCs w:val="30"/>
              </w:rPr>
            </w:pPr>
            <w:r>
              <w:rPr>
                <w:b/>
                <w:bCs/>
                <w:sz w:val="30"/>
                <w:szCs w:val="30"/>
              </w:rPr>
              <w:t>NORRICUS</w:t>
            </w:r>
          </w:p>
        </w:tc>
      </w:tr>
    </w:tbl>
    <w:p w:rsidR="00500724" w:rsidRDefault="00F30FB8">
      <w:pPr>
        <w:pStyle w:val="Titulektabulky0"/>
        <w:shd w:val="clear" w:color="auto" w:fill="auto"/>
        <w:spacing w:line="427" w:lineRule="auto"/>
        <w:jc w:val="center"/>
        <w:rPr>
          <w:sz w:val="28"/>
          <w:szCs w:val="28"/>
        </w:rPr>
      </w:pPr>
      <w:r>
        <w:rPr>
          <w:sz w:val="28"/>
          <w:szCs w:val="28"/>
        </w:rPr>
        <w:t xml:space="preserve">Týdenní přehled — Mnoho nás vzpomíná — Pryč s literárním brakem O české děti — Půjčky mladým </w:t>
      </w:r>
      <w:r>
        <w:rPr>
          <w:sz w:val="28"/>
          <w:szCs w:val="28"/>
        </w:rPr>
        <w:t>novomanželům.</w:t>
      </w:r>
    </w:p>
    <w:p w:rsidR="00500724" w:rsidRDefault="00500724">
      <w:pPr>
        <w:spacing w:line="14" w:lineRule="exact"/>
        <w:sectPr w:rsidR="00500724">
          <w:footnotePr>
            <w:numFmt w:val="chicago"/>
            <w:numRestart w:val="eachPage"/>
          </w:footnotePr>
          <w:type w:val="continuous"/>
          <w:pgSz w:w="11909" w:h="16834"/>
          <w:pgMar w:top="1193" w:right="190" w:bottom="868" w:left="718" w:header="0" w:footer="3" w:gutter="0"/>
          <w:cols w:space="720"/>
          <w:noEndnote/>
          <w:docGrid w:linePitch="360"/>
        </w:sectPr>
      </w:pP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jc w:val="center"/>
      </w:pPr>
      <w:bookmarkStart w:id="821" w:name="bookmark820"/>
      <w:r>
        <w:rPr>
          <w:color w:val="FFFFFF"/>
        </w:rPr>
        <w:t>ODBORNÍ LCKAftl</w:t>
      </w:r>
      <w:bookmarkEnd w:id="821"/>
    </w:p>
    <w:p w:rsidR="00500724" w:rsidRDefault="00F30FB8">
      <w:pPr>
        <w:pStyle w:val="Nadpis110"/>
        <w:shd w:val="clear" w:color="auto" w:fill="auto"/>
        <w:jc w:val="both"/>
      </w:pPr>
      <w:bookmarkStart w:id="822" w:name="bookmark821"/>
      <w:r>
        <w:t>MUDr. ZDENKA NEDVĚDOVÁ-NEJEDLÁ</w:t>
      </w:r>
      <w:bookmarkEnd w:id="822"/>
    </w:p>
    <w:p w:rsidR="00500724" w:rsidRDefault="00F30FB8">
      <w:pPr>
        <w:pStyle w:val="Zkladntext100"/>
        <w:shd w:val="clear" w:color="auto" w:fill="auto"/>
        <w:spacing w:after="80" w:line="240" w:lineRule="auto"/>
        <w:ind w:firstLine="0"/>
      </w:pPr>
      <w:r>
        <w:t xml:space="preserve">odb. dětská lékařka. PODOLÍ, PANKRÁCKÁ 14 (stanice elektr. </w:t>
      </w:r>
      <w:r>
        <w:rPr>
          <w:u w:val="single"/>
        </w:rPr>
        <w:t>dráhy za Podol, sanatoriem). Ord. 9—10 a 2—4. Tel. 441-77.</w:t>
      </w:r>
    </w:p>
    <w:p w:rsidR="00500724" w:rsidRDefault="00F30FB8">
      <w:pPr>
        <w:pStyle w:val="Nadpis110"/>
        <w:shd w:val="clear" w:color="auto" w:fill="auto"/>
        <w:jc w:val="both"/>
      </w:pPr>
      <w:bookmarkStart w:id="823" w:name="bookmark822"/>
      <w:r>
        <w:t>MUDr. ANTONÍN NEUMANN</w:t>
      </w:r>
      <w:bookmarkEnd w:id="823"/>
    </w:p>
    <w:p w:rsidR="00500724" w:rsidRDefault="00F30FB8">
      <w:pPr>
        <w:pStyle w:val="Zkladntext40"/>
        <w:shd w:val="clear" w:color="auto" w:fill="auto"/>
        <w:spacing w:after="80" w:line="233" w:lineRule="auto"/>
        <w:ind w:firstLine="1040"/>
      </w:pPr>
      <w:r>
        <w:t>odborný lékař nemoci pohla</w:t>
      </w:r>
      <w:r>
        <w:t>vních, kožních a kosmetiky PRABA II., Na Zbořenci 24 — třetí dům od Kariova náměstí. Ordinuje celý den. V neděli a ve svátek dopoledne. Telefon 41.728.</w:t>
      </w:r>
    </w:p>
    <w:p w:rsidR="00500724" w:rsidRDefault="00F30FB8">
      <w:pPr>
        <w:pStyle w:val="Zkladntext100"/>
        <w:shd w:val="clear" w:color="auto" w:fill="auto"/>
        <w:spacing w:after="360" w:line="257" w:lineRule="auto"/>
        <w:ind w:firstLine="0"/>
      </w:pPr>
      <w:r>
        <w:t xml:space="preserve">Pro plastickou chirurgii </w:t>
      </w:r>
      <w:r>
        <w:rPr>
          <w:rFonts w:ascii="Arial" w:eastAsia="Arial" w:hAnsi="Arial" w:cs="Arial"/>
          <w:b/>
          <w:bCs/>
          <w:sz w:val="22"/>
          <w:szCs w:val="22"/>
        </w:rPr>
        <w:t xml:space="preserve">Dr. RUDOLF SLUNEČKO </w:t>
      </w:r>
      <w:r>
        <w:t xml:space="preserve">ord. 3—4 (a podle úmluvy). Telefon 393-79. PRAHA II., </w:t>
      </w:r>
      <w:r>
        <w:t>VODIČKOVA 15 (Hlávkův palác).</w:t>
      </w:r>
    </w:p>
    <w:p w:rsidR="00500724" w:rsidRDefault="00F30FB8">
      <w:pPr>
        <w:pStyle w:val="Zkladntext40"/>
        <w:shd w:val="clear" w:color="auto" w:fill="auto"/>
        <w:spacing w:after="80" w:line="295" w:lineRule="auto"/>
        <w:ind w:left="600" w:right="360" w:hanging="260"/>
      </w:pPr>
      <w:r>
        <w:t>FISCHER JOSEF, Z politického odkazu Františka Palackého. Výbor statí. 287 str., brož. K 18.—.</w:t>
      </w:r>
    </w:p>
    <w:p w:rsidR="00500724" w:rsidRDefault="00F30FB8">
      <w:pPr>
        <w:pStyle w:val="Zkladntext40"/>
        <w:shd w:val="clear" w:color="auto" w:fill="auto"/>
        <w:spacing w:after="80" w:line="295" w:lineRule="auto"/>
        <w:ind w:left="600" w:right="360" w:hanging="260"/>
      </w:pPr>
      <w:r>
        <w:t>CHABR V„ Nejtěžší chvíle Vnle (A. Lincoln). 222 str. Sbírka Z dílny osudu sv. 6., brož. K 6.20.</w:t>
      </w:r>
    </w:p>
    <w:p w:rsidR="00500724" w:rsidRDefault="00F30FB8">
      <w:pPr>
        <w:pStyle w:val="Zkladntext40"/>
        <w:shd w:val="clear" w:color="auto" w:fill="auto"/>
        <w:spacing w:after="80" w:line="300" w:lineRule="auto"/>
        <w:ind w:left="600" w:right="360" w:hanging="260"/>
      </w:pPr>
      <w:r>
        <w:t xml:space="preserve">JENSOVSKÝ BEDŘICH Dr. a KOSINOVÁ </w:t>
      </w:r>
      <w:r>
        <w:t>VĚRA Dr.. Ilustro</w:t>
      </w:r>
      <w:r>
        <w:softHyphen/>
        <w:t>vané dějiny světové. Díl V. Novověk III. 618 str., brož. K 80.—, váz. v plátně K 95.—, váz. v polokňži K 115.—.</w:t>
      </w:r>
    </w:p>
    <w:p w:rsidR="00500724" w:rsidRDefault="00F30FB8">
      <w:pPr>
        <w:pStyle w:val="Zkladntext40"/>
        <w:shd w:val="clear" w:color="auto" w:fill="auto"/>
        <w:spacing w:after="360" w:line="300" w:lineRule="auto"/>
        <w:ind w:left="600" w:right="360" w:hanging="260"/>
      </w:pPr>
      <w:r>
        <w:rPr>
          <w:lang w:val="en-US" w:eastAsia="en-US" w:bidi="en-US"/>
        </w:rPr>
        <w:t xml:space="preserve">WAGNER </w:t>
      </w:r>
      <w:r>
        <w:t>- ZELLHOFF - KYZLINK. Národní hospodářství v kostce. 268 str., brož. K 28.—. váz. v plát. K 38.—.</w:t>
      </w:r>
    </w:p>
    <w:p w:rsidR="00500724" w:rsidRDefault="00F30FB8">
      <w:pPr>
        <w:pStyle w:val="Jin0"/>
        <w:pBdr>
          <w:top w:val="single" w:sz="4" w:space="0" w:color="auto"/>
        </w:pBdr>
        <w:shd w:val="clear" w:color="auto" w:fill="auto"/>
        <w:spacing w:after="80"/>
        <w:ind w:left="260" w:firstLine="0"/>
        <w:jc w:val="left"/>
        <w:rPr>
          <w:sz w:val="34"/>
          <w:szCs w:val="34"/>
        </w:rPr>
      </w:pPr>
      <w:r>
        <w:rPr>
          <w:sz w:val="34"/>
          <w:szCs w:val="34"/>
        </w:rPr>
        <w:t>F. Topič</w:t>
      </w:r>
    </w:p>
    <w:p w:rsidR="00500724" w:rsidRDefault="00F30FB8">
      <w:pPr>
        <w:pStyle w:val="Jin0"/>
        <w:shd w:val="clear" w:color="auto" w:fill="auto"/>
        <w:spacing w:after="480"/>
        <w:ind w:left="260" w:firstLine="0"/>
        <w:jc w:val="left"/>
        <w:rPr>
          <w:sz w:val="28"/>
          <w:szCs w:val="28"/>
        </w:rPr>
      </w:pPr>
      <w:r>
        <w:rPr>
          <w:sz w:val="28"/>
          <w:szCs w:val="28"/>
        </w:rPr>
        <w:t>knihkupectví</w:t>
      </w:r>
      <w:r>
        <w:rPr>
          <w:sz w:val="28"/>
          <w:szCs w:val="28"/>
        </w:rPr>
        <w:t>, Praha I., Národní třída 11</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20"/>
        <w:jc w:val="center"/>
      </w:pPr>
      <w:bookmarkStart w:id="824" w:name="bookmark823"/>
      <w:r>
        <w:rPr>
          <w:color w:val="FFFFFF"/>
        </w:rPr>
        <w:t>VAJ VKUS I NÁROKY USPOKOJÍ</w:t>
      </w:r>
      <w:bookmarkEnd w:id="824"/>
    </w:p>
    <w:p w:rsidR="00500724" w:rsidRDefault="00F30FB8">
      <w:pPr>
        <w:spacing w:line="1" w:lineRule="exact"/>
        <w:rPr>
          <w:sz w:val="2"/>
          <w:szCs w:val="2"/>
        </w:rPr>
      </w:pPr>
      <w:r>
        <w:br w:type="column"/>
      </w:r>
    </w:p>
    <w:p w:rsidR="00500724" w:rsidRDefault="00F30FB8">
      <w:pPr>
        <w:pStyle w:val="Jin0"/>
        <w:shd w:val="clear" w:color="auto" w:fill="auto"/>
        <w:spacing w:after="120"/>
        <w:ind w:firstLine="0"/>
        <w:jc w:val="left"/>
        <w:rPr>
          <w:sz w:val="42"/>
          <w:szCs w:val="42"/>
        </w:rPr>
      </w:pPr>
      <w:r>
        <w:rPr>
          <w:rFonts w:ascii="Arial" w:eastAsia="Arial" w:hAnsi="Arial" w:cs="Arial"/>
          <w:i/>
          <w:iCs/>
          <w:sz w:val="42"/>
          <w:szCs w:val="42"/>
        </w:rPr>
        <w:t xml:space="preserve">Nezlobí vás zubní </w:t>
      </w:r>
      <w:r>
        <w:rPr>
          <w:rFonts w:ascii="Arial" w:eastAsia="Arial" w:hAnsi="Arial" w:cs="Arial"/>
          <w:i/>
          <w:iCs/>
          <w:sz w:val="42"/>
          <w:szCs w:val="42"/>
          <w:lang w:val="en-US" w:eastAsia="en-US" w:bidi="en-US"/>
        </w:rPr>
        <w:t>film?</w:t>
      </w:r>
    </w:p>
    <w:p w:rsidR="00500724" w:rsidRDefault="00F30FB8">
      <w:pPr>
        <w:pStyle w:val="Zkladntext100"/>
        <w:shd w:val="clear" w:color="auto" w:fill="auto"/>
        <w:spacing w:after="780" w:line="240" w:lineRule="auto"/>
        <w:ind w:left="520" w:firstLine="20"/>
      </w:pPr>
      <w:r>
        <w:t xml:space="preserve">Nezdá se Vám, že Vaše zuby —. ačkoliv si je denně čistíte — nejsou tak dokonale bílé a lesklé, jak by měly být ? Lehoučký matný stín na jejich povrchu je mucinový povlak — </w:t>
      </w:r>
      <w:r>
        <w:t>tak zvaný zubní film. Jak se ho zbavíte ? Velmi snadno. Opatřete si specielní zubní pastu BIS-ACIDENTOL. Odstraňuje zubní film a mé znamenité účinky antiseptické. Jest na</w:t>
      </w:r>
      <w:r>
        <w:softHyphen/>
        <w:t xml:space="preserve">kyslé ovocné příchuti a bohatě pění. Působí pocit čistoty a svěžesti v dutině ústni. </w:t>
      </w:r>
      <w:r>
        <w:t>Je vydatná a velmi úsporná. Užívejte BIS-ACIDENTOL, zubní pastu pro náročné.</w:t>
      </w:r>
    </w:p>
    <w:p w:rsidR="00500724" w:rsidRDefault="00F30FB8">
      <w:pPr>
        <w:pStyle w:val="Jin0"/>
        <w:shd w:val="clear" w:color="auto" w:fill="auto"/>
        <w:spacing w:line="259" w:lineRule="auto"/>
        <w:ind w:right="1180" w:firstLine="0"/>
        <w:jc w:val="right"/>
        <w:rPr>
          <w:sz w:val="66"/>
          <w:szCs w:val="66"/>
        </w:rPr>
      </w:pPr>
      <w:r>
        <w:rPr>
          <w:rFonts w:ascii="Franklin Gothic Medium Cond" w:eastAsia="Franklin Gothic Medium Cond" w:hAnsi="Franklin Gothic Medium Cond" w:cs="Franklin Gothic Medium Cond"/>
          <w:b/>
          <w:bCs/>
          <w:sz w:val="66"/>
          <w:szCs w:val="66"/>
        </w:rPr>
        <w:t>Obchod uhlím Živnostenské banky</w:t>
      </w:r>
    </w:p>
    <w:p w:rsidR="00500724" w:rsidRDefault="00F30FB8">
      <w:pPr>
        <w:pStyle w:val="Zkladntext100"/>
        <w:shd w:val="clear" w:color="auto" w:fill="auto"/>
        <w:spacing w:after="120" w:line="240" w:lineRule="auto"/>
        <w:ind w:left="140" w:firstLine="0"/>
      </w:pPr>
      <w:r>
        <w:rPr>
          <w:b/>
          <w:bCs/>
        </w:rPr>
        <w:t>PRAHA IL, JUNGMANNOVA Tft. C. 1.</w:t>
      </w:r>
    </w:p>
    <w:p w:rsidR="00500724" w:rsidRDefault="00F30FB8">
      <w:pPr>
        <w:pStyle w:val="Zkladntext100"/>
        <w:shd w:val="clear" w:color="auto" w:fill="auto"/>
        <w:spacing w:after="680" w:line="240" w:lineRule="auto"/>
        <w:ind w:left="1840" w:firstLine="20"/>
        <w:jc w:val="left"/>
      </w:pPr>
      <w:r>
        <w:t xml:space="preserve">Telefon 329.51 </w:t>
      </w:r>
      <w:r>
        <w:rPr>
          <w:lang w:val="en-US" w:eastAsia="en-US" w:bidi="en-US"/>
        </w:rPr>
        <w:t>serie</w:t>
      </w:r>
    </w:p>
    <w:p w:rsidR="00500724" w:rsidRDefault="00F30FB8">
      <w:pPr>
        <w:pStyle w:val="Zkladntext100"/>
        <w:shd w:val="clear" w:color="auto" w:fill="auto"/>
        <w:spacing w:after="120" w:line="353" w:lineRule="auto"/>
        <w:ind w:left="140" w:firstLine="0"/>
      </w:pPr>
      <w:r>
        <w:t>FILIÁLKY:</w:t>
      </w:r>
    </w:p>
    <w:p w:rsidR="00500724" w:rsidRDefault="00F30FB8">
      <w:pPr>
        <w:pStyle w:val="Zkladntext100"/>
        <w:shd w:val="clear" w:color="auto" w:fill="auto"/>
        <w:spacing w:after="120" w:line="348" w:lineRule="auto"/>
        <w:ind w:left="1160" w:firstLine="0"/>
        <w:jc w:val="left"/>
      </w:pPr>
      <w:r>
        <w:t xml:space="preserve">BRNO, telefon č. 110-81, 110-82 MOR. OSTRAVA, telefon č. 3602, 3603 BRATISLAVA, </w:t>
      </w:r>
      <w:r>
        <w:t>telefon č. 1483</w:t>
      </w:r>
    </w:p>
    <w:p w:rsidR="00500724" w:rsidRDefault="00F30FB8">
      <w:pPr>
        <w:pStyle w:val="Zkladntext100"/>
        <w:shd w:val="clear" w:color="auto" w:fill="auto"/>
        <w:spacing w:after="120" w:line="353" w:lineRule="auto"/>
        <w:ind w:left="140" w:firstLine="0"/>
      </w:pPr>
      <w:r>
        <w:t>Telegrafická adresa: ŽIVNOCARBO</w:t>
      </w:r>
    </w:p>
    <w:p w:rsidR="00500724" w:rsidRDefault="00F30FB8">
      <w:pPr>
        <w:pStyle w:val="Zkladntext100"/>
        <w:shd w:val="clear" w:color="auto" w:fill="auto"/>
        <w:spacing w:line="353" w:lineRule="auto"/>
        <w:ind w:left="140" w:right="180" w:firstLine="0"/>
        <w:sectPr w:rsidR="00500724">
          <w:footnotePr>
            <w:numFmt w:val="chicago"/>
            <w:numRestart w:val="eachPage"/>
          </w:footnotePr>
          <w:pgSz w:w="11909" w:h="16834"/>
          <w:pgMar w:top="819" w:right="1533" w:bottom="494" w:left="26" w:header="0" w:footer="3" w:gutter="0"/>
          <w:cols w:num="2" w:sep="1" w:space="720" w:equalWidth="0">
            <w:col w:w="5290" w:space="374"/>
            <w:col w:w="4685"/>
          </w:cols>
          <w:noEndnote/>
          <w:docGrid w:linePitch="360"/>
        </w:sectPr>
      </w:pPr>
      <w:r>
        <w:t>Komisionářský prodej uhlí a koksu z revíru ostravsko- karvínského. Export koksu do Polska, Jugoslávie, Bulharska atd. Prodej la dřevěného uhlí retortnílio bukového.</w:t>
      </w:r>
    </w:p>
    <w:p w:rsidR="00500724" w:rsidRDefault="00500724">
      <w:pPr>
        <w:spacing w:before="18" w:after="18"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904" w:right="0" w:bottom="0" w:left="0" w:header="0" w:footer="3" w:gutter="0"/>
          <w:cols w:space="720"/>
          <w:noEndnote/>
          <w:docGrid w:linePitch="360"/>
        </w:sectPr>
      </w:pPr>
    </w:p>
    <w:p w:rsidR="00500724" w:rsidRDefault="00F30FB8">
      <w:pPr>
        <w:spacing w:line="14" w:lineRule="exact"/>
      </w:pPr>
      <w:r>
        <w:rPr>
          <w:noProof/>
        </w:rPr>
        <mc:AlternateContent>
          <mc:Choice Requires="wps">
            <w:drawing>
              <wp:anchor distT="0" distB="494030" distL="349250" distR="117475" simplePos="0" relativeHeight="125830182" behindDoc="0" locked="0" layoutInCell="1" allowOverlap="1">
                <wp:simplePos x="0" y="0"/>
                <wp:positionH relativeFrom="page">
                  <wp:posOffset>260350</wp:posOffset>
                </wp:positionH>
                <wp:positionV relativeFrom="paragraph">
                  <wp:posOffset>1121410</wp:posOffset>
                </wp:positionV>
                <wp:extent cx="2545080" cy="682625"/>
                <wp:effectExtent l="0" t="0" r="0" b="0"/>
                <wp:wrapSquare wrapText="right"/>
                <wp:docPr id="805" name="Shape 805"/>
                <wp:cNvGraphicFramePr/>
                <a:graphic xmlns:a="http://schemas.openxmlformats.org/drawingml/2006/main">
                  <a:graphicData uri="http://schemas.microsoft.com/office/word/2010/wordprocessingShape">
                    <wps:wsp>
                      <wps:cNvSpPr txBox="1"/>
                      <wps:spPr>
                        <a:xfrm>
                          <a:off x="0" y="0"/>
                          <a:ext cx="2545080" cy="682625"/>
                        </a:xfrm>
                        <a:prstGeom prst="rect">
                          <a:avLst/>
                        </a:prstGeom>
                        <a:noFill/>
                      </wps:spPr>
                      <wps:txbx>
                        <w:txbxContent>
                          <w:p w:rsidR="00500724" w:rsidRDefault="00F30FB8">
                            <w:pPr>
                              <w:pStyle w:val="Jin0"/>
                              <w:shd w:val="clear" w:color="auto" w:fill="auto"/>
                              <w:ind w:firstLine="0"/>
                              <w:jc w:val="left"/>
                              <w:rPr>
                                <w:sz w:val="90"/>
                                <w:szCs w:val="90"/>
                              </w:rPr>
                            </w:pPr>
                            <w:r>
                              <w:rPr>
                                <w:sz w:val="90"/>
                                <w:szCs w:val="90"/>
                              </w:rPr>
                              <w:t>řřtomnosO</w:t>
                            </w:r>
                          </w:p>
                        </w:txbxContent>
                      </wps:txbx>
                      <wps:bodyPr lIns="0" tIns="0" rIns="0" bIns="0">
                        <a:spAutoFit/>
                      </wps:bodyPr>
                    </wps:wsp>
                  </a:graphicData>
                </a:graphic>
              </wp:anchor>
            </w:drawing>
          </mc:Choice>
          <mc:Fallback>
            <w:pict>
              <v:shape id="_x0000_s1831" type="#_x0000_t202" style="position:absolute;margin-left:20.5pt;margin-top:88.299999999999997pt;width:200.40000000000001pt;height:53.75pt;z-index:-125828571;mso-wrap-distance-left:27.5pt;mso-wrap-distance-right:9.25pt;mso-wrap-distance-bottom:38.89999999999999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90"/>
                          <w:szCs w:val="90"/>
                        </w:rPr>
                      </w:pPr>
                      <w:r>
                        <w:rPr>
                          <w:color w:val="000000"/>
                          <w:spacing w:val="0"/>
                          <w:w w:val="100"/>
                          <w:position w:val="0"/>
                          <w:sz w:val="90"/>
                          <w:szCs w:val="90"/>
                          <w:shd w:val="clear" w:color="auto" w:fill="auto"/>
                          <w:lang w:val="cs-CZ" w:eastAsia="cs-CZ" w:bidi="cs-CZ"/>
                        </w:rPr>
                        <w:t>řřtomnosO</w:t>
                      </w:r>
                    </w:p>
                  </w:txbxContent>
                </v:textbox>
                <w10:wrap type="square" side="right" anchorx="page"/>
              </v:shape>
            </w:pict>
          </mc:Fallback>
        </mc:AlternateContent>
      </w:r>
      <w:r>
        <w:rPr>
          <w:noProof/>
        </w:rPr>
        <mc:AlternateContent>
          <mc:Choice Requires="wps">
            <w:drawing>
              <wp:anchor distT="856615" distB="0" distL="114300" distR="114300" simplePos="0" relativeHeight="125830184" behindDoc="0" locked="0" layoutInCell="1" allowOverlap="1">
                <wp:simplePos x="0" y="0"/>
                <wp:positionH relativeFrom="page">
                  <wp:posOffset>26035</wp:posOffset>
                </wp:positionH>
                <wp:positionV relativeFrom="paragraph">
                  <wp:posOffset>1978025</wp:posOffset>
                </wp:positionV>
                <wp:extent cx="2782570" cy="320040"/>
                <wp:effectExtent l="0" t="0" r="0" b="0"/>
                <wp:wrapSquare wrapText="right"/>
                <wp:docPr id="807" name="Shape 807"/>
                <wp:cNvGraphicFramePr/>
                <a:graphic xmlns:a="http://schemas.openxmlformats.org/drawingml/2006/main">
                  <a:graphicData uri="http://schemas.microsoft.com/office/word/2010/wordprocessingShape">
                    <wps:wsp>
                      <wps:cNvSpPr txBox="1"/>
                      <wps:spPr>
                        <a:xfrm>
                          <a:off x="0" y="0"/>
                          <a:ext cx="2782570" cy="32004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rPr>
                              <w:t>řídí Ferd. Peroutka</w:t>
                            </w:r>
                          </w:p>
                        </w:txbxContent>
                      </wps:txbx>
                      <wps:bodyPr lIns="0" tIns="0" rIns="0" bIns="0">
                        <a:spAutoFit/>
                      </wps:bodyPr>
                    </wps:wsp>
                  </a:graphicData>
                </a:graphic>
              </wp:anchor>
            </w:drawing>
          </mc:Choice>
          <mc:Fallback>
            <w:pict>
              <v:shape id="_x0000_s1833" type="#_x0000_t202" style="position:absolute;margin-left:2.0499999999999998pt;margin-top:155.75pt;width:219.09999999999999pt;height:25.199999999999999pt;z-index:-125828569;mso-wrap-distance-left:9.pt;mso-wrap-distance-top:67.450000000000003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420" w:line="348" w:lineRule="auto"/>
        <w:ind w:left="280" w:hanging="280"/>
      </w:pPr>
      <w:r>
        <w:t>OBSAH PŘÍTOMNOSTI č. 32.: Pavel Hofman: Irsko v boji. — Walter Greiling: Chemie ve světové válce. — Jugoslávská fede</w:t>
      </w:r>
      <w:r>
        <w:softHyphen/>
        <w:t>race. — Vrchní velitel dohody. — Lumír Civmý: O mladých a o morálce prov</w:t>
      </w:r>
      <w:r>
        <w:t>isoria. — Otto Jírovec: Universitní a vědecká čtvrť v Praze. — Týdenní přehled. — Organisace a duch. — Přeměny. — O nová jména. — Podivné zábaviěky. — Konec okružních lístků. — Nesnáze s moderním uměním. —</w:t>
      </w:r>
    </w:p>
    <w:p w:rsidR="00500724" w:rsidRDefault="00F30FB8">
      <w:pPr>
        <w:pStyle w:val="Nadpis90"/>
        <w:keepNext/>
        <w:keepLines/>
        <w:shd w:val="clear" w:color="auto" w:fill="auto"/>
        <w:spacing w:after="140"/>
        <w:ind w:left="220"/>
      </w:pPr>
      <w:bookmarkStart w:id="825" w:name="bookmark824"/>
      <w:r>
        <w:rPr>
          <w:u w:val="single"/>
        </w:rPr>
        <w:t>nezávislý týdeník</w:t>
      </w:r>
      <w:bookmarkEnd w:id="825"/>
    </w:p>
    <w:p w:rsidR="00500724" w:rsidRDefault="00F30FB8">
      <w:pPr>
        <w:pStyle w:val="Zkladntext100"/>
        <w:shd w:val="clear" w:color="auto" w:fill="auto"/>
        <w:spacing w:line="300" w:lineRule="auto"/>
        <w:ind w:right="80" w:firstLine="0"/>
        <w:jc w:val="center"/>
      </w:pPr>
      <w:r>
        <w:t xml:space="preserve">vychází ve středu v </w:t>
      </w:r>
      <w:r>
        <w:t>nakladatelství</w:t>
      </w:r>
      <w:r>
        <w:br/>
        <w:t>FR. BOROVÝ V PRAZE I„ NÁRODNÍ TŘÍDA 11.</w:t>
      </w:r>
    </w:p>
    <w:p w:rsidR="00500724" w:rsidRDefault="00F30FB8">
      <w:pPr>
        <w:pStyle w:val="Zkladntext40"/>
        <w:shd w:val="clear" w:color="auto" w:fill="auto"/>
        <w:spacing w:after="0" w:line="240" w:lineRule="auto"/>
        <w:jc w:val="right"/>
      </w:pPr>
      <w:r>
        <w:t xml:space="preserve">TelefoD čislo 390-51 až 54 • Účet cošíovní spořitelny číslo 35.622 • Nevyžádané rukopisy se nevracejí </w:t>
      </w:r>
      <w:r>
        <w:rPr>
          <w:sz w:val="19"/>
          <w:szCs w:val="19"/>
        </w:rPr>
        <w:t xml:space="preserve">o </w:t>
      </w:r>
      <w:r>
        <w:t xml:space="preserve">Předplatné na rok K 100.—, na půl roku K 50.—. na čtvrt roku K 25.—. jednotlivá čísla K 2.—. </w:t>
      </w:r>
      <w:r>
        <w:rPr>
          <w:lang w:val="en-US" w:eastAsia="en-US" w:bidi="en-US"/>
        </w:rPr>
        <w:t>Pour</w:t>
      </w:r>
      <w:r>
        <w:rPr>
          <w:lang w:val="en-US" w:eastAsia="en-US" w:bidi="en-US"/>
        </w:rPr>
        <w:t xml:space="preserve"> </w:t>
      </w:r>
      <w:r>
        <w:t xml:space="preserve">la France et ses </w:t>
      </w:r>
      <w:r>
        <w:rPr>
          <w:lang w:val="en-US" w:eastAsia="en-US" w:bidi="en-US"/>
        </w:rPr>
        <w:t xml:space="preserve">Colonies </w:t>
      </w:r>
      <w:r>
        <w:t>Frs 2.50. • Dohléd. pošt. úřad Praha 25. • Odpovědný redaktor Zdeněk Richter.</w:t>
      </w:r>
    </w:p>
    <w:p w:rsidR="00500724" w:rsidRDefault="00F30FB8">
      <w:pPr>
        <w:pStyle w:val="Zkladntext100"/>
        <w:shd w:val="clear" w:color="auto" w:fill="auto"/>
        <w:spacing w:after="80"/>
        <w:ind w:firstLine="0"/>
        <w:jc w:val="center"/>
      </w:pPr>
      <w:r>
        <w:t>TISKEM ORBIS, PRAHA XII., FOCHOVA 62.</w:t>
      </w:r>
      <w:r>
        <w:br w:type="page"/>
      </w:r>
    </w:p>
    <w:p w:rsidR="00500724" w:rsidRDefault="00F30FB8">
      <w:pPr>
        <w:pStyle w:val="Nadpis60"/>
        <w:keepNext/>
        <w:keepLines/>
        <w:pBdr>
          <w:bottom w:val="single" w:sz="4" w:space="0" w:color="auto"/>
        </w:pBdr>
        <w:shd w:val="clear" w:color="auto" w:fill="auto"/>
        <w:ind w:right="100"/>
        <w:rPr>
          <w:sz w:val="94"/>
          <w:szCs w:val="94"/>
        </w:rPr>
        <w:sectPr w:rsidR="00500724">
          <w:footnotePr>
            <w:numFmt w:val="chicago"/>
            <w:numRestart w:val="eachPage"/>
          </w:footnotePr>
          <w:type w:val="continuous"/>
          <w:pgSz w:w="11909" w:h="16834"/>
          <w:pgMar w:top="1904" w:right="1108" w:bottom="0" w:left="160" w:header="0" w:footer="3" w:gutter="0"/>
          <w:cols w:space="720"/>
          <w:noEndnote/>
          <w:docGrid w:linePitch="360"/>
        </w:sectPr>
      </w:pPr>
      <w:bookmarkStart w:id="826" w:name="bookmark825"/>
      <w:r>
        <w:rPr>
          <w:sz w:val="94"/>
          <w:szCs w:val="94"/>
        </w:rPr>
        <w:t>Přítomnosti</w:t>
      </w:r>
      <w:bookmarkEnd w:id="826"/>
    </w:p>
    <w:p w:rsidR="00500724" w:rsidRDefault="00500724">
      <w:pPr>
        <w:spacing w:line="86" w:lineRule="exact"/>
        <w:rPr>
          <w:sz w:val="7"/>
          <w:szCs w:val="7"/>
        </w:rPr>
      </w:pPr>
    </w:p>
    <w:p w:rsidR="00500724" w:rsidRDefault="00500724">
      <w:pPr>
        <w:spacing w:line="14" w:lineRule="exact"/>
        <w:sectPr w:rsidR="00500724">
          <w:footnotePr>
            <w:numFmt w:val="chicago"/>
            <w:numRestart w:val="eachPage"/>
          </w:footnotePr>
          <w:type w:val="continuous"/>
          <w:pgSz w:w="11909" w:h="16834"/>
          <w:pgMar w:top="2969" w:right="0" w:bottom="978" w:left="0" w:header="0" w:footer="3" w:gutter="0"/>
          <w:cols w:space="720"/>
          <w:noEndnote/>
          <w:docGrid w:linePitch="360"/>
        </w:sectPr>
      </w:pPr>
    </w:p>
    <w:p w:rsidR="00500724" w:rsidRDefault="00500724">
      <w:pPr>
        <w:spacing w:line="14" w:lineRule="exact"/>
      </w:pPr>
    </w:p>
    <w:p w:rsidR="00500724" w:rsidRDefault="00500724">
      <w:pPr>
        <w:spacing w:line="14" w:lineRule="exact"/>
        <w:sectPr w:rsidR="00500724">
          <w:footnotePr>
            <w:numFmt w:val="chicago"/>
            <w:numRestart w:val="eachPage"/>
          </w:footnotePr>
          <w:type w:val="continuous"/>
          <w:pgSz w:w="11909" w:h="16834"/>
          <w:pgMar w:top="2969" w:right="355" w:bottom="978" w:left="398" w:header="0" w:footer="3" w:gutter="0"/>
          <w:cols w:space="720"/>
          <w:noEndnote/>
          <w:docGrid w:linePitch="360"/>
        </w:sectPr>
      </w:pPr>
    </w:p>
    <w:p w:rsidR="00500724" w:rsidRDefault="00F30FB8">
      <w:pPr>
        <w:pStyle w:val="Jin0"/>
        <w:shd w:val="clear" w:color="auto" w:fill="auto"/>
        <w:spacing w:after="160"/>
        <w:ind w:left="180" w:firstLine="0"/>
        <w:jc w:val="left"/>
        <w:rPr>
          <w:sz w:val="28"/>
          <w:szCs w:val="28"/>
        </w:rPr>
      </w:pPr>
      <w:r>
        <w:rPr>
          <w:b/>
          <w:bCs/>
          <w:sz w:val="28"/>
          <w:szCs w:val="28"/>
        </w:rPr>
        <w:t xml:space="preserve">Soumrak </w:t>
      </w:r>
      <w:r>
        <w:rPr>
          <w:b/>
          <w:bCs/>
          <w:sz w:val="28"/>
          <w:szCs w:val="28"/>
        </w:rPr>
        <w:t>evropského parlamentarismu</w:t>
      </w:r>
    </w:p>
    <w:p w:rsidR="00500724" w:rsidRDefault="00F30FB8">
      <w:pPr>
        <w:pStyle w:val="Zkladntext20"/>
        <w:framePr w:dropCap="drop" w:lines="2" w:hSpace="34" w:vSpace="34" w:wrap="auto" w:vAnchor="text" w:hAnchor="text"/>
        <w:shd w:val="clear" w:color="auto" w:fill="auto"/>
        <w:spacing w:line="282" w:lineRule="exact"/>
        <w:ind w:firstLine="0"/>
        <w:rPr>
          <w:sz w:val="20"/>
          <w:szCs w:val="20"/>
        </w:rPr>
      </w:pPr>
      <w:r>
        <w:rPr>
          <w:position w:val="-6"/>
          <w:sz w:val="44"/>
          <w:szCs w:val="44"/>
        </w:rPr>
        <w:t>Z</w:t>
      </w:r>
    </w:p>
    <w:p w:rsidR="00500724" w:rsidRDefault="00F30FB8">
      <w:pPr>
        <w:pStyle w:val="Zkladntext20"/>
        <w:shd w:val="clear" w:color="auto" w:fill="auto"/>
        <w:spacing w:line="221" w:lineRule="auto"/>
        <w:ind w:firstLine="0"/>
        <w:rPr>
          <w:sz w:val="20"/>
          <w:szCs w:val="20"/>
        </w:rPr>
      </w:pPr>
      <w:r>
        <w:rPr>
          <w:sz w:val="20"/>
          <w:szCs w:val="20"/>
        </w:rPr>
        <w:t>ačátkem srpna se předseda britské vlády hrdlil s vlivnou částí dolní sněmovny o otázku, zdali se má jít na prázdniny. Celá oposice a část konservativní strany byly proti tomu, předseda vlády se svými věr</w:t>
      </w:r>
      <w:r>
        <w:rPr>
          <w:sz w:val="20"/>
          <w:szCs w:val="20"/>
        </w:rPr>
        <w:softHyphen/>
        <w:t xml:space="preserve">nými pro to, dávaje </w:t>
      </w:r>
      <w:r>
        <w:rPr>
          <w:sz w:val="20"/>
          <w:szCs w:val="20"/>
        </w:rPr>
        <w:t>najevo, že vláda parlamentu nepo</w:t>
      </w:r>
      <w:r>
        <w:rPr>
          <w:sz w:val="20"/>
          <w:szCs w:val="20"/>
        </w:rPr>
        <w:softHyphen/>
        <w:t>třebuje, a že jí bude lépe bez něho. Ve Francii vládne Daladier bez parlamentu a jeho kabinet vrhá do pře</w:t>
      </w:r>
      <w:r>
        <w:rPr>
          <w:sz w:val="20"/>
          <w:szCs w:val="20"/>
        </w:rPr>
        <w:softHyphen/>
        <w:t>kvapené veřejnosti v pravidelných údobích desítky a desítky vládních nařízení, která by jinak parlament nepropustil b</w:t>
      </w:r>
      <w:r>
        <w:rPr>
          <w:sz w:val="20"/>
          <w:szCs w:val="20"/>
        </w:rPr>
        <w:t>ez nekonečných debat, a která by se proto asi vůbec neuskutečnila. Kdo ještě dost nevěří, že se se starou Evropou něco děje, tady má důkazy dost pře</w:t>
      </w:r>
      <w:r>
        <w:rPr>
          <w:sz w:val="20"/>
          <w:szCs w:val="20"/>
        </w:rPr>
        <w:softHyphen/>
        <w:t>svědčující. V jedné z nejstarších evropských demo</w:t>
      </w:r>
      <w:r>
        <w:rPr>
          <w:sz w:val="20"/>
          <w:szCs w:val="20"/>
        </w:rPr>
        <w:softHyphen/>
        <w:t>kracií je parlament na čas vyřáděn a omezuje se na to, že</w:t>
      </w:r>
      <w:r>
        <w:rPr>
          <w:sz w:val="20"/>
          <w:szCs w:val="20"/>
        </w:rPr>
        <w:t xml:space="preserve"> usnesením o plné moci ústavně legitimuje vládní dekrety, a ve druhé vláda nutí parlament, aby šel na prázdniny, to jest, aby na čas zastavil svou kontrolní činnost. K takovým koncům to dopracovala zastupitel</w:t>
      </w:r>
      <w:r>
        <w:rPr>
          <w:sz w:val="20"/>
          <w:szCs w:val="20"/>
        </w:rPr>
        <w:softHyphen/>
        <w:t>ská demokracie.</w:t>
      </w:r>
    </w:p>
    <w:p w:rsidR="00500724" w:rsidRDefault="00F30FB8">
      <w:pPr>
        <w:pStyle w:val="Zkladntext20"/>
        <w:shd w:val="clear" w:color="auto" w:fill="auto"/>
        <w:spacing w:line="221" w:lineRule="auto"/>
        <w:rPr>
          <w:sz w:val="20"/>
          <w:szCs w:val="20"/>
        </w:rPr>
      </w:pPr>
      <w:r>
        <w:rPr>
          <w:sz w:val="20"/>
          <w:szCs w:val="20"/>
        </w:rPr>
        <w:t>Před dvaceti lety rostly v Evro</w:t>
      </w:r>
      <w:r>
        <w:rPr>
          <w:sz w:val="20"/>
          <w:szCs w:val="20"/>
        </w:rPr>
        <w:t>pě parlamenty jako houby po dešti a podobaly se sobě navzájem jako blí</w:t>
      </w:r>
      <w:r>
        <w:rPr>
          <w:sz w:val="20"/>
          <w:szCs w:val="20"/>
        </w:rPr>
        <w:softHyphen/>
        <w:t>ženci. Jen Rusko a Turecko se svými diktaturami byly výjimkou; na čas také Maďarsko, které se však brzy od komunistického experimentu vrátilo k svému sta</w:t>
      </w:r>
      <w:r>
        <w:rPr>
          <w:sz w:val="20"/>
          <w:szCs w:val="20"/>
        </w:rPr>
        <w:softHyphen/>
        <w:t>rému feudálnímu parlamentu. Vše</w:t>
      </w:r>
      <w:r>
        <w:rPr>
          <w:sz w:val="20"/>
          <w:szCs w:val="20"/>
        </w:rPr>
        <w:t>chny nové nebo ob</w:t>
      </w:r>
      <w:r>
        <w:rPr>
          <w:sz w:val="20"/>
          <w:szCs w:val="20"/>
        </w:rPr>
        <w:softHyphen/>
        <w:t>novené státy si daly krajně demokratickou ústavu. F i n s k o, země se starými samosprávnými tradicemi ještě z dob švédských, si zřídilo jednokomorovou sně</w:t>
      </w:r>
      <w:r>
        <w:rPr>
          <w:sz w:val="20"/>
          <w:szCs w:val="20"/>
        </w:rPr>
        <w:softHyphen/>
        <w:t>movnu s přímým, poměrným, tajným a obecným voleb</w:t>
      </w:r>
      <w:r>
        <w:rPr>
          <w:sz w:val="20"/>
          <w:szCs w:val="20"/>
        </w:rPr>
        <w:softHyphen/>
        <w:t>ním řádem. Podobně Estonsko, s tí</w:t>
      </w:r>
      <w:r>
        <w:rPr>
          <w:sz w:val="20"/>
          <w:szCs w:val="20"/>
        </w:rPr>
        <w:t xml:space="preserve">m rozdílem, že předseda vlády byl zároveň presidentem. Estonská ústava byla však revidována roku 1934, byl zřízen úřad voleného presidenta, avšak parlament byl suspendován a vláda začala vydávat zákony sama. Také Lotyšsko si dalo demokratickou ústavu, ale </w:t>
      </w:r>
      <w:r>
        <w:rPr>
          <w:sz w:val="20"/>
          <w:szCs w:val="20"/>
        </w:rPr>
        <w:t>roku 1934 vyhlásil předseda vlády Ulmanis diktaturu a parlamentní vládu zrušil. Do třetice prodělala podobný osud Litva. Vy</w:t>
      </w:r>
      <w:r>
        <w:rPr>
          <w:sz w:val="20"/>
          <w:szCs w:val="20"/>
        </w:rPr>
        <w:softHyphen/>
        <w:t>nořila se z poválečného zmatku jako parlamentní re</w:t>
      </w:r>
      <w:r>
        <w:rPr>
          <w:sz w:val="20"/>
          <w:szCs w:val="20"/>
        </w:rPr>
        <w:softHyphen/>
        <w:t>publika s jednokomorovou sněmovnou a poměrným za</w:t>
      </w:r>
      <w:r>
        <w:rPr>
          <w:sz w:val="20"/>
          <w:szCs w:val="20"/>
        </w:rPr>
        <w:softHyphen/>
        <w:t>stoupením, ale tuto soustavu zvr</w:t>
      </w:r>
      <w:r>
        <w:rPr>
          <w:sz w:val="20"/>
          <w:szCs w:val="20"/>
        </w:rPr>
        <w:t>átil vojenský převrat z roku 1926, jímž nabyli president Smetona a minister</w:t>
      </w:r>
      <w:r>
        <w:rPr>
          <w:sz w:val="20"/>
          <w:szCs w:val="20"/>
        </w:rPr>
        <w:softHyphen/>
        <w:t>ský předseda Voldemaras diktátorské moci. Ústava byla revidována roku 1928, kdy byla volba presidenta přenesena na lid, ale parlamentní vláda už obnovena nebyla.</w:t>
      </w:r>
    </w:p>
    <w:p w:rsidR="00500724" w:rsidRDefault="00F30FB8">
      <w:pPr>
        <w:pStyle w:val="Zkladntext20"/>
        <w:shd w:val="clear" w:color="auto" w:fill="auto"/>
        <w:spacing w:line="221" w:lineRule="auto"/>
        <w:rPr>
          <w:sz w:val="20"/>
          <w:szCs w:val="20"/>
        </w:rPr>
      </w:pPr>
      <w:r>
        <w:rPr>
          <w:sz w:val="20"/>
          <w:szCs w:val="20"/>
        </w:rPr>
        <w:t>Také ústava obnove</w:t>
      </w:r>
      <w:r>
        <w:rPr>
          <w:sz w:val="20"/>
          <w:szCs w:val="20"/>
        </w:rPr>
        <w:t>né polské republiky byla ryze demokratická a připínala se jako k vzoru spíše ke kon</w:t>
      </w:r>
      <w:r>
        <w:rPr>
          <w:sz w:val="20"/>
          <w:szCs w:val="20"/>
        </w:rPr>
        <w:softHyphen/>
        <w:t>stituci francouzské než k tradicím dřívějšího Polska. Zákonodárnou moc vykonával sejm, volený na pět let, a senát. Volební právo bylo obecné, tajné, přímé a za</w:t>
      </w:r>
      <w:r>
        <w:rPr>
          <w:sz w:val="20"/>
          <w:szCs w:val="20"/>
        </w:rPr>
        <w:softHyphen/>
        <w:t>stoupení pom</w:t>
      </w:r>
      <w:r>
        <w:rPr>
          <w:sz w:val="20"/>
          <w:szCs w:val="20"/>
        </w:rPr>
        <w:t>ěrné. Na rozdíl od malých pobaltských stá</w:t>
      </w:r>
      <w:r>
        <w:rPr>
          <w:sz w:val="20"/>
          <w:szCs w:val="20"/>
        </w:rPr>
        <w:softHyphen/>
        <w:t>tů si Polsko dalo senát, aby korigoval zákonodárné pře</w:t>
      </w:r>
      <w:r>
        <w:rPr>
          <w:sz w:val="20"/>
          <w:szCs w:val="20"/>
        </w:rPr>
        <w:softHyphen/>
        <w:t>hmaty sejmu; měl o tři čtvrtiny méně členů než sejm a jeho pravomoc byla užší. President se volil podle fran</w:t>
      </w:r>
      <w:r>
        <w:rPr>
          <w:sz w:val="20"/>
          <w:szCs w:val="20"/>
        </w:rPr>
        <w:softHyphen/>
        <w:t>couzského způsobu v národ, shromáždění, t. j. ve s</w:t>
      </w:r>
      <w:r>
        <w:rPr>
          <w:sz w:val="20"/>
          <w:szCs w:val="20"/>
        </w:rPr>
        <w:t>po</w:t>
      </w:r>
      <w:r>
        <w:rPr>
          <w:sz w:val="20"/>
          <w:szCs w:val="20"/>
        </w:rPr>
        <w:softHyphen/>
        <w:t xml:space="preserve">lečné schůzi sejmu a senátu na sedm let. Při pohnuté vnitřní historii Polska v poválečné době není divu, </w:t>
      </w:r>
      <w:r>
        <w:rPr>
          <w:b/>
          <w:bCs/>
          <w:sz w:val="20"/>
          <w:szCs w:val="20"/>
        </w:rPr>
        <w:t xml:space="preserve">že </w:t>
      </w:r>
      <w:r>
        <w:rPr>
          <w:sz w:val="20"/>
          <w:szCs w:val="20"/>
        </w:rPr>
        <w:t>tato ústava je dnes dokumentem spíše historickým než aktuálním. Parlamentarismus měl v Polsku těžké za</w:t>
      </w:r>
      <w:r>
        <w:rPr>
          <w:sz w:val="20"/>
          <w:szCs w:val="20"/>
        </w:rPr>
        <w:softHyphen/>
        <w:t>čátky a parlamentní vlády byly slabé a nes</w:t>
      </w:r>
      <w:r>
        <w:rPr>
          <w:sz w:val="20"/>
          <w:szCs w:val="20"/>
        </w:rPr>
        <w:t>tálé. Roz</w:t>
      </w:r>
      <w:r>
        <w:rPr>
          <w:sz w:val="20"/>
          <w:szCs w:val="20"/>
        </w:rPr>
        <w:softHyphen/>
        <w:t xml:space="preserve">pory mezi konservativním nacionalismem na pravici </w:t>
      </w:r>
      <w:r>
        <w:rPr>
          <w:b/>
          <w:bCs/>
          <w:sz w:val="20"/>
          <w:szCs w:val="20"/>
        </w:rPr>
        <w:t xml:space="preserve">a </w:t>
      </w:r>
      <w:r>
        <w:rPr>
          <w:sz w:val="20"/>
          <w:szCs w:val="20"/>
        </w:rPr>
        <w:t>socialismem a komunismem na levici — při rozmani</w:t>
      </w:r>
      <w:r>
        <w:rPr>
          <w:sz w:val="20"/>
          <w:szCs w:val="20"/>
        </w:rPr>
        <w:softHyphen/>
        <w:t>tosti selských stran ve středu a při několika stranách menšinových — daly se těžko vyrovnávat parlament</w:t>
      </w:r>
      <w:r>
        <w:rPr>
          <w:sz w:val="20"/>
          <w:szCs w:val="20"/>
        </w:rPr>
        <w:softHyphen/>
        <w:t xml:space="preserve">ním kompromisem. To se ukázalo hned roku </w:t>
      </w:r>
      <w:r>
        <w:rPr>
          <w:sz w:val="20"/>
          <w:szCs w:val="20"/>
        </w:rPr>
        <w:t>1922, kdy byl brzy po svém zvolení zastřelen pravicovým radi</w:t>
      </w:r>
      <w:r>
        <w:rPr>
          <w:sz w:val="20"/>
          <w:szCs w:val="20"/>
        </w:rPr>
        <w:softHyphen/>
        <w:t>kálem president Narutowicz, kandidát levice. Poslední parlamentní vládou v pravém smyslu slova byl třetí kabinet Witošův roku 1926, svržený vojenským pře</w:t>
      </w:r>
      <w:r>
        <w:rPr>
          <w:sz w:val="20"/>
          <w:szCs w:val="20"/>
        </w:rPr>
        <w:softHyphen/>
        <w:t>vratem Pilsudského. Pilsudski tehdy žádal</w:t>
      </w:r>
      <w:r>
        <w:rPr>
          <w:sz w:val="20"/>
          <w:szCs w:val="20"/>
        </w:rPr>
        <w:t>, aby vláda odstoupila, a obviňoval ji z korupce a nevýkonnosti. Když president a vláda odepřeli a hrozili naopak Pil- sudskému soudním stíháním, nastoupil maršál se svým vojskem pochod na Varšavu. President a vláda pak od</w:t>
      </w:r>
      <w:r>
        <w:rPr>
          <w:sz w:val="20"/>
          <w:szCs w:val="20"/>
        </w:rPr>
        <w:softHyphen/>
        <w:t>stoupili, a když Pilsudski odmítl</w:t>
      </w:r>
      <w:r>
        <w:rPr>
          <w:sz w:val="20"/>
          <w:szCs w:val="20"/>
        </w:rPr>
        <w:t xml:space="preserve"> nabídku národního shromáždění, aby se dal zvolit presidentem, byl tento úřad udělen profesoru Mošcickému, který byl roku 1933 s Pilsudského souhlasem zvolen znovu. Třebaže tedy byly na venek zachovány demokratické formy, </w:t>
      </w:r>
      <w:r>
        <w:rPr>
          <w:b/>
          <w:bCs/>
          <w:sz w:val="20"/>
          <w:szCs w:val="20"/>
        </w:rPr>
        <w:t xml:space="preserve">je </w:t>
      </w:r>
      <w:r>
        <w:rPr>
          <w:sz w:val="20"/>
          <w:szCs w:val="20"/>
        </w:rPr>
        <w:t>Polsko od roku 1926 ve skutečno</w:t>
      </w:r>
      <w:r>
        <w:rPr>
          <w:sz w:val="20"/>
          <w:szCs w:val="20"/>
        </w:rPr>
        <w:t>sti pod diktaturou vo</w:t>
      </w:r>
      <w:r>
        <w:rPr>
          <w:sz w:val="20"/>
          <w:szCs w:val="20"/>
        </w:rPr>
        <w:softHyphen/>
        <w:t>jenských spolupracovníků Pilsudského, opírajících se o armádu. Odtud název „plukovnický režim“. Ke konci života Pilsudski ještě uvažoval o ústavní reformě. Chtěl, aby president byl volen lidem ze dvou kandi</w:t>
      </w:r>
      <w:r>
        <w:rPr>
          <w:sz w:val="20"/>
          <w:szCs w:val="20"/>
        </w:rPr>
        <w:softHyphen/>
        <w:t>dátů, z nichž jednoho by st</w:t>
      </w:r>
      <w:r>
        <w:rPr>
          <w:sz w:val="20"/>
          <w:szCs w:val="20"/>
        </w:rPr>
        <w:t>anovil president odstupu</w:t>
      </w:r>
      <w:r>
        <w:rPr>
          <w:sz w:val="20"/>
          <w:szCs w:val="20"/>
        </w:rPr>
        <w:softHyphen/>
        <w:t>jící a druhého výbor národního shromáždění. Vláda by pak byla odpovědna presidentu, nikoli sejmu, který by sice existoval dále, ale ztratil by značnou část své pravomoci. Smyslem této reformy měla být posila vý</w:t>
      </w:r>
      <w:r>
        <w:rPr>
          <w:sz w:val="20"/>
          <w:szCs w:val="20"/>
        </w:rPr>
        <w:softHyphen/>
        <w:t>konné moci.</w:t>
      </w:r>
    </w:p>
    <w:p w:rsidR="00500724" w:rsidRDefault="00F30FB8">
      <w:pPr>
        <w:pStyle w:val="Zkladntext20"/>
        <w:shd w:val="clear" w:color="auto" w:fill="auto"/>
        <w:spacing w:after="80" w:line="180" w:lineRule="auto"/>
        <w:ind w:firstLine="0"/>
        <w:jc w:val="center"/>
        <w:rPr>
          <w:sz w:val="20"/>
          <w:szCs w:val="20"/>
        </w:rPr>
      </w:pPr>
      <w:r>
        <w:rPr>
          <w:sz w:val="20"/>
          <w:szCs w:val="20"/>
        </w:rPr>
        <w:t>•</w:t>
      </w:r>
    </w:p>
    <w:p w:rsidR="00500724" w:rsidRDefault="00F30FB8">
      <w:pPr>
        <w:pStyle w:val="Zkladntext20"/>
        <w:shd w:val="clear" w:color="auto" w:fill="auto"/>
        <w:spacing w:line="221" w:lineRule="auto"/>
        <w:ind w:firstLine="220"/>
        <w:rPr>
          <w:sz w:val="20"/>
          <w:szCs w:val="20"/>
        </w:rPr>
      </w:pPr>
      <w:r>
        <w:rPr>
          <w:sz w:val="20"/>
          <w:szCs w:val="20"/>
        </w:rPr>
        <w:t>Ústavní poměry někdejšího Československa jsou ještě v čerstvé paměti. Původní ústava, v hlav</w:t>
      </w:r>
      <w:r>
        <w:rPr>
          <w:sz w:val="20"/>
          <w:szCs w:val="20"/>
        </w:rPr>
        <w:softHyphen/>
        <w:t>ních rysech podobná ústavě polské a ostatních pováleč</w:t>
      </w:r>
      <w:r>
        <w:rPr>
          <w:sz w:val="20"/>
          <w:szCs w:val="20"/>
        </w:rPr>
        <w:softHyphen/>
        <w:t>ných republik, se dochovala po celou dobu trvání toho</w:t>
      </w:r>
      <w:r>
        <w:rPr>
          <w:sz w:val="20"/>
          <w:szCs w:val="20"/>
        </w:rPr>
        <w:softHyphen/>
        <w:t>to státu. Při množství politických stran bylo to však m</w:t>
      </w:r>
      <w:r>
        <w:rPr>
          <w:sz w:val="20"/>
          <w:szCs w:val="20"/>
        </w:rPr>
        <w:t>ožno jen přísnou stranickou disciplinou a tuhou sou</w:t>
      </w:r>
      <w:r>
        <w:rPr>
          <w:sz w:val="20"/>
          <w:szCs w:val="20"/>
        </w:rPr>
        <w:softHyphen/>
        <w:t xml:space="preserve">stavou koaliční, která přenesla těžiště politické moci z parlamentu do výborů koaličních stran (pětka, osmička), podle okolností buď vládních nebo i mimo- vládních. Via facti to znamenalo značné posílení </w:t>
      </w:r>
      <w:r>
        <w:rPr>
          <w:sz w:val="20"/>
          <w:szCs w:val="20"/>
        </w:rPr>
        <w:t>vý</w:t>
      </w:r>
      <w:r>
        <w:rPr>
          <w:sz w:val="20"/>
          <w:szCs w:val="20"/>
        </w:rPr>
        <w:softHyphen/>
        <w:t>konné moci na úkor moci zákonodárné, ačkoli koaliční vlády samy zase byly uvnitř ochromovány tím, že mezistranické spory byly přenášeny z parlamentu za dveře vládního kabinetu a tam často bývaly neméně tuhé, avšak méně vzrušující, než kdyby se byly odeh</w:t>
      </w:r>
      <w:r>
        <w:rPr>
          <w:sz w:val="20"/>
          <w:szCs w:val="20"/>
        </w:rPr>
        <w:t>rá</w:t>
      </w:r>
      <w:r>
        <w:rPr>
          <w:sz w:val="20"/>
          <w:szCs w:val="20"/>
        </w:rPr>
        <w:softHyphen/>
        <w:t>valy na veřejnosti.</w:t>
      </w:r>
    </w:p>
    <w:p w:rsidR="00500724" w:rsidRDefault="00F30FB8">
      <w:pPr>
        <w:pStyle w:val="Zkladntext20"/>
        <w:shd w:val="clear" w:color="auto" w:fill="auto"/>
        <w:spacing w:line="266" w:lineRule="auto"/>
        <w:ind w:firstLine="220"/>
        <w:rPr>
          <w:sz w:val="19"/>
          <w:szCs w:val="19"/>
        </w:rPr>
        <w:sectPr w:rsidR="00500724">
          <w:footnotePr>
            <w:numFmt w:val="chicago"/>
            <w:numRestart w:val="eachPage"/>
          </w:footnotePr>
          <w:type w:val="continuous"/>
          <w:pgSz w:w="11909" w:h="16834"/>
          <w:pgMar w:top="675" w:right="1080" w:bottom="675" w:left="398" w:header="0" w:footer="3" w:gutter="0"/>
          <w:cols w:num="2" w:space="153"/>
          <w:noEndnote/>
          <w:docGrid w:linePitch="360"/>
        </w:sectPr>
      </w:pPr>
      <w:r>
        <w:rPr>
          <w:sz w:val="20"/>
          <w:szCs w:val="20"/>
        </w:rPr>
        <w:t>Demokratickou a parlamentní republikou bylo v prvních letech svého života také poválečné R a- k o u s k o. Také ono mělo dvoukomorovou soustavu, do níž se volilo obecným, tajným a přímým hlasovacím práve</w:t>
      </w:r>
      <w:r>
        <w:rPr>
          <w:sz w:val="20"/>
          <w:szCs w:val="20"/>
        </w:rPr>
        <w:t>m s poměrným zastoupením. Stát se lišil od ostat</w:t>
      </w:r>
      <w:r>
        <w:rPr>
          <w:sz w:val="20"/>
          <w:szCs w:val="20"/>
        </w:rPr>
        <w:softHyphen/>
        <w:t>ních republik hlavně svou spolkovou povahou. Spol</w:t>
      </w:r>
      <w:r>
        <w:rPr>
          <w:sz w:val="20"/>
          <w:szCs w:val="20"/>
        </w:rPr>
        <w:softHyphen/>
        <w:t xml:space="preserve">ková rada, která měla funkci senátu, byla volena ven- </w:t>
      </w:r>
      <w:r>
        <w:rPr>
          <w:b/>
          <w:bCs/>
          <w:i/>
          <w:iCs/>
          <w:sz w:val="19"/>
          <w:szCs w:val="19"/>
        </w:rPr>
        <w:t>\ sos</w:t>
      </w:r>
    </w:p>
    <w:p w:rsidR="00500724" w:rsidRDefault="00F30FB8">
      <w:pPr>
        <w:pStyle w:val="Nadpis80"/>
        <w:keepNext/>
        <w:keepLines/>
        <w:pBdr>
          <w:bottom w:val="single" w:sz="4" w:space="0" w:color="auto"/>
        </w:pBdr>
        <w:shd w:val="clear" w:color="auto" w:fill="auto"/>
        <w:spacing w:after="0"/>
        <w:jc w:val="center"/>
        <w:rPr>
          <w:sz w:val="44"/>
          <w:szCs w:val="44"/>
        </w:rPr>
        <w:sectPr w:rsidR="00500724">
          <w:footnotePr>
            <w:numFmt w:val="chicago"/>
            <w:numRestart w:val="eachPage"/>
          </w:footnotePr>
          <w:pgSz w:w="11909" w:h="16834"/>
          <w:pgMar w:top="709" w:right="866" w:bottom="1172" w:left="631" w:header="0" w:footer="3" w:gutter="0"/>
          <w:cols w:space="720"/>
          <w:noEndnote/>
          <w:docGrid w:linePitch="360"/>
        </w:sectPr>
      </w:pPr>
      <w:bookmarkStart w:id="827" w:name="bookmark826"/>
      <w:r>
        <w:rPr>
          <w:sz w:val="44"/>
          <w:szCs w:val="44"/>
          <w:u w:val="none"/>
        </w:rPr>
        <w:t>RitonmosO</w:t>
      </w:r>
      <w:bookmarkEnd w:id="827"/>
    </w:p>
    <w:p w:rsidR="00500724" w:rsidRDefault="00500724">
      <w:pPr>
        <w:spacing w:line="34" w:lineRule="exact"/>
        <w:rPr>
          <w:sz w:val="3"/>
          <w:szCs w:val="3"/>
        </w:rPr>
      </w:pPr>
    </w:p>
    <w:p w:rsidR="00500724" w:rsidRDefault="00500724">
      <w:pPr>
        <w:spacing w:line="14" w:lineRule="exact"/>
        <w:sectPr w:rsidR="00500724">
          <w:footnotePr>
            <w:numFmt w:val="chicago"/>
            <w:numRestart w:val="eachPage"/>
          </w:footnotePr>
          <w:type w:val="continuous"/>
          <w:pgSz w:w="11909" w:h="16834"/>
          <w:pgMar w:top="709" w:right="0" w:bottom="1093" w:left="0" w:header="0" w:footer="3" w:gutter="0"/>
          <w:cols w:space="720"/>
          <w:noEndnote/>
          <w:docGrid w:linePitch="360"/>
        </w:sectPr>
      </w:pPr>
    </w:p>
    <w:p w:rsidR="00500724" w:rsidRDefault="00F30FB8">
      <w:pPr>
        <w:pStyle w:val="Zkladntext20"/>
        <w:shd w:val="clear" w:color="auto" w:fill="auto"/>
        <w:spacing w:after="60" w:line="221" w:lineRule="auto"/>
        <w:ind w:firstLine="0"/>
        <w:rPr>
          <w:sz w:val="20"/>
          <w:szCs w:val="20"/>
        </w:rPr>
      </w:pPr>
      <w:r>
        <w:rPr>
          <w:sz w:val="20"/>
          <w:szCs w:val="20"/>
        </w:rPr>
        <w:t xml:space="preserve">kovskými sněmíky. Presidenta </w:t>
      </w:r>
      <w:r>
        <w:rPr>
          <w:sz w:val="20"/>
          <w:szCs w:val="20"/>
        </w:rPr>
        <w:t>volilo spolkové shro máždění (obě komory společně) na čtyři roky. Ten se dělil o výkonnou moc s kancléřem čili předsedou vlá</w:t>
      </w:r>
      <w:r>
        <w:rPr>
          <w:sz w:val="20"/>
          <w:szCs w:val="20"/>
        </w:rPr>
        <w:softHyphen/>
        <w:t>dy, odpovědným spolkovému shromáždění. Země — jednou z nich byla také Vídeň — měly značnou zákono</w:t>
      </w:r>
      <w:r>
        <w:rPr>
          <w:sz w:val="20"/>
          <w:szCs w:val="20"/>
        </w:rPr>
        <w:softHyphen/>
        <w:t>dárnou autonomii. Hlavním politic</w:t>
      </w:r>
      <w:r>
        <w:rPr>
          <w:sz w:val="20"/>
          <w:szCs w:val="20"/>
        </w:rPr>
        <w:t>kým problémem pů</w:t>
      </w:r>
      <w:r>
        <w:rPr>
          <w:sz w:val="20"/>
          <w:szCs w:val="20"/>
        </w:rPr>
        <w:softHyphen/>
        <w:t>vodní rakouské republiky bylo napětí mezi marxistic</w:t>
      </w:r>
      <w:r>
        <w:rPr>
          <w:sz w:val="20"/>
          <w:szCs w:val="20"/>
        </w:rPr>
        <w:softHyphen/>
        <w:t>kou Vídní a křesťansko-sociálním venkovem. To bylo také hlavním důvodem několika ústavních reforem kancléře Schobera z roku 1929, jimiž bylo při volbě presidenta zavedeno lidové hlasování</w:t>
      </w:r>
      <w:r>
        <w:rPr>
          <w:sz w:val="20"/>
          <w:szCs w:val="20"/>
        </w:rPr>
        <w:t xml:space="preserve"> místo parla</w:t>
      </w:r>
      <w:r>
        <w:rPr>
          <w:sz w:val="20"/>
          <w:szCs w:val="20"/>
        </w:rPr>
        <w:softHyphen/>
        <w:t>mentního (přesto se druhá volba Miklasova roku 1931 provedla ještě v parlamentě, aby se uspořilo na výda</w:t>
      </w:r>
      <w:r>
        <w:rPr>
          <w:sz w:val="20"/>
          <w:szCs w:val="20"/>
        </w:rPr>
        <w:softHyphen/>
        <w:t>jích), pravomoc presidentova zvýšena, část důchodů města Vídně odevzdána zemi dolnorakouské a zvětšena kontrola ústřední vlády nad vídeňsk</w:t>
      </w:r>
      <w:r>
        <w:rPr>
          <w:sz w:val="20"/>
          <w:szCs w:val="20"/>
        </w:rPr>
        <w:t>ou policií. Poměry se zatím přiostřovaly a směřovaly k občanské válce. Hlavními politickými silami byl nacionální socialis</w:t>
      </w:r>
      <w:r>
        <w:rPr>
          <w:sz w:val="20"/>
          <w:szCs w:val="20"/>
        </w:rPr>
        <w:softHyphen/>
        <w:t>mus, klerikální Heimwehr a sociálně demokratický Schutzbund. Diktaturu zahájil kancléř Dollfuss, který se politicky opíral o Heimwehr</w:t>
      </w:r>
      <w:r>
        <w:rPr>
          <w:sz w:val="20"/>
          <w:szCs w:val="20"/>
        </w:rPr>
        <w:t>. Roku 1933 rozpustil nacionální socialisty a začal politický boj se sociálními demokraty. To vedlo k obecné stávce a krátké občan</w:t>
      </w:r>
      <w:r>
        <w:rPr>
          <w:sz w:val="20"/>
          <w:szCs w:val="20"/>
        </w:rPr>
        <w:softHyphen/>
        <w:t>ské válce v únoru 1934, při níž byla sociální demokra</w:t>
      </w:r>
      <w:r>
        <w:rPr>
          <w:sz w:val="20"/>
          <w:szCs w:val="20"/>
        </w:rPr>
        <w:softHyphen/>
        <w:t>cie zlomena. Na základě tohoto vítězství přikročil Dollfuss k ústavní r</w:t>
      </w:r>
      <w:r>
        <w:rPr>
          <w:sz w:val="20"/>
          <w:szCs w:val="20"/>
        </w:rPr>
        <w:t>eformě, kterou provedl kusý par</w:t>
      </w:r>
      <w:r>
        <w:rPr>
          <w:sz w:val="20"/>
          <w:szCs w:val="20"/>
        </w:rPr>
        <w:softHyphen/>
        <w:t>lament bez sociálních demokratů a nacionálních socia</w:t>
      </w:r>
      <w:r>
        <w:rPr>
          <w:sz w:val="20"/>
          <w:szCs w:val="20"/>
        </w:rPr>
        <w:softHyphen/>
        <w:t>listů. Nová ústava se opírala o fašistický korporativis- mus a přezvala republiku na „křesťanský spolkový ně</w:t>
      </w:r>
      <w:r>
        <w:rPr>
          <w:sz w:val="20"/>
          <w:szCs w:val="20"/>
        </w:rPr>
        <w:softHyphen/>
        <w:t>mecký stát na korporativní základně“. Prohlásila, že všechna m</w:t>
      </w:r>
      <w:r>
        <w:rPr>
          <w:sz w:val="20"/>
          <w:szCs w:val="20"/>
        </w:rPr>
        <w:t>oc nepochází z vůle lidu, nýbrž z vůle boží. Místo parlamentu, voleného obecným a přímým prá</w:t>
      </w:r>
      <w:r>
        <w:rPr>
          <w:sz w:val="20"/>
          <w:szCs w:val="20"/>
        </w:rPr>
        <w:softHyphen/>
        <w:t>vem, zaujaly čtyři komory: státní rada, jmenovaná presidentem na deset let, spolková hospodářská rada, do níž vysílaly zástupce hospodářské a průmyslové kor</w:t>
      </w:r>
      <w:r>
        <w:rPr>
          <w:sz w:val="20"/>
          <w:szCs w:val="20"/>
        </w:rPr>
        <w:softHyphen/>
        <w:t>porace</w:t>
      </w:r>
      <w:r>
        <w:rPr>
          <w:sz w:val="20"/>
          <w:szCs w:val="20"/>
        </w:rPr>
        <w:t xml:space="preserve"> (společné zaměstnavatelům i zaměstnancům), spolková kulturní rada, v níž byly zastoupeny státem uznané společnosti kulturní a náboženské, a konečně spolková zemská rada, v níž byli předsedové zemských vlád (z Vídně starosta města) a z každé země jeden zna</w:t>
      </w:r>
      <w:r>
        <w:rPr>
          <w:sz w:val="20"/>
          <w:szCs w:val="20"/>
        </w:rPr>
        <w:t>lec finanční. Všechny čtyři rady dohromady tvořily národní shromáždění, které nominovalo presidenta. Volili jej však rakouští starostové, a to na sedm let. Zákonodárnou moc měla spolková sněmovna, která byla výborem ze čtyř jmenovaných rad: po dvaceti zást</w:t>
      </w:r>
      <w:r>
        <w:rPr>
          <w:sz w:val="20"/>
          <w:szCs w:val="20"/>
        </w:rPr>
        <w:t>upcích do ní vysílaly státní rada a spolková hospo</w:t>
      </w:r>
      <w:r>
        <w:rPr>
          <w:sz w:val="20"/>
          <w:szCs w:val="20"/>
        </w:rPr>
        <w:softHyphen/>
        <w:t>dářská rada, deset spolková kulturní rada a pět zemská rada. Takto složená sněmovna měla bez debaty přijímat nebo odmítat zákony a nařízení, jež jí předložila vláda. Byla to soustava hodně složitá, ale pra</w:t>
      </w:r>
      <w:r>
        <w:rPr>
          <w:sz w:val="20"/>
          <w:szCs w:val="20"/>
        </w:rPr>
        <w:t>kticky byla všechna moc v rukou Dollfussových a částečně i Star- hembergových a Miklasových.</w:t>
      </w:r>
    </w:p>
    <w:p w:rsidR="00500724" w:rsidRDefault="00F30FB8">
      <w:pPr>
        <w:pStyle w:val="Zkladntext20"/>
        <w:shd w:val="clear" w:color="auto" w:fill="auto"/>
        <w:spacing w:after="60" w:line="221" w:lineRule="auto"/>
        <w:rPr>
          <w:sz w:val="20"/>
          <w:szCs w:val="20"/>
        </w:rPr>
      </w:pPr>
      <w:r>
        <w:rPr>
          <w:sz w:val="20"/>
          <w:szCs w:val="20"/>
        </w:rPr>
        <w:t>Maďarsko prožilo jakýsi nesmělý pokus o demo</w:t>
      </w:r>
      <w:r>
        <w:rPr>
          <w:sz w:val="20"/>
          <w:szCs w:val="20"/>
        </w:rPr>
        <w:softHyphen/>
        <w:t>kracii vlastně jen v první poválečné krátké vládě Ká- rolyiho. Pak přišel pětiměsíční režim Bély Kúna, ru</w:t>
      </w:r>
      <w:r>
        <w:rPr>
          <w:sz w:val="20"/>
          <w:szCs w:val="20"/>
        </w:rPr>
        <w:softHyphen/>
        <w:t>munská okupa</w:t>
      </w:r>
      <w:r>
        <w:rPr>
          <w:sz w:val="20"/>
          <w:szCs w:val="20"/>
        </w:rPr>
        <w:t>ce, pokus o habsburskou restauraci, na</w:t>
      </w:r>
      <w:r>
        <w:rPr>
          <w:sz w:val="20"/>
          <w:szCs w:val="20"/>
        </w:rPr>
        <w:softHyphen/>
        <w:t>čež se režim ustálil u správcovství Horthyova. Ústavní poměry jsou v celku stejné jako v předválečném Uher</w:t>
      </w:r>
      <w:r>
        <w:rPr>
          <w:sz w:val="20"/>
          <w:szCs w:val="20"/>
        </w:rPr>
        <w:softHyphen/>
        <w:t>sku. Volební právo do sněmovny je omezené a není ani tajné, horní sněmovna se rekrutuje ze zástupců šlechty, ž</w:t>
      </w:r>
      <w:r>
        <w:rPr>
          <w:sz w:val="20"/>
          <w:szCs w:val="20"/>
        </w:rPr>
        <w:t>up, měst, církví, universit, obchodních a průmyslo</w:t>
      </w:r>
      <w:r>
        <w:rPr>
          <w:sz w:val="20"/>
          <w:szCs w:val="20"/>
        </w:rPr>
        <w:softHyphen/>
        <w:t>vých korporací.</w:t>
      </w:r>
    </w:p>
    <w:p w:rsidR="00500724" w:rsidRDefault="00F30FB8">
      <w:pPr>
        <w:pStyle w:val="Zkladntext20"/>
        <w:shd w:val="clear" w:color="auto" w:fill="auto"/>
        <w:spacing w:after="60" w:line="223" w:lineRule="auto"/>
        <w:rPr>
          <w:sz w:val="20"/>
          <w:szCs w:val="20"/>
        </w:rPr>
      </w:pPr>
      <w:r>
        <w:rPr>
          <w:sz w:val="20"/>
          <w:szCs w:val="20"/>
        </w:rPr>
        <w:t>Rumunsko mohlo po svém rozšíření navázat na Sstavní tradici starého království. Zachovalo formu parlamentní vlády a roku 1923 zavedlo obecné volební právo místo dřívějšího omezeného. Proděl</w:t>
      </w:r>
      <w:r>
        <w:rPr>
          <w:sz w:val="20"/>
          <w:szCs w:val="20"/>
        </w:rPr>
        <w:t>alo v pová</w:t>
      </w:r>
      <w:r>
        <w:rPr>
          <w:sz w:val="20"/>
          <w:szCs w:val="20"/>
        </w:rPr>
        <w:softHyphen/>
        <w:t>lečných letech pohnuté změny dynastické a později zápas s Železnou gardou. Obojí se jevilo také změnami režimu a vyústilo nakonec v nebývalé posílení králov</w:t>
      </w:r>
      <w:r>
        <w:rPr>
          <w:sz w:val="20"/>
          <w:szCs w:val="20"/>
        </w:rPr>
        <w:softHyphen/>
        <w:t xml:space="preserve">ské moci Carolovy. Osobnost nynějšího panovníka, jeho povaha, sklony a politické názory </w:t>
      </w:r>
      <w:r>
        <w:rPr>
          <w:sz w:val="20"/>
          <w:szCs w:val="20"/>
        </w:rPr>
        <w:t>hrají v ústav</w:t>
      </w:r>
      <w:r>
        <w:rPr>
          <w:sz w:val="20"/>
          <w:szCs w:val="20"/>
        </w:rPr>
        <w:softHyphen/>
        <w:t xml:space="preserve">ních poměrech této země asi větší roli, než jakou hrál kterýkoli jednotlivec ve státech okolních. Po smrti svého otce Ferdinanda roku 1927 nemohl </w:t>
      </w:r>
      <w:r>
        <w:rPr>
          <w:sz w:val="20"/>
          <w:szCs w:val="20"/>
          <w:lang w:val="en-US" w:eastAsia="en-US" w:bidi="en-US"/>
        </w:rPr>
        <w:t xml:space="preserve">Carol </w:t>
      </w:r>
      <w:r>
        <w:rPr>
          <w:sz w:val="20"/>
          <w:szCs w:val="20"/>
        </w:rPr>
        <w:t>nastou</w:t>
      </w:r>
      <w:r>
        <w:rPr>
          <w:sz w:val="20"/>
          <w:szCs w:val="20"/>
        </w:rPr>
        <w:softHyphen/>
        <w:t>pit na trůn, poněvadž byl zbaven následnictví pro roz</w:t>
      </w:r>
      <w:r>
        <w:rPr>
          <w:sz w:val="20"/>
          <w:szCs w:val="20"/>
        </w:rPr>
        <w:softHyphen/>
        <w:t>chod se svou ženou, řeckou pr</w:t>
      </w:r>
      <w:r>
        <w:rPr>
          <w:sz w:val="20"/>
          <w:szCs w:val="20"/>
        </w:rPr>
        <w:t>inceznou Helenou. Vrá</w:t>
      </w:r>
      <w:r>
        <w:rPr>
          <w:sz w:val="20"/>
          <w:szCs w:val="20"/>
        </w:rPr>
        <w:softHyphen/>
        <w:t>til se však neočekávaně do země roku 1930 v letadle, což mu umožnila volební porážka liberální strany, je</w:t>
      </w:r>
      <w:r>
        <w:rPr>
          <w:sz w:val="20"/>
          <w:szCs w:val="20"/>
        </w:rPr>
        <w:softHyphen/>
        <w:t>jíž vůdcové se ke Carolovi stavěli nepříznivě. Už tím</w:t>
      </w:r>
      <w:r>
        <w:rPr>
          <w:sz w:val="20"/>
          <w:szCs w:val="20"/>
        </w:rPr>
        <w:softHyphen/>
        <w:t>to návratem a tím, že se nakonec proti nepřízni mno</w:t>
      </w:r>
      <w:r>
        <w:rPr>
          <w:sz w:val="20"/>
          <w:szCs w:val="20"/>
        </w:rPr>
        <w:softHyphen/>
        <w:t>hých politiků i své ma</w:t>
      </w:r>
      <w:r>
        <w:rPr>
          <w:sz w:val="20"/>
          <w:szCs w:val="20"/>
        </w:rPr>
        <w:t xml:space="preserve">tky přece jen politicky uplatnil a prosadil, překročil </w:t>
      </w:r>
      <w:r>
        <w:rPr>
          <w:sz w:val="20"/>
          <w:szCs w:val="20"/>
          <w:lang w:val="en-US" w:eastAsia="en-US" w:bidi="en-US"/>
        </w:rPr>
        <w:t xml:space="preserve">Carol </w:t>
      </w:r>
      <w:r>
        <w:rPr>
          <w:sz w:val="20"/>
          <w:szCs w:val="20"/>
        </w:rPr>
        <w:t>daleko rámec působnosti pouhého konstitučního panovníka. K témuž konci vedl vleklý vnitřní zápas Železné gardy s rumunskými libe</w:t>
      </w:r>
      <w:r>
        <w:rPr>
          <w:sz w:val="20"/>
          <w:szCs w:val="20"/>
        </w:rPr>
        <w:softHyphen/>
        <w:t>rály a se stranou selskou. Ten se vyvrcholil ve volbách v prosinci</w:t>
      </w:r>
      <w:r>
        <w:rPr>
          <w:sz w:val="20"/>
          <w:szCs w:val="20"/>
        </w:rPr>
        <w:t xml:space="preserve"> 1937, kdy Tatarescova národně-liberální strana nedosáhla potřebné většiny, a kdy zato silně vzrostla oposice na pravici. Král tehdy k obecnému překvapení svěřil vládu drobné křesťansko-národní straně Gogově, o poznání méně radikální než byla Že</w:t>
      </w:r>
      <w:r>
        <w:rPr>
          <w:sz w:val="20"/>
          <w:szCs w:val="20"/>
        </w:rPr>
        <w:softHyphen/>
        <w:t>lezná gard</w:t>
      </w:r>
      <w:r>
        <w:rPr>
          <w:sz w:val="20"/>
          <w:szCs w:val="20"/>
        </w:rPr>
        <w:t>a. Tato menšinová vláda rozpustila parla</w:t>
      </w:r>
      <w:r>
        <w:rPr>
          <w:sz w:val="20"/>
          <w:szCs w:val="20"/>
        </w:rPr>
        <w:softHyphen/>
        <w:t>ment a vypsala nové volby, ale znemožnila se velice brzy. Král potom pověřil národní vládu v čele s patri</w:t>
      </w:r>
      <w:r>
        <w:rPr>
          <w:sz w:val="20"/>
          <w:szCs w:val="20"/>
        </w:rPr>
        <w:softHyphen/>
        <w:t>archou Cristeou a zahájil ústavní a politické reformy, při nichž rozhodující moc soustředil ve vlastních ru</w:t>
      </w:r>
      <w:r>
        <w:rPr>
          <w:sz w:val="20"/>
          <w:szCs w:val="20"/>
        </w:rPr>
        <w:softHyphen/>
        <w:t>k</w:t>
      </w:r>
      <w:r>
        <w:rPr>
          <w:sz w:val="20"/>
          <w:szCs w:val="20"/>
        </w:rPr>
        <w:t>ou. V únoru 1938 dal lidu odhlasovat novou ústavu, která zvýšila vládní moc, zmenšila počet poslanců a se</w:t>
      </w:r>
      <w:r>
        <w:rPr>
          <w:sz w:val="20"/>
          <w:szCs w:val="20"/>
        </w:rPr>
        <w:softHyphen/>
        <w:t>nátorů, zlepšila parlamentní zastoupení pracujících vrstev a hlavně upevnila moc královskou. Vláda je po</w:t>
      </w:r>
      <w:r>
        <w:rPr>
          <w:sz w:val="20"/>
          <w:szCs w:val="20"/>
        </w:rPr>
        <w:softHyphen/>
        <w:t>dle ní odpovědna výhradně králi, nikoli parla</w:t>
      </w:r>
      <w:r>
        <w:rPr>
          <w:sz w:val="20"/>
          <w:szCs w:val="20"/>
        </w:rPr>
        <w:t>mentu, a vykonává svou moc jménem krále. Král je vrchním ve</w:t>
      </w:r>
      <w:r>
        <w:rPr>
          <w:sz w:val="20"/>
          <w:szCs w:val="20"/>
        </w:rPr>
        <w:softHyphen/>
        <w:t>litelem armády, má právo vypovídat válku a uzavírat mír, může vydávat — v době, kdy jsou rozpuštěna zá</w:t>
      </w:r>
      <w:r>
        <w:rPr>
          <w:sz w:val="20"/>
          <w:szCs w:val="20"/>
        </w:rPr>
        <w:softHyphen/>
        <w:t>konodárná shromáždění, nebo v přestávkách mezi je</w:t>
      </w:r>
      <w:r>
        <w:rPr>
          <w:sz w:val="20"/>
          <w:szCs w:val="20"/>
        </w:rPr>
        <w:softHyphen/>
        <w:t>jich zasedáními — nařízení s mocí zákona, m</w:t>
      </w:r>
      <w:r>
        <w:rPr>
          <w:sz w:val="20"/>
          <w:szCs w:val="20"/>
        </w:rPr>
        <w:t>á právo vydávat peníze, uzavírá politické a vojenské smlouvy s cizími státy, svolává zákonodárné sbory, jež může odročit na jeden rok, a jmenuje a propouští ministry. Z toho je vidět, že vojenství, zahraniční politika a v podstatě také moc výkonná a po pří</w:t>
      </w:r>
      <w:r>
        <w:rPr>
          <w:sz w:val="20"/>
          <w:szCs w:val="20"/>
        </w:rPr>
        <w:t>padě i zákono</w:t>
      </w:r>
      <w:r>
        <w:rPr>
          <w:sz w:val="20"/>
          <w:szCs w:val="20"/>
        </w:rPr>
        <w:softHyphen/>
        <w:t>dárná jsou soustředěny v rukou králových. Mluví se tedy celkem právem o nynějším rumunském režimu jako o královské diktatuře.</w:t>
      </w:r>
    </w:p>
    <w:p w:rsidR="00500724" w:rsidRDefault="00F30FB8">
      <w:pPr>
        <w:pStyle w:val="Zkladntext20"/>
        <w:shd w:val="clear" w:color="auto" w:fill="auto"/>
        <w:spacing w:line="221" w:lineRule="auto"/>
        <w:rPr>
          <w:sz w:val="20"/>
          <w:szCs w:val="20"/>
        </w:rPr>
        <w:sectPr w:rsidR="00500724">
          <w:footnotePr>
            <w:numFmt w:val="chicago"/>
            <w:numRestart w:val="eachPage"/>
          </w:footnotePr>
          <w:type w:val="continuous"/>
          <w:pgSz w:w="11909" w:h="16834"/>
          <w:pgMar w:top="709" w:right="866" w:bottom="1093" w:left="631" w:header="0" w:footer="3" w:gutter="0"/>
          <w:cols w:num="2" w:space="149"/>
          <w:noEndnote/>
          <w:docGrid w:linePitch="360"/>
        </w:sectPr>
      </w:pPr>
      <w:r>
        <w:rPr>
          <w:sz w:val="20"/>
          <w:szCs w:val="20"/>
        </w:rPr>
        <w:t>Také Jugoslávie, ačkoli z jiných příčin a jiným způsobem, se vyvíjela od přísně konsti</w:t>
      </w:r>
      <w:r>
        <w:rPr>
          <w:sz w:val="20"/>
          <w:szCs w:val="20"/>
        </w:rPr>
        <w:t>tuční monarchie v královskou diktaturu. Po válce přizpůsobilo ústavo- dárné shromáždění starou srbskou ústavu potřebám rozšířeného státu. Zřídilo jednokomorový parlament, volený obecným hlasovacím právem mužského obyva</w:t>
      </w:r>
      <w:r>
        <w:rPr>
          <w:sz w:val="20"/>
          <w:szCs w:val="20"/>
        </w:rPr>
        <w:softHyphen/>
        <w:t>telstva na čtyři roky a s poměrným za</w:t>
      </w:r>
      <w:r>
        <w:rPr>
          <w:sz w:val="20"/>
          <w:szCs w:val="20"/>
        </w:rPr>
        <w:t>stoupením. Vláda byla odpovědna parlamentu (skupštině). Tento prvotní jugoslávský parlamentarismus ztroskotal hlavně na největším vnitřním problému Jugoslávie, totiž na sporu mezi Srby a Chorvaty. Spor ten vyvrcholil roku 1928 zastřelením Štěpána Řadiče, n</w:t>
      </w:r>
      <w:r>
        <w:rPr>
          <w:sz w:val="20"/>
          <w:szCs w:val="20"/>
        </w:rPr>
        <w:t>ačež král Alexander za</w:t>
      </w:r>
      <w:r>
        <w:rPr>
          <w:sz w:val="20"/>
          <w:szCs w:val="20"/>
        </w:rPr>
        <w:softHyphen/>
        <w:t>čátkem ledna 1929 rozpustil parlament, suspendoval ústavu, změnil jméno státu z dřívějšího království Srbů, Chorvatů a Slovinců na království Jugoslávie, zavedl tuhou kontrolu tisku a všeho politického života. Pokoušel se zkrátka stm</w:t>
      </w:r>
      <w:r>
        <w:rPr>
          <w:sz w:val="20"/>
          <w:szCs w:val="20"/>
        </w:rPr>
        <w:t>elit Jugoslávii v ucelený ná-</w:t>
      </w:r>
    </w:p>
    <w:p w:rsidR="00500724" w:rsidRDefault="00F30FB8">
      <w:pPr>
        <w:pStyle w:val="Jin0"/>
        <w:pBdr>
          <w:bottom w:val="single" w:sz="4" w:space="0" w:color="auto"/>
        </w:pBdr>
        <w:shd w:val="clear" w:color="auto" w:fill="auto"/>
        <w:ind w:left="60" w:firstLine="0"/>
        <w:jc w:val="center"/>
        <w:rPr>
          <w:sz w:val="34"/>
          <w:szCs w:val="34"/>
        </w:rPr>
        <w:sectPr w:rsidR="00500724">
          <w:footnotePr>
            <w:numFmt w:val="chicago"/>
            <w:numRestart w:val="eachPage"/>
          </w:footnotePr>
          <w:pgSz w:w="11909" w:h="16834"/>
          <w:pgMar w:top="917" w:right="1159" w:bottom="472" w:left="343" w:header="0" w:footer="3" w:gutter="0"/>
          <w:cols w:space="720"/>
          <w:noEndnote/>
          <w:docGrid w:linePitch="360"/>
        </w:sectPr>
      </w:pPr>
      <w:r>
        <w:rPr>
          <w:rFonts w:ascii="Arial" w:eastAsia="Arial" w:hAnsi="Arial" w:cs="Arial"/>
          <w:sz w:val="34"/>
          <w:szCs w:val="34"/>
          <w:lang w:val="en-US" w:eastAsia="en-US" w:bidi="en-US"/>
        </w:rPr>
        <w:t>Phtnnrnn^</w:t>
      </w:r>
      <w:r>
        <w:rPr>
          <w:rFonts w:ascii="Arial" w:eastAsia="Arial" w:hAnsi="Arial" w:cs="Arial"/>
          <w:sz w:val="34"/>
          <w:szCs w:val="34"/>
        </w:rPr>
        <w:t>,</w:t>
      </w:r>
    </w:p>
    <w:p w:rsidR="00500724" w:rsidRDefault="00500724">
      <w:pPr>
        <w:spacing w:line="127" w:lineRule="exact"/>
        <w:rPr>
          <w:sz w:val="10"/>
          <w:szCs w:val="10"/>
        </w:rPr>
      </w:pPr>
    </w:p>
    <w:p w:rsidR="00500724" w:rsidRDefault="00500724">
      <w:pPr>
        <w:spacing w:line="14" w:lineRule="exact"/>
        <w:sectPr w:rsidR="00500724">
          <w:footnotePr>
            <w:numFmt w:val="chicago"/>
            <w:numRestart w:val="eachPage"/>
          </w:footnotePr>
          <w:type w:val="continuous"/>
          <w:pgSz w:w="11909" w:h="16834"/>
          <w:pgMar w:top="1182" w:right="0" w:bottom="408" w:left="0" w:header="0" w:footer="3" w:gutter="0"/>
          <w:cols w:space="720"/>
          <w:noEndnote/>
          <w:docGrid w:linePitch="360"/>
        </w:sectPr>
      </w:pPr>
    </w:p>
    <w:p w:rsidR="00500724" w:rsidRDefault="00F30FB8">
      <w:pPr>
        <w:spacing w:line="14" w:lineRule="exact"/>
      </w:pPr>
      <w:r>
        <w:rPr>
          <w:noProof/>
        </w:rPr>
        <mc:AlternateContent>
          <mc:Choice Requires="wps">
            <w:drawing>
              <wp:anchor distT="63500" distB="254000" distL="114300" distR="114300" simplePos="0" relativeHeight="125830186" behindDoc="0" locked="0" layoutInCell="1" allowOverlap="1">
                <wp:simplePos x="0" y="0"/>
                <wp:positionH relativeFrom="page">
                  <wp:posOffset>6597650</wp:posOffset>
                </wp:positionH>
                <wp:positionV relativeFrom="paragraph">
                  <wp:posOffset>9006840</wp:posOffset>
                </wp:positionV>
                <wp:extent cx="228600" cy="170815"/>
                <wp:effectExtent l="0" t="0" r="0" b="0"/>
                <wp:wrapTopAndBottom/>
                <wp:docPr id="809" name="Shape 809"/>
                <wp:cNvGraphicFramePr/>
                <a:graphic xmlns:a="http://schemas.openxmlformats.org/drawingml/2006/main">
                  <a:graphicData uri="http://schemas.microsoft.com/office/word/2010/wordprocessingShape">
                    <wps:wsp>
                      <wps:cNvSpPr txBox="1"/>
                      <wps:spPr>
                        <a:xfrm>
                          <a:off x="0" y="0"/>
                          <a:ext cx="228600" cy="170815"/>
                        </a:xfrm>
                        <a:prstGeom prst="rect">
                          <a:avLst/>
                        </a:prstGeom>
                        <a:noFill/>
                      </wps:spPr>
                      <wps:txbx>
                        <w:txbxContent>
                          <w:p w:rsidR="00500724" w:rsidRDefault="00F30FB8">
                            <w:pPr>
                              <w:pStyle w:val="Zkladntext20"/>
                              <w:shd w:val="clear" w:color="auto" w:fill="auto"/>
                              <w:spacing w:line="240" w:lineRule="auto"/>
                              <w:ind w:firstLine="0"/>
                              <w:jc w:val="left"/>
                              <w:rPr>
                                <w:sz w:val="20"/>
                                <w:szCs w:val="20"/>
                              </w:rPr>
                            </w:pPr>
                            <w:r>
                              <w:rPr>
                                <w:sz w:val="20"/>
                                <w:szCs w:val="20"/>
                              </w:rPr>
                              <w:t>ÍOZ</w:t>
                            </w:r>
                          </w:p>
                        </w:txbxContent>
                      </wps:txbx>
                      <wps:bodyPr lIns="0" tIns="0" rIns="0" bIns="0">
                        <a:spAutoFit/>
                      </wps:bodyPr>
                    </wps:wsp>
                  </a:graphicData>
                </a:graphic>
              </wp:anchor>
            </w:drawing>
          </mc:Choice>
          <mc:Fallback>
            <w:pict>
              <v:shape id="_x0000_s1835" type="#_x0000_t202" style="position:absolute;margin-left:519.5pt;margin-top:709.20000000000005pt;width:18.pt;height:13.449999999999999pt;z-index:-125828567;mso-wrap-distance-left:9.pt;mso-wrap-distance-top:5.pt;mso-wrap-distance-right:9.pt;mso-wrap-distance-bottom:20.pt;mso-position-horizontal-relative:page" filled="f" stroked="f">
                <v:textbox style="mso-fit-shape-to-text:t" inset="0,0,0,0">
                  <w:txbxContent>
                    <w:p>
                      <w:pPr>
                        <w:pStyle w:val="Style67"/>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ÍOZ</w:t>
                      </w:r>
                    </w:p>
                  </w:txbxContent>
                </v:textbox>
                <w10:wrap type="topAndBottom" anchorx="page"/>
              </v:shape>
            </w:pict>
          </mc:Fallback>
        </mc:AlternateContent>
      </w:r>
    </w:p>
    <w:p w:rsidR="00500724" w:rsidRDefault="00F30FB8">
      <w:pPr>
        <w:pStyle w:val="Zkladntext20"/>
        <w:shd w:val="clear" w:color="auto" w:fill="auto"/>
        <w:spacing w:after="60" w:line="221" w:lineRule="auto"/>
        <w:ind w:firstLine="0"/>
        <w:rPr>
          <w:sz w:val="20"/>
          <w:szCs w:val="20"/>
        </w:rPr>
      </w:pPr>
      <w:r>
        <w:rPr>
          <w:sz w:val="20"/>
          <w:szCs w:val="20"/>
        </w:rPr>
        <w:t>rodní stát. Roku 1931 oktrojoval novou ústavu, která obnovila skupštinu, ale ved»le ní zřídila senát, z polo</w:t>
      </w:r>
      <w:r>
        <w:rPr>
          <w:sz w:val="20"/>
          <w:szCs w:val="20"/>
        </w:rPr>
        <w:softHyphen/>
        <w:t xml:space="preserve">vice volený na šest let a z polovice </w:t>
      </w:r>
      <w:r>
        <w:rPr>
          <w:sz w:val="20"/>
          <w:szCs w:val="20"/>
        </w:rPr>
        <w:t>jmenovaný králem. Země byla rozdělena na devět banovin. Staré politické strany byly zákonem rozpuštěny a nové se nesměly tvo</w:t>
      </w:r>
      <w:r>
        <w:rPr>
          <w:sz w:val="20"/>
          <w:szCs w:val="20"/>
        </w:rPr>
        <w:softHyphen/>
        <w:t>řit na regionálním nebo národnostním základě. Strana, která získala ve volbách prostou většinu hlasů, dostala ve skupštině dvě třet</w:t>
      </w:r>
      <w:r>
        <w:rPr>
          <w:sz w:val="20"/>
          <w:szCs w:val="20"/>
        </w:rPr>
        <w:t>iny mandátů, aby se zabezpečila pevná většina. Třebaže byla touto ústavou do jisté mí</w:t>
      </w:r>
      <w:r>
        <w:rPr>
          <w:sz w:val="20"/>
          <w:szCs w:val="20"/>
        </w:rPr>
        <w:softHyphen/>
        <w:t>ry obnovena parlamentní demokracie, trvala ve skuteč</w:t>
      </w:r>
      <w:r>
        <w:rPr>
          <w:sz w:val="20"/>
          <w:szCs w:val="20"/>
        </w:rPr>
        <w:softHyphen/>
        <w:t>nosti královská diktatura dále a definitivní úprava byla odsunována do nedohledna. Oporou režimu se stala jednotná vl</w:t>
      </w:r>
      <w:r>
        <w:rPr>
          <w:sz w:val="20"/>
          <w:szCs w:val="20"/>
        </w:rPr>
        <w:t>ádní strana, Jugoslávská radikální za- jednica, ale byla to v podstatě zase str&amp;na srbská, proti níž Chorvaté znovu organisovali svou oposici. Hlavní vnitřní problém tedy královým zásahem vyřízen nebyl. Režim se nezměnil ani královou smrtí roku 1934, na</w:t>
      </w:r>
      <w:r>
        <w:rPr>
          <w:sz w:val="20"/>
          <w:szCs w:val="20"/>
        </w:rPr>
        <w:softHyphen/>
        <w:t>op</w:t>
      </w:r>
      <w:r>
        <w:rPr>
          <w:sz w:val="20"/>
          <w:szCs w:val="20"/>
        </w:rPr>
        <w:t>ak byl utužen Stojadinovičem a teprve po pádu to</w:t>
      </w:r>
      <w:r>
        <w:rPr>
          <w:sz w:val="20"/>
          <w:szCs w:val="20"/>
        </w:rPr>
        <w:softHyphen/>
        <w:t>hoto politika pokouší se jeho nástupce Cvetkovié o vnitřní konsolidaci jednáním s Chorvaty.</w:t>
      </w:r>
    </w:p>
    <w:p w:rsidR="00500724" w:rsidRDefault="00F30FB8">
      <w:pPr>
        <w:pStyle w:val="Zkladntext20"/>
        <w:shd w:val="clear" w:color="auto" w:fill="auto"/>
        <w:spacing w:after="60" w:line="218" w:lineRule="auto"/>
        <w:rPr>
          <w:sz w:val="20"/>
          <w:szCs w:val="20"/>
        </w:rPr>
      </w:pPr>
      <w:r>
        <w:rPr>
          <w:sz w:val="20"/>
          <w:szCs w:val="20"/>
        </w:rPr>
        <w:t>Poválečné Bulharsko sice neměnilo ani nerušilo ústavu a nevzdalo se formy konstitučního a parlament</w:t>
      </w:r>
      <w:r>
        <w:rPr>
          <w:sz w:val="20"/>
          <w:szCs w:val="20"/>
        </w:rPr>
        <w:softHyphen/>
        <w:t>ního státu, ale</w:t>
      </w:r>
      <w:r>
        <w:rPr>
          <w:sz w:val="20"/>
          <w:szCs w:val="20"/>
        </w:rPr>
        <w:t xml:space="preserve"> to mu nebránilo, aby neprošlo něko</w:t>
      </w:r>
      <w:r>
        <w:rPr>
          <w:sz w:val="20"/>
          <w:szCs w:val="20"/>
        </w:rPr>
        <w:softHyphen/>
        <w:t>lika převraty a diktaturami. Už režim Stambolijského, který se ujal vlády roku 1919, bylo lze těžko rozeznat od normální diktatury, tak byl radikální. Říkalo se mu proto „zelený socialismus“. Ostrá sociální opatře</w:t>
      </w:r>
      <w:r>
        <w:rPr>
          <w:sz w:val="20"/>
          <w:szCs w:val="20"/>
        </w:rPr>
        <w:softHyphen/>
        <w:t>ní, kt</w:t>
      </w:r>
      <w:r>
        <w:rPr>
          <w:sz w:val="20"/>
          <w:szCs w:val="20"/>
        </w:rPr>
        <w:t>erá Stambolijský zavedl — omezení zisků, kon</w:t>
      </w:r>
      <w:r>
        <w:rPr>
          <w:sz w:val="20"/>
          <w:szCs w:val="20"/>
        </w:rPr>
        <w:softHyphen/>
        <w:t>fiskace nezužitkované půdy, pracovní povinnost — jakož i plněni mírových smluv přivodily brzy reakci, která se projevila převratem z června 1923 a nastole</w:t>
      </w:r>
      <w:r>
        <w:rPr>
          <w:sz w:val="20"/>
          <w:szCs w:val="20"/>
        </w:rPr>
        <w:softHyphen/>
        <w:t>ním konservativní koalice Cankovovy. Stambolijský při to</w:t>
      </w:r>
      <w:r>
        <w:rPr>
          <w:sz w:val="20"/>
          <w:szCs w:val="20"/>
        </w:rPr>
        <w:t>m byl zabit. Selská a socialistická levice se za to odměnila řadou atentátů a teroristických činů, z nichž nejpovážlivější byl veliký výbuch v sofijské katedrále v dubnu 1925. Režim trval za vedení Cankovova a později Ljapčevova do roku 1931 a potom za pře</w:t>
      </w:r>
      <w:r>
        <w:rPr>
          <w:sz w:val="20"/>
          <w:szCs w:val="20"/>
        </w:rPr>
        <w:t>d</w:t>
      </w:r>
      <w:r>
        <w:rPr>
          <w:sz w:val="20"/>
          <w:szCs w:val="20"/>
        </w:rPr>
        <w:softHyphen/>
        <w:t>sednictví Malinovova a Mušanovova až do roku 1934, kdy přišel nový převrat, tentokrát armádní, motivovaný komunistickým nebezpečím, ale jehož skutečnou pří</w:t>
      </w:r>
      <w:r>
        <w:rPr>
          <w:sz w:val="20"/>
          <w:szCs w:val="20"/>
        </w:rPr>
        <w:softHyphen/>
        <w:t>činou asi byla nespokojenost vedoucích vojáků se sla</w:t>
      </w:r>
      <w:r>
        <w:rPr>
          <w:sz w:val="20"/>
          <w:szCs w:val="20"/>
        </w:rPr>
        <w:softHyphen/>
        <w:t>bým postavením Bulharska v politice mezinárod</w:t>
      </w:r>
      <w:r>
        <w:rPr>
          <w:sz w:val="20"/>
          <w:szCs w:val="20"/>
        </w:rPr>
        <w:t>ní. V pozdějších letech se Bulharsko značně uklidnilo a učinilo náběhy ke smíření s někdejšími válečnými od</w:t>
      </w:r>
      <w:r>
        <w:rPr>
          <w:sz w:val="20"/>
          <w:szCs w:val="20"/>
        </w:rPr>
        <w:softHyphen/>
        <w:t>půrci. V zahraniční politice zaujalo stanovisko neutrál</w:t>
      </w:r>
      <w:r>
        <w:rPr>
          <w:sz w:val="20"/>
          <w:szCs w:val="20"/>
        </w:rPr>
        <w:softHyphen/>
        <w:t>ní, což je sblížilo s Jugoslávií, která vede politiku po</w:t>
      </w:r>
      <w:r>
        <w:rPr>
          <w:sz w:val="20"/>
          <w:szCs w:val="20"/>
        </w:rPr>
        <w:softHyphen/>
        <w:t>dobnou.</w:t>
      </w:r>
    </w:p>
    <w:p w:rsidR="00500724" w:rsidRDefault="00F30FB8">
      <w:pPr>
        <w:pStyle w:val="Zkladntext20"/>
        <w:shd w:val="clear" w:color="auto" w:fill="auto"/>
        <w:spacing w:after="40" w:line="216" w:lineRule="auto"/>
        <w:rPr>
          <w:sz w:val="20"/>
          <w:szCs w:val="20"/>
        </w:rPr>
      </w:pPr>
      <w:r>
        <w:rPr>
          <w:sz w:val="20"/>
          <w:szCs w:val="20"/>
        </w:rPr>
        <w:t xml:space="preserve">Také Řecko zažilo po válce </w:t>
      </w:r>
      <w:r>
        <w:rPr>
          <w:sz w:val="20"/>
          <w:szCs w:val="20"/>
        </w:rPr>
        <w:t>sotva co jiného než permanentní diktaturu, která byla jakýmsi společným jmenovatelem střídajících se režimů. Bojovalo se v pod</w:t>
      </w:r>
      <w:r>
        <w:rPr>
          <w:sz w:val="20"/>
          <w:szCs w:val="20"/>
        </w:rPr>
        <w:softHyphen/>
        <w:t>statě o otázku, zdali má stát zůstat monarchií či stát se republikou. Po pádu Venizelově a po smrti krále Alexandra roku 1920 byl</w:t>
      </w:r>
      <w:r>
        <w:rPr>
          <w:sz w:val="20"/>
          <w:szCs w:val="20"/>
        </w:rPr>
        <w:t xml:space="preserve"> povolán z vyhnanství král Konstantin. To mělo nepříznivý důsledek pro Řecko tím, že to vzbudilo velikou nelibost u dohodových mocností, zvláště u Francie, jež přestaly Řecko pod</w:t>
      </w:r>
      <w:r>
        <w:rPr>
          <w:sz w:val="20"/>
          <w:szCs w:val="20"/>
        </w:rPr>
        <w:softHyphen/>
        <w:t>porovat v jeho boji proti Turkům, takže Řekové na</w:t>
      </w:r>
      <w:r>
        <w:rPr>
          <w:sz w:val="20"/>
          <w:szCs w:val="20"/>
        </w:rPr>
        <w:softHyphen/>
        <w:t>prosto prohráli v Malé Asii</w:t>
      </w:r>
      <w:r>
        <w:rPr>
          <w:sz w:val="20"/>
          <w:szCs w:val="20"/>
        </w:rPr>
        <w:t>. Roku 1922 přišel nový převrat, král Konstantin byl zase vyhnán a někteří jeho ministři a generálové postříleni. Jeho syn a ná</w:t>
      </w:r>
      <w:r>
        <w:rPr>
          <w:sz w:val="20"/>
          <w:szCs w:val="20"/>
        </w:rPr>
        <w:softHyphen/>
        <w:t>stupce Jiří II. ho následoval o rok později a Venizelos se svými stoupenci se zase slavnostně ujal moci. Pro</w:t>
      </w:r>
      <w:r>
        <w:rPr>
          <w:sz w:val="20"/>
          <w:szCs w:val="20"/>
        </w:rPr>
        <w:softHyphen/>
        <w:t>blém, jaký se má na</w:t>
      </w:r>
      <w:r>
        <w:rPr>
          <w:sz w:val="20"/>
          <w:szCs w:val="20"/>
        </w:rPr>
        <w:t>stolit režim, zůstal zatím neroz</w:t>
      </w:r>
      <w:r>
        <w:rPr>
          <w:sz w:val="20"/>
          <w:szCs w:val="20"/>
        </w:rPr>
        <w:softHyphen/>
        <w:t>hodnut a v čele státu byl jako regent generál Kondu- riotis. Teprve roku 1924 byla dynastie sezazena a ple- biscitem rozhodnuto pro republiku. Ale už následu</w:t>
      </w:r>
      <w:r>
        <w:rPr>
          <w:sz w:val="20"/>
          <w:szCs w:val="20"/>
        </w:rPr>
        <w:softHyphen/>
        <w:t>jícího roku nastal nový převrat, jejž provedl generál Pangalos. J</w:t>
      </w:r>
      <w:r>
        <w:rPr>
          <w:sz w:val="20"/>
          <w:szCs w:val="20"/>
        </w:rPr>
        <w:t xml:space="preserve">eho diktatura trvala do roku 1926, kdy byl formálně zvolen presidentem, ale hned nato donucen odstoupit. Po něm se vrátil v čelo státu admirál Kon- duriotis, který provedl volby, stal se presidentem </w:t>
      </w:r>
      <w:r>
        <w:rPr>
          <w:b/>
          <w:bCs/>
          <w:sz w:val="20"/>
          <w:szCs w:val="20"/>
        </w:rPr>
        <w:t xml:space="preserve">a </w:t>
      </w:r>
      <w:r>
        <w:rPr>
          <w:sz w:val="20"/>
          <w:szCs w:val="20"/>
        </w:rPr>
        <w:t>roku 1929 byl vystřídán Zaimisem. Zatím se republika, z</w:t>
      </w:r>
      <w:r>
        <w:rPr>
          <w:sz w:val="20"/>
          <w:szCs w:val="20"/>
        </w:rPr>
        <w:t>vláště zásluhou Venizelovou, dost konsolidovala. Ale volby v letech 1932 a 1933 dopadly proti němu a před</w:t>
      </w:r>
      <w:r>
        <w:rPr>
          <w:sz w:val="20"/>
          <w:szCs w:val="20"/>
        </w:rPr>
        <w:softHyphen/>
        <w:t>sedou vlády se stal royalista Tsaldaris. Král Jiří však zatím ještě zůstal ve vyhnanství. Vrátil se z něho v lis</w:t>
      </w:r>
      <w:r>
        <w:rPr>
          <w:sz w:val="20"/>
          <w:szCs w:val="20"/>
        </w:rPr>
        <w:softHyphen/>
        <w:t>topadu 1935, když před tím bylo (zase</w:t>
      </w:r>
      <w:r>
        <w:rPr>
          <w:sz w:val="20"/>
          <w:szCs w:val="20"/>
        </w:rPr>
        <w:t xml:space="preserve"> plebiscitem) rozhodnuto o obnově monarchie. Poslední zdání par</w:t>
      </w:r>
      <w:r>
        <w:rPr>
          <w:sz w:val="20"/>
          <w:szCs w:val="20"/>
        </w:rPr>
        <w:softHyphen/>
        <w:t>lamentní vlády zmizelo 4. srpna 1936, kdy ministerský předseda Metaxas zahájil otevřenou diktaturu a pro</w:t>
      </w:r>
      <w:r>
        <w:rPr>
          <w:sz w:val="20"/>
          <w:szCs w:val="20"/>
        </w:rPr>
        <w:softHyphen/>
        <w:t>vedl značné sociální reformy.</w:t>
      </w:r>
    </w:p>
    <w:p w:rsidR="00500724" w:rsidRDefault="00F30FB8">
      <w:pPr>
        <w:pStyle w:val="Zkladntext20"/>
        <w:shd w:val="clear" w:color="auto" w:fill="auto"/>
        <w:spacing w:after="420" w:line="218" w:lineRule="auto"/>
        <w:rPr>
          <w:sz w:val="20"/>
          <w:szCs w:val="20"/>
        </w:rPr>
      </w:pPr>
      <w:r>
        <w:rPr>
          <w:sz w:val="20"/>
          <w:szCs w:val="20"/>
        </w:rPr>
        <w:t>Parlamentní režim (dvoukomorový) měla po válce, aspoň for</w:t>
      </w:r>
      <w:r>
        <w:rPr>
          <w:sz w:val="20"/>
          <w:szCs w:val="20"/>
        </w:rPr>
        <w:t>málně, i Albánie, kde byl s počátku re</w:t>
      </w:r>
      <w:r>
        <w:rPr>
          <w:sz w:val="20"/>
          <w:szCs w:val="20"/>
        </w:rPr>
        <w:softHyphen/>
        <w:t xml:space="preserve">gentem biskup </w:t>
      </w:r>
      <w:r>
        <w:rPr>
          <w:sz w:val="20"/>
          <w:szCs w:val="20"/>
          <w:lang w:val="en-US" w:eastAsia="en-US" w:bidi="en-US"/>
        </w:rPr>
        <w:t xml:space="preserve">Fan Noli </w:t>
      </w:r>
      <w:r>
        <w:rPr>
          <w:sz w:val="20"/>
          <w:szCs w:val="20"/>
        </w:rPr>
        <w:t xml:space="preserve">— albánský trůn byl krátce před válkou opuštěn Wilhelmem z Wiedu — </w:t>
      </w:r>
      <w:r>
        <w:rPr>
          <w:b/>
          <w:bCs/>
          <w:sz w:val="20"/>
          <w:szCs w:val="20"/>
        </w:rPr>
        <w:t xml:space="preserve">a </w:t>
      </w:r>
      <w:r>
        <w:rPr>
          <w:sz w:val="20"/>
          <w:szCs w:val="20"/>
        </w:rPr>
        <w:t xml:space="preserve">kde roku 1925 byl zvolen presidentem </w:t>
      </w:r>
      <w:r>
        <w:rPr>
          <w:sz w:val="20"/>
          <w:szCs w:val="20"/>
          <w:lang w:val="en-US" w:eastAsia="en-US" w:bidi="en-US"/>
        </w:rPr>
        <w:t xml:space="preserve">Ahmed </w:t>
      </w:r>
      <w:r>
        <w:rPr>
          <w:sz w:val="20"/>
          <w:szCs w:val="20"/>
        </w:rPr>
        <w:t>Zogu. Ten se prohlásil roku 1928 králem.</w:t>
      </w:r>
    </w:p>
    <w:p w:rsidR="00500724" w:rsidRDefault="00F30FB8">
      <w:pPr>
        <w:pStyle w:val="Zkladntext20"/>
        <w:shd w:val="clear" w:color="auto" w:fill="auto"/>
        <w:spacing w:after="40" w:line="221" w:lineRule="auto"/>
        <w:rPr>
          <w:sz w:val="20"/>
          <w:szCs w:val="20"/>
        </w:rPr>
      </w:pPr>
      <w:r>
        <w:rPr>
          <w:sz w:val="20"/>
          <w:szCs w:val="20"/>
        </w:rPr>
        <w:t xml:space="preserve">Ústavní vývoj </w:t>
      </w:r>
      <w:r>
        <w:rPr>
          <w:sz w:val="20"/>
          <w:szCs w:val="20"/>
          <w:lang w:val="en-US" w:eastAsia="en-US" w:bidi="en-US"/>
        </w:rPr>
        <w:t>1</w:t>
      </w:r>
      <w:r>
        <w:rPr>
          <w:sz w:val="20"/>
          <w:szCs w:val="20"/>
        </w:rPr>
        <w:t>1 a 1 i e a Německa po vál</w:t>
      </w:r>
      <w:r>
        <w:rPr>
          <w:sz w:val="20"/>
          <w:szCs w:val="20"/>
        </w:rPr>
        <w:t>ce je obecně znám, takže není třeba jej rekapitulovat. V Itálii je vidět úpadek parlamentního režimu v prvních letech po válce z množství vlád, které se vystřídaly od pádu Orlandova roku 1919 do roku 1922. Byly to vlády Nittiho, Giolittiho, Bonomiho a Fact</w:t>
      </w:r>
      <w:r>
        <w:rPr>
          <w:sz w:val="20"/>
          <w:szCs w:val="20"/>
        </w:rPr>
        <w:t>ova. Rozhodující událostí pro další vývoj Itálie byl pak Mussoliniho po</w:t>
      </w:r>
      <w:r>
        <w:rPr>
          <w:sz w:val="20"/>
          <w:szCs w:val="20"/>
        </w:rPr>
        <w:softHyphen/>
        <w:t xml:space="preserve">chod na Řím v říjnu 1922. Kdyby v tomto článku </w:t>
      </w:r>
      <w:r>
        <w:rPr>
          <w:b/>
          <w:bCs/>
          <w:sz w:val="20"/>
          <w:szCs w:val="20"/>
        </w:rPr>
        <w:t xml:space="preserve">šlo </w:t>
      </w:r>
      <w:r>
        <w:rPr>
          <w:sz w:val="20"/>
          <w:szCs w:val="20"/>
        </w:rPr>
        <w:t>o hledání příčinných spojitostí a ne o pouhý přehled, při němž postupujeme od východu na západ, musili bychom tímto datem začínat, ne</w:t>
      </w:r>
      <w:r>
        <w:rPr>
          <w:sz w:val="20"/>
          <w:szCs w:val="20"/>
        </w:rPr>
        <w:t>boť ono bylo nepo</w:t>
      </w:r>
      <w:r>
        <w:rPr>
          <w:sz w:val="20"/>
          <w:szCs w:val="20"/>
        </w:rPr>
        <w:softHyphen/>
        <w:t>chybně podnětem k mnoha dalším změnám režimů v ně</w:t>
      </w:r>
      <w:r>
        <w:rPr>
          <w:sz w:val="20"/>
          <w:szCs w:val="20"/>
        </w:rPr>
        <w:softHyphen/>
        <w:t>kterých zemích, o nichž jsme se zmínili výše. V Ně</w:t>
      </w:r>
      <w:r>
        <w:rPr>
          <w:sz w:val="20"/>
          <w:szCs w:val="20"/>
        </w:rPr>
        <w:softHyphen/>
        <w:t>mé c k u trval proces déle a vyvrcholil se teprve roku 1933, kdy se ujala moci nacionálně-socialistická strana. Jak v Itálii, tak v Němec</w:t>
      </w:r>
      <w:r>
        <w:rPr>
          <w:sz w:val="20"/>
          <w:szCs w:val="20"/>
        </w:rPr>
        <w:t>ku zůstala kostra parlament</w:t>
      </w:r>
      <w:r>
        <w:rPr>
          <w:sz w:val="20"/>
          <w:szCs w:val="20"/>
        </w:rPr>
        <w:softHyphen/>
        <w:t>ního režimu zachována, ale instituce dostaly nový obsah a novou funkci tím, že byly začleněny do nové organisační stavby fašistického a nacionálně-socialis- tického režimu. Po stránce ústavně-právní je mezi oběma zeměmi hlavní r</w:t>
      </w:r>
      <w:r>
        <w:rPr>
          <w:sz w:val="20"/>
          <w:szCs w:val="20"/>
        </w:rPr>
        <w:t>ozdíl v tom, že v Itálii zůstal úřad hlavy státu dědičně králi, kdežto Duce je hlavou vlády, zatím co v Německu — které ovšem zůstalo re</w:t>
      </w:r>
      <w:r>
        <w:rPr>
          <w:sz w:val="20"/>
          <w:szCs w:val="20"/>
        </w:rPr>
        <w:softHyphen/>
        <w:t>publikou — jsou oba úřady spojeny v osobě Vůdce a říšského kancléře.</w:t>
      </w:r>
    </w:p>
    <w:p w:rsidR="00500724" w:rsidRDefault="00F30FB8">
      <w:pPr>
        <w:pStyle w:val="Zkladntext20"/>
        <w:shd w:val="clear" w:color="auto" w:fill="auto"/>
        <w:spacing w:line="218" w:lineRule="auto"/>
        <w:rPr>
          <w:sz w:val="20"/>
          <w:szCs w:val="20"/>
        </w:rPr>
      </w:pPr>
      <w:r>
        <w:rPr>
          <w:sz w:val="20"/>
          <w:szCs w:val="20"/>
        </w:rPr>
        <w:t xml:space="preserve">Na evropském západě prošlo velkými a bolestnými </w:t>
      </w:r>
      <w:r>
        <w:rPr>
          <w:sz w:val="20"/>
          <w:szCs w:val="20"/>
        </w:rPr>
        <w:t>ústavními převraty Španělsko. V září 1923 pro</w:t>
      </w:r>
      <w:r>
        <w:rPr>
          <w:sz w:val="20"/>
          <w:szCs w:val="20"/>
        </w:rPr>
        <w:softHyphen/>
        <w:t xml:space="preserve">vedl generál Primo de </w:t>
      </w:r>
      <w:r>
        <w:rPr>
          <w:sz w:val="20"/>
          <w:szCs w:val="20"/>
          <w:lang w:val="en-US" w:eastAsia="en-US" w:bidi="en-US"/>
        </w:rPr>
        <w:t xml:space="preserve">Rivera, </w:t>
      </w:r>
      <w:r>
        <w:rPr>
          <w:sz w:val="20"/>
          <w:szCs w:val="20"/>
        </w:rPr>
        <w:t>vojenský guvernér v Bar</w:t>
      </w:r>
      <w:r>
        <w:rPr>
          <w:sz w:val="20"/>
          <w:szCs w:val="20"/>
        </w:rPr>
        <w:softHyphen/>
        <w:t>celoně, vojenský převrat a dosadil na místo vlády a parlamentu vojenské direktorium. Monarchie v rukou Alfonse XIII. zůstala při tom zachována. V prosinci 1</w:t>
      </w:r>
      <w:r>
        <w:rPr>
          <w:sz w:val="20"/>
          <w:szCs w:val="20"/>
        </w:rPr>
        <w:t xml:space="preserve">925 nahradil </w:t>
      </w:r>
      <w:r>
        <w:rPr>
          <w:sz w:val="20"/>
          <w:szCs w:val="20"/>
          <w:lang w:val="en-US" w:eastAsia="en-US" w:bidi="en-US"/>
        </w:rPr>
        <w:t xml:space="preserve">Rivera </w:t>
      </w:r>
      <w:r>
        <w:rPr>
          <w:sz w:val="20"/>
          <w:szCs w:val="20"/>
        </w:rPr>
        <w:t>vojenské direktorium civilní vlá</w:t>
      </w:r>
      <w:r>
        <w:rPr>
          <w:sz w:val="20"/>
          <w:szCs w:val="20"/>
        </w:rPr>
        <w:softHyphen/>
        <w:t>dou z řad nové vládní strany, kterou zatím zorgani- soval, a roku 1928 činil přípravy k vyhlášení nové ústavy. Unaven a nemocen však resignoval v lednu 1930. Diktatura potrvala ještě rok, vedena zprvu ge</w:t>
      </w:r>
      <w:r>
        <w:rPr>
          <w:sz w:val="20"/>
          <w:szCs w:val="20"/>
        </w:rPr>
        <w:softHyphen/>
        <w:t>nerálem Berenguerem a později admirálem Aznarem. Po obecních volbách v dubnu 1931 byla vystřídána režimem republikánským. Král suspendoval svou pra</w:t>
      </w:r>
      <w:r>
        <w:rPr>
          <w:sz w:val="20"/>
          <w:szCs w:val="20"/>
        </w:rPr>
        <w:softHyphen/>
        <w:t>vomoc a opustil zemi a vlády se ujal výbor republi</w:t>
      </w:r>
      <w:r>
        <w:rPr>
          <w:sz w:val="20"/>
          <w:szCs w:val="20"/>
        </w:rPr>
        <w:softHyphen/>
        <w:t>kánských vůdců v čele se Zámorou. Král byl sesazen a jeh</w:t>
      </w:r>
      <w:r>
        <w:rPr>
          <w:sz w:val="20"/>
          <w:szCs w:val="20"/>
        </w:rPr>
        <w:t xml:space="preserve">o statky zabaveny. Po volbách do ústavodárního Shromáždění v červnu téhož roku se stal </w:t>
      </w:r>
      <w:r>
        <w:rPr>
          <w:sz w:val="20"/>
          <w:szCs w:val="20"/>
          <w:lang w:val="en-US" w:eastAsia="en-US" w:bidi="en-US"/>
        </w:rPr>
        <w:t xml:space="preserve">Zamora </w:t>
      </w:r>
      <w:r>
        <w:rPr>
          <w:sz w:val="20"/>
          <w:szCs w:val="20"/>
        </w:rPr>
        <w:t xml:space="preserve">pre- </w:t>
      </w:r>
      <w:r>
        <w:rPr>
          <w:sz w:val="20"/>
          <w:szCs w:val="20"/>
          <w:lang w:val="en-US" w:eastAsia="en-US" w:bidi="en-US"/>
        </w:rPr>
        <w:t xml:space="preserve">sidentem, ale </w:t>
      </w:r>
      <w:r>
        <w:rPr>
          <w:sz w:val="20"/>
          <w:szCs w:val="20"/>
        </w:rPr>
        <w:t>brzy odstoupil a byl vystřídán Azaňou.</w:t>
      </w:r>
    </w:p>
    <w:p w:rsidR="00500724" w:rsidRDefault="00F30FB8">
      <w:pPr>
        <w:pStyle w:val="Zkladntext20"/>
        <w:numPr>
          <w:ilvl w:val="0"/>
          <w:numId w:val="101"/>
        </w:numPr>
        <w:shd w:val="clear" w:color="auto" w:fill="auto"/>
        <w:tabs>
          <w:tab w:val="left" w:pos="298"/>
        </w:tabs>
        <w:spacing w:line="218" w:lineRule="auto"/>
        <w:ind w:firstLine="0"/>
        <w:rPr>
          <w:sz w:val="20"/>
          <w:szCs w:val="20"/>
        </w:rPr>
      </w:pPr>
      <w:r>
        <w:rPr>
          <w:sz w:val="20"/>
          <w:szCs w:val="20"/>
        </w:rPr>
        <w:t>prosinci byla přijata nová ústava, podle níž se Špa</w:t>
      </w:r>
      <w:r>
        <w:rPr>
          <w:sz w:val="20"/>
          <w:szCs w:val="20"/>
        </w:rPr>
        <w:softHyphen/>
        <w:t>nělsko stalo demokratickou republikou s jednokomo- r</w:t>
      </w:r>
      <w:r>
        <w:rPr>
          <w:sz w:val="20"/>
          <w:szCs w:val="20"/>
        </w:rPr>
        <w:t>ovým parlamentem, voleným obecným hlasovacím prá</w:t>
      </w:r>
      <w:r>
        <w:rPr>
          <w:sz w:val="20"/>
          <w:szCs w:val="20"/>
        </w:rPr>
        <w:softHyphen/>
        <w:t>vem na čtyři roky. President byl volen na šest let členy parlamentu a stejným počtem volitelů z lidu.</w:t>
      </w:r>
    </w:p>
    <w:p w:rsidR="00500724" w:rsidRDefault="00F30FB8">
      <w:pPr>
        <w:pStyle w:val="Zkladntext20"/>
        <w:numPr>
          <w:ilvl w:val="0"/>
          <w:numId w:val="101"/>
        </w:numPr>
        <w:shd w:val="clear" w:color="auto" w:fill="auto"/>
        <w:tabs>
          <w:tab w:val="left" w:pos="298"/>
        </w:tabs>
        <w:spacing w:line="218" w:lineRule="auto"/>
        <w:ind w:firstLine="0"/>
        <w:rPr>
          <w:sz w:val="20"/>
          <w:szCs w:val="20"/>
        </w:rPr>
      </w:pPr>
      <w:r>
        <w:rPr>
          <w:sz w:val="20"/>
          <w:szCs w:val="20"/>
        </w:rPr>
        <w:t>nových volbách koncem roku 1933 vzrostl počet royalistů. Režim se udržel při mnoha vnitřních nesná</w:t>
      </w:r>
      <w:r>
        <w:rPr>
          <w:sz w:val="20"/>
          <w:szCs w:val="20"/>
        </w:rPr>
        <w:softHyphen/>
        <w:t>zích d</w:t>
      </w:r>
      <w:r>
        <w:rPr>
          <w:sz w:val="20"/>
          <w:szCs w:val="20"/>
        </w:rPr>
        <w:t xml:space="preserve">o července 1936, kdy vypukla občanská válka. Vítěz v ní, generál </w:t>
      </w:r>
      <w:r>
        <w:rPr>
          <w:sz w:val="20"/>
          <w:szCs w:val="20"/>
          <w:lang w:val="en-US" w:eastAsia="en-US" w:bidi="en-US"/>
        </w:rPr>
        <w:t xml:space="preserve">Franco, </w:t>
      </w:r>
      <w:r>
        <w:rPr>
          <w:sz w:val="20"/>
          <w:szCs w:val="20"/>
        </w:rPr>
        <w:t>právě klade základy k re</w:t>
      </w:r>
      <w:r>
        <w:rPr>
          <w:sz w:val="20"/>
          <w:szCs w:val="20"/>
        </w:rPr>
        <w:softHyphen/>
        <w:t>žimu, jehož je hlavou.</w:t>
      </w:r>
    </w:p>
    <w:p w:rsidR="00500724" w:rsidRDefault="00F30FB8">
      <w:pPr>
        <w:pStyle w:val="Zkladntext20"/>
        <w:shd w:val="clear" w:color="auto" w:fill="auto"/>
        <w:spacing w:line="218" w:lineRule="auto"/>
        <w:ind w:firstLine="260"/>
        <w:rPr>
          <w:sz w:val="20"/>
          <w:szCs w:val="20"/>
        </w:rPr>
      </w:pPr>
      <w:r>
        <w:rPr>
          <w:sz w:val="20"/>
          <w:szCs w:val="20"/>
        </w:rPr>
        <w:t xml:space="preserve">Portugalsko je republikou od roku 1910, ale vládne se tam většinou diktátorsky. Roku 1926 se ujal moci generál </w:t>
      </w:r>
      <w:r>
        <w:rPr>
          <w:sz w:val="20"/>
          <w:szCs w:val="20"/>
          <w:lang w:val="en-US" w:eastAsia="en-US" w:bidi="en-US"/>
        </w:rPr>
        <w:t xml:space="preserve">Carmona. </w:t>
      </w:r>
      <w:r>
        <w:rPr>
          <w:sz w:val="20"/>
          <w:szCs w:val="20"/>
        </w:rPr>
        <w:t xml:space="preserve">Roku 1933 byla </w:t>
      </w:r>
      <w:r>
        <w:rPr>
          <w:sz w:val="20"/>
          <w:szCs w:val="20"/>
        </w:rPr>
        <w:t>vyhlášena nová ústava s částečným návratem k režimu parlamentnímu.</w:t>
      </w:r>
    </w:p>
    <w:p w:rsidR="00500724" w:rsidRDefault="00F30FB8">
      <w:pPr>
        <w:pStyle w:val="Zkladntext20"/>
        <w:shd w:val="clear" w:color="auto" w:fill="auto"/>
        <w:tabs>
          <w:tab w:val="left" w:pos="3341"/>
        </w:tabs>
        <w:spacing w:after="260" w:line="218" w:lineRule="auto"/>
        <w:ind w:firstLine="260"/>
      </w:pPr>
      <w:r>
        <w:rPr>
          <w:sz w:val="20"/>
          <w:szCs w:val="20"/>
        </w:rPr>
        <w:t>Největší ustálenost projevily v poválečné Evropě mimo Anglii konstituční a parlamentní monarchie se</w:t>
      </w:r>
      <w:r>
        <w:rPr>
          <w:sz w:val="20"/>
          <w:szCs w:val="20"/>
        </w:rPr>
        <w:softHyphen/>
        <w:t>verské — Švédsko, Norsko a Dánsko — po</w:t>
      </w:r>
      <w:r>
        <w:rPr>
          <w:sz w:val="20"/>
          <w:szCs w:val="20"/>
        </w:rPr>
        <w:softHyphen/>
        <w:t>tom Holandsko, Belgie a Lucembursko. Holandsko dal</w:t>
      </w:r>
      <w:r>
        <w:rPr>
          <w:sz w:val="20"/>
          <w:szCs w:val="20"/>
        </w:rPr>
        <w:t>o po válce volební právo ženám a zavedlo poměrné zastoupení. Z republik bylo nejstabilnější tra</w:t>
      </w:r>
      <w:r>
        <w:rPr>
          <w:sz w:val="20"/>
          <w:szCs w:val="20"/>
        </w:rPr>
        <w:softHyphen/>
        <w:t>diční Švýcarsko.</w:t>
      </w:r>
      <w:r>
        <w:rPr>
          <w:sz w:val="20"/>
          <w:szCs w:val="20"/>
        </w:rPr>
        <w:tab/>
      </w:r>
      <w:r>
        <w:rPr>
          <w:i/>
          <w:iCs/>
        </w:rPr>
        <w:t>Zdeněk Smetáček.</w:t>
      </w:r>
    </w:p>
    <w:p w:rsidR="00500724" w:rsidRDefault="00F30FB8">
      <w:pPr>
        <w:pStyle w:val="Jin0"/>
        <w:pBdr>
          <w:bottom w:val="single" w:sz="4" w:space="0" w:color="auto"/>
        </w:pBdr>
        <w:shd w:val="clear" w:color="auto" w:fill="auto"/>
        <w:spacing w:after="260"/>
        <w:ind w:firstLine="0"/>
        <w:jc w:val="left"/>
        <w:rPr>
          <w:sz w:val="40"/>
          <w:szCs w:val="40"/>
        </w:rPr>
      </w:pPr>
      <w:r>
        <w:rPr>
          <w:rFonts w:ascii="Cambria" w:eastAsia="Cambria" w:hAnsi="Cambria" w:cs="Cambria"/>
          <w:b/>
          <w:bCs/>
          <w:sz w:val="40"/>
          <w:szCs w:val="40"/>
        </w:rPr>
        <w:t>týdenní přehled</w:t>
      </w:r>
    </w:p>
    <w:p w:rsidR="00500724" w:rsidRDefault="00F30FB8">
      <w:pPr>
        <w:pStyle w:val="Zkladntext100"/>
        <w:shd w:val="clear" w:color="auto" w:fill="auto"/>
        <w:spacing w:after="100" w:line="202" w:lineRule="auto"/>
        <w:ind w:firstLine="0"/>
        <w:jc w:val="center"/>
      </w:pPr>
      <w:r>
        <w:rPr>
          <w:b/>
          <w:bCs/>
        </w:rPr>
        <w:t>Předpoklad politické aktivity</w:t>
      </w:r>
    </w:p>
    <w:p w:rsidR="00500724" w:rsidRDefault="00F30FB8">
      <w:pPr>
        <w:pStyle w:val="Zkladntext100"/>
        <w:shd w:val="clear" w:color="auto" w:fill="auto"/>
        <w:spacing w:line="202" w:lineRule="auto"/>
        <w:ind w:firstLine="260"/>
      </w:pPr>
      <w:r>
        <w:t xml:space="preserve">Jsme znovu a znovu vyzývání k aktivní politice. Při různých příležitostech bylo </w:t>
      </w:r>
      <w:r>
        <w:t>s dostatek jasně řečeno, že ěeský národ ne</w:t>
      </w:r>
      <w:r>
        <w:softHyphen/>
        <w:t>má sklonu k politice pasivity. Ale aktivní politika má své pevné předpoklady, bez kterých ji nelze dělat. Snad prvním předpo</w:t>
      </w:r>
      <w:r>
        <w:softHyphen/>
        <w:t>kladem aktivní politiky jest konsolidace a stabilisace. Ne</w:t>
      </w:r>
      <w:r>
        <w:softHyphen/>
        <w:t xml:space="preserve">mohou, i kdyby chtěli, dělat </w:t>
      </w:r>
      <w:r>
        <w:t>aktivní politiku lidé, kteří nevědí, budou-li ještě zítra ve svých funkcích. Takový stav nejistoty by dovedl znemožnit soustavnou a na delší dobu rozpočtenou práci i těm nejaktivnějším pracovníkům. A takový stav ne</w:t>
      </w:r>
      <w:r>
        <w:softHyphen/>
        <w:t>jistoty si právě přejí udržovat lidé, kte</w:t>
      </w:r>
      <w:r>
        <w:t>ří sledují s neskrývaným podezřením každý pokus o konsolidaci českého politického ži</w:t>
      </w:r>
      <w:r>
        <w:softHyphen/>
        <w:t>vota. Jsou proti konsolidaci veřejného života proto, že v něm nerozhoduji spolu; ve chvíli, kdy by byli přivoláni ke spoluroz</w:t>
      </w:r>
      <w:r>
        <w:softHyphen/>
        <w:t>hodování, postavili by se příkře proti jakýmk</w:t>
      </w:r>
      <w:r>
        <w:t>oliv změnám. Známe toto zvláštní rozpoložení některých — bohudíky ne</w:t>
      </w:r>
      <w:r>
        <w:softHyphen/>
        <w:t>mnohých — lidí a vime také, z ěeho vzniklo. Viděli v době změn, jak se zdánlivě odnikud vynořovali stále mnozí noví lidé, kteří nastupovali na místa, kde před tím nikdy nestáli a kde naje</w:t>
      </w:r>
      <w:r>
        <w:t xml:space="preserve">dnou byli povoláni i k úlohám vůdcovským. Neviděli, že tito noví lidé nepřicházeli odnikud, ale že snad všichni prošli tuhou průpravou v různých oborech veřejné práce. A domnívali se podle své falešné představy, že by také oni mohli jednou přijít! odnikud </w:t>
      </w:r>
      <w:r>
        <w:t>a podílet! se s ostatními o moc.</w:t>
      </w:r>
    </w:p>
    <w:p w:rsidR="00500724" w:rsidRDefault="00F30FB8">
      <w:pPr>
        <w:pStyle w:val="Zkladntext100"/>
        <w:shd w:val="clear" w:color="auto" w:fill="auto"/>
        <w:spacing w:after="120" w:line="226" w:lineRule="auto"/>
        <w:ind w:firstLine="200"/>
      </w:pPr>
      <w:r>
        <w:t>Myšlenka národní jednoty, ztělesněná hnutím Národního souručenství, překonala v nedlouhé době četné překážky. Ne- mýlíme-li se, jedna z těchto překážek padá právě v těchto dnech a veřejnost o tom neni zcela beze zpráv. Může</w:t>
      </w:r>
      <w:r>
        <w:t xml:space="preserve"> se při</w:t>
      </w:r>
      <w:r>
        <w:softHyphen/>
        <w:t>hodit!, že na naší cestě vyvstane po několika krocích překážka nová. Ale tím se už nikdo nedá zmást. Jenom jednou padly hradby Jericha pokřikem a to už je dávno. Dnes už moc po</w:t>
      </w:r>
      <w:r>
        <w:softHyphen/>
        <w:t xml:space="preserve">křiku citelně klesla. </w:t>
      </w:r>
      <w:r>
        <w:rPr>
          <w:i/>
          <w:iCs/>
        </w:rPr>
        <w:t xml:space="preserve">(Dr. V. Minařik v „Národních listech.") </w:t>
      </w:r>
      <w:r>
        <w:t>Český nár</w:t>
      </w:r>
      <w:r>
        <w:t>odní statut?</w:t>
      </w:r>
    </w:p>
    <w:p w:rsidR="00500724" w:rsidRDefault="00F30FB8">
      <w:pPr>
        <w:pStyle w:val="Zkladntext100"/>
        <w:shd w:val="clear" w:color="auto" w:fill="auto"/>
        <w:spacing w:line="197" w:lineRule="auto"/>
        <w:ind w:firstLine="260"/>
      </w:pPr>
      <w:r>
        <w:t xml:space="preserve">Platí-li mezi vlastním národem, že uznávání spravedlivých práv jednoho stavu druhým je nejjistější zárukou dohody, platí mezi sousedícími národy a národnostmi tím silněji a důrazněji zásada: jen ta dohoda a jen taková zřízeni, ovšem prováděná </w:t>
      </w:r>
      <w:r>
        <w:t>i činy, která vedle prosazování svých vlastních práv mají na zřeteli i práva dru</w:t>
      </w:r>
      <w:r>
        <w:softHyphen/>
        <w:t>hých, mohou být pevným mostem ke spolupráci.</w:t>
      </w:r>
    </w:p>
    <w:p w:rsidR="00500724" w:rsidRDefault="00F30FB8">
      <w:pPr>
        <w:pStyle w:val="Zkladntext100"/>
        <w:shd w:val="clear" w:color="auto" w:fill="auto"/>
        <w:ind w:firstLine="260"/>
      </w:pPr>
      <w:r>
        <w:t>Český tisk jako ojedinělou kuriositu uváděl v tomto týdnu příklad chalupníka odněkud z Českomoravské vysočiny, který sám sobě vyko</w:t>
      </w:r>
      <w:r>
        <w:t>pal hrob, postavil pomník s nápisem, ale kte</w:t>
      </w:r>
      <w:r>
        <w:softHyphen/>
      </w:r>
      <w:r>
        <w:rPr>
          <w:rFonts w:ascii="Arial" w:eastAsia="Arial" w:hAnsi="Arial" w:cs="Arial"/>
          <w:b/>
          <w:bCs/>
          <w:sz w:val="17"/>
          <w:szCs w:val="17"/>
        </w:rPr>
        <w:t xml:space="preserve">rý </w:t>
      </w:r>
      <w:r>
        <w:t>při tom dál váže snopy na poli svého syna pokračo</w:t>
      </w:r>
      <w:r>
        <w:softHyphen/>
        <w:t>vatele, ručícímu za život rodu i do budoucna. Ale celý národ, žádný národ na světě nemůže a nechce si kopat sám vlastní hrob; už proto ne, že jednak nechce bý</w:t>
      </w:r>
      <w:r>
        <w:t>t kuriositou a jednak nemá jako celek oné záruky a jistoty, kterou má zmí</w:t>
      </w:r>
      <w:r>
        <w:softHyphen/>
        <w:t>něný stařec z Českomoravské vysočiny ve svém vlastním synu.</w:t>
      </w:r>
    </w:p>
    <w:p w:rsidR="00500724" w:rsidRDefault="00F30FB8">
      <w:pPr>
        <w:pStyle w:val="Zkladntext100"/>
        <w:shd w:val="clear" w:color="auto" w:fill="auto"/>
        <w:spacing w:line="197" w:lineRule="auto"/>
        <w:ind w:firstLine="260"/>
      </w:pPr>
      <w:r>
        <w:t>Před rokem celá vláda a všichni ministři jednali a pro</w:t>
      </w:r>
      <w:r>
        <w:softHyphen/>
        <w:t>jednávali národnostní statut, kterým měla být shrnuta i zaručena pr</w:t>
      </w:r>
      <w:r>
        <w:t>áva národnostních menšin. Za necelý rok je politická situace z podstaty změněna. V Pro</w:t>
      </w:r>
      <w:r>
        <w:softHyphen/>
        <w:t xml:space="preserve">tektorátu není národnostních menšin, 240.000 Němců (podle odhadu něm. </w:t>
      </w:r>
      <w:r>
        <w:rPr>
          <w:lang w:val="en-US" w:eastAsia="en-US" w:bidi="en-US"/>
        </w:rPr>
        <w:t xml:space="preserve">prof. </w:t>
      </w:r>
      <w:r>
        <w:t>dr. Gesnera) má svá národní i existenční práva a svobody a v dané situaci zaručena pevně.</w:t>
      </w:r>
    </w:p>
    <w:p w:rsidR="00500724" w:rsidRDefault="00F30FB8">
      <w:pPr>
        <w:pStyle w:val="Zkladntext100"/>
        <w:shd w:val="clear" w:color="auto" w:fill="auto"/>
        <w:spacing w:line="197" w:lineRule="auto"/>
        <w:ind w:firstLine="260"/>
      </w:pPr>
      <w:r>
        <w:t>v d</w:t>
      </w:r>
      <w:r>
        <w:t>ohodě stavů i národností platí více než kde jinde zá</w:t>
      </w:r>
      <w:r>
        <w:softHyphen/>
        <w:t>sada: jasné a dodržované smlouvy — nejlepší přátelé. Vzpo</w:t>
      </w:r>
      <w:r>
        <w:softHyphen/>
        <w:t>mínajíce na loňské snahy o národnostní statut, národnostní katastr, neměli bychom na ěeské straně pořídit! a národním hnutím českým veřejně publi</w:t>
      </w:r>
      <w:r>
        <w:t>kovati ěeský národní statut, ve kterém budou jasně shrnuty základní i zásadní body nezadatelných práv českých? Odpadly by pak také rázem některé ony stížnosti s druhé strany, že snad ěeský národ hraje dvě role, aě je role jen jedna: plnit dané povinnosti a</w:t>
      </w:r>
      <w:r>
        <w:t xml:space="preserve"> hájit svá práva.</w:t>
      </w:r>
    </w:p>
    <w:p w:rsidR="00500724" w:rsidRDefault="00F30FB8">
      <w:pPr>
        <w:pStyle w:val="Zkladntext100"/>
        <w:shd w:val="clear" w:color="auto" w:fill="auto"/>
        <w:spacing w:line="389" w:lineRule="auto"/>
        <w:ind w:left="1600" w:firstLine="1360"/>
        <w:jc w:val="left"/>
      </w:pPr>
      <w:r>
        <w:rPr>
          <w:i/>
          <w:iCs/>
        </w:rPr>
        <w:t xml:space="preserve">(G. Ježek ve „Venkově".) </w:t>
      </w:r>
      <w:r>
        <w:rPr>
          <w:b/>
          <w:bCs/>
        </w:rPr>
        <w:t>Co není dobrou politikou</w:t>
      </w:r>
    </w:p>
    <w:p w:rsidR="00500724" w:rsidRDefault="00F30FB8">
      <w:pPr>
        <w:pStyle w:val="Zkladntext100"/>
        <w:shd w:val="clear" w:color="auto" w:fill="auto"/>
        <w:spacing w:line="194" w:lineRule="auto"/>
        <w:ind w:firstLine="220"/>
      </w:pPr>
      <w:r>
        <w:t>— Čeněk Ježek. — Několika různými proudy po silni</w:t>
      </w:r>
      <w:r>
        <w:softHyphen/>
        <w:t xml:space="preserve">cích, městy i vesnicemi různých krajů českých připochodovaly do Prahy jednotky Hitlerovy mládeže z ftíše. Na pochodu sešly se s </w:t>
      </w:r>
      <w:r>
        <w:t>desetitisíci Čechy, různého povolání, stavů i smýšlení. Na jejich cestě od národnostních hranic až do Prahy nikde nedošlo k jedinému incidentu, k jedinému střetnutí s českou mládeží nebo s českým občanstvem. V několika městech byla Hitler- jugend přivítána</w:t>
      </w:r>
      <w:r>
        <w:t xml:space="preserve"> českými starosty a okresními hejtmany, pře- často českými proslovy. Přesvědčila se pochodem českými kraji, že na přiklad uvítací slova jednoho východočeského okresního hejtmana, že na svém pochodu Čechami vidí v celku ukázněný národ, který nepodléhá lehce</w:t>
      </w:r>
      <w:r>
        <w:t xml:space="preserve"> chvilkovým náladám, nebyla jen pouhou formulkou či frází, avšak skutečným vyjádřením stavu.</w:t>
      </w:r>
    </w:p>
    <w:p w:rsidR="00500724" w:rsidRDefault="00F30FB8">
      <w:pPr>
        <w:pStyle w:val="Zkladntext100"/>
        <w:shd w:val="clear" w:color="auto" w:fill="auto"/>
        <w:spacing w:line="194" w:lineRule="auto"/>
        <w:ind w:firstLine="260"/>
      </w:pPr>
      <w:r>
        <w:t>Vracíme se k této skutečnosti proto, že v neděli jsme ote</w:t>
      </w:r>
      <w:r>
        <w:softHyphen/>
        <w:t>vřeně upozornili české lidi na důsledky několika místních in</w:t>
      </w:r>
      <w:r>
        <w:softHyphen/>
        <w:t>cidentů nerozvážných jedinců. Uvedli jsme ta</w:t>
      </w:r>
      <w:r>
        <w:t xml:space="preserve">ké, že podle zprávy „Der Neue </w:t>
      </w:r>
      <w:r>
        <w:rPr>
          <w:lang w:val="en-US" w:eastAsia="en-US" w:bidi="en-US"/>
        </w:rPr>
        <w:t xml:space="preserve">Tag" </w:t>
      </w:r>
      <w:r>
        <w:t>došlo i v železničních dílnách v Nym</w:t>
      </w:r>
      <w:r>
        <w:softHyphen/>
        <w:t>burce při práci k domnělému incidentu a urážce Němců. Bylo oznámeno, že krajské vedení NSDAP vysílá zároveň do Nym</w:t>
      </w:r>
      <w:r>
        <w:softHyphen/>
        <w:t>burka komisi. Také Národní souručenství vyslalo ihned do Nymburka své</w:t>
      </w:r>
      <w:r>
        <w:t>ho úřednika, který zjistil, že šlo jednak o malichernost a jednak o shluk náhod.</w:t>
      </w:r>
    </w:p>
    <w:p w:rsidR="00500724" w:rsidRDefault="00F30FB8">
      <w:pPr>
        <w:pStyle w:val="Zkladntext100"/>
        <w:shd w:val="clear" w:color="auto" w:fill="auto"/>
        <w:spacing w:line="194" w:lineRule="auto"/>
        <w:ind w:firstLine="220"/>
      </w:pPr>
      <w:r>
        <w:t>Tisk obou národností, české i německé, má jistě za povinnost nabádati ne k vzájemné nenávisti a bojům, ale k uklidňo</w:t>
      </w:r>
      <w:r>
        <w:softHyphen/>
        <w:t>váni vášní.</w:t>
      </w:r>
    </w:p>
    <w:p w:rsidR="00500724" w:rsidRDefault="00F30FB8">
      <w:pPr>
        <w:pStyle w:val="Zkladntext100"/>
        <w:shd w:val="clear" w:color="auto" w:fill="auto"/>
        <w:spacing w:line="194" w:lineRule="auto"/>
        <w:ind w:firstLine="260"/>
      </w:pPr>
      <w:r>
        <w:t>Je jisto, že v každém národě jsou horkokrevněj</w:t>
      </w:r>
      <w:r>
        <w:t>ší jedincí. Tak jako na české straně nechceme, aby se z nerozvážných činů jedinců odsuzoval a posuzoval celý národ, nebudeme tak činiti ani na druhou stranu. Myslíme však, že tam, kde ať již český nebo německý tisk píše o osobních incidentech, měla by se p</w:t>
      </w:r>
      <w:r>
        <w:t>řipomínat! slova, která, tušíme, že na schůzi v pražské „Uranii“ řekl župni vůdce a říšský místodržící Konrád Henlein ke stoupencům strany:</w:t>
      </w:r>
    </w:p>
    <w:p w:rsidR="00500724" w:rsidRDefault="00F30FB8">
      <w:pPr>
        <w:pStyle w:val="Zkladntext100"/>
        <w:shd w:val="clear" w:color="auto" w:fill="auto"/>
        <w:spacing w:after="60" w:line="197" w:lineRule="auto"/>
        <w:ind w:left="240" w:firstLine="220"/>
      </w:pPr>
      <w:r>
        <w:t>„Obracím se na vás, jako na staré henleinovce a nové členy NSDAP. Nemyslete si, že byste prováděli dobrou poli</w:t>
      </w:r>
      <w:r>
        <w:softHyphen/>
        <w:t>tiku,</w:t>
      </w:r>
      <w:r>
        <w:t xml:space="preserve"> kdybyste druhý národ provokovali. Politiku dělá jen Vůdce!"</w:t>
      </w:r>
    </w:p>
    <w:p w:rsidR="00500724" w:rsidRDefault="00F30FB8">
      <w:pPr>
        <w:pStyle w:val="Zkladntext100"/>
        <w:shd w:val="clear" w:color="auto" w:fill="auto"/>
        <w:spacing w:after="200" w:line="194" w:lineRule="auto"/>
        <w:ind w:firstLine="260"/>
      </w:pPr>
      <w:r>
        <w:t>Národní hnuti české již v několika případech minulých mě</w:t>
      </w:r>
      <w:r>
        <w:softHyphen/>
        <w:t>síců správně poukazovalo a požadovalo, aby do míst, kde by se případné incidenty udály, nebo, kde se objeví rozdílnost tvrzení, byly k obj</w:t>
      </w:r>
      <w:r>
        <w:t>ektivnímu zjištění vysílány smíšené, paritní komise českoněmecké. Případ nym</w:t>
      </w:r>
      <w:r>
        <w:softHyphen/>
        <w:t xml:space="preserve">burský i osecký ukazují, že i pro správnou informaci tisku by takové řízení rozhodně posloužilo a že by posloužilo snahám po uspořádání cest k vzájemnému porozumění. </w:t>
      </w:r>
      <w:r>
        <w:rPr>
          <w:i/>
          <w:iCs/>
        </w:rPr>
        <w:t>(„Venkov")</w:t>
      </w:r>
    </w:p>
    <w:p w:rsidR="00500724" w:rsidRDefault="00F30FB8">
      <w:pPr>
        <w:pStyle w:val="Zkladntext100"/>
        <w:shd w:val="clear" w:color="auto" w:fill="auto"/>
        <w:spacing w:after="60" w:line="194" w:lineRule="auto"/>
        <w:ind w:firstLine="0"/>
        <w:jc w:val="center"/>
      </w:pPr>
      <w:r>
        <w:t>Soud také na národní padavky</w:t>
      </w:r>
    </w:p>
    <w:p w:rsidR="00500724" w:rsidRDefault="00F30FB8">
      <w:pPr>
        <w:pStyle w:val="Zkladntext100"/>
        <w:shd w:val="clear" w:color="auto" w:fill="auto"/>
        <w:spacing w:line="197" w:lineRule="auto"/>
        <w:ind w:firstLine="260"/>
      </w:pPr>
      <w:r>
        <w:t>Národní soud nebyl uveden do života jako strašák, který by měl poplašit, ale kterého by se nakonec nemusel nikdo bát, ale také ne jako cirkus, ve kterém by se uplatnil kde</w:t>
      </w:r>
      <w:r>
        <w:softHyphen/>
        <w:t xml:space="preserve">jaký </w:t>
      </w:r>
      <w:r>
        <w:rPr>
          <w:lang w:val="en-US" w:eastAsia="en-US" w:bidi="en-US"/>
        </w:rPr>
        <w:t xml:space="preserve">clown </w:t>
      </w:r>
      <w:r>
        <w:t xml:space="preserve">a v němž by přišli na své i ti, kdož nemají </w:t>
      </w:r>
      <w:r>
        <w:t>jiný zájem, než pro podívanou, hovící snad jejich touze, ale ničící zdravé jádro ostatních.</w:t>
      </w:r>
    </w:p>
    <w:p w:rsidR="00500724" w:rsidRDefault="00F30FB8">
      <w:pPr>
        <w:pStyle w:val="Zkladntext100"/>
        <w:shd w:val="clear" w:color="auto" w:fill="auto"/>
        <w:spacing w:after="60" w:line="197" w:lineRule="auto"/>
        <w:ind w:firstLine="260"/>
        <w:sectPr w:rsidR="00500724">
          <w:footnotePr>
            <w:numFmt w:val="chicago"/>
            <w:numRestart w:val="eachPage"/>
          </w:footnotePr>
          <w:type w:val="continuous"/>
          <w:pgSz w:w="11909" w:h="16834"/>
          <w:pgMar w:top="1182" w:right="966" w:bottom="408" w:left="498" w:header="0" w:footer="3" w:gutter="0"/>
          <w:cols w:num="2" w:space="125"/>
          <w:noEndnote/>
          <w:docGrid w:linePitch="360"/>
        </w:sectPr>
      </w:pPr>
      <w:r>
        <w:t>Vedle soudu jmenovaného, slibujícího a na svoji práci při</w:t>
      </w:r>
      <w:r>
        <w:softHyphen/>
        <w:t>chystaného, máme ještě národní soud jiný. Soud nejmeno</w:t>
      </w:r>
      <w:r>
        <w:softHyphen/>
        <w:t>vaný, neviděný a neje</w:t>
      </w:r>
      <w:r>
        <w:t>dnající a přece existující. Lidový soud</w:t>
      </w:r>
    </w:p>
    <w:p w:rsidR="00500724" w:rsidRDefault="00F30FB8">
      <w:pPr>
        <w:pStyle w:val="Nadpis90"/>
        <w:keepNext/>
        <w:keepLines/>
        <w:pBdr>
          <w:bottom w:val="single" w:sz="4" w:space="0" w:color="auto"/>
        </w:pBdr>
        <w:shd w:val="clear" w:color="auto" w:fill="auto"/>
        <w:spacing w:before="80" w:after="0"/>
        <w:jc w:val="center"/>
        <w:sectPr w:rsidR="00500724">
          <w:footnotePr>
            <w:numFmt w:val="chicago"/>
            <w:numRestart w:val="eachPage"/>
          </w:footnotePr>
          <w:pgSz w:w="11909" w:h="16834"/>
          <w:pgMar w:top="843" w:right="1128" w:bottom="974" w:left="355" w:header="0" w:footer="3" w:gutter="0"/>
          <w:cols w:space="720"/>
          <w:noEndnote/>
          <w:docGrid w:linePitch="360"/>
        </w:sectPr>
      </w:pPr>
      <w:bookmarkStart w:id="828" w:name="bookmark827"/>
      <w:r>
        <w:rPr>
          <w:rFonts w:ascii="Times New Roman" w:eastAsia="Times New Roman" w:hAnsi="Times New Roman" w:cs="Times New Roman"/>
        </w:rPr>
        <w:t>Phtonrnost&gt;</w:t>
      </w:r>
      <w:bookmarkEnd w:id="828"/>
    </w:p>
    <w:p w:rsidR="00500724" w:rsidRDefault="00500724">
      <w:pPr>
        <w:spacing w:line="59"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43" w:right="0" w:bottom="915" w:left="0" w:header="0" w:footer="3" w:gutter="0"/>
          <w:cols w:space="720"/>
          <w:noEndnote/>
          <w:docGrid w:linePitch="360"/>
        </w:sectPr>
      </w:pPr>
    </w:p>
    <w:p w:rsidR="00500724" w:rsidRDefault="00F30FB8">
      <w:pPr>
        <w:pStyle w:val="Zkladntext100"/>
        <w:shd w:val="clear" w:color="auto" w:fill="auto"/>
        <w:spacing w:line="197" w:lineRule="auto"/>
        <w:ind w:firstLine="0"/>
      </w:pPr>
      <w:r>
        <w:rPr>
          <w:b/>
          <w:bCs/>
        </w:rPr>
        <w:t xml:space="preserve">v </w:t>
      </w:r>
      <w:r>
        <w:t>srdcích a myslích většiny českého lidu. Lidový soud pro všechny ty, kdo najednou v sobě objevili jinou krev než čes</w:t>
      </w:r>
      <w:r>
        <w:softHyphen/>
        <w:t>kou, kdo dovedou pracovat prot</w:t>
      </w:r>
      <w:r>
        <w:t>i vlastním lidem, kdo dove</w:t>
      </w:r>
      <w:r>
        <w:softHyphen/>
        <w:t>dou si chodit stěžovat na ěeské lidi a kdo dovedou při každé příležitosti vyhrožovat, že si půjdou stěžovat. Tyto padavky na zdravém těle národa jsou všude. Jsou balastem a nestojí o ně nikdo. Vlastním překážejí, vlastní je nenáv</w:t>
      </w:r>
      <w:r>
        <w:t>idí a cizí jimi pohrdají. Také s těmito odpadky naší národní společnosti je nutno počítat, ale v národní společnosti není pro ně místa. Jména provinilých a už naším lidem odsouzených budou jed</w:t>
      </w:r>
      <w:r>
        <w:softHyphen/>
        <w:t xml:space="preserve">nou vyhlášena a jména důvodně podezřelých budou jednou veřejně </w:t>
      </w:r>
      <w:r>
        <w:t>volána, aby jejich nositelé skládali účty a obhájili se.</w:t>
      </w:r>
    </w:p>
    <w:p w:rsidR="00500724" w:rsidRDefault="00F30FB8">
      <w:pPr>
        <w:pStyle w:val="Zkladntext100"/>
        <w:shd w:val="clear" w:color="auto" w:fill="auto"/>
        <w:spacing w:line="197" w:lineRule="auto"/>
        <w:ind w:firstLine="260"/>
      </w:pPr>
      <w:r>
        <w:t>Musí to být řečeno, aby bylo jasno, abychom si ještě lépe rozuměli a aby němečtí občané věděli, že máme smysl pro čest, a že chceme býti partnery opravdu pro tu potřebnou práci kvalifikovanými.</w:t>
      </w:r>
    </w:p>
    <w:p w:rsidR="00500724" w:rsidRDefault="00F30FB8">
      <w:pPr>
        <w:pStyle w:val="Zkladntext100"/>
        <w:shd w:val="clear" w:color="auto" w:fill="auto"/>
        <w:spacing w:after="160" w:line="197" w:lineRule="auto"/>
        <w:ind w:firstLine="0"/>
        <w:jc w:val="right"/>
      </w:pPr>
      <w:r>
        <w:rPr>
          <w:i/>
          <w:iCs/>
        </w:rPr>
        <w:t xml:space="preserve">(Dr. </w:t>
      </w:r>
      <w:r>
        <w:rPr>
          <w:i/>
          <w:iCs/>
        </w:rPr>
        <w:t>O. Suchý v „Národních listech“.)</w:t>
      </w:r>
    </w:p>
    <w:p w:rsidR="00500724" w:rsidRDefault="00F30FB8">
      <w:pPr>
        <w:pStyle w:val="Zkladntext100"/>
        <w:shd w:val="clear" w:color="auto" w:fill="auto"/>
        <w:spacing w:after="60" w:line="197" w:lineRule="auto"/>
        <w:ind w:firstLine="0"/>
        <w:jc w:val="center"/>
      </w:pPr>
      <w:r>
        <w:rPr>
          <w:b/>
          <w:bCs/>
        </w:rPr>
        <w:t>Zrádci národa</w:t>
      </w:r>
    </w:p>
    <w:p w:rsidR="00500724" w:rsidRDefault="00F30FB8">
      <w:pPr>
        <w:pStyle w:val="Zkladntext100"/>
        <w:shd w:val="clear" w:color="auto" w:fill="auto"/>
        <w:spacing w:line="197" w:lineRule="auto"/>
        <w:ind w:firstLine="260"/>
      </w:pPr>
      <w:r>
        <w:t>Stačí dnes namnoze jen křivé slovo, které někdo nepro</w:t>
      </w:r>
      <w:r>
        <w:softHyphen/>
        <w:t>zřetelně vypustí z úst, a už se ozve ta strašlivá kletba: Je to zrádce národa. Být zrádcem národa je něco tak hrozného jako peklo. To znamená vyvržení ze s</w:t>
      </w:r>
      <w:r>
        <w:t>polečenství lidí stej</w:t>
      </w:r>
      <w:r>
        <w:softHyphen/>
        <w:t>ného kmene, stejného jazyka, stejné krajiny, stejné kultury a cílů. Být zrádcem národa je Kainovo znamení na čele, jehož se nezbaví ani ten, kdo je první nosil, ani jeho děti a vnuci. Být zrádcem národa znamená být za živa mrtev, nebo</w:t>
      </w:r>
      <w:r>
        <w:t>ť s ním nikdo nebude mluvit a jednat. A proto kletba tohoto druhu nesmí a nemůže být vyslovována lehkomyslně. Nestačí jenom mlhavé podezření nebo osobní nechuť. Dnes v malých měs</w:t>
      </w:r>
      <w:r>
        <w:softHyphen/>
        <w:t xml:space="preserve">tech, v ulicích a hlavně mezi intelektuály se častěji než je třeba vyslovuje </w:t>
      </w:r>
      <w:r>
        <w:t>podezření.</w:t>
      </w:r>
    </w:p>
    <w:p w:rsidR="00500724" w:rsidRDefault="00F30FB8">
      <w:pPr>
        <w:pStyle w:val="Zkladntext100"/>
        <w:shd w:val="clear" w:color="auto" w:fill="auto"/>
        <w:spacing w:line="197" w:lineRule="auto"/>
        <w:ind w:firstLine="260"/>
      </w:pPr>
      <w:r>
        <w:t>Nesmíme se vydávati zlému nebezpečí, abychom se navzá</w:t>
      </w:r>
      <w:r>
        <w:softHyphen/>
        <w:t>jem všichni podezřívali. Jen se chladně zamyslete, jen se se</w:t>
      </w:r>
      <w:r>
        <w:softHyphen/>
        <w:t xml:space="preserve">jděte i s těmi, kdož kdysi byli vašimi odpůrci, a uvidíte, že v našem národě je drtivá většina počestných, poctivých lidí. </w:t>
      </w:r>
      <w:r>
        <w:t>Nepochybujte tedy o nikom předem, nenaslouchejte nezaruče</w:t>
      </w:r>
      <w:r>
        <w:softHyphen/>
        <w:t>ným pověstem, které se snaží zošklivit všechno kolem a otrá</w:t>
      </w:r>
      <w:r>
        <w:softHyphen/>
        <w:t>vit nás všechny dohromady.</w:t>
      </w:r>
    </w:p>
    <w:p w:rsidR="00500724" w:rsidRDefault="00F30FB8">
      <w:pPr>
        <w:pStyle w:val="Zkladntext100"/>
        <w:shd w:val="clear" w:color="auto" w:fill="auto"/>
        <w:spacing w:line="197" w:lineRule="auto"/>
        <w:ind w:firstLine="260"/>
      </w:pPr>
      <w:r>
        <w:t>Jsou mezi námi zrádci společné věci, o tom není pochyb. Ale je jich málo a brzy budou do jednoho spočítáni.</w:t>
      </w:r>
    </w:p>
    <w:p w:rsidR="00500724" w:rsidRDefault="00F30FB8">
      <w:pPr>
        <w:pStyle w:val="Zkladntext100"/>
        <w:shd w:val="clear" w:color="auto" w:fill="auto"/>
        <w:spacing w:after="120" w:line="197" w:lineRule="auto"/>
        <w:ind w:firstLine="0"/>
        <w:jc w:val="right"/>
      </w:pPr>
      <w:r>
        <w:rPr>
          <w:i/>
          <w:iCs/>
        </w:rPr>
        <w:t>(„Národní práce.“)</w:t>
      </w:r>
    </w:p>
    <w:p w:rsidR="00500724" w:rsidRDefault="00F30FB8">
      <w:pPr>
        <w:pStyle w:val="Zkladntext100"/>
        <w:shd w:val="clear" w:color="auto" w:fill="auto"/>
        <w:spacing w:after="60" w:line="197" w:lineRule="auto"/>
        <w:ind w:firstLine="0"/>
        <w:jc w:val="center"/>
      </w:pPr>
      <w:r>
        <w:rPr>
          <w:b/>
          <w:bCs/>
        </w:rPr>
        <w:t>Aféry z malicherností</w:t>
      </w:r>
    </w:p>
    <w:p w:rsidR="00500724" w:rsidRDefault="00F30FB8">
      <w:pPr>
        <w:pStyle w:val="Zkladntext100"/>
        <w:shd w:val="clear" w:color="auto" w:fill="auto"/>
        <w:spacing w:line="192" w:lineRule="auto"/>
        <w:ind w:firstLine="260"/>
      </w:pPr>
      <w:r>
        <w:t>V těchto dnech přinesl DNT zprávu, že v železničních díl</w:t>
      </w:r>
      <w:r>
        <w:softHyphen/>
        <w:t xml:space="preserve">nách v Nymburce došlo k urážce Němců a v Sadské k násilné urážce německého železničního úředníka. Národní souručenství vyslalo ihned na místo svého úředníka, </w:t>
      </w:r>
      <w:r>
        <w:t xml:space="preserve">aby případy vyšetřil. Výsledek zjištění je, že obě události nebyly závažné. Je třeba především říci, že z malicherností, jako je náhodné odplivnutí dělníka nebo ženská hádka při praní prádla, by se neměly dělat národní aféry. Vždyť i čeští lidé si stěžují </w:t>
      </w:r>
      <w:r>
        <w:t>na různé příhody, které v nich zanechávají osten příkoří a urážky, ale jak Ná</w:t>
      </w:r>
      <w:r>
        <w:softHyphen/>
        <w:t>rodní souručenství, tak i český tisk si zachovávají v této věci reservu. Jsou tu mnohem důležitější věci, které je třeba vyře</w:t>
      </w:r>
      <w:r>
        <w:softHyphen/>
        <w:t>šit k vyjasnění atmosféry mezi oběma národy a mnohem</w:t>
      </w:r>
      <w:r>
        <w:t xml:space="preserve"> důle</w:t>
      </w:r>
      <w:r>
        <w:softHyphen/>
        <w:t>žitější překážky. Kdyby se Češi 1 Němci měli zabývat tako</w:t>
      </w:r>
      <w:r>
        <w:softHyphen/>
        <w:t>vými malichernostmi, nezbyl by jim čas na důležitější věci.</w:t>
      </w:r>
    </w:p>
    <w:p w:rsidR="00500724" w:rsidRDefault="00F30FB8">
      <w:pPr>
        <w:pStyle w:val="Zkladntext100"/>
        <w:shd w:val="clear" w:color="auto" w:fill="auto"/>
        <w:spacing w:after="200" w:line="192" w:lineRule="auto"/>
        <w:ind w:firstLine="0"/>
        <w:jc w:val="right"/>
      </w:pPr>
      <w:r>
        <w:rPr>
          <w:i/>
          <w:iCs/>
        </w:rPr>
        <w:t>(„Národní politika")</w:t>
      </w:r>
    </w:p>
    <w:p w:rsidR="00500724" w:rsidRDefault="00F30FB8">
      <w:pPr>
        <w:pStyle w:val="Zkladntext40"/>
        <w:shd w:val="clear" w:color="auto" w:fill="auto"/>
        <w:spacing w:line="240" w:lineRule="auto"/>
        <w:jc w:val="center"/>
        <w:rPr>
          <w:sz w:val="16"/>
          <w:szCs w:val="16"/>
        </w:rPr>
      </w:pPr>
      <w:r>
        <w:rPr>
          <w:b/>
          <w:bCs/>
          <w:sz w:val="16"/>
          <w:szCs w:val="16"/>
        </w:rPr>
        <w:t>Jak odpovídat na německý pozdrav</w:t>
      </w:r>
    </w:p>
    <w:p w:rsidR="00500724" w:rsidRDefault="00F30FB8">
      <w:pPr>
        <w:pStyle w:val="Zkladntext100"/>
        <w:shd w:val="clear" w:color="auto" w:fill="auto"/>
        <w:tabs>
          <w:tab w:val="left" w:pos="3499"/>
        </w:tabs>
        <w:spacing w:after="140" w:line="194" w:lineRule="auto"/>
        <w:ind w:firstLine="260"/>
      </w:pPr>
      <w:r>
        <w:t>Touto otázkou zabývalo se v těchto dnech „Moravské slo</w:t>
      </w:r>
      <w:r>
        <w:softHyphen/>
        <w:t xml:space="preserve">vo“ a vyslovilo názor, </w:t>
      </w:r>
      <w:r>
        <w:t>že správně si počínali ti Češi, kteří v českém hostinci odpověděli vstoupivším uniformovaným Němcům na jejich pozdrav (vztyčenou pravici a „Heil Hitler“), tím, že provolali „Vlasti zdar“. Proti tomuto názoru ostře reaguje „Volksdeutsche Zeitung" a zjišťuje</w:t>
      </w:r>
      <w:r>
        <w:t>: 1. Zdviženou pravicí a pozdravem „Heil Hitler“ zdraví se jen Němci mezi sebou, 2. pozdrav německým pozdravem při vstupu do míst</w:t>
      </w:r>
      <w:r>
        <w:softHyphen/>
        <w:t>nosti je samozřejmou zdvořilostní formou, na niž se ovšem neodpovídá, 3. pozdrav „Heil Hitler“ nemá být pokládán za bojovné he</w:t>
      </w:r>
      <w:r>
        <w:t>slo, nýbrž je jen výrazem velké a bezmezné úcty Němců k Vůdci a říšskému kancléři. — Protože ve vzájem</w:t>
      </w:r>
      <w:r>
        <w:softHyphen/>
        <w:t>ném styku Čechů s Němci není dost jistoty právě v otázce pozdravu, uvádíme názor německého listu, názor autentický a jistě správný.</w:t>
      </w:r>
      <w:r>
        <w:tab/>
      </w:r>
      <w:r>
        <w:rPr>
          <w:i/>
          <w:iCs/>
        </w:rPr>
        <w:t>(„Národní práce“)</w:t>
      </w:r>
    </w:p>
    <w:p w:rsidR="00500724" w:rsidRDefault="00F30FB8">
      <w:pPr>
        <w:pStyle w:val="Zkladntext100"/>
        <w:shd w:val="clear" w:color="auto" w:fill="auto"/>
        <w:spacing w:after="60" w:line="197" w:lineRule="auto"/>
        <w:ind w:firstLine="0"/>
        <w:jc w:val="center"/>
      </w:pPr>
      <w:r>
        <w:rPr>
          <w:b/>
          <w:bCs/>
        </w:rPr>
        <w:t>Úpl</w:t>
      </w:r>
      <w:r>
        <w:rPr>
          <w:b/>
          <w:bCs/>
        </w:rPr>
        <w:t>ná likvidace českého fašismu</w:t>
      </w:r>
    </w:p>
    <w:p w:rsidR="00500724" w:rsidRDefault="00F30FB8">
      <w:pPr>
        <w:pStyle w:val="Zkladntext100"/>
        <w:shd w:val="clear" w:color="auto" w:fill="auto"/>
        <w:spacing w:after="80" w:line="194" w:lineRule="auto"/>
        <w:ind w:firstLine="260"/>
      </w:pPr>
      <w:r>
        <w:t>Národní obec fašistická úplně se zapojila do Národního sou</w:t>
      </w:r>
      <w:r>
        <w:softHyphen/>
        <w:t>ručenství. Poměry v Brně spějí ke konsolidaci. S vědomím ve</w:t>
      </w:r>
      <w:r>
        <w:softHyphen/>
        <w:t>dení Národního souručenství a českých úředních kruhů zajel</w:t>
      </w:r>
    </w:p>
    <w:p w:rsidR="00500724" w:rsidRDefault="00F30FB8">
      <w:pPr>
        <w:pStyle w:val="Zkladntext100"/>
        <w:shd w:val="clear" w:color="auto" w:fill="auto"/>
        <w:tabs>
          <w:tab w:val="left" w:pos="3571"/>
        </w:tabs>
        <w:spacing w:after="140" w:line="194" w:lineRule="auto"/>
        <w:ind w:firstLine="0"/>
      </w:pPr>
      <w:r>
        <w:t xml:space="preserve">generál Rudolf Gajda na Moravu, aby provedl </w:t>
      </w:r>
      <w:r>
        <w:t>úplnou likvidaci českého fašismu ve prospěch Národního souručenství. Ve čtvrtek 10. srpna navštívil Jihlavu a Třebíč. Jak v okrese jihlavském a třebíčském, tak i v přilehlých okresech plně se zapojili do organisační sítě Národního souručenství. Projevy gen</w:t>
      </w:r>
      <w:r>
        <w:t>erála Gajdy a jeho spolupracovníků, nesoucí se ve prospěch národní jednoty a organisační celistvosti Národního souručen</w:t>
      </w:r>
      <w:r>
        <w:softHyphen/>
        <w:t>ství, byly nadšeně vyslechnuty a znamenají velké ulehčení v organisační výstavbě národního hnutí. V pátek 11. srpna pro</w:t>
      </w:r>
      <w:r>
        <w:softHyphen/>
        <w:t>vedl geperál Gaj</w:t>
      </w:r>
      <w:r>
        <w:t>da rozhodné opatření v Brně. Národní obec fašistická dala se úplně do služeb národní věci, do služeb české</w:t>
      </w:r>
      <w:r>
        <w:softHyphen/>
        <w:t>ho nacionalismu a všichni ti, již se nepodrobili kázni, prohlášeni za zrádce národa. Taktika a postup generála Rudolfa Gajdy jak u úřadů, tak v rámci</w:t>
      </w:r>
      <w:r>
        <w:t xml:space="preserve"> Národního souručenství jest ve všech vrstvách brněnského obyvatelstva schvalována jako rozhodný čin ve prospěch české národní věci.</w:t>
      </w:r>
      <w:r>
        <w:tab/>
      </w:r>
      <w:r>
        <w:rPr>
          <w:i/>
          <w:iCs/>
        </w:rPr>
        <w:t>(„Národní listy")</w:t>
      </w:r>
    </w:p>
    <w:p w:rsidR="00500724" w:rsidRDefault="00F30FB8">
      <w:pPr>
        <w:pStyle w:val="Zkladntext100"/>
        <w:shd w:val="clear" w:color="auto" w:fill="auto"/>
        <w:spacing w:after="100" w:line="206" w:lineRule="auto"/>
        <w:ind w:firstLine="0"/>
        <w:jc w:val="center"/>
        <w:rPr>
          <w:sz w:val="17"/>
          <w:szCs w:val="17"/>
        </w:rPr>
      </w:pPr>
      <w:r>
        <w:rPr>
          <w:b/>
          <w:bCs/>
          <w:sz w:val="17"/>
          <w:szCs w:val="17"/>
        </w:rPr>
        <w:t>Rozkol ve „Vlajce“?</w:t>
      </w:r>
    </w:p>
    <w:p w:rsidR="00500724" w:rsidRDefault="00F30FB8">
      <w:pPr>
        <w:pStyle w:val="Zkladntext100"/>
        <w:shd w:val="clear" w:color="auto" w:fill="auto"/>
        <w:spacing w:after="140" w:line="194" w:lineRule="auto"/>
        <w:ind w:firstLine="200"/>
      </w:pPr>
      <w:r>
        <w:t>Ústřední list NS. „Národní listy“ přinesly včera tuto in</w:t>
      </w:r>
      <w:r>
        <w:softHyphen/>
        <w:t>formaci: „Koncem minulého tý</w:t>
      </w:r>
      <w:r>
        <w:t>dne uveřejnil J. Rys oznámení, že zbavuje PhDr Frant. Vítka funkce finančního komisaře Vlajky. Krátce poté byla denním listům dodána zpráva, podle které dr. Vítek se vzdal funkce sám. Zpráva, vycházející z okolí dra Vítka, obsahuje prudké výtky nynějšímu v</w:t>
      </w:r>
      <w:r>
        <w:t>edení Vlajky. Praví, že dr. Vítek nechce dále spolupracovati s lidmi, mezi nimiž někteři jsou nakloněni k dobrodružství a někteří nemají své osobní věci v pořádku. Také Němci prý nahlížejí, že Vlajka počtem svých — převážně matrikových — členů je nevýznam</w:t>
      </w:r>
      <w:r>
        <w:softHyphen/>
      </w:r>
      <w:r>
        <w:t>nou frakci. Jako další důvod odstoupení dra Vítka se uvádí, že Vlajka pro své počínání v národních věcech je pro český lid útvarem odpudlivým. Význam odstoupení dra Vítka z funkce finančního komisaře (pokladníka) Vlajky vynikne zjištěním, že dr. Vítek dosu</w:t>
      </w:r>
      <w:r>
        <w:t>d financoval Vlajku a vydal na její potřeby velkou peněžní částku. —- Nelze dosud zjistiti dosah tohoto rozkolu, ale je jisto, že pro organisaci tak malých rozměrů je to vážný otřes, kterým byla postižena ještě dříve, než mohla vůbec přistoupiti k pokusu o</w:t>
      </w:r>
      <w:r>
        <w:t xml:space="preserve"> uskutečnění svých nejvlastnějších záměrů. Zaznamenáváme z referentské povinnosti události, jak se o nich dostává tisku zpráv.“</w:t>
      </w:r>
    </w:p>
    <w:p w:rsidR="00500724" w:rsidRDefault="00F30FB8">
      <w:pPr>
        <w:pStyle w:val="Zkladntext100"/>
        <w:shd w:val="clear" w:color="auto" w:fill="auto"/>
        <w:spacing w:after="100" w:line="194" w:lineRule="auto"/>
        <w:ind w:firstLine="0"/>
        <w:jc w:val="center"/>
      </w:pPr>
      <w:r>
        <w:rPr>
          <w:b/>
          <w:bCs/>
        </w:rPr>
        <w:t>Léto 1939 na českém venkově</w:t>
      </w:r>
    </w:p>
    <w:p w:rsidR="00500724" w:rsidRDefault="00F30FB8">
      <w:pPr>
        <w:pStyle w:val="Zkladntext100"/>
        <w:shd w:val="clear" w:color="auto" w:fill="auto"/>
        <w:tabs>
          <w:tab w:val="left" w:pos="3739"/>
        </w:tabs>
        <w:spacing w:after="200" w:line="194" w:lineRule="auto"/>
      </w:pPr>
      <w:r>
        <w:t>České noviny píší už dlouho o jednom pozoruhodném zjevu: Všechny venkovské kostely jsou v neděli dop</w:t>
      </w:r>
      <w:r>
        <w:t>oledne plné. Zprá</w:t>
      </w:r>
      <w:r>
        <w:softHyphen/>
        <w:t>vy ze všech krajů dokazují, že to není snad nějaký zjev místní. Pražáci, kteří tráví svou dovolenou na českém venkově, pomá</w:t>
      </w:r>
      <w:r>
        <w:softHyphen/>
        <w:t>hají plnit vesnické kostelíky. Podívejte se, jak to na př. vypadá v západních Čechách. Píše o tom plzeňská „Nová d</w:t>
      </w:r>
      <w:r>
        <w:t>oba“. Ve</w:t>
      </w:r>
      <w:r>
        <w:softHyphen/>
        <w:t>jdete v neděli dopoledne do kostela v kterékoliv obci. Je plný, jako na venkově v neděli vždycky. Ale je tam zvláštní atmo</w:t>
      </w:r>
      <w:r>
        <w:softHyphen/>
        <w:t>sféra. Zase jiná, než bývala jindy. Je tam i méně volného místa než jindy, neboť pražští hosté si většinou zvykli scházeti s</w:t>
      </w:r>
      <w:r>
        <w:t>e s místními občany i tam. Lidé neodcházejí, jak odcházívali jindy porůznu i v hloučcích, když si mysleli, že své povinnosti nedělního dopoledne učinili zadost. A pojednou, když se mše skončí, zazni prostorou kostelíčka velebný chorál svatováclav</w:t>
      </w:r>
      <w:r>
        <w:softHyphen/>
        <w:t>ský. Ti l</w:t>
      </w:r>
      <w:r>
        <w:t>idé zpívají se svým knězem tak vroucně, tak zaníceně, tak jim oči planou vnitřním vzrušením, tak cele se pohrouží do smyslu starobylé písně, že náhodný pozorovatel, účastník této slavné chvíle, odchází vzrušen a často se i marně brání slzám hlubokého pohnu</w:t>
      </w:r>
      <w:r>
        <w:t>tí, jak se mu derou do očí. Máš dojem, že na venkově do kostela v tuto dobu chodí si zazpívat i lidé, kteří jindy na to ani nepomysleli. Je to jakoby skutečný souzvuk všech českých duší.</w:t>
      </w:r>
      <w:r>
        <w:tab/>
      </w:r>
      <w:r>
        <w:rPr>
          <w:i/>
          <w:iCs/>
        </w:rPr>
        <w:t>(„Polední list.“)</w:t>
      </w:r>
    </w:p>
    <w:p w:rsidR="00500724" w:rsidRDefault="00F30FB8">
      <w:pPr>
        <w:pStyle w:val="Zkladntext100"/>
        <w:shd w:val="clear" w:color="auto" w:fill="auto"/>
        <w:spacing w:after="100" w:line="194" w:lineRule="auto"/>
        <w:ind w:firstLine="0"/>
        <w:jc w:val="center"/>
      </w:pPr>
      <w:r>
        <w:rPr>
          <w:b/>
          <w:bCs/>
        </w:rPr>
        <w:t>Český dopis z Chebu</w:t>
      </w:r>
    </w:p>
    <w:p w:rsidR="00500724" w:rsidRDefault="00F30FB8">
      <w:pPr>
        <w:pStyle w:val="Zkladntext100"/>
        <w:shd w:val="clear" w:color="auto" w:fill="auto"/>
        <w:spacing w:line="194" w:lineRule="auto"/>
      </w:pPr>
      <w:r>
        <w:t>Začátkem tohoto týdne došel nám</w:t>
      </w:r>
      <w:r>
        <w:t xml:space="preserve"> do redakce dopis až z nejvzdálenějšího cípu Sudet — Chebska. Píše nám prostá žena dělníka, ale již první tahy písma a obsah rukopisu svědčí o tom, že jedná se o ženu vysoce vzdělanou a velmi inteli</w:t>
      </w:r>
      <w:r>
        <w:softHyphen/>
        <w:t>gentní. — Citujeme úryvek dopisu:</w:t>
      </w:r>
    </w:p>
    <w:p w:rsidR="00500724" w:rsidRDefault="00F30FB8">
      <w:pPr>
        <w:pStyle w:val="Zkladntext100"/>
        <w:shd w:val="clear" w:color="auto" w:fill="auto"/>
        <w:spacing w:after="100" w:line="194" w:lineRule="auto"/>
        <w:sectPr w:rsidR="00500724">
          <w:footnotePr>
            <w:numFmt w:val="chicago"/>
            <w:numRestart w:val="eachPage"/>
          </w:footnotePr>
          <w:type w:val="continuous"/>
          <w:pgSz w:w="11909" w:h="16834"/>
          <w:pgMar w:top="843" w:right="1128" w:bottom="915" w:left="355" w:header="0" w:footer="3" w:gutter="0"/>
          <w:cols w:num="2" w:space="134"/>
          <w:noEndnote/>
          <w:docGrid w:linePitch="360"/>
        </w:sectPr>
      </w:pPr>
      <w:r>
        <w:t>„Jako hřejivý paprsek za nepohody, tak působily řádky „Věstníku“ u nás. České řádky! Porozumíte mi -— neboť jsme jediná česká a na své češství hrdá rodina u Chebu. Váš list došel nám s velmi nedostatečnou adresou až 20. t. m.</w:t>
      </w:r>
      <w:r>
        <w:t xml:space="preserve"> a j e h o předání svědčí o tom, že je nás Čechů zde velmi poskrovnu a ještě méně těch, kteří se za svou mateřštinu nestydí, nebojí se jí užívat mezi svými i na ulici, či ji dokonce nezapírají. Bolestno pozorovat — již 15 let jsme zde a proto známe své a n</w:t>
      </w:r>
      <w:r>
        <w:t>utno říci, že mnohé 15 let se zdá</w:t>
      </w:r>
      <w:r>
        <w:softHyphen/>
        <w:t>lo zlatou pšenicí a dnes teprve poznáváme,</w:t>
      </w:r>
    </w:p>
    <w:p w:rsidR="00500724" w:rsidRDefault="00F30FB8">
      <w:pPr>
        <w:pStyle w:val="Jin0"/>
        <w:pBdr>
          <w:bottom w:val="single" w:sz="4" w:space="0" w:color="auto"/>
        </w:pBdr>
        <w:shd w:val="clear" w:color="auto" w:fill="auto"/>
        <w:ind w:left="320" w:firstLine="0"/>
        <w:jc w:val="center"/>
        <w:rPr>
          <w:sz w:val="36"/>
          <w:szCs w:val="36"/>
        </w:rPr>
        <w:sectPr w:rsidR="00500724">
          <w:footnotePr>
            <w:numFmt w:val="chicago"/>
            <w:numRestart w:val="eachPage"/>
          </w:footnotePr>
          <w:pgSz w:w="11909" w:h="16834"/>
          <w:pgMar w:top="881" w:right="836" w:bottom="528" w:left="658" w:header="0" w:footer="3" w:gutter="0"/>
          <w:cols w:space="720"/>
          <w:noEndnote/>
          <w:docGrid w:linePitch="360"/>
        </w:sectPr>
      </w:pPr>
      <w:r>
        <w:rPr>
          <w:rFonts w:ascii="Arial" w:eastAsia="Arial" w:hAnsi="Arial" w:cs="Arial"/>
          <w:sz w:val="36"/>
          <w:szCs w:val="36"/>
          <w:lang w:val="en-US" w:eastAsia="en-US" w:bidi="en-US"/>
        </w:rPr>
        <w:t>Phtomnost</w:t>
      </w:r>
    </w:p>
    <w:p w:rsidR="00500724" w:rsidRDefault="00500724">
      <w:pPr>
        <w:spacing w:line="107" w:lineRule="exact"/>
        <w:rPr>
          <w:sz w:val="9"/>
          <w:szCs w:val="9"/>
        </w:rPr>
      </w:pPr>
    </w:p>
    <w:p w:rsidR="00500724" w:rsidRDefault="00500724">
      <w:pPr>
        <w:spacing w:line="14" w:lineRule="exact"/>
        <w:sectPr w:rsidR="00500724">
          <w:footnotePr>
            <w:numFmt w:val="chicago"/>
            <w:numRestart w:val="eachPage"/>
          </w:footnotePr>
          <w:type w:val="continuous"/>
          <w:pgSz w:w="11909" w:h="16834"/>
          <w:pgMar w:top="881" w:right="0" w:bottom="528" w:left="0" w:header="0" w:footer="3" w:gutter="0"/>
          <w:cols w:space="720"/>
          <w:noEndnote/>
          <w:docGrid w:linePitch="360"/>
        </w:sectPr>
      </w:pPr>
    </w:p>
    <w:p w:rsidR="00500724" w:rsidRDefault="00F30FB8">
      <w:pPr>
        <w:pStyle w:val="Zkladntext100"/>
        <w:shd w:val="clear" w:color="auto" w:fill="auto"/>
        <w:spacing w:line="197" w:lineRule="auto"/>
        <w:ind w:firstLine="0"/>
      </w:pPr>
      <w:r>
        <w:rPr>
          <w:i/>
          <w:iCs/>
          <w:lang w:val="en-US" w:eastAsia="en-US" w:bidi="en-US"/>
        </w:rPr>
        <w:t>le</w:t>
      </w:r>
      <w:r>
        <w:rPr>
          <w:lang w:val="en-US" w:eastAsia="en-US" w:bidi="en-US"/>
        </w:rPr>
        <w:t xml:space="preserve"> </w:t>
      </w:r>
      <w:r>
        <w:t>klas je hluchý. Jistě Vás bude zajímat, jak jsem zvěděla o existenci Vašeho listu, když jsem v naši úplné opuš</w:t>
      </w:r>
      <w:r>
        <w:softHyphen/>
        <w:t>těnosti, od posledního převratu, jen třikráte mluvila s ěeským člověkem. V pohozených čes</w:t>
      </w:r>
      <w:r>
        <w:softHyphen/>
        <w:t xml:space="preserve">kých novinách na nádraží byla zmínka o existenci českého časopisu v Sudetech, který vychází v Novém Jičíně a proto </w:t>
      </w:r>
      <w:r>
        <w:rPr>
          <w:b/>
          <w:bCs/>
        </w:rPr>
        <w:t xml:space="preserve">i </w:t>
      </w:r>
      <w:r>
        <w:t>adresa lístku, který jsem Vám zaslala, zněla dos</w:t>
      </w:r>
      <w:r>
        <w:t xml:space="preserve">ti nepřesně. Můj muž je t č. pomocný dělník a v roce 1937, 1938 byl úplně bez zaměstnání. Dnes nám zbyla jen řeč a život, ale právě ta naše česká řeč zajde jen </w:t>
      </w:r>
      <w:r>
        <w:rPr>
          <w:b/>
          <w:bCs/>
        </w:rPr>
        <w:t xml:space="preserve">s </w:t>
      </w:r>
      <w:r>
        <w:t xml:space="preserve">naším životem, třeba jsme jen pouhou kapkou v oceáně! Vyzýváte k spolupráci, ke kritice </w:t>
      </w:r>
      <w:r>
        <w:rPr>
          <w:b/>
          <w:bCs/>
        </w:rPr>
        <w:t xml:space="preserve">a </w:t>
      </w:r>
      <w:r>
        <w:t>já m</w:t>
      </w:r>
      <w:r>
        <w:t>ám pouze jediné číslo. Mně se v něm vše libí, je české a to je tady pro nás dost. Těšíme se na další číslo „Věstníku“ a přejeme další práci Zdar.“</w:t>
      </w:r>
    </w:p>
    <w:p w:rsidR="00500724" w:rsidRDefault="00F30FB8">
      <w:pPr>
        <w:pStyle w:val="Zkladntext100"/>
        <w:shd w:val="clear" w:color="auto" w:fill="auto"/>
        <w:spacing w:line="384" w:lineRule="auto"/>
        <w:ind w:left="1540" w:firstLine="340"/>
        <w:jc w:val="left"/>
      </w:pPr>
      <w:r>
        <w:rPr>
          <w:i/>
          <w:iCs/>
        </w:rPr>
        <w:t xml:space="preserve">(„Věstník české menšiny v Sudetech".) </w:t>
      </w:r>
      <w:r>
        <w:t>Naše hotely nemají hostí</w:t>
      </w:r>
    </w:p>
    <w:p w:rsidR="00500724" w:rsidRDefault="00F30FB8">
      <w:pPr>
        <w:pStyle w:val="Zkladntext100"/>
        <w:shd w:val="clear" w:color="auto" w:fill="auto"/>
        <w:tabs>
          <w:tab w:val="left" w:pos="3696"/>
        </w:tabs>
        <w:spacing w:line="194" w:lineRule="auto"/>
        <w:ind w:firstLine="260"/>
      </w:pPr>
      <w:r>
        <w:t>Proti loňskému roku poklesla letos značně návš</w:t>
      </w:r>
      <w:r>
        <w:t>těva našich hotelů. Podle záznamů hotelových sekcí ústředních hostinských organisaci, čini prý pokles průměrně 40—50%. V Praze a ve větších průmyslových střediscích je pokles větší. Odhaduje se na 40—70%.</w:t>
      </w:r>
      <w:r>
        <w:tab/>
      </w:r>
      <w:r>
        <w:rPr>
          <w:i/>
          <w:iCs/>
        </w:rPr>
        <w:t>(„Polední list“)</w:t>
      </w:r>
    </w:p>
    <w:p w:rsidR="00500724" w:rsidRDefault="00F30FB8">
      <w:pPr>
        <w:pStyle w:val="Zkladntext100"/>
        <w:shd w:val="clear" w:color="auto" w:fill="auto"/>
        <w:spacing w:line="194" w:lineRule="auto"/>
        <w:ind w:firstLine="0"/>
        <w:jc w:val="right"/>
      </w:pPr>
      <w:r>
        <w:rPr>
          <w:i/>
          <w:iCs/>
        </w:rPr>
        <w:t>i</w:t>
      </w:r>
    </w:p>
    <w:p w:rsidR="00500724" w:rsidRDefault="00F30FB8">
      <w:pPr>
        <w:pStyle w:val="Zkladntext100"/>
        <w:shd w:val="clear" w:color="auto" w:fill="auto"/>
        <w:spacing w:after="80" w:line="197" w:lineRule="auto"/>
        <w:ind w:firstLine="0"/>
        <w:jc w:val="center"/>
      </w:pPr>
      <w:r>
        <w:t>Proč je nedostatek vepřového mas</w:t>
      </w:r>
      <w:r>
        <w:t>a ?</w:t>
      </w:r>
    </w:p>
    <w:p w:rsidR="00500724" w:rsidRDefault="00F30FB8">
      <w:pPr>
        <w:pStyle w:val="Zkladntext100"/>
        <w:shd w:val="clear" w:color="auto" w:fill="auto"/>
        <w:tabs>
          <w:tab w:val="left" w:pos="3466"/>
        </w:tabs>
        <w:spacing w:after="200" w:line="194" w:lineRule="auto"/>
        <w:ind w:firstLine="200"/>
      </w:pPr>
      <w:r>
        <w:t>Podle zpráv Státního úřadu statistického o stavu hospodář</w:t>
      </w:r>
      <w:r>
        <w:softHyphen/>
        <w:t xml:space="preserve">ského zvířectva na počátku letošního roku dá se zjistiti, že zvláště vepřového bravu silně ubylo. Letos bylo napočteno na nynějším území Protektorátu 1,607.191 kus vepřového bravu, loni v téže </w:t>
      </w:r>
      <w:r>
        <w:t>době na témže území 1,949.034 kusů. Úbytek je 17.5%. Úbytek plemenných prasnic klesl o 18.5%. Úbytek skotu není veliký, jen asi 1.3%.</w:t>
      </w:r>
      <w:r>
        <w:tab/>
      </w:r>
      <w:r>
        <w:rPr>
          <w:i/>
          <w:iCs/>
        </w:rPr>
        <w:t>(„Národní práce“)</w:t>
      </w:r>
    </w:p>
    <w:p w:rsidR="00500724" w:rsidRDefault="00F30FB8">
      <w:pPr>
        <w:pStyle w:val="Zkladntext100"/>
        <w:shd w:val="clear" w:color="auto" w:fill="auto"/>
        <w:spacing w:after="100" w:line="197" w:lineRule="auto"/>
        <w:ind w:firstLine="0"/>
        <w:jc w:val="center"/>
      </w:pPr>
      <w:r>
        <w:t>Nevíme, kolik máme státních zaměstnanců</w:t>
      </w:r>
    </w:p>
    <w:p w:rsidR="00500724" w:rsidRDefault="00F30FB8">
      <w:pPr>
        <w:pStyle w:val="Zkladntext100"/>
        <w:shd w:val="clear" w:color="auto" w:fill="auto"/>
        <w:spacing w:line="190" w:lineRule="auto"/>
        <w:ind w:firstLine="260"/>
      </w:pPr>
      <w:r>
        <w:t>Dnes je to totiž obtížné zjistiti, neboť dosud není přesně 2námo</w:t>
      </w:r>
      <w:r>
        <w:t>, kolik zaměstnanců se vrátilo ze Slovenska a z Pod</w:t>
      </w:r>
      <w:r>
        <w:softHyphen/>
        <w:t>karpatské Rusi a kromě toho není ani znám počet zaměst</w:t>
      </w:r>
      <w:r>
        <w:softHyphen/>
        <w:t>nanců, přišlých ze Sudet.</w:t>
      </w:r>
    </w:p>
    <w:p w:rsidR="00500724" w:rsidRDefault="00F30FB8">
      <w:pPr>
        <w:pStyle w:val="Zkladntext100"/>
        <w:shd w:val="clear" w:color="auto" w:fill="auto"/>
        <w:spacing w:line="190" w:lineRule="auto"/>
        <w:ind w:firstLine="260"/>
      </w:pPr>
      <w:r>
        <w:t>Proto provede státní úřad statistický soupis státních za</w:t>
      </w:r>
      <w:r>
        <w:softHyphen/>
        <w:t xml:space="preserve">městnanců v Čechách a na Moravě, při němž též zjistí jejich </w:t>
      </w:r>
      <w:r>
        <w:t>rozděleni v platových stupnicích, počet jejich dětí a pod.</w:t>
      </w:r>
    </w:p>
    <w:p w:rsidR="00500724" w:rsidRDefault="00F30FB8">
      <w:pPr>
        <w:pStyle w:val="Zkladntext100"/>
        <w:shd w:val="clear" w:color="auto" w:fill="auto"/>
        <w:spacing w:line="197" w:lineRule="auto"/>
        <w:ind w:firstLine="0"/>
        <w:jc w:val="right"/>
      </w:pPr>
      <w:r>
        <w:rPr>
          <w:i/>
          <w:iCs/>
        </w:rPr>
        <w:t>(„Polední list“.)</w:t>
      </w:r>
    </w:p>
    <w:p w:rsidR="00500724" w:rsidRDefault="00F30FB8">
      <w:pPr>
        <w:pStyle w:val="Zkladntext100"/>
        <w:shd w:val="clear" w:color="auto" w:fill="auto"/>
        <w:spacing w:after="60" w:line="197" w:lineRule="auto"/>
        <w:ind w:firstLine="0"/>
        <w:jc w:val="center"/>
      </w:pPr>
      <w:r>
        <w:rPr>
          <w:b/>
          <w:bCs/>
        </w:rPr>
        <w:t>Studenti na silnici</w:t>
      </w:r>
    </w:p>
    <w:p w:rsidR="00500724" w:rsidRDefault="00F30FB8">
      <w:pPr>
        <w:pStyle w:val="Zkladntext100"/>
        <w:shd w:val="clear" w:color="auto" w:fill="auto"/>
        <w:spacing w:after="200" w:line="197" w:lineRule="auto"/>
        <w:ind w:firstLine="260"/>
      </w:pPr>
      <w:r>
        <w:t>Časopis „Venkov“ přinesl již zprávu, že pracovní tábor v So</w:t>
      </w:r>
      <w:r>
        <w:softHyphen/>
        <w:t>běslavi byl rozpuštěn a že tím byla na čas přerušena práce na přeložení státní silnice. Podnikatelé</w:t>
      </w:r>
      <w:r>
        <w:t xml:space="preserve"> však přijali dělníky jiné </w:t>
      </w:r>
      <w:r>
        <w:rPr>
          <w:b/>
          <w:bCs/>
        </w:rPr>
        <w:t xml:space="preserve">a v </w:t>
      </w:r>
      <w:r>
        <w:t>práci se pokračuje. Mezi novými dělníky je 35 studentů, a to čtyři ze Soběslavě, ostatní z okolí. Někteří jsou maturanty. Tento studentský oddíl pracuje samostatně na jednom úseku silnice a podnikatel je s nimi spokojen. Dost</w:t>
      </w:r>
      <w:r>
        <w:t xml:space="preserve">ávají plat 2.20 až 2.80 K za hodinu a pracují devět hodin denně. </w:t>
      </w:r>
      <w:r>
        <w:rPr>
          <w:i/>
          <w:iCs/>
        </w:rPr>
        <w:t>(„Venkov.“)</w:t>
      </w:r>
    </w:p>
    <w:p w:rsidR="00500724" w:rsidRDefault="00F30FB8">
      <w:pPr>
        <w:pStyle w:val="Zkladntext100"/>
        <w:shd w:val="clear" w:color="auto" w:fill="auto"/>
        <w:spacing w:after="60" w:line="197" w:lineRule="auto"/>
        <w:ind w:firstLine="0"/>
        <w:jc w:val="center"/>
      </w:pPr>
      <w:r>
        <w:t>Oddlužení samosprávy se již nebude provádět</w:t>
      </w:r>
    </w:p>
    <w:p w:rsidR="00500724" w:rsidRDefault="00F30FB8">
      <w:pPr>
        <w:pStyle w:val="Zkladntext100"/>
        <w:shd w:val="clear" w:color="auto" w:fill="auto"/>
        <w:tabs>
          <w:tab w:val="left" w:pos="4066"/>
        </w:tabs>
        <w:spacing w:after="100"/>
        <w:ind w:firstLine="260"/>
      </w:pPr>
      <w:r>
        <w:t>Některé obce se ještě chtěly ucházeti o oddlužení, dozvě</w:t>
      </w:r>
      <w:r>
        <w:softHyphen/>
        <w:t>děly se však, že akce oddlužovací se již neprovádí. Příčinou zastavení oddluže</w:t>
      </w:r>
      <w:r>
        <w:t>ní jest nedostatek finančních prostředků Po</w:t>
      </w:r>
      <w:r>
        <w:softHyphen/>
        <w:t>mocného fondu. Oddlužení pomohlo nejvíce velkým městům, která podnikla velké investice. Netýkalo se však téměř ven</w:t>
      </w:r>
      <w:r>
        <w:softHyphen/>
        <w:t>kovských obcí, které jednak málo podnikaly na dluh, jednak neměly dluhy, na něž se vztahují ustan</w:t>
      </w:r>
      <w:r>
        <w:t>ovení o oddlužení. Po</w:t>
      </w:r>
      <w:r>
        <w:softHyphen/>
        <w:t>mocný fond bude vyměřovati oddluženým svazkům samo</w:t>
      </w:r>
      <w:r>
        <w:softHyphen/>
        <w:t>správným příspěvky, které se budou pohybovati podle fi</w:t>
      </w:r>
      <w:r>
        <w:softHyphen/>
        <w:t xml:space="preserve">nanční únosnosti oddlužené obce. Protože obce mají ještě značně dluhů, které mnohdy znemožňují provádění nutných prací, bylo by </w:t>
      </w:r>
      <w:r>
        <w:t>třeba hledati nové cesty, jak pomoci těmto obcim.</w:t>
      </w:r>
      <w:r>
        <w:tab/>
      </w:r>
      <w:r>
        <w:rPr>
          <w:i/>
          <w:iCs/>
        </w:rPr>
        <w:t>(„Venkov“.)</w:t>
      </w:r>
    </w:p>
    <w:p w:rsidR="00500724" w:rsidRDefault="00F30FB8">
      <w:pPr>
        <w:pStyle w:val="Zkladntext100"/>
        <w:shd w:val="clear" w:color="auto" w:fill="auto"/>
        <w:spacing w:after="80" w:line="197" w:lineRule="auto"/>
        <w:ind w:firstLine="0"/>
        <w:jc w:val="center"/>
      </w:pPr>
      <w:r>
        <w:t>Přes šedesát tisíc našich dělníků v ftíši</w:t>
      </w:r>
    </w:p>
    <w:p w:rsidR="00500724" w:rsidRDefault="00F30FB8">
      <w:pPr>
        <w:pStyle w:val="Zkladntext100"/>
        <w:shd w:val="clear" w:color="auto" w:fill="auto"/>
        <w:spacing w:after="280" w:line="197" w:lineRule="auto"/>
        <w:ind w:firstLine="260"/>
      </w:pPr>
      <w:r>
        <w:t>Záhy z jera začali naši dělnici jezdit na práci do ftíše. Mno</w:t>
      </w:r>
      <w:r>
        <w:softHyphen/>
      </w:r>
      <w:r>
        <w:rPr>
          <w:b/>
          <w:bCs/>
        </w:rPr>
        <w:t xml:space="preserve">hé </w:t>
      </w:r>
      <w:r>
        <w:t>z pracovníků získaly pro práci v ftíši lepší platební pod</w:t>
      </w:r>
      <w:r>
        <w:softHyphen/>
        <w:t xml:space="preserve">mínky. Časté transporty, jež </w:t>
      </w:r>
      <w:r>
        <w:t>s pracovníky směřovaly k hra</w:t>
      </w:r>
      <w:r>
        <w:softHyphen/>
      </w:r>
      <w:r>
        <w:rPr>
          <w:b/>
          <w:bCs/>
        </w:rPr>
        <w:t xml:space="preserve">nicím, </w:t>
      </w:r>
      <w:r>
        <w:t xml:space="preserve">budily otázku, kolik je našich lidí na práci v ftíši. Lze </w:t>
      </w:r>
      <w:r>
        <w:rPr>
          <w:b/>
          <w:bCs/>
        </w:rPr>
        <w:t xml:space="preserve">na </w:t>
      </w:r>
      <w:r>
        <w:t>ni přesně odpovědět: Do 5. srpna dosáhl počet dělníků z Čech a Moravy, kteří jsou za prací v Německu, 60.392. Mimo to odjelo do ftiše za zaměstnáním také 22.68</w:t>
      </w:r>
      <w:r>
        <w:t xml:space="preserve">7 žen. Mezi </w:t>
      </w:r>
      <w:r>
        <w:rPr>
          <w:b/>
          <w:bCs/>
        </w:rPr>
        <w:t xml:space="preserve">ně </w:t>
      </w:r>
      <w:r>
        <w:t>jsou počítány i ty, které našly v ftíši zaměstnáni jako po</w:t>
      </w:r>
      <w:r>
        <w:softHyphen/>
        <w:t>mocnice v domácnosti. Těch je ovšem nejvíce. Jinak jsou za</w:t>
      </w:r>
      <w:r>
        <w:softHyphen/>
        <w:t>městnány na pomocných pracích v továrnách,</w:t>
      </w:r>
    </w:p>
    <w:p w:rsidR="00500724" w:rsidRDefault="00F30FB8">
      <w:pPr>
        <w:pStyle w:val="Zkladntext100"/>
        <w:shd w:val="clear" w:color="auto" w:fill="auto"/>
        <w:spacing w:after="60" w:line="197" w:lineRule="auto"/>
        <w:ind w:firstLine="0"/>
      </w:pPr>
      <w:r>
        <w:rPr>
          <w:b/>
          <w:bCs/>
        </w:rPr>
        <w:t>5K0</w:t>
      </w:r>
    </w:p>
    <w:p w:rsidR="00500724" w:rsidRDefault="00F30FB8">
      <w:pPr>
        <w:pStyle w:val="Zkladntext100"/>
        <w:shd w:val="clear" w:color="auto" w:fill="auto"/>
        <w:spacing w:after="140" w:line="194" w:lineRule="auto"/>
        <w:ind w:firstLine="260"/>
      </w:pPr>
      <w:r>
        <w:t xml:space="preserve">Podle rozvrstvení v ftíši je nejvíce pomocných dělníků, </w:t>
      </w:r>
      <w:r>
        <w:rPr>
          <w:b/>
          <w:bCs/>
          <w:sz w:val="19"/>
          <w:szCs w:val="19"/>
        </w:rPr>
        <w:t xml:space="preserve">a </w:t>
      </w:r>
      <w:r>
        <w:t xml:space="preserve">to jak stavebních </w:t>
      </w:r>
      <w:r>
        <w:t>tak i z jiných oborů; hodně odjelo do Ně</w:t>
      </w:r>
      <w:r>
        <w:softHyphen/>
        <w:t xml:space="preserve">mecka kovodělníků, cihlářů a železničních dělníků, také jistý počet, ne však zvláště velký, horníků. </w:t>
      </w:r>
      <w:r>
        <w:rPr>
          <w:i/>
          <w:iCs/>
        </w:rPr>
        <w:t>(„Lidové noviny“.)</w:t>
      </w:r>
    </w:p>
    <w:p w:rsidR="00500724" w:rsidRDefault="00F30FB8">
      <w:pPr>
        <w:pStyle w:val="Zkladntext100"/>
        <w:shd w:val="clear" w:color="auto" w:fill="auto"/>
        <w:spacing w:after="40" w:line="194" w:lineRule="auto"/>
        <w:ind w:firstLine="0"/>
        <w:jc w:val="center"/>
      </w:pPr>
      <w:r>
        <w:t>Praha — milionové město</w:t>
      </w:r>
    </w:p>
    <w:p w:rsidR="00500724" w:rsidRDefault="00F30FB8">
      <w:pPr>
        <w:pStyle w:val="Zkladntext100"/>
        <w:shd w:val="clear" w:color="auto" w:fill="auto"/>
        <w:tabs>
          <w:tab w:val="left" w:pos="4107"/>
        </w:tabs>
        <w:spacing w:after="140" w:line="192" w:lineRule="auto"/>
        <w:ind w:firstLine="200"/>
      </w:pPr>
      <w:r>
        <w:t>Hlavní město Praha stalo se v poslední době útočištěm de</w:t>
      </w:r>
      <w:r>
        <w:softHyphen/>
        <w:t>setitisíců upr</w:t>
      </w:r>
      <w:r>
        <w:t>chlíků, čímž počet jeho obyvatelstva neustále roste, takže se počítá, že do konce roku dosáhne Praha celého milionu obyvatel.</w:t>
      </w:r>
      <w:r>
        <w:tab/>
      </w:r>
      <w:r>
        <w:rPr>
          <w:i/>
          <w:iCs/>
        </w:rPr>
        <w:t>(„Venkov.“)</w:t>
      </w:r>
    </w:p>
    <w:p w:rsidR="00500724" w:rsidRDefault="00F30FB8">
      <w:pPr>
        <w:pStyle w:val="Zkladntext100"/>
        <w:shd w:val="clear" w:color="auto" w:fill="auto"/>
        <w:spacing w:after="40" w:line="194" w:lineRule="auto"/>
        <w:ind w:firstLine="0"/>
        <w:jc w:val="center"/>
      </w:pPr>
      <w:r>
        <w:rPr>
          <w:b/>
          <w:bCs/>
        </w:rPr>
        <w:t>Vyvážíme poštovní známky</w:t>
      </w:r>
    </w:p>
    <w:p w:rsidR="00500724" w:rsidRDefault="00F30FB8">
      <w:pPr>
        <w:pStyle w:val="Zkladntext100"/>
        <w:shd w:val="clear" w:color="auto" w:fill="auto"/>
        <w:tabs>
          <w:tab w:val="left" w:pos="4107"/>
        </w:tabs>
        <w:spacing w:after="40" w:line="194" w:lineRule="auto"/>
        <w:ind w:firstLine="260"/>
      </w:pPr>
      <w:r>
        <w:t>V cizině je velký zájem o známky Protektorátu. V době necelých 4 měsíců jsme už vyvezli do ci</w:t>
      </w:r>
      <w:r>
        <w:t>ziny 1000 kg poštov</w:t>
      </w:r>
      <w:r>
        <w:softHyphen/>
        <w:t xml:space="preserve">ních známek </w:t>
      </w:r>
      <w:r>
        <w:rPr>
          <w:b/>
          <w:bCs/>
        </w:rPr>
        <w:t xml:space="preserve">v </w:t>
      </w:r>
      <w:r>
        <w:t>hodnotě 750 tisíc K. Největší zájem je v Ame</w:t>
      </w:r>
      <w:r>
        <w:softHyphen/>
      </w:r>
      <w:r>
        <w:rPr>
          <w:b/>
          <w:bCs/>
        </w:rPr>
        <w:t>rice.</w:t>
      </w:r>
      <w:r>
        <w:rPr>
          <w:b/>
          <w:bCs/>
        </w:rPr>
        <w:tab/>
      </w:r>
      <w:r>
        <w:rPr>
          <w:i/>
          <w:iCs/>
        </w:rPr>
        <w:t>(„A-Zet“.)</w:t>
      </w:r>
    </w:p>
    <w:p w:rsidR="00500724" w:rsidRDefault="00F30FB8">
      <w:pPr>
        <w:pStyle w:val="Zkladntext100"/>
        <w:shd w:val="clear" w:color="auto" w:fill="auto"/>
        <w:spacing w:after="40" w:line="194" w:lineRule="auto"/>
        <w:ind w:firstLine="0"/>
        <w:jc w:val="center"/>
      </w:pPr>
      <w:r>
        <w:t>Židovská otázka</w:t>
      </w:r>
    </w:p>
    <w:p w:rsidR="00500724" w:rsidRDefault="00F30FB8">
      <w:pPr>
        <w:pStyle w:val="Zkladntext100"/>
        <w:shd w:val="clear" w:color="auto" w:fill="auto"/>
        <w:spacing w:after="40" w:line="197" w:lineRule="auto"/>
        <w:ind w:firstLine="260"/>
      </w:pPr>
      <w:r>
        <w:t>Presidium zemského úřadu připravuje vykonání všech opa</w:t>
      </w:r>
      <w:r>
        <w:softHyphen/>
        <w:t xml:space="preserve">tření, jimiž se upravuje styk mezi obyvatelstvem nežidovským a židovským a to, jak uvádí </w:t>
      </w:r>
      <w:r>
        <w:t>„Vlajka“, zatím takovýmto způ</w:t>
      </w:r>
      <w:r>
        <w:softHyphen/>
        <w:t>sobem:</w:t>
      </w:r>
    </w:p>
    <w:p w:rsidR="00500724" w:rsidRDefault="00F30FB8">
      <w:pPr>
        <w:pStyle w:val="Zkladntext100"/>
        <w:shd w:val="clear" w:color="auto" w:fill="auto"/>
        <w:spacing w:after="40" w:line="194" w:lineRule="auto"/>
        <w:ind w:firstLine="260"/>
      </w:pPr>
      <w:r>
        <w:t>Používání veřejných místností, jako jsou hostince, restau</w:t>
      </w:r>
      <w:r>
        <w:softHyphen/>
        <w:t xml:space="preserve">race, kavárny, vinárny, veřejné čítárny a pod., budiž </w:t>
      </w:r>
      <w:r>
        <w:rPr>
          <w:lang w:val="en-US" w:eastAsia="en-US" w:bidi="en-US"/>
        </w:rPr>
        <w:t xml:space="preserve">event, </w:t>
      </w:r>
      <w:r>
        <w:t>v dohodě s příslušnými živnostenskými společenstvy upraveno tak, aby návštěvníci nežidovského původu</w:t>
      </w:r>
      <w:r>
        <w:t xml:space="preserve"> nebyli nuceni trvale po dobu návštěvy stýkati se, respektive pobývati ve stejných místnostech s návštěvníky židovského původu. Podle místních poměrů lze otázku vyřešiti tím způsobem, že určité veřejné místnosti budou prohlášeny za nepřístupné pro návštěvn</w:t>
      </w:r>
      <w:r>
        <w:t>íky ži</w:t>
      </w:r>
      <w:r>
        <w:softHyphen/>
        <w:t>dovského původu, případně, kde to nelze dobře provésti, budou v dotyčných podnicích pro návštěvníky židovského původu vy</w:t>
      </w:r>
      <w:r>
        <w:softHyphen/>
        <w:t>hrazeny zvláštní místnosti. Toto opatření nutno na podnicích i uvnitř podniků zřetelně vyznačiti. Ve veřejných lázních buď</w:t>
      </w:r>
      <w:r>
        <w:softHyphen/>
        <w:t>tež n</w:t>
      </w:r>
      <w:r>
        <w:t>ávštěvníci místně nebo časově odděleni tak, aby nedochá</w:t>
      </w:r>
      <w:r>
        <w:softHyphen/>
        <w:t>zelo ke společnému koupání a používání společných zařízení současně návštěvníky nežidovského původu. Na koupalištích veřejně přípustných (plovárnách) buďtež pro návštěvníky ži</w:t>
      </w:r>
      <w:r>
        <w:softHyphen/>
        <w:t>dovského původu vyhrazen</w:t>
      </w:r>
      <w:r>
        <w:t>a zvláštní oddělení, případně, kde je to možno, samostatné koupaliště.</w:t>
      </w:r>
    </w:p>
    <w:p w:rsidR="00500724" w:rsidRDefault="00F30FB8">
      <w:pPr>
        <w:pStyle w:val="Zkladntext100"/>
        <w:shd w:val="clear" w:color="auto" w:fill="auto"/>
        <w:spacing w:after="40" w:line="192" w:lineRule="auto"/>
        <w:ind w:firstLine="260"/>
      </w:pPr>
      <w:r>
        <w:t>Živnostenským podnikům a jiným po živnostenském způsobu provozovaným podnikům, jichž majiteli nebo provozovateli jsou osoby židovského původu, budiž uloženo veřejné, pro zákazníky zřejm</w:t>
      </w:r>
      <w:r>
        <w:t>é označení „židovský obchod“ (závod).</w:t>
      </w:r>
    </w:p>
    <w:p w:rsidR="00500724" w:rsidRDefault="00F30FB8">
      <w:pPr>
        <w:pStyle w:val="Zkladntext100"/>
        <w:shd w:val="clear" w:color="auto" w:fill="auto"/>
        <w:spacing w:after="160" w:line="194" w:lineRule="auto"/>
        <w:ind w:firstLine="260"/>
      </w:pPr>
      <w:r>
        <w:t>Ve veřejných ústavech, jako jsou nemocnice, chorobince, chudobince, sanatoria, budiž zařízeno, aby provoz pokud možno byl upraven tím způsobem, že by v těchto ústavech nedochá</w:t>
      </w:r>
      <w:r>
        <w:softHyphen/>
        <w:t>zelo k používání místností a zařízení Židy</w:t>
      </w:r>
      <w:r>
        <w:t xml:space="preserve"> a nežidy zároveň, resp. aby bylo zajištěno odloučené bydlení Židů od Nežidů.</w:t>
      </w:r>
    </w:p>
    <w:p w:rsidR="00500724" w:rsidRDefault="00F30FB8">
      <w:pPr>
        <w:pStyle w:val="Zkladntext100"/>
        <w:shd w:val="clear" w:color="auto" w:fill="auto"/>
        <w:spacing w:after="40" w:line="194" w:lineRule="auto"/>
        <w:ind w:firstLine="0"/>
        <w:jc w:val="center"/>
      </w:pPr>
      <w:r>
        <w:t xml:space="preserve">Procesy pro zhanobení rasy </w:t>
      </w:r>
      <w:r>
        <w:rPr>
          <w:b/>
          <w:bCs/>
        </w:rPr>
        <w:t>v Praze</w:t>
      </w:r>
    </w:p>
    <w:p w:rsidR="00500724" w:rsidRDefault="00F30FB8">
      <w:pPr>
        <w:pStyle w:val="Zkladntext100"/>
        <w:shd w:val="clear" w:color="auto" w:fill="auto"/>
        <w:spacing w:after="40" w:line="197" w:lineRule="auto"/>
        <w:ind w:firstLine="260"/>
      </w:pPr>
      <w:r>
        <w:t xml:space="preserve">Kurt Leiner, 301etý židovský divadelní malíř, seznámil se v roce 1934 ve Vratislavi s Karolínou Dindasovou. Poměr se stal záhy intimním a </w:t>
      </w:r>
      <w:r>
        <w:t>Leiner chtěl jej v roce 1935 změniti ve svazek manželský, ale nedostal povolení vzhledem k předpi</w:t>
      </w:r>
      <w:r>
        <w:softHyphen/>
        <w:t>sům norimberských zákonů. Odstěhoval se proto do Prahy, kde se chtěl dáti oddati, ale tehdejší české ministerstvo vnitra odepřelo povolení vzhledem ke smlouvě</w:t>
      </w:r>
      <w:r>
        <w:t xml:space="preserve"> s ftíši. Leiner žil tedy s Dindasovou „na divoko“. Kurt Leiner byl odsouzen na 1 rok káznice nepodmínečně a ztrátou cti na 3 roky.</w:t>
      </w:r>
    </w:p>
    <w:p w:rsidR="00500724" w:rsidRDefault="00F30FB8">
      <w:pPr>
        <w:pStyle w:val="Zkladntext100"/>
        <w:shd w:val="clear" w:color="auto" w:fill="auto"/>
        <w:spacing w:line="197" w:lineRule="auto"/>
        <w:ind w:firstLine="260"/>
      </w:pPr>
      <w:r>
        <w:t xml:space="preserve">Pavel </w:t>
      </w:r>
      <w:r>
        <w:rPr>
          <w:lang w:val="en-US" w:eastAsia="en-US" w:bidi="en-US"/>
        </w:rPr>
        <w:t xml:space="preserve">Renner, </w:t>
      </w:r>
      <w:r>
        <w:t>501etý rodák ze Siegburgu u Kolína n. R., seznámil se v roce 1933 ve Vratislavi se židovkou Ernou Ster- novou.</w:t>
      </w:r>
      <w:r>
        <w:t xml:space="preserve"> Když v roce 1937 se </w:t>
      </w:r>
      <w:r>
        <w:rPr>
          <w:lang w:val="en-US" w:eastAsia="en-US" w:bidi="en-US"/>
        </w:rPr>
        <w:t xml:space="preserve">Renner </w:t>
      </w:r>
      <w:r>
        <w:t>odstěhoval do Berlína, ná</w:t>
      </w:r>
      <w:r>
        <w:softHyphen/>
        <w:t>sledovala jej i Stemová, právě tak, jako později do Moravské Ostravy, kde spolu bydlili. V září 1938 odstěhovali se do Prahy. Pavla Rennera odsoudil zemský soud na 2 roky do káznice a ke ztrátě cti na 3</w:t>
      </w:r>
      <w:r>
        <w:t xml:space="preserve"> roky.</w:t>
      </w:r>
    </w:p>
    <w:p w:rsidR="00500724" w:rsidRDefault="00F30FB8">
      <w:pPr>
        <w:pStyle w:val="Zkladntext100"/>
        <w:shd w:val="clear" w:color="auto" w:fill="auto"/>
        <w:spacing w:after="160" w:line="197" w:lineRule="auto"/>
        <w:ind w:firstLine="260"/>
      </w:pPr>
      <w:r>
        <w:t>Robert Kakrow, 401etý obchodní cestující z Vratislavě, na</w:t>
      </w:r>
      <w:r>
        <w:softHyphen/>
        <w:t>vázal v roce 1925 známost se židovkou Jindřiškou Schacher- lovou, roz. Krimkeovou, Oba bydlili od roku 1930 až do roku 1934 ve Vídni, načež se odstěhovali do Teplic, kde je zastihly norimbers</w:t>
      </w:r>
      <w:r>
        <w:t xml:space="preserve">ké zákony. Loni koncem září odstěhovali se oba do Prahy a opět zde spolu bydlili. Robertu Kakrowu naměřeno 1 a půl roku káznice a ztráta cti na 3 roky. </w:t>
      </w:r>
      <w:r>
        <w:rPr>
          <w:i/>
          <w:iCs/>
        </w:rPr>
        <w:t>(„Venkov“.)</w:t>
      </w:r>
    </w:p>
    <w:p w:rsidR="00500724" w:rsidRDefault="00F30FB8">
      <w:pPr>
        <w:pStyle w:val="Zkladntext100"/>
        <w:shd w:val="clear" w:color="auto" w:fill="auto"/>
        <w:spacing w:after="40" w:line="194" w:lineRule="auto"/>
        <w:ind w:firstLine="0"/>
        <w:jc w:val="center"/>
      </w:pPr>
      <w:r>
        <w:rPr>
          <w:b/>
          <w:bCs/>
        </w:rPr>
        <w:t>Proměna synagog</w:t>
      </w:r>
    </w:p>
    <w:p w:rsidR="00500724" w:rsidRDefault="00F30FB8">
      <w:pPr>
        <w:pStyle w:val="Zkladntext100"/>
        <w:shd w:val="clear" w:color="auto" w:fill="auto"/>
        <w:tabs>
          <w:tab w:val="left" w:pos="4107"/>
        </w:tabs>
        <w:spacing w:after="40" w:line="194" w:lineRule="auto"/>
        <w:ind w:firstLine="200"/>
        <w:sectPr w:rsidR="00500724">
          <w:footnotePr>
            <w:numFmt w:val="chicago"/>
            <w:numRestart w:val="eachPage"/>
          </w:footnotePr>
          <w:type w:val="continuous"/>
          <w:pgSz w:w="11909" w:h="16834"/>
          <w:pgMar w:top="881" w:right="836" w:bottom="528" w:left="658" w:header="0" w:footer="3" w:gutter="0"/>
          <w:cols w:num="2" w:space="134"/>
          <w:noEndnote/>
          <w:docGrid w:linePitch="360"/>
        </w:sectPr>
      </w:pPr>
      <w:r>
        <w:t>Židovská synagoga v Chlumci n. Cidl. byla přem</w:t>
      </w:r>
      <w:r>
        <w:t>ěněna v po</w:t>
      </w:r>
      <w:r>
        <w:softHyphen/>
        <w:t>hřební obřadní síň. — V Náchodě nabídla židovská obec syna</w:t>
      </w:r>
      <w:r>
        <w:softHyphen/>
        <w:t xml:space="preserve">gogu pro veřejnou čítárnu. — V Pardubicích má býti zřízena </w:t>
      </w:r>
      <w:r>
        <w:rPr>
          <w:b/>
          <w:bCs/>
        </w:rPr>
        <w:t xml:space="preserve">ze </w:t>
      </w:r>
      <w:r>
        <w:t>synagogy tržnice.</w:t>
      </w:r>
      <w:r>
        <w:tab/>
      </w:r>
      <w:r>
        <w:rPr>
          <w:i/>
          <w:iCs/>
        </w:rPr>
        <w:t>(„Venkov“)</w:t>
      </w:r>
    </w:p>
    <w:p w:rsidR="00500724" w:rsidRDefault="00F30FB8">
      <w:pPr>
        <w:spacing w:line="14" w:lineRule="exact"/>
      </w:pPr>
      <w:r>
        <w:rPr>
          <w:noProof/>
        </w:rPr>
        <mc:AlternateContent>
          <mc:Choice Requires="wps">
            <w:drawing>
              <wp:anchor distT="0" distB="25400" distL="114300" distR="537845" simplePos="0" relativeHeight="125830188" behindDoc="0" locked="0" layoutInCell="1" allowOverlap="1">
                <wp:simplePos x="0" y="0"/>
                <wp:positionH relativeFrom="page">
                  <wp:posOffset>2987675</wp:posOffset>
                </wp:positionH>
                <wp:positionV relativeFrom="paragraph">
                  <wp:posOffset>12700</wp:posOffset>
                </wp:positionV>
                <wp:extent cx="402590" cy="448310"/>
                <wp:effectExtent l="0" t="0" r="0" b="0"/>
                <wp:wrapTopAndBottom/>
                <wp:docPr id="811" name="Shape 811"/>
                <wp:cNvGraphicFramePr/>
                <a:graphic xmlns:a="http://schemas.openxmlformats.org/drawingml/2006/main">
                  <a:graphicData uri="http://schemas.microsoft.com/office/word/2010/wordprocessingShape">
                    <wps:wsp>
                      <wps:cNvSpPr txBox="1"/>
                      <wps:spPr>
                        <a:xfrm>
                          <a:off x="0" y="0"/>
                          <a:ext cx="402590" cy="448310"/>
                        </a:xfrm>
                        <a:prstGeom prst="rect">
                          <a:avLst/>
                        </a:prstGeom>
                        <a:noFill/>
                      </wps:spPr>
                      <wps:txbx>
                        <w:txbxContent>
                          <w:p w:rsidR="00500724" w:rsidRDefault="00F30FB8">
                            <w:pPr>
                              <w:pStyle w:val="Nadpis70"/>
                              <w:keepNext/>
                              <w:keepLines/>
                              <w:pBdr>
                                <w:bottom w:val="single" w:sz="4" w:space="0" w:color="auto"/>
                              </w:pBdr>
                              <w:shd w:val="clear" w:color="auto" w:fill="auto"/>
                            </w:pPr>
                            <w:bookmarkStart w:id="829" w:name="bookmark828"/>
                            <w:r>
                              <w:rPr>
                                <w:w w:val="100"/>
                                <w:lang w:val="en-US" w:eastAsia="en-US" w:bidi="en-US"/>
                              </w:rPr>
                              <w:t>Em</w:t>
                            </w:r>
                            <w:bookmarkEnd w:id="829"/>
                          </w:p>
                        </w:txbxContent>
                      </wps:txbx>
                      <wps:bodyPr lIns="0" tIns="0" rIns="0" bIns="0">
                        <a:spAutoFit/>
                      </wps:bodyPr>
                    </wps:wsp>
                  </a:graphicData>
                </a:graphic>
              </wp:anchor>
            </w:drawing>
          </mc:Choice>
          <mc:Fallback>
            <w:pict>
              <v:shape id="_x0000_s1837" type="#_x0000_t202" style="position:absolute;margin-left:235.25pt;margin-top:1.pt;width:31.699999999999999pt;height:35.299999999999997pt;z-index:-125828565;mso-wrap-distance-left:9.pt;mso-wrap-distance-right:42.350000000000001pt;mso-wrap-distance-bottom:2.pt;mso-position-horizontal-relative:page" filled="f" stroked="f">
                <v:textbox style="mso-fit-shape-to-text:t" inset="0,0,0,0">
                  <w:txbxContent>
                    <w:p>
                      <w:pPr>
                        <w:pStyle w:val="Style85"/>
                        <w:keepNext/>
                        <w:keepLines/>
                        <w:widowControl w:val="0"/>
                        <w:pBdr>
                          <w:bottom w:val="single" w:sz="4" w:space="0" w:color="auto"/>
                        </w:pBdr>
                        <w:shd w:val="clear" w:color="auto" w:fill="auto"/>
                        <w:bidi w:val="0"/>
                        <w:spacing w:before="0" w:after="0" w:line="240" w:lineRule="auto"/>
                        <w:ind w:left="0" w:right="0" w:firstLine="0"/>
                        <w:jc w:val="left"/>
                      </w:pPr>
                      <w:bookmarkStart w:id="828" w:name="bookmark828"/>
                      <w:r>
                        <w:rPr>
                          <w:color w:val="000000"/>
                          <w:spacing w:val="0"/>
                          <w:w w:val="100"/>
                          <w:position w:val="0"/>
                          <w:shd w:val="clear" w:color="auto" w:fill="auto"/>
                          <w:lang w:val="en-US" w:eastAsia="en-US" w:bidi="en-US"/>
                        </w:rPr>
                        <w:t>Em</w:t>
                      </w:r>
                      <w:bookmarkEnd w:id="828"/>
                    </w:p>
                  </w:txbxContent>
                </v:textbox>
                <w10:wrap type="topAndBottom" anchorx="page"/>
              </v:shape>
            </w:pict>
          </mc:Fallback>
        </mc:AlternateContent>
      </w:r>
      <w:r>
        <w:rPr>
          <w:noProof/>
        </w:rPr>
        <mc:AlternateContent>
          <mc:Choice Requires="wps">
            <w:drawing>
              <wp:anchor distT="191770" distB="95250" distL="486410" distR="114300" simplePos="0" relativeHeight="125830190" behindDoc="0" locked="0" layoutInCell="1" allowOverlap="1">
                <wp:simplePos x="0" y="0"/>
                <wp:positionH relativeFrom="page">
                  <wp:posOffset>3359785</wp:posOffset>
                </wp:positionH>
                <wp:positionV relativeFrom="paragraph">
                  <wp:posOffset>204470</wp:posOffset>
                </wp:positionV>
                <wp:extent cx="454025" cy="186055"/>
                <wp:effectExtent l="0" t="0" r="0" b="0"/>
                <wp:wrapTopAndBottom/>
                <wp:docPr id="813" name="Shape 813"/>
                <wp:cNvGraphicFramePr/>
                <a:graphic xmlns:a="http://schemas.openxmlformats.org/drawingml/2006/main">
                  <a:graphicData uri="http://schemas.microsoft.com/office/word/2010/wordprocessingShape">
                    <wps:wsp>
                      <wps:cNvSpPr txBox="1"/>
                      <wps:spPr>
                        <a:xfrm>
                          <a:off x="0" y="0"/>
                          <a:ext cx="454025" cy="186055"/>
                        </a:xfrm>
                        <a:prstGeom prst="rect">
                          <a:avLst/>
                        </a:prstGeom>
                        <a:noFill/>
                      </wps:spPr>
                      <wps:txbx>
                        <w:txbxContent>
                          <w:p w:rsidR="00500724" w:rsidRDefault="00F30FB8">
                            <w:pPr>
                              <w:pStyle w:val="Nadpis120"/>
                              <w:pBdr>
                                <w:top w:val="single" w:sz="0" w:space="0" w:color="000000"/>
                                <w:left w:val="single" w:sz="0" w:space="0" w:color="000000"/>
                                <w:bottom w:val="single" w:sz="0" w:space="0" w:color="000000"/>
                                <w:right w:val="single" w:sz="0" w:space="0" w:color="000000"/>
                              </w:pBdr>
                              <w:shd w:val="clear" w:color="auto" w:fill="000000"/>
                              <w:ind w:left="0"/>
                            </w:pPr>
                            <w:bookmarkStart w:id="830" w:name="bookmark829"/>
                            <w:r>
                              <w:rPr>
                                <w:rFonts w:ascii="Arial" w:eastAsia="Arial" w:hAnsi="Arial" w:cs="Arial"/>
                                <w:color w:val="FFFFFF"/>
                              </w:rPr>
                              <w:t>(•jim</w:t>
                            </w:r>
                            <w:bookmarkEnd w:id="830"/>
                          </w:p>
                        </w:txbxContent>
                      </wps:txbx>
                      <wps:bodyPr lIns="0" tIns="0" rIns="0" bIns="0">
                        <a:spAutoFit/>
                      </wps:bodyPr>
                    </wps:wsp>
                  </a:graphicData>
                </a:graphic>
              </wp:anchor>
            </w:drawing>
          </mc:Choice>
          <mc:Fallback>
            <w:pict>
              <v:shape id="_x0000_s1839" type="#_x0000_t202" style="position:absolute;margin-left:264.55000000000001pt;margin-top:16.100000000000001pt;width:35.75pt;height:14.65pt;z-index:-125828563;mso-wrap-distance-left:38.299999999999997pt;mso-wrap-distance-top:15.1pt;mso-wrap-distance-right:9.pt;mso-wrap-distance-bottom:7.5pt;mso-position-horizontal-relative:page" filled="f" stroked="f">
                <v:textbox style="mso-fit-shape-to-text:t" inset="0,0,0,0">
                  <w:txbxContent>
                    <w:p>
                      <w:pPr>
                        <w:pStyle w:val="Style61"/>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829" w:name="bookmark829"/>
                      <w:r>
                        <w:rPr>
                          <w:rFonts w:ascii="Arial" w:eastAsia="Arial" w:hAnsi="Arial" w:cs="Arial"/>
                          <w:color w:val="FFFFFF"/>
                          <w:spacing w:val="0"/>
                          <w:w w:val="100"/>
                          <w:position w:val="0"/>
                          <w:shd w:val="clear" w:color="auto" w:fill="auto"/>
                          <w:lang w:val="cs-CZ" w:eastAsia="cs-CZ" w:bidi="cs-CZ"/>
                        </w:rPr>
                        <w:t>(•jim</w:t>
                      </w:r>
                      <w:bookmarkEnd w:id="829"/>
                    </w:p>
                  </w:txbxContent>
                </v:textbox>
                <w10:wrap type="topAndBottom" anchorx="page"/>
              </v:shape>
            </w:pict>
          </mc:Fallback>
        </mc:AlternateContent>
      </w:r>
    </w:p>
    <w:p w:rsidR="00500724" w:rsidRDefault="00F30FB8">
      <w:pPr>
        <w:pStyle w:val="Zkladntext100"/>
        <w:shd w:val="clear" w:color="auto" w:fill="auto"/>
        <w:spacing w:after="60" w:line="194" w:lineRule="auto"/>
        <w:ind w:firstLine="0"/>
        <w:jc w:val="center"/>
      </w:pPr>
      <w:r>
        <w:t>Německá kniha o smyslu českých dějin</w:t>
      </w:r>
    </w:p>
    <w:p w:rsidR="00500724" w:rsidRDefault="00F30FB8">
      <w:pPr>
        <w:pStyle w:val="Zkladntext100"/>
        <w:numPr>
          <w:ilvl w:val="0"/>
          <w:numId w:val="103"/>
        </w:numPr>
        <w:shd w:val="clear" w:color="auto" w:fill="auto"/>
        <w:tabs>
          <w:tab w:val="left" w:pos="495"/>
        </w:tabs>
        <w:spacing w:line="194" w:lineRule="auto"/>
        <w:ind w:firstLine="260"/>
      </w:pPr>
      <w:r>
        <w:t xml:space="preserve">mnichovském „Deutscher Volksverlag“ vyšla </w:t>
      </w:r>
      <w:r>
        <w:t>kniha ně</w:t>
      </w:r>
      <w:r>
        <w:softHyphen/>
        <w:t>meckého historika Wilhelma Miillera „Česká cest a“, ve které jsou líčeny cesty české politiky a národního snažení od dob Dobrovského až do našich dnů. Ke knize napsal před</w:t>
      </w:r>
      <w:r>
        <w:softHyphen/>
        <w:t>mluvu říšský místodržící Konrád Henlein. Múller vychází z předpokladu, že o</w:t>
      </w:r>
      <w:r>
        <w:t>sudnými pro vývoj české politi</w:t>
      </w:r>
      <w:r>
        <w:softHyphen/>
        <w:t>ky byly politika Palackého a nález padělaných Rukopisů Krá</w:t>
      </w:r>
      <w:r>
        <w:softHyphen/>
        <w:t>lovédvorského a Zelenohorského, které v národě popouzely ne</w:t>
      </w:r>
      <w:r>
        <w:softHyphen/>
        <w:t>návist proti Němcům. Autor vykládá podrobně pronikání Ger- mánů na východ, které odůvodňuje takto:</w:t>
      </w:r>
    </w:p>
    <w:p w:rsidR="00500724" w:rsidRDefault="00F30FB8">
      <w:pPr>
        <w:pStyle w:val="Zkladntext100"/>
        <w:shd w:val="clear" w:color="auto" w:fill="auto"/>
        <w:spacing w:after="180" w:line="194" w:lineRule="auto"/>
        <w:ind w:firstLine="260"/>
      </w:pPr>
      <w:r>
        <w:t>„N ěmec</w:t>
      </w:r>
      <w:r>
        <w:t>ký pohyb ze západu na východ sledoval přirozený spád, jenž vznikal z napětí mezi západní kulturní převa</w:t>
      </w:r>
      <w:r>
        <w:softHyphen/>
        <w:t>hou a východním váznoucímživotem. V německém pronikání na východ pro</w:t>
      </w:r>
      <w:r>
        <w:softHyphen/>
        <w:t>jevoval se nárok pánského národa (Her- renvolk), nadaného sebejistými předsta</w:t>
      </w:r>
      <w:r>
        <w:softHyphen/>
        <w:t>vami,</w:t>
      </w:r>
      <w:r>
        <w:t xml:space="preserve"> na užívání svého náskoku ve všech směrech. S tímto vědomím dobyli si k o- lonisující Němci přirozeného práva silnějšího odvážit! se do ciziny a zá</w:t>
      </w:r>
      <w:r>
        <w:softHyphen/>
        <w:t xml:space="preserve">sadití tam svůj náro d.“ </w:t>
      </w:r>
      <w:r>
        <w:rPr>
          <w:i/>
          <w:iCs/>
        </w:rPr>
        <w:t>(„Národní práce.“)</w:t>
      </w:r>
    </w:p>
    <w:p w:rsidR="00500724" w:rsidRDefault="00F30FB8">
      <w:pPr>
        <w:pStyle w:val="Zkladntext100"/>
        <w:shd w:val="clear" w:color="auto" w:fill="auto"/>
        <w:spacing w:after="80" w:line="194" w:lineRule="auto"/>
        <w:ind w:firstLine="0"/>
        <w:jc w:val="center"/>
      </w:pPr>
      <w:r>
        <w:t>Jak z jednotvárnosti českých novin?</w:t>
      </w:r>
    </w:p>
    <w:p w:rsidR="00500724" w:rsidRDefault="00F30FB8">
      <w:pPr>
        <w:pStyle w:val="Zkladntext100"/>
        <w:shd w:val="clear" w:color="auto" w:fill="auto"/>
        <w:spacing w:line="194" w:lineRule="auto"/>
        <w:ind w:firstLine="260"/>
      </w:pPr>
      <w:r>
        <w:t xml:space="preserve">Tisk českého národa má dnes </w:t>
      </w:r>
      <w:r>
        <w:t>jinou tvář a obsah. Kdo listu</w:t>
      </w:r>
      <w:r>
        <w:softHyphen/>
        <w:t>je novinami před rokem, půl rokem a dnes, nalezne překva</w:t>
      </w:r>
      <w:r>
        <w:softHyphen/>
        <w:t xml:space="preserve">pující rozdíl. Noviny se postupně zjednodušovaly myšlenkami </w:t>
      </w:r>
      <w:r>
        <w:rPr>
          <w:rFonts w:ascii="Arial" w:eastAsia="Arial" w:hAnsi="Arial" w:cs="Arial"/>
          <w:b/>
          <w:bCs/>
          <w:sz w:val="17"/>
          <w:szCs w:val="17"/>
        </w:rPr>
        <w:t xml:space="preserve">i </w:t>
      </w:r>
      <w:r>
        <w:t>výrazem. Rozdílnost spočívající v názoru, výrazu a službě je odstraněna. Všechny listy slouží stejnému cíli</w:t>
      </w:r>
      <w:r>
        <w:t>. Tímto ne</w:t>
      </w:r>
      <w:r>
        <w:softHyphen/>
        <w:t>obyčejným a nikdy nepředstavitelným zjednodušením vnitřní politiky a vyloučením zahraniční politiky staly se české noviny až nebezpečně stejné a jednotvárné. Připočteme-li k tomu ještě naprosto jednotné zahraniční zpravodajství, máme zde jednu o</w:t>
      </w:r>
      <w:r>
        <w:t>tázku, čistě novinářsko-technickou, jak a kam z této jedno</w:t>
      </w:r>
      <w:r>
        <w:softHyphen/>
        <w:t>tvárnosti tisku, která má nikoliv kladný odraz na náklad no</w:t>
      </w:r>
      <w:r>
        <w:softHyphen/>
        <w:t>vin.</w:t>
      </w:r>
    </w:p>
    <w:p w:rsidR="00500724" w:rsidRDefault="00F30FB8">
      <w:pPr>
        <w:pStyle w:val="Zkladntext100"/>
        <w:numPr>
          <w:ilvl w:val="0"/>
          <w:numId w:val="103"/>
        </w:numPr>
        <w:shd w:val="clear" w:color="auto" w:fill="auto"/>
        <w:tabs>
          <w:tab w:val="left" w:pos="495"/>
        </w:tabs>
        <w:spacing w:line="194" w:lineRule="auto"/>
        <w:ind w:firstLine="260"/>
      </w:pPr>
      <w:r>
        <w:t>jiných dobách redakce přistoupila by k zcela pochopitel</w:t>
      </w:r>
      <w:r>
        <w:softHyphen/>
        <w:t>nému způsobu: změnila by způsob psaní, výrazu, kladla by jiný přízvuk na urč</w:t>
      </w:r>
      <w:r>
        <w:t>ité věci, zaopatřila vlastní přímé zpravodajství, provedla přeskupení redakční práce. Dnes tento úkol je obtíž</w:t>
      </w:r>
      <w:r>
        <w:softHyphen/>
        <w:t>nější, neboť počet těchto prostředků je často zúžen. Redakční analysa zjistila by případně směrnice, jejichž sledování je nad naše síly a možnost</w:t>
      </w:r>
      <w:r>
        <w:t>i. Jak ale z dnešní jednotvárnosti novin a jak jí změniti?</w:t>
      </w:r>
    </w:p>
    <w:p w:rsidR="00500724" w:rsidRDefault="00F30FB8">
      <w:pPr>
        <w:pStyle w:val="Zkladntext100"/>
        <w:shd w:val="clear" w:color="auto" w:fill="auto"/>
        <w:tabs>
          <w:tab w:val="left" w:pos="3139"/>
        </w:tabs>
        <w:spacing w:after="180" w:line="194" w:lineRule="auto"/>
        <w:ind w:firstLine="260"/>
      </w:pPr>
      <w:r>
        <w:t>Kdo by doufal, že nalezne odpověď v tisku těch zemí, které mají novinářské poměry, jako má dnes český tisk, neshledal by se s kladným výsledkem. Nám chybí politický předpoklad, který usnadňuje něme</w:t>
      </w:r>
      <w:r>
        <w:t>ckému a italskému tisku jeho posici. My jsme nikoliv v útoku za státní a národní požadavky, ale stojíme až na druhé linii. Psychologicky obtížný úkol u národa, který tak vysoko postavil ve svých dějinách myšlenku samo</w:t>
      </w:r>
      <w:r>
        <w:softHyphen/>
        <w:t>statnosti. Propracovat! se k druhému c</w:t>
      </w:r>
      <w:r>
        <w:t>hápání — krátký čas! Novinářsko-technicky zhodnoceno, zbývá nám v rámci dnešních možností jen vzájemné se odlišování v rubrikách nepolitických. Zase přišla ke cti důkladná práce redakcí, majících archivy, knihovny, výstřižkové oddělení, hodnotně obsazené r</w:t>
      </w:r>
      <w:r>
        <w:t xml:space="preserve">ubriky mi- mopolitické. Pro citaci politických věcí můžeme používati tisk německý a italský, případně </w:t>
      </w:r>
      <w:r>
        <w:rPr>
          <w:lang w:val="en-US" w:eastAsia="en-US" w:bidi="en-US"/>
        </w:rPr>
        <w:t xml:space="preserve">sponsored, </w:t>
      </w:r>
      <w:r>
        <w:t>přidružený, několika jiných národů.</w:t>
      </w:r>
      <w:r>
        <w:tab/>
      </w:r>
      <w:r>
        <w:rPr>
          <w:i/>
          <w:iCs/>
        </w:rPr>
        <w:t>(„Noviny a novináři“)</w:t>
      </w:r>
    </w:p>
    <w:p w:rsidR="00500724" w:rsidRDefault="00F30FB8">
      <w:pPr>
        <w:pStyle w:val="Zkladntext100"/>
        <w:shd w:val="clear" w:color="auto" w:fill="auto"/>
        <w:spacing w:after="60" w:line="194" w:lineRule="auto"/>
        <w:ind w:firstLine="0"/>
        <w:jc w:val="center"/>
      </w:pPr>
      <w:r>
        <w:t>Na podzim bude mnoho vojska ve zbrani</w:t>
      </w:r>
    </w:p>
    <w:p w:rsidR="00500724" w:rsidRDefault="00F30FB8">
      <w:pPr>
        <w:pStyle w:val="Zkladntext100"/>
        <w:shd w:val="clear" w:color="auto" w:fill="auto"/>
        <w:spacing w:line="194" w:lineRule="auto"/>
        <w:ind w:firstLine="260"/>
      </w:pPr>
      <w:r>
        <w:t xml:space="preserve">ČTK. Z Říma, 11. srpna. Podle úředních zpráv byli </w:t>
      </w:r>
      <w:r>
        <w:rPr>
          <w:rFonts w:ascii="Arial" w:eastAsia="Arial" w:hAnsi="Arial" w:cs="Arial"/>
          <w:b/>
          <w:bCs/>
          <w:sz w:val="17"/>
          <w:szCs w:val="17"/>
        </w:rPr>
        <w:t xml:space="preserve">po </w:t>
      </w:r>
      <w:r>
        <w:t>skončení velkých letních italských manévrů propuštěni z vo</w:t>
      </w:r>
      <w:r>
        <w:softHyphen/>
        <w:t>jenské služby příslušníci ročníků 1901 a 1912, z nichž již dříve obdrželo mnoho zvláštní dovolenou na žňové práce. Naproti tomu všichni příslušn</w:t>
      </w:r>
      <w:r>
        <w:t>íci ročníků 1902 a 1910, jakož i pod</w:t>
      </w:r>
      <w:r>
        <w:softHyphen/>
        <w:t>důstojníci a důstojníci ročníků 1902 až 1906 byli povoláni na cvičení v době od 21. srpna do 31. října.</w:t>
      </w:r>
    </w:p>
    <w:p w:rsidR="00500724" w:rsidRDefault="00F30FB8">
      <w:pPr>
        <w:pStyle w:val="Zkladntext100"/>
        <w:shd w:val="clear" w:color="auto" w:fill="auto"/>
        <w:spacing w:line="194" w:lineRule="auto"/>
        <w:ind w:firstLine="260"/>
      </w:pPr>
      <w:r>
        <w:t>ČTK. Z Bukurešti, 11. srpna. V Rumunsku bylo ke dni 15. srpna povoláno do zbraně 10 ročníků armádní zálohy, čímž bu</w:t>
      </w:r>
      <w:r>
        <w:t>dou 4 ze 7 armádních sborů doplněny na plný stav. Od 15. září má býti v dalším povolávání záložníků pokra</w:t>
      </w:r>
      <w:r>
        <w:softHyphen/>
        <w:t>čováno.</w:t>
      </w:r>
    </w:p>
    <w:p w:rsidR="00500724" w:rsidRDefault="00F30FB8">
      <w:pPr>
        <w:pStyle w:val="Zkladntext100"/>
        <w:shd w:val="clear" w:color="auto" w:fill="auto"/>
        <w:spacing w:after="160" w:line="194" w:lineRule="auto"/>
        <w:ind w:firstLine="260"/>
      </w:pPr>
      <w:r>
        <w:t xml:space="preserve">Londýn, 11. srpna. (CER). „New </w:t>
      </w:r>
      <w:r>
        <w:rPr>
          <w:lang w:val="en-US" w:eastAsia="en-US" w:bidi="en-US"/>
        </w:rPr>
        <w:t xml:space="preserve">Chronicle“ </w:t>
      </w:r>
      <w:r>
        <w:t>vypočítává, že toho času bylo uvedeno v různých evropských zemích cel</w:t>
      </w:r>
      <w:r>
        <w:softHyphen/>
        <w:t>kem 10 milionů mužů na válečný</w:t>
      </w:r>
      <w:r>
        <w:t xml:space="preserve"> stav. List uvažuje o vyhlíd</w:t>
      </w:r>
      <w:r>
        <w:softHyphen/>
        <w:t>kách míru a píše: „Jsou-li obě strany plně vyzbrojeny, pak se vyskytuje vždycky možnost konfliktu, i když ho nikdo ne</w:t>
      </w:r>
      <w:r>
        <w:softHyphen/>
        <w:t xml:space="preserve">zamýšlí.“ Taková možnost ovšem neznamená, že ke konfliktu dojiti musí. List </w:t>
      </w:r>
      <w:r>
        <w:rPr>
          <w:rFonts w:ascii="Arial" w:eastAsia="Arial" w:hAnsi="Arial" w:cs="Arial"/>
          <w:b/>
          <w:bCs/>
          <w:sz w:val="17"/>
          <w:szCs w:val="17"/>
        </w:rPr>
        <w:t xml:space="preserve">o </w:t>
      </w:r>
      <w:r>
        <w:t xml:space="preserve">tom míní, že ačkoliv mobiúaace </w:t>
      </w:r>
      <w:r>
        <w:t>tak ohrom</w:t>
      </w:r>
      <w:r>
        <w:softHyphen/>
        <w:t>ných sil nebezpečí války zvyšuje, přece nečiní válku nevy</w:t>
      </w:r>
      <w:r>
        <w:softHyphen/>
        <w:t>hnutelnou. Té chvíle jsou ozbrojené síly v Evropě v rovno</w:t>
      </w:r>
      <w:r>
        <w:softHyphen/>
        <w:t>váze. Není známek toho, že by mocnosti osy tento stav rov</w:t>
      </w:r>
      <w:r>
        <w:softHyphen/>
        <w:t>nováhy chtěly porušit nějakým násilným činem. V dalších vývodech listu s</w:t>
      </w:r>
      <w:r>
        <w:t xml:space="preserve">e praví, že všechno závisí jen od síly nervů </w:t>
      </w:r>
      <w:r>
        <w:rPr>
          <w:rFonts w:ascii="Arial" w:eastAsia="Arial" w:hAnsi="Arial" w:cs="Arial"/>
          <w:b/>
          <w:bCs/>
          <w:sz w:val="17"/>
          <w:szCs w:val="17"/>
        </w:rPr>
        <w:t xml:space="preserve">v </w:t>
      </w:r>
      <w:r>
        <w:t>nastávajících těžkých týdnech.</w:t>
      </w:r>
    </w:p>
    <w:p w:rsidR="00500724" w:rsidRDefault="00F30FB8">
      <w:pPr>
        <w:pStyle w:val="Zkladntext100"/>
        <w:shd w:val="clear" w:color="auto" w:fill="auto"/>
        <w:spacing w:after="60" w:line="194" w:lineRule="auto"/>
        <w:ind w:firstLine="0"/>
        <w:jc w:val="center"/>
      </w:pPr>
      <w:r>
        <w:t>Šest měsíců žaláře za chválu Čechů</w:t>
      </w:r>
    </w:p>
    <w:p w:rsidR="00500724" w:rsidRDefault="00F30FB8">
      <w:pPr>
        <w:pStyle w:val="Zkladntext100"/>
        <w:shd w:val="clear" w:color="auto" w:fill="auto"/>
        <w:spacing w:after="140" w:line="194" w:lineRule="auto"/>
      </w:pPr>
      <w:r>
        <w:rPr>
          <w:lang w:val="en-US" w:eastAsia="en-US" w:bidi="en-US"/>
        </w:rPr>
        <w:t xml:space="preserve">Budapest, </w:t>
      </w:r>
      <w:r>
        <w:t xml:space="preserve">7. srpna (CER). — V Rábu zodpovídal se před místním soudem řeznický pomocník Jan </w:t>
      </w:r>
      <w:r>
        <w:rPr>
          <w:lang w:val="en-US" w:eastAsia="en-US" w:bidi="en-US"/>
        </w:rPr>
        <w:t xml:space="preserve">Behringer </w:t>
      </w:r>
      <w:r>
        <w:t>ma</w:t>
      </w:r>
      <w:r>
        <w:softHyphen/>
        <w:t xml:space="preserve">ďarské národnosti ze zločinu tupení </w:t>
      </w:r>
      <w:r>
        <w:t>maďarského národa a přečinu násilí proti úřední osobě, protože v hospodě veřejně chválil doby, kdy na jižním Slovensku vládli Češi, jak se vy</w:t>
      </w:r>
      <w:r>
        <w:softHyphen/>
        <w:t xml:space="preserve">jádřil. Když pak ho noční hlídač vesnice začal napomínat k opatrnosti, dostal se s ním do sporu a zmlátil ho. Byl </w:t>
      </w:r>
      <w:r>
        <w:t>nyní pravoplatně odsouzen k 6 měsícům vězení.</w:t>
      </w:r>
    </w:p>
    <w:p w:rsidR="00500724" w:rsidRDefault="00F30FB8">
      <w:pPr>
        <w:pStyle w:val="Zkladntext100"/>
        <w:shd w:val="clear" w:color="auto" w:fill="auto"/>
        <w:spacing w:after="60" w:line="206" w:lineRule="auto"/>
        <w:ind w:firstLine="0"/>
        <w:jc w:val="center"/>
        <w:rPr>
          <w:sz w:val="17"/>
          <w:szCs w:val="17"/>
        </w:rPr>
      </w:pPr>
      <w:r>
        <w:rPr>
          <w:b/>
          <w:bCs/>
          <w:sz w:val="17"/>
          <w:szCs w:val="17"/>
        </w:rPr>
        <w:t>Západ přehlíží, že ztratil 40 českých divisí</w:t>
      </w:r>
    </w:p>
    <w:p w:rsidR="00500724" w:rsidRDefault="00F30FB8">
      <w:pPr>
        <w:pStyle w:val="Zkladntext100"/>
        <w:shd w:val="clear" w:color="auto" w:fill="auto"/>
        <w:spacing w:after="160" w:line="194" w:lineRule="auto"/>
      </w:pPr>
      <w:r>
        <w:t>ČTK Berlín, 7. srpna. „Volkischer Beobachter“ otiskuje úvodník svého vojenského spolupracovníka o Maginotově linii a Západním válu, ve kterém je srovnáván způsob roz</w:t>
      </w:r>
      <w:r>
        <w:t xml:space="preserve">vržení </w:t>
      </w:r>
      <w:r>
        <w:rPr>
          <w:rFonts w:ascii="Arial" w:eastAsia="Arial" w:hAnsi="Arial" w:cs="Arial"/>
          <w:b/>
          <w:bCs/>
          <w:sz w:val="17"/>
          <w:szCs w:val="17"/>
        </w:rPr>
        <w:t xml:space="preserve">a </w:t>
      </w:r>
      <w:r>
        <w:t>stavba obou těchto pevnostních pásů. Článek poukazuje na ne</w:t>
      </w:r>
      <w:r>
        <w:softHyphen/>
        <w:t>bezpečnou propagandu, která se snaží snížiti sílu německých opevnění a armády, a praví, že se úmyslně přehlíží, že západní mocnosti ztratily 40 českých divisí, zatím co Říše získala úplně</w:t>
      </w:r>
      <w:r>
        <w:t xml:space="preserve"> jejich výzbroj a výstroj. Je věcí vojenských vůdců západních států, považují-li tuto propagandu pro své národy za účelnou.</w:t>
      </w:r>
    </w:p>
    <w:p w:rsidR="00500724" w:rsidRDefault="00F30FB8">
      <w:pPr>
        <w:pStyle w:val="Zkladntext100"/>
        <w:shd w:val="clear" w:color="auto" w:fill="auto"/>
        <w:spacing w:after="60" w:line="194" w:lineRule="auto"/>
        <w:ind w:firstLine="0"/>
        <w:jc w:val="center"/>
      </w:pPr>
      <w:r>
        <w:t>Japonský seržant rozšavloval 251 Číňanů</w:t>
      </w:r>
    </w:p>
    <w:p w:rsidR="00500724" w:rsidRDefault="00F30FB8">
      <w:pPr>
        <w:pStyle w:val="Zkladntext100"/>
        <w:shd w:val="clear" w:color="auto" w:fill="auto"/>
        <w:spacing w:after="160" w:line="192" w:lineRule="auto"/>
      </w:pPr>
      <w:r>
        <w:t>Z Tokia. (Mtp.) Úřední japonská tisková agentura Domei hlásí, že v jedné z posledních šarvát</w:t>
      </w:r>
      <w:r>
        <w:t>ek v Číně rozsekal seržant Mutzuzaki 251 čínských vojáků. Potom se seržant vrátil do své rodné obce Nugano a poskytl časopisu „Kokumin“ rozhovor. Stěžoval si v něm, že se mu nepodařilo rozšavlovat 500 Číňanů, jak si byl předsevzal.</w:t>
      </w:r>
    </w:p>
    <w:p w:rsidR="00500724" w:rsidRDefault="00F30FB8">
      <w:pPr>
        <w:pStyle w:val="Jin0"/>
        <w:pBdr>
          <w:bottom w:val="single" w:sz="4" w:space="0" w:color="auto"/>
        </w:pBdr>
        <w:shd w:val="clear" w:color="auto" w:fill="auto"/>
        <w:spacing w:after="280"/>
        <w:ind w:firstLine="0"/>
        <w:jc w:val="left"/>
        <w:rPr>
          <w:sz w:val="44"/>
          <w:szCs w:val="44"/>
        </w:rPr>
      </w:pPr>
      <w:r>
        <w:rPr>
          <w:b/>
          <w:bCs/>
          <w:sz w:val="44"/>
          <w:szCs w:val="44"/>
        </w:rPr>
        <w:t>poznámky</w:t>
      </w:r>
    </w:p>
    <w:p w:rsidR="00500724" w:rsidRDefault="00F30FB8">
      <w:pPr>
        <w:pStyle w:val="Zkladntext20"/>
        <w:shd w:val="clear" w:color="auto" w:fill="auto"/>
        <w:spacing w:after="120" w:line="240" w:lineRule="auto"/>
        <w:ind w:firstLine="0"/>
        <w:jc w:val="center"/>
        <w:rPr>
          <w:sz w:val="20"/>
          <w:szCs w:val="20"/>
        </w:rPr>
      </w:pPr>
      <w:r>
        <w:rPr>
          <w:b/>
          <w:bCs/>
          <w:sz w:val="20"/>
          <w:szCs w:val="20"/>
        </w:rPr>
        <w:t xml:space="preserve">Mnoho nás </w:t>
      </w:r>
      <w:r>
        <w:rPr>
          <w:b/>
          <w:bCs/>
          <w:sz w:val="20"/>
          <w:szCs w:val="20"/>
        </w:rPr>
        <w:t>vzpomíná</w:t>
      </w:r>
    </w:p>
    <w:p w:rsidR="00500724" w:rsidRDefault="00F30FB8">
      <w:pPr>
        <w:pStyle w:val="Zkladntext100"/>
        <w:shd w:val="clear" w:color="auto" w:fill="auto"/>
        <w:spacing w:line="192" w:lineRule="auto"/>
      </w:pPr>
      <w:r>
        <w:t>Josef Čapek napsal do „Lidových novin“ úvodník, kde vzpo</w:t>
      </w:r>
      <w:r>
        <w:softHyphen/>
        <w:t>mínal svého pobytu na Slovensku a toho, jak cosi stálo mezi inteligencí naší a slovenskou, co bránilo srdečnosti a úplné jednotě. Myslím, že je nás mnoho, kteří vzpomínáme na své prázdninové</w:t>
      </w:r>
      <w:r>
        <w:t xml:space="preserve"> toulky po Slovensku, kde cítili jsme se jako doma předpokládajíce, že 1 Slováci čití se tak v našich zemích.</w:t>
      </w:r>
    </w:p>
    <w:p w:rsidR="00500724" w:rsidRDefault="00F30FB8">
      <w:pPr>
        <w:pStyle w:val="Zkladntext100"/>
        <w:shd w:val="clear" w:color="auto" w:fill="auto"/>
        <w:spacing w:line="192" w:lineRule="auto"/>
      </w:pPr>
      <w:r>
        <w:t>A ku podivu; shodneme se asi všichni na zkušenosti J. čap</w:t>
      </w:r>
      <w:r>
        <w:softHyphen/>
        <w:t xml:space="preserve">ka, pokud se týče vzájemného poměru nás a Slováků. Ostatně není to nový problém. Tlačil </w:t>
      </w:r>
      <w:r>
        <w:t>nás již za republiky a mnoho různých teorií o různém kulturním vývoji, o rozdílné citovosti povahové, atd. snažilo se to vysvětliti. Nyní pak žije dál,, jak o tom svědčí ty četné „Dopisy Češke zo Slovenska“ a „Odpo</w:t>
      </w:r>
      <w:r>
        <w:softHyphen/>
        <w:t xml:space="preserve">vědi Česlte“, které se táhly mnoha čísly </w:t>
      </w:r>
      <w:r>
        <w:t>„Přítomnosti“. Bohu</w:t>
      </w:r>
      <w:r>
        <w:softHyphen/>
        <w:t>žel, všechny tyto úvahy konstatovaly stav, snažily se vysvět</w:t>
      </w:r>
      <w:r>
        <w:softHyphen/>
        <w:t>lit, ale nikde jsem se nikdy nesetkal, když ještě to bylo velmi potřebné, jak to provést, aby tento stav přestal.</w:t>
      </w:r>
    </w:p>
    <w:p w:rsidR="00500724" w:rsidRDefault="00F30FB8">
      <w:pPr>
        <w:pStyle w:val="Zkladntext100"/>
        <w:shd w:val="clear" w:color="auto" w:fill="auto"/>
        <w:spacing w:line="192" w:lineRule="auto"/>
      </w:pPr>
      <w:r>
        <w:t>J. Čapek se domnívá, že to bylo demokratické pojetí ži</w:t>
      </w:r>
      <w:r>
        <w:softHyphen/>
        <w:t>vota u</w:t>
      </w:r>
      <w:r>
        <w:t xml:space="preserve"> nás, které vadilo Slovákům na nás a které oni nemohli</w:t>
      </w:r>
    </w:p>
    <w:p w:rsidR="00500724" w:rsidRDefault="00F30FB8">
      <w:pPr>
        <w:pStyle w:val="Zkladntext100"/>
        <w:shd w:val="clear" w:color="auto" w:fill="auto"/>
        <w:tabs>
          <w:tab w:val="left" w:leader="hyphen" w:pos="2011"/>
        </w:tabs>
        <w:spacing w:line="192" w:lineRule="auto"/>
        <w:ind w:firstLine="0"/>
      </w:pPr>
      <w:r>
        <w:t>dobře přijmout</w:t>
      </w:r>
      <w:r>
        <w:tab/>
        <w:t>a má pravdu. Přišel jsem k tomuto</w:t>
      </w:r>
    </w:p>
    <w:p w:rsidR="00500724" w:rsidRDefault="00F30FB8">
      <w:pPr>
        <w:pStyle w:val="Zkladntext100"/>
        <w:shd w:val="clear" w:color="auto" w:fill="auto"/>
        <w:tabs>
          <w:tab w:val="left" w:leader="hyphen" w:pos="3523"/>
        </w:tabs>
        <w:spacing w:line="192" w:lineRule="auto"/>
        <w:ind w:firstLine="0"/>
      </w:pPr>
      <w:r>
        <w:t>poznání již před několika lety, když jako student jsem s jed</w:t>
      </w:r>
      <w:r>
        <w:softHyphen/>
        <w:t>ním svým přítelem táhl po Lubochňance vzhůru. Cestou po</w:t>
      </w:r>
      <w:r>
        <w:softHyphen/>
        <w:t>tkali jsme mladíka 18—lůletéko, kte</w:t>
      </w:r>
      <w:r>
        <w:t>rý nás zvědavě okukoval. Dodal jsem mu odvahy a počal s ním hovor. Asi po třech vě</w:t>
      </w:r>
      <w:r>
        <w:softHyphen/>
        <w:t xml:space="preserve">tách se mě dychtivě zeptal: „Ste vy baron z Česka?“ Můj přítel se rozesmál a já jsem se snažil vysvětliti mu, že u nás není žádných baronů, že jsme v demokratické republice </w:t>
      </w:r>
      <w:r>
        <w:t>a že jsme si všichni rovni. Poslouchal překvapeně a pak prohlásil: „A aký ste to páni, keď nemáte barónov?“ Cítil jsem des</w:t>
      </w:r>
      <w:r>
        <w:softHyphen/>
        <w:t xml:space="preserve">pekt, s kterým na mne nyní hleděl </w:t>
      </w:r>
      <w:r>
        <w:rPr>
          <w:rFonts w:ascii="Arial" w:eastAsia="Arial" w:hAnsi="Arial" w:cs="Arial"/>
          <w:b/>
          <w:bCs/>
          <w:sz w:val="26"/>
          <w:szCs w:val="26"/>
        </w:rPr>
        <w:t xml:space="preserve">a </w:t>
      </w:r>
      <w:r>
        <w:t>věděl jsem, že srovnává „pány Maďary“ a „pány Čechy“ a že jsme to dokonale pro</w:t>
      </w:r>
      <w:r>
        <w:softHyphen/>
        <w:t>jeli. Pouhá příhod</w:t>
      </w:r>
      <w:r>
        <w:t>a s nevzdělaným vesničanem, z níž se ne</w:t>
      </w:r>
      <w:r>
        <w:softHyphen/>
        <w:t>může na nie obecnějšího usuzovat</w:t>
      </w:r>
      <w:r>
        <w:tab/>
        <w:t>řekne snad někdo.</w:t>
      </w:r>
    </w:p>
    <w:p w:rsidR="00500724" w:rsidRDefault="00F30FB8">
      <w:pPr>
        <w:pStyle w:val="Zkladntext100"/>
        <w:shd w:val="clear" w:color="auto" w:fill="auto"/>
        <w:spacing w:line="192" w:lineRule="auto"/>
        <w:ind w:firstLine="0"/>
      </w:pPr>
      <w:r>
        <w:t>Snad. Ale musil jsem na ni často mysliti, když stýkal jsem se v Praze na studiích a později na vojně s kolegy Slováky a slo</w:t>
      </w:r>
      <w:r>
        <w:softHyphen/>
        <w:t>venskou inteligencí a pozoroval jejich lá</w:t>
      </w:r>
      <w:r>
        <w:t>sku k maďarštině. Ne — nebyla to jen náhodná příhoda. Měla znak obecnosti s hlubokým psychologickým zdůvodněním.</w:t>
      </w:r>
    </w:p>
    <w:p w:rsidR="00500724" w:rsidRDefault="00F30FB8">
      <w:pPr>
        <w:pStyle w:val="Zkladntext100"/>
        <w:shd w:val="clear" w:color="auto" w:fill="auto"/>
        <w:spacing w:after="120" w:line="192" w:lineRule="auto"/>
      </w:pPr>
      <w:r>
        <w:t>Slovenský lid žil od staletí až do 18. roku pod vlivem a vedením autority, která byla tím mocnější, že prýštila ze</w:t>
      </w:r>
      <w:r>
        <w:br w:type="page"/>
      </w:r>
    </w:p>
    <w:p w:rsidR="00500724" w:rsidRDefault="00F30FB8">
      <w:pPr>
        <w:pStyle w:val="Zkladntext100"/>
        <w:shd w:val="clear" w:color="auto" w:fill="auto"/>
        <w:spacing w:line="192" w:lineRule="auto"/>
        <w:ind w:firstLine="0"/>
      </w:pPr>
      <w:r>
        <w:rPr>
          <w:noProof/>
        </w:rPr>
        <mc:AlternateContent>
          <mc:Choice Requires="wps">
            <w:drawing>
              <wp:anchor distT="0" distB="63500" distL="114300" distR="1019810" simplePos="0" relativeHeight="125830192" behindDoc="0" locked="0" layoutInCell="1" allowOverlap="1">
                <wp:simplePos x="0" y="0"/>
                <wp:positionH relativeFrom="page">
                  <wp:posOffset>3004820</wp:posOffset>
                </wp:positionH>
                <wp:positionV relativeFrom="margin">
                  <wp:posOffset>52070</wp:posOffset>
                </wp:positionV>
                <wp:extent cx="381000" cy="368935"/>
                <wp:effectExtent l="0" t="0" r="0" b="0"/>
                <wp:wrapTopAndBottom/>
                <wp:docPr id="815" name="Shape 815"/>
                <wp:cNvGraphicFramePr/>
                <a:graphic xmlns:a="http://schemas.openxmlformats.org/drawingml/2006/main">
                  <a:graphicData uri="http://schemas.microsoft.com/office/word/2010/wordprocessingShape">
                    <wps:wsp>
                      <wps:cNvSpPr txBox="1"/>
                      <wps:spPr>
                        <a:xfrm>
                          <a:off x="0" y="0"/>
                          <a:ext cx="381000" cy="368935"/>
                        </a:xfrm>
                        <a:prstGeom prst="rect">
                          <a:avLst/>
                        </a:prstGeom>
                        <a:noFill/>
                      </wps:spPr>
                      <wps:txbx>
                        <w:txbxContent>
                          <w:p w:rsidR="00500724" w:rsidRDefault="00F30FB8">
                            <w:pPr>
                              <w:pStyle w:val="Nadpis90"/>
                              <w:keepNext/>
                              <w:keepLines/>
                              <w:shd w:val="clear" w:color="auto" w:fill="auto"/>
                              <w:spacing w:after="0"/>
                            </w:pPr>
                            <w:bookmarkStart w:id="831" w:name="bookmark830"/>
                            <w:r>
                              <w:rPr>
                                <w:rFonts w:ascii="Times New Roman" w:eastAsia="Times New Roman" w:hAnsi="Times New Roman" w:cs="Times New Roman"/>
                              </w:rPr>
                              <w:t>Přít</w:t>
                            </w:r>
                            <w:bookmarkEnd w:id="831"/>
                          </w:p>
                        </w:txbxContent>
                      </wps:txbx>
                      <wps:bodyPr lIns="0" tIns="0" rIns="0" bIns="0">
                        <a:spAutoFit/>
                      </wps:bodyPr>
                    </wps:wsp>
                  </a:graphicData>
                </a:graphic>
              </wp:anchor>
            </w:drawing>
          </mc:Choice>
          <mc:Fallback>
            <w:pict>
              <v:shape id="_x0000_s1841" type="#_x0000_t202" style="position:absolute;margin-left:236.59999999999999pt;margin-top:4.0999999999999996pt;width:30.pt;height:29.050000000000001pt;z-index:-125828561;mso-wrap-distance-left:9.pt;mso-wrap-distance-right:80.299999999999997pt;mso-wrap-distance-bottom:5.pt;mso-position-horizontal-relative:page;mso-position-vertical-relative:margin"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830" w:name="bookmark830"/>
                      <w:r>
                        <w:rPr>
                          <w:rFonts w:ascii="Times New Roman" w:eastAsia="Times New Roman" w:hAnsi="Times New Roman" w:cs="Times New Roman"/>
                          <w:color w:val="000000"/>
                          <w:spacing w:val="0"/>
                          <w:w w:val="100"/>
                          <w:position w:val="0"/>
                          <w:shd w:val="clear" w:color="auto" w:fill="auto"/>
                          <w:lang w:val="cs-CZ" w:eastAsia="cs-CZ" w:bidi="cs-CZ"/>
                        </w:rPr>
                        <w:t>Přít</w:t>
                      </w:r>
                      <w:bookmarkEnd w:id="830"/>
                    </w:p>
                  </w:txbxContent>
                </v:textbox>
                <w10:wrap type="topAndBottom" anchorx="page" anchory="margin"/>
              </v:shape>
            </w:pict>
          </mc:Fallback>
        </mc:AlternateContent>
      </w:r>
      <w:r>
        <w:rPr>
          <w:noProof/>
        </w:rPr>
        <mc:AlternateContent>
          <mc:Choice Requires="wps">
            <w:drawing>
              <wp:anchor distT="128270" distB="87630" distL="501650" distR="708660" simplePos="0" relativeHeight="125830194" behindDoc="0" locked="0" layoutInCell="1" allowOverlap="1">
                <wp:simplePos x="0" y="0"/>
                <wp:positionH relativeFrom="page">
                  <wp:posOffset>3391535</wp:posOffset>
                </wp:positionH>
                <wp:positionV relativeFrom="margin">
                  <wp:posOffset>179705</wp:posOffset>
                </wp:positionV>
                <wp:extent cx="304800" cy="216535"/>
                <wp:effectExtent l="0" t="0" r="0" b="0"/>
                <wp:wrapTopAndBottom/>
                <wp:docPr id="817" name="Shape 817"/>
                <wp:cNvGraphicFramePr/>
                <a:graphic xmlns:a="http://schemas.openxmlformats.org/drawingml/2006/main">
                  <a:graphicData uri="http://schemas.microsoft.com/office/word/2010/wordprocessingShape">
                    <wps:wsp>
                      <wps:cNvSpPr txBox="1"/>
                      <wps:spPr>
                        <a:xfrm>
                          <a:off x="0" y="0"/>
                          <a:ext cx="304800" cy="216535"/>
                        </a:xfrm>
                        <a:prstGeom prst="rect">
                          <a:avLst/>
                        </a:prstGeom>
                        <a:noFill/>
                      </wps:spPr>
                      <wps:txbx>
                        <w:txbxContent>
                          <w:p w:rsidR="00500724" w:rsidRDefault="00F30FB8">
                            <w:pPr>
                              <w:pStyle w:val="Jin0"/>
                              <w:pBdr>
                                <w:top w:val="single" w:sz="0" w:space="0" w:color="000000"/>
                                <w:left w:val="single" w:sz="0" w:space="0" w:color="000000"/>
                                <w:bottom w:val="single" w:sz="0" w:space="0" w:color="000000"/>
                                <w:right w:val="single" w:sz="0" w:space="0" w:color="000000"/>
                              </w:pBdr>
                              <w:shd w:val="clear" w:color="auto" w:fill="000000"/>
                              <w:ind w:firstLine="0"/>
                              <w:jc w:val="left"/>
                              <w:rPr>
                                <w:sz w:val="26"/>
                                <w:szCs w:val="26"/>
                              </w:rPr>
                            </w:pPr>
                            <w:r>
                              <w:rPr>
                                <w:b/>
                                <w:bCs/>
                                <w:color w:val="FFFFFF"/>
                                <w:sz w:val="26"/>
                                <w:szCs w:val="26"/>
                                <w:lang w:val="en-US" w:eastAsia="en-US" w:bidi="en-US"/>
                              </w:rPr>
                              <w:t>•Jill</w:t>
                            </w:r>
                          </w:p>
                        </w:txbxContent>
                      </wps:txbx>
                      <wps:bodyPr lIns="0" tIns="0" rIns="0" bIns="0">
                        <a:spAutoFit/>
                      </wps:bodyPr>
                    </wps:wsp>
                  </a:graphicData>
                </a:graphic>
              </wp:anchor>
            </w:drawing>
          </mc:Choice>
          <mc:Fallback>
            <w:pict>
              <v:shape id="_x0000_s1843" type="#_x0000_t202" style="position:absolute;margin-left:267.05000000000001pt;margin-top:14.15pt;width:24.pt;height:17.050000000000001pt;z-index:-125828559;mso-wrap-distance-left:39.5pt;mso-wrap-distance-top:10.1pt;mso-wrap-distance-right:55.799999999999997pt;mso-wrap-distance-bottom:6.9000000000000004pt;mso-position-horizontal-relative:page;mso-position-vertical-relative:margin" filled="f" stroked="f">
                <v:textbox style="mso-fit-shape-to-text:t" inset="0,0,0,0">
                  <w:txbxContent>
                    <w:p>
                      <w:pPr>
                        <w:pStyle w:val="Style12"/>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rPr>
                          <w:sz w:val="26"/>
                          <w:szCs w:val="26"/>
                        </w:rPr>
                      </w:pPr>
                      <w:r>
                        <w:rPr>
                          <w:b/>
                          <w:bCs/>
                          <w:color w:val="FFFFFF"/>
                          <w:spacing w:val="0"/>
                          <w:w w:val="100"/>
                          <w:position w:val="0"/>
                          <w:sz w:val="26"/>
                          <w:szCs w:val="26"/>
                          <w:shd w:val="clear" w:color="auto" w:fill="auto"/>
                          <w:lang w:val="en-US" w:eastAsia="en-US" w:bidi="en-US"/>
                        </w:rPr>
                        <w:t>•Jill</w:t>
                      </w:r>
                    </w:p>
                  </w:txbxContent>
                </v:textbox>
                <w10:wrap type="topAndBottom" anchorx="page" anchory="margin"/>
              </v:shape>
            </w:pict>
          </mc:Fallback>
        </mc:AlternateContent>
      </w:r>
      <w:r>
        <w:rPr>
          <w:noProof/>
        </w:rPr>
        <mc:AlternateContent>
          <mc:Choice Requires="wps">
            <w:drawing>
              <wp:anchor distT="76200" distB="69850" distL="812165" distR="114300" simplePos="0" relativeHeight="125830196" behindDoc="0" locked="0" layoutInCell="1" allowOverlap="1">
                <wp:simplePos x="0" y="0"/>
                <wp:positionH relativeFrom="page">
                  <wp:posOffset>3702685</wp:posOffset>
                </wp:positionH>
                <wp:positionV relativeFrom="margin">
                  <wp:posOffset>128270</wp:posOffset>
                </wp:positionV>
                <wp:extent cx="588010" cy="286385"/>
                <wp:effectExtent l="0" t="0" r="0" b="0"/>
                <wp:wrapTopAndBottom/>
                <wp:docPr id="819" name="Shape 819"/>
                <wp:cNvGraphicFramePr/>
                <a:graphic xmlns:a="http://schemas.openxmlformats.org/drawingml/2006/main">
                  <a:graphicData uri="http://schemas.microsoft.com/office/word/2010/wordprocessingShape">
                    <wps:wsp>
                      <wps:cNvSpPr txBox="1"/>
                      <wps:spPr>
                        <a:xfrm>
                          <a:off x="0" y="0"/>
                          <a:ext cx="588010" cy="286385"/>
                        </a:xfrm>
                        <a:prstGeom prst="rect">
                          <a:avLst/>
                        </a:prstGeom>
                        <a:noFill/>
                      </wps:spPr>
                      <wps:txbx>
                        <w:txbxContent>
                          <w:p w:rsidR="00500724" w:rsidRDefault="00F30FB8">
                            <w:pPr>
                              <w:pStyle w:val="Jin0"/>
                              <w:shd w:val="clear" w:color="auto" w:fill="auto"/>
                              <w:ind w:firstLine="0"/>
                              <w:jc w:val="left"/>
                              <w:rPr>
                                <w:sz w:val="36"/>
                                <w:szCs w:val="36"/>
                              </w:rPr>
                            </w:pPr>
                            <w:r>
                              <w:rPr>
                                <w:sz w:val="36"/>
                                <w:szCs w:val="36"/>
                              </w:rPr>
                              <w:t>aost&gt;</w:t>
                            </w:r>
                          </w:p>
                        </w:txbxContent>
                      </wps:txbx>
                      <wps:bodyPr lIns="0" tIns="0" rIns="0" bIns="0">
                        <a:spAutoFit/>
                      </wps:bodyPr>
                    </wps:wsp>
                  </a:graphicData>
                </a:graphic>
              </wp:anchor>
            </w:drawing>
          </mc:Choice>
          <mc:Fallback>
            <w:pict>
              <v:shape id="_x0000_s1845" type="#_x0000_t202" style="position:absolute;margin-left:291.55000000000001pt;margin-top:10.1pt;width:46.299999999999997pt;height:22.550000000000001pt;z-index:-125828557;mso-wrap-distance-left:63.950000000000003pt;mso-wrap-distance-top:6.pt;mso-wrap-distance-right:9.pt;mso-wrap-distance-bottom:5.5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aost&gt;</w:t>
                      </w:r>
                    </w:p>
                  </w:txbxContent>
                </v:textbox>
                <w10:wrap type="topAndBottom" anchorx="page" anchory="margin"/>
              </v:shape>
            </w:pict>
          </mc:Fallback>
        </mc:AlternateContent>
      </w:r>
      <w:r>
        <w:t>dvou různých pramenů, které se ve svém konečném působení na způsob života a povahy slévaly v jedno. Byla to stálá vý</w:t>
      </w:r>
      <w:r>
        <w:softHyphen/>
        <w:t>chova ve víru v autoritu církevní a drastické uplatňování autority státní — politické. Bouřil-Ii se předválečný a válečný Slovák proti kara</w:t>
      </w:r>
      <w:r>
        <w:t>báči politické a státní autority, bouřil se jen proti znásilňování a ubíjení, nikdy však proti principu auto</w:t>
      </w:r>
      <w:r>
        <w:softHyphen/>
        <w:t xml:space="preserve">rity. Ta byla jeho živným chlebem, bez ní nevěděl co si počít </w:t>
      </w:r>
      <w:r>
        <w:rPr>
          <w:b/>
          <w:bCs/>
        </w:rPr>
        <w:t xml:space="preserve">a </w:t>
      </w:r>
      <w:r>
        <w:t>cítil se zrazen a opuštěn.</w:t>
      </w:r>
    </w:p>
    <w:p w:rsidR="00500724" w:rsidRDefault="00F30FB8">
      <w:pPr>
        <w:pStyle w:val="Zkladntext100"/>
        <w:shd w:val="clear" w:color="auto" w:fill="auto"/>
        <w:tabs>
          <w:tab w:val="left" w:pos="4603"/>
        </w:tabs>
        <w:spacing w:after="160" w:line="192" w:lineRule="auto"/>
        <w:ind w:firstLine="240"/>
      </w:pPr>
      <w:r>
        <w:t>Zde jsme si nerozuměli. My jsme chtěli přinésti svobodu,</w:t>
      </w:r>
      <w:r>
        <w:t xml:space="preserve"> ale očekávalo se od nás nastolení nové autority. My jsme mluvili o rovnosti všech, o právu kritiky a v zápalu osvobo</w:t>
      </w:r>
      <w:r>
        <w:softHyphen/>
        <w:t>zovacím pokoušeli jsme se zničiti jedinou autoritu, která ubo</w:t>
      </w:r>
      <w:r>
        <w:softHyphen/>
        <w:t>hému lidu zbývala — autoritu církve a Boha. A divili jsme se, když zvedal se</w:t>
      </w:r>
      <w:r>
        <w:t xml:space="preserve"> divoký odpor. Nechápali jsme, že to je pro Slováky otázka života a smrti, otázka vzduchu pro člověka a vody pro rybu. Bořili jsme vkořeněné, vyhraněné formy ži</w:t>
      </w:r>
      <w:r>
        <w:softHyphen/>
        <w:t>vota, kde vše bylo jasné, prosté, jednoznačné a podmíněné rukou Boží, která nás vede a na konec</w:t>
      </w:r>
      <w:r>
        <w:t xml:space="preserve"> i ochrání. Přinášeli jsme nová vodítka v podobě chaosu nesourodých politických, často úplně protichůdných hesel. Nebyli jsme tak chytří, aby</w:t>
      </w:r>
      <w:r>
        <w:softHyphen/>
        <w:t>chom uznali nutnost víry v autoritu a v Boha u člověka tak svázaného přírodou a tak tvrdě bojujícího s chudou zemí</w:t>
      </w:r>
      <w:r>
        <w:t xml:space="preserve"> a jejími rozmary. Nepoznali jsme, že ženeme ho do hrozné pro</w:t>
      </w:r>
      <w:r>
        <w:softHyphen/>
        <w:t>pasti, kde octne se sám zcela bez pomoci v boji proti živlům. Brali jsme mu jistotu citu a víry a chtěli dát pochybnosti a mučivou nejistotu rozumu. Vytrvale jsme se snažili podko</w:t>
      </w:r>
      <w:r>
        <w:softHyphen/>
        <w:t xml:space="preserve">pávat základy </w:t>
      </w:r>
      <w:r>
        <w:t>domu jeho života a nabízeli jsme mu za to hromadu cihel, kamení a písku s přátelskou radou, aby si vy</w:t>
      </w:r>
      <w:r>
        <w:softHyphen/>
        <w:t xml:space="preserve">stavěl dům nový. Je-li stavitelem a má-li již na to schopnosti, na to jsme se neohlíželi. A slovenská inteligence, ta byla na </w:t>
      </w:r>
      <w:r>
        <w:rPr>
          <w:lang w:val="en-US" w:eastAsia="en-US" w:bidi="en-US"/>
        </w:rPr>
        <w:t xml:space="preserve">torn </w:t>
      </w:r>
      <w:r>
        <w:t>stejně. Ohromnou většin</w:t>
      </w:r>
      <w:r>
        <w:t>ou měla velmi blízko k lidu a ťátila jeho citem.</w:t>
      </w:r>
      <w:r>
        <w:tab/>
      </w:r>
      <w:r>
        <w:rPr>
          <w:i/>
          <w:iCs/>
        </w:rPr>
        <w:t>O. K.</w:t>
      </w:r>
    </w:p>
    <w:p w:rsidR="00500724" w:rsidRDefault="00F30FB8">
      <w:pPr>
        <w:pStyle w:val="Nadpis120"/>
        <w:shd w:val="clear" w:color="auto" w:fill="auto"/>
        <w:spacing w:after="100"/>
        <w:ind w:left="0"/>
        <w:jc w:val="center"/>
      </w:pPr>
      <w:bookmarkStart w:id="832" w:name="bookmark831"/>
      <w:r>
        <w:t>Jde o typ mladého Čecha</w:t>
      </w:r>
      <w:bookmarkEnd w:id="832"/>
    </w:p>
    <w:p w:rsidR="00500724" w:rsidRDefault="00F30FB8">
      <w:pPr>
        <w:pStyle w:val="Zkladntext100"/>
        <w:shd w:val="clear" w:color="auto" w:fill="auto"/>
        <w:spacing w:line="192" w:lineRule="auto"/>
        <w:ind w:firstLine="240"/>
      </w:pPr>
      <w:r>
        <w:t>Nastanou-li v jakémkoli společenském útvaru převratné změny, snaží se jeho moudří členové přizpůsobiti novým po</w:t>
      </w:r>
      <w:r>
        <w:softHyphen/>
        <w:t>měrům. To ovšem neznamená, že by se naprosto zavrhlo vše dosavadn</w:t>
      </w:r>
      <w:r>
        <w:t>í a jaksi z ničeho vytvořilo něco nového. Ale vždy jde o to, aby při tom velikém úklidu a čištění nebyla ani tro</w:t>
      </w:r>
      <w:r>
        <w:softHyphen/>
        <w:t>ubu poškozena vzácná a křehká váza — čest. A poněvadž tato příliš abstraktní výzdoba (nejen výzdoba, ale i součást konstrukce) nemá stylu, může</w:t>
      </w:r>
      <w:r>
        <w:t xml:space="preserve"> býti začleněna opravdu beze změny do každého duchovního bytu člověkova. Nejistota však nastane u mladého člověka, kterého náraz překvapil v době, kdy ještě není hotov ani s nejzákladnějším nákresem svého charakteru. Zde snad by mohla vzniknout i obava, že</w:t>
      </w:r>
      <w:r>
        <w:t xml:space="preserve"> ta váza dtrpí menší větší puklinu. Bleskové změny v ohodnocování Osob a směrů vyvolávají zvláště u mladého člověka pochopi</w:t>
      </w:r>
      <w:r>
        <w:softHyphen/>
        <w:t xml:space="preserve">telný údiv. Může se mu zdáti, že byl dosud nějak obelháván </w:t>
      </w:r>
      <w:r>
        <w:rPr>
          <w:b/>
          <w:bCs/>
        </w:rPr>
        <w:t xml:space="preserve">a </w:t>
      </w:r>
      <w:r>
        <w:t>nepoctivě využíván. Že staří byli nesmírní břídilové či zba</w:t>
      </w:r>
      <w:r>
        <w:softHyphen/>
        <w:t>bělci. A pů</w:t>
      </w:r>
      <w:r>
        <w:t>da«i&gt;ro romantické hrdinštění by mohla vzkvétat. Světobokiý pesimismus, vyrostlý z domnělého oklamání, či teatrální zbojnictví, zmítaly by mladým nitrem.</w:t>
      </w:r>
    </w:p>
    <w:p w:rsidR="00500724" w:rsidRDefault="00F30FB8">
      <w:pPr>
        <w:pStyle w:val="Zkladntext100"/>
        <w:shd w:val="clear" w:color="auto" w:fill="auto"/>
        <w:spacing w:line="192" w:lineRule="auto"/>
        <w:ind w:firstLine="240"/>
      </w:pPr>
      <w:r>
        <w:t>•V našem případě jsme na tom snad přece jen lépe. Lze tu- šiti, že přeměna nedávného mladého občana re</w:t>
      </w:r>
      <w:r>
        <w:t xml:space="preserve">publikánského ůtátu v občana zemí Čech a Moravy se děje beze škody na jeho charakteru. Právě jako jsme neměli starých, bohatých rodů, neměli jsme mnoho té zlaté mládeže, která dovedla veřejnému životu dáti vždy jen vnější lesk, ale nikdy mízu </w:t>
      </w:r>
      <w:r>
        <w:rPr>
          <w:b/>
          <w:bCs/>
        </w:rPr>
        <w:t xml:space="preserve">á </w:t>
      </w:r>
      <w:r>
        <w:t>krev. Bouřl</w:t>
      </w:r>
      <w:r>
        <w:t>ivák Frič je jen episoda, která se časem připo</w:t>
      </w:r>
      <w:r>
        <w:softHyphen/>
        <w:t>mene, ale nenapodobí. Této mládeži lze jistě věřiti a bylo by dobře, aby nebyla příliš mentorována. Ale nejen proto, že je důvěryhodná.</w:t>
      </w:r>
    </w:p>
    <w:p w:rsidR="00500724" w:rsidRDefault="00F30FB8">
      <w:pPr>
        <w:pStyle w:val="Zkladntext100"/>
        <w:shd w:val="clear" w:color="auto" w:fill="auto"/>
        <w:spacing w:line="192" w:lineRule="auto"/>
        <w:ind w:firstLine="240"/>
      </w:pPr>
      <w:r>
        <w:t>Je zde ještě něco. Staří totiž se domnívají, že mají patent na tak zvanou</w:t>
      </w:r>
      <w:r>
        <w:t xml:space="preserve"> praktičnost života. (Opravdu, otcové nemohou býti snílky!) A tu se časem objeví něco, cc vzbuzuje nepří</w:t>
      </w:r>
      <w:r>
        <w:softHyphen/>
        <w:t>jemný pocit u každého, kdo neváží osud národa jen na va</w:t>
      </w:r>
      <w:r>
        <w:softHyphen/>
        <w:t>hách časnosti. Žádá se totiž na mládeži neustále jakási příliš střízlivá barva duše. Krásný poj</w:t>
      </w:r>
      <w:r>
        <w:t>em mladý muž jest pro mnohé chráněnou značkou, kterou smí býti označeno jen zboží tak trochu exportního určení. Nonchr.lantní střídání hřišť s parketami, mezinárodních letadel s pracovnami, snad</w:t>
      </w:r>
      <w:r>
        <w:softHyphen/>
        <w:t>né převlékání z montérské kombinace do fraku, to teprve je po</w:t>
      </w:r>
      <w:r>
        <w:t xml:space="preserve">važováno za důkaz, že mladík se neztratí. K této výchově </w:t>
      </w:r>
      <w:r>
        <w:rPr>
          <w:b/>
          <w:bCs/>
        </w:rPr>
        <w:t xml:space="preserve">a </w:t>
      </w:r>
      <w:r>
        <w:t>podivnému názoru je přiváděn jednak neustálým vychva</w:t>
      </w:r>
      <w:r>
        <w:softHyphen/>
        <w:t>lováním svého typu, falešným předstíráním, že jen jemu patří svět, a pak soustavným pokořováním typu opačného, t. j. mladého muže jiného duševní</w:t>
      </w:r>
      <w:r>
        <w:t>ho ustrojení.</w:t>
      </w:r>
    </w:p>
    <w:p w:rsidR="00500724" w:rsidRDefault="00F30FB8">
      <w:pPr>
        <w:pStyle w:val="Zkladntext100"/>
        <w:shd w:val="clear" w:color="auto" w:fill="auto"/>
        <w:spacing w:line="192" w:lineRule="auto"/>
        <w:ind w:firstLine="240"/>
      </w:pPr>
      <w:r>
        <w:t>Koho myslíme tímto druhým mladým mužem? Nebojme se slov a řekněme, že je to ten, kterému druzí nadávají snílek, idealista, nepraktický člověk nebo ještě hůře. Ty názvy mají pravidelně význam pečeti méněcennosti.</w:t>
      </w:r>
    </w:p>
    <w:p w:rsidR="00500724" w:rsidRDefault="00F30FB8">
      <w:pPr>
        <w:pStyle w:val="Zkladntext100"/>
        <w:shd w:val="clear" w:color="auto" w:fill="auto"/>
        <w:spacing w:line="192" w:lineRule="auto"/>
      </w:pPr>
      <w:r>
        <w:rPr>
          <w:rFonts w:ascii="Arial" w:eastAsia="Arial" w:hAnsi="Arial" w:cs="Arial"/>
          <w:b/>
          <w:bCs/>
          <w:sz w:val="17"/>
          <w:szCs w:val="17"/>
        </w:rPr>
        <w:t xml:space="preserve">I </w:t>
      </w:r>
      <w:r>
        <w:t>ten nejpovrchnější psycholog</w:t>
      </w:r>
      <w:r>
        <w:t xml:space="preserve"> však ví, že dva znaky, zdánlivě protikladné, charakterisují mládí: útočnost a sni- vost. Atleti i lyrikové dosahují pravidelně největších úspěchů mezi dvacátým a třicátým rokem. Někomu se však zdá, jako</w:t>
      </w:r>
      <w:r>
        <w:softHyphen/>
        <w:t>by ta jedna část byla pro existenci nejen jednotlivc</w:t>
      </w:r>
      <w:r>
        <w:t>e, ale i ná</w:t>
      </w:r>
      <w:r>
        <w:softHyphen/>
        <w:t>roda škodlivá. Mluví-li se o práci, myslí se jen něco velmi konkrétního, něco, při čem výsledek je brzy hmatatelný. V práci s abstrakty se někdy vidí téměř vlastizrada.</w:t>
      </w:r>
    </w:p>
    <w:p w:rsidR="00500724" w:rsidRDefault="00F30FB8">
      <w:pPr>
        <w:pStyle w:val="Zkladntext100"/>
        <w:shd w:val="clear" w:color="auto" w:fill="auto"/>
        <w:spacing w:line="192" w:lineRule="auto"/>
      </w:pPr>
      <w:r>
        <w:t>A přece: neukazuje nám právě tato doba, jak v životě národa přijdou často c</w:t>
      </w:r>
      <w:r>
        <w:t>hvíle, kdy se téměř ulekaně přimkne k svým velikým snivcům, k jejich dílům, tiše vytvořeným v samotách? Starosvětské tváře Nerudova a Alšova, něha po</w:t>
      </w:r>
      <w:r>
        <w:softHyphen/>
        <w:t>hledu Boženy Němcové a pomyslná zasmušilost Máchova do</w:t>
      </w:r>
      <w:r>
        <w:softHyphen/>
        <w:t>stávají větší platnost.</w:t>
      </w:r>
    </w:p>
    <w:p w:rsidR="00500724" w:rsidRDefault="00F30FB8">
      <w:pPr>
        <w:pStyle w:val="Zkladntext100"/>
        <w:shd w:val="clear" w:color="auto" w:fill="auto"/>
        <w:spacing w:line="192" w:lineRule="auto"/>
      </w:pPr>
      <w:r>
        <w:rPr>
          <w:b/>
          <w:bCs/>
        </w:rPr>
        <w:t xml:space="preserve">I </w:t>
      </w:r>
      <w:r>
        <w:t>když se namítne, že to js</w:t>
      </w:r>
      <w:r>
        <w:t>ou vzácné výjimky, že každý dnešní mladý snílek nebude Nerudou nebo Alšem, nutno přece pochopit, jak je neprozřetelné neustálé a záměrné vtloukání úhořovité praktičnosti do mladých lidí. Vždyť je již dávno zřejmo, jak je ochrnut onen amerikanismus, který t</w:t>
      </w:r>
      <w:r>
        <w:t>ak dlouho oslňoval. Ochrnut morálně a odsouzen svými vlastními lidmi, velikými romanopisci. A náš národ, tak početně malý, nemůže hazardovat! ani s malým množstvím a vylučovati je z dnešní reprisy hry, prvně provozované asi před sto lety, kdy se právě tato</w:t>
      </w:r>
      <w:r>
        <w:t xml:space="preserve"> skupinka tak skvěle uplatňovala.</w:t>
      </w:r>
    </w:p>
    <w:p w:rsidR="00500724" w:rsidRDefault="00F30FB8">
      <w:pPr>
        <w:pStyle w:val="Zkladntext100"/>
        <w:shd w:val="clear" w:color="auto" w:fill="auto"/>
        <w:spacing w:line="192" w:lineRule="auto"/>
      </w:pPr>
      <w:r>
        <w:t xml:space="preserve">Je zbytečný strach, že člověk více zběhlý v čtení Bible než v čtení bursovnich zpráv by práci druhých nějak brzdil. Před- pokládá-li se láska k národu za samozřejmou vlastnost všech, bude i ten čtenář Bible čisti tak, aby </w:t>
      </w:r>
      <w:r>
        <w:t>za každých okolností uměl tou Biblí posílit! právo své vlasti.</w:t>
      </w:r>
    </w:p>
    <w:p w:rsidR="00500724" w:rsidRDefault="00F30FB8">
      <w:pPr>
        <w:pStyle w:val="Zkladntext100"/>
        <w:shd w:val="clear" w:color="auto" w:fill="auto"/>
        <w:spacing w:line="194" w:lineRule="auto"/>
      </w:pPr>
      <w:r>
        <w:t xml:space="preserve">Ostatně sami praktikové se dostávají často tak do úzkých, že jim nic jiného nezbývá, než se opříti o nějakého toho sniv- ce, byť již dávno mrtvého. (Že pravidelně o mrtvého, to již je důsledek </w:t>
      </w:r>
      <w:r>
        <w:t>té jejich praktičnosti.) Stane-li se pak, že neprak- tik je vedle své silné obrazotvornosti nadán i schopností po</w:t>
      </w:r>
      <w:r>
        <w:softHyphen/>
        <w:t>staviti se tváří v tvář davu, přednésti mu živým slovem své myšlenky, může učiniti pro svoji zemi a její lid tisíckrát více (i v ohledu prakti</w:t>
      </w:r>
      <w:r>
        <w:t>ckém) než sebe lepší inženýr.</w:t>
      </w:r>
    </w:p>
    <w:p w:rsidR="00500724" w:rsidRDefault="00F30FB8">
      <w:pPr>
        <w:pStyle w:val="Zkladntext100"/>
        <w:shd w:val="clear" w:color="auto" w:fill="auto"/>
        <w:spacing w:line="190" w:lineRule="auto"/>
      </w:pPr>
      <w:r>
        <w:t xml:space="preserve">Nuže, jaký by měl býti ten typ mladého Čecha, neztratí- me-li stranicky ani atleta ani lyrika? Snad synthesa obou těch forem, obnovená snaha po řeckém ideálu kalokagatliie, či něčím ještě složitějším? Rozhodně ne! Není čas na </w:t>
      </w:r>
      <w:r>
        <w:t>experi</w:t>
      </w:r>
      <w:r>
        <w:softHyphen/>
        <w:t>menty a není v nás tradice ve výrobě kolektivně bezvýraz</w:t>
      </w:r>
      <w:r>
        <w:softHyphen/>
        <w:t>ných tváří, které na konec nejsou ničím.</w:t>
      </w:r>
    </w:p>
    <w:p w:rsidR="00500724" w:rsidRDefault="00F30FB8">
      <w:pPr>
        <w:pStyle w:val="Zkladntext100"/>
        <w:shd w:val="clear" w:color="auto" w:fill="auto"/>
        <w:spacing w:line="192" w:lineRule="auto"/>
      </w:pPr>
      <w:r>
        <w:t xml:space="preserve">Základem budiž kázeň a svoboda. Ano, o tuto synthesu jde. Jistě to nezní protismyslně tomu, kdo má k tomu vůli. Najiti v sobě ty nejlepší schopnosti a </w:t>
      </w:r>
      <w:r>
        <w:t>věnovali je kolektivu, kterým nyní rozumíme jen národ. Schopnosti jakékoli, neboť tento národ spotřebuje nyní všechno dobré, má-li býti zacho</w:t>
      </w:r>
      <w:r>
        <w:softHyphen/>
        <w:t>ván po stránce mravní, jak mu přeje president Hácha ve svém pozdravu Listu mladých. A národ je podivuhodné kolekti</w:t>
      </w:r>
      <w:r>
        <w:softHyphen/>
        <w:t>vum: i při největším smyslu pro pospolitost lze si v něm za</w:t>
      </w:r>
      <w:r>
        <w:softHyphen/>
        <w:t>chovati silnou individuální svobodu. Toho staré, nešťastné stranictví neposkytovalo. Podrobilo si plně duši toho, kdo se mu upřímně věnoval. Podrobí-H si však národ duši mladého člověka, naplňuje</w:t>
      </w:r>
      <w:r>
        <w:t xml:space="preserve"> ji současně hrdým vědomím příslušnosti k něčemu věčnému. A ne z nenávisti k druhým podobným útvarům a pro boj a nimi, jako tomu bylo u stran. Neboť o to také jde, aby příslušnost a nadšené přiznání k jednomu ná</w:t>
      </w:r>
      <w:r>
        <w:softHyphen/>
        <w:t>rodu nebylo míněno jako nenávist národa druh</w:t>
      </w:r>
      <w:r>
        <w:t>ého.</w:t>
      </w:r>
    </w:p>
    <w:p w:rsidR="00500724" w:rsidRDefault="00F30FB8">
      <w:pPr>
        <w:pStyle w:val="Zkladntext100"/>
        <w:shd w:val="clear" w:color="auto" w:fill="auto"/>
        <w:tabs>
          <w:tab w:val="left" w:pos="4090"/>
        </w:tabs>
        <w:spacing w:after="160" w:line="197" w:lineRule="auto"/>
      </w:pPr>
      <w:r>
        <w:t>Nový mladý Čech bude míti samozřejmě snahu po světo</w:t>
      </w:r>
      <w:r>
        <w:softHyphen/>
        <w:t>vosti. Ale byla-li to dříve přece jen často menší větší fraje- řinka, musí se to stát nyní jen doplňkem veliké povinnosti, která se jinak musí celá spotřebovati doma, ve vlastní zemi. Neboť „neumřela</w:t>
      </w:r>
      <w:r>
        <w:t xml:space="preserve"> ani nespí“. A podle básně Viktora Dýka má ještě veliké úkoly, chce ještě mnohé doříci. A to se může státi jen ústy čestné mládeže.</w:t>
      </w:r>
      <w:r>
        <w:tab/>
      </w:r>
      <w:r>
        <w:rPr>
          <w:i/>
          <w:iCs/>
        </w:rPr>
        <w:t>Ota Jahoda</w:t>
      </w:r>
    </w:p>
    <w:p w:rsidR="00500724" w:rsidRDefault="00F30FB8">
      <w:pPr>
        <w:pStyle w:val="Nadpis120"/>
        <w:shd w:val="clear" w:color="auto" w:fill="auto"/>
        <w:spacing w:after="100"/>
        <w:ind w:left="180"/>
        <w:jc w:val="center"/>
      </w:pPr>
      <w:bookmarkStart w:id="833" w:name="bookmark832"/>
      <w:r>
        <w:t>Slovenské kulturní otázky</w:t>
      </w:r>
      <w:bookmarkEnd w:id="833"/>
    </w:p>
    <w:p w:rsidR="00500724" w:rsidRDefault="00F30FB8">
      <w:pPr>
        <w:pStyle w:val="Zkladntext100"/>
        <w:shd w:val="clear" w:color="auto" w:fill="auto"/>
        <w:ind w:right="160"/>
      </w:pPr>
      <w:r>
        <w:t>Pomalu, ale přece jen vystupuje už pravý obraz nynějších kutlurních poměrů na Slovensku</w:t>
      </w:r>
      <w:r>
        <w:t>. Jsou to už poměry vytvořené a vytvářené Slováky samými, bez účasti české, ovšem nesmí se při tom zapomínati, že jsou to poměry doby velmi neklidné. Přešlo-li se t. nás i po takovém otřesu, jako byl 15. březen, hned k další práci, na Slovensku tomu tak ne</w:t>
      </w:r>
      <w:r>
        <w:t>ní. Tam stále ještě myšlenka revoluční koluje.</w:t>
      </w:r>
    </w:p>
    <w:p w:rsidR="00500724" w:rsidRDefault="00F30FB8">
      <w:pPr>
        <w:pStyle w:val="Zkladntext100"/>
        <w:shd w:val="clear" w:color="auto" w:fill="auto"/>
        <w:spacing w:line="202" w:lineRule="auto"/>
        <w:ind w:right="160" w:firstLine="200"/>
        <w:sectPr w:rsidR="00500724">
          <w:footnotePr>
            <w:numFmt w:val="chicago"/>
            <w:numRestart w:val="eachPage"/>
          </w:footnotePr>
          <w:pgSz w:w="11909" w:h="16834"/>
          <w:pgMar w:top="727" w:right="980" w:bottom="1067" w:left="503" w:header="0" w:footer="3" w:gutter="0"/>
          <w:cols w:num="2" w:space="100"/>
          <w:noEndnote/>
          <w:docGrid w:linePitch="360"/>
        </w:sectPr>
      </w:pPr>
      <w:r>
        <w:t>Nové poměry nejvíce postihly školství, býv. Československo na Slovensku školství rozšiřovalo, svobodné Slovensko si je ome</w:t>
      </w:r>
      <w:r>
        <w:softHyphen/>
        <w:t>zuje. Ministr Sivák právě poskytl redaktoru „Slováka“ roz</w:t>
      </w:r>
      <w:r>
        <w:softHyphen/>
      </w:r>
      <w:r>
        <w:t xml:space="preserve">hovor, z něhož vyplývá, že na obecných školách byl zvýšen počet žáků na 70 na jednu třídu. Nic to prý není, neboť </w:t>
      </w:r>
      <w:r>
        <w:rPr>
          <w:rFonts w:ascii="Arial" w:eastAsia="Arial" w:hAnsi="Arial" w:cs="Arial"/>
          <w:b/>
          <w:bCs/>
          <w:sz w:val="17"/>
          <w:szCs w:val="17"/>
        </w:rPr>
        <w:t xml:space="preserve">i v </w:t>
      </w:r>
      <w:r>
        <w:t>prvních letech bývalé republiky byl nejvyšší počet žáků</w:t>
      </w:r>
    </w:p>
    <w:p w:rsidR="00500724" w:rsidRDefault="00F30FB8">
      <w:pPr>
        <w:pStyle w:val="Nadpis90"/>
        <w:keepNext/>
        <w:keepLines/>
        <w:pBdr>
          <w:bottom w:val="single" w:sz="4" w:space="0" w:color="auto"/>
        </w:pBdr>
        <w:shd w:val="clear" w:color="auto" w:fill="auto"/>
        <w:spacing w:before="80" w:after="0"/>
        <w:jc w:val="center"/>
        <w:sectPr w:rsidR="00500724">
          <w:footnotePr>
            <w:numFmt w:val="chicago"/>
            <w:numRestart w:val="eachPage"/>
          </w:footnotePr>
          <w:pgSz w:w="11909" w:h="16834"/>
          <w:pgMar w:top="824" w:right="1092" w:bottom="989" w:left="372" w:header="0" w:footer="3" w:gutter="0"/>
          <w:cols w:space="720"/>
          <w:noEndnote/>
          <w:docGrid w:linePitch="360"/>
        </w:sectPr>
      </w:pPr>
      <w:bookmarkStart w:id="834" w:name="bookmark833"/>
      <w:r>
        <w:rPr>
          <w:rFonts w:ascii="Times New Roman" w:eastAsia="Times New Roman" w:hAnsi="Times New Roman" w:cs="Times New Roman"/>
        </w:rPr>
        <w:t>Phtomnr«t&gt;</w:t>
      </w:r>
      <w:bookmarkEnd w:id="834"/>
    </w:p>
    <w:p w:rsidR="00500724" w:rsidRDefault="00500724">
      <w:pPr>
        <w:spacing w:line="50" w:lineRule="exact"/>
        <w:rPr>
          <w:sz w:val="4"/>
          <w:szCs w:val="4"/>
        </w:rPr>
      </w:pPr>
    </w:p>
    <w:p w:rsidR="00500724" w:rsidRDefault="00500724">
      <w:pPr>
        <w:spacing w:line="14" w:lineRule="exact"/>
        <w:sectPr w:rsidR="00500724">
          <w:footnotePr>
            <w:numFmt w:val="chicago"/>
            <w:numRestart w:val="eachPage"/>
          </w:footnotePr>
          <w:type w:val="continuous"/>
          <w:pgSz w:w="11909" w:h="16834"/>
          <w:pgMar w:top="824" w:right="0" w:bottom="954" w:left="0" w:header="0" w:footer="3" w:gutter="0"/>
          <w:cols w:space="720"/>
          <w:noEndnote/>
          <w:docGrid w:linePitch="360"/>
        </w:sectPr>
      </w:pPr>
    </w:p>
    <w:p w:rsidR="00500724" w:rsidRDefault="00F30FB8">
      <w:pPr>
        <w:pStyle w:val="Zkladntext100"/>
        <w:shd w:val="clear" w:color="auto" w:fill="auto"/>
        <w:spacing w:line="202" w:lineRule="auto"/>
        <w:ind w:firstLine="0"/>
      </w:pPr>
      <w:r>
        <w:t xml:space="preserve">na jednu třídu </w:t>
      </w:r>
      <w:r>
        <w:t>ustálen na 80 a „nič sa nestalo“. Ale po válce byl katastrofální nedostatek jak učitelů, tak vhodných škol</w:t>
      </w:r>
      <w:r>
        <w:softHyphen/>
        <w:t>ských místností, o budovách ani nemluvě, což dnes už není, neboť jen do budování národního školství slovenského investo</w:t>
      </w:r>
      <w:r>
        <w:softHyphen/>
        <w:t>vala bývalá státní správa sta</w:t>
      </w:r>
      <w:r>
        <w:t>miliony K. Další skutečnost je rušení měšťanských škol. Ministr Sivák to odůvodňuje tím, že jednak to ani nebyly školy, ale expositury měšťanek, jednak — a to je prý správnější — sekretariáty politických stran.</w:t>
      </w:r>
    </w:p>
    <w:p w:rsidR="00500724" w:rsidRDefault="00F30FB8">
      <w:pPr>
        <w:pStyle w:val="Zkladntext100"/>
        <w:shd w:val="clear" w:color="auto" w:fill="auto"/>
        <w:spacing w:line="202" w:lineRule="auto"/>
        <w:ind w:firstLine="260"/>
      </w:pPr>
      <w:r>
        <w:t xml:space="preserve">Novými poměry je citelně postiženo i střední </w:t>
      </w:r>
      <w:r>
        <w:t xml:space="preserve">školství. Byla odstraněna koedukace. Ministr Sivák vzal s uspokojením na vědomí, že se v některých místech, kde nejsou dívčí střední školy, přihlásil </w:t>
      </w:r>
      <w:r>
        <w:rPr>
          <w:lang w:val="en-US" w:eastAsia="en-US" w:bidi="en-US"/>
        </w:rPr>
        <w:t xml:space="preserve">do </w:t>
      </w:r>
      <w:r>
        <w:t xml:space="preserve">I. třídy dostatečný počet žaček. Kde se tak stalo, tam „sriadime osobitnú triedu </w:t>
      </w:r>
      <w:r>
        <w:rPr>
          <w:lang w:val="en-US" w:eastAsia="en-US" w:bidi="en-US"/>
        </w:rPr>
        <w:t xml:space="preserve">pre </w:t>
      </w:r>
      <w:r>
        <w:t xml:space="preserve">dievčatá; triedu </w:t>
      </w:r>
      <w:r>
        <w:t>se</w:t>
      </w:r>
      <w:r>
        <w:softHyphen/>
        <w:t>parujeme a dáme pod najprísnejší dozor“. Zápisy na střední školy ukazují obecný pokles. Na nový školní rok se dalo za</w:t>
      </w:r>
      <w:r>
        <w:softHyphen/>
        <w:t>psati do první třídy jen 3276 žáků, t. j. o 1375 žáků méně proti počtu v 1 e d n u t. r., na učitelských ústavech o 450 žá</w:t>
      </w:r>
      <w:r>
        <w:softHyphen/>
        <w:t>ků méně. Při</w:t>
      </w:r>
      <w:r>
        <w:t xml:space="preserve"> tom je nedostatek učitelů i profesorů. Úbytek žactva činí dle těchto údajů 30%. Pociťuje to zejména Brati</w:t>
      </w:r>
      <w:r>
        <w:softHyphen/>
        <w:t>slava, kde nyní se vystačí se 4 středními školami a třídy ne</w:t>
      </w:r>
      <w:r>
        <w:softHyphen/>
        <w:t>budou míti poboček.</w:t>
      </w:r>
    </w:p>
    <w:p w:rsidR="00500724" w:rsidRDefault="00F30FB8">
      <w:pPr>
        <w:pStyle w:val="Zkladntext100"/>
        <w:shd w:val="clear" w:color="auto" w:fill="auto"/>
        <w:spacing w:line="202" w:lineRule="auto"/>
        <w:ind w:firstLine="260"/>
      </w:pPr>
      <w:r>
        <w:t>Na pohled nejlépe ještě vyhlíží vysoké školství, rozšířené o technik</w:t>
      </w:r>
      <w:r>
        <w:t>u se šesti obory, takže nyní má Slovensko — podle zákona — dvě úplné vysoké školy, které chce udržeti za kaž</w:t>
      </w:r>
      <w:r>
        <w:softHyphen/>
        <w:t>dou cenu. Sice, jak to řekl ministr Sivák, „za profesorov odišlých s univerzity podařilo sa nám získať náhradu medzi danými pomermi najlepšiu“, ale</w:t>
      </w:r>
      <w:r>
        <w:t xml:space="preserve"> hned dvě vysoké školy tu jsou a bude záležeti na tom, jak budou vybudovány. Univer</w:t>
      </w:r>
      <w:r>
        <w:softHyphen/>
        <w:t>sita je v té výhodě, že vybudována už byla a nadaným mla</w:t>
      </w:r>
      <w:r>
        <w:softHyphen/>
        <w:t>dým slovenským vědcům se nikdy neuzavírala. Bylo by ovšem zajímavé, kdyby bylo publikováno, kým byly jednotlivé věd</w:t>
      </w:r>
      <w:r>
        <w:t>ní obory obsazeny a bude neméně zajímavé, jak obsadí slovenská vláda hned všech šest oborů studia technického. Také připra</w:t>
      </w:r>
      <w:r>
        <w:softHyphen/>
        <w:t>vovaná reforma studia filosofického a vydání nového rigo</w:t>
      </w:r>
      <w:r>
        <w:softHyphen/>
        <w:t>rosního pořádku pro lékařskou a právnickou fakultu jistě bude znamenati radi</w:t>
      </w:r>
      <w:r>
        <w:t>kální změnu dosavadních ustanovení.</w:t>
      </w:r>
    </w:p>
    <w:p w:rsidR="00500724" w:rsidRDefault="00F30FB8">
      <w:pPr>
        <w:pStyle w:val="Zkladntext100"/>
        <w:shd w:val="clear" w:color="auto" w:fill="auto"/>
        <w:tabs>
          <w:tab w:val="left" w:pos="4316"/>
        </w:tabs>
        <w:spacing w:after="160" w:line="202" w:lineRule="auto"/>
        <w:ind w:firstLine="260"/>
      </w:pPr>
      <w:r>
        <w:t>Slovenské školství je v kvasu.</w:t>
      </w:r>
      <w:r>
        <w:tab/>
      </w:r>
      <w:r>
        <w:rPr>
          <w:i/>
          <w:iCs/>
        </w:rPr>
        <w:t>Norricus.</w:t>
      </w:r>
    </w:p>
    <w:p w:rsidR="00500724" w:rsidRDefault="00F30FB8">
      <w:pPr>
        <w:pStyle w:val="Nadpis120"/>
        <w:shd w:val="clear" w:color="auto" w:fill="auto"/>
        <w:spacing w:after="100"/>
        <w:ind w:left="0"/>
        <w:jc w:val="center"/>
      </w:pPr>
      <w:bookmarkStart w:id="835" w:name="bookmark834"/>
      <w:r>
        <w:t>Pryč s literárním brakem</w:t>
      </w:r>
      <w:bookmarkEnd w:id="835"/>
    </w:p>
    <w:p w:rsidR="00500724" w:rsidRDefault="00F30FB8">
      <w:pPr>
        <w:pStyle w:val="Zkladntext100"/>
        <w:shd w:val="clear" w:color="auto" w:fill="auto"/>
        <w:ind w:firstLine="260"/>
      </w:pPr>
      <w:r>
        <w:t>Občas se ozve toto heslo. Je pravidelně namířeno proti vydá</w:t>
      </w:r>
      <w:r>
        <w:softHyphen/>
        <w:t>vání všelijaké té tak zvané lidové četby z prostředí zločinu a divokého západu. Autoři všech t</w:t>
      </w:r>
      <w:r>
        <w:t>ěch strašlivých a strašidel</w:t>
      </w:r>
      <w:r>
        <w:softHyphen/>
        <w:t>ných, fantastických příhod jsou vlastně k politování. Sedí a na</w:t>
      </w:r>
      <w:r>
        <w:softHyphen/>
        <w:t>máhají své mozky vymýšlením situace, za které by bylo mož</w:t>
      </w:r>
      <w:r>
        <w:softHyphen/>
        <w:t xml:space="preserve">no zalát nějakého toho psance, někdy pro změnu i šerifa. Kdyby sáhli pro látku svých románů do skutečného </w:t>
      </w:r>
      <w:r>
        <w:t xml:space="preserve">života, mohly by téci potoky a řeky krve na každé stránce. Kolik lidí zemřelo v arénách ctarého Říma pro potěšení </w:t>
      </w:r>
      <w:r>
        <w:rPr>
          <w:lang w:val="en-US" w:eastAsia="en-US" w:bidi="en-US"/>
        </w:rPr>
        <w:t xml:space="preserve">matron, </w:t>
      </w:r>
      <w:r>
        <w:t>kolik křesťanů rozervaly dravé šelmy, kolik lidí zahubila španělská inkvisice, co všechno padlo za oběť „civilisaci“ Ameriky, kolik hl</w:t>
      </w:r>
      <w:r>
        <w:t>av pad</w:t>
      </w:r>
      <w:r>
        <w:softHyphen/>
        <w:t>lo v revoluci francouzské a ruské, kolik obětí si vyžádala paci</w:t>
      </w:r>
      <w:r>
        <w:softHyphen/>
        <w:t>fikace Indie a španělská občanská válka, a tak do nekonečna.</w:t>
      </w:r>
    </w:p>
    <w:p w:rsidR="00500724" w:rsidRDefault="00F30FB8">
      <w:pPr>
        <w:pStyle w:val="Zkladntext100"/>
        <w:shd w:val="clear" w:color="auto" w:fill="auto"/>
        <w:ind w:firstLine="260"/>
      </w:pPr>
      <w:r>
        <w:t>Není však mým úmyslem obhajovati autory detektivek a cowboyek. Jsem však přesvědčen, že boj proti literárnímu braku musíme v</w:t>
      </w:r>
      <w:r>
        <w:t>ésti důsledně a důstojně. Volá-li se po opatřeních, která by znemožnila vydávání krváků, není nemístné upozor</w:t>
      </w:r>
      <w:r>
        <w:softHyphen/>
        <w:t>niti na nutnost opatření proti vydávání tiskovin, které před</w:t>
      </w:r>
      <w:r>
        <w:softHyphen/>
        <w:t>stavují světu český národ jako výlupek hlouposti a ničem</w:t>
      </w:r>
      <w:r>
        <w:softHyphen/>
        <w:t>nosti. A jsou to tiskoviny v</w:t>
      </w:r>
      <w:r>
        <w:t>ydávané česky.</w:t>
      </w:r>
    </w:p>
    <w:p w:rsidR="00500724" w:rsidRDefault="00F30FB8">
      <w:pPr>
        <w:pStyle w:val="Zkladntext100"/>
        <w:shd w:val="clear" w:color="auto" w:fill="auto"/>
        <w:ind w:firstLine="260"/>
      </w:pPr>
      <w:r>
        <w:t>Čtete-li je, pokud nejste zachváceni hnusem a odporem hned při přečtení prvých řádků, trnete hrůzou, co to ten český ná</w:t>
      </w:r>
      <w:r>
        <w:softHyphen/>
        <w:t>rod je. Vždyť úředníky byli zločinci, kteří se chtěli zavděčiti vládnoucím nadzločincům. Političtí činitelé byli korupční</w:t>
      </w:r>
      <w:r>
        <w:t>ky, obohatili se na účet bývalého státu a českého národa. Kde to, u Joviše, jsme! Říkáme si kulturní, vyspělý národ. I jiní to ochotně uznávají. A nyní tohle! Co je pravda?</w:t>
      </w:r>
    </w:p>
    <w:p w:rsidR="00500724" w:rsidRDefault="00F30FB8">
      <w:pPr>
        <w:pStyle w:val="Zkladntext100"/>
        <w:shd w:val="clear" w:color="auto" w:fill="auto"/>
        <w:ind w:firstLine="260"/>
      </w:pPr>
      <w:r>
        <w:t>V bývalé čSK se vyskytlo několik případů zneužití úřední moci. Úředníci přišli před</w:t>
      </w:r>
      <w:r>
        <w:t xml:space="preserve"> soud a byli potrestáni. Z členů ně</w:t>
      </w:r>
      <w:r>
        <w:softHyphen/>
        <w:t>kolika vlád bývalé ČSB byl před soudem jenom jeden bývalý ministr — odsouzen nebyl. Někteří lidé náhle zbohatli — aspoň podle mínění ostatních. Je ustaven Národní soud, který roz</w:t>
      </w:r>
      <w:r>
        <w:softHyphen/>
        <w:t>hodne s konečnou platností o vině či nevi</w:t>
      </w:r>
      <w:r>
        <w:t>ně. Do té doby je však záhodno mlčeti.</w:t>
      </w:r>
    </w:p>
    <w:p w:rsidR="00500724" w:rsidRDefault="00F30FB8">
      <w:pPr>
        <w:pStyle w:val="Zkladntext100"/>
        <w:shd w:val="clear" w:color="auto" w:fill="auto"/>
        <w:ind w:firstLine="260"/>
      </w:pPr>
      <w:r>
        <w:t>To jsou skutečnosti, které není možno oddiskutovati. Ne</w:t>
      </w:r>
      <w:r>
        <w:softHyphen/>
        <w:t>dávají však nikomu práva, aby ponižoval český národ. Vždyť celý svět ví, že bývalá ČSK bj la státem na demokratické základně, to jest, že celý národ měl určitý v</w:t>
      </w:r>
      <w:r>
        <w:t>liv na veřejný život ve státě.</w:t>
      </w:r>
    </w:p>
    <w:p w:rsidR="00500724" w:rsidRDefault="00F30FB8">
      <w:pPr>
        <w:pStyle w:val="Zkladntext100"/>
        <w:shd w:val="clear" w:color="auto" w:fill="auto"/>
        <w:ind w:firstLine="260"/>
      </w:pPr>
      <w:r>
        <w:t>Horké hlavy, které se domnívají, že národu slouží, hulá- kají-li o nectnostech jedinců, by měly uvážiti, že odraz jejich obvinění stíhá tmavým stínem celý národ. Literární t,ak není jenom „krvák“, v němž jsou zabíjeni lidé, a</w:t>
      </w:r>
      <w:r>
        <w:t>le také a pře</w:t>
      </w:r>
      <w:r>
        <w:softHyphen/>
        <w:t>devším každá tiskovina, která špiní a sni</w:t>
      </w:r>
      <w:r>
        <w:softHyphen/>
        <w:t>žuje národ — i když to dělá ve jménu „očisty“!</w:t>
      </w:r>
    </w:p>
    <w:p w:rsidR="00500724" w:rsidRDefault="00F30FB8">
      <w:pPr>
        <w:pStyle w:val="Zkladntext20"/>
        <w:shd w:val="clear" w:color="auto" w:fill="auto"/>
        <w:spacing w:after="120" w:line="185" w:lineRule="auto"/>
        <w:ind w:firstLine="0"/>
        <w:jc w:val="right"/>
        <w:rPr>
          <w:sz w:val="20"/>
          <w:szCs w:val="20"/>
        </w:rPr>
      </w:pPr>
      <w:r>
        <w:rPr>
          <w:i/>
          <w:iCs/>
          <w:sz w:val="20"/>
          <w:szCs w:val="20"/>
        </w:rPr>
        <w:t>ZalsTtýi</w:t>
      </w:r>
    </w:p>
    <w:p w:rsidR="00500724" w:rsidRDefault="00F30FB8">
      <w:pPr>
        <w:pStyle w:val="Jin0"/>
        <w:shd w:val="clear" w:color="auto" w:fill="auto"/>
        <w:spacing w:after="180"/>
        <w:ind w:firstLine="0"/>
        <w:jc w:val="left"/>
        <w:rPr>
          <w:sz w:val="44"/>
          <w:szCs w:val="44"/>
        </w:rPr>
      </w:pPr>
      <w:r>
        <w:rPr>
          <w:b/>
          <w:bCs/>
          <w:sz w:val="44"/>
          <w:szCs w:val="44"/>
          <w:u w:val="single"/>
        </w:rPr>
        <w:t>literatura a umění</w:t>
      </w:r>
    </w:p>
    <w:p w:rsidR="00500724" w:rsidRDefault="00F30FB8">
      <w:pPr>
        <w:pStyle w:val="Zkladntext20"/>
        <w:shd w:val="clear" w:color="auto" w:fill="auto"/>
        <w:spacing w:line="223" w:lineRule="auto"/>
        <w:ind w:firstLine="0"/>
        <w:rPr>
          <w:sz w:val="20"/>
          <w:szCs w:val="20"/>
        </w:rPr>
      </w:pPr>
      <w:r>
        <w:rPr>
          <w:i/>
          <w:iCs/>
          <w:sz w:val="20"/>
          <w:szCs w:val="20"/>
        </w:rPr>
        <w:t>Miroslav Micko :</w:t>
      </w:r>
    </w:p>
    <w:p w:rsidR="00500724" w:rsidRDefault="00F30FB8">
      <w:pPr>
        <w:pStyle w:val="Jin0"/>
        <w:shd w:val="clear" w:color="auto" w:fill="auto"/>
        <w:spacing w:after="120"/>
        <w:ind w:firstLine="0"/>
        <w:jc w:val="center"/>
        <w:rPr>
          <w:sz w:val="28"/>
          <w:szCs w:val="28"/>
        </w:rPr>
      </w:pPr>
      <w:r>
        <w:rPr>
          <w:b/>
          <w:bCs/>
          <w:sz w:val="28"/>
          <w:szCs w:val="28"/>
        </w:rPr>
        <w:t>Básník už není sám</w:t>
      </w:r>
    </w:p>
    <w:p w:rsidR="00500724" w:rsidRDefault="00F30FB8">
      <w:pPr>
        <w:pStyle w:val="Zkladntext20"/>
        <w:shd w:val="clear" w:color="auto" w:fill="auto"/>
        <w:spacing w:line="223" w:lineRule="auto"/>
        <w:ind w:firstLine="0"/>
        <w:rPr>
          <w:sz w:val="20"/>
          <w:szCs w:val="20"/>
        </w:rPr>
      </w:pPr>
      <w:r>
        <w:rPr>
          <w:sz w:val="20"/>
          <w:szCs w:val="20"/>
        </w:rPr>
        <w:t xml:space="preserve">rpento národ byl buzen z dřímoty svého dlouhého spánku básníky a oni zůstali dlouho a </w:t>
      </w:r>
      <w:r>
        <w:rPr>
          <w:sz w:val="20"/>
          <w:szCs w:val="20"/>
        </w:rPr>
        <w:t>stávali se znovu při významných příležitostech jeho vůdci. Obě strany, vlast i poesie, měly z toho své výhody i ne</w:t>
      </w:r>
      <w:r>
        <w:rPr>
          <w:sz w:val="20"/>
          <w:szCs w:val="20"/>
        </w:rPr>
        <w:softHyphen/>
        <w:t>výhody. Usilování národa čerpalo odtud svěžest svého elánu a mravní čistotu i sílu, jako zas na druhé straně trpělo trochu naivní, často spíš</w:t>
      </w:r>
      <w:r>
        <w:rPr>
          <w:sz w:val="20"/>
          <w:szCs w:val="20"/>
        </w:rPr>
        <w:t xml:space="preserve"> nadše</w:t>
      </w:r>
      <w:r>
        <w:rPr>
          <w:sz w:val="20"/>
          <w:szCs w:val="20"/>
        </w:rPr>
        <w:softHyphen/>
        <w:t>nou než prozíravou ušlechtilostí tohoto vůdcovství.</w:t>
      </w:r>
    </w:p>
    <w:p w:rsidR="00500724" w:rsidRDefault="00F30FB8">
      <w:pPr>
        <w:pStyle w:val="Zkladntext20"/>
        <w:shd w:val="clear" w:color="auto" w:fill="auto"/>
        <w:spacing w:line="223" w:lineRule="auto"/>
        <w:ind w:firstLine="0"/>
        <w:rPr>
          <w:sz w:val="20"/>
          <w:szCs w:val="20"/>
        </w:rPr>
      </w:pPr>
      <w:r>
        <w:rPr>
          <w:sz w:val="20"/>
          <w:szCs w:val="20"/>
        </w:rPr>
        <w:t>Poesie nacházela v tomto služebním závazku i mocné podněty k tvořivosti, i své posvěcení, ale naopak zas narážela na zábrany a meze, jež jí kladla povinnost sloužit. První, kdo ji bolestně střese s</w:t>
      </w:r>
      <w:r>
        <w:rPr>
          <w:sz w:val="20"/>
          <w:szCs w:val="20"/>
        </w:rPr>
        <w:t xml:space="preserve"> tímto pojetím „poesis ancilla patriae“, první, kdo u nás mučivě pro</w:t>
      </w:r>
      <w:r>
        <w:rPr>
          <w:sz w:val="20"/>
          <w:szCs w:val="20"/>
        </w:rPr>
        <w:softHyphen/>
        <w:t>cítil samotu básníka a učinil ji východiskem své tvor</w:t>
      </w:r>
      <w:r>
        <w:rPr>
          <w:sz w:val="20"/>
          <w:szCs w:val="20"/>
        </w:rPr>
        <w:softHyphen/>
        <w:t xml:space="preserve">by, první, kdo chtěl poesii holou a ryzí, bez funkcí politických a vychovatelských, byl Mácha. Víme všichni, jak byl proto kaceřován </w:t>
      </w:r>
      <w:r>
        <w:rPr>
          <w:sz w:val="20"/>
          <w:szCs w:val="20"/>
        </w:rPr>
        <w:t>a stejně víme, jak jeho dílo splnilo časem závazek vyšší služebnosti ryzostí svého slova, zjevením krásy, které neslo, oslavou mateřštiny, v níž po prvé zazpívalo. A zase Nerudovi diktuje vlaste</w:t>
      </w:r>
      <w:r>
        <w:rPr>
          <w:sz w:val="20"/>
          <w:szCs w:val="20"/>
        </w:rPr>
        <w:softHyphen/>
        <w:t xml:space="preserve">necký zápal a pokorná touha sloužit jeho nejkrásnější verše; </w:t>
      </w:r>
      <w:r>
        <w:rPr>
          <w:sz w:val="20"/>
          <w:szCs w:val="20"/>
        </w:rPr>
        <w:t>Zpěvy páteční nejsou o ni,c méně poesií, pro</w:t>
      </w:r>
      <w:r>
        <w:rPr>
          <w:sz w:val="20"/>
          <w:szCs w:val="20"/>
        </w:rPr>
        <w:softHyphen/>
        <w:t xml:space="preserve">tože jsou mečem, ba jsou poesií právě proto. Konflikt tohoto dvojího pojetí poesie jako „jen“ poesie a poesie bojovně hlasatelské se stále opakuje: v generaci lumí- rovců stejně jako v generaci let devadesátých </w:t>
      </w:r>
      <w:r>
        <w:rPr>
          <w:sz w:val="20"/>
          <w:szCs w:val="20"/>
        </w:rPr>
        <w:t>a znovu a v nové podobě i po válce třeba v protichůdnosti poesie proletářské a poetismu. Svatopluk Čech, básník-občan, Viktor Dyk, básník-politik, Jiří Wolker, básník-proletář, stojí tu proti čistým typům básnickým jako Vrchlický, Březina, Nezval.</w:t>
      </w:r>
    </w:p>
    <w:p w:rsidR="00500724" w:rsidRDefault="00F30FB8">
      <w:pPr>
        <w:pStyle w:val="Zkladntext100"/>
        <w:shd w:val="clear" w:color="auto" w:fill="auto"/>
        <w:spacing w:after="120" w:line="204" w:lineRule="auto"/>
        <w:ind w:firstLine="0"/>
        <w:jc w:val="center"/>
      </w:pPr>
      <w:r>
        <w:t>•</w:t>
      </w:r>
    </w:p>
    <w:p w:rsidR="00500724" w:rsidRDefault="00F30FB8">
      <w:pPr>
        <w:pStyle w:val="Zkladntext20"/>
        <w:shd w:val="clear" w:color="auto" w:fill="auto"/>
        <w:spacing w:line="226" w:lineRule="auto"/>
        <w:ind w:firstLine="260"/>
        <w:rPr>
          <w:sz w:val="20"/>
          <w:szCs w:val="20"/>
        </w:rPr>
      </w:pPr>
      <w:r>
        <w:rPr>
          <w:sz w:val="20"/>
          <w:szCs w:val="20"/>
        </w:rPr>
        <w:t>Povále</w:t>
      </w:r>
      <w:r>
        <w:rPr>
          <w:sz w:val="20"/>
          <w:szCs w:val="20"/>
        </w:rPr>
        <w:t>čné dvacetiletí dalo básníkům dispens k jejich svrchovaným hrám, ale odsunulo je také do ústraní, odkud jen zřídka zalehlo jejich slovo do hluku veřej</w:t>
      </w:r>
      <w:r>
        <w:rPr>
          <w:sz w:val="20"/>
          <w:szCs w:val="20"/>
        </w:rPr>
        <w:softHyphen/>
        <w:t>nosti. Žili si povětšinou kdesi v ozdobných altáncích a glorietech, jejichž těsná důvěrnost stačila nevel</w:t>
      </w:r>
      <w:r>
        <w:rPr>
          <w:sz w:val="20"/>
          <w:szCs w:val="20"/>
        </w:rPr>
        <w:t>kým kroužkům jejich posluchačů. Slovo měli táboroví řeč</w:t>
      </w:r>
      <w:r>
        <w:rPr>
          <w:sz w:val="20"/>
          <w:szCs w:val="20"/>
        </w:rPr>
        <w:softHyphen/>
        <w:t>níci a duše davů se živila frází, jež zaznívala s poli</w:t>
      </w:r>
      <w:r>
        <w:rPr>
          <w:sz w:val="20"/>
          <w:szCs w:val="20"/>
        </w:rPr>
        <w:softHyphen/>
        <w:t>tických tribun. Básníkům zůstala jejich samota, cnostná ve své nepoplatnosti, neřestná mnohdy ve své prázd</w:t>
      </w:r>
      <w:r>
        <w:rPr>
          <w:sz w:val="20"/>
          <w:szCs w:val="20"/>
        </w:rPr>
        <w:softHyphen/>
        <w:t>notě.</w:t>
      </w:r>
    </w:p>
    <w:p w:rsidR="00500724" w:rsidRDefault="00F30FB8">
      <w:pPr>
        <w:pStyle w:val="Zkladntext100"/>
        <w:shd w:val="clear" w:color="auto" w:fill="auto"/>
        <w:spacing w:after="120" w:line="204" w:lineRule="auto"/>
        <w:ind w:firstLine="0"/>
        <w:jc w:val="center"/>
      </w:pPr>
      <w:r>
        <w:t>•</w:t>
      </w:r>
    </w:p>
    <w:p w:rsidR="00500724" w:rsidRDefault="00F30FB8">
      <w:pPr>
        <w:pStyle w:val="Zkladntext20"/>
        <w:shd w:val="clear" w:color="auto" w:fill="auto"/>
        <w:spacing w:after="120" w:line="218" w:lineRule="auto"/>
        <w:ind w:firstLine="260"/>
        <w:rPr>
          <w:sz w:val="20"/>
          <w:szCs w:val="20"/>
        </w:rPr>
        <w:sectPr w:rsidR="00500724">
          <w:footnotePr>
            <w:numFmt w:val="chicago"/>
            <w:numRestart w:val="eachPage"/>
          </w:footnotePr>
          <w:type w:val="continuous"/>
          <w:pgSz w:w="11909" w:h="16834"/>
          <w:pgMar w:top="824" w:right="1092" w:bottom="954" w:left="372" w:header="0" w:footer="3" w:gutter="0"/>
          <w:cols w:num="2" w:space="154"/>
          <w:noEndnote/>
          <w:docGrid w:linePitch="360"/>
        </w:sectPr>
      </w:pPr>
      <w:r>
        <w:rPr>
          <w:sz w:val="20"/>
          <w:szCs w:val="20"/>
        </w:rPr>
        <w:t>Byl-li kdy básník, pohrdající veřejnou ozvučností slova, vysoko povznesený nad skutečnost a dění dne a mnohonásobně ohrazený před stykem se světem, pak to byl až do nedávná Vladimír Holan. Nebudeme zde jeho dílo rozbírat a hodnotit literárně kriticky, zřek</w:t>
      </w:r>
      <w:r>
        <w:rPr>
          <w:sz w:val="20"/>
          <w:szCs w:val="20"/>
        </w:rPr>
        <w:t>neme se mluvit o jeho souvislostech, o Mallar- méovi a Rilkovi a nebudeme je vůbec posuzovat z vý</w:t>
      </w:r>
      <w:r>
        <w:rPr>
          <w:sz w:val="20"/>
          <w:szCs w:val="20"/>
        </w:rPr>
        <w:softHyphen/>
        <w:t>lučně estetického hlediska. Přistupujeme k němu jen jako k dokumentu cesty básníkovy: cesty, na níž leží Damašek.</w:t>
      </w:r>
    </w:p>
    <w:p w:rsidR="00500724" w:rsidRDefault="00F30FB8">
      <w:pPr>
        <w:pStyle w:val="Nadpis90"/>
        <w:keepNext/>
        <w:keepLines/>
        <w:pBdr>
          <w:bottom w:val="single" w:sz="4" w:space="0" w:color="auto"/>
        </w:pBdr>
        <w:shd w:val="clear" w:color="auto" w:fill="auto"/>
        <w:spacing w:before="80" w:after="0"/>
        <w:jc w:val="center"/>
        <w:sectPr w:rsidR="00500724">
          <w:footnotePr>
            <w:numFmt w:val="chicago"/>
            <w:numRestart w:val="eachPage"/>
          </w:footnotePr>
          <w:pgSz w:w="11909" w:h="16834"/>
          <w:pgMar w:top="701" w:right="802" w:bottom="1149" w:left="691" w:header="0" w:footer="3" w:gutter="0"/>
          <w:cols w:space="720"/>
          <w:noEndnote/>
          <w:docGrid w:linePitch="360"/>
        </w:sectPr>
      </w:pPr>
      <w:bookmarkStart w:id="836" w:name="bookmark835"/>
      <w:r>
        <w:rPr>
          <w:rFonts w:ascii="Times New Roman" w:eastAsia="Times New Roman" w:hAnsi="Times New Roman" w:cs="Times New Roman"/>
          <w:lang w:val="en-US" w:eastAsia="en-US" w:bidi="en-US"/>
        </w:rPr>
        <w:t>Pwtomnost&gt;</w:t>
      </w:r>
      <w:bookmarkEnd w:id="836"/>
    </w:p>
    <w:p w:rsidR="00500724" w:rsidRDefault="00500724">
      <w:pPr>
        <w:spacing w:line="30" w:lineRule="exact"/>
        <w:rPr>
          <w:sz w:val="2"/>
          <w:szCs w:val="2"/>
        </w:rPr>
      </w:pPr>
    </w:p>
    <w:p w:rsidR="00500724" w:rsidRDefault="00500724">
      <w:pPr>
        <w:spacing w:line="14" w:lineRule="exact"/>
        <w:sectPr w:rsidR="00500724">
          <w:footnotePr>
            <w:numFmt w:val="chicago"/>
            <w:numRestart w:val="eachPage"/>
          </w:footnotePr>
          <w:type w:val="continuous"/>
          <w:pgSz w:w="11909" w:h="16834"/>
          <w:pgMar w:top="701" w:right="0" w:bottom="1104" w:left="0" w:header="0" w:footer="3" w:gutter="0"/>
          <w:cols w:space="720"/>
          <w:noEndnote/>
          <w:docGrid w:linePitch="360"/>
        </w:sectPr>
      </w:pPr>
    </w:p>
    <w:p w:rsidR="00500724" w:rsidRDefault="00F30FB8">
      <w:pPr>
        <w:pStyle w:val="Zkladntext20"/>
        <w:shd w:val="clear" w:color="auto" w:fill="auto"/>
        <w:spacing w:line="226" w:lineRule="auto"/>
        <w:ind w:firstLine="260"/>
        <w:rPr>
          <w:sz w:val="20"/>
          <w:szCs w:val="20"/>
        </w:rPr>
      </w:pPr>
      <w:r>
        <w:rPr>
          <w:sz w:val="20"/>
          <w:szCs w:val="20"/>
        </w:rPr>
        <w:t>„Triumf smrti“, , ,Kolury“, „Vanutí“, „Torso“, „Oblouk“, „Kameni, přicházíš“ — to jsou nadpisy jeho knížek až k bodu obratu, lyrická předehra k tragedii, jejíž první dějství se jmenuje „Září 1938“, a která po</w:t>
      </w:r>
      <w:r>
        <w:rPr>
          <w:sz w:val="20"/>
          <w:szCs w:val="20"/>
        </w:rPr>
        <w:softHyphen/>
        <w:t xml:space="preserve">kračuje ve Zpěvu </w:t>
      </w:r>
      <w:r>
        <w:rPr>
          <w:sz w:val="20"/>
          <w:szCs w:val="20"/>
        </w:rPr>
        <w:t>tříkrálovém a Snu.</w:t>
      </w:r>
    </w:p>
    <w:p w:rsidR="00500724" w:rsidRDefault="00F30FB8">
      <w:pPr>
        <w:pStyle w:val="Zkladntext20"/>
        <w:shd w:val="clear" w:color="auto" w:fill="auto"/>
        <w:spacing w:after="80" w:line="228" w:lineRule="auto"/>
        <w:ind w:firstLine="260"/>
        <w:rPr>
          <w:sz w:val="20"/>
          <w:szCs w:val="20"/>
        </w:rPr>
      </w:pPr>
      <w:r>
        <w:rPr>
          <w:sz w:val="20"/>
          <w:szCs w:val="20"/>
        </w:rPr>
        <w:t>Budem se zabývat nejprve tou předehrou. Dvaadvace</w:t>
      </w:r>
      <w:r>
        <w:rPr>
          <w:sz w:val="20"/>
          <w:szCs w:val="20"/>
        </w:rPr>
        <w:softHyphen/>
        <w:t>tiletý mladík začíná v „Triumfu smrti“ elegií. Je to zna</w:t>
      </w:r>
      <w:r>
        <w:rPr>
          <w:sz w:val="20"/>
          <w:szCs w:val="20"/>
        </w:rPr>
        <w:softHyphen/>
        <w:t xml:space="preserve">mení, že tu je narušen poměr k přítomné skutečnosti, že je ztracena, abychom mluvili jeho slovy „důvěrnosti lité svěžest“, </w:t>
      </w:r>
      <w:r>
        <w:rPr>
          <w:sz w:val="20"/>
          <w:szCs w:val="20"/>
        </w:rPr>
        <w:t>„blaženost oddání“. Tam, kde še vzpo</w:t>
      </w:r>
      <w:r>
        <w:rPr>
          <w:sz w:val="20"/>
          <w:szCs w:val="20"/>
        </w:rPr>
        <w:softHyphen/>
        <w:t>míná, se nežije. Zatím se lze zachraňovat ze svého od</w:t>
      </w:r>
      <w:r>
        <w:rPr>
          <w:sz w:val="20"/>
          <w:szCs w:val="20"/>
        </w:rPr>
        <w:softHyphen/>
        <w:t>cizení světu do dětství, ale „ach, tento hrad se propadá po sedmi letech“. A tu si básník píše do svého erbu hrdé heslo: „Trpěl, tvořil!“ Jaká je příčina tohoto utrp</w:t>
      </w:r>
      <w:r>
        <w:rPr>
          <w:sz w:val="20"/>
          <w:szCs w:val="20"/>
        </w:rPr>
        <w:t>ení, jaký je smysl této tvorby? Je to bolest pra</w:t>
      </w:r>
      <w:r>
        <w:rPr>
          <w:sz w:val="20"/>
          <w:szCs w:val="20"/>
        </w:rPr>
        <w:softHyphen/>
        <w:t xml:space="preserve">menící z pouhého bytí, bolest bytostně osamoceného ducha, který se nedovede zasnoubit s realitou, a který, pojímaje dílo jako vzpouru a protest proti ní, buduje si vzdorosvět slova. Z nástroje výkladu světa </w:t>
      </w:r>
      <w:r>
        <w:rPr>
          <w:sz w:val="20"/>
          <w:szCs w:val="20"/>
        </w:rPr>
        <w:t>je učiněn svět sám. Je v tom Narcisová sebeláska; láska k vlast</w:t>
      </w:r>
      <w:r>
        <w:rPr>
          <w:sz w:val="20"/>
          <w:szCs w:val="20"/>
        </w:rPr>
        <w:softHyphen/>
        <w:t>nímu nástroji, která se stupňuje až v modloslužebnost a v sebepyšné ukájení. Slovo tu žije samostatným ži</w:t>
      </w:r>
      <w:r>
        <w:rPr>
          <w:sz w:val="20"/>
          <w:szCs w:val="20"/>
        </w:rPr>
        <w:softHyphen/>
        <w:t>votem a souvisí spíš se slovníkem, než se skutečností, již znamená. Básně vyrůstají ví</w:t>
      </w:r>
      <w:r>
        <w:rPr>
          <w:sz w:val="20"/>
          <w:szCs w:val="20"/>
        </w:rPr>
        <w:t>c než z nazírání z orga</w:t>
      </w:r>
      <w:r>
        <w:rPr>
          <w:sz w:val="20"/>
          <w:szCs w:val="20"/>
        </w:rPr>
        <w:softHyphen/>
        <w:t>nismů řeči: „lov našich zřítelnic je předbíhán laní sluchu“. Vrcholným dobrodružstvím Holanova ducha jsou jazyková kouzla; setkání nezvyklého přívlastku se substantivem, syntaktické deformace, třeskné nárazy neslučitelných slov a po</w:t>
      </w:r>
      <w:r>
        <w:rPr>
          <w:sz w:val="20"/>
          <w:szCs w:val="20"/>
        </w:rPr>
        <w:t>divné potomství jejich smyslu — to mu stačí k objevitelskému heureka. Tak dochází ke svým Tarádám a klubkům abstrakt:</w:t>
      </w:r>
    </w:p>
    <w:p w:rsidR="00500724" w:rsidRDefault="00F30FB8">
      <w:pPr>
        <w:pStyle w:val="Zkladntext100"/>
        <w:shd w:val="clear" w:color="auto" w:fill="auto"/>
        <w:spacing w:line="223" w:lineRule="auto"/>
        <w:ind w:left="4180" w:hanging="3920"/>
        <w:jc w:val="left"/>
      </w:pPr>
      <w:r>
        <w:t>„Namítáš v holubici, verši vyděšený? Znící žalobu znáš-li, vydej ji!</w:t>
      </w:r>
    </w:p>
    <w:p w:rsidR="00500724" w:rsidRDefault="00F30FB8">
      <w:pPr>
        <w:pStyle w:val="Zkladntext100"/>
        <w:shd w:val="clear" w:color="auto" w:fill="auto"/>
        <w:spacing w:after="120" w:line="182" w:lineRule="auto"/>
        <w:ind w:firstLine="260"/>
      </w:pPr>
      <w:r>
        <w:t>Ci iónské dláto nabízíš ke ztrátě urozeně dlící?“</w:t>
      </w:r>
    </w:p>
    <w:p w:rsidR="00500724" w:rsidRDefault="00F30FB8">
      <w:pPr>
        <w:pStyle w:val="Zkladntext20"/>
        <w:shd w:val="clear" w:color="auto" w:fill="auto"/>
        <w:spacing w:after="80" w:line="228" w:lineRule="auto"/>
        <w:ind w:firstLine="260"/>
        <w:rPr>
          <w:sz w:val="20"/>
          <w:szCs w:val="20"/>
        </w:rPr>
      </w:pPr>
      <w:r>
        <w:rPr>
          <w:b/>
          <w:bCs/>
          <w:sz w:val="20"/>
          <w:szCs w:val="20"/>
        </w:rPr>
        <w:t>Nebo:</w:t>
      </w:r>
    </w:p>
    <w:p w:rsidR="00500724" w:rsidRDefault="00F30FB8">
      <w:pPr>
        <w:pStyle w:val="Zkladntext100"/>
        <w:shd w:val="clear" w:color="auto" w:fill="auto"/>
        <w:spacing w:after="80" w:line="214" w:lineRule="auto"/>
        <w:ind w:firstLine="260"/>
      </w:pPr>
      <w:r>
        <w:t xml:space="preserve">„Před </w:t>
      </w:r>
      <w:r>
        <w:t>odstrčeným tušením, k nevymotání zbledlý."</w:t>
      </w:r>
    </w:p>
    <w:p w:rsidR="00500724" w:rsidRDefault="00F30FB8">
      <w:pPr>
        <w:pStyle w:val="Zkladntext20"/>
        <w:shd w:val="clear" w:color="auto" w:fill="auto"/>
        <w:spacing w:after="80" w:line="228" w:lineRule="auto"/>
        <w:ind w:firstLine="260"/>
        <w:rPr>
          <w:sz w:val="20"/>
          <w:szCs w:val="20"/>
        </w:rPr>
      </w:pPr>
      <w:r>
        <w:rPr>
          <w:sz w:val="20"/>
          <w:szCs w:val="20"/>
        </w:rPr>
        <w:t>Zbožnění slova a abstrakce:</w:t>
      </w:r>
    </w:p>
    <w:p w:rsidR="00500724" w:rsidRDefault="00F30FB8">
      <w:pPr>
        <w:pStyle w:val="Zkladntext100"/>
        <w:shd w:val="clear" w:color="auto" w:fill="auto"/>
        <w:spacing w:line="206" w:lineRule="auto"/>
        <w:ind w:left="240" w:firstLine="20"/>
      </w:pPr>
      <w:r>
        <w:t>„Mlčící jabloně!, slovo jablka ústa má by chtěla — k vám s lože sestupuji, přicházím</w:t>
      </w:r>
    </w:p>
    <w:p w:rsidR="00500724" w:rsidRDefault="00F30FB8">
      <w:pPr>
        <w:pStyle w:val="Zkladntext100"/>
        <w:shd w:val="clear" w:color="auto" w:fill="auto"/>
        <w:spacing w:after="80" w:line="206" w:lineRule="auto"/>
        <w:ind w:right="200" w:firstLine="0"/>
        <w:jc w:val="right"/>
      </w:pPr>
      <w:r>
        <w:t>*— ■— Apřeceo d.“</w:t>
      </w:r>
    </w:p>
    <w:p w:rsidR="00500724" w:rsidRDefault="00F30FB8">
      <w:pPr>
        <w:pStyle w:val="Zkladntext20"/>
        <w:shd w:val="clear" w:color="auto" w:fill="auto"/>
        <w:spacing w:after="120" w:line="214" w:lineRule="auto"/>
        <w:ind w:firstLine="260"/>
        <w:rPr>
          <w:sz w:val="20"/>
          <w:szCs w:val="20"/>
        </w:rPr>
      </w:pPr>
      <w:r>
        <w:rPr>
          <w:sz w:val="20"/>
          <w:szCs w:val="20"/>
        </w:rPr>
        <w:t>Jak vidět, vládnou tu velmi abstraktní choutky; mít chuť na slovo jablko zajisté n</w:t>
      </w:r>
      <w:r>
        <w:rPr>
          <w:sz w:val="20"/>
          <w:szCs w:val="20"/>
        </w:rPr>
        <w:t>ení tak banální jako mít zálusk na jablko. Ale i slovo samo je vznešenější, není-li slovem:</w:t>
      </w:r>
    </w:p>
    <w:p w:rsidR="00500724" w:rsidRDefault="00F30FB8">
      <w:pPr>
        <w:pStyle w:val="Zkladntext100"/>
        <w:shd w:val="clear" w:color="auto" w:fill="auto"/>
        <w:spacing w:after="160" w:line="209" w:lineRule="auto"/>
        <w:ind w:left="240" w:right="2400" w:firstLine="20"/>
        <w:jc w:val="left"/>
      </w:pPr>
      <w:r>
        <w:t>„Můj Bože, to je chvíle ta, kdy za nějakým jménem jdu, které se nejmenuje.“</w:t>
      </w:r>
    </w:p>
    <w:p w:rsidR="00500724" w:rsidRDefault="00F30FB8">
      <w:pPr>
        <w:pStyle w:val="Zkladntext20"/>
        <w:shd w:val="clear" w:color="auto" w:fill="auto"/>
        <w:spacing w:after="120" w:line="202" w:lineRule="auto"/>
        <w:ind w:firstLine="260"/>
        <w:rPr>
          <w:sz w:val="20"/>
          <w:szCs w:val="20"/>
        </w:rPr>
      </w:pPr>
      <w:r>
        <w:rPr>
          <w:sz w:val="20"/>
          <w:szCs w:val="20"/>
        </w:rPr>
        <w:t xml:space="preserve">Představivost Holana má gramatisující a linguis- </w:t>
      </w:r>
      <w:r>
        <w:rPr>
          <w:b/>
          <w:bCs/>
          <w:sz w:val="20"/>
          <w:szCs w:val="20"/>
        </w:rPr>
        <w:t>tický sklon:</w:t>
      </w:r>
    </w:p>
    <w:p w:rsidR="00500724" w:rsidRDefault="00F30FB8">
      <w:pPr>
        <w:pStyle w:val="Zkladntext100"/>
        <w:shd w:val="clear" w:color="auto" w:fill="auto"/>
        <w:spacing w:line="214" w:lineRule="auto"/>
        <w:ind w:firstLine="260"/>
      </w:pPr>
      <w:r>
        <w:t xml:space="preserve">„kde zaslíbení váhá v </w:t>
      </w:r>
      <w:r>
        <w:t>dativ u.“</w:t>
      </w:r>
    </w:p>
    <w:p w:rsidR="00500724" w:rsidRDefault="00F30FB8">
      <w:pPr>
        <w:pStyle w:val="Zkladntext100"/>
        <w:shd w:val="clear" w:color="auto" w:fill="auto"/>
        <w:spacing w:line="214" w:lineRule="auto"/>
        <w:ind w:left="240" w:right="1600" w:firstLine="20"/>
        <w:jc w:val="left"/>
      </w:pPr>
      <w:r>
        <w:t>„jen patř, jak váže a jen proto tryská a vrhá jasy v od anebo n a.“</w:t>
      </w:r>
    </w:p>
    <w:p w:rsidR="00500724" w:rsidRDefault="00F30FB8">
      <w:pPr>
        <w:pStyle w:val="Zkladntext100"/>
        <w:shd w:val="clear" w:color="auto" w:fill="auto"/>
        <w:spacing w:line="214" w:lineRule="auto"/>
        <w:ind w:firstLine="260"/>
      </w:pPr>
      <w:r>
        <w:t>„syntaxe tmy“</w:t>
      </w:r>
    </w:p>
    <w:p w:rsidR="00500724" w:rsidRDefault="00F30FB8">
      <w:pPr>
        <w:pStyle w:val="Zkladntext100"/>
        <w:shd w:val="clear" w:color="auto" w:fill="auto"/>
        <w:spacing w:line="214" w:lineRule="auto"/>
        <w:ind w:firstLine="260"/>
      </w:pPr>
      <w:r>
        <w:t>„Ale co ví přídavné jméno o minulém čase?</w:t>
      </w:r>
    </w:p>
    <w:p w:rsidR="00500724" w:rsidRDefault="00F30FB8">
      <w:pPr>
        <w:pStyle w:val="Zkladntext100"/>
        <w:shd w:val="clear" w:color="auto" w:fill="auto"/>
        <w:spacing w:line="214" w:lineRule="auto"/>
        <w:ind w:firstLine="260"/>
      </w:pPr>
      <w:r>
        <w:t>Jen to, že jsme je k němu připojili.“</w:t>
      </w:r>
    </w:p>
    <w:p w:rsidR="00500724" w:rsidRDefault="00F30FB8">
      <w:pPr>
        <w:pStyle w:val="Zkladntext100"/>
        <w:shd w:val="clear" w:color="auto" w:fill="auto"/>
        <w:spacing w:after="160" w:line="214" w:lineRule="auto"/>
        <w:ind w:left="240" w:right="1100" w:firstLine="20"/>
        <w:jc w:val="left"/>
      </w:pPr>
      <w:r>
        <w:t>„Co my však, kniho? . . . Havran klová sráz vykřičníků, jež tě vzněcují nejdelší noc</w:t>
      </w:r>
      <w:r>
        <w:t>í v roce slova, kde kopec kopcuje a věci věcují!“</w:t>
      </w:r>
    </w:p>
    <w:p w:rsidR="00500724" w:rsidRDefault="00F30FB8">
      <w:pPr>
        <w:pStyle w:val="Zkladntext20"/>
        <w:shd w:val="clear" w:color="auto" w:fill="auto"/>
        <w:spacing w:after="120" w:line="218" w:lineRule="auto"/>
        <w:ind w:firstLine="260"/>
        <w:rPr>
          <w:sz w:val="20"/>
          <w:szCs w:val="20"/>
        </w:rPr>
      </w:pPr>
      <w:r>
        <w:rPr>
          <w:sz w:val="20"/>
          <w:szCs w:val="20"/>
        </w:rPr>
        <w:t>Inspirace řemeslnou, ba i knihařskou a nakladatel</w:t>
      </w:r>
      <w:r>
        <w:rPr>
          <w:sz w:val="20"/>
          <w:szCs w:val="20"/>
        </w:rPr>
        <w:softHyphen/>
        <w:t>skou stránkou poesie, ať nedíme inspirace papírová, se prozrazuje v obraze tohoto druhu:</w:t>
      </w:r>
    </w:p>
    <w:p w:rsidR="00500724" w:rsidRDefault="00F30FB8">
      <w:pPr>
        <w:pStyle w:val="Zkladntext100"/>
        <w:shd w:val="clear" w:color="auto" w:fill="auto"/>
        <w:spacing w:line="206" w:lineRule="auto"/>
        <w:ind w:left="220" w:right="1780" w:firstLine="20"/>
        <w:jc w:val="left"/>
      </w:pPr>
      <w:r>
        <w:t>„a sova, v sobě listujíc očekávala stránku nového peří!“</w:t>
      </w:r>
    </w:p>
    <w:p w:rsidR="00500724" w:rsidRDefault="00F30FB8">
      <w:pPr>
        <w:pStyle w:val="Zkladntext100"/>
        <w:shd w:val="clear" w:color="auto" w:fill="auto"/>
        <w:spacing w:after="140" w:line="206" w:lineRule="auto"/>
        <w:ind w:left="220" w:right="1780" w:firstLine="20"/>
        <w:jc w:val="left"/>
      </w:pPr>
      <w:r>
        <w:t xml:space="preserve">„Vázaný </w:t>
      </w:r>
      <w:r>
        <w:t>život, smrt jen brožovaná“ a počte v její tiráži,“</w:t>
      </w:r>
    </w:p>
    <w:p w:rsidR="00500724" w:rsidRDefault="00F30FB8">
      <w:pPr>
        <w:pStyle w:val="Zkladntext20"/>
        <w:shd w:val="clear" w:color="auto" w:fill="auto"/>
        <w:spacing w:line="218" w:lineRule="auto"/>
        <w:rPr>
          <w:sz w:val="20"/>
          <w:szCs w:val="20"/>
        </w:rPr>
      </w:pPr>
      <w:r>
        <w:rPr>
          <w:sz w:val="20"/>
          <w:szCs w:val="20"/>
        </w:rPr>
        <w:t>Jak je tu daleko k prostým skutečnostem života! Ani milostné setkání nedovede rozlomit mříže tohoto abstraktního vězení. „Nerozuměl nikdy dost dobře rů- měnným otázkám: .Miloval ji?* .Zahořel k ní láskou?*</w:t>
      </w:r>
      <w:r>
        <w:rPr>
          <w:sz w:val="20"/>
          <w:szCs w:val="20"/>
        </w:rPr>
        <w:t xml:space="preserve"> . . . Miloval ji? Vždyť barva této blízkosti si žádá da</w:t>
      </w:r>
      <w:r>
        <w:rPr>
          <w:sz w:val="20"/>
          <w:szCs w:val="20"/>
        </w:rPr>
        <w:softHyphen/>
        <w:t>lekého plátna; jdeme k němu po celý život!“ Hle, jak tu zpívá milenka: „a mám tě milovat“ . . k tobě se vzda</w:t>
      </w:r>
      <w:r>
        <w:rPr>
          <w:sz w:val="20"/>
          <w:szCs w:val="20"/>
        </w:rPr>
        <w:softHyphen/>
        <w:t>luji“. A jinde: „Jsem jako zaklet při slově láska a mám vyjiti, kam, sotva vím, a odtud, n</w:t>
      </w:r>
      <w:r>
        <w:rPr>
          <w:sz w:val="20"/>
          <w:szCs w:val="20"/>
        </w:rPr>
        <w:t>ení zde.“ Nikde zde prudký nebo prostě přirozený cit nepotrhává sítinu básníkova odcizení světu, sítinu spředenou z pomyslů, z rafinovaných slovných vláken, slovných záchvěvů, slovných snění. Všechno je v předivu této poesie zinte- lektualisováno a zgramat</w:t>
      </w:r>
      <w:r>
        <w:rPr>
          <w:sz w:val="20"/>
          <w:szCs w:val="20"/>
        </w:rPr>
        <w:t>isováno.</w:t>
      </w:r>
    </w:p>
    <w:p w:rsidR="00500724" w:rsidRDefault="00F30FB8">
      <w:pPr>
        <w:pStyle w:val="Zkladntext20"/>
        <w:shd w:val="clear" w:color="auto" w:fill="auto"/>
        <w:spacing w:after="140" w:line="216" w:lineRule="auto"/>
        <w:rPr>
          <w:sz w:val="20"/>
          <w:szCs w:val="20"/>
        </w:rPr>
      </w:pPr>
      <w:r>
        <w:rPr>
          <w:sz w:val="20"/>
          <w:szCs w:val="20"/>
        </w:rPr>
        <w:t>Není věci dost prosté, aby se tu okamžitě nestala složitou. Jak se toho dosáhne? Tím, že se nic nepo</w:t>
      </w:r>
      <w:r>
        <w:rPr>
          <w:sz w:val="20"/>
          <w:szCs w:val="20"/>
        </w:rPr>
        <w:softHyphen/>
        <w:t>jmenuje vlastním jménem — jen vzdálenými náznaky, kroužením kolem věcí. Má-li se říci: když jsem četl tuto svou studii o sobě:</w:t>
      </w:r>
    </w:p>
    <w:p w:rsidR="00500724" w:rsidRDefault="00F30FB8">
      <w:pPr>
        <w:pStyle w:val="Zkladntext100"/>
        <w:shd w:val="clear" w:color="auto" w:fill="auto"/>
        <w:spacing w:after="140" w:line="209" w:lineRule="auto"/>
        <w:ind w:firstLine="240"/>
      </w:pPr>
      <w:r>
        <w:t>„Když jsem četl něk</w:t>
      </w:r>
      <w:r>
        <w:t xml:space="preserve">olika svým milým tuto studii o </w:t>
      </w:r>
      <w:r>
        <w:rPr>
          <w:sz w:val="20"/>
          <w:szCs w:val="20"/>
        </w:rPr>
        <w:t xml:space="preserve">Ge- </w:t>
      </w:r>
      <w:r>
        <w:t>mensovi, psanou jeho přítelem, přítelem mé paměti, touhy, bolesti a vlivů . .</w:t>
      </w:r>
    </w:p>
    <w:p w:rsidR="00500724" w:rsidRDefault="00F30FB8">
      <w:pPr>
        <w:pStyle w:val="Zkladntext20"/>
        <w:shd w:val="clear" w:color="auto" w:fill="auto"/>
        <w:spacing w:after="100" w:line="216" w:lineRule="auto"/>
        <w:rPr>
          <w:sz w:val="20"/>
          <w:szCs w:val="20"/>
        </w:rPr>
      </w:pPr>
      <w:r>
        <w:rPr>
          <w:sz w:val="20"/>
          <w:szCs w:val="20"/>
        </w:rPr>
        <w:t>Už pouhá samozřejmost bytí je ťu problematická: „My ale v mezivěčnu předstíráme / jak zcela být, když skoro nevíme a téměř jsme.“ Žije se tu kd</w:t>
      </w:r>
      <w:r>
        <w:rPr>
          <w:sz w:val="20"/>
          <w:szCs w:val="20"/>
        </w:rPr>
        <w:t>esi na pře</w:t>
      </w:r>
      <w:r>
        <w:rPr>
          <w:sz w:val="20"/>
          <w:szCs w:val="20"/>
        </w:rPr>
        <w:softHyphen/>
        <w:t>dělu existence, v prchavosti okamžiku, „u pramene bytí,- tedy u odlučování a mizení.“ Věci jsou zde po</w:t>
      </w:r>
      <w:r>
        <w:rPr>
          <w:sz w:val="20"/>
          <w:szCs w:val="20"/>
        </w:rPr>
        <w:softHyphen/>
        <w:t>stihovány jen ve chvíli, kdy se vzdalují- kdy přestávají být, anebo když se stávají, nez ještě jsou. „Nemilu</w:t>
      </w:r>
      <w:r>
        <w:rPr>
          <w:sz w:val="20"/>
          <w:szCs w:val="20"/>
        </w:rPr>
        <w:softHyphen/>
        <w:t>jeme dost, nemilujíce příliš háda</w:t>
      </w:r>
      <w:r>
        <w:rPr>
          <w:sz w:val="20"/>
          <w:szCs w:val="20"/>
        </w:rPr>
        <w:t>nku mizení.“ Přiroze</w:t>
      </w:r>
      <w:r>
        <w:rPr>
          <w:sz w:val="20"/>
          <w:szCs w:val="20"/>
        </w:rPr>
        <w:softHyphen/>
        <w:t>ným klimatem této poesie je polospánek, ono rozmezí spánku a procitnutí, kdy sny už nemají svou ilusivní přesvědčivost a skutečnost bdění je ještě nepravdě</w:t>
      </w:r>
      <w:r>
        <w:rPr>
          <w:sz w:val="20"/>
          <w:szCs w:val="20"/>
        </w:rPr>
        <w:softHyphen/>
        <w:t xml:space="preserve">podobná. Tu potom ovšem z tohoto hraničného bodu, se všechno jeví zároveň svým </w:t>
      </w:r>
      <w:r>
        <w:rPr>
          <w:sz w:val="20"/>
          <w:szCs w:val="20"/>
        </w:rPr>
        <w:t>opakem:</w:t>
      </w:r>
    </w:p>
    <w:p w:rsidR="00500724" w:rsidRDefault="00F30FB8">
      <w:pPr>
        <w:pStyle w:val="Zkladntext100"/>
        <w:shd w:val="clear" w:color="auto" w:fill="auto"/>
        <w:spacing w:line="218" w:lineRule="auto"/>
        <w:ind w:firstLine="240"/>
      </w:pPr>
      <w:r>
        <w:t>„Rozdílný, týž, zním přechodem.“</w:t>
      </w:r>
    </w:p>
    <w:p w:rsidR="00500724" w:rsidRDefault="00F30FB8">
      <w:pPr>
        <w:pStyle w:val="Zkladntext100"/>
        <w:shd w:val="clear" w:color="auto" w:fill="auto"/>
        <w:spacing w:after="140" w:line="218" w:lineRule="auto"/>
        <w:ind w:left="3960" w:hanging="3720"/>
        <w:jc w:val="left"/>
      </w:pPr>
      <w:r>
        <w:t>„Pane, má tázání! Ale jsem velmi sám, a sotva rozlišuji jas a stín.“</w:t>
      </w:r>
    </w:p>
    <w:p w:rsidR="00500724" w:rsidRDefault="00F30FB8">
      <w:pPr>
        <w:pStyle w:val="Zkladntext20"/>
        <w:shd w:val="clear" w:color="auto" w:fill="auto"/>
        <w:tabs>
          <w:tab w:val="left" w:leader="hyphen" w:pos="2770"/>
        </w:tabs>
        <w:spacing w:line="216" w:lineRule="auto"/>
        <w:rPr>
          <w:sz w:val="20"/>
          <w:szCs w:val="20"/>
        </w:rPr>
      </w:pPr>
      <w:r>
        <w:rPr>
          <w:sz w:val="20"/>
          <w:szCs w:val="20"/>
        </w:rPr>
        <w:t>Odtud nejen nerozhodnost intelektu, ale i vůle: „Když — rozhodnut — jsem náhle varován.“ „Ne, ne, nevchá</w:t>
      </w:r>
      <w:r>
        <w:rPr>
          <w:sz w:val="20"/>
          <w:szCs w:val="20"/>
        </w:rPr>
        <w:softHyphen/>
        <w:t>zej v mou duši! A přece</w:t>
      </w:r>
      <w:r>
        <w:rPr>
          <w:sz w:val="20"/>
          <w:szCs w:val="20"/>
        </w:rPr>
        <w:tab/>
        <w:t xml:space="preserve">zvu tě!“ Znovu a </w:t>
      </w:r>
      <w:r>
        <w:rPr>
          <w:sz w:val="20"/>
          <w:szCs w:val="20"/>
        </w:rPr>
        <w:t>znovu</w:t>
      </w:r>
    </w:p>
    <w:p w:rsidR="00500724" w:rsidRDefault="00F30FB8">
      <w:pPr>
        <w:pStyle w:val="Zkladntext20"/>
        <w:shd w:val="clear" w:color="auto" w:fill="auto"/>
        <w:spacing w:after="140" w:line="216" w:lineRule="auto"/>
        <w:ind w:firstLine="0"/>
        <w:rPr>
          <w:sz w:val="20"/>
          <w:szCs w:val="20"/>
        </w:rPr>
      </w:pPr>
      <w:r>
        <w:rPr>
          <w:sz w:val="20"/>
          <w:szCs w:val="20"/>
        </w:rPr>
        <w:t>se opakují plachá gesta váhání a kolísání. Tento svět je bez perspektivy; je rozložen na obvodu básníkovy samoty, jejíž střed je stále jinde. Ke všemu je tu stejně daleko — k lásce jako ke smrti, k milence jako k Bohu.</w:t>
      </w:r>
    </w:p>
    <w:p w:rsidR="00500724" w:rsidRDefault="00F30FB8">
      <w:pPr>
        <w:pStyle w:val="Zkladntext100"/>
        <w:shd w:val="clear" w:color="auto" w:fill="auto"/>
        <w:spacing w:after="140" w:line="194" w:lineRule="auto"/>
        <w:ind w:firstLine="240"/>
      </w:pPr>
      <w:r>
        <w:t xml:space="preserve">„. . . často mé údivy nad ryzí </w:t>
      </w:r>
      <w:r>
        <w:t>dokonalostí každého, byť sebemenšího květu na světě — krůtě přitakávaly, že mohu svalití před konec své věty mramorový balvan a dáti se jinou cestou. Nesl jsem na zádech zrcadlo a smrt si před ním upra</w:t>
      </w:r>
      <w:r>
        <w:softHyphen/>
        <w:t>vovala tvář. Byl jsem tak stísněn a tak oproštěn všeho</w:t>
      </w:r>
      <w:r>
        <w:t>, že mi odpovídala jedině představa jakéhosi území bodu. Obraty, jež jsem činil, mohly býti přeludem a byly snad skutečné.“</w:t>
      </w:r>
    </w:p>
    <w:p w:rsidR="00500724" w:rsidRDefault="00F30FB8">
      <w:pPr>
        <w:pStyle w:val="Zkladntext20"/>
        <w:shd w:val="clear" w:color="auto" w:fill="auto"/>
        <w:spacing w:after="140" w:line="218" w:lineRule="auto"/>
        <w:rPr>
          <w:sz w:val="20"/>
          <w:szCs w:val="20"/>
        </w:rPr>
        <w:sectPr w:rsidR="00500724">
          <w:footnotePr>
            <w:numFmt w:val="chicago"/>
            <w:numRestart w:val="eachPage"/>
          </w:footnotePr>
          <w:type w:val="continuous"/>
          <w:pgSz w:w="11909" w:h="16834"/>
          <w:pgMar w:top="701" w:right="802" w:bottom="1104" w:left="691" w:header="0" w:footer="3" w:gutter="0"/>
          <w:cols w:num="2" w:space="177"/>
          <w:noEndnote/>
          <w:docGrid w:linePitch="360"/>
        </w:sectPr>
      </w:pPr>
      <w:r>
        <w:rPr>
          <w:sz w:val="20"/>
          <w:szCs w:val="20"/>
        </w:rPr>
        <w:t>S touto těkavostí souvisí i neschopnost pojmout něco jako celek a udělat celek i z básně. „. . . a vče</w:t>
      </w:r>
      <w:r>
        <w:rPr>
          <w:sz w:val="20"/>
          <w:szCs w:val="20"/>
        </w:rPr>
        <w:t>ly vašich hlasů v růžích slov / sbírají sladkost mého motivu — / nic víc než motivu! Neb já při tmavším namáhání zdiv / znám pouze kámen všeho, / postavu citu od</w:t>
      </w:r>
      <w:r>
        <w:rPr>
          <w:sz w:val="20"/>
          <w:szCs w:val="20"/>
        </w:rPr>
        <w:softHyphen/>
        <w:t>radiv / tmou v klenbě srdce svého.“ Všechno tu je jen motiv vedle motivu a detail vedle detail</w:t>
      </w:r>
      <w:r>
        <w:rPr>
          <w:sz w:val="20"/>
          <w:szCs w:val="20"/>
        </w:rPr>
        <w:t>u. Z detailu se stává samostatný celek: z detailu citu nový neznámý</w:t>
      </w:r>
    </w:p>
    <w:p w:rsidR="00500724" w:rsidRDefault="00F30FB8">
      <w:pPr>
        <w:pStyle w:val="Jin0"/>
        <w:pBdr>
          <w:bottom w:val="single" w:sz="4" w:space="0" w:color="auto"/>
        </w:pBdr>
        <w:shd w:val="clear" w:color="auto" w:fill="auto"/>
        <w:ind w:firstLine="0"/>
        <w:jc w:val="center"/>
        <w:rPr>
          <w:sz w:val="36"/>
          <w:szCs w:val="36"/>
        </w:rPr>
        <w:sectPr w:rsidR="00500724">
          <w:footnotePr>
            <w:numFmt w:val="chicago"/>
            <w:numRestart w:val="eachPage"/>
          </w:footnotePr>
          <w:pgSz w:w="11909" w:h="16834"/>
          <w:pgMar w:top="994" w:right="1056" w:bottom="943" w:left="408" w:header="0" w:footer="3" w:gutter="0"/>
          <w:cols w:space="720"/>
          <w:noEndnote/>
          <w:docGrid w:linePitch="360"/>
        </w:sectPr>
      </w:pPr>
      <w:r>
        <w:rPr>
          <w:rFonts w:ascii="Arial" w:eastAsia="Arial" w:hAnsi="Arial" w:cs="Arial"/>
          <w:sz w:val="36"/>
          <w:szCs w:val="36"/>
        </w:rPr>
        <w:t>rhTonrno«t&gt;</w:t>
      </w:r>
    </w:p>
    <w:p w:rsidR="00500724" w:rsidRDefault="00500724">
      <w:pPr>
        <w:spacing w:line="114" w:lineRule="exact"/>
        <w:rPr>
          <w:sz w:val="9"/>
          <w:szCs w:val="9"/>
        </w:rPr>
      </w:pPr>
    </w:p>
    <w:p w:rsidR="00500724" w:rsidRDefault="00500724">
      <w:pPr>
        <w:spacing w:line="14" w:lineRule="exact"/>
        <w:sectPr w:rsidR="00500724">
          <w:footnotePr>
            <w:numFmt w:val="chicago"/>
            <w:numRestart w:val="eachPage"/>
          </w:footnotePr>
          <w:type w:val="continuous"/>
          <w:pgSz w:w="11909" w:h="16834"/>
          <w:pgMar w:top="1144" w:right="0" w:bottom="994" w:left="0" w:header="0" w:footer="3" w:gutter="0"/>
          <w:cols w:space="720"/>
          <w:noEndnote/>
          <w:docGrid w:linePitch="360"/>
        </w:sectPr>
      </w:pPr>
    </w:p>
    <w:p w:rsidR="00500724" w:rsidRDefault="00F30FB8">
      <w:pPr>
        <w:pStyle w:val="Zkladntext20"/>
        <w:shd w:val="clear" w:color="auto" w:fill="auto"/>
        <w:spacing w:line="218" w:lineRule="auto"/>
        <w:ind w:firstLine="0"/>
        <w:rPr>
          <w:sz w:val="20"/>
          <w:szCs w:val="20"/>
        </w:rPr>
      </w:pPr>
      <w:r>
        <w:rPr>
          <w:sz w:val="20"/>
          <w:szCs w:val="20"/>
        </w:rPr>
        <w:t>cit, z detailu obrazu nový obraz, i Bůh tu je přijímán jen jako detail Boha. A tak i báseň zůstává jen vý</w:t>
      </w:r>
      <w:r>
        <w:rPr>
          <w:sz w:val="20"/>
          <w:szCs w:val="20"/>
        </w:rPr>
        <w:softHyphen/>
        <w:t xml:space="preserve">sekem, </w:t>
      </w:r>
      <w:r>
        <w:rPr>
          <w:sz w:val="20"/>
          <w:szCs w:val="20"/>
        </w:rPr>
        <w:t>reflexem, nuancí a stínem; je to hrst veršů, ornamentů a inkrustací, je to část mosaiky, jejíž třpyt</w:t>
      </w:r>
      <w:r>
        <w:rPr>
          <w:sz w:val="20"/>
          <w:szCs w:val="20"/>
        </w:rPr>
        <w:softHyphen/>
        <w:t>né kameny zachycují pohled, úsměv, přísvit, ale ne</w:t>
      </w:r>
      <w:r>
        <w:rPr>
          <w:sz w:val="20"/>
          <w:szCs w:val="20"/>
        </w:rPr>
        <w:softHyphen/>
        <w:t>skládají obraz.</w:t>
      </w:r>
    </w:p>
    <w:p w:rsidR="00500724" w:rsidRDefault="00F30FB8">
      <w:pPr>
        <w:pStyle w:val="Zkladntext20"/>
        <w:shd w:val="clear" w:color="auto" w:fill="auto"/>
        <w:spacing w:after="80" w:line="218" w:lineRule="auto"/>
        <w:ind w:firstLine="0"/>
        <w:jc w:val="center"/>
        <w:rPr>
          <w:sz w:val="20"/>
          <w:szCs w:val="20"/>
        </w:rPr>
      </w:pPr>
      <w:r>
        <w:rPr>
          <w:sz w:val="20"/>
          <w:szCs w:val="20"/>
        </w:rPr>
        <w:t>•</w:t>
      </w:r>
    </w:p>
    <w:p w:rsidR="00500724" w:rsidRDefault="00F30FB8">
      <w:pPr>
        <w:pStyle w:val="Zkladntext20"/>
        <w:shd w:val="clear" w:color="auto" w:fill="auto"/>
        <w:spacing w:line="218" w:lineRule="auto"/>
        <w:rPr>
          <w:sz w:val="20"/>
          <w:szCs w:val="20"/>
        </w:rPr>
      </w:pPr>
      <w:r>
        <w:rPr>
          <w:sz w:val="20"/>
          <w:szCs w:val="20"/>
        </w:rPr>
        <w:t>I když jsme kdysi milovali tento druh poesie, je nám dnes ku podivu cizí. Studí nás je</w:t>
      </w:r>
      <w:r>
        <w:rPr>
          <w:sz w:val="20"/>
          <w:szCs w:val="20"/>
        </w:rPr>
        <w:t>jí abstraktní svrchova</w:t>
      </w:r>
      <w:r>
        <w:rPr>
          <w:sz w:val="20"/>
          <w:szCs w:val="20"/>
        </w:rPr>
        <w:softHyphen/>
        <w:t>nost a svrchovaná abstraktnost, postrádáme v ní lidství. Shlédla se v umělosti formy, jíž obětuje pravdivost. Mi</w:t>
      </w:r>
      <w:r>
        <w:rPr>
          <w:sz w:val="20"/>
          <w:szCs w:val="20"/>
        </w:rPr>
        <w:softHyphen/>
        <w:t>luje příliš zdobnou lež a rafinovanost předstírání. Je pří</w:t>
      </w:r>
      <w:r>
        <w:rPr>
          <w:sz w:val="20"/>
          <w:szCs w:val="20"/>
        </w:rPr>
        <w:softHyphen/>
        <w:t>liš chtěně pyšná na svou nesrozumitelnost, jejím ideálem je m</w:t>
      </w:r>
      <w:r>
        <w:rPr>
          <w:sz w:val="20"/>
          <w:szCs w:val="20"/>
        </w:rPr>
        <w:t>lčení, stejně vznešené jako záhadné. Ba, je to často víc poesie o poesii, řekněme lyrická poetika, než poesie holá a ryzí.</w:t>
      </w:r>
    </w:p>
    <w:p w:rsidR="00500724" w:rsidRDefault="00F30FB8">
      <w:pPr>
        <w:pStyle w:val="Zkladntext20"/>
        <w:shd w:val="clear" w:color="auto" w:fill="auto"/>
        <w:spacing w:after="380" w:line="218" w:lineRule="auto"/>
        <w:rPr>
          <w:sz w:val="20"/>
          <w:szCs w:val="20"/>
        </w:rPr>
      </w:pPr>
      <w:r>
        <w:rPr>
          <w:sz w:val="20"/>
          <w:szCs w:val="20"/>
        </w:rPr>
        <w:t>Tak zde máme básníka v chemicky čistém stavu; básníka absolutního, který se zřekl každé jiné cti</w:t>
      </w:r>
      <w:r>
        <w:rPr>
          <w:sz w:val="20"/>
          <w:szCs w:val="20"/>
        </w:rPr>
        <w:softHyphen/>
        <w:t xml:space="preserve">žádosti než snít. Sní ze smutku své </w:t>
      </w:r>
      <w:r>
        <w:rPr>
          <w:sz w:val="20"/>
          <w:szCs w:val="20"/>
        </w:rPr>
        <w:t>samoty, ze sebe a sobě. Vzdal se především posluchačů — ale kdo by mu také mohl rozumět lépe než on sám? Jeho slovo je odpoutáno od vší sdělovací funkce, jeho básně se podobají formulím mága, pronášeným do prázdna. Jako jim chybí poměr k posluchačům, chybí</w:t>
      </w:r>
      <w:r>
        <w:rPr>
          <w:sz w:val="20"/>
          <w:szCs w:val="20"/>
        </w:rPr>
        <w:t xml:space="preserve"> jim i poměr ke skutečnosti. Básník je sám, „velmi sám", zajatec na ostrově pomyslů, idejí, stínů a slov. Lovec citů nuancovaných až k neskutečnosti, vykružuje je až k pre</w:t>
      </w:r>
      <w:r>
        <w:rPr>
          <w:sz w:val="20"/>
          <w:szCs w:val="20"/>
        </w:rPr>
        <w:softHyphen/>
        <w:t>ciositě, sběratel křehkostí, ještě je destiluje, milenec slov, jde až k jejich znási</w:t>
      </w:r>
      <w:r>
        <w:rPr>
          <w:sz w:val="20"/>
          <w:szCs w:val="20"/>
        </w:rPr>
        <w:t>lňování, zhýčkaný chlapec, zakládá si na své dificilnosti, hermetický střežitel ta</w:t>
      </w:r>
      <w:r>
        <w:rPr>
          <w:sz w:val="20"/>
          <w:szCs w:val="20"/>
        </w:rPr>
        <w:softHyphen/>
        <w:t>jemství, spokojuje se často tajemstvím prázdného po</w:t>
      </w:r>
      <w:r>
        <w:rPr>
          <w:sz w:val="20"/>
          <w:szCs w:val="20"/>
        </w:rPr>
        <w:softHyphen/>
        <w:t>koje zavřeného na sedm zámků.</w:t>
      </w:r>
    </w:p>
    <w:p w:rsidR="00500724" w:rsidRDefault="00F30FB8">
      <w:pPr>
        <w:pStyle w:val="Zkladntext20"/>
        <w:shd w:val="clear" w:color="auto" w:fill="auto"/>
        <w:spacing w:line="216" w:lineRule="auto"/>
        <w:rPr>
          <w:sz w:val="20"/>
          <w:szCs w:val="20"/>
        </w:rPr>
      </w:pPr>
      <w:r>
        <w:rPr>
          <w:sz w:val="20"/>
          <w:szCs w:val="20"/>
        </w:rPr>
        <w:t>A tohoto básníka, tak křehkého, tak osamělého, tak odtažitého a tak těkavého, zasahují udál</w:t>
      </w:r>
      <w:r>
        <w:rPr>
          <w:sz w:val="20"/>
          <w:szCs w:val="20"/>
        </w:rPr>
        <w:t>osti minulého roku. Vyrůstá z toho především knížka „Září 1938“, podivuhodně odlišná od všech předcházejících. Co zde nejdříve bije do očí, je její skladebný řád. Zatím co dřívější sbírky se rozpadávaly v lyrickou tříšť, je stme</w:t>
      </w:r>
      <w:r>
        <w:rPr>
          <w:sz w:val="20"/>
          <w:szCs w:val="20"/>
        </w:rPr>
        <w:softHyphen/>
        <w:t xml:space="preserve">lena jednotícím dechem, má </w:t>
      </w:r>
      <w:r>
        <w:rPr>
          <w:sz w:val="20"/>
          <w:szCs w:val="20"/>
        </w:rPr>
        <w:t>hutnost a spádnost až epickou. Členěna v devět zpěvů, klene se v jednotnou architekturu. Už její forma, sestručnění a oproštění výrazu, deklamační tón naznačují proměnu, která se udála s básníkem. Narcis odhodil zrcadlo a dívá se kolem sebe. Ten, který vče</w:t>
      </w:r>
      <w:r>
        <w:rPr>
          <w:sz w:val="20"/>
          <w:szCs w:val="20"/>
        </w:rPr>
        <w:t>ra nerozeznával jas a stín, pozoruje a soudí. Stenal-li včera, hlas jeho bolesti dnes mužní, a je to hlas v chóru.</w:t>
      </w:r>
    </w:p>
    <w:p w:rsidR="00500724" w:rsidRDefault="00F30FB8">
      <w:pPr>
        <w:pStyle w:val="Zkladntext20"/>
        <w:shd w:val="clear" w:color="auto" w:fill="auto"/>
        <w:spacing w:line="216" w:lineRule="auto"/>
        <w:rPr>
          <w:sz w:val="20"/>
          <w:szCs w:val="20"/>
        </w:rPr>
      </w:pPr>
      <w:r>
        <w:rPr>
          <w:sz w:val="20"/>
          <w:szCs w:val="20"/>
        </w:rPr>
        <w:t>Zúzkostňuje hromadnou úzkostí v „Pochybnostech“, zvučí hromadným odhodláním v „Mobilisaci“ a v „Noci z Iliady“.</w:t>
      </w:r>
    </w:p>
    <w:p w:rsidR="00500724" w:rsidRDefault="00F30FB8">
      <w:pPr>
        <w:pStyle w:val="Zkladntext20"/>
        <w:shd w:val="clear" w:color="auto" w:fill="auto"/>
        <w:spacing w:line="216" w:lineRule="auto"/>
        <w:rPr>
          <w:sz w:val="20"/>
          <w:szCs w:val="20"/>
        </w:rPr>
      </w:pPr>
      <w:r>
        <w:rPr>
          <w:sz w:val="20"/>
          <w:szCs w:val="20"/>
        </w:rPr>
        <w:t>Další dvě knížky se nesou ste</w:t>
      </w:r>
      <w:r>
        <w:rPr>
          <w:sz w:val="20"/>
          <w:szCs w:val="20"/>
        </w:rPr>
        <w:t>jným tónem: znamení, že obrat je trvalý. Básník, „který býval bez bratří“, klade si teď otázku, „čím pohromy jsou bez básníka a ten bez poustevničení“ a nalézá své místo po boku nuzných, potupených a ohrožených. V různých obmě</w:t>
      </w:r>
      <w:r>
        <w:rPr>
          <w:sz w:val="20"/>
          <w:szCs w:val="20"/>
        </w:rPr>
        <w:softHyphen/>
        <w:t xml:space="preserve">nách se opakuje výraz vědomí </w:t>
      </w:r>
      <w:r>
        <w:rPr>
          <w:sz w:val="20"/>
          <w:szCs w:val="20"/>
        </w:rPr>
        <w:t>sounáležitosti k celku: „Hlas jediný u přijímačů bratrství sepjal ohrožené.“ „Ale to už jsem nebyl sám“. „Co je to řád, není-li vno</w:t>
      </w:r>
      <w:r>
        <w:rPr>
          <w:sz w:val="20"/>
          <w:szCs w:val="20"/>
        </w:rPr>
        <w:softHyphen/>
        <w:t xml:space="preserve">řen do hlubin solidarity?“ „. . . kde umřela má samota. Neb před zrakem, co míjí, to je už bratrství a jeho rod.“ „Sympatie </w:t>
      </w:r>
      <w:r>
        <w:rPr>
          <w:sz w:val="20"/>
          <w:szCs w:val="20"/>
        </w:rPr>
        <w:t>snad neustává. Leč bratrství, to t r v á, věz!“</w:t>
      </w:r>
    </w:p>
    <w:p w:rsidR="00500724" w:rsidRDefault="00F30FB8">
      <w:pPr>
        <w:pStyle w:val="Zkladntext20"/>
        <w:shd w:val="clear" w:color="auto" w:fill="auto"/>
        <w:spacing w:after="160" w:line="223" w:lineRule="auto"/>
        <w:rPr>
          <w:sz w:val="20"/>
          <w:szCs w:val="20"/>
        </w:rPr>
      </w:pPr>
      <w:r>
        <w:rPr>
          <w:sz w:val="20"/>
          <w:szCs w:val="20"/>
        </w:rPr>
        <w:t xml:space="preserve">Naleznuv společenství, nachází zároveň skutečnost </w:t>
      </w:r>
      <w:r>
        <w:rPr>
          <w:b/>
          <w:bCs/>
          <w:sz w:val="20"/>
          <w:szCs w:val="20"/>
        </w:rPr>
        <w:t xml:space="preserve">i </w:t>
      </w:r>
      <w:r>
        <w:rPr>
          <w:sz w:val="20"/>
          <w:szCs w:val="20"/>
        </w:rPr>
        <w:t xml:space="preserve">posluchače. Otvírá oči a vidí. A jeho slovo klesá ze své absolutnosti a stává se štětcem jeho názoru a sdělností jeho myšlenky. Nikdy dříve se mu nepodařil </w:t>
      </w:r>
      <w:r>
        <w:rPr>
          <w:sz w:val="20"/>
          <w:szCs w:val="20"/>
        </w:rPr>
        <w:t>takovýto obraz (ovšem že se o to ani nesnažil), až rembrandtovský ve svém spojení reality a přízračnosti; překvapuje nás stejně novostí svého vidění, jako vý</w:t>
      </w:r>
      <w:r>
        <w:rPr>
          <w:sz w:val="20"/>
          <w:szCs w:val="20"/>
        </w:rPr>
        <w:softHyphen/>
        <w:t>raznou prostotou výrazu, který se nasytil konkrétnem:</w:t>
      </w:r>
    </w:p>
    <w:p w:rsidR="00500724" w:rsidRDefault="00F30FB8">
      <w:pPr>
        <w:pStyle w:val="Zkladntext100"/>
        <w:shd w:val="clear" w:color="auto" w:fill="auto"/>
        <w:spacing w:after="100" w:line="194" w:lineRule="auto"/>
        <w:ind w:left="200" w:right="1400" w:firstLine="40"/>
        <w:jc w:val="left"/>
      </w:pPr>
      <w:r>
        <w:t>„Katakombicky stmívalo se . . . kudličkou te</w:t>
      </w:r>
      <w:r>
        <w:t>pu vydlabán obličej dětí, prchlých bose z hran severu do pražských bran, žas ústy, jež jsou od dob pádu potravní čarou hladu, hladu, jenž nutí věčnost měnit plán.</w:t>
      </w:r>
    </w:p>
    <w:p w:rsidR="00500724" w:rsidRDefault="00F30FB8">
      <w:pPr>
        <w:pStyle w:val="Zkladntext100"/>
        <w:shd w:val="clear" w:color="auto" w:fill="auto"/>
        <w:spacing w:line="194" w:lineRule="auto"/>
        <w:ind w:left="200" w:right="1400" w:firstLine="40"/>
        <w:jc w:val="left"/>
      </w:pPr>
      <w:r>
        <w:t>Z těch dětí jedno zašívalo punčochu, ale šilo vzduch, jak na preclík se šťastně smálo.</w:t>
      </w:r>
    </w:p>
    <w:p w:rsidR="00500724" w:rsidRDefault="00F30FB8">
      <w:pPr>
        <w:pStyle w:val="Zkladntext100"/>
        <w:shd w:val="clear" w:color="auto" w:fill="auto"/>
        <w:spacing w:line="194" w:lineRule="auto"/>
        <w:ind w:left="200" w:right="1400" w:firstLine="40"/>
        <w:jc w:val="left"/>
      </w:pPr>
      <w:r>
        <w:t>Opodál</w:t>
      </w:r>
      <w:r>
        <w:t xml:space="preserve"> stíral starší druh s rtů proužek krve včera stydlý . . ,</w:t>
      </w:r>
    </w:p>
    <w:p w:rsidR="00500724" w:rsidRDefault="00F30FB8">
      <w:pPr>
        <w:pStyle w:val="Zkladntext100"/>
        <w:shd w:val="clear" w:color="auto" w:fill="auto"/>
        <w:spacing w:after="100" w:line="194" w:lineRule="auto"/>
        <w:ind w:left="200" w:right="1400" w:firstLine="40"/>
        <w:jc w:val="left"/>
      </w:pPr>
      <w:r>
        <w:t>Lucerna v strachu před strašidly svěcenou křídou črtla kruh.“</w:t>
      </w:r>
    </w:p>
    <w:p w:rsidR="00500724" w:rsidRDefault="00F30FB8">
      <w:pPr>
        <w:pStyle w:val="Zkladntext20"/>
        <w:shd w:val="clear" w:color="auto" w:fill="auto"/>
        <w:spacing w:after="100" w:line="218" w:lineRule="auto"/>
        <w:rPr>
          <w:sz w:val="20"/>
          <w:szCs w:val="20"/>
        </w:rPr>
      </w:pPr>
      <w:r>
        <w:rPr>
          <w:sz w:val="20"/>
          <w:szCs w:val="20"/>
        </w:rPr>
        <w:t>A mohli bychom snést řadu takových obrazů, tu šir</w:t>
      </w:r>
      <w:r>
        <w:rPr>
          <w:sz w:val="20"/>
          <w:szCs w:val="20"/>
        </w:rPr>
        <w:softHyphen/>
        <w:t>ších, tu sevřenějších, ale vždy monumentálních, i v la- pidárnosti dvou veršů a ve vtí</w:t>
      </w:r>
      <w:r>
        <w:rPr>
          <w:sz w:val="20"/>
          <w:szCs w:val="20"/>
        </w:rPr>
        <w:t>ravé zhuštěnosti refrénu:</w:t>
      </w:r>
    </w:p>
    <w:p w:rsidR="00500724" w:rsidRDefault="00F30FB8">
      <w:pPr>
        <w:pStyle w:val="Zkladntext100"/>
        <w:shd w:val="clear" w:color="auto" w:fill="auto"/>
        <w:spacing w:line="192" w:lineRule="auto"/>
        <w:ind w:left="200" w:right="1400" w:firstLine="40"/>
        <w:jc w:val="left"/>
      </w:pPr>
      <w:r>
        <w:t>„a přes zem nanošenou králi duněly chmurné kamiony.“</w:t>
      </w:r>
    </w:p>
    <w:p w:rsidR="00500724" w:rsidRDefault="00F30FB8">
      <w:pPr>
        <w:pStyle w:val="Zkladntext100"/>
        <w:shd w:val="clear" w:color="auto" w:fill="auto"/>
        <w:spacing w:after="100" w:line="192" w:lineRule="auto"/>
        <w:ind w:left="200" w:right="1400" w:firstLine="40"/>
        <w:jc w:val="left"/>
      </w:pPr>
      <w:r>
        <w:t>„Do vlasti z vlasti emigrují a zpátky zase, zpátky zase.“</w:t>
      </w:r>
    </w:p>
    <w:p w:rsidR="00500724" w:rsidRDefault="00F30FB8">
      <w:pPr>
        <w:pStyle w:val="Zkladntext20"/>
        <w:shd w:val="clear" w:color="auto" w:fill="auto"/>
        <w:spacing w:after="100" w:line="218" w:lineRule="auto"/>
        <w:jc w:val="left"/>
        <w:rPr>
          <w:sz w:val="20"/>
          <w:szCs w:val="20"/>
        </w:rPr>
      </w:pPr>
      <w:r>
        <w:rPr>
          <w:sz w:val="20"/>
          <w:szCs w:val="20"/>
        </w:rPr>
        <w:t>Nebo tento výsek z válečných hrůz:</w:t>
      </w:r>
    </w:p>
    <w:p w:rsidR="00500724" w:rsidRDefault="00F30FB8">
      <w:pPr>
        <w:pStyle w:val="Zkladntext100"/>
        <w:shd w:val="clear" w:color="auto" w:fill="auto"/>
        <w:spacing w:after="100" w:line="194" w:lineRule="auto"/>
        <w:ind w:left="200" w:right="1400" w:firstLine="40"/>
        <w:jc w:val="left"/>
      </w:pPr>
      <w:r>
        <w:t xml:space="preserve">„Zřel jsem však dům, dům s reklamami, jenž, trhaje se ve dva šrámy rozsápal břicho </w:t>
      </w:r>
      <w:r>
        <w:t>Mae West.“</w:t>
      </w:r>
    </w:p>
    <w:p w:rsidR="00500724" w:rsidRDefault="00F30FB8">
      <w:pPr>
        <w:pStyle w:val="Zkladntext20"/>
        <w:shd w:val="clear" w:color="auto" w:fill="auto"/>
        <w:spacing w:after="100" w:line="216" w:lineRule="auto"/>
        <w:rPr>
          <w:sz w:val="20"/>
          <w:szCs w:val="20"/>
        </w:rPr>
      </w:pPr>
      <w:r>
        <w:rPr>
          <w:sz w:val="20"/>
          <w:szCs w:val="20"/>
        </w:rPr>
        <w:t>A zase doklad nebývalé naivnosti vidění a průzrač</w:t>
      </w:r>
      <w:r>
        <w:rPr>
          <w:sz w:val="20"/>
          <w:szCs w:val="20"/>
        </w:rPr>
        <w:softHyphen/>
        <w:t>nosti výrazu ve strofě, jíž vrcholí zpěv „Před náletem":</w:t>
      </w:r>
    </w:p>
    <w:p w:rsidR="00500724" w:rsidRDefault="00F30FB8">
      <w:pPr>
        <w:pStyle w:val="Zkladntext100"/>
        <w:shd w:val="clear" w:color="auto" w:fill="auto"/>
        <w:spacing w:line="194" w:lineRule="auto"/>
        <w:ind w:firstLine="240"/>
        <w:jc w:val="left"/>
      </w:pPr>
      <w:r>
        <w:t>„Leč děti spaly . . . jako pusy.</w:t>
      </w:r>
    </w:p>
    <w:p w:rsidR="00500724" w:rsidRDefault="00F30FB8">
      <w:pPr>
        <w:pStyle w:val="Zkladntext100"/>
        <w:shd w:val="clear" w:color="auto" w:fill="auto"/>
        <w:spacing w:after="100" w:line="194" w:lineRule="auto"/>
        <w:ind w:left="200" w:right="1400" w:firstLine="40"/>
        <w:jc w:val="left"/>
      </w:pPr>
      <w:r>
        <w:t>Zdá se jim, čím že květ to smyje, když v těchhle tmách, ač nerad, musí kominík vrazit do lilije.“</w:t>
      </w:r>
    </w:p>
    <w:p w:rsidR="00500724" w:rsidRDefault="00F30FB8">
      <w:pPr>
        <w:pStyle w:val="Zkladntext20"/>
        <w:shd w:val="clear" w:color="auto" w:fill="auto"/>
        <w:spacing w:after="100" w:line="221" w:lineRule="auto"/>
        <w:rPr>
          <w:sz w:val="20"/>
          <w:szCs w:val="20"/>
        </w:rPr>
      </w:pPr>
      <w:r>
        <w:rPr>
          <w:sz w:val="20"/>
          <w:szCs w:val="20"/>
        </w:rPr>
        <w:t>Holanova vůle k mluvnosti verše jde často tak da</w:t>
      </w:r>
      <w:r>
        <w:rPr>
          <w:sz w:val="20"/>
          <w:szCs w:val="20"/>
        </w:rPr>
        <w:softHyphen/>
        <w:t>leko, že tu a tam užije i rčení lidové ražby, jež tu mají ovšem přesunutý smysl:</w:t>
      </w:r>
    </w:p>
    <w:p w:rsidR="00500724" w:rsidRDefault="00F30FB8">
      <w:pPr>
        <w:pStyle w:val="Zkladntext100"/>
        <w:shd w:val="clear" w:color="auto" w:fill="auto"/>
        <w:spacing w:line="194" w:lineRule="auto"/>
        <w:ind w:firstLine="240"/>
        <w:jc w:val="left"/>
      </w:pPr>
      <w:r>
        <w:t>„Nemáte zač! A přijďte zase!“</w:t>
      </w:r>
    </w:p>
    <w:p w:rsidR="00500724" w:rsidRDefault="00F30FB8">
      <w:pPr>
        <w:pStyle w:val="Zkladntext100"/>
        <w:shd w:val="clear" w:color="auto" w:fill="auto"/>
        <w:spacing w:after="100" w:line="194" w:lineRule="auto"/>
        <w:ind w:left="200" w:right="1400" w:firstLine="40"/>
        <w:jc w:val="left"/>
      </w:pPr>
      <w:r>
        <w:t>„Nevypalujte zejtra kamna, věšíme prádlo! K desáté!“</w:t>
      </w:r>
    </w:p>
    <w:p w:rsidR="00500724" w:rsidRDefault="00F30FB8">
      <w:pPr>
        <w:pStyle w:val="Zkladntext20"/>
        <w:shd w:val="clear" w:color="auto" w:fill="auto"/>
        <w:spacing w:after="100" w:line="218" w:lineRule="auto"/>
        <w:rPr>
          <w:sz w:val="20"/>
          <w:szCs w:val="20"/>
        </w:rPr>
      </w:pPr>
      <w:r>
        <w:rPr>
          <w:sz w:val="20"/>
          <w:szCs w:val="20"/>
        </w:rPr>
        <w:t>Tatam je samoúčelná abstraktnost a kutání v</w:t>
      </w:r>
      <w:r>
        <w:rPr>
          <w:sz w:val="20"/>
          <w:szCs w:val="20"/>
        </w:rPr>
        <w:t xml:space="preserve"> ledov</w:t>
      </w:r>
      <w:r>
        <w:rPr>
          <w:sz w:val="20"/>
          <w:szCs w:val="20"/>
        </w:rPr>
        <w:softHyphen/>
        <w:t>cích absolutna. Básníkova moudrost je zlidštěna. Není už zapečetěna v kabalisticky nerozluštitelná tajemství, ale obrací se ke čtenáři ve verších, jež mají podobu prů</w:t>
      </w:r>
      <w:r>
        <w:rPr>
          <w:sz w:val="20"/>
          <w:szCs w:val="20"/>
        </w:rPr>
        <w:softHyphen/>
        <w:t>povídek a naučení. Vskutku, je to místy velmi vysoký druhu poesie didaktické a mor</w:t>
      </w:r>
      <w:r>
        <w:rPr>
          <w:sz w:val="20"/>
          <w:szCs w:val="20"/>
        </w:rPr>
        <w:t>alistní:</w:t>
      </w:r>
    </w:p>
    <w:p w:rsidR="00500724" w:rsidRDefault="00F30FB8">
      <w:pPr>
        <w:pStyle w:val="Zkladntext100"/>
        <w:shd w:val="clear" w:color="auto" w:fill="auto"/>
        <w:spacing w:line="214" w:lineRule="auto"/>
        <w:ind w:left="200" w:right="1400" w:firstLine="40"/>
        <w:jc w:val="left"/>
      </w:pPr>
      <w:r>
        <w:t>„Jen něčím stále nepřítomným jsme věrni času . . . rozumíš?</w:t>
      </w:r>
    </w:p>
    <w:p w:rsidR="00500724" w:rsidRDefault="00F30FB8">
      <w:pPr>
        <w:pStyle w:val="Zkladntext100"/>
        <w:shd w:val="clear" w:color="auto" w:fill="auto"/>
        <w:spacing w:line="214" w:lineRule="auto"/>
        <w:ind w:left="200" w:right="1400" w:firstLine="40"/>
        <w:jc w:val="left"/>
      </w:pPr>
      <w:r>
        <w:t>Doufáš ... I v to, že dechem skromným u s e b e začals . . . začals již.</w:t>
      </w:r>
    </w:p>
    <w:p w:rsidR="00500724" w:rsidRDefault="00F30FB8">
      <w:pPr>
        <w:pStyle w:val="Zkladntext100"/>
        <w:shd w:val="clear" w:color="auto" w:fill="auto"/>
        <w:spacing w:line="214" w:lineRule="auto"/>
        <w:ind w:left="200" w:right="1400" w:firstLine="40"/>
        <w:jc w:val="left"/>
      </w:pPr>
      <w:r>
        <w:t>Zatíti v sobě šelmu, jaký ach. jaký úkol pro zázraky!</w:t>
      </w:r>
    </w:p>
    <w:p w:rsidR="00500724" w:rsidRDefault="00F30FB8">
      <w:pPr>
        <w:pStyle w:val="Zkladntext100"/>
        <w:shd w:val="clear" w:color="auto" w:fill="auto"/>
        <w:spacing w:after="160" w:line="214" w:lineRule="auto"/>
        <w:ind w:firstLine="240"/>
        <w:jc w:val="left"/>
      </w:pPr>
      <w:r>
        <w:t>U sebe začít, v sobě, víš?“</w:t>
      </w:r>
    </w:p>
    <w:p w:rsidR="00500724" w:rsidRDefault="00F30FB8">
      <w:pPr>
        <w:pStyle w:val="Zkladntext20"/>
        <w:shd w:val="clear" w:color="auto" w:fill="auto"/>
        <w:spacing w:after="100" w:line="218" w:lineRule="auto"/>
        <w:rPr>
          <w:sz w:val="20"/>
          <w:szCs w:val="20"/>
        </w:rPr>
      </w:pPr>
      <w:r>
        <w:rPr>
          <w:sz w:val="20"/>
          <w:szCs w:val="20"/>
        </w:rPr>
        <w:t xml:space="preserve">Nečekejte ovšem od něho vždycky </w:t>
      </w:r>
      <w:r>
        <w:rPr>
          <w:sz w:val="20"/>
          <w:szCs w:val="20"/>
        </w:rPr>
        <w:t>řečnickou jasnost. Odevždy se prorokové vyjadřovali temným slohem. Jeho „Sen“ je temný, ale je to temnota apokalypická. Zní hněvem a nadějí; má pathos, který uchvacuje. Jsme jí leckdy vděčni, že přikrývá některé nepojmenovatelné věci, aniž zastírá jejich o</w:t>
      </w:r>
      <w:r>
        <w:rPr>
          <w:sz w:val="20"/>
          <w:szCs w:val="20"/>
        </w:rPr>
        <w:t>brysy.</w:t>
      </w:r>
    </w:p>
    <w:p w:rsidR="00500724" w:rsidRDefault="00F30FB8">
      <w:pPr>
        <w:pStyle w:val="Zkladntext20"/>
        <w:shd w:val="clear" w:color="auto" w:fill="auto"/>
        <w:spacing w:after="100" w:line="218" w:lineRule="auto"/>
        <w:ind w:firstLine="0"/>
        <w:jc w:val="center"/>
        <w:rPr>
          <w:sz w:val="20"/>
          <w:szCs w:val="20"/>
        </w:rPr>
      </w:pPr>
      <w:r>
        <w:rPr>
          <w:sz w:val="20"/>
          <w:szCs w:val="20"/>
        </w:rPr>
        <w:t>•</w:t>
      </w:r>
    </w:p>
    <w:p w:rsidR="00500724" w:rsidRDefault="00F30FB8">
      <w:pPr>
        <w:pStyle w:val="Zkladntext20"/>
        <w:shd w:val="clear" w:color="auto" w:fill="auto"/>
        <w:spacing w:after="100" w:line="230" w:lineRule="auto"/>
        <w:jc w:val="left"/>
        <w:rPr>
          <w:sz w:val="20"/>
          <w:szCs w:val="20"/>
        </w:rPr>
      </w:pPr>
      <w:r>
        <w:rPr>
          <w:sz w:val="20"/>
          <w:szCs w:val="20"/>
        </w:rPr>
        <w:t>Památná je tato proměna básníkova, a nikterak oje</w:t>
      </w:r>
      <w:r>
        <w:rPr>
          <w:sz w:val="20"/>
          <w:szCs w:val="20"/>
        </w:rPr>
        <w:softHyphen/>
        <w:t>dinělá.</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doba a lidé</w:t>
      </w:r>
    </w:p>
    <w:p w:rsidR="00500724" w:rsidRDefault="00F30FB8">
      <w:pPr>
        <w:pStyle w:val="Zkladntext20"/>
        <w:shd w:val="clear" w:color="auto" w:fill="auto"/>
        <w:spacing w:after="60" w:line="197" w:lineRule="auto"/>
        <w:ind w:firstLine="0"/>
      </w:pPr>
      <w:r>
        <w:rPr>
          <w:i/>
          <w:iCs/>
        </w:rPr>
        <w:t>Ladislav Machýcek:</w:t>
      </w:r>
    </w:p>
    <w:p w:rsidR="00500724" w:rsidRDefault="00F30FB8">
      <w:pPr>
        <w:pStyle w:val="Jin0"/>
        <w:shd w:val="clear" w:color="auto" w:fill="auto"/>
        <w:spacing w:after="120"/>
        <w:ind w:firstLine="260"/>
        <w:rPr>
          <w:sz w:val="28"/>
          <w:szCs w:val="28"/>
        </w:rPr>
      </w:pPr>
      <w:r>
        <w:rPr>
          <w:b/>
          <w:bCs/>
          <w:sz w:val="28"/>
          <w:szCs w:val="28"/>
        </w:rPr>
        <w:t>Obhajoba nezaměstnané inteligence</w:t>
      </w:r>
    </w:p>
    <w:p w:rsidR="00500724" w:rsidRDefault="00F30FB8">
      <w:pPr>
        <w:pStyle w:val="Zkladntext20"/>
        <w:framePr w:dropCap="drop" w:lines="2" w:hSpace="5" w:vSpace="5" w:wrap="auto" w:vAnchor="text" w:hAnchor="text"/>
        <w:shd w:val="clear" w:color="auto" w:fill="auto"/>
        <w:spacing w:line="283" w:lineRule="exact"/>
        <w:ind w:firstLine="0"/>
        <w:rPr>
          <w:sz w:val="20"/>
          <w:szCs w:val="20"/>
        </w:rPr>
      </w:pPr>
      <w:r>
        <w:rPr>
          <w:position w:val="-6"/>
          <w:sz w:val="44"/>
          <w:szCs w:val="44"/>
        </w:rPr>
        <w:t>V</w:t>
      </w:r>
    </w:p>
    <w:p w:rsidR="00500724" w:rsidRDefault="00F30FB8">
      <w:pPr>
        <w:pStyle w:val="Zkladntext20"/>
        <w:shd w:val="clear" w:color="auto" w:fill="auto"/>
        <w:spacing w:line="216" w:lineRule="auto"/>
        <w:ind w:firstLine="0"/>
        <w:rPr>
          <w:sz w:val="20"/>
          <w:szCs w:val="20"/>
        </w:rPr>
      </w:pPr>
      <w:r>
        <w:rPr>
          <w:sz w:val="20"/>
          <w:szCs w:val="20"/>
        </w:rPr>
        <w:t xml:space="preserve"> posledním roce řešili Čechové řadu problémů: jed</w:t>
      </w:r>
      <w:r>
        <w:rPr>
          <w:sz w:val="20"/>
          <w:szCs w:val="20"/>
        </w:rPr>
        <w:softHyphen/>
        <w:t xml:space="preserve">nak vnitřních záležitostí, s nimiž si měli poraditi sami, jednak </w:t>
      </w:r>
      <w:r>
        <w:rPr>
          <w:sz w:val="20"/>
          <w:szCs w:val="20"/>
        </w:rPr>
        <w:t>takových, o nichž se bylo třeba dohovořit s jinými a při jednáních zastávati určitý, řekněme český názor, a konečně záležitostí, které se Čechů sice dotý</w:t>
      </w:r>
      <w:r>
        <w:rPr>
          <w:sz w:val="20"/>
          <w:szCs w:val="20"/>
        </w:rPr>
        <w:softHyphen/>
        <w:t>kaly. Krátce, byly řešeny problémy vnější a vnitřní. Přišla rozhodnutí — a Češi je přijali. Pak byli p</w:t>
      </w:r>
      <w:r>
        <w:rPr>
          <w:sz w:val="20"/>
          <w:szCs w:val="20"/>
        </w:rPr>
        <w:t>osta</w:t>
      </w:r>
      <w:r>
        <w:rPr>
          <w:sz w:val="20"/>
          <w:szCs w:val="20"/>
        </w:rPr>
        <w:softHyphen/>
        <w:t>veni před nejrůznější situace, v nichž musili ukázat svou disciplinovanost a rozum — a ukázali je.</w:t>
      </w:r>
    </w:p>
    <w:p w:rsidR="00500724" w:rsidRDefault="00F30FB8">
      <w:pPr>
        <w:pStyle w:val="Zkladntext20"/>
        <w:shd w:val="clear" w:color="auto" w:fill="auto"/>
        <w:spacing w:line="216" w:lineRule="auto"/>
        <w:ind w:firstLine="260"/>
        <w:rPr>
          <w:sz w:val="20"/>
          <w:szCs w:val="20"/>
        </w:rPr>
      </w:pPr>
      <w:r>
        <w:rPr>
          <w:sz w:val="20"/>
          <w:szCs w:val="20"/>
        </w:rPr>
        <w:t>To bylo při řešení otázek vnějších. Nevyhnutelný způsob jejich řešení a vyřešení přineslo v zápětí více problémů vnitřních, jak známo. Na příklad: rozch</w:t>
      </w:r>
      <w:r>
        <w:rPr>
          <w:sz w:val="20"/>
          <w:szCs w:val="20"/>
        </w:rPr>
        <w:t>od armády, počtem ohromná koncentrace úřednického a bezpečnostního aparátu státního a veřejného.</w:t>
      </w:r>
    </w:p>
    <w:p w:rsidR="00500724" w:rsidRDefault="00F30FB8">
      <w:pPr>
        <w:pStyle w:val="Zkladntext20"/>
        <w:shd w:val="clear" w:color="auto" w:fill="auto"/>
        <w:spacing w:line="216" w:lineRule="auto"/>
        <w:ind w:firstLine="260"/>
        <w:rPr>
          <w:sz w:val="20"/>
          <w:szCs w:val="20"/>
        </w:rPr>
      </w:pPr>
      <w:r>
        <w:rPr>
          <w:sz w:val="20"/>
          <w:szCs w:val="20"/>
        </w:rPr>
        <w:t xml:space="preserve">Čechové byli rozhodni v jednom: nenechati upad- nouti tento lid do beznaděje, nýbrž ukázat mu nový cíl </w:t>
      </w:r>
      <w:r>
        <w:rPr>
          <w:b/>
          <w:bCs/>
          <w:sz w:val="20"/>
          <w:szCs w:val="20"/>
        </w:rPr>
        <w:t xml:space="preserve">a </w:t>
      </w:r>
      <w:r>
        <w:rPr>
          <w:sz w:val="20"/>
          <w:szCs w:val="20"/>
        </w:rPr>
        <w:t>zapojit jej do stísněných forem našeho národního a hos</w:t>
      </w:r>
      <w:r>
        <w:rPr>
          <w:sz w:val="20"/>
          <w:szCs w:val="20"/>
        </w:rPr>
        <w:t>podářského života.</w:t>
      </w:r>
    </w:p>
    <w:p w:rsidR="00500724" w:rsidRDefault="00F30FB8">
      <w:pPr>
        <w:pStyle w:val="Zkladntext20"/>
        <w:shd w:val="clear" w:color="auto" w:fill="auto"/>
        <w:spacing w:line="216" w:lineRule="auto"/>
        <w:ind w:firstLine="260"/>
        <w:rPr>
          <w:sz w:val="20"/>
          <w:szCs w:val="20"/>
        </w:rPr>
      </w:pPr>
      <w:r>
        <w:rPr>
          <w:sz w:val="20"/>
          <w:szCs w:val="20"/>
        </w:rPr>
        <w:t>Souhlasíme, živě souhlasíme, my mladí, s tím, že tato tíživá starost byla celkem uspokojivě vyřešena. Správně se zdůrazňovalo, že není možné, aby vystěhovalci byli ponecháni svému osudu a aby z důstojníků se stali bě- ženci a životní ztr</w:t>
      </w:r>
      <w:r>
        <w:rPr>
          <w:sz w:val="20"/>
          <w:szCs w:val="20"/>
        </w:rPr>
        <w:t>oskotanci.</w:t>
      </w:r>
    </w:p>
    <w:p w:rsidR="00500724" w:rsidRDefault="00F30FB8">
      <w:pPr>
        <w:pStyle w:val="Zkladntext20"/>
        <w:shd w:val="clear" w:color="auto" w:fill="auto"/>
        <w:spacing w:line="216" w:lineRule="auto"/>
        <w:ind w:firstLine="260"/>
        <w:rPr>
          <w:sz w:val="20"/>
          <w:szCs w:val="20"/>
        </w:rPr>
      </w:pPr>
      <w:r>
        <w:rPr>
          <w:sz w:val="20"/>
          <w:szCs w:val="20"/>
        </w:rPr>
        <w:t>V čelo vlády byl postaven generál, aby uspokojivě likvidoval otázku umístění vojenských gážistů a civil</w:t>
      </w:r>
      <w:r>
        <w:rPr>
          <w:sz w:val="20"/>
          <w:szCs w:val="20"/>
        </w:rPr>
        <w:softHyphen/>
        <w:t>ních zaměstnanců vojenské správy. Jsme přesvědčeni, že tento problém jest celkem uspokojivě vyřešen.</w:t>
      </w:r>
    </w:p>
    <w:p w:rsidR="00500724" w:rsidRDefault="00F30FB8">
      <w:pPr>
        <w:pStyle w:val="Zkladntext20"/>
        <w:shd w:val="clear" w:color="auto" w:fill="auto"/>
        <w:spacing w:line="216" w:lineRule="auto"/>
        <w:ind w:firstLine="260"/>
        <w:rPr>
          <w:sz w:val="20"/>
          <w:szCs w:val="20"/>
        </w:rPr>
      </w:pPr>
      <w:r>
        <w:rPr>
          <w:sz w:val="20"/>
          <w:szCs w:val="20"/>
        </w:rPr>
        <w:t>Jako reakce na kručení žaludku nezaměstn</w:t>
      </w:r>
      <w:r>
        <w:rPr>
          <w:sz w:val="20"/>
          <w:szCs w:val="20"/>
        </w:rPr>
        <w:t>ané inteli</w:t>
      </w:r>
      <w:r>
        <w:rPr>
          <w:sz w:val="20"/>
          <w:szCs w:val="20"/>
        </w:rPr>
        <w:softHyphen/>
        <w:t>gence byla zřízena Ústřední kancelář nezaměstnané inte</w:t>
      </w:r>
      <w:r>
        <w:rPr>
          <w:sz w:val="20"/>
          <w:szCs w:val="20"/>
        </w:rPr>
        <w:softHyphen/>
        <w:t>ligence a nyní podřízena Kondiční komisi Národního souručenství. Zde již jenom doufáme, že vláda nalezne řešení a že zahrazené dveře budou otevřeny. Považovali bychom za nepříjemné, kdyby mí</w:t>
      </w:r>
      <w:r>
        <w:rPr>
          <w:sz w:val="20"/>
          <w:szCs w:val="20"/>
        </w:rPr>
        <w:t>sto rychlého rozhod</w:t>
      </w:r>
      <w:r>
        <w:rPr>
          <w:sz w:val="20"/>
          <w:szCs w:val="20"/>
        </w:rPr>
        <w:softHyphen/>
        <w:t>nutí byla zvolena vyjednávači metoda a místo nařízení bylo vydáno doporučení. Protože nasycení stěží uvěří hladovým.</w:t>
      </w:r>
    </w:p>
    <w:p w:rsidR="00500724" w:rsidRDefault="00F30FB8">
      <w:pPr>
        <w:pStyle w:val="Zkladntext20"/>
        <w:shd w:val="clear" w:color="auto" w:fill="auto"/>
        <w:spacing w:line="216" w:lineRule="auto"/>
        <w:ind w:firstLine="260"/>
        <w:rPr>
          <w:sz w:val="20"/>
          <w:szCs w:val="20"/>
        </w:rPr>
      </w:pPr>
      <w:r>
        <w:rPr>
          <w:sz w:val="20"/>
          <w:szCs w:val="20"/>
        </w:rPr>
        <w:t>Zdálo se nám, že všichni Čechové dobře chápou po</w:t>
      </w:r>
      <w:r>
        <w:rPr>
          <w:sz w:val="20"/>
          <w:szCs w:val="20"/>
        </w:rPr>
        <w:softHyphen/>
        <w:t>stavení nezaměstnaných vzdělanců. Přece však v článku Fr. J. Kroihera,</w:t>
      </w:r>
      <w:r>
        <w:rPr>
          <w:sz w:val="20"/>
          <w:szCs w:val="20"/>
        </w:rPr>
        <w:t xml:space="preserve"> „Zachraňte inteligenci“, ovšem ironicky to zahroceném názvu v „Pošumavském kraji“ vyšlém, nalézáme názory, s nimiž se nemůžeme ztotožniti.</w:t>
      </w:r>
    </w:p>
    <w:p w:rsidR="00500724" w:rsidRDefault="00F30FB8">
      <w:pPr>
        <w:pStyle w:val="Zkladntext20"/>
        <w:shd w:val="clear" w:color="auto" w:fill="auto"/>
        <w:spacing w:after="120" w:line="216" w:lineRule="auto"/>
        <w:ind w:firstLine="260"/>
        <w:rPr>
          <w:sz w:val="20"/>
          <w:szCs w:val="20"/>
        </w:rPr>
      </w:pPr>
      <w:r>
        <w:rPr>
          <w:sz w:val="20"/>
          <w:szCs w:val="20"/>
        </w:rPr>
        <w:t>V zásadě článek vyjadřuje mínění, že na státu a pod</w:t>
      </w:r>
      <w:r>
        <w:rPr>
          <w:sz w:val="20"/>
          <w:szCs w:val="20"/>
        </w:rPr>
        <w:softHyphen/>
        <w:t>nikatelích nemůže býti žádáno, aby přijímali síly, kte</w:t>
      </w:r>
      <w:r>
        <w:rPr>
          <w:sz w:val="20"/>
          <w:szCs w:val="20"/>
        </w:rPr>
        <w:softHyphen/>
        <w:t>rých nepo</w:t>
      </w:r>
      <w:r>
        <w:rPr>
          <w:sz w:val="20"/>
          <w:szCs w:val="20"/>
        </w:rPr>
        <w:t>třebují, s odůvodněním, že</w:t>
      </w:r>
    </w:p>
    <w:p w:rsidR="00500724" w:rsidRDefault="00F30FB8">
      <w:pPr>
        <w:pStyle w:val="Zkladntext100"/>
        <w:shd w:val="clear" w:color="auto" w:fill="auto"/>
        <w:spacing w:line="192" w:lineRule="auto"/>
        <w:ind w:left="220" w:firstLine="240"/>
      </w:pPr>
      <w:r>
        <w:t>„Bezdětný člověk při nejlepší vůli si nezjedná chůvu, kdo jezdí s trakařem, nečte nabídky šoférů, to každý chápe, nuže, tak musíme chápat, že i stát může zaměstnávat a platit jen lidi, jež potřebuje.“</w:t>
      </w:r>
    </w:p>
    <w:p w:rsidR="00500724" w:rsidRDefault="00F30FB8">
      <w:pPr>
        <w:pStyle w:val="Zkladntext20"/>
        <w:shd w:val="clear" w:color="auto" w:fill="auto"/>
        <w:spacing w:after="120" w:line="216" w:lineRule="auto"/>
        <w:ind w:firstLine="260"/>
        <w:rPr>
          <w:sz w:val="20"/>
          <w:szCs w:val="20"/>
        </w:rPr>
      </w:pPr>
      <w:r>
        <w:rPr>
          <w:sz w:val="20"/>
          <w:szCs w:val="20"/>
        </w:rPr>
        <w:t>Pohleďte, co my k tomu říkám</w:t>
      </w:r>
      <w:r>
        <w:rPr>
          <w:sz w:val="20"/>
          <w:szCs w:val="20"/>
        </w:rPr>
        <w:t>e:</w:t>
      </w:r>
    </w:p>
    <w:p w:rsidR="00500724" w:rsidRDefault="00F30FB8">
      <w:pPr>
        <w:pStyle w:val="Zkladntext20"/>
        <w:shd w:val="clear" w:color="auto" w:fill="auto"/>
        <w:spacing w:after="80" w:line="216" w:lineRule="auto"/>
        <w:ind w:firstLine="0"/>
        <w:jc w:val="center"/>
        <w:rPr>
          <w:sz w:val="20"/>
          <w:szCs w:val="20"/>
        </w:rPr>
      </w:pPr>
      <w:r>
        <w:rPr>
          <w:sz w:val="20"/>
          <w:szCs w:val="20"/>
        </w:rPr>
        <w:t>Obhajoba mladých.</w:t>
      </w:r>
    </w:p>
    <w:p w:rsidR="00500724" w:rsidRDefault="00F30FB8">
      <w:pPr>
        <w:pStyle w:val="Zkladntext20"/>
        <w:shd w:val="clear" w:color="auto" w:fill="auto"/>
        <w:spacing w:after="100" w:line="218" w:lineRule="auto"/>
        <w:ind w:firstLine="260"/>
        <w:rPr>
          <w:sz w:val="20"/>
          <w:szCs w:val="20"/>
        </w:rPr>
      </w:pPr>
      <w:r>
        <w:rPr>
          <w:sz w:val="20"/>
          <w:szCs w:val="20"/>
        </w:rPr>
        <w:t xml:space="preserve">V době, kdy nyní dvaceti- až třicetiletí mladí muži studovali, měli jiné zájmy </w:t>
      </w:r>
      <w:r>
        <w:rPr>
          <w:sz w:val="20"/>
          <w:szCs w:val="20"/>
          <w:vertAlign w:val="subscript"/>
        </w:rPr>
        <w:t>a</w:t>
      </w:r>
      <w:r>
        <w:rPr>
          <w:sz w:val="20"/>
          <w:szCs w:val="20"/>
        </w:rPr>
        <w:t xml:space="preserve"> starosti, než pozorovat ty, kteří vedli veřejné věci. Na střední škole ještě neměli náležitého rozhledu, aby blíže poznali osobnosti, které se proháněly p</w:t>
      </w:r>
      <w:r>
        <w:rPr>
          <w:sz w:val="20"/>
          <w:szCs w:val="20"/>
        </w:rPr>
        <w:t>o výnosných politických polích. Na vy</w:t>
      </w:r>
      <w:r>
        <w:rPr>
          <w:sz w:val="20"/>
          <w:szCs w:val="20"/>
        </w:rPr>
        <w:softHyphen/>
        <w:t>soké škole se stali miláčky politických stran, které usi</w:t>
      </w:r>
      <w:r>
        <w:rPr>
          <w:sz w:val="20"/>
          <w:szCs w:val="20"/>
        </w:rPr>
        <w:softHyphen/>
        <w:t>lovaly o budoucí voliče a nositele drobných pilířů, na nichž vyrůstaly mocenské zájmy, nemající nic společ</w:t>
      </w:r>
      <w:r>
        <w:rPr>
          <w:sz w:val="20"/>
          <w:szCs w:val="20"/>
        </w:rPr>
        <w:softHyphen/>
        <w:t>ného s honosnými programy.</w:t>
      </w:r>
    </w:p>
    <w:p w:rsidR="00500724" w:rsidRDefault="00F30FB8">
      <w:pPr>
        <w:pStyle w:val="Zkladntext20"/>
        <w:shd w:val="clear" w:color="auto" w:fill="auto"/>
        <w:spacing w:line="216" w:lineRule="auto"/>
        <w:rPr>
          <w:sz w:val="20"/>
          <w:szCs w:val="20"/>
        </w:rPr>
      </w:pPr>
      <w:r>
        <w:rPr>
          <w:sz w:val="20"/>
          <w:szCs w:val="20"/>
        </w:rPr>
        <w:t xml:space="preserve">Všichni se na mladé muže </w:t>
      </w:r>
      <w:r>
        <w:rPr>
          <w:sz w:val="20"/>
          <w:szCs w:val="20"/>
        </w:rPr>
        <w:t>usmívali. Dnes i ti, co se usmívali, nadávají. Pravda, dnes jim již nezáleží na je</w:t>
      </w:r>
      <w:r>
        <w:rPr>
          <w:sz w:val="20"/>
          <w:szCs w:val="20"/>
        </w:rPr>
        <w:softHyphen/>
        <w:t>jich hlasech, ani na jejich legitimacích. A nezáleží jim ani na jejich práci. Dříve přimhuřovali oči a tajuplně šeptávali hlasem, přílišným řečněním interesantně ztich</w:t>
      </w:r>
      <w:r>
        <w:rPr>
          <w:sz w:val="20"/>
          <w:szCs w:val="20"/>
        </w:rPr>
        <w:softHyphen/>
        <w:t xml:space="preserve">lým, </w:t>
      </w:r>
      <w:r>
        <w:rPr>
          <w:sz w:val="20"/>
          <w:szCs w:val="20"/>
        </w:rPr>
        <w:t>že se již něco najde. Dnes mlčí a obezřetně spra</w:t>
      </w:r>
      <w:r>
        <w:rPr>
          <w:sz w:val="20"/>
          <w:szCs w:val="20"/>
        </w:rPr>
        <w:softHyphen/>
        <w:t>vují, co za svého života vydělali. Někdy i píší. A jak píší! Snad aspoň nyní mluví pravdu . . .</w:t>
      </w:r>
    </w:p>
    <w:p w:rsidR="00500724" w:rsidRDefault="00F30FB8">
      <w:pPr>
        <w:pStyle w:val="Zkladntext20"/>
        <w:shd w:val="clear" w:color="auto" w:fill="auto"/>
        <w:spacing w:line="216" w:lineRule="auto"/>
        <w:rPr>
          <w:sz w:val="20"/>
          <w:szCs w:val="20"/>
        </w:rPr>
      </w:pPr>
      <w:r>
        <w:rPr>
          <w:sz w:val="20"/>
          <w:szCs w:val="20"/>
        </w:rPr>
        <w:t>Jsou teď pronášena hořká slova. Dobře, ale kdo jiný je má právo pronášet, než my, mladí, kteří jsme pravdě</w:t>
      </w:r>
      <w:r>
        <w:rPr>
          <w:sz w:val="20"/>
          <w:szCs w:val="20"/>
        </w:rPr>
        <w:softHyphen/>
        <w:t>podo</w:t>
      </w:r>
      <w:r>
        <w:rPr>
          <w:sz w:val="20"/>
          <w:szCs w:val="20"/>
        </w:rPr>
        <w:t>bně obětními beránky? Staří si umývají ruce. Mo</w:t>
      </w:r>
      <w:r>
        <w:rPr>
          <w:sz w:val="20"/>
          <w:szCs w:val="20"/>
        </w:rPr>
        <w:softHyphen/>
        <w:t>hou býti klidni a pozorovat podzim svého života v bla</w:t>
      </w:r>
      <w:r>
        <w:rPr>
          <w:sz w:val="20"/>
          <w:szCs w:val="20"/>
        </w:rPr>
        <w:softHyphen/>
        <w:t>hobytu, prozářeném melancholickým podzimním slun</w:t>
      </w:r>
      <w:r>
        <w:rPr>
          <w:sz w:val="20"/>
          <w:szCs w:val="20"/>
        </w:rPr>
        <w:softHyphen/>
        <w:t>cem. Skutečně, zdá se nám, že naše zdvořilá slova, osvětlující postavení mladých, působí jako červené šát</w:t>
      </w:r>
      <w:r>
        <w:rPr>
          <w:sz w:val="20"/>
          <w:szCs w:val="20"/>
        </w:rPr>
        <w:t>ky.</w:t>
      </w:r>
    </w:p>
    <w:p w:rsidR="00500724" w:rsidRDefault="00F30FB8">
      <w:pPr>
        <w:pStyle w:val="Zkladntext20"/>
        <w:shd w:val="clear" w:color="auto" w:fill="auto"/>
        <w:spacing w:after="40" w:line="216" w:lineRule="auto"/>
        <w:rPr>
          <w:sz w:val="20"/>
          <w:szCs w:val="20"/>
        </w:rPr>
      </w:pPr>
      <w:r>
        <w:rPr>
          <w:sz w:val="20"/>
          <w:szCs w:val="20"/>
        </w:rPr>
        <w:t>Je nám řečeno, že „naši studovaní lidé šli samochtíce špatnou cestou“. (Protože studovali.) K tomiu jest třeba říci, že člověk se sám chodit nenaučil. Vždy jest třeba jej nejprve vésti. Snad jsme byli vedeni špatnou cestou. To dnes vidíme. Nemůžeme z t</w:t>
      </w:r>
      <w:r>
        <w:rPr>
          <w:sz w:val="20"/>
          <w:szCs w:val="20"/>
        </w:rPr>
        <w:t>oho však viniti naše ro</w:t>
      </w:r>
      <w:r>
        <w:rPr>
          <w:sz w:val="20"/>
          <w:szCs w:val="20"/>
        </w:rPr>
        <w:softHyphen/>
        <w:t>diče, kteří se lopotili na rodné hroudě, nebo se lopotili jinde. V každém případě neměli pokdy, aby rozuměli veřejným potřebám tak, aby napravovali něco, o čem nevěděli, že jest špatné.</w:t>
      </w:r>
    </w:p>
    <w:p w:rsidR="00500724" w:rsidRDefault="00F30FB8">
      <w:pPr>
        <w:pStyle w:val="Zkladntext20"/>
        <w:shd w:val="clear" w:color="auto" w:fill="auto"/>
        <w:spacing w:line="216" w:lineRule="auto"/>
        <w:rPr>
          <w:sz w:val="20"/>
          <w:szCs w:val="20"/>
        </w:rPr>
      </w:pPr>
      <w:r>
        <w:rPr>
          <w:sz w:val="20"/>
          <w:szCs w:val="20"/>
        </w:rPr>
        <w:t>Vy a vaše vedoucí generace jste měli vliv na v</w:t>
      </w:r>
      <w:r>
        <w:rPr>
          <w:sz w:val="20"/>
          <w:szCs w:val="20"/>
        </w:rPr>
        <w:t>ěci ve</w:t>
      </w:r>
      <w:r>
        <w:rPr>
          <w:sz w:val="20"/>
          <w:szCs w:val="20"/>
        </w:rPr>
        <w:softHyphen/>
        <w:t>řejné a měli jste povinnost, nejen upozorňovat, nýbrž přesvědčovat a zařizovat. Na to jste byli voleni do zá</w:t>
      </w:r>
      <w:r>
        <w:rPr>
          <w:sz w:val="20"/>
          <w:szCs w:val="20"/>
        </w:rPr>
        <w:softHyphen/>
        <w:t>konodárných sborů, a za to placeni a proto vám lid vě</w:t>
      </w:r>
      <w:r>
        <w:rPr>
          <w:sz w:val="20"/>
          <w:szCs w:val="20"/>
        </w:rPr>
        <w:softHyphen/>
        <w:t>noval důvěru, aby se sám mohl věnovat drobné práci. Kdybychom my byli zákonodárci a vi</w:t>
      </w:r>
      <w:r>
        <w:rPr>
          <w:sz w:val="20"/>
          <w:szCs w:val="20"/>
        </w:rPr>
        <w:t>děli špatný běh věci, zda bychom neusilovali všemi silami o nápravu? Dnešní stav jest jen potvrzením chyb, které se staly.</w:t>
      </w:r>
    </w:p>
    <w:p w:rsidR="00500724" w:rsidRDefault="00F30FB8">
      <w:pPr>
        <w:pStyle w:val="Zkladntext20"/>
        <w:shd w:val="clear" w:color="auto" w:fill="auto"/>
        <w:spacing w:after="40" w:line="216" w:lineRule="auto"/>
        <w:rPr>
          <w:sz w:val="20"/>
          <w:szCs w:val="20"/>
        </w:rPr>
      </w:pPr>
      <w:r>
        <w:rPr>
          <w:sz w:val="20"/>
          <w:szCs w:val="20"/>
        </w:rPr>
        <w:t>Že je potřebí reformovat školství a přístup k němu, jsme poznali, jakmile jsme byli postaveni tváří v tvář životu, to jest, jakmile j</w:t>
      </w:r>
      <w:r>
        <w:rPr>
          <w:sz w:val="20"/>
          <w:szCs w:val="20"/>
        </w:rPr>
        <w:t>sme opustili školy. A nutnost tuto jsme též v „Přítomnosti“ vyjádřili a uvedli rámcový návrh řešení.</w:t>
      </w:r>
    </w:p>
    <w:p w:rsidR="00500724" w:rsidRDefault="00F30FB8">
      <w:pPr>
        <w:pStyle w:val="Zkladntext20"/>
        <w:shd w:val="clear" w:color="auto" w:fill="auto"/>
        <w:spacing w:after="40" w:line="216" w:lineRule="auto"/>
        <w:rPr>
          <w:sz w:val="20"/>
          <w:szCs w:val="20"/>
        </w:rPr>
      </w:pPr>
      <w:r>
        <w:rPr>
          <w:sz w:val="20"/>
          <w:szCs w:val="20"/>
        </w:rPr>
        <w:t>Jsou zde nesporná fakta, která jest nutno rozřešit: mnoho tisíc nezaměstnaných inteligentů a stále pokra</w:t>
      </w:r>
      <w:r>
        <w:rPr>
          <w:sz w:val="20"/>
          <w:szCs w:val="20"/>
        </w:rPr>
        <w:softHyphen/>
        <w:t xml:space="preserve">čující výroba jich. Dnes již neslyšíme heslo: </w:t>
      </w:r>
      <w:r>
        <w:rPr>
          <w:sz w:val="20"/>
          <w:szCs w:val="20"/>
        </w:rPr>
        <w:t>„1000 no</w:t>
      </w:r>
      <w:r>
        <w:rPr>
          <w:sz w:val="20"/>
          <w:szCs w:val="20"/>
        </w:rPr>
        <w:softHyphen/>
        <w:t>vých pilotů!“, nýbrž: „1000 nezaměstnaných právní</w:t>
      </w:r>
      <w:r>
        <w:rPr>
          <w:sz w:val="20"/>
          <w:szCs w:val="20"/>
        </w:rPr>
        <w:softHyphen/>
        <w:t>ků“ a další tisíce jiných.</w:t>
      </w:r>
    </w:p>
    <w:p w:rsidR="00500724" w:rsidRDefault="00F30FB8">
      <w:pPr>
        <w:pStyle w:val="Zkladntext20"/>
        <w:shd w:val="clear" w:color="auto" w:fill="auto"/>
        <w:spacing w:after="40" w:line="216" w:lineRule="auto"/>
        <w:rPr>
          <w:sz w:val="20"/>
          <w:szCs w:val="20"/>
        </w:rPr>
      </w:pPr>
      <w:r>
        <w:rPr>
          <w:sz w:val="20"/>
          <w:szCs w:val="20"/>
        </w:rPr>
        <w:t>Co s těmito mladíky, kteří věnovali polovinu svého života dlouhému a namáhavému studiu?</w:t>
      </w:r>
    </w:p>
    <w:p w:rsidR="00500724" w:rsidRDefault="00F30FB8">
      <w:pPr>
        <w:pStyle w:val="Zkladntext20"/>
        <w:shd w:val="clear" w:color="auto" w:fill="auto"/>
        <w:spacing w:after="140" w:line="216" w:lineRule="auto"/>
        <w:rPr>
          <w:sz w:val="20"/>
          <w:szCs w:val="20"/>
        </w:rPr>
      </w:pPr>
      <w:r>
        <w:rPr>
          <w:sz w:val="20"/>
          <w:szCs w:val="20"/>
        </w:rPr>
        <w:t>Pan bývalý senátor říká :„ ... musí se tedy přeorien</w:t>
      </w:r>
      <w:r>
        <w:rPr>
          <w:sz w:val="20"/>
          <w:szCs w:val="20"/>
        </w:rPr>
        <w:softHyphen/>
        <w:t>tovat a vyhledati si obor jin</w:t>
      </w:r>
      <w:r>
        <w:rPr>
          <w:sz w:val="20"/>
          <w:szCs w:val="20"/>
        </w:rPr>
        <w:t>ý, na který je třeba se při</w:t>
      </w:r>
      <w:r>
        <w:rPr>
          <w:sz w:val="20"/>
          <w:szCs w:val="20"/>
        </w:rPr>
        <w:softHyphen/>
        <w:t>pravit.“ Neříká však, na které obory by bylo žádoucí se přeorientovati a připravit. Které obory jsou tak ne</w:t>
      </w:r>
      <w:r>
        <w:rPr>
          <w:sz w:val="20"/>
          <w:szCs w:val="20"/>
        </w:rPr>
        <w:softHyphen/>
        <w:t xml:space="preserve">vyplněné, že by snesly další zatížení? Pokud nám jest známo a není to tak dávno, bylo mnoho i nádeníků. Není nikde také </w:t>
      </w:r>
      <w:r>
        <w:rPr>
          <w:sz w:val="20"/>
          <w:szCs w:val="20"/>
        </w:rPr>
        <w:t>řečeno, že po několika letech tito přeoriento</w:t>
      </w:r>
      <w:r>
        <w:rPr>
          <w:sz w:val="20"/>
          <w:szCs w:val="20"/>
        </w:rPr>
        <w:softHyphen/>
        <w:t>vaní nebudou znovu postaveni před slova pana ka</w:t>
      </w:r>
      <w:r>
        <w:rPr>
          <w:sz w:val="20"/>
          <w:szCs w:val="20"/>
        </w:rPr>
        <w:softHyphen/>
        <w:t>novníka, která již teď uvádí:</w:t>
      </w:r>
    </w:p>
    <w:p w:rsidR="00500724" w:rsidRDefault="00F30FB8">
      <w:pPr>
        <w:pStyle w:val="Zkladntext100"/>
        <w:shd w:val="clear" w:color="auto" w:fill="auto"/>
        <w:spacing w:after="120" w:line="190" w:lineRule="auto"/>
        <w:ind w:left="220" w:firstLine="240"/>
      </w:pPr>
      <w:r>
        <w:t>„Kdo nebude chtít pracovat tak, jak to společnost po</w:t>
      </w:r>
      <w:r>
        <w:softHyphen/>
        <w:t>třebuje, musí být připraven na to, že si ho společnost nevšimne.“</w:t>
      </w:r>
    </w:p>
    <w:p w:rsidR="00500724" w:rsidRDefault="00F30FB8">
      <w:pPr>
        <w:pStyle w:val="Zkladntext20"/>
        <w:shd w:val="clear" w:color="auto" w:fill="auto"/>
        <w:spacing w:after="40" w:line="206" w:lineRule="auto"/>
        <w:rPr>
          <w:sz w:val="20"/>
          <w:szCs w:val="20"/>
        </w:rPr>
      </w:pPr>
      <w:r>
        <w:rPr>
          <w:sz w:val="20"/>
          <w:szCs w:val="20"/>
        </w:rPr>
        <w:t>A bude mít mo</w:t>
      </w:r>
      <w:r>
        <w:rPr>
          <w:sz w:val="20"/>
          <w:szCs w:val="20"/>
        </w:rPr>
        <w:t>žnost se i nadálé přeorientovávat, po celý svůj život.</w:t>
      </w:r>
    </w:p>
    <w:p w:rsidR="00500724" w:rsidRDefault="00F30FB8">
      <w:pPr>
        <w:pStyle w:val="Zkladntext20"/>
        <w:shd w:val="clear" w:color="auto" w:fill="auto"/>
        <w:spacing w:after="40" w:line="211" w:lineRule="auto"/>
        <w:rPr>
          <w:sz w:val="20"/>
          <w:szCs w:val="20"/>
        </w:rPr>
      </w:pPr>
      <w:r>
        <w:rPr>
          <w:sz w:val="20"/>
          <w:szCs w:val="20"/>
        </w:rPr>
        <w:t>Nelíbí se nám tvrzení, že ti, co píší o potřebě zá</w:t>
      </w:r>
      <w:r>
        <w:rPr>
          <w:sz w:val="20"/>
          <w:szCs w:val="20"/>
        </w:rPr>
        <w:softHyphen/>
        <w:t>chrany inteligence,</w:t>
      </w:r>
    </w:p>
    <w:p w:rsidR="00500724" w:rsidRDefault="00F30FB8">
      <w:pPr>
        <w:pStyle w:val="Zkladntext100"/>
        <w:shd w:val="clear" w:color="auto" w:fill="auto"/>
        <w:spacing w:after="100" w:line="190" w:lineRule="auto"/>
        <w:ind w:left="220" w:firstLine="240"/>
      </w:pPr>
      <w:r>
        <w:t>„ ... to snadno vyslovují, protože na to nic nedají a spo</w:t>
      </w:r>
      <w:r>
        <w:softHyphen/>
        <w:t>léhají, že ani na nich nebude nic žádáno. To se ovšem snadno mluví a sli</w:t>
      </w:r>
      <w:r>
        <w:t>buje.“</w:t>
      </w:r>
    </w:p>
    <w:p w:rsidR="00500724" w:rsidRDefault="00F30FB8">
      <w:pPr>
        <w:pStyle w:val="Zkladntext20"/>
        <w:shd w:val="clear" w:color="auto" w:fill="auto"/>
        <w:spacing w:after="40" w:line="226" w:lineRule="auto"/>
        <w:rPr>
          <w:sz w:val="20"/>
          <w:szCs w:val="20"/>
        </w:rPr>
      </w:pPr>
      <w:r>
        <w:rPr>
          <w:sz w:val="20"/>
          <w:szCs w:val="20"/>
        </w:rPr>
        <w:t>Line se z toho obava, že na někom bude něco žádáno. Jsou to pro nás poněkud krutá slova.</w:t>
      </w:r>
    </w:p>
    <w:p w:rsidR="00500724" w:rsidRDefault="00F30FB8">
      <w:pPr>
        <w:pStyle w:val="Zkladntext20"/>
        <w:shd w:val="clear" w:color="auto" w:fill="auto"/>
        <w:spacing w:line="218" w:lineRule="auto"/>
        <w:rPr>
          <w:sz w:val="20"/>
          <w:szCs w:val="20"/>
        </w:rPr>
      </w:pPr>
      <w:r>
        <w:rPr>
          <w:sz w:val="20"/>
          <w:szCs w:val="20"/>
        </w:rPr>
        <w:t>My víme, není jednoduché, zaměstnat nezaměstnanou inteligenci. Nejsme však ochotni, po celý život v létě podělkovat a v zimě odhazovat sníh, jen proto, že by se</w:t>
      </w:r>
      <w:r>
        <w:rPr>
          <w:sz w:val="20"/>
          <w:szCs w:val="20"/>
        </w:rPr>
        <w:t xml:space="preserve"> to mnohým líbilo. Pokud existují lidé s mnoha place</w:t>
      </w:r>
      <w:r>
        <w:rPr>
          <w:sz w:val="20"/>
          <w:szCs w:val="20"/>
        </w:rPr>
        <w:softHyphen/>
        <w:t>nými funkcemi a pokud lidé opouštějí řemesla a zabírají kvalifikovaným lidem místa, dotud budeme nebojácně bojovat o své místo na slunci, byť i skromné.</w:t>
      </w:r>
    </w:p>
    <w:p w:rsidR="00500724" w:rsidRDefault="00F30FB8">
      <w:pPr>
        <w:pStyle w:val="Zkladntext20"/>
        <w:shd w:val="clear" w:color="auto" w:fill="auto"/>
        <w:spacing w:line="218" w:lineRule="auto"/>
        <w:rPr>
          <w:sz w:val="20"/>
          <w:szCs w:val="20"/>
        </w:rPr>
      </w:pPr>
      <w:r>
        <w:rPr>
          <w:sz w:val="20"/>
          <w:szCs w:val="20"/>
        </w:rPr>
        <w:t>Nemáme, bohužel, žádné moci, abychom zařizovali, c</w:t>
      </w:r>
      <w:r>
        <w:rPr>
          <w:sz w:val="20"/>
          <w:szCs w:val="20"/>
        </w:rPr>
        <w:t>o považujeme za potřebné. Nikdo nám však nemůže vy</w:t>
      </w:r>
      <w:r>
        <w:rPr>
          <w:sz w:val="20"/>
          <w:szCs w:val="20"/>
        </w:rPr>
        <w:softHyphen/>
        <w:t>tknout, že hasíme, co nás nepálí. Přáli bychom si jen, aby bylo zjištěno, kolik graduovaných lidí si vydělává na chléb jako nádeníci na stavbách, kolik inteligentů si vydělává na chléb jako agenti, kolik d</w:t>
      </w:r>
      <w:r>
        <w:rPr>
          <w:sz w:val="20"/>
          <w:szCs w:val="20"/>
        </w:rPr>
        <w:t>oktorů odhazuje roztrpčeně doktorskou hodnost, jen proto, že jest pří</w:t>
      </w:r>
      <w:r>
        <w:rPr>
          <w:sz w:val="20"/>
          <w:szCs w:val="20"/>
        </w:rPr>
        <w:softHyphen/>
        <w:t>těží. Opravdu, není dvakrát milé, když nad řadou ná</w:t>
      </w:r>
      <w:r>
        <w:rPr>
          <w:sz w:val="20"/>
          <w:szCs w:val="20"/>
        </w:rPr>
        <w:softHyphen/>
        <w:t>deníků, mezi nimiž jsou skloněni i naši vzdělanci, pansky stojí polír, který — jaká to náhoda — byl spolužákem některých nádeníků, kte</w:t>
      </w:r>
      <w:r>
        <w:rPr>
          <w:sz w:val="20"/>
          <w:szCs w:val="20"/>
        </w:rPr>
        <w:t>ří si doma schovali svůj akade</w:t>
      </w:r>
      <w:r>
        <w:rPr>
          <w:sz w:val="20"/>
          <w:szCs w:val="20"/>
        </w:rPr>
        <w:softHyphen/>
        <w:t>mický diplom. Jaké měl štěstí, náš starý kamarád z obec</w:t>
      </w:r>
      <w:r>
        <w:rPr>
          <w:sz w:val="20"/>
          <w:szCs w:val="20"/>
        </w:rPr>
        <w:softHyphen/>
        <w:t>né školy, že mu velebný pán s panem učitelem neřekli, že musí jít studovat, protože by bylo škoda jeho bystré</w:t>
      </w:r>
      <w:r>
        <w:rPr>
          <w:sz w:val="20"/>
          <w:szCs w:val="20"/>
        </w:rPr>
        <w:softHyphen/>
        <w:t>ho ducha!</w:t>
      </w:r>
    </w:p>
    <w:p w:rsidR="00500724" w:rsidRDefault="00F30FB8">
      <w:pPr>
        <w:pStyle w:val="Zkladntext20"/>
        <w:shd w:val="clear" w:color="auto" w:fill="auto"/>
        <w:spacing w:line="218" w:lineRule="auto"/>
        <w:rPr>
          <w:sz w:val="20"/>
          <w:szCs w:val="20"/>
        </w:rPr>
      </w:pPr>
      <w:r>
        <w:rPr>
          <w:sz w:val="20"/>
          <w:szCs w:val="20"/>
        </w:rPr>
        <w:t>Řekněte kvalifikovanému dělníkovi, aby šel pracov</w:t>
      </w:r>
      <w:r>
        <w:rPr>
          <w:sz w:val="20"/>
          <w:szCs w:val="20"/>
        </w:rPr>
        <w:t>at jako nádeník: buďte jisti, že se vám vysměje. Na to se dřel a namáhal tři léta v učení jako učeň, na to dostával pohlavky? Řekněte to nezaměstnanému holičskému po</w:t>
      </w:r>
      <w:r>
        <w:rPr>
          <w:sz w:val="20"/>
          <w:szCs w:val="20"/>
        </w:rPr>
        <w:softHyphen/>
        <w:t xml:space="preserve">mocníkovi, obchodnímu příručímu. A sdělte nám jejich odpověď. Řekněte však nezaměstnanému </w:t>
      </w:r>
      <w:r>
        <w:rPr>
          <w:sz w:val="20"/>
          <w:szCs w:val="20"/>
        </w:rPr>
        <w:t>vzdělanci, že si může vydělat na chleba, a uvidíte, že vám zdvořile poděkuje a přijme vše.</w:t>
      </w:r>
    </w:p>
    <w:p w:rsidR="00500724" w:rsidRDefault="00F30FB8">
      <w:pPr>
        <w:pStyle w:val="Zkladntext20"/>
        <w:shd w:val="clear" w:color="auto" w:fill="auto"/>
        <w:spacing w:line="218" w:lineRule="auto"/>
        <w:rPr>
          <w:sz w:val="20"/>
          <w:szCs w:val="20"/>
        </w:rPr>
      </w:pPr>
      <w:r>
        <w:rPr>
          <w:sz w:val="20"/>
          <w:szCs w:val="20"/>
        </w:rPr>
        <w:t>Očekáváme, že nechcete, abychom ztratili jakoukoliv naději, že se vrátíme zpět k svému povolání, na něž jsme se připravovali tolik dlouhých let a že nechcete z nás u</w:t>
      </w:r>
      <w:r>
        <w:rPr>
          <w:sz w:val="20"/>
          <w:szCs w:val="20"/>
        </w:rPr>
        <w:t>dělat vše jiné, než poctivé a řádné občany, kteří by byli oporou svému národu, protože je národ v křížové hodině neopustil.</w:t>
      </w:r>
    </w:p>
    <w:p w:rsidR="00500724" w:rsidRDefault="00F30FB8">
      <w:pPr>
        <w:pStyle w:val="Zkladntext20"/>
        <w:shd w:val="clear" w:color="auto" w:fill="auto"/>
        <w:spacing w:after="220" w:line="218" w:lineRule="auto"/>
        <w:rPr>
          <w:sz w:val="20"/>
          <w:szCs w:val="20"/>
        </w:rPr>
      </w:pPr>
      <w:r>
        <w:rPr>
          <w:sz w:val="20"/>
          <w:szCs w:val="20"/>
        </w:rPr>
        <w:t>Naopak, bylo zdůrazněno, že hlavní starostí nyní bude, aby každý vzdělanec byl dle svého vzdělání umístěn. Mladí mohou býti téměř kl</w:t>
      </w:r>
      <w:r>
        <w:rPr>
          <w:sz w:val="20"/>
          <w:szCs w:val="20"/>
        </w:rPr>
        <w:t>idni: byl podán návrh na řešení otázky nezaměstnané inteligence.</w:t>
      </w:r>
    </w:p>
    <w:p w:rsidR="00500724" w:rsidRDefault="00F30FB8">
      <w:pPr>
        <w:pStyle w:val="Zkladntext20"/>
        <w:shd w:val="clear" w:color="auto" w:fill="auto"/>
        <w:spacing w:after="140" w:line="218" w:lineRule="auto"/>
        <w:ind w:firstLine="0"/>
        <w:jc w:val="center"/>
        <w:rPr>
          <w:sz w:val="20"/>
          <w:szCs w:val="20"/>
        </w:rPr>
      </w:pPr>
      <w:r>
        <w:rPr>
          <w:sz w:val="20"/>
          <w:szCs w:val="20"/>
        </w:rPr>
        <w:t>Chudí hoši, kteří se proslavili.</w:t>
      </w:r>
    </w:p>
    <w:p w:rsidR="00500724" w:rsidRDefault="00F30FB8">
      <w:pPr>
        <w:pStyle w:val="Zkladntext20"/>
        <w:shd w:val="clear" w:color="auto" w:fill="auto"/>
        <w:spacing w:line="218" w:lineRule="auto"/>
        <w:rPr>
          <w:sz w:val="20"/>
          <w:szCs w:val="20"/>
        </w:rPr>
      </w:pPr>
      <w:r>
        <w:rPr>
          <w:sz w:val="20"/>
          <w:szCs w:val="20"/>
        </w:rPr>
        <w:t>V raném mládí jsme s velkou oblibou čítávali články o znamenitých mladících, kteří dělali v životě vše možné, než se dočkali zasloužených úspěchů. Byli kamelo</w:t>
      </w:r>
      <w:r>
        <w:rPr>
          <w:sz w:val="20"/>
          <w:szCs w:val="20"/>
        </w:rPr>
        <w:t>ty, číšníky, topiči na lodích, na vlacích, pokud již existo</w:t>
      </w:r>
      <w:r>
        <w:rPr>
          <w:sz w:val="20"/>
          <w:szCs w:val="20"/>
        </w:rPr>
        <w:softHyphen/>
        <w:t>valy, a v jiných podivuhodných živnostech v nejrůzněj</w:t>
      </w:r>
      <w:r>
        <w:rPr>
          <w:sz w:val="20"/>
          <w:szCs w:val="20"/>
        </w:rPr>
        <w:softHyphen/>
        <w:t>ších obměnách.</w:t>
      </w:r>
    </w:p>
    <w:p w:rsidR="00500724" w:rsidRDefault="00F30FB8">
      <w:pPr>
        <w:pStyle w:val="Zkladntext20"/>
        <w:shd w:val="clear" w:color="auto" w:fill="auto"/>
        <w:spacing w:line="218" w:lineRule="auto"/>
        <w:rPr>
          <w:sz w:val="20"/>
          <w:szCs w:val="20"/>
        </w:rPr>
      </w:pPr>
      <w:r>
        <w:rPr>
          <w:sz w:val="20"/>
          <w:szCs w:val="20"/>
        </w:rPr>
        <w:t>Poznali jsme však též jiné hochy, kteří se dovedli pro- slaviti v daleko pozdějších dobách, jichž jsme ještě svědky, tím, že si</w:t>
      </w:r>
      <w:r>
        <w:rPr>
          <w:sz w:val="20"/>
          <w:szCs w:val="20"/>
        </w:rPr>
        <w:t xml:space="preserve"> jednoduše přinesli stůl a inkoust a za</w:t>
      </w:r>
      <w:r>
        <w:rPr>
          <w:sz w:val="20"/>
          <w:szCs w:val="20"/>
        </w:rPr>
        <w:softHyphen/>
        <w:t>čali úřadovat. Žádná řada proměn, jen jedna pozoru</w:t>
      </w:r>
      <w:r>
        <w:rPr>
          <w:sz w:val="20"/>
          <w:szCs w:val="20"/>
        </w:rPr>
        <w:softHyphen/>
        <w:t>hodná přeměna. Nebylo to pravděpodobně nic zásluž</w:t>
      </w:r>
      <w:r>
        <w:rPr>
          <w:sz w:val="20"/>
          <w:szCs w:val="20"/>
        </w:rPr>
        <w:softHyphen/>
        <w:t xml:space="preserve">ného, ani namáhavého. O zásluhách a námaze se začne vyprávěti teprve vnoučatům. </w:t>
      </w:r>
      <w:r>
        <w:rPr>
          <w:b/>
          <w:bCs/>
          <w:sz w:val="20"/>
          <w:szCs w:val="20"/>
        </w:rPr>
        <w:t xml:space="preserve">Ó, </w:t>
      </w:r>
      <w:r>
        <w:rPr>
          <w:sz w:val="20"/>
          <w:szCs w:val="20"/>
        </w:rPr>
        <w:t>té mrštnosti a těch kouzel!</w:t>
      </w:r>
    </w:p>
    <w:p w:rsidR="00500724" w:rsidRDefault="00F30FB8">
      <w:pPr>
        <w:pStyle w:val="Zkladntext20"/>
        <w:shd w:val="clear" w:color="auto" w:fill="auto"/>
        <w:spacing w:line="218" w:lineRule="auto"/>
        <w:rPr>
          <w:sz w:val="20"/>
          <w:szCs w:val="20"/>
        </w:rPr>
      </w:pPr>
      <w:r>
        <w:rPr>
          <w:sz w:val="20"/>
          <w:szCs w:val="20"/>
        </w:rPr>
        <w:t>Poča</w:t>
      </w:r>
      <w:r>
        <w:rPr>
          <w:sz w:val="20"/>
          <w:szCs w:val="20"/>
        </w:rPr>
        <w:t>ly vznikat nové tradice. Úředníky se stávali lidé, kteří studovali, i lidé, kteří nestudovali. Někdo potře</w:t>
      </w:r>
      <w:r>
        <w:rPr>
          <w:sz w:val="20"/>
          <w:szCs w:val="20"/>
        </w:rPr>
        <w:softHyphen/>
        <w:t>boval k získání místa vzdělání, jiný potřeboval něco jiného. Protože však bylo potřebí, omluvit nějak chuť k úřadování, zejména lidí s životním poslá</w:t>
      </w:r>
      <w:r>
        <w:rPr>
          <w:sz w:val="20"/>
          <w:szCs w:val="20"/>
        </w:rPr>
        <w:t>ním do</w:t>
      </w:r>
      <w:r>
        <w:rPr>
          <w:sz w:val="20"/>
          <w:szCs w:val="20"/>
        </w:rPr>
        <w:softHyphen/>
        <w:t>cela jiným, začaly se ozývati hlasy, tvrdící, že vzděláním nenabývá ještě nikdo nároku na místo ve veřejných či jiných službách.</w:t>
      </w:r>
    </w:p>
    <w:p w:rsidR="00500724" w:rsidRDefault="00F30FB8">
      <w:pPr>
        <w:pStyle w:val="Zkladntext20"/>
        <w:shd w:val="clear" w:color="auto" w:fill="auto"/>
        <w:spacing w:after="100" w:line="218" w:lineRule="auto"/>
        <w:rPr>
          <w:sz w:val="20"/>
          <w:szCs w:val="20"/>
        </w:rPr>
      </w:pPr>
      <w:r>
        <w:rPr>
          <w:sz w:val="20"/>
          <w:szCs w:val="20"/>
        </w:rPr>
        <w:t>Že vzděláním se nezískává právního nároku na ně</w:t>
      </w:r>
      <w:r>
        <w:rPr>
          <w:sz w:val="20"/>
          <w:szCs w:val="20"/>
        </w:rPr>
        <w:softHyphen/>
        <w:t>jaké místo, jest jasné. Morální nárok však zajisté ano, pakli jde o ucha</w:t>
      </w:r>
      <w:r>
        <w:rPr>
          <w:sz w:val="20"/>
          <w:szCs w:val="20"/>
        </w:rPr>
        <w:t>zeče se vzděláním a bez něj. Či jest ještě jiné měřítko při ustanovování? Spočtěte si v městech a okresích úředníky bez jakéhokoliv vzdělání; přijdete k tak vysokým číslům v počtu i v příjmech, že počet ne</w:t>
      </w:r>
      <w:r>
        <w:rPr>
          <w:sz w:val="20"/>
          <w:szCs w:val="20"/>
        </w:rPr>
        <w:softHyphen/>
        <w:t>zaměstnané inteligence se v něm hravě ztratí.</w:t>
      </w:r>
    </w:p>
    <w:p w:rsidR="00500724" w:rsidRDefault="00F30FB8">
      <w:pPr>
        <w:pStyle w:val="Zkladntext20"/>
        <w:shd w:val="clear" w:color="auto" w:fill="auto"/>
        <w:spacing w:after="100" w:line="218" w:lineRule="auto"/>
        <w:ind w:firstLine="0"/>
        <w:jc w:val="center"/>
        <w:rPr>
          <w:sz w:val="20"/>
          <w:szCs w:val="20"/>
        </w:rPr>
      </w:pPr>
      <w:r>
        <w:rPr>
          <w:b/>
          <w:bCs/>
          <w:sz w:val="20"/>
          <w:szCs w:val="20"/>
        </w:rPr>
        <w:t>Zdvo</w:t>
      </w:r>
      <w:r>
        <w:rPr>
          <w:b/>
          <w:bCs/>
          <w:sz w:val="20"/>
          <w:szCs w:val="20"/>
        </w:rPr>
        <w:t>řilý doslov.</w:t>
      </w:r>
    </w:p>
    <w:p w:rsidR="00500724" w:rsidRDefault="00F30FB8">
      <w:pPr>
        <w:pStyle w:val="Zkladntext20"/>
        <w:shd w:val="clear" w:color="auto" w:fill="auto"/>
        <w:spacing w:line="218" w:lineRule="auto"/>
        <w:rPr>
          <w:sz w:val="20"/>
          <w:szCs w:val="20"/>
        </w:rPr>
      </w:pPr>
      <w:r>
        <w:rPr>
          <w:sz w:val="20"/>
          <w:szCs w:val="20"/>
        </w:rPr>
        <w:t>Nás, mladých vzdělanců, se dotkly minulé události zejména bolestně. Všichni Čechové je snad pocítili. Ně</w:t>
      </w:r>
      <w:r>
        <w:rPr>
          <w:sz w:val="20"/>
          <w:szCs w:val="20"/>
        </w:rPr>
        <w:softHyphen/>
        <w:t>kterým byly důvodem, že se zatvrdili proti nejmladší složce národa. V tomto mají velmi rozhodné názory. Ach, mladí muži, říkají vám, že ch</w:t>
      </w:r>
      <w:r>
        <w:rPr>
          <w:sz w:val="20"/>
          <w:szCs w:val="20"/>
        </w:rPr>
        <w:t>cete býti zařazeni na zbytečná místa a že chcete, aby vás veřejnost živila, tím, že vaše platy by byly zasunuty do vyšších cen zboží. Snad vás i litují, když říkají, že se musíte dovo</w:t>
      </w:r>
      <w:r>
        <w:rPr>
          <w:sz w:val="20"/>
          <w:szCs w:val="20"/>
        </w:rPr>
        <w:softHyphen/>
        <w:t>lávat veřejné dobročinnosti, abyste mohli býti živi. Možná, že si to tak</w:t>
      </w:r>
      <w:r>
        <w:rPr>
          <w:sz w:val="20"/>
          <w:szCs w:val="20"/>
        </w:rPr>
        <w:t xml:space="preserve"> mohou vykládat, někteří vysoce vážení pánové. Opravdu, my žízníme i hladovíme. Kolik Čechů nám podalo svou pomocnou ruku?</w:t>
      </w:r>
    </w:p>
    <w:p w:rsidR="00500724" w:rsidRDefault="00F30FB8">
      <w:pPr>
        <w:pStyle w:val="Zkladntext20"/>
        <w:shd w:val="clear" w:color="auto" w:fill="auto"/>
        <w:spacing w:line="218" w:lineRule="auto"/>
        <w:rPr>
          <w:sz w:val="20"/>
          <w:szCs w:val="20"/>
        </w:rPr>
      </w:pPr>
      <w:r>
        <w:rPr>
          <w:sz w:val="20"/>
          <w:szCs w:val="20"/>
        </w:rPr>
        <w:t>Stále si připadáme, jako bychom klopýtali v poušti, přes to, že nepřetržitě narážíme na oasy, oplývající mlékem i strdím. Okolo oas j</w:t>
      </w:r>
      <w:r>
        <w:rPr>
          <w:sz w:val="20"/>
          <w:szCs w:val="20"/>
        </w:rPr>
        <w:t xml:space="preserve">sou však ostnaté dráty </w:t>
      </w:r>
      <w:r>
        <w:rPr>
          <w:b/>
          <w:bCs/>
          <w:sz w:val="20"/>
          <w:szCs w:val="20"/>
        </w:rPr>
        <w:t xml:space="preserve">a </w:t>
      </w:r>
      <w:r>
        <w:rPr>
          <w:sz w:val="20"/>
          <w:szCs w:val="20"/>
        </w:rPr>
        <w:t>za nimi dvojité stráže, chránící blahobytný klid i ně</w:t>
      </w:r>
      <w:r>
        <w:rPr>
          <w:sz w:val="20"/>
          <w:szCs w:val="20"/>
        </w:rPr>
        <w:softHyphen/>
        <w:t>kterých z vás, vysoce vážení pánové.</w:t>
      </w:r>
    </w:p>
    <w:p w:rsidR="00500724" w:rsidRDefault="00F30FB8">
      <w:pPr>
        <w:pStyle w:val="Zkladntext20"/>
        <w:shd w:val="clear" w:color="auto" w:fill="auto"/>
        <w:spacing w:line="218" w:lineRule="auto"/>
        <w:rPr>
          <w:sz w:val="20"/>
          <w:szCs w:val="20"/>
        </w:rPr>
      </w:pPr>
      <w:r>
        <w:rPr>
          <w:sz w:val="20"/>
          <w:szCs w:val="20"/>
        </w:rPr>
        <w:t>A my jsme přece vaše tělo a vaše krev.</w:t>
      </w:r>
    </w:p>
    <w:p w:rsidR="00500724" w:rsidRDefault="00F30FB8">
      <w:pPr>
        <w:pStyle w:val="Zkladntext20"/>
        <w:shd w:val="clear" w:color="auto" w:fill="auto"/>
        <w:spacing w:line="218" w:lineRule="auto"/>
        <w:rPr>
          <w:sz w:val="20"/>
          <w:szCs w:val="20"/>
        </w:rPr>
      </w:pPr>
      <w:r>
        <w:rPr>
          <w:sz w:val="20"/>
          <w:szCs w:val="20"/>
        </w:rPr>
        <w:t>Jste vlastně našimi otci, trochu macešskými, dovolí- te-li nám, abychom — ač neradi — užili tohoto sl</w:t>
      </w:r>
      <w:r>
        <w:rPr>
          <w:sz w:val="20"/>
          <w:szCs w:val="20"/>
        </w:rPr>
        <w:t>ova. Někdy nám budete předávat účty svého hospodaření na dědičné roli národa.</w:t>
      </w:r>
    </w:p>
    <w:p w:rsidR="00500724" w:rsidRDefault="00F30FB8">
      <w:pPr>
        <w:pStyle w:val="Zkladntext20"/>
        <w:shd w:val="clear" w:color="auto" w:fill="auto"/>
        <w:spacing w:line="218" w:lineRule="auto"/>
        <w:rPr>
          <w:sz w:val="20"/>
          <w:szCs w:val="20"/>
        </w:rPr>
      </w:pPr>
      <w:r>
        <w:rPr>
          <w:sz w:val="20"/>
          <w:szCs w:val="20"/>
        </w:rPr>
        <w:t>Snad se bojíte našich výčitek. Spěte klidně dále!</w:t>
      </w:r>
    </w:p>
    <w:p w:rsidR="00500724" w:rsidRDefault="00F30FB8">
      <w:pPr>
        <w:pStyle w:val="Zkladntext20"/>
        <w:shd w:val="clear" w:color="auto" w:fill="auto"/>
        <w:spacing w:after="160" w:line="218" w:lineRule="auto"/>
        <w:rPr>
          <w:sz w:val="20"/>
          <w:szCs w:val="20"/>
        </w:rPr>
      </w:pPr>
      <w:r>
        <w:rPr>
          <w:sz w:val="20"/>
          <w:szCs w:val="20"/>
        </w:rPr>
        <w:t>Ale říkáme vám již nyní, že ze všech sil budeme o to státi, aby Čech Čecha vskutku miloval, ne jenom slovy, kterých nyní tolik s</w:t>
      </w:r>
      <w:r>
        <w:rPr>
          <w:sz w:val="20"/>
          <w:szCs w:val="20"/>
        </w:rPr>
        <w:t>lyšíme.</w:t>
      </w:r>
    </w:p>
    <w:p w:rsidR="00500724" w:rsidRDefault="00F30FB8">
      <w:pPr>
        <w:pStyle w:val="Jin0"/>
        <w:shd w:val="clear" w:color="auto" w:fill="auto"/>
        <w:ind w:firstLine="0"/>
        <w:jc w:val="left"/>
        <w:rPr>
          <w:sz w:val="44"/>
          <w:szCs w:val="44"/>
        </w:rPr>
      </w:pPr>
      <w:r>
        <w:rPr>
          <w:b/>
          <w:bCs/>
          <w:sz w:val="44"/>
          <w:szCs w:val="44"/>
        </w:rPr>
        <w:t>feuilleton</w:t>
      </w:r>
    </w:p>
    <w:p w:rsidR="00500724" w:rsidRDefault="00F30FB8">
      <w:pPr>
        <w:pStyle w:val="Zkladntext20"/>
        <w:pBdr>
          <w:bottom w:val="single" w:sz="4" w:space="0" w:color="auto"/>
        </w:pBdr>
        <w:shd w:val="clear" w:color="auto" w:fill="auto"/>
        <w:tabs>
          <w:tab w:val="left" w:leader="hyphen" w:pos="5037"/>
        </w:tabs>
        <w:spacing w:after="160" w:line="194" w:lineRule="auto"/>
        <w:ind w:left="4240" w:firstLine="0"/>
        <w:rPr>
          <w:sz w:val="20"/>
          <w:szCs w:val="20"/>
        </w:rPr>
      </w:pPr>
      <w:r>
        <w:rPr>
          <w:sz w:val="20"/>
          <w:szCs w:val="20"/>
        </w:rPr>
        <w:tab/>
        <w:t>*</w:t>
      </w:r>
    </w:p>
    <w:p w:rsidR="00500724" w:rsidRDefault="00F30FB8">
      <w:pPr>
        <w:pStyle w:val="Zkladntext20"/>
        <w:shd w:val="clear" w:color="auto" w:fill="auto"/>
        <w:spacing w:after="100" w:line="218" w:lineRule="auto"/>
        <w:ind w:firstLine="0"/>
        <w:rPr>
          <w:sz w:val="20"/>
          <w:szCs w:val="20"/>
        </w:rPr>
      </w:pPr>
      <w:r>
        <w:rPr>
          <w:i/>
          <w:iCs/>
          <w:sz w:val="20"/>
          <w:szCs w:val="20"/>
        </w:rPr>
        <w:t>Krešimir K o v a či c:</w:t>
      </w:r>
    </w:p>
    <w:p w:rsidR="00500724" w:rsidRDefault="00F30FB8">
      <w:pPr>
        <w:pStyle w:val="Jin0"/>
        <w:shd w:val="clear" w:color="auto" w:fill="auto"/>
        <w:spacing w:after="100" w:line="211" w:lineRule="auto"/>
        <w:ind w:firstLine="0"/>
        <w:jc w:val="center"/>
        <w:rPr>
          <w:sz w:val="28"/>
          <w:szCs w:val="28"/>
        </w:rPr>
      </w:pPr>
      <w:r>
        <w:rPr>
          <w:b/>
          <w:bCs/>
          <w:sz w:val="28"/>
          <w:szCs w:val="28"/>
        </w:rPr>
        <w:t>Člověk, který zcela podle předpisu</w:t>
      </w:r>
      <w:r>
        <w:rPr>
          <w:b/>
          <w:bCs/>
          <w:sz w:val="28"/>
          <w:szCs w:val="28"/>
        </w:rPr>
        <w:br/>
        <w:t>přišel o rozum</w:t>
      </w:r>
    </w:p>
    <w:p w:rsidR="00500724" w:rsidRDefault="00F30FB8">
      <w:pPr>
        <w:pStyle w:val="Zkladntext100"/>
        <w:shd w:val="clear" w:color="auto" w:fill="auto"/>
        <w:spacing w:after="100" w:line="194" w:lineRule="auto"/>
        <w:ind w:left="520" w:firstLine="220"/>
      </w:pPr>
      <w:r>
        <w:t>Vyjímáme tuto satiru na poměry mezi Srby a Char</w:t>
      </w:r>
      <w:r>
        <w:softHyphen/>
        <w:t>váty z knihy známého záhřebského novináře Krešimira Kovačiée „Smích náš vezdejší“, vydané ve sbírce „Mo</w:t>
      </w:r>
      <w:r>
        <w:softHyphen/>
        <w:t xml:space="preserve">derní </w:t>
      </w:r>
      <w:r>
        <w:t>hrvatski pisci“.</w:t>
      </w:r>
    </w:p>
    <w:p w:rsidR="00500724" w:rsidRDefault="00F30FB8">
      <w:pPr>
        <w:pStyle w:val="Zkladntext20"/>
        <w:shd w:val="clear" w:color="auto" w:fill="auto"/>
        <w:spacing w:line="204" w:lineRule="auto"/>
        <w:rPr>
          <w:sz w:val="20"/>
          <w:szCs w:val="20"/>
        </w:rPr>
      </w:pPr>
      <w:r>
        <w:rPr>
          <w:i/>
          <w:iCs/>
          <w:sz w:val="20"/>
          <w:szCs w:val="20"/>
        </w:rPr>
        <w:t>Dva jsou jeden! Jeden jsou dva! Proč tomu nerozumějí? Proč to nedovedou pochopit? Jaké jsou to nyní časy a jací lidé!</w:t>
      </w:r>
    </w:p>
    <w:p w:rsidR="00500724" w:rsidRDefault="00F30FB8">
      <w:pPr>
        <w:pStyle w:val="Zkladntext20"/>
        <w:shd w:val="clear" w:color="auto" w:fill="auto"/>
        <w:spacing w:line="197" w:lineRule="auto"/>
        <w:rPr>
          <w:sz w:val="20"/>
          <w:szCs w:val="20"/>
        </w:rPr>
      </w:pPr>
      <w:r>
        <w:rPr>
          <w:i/>
          <w:iCs/>
          <w:sz w:val="20"/>
          <w:szCs w:val="20"/>
        </w:rPr>
        <w:t>Narodil jsem se v malém městečku bývalé Vojenské krajiny. A měl jsem štěstí spatřit svět jako syn dvou ná</w:t>
      </w:r>
      <w:r>
        <w:rPr>
          <w:i/>
          <w:iCs/>
          <w:sz w:val="20"/>
          <w:szCs w:val="20"/>
        </w:rPr>
        <w:softHyphen/>
        <w:t xml:space="preserve">rodů. Můj otec </w:t>
      </w:r>
      <w:r>
        <w:rPr>
          <w:i/>
          <w:iCs/>
          <w:sz w:val="20"/>
          <w:szCs w:val="20"/>
        </w:rPr>
        <w:t>a matka představovali dva národy a při</w:t>
      </w:r>
      <w:r>
        <w:rPr>
          <w:i/>
          <w:iCs/>
          <w:sz w:val="20"/>
          <w:szCs w:val="20"/>
        </w:rPr>
        <w:softHyphen/>
        <w:t>vedli na svět dva evropské národy současně.</w:t>
      </w:r>
    </w:p>
    <w:p w:rsidR="00500724" w:rsidRDefault="00F30FB8">
      <w:pPr>
        <w:pStyle w:val="Zkladntext20"/>
        <w:shd w:val="clear" w:color="auto" w:fill="auto"/>
        <w:spacing w:line="202" w:lineRule="auto"/>
        <w:rPr>
          <w:sz w:val="20"/>
          <w:szCs w:val="20"/>
        </w:rPr>
      </w:pPr>
      <w:r>
        <w:rPr>
          <w:sz w:val="19"/>
          <w:szCs w:val="19"/>
        </w:rPr>
        <w:t xml:space="preserve">A </w:t>
      </w:r>
      <w:r>
        <w:rPr>
          <w:i/>
          <w:iCs/>
          <w:sz w:val="20"/>
          <w:szCs w:val="20"/>
        </w:rPr>
        <w:t>hle, dnes již svět nerozumí, že se z jedné dvojice lidi mohou zroditi dva národy. Sodoma a Gomorra, šílenství sestoupily na tuto zemi.</w:t>
      </w:r>
    </w:p>
    <w:p w:rsidR="00500724" w:rsidRDefault="00F30FB8">
      <w:pPr>
        <w:pStyle w:val="Zkladntext20"/>
        <w:shd w:val="clear" w:color="auto" w:fill="auto"/>
        <w:spacing w:line="197" w:lineRule="auto"/>
        <w:rPr>
          <w:sz w:val="20"/>
          <w:szCs w:val="20"/>
        </w:rPr>
      </w:pPr>
      <w:r>
        <w:rPr>
          <w:i/>
          <w:iCs/>
          <w:sz w:val="20"/>
          <w:szCs w:val="20"/>
        </w:rPr>
        <w:t>Můj otec byl pravoslavné víry, matka</w:t>
      </w:r>
      <w:r>
        <w:rPr>
          <w:i/>
          <w:iCs/>
          <w:sz w:val="20"/>
          <w:szCs w:val="20"/>
        </w:rPr>
        <w:t xml:space="preserve"> katolické. Sňa</w:t>
      </w:r>
      <w:r>
        <w:rPr>
          <w:i/>
          <w:iCs/>
          <w:sz w:val="20"/>
          <w:szCs w:val="20"/>
        </w:rPr>
        <w:softHyphen/>
        <w:t>tek uzavřeli v pravoslavném i v katolickém kostele., A do</w:t>
      </w:r>
      <w:r>
        <w:rPr>
          <w:i/>
          <w:iCs/>
          <w:sz w:val="20"/>
          <w:szCs w:val="20"/>
        </w:rPr>
        <w:softHyphen/>
        <w:t>hodli se, že jeden syn bude patřiti srbskému a druhý char- vátskému národu. Tak to žádala bratrská shoda, rovno</w:t>
      </w:r>
      <w:r>
        <w:rPr>
          <w:i/>
          <w:iCs/>
          <w:sz w:val="20"/>
          <w:szCs w:val="20"/>
        </w:rPr>
        <w:softHyphen/>
        <w:t>váha a svornost mezi oběma národy.</w:t>
      </w:r>
    </w:p>
    <w:p w:rsidR="00500724" w:rsidRDefault="00F30FB8">
      <w:pPr>
        <w:pStyle w:val="Zkladntext20"/>
        <w:shd w:val="clear" w:color="auto" w:fill="auto"/>
        <w:spacing w:line="197" w:lineRule="auto"/>
        <w:rPr>
          <w:sz w:val="20"/>
          <w:szCs w:val="20"/>
        </w:rPr>
      </w:pPr>
      <w:r>
        <w:rPr>
          <w:i/>
          <w:iCs/>
          <w:sz w:val="20"/>
          <w:szCs w:val="20"/>
        </w:rPr>
        <w:t>Matka porodila dvojčata ...</w:t>
      </w:r>
    </w:p>
    <w:p w:rsidR="00500724" w:rsidRDefault="00F30FB8">
      <w:pPr>
        <w:pStyle w:val="Zkladntext20"/>
        <w:shd w:val="clear" w:color="auto" w:fill="auto"/>
        <w:spacing w:line="197" w:lineRule="auto"/>
        <w:rPr>
          <w:sz w:val="20"/>
          <w:szCs w:val="20"/>
        </w:rPr>
      </w:pPr>
      <w:r>
        <w:rPr>
          <w:i/>
          <w:iCs/>
          <w:sz w:val="20"/>
          <w:szCs w:val="20"/>
        </w:rPr>
        <w:t>Jeden b</w:t>
      </w:r>
      <w:r>
        <w:rPr>
          <w:i/>
          <w:iCs/>
          <w:sz w:val="20"/>
          <w:szCs w:val="20"/>
        </w:rPr>
        <w:t>yl tedy Srb a pojmenovali ho Dušan,Silný, druhý byl Charvát a dostal jméno Krešimir Veliký. Kre- šimír Veliký byl malý trpaslík a Dušan Silný byl rachi- ticlcý.</w:t>
      </w:r>
    </w:p>
    <w:p w:rsidR="00500724" w:rsidRDefault="00F30FB8">
      <w:pPr>
        <w:pStyle w:val="Zkladntext20"/>
        <w:shd w:val="clear" w:color="auto" w:fill="auto"/>
        <w:spacing w:after="100" w:line="211" w:lineRule="auto"/>
        <w:rPr>
          <w:sz w:val="20"/>
          <w:szCs w:val="20"/>
        </w:rPr>
      </w:pPr>
      <w:r>
        <w:rPr>
          <w:i/>
          <w:iCs/>
          <w:sz w:val="20"/>
          <w:szCs w:val="20"/>
        </w:rPr>
        <w:t>Nuže, není vám ted! docela jasno, že moje máti porodila současně dva národy?</w:t>
      </w:r>
    </w:p>
    <w:p w:rsidR="00500724" w:rsidRDefault="00F30FB8">
      <w:pPr>
        <w:pStyle w:val="Zkladntext20"/>
        <w:shd w:val="clear" w:color="auto" w:fill="auto"/>
        <w:spacing w:line="197" w:lineRule="auto"/>
        <w:rPr>
          <w:sz w:val="20"/>
          <w:szCs w:val="20"/>
        </w:rPr>
      </w:pPr>
      <w:r>
        <w:rPr>
          <w:i/>
          <w:iCs/>
          <w:sz w:val="20"/>
          <w:szCs w:val="20"/>
        </w:rPr>
        <w:t xml:space="preserve">Dva národy žily v </w:t>
      </w:r>
      <w:r>
        <w:rPr>
          <w:i/>
          <w:iCs/>
          <w:sz w:val="20"/>
          <w:szCs w:val="20"/>
        </w:rPr>
        <w:t>jednom a tomtéž přízemním stavení.</w:t>
      </w:r>
    </w:p>
    <w:p w:rsidR="00500724" w:rsidRDefault="00F30FB8">
      <w:pPr>
        <w:pStyle w:val="Zkladntext20"/>
        <w:numPr>
          <w:ilvl w:val="0"/>
          <w:numId w:val="103"/>
        </w:numPr>
        <w:shd w:val="clear" w:color="auto" w:fill="auto"/>
        <w:tabs>
          <w:tab w:val="left" w:pos="476"/>
        </w:tabs>
        <w:spacing w:line="197" w:lineRule="auto"/>
        <w:rPr>
          <w:sz w:val="20"/>
          <w:szCs w:val="20"/>
        </w:rPr>
      </w:pPr>
      <w:r>
        <w:rPr>
          <w:i/>
          <w:iCs/>
          <w:sz w:val="20"/>
          <w:szCs w:val="20"/>
        </w:rPr>
        <w:t>prvé světnici nebylo možno vésti mezi nimi hranice. Oba národy sešly se každého večera v jedné posteli. Kdo by tady vedl demarkační čáru? To byla světnice mých rodičů.</w:t>
      </w:r>
    </w:p>
    <w:p w:rsidR="00500724" w:rsidRDefault="00F30FB8">
      <w:pPr>
        <w:pStyle w:val="Zkladntext20"/>
        <w:numPr>
          <w:ilvl w:val="0"/>
          <w:numId w:val="103"/>
        </w:numPr>
        <w:shd w:val="clear" w:color="auto" w:fill="auto"/>
        <w:tabs>
          <w:tab w:val="left" w:pos="486"/>
        </w:tabs>
        <w:spacing w:line="197" w:lineRule="auto"/>
        <w:rPr>
          <w:sz w:val="20"/>
          <w:szCs w:val="20"/>
        </w:rPr>
      </w:pPr>
      <w:r>
        <w:rPr>
          <w:i/>
          <w:iCs/>
          <w:sz w:val="20"/>
          <w:szCs w:val="20"/>
        </w:rPr>
        <w:t>druhé světnici byla hranice jasnější. Každý z obou ná</w:t>
      </w:r>
      <w:r>
        <w:rPr>
          <w:i/>
          <w:iCs/>
          <w:sz w:val="20"/>
          <w:szCs w:val="20"/>
        </w:rPr>
        <w:t>rodů měl tu svou zvláštní postel. Zde jsem bydlil já a můj bratr.</w:t>
      </w:r>
    </w:p>
    <w:p w:rsidR="00500724" w:rsidRDefault="00F30FB8">
      <w:pPr>
        <w:pStyle w:val="Zkladntext20"/>
        <w:shd w:val="clear" w:color="auto" w:fill="auto"/>
        <w:spacing w:line="197" w:lineRule="auto"/>
        <w:rPr>
          <w:sz w:val="20"/>
          <w:szCs w:val="20"/>
        </w:rPr>
      </w:pPr>
      <w:r>
        <w:rPr>
          <w:i/>
          <w:iCs/>
          <w:sz w:val="20"/>
          <w:szCs w:val="20"/>
        </w:rPr>
        <w:t xml:space="preserve">Úplné rozhraničení bylo provedeno v krajní části domu. Tam bydlily moje teta Srbka, jménem </w:t>
      </w:r>
      <w:r>
        <w:rPr>
          <w:i/>
          <w:iCs/>
          <w:sz w:val="20"/>
          <w:szCs w:val="20"/>
          <w:lang w:val="en-US" w:eastAsia="en-US" w:bidi="en-US"/>
        </w:rPr>
        <w:t xml:space="preserve">Pelagia, </w:t>
      </w:r>
      <w:r>
        <w:rPr>
          <w:i/>
          <w:iCs/>
          <w:sz w:val="20"/>
          <w:szCs w:val="20"/>
        </w:rPr>
        <w:t>a moje teta Charvátka, jménem Cilika. Každá měla světnici pro sebe.</w:t>
      </w:r>
    </w:p>
    <w:p w:rsidR="00500724" w:rsidRDefault="00F30FB8">
      <w:pPr>
        <w:pStyle w:val="Zkladntext20"/>
        <w:shd w:val="clear" w:color="auto" w:fill="auto"/>
        <w:spacing w:line="197" w:lineRule="auto"/>
        <w:rPr>
          <w:sz w:val="20"/>
          <w:szCs w:val="20"/>
        </w:rPr>
      </w:pPr>
      <w:r>
        <w:rPr>
          <w:i/>
          <w:iCs/>
          <w:sz w:val="20"/>
          <w:szCs w:val="20"/>
        </w:rPr>
        <w:t>Musím vzpomenouti ješt</w:t>
      </w:r>
      <w:r>
        <w:rPr>
          <w:i/>
          <w:iCs/>
          <w:sz w:val="20"/>
          <w:szCs w:val="20"/>
        </w:rPr>
        <w:t>ě jednoho, třetího a bezejmen</w:t>
      </w:r>
      <w:r>
        <w:rPr>
          <w:i/>
          <w:iCs/>
          <w:sz w:val="20"/>
          <w:szCs w:val="20"/>
        </w:rPr>
        <w:softHyphen/>
        <w:t>ného národa. To byl můj děd, janičářský poručík v pensí. Chodil do pravoslavného i do katolického kostela, nestál ani o eirilici ani o latinku a četl jenom cizí noviny. Ještě dnes nevím, kterému národu vlastně připadal.</w:t>
      </w:r>
    </w:p>
    <w:p w:rsidR="00500724" w:rsidRDefault="00F30FB8">
      <w:pPr>
        <w:pStyle w:val="Zkladntext20"/>
        <w:shd w:val="clear" w:color="auto" w:fill="auto"/>
        <w:spacing w:line="197" w:lineRule="auto"/>
        <w:rPr>
          <w:sz w:val="20"/>
          <w:szCs w:val="20"/>
        </w:rPr>
      </w:pPr>
      <w:r>
        <w:rPr>
          <w:i/>
          <w:iCs/>
          <w:sz w:val="20"/>
          <w:szCs w:val="20"/>
        </w:rPr>
        <w:t>Teta P</w:t>
      </w:r>
      <w:r>
        <w:rPr>
          <w:i/>
          <w:iCs/>
          <w:sz w:val="20"/>
          <w:szCs w:val="20"/>
        </w:rPr>
        <w:t>elagija byla široká a mastná jako palačinka, teta Cilika byla vytáhlá a hubená jako nudle. Srbka Pelagija měla ráda mne, Charváta, a Cilika měla raději mého bratra Srba.</w:t>
      </w:r>
    </w:p>
    <w:p w:rsidR="00500724" w:rsidRDefault="00F30FB8">
      <w:pPr>
        <w:pStyle w:val="Zkladntext20"/>
        <w:shd w:val="clear" w:color="auto" w:fill="auto"/>
        <w:spacing w:line="197" w:lineRule="auto"/>
        <w:rPr>
          <w:sz w:val="20"/>
          <w:szCs w:val="20"/>
        </w:rPr>
      </w:pPr>
      <w:r>
        <w:rPr>
          <w:i/>
          <w:iCs/>
          <w:sz w:val="20"/>
          <w:szCs w:val="20"/>
        </w:rPr>
        <w:t>A já jsem více miloval Pelagii než Ciliku, můj bratr zase miloval víc tetu Charvátku n</w:t>
      </w:r>
      <w:r>
        <w:rPr>
          <w:i/>
          <w:iCs/>
          <w:sz w:val="20"/>
          <w:szCs w:val="20"/>
        </w:rPr>
        <w:t>ež tetu Srbku.</w:t>
      </w:r>
    </w:p>
    <w:p w:rsidR="00500724" w:rsidRDefault="00F30FB8">
      <w:pPr>
        <w:pStyle w:val="Zkladntext20"/>
        <w:shd w:val="clear" w:color="auto" w:fill="auto"/>
        <w:spacing w:line="197" w:lineRule="auto"/>
        <w:rPr>
          <w:sz w:val="20"/>
          <w:szCs w:val="20"/>
        </w:rPr>
      </w:pPr>
      <w:r>
        <w:rPr>
          <w:i/>
          <w:iCs/>
          <w:sz w:val="20"/>
          <w:szCs w:val="20"/>
        </w:rPr>
        <w:t>Proč ?</w:t>
      </w:r>
    </w:p>
    <w:p w:rsidR="00500724" w:rsidRDefault="00F30FB8">
      <w:pPr>
        <w:pStyle w:val="Zkladntext20"/>
        <w:shd w:val="clear" w:color="auto" w:fill="auto"/>
        <w:spacing w:line="197" w:lineRule="auto"/>
        <w:rPr>
          <w:sz w:val="20"/>
          <w:szCs w:val="20"/>
        </w:rPr>
      </w:pPr>
      <w:r>
        <w:rPr>
          <w:i/>
          <w:iCs/>
          <w:sz w:val="20"/>
          <w:szCs w:val="20"/>
        </w:rPr>
        <w:t>Inu, Srbka mi dávala pětník, abych řekl, že jsem Srb. 'A Charvátka dávala mému bratru pětník, aby řekl, že je Charvát.</w:t>
      </w:r>
    </w:p>
    <w:p w:rsidR="00500724" w:rsidRDefault="00F30FB8">
      <w:pPr>
        <w:pStyle w:val="Zkladntext20"/>
        <w:shd w:val="clear" w:color="auto" w:fill="auto"/>
        <w:spacing w:line="197" w:lineRule="auto"/>
        <w:rPr>
          <w:sz w:val="20"/>
          <w:szCs w:val="20"/>
        </w:rPr>
      </w:pPr>
      <w:r>
        <w:rPr>
          <w:i/>
          <w:iCs/>
          <w:sz w:val="20"/>
          <w:szCs w:val="20"/>
        </w:rPr>
        <w:t>A když jsem v posteli chrupal svou čokoládu, můj bratr Srb, který už svou snědl, vyčítal mi s pohrdáním:</w:t>
      </w:r>
    </w:p>
    <w:p w:rsidR="00500724" w:rsidRDefault="00F30FB8">
      <w:pPr>
        <w:pStyle w:val="Zkladntext20"/>
        <w:numPr>
          <w:ilvl w:val="0"/>
          <w:numId w:val="104"/>
        </w:numPr>
        <w:shd w:val="clear" w:color="auto" w:fill="auto"/>
        <w:tabs>
          <w:tab w:val="left" w:pos="582"/>
        </w:tabs>
        <w:spacing w:line="197" w:lineRule="auto"/>
        <w:rPr>
          <w:sz w:val="20"/>
          <w:szCs w:val="20"/>
        </w:rPr>
      </w:pPr>
      <w:r>
        <w:rPr>
          <w:i/>
          <w:iCs/>
          <w:sz w:val="20"/>
          <w:szCs w:val="20"/>
        </w:rPr>
        <w:t>Neřáde, za</w:t>
      </w:r>
      <w:r>
        <w:rPr>
          <w:i/>
          <w:iCs/>
          <w:sz w:val="20"/>
          <w:szCs w:val="20"/>
        </w:rPr>
        <w:t>se jsi dnes zradil a prodal Chorvátsko!</w:t>
      </w:r>
    </w:p>
    <w:p w:rsidR="00500724" w:rsidRDefault="00F30FB8">
      <w:pPr>
        <w:pStyle w:val="Zkladntext20"/>
        <w:shd w:val="clear" w:color="auto" w:fill="auto"/>
        <w:spacing w:line="197" w:lineRule="auto"/>
        <w:rPr>
          <w:sz w:val="20"/>
          <w:szCs w:val="20"/>
        </w:rPr>
      </w:pPr>
      <w:r>
        <w:rPr>
          <w:i/>
          <w:iCs/>
          <w:sz w:val="20"/>
          <w:szCs w:val="20"/>
        </w:rPr>
        <w:t>Za to jsem druhého dne já jemu vyčetl zrádcóvskou</w:t>
      </w:r>
    </w:p>
    <w:p w:rsidR="00500724" w:rsidRDefault="00F30FB8">
      <w:pPr>
        <w:pStyle w:val="Zkladntext20"/>
        <w:shd w:val="clear" w:color="auto" w:fill="auto"/>
        <w:spacing w:after="340" w:line="197" w:lineRule="auto"/>
        <w:ind w:firstLine="0"/>
        <w:rPr>
          <w:sz w:val="20"/>
          <w:szCs w:val="20"/>
        </w:rPr>
      </w:pPr>
      <w:r>
        <w:rPr>
          <w:i/>
          <w:iCs/>
          <w:sz w:val="20"/>
          <w:szCs w:val="20"/>
        </w:rPr>
        <w:t>čokoládu a prodej Srbstva!</w:t>
      </w:r>
    </w:p>
    <w:p w:rsidR="00500724" w:rsidRDefault="00F30FB8">
      <w:pPr>
        <w:pStyle w:val="Zkladntext20"/>
        <w:shd w:val="clear" w:color="auto" w:fill="auto"/>
        <w:spacing w:line="194" w:lineRule="auto"/>
        <w:rPr>
          <w:sz w:val="20"/>
          <w:szCs w:val="20"/>
        </w:rPr>
      </w:pPr>
      <w:r>
        <w:rPr>
          <w:i/>
          <w:iCs/>
          <w:sz w:val="20"/>
          <w:szCs w:val="20"/>
        </w:rPr>
        <w:t>Tety se po celý den věnovaly ručním práčem a hovořily O všeličems, napůl v našem, napůl v německém jazyce, jak se to v té době slušelo na ž</w:t>
      </w:r>
      <w:r>
        <w:rPr>
          <w:i/>
          <w:iCs/>
          <w:sz w:val="20"/>
          <w:szCs w:val="20"/>
        </w:rPr>
        <w:t>eny z lepších rodin.</w:t>
      </w:r>
    </w:p>
    <w:p w:rsidR="00500724" w:rsidRDefault="00F30FB8">
      <w:pPr>
        <w:pStyle w:val="Zkladntext20"/>
        <w:shd w:val="clear" w:color="auto" w:fill="auto"/>
        <w:spacing w:line="194" w:lineRule="auto"/>
        <w:rPr>
          <w:sz w:val="20"/>
          <w:szCs w:val="20"/>
        </w:rPr>
      </w:pPr>
      <w:r>
        <w:rPr>
          <w:i/>
          <w:iCs/>
          <w:sz w:val="20"/>
          <w:szCs w:val="20"/>
        </w:rPr>
        <w:t>Ták jednou za měsíc vstoupil do nich nějaký běs, který vzbouřil celý dům. Můj děd odcházel pak do svého pokoje a bručel:</w:t>
      </w:r>
    </w:p>
    <w:p w:rsidR="00500724" w:rsidRDefault="00F30FB8">
      <w:pPr>
        <w:pStyle w:val="Zkladntext20"/>
        <w:numPr>
          <w:ilvl w:val="0"/>
          <w:numId w:val="104"/>
        </w:numPr>
        <w:shd w:val="clear" w:color="auto" w:fill="auto"/>
        <w:tabs>
          <w:tab w:val="left" w:pos="582"/>
        </w:tabs>
        <w:spacing w:line="194" w:lineRule="auto"/>
        <w:rPr>
          <w:sz w:val="20"/>
          <w:szCs w:val="20"/>
        </w:rPr>
      </w:pPr>
      <w:r>
        <w:rPr>
          <w:i/>
          <w:iCs/>
          <w:sz w:val="20"/>
          <w:szCs w:val="20"/>
        </w:rPr>
        <w:t xml:space="preserve">Ja, </w:t>
      </w:r>
      <w:r>
        <w:rPr>
          <w:i/>
          <w:iCs/>
          <w:sz w:val="20"/>
          <w:szCs w:val="20"/>
          <w:lang w:val="en-US" w:eastAsia="en-US" w:bidi="en-US"/>
        </w:rPr>
        <w:t xml:space="preserve">die </w:t>
      </w:r>
      <w:r>
        <w:rPr>
          <w:i/>
          <w:iCs/>
          <w:sz w:val="20"/>
          <w:szCs w:val="20"/>
        </w:rPr>
        <w:t>verfluchte Frauenzimmer. Zatracené báby!</w:t>
      </w:r>
    </w:p>
    <w:p w:rsidR="00500724" w:rsidRDefault="00F30FB8">
      <w:pPr>
        <w:pStyle w:val="Zkladntext20"/>
        <w:shd w:val="clear" w:color="auto" w:fill="auto"/>
        <w:spacing w:line="194" w:lineRule="auto"/>
        <w:rPr>
          <w:sz w:val="20"/>
          <w:szCs w:val="20"/>
        </w:rPr>
      </w:pPr>
      <w:r>
        <w:rPr>
          <w:i/>
          <w:iCs/>
          <w:sz w:val="20"/>
          <w:szCs w:val="20"/>
        </w:rPr>
        <w:t>Hádka vždycky končila tím, že teta Cilika energicky</w:t>
      </w:r>
    </w:p>
    <w:p w:rsidR="00500724" w:rsidRDefault="00F30FB8">
      <w:pPr>
        <w:pStyle w:val="Zkladntext20"/>
        <w:shd w:val="clear" w:color="auto" w:fill="auto"/>
        <w:spacing w:line="194" w:lineRule="auto"/>
        <w:ind w:firstLine="0"/>
        <w:rPr>
          <w:sz w:val="20"/>
          <w:szCs w:val="20"/>
        </w:rPr>
      </w:pPr>
      <w:r>
        <w:rPr>
          <w:i/>
          <w:iCs/>
          <w:sz w:val="20"/>
          <w:szCs w:val="20"/>
        </w:rPr>
        <w:t xml:space="preserve">ukázala </w:t>
      </w:r>
      <w:r>
        <w:rPr>
          <w:i/>
          <w:iCs/>
          <w:sz w:val="20"/>
          <w:szCs w:val="20"/>
        </w:rPr>
        <w:t>prstem na dveře Pelagijina pokoje a zvolala:</w:t>
      </w:r>
    </w:p>
    <w:p w:rsidR="00500724" w:rsidRDefault="00F30FB8">
      <w:pPr>
        <w:pStyle w:val="Zkladntext20"/>
        <w:numPr>
          <w:ilvl w:val="0"/>
          <w:numId w:val="104"/>
        </w:numPr>
        <w:shd w:val="clear" w:color="auto" w:fill="auto"/>
        <w:tabs>
          <w:tab w:val="left" w:pos="582"/>
        </w:tabs>
        <w:spacing w:line="194" w:lineRule="auto"/>
        <w:rPr>
          <w:sz w:val="20"/>
          <w:szCs w:val="20"/>
        </w:rPr>
      </w:pPr>
      <w:r>
        <w:rPr>
          <w:i/>
          <w:iCs/>
          <w:sz w:val="20"/>
          <w:szCs w:val="20"/>
        </w:rPr>
        <w:t>Táhni si tam do svého Srbska! Tady je Charvátsko!</w:t>
      </w:r>
    </w:p>
    <w:p w:rsidR="00500724" w:rsidRDefault="00F30FB8">
      <w:pPr>
        <w:pStyle w:val="Zkladntext20"/>
        <w:shd w:val="clear" w:color="auto" w:fill="auto"/>
        <w:spacing w:line="194" w:lineRule="auto"/>
        <w:rPr>
          <w:sz w:val="20"/>
          <w:szCs w:val="20"/>
        </w:rPr>
      </w:pPr>
      <w:r>
        <w:rPr>
          <w:i/>
          <w:iCs/>
          <w:sz w:val="20"/>
          <w:szCs w:val="20"/>
        </w:rPr>
        <w:t>Potom ostře práskla dveřmi své světnice. Proto jsem ve</w:t>
      </w:r>
    </w:p>
    <w:p w:rsidR="00500724" w:rsidRDefault="00F30FB8">
      <w:pPr>
        <w:pStyle w:val="Zkladntext20"/>
        <w:shd w:val="clear" w:color="auto" w:fill="auto"/>
        <w:spacing w:line="194" w:lineRule="auto"/>
        <w:ind w:firstLine="0"/>
        <w:rPr>
          <w:sz w:val="20"/>
          <w:szCs w:val="20"/>
        </w:rPr>
      </w:pPr>
      <w:r>
        <w:rPr>
          <w:i/>
          <w:iCs/>
          <w:sz w:val="20"/>
          <w:szCs w:val="20"/>
        </w:rPr>
        <w:t>svém dětství pokládal Pelagijinu světnici za Srbsko a svět</w:t>
      </w:r>
      <w:r>
        <w:rPr>
          <w:i/>
          <w:iCs/>
          <w:sz w:val="20"/>
          <w:szCs w:val="20"/>
        </w:rPr>
        <w:softHyphen/>
        <w:t>nici tety Ciliky za Charvátsko. Rozdíl mezi nim</w:t>
      </w:r>
      <w:r>
        <w:rPr>
          <w:i/>
          <w:iCs/>
          <w:sz w:val="20"/>
          <w:szCs w:val="20"/>
        </w:rPr>
        <w:t>i nebyl ve</w:t>
      </w:r>
      <w:r>
        <w:rPr>
          <w:i/>
          <w:iCs/>
          <w:sz w:val="20"/>
          <w:szCs w:val="20"/>
        </w:rPr>
        <w:softHyphen/>
        <w:t>liký. Světnice tety Pelagije voněla lihem a jalovcem a svět</w:t>
      </w:r>
      <w:r>
        <w:rPr>
          <w:i/>
          <w:iCs/>
          <w:sz w:val="20"/>
          <w:szCs w:val="20"/>
        </w:rPr>
        <w:softHyphen/>
        <w:t>nice tety Ciliky voněla jalovcem a lihem. V jedné byl obraz devíti Jugovičů, ve druhé obraz Zrinských a Franko- panů. Zrinští a Frankopani měli úplně stejné kníry a Ju- goviči stejné br</w:t>
      </w:r>
      <w:r>
        <w:rPr>
          <w:i/>
          <w:iCs/>
          <w:sz w:val="20"/>
          <w:szCs w:val="20"/>
        </w:rPr>
        <w:t>ady. V jedné bylo mnoho skleniček a lahvi</w:t>
      </w:r>
      <w:r>
        <w:rPr>
          <w:i/>
          <w:iCs/>
          <w:sz w:val="20"/>
          <w:szCs w:val="20"/>
        </w:rPr>
        <w:softHyphen/>
        <w:t>ček se srbskou trikolorou, v druhé s chorvátskou. Jako největší vzácnost v pokoji tety Ciliky byla vystavena na skříni veliká, dvoulitrová láhev s obrazem Ante Starčeviče s nápisem:</w:t>
      </w:r>
    </w:p>
    <w:p w:rsidR="00500724" w:rsidRDefault="00F30FB8">
      <w:pPr>
        <w:pStyle w:val="Zkladntext20"/>
        <w:shd w:val="clear" w:color="auto" w:fill="auto"/>
        <w:spacing w:after="120" w:line="194" w:lineRule="auto"/>
        <w:ind w:left="1600" w:right="1480" w:firstLine="0"/>
        <w:jc w:val="left"/>
        <w:rPr>
          <w:sz w:val="20"/>
          <w:szCs w:val="20"/>
        </w:rPr>
      </w:pPr>
      <w:r>
        <w:rPr>
          <w:i/>
          <w:iCs/>
          <w:sz w:val="20"/>
          <w:szCs w:val="20"/>
        </w:rPr>
        <w:t>„Charvát nechce tvoje, žádá jeno</w:t>
      </w:r>
      <w:r>
        <w:rPr>
          <w:i/>
          <w:iCs/>
          <w:sz w:val="20"/>
          <w:szCs w:val="20"/>
        </w:rPr>
        <w:t>m svoje!“</w:t>
      </w:r>
    </w:p>
    <w:p w:rsidR="00500724" w:rsidRDefault="00F30FB8">
      <w:pPr>
        <w:pStyle w:val="Zkladntext20"/>
        <w:numPr>
          <w:ilvl w:val="0"/>
          <w:numId w:val="103"/>
        </w:numPr>
        <w:shd w:val="clear" w:color="auto" w:fill="auto"/>
        <w:tabs>
          <w:tab w:val="left" w:pos="486"/>
        </w:tabs>
        <w:spacing w:after="80" w:line="190" w:lineRule="auto"/>
        <w:rPr>
          <w:sz w:val="20"/>
          <w:szCs w:val="20"/>
        </w:rPr>
      </w:pPr>
      <w:r>
        <w:rPr>
          <w:i/>
          <w:iCs/>
          <w:sz w:val="20"/>
          <w:szCs w:val="20"/>
        </w:rPr>
        <w:t>pokoji tety Pelagije byla stejně veliká láhev s obra</w:t>
      </w:r>
      <w:r>
        <w:rPr>
          <w:i/>
          <w:iCs/>
          <w:sz w:val="20"/>
          <w:szCs w:val="20"/>
        </w:rPr>
        <w:softHyphen/>
        <w:t>tem Nikoly Tesly, pod nímž byl nápis:</w:t>
      </w:r>
    </w:p>
    <w:p w:rsidR="00500724" w:rsidRDefault="00F30FB8">
      <w:pPr>
        <w:pStyle w:val="Zkladntext20"/>
        <w:shd w:val="clear" w:color="auto" w:fill="auto"/>
        <w:spacing w:after="120" w:line="192" w:lineRule="auto"/>
        <w:ind w:left="1600" w:right="1480" w:firstLine="0"/>
        <w:jc w:val="left"/>
        <w:rPr>
          <w:sz w:val="20"/>
          <w:szCs w:val="20"/>
        </w:rPr>
      </w:pPr>
      <w:r>
        <w:rPr>
          <w:i/>
          <w:iCs/>
          <w:sz w:val="20"/>
          <w:szCs w:val="20"/>
        </w:rPr>
        <w:t>„Radují se Srbi, zvláště naše Dika, odtud vyšel Tesla, naše velká pýcha!“</w:t>
      </w:r>
    </w:p>
    <w:p w:rsidR="00500724" w:rsidRDefault="00F30FB8">
      <w:pPr>
        <w:pStyle w:val="Zkladntext20"/>
        <w:shd w:val="clear" w:color="auto" w:fill="auto"/>
        <w:spacing w:line="197" w:lineRule="auto"/>
        <w:rPr>
          <w:sz w:val="20"/>
          <w:szCs w:val="20"/>
        </w:rPr>
      </w:pPr>
      <w:r>
        <w:rPr>
          <w:i/>
          <w:iCs/>
          <w:sz w:val="20"/>
          <w:szCs w:val="20"/>
        </w:rPr>
        <w:t>Obě tety nakládaly do těchto láhví ořechovku.</w:t>
      </w:r>
    </w:p>
    <w:p w:rsidR="00500724" w:rsidRDefault="00F30FB8">
      <w:pPr>
        <w:pStyle w:val="Zkladntext20"/>
        <w:shd w:val="clear" w:color="auto" w:fill="auto"/>
        <w:spacing w:line="197" w:lineRule="auto"/>
        <w:rPr>
          <w:sz w:val="20"/>
          <w:szCs w:val="20"/>
        </w:rPr>
      </w:pPr>
      <w:r>
        <w:rPr>
          <w:i/>
          <w:iCs/>
          <w:sz w:val="20"/>
          <w:szCs w:val="20"/>
        </w:rPr>
        <w:t>Na skříních byly také některé knihy</w:t>
      </w:r>
      <w:r>
        <w:rPr>
          <w:i/>
          <w:iCs/>
          <w:sz w:val="20"/>
          <w:szCs w:val="20"/>
        </w:rPr>
        <w:t>: v Ciličině pokoji kalendář „Chorvátský vševěd“, v Pelagijině „Srbobran“. Kromě toho Cilika měla brožuru, které si obzvláště vá</w:t>
      </w:r>
      <w:r>
        <w:rPr>
          <w:i/>
          <w:iCs/>
          <w:sz w:val="20"/>
          <w:szCs w:val="20"/>
        </w:rPr>
        <w:softHyphen/>
        <w:t xml:space="preserve">žila, říkajíc, že ji napsal jeden z nejmoudřejších Charvátů. Brožura měla název: „Kdo komu ukradl jazyk“ a napsal ji „s našeho </w:t>
      </w:r>
      <w:r>
        <w:rPr>
          <w:i/>
          <w:iCs/>
          <w:sz w:val="20"/>
          <w:szCs w:val="20"/>
        </w:rPr>
        <w:t>stromu list. Vázaný výtisk 50 haléřů“. U Pe</w:t>
      </w:r>
      <w:r>
        <w:rPr>
          <w:i/>
          <w:iCs/>
          <w:sz w:val="20"/>
          <w:szCs w:val="20"/>
        </w:rPr>
        <w:softHyphen/>
        <w:t>lagije jsem viděl podobnou brožuru, tištěnou cirilicí a s nápisem: „Pravda o tom, kdo komu ukradl jazyk, — aneb každému jeho. Cizí měj v úctě, na své buď hrdý. Napsal starý milovník pravdy.“</w:t>
      </w:r>
    </w:p>
    <w:p w:rsidR="00500724" w:rsidRDefault="00F30FB8">
      <w:pPr>
        <w:pStyle w:val="Zkladntext20"/>
        <w:shd w:val="clear" w:color="auto" w:fill="auto"/>
        <w:spacing w:line="194" w:lineRule="auto"/>
        <w:ind w:firstLine="220"/>
        <w:rPr>
          <w:sz w:val="20"/>
          <w:szCs w:val="20"/>
        </w:rPr>
      </w:pPr>
      <w:r>
        <w:rPr>
          <w:i/>
          <w:iCs/>
          <w:sz w:val="20"/>
          <w:szCs w:val="20"/>
        </w:rPr>
        <w:t>Ta krádež jazyka byla</w:t>
      </w:r>
      <w:r>
        <w:rPr>
          <w:i/>
          <w:iCs/>
          <w:sz w:val="20"/>
          <w:szCs w:val="20"/>
        </w:rPr>
        <w:t xml:space="preserve"> často příčinou hádky mezi mými tetami. Mnoho jsem z toho nerozuměl, jenom jsem viděl, že tetám nikdo jazyk neukradl. Proto nevím podnes, kdo vlastně kradl jazyky.</w:t>
      </w:r>
    </w:p>
    <w:p w:rsidR="00500724" w:rsidRDefault="00F30FB8">
      <w:pPr>
        <w:pStyle w:val="Zkladntext20"/>
        <w:shd w:val="clear" w:color="auto" w:fill="auto"/>
        <w:spacing w:line="194" w:lineRule="auto"/>
        <w:ind w:firstLine="220"/>
        <w:rPr>
          <w:sz w:val="20"/>
          <w:szCs w:val="20"/>
        </w:rPr>
      </w:pPr>
      <w:r>
        <w:rPr>
          <w:i/>
          <w:iCs/>
          <w:sz w:val="20"/>
          <w:szCs w:val="20"/>
        </w:rPr>
        <w:t>Pochopil jsem trochu věc, když stejná hádka pokračo</w:t>
      </w:r>
      <w:r>
        <w:rPr>
          <w:i/>
          <w:iCs/>
          <w:sz w:val="20"/>
          <w:szCs w:val="20"/>
        </w:rPr>
        <w:softHyphen/>
        <w:t>vala mezi našimi služkami, z nichž jedna</w:t>
      </w:r>
      <w:r>
        <w:rPr>
          <w:i/>
          <w:iCs/>
          <w:sz w:val="20"/>
          <w:szCs w:val="20"/>
        </w:rPr>
        <w:t xml:space="preserve"> se jmenovala Rezika a druhá Paraskeva.</w:t>
      </w:r>
    </w:p>
    <w:p w:rsidR="00500724" w:rsidRDefault="00F30FB8">
      <w:pPr>
        <w:pStyle w:val="Zkladntext20"/>
        <w:shd w:val="clear" w:color="auto" w:fill="auto"/>
        <w:spacing w:line="194" w:lineRule="auto"/>
        <w:ind w:firstLine="220"/>
        <w:rPr>
          <w:sz w:val="20"/>
          <w:szCs w:val="20"/>
        </w:rPr>
      </w:pPr>
      <w:r>
        <w:rPr>
          <w:i/>
          <w:iCs/>
          <w:sz w:val="20"/>
          <w:szCs w:val="20"/>
        </w:rPr>
        <w:t>Paraskeva si totiž obvykle na konci hádky povzdechla:</w:t>
      </w:r>
    </w:p>
    <w:p w:rsidR="00500724" w:rsidRDefault="00F30FB8">
      <w:pPr>
        <w:pStyle w:val="Zkladntext20"/>
        <w:shd w:val="clear" w:color="auto" w:fill="auto"/>
        <w:spacing w:after="260" w:line="194" w:lineRule="auto"/>
        <w:ind w:firstLine="220"/>
        <w:rPr>
          <w:sz w:val="20"/>
          <w:szCs w:val="20"/>
        </w:rPr>
      </w:pPr>
      <w:r>
        <w:rPr>
          <w:i/>
          <w:iCs/>
          <w:sz w:val="20"/>
          <w:szCs w:val="20"/>
        </w:rPr>
        <w:t>— Ukrást jazyk! Vidíte, jací jste! A to jistě ze zavřené špajsky!</w:t>
      </w:r>
    </w:p>
    <w:p w:rsidR="00500724" w:rsidRDefault="00F30FB8">
      <w:pPr>
        <w:pStyle w:val="Zkladntext20"/>
        <w:shd w:val="clear" w:color="auto" w:fill="auto"/>
        <w:spacing w:line="194" w:lineRule="auto"/>
        <w:ind w:firstLine="220"/>
        <w:rPr>
          <w:sz w:val="20"/>
          <w:szCs w:val="20"/>
        </w:rPr>
      </w:pPr>
      <w:r>
        <w:rPr>
          <w:i/>
          <w:iCs/>
          <w:sz w:val="20"/>
          <w:szCs w:val="20"/>
        </w:rPr>
        <w:t>Jinak se žilo dobře. Slavily se všechny rodové svátky, všechny narozeniny a jmeniny, všichni svě</w:t>
      </w:r>
      <w:r>
        <w:rPr>
          <w:i/>
          <w:iCs/>
          <w:sz w:val="20"/>
          <w:szCs w:val="20"/>
        </w:rPr>
        <w:t>tci katoličtí i pravoslavní. Ták to žádala svornost, shoda a rovno</w:t>
      </w:r>
      <w:r>
        <w:rPr>
          <w:i/>
          <w:iCs/>
          <w:sz w:val="20"/>
          <w:szCs w:val="20"/>
        </w:rPr>
        <w:softHyphen/>
        <w:t>právnost.</w:t>
      </w:r>
    </w:p>
    <w:p w:rsidR="00500724" w:rsidRDefault="00F30FB8">
      <w:pPr>
        <w:pStyle w:val="Zkladntext20"/>
        <w:shd w:val="clear" w:color="auto" w:fill="auto"/>
        <w:spacing w:line="194" w:lineRule="auto"/>
        <w:ind w:firstLine="220"/>
        <w:rPr>
          <w:sz w:val="20"/>
          <w:szCs w:val="20"/>
        </w:rPr>
      </w:pPr>
      <w:r>
        <w:rPr>
          <w:i/>
          <w:iCs/>
          <w:sz w:val="20"/>
          <w:szCs w:val="20"/>
        </w:rPr>
        <w:t>Při každém rodovém svátku vzala za své celá Noemova archa různých zvířat a kuchyně voněla na kilometry da</w:t>
      </w:r>
      <w:r>
        <w:rPr>
          <w:i/>
          <w:iCs/>
          <w:sz w:val="20"/>
          <w:szCs w:val="20"/>
        </w:rPr>
        <w:softHyphen/>
        <w:t>leko. I mnohý sud vína vyschl až na dno. O svátcích schá</w:t>
      </w:r>
      <w:r>
        <w:rPr>
          <w:i/>
          <w:iCs/>
          <w:sz w:val="20"/>
          <w:szCs w:val="20"/>
        </w:rPr>
        <w:softHyphen/>
        <w:t>zelo se u nás vš</w:t>
      </w:r>
      <w:r>
        <w:rPr>
          <w:i/>
          <w:iCs/>
          <w:sz w:val="20"/>
          <w:szCs w:val="20"/>
        </w:rPr>
        <w:t>echno příbuzenstvo, srbské i chorvátské. Při obědě připíjeli jedni druhým a mlaskaly polibky jako rány z pušky. Na konci oběda, když už byl vytažen desátý dvoulitr, počali obyčejně jedni druhým dokazovati, že ne</w:t>
      </w:r>
      <w:r>
        <w:rPr>
          <w:i/>
          <w:iCs/>
          <w:sz w:val="20"/>
          <w:szCs w:val="20"/>
        </w:rPr>
        <w:softHyphen/>
        <w:t xml:space="preserve">existují. A to trvalo celé odpoledne, dokud </w:t>
      </w:r>
      <w:r>
        <w:rPr>
          <w:i/>
          <w:iCs/>
          <w:sz w:val="20"/>
          <w:szCs w:val="20"/>
        </w:rPr>
        <w:t>hádka a hluk nevzbouřily celou ulici.</w:t>
      </w:r>
    </w:p>
    <w:p w:rsidR="00500724" w:rsidRDefault="00F30FB8">
      <w:pPr>
        <w:pStyle w:val="Zkladntext20"/>
        <w:shd w:val="clear" w:color="auto" w:fill="auto"/>
        <w:spacing w:after="80" w:line="194" w:lineRule="auto"/>
        <w:ind w:firstLine="220"/>
        <w:rPr>
          <w:sz w:val="20"/>
          <w:szCs w:val="20"/>
        </w:rPr>
      </w:pPr>
      <w:r>
        <w:rPr>
          <w:i/>
          <w:iCs/>
          <w:sz w:val="20"/>
          <w:szCs w:val="20"/>
        </w:rPr>
        <w:t xml:space="preserve">Jakmile se hádka donesla až k malému a hubenému holiči Ivicovi na konci ulice, hned nechal zákazníka, strhl se zdi tamburici jako pušku a rozlétl se junácky do boje. Zadrnkal na tamburici a jeho hlas kvílel, jako když </w:t>
      </w:r>
      <w:r>
        <w:rPr>
          <w:i/>
          <w:iCs/>
          <w:sz w:val="20"/>
          <w:szCs w:val="20"/>
        </w:rPr>
        <w:t>někdo hřebíkem škrabe po skle:</w:t>
      </w:r>
    </w:p>
    <w:p w:rsidR="00500724" w:rsidRDefault="00F30FB8">
      <w:pPr>
        <w:pStyle w:val="Zkladntext20"/>
        <w:shd w:val="clear" w:color="auto" w:fill="auto"/>
        <w:spacing w:after="100" w:line="194" w:lineRule="auto"/>
        <w:ind w:left="1580" w:right="1580" w:firstLine="0"/>
        <w:jc w:val="left"/>
        <w:rPr>
          <w:sz w:val="20"/>
          <w:szCs w:val="20"/>
        </w:rPr>
      </w:pPr>
      <w:r>
        <w:rPr>
          <w:i/>
          <w:iCs/>
          <w:sz w:val="20"/>
          <w:szCs w:val="20"/>
        </w:rPr>
        <w:t>„Oj, vy Vlaši bradatí, však budete chcípati..</w:t>
      </w:r>
    </w:p>
    <w:p w:rsidR="00500724" w:rsidRDefault="00F30FB8">
      <w:pPr>
        <w:pStyle w:val="Zkladntext20"/>
        <w:shd w:val="clear" w:color="auto" w:fill="auto"/>
        <w:spacing w:line="194" w:lineRule="auto"/>
        <w:ind w:firstLine="220"/>
        <w:rPr>
          <w:sz w:val="20"/>
          <w:szCs w:val="20"/>
        </w:rPr>
      </w:pPr>
      <w:r>
        <w:rPr>
          <w:i/>
          <w:iCs/>
          <w:sz w:val="20"/>
          <w:szCs w:val="20"/>
        </w:rPr>
        <w:t>Ivicův zákazník Šime Peurača, císařský nadcestmistr v pensi, vyšel po chvíli zdrcen z oficiny, zakrývaje si ka</w:t>
      </w:r>
      <w:r>
        <w:rPr>
          <w:i/>
          <w:iCs/>
          <w:sz w:val="20"/>
          <w:szCs w:val="20"/>
        </w:rPr>
        <w:softHyphen/>
        <w:t xml:space="preserve">pesníkem na půl oholený obličej, jako by ho bolel zub. Vyhledal pak </w:t>
      </w:r>
      <w:r>
        <w:rPr>
          <w:i/>
          <w:iCs/>
          <w:sz w:val="20"/>
          <w:szCs w:val="20"/>
        </w:rPr>
        <w:t>spásu v holírně tlustého a vysokého Jovici, leč sotva dospěl k jeho dveřím, již vyletěl Jovica na ulici s bračem v ruce. A za okamžik zaječel s doprovodem tam</w:t>
      </w:r>
      <w:r>
        <w:rPr>
          <w:i/>
          <w:iCs/>
          <w:sz w:val="20"/>
          <w:szCs w:val="20"/>
        </w:rPr>
        <w:softHyphen/>
        <w:t>bury jeho hluboký, chraptivý, hlas, připomínající vytí ber</w:t>
      </w:r>
      <w:r>
        <w:rPr>
          <w:i/>
          <w:iCs/>
          <w:sz w:val="20"/>
          <w:szCs w:val="20"/>
        </w:rPr>
        <w:softHyphen/>
        <w:t>nardýna:</w:t>
      </w:r>
    </w:p>
    <w:p w:rsidR="00500724" w:rsidRDefault="00F30FB8">
      <w:pPr>
        <w:pStyle w:val="Zkladntext20"/>
        <w:shd w:val="clear" w:color="auto" w:fill="auto"/>
        <w:spacing w:after="100" w:line="194" w:lineRule="auto"/>
        <w:ind w:left="1580" w:right="1320" w:firstLine="0"/>
        <w:jc w:val="left"/>
        <w:rPr>
          <w:sz w:val="20"/>
          <w:szCs w:val="20"/>
        </w:rPr>
      </w:pPr>
      <w:r>
        <w:rPr>
          <w:i/>
          <w:iCs/>
          <w:sz w:val="20"/>
          <w:szCs w:val="20"/>
        </w:rPr>
        <w:t>„Oj, vy Sokci fousatí, však b</w:t>
      </w:r>
      <w:r>
        <w:rPr>
          <w:i/>
          <w:iCs/>
          <w:sz w:val="20"/>
          <w:szCs w:val="20"/>
        </w:rPr>
        <w:t>udete chcípati...“</w:t>
      </w:r>
    </w:p>
    <w:p w:rsidR="00500724" w:rsidRDefault="00F30FB8">
      <w:pPr>
        <w:pStyle w:val="Zkladntext20"/>
        <w:shd w:val="clear" w:color="auto" w:fill="auto"/>
        <w:spacing w:line="194" w:lineRule="auto"/>
        <w:ind w:firstLine="220"/>
        <w:rPr>
          <w:sz w:val="20"/>
          <w:szCs w:val="20"/>
        </w:rPr>
      </w:pPr>
      <w:r>
        <w:rPr>
          <w:i/>
          <w:iCs/>
          <w:sz w:val="20"/>
          <w:szCs w:val="20"/>
        </w:rPr>
        <w:t>Tak to šlo do večera. Potom znovu zavoněla kuchyně a rozvaděné národy pocítily hlad. Peurača chtěl využiti příměří a dokončiti holení. Protože byl uražen Ivicovým jednáním, šel k Jovicovi, avšak ten ho vyhnal: „ať si je</w:t>
      </w:r>
      <w:r>
        <w:rPr>
          <w:i/>
          <w:iCs/>
          <w:sz w:val="20"/>
          <w:szCs w:val="20"/>
        </w:rPr>
        <w:softHyphen/>
        <w:t xml:space="preserve">nom jde zpátky k </w:t>
      </w:r>
      <w:r>
        <w:rPr>
          <w:i/>
          <w:iCs/>
          <w:sz w:val="20"/>
          <w:szCs w:val="20"/>
        </w:rPr>
        <w:t xml:space="preserve">tomu svému Charvátovi!“ </w:t>
      </w:r>
      <w:r>
        <w:rPr>
          <w:i/>
          <w:iCs/>
          <w:sz w:val="20"/>
          <w:szCs w:val="20"/>
          <w:lang w:val="en-US" w:eastAsia="en-US" w:bidi="en-US"/>
        </w:rPr>
        <w:t xml:space="preserve">Ivica </w:t>
      </w:r>
      <w:r>
        <w:rPr>
          <w:i/>
          <w:iCs/>
          <w:sz w:val="20"/>
          <w:szCs w:val="20"/>
        </w:rPr>
        <w:t>zase odmítl holiti ty, kteří „přišli ze Srbska“. Af prý si jde do své „Srbije“. Tak byl Peurača donucen zakrývati si ka</w:t>
      </w:r>
      <w:r>
        <w:rPr>
          <w:i/>
          <w:iCs/>
          <w:sz w:val="20"/>
          <w:szCs w:val="20"/>
        </w:rPr>
        <w:softHyphen/>
        <w:t>pesníkem svou holenou koťletku až do zítřka, než se du</w:t>
      </w:r>
      <w:r>
        <w:rPr>
          <w:i/>
          <w:iCs/>
          <w:sz w:val="20"/>
          <w:szCs w:val="20"/>
        </w:rPr>
        <w:softHyphen/>
        <w:t>chové úplně utišili.</w:t>
      </w:r>
    </w:p>
    <w:p w:rsidR="00500724" w:rsidRDefault="00F30FB8">
      <w:pPr>
        <w:pStyle w:val="Nadpis80"/>
        <w:keepNext/>
        <w:keepLines/>
        <w:shd w:val="clear" w:color="auto" w:fill="auto"/>
        <w:spacing w:after="100" w:line="180" w:lineRule="auto"/>
        <w:jc w:val="center"/>
        <w:rPr>
          <w:sz w:val="48"/>
          <w:szCs w:val="48"/>
        </w:rPr>
      </w:pPr>
      <w:bookmarkStart w:id="837" w:name="bookmark836"/>
      <w:r>
        <w:rPr>
          <w:rFonts w:ascii="Arial" w:eastAsia="Arial" w:hAnsi="Arial" w:cs="Arial"/>
          <w:sz w:val="48"/>
          <w:szCs w:val="48"/>
          <w:u w:val="none"/>
        </w:rPr>
        <w:t>•</w:t>
      </w:r>
      <w:bookmarkEnd w:id="837"/>
    </w:p>
    <w:p w:rsidR="00500724" w:rsidRDefault="00F30FB8">
      <w:pPr>
        <w:pStyle w:val="Zkladntext20"/>
        <w:shd w:val="clear" w:color="auto" w:fill="auto"/>
        <w:spacing w:line="192" w:lineRule="auto"/>
        <w:ind w:firstLine="220"/>
        <w:rPr>
          <w:sz w:val="20"/>
          <w:szCs w:val="20"/>
        </w:rPr>
      </w:pPr>
      <w:r>
        <w:rPr>
          <w:i/>
          <w:iCs/>
          <w:sz w:val="20"/>
          <w:szCs w:val="20"/>
        </w:rPr>
        <w:t xml:space="preserve">K večeru nastal mezi národy </w:t>
      </w:r>
      <w:r>
        <w:rPr>
          <w:i/>
          <w:iCs/>
          <w:sz w:val="20"/>
          <w:szCs w:val="20"/>
        </w:rPr>
        <w:t>mír a klid. Jenom Rezika a Paraskeva zametaly dvorek a překřičovaly jedna dru</w:t>
      </w:r>
      <w:r>
        <w:rPr>
          <w:i/>
          <w:iCs/>
          <w:sz w:val="20"/>
          <w:szCs w:val="20"/>
        </w:rPr>
        <w:softHyphen/>
        <w:t>hou zpěvem:</w:t>
      </w:r>
    </w:p>
    <w:p w:rsidR="00500724" w:rsidRDefault="00F30FB8">
      <w:pPr>
        <w:pStyle w:val="Zkladntext20"/>
        <w:shd w:val="clear" w:color="auto" w:fill="auto"/>
        <w:spacing w:after="100" w:line="192" w:lineRule="auto"/>
        <w:ind w:left="1580" w:right="1200" w:firstLine="0"/>
        <w:jc w:val="left"/>
        <w:rPr>
          <w:sz w:val="20"/>
          <w:szCs w:val="20"/>
        </w:rPr>
      </w:pPr>
      <w:r>
        <w:rPr>
          <w:i/>
          <w:iCs/>
          <w:sz w:val="20"/>
          <w:szCs w:val="20"/>
        </w:rPr>
        <w:t>„I když mi zlato dáš, císařské slávy zář, nebudu nikdy tvou, nebot já Srbka jsem, miluji Srba jen ...“</w:t>
      </w:r>
    </w:p>
    <w:p w:rsidR="00500724" w:rsidRDefault="00F30FB8">
      <w:pPr>
        <w:pStyle w:val="Zkladntext20"/>
        <w:shd w:val="clear" w:color="auto" w:fill="auto"/>
        <w:spacing w:after="100" w:line="194" w:lineRule="auto"/>
        <w:ind w:firstLine="220"/>
        <w:rPr>
          <w:sz w:val="20"/>
          <w:szCs w:val="20"/>
        </w:rPr>
      </w:pPr>
      <w:r>
        <w:rPr>
          <w:i/>
          <w:iCs/>
          <w:sz w:val="20"/>
          <w:szCs w:val="20"/>
        </w:rPr>
        <w:t>A druhá jí vzdorně odpovídala:</w:t>
      </w:r>
    </w:p>
    <w:p w:rsidR="00500724" w:rsidRDefault="00F30FB8">
      <w:pPr>
        <w:pStyle w:val="Zkladntext20"/>
        <w:shd w:val="clear" w:color="auto" w:fill="auto"/>
        <w:spacing w:after="100" w:line="190" w:lineRule="auto"/>
        <w:ind w:left="1580" w:right="1200" w:firstLine="0"/>
        <w:jc w:val="left"/>
        <w:rPr>
          <w:sz w:val="20"/>
          <w:szCs w:val="20"/>
        </w:rPr>
      </w:pPr>
      <w:r>
        <w:rPr>
          <w:i/>
          <w:iCs/>
          <w:sz w:val="20"/>
          <w:szCs w:val="20"/>
        </w:rPr>
        <w:t>„Já jsem hezká Charvátka, miluji</w:t>
      </w:r>
      <w:r>
        <w:rPr>
          <w:i/>
          <w:iCs/>
          <w:sz w:val="20"/>
          <w:szCs w:val="20"/>
        </w:rPr>
        <w:t xml:space="preserve"> jen Charváta ...“</w:t>
      </w:r>
    </w:p>
    <w:p w:rsidR="00500724" w:rsidRDefault="00F30FB8">
      <w:pPr>
        <w:pStyle w:val="Zkladntext20"/>
        <w:shd w:val="clear" w:color="auto" w:fill="auto"/>
        <w:spacing w:line="187" w:lineRule="auto"/>
        <w:ind w:firstLine="220"/>
        <w:rPr>
          <w:sz w:val="20"/>
          <w:szCs w:val="20"/>
        </w:rPr>
      </w:pPr>
      <w:r>
        <w:rPr>
          <w:i/>
          <w:iCs/>
          <w:sz w:val="20"/>
          <w:szCs w:val="20"/>
        </w:rPr>
        <w:t>A mávaly košťaty, jako by se všichni císaři světa opravdu nahrnuli do dvora a násilně jim chtěli postaviti na hlavu ...</w:t>
      </w:r>
    </w:p>
    <w:p w:rsidR="00500724" w:rsidRDefault="00F30FB8">
      <w:pPr>
        <w:pStyle w:val="Zkladntext20"/>
        <w:shd w:val="clear" w:color="auto" w:fill="auto"/>
        <w:spacing w:after="100" w:line="194" w:lineRule="auto"/>
        <w:ind w:firstLine="220"/>
        <w:rPr>
          <w:sz w:val="20"/>
          <w:szCs w:val="20"/>
        </w:rPr>
        <w:sectPr w:rsidR="00500724">
          <w:footnotePr>
            <w:numFmt w:val="chicago"/>
            <w:numRestart w:val="eachPage"/>
          </w:footnotePr>
          <w:type w:val="continuous"/>
          <w:pgSz w:w="11909" w:h="16834"/>
          <w:pgMar w:top="1144" w:right="931" w:bottom="994" w:left="511" w:header="0" w:footer="3" w:gutter="0"/>
          <w:cols w:num="2" w:space="128"/>
          <w:noEndnote/>
          <w:docGrid w:linePitch="360"/>
        </w:sectPr>
      </w:pPr>
      <w:r>
        <w:rPr>
          <w:i/>
          <w:iCs/>
          <w:sz w:val="20"/>
          <w:szCs w:val="20"/>
        </w:rPr>
        <w:t>Ve skutečnosti jedna i druhá házely okem na obchod</w:t>
      </w:r>
      <w:r>
        <w:rPr>
          <w:i/>
          <w:iCs/>
          <w:sz w:val="20"/>
          <w:szCs w:val="20"/>
        </w:rPr>
        <w:softHyphen/>
        <w:t>ního příručího Izidora, a ten byl ži</w:t>
      </w:r>
      <w:r>
        <w:rPr>
          <w:i/>
          <w:iCs/>
          <w:sz w:val="20"/>
          <w:szCs w:val="20"/>
        </w:rPr>
        <w:t>d ..,</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673" w:right="1176" w:bottom="1236" w:left="283" w:header="0" w:footer="3" w:gutter="0"/>
          <w:cols w:space="720"/>
          <w:noEndnote/>
          <w:docGrid w:linePitch="360"/>
        </w:sectPr>
      </w:pPr>
      <w:bookmarkStart w:id="838" w:name="bookmark837"/>
      <w:r>
        <w:rPr>
          <w:rFonts w:ascii="Times New Roman" w:eastAsia="Times New Roman" w:hAnsi="Times New Roman" w:cs="Times New Roman"/>
        </w:rPr>
        <w:t>PftTrmmosO</w:t>
      </w:r>
      <w:bookmarkEnd w:id="838"/>
    </w:p>
    <w:p w:rsidR="00500724" w:rsidRDefault="00500724">
      <w:pPr>
        <w:spacing w:line="78" w:lineRule="exact"/>
        <w:rPr>
          <w:sz w:val="6"/>
          <w:szCs w:val="6"/>
        </w:rPr>
      </w:pPr>
    </w:p>
    <w:p w:rsidR="00500724" w:rsidRDefault="00500724">
      <w:pPr>
        <w:spacing w:line="14" w:lineRule="exact"/>
        <w:sectPr w:rsidR="00500724">
          <w:footnotePr>
            <w:numFmt w:val="chicago"/>
            <w:numRestart w:val="eachPage"/>
          </w:footnotePr>
          <w:type w:val="continuous"/>
          <w:pgSz w:w="11909" w:h="16834"/>
          <w:pgMar w:top="673" w:right="0" w:bottom="1196" w:left="0" w:header="0" w:footer="3" w:gutter="0"/>
          <w:cols w:space="720"/>
          <w:noEndnote/>
          <w:docGrid w:linePitch="360"/>
        </w:sectPr>
      </w:pPr>
    </w:p>
    <w:p w:rsidR="00500724" w:rsidRDefault="00F30FB8">
      <w:pPr>
        <w:pStyle w:val="Zkladntext20"/>
        <w:shd w:val="clear" w:color="auto" w:fill="auto"/>
        <w:spacing w:line="194" w:lineRule="auto"/>
        <w:rPr>
          <w:sz w:val="20"/>
          <w:szCs w:val="20"/>
        </w:rPr>
      </w:pPr>
      <w:r>
        <w:rPr>
          <w:i/>
          <w:iCs/>
          <w:sz w:val="20"/>
          <w:szCs w:val="20"/>
        </w:rPr>
        <w:t>Již několik dní byl v domě veliký povyk... Teta Pela</w:t>
      </w:r>
      <w:r>
        <w:rPr>
          <w:i/>
          <w:iCs/>
          <w:sz w:val="20"/>
          <w:szCs w:val="20"/>
        </w:rPr>
        <w:softHyphen/>
        <w:t xml:space="preserve">gija a teta Cilika se hádaly u oběda i u večeře. Chudák dědeček ani v noci neměl klid. Vždycky si některá v posteli vzpomněla, že </w:t>
      </w:r>
      <w:r>
        <w:rPr>
          <w:i/>
          <w:iCs/>
          <w:sz w:val="20"/>
          <w:szCs w:val="20"/>
        </w:rPr>
        <w:t>zapomněla na nějaký pádný argument, vy</w:t>
      </w:r>
      <w:r>
        <w:rPr>
          <w:i/>
          <w:iCs/>
          <w:sz w:val="20"/>
          <w:szCs w:val="20"/>
        </w:rPr>
        <w:softHyphen/>
        <w:t>běhla v košili na chodbu a zabušila na dveře druhé tety, volajíc:</w:t>
      </w:r>
    </w:p>
    <w:p w:rsidR="00500724" w:rsidRDefault="00F30FB8">
      <w:pPr>
        <w:pStyle w:val="Zkladntext20"/>
        <w:numPr>
          <w:ilvl w:val="0"/>
          <w:numId w:val="104"/>
        </w:numPr>
        <w:shd w:val="clear" w:color="auto" w:fill="auto"/>
        <w:tabs>
          <w:tab w:val="left" w:pos="534"/>
        </w:tabs>
        <w:spacing w:line="194" w:lineRule="auto"/>
        <w:rPr>
          <w:sz w:val="20"/>
          <w:szCs w:val="20"/>
        </w:rPr>
      </w:pPr>
      <w:r>
        <w:rPr>
          <w:i/>
          <w:iCs/>
          <w:sz w:val="20"/>
          <w:szCs w:val="20"/>
        </w:rPr>
        <w:t>Mrcho jedna vlašská, od kdy jsou katoličtí Charváti Srby?</w:t>
      </w:r>
    </w:p>
    <w:p w:rsidR="00500724" w:rsidRDefault="00F30FB8">
      <w:pPr>
        <w:pStyle w:val="Zkladntext20"/>
        <w:numPr>
          <w:ilvl w:val="0"/>
          <w:numId w:val="104"/>
        </w:numPr>
        <w:shd w:val="clear" w:color="auto" w:fill="auto"/>
        <w:tabs>
          <w:tab w:val="left" w:pos="529"/>
        </w:tabs>
        <w:spacing w:line="194" w:lineRule="auto"/>
        <w:rPr>
          <w:sz w:val="20"/>
          <w:szCs w:val="20"/>
        </w:rPr>
      </w:pPr>
      <w:r>
        <w:rPr>
          <w:i/>
          <w:iCs/>
          <w:sz w:val="20"/>
          <w:szCs w:val="20"/>
        </w:rPr>
        <w:t xml:space="preserve">Nech mě na pokoji, šokská bestie! — odpovídala druhá — tady nejde o náboženství, tady jde o </w:t>
      </w:r>
      <w:r>
        <w:rPr>
          <w:i/>
          <w:iCs/>
          <w:sz w:val="20"/>
          <w:szCs w:val="20"/>
        </w:rPr>
        <w:t>poesii.</w:t>
      </w:r>
    </w:p>
    <w:p w:rsidR="00500724" w:rsidRDefault="00F30FB8">
      <w:pPr>
        <w:pStyle w:val="Zkladntext20"/>
        <w:numPr>
          <w:ilvl w:val="0"/>
          <w:numId w:val="104"/>
        </w:numPr>
        <w:shd w:val="clear" w:color="auto" w:fill="auto"/>
        <w:tabs>
          <w:tab w:val="left" w:pos="534"/>
        </w:tabs>
        <w:spacing w:line="194" w:lineRule="auto"/>
        <w:rPr>
          <w:sz w:val="20"/>
          <w:szCs w:val="20"/>
        </w:rPr>
      </w:pPr>
      <w:r>
        <w:rPr>
          <w:i/>
          <w:iCs/>
          <w:sz w:val="20"/>
          <w:szCs w:val="20"/>
        </w:rPr>
        <w:t>Krásná je ta tvá poesie. Celý boží den jenom piješ rakiji.</w:t>
      </w:r>
    </w:p>
    <w:p w:rsidR="00500724" w:rsidRDefault="00F30FB8">
      <w:pPr>
        <w:pStyle w:val="Zkladntext20"/>
        <w:numPr>
          <w:ilvl w:val="0"/>
          <w:numId w:val="104"/>
        </w:numPr>
        <w:shd w:val="clear" w:color="auto" w:fill="auto"/>
        <w:tabs>
          <w:tab w:val="left" w:pos="538"/>
        </w:tabs>
        <w:spacing w:line="194" w:lineRule="auto"/>
        <w:rPr>
          <w:sz w:val="20"/>
          <w:szCs w:val="20"/>
        </w:rPr>
      </w:pPr>
      <w:r>
        <w:rPr>
          <w:i/>
          <w:iCs/>
          <w:sz w:val="20"/>
          <w:szCs w:val="20"/>
        </w:rPr>
        <w:t>Ale za své peníze! A ty piješ na dluh. Vy byste vždycky jen brali cizí. Nejen srbskou slivovici, ale i naše srbské básníky!</w:t>
      </w:r>
    </w:p>
    <w:p w:rsidR="00500724" w:rsidRDefault="00F30FB8">
      <w:pPr>
        <w:pStyle w:val="Zkladntext20"/>
        <w:shd w:val="clear" w:color="auto" w:fill="auto"/>
        <w:spacing w:line="194" w:lineRule="auto"/>
        <w:rPr>
          <w:sz w:val="20"/>
          <w:szCs w:val="20"/>
        </w:rPr>
      </w:pPr>
      <w:r>
        <w:rPr>
          <w:i/>
          <w:iCs/>
          <w:sz w:val="20"/>
          <w:szCs w:val="20"/>
        </w:rPr>
        <w:t>Hádka se brzy přenesla i na služky. Paraskeva čistíc ráno boty, v</w:t>
      </w:r>
      <w:r>
        <w:rPr>
          <w:i/>
          <w:iCs/>
          <w:sz w:val="20"/>
          <w:szCs w:val="20"/>
        </w:rPr>
        <w:t>ykřikla na dvoře na Reziku:</w:t>
      </w:r>
    </w:p>
    <w:p w:rsidR="00500724" w:rsidRDefault="00F30FB8">
      <w:pPr>
        <w:pStyle w:val="Zkladntext20"/>
        <w:numPr>
          <w:ilvl w:val="0"/>
          <w:numId w:val="104"/>
        </w:numPr>
        <w:shd w:val="clear" w:color="auto" w:fill="auto"/>
        <w:tabs>
          <w:tab w:val="left" w:pos="538"/>
        </w:tabs>
        <w:spacing w:line="194" w:lineRule="auto"/>
        <w:rPr>
          <w:sz w:val="20"/>
          <w:szCs w:val="20"/>
        </w:rPr>
      </w:pPr>
      <w:r>
        <w:rPr>
          <w:i/>
          <w:iCs/>
          <w:sz w:val="20"/>
          <w:szCs w:val="20"/>
        </w:rPr>
        <w:t>To bys chtěla Gunduliče! Kdepak, ten je náš, ten je Srb. Tady máš Gunduliče, couro jedna.</w:t>
      </w:r>
    </w:p>
    <w:p w:rsidR="00500724" w:rsidRDefault="00F30FB8">
      <w:pPr>
        <w:pStyle w:val="Zkladntext20"/>
        <w:shd w:val="clear" w:color="auto" w:fill="auto"/>
        <w:spacing w:line="194" w:lineRule="auto"/>
        <w:rPr>
          <w:sz w:val="20"/>
          <w:szCs w:val="20"/>
        </w:rPr>
      </w:pPr>
      <w:r>
        <w:rPr>
          <w:i/>
          <w:iCs/>
          <w:sz w:val="20"/>
          <w:szCs w:val="20"/>
        </w:rPr>
        <w:t>V jakémsi literárním nadšení vyfala jí oknem poliček. Rezika jí vrátila dva.</w:t>
      </w:r>
    </w:p>
    <w:p w:rsidR="00500724" w:rsidRDefault="00F30FB8">
      <w:pPr>
        <w:pStyle w:val="Zkladntext20"/>
        <w:numPr>
          <w:ilvl w:val="0"/>
          <w:numId w:val="104"/>
        </w:numPr>
        <w:shd w:val="clear" w:color="auto" w:fill="auto"/>
        <w:tabs>
          <w:tab w:val="left" w:pos="534"/>
        </w:tabs>
        <w:spacing w:line="194" w:lineRule="auto"/>
        <w:rPr>
          <w:sz w:val="20"/>
          <w:szCs w:val="20"/>
        </w:rPr>
      </w:pPr>
      <w:r>
        <w:rPr>
          <w:i/>
          <w:iCs/>
          <w:sz w:val="20"/>
          <w:szCs w:val="20"/>
        </w:rPr>
        <w:t>Na, tohle je Gundulič a tohle Preradovič. Teď máš cos chtěla,</w:t>
      </w:r>
      <w:r>
        <w:rPr>
          <w:i/>
          <w:iCs/>
          <w:sz w:val="20"/>
          <w:szCs w:val="20"/>
        </w:rPr>
        <w:t xml:space="preserve"> zrzavče vlašský ...</w:t>
      </w:r>
    </w:p>
    <w:p w:rsidR="00500724" w:rsidRDefault="00F30FB8">
      <w:pPr>
        <w:pStyle w:val="Zkladntext20"/>
        <w:shd w:val="clear" w:color="auto" w:fill="auto"/>
        <w:spacing w:line="194" w:lineRule="auto"/>
        <w:rPr>
          <w:sz w:val="20"/>
          <w:szCs w:val="20"/>
        </w:rPr>
      </w:pPr>
      <w:r>
        <w:rPr>
          <w:i/>
          <w:iCs/>
          <w:sz w:val="20"/>
          <w:szCs w:val="20"/>
        </w:rPr>
        <w:t>Tety se totiž dočtly v novinách, že se v Dubrovníku staví pomník básníku Gunduličovi. Charvátské noviny ob</w:t>
      </w:r>
      <w:r>
        <w:rPr>
          <w:i/>
          <w:iCs/>
          <w:sz w:val="20"/>
          <w:szCs w:val="20"/>
        </w:rPr>
        <w:softHyphen/>
        <w:t>vinily Srby, že Gunduliče ukradli a sebrali pro sebe tak krátce a jednoduše, jako kdyby vytáhli šunku z torby. Srbové vždycky be</w:t>
      </w:r>
      <w:r>
        <w:rPr>
          <w:i/>
          <w:iCs/>
          <w:sz w:val="20"/>
          <w:szCs w:val="20"/>
        </w:rPr>
        <w:t>rou cizí, protože svého nic nemají. Cizí měj v úctě, ale na své buď hrdý!</w:t>
      </w:r>
    </w:p>
    <w:p w:rsidR="00500724" w:rsidRDefault="00F30FB8">
      <w:pPr>
        <w:pStyle w:val="Zkladntext20"/>
        <w:shd w:val="clear" w:color="auto" w:fill="auto"/>
        <w:spacing w:line="194" w:lineRule="auto"/>
        <w:rPr>
          <w:sz w:val="20"/>
          <w:szCs w:val="20"/>
        </w:rPr>
      </w:pPr>
      <w:r>
        <w:rPr>
          <w:i/>
          <w:iCs/>
          <w:sz w:val="20"/>
          <w:szCs w:val="20"/>
        </w:rPr>
        <w:t>Cilika pospíšila, aby ty noviny ukázala Pelagii. Leč ani Pelagija nezůstala dlužna. Dostala jakýsi srbský humo</w:t>
      </w:r>
      <w:r>
        <w:rPr>
          <w:i/>
          <w:iCs/>
          <w:sz w:val="20"/>
          <w:szCs w:val="20"/>
        </w:rPr>
        <w:softHyphen/>
        <w:t>ristický list, kde byla názorně podána krádež Gunduliče slovem i obraze</w:t>
      </w:r>
      <w:r>
        <w:rPr>
          <w:i/>
          <w:iCs/>
          <w:sz w:val="20"/>
          <w:szCs w:val="20"/>
        </w:rPr>
        <w:t>m. Byla tu vyobrazena veliká vyloupená pokladna, úplně prázdná. Uchytila se na ní pavučina s ná</w:t>
      </w:r>
      <w:r>
        <w:rPr>
          <w:i/>
          <w:iCs/>
          <w:sz w:val="20"/>
          <w:szCs w:val="20"/>
        </w:rPr>
        <w:softHyphen/>
        <w:t>pisem „Srbská lhostejnost“. Z pokladny, která představo</w:t>
      </w:r>
      <w:r>
        <w:rPr>
          <w:i/>
          <w:iCs/>
          <w:sz w:val="20"/>
          <w:szCs w:val="20"/>
        </w:rPr>
        <w:softHyphen/>
        <w:t xml:space="preserve">vala klenotnici „srbského literárního pokladu“, ukradla „Matice charvátská“ všechny cenné věci: národní </w:t>
      </w:r>
      <w:r>
        <w:rPr>
          <w:i/>
          <w:iCs/>
          <w:sz w:val="20"/>
          <w:szCs w:val="20"/>
        </w:rPr>
        <w:t xml:space="preserve">písně, králeviče Marka i Smrt </w:t>
      </w:r>
      <w:r>
        <w:rPr>
          <w:i/>
          <w:iCs/>
          <w:sz w:val="20"/>
          <w:szCs w:val="20"/>
          <w:lang w:val="en-US" w:eastAsia="en-US" w:bidi="en-US"/>
        </w:rPr>
        <w:t xml:space="preserve">Smail </w:t>
      </w:r>
      <w:r>
        <w:rPr>
          <w:i/>
          <w:iCs/>
          <w:sz w:val="20"/>
          <w:szCs w:val="20"/>
        </w:rPr>
        <w:t>agy Gengiče, tu jako kvě</w:t>
      </w:r>
      <w:r>
        <w:rPr>
          <w:i/>
          <w:iCs/>
          <w:sz w:val="20"/>
          <w:szCs w:val="20"/>
        </w:rPr>
        <w:softHyphen/>
        <w:t>tinu v květináči, na němž bylo napsáno: „Petar Petroviě Njegoš“. Stranou rohu obrazu nalézal se kosmatý Choř- vát-Zágorec, který Gunduliče strčil do torby a nese ho pravděpodobně na trh, aby ho p</w:t>
      </w:r>
      <w:r>
        <w:rPr>
          <w:i/>
          <w:iCs/>
          <w:sz w:val="20"/>
          <w:szCs w:val="20"/>
        </w:rPr>
        <w:t>rodal. A nahoře v oblacích byli Vuk Karadžič a Gjura Daničiě. Vuk Karadžič ukazo</w:t>
      </w:r>
      <w:r>
        <w:rPr>
          <w:i/>
          <w:iCs/>
          <w:sz w:val="20"/>
          <w:szCs w:val="20"/>
        </w:rPr>
        <w:softHyphen/>
        <w:t>val Daničičovi všechny tyto hrůzy, které se dějí na zemi, a s výčitkou ukazoval prstem na Daničičovu gramatiku, na níž stálo: „Srbský aneb charvátský jazyk“.</w:t>
      </w:r>
    </w:p>
    <w:p w:rsidR="00500724" w:rsidRDefault="00F30FB8">
      <w:pPr>
        <w:pStyle w:val="Zkladntext20"/>
        <w:shd w:val="clear" w:color="auto" w:fill="auto"/>
        <w:spacing w:line="190" w:lineRule="auto"/>
        <w:rPr>
          <w:sz w:val="20"/>
          <w:szCs w:val="20"/>
        </w:rPr>
      </w:pPr>
      <w:r>
        <w:rPr>
          <w:i/>
          <w:iCs/>
          <w:sz w:val="20"/>
          <w:szCs w:val="20"/>
        </w:rPr>
        <w:t>Cilika oněměla př</w:t>
      </w:r>
      <w:r>
        <w:rPr>
          <w:i/>
          <w:iCs/>
          <w:sz w:val="20"/>
          <w:szCs w:val="20"/>
        </w:rPr>
        <w:t>ed těmito důkazy, avšak neustoupila. Začala vyslýchat Pelagii, co vlastně ví o Gunduličovi.</w:t>
      </w:r>
    </w:p>
    <w:p w:rsidR="00500724" w:rsidRDefault="00F30FB8">
      <w:pPr>
        <w:pStyle w:val="Zkladntext20"/>
        <w:numPr>
          <w:ilvl w:val="0"/>
          <w:numId w:val="104"/>
        </w:numPr>
        <w:shd w:val="clear" w:color="auto" w:fill="auto"/>
        <w:tabs>
          <w:tab w:val="left" w:pos="534"/>
        </w:tabs>
        <w:spacing w:line="194" w:lineRule="auto"/>
        <w:rPr>
          <w:sz w:val="20"/>
          <w:szCs w:val="20"/>
        </w:rPr>
      </w:pPr>
      <w:r>
        <w:rPr>
          <w:i/>
          <w:iCs/>
          <w:sz w:val="20"/>
          <w:szCs w:val="20"/>
        </w:rPr>
        <w:t>Tak tedy Gundulič je váš, srbský ? A řekni mi, pro</w:t>
      </w:r>
      <w:r>
        <w:rPr>
          <w:i/>
          <w:iCs/>
          <w:sz w:val="20"/>
          <w:szCs w:val="20"/>
        </w:rPr>
        <w:softHyphen/>
        <w:t>sím tě, co napsal? O tom nevíte nic! Gundulič psal latin</w:t>
      </w:r>
      <w:r>
        <w:rPr>
          <w:i/>
          <w:iCs/>
          <w:sz w:val="20"/>
          <w:szCs w:val="20"/>
        </w:rPr>
        <w:softHyphen/>
        <w:t>kou a vy znáte jen tu svou tureckou cirilici.</w:t>
      </w:r>
    </w:p>
    <w:p w:rsidR="00500724" w:rsidRDefault="00F30FB8">
      <w:pPr>
        <w:pStyle w:val="Zkladntext20"/>
        <w:numPr>
          <w:ilvl w:val="0"/>
          <w:numId w:val="104"/>
        </w:numPr>
        <w:shd w:val="clear" w:color="auto" w:fill="auto"/>
        <w:tabs>
          <w:tab w:val="left" w:pos="534"/>
        </w:tabs>
        <w:spacing w:line="194" w:lineRule="auto"/>
        <w:rPr>
          <w:sz w:val="20"/>
          <w:szCs w:val="20"/>
        </w:rPr>
      </w:pPr>
      <w:r>
        <w:rPr>
          <w:i/>
          <w:iCs/>
          <w:sz w:val="20"/>
          <w:szCs w:val="20"/>
        </w:rPr>
        <w:t>Co nevíme!</w:t>
      </w:r>
      <w:r>
        <w:rPr>
          <w:i/>
          <w:iCs/>
          <w:sz w:val="20"/>
          <w:szCs w:val="20"/>
        </w:rPr>
        <w:t xml:space="preserve"> — zavřískla Pelagija. — Tu krásnou bá</w:t>
      </w:r>
      <w:r>
        <w:rPr>
          <w:i/>
          <w:iCs/>
          <w:sz w:val="20"/>
          <w:szCs w:val="20"/>
        </w:rPr>
        <w:softHyphen/>
        <w:t>seň, kterou napsal srbským dětem...</w:t>
      </w:r>
    </w:p>
    <w:p w:rsidR="00500724" w:rsidRDefault="00F30FB8">
      <w:pPr>
        <w:pStyle w:val="Zkladntext20"/>
        <w:shd w:val="clear" w:color="auto" w:fill="auto"/>
        <w:spacing w:line="194" w:lineRule="auto"/>
        <w:rPr>
          <w:sz w:val="20"/>
          <w:szCs w:val="20"/>
        </w:rPr>
      </w:pPr>
      <w:r>
        <w:rPr>
          <w:i/>
          <w:iCs/>
          <w:sz w:val="20"/>
          <w:szCs w:val="20"/>
        </w:rPr>
        <w:t>A Pelagija pozvedla ruku a počala deklamovat v noční košili:</w:t>
      </w:r>
    </w:p>
    <w:p w:rsidR="00500724" w:rsidRDefault="00F30FB8">
      <w:pPr>
        <w:pStyle w:val="Zkladntext20"/>
        <w:shd w:val="clear" w:color="auto" w:fill="auto"/>
        <w:spacing w:line="194" w:lineRule="auto"/>
        <w:ind w:left="1580" w:right="780" w:firstLine="0"/>
        <w:jc w:val="left"/>
        <w:rPr>
          <w:sz w:val="20"/>
          <w:szCs w:val="20"/>
        </w:rPr>
      </w:pPr>
      <w:r>
        <w:rPr>
          <w:i/>
          <w:iCs/>
          <w:sz w:val="20"/>
          <w:szCs w:val="20"/>
        </w:rPr>
        <w:t>„Postavte školy, prosí vás děti nevinné, neb přijde den,</w:t>
      </w:r>
    </w:p>
    <w:p w:rsidR="00500724" w:rsidRDefault="00F30FB8">
      <w:pPr>
        <w:pStyle w:val="Zkladntext20"/>
        <w:shd w:val="clear" w:color="auto" w:fill="auto"/>
        <w:spacing w:after="120" w:line="194" w:lineRule="auto"/>
        <w:ind w:left="1580" w:firstLine="0"/>
        <w:jc w:val="left"/>
        <w:rPr>
          <w:sz w:val="20"/>
          <w:szCs w:val="20"/>
        </w:rPr>
      </w:pPr>
      <w:r>
        <w:rPr>
          <w:i/>
          <w:iCs/>
          <w:sz w:val="20"/>
          <w:szCs w:val="20"/>
        </w:rPr>
        <w:t>a lidé budou zde, však Srbi ne!“</w:t>
      </w:r>
    </w:p>
    <w:p w:rsidR="00500724" w:rsidRDefault="00F30FB8">
      <w:pPr>
        <w:pStyle w:val="Zkladntext20"/>
        <w:shd w:val="clear" w:color="auto" w:fill="auto"/>
        <w:spacing w:line="192" w:lineRule="auto"/>
        <w:rPr>
          <w:sz w:val="20"/>
          <w:szCs w:val="20"/>
        </w:rPr>
      </w:pPr>
      <w:r>
        <w:rPr>
          <w:i/>
          <w:iCs/>
          <w:sz w:val="20"/>
          <w:szCs w:val="20"/>
        </w:rPr>
        <w:t xml:space="preserve">To není od Gunduliče! — </w:t>
      </w:r>
      <w:r>
        <w:rPr>
          <w:i/>
          <w:iCs/>
          <w:sz w:val="20"/>
          <w:szCs w:val="20"/>
        </w:rPr>
        <w:t>zvolala Cilika. — Nic o ško</w:t>
      </w:r>
      <w:r>
        <w:rPr>
          <w:i/>
          <w:iCs/>
          <w:sz w:val="20"/>
          <w:szCs w:val="20"/>
        </w:rPr>
        <w:softHyphen/>
        <w:t>lách neví, co mu je po nich. Napsal tu naši pravášskou, starčevičskou:</w:t>
      </w:r>
    </w:p>
    <w:p w:rsidR="00500724" w:rsidRDefault="00F30FB8">
      <w:pPr>
        <w:pStyle w:val="Zkladntext20"/>
        <w:shd w:val="clear" w:color="auto" w:fill="auto"/>
        <w:spacing w:line="192" w:lineRule="auto"/>
        <w:ind w:left="1580" w:right="780" w:firstLine="0"/>
        <w:jc w:val="left"/>
        <w:rPr>
          <w:sz w:val="20"/>
          <w:szCs w:val="20"/>
        </w:rPr>
      </w:pPr>
      <w:r>
        <w:rPr>
          <w:i/>
          <w:iCs/>
          <w:sz w:val="20"/>
          <w:szCs w:val="20"/>
        </w:rPr>
        <w:t>„At žije Charvátsko se staletými právy, jen zbabělců se střež a zrádcům rozbij hlavy.</w:t>
      </w:r>
    </w:p>
    <w:p w:rsidR="00500724" w:rsidRDefault="00F30FB8">
      <w:pPr>
        <w:pStyle w:val="Zkladntext20"/>
        <w:shd w:val="clear" w:color="auto" w:fill="auto"/>
        <w:spacing w:line="192" w:lineRule="auto"/>
        <w:ind w:left="1580" w:firstLine="0"/>
        <w:jc w:val="left"/>
        <w:rPr>
          <w:sz w:val="20"/>
          <w:szCs w:val="20"/>
        </w:rPr>
      </w:pPr>
      <w:r>
        <w:rPr>
          <w:i/>
          <w:iCs/>
          <w:sz w:val="20"/>
          <w:szCs w:val="20"/>
        </w:rPr>
        <w:t>Sláva mu, sláva mu,</w:t>
      </w:r>
    </w:p>
    <w:p w:rsidR="00500724" w:rsidRDefault="00F30FB8">
      <w:pPr>
        <w:pStyle w:val="Zkladntext20"/>
        <w:shd w:val="clear" w:color="auto" w:fill="auto"/>
        <w:spacing w:after="60" w:line="192" w:lineRule="auto"/>
        <w:ind w:left="1580" w:firstLine="0"/>
        <w:jc w:val="left"/>
        <w:rPr>
          <w:sz w:val="20"/>
          <w:szCs w:val="20"/>
        </w:rPr>
      </w:pPr>
      <w:r>
        <w:rPr>
          <w:i/>
          <w:iCs/>
          <w:sz w:val="20"/>
          <w:szCs w:val="20"/>
        </w:rPr>
        <w:t>Starčeviói našemu!“</w:t>
      </w:r>
    </w:p>
    <w:p w:rsidR="00500724" w:rsidRDefault="00F30FB8">
      <w:pPr>
        <w:pStyle w:val="Zkladntext20"/>
        <w:shd w:val="clear" w:color="auto" w:fill="auto"/>
        <w:spacing w:line="197" w:lineRule="auto"/>
        <w:rPr>
          <w:sz w:val="20"/>
          <w:szCs w:val="20"/>
        </w:rPr>
      </w:pPr>
      <w:r>
        <w:rPr>
          <w:i/>
          <w:iCs/>
          <w:sz w:val="20"/>
          <w:szCs w:val="20"/>
        </w:rPr>
        <w:t>Později ředitel školy odhalil P</w:t>
      </w:r>
      <w:r>
        <w:rPr>
          <w:i/>
          <w:iCs/>
          <w:sz w:val="20"/>
          <w:szCs w:val="20"/>
        </w:rPr>
        <w:t>elagii, že Gundulič na</w:t>
      </w:r>
      <w:r>
        <w:rPr>
          <w:i/>
          <w:iCs/>
          <w:sz w:val="20"/>
          <w:szCs w:val="20"/>
        </w:rPr>
        <w:softHyphen/>
        <w:t xml:space="preserve">psal „Osmana“. Cilika slyšela o „Osmanovi“ po prvé od Pelagije, ale to ji pře to nijak nepřivedlo do rozpaků; ihned dokazovala že </w:t>
      </w:r>
      <w:r>
        <w:rPr>
          <w:i/>
          <w:iCs/>
          <w:sz w:val="20"/>
          <w:szCs w:val="20"/>
          <w:lang w:val="en-US" w:eastAsia="en-US" w:bidi="en-US"/>
        </w:rPr>
        <w:t xml:space="preserve">Osman </w:t>
      </w:r>
      <w:r>
        <w:rPr>
          <w:i/>
          <w:iCs/>
          <w:sz w:val="20"/>
          <w:szCs w:val="20"/>
        </w:rPr>
        <w:t>je opravdický Charvát a Star- čevičanec.</w:t>
      </w:r>
    </w:p>
    <w:p w:rsidR="00500724" w:rsidRDefault="00F30FB8">
      <w:pPr>
        <w:pStyle w:val="Zkladntext20"/>
        <w:shd w:val="clear" w:color="auto" w:fill="auto"/>
        <w:spacing w:line="192" w:lineRule="auto"/>
        <w:ind w:firstLine="220"/>
        <w:rPr>
          <w:sz w:val="20"/>
          <w:szCs w:val="20"/>
        </w:rPr>
      </w:pPr>
      <w:r>
        <w:rPr>
          <w:i/>
          <w:iCs/>
          <w:sz w:val="20"/>
          <w:szCs w:val="20"/>
        </w:rPr>
        <w:t xml:space="preserve">Palegija zase tvrdila, že </w:t>
      </w:r>
      <w:r>
        <w:rPr>
          <w:i/>
          <w:iCs/>
          <w:sz w:val="20"/>
          <w:szCs w:val="20"/>
          <w:lang w:val="en-US" w:eastAsia="en-US" w:bidi="en-US"/>
        </w:rPr>
        <w:t xml:space="preserve">Osman </w:t>
      </w:r>
      <w:r>
        <w:rPr>
          <w:i/>
          <w:iCs/>
          <w:sz w:val="20"/>
          <w:szCs w:val="20"/>
        </w:rPr>
        <w:t>je Srb, musliman z Bosny</w:t>
      </w:r>
      <w:r>
        <w:rPr>
          <w:i/>
          <w:iCs/>
          <w:sz w:val="20"/>
          <w:szCs w:val="20"/>
        </w:rPr>
        <w:t>.</w:t>
      </w:r>
    </w:p>
    <w:p w:rsidR="00500724" w:rsidRDefault="00F30FB8">
      <w:pPr>
        <w:pStyle w:val="Zkladntext20"/>
        <w:shd w:val="clear" w:color="auto" w:fill="auto"/>
        <w:spacing w:line="192" w:lineRule="auto"/>
        <w:ind w:firstLine="220"/>
        <w:rPr>
          <w:sz w:val="20"/>
          <w:szCs w:val="20"/>
        </w:rPr>
      </w:pPr>
      <w:r>
        <w:rPr>
          <w:i/>
          <w:iCs/>
          <w:sz w:val="20"/>
          <w:szCs w:val="20"/>
        </w:rPr>
        <w:t xml:space="preserve">— Ty báby se úplně zbláznily — vzdychl dědeček. — Melo by se to oznámit na obec, nebo jinak se jednoho dne zavraždí. </w:t>
      </w:r>
      <w:r>
        <w:rPr>
          <w:i/>
          <w:iCs/>
          <w:sz w:val="20"/>
          <w:szCs w:val="20"/>
          <w:lang w:val="en-US" w:eastAsia="en-US" w:bidi="en-US"/>
        </w:rPr>
        <w:t xml:space="preserve">Osman </w:t>
      </w:r>
      <w:r>
        <w:rPr>
          <w:i/>
          <w:iCs/>
          <w:sz w:val="20"/>
          <w:szCs w:val="20"/>
        </w:rPr>
        <w:t xml:space="preserve">— </w:t>
      </w:r>
      <w:r>
        <w:rPr>
          <w:i/>
          <w:iCs/>
          <w:sz w:val="20"/>
          <w:szCs w:val="20"/>
          <w:lang w:val="en-US" w:eastAsia="en-US" w:bidi="en-US"/>
        </w:rPr>
        <w:t xml:space="preserve">das </w:t>
      </w:r>
      <w:r>
        <w:rPr>
          <w:i/>
          <w:iCs/>
          <w:sz w:val="20"/>
          <w:szCs w:val="20"/>
        </w:rPr>
        <w:t xml:space="preserve">ist doch kein romisch-katolischer oder griechisch-orientalischer </w:t>
      </w:r>
      <w:r>
        <w:rPr>
          <w:i/>
          <w:iCs/>
          <w:sz w:val="20"/>
          <w:szCs w:val="20"/>
          <w:lang w:val="en-US" w:eastAsia="en-US" w:bidi="en-US"/>
        </w:rPr>
        <w:t xml:space="preserve">Name, das </w:t>
      </w:r>
      <w:r>
        <w:rPr>
          <w:i/>
          <w:iCs/>
          <w:sz w:val="20"/>
          <w:szCs w:val="20"/>
        </w:rPr>
        <w:t>ist ein Tůrke, ein Janjičar!</w:t>
      </w:r>
    </w:p>
    <w:p w:rsidR="00500724" w:rsidRDefault="00F30FB8">
      <w:pPr>
        <w:pStyle w:val="Zkladntext20"/>
        <w:shd w:val="clear" w:color="auto" w:fill="auto"/>
        <w:spacing w:line="194" w:lineRule="auto"/>
        <w:ind w:firstLine="220"/>
        <w:rPr>
          <w:sz w:val="20"/>
          <w:szCs w:val="20"/>
        </w:rPr>
      </w:pPr>
      <w:r>
        <w:rPr>
          <w:i/>
          <w:iCs/>
          <w:sz w:val="20"/>
          <w:szCs w:val="20"/>
        </w:rPr>
        <w:t>Gundulič brzy pobouři</w:t>
      </w:r>
      <w:r>
        <w:rPr>
          <w:i/>
          <w:iCs/>
          <w:sz w:val="20"/>
          <w:szCs w:val="20"/>
        </w:rPr>
        <w:t xml:space="preserve">l celé městečko. Musila zakročit policie, nebot jednoho dne opánkář Sumonja honil po ulici s klackem svého kolegu Pečka, aby mu ukázal, „kdo byl </w:t>
      </w:r>
      <w:r>
        <w:rPr>
          <w:i/>
          <w:iCs/>
          <w:sz w:val="20"/>
          <w:szCs w:val="20"/>
          <w:lang w:val="en-US" w:eastAsia="en-US" w:bidi="en-US"/>
        </w:rPr>
        <w:t xml:space="preserve">Osman </w:t>
      </w:r>
      <w:r>
        <w:rPr>
          <w:i/>
          <w:iCs/>
          <w:sz w:val="20"/>
          <w:szCs w:val="20"/>
        </w:rPr>
        <w:t>a kdo byl Gundulič“. Přihlásil se též obuvník Gun</w:t>
      </w:r>
      <w:r>
        <w:rPr>
          <w:i/>
          <w:iCs/>
          <w:sz w:val="20"/>
          <w:szCs w:val="20"/>
        </w:rPr>
        <w:softHyphen/>
        <w:t>dalo, aby rozhodl spor. Udál na obecním úřadě do proto</w:t>
      </w:r>
      <w:r>
        <w:rPr>
          <w:i/>
          <w:iCs/>
          <w:sz w:val="20"/>
          <w:szCs w:val="20"/>
        </w:rPr>
        <w:softHyphen/>
      </w:r>
      <w:r>
        <w:rPr>
          <w:i/>
          <w:iCs/>
          <w:sz w:val="20"/>
          <w:szCs w:val="20"/>
        </w:rPr>
        <w:t>kolu, že Gundulič byl jeho příbuzný, nebot to jméno určitě pochází od Gundalo. A byl pravoslavný Srb, ale později se pokatoličil a přidal se k Charvátům.</w:t>
      </w:r>
    </w:p>
    <w:p w:rsidR="00500724" w:rsidRDefault="00F30FB8">
      <w:pPr>
        <w:pStyle w:val="Zkladntext20"/>
        <w:shd w:val="clear" w:color="auto" w:fill="auto"/>
        <w:spacing w:line="194" w:lineRule="auto"/>
        <w:ind w:firstLine="220"/>
        <w:rPr>
          <w:sz w:val="20"/>
          <w:szCs w:val="20"/>
        </w:rPr>
      </w:pPr>
      <w:r>
        <w:rPr>
          <w:i/>
          <w:iCs/>
          <w:sz w:val="20"/>
          <w:szCs w:val="20"/>
        </w:rPr>
        <w:t>Zmatek se tak ještě zvětšil.</w:t>
      </w:r>
    </w:p>
    <w:p w:rsidR="00500724" w:rsidRDefault="00F30FB8">
      <w:pPr>
        <w:pStyle w:val="Zkladntext20"/>
        <w:shd w:val="clear" w:color="auto" w:fill="auto"/>
        <w:spacing w:line="194" w:lineRule="auto"/>
        <w:ind w:firstLine="220"/>
        <w:rPr>
          <w:sz w:val="20"/>
          <w:szCs w:val="20"/>
        </w:rPr>
      </w:pPr>
      <w:r>
        <w:rPr>
          <w:i/>
          <w:iCs/>
          <w:sz w:val="20"/>
          <w:szCs w:val="20"/>
        </w:rPr>
        <w:t xml:space="preserve">Oba opánkářské spolky, srbský i chorvátský, se usnesly na valných </w:t>
      </w:r>
      <w:r>
        <w:rPr>
          <w:i/>
          <w:iCs/>
          <w:sz w:val="20"/>
          <w:szCs w:val="20"/>
        </w:rPr>
        <w:t>schůzích položití ke Gunduličovu pomníku zlatý vavřínový věnec. Na jednom věnci byl nápis: „Veli</w:t>
      </w:r>
      <w:r>
        <w:rPr>
          <w:i/>
          <w:iCs/>
          <w:sz w:val="20"/>
          <w:szCs w:val="20"/>
        </w:rPr>
        <w:softHyphen/>
        <w:t>kému a největšímu chorvátskému básníku — uvědomělí opánkáři Charváti“. A na druhém byla stuha: „Velikému a největšímu srbskému básníku — uvědomělí opánkáři Srb</w:t>
      </w:r>
      <w:r>
        <w:rPr>
          <w:i/>
          <w:iCs/>
          <w:sz w:val="20"/>
          <w:szCs w:val="20"/>
        </w:rPr>
        <w:t>i“.</w:t>
      </w:r>
    </w:p>
    <w:p w:rsidR="00500724" w:rsidRDefault="00F30FB8">
      <w:pPr>
        <w:pStyle w:val="Zkladntext20"/>
        <w:shd w:val="clear" w:color="auto" w:fill="auto"/>
        <w:spacing w:line="194" w:lineRule="auto"/>
        <w:ind w:firstLine="220"/>
        <w:rPr>
          <w:sz w:val="20"/>
          <w:szCs w:val="20"/>
        </w:rPr>
      </w:pPr>
      <w:r>
        <w:rPr>
          <w:i/>
          <w:iCs/>
          <w:sz w:val="20"/>
          <w:szCs w:val="20"/>
        </w:rPr>
        <w:t>Delegáti obou spolků odjeli do Dubrovníka, aby tam po</w:t>
      </w:r>
      <w:r>
        <w:rPr>
          <w:i/>
          <w:iCs/>
          <w:sz w:val="20"/>
          <w:szCs w:val="20"/>
        </w:rPr>
        <w:softHyphen/>
        <w:t>ložili věnce k pomníku. Tu však náhle byli zklamáni: na pomníku nebylo napsáno ani „srbský“ ani „chorvátský“. Básníka oslavil jenom jeden jediný národ, ale ten byl.. &lt; bezejmenný. Výbor dál tam nápi</w:t>
      </w:r>
      <w:r>
        <w:rPr>
          <w:i/>
          <w:iCs/>
          <w:sz w:val="20"/>
          <w:szCs w:val="20"/>
        </w:rPr>
        <w:t>s: „Našemu básníku — náš národ“, nebo tak nějak.</w:t>
      </w:r>
    </w:p>
    <w:p w:rsidR="00500724" w:rsidRDefault="00F30FB8">
      <w:pPr>
        <w:pStyle w:val="Zkladntext20"/>
        <w:shd w:val="clear" w:color="auto" w:fill="auto"/>
        <w:spacing w:after="380" w:line="194" w:lineRule="auto"/>
        <w:ind w:firstLine="220"/>
        <w:rPr>
          <w:sz w:val="20"/>
          <w:szCs w:val="20"/>
        </w:rPr>
      </w:pPr>
      <w:r>
        <w:rPr>
          <w:i/>
          <w:iCs/>
          <w:sz w:val="20"/>
          <w:szCs w:val="20"/>
        </w:rPr>
        <w:t>Opánkáři přes to nepovolili. Potloukli se a navrátili se domů s rozbitými hlavami. A to také byla pro ně jediná příležitost, aby si něco zapamatovali o Gunduličovi ...</w:t>
      </w:r>
    </w:p>
    <w:p w:rsidR="00500724" w:rsidRDefault="00F30FB8">
      <w:pPr>
        <w:pStyle w:val="Zkladntext20"/>
        <w:shd w:val="clear" w:color="auto" w:fill="auto"/>
        <w:spacing w:line="194" w:lineRule="auto"/>
        <w:ind w:firstLine="220"/>
        <w:rPr>
          <w:sz w:val="20"/>
          <w:szCs w:val="20"/>
        </w:rPr>
      </w:pPr>
      <w:r>
        <w:rPr>
          <w:i/>
          <w:iCs/>
          <w:sz w:val="20"/>
          <w:szCs w:val="20"/>
        </w:rPr>
        <w:t>Moje tety nečetly jen noviny, nýbrž lis</w:t>
      </w:r>
      <w:r>
        <w:rPr>
          <w:i/>
          <w:iCs/>
          <w:sz w:val="20"/>
          <w:szCs w:val="20"/>
        </w:rPr>
        <w:t>tovaly též v ně</w:t>
      </w:r>
      <w:r>
        <w:rPr>
          <w:i/>
          <w:iCs/>
          <w:sz w:val="20"/>
          <w:szCs w:val="20"/>
        </w:rPr>
        <w:softHyphen/>
        <w:t>jakých velikých, tlustých knihách, které napsali povolaní i nepovolaní charvátští a srbští historikové. Mnoho z toho znaly nazpaměť, pročež byly pokládány za „nejučenější báby“ v městě.</w:t>
      </w:r>
    </w:p>
    <w:p w:rsidR="00500724" w:rsidRDefault="00F30FB8">
      <w:pPr>
        <w:pStyle w:val="Zkladntext20"/>
        <w:shd w:val="clear" w:color="auto" w:fill="auto"/>
        <w:spacing w:line="194" w:lineRule="auto"/>
        <w:ind w:firstLine="220"/>
        <w:rPr>
          <w:sz w:val="20"/>
          <w:szCs w:val="20"/>
        </w:rPr>
      </w:pPr>
      <w:r>
        <w:rPr>
          <w:i/>
          <w:iCs/>
          <w:sz w:val="20"/>
          <w:szCs w:val="20"/>
        </w:rPr>
        <w:t xml:space="preserve">Později jsem se z těch knih dověděl, že Srby stvořila </w:t>
      </w:r>
      <w:r>
        <w:rPr>
          <w:i/>
          <w:iCs/>
          <w:sz w:val="20"/>
          <w:szCs w:val="20"/>
        </w:rPr>
        <w:t>z poloviny Byzanc a z poloviny Rakousko. Charváty zase do poloviny stvořilo Rakousko a zbytek Maďarsko. Proto jsem nijak nemohl pochopit, proč se i Srbi i Charváté tolik bouří proti Rakousku a Maďarsku, když ony je stvořily.</w:t>
      </w:r>
    </w:p>
    <w:p w:rsidR="00500724" w:rsidRDefault="00F30FB8">
      <w:pPr>
        <w:pStyle w:val="Zkladntext20"/>
        <w:shd w:val="clear" w:color="auto" w:fill="auto"/>
        <w:spacing w:line="194" w:lineRule="auto"/>
        <w:ind w:firstLine="220"/>
        <w:rPr>
          <w:sz w:val="20"/>
          <w:szCs w:val="20"/>
        </w:rPr>
      </w:pPr>
      <w:r>
        <w:rPr>
          <w:i/>
          <w:iCs/>
          <w:sz w:val="20"/>
          <w:szCs w:val="20"/>
        </w:rPr>
        <w:t>V roce 189ý nějaký profesor děj</w:t>
      </w:r>
      <w:r>
        <w:rPr>
          <w:i/>
          <w:iCs/>
          <w:sz w:val="20"/>
          <w:szCs w:val="20"/>
        </w:rPr>
        <w:t>episu dokazoval v srb</w:t>
      </w:r>
      <w:r>
        <w:rPr>
          <w:i/>
          <w:iCs/>
          <w:sz w:val="20"/>
          <w:szCs w:val="20"/>
        </w:rPr>
        <w:softHyphen/>
        <w:t>ských novinách, že Bosna je srbská. V charvátských no</w:t>
      </w:r>
      <w:r>
        <w:rPr>
          <w:i/>
          <w:iCs/>
          <w:sz w:val="20"/>
          <w:szCs w:val="20"/>
        </w:rPr>
        <w:softHyphen/>
        <w:t>vinách dokazoval druhý profesor, že Bosna je charvát</w:t>
      </w:r>
      <w:r>
        <w:rPr>
          <w:i/>
          <w:iCs/>
          <w:sz w:val="20"/>
          <w:szCs w:val="20"/>
        </w:rPr>
        <w:softHyphen/>
        <w:t>ská. Polemika trvala přes tři měsíce. Nakonec se charvát- ský profesor dopálil a poslal svému protivníkovi ultima</w:t>
      </w:r>
      <w:r>
        <w:rPr>
          <w:i/>
          <w:iCs/>
          <w:sz w:val="20"/>
          <w:szCs w:val="20"/>
        </w:rPr>
        <w:softHyphen/>
        <w:t>tum: at ihned</w:t>
      </w:r>
      <w:r>
        <w:rPr>
          <w:i/>
          <w:iCs/>
          <w:sz w:val="20"/>
          <w:szCs w:val="20"/>
        </w:rPr>
        <w:t xml:space="preserve"> a bez váhání evákuuje Bosnu i Hercegovinu až po Dřinu, nebo jinak on zahájí historickou ofensivu na Gemou Horu a Makedonii. Srbský profesor odpověděl na ultimatum takto:</w:t>
      </w:r>
    </w:p>
    <w:p w:rsidR="00500724" w:rsidRDefault="00F30FB8">
      <w:pPr>
        <w:pStyle w:val="Zkladntext20"/>
        <w:shd w:val="clear" w:color="auto" w:fill="auto"/>
        <w:spacing w:line="194" w:lineRule="auto"/>
        <w:ind w:firstLine="220"/>
        <w:rPr>
          <w:sz w:val="20"/>
          <w:szCs w:val="20"/>
        </w:rPr>
      </w:pPr>
      <w:r>
        <w:rPr>
          <w:i/>
          <w:iCs/>
          <w:sz w:val="20"/>
          <w:szCs w:val="20"/>
        </w:rPr>
        <w:t>— A nyní vám otevřeně řeknu, milý pane kolego. Když takto nebratrsky jednáte, nejen ž</w:t>
      </w:r>
      <w:r>
        <w:rPr>
          <w:i/>
          <w:iCs/>
          <w:sz w:val="20"/>
          <w:szCs w:val="20"/>
        </w:rPr>
        <w:t>e vám z Bosny a Herce</w:t>
      </w:r>
      <w:r>
        <w:rPr>
          <w:i/>
          <w:iCs/>
          <w:sz w:val="20"/>
          <w:szCs w:val="20"/>
        </w:rPr>
        <w:softHyphen/>
        <w:t>goviny nedám ani tolik, co by se za nehet vešlo, nýbrž ze</w:t>
      </w:r>
      <w:r>
        <w:rPr>
          <w:i/>
          <w:iCs/>
          <w:sz w:val="20"/>
          <w:szCs w:val="20"/>
        </w:rPr>
        <w:softHyphen/>
        <w:t>ptám se nyní, čí jsou kraje kolem Záhřeba...</w:t>
      </w:r>
    </w:p>
    <w:p w:rsidR="00500724" w:rsidRDefault="00F30FB8">
      <w:pPr>
        <w:pStyle w:val="Zkladntext20"/>
        <w:shd w:val="clear" w:color="auto" w:fill="auto"/>
        <w:spacing w:line="197" w:lineRule="auto"/>
        <w:ind w:firstLine="220"/>
        <w:rPr>
          <w:sz w:val="20"/>
          <w:szCs w:val="20"/>
        </w:rPr>
      </w:pPr>
      <w:r>
        <w:rPr>
          <w:i/>
          <w:iCs/>
          <w:sz w:val="20"/>
          <w:szCs w:val="20"/>
        </w:rPr>
        <w:t>Jinak oba profesoři učili své žáky ve škole, že existuje „bosenský jazyk“ a že Bosna je — rakousko-uherská země!</w:t>
      </w:r>
    </w:p>
    <w:p w:rsidR="00500724" w:rsidRDefault="00F30FB8">
      <w:pPr>
        <w:pStyle w:val="Zkladntext20"/>
        <w:shd w:val="clear" w:color="auto" w:fill="auto"/>
        <w:spacing w:line="197" w:lineRule="auto"/>
        <w:ind w:firstLine="220"/>
        <w:rPr>
          <w:sz w:val="20"/>
          <w:szCs w:val="20"/>
        </w:rPr>
      </w:pPr>
      <w:r>
        <w:rPr>
          <w:i/>
          <w:iCs/>
          <w:sz w:val="20"/>
          <w:szCs w:val="20"/>
        </w:rPr>
        <w:t xml:space="preserve">Škola nás cvičila </w:t>
      </w:r>
      <w:r>
        <w:rPr>
          <w:i/>
          <w:iCs/>
          <w:sz w:val="20"/>
          <w:szCs w:val="20"/>
        </w:rPr>
        <w:t>v jednotném dualismu a v dvojité jed</w:t>
      </w:r>
      <w:r>
        <w:rPr>
          <w:i/>
          <w:iCs/>
          <w:sz w:val="20"/>
          <w:szCs w:val="20"/>
        </w:rPr>
        <w:softHyphen/>
        <w:t>notě. Všechno bylo dvojí a současně jedno: řecko-vý- chodní, římsko-katolické, bjelovarsko-križevačské, char- vátsko-slavonské, rakousko-uherské, česko-moravské, ty- rolsko-voralberské, požešsko-virovitičské a tak do ne</w:t>
      </w:r>
      <w:r>
        <w:rPr>
          <w:i/>
          <w:iCs/>
          <w:sz w:val="20"/>
          <w:szCs w:val="20"/>
        </w:rPr>
        <w:t>ko</w:t>
      </w:r>
      <w:r>
        <w:rPr>
          <w:i/>
          <w:iCs/>
          <w:sz w:val="20"/>
          <w:szCs w:val="20"/>
        </w:rPr>
        <w:softHyphen/>
        <w:t>nečna.</w:t>
      </w:r>
    </w:p>
    <w:p w:rsidR="00500724" w:rsidRDefault="00F30FB8">
      <w:pPr>
        <w:pStyle w:val="Zkladntext20"/>
        <w:shd w:val="clear" w:color="auto" w:fill="auto"/>
        <w:spacing w:after="120" w:line="180" w:lineRule="auto"/>
        <w:ind w:firstLine="0"/>
        <w:jc w:val="center"/>
        <w:rPr>
          <w:sz w:val="20"/>
          <w:szCs w:val="20"/>
        </w:rPr>
      </w:pPr>
      <w:r>
        <w:rPr>
          <w:i/>
          <w:iCs/>
          <w:sz w:val="20"/>
          <w:szCs w:val="20"/>
        </w:rPr>
        <w:t>•</w:t>
      </w:r>
    </w:p>
    <w:p w:rsidR="00500724" w:rsidRDefault="00F30FB8">
      <w:pPr>
        <w:pStyle w:val="Zkladntext20"/>
        <w:shd w:val="clear" w:color="auto" w:fill="auto"/>
        <w:spacing w:line="202" w:lineRule="auto"/>
        <w:ind w:firstLine="220"/>
        <w:rPr>
          <w:sz w:val="20"/>
          <w:szCs w:val="20"/>
        </w:rPr>
        <w:sectPr w:rsidR="00500724">
          <w:footnotePr>
            <w:numFmt w:val="chicago"/>
            <w:numRestart w:val="eachPage"/>
          </w:footnotePr>
          <w:type w:val="continuous"/>
          <w:pgSz w:w="11909" w:h="16834"/>
          <w:pgMar w:top="673" w:right="1176" w:bottom="1196" w:left="283" w:header="0" w:footer="3" w:gutter="0"/>
          <w:cols w:num="2" w:space="130"/>
          <w:noEndnote/>
          <w:docGrid w:linePitch="360"/>
        </w:sectPr>
      </w:pPr>
      <w:r>
        <w:rPr>
          <w:i/>
          <w:iCs/>
          <w:sz w:val="20"/>
          <w:szCs w:val="20"/>
        </w:rPr>
        <w:t>Nikdy jsme poctivě nevěděli, který je den, ba ani který je měsíc a rok. Pro Chorváty byl rok 1898, pro Srby ještě 1897. Charváti měli únor a Srbi ještě žili v lednu. A v stej</w:t>
      </w:r>
      <w:r>
        <w:rPr>
          <w:i/>
          <w:iCs/>
          <w:sz w:val="20"/>
          <w:szCs w:val="20"/>
        </w:rPr>
        <w:softHyphen/>
        <w:t xml:space="preserve">ném měsíci tvrdili Charváti, že je </w:t>
      </w:r>
      <w:r>
        <w:rPr>
          <w:i/>
          <w:iCs/>
          <w:sz w:val="20"/>
          <w:szCs w:val="20"/>
        </w:rPr>
        <w:t>devatenáctého, a Srbo</w:t>
      </w:r>
      <w:r>
        <w:rPr>
          <w:i/>
          <w:iCs/>
          <w:sz w:val="20"/>
          <w:szCs w:val="20"/>
        </w:rPr>
        <w:softHyphen/>
        <w:t>vé, že je pátého.</w:t>
      </w:r>
    </w:p>
    <w:p w:rsidR="00500724" w:rsidRDefault="00F30FB8">
      <w:pPr>
        <w:pStyle w:val="Nadpis100"/>
        <w:pBdr>
          <w:bottom w:val="single" w:sz="4" w:space="0" w:color="auto"/>
        </w:pBdr>
        <w:shd w:val="clear" w:color="auto" w:fill="auto"/>
        <w:spacing w:after="0" w:line="240" w:lineRule="auto"/>
        <w:sectPr w:rsidR="00500724">
          <w:footnotePr>
            <w:numFmt w:val="chicago"/>
            <w:numRestart w:val="eachPage"/>
          </w:footnotePr>
          <w:pgSz w:w="11909" w:h="16834"/>
          <w:pgMar w:top="670" w:right="770" w:bottom="1267" w:left="650" w:header="0" w:footer="3" w:gutter="0"/>
          <w:cols w:space="720"/>
          <w:noEndnote/>
          <w:docGrid w:linePitch="360"/>
        </w:sectPr>
      </w:pPr>
      <w:bookmarkStart w:id="839" w:name="bookmark838"/>
      <w:r>
        <w:rPr>
          <w:rFonts w:ascii="Arial" w:eastAsia="Arial" w:hAnsi="Arial" w:cs="Arial"/>
        </w:rPr>
        <w:t>Phlnmnnct .</w:t>
      </w:r>
      <w:bookmarkEnd w:id="839"/>
    </w:p>
    <w:p w:rsidR="00500724" w:rsidRDefault="00500724">
      <w:pPr>
        <w:spacing w:line="146" w:lineRule="exact"/>
        <w:rPr>
          <w:sz w:val="12"/>
          <w:szCs w:val="12"/>
        </w:rPr>
      </w:pPr>
    </w:p>
    <w:p w:rsidR="00500724" w:rsidRDefault="00500724">
      <w:pPr>
        <w:spacing w:line="14" w:lineRule="exact"/>
        <w:sectPr w:rsidR="00500724">
          <w:footnotePr>
            <w:numFmt w:val="chicago"/>
            <w:numRestart w:val="eachPage"/>
          </w:footnotePr>
          <w:type w:val="continuous"/>
          <w:pgSz w:w="11909" w:h="16834"/>
          <w:pgMar w:top="670" w:right="0" w:bottom="1184" w:left="0" w:header="0" w:footer="3" w:gutter="0"/>
          <w:cols w:space="720"/>
          <w:noEndnote/>
          <w:docGrid w:linePitch="360"/>
        </w:sectPr>
      </w:pPr>
    </w:p>
    <w:p w:rsidR="00500724" w:rsidRDefault="00F30FB8">
      <w:pPr>
        <w:pStyle w:val="Zkladntext20"/>
        <w:shd w:val="clear" w:color="auto" w:fill="auto"/>
        <w:spacing w:line="194" w:lineRule="auto"/>
        <w:ind w:firstLine="280"/>
        <w:rPr>
          <w:sz w:val="20"/>
          <w:szCs w:val="20"/>
        </w:rPr>
      </w:pPr>
      <w:r>
        <w:rPr>
          <w:i/>
          <w:iCs/>
          <w:sz w:val="20"/>
          <w:szCs w:val="20"/>
        </w:rPr>
        <w:t>I tety se o to hádaly. Není jedenáctého, je pětadvacá</w:t>
      </w:r>
      <w:r>
        <w:rPr>
          <w:i/>
          <w:iCs/>
          <w:sz w:val="20"/>
          <w:szCs w:val="20"/>
        </w:rPr>
        <w:softHyphen/>
        <w:t>tého! Není pětadvacátého, je jedenáctého ...</w:t>
      </w:r>
    </w:p>
    <w:p w:rsidR="00500724" w:rsidRDefault="00F30FB8">
      <w:pPr>
        <w:pStyle w:val="Zkladntext20"/>
        <w:shd w:val="clear" w:color="auto" w:fill="auto"/>
        <w:spacing w:line="194" w:lineRule="auto"/>
        <w:ind w:firstLine="280"/>
        <w:rPr>
          <w:sz w:val="20"/>
          <w:szCs w:val="20"/>
        </w:rPr>
      </w:pPr>
      <w:r>
        <w:rPr>
          <w:i/>
          <w:iCs/>
          <w:sz w:val="20"/>
          <w:szCs w:val="20"/>
        </w:rPr>
        <w:t xml:space="preserve">Zeptal jsem se nakonec dědečka o radu. </w:t>
      </w:r>
      <w:r>
        <w:rPr>
          <w:i/>
          <w:iCs/>
          <w:sz w:val="20"/>
          <w:szCs w:val="20"/>
          <w:lang w:val="en-US" w:eastAsia="en-US" w:bidi="en-US"/>
        </w:rPr>
        <w:t xml:space="preserve">At </w:t>
      </w:r>
      <w:r>
        <w:rPr>
          <w:i/>
          <w:iCs/>
          <w:sz w:val="20"/>
          <w:szCs w:val="20"/>
        </w:rPr>
        <w:t xml:space="preserve">mi </w:t>
      </w:r>
      <w:r>
        <w:rPr>
          <w:i/>
          <w:iCs/>
          <w:sz w:val="20"/>
          <w:szCs w:val="20"/>
        </w:rPr>
        <w:t>vysvětlí, je-li pětadvacátého či jedenáctého.</w:t>
      </w:r>
    </w:p>
    <w:p w:rsidR="00500724" w:rsidRDefault="00F30FB8">
      <w:pPr>
        <w:pStyle w:val="Zkladntext20"/>
        <w:shd w:val="clear" w:color="auto" w:fill="auto"/>
        <w:spacing w:line="194" w:lineRule="auto"/>
        <w:ind w:firstLine="280"/>
        <w:rPr>
          <w:sz w:val="20"/>
          <w:szCs w:val="20"/>
        </w:rPr>
      </w:pPr>
      <w:r>
        <w:rPr>
          <w:i/>
          <w:iCs/>
          <w:sz w:val="20"/>
          <w:szCs w:val="20"/>
        </w:rPr>
        <w:t>A starý janičár odpověděl:</w:t>
      </w:r>
    </w:p>
    <w:p w:rsidR="00500724" w:rsidRDefault="00F30FB8">
      <w:pPr>
        <w:pStyle w:val="Zkladntext20"/>
        <w:shd w:val="clear" w:color="auto" w:fill="auto"/>
        <w:spacing w:line="194" w:lineRule="auto"/>
        <w:ind w:firstLine="280"/>
        <w:rPr>
          <w:sz w:val="20"/>
          <w:szCs w:val="20"/>
        </w:rPr>
      </w:pPr>
      <w:r>
        <w:rPr>
          <w:i/>
          <w:iCs/>
          <w:sz w:val="20"/>
          <w:szCs w:val="20"/>
        </w:rPr>
        <w:t>■—• Hochu, neposlouchej bláznů! To je docela jedno. Hlavní je, aby byl člověk poctivý a věřil v Boha!</w:t>
      </w:r>
    </w:p>
    <w:p w:rsidR="00500724" w:rsidRDefault="00F30FB8">
      <w:pPr>
        <w:pStyle w:val="Zkladntext20"/>
        <w:shd w:val="clear" w:color="auto" w:fill="auto"/>
        <w:spacing w:line="194" w:lineRule="auto"/>
        <w:ind w:firstLine="280"/>
        <w:rPr>
          <w:sz w:val="20"/>
          <w:szCs w:val="20"/>
        </w:rPr>
      </w:pPr>
      <w:r>
        <w:rPr>
          <w:i/>
          <w:iCs/>
          <w:sz w:val="20"/>
          <w:szCs w:val="20"/>
        </w:rPr>
        <w:t>Avšak druhého dne se mne zeptal učitel ve škole:</w:t>
      </w:r>
    </w:p>
    <w:p w:rsidR="00500724" w:rsidRDefault="00F30FB8">
      <w:pPr>
        <w:pStyle w:val="Zkladntext20"/>
        <w:numPr>
          <w:ilvl w:val="0"/>
          <w:numId w:val="104"/>
        </w:numPr>
        <w:shd w:val="clear" w:color="auto" w:fill="auto"/>
        <w:tabs>
          <w:tab w:val="left" w:pos="635"/>
        </w:tabs>
        <w:spacing w:line="194" w:lineRule="auto"/>
        <w:ind w:firstLine="280"/>
        <w:rPr>
          <w:sz w:val="20"/>
          <w:szCs w:val="20"/>
        </w:rPr>
      </w:pPr>
      <w:r>
        <w:rPr>
          <w:i/>
          <w:iCs/>
          <w:sz w:val="20"/>
          <w:szCs w:val="20"/>
        </w:rPr>
        <w:t>Kolik je pět a šest ?</w:t>
      </w:r>
    </w:p>
    <w:p w:rsidR="00500724" w:rsidRDefault="00F30FB8">
      <w:pPr>
        <w:pStyle w:val="Zkladntext20"/>
        <w:shd w:val="clear" w:color="auto" w:fill="auto"/>
        <w:spacing w:line="194" w:lineRule="auto"/>
        <w:ind w:firstLine="280"/>
        <w:rPr>
          <w:sz w:val="20"/>
          <w:szCs w:val="20"/>
        </w:rPr>
      </w:pPr>
      <w:r>
        <w:rPr>
          <w:i/>
          <w:iCs/>
          <w:sz w:val="20"/>
          <w:szCs w:val="20"/>
        </w:rPr>
        <w:t xml:space="preserve">Odpověděl </w:t>
      </w:r>
      <w:r>
        <w:rPr>
          <w:i/>
          <w:iCs/>
          <w:sz w:val="20"/>
          <w:szCs w:val="20"/>
        </w:rPr>
        <w:t>jsem:</w:t>
      </w:r>
    </w:p>
    <w:p w:rsidR="00500724" w:rsidRDefault="00F30FB8">
      <w:pPr>
        <w:pStyle w:val="Zkladntext20"/>
        <w:numPr>
          <w:ilvl w:val="0"/>
          <w:numId w:val="104"/>
        </w:numPr>
        <w:shd w:val="clear" w:color="auto" w:fill="auto"/>
        <w:tabs>
          <w:tab w:val="left" w:pos="639"/>
        </w:tabs>
        <w:spacing w:line="194" w:lineRule="auto"/>
        <w:ind w:firstLine="280"/>
        <w:rPr>
          <w:sz w:val="20"/>
          <w:szCs w:val="20"/>
        </w:rPr>
      </w:pPr>
      <w:r>
        <w:rPr>
          <w:i/>
          <w:iCs/>
          <w:sz w:val="20"/>
          <w:szCs w:val="20"/>
        </w:rPr>
        <w:t>Jedenáct nebo pětadvacet.</w:t>
      </w:r>
    </w:p>
    <w:p w:rsidR="00500724" w:rsidRDefault="00F30FB8">
      <w:pPr>
        <w:pStyle w:val="Zkladntext20"/>
        <w:shd w:val="clear" w:color="auto" w:fill="auto"/>
        <w:spacing w:line="194" w:lineRule="auto"/>
        <w:ind w:firstLine="280"/>
        <w:rPr>
          <w:sz w:val="20"/>
          <w:szCs w:val="20"/>
        </w:rPr>
      </w:pPr>
      <w:r>
        <w:rPr>
          <w:i/>
          <w:iCs/>
          <w:sz w:val="20"/>
          <w:szCs w:val="20"/>
        </w:rPr>
        <w:t>■— Jak to? — vybuchl učitel a popadl rákosku.</w:t>
      </w:r>
    </w:p>
    <w:p w:rsidR="00500724" w:rsidRDefault="00F30FB8">
      <w:pPr>
        <w:pStyle w:val="Zkladntext20"/>
        <w:numPr>
          <w:ilvl w:val="0"/>
          <w:numId w:val="104"/>
        </w:numPr>
        <w:shd w:val="clear" w:color="auto" w:fill="auto"/>
        <w:tabs>
          <w:tab w:val="left" w:pos="551"/>
        </w:tabs>
        <w:spacing w:after="60" w:line="194" w:lineRule="auto"/>
        <w:ind w:firstLine="280"/>
        <w:rPr>
          <w:sz w:val="20"/>
          <w:szCs w:val="20"/>
        </w:rPr>
      </w:pPr>
      <w:r>
        <w:rPr>
          <w:i/>
          <w:iCs/>
          <w:sz w:val="20"/>
          <w:szCs w:val="20"/>
        </w:rPr>
        <w:t>To je jedno — koktal jsem rychle v pláči — hlavni je, aby byl člověk poctivý a věřil v Boha.</w:t>
      </w:r>
    </w:p>
    <w:p w:rsidR="00500724" w:rsidRDefault="00F30FB8">
      <w:pPr>
        <w:pStyle w:val="Zkladntext100"/>
        <w:shd w:val="clear" w:color="auto" w:fill="auto"/>
        <w:spacing w:after="80" w:line="240" w:lineRule="auto"/>
        <w:ind w:firstLine="0"/>
        <w:jc w:val="center"/>
      </w:pPr>
      <w:r>
        <w:t>•</w:t>
      </w:r>
    </w:p>
    <w:p w:rsidR="00500724" w:rsidRDefault="00F30FB8">
      <w:pPr>
        <w:pStyle w:val="Zkladntext20"/>
        <w:shd w:val="clear" w:color="auto" w:fill="auto"/>
        <w:spacing w:line="194" w:lineRule="auto"/>
        <w:ind w:firstLine="280"/>
        <w:rPr>
          <w:sz w:val="20"/>
          <w:szCs w:val="20"/>
        </w:rPr>
      </w:pPr>
      <w:r>
        <w:rPr>
          <w:i/>
          <w:iCs/>
          <w:sz w:val="20"/>
          <w:szCs w:val="20"/>
        </w:rPr>
        <w:t xml:space="preserve">Když mně a mému bratru Dušanovi bylo dvacet roků, poslal nás otec oba na studie do </w:t>
      </w:r>
      <w:r>
        <w:rPr>
          <w:i/>
          <w:iCs/>
          <w:sz w:val="20"/>
          <w:szCs w:val="20"/>
        </w:rPr>
        <w:t>Paříže.</w:t>
      </w:r>
    </w:p>
    <w:p w:rsidR="00500724" w:rsidRDefault="00F30FB8">
      <w:pPr>
        <w:pStyle w:val="Zkladntext20"/>
        <w:shd w:val="clear" w:color="auto" w:fill="auto"/>
        <w:spacing w:line="194" w:lineRule="auto"/>
        <w:ind w:firstLine="280"/>
        <w:rPr>
          <w:sz w:val="20"/>
          <w:szCs w:val="20"/>
        </w:rPr>
      </w:pPr>
      <w:r>
        <w:rPr>
          <w:i/>
          <w:iCs/>
          <w:sz w:val="20"/>
          <w:szCs w:val="20"/>
        </w:rPr>
        <w:t>Myslil jsem kdysi, že Francouzi jsou kulturní národ. Zklamal jsem se. V Paříži nijak nemohli pochopit, co jsou Srbi a co jsou Charváti.</w:t>
      </w:r>
    </w:p>
    <w:p w:rsidR="00500724" w:rsidRDefault="00F30FB8">
      <w:pPr>
        <w:pStyle w:val="Zkladntext20"/>
        <w:numPr>
          <w:ilvl w:val="0"/>
          <w:numId w:val="104"/>
        </w:numPr>
        <w:shd w:val="clear" w:color="auto" w:fill="auto"/>
        <w:tabs>
          <w:tab w:val="left" w:pos="556"/>
        </w:tabs>
        <w:spacing w:line="194" w:lineRule="auto"/>
        <w:ind w:firstLine="280"/>
        <w:rPr>
          <w:sz w:val="20"/>
          <w:szCs w:val="20"/>
        </w:rPr>
      </w:pPr>
      <w:r>
        <w:rPr>
          <w:i/>
          <w:iCs/>
          <w:sz w:val="20"/>
          <w:szCs w:val="20"/>
        </w:rPr>
        <w:t xml:space="preserve">Vaše národnost není stejná ? — tázal se nás jeden francouzský známý. — Máte však stejná jména, jestliže jsem </w:t>
      </w:r>
      <w:r>
        <w:rPr>
          <w:i/>
          <w:iCs/>
          <w:sz w:val="20"/>
          <w:szCs w:val="20"/>
        </w:rPr>
        <w:t>dobře rozuměl. Jak se vlastně jmenujete?</w:t>
      </w:r>
    </w:p>
    <w:p w:rsidR="00500724" w:rsidRDefault="00F30FB8">
      <w:pPr>
        <w:pStyle w:val="Zkladntext20"/>
        <w:shd w:val="clear" w:color="auto" w:fill="auto"/>
        <w:spacing w:line="194" w:lineRule="auto"/>
        <w:ind w:firstLine="280"/>
        <w:rPr>
          <w:sz w:val="20"/>
          <w:szCs w:val="20"/>
        </w:rPr>
      </w:pPr>
      <w:r>
        <w:rPr>
          <w:i/>
          <w:iCs/>
          <w:sz w:val="20"/>
          <w:szCs w:val="20"/>
        </w:rPr>
        <w:t>■— Krešimir Mrkva — odpověděl jsem.</w:t>
      </w:r>
    </w:p>
    <w:p w:rsidR="00500724" w:rsidRDefault="00F30FB8">
      <w:pPr>
        <w:pStyle w:val="Zkladntext20"/>
        <w:numPr>
          <w:ilvl w:val="0"/>
          <w:numId w:val="104"/>
        </w:numPr>
        <w:shd w:val="clear" w:color="auto" w:fill="auto"/>
        <w:tabs>
          <w:tab w:val="left" w:pos="639"/>
        </w:tabs>
        <w:spacing w:line="194" w:lineRule="auto"/>
        <w:ind w:firstLine="280"/>
        <w:rPr>
          <w:sz w:val="20"/>
          <w:szCs w:val="20"/>
        </w:rPr>
      </w:pPr>
      <w:r>
        <w:rPr>
          <w:i/>
          <w:iCs/>
          <w:sz w:val="20"/>
          <w:szCs w:val="20"/>
        </w:rPr>
        <w:t>A vy? — ptal se Francouz mého bratra.</w:t>
      </w:r>
    </w:p>
    <w:p w:rsidR="00500724" w:rsidRDefault="00F30FB8">
      <w:pPr>
        <w:pStyle w:val="Zkladntext20"/>
        <w:shd w:val="clear" w:color="auto" w:fill="auto"/>
        <w:spacing w:line="194" w:lineRule="auto"/>
        <w:ind w:firstLine="280"/>
        <w:rPr>
          <w:sz w:val="20"/>
          <w:szCs w:val="20"/>
        </w:rPr>
      </w:pPr>
      <w:r>
        <w:rPr>
          <w:i/>
          <w:iCs/>
          <w:sz w:val="20"/>
          <w:szCs w:val="20"/>
        </w:rPr>
        <w:t>■— Dušan Mrkva — odpověděl bratr.</w:t>
      </w:r>
    </w:p>
    <w:p w:rsidR="00500724" w:rsidRDefault="00F30FB8">
      <w:pPr>
        <w:pStyle w:val="Zkladntext20"/>
        <w:numPr>
          <w:ilvl w:val="0"/>
          <w:numId w:val="104"/>
        </w:numPr>
        <w:shd w:val="clear" w:color="auto" w:fill="auto"/>
        <w:tabs>
          <w:tab w:val="left" w:pos="639"/>
        </w:tabs>
        <w:spacing w:line="194" w:lineRule="auto"/>
        <w:ind w:firstLine="280"/>
        <w:rPr>
          <w:sz w:val="20"/>
          <w:szCs w:val="20"/>
        </w:rPr>
      </w:pPr>
      <w:r>
        <w:rPr>
          <w:i/>
          <w:iCs/>
          <w:sz w:val="20"/>
          <w:szCs w:val="20"/>
        </w:rPr>
        <w:t>A vy říkáte, že mluvíte dvěma jazyky ?</w:t>
      </w:r>
    </w:p>
    <w:p w:rsidR="00500724" w:rsidRDefault="00F30FB8">
      <w:pPr>
        <w:pStyle w:val="Zkladntext20"/>
        <w:numPr>
          <w:ilvl w:val="0"/>
          <w:numId w:val="104"/>
        </w:numPr>
        <w:shd w:val="clear" w:color="auto" w:fill="auto"/>
        <w:tabs>
          <w:tab w:val="left" w:pos="547"/>
        </w:tabs>
        <w:spacing w:line="194" w:lineRule="auto"/>
        <w:ind w:firstLine="280"/>
        <w:rPr>
          <w:sz w:val="20"/>
          <w:szCs w:val="20"/>
        </w:rPr>
      </w:pPr>
      <w:r>
        <w:rPr>
          <w:i/>
          <w:iCs/>
          <w:sz w:val="20"/>
          <w:szCs w:val="20"/>
        </w:rPr>
        <w:t xml:space="preserve">Ovšem — odpověděli jsme oba jedním slovem </w:t>
      </w:r>
      <w:r>
        <w:rPr>
          <w:i/>
          <w:iCs/>
          <w:sz w:val="20"/>
          <w:szCs w:val="20"/>
          <w:lang w:val="en-US" w:eastAsia="en-US" w:bidi="en-US"/>
        </w:rPr>
        <w:t xml:space="preserve">char- </w:t>
      </w:r>
      <w:r>
        <w:rPr>
          <w:i/>
          <w:iCs/>
          <w:sz w:val="20"/>
          <w:szCs w:val="20"/>
        </w:rPr>
        <w:t>vátsky a srbsky.</w:t>
      </w:r>
    </w:p>
    <w:p w:rsidR="00500724" w:rsidRDefault="00F30FB8">
      <w:pPr>
        <w:pStyle w:val="Zkladntext20"/>
        <w:numPr>
          <w:ilvl w:val="0"/>
          <w:numId w:val="104"/>
        </w:numPr>
        <w:shd w:val="clear" w:color="auto" w:fill="auto"/>
        <w:tabs>
          <w:tab w:val="left" w:pos="639"/>
        </w:tabs>
        <w:spacing w:line="194" w:lineRule="auto"/>
        <w:ind w:firstLine="280"/>
        <w:rPr>
          <w:sz w:val="20"/>
          <w:szCs w:val="20"/>
        </w:rPr>
      </w:pPr>
      <w:r>
        <w:rPr>
          <w:i/>
          <w:iCs/>
          <w:sz w:val="20"/>
          <w:szCs w:val="20"/>
        </w:rPr>
        <w:t xml:space="preserve">A </w:t>
      </w:r>
      <w:r>
        <w:rPr>
          <w:i/>
          <w:iCs/>
          <w:sz w:val="20"/>
          <w:szCs w:val="20"/>
        </w:rPr>
        <w:t>co znamená „Mrkva“ charvátský ?</w:t>
      </w:r>
    </w:p>
    <w:p w:rsidR="00500724" w:rsidRDefault="00F30FB8">
      <w:pPr>
        <w:pStyle w:val="Zkladntext20"/>
        <w:numPr>
          <w:ilvl w:val="0"/>
          <w:numId w:val="104"/>
        </w:numPr>
        <w:shd w:val="clear" w:color="auto" w:fill="auto"/>
        <w:tabs>
          <w:tab w:val="left" w:pos="639"/>
        </w:tabs>
        <w:spacing w:line="194" w:lineRule="auto"/>
        <w:ind w:firstLine="280"/>
        <w:rPr>
          <w:sz w:val="20"/>
          <w:szCs w:val="20"/>
        </w:rPr>
      </w:pPr>
      <w:r>
        <w:rPr>
          <w:i/>
          <w:iCs/>
          <w:sz w:val="20"/>
          <w:szCs w:val="20"/>
        </w:rPr>
        <w:t>„Carotte“ — objasnil jsem Francouzi.</w:t>
      </w:r>
    </w:p>
    <w:p w:rsidR="00500724" w:rsidRDefault="00F30FB8">
      <w:pPr>
        <w:pStyle w:val="Zkladntext20"/>
        <w:numPr>
          <w:ilvl w:val="0"/>
          <w:numId w:val="104"/>
        </w:numPr>
        <w:shd w:val="clear" w:color="auto" w:fill="auto"/>
        <w:tabs>
          <w:tab w:val="left" w:pos="644"/>
        </w:tabs>
        <w:spacing w:line="194" w:lineRule="auto"/>
        <w:ind w:firstLine="280"/>
        <w:rPr>
          <w:sz w:val="20"/>
          <w:szCs w:val="20"/>
        </w:rPr>
      </w:pPr>
      <w:r>
        <w:rPr>
          <w:i/>
          <w:iCs/>
          <w:sz w:val="20"/>
          <w:szCs w:val="20"/>
        </w:rPr>
        <w:t>A srbsky?</w:t>
      </w:r>
    </w:p>
    <w:p w:rsidR="00500724" w:rsidRDefault="00F30FB8">
      <w:pPr>
        <w:pStyle w:val="Zkladntext20"/>
        <w:numPr>
          <w:ilvl w:val="0"/>
          <w:numId w:val="104"/>
        </w:numPr>
        <w:shd w:val="clear" w:color="auto" w:fill="auto"/>
        <w:tabs>
          <w:tab w:val="left" w:pos="644"/>
        </w:tabs>
        <w:spacing w:line="194" w:lineRule="auto"/>
        <w:ind w:firstLine="280"/>
        <w:rPr>
          <w:sz w:val="20"/>
          <w:szCs w:val="20"/>
        </w:rPr>
      </w:pPr>
      <w:r>
        <w:rPr>
          <w:i/>
          <w:iCs/>
          <w:sz w:val="20"/>
          <w:szCs w:val="20"/>
        </w:rPr>
        <w:t>Totéž — odpověděl můj bratr.</w:t>
      </w:r>
    </w:p>
    <w:p w:rsidR="00500724" w:rsidRDefault="00F30FB8">
      <w:pPr>
        <w:pStyle w:val="Zkladntext20"/>
        <w:numPr>
          <w:ilvl w:val="0"/>
          <w:numId w:val="104"/>
        </w:numPr>
        <w:shd w:val="clear" w:color="auto" w:fill="auto"/>
        <w:tabs>
          <w:tab w:val="left" w:pos="551"/>
        </w:tabs>
        <w:spacing w:line="194" w:lineRule="auto"/>
        <w:ind w:firstLine="280"/>
        <w:rPr>
          <w:sz w:val="20"/>
          <w:szCs w:val="20"/>
        </w:rPr>
      </w:pPr>
      <w:r>
        <w:rPr>
          <w:i/>
          <w:iCs/>
          <w:sz w:val="20"/>
          <w:szCs w:val="20"/>
        </w:rPr>
        <w:t>A máte ve vašich dvou jazycích více takových stej</w:t>
      </w:r>
      <w:r>
        <w:rPr>
          <w:i/>
          <w:iCs/>
          <w:sz w:val="20"/>
          <w:szCs w:val="20"/>
        </w:rPr>
        <w:softHyphen/>
        <w:t>ných slov? — vyptával se zvědavě Francouz.</w:t>
      </w:r>
    </w:p>
    <w:p w:rsidR="00500724" w:rsidRDefault="00F30FB8">
      <w:pPr>
        <w:pStyle w:val="Zkladntext20"/>
        <w:numPr>
          <w:ilvl w:val="0"/>
          <w:numId w:val="104"/>
        </w:numPr>
        <w:shd w:val="clear" w:color="auto" w:fill="auto"/>
        <w:tabs>
          <w:tab w:val="left" w:pos="644"/>
        </w:tabs>
        <w:spacing w:line="194" w:lineRule="auto"/>
        <w:ind w:firstLine="280"/>
        <w:rPr>
          <w:sz w:val="20"/>
          <w:szCs w:val="20"/>
        </w:rPr>
      </w:pPr>
      <w:r>
        <w:rPr>
          <w:i/>
          <w:iCs/>
          <w:sz w:val="20"/>
          <w:szCs w:val="20"/>
        </w:rPr>
        <w:t>Nu, všechna slova jsou stejná!</w:t>
      </w:r>
    </w:p>
    <w:p w:rsidR="00500724" w:rsidRDefault="00F30FB8">
      <w:pPr>
        <w:pStyle w:val="Zkladntext20"/>
        <w:numPr>
          <w:ilvl w:val="0"/>
          <w:numId w:val="104"/>
        </w:numPr>
        <w:shd w:val="clear" w:color="auto" w:fill="auto"/>
        <w:tabs>
          <w:tab w:val="left" w:pos="551"/>
        </w:tabs>
        <w:spacing w:line="194" w:lineRule="auto"/>
        <w:ind w:firstLine="280"/>
        <w:rPr>
          <w:sz w:val="20"/>
          <w:szCs w:val="20"/>
        </w:rPr>
      </w:pPr>
      <w:r>
        <w:rPr>
          <w:i/>
          <w:iCs/>
          <w:sz w:val="20"/>
          <w:szCs w:val="20"/>
        </w:rPr>
        <w:t xml:space="preserve">Jak to? Jak to? Všechna </w:t>
      </w:r>
      <w:r>
        <w:rPr>
          <w:i/>
          <w:iCs/>
          <w:sz w:val="20"/>
          <w:szCs w:val="20"/>
        </w:rPr>
        <w:t>slova jsou stejná a přece jsou to dva jazyky? A čím se tedy vlastně ty dva jazyky liší?</w:t>
      </w:r>
    </w:p>
    <w:p w:rsidR="00500724" w:rsidRDefault="00F30FB8">
      <w:pPr>
        <w:pStyle w:val="Zkladntext20"/>
        <w:numPr>
          <w:ilvl w:val="0"/>
          <w:numId w:val="104"/>
        </w:numPr>
        <w:shd w:val="clear" w:color="auto" w:fill="auto"/>
        <w:tabs>
          <w:tab w:val="left" w:pos="561"/>
        </w:tabs>
        <w:spacing w:line="194" w:lineRule="auto"/>
        <w:ind w:firstLine="280"/>
        <w:rPr>
          <w:sz w:val="20"/>
          <w:szCs w:val="20"/>
        </w:rPr>
      </w:pPr>
      <w:r>
        <w:rPr>
          <w:i/>
          <w:iCs/>
          <w:sz w:val="20"/>
          <w:szCs w:val="20"/>
        </w:rPr>
        <w:t>Tím, že se charvátská slova píší latinkou, kdežto srb</w:t>
      </w:r>
      <w:r>
        <w:rPr>
          <w:i/>
          <w:iCs/>
          <w:sz w:val="20"/>
          <w:szCs w:val="20"/>
        </w:rPr>
        <w:softHyphen/>
        <w:t>ská cirilicí . . .</w:t>
      </w:r>
    </w:p>
    <w:p w:rsidR="00500724" w:rsidRDefault="00F30FB8">
      <w:pPr>
        <w:pStyle w:val="Zkladntext20"/>
        <w:numPr>
          <w:ilvl w:val="0"/>
          <w:numId w:val="104"/>
        </w:numPr>
        <w:shd w:val="clear" w:color="auto" w:fill="auto"/>
        <w:tabs>
          <w:tab w:val="left" w:pos="547"/>
        </w:tabs>
        <w:spacing w:after="100" w:line="194" w:lineRule="auto"/>
        <w:ind w:firstLine="280"/>
        <w:rPr>
          <w:sz w:val="20"/>
          <w:szCs w:val="20"/>
        </w:rPr>
      </w:pPr>
      <w:r>
        <w:rPr>
          <w:i/>
          <w:iCs/>
          <w:sz w:val="20"/>
          <w:szCs w:val="20"/>
        </w:rPr>
        <w:t>Divné je to u vás na Balkáně... — řekl náš fran</w:t>
      </w:r>
      <w:r>
        <w:rPr>
          <w:i/>
          <w:iCs/>
          <w:sz w:val="20"/>
          <w:szCs w:val="20"/>
        </w:rPr>
        <w:softHyphen/>
        <w:t>couzský známý a opustil nás trochu polekán.</w:t>
      </w:r>
    </w:p>
    <w:p w:rsidR="00500724" w:rsidRDefault="00F30FB8">
      <w:pPr>
        <w:pStyle w:val="Zkladntext20"/>
        <w:shd w:val="clear" w:color="auto" w:fill="auto"/>
        <w:spacing w:after="100" w:line="194" w:lineRule="auto"/>
        <w:ind w:firstLine="0"/>
        <w:jc w:val="center"/>
        <w:rPr>
          <w:sz w:val="20"/>
          <w:szCs w:val="20"/>
        </w:rPr>
      </w:pPr>
      <w:r>
        <w:rPr>
          <w:i/>
          <w:iCs/>
          <w:sz w:val="20"/>
          <w:szCs w:val="20"/>
        </w:rPr>
        <w:t>•</w:t>
      </w:r>
    </w:p>
    <w:p w:rsidR="00500724" w:rsidRDefault="00F30FB8">
      <w:pPr>
        <w:pStyle w:val="Zkladntext20"/>
        <w:shd w:val="clear" w:color="auto" w:fill="auto"/>
        <w:tabs>
          <w:tab w:val="left" w:pos="2597"/>
        </w:tabs>
        <w:spacing w:after="220" w:line="192" w:lineRule="auto"/>
        <w:ind w:firstLine="280"/>
        <w:rPr>
          <w:sz w:val="20"/>
          <w:szCs w:val="20"/>
        </w:rPr>
      </w:pPr>
      <w:r>
        <w:rPr>
          <w:i/>
          <w:iCs/>
          <w:sz w:val="20"/>
          <w:szCs w:val="20"/>
        </w:rPr>
        <w:t>Můj bratr odjel z Paříže. Já jsem však zůstal a usiloval, abych plně vysvětlil Francouzům, co jsou Srbi a co jsou Charváti.</w:t>
      </w:r>
      <w:r>
        <w:rPr>
          <w:i/>
          <w:iCs/>
          <w:sz w:val="20"/>
          <w:szCs w:val="20"/>
        </w:rPr>
        <w:tab/>
        <w:t>Přeložila Anna Urbanová.</w:t>
      </w:r>
    </w:p>
    <w:p w:rsidR="00500724" w:rsidRDefault="00F30FB8">
      <w:pPr>
        <w:pStyle w:val="Nadpis90"/>
        <w:keepNext/>
        <w:keepLines/>
        <w:pBdr>
          <w:bottom w:val="single" w:sz="4" w:space="0" w:color="auto"/>
        </w:pBdr>
        <w:shd w:val="clear" w:color="auto" w:fill="auto"/>
        <w:spacing w:after="220"/>
        <w:rPr>
          <w:sz w:val="42"/>
          <w:szCs w:val="42"/>
        </w:rPr>
      </w:pPr>
      <w:bookmarkStart w:id="840" w:name="bookmark839"/>
      <w:r>
        <w:rPr>
          <w:rFonts w:ascii="Times New Roman" w:eastAsia="Times New Roman" w:hAnsi="Times New Roman" w:cs="Times New Roman"/>
          <w:sz w:val="42"/>
          <w:szCs w:val="42"/>
        </w:rPr>
        <w:t>dopisy</w:t>
      </w:r>
      <w:bookmarkEnd w:id="840"/>
    </w:p>
    <w:p w:rsidR="00500724" w:rsidRDefault="00F30FB8">
      <w:pPr>
        <w:pStyle w:val="Nadpis120"/>
        <w:shd w:val="clear" w:color="auto" w:fill="auto"/>
        <w:spacing w:line="307" w:lineRule="auto"/>
        <w:ind w:left="0"/>
        <w:jc w:val="center"/>
      </w:pPr>
      <w:bookmarkStart w:id="841" w:name="bookmark840"/>
      <w:r>
        <w:t>O české děti</w:t>
      </w:r>
      <w:bookmarkEnd w:id="841"/>
    </w:p>
    <w:p w:rsidR="00500724" w:rsidRDefault="00F30FB8">
      <w:pPr>
        <w:pStyle w:val="Zkladntext100"/>
        <w:shd w:val="clear" w:color="auto" w:fill="auto"/>
        <w:spacing w:after="60" w:line="307" w:lineRule="auto"/>
        <w:ind w:left="860" w:firstLine="0"/>
        <w:jc w:val="left"/>
      </w:pPr>
      <w:r>
        <w:t>Vážený pane redaktore!</w:t>
      </w:r>
    </w:p>
    <w:p w:rsidR="00500724" w:rsidRDefault="00F30FB8">
      <w:pPr>
        <w:pStyle w:val="Zkladntext100"/>
        <w:shd w:val="clear" w:color="auto" w:fill="auto"/>
        <w:spacing w:line="228" w:lineRule="auto"/>
      </w:pPr>
      <w:r>
        <w:t>To je skutečně dobrý nápad, o němž píšete ve svém úvod</w:t>
      </w:r>
      <w:r>
        <w:softHyphen/>
        <w:t xml:space="preserve">níku z </w:t>
      </w:r>
      <w:r>
        <w:rPr>
          <w:sz w:val="22"/>
          <w:szCs w:val="22"/>
        </w:rPr>
        <w:t>6.</w:t>
      </w:r>
      <w:r>
        <w:rPr>
          <w:sz w:val="22"/>
          <w:szCs w:val="22"/>
        </w:rPr>
        <w:t xml:space="preserve"> </w:t>
      </w:r>
      <w:r>
        <w:t xml:space="preserve">t. m. — obrátit pozornost lidí, kteří jsou schopni </w:t>
      </w:r>
      <w:r>
        <w:rPr>
          <w:sz w:val="22"/>
          <w:szCs w:val="22"/>
        </w:rPr>
        <w:t xml:space="preserve">a </w:t>
      </w:r>
      <w:r>
        <w:t>ochotni pomáhat, k dětem.</w:t>
      </w:r>
    </w:p>
    <w:p w:rsidR="00500724" w:rsidRDefault="00F30FB8">
      <w:pPr>
        <w:pStyle w:val="Zkladntext100"/>
        <w:shd w:val="clear" w:color="auto" w:fill="auto"/>
        <w:spacing w:line="240" w:lineRule="auto"/>
      </w:pPr>
      <w:r>
        <w:t xml:space="preserve">Je u nás ještě tolik dětí, které nemají, čeho potřebují nutně </w:t>
      </w:r>
      <w:r>
        <w:rPr>
          <w:b/>
          <w:bCs/>
          <w:sz w:val="19"/>
          <w:szCs w:val="19"/>
        </w:rPr>
        <w:t xml:space="preserve">k </w:t>
      </w:r>
      <w:r>
        <w:t>svému zdraví, a ještě více těch, které mají sice to nejnut</w:t>
      </w:r>
      <w:r>
        <w:softHyphen/>
        <w:t xml:space="preserve">nější, ale u kterých radost považuje se za </w:t>
      </w:r>
      <w:r>
        <w:t>nedosažitelný pře</w:t>
      </w:r>
      <w:r>
        <w:softHyphen/>
        <w:t>pych, které tráví své prázdniny na špinavém dvorečku a jejichž hřištěm je zaprášená ulice.</w:t>
      </w:r>
    </w:p>
    <w:p w:rsidR="00500724" w:rsidRDefault="00F30FB8">
      <w:pPr>
        <w:pStyle w:val="Zkladntext100"/>
        <w:shd w:val="clear" w:color="auto" w:fill="auto"/>
        <w:spacing w:line="240" w:lineRule="auto"/>
      </w:pPr>
      <w:r>
        <w:t>A je dosti spolků (Ochrana matek a dětí, Sokol, Skaut, Národ, souručenství a j.), které by rády těmto dětem poskytly příležitost proskočit se na ze</w:t>
      </w:r>
      <w:r>
        <w:t>leném trávníku, vykoupat se v čistém vzduchu a dát se prohřát sluncem, ale zápasí s ne</w:t>
      </w:r>
      <w:r>
        <w:softHyphen/>
        <w:t>dostatkem peněz na takový podnik.</w:t>
      </w:r>
    </w:p>
    <w:p w:rsidR="00500724" w:rsidRDefault="00F30FB8">
      <w:pPr>
        <w:pStyle w:val="Zkladntext100"/>
        <w:shd w:val="clear" w:color="auto" w:fill="auto"/>
        <w:spacing w:line="240" w:lineRule="auto"/>
        <w:ind w:firstLine="0"/>
        <w:jc w:val="right"/>
      </w:pPr>
      <w:r>
        <w:t>Jak by bylo krásné, kdyby na příklad ti dva páni, o nichž se ve svém úvodníku zmiňujete, zřídili takovou chatu, dřevěný</w:t>
      </w:r>
    </w:p>
    <w:p w:rsidR="00500724" w:rsidRDefault="00F30FB8">
      <w:pPr>
        <w:pStyle w:val="Zkladntext100"/>
        <w:shd w:val="clear" w:color="auto" w:fill="auto"/>
        <w:spacing w:line="240" w:lineRule="auto"/>
        <w:ind w:firstLine="0"/>
      </w:pPr>
      <w:r>
        <w:t>srub s jednoduc</w:t>
      </w:r>
      <w:r>
        <w:t>hým zařízením, v lesnaté krajině a darovali nebo propůjčili některému z jmenovaných spolků, aby v něm v prázdninách mohl zřídit osadu nebo tábor dětí a připravit jim tak několik šťastných týdnů.</w:t>
      </w:r>
    </w:p>
    <w:p w:rsidR="00500724" w:rsidRDefault="00F30FB8">
      <w:pPr>
        <w:pStyle w:val="Zkladntext100"/>
        <w:shd w:val="clear" w:color="auto" w:fill="auto"/>
        <w:spacing w:line="240" w:lineRule="auto"/>
        <w:ind w:firstLine="320"/>
      </w:pPr>
      <w:r>
        <w:t xml:space="preserve">Pracuji již několik roků v prázdninové osadě a vidím, co pro </w:t>
      </w:r>
      <w:r>
        <w:t>děti i z menšího města znamená bezprostřední pobyt v přírodě po stránce zdravotní a jaké velké hodnoty výchovné má společnost dětí a promyšlené vedení osady.</w:t>
      </w:r>
    </w:p>
    <w:p w:rsidR="00500724" w:rsidRDefault="00F30FB8">
      <w:pPr>
        <w:pStyle w:val="Zkladntext100"/>
        <w:shd w:val="clear" w:color="auto" w:fill="auto"/>
        <w:spacing w:line="240" w:lineRule="auto"/>
        <w:ind w:firstLine="320"/>
      </w:pPr>
      <w:r>
        <w:t>Kdybyste, pane redaktore, mohl těm dvěma pánům tlumo- čiti můj návrh a jim se zamlouval, věděla by</w:t>
      </w:r>
      <w:r>
        <w:t>ch i o konkrétním případu, kde by se dal uskutečnit.</w:t>
      </w:r>
    </w:p>
    <w:p w:rsidR="00500724" w:rsidRDefault="00F30FB8">
      <w:pPr>
        <w:pStyle w:val="Zkladntext100"/>
        <w:shd w:val="clear" w:color="auto" w:fill="auto"/>
        <w:spacing w:line="240" w:lineRule="auto"/>
        <w:ind w:firstLine="320"/>
      </w:pPr>
      <w:r>
        <w:t>Ale i tak, zůstane-li můj dopis bez odezvy, děkuji Vám, že jste vzpomněl na děti a že jste ukázal, kde třeba pomoci.</w:t>
      </w:r>
    </w:p>
    <w:p w:rsidR="00500724" w:rsidRDefault="00F30FB8">
      <w:pPr>
        <w:pStyle w:val="Zkladntext100"/>
        <w:shd w:val="clear" w:color="auto" w:fill="auto"/>
        <w:spacing w:line="240" w:lineRule="auto"/>
        <w:ind w:firstLine="320"/>
      </w:pPr>
      <w:r>
        <w:t>Zdraví Vás jedna z čtenářek.</w:t>
      </w:r>
    </w:p>
    <w:p w:rsidR="00500724" w:rsidRDefault="00F30FB8">
      <w:pPr>
        <w:pStyle w:val="Zkladntext100"/>
        <w:shd w:val="clear" w:color="auto" w:fill="auto"/>
        <w:spacing w:line="221" w:lineRule="auto"/>
        <w:ind w:left="3360" w:firstLine="0"/>
        <w:jc w:val="left"/>
      </w:pPr>
      <w:r>
        <w:rPr>
          <w:i/>
          <w:iCs/>
        </w:rPr>
        <w:t xml:space="preserve">B. </w:t>
      </w:r>
      <w:r>
        <w:rPr>
          <w:i/>
          <w:iCs/>
        </w:rPr>
        <w:t>Papežová,</w:t>
      </w:r>
    </w:p>
    <w:p w:rsidR="00500724" w:rsidRDefault="00F30FB8">
      <w:pPr>
        <w:pStyle w:val="Zkladntext100"/>
        <w:shd w:val="clear" w:color="auto" w:fill="auto"/>
        <w:spacing w:after="260" w:line="240" w:lineRule="auto"/>
        <w:ind w:firstLine="0"/>
        <w:jc w:val="right"/>
      </w:pPr>
      <w:r>
        <w:t>odborná učitelka, Náchod 488.</w:t>
      </w:r>
    </w:p>
    <w:p w:rsidR="00500724" w:rsidRDefault="00F30FB8">
      <w:pPr>
        <w:pStyle w:val="Nadpis120"/>
        <w:shd w:val="clear" w:color="auto" w:fill="auto"/>
        <w:spacing w:after="80"/>
        <w:ind w:left="0"/>
        <w:jc w:val="center"/>
      </w:pPr>
      <w:bookmarkStart w:id="842" w:name="bookmark841"/>
      <w:r>
        <w:t xml:space="preserve">Půjčky mladým </w:t>
      </w:r>
      <w:r>
        <w:t>novomanželům</w:t>
      </w:r>
      <w:bookmarkEnd w:id="842"/>
    </w:p>
    <w:p w:rsidR="00500724" w:rsidRDefault="00F30FB8">
      <w:pPr>
        <w:pStyle w:val="Zkladntext100"/>
        <w:shd w:val="clear" w:color="auto" w:fill="auto"/>
        <w:spacing w:line="240" w:lineRule="auto"/>
        <w:ind w:left="1200" w:firstLine="0"/>
        <w:jc w:val="left"/>
      </w:pPr>
      <w:r>
        <w:t>Vážená redakce!</w:t>
      </w:r>
    </w:p>
    <w:p w:rsidR="00500724" w:rsidRDefault="00F30FB8">
      <w:pPr>
        <w:pStyle w:val="Zkladntext100"/>
        <w:shd w:val="clear" w:color="auto" w:fill="auto"/>
        <w:spacing w:line="240" w:lineRule="auto"/>
        <w:ind w:firstLine="320"/>
      </w:pPr>
      <w:r>
        <w:t xml:space="preserve">Jsem státní úředník. Mám známost s děvčetem 8 let. Nesmějte se, je to možné. Rádi bychom se vzali. Chtěli bychom mít tři zdravé kluky; ano, budeme je mit, ale kdy? Snad za 10 let, možná, že později, bude to tehdy, až si </w:t>
      </w:r>
      <w:r>
        <w:t>našetříme na zařízení bytu a různé ty maličkosti, stojící tak velké peníze. Měli bychom se vzít nyní, kdy mám plat 850 K a děvče, které má také střední školu, a které pro ne</w:t>
      </w:r>
      <w:r>
        <w:softHyphen/>
        <w:t>moc, již mělo před časem, nemůže být zaměstnáno ? Mohli by</w:t>
      </w:r>
      <w:r>
        <w:softHyphen/>
        <w:t>chom si vzít zařízení n</w:t>
      </w:r>
      <w:r>
        <w:t>a splátky, což je běžné pro dnešní ži</w:t>
      </w:r>
      <w:r>
        <w:softHyphen/>
        <w:t>vot, ale vystačíme pak se 200 K až 300 K měsíčně. A radíte mi, máme začít domácnost s dluhy?</w:t>
      </w:r>
    </w:p>
    <w:p w:rsidR="00500724" w:rsidRDefault="00F30FB8">
      <w:pPr>
        <w:pStyle w:val="Zkladntext100"/>
        <w:shd w:val="clear" w:color="auto" w:fill="auto"/>
        <w:spacing w:line="240" w:lineRule="auto"/>
        <w:ind w:firstLine="320"/>
      </w:pPr>
      <w:r>
        <w:t>Mnohý by jistě odpověděl, počkejte tedy, až budete mocí. 10 let? Nebude již pozdě potom? Rozumíte, nebude pozdě za 30 let?</w:t>
      </w:r>
    </w:p>
    <w:p w:rsidR="00500724" w:rsidRDefault="00F30FB8">
      <w:pPr>
        <w:pStyle w:val="Zkladntext100"/>
        <w:shd w:val="clear" w:color="auto" w:fill="auto"/>
        <w:spacing w:line="240" w:lineRule="auto"/>
        <w:ind w:firstLine="320"/>
      </w:pPr>
      <w:r>
        <w:t>Př</w:t>
      </w:r>
      <w:r>
        <w:t>ed časem se mluvilo o bezúročné půjčce mladým novo</w:t>
      </w:r>
      <w:r>
        <w:softHyphen/>
        <w:t>manželům ve výši 10.000 K na zařízení domácnosti. Z této dlužné částky měla být odpisována určitá částka při každém narozeném dítěti. Je v zájmu národa, jeho vývoje, růstu, aby tato půjčka byla uskutečněna</w:t>
      </w:r>
      <w:r>
        <w:t>. Populace našeho národa je velmi slabá, chcete jí pomoci? Uskutečněte tuto půjčku!</w:t>
      </w:r>
    </w:p>
    <w:p w:rsidR="00500724" w:rsidRDefault="00F30FB8">
      <w:pPr>
        <w:pStyle w:val="Zkladntext100"/>
        <w:shd w:val="clear" w:color="auto" w:fill="auto"/>
        <w:spacing w:line="240" w:lineRule="auto"/>
        <w:ind w:firstLine="240"/>
      </w:pPr>
      <w:r>
        <w:t>I jinak pomůžete národu. Zlepšíte mravní život mladých lidí, umožníte založení mladých rodin, které vám budou vděč</w:t>
      </w:r>
      <w:r>
        <w:softHyphen/>
        <w:t>né. Chcete věřit, že mladý muž i žena se stávají v rodině</w:t>
      </w:r>
      <w:r>
        <w:t xml:space="preserve"> so</w:t>
      </w:r>
      <w:r>
        <w:softHyphen/>
        <w:t>lidnějšími. Líbí se vám nynější dospělejší mládež, žijící bez zájmu, v sentimentalitě, bez zodpovědnosti k sobě, ke svým rodičům. Smějí se vám všem a přerůstají přes hlavu každému, kdo jen by měl možnost jakýmkoliv způsobem měnit jejich život, jeho div</w:t>
      </w:r>
      <w:r>
        <w:t>okost.</w:t>
      </w:r>
    </w:p>
    <w:p w:rsidR="00500724" w:rsidRDefault="00F30FB8">
      <w:pPr>
        <w:pStyle w:val="Zkladntext100"/>
        <w:shd w:val="clear" w:color="auto" w:fill="auto"/>
        <w:spacing w:line="240" w:lineRule="auto"/>
        <w:ind w:firstLine="240"/>
      </w:pPr>
      <w:r>
        <w:t>Radost ze života. Každý jí rozumíme jinak. Jinak jí rozumí ten, kdo má o vše postaráno, může si občas vyjet na cesty, jít aspoň jednou týdně do divadla za svépenízeane musí počítat, že o částku, kterou dnes vydal na zábavu, bude se muset příští týde</w:t>
      </w:r>
      <w:r>
        <w:t>n na jídle uskrovnit. Jinak jí rozumí ten, kdo žije po celý den ve starostech, jak zaplatí všechny splát</w:t>
      </w:r>
      <w:r>
        <w:softHyphen/>
        <w:t>ky, uhlí, světlo, nájem, zbude-li mu na poslední týden v mě</w:t>
      </w:r>
      <w:r>
        <w:softHyphen/>
        <w:t>síci na stravu. Takovému člověku těžko způsobíte radost ze života, či myslíte, že mu postač</w:t>
      </w:r>
      <w:r>
        <w:t>í radost, trvající 2—3 hod , jen právě pokud je v divadle, uprostřed světel, nádhery, jemu Cizí.</w:t>
      </w:r>
    </w:p>
    <w:p w:rsidR="00500724" w:rsidRDefault="00F30FB8">
      <w:pPr>
        <w:pStyle w:val="Zkladntext100"/>
        <w:shd w:val="clear" w:color="auto" w:fill="auto"/>
        <w:tabs>
          <w:tab w:val="left" w:pos="4776"/>
        </w:tabs>
        <w:spacing w:line="240" w:lineRule="auto"/>
        <w:ind w:firstLine="240"/>
        <w:jc w:val="left"/>
        <w:sectPr w:rsidR="00500724">
          <w:footnotePr>
            <w:numFmt w:val="chicago"/>
            <w:numRestart w:val="eachPage"/>
          </w:footnotePr>
          <w:type w:val="continuous"/>
          <w:pgSz w:w="11909" w:h="16834"/>
          <w:pgMar w:top="670" w:right="770" w:bottom="1184" w:left="650" w:header="0" w:footer="3" w:gutter="0"/>
          <w:cols w:num="2" w:space="120"/>
          <w:noEndnote/>
          <w:docGrid w:linePitch="360"/>
        </w:sectPr>
      </w:pPr>
      <w:r>
        <w:t>V rámci radosti ze života byly uspořádány koncerty, diva</w:t>
      </w:r>
      <w:r>
        <w:softHyphen/>
        <w:t>delní představení, zájezdy a pod. Umožněte mladým lidem, aby v rámci rad</w:t>
      </w:r>
      <w:r>
        <w:t>osti ze života mohli uzavřití sňatek. Bude to radost skutečná, ale nejen radost — úplné štěstí. Radost budete míti i vy, až uvidíte nové šťastné rodiny, nové děti, budoucnost národa, jejichž život jste umožnili vyí</w:t>
      </w:r>
      <w:r>
        <w:tab/>
      </w:r>
      <w:r>
        <w:rPr>
          <w:i/>
          <w:iCs/>
        </w:rPr>
        <w:t>Kf.</w:t>
      </w:r>
    </w:p>
    <w:p w:rsidR="00500724" w:rsidRDefault="00F30FB8">
      <w:pPr>
        <w:pStyle w:val="Nadpis50"/>
        <w:keepNext/>
        <w:keepLines/>
        <w:framePr w:w="7195" w:h="1622" w:wrap="none" w:vAnchor="text" w:hAnchor="page" w:x="3450" w:y="318"/>
        <w:shd w:val="clear" w:color="auto" w:fill="auto"/>
        <w:rPr>
          <w:sz w:val="152"/>
          <w:szCs w:val="152"/>
        </w:rPr>
      </w:pPr>
      <w:bookmarkStart w:id="843" w:name="bookmark842"/>
      <w:r>
        <w:rPr>
          <w:sz w:val="152"/>
          <w:szCs w:val="152"/>
        </w:rPr>
        <w:t>vět knih</w:t>
      </w:r>
      <w:bookmarkEnd w:id="843"/>
    </w:p>
    <w:p w:rsidR="00500724" w:rsidRDefault="00F30FB8">
      <w:pPr>
        <w:pStyle w:val="Nadpis80"/>
        <w:keepNext/>
        <w:keepLines/>
        <w:framePr w:w="7450" w:h="542" w:wrap="none" w:vAnchor="text" w:hAnchor="page" w:x="3234" w:y="1940"/>
        <w:shd w:val="clear" w:color="auto" w:fill="auto"/>
        <w:spacing w:after="0"/>
        <w:rPr>
          <w:sz w:val="44"/>
          <w:szCs w:val="44"/>
        </w:rPr>
      </w:pPr>
      <w:bookmarkStart w:id="844" w:name="bookmark843"/>
      <w:r>
        <w:rPr>
          <w:rFonts w:ascii="Arial" w:eastAsia="Arial" w:hAnsi="Arial" w:cs="Arial"/>
          <w:b/>
          <w:bCs/>
          <w:sz w:val="34"/>
          <w:szCs w:val="34"/>
          <w:u w:val="none"/>
        </w:rPr>
        <w:t xml:space="preserve">KULTURNÍ </w:t>
      </w:r>
      <w:r>
        <w:rPr>
          <w:rFonts w:ascii="Arial" w:eastAsia="Arial" w:hAnsi="Arial" w:cs="Arial"/>
          <w:smallCaps/>
          <w:sz w:val="44"/>
          <w:szCs w:val="44"/>
          <w:u w:val="none"/>
        </w:rPr>
        <w:t>zpravodaj</w:t>
      </w:r>
      <w:bookmarkEnd w:id="844"/>
    </w:p>
    <w:p w:rsidR="00500724" w:rsidRDefault="00F30FB8">
      <w:pPr>
        <w:pStyle w:val="Nadpis110"/>
        <w:framePr w:w="355" w:h="1123" w:wrap="none" w:vAnchor="text" w:hAnchor="page" w:x="10933" w:y="519"/>
        <w:shd w:val="clear" w:color="auto" w:fill="auto"/>
        <w:spacing w:after="60"/>
      </w:pPr>
      <w:bookmarkStart w:id="845" w:name="bookmark844"/>
      <w:r>
        <w:t>o</w:t>
      </w:r>
      <w:bookmarkEnd w:id="845"/>
    </w:p>
    <w:p w:rsidR="00500724" w:rsidRDefault="00F30FB8">
      <w:pPr>
        <w:pStyle w:val="Nadpis110"/>
        <w:framePr w:w="355" w:h="1123" w:wrap="none" w:vAnchor="text" w:hAnchor="page" w:x="10933" w:y="519"/>
        <w:shd w:val="clear" w:color="auto" w:fill="auto"/>
        <w:spacing w:after="240"/>
      </w:pPr>
      <w:bookmarkStart w:id="846" w:name="bookmark845"/>
      <w:r>
        <w:t>«&lt;</w:t>
      </w:r>
      <w:bookmarkEnd w:id="846"/>
    </w:p>
    <w:p w:rsidR="00500724" w:rsidRDefault="00F30FB8">
      <w:pPr>
        <w:pStyle w:val="Nadpis110"/>
        <w:framePr w:w="355" w:h="1123" w:wrap="none" w:vAnchor="text" w:hAnchor="page" w:x="10933" w:y="519"/>
        <w:shd w:val="clear" w:color="auto" w:fill="auto"/>
        <w:spacing w:after="160"/>
      </w:pPr>
      <w:bookmarkStart w:id="847" w:name="bookmark846"/>
      <w:r>
        <w:t>o</w:t>
      </w:r>
      <w:bookmarkEnd w:id="847"/>
    </w:p>
    <w:p w:rsidR="00500724" w:rsidRDefault="00500724">
      <w:pPr>
        <w:spacing w:after="92" w:line="14" w:lineRule="exact"/>
      </w:pPr>
    </w:p>
    <w:p w:rsidR="00500724" w:rsidRDefault="00500724">
      <w:pPr>
        <w:spacing w:line="14" w:lineRule="exact"/>
        <w:sectPr w:rsidR="00500724">
          <w:footnotePr>
            <w:numFmt w:val="chicago"/>
            <w:numRestart w:val="eachPage"/>
          </w:footnotePr>
          <w:pgSz w:w="11909" w:h="16834"/>
          <w:pgMar w:top="3189" w:right="497" w:bottom="584" w:left="545"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30198" behindDoc="0" locked="0" layoutInCell="1" allowOverlap="1">
                <wp:simplePos x="0" y="0"/>
                <wp:positionH relativeFrom="page">
                  <wp:posOffset>2134870</wp:posOffset>
                </wp:positionH>
                <wp:positionV relativeFrom="paragraph">
                  <wp:posOffset>12700</wp:posOffset>
                </wp:positionV>
                <wp:extent cx="3298190" cy="929640"/>
                <wp:effectExtent l="0" t="0" r="0" b="0"/>
                <wp:wrapSquare wrapText="left"/>
                <wp:docPr id="821" name="Shape 821"/>
                <wp:cNvGraphicFramePr/>
                <a:graphic xmlns:a="http://schemas.openxmlformats.org/drawingml/2006/main">
                  <a:graphicData uri="http://schemas.microsoft.com/office/word/2010/wordprocessingShape">
                    <wps:wsp>
                      <wps:cNvSpPr txBox="1"/>
                      <wps:spPr>
                        <a:xfrm>
                          <a:off x="0" y="0"/>
                          <a:ext cx="3298190" cy="929640"/>
                        </a:xfrm>
                        <a:prstGeom prst="rect">
                          <a:avLst/>
                        </a:prstGeom>
                        <a:noFill/>
                      </wps:spPr>
                      <wps:txbx>
                        <w:txbxContent>
                          <w:p w:rsidR="00500724" w:rsidRDefault="00F30FB8">
                            <w:pPr>
                              <w:pStyle w:val="Zkladntext80"/>
                              <w:shd w:val="clear" w:color="auto" w:fill="auto"/>
                              <w:spacing w:after="80" w:line="240" w:lineRule="auto"/>
                              <w:jc w:val="center"/>
                              <w:rPr>
                                <w:sz w:val="24"/>
                                <w:szCs w:val="24"/>
                              </w:rPr>
                            </w:pPr>
                            <w:r>
                              <w:rPr>
                                <w:sz w:val="24"/>
                                <w:szCs w:val="24"/>
                              </w:rPr>
                              <w:t>Láska, velikost, krása</w:t>
                            </w:r>
                          </w:p>
                          <w:p w:rsidR="00500724" w:rsidRDefault="00F30FB8">
                            <w:pPr>
                              <w:pStyle w:val="Zkladntext50"/>
                              <w:shd w:val="clear" w:color="auto" w:fill="auto"/>
                              <w:tabs>
                                <w:tab w:val="left" w:pos="4118"/>
                              </w:tabs>
                              <w:spacing w:after="0" w:line="214" w:lineRule="auto"/>
                              <w:ind w:left="0" w:firstLine="180"/>
                              <w:rPr>
                                <w:sz w:val="12"/>
                                <w:szCs w:val="12"/>
                              </w:rPr>
                            </w:pPr>
                            <w:r>
                              <w:t xml:space="preserve">Všeobecná nenávist, podlost a prostřednost nezabraňuií lásce, velikosti a kráse, aby byly, kde třeba. Čím více se zneuznávaií, tím více tyto skryté mocnosti nabývají síly a vnucují se malému počtu, </w:t>
                            </w:r>
                            <w:r>
                              <w:t>který vede svět a který jest jeho jediným smyslem bytí. Nikdy umění ani věda nesměřovaly výše; a že dav jest od nich vzdálen jednou provždy, tof důkazem toho.</w:t>
                            </w:r>
                            <w:r>
                              <w:tab/>
                            </w:r>
                            <w:r>
                              <w:rPr>
                                <w:i/>
                                <w:iCs/>
                                <w:sz w:val="12"/>
                                <w:szCs w:val="12"/>
                              </w:rPr>
                              <w:t>André Suarés</w:t>
                            </w:r>
                          </w:p>
                        </w:txbxContent>
                      </wps:txbx>
                      <wps:bodyPr lIns="0" tIns="0" rIns="0" bIns="0">
                        <a:spAutoFit/>
                      </wps:bodyPr>
                    </wps:wsp>
                  </a:graphicData>
                </a:graphic>
              </wp:anchor>
            </w:drawing>
          </mc:Choice>
          <mc:Fallback>
            <w:pict>
              <v:shape id="_x0000_s1847" type="#_x0000_t202" style="position:absolute;margin-left:168.09999999999999pt;margin-top:1.pt;width:259.69999999999999pt;height:73.200000000000003pt;z-index:-125828555;mso-wrap-distance-left:0;mso-wrap-distance-right:0;mso-position-horizontal-relative:page" filled="f" stroked="f">
                <v:textbox style="mso-fit-shape-to-text:t" inset="0,0,0,0">
                  <w:txbxContent>
                    <w:p>
                      <w:pPr>
                        <w:pStyle w:val="Style150"/>
                        <w:keepNext w:val="0"/>
                        <w:keepLines w:val="0"/>
                        <w:widowControl w:val="0"/>
                        <w:shd w:val="clear" w:color="auto" w:fill="auto"/>
                        <w:bidi w:val="0"/>
                        <w:spacing w:before="0" w:after="8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Láska, velikost, krása</w:t>
                      </w:r>
                    </w:p>
                    <w:p>
                      <w:pPr>
                        <w:pStyle w:val="Style80"/>
                        <w:keepNext w:val="0"/>
                        <w:keepLines w:val="0"/>
                        <w:widowControl w:val="0"/>
                        <w:shd w:val="clear" w:color="auto" w:fill="auto"/>
                        <w:tabs>
                          <w:tab w:pos="4118" w:val="left"/>
                        </w:tabs>
                        <w:bidi w:val="0"/>
                        <w:spacing w:before="0" w:after="0" w:line="214" w:lineRule="auto"/>
                        <w:ind w:left="0" w:right="0" w:firstLine="180"/>
                        <w:rPr>
                          <w:sz w:val="12"/>
                          <w:szCs w:val="12"/>
                        </w:rPr>
                      </w:pPr>
                      <w:r>
                        <w:rPr>
                          <w:color w:val="000000"/>
                          <w:spacing w:val="0"/>
                          <w:w w:val="100"/>
                          <w:position w:val="0"/>
                          <w:sz w:val="17"/>
                          <w:szCs w:val="17"/>
                          <w:shd w:val="clear" w:color="auto" w:fill="auto"/>
                          <w:lang w:val="cs-CZ" w:eastAsia="cs-CZ" w:bidi="cs-CZ"/>
                        </w:rPr>
                        <w:t>Všeobecná nenávist, podlost a prostřednost nezabraňuií lásce, velikosti a kráse, aby byly, kde třeba. Čím více se zneuznávaií, tím více tyto skryté mocnosti nabývají síly a vnucují se malému počtu, který vede svět a který jest jeho jediným smyslem bytí. Nikdy umění ani věda nesměřovaly výše; a že dav jest od nich vzdálen jednou provždy, tof důkazem toho.</w:t>
                        <w:tab/>
                      </w:r>
                      <w:r>
                        <w:rPr>
                          <w:i/>
                          <w:iCs/>
                          <w:color w:val="000000"/>
                          <w:spacing w:val="0"/>
                          <w:w w:val="100"/>
                          <w:position w:val="0"/>
                          <w:sz w:val="12"/>
                          <w:szCs w:val="12"/>
                          <w:shd w:val="clear" w:color="auto" w:fill="auto"/>
                          <w:lang w:val="cs-CZ" w:eastAsia="cs-CZ" w:bidi="cs-CZ"/>
                        </w:rPr>
                        <w:t>André Suarés</w:t>
                      </w:r>
                    </w:p>
                  </w:txbxContent>
                </v:textbox>
                <w10:wrap type="square" side="left" anchorx="page"/>
              </v:shape>
            </w:pict>
          </mc:Fallback>
        </mc:AlternateContent>
      </w:r>
      <w:r>
        <w:rPr>
          <w:noProof/>
        </w:rPr>
        <mc:AlternateContent>
          <mc:Choice Requires="wps">
            <w:drawing>
              <wp:anchor distT="1127760" distB="0" distL="0" distR="1718945" simplePos="0" relativeHeight="125830200" behindDoc="0" locked="0" layoutInCell="1" allowOverlap="1">
                <wp:simplePos x="0" y="0"/>
                <wp:positionH relativeFrom="page">
                  <wp:posOffset>3820795</wp:posOffset>
                </wp:positionH>
                <wp:positionV relativeFrom="paragraph">
                  <wp:posOffset>1140460</wp:posOffset>
                </wp:positionV>
                <wp:extent cx="1682750" cy="3060065"/>
                <wp:effectExtent l="0" t="0" r="0" b="0"/>
                <wp:wrapSquare wrapText="bothSides"/>
                <wp:docPr id="823" name="Shape 823"/>
                <wp:cNvGraphicFramePr/>
                <a:graphic xmlns:a="http://schemas.openxmlformats.org/drawingml/2006/main">
                  <a:graphicData uri="http://schemas.microsoft.com/office/word/2010/wordprocessingShape">
                    <wps:wsp>
                      <wps:cNvSpPr txBox="1"/>
                      <wps:spPr>
                        <a:xfrm>
                          <a:off x="0" y="0"/>
                          <a:ext cx="1682750" cy="3060065"/>
                        </a:xfrm>
                        <a:prstGeom prst="rect">
                          <a:avLst/>
                        </a:prstGeom>
                        <a:noFill/>
                      </wps:spPr>
                      <wps:txbx>
                        <w:txbxContent>
                          <w:p w:rsidR="00500724" w:rsidRDefault="00F30FB8">
                            <w:pPr>
                              <w:pStyle w:val="Zkladntext40"/>
                              <w:shd w:val="clear" w:color="auto" w:fill="auto"/>
                              <w:spacing w:after="0" w:line="194" w:lineRule="auto"/>
                            </w:pPr>
                            <w:r>
                              <w:t>běsy nejvyššími. jiejvýsostnějšími, nejmodřejíšími a nejzářivějšími.“</w:t>
                            </w:r>
                          </w:p>
                          <w:p w:rsidR="00500724" w:rsidRDefault="00F30FB8">
                            <w:pPr>
                              <w:pStyle w:val="Zkladntext40"/>
                              <w:shd w:val="clear" w:color="auto" w:fill="auto"/>
                              <w:spacing w:after="0" w:line="185" w:lineRule="auto"/>
                              <w:ind w:firstLine="160"/>
                            </w:pPr>
                            <w:r>
                              <w:t>Příběh Konr</w:t>
                            </w:r>
                            <w:r>
                              <w:t>ádova románu je datován válkou balkánských Slo</w:t>
                            </w:r>
                            <w:r>
                              <w:softHyphen/>
                              <w:t>vanů s Turky a bratrovražednou její dohrou, hrdinství Bulharů a Srbů se obráží i v utváření dět</w:t>
                            </w:r>
                            <w:r>
                              <w:softHyphen/>
                              <w:t xml:space="preserve">ských duší. Je tu všechno, co i nás kdysi v dětství rozohňovalo, ať io bylo ďAmicisovo Srdce nebo Ver- neovy Dva </w:t>
                            </w:r>
                            <w:r>
                              <w:t>roky prázdnin nebo vál</w:t>
                            </w:r>
                            <w:r>
                              <w:softHyphen/>
                              <w:t>ka burská a rusko-japonská, je tu klasicky vypsáno utrpení dětí. jež se dostaly zlou hrou osudu do ru</w:t>
                            </w:r>
                            <w:r>
                              <w:softHyphen/>
                              <w:t>kou otců opilců a běsů. Konrád ne</w:t>
                            </w:r>
                            <w:r>
                              <w:softHyphen/>
                              <w:t>zapomněl ani na spanilý vliv dívčí něhy na chlapecké surovce. A pře</w:t>
                            </w:r>
                            <w:r>
                              <w:softHyphen/>
                              <w:t>devším na žalnou propast mezi</w:t>
                            </w:r>
                            <w:r>
                              <w:t xml:space="preserve"> do</w:t>
                            </w:r>
                            <w:r>
                              <w:softHyphen/>
                              <w:t>spělými a dětmi. Dospělým jsou děti jenom dětmi, kdežto děti sa</w:t>
                            </w:r>
                            <w:r>
                              <w:softHyphen/>
                              <w:t>my sobě jsou vážnými, stejně váž</w:t>
                            </w:r>
                            <w:r>
                              <w:softHyphen/>
                              <w:t>nými aktéry tohoto světa a v kaž</w:t>
                            </w:r>
                            <w:r>
                              <w:softHyphen/>
                              <w:t>dém posměchu a ponížení, jež jim připraví nerozumějící člověk do</w:t>
                            </w:r>
                            <w:r>
                              <w:softHyphen/>
                              <w:t>spělý, vidí akt nepřátelský. Není na světě mnoho podivíns</w:t>
                            </w:r>
                            <w:r>
                              <w:t>kých hodi</w:t>
                            </w:r>
                            <w:r>
                              <w:softHyphen/>
                              <w:t>nářů Kryštofů a starých panen Holátek, kteří dovedou žít s dítě</w:t>
                            </w:r>
                            <w:r>
                              <w:softHyphen/>
                              <w:t>tem, nebo lépe: jejichž život už znova zdětinštěl!</w:t>
                            </w:r>
                          </w:p>
                          <w:p w:rsidR="00500724" w:rsidRDefault="00F30FB8">
                            <w:pPr>
                              <w:pStyle w:val="Zkladntext40"/>
                              <w:shd w:val="clear" w:color="auto" w:fill="auto"/>
                              <w:spacing w:after="0" w:line="197" w:lineRule="auto"/>
                              <w:ind w:firstLine="160"/>
                            </w:pPr>
                            <w:r>
                              <w:t>Všechny symboly a všechna po</w:t>
                            </w:r>
                            <w:r>
                              <w:softHyphen/>
                              <w:t xml:space="preserve">dobenství této knihy jsou vkouzle- ny do této knihy, aby nás ani r.a chvíli neopustil melancholický </w:t>
                            </w:r>
                            <w:r>
                              <w:t>stesk po vlastním našem dětství a roz-</w:t>
                            </w:r>
                          </w:p>
                        </w:txbxContent>
                      </wps:txbx>
                      <wps:bodyPr lIns="0" tIns="0" rIns="0" bIns="0">
                        <a:spAutoFit/>
                      </wps:bodyPr>
                    </wps:wsp>
                  </a:graphicData>
                </a:graphic>
              </wp:anchor>
            </w:drawing>
          </mc:Choice>
          <mc:Fallback>
            <w:pict>
              <v:shape id="_x0000_s1849" type="#_x0000_t202" style="position:absolute;margin-left:300.85000000000002pt;margin-top:89.799999999999997pt;width:132.5pt;height:240.94999999999999pt;z-index:-125828553;mso-wrap-distance-left:0;mso-wrap-distance-top:88.799999999999997pt;mso-wrap-distance-right:135.34999999999999pt;mso-position-horizontal-relative:page" filled="f" stroked="f">
                <v:textbox style="mso-fit-shape-to-text:t" inset="0,0,0,0">
                  <w:txbxContent>
                    <w:p>
                      <w:pPr>
                        <w:pStyle w:val="Style42"/>
                        <w:keepNext w:val="0"/>
                        <w:keepLines w:val="0"/>
                        <w:widowControl w:val="0"/>
                        <w:shd w:val="clear" w:color="auto" w:fill="auto"/>
                        <w:bidi w:val="0"/>
                        <w:spacing w:before="0" w:after="0" w:line="194" w:lineRule="auto"/>
                        <w:ind w:left="0" w:right="0" w:firstLine="0"/>
                      </w:pPr>
                      <w:r>
                        <w:rPr>
                          <w:color w:val="000000"/>
                          <w:spacing w:val="0"/>
                          <w:w w:val="100"/>
                          <w:position w:val="0"/>
                          <w:shd w:val="clear" w:color="auto" w:fill="auto"/>
                          <w:lang w:val="cs-CZ" w:eastAsia="cs-CZ" w:bidi="cs-CZ"/>
                        </w:rPr>
                        <w:t>běsy nejvyššími. jiejvýsostnějšími, nejmodřejíšími a nejzářivějšími.“</w:t>
                      </w:r>
                    </w:p>
                    <w:p>
                      <w:pPr>
                        <w:pStyle w:val="Style42"/>
                        <w:keepNext w:val="0"/>
                        <w:keepLines w:val="0"/>
                        <w:widowControl w:val="0"/>
                        <w:shd w:val="clear" w:color="auto" w:fill="auto"/>
                        <w:bidi w:val="0"/>
                        <w:spacing w:before="0" w:after="0" w:line="185" w:lineRule="auto"/>
                        <w:ind w:left="0" w:right="0" w:firstLine="160"/>
                      </w:pPr>
                      <w:r>
                        <w:rPr>
                          <w:color w:val="000000"/>
                          <w:spacing w:val="0"/>
                          <w:w w:val="100"/>
                          <w:position w:val="0"/>
                          <w:shd w:val="clear" w:color="auto" w:fill="auto"/>
                          <w:lang w:val="cs-CZ" w:eastAsia="cs-CZ" w:bidi="cs-CZ"/>
                        </w:rPr>
                        <w:t>Příběh Konrádova románu je datován válkou balkánských Slo</w:t>
                        <w:softHyphen/>
                        <w:t>vanů s Turky a bratrovražednou její dohrou, hrdinství Bulharů a Srbů se obráží i v utváření dět</w:t>
                        <w:softHyphen/>
                        <w:t>ských duší. Je tu všechno, co i nás kdysi v dětství rozohňovalo, ať io bylo ďAmicisovo Srdce nebo Ver- neovy Dva roky prázdnin nebo vál</w:t>
                        <w:softHyphen/>
                        <w:t>ka burská a rusko-japonská, je tu klasicky vypsáno utrpení dětí. jež se dostaly zlou hrou osudu do ru</w:t>
                        <w:softHyphen/>
                        <w:t>kou otců opilců a běsů. Konrád ne</w:t>
                        <w:softHyphen/>
                        <w:t>zapomněl ani na spanilý vliv dívčí něhy na chlapecké surovce. A pře</w:t>
                        <w:softHyphen/>
                        <w:t>devším na žalnou propast mezi do</w:t>
                        <w:softHyphen/>
                        <w:t>spělými a dětmi. Dospělým jsou děti jenom dětmi, kdežto děti sa</w:t>
                        <w:softHyphen/>
                        <w:t>my sobě jsou vážnými, stejně váž</w:t>
                        <w:softHyphen/>
                        <w:t>nými aktéry tohoto světa a v kaž</w:t>
                        <w:softHyphen/>
                        <w:t>dém posměchu a ponížení, jež jim připraví nerozumějící člověk do</w:t>
                        <w:softHyphen/>
                        <w:t>spělý, vidí akt nepřátelský. Není na světě mnoho podivínských hodi</w:t>
                        <w:softHyphen/>
                        <w:t>nářů Kryštofů a starých panen Holátek, kteří dovedou žít s dítě</w:t>
                        <w:softHyphen/>
                        <w:t>tem, nebo lépe: jejichž život už znova zdětinštěl!</w:t>
                      </w:r>
                    </w:p>
                    <w:p>
                      <w:pPr>
                        <w:pStyle w:val="Style42"/>
                        <w:keepNext w:val="0"/>
                        <w:keepLines w:val="0"/>
                        <w:widowControl w:val="0"/>
                        <w:shd w:val="clear" w:color="auto" w:fill="auto"/>
                        <w:bidi w:val="0"/>
                        <w:spacing w:before="0" w:after="0" w:line="197" w:lineRule="auto"/>
                        <w:ind w:left="0" w:right="0" w:firstLine="160"/>
                      </w:pPr>
                      <w:r>
                        <w:rPr>
                          <w:color w:val="000000"/>
                          <w:spacing w:val="0"/>
                          <w:w w:val="100"/>
                          <w:position w:val="0"/>
                          <w:shd w:val="clear" w:color="auto" w:fill="auto"/>
                          <w:lang w:val="cs-CZ" w:eastAsia="cs-CZ" w:bidi="cs-CZ"/>
                        </w:rPr>
                        <w:t>Všechny symboly a všechna po</w:t>
                        <w:softHyphen/>
                        <w:t>dobenství této knihy jsou vkouzle- ny do této knihy, aby nás ani r.a chvíli neopustil melancholický stesk po vlastním našem dětství a roz-</w:t>
                      </w:r>
                    </w:p>
                  </w:txbxContent>
                </v:textbox>
                <w10:wrap type="square" anchorx="page"/>
              </v:shape>
            </w:pict>
          </mc:Fallback>
        </mc:AlternateContent>
      </w:r>
      <w:r>
        <w:rPr>
          <w:noProof/>
        </w:rPr>
        <mc:AlternateContent>
          <mc:Choice Requires="wps">
            <w:drawing>
              <wp:anchor distT="0" distB="6350" distL="1682750" distR="0" simplePos="0" relativeHeight="125830202" behindDoc="0" locked="0" layoutInCell="1" allowOverlap="1">
                <wp:simplePos x="0" y="0"/>
                <wp:positionH relativeFrom="page">
                  <wp:posOffset>5502910</wp:posOffset>
                </wp:positionH>
                <wp:positionV relativeFrom="paragraph">
                  <wp:posOffset>12700</wp:posOffset>
                </wp:positionV>
                <wp:extent cx="1718945" cy="4182110"/>
                <wp:effectExtent l="0" t="0" r="0" b="0"/>
                <wp:wrapSquare wrapText="bothSides"/>
                <wp:docPr id="825" name="Shape 825"/>
                <wp:cNvGraphicFramePr/>
                <a:graphic xmlns:a="http://schemas.openxmlformats.org/drawingml/2006/main">
                  <a:graphicData uri="http://schemas.microsoft.com/office/word/2010/wordprocessingShape">
                    <wps:wsp>
                      <wps:cNvSpPr txBox="1"/>
                      <wps:spPr>
                        <a:xfrm>
                          <a:off x="0" y="0"/>
                          <a:ext cx="1718945" cy="4182110"/>
                        </a:xfrm>
                        <a:prstGeom prst="rect">
                          <a:avLst/>
                        </a:prstGeom>
                        <a:noFill/>
                      </wps:spPr>
                      <wps:txbx>
                        <w:txbxContent>
                          <w:p w:rsidR="00500724" w:rsidRDefault="00F30FB8">
                            <w:pPr>
                              <w:pStyle w:val="Zkladntext100"/>
                              <w:shd w:val="clear" w:color="auto" w:fill="auto"/>
                              <w:spacing w:after="100" w:line="240" w:lineRule="auto"/>
                              <w:ind w:firstLine="0"/>
                              <w:jc w:val="left"/>
                            </w:pPr>
                            <w:r>
                              <w:rPr>
                                <w:i/>
                                <w:iCs/>
                              </w:rPr>
                              <w:t>Jean P r év o st:</w:t>
                            </w:r>
                          </w:p>
                          <w:p w:rsidR="00500724" w:rsidRDefault="00F30FB8">
                            <w:pPr>
                              <w:pStyle w:val="Zkladntext40"/>
                              <w:shd w:val="clear" w:color="auto" w:fill="auto"/>
                              <w:spacing w:line="300" w:lineRule="auto"/>
                              <w:jc w:val="center"/>
                              <w:rPr>
                                <w:sz w:val="16"/>
                                <w:szCs w:val="16"/>
                              </w:rPr>
                            </w:pPr>
                            <w:r>
                              <w:rPr>
                                <w:b/>
                                <w:bCs/>
                                <w:sz w:val="16"/>
                                <w:szCs w:val="16"/>
                              </w:rPr>
                              <w:t>DVĚ SLOŽKY LITEBÁBNlHO</w:t>
                            </w:r>
                            <w:r>
                              <w:rPr>
                                <w:b/>
                                <w:bCs/>
                                <w:sz w:val="16"/>
                                <w:szCs w:val="16"/>
                              </w:rPr>
                              <w:br/>
                              <w:t>UMĚNI.</w:t>
                            </w:r>
                          </w:p>
                          <w:p w:rsidR="00500724" w:rsidRDefault="00F30FB8">
                            <w:pPr>
                              <w:pStyle w:val="Zkladntext100"/>
                              <w:shd w:val="clear" w:color="auto" w:fill="auto"/>
                              <w:spacing w:after="80" w:line="240" w:lineRule="auto"/>
                              <w:ind w:firstLine="240"/>
                            </w:pPr>
                            <w:r>
                              <w:rPr>
                                <w:i/>
                                <w:iCs/>
                              </w:rPr>
                              <w:t>Každý veliký spisovatel má svůj vesmír; přesněji řečeno, každý z nich má své skutečno a své neskutečno. Tyto dvě složky jsou podstatné v definici romanopisce, a nesku</w:t>
                            </w:r>
                            <w:r>
                              <w:rPr>
                                <w:i/>
                                <w:iCs/>
                              </w:rPr>
                              <w:t xml:space="preserve">tečno možná ještě víc než skutečno. Taková dualita je zřejmě na příklad u Flauberta, a to již ve střídavosti jeho knih. </w:t>
                            </w:r>
                            <w:r>
                              <w:rPr>
                                <w:i/>
                                <w:iCs/>
                              </w:rPr>
                              <w:t xml:space="preserve">U </w:t>
                            </w:r>
                            <w:r>
                              <w:rPr>
                                <w:i/>
                                <w:iCs/>
                              </w:rPr>
                              <w:t>Balza- ca se víra v přímý vliv duše, v okultní síly a v sociální mys</w:t>
                            </w:r>
                            <w:r>
                              <w:rPr>
                                <w:i/>
                                <w:iCs/>
                              </w:rPr>
                              <w:softHyphen/>
                              <w:t>tiku projevuje ve všech jeho dí</w:t>
                            </w:r>
                            <w:r>
                              <w:rPr>
                                <w:i/>
                                <w:iCs/>
                              </w:rPr>
                              <w:softHyphen/>
                              <w:t xml:space="preserve">lech a právě jejich vlivem </w:t>
                            </w:r>
                            <w:r>
                              <w:rPr>
                                <w:i/>
                                <w:iCs/>
                              </w:rPr>
                              <w:t>„Balzac všechno chápe a vše</w:t>
                            </w:r>
                            <w:r>
                              <w:rPr>
                                <w:i/>
                                <w:iCs/>
                              </w:rPr>
                              <w:softHyphen/>
                              <w:t xml:space="preserve">chno odpouští“ </w:t>
                            </w:r>
                            <w:r>
                              <w:rPr>
                                <w:i/>
                                <w:iCs/>
                                <w:lang w:val="en-US" w:eastAsia="en-US" w:bidi="en-US"/>
                              </w:rPr>
                              <w:t xml:space="preserve">(Alain.) </w:t>
                            </w:r>
                            <w:r>
                              <w:rPr>
                                <w:i/>
                                <w:iCs/>
                              </w:rPr>
                              <w:t>V dneš</w:t>
                            </w:r>
                            <w:r>
                              <w:rPr>
                                <w:i/>
                                <w:iCs/>
                              </w:rPr>
                              <w:softHyphen/>
                              <w:t>ní doběMauriac dal svůj smysl pro skutečno, svůj citlivý zrak a čich zřejjmě do služeb nesku</w:t>
                            </w:r>
                            <w:r>
                              <w:rPr>
                                <w:i/>
                                <w:iCs/>
                              </w:rPr>
                              <w:softHyphen/>
                              <w:t>tečna, čímž nemíním přímo ka</w:t>
                            </w:r>
                            <w:r>
                              <w:rPr>
                                <w:i/>
                                <w:iCs/>
                              </w:rPr>
                              <w:softHyphen/>
                              <w:t>tolicismus, nýbrž vzácnou směs křesťanské víry a satanismu. Dokonce i takov</w:t>
                            </w:r>
                            <w:r>
                              <w:rPr>
                                <w:i/>
                                <w:iCs/>
                              </w:rPr>
                              <w:t xml:space="preserve">ý </w:t>
                            </w:r>
                            <w:r>
                              <w:rPr>
                                <w:i/>
                                <w:iCs/>
                                <w:lang w:val="en-US" w:eastAsia="en-US" w:bidi="en-US"/>
                              </w:rPr>
                              <w:t xml:space="preserve">Roger </w:t>
                            </w:r>
                            <w:r>
                              <w:rPr>
                                <w:i/>
                                <w:iCs/>
                              </w:rPr>
                              <w:t>Martin du Gard, ačkoli dělá, jako by se obešel bez nadskutečna, dě</w:t>
                            </w:r>
                            <w:r>
                              <w:rPr>
                                <w:i/>
                                <w:iCs/>
                              </w:rPr>
                              <w:softHyphen/>
                              <w:t>kuje své laické mystice za pře</w:t>
                            </w:r>
                            <w:r>
                              <w:rPr>
                                <w:i/>
                                <w:iCs/>
                              </w:rPr>
                              <w:softHyphen/>
                              <w:t>kvapující účelnost svých romá</w:t>
                            </w:r>
                            <w:r>
                              <w:rPr>
                                <w:i/>
                                <w:iCs/>
                              </w:rPr>
                              <w:softHyphen/>
                              <w:t>nových postav.</w:t>
                            </w:r>
                          </w:p>
                        </w:txbxContent>
                      </wps:txbx>
                      <wps:bodyPr lIns="0" tIns="0" rIns="0" bIns="0">
                        <a:spAutoFit/>
                      </wps:bodyPr>
                    </wps:wsp>
                  </a:graphicData>
                </a:graphic>
              </wp:anchor>
            </w:drawing>
          </mc:Choice>
          <mc:Fallback>
            <w:pict>
              <v:shape id="_x0000_s1851" type="#_x0000_t202" style="position:absolute;margin-left:433.30000000000001pt;margin-top:1.pt;width:135.34999999999999pt;height:329.30000000000001pt;z-index:-125828551;mso-wrap-distance-left:132.5pt;mso-wrap-distance-right:0;mso-wrap-distance-bottom:0.5pt;mso-position-horizontal-relative:page" filled="f" stroked="f">
                <v:textbox style="mso-fit-shape-to-text:t" inset="0,0,0,0">
                  <w:txbxContent>
                    <w:p>
                      <w:pPr>
                        <w:pStyle w:val="Style344"/>
                        <w:keepNext w:val="0"/>
                        <w:keepLines w:val="0"/>
                        <w:widowControl w:val="0"/>
                        <w:shd w:val="clear" w:color="auto" w:fill="auto"/>
                        <w:bidi w:val="0"/>
                        <w:spacing w:before="0" w:after="100" w:line="240" w:lineRule="auto"/>
                        <w:ind w:left="0" w:right="0" w:firstLine="0"/>
                        <w:jc w:val="left"/>
                      </w:pPr>
                      <w:r>
                        <w:rPr>
                          <w:i/>
                          <w:iCs/>
                          <w:color w:val="000000"/>
                          <w:spacing w:val="0"/>
                          <w:w w:val="100"/>
                          <w:position w:val="0"/>
                          <w:sz w:val="18"/>
                          <w:szCs w:val="18"/>
                          <w:shd w:val="clear" w:color="auto" w:fill="auto"/>
                          <w:lang w:val="cs-CZ" w:eastAsia="cs-CZ" w:bidi="cs-CZ"/>
                        </w:rPr>
                        <w:t>Jean P r év o st:</w:t>
                      </w:r>
                    </w:p>
                    <w:p>
                      <w:pPr>
                        <w:pStyle w:val="Style42"/>
                        <w:keepNext w:val="0"/>
                        <w:keepLines w:val="0"/>
                        <w:widowControl w:val="0"/>
                        <w:shd w:val="clear" w:color="auto" w:fill="auto"/>
                        <w:bidi w:val="0"/>
                        <w:spacing w:before="0" w:line="300" w:lineRule="auto"/>
                        <w:ind w:left="0" w:right="0" w:firstLine="0"/>
                        <w:jc w:val="center"/>
                        <w:rPr>
                          <w:sz w:val="16"/>
                          <w:szCs w:val="16"/>
                        </w:rPr>
                      </w:pPr>
                      <w:r>
                        <w:rPr>
                          <w:b/>
                          <w:bCs/>
                          <w:color w:val="000000"/>
                          <w:spacing w:val="0"/>
                          <w:w w:val="100"/>
                          <w:position w:val="0"/>
                          <w:sz w:val="16"/>
                          <w:szCs w:val="16"/>
                          <w:shd w:val="clear" w:color="auto" w:fill="auto"/>
                          <w:lang w:val="cs-CZ" w:eastAsia="cs-CZ" w:bidi="cs-CZ"/>
                        </w:rPr>
                        <w:t>DVĚ SLOŽKY LITEBÁBNlHO</w:t>
                        <w:br/>
                        <w:t>UMĚNI.</w:t>
                      </w:r>
                    </w:p>
                    <w:p>
                      <w:pPr>
                        <w:pStyle w:val="Style344"/>
                        <w:keepNext w:val="0"/>
                        <w:keepLines w:val="0"/>
                        <w:widowControl w:val="0"/>
                        <w:shd w:val="clear" w:color="auto" w:fill="auto"/>
                        <w:bidi w:val="0"/>
                        <w:spacing w:before="0" w:after="80" w:line="240" w:lineRule="auto"/>
                        <w:ind w:left="0" w:right="0" w:firstLine="240"/>
                      </w:pPr>
                      <w:r>
                        <w:rPr>
                          <w:i/>
                          <w:iCs/>
                          <w:color w:val="000000"/>
                          <w:spacing w:val="0"/>
                          <w:w w:val="100"/>
                          <w:position w:val="0"/>
                          <w:sz w:val="18"/>
                          <w:szCs w:val="18"/>
                          <w:shd w:val="clear" w:color="auto" w:fill="auto"/>
                          <w:lang w:val="cs-CZ" w:eastAsia="cs-CZ" w:bidi="cs-CZ"/>
                        </w:rPr>
                        <w:t xml:space="preserve">Každý veliký spisovatel má svůj vesmír; přesněji řečeno, každý z nich má své skutečno a své neskutečno. Tyto dvě složky jsou podstatné v definici romanopisce, a neskutečno možná ještě víc než skutečno. Taková dualita je zřejmě na příklad u Flauberta, a to již ve střídavosti jeho knih. </w:t>
                      </w:r>
                      <w:r>
                        <w:rPr>
                          <w:i/>
                          <w:iCs/>
                          <w:color w:val="000000"/>
                          <w:spacing w:val="0"/>
                          <w:w w:val="100"/>
                          <w:position w:val="0"/>
                          <w:shd w:val="clear" w:color="auto" w:fill="auto"/>
                          <w:lang w:val="cs-CZ" w:eastAsia="cs-CZ" w:bidi="cs-CZ"/>
                        </w:rPr>
                        <w:t xml:space="preserve">U </w:t>
                      </w:r>
                      <w:r>
                        <w:rPr>
                          <w:i/>
                          <w:iCs/>
                          <w:color w:val="000000"/>
                          <w:spacing w:val="0"/>
                          <w:w w:val="100"/>
                          <w:position w:val="0"/>
                          <w:sz w:val="18"/>
                          <w:szCs w:val="18"/>
                          <w:shd w:val="clear" w:color="auto" w:fill="auto"/>
                          <w:lang w:val="cs-CZ" w:eastAsia="cs-CZ" w:bidi="cs-CZ"/>
                        </w:rPr>
                        <w:t>Balza- ca se víra v přímý vliv duše, v okultní síly a v sociální mys</w:t>
                        <w:softHyphen/>
                        <w:t>tiku projevuje ve všech jeho dí</w:t>
                        <w:softHyphen/>
                        <w:t>lech a právě jejich vlivem „Balzac všechno chápe a vše</w:t>
                        <w:softHyphen/>
                        <w:t xml:space="preserve">chno odpouští“ </w:t>
                      </w:r>
                      <w:r>
                        <w:rPr>
                          <w:i/>
                          <w:iCs/>
                          <w:color w:val="000000"/>
                          <w:spacing w:val="0"/>
                          <w:w w:val="100"/>
                          <w:position w:val="0"/>
                          <w:sz w:val="18"/>
                          <w:szCs w:val="18"/>
                          <w:shd w:val="clear" w:color="auto" w:fill="auto"/>
                          <w:lang w:val="en-US" w:eastAsia="en-US" w:bidi="en-US"/>
                        </w:rPr>
                        <w:t xml:space="preserve">(Alain.) </w:t>
                      </w:r>
                      <w:r>
                        <w:rPr>
                          <w:i/>
                          <w:iCs/>
                          <w:color w:val="000000"/>
                          <w:spacing w:val="0"/>
                          <w:w w:val="100"/>
                          <w:position w:val="0"/>
                          <w:sz w:val="18"/>
                          <w:szCs w:val="18"/>
                          <w:shd w:val="clear" w:color="auto" w:fill="auto"/>
                          <w:lang w:val="cs-CZ" w:eastAsia="cs-CZ" w:bidi="cs-CZ"/>
                        </w:rPr>
                        <w:t>V dneš</w:t>
                        <w:softHyphen/>
                        <w:t>ní doběMauriac dal svůj smysl pro skutečno, svůj citlivý zrak a čich zřejjmě do služeb nesku</w:t>
                        <w:softHyphen/>
                        <w:t>tečna, čímž nemíním přímo ka</w:t>
                        <w:softHyphen/>
                        <w:t xml:space="preserve">tolicismus, nýbrž vzácnou směs křesťanské víry a satanismu. Dokonce i takový </w:t>
                      </w:r>
                      <w:r>
                        <w:rPr>
                          <w:i/>
                          <w:iCs/>
                          <w:color w:val="000000"/>
                          <w:spacing w:val="0"/>
                          <w:w w:val="100"/>
                          <w:position w:val="0"/>
                          <w:sz w:val="18"/>
                          <w:szCs w:val="18"/>
                          <w:shd w:val="clear" w:color="auto" w:fill="auto"/>
                          <w:lang w:val="en-US" w:eastAsia="en-US" w:bidi="en-US"/>
                        </w:rPr>
                        <w:t xml:space="preserve">Roger </w:t>
                      </w:r>
                      <w:r>
                        <w:rPr>
                          <w:i/>
                          <w:iCs/>
                          <w:color w:val="000000"/>
                          <w:spacing w:val="0"/>
                          <w:w w:val="100"/>
                          <w:position w:val="0"/>
                          <w:sz w:val="18"/>
                          <w:szCs w:val="18"/>
                          <w:shd w:val="clear" w:color="auto" w:fill="auto"/>
                          <w:lang w:val="cs-CZ" w:eastAsia="cs-CZ" w:bidi="cs-CZ"/>
                        </w:rPr>
                        <w:t>Martin du Gard, ačkoli dělá, jako by se obešel bez nadskutečna, dě</w:t>
                        <w:softHyphen/>
                        <w:t>kuje své laické mystice za pře</w:t>
                        <w:softHyphen/>
                        <w:t>kvapující účelnost svých romá</w:t>
                        <w:softHyphen/>
                        <w:t>nových postav.</w:t>
                      </w:r>
                    </w:p>
                  </w:txbxContent>
                </v:textbox>
                <w10:wrap type="square" anchorx="page"/>
              </v:shape>
            </w:pict>
          </mc:Fallback>
        </mc:AlternateContent>
      </w:r>
      <w:r>
        <w:rPr>
          <w:noProof/>
        </w:rPr>
        <mc:AlternateContent>
          <mc:Choice Requires="wps">
            <w:drawing>
              <wp:anchor distT="215900" distB="279400" distL="0" distR="0" simplePos="0" relativeHeight="125830204" behindDoc="0" locked="0" layoutInCell="1" allowOverlap="1">
                <wp:simplePos x="0" y="0"/>
                <wp:positionH relativeFrom="page">
                  <wp:posOffset>5502910</wp:posOffset>
                </wp:positionH>
                <wp:positionV relativeFrom="paragraph">
                  <wp:posOffset>4352290</wp:posOffset>
                </wp:positionV>
                <wp:extent cx="1743710" cy="3718560"/>
                <wp:effectExtent l="0" t="0" r="0" b="0"/>
                <wp:wrapSquare wrapText="bothSides"/>
                <wp:docPr id="827" name="Shape 827"/>
                <wp:cNvGraphicFramePr/>
                <a:graphic xmlns:a="http://schemas.openxmlformats.org/drawingml/2006/main">
                  <a:graphicData uri="http://schemas.microsoft.com/office/word/2010/wordprocessingShape">
                    <wps:wsp>
                      <wps:cNvSpPr txBox="1"/>
                      <wps:spPr>
                        <a:xfrm>
                          <a:off x="0" y="0"/>
                          <a:ext cx="1743710" cy="3718560"/>
                        </a:xfrm>
                        <a:prstGeom prst="rect">
                          <a:avLst/>
                        </a:prstGeom>
                        <a:noFill/>
                      </wps:spPr>
                      <wps:txbx>
                        <w:txbxContent>
                          <w:p w:rsidR="00500724" w:rsidRDefault="00F30FB8">
                            <w:pPr>
                              <w:pStyle w:val="Zkladntext40"/>
                              <w:shd w:val="clear" w:color="auto" w:fill="auto"/>
                              <w:spacing w:after="0" w:line="170" w:lineRule="auto"/>
                              <w:jc w:val="left"/>
                              <w:rPr>
                                <w:sz w:val="16"/>
                                <w:szCs w:val="16"/>
                              </w:rPr>
                            </w:pPr>
                            <w:r>
                              <w:rPr>
                                <w:b/>
                                <w:bCs/>
                                <w:sz w:val="16"/>
                                <w:szCs w:val="16"/>
                              </w:rPr>
                              <w:t>I Co se mi v Essoyes zvláště líbilo.</w:t>
                            </w:r>
                          </w:p>
                          <w:p w:rsidR="00500724" w:rsidRDefault="00F30FB8">
                            <w:pPr>
                              <w:pStyle w:val="Zkladntext40"/>
                              <w:shd w:val="clear" w:color="auto" w:fill="auto"/>
                              <w:spacing w:after="0" w:line="170" w:lineRule="auto"/>
                              <w:jc w:val="left"/>
                              <w:rPr>
                                <w:sz w:val="16"/>
                                <w:szCs w:val="16"/>
                              </w:rPr>
                            </w:pPr>
                            <w:r>
                              <w:rPr>
                                <w:b/>
                                <w:bCs/>
                                <w:sz w:val="16"/>
                                <w:szCs w:val="16"/>
                              </w:rPr>
                              <w:t>byla řeka'Ource. která dodává kra- I jině tolik půvabu. Když už B</w:t>
                            </w:r>
                            <w:r>
                              <w:rPr>
                                <w:b/>
                                <w:bCs/>
                                <w:sz w:val="16"/>
                                <w:szCs w:val="16"/>
                              </w:rPr>
                              <w:t>enoir nemohl chodit, dával se často od</w:t>
                            </w:r>
                            <w:r>
                              <w:rPr>
                                <w:b/>
                                <w:bCs/>
                                <w:sz w:val="16"/>
                                <w:szCs w:val="16"/>
                              </w:rPr>
                              <w:softHyphen/>
                              <w:t>nášet na břeh řeky.</w:t>
                            </w:r>
                          </w:p>
                          <w:p w:rsidR="00500724" w:rsidRDefault="00F30FB8">
                            <w:pPr>
                              <w:pStyle w:val="Zkladntext40"/>
                              <w:shd w:val="clear" w:color="auto" w:fill="auto"/>
                              <w:spacing w:after="0" w:line="175" w:lineRule="auto"/>
                              <w:ind w:firstLine="280"/>
                              <w:rPr>
                                <w:sz w:val="16"/>
                                <w:szCs w:val="16"/>
                              </w:rPr>
                            </w:pPr>
                            <w:r>
                              <w:rPr>
                                <w:b/>
                                <w:bCs/>
                                <w:sz w:val="16"/>
                                <w:szCs w:val="16"/>
                              </w:rPr>
                              <w:t>Za jedné návštěvy u Benoira jsem se zajímal o místní pamětihodnosti. Hned se mi pochlubili náhrobkem majora Hériota, bývalého majitele obchodního domu Louvre. Měl za živa jedinou ctižádost: chtěl m</w:t>
                            </w:r>
                            <w:r>
                              <w:rPr>
                                <w:b/>
                                <w:bCs/>
                                <w:sz w:val="16"/>
                                <w:szCs w:val="16"/>
                              </w:rPr>
                              <w:t>ít nádherný a originální náhrobek. Major Hériot si zakládal na,své vy</w:t>
                            </w:r>
                            <w:r>
                              <w:rPr>
                                <w:b/>
                                <w:bCs/>
                                <w:sz w:val="16"/>
                                <w:szCs w:val="16"/>
                              </w:rPr>
                              <w:softHyphen/>
                              <w:t>nalézavosti, avšak nemohl se roz</w:t>
                            </w:r>
                            <w:r>
                              <w:rPr>
                                <w:b/>
                                <w:bCs/>
                                <w:sz w:val="16"/>
                                <w:szCs w:val="16"/>
                              </w:rPr>
                              <w:softHyphen/>
                              <w:t>hodnout mezi dvěma možnostmi: pyramidou a zlomeným sloupem. Zemřel než se rozhodl a jeho pří</w:t>
                            </w:r>
                            <w:r>
                              <w:rPr>
                                <w:b/>
                                <w:bCs/>
                                <w:sz w:val="16"/>
                                <w:szCs w:val="16"/>
                              </w:rPr>
                              <w:softHyphen/>
                              <w:t>buzní si vzali za úkol vyplnit jeho přání. Po zralé úvaze se</w:t>
                            </w:r>
                            <w:r>
                              <w:rPr>
                                <w:b/>
                                <w:bCs/>
                                <w:sz w:val="16"/>
                                <w:szCs w:val="16"/>
                              </w:rPr>
                              <w:t xml:space="preserve"> rozhodli sloučit oba návrhy zemřelého: py</w:t>
                            </w:r>
                            <w:r>
                              <w:rPr>
                                <w:b/>
                                <w:bCs/>
                                <w:sz w:val="16"/>
                                <w:szCs w:val="16"/>
                              </w:rPr>
                              <w:softHyphen/>
                              <w:t>ramida byla uprostřed rozříznuta a na tuto masu postaven jakýsi obelisk. Nápis na jedné 'straně vy</w:t>
                            </w:r>
                            <w:r>
                              <w:rPr>
                                <w:b/>
                                <w:bCs/>
                                <w:sz w:val="16"/>
                                <w:szCs w:val="16"/>
                              </w:rPr>
                              <w:softHyphen/>
                              <w:t>počítává hlavní majorovy zásluhy a poučuje nás, že jeho bratr, který dal mausoleum postavit, je rytířem Čestné leg</w:t>
                            </w:r>
                            <w:r>
                              <w:rPr>
                                <w:b/>
                                <w:bCs/>
                                <w:sz w:val="16"/>
                                <w:szCs w:val="16"/>
                              </w:rPr>
                              <w:t>ie. Zatím co mi ukazovali toto umělecké dílo, klečela před ná</w:t>
                            </w:r>
                            <w:r>
                              <w:rPr>
                                <w:b/>
                                <w:bCs/>
                                <w:sz w:val="16"/>
                                <w:szCs w:val="16"/>
                              </w:rPr>
                              <w:softHyphen/>
                              <w:t>hrobkem stará venkovanka. Když vstala a odcházela kolem nás, ze</w:t>
                            </w:r>
                            <w:r>
                              <w:rPr>
                                <w:b/>
                                <w:bCs/>
                                <w:sz w:val="16"/>
                                <w:szCs w:val="16"/>
                              </w:rPr>
                              <w:softHyphen/>
                              <w:t>ptal jsem se jí:</w:t>
                            </w:r>
                          </w:p>
                          <w:p w:rsidR="00500724" w:rsidRDefault="00F30FB8">
                            <w:pPr>
                              <w:pStyle w:val="Zkladntext40"/>
                              <w:shd w:val="clear" w:color="auto" w:fill="auto"/>
                              <w:tabs>
                                <w:tab w:val="left" w:pos="1282"/>
                              </w:tabs>
                              <w:spacing w:after="0" w:line="202" w:lineRule="auto"/>
                              <w:ind w:firstLine="280"/>
                              <w:rPr>
                                <w:sz w:val="16"/>
                                <w:szCs w:val="16"/>
                              </w:rPr>
                            </w:pPr>
                            <w:r>
                              <w:rPr>
                                <w:b/>
                                <w:bCs/>
                                <w:sz w:val="16"/>
                                <w:szCs w:val="16"/>
                              </w:rPr>
                              <w:t>„Byl major Hériot váš příbuz</w:t>
                            </w:r>
                            <w:r>
                              <w:rPr>
                                <w:b/>
                                <w:bCs/>
                                <w:sz w:val="16"/>
                                <w:szCs w:val="16"/>
                              </w:rPr>
                              <w:softHyphen/>
                              <w:t>ný?“</w:t>
                            </w:r>
                            <w:r>
                              <w:rPr>
                                <w:b/>
                                <w:bCs/>
                                <w:sz w:val="16"/>
                                <w:szCs w:val="16"/>
                              </w:rPr>
                              <w:tab/>
                              <w:t>J</w:t>
                            </w:r>
                          </w:p>
                          <w:p w:rsidR="00500724" w:rsidRDefault="00F30FB8">
                            <w:pPr>
                              <w:pStyle w:val="Zkladntext40"/>
                              <w:shd w:val="clear" w:color="auto" w:fill="auto"/>
                              <w:spacing w:after="0" w:line="202" w:lineRule="auto"/>
                              <w:ind w:right="60"/>
                              <w:jc w:val="center"/>
                              <w:rPr>
                                <w:sz w:val="16"/>
                                <w:szCs w:val="16"/>
                              </w:rPr>
                            </w:pPr>
                            <w:r>
                              <w:rPr>
                                <w:b/>
                                <w:bCs/>
                                <w:sz w:val="16"/>
                                <w:szCs w:val="16"/>
                              </w:rPr>
                              <w:t>„6 ne, pane. co vás napadá!“</w:t>
                            </w:r>
                          </w:p>
                          <w:p w:rsidR="00500724" w:rsidRDefault="00F30FB8">
                            <w:pPr>
                              <w:pStyle w:val="Zkladntext40"/>
                              <w:shd w:val="clear" w:color="auto" w:fill="auto"/>
                              <w:spacing w:after="0" w:line="182" w:lineRule="auto"/>
                              <w:ind w:firstLine="280"/>
                              <w:rPr>
                                <w:sz w:val="16"/>
                                <w:szCs w:val="16"/>
                              </w:rPr>
                            </w:pPr>
                            <w:r>
                              <w:rPr>
                                <w:b/>
                                <w:bCs/>
                                <w:sz w:val="16"/>
                                <w:szCs w:val="16"/>
                              </w:rPr>
                              <w:t>„Pročpak jste se tedy modlila u jeho hrobu?“</w:t>
                            </w:r>
                          </w:p>
                          <w:p w:rsidR="00500724" w:rsidRDefault="00F30FB8">
                            <w:pPr>
                              <w:pStyle w:val="Zkladntext40"/>
                              <w:shd w:val="clear" w:color="auto" w:fill="auto"/>
                              <w:spacing w:after="0" w:line="175" w:lineRule="auto"/>
                              <w:ind w:firstLine="280"/>
                              <w:rPr>
                                <w:sz w:val="16"/>
                                <w:szCs w:val="16"/>
                              </w:rPr>
                            </w:pPr>
                            <w:r>
                              <w:rPr>
                                <w:b/>
                                <w:bCs/>
                                <w:sz w:val="16"/>
                                <w:szCs w:val="16"/>
                              </w:rPr>
                              <w:t>„Víte. nikdo sem nechodí. Nase</w:t>
                            </w:r>
                            <w:r>
                              <w:rPr>
                                <w:b/>
                                <w:bCs/>
                                <w:sz w:val="16"/>
                                <w:szCs w:val="16"/>
                              </w:rPr>
                              <w:softHyphen/>
                              <w:t>kala jsem si trávu pro králíky a pak jsem u toho hrobu odříkala jeden Otčenáš a jedno Zdrávas. Jak je možno, aby byl boháč tak úplně zapomenut?“</w:t>
                            </w:r>
                          </w:p>
                        </w:txbxContent>
                      </wps:txbx>
                      <wps:bodyPr lIns="0" tIns="0" rIns="0" bIns="0">
                        <a:spAutoFit/>
                      </wps:bodyPr>
                    </wps:wsp>
                  </a:graphicData>
                </a:graphic>
              </wp:anchor>
            </w:drawing>
          </mc:Choice>
          <mc:Fallback>
            <w:pict>
              <v:shape id="_x0000_s1853" type="#_x0000_t202" style="position:absolute;margin-left:433.30000000000001pt;margin-top:342.69999999999999pt;width:137.30000000000001pt;height:292.80000000000001pt;z-index:-125828549;mso-wrap-distance-left:0;mso-wrap-distance-top:17.pt;mso-wrap-distance-right:0;mso-wrap-distance-bottom:22.pt;mso-position-horizontal-relative:page" filled="f" stroked="f">
                <v:textbox style="mso-fit-shape-to-text:t" inset="0,0,0,0">
                  <w:txbxContent>
                    <w:p>
                      <w:pPr>
                        <w:pStyle w:val="Style42"/>
                        <w:keepNext w:val="0"/>
                        <w:keepLines w:val="0"/>
                        <w:widowControl w:val="0"/>
                        <w:shd w:val="clear" w:color="auto" w:fill="auto"/>
                        <w:bidi w:val="0"/>
                        <w:spacing w:before="0" w:after="0" w:line="17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I Co se mi v Essoyes zvláště líbilo.</w:t>
                      </w:r>
                    </w:p>
                    <w:p>
                      <w:pPr>
                        <w:pStyle w:val="Style42"/>
                        <w:keepNext w:val="0"/>
                        <w:keepLines w:val="0"/>
                        <w:widowControl w:val="0"/>
                        <w:shd w:val="clear" w:color="auto" w:fill="auto"/>
                        <w:bidi w:val="0"/>
                        <w:spacing w:before="0" w:after="0" w:line="17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byla řeka'Ource. která dodává kra- I jině tolik půvabu. Když už Benoir nemohl chodit, dával se často od</w:t>
                        <w:softHyphen/>
                        <w:t>nášet na břeh řeky.</w:t>
                      </w:r>
                    </w:p>
                    <w:p>
                      <w:pPr>
                        <w:pStyle w:val="Style42"/>
                        <w:keepNext w:val="0"/>
                        <w:keepLines w:val="0"/>
                        <w:widowControl w:val="0"/>
                        <w:shd w:val="clear" w:color="auto" w:fill="auto"/>
                        <w:bidi w:val="0"/>
                        <w:spacing w:before="0" w:after="0" w:line="175" w:lineRule="auto"/>
                        <w:ind w:left="0" w:right="0" w:firstLine="280"/>
                        <w:rPr>
                          <w:sz w:val="16"/>
                          <w:szCs w:val="16"/>
                        </w:rPr>
                      </w:pPr>
                      <w:r>
                        <w:rPr>
                          <w:b/>
                          <w:bCs/>
                          <w:color w:val="000000"/>
                          <w:spacing w:val="0"/>
                          <w:w w:val="100"/>
                          <w:position w:val="0"/>
                          <w:sz w:val="16"/>
                          <w:szCs w:val="16"/>
                          <w:shd w:val="clear" w:color="auto" w:fill="auto"/>
                          <w:lang w:val="cs-CZ" w:eastAsia="cs-CZ" w:bidi="cs-CZ"/>
                        </w:rPr>
                        <w:t>Za jedné návštěvy u Benoira jsem se zajímal o místní pamětihodnosti. Hned se mi pochlubili náhrobkem majora Hériota, bývalého majitele obchodního domu Louvre. Měl za živa jedinou ctižádost: chtěl mít nádherný a originální náhrobek. Major Hériot si zakládal na,své vy</w:t>
                        <w:softHyphen/>
                        <w:t>nalézavosti, avšak nemohl se roz</w:t>
                        <w:softHyphen/>
                        <w:t>hodnout mezi dvěma možnostmi: pyramidou a zlomeným sloupem. Zemřel než se rozhodl a jeho pří</w:t>
                        <w:softHyphen/>
                        <w:t>buzní si vzali za úkol vyplnit jeho přání. Po zralé úvaze se rozhodli sloučit oba návrhy zemřelého: py</w:t>
                        <w:softHyphen/>
                        <w:t>ramida byla uprostřed rozříznuta a na tuto masu postaven jakýsi obelisk. Nápis na jedné 'straně vy</w:t>
                        <w:softHyphen/>
                        <w:t>počítává hlavní majorovy zásluhy a poučuje nás, že jeho bratr, který dal mausoleum postavit, je rytířem Čestné legie. Zatím co mi ukazovali toto umělecké dílo, klečela před ná</w:t>
                        <w:softHyphen/>
                        <w:t>hrobkem stará venkovanka. Když vstala a odcházela kolem nás, ze</w:t>
                        <w:softHyphen/>
                        <w:t>ptal jsem se jí:</w:t>
                      </w:r>
                    </w:p>
                    <w:p>
                      <w:pPr>
                        <w:pStyle w:val="Style42"/>
                        <w:keepNext w:val="0"/>
                        <w:keepLines w:val="0"/>
                        <w:widowControl w:val="0"/>
                        <w:shd w:val="clear" w:color="auto" w:fill="auto"/>
                        <w:tabs>
                          <w:tab w:pos="1282" w:val="left"/>
                        </w:tabs>
                        <w:bidi w:val="0"/>
                        <w:spacing w:before="0" w:after="0" w:line="202" w:lineRule="auto"/>
                        <w:ind w:left="0" w:right="0" w:firstLine="280"/>
                        <w:rPr>
                          <w:sz w:val="16"/>
                          <w:szCs w:val="16"/>
                        </w:rPr>
                      </w:pPr>
                      <w:r>
                        <w:rPr>
                          <w:b/>
                          <w:bCs/>
                          <w:color w:val="000000"/>
                          <w:spacing w:val="0"/>
                          <w:w w:val="100"/>
                          <w:position w:val="0"/>
                          <w:sz w:val="16"/>
                          <w:szCs w:val="16"/>
                          <w:shd w:val="clear" w:color="auto" w:fill="auto"/>
                          <w:lang w:val="cs-CZ" w:eastAsia="cs-CZ" w:bidi="cs-CZ"/>
                        </w:rPr>
                        <w:t>„Byl major Hériot váš příbuz</w:t>
                        <w:softHyphen/>
                        <w:t>ný?“</w:t>
                        <w:tab/>
                        <w:t>J</w:t>
                      </w:r>
                    </w:p>
                    <w:p>
                      <w:pPr>
                        <w:pStyle w:val="Style42"/>
                        <w:keepNext w:val="0"/>
                        <w:keepLines w:val="0"/>
                        <w:widowControl w:val="0"/>
                        <w:shd w:val="clear" w:color="auto" w:fill="auto"/>
                        <w:bidi w:val="0"/>
                        <w:spacing w:before="0" w:after="0" w:line="202" w:lineRule="auto"/>
                        <w:ind w:left="0" w:right="60" w:firstLine="0"/>
                        <w:jc w:val="center"/>
                        <w:rPr>
                          <w:sz w:val="16"/>
                          <w:szCs w:val="16"/>
                        </w:rPr>
                      </w:pPr>
                      <w:r>
                        <w:rPr>
                          <w:b/>
                          <w:bCs/>
                          <w:color w:val="000000"/>
                          <w:spacing w:val="0"/>
                          <w:w w:val="100"/>
                          <w:position w:val="0"/>
                          <w:sz w:val="16"/>
                          <w:szCs w:val="16"/>
                          <w:shd w:val="clear" w:color="auto" w:fill="auto"/>
                          <w:lang w:val="cs-CZ" w:eastAsia="cs-CZ" w:bidi="cs-CZ"/>
                        </w:rPr>
                        <w:t>„6 ne, pane. co vás napadá!“</w:t>
                      </w:r>
                    </w:p>
                    <w:p>
                      <w:pPr>
                        <w:pStyle w:val="Style42"/>
                        <w:keepNext w:val="0"/>
                        <w:keepLines w:val="0"/>
                        <w:widowControl w:val="0"/>
                        <w:shd w:val="clear" w:color="auto" w:fill="auto"/>
                        <w:bidi w:val="0"/>
                        <w:spacing w:before="0" w:after="0" w:line="182" w:lineRule="auto"/>
                        <w:ind w:left="0" w:right="0" w:firstLine="280"/>
                        <w:rPr>
                          <w:sz w:val="16"/>
                          <w:szCs w:val="16"/>
                        </w:rPr>
                      </w:pPr>
                      <w:r>
                        <w:rPr>
                          <w:b/>
                          <w:bCs/>
                          <w:color w:val="000000"/>
                          <w:spacing w:val="0"/>
                          <w:w w:val="100"/>
                          <w:position w:val="0"/>
                          <w:sz w:val="16"/>
                          <w:szCs w:val="16"/>
                          <w:shd w:val="clear" w:color="auto" w:fill="auto"/>
                          <w:lang w:val="cs-CZ" w:eastAsia="cs-CZ" w:bidi="cs-CZ"/>
                        </w:rPr>
                        <w:t>„Pročpak jste se tedy modlila u jeho hrobu?“</w:t>
                      </w:r>
                    </w:p>
                    <w:p>
                      <w:pPr>
                        <w:pStyle w:val="Style42"/>
                        <w:keepNext w:val="0"/>
                        <w:keepLines w:val="0"/>
                        <w:widowControl w:val="0"/>
                        <w:shd w:val="clear" w:color="auto" w:fill="auto"/>
                        <w:bidi w:val="0"/>
                        <w:spacing w:before="0" w:after="0" w:line="175" w:lineRule="auto"/>
                        <w:ind w:left="0" w:right="0" w:firstLine="280"/>
                        <w:rPr>
                          <w:sz w:val="16"/>
                          <w:szCs w:val="16"/>
                        </w:rPr>
                      </w:pPr>
                      <w:r>
                        <w:rPr>
                          <w:b/>
                          <w:bCs/>
                          <w:color w:val="000000"/>
                          <w:spacing w:val="0"/>
                          <w:w w:val="100"/>
                          <w:position w:val="0"/>
                          <w:sz w:val="16"/>
                          <w:szCs w:val="16"/>
                          <w:shd w:val="clear" w:color="auto" w:fill="auto"/>
                          <w:lang w:val="cs-CZ" w:eastAsia="cs-CZ" w:bidi="cs-CZ"/>
                        </w:rPr>
                        <w:t>„Víte. nikdo sem nechodí. Nase</w:t>
                        <w:softHyphen/>
                        <w:t>kala jsem si trávu pro králíky a pak jsem u toho hrobu odříkala jeden Otčenáš a jedno Zdrávas. Jak je možno, aby byl boháč tak úplně zapomenut?“</w:t>
                      </w:r>
                    </w:p>
                  </w:txbxContent>
                </v:textbox>
                <w10:wrap type="square" anchorx="page"/>
              </v:shape>
            </w:pict>
          </mc:Fallback>
        </mc:AlternateContent>
      </w:r>
    </w:p>
    <w:p w:rsidR="00500724" w:rsidRDefault="00F30FB8">
      <w:pPr>
        <w:pStyle w:val="Zkladntext100"/>
        <w:shd w:val="clear" w:color="auto" w:fill="auto"/>
        <w:spacing w:after="100"/>
        <w:ind w:firstLine="0"/>
        <w:jc w:val="left"/>
      </w:pPr>
      <w:r>
        <w:rPr>
          <w:i/>
          <w:iCs/>
          <w:lang w:val="en-US" w:eastAsia="en-US" w:bidi="en-US"/>
        </w:rPr>
        <w:t xml:space="preserve">Rainer </w:t>
      </w:r>
      <w:r>
        <w:rPr>
          <w:i/>
          <w:iCs/>
        </w:rPr>
        <w:t xml:space="preserve">Maria </w:t>
      </w:r>
      <w:r>
        <w:rPr>
          <w:i/>
          <w:iCs/>
          <w:lang w:val="en-US" w:eastAsia="en-US" w:bidi="en-US"/>
        </w:rPr>
        <w:t>Rilke:</w:t>
      </w:r>
    </w:p>
    <w:p w:rsidR="00500724" w:rsidRDefault="00F30FB8">
      <w:pPr>
        <w:pStyle w:val="Zkladntext40"/>
        <w:shd w:val="clear" w:color="auto" w:fill="auto"/>
        <w:spacing w:after="100" w:line="240" w:lineRule="auto"/>
        <w:jc w:val="center"/>
        <w:rPr>
          <w:sz w:val="16"/>
          <w:szCs w:val="16"/>
        </w:rPr>
      </w:pPr>
      <w:r>
        <w:rPr>
          <w:b/>
          <w:bCs/>
          <w:sz w:val="16"/>
          <w:szCs w:val="16"/>
        </w:rPr>
        <w:t>BUČE TVOJE</w:t>
      </w:r>
      <w:r>
        <w:rPr>
          <w:b/>
          <w:bCs/>
          <w:sz w:val="16"/>
          <w:szCs w:val="16"/>
        </w:rPr>
        <w:footnoteReference w:id="11"/>
      </w:r>
    </w:p>
    <w:p w:rsidR="00500724" w:rsidRDefault="00F30FB8">
      <w:pPr>
        <w:pStyle w:val="Zkladntext100"/>
        <w:shd w:val="clear" w:color="auto" w:fill="auto"/>
        <w:spacing w:after="100"/>
        <w:ind w:right="420" w:firstLine="0"/>
        <w:jc w:val="left"/>
      </w:pPr>
      <w:r>
        <w:rPr>
          <w:i/>
          <w:iCs/>
        </w:rPr>
        <w:t>Tak jako číše z Venecie jen jen se rodí znají š</w:t>
      </w:r>
      <w:r>
        <w:rPr>
          <w:i/>
          <w:iCs/>
        </w:rPr>
        <w:t>eď a jas, jenž váhá, třpyty šije a milován je v odpověď,</w:t>
      </w:r>
    </w:p>
    <w:p w:rsidR="00500724" w:rsidRDefault="00F30FB8">
      <w:pPr>
        <w:pStyle w:val="Zkladntext100"/>
        <w:shd w:val="clear" w:color="auto" w:fill="auto"/>
        <w:spacing w:after="360"/>
        <w:ind w:firstLine="0"/>
        <w:jc w:val="left"/>
      </w:pPr>
      <w:r>
        <w:rPr>
          <w:i/>
          <w:iCs/>
        </w:rPr>
        <w:t>tak ruce tvoje s dálky svými již předem něžně snily blíž váhami býti pomalými chvil našich plných přespříliš.</w:t>
      </w:r>
    </w:p>
    <w:p w:rsidR="00500724" w:rsidRDefault="00F30FB8">
      <w:pPr>
        <w:pStyle w:val="Zkladntext80"/>
        <w:pBdr>
          <w:top w:val="single" w:sz="4" w:space="0" w:color="auto"/>
        </w:pBdr>
        <w:shd w:val="clear" w:color="auto" w:fill="auto"/>
        <w:spacing w:after="100" w:line="206" w:lineRule="auto"/>
        <w:rPr>
          <w:sz w:val="20"/>
          <w:szCs w:val="20"/>
        </w:rPr>
      </w:pPr>
      <w:r>
        <w:rPr>
          <w:sz w:val="20"/>
          <w:szCs w:val="20"/>
        </w:rPr>
        <w:t>NOVÉ</w:t>
      </w:r>
      <w:r>
        <w:rPr>
          <w:sz w:val="20"/>
          <w:szCs w:val="20"/>
          <w:vertAlign w:val="superscript"/>
        </w:rPr>
        <w:t>2</w:t>
      </w:r>
      <w:r>
        <w:rPr>
          <w:sz w:val="20"/>
          <w:szCs w:val="20"/>
        </w:rPr>
        <w:t xml:space="preserve"> KNIHY</w:t>
      </w:r>
    </w:p>
    <w:p w:rsidR="00500724" w:rsidRDefault="00F30FB8">
      <w:pPr>
        <w:pStyle w:val="Zkladntext40"/>
        <w:shd w:val="clear" w:color="auto" w:fill="auto"/>
        <w:spacing w:after="40" w:line="185" w:lineRule="auto"/>
        <w:jc w:val="left"/>
      </w:pPr>
      <w:r>
        <w:t>Karel Sezima:</w:t>
      </w:r>
    </w:p>
    <w:p w:rsidR="00500724" w:rsidRDefault="00F30FB8">
      <w:pPr>
        <w:pStyle w:val="Zkladntext100"/>
        <w:shd w:val="clear" w:color="auto" w:fill="auto"/>
        <w:spacing w:line="240" w:lineRule="auto"/>
        <w:ind w:firstLine="0"/>
        <w:jc w:val="center"/>
        <w:rPr>
          <w:sz w:val="19"/>
          <w:szCs w:val="19"/>
        </w:rPr>
      </w:pPr>
      <w:r>
        <w:rPr>
          <w:b/>
          <w:bCs/>
          <w:smallCaps/>
          <w:sz w:val="19"/>
          <w:szCs w:val="19"/>
        </w:rPr>
        <w:t>konbádovv postele</w:t>
      </w:r>
    </w:p>
    <w:p w:rsidR="00500724" w:rsidRDefault="00F30FB8">
      <w:pPr>
        <w:pStyle w:val="Zkladntext40"/>
        <w:shd w:val="clear" w:color="auto" w:fill="auto"/>
        <w:spacing w:after="40" w:line="240" w:lineRule="auto"/>
        <w:jc w:val="center"/>
      </w:pPr>
      <w:r>
        <w:rPr>
          <w:b/>
          <w:bCs/>
        </w:rPr>
        <w:t>BEZ NEBES</w:t>
      </w:r>
    </w:p>
    <w:p w:rsidR="00500724" w:rsidRDefault="00F30FB8">
      <w:pPr>
        <w:pStyle w:val="Zkladntext40"/>
        <w:shd w:val="clear" w:color="auto" w:fill="auto"/>
        <w:spacing w:after="100" w:line="185" w:lineRule="auto"/>
        <w:ind w:firstLine="180"/>
      </w:pPr>
      <w:r>
        <w:t xml:space="preserve">Karel Konrád, jenž se u nás </w:t>
      </w:r>
      <w:r>
        <w:t>proslavil nejkrásnější. nejbásnič</w:t>
      </w:r>
      <w:r>
        <w:softHyphen/>
        <w:t>tější naši epopejí ze světové války, románem Rozchod, přihlásil se ny</w:t>
      </w:r>
      <w:r>
        <w:softHyphen/>
        <w:t xml:space="preserve">ní po dlouhém pracovnim mezidobí </w:t>
      </w:r>
      <w:r>
        <w:rPr>
          <w:rFonts w:ascii="Arial" w:eastAsia="Arial" w:hAnsi="Arial" w:cs="Arial"/>
          <w:b/>
          <w:bCs/>
          <w:sz w:val="13"/>
          <w:szCs w:val="13"/>
        </w:rPr>
        <w:t xml:space="preserve">s </w:t>
      </w:r>
      <w:r>
        <w:t>druhou svou větší prací, s romá</w:t>
      </w:r>
      <w:r>
        <w:softHyphen/>
        <w:t>nem Postelebeznebes. Pro</w:t>
      </w:r>
      <w:r>
        <w:softHyphen/>
        <w:t xml:space="preserve">ti dějové, filmové knize Karla Jós. Beneše je to kniha ze </w:t>
      </w:r>
      <w:r>
        <w:t>světa příkře opačného. Děj je zde jenom nosi</w:t>
      </w:r>
      <w:r>
        <w:softHyphen/>
        <w:t>telem citových a slovesných feerii, jež se navěšují na události, prolína</w:t>
      </w:r>
      <w:r>
        <w:softHyphen/>
        <w:t>jí jimi, rozzařují je a prosvitají jimi. Postele bez nebes jsou kniha lyrická, i když jsou psány prózou, je to román lyrický, je román v b</w:t>
      </w:r>
      <w:r>
        <w:t>á</w:t>
      </w:r>
      <w:r>
        <w:softHyphen/>
        <w:t>sni a báseň v románu, je to dar a plod úzkostlivého a pomalého od</w:t>
      </w:r>
      <w:r>
        <w:softHyphen/>
        <w:t>važování slov, je to skládání třpyt-</w:t>
      </w:r>
    </w:p>
    <w:p w:rsidR="00500724" w:rsidRDefault="00F30FB8">
      <w:pPr>
        <w:pStyle w:val="Zkladntext40"/>
        <w:shd w:val="clear" w:color="auto" w:fill="auto"/>
        <w:spacing w:after="240" w:line="168" w:lineRule="auto"/>
        <w:ind w:firstLine="240"/>
        <w:jc w:val="left"/>
      </w:pPr>
      <w:r>
        <w:t>* Ze sbírky „Sad“, přeložené Vlád. íHolanem.</w:t>
      </w:r>
    </w:p>
    <w:p w:rsidR="00500724" w:rsidRDefault="00F30FB8">
      <w:pPr>
        <w:pStyle w:val="Jin0"/>
        <w:shd w:val="clear" w:color="auto" w:fill="auto"/>
        <w:spacing w:after="180"/>
        <w:ind w:left="380" w:firstLine="0"/>
        <w:jc w:val="left"/>
        <w:rPr>
          <w:sz w:val="30"/>
          <w:szCs w:val="30"/>
        </w:rPr>
      </w:pPr>
      <w:r>
        <w:rPr>
          <w:b/>
          <w:bCs/>
          <w:sz w:val="30"/>
          <w:szCs w:val="30"/>
        </w:rPr>
        <w:t>FEUILLETON</w:t>
      </w:r>
    </w:p>
    <w:p w:rsidR="00500724" w:rsidRDefault="00F30FB8">
      <w:pPr>
        <w:pStyle w:val="Zkladntext40"/>
        <w:shd w:val="clear" w:color="auto" w:fill="auto"/>
        <w:spacing w:after="100" w:line="175" w:lineRule="auto"/>
        <w:jc w:val="left"/>
        <w:rPr>
          <w:sz w:val="16"/>
          <w:szCs w:val="16"/>
        </w:rPr>
      </w:pPr>
      <w:r>
        <w:rPr>
          <w:b/>
          <w:bCs/>
          <w:sz w:val="16"/>
          <w:szCs w:val="16"/>
        </w:rPr>
        <w:t>Ambroise Vollard:</w:t>
      </w:r>
    </w:p>
    <w:p w:rsidR="00500724" w:rsidRDefault="00F30FB8">
      <w:pPr>
        <w:pStyle w:val="Zkladntext40"/>
        <w:shd w:val="clear" w:color="auto" w:fill="auto"/>
        <w:spacing w:after="0" w:line="233" w:lineRule="auto"/>
        <w:jc w:val="center"/>
        <w:rPr>
          <w:sz w:val="16"/>
          <w:szCs w:val="16"/>
        </w:rPr>
      </w:pPr>
      <w:r>
        <w:rPr>
          <w:b/>
          <w:bCs/>
          <w:sz w:val="16"/>
          <w:szCs w:val="16"/>
        </w:rPr>
        <w:t>BENOIR JAK JSEM HO</w:t>
      </w:r>
      <w:r>
        <w:rPr>
          <w:b/>
          <w:bCs/>
          <w:sz w:val="16"/>
          <w:szCs w:val="16"/>
        </w:rPr>
        <w:br/>
        <w:t>POZNAL.*)</w:t>
      </w:r>
    </w:p>
    <w:p w:rsidR="00500724" w:rsidRDefault="00F30FB8">
      <w:pPr>
        <w:pStyle w:val="Zkladntext40"/>
        <w:shd w:val="clear" w:color="auto" w:fill="auto"/>
        <w:spacing w:after="100" w:line="240" w:lineRule="auto"/>
        <w:jc w:val="center"/>
      </w:pPr>
      <w:r>
        <w:t>(Dokončení.)</w:t>
      </w:r>
    </w:p>
    <w:p w:rsidR="00500724" w:rsidRDefault="00F30FB8">
      <w:pPr>
        <w:pStyle w:val="Zkladntext40"/>
        <w:shd w:val="clear" w:color="auto" w:fill="auto"/>
        <w:spacing w:after="0" w:line="175" w:lineRule="auto"/>
        <w:ind w:firstLine="240"/>
        <w:rPr>
          <w:sz w:val="16"/>
          <w:szCs w:val="16"/>
        </w:rPr>
      </w:pPr>
      <w:r>
        <w:rPr>
          <w:b/>
          <w:bCs/>
          <w:sz w:val="16"/>
          <w:szCs w:val="16"/>
        </w:rPr>
        <w:t xml:space="preserve">..Ve vedlejším pokoji jsou knihy, </w:t>
      </w:r>
      <w:r>
        <w:rPr>
          <w:b/>
          <w:bCs/>
          <w:sz w:val="16"/>
          <w:szCs w:val="16"/>
        </w:rPr>
        <w:t>přineste je!“</w:t>
      </w:r>
    </w:p>
    <w:p w:rsidR="00500724" w:rsidRDefault="00F30FB8">
      <w:pPr>
        <w:pStyle w:val="Zkladntext40"/>
        <w:shd w:val="clear" w:color="auto" w:fill="auto"/>
        <w:spacing w:after="0" w:line="175" w:lineRule="auto"/>
        <w:ind w:firstLine="240"/>
        <w:rPr>
          <w:sz w:val="16"/>
          <w:szCs w:val="16"/>
        </w:rPr>
      </w:pPr>
      <w:r>
        <w:rPr>
          <w:b/>
          <w:bCs/>
          <w:sz w:val="16"/>
          <w:szCs w:val="16"/>
        </w:rPr>
        <w:t>Gabriela odešla.</w:t>
      </w:r>
    </w:p>
    <w:p w:rsidR="00500724" w:rsidRDefault="00F30FB8">
      <w:pPr>
        <w:pStyle w:val="Zkladntext40"/>
        <w:shd w:val="clear" w:color="auto" w:fill="auto"/>
        <w:spacing w:after="0" w:line="175" w:lineRule="auto"/>
        <w:ind w:firstLine="240"/>
        <w:rPr>
          <w:sz w:val="16"/>
          <w:szCs w:val="16"/>
        </w:rPr>
      </w:pPr>
      <w:r>
        <w:rPr>
          <w:b/>
          <w:bCs/>
          <w:sz w:val="16"/>
          <w:szCs w:val="16"/>
        </w:rPr>
        <w:t>..Na tomhle děvčeti se mi líbí. že dělá vždycky případné poznám</w:t>
      </w:r>
      <w:r>
        <w:rPr>
          <w:b/>
          <w:bCs/>
          <w:sz w:val="16"/>
          <w:szCs w:val="16"/>
        </w:rPr>
        <w:softHyphen/>
        <w:t>ky. aniž by si to uvědomila. Člo</w:t>
      </w:r>
      <w:r>
        <w:rPr>
          <w:b/>
          <w:bCs/>
          <w:sz w:val="16"/>
          <w:szCs w:val="16"/>
        </w:rPr>
        <w:softHyphen/>
        <w:t>věk, jemuž přisoudila cizineckou legii, je Francouz, který ještě včera byl Rumun nebo Polák, sám to dobře nevěděl, Řeknu vám o j</w:t>
      </w:r>
      <w:r>
        <w:rPr>
          <w:b/>
          <w:bCs/>
          <w:sz w:val="16"/>
          <w:szCs w:val="16"/>
        </w:rPr>
        <w:t>iné Gabrielině vlastnosti. Minulé léto jsme najali na venkově domek blízko pevnosti. Má paní přistihla Gabrielu, jak podávala přes ku</w:t>
      </w:r>
      <w:r>
        <w:rPr>
          <w:b/>
          <w:bCs/>
          <w:sz w:val="16"/>
          <w:szCs w:val="16"/>
        </w:rPr>
        <w:softHyphen/>
        <w:t>chyňské zábradlí dvěma vojákům střídavě lžíci polévky a lžíci kom</w:t>
      </w:r>
      <w:r>
        <w:rPr>
          <w:b/>
          <w:bCs/>
          <w:sz w:val="16"/>
          <w:szCs w:val="16"/>
        </w:rPr>
        <w:softHyphen/>
        <w:t>potu.</w:t>
      </w:r>
    </w:p>
    <w:p w:rsidR="00500724" w:rsidRDefault="00F30FB8">
      <w:pPr>
        <w:pStyle w:val="Zkladntext40"/>
        <w:shd w:val="clear" w:color="auto" w:fill="auto"/>
        <w:spacing w:after="0" w:line="175" w:lineRule="auto"/>
        <w:ind w:firstLine="240"/>
        <w:rPr>
          <w:sz w:val="16"/>
          <w:szCs w:val="16"/>
        </w:rPr>
      </w:pPr>
      <w:r>
        <w:rPr>
          <w:b/>
          <w:bCs/>
          <w:sz w:val="16"/>
          <w:szCs w:val="16"/>
        </w:rPr>
        <w:t>„Vždyť si tou vaší míchanicí zkazí žaludky. Gabrie</w:t>
      </w:r>
      <w:r>
        <w:rPr>
          <w:b/>
          <w:bCs/>
          <w:sz w:val="16"/>
          <w:szCs w:val="16"/>
        </w:rPr>
        <w:t>lo,“ pravila jí má žena.</w:t>
      </w:r>
    </w:p>
    <w:p w:rsidR="00500724" w:rsidRDefault="00F30FB8">
      <w:pPr>
        <w:pStyle w:val="Zkladntext40"/>
        <w:shd w:val="clear" w:color="auto" w:fill="auto"/>
        <w:spacing w:after="0" w:line="175" w:lineRule="auto"/>
        <w:ind w:firstLine="240"/>
        <w:rPr>
          <w:sz w:val="16"/>
          <w:szCs w:val="16"/>
        </w:rPr>
      </w:pPr>
      <w:r>
        <w:rPr>
          <w:b/>
          <w:bCs/>
          <w:sz w:val="16"/>
          <w:szCs w:val="16"/>
        </w:rPr>
        <w:t>„Ach myslíte?“ odpověděla Ga</w:t>
      </w:r>
      <w:r>
        <w:rPr>
          <w:b/>
          <w:bCs/>
          <w:sz w:val="16"/>
          <w:szCs w:val="16"/>
        </w:rPr>
        <w:softHyphen/>
        <w:t>briela. jata náhlou starostí.</w:t>
      </w:r>
    </w:p>
    <w:p w:rsidR="00500724" w:rsidRDefault="00F30FB8">
      <w:pPr>
        <w:pStyle w:val="Zkladntext40"/>
        <w:shd w:val="clear" w:color="auto" w:fill="auto"/>
        <w:spacing w:after="0" w:line="175" w:lineRule="auto"/>
        <w:ind w:firstLine="240"/>
        <w:rPr>
          <w:sz w:val="16"/>
          <w:szCs w:val="16"/>
        </w:rPr>
      </w:pPr>
      <w:r>
        <w:rPr>
          <w:b/>
          <w:bCs/>
          <w:sz w:val="16"/>
          <w:szCs w:val="16"/>
        </w:rPr>
        <w:t>Někdo z našich hostů vypravoval, že dostal v Lyoně kompot před po</w:t>
      </w:r>
      <w:r>
        <w:rPr>
          <w:b/>
          <w:bCs/>
          <w:sz w:val="16"/>
          <w:szCs w:val="16"/>
        </w:rPr>
        <w:softHyphen/>
        <w:t>lévkou.</w:t>
      </w:r>
    </w:p>
    <w:p w:rsidR="00500724" w:rsidRDefault="00F30FB8">
      <w:pPr>
        <w:pStyle w:val="Zkladntext40"/>
        <w:shd w:val="clear" w:color="auto" w:fill="auto"/>
        <w:spacing w:after="0" w:line="175" w:lineRule="auto"/>
        <w:ind w:firstLine="240"/>
        <w:rPr>
          <w:sz w:val="16"/>
          <w:szCs w:val="16"/>
        </w:rPr>
      </w:pPr>
      <w:r>
        <w:rPr>
          <w:b/>
          <w:bCs/>
          <w:sz w:val="16"/>
          <w:szCs w:val="16"/>
        </w:rPr>
        <w:t>Gabriela se hned uklidnila: ..No ovšem, říkali mi, že má jejich pluk přijít do Lyonu.“</w:t>
      </w:r>
    </w:p>
    <w:p w:rsidR="00500724" w:rsidRDefault="00F30FB8">
      <w:pPr>
        <w:pStyle w:val="Zkladntext40"/>
        <w:shd w:val="clear" w:color="auto" w:fill="auto"/>
        <w:spacing w:after="100" w:line="175" w:lineRule="auto"/>
        <w:ind w:firstLine="240"/>
        <w:rPr>
          <w:sz w:val="16"/>
          <w:szCs w:val="16"/>
        </w:rPr>
      </w:pPr>
      <w:r>
        <w:rPr>
          <w:b/>
          <w:bCs/>
          <w:sz w:val="16"/>
          <w:szCs w:val="16"/>
        </w:rPr>
        <w:t xml:space="preserve">..Vidíte,“ </w:t>
      </w:r>
      <w:r>
        <w:rPr>
          <w:b/>
          <w:bCs/>
          <w:sz w:val="16"/>
          <w:szCs w:val="16"/>
        </w:rPr>
        <w:t>pokračoval Benoir. „stokrát raději poslouchám tyhle nesmysly, než abych se bavil</w:t>
      </w:r>
    </w:p>
    <w:p w:rsidR="00500724" w:rsidRDefault="00F30FB8">
      <w:pPr>
        <w:pStyle w:val="Zkladntext40"/>
        <w:shd w:val="clear" w:color="auto" w:fill="auto"/>
        <w:tabs>
          <w:tab w:val="left" w:pos="2621"/>
        </w:tabs>
        <w:spacing w:after="0" w:line="202" w:lineRule="auto"/>
        <w:rPr>
          <w:sz w:val="19"/>
          <w:szCs w:val="19"/>
        </w:rPr>
      </w:pPr>
      <w:r>
        <w:t>ných kaménků a je to hra a rozkoš , ze hry.</w:t>
      </w:r>
      <w:r>
        <w:tab/>
      </w:r>
      <w:r>
        <w:rPr>
          <w:sz w:val="19"/>
          <w:szCs w:val="19"/>
        </w:rPr>
        <w:t>i</w:t>
      </w:r>
    </w:p>
    <w:p w:rsidR="00500724" w:rsidRDefault="00F30FB8">
      <w:pPr>
        <w:pStyle w:val="Zkladntext40"/>
        <w:shd w:val="clear" w:color="auto" w:fill="auto"/>
        <w:spacing w:after="0" w:line="194" w:lineRule="auto"/>
        <w:ind w:firstLine="180"/>
      </w:pPr>
      <w:r>
        <w:t xml:space="preserve">I tu jde o kouzelný dům a o kou- - zelný domov, ale zase jiný a jinak viděný. Láska, milováni a žárlení milenecké, o to vše tady </w:t>
      </w:r>
      <w:r>
        <w:t>neběží, ta</w:t>
      </w:r>
      <w:r>
        <w:softHyphen/>
        <w:t>dy běží jenom o svět dětský a pro</w:t>
      </w:r>
      <w:r>
        <w:softHyphen/>
        <w:t xml:space="preserve">tože rozpomínka na détství je nej- spanileiší, nejčistší a nej čarovnější, básníku již námětem je zde dáno vše, čeho si mohl přát, aby se mohl nalaskat do sytosti s tajemstvími prostého dění. Postele bez nebes, </w:t>
      </w:r>
      <w:r>
        <w:t>jaký to symbol života zbaveného všeho aristokratismu a feudalismu! Postele prosté, chudé, bez příkras, na kterých se rodí děti chudých ro</w:t>
      </w:r>
      <w:r>
        <w:softHyphen/>
        <w:t>dičů, na nichž dorůstají k prvému povstání, k prvému samostatnému kroku, na nichž je přepadají a opouštějí dětské nemo</w:t>
      </w:r>
      <w:r>
        <w:t>ci a na nichž dosnívají své pohádkové sny, již s očima otevřenýma! Jsem dokon</w:t>
      </w:r>
      <w:r>
        <w:softHyphen/>
        <w:t>ce v pokušení prohlásit, že Karel Konrád těmito Postelemi bez nebes myslil i periferijní ulice venkovské</w:t>
      </w:r>
      <w:r>
        <w:softHyphen/>
        <w:t>ho města, jež jsou hřišti, úto</w:t>
      </w:r>
      <w:r>
        <w:softHyphen/>
        <w:t>čištěm i školou proletářských dětí, jež je</w:t>
      </w:r>
      <w:r>
        <w:t xml:space="preserve"> shánějí v houf a v bratrství a učí ctnostem a vychovávají v mu</w:t>
      </w:r>
      <w:r>
        <w:softHyphen/>
        <w:t>že a ženy silné, čestné a spravedli</w:t>
      </w:r>
      <w:r>
        <w:softHyphen/>
        <w:t>vé. A tak že tedy tyto Konrádovy Postele bez nebes jsou nakonec přece jen postelemi s nebesy, s ne-</w:t>
      </w:r>
    </w:p>
    <w:p w:rsidR="00500724" w:rsidRDefault="00F30FB8">
      <w:pPr>
        <w:pStyle w:val="Zkladntext100"/>
        <w:pBdr>
          <w:bottom w:val="single" w:sz="4" w:space="0" w:color="auto"/>
        </w:pBdr>
        <w:shd w:val="clear" w:color="auto" w:fill="auto"/>
        <w:spacing w:after="100" w:line="221" w:lineRule="auto"/>
        <w:ind w:firstLine="0"/>
        <w:jc w:val="right"/>
        <w:rPr>
          <w:sz w:val="19"/>
          <w:szCs w:val="19"/>
        </w:rPr>
      </w:pPr>
      <w:r>
        <w:rPr>
          <w:sz w:val="19"/>
          <w:szCs w:val="19"/>
        </w:rPr>
        <w:t xml:space="preserve">I II </w:t>
      </w:r>
      <w:r>
        <w:rPr>
          <w:rFonts w:ascii="Arial" w:eastAsia="Arial" w:hAnsi="Arial" w:cs="Arial"/>
          <w:sz w:val="8"/>
          <w:szCs w:val="8"/>
        </w:rPr>
        <w:t>i—</w:t>
      </w:r>
      <w:r>
        <w:rPr>
          <w:sz w:val="19"/>
          <w:szCs w:val="19"/>
        </w:rPr>
        <w:t>iiiwm</w:t>
      </w:r>
    </w:p>
    <w:p w:rsidR="00500724" w:rsidRDefault="00F30FB8">
      <w:pPr>
        <w:pStyle w:val="Zkladntext40"/>
        <w:shd w:val="clear" w:color="auto" w:fill="auto"/>
        <w:spacing w:after="0" w:line="175" w:lineRule="auto"/>
        <w:rPr>
          <w:sz w:val="16"/>
          <w:szCs w:val="16"/>
        </w:rPr>
      </w:pPr>
      <w:r>
        <w:rPr>
          <w:b/>
          <w:bCs/>
          <w:sz w:val="16"/>
          <w:szCs w:val="16"/>
        </w:rPr>
        <w:t>s .myslitelkou*. Poslyšte! Jednou mi seděla</w:t>
      </w:r>
      <w:r>
        <w:rPr>
          <w:b/>
          <w:bCs/>
          <w:sz w:val="16"/>
          <w:szCs w:val="16"/>
        </w:rPr>
        <w:t xml:space="preserve"> modelem žena hostin</w:t>
      </w:r>
      <w:r>
        <w:rPr>
          <w:b/>
          <w:bCs/>
          <w:sz w:val="16"/>
          <w:szCs w:val="16"/>
        </w:rPr>
        <w:softHyphen/>
        <w:t>ského, krásné děvče s červenými tvářemi. Vraštila čelo a zdálo se mi celou dobu, že o něčem hloubá. Zlobilo mne to a konečně jsem jí řekl:</w:t>
      </w:r>
    </w:p>
    <w:p w:rsidR="00500724" w:rsidRDefault="00F30FB8">
      <w:pPr>
        <w:pStyle w:val="Zkladntext40"/>
        <w:shd w:val="clear" w:color="auto" w:fill="auto"/>
        <w:spacing w:after="0" w:line="175" w:lineRule="auto"/>
        <w:ind w:firstLine="220"/>
        <w:rPr>
          <w:sz w:val="16"/>
          <w:szCs w:val="16"/>
        </w:rPr>
      </w:pPr>
      <w:r>
        <w:rPr>
          <w:b/>
          <w:bCs/>
          <w:sz w:val="16"/>
          <w:szCs w:val="16"/>
        </w:rPr>
        <w:t>..Dnes to nějak nejde, co? Tak si myslím, o čem asi uvažujete.“</w:t>
      </w:r>
    </w:p>
    <w:p w:rsidR="00500724" w:rsidRDefault="00F30FB8">
      <w:pPr>
        <w:pStyle w:val="Zkladntext40"/>
        <w:shd w:val="clear" w:color="auto" w:fill="auto"/>
        <w:spacing w:after="0" w:line="175" w:lineRule="auto"/>
        <w:ind w:firstLine="220"/>
        <w:rPr>
          <w:sz w:val="16"/>
          <w:szCs w:val="16"/>
        </w:rPr>
      </w:pPr>
      <w:r>
        <w:rPr>
          <w:b/>
          <w:bCs/>
          <w:sz w:val="16"/>
          <w:szCs w:val="16"/>
        </w:rPr>
        <w:t>„Ale, pane Benoire. bojím se. že</w:t>
      </w:r>
      <w:r>
        <w:rPr>
          <w:b/>
          <w:bCs/>
          <w:sz w:val="16"/>
          <w:szCs w:val="16"/>
        </w:rPr>
        <w:t xml:space="preserve"> se mi doma, zatím co zde sedím, spálí sekaná skopová pečeně!“</w:t>
      </w:r>
    </w:p>
    <w:p w:rsidR="00500724" w:rsidRDefault="00F30FB8">
      <w:pPr>
        <w:pStyle w:val="Zkladntext40"/>
        <w:shd w:val="clear" w:color="auto" w:fill="auto"/>
        <w:spacing w:after="0"/>
        <w:ind w:firstLine="220"/>
        <w:rPr>
          <w:sz w:val="16"/>
          <w:szCs w:val="16"/>
        </w:rPr>
      </w:pPr>
      <w:r>
        <w:rPr>
          <w:b/>
          <w:bCs/>
          <w:sz w:val="16"/>
          <w:szCs w:val="16"/>
        </w:rPr>
        <w:t>Gabriela se vrátila. Položila na stůl knihy, které přinesla, a začala předčítat jejich názvy: Kruté zna</w:t>
      </w:r>
      <w:r>
        <w:rPr>
          <w:b/>
          <w:bCs/>
          <w:sz w:val="16"/>
          <w:szCs w:val="16"/>
        </w:rPr>
        <w:softHyphen/>
        <w:t>mení, Pan de Camors. Paní Bova- ryová.</w:t>
      </w:r>
    </w:p>
    <w:p w:rsidR="00500724" w:rsidRDefault="00F30FB8">
      <w:pPr>
        <w:pStyle w:val="Zkladntext40"/>
        <w:shd w:val="clear" w:color="auto" w:fill="auto"/>
        <w:spacing w:after="0" w:line="173" w:lineRule="auto"/>
        <w:ind w:firstLine="220"/>
        <w:jc w:val="left"/>
        <w:rPr>
          <w:sz w:val="16"/>
          <w:szCs w:val="16"/>
        </w:rPr>
      </w:pPr>
      <w:r>
        <w:rPr>
          <w:b/>
          <w:bCs/>
          <w:sz w:val="16"/>
          <w:szCs w:val="16"/>
        </w:rPr>
        <w:t>Benoir ji přerušil: ..Už vidím, že se budu muset p</w:t>
      </w:r>
      <w:r>
        <w:rPr>
          <w:b/>
          <w:bCs/>
          <w:sz w:val="16"/>
          <w:szCs w:val="16"/>
        </w:rPr>
        <w:t>rokousat třemi sty stranami, protože byl lékárník oklamán svojí ženou. Zrovna jako Salambó. tu mi také pořád chtějí dát číst. Mně je stokrát milejší Bomán o mumii. Všichni lidé mi říkají, že je od začátku až do kon</w:t>
      </w:r>
      <w:r>
        <w:rPr>
          <w:b/>
          <w:bCs/>
          <w:sz w:val="16"/>
          <w:szCs w:val="16"/>
        </w:rPr>
        <w:softHyphen/>
        <w:t>ce nemožný. Asi právě proto jej tak rád č</w:t>
      </w:r>
      <w:r>
        <w:rPr>
          <w:b/>
          <w:bCs/>
          <w:sz w:val="16"/>
          <w:szCs w:val="16"/>
        </w:rPr>
        <w:t>tu!“</w:t>
      </w:r>
    </w:p>
    <w:p w:rsidR="00500724" w:rsidRDefault="00F30FB8">
      <w:pPr>
        <w:pStyle w:val="Zkladntext40"/>
        <w:shd w:val="clear" w:color="auto" w:fill="auto"/>
        <w:spacing w:after="0" w:line="173" w:lineRule="auto"/>
        <w:ind w:firstLine="220"/>
        <w:rPr>
          <w:sz w:val="16"/>
          <w:szCs w:val="16"/>
        </w:rPr>
      </w:pPr>
      <w:r>
        <w:rPr>
          <w:b/>
          <w:bCs/>
          <w:sz w:val="16"/>
          <w:szCs w:val="16"/>
        </w:rPr>
        <w:t>„Květy zla,“ pokračovala Gabri</w:t>
      </w:r>
      <w:r>
        <w:rPr>
          <w:b/>
          <w:bCs/>
          <w:sz w:val="16"/>
          <w:szCs w:val="16"/>
        </w:rPr>
        <w:softHyphen/>
        <w:t>ela.</w:t>
      </w:r>
    </w:p>
    <w:p w:rsidR="00500724" w:rsidRDefault="00F30FB8">
      <w:pPr>
        <w:pStyle w:val="Zkladntext40"/>
        <w:shd w:val="clear" w:color="auto" w:fill="auto"/>
        <w:spacing w:after="0" w:line="173" w:lineRule="auto"/>
        <w:ind w:firstLine="220"/>
        <w:rPr>
          <w:sz w:val="16"/>
          <w:szCs w:val="16"/>
        </w:rPr>
      </w:pPr>
      <w:r>
        <w:rPr>
          <w:b/>
          <w:bCs/>
          <w:sz w:val="16"/>
          <w:szCs w:val="16"/>
        </w:rPr>
        <w:t xml:space="preserve">„Tu knihu nenávidím ze všeho nejvíce,“ zvolal Benoir. „Nevím, kdo mi to zase přinesl! Kdybyste byl jako já slyšel recitovat Mou- neta-Sullylio v saloně paní Char- pentierové Mrchu před všemi těmi krůtami, které při </w:t>
      </w:r>
      <w:r>
        <w:rPr>
          <w:b/>
          <w:bCs/>
          <w:sz w:val="16"/>
          <w:szCs w:val="16"/>
        </w:rPr>
        <w:t>tom slintaly . .“</w:t>
      </w:r>
    </w:p>
    <w:p w:rsidR="00500724" w:rsidRDefault="00F30FB8">
      <w:pPr>
        <w:pStyle w:val="Zkladntext40"/>
        <w:shd w:val="clear" w:color="auto" w:fill="auto"/>
        <w:spacing w:after="0"/>
        <w:ind w:firstLine="220"/>
        <w:rPr>
          <w:sz w:val="16"/>
          <w:szCs w:val="16"/>
        </w:rPr>
      </w:pPr>
      <w:r>
        <w:rPr>
          <w:b/>
          <w:bCs/>
          <w:sz w:val="16"/>
          <w:szCs w:val="16"/>
        </w:rPr>
        <w:t>Gabriela pokračovala: Germinie Lacerteuxová. Paní Chrysantéma, Píseň žebráků. Legenda věků.</w:t>
      </w:r>
    </w:p>
    <w:p w:rsidR="00500724" w:rsidRDefault="00F30FB8">
      <w:pPr>
        <w:pStyle w:val="Zkladntext40"/>
        <w:shd w:val="clear" w:color="auto" w:fill="auto"/>
        <w:spacing w:after="0"/>
        <w:ind w:firstLine="220"/>
        <w:jc w:val="left"/>
        <w:rPr>
          <w:sz w:val="16"/>
          <w:szCs w:val="16"/>
        </w:rPr>
      </w:pPr>
      <w:r>
        <w:rPr>
          <w:b/>
          <w:bCs/>
          <w:sz w:val="16"/>
          <w:szCs w:val="16"/>
        </w:rPr>
        <w:t>Benoir. který lhostejně poslou</w:t>
      </w:r>
      <w:r>
        <w:rPr>
          <w:b/>
          <w:bCs/>
          <w:sz w:val="16"/>
          <w:szCs w:val="16"/>
        </w:rPr>
        <w:softHyphen/>
        <w:t>chal. udělal při posledním názvu odmítavý posunek.</w:t>
      </w:r>
    </w:p>
    <w:p w:rsidR="00500724" w:rsidRDefault="00F30FB8">
      <w:pPr>
        <w:pStyle w:val="Zkladntext40"/>
        <w:shd w:val="clear" w:color="auto" w:fill="auto"/>
        <w:spacing w:after="0" w:line="175" w:lineRule="auto"/>
        <w:ind w:firstLine="180"/>
        <w:rPr>
          <w:sz w:val="16"/>
          <w:szCs w:val="16"/>
        </w:rPr>
      </w:pPr>
      <w:r>
        <w:rPr>
          <w:b/>
          <w:bCs/>
          <w:sz w:val="16"/>
          <w:szCs w:val="16"/>
        </w:rPr>
        <w:t>„Hugovy verše jeou přece krás</w:t>
      </w:r>
      <w:r>
        <w:rPr>
          <w:b/>
          <w:bCs/>
          <w:sz w:val="16"/>
          <w:szCs w:val="16"/>
        </w:rPr>
        <w:softHyphen/>
        <w:t>né.“</w:t>
      </w:r>
    </w:p>
    <w:p w:rsidR="00500724" w:rsidRDefault="00F30FB8">
      <w:pPr>
        <w:pStyle w:val="Zkladntext40"/>
        <w:shd w:val="clear" w:color="auto" w:fill="auto"/>
        <w:spacing w:after="0" w:line="175" w:lineRule="auto"/>
        <w:ind w:firstLine="180"/>
        <w:rPr>
          <w:sz w:val="16"/>
          <w:szCs w:val="16"/>
        </w:rPr>
      </w:pPr>
      <w:r>
        <w:rPr>
          <w:b/>
          <w:bCs/>
          <w:sz w:val="16"/>
          <w:szCs w:val="16"/>
        </w:rPr>
        <w:t>„Možná, že je (Hugo geniální.</w:t>
      </w:r>
      <w:r>
        <w:rPr>
          <w:b/>
          <w:bCs/>
          <w:sz w:val="16"/>
          <w:szCs w:val="16"/>
        </w:rPr>
        <w:t xml:space="preserve"> Co mi však u toho člověka vadí, je. že odnaučil Francouze mluvit jedno</w:t>
      </w:r>
      <w:r>
        <w:rPr>
          <w:b/>
          <w:bCs/>
          <w:sz w:val="16"/>
          <w:szCs w:val="16"/>
        </w:rPr>
        <w:softHyphen/>
        <w:t>duše. Gabrielo, zítra mi musíte koupit Paní de Monsoreau.“</w:t>
      </w:r>
    </w:p>
    <w:p w:rsidR="00500724" w:rsidRDefault="00F30FB8">
      <w:pPr>
        <w:pStyle w:val="Zkladntext40"/>
        <w:shd w:val="clear" w:color="auto" w:fill="auto"/>
        <w:spacing w:after="0" w:line="175" w:lineRule="auto"/>
        <w:ind w:firstLine="180"/>
        <w:rPr>
          <w:sz w:val="16"/>
          <w:szCs w:val="16"/>
        </w:rPr>
      </w:pPr>
      <w:r>
        <w:rPr>
          <w:b/>
          <w:bCs/>
          <w:sz w:val="16"/>
          <w:szCs w:val="16"/>
        </w:rPr>
        <w:t>Obrátil se ke Imně:</w:t>
      </w:r>
    </w:p>
    <w:p w:rsidR="00500724" w:rsidRDefault="00F30FB8">
      <w:pPr>
        <w:pStyle w:val="Zkladntext40"/>
        <w:shd w:val="clear" w:color="auto" w:fill="auto"/>
        <w:spacing w:after="0" w:line="175" w:lineRule="auto"/>
        <w:ind w:firstLine="180"/>
        <w:rPr>
          <w:sz w:val="16"/>
          <w:szCs w:val="16"/>
        </w:rPr>
      </w:pPr>
      <w:r>
        <w:rPr>
          <w:b/>
          <w:bCs/>
          <w:sz w:val="16"/>
          <w:szCs w:val="16"/>
        </w:rPr>
        <w:t xml:space="preserve">„To je veledílo! — Kapitola, jak </w:t>
      </w:r>
      <w:r>
        <w:rPr>
          <w:b/>
          <w:bCs/>
          <w:sz w:val="16"/>
          <w:szCs w:val="16"/>
          <w:lang w:val="en-US" w:eastAsia="en-US" w:bidi="en-US"/>
        </w:rPr>
        <w:t xml:space="preserve">Chicot </w:t>
      </w:r>
      <w:r>
        <w:rPr>
          <w:b/>
          <w:bCs/>
          <w:sz w:val="16"/>
          <w:szCs w:val="16"/>
        </w:rPr>
        <w:t>žehná průvodu . . .“</w:t>
      </w:r>
    </w:p>
    <w:p w:rsidR="00500724" w:rsidRDefault="00F30FB8">
      <w:pPr>
        <w:pStyle w:val="Zkladntext40"/>
        <w:shd w:val="clear" w:color="auto" w:fill="auto"/>
        <w:spacing w:after="0" w:line="175" w:lineRule="auto"/>
        <w:ind w:firstLine="180"/>
        <w:rPr>
          <w:sz w:val="16"/>
          <w:szCs w:val="16"/>
        </w:rPr>
      </w:pPr>
      <w:r>
        <w:rPr>
          <w:b/>
          <w:bCs/>
          <w:sz w:val="16"/>
          <w:szCs w:val="16"/>
        </w:rPr>
        <w:t>Gabriela náhle zvolala: „Pane, tady je kniha</w:t>
      </w:r>
      <w:r>
        <w:rPr>
          <w:b/>
          <w:bCs/>
          <w:sz w:val="16"/>
          <w:szCs w:val="16"/>
        </w:rPr>
        <w:t xml:space="preserve"> od Alexandra Du- mase!“ I</w:t>
      </w:r>
    </w:p>
    <w:p w:rsidR="00500724" w:rsidRDefault="00F30FB8">
      <w:pPr>
        <w:pStyle w:val="Zkladntext40"/>
        <w:shd w:val="clear" w:color="auto" w:fill="auto"/>
        <w:spacing w:after="0" w:line="175" w:lineRule="auto"/>
        <w:ind w:firstLine="180"/>
        <w:rPr>
          <w:sz w:val="16"/>
          <w:szCs w:val="16"/>
        </w:rPr>
      </w:pPr>
      <w:r>
        <w:rPr>
          <w:b/>
          <w:bCs/>
          <w:sz w:val="16"/>
          <w:szCs w:val="16"/>
        </w:rPr>
        <w:t>Benoirův obličej se rozzářil. Ga</w:t>
      </w:r>
      <w:r>
        <w:rPr>
          <w:b/>
          <w:bCs/>
          <w:sz w:val="16"/>
          <w:szCs w:val="16"/>
        </w:rPr>
        <w:softHyphen/>
        <w:t>briela oznamovala triumfálně: Dá</w:t>
      </w:r>
      <w:r>
        <w:rPr>
          <w:b/>
          <w:bCs/>
          <w:sz w:val="16"/>
          <w:szCs w:val="16"/>
        </w:rPr>
        <w:softHyphen/>
        <w:t>ma s kaméliemi.</w:t>
      </w:r>
    </w:p>
    <w:p w:rsidR="00500724" w:rsidRDefault="00F30FB8">
      <w:pPr>
        <w:pStyle w:val="Zkladntext40"/>
        <w:shd w:val="clear" w:color="auto" w:fill="auto"/>
        <w:spacing w:after="0" w:line="175" w:lineRule="auto"/>
        <w:ind w:firstLine="180"/>
        <w:rPr>
          <w:sz w:val="16"/>
          <w:szCs w:val="16"/>
        </w:rPr>
      </w:pPr>
      <w:r>
        <w:rPr>
          <w:b/>
          <w:bCs/>
          <w:sz w:val="16"/>
          <w:szCs w:val="16"/>
        </w:rPr>
        <w:t xml:space="preserve">„Nikdy!“ protestoval Benoir. „Nenávidím všecko, co napsal </w:t>
      </w:r>
      <w:r>
        <w:rPr>
          <w:b/>
          <w:bCs/>
          <w:sz w:val="16"/>
          <w:szCs w:val="16"/>
          <w:lang w:val="en-US" w:eastAsia="en-US" w:bidi="en-US"/>
        </w:rPr>
        <w:t>Du</w:t>
      </w:r>
      <w:r>
        <w:rPr>
          <w:b/>
          <w:bCs/>
          <w:sz w:val="16"/>
          <w:szCs w:val="16"/>
          <w:lang w:val="en-US" w:eastAsia="en-US" w:bidi="en-US"/>
        </w:rPr>
        <w:softHyphen/>
        <w:t xml:space="preserve">mas </w:t>
      </w:r>
      <w:r>
        <w:rPr>
          <w:b/>
          <w:bCs/>
          <w:sz w:val="16"/>
          <w:szCs w:val="16"/>
        </w:rPr>
        <w:t xml:space="preserve">mladší, la tuto knihu </w:t>
      </w:r>
      <w:r>
        <w:rPr>
          <w:b/>
          <w:bCs/>
          <w:sz w:val="16"/>
          <w:szCs w:val="16"/>
          <w:lang w:val="en-US" w:eastAsia="en-US" w:bidi="en-US"/>
        </w:rPr>
        <w:t xml:space="preserve">vice </w:t>
      </w:r>
      <w:r>
        <w:rPr>
          <w:b/>
          <w:bCs/>
          <w:sz w:val="16"/>
          <w:szCs w:val="16"/>
        </w:rPr>
        <w:t xml:space="preserve">než ostatní. Měl jsem odjakživa hrůzu ze sentimentální </w:t>
      </w:r>
      <w:r>
        <w:rPr>
          <w:b/>
          <w:bCs/>
          <w:sz w:val="16"/>
          <w:szCs w:val="16"/>
        </w:rPr>
        <w:t>nabubřelosti.“</w:t>
      </w:r>
    </w:p>
    <w:p w:rsidR="00500724" w:rsidRDefault="00F30FB8">
      <w:pPr>
        <w:pStyle w:val="Zkladntext40"/>
        <w:shd w:val="clear" w:color="auto" w:fill="auto"/>
        <w:spacing w:after="0" w:line="175" w:lineRule="auto"/>
        <w:ind w:firstLine="180"/>
        <w:rPr>
          <w:sz w:val="16"/>
          <w:szCs w:val="16"/>
        </w:rPr>
      </w:pPr>
      <w:r>
        <w:rPr>
          <w:b/>
          <w:bCs/>
          <w:sz w:val="16"/>
          <w:szCs w:val="16"/>
        </w:rPr>
        <w:t>Benoir měl v Essoyes. rodném kraji své ženy, malý domek, kde trávíval nejteplejší letní měsíce. Zažil jsem tam ,hezké chvíle. Byla to stará selská chalupa s tlustými zdmi a zahradou, osázenou ovocný</w:t>
      </w:r>
      <w:r>
        <w:rPr>
          <w:b/>
          <w:bCs/>
          <w:sz w:val="16"/>
          <w:szCs w:val="16"/>
        </w:rPr>
        <w:softHyphen/>
        <w:t>mi stromy.</w:t>
      </w:r>
    </w:p>
    <w:p w:rsidR="00500724" w:rsidRDefault="00F30FB8">
      <w:pPr>
        <w:pStyle w:val="Zkladntext40"/>
        <w:shd w:val="clear" w:color="auto" w:fill="auto"/>
        <w:spacing w:after="0" w:line="175" w:lineRule="auto"/>
        <w:ind w:firstLine="180"/>
        <w:rPr>
          <w:sz w:val="16"/>
          <w:szCs w:val="16"/>
        </w:rPr>
      </w:pPr>
      <w:r>
        <w:rPr>
          <w:b/>
          <w:bCs/>
          <w:sz w:val="16"/>
          <w:szCs w:val="16"/>
        </w:rPr>
        <w:t>Jeho přítel se divil, když nast</w:t>
      </w:r>
      <w:r>
        <w:rPr>
          <w:b/>
          <w:bCs/>
          <w:sz w:val="16"/>
          <w:szCs w:val="16"/>
        </w:rPr>
        <w:t>al podzim, že (malíř otálí s návratem do Paříže, než odjede na jih. kde s ohledem na své zdraví musel trá</w:t>
      </w:r>
      <w:r>
        <w:rPr>
          <w:b/>
          <w:bCs/>
          <w:sz w:val="16"/>
          <w:szCs w:val="16"/>
        </w:rPr>
        <w:softHyphen/>
        <w:t>vit zimu.</w:t>
      </w:r>
    </w:p>
    <w:p w:rsidR="00500724" w:rsidRDefault="00F30FB8">
      <w:pPr>
        <w:pStyle w:val="Zkladntext40"/>
        <w:shd w:val="clear" w:color="auto" w:fill="auto"/>
        <w:spacing w:after="0" w:line="175" w:lineRule="auto"/>
        <w:ind w:firstLine="180"/>
        <w:rPr>
          <w:sz w:val="16"/>
          <w:szCs w:val="16"/>
        </w:rPr>
      </w:pPr>
      <w:r>
        <w:rPr>
          <w:b/>
          <w:bCs/>
          <w:sz w:val="16"/>
          <w:szCs w:val="16"/>
        </w:rPr>
        <w:t>„Co chcete?“ odpověděl Benoir. „Ód pěkného otevřeného ohně ne</w:t>
      </w:r>
      <w:r>
        <w:rPr>
          <w:b/>
          <w:bCs/>
          <w:sz w:val="16"/>
          <w:szCs w:val="16"/>
        </w:rPr>
        <w:softHyphen/>
        <w:t xml:space="preserve">toužím po návratu k ústřednímu topení. Mám zde výborné máslo a chleba, jaký v </w:t>
      </w:r>
      <w:r>
        <w:rPr>
          <w:b/>
          <w:bCs/>
          <w:sz w:val="16"/>
          <w:szCs w:val="16"/>
        </w:rPr>
        <w:t>Paříži není k do</w:t>
      </w:r>
      <w:r>
        <w:rPr>
          <w:b/>
          <w:bCs/>
          <w:sz w:val="16"/>
          <w:szCs w:val="16"/>
        </w:rPr>
        <w:softHyphen/>
        <w:t>stání. A pak zdejší víno . . .“ Pamatuji se (.leště na to víno a zvláště na určitou známku, která se vyrovnala všem starým arma- gnacům.</w:t>
      </w:r>
    </w:p>
    <w:p w:rsidR="00500724" w:rsidRDefault="00F30FB8">
      <w:pPr>
        <w:pStyle w:val="Zkladntext40"/>
        <w:shd w:val="clear" w:color="auto" w:fill="auto"/>
        <w:spacing w:after="0" w:line="185" w:lineRule="auto"/>
      </w:pPr>
      <w:r>
        <w:t>koš z básnického díla, dovede vra</w:t>
      </w:r>
      <w:r>
        <w:softHyphen/>
        <w:t>cet sny dávno zasuté a navracet požehnané chvíle prvních dojmo</w:t>
      </w:r>
      <w:r>
        <w:softHyphen/>
        <w:t xml:space="preserve">vých </w:t>
      </w:r>
      <w:r>
        <w:t>zásahů a čistého přibližování k životním tajemstvím a idolům.</w:t>
      </w:r>
    </w:p>
    <w:p w:rsidR="00500724" w:rsidRDefault="00F30FB8">
      <w:pPr>
        <w:pStyle w:val="Zkladntext40"/>
        <w:shd w:val="clear" w:color="auto" w:fill="auto"/>
        <w:spacing w:after="0" w:line="185" w:lineRule="auto"/>
        <w:ind w:firstLine="180"/>
      </w:pPr>
      <w:r>
        <w:t>Poslechněte si na příklad jen tu závěrečnou pasáž knihy, jež je celá komponována na základní motiv bezcílného běhu vteřin a hodin a dnů, na míjení času, jenž se ne</w:t>
      </w:r>
      <w:r>
        <w:softHyphen/>
        <w:t>vrací.</w:t>
      </w:r>
    </w:p>
    <w:p w:rsidR="00500724" w:rsidRDefault="00F30FB8">
      <w:pPr>
        <w:pStyle w:val="Zkladntext40"/>
        <w:shd w:val="clear" w:color="auto" w:fill="auto"/>
        <w:spacing w:after="0" w:line="185" w:lineRule="auto"/>
        <w:ind w:firstLine="180"/>
      </w:pPr>
      <w:r>
        <w:t>„Rafije vběhly na dvaná</w:t>
      </w:r>
      <w:r>
        <w:t>ctou, po</w:t>
      </w:r>
      <w:r>
        <w:softHyphen/>
        <w:t>slední číslici.</w:t>
      </w:r>
    </w:p>
    <w:p w:rsidR="00500724" w:rsidRDefault="00F30FB8">
      <w:pPr>
        <w:pStyle w:val="Zkladntext40"/>
        <w:shd w:val="clear" w:color="auto" w:fill="auto"/>
        <w:spacing w:after="0" w:line="185" w:lineRule="auto"/>
        <w:ind w:firstLine="180"/>
      </w:pPr>
      <w:r>
        <w:t>Nejprve zazněl mléčně sytý hlas smaltovaných hodin a do něho vpadly (jako hvězdným ohlasem) mámivé údery všech bicích strojů, rozdychtěné perony nádraží, úchvat</w:t>
      </w:r>
      <w:r>
        <w:softHyphen/>
        <w:t>ný cinkot svatebních příborů, harcčtí kanáři, andělský choř, har</w:t>
      </w:r>
      <w:r>
        <w:softHyphen/>
        <w:t>fa, h</w:t>
      </w:r>
      <w:r>
        <w:t>arfy, lyra, loutna, loutny, loutny, loutny, cymbál zpívajících fontán, horoucí pozdvihování.</w:t>
      </w:r>
    </w:p>
    <w:p w:rsidR="00500724" w:rsidRDefault="00F30FB8">
      <w:pPr>
        <w:pStyle w:val="Zkladntext40"/>
        <w:shd w:val="clear" w:color="auto" w:fill="auto"/>
        <w:spacing w:after="0" w:line="185" w:lineRule="auto"/>
        <w:ind w:firstLine="180"/>
      </w:pPr>
      <w:r>
        <w:t>A dlouhé doznívání tajůplné.“</w:t>
      </w:r>
    </w:p>
    <w:p w:rsidR="00500724" w:rsidRDefault="00F30FB8">
      <w:pPr>
        <w:pStyle w:val="Zkladntext40"/>
        <w:shd w:val="clear" w:color="auto" w:fill="auto"/>
        <w:spacing w:after="0" w:line="185" w:lineRule="auto"/>
        <w:ind w:firstLine="180"/>
      </w:pPr>
      <w:r>
        <w:t>A opět jen kmitočet kyvadel, se</w:t>
      </w:r>
      <w:r>
        <w:softHyphen/>
        <w:t>trvačníků.</w:t>
      </w:r>
    </w:p>
    <w:p w:rsidR="00500724" w:rsidRDefault="00F30FB8">
      <w:pPr>
        <w:pStyle w:val="Zkladntext40"/>
        <w:shd w:val="clear" w:color="auto" w:fill="auto"/>
        <w:spacing w:after="0" w:line="185" w:lineRule="auto"/>
        <w:ind w:firstLine="180"/>
      </w:pPr>
      <w:r>
        <w:t>Krápníky vteřin.</w:t>
      </w:r>
    </w:p>
    <w:p w:rsidR="00500724" w:rsidRDefault="00F30FB8">
      <w:pPr>
        <w:pStyle w:val="Zkladntext40"/>
        <w:shd w:val="clear" w:color="auto" w:fill="auto"/>
        <w:spacing w:after="80" w:line="185" w:lineRule="auto"/>
        <w:ind w:firstLine="180"/>
      </w:pPr>
      <w:r>
        <w:t>Hodiny, ti ptáci bez vratiprstů.</w:t>
      </w:r>
    </w:p>
    <w:p w:rsidR="00500724" w:rsidRDefault="00F30FB8">
      <w:pPr>
        <w:pStyle w:val="Zkladntext40"/>
        <w:shd w:val="clear" w:color="auto" w:fill="auto"/>
        <w:spacing w:after="160" w:line="185" w:lineRule="auto"/>
        <w:ind w:firstLine="180"/>
      </w:pPr>
      <w:r>
        <w:t>Předneseno v rozhlase 4. 6. 1939</w:t>
      </w:r>
    </w:p>
    <w:p w:rsidR="00500724" w:rsidRDefault="00F30FB8">
      <w:pPr>
        <w:pStyle w:val="Zkladntext40"/>
        <w:shd w:val="clear" w:color="auto" w:fill="auto"/>
        <w:spacing w:after="100" w:line="185" w:lineRule="auto"/>
      </w:pPr>
      <w:r>
        <w:t>A. M. P</w:t>
      </w:r>
      <w:r>
        <w:t xml:space="preserve"> íš a:</w:t>
      </w:r>
    </w:p>
    <w:p w:rsidR="00500724" w:rsidRDefault="00F30FB8">
      <w:pPr>
        <w:pStyle w:val="Zkladntext40"/>
        <w:shd w:val="clear" w:color="auto" w:fill="auto"/>
        <w:spacing w:after="120" w:line="233" w:lineRule="auto"/>
        <w:jc w:val="center"/>
      </w:pPr>
      <w:r>
        <w:t>NOVÍ SVAZEK ROMAINSOVA</w:t>
      </w:r>
      <w:r>
        <w:br/>
        <w:t>CYKLU.</w:t>
      </w:r>
    </w:p>
    <w:p w:rsidR="00500724" w:rsidRDefault="00F30FB8">
      <w:pPr>
        <w:pStyle w:val="Zkladntext40"/>
        <w:shd w:val="clear" w:color="auto" w:fill="auto"/>
        <w:spacing w:after="0" w:line="185" w:lineRule="auto"/>
        <w:ind w:firstLine="180"/>
      </w:pPr>
      <w:r>
        <w:t>Nedávno vyšel česky, v Zaorálko- vě překladu, další, devátý svazek jeho mohutného román, cyklu ..L i- dé dobré vůl e“. který je Ja</w:t>
      </w:r>
      <w:r>
        <w:softHyphen/>
        <w:t>kousi románovou encyklopedií předválečné Paříže a Francie: již svým názvem „M raky na ob</w:t>
      </w:r>
      <w:r>
        <w:softHyphen/>
        <w:t>zoru" (nákl. Fr. Borového, stran 328. za 25 K) prozrazuje ten svazek dobové ovzduší svých výjevů i svůj vůdčí motiv. Odehrávajíc se jeho příběhy a scény od podzimu roku 1910, tedy v době ještě dosti vzdá</w:t>
      </w:r>
      <w:r>
        <w:softHyphen/>
        <w:t>lené od vzniku světové války, jejíž předtuchy tu ji</w:t>
      </w:r>
      <w:r>
        <w:t>ž nicméně straší v mysli téměř všech postav a je</w:t>
      </w:r>
      <w:r>
        <w:softHyphen/>
        <w:t>jíž příprava — nebo ještě spiše snaha o její odvrácení — spolu- určuje jejich konání. Vskutku lze říci. že běží již o dobu těhotnou příštím válečným konfliktem, jehož předhistorie se tu zároveň prolíná se so</w:t>
      </w:r>
      <w:r>
        <w:t>ciálním kvasem tehdejší Fran</w:t>
      </w:r>
      <w:r>
        <w:softHyphen/>
        <w:t>cie. Jeť to také doba. kdy minis</w:t>
      </w:r>
      <w:r>
        <w:softHyphen/>
        <w:t>terský předseda Briand. někdejší socialista, velmi rázně, s použitím mimořádných opatření, potlačil syndikalistický pokus o generální stávku francouzských železničářů.</w:t>
      </w:r>
    </w:p>
    <w:p w:rsidR="00500724" w:rsidRDefault="00F30FB8">
      <w:pPr>
        <w:pStyle w:val="Zkladntext40"/>
        <w:shd w:val="clear" w:color="auto" w:fill="auto"/>
        <w:spacing w:after="0" w:line="185" w:lineRule="auto"/>
        <w:ind w:firstLine="180"/>
      </w:pPr>
      <w:r>
        <w:t xml:space="preserve">I tím je podstatně určena </w:t>
      </w:r>
      <w:r>
        <w:t>téma</w:t>
      </w:r>
      <w:r>
        <w:softHyphen/>
        <w:t>tika tohoto svazu, jenž se příznačně počíná i končí pohledem na severní pařížskou čtvrt, průmyslovou a děl</w:t>
      </w:r>
      <w:r>
        <w:softHyphen/>
        <w:t>nickou : Romains tu znova osvědču</w:t>
      </w:r>
      <w:r>
        <w:softHyphen/>
        <w:t>je své unamistícky školené umění, s nímž zná pojmout a znázornit město nebo jeho čtvrt jako hro</w:t>
      </w:r>
      <w:r>
        <w:softHyphen/>
        <w:t>madnou živoucí</w:t>
      </w:r>
      <w:r>
        <w:t xml:space="preserve"> bytost. Ale čím nadto a především tento svazek zaujme, je vskutku vzácně pravdi</w:t>
      </w:r>
      <w:r>
        <w:softHyphen/>
        <w:t>vý, prohloubený, odstíněný, veške</w:t>
      </w:r>
      <w:r>
        <w:softHyphen/>
        <w:t>ré apriorní tendence prostý způsob, jakým umí osvětlit typickou po</w:t>
      </w:r>
      <w:r>
        <w:softHyphen/>
        <w:t>vahu tehdejšího francouzského děl</w:t>
      </w:r>
      <w:r>
        <w:softHyphen/>
        <w:t>níka v postavě mladého kovodělní</w:t>
      </w:r>
      <w:r>
        <w:softHyphen/>
        <w:t>ka Mail</w:t>
      </w:r>
      <w:r>
        <w:t>lecottina. Nejenže znalecky znázorňuje jeho práci u soustruhu, ale pronikavě také zachycuje jeho smýšleni a cítění, svébytně rostou</w:t>
      </w:r>
      <w:r>
        <w:softHyphen/>
        <w:t>cí z dělníkových životních podmí</w:t>
      </w:r>
      <w:r>
        <w:softHyphen/>
        <w:t>nek a zkušeností: osvětluje takto jeho vztah k životu i lidem, k spo</w:t>
      </w:r>
      <w:r>
        <w:softHyphen/>
        <w:t xml:space="preserve">lečenskému pořádku, k </w:t>
      </w:r>
      <w:r>
        <w:t>zaměstna</w:t>
      </w:r>
      <w:r>
        <w:softHyphen/>
        <w:t>vateli, k sériové výrobě, tehdy no</w:t>
      </w:r>
      <w:r>
        <w:softHyphen/>
        <w:t>vé. jeho přelidské tužby i mravní zásady. Vedle těchto partií, v nichž se psycholog pojí se sociologem a jímž nesnadno nalézti rovných, ne</w:t>
      </w:r>
      <w:r>
        <w:softHyphen/>
        <w:t>méně zaujmou scény, jímž vévodí postava Briandova, posléze jen o vlas uni</w:t>
      </w:r>
      <w:r>
        <w:t>kajícího v parlamentě aten</w:t>
      </w:r>
      <w:r>
        <w:softHyphen/>
        <w:t>tátu. Ať ho zachycuje v úvahové samomluvě, v níž energický státník zkouší a prozíravě překonává poku</w:t>
      </w:r>
      <w:r>
        <w:softHyphen/>
        <w:t>šení samovlády, anebo ve hře, kte</w:t>
      </w:r>
      <w:r>
        <w:softHyphen/>
        <w:t>rou 3vádí s ctižádostivým oposičním parlamentníkem — je to na důkaz autorova mistrovští v indi</w:t>
      </w:r>
      <w:r>
        <w:t>viduální psychologii nevšedně jemný, bystrý a důvěrný portrét politika, v jehož originelní bytosti se pojí chytrost a skepse, temperament a flegma- tičnost, činorodost a spolu cos jako resignace.</w:t>
      </w:r>
    </w:p>
    <w:p w:rsidR="00500724" w:rsidRDefault="00F30FB8">
      <w:pPr>
        <w:pStyle w:val="Zkladntext40"/>
        <w:shd w:val="clear" w:color="auto" w:fill="auto"/>
        <w:spacing w:after="140" w:line="185" w:lineRule="auto"/>
        <w:ind w:firstLine="180"/>
      </w:pPr>
      <w:r>
        <w:t>Politické zákulisí prostupuje se tu s diplomatickým a jejich</w:t>
      </w:r>
      <w:r>
        <w:t xml:space="preserve"> děni se zase splétá se zájmy a intrikami obchodu, průmyslu, vysoké finance v složitou a spolu skrytou hru. nad níž už visí. ale z níž zároveň i stou</w:t>
      </w:r>
      <w:r>
        <w:softHyphen/>
        <w:t>pají ty válečné ..mraky na obzoru". Jejich stín 3e klade i v úvahy mla</w:t>
      </w:r>
      <w:r>
        <w:softHyphen/>
        <w:t>dé studentské dvojice, kdežto mi</w:t>
      </w:r>
      <w:r>
        <w:softHyphen/>
        <w:t>lo</w:t>
      </w:r>
      <w:r>
        <w:t xml:space="preserve">stný prvek jest jen episodicky zastoupen hlavně rozpaky mladé učitelky Cazalisové mezi dvěma ná- padn </w:t>
      </w:r>
      <w:r>
        <w:rPr>
          <w:lang w:val="en-US" w:eastAsia="en-US" w:bidi="en-US"/>
        </w:rPr>
        <w:t xml:space="preserve">Iky </w:t>
      </w:r>
      <w:r>
        <w:t>a pikantním přítmím skan</w:t>
      </w:r>
      <w:r>
        <w:softHyphen/>
        <w:t>dálu, jimž by se málem kompromi</w:t>
      </w:r>
      <w:r>
        <w:softHyphen/>
        <w:t>toval abbé Mionnet, vyslaný k ob</w:t>
      </w:r>
      <w:r>
        <w:softHyphen/>
        <w:t>nově pořádku ve venkovské diecési. O napínavost, jež má vzpr</w:t>
      </w:r>
      <w:r>
        <w:t>užit čte</w:t>
      </w:r>
      <w:r>
        <w:softHyphen/>
        <w:t>nářův zájem nad skladbou, která těká od postavy k postavě, se ten</w:t>
      </w:r>
      <w:r>
        <w:softHyphen/>
        <w:t>tokrát autor postaral tajuplným příběhem, v němž se učitel Lau- lerque, romantický stoupenec „pří</w:t>
      </w:r>
      <w:r>
        <w:softHyphen/>
        <w:t>mé akce" ve službách pacifismu, zdá být až příliš naivně nevědo</w:t>
      </w:r>
      <w:r>
        <w:softHyphen/>
        <w:t>mým nástrojem špion</w:t>
      </w:r>
      <w:r>
        <w:t>ážního spik</w:t>
      </w:r>
      <w:r>
        <w:softHyphen/>
        <w:t>nutí, maskovaného mírumilovným úsilím. Národní práce, 2. 8. 1939</w:t>
      </w:r>
    </w:p>
    <w:p w:rsidR="00500724" w:rsidRDefault="00F30FB8">
      <w:pPr>
        <w:pStyle w:val="Zkladntext40"/>
        <w:shd w:val="clear" w:color="auto" w:fill="auto"/>
        <w:spacing w:after="40" w:line="259" w:lineRule="auto"/>
        <w:jc w:val="center"/>
        <w:rPr>
          <w:sz w:val="14"/>
          <w:szCs w:val="14"/>
        </w:rPr>
      </w:pPr>
      <w:r>
        <w:rPr>
          <w:b/>
          <w:bCs/>
          <w:sz w:val="14"/>
          <w:szCs w:val="14"/>
        </w:rPr>
        <w:t>CHVlLE S BÁSNÍKEM.</w:t>
      </w:r>
    </w:p>
    <w:p w:rsidR="00500724" w:rsidRDefault="00F30FB8">
      <w:pPr>
        <w:pStyle w:val="Zkladntext40"/>
        <w:shd w:val="clear" w:color="auto" w:fill="auto"/>
        <w:spacing w:after="0" w:line="240" w:lineRule="auto"/>
        <w:ind w:firstLine="160"/>
      </w:pPr>
      <w:r>
        <w:t xml:space="preserve">Bylo už nesčíslněkráte pověděno, jak chvíle, ztrávená s opravdovým básníkem v nás dlouho doznívá ozvěnou okouzlení a očarování, jak se v nás prodlužuje onen </w:t>
      </w:r>
      <w:r>
        <w:t>úžas z poesie, z krásy, slova, která tu cítíme nejen jako význam, nýbrž i jako melodii, zvuk. náznak a na</w:t>
      </w:r>
      <w:r>
        <w:softHyphen/>
        <w:t>povědění kouzelného gesta, za nímž následuje zjevení krásy, jako alchy</w:t>
      </w:r>
      <w:r>
        <w:softHyphen/>
        <w:t>mistický prvek, nad kterým nutno bdít celé noci a mísit jej nekonečně znovu a z</w:t>
      </w:r>
      <w:r>
        <w:t>novu š jinými, aby koneč</w:t>
      </w:r>
      <w:r>
        <w:softHyphen/>
        <w:t>ně vydal své tajemství v podobě vzácného kovu. Poesie není však jen okouzlení, snové a vytržené putování do země pohádek, není to jen útěk ze skutečnosti k řece za</w:t>
      </w:r>
      <w:r>
        <w:softHyphen/>
        <w:t>pomnění. do vzdáleného království vzpomínky, do ztraceného ráje dět</w:t>
      </w:r>
      <w:r>
        <w:softHyphen/>
        <w:t>ství, není to hrad se slonovou věží. jež básníka v ní přebývajícího od</w:t>
      </w:r>
      <w:r>
        <w:softHyphen/>
        <w:t>děluje od hluku světa, země, od člověka, nýbrž je to právě nej</w:t>
      </w:r>
      <w:r>
        <w:softHyphen/>
        <w:t>častěji sama země. člověk a Bvět. je to krása těchto květů. které vi</w:t>
      </w:r>
      <w:r>
        <w:softHyphen/>
        <w:t>díme kolem sebe. je to bolest i úz</w:t>
      </w:r>
      <w:r>
        <w:softHyphen/>
        <w:t>kost i naděje toh</w:t>
      </w:r>
      <w:r>
        <w:t>oto světa viditel</w:t>
      </w:r>
      <w:r>
        <w:softHyphen/>
        <w:t>ného, skrze který jedině vnímáme a chápeme tajemství věcí nevidi</w:t>
      </w:r>
      <w:r>
        <w:softHyphen/>
        <w:t>telných a nepochopitelných. Snad ani nejabstraktnější básník, byl-li skutečně básníkem o zákonech své</w:t>
      </w:r>
      <w:r>
        <w:softHyphen/>
        <w:t>ho vidění i když se o něm tisíc</w:t>
      </w:r>
      <w:r>
        <w:softHyphen/>
        <w:t>krát tvrdilo nebo tvrdí, že usiloval je</w:t>
      </w:r>
      <w:r>
        <w:t>dině zachytit! nezachytitelné a spatřit! neviditelné, že básnil jen prchavé chvíle urvané proudu času v bludišti nepochopitelného, imagi</w:t>
      </w:r>
      <w:r>
        <w:softHyphen/>
        <w:t>nárního a snového světa — se ne</w:t>
      </w:r>
      <w:r>
        <w:softHyphen/>
        <w:t xml:space="preserve">zpronevěřil skutečnosti, zemi. a člověku. Jako by věděl, že by nikdy nepochopil krásu, </w:t>
      </w:r>
      <w:r>
        <w:t>lehkost a vzduš- nost blankytu, tajemství nebes a čaromoc hvězdných nocí i vábení věčnosti, kdyby nestál pevně na zemi, kdyby se nezamyslil nad je</w:t>
      </w:r>
      <w:r>
        <w:softHyphen/>
        <w:t>jím tajemstvím, tváří v tvář čas</w:t>
      </w:r>
      <w:r>
        <w:softHyphen/>
        <w:t>nosti. a nedotázal se v prvé řadě. proč příroda s takovou zákonitostí opakuj</w:t>
      </w:r>
      <w:r>
        <w:t>e v tentýž čas jara, léta. podzimu, stejný, a přece na konec jiný květ pomněnky, růže nebo ocúnu. Prostě nezůstával lhostejný k tomu. co se okolo něho děje. ne</w:t>
      </w:r>
      <w:r>
        <w:softHyphen/>
        <w:t>byl hluchý k bolestem doby a člo</w:t>
      </w:r>
      <w:r>
        <w:softHyphen/>
        <w:t>věka, i když se tak zdálo, nebot z nich zachytil a ztělesnil to</w:t>
      </w:r>
      <w:r>
        <w:t xml:space="preserve"> nej</w:t>
      </w:r>
      <w:r>
        <w:softHyphen/>
        <w:t>podstatnější. nejtrýznivější, nej</w:t>
      </w:r>
      <w:r>
        <w:softHyphen/>
        <w:t>hlubší a snad právě proto nejne</w:t>
      </w:r>
      <w:r>
        <w:softHyphen/>
        <w:t>vyslovitelnější a nejnepochopitel</w:t>
      </w:r>
      <w:r>
        <w:softHyphen/>
        <w:t>nější. Markantním dokladem tako</w:t>
      </w:r>
      <w:r>
        <w:softHyphen/>
        <w:t>vého poměru básníka ke skuteč</w:t>
      </w:r>
      <w:r>
        <w:softHyphen/>
        <w:t>nosti a k údělu člověka jeho času je nová básnická sbírka Vladimíra Holana, Sen. O Vladim</w:t>
      </w:r>
      <w:r>
        <w:t>íru Hola- novi bylo kritikou nesčíslněkrát pověděno, že je básníkem odtaži- tým. abstraktním, nesrozumitel</w:t>
      </w:r>
      <w:r>
        <w:softHyphen/>
        <w:t>ným. Jeho obsáhlá báseň Sen, tvořící nejnovější svazek edice Čes</w:t>
      </w:r>
      <w:r>
        <w:softHyphen/>
        <w:t>kých básní, však vyvrací a na hlavu přímo potírá všecky takové charakteristiky. Kdyb</w:t>
      </w:r>
      <w:r>
        <w:t>y se to slovo ..časová“ nevzpíralo tak slovu „poesie“, dalo by se o Holanově sbírce říci nejpřípadněji „časová</w:t>
      </w:r>
    </w:p>
    <w:p w:rsidR="00500724" w:rsidRDefault="00F30FB8">
      <w:pPr>
        <w:pStyle w:val="Zkladntext40"/>
        <w:shd w:val="clear" w:color="auto" w:fill="auto"/>
        <w:spacing w:after="100" w:line="240" w:lineRule="auto"/>
        <w:ind w:firstLine="160"/>
      </w:pPr>
      <w:r>
        <w:t>poesie".</w:t>
      </w:r>
    </w:p>
    <w:p w:rsidR="00500724" w:rsidRDefault="00F30FB8">
      <w:pPr>
        <w:pStyle w:val="Zkladntext40"/>
        <w:shd w:val="clear" w:color="auto" w:fill="auto"/>
        <w:spacing w:after="0" w:line="202" w:lineRule="auto"/>
        <w:ind w:firstLine="160"/>
      </w:pPr>
      <w:r>
        <w:t>Tftl NOVINKY U TOPIČŮ. První novinkou je Smetana ve zpomínkách a dopisech od Františka Bartoše, autora knihy W. A. Mozart v dopisech. Sm</w:t>
      </w:r>
      <w:r>
        <w:t>etana ve vzpomínkách a dopisech je dílo. které ztělesňuje vývoj, život a ne</w:t>
      </w:r>
      <w:r>
        <w:softHyphen/>
        <w:t>smírnou tragiku osudu tohoto veli</w:t>
      </w:r>
      <w:r>
        <w:softHyphen/>
        <w:t>kého člověka, jehož umění a poslá</w:t>
      </w:r>
      <w:r>
        <w:softHyphen/>
        <w:t>ní tohoto umění snad nebyl národ nikdy ochotnější chápat než dnes. Melodické zpracování Bartošovo vy</w:t>
      </w:r>
      <w:r>
        <w:softHyphen/>
        <w:t>tváří živou</w:t>
      </w:r>
      <w:r>
        <w:t>cí obraz Smetanův a vrhá mnohé světlo z úryvků de</w:t>
      </w:r>
      <w:r>
        <w:softHyphen/>
        <w:t>níků, dopisů a poznámek. Dílo je v každém směru cenným oboha</w:t>
      </w:r>
      <w:r>
        <w:softHyphen/>
        <w:t>cením naší literatury. 248 stran, 32 K. Tato Bartošova kniha je krásným protějškem Sourkovy knihy Dvořák ve vzpomínkách a dopisech, jejíž třetí v</w:t>
      </w:r>
      <w:r>
        <w:t>ydání vy</w:t>
      </w:r>
      <w:r>
        <w:softHyphen/>
        <w:t>chází současně. První vydání vy</w:t>
      </w:r>
      <w:r>
        <w:softHyphen/>
        <w:t>šlo právě před rokem. Kniha má 216 stran, 30 K. Obě tyto knihy jsou vypraveny a vyzdobeny pů</w:t>
      </w:r>
      <w:r>
        <w:softHyphen/>
        <w:t>vodními dřevoryty Cyrila Boudy. Druhou novinkou je 48. svazek se</w:t>
      </w:r>
      <w:r>
        <w:softHyphen/>
        <w:t>braných spisů Ignáta Herrmanna: Z poslední galerie, di</w:t>
      </w:r>
      <w:r>
        <w:softHyphen/>
        <w:t>va</w:t>
      </w:r>
      <w:r>
        <w:t>delní referáty Vavřince Lebedy, „krytýgra přes divadlo“, které kdysi vycházely ve „Švandovi du</w:t>
      </w:r>
      <w:r>
        <w:softHyphen/>
        <w:t>dákovi" a po jejichž knižním vydá</w:t>
      </w:r>
      <w:r>
        <w:softHyphen/>
        <w:t>ní bylo již často voláno. V humor</w:t>
      </w:r>
      <w:r>
        <w:softHyphen/>
        <w:t>ných kapitolách ožívají postavy na</w:t>
      </w:r>
      <w:r>
        <w:softHyphen/>
        <w:t>šich herců z let 1880 až 1890 a tak je kniha s kulturně-hi</w:t>
      </w:r>
      <w:r>
        <w:t>storického hlediska zajímavým dokladem o čes</w:t>
      </w:r>
      <w:r>
        <w:softHyphen/>
        <w:t>kém životě divadelním oněch let. Kniha má 418 stran a stojí brožo</w:t>
      </w:r>
      <w:r>
        <w:softHyphen/>
        <w:t>vaná 35 K. Pro mládež byly vydá</w:t>
      </w:r>
      <w:r>
        <w:softHyphen/>
        <w:t>ny redakcí profesora Ferdinanda Strejčka „Dvě pohádky o práci“ od Svatopluka Čecha: jejieh ušlechtilý básnický ob</w:t>
      </w:r>
      <w:r>
        <w:t>sah má pro naši mlá</w:t>
      </w:r>
      <w:r>
        <w:softHyphen/>
        <w:t>dež význam výchovný. Vyšla ja</w:t>
      </w:r>
      <w:r>
        <w:softHyphen/>
        <w:t>ko 96. svazek Sbírky souvislé škol</w:t>
      </w:r>
      <w:r>
        <w:softHyphen/>
        <w:t>ní četby za K 5.50 a mimo to vyšla jako samostatná dětská knížka ve</w:t>
      </w:r>
    </w:p>
    <w:p w:rsidR="00500724" w:rsidRDefault="00F30FB8">
      <w:pPr>
        <w:pStyle w:val="Zkladntext40"/>
        <w:shd w:val="clear" w:color="auto" w:fill="auto"/>
        <w:spacing w:after="100" w:line="202" w:lineRule="auto"/>
      </w:pPr>
      <w:r>
        <w:t>vkusné obálce.</w:t>
      </w:r>
    </w:p>
    <w:p w:rsidR="00500724" w:rsidRDefault="00F30FB8">
      <w:pPr>
        <w:pStyle w:val="Zkladntext40"/>
        <w:shd w:val="clear" w:color="auto" w:fill="auto"/>
        <w:spacing w:after="100" w:line="204" w:lineRule="auto"/>
        <w:ind w:firstLine="160"/>
      </w:pPr>
      <w:r>
        <w:t>BELGICKÝ KRITIK O NAŠEM MODERNÍM DIVADLE. Antverp- ský týdeník Elckerlyc přinesl v kultu</w:t>
      </w:r>
      <w:r>
        <w:t>rní části svých čišel z první poloviny dubna pozoruhodnou studii o českém moderním dra</w:t>
      </w:r>
      <w:r>
        <w:softHyphen/>
        <w:t>matě a divadle poválečném. Auto</w:t>
      </w:r>
      <w:r>
        <w:softHyphen/>
        <w:t>rem jejím je zasloužilý a oddaný propagátor české literatury a kul</w:t>
      </w:r>
      <w:r>
        <w:softHyphen/>
        <w:t>tury v Belgii, kritik L. Landsmann. který tu zasvěceně a obeznale se</w:t>
      </w:r>
      <w:r>
        <w:softHyphen/>
        <w:t>z</w:t>
      </w:r>
      <w:r>
        <w:t>namuje Belgičany s českou pová</w:t>
      </w:r>
      <w:r>
        <w:softHyphen/>
        <w:t>lečnou scénou ve výstižné zkratce. Studie Landsmannova přibližuje současné Belgii vynikající české dramatické spisovatele, počínajíc Viktorem Dykem a Arnoštem Dvo</w:t>
      </w:r>
      <w:r>
        <w:softHyphen/>
        <w:t xml:space="preserve">řákem a končíc Blatným </w:t>
      </w:r>
      <w:r>
        <w:rPr>
          <w:lang w:val="en-US" w:eastAsia="en-US" w:bidi="en-US"/>
        </w:rPr>
        <w:t xml:space="preserve">a </w:t>
      </w:r>
      <w:r>
        <w:t>V. Vernerem, s vynikajícími režiséry,</w:t>
      </w:r>
      <w:r>
        <w:t xml:space="preserve"> počínajíc Kvapilem a Hilarem a experimentujícím Honzlem a prů</w:t>
      </w:r>
      <w:r>
        <w:softHyphen/>
        <w:t>kopnickým E. F. Burianem končíc. Studie L. Landsmanna, výstižně na</w:t>
      </w:r>
      <w:r>
        <w:softHyphen/>
        <w:t>zvaná O poválečné české scéně s ptačí perspektivy, je dobrým pří</w:t>
      </w:r>
      <w:r>
        <w:softHyphen/>
        <w:t>spěvkem k prohloubení kulturních styků česko-belgických.</w:t>
      </w:r>
    </w:p>
    <w:p w:rsidR="00500724" w:rsidRDefault="00F30FB8">
      <w:pPr>
        <w:pStyle w:val="Zkladntext40"/>
        <w:shd w:val="clear" w:color="auto" w:fill="auto"/>
        <w:spacing w:after="100" w:line="197" w:lineRule="auto"/>
        <w:ind w:firstLine="160"/>
      </w:pPr>
      <w:r>
        <w:t xml:space="preserve">Fr. </w:t>
      </w:r>
      <w:r>
        <w:t>Roman Jirman: SMYSL ČES</w:t>
      </w:r>
      <w:r>
        <w:softHyphen/>
        <w:t>KÉHO NACIONALISMU. Vyšlo v Edici Aspasia, nákladem Bohu</w:t>
      </w:r>
      <w:r>
        <w:softHyphen/>
        <w:t>slavy Heranové, Praha. Bibliofilské vydání s kresbou Jana Konůpka. K 9.—.</w:t>
      </w:r>
    </w:p>
    <w:p w:rsidR="00500724" w:rsidRDefault="00F30FB8">
      <w:pPr>
        <w:pStyle w:val="Zkladntext40"/>
        <w:shd w:val="clear" w:color="auto" w:fill="auto"/>
        <w:spacing w:after="140" w:line="204" w:lineRule="auto"/>
        <w:ind w:firstLine="160"/>
      </w:pPr>
      <w:r>
        <w:t>Se smrtí za zády. Nakladatelství „Orbis“ (Praha XII.). vydalo pa</w:t>
      </w:r>
      <w:r>
        <w:softHyphen/>
        <w:t>měti kapitána Johna D. Craiga: NE</w:t>
      </w:r>
      <w:r>
        <w:softHyphen/>
        <w:t>BEZ</w:t>
      </w:r>
      <w:r>
        <w:t>PEČÍ JE MÝM ŽIVLEM. Ob</w:t>
      </w:r>
      <w:r>
        <w:softHyphen/>
        <w:t>sahuje životní příběhy člověka, je</w:t>
      </w:r>
      <w:r>
        <w:softHyphen/>
        <w:t xml:space="preserve">hož zaměstnáním je hra se smrtí. Tygři, žraloci, lovci velryb, ďábelští lidé.... to jsou stránky, na nichž je promítnut život nad mořem i pod mořem. </w:t>
      </w:r>
      <w:r>
        <w:rPr>
          <w:lang w:val="en-US" w:eastAsia="en-US" w:bidi="en-US"/>
        </w:rPr>
        <w:t xml:space="preserve">Craig </w:t>
      </w:r>
      <w:r>
        <w:t>narodil se v do</w:t>
      </w:r>
      <w:r>
        <w:softHyphen/>
        <w:t xml:space="preserve">bě objevitelské horečky, v </w:t>
      </w:r>
      <w:r>
        <w:t>době. kdy cesty za neznámými dálkami a nebezpečím lákaly kde koho. Rozhodl se pro oblast, která byla nejméně prozkoumána — pro hlu</w:t>
      </w:r>
      <w:r>
        <w:softHyphen/>
        <w:t>biny oceánu. Procestoval 35 zemi, byl zajat a vězněn Riffy. V srdci Indie střílel vysokou, až obdivu</w:t>
      </w:r>
      <w:r>
        <w:softHyphen/>
        <w:t>hodný pokus s tygrem, kt</w:t>
      </w:r>
      <w:r>
        <w:t>erý, po</w:t>
      </w:r>
      <w:r>
        <w:softHyphen/>
        <w:t>znamenáváme, byl gentleman, dal mu příležitost zachytit výstřel ka</w:t>
      </w:r>
      <w:r>
        <w:softHyphen/>
        <w:t>merou. Vrátiv se do Ameriky, při</w:t>
      </w:r>
      <w:r>
        <w:softHyphen/>
        <w:t>šel do Hollywoodu a uzavřel smlou</w:t>
      </w:r>
      <w:r>
        <w:softHyphen/>
        <w:t>vu, z níž později vznikla Craig- Crew, složená z kameramanů, tech</w:t>
      </w:r>
      <w:r>
        <w:softHyphen/>
        <w:t>niků a potápěčů. Craig-Crew nato</w:t>
      </w:r>
      <w:r>
        <w:softHyphen/>
        <w:t>čil svá dobrodr</w:t>
      </w:r>
      <w:r>
        <w:t>užství v Africe, na Aljašce, v Indii, Jižní Kalifornii a mnohá z nich se později objevila v Trader-Hornu a v mnohých ji</w:t>
      </w:r>
      <w:r>
        <w:softHyphen/>
        <w:t>ných filmech. NEBEZPEČÍ JE MÝM ŽIVLEM vypravuje o člověku, kterému nebezpečí je prostřední</w:t>
      </w:r>
      <w:r>
        <w:softHyphen/>
        <w:t>kem v práci, o člověku, který je doma mezi ko</w:t>
      </w:r>
      <w:r>
        <w:t>rálovými útesy, na dně moře nebo v houštinách džung</w:t>
      </w:r>
      <w:r>
        <w:softHyphen/>
        <w:t>le, jako ve svém domově. Tyto sen</w:t>
      </w:r>
      <w:r>
        <w:softHyphen/>
        <w:t>sační paměti přečtete jedním de</w:t>
      </w:r>
      <w:r>
        <w:softHyphen/>
        <w:t>chem. Brož. jsou za K 35.—, váz. K 45.—. Četba pro léto. jako stvo</w:t>
      </w:r>
      <w:r>
        <w:softHyphen/>
        <w:t>řená.</w:t>
      </w:r>
    </w:p>
    <w:p w:rsidR="00500724" w:rsidRDefault="00F30FB8">
      <w:pPr>
        <w:pStyle w:val="Zkladntext40"/>
        <w:shd w:val="clear" w:color="auto" w:fill="auto"/>
        <w:spacing w:after="140" w:line="204" w:lineRule="auto"/>
        <w:ind w:firstLine="160"/>
      </w:pPr>
      <w:r>
        <w:t>Slavná kniha Pani de Kruifa: LOVCI MIKROBŮ vychází v témže naklad</w:t>
      </w:r>
      <w:r>
        <w:t>atelství již v VII. vydání. Dvanáct kapitol této knihy je dva</w:t>
      </w:r>
      <w:r>
        <w:softHyphen/>
        <w:t xml:space="preserve">náct nejpoutavějších hrdinských románů. Moderní rytíře křížových výprav proti mikrobům kreslí Kruif </w:t>
      </w:r>
      <w:r>
        <w:rPr>
          <w:b/>
          <w:bCs/>
          <w:sz w:val="14"/>
          <w:szCs w:val="14"/>
        </w:rPr>
        <w:t xml:space="preserve">s </w:t>
      </w:r>
      <w:r>
        <w:t>uměním, které nemá hned tak přikladu. Brož. K 45.—, váz. K 55.—.</w:t>
      </w:r>
    </w:p>
    <w:p w:rsidR="00500724" w:rsidRDefault="00F30FB8">
      <w:pPr>
        <w:pStyle w:val="Zkladntext40"/>
        <w:shd w:val="clear" w:color="auto" w:fill="auto"/>
        <w:spacing w:after="140" w:line="204" w:lineRule="auto"/>
        <w:ind w:firstLine="160"/>
      </w:pPr>
      <w:r>
        <w:t xml:space="preserve">Zlín letním střediskem. </w:t>
      </w:r>
      <w:r>
        <w:t>Rostoucí příliv hostí do Zlína dokazuje, že Zlín se stává stále více přitažlivěj</w:t>
      </w:r>
      <w:r>
        <w:softHyphen/>
        <w:t>ším pro letní pobyt. Do Zlína při</w:t>
      </w:r>
      <w:r>
        <w:softHyphen/>
        <w:t>jíždí tisíce turistů a letních hosti, kteři oceňují jeho krásnou polohu uprostřed lesů, jeho rušný, ale při tom nehlučný průmyslový život, vý</w:t>
      </w:r>
      <w:r>
        <w:softHyphen/>
        <w:t>stavnost a společenské příležitosti. Mnoho hostí při svých návštěvách shledalo, že Zlín má mnoho podmí</w:t>
      </w:r>
      <w:r>
        <w:softHyphen/>
        <w:t>nek také pro delší pobyt v létě. Je to krásné okolí, několik koupališť, dobrá strava, veškeré pohodlí a ve</w:t>
      </w:r>
      <w:r>
        <w:softHyphen/>
        <w:t>čer možnosti rozptýlení a zábavy. Zlín má mno</w:t>
      </w:r>
      <w:r>
        <w:t>ho předností velko</w:t>
      </w:r>
      <w:r>
        <w:softHyphen/>
        <w:t>města a naproti tomu chybí mu jeho nepříjemné stránky. Letos při</w:t>
      </w:r>
      <w:r>
        <w:softHyphen/>
        <w:t>jelo tisíce hostí prohlédnout si nej</w:t>
      </w:r>
      <w:r>
        <w:softHyphen/>
        <w:t>větší podnik českého výtvarného umění Zlínský salon a výstavu Krása práce, k jejiž návštěvě po</w:t>
      </w:r>
      <w:r>
        <w:softHyphen/>
        <w:t>užívají 33procentni slevy na železni</w:t>
      </w:r>
      <w:r>
        <w:softHyphen/>
        <w:t>cíc</w:t>
      </w:r>
      <w:r>
        <w:t>h. Salon umění potrvá do konce srpna, takže těm, kteří se ještě rozhodují, kam se mají podívat o dovolené, naskýtá se příležitost zajet si na několik dnů do Zlína.</w:t>
      </w:r>
    </w:p>
    <w:p w:rsidR="00500724" w:rsidRDefault="00F30FB8">
      <w:pPr>
        <w:pStyle w:val="Zkladntext40"/>
        <w:shd w:val="clear" w:color="auto" w:fill="auto"/>
        <w:spacing w:after="140" w:line="199" w:lineRule="auto"/>
        <w:ind w:firstLine="160"/>
        <w:sectPr w:rsidR="00500724">
          <w:footnotePr>
            <w:numFmt w:val="chicago"/>
            <w:numRestart w:val="eachPage"/>
          </w:footnotePr>
          <w:type w:val="continuous"/>
          <w:pgSz w:w="11909" w:h="16834"/>
          <w:pgMar w:top="1872" w:right="873" w:bottom="0" w:left="360" w:header="0" w:footer="3" w:gutter="0"/>
          <w:cols w:num="4" w:space="100"/>
          <w:noEndnote/>
          <w:docGrid w:linePitch="360"/>
        </w:sectPr>
      </w:pPr>
      <w:r>
        <w:t>Vyřazení nových absolventů Ba</w:t>
      </w:r>
      <w:r>
        <w:softHyphen/>
        <w:t>ťovy školy práce. Letos budou po</w:t>
      </w:r>
      <w:r>
        <w:t xml:space="preserve"> dvanácté vyřazeni absolventi po</w:t>
      </w:r>
      <w:r>
        <w:softHyphen/>
        <w:t>sledního ročníku Baťovy školy prá</w:t>
      </w:r>
      <w:r>
        <w:softHyphen/>
        <w:t>ce. Čtvrtý ročník opustí ve Zlíně 380 absolventů a 250 absolventek. S nimi překročí počet mladých lidí. které již vychovala Baťova škola práce od roku 1925 číslici pět tisíc. Každým rokem p</w:t>
      </w:r>
      <w:r>
        <w:t>řibývá mladých lidí. kteří prošli výchovou v tomto ústavu a kteří vytvářejí novou ge</w:t>
      </w:r>
      <w:r>
        <w:softHyphen/>
        <w:t>neraci mužů, připravených teore</w:t>
      </w:r>
      <w:r>
        <w:softHyphen/>
        <w:t>ticky i prakticky k zvládnutí vel</w:t>
      </w:r>
      <w:r>
        <w:softHyphen/>
        <w:t xml:space="preserve">kých úkolů v českém hospodářském životě. Vykonávají dnes významné poslání na tisící místech v průmyslu a </w:t>
      </w:r>
      <w:r>
        <w:t>obchodě a to nejen doma. nýbrž doslovně 'také ve všech koutech světa, kam dosahují nitky zlínské služby lidem. Patnáctiletí hoši. při</w:t>
      </w:r>
      <w:r>
        <w:softHyphen/>
        <w:t>šlí ze všech končin země. z měst i venkova se změnili v několika le</w:t>
      </w:r>
      <w:r>
        <w:softHyphen/>
        <w:t>tech výchovy ve škole a denní prá</w:t>
      </w:r>
      <w:r>
        <w:softHyphen/>
        <w:t>ci v dílnách v průmy</w:t>
      </w:r>
      <w:r>
        <w:t>slové obuvní</w:t>
      </w:r>
      <w:r>
        <w:softHyphen/>
        <w:t>ky, gumaře, koželuhy, strojaře, textiláky, punčocháře. prodavače, chemiky atd. Nyní stojí tito mladí lidé nejen na prahu životního po</w:t>
      </w:r>
      <w:r>
        <w:softHyphen/>
        <w:t>volání, ale také na prahu velkých příležitostí, jejichž hranice budou určovat výhradně jen jejich schop</w:t>
      </w:r>
      <w:r>
        <w:softHyphen/>
        <w:t>nosti</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13"/>
        <w:gridCol w:w="4200"/>
      </w:tblGrid>
      <w:tr w:rsidR="00500724">
        <w:tblPrEx>
          <w:tblCellMar>
            <w:top w:w="0" w:type="dxa"/>
            <w:bottom w:w="0" w:type="dxa"/>
          </w:tblCellMar>
        </w:tblPrEx>
        <w:trPr>
          <w:trHeight w:hRule="exact" w:val="874"/>
          <w:jc w:val="center"/>
        </w:trPr>
        <w:tc>
          <w:tcPr>
            <w:tcW w:w="0" w:type="auto"/>
            <w:shd w:val="clear" w:color="auto" w:fill="FFFFFF"/>
          </w:tcPr>
          <w:p w:rsidR="00500724" w:rsidRDefault="00F30FB8">
            <w:pPr>
              <w:pStyle w:val="Jin0"/>
              <w:shd w:val="clear" w:color="auto" w:fill="auto"/>
              <w:ind w:firstLine="0"/>
              <w:jc w:val="left"/>
              <w:rPr>
                <w:sz w:val="52"/>
                <w:szCs w:val="52"/>
              </w:rPr>
            </w:pPr>
            <w:r>
              <w:rPr>
                <w:rFonts w:ascii="Cambria" w:eastAsia="Cambria" w:hAnsi="Cambria" w:cs="Cambria"/>
                <w:sz w:val="52"/>
                <w:szCs w:val="52"/>
              </w:rPr>
              <w:t>Luk a šípy Španělska</w:t>
            </w:r>
          </w:p>
        </w:tc>
        <w:tc>
          <w:tcPr>
            <w:tcW w:w="0" w:type="auto"/>
            <w:shd w:val="clear" w:color="auto" w:fill="FFFFFF"/>
          </w:tcPr>
          <w:p w:rsidR="00500724" w:rsidRDefault="00F30FB8">
            <w:pPr>
              <w:pStyle w:val="Jin0"/>
              <w:shd w:val="clear" w:color="auto" w:fill="auto"/>
              <w:spacing w:before="180"/>
              <w:ind w:firstLine="0"/>
              <w:jc w:val="right"/>
              <w:rPr>
                <w:sz w:val="28"/>
                <w:szCs w:val="28"/>
              </w:rPr>
            </w:pPr>
            <w:r>
              <w:rPr>
                <w:b/>
                <w:bCs/>
                <w:sz w:val="28"/>
                <w:szCs w:val="28"/>
              </w:rPr>
              <w:t>PAVEL HOFMAN</w:t>
            </w:r>
          </w:p>
        </w:tc>
      </w:tr>
      <w:tr w:rsidR="00500724">
        <w:tblPrEx>
          <w:tblCellMar>
            <w:top w:w="0" w:type="dxa"/>
            <w:bottom w:w="0" w:type="dxa"/>
          </w:tblCellMar>
        </w:tblPrEx>
        <w:trPr>
          <w:trHeight w:hRule="exact" w:val="1190"/>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Jak se dělá aféra</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JAN DRDA</w:t>
            </w:r>
          </w:p>
        </w:tc>
      </w:tr>
      <w:tr w:rsidR="00500724">
        <w:tblPrEx>
          <w:tblCellMar>
            <w:top w:w="0" w:type="dxa"/>
            <w:bottom w:w="0" w:type="dxa"/>
          </w:tblCellMar>
        </w:tblPrEx>
        <w:trPr>
          <w:trHeight w:hRule="exact" w:val="1195"/>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Sklizeno</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V. KLUZÁK</w:t>
            </w:r>
          </w:p>
        </w:tc>
      </w:tr>
      <w:tr w:rsidR="00500724">
        <w:tblPrEx>
          <w:tblCellMar>
            <w:top w:w="0" w:type="dxa"/>
            <w:bottom w:w="0" w:type="dxa"/>
          </w:tblCellMar>
        </w:tblPrEx>
        <w:trPr>
          <w:trHeight w:hRule="exact" w:val="1190"/>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Je české umění?</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MIROSLAV MICKO</w:t>
            </w:r>
          </w:p>
        </w:tc>
      </w:tr>
      <w:tr w:rsidR="00500724">
        <w:tblPrEx>
          <w:tblCellMar>
            <w:top w:w="0" w:type="dxa"/>
            <w:bottom w:w="0" w:type="dxa"/>
          </w:tblCellMar>
        </w:tblPrEx>
        <w:trPr>
          <w:trHeight w:hRule="exact" w:val="1195"/>
          <w:jc w:val="center"/>
        </w:trPr>
        <w:tc>
          <w:tcPr>
            <w:tcW w:w="0" w:type="auto"/>
            <w:gridSpan w:val="2"/>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Naše lázně</w:t>
            </w:r>
          </w:p>
        </w:tc>
      </w:tr>
      <w:tr w:rsidR="00500724">
        <w:tblPrEx>
          <w:tblCellMar>
            <w:top w:w="0" w:type="dxa"/>
            <w:bottom w:w="0" w:type="dxa"/>
          </w:tblCellMar>
        </w:tblPrEx>
        <w:trPr>
          <w:trHeight w:hRule="exact" w:val="1258"/>
          <w:jc w:val="center"/>
        </w:trPr>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Bílá válka</w:t>
            </w:r>
          </w:p>
        </w:tc>
        <w:tc>
          <w:tcPr>
            <w:tcW w:w="0" w:type="auto"/>
            <w:tcBorders>
              <w:top w:val="single" w:sz="4" w:space="0" w:color="auto"/>
              <w:bottom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V. STRNAD</w:t>
            </w:r>
          </w:p>
        </w:tc>
      </w:tr>
    </w:tbl>
    <w:p w:rsidR="00500724" w:rsidRDefault="00500724">
      <w:pPr>
        <w:spacing w:after="386" w:line="14" w:lineRule="exact"/>
      </w:pPr>
    </w:p>
    <w:p w:rsidR="00500724" w:rsidRDefault="00F30FB8">
      <w:pPr>
        <w:pStyle w:val="Jin0"/>
        <w:shd w:val="clear" w:color="auto" w:fill="auto"/>
        <w:spacing w:line="317" w:lineRule="auto"/>
        <w:ind w:firstLine="0"/>
        <w:jc w:val="center"/>
        <w:rPr>
          <w:sz w:val="28"/>
          <w:szCs w:val="28"/>
        </w:rPr>
        <w:sectPr w:rsidR="00500724">
          <w:footnotePr>
            <w:numFmt w:val="chicago"/>
            <w:numRestart w:val="eachPage"/>
          </w:footnotePr>
          <w:pgSz w:w="11909" w:h="16834"/>
          <w:pgMar w:top="1061" w:right="432" w:bottom="919" w:left="547" w:header="0" w:footer="3" w:gutter="0"/>
          <w:cols w:space="720"/>
          <w:noEndnote/>
          <w:docGrid w:linePitch="360"/>
        </w:sectPr>
      </w:pPr>
      <w:r>
        <w:rPr>
          <w:b/>
          <w:bCs/>
          <w:sz w:val="28"/>
          <w:szCs w:val="28"/>
        </w:rPr>
        <w:t>Týdenní přehled — Potíže s moderním uměním</w:t>
      </w:r>
      <w:r>
        <w:rPr>
          <w:b/>
          <w:bCs/>
          <w:sz w:val="28"/>
          <w:szCs w:val="28"/>
        </w:rPr>
        <w:br/>
        <w:t xml:space="preserve">Generálové u kulatého stolu v </w:t>
      </w:r>
      <w:r>
        <w:rPr>
          <w:b/>
          <w:bCs/>
          <w:sz w:val="28"/>
          <w:szCs w:val="28"/>
        </w:rPr>
        <w:t>Kremlu</w:t>
      </w:r>
      <w:r>
        <w:rPr>
          <w:b/>
          <w:bCs/>
          <w:sz w:val="28"/>
          <w:szCs w:val="28"/>
        </w:rPr>
        <w:br/>
        <w:t>Konec protičeských štvanic na Slovensku — Mnohoobročníci</w:t>
      </w:r>
    </w:p>
    <w:p w:rsidR="00500724" w:rsidRDefault="00F30FB8">
      <w:pPr>
        <w:spacing w:line="14" w:lineRule="exact"/>
      </w:pPr>
      <w:r>
        <w:rPr>
          <w:noProof/>
        </w:rPr>
        <mc:AlternateContent>
          <mc:Choice Requires="wps">
            <w:drawing>
              <wp:anchor distT="0" distB="0" distL="0" distR="0" simplePos="0" relativeHeight="125830206" behindDoc="0" locked="0" layoutInCell="1" allowOverlap="1">
                <wp:simplePos x="0" y="0"/>
                <wp:positionH relativeFrom="page">
                  <wp:posOffset>4220210</wp:posOffset>
                </wp:positionH>
                <wp:positionV relativeFrom="paragraph">
                  <wp:posOffset>3554095</wp:posOffset>
                </wp:positionV>
                <wp:extent cx="758825" cy="429895"/>
                <wp:effectExtent l="0" t="0" r="0" b="0"/>
                <wp:wrapSquare wrapText="right"/>
                <wp:docPr id="829" name="Shape 829"/>
                <wp:cNvGraphicFramePr/>
                <a:graphic xmlns:a="http://schemas.openxmlformats.org/drawingml/2006/main">
                  <a:graphicData uri="http://schemas.microsoft.com/office/word/2010/wordprocessingShape">
                    <wps:wsp>
                      <wps:cNvSpPr txBox="1"/>
                      <wps:spPr>
                        <a:xfrm>
                          <a:off x="0" y="0"/>
                          <a:ext cx="758825" cy="429895"/>
                        </a:xfrm>
                        <a:prstGeom prst="rect">
                          <a:avLst/>
                        </a:prstGeom>
                        <a:noFill/>
                      </wps:spPr>
                      <wps:txbx>
                        <w:txbxContent>
                          <w:p w:rsidR="00500724" w:rsidRDefault="00F30FB8">
                            <w:pPr>
                              <w:pStyle w:val="Zkladntext100"/>
                              <w:shd w:val="clear" w:color="auto" w:fill="auto"/>
                              <w:spacing w:after="40" w:line="223" w:lineRule="auto"/>
                              <w:ind w:firstLine="0"/>
                              <w:jc w:val="right"/>
                            </w:pPr>
                            <w:r>
                              <w:t>Jar. Kolman DRAMATA</w:t>
                            </w:r>
                          </w:p>
                          <w:p w:rsidR="00500724" w:rsidRDefault="00F30FB8">
                            <w:pPr>
                              <w:pStyle w:val="Zkladntext100"/>
                              <w:shd w:val="clear" w:color="auto" w:fill="auto"/>
                              <w:spacing w:line="223" w:lineRule="auto"/>
                              <w:ind w:firstLine="0"/>
                              <w:jc w:val="right"/>
                            </w:pPr>
                            <w:r>
                              <w:t>Stanislav K.</w:t>
                            </w:r>
                          </w:p>
                        </w:txbxContent>
                      </wps:txbx>
                      <wps:bodyPr lIns="0" tIns="0" rIns="0" bIns="0">
                        <a:spAutoFit/>
                      </wps:bodyPr>
                    </wps:wsp>
                  </a:graphicData>
                </a:graphic>
              </wp:anchor>
            </w:drawing>
          </mc:Choice>
          <mc:Fallback>
            <w:pict>
              <v:shape id="_x0000_s1855" type="#_x0000_t202" style="position:absolute;margin-left:332.30000000000001pt;margin-top:279.85000000000002pt;width:59.75pt;height:33.850000000000001pt;z-index:-125828547;mso-wrap-distance-left:0;mso-wrap-distance-right:0;mso-position-horizontal-relative:page" filled="f" stroked="f">
                <v:textbox style="mso-fit-shape-to-text:t" inset="0,0,0,0">
                  <w:txbxContent>
                    <w:p>
                      <w:pPr>
                        <w:pStyle w:val="Style344"/>
                        <w:keepNext w:val="0"/>
                        <w:keepLines w:val="0"/>
                        <w:widowControl w:val="0"/>
                        <w:shd w:val="clear" w:color="auto" w:fill="auto"/>
                        <w:bidi w:val="0"/>
                        <w:spacing w:before="0" w:after="40" w:line="223" w:lineRule="auto"/>
                        <w:ind w:left="0" w:right="0" w:firstLine="0"/>
                        <w:jc w:val="right"/>
                      </w:pPr>
                      <w:r>
                        <w:rPr>
                          <w:color w:val="000000"/>
                          <w:spacing w:val="0"/>
                          <w:w w:val="100"/>
                          <w:position w:val="0"/>
                          <w:sz w:val="18"/>
                          <w:szCs w:val="18"/>
                          <w:shd w:val="clear" w:color="auto" w:fill="auto"/>
                          <w:lang w:val="cs-CZ" w:eastAsia="cs-CZ" w:bidi="cs-CZ"/>
                        </w:rPr>
                        <w:t>Jar. Kolman DRAMATA</w:t>
                      </w:r>
                    </w:p>
                    <w:p>
                      <w:pPr>
                        <w:pStyle w:val="Style344"/>
                        <w:keepNext w:val="0"/>
                        <w:keepLines w:val="0"/>
                        <w:widowControl w:val="0"/>
                        <w:shd w:val="clear" w:color="auto" w:fill="auto"/>
                        <w:bidi w:val="0"/>
                        <w:spacing w:before="0" w:after="0" w:line="223" w:lineRule="auto"/>
                        <w:ind w:left="0" w:right="0" w:firstLine="0"/>
                        <w:jc w:val="right"/>
                      </w:pPr>
                      <w:r>
                        <w:rPr>
                          <w:color w:val="000000"/>
                          <w:spacing w:val="0"/>
                          <w:w w:val="100"/>
                          <w:position w:val="0"/>
                          <w:sz w:val="18"/>
                          <w:szCs w:val="18"/>
                          <w:shd w:val="clear" w:color="auto" w:fill="auto"/>
                          <w:lang w:val="cs-CZ" w:eastAsia="cs-CZ" w:bidi="cs-CZ"/>
                        </w:rPr>
                        <w:t>Stanislav K.</w:t>
                      </w:r>
                    </w:p>
                  </w:txbxContent>
                </v:textbox>
                <w10:wrap type="square" side="right" anchorx="page"/>
              </v:shape>
            </w:pict>
          </mc:Fallback>
        </mc:AlternateContent>
      </w:r>
      <w:r>
        <w:rPr>
          <w:noProof/>
        </w:rPr>
        <mc:AlternateContent>
          <mc:Choice Requires="wps">
            <w:drawing>
              <wp:anchor distT="0" distB="0" distL="0" distR="0" simplePos="0" relativeHeight="125830208" behindDoc="0" locked="0" layoutInCell="1" allowOverlap="1">
                <wp:simplePos x="0" y="0"/>
                <wp:positionH relativeFrom="page">
                  <wp:posOffset>5070475</wp:posOffset>
                </wp:positionH>
                <wp:positionV relativeFrom="paragraph">
                  <wp:posOffset>3557270</wp:posOffset>
                </wp:positionV>
                <wp:extent cx="1130935" cy="420370"/>
                <wp:effectExtent l="0" t="0" r="0" b="0"/>
                <wp:wrapSquare wrapText="left"/>
                <wp:docPr id="831" name="Shape 831"/>
                <wp:cNvGraphicFramePr/>
                <a:graphic xmlns:a="http://schemas.openxmlformats.org/drawingml/2006/main">
                  <a:graphicData uri="http://schemas.microsoft.com/office/word/2010/wordprocessingShape">
                    <wps:wsp>
                      <wps:cNvSpPr txBox="1"/>
                      <wps:spPr>
                        <a:xfrm>
                          <a:off x="0" y="0"/>
                          <a:ext cx="1130935" cy="420370"/>
                        </a:xfrm>
                        <a:prstGeom prst="rect">
                          <a:avLst/>
                        </a:prstGeom>
                        <a:noFill/>
                      </wps:spPr>
                      <wps:txbx>
                        <w:txbxContent>
                          <w:p w:rsidR="00500724" w:rsidRDefault="00F30FB8">
                            <w:pPr>
                              <w:pStyle w:val="Zkladntext100"/>
                              <w:shd w:val="clear" w:color="auto" w:fill="auto"/>
                              <w:spacing w:after="60" w:line="218" w:lineRule="auto"/>
                              <w:ind w:firstLine="0"/>
                              <w:jc w:val="right"/>
                            </w:pPr>
                            <w:r>
                              <w:rPr>
                                <w:lang w:val="en-US" w:eastAsia="en-US" w:bidi="en-US"/>
                              </w:rPr>
                              <w:t xml:space="preserve">Cassius: </w:t>
                            </w:r>
                            <w:r>
                              <w:t>LYRICKÁ 15 K, váz. 25 K</w:t>
                            </w:r>
                          </w:p>
                          <w:p w:rsidR="00500724" w:rsidRDefault="00F30FB8">
                            <w:pPr>
                              <w:pStyle w:val="Zkladntext100"/>
                              <w:shd w:val="clear" w:color="auto" w:fill="auto"/>
                              <w:spacing w:line="218" w:lineRule="auto"/>
                              <w:ind w:firstLine="0"/>
                              <w:jc w:val="right"/>
                            </w:pPr>
                            <w:r>
                              <w:t>N eumann: KNIHA</w:t>
                            </w:r>
                          </w:p>
                        </w:txbxContent>
                      </wps:txbx>
                      <wps:bodyPr lIns="0" tIns="0" rIns="0" bIns="0">
                        <a:spAutoFit/>
                      </wps:bodyPr>
                    </wps:wsp>
                  </a:graphicData>
                </a:graphic>
              </wp:anchor>
            </w:drawing>
          </mc:Choice>
          <mc:Fallback>
            <w:pict>
              <v:shape id="_x0000_s1857" type="#_x0000_t202" style="position:absolute;margin-left:399.25pt;margin-top:280.10000000000002pt;width:89.049999999999997pt;height:33.100000000000001pt;z-index:-125828545;mso-wrap-distance-left:0;mso-wrap-distance-right:0;mso-position-horizontal-relative:page" filled="f" stroked="f">
                <v:textbox style="mso-fit-shape-to-text:t" inset="0,0,0,0">
                  <w:txbxContent>
                    <w:p>
                      <w:pPr>
                        <w:pStyle w:val="Style344"/>
                        <w:keepNext w:val="0"/>
                        <w:keepLines w:val="0"/>
                        <w:widowControl w:val="0"/>
                        <w:shd w:val="clear" w:color="auto" w:fill="auto"/>
                        <w:bidi w:val="0"/>
                        <w:spacing w:before="0" w:after="60" w:line="218" w:lineRule="auto"/>
                        <w:ind w:left="0" w:right="0" w:firstLine="0"/>
                        <w:jc w:val="right"/>
                      </w:pPr>
                      <w:r>
                        <w:rPr>
                          <w:color w:val="000000"/>
                          <w:spacing w:val="0"/>
                          <w:w w:val="100"/>
                          <w:position w:val="0"/>
                          <w:sz w:val="18"/>
                          <w:szCs w:val="18"/>
                          <w:shd w:val="clear" w:color="auto" w:fill="auto"/>
                          <w:lang w:val="en-US" w:eastAsia="en-US" w:bidi="en-US"/>
                        </w:rPr>
                        <w:t xml:space="preserve">Cassius: </w:t>
                      </w:r>
                      <w:r>
                        <w:rPr>
                          <w:color w:val="000000"/>
                          <w:spacing w:val="0"/>
                          <w:w w:val="100"/>
                          <w:position w:val="0"/>
                          <w:sz w:val="18"/>
                          <w:szCs w:val="18"/>
                          <w:shd w:val="clear" w:color="auto" w:fill="auto"/>
                          <w:lang w:val="cs-CZ" w:eastAsia="cs-CZ" w:bidi="cs-CZ"/>
                        </w:rPr>
                        <w:t>LYRICKÁ 15 K, váz. 25 K</w:t>
                      </w:r>
                    </w:p>
                    <w:p>
                      <w:pPr>
                        <w:pStyle w:val="Style344"/>
                        <w:keepNext w:val="0"/>
                        <w:keepLines w:val="0"/>
                        <w:widowControl w:val="0"/>
                        <w:shd w:val="clear" w:color="auto" w:fill="auto"/>
                        <w:bidi w:val="0"/>
                        <w:spacing w:before="0" w:after="0" w:line="218" w:lineRule="auto"/>
                        <w:ind w:left="0" w:right="0" w:firstLine="0"/>
                        <w:jc w:val="right"/>
                      </w:pPr>
                      <w:r>
                        <w:rPr>
                          <w:color w:val="000000"/>
                          <w:spacing w:val="0"/>
                          <w:w w:val="100"/>
                          <w:position w:val="0"/>
                          <w:sz w:val="18"/>
                          <w:szCs w:val="18"/>
                          <w:shd w:val="clear" w:color="auto" w:fill="auto"/>
                          <w:lang w:val="cs-CZ" w:eastAsia="cs-CZ" w:bidi="cs-CZ"/>
                        </w:rPr>
                        <w:t>N eumann: KNIHA</w:t>
                      </w:r>
                    </w:p>
                  </w:txbxContent>
                </v:textbox>
                <w10:wrap type="square" side="left" anchorx="page"/>
              </v:shape>
            </w:pict>
          </mc:Fallback>
        </mc:AlternateConten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200"/>
        <w:jc w:val="center"/>
      </w:pPr>
      <w:bookmarkStart w:id="848" w:name="bookmark847"/>
      <w:r>
        <w:rPr>
          <w:color w:val="FFFFFF"/>
        </w:rPr>
        <w:t xml:space="preserve">ODBORNÍ </w:t>
      </w:r>
      <w:r>
        <w:rPr>
          <w:color w:val="FFFFFF"/>
          <w:lang w:val="en-US" w:eastAsia="en-US" w:bidi="en-US"/>
        </w:rPr>
        <w:t>LEKAftl</w:t>
      </w:r>
      <w:bookmarkEnd w:id="848"/>
    </w:p>
    <w:p w:rsidR="00500724" w:rsidRDefault="00F30FB8">
      <w:pPr>
        <w:pStyle w:val="Nadpis110"/>
        <w:shd w:val="clear" w:color="auto" w:fill="auto"/>
        <w:jc w:val="both"/>
      </w:pPr>
      <w:bookmarkStart w:id="849" w:name="bookmark848"/>
      <w:r>
        <w:t>MUDr. ZDENKA NEDVĚDOVÁ-NEJEDLÁ</w:t>
      </w:r>
      <w:bookmarkEnd w:id="849"/>
    </w:p>
    <w:p w:rsidR="00500724" w:rsidRDefault="00F30FB8">
      <w:pPr>
        <w:pStyle w:val="Zkladntext100"/>
        <w:shd w:val="clear" w:color="auto" w:fill="auto"/>
        <w:spacing w:after="100" w:line="240" w:lineRule="auto"/>
        <w:ind w:firstLine="0"/>
      </w:pPr>
      <w:r>
        <w:t xml:space="preserve">odb. dětská lékařka. PODOLÍ, PANKRÁCKÁ 14 (stanice </w:t>
      </w:r>
      <w:r>
        <w:t>elektr. dráhy za Podol, sanatoriem). Ord. 9—10 a 2—4 hod.Tel. 441-77.</w:t>
      </w:r>
    </w:p>
    <w:p w:rsidR="00500724" w:rsidRDefault="00F30FB8">
      <w:pPr>
        <w:pStyle w:val="Nadpis110"/>
        <w:shd w:val="clear" w:color="auto" w:fill="auto"/>
        <w:jc w:val="both"/>
      </w:pPr>
      <w:bookmarkStart w:id="850" w:name="bookmark849"/>
      <w:r>
        <w:t>MUDr. ANTONÍN NEUMANN</w:t>
      </w:r>
      <w:bookmarkEnd w:id="850"/>
    </w:p>
    <w:p w:rsidR="00500724" w:rsidRDefault="00F30FB8">
      <w:pPr>
        <w:pStyle w:val="Zkladntext40"/>
        <w:shd w:val="clear" w:color="auto" w:fill="auto"/>
        <w:spacing w:after="80" w:line="216" w:lineRule="auto"/>
        <w:ind w:firstLine="1020"/>
        <w:rPr>
          <w:sz w:val="16"/>
          <w:szCs w:val="16"/>
        </w:rPr>
      </w:pPr>
      <w:r>
        <w:rPr>
          <w:b/>
          <w:bCs/>
          <w:sz w:val="16"/>
          <w:szCs w:val="16"/>
        </w:rPr>
        <w:t>odborný lékař nemocí pohlavních, kožních a kosmetiky PRAHA II., Na Zbořenci 24 — třetí dům od Karlova náměstí, Ordinuje celý den. V neděli a ve svátek dopoledne. Te</w:t>
      </w:r>
      <w:r>
        <w:rPr>
          <w:b/>
          <w:bCs/>
          <w:sz w:val="16"/>
          <w:szCs w:val="16"/>
        </w:rPr>
        <w:t>lefon 41.728.</w:t>
      </w:r>
    </w:p>
    <w:p w:rsidR="00500724" w:rsidRDefault="00F30FB8">
      <w:pPr>
        <w:pStyle w:val="Zkladntext100"/>
        <w:shd w:val="clear" w:color="auto" w:fill="auto"/>
        <w:spacing w:after="80" w:line="259" w:lineRule="auto"/>
        <w:ind w:firstLine="0"/>
      </w:pPr>
      <w:r>
        <w:t xml:space="preserve">Pro plastickou chirurgii </w:t>
      </w:r>
      <w:r>
        <w:rPr>
          <w:rFonts w:ascii="Arial" w:eastAsia="Arial" w:hAnsi="Arial" w:cs="Arial"/>
          <w:b/>
          <w:bCs/>
          <w:sz w:val="22"/>
          <w:szCs w:val="22"/>
        </w:rPr>
        <w:t xml:space="preserve">Dr. RUDOLF SLUNEČKO </w:t>
      </w:r>
      <w:r>
        <w:t xml:space="preserve">ord. 3—4 hod. (a podle úmluvy). Telefon 393-79. PRAHA II., </w:t>
      </w:r>
      <w:r>
        <w:rPr>
          <w:u w:val="single"/>
        </w:rPr>
        <w:t>VODIČKOV</w:t>
      </w:r>
      <w:r>
        <w:t>A 15 (Hlávkův palác).</w:t>
      </w:r>
    </w:p>
    <w:p w:rsidR="00500724" w:rsidRDefault="00F30FB8">
      <w:pPr>
        <w:pStyle w:val="Zkladntext100"/>
        <w:shd w:val="clear" w:color="auto" w:fill="auto"/>
        <w:spacing w:line="218" w:lineRule="auto"/>
        <w:ind w:firstLine="0"/>
      </w:pPr>
      <w:r>
        <w:rPr>
          <w:rFonts w:ascii="Arial" w:eastAsia="Arial" w:hAnsi="Arial" w:cs="Arial"/>
          <w:b/>
          <w:bCs/>
          <w:sz w:val="22"/>
          <w:szCs w:val="22"/>
        </w:rPr>
        <w:t xml:space="preserve">MUDr. STANISLAV TUMPACH </w:t>
      </w:r>
      <w:r>
        <w:t xml:space="preserve">odborný lékař pro chirurgii a urologii. PRAHA XII., Fochova 84 (Nám. krále Jiřího). </w:t>
      </w:r>
      <w:r>
        <w:t>Ord. 15—17 hod. Tel. 512-86, byt: 513-38.</w:t>
      </w:r>
    </w:p>
    <w:p w:rsidR="00500724" w:rsidRDefault="00F30FB8">
      <w:pPr>
        <w:pStyle w:val="Zkladntext90"/>
        <w:shd w:val="clear" w:color="auto" w:fill="auto"/>
        <w:spacing w:before="140" w:line="218" w:lineRule="auto"/>
        <w:ind w:left="600" w:right="340" w:hanging="280"/>
      </w:pPr>
      <w:r>
        <w:t>HEARNSHAW F. J„ Vývoj politických ideí. Stran 137. 13X22 cm. K 15.—.</w:t>
      </w:r>
    </w:p>
    <w:p w:rsidR="00500724" w:rsidRDefault="00F30FB8">
      <w:pPr>
        <w:pStyle w:val="Zkladntext90"/>
        <w:shd w:val="clear" w:color="auto" w:fill="auto"/>
        <w:spacing w:line="218" w:lineRule="auto"/>
        <w:ind w:left="600" w:hanging="280"/>
      </w:pPr>
      <w:r>
        <w:t>KADLEC VL., Vladařská cesta Přemyslova, Stran 250.</w:t>
      </w:r>
    </w:p>
    <w:p w:rsidR="00500724" w:rsidRDefault="00F30FB8">
      <w:pPr>
        <w:pStyle w:val="Zkladntext90"/>
        <w:shd w:val="clear" w:color="auto" w:fill="auto"/>
        <w:spacing w:line="218" w:lineRule="auto"/>
        <w:ind w:left="600" w:firstLine="0"/>
        <w:jc w:val="left"/>
      </w:pPr>
      <w:r>
        <w:t>1454 X20 cm. K 26.—.</w:t>
      </w:r>
    </w:p>
    <w:p w:rsidR="00500724" w:rsidRDefault="00F30FB8">
      <w:pPr>
        <w:pStyle w:val="Zkladntext90"/>
        <w:shd w:val="clear" w:color="auto" w:fill="auto"/>
        <w:spacing w:line="218" w:lineRule="auto"/>
        <w:ind w:left="600" w:right="340" w:hanging="280"/>
      </w:pPr>
      <w:r>
        <w:t>MJLDE L., Česká čítanka. Stran 212. 1454X19 cm. K 14.—, váz. K 21.—.</w:t>
      </w:r>
    </w:p>
    <w:p w:rsidR="00500724" w:rsidRDefault="00F30FB8">
      <w:pPr>
        <w:pStyle w:val="Zkladntext90"/>
        <w:shd w:val="clear" w:color="auto" w:fill="auto"/>
        <w:spacing w:line="218" w:lineRule="auto"/>
        <w:ind w:left="600" w:right="340" w:hanging="280"/>
      </w:pPr>
      <w:r>
        <w:t>MERT</w:t>
      </w:r>
      <w:r>
        <w:t>L - KLIMECKÝ - HLAVATÝ - SCHNEIDER - KREJČÍ, Dnešní Německo. Stran 319. 1454X21 cm. K 40.—, váz. K 50.—.</w:t>
      </w:r>
    </w:p>
    <w:p w:rsidR="00500724" w:rsidRDefault="00F30FB8">
      <w:pPr>
        <w:pStyle w:val="Zkladntext90"/>
        <w:shd w:val="clear" w:color="auto" w:fill="auto"/>
        <w:spacing w:line="218" w:lineRule="auto"/>
        <w:ind w:left="600" w:right="340" w:hanging="280"/>
      </w:pPr>
      <w:r>
        <w:t>SOBOTA E.</w:t>
      </w:r>
      <w:r>
        <w:rPr>
          <w:vertAlign w:val="subscript"/>
        </w:rPr>
        <w:t>t</w:t>
      </w:r>
      <w:r>
        <w:t xml:space="preserve"> Státní příslušnost — národnost — rasa. Nové předpisy o úpravě st. občanství a změn územních, politic</w:t>
      </w:r>
      <w:r>
        <w:softHyphen/>
        <w:t>kých, národnostních i rasových. Str. 85</w:t>
      </w:r>
      <w:r>
        <w:t>. 11X18 cm. K 15.—.</w:t>
      </w:r>
    </w:p>
    <w:p w:rsidR="00500724" w:rsidRDefault="00F30FB8">
      <w:pPr>
        <w:pStyle w:val="Zkladntext90"/>
        <w:shd w:val="clear" w:color="auto" w:fill="auto"/>
        <w:spacing w:line="223" w:lineRule="auto"/>
        <w:ind w:left="600" w:right="340" w:hanging="280"/>
      </w:pPr>
      <w:r>
        <w:t>ŠÍPEK K.. Vzpomínky na Prozatímní. Stran 96. 13X18 cm. K 1—.</w:t>
      </w:r>
    </w:p>
    <w:p w:rsidR="00500724" w:rsidRDefault="00F30FB8">
      <w:pPr>
        <w:pStyle w:val="Zkladntext90"/>
        <w:shd w:val="clear" w:color="auto" w:fill="auto"/>
        <w:spacing w:line="223" w:lineRule="auto"/>
        <w:ind w:left="600" w:right="340" w:hanging="280"/>
      </w:pPr>
      <w:r>
        <w:t>WELLS H. G., Dějiny světa. Str. 926. 19X27 cm, pouze K 60.—. váz. K 70.—.</w:t>
      </w:r>
    </w:p>
    <w:p w:rsidR="00500724" w:rsidRDefault="00F30FB8">
      <w:pPr>
        <w:pStyle w:val="Zkladntext90"/>
        <w:shd w:val="clear" w:color="auto" w:fill="auto"/>
        <w:spacing w:line="218" w:lineRule="auto"/>
        <w:ind w:left="600" w:right="340" w:hanging="280"/>
      </w:pPr>
      <w:r>
        <w:t xml:space="preserve">SCHMITZ-KAIRO PAUL, Folitiker und </w:t>
      </w:r>
      <w:r>
        <w:rPr>
          <w:lang w:val="en-US" w:eastAsia="en-US" w:bidi="en-US"/>
        </w:rPr>
        <w:t xml:space="preserve">Propheten am </w:t>
      </w:r>
      <w:r>
        <w:t xml:space="preserve">Roten Meer. Ein politisches Reisebuch durch </w:t>
      </w:r>
      <w:r>
        <w:rPr>
          <w:lang w:val="en-US" w:eastAsia="en-US" w:bidi="en-US"/>
        </w:rPr>
        <w:t xml:space="preserve">die </w:t>
      </w:r>
      <w:r>
        <w:t>arabis</w:t>
      </w:r>
      <w:r>
        <w:t>che Welt. Mit 44 Bildern und 3 Karten. Stran 233. 2254X15 cm.</w:t>
      </w:r>
    </w:p>
    <w:p w:rsidR="00500724" w:rsidRDefault="00F30FB8">
      <w:pPr>
        <w:pStyle w:val="Zkladntext90"/>
        <w:shd w:val="clear" w:color="auto" w:fill="auto"/>
        <w:spacing w:line="218" w:lineRule="auto"/>
        <w:ind w:left="600" w:firstLine="0"/>
        <w:jc w:val="left"/>
      </w:pPr>
      <w:r>
        <w:t>Váz. v plát. K 68.—.</w:t>
      </w:r>
    </w:p>
    <w:p w:rsidR="00500724" w:rsidRDefault="00F30FB8">
      <w:pPr>
        <w:pStyle w:val="Zkladntext90"/>
        <w:shd w:val="clear" w:color="auto" w:fill="auto"/>
        <w:spacing w:after="180" w:line="218" w:lineRule="auto"/>
        <w:ind w:left="600" w:right="340" w:hanging="220"/>
      </w:pPr>
      <w:r>
        <w:t xml:space="preserve">STOYE </w:t>
      </w:r>
      <w:r>
        <w:rPr>
          <w:lang w:val="en-US" w:eastAsia="en-US" w:bidi="en-US"/>
        </w:rPr>
        <w:t xml:space="preserve">JOHANNES, </w:t>
      </w:r>
      <w:r>
        <w:t>Frankreich zwischen Furcht und Hoff- nung. Welchen Weg geht Frankreich. Stran 330. 24X16 cm. Váz. v plát. K 78.—.</w:t>
      </w:r>
    </w:p>
    <w:p w:rsidR="00500724" w:rsidRDefault="00F30FB8">
      <w:pPr>
        <w:pStyle w:val="Jin0"/>
        <w:shd w:val="clear" w:color="auto" w:fill="auto"/>
        <w:ind w:left="280" w:firstLine="0"/>
        <w:jc w:val="left"/>
        <w:rPr>
          <w:sz w:val="34"/>
          <w:szCs w:val="34"/>
        </w:rPr>
      </w:pPr>
      <w:r>
        <w:rPr>
          <w:sz w:val="34"/>
          <w:szCs w:val="34"/>
        </w:rPr>
        <w:t>F. T o p i č</w:t>
      </w:r>
    </w:p>
    <w:p w:rsidR="00500724" w:rsidRDefault="00F30FB8">
      <w:pPr>
        <w:pStyle w:val="Jin0"/>
        <w:shd w:val="clear" w:color="auto" w:fill="auto"/>
        <w:ind w:left="280" w:firstLine="0"/>
        <w:jc w:val="left"/>
        <w:rPr>
          <w:sz w:val="28"/>
          <w:szCs w:val="28"/>
        </w:rPr>
      </w:pPr>
      <w:r>
        <w:rPr>
          <w:sz w:val="28"/>
          <w:szCs w:val="28"/>
        </w:rPr>
        <w:t xml:space="preserve">knihkupectví, Praha I., </w:t>
      </w:r>
      <w:r>
        <w:rPr>
          <w:sz w:val="28"/>
          <w:szCs w:val="28"/>
        </w:rPr>
        <w:t>Národní třída 11</w:t>
      </w:r>
    </w:p>
    <w:p w:rsidR="00500724" w:rsidRDefault="00F30FB8">
      <w:pPr>
        <w:spacing w:line="1" w:lineRule="exact"/>
        <w:rPr>
          <w:sz w:val="2"/>
          <w:szCs w:val="2"/>
        </w:rPr>
      </w:pPr>
      <w:r>
        <w:br w:type="column"/>
      </w:r>
    </w:p>
    <w:p w:rsidR="00500724" w:rsidRDefault="00F30FB8">
      <w:pPr>
        <w:pStyle w:val="Jin0"/>
        <w:shd w:val="clear" w:color="auto" w:fill="auto"/>
        <w:ind w:left="1020" w:firstLine="20"/>
        <w:jc w:val="left"/>
        <w:rPr>
          <w:sz w:val="78"/>
          <w:szCs w:val="78"/>
        </w:rPr>
      </w:pPr>
      <w:r>
        <w:rPr>
          <w:rFonts w:ascii="Arial" w:eastAsia="Arial" w:hAnsi="Arial" w:cs="Arial"/>
          <w:w w:val="50"/>
          <w:sz w:val="78"/>
          <w:szCs w:val="78"/>
        </w:rPr>
        <w:t>POESIE</w:t>
      </w:r>
    </w:p>
    <w:p w:rsidR="00500724" w:rsidRDefault="00F30FB8">
      <w:pPr>
        <w:pStyle w:val="Jin0"/>
        <w:shd w:val="clear" w:color="auto" w:fill="auto"/>
        <w:spacing w:after="140"/>
        <w:ind w:left="280" w:firstLine="0"/>
        <w:jc w:val="left"/>
        <w:rPr>
          <w:sz w:val="34"/>
          <w:szCs w:val="34"/>
        </w:rPr>
      </w:pPr>
      <w:r>
        <w:rPr>
          <w:rFonts w:ascii="Arial" w:eastAsia="Arial" w:hAnsi="Arial" w:cs="Arial"/>
          <w:i/>
          <w:iCs/>
          <w:sz w:val="34"/>
          <w:szCs w:val="34"/>
        </w:rPr>
        <w:t>pramen okouzlení a krásy</w:t>
      </w:r>
    </w:p>
    <w:p w:rsidR="00500724" w:rsidRDefault="00F30FB8">
      <w:pPr>
        <w:pStyle w:val="Zkladntext100"/>
        <w:shd w:val="clear" w:color="auto" w:fill="auto"/>
        <w:spacing w:line="240" w:lineRule="auto"/>
        <w:ind w:left="1020" w:hanging="200"/>
        <w:jc w:val="left"/>
      </w:pPr>
      <w:r>
        <w:t>Frant. Halas: STARÉ ŽENY</w:t>
      </w:r>
    </w:p>
    <w:p w:rsidR="00500724" w:rsidRDefault="00F30FB8">
      <w:pPr>
        <w:pStyle w:val="Zkladntext100"/>
        <w:shd w:val="clear" w:color="auto" w:fill="auto"/>
        <w:spacing w:line="216" w:lineRule="auto"/>
        <w:ind w:left="2520" w:firstLine="20"/>
        <w:jc w:val="left"/>
      </w:pPr>
      <w:r>
        <w:t>12 K, váz. 22 K</w:t>
      </w:r>
    </w:p>
    <w:p w:rsidR="00500724" w:rsidRDefault="00F30FB8">
      <w:pPr>
        <w:pStyle w:val="Zkladntext100"/>
        <w:shd w:val="clear" w:color="auto" w:fill="auto"/>
        <w:spacing w:line="240" w:lineRule="auto"/>
        <w:ind w:left="1020" w:hanging="200"/>
        <w:jc w:val="left"/>
        <w:rPr>
          <w:sz w:val="19"/>
          <w:szCs w:val="19"/>
        </w:rPr>
      </w:pPr>
      <w:r>
        <w:rPr>
          <w:sz w:val="19"/>
          <w:szCs w:val="19"/>
          <w:lang w:val="en-US" w:eastAsia="en-US" w:bidi="en-US"/>
        </w:rPr>
        <w:t xml:space="preserve">Vladimir </w:t>
      </w:r>
      <w:r>
        <w:rPr>
          <w:sz w:val="19"/>
          <w:szCs w:val="19"/>
        </w:rPr>
        <w:t>Holan: VANUTI</w:t>
      </w:r>
    </w:p>
    <w:p w:rsidR="00500724" w:rsidRDefault="00F30FB8">
      <w:pPr>
        <w:pStyle w:val="Zkladntext100"/>
        <w:shd w:val="clear" w:color="auto" w:fill="auto"/>
        <w:spacing w:line="233" w:lineRule="auto"/>
        <w:ind w:left="2520" w:firstLine="20"/>
        <w:jc w:val="left"/>
      </w:pPr>
      <w:r>
        <w:t>12 K, váz. 22 K</w:t>
      </w:r>
    </w:p>
    <w:p w:rsidR="00500724" w:rsidRDefault="00F30FB8">
      <w:pPr>
        <w:pStyle w:val="Zkladntext100"/>
        <w:shd w:val="clear" w:color="auto" w:fill="auto"/>
        <w:spacing w:line="240" w:lineRule="auto"/>
        <w:ind w:left="1020" w:hanging="200"/>
        <w:jc w:val="left"/>
      </w:pPr>
      <w:r>
        <w:t>Josef Hora: STROM V KVĚTU</w:t>
      </w:r>
    </w:p>
    <w:p w:rsidR="00500724" w:rsidRDefault="00F30FB8">
      <w:pPr>
        <w:pStyle w:val="Zkladntext100"/>
        <w:shd w:val="clear" w:color="auto" w:fill="auto"/>
        <w:spacing w:line="240" w:lineRule="auto"/>
        <w:ind w:left="2520" w:firstLine="20"/>
        <w:jc w:val="left"/>
      </w:pPr>
      <w:r>
        <w:t>21 K, váz. 31 K</w:t>
      </w:r>
    </w:p>
    <w:p w:rsidR="00500724" w:rsidRDefault="00F30FB8">
      <w:pPr>
        <w:pStyle w:val="Zkladntext100"/>
        <w:shd w:val="clear" w:color="auto" w:fill="auto"/>
        <w:spacing w:line="240" w:lineRule="auto"/>
        <w:ind w:left="1020" w:hanging="200"/>
        <w:jc w:val="left"/>
      </w:pPr>
      <w:r>
        <w:t>Josef Hora: STRUNY VE VĚTRU</w:t>
      </w:r>
    </w:p>
    <w:p w:rsidR="00500724" w:rsidRDefault="00F30FB8">
      <w:pPr>
        <w:pStyle w:val="Zkladntext100"/>
        <w:shd w:val="clear" w:color="auto" w:fill="auto"/>
        <w:spacing w:line="221" w:lineRule="auto"/>
        <w:ind w:left="2520" w:firstLine="20"/>
        <w:jc w:val="left"/>
      </w:pPr>
      <w:r>
        <w:t>15 K, váz. 25 K</w:t>
      </w:r>
    </w:p>
    <w:p w:rsidR="00500724" w:rsidRDefault="00F30FB8">
      <w:pPr>
        <w:pStyle w:val="Zkladntext100"/>
        <w:shd w:val="clear" w:color="auto" w:fill="auto"/>
        <w:spacing w:line="240" w:lineRule="auto"/>
        <w:ind w:left="1020" w:hanging="200"/>
        <w:jc w:val="left"/>
      </w:pPr>
      <w:r>
        <w:t>Josef Hora: TVUj HLAS</w:t>
      </w:r>
    </w:p>
    <w:p w:rsidR="00500724" w:rsidRDefault="00F30FB8">
      <w:pPr>
        <w:pStyle w:val="Zkladntext100"/>
        <w:shd w:val="clear" w:color="auto" w:fill="auto"/>
        <w:spacing w:line="221" w:lineRule="auto"/>
        <w:ind w:left="2520" w:firstLine="20"/>
        <w:jc w:val="left"/>
      </w:pPr>
      <w:r>
        <w:t>20 K, váz. 30 K</w:t>
      </w:r>
    </w:p>
    <w:p w:rsidR="00500724" w:rsidRDefault="00F30FB8">
      <w:pPr>
        <w:pStyle w:val="Zkladntext100"/>
        <w:shd w:val="clear" w:color="auto" w:fill="auto"/>
        <w:spacing w:line="240" w:lineRule="auto"/>
        <w:ind w:left="1020" w:hanging="200"/>
        <w:jc w:val="left"/>
      </w:pPr>
      <w:r>
        <w:t xml:space="preserve">Jaroslav Kolman </w:t>
      </w:r>
      <w:r>
        <w:rPr>
          <w:lang w:val="en-US" w:eastAsia="en-US" w:bidi="en-US"/>
        </w:rPr>
        <w:t xml:space="preserve">Cassius: </w:t>
      </w:r>
      <w:r>
        <w:t>OVCtN</w:t>
      </w:r>
    </w:p>
    <w:p w:rsidR="00500724" w:rsidRDefault="00F30FB8">
      <w:pPr>
        <w:pStyle w:val="Zkladntext100"/>
        <w:shd w:val="clear" w:color="auto" w:fill="auto"/>
        <w:spacing w:after="640" w:line="221" w:lineRule="auto"/>
        <w:ind w:left="2520" w:firstLine="20"/>
        <w:jc w:val="left"/>
      </w:pPr>
      <w:r>
        <w:t>15 K, váz. 25 K</w:t>
      </w:r>
    </w:p>
    <w:p w:rsidR="00500724" w:rsidRDefault="00F30FB8">
      <w:pPr>
        <w:pStyle w:val="Zkladntext100"/>
        <w:shd w:val="clear" w:color="auto" w:fill="auto"/>
        <w:spacing w:line="240" w:lineRule="auto"/>
        <w:ind w:firstLine="0"/>
      </w:pPr>
      <w:r>
        <w:t>LESU, VOD A STRÁNI</w:t>
      </w:r>
    </w:p>
    <w:p w:rsidR="00500724" w:rsidRDefault="00F30FB8">
      <w:pPr>
        <w:pStyle w:val="Zkladntext100"/>
        <w:shd w:val="clear" w:color="auto" w:fill="auto"/>
        <w:spacing w:line="228" w:lineRule="auto"/>
        <w:ind w:left="2520" w:firstLine="20"/>
        <w:jc w:val="left"/>
      </w:pPr>
      <w:r>
        <w:t>25 K, váz. 35 K</w:t>
      </w:r>
    </w:p>
    <w:p w:rsidR="00500724" w:rsidRDefault="00F30FB8">
      <w:pPr>
        <w:pStyle w:val="Zkladntext100"/>
        <w:shd w:val="clear" w:color="auto" w:fill="auto"/>
        <w:spacing w:line="240" w:lineRule="auto"/>
        <w:ind w:left="1020" w:hanging="200"/>
        <w:jc w:val="left"/>
      </w:pPr>
      <w:r>
        <w:t>Stanislav K. Neumann: LÁSKA</w:t>
      </w:r>
    </w:p>
    <w:p w:rsidR="00500724" w:rsidRDefault="00F30FB8">
      <w:pPr>
        <w:pStyle w:val="Zkladntext100"/>
        <w:shd w:val="clear" w:color="auto" w:fill="auto"/>
        <w:spacing w:line="216" w:lineRule="auto"/>
        <w:ind w:left="2520" w:firstLine="20"/>
        <w:jc w:val="left"/>
      </w:pPr>
      <w:r>
        <w:t>25 K, váz. 35 K</w:t>
      </w:r>
    </w:p>
    <w:p w:rsidR="00500724" w:rsidRDefault="00F30FB8">
      <w:pPr>
        <w:pStyle w:val="Zkladntext100"/>
        <w:shd w:val="clear" w:color="auto" w:fill="auto"/>
        <w:spacing w:line="223" w:lineRule="auto"/>
        <w:ind w:left="1020" w:hanging="200"/>
        <w:jc w:val="left"/>
      </w:pPr>
      <w:r>
        <w:t>Vítězslav Nezval: BÁSNĚ NOCI</w:t>
      </w:r>
    </w:p>
    <w:p w:rsidR="00500724" w:rsidRDefault="00F30FB8">
      <w:pPr>
        <w:pStyle w:val="Zkladntext100"/>
        <w:shd w:val="clear" w:color="auto" w:fill="auto"/>
        <w:spacing w:line="223" w:lineRule="auto"/>
        <w:ind w:left="2520" w:firstLine="20"/>
        <w:jc w:val="left"/>
      </w:pPr>
      <w:r>
        <w:t>25 K, váz. 35 K</w:t>
      </w:r>
    </w:p>
    <w:p w:rsidR="00500724" w:rsidRDefault="00F30FB8">
      <w:pPr>
        <w:pStyle w:val="Zkladntext100"/>
        <w:shd w:val="clear" w:color="auto" w:fill="auto"/>
        <w:spacing w:line="223" w:lineRule="auto"/>
        <w:ind w:left="1020" w:hanging="200"/>
        <w:jc w:val="left"/>
      </w:pPr>
      <w:r>
        <w:t>Ladislav Stehlík: ZPĚV K ZEMI</w:t>
      </w:r>
    </w:p>
    <w:p w:rsidR="00500724" w:rsidRDefault="00F30FB8">
      <w:pPr>
        <w:pStyle w:val="Zkladntext100"/>
        <w:shd w:val="clear" w:color="auto" w:fill="auto"/>
        <w:spacing w:line="223" w:lineRule="auto"/>
        <w:ind w:left="2520" w:firstLine="20"/>
        <w:jc w:val="left"/>
      </w:pPr>
      <w:r>
        <w:t>15 K, váz. 25 K</w:t>
      </w:r>
    </w:p>
    <w:p w:rsidR="00500724" w:rsidRDefault="00F30FB8">
      <w:pPr>
        <w:pStyle w:val="Zkladntext100"/>
        <w:shd w:val="clear" w:color="auto" w:fill="auto"/>
        <w:tabs>
          <w:tab w:val="left" w:pos="2529"/>
        </w:tabs>
        <w:spacing w:after="100" w:line="223" w:lineRule="auto"/>
        <w:ind w:left="1020" w:hanging="200"/>
        <w:jc w:val="left"/>
      </w:pPr>
      <w:r>
        <w:t>Karel Toman: MĚSÍCE — HLAS TICHA</w:t>
      </w:r>
      <w:r>
        <w:tab/>
        <w:t xml:space="preserve">30 K, </w:t>
      </w:r>
      <w:r>
        <w:t>váz. 45 K</w:t>
      </w:r>
    </w:p>
    <w:p w:rsidR="00500724" w:rsidRDefault="00F30FB8">
      <w:pPr>
        <w:pStyle w:val="Zkladntext100"/>
        <w:shd w:val="clear" w:color="auto" w:fill="auto"/>
        <w:spacing w:line="240" w:lineRule="auto"/>
        <w:ind w:firstLine="0"/>
        <w:jc w:val="center"/>
      </w:pPr>
      <w:r>
        <w:t>Dodá každý knihkupec</w:t>
      </w:r>
    </w:p>
    <w:p w:rsidR="00500724" w:rsidRDefault="00F30FB8">
      <w:pPr>
        <w:pStyle w:val="Jin0"/>
        <w:shd w:val="clear" w:color="auto" w:fill="auto"/>
        <w:spacing w:after="740"/>
        <w:ind w:right="720" w:firstLine="0"/>
        <w:jc w:val="right"/>
        <w:rPr>
          <w:sz w:val="44"/>
          <w:szCs w:val="44"/>
        </w:rPr>
      </w:pPr>
      <w:r>
        <w:rPr>
          <w:b/>
          <w:bCs/>
          <w:i/>
          <w:iCs/>
          <w:sz w:val="44"/>
          <w:szCs w:val="44"/>
        </w:rPr>
        <w:t>FR. BOROVÝ</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00"/>
        <w:ind w:left="60"/>
        <w:jc w:val="center"/>
      </w:pPr>
      <w:bookmarkStart w:id="851" w:name="bookmark850"/>
      <w:r>
        <w:rPr>
          <w:color w:val="FFFFFF"/>
        </w:rPr>
        <w:t>VAS VKUS I NÁROKY USPOKOJÍ</w:t>
      </w:r>
      <w:bookmarkEnd w:id="851"/>
    </w:p>
    <w:p w:rsidR="00500724" w:rsidRDefault="00F30FB8">
      <w:pPr>
        <w:pStyle w:val="Zkladntext40"/>
        <w:shd w:val="clear" w:color="auto" w:fill="auto"/>
        <w:spacing w:after="0" w:line="240" w:lineRule="auto"/>
        <w:jc w:val="center"/>
        <w:rPr>
          <w:sz w:val="14"/>
          <w:szCs w:val="14"/>
        </w:rPr>
      </w:pPr>
      <w:r>
        <w:rPr>
          <w:b/>
          <w:bCs/>
          <w:sz w:val="14"/>
          <w:szCs w:val="14"/>
        </w:rPr>
        <w:t>OBUV PRO VYŠŠÍ NÁROKY</w:t>
      </w:r>
    </w:p>
    <w:p w:rsidR="00500724" w:rsidRDefault="00F30FB8">
      <w:pPr>
        <w:pStyle w:val="Jin0"/>
        <w:shd w:val="clear" w:color="auto" w:fill="auto"/>
        <w:spacing w:line="202" w:lineRule="auto"/>
        <w:ind w:firstLine="0"/>
        <w:jc w:val="center"/>
        <w:rPr>
          <w:sz w:val="30"/>
          <w:szCs w:val="30"/>
        </w:rPr>
      </w:pPr>
      <w:r>
        <w:rPr>
          <w:rFonts w:ascii="Arial" w:eastAsia="Arial" w:hAnsi="Arial" w:cs="Arial"/>
          <w:b/>
          <w:bCs/>
          <w:sz w:val="30"/>
          <w:szCs w:val="30"/>
          <w:lang w:val="en-US" w:eastAsia="en-US" w:bidi="en-US"/>
        </w:rPr>
        <w:t xml:space="preserve">FERRY </w:t>
      </w:r>
      <w:r>
        <w:rPr>
          <w:rFonts w:ascii="Arial" w:eastAsia="Arial" w:hAnsi="Arial" w:cs="Arial"/>
          <w:b/>
          <w:bCs/>
          <w:sz w:val="30"/>
          <w:szCs w:val="30"/>
        </w:rPr>
        <w:t>GRAUMANN</w:t>
      </w:r>
    </w:p>
    <w:p w:rsidR="00500724" w:rsidRDefault="00F30FB8">
      <w:pPr>
        <w:pStyle w:val="Zkladntext100"/>
        <w:shd w:val="clear" w:color="auto" w:fill="auto"/>
        <w:tabs>
          <w:tab w:val="left" w:pos="3802"/>
        </w:tabs>
        <w:spacing w:line="240" w:lineRule="auto"/>
        <w:ind w:firstLine="0"/>
        <w:sectPr w:rsidR="00500724">
          <w:footnotePr>
            <w:numFmt w:val="chicago"/>
            <w:numRestart w:val="eachPage"/>
          </w:footnotePr>
          <w:pgSz w:w="11909" w:h="16834"/>
          <w:pgMar w:top="833" w:right="1318" w:bottom="475" w:left="228" w:header="0" w:footer="3" w:gutter="0"/>
          <w:cols w:num="2" w:sep="1" w:space="720" w:equalWidth="0">
            <w:col w:w="5275" w:space="331"/>
            <w:col w:w="4757"/>
          </w:cols>
          <w:noEndnote/>
          <w:docGrid w:linePitch="360"/>
        </w:sectPr>
      </w:pPr>
      <w:r>
        <w:t>PRAHA I., PŘÍKOPY, schodiStě A.</w:t>
      </w:r>
      <w:r>
        <w:tab/>
        <w:t>Tel. 315-28.</w:t>
      </w:r>
    </w:p>
    <w:p w:rsidR="00500724" w:rsidRDefault="00500724">
      <w:pPr>
        <w:spacing w:before="73" w:after="73"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833" w:right="0" w:bottom="475" w:left="0" w:header="0" w:footer="3" w:gutter="0"/>
          <w:cols w:space="720"/>
          <w:noEndnote/>
          <w:docGrid w:linePitch="360"/>
        </w:sectPr>
      </w:pPr>
    </w:p>
    <w:p w:rsidR="00500724" w:rsidRDefault="00F30FB8">
      <w:pPr>
        <w:spacing w:line="14" w:lineRule="exact"/>
      </w:pPr>
      <w:r>
        <w:rPr>
          <w:noProof/>
        </w:rPr>
        <mc:AlternateContent>
          <mc:Choice Requires="wps">
            <w:drawing>
              <wp:anchor distT="0" distB="0" distL="114300" distR="114300" simplePos="0" relativeHeight="125830210" behindDoc="0" locked="0" layoutInCell="1" allowOverlap="1">
                <wp:simplePos x="0" y="0"/>
                <wp:positionH relativeFrom="page">
                  <wp:posOffset>181610</wp:posOffset>
                </wp:positionH>
                <wp:positionV relativeFrom="paragraph">
                  <wp:posOffset>953770</wp:posOffset>
                </wp:positionV>
                <wp:extent cx="2761615" cy="1280160"/>
                <wp:effectExtent l="0" t="0" r="0" b="0"/>
                <wp:wrapSquare wrapText="right"/>
                <wp:docPr id="833" name="Shape 833"/>
                <wp:cNvGraphicFramePr/>
                <a:graphic xmlns:a="http://schemas.openxmlformats.org/drawingml/2006/main">
                  <a:graphicData uri="http://schemas.microsoft.com/office/word/2010/wordprocessingShape">
                    <wps:wsp>
                      <wps:cNvSpPr txBox="1"/>
                      <wps:spPr>
                        <a:xfrm>
                          <a:off x="0" y="0"/>
                          <a:ext cx="2761615" cy="1280160"/>
                        </a:xfrm>
                        <a:prstGeom prst="rect">
                          <a:avLst/>
                        </a:prstGeom>
                        <a:noFill/>
                      </wps:spPr>
                      <wps:txbx>
                        <w:txbxContent>
                          <w:p w:rsidR="00500724" w:rsidRDefault="00F30FB8">
                            <w:pPr>
                              <w:pStyle w:val="Jin0"/>
                              <w:shd w:val="clear" w:color="auto" w:fill="auto"/>
                              <w:spacing w:after="80"/>
                              <w:ind w:firstLine="0"/>
                              <w:jc w:val="left"/>
                              <w:rPr>
                                <w:sz w:val="104"/>
                                <w:szCs w:val="104"/>
                              </w:rPr>
                            </w:pPr>
                            <w:r>
                              <w:rPr>
                                <w:sz w:val="104"/>
                                <w:szCs w:val="104"/>
                              </w:rPr>
                              <w:t>Přítomnost^</w:t>
                            </w:r>
                          </w:p>
                          <w:p w:rsidR="00500724" w:rsidRDefault="00F30FB8">
                            <w:pPr>
                              <w:pStyle w:val="Jin0"/>
                              <w:shd w:val="clear" w:color="auto" w:fill="auto"/>
                              <w:ind w:firstLine="0"/>
                              <w:jc w:val="left"/>
                              <w:rPr>
                                <w:sz w:val="40"/>
                                <w:szCs w:val="40"/>
                              </w:rPr>
                            </w:pPr>
                            <w:r>
                              <w:rPr>
                                <w:rFonts w:ascii="Arial" w:eastAsia="Arial" w:hAnsi="Arial" w:cs="Arial"/>
                                <w:sz w:val="40"/>
                                <w:szCs w:val="40"/>
                                <w:u w:val="single"/>
                              </w:rPr>
                              <w:t>řídí Ferd. Peroutka</w:t>
                            </w:r>
                          </w:p>
                        </w:txbxContent>
                      </wps:txbx>
                      <wps:bodyPr lIns="0" tIns="0" rIns="0" bIns="0">
                        <a:spAutoFit/>
                      </wps:bodyPr>
                    </wps:wsp>
                  </a:graphicData>
                </a:graphic>
              </wp:anchor>
            </w:drawing>
          </mc:Choice>
          <mc:Fallback>
            <w:pict>
              <v:shape id="_x0000_s1859" type="#_x0000_t202" style="position:absolute;margin-left:14.300000000000001pt;margin-top:75.099999999999994pt;width:217.44999999999999pt;height:100.8pt;z-index:-125828543;mso-wrap-distance-left:9.pt;mso-wrap-distance-right:9.pt;mso-position-horizontal-relative:page" filled="f" stroked="f">
                <v:textbox style="mso-fit-shape-to-text:t" inset="0,0,0,0">
                  <w:txbxContent>
                    <w:p>
                      <w:pPr>
                        <w:pStyle w:val="Style12"/>
                        <w:keepNext w:val="0"/>
                        <w:keepLines w:val="0"/>
                        <w:widowControl w:val="0"/>
                        <w:shd w:val="clear" w:color="auto" w:fill="auto"/>
                        <w:bidi w:val="0"/>
                        <w:spacing w:before="0" w:after="80" w:line="240" w:lineRule="auto"/>
                        <w:ind w:left="0" w:right="0" w:firstLine="0"/>
                        <w:jc w:val="left"/>
                        <w:rPr>
                          <w:sz w:val="104"/>
                          <w:szCs w:val="104"/>
                        </w:rPr>
                      </w:pPr>
                      <w:r>
                        <w:rPr>
                          <w:color w:val="000000"/>
                          <w:spacing w:val="0"/>
                          <w:w w:val="100"/>
                          <w:position w:val="0"/>
                          <w:sz w:val="104"/>
                          <w:szCs w:val="104"/>
                          <w:shd w:val="clear" w:color="auto" w:fill="auto"/>
                          <w:lang w:val="cs-CZ" w:eastAsia="cs-CZ" w:bidi="cs-CZ"/>
                        </w:rPr>
                        <w:t>Přítomnost^</w:t>
                      </w:r>
                    </w:p>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u w:val="single"/>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00"/>
        <w:shd w:val="clear" w:color="auto" w:fill="auto"/>
        <w:spacing w:after="480" w:line="300" w:lineRule="auto"/>
        <w:ind w:left="280" w:hanging="280"/>
      </w:pPr>
      <w:r>
        <w:rPr>
          <w:b/>
          <w:bCs/>
        </w:rPr>
        <w:t>OBSAH PŘÍTOMNOSTI ě. 33 s Zdeněk Smetáček: Soumrak evropského parlamentarismu. — L. Machýěek: Obhajoba neza</w:t>
      </w:r>
      <w:r>
        <w:rPr>
          <w:b/>
          <w:bCs/>
        </w:rPr>
        <w:softHyphen/>
        <w:t xml:space="preserve">městnané inteligence. — Miroslav Mičko: Básník už není sám. — Ota Jahoda: Jde o typ mladého Čecha. — K. Kovaěié: Člověk, který zcela podle předpisu </w:t>
      </w:r>
      <w:r>
        <w:rPr>
          <w:b/>
          <w:bCs/>
        </w:rPr>
        <w:t xml:space="preserve">přišel o rozum. — Norricus: Slovenské kulturní otázky. — Týdenní přehled. — Mnoho </w:t>
      </w:r>
      <w:r>
        <w:rPr>
          <w:b/>
          <w:bCs/>
          <w:u w:val="single"/>
        </w:rPr>
        <w:t>nás vzpomíná. — Pryě s literárním brakem. — O ěeské děti. — Půjčky mladým novomanželům.</w:t>
      </w:r>
    </w:p>
    <w:p w:rsidR="00500724" w:rsidRDefault="00F30FB8">
      <w:pPr>
        <w:pStyle w:val="Nadpis90"/>
        <w:keepNext/>
        <w:keepLines/>
        <w:shd w:val="clear" w:color="auto" w:fill="auto"/>
        <w:spacing w:after="140"/>
        <w:ind w:left="220"/>
      </w:pPr>
      <w:bookmarkStart w:id="852" w:name="bookmark851"/>
      <w:r>
        <w:rPr>
          <w:u w:val="single"/>
        </w:rPr>
        <w:t>nezávislý týdeník</w:t>
      </w:r>
      <w:bookmarkEnd w:id="852"/>
    </w:p>
    <w:p w:rsidR="00500724" w:rsidRDefault="00F30FB8">
      <w:pPr>
        <w:pStyle w:val="Zkladntext100"/>
        <w:shd w:val="clear" w:color="auto" w:fill="auto"/>
        <w:spacing w:line="295" w:lineRule="auto"/>
        <w:ind w:right="80" w:firstLine="0"/>
        <w:jc w:val="center"/>
      </w:pPr>
      <w:r>
        <w:t>vychází ve středu v nakladatelství</w:t>
      </w:r>
      <w:r>
        <w:br/>
        <w:t>FR. BOROVÝ V PRAZE I., NÁRODNÍ TR</w:t>
      </w:r>
      <w:r>
        <w:t>lDA 11.</w:t>
      </w:r>
    </w:p>
    <w:p w:rsidR="00500724" w:rsidRDefault="00F30FB8">
      <w:pPr>
        <w:pStyle w:val="Zkladntext40"/>
        <w:shd w:val="clear" w:color="auto" w:fill="auto"/>
        <w:spacing w:after="0" w:line="240" w:lineRule="auto"/>
        <w:jc w:val="right"/>
      </w:pPr>
      <w:r>
        <w:t xml:space="preserve">Telefon číslo 390-51 až 54 • Účet poštovní spořitelny číslo 35.622 • Nevyžádané rukopisy se nevracejí • Předplatné na rok K 100.—. na půl roku K 50.—. na čtvrt roku K 25.—, jednotlivá čisla K 2.—. </w:t>
      </w:r>
      <w:r>
        <w:rPr>
          <w:lang w:val="en-US" w:eastAsia="en-US" w:bidi="en-US"/>
        </w:rPr>
        <w:t xml:space="preserve">Pour </w:t>
      </w:r>
      <w:r>
        <w:t xml:space="preserve">la France et ses </w:t>
      </w:r>
      <w:r>
        <w:rPr>
          <w:lang w:val="en-US" w:eastAsia="en-US" w:bidi="en-US"/>
        </w:rPr>
        <w:t xml:space="preserve">Colonies </w:t>
      </w:r>
      <w:r>
        <w:t xml:space="preserve">Frs 2.50. • Dohléd. </w:t>
      </w:r>
      <w:r>
        <w:t>pošt. úřad Praha 25. • Odpovědný redaktor Zdeněk Richter.</w:t>
      </w:r>
    </w:p>
    <w:p w:rsidR="00500724" w:rsidRDefault="00F30FB8">
      <w:pPr>
        <w:pStyle w:val="Zkladntext100"/>
        <w:shd w:val="clear" w:color="auto" w:fill="auto"/>
        <w:spacing w:after="80"/>
        <w:ind w:firstLine="0"/>
        <w:jc w:val="center"/>
        <w:sectPr w:rsidR="00500724">
          <w:footnotePr>
            <w:numFmt w:val="chicago"/>
            <w:numRestart w:val="eachPage"/>
          </w:footnotePr>
          <w:type w:val="continuous"/>
          <w:pgSz w:w="11909" w:h="16834"/>
          <w:pgMar w:top="833" w:right="1059" w:bottom="475" w:left="228" w:header="0" w:footer="3" w:gutter="0"/>
          <w:cols w:space="720"/>
          <w:noEndnote/>
          <w:docGrid w:linePitch="360"/>
        </w:sectPr>
      </w:pPr>
      <w:r>
        <w:t>TISKEM ORBIS, PRAHA XH., FOCHOVA 62.</w:t>
      </w:r>
    </w:p>
    <w:p w:rsidR="00500724" w:rsidRDefault="00F30FB8">
      <w:pPr>
        <w:pStyle w:val="Jin0"/>
        <w:pBdr>
          <w:bottom w:val="single" w:sz="4" w:space="0" w:color="auto"/>
        </w:pBdr>
        <w:shd w:val="clear" w:color="auto" w:fill="auto"/>
        <w:ind w:firstLine="0"/>
        <w:jc w:val="center"/>
        <w:rPr>
          <w:sz w:val="108"/>
          <w:szCs w:val="108"/>
        </w:rPr>
        <w:sectPr w:rsidR="00500724">
          <w:footnotePr>
            <w:numFmt w:val="chicago"/>
            <w:numRestart w:val="eachPage"/>
          </w:footnotePr>
          <w:pgSz w:w="11909" w:h="16834"/>
          <w:pgMar w:top="622" w:right="1049" w:bottom="1123" w:left="377" w:header="0" w:footer="3" w:gutter="0"/>
          <w:cols w:space="720"/>
          <w:noEndnote/>
          <w:docGrid w:linePitch="360"/>
        </w:sectPr>
      </w:pPr>
      <w:r>
        <w:rPr>
          <w:sz w:val="108"/>
          <w:szCs w:val="108"/>
        </w:rPr>
        <w:t>Přítomnosti</w:t>
      </w:r>
    </w:p>
    <w:p w:rsidR="00500724" w:rsidRDefault="00500724">
      <w:pPr>
        <w:spacing w:after="634" w:line="14" w:lineRule="exact"/>
      </w:pPr>
    </w:p>
    <w:p w:rsidR="00500724" w:rsidRDefault="00500724">
      <w:pPr>
        <w:spacing w:line="14" w:lineRule="exact"/>
        <w:sectPr w:rsidR="00500724">
          <w:footnotePr>
            <w:numFmt w:val="chicago"/>
            <w:numRestart w:val="eachPage"/>
          </w:footnotePr>
          <w:type w:val="continuous"/>
          <w:pgSz w:w="11909" w:h="16834"/>
          <w:pgMar w:top="622" w:right="1049" w:bottom="945" w:left="377" w:header="0" w:footer="3" w:gutter="0"/>
          <w:cols w:space="720"/>
          <w:noEndnote/>
          <w:docGrid w:linePitch="360"/>
        </w:sectPr>
      </w:pPr>
    </w:p>
    <w:p w:rsidR="00500724" w:rsidRDefault="00F30FB8">
      <w:pPr>
        <w:pStyle w:val="Jin0"/>
        <w:shd w:val="clear" w:color="auto" w:fill="auto"/>
        <w:spacing w:after="100"/>
        <w:ind w:firstLine="0"/>
        <w:jc w:val="center"/>
        <w:rPr>
          <w:sz w:val="28"/>
          <w:szCs w:val="28"/>
        </w:rPr>
      </w:pPr>
      <w:r>
        <w:rPr>
          <w:b/>
          <w:bCs/>
          <w:sz w:val="28"/>
          <w:szCs w:val="28"/>
        </w:rPr>
        <w:t>Luk a šípy Španělska</w:t>
      </w:r>
    </w:p>
    <w:p w:rsidR="00500724" w:rsidRDefault="00F30FB8">
      <w:pPr>
        <w:pStyle w:val="Zkladntext20"/>
        <w:framePr w:dropCap="drop" w:lines="2" w:hSpace="14" w:vSpace="14" w:wrap="auto" w:vAnchor="text" w:hAnchor="text"/>
        <w:shd w:val="clear" w:color="auto" w:fill="auto"/>
        <w:spacing w:line="278" w:lineRule="exact"/>
        <w:ind w:firstLine="0"/>
        <w:rPr>
          <w:sz w:val="20"/>
          <w:szCs w:val="20"/>
        </w:rPr>
      </w:pPr>
      <w:r>
        <w:rPr>
          <w:position w:val="-6"/>
          <w:sz w:val="44"/>
          <w:szCs w:val="44"/>
        </w:rPr>
        <w:t>V</w:t>
      </w:r>
    </w:p>
    <w:p w:rsidR="00500724" w:rsidRDefault="00F30FB8">
      <w:pPr>
        <w:pStyle w:val="Zkladntext20"/>
        <w:shd w:val="clear" w:color="auto" w:fill="auto"/>
        <w:spacing w:line="233" w:lineRule="auto"/>
        <w:ind w:firstLine="0"/>
        <w:rPr>
          <w:sz w:val="20"/>
          <w:szCs w:val="20"/>
        </w:rPr>
      </w:pPr>
      <w:r>
        <w:rPr>
          <w:sz w:val="20"/>
          <w:szCs w:val="20"/>
        </w:rPr>
        <w:t xml:space="preserve">e staré radnici města Burgosu složili teď ministři nové španělské vlády přísahu do rukou svého Cau- dilla, gen. </w:t>
      </w:r>
      <w:r>
        <w:rPr>
          <w:sz w:val="20"/>
          <w:szCs w:val="20"/>
          <w:lang w:val="en-US" w:eastAsia="en-US" w:bidi="en-US"/>
        </w:rPr>
        <w:t xml:space="preserve">Franca. </w:t>
      </w:r>
      <w:r>
        <w:rPr>
          <w:sz w:val="20"/>
          <w:szCs w:val="20"/>
        </w:rPr>
        <w:t xml:space="preserve">Trvalo dosti dlouho, než byly sjednány všechny předpoklady pro ustavení tohoto kabinetu. Nyní, když ministerský předseda Suňer převzal </w:t>
      </w:r>
      <w:r>
        <w:rPr>
          <w:sz w:val="20"/>
          <w:szCs w:val="20"/>
        </w:rPr>
        <w:t>svů- nový úřad, vlají nad Španělskem prapory s lukem a šípy: v občanské válce oslavuje Kalanga svoje největší vítězství.</w:t>
      </w:r>
    </w:p>
    <w:p w:rsidR="00500724" w:rsidRDefault="00F30FB8">
      <w:pPr>
        <w:pStyle w:val="Zkladntext20"/>
        <w:shd w:val="clear" w:color="auto" w:fill="auto"/>
        <w:spacing w:line="240" w:lineRule="auto"/>
        <w:ind w:firstLine="260"/>
        <w:rPr>
          <w:sz w:val="20"/>
          <w:szCs w:val="20"/>
        </w:rPr>
      </w:pPr>
      <w:r>
        <w:rPr>
          <w:sz w:val="20"/>
          <w:szCs w:val="20"/>
        </w:rPr>
        <w:t>Letos na jaře prohrála za Pyrenejemi demokra- c i e. Někdo bude dosud přesvědčen, že prohrála proto, že si v dnešním málo demokratickém</w:t>
      </w:r>
      <w:r>
        <w:rPr>
          <w:sz w:val="20"/>
          <w:szCs w:val="20"/>
        </w:rPr>
        <w:t xml:space="preserve"> světě neukládala dost reservy a zacházela příliš daleko; jiní myslí na</w:t>
      </w:r>
      <w:r>
        <w:rPr>
          <w:sz w:val="20"/>
          <w:szCs w:val="20"/>
        </w:rPr>
        <w:softHyphen/>
        <w:t>opak, že se sama odsoudila k porážce, tím že nešla dost daleko a bála se svých vlastních důsledků. Přít se dnes o toto „příliš mnoho“ nebo „příliš málo“ nemá valného smyslu.</w:t>
      </w:r>
    </w:p>
    <w:p w:rsidR="00500724" w:rsidRDefault="00F30FB8">
      <w:pPr>
        <w:pStyle w:val="Zkladntext20"/>
        <w:shd w:val="clear" w:color="auto" w:fill="auto"/>
        <w:spacing w:line="240" w:lineRule="auto"/>
        <w:ind w:firstLine="260"/>
        <w:rPr>
          <w:sz w:val="20"/>
          <w:szCs w:val="20"/>
        </w:rPr>
      </w:pPr>
      <w:r>
        <w:rPr>
          <w:sz w:val="20"/>
          <w:szCs w:val="20"/>
        </w:rPr>
        <w:t xml:space="preserve">Ale teď v </w:t>
      </w:r>
      <w:r>
        <w:rPr>
          <w:sz w:val="20"/>
          <w:szCs w:val="20"/>
        </w:rPr>
        <w:t>srpnu to ve Španělsku prohrála m o- n a r c h i e. Ještě v prvních červencových dnech byl malý zahraniční dvůr exkrále Alfonsa XIII. neoby</w:t>
      </w:r>
      <w:r>
        <w:rPr>
          <w:sz w:val="20"/>
          <w:szCs w:val="20"/>
        </w:rPr>
        <w:softHyphen/>
        <w:t>čejně vzrušen; jeho horečné telefonní rozhovory a depeše, rozesílané na všechny strany, málem přesvěd</w:t>
      </w:r>
      <w:r>
        <w:rPr>
          <w:sz w:val="20"/>
          <w:szCs w:val="20"/>
        </w:rPr>
        <w:softHyphen/>
        <w:t>čily i pochybov</w:t>
      </w:r>
      <w:r>
        <w:rPr>
          <w:sz w:val="20"/>
          <w:szCs w:val="20"/>
        </w:rPr>
        <w:t>ačné korespondenty velikých listů, že kurs svržené dynastie znovu stoupá. Brzy však nové zprávy z oficiálního Španělska zničily už často zkla</w:t>
      </w:r>
      <w:r>
        <w:rPr>
          <w:sz w:val="20"/>
          <w:szCs w:val="20"/>
        </w:rPr>
        <w:softHyphen/>
        <w:t xml:space="preserve">mané naděje: </w:t>
      </w:r>
      <w:r>
        <w:rPr>
          <w:sz w:val="20"/>
          <w:szCs w:val="20"/>
          <w:lang w:val="en-US" w:eastAsia="en-US" w:bidi="en-US"/>
        </w:rPr>
        <w:t xml:space="preserve">Queipo </w:t>
      </w:r>
      <w:r>
        <w:rPr>
          <w:sz w:val="20"/>
          <w:szCs w:val="20"/>
        </w:rPr>
        <w:t xml:space="preserve">de </w:t>
      </w:r>
      <w:r>
        <w:rPr>
          <w:sz w:val="20"/>
          <w:szCs w:val="20"/>
          <w:lang w:val="en-US" w:eastAsia="en-US" w:bidi="en-US"/>
        </w:rPr>
        <w:t xml:space="preserve">Llano </w:t>
      </w:r>
      <w:r>
        <w:rPr>
          <w:sz w:val="20"/>
          <w:szCs w:val="20"/>
        </w:rPr>
        <w:t xml:space="preserve">musel odejít a hvězda dona </w:t>
      </w:r>
      <w:r>
        <w:rPr>
          <w:sz w:val="20"/>
          <w:szCs w:val="20"/>
          <w:lang w:val="en-US" w:eastAsia="en-US" w:bidi="en-US"/>
        </w:rPr>
        <w:t xml:space="preserve">Ramona </w:t>
      </w:r>
      <w:r>
        <w:rPr>
          <w:sz w:val="20"/>
          <w:szCs w:val="20"/>
        </w:rPr>
        <w:t>Serrana Suňera vystupovala ke svému zenitu. To bylo</w:t>
      </w:r>
      <w:r>
        <w:rPr>
          <w:sz w:val="20"/>
          <w:szCs w:val="20"/>
        </w:rPr>
        <w:t xml:space="preserve"> viditelným znamením, že pád republi</w:t>
      </w:r>
      <w:r>
        <w:rPr>
          <w:sz w:val="20"/>
          <w:szCs w:val="20"/>
        </w:rPr>
        <w:softHyphen/>
        <w:t>kánského Španělska nebude vítězstvím španělské mo</w:t>
      </w:r>
      <w:r>
        <w:rPr>
          <w:sz w:val="20"/>
          <w:szCs w:val="20"/>
        </w:rPr>
        <w:softHyphen/>
        <w:t>narchie.</w:t>
      </w:r>
    </w:p>
    <w:p w:rsidR="00500724" w:rsidRDefault="00F30FB8">
      <w:pPr>
        <w:pStyle w:val="Zkladntext20"/>
        <w:shd w:val="clear" w:color="auto" w:fill="auto"/>
        <w:spacing w:line="230" w:lineRule="auto"/>
        <w:ind w:firstLine="260"/>
        <w:rPr>
          <w:sz w:val="20"/>
          <w:szCs w:val="20"/>
        </w:rPr>
      </w:pPr>
      <w:r>
        <w:rPr>
          <w:sz w:val="20"/>
          <w:szCs w:val="20"/>
        </w:rPr>
        <w:t>Proč vlastně nevychází monarchismus vítězně z ob</w:t>
      </w:r>
      <w:r>
        <w:rPr>
          <w:sz w:val="20"/>
          <w:szCs w:val="20"/>
        </w:rPr>
        <w:softHyphen/>
        <w:t>čanské války, v níž byl poražen republikánský demo</w:t>
      </w:r>
      <w:r>
        <w:rPr>
          <w:sz w:val="20"/>
          <w:szCs w:val="20"/>
        </w:rPr>
        <w:softHyphen/>
        <w:t>kratismus? Protože, zní prostá odpověď, jeho státo</w:t>
      </w:r>
      <w:r>
        <w:rPr>
          <w:sz w:val="20"/>
          <w:szCs w:val="20"/>
        </w:rPr>
        <w:softHyphen/>
        <w:t>tvorná sí</w:t>
      </w:r>
      <w:r>
        <w:rPr>
          <w:sz w:val="20"/>
          <w:szCs w:val="20"/>
        </w:rPr>
        <w:t>la není dnes už ani ve Španělsku dostatečně veliká; byla tu však přece potencí tak silnou, že teprve teď je vyřazována z vlivu na vytváření nového Španělska.</w:t>
      </w:r>
    </w:p>
    <w:p w:rsidR="00500724" w:rsidRDefault="00F30FB8">
      <w:pPr>
        <w:pStyle w:val="Zkladntext20"/>
        <w:shd w:val="clear" w:color="auto" w:fill="auto"/>
        <w:spacing w:after="280" w:line="226" w:lineRule="auto"/>
        <w:ind w:firstLine="260"/>
        <w:rPr>
          <w:sz w:val="20"/>
          <w:szCs w:val="20"/>
        </w:rPr>
      </w:pPr>
      <w:r>
        <w:rPr>
          <w:sz w:val="20"/>
          <w:szCs w:val="20"/>
        </w:rPr>
        <w:t>Jestli vůbec kde, pak právě v této zemi míval krá</w:t>
      </w:r>
      <w:r>
        <w:rPr>
          <w:sz w:val="20"/>
          <w:szCs w:val="20"/>
        </w:rPr>
        <w:softHyphen/>
        <w:t>lovský trůn obě svoje klasické opory: vojáka a k</w:t>
      </w:r>
      <w:r>
        <w:rPr>
          <w:sz w:val="20"/>
          <w:szCs w:val="20"/>
        </w:rPr>
        <w:t xml:space="preserve">něze. Zvláště kněz tu býval skoro všemocný a ve všech starších občanských válkách hrával nejdůležitější úlohu. Ty doby minuly; tentokrát už nebylo možno mobiiisovat a organisovat síly nacionálního Španělska ^jen pod znamením kříže. </w:t>
      </w:r>
      <w:r>
        <w:rPr>
          <w:sz w:val="20"/>
          <w:szCs w:val="20"/>
          <w:lang w:val="en-US" w:eastAsia="en-US" w:bidi="en-US"/>
        </w:rPr>
        <w:t xml:space="preserve">Gil Robles, </w:t>
      </w:r>
      <w:r>
        <w:rPr>
          <w:sz w:val="20"/>
          <w:szCs w:val="20"/>
        </w:rPr>
        <w:t>odchovanec j</w:t>
      </w:r>
      <w:r>
        <w:rPr>
          <w:sz w:val="20"/>
          <w:szCs w:val="20"/>
        </w:rPr>
        <w:t>e</w:t>
      </w:r>
      <w:r>
        <w:rPr>
          <w:sz w:val="20"/>
          <w:szCs w:val="20"/>
        </w:rPr>
        <w:softHyphen/>
        <w:t>suitů, a jeho přísně katolické Requety měli na po</w:t>
      </w:r>
      <w:r>
        <w:rPr>
          <w:sz w:val="20"/>
          <w:szCs w:val="20"/>
        </w:rPr>
        <w:softHyphen/>
        <w:t xml:space="preserve">čátku boje značnou moc v některých končinách země; čím dále tím více jí však pozbývali, leckdy ne bez odporu. Všechny církevní organisace podporovaly ovšem věc generála </w:t>
      </w:r>
      <w:r>
        <w:rPr>
          <w:sz w:val="20"/>
          <w:szCs w:val="20"/>
          <w:lang w:val="en-US" w:eastAsia="en-US" w:bidi="en-US"/>
        </w:rPr>
        <w:t xml:space="preserve">Franca </w:t>
      </w:r>
      <w:r>
        <w:rPr>
          <w:sz w:val="20"/>
          <w:szCs w:val="20"/>
        </w:rPr>
        <w:t>— byla-li však první špa</w:t>
      </w:r>
      <w:r>
        <w:rPr>
          <w:sz w:val="20"/>
          <w:szCs w:val="20"/>
        </w:rPr>
        <w:softHyphen/>
        <w:t>něl</w:t>
      </w:r>
      <w:r>
        <w:rPr>
          <w:sz w:val="20"/>
          <w:szCs w:val="20"/>
        </w:rPr>
        <w:t>ská republika v minulém století poražena pod jejich morálním vedením, nelze to už říci v případě druhé republiky. A proto nemohly síly katolické církve sklonití teď vážky ve prospěch restaurace trůnu nej</w:t>
      </w:r>
      <w:r>
        <w:rPr>
          <w:sz w:val="20"/>
          <w:szCs w:val="20"/>
        </w:rPr>
        <w:softHyphen/>
        <w:t xml:space="preserve">křesťanštějších králů. Seňor </w:t>
      </w:r>
      <w:r>
        <w:rPr>
          <w:sz w:val="20"/>
          <w:szCs w:val="20"/>
          <w:lang w:val="en-US" w:eastAsia="en-US" w:bidi="en-US"/>
        </w:rPr>
        <w:t xml:space="preserve">Fernandez </w:t>
      </w:r>
      <w:r>
        <w:rPr>
          <w:sz w:val="20"/>
          <w:szCs w:val="20"/>
        </w:rPr>
        <w:t>Cuesta, po</w:t>
      </w:r>
      <w:r>
        <w:rPr>
          <w:sz w:val="20"/>
          <w:szCs w:val="20"/>
        </w:rPr>
        <w:softHyphen/>
        <w:t>li</w:t>
      </w:r>
      <w:r>
        <w:rPr>
          <w:sz w:val="20"/>
          <w:szCs w:val="20"/>
        </w:rPr>
        <w:t>tická hlava katolických aktivistů, se o to vytrvale pokoušel, naposledy ještě letos v červenci; marně, aspoň prozatím. Je ovšem pravda, že se nevzdává na</w:t>
      </w:r>
      <w:r>
        <w:rPr>
          <w:sz w:val="20"/>
          <w:szCs w:val="20"/>
        </w:rPr>
        <w:softHyphen/>
        <w:t>dějí pro pozdější dobu.</w:t>
      </w:r>
    </w:p>
    <w:p w:rsidR="00500724" w:rsidRDefault="00F30FB8">
      <w:pPr>
        <w:pStyle w:val="Zkladntext20"/>
        <w:shd w:val="clear" w:color="auto" w:fill="auto"/>
        <w:spacing w:line="223" w:lineRule="auto"/>
        <w:ind w:firstLine="260"/>
        <w:rPr>
          <w:sz w:val="20"/>
          <w:szCs w:val="20"/>
        </w:rPr>
      </w:pPr>
      <w:r>
        <w:rPr>
          <w:sz w:val="20"/>
          <w:szCs w:val="20"/>
        </w:rPr>
        <w:t>Pokud jde o armádu, bylo mezi jejími rozhodují- ' čími důstojnickými kádry v č</w:t>
      </w:r>
      <w:r>
        <w:rPr>
          <w:sz w:val="20"/>
          <w:szCs w:val="20"/>
        </w:rPr>
        <w:t>ervenci 1936 jediným šiboletem: republika nebo monarchie. Kdyby byl tehdy boj býval rozhodnut v několika prvních tý</w:t>
      </w:r>
      <w:r>
        <w:rPr>
          <w:sz w:val="20"/>
          <w:szCs w:val="20"/>
        </w:rPr>
        <w:softHyphen/>
        <w:t xml:space="preserve">dnech, kdyby bylo k vítězství nad republikány stačilo prostě ještě jedno vojenské pronunciamento po všech těch, které Španělsko už ve svých </w:t>
      </w:r>
      <w:r>
        <w:rPr>
          <w:sz w:val="20"/>
          <w:szCs w:val="20"/>
        </w:rPr>
        <w:t>dějinách prožilo, pak by byl na jeho konci vtáhl Alfons XIII. znovu do Madridu. Neboť protirepublikánská část armády ne</w:t>
      </w:r>
      <w:r>
        <w:rPr>
          <w:sz w:val="20"/>
          <w:szCs w:val="20"/>
        </w:rPr>
        <w:softHyphen/>
        <w:t>disponovala tenkrát jinou autoritou, kterou by byla mohla v zemi vládnout.</w:t>
      </w:r>
    </w:p>
    <w:p w:rsidR="00500724" w:rsidRDefault="00F30FB8">
      <w:pPr>
        <w:pStyle w:val="Zkladntext20"/>
        <w:shd w:val="clear" w:color="auto" w:fill="auto"/>
        <w:spacing w:line="240" w:lineRule="auto"/>
        <w:ind w:firstLine="260"/>
        <w:rPr>
          <w:sz w:val="20"/>
          <w:szCs w:val="20"/>
        </w:rPr>
      </w:pPr>
      <w:r>
        <w:rPr>
          <w:sz w:val="20"/>
          <w:szCs w:val="20"/>
        </w:rPr>
        <w:t xml:space="preserve">Boj se však protáhl na měsíce a roky. Nestačily věrné řadové </w:t>
      </w:r>
      <w:r>
        <w:rPr>
          <w:sz w:val="20"/>
          <w:szCs w:val="20"/>
        </w:rPr>
        <w:t>pluky, stojící pod prapory, bylo třeba nových rekrutů. Ve 20. století už k tomu úkolu ne</w:t>
      </w:r>
      <w:r>
        <w:rPr>
          <w:sz w:val="20"/>
          <w:szCs w:val="20"/>
        </w:rPr>
        <w:softHyphen/>
        <w:t>stačí dráhové a řetězy; dnes je tu zapotřebí propa</w:t>
      </w:r>
      <w:r>
        <w:rPr>
          <w:sz w:val="20"/>
          <w:szCs w:val="20"/>
        </w:rPr>
        <w:softHyphen/>
        <w:t>gandistů a ideologie. Nic z toho však nemají důstoj</w:t>
      </w:r>
      <w:r>
        <w:rPr>
          <w:sz w:val="20"/>
          <w:szCs w:val="20"/>
        </w:rPr>
        <w:softHyphen/>
        <w:t>nické kádry, které tedy musely přenechat jiným tuto nejdůležitěj</w:t>
      </w:r>
      <w:r>
        <w:rPr>
          <w:sz w:val="20"/>
          <w:szCs w:val="20"/>
        </w:rPr>
        <w:t xml:space="preserve">ší součást vedení dlouhé, vyčerpávající války. To samo o sobě už znamenalo pozvolný sestup monarchistické </w:t>
      </w:r>
      <w:r>
        <w:rPr>
          <w:sz w:val="20"/>
          <w:szCs w:val="20"/>
          <w:lang w:val="en-US" w:eastAsia="en-US" w:bidi="en-US"/>
        </w:rPr>
        <w:t xml:space="preserve">generality </w:t>
      </w:r>
      <w:r>
        <w:rPr>
          <w:sz w:val="20"/>
          <w:szCs w:val="20"/>
        </w:rPr>
        <w:t>z vůdčích posicí naciona</w:t>
      </w:r>
      <w:r>
        <w:rPr>
          <w:sz w:val="20"/>
          <w:szCs w:val="20"/>
        </w:rPr>
        <w:softHyphen/>
        <w:t>listické fronty. Německé a italské expediční sbory, jež definitivně rozhodly občanskou válku ve prospěch nacionali</w:t>
      </w:r>
      <w:r>
        <w:rPr>
          <w:sz w:val="20"/>
          <w:szCs w:val="20"/>
        </w:rPr>
        <w:t>stů, zároveň ji pomohly rozhodnout proti monarchismu. Jejich příchod jen ještě více oslabil význam důstojnických kádrů řadové španělské armá</w:t>
      </w:r>
      <w:r>
        <w:rPr>
          <w:sz w:val="20"/>
          <w:szCs w:val="20"/>
        </w:rPr>
        <w:softHyphen/>
        <w:t>dy a tím i vliv monarchistických kruhů v zemi.</w:t>
      </w:r>
    </w:p>
    <w:p w:rsidR="00500724" w:rsidRDefault="00F30FB8">
      <w:pPr>
        <w:pStyle w:val="Zkladntext20"/>
        <w:shd w:val="clear" w:color="auto" w:fill="auto"/>
        <w:spacing w:line="240" w:lineRule="auto"/>
        <w:ind w:firstLine="260"/>
        <w:rPr>
          <w:sz w:val="20"/>
          <w:szCs w:val="20"/>
        </w:rPr>
      </w:pPr>
      <w:r>
        <w:rPr>
          <w:sz w:val="20"/>
          <w:szCs w:val="20"/>
        </w:rPr>
        <w:t>Politická váha monarchisticky smýšlejícího důstoj- nictva byla tak u</w:t>
      </w:r>
      <w:r>
        <w:rPr>
          <w:sz w:val="20"/>
          <w:szCs w:val="20"/>
        </w:rPr>
        <w:t>ž v průběhu občanské války stlačo</w:t>
      </w:r>
      <w:r>
        <w:rPr>
          <w:sz w:val="20"/>
          <w:szCs w:val="20"/>
        </w:rPr>
        <w:softHyphen/>
        <w:t>vána převahou, kterou ve vedení války na sebe strho</w:t>
      </w:r>
      <w:r>
        <w:rPr>
          <w:sz w:val="20"/>
          <w:szCs w:val="20"/>
        </w:rPr>
        <w:softHyphen/>
        <w:t xml:space="preserve">vali představitelé politické propagandy a organisace, soustředěné v nejaktivnější straně, podporované i ze zahraničí. A po ukončeném tažení je osud Queipa de </w:t>
      </w:r>
      <w:r>
        <w:rPr>
          <w:sz w:val="20"/>
          <w:szCs w:val="20"/>
          <w:lang w:val="en-US" w:eastAsia="en-US" w:bidi="en-US"/>
        </w:rPr>
        <w:t xml:space="preserve">Llano </w:t>
      </w:r>
      <w:r>
        <w:rPr>
          <w:sz w:val="20"/>
          <w:szCs w:val="20"/>
        </w:rPr>
        <w:t xml:space="preserve">a pád </w:t>
      </w:r>
      <w:r>
        <w:rPr>
          <w:sz w:val="20"/>
          <w:szCs w:val="20"/>
        </w:rPr>
        <w:t>hraběte Jordány dalším záměrným oslabe</w:t>
      </w:r>
      <w:r>
        <w:rPr>
          <w:sz w:val="20"/>
          <w:szCs w:val="20"/>
        </w:rPr>
        <w:softHyphen/>
        <w:t>ním vlivu důstojnického monarchismu v novém státě. Ten se tím ocitá v jakési skryté oposici, s níž jsou teď někdy spojována jména generálů Arandy, Solchagy, Varely, Vallina a Dávily.</w:t>
      </w:r>
    </w:p>
    <w:p w:rsidR="00500724" w:rsidRDefault="00F30FB8">
      <w:pPr>
        <w:pStyle w:val="Zkladntext20"/>
        <w:shd w:val="clear" w:color="auto" w:fill="auto"/>
        <w:spacing w:after="60" w:line="240" w:lineRule="auto"/>
        <w:ind w:firstLine="260"/>
        <w:rPr>
          <w:sz w:val="20"/>
          <w:szCs w:val="20"/>
        </w:rPr>
      </w:pPr>
      <w:r>
        <w:rPr>
          <w:sz w:val="20"/>
          <w:szCs w:val="20"/>
        </w:rPr>
        <w:t xml:space="preserve">S králem Alfonsem zůstává za hranicemi nového Španělska i veliký finančník gen. </w:t>
      </w:r>
      <w:r>
        <w:rPr>
          <w:sz w:val="20"/>
          <w:szCs w:val="20"/>
          <w:lang w:val="en-US" w:eastAsia="en-US" w:bidi="en-US"/>
        </w:rPr>
        <w:t xml:space="preserve">Franca March </w:t>
      </w:r>
      <w:r>
        <w:rPr>
          <w:sz w:val="20"/>
          <w:szCs w:val="20"/>
        </w:rPr>
        <w:t>a s ním třetí figura klasické monarchie starých časů, muž se zlatým žokem. Nebude restaurace království, nebude ani obnovy kapitalismu v jeho bývalé podobě.</w:t>
      </w:r>
    </w:p>
    <w:p w:rsidR="00500724" w:rsidRDefault="00F30FB8">
      <w:pPr>
        <w:pStyle w:val="Zkladntext20"/>
        <w:shd w:val="clear" w:color="auto" w:fill="auto"/>
        <w:spacing w:after="100" w:line="240" w:lineRule="auto"/>
        <w:ind w:left="60" w:firstLine="0"/>
        <w:jc w:val="center"/>
        <w:rPr>
          <w:sz w:val="20"/>
          <w:szCs w:val="20"/>
        </w:rPr>
      </w:pPr>
      <w:r>
        <w:rPr>
          <w:sz w:val="20"/>
          <w:szCs w:val="20"/>
        </w:rPr>
        <w:t>•</w:t>
      </w:r>
    </w:p>
    <w:p w:rsidR="00500724" w:rsidRDefault="00F30FB8">
      <w:pPr>
        <w:pStyle w:val="Zkladntext20"/>
        <w:shd w:val="clear" w:color="auto" w:fill="auto"/>
        <w:spacing w:after="40" w:line="223" w:lineRule="auto"/>
        <w:ind w:firstLine="260"/>
        <w:rPr>
          <w:sz w:val="20"/>
          <w:szCs w:val="20"/>
        </w:rPr>
      </w:pPr>
      <w:r>
        <w:rPr>
          <w:sz w:val="20"/>
          <w:szCs w:val="20"/>
        </w:rPr>
        <w:t>Špan</w:t>
      </w:r>
      <w:r>
        <w:rPr>
          <w:sz w:val="20"/>
          <w:szCs w:val="20"/>
        </w:rPr>
        <w:t>ělský kapitál byl i před r. 1936 poměrně slabý, dnes je ještě vyčerpanější těžkou válkou a všemi je</w:t>
      </w:r>
      <w:r>
        <w:rPr>
          <w:sz w:val="20"/>
          <w:szCs w:val="20"/>
        </w:rPr>
        <w:softHyphen/>
        <w:t>jími důsledky. V královském Španělsku byla hospo</w:t>
      </w:r>
      <w:r>
        <w:rPr>
          <w:sz w:val="20"/>
          <w:szCs w:val="20"/>
        </w:rPr>
        <w:softHyphen/>
        <w:t>dářská převaha na straně cizího, hlavně anglického kapitálu; teď stojí Francovo Španělsko před úkolem rekon</w:t>
      </w:r>
      <w:r>
        <w:rPr>
          <w:sz w:val="20"/>
          <w:szCs w:val="20"/>
        </w:rPr>
        <w:t>strukce a tedy i před otázkou, kdo ji bude pro</w:t>
      </w:r>
      <w:r>
        <w:rPr>
          <w:sz w:val="20"/>
          <w:szCs w:val="20"/>
        </w:rPr>
        <w:softHyphen/>
        <w:t>vádět a kdo si při jejím provádění nezbytně a samo</w:t>
      </w:r>
      <w:r>
        <w:rPr>
          <w:sz w:val="20"/>
          <w:szCs w:val="20"/>
        </w:rPr>
        <w:softHyphen/>
        <w:t>zřejmě zajistí rozhodující hospodářské posice v zemi.</w:t>
      </w:r>
    </w:p>
    <w:p w:rsidR="00500724" w:rsidRDefault="00F30FB8">
      <w:pPr>
        <w:pStyle w:val="Zkladntext20"/>
        <w:shd w:val="clear" w:color="auto" w:fill="auto"/>
        <w:spacing w:line="240" w:lineRule="auto"/>
        <w:ind w:firstLine="0"/>
        <w:rPr>
          <w:sz w:val="20"/>
          <w:szCs w:val="20"/>
        </w:rPr>
      </w:pPr>
      <w:r>
        <w:rPr>
          <w:sz w:val="20"/>
          <w:szCs w:val="20"/>
        </w:rPr>
        <w:t>Obnovit bezvýhradně ducha klasického kapitalismu ve Španělsku by znamenalo otevřít dokořán všechny dveře</w:t>
      </w:r>
      <w:r>
        <w:rPr>
          <w:sz w:val="20"/>
          <w:szCs w:val="20"/>
        </w:rPr>
        <w:t xml:space="preserve"> zahraničnímu kapitálu, který by sem spěchal financovat investiční práce obnovy. Pronikal by do země jak podle míry své vlastní hospodářské váhy, tak i podle síly politických zájmů. Není však dosud ve světě kapitálu větší síly nad libru šterlinků a anglick</w:t>
      </w:r>
      <w:r>
        <w:rPr>
          <w:sz w:val="20"/>
          <w:szCs w:val="20"/>
        </w:rPr>
        <w:t xml:space="preserve">ý zájem na „zázemí“ Gibraltaru by neodměřo- val skoupě podmínky anglických půjček; ve Francii by podobný zájem o pyrenejské hranice také otevřel pokladny pro pomoc při hospodářské rekonstrukci Španělska. V </w:t>
      </w:r>
      <w:r>
        <w:rPr>
          <w:sz w:val="20"/>
          <w:szCs w:val="20"/>
          <w:lang w:val="en-US" w:eastAsia="en-US" w:bidi="en-US"/>
        </w:rPr>
        <w:t xml:space="preserve">Downing </w:t>
      </w:r>
      <w:r>
        <w:rPr>
          <w:sz w:val="20"/>
          <w:szCs w:val="20"/>
        </w:rPr>
        <w:t>streetu zbudovali na těchto vyhlídkách zák</w:t>
      </w:r>
      <w:r>
        <w:rPr>
          <w:sz w:val="20"/>
          <w:szCs w:val="20"/>
        </w:rPr>
        <w:t>ladnu své známé gentlemenské dohody s Itálií: jen ať odejdou italští a němečtí legionáři — po nich vtáhne do země libra a frank.</w:t>
      </w:r>
    </w:p>
    <w:p w:rsidR="00500724" w:rsidRDefault="00F30FB8">
      <w:pPr>
        <w:pStyle w:val="Zkladntext20"/>
        <w:shd w:val="clear" w:color="auto" w:fill="auto"/>
        <w:spacing w:line="240" w:lineRule="auto"/>
        <w:ind w:firstLine="260"/>
        <w:rPr>
          <w:sz w:val="20"/>
          <w:szCs w:val="20"/>
        </w:rPr>
      </w:pPr>
      <w:r>
        <w:rPr>
          <w:sz w:val="20"/>
          <w:szCs w:val="20"/>
        </w:rPr>
        <w:t>Spekulace se nepodařila. Neboť legie neopustily španělskou půdu dřív, než po vítězství nad „rudými“ zajistily ještě také uvnitř</w:t>
      </w:r>
      <w:r>
        <w:rPr>
          <w:sz w:val="20"/>
          <w:szCs w:val="20"/>
        </w:rPr>
        <w:t xml:space="preserve"> nacionálního Španělska vítězství Falangy.</w:t>
      </w:r>
    </w:p>
    <w:p w:rsidR="00500724" w:rsidRDefault="00F30FB8">
      <w:pPr>
        <w:pStyle w:val="Zkladntext20"/>
        <w:shd w:val="clear" w:color="auto" w:fill="auto"/>
        <w:spacing w:after="160" w:line="240" w:lineRule="auto"/>
        <w:ind w:firstLine="0"/>
        <w:jc w:val="center"/>
        <w:rPr>
          <w:sz w:val="20"/>
          <w:szCs w:val="20"/>
        </w:rPr>
      </w:pPr>
      <w:r>
        <w:rPr>
          <w:sz w:val="20"/>
          <w:szCs w:val="20"/>
        </w:rPr>
        <w:t>•</w:t>
      </w:r>
    </w:p>
    <w:p w:rsidR="00500724" w:rsidRDefault="00F30FB8">
      <w:pPr>
        <w:pStyle w:val="Zkladntext20"/>
        <w:shd w:val="clear" w:color="auto" w:fill="auto"/>
        <w:spacing w:line="233" w:lineRule="auto"/>
        <w:ind w:firstLine="260"/>
        <w:rPr>
          <w:sz w:val="20"/>
          <w:szCs w:val="20"/>
        </w:rPr>
      </w:pPr>
      <w:r>
        <w:rPr>
          <w:sz w:val="20"/>
          <w:szCs w:val="20"/>
        </w:rPr>
        <w:t>Na počátku občanské války byla F a 1 a n g e Espaňola jen jednou složkou nacionalistické fronty vedle organisaci katolických Requet a mo- narchistických tradicionalistů. Její vlastní aktivita pod cílevědomým ved</w:t>
      </w:r>
      <w:r>
        <w:rPr>
          <w:sz w:val="20"/>
          <w:szCs w:val="20"/>
        </w:rPr>
        <w:t>ením Sufierovým a zahraniční podpora zjednaly jí však brzo postavení v zemi, že při přechodu k systému jediné strany, jejž si především ona sama vynutila, bylo nacionalistické hnutí sloučeno sjednocovacím dekretem z dubna 1937 právě v rámci Falangy. Ta pot</w:t>
      </w:r>
      <w:r>
        <w:rPr>
          <w:sz w:val="20"/>
          <w:szCs w:val="20"/>
        </w:rPr>
        <w:t>om přijala do svého názvu i jméno druhé nejsilnější složky nacionalistického hnutí a jmenuje se od té doby Falange Espaňola Tradiciona</w:t>
      </w:r>
      <w:r>
        <w:rPr>
          <w:sz w:val="20"/>
          <w:szCs w:val="20"/>
        </w:rPr>
        <w:softHyphen/>
        <w:t>lista. Další krok k jejímu vnějšímu upevnění byl pro</w:t>
      </w:r>
      <w:r>
        <w:rPr>
          <w:sz w:val="20"/>
          <w:szCs w:val="20"/>
        </w:rPr>
        <w:softHyphen/>
        <w:t xml:space="preserve">veden také ještě v r. 1937 na podzim, kdy Caudillo nařídil včlenění </w:t>
      </w:r>
      <w:r>
        <w:rPr>
          <w:sz w:val="20"/>
          <w:szCs w:val="20"/>
        </w:rPr>
        <w:t>celé armády do jejích řad. Tak dnes ztělesňuje Falanga jednotu národního Španělska, která si teď po skončení občanské války staví podle vládního prohlášení Suňerova kabinetu za úkol „pře</w:t>
      </w:r>
      <w:r>
        <w:rPr>
          <w:sz w:val="20"/>
          <w:szCs w:val="20"/>
        </w:rPr>
        <w:softHyphen/>
        <w:t>devším posíliti mravní jednotu Španělů, která spojí v obětavé lásce k</w:t>
      </w:r>
      <w:r>
        <w:rPr>
          <w:sz w:val="20"/>
          <w:szCs w:val="20"/>
        </w:rPr>
        <w:t xml:space="preserve"> vlasti i všechny ty, jež jí chtěl marxismus vyrvati“. A aby sama v sobě upevnila orga</w:t>
      </w:r>
      <w:r>
        <w:rPr>
          <w:sz w:val="20"/>
          <w:szCs w:val="20"/>
        </w:rPr>
        <w:softHyphen/>
        <w:t>nisační jednotu, dost přirozeně otřesenou přílivem nezcela sourodých živlů, utvořila nyní podle směrnic Francova reorganisačního dekretu Politickou juntu Národní rady. M</w:t>
      </w:r>
      <w:r>
        <w:rPr>
          <w:sz w:val="20"/>
          <w:szCs w:val="20"/>
        </w:rPr>
        <w:t>á-li celkem málo významná Národní rada na padesát členů, vybraných ze všech složek sjednocené strany, má jich rozhodující Politická junta jenom patnáct, vesměs blízkých starému jádru Falangy.</w:t>
      </w:r>
    </w:p>
    <w:p w:rsidR="00500724" w:rsidRDefault="00F30FB8">
      <w:pPr>
        <w:pStyle w:val="Zkladntext20"/>
        <w:shd w:val="clear" w:color="auto" w:fill="auto"/>
        <w:spacing w:line="233" w:lineRule="auto"/>
        <w:ind w:firstLine="260"/>
        <w:rPr>
          <w:sz w:val="20"/>
          <w:szCs w:val="20"/>
        </w:rPr>
      </w:pPr>
      <w:r>
        <w:rPr>
          <w:sz w:val="20"/>
          <w:szCs w:val="20"/>
        </w:rPr>
        <w:t>Falanga je syndikalistická. Chce se tak vědomě při</w:t>
      </w:r>
      <w:r>
        <w:rPr>
          <w:sz w:val="20"/>
          <w:szCs w:val="20"/>
        </w:rPr>
        <w:softHyphen/>
        <w:t>pnout k tradi</w:t>
      </w:r>
      <w:r>
        <w:rPr>
          <w:sz w:val="20"/>
          <w:szCs w:val="20"/>
        </w:rPr>
        <w:t>cím, nejsilnějším ve španělském lidu; naučila se tu mnohému od Německa a Itálie. Jejím učitelem byl zejména seňor Sufier, jenž dovedl pře</w:t>
      </w:r>
      <w:r>
        <w:rPr>
          <w:sz w:val="20"/>
          <w:szCs w:val="20"/>
        </w:rPr>
        <w:softHyphen/>
        <w:t xml:space="preserve">svědčiti svého švagra gen. </w:t>
      </w:r>
      <w:r>
        <w:rPr>
          <w:sz w:val="20"/>
          <w:szCs w:val="20"/>
          <w:lang w:val="en-US" w:eastAsia="en-US" w:bidi="en-US"/>
        </w:rPr>
        <w:t xml:space="preserve">Franca, </w:t>
      </w:r>
      <w:r>
        <w:rPr>
          <w:sz w:val="20"/>
          <w:szCs w:val="20"/>
        </w:rPr>
        <w:t>že prostředky pouhé neomalené vojenské diktatury nemohou být ani zda</w:t>
      </w:r>
      <w:r>
        <w:rPr>
          <w:sz w:val="20"/>
          <w:szCs w:val="20"/>
        </w:rPr>
        <w:softHyphen/>
        <w:t>leka tak účinn</w:t>
      </w:r>
      <w:r>
        <w:rPr>
          <w:sz w:val="20"/>
          <w:szCs w:val="20"/>
        </w:rPr>
        <w:t>é jako metody totalitní strany.</w:t>
      </w:r>
    </w:p>
    <w:p w:rsidR="00500724" w:rsidRDefault="00F30FB8">
      <w:pPr>
        <w:pStyle w:val="Zkladntext20"/>
        <w:shd w:val="clear" w:color="auto" w:fill="auto"/>
        <w:spacing w:line="240" w:lineRule="auto"/>
        <w:ind w:firstLine="260"/>
      </w:pPr>
      <w:r>
        <w:rPr>
          <w:sz w:val="20"/>
          <w:szCs w:val="20"/>
        </w:rPr>
        <w:t>Směr tak vysloveně protidemokratický a protilibe- ralistický musí býti v jistém smyslu i protikapita- listický — a Falanga to píše na svoje prapory, pyšně, třeba ne zcela originálně. Známou základní zásadou klasického kapita</w:t>
      </w:r>
      <w:r>
        <w:rPr>
          <w:sz w:val="20"/>
          <w:szCs w:val="20"/>
        </w:rPr>
        <w:t xml:space="preserve">lismu v jeho liberalistické éře bylo, že státní potřeby mohou být zdravě kryty jen </w:t>
      </w:r>
      <w:r>
        <w:t>z pře</w:t>
      </w:r>
      <w:r>
        <w:softHyphen/>
      </w:r>
    </w:p>
    <w:p w:rsidR="00500724" w:rsidRDefault="00F30FB8">
      <w:pPr>
        <w:pStyle w:val="Zkladntext20"/>
        <w:shd w:val="clear" w:color="auto" w:fill="auto"/>
        <w:spacing w:line="233" w:lineRule="auto"/>
        <w:ind w:firstLine="0"/>
        <w:rPr>
          <w:sz w:val="20"/>
          <w:szCs w:val="20"/>
        </w:rPr>
      </w:pPr>
      <w:r>
        <w:rPr>
          <w:sz w:val="20"/>
          <w:szCs w:val="20"/>
        </w:rPr>
        <w:t>bytků národního hospodářství. Tento systém ne</w:t>
      </w:r>
      <w:r>
        <w:rPr>
          <w:sz w:val="20"/>
          <w:szCs w:val="20"/>
        </w:rPr>
        <w:softHyphen/>
        <w:t>měl ovšem nikdy nic proti tomu, aby se tyto přebytky podle potřeby zvyšovaly na účet pracujících a spotře</w:t>
      </w:r>
      <w:r>
        <w:rPr>
          <w:sz w:val="20"/>
          <w:szCs w:val="20"/>
        </w:rPr>
        <w:softHyphen/>
        <w:t>bitelských vrs</w:t>
      </w:r>
      <w:r>
        <w:rPr>
          <w:sz w:val="20"/>
          <w:szCs w:val="20"/>
        </w:rPr>
        <w:t>tev; avšak žárlivě střehl před zásahy státu kapitálovou substanci, jež byla základem hospodářské i politické moci kapitalistů. Mohl to s větším nebo menším úspěchem praktikovat v dobách svého zdraví; když jej však světová krise uvrhla do vleklé choroby, vz</w:t>
      </w:r>
      <w:r>
        <w:rPr>
          <w:sz w:val="20"/>
          <w:szCs w:val="20"/>
        </w:rPr>
        <w:t>nikly představy o jiných mož</w:t>
      </w:r>
      <w:r>
        <w:rPr>
          <w:sz w:val="20"/>
          <w:szCs w:val="20"/>
        </w:rPr>
        <w:softHyphen/>
        <w:t>nostech státního hospodaření a s nimi i síly, ochotné tyto představy uskutečňovat. Falanga je jejich špa</w:t>
      </w:r>
      <w:r>
        <w:rPr>
          <w:sz w:val="20"/>
          <w:szCs w:val="20"/>
        </w:rPr>
        <w:softHyphen/>
        <w:t>nělskou odrůdou.</w:t>
      </w:r>
    </w:p>
    <w:p w:rsidR="00500724" w:rsidRDefault="00F30FB8">
      <w:pPr>
        <w:pStyle w:val="Zkladntext20"/>
        <w:shd w:val="clear" w:color="auto" w:fill="auto"/>
        <w:spacing w:line="233" w:lineRule="auto"/>
        <w:ind w:firstLine="260"/>
        <w:rPr>
          <w:sz w:val="20"/>
          <w:szCs w:val="20"/>
        </w:rPr>
      </w:pPr>
      <w:r>
        <w:rPr>
          <w:sz w:val="20"/>
          <w:szCs w:val="20"/>
        </w:rPr>
        <w:t>Hospodářský program jev Sufierově vládním prohlášení formulován do tří vět: „Nejvyšší cíle ná</w:t>
      </w:r>
      <w:r>
        <w:rPr>
          <w:sz w:val="20"/>
          <w:szCs w:val="20"/>
        </w:rPr>
        <w:softHyphen/>
        <w:t>rodního pov</w:t>
      </w:r>
      <w:r>
        <w:rPr>
          <w:sz w:val="20"/>
          <w:szCs w:val="20"/>
        </w:rPr>
        <w:t>znesení vyžadují, aby Španělsko nastou</w:t>
      </w:r>
      <w:r>
        <w:rPr>
          <w:sz w:val="20"/>
          <w:szCs w:val="20"/>
        </w:rPr>
        <w:softHyphen/>
        <w:t>pilo co nejdříve plodnou cestu obnovy a využití svých bohatství. Vláda nechce činiti laciných slibů. Barbar</w:t>
      </w:r>
      <w:r>
        <w:rPr>
          <w:sz w:val="20"/>
          <w:szCs w:val="20"/>
        </w:rPr>
        <w:softHyphen/>
        <w:t>ský vpád marxismu, zrodivšího se a potřeného v lůně naší vlasti, rozrušil naše hospodářství a uložil nám přís</w:t>
      </w:r>
      <w:r>
        <w:rPr>
          <w:sz w:val="20"/>
          <w:szCs w:val="20"/>
        </w:rPr>
        <w:t>né období obětí, zostřované ještě vytrvalými po</w:t>
      </w:r>
      <w:r>
        <w:rPr>
          <w:sz w:val="20"/>
          <w:szCs w:val="20"/>
        </w:rPr>
        <w:softHyphen/>
        <w:t>kusy poraženého nepřítele o odpor, projevující se jeho marnými snahami.“</w:t>
      </w:r>
    </w:p>
    <w:p w:rsidR="00500724" w:rsidRDefault="00F30FB8">
      <w:pPr>
        <w:pStyle w:val="Zkladntext20"/>
        <w:shd w:val="clear" w:color="auto" w:fill="auto"/>
        <w:spacing w:line="240" w:lineRule="auto"/>
        <w:ind w:firstLine="260"/>
        <w:rPr>
          <w:sz w:val="20"/>
          <w:szCs w:val="20"/>
        </w:rPr>
      </w:pPr>
      <w:r>
        <w:rPr>
          <w:sz w:val="20"/>
          <w:szCs w:val="20"/>
        </w:rPr>
        <w:t>Juan Ventosa, kdysi královský ministr a nyní ještě předseda Hispanoamerické elektrické společnosti, zná</w:t>
      </w:r>
      <w:r>
        <w:rPr>
          <w:sz w:val="20"/>
          <w:szCs w:val="20"/>
        </w:rPr>
        <w:softHyphen/>
        <w:t xml:space="preserve">mý finančník seňor Cambo a </w:t>
      </w:r>
      <w:r>
        <w:rPr>
          <w:sz w:val="20"/>
          <w:szCs w:val="20"/>
        </w:rPr>
        <w:t>někteří jiní stejně vý</w:t>
      </w:r>
      <w:r>
        <w:rPr>
          <w:sz w:val="20"/>
          <w:szCs w:val="20"/>
        </w:rPr>
        <w:softHyphen/>
        <w:t>znační mužové monarchistického režimu by se snad mohli v nacionalistickém Španělsku stát jádrem opo</w:t>
      </w:r>
      <w:r>
        <w:rPr>
          <w:sz w:val="20"/>
          <w:szCs w:val="20"/>
        </w:rPr>
        <w:softHyphen/>
        <w:t>sice těch civilně smýšlejících, pohodlí milovných živlů, jimž se příliš nechce „žiti nebezpečně“ podle musso- liniovského ideálu.</w:t>
      </w:r>
    </w:p>
    <w:p w:rsidR="00500724" w:rsidRDefault="00F30FB8">
      <w:pPr>
        <w:pStyle w:val="Zkladntext20"/>
        <w:shd w:val="clear" w:color="auto" w:fill="auto"/>
        <w:spacing w:after="140" w:line="180" w:lineRule="auto"/>
        <w:ind w:firstLine="0"/>
        <w:jc w:val="center"/>
        <w:rPr>
          <w:sz w:val="20"/>
          <w:szCs w:val="20"/>
        </w:rPr>
      </w:pPr>
      <w:r>
        <w:rPr>
          <w:sz w:val="20"/>
          <w:szCs w:val="20"/>
        </w:rPr>
        <w:t>•</w:t>
      </w:r>
    </w:p>
    <w:p w:rsidR="00500724" w:rsidRDefault="00F30FB8">
      <w:pPr>
        <w:pStyle w:val="Zkladntext20"/>
        <w:shd w:val="clear" w:color="auto" w:fill="auto"/>
        <w:spacing w:line="240" w:lineRule="auto"/>
        <w:ind w:firstLine="260"/>
        <w:rPr>
          <w:sz w:val="20"/>
          <w:szCs w:val="20"/>
        </w:rPr>
      </w:pPr>
      <w:r>
        <w:rPr>
          <w:sz w:val="20"/>
          <w:szCs w:val="20"/>
        </w:rPr>
        <w:t>O</w:t>
      </w:r>
      <w:r>
        <w:rPr>
          <w:sz w:val="20"/>
          <w:szCs w:val="20"/>
        </w:rPr>
        <w:t xml:space="preserve"> zahraniční politice vládní prohlášení samo nemluví. Při jiných příležitostech byla ovšem už mno</w:t>
      </w:r>
      <w:r>
        <w:rPr>
          <w:sz w:val="20"/>
          <w:szCs w:val="20"/>
        </w:rPr>
        <w:softHyphen/>
        <w:t>hokrát zdůrazněna obzvláštní loyalita nacionálního Španělska k těm, kdo přispěli k jeho triumfu. Z přá</w:t>
      </w:r>
      <w:r>
        <w:rPr>
          <w:sz w:val="20"/>
          <w:szCs w:val="20"/>
        </w:rPr>
        <w:softHyphen/>
        <w:t>telských vztahů k ostatnímu světu mají být vyňaty jen st</w:t>
      </w:r>
      <w:r>
        <w:rPr>
          <w:sz w:val="20"/>
          <w:szCs w:val="20"/>
        </w:rPr>
        <w:t>áty, propadlé komunismu a atheismu. Tu se zřejmě myslí na Rusko a Mexiko.</w:t>
      </w:r>
    </w:p>
    <w:p w:rsidR="00500724" w:rsidRDefault="00F30FB8">
      <w:pPr>
        <w:pStyle w:val="Zkladntext20"/>
        <w:shd w:val="clear" w:color="auto" w:fill="auto"/>
        <w:spacing w:line="240" w:lineRule="auto"/>
        <w:ind w:firstLine="260"/>
        <w:rPr>
          <w:sz w:val="20"/>
          <w:szCs w:val="20"/>
        </w:rPr>
      </w:pPr>
      <w:r>
        <w:rPr>
          <w:sz w:val="20"/>
          <w:szCs w:val="20"/>
        </w:rPr>
        <w:t>Určitou nápovědí o směru příští španělské zahra</w:t>
      </w:r>
      <w:r>
        <w:rPr>
          <w:sz w:val="20"/>
          <w:szCs w:val="20"/>
        </w:rPr>
        <w:softHyphen/>
        <w:t>niční politiky by mohla být osoba jejího nového šéfa. Plukovník Beigbeder, vnuk elsaského emigranta, má jako nejvyšší komisař španělsk</w:t>
      </w:r>
      <w:r>
        <w:rPr>
          <w:sz w:val="20"/>
          <w:szCs w:val="20"/>
        </w:rPr>
        <w:t>ého Maroka největší zásluhy o pomoc 100.000 Marokánců v občanské válce. Ve vojenství je žákem pařížské válečné školy, v politi</w:t>
      </w:r>
      <w:r>
        <w:rPr>
          <w:sz w:val="20"/>
          <w:szCs w:val="20"/>
        </w:rPr>
        <w:softHyphen/>
        <w:t>ce je žákem francouzského koloniálního maršála Lyau- teye. Francouzský tisk se domníval, že může přivítat jeho jmenování ministre</w:t>
      </w:r>
      <w:r>
        <w:rPr>
          <w:sz w:val="20"/>
          <w:szCs w:val="20"/>
        </w:rPr>
        <w:t>m zahraničních věcí, protože prý lze od něho očekávati, že „nedá Španělsku klesnou- ti na úroveň pouhého statisty“. Říká se také, že plu</w:t>
      </w:r>
      <w:r>
        <w:rPr>
          <w:sz w:val="20"/>
          <w:szCs w:val="20"/>
        </w:rPr>
        <w:softHyphen/>
        <w:t>kovník Beigbeder patří k těm, kdo jsou přesvědčeni, že občanskou válkou vyčerpané Španělsko musí v kaž</w:t>
      </w:r>
      <w:r>
        <w:rPr>
          <w:sz w:val="20"/>
          <w:szCs w:val="20"/>
        </w:rPr>
        <w:softHyphen/>
        <w:t>dém evropském ko</w:t>
      </w:r>
      <w:r>
        <w:rPr>
          <w:sz w:val="20"/>
          <w:szCs w:val="20"/>
        </w:rPr>
        <w:t>nfliktu zachovat pří )u, nestran</w:t>
      </w:r>
      <w:r>
        <w:rPr>
          <w:sz w:val="20"/>
          <w:szCs w:val="20"/>
        </w:rPr>
        <w:softHyphen/>
        <w:t>nou neutralitu.</w:t>
      </w:r>
    </w:p>
    <w:p w:rsidR="00500724" w:rsidRDefault="00F30FB8">
      <w:pPr>
        <w:pStyle w:val="Zkladntext20"/>
        <w:shd w:val="clear" w:color="auto" w:fill="auto"/>
        <w:tabs>
          <w:tab w:val="left" w:pos="3682"/>
        </w:tabs>
        <w:spacing w:line="233" w:lineRule="auto"/>
        <w:ind w:firstLine="260"/>
      </w:pPr>
      <w:r>
        <w:rPr>
          <w:sz w:val="20"/>
          <w:szCs w:val="20"/>
        </w:rPr>
        <w:t xml:space="preserve">Prozatím je rozhodnuto o tom, kdo bude napínat luk Falangy: </w:t>
      </w:r>
      <w:r>
        <w:rPr>
          <w:sz w:val="20"/>
          <w:szCs w:val="20"/>
          <w:lang w:val="en-US" w:eastAsia="en-US" w:bidi="en-US"/>
        </w:rPr>
        <w:t xml:space="preserve">Serrano </w:t>
      </w:r>
      <w:r>
        <w:rPr>
          <w:sz w:val="20"/>
          <w:szCs w:val="20"/>
        </w:rPr>
        <w:t>Sufier je po gen. Francovi prvním mužem nacionálního Španělska. Šípy Falangy zůstanou namířeny především pořád ještě proti „rudým“. Mluví s</w:t>
      </w:r>
      <w:r>
        <w:rPr>
          <w:sz w:val="20"/>
          <w:szCs w:val="20"/>
        </w:rPr>
        <w:t xml:space="preserve">e o tom ve vládním prohlášení a stejnou řečí hovoří i nedávné popravy v Madridu, přísné tresty proti sa- botážníkům v letectví a zostřený postup proti zbytkům </w:t>
      </w:r>
      <w:r>
        <w:t>povstalců v asturských horách.</w:t>
      </w:r>
      <w:r>
        <w:tab/>
      </w:r>
      <w:r>
        <w:rPr>
          <w:i/>
          <w:iCs/>
        </w:rPr>
        <w:t>Pavel Hofman</w:t>
      </w:r>
    </w:p>
    <w:p w:rsidR="00500724" w:rsidRDefault="00F30FB8">
      <w:pPr>
        <w:pStyle w:val="Jin0"/>
        <w:pBdr>
          <w:bottom w:val="single" w:sz="4" w:space="0" w:color="auto"/>
        </w:pBdr>
        <w:shd w:val="clear" w:color="auto" w:fill="auto"/>
        <w:spacing w:after="240"/>
        <w:ind w:firstLine="0"/>
        <w:jc w:val="left"/>
        <w:rPr>
          <w:sz w:val="40"/>
          <w:szCs w:val="40"/>
        </w:rPr>
      </w:pPr>
      <w:r>
        <w:rPr>
          <w:rFonts w:ascii="Cambria" w:eastAsia="Cambria" w:hAnsi="Cambria" w:cs="Cambria"/>
          <w:b/>
          <w:bCs/>
          <w:sz w:val="40"/>
          <w:szCs w:val="40"/>
        </w:rPr>
        <w:t>týdenní přehled</w:t>
      </w:r>
    </w:p>
    <w:p w:rsidR="00500724" w:rsidRDefault="00F30FB8">
      <w:pPr>
        <w:pStyle w:val="Zkladntext100"/>
        <w:shd w:val="clear" w:color="auto" w:fill="auto"/>
        <w:spacing w:after="80" w:line="194" w:lineRule="auto"/>
        <w:ind w:firstLine="0"/>
        <w:jc w:val="center"/>
      </w:pPr>
      <w:r>
        <w:rPr>
          <w:b/>
          <w:bCs/>
        </w:rPr>
        <w:t>Chodská neděle</w:t>
      </w:r>
    </w:p>
    <w:p w:rsidR="00500724" w:rsidRDefault="00F30FB8">
      <w:pPr>
        <w:pStyle w:val="Zkladntext100"/>
        <w:shd w:val="clear" w:color="auto" w:fill="auto"/>
        <w:spacing w:line="194" w:lineRule="auto"/>
        <w:ind w:firstLine="220"/>
      </w:pPr>
      <w:r>
        <w:t>Stala se věc dlouho ne</w:t>
      </w:r>
      <w:r>
        <w:t>viděná. Všechny pražské pondělniky . místo všemožných sensací světových nebo z kopané přinášejí na prvních stránkách krásné titulky o desetitisícových účas</w:t>
      </w:r>
      <w:r>
        <w:softHyphen/>
        <w:t>tech na českých poutích a na slavnostech této neděle. V po</w:t>
      </w:r>
      <w:r>
        <w:softHyphen/>
        <w:t>předí je chodská pout u sv. Vavřinečka se</w:t>
      </w:r>
      <w:r>
        <w:t xml:space="preserve"> stotisícovou účastí, se svatováclavských chorálem a národní hymnou po církev</w:t>
      </w:r>
      <w:r>
        <w:softHyphen/>
        <w:t>ním kázání. Na sesterské Moravě v Kroměříži hýřily národní kroje při národopisné slavnosti. A na severu Čech, ve Vyso</w:t>
      </w:r>
      <w:r>
        <w:softHyphen/>
        <w:t>kém n. Jizerou, odhalovalo české studentstvo za tisícové úča</w:t>
      </w:r>
      <w:r>
        <w:softHyphen/>
        <w:t>sti památník národního básníka a bojovníka Viktora Dýka.</w:t>
      </w:r>
    </w:p>
    <w:p w:rsidR="00500724" w:rsidRDefault="00F30FB8">
      <w:pPr>
        <w:pStyle w:val="Zkladntext100"/>
        <w:shd w:val="clear" w:color="auto" w:fill="auto"/>
        <w:spacing w:line="194" w:lineRule="auto"/>
        <w:ind w:firstLine="220"/>
      </w:pPr>
      <w:r>
        <w:t>Snad jen jednou do roka mívaly pražské pondělniky na prv</w:t>
      </w:r>
      <w:r>
        <w:softHyphen/>
        <w:t>ních stránkách články o pouti. To bývalo po sv. Matěji. Dnes je to docela jiné!</w:t>
      </w:r>
    </w:p>
    <w:p w:rsidR="00500724" w:rsidRDefault="00F30FB8">
      <w:pPr>
        <w:pStyle w:val="Zkladntext100"/>
        <w:shd w:val="clear" w:color="auto" w:fill="auto"/>
        <w:spacing w:line="194" w:lineRule="auto"/>
        <w:ind w:firstLine="220"/>
      </w:pPr>
      <w:r>
        <w:t>Zaplať Pán Bůh za ten obrat! Pravda, i na těch včerejších pou</w:t>
      </w:r>
      <w:r>
        <w:t>tích, ať již u Vavřinečka, nebo při zítřejších venkovských poutích v Chocni a jinde je také veselí, je zábava, jsou zpěvy, písně, radovánky a tancovačky. Jenže nejdříve jde slovo Boží a s ním ruku v ruce slovo o ná</w:t>
      </w:r>
      <w:r>
        <w:softHyphen/>
        <w:t>rodní vytrvalosti lidu! Nejmohutněji zazn</w:t>
      </w:r>
      <w:r>
        <w:t>ěl tento soulad z nejzápadnější a nejsevemějši brány Čech, z Chod</w:t>
      </w:r>
      <w:r>
        <w:softHyphen/>
        <w:t>ska a z Vysocka. Po krásných slovech kazatele, kanovníka Staška u Vavřinečka:</w:t>
      </w:r>
    </w:p>
    <w:p w:rsidR="00500724" w:rsidRDefault="00F30FB8">
      <w:pPr>
        <w:pStyle w:val="Zkladntext100"/>
        <w:shd w:val="clear" w:color="auto" w:fill="auto"/>
        <w:spacing w:after="80" w:line="194" w:lineRule="auto"/>
        <w:ind w:firstLine="220"/>
      </w:pPr>
      <w:r>
        <w:t>„Matko vlasti, matko země, slibujeme ti, že chceme ti býti věrni a milovati tě do posledního dechu, přisaháme ti</w:t>
      </w:r>
      <w:r>
        <w:t>, že tě nikdy neopustíme a nezradíme!“</w:t>
      </w:r>
    </w:p>
    <w:p w:rsidR="00500724" w:rsidRDefault="00F30FB8">
      <w:pPr>
        <w:pStyle w:val="Zkladntext100"/>
        <w:shd w:val="clear" w:color="auto" w:fill="auto"/>
        <w:spacing w:after="80" w:line="190" w:lineRule="auto"/>
        <w:ind w:firstLine="0"/>
      </w:pPr>
      <w:r>
        <w:t>zaznělo z hrdel desetitisíců poutníků mohutné „Přisaháme“ a hned nato zpěv „Svatý Václave“ a „Kde domov můj?“ . ..</w:t>
      </w:r>
    </w:p>
    <w:p w:rsidR="00500724" w:rsidRDefault="00F30FB8">
      <w:pPr>
        <w:pStyle w:val="Zkladntext100"/>
        <w:shd w:val="clear" w:color="auto" w:fill="auto"/>
        <w:spacing w:line="194" w:lineRule="auto"/>
        <w:ind w:firstLine="220"/>
      </w:pPr>
      <w:r>
        <w:t>A jestliže vidíme v protilehlém koutu Čech, ve Vysokém v Podkrkonoší, že podobně jako na Chodsku pout a církevní kázání na Vysocku byla národní hymnou ukončena mohutná manifestace českého studentstva při oslavě básníka, ohnivého vyznavače národní energie a</w:t>
      </w:r>
      <w:r>
        <w:t xml:space="preserve"> mužského sebevědomí, pak tu máme doklad, jak všechen náš lid a všechno jeho dění je dnes spojeno nezničitelným poutem vyznání své hluboké národní víry a příslušnosti, neboť dnes všichni myslíme především na sv </w:t>
      </w:r>
      <w:r>
        <w:rPr>
          <w:b/>
          <w:bCs/>
        </w:rPr>
        <w:t xml:space="preserve">ůj </w:t>
      </w:r>
      <w:r>
        <w:t>národ a teprve v druhé řadě na zábavy a ci</w:t>
      </w:r>
      <w:r>
        <w:t>zinu.</w:t>
      </w:r>
    </w:p>
    <w:p w:rsidR="00500724" w:rsidRDefault="00F30FB8">
      <w:pPr>
        <w:pStyle w:val="Zkladntext100"/>
        <w:shd w:val="clear" w:color="auto" w:fill="auto"/>
        <w:spacing w:line="194" w:lineRule="auto"/>
        <w:ind w:firstLine="0"/>
        <w:jc w:val="right"/>
      </w:pPr>
      <w:r>
        <w:rPr>
          <w:i/>
          <w:iCs/>
        </w:rPr>
        <w:t>(Jan Hořák ve „Venkově“).</w:t>
      </w:r>
    </w:p>
    <w:p w:rsidR="00500724" w:rsidRDefault="00F30FB8">
      <w:pPr>
        <w:pStyle w:val="Zkladntext100"/>
        <w:shd w:val="clear" w:color="auto" w:fill="auto"/>
        <w:spacing w:after="60" w:line="194" w:lineRule="auto"/>
        <w:ind w:firstLine="0"/>
        <w:jc w:val="center"/>
      </w:pPr>
      <w:r>
        <w:t>•</w:t>
      </w:r>
    </w:p>
    <w:p w:rsidR="00500724" w:rsidRDefault="00F30FB8">
      <w:pPr>
        <w:pStyle w:val="Zkladntext100"/>
        <w:shd w:val="clear" w:color="auto" w:fill="auto"/>
        <w:spacing w:line="194" w:lineRule="auto"/>
        <w:ind w:firstLine="400"/>
      </w:pPr>
      <w:r>
        <w:t xml:space="preserve">Silnice k Domažlicům se staly nekonečnými řetězy aut, která parkují v domažlických domech na dvorech, za městem, v ulicích a všude, kde se to jen trochu dá. Z náměstí města Domažlic byl již kolem 8. hodiny ranní uspořádán </w:t>
      </w:r>
      <w:r>
        <w:t>průvod na Veselou Horu, ke starobylému kostelíčku sv. Vavřince. Lesní alej, pomalu stoupající, se stala vzedmutým řečištěm českých duší. Průvod se vleče pomalu nádherným a božím krajem, ale nikdo nelituje námahy ani těžkého pochodu uprostřed ti</w:t>
      </w:r>
      <w:r>
        <w:softHyphen/>
        <w:t xml:space="preserve">síců lidí, </w:t>
      </w:r>
      <w:r>
        <w:t>jdoucích za stejným cílem. Bílé obláčky letí a tisíce hlasů se nese zpěvem k nebi, tam, kde sídlí veliký a spraved</w:t>
      </w:r>
      <w:r>
        <w:softHyphen/>
        <w:t>livý Bůh. Modlitby jsou vroucí a české duše tak hovoří o lásce k vlasti a o veliké touze: „Nedej zahynouti nám ni budoucím“.</w:t>
      </w:r>
    </w:p>
    <w:p w:rsidR="00500724" w:rsidRDefault="00F30FB8">
      <w:pPr>
        <w:pStyle w:val="Zkladntext100"/>
        <w:shd w:val="clear" w:color="auto" w:fill="auto"/>
        <w:spacing w:line="194" w:lineRule="auto"/>
        <w:ind w:firstLine="220"/>
      </w:pPr>
      <w:r>
        <w:t>Kostelík sv. Vav</w:t>
      </w:r>
      <w:r>
        <w:t>řinečka je už od brzkého rána útočištěm všech věrných a statečných Chodů, kteří se mohli této slav</w:t>
      </w:r>
      <w:r>
        <w:softHyphen/>
        <w:t>nostní pouti zúčastnit. Začíná slavnostní mše a moře postav, vlnících se na pahorku v záři ranního slunka, náhle obnažuje hlavy a pokleká. Velikou mši slouží</w:t>
      </w:r>
      <w:r>
        <w:t xml:space="preserve"> pražský kanovník Msgre Stašek a když se modlí, zahučí to moře pod ním v pokorné modlitbě v odpověď. Hlavy jsou skloněné. Před kostelem se k polednímu připravuje slavné vysvěcení nového kříže s ná</w:t>
      </w:r>
      <w:r>
        <w:softHyphen/>
        <w:t>pisem „Nedej zahynouti nám ni budoucím“. Kromě deseti</w:t>
      </w:r>
      <w:r>
        <w:softHyphen/>
        <w:t>tisíc</w:t>
      </w:r>
      <w:r>
        <w:t>ů návštěvníků z Prahy přijela sem početná výprava kla</w:t>
      </w:r>
      <w:r>
        <w:softHyphen/>
        <w:t>denských dělníků, těšících se veliké pozornosti Chodů. Ně</w:t>
      </w:r>
      <w:r>
        <w:softHyphen/>
        <w:t>kolik desítek tisíců návštěvníků přijelo z Plzně, z Příbramě, z Tábora, z Kolína, z Pardubic i Hradce Králové, vidíme tu auta z Moravy a tak můž</w:t>
      </w:r>
      <w:r>
        <w:t>eme směle říci, že pout u sv. Vavři</w:t>
      </w:r>
      <w:r>
        <w:softHyphen/>
        <w:t>nečka byla náboženskou poutí českého národa u nejzápadněj</w:t>
      </w:r>
      <w:r>
        <w:softHyphen/>
      </w:r>
    </w:p>
    <w:p w:rsidR="00500724" w:rsidRDefault="00F30FB8">
      <w:pPr>
        <w:pStyle w:val="Zkladntext100"/>
        <w:shd w:val="clear" w:color="auto" w:fill="auto"/>
        <w:tabs>
          <w:tab w:val="left" w:pos="3922"/>
        </w:tabs>
        <w:spacing w:line="194" w:lineRule="auto"/>
        <w:ind w:firstLine="0"/>
      </w:pPr>
      <w:r>
        <w:t>ších Slovanů.</w:t>
      </w:r>
      <w:r>
        <w:tab/>
      </w:r>
      <w:r>
        <w:rPr>
          <w:i/>
          <w:iCs/>
        </w:rPr>
        <w:t>(Polední list)</w:t>
      </w:r>
    </w:p>
    <w:p w:rsidR="00500724" w:rsidRDefault="00F30FB8">
      <w:pPr>
        <w:pStyle w:val="Zkladntext50"/>
        <w:shd w:val="clear" w:color="auto" w:fill="auto"/>
        <w:spacing w:after="80" w:line="221" w:lineRule="auto"/>
        <w:ind w:left="0"/>
        <w:jc w:val="center"/>
        <w:rPr>
          <w:sz w:val="16"/>
          <w:szCs w:val="16"/>
        </w:rPr>
      </w:pPr>
      <w:r>
        <w:rPr>
          <w:i/>
          <w:iCs/>
          <w:sz w:val="16"/>
          <w:szCs w:val="16"/>
        </w:rPr>
        <w:t>®</w:t>
      </w:r>
    </w:p>
    <w:p w:rsidR="00500724" w:rsidRDefault="00F30FB8">
      <w:pPr>
        <w:pStyle w:val="Zkladntext100"/>
        <w:shd w:val="clear" w:color="auto" w:fill="auto"/>
        <w:spacing w:line="194" w:lineRule="auto"/>
        <w:ind w:firstLine="220"/>
      </w:pPr>
      <w:r>
        <w:t>Naproti tomu „Obrana národa“, orgán některé odštěpe- necké fašistické frakce, se obrací ostře proti „prapodivným poutím a prapodiv</w:t>
      </w:r>
      <w:r>
        <w:t>ným poutníkům“ a praví:</w:t>
      </w:r>
    </w:p>
    <w:p w:rsidR="00500724" w:rsidRDefault="00F30FB8">
      <w:pPr>
        <w:pStyle w:val="Zkladntext100"/>
        <w:shd w:val="clear" w:color="auto" w:fill="auto"/>
        <w:spacing w:after="40" w:line="194" w:lineRule="auto"/>
        <w:ind w:firstLine="220"/>
      </w:pPr>
      <w:r>
        <w:t xml:space="preserve">Neuplyne jediná neděle, aby nebyly podnikány poutě na dávno již zapomenutá poutní místa. O propagaci se starají všechny listy a organisace Nár. souručenství. Kázání nemají tamější chudí </w:t>
      </w:r>
      <w:r>
        <w:rPr>
          <w:b/>
          <w:bCs/>
          <w:sz w:val="19"/>
          <w:szCs w:val="19"/>
        </w:rPr>
        <w:t xml:space="preserve">a </w:t>
      </w:r>
      <w:r>
        <w:t>prosti faráři, nýbrž výlučně staří bojovníci</w:t>
      </w:r>
      <w:r>
        <w:t xml:space="preserve"> bývalé československé strany lidoví... Kážou o tom, že naším Vůdcem je pouze Ježíš Kristus a naším Protektorem je Panna Maria a v jejich biblických parabolách vyciťujeme zahalenou agitační politickou řeč, plnou dvojsmyslných a tajuplných na</w:t>
      </w:r>
      <w:r>
        <w:softHyphen/>
        <w:t>rážek, kterými</w:t>
      </w:r>
      <w:r>
        <w:t xml:space="preserve"> chaos a zmatek v duších prostého lidu jen vzrůstá. To je část té dvojsmyslné hry, kterou lze tak často vytušiti i v poměru mezi bývalými a dnešními politiky.</w:t>
      </w:r>
    </w:p>
    <w:p w:rsidR="00500724" w:rsidRDefault="00F30FB8">
      <w:pPr>
        <w:pStyle w:val="Zkladntext100"/>
        <w:shd w:val="clear" w:color="auto" w:fill="auto"/>
        <w:spacing w:after="140" w:line="197" w:lineRule="auto"/>
        <w:ind w:firstLine="0"/>
        <w:jc w:val="right"/>
      </w:pPr>
      <w:r>
        <w:rPr>
          <w:i/>
          <w:iCs/>
        </w:rPr>
        <w:t>(„Der Neue Tag“)</w:t>
      </w:r>
    </w:p>
    <w:p w:rsidR="00500724" w:rsidRDefault="00F30FB8">
      <w:pPr>
        <w:pStyle w:val="Zkladntext100"/>
        <w:shd w:val="clear" w:color="auto" w:fill="auto"/>
        <w:spacing w:after="40" w:line="197" w:lineRule="auto"/>
        <w:ind w:firstLine="220"/>
      </w:pPr>
      <w:r>
        <w:t>Nato odpověděl v „Poledním listě“ Karel Kut:</w:t>
      </w:r>
    </w:p>
    <w:p w:rsidR="00500724" w:rsidRDefault="00F30FB8">
      <w:pPr>
        <w:pStyle w:val="Zkladntext100"/>
        <w:shd w:val="clear" w:color="auto" w:fill="auto"/>
        <w:spacing w:line="197" w:lineRule="auto"/>
        <w:ind w:firstLine="0"/>
        <w:jc w:val="right"/>
      </w:pPr>
      <w:r>
        <w:t xml:space="preserve">Na německé straně byla na nás </w:t>
      </w:r>
      <w:r>
        <w:t>právem žádána odpovědnost</w:t>
      </w:r>
    </w:p>
    <w:p w:rsidR="00500724" w:rsidRDefault="00F30FB8">
      <w:pPr>
        <w:pStyle w:val="Zkladntext100"/>
        <w:shd w:val="clear" w:color="auto" w:fill="auto"/>
        <w:spacing w:after="380" w:line="197" w:lineRule="auto"/>
        <w:ind w:firstLine="0"/>
      </w:pPr>
      <w:r>
        <w:t>za postoj českého národa. Dobrá — přihlásili jsme se k ní a byli jsme ochotni spatřovati v tom dokonce i povinnost. Tato povinnost musí býti ovšem nějak umožněna. Je těžko žádati takovou povinnost a odpovědnost od někoho, kdo nemá</w:t>
      </w:r>
      <w:r>
        <w:t xml:space="preserve"> přímého a bezprostředního styku s národem, aby ho vedl a poučoval a aby přímo a bezprostředně k němu mluvil. Je to nesnadné u novináře a je to už naprosto nemožné u politických vůdců, neboť dále trvá zákaz shromažďování. Člověk ale potřebuje ži</w:t>
      </w:r>
      <w:r>
        <w:softHyphen/>
        <w:t>vého mluve</w:t>
      </w:r>
      <w:r>
        <w:t xml:space="preserve">ného slova. Nejen samým chlebem živ jest člověk, ale i slovem božím. Sladká řeč domova je řečí, kterou ke každému národu mluví jeho Bůh. Velebná řeč, kterou mluví národní rod po celé vlasti — a každý má vlast! — je oním slovem, jímž k nám mluví Bůh, který </w:t>
      </w:r>
      <w:r>
        <w:t>nám ji dal a věčně hájiti přikázal. A tak ji člověk potřebuje slyšet. Musí a musí, Němec i Čech a každý a každý i když je to někdy tak nesnadné a sví</w:t>
      </w:r>
      <w:r>
        <w:softHyphen/>
        <w:t>zelné. Jedním z velikých kladů, ku kterým jsme dospěli osudo</w:t>
      </w:r>
      <w:r>
        <w:softHyphen/>
        <w:t>vými událostmi minulé doby, je i revise posto</w:t>
      </w:r>
      <w:r>
        <w:t>je českého člověka k věcem spirituálním. Kněz, kterého jsme vždy neradi spatřo</w:t>
      </w:r>
      <w:r>
        <w:softHyphen/>
        <w:t>vali v parlamentě a kterého jsme odmítali na politickém řeč- ništi, ten kněz se vrátil k oltáři a na kazatelnu, vrátil se k své</w:t>
      </w:r>
      <w:r>
        <w:softHyphen/>
        <w:t xml:space="preserve">mu národu, k jeho mravním a duchovním potřebám a </w:t>
      </w:r>
      <w:r>
        <w:t>je tu na svém místě, tak jak to má být. Mluví k svému národu na pout</w:t>
      </w:r>
      <w:r>
        <w:softHyphen/>
        <w:t>ních místech a s kazatelen — neboť kdepak má mluvit? Kde má říkat lidu své krve, aby byl statečný a věřící, aby byl po</w:t>
      </w:r>
      <w:r>
        <w:softHyphen/>
        <w:t>korný a v pokoře pevný ? Kde jinde, než na tom místě, kam byl postav</w:t>
      </w:r>
      <w:r>
        <w:t>en svým úřadem a posláním. A přece jsou hlasy, které i s tímto nesouhlasí. Spatřují v tom už zase pokus o nějaké politické pouti a dokonce i list jedné české radikální skupiny mluví o „podivuhodných poutích a podivuhodných poutnících“. Je to prý dvojaká hr</w:t>
      </w:r>
      <w:r>
        <w:t>a. Naše řádky nemají býti ani obranné ani polemické. Jen se chtějí údivně tázati; tak už i tohle je mnoho? Je-li to mnoho v zemi národa s tisíciletou tradicí, ve vlasti lidu, jehož dějiny jsou naplněny hloubkou spirituálního cítění, pak ovšem nemůžeme zabr</w:t>
      </w:r>
      <w:r>
        <w:t>ániti, aby ani to už zítra nebylo. Proud národního života, plného a dravého, nalezne si jiné ře</w:t>
      </w:r>
      <w:r>
        <w:softHyphen/>
        <w:t>čiště. S nesmrtelností nelze bojovat. Český národ je nesmrtelný.</w:t>
      </w:r>
    </w:p>
    <w:p w:rsidR="00500724" w:rsidRDefault="00F30FB8">
      <w:pPr>
        <w:pStyle w:val="Zkladntext100"/>
        <w:shd w:val="clear" w:color="auto" w:fill="auto"/>
        <w:spacing w:after="80" w:line="194" w:lineRule="auto"/>
        <w:ind w:firstLine="220"/>
      </w:pPr>
      <w:r>
        <w:t>Volkischer Beobachter přináší článek svého pražského dopi</w:t>
      </w:r>
      <w:r>
        <w:softHyphen/>
        <w:t>sovatele o českém novodobém katolicis</w:t>
      </w:r>
      <w:r>
        <w:t>mu: Náboženský život českého lidu je už několik měsíců ve znamení renesance, která čerpá své síly ze světového názoru moderního nacionalismu. Náboženská renesance, jejíž kořen nutno hledat ve dnech břez</w:t>
      </w:r>
      <w:r>
        <w:softHyphen/>
        <w:t>nového převratu, získává měsíc od měsíce na síle. Jej</w:t>
      </w:r>
      <w:r>
        <w:t>í vnější tvář je hlavně oživování starých náboženských zvyků, při čemž zvláště pouti mají pro široké davy českého lidu velkou přitaž</w:t>
      </w:r>
      <w:r>
        <w:softHyphen/>
        <w:t>livost. Minulou neděli na pouť u sv. Vavřince u Domažlic přišlo sto tisíc poutníků z celých Čech. Podobná účast nebyla v Če</w:t>
      </w:r>
      <w:r>
        <w:softHyphen/>
        <w:t>chách v minulých dvaceti letech ani na jedné pouti. Abychom porozuměli přitažlivé síle církve na český lid, musíme se obrátit k současným změnám, které zároveň prodělala v posledních týdnech i sama církev. Česká katolická církev je dnes vyslo</w:t>
      </w:r>
      <w:r>
        <w:softHyphen/>
        <w:t xml:space="preserve">veně církev </w:t>
      </w:r>
      <w:r>
        <w:t>nacionální. Spatřuje svůj úkol především v posílení národního vědomí lidu. Vychází tak vstříc touze Čechů po ná</w:t>
      </w:r>
      <w:r>
        <w:softHyphen/>
        <w:t>boženském nacionalismu v míře, kterou nelze najít nikde kromě Čech a Moravy. Proto nastal nyní v Protektorátě nový du</w:t>
      </w:r>
      <w:r>
        <w:softHyphen/>
        <w:t>chovní náboženský vývoj, j</w:t>
      </w:r>
      <w:r>
        <w:t>emuž nutno věnovat největší po</w:t>
      </w:r>
      <w:r>
        <w:softHyphen/>
        <w:t>zornost. Nový vývoj nenavazuje sice přímo na staré tradice, na přiklad na hnutí husitské, nemá také co činit s disentismem, který naopak pomáhá překonat. Při tom však má přece mnoho podobností s velkým duchovně-náboženským hn</w:t>
      </w:r>
      <w:r>
        <w:t>utím českého pozdního středověku. To ukazuje jasně také kázání, které měl známý vůdce českého politického katolicismu, Msgre Stašek u sv. Vavřinečka k téměř stotisícům poutníků. Kázání se kon</w:t>
      </w:r>
      <w:r>
        <w:softHyphen/>
        <w:t>čilo přísahou: „Matko vlasti, slibujeme, že ti zůstaneme věrni a</w:t>
      </w:r>
      <w:r>
        <w:t xml:space="preserve"> že tě budeme milovat až do posledního dechu. Budeme se snažit, abys zase vystoupila na stupně slávy, na nichž jsi stála v do</w:t>
      </w:r>
      <w:r>
        <w:softHyphen/>
        <w:t>bách českých králů, zvláště za Karla IV. Nikdy tě nezradíme, nikdy tě neopustíme.“ A davy odpověděly na tento slib hlasi</w:t>
      </w:r>
      <w:r>
        <w:softHyphen/>
        <w:t>tým: Slib</w:t>
      </w:r>
      <w:r>
        <w:t>ujeme! Svatováclavský chorál a česká národní hymna ukončily potom tuto mohutnou náboženskou slavnost.</w:t>
      </w:r>
    </w:p>
    <w:p w:rsidR="00500724" w:rsidRDefault="00F30FB8">
      <w:pPr>
        <w:pStyle w:val="Zkladntext100"/>
        <w:shd w:val="clear" w:color="auto" w:fill="auto"/>
        <w:spacing w:after="80" w:line="197" w:lineRule="auto"/>
        <w:ind w:firstLine="0"/>
        <w:jc w:val="center"/>
      </w:pPr>
      <w:r>
        <w:t xml:space="preserve">O </w:t>
      </w:r>
      <w:r>
        <w:rPr>
          <w:b/>
          <w:bCs/>
        </w:rPr>
        <w:t xml:space="preserve">český </w:t>
      </w:r>
      <w:r>
        <w:t>národní statut</w:t>
      </w:r>
    </w:p>
    <w:p w:rsidR="00500724" w:rsidRDefault="00F30FB8">
      <w:pPr>
        <w:pStyle w:val="Zkladntext100"/>
        <w:shd w:val="clear" w:color="auto" w:fill="auto"/>
        <w:spacing w:line="197" w:lineRule="auto"/>
        <w:ind w:firstLine="260"/>
      </w:pPr>
      <w:r>
        <w:t>Právě před rokem slyšeli jsme s německé strany, z úst dnešního pana státního tajemníka Franka výtku na adresu Benešova režimu, že n</w:t>
      </w:r>
      <w:r>
        <w:t>ikdy nedovedl vytvořiti psy</w:t>
      </w:r>
      <w:r>
        <w:softHyphen/>
        <w:t>chologicky vhodnou atmosféru, jak na straně Čechů, tak zvláště na straně Němců pro činy, které jedině mohou vésti k národnímu snášenlivému spolužití.</w:t>
      </w:r>
    </w:p>
    <w:p w:rsidR="00500724" w:rsidRDefault="00F30FB8">
      <w:pPr>
        <w:pStyle w:val="Zkladntext100"/>
        <w:shd w:val="clear" w:color="auto" w:fill="auto"/>
        <w:spacing w:after="140" w:line="197" w:lineRule="auto"/>
        <w:ind w:firstLine="260"/>
      </w:pPr>
      <w:r>
        <w:t>Pokládáme za důležité zdůraznit, že statut českých práv —• byl-li by ovšem res</w:t>
      </w:r>
      <w:r>
        <w:t>pektován — mohl by vytvořiti nejrychleji dnes potřebnou a ke spolužití nutnou psychologicky vhodnou atmosféru, obdobnou oné, již se loni dovolávali Němci.</w:t>
      </w:r>
    </w:p>
    <w:p w:rsidR="00500724" w:rsidRDefault="00F30FB8">
      <w:pPr>
        <w:pStyle w:val="Zkladntext100"/>
        <w:shd w:val="clear" w:color="auto" w:fill="auto"/>
        <w:spacing w:after="80" w:line="197" w:lineRule="auto"/>
        <w:ind w:firstLine="260"/>
      </w:pPr>
      <w:r>
        <w:t>Německé školy v Protektorátu a české školy v Sudetech</w:t>
      </w:r>
    </w:p>
    <w:p w:rsidR="00500724" w:rsidRDefault="00F30FB8">
      <w:pPr>
        <w:pStyle w:val="Zkladntext100"/>
        <w:shd w:val="clear" w:color="auto" w:fill="auto"/>
        <w:spacing w:line="197" w:lineRule="auto"/>
        <w:ind w:firstLine="260"/>
      </w:pPr>
      <w:r>
        <w:t xml:space="preserve">Je jisto, že v národním statutu měl by být </w:t>
      </w:r>
      <w:r>
        <w:t>vyhlášen i ná</w:t>
      </w:r>
      <w:r>
        <w:softHyphen/>
        <w:t>rodní katastr organisov aných národních osobností a také katastr českého národní</w:t>
      </w:r>
      <w:r>
        <w:softHyphen/>
        <w:t>ho majetku (jež před rokem navrhovala Henleinova stra</w:t>
      </w:r>
      <w:r>
        <w:softHyphen/>
        <w:t>na), což by bylo jednou z nejjistějších záruk (a také kontro</w:t>
      </w:r>
      <w:r>
        <w:softHyphen/>
        <w:t>lou)., že nebude odnárodňován ani lid, ani půd</w:t>
      </w:r>
      <w:r>
        <w:t>a, ani hospodářská a kulturní zřízení.</w:t>
      </w:r>
    </w:p>
    <w:p w:rsidR="00500724" w:rsidRDefault="00F30FB8">
      <w:pPr>
        <w:pStyle w:val="Zkladntext100"/>
        <w:shd w:val="clear" w:color="auto" w:fill="auto"/>
        <w:tabs>
          <w:tab w:val="left" w:pos="2933"/>
        </w:tabs>
        <w:spacing w:line="197" w:lineRule="auto"/>
        <w:ind w:firstLine="260"/>
      </w:pPr>
      <w:r>
        <w:t>Zdůrazňujeme otázku českých škol v Sudetech znovu i po stránce vytvoření psychologicky potřebné at</w:t>
      </w:r>
      <w:r>
        <w:softHyphen/>
        <w:t>mosféry. Český člověk čte, jak 240.000 Němců, žijících mezi 7 miliony Čechů, na počátku letošního roku otevírá na územ</w:t>
      </w:r>
      <w:r>
        <w:t xml:space="preserve">í Protektorátu na 150 nových německých škol. Má své bratry — není dosud znám výsledek sčítání, ale počet odhadl novojičínský Věstník české menšiny na půl milionu — v Sudetech a bylo by v sousedství uvědomělého nacionalismu Němců nectí pro českýnárod a pro </w:t>
      </w:r>
      <w:r>
        <w:t>každé hnutí, které je povoláno představovat jeho vůli, povinnosti i práva, kdyby sám na své bratry v Su</w:t>
      </w:r>
      <w:r>
        <w:softHyphen/>
        <w:t>detech zapomínal! Němci často upozorňují českou ve</w:t>
      </w:r>
      <w:r>
        <w:softHyphen/>
        <w:t>řejnost, jak Poláci v připojených územích nepřiznávají ani primitivní školská práva dětem 150.000 Čec</w:t>
      </w:r>
      <w:r>
        <w:t>hů. My na české straně nepožadujeme pro naše krajany od žádného státu nic více, než co dávala býv. ČSRpo stránce škol</w:t>
      </w:r>
      <w:r>
        <w:softHyphen/>
        <w:t>ské, kulturní i hospodářské svým bývalým menšinám! Ito může býti jistě zařazeno ve statutu češ</w:t>
      </w:r>
      <w:r>
        <w:softHyphen/>
        <w:t>ství, jehož aktuální a nár od ní potřebu zn</w:t>
      </w:r>
      <w:r>
        <w:t>ovu připomínáme mužům, povolaným k vedení sjednoceného čes</w:t>
      </w:r>
      <w:r>
        <w:softHyphen/>
        <w:t>kého národa.</w:t>
      </w:r>
      <w:r>
        <w:tab/>
      </w:r>
      <w:r>
        <w:rPr>
          <w:i/>
          <w:iCs/>
        </w:rPr>
        <w:t>(0. Ježek ve „Venkově“.)</w:t>
      </w:r>
    </w:p>
    <w:p w:rsidR="00500724" w:rsidRDefault="00F30FB8">
      <w:pPr>
        <w:pStyle w:val="Zkladntext100"/>
        <w:shd w:val="clear" w:color="auto" w:fill="auto"/>
        <w:spacing w:after="80" w:line="197" w:lineRule="auto"/>
        <w:ind w:firstLine="0"/>
        <w:jc w:val="center"/>
      </w:pPr>
      <w:r>
        <w:t>•</w:t>
      </w:r>
    </w:p>
    <w:p w:rsidR="00500724" w:rsidRDefault="00F30FB8">
      <w:pPr>
        <w:pStyle w:val="Zkladntext100"/>
        <w:shd w:val="clear" w:color="auto" w:fill="auto"/>
        <w:spacing w:line="197" w:lineRule="auto"/>
        <w:ind w:firstLine="260"/>
      </w:pPr>
      <w:r>
        <w:t xml:space="preserve">Člověk cítí ze všech koutů dnešního našeho života tu touhu </w:t>
      </w:r>
      <w:r>
        <w:rPr>
          <w:b/>
          <w:bCs/>
        </w:rPr>
        <w:t xml:space="preserve">a </w:t>
      </w:r>
      <w:r>
        <w:t>potřebu postavit celý náš národní život na pevnou a solidní základnu. Napsat si zákony svého nár</w:t>
      </w:r>
      <w:r>
        <w:t>odního života, své ná</w:t>
      </w:r>
      <w:r>
        <w:softHyphen/>
        <w:t xml:space="preserve">rodní životosprávy, normy své cti. Srovnat prostě, tvrdě </w:t>
      </w:r>
      <w:r>
        <w:rPr>
          <w:b/>
          <w:bCs/>
        </w:rPr>
        <w:t xml:space="preserve">a </w:t>
      </w:r>
      <w:r>
        <w:t>železně a velitelsky řady, spočítat se, vyrovnat protivy, ob</w:t>
      </w:r>
      <w:r>
        <w:softHyphen/>
        <w:t>vázat rány, revidovat stanoviska hospodářská a sociální a kul</w:t>
      </w:r>
      <w:r>
        <w:softHyphen/>
        <w:t>turní a pochodovat v koloně a ne v hejnu. Rozkazovat</w:t>
      </w:r>
      <w:r>
        <w:t xml:space="preserve"> a po</w:t>
      </w:r>
      <w:r>
        <w:softHyphen/>
        <w:t>slouchat, protože toho je nejvíc zapotřebí. Největší krise všech krisi jsou krise velitelské.</w:t>
      </w:r>
    </w:p>
    <w:p w:rsidR="00500724" w:rsidRDefault="00F30FB8">
      <w:pPr>
        <w:pStyle w:val="Zkladntext100"/>
        <w:shd w:val="clear" w:color="auto" w:fill="auto"/>
        <w:spacing w:line="197" w:lineRule="auto"/>
        <w:ind w:firstLine="260"/>
      </w:pPr>
      <w:r>
        <w:t>Cožpak nechápeme dnes právě my všichni, že to byla oprav</w:t>
      </w:r>
      <w:r>
        <w:softHyphen/>
        <w:t>du tato veliká krise velitelská, která leží nad naší minulostí?</w:t>
      </w:r>
    </w:p>
    <w:p w:rsidR="00500724" w:rsidRDefault="00F30FB8">
      <w:pPr>
        <w:pStyle w:val="Zkladntext100"/>
        <w:shd w:val="clear" w:color="auto" w:fill="auto"/>
        <w:spacing w:line="197" w:lineRule="auto"/>
        <w:ind w:firstLine="260"/>
      </w:pPr>
      <w:r>
        <w:t>Ano, opravdu — musíme mít ústavu sv</w:t>
      </w:r>
      <w:r>
        <w:t>ého národa. Musíme v ní říci, co jsme a jak se budeme ve svém národním životě spravovat, koho budeme poslouchat a kdo má právo za nás za všechny říkat, co je českým, národním a všechny zava</w:t>
      </w:r>
      <w:r>
        <w:softHyphen/>
        <w:t>zujícím stanoviskem a co budeme dělat. Kdo bude hlavou a jaké budo</w:t>
      </w:r>
      <w:r>
        <w:t>u orgány české národní vůle.</w:t>
      </w:r>
    </w:p>
    <w:p w:rsidR="00500724" w:rsidRDefault="00F30FB8">
      <w:pPr>
        <w:pStyle w:val="Zkladntext100"/>
        <w:shd w:val="clear" w:color="auto" w:fill="auto"/>
        <w:spacing w:line="197" w:lineRule="auto"/>
        <w:ind w:firstLine="260"/>
      </w:pPr>
      <w:r>
        <w:t>Musíme mít velikou a všechny Čechy ve viditelný národní svazek svazující chartu, kterou si stanovíme pravidla svého ve vzájemné spravedlnosti ukázněného života, co smíme a co nesmíme, abychom neškodili národnímu celku. Každý má</w:t>
      </w:r>
      <w:r>
        <w:t xml:space="preserve"> prá</w:t>
      </w:r>
      <w:r>
        <w:softHyphen/>
        <w:t>vo dělat si co chce, ale nikdo nemá práva škodit národu, aniž by nebylo ihned řečeno, že se stal desertérem, kterým národ nic neztratí a druhá strana nic nezíská.</w:t>
      </w:r>
    </w:p>
    <w:p w:rsidR="00500724" w:rsidRDefault="00F30FB8">
      <w:pPr>
        <w:pStyle w:val="Zkladntext100"/>
        <w:shd w:val="clear" w:color="auto" w:fill="auto"/>
        <w:spacing w:after="140" w:line="197" w:lineRule="auto"/>
        <w:ind w:firstLine="260"/>
      </w:pPr>
      <w:r>
        <w:t xml:space="preserve">Musíme mít ústavu svého národa. Musíme v ní říci, co je nám svaté, na čem trváme a čeho </w:t>
      </w:r>
      <w:r>
        <w:t xml:space="preserve">se nikdy nevzdáme a ne- zřekneme. Co může nastati jen se skonem posledního Čecha, ať žije kdekoli na světě. </w:t>
      </w:r>
      <w:r>
        <w:rPr>
          <w:i/>
          <w:iCs/>
        </w:rPr>
        <w:t>(Karel Kut v „Poledním listě“.).</w:t>
      </w:r>
    </w:p>
    <w:p w:rsidR="00500724" w:rsidRDefault="00F30FB8">
      <w:pPr>
        <w:pStyle w:val="Zkladntext100"/>
        <w:shd w:val="clear" w:color="auto" w:fill="auto"/>
        <w:spacing w:after="80" w:line="197" w:lineRule="auto"/>
        <w:ind w:left="480" w:firstLine="0"/>
        <w:jc w:val="left"/>
      </w:pPr>
      <w:r>
        <w:t>Dojmy ze sjednocovací cesty generála Gajdy.</w:t>
      </w:r>
    </w:p>
    <w:p w:rsidR="00500724" w:rsidRDefault="00F30FB8">
      <w:pPr>
        <w:pStyle w:val="Zkladntext100"/>
        <w:shd w:val="clear" w:color="auto" w:fill="auto"/>
        <w:spacing w:line="202" w:lineRule="auto"/>
        <w:ind w:firstLine="260"/>
      </w:pPr>
      <w:r>
        <w:t>Plzeňská „Nová doba“ vítá s povděkem cestu generála Gaj</w:t>
      </w:r>
      <w:r>
        <w:softHyphen/>
        <w:t>dy, který zasah</w:t>
      </w:r>
      <w:r>
        <w:t>uje velmi energicky proti fašistickým odště- pencům.</w:t>
      </w:r>
    </w:p>
    <w:p w:rsidR="00500724" w:rsidRDefault="00F30FB8">
      <w:pPr>
        <w:pStyle w:val="Zkladntext100"/>
        <w:shd w:val="clear" w:color="auto" w:fill="auto"/>
        <w:spacing w:line="202" w:lineRule="auto"/>
        <w:ind w:firstLine="260"/>
      </w:pPr>
      <w:r>
        <w:t>Prokazuje tak, píše list, ve velké době porozumění, ukázně</w:t>
      </w:r>
      <w:r>
        <w:softHyphen/>
        <w:t>nost a pro jednotu národa pracuje činy.</w:t>
      </w:r>
    </w:p>
    <w:p w:rsidR="00500724" w:rsidRDefault="00F30FB8">
      <w:pPr>
        <w:pStyle w:val="Zkladntext100"/>
        <w:shd w:val="clear" w:color="auto" w:fill="auto"/>
        <w:spacing w:after="80" w:line="202" w:lineRule="auto"/>
        <w:ind w:firstLine="260"/>
      </w:pPr>
      <w:r>
        <w:t xml:space="preserve">„Moravskoslezský deník“ použil příležitosti, kdy generál Gajda dlel v Moravské Ostravě, k rozhovoru </w:t>
      </w:r>
      <w:r>
        <w:rPr>
          <w:b/>
          <w:bCs/>
        </w:rPr>
        <w:t>s ní</w:t>
      </w:r>
      <w:r>
        <w:rPr>
          <w:b/>
          <w:bCs/>
        </w:rPr>
        <w:t xml:space="preserve">m. Generál </w:t>
      </w:r>
      <w:r>
        <w:t>Gajda zpravodaji listu řekl;</w:t>
      </w:r>
    </w:p>
    <w:p w:rsidR="00500724" w:rsidRDefault="00F30FB8">
      <w:pPr>
        <w:pStyle w:val="Zkladntext100"/>
        <w:shd w:val="clear" w:color="auto" w:fill="auto"/>
        <w:spacing w:after="300" w:line="197" w:lineRule="auto"/>
        <w:ind w:firstLine="200"/>
      </w:pPr>
      <w:r>
        <w:t>Říkají, že jsem zradil fašismus. Není to pravda. Jako Čech, jako voják, viděl jsem nutnost semknouti se v jeden šik. Kdy</w:t>
      </w:r>
      <w:r>
        <w:softHyphen/>
        <w:t xml:space="preserve">bych jednal jinak, pak bych mohl býti nazýván zrádcem. N á- rod se nesmí nikdy, nikdy zradit. </w:t>
      </w:r>
      <w:r>
        <w:t>Zapomněl jsem na vše, co bylo. Dal jsem se bezvýhradně do služeb čes</w:t>
      </w:r>
      <w:r>
        <w:softHyphen/>
        <w:t>kého národa. Bylo to mou svátou povinností. Tím jsem se nijak nezpronevěřil ani ideálům, ani zásadám, které jsem hlásal. Z toho důvodu, abychom docílili naprosté jednoty, utvořil pan stát</w:t>
      </w:r>
      <w:r>
        <w:t>ní president Národní souručenství. Národní souručenství -— toť národ. A národ, prodchnutý čistým nacionalismem, ne</w:t>
      </w:r>
      <w:r>
        <w:softHyphen/>
        <w:t>může zahynouti. Všichni Češi, semknutí v nerozborném šiku, nemusí pak o nic prosit a před nikým se hrbit. Heslem každého Čecha nechť je: „Bla</w:t>
      </w:r>
      <w:r>
        <w:t>ho vlasti — zákon nejvyšší“.</w:t>
      </w:r>
    </w:p>
    <w:p w:rsidR="00500724" w:rsidRDefault="00F30FB8">
      <w:pPr>
        <w:pStyle w:val="Zkladntext100"/>
        <w:shd w:val="clear" w:color="auto" w:fill="auto"/>
        <w:spacing w:line="192" w:lineRule="auto"/>
        <w:ind w:firstLine="200"/>
      </w:pPr>
      <w:r>
        <w:t xml:space="preserve">Generál Gajda začlenil veškery své stoupence pod jednotný prapor Národního souručenství. Bylo proto jeho povinností jiti mezi ně </w:t>
      </w:r>
      <w:r>
        <w:rPr>
          <w:i/>
          <w:iCs/>
        </w:rPr>
        <w:t>a</w:t>
      </w:r>
      <w:r>
        <w:t xml:space="preserve"> vysvětlit všem, kteří byli informováni živly národu nepřátelskými, proč je jednota národa nutná.</w:t>
      </w:r>
      <w:r>
        <w:t xml:space="preserve"> Těchto smutných chvil využilo totiž mnoho pochybných živlů, kteří si z naciona</w:t>
      </w:r>
      <w:r>
        <w:softHyphen/>
        <w:t>lismu chtěli dělat řemeslo a kteří se neštítili lákat na posvát</w:t>
      </w:r>
      <w:r>
        <w:softHyphen/>
        <w:t>nou víru nacionalistických zásad lidi nezkušené. Než jsme jeli mezi své bratry moravské, bylo nám hroženo, že ná</w:t>
      </w:r>
      <w:r>
        <w:t>s rozdrtí, že už v Třebíči budeme přivítáni několika sty ozbrojených gar- distů a všude, že se bude tento případ opakovati. Nás to však neodradilo. Před zrádci není možno couvat. A pak jsme vě</w:t>
      </w:r>
      <w:r>
        <w:softHyphen/>
        <w:t>děli jednu věc: že skutečných zrádců je mezi moravskými fa</w:t>
      </w:r>
      <w:r>
        <w:softHyphen/>
        <w:t>šist</w:t>
      </w:r>
      <w:r>
        <w:t>y několik, a to ostatní jsou dobří lidé a dobří Češi, kteří se dali svést lživými frázemi prodejných samozvanců a že to vše, co dělají proti jednotě národa, je pouze reakce neinformo</w:t>
      </w:r>
      <w:r>
        <w:softHyphen/>
        <w:t>vanosti. A tak vše selhalo. Kde se objevilo několik najatých provokatérů,</w:t>
      </w:r>
      <w:r>
        <w:t xml:space="preserve"> prchli sami před tím, než jsme se objevili. A bylo nás celkem 12.</w:t>
      </w:r>
    </w:p>
    <w:p w:rsidR="00500724" w:rsidRDefault="00F30FB8">
      <w:pPr>
        <w:pStyle w:val="Zkladntext100"/>
        <w:numPr>
          <w:ilvl w:val="0"/>
          <w:numId w:val="103"/>
        </w:numPr>
        <w:shd w:val="clear" w:color="auto" w:fill="auto"/>
        <w:tabs>
          <w:tab w:val="left" w:pos="457"/>
        </w:tabs>
        <w:spacing w:line="192" w:lineRule="auto"/>
        <w:ind w:firstLine="200"/>
      </w:pPr>
      <w:r>
        <w:t>Brně, kde měl být hlavní štáb samozvanců, jsme dokonce byli svědky, že si tam ti stateční námezdníci musili sezvat auto</w:t>
      </w:r>
      <w:r>
        <w:softHyphen/>
        <w:t>busy dělníky z dálnice, aby za několik korun hlídali jejich hníz</w:t>
      </w:r>
      <w:r>
        <w:softHyphen/>
        <w:t xml:space="preserve">do. </w:t>
      </w:r>
      <w:r>
        <w:t>A sehnali tak celkem dohromady 30 lidí. Tam na Moravě našimi lidmi nikdo nehne. Žijí pro národní jednotu a věří. A prosím ve jménu těch, kteří bloudili, aby nebyli vylučováni nikdy a nikým z velké národní rodiny, poněvadž to vše, čeho jsme byli svědky, byl</w:t>
      </w:r>
      <w:r>
        <w:t>o smutným dílem nevědomosti.</w:t>
      </w:r>
    </w:p>
    <w:p w:rsidR="00500724" w:rsidRDefault="00F30FB8">
      <w:pPr>
        <w:pStyle w:val="Zkladntext100"/>
        <w:shd w:val="clear" w:color="auto" w:fill="auto"/>
        <w:spacing w:line="192" w:lineRule="auto"/>
      </w:pPr>
      <w:r>
        <w:t>Stal se případ, že v Moravské Ostravě se opovážilo několik najatých mladíků jiného samozvance polského původu — pro- vokovati. — Ale několikastyhlavý dav sám si učinil pořádek a provokátery během jedné minuty vypráskal s místa.</w:t>
      </w:r>
    </w:p>
    <w:p w:rsidR="00500724" w:rsidRDefault="00F30FB8">
      <w:pPr>
        <w:pStyle w:val="Zkladntext100"/>
        <w:shd w:val="clear" w:color="auto" w:fill="auto"/>
        <w:spacing w:line="360" w:lineRule="auto"/>
        <w:ind w:left="1300" w:firstLine="320"/>
        <w:jc w:val="left"/>
      </w:pPr>
      <w:r>
        <w:rPr>
          <w:i/>
          <w:iCs/>
        </w:rPr>
        <w:t xml:space="preserve">(Dr. Václav Jiří Rada v „Poledním listě".) </w:t>
      </w:r>
      <w:r>
        <w:t>Proč chodí češí na Gestapo?</w:t>
      </w:r>
    </w:p>
    <w:p w:rsidR="00500724" w:rsidRDefault="00F30FB8">
      <w:pPr>
        <w:pStyle w:val="Zkladntext100"/>
        <w:numPr>
          <w:ilvl w:val="0"/>
          <w:numId w:val="103"/>
        </w:numPr>
        <w:shd w:val="clear" w:color="auto" w:fill="auto"/>
        <w:tabs>
          <w:tab w:val="left" w:pos="452"/>
        </w:tabs>
        <w:spacing w:line="197" w:lineRule="auto"/>
        <w:ind w:firstLine="200"/>
      </w:pPr>
      <w:r>
        <w:t>bývalém Petschkově paláci v Bredovské ulici se dveře netrhnou českými návštěvníky, kteří přicházejí se svými vše</w:t>
      </w:r>
      <w:r>
        <w:softHyphen/>
        <w:t>lijakými stížnostmi a obtěžují úředníky Gestapa (říšské stát</w:t>
      </w:r>
      <w:r>
        <w:softHyphen/>
        <w:t>ní tajné p</w:t>
      </w:r>
      <w:r>
        <w:t>olicie). Se všemi stížnostmi a žádostmi o nápravu skutečných nebo domnělých nešvarů mají se čeští lidé obracet na státní a veřejné úřady Protektorátu. Úředníci Gestapa jsou vyřizováním těchto případů zdržováni od své normální práce.</w:t>
      </w:r>
    </w:p>
    <w:p w:rsidR="00500724" w:rsidRDefault="00F30FB8">
      <w:pPr>
        <w:pStyle w:val="Zkladntext100"/>
        <w:shd w:val="clear" w:color="auto" w:fill="auto"/>
        <w:spacing w:after="120" w:line="197" w:lineRule="auto"/>
        <w:ind w:firstLine="0"/>
        <w:jc w:val="right"/>
      </w:pPr>
      <w:r>
        <w:rPr>
          <w:i/>
          <w:iCs/>
        </w:rPr>
        <w:t>(„Expres".)</w:t>
      </w:r>
    </w:p>
    <w:p w:rsidR="00500724" w:rsidRDefault="00F30FB8">
      <w:pPr>
        <w:pStyle w:val="Zkladntext100"/>
        <w:shd w:val="clear" w:color="auto" w:fill="auto"/>
        <w:spacing w:after="60" w:line="194" w:lineRule="auto"/>
        <w:ind w:firstLine="0"/>
        <w:jc w:val="center"/>
      </w:pPr>
      <w:r>
        <w:t>Rozmach něm</w:t>
      </w:r>
      <w:r>
        <w:t>eckého školství v Cechách a na Moravě.</w:t>
      </w:r>
    </w:p>
    <w:p w:rsidR="00500724" w:rsidRDefault="00F30FB8">
      <w:pPr>
        <w:pStyle w:val="Zkladntext100"/>
        <w:shd w:val="clear" w:color="auto" w:fill="auto"/>
        <w:spacing w:line="194" w:lineRule="auto"/>
      </w:pPr>
      <w:r>
        <w:t>Tisková služba národně-socialistické německé strany děl</w:t>
      </w:r>
      <w:r>
        <w:softHyphen/>
        <w:t xml:space="preserve">nické udává, že Němcům u nás v poměru ke školství Čechů chybělo k 1. lednu t. r. 156 obecných a 20 měšťanských škol. V říjnu 1938 bylo v Cs. republice podle </w:t>
      </w:r>
      <w:r>
        <w:t>těchže německých in</w:t>
      </w:r>
      <w:r>
        <w:softHyphen/>
        <w:t>formací jen 136 německých obecných a 36 měšťanských škol, kromě 8 německých soukromých škol vydržovaných Němec</w:t>
      </w:r>
      <w:r>
        <w:softHyphen/>
        <w:t>kým kulturním svazem.</w:t>
      </w:r>
    </w:p>
    <w:p w:rsidR="00500724" w:rsidRDefault="00F30FB8">
      <w:pPr>
        <w:pStyle w:val="Zkladntext100"/>
        <w:shd w:val="clear" w:color="auto" w:fill="auto"/>
        <w:spacing w:line="194" w:lineRule="auto"/>
      </w:pPr>
      <w:r>
        <w:t>Po 15. březnu 1939 začala zvýšená činnost pro vý</w:t>
      </w:r>
      <w:r>
        <w:softHyphen/>
        <w:t xml:space="preserve">stavbu německého školství na celém území Protektorátu </w:t>
      </w:r>
      <w:r>
        <w:t>a nyní možno říci, že tato akce je již v největším rozmachu.</w:t>
      </w:r>
    </w:p>
    <w:p w:rsidR="00500724" w:rsidRDefault="00F30FB8">
      <w:pPr>
        <w:pStyle w:val="Zkladntext100"/>
        <w:numPr>
          <w:ilvl w:val="0"/>
          <w:numId w:val="103"/>
        </w:numPr>
        <w:shd w:val="clear" w:color="auto" w:fill="auto"/>
        <w:tabs>
          <w:tab w:val="left" w:pos="490"/>
        </w:tabs>
        <w:spacing w:line="194" w:lineRule="auto"/>
      </w:pPr>
      <w:r>
        <w:t>jihlavském jazykovém ostrově, nejsilnějším v Pro</w:t>
      </w:r>
      <w:r>
        <w:softHyphen/>
        <w:t xml:space="preserve">tektorátě, bylo zahájeno školním rokem 1939/40 vyučování </w:t>
      </w:r>
      <w:r>
        <w:rPr>
          <w:b/>
          <w:bCs/>
        </w:rPr>
        <w:t xml:space="preserve">v I. </w:t>
      </w:r>
      <w:r>
        <w:t>třídě nové německé soukromé měšťanky ve Stonařově a otevřeny nové německé obecné ško</w:t>
      </w:r>
      <w:r>
        <w:t xml:space="preserve">ly v 11 obcích, mimo jiné </w:t>
      </w:r>
      <w:r>
        <w:rPr>
          <w:b/>
          <w:bCs/>
        </w:rPr>
        <w:t xml:space="preserve">v </w:t>
      </w:r>
      <w:r>
        <w:t>Moravských Budějovicích, v Jemnici a v Dačicích.</w:t>
      </w:r>
    </w:p>
    <w:p w:rsidR="00500724" w:rsidRDefault="00F30FB8">
      <w:pPr>
        <w:pStyle w:val="Zkladntext100"/>
        <w:shd w:val="clear" w:color="auto" w:fill="auto"/>
        <w:spacing w:line="194" w:lineRule="auto"/>
      </w:pPr>
      <w:r>
        <w:t>Na Strakonicku povstaly nové německé obecné ško</w:t>
      </w:r>
      <w:r>
        <w:softHyphen/>
        <w:t>ly v 9 obcích, mimo jiné ve Strakonicích, v Písku, v Klatovech, v Březnici, v Blatné a v Sušicích.</w:t>
      </w:r>
    </w:p>
    <w:p w:rsidR="00500724" w:rsidRDefault="00F30FB8">
      <w:pPr>
        <w:pStyle w:val="Zkladntext100"/>
        <w:shd w:val="clear" w:color="auto" w:fill="auto"/>
        <w:spacing w:line="194" w:lineRule="auto"/>
      </w:pPr>
      <w:r>
        <w:t>Na Budějovicku otevřeny nové něm</w:t>
      </w:r>
      <w:r>
        <w:t>ecké školy ve 12 místnostech, mimo jiné v Hluboké, v Týně nad Vltavou, v Netolicích a v Třeboni.</w:t>
      </w:r>
    </w:p>
    <w:p w:rsidR="00500724" w:rsidRDefault="00F30FB8">
      <w:pPr>
        <w:pStyle w:val="Zkladntext100"/>
        <w:shd w:val="clear" w:color="auto" w:fill="auto"/>
        <w:spacing w:after="100" w:line="194" w:lineRule="auto"/>
        <w:sectPr w:rsidR="00500724">
          <w:footnotePr>
            <w:numFmt w:val="chicago"/>
            <w:numRestart w:val="eachPage"/>
          </w:footnotePr>
          <w:type w:val="continuous"/>
          <w:pgSz w:w="11909" w:h="16834"/>
          <w:pgMar w:top="1051" w:right="915" w:bottom="894" w:left="524" w:header="0" w:footer="3" w:gutter="0"/>
          <w:cols w:num="2" w:space="100"/>
          <w:noEndnote/>
          <w:docGrid w:linePitch="360"/>
        </w:sectPr>
      </w:pPr>
      <w:r>
        <w:t xml:space="preserve">Na Táborsku obnoveny německé školy v Táboře a </w:t>
      </w:r>
      <w:r>
        <w:rPr>
          <w:b/>
          <w:bCs/>
        </w:rPr>
        <w:t xml:space="preserve">v </w:t>
      </w:r>
      <w:r>
        <w:t xml:space="preserve">Příbrami, na Pardubicku </w:t>
      </w:r>
      <w:r>
        <w:rPr>
          <w:b/>
          <w:bCs/>
        </w:rPr>
        <w:t xml:space="preserve">v </w:t>
      </w:r>
      <w:r>
        <w:t xml:space="preserve">Pardubicích, </w:t>
      </w:r>
      <w:r>
        <w:rPr>
          <w:b/>
          <w:bCs/>
        </w:rPr>
        <w:t xml:space="preserve">v </w:t>
      </w:r>
      <w:r>
        <w:t xml:space="preserve">Přelouči </w:t>
      </w:r>
      <w:r>
        <w:rPr>
          <w:b/>
          <w:bCs/>
        </w:rPr>
        <w:t xml:space="preserve">a </w:t>
      </w:r>
      <w:r>
        <w:t xml:space="preserve">v </w:t>
      </w:r>
      <w:r>
        <w:rPr>
          <w:b/>
          <w:bCs/>
        </w:rPr>
        <w:t>Ro- hozné.</w:t>
      </w:r>
    </w:p>
    <w:p w:rsidR="00500724" w:rsidRDefault="00F30FB8">
      <w:pPr>
        <w:pStyle w:val="Nadpis90"/>
        <w:keepNext/>
        <w:keepLines/>
        <w:pBdr>
          <w:bottom w:val="single" w:sz="4" w:space="0" w:color="auto"/>
        </w:pBdr>
        <w:shd w:val="clear" w:color="auto" w:fill="auto"/>
        <w:spacing w:before="80" w:after="0"/>
        <w:jc w:val="center"/>
        <w:sectPr w:rsidR="00500724">
          <w:footnotePr>
            <w:numFmt w:val="chicago"/>
            <w:numRestart w:val="eachPage"/>
          </w:footnotePr>
          <w:pgSz w:w="11909" w:h="16834"/>
          <w:pgMar w:top="687" w:right="1083" w:bottom="1164" w:left="401" w:header="0" w:footer="3" w:gutter="0"/>
          <w:cols w:space="720"/>
          <w:noEndnote/>
          <w:docGrid w:linePitch="360"/>
        </w:sectPr>
      </w:pPr>
      <w:bookmarkStart w:id="853" w:name="bookmark852"/>
      <w:r>
        <w:t>íhtarnnosO</w:t>
      </w:r>
      <w:bookmarkEnd w:id="853"/>
    </w:p>
    <w:p w:rsidR="00500724" w:rsidRDefault="00500724">
      <w:pPr>
        <w:spacing w:line="69" w:lineRule="exact"/>
        <w:rPr>
          <w:sz w:val="6"/>
          <w:szCs w:val="6"/>
        </w:rPr>
      </w:pPr>
    </w:p>
    <w:p w:rsidR="00500724" w:rsidRDefault="00500724">
      <w:pPr>
        <w:spacing w:line="14" w:lineRule="exact"/>
        <w:sectPr w:rsidR="00500724">
          <w:footnotePr>
            <w:numFmt w:val="chicago"/>
            <w:numRestart w:val="eachPage"/>
          </w:footnotePr>
          <w:type w:val="continuous"/>
          <w:pgSz w:w="11909" w:h="16834"/>
          <w:pgMar w:top="866" w:right="0" w:bottom="1185" w:left="0" w:header="0" w:footer="3" w:gutter="0"/>
          <w:cols w:space="720"/>
          <w:noEndnote/>
          <w:docGrid w:linePitch="360"/>
        </w:sectPr>
      </w:pPr>
    </w:p>
    <w:p w:rsidR="00500724" w:rsidRDefault="00F30FB8">
      <w:pPr>
        <w:pStyle w:val="Zkladntext100"/>
        <w:shd w:val="clear" w:color="auto" w:fill="auto"/>
        <w:spacing w:line="194" w:lineRule="auto"/>
        <w:ind w:firstLine="240"/>
      </w:pPr>
      <w:r>
        <w:t xml:space="preserve">Na jižní </w:t>
      </w:r>
      <w:r>
        <w:rPr>
          <w:b/>
          <w:bCs/>
        </w:rPr>
        <w:t xml:space="preserve">a </w:t>
      </w:r>
      <w:r>
        <w:t>střední Moravě otevřeno 7 nových obecných škol, mimo jiné v Boskovicích.</w:t>
      </w:r>
    </w:p>
    <w:p w:rsidR="00500724" w:rsidRDefault="00F30FB8">
      <w:pPr>
        <w:pStyle w:val="Zkladntext100"/>
        <w:shd w:val="clear" w:color="auto" w:fill="auto"/>
        <w:spacing w:line="194" w:lineRule="auto"/>
        <w:ind w:firstLine="240"/>
      </w:pPr>
      <w:r>
        <w:t>Na Moravskoostravsku zřízeno 12 nových obec</w:t>
      </w:r>
      <w:r>
        <w:softHyphen/>
        <w:t>ných škol, mimo jiné v Rožnově, ve Valašském Meziříčí, ve Vs</w:t>
      </w:r>
      <w:r>
        <w:t>etíně, ve Slezské Ostravě.</w:t>
      </w:r>
    </w:p>
    <w:p w:rsidR="00500724" w:rsidRDefault="00F30FB8">
      <w:pPr>
        <w:pStyle w:val="Zkladntext100"/>
        <w:shd w:val="clear" w:color="auto" w:fill="auto"/>
        <w:spacing w:line="194" w:lineRule="auto"/>
        <w:ind w:firstLine="240"/>
      </w:pPr>
      <w:r>
        <w:t xml:space="preserve">V nejbližších týdnech má býti zřízeno 9 dalších německých obecných škol v Cechách a 4 obecné školy na Moravě. Mezi městy, které obdrží německé školy, jsou </w:t>
      </w:r>
      <w:r>
        <w:rPr>
          <w:b/>
          <w:bCs/>
        </w:rPr>
        <w:t xml:space="preserve">i </w:t>
      </w:r>
      <w:r>
        <w:t>Domažlice, Mělník, Louny, Klánovice, Jičín, Král. Hradec, Kolín, z morav</w:t>
      </w:r>
      <w:r>
        <w:t>ských Rosice, Oslavany, Uherský Brod.</w:t>
      </w:r>
    </w:p>
    <w:p w:rsidR="00500724" w:rsidRDefault="00F30FB8">
      <w:pPr>
        <w:pStyle w:val="Zkladntext100"/>
        <w:shd w:val="clear" w:color="auto" w:fill="auto"/>
        <w:spacing w:line="194" w:lineRule="auto"/>
        <w:ind w:firstLine="240"/>
      </w:pPr>
      <w:r>
        <w:t>Nové německé měšťanské školy majít být zřízeny v Jevíčku a v České Třebové.</w:t>
      </w:r>
    </w:p>
    <w:p w:rsidR="00500724" w:rsidRDefault="00F30FB8">
      <w:pPr>
        <w:pStyle w:val="Zkladntext100"/>
        <w:shd w:val="clear" w:color="auto" w:fill="auto"/>
        <w:spacing w:line="194" w:lineRule="auto"/>
        <w:ind w:firstLine="240"/>
      </w:pPr>
      <w:r>
        <w:t>Německý kulturní svaz kromě toho podporuje německé obecné školy v Kroměříži, v Holešově, ve Vyškově, v Uherském Hradišti, v Lošticích, v Ivanč</w:t>
      </w:r>
      <w:r>
        <w:t>icích a ve Zlíně.</w:t>
      </w:r>
    </w:p>
    <w:p w:rsidR="00500724" w:rsidRDefault="00F30FB8">
      <w:pPr>
        <w:pStyle w:val="Zkladntext100"/>
        <w:shd w:val="clear" w:color="auto" w:fill="auto"/>
        <w:spacing w:line="194" w:lineRule="auto"/>
        <w:ind w:firstLine="240"/>
      </w:pPr>
      <w:r>
        <w:t>Rychlou výstavbou německého školství vznikl problém učitelských sil. Protože absolventi brněnského učitel</w:t>
      </w:r>
      <w:r>
        <w:softHyphen/>
        <w:t>ského ústavu nestačili, musilo se sáhnouti k abiturientům středních škol. Aby se nedostatek učitelů odstranil, zahajuje znovu činnos</w:t>
      </w:r>
      <w:r>
        <w:t>t německý učitelský ústav v Českých Budějovi</w:t>
      </w:r>
      <w:r>
        <w:softHyphen/>
        <w:t>cích.</w:t>
      </w:r>
    </w:p>
    <w:p w:rsidR="00500724" w:rsidRDefault="00F30FB8">
      <w:pPr>
        <w:pStyle w:val="Zkladntext100"/>
        <w:shd w:val="clear" w:color="auto" w:fill="auto"/>
        <w:spacing w:line="194" w:lineRule="auto"/>
        <w:ind w:firstLine="240"/>
      </w:pPr>
      <w:r>
        <w:t>Jsou vypracovány plány, aby německé školní děti byly ubytovány ve společných domovech, jež se zřizují v sídle školy, odkudž by jen přes neděli mohly jiti ke svým rodičům do vzdálených vesnic. Toto opatření</w:t>
      </w:r>
      <w:r>
        <w:t xml:space="preserve"> má také za cíl docíliti soustředěné výchovy v národně socialistickém duchu.</w:t>
      </w:r>
    </w:p>
    <w:p w:rsidR="00500724" w:rsidRDefault="00F30FB8">
      <w:pPr>
        <w:pStyle w:val="Zkladntext100"/>
        <w:shd w:val="clear" w:color="auto" w:fill="auto"/>
        <w:tabs>
          <w:tab w:val="left" w:pos="4046"/>
        </w:tabs>
        <w:spacing w:after="80" w:line="194" w:lineRule="auto"/>
        <w:ind w:firstLine="240"/>
      </w:pPr>
      <w:r>
        <w:t>Školská akce Němců v Protektorátě má toto heslo: Kde jsou německé děti, musí býti také zřízeny ně</w:t>
      </w:r>
      <w:r>
        <w:softHyphen/>
        <w:t>mecké školy. Podle tohoto hesla se postupuje plánovitě a s rozhodností.</w:t>
      </w:r>
      <w:r>
        <w:tab/>
      </w:r>
      <w:r>
        <w:rPr>
          <w:i/>
          <w:iCs/>
        </w:rPr>
        <w:t>(„Venkov.“)</w:t>
      </w:r>
    </w:p>
    <w:p w:rsidR="00500724" w:rsidRDefault="00F30FB8">
      <w:pPr>
        <w:pStyle w:val="Zkladntext100"/>
        <w:shd w:val="clear" w:color="auto" w:fill="auto"/>
        <w:spacing w:after="80" w:line="194" w:lineRule="auto"/>
        <w:ind w:firstLine="0"/>
        <w:jc w:val="center"/>
      </w:pPr>
      <w:r>
        <w:t>Německé vysoké školy v Praze a Brně do správy ftíše</w:t>
      </w:r>
    </w:p>
    <w:p w:rsidR="00500724" w:rsidRDefault="00F30FB8">
      <w:pPr>
        <w:pStyle w:val="Zkladntext100"/>
        <w:shd w:val="clear" w:color="auto" w:fill="auto"/>
        <w:spacing w:after="80" w:line="197" w:lineRule="auto"/>
        <w:ind w:firstLine="200"/>
      </w:pPr>
      <w:r>
        <w:t>Na základě nařízení Vůdce a říšského kancléře a odpověd</w:t>
      </w:r>
      <w:r>
        <w:softHyphen/>
        <w:t>ného ministra o převedení německých vysokých škol Protek</w:t>
      </w:r>
      <w:r>
        <w:softHyphen/>
        <w:t>torátu do říšské správy, budou nyní zařáděny do této sféry jak německá universi</w:t>
      </w:r>
      <w:r>
        <w:t>ta v Praze, tak i německé vysoké učení technické v Praze a v Brně.</w:t>
      </w:r>
    </w:p>
    <w:p w:rsidR="00500724" w:rsidRDefault="00F30FB8">
      <w:pPr>
        <w:pStyle w:val="Zkladntext100"/>
        <w:shd w:val="clear" w:color="auto" w:fill="auto"/>
        <w:spacing w:after="80" w:line="194" w:lineRule="auto"/>
        <w:ind w:firstLine="0"/>
        <w:jc w:val="center"/>
      </w:pPr>
      <w:r>
        <w:t>Uživí 6 milionů venkovanů 1 milion duši v Praze?</w:t>
      </w:r>
    </w:p>
    <w:p w:rsidR="00500724" w:rsidRDefault="00F30FB8">
      <w:pPr>
        <w:pStyle w:val="Zkladntext100"/>
        <w:shd w:val="clear" w:color="auto" w:fill="auto"/>
        <w:spacing w:line="197" w:lineRule="auto"/>
        <w:ind w:firstLine="200"/>
      </w:pPr>
      <w:r>
        <w:t>Ač nemáme ani centimetru kolonií, je Praha ve stejné situaci v poměru obyvatel země a obyvatel hlavního města, jako Londýn; jsou to jediná d</w:t>
      </w:r>
      <w:r>
        <w:t>vě města Evropy, která jsou tak centralisována, že každý sedmý obyvatel země bydlí v hlavním městě.</w:t>
      </w:r>
    </w:p>
    <w:p w:rsidR="00500724" w:rsidRDefault="00F30FB8">
      <w:pPr>
        <w:pStyle w:val="Zkladntext100"/>
        <w:shd w:val="clear" w:color="auto" w:fill="auto"/>
        <w:spacing w:line="197" w:lineRule="auto"/>
        <w:ind w:firstLine="200"/>
      </w:pPr>
      <w:r>
        <w:t>Víme, že Praha rostla za naprosto jiných poměrů, než jsou dnešní. Přehlížena centralistickým Rakouskem, měla po válce kolem 400.000 obyvatel. Rozrostla běhe</w:t>
      </w:r>
      <w:r>
        <w:t>m 25 let na konci prvé republiky na 900.000 duší. Ale od října minulého roku je měsíční přírůstek podstatně vyšší, než jaký byl průměrný pří</w:t>
      </w:r>
      <w:r>
        <w:softHyphen/>
        <w:t>růstek v minulém čtvrtstoletí. Jistě, že přílivem našich lidí z připojených území. V říjnu minulého roku přistěhova</w:t>
      </w:r>
      <w:r>
        <w:t>lo se do Prahy na 35.000 lidí, v listopadu na 25.000.</w:t>
      </w:r>
    </w:p>
    <w:p w:rsidR="00500724" w:rsidRDefault="00F30FB8">
      <w:pPr>
        <w:pStyle w:val="Zkladntext100"/>
        <w:shd w:val="clear" w:color="auto" w:fill="auto"/>
        <w:spacing w:line="197" w:lineRule="auto"/>
        <w:ind w:firstLine="200"/>
      </w:pPr>
      <w:r>
        <w:t>Tímto přílivem dostáváme se do situace, že v zemi, která má přes sedm a půl milionu obyvatel, v samotném hlavním městě bude soustředěn plný milion duší. Pakt, který některé listy přivádí k jásotu, že Pr</w:t>
      </w:r>
      <w:r>
        <w:t>aha je světovým městem, ač svě</w:t>
      </w:r>
      <w:r>
        <w:softHyphen/>
        <w:t>tovost nikdý se nedokazuje jen počtem příslušníků.</w:t>
      </w:r>
    </w:p>
    <w:p w:rsidR="00500724" w:rsidRDefault="00F30FB8">
      <w:pPr>
        <w:pStyle w:val="Zkladntext100"/>
        <w:shd w:val="clear" w:color="auto" w:fill="auto"/>
        <w:tabs>
          <w:tab w:val="left" w:pos="2942"/>
        </w:tabs>
        <w:spacing w:after="80" w:line="197" w:lineRule="auto"/>
        <w:ind w:firstLine="200"/>
      </w:pPr>
      <w:r>
        <w:t>Četli jsme v regionálním listě otázku: Uživí sedm milionů obyvatel Protektorátu hlavní měs</w:t>
      </w:r>
      <w:r>
        <w:softHyphen/>
        <w:t>to? A za otázkou bylo rozvedeno, jak většina obyvatel Prahy je živa hlavně ze správ</w:t>
      </w:r>
      <w:r>
        <w:t>y a z hospodářských neproduk- tivních zaměstnání, četli jsme tu upozornění, jak do Prahy soustředily se leckteré školy odborné (keramická, kovářská, truhlářská), které měly by více oprávnění k existenci spíše na venkově, v oblastech, v nichž je domovem pří</w:t>
      </w:r>
      <w:r>
        <w:t>slušný prů</w:t>
      </w:r>
      <w:r>
        <w:softHyphen/>
        <w:t>mysl.</w:t>
      </w:r>
      <w:r>
        <w:tab/>
      </w:r>
      <w:r>
        <w:rPr>
          <w:i/>
          <w:iCs/>
        </w:rPr>
        <w:t>(G. Ježek ve „Venkově“.)</w:t>
      </w:r>
    </w:p>
    <w:p w:rsidR="00500724" w:rsidRDefault="00F30FB8">
      <w:pPr>
        <w:pStyle w:val="Zkladntext100"/>
        <w:shd w:val="clear" w:color="auto" w:fill="auto"/>
        <w:spacing w:after="80" w:line="194" w:lineRule="auto"/>
        <w:ind w:firstLine="0"/>
        <w:jc w:val="center"/>
      </w:pPr>
      <w:r>
        <w:t>Nečasová jména</w:t>
      </w:r>
    </w:p>
    <w:p w:rsidR="00500724" w:rsidRDefault="00F30FB8">
      <w:pPr>
        <w:pStyle w:val="Zkladntext100"/>
        <w:shd w:val="clear" w:color="auto" w:fill="auto"/>
        <w:spacing w:after="160" w:line="194" w:lineRule="auto"/>
        <w:ind w:firstLine="240"/>
      </w:pPr>
      <w:r>
        <w:t>„Der Neue Tag“ píše: Jeden z problémů, které se po ne</w:t>
      </w:r>
      <w:r>
        <w:softHyphen/>
      </w:r>
      <w:r>
        <w:t xml:space="preserve">dávné minulosti staly aktuálními, jest zajisté otázka, zdali ještě určitá jména anebo způsob jejich psaní vyhovují svým nositelům.. V době Československa staly se nesčetné případy libovolných anebo nesprávných zápisů do matrik. Víme, že v obcích, kde byla </w:t>
      </w:r>
      <w:r>
        <w:t xml:space="preserve">česká většina, měli v letech 1918—1939 zapisovatelé do matrik zvyk, nezanášet jména jako </w:t>
      </w:r>
      <w:r>
        <w:rPr>
          <w:lang w:val="en-US" w:eastAsia="en-US" w:bidi="en-US"/>
        </w:rPr>
        <w:t xml:space="preserve">Schubert, Schulz, Schmidt </w:t>
      </w:r>
      <w:r>
        <w:t>atd. s německým sch, nýbrž s českým háč</w:t>
      </w:r>
      <w:r>
        <w:softHyphen/>
        <w:t xml:space="preserve">kem. Právě tak zmizela mnohá z německých jmen. takže </w:t>
      </w:r>
      <w:r>
        <w:rPr>
          <w:lang w:val="en-US" w:eastAsia="en-US" w:bidi="en-US"/>
        </w:rPr>
        <w:t xml:space="preserve">pan Mayer </w:t>
      </w:r>
      <w:r>
        <w:t xml:space="preserve">se najednou jmenoval </w:t>
      </w:r>
      <w:r>
        <w:rPr>
          <w:lang w:val="en-US" w:eastAsia="en-US" w:bidi="en-US"/>
        </w:rPr>
        <w:t>Mayr a pan Schube</w:t>
      </w:r>
      <w:r>
        <w:rPr>
          <w:lang w:val="en-US" w:eastAsia="en-US" w:bidi="en-US"/>
        </w:rPr>
        <w:t xml:space="preserve">rt </w:t>
      </w:r>
      <w:r>
        <w:t>se pak úředně jmenoval jen Šubrt. Nyní je samozřejmé, že se tyto znetvořeníny německých jmen odstraní. Jsou dále Něm</w:t>
      </w:r>
      <w:r>
        <w:softHyphen/>
        <w:t xml:space="preserve">ci, kteří mají vysloveně česky znějící příjmení, ačkoli se oni </w:t>
      </w:r>
      <w:r>
        <w:rPr>
          <w:b/>
          <w:bCs/>
        </w:rPr>
        <w:t xml:space="preserve">i </w:t>
      </w:r>
      <w:r>
        <w:t>jejich předkové vždycky hlásili k německé národnosti. Jsou nesčetní Piw</w:t>
      </w:r>
      <w:r>
        <w:t>onkové, Nawratilowé, Kralitschkové atd., kteři by pochopitelně rádi co nejdříve vyměnili tato jména za jiná. Je to posud možno podle rakouského dvorského dekretu z ro</w:t>
      </w:r>
      <w:r>
        <w:softHyphen/>
        <w:t xml:space="preserve">ku 1826. „Der Neue Tag“ uvádí potom formality, spojené se žádostí a podotýká, že žadatel </w:t>
      </w:r>
      <w:r>
        <w:t>musí uvést důvody, proč se domáhá změny jména. Tak na příklad může ukázat na to, že jeho dosavadní příjmení bylo podnětem k posměškům, že jako Němec nechce mít česky znějící jméno atd. Zemský úřad rozhoduje o podaných žádostech podle volného uvážení. Po do</w:t>
      </w:r>
      <w:r>
        <w:t>savadních zkušenostech lze říci, že žádostem o změnu jmé</w:t>
      </w:r>
      <w:r>
        <w:softHyphen/>
        <w:t>na dosud českého ve jméno německé se bez nesnází vyhoví.</w:t>
      </w:r>
    </w:p>
    <w:p w:rsidR="00500724" w:rsidRDefault="00F30FB8">
      <w:pPr>
        <w:pStyle w:val="Zkladntext100"/>
        <w:shd w:val="clear" w:color="auto" w:fill="auto"/>
        <w:spacing w:after="100" w:line="194" w:lineRule="auto"/>
        <w:ind w:left="1060" w:firstLine="0"/>
        <w:jc w:val="left"/>
      </w:pPr>
      <w:r>
        <w:t>Zajišťuje se zásobováni rybami</w:t>
      </w:r>
    </w:p>
    <w:p w:rsidR="00500724" w:rsidRDefault="00F30FB8">
      <w:pPr>
        <w:pStyle w:val="Zkladntext100"/>
        <w:shd w:val="clear" w:color="auto" w:fill="auto"/>
        <w:spacing w:after="160" w:line="194" w:lineRule="auto"/>
        <w:ind w:firstLine="220"/>
      </w:pPr>
      <w:r>
        <w:t>Z podnětu min. zemědělství a rybářských organisaci pro</w:t>
      </w:r>
      <w:r>
        <w:softHyphen/>
        <w:t xml:space="preserve">vádějí okresní úřady ve snaze zvýšiti produkci </w:t>
      </w:r>
      <w:r>
        <w:t>sladkovodních ryb soupis nevyužitých a ojedinělých rybníků. V celku bylo dřivé v českých zemích 46.000 ha rybníků s produkcí asi 33.000 q ryb. Na území Protektorátu zbylo 37.440 ha a výnos se odhaduje na 27.000 q ročně. Očekává se, že soupis dosud nevyužit</w:t>
      </w:r>
      <w:r>
        <w:t>ých rybníků bude znamenati možnost využití dalších 5—6000 ha rybničně plochy. Případné přebytky naší produkce ryb se snadno umístí v Sudetech. Dovoz mořských ryb bude stupňován převážně z Německa. Přední rybárenská firma v Praze hledá již vhodné obchodníky</w:t>
      </w:r>
      <w:r>
        <w:t xml:space="preserve"> ve větších místech, ochotné a zařízené k převzetí prodeje ryb. Mezi zájemci jest nejvíce řezníků, kteří mají dobré předpoklady v povaze i za</w:t>
      </w:r>
      <w:r>
        <w:softHyphen/>
        <w:t xml:space="preserve">řízení svých živností pro výsek mořských ryb. </w:t>
      </w:r>
      <w:r>
        <w:rPr>
          <w:i/>
          <w:iCs/>
        </w:rPr>
        <w:t>(„Expres“).</w:t>
      </w:r>
    </w:p>
    <w:p w:rsidR="00500724" w:rsidRDefault="00F30FB8">
      <w:pPr>
        <w:pStyle w:val="Zkladntext40"/>
        <w:shd w:val="clear" w:color="auto" w:fill="auto"/>
        <w:spacing w:after="100" w:line="240" w:lineRule="auto"/>
        <w:jc w:val="center"/>
        <w:rPr>
          <w:sz w:val="16"/>
          <w:szCs w:val="16"/>
        </w:rPr>
      </w:pPr>
      <w:r>
        <w:rPr>
          <w:b/>
          <w:bCs/>
          <w:sz w:val="16"/>
          <w:szCs w:val="16"/>
        </w:rPr>
        <w:t>Kouříme více než dříve</w:t>
      </w:r>
    </w:p>
    <w:p w:rsidR="00500724" w:rsidRDefault="00F30FB8">
      <w:pPr>
        <w:pStyle w:val="Zkladntext100"/>
        <w:shd w:val="clear" w:color="auto" w:fill="auto"/>
        <w:tabs>
          <w:tab w:val="left" w:pos="4090"/>
        </w:tabs>
        <w:spacing w:after="100" w:line="194" w:lineRule="auto"/>
        <w:ind w:firstLine="220"/>
      </w:pPr>
      <w:r>
        <w:t>V prvém pololetí tohoto roku čini</w:t>
      </w:r>
      <w:r>
        <w:t>ly příjmy Tabákové režie celkem 614 milionů K. Oproti loňskému roku je to sice o 27 % % méně, ale nesmíme zapomínat, že úbytek spotřebitelů byl značně vyšší. Čísla ukazují, že tedy nyní více kouříme než dříve.</w:t>
      </w:r>
      <w:r>
        <w:tab/>
      </w:r>
      <w:r>
        <w:rPr>
          <w:i/>
          <w:iCs/>
        </w:rPr>
        <w:t>(„Expres“.)</w:t>
      </w:r>
    </w:p>
    <w:p w:rsidR="00500724" w:rsidRDefault="00F30FB8">
      <w:pPr>
        <w:pStyle w:val="Zkladntext100"/>
        <w:shd w:val="clear" w:color="auto" w:fill="auto"/>
        <w:spacing w:after="100" w:line="194" w:lineRule="auto"/>
        <w:ind w:firstLine="0"/>
        <w:jc w:val="center"/>
      </w:pPr>
      <w:r>
        <w:t>Židovská nemocnice v Praze</w:t>
      </w:r>
    </w:p>
    <w:p w:rsidR="00500724" w:rsidRDefault="00F30FB8">
      <w:pPr>
        <w:pStyle w:val="Zkladntext100"/>
        <w:shd w:val="clear" w:color="auto" w:fill="auto"/>
        <w:tabs>
          <w:tab w:val="left" w:pos="3701"/>
        </w:tabs>
        <w:spacing w:after="160" w:line="194" w:lineRule="auto"/>
        <w:ind w:firstLine="220"/>
      </w:pPr>
      <w:r>
        <w:t>Na zákl</w:t>
      </w:r>
      <w:r>
        <w:t xml:space="preserve">adě rozhodnutí, že Židé nesmějí býti umisťováni ve stejných místnostech našich nemocnic jako Arijci, sbírají nyní pražští Židé peníze na zakoupení bývalého sanatoria dr. Got- lieba v Londýnské ulici na Král. Vinohradech, aby z něho byla vytvořena židovská </w:t>
      </w:r>
      <w:r>
        <w:t>nemocnice.</w:t>
      </w:r>
      <w:r>
        <w:tab/>
      </w:r>
      <w:r>
        <w:rPr>
          <w:i/>
          <w:iCs/>
        </w:rPr>
        <w:t>(„Polední list“.)</w:t>
      </w:r>
    </w:p>
    <w:p w:rsidR="00500724" w:rsidRDefault="00F30FB8">
      <w:pPr>
        <w:pStyle w:val="Zkladntext100"/>
        <w:shd w:val="clear" w:color="auto" w:fill="auto"/>
        <w:spacing w:after="60" w:line="194" w:lineRule="auto"/>
        <w:ind w:firstLine="0"/>
        <w:jc w:val="center"/>
      </w:pPr>
      <w:r>
        <w:t>České noviny a čtenáři</w:t>
      </w:r>
    </w:p>
    <w:p w:rsidR="00500724" w:rsidRDefault="00F30FB8">
      <w:pPr>
        <w:pStyle w:val="Zkladntext100"/>
        <w:shd w:val="clear" w:color="auto" w:fill="auto"/>
        <w:tabs>
          <w:tab w:val="left" w:leader="hyphen" w:pos="2856"/>
        </w:tabs>
        <w:spacing w:line="194" w:lineRule="auto"/>
        <w:ind w:firstLine="220"/>
      </w:pPr>
      <w:r>
        <w:t>Docházejí dopisy, jež nejen rozruší, ale zabolí. Výčitky, silná slova i vyhrůžky, slina potupy a urážky, nepochopení, zlá slo</w:t>
      </w:r>
      <w:r>
        <w:softHyphen/>
        <w:t>va od vlastních českých lidí</w:t>
      </w:r>
      <w:r>
        <w:tab/>
        <w:t>to jest často odměnou za</w:t>
      </w:r>
    </w:p>
    <w:p w:rsidR="00500724" w:rsidRDefault="00F30FB8">
      <w:pPr>
        <w:pStyle w:val="Zkladntext100"/>
        <w:shd w:val="clear" w:color="auto" w:fill="auto"/>
        <w:spacing w:line="194" w:lineRule="auto"/>
        <w:ind w:firstLine="0"/>
      </w:pPr>
      <w:r>
        <w:t>to, že novinář dnem i no</w:t>
      </w:r>
      <w:r>
        <w:t>ci shání zprávy, přemýšlí, co by svému lidu napsal, jak by ho poučil, jak vedl, aby se vyvaroval chyb a škod, jak by poradil, posílil i varoval . . .</w:t>
      </w:r>
    </w:p>
    <w:p w:rsidR="00500724" w:rsidRDefault="00F30FB8">
      <w:pPr>
        <w:pStyle w:val="Zkladntext100"/>
        <w:shd w:val="clear" w:color="auto" w:fill="auto"/>
        <w:spacing w:line="194" w:lineRule="auto"/>
        <w:ind w:firstLine="220"/>
      </w:pPr>
      <w:r>
        <w:t>Množí se případy zrádcování novinářů, obviňováni z ne</w:t>
      </w:r>
      <w:r>
        <w:softHyphen/>
        <w:t xml:space="preserve">dostatku přímosti a osobní statečnosti. Člověk, </w:t>
      </w:r>
      <w:r>
        <w:t>který si potají přečte hloupoučký nebo surový letáček, plivne po novinářích, že hrbí hřbet, že utajují pravdu, že neinformují — — radí no</w:t>
      </w:r>
      <w:r>
        <w:softHyphen/>
        <w:t>vinám, ovšem že anonymně, poučuje, jak by si on vedl, ale nenapadne ho, aby se informoval o postavení českého novináře</w:t>
      </w:r>
      <w:r>
        <w:t>.</w:t>
      </w:r>
    </w:p>
    <w:p w:rsidR="00500724" w:rsidRDefault="00F30FB8">
      <w:pPr>
        <w:pStyle w:val="Zkladntext100"/>
        <w:shd w:val="clear" w:color="auto" w:fill="auto"/>
        <w:spacing w:after="100" w:line="194" w:lineRule="auto"/>
        <w:ind w:firstLine="0"/>
        <w:jc w:val="right"/>
      </w:pPr>
      <w:r>
        <w:rPr>
          <w:i/>
          <w:iCs/>
        </w:rPr>
        <w:t>(„Věstník české menšiny v Sudetech.“)</w:t>
      </w:r>
    </w:p>
    <w:p w:rsidR="00500724" w:rsidRDefault="00F30FB8">
      <w:pPr>
        <w:pStyle w:val="Zkladntext100"/>
        <w:shd w:val="clear" w:color="auto" w:fill="auto"/>
        <w:tabs>
          <w:tab w:val="left" w:pos="739"/>
        </w:tabs>
        <w:spacing w:after="60" w:line="194" w:lineRule="auto"/>
        <w:ind w:firstLine="0"/>
      </w:pPr>
      <w:r>
        <w:t>i</w:t>
      </w:r>
      <w:r>
        <w:tab/>
        <w:t>Válka nervů vstupuje do posledního údobí</w:t>
      </w:r>
    </w:p>
    <w:p w:rsidR="00500724" w:rsidRDefault="00F30FB8">
      <w:pPr>
        <w:pStyle w:val="Zkladntext100"/>
        <w:shd w:val="clear" w:color="auto" w:fill="auto"/>
        <w:spacing w:line="197" w:lineRule="auto"/>
        <w:ind w:firstLine="220"/>
      </w:pPr>
      <w:r>
        <w:t>Paříž, 14. srpna (čtk). Ukončení salcpurských a berch- tesgadenských rozhovorů je pařížskému tisku podnětem k to</w:t>
      </w:r>
      <w:r>
        <w:softHyphen/>
        <w:t>mu, aby se v dlouhých článcích zabýval názory o příštích úmy</w:t>
      </w:r>
      <w:r>
        <w:t>slech obou mocností Osy.</w:t>
      </w:r>
    </w:p>
    <w:p w:rsidR="00500724" w:rsidRDefault="00F30FB8">
      <w:pPr>
        <w:pStyle w:val="Zkladntext100"/>
        <w:shd w:val="clear" w:color="auto" w:fill="auto"/>
        <w:spacing w:line="197" w:lineRule="auto"/>
        <w:ind w:firstLine="220"/>
      </w:pPr>
      <w:r>
        <w:t>Listy píší, že t. zv. válka nervů vstupuje prý nyní do svého posledního údobí a že příští dny přinesou vyvrcholení napětí.</w:t>
      </w:r>
    </w:p>
    <w:p w:rsidR="00500724" w:rsidRDefault="00F30FB8">
      <w:pPr>
        <w:pStyle w:val="Zkladntext100"/>
        <w:shd w:val="clear" w:color="auto" w:fill="auto"/>
        <w:spacing w:after="60" w:line="197" w:lineRule="auto"/>
        <w:ind w:firstLine="300"/>
      </w:pPr>
      <w:r>
        <w:t xml:space="preserve">I když jsou úmysly Berlina a Říma ještě nejasné, není naprosto pochyb o tom, že konečné řešení dosud </w:t>
      </w:r>
      <w:r>
        <w:t>otevřených otázek bude přivoděno buď jedním nebo druhým způsobem. „Journal“ praví, že nastává nesporně kritické rozhodující ob</w:t>
      </w:r>
      <w:r>
        <w:softHyphen/>
        <w:t>dobí zápolení.</w:t>
      </w:r>
    </w:p>
    <w:p w:rsidR="00500724" w:rsidRDefault="00F30FB8">
      <w:pPr>
        <w:pStyle w:val="Zkladntext100"/>
        <w:shd w:val="clear" w:color="auto" w:fill="auto"/>
        <w:spacing w:after="60" w:line="194" w:lineRule="auto"/>
        <w:ind w:firstLine="0"/>
        <w:jc w:val="center"/>
      </w:pPr>
      <w:r>
        <w:t>Poslední výstraha Polsku?</w:t>
      </w:r>
    </w:p>
    <w:p w:rsidR="00500724" w:rsidRDefault="00F30FB8">
      <w:pPr>
        <w:pStyle w:val="Zkladntext100"/>
        <w:shd w:val="clear" w:color="auto" w:fill="auto"/>
        <w:spacing w:line="194" w:lineRule="auto"/>
        <w:ind w:firstLine="220"/>
      </w:pPr>
      <w:r>
        <w:rPr>
          <w:rFonts w:ascii="Arial" w:eastAsia="Arial" w:hAnsi="Arial" w:cs="Arial"/>
          <w:b/>
          <w:bCs/>
          <w:sz w:val="17"/>
          <w:szCs w:val="17"/>
        </w:rPr>
        <w:t xml:space="preserve">R </w:t>
      </w:r>
      <w:r>
        <w:t>í m, 14. srpna. Otázka Gdanska vstoupila do poslední fáze, píše Relazione Intemazional</w:t>
      </w:r>
      <w:r>
        <w:t>e.</w:t>
      </w:r>
    </w:p>
    <w:p w:rsidR="00500724" w:rsidRDefault="00F30FB8">
      <w:pPr>
        <w:pStyle w:val="Zkladntext100"/>
        <w:shd w:val="clear" w:color="auto" w:fill="auto"/>
        <w:spacing w:line="197" w:lineRule="auto"/>
        <w:ind w:firstLine="220"/>
      </w:pPr>
      <w:r>
        <w:t>List považuje za svou povinnost varovati Polsko, poněvadž kdyby zůstalo při svém nynějším postoji, vedla by taková „p o- litika sebevraždy k rozpadnutí“. Když Polsko chce pokračovati ve svém vývoji jako nezávislý národ, musí žiti v dobrém sousedském pom</w:t>
      </w:r>
      <w:r>
        <w:t>ěru s Německem nejen pro svou zeměpisnou a strategickou polohu, nýbrž protože na jeho území žijí značné menšiny.</w:t>
      </w:r>
    </w:p>
    <w:p w:rsidR="00500724" w:rsidRDefault="00F30FB8">
      <w:pPr>
        <w:pStyle w:val="Zkladntext100"/>
        <w:shd w:val="clear" w:color="auto" w:fill="auto"/>
        <w:spacing w:line="194" w:lineRule="auto"/>
        <w:ind w:firstLine="220"/>
      </w:pPr>
      <w:r>
        <w:t>Vláda ve Varšavě musí tomu rozuměti, že mocnosti osy ne</w:t>
      </w:r>
      <w:r>
        <w:softHyphen/>
        <w:t>mohou připustiti, aby se Polsko stalo předvojem ve východní Evropě, jak francouzsko-pol</w:t>
      </w:r>
      <w:r>
        <w:t>ský traktát z roku 1921 měl v úmyslu. Když se vede hazardní politika, která je v rozporu s tradicemi a zájmy země, riskuje se, že se draze zaplatí, zvláště když — jako v tomto případě — chce spáliti všechny mosty do Německa.</w:t>
      </w:r>
    </w:p>
    <w:p w:rsidR="00500724" w:rsidRDefault="00F30FB8">
      <w:pPr>
        <w:pStyle w:val="Zkladntext100"/>
        <w:shd w:val="clear" w:color="auto" w:fill="auto"/>
        <w:spacing w:after="100" w:line="194" w:lineRule="auto"/>
        <w:ind w:firstLine="220"/>
      </w:pPr>
      <w:r>
        <w:t>Kdo klade váhu na nezávislost P</w:t>
      </w:r>
      <w:r>
        <w:t>olska, ať ví již dnes, že ten den, kdy demokratické mocnosti zasáhnou, může býti Polsko jisto, žezmizísmapyEvropy, protože je logikou osudu, že mocnosti Osy nedají se předběhnouti událostmi, které by mohly zasáhnouti do jejich životní sféry.</w:t>
      </w:r>
    </w:p>
    <w:p w:rsidR="00500724" w:rsidRDefault="00F30FB8">
      <w:pPr>
        <w:pStyle w:val="Zkladntext100"/>
        <w:shd w:val="clear" w:color="auto" w:fill="auto"/>
        <w:spacing w:after="60" w:line="194" w:lineRule="auto"/>
        <w:ind w:firstLine="0"/>
        <w:jc w:val="center"/>
      </w:pPr>
      <w:r>
        <w:t xml:space="preserve">Řešení polské </w:t>
      </w:r>
      <w:r>
        <w:t>otázky bez kompromisů.</w:t>
      </w:r>
    </w:p>
    <w:p w:rsidR="00500724" w:rsidRDefault="00F30FB8">
      <w:pPr>
        <w:pStyle w:val="Zkladntext100"/>
        <w:shd w:val="clear" w:color="auto" w:fill="auto"/>
        <w:spacing w:after="120" w:line="192" w:lineRule="auto"/>
        <w:ind w:firstLine="220"/>
      </w:pPr>
      <w:r>
        <w:t>PZD — Berlín 16. srpna. — Kombinace mezinárodního tisku o domnělých možnostech kompromisů a uspořádání jakési do</w:t>
      </w:r>
      <w:r>
        <w:softHyphen/>
        <w:t>rozumívací konference jsou v Berlíně považovány za zcela ne</w:t>
      </w:r>
      <w:r>
        <w:softHyphen/>
        <w:t>odůvodněné a bezpodstatné. Veškeren německý tisk, který jest</w:t>
      </w:r>
      <w:r>
        <w:t xml:space="preserve"> zajisté informován z autentických míst a směrodatných vládních kruhů, odmítá s veškerou rozhodností jakoukoliv myšlenku ně</w:t>
      </w:r>
      <w:r>
        <w:softHyphen/>
        <w:t>jaké konference a možnosti jakýchkoliv kompromisů. A toto odmítavé stanovisko německých časopisů nevztahuje se snad pouze na Gdánsko</w:t>
      </w:r>
      <w:r>
        <w:t>, ale také na Koridor. Nezaujatý mezinárodní pozorovatel může zjistiti, že není naděje na jakýkoliv úspěch polovičního řešení všech otázek a němeoko-polského napětí po konsultačních německo-italských poradách v Salcpurku. Jak rozhodné je německé stanovisko</w:t>
      </w:r>
      <w:r>
        <w:t>, dokazuje i řeč gdaňského žup- ního vůdce Forstera, který promluvil koncem minulého týdne v Bavorsku. Prohlásil, že náprava je jedině možná opravou chyb z roku 1919, týkajících se Gdánska a německého východu. Dnešní berlínský polední tisk poukazuje součas</w:t>
      </w:r>
      <w:r>
        <w:t>ně na to, že se stal Koridor nesnesitelným a neuskutečnitelným stavem ve vý</w:t>
      </w:r>
      <w:r>
        <w:softHyphen/>
        <w:t>chodní Evropě. Jest naprosto jasné, že požadavky, kladené dnes německou politikou, a podle německého názoru naprosto mo</w:t>
      </w:r>
      <w:r>
        <w:softHyphen/>
        <w:t>rální a spravedlivé, nelze řešiti kompromisem. Vyplnění něme</w:t>
      </w:r>
      <w:r>
        <w:t>c</w:t>
      </w:r>
      <w:r>
        <w:softHyphen/>
        <w:t>kých požadavků — podle stanoviska německého tisku — se stalo dnes otázkou cti, tím spíše, že podle sdělení německých časopisů se přehmaty Poláků na žijících německých občanech v Polsku ještě rozmnožily.</w:t>
      </w:r>
    </w:p>
    <w:p w:rsidR="00500724" w:rsidRDefault="00F30FB8">
      <w:pPr>
        <w:pStyle w:val="Zkladntext100"/>
        <w:shd w:val="clear" w:color="auto" w:fill="auto"/>
        <w:spacing w:after="60" w:line="194" w:lineRule="auto"/>
        <w:ind w:firstLine="0"/>
        <w:jc w:val="center"/>
      </w:pPr>
      <w:r>
        <w:t>O Gdánsku bylo rozhodnuto vlastně již v Mnichově.</w:t>
      </w:r>
    </w:p>
    <w:p w:rsidR="00500724" w:rsidRDefault="00F30FB8">
      <w:pPr>
        <w:pStyle w:val="Zkladntext100"/>
        <w:shd w:val="clear" w:color="auto" w:fill="auto"/>
        <w:spacing w:after="60" w:line="194" w:lineRule="auto"/>
        <w:ind w:firstLine="220"/>
      </w:pPr>
      <w:r>
        <w:t>H</w:t>
      </w:r>
      <w:r>
        <w:t>amburk, 14. srpna. CER. — „Hamburger Fremdenblatt“ se zabývá v článku, nadepsaném „Několik skutečností" obšírně gdaňskou otázkou. Úvodem list připomíná, že minulého roku podařilo se bez krveprolití navrátit do Říše 6 a půl milionů ra</w:t>
      </w:r>
      <w:r>
        <w:softHyphen/>
        <w:t>kouských Němců a 3 a p</w:t>
      </w:r>
      <w:r>
        <w:t>ůl milionu sudetských Němců. Obě zá</w:t>
      </w:r>
      <w:r>
        <w:softHyphen/>
        <w:t>padní velmoci podepsaly tehdy dokonce v Mnichově dohodu, která svým podstatným obsahem dopomohla k vítězství němec</w:t>
      </w:r>
      <w:r>
        <w:softHyphen/>
        <w:t xml:space="preserve">kému právu národního sebeurčení. Dnes — praví list — jde o 400.000 Němců v Gdánsku, kteří ohlašují nárok </w:t>
      </w:r>
      <w:r>
        <w:t>na totéž právo, jako jejich bratří ve Východní marce a v Sudetech. Na rozdíl od sudetských Němců nepatří ani formálně k cizímu státnímu útvaru. Právě proto mohlo by se předpokládati, že v tomto případě by řešení bylo nejjednodušší otázkou na světě, když se</w:t>
      </w:r>
      <w:r>
        <w:t xml:space="preserve"> uváží, že zásada sebeurčení bylo dohodnuta v Mnicho</w:t>
      </w:r>
      <w:r>
        <w:softHyphen/>
        <w:t>vě a že úpravou není dotčena územní celistvost některého státu. Po řeči gdaňského župního vůdce Forstera svět si jistě plně uvědomuje, že Německu nenapadne ještě dlouho protahovati naprosto přirozené řeš</w:t>
      </w:r>
      <w:r>
        <w:t>ení tak primitivní otázky. Polsko bylo již v říjnu minulého roku naprosto přátelsky uvědomeno o němec</w:t>
      </w:r>
      <w:r>
        <w:softHyphen/>
        <w:t>kém popudu, aby byly společně zkoumány možnosti řešení ještě neurovnaných rozporů, aby bylo možno utužiti spolupráci ve prospěch evropského míru. Nová úpr</w:t>
      </w:r>
      <w:r>
        <w:t>ava na Východě, jež byla připravena Mnichovem, uváděla na tyto myšlenky. Jednání trvalo několik měsíců. Jestliže na konec ztroskotalo, tu lze to připisovati hlavně skutečnosti, že britská protiněmecká spojenecká politika, jež byla zahájena po českých událo</w:t>
      </w:r>
      <w:r>
        <w:t>stech v březnu, hledala svou první a hlavní oporu ve Varšavě. Anglie, která svou zárukou Polsku zřídila novou výpadní baštu proti Říši a tím podvázala všechny možnosti mírumilovného projed</w:t>
      </w:r>
      <w:r>
        <w:softHyphen/>
        <w:t>návání. Jak snadné by bylo bývalo možno rozuzliti všechny otázky, k</w:t>
      </w:r>
      <w:r>
        <w:t>dyby Londýn netorpédoval jednání mezi Berlínem a Varšavou!</w:t>
      </w:r>
    </w:p>
    <w:p w:rsidR="00500724" w:rsidRDefault="00F30FB8">
      <w:pPr>
        <w:pStyle w:val="Zkladntext100"/>
        <w:shd w:val="clear" w:color="auto" w:fill="auto"/>
        <w:spacing w:after="60" w:line="194" w:lineRule="auto"/>
        <w:ind w:firstLine="0"/>
        <w:jc w:val="center"/>
      </w:pPr>
      <w:r>
        <w:rPr>
          <w:b/>
          <w:bCs/>
        </w:rPr>
        <w:t>Itálie a Německo pevně spolu.</w:t>
      </w:r>
    </w:p>
    <w:p w:rsidR="00500724" w:rsidRDefault="00F30FB8">
      <w:pPr>
        <w:pStyle w:val="Zkladntext100"/>
        <w:shd w:val="clear" w:color="auto" w:fill="auto"/>
        <w:spacing w:after="160" w:line="194" w:lineRule="auto"/>
        <w:ind w:firstLine="220"/>
      </w:pPr>
      <w:r>
        <w:t>Rím 14. srpna (ssm). Gayda v „Giomale ďltalie“ píše: „Soli</w:t>
      </w:r>
      <w:r>
        <w:softHyphen/>
        <w:t xml:space="preserve">daritu Německa a Itálie pokud jde o názory, ale pokud jde o cíle, nelze zrušiti. Tato skutečnost zakládá se </w:t>
      </w:r>
      <w:r>
        <w:t xml:space="preserve">na poznatku úzké spojitosti zájmů obou mocností. To musí míti přirozeně za následek úzké a stále ihned účinné spojení jednání a risika. Tyto zájmy patří k všeobecnému problému revise mírových smluv </w:t>
      </w:r>
      <w:r>
        <w:rPr>
          <w:b/>
          <w:bCs/>
          <w:sz w:val="19"/>
          <w:szCs w:val="19"/>
        </w:rPr>
        <w:t xml:space="preserve">a </w:t>
      </w:r>
      <w:r>
        <w:t>poměrů, jež vytvořily. Itálie a Německo spoléhají na to,</w:t>
      </w:r>
      <w:r>
        <w:t xml:space="preserve"> že tato revise bude prove</w:t>
      </w:r>
      <w:r>
        <w:softHyphen/>
        <w:t>dena podle směrnic rozumu a velkorysosti, jakož i metodami dobré vůle. Stále ještě nepo</w:t>
      </w:r>
      <w:r>
        <w:softHyphen/>
        <w:t xml:space="preserve">zorují, že by i druhá část Evropy mohla iniciativou, k níž dosud dává podnět, použiti opačné metody. Je proto přirozené, že Německo a Itálie </w:t>
      </w:r>
      <w:r>
        <w:t>upravují své dohody o starých a nových pro</w:t>
      </w:r>
      <w:r>
        <w:softHyphen/>
        <w:t>blémech podle toho, aby mohly společně čeliti všem možnostem, jež přinesl vývoj těchto poměrů. Tato úloha byla řešena také v Salcpurku. Není naprosto důvodu vysvětlovati válečným štvá</w:t>
      </w:r>
      <w:r>
        <w:softHyphen/>
        <w:t>čům druhé strany směrnic, jež</w:t>
      </w:r>
      <w:r>
        <w:t xml:space="preserve"> tam byly stanoveny.“</w:t>
      </w:r>
    </w:p>
    <w:p w:rsidR="00500724" w:rsidRDefault="00F30FB8">
      <w:pPr>
        <w:pStyle w:val="Zkladntext100"/>
        <w:shd w:val="clear" w:color="auto" w:fill="auto"/>
        <w:spacing w:after="100" w:line="194" w:lineRule="auto"/>
        <w:ind w:firstLine="0"/>
        <w:jc w:val="center"/>
      </w:pPr>
      <w:r>
        <w:t>Amerika chce zardousit obchod s Německem.</w:t>
      </w:r>
    </w:p>
    <w:p w:rsidR="00500724" w:rsidRDefault="00F30FB8">
      <w:pPr>
        <w:pStyle w:val="Zkladntext100"/>
        <w:shd w:val="clear" w:color="auto" w:fill="auto"/>
        <w:spacing w:line="192" w:lineRule="auto"/>
        <w:ind w:firstLine="220"/>
      </w:pPr>
      <w:r>
        <w:t>Z Berlína 14. srpna. Nedávné oficielní zaujetí stano</w:t>
      </w:r>
      <w:r>
        <w:softHyphen/>
        <w:t>viska příslušného zástupce washingtonské vlády k náhlému obratu v německo-amerických hospodářských stycích přimělo berlínského dopisovatele</w:t>
      </w:r>
      <w:r>
        <w:t xml:space="preserve"> listu „New York Times“ Quido Ende- rise vykonati návštěvu u říšského ministra hospodářství a pre</w:t>
      </w:r>
      <w:r>
        <w:softHyphen/>
        <w:t>sidenta říšské banky Funka, který poskytl americkému novi</w:t>
      </w:r>
      <w:r>
        <w:softHyphen/>
        <w:t>náři velmi významný interview. Říšský ministr hospodářství m. j. prohlásil:</w:t>
      </w:r>
    </w:p>
    <w:p w:rsidR="00500724" w:rsidRDefault="00F30FB8">
      <w:pPr>
        <w:pStyle w:val="Zkladntext100"/>
        <w:shd w:val="clear" w:color="auto" w:fill="auto"/>
        <w:spacing w:line="192" w:lineRule="auto"/>
        <w:ind w:firstLine="260"/>
      </w:pPr>
      <w:r>
        <w:t>Americká kritika německý</w:t>
      </w:r>
      <w:r>
        <w:t>ch obchodních metod nebere, bo</w:t>
      </w:r>
      <w:r>
        <w:softHyphen/>
        <w:t>hužel, v úvahu určitá americká opatření, která značně podvá</w:t>
      </w:r>
      <w:r>
        <w:softHyphen/>
        <w:t>zala německý obchod se Spojenými státy. Když Amerika za</w:t>
      </w:r>
      <w:r>
        <w:softHyphen/>
        <w:t>vedla ochranná cla, nebyl ještě dolar devalvován. Spojené státy se dosud nerozhodly k upuštění od zlatého sta</w:t>
      </w:r>
      <w:r>
        <w:t>ndardu. Zatím zůstávají prohibitivní cla v platnosti. Na dovoz zboží z Pro</w:t>
      </w:r>
      <w:r>
        <w:softHyphen/>
        <w:t>tektorátu bylo dokonce uvaleno trestné clo. Je pro nás holou nemožností překonati takové překážky a podobné metody ne</w:t>
      </w:r>
      <w:r>
        <w:softHyphen/>
        <w:t>mohou vzbuditi jiný dojem, nežli dojem ustavičného popicho</w:t>
      </w:r>
      <w:r>
        <w:softHyphen/>
        <w:t>vání</w:t>
      </w:r>
      <w:r>
        <w:t>. Jsou to skutečně kamenné zdi, které Amerika postavila, aby zardousila obchod s Německem, a na trvalo nemohou býti překonávány.</w:t>
      </w:r>
    </w:p>
    <w:p w:rsidR="00500724" w:rsidRDefault="00F30FB8">
      <w:pPr>
        <w:pStyle w:val="Zkladntext100"/>
        <w:shd w:val="clear" w:color="auto" w:fill="auto"/>
        <w:spacing w:after="120" w:line="192" w:lineRule="auto"/>
        <w:ind w:firstLine="220"/>
      </w:pPr>
      <w:r>
        <w:t>Nemůžeme do Ameriky dodávat a v důsledku toho není nám možno tam nakupovat. Ještě loni byl náš dovoz do Spoj. stá</w:t>
      </w:r>
      <w:r>
        <w:softHyphen/>
        <w:t>tů dosti znač</w:t>
      </w:r>
      <w:r>
        <w:t>ný. Tehdy jsme platili v devisách. Mezitím se nám podařilo krýti svou potřebu, která jest obrovská, v zemích, jež si více cení výhod příznivých obchodních styků nežli honby za dogmatickými fantomy.</w:t>
      </w:r>
    </w:p>
    <w:p w:rsidR="00500724" w:rsidRDefault="00F30FB8">
      <w:pPr>
        <w:pStyle w:val="Zkladntext100"/>
        <w:shd w:val="clear" w:color="auto" w:fill="auto"/>
        <w:spacing w:line="194" w:lineRule="auto"/>
        <w:ind w:firstLine="0"/>
        <w:jc w:val="center"/>
      </w:pPr>
      <w:r>
        <w:t>Dr. Stojadinoviěe úatup zc slávy</w:t>
      </w:r>
    </w:p>
    <w:p w:rsidR="00500724" w:rsidRDefault="00F30FB8">
      <w:pPr>
        <w:pStyle w:val="Zkladntext100"/>
        <w:shd w:val="clear" w:color="auto" w:fill="auto"/>
        <w:spacing w:line="194" w:lineRule="auto"/>
        <w:ind w:firstLine="220"/>
      </w:pPr>
      <w:r>
        <w:t xml:space="preserve">Bývaly doby, kdy pro </w:t>
      </w:r>
      <w:r>
        <w:t>určitou část politické veřejnosti byl dr. Stojadinovič — tehdy ještě ministerský předseda a sku</w:t>
      </w:r>
      <w:r>
        <w:softHyphen/>
        <w:t>tečný pán Jugoslávie — prototypem zdravého a reálného po</w:t>
      </w:r>
      <w:r>
        <w:softHyphen/>
        <w:t>litika. Široká veřejnost měla opět o tomto muži mínění svoje. — Pád přišel naráz a pyšný režim pana Sto</w:t>
      </w:r>
      <w:r>
        <w:t>jadinoviěe se uká</w:t>
      </w:r>
      <w:r>
        <w:softHyphen/>
        <w:t>zal být domkem z karet. Zřítil se bez velkého hluku ku po</w:t>
      </w:r>
      <w:r>
        <w:softHyphen/>
        <w:t>divu, jak rychle prořidl kruh přátel a vyznavačů rozhodné Stojadinovičovy politiky. Dnes je všemocný Stojadinovič in</w:t>
      </w:r>
      <w:r>
        <w:softHyphen/>
        <w:t>ternován v jedné ze zapadlých obcí Srbska. Je střežen pravdě</w:t>
      </w:r>
      <w:r>
        <w:softHyphen/>
        <w:t>po</w:t>
      </w:r>
      <w:r>
        <w:t>dobně jedním z četníků, na nichž postavil před lety svou moc a vládu. Bělehrad, místa, která slepě ještě před několika měsíci poslouchala, vedou neúprosně vyšetřování starých ob</w:t>
      </w:r>
      <w:r>
        <w:softHyphen/>
        <w:t>chodně politických afér bývalého premiéra. Tajemství Sto</w:t>
      </w:r>
      <w:r>
        <w:softHyphen/>
        <w:t>jadinovičovy cesty ke</w:t>
      </w:r>
      <w:r>
        <w:t xml:space="preserve"> slávě i ústupu z ní odhaluje až nemilo</w:t>
      </w:r>
      <w:r>
        <w:softHyphen/>
        <w:t>srdně. Tento politik byl vždy — i za dob své moci — pode</w:t>
      </w:r>
      <w:r>
        <w:softHyphen/>
        <w:t>zírán z obchodů a nečestných peněžních transakcí. Dnes je už zjištěno, že dr. Stojadinovič se pokusil zcizit a převést do svého majetku polovinu akcií tiskařsk</w:t>
      </w:r>
      <w:r>
        <w:t>ého podniku, vydáva</w:t>
      </w:r>
      <w:r>
        <w:softHyphen/>
        <w:t>jícího oficiosní bělehradský list „Vřeme“. Rozdělil se o státní podnik se svým bratrem, který je dnes také mezi zatčenými. Současně propukla velká špionážní aféra, v níž jsou zapleteni dva vedoucí redaktoři bývalého Stojadinovičova orgá</w:t>
      </w:r>
      <w:r>
        <w:t>nu. — Jugoslávské veřejnosti se jistě dýše volněji. A přátelé pana Stojadinoviče si myjí jako Pilát ruce a zametají před svým prahem. Všecka sláva, polní tráva, praví lidové přísloví.</w:t>
      </w:r>
    </w:p>
    <w:p w:rsidR="00500724" w:rsidRDefault="00F30FB8">
      <w:pPr>
        <w:pStyle w:val="Zkladntext100"/>
        <w:shd w:val="clear" w:color="auto" w:fill="auto"/>
        <w:spacing w:line="295" w:lineRule="auto"/>
        <w:ind w:left="1520" w:firstLine="2000"/>
        <w:jc w:val="left"/>
      </w:pPr>
      <w:r>
        <w:rPr>
          <w:i/>
          <w:iCs/>
        </w:rPr>
        <w:t xml:space="preserve">(„Národní práce“.) </w:t>
      </w:r>
      <w:r>
        <w:t>Půllitr plzeňského za 7 K</w:t>
      </w:r>
    </w:p>
    <w:p w:rsidR="00500724" w:rsidRDefault="00F30FB8">
      <w:pPr>
        <w:pStyle w:val="Zkladntext100"/>
        <w:shd w:val="clear" w:color="auto" w:fill="auto"/>
        <w:spacing w:line="194" w:lineRule="auto"/>
        <w:ind w:firstLine="220"/>
      </w:pPr>
      <w:r>
        <w:t xml:space="preserve">S platností od 25. července stanoveny byly v Sudetech tyto ceny plzeňského piva: nákupní cena sudového piva činí 75 marek za </w:t>
      </w:r>
      <w:r>
        <w:rPr>
          <w:lang w:val="en-US" w:eastAsia="en-US" w:bidi="en-US"/>
        </w:rPr>
        <w:t xml:space="preserve">hi, </w:t>
      </w:r>
      <w:r>
        <w:t>a lahvového piva (originální plnění) 95 marek. Půllitr plzeňského piva je nyní prodáván v malých a středních hostincích za 60 f</w:t>
      </w:r>
      <w:r>
        <w:t>eniků (6 K), v prostředních a luxusních pod</w:t>
      </w:r>
      <w:r>
        <w:softHyphen/>
        <w:t>nicích za 70 feniků. Cena lahvového piva (půllitr v originálním plnění) byla stanovena v malých a středních živnostech na 70 feniků, v prvotřídních podnicích na 75 feniků. Tam, kde bylo prodáváno za nižší ceny, m</w:t>
      </w:r>
      <w:r>
        <w:t xml:space="preserve">ohou tyto v malých a středních podnicích býti zvýšeny na stanovenou výši bez jakéhokoliv zvláštního povolení. O schválení vyšších cen, stanovených pro prvotřídní </w:t>
      </w:r>
      <w:r>
        <w:rPr>
          <w:b/>
          <w:bCs/>
          <w:sz w:val="19"/>
          <w:szCs w:val="19"/>
        </w:rPr>
        <w:t xml:space="preserve">a </w:t>
      </w:r>
      <w:r>
        <w:t>luxusní podniky, musí býti zvlášť žádáno.</w:t>
      </w:r>
    </w:p>
    <w:p w:rsidR="00500724" w:rsidRDefault="00F30FB8">
      <w:pPr>
        <w:pStyle w:val="Zkladntext100"/>
        <w:shd w:val="clear" w:color="auto" w:fill="auto"/>
        <w:spacing w:after="60" w:line="194" w:lineRule="auto"/>
        <w:ind w:firstLine="0"/>
        <w:jc w:val="right"/>
        <w:sectPr w:rsidR="00500724">
          <w:footnotePr>
            <w:numFmt w:val="chicago"/>
            <w:numRestart w:val="eachPage"/>
          </w:footnotePr>
          <w:type w:val="continuous"/>
          <w:pgSz w:w="11909" w:h="16834"/>
          <w:pgMar w:top="866" w:right="927" w:bottom="1185" w:left="550" w:header="0" w:footer="3" w:gutter="0"/>
          <w:cols w:num="2" w:space="122"/>
          <w:noEndnote/>
          <w:docGrid w:linePitch="360"/>
        </w:sectPr>
      </w:pPr>
      <w:r>
        <w:rPr>
          <w:i/>
          <w:iCs/>
        </w:rPr>
        <w:t>(„Polední list.“)</w:t>
      </w:r>
    </w:p>
    <w:p w:rsidR="00500724" w:rsidRDefault="00F30FB8">
      <w:pPr>
        <w:pStyle w:val="Nadpis80"/>
        <w:keepNext/>
        <w:keepLines/>
        <w:pBdr>
          <w:bottom w:val="single" w:sz="4" w:space="0" w:color="auto"/>
        </w:pBdr>
        <w:shd w:val="clear" w:color="auto" w:fill="auto"/>
        <w:spacing w:after="0"/>
        <w:jc w:val="center"/>
        <w:rPr>
          <w:sz w:val="44"/>
          <w:szCs w:val="44"/>
        </w:rPr>
        <w:sectPr w:rsidR="00500724">
          <w:footnotePr>
            <w:numFmt w:val="chicago"/>
            <w:numRestart w:val="eachPage"/>
          </w:footnotePr>
          <w:pgSz w:w="11909" w:h="16834"/>
          <w:pgMar w:top="814" w:right="1027" w:bottom="1118" w:left="475" w:header="0" w:footer="3" w:gutter="0"/>
          <w:cols w:space="720"/>
          <w:noEndnote/>
          <w:docGrid w:linePitch="360"/>
        </w:sectPr>
      </w:pPr>
      <w:bookmarkStart w:id="854" w:name="bookmark853"/>
      <w:r>
        <w:rPr>
          <w:sz w:val="44"/>
          <w:szCs w:val="44"/>
          <w:u w:val="none"/>
        </w:rPr>
        <w:t>PwtonmosLx</w:t>
      </w:r>
      <w:bookmarkEnd w:id="854"/>
    </w:p>
    <w:p w:rsidR="00500724" w:rsidRDefault="00F30FB8">
      <w:pPr>
        <w:pStyle w:val="Jin0"/>
        <w:pBdr>
          <w:bottom w:val="single" w:sz="4" w:space="0" w:color="auto"/>
        </w:pBdr>
        <w:shd w:val="clear" w:color="auto" w:fill="auto"/>
        <w:spacing w:after="300"/>
        <w:ind w:firstLine="0"/>
        <w:jc w:val="left"/>
        <w:rPr>
          <w:sz w:val="46"/>
          <w:szCs w:val="46"/>
        </w:rPr>
      </w:pPr>
      <w:r>
        <w:rPr>
          <w:b/>
          <w:bCs/>
          <w:sz w:val="46"/>
          <w:szCs w:val="46"/>
        </w:rPr>
        <w:t>poznámky</w:t>
      </w:r>
    </w:p>
    <w:p w:rsidR="00500724" w:rsidRDefault="00F30FB8">
      <w:pPr>
        <w:pStyle w:val="Zkladntext20"/>
        <w:shd w:val="clear" w:color="auto" w:fill="auto"/>
        <w:spacing w:after="100" w:line="240" w:lineRule="auto"/>
        <w:ind w:firstLine="0"/>
        <w:jc w:val="center"/>
        <w:rPr>
          <w:sz w:val="20"/>
          <w:szCs w:val="20"/>
        </w:rPr>
      </w:pPr>
      <w:r>
        <w:rPr>
          <w:b/>
          <w:bCs/>
          <w:sz w:val="20"/>
          <w:szCs w:val="20"/>
        </w:rPr>
        <w:t>Bílá válka.</w:t>
      </w:r>
    </w:p>
    <w:p w:rsidR="00500724" w:rsidRDefault="00F30FB8">
      <w:pPr>
        <w:pStyle w:val="Zkladntext100"/>
        <w:shd w:val="clear" w:color="auto" w:fill="auto"/>
        <w:spacing w:line="206" w:lineRule="auto"/>
        <w:ind w:firstLine="240"/>
      </w:pPr>
      <w:r>
        <w:t xml:space="preserve">Pro nynější mezinárodní napětí použil </w:t>
      </w:r>
      <w:r>
        <w:rPr>
          <w:lang w:val="en-US" w:eastAsia="en-US" w:bidi="en-US"/>
        </w:rPr>
        <w:t xml:space="preserve">Mussolini </w:t>
      </w:r>
      <w:r>
        <w:t xml:space="preserve">názvu „bílá válka“. Je to stav, kdy napětí nabylo takového stupně, že za dřívějších „normálních“ okolností by už obě strany poěítaly na bojištích </w:t>
      </w:r>
      <w:r>
        <w:t>tisíce zabitých a desetitisíce raněných. Dnes však ještě mlěí děla, ale zato se střílí z nejtěžších houfnic propa</w:t>
      </w:r>
      <w:r>
        <w:softHyphen/>
        <w:t>gandy. I u demokratických západních velmocí, které se dlouho nemohly odhodlat, stala se propaganda důležitou zbraní. Ve Francii i v Anglii byl</w:t>
      </w:r>
      <w:r>
        <w:t>y vytvořeny zvláštní propagační úřady s pravomocí ministerstev, podřízené přímo ministerským před</w:t>
      </w:r>
      <w:r>
        <w:softHyphen/>
        <w:t>sedům. V obou zemích byla důležitost těchto úřadů zdůraz</w:t>
      </w:r>
      <w:r>
        <w:softHyphen/>
        <w:t>něna dlouhými přípravami a pečlivým výběrem úředníků, a bylo prohlášeno, že v případě války budou tyt</w:t>
      </w:r>
      <w:r>
        <w:t>o úřady přemě</w:t>
      </w:r>
      <w:r>
        <w:softHyphen/>
        <w:t>něny ve zvláštní resorty. V Anglii byl pověřen vedením propa</w:t>
      </w:r>
      <w:r>
        <w:softHyphen/>
        <w:t xml:space="preserve">gandy </w:t>
      </w:r>
      <w:r>
        <w:rPr>
          <w:lang w:val="en-US" w:eastAsia="en-US" w:bidi="en-US"/>
        </w:rPr>
        <w:t xml:space="preserve">lord Perth, </w:t>
      </w:r>
      <w:r>
        <w:t>bývalý vyslanec v Římě, a jeden z nejdůle</w:t>
      </w:r>
      <w:r>
        <w:softHyphen/>
        <w:t xml:space="preserve">žitějších mužů ve </w:t>
      </w:r>
      <w:r>
        <w:rPr>
          <w:lang w:val="en-US" w:eastAsia="en-US" w:bidi="en-US"/>
        </w:rPr>
        <w:t xml:space="preserve">Foreign </w:t>
      </w:r>
      <w:r>
        <w:t>Office; v Paříži vede tento úřad známý spisovatel Jean Giradoux, jehož hra „Trójská válka nebud</w:t>
      </w:r>
      <w:r>
        <w:t>e“ se svého času hrála i v Praze.</w:t>
      </w:r>
    </w:p>
    <w:p w:rsidR="00500724" w:rsidRDefault="00F30FB8">
      <w:pPr>
        <w:pStyle w:val="Zkladntext100"/>
        <w:shd w:val="clear" w:color="auto" w:fill="auto"/>
        <w:spacing w:line="206" w:lineRule="auto"/>
        <w:ind w:firstLine="240"/>
      </w:pPr>
      <w:r>
        <w:t>Bílá válka je neméně nákladná než válka krvavá. Šetří se v celém státním aparátě, seškrtávají se podpory a pense, zmenšují se rozpočty sociální péče a osvěty — ale na propa</w:t>
      </w:r>
      <w:r>
        <w:softHyphen/>
        <w:t>gandu vždy peníze jsou. Peníze na „půjčky“ a „sub</w:t>
      </w:r>
      <w:r>
        <w:t>vence“ žurnalistům, kteří jsou ochotni je přijmout, peníze na zaklá</w:t>
      </w:r>
      <w:r>
        <w:softHyphen/>
        <w:t>dání různých společností s nejnevinnějšími názvy. Peníze — dokonce v drahých devisách — na frankování propagač</w:t>
      </w:r>
      <w:r>
        <w:softHyphen/>
        <w:t>ních dopisů, zasílaných „milým přátelům“ v odpůrčí zemi, podle neznámo jak zí</w:t>
      </w:r>
      <w:r>
        <w:t>skaného adresáře. Peníze na vydávání náklad</w:t>
      </w:r>
      <w:r>
        <w:softHyphen/>
        <w:t>ných propagačních publikací, na letáky a pod. Všechno to má jeden jediný účel; podlomit důvěru obyvatelstva nepřátelské</w:t>
      </w:r>
      <w:r>
        <w:softHyphen/>
        <w:t>ho státu v jeho vedení, útočit na nervy, podkopat morálku.</w:t>
      </w:r>
    </w:p>
    <w:p w:rsidR="00500724" w:rsidRDefault="00F30FB8">
      <w:pPr>
        <w:pStyle w:val="Zkladntext100"/>
        <w:shd w:val="clear" w:color="auto" w:fill="auto"/>
        <w:spacing w:line="202" w:lineRule="auto"/>
        <w:ind w:firstLine="240"/>
      </w:pPr>
      <w:r>
        <w:t xml:space="preserve">Je pochopitelné, že hlavní místo </w:t>
      </w:r>
      <w:r>
        <w:t>v této propagandě zaujímá rozhlas. Do nedávná byly politické propagandě v cizích řečech vyhrazeny krátké vlny. To bylo jakési přípravné období, kdy šlo o získání sympatií ve vzdáleném zámoří. Nyní, když jde o útok na nervy obyvatelstva sousedního státu, op</w:t>
      </w:r>
      <w:r>
        <w:t>anovala pro</w:t>
      </w:r>
      <w:r>
        <w:softHyphen/>
        <w:t>paganda také vlny střední. Večer co večer chrlí evropské sta</w:t>
      </w:r>
      <w:r>
        <w:softHyphen/>
        <w:t>nice politické zprávy, propagační články, nadávky a vyhrůž</w:t>
      </w:r>
      <w:r>
        <w:softHyphen/>
        <w:t>ky ve všech možných evropských řečech. Před rokem ještě slyšel posluchač z anglických stanic jenom anglicky, z fran</w:t>
      </w:r>
      <w:r>
        <w:softHyphen/>
        <w:t>couzskýc</w:t>
      </w:r>
      <w:r>
        <w:t>h francouzský, z polských polský. Dnes se třikrát nebo čtyřikrát za večer přeruší program a vysílá se z těchto vysi</w:t>
      </w:r>
      <w:r>
        <w:softHyphen/>
        <w:t xml:space="preserve">lačů politická propaganda ve všech evropských řečech, a hlavně ovšem německy, italsky, a pak </w:t>
      </w:r>
      <w:r>
        <w:rPr>
          <w:b/>
          <w:bCs/>
        </w:rPr>
        <w:t xml:space="preserve">v </w:t>
      </w:r>
      <w:r>
        <w:t>řečech balkánských států, o jejichž získání j</w:t>
      </w:r>
      <w:r>
        <w:t>de. Italové sice už dlouho vysílali v cizích řečech, ale i ty bílá válka donutila rozšířit cizojazyčné vysí</w:t>
      </w:r>
      <w:r>
        <w:softHyphen/>
        <w:t>lání.</w:t>
      </w:r>
    </w:p>
    <w:p w:rsidR="00500724" w:rsidRDefault="00F30FB8">
      <w:pPr>
        <w:pStyle w:val="Zkladntext100"/>
        <w:shd w:val="clear" w:color="auto" w:fill="auto"/>
        <w:spacing w:line="202" w:lineRule="auto"/>
        <w:ind w:firstLine="240"/>
      </w:pPr>
      <w:r>
        <w:t>Bude-li mezinárodní napětí takových rozměrů trvat ještě nějakou dobu, pak bílá válka asi zcela opanuje rozhlas.</w:t>
      </w:r>
    </w:p>
    <w:p w:rsidR="00500724" w:rsidRDefault="00F30FB8">
      <w:pPr>
        <w:pStyle w:val="Zkladntext100"/>
        <w:shd w:val="clear" w:color="auto" w:fill="auto"/>
        <w:spacing w:after="100" w:line="202" w:lineRule="auto"/>
        <w:ind w:firstLine="0"/>
        <w:jc w:val="right"/>
      </w:pPr>
      <w:r>
        <w:rPr>
          <w:i/>
          <w:iCs/>
        </w:rPr>
        <w:t>-vs-</w:t>
      </w:r>
    </w:p>
    <w:p w:rsidR="00500724" w:rsidRDefault="00F30FB8">
      <w:pPr>
        <w:pStyle w:val="Zkladntext20"/>
        <w:shd w:val="clear" w:color="auto" w:fill="auto"/>
        <w:spacing w:after="160" w:line="240" w:lineRule="auto"/>
        <w:ind w:firstLine="0"/>
        <w:jc w:val="center"/>
        <w:rPr>
          <w:sz w:val="20"/>
          <w:szCs w:val="20"/>
        </w:rPr>
      </w:pPr>
      <w:r>
        <w:rPr>
          <w:b/>
          <w:bCs/>
          <w:sz w:val="20"/>
          <w:szCs w:val="20"/>
        </w:rPr>
        <w:t>Generálové u kulatého sto</w:t>
      </w:r>
      <w:r>
        <w:rPr>
          <w:b/>
          <w:bCs/>
          <w:sz w:val="20"/>
          <w:szCs w:val="20"/>
        </w:rPr>
        <w:t>lu v Kremlu.</w:t>
      </w:r>
    </w:p>
    <w:p w:rsidR="00500724" w:rsidRDefault="00F30FB8">
      <w:pPr>
        <w:pStyle w:val="Zkladntext100"/>
        <w:shd w:val="clear" w:color="auto" w:fill="auto"/>
        <w:spacing w:line="194" w:lineRule="auto"/>
        <w:ind w:firstLine="240"/>
      </w:pPr>
      <w:r>
        <w:t xml:space="preserve">Bizarní věž, velká brána, před ní kamenný obloukový most, pod kterým leží kremlský park. Před uzavřenou branou stojí na stráži obávaní vojáci </w:t>
      </w:r>
      <w:r>
        <w:rPr>
          <w:lang w:val="en-US" w:eastAsia="en-US" w:bidi="en-US"/>
        </w:rPr>
        <w:t xml:space="preserve">GPU </w:t>
      </w:r>
      <w:r>
        <w:t>v modrých čepicích a přijíždě</w:t>
      </w:r>
      <w:r>
        <w:softHyphen/>
        <w:t>jícím autům se teprve tehdy otevře brána k nejsvětějšímu místu sově</w:t>
      </w:r>
      <w:r>
        <w:t>tské vlády, až se pečlivě prozkoumají průkazy a papíry. Když však projíždějí v těchto dnech kremlskou branou hosté z anglo-francouzské vojenské mise, je jim zajištěna devotni ochota jinak velmi nevlídných důstojníků GPU. Cizí hosté jedou totiž v průvodu št</w:t>
      </w:r>
      <w:r>
        <w:t>ábních důstojníků sovětské armády a od doby souboje Vorošilova s Ježovem se páni z GPU peč</w:t>
      </w:r>
      <w:r>
        <w:softHyphen/>
        <w:t>livě vyhýbají každé srážce s všemohoucí generalitou. Se zá</w:t>
      </w:r>
      <w:r>
        <w:softHyphen/>
        <w:t>jmem se dívají cizí důstojníci na křidlo bývalého carského zámku, kde nyní sídlí Josef Stalin, kráčejí obr</w:t>
      </w:r>
      <w:r>
        <w:t>ovskou dvora</w:t>
      </w:r>
      <w:r>
        <w:softHyphen/>
        <w:t>nou se zrcadlovými stěnami, a pak začíná událost, kterou „rudý Kreml“ ještě nezažil: rusko-anglo-francouzská konfe</w:t>
      </w:r>
      <w:r>
        <w:softHyphen/>
        <w:t>rence generálů u kulatého stolu.</w:t>
      </w:r>
    </w:p>
    <w:p w:rsidR="00500724" w:rsidRDefault="00F30FB8">
      <w:pPr>
        <w:pStyle w:val="Zkladntext100"/>
        <w:shd w:val="clear" w:color="auto" w:fill="auto"/>
        <w:spacing w:line="194" w:lineRule="auto"/>
        <w:ind w:firstLine="240"/>
      </w:pPr>
      <w:r>
        <w:t>Pro hlavní zájem Anglie na této „internacionále generálů“ je význačné, že anglické poselstvo ne</w:t>
      </w:r>
      <w:r>
        <w:t xml:space="preserve">ní vedeno generálem, nýbrž admirálem. V Grand </w:t>
      </w:r>
      <w:r>
        <w:rPr>
          <w:lang w:val="en-US" w:eastAsia="en-US" w:bidi="en-US"/>
        </w:rPr>
        <w:t xml:space="preserve">fleet </w:t>
      </w:r>
      <w:r>
        <w:t xml:space="preserve">mu říkají </w:t>
      </w:r>
      <w:r>
        <w:rPr>
          <w:lang w:val="en-US" w:eastAsia="en-US" w:bidi="en-US"/>
        </w:rPr>
        <w:t xml:space="preserve">Sir Reginald </w:t>
      </w:r>
      <w:r>
        <w:t xml:space="preserve">s třemi pomlčkami, neboť jeho jméno zní jednoduše: </w:t>
      </w:r>
      <w:r>
        <w:rPr>
          <w:lang w:val="en-US" w:eastAsia="en-US" w:bidi="en-US"/>
        </w:rPr>
        <w:t xml:space="preserve">Sir Reginald Aylmer </w:t>
      </w:r>
      <w:r>
        <w:t xml:space="preserve">Ranfurly Plunkett-Emle-Erle-Drax. S81etý muž má </w:t>
      </w:r>
      <w:r>
        <w:rPr>
          <w:rFonts w:ascii="Arial" w:eastAsia="Arial" w:hAnsi="Arial" w:cs="Arial"/>
          <w:b/>
          <w:bCs/>
          <w:sz w:val="17"/>
          <w:szCs w:val="17"/>
        </w:rPr>
        <w:t xml:space="preserve">za </w:t>
      </w:r>
      <w:r>
        <w:t xml:space="preserve">sebou </w:t>
      </w:r>
      <w:r>
        <w:rPr>
          <w:b/>
          <w:bCs/>
          <w:sz w:val="19"/>
          <w:szCs w:val="19"/>
        </w:rPr>
        <w:t xml:space="preserve">normální </w:t>
      </w:r>
      <w:r>
        <w:t>kariéru britského námořního důstojníka, po</w:t>
      </w:r>
      <w:r>
        <w:softHyphen/>
      </w:r>
      <w:r>
        <w:t xml:space="preserve">volaného na vedoucí místo. Začal v Grand </w:t>
      </w:r>
      <w:r>
        <w:rPr>
          <w:lang w:val="en-US" w:eastAsia="en-US" w:bidi="en-US"/>
        </w:rPr>
        <w:t xml:space="preserve">Fleet </w:t>
      </w:r>
      <w:r>
        <w:t xml:space="preserve">jako </w:t>
      </w:r>
      <w:r>
        <w:rPr>
          <w:lang w:val="en-US" w:eastAsia="en-US" w:bidi="en-US"/>
        </w:rPr>
        <w:t>mid</w:t>
      </w:r>
      <w:r>
        <w:rPr>
          <w:lang w:val="en-US" w:eastAsia="en-US" w:bidi="en-US"/>
        </w:rPr>
        <w:softHyphen/>
        <w:t xml:space="preserve">shipman, </w:t>
      </w:r>
      <w:r>
        <w:t>když mu bylo 17, bojoval v námořních bitvách svě</w:t>
      </w:r>
      <w:r>
        <w:softHyphen/>
        <w:t xml:space="preserve">tové války u Helgolandu a Doggeru, v bitvě u Skagerraku byl Flag-Commanderem vévody z </w:t>
      </w:r>
      <w:r>
        <w:rPr>
          <w:lang w:val="en-US" w:eastAsia="en-US" w:bidi="en-US"/>
        </w:rPr>
        <w:t xml:space="preserve">Beatty </w:t>
      </w:r>
      <w:r>
        <w:t>na „Lionu“. Nyní má hodnost prvního pobočníka ang</w:t>
      </w:r>
      <w:r>
        <w:t>lického krále, jeho slovo má velký význam u britské admirality. Barva jeho vlasů nepro- zrazuje irskou krev jeho předků; tento původ se tu a tam prozradí jen poněkud cynickým vtipem.</w:t>
      </w:r>
    </w:p>
    <w:p w:rsidR="00500724" w:rsidRDefault="00F30FB8">
      <w:pPr>
        <w:pStyle w:val="Zkladntext100"/>
        <w:shd w:val="clear" w:color="auto" w:fill="auto"/>
        <w:spacing w:line="209" w:lineRule="auto"/>
        <w:ind w:firstLine="240"/>
      </w:pPr>
      <w:r>
        <w:t>Docela jiným typem, než je „nevyslovitelný admirál“, je „benjamínek“ brit</w:t>
      </w:r>
      <w:r>
        <w:t>ské mise, třiapadesátiletý generál-major</w:t>
      </w:r>
    </w:p>
    <w:p w:rsidR="00500724" w:rsidRDefault="00F30FB8">
      <w:pPr>
        <w:pStyle w:val="Zkladntext100"/>
        <w:shd w:val="clear" w:color="auto" w:fill="auto"/>
        <w:tabs>
          <w:tab w:val="left" w:pos="308"/>
        </w:tabs>
        <w:spacing w:line="209" w:lineRule="auto"/>
        <w:ind w:firstLine="0"/>
      </w:pPr>
      <w:r>
        <w:t>T.</w:t>
      </w:r>
      <w:r>
        <w:tab/>
        <w:t xml:space="preserve">G. C. </w:t>
      </w:r>
      <w:r>
        <w:rPr>
          <w:lang w:val="en-US" w:eastAsia="en-US" w:bidi="en-US"/>
        </w:rPr>
        <w:t xml:space="preserve">Haywood. </w:t>
      </w:r>
      <w:r>
        <w:t xml:space="preserve">V Londýně se tvrdí, že generál </w:t>
      </w:r>
      <w:r>
        <w:rPr>
          <w:lang w:val="en-US" w:eastAsia="en-US" w:bidi="en-US"/>
        </w:rPr>
        <w:t xml:space="preserve">Haywood </w:t>
      </w:r>
      <w:r>
        <w:t xml:space="preserve">vděčí za členství v britské misi ministru války Hoře Be- lishovi, jehož chráněncem je. </w:t>
      </w:r>
      <w:r>
        <w:rPr>
          <w:lang w:val="en-US" w:eastAsia="en-US" w:bidi="en-US"/>
        </w:rPr>
        <w:t xml:space="preserve">Haywood </w:t>
      </w:r>
      <w:r>
        <w:t>je hbitý, elegantní vojenský diplomat, jenž zejména jako britsk</w:t>
      </w:r>
      <w:r>
        <w:t>ý vojenský při- dělenec v Paříži v letech 1932—36 prokázal, že je mistrem v šťastné synthese diplomatického vyjednavače a vojenského experta. Ale nejdůležitéjším mužem britské mise po Siru Regi- naldovi je asi letecký maršál Sir Charles Bumett, jenž letoš</w:t>
      </w:r>
      <w:r>
        <w:softHyphen/>
      </w:r>
      <w:r>
        <w:t>ního dubna byl jmenován generálním inspektorem anglického letectva. Cestu k bojovému letectvu našel za světové války, pak se stal jeho specialitou Blízký východ. V Iráku, který do roku 1932 byl britským mandátním územím, vybudoval britské opěrné body a voj</w:t>
      </w:r>
      <w:r>
        <w:t>enské síly a je odborníkem, kte</w:t>
      </w:r>
      <w:r>
        <w:softHyphen/>
        <w:t>rému na suché „buldočí tváři“ není vidět temperamentní vá</w:t>
      </w:r>
      <w:r>
        <w:softHyphen/>
        <w:t>šeň pro organisaci.</w:t>
      </w:r>
    </w:p>
    <w:p w:rsidR="00500724" w:rsidRDefault="00F30FB8">
      <w:pPr>
        <w:pStyle w:val="Zkladntext100"/>
        <w:shd w:val="clear" w:color="auto" w:fill="auto"/>
        <w:spacing w:line="209" w:lineRule="auto"/>
        <w:ind w:firstLine="240"/>
      </w:pPr>
      <w:r>
        <w:t>Francouzská vojenská mise je vedena devětapadesátiletým generálem Doumencem, Jihofrancouzem bez překypujícího tem</w:t>
      </w:r>
      <w:r>
        <w:softHyphen/>
        <w:t>peramentu jeho vlasti. Naopak, z</w:t>
      </w:r>
      <w:r>
        <w:t>evnějškem a svými zájmy je Doumenc „suchý“ člověk, ale je nejvýznamnějším odborníkem pro motorisaci francouzské armády. Jenom specialisti vědí, že od roku 1917, tedy od okamžiku, kdy za světové války začaly motory mít rozhodující vliv na strategické přesun</w:t>
      </w:r>
      <w:r>
        <w:t>y, je generál Doumenc spolu s plukovníkem Girardem autoritou na tomto poli.</w:t>
      </w:r>
    </w:p>
    <w:p w:rsidR="00500724" w:rsidRDefault="00F30FB8">
      <w:pPr>
        <w:pStyle w:val="Zkladntext100"/>
        <w:shd w:val="clear" w:color="auto" w:fill="auto"/>
        <w:spacing w:line="206" w:lineRule="auto"/>
        <w:ind w:firstLine="240"/>
      </w:pPr>
      <w:r>
        <w:t>Když sedí generál Doumenc v Kremlu naproti elegantnímu, řády ozdobenému sovětskému maršálovi Vorošilovovi, vzpo</w:t>
      </w:r>
      <w:r>
        <w:softHyphen/>
        <w:t>míná si snad na obrovský obraz, který na pařížské světové výstavě př</w:t>
      </w:r>
      <w:r>
        <w:t>ed dvěma lety byl sensací ruského pavilonu. Na tomto obraze byl pestřeji a dekorativněji, než by to mohl udělat dvorní malíř carské říše, zvěčněn štáb vysoké sovět</w:t>
      </w:r>
      <w:r>
        <w:softHyphen/>
        <w:t xml:space="preserve">ské </w:t>
      </w:r>
      <w:r>
        <w:rPr>
          <w:lang w:val="en-US" w:eastAsia="en-US" w:bidi="en-US"/>
        </w:rPr>
        <w:t xml:space="preserve">generality. </w:t>
      </w:r>
      <w:r>
        <w:t>Přemíra lesklých řádů a křiklavých výložek, elegantních lakových bot a těsně</w:t>
      </w:r>
      <w:r>
        <w:t xml:space="preserve"> ušitých přepychových stejno</w:t>
      </w:r>
      <w:r>
        <w:softHyphen/>
        <w:t>krojů donutila tehdy pařížského vtipálka ke kousavé poznám</w:t>
      </w:r>
      <w:r>
        <w:softHyphen/>
        <w:t>ce: „Tento obraz jasně znázorňuje vítězství internacionály generálů nad bolševickou revolucí.“ Nejvíc vynikajícím ex</w:t>
      </w:r>
      <w:r>
        <w:softHyphen/>
        <w:t>ponentem tohoto vývoje je beze sporů „maršál Sověts</w:t>
      </w:r>
      <w:r>
        <w:t xml:space="preserve">kého svazu“ </w:t>
      </w:r>
      <w:r>
        <w:rPr>
          <w:lang w:val="en-US" w:eastAsia="en-US" w:bidi="en-US"/>
        </w:rPr>
        <w:t xml:space="preserve">Kliment </w:t>
      </w:r>
      <w:r>
        <w:t>Jefremovič Vorošilov. Do dvanácti let negra</w:t>
      </w:r>
      <w:r>
        <w:softHyphen/>
        <w:t>motný, stal se Vorošilov pro přehmat carské správy revolu</w:t>
      </w:r>
      <w:r>
        <w:softHyphen/>
        <w:t>cionářem a vášnivým Leninovým stoupencem. V ruské občan</w:t>
      </w:r>
      <w:r>
        <w:softHyphen/>
        <w:t>ské válce po prvé prokázal nesporné vojenské kvality. Získal si Stalinovu neom</w:t>
      </w:r>
      <w:r>
        <w:t>ezenou důvěru, když se za bojů mezi Stali</w:t>
      </w:r>
      <w:r>
        <w:softHyphen/>
        <w:t>nem a Trockým postavil bezvýhradně za Stalina. Ježov, vlád</w:t>
      </w:r>
      <w:r>
        <w:softHyphen/>
        <w:t xml:space="preserve">ce GPU, musil pykat, že nedocenil Vorošilovovu moc, když se pokusil rozšířit kontrolu GPU na ruský důstojnický sbor. Jako člen politbyra patří k intimnímu </w:t>
      </w:r>
      <w:r>
        <w:t>kruhu rozhodujících mužů kolem Stalina, ačkoliv vystupováním je pravým opakem „továrišče“. Elegantní muž, milovník rasových koní a krás</w:t>
      </w:r>
      <w:r>
        <w:softHyphen/>
        <w:t>ných žen, podporuje, k zděšení „stoprocentních“ v důstojnic</w:t>
      </w:r>
      <w:r>
        <w:softHyphen/>
        <w:t>kém sboru jisté „buržoasní“ luxusní zvyky, jako polo a golf.</w:t>
      </w:r>
      <w:r>
        <w:t xml:space="preserve"> Ale běda tomu, kdo by ho proto podceňoval. Klim Vorošilov dosud vždy prokázal, že je silnější než všichni jeho nepřátelé.</w:t>
      </w:r>
    </w:p>
    <w:p w:rsidR="00500724" w:rsidRDefault="00F30FB8">
      <w:pPr>
        <w:pStyle w:val="Zkladntext100"/>
        <w:shd w:val="clear" w:color="auto" w:fill="auto"/>
        <w:spacing w:line="204" w:lineRule="auto"/>
        <w:ind w:firstLine="240"/>
      </w:pPr>
      <w:r>
        <w:t xml:space="preserve">Za přelíčení proti „zrádnému generálu“ Tuchačevskému stál po jeho boku druhý ruský vyjednavač u mezinárodního gene- rálského stolu v </w:t>
      </w:r>
      <w:r>
        <w:t>Kremlu, náčelník sovětského hlavního štábu, maršál Šapošnikov. Tento muž, bývalý carský šlechtický gar</w:t>
      </w:r>
      <w:r>
        <w:softHyphen/>
        <w:t>dový důstojník je tedy odpověden za strategické plány rudé armády. Vstoupil ne zcela dobrovolně do bolševické armády po krvavých nepokojích občanské válk</w:t>
      </w:r>
      <w:r>
        <w:t xml:space="preserve">y, ale pak změnil </w:t>
      </w:r>
      <w:r>
        <w:rPr>
          <w:rFonts w:ascii="Arial" w:eastAsia="Arial" w:hAnsi="Arial" w:cs="Arial"/>
          <w:b/>
          <w:bCs/>
          <w:sz w:val="26"/>
          <w:szCs w:val="26"/>
        </w:rPr>
        <w:t xml:space="preserve">své </w:t>
      </w:r>
      <w:r>
        <w:t>přesvědčení a od roku 1930 je členem komunistické strany. Míra jeho „spolehlivosti“ je zřejmá z toho, že přežil všechny „čistky“ v armádě a dnes více než dříve se těší důvěře Stali</w:t>
      </w:r>
      <w:r>
        <w:softHyphen/>
        <w:t>nově a Vorošilovově. Nejmladším na generálské konfere</w:t>
      </w:r>
      <w:r>
        <w:t>nci je sovětský ministr námořnictva, admirál Kuzněcov, kterému jo teprve 37 let. Stal se nedávno známým, když prohlásil, že Rusko má více ponorek než Německo, Itálie a Japonsko do</w:t>
      </w:r>
      <w:r>
        <w:softHyphen/>
        <w:t>hromady. Svůj úřad nastoupil teprve v dubnu.</w:t>
      </w:r>
    </w:p>
    <w:p w:rsidR="00500724" w:rsidRDefault="00F30FB8">
      <w:pPr>
        <w:pStyle w:val="Zkladntext100"/>
        <w:shd w:val="clear" w:color="auto" w:fill="auto"/>
        <w:spacing w:line="233" w:lineRule="auto"/>
        <w:ind w:firstLine="0"/>
        <w:jc w:val="right"/>
      </w:pPr>
      <w:r>
        <w:rPr>
          <w:rFonts w:ascii="Arial" w:eastAsia="Arial" w:hAnsi="Arial" w:cs="Arial"/>
          <w:b/>
          <w:bCs/>
          <w:i/>
          <w:iCs/>
          <w:sz w:val="16"/>
          <w:szCs w:val="16"/>
        </w:rPr>
        <w:t xml:space="preserve">— „ G. </w:t>
      </w:r>
      <w:r>
        <w:rPr>
          <w:i/>
          <w:iCs/>
          <w:lang w:val="en-US" w:eastAsia="en-US" w:bidi="en-US"/>
        </w:rPr>
        <w:t xml:space="preserve">Stoddard Benfield </w:t>
      </w:r>
      <w:r>
        <w:rPr>
          <w:i/>
          <w:iCs/>
        </w:rPr>
        <w:t xml:space="preserve">v „Der Neue </w:t>
      </w:r>
      <w:r>
        <w:rPr>
          <w:i/>
          <w:iCs/>
          <w:lang w:val="en-US" w:eastAsia="en-US" w:bidi="en-US"/>
        </w:rPr>
        <w:t>Tag"</w:t>
      </w:r>
    </w:p>
    <w:p w:rsidR="00500724" w:rsidRDefault="00F30FB8">
      <w:pPr>
        <w:pStyle w:val="Zkladntext20"/>
        <w:shd w:val="clear" w:color="auto" w:fill="auto"/>
        <w:spacing w:after="100" w:line="240" w:lineRule="auto"/>
        <w:ind w:firstLine="0"/>
        <w:jc w:val="center"/>
        <w:rPr>
          <w:sz w:val="20"/>
          <w:szCs w:val="20"/>
        </w:rPr>
      </w:pPr>
      <w:r>
        <w:rPr>
          <w:b/>
          <w:bCs/>
          <w:sz w:val="20"/>
          <w:szCs w:val="20"/>
        </w:rPr>
        <w:t>Konec protičeských štvanic na Slovensku</w:t>
      </w:r>
    </w:p>
    <w:p w:rsidR="00500724" w:rsidRDefault="00F30FB8">
      <w:pPr>
        <w:pStyle w:val="Zkladntext100"/>
        <w:shd w:val="clear" w:color="auto" w:fill="auto"/>
        <w:tabs>
          <w:tab w:val="left" w:pos="4656"/>
        </w:tabs>
        <w:spacing w:after="100"/>
      </w:pPr>
      <w:r>
        <w:t>V poslední době nápadně ztichly projevy, které se dosti ěasto proti Cechům na Slovensku ozývaly. Těžiště vnitřní po</w:t>
      </w:r>
      <w:r>
        <w:softHyphen/>
        <w:t>litiky přechází zvolna na otázky hospodářské a ta nutí činitele politické k zdrželi</w:t>
      </w:r>
      <w:r>
        <w:t>vosti. S žádným státem se hospodářské styky Slovenska nevyvíjely a nerozvily tak hladce, jako s Protektorátem, kde Slovensko hledalo a skutečně také na</w:t>
      </w:r>
      <w:r>
        <w:softHyphen/>
        <w:t>šlo veliké odbytové možnosti, které zlepšují jeho vnitřní hos</w:t>
      </w:r>
      <w:r>
        <w:softHyphen/>
        <w:t>podářskou situaci. Ojediněle se proti Čech</w:t>
      </w:r>
      <w:r>
        <w:t>ům v rekriminacích ozývá ministr Tulia. Z původního stavu protičeské vzruše- nosti přechází Slovensko ke klidnému nazírání na to, co češi za dvacet roků na Slovensku vykonali. Projevuje se to v růz</w:t>
      </w:r>
      <w:r>
        <w:softHyphen/>
        <w:t xml:space="preserve">né formě a při různých příležitostech. Až nápadné to bylo </w:t>
      </w:r>
      <w:r>
        <w:t>nedávno, když se v Bratislavě konal manifestační sjezd Hlin</w:t>
      </w:r>
      <w:r>
        <w:softHyphen/>
        <w:t>kový dopravní gardy, neboli železničářů. Zúčastnilo se ho na 39.000 osob, z nichž většina z míst, která neměla spojení s Bratislavou a namnoze byla v Bratislavě po prvé. Tito účast</w:t>
      </w:r>
      <w:r>
        <w:softHyphen/>
        <w:t xml:space="preserve">níci jmenovitě </w:t>
      </w:r>
      <w:r>
        <w:t>s obdivem chodili okolo družstevních domů, které tvoří celé nové čtvrti města a s díkem kvitovali klady české práce, o níž se ostatně i Maďaři v územích, která zí</w:t>
      </w:r>
      <w:r>
        <w:softHyphen/>
        <w:t>skali, zmiňují jen velmi pochvalně. Slovenští činitelé teď musí sami ne kritisovati, ale řeši</w:t>
      </w:r>
      <w:r>
        <w:t>ti problémy, které před tím ře</w:t>
      </w:r>
      <w:r>
        <w:softHyphen/>
        <w:t>šila t. zv. pražská vláda. Slovenský lid má tedy nyní možnost posuzovati, jak, polnid a nakolik mu nová ustanovení a za</w:t>
      </w:r>
      <w:r>
        <w:softHyphen/>
        <w:t>řízení prospívají nebo ho zatěžují a dochází při tom k spra</w:t>
      </w:r>
      <w:r>
        <w:softHyphen/>
        <w:t>vedlivějšímu a na náladách doby nezávislému h</w:t>
      </w:r>
      <w:r>
        <w:t>odnocení české práce.</w:t>
      </w:r>
      <w:r>
        <w:tab/>
      </w:r>
      <w:r>
        <w:rPr>
          <w:i/>
          <w:iCs/>
        </w:rPr>
        <w:t>-eus.</w:t>
      </w:r>
    </w:p>
    <w:p w:rsidR="00500724" w:rsidRDefault="00F30FB8">
      <w:pPr>
        <w:pStyle w:val="Zkladntext20"/>
        <w:shd w:val="clear" w:color="auto" w:fill="auto"/>
        <w:spacing w:after="100" w:line="240" w:lineRule="auto"/>
        <w:ind w:firstLine="0"/>
        <w:jc w:val="center"/>
        <w:rPr>
          <w:sz w:val="20"/>
          <w:szCs w:val="20"/>
        </w:rPr>
      </w:pPr>
      <w:r>
        <w:rPr>
          <w:b/>
          <w:bCs/>
          <w:sz w:val="20"/>
          <w:szCs w:val="20"/>
        </w:rPr>
        <w:t>Mnohoobročníci.</w:t>
      </w:r>
    </w:p>
    <w:p w:rsidR="00500724" w:rsidRDefault="00F30FB8">
      <w:pPr>
        <w:pStyle w:val="Zkladntext100"/>
        <w:shd w:val="clear" w:color="auto" w:fill="auto"/>
        <w:spacing w:after="40" w:line="194" w:lineRule="auto"/>
        <w:ind w:firstLine="220"/>
      </w:pPr>
      <w:r>
        <w:t>Nic tak nevyznačovalo organisaci veřejného života v bývalé českoslov. republice jako hromadění funkcí, odpovědností, úko</w:t>
      </w:r>
      <w:r>
        <w:softHyphen/>
      </w:r>
      <w:r>
        <w:rPr>
          <w:b/>
          <w:bCs/>
          <w:sz w:val="19"/>
          <w:szCs w:val="19"/>
        </w:rPr>
        <w:t xml:space="preserve">lů </w:t>
      </w:r>
      <w:r>
        <w:t>a povinností v rukou několika málo jednotlivců. Bylo tomu tak v životě celostátním, bylo</w:t>
      </w:r>
      <w:r>
        <w:t xml:space="preserve"> tomu tak v okresech a v obcích. Nemyslím jen na nemravnou kumulaci placených funkcí ve</w:t>
      </w:r>
      <w:r>
        <w:softHyphen/>
        <w:t>řejných, na fronty před všelikými správními a dozorčími ra</w:t>
      </w:r>
      <w:r>
        <w:softHyphen/>
        <w:t>dami. Myslím i na naprosto nezdravé a nehospodárné hroma</w:t>
      </w:r>
      <w:r>
        <w:softHyphen/>
        <w:t>dění čestných, neplacených funkcí. Nikdo rozumný nem</w:t>
      </w:r>
      <w:r>
        <w:t>ohl předpokládat, že je možno, aby ten, kdo měl třebas i stovku veřejných funkcí v životě politickém a kulturním, v péči hu</w:t>
      </w:r>
      <w:r>
        <w:softHyphen/>
        <w:t>mánní a sociální, mohl skutečně všechny tyto funkce svědo</w:t>
      </w:r>
      <w:r>
        <w:softHyphen/>
        <w:t>mitě a poctivě vykonávat. Připomeneme-li si ještě, jak náš veřejný život t</w:t>
      </w:r>
      <w:r>
        <w:t>onul v moři schůzí, konferencí, debat, porad, anket, dovedeme si představit ne právě šťastný životní úděl takového „mnohočinovníka“. Byli to lidé politování hodní, lidé ubozí. Neměli času na rodinu, na výchovu dětí, neměli času na dobrou knihu, nemohli sle</w:t>
      </w:r>
      <w:r>
        <w:t>dovat revuální tisk a listy cizo</w:t>
      </w:r>
      <w:r>
        <w:softHyphen/>
        <w:t xml:space="preserve">zemské, nemohli si všímat kulturního vývoje, neměli volnou chvilku pro umění. Ustrnuli obyčejně na několika květnatých frázích, jež do omrzení opakovali. Anebo — anebo ničili si zdraví. — Jen lidé se železným zdravím, lidé </w:t>
      </w:r>
      <w:r>
        <w:t>zcela výjimeční mohli závaží tolika funkcí unést — a ještě ani ti nemohli se věnovati všemu svědomitě. Takový veřejný soumar, zapřa</w:t>
      </w:r>
      <w:r>
        <w:softHyphen/>
        <w:t xml:space="preserve">žený do káry veletuctu povinností, ani jednu z nich nemohl plniti pořádně. Psalo se již několikrát o tom, jak byli obtíženi </w:t>
      </w:r>
      <w:r>
        <w:t>a přetěžkáni funkcemi naši poslanci a senátoři — nebylo tomu ale jinak ani s různými veřejnými veličinami v okresech a vět</w:t>
      </w:r>
      <w:r>
        <w:softHyphen/>
        <w:t>ších městech. Takovou kapacitu každý společek volil do svého výboru, nešťastný pan velkočinovník ve spolku pro pěstování kanárů byl j</w:t>
      </w:r>
      <w:r>
        <w:t>ednatelem, v odbočce krematoria místopředsedou, v osvětové komisi pokladníkem — funkce na funkci, schůze na schůzi — a jaký pak div, že nám poměrně mnoho lidí veřejně činných umíralo záhy, jaký div, že přemnozí z nich měli rozvrácené poměry rodinné, jaký d</w:t>
      </w:r>
      <w:r>
        <w:t>iv, že mnozí z nich stali se mělkými, povrchními, frázovitými orátory, kteří přečetli sotva jednu knížku za rok, a kteří žili jen z vědomostí a zá</w:t>
      </w:r>
      <w:r>
        <w:softHyphen/>
        <w:t>žitků let studentských. — Jakmile kdo strčil jednou s určitým úspěchem hlavu do veřejného života, už sršela f</w:t>
      </w:r>
      <w:r>
        <w:t>unkce za funkcí a veřejné korporace a instituce, spolky a společky považovaly za hrozně moudré vybírat! své činovníky jen z jed</w:t>
      </w:r>
      <w:r>
        <w:softHyphen/>
        <w:t>né nepsané listiny těch „zapracovaných“. Nu, zcela bez viny na těchto věcech nebyli ani přetížení pánové funkcionáři. — Sladké j</w:t>
      </w:r>
      <w:r>
        <w:t xml:space="preserve">e ovoce moci — mnozí tito veřejní činovníci prostě nesnesli, aby se vedle nich objevili </w:t>
      </w:r>
      <w:r>
        <w:rPr>
          <w:lang w:val="en-US" w:eastAsia="en-US" w:bidi="en-US"/>
        </w:rPr>
        <w:t xml:space="preserve">homines novi. </w:t>
      </w:r>
      <w:r>
        <w:t>Nesnažili se zacvičit do veřejných záležitostí dorost. Netoužili vychovat si spolupracovníky. Líbilo se jim, že mohou všechnu moc kon</w:t>
      </w:r>
      <w:r>
        <w:softHyphen/>
        <w:t>centrovat ve svých r</w:t>
      </w:r>
      <w:r>
        <w:t>ukou — chtěli míti prostě jakýsi funkční monopol. — Na nemoc takto popsanou český život veřejný těž</w:t>
      </w:r>
      <w:r>
        <w:softHyphen/>
        <w:t>ce doplácel. — Politický dorost nemohl projít praktickou ško</w:t>
      </w:r>
      <w:r>
        <w:softHyphen/>
        <w:t>lou. Nové myšlenky a nové podněty v monopolním revíru byly „tabu“. Docházelo i ke klasickým pří</w:t>
      </w:r>
      <w:r>
        <w:t xml:space="preserve">padům inkompatibility — stejní pánové zasedali </w:t>
      </w:r>
      <w:r>
        <w:rPr>
          <w:rFonts w:ascii="Arial" w:eastAsia="Arial" w:hAnsi="Arial" w:cs="Arial"/>
          <w:b/>
          <w:bCs/>
          <w:sz w:val="17"/>
          <w:szCs w:val="17"/>
        </w:rPr>
        <w:t xml:space="preserve">v </w:t>
      </w:r>
      <w:r>
        <w:t>místním výboru, stejní v okresním, stejní v krajském, stejní v zemském a stá</w:t>
      </w:r>
      <w:r>
        <w:rPr>
          <w:u w:val="single"/>
        </w:rPr>
        <w:t>tním</w:t>
      </w:r>
      <w:r>
        <w:t xml:space="preserve"> _ posuzovali, soudili, hodnotili, kritisovali namnoze sami sebe. Byla to těžká chyba dřívějšího veřejného života — stín, který</w:t>
      </w:r>
      <w:r>
        <w:t xml:space="preserve"> ležel na naší demokracii (ne ovšem organická vada demokracie, pouhá vada špatně interpretované demokratické prakse). — Hromadění funkcí placených bylo logickým závěrem celého systému. —•</w:t>
      </w:r>
    </w:p>
    <w:p w:rsidR="00500724" w:rsidRDefault="00F30FB8">
      <w:pPr>
        <w:pStyle w:val="Zkladntext100"/>
        <w:shd w:val="clear" w:color="auto" w:fill="auto"/>
        <w:spacing w:after="40" w:line="192" w:lineRule="auto"/>
        <w:ind w:firstLine="300"/>
      </w:pPr>
      <w:r>
        <w:t>Dnes, kdy je náš život budován na principu vůdcovském, neměli bychom</w:t>
      </w:r>
      <w:r>
        <w:t xml:space="preserve"> neučiti se z chyb demokratické naší minulosti. Ani dnes hromadění funkcí v jedněch rukou (třebas to byly ruce jiné, než ruce dřívější) nebylo by a není zjevem zdravým.</w:t>
      </w:r>
    </w:p>
    <w:p w:rsidR="00500724" w:rsidRDefault="00F30FB8">
      <w:pPr>
        <w:pStyle w:val="Zkladntext100"/>
        <w:shd w:val="clear" w:color="auto" w:fill="auto"/>
        <w:spacing w:after="200" w:line="194" w:lineRule="auto"/>
        <w:ind w:firstLine="0"/>
        <w:jc w:val="right"/>
      </w:pPr>
      <w:r>
        <w:rPr>
          <w:i/>
          <w:iCs/>
        </w:rPr>
        <w:t>Jiří Zhor</w:t>
      </w:r>
    </w:p>
    <w:p w:rsidR="00500724" w:rsidRDefault="00F30FB8">
      <w:pPr>
        <w:pStyle w:val="Jin0"/>
        <w:shd w:val="clear" w:color="auto" w:fill="auto"/>
        <w:spacing w:after="260"/>
        <w:ind w:firstLine="0"/>
        <w:jc w:val="left"/>
        <w:rPr>
          <w:sz w:val="44"/>
          <w:szCs w:val="44"/>
        </w:rPr>
      </w:pPr>
      <w:r>
        <w:rPr>
          <w:b/>
          <w:bCs/>
          <w:sz w:val="44"/>
          <w:szCs w:val="44"/>
          <w:u w:val="single"/>
        </w:rPr>
        <w:t>literatura a uměni</w:t>
      </w:r>
    </w:p>
    <w:p w:rsidR="00500724" w:rsidRDefault="00F30FB8">
      <w:pPr>
        <w:pStyle w:val="Zkladntext20"/>
        <w:shd w:val="clear" w:color="auto" w:fill="auto"/>
        <w:spacing w:after="40"/>
        <w:ind w:firstLine="0"/>
      </w:pPr>
      <w:r>
        <w:rPr>
          <w:i/>
          <w:iCs/>
        </w:rPr>
        <w:t>Miroslav Micko:</w:t>
      </w:r>
    </w:p>
    <w:p w:rsidR="00500724" w:rsidRDefault="00F30FB8">
      <w:pPr>
        <w:pStyle w:val="Jin0"/>
        <w:shd w:val="clear" w:color="auto" w:fill="auto"/>
        <w:spacing w:after="120"/>
        <w:ind w:firstLine="0"/>
        <w:jc w:val="center"/>
        <w:rPr>
          <w:sz w:val="28"/>
          <w:szCs w:val="28"/>
        </w:rPr>
      </w:pPr>
      <w:r>
        <w:rPr>
          <w:b/>
          <w:bCs/>
          <w:sz w:val="28"/>
          <w:szCs w:val="28"/>
        </w:rPr>
        <w:t>Je české umění?</w:t>
      </w:r>
    </w:p>
    <w:p w:rsidR="00500724" w:rsidRDefault="00F30FB8">
      <w:pPr>
        <w:pStyle w:val="Zkladntext20"/>
        <w:shd w:val="clear" w:color="auto" w:fill="auto"/>
        <w:spacing w:line="218" w:lineRule="auto"/>
        <w:ind w:firstLine="0"/>
        <w:rPr>
          <w:sz w:val="20"/>
          <w:szCs w:val="20"/>
        </w:rPr>
      </w:pPr>
      <w:r>
        <w:rPr>
          <w:sz w:val="20"/>
          <w:szCs w:val="20"/>
        </w:rPr>
        <w:t xml:space="preserve">T Tž spisovatel </w:t>
      </w:r>
      <w:r>
        <w:rPr>
          <w:sz w:val="20"/>
          <w:szCs w:val="20"/>
        </w:rPr>
        <w:t>Zbraslavské kroniky žehrá na českou dychtivost po novotě a těkavost v úpravě šatstva a účesu. V jedné starodávné knížce, kde jsou jednotliví národové představeni dvojicemi muže a ženy v domá</w:t>
      </w:r>
      <w:r>
        <w:rPr>
          <w:sz w:val="20"/>
          <w:szCs w:val="20"/>
        </w:rPr>
        <w:softHyphen/>
        <w:t>cím kroji, je Čech zobrazen nahý s balíkem sukna u nohou, a epigr</w:t>
      </w:r>
      <w:r>
        <w:rPr>
          <w:sz w:val="20"/>
          <w:szCs w:val="20"/>
        </w:rPr>
        <w:t>amaticky vyhrocený podtitul k tomu poznamenává, že je mu ponechána volnost, aby se ustrojil, jak sám chce, když se žene za každou mó</w:t>
      </w:r>
      <w:r>
        <w:rPr>
          <w:sz w:val="20"/>
          <w:szCs w:val="20"/>
        </w:rPr>
        <w:softHyphen/>
        <w:t>dou, která k němu právě zavane. Znovu a znovu po celá staletí až podnes, od pozorovatelů domácích i ci</w:t>
      </w:r>
      <w:r>
        <w:rPr>
          <w:sz w:val="20"/>
          <w:szCs w:val="20"/>
        </w:rPr>
        <w:softHyphen/>
        <w:t xml:space="preserve">zích se opakují — v </w:t>
      </w:r>
      <w:r>
        <w:rPr>
          <w:sz w:val="20"/>
          <w:szCs w:val="20"/>
        </w:rPr>
        <w:t>širším i hlubším smyslu — po</w:t>
      </w:r>
      <w:r>
        <w:rPr>
          <w:sz w:val="20"/>
          <w:szCs w:val="20"/>
        </w:rPr>
        <w:softHyphen/>
        <w:t>dobné výtky českého opičení po cizině. Jeden z vý</w:t>
      </w:r>
      <w:r>
        <w:rPr>
          <w:sz w:val="20"/>
          <w:szCs w:val="20"/>
        </w:rPr>
        <w:softHyphen/>
        <w:t>znamných našich žijících spisovatelů pronáší soud této přísnosti: „Není národa duchovně závislejšího ... Říká se, že Čechy jsou průchodištěm všech kultur a větrů celé Evropy. An</w:t>
      </w:r>
      <w:r>
        <w:rPr>
          <w:sz w:val="20"/>
          <w:szCs w:val="20"/>
        </w:rPr>
        <w:t>o, průchodištěm; sotva něčím více.“</w:t>
      </w:r>
    </w:p>
    <w:p w:rsidR="00500724" w:rsidRDefault="00F30FB8">
      <w:pPr>
        <w:pStyle w:val="Zkladntext20"/>
        <w:shd w:val="clear" w:color="auto" w:fill="auto"/>
        <w:spacing w:after="120" w:line="218" w:lineRule="auto"/>
        <w:ind w:firstLine="0"/>
        <w:rPr>
          <w:sz w:val="20"/>
          <w:szCs w:val="20"/>
        </w:rPr>
      </w:pPr>
      <w:r>
        <w:rPr>
          <w:sz w:val="20"/>
          <w:szCs w:val="20"/>
        </w:rPr>
        <w:t>Je nutno přiznat, že česká kulturní ctižádost, lepší jméno, i lepší stránka této přizpůsobivosti, předbíhá často samostatnou tvořivost, nahrazuje ji importem, převažuje ji přejímáním, předstírá ji překladem. Pří</w:t>
      </w:r>
      <w:r>
        <w:rPr>
          <w:sz w:val="20"/>
          <w:szCs w:val="20"/>
        </w:rPr>
        <w:softHyphen/>
        <w:t>činy toh</w:t>
      </w:r>
      <w:r>
        <w:rPr>
          <w:sz w:val="20"/>
          <w:szCs w:val="20"/>
        </w:rPr>
        <w:t>o jsou složité. Vězí především v zeměpisné poloze Čech opravdu na rozhraní všech kultur a kři</w:t>
      </w:r>
      <w:r>
        <w:rPr>
          <w:sz w:val="20"/>
          <w:szCs w:val="20"/>
        </w:rPr>
        <w:softHyphen/>
        <w:t>žovatce všech vlivů; jsou v často přerušovaném dě</w:t>
      </w:r>
      <w:r>
        <w:rPr>
          <w:sz w:val="20"/>
          <w:szCs w:val="20"/>
        </w:rPr>
        <w:softHyphen/>
        <w:t>jinném vývoji a v protichůdnosti dějinných sil; a jsou ovšem i v národní povaze, která je podstatně utvářena prá</w:t>
      </w:r>
      <w:r>
        <w:rPr>
          <w:sz w:val="20"/>
          <w:szCs w:val="20"/>
        </w:rPr>
        <w:t>vě těmi činiteli zeměpisnými a historickými. V čes</w:t>
      </w:r>
      <w:r>
        <w:rPr>
          <w:sz w:val="20"/>
          <w:szCs w:val="20"/>
        </w:rPr>
        <w:softHyphen/>
        <w:t>kých kulturních dějinách se stále setkáváme s pojmem „dohánění Evropy“. Tento závod vychází z přiroze</w:t>
      </w:r>
      <w:r>
        <w:rPr>
          <w:sz w:val="20"/>
          <w:szCs w:val="20"/>
        </w:rPr>
        <w:softHyphen/>
        <w:t>ného zpoždění. Začíná pro nás, abychom při této spor</w:t>
      </w:r>
      <w:r>
        <w:rPr>
          <w:sz w:val="20"/>
          <w:szCs w:val="20"/>
        </w:rPr>
        <w:softHyphen/>
        <w:t>tovní metafoře mluvili i sportovní hantýrkou, hand</w:t>
      </w:r>
      <w:r>
        <w:rPr>
          <w:sz w:val="20"/>
          <w:szCs w:val="20"/>
        </w:rPr>
        <w:t>i</w:t>
      </w:r>
      <w:r>
        <w:rPr>
          <w:sz w:val="20"/>
          <w:szCs w:val="20"/>
        </w:rPr>
        <w:softHyphen/>
        <w:t>capem nesoučasného startu; a v okamžiku, kdy se nám podaří velkolepým finishem vyrovnat a dokonce před</w:t>
      </w:r>
      <w:r>
        <w:rPr>
          <w:sz w:val="20"/>
          <w:szCs w:val="20"/>
        </w:rPr>
        <w:softHyphen/>
        <w:t>stihnout své zpoždění, jsme opět během dějinných udá</w:t>
      </w:r>
      <w:r>
        <w:rPr>
          <w:sz w:val="20"/>
          <w:szCs w:val="20"/>
        </w:rPr>
        <w:softHyphen/>
        <w:t>lostí zadrženi a musíme znovu sbírat své síly. Sbírat své síly! Jen je-li na to kdy! A tu zas je n</w:t>
      </w:r>
      <w:r>
        <w:rPr>
          <w:sz w:val="20"/>
          <w:szCs w:val="20"/>
        </w:rPr>
        <w:t>utno pře</w:t>
      </w:r>
      <w:r>
        <w:rPr>
          <w:sz w:val="20"/>
          <w:szCs w:val="20"/>
        </w:rPr>
        <w:softHyphen/>
        <w:t>jímat a učit se a těžce začínat znovu. (Učit se — tato ctnost je v nás opravdu vypěstována až přespříliš; za</w:t>
      </w:r>
      <w:r>
        <w:rPr>
          <w:sz w:val="20"/>
          <w:szCs w:val="20"/>
        </w:rPr>
        <w:softHyphen/>
        <w:t>vání trochu způsobností hodných dětiček. Ne íiadar- mo si říkáme národ Komenského, ne nadarmo jsme národem bez analfabetů!)</w:t>
      </w:r>
    </w:p>
    <w:p w:rsidR="00500724" w:rsidRDefault="00F30FB8">
      <w:pPr>
        <w:pStyle w:val="Zkladntext100"/>
        <w:shd w:val="clear" w:color="auto" w:fill="auto"/>
        <w:spacing w:after="120" w:line="194" w:lineRule="auto"/>
        <w:ind w:firstLine="0"/>
        <w:jc w:val="center"/>
      </w:pPr>
      <w:r>
        <w:t>•</w:t>
      </w:r>
    </w:p>
    <w:p w:rsidR="00500724" w:rsidRDefault="00F30FB8">
      <w:pPr>
        <w:pStyle w:val="Zkladntext20"/>
        <w:shd w:val="clear" w:color="auto" w:fill="auto"/>
        <w:spacing w:after="40" w:line="216" w:lineRule="auto"/>
        <w:ind w:firstLine="300"/>
        <w:rPr>
          <w:sz w:val="20"/>
          <w:szCs w:val="20"/>
        </w:rPr>
      </w:pPr>
      <w:r>
        <w:rPr>
          <w:sz w:val="20"/>
          <w:szCs w:val="20"/>
        </w:rPr>
        <w:t xml:space="preserve">Pokud jde o </w:t>
      </w:r>
      <w:r>
        <w:rPr>
          <w:sz w:val="20"/>
          <w:szCs w:val="20"/>
        </w:rPr>
        <w:t>výtvarné umění, ocitají se Čechy tři</w:t>
      </w:r>
      <w:r>
        <w:rPr>
          <w:sz w:val="20"/>
          <w:szCs w:val="20"/>
        </w:rPr>
        <w:softHyphen/>
        <w:t>krát na vrcholné úrovni evropské tvorby: v gotice, v baroku, a pokoušejí se o to s úspěchem v době moderní.</w:t>
      </w:r>
    </w:p>
    <w:p w:rsidR="00500724" w:rsidRDefault="00F30FB8">
      <w:pPr>
        <w:pStyle w:val="Zkladntext20"/>
        <w:shd w:val="clear" w:color="auto" w:fill="auto"/>
        <w:spacing w:line="218" w:lineRule="auto"/>
        <w:ind w:firstLine="300"/>
        <w:rPr>
          <w:sz w:val="20"/>
          <w:szCs w:val="20"/>
        </w:rPr>
      </w:pPr>
      <w:r>
        <w:rPr>
          <w:sz w:val="20"/>
          <w:szCs w:val="20"/>
        </w:rPr>
        <w:t>Kolem poloviny 14. století přestávají být po prvé uměleckou periferií a vřazují se činně a svérázně y živý prou</w:t>
      </w:r>
      <w:r>
        <w:rPr>
          <w:sz w:val="20"/>
          <w:szCs w:val="20"/>
        </w:rPr>
        <w:t>d evropského umění. Je to úžasné jaro kulturního života. Naše země obrůstají v rozsahu do</w:t>
      </w:r>
      <w:r>
        <w:rPr>
          <w:sz w:val="20"/>
          <w:szCs w:val="20"/>
        </w:rPr>
        <w:softHyphen/>
        <w:t>sud nebývalém kostely a katedrálami; okna těchto chrámů září žhavými barvami malovaného skla, jejich stěny a stěny zámeckých síní se pokrývají freskami; zdi monumentá</w:t>
      </w:r>
      <w:r>
        <w:rPr>
          <w:sz w:val="20"/>
          <w:szCs w:val="20"/>
        </w:rPr>
        <w:t>lních staveb oživují hemžením plastic</w:t>
      </w:r>
      <w:r>
        <w:rPr>
          <w:sz w:val="20"/>
          <w:szCs w:val="20"/>
        </w:rPr>
        <w:softHyphen/>
        <w:t>kých tvarů, rostlinnými a živočišnými podobami, tu dojemně přirozenými, tu hrůzně zrůdnými, posvátný</w:t>
      </w:r>
      <w:r>
        <w:rPr>
          <w:sz w:val="20"/>
          <w:szCs w:val="20"/>
        </w:rPr>
        <w:softHyphen/>
        <w:t>mi scénami i groteskními výjevy všedního života; v šeru kaplí ležíce stojí titánské postavy dávných králů na svých ná</w:t>
      </w:r>
      <w:r>
        <w:rPr>
          <w:sz w:val="20"/>
          <w:szCs w:val="20"/>
        </w:rPr>
        <w:t>hrobcích a graciésní světci a mi</w:t>
      </w:r>
      <w:r>
        <w:rPr>
          <w:sz w:val="20"/>
          <w:szCs w:val="20"/>
        </w:rPr>
        <w:softHyphen/>
        <w:t>lostné madony hýčkající „zmylytke dyetatko“ shlížejí k věřícím; oltářní desky vypravují mluvou lahodnou i lidsky pohnutou o životě a utrpení Kristově; per</w:t>
      </w:r>
      <w:r>
        <w:rPr>
          <w:sz w:val="20"/>
          <w:szCs w:val="20"/>
        </w:rPr>
        <w:softHyphen/>
        <w:t xml:space="preserve">gamenové stránky pasionálů, misálů, biblí, nábožných i učených knih </w:t>
      </w:r>
      <w:r>
        <w:rPr>
          <w:sz w:val="20"/>
          <w:szCs w:val="20"/>
        </w:rPr>
        <w:t>se pyšní nádhernými iluminacemi.</w:t>
      </w:r>
    </w:p>
    <w:p w:rsidR="00500724" w:rsidRDefault="00F30FB8">
      <w:pPr>
        <w:pStyle w:val="Zkladntext20"/>
        <w:shd w:val="clear" w:color="auto" w:fill="auto"/>
        <w:spacing w:line="216" w:lineRule="auto"/>
        <w:ind w:firstLine="220"/>
        <w:rPr>
          <w:sz w:val="20"/>
          <w:szCs w:val="20"/>
        </w:rPr>
      </w:pPr>
      <w:r>
        <w:rPr>
          <w:sz w:val="20"/>
          <w:szCs w:val="20"/>
        </w:rPr>
        <w:t>Francouzské, italské a německé vlivy se kříží a často utajují v dílech osobitého charakteru a místního zabarvení. Zejména české malířství dospívá v této době neobyčejného rozmachu. Z anonymity a obec</w:t>
      </w:r>
      <w:r>
        <w:rPr>
          <w:sz w:val="20"/>
          <w:szCs w:val="20"/>
        </w:rPr>
        <w:softHyphen/>
        <w:t>nosti gotické tvorby re</w:t>
      </w:r>
      <w:r>
        <w:rPr>
          <w:sz w:val="20"/>
          <w:szCs w:val="20"/>
        </w:rPr>
        <w:t>liéfně vystupují skutečné osob</w:t>
      </w:r>
      <w:r>
        <w:rPr>
          <w:sz w:val="20"/>
          <w:szCs w:val="20"/>
        </w:rPr>
        <w:softHyphen/>
        <w:t xml:space="preserve">nosti tvůrčích umělců. Už t. zv. Vyšebrodský mistr, který zahajuje tento rozvoj, má výrazné domácí rysy, ač ještě silně italisuje. Nejen současné Německo, ale ani Francie nemůže mu v oboru deskového malířství postavit po bok </w:t>
      </w:r>
      <w:r>
        <w:rPr>
          <w:sz w:val="20"/>
          <w:szCs w:val="20"/>
        </w:rPr>
        <w:t>nic rovnocenného. A brzy po něm karlštejnský mistr Theodorik a mistr třeboňského oltáře mocně posouvají vývoj kupředu. Dík tako</w:t>
      </w:r>
      <w:r>
        <w:rPr>
          <w:sz w:val="20"/>
          <w:szCs w:val="20"/>
        </w:rPr>
        <w:softHyphen/>
        <w:t>výmto tvůrčím činům strhává na sebe česká škola vůdčí postavení a stává se jedním z nejvýznamnějších středisk soudobé umělecké E</w:t>
      </w:r>
      <w:r>
        <w:rPr>
          <w:sz w:val="20"/>
          <w:szCs w:val="20"/>
        </w:rPr>
        <w:t>vropy; střediskem celé rozsáhlé oblasti středoevropské. Její vliv se zjišťuje stejně hluboko v jižním Německu — v Norimberce trvá až do poloviny 15. století — jako a zejména na severu a východě, kde se sahá, jak se zdá, od Ham</w:t>
      </w:r>
      <w:r>
        <w:rPr>
          <w:sz w:val="20"/>
          <w:szCs w:val="20"/>
        </w:rPr>
        <w:softHyphen/>
        <w:t>burku, až do nejzazších konči</w:t>
      </w:r>
      <w:r>
        <w:rPr>
          <w:sz w:val="20"/>
          <w:szCs w:val="20"/>
        </w:rPr>
        <w:t>n Pruska a Slezska a zasahuje i Polsko. Bohužel, tento náhlý a slibný roz</w:t>
      </w:r>
      <w:r>
        <w:rPr>
          <w:sz w:val="20"/>
          <w:szCs w:val="20"/>
        </w:rPr>
        <w:softHyphen/>
        <w:t>květ netrvá u nás déle než asi půl století. Brzy po počátku 15. století je znát pokles z tohoto prudkého vyvrcholení, který se jen zdůrazňuje v období husit</w:t>
      </w:r>
      <w:r>
        <w:rPr>
          <w:sz w:val="20"/>
          <w:szCs w:val="20"/>
        </w:rPr>
        <w:softHyphen/>
        <w:t>ských válek. Pozdní a tro</w:t>
      </w:r>
      <w:r>
        <w:rPr>
          <w:sz w:val="20"/>
          <w:szCs w:val="20"/>
        </w:rPr>
        <w:t>chu i opožděná vladislavská gotika, pokračujíc v celku samostatně v přerušené tradici, vydá sice ze sebe díla úctyhodná a výrazná, zvlášť v architektuře, vyzařuje znovu i za hranice, ale přece už nepřekročí vysoký průměr současného umění okolní Evropy. A t</w:t>
      </w:r>
      <w:r>
        <w:rPr>
          <w:sz w:val="20"/>
          <w:szCs w:val="20"/>
        </w:rPr>
        <w:t>o, co přichází potom, je dlouhé umě</w:t>
      </w:r>
      <w:r>
        <w:rPr>
          <w:sz w:val="20"/>
          <w:szCs w:val="20"/>
        </w:rPr>
        <w:softHyphen/>
        <w:t>lecké bezvládí. A tak české malbě, nebyl-li jí dopřán klid trvalého vývoje, zbývá aspoň čest, že křtila ma</w:t>
      </w:r>
      <w:r>
        <w:rPr>
          <w:sz w:val="20"/>
          <w:szCs w:val="20"/>
        </w:rPr>
        <w:softHyphen/>
        <w:t>lířství německé, jež vytvořilo svou školu v 15. a 16. století.</w:t>
      </w:r>
    </w:p>
    <w:p w:rsidR="00500724" w:rsidRDefault="00F30FB8">
      <w:pPr>
        <w:pStyle w:val="Zkladntext20"/>
        <w:shd w:val="clear" w:color="auto" w:fill="auto"/>
        <w:spacing w:after="80" w:line="180" w:lineRule="auto"/>
        <w:ind w:firstLine="0"/>
        <w:jc w:val="center"/>
        <w:rPr>
          <w:sz w:val="20"/>
          <w:szCs w:val="20"/>
        </w:rPr>
      </w:pPr>
      <w:r>
        <w:rPr>
          <w:sz w:val="20"/>
          <w:szCs w:val="20"/>
        </w:rPr>
        <w:t>•</w:t>
      </w:r>
    </w:p>
    <w:p w:rsidR="00500724" w:rsidRDefault="00F30FB8">
      <w:pPr>
        <w:pStyle w:val="Zkladntext20"/>
        <w:shd w:val="clear" w:color="auto" w:fill="auto"/>
        <w:spacing w:line="216" w:lineRule="auto"/>
        <w:ind w:firstLine="220"/>
        <w:rPr>
          <w:sz w:val="20"/>
          <w:szCs w:val="20"/>
        </w:rPr>
      </w:pPr>
      <w:r>
        <w:rPr>
          <w:sz w:val="20"/>
          <w:szCs w:val="20"/>
        </w:rPr>
        <w:t>Mluvíme-li v této době o českém umění, jaký je s</w:t>
      </w:r>
      <w:r>
        <w:rPr>
          <w:sz w:val="20"/>
          <w:szCs w:val="20"/>
        </w:rPr>
        <w:t>mysl tohoto přívlastku? Především ovšem geopoli- tický; českost tu neznamená vždycky českou krev, ale už častěji českého ducha. Nevíme toho příliš o ná</w:t>
      </w:r>
      <w:r>
        <w:rPr>
          <w:sz w:val="20"/>
          <w:szCs w:val="20"/>
        </w:rPr>
        <w:softHyphen/>
        <w:t>rodnosti našich gotických umělců, u nichž nám uni</w:t>
      </w:r>
      <w:r>
        <w:rPr>
          <w:sz w:val="20"/>
          <w:szCs w:val="20"/>
        </w:rPr>
        <w:softHyphen/>
        <w:t>kají i jména. Zajisté zde působila spolupráce obou nár</w:t>
      </w:r>
      <w:r>
        <w:rPr>
          <w:sz w:val="20"/>
          <w:szCs w:val="20"/>
        </w:rPr>
        <w:t>odností usazených v našich zemích, významný po</w:t>
      </w:r>
      <w:r>
        <w:rPr>
          <w:sz w:val="20"/>
          <w:szCs w:val="20"/>
        </w:rPr>
        <w:softHyphen/>
        <w:t>díl mají tu i přistěhovalci, ale slovanský charakter se projevuje v nepopiratelných a důležitých rysech. Zejména právě v malířství. Na svou dobu průbojný a překvapivý zjev Theodorikův, jehož pražský původ se z</w:t>
      </w:r>
      <w:r>
        <w:rPr>
          <w:sz w:val="20"/>
          <w:szCs w:val="20"/>
        </w:rPr>
        <w:t>dá zaručen, dá se stěží vysvětlit jinak než jako plod slovenského prostředí. Worringer, duchaplný ně</w:t>
      </w:r>
      <w:r>
        <w:rPr>
          <w:sz w:val="20"/>
          <w:szCs w:val="20"/>
        </w:rPr>
        <w:softHyphen/>
        <w:t xml:space="preserve">mecký dějepisec umění, vzpomíná při tomto malíři, který jiným po malířské stránce dává myslet až na Maneta a Cézanna, na Dostojevského. To bude asi trochu </w:t>
      </w:r>
      <w:r>
        <w:rPr>
          <w:sz w:val="20"/>
          <w:szCs w:val="20"/>
        </w:rPr>
        <w:t xml:space="preserve">unáhlené, nejen anachronisticky, ale </w:t>
      </w:r>
      <w:r>
        <w:rPr>
          <w:b/>
          <w:bCs/>
          <w:sz w:val="20"/>
          <w:szCs w:val="20"/>
        </w:rPr>
        <w:t xml:space="preserve">i </w:t>
      </w:r>
      <w:r>
        <w:rPr>
          <w:sz w:val="20"/>
          <w:szCs w:val="20"/>
        </w:rPr>
        <w:t xml:space="preserve">ve smyslu panslovanské generalisace. My se v něm poznáváme doslova: jeho dobrácký realismus, jeho boubelaté a růžolící světice i hřmotní a rozšafní svati, </w:t>
      </w:r>
      <w:r>
        <w:rPr>
          <w:b/>
          <w:bCs/>
          <w:sz w:val="20"/>
          <w:szCs w:val="20"/>
        </w:rPr>
        <w:t xml:space="preserve">s </w:t>
      </w:r>
      <w:r>
        <w:rPr>
          <w:sz w:val="20"/>
          <w:szCs w:val="20"/>
        </w:rPr>
        <w:t>nimiž obcuje v takřka sousedsky důvěrném téte-á-téte, jeho t</w:t>
      </w:r>
      <w:r>
        <w:rPr>
          <w:sz w:val="20"/>
          <w:szCs w:val="20"/>
        </w:rPr>
        <w:t>řpytivá a měkká malířskost — to vše k nám mluví ro</w:t>
      </w:r>
      <w:r>
        <w:rPr>
          <w:sz w:val="20"/>
          <w:szCs w:val="20"/>
        </w:rPr>
        <w:softHyphen/>
        <w:t>dovou řečí.</w:t>
      </w:r>
    </w:p>
    <w:p w:rsidR="00500724" w:rsidRDefault="00F30FB8">
      <w:pPr>
        <w:pStyle w:val="Zkladntext20"/>
        <w:shd w:val="clear" w:color="auto" w:fill="auto"/>
        <w:spacing w:line="214" w:lineRule="auto"/>
        <w:rPr>
          <w:sz w:val="20"/>
          <w:szCs w:val="20"/>
        </w:rPr>
      </w:pPr>
      <w:r>
        <w:rPr>
          <w:sz w:val="20"/>
          <w:szCs w:val="20"/>
        </w:rPr>
        <w:t>S realismem stejně měkce naladěným, jen ještě tvarově prohloubeným a se zjihlým zájmem o člověka se setkáváme v některých bustách svatovítského tri</w:t>
      </w:r>
      <w:r>
        <w:rPr>
          <w:sz w:val="20"/>
          <w:szCs w:val="20"/>
        </w:rPr>
        <w:softHyphen/>
        <w:t>foria. Pojetí těchto tváří odpovídá milé okro</w:t>
      </w:r>
      <w:r>
        <w:rPr>
          <w:sz w:val="20"/>
          <w:szCs w:val="20"/>
        </w:rPr>
        <w:t>uhlosti a jadrnosti jejich jmen. Jsou to zčásti přímé portréty české společnosti: tady naklání hlavu trochu zasmu</w:t>
      </w:r>
      <w:r>
        <w:rPr>
          <w:sz w:val="20"/>
          <w:szCs w:val="20"/>
        </w:rPr>
        <w:softHyphen/>
        <w:t>šilý Mikuláš Holubec, tady svrašťuje obočí k bystré</w:t>
      </w:r>
      <w:r>
        <w:rPr>
          <w:sz w:val="20"/>
          <w:szCs w:val="20"/>
        </w:rPr>
        <w:softHyphen/>
        <w:t xml:space="preserve">mu pohledu Václav z Radče vedle ostatních ředitelů stavby Ondřeje Kotlíka, Leonarda Buška </w:t>
      </w:r>
      <w:r>
        <w:rPr>
          <w:sz w:val="20"/>
          <w:szCs w:val="20"/>
        </w:rPr>
        <w:t>a Beneše Krabice z Weitmile, jehož jméno nás rozjařovalo už v kvintánských letech; a tady mezi arcibiskupy ne- zvalovsky otylý Jan Očko z Vlašimě.</w:t>
      </w:r>
    </w:p>
    <w:p w:rsidR="00500724" w:rsidRDefault="00F30FB8">
      <w:pPr>
        <w:pStyle w:val="Zkladntext20"/>
        <w:shd w:val="clear" w:color="auto" w:fill="auto"/>
        <w:spacing w:after="100" w:line="214" w:lineRule="auto"/>
        <w:rPr>
          <w:sz w:val="20"/>
          <w:szCs w:val="20"/>
        </w:rPr>
      </w:pPr>
      <w:r>
        <w:rPr>
          <w:sz w:val="20"/>
          <w:szCs w:val="20"/>
        </w:rPr>
        <w:t>Jako je tento realismus proteplený lidskostí v sou</w:t>
      </w:r>
      <w:r>
        <w:rPr>
          <w:sz w:val="20"/>
          <w:szCs w:val="20"/>
        </w:rPr>
        <w:softHyphen/>
        <w:t xml:space="preserve">hlase s gnómickou moudrostí a moralistním sklonem soudobé </w:t>
      </w:r>
      <w:r>
        <w:rPr>
          <w:sz w:val="20"/>
          <w:szCs w:val="20"/>
        </w:rPr>
        <w:t>české literatury, tak vroucná vážnost a odu- ševnělost mistra Třeboňského odpovídá prohloubené</w:t>
      </w:r>
      <w:r>
        <w:rPr>
          <w:sz w:val="20"/>
          <w:szCs w:val="20"/>
        </w:rPr>
        <w:softHyphen/>
        <w:t>mu náboženskému cítění na sklonku století; cit i styl Tomy ze Štítného nezůstává za ním pozadu. Stejně tak i doznívající scholasticismus u Štítného připomíná to,</w:t>
      </w:r>
      <w:r>
        <w:rPr>
          <w:sz w:val="20"/>
          <w:szCs w:val="20"/>
        </w:rPr>
        <w:t xml:space="preserve"> co je ještě u tohoto malíře goticky schematického. Česká literatura krom jiných obecnějších stránek ná</w:t>
      </w:r>
      <w:r>
        <w:rPr>
          <w:sz w:val="20"/>
          <w:szCs w:val="20"/>
        </w:rPr>
        <w:softHyphen/>
        <w:t xml:space="preserve">rodního života té doby je vůbec dokladem, že toto umění mělo své kořeny hlouběji, než by se zdálo z jeho náhlosti, a že nerostlo jen v umělé výlučnosti </w:t>
      </w:r>
      <w:r>
        <w:rPr>
          <w:sz w:val="20"/>
          <w:szCs w:val="20"/>
        </w:rPr>
        <w:t>dvor</w:t>
      </w:r>
      <w:r>
        <w:rPr>
          <w:sz w:val="20"/>
          <w:szCs w:val="20"/>
        </w:rPr>
        <w:softHyphen/>
        <w:t>ského prostředí. S expresivností, s jakou jsou líčeny v některých obrazech Ukřižování typy Kristových ka- tanů, bychom mohli na př. srovnat tuto výrazovou sílu verše ze 14. století:</w:t>
      </w:r>
    </w:p>
    <w:p w:rsidR="00500724" w:rsidRDefault="00F30FB8">
      <w:pPr>
        <w:pStyle w:val="Zkladntext100"/>
        <w:shd w:val="clear" w:color="auto" w:fill="auto"/>
        <w:spacing w:after="100" w:line="192" w:lineRule="auto"/>
        <w:ind w:left="1020" w:right="1300" w:firstLine="0"/>
        <w:jc w:val="left"/>
      </w:pPr>
      <w:r>
        <w:t xml:space="preserve">„Tehdy kat k nie přiskočí, hněvivě schlupiv </w:t>
      </w:r>
      <w:r>
        <w:rPr>
          <w:sz w:val="20"/>
          <w:szCs w:val="20"/>
        </w:rPr>
        <w:t xml:space="preserve">oči, </w:t>
      </w:r>
      <w:r>
        <w:t xml:space="preserve">nemešká jí hlavy </w:t>
      </w:r>
      <w:r>
        <w:t>stieti a chce on svú lepší mieti.“</w:t>
      </w:r>
    </w:p>
    <w:p w:rsidR="00500724" w:rsidRDefault="00F30FB8">
      <w:pPr>
        <w:pStyle w:val="Zkladntext20"/>
        <w:shd w:val="clear" w:color="auto" w:fill="auto"/>
        <w:spacing w:line="214" w:lineRule="auto"/>
        <w:rPr>
          <w:sz w:val="20"/>
          <w:szCs w:val="20"/>
        </w:rPr>
      </w:pPr>
      <w:r>
        <w:rPr>
          <w:sz w:val="20"/>
          <w:szCs w:val="20"/>
        </w:rPr>
        <w:t>Legenda o sv. Kateřině, jež reaguje na zázračnou výzdobu karlštejnské kaple sv. Kříže, sama se třpytí jejími barvami.</w:t>
      </w:r>
    </w:p>
    <w:p w:rsidR="00500724" w:rsidRDefault="00F30FB8">
      <w:pPr>
        <w:pStyle w:val="Zkladntext20"/>
        <w:shd w:val="clear" w:color="auto" w:fill="auto"/>
        <w:spacing w:after="100" w:line="214" w:lineRule="auto"/>
        <w:rPr>
          <w:sz w:val="20"/>
          <w:szCs w:val="20"/>
        </w:rPr>
      </w:pPr>
      <w:r>
        <w:rPr>
          <w:sz w:val="20"/>
          <w:szCs w:val="20"/>
        </w:rPr>
        <w:t>Osobité myšlení přivedlo tenkrát velkého Čecha na hranici a rozvířilo život celé Evropy. A ovšem i přes</w:t>
      </w:r>
      <w:r>
        <w:rPr>
          <w:sz w:val="20"/>
          <w:szCs w:val="20"/>
        </w:rPr>
        <w:t xml:space="preserve"> své obrazoborectví dosvědčuje právě husitské hnutí kulturní tvořivost českého obyvatelstva království —• s cílem tak vysoce pojaté mravní očisty nemohlo být projevem barbarství. Ostatně na konci téhož století zasáhne podobným způsobem, třeba krátce, horle</w:t>
      </w:r>
      <w:r>
        <w:rPr>
          <w:sz w:val="20"/>
          <w:szCs w:val="20"/>
        </w:rPr>
        <w:t>ní Savonarolovo i umění a přepychu milovnou Florencii; a tento lítý mnich otřese mocně i umělci — způsobí na př. přelom ve vývoji Botticelliho.</w:t>
      </w:r>
    </w:p>
    <w:p w:rsidR="00500724" w:rsidRDefault="00F30FB8">
      <w:pPr>
        <w:pStyle w:val="Zkladntext20"/>
        <w:shd w:val="clear" w:color="auto" w:fill="auto"/>
        <w:spacing w:after="100" w:line="214" w:lineRule="auto"/>
        <w:ind w:firstLine="0"/>
        <w:jc w:val="center"/>
        <w:rPr>
          <w:sz w:val="20"/>
          <w:szCs w:val="20"/>
        </w:rPr>
      </w:pPr>
      <w:r>
        <w:rPr>
          <w:sz w:val="20"/>
          <w:szCs w:val="20"/>
        </w:rPr>
        <w:t>•</w:t>
      </w:r>
    </w:p>
    <w:p w:rsidR="00500724" w:rsidRDefault="00F30FB8">
      <w:pPr>
        <w:pStyle w:val="Zkladntext20"/>
        <w:shd w:val="clear" w:color="auto" w:fill="auto"/>
        <w:spacing w:after="100" w:line="216" w:lineRule="auto"/>
        <w:rPr>
          <w:sz w:val="20"/>
          <w:szCs w:val="20"/>
        </w:rPr>
      </w:pPr>
      <w:r>
        <w:rPr>
          <w:sz w:val="20"/>
          <w:szCs w:val="20"/>
        </w:rPr>
        <w:t>S českým barokem je to trochu složitější. Ještě ne</w:t>
      </w:r>
      <w:r>
        <w:rPr>
          <w:sz w:val="20"/>
          <w:szCs w:val="20"/>
        </w:rPr>
        <w:softHyphen/>
        <w:t>dávno jsme se k němu hlásili jen rozpačitě a s jistým ostyc</w:t>
      </w:r>
      <w:r>
        <w:rPr>
          <w:sz w:val="20"/>
          <w:szCs w:val="20"/>
        </w:rPr>
        <w:t>hem. Krom obecně rozšířeného pojetí, které vi</w:t>
      </w:r>
      <w:r>
        <w:rPr>
          <w:sz w:val="20"/>
          <w:szCs w:val="20"/>
        </w:rPr>
        <w:softHyphen/>
        <w:t>dělo v baroku zrůdný a nezdravý styl, zastávaného ještě Crocem, měli jsme své vlastní výhrady. Ve vžité nedůvěře k době „Temna“ byli jsme navyklí spatřo</w:t>
      </w:r>
      <w:r>
        <w:rPr>
          <w:sz w:val="20"/>
          <w:szCs w:val="20"/>
        </w:rPr>
        <w:softHyphen/>
        <w:t>vat v něm nástroj vyhlazovací politiky jezuitsko-habs- bu</w:t>
      </w:r>
      <w:r>
        <w:rPr>
          <w:sz w:val="20"/>
          <w:szCs w:val="20"/>
        </w:rPr>
        <w:t xml:space="preserve">rské, tuze nám na něm vadil jeho protireformační tón. Když v roce 1928 vyšlo obsáhlé číslo </w:t>
      </w:r>
      <w:r>
        <w:rPr>
          <w:sz w:val="20"/>
          <w:szCs w:val="20"/>
          <w:lang w:val="en-US" w:eastAsia="en-US" w:bidi="en-US"/>
        </w:rPr>
        <w:t xml:space="preserve">L’Art </w:t>
      </w:r>
      <w:r>
        <w:rPr>
          <w:sz w:val="20"/>
          <w:szCs w:val="20"/>
        </w:rPr>
        <w:t xml:space="preserve">vi- vant, věnované cele československému umění, neuznali jeho čeští pořadatelé za vhodné vytasit se s českým barokem byť si jen jednou zmínkou nebo ilustrací. </w:t>
      </w:r>
      <w:r>
        <w:rPr>
          <w:sz w:val="20"/>
          <w:szCs w:val="20"/>
        </w:rPr>
        <w:t>S novou obrodou zájmu o baroko došlo i tu k revisi hodnot.</w:t>
      </w:r>
    </w:p>
    <w:p w:rsidR="00500724" w:rsidRDefault="00F30FB8">
      <w:pPr>
        <w:pStyle w:val="Zkladntext20"/>
        <w:shd w:val="clear" w:color="auto" w:fill="auto"/>
        <w:spacing w:line="216" w:lineRule="auto"/>
        <w:rPr>
          <w:sz w:val="20"/>
          <w:szCs w:val="20"/>
        </w:rPr>
      </w:pPr>
      <w:r>
        <w:rPr>
          <w:sz w:val="20"/>
          <w:szCs w:val="20"/>
        </w:rPr>
        <w:t>Nemá-li naše baroko na samém počátku v meziná</w:t>
      </w:r>
      <w:r>
        <w:rPr>
          <w:sz w:val="20"/>
          <w:szCs w:val="20"/>
        </w:rPr>
        <w:softHyphen/>
        <w:t>rodním a eklektickém umění Rudolfova dvora, ještě žádné spojitosti s domácí půdou, svědčí už v době jeho prvního rozvoje po Bílé hoře postava Karla Škr</w:t>
      </w:r>
      <w:r>
        <w:rPr>
          <w:sz w:val="20"/>
          <w:szCs w:val="20"/>
        </w:rPr>
        <w:t>éty o nezaniklé tvořivosti českého prostředí. V tomto umělci, který dává základ k domácí tradici, můžeme také vidět nejčeštější zjev celého baroka. I když mluví italsky, jeho přízvuk jej prozrazuje. A je to cosi klad</w:t>
      </w:r>
      <w:r>
        <w:rPr>
          <w:sz w:val="20"/>
          <w:szCs w:val="20"/>
        </w:rPr>
        <w:softHyphen/>
        <w:t>nějšího než defekt ve výslovnosti: hutn</w:t>
      </w:r>
      <w:r>
        <w:rPr>
          <w:sz w:val="20"/>
          <w:szCs w:val="20"/>
        </w:rPr>
        <w:t>ý realismus, teplá a odstíněná barevnost, některé typy, gesta spíš pomalá a důstojná než vzrušená, zahloubaná vážnost a intimita atmosféry i ono nedefinovatelné cosi, po čem se poznává příbuzenství krve a ducha. A odchá- zejí-li později co protestantští em</w:t>
      </w:r>
      <w:r>
        <w:rPr>
          <w:sz w:val="20"/>
          <w:szCs w:val="20"/>
        </w:rPr>
        <w:t xml:space="preserve">igranti Kupecký a </w:t>
      </w:r>
      <w:r>
        <w:rPr>
          <w:sz w:val="20"/>
          <w:szCs w:val="20"/>
          <w:lang w:val="en-US" w:eastAsia="en-US" w:bidi="en-US"/>
        </w:rPr>
        <w:t xml:space="preserve">Hollar, </w:t>
      </w:r>
      <w:r>
        <w:rPr>
          <w:sz w:val="20"/>
          <w:szCs w:val="20"/>
        </w:rPr>
        <w:t>přec jen během stylového období přijde ke slovu dost domácích sil, a významných. Někteří z těch</w:t>
      </w:r>
      <w:r>
        <w:rPr>
          <w:sz w:val="20"/>
          <w:szCs w:val="20"/>
        </w:rPr>
        <w:softHyphen/>
        <w:t xml:space="preserve">to umělců všech odvětví jsou rození Češi, jiní mají v žilách podíl české krve, jiní jsou Češi domovským vědomím. </w:t>
      </w:r>
      <w:r>
        <w:rPr>
          <w:sz w:val="20"/>
          <w:szCs w:val="20"/>
          <w:lang w:val="en-US" w:eastAsia="en-US" w:bidi="en-US"/>
        </w:rPr>
        <w:t xml:space="preserve">Brandi a Reiner </w:t>
      </w:r>
      <w:r>
        <w:rPr>
          <w:sz w:val="20"/>
          <w:szCs w:val="20"/>
        </w:rPr>
        <w:t>neopu</w:t>
      </w:r>
      <w:r>
        <w:rPr>
          <w:sz w:val="20"/>
          <w:szCs w:val="20"/>
        </w:rPr>
        <w:t>stí dokonce ani hra</w:t>
      </w:r>
      <w:r>
        <w:rPr>
          <w:sz w:val="20"/>
          <w:szCs w:val="20"/>
        </w:rPr>
        <w:softHyphen/>
        <w:t>nice svého domova a poznají Itálii jen nepřímo. I ti, kteří sem přicházejí z ciziny, se slučují s tímto amal- gamem: podléhají bezděčně kouzlu této země, přísné a zasmušilé, v něž slavnosti jara vnášejí podivně mollový tón; hmatají vlně</w:t>
      </w:r>
      <w:r>
        <w:rPr>
          <w:sz w:val="20"/>
          <w:szCs w:val="20"/>
        </w:rPr>
        <w:t>ní jejích pahorků a sytí se barvami jejích zamlžených plání; milují její ženy a zakládají tu své rodiny, sžívají se s jejími tradicemi. Dnes víme, že tu byly, že národní vědomí nezaniklo ani u nej</w:t>
      </w:r>
      <w:r>
        <w:rPr>
          <w:sz w:val="20"/>
          <w:szCs w:val="20"/>
        </w:rPr>
        <w:softHyphen/>
        <w:t>vyšších tříd; naopak, nacházíme v baroku síly, které je pos</w:t>
      </w:r>
      <w:r>
        <w:rPr>
          <w:sz w:val="20"/>
          <w:szCs w:val="20"/>
        </w:rPr>
        <w:t>ilovaly a organisovaly. Takto styl, jímž se naše země ve všech oborech výtvarné práce mohou po</w:t>
      </w:r>
      <w:r>
        <w:rPr>
          <w:sz w:val="20"/>
          <w:szCs w:val="20"/>
        </w:rPr>
        <w:softHyphen/>
        <w:t xml:space="preserve">chlubit jak množstvím tak vrcholnou kvalitou děl, se </w:t>
      </w:r>
      <w:r>
        <w:rPr>
          <w:b/>
          <w:bCs/>
          <w:sz w:val="20"/>
          <w:szCs w:val="20"/>
        </w:rPr>
        <w:t xml:space="preserve">u </w:t>
      </w:r>
      <w:r>
        <w:rPr>
          <w:sz w:val="20"/>
          <w:szCs w:val="20"/>
        </w:rPr>
        <w:t>nás uzpůsobuje a charakterisuje.</w:t>
      </w:r>
    </w:p>
    <w:p w:rsidR="00500724" w:rsidRDefault="00F30FB8">
      <w:pPr>
        <w:pStyle w:val="Zkladntext20"/>
        <w:shd w:val="clear" w:color="auto" w:fill="auto"/>
        <w:spacing w:line="216" w:lineRule="auto"/>
        <w:rPr>
          <w:sz w:val="20"/>
          <w:szCs w:val="20"/>
        </w:rPr>
      </w:pPr>
      <w:r>
        <w:rPr>
          <w:sz w:val="20"/>
          <w:szCs w:val="20"/>
        </w:rPr>
        <w:t>Umění se ovšem stává národním nejen svým vzni</w:t>
      </w:r>
      <w:r>
        <w:rPr>
          <w:sz w:val="20"/>
          <w:szCs w:val="20"/>
        </w:rPr>
        <w:softHyphen/>
        <w:t>kem, ale zejména svou reson</w:t>
      </w:r>
      <w:r>
        <w:rPr>
          <w:sz w:val="20"/>
          <w:szCs w:val="20"/>
        </w:rPr>
        <w:t>ancí, svým přijetím a dal</w:t>
      </w:r>
      <w:r>
        <w:rPr>
          <w:sz w:val="20"/>
          <w:szCs w:val="20"/>
        </w:rPr>
        <w:softHyphen/>
        <w:t>ším životem v pokračovatelích. A tuto resonanci oprav</w:t>
      </w:r>
      <w:r>
        <w:rPr>
          <w:sz w:val="20"/>
          <w:szCs w:val="20"/>
        </w:rPr>
        <w:softHyphen/>
        <w:t xml:space="preserve">du baroko u nás nalezlo. Jako nevybíjelo svůj pathos </w:t>
      </w:r>
      <w:r>
        <w:rPr>
          <w:b/>
          <w:bCs/>
          <w:sz w:val="20"/>
          <w:szCs w:val="20"/>
        </w:rPr>
        <w:t xml:space="preserve">V </w:t>
      </w:r>
      <w:r>
        <w:rPr>
          <w:sz w:val="20"/>
          <w:szCs w:val="20"/>
        </w:rPr>
        <w:t>kulturním vakuu, nebylo ani cynickým ohňostrojem při pohřební slavnosti národa. Nebylo jen záležitostí šlechty, jejímuž s</w:t>
      </w:r>
      <w:r>
        <w:rPr>
          <w:sz w:val="20"/>
          <w:szCs w:val="20"/>
        </w:rPr>
        <w:t>ebevědomí, ctižádosti a potřebě luxu sloužilo, ale ucházelo se i o přízeň lidu, útočilo na jeho smysly, obraznost i cit. A lid je pochopil, nejen to: přijal je za své. Baroko u nás zprostonárodnělo jako snad nikde jinde. V autonomní parafrázi lido</w:t>
      </w:r>
      <w:r>
        <w:rPr>
          <w:sz w:val="20"/>
          <w:szCs w:val="20"/>
        </w:rPr>
        <w:softHyphen/>
        <w:t>vého umě</w:t>
      </w:r>
      <w:r>
        <w:rPr>
          <w:sz w:val="20"/>
          <w:szCs w:val="20"/>
        </w:rPr>
        <w:t>ní je prolnuté duchem naskrze českým, jenž našel zalíbení v jeho barevnosti i oblém tvaru. A tímto zlidověním nabylo u nás docela domovského práva. Jím se mu nazpět blížíme: kapličky, boží muka, sochy Svatých, roztroušené po všech našich krajích a zdobné v</w:t>
      </w:r>
      <w:r>
        <w:rPr>
          <w:sz w:val="20"/>
          <w:szCs w:val="20"/>
        </w:rPr>
        <w:t>ýrobky lidového řemesla zvniterňují náš poměr k jeho nejvyšším výtvorům. Jeho dědictví v nás žije, mnohdy nevědomě, podnes.</w:t>
      </w:r>
    </w:p>
    <w:p w:rsidR="00500724" w:rsidRDefault="00F30FB8">
      <w:pPr>
        <w:pStyle w:val="Zkladntext20"/>
        <w:shd w:val="clear" w:color="auto" w:fill="auto"/>
        <w:spacing w:after="40" w:line="216" w:lineRule="auto"/>
        <w:ind w:firstLine="0"/>
        <w:jc w:val="center"/>
        <w:rPr>
          <w:sz w:val="20"/>
          <w:szCs w:val="20"/>
        </w:rPr>
      </w:pPr>
      <w:r>
        <w:rPr>
          <w:sz w:val="20"/>
          <w:szCs w:val="20"/>
        </w:rPr>
        <w:t>•</w:t>
      </w:r>
    </w:p>
    <w:p w:rsidR="00500724" w:rsidRDefault="00F30FB8">
      <w:pPr>
        <w:pStyle w:val="Zkladntext20"/>
        <w:shd w:val="clear" w:color="auto" w:fill="auto"/>
        <w:spacing w:line="216" w:lineRule="auto"/>
        <w:rPr>
          <w:sz w:val="20"/>
          <w:szCs w:val="20"/>
        </w:rPr>
      </w:pPr>
      <w:r>
        <w:rPr>
          <w:sz w:val="20"/>
          <w:szCs w:val="20"/>
        </w:rPr>
        <w:t>O vzniku národního umění v plném slova smyslu se dá ovšem mluvit teprve od 19. století. A tu se nám také naskýtá ve významném rozp</w:t>
      </w:r>
      <w:r>
        <w:rPr>
          <w:sz w:val="20"/>
          <w:szCs w:val="20"/>
        </w:rPr>
        <w:t>olcení otázka umění národního a světového. Vidíme tu na jedné straně růst umění živící se z čistě domácích zdrojů, ale ne</w:t>
      </w:r>
      <w:r>
        <w:rPr>
          <w:sz w:val="20"/>
          <w:szCs w:val="20"/>
        </w:rPr>
        <w:softHyphen/>
        <w:t xml:space="preserve">dosahující obecně závažné formy, na druhé straně umění, které hledá evropskou — od počátku, ale pro nás až od poloviny 19. století to </w:t>
      </w:r>
      <w:r>
        <w:rPr>
          <w:sz w:val="20"/>
          <w:szCs w:val="20"/>
        </w:rPr>
        <w:t>znamená pařížskou — tvářnost stůj co stůj, i za cenu vzdání se vlastní oso</w:t>
      </w:r>
      <w:r>
        <w:rPr>
          <w:sz w:val="20"/>
          <w:szCs w:val="20"/>
        </w:rPr>
        <w:softHyphen/>
        <w:t>bitosti. Mezi touto dvojí krajnosti podaří se několika umělcům, kteří hledali poučení u živých proudů zá</w:t>
      </w:r>
      <w:r>
        <w:rPr>
          <w:sz w:val="20"/>
          <w:szCs w:val="20"/>
        </w:rPr>
        <w:softHyphen/>
        <w:t>padní tvorby, aniž při tom ztratili spojitost s českou půdou, synthesa domov</w:t>
      </w:r>
      <w:r>
        <w:rPr>
          <w:sz w:val="20"/>
          <w:szCs w:val="20"/>
        </w:rPr>
        <w:t>a a světa ve formě stejně spon</w:t>
      </w:r>
      <w:r>
        <w:rPr>
          <w:sz w:val="20"/>
          <w:szCs w:val="20"/>
        </w:rPr>
        <w:softHyphen/>
        <w:t>tánní jako zákonné. Spokojme se zdrželivým výběrem několika jmen, u nichž vidíme uskutečněnu tuto syn- thesu: Myslbek a Štursa; Zítek a Kotěra; Karel Pur</w:t>
      </w:r>
      <w:r>
        <w:rPr>
          <w:sz w:val="20"/>
          <w:szCs w:val="20"/>
        </w:rPr>
        <w:softHyphen/>
        <w:t>kyně, Chittussi, Slavíček, Kremlička.</w:t>
      </w:r>
    </w:p>
    <w:p w:rsidR="00500724" w:rsidRDefault="00F30FB8">
      <w:pPr>
        <w:pStyle w:val="Zkladntext20"/>
        <w:shd w:val="clear" w:color="auto" w:fill="auto"/>
        <w:spacing w:line="214" w:lineRule="auto"/>
        <w:rPr>
          <w:sz w:val="20"/>
          <w:szCs w:val="20"/>
        </w:rPr>
      </w:pPr>
      <w:r>
        <w:rPr>
          <w:sz w:val="20"/>
          <w:szCs w:val="20"/>
        </w:rPr>
        <w:t>Zdá se, že ze tří výtvarných sest</w:t>
      </w:r>
      <w:r>
        <w:rPr>
          <w:sz w:val="20"/>
          <w:szCs w:val="20"/>
        </w:rPr>
        <w:t>er malířství nejvíce odpovídá české povaze (a je to znát už v gotice a ba</w:t>
      </w:r>
      <w:r>
        <w:rPr>
          <w:sz w:val="20"/>
          <w:szCs w:val="20"/>
        </w:rPr>
        <w:softHyphen/>
        <w:t>roku). Snad nejpřirozeněji se vyžila v impresionismu, tomto nejmalířštějším ze všech směrů. Svědčí to stejně o české citovosti, již znamená tento smysl pro barvu (Němce naopak vyznač</w:t>
      </w:r>
      <w:r>
        <w:rPr>
          <w:sz w:val="20"/>
          <w:szCs w:val="20"/>
        </w:rPr>
        <w:t>uje kresebnost), jako to je v niž</w:t>
      </w:r>
      <w:r>
        <w:rPr>
          <w:sz w:val="20"/>
          <w:szCs w:val="20"/>
        </w:rPr>
        <w:softHyphen/>
        <w:t>ších polohách znamením české povrchnosti. Převažu</w:t>
      </w:r>
      <w:r>
        <w:rPr>
          <w:sz w:val="20"/>
          <w:szCs w:val="20"/>
        </w:rPr>
        <w:softHyphen/>
        <w:t>jící barevnost v sobě skrývá nebezpečí beztvarosti. Umění přísné skladby není opravdu největší naší ctností. Často nacházíme rovnováhu spíš citem než strůjným intelektem.</w:t>
      </w:r>
    </w:p>
    <w:p w:rsidR="00500724" w:rsidRDefault="00F30FB8">
      <w:pPr>
        <w:pStyle w:val="Zkladntext20"/>
        <w:shd w:val="clear" w:color="auto" w:fill="auto"/>
        <w:spacing w:line="214" w:lineRule="auto"/>
        <w:rPr>
          <w:sz w:val="20"/>
          <w:szCs w:val="20"/>
        </w:rPr>
      </w:pPr>
      <w:r>
        <w:rPr>
          <w:sz w:val="20"/>
          <w:szCs w:val="20"/>
        </w:rPr>
        <w:t>T</w:t>
      </w:r>
      <w:r>
        <w:rPr>
          <w:sz w:val="20"/>
          <w:szCs w:val="20"/>
        </w:rPr>
        <w:t>ím jsme vlastně nakousli otázku po charakteru českého umění. Co je odlišuje od výrazných stylů ji</w:t>
      </w:r>
      <w:r>
        <w:rPr>
          <w:sz w:val="20"/>
          <w:szCs w:val="20"/>
        </w:rPr>
        <w:softHyphen/>
        <w:t>ných národů — od francouzské elegance, španělské vášně, italského vokalismu, německé energie? Tyto příliš jednoduché přívlastky pokulhávají — a proto se nespo</w:t>
      </w:r>
      <w:r>
        <w:rPr>
          <w:sz w:val="20"/>
          <w:szCs w:val="20"/>
        </w:rPr>
        <w:t>kojíme jen slovem: měkkost.</w:t>
      </w:r>
    </w:p>
    <w:p w:rsidR="00500724" w:rsidRDefault="00F30FB8">
      <w:pPr>
        <w:pStyle w:val="Zkladntext20"/>
        <w:shd w:val="clear" w:color="auto" w:fill="auto"/>
        <w:spacing w:after="440" w:line="214" w:lineRule="auto"/>
        <w:rPr>
          <w:sz w:val="20"/>
          <w:szCs w:val="20"/>
        </w:rPr>
      </w:pPr>
      <w:r>
        <w:rPr>
          <w:sz w:val="20"/>
          <w:szCs w:val="20"/>
        </w:rPr>
        <w:t>Můžeme říci, že se vedle vyslovené malířskosti vy</w:t>
      </w:r>
      <w:r>
        <w:rPr>
          <w:sz w:val="20"/>
          <w:szCs w:val="20"/>
        </w:rPr>
        <w:softHyphen/>
        <w:t>značuje na jedné straně sklonem k realismu, jistou těžkopádností, jež dospívá k vážné monumentalitě, ci</w:t>
      </w:r>
      <w:r>
        <w:rPr>
          <w:sz w:val="20"/>
          <w:szCs w:val="20"/>
        </w:rPr>
        <w:softHyphen/>
        <w:t>tovou naivitou, tu bodrou, tu zatrpklou, životní poho</w:t>
      </w:r>
      <w:r>
        <w:rPr>
          <w:sz w:val="20"/>
          <w:szCs w:val="20"/>
        </w:rPr>
        <w:softHyphen/>
        <w:t xml:space="preserve">dou a mírem často </w:t>
      </w:r>
      <w:r>
        <w:rPr>
          <w:sz w:val="20"/>
          <w:szCs w:val="20"/>
        </w:rPr>
        <w:t>těžce vykupovaným; na druhé stra</w:t>
      </w:r>
      <w:r>
        <w:rPr>
          <w:sz w:val="20"/>
          <w:szCs w:val="20"/>
        </w:rPr>
        <w:softHyphen/>
        <w:t>ně ornamentálností, lyrickou a zpěvnou notou, melan</w:t>
      </w:r>
      <w:r>
        <w:rPr>
          <w:sz w:val="20"/>
          <w:szCs w:val="20"/>
        </w:rPr>
        <w:softHyphen/>
        <w:t>cholií a pohádkovou zasněností. A vždycky jakousi teplou lidskostí, která dochází výrazu i v obrazech krajin a zátiší. Často v něm nacházíme zvláštní dvoj- zvuk, podvojnos</w:t>
      </w:r>
      <w:r>
        <w:rPr>
          <w:sz w:val="20"/>
          <w:szCs w:val="20"/>
        </w:rPr>
        <w:t>t nálady připomínající krajinu po dešti, ozářenou oblačnou průrvou. Má zalíbení v kon</w:t>
      </w:r>
      <w:r>
        <w:rPr>
          <w:sz w:val="20"/>
          <w:szCs w:val="20"/>
        </w:rPr>
        <w:softHyphen/>
        <w:t>trastech spíš barevných než dramatických.</w:t>
      </w:r>
    </w:p>
    <w:p w:rsidR="00500724" w:rsidRDefault="00F30FB8">
      <w:pPr>
        <w:pStyle w:val="Zkladntext20"/>
        <w:shd w:val="clear" w:color="auto" w:fill="auto"/>
        <w:spacing w:after="380" w:line="216" w:lineRule="auto"/>
        <w:rPr>
          <w:sz w:val="20"/>
          <w:szCs w:val="20"/>
        </w:rPr>
      </w:pPr>
      <w:r>
        <w:rPr>
          <w:sz w:val="20"/>
          <w:szCs w:val="20"/>
        </w:rPr>
        <w:t>Podíváme-li se v celku na naši výtvarnou tradici, vypadá přec jen jako potrhané a kusé plátno. Chybí tu především velká slunečná</w:t>
      </w:r>
      <w:r>
        <w:rPr>
          <w:sz w:val="20"/>
          <w:szCs w:val="20"/>
        </w:rPr>
        <w:t xml:space="preserve"> skvrna renesance — me</w:t>
      </w:r>
      <w:r>
        <w:rPr>
          <w:sz w:val="20"/>
          <w:szCs w:val="20"/>
        </w:rPr>
        <w:softHyphen/>
        <w:t>zera, již pociťujeme dodnes. (Ale chybí nám oprav</w:t>
      </w:r>
      <w:r>
        <w:rPr>
          <w:sz w:val="20"/>
          <w:szCs w:val="20"/>
        </w:rPr>
        <w:softHyphen/>
        <w:t>du? Snad to je právě české, že ji nemáme.) Jde o to a půjde stále o to, zaplnit prázdná místa tohoto plát</w:t>
      </w:r>
      <w:r>
        <w:rPr>
          <w:sz w:val="20"/>
          <w:szCs w:val="20"/>
        </w:rPr>
        <w:softHyphen/>
        <w:t>na, zčásti porušeného, zčásti dosud nepokrytého, no</w:t>
      </w:r>
      <w:r>
        <w:rPr>
          <w:sz w:val="20"/>
          <w:szCs w:val="20"/>
        </w:rPr>
        <w:softHyphen/>
        <w:t>vými zářivými barvami, ro</w:t>
      </w:r>
      <w:r>
        <w:rPr>
          <w:sz w:val="20"/>
          <w:szCs w:val="20"/>
        </w:rPr>
        <w:t>zluštit smysl nečitelných míst, osvěžit to, co vyrudlo, malovat dál na tomto obraze. Neměli bychom práva mluvit o své gotice a o svém baroku, kdybychom z těchto kamenů dále ne</w:t>
      </w:r>
      <w:r>
        <w:rPr>
          <w:sz w:val="20"/>
          <w:szCs w:val="20"/>
        </w:rPr>
        <w:softHyphen/>
        <w:t>stavěli. Umělecká díla minulosti jsou mrtvá, stanou-li se výlučně předmětem věde</w:t>
      </w:r>
      <w:r>
        <w:rPr>
          <w:sz w:val="20"/>
          <w:szCs w:val="20"/>
        </w:rPr>
        <w:t>ckého studia, zajímají-li diváka víc jako historické dokumenty, než aby ho uchvacovala. Zítek, Myslbek a Švabinský nám nahra</w:t>
      </w:r>
      <w:r>
        <w:rPr>
          <w:sz w:val="20"/>
          <w:szCs w:val="20"/>
        </w:rPr>
        <w:softHyphen/>
        <w:t>zují zčásti renesanci, plníce tak úlohu, již v literatuře vykonal Vrchlický. Mánes nám činí srozumitelným ro</w:t>
      </w:r>
      <w:r>
        <w:rPr>
          <w:sz w:val="20"/>
          <w:szCs w:val="20"/>
        </w:rPr>
        <w:softHyphen/>
        <w:t>koko. V raných olejích</w:t>
      </w:r>
      <w:r>
        <w:rPr>
          <w:sz w:val="20"/>
          <w:szCs w:val="20"/>
        </w:rPr>
        <w:t xml:space="preserve"> Alšových, v obrazech šar</w:t>
      </w:r>
      <w:r>
        <w:rPr>
          <w:sz w:val="20"/>
          <w:szCs w:val="20"/>
        </w:rPr>
        <w:softHyphen/>
        <w:t>vátek a dramaticky pohnutých výjevů zní nově šero- svit, barevnost a verva barokních bitev Reinerových, tak jako v jeho kresebném díle ožívá baroko lidové. V naší době naváže Zrzavý vědomě až na třeboň</w:t>
      </w:r>
      <w:r>
        <w:rPr>
          <w:sz w:val="20"/>
          <w:szCs w:val="20"/>
        </w:rPr>
        <w:softHyphen/>
        <w:t>ského mistra. Teprve takovou</w:t>
      </w:r>
      <w:r>
        <w:rPr>
          <w:sz w:val="20"/>
          <w:szCs w:val="20"/>
        </w:rPr>
        <w:t>to neustávající tvořivou' prací si získáváme právo mluvit o českém umění. A tento úkol, prohlubovat a nově zhodnotit naši do</w:t>
      </w:r>
      <w:r>
        <w:rPr>
          <w:sz w:val="20"/>
          <w:szCs w:val="20"/>
        </w:rPr>
        <w:softHyphen/>
        <w:t>mácí tradici, zároveň s úkolem sjednotit její dnešní rozeklanost, dospět k vyrovnání domova se světem, je záležitostí našeho nového</w:t>
      </w:r>
      <w:r>
        <w:rPr>
          <w:sz w:val="20"/>
          <w:szCs w:val="20"/>
        </w:rPr>
        <w:t xml:space="preserve"> umění.</w:t>
      </w:r>
    </w:p>
    <w:p w:rsidR="00500724" w:rsidRDefault="00F30FB8">
      <w:pPr>
        <w:pStyle w:val="Zkladntext20"/>
        <w:shd w:val="clear" w:color="auto" w:fill="auto"/>
        <w:spacing w:after="200" w:line="223" w:lineRule="auto"/>
        <w:rPr>
          <w:sz w:val="20"/>
          <w:szCs w:val="20"/>
        </w:rPr>
      </w:pPr>
      <w:r>
        <w:rPr>
          <w:sz w:val="20"/>
          <w:szCs w:val="20"/>
        </w:rPr>
        <w:t>A tak otázku, kterou jsme si položili v nadpise, a kterou bychom už dnes mohli zodpovědět prostým a jasným „ano“, zodpovězme si raději silnějším kladem odpovědné víry: české umění bude.</w:t>
      </w:r>
    </w:p>
    <w:p w:rsidR="00500724" w:rsidRDefault="00F30FB8">
      <w:pPr>
        <w:pStyle w:val="Jin0"/>
        <w:pBdr>
          <w:bottom w:val="single" w:sz="4" w:space="0" w:color="auto"/>
        </w:pBdr>
        <w:shd w:val="clear" w:color="auto" w:fill="auto"/>
        <w:spacing w:after="200"/>
        <w:ind w:firstLine="0"/>
        <w:jc w:val="left"/>
        <w:rPr>
          <w:sz w:val="44"/>
          <w:szCs w:val="44"/>
        </w:rPr>
      </w:pPr>
      <w:r>
        <w:rPr>
          <w:b/>
          <w:bCs/>
          <w:sz w:val="44"/>
          <w:szCs w:val="44"/>
        </w:rPr>
        <w:t>doba a lidé</w:t>
      </w:r>
    </w:p>
    <w:p w:rsidR="00500724" w:rsidRDefault="00F30FB8">
      <w:pPr>
        <w:pStyle w:val="Zkladntext30"/>
        <w:shd w:val="clear" w:color="auto" w:fill="auto"/>
        <w:spacing w:after="0" w:line="197" w:lineRule="auto"/>
        <w:ind w:firstLine="0"/>
      </w:pPr>
      <w:r>
        <w:rPr>
          <w:i/>
          <w:iCs/>
          <w:lang w:val="en-US" w:eastAsia="en-US" w:bidi="en-US"/>
        </w:rPr>
        <w:t>J an D i d a;</w:t>
      </w:r>
    </w:p>
    <w:p w:rsidR="00500724" w:rsidRDefault="00F30FB8">
      <w:pPr>
        <w:pStyle w:val="Jin0"/>
        <w:shd w:val="clear" w:color="auto" w:fill="auto"/>
        <w:spacing w:after="120" w:line="218" w:lineRule="auto"/>
        <w:ind w:left="1240" w:right="1100" w:firstLine="120"/>
        <w:jc w:val="left"/>
        <w:rPr>
          <w:sz w:val="28"/>
          <w:szCs w:val="28"/>
        </w:rPr>
      </w:pPr>
      <w:r>
        <w:rPr>
          <w:b/>
          <w:bCs/>
          <w:sz w:val="28"/>
          <w:szCs w:val="28"/>
        </w:rPr>
        <w:t xml:space="preserve">Hora porodila myš, aneb Jak se dělá </w:t>
      </w:r>
      <w:r>
        <w:rPr>
          <w:b/>
          <w:bCs/>
          <w:sz w:val="28"/>
          <w:szCs w:val="28"/>
        </w:rPr>
        <w:t>aféra</w:t>
      </w:r>
    </w:p>
    <w:p w:rsidR="00500724" w:rsidRDefault="00F30FB8">
      <w:pPr>
        <w:pStyle w:val="Zkladntext30"/>
        <w:shd w:val="clear" w:color="auto" w:fill="auto"/>
        <w:spacing w:after="120" w:line="216" w:lineRule="auto"/>
        <w:ind w:firstLine="0"/>
        <w:jc w:val="center"/>
        <w:rPr>
          <w:sz w:val="20"/>
          <w:szCs w:val="20"/>
        </w:rPr>
      </w:pPr>
      <w:r>
        <w:rPr>
          <w:sz w:val="20"/>
          <w:szCs w:val="20"/>
        </w:rPr>
        <w:t>Začíná se raportem.</w:t>
      </w:r>
    </w:p>
    <w:p w:rsidR="00500724" w:rsidRDefault="00F30FB8">
      <w:pPr>
        <w:pStyle w:val="Zkladntext30"/>
        <w:framePr w:dropCap="drop" w:lines="2" w:hSpace="5" w:vSpace="5" w:wrap="auto" w:vAnchor="text" w:hAnchor="text"/>
        <w:shd w:val="clear" w:color="auto" w:fill="auto"/>
        <w:spacing w:line="277" w:lineRule="exact"/>
        <w:ind w:firstLine="0"/>
        <w:rPr>
          <w:sz w:val="20"/>
          <w:szCs w:val="20"/>
        </w:rPr>
      </w:pPr>
      <w:r>
        <w:rPr>
          <w:position w:val="-6"/>
          <w:sz w:val="44"/>
          <w:szCs w:val="44"/>
        </w:rPr>
        <w:t>V</w:t>
      </w:r>
    </w:p>
    <w:p w:rsidR="00500724" w:rsidRDefault="00F30FB8">
      <w:pPr>
        <w:pStyle w:val="Zkladntext30"/>
        <w:shd w:val="clear" w:color="auto" w:fill="auto"/>
        <w:spacing w:after="60" w:line="216" w:lineRule="auto"/>
        <w:ind w:firstLine="0"/>
        <w:rPr>
          <w:sz w:val="20"/>
          <w:szCs w:val="20"/>
        </w:rPr>
      </w:pPr>
      <w:r>
        <w:rPr>
          <w:sz w:val="20"/>
          <w:szCs w:val="20"/>
        </w:rPr>
        <w:t xml:space="preserve"> úterý 1. srpna, řekněme, že v pět hodin odpoledne, kdy se scházejí reportéři denních listů v žurnalis</w:t>
      </w:r>
      <w:r>
        <w:rPr>
          <w:sz w:val="20"/>
          <w:szCs w:val="20"/>
        </w:rPr>
        <w:softHyphen/>
        <w:t>tické místnosti na policejním ředitelství, se kromě ně</w:t>
      </w:r>
      <w:r>
        <w:rPr>
          <w:sz w:val="20"/>
          <w:szCs w:val="20"/>
        </w:rPr>
        <w:softHyphen/>
        <w:t>kolika jiných případů začalo mluvit také o krádeži ry</w:t>
      </w:r>
      <w:r>
        <w:rPr>
          <w:sz w:val="20"/>
          <w:szCs w:val="20"/>
        </w:rPr>
        <w:softHyphen/>
        <w:t xml:space="preserve">tin v Bubenči. </w:t>
      </w:r>
      <w:r>
        <w:rPr>
          <w:sz w:val="20"/>
          <w:szCs w:val="20"/>
        </w:rPr>
        <w:t>Možná, že to bylo takhle:</w:t>
      </w:r>
    </w:p>
    <w:p w:rsidR="00500724" w:rsidRDefault="00F30FB8">
      <w:pPr>
        <w:pStyle w:val="Zkladntext30"/>
        <w:shd w:val="clear" w:color="auto" w:fill="auto"/>
        <w:spacing w:after="120" w:line="216" w:lineRule="auto"/>
        <w:ind w:left="220" w:firstLine="220"/>
        <w:rPr>
          <w:sz w:val="20"/>
          <w:szCs w:val="20"/>
        </w:rPr>
      </w:pPr>
      <w:r>
        <w:rPr>
          <w:sz w:val="20"/>
          <w:szCs w:val="20"/>
        </w:rPr>
        <w:t>— Tak pánové, — řekl policejní úředník, — a pak tu máme ještě tuhle krádež ... Jo, jsou to nějaké ry</w:t>
      </w:r>
      <w:r>
        <w:rPr>
          <w:sz w:val="20"/>
          <w:szCs w:val="20"/>
        </w:rPr>
        <w:softHyphen/>
        <w:t>tiny ... v Bubenči ... —</w:t>
      </w:r>
    </w:p>
    <w:p w:rsidR="00500724" w:rsidRDefault="00F30FB8">
      <w:pPr>
        <w:pStyle w:val="Zkladntext30"/>
        <w:shd w:val="clear" w:color="auto" w:fill="auto"/>
        <w:spacing w:after="0" w:line="216" w:lineRule="auto"/>
        <w:ind w:firstLine="240"/>
        <w:rPr>
          <w:sz w:val="20"/>
          <w:szCs w:val="20"/>
        </w:rPr>
      </w:pPr>
      <w:r>
        <w:rPr>
          <w:sz w:val="20"/>
          <w:szCs w:val="20"/>
        </w:rPr>
        <w:t>A pak stručně a věcně pověděl, kolik toho bylo, kdo byli autoři těch rytin, komu se sbírka ztratila a ta</w:t>
      </w:r>
      <w:r>
        <w:rPr>
          <w:sz w:val="20"/>
          <w:szCs w:val="20"/>
        </w:rPr>
        <w:t xml:space="preserve">k dále, </w:t>
      </w:r>
      <w:r>
        <w:rPr>
          <w:sz w:val="20"/>
          <w:szCs w:val="20"/>
          <w:lang w:val="en-US" w:eastAsia="en-US" w:bidi="en-US"/>
        </w:rPr>
        <w:t xml:space="preserve">Hollar, </w:t>
      </w:r>
      <w:r>
        <w:rPr>
          <w:sz w:val="20"/>
          <w:szCs w:val="20"/>
        </w:rPr>
        <w:t xml:space="preserve">Dúrer, </w:t>
      </w:r>
      <w:r>
        <w:rPr>
          <w:sz w:val="20"/>
          <w:szCs w:val="20"/>
          <w:lang w:val="en-US" w:eastAsia="en-US" w:bidi="en-US"/>
        </w:rPr>
        <w:t xml:space="preserve">Van </w:t>
      </w:r>
      <w:r>
        <w:rPr>
          <w:sz w:val="20"/>
          <w:szCs w:val="20"/>
        </w:rPr>
        <w:t xml:space="preserve">Dyk, </w:t>
      </w:r>
      <w:r>
        <w:rPr>
          <w:sz w:val="20"/>
          <w:szCs w:val="20"/>
          <w:lang w:val="en-US" w:eastAsia="en-US" w:bidi="en-US"/>
        </w:rPr>
        <w:t xml:space="preserve">Lukas, Cranach, </w:t>
      </w:r>
      <w:r>
        <w:rPr>
          <w:sz w:val="20"/>
          <w:szCs w:val="20"/>
        </w:rPr>
        <w:t>ně</w:t>
      </w:r>
      <w:r>
        <w:rPr>
          <w:sz w:val="20"/>
          <w:szCs w:val="20"/>
        </w:rPr>
        <w:softHyphen/>
        <w:t xml:space="preserve">kolik jmen a několik názvů. V denních listech to ovšem vyšlo trochu zmateně, rytinu Židovská nevěsta od F. G. Schmidta přisoudili Hollarovi, v druhých už z toho udělali Únos židovské nevěsty, patrně matně </w:t>
      </w:r>
      <w:r>
        <w:rPr>
          <w:sz w:val="20"/>
          <w:szCs w:val="20"/>
        </w:rPr>
        <w:t>zaslech</w:t>
      </w:r>
      <w:r>
        <w:rPr>
          <w:sz w:val="20"/>
          <w:szCs w:val="20"/>
        </w:rPr>
        <w:softHyphen/>
        <w:t>nuvše cosi o H. S. Behamovu Únosu Heleny, ale jinak byly první zprávy o krádeži rytin celkem střízlivé.</w:t>
      </w:r>
    </w:p>
    <w:p w:rsidR="00500724" w:rsidRDefault="00F30FB8">
      <w:pPr>
        <w:pStyle w:val="Zkladntext30"/>
        <w:shd w:val="clear" w:color="auto" w:fill="auto"/>
        <w:spacing w:after="0" w:line="216" w:lineRule="auto"/>
        <w:ind w:firstLine="240"/>
        <w:rPr>
          <w:sz w:val="20"/>
          <w:szCs w:val="20"/>
        </w:rPr>
      </w:pPr>
      <w:r>
        <w:rPr>
          <w:sz w:val="20"/>
          <w:szCs w:val="20"/>
        </w:rPr>
        <w:t xml:space="preserve">Kdo zná tempo redakční práce, ví, že lokální </w:t>
      </w:r>
      <w:r>
        <w:rPr>
          <w:sz w:val="20"/>
          <w:szCs w:val="20"/>
          <w:lang w:val="en-US" w:eastAsia="en-US" w:bidi="en-US"/>
        </w:rPr>
        <w:t>repor</w:t>
      </w:r>
      <w:r>
        <w:rPr>
          <w:sz w:val="20"/>
          <w:szCs w:val="20"/>
          <w:lang w:val="en-US" w:eastAsia="en-US" w:bidi="en-US"/>
        </w:rPr>
        <w:softHyphen/>
        <w:t xml:space="preserve">ter </w:t>
      </w:r>
      <w:r>
        <w:rPr>
          <w:sz w:val="20"/>
          <w:szCs w:val="20"/>
        </w:rPr>
        <w:t>nemůže jít za každým případem na místo činu, že prostě fysicky nestačí zvládnout práci, k</w:t>
      </w:r>
      <w:r>
        <w:rPr>
          <w:sz w:val="20"/>
          <w:szCs w:val="20"/>
        </w:rPr>
        <w:t>terá by se na něho navalila, osobním vyšetřováním všech příhod, o nichž se doví. Policejní raporty jsou lakonicky přes</w:t>
      </w:r>
      <w:r>
        <w:rPr>
          <w:sz w:val="20"/>
          <w:szCs w:val="20"/>
        </w:rPr>
        <w:softHyphen/>
        <w:t>né a kdo se jich drží, nechybí. Aspoň nepřestřelí, když už nic jiného, a nevyrobí z komára velblouda.</w:t>
      </w:r>
    </w:p>
    <w:p w:rsidR="00500724" w:rsidRDefault="00F30FB8">
      <w:pPr>
        <w:pStyle w:val="Zkladntext30"/>
        <w:shd w:val="clear" w:color="auto" w:fill="auto"/>
        <w:spacing w:after="0" w:line="216" w:lineRule="auto"/>
        <w:ind w:firstLine="240"/>
        <w:rPr>
          <w:sz w:val="20"/>
          <w:szCs w:val="20"/>
        </w:rPr>
      </w:pPr>
      <w:r>
        <w:rPr>
          <w:sz w:val="20"/>
          <w:szCs w:val="20"/>
        </w:rPr>
        <w:t xml:space="preserve">Ale tento případ sliboval sensaci. — Pane, — řekl si třebas </w:t>
      </w:r>
      <w:r>
        <w:rPr>
          <w:sz w:val="20"/>
          <w:szCs w:val="20"/>
          <w:lang w:val="en-US" w:eastAsia="en-US" w:bidi="en-US"/>
        </w:rPr>
        <w:t xml:space="preserve">reporter, </w:t>
      </w:r>
      <w:r>
        <w:rPr>
          <w:sz w:val="20"/>
          <w:szCs w:val="20"/>
        </w:rPr>
        <w:t>— Dúrer, Dúrer, to jméno už jsme tu měli... —</w:t>
      </w:r>
    </w:p>
    <w:p w:rsidR="00500724" w:rsidRDefault="00F30FB8">
      <w:pPr>
        <w:pStyle w:val="Zkladntext30"/>
        <w:shd w:val="clear" w:color="auto" w:fill="auto"/>
        <w:spacing w:after="60" w:line="216" w:lineRule="auto"/>
        <w:ind w:firstLine="240"/>
        <w:rPr>
          <w:sz w:val="20"/>
          <w:szCs w:val="20"/>
        </w:rPr>
      </w:pPr>
      <w:r>
        <w:rPr>
          <w:sz w:val="20"/>
          <w:szCs w:val="20"/>
        </w:rPr>
        <w:t>Ano, měli, jednou se kupoval Dúrerův obraz Rů</w:t>
      </w:r>
      <w:r>
        <w:rPr>
          <w:sz w:val="20"/>
          <w:szCs w:val="20"/>
        </w:rPr>
        <w:softHyphen/>
        <w:t>žencová slavnost a mělo to stát moc peněz... Takhle asi uvažovali reportéři, kteří si chtěli z</w:t>
      </w:r>
      <w:r>
        <w:rPr>
          <w:sz w:val="20"/>
          <w:szCs w:val="20"/>
        </w:rPr>
        <w:t>pestřit suchou policejní relaci. A tak z vlastní píle za redakčním sto</w:t>
      </w:r>
      <w:r>
        <w:rPr>
          <w:sz w:val="20"/>
          <w:szCs w:val="20"/>
        </w:rPr>
        <w:softHyphen/>
        <w:t>lem vytvořili tyto samostatné úvahy a dodatky:</w:t>
      </w:r>
    </w:p>
    <w:p w:rsidR="00500724" w:rsidRDefault="00F30FB8">
      <w:pPr>
        <w:pStyle w:val="Zkladntext30"/>
        <w:shd w:val="clear" w:color="auto" w:fill="auto"/>
        <w:spacing w:after="120" w:line="202" w:lineRule="auto"/>
        <w:ind w:left="220" w:firstLine="220"/>
      </w:pPr>
      <w:r>
        <w:rPr>
          <w:i/>
          <w:iCs/>
        </w:rPr>
        <w:t>... podle jmen umělců, od nichž tato díla pochá</w:t>
      </w:r>
      <w:r>
        <w:rPr>
          <w:i/>
          <w:iCs/>
        </w:rPr>
        <w:softHyphen/>
        <w:t>zejí, lze míti za to, že jde o hodnoty statisícové ...</w:t>
      </w:r>
    </w:p>
    <w:p w:rsidR="00500724" w:rsidRDefault="00F30FB8">
      <w:pPr>
        <w:pStyle w:val="Zkladntext30"/>
        <w:shd w:val="clear" w:color="auto" w:fill="auto"/>
        <w:spacing w:line="216" w:lineRule="auto"/>
        <w:ind w:firstLine="240"/>
        <w:rPr>
          <w:sz w:val="20"/>
          <w:szCs w:val="20"/>
        </w:rPr>
      </w:pPr>
      <w:r>
        <w:rPr>
          <w:sz w:val="20"/>
          <w:szCs w:val="20"/>
        </w:rPr>
        <w:t>Jiný novinář, zřejmě s fabulačním t</w:t>
      </w:r>
      <w:r>
        <w:rPr>
          <w:sz w:val="20"/>
          <w:szCs w:val="20"/>
        </w:rPr>
        <w:t>alentem a sklony, si přidal:</w:t>
      </w:r>
    </w:p>
    <w:p w:rsidR="00500724" w:rsidRDefault="00F30FB8">
      <w:pPr>
        <w:pStyle w:val="Zkladntext30"/>
        <w:shd w:val="clear" w:color="auto" w:fill="auto"/>
        <w:spacing w:after="120" w:line="197" w:lineRule="auto"/>
        <w:ind w:left="220" w:firstLine="220"/>
      </w:pPr>
      <w:r>
        <w:rPr>
          <w:i/>
          <w:iCs/>
        </w:rPr>
        <w:t>... dnes dopoledne procházeli Prahou detektivové zřejmě rozrušeni a varovali obchodníky se starými kovy(?) a obchodníky s uměleckými předměty... aby nekupovali rytiny v mědi ...</w:t>
      </w:r>
    </w:p>
    <w:p w:rsidR="00500724" w:rsidRDefault="00F30FB8">
      <w:pPr>
        <w:pStyle w:val="Zkladntext30"/>
        <w:shd w:val="clear" w:color="auto" w:fill="auto"/>
        <w:spacing w:after="60"/>
        <w:ind w:firstLine="240"/>
        <w:rPr>
          <w:sz w:val="20"/>
          <w:szCs w:val="20"/>
        </w:rPr>
      </w:pPr>
      <w:r>
        <w:rPr>
          <w:sz w:val="20"/>
          <w:szCs w:val="20"/>
        </w:rPr>
        <w:t>Podle zmínky o obchodnících s kovy se novinář pa</w:t>
      </w:r>
      <w:r>
        <w:rPr>
          <w:sz w:val="20"/>
          <w:szCs w:val="20"/>
        </w:rPr>
        <w:softHyphen/>
      </w:r>
      <w:r>
        <w:rPr>
          <w:sz w:val="20"/>
          <w:szCs w:val="20"/>
        </w:rPr>
        <w:t>trně domníval, že mědirytina musí být měděná a jako taková spadat do kompetence obchodů se starým ko</w:t>
      </w:r>
      <w:r>
        <w:rPr>
          <w:sz w:val="20"/>
          <w:szCs w:val="20"/>
        </w:rPr>
        <w:softHyphen/>
        <w:t xml:space="preserve">vem. O několik řádek níže týž </w:t>
      </w:r>
      <w:r>
        <w:rPr>
          <w:sz w:val="20"/>
          <w:szCs w:val="20"/>
          <w:lang w:val="en-US" w:eastAsia="en-US" w:bidi="en-US"/>
        </w:rPr>
        <w:t xml:space="preserve">reporter </w:t>
      </w:r>
      <w:r>
        <w:rPr>
          <w:sz w:val="20"/>
          <w:szCs w:val="20"/>
        </w:rPr>
        <w:t>uvádí:</w:t>
      </w:r>
    </w:p>
    <w:p w:rsidR="00500724" w:rsidRDefault="00F30FB8">
      <w:pPr>
        <w:pStyle w:val="Zkladntext30"/>
        <w:shd w:val="clear" w:color="auto" w:fill="auto"/>
        <w:spacing w:after="120" w:line="192" w:lineRule="auto"/>
        <w:ind w:left="220" w:firstLine="220"/>
      </w:pPr>
      <w:r>
        <w:rPr>
          <w:i/>
          <w:iCs/>
        </w:rPr>
        <w:t>... byla to vzácná sbírka, na kterou obětoval celé své jmění ...</w:t>
      </w:r>
    </w:p>
    <w:p w:rsidR="00500724" w:rsidRDefault="00F30FB8">
      <w:pPr>
        <w:pStyle w:val="Zkladntext30"/>
        <w:shd w:val="clear" w:color="auto" w:fill="auto"/>
        <w:spacing w:after="60" w:line="216" w:lineRule="auto"/>
        <w:ind w:firstLine="240"/>
        <w:rPr>
          <w:sz w:val="20"/>
          <w:szCs w:val="20"/>
        </w:rPr>
      </w:pPr>
      <w:r>
        <w:rPr>
          <w:sz w:val="20"/>
          <w:szCs w:val="20"/>
        </w:rPr>
        <w:t xml:space="preserve">Primát ovšem získal lokální </w:t>
      </w:r>
      <w:r>
        <w:rPr>
          <w:sz w:val="20"/>
          <w:szCs w:val="20"/>
          <w:lang w:val="en-US" w:eastAsia="en-US" w:bidi="en-US"/>
        </w:rPr>
        <w:t xml:space="preserve">reporter </w:t>
      </w:r>
      <w:r>
        <w:rPr>
          <w:sz w:val="20"/>
          <w:szCs w:val="20"/>
        </w:rPr>
        <w:t>nejmladšího pražského deníku, který do té věci tak říkajíc švihl svým bystrým perem:</w:t>
      </w:r>
    </w:p>
    <w:p w:rsidR="00500724" w:rsidRDefault="00F30FB8">
      <w:pPr>
        <w:pStyle w:val="Zkladntext30"/>
        <w:shd w:val="clear" w:color="auto" w:fill="auto"/>
        <w:spacing w:after="80" w:line="199" w:lineRule="auto"/>
        <w:ind w:left="220" w:firstLine="220"/>
      </w:pPr>
      <w:r>
        <w:rPr>
          <w:i/>
          <w:iCs/>
        </w:rPr>
        <w:t>— Škoda je odhadnuta na 10.000 korun ... Tento odhad škody je na celé zprávě nejzajímavější. Do</w:t>
      </w:r>
      <w:r>
        <w:rPr>
          <w:i/>
          <w:iCs/>
        </w:rPr>
        <w:softHyphen/>
        <w:t>pátrali jsme se, že se díla ztratila jistému pensiono- vanému sekčnímu šéfo</w:t>
      </w:r>
      <w:r>
        <w:rPr>
          <w:i/>
          <w:iCs/>
        </w:rPr>
        <w:t>vi, čímž rázem vyhlíží celý</w:t>
      </w:r>
    </w:p>
    <w:p w:rsidR="00500724" w:rsidRDefault="00F30FB8">
      <w:pPr>
        <w:pStyle w:val="Zkladntext30"/>
        <w:shd w:val="clear" w:color="auto" w:fill="auto"/>
        <w:spacing w:after="120" w:line="197" w:lineRule="auto"/>
        <w:ind w:left="220" w:firstLine="40"/>
      </w:pPr>
      <w:r>
        <w:rPr>
          <w:i/>
          <w:iCs/>
        </w:rPr>
        <w:t xml:space="preserve">případ ještě tajemněji. Je vyloučeno, aby Dúrer, </w:t>
      </w:r>
      <w:r>
        <w:rPr>
          <w:i/>
          <w:iCs/>
          <w:lang w:val="en-US" w:eastAsia="en-US" w:bidi="en-US"/>
        </w:rPr>
        <w:t>Hol</w:t>
      </w:r>
      <w:r>
        <w:rPr>
          <w:i/>
          <w:iCs/>
          <w:lang w:val="en-US" w:eastAsia="en-US" w:bidi="en-US"/>
        </w:rPr>
        <w:softHyphen/>
        <w:t xml:space="preserve">lar, </w:t>
      </w:r>
      <w:r>
        <w:rPr>
          <w:i/>
          <w:iCs/>
        </w:rPr>
        <w:t xml:space="preserve">Gebée, </w:t>
      </w:r>
      <w:r>
        <w:rPr>
          <w:i/>
          <w:iCs/>
          <w:lang w:val="en-US" w:eastAsia="en-US" w:bidi="en-US"/>
        </w:rPr>
        <w:t xml:space="preserve">Cranach </w:t>
      </w:r>
      <w:r>
        <w:rPr>
          <w:i/>
          <w:iCs/>
        </w:rPr>
        <w:t>a jiní mohli býti, jde-li opravdu o originály, odhadnuti na mizerných pár tisícovek. Jednotlivé originály těchto mistrů mají samy větší, cenu. Je tedy s po</w:t>
      </w:r>
      <w:r>
        <w:rPr>
          <w:i/>
          <w:iCs/>
        </w:rPr>
        <w:t>divem, že to pan sekční šéf neví, když tak nízko může zmizelá vzácná díla hodnotiti. Prý je dostal darem. Hm...</w:t>
      </w:r>
    </w:p>
    <w:p w:rsidR="00500724" w:rsidRDefault="00F30FB8">
      <w:pPr>
        <w:pStyle w:val="Zkladntext30"/>
        <w:shd w:val="clear" w:color="auto" w:fill="auto"/>
        <w:spacing w:after="160"/>
        <w:rPr>
          <w:sz w:val="20"/>
          <w:szCs w:val="20"/>
        </w:rPr>
      </w:pPr>
      <w:r>
        <w:rPr>
          <w:sz w:val="20"/>
          <w:szCs w:val="20"/>
        </w:rPr>
        <w:t xml:space="preserve">Tímto citoslovcem, vysloveným s tajemně sevřenými rty, si nechal </w:t>
      </w:r>
      <w:r>
        <w:rPr>
          <w:sz w:val="20"/>
          <w:szCs w:val="20"/>
          <w:lang w:val="en-US" w:eastAsia="en-US" w:bidi="en-US"/>
        </w:rPr>
        <w:t xml:space="preserve">reporter </w:t>
      </w:r>
      <w:r>
        <w:rPr>
          <w:sz w:val="20"/>
          <w:szCs w:val="20"/>
        </w:rPr>
        <w:t>otevřenou cestu pro příští kapi</w:t>
      </w:r>
      <w:r>
        <w:rPr>
          <w:sz w:val="20"/>
          <w:szCs w:val="20"/>
        </w:rPr>
        <w:softHyphen/>
        <w:t>toly a příští dny.</w:t>
      </w:r>
    </w:p>
    <w:p w:rsidR="00500724" w:rsidRDefault="00F30FB8">
      <w:pPr>
        <w:pStyle w:val="Zkladntext30"/>
        <w:shd w:val="clear" w:color="auto" w:fill="auto"/>
        <w:ind w:firstLine="0"/>
        <w:jc w:val="center"/>
        <w:rPr>
          <w:sz w:val="20"/>
          <w:szCs w:val="20"/>
        </w:rPr>
      </w:pPr>
      <w:r>
        <w:rPr>
          <w:sz w:val="20"/>
          <w:szCs w:val="20"/>
        </w:rPr>
        <w:t>Když není do čeho p</w:t>
      </w:r>
      <w:r>
        <w:rPr>
          <w:sz w:val="20"/>
          <w:szCs w:val="20"/>
        </w:rPr>
        <w:t>íchnout,</w:t>
      </w:r>
    </w:p>
    <w:p w:rsidR="00500724" w:rsidRDefault="00F30FB8">
      <w:pPr>
        <w:pStyle w:val="Zkladntext30"/>
        <w:shd w:val="clear" w:color="auto" w:fill="auto"/>
        <w:rPr>
          <w:sz w:val="20"/>
          <w:szCs w:val="20"/>
        </w:rPr>
      </w:pPr>
      <w:r>
        <w:rPr>
          <w:sz w:val="20"/>
          <w:szCs w:val="20"/>
        </w:rPr>
        <w:t>Notoricky známou, dokonce v anekdotách protřepa- nou skutečností jest, abychom tak řekli, nedostatek zpráv a mizivé množství materiálu pro noviny v měsí</w:t>
      </w:r>
      <w:r>
        <w:rPr>
          <w:sz w:val="20"/>
          <w:szCs w:val="20"/>
        </w:rPr>
        <w:softHyphen/>
        <w:t>cích prázdninových. Holá, a tady je najednou přípádek, který se dá natáhnout na několik pokrač</w:t>
      </w:r>
      <w:r>
        <w:rPr>
          <w:sz w:val="20"/>
          <w:szCs w:val="20"/>
        </w:rPr>
        <w:t>ování, podliti novou vodou, opepřiti tajemností, pikantně přikořeniti skrytým útkem a dohadem a tak dále. Druhý den se tedy v případu rytin zdárně pokračovalo. Něco tu ne</w:t>
      </w:r>
      <w:r>
        <w:rPr>
          <w:sz w:val="20"/>
          <w:szCs w:val="20"/>
        </w:rPr>
        <w:softHyphen/>
        <w:t>klape, řekli si reportéři, a někteří to týmiž slovy na</w:t>
      </w:r>
      <w:r>
        <w:rPr>
          <w:sz w:val="20"/>
          <w:szCs w:val="20"/>
        </w:rPr>
        <w:softHyphen/>
        <w:t>psali do svých zpráv:</w:t>
      </w:r>
    </w:p>
    <w:p w:rsidR="00500724" w:rsidRDefault="00F30FB8">
      <w:pPr>
        <w:pStyle w:val="Zkladntext30"/>
        <w:shd w:val="clear" w:color="auto" w:fill="auto"/>
        <w:spacing w:after="120" w:line="197" w:lineRule="auto"/>
        <w:ind w:left="220" w:firstLine="240"/>
      </w:pPr>
      <w:r>
        <w:rPr>
          <w:i/>
          <w:iCs/>
        </w:rPr>
        <w:t>— Rozhod</w:t>
      </w:r>
      <w:r>
        <w:rPr>
          <w:i/>
          <w:iCs/>
        </w:rPr>
        <w:t>ně tu něco neklape. Buď to byly oby</w:t>
      </w:r>
      <w:r>
        <w:rPr>
          <w:i/>
          <w:iCs/>
        </w:rPr>
        <w:softHyphen/>
        <w:t>čejné rytiny po 200 korunách a jejich cena je tedy potom ještě problematičtější, a rozhodně nestojí za to, takovou věcí obtěžovat naše úřady, nebo obrazy měly skutečně statisícovou cenu a někdo má zájem na tom, aby úřady</w:t>
      </w:r>
      <w:r>
        <w:rPr>
          <w:i/>
          <w:iCs/>
        </w:rPr>
        <w:t xml:space="preserve"> nevěděly skutečnou cenu vzácných obrazů. —</w:t>
      </w:r>
    </w:p>
    <w:p w:rsidR="00500724" w:rsidRDefault="00F30FB8">
      <w:pPr>
        <w:pStyle w:val="Zkladntext30"/>
        <w:shd w:val="clear" w:color="auto" w:fill="auto"/>
        <w:spacing w:after="0" w:line="216" w:lineRule="auto"/>
        <w:rPr>
          <w:sz w:val="20"/>
          <w:szCs w:val="20"/>
        </w:rPr>
      </w:pPr>
      <w:r>
        <w:rPr>
          <w:sz w:val="20"/>
          <w:szCs w:val="20"/>
        </w:rPr>
        <w:t>Tento novinář tedy v nedostatku zpráv začal u stolu vyrábět aféru. Buďto ... anebo. Buďto krádež za 10.000 korun — to je ovšem pro reportéra lapálie — s kterou se patrně na policii nehodí, nebo se kují pikle .Mám</w:t>
      </w:r>
      <w:r>
        <w:rPr>
          <w:sz w:val="20"/>
          <w:szCs w:val="20"/>
        </w:rPr>
        <w:t xml:space="preserve"> za to, že mnohý čtenář, třebas rámařský dělník nebo sklenář, uhodil svými novinami o stůl a řekl si:</w:t>
      </w:r>
    </w:p>
    <w:p w:rsidR="00500724" w:rsidRDefault="00F30FB8">
      <w:pPr>
        <w:pStyle w:val="Zkladntext30"/>
        <w:shd w:val="clear" w:color="auto" w:fill="auto"/>
        <w:spacing w:after="0" w:line="216" w:lineRule="auto"/>
        <w:rPr>
          <w:sz w:val="20"/>
          <w:szCs w:val="20"/>
        </w:rPr>
      </w:pPr>
      <w:r>
        <w:rPr>
          <w:sz w:val="20"/>
          <w:szCs w:val="20"/>
        </w:rPr>
        <w:t>— Tak sakra, byly to rytiny nebo obrazy? —</w:t>
      </w:r>
    </w:p>
    <w:p w:rsidR="00500724" w:rsidRDefault="00F30FB8">
      <w:pPr>
        <w:pStyle w:val="Zkladntext30"/>
        <w:shd w:val="clear" w:color="auto" w:fill="auto"/>
        <w:spacing w:line="216" w:lineRule="auto"/>
        <w:rPr>
          <w:sz w:val="20"/>
          <w:szCs w:val="20"/>
        </w:rPr>
      </w:pPr>
      <w:r>
        <w:rPr>
          <w:sz w:val="20"/>
          <w:szCs w:val="20"/>
        </w:rPr>
        <w:t xml:space="preserve">Novinář si tuto otázku patrně rovněž položil, ale pak na to pozapomněl. Anebo si řekl: Obraz jako obraz, a </w:t>
      </w:r>
      <w:r>
        <w:rPr>
          <w:sz w:val="20"/>
          <w:szCs w:val="20"/>
        </w:rPr>
        <w:t>chutě namočil pero, aby to, lidově a novinářsky řečeno, rozšlápl...</w:t>
      </w:r>
    </w:p>
    <w:p w:rsidR="00500724" w:rsidRDefault="00F30FB8">
      <w:pPr>
        <w:pStyle w:val="Zkladntext30"/>
        <w:shd w:val="clear" w:color="auto" w:fill="auto"/>
        <w:ind w:firstLine="0"/>
        <w:jc w:val="center"/>
        <w:rPr>
          <w:sz w:val="20"/>
          <w:szCs w:val="20"/>
        </w:rPr>
      </w:pPr>
      <w:r>
        <w:rPr>
          <w:b/>
          <w:bCs/>
          <w:sz w:val="20"/>
          <w:szCs w:val="20"/>
        </w:rPr>
        <w:t>Občánek spekuluje...</w:t>
      </w:r>
    </w:p>
    <w:p w:rsidR="00500724" w:rsidRDefault="00F30FB8">
      <w:pPr>
        <w:pStyle w:val="Zkladntext30"/>
        <w:shd w:val="clear" w:color="auto" w:fill="auto"/>
        <w:spacing w:after="0"/>
        <w:rPr>
          <w:sz w:val="20"/>
          <w:szCs w:val="20"/>
        </w:rPr>
      </w:pPr>
      <w:r>
        <w:rPr>
          <w:sz w:val="20"/>
          <w:szCs w:val="20"/>
        </w:rPr>
        <w:t>Podívejme se teď na laskavého čtenáře denních no</w:t>
      </w:r>
      <w:r>
        <w:rPr>
          <w:sz w:val="20"/>
          <w:szCs w:val="20"/>
        </w:rPr>
        <w:softHyphen/>
        <w:t>vin. (Buďte klidni, čtenáři věří novinám tak na 30 pro</w:t>
      </w:r>
      <w:r>
        <w:rPr>
          <w:sz w:val="20"/>
          <w:szCs w:val="20"/>
        </w:rPr>
        <w:softHyphen/>
        <w:t xml:space="preserve">cent, víc toho nebude.) Řekněme, že pan Křivonoska, natěrač a </w:t>
      </w:r>
      <w:r>
        <w:rPr>
          <w:sz w:val="20"/>
          <w:szCs w:val="20"/>
        </w:rPr>
        <w:t>malíř písma, má takovou soukromou vášeň a sbírá rytiny. Příležitostně, toť se ví. Tuhle a tamhle se něco koupí na aukci, u starožitníka nebo pod rukou. Filatelisté mívají doma katalog známek, sběratel rytin (a těmi nejsou jen sekční šéfové) zase katalogy a</w:t>
      </w:r>
      <w:r>
        <w:rPr>
          <w:sz w:val="20"/>
          <w:szCs w:val="20"/>
        </w:rPr>
        <w:t>ukcí. I vzal si pan Křivonoska jeden katalog a hledal. Aha, tuhle to je, katalog Hollsteina a Puppla z Berlína..*</w:t>
      </w:r>
    </w:p>
    <w:p w:rsidR="00500724" w:rsidRDefault="00F30FB8">
      <w:pPr>
        <w:pStyle w:val="Zkladntext30"/>
        <w:shd w:val="clear" w:color="auto" w:fill="auto"/>
        <w:rPr>
          <w:sz w:val="20"/>
          <w:szCs w:val="20"/>
        </w:rPr>
      </w:pPr>
      <w:r>
        <w:rPr>
          <w:sz w:val="20"/>
          <w:szCs w:val="20"/>
        </w:rPr>
        <w:t>Hbitě zalistoval a na jedné straně našel údaj:</w:t>
      </w:r>
    </w:p>
    <w:p w:rsidR="00500724" w:rsidRDefault="00F30FB8">
      <w:pPr>
        <w:pStyle w:val="Zkladntext30"/>
        <w:shd w:val="clear" w:color="auto" w:fill="auto"/>
        <w:tabs>
          <w:tab w:val="left" w:leader="dot" w:pos="3897"/>
        </w:tabs>
        <w:ind w:left="220" w:firstLine="240"/>
      </w:pPr>
      <w:r>
        <w:rPr>
          <w:i/>
          <w:iCs/>
          <w:sz w:val="20"/>
          <w:szCs w:val="20"/>
        </w:rPr>
        <w:t xml:space="preserve">V. </w:t>
      </w:r>
      <w:r>
        <w:rPr>
          <w:i/>
          <w:iCs/>
          <w:lang w:val="en-US" w:eastAsia="en-US" w:bidi="en-US"/>
        </w:rPr>
        <w:t xml:space="preserve">Hollar, Max Holbein, </w:t>
      </w:r>
      <w:r>
        <w:rPr>
          <w:i/>
          <w:iCs/>
        </w:rPr>
        <w:t>I. Ětat,</w:t>
      </w:r>
      <w:r>
        <w:rPr>
          <w:i/>
          <w:iCs/>
        </w:rPr>
        <w:tab/>
        <w:t>30 RM,</w:t>
      </w:r>
    </w:p>
    <w:p w:rsidR="00500724" w:rsidRDefault="00F30FB8">
      <w:pPr>
        <w:pStyle w:val="Zkladntext30"/>
        <w:shd w:val="clear" w:color="auto" w:fill="auto"/>
        <w:spacing w:after="80" w:line="216" w:lineRule="auto"/>
        <w:ind w:firstLine="0"/>
        <w:rPr>
          <w:sz w:val="20"/>
          <w:szCs w:val="20"/>
        </w:rPr>
      </w:pPr>
      <w:r>
        <w:rPr>
          <w:sz w:val="20"/>
          <w:szCs w:val="20"/>
        </w:rPr>
        <w:t>do lidské řeči přeloženo: Hollarova rytina Holbeinova p</w:t>
      </w:r>
      <w:r>
        <w:rPr>
          <w:sz w:val="20"/>
          <w:szCs w:val="20"/>
        </w:rPr>
        <w:t>ortrétu stála v Berlíně na aukci 30 marek, přepočítáno dnešním způsobem, 300 korun. A přece je to opravdu a na mou duši Hollarova rytina a dokonce I. État, po našem řekněme první šichta, jeden z nejlepších a prvních otisků měděné desky, do níž umělec vyryl</w:t>
      </w:r>
      <w:r>
        <w:rPr>
          <w:sz w:val="20"/>
          <w:szCs w:val="20"/>
        </w:rPr>
        <w:t xml:space="preserve"> ne</w:t>
      </w:r>
      <w:r>
        <w:rPr>
          <w:sz w:val="20"/>
          <w:szCs w:val="20"/>
        </w:rPr>
        <w:softHyphen/>
        <w:t>gativ svého díla. Řekněme, že z té první edice vyšlo 100 tisků; mohlo jich vyjít také SOO nebo ještě víc. Po čase buď umělec sám nebo třebas i někdo druhý, kdo získal negativ, nakladatel, vydá II. État, někdy pak dokonce i III. Tohle pan Křivonoska ví,</w:t>
      </w:r>
      <w:r>
        <w:rPr>
          <w:sz w:val="20"/>
          <w:szCs w:val="20"/>
        </w:rPr>
        <w:t xml:space="preserve"> protože je to jeho koníček. Pan redaktor, který hamletovsky rozva</w:t>
      </w:r>
      <w:r>
        <w:rPr>
          <w:sz w:val="20"/>
          <w:szCs w:val="20"/>
        </w:rPr>
        <w:softHyphen/>
        <w:t>žoval, jak to vlastně s těmi rytinami je, to nevěděl. Bože, Bože, co jen si o něm pan Křivonoska v tu ránu pomyslil...</w:t>
      </w:r>
    </w:p>
    <w:p w:rsidR="00500724" w:rsidRDefault="00F30FB8">
      <w:pPr>
        <w:pStyle w:val="Zkladntext30"/>
        <w:shd w:val="clear" w:color="auto" w:fill="auto"/>
        <w:spacing w:after="80" w:line="216" w:lineRule="auto"/>
        <w:ind w:firstLine="0"/>
        <w:jc w:val="center"/>
        <w:rPr>
          <w:sz w:val="20"/>
          <w:szCs w:val="20"/>
        </w:rPr>
      </w:pPr>
      <w:r>
        <w:rPr>
          <w:sz w:val="20"/>
          <w:szCs w:val="20"/>
        </w:rPr>
        <w:t>Nač je v redakcích telefon.</w:t>
      </w:r>
    </w:p>
    <w:p w:rsidR="00500724" w:rsidRDefault="00F30FB8">
      <w:pPr>
        <w:pStyle w:val="Zkladntext30"/>
        <w:shd w:val="clear" w:color="auto" w:fill="auto"/>
        <w:spacing w:after="0" w:line="216" w:lineRule="auto"/>
        <w:ind w:firstLine="220"/>
        <w:rPr>
          <w:sz w:val="20"/>
          <w:szCs w:val="20"/>
        </w:rPr>
      </w:pPr>
      <w:r>
        <w:rPr>
          <w:sz w:val="20"/>
          <w:szCs w:val="20"/>
        </w:rPr>
        <w:t>Zpravidla na to, aby se jeden zeptal, když</w:t>
      </w:r>
      <w:r>
        <w:rPr>
          <w:sz w:val="20"/>
          <w:szCs w:val="20"/>
        </w:rPr>
        <w:t xml:space="preserve"> něco neví. Neboť ani novinář není neomylný. Rovněž je těžké být polyhistorem. I vezme novinář seznam a řekne si:</w:t>
      </w:r>
    </w:p>
    <w:p w:rsidR="00500724" w:rsidRDefault="00F30FB8">
      <w:pPr>
        <w:pStyle w:val="Zkladntext30"/>
        <w:numPr>
          <w:ilvl w:val="0"/>
          <w:numId w:val="105"/>
        </w:numPr>
        <w:shd w:val="clear" w:color="auto" w:fill="auto"/>
        <w:tabs>
          <w:tab w:val="left" w:pos="342"/>
        </w:tabs>
        <w:spacing w:after="0" w:line="216" w:lineRule="auto"/>
        <w:ind w:firstLine="0"/>
        <w:rPr>
          <w:sz w:val="20"/>
          <w:szCs w:val="20"/>
        </w:rPr>
      </w:pPr>
      <w:r>
        <w:rPr>
          <w:sz w:val="20"/>
          <w:szCs w:val="20"/>
        </w:rPr>
        <w:t>Tak tady v Praze je jakýsi pan Jan Štenc, grafik. To jméno je totiž notoricky známo, doufám, i mezi novináři. I zavolal by si pana Štence a ze</w:t>
      </w:r>
      <w:r>
        <w:rPr>
          <w:sz w:val="20"/>
          <w:szCs w:val="20"/>
        </w:rPr>
        <w:t>ptal by se ho:</w:t>
      </w:r>
    </w:p>
    <w:p w:rsidR="00500724" w:rsidRDefault="00F30FB8">
      <w:pPr>
        <w:pStyle w:val="Zkladntext30"/>
        <w:numPr>
          <w:ilvl w:val="0"/>
          <w:numId w:val="105"/>
        </w:numPr>
        <w:shd w:val="clear" w:color="auto" w:fill="auto"/>
        <w:tabs>
          <w:tab w:val="left" w:pos="361"/>
        </w:tabs>
        <w:spacing w:after="0" w:line="216" w:lineRule="auto"/>
        <w:ind w:firstLine="0"/>
        <w:rPr>
          <w:sz w:val="20"/>
          <w:szCs w:val="20"/>
        </w:rPr>
      </w:pPr>
      <w:r>
        <w:rPr>
          <w:sz w:val="20"/>
          <w:szCs w:val="20"/>
        </w:rPr>
        <w:t>Prosím vás, co tak může stát Dúrerova rytina? —■ Pan Štenc to jistě ví, pracuje v tom oboru mnoho let. Bud’ by to řekl zpaměti, nebo by se někam podíval a pověděl:</w:t>
      </w:r>
    </w:p>
    <w:p w:rsidR="00500724" w:rsidRDefault="00F30FB8">
      <w:pPr>
        <w:pStyle w:val="Zkladntext30"/>
        <w:numPr>
          <w:ilvl w:val="0"/>
          <w:numId w:val="105"/>
        </w:numPr>
        <w:shd w:val="clear" w:color="auto" w:fill="auto"/>
        <w:tabs>
          <w:tab w:val="left" w:pos="548"/>
        </w:tabs>
        <w:spacing w:after="0" w:line="216" w:lineRule="auto"/>
        <w:ind w:firstLine="220"/>
        <w:rPr>
          <w:sz w:val="20"/>
          <w:szCs w:val="20"/>
        </w:rPr>
      </w:pPr>
      <w:r>
        <w:rPr>
          <w:sz w:val="20"/>
          <w:szCs w:val="20"/>
        </w:rPr>
        <w:t xml:space="preserve">Důrer? Tuhle jednoho nabízel pan Godefroy v Paříži za 1200 franků. Ano, to je právě ze </w:t>
      </w:r>
      <w:r>
        <w:rPr>
          <w:sz w:val="20"/>
          <w:szCs w:val="20"/>
          <w:lang w:val="en-US" w:eastAsia="en-US" w:bidi="en-US"/>
        </w:rPr>
        <w:t xml:space="preserve">serie </w:t>
      </w:r>
      <w:r>
        <w:rPr>
          <w:sz w:val="20"/>
          <w:szCs w:val="20"/>
        </w:rPr>
        <w:t>o ži</w:t>
      </w:r>
      <w:r>
        <w:rPr>
          <w:sz w:val="20"/>
          <w:szCs w:val="20"/>
        </w:rPr>
        <w:softHyphen/>
        <w:t xml:space="preserve">votě Mariině. A tuhle v německém katalogu je jeden Durer, z téže </w:t>
      </w:r>
      <w:r>
        <w:rPr>
          <w:sz w:val="20"/>
          <w:szCs w:val="20"/>
          <w:lang w:val="en-US" w:eastAsia="en-US" w:bidi="en-US"/>
        </w:rPr>
        <w:t xml:space="preserve">serie, </w:t>
      </w:r>
      <w:r>
        <w:rPr>
          <w:sz w:val="20"/>
          <w:szCs w:val="20"/>
        </w:rPr>
        <w:t>za 60 marek ... —</w:t>
      </w:r>
    </w:p>
    <w:p w:rsidR="00500724" w:rsidRDefault="00F30FB8">
      <w:pPr>
        <w:pStyle w:val="Zkladntext30"/>
        <w:shd w:val="clear" w:color="auto" w:fill="auto"/>
        <w:spacing w:after="0" w:line="216" w:lineRule="auto"/>
        <w:ind w:firstLine="220"/>
        <w:rPr>
          <w:sz w:val="20"/>
          <w:szCs w:val="20"/>
        </w:rPr>
      </w:pPr>
      <w:r>
        <w:rPr>
          <w:sz w:val="20"/>
          <w:szCs w:val="20"/>
        </w:rPr>
        <w:t xml:space="preserve">Čímž by byl </w:t>
      </w:r>
      <w:r>
        <w:rPr>
          <w:sz w:val="20"/>
          <w:szCs w:val="20"/>
          <w:lang w:val="en-US" w:eastAsia="en-US" w:bidi="en-US"/>
        </w:rPr>
        <w:t xml:space="preserve">reporter </w:t>
      </w:r>
      <w:r>
        <w:rPr>
          <w:sz w:val="20"/>
          <w:szCs w:val="20"/>
        </w:rPr>
        <w:t>nepochybně upokojen, že nejde o hodnoty statisí</w:t>
      </w:r>
      <w:r>
        <w:rPr>
          <w:sz w:val="20"/>
          <w:szCs w:val="20"/>
        </w:rPr>
        <w:t>cové a neplašil by čtenáře. Nebo ten novinář, který vypátral, kdo je ten sekční šéf, mohl zavolat samotného poškozeného a poptat se, jak to, že si škodu odhaduje tak nízko. A milý, starý hlas v te</w:t>
      </w:r>
      <w:r>
        <w:rPr>
          <w:sz w:val="20"/>
          <w:szCs w:val="20"/>
        </w:rPr>
        <w:softHyphen/>
        <w:t>lefonu by mu řekl:</w:t>
      </w:r>
    </w:p>
    <w:p w:rsidR="00500724" w:rsidRDefault="00F30FB8">
      <w:pPr>
        <w:pStyle w:val="Zkladntext30"/>
        <w:numPr>
          <w:ilvl w:val="0"/>
          <w:numId w:val="105"/>
        </w:numPr>
        <w:shd w:val="clear" w:color="auto" w:fill="auto"/>
        <w:tabs>
          <w:tab w:val="left" w:pos="529"/>
        </w:tabs>
        <w:spacing w:after="0" w:line="216" w:lineRule="auto"/>
        <w:ind w:firstLine="220"/>
        <w:rPr>
          <w:sz w:val="20"/>
          <w:szCs w:val="20"/>
        </w:rPr>
      </w:pPr>
      <w:r>
        <w:rPr>
          <w:sz w:val="20"/>
          <w:szCs w:val="20"/>
        </w:rPr>
        <w:t xml:space="preserve">To máte tak, příteli. Rytina je, víme, </w:t>
      </w:r>
      <w:r>
        <w:rPr>
          <w:sz w:val="20"/>
          <w:szCs w:val="20"/>
        </w:rPr>
        <w:t>něco jiného než obraz, ať už je ten obraz malba olejem, akvarel, kvaš, nebo zas kresba uhlem, tuší, inkoustem, tužkou, štětcem a tak dále. Rytina totiž se neprodává na mě</w:t>
      </w:r>
      <w:r>
        <w:rPr>
          <w:sz w:val="20"/>
          <w:szCs w:val="20"/>
        </w:rPr>
        <w:softHyphen/>
        <w:t>děné desce, nýbrž v otisku. A těch otisků může být mnoho, přemnoho. Všechny jsou svým</w:t>
      </w:r>
      <w:r>
        <w:rPr>
          <w:sz w:val="20"/>
          <w:szCs w:val="20"/>
        </w:rPr>
        <w:t xml:space="preserve"> způsobem ori</w:t>
      </w:r>
      <w:r>
        <w:rPr>
          <w:sz w:val="20"/>
          <w:szCs w:val="20"/>
        </w:rPr>
        <w:softHyphen/>
        <w:t xml:space="preserve">ginály, neboť jsou pořízeny z originální desky, ryté umělcem. Některé jsou ovšem lepší a některé horší. Podle toho jsou taky jedny dražší a druhé lacinější. Ty první, nejjasnější a nejjemnější, mají přednost před otisky pozdějšími, kdy už je </w:t>
      </w:r>
      <w:r>
        <w:rPr>
          <w:sz w:val="20"/>
          <w:szCs w:val="20"/>
        </w:rPr>
        <w:t>deska přece jen leckde porušená. Anebo umělec už vydal jednu edici s desky a pak se mu uzdálo ještě něco na desce opra</w:t>
      </w:r>
      <w:r>
        <w:rPr>
          <w:sz w:val="20"/>
          <w:szCs w:val="20"/>
        </w:rPr>
        <w:softHyphen/>
        <w:t>vit, předělat, změnit . . .</w:t>
      </w:r>
    </w:p>
    <w:p w:rsidR="00500724" w:rsidRDefault="00F30FB8">
      <w:pPr>
        <w:pStyle w:val="Zkladntext30"/>
        <w:shd w:val="clear" w:color="auto" w:fill="auto"/>
        <w:spacing w:after="80" w:line="216" w:lineRule="auto"/>
        <w:ind w:firstLine="220"/>
        <w:rPr>
          <w:sz w:val="20"/>
          <w:szCs w:val="20"/>
        </w:rPr>
      </w:pPr>
      <w:r>
        <w:rPr>
          <w:sz w:val="20"/>
          <w:szCs w:val="20"/>
        </w:rPr>
        <w:t>Tohle by se byl novinář dověděl od poškozeného pána, a byl by kliden. Ale nikdo z novinářů, kteří o pří</w:t>
      </w:r>
      <w:r>
        <w:rPr>
          <w:sz w:val="20"/>
          <w:szCs w:val="20"/>
        </w:rPr>
        <w:softHyphen/>
        <w:t xml:space="preserve">padu </w:t>
      </w:r>
      <w:r>
        <w:rPr>
          <w:sz w:val="20"/>
          <w:szCs w:val="20"/>
        </w:rPr>
        <w:t>rytin psali, nezvedl telefon a neptal se. Všichni si to sesumírovali ze své hlavy, a došli tak k hodno</w:t>
      </w:r>
      <w:r>
        <w:rPr>
          <w:sz w:val="20"/>
          <w:szCs w:val="20"/>
        </w:rPr>
        <w:softHyphen/>
        <w:t>tám statisícovým a dokonce k ztrátám národního jmění.</w:t>
      </w:r>
    </w:p>
    <w:p w:rsidR="00500724" w:rsidRDefault="00F30FB8">
      <w:pPr>
        <w:pStyle w:val="Zkladntext30"/>
        <w:shd w:val="clear" w:color="auto" w:fill="auto"/>
        <w:spacing w:after="80" w:line="216" w:lineRule="auto"/>
        <w:ind w:firstLine="0"/>
        <w:jc w:val="right"/>
        <w:rPr>
          <w:sz w:val="20"/>
          <w:szCs w:val="20"/>
        </w:rPr>
      </w:pPr>
      <w:r>
        <w:rPr>
          <w:sz w:val="20"/>
          <w:szCs w:val="20"/>
        </w:rPr>
        <w:t>Kdyužpřicházínascénuzlávůle. '</w:t>
      </w:r>
    </w:p>
    <w:p w:rsidR="00500724" w:rsidRDefault="00F30FB8">
      <w:pPr>
        <w:pStyle w:val="Zkladntext30"/>
        <w:shd w:val="clear" w:color="auto" w:fill="auto"/>
        <w:spacing w:after="80" w:line="216" w:lineRule="auto"/>
        <w:ind w:firstLine="220"/>
        <w:rPr>
          <w:sz w:val="20"/>
          <w:szCs w:val="20"/>
        </w:rPr>
      </w:pPr>
      <w:r>
        <w:rPr>
          <w:sz w:val="20"/>
          <w:szCs w:val="20"/>
        </w:rPr>
        <w:t>Až sem nejde o nic jiného, než že hora v letní se</w:t>
      </w:r>
      <w:r>
        <w:rPr>
          <w:sz w:val="20"/>
          <w:szCs w:val="20"/>
        </w:rPr>
        <w:softHyphen/>
        <w:t>zóně porodila myš,</w:t>
      </w:r>
      <w:r>
        <w:rPr>
          <w:sz w:val="20"/>
          <w:szCs w:val="20"/>
        </w:rPr>
        <w:t xml:space="preserve"> že si někdo u stolu vymyslil případ a že se tím v očích soudných čtenářů poněkud blamo- val. To se stává, a lidem proto vlasy nepadají. Pražský tisk však pokračoval v rozmazávání aféry, naprosto nepoučen a neinformován, a začal napadat i starého pá</w:t>
      </w:r>
      <w:r>
        <w:rPr>
          <w:sz w:val="20"/>
          <w:szCs w:val="20"/>
        </w:rPr>
        <w:softHyphen/>
        <w:t>na, kt</w:t>
      </w:r>
      <w:r>
        <w:rPr>
          <w:sz w:val="20"/>
          <w:szCs w:val="20"/>
        </w:rPr>
        <w:t>erému byly rytiny ukradeny. Na třetí stránce seriosního poledníku se objevilo:</w:t>
      </w:r>
    </w:p>
    <w:p w:rsidR="00500724" w:rsidRDefault="00F30FB8">
      <w:pPr>
        <w:pStyle w:val="Zkladntext30"/>
        <w:shd w:val="clear" w:color="auto" w:fill="auto"/>
        <w:spacing w:after="80" w:line="194" w:lineRule="auto"/>
        <w:ind w:left="200" w:firstLine="220"/>
      </w:pPr>
      <w:r>
        <w:rPr>
          <w:i/>
          <w:iCs/>
        </w:rPr>
        <w:t>— Stejně tak je věcí našich finančních orgánů, aby se přesvědčily, zda obrazy tak vzácné ceny byly přihlášeny na finančním úřadě ... —</w:t>
      </w:r>
    </w:p>
    <w:p w:rsidR="00500724" w:rsidRDefault="00F30FB8">
      <w:pPr>
        <w:pStyle w:val="Zkladntext30"/>
        <w:shd w:val="clear" w:color="auto" w:fill="auto"/>
        <w:spacing w:after="80" w:line="216" w:lineRule="auto"/>
        <w:ind w:firstLine="220"/>
        <w:rPr>
          <w:sz w:val="20"/>
          <w:szCs w:val="20"/>
        </w:rPr>
      </w:pPr>
      <w:r>
        <w:rPr>
          <w:sz w:val="20"/>
          <w:szCs w:val="20"/>
        </w:rPr>
        <w:t xml:space="preserve">Vyslovil tedy </w:t>
      </w:r>
      <w:r>
        <w:rPr>
          <w:sz w:val="20"/>
          <w:szCs w:val="20"/>
          <w:lang w:val="en-US" w:eastAsia="en-US" w:bidi="en-US"/>
        </w:rPr>
        <w:t xml:space="preserve">reporter, </w:t>
      </w:r>
      <w:r>
        <w:rPr>
          <w:sz w:val="20"/>
          <w:szCs w:val="20"/>
        </w:rPr>
        <w:t>který pořád nevědě</w:t>
      </w:r>
      <w:r>
        <w:rPr>
          <w:sz w:val="20"/>
          <w:szCs w:val="20"/>
        </w:rPr>
        <w:t xml:space="preserve">l nic víc, než co bylo v raportu, podezření, že majitel obrazů se třebas dopustil něčeho nezákonného, že chtěl ošulit stát. A zas to vyhrál </w:t>
      </w:r>
      <w:r>
        <w:rPr>
          <w:sz w:val="20"/>
          <w:szCs w:val="20"/>
          <w:lang w:val="en-US" w:eastAsia="en-US" w:bidi="en-US"/>
        </w:rPr>
        <w:t xml:space="preserve">reporter </w:t>
      </w:r>
      <w:r>
        <w:rPr>
          <w:sz w:val="20"/>
          <w:szCs w:val="20"/>
        </w:rPr>
        <w:t>nejmladších novin:</w:t>
      </w:r>
    </w:p>
    <w:p w:rsidR="00500724" w:rsidRDefault="00F30FB8">
      <w:pPr>
        <w:pStyle w:val="Zkladntext30"/>
        <w:shd w:val="clear" w:color="auto" w:fill="auto"/>
        <w:spacing w:after="80" w:line="202" w:lineRule="auto"/>
        <w:ind w:left="200" w:firstLine="220"/>
      </w:pPr>
      <w:r>
        <w:rPr>
          <w:i/>
          <w:iCs/>
        </w:rPr>
        <w:t xml:space="preserve">— Není to trochu podivné? Jak to tedy pan sekční š?f původně informoval policii, když </w:t>
      </w:r>
      <w:r>
        <w:rPr>
          <w:i/>
          <w:iCs/>
        </w:rPr>
        <w:t>jako autory uváděl Hollara, Důrera, Cranacha a Gebée, tedy</w:t>
      </w:r>
    </w:p>
    <w:p w:rsidR="00500724" w:rsidRDefault="00F30FB8">
      <w:pPr>
        <w:pStyle w:val="Zkladntext30"/>
        <w:shd w:val="clear" w:color="auto" w:fill="auto"/>
        <w:spacing w:after="100" w:line="197" w:lineRule="auto"/>
        <w:ind w:left="200" w:firstLine="20"/>
      </w:pPr>
      <w:r>
        <w:rPr>
          <w:i/>
          <w:iCs/>
        </w:rPr>
        <w:t>vesměs mistry, jichž práce nelze téměř docenit? Ne</w:t>
      </w:r>
      <w:r>
        <w:rPr>
          <w:i/>
          <w:iCs/>
        </w:rPr>
        <w:softHyphen/>
        <w:t>měli by se k věci přibrati příslušní umělečtí činitelé, aby se zabránilo zmizení vzácných děl do ciziny?</w:t>
      </w:r>
    </w:p>
    <w:p w:rsidR="00500724" w:rsidRDefault="00F30FB8">
      <w:pPr>
        <w:pStyle w:val="Zkladntext30"/>
        <w:shd w:val="clear" w:color="auto" w:fill="auto"/>
        <w:spacing w:after="100" w:line="216" w:lineRule="auto"/>
        <w:ind w:firstLine="220"/>
        <w:rPr>
          <w:sz w:val="20"/>
          <w:szCs w:val="20"/>
        </w:rPr>
      </w:pPr>
      <w:r>
        <w:rPr>
          <w:sz w:val="20"/>
          <w:szCs w:val="20"/>
        </w:rPr>
        <w:t>A protože i toto bylo málo, šlápl do afér</w:t>
      </w:r>
      <w:r>
        <w:rPr>
          <w:sz w:val="20"/>
          <w:szCs w:val="20"/>
        </w:rPr>
        <w:t>y po třetí dokonce v nedělním čísle:</w:t>
      </w:r>
    </w:p>
    <w:p w:rsidR="00500724" w:rsidRDefault="00F30FB8">
      <w:pPr>
        <w:pStyle w:val="Zkladntext30"/>
        <w:shd w:val="clear" w:color="auto" w:fill="auto"/>
        <w:spacing w:after="0" w:line="197" w:lineRule="auto"/>
        <w:ind w:left="200" w:firstLine="220"/>
        <w:jc w:val="left"/>
      </w:pPr>
      <w:r>
        <w:rPr>
          <w:i/>
          <w:iCs/>
        </w:rPr>
        <w:t>Celá historie originálů je stále podezřelejší . . .</w:t>
      </w:r>
    </w:p>
    <w:p w:rsidR="00500724" w:rsidRDefault="00F30FB8">
      <w:pPr>
        <w:pStyle w:val="Zkladntext30"/>
        <w:shd w:val="clear" w:color="auto" w:fill="auto"/>
        <w:spacing w:after="100" w:line="197" w:lineRule="auto"/>
        <w:ind w:left="200" w:firstLine="20"/>
      </w:pPr>
      <w:r>
        <w:rPr>
          <w:i/>
          <w:iCs/>
        </w:rPr>
        <w:t>Pan sekční šéf by měl veřejně prokázati, jak se rytiny dostaly do jeho vlastnictví . . . Nějaké řeči nepřesvědčují, když má býti objasněna záhada ko</w:t>
      </w:r>
      <w:r>
        <w:rPr>
          <w:i/>
          <w:iCs/>
        </w:rPr>
        <w:softHyphen/>
        <w:t>lem předmětů, kter</w:t>
      </w:r>
      <w:r>
        <w:rPr>
          <w:i/>
          <w:iCs/>
        </w:rPr>
        <w:t>é vlastně patří celému národu, který má zájem na tom, aby se mu neztrácely umě</w:t>
      </w:r>
      <w:r>
        <w:rPr>
          <w:i/>
          <w:iCs/>
        </w:rPr>
        <w:softHyphen/>
        <w:t>lecké poklady . . . Tak s pravdou ven. Nelze úmysl</w:t>
      </w:r>
      <w:r>
        <w:rPr>
          <w:i/>
          <w:iCs/>
        </w:rPr>
        <w:softHyphen/>
        <w:t>ným znehodnocováním ztracených předmětů dělati z mistrů obyčejné mazaly, aby byl kryt nějaký sekční šéf jen proto, že má nějak</w:t>
      </w:r>
      <w:r>
        <w:rPr>
          <w:i/>
          <w:iCs/>
        </w:rPr>
        <w:t>é obavy ryze sou</w:t>
      </w:r>
      <w:r>
        <w:rPr>
          <w:i/>
          <w:iCs/>
        </w:rPr>
        <w:softHyphen/>
        <w:t>kromé, které asi nesmějí na denní světlo . . .</w:t>
      </w:r>
    </w:p>
    <w:p w:rsidR="00500724" w:rsidRDefault="00F30FB8">
      <w:pPr>
        <w:pStyle w:val="Zkladntext30"/>
        <w:shd w:val="clear" w:color="auto" w:fill="auto"/>
        <w:spacing w:after="100"/>
        <w:ind w:firstLine="220"/>
        <w:rPr>
          <w:sz w:val="20"/>
          <w:szCs w:val="20"/>
        </w:rPr>
      </w:pPr>
      <w:r>
        <w:rPr>
          <w:sz w:val="20"/>
          <w:szCs w:val="20"/>
        </w:rPr>
        <w:t>Ejhle, z českého a národního novináře, který by si zajisté nedal ze svého štítu vzít Havlíčka, se vyvinul obyčejný šuškal, jenž chodí a říká velmi tajemně, ale zato neurčitě a významně:</w:t>
      </w:r>
    </w:p>
    <w:p w:rsidR="00500724" w:rsidRDefault="00F30FB8">
      <w:pPr>
        <w:pStyle w:val="Zkladntext30"/>
        <w:shd w:val="clear" w:color="auto" w:fill="auto"/>
        <w:spacing w:after="0" w:line="209" w:lineRule="auto"/>
        <w:ind w:left="200" w:firstLine="220"/>
      </w:pPr>
      <w:r>
        <w:rPr>
          <w:i/>
          <w:iCs/>
        </w:rPr>
        <w:t>— No j</w:t>
      </w:r>
      <w:r>
        <w:rPr>
          <w:i/>
          <w:iCs/>
        </w:rPr>
        <w:t>ó, co já vím, no to byste koukali... jó, paní samej švindl, ... a koryta . . .</w:t>
      </w:r>
    </w:p>
    <w:p w:rsidR="00500724" w:rsidRDefault="00F30FB8">
      <w:pPr>
        <w:pStyle w:val="Zkladntext30"/>
        <w:shd w:val="clear" w:color="auto" w:fill="auto"/>
        <w:spacing w:after="100" w:line="230" w:lineRule="auto"/>
        <w:ind w:firstLine="0"/>
        <w:jc w:val="left"/>
        <w:rPr>
          <w:sz w:val="20"/>
          <w:szCs w:val="20"/>
        </w:rPr>
      </w:pPr>
      <w:r>
        <w:rPr>
          <w:b/>
          <w:bCs/>
          <w:sz w:val="20"/>
          <w:szCs w:val="20"/>
        </w:rPr>
        <w:t>a tak dále.</w:t>
      </w:r>
    </w:p>
    <w:p w:rsidR="00500724" w:rsidRDefault="00F30FB8">
      <w:pPr>
        <w:pStyle w:val="Zkladntext30"/>
        <w:shd w:val="clear" w:color="auto" w:fill="auto"/>
        <w:spacing w:after="0"/>
        <w:ind w:firstLine="220"/>
        <w:rPr>
          <w:sz w:val="20"/>
          <w:szCs w:val="20"/>
        </w:rPr>
      </w:pPr>
      <w:r>
        <w:rPr>
          <w:sz w:val="20"/>
          <w:szCs w:val="20"/>
        </w:rPr>
        <w:t>To bylo ovšem poslední zakokrhání a pak aféra zmi</w:t>
      </w:r>
      <w:r>
        <w:rPr>
          <w:sz w:val="20"/>
          <w:szCs w:val="20"/>
        </w:rPr>
        <w:softHyphen/>
        <w:t xml:space="preserve">zela se světa, jako na svět přišla. Trvalo to týden. A jen jeden z reportérů, kteří se dohadovali a smýšleli zle o </w:t>
      </w:r>
      <w:r>
        <w:rPr>
          <w:sz w:val="20"/>
          <w:szCs w:val="20"/>
        </w:rPr>
        <w:t>člověku, kterého neznali, se nakonec seznámil se starým pánem a pak mu hezkým článkem, v němž se přiznal ke svým špatným informacím, dal ve svých novinách satisfakci. A tento jeden spravedlivý, řek</w:t>
      </w:r>
      <w:r>
        <w:rPr>
          <w:sz w:val="20"/>
          <w:szCs w:val="20"/>
        </w:rPr>
        <w:softHyphen/>
        <w:t>něme značky -fp-, napravil aspoň trochu křivdu, kte</w:t>
      </w:r>
      <w:r>
        <w:rPr>
          <w:sz w:val="20"/>
          <w:szCs w:val="20"/>
        </w:rPr>
        <w:softHyphen/>
        <w:t>rou ti</w:t>
      </w:r>
      <w:r>
        <w:rPr>
          <w:sz w:val="20"/>
          <w:szCs w:val="20"/>
        </w:rPr>
        <w:t xml:space="preserve"> ostatní spáchali na čtenářích, na novinářském povolání a také na starém pánovi, jehož citlivé srdce ušlechtilého sběratele ranila nejdřív ztráta milých předmětů a pak, daleko hlouběji, neomalenost.</w:t>
      </w:r>
    </w:p>
    <w:p w:rsidR="00500724" w:rsidRDefault="00F30FB8">
      <w:pPr>
        <w:pStyle w:val="Zkladntext30"/>
        <w:shd w:val="clear" w:color="auto" w:fill="auto"/>
        <w:spacing w:after="100" w:line="216" w:lineRule="auto"/>
        <w:ind w:firstLine="220"/>
        <w:rPr>
          <w:sz w:val="20"/>
          <w:szCs w:val="20"/>
        </w:rPr>
      </w:pPr>
      <w:r>
        <w:rPr>
          <w:sz w:val="20"/>
          <w:szCs w:val="20"/>
        </w:rPr>
        <w:t>Při čemž se ovšem autor tohoto článku, novinář z po</w:t>
      </w:r>
      <w:r>
        <w:rPr>
          <w:sz w:val="20"/>
          <w:szCs w:val="20"/>
        </w:rPr>
        <w:softHyphen/>
        <w:t>volán</w:t>
      </w:r>
      <w:r>
        <w:rPr>
          <w:sz w:val="20"/>
          <w:szCs w:val="20"/>
        </w:rPr>
        <w:t>í, téměř stydí zmínit o jednom také-kolegovi, kte</w:t>
      </w:r>
      <w:r>
        <w:rPr>
          <w:sz w:val="20"/>
          <w:szCs w:val="20"/>
        </w:rPr>
        <w:softHyphen/>
        <w:t>rý napřed telefonicky oznámil poškozenému, že za</w:t>
      </w:r>
      <w:r>
        <w:rPr>
          <w:sz w:val="20"/>
          <w:szCs w:val="20"/>
        </w:rPr>
        <w:softHyphen/>
        <w:t>mlčí jeho jméno, ačkoli je vypátral, a potom zas te</w:t>
      </w:r>
      <w:r>
        <w:rPr>
          <w:sz w:val="20"/>
          <w:szCs w:val="20"/>
        </w:rPr>
        <w:softHyphen/>
        <w:t xml:space="preserve">lefonicky žádal za tuto úsluhu prý </w:t>
      </w:r>
      <w:r>
        <w:rPr>
          <w:i/>
          <w:iCs/>
        </w:rPr>
        <w:t>ad captandam be- nevolentiam</w:t>
      </w:r>
      <w:r>
        <w:rPr>
          <w:sz w:val="20"/>
          <w:szCs w:val="20"/>
        </w:rPr>
        <w:t xml:space="preserve"> nějaký příspěvek. Uvádím jen, aby ne</w:t>
      </w:r>
      <w:r>
        <w:rPr>
          <w:sz w:val="20"/>
          <w:szCs w:val="20"/>
        </w:rPr>
        <w:softHyphen/>
        <w:t>byla</w:t>
      </w:r>
      <w:r>
        <w:rPr>
          <w:sz w:val="20"/>
          <w:szCs w:val="20"/>
        </w:rPr>
        <w:t xml:space="preserve"> zbytečně mezi námi zlá krev, že to nebyl nikdo z kolegů, pracujících v denních listech.</w:t>
      </w:r>
    </w:p>
    <w:p w:rsidR="00500724" w:rsidRDefault="00F30FB8">
      <w:pPr>
        <w:pStyle w:val="Zkladntext30"/>
        <w:shd w:val="clear" w:color="auto" w:fill="auto"/>
        <w:spacing w:after="100"/>
        <w:ind w:firstLine="0"/>
        <w:jc w:val="center"/>
        <w:rPr>
          <w:sz w:val="20"/>
          <w:szCs w:val="20"/>
        </w:rPr>
      </w:pPr>
      <w:r>
        <w:rPr>
          <w:b/>
          <w:bCs/>
          <w:sz w:val="20"/>
          <w:szCs w:val="20"/>
        </w:rPr>
        <w:t>A jaký závěr?</w:t>
      </w:r>
    </w:p>
    <w:p w:rsidR="00500724" w:rsidRDefault="00F30FB8">
      <w:pPr>
        <w:pStyle w:val="Zkladntext30"/>
        <w:shd w:val="clear" w:color="auto" w:fill="auto"/>
        <w:spacing w:after="0"/>
        <w:ind w:firstLine="220"/>
        <w:rPr>
          <w:sz w:val="20"/>
          <w:szCs w:val="20"/>
        </w:rPr>
      </w:pPr>
      <w:r>
        <w:rPr>
          <w:sz w:val="20"/>
          <w:szCs w:val="20"/>
        </w:rPr>
        <w:t>Jeden obchodník zbožím smíšeným má na pytlících se svou firmou heslo:</w:t>
      </w:r>
    </w:p>
    <w:p w:rsidR="00500724" w:rsidRDefault="00F30FB8">
      <w:pPr>
        <w:pStyle w:val="Zkladntext30"/>
        <w:shd w:val="clear" w:color="auto" w:fill="auto"/>
        <w:spacing w:after="0"/>
        <w:ind w:firstLine="220"/>
        <w:rPr>
          <w:sz w:val="20"/>
          <w:szCs w:val="20"/>
        </w:rPr>
      </w:pPr>
      <w:r>
        <w:rPr>
          <w:sz w:val="20"/>
          <w:szCs w:val="20"/>
        </w:rPr>
        <w:t>— Zásadou mojí jest jen dobré zboží prodávati. —</w:t>
      </w:r>
    </w:p>
    <w:p w:rsidR="00500724" w:rsidRDefault="00F30FB8">
      <w:pPr>
        <w:pStyle w:val="Zkladntext30"/>
        <w:shd w:val="clear" w:color="auto" w:fill="auto"/>
        <w:spacing w:after="100"/>
        <w:ind w:firstLine="220"/>
        <w:rPr>
          <w:sz w:val="20"/>
          <w:szCs w:val="20"/>
        </w:rPr>
        <w:sectPr w:rsidR="00500724">
          <w:footnotePr>
            <w:numFmt w:val="chicago"/>
            <w:numRestart w:val="eachPage"/>
          </w:footnotePr>
          <w:type w:val="continuous"/>
          <w:pgSz w:w="11909" w:h="16834"/>
          <w:pgMar w:top="1131" w:right="963" w:bottom="1001" w:left="512" w:header="0" w:footer="3" w:gutter="0"/>
          <w:cols w:num="2" w:space="100"/>
          <w:noEndnote/>
          <w:docGrid w:linePitch="360"/>
        </w:sectPr>
      </w:pPr>
      <w:r>
        <w:rPr>
          <w:sz w:val="20"/>
          <w:szCs w:val="20"/>
        </w:rPr>
        <w:t>Novináři, jejichž krásnou povinností je podle nej</w:t>
      </w:r>
      <w:r>
        <w:rPr>
          <w:sz w:val="20"/>
          <w:szCs w:val="20"/>
        </w:rPr>
        <w:softHyphen/>
        <w:t>lepšího svědomí sloužiti svému národu, a tedy i všem lidem dobré vůle v něm, jsou jistě daleko výš než tento maloměstský koloniální obchodník. Leč slouží se lidem tím, že se vypustí nedoložená a falešná kac</w:t>
      </w:r>
      <w:r>
        <w:rPr>
          <w:sz w:val="20"/>
          <w:szCs w:val="20"/>
        </w:rPr>
        <w:t>h</w:t>
      </w:r>
      <w:r>
        <w:rPr>
          <w:sz w:val="20"/>
          <w:szCs w:val="20"/>
        </w:rPr>
        <w:softHyphen/>
        <w:t>na, která napřed popudí čtenáře proti tomu milionář- skému sekčnímu šéfovi, jenž pochybným způsobem nabyl statisícových hodnot ... a potom, když (roz</w:t>
      </w:r>
      <w:r>
        <w:rPr>
          <w:sz w:val="20"/>
          <w:szCs w:val="20"/>
        </w:rPr>
        <w:softHyphen/>
        <w:t>uměj kachnička) padne nemohoucně do vodičky, po</w:t>
      </w:r>
      <w:r>
        <w:rPr>
          <w:sz w:val="20"/>
          <w:szCs w:val="20"/>
        </w:rPr>
        <w:softHyphen/>
        <w:t xml:space="preserve">pudí po druhé čtenáře proti vlastním novinám, které tak </w:t>
      </w:r>
      <w:r>
        <w:rPr>
          <w:sz w:val="20"/>
          <w:szCs w:val="20"/>
        </w:rPr>
        <w:t>udýchaně a špatně informovaly o zrození hory tam, kde přišel na svět myší potrátek . . . Noviny po</w:t>
      </w:r>
      <w:r>
        <w:rPr>
          <w:sz w:val="20"/>
          <w:szCs w:val="20"/>
        </w:rPr>
        <w:softHyphen/>
        <w:t>třebují čtenáře, to vy, novináři, nejlíp víte. Musí se k nim tedy chovat tak, aby čtenáři neztratili důvěru, aby mohli věřit v solidnost toho, co se jim k vě</w:t>
      </w:r>
      <w:r>
        <w:rPr>
          <w:sz w:val="20"/>
          <w:szCs w:val="20"/>
        </w:rPr>
        <w:t>ření</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749" w:right="1145" w:bottom="1120" w:left="338" w:header="0" w:footer="3" w:gutter="0"/>
          <w:cols w:space="720"/>
          <w:noEndnote/>
          <w:docGrid w:linePitch="360"/>
        </w:sectPr>
      </w:pPr>
      <w:bookmarkStart w:id="855" w:name="bookmark854"/>
      <w:r>
        <w:t>Pfítonmost&gt;</w:t>
      </w:r>
      <w:bookmarkEnd w:id="855"/>
    </w:p>
    <w:p w:rsidR="00500724" w:rsidRDefault="00500724">
      <w:pPr>
        <w:spacing w:line="56" w:lineRule="exact"/>
        <w:rPr>
          <w:sz w:val="5"/>
          <w:szCs w:val="5"/>
        </w:rPr>
      </w:pPr>
    </w:p>
    <w:p w:rsidR="00500724" w:rsidRDefault="00500724">
      <w:pPr>
        <w:spacing w:line="14" w:lineRule="exact"/>
        <w:sectPr w:rsidR="00500724">
          <w:footnotePr>
            <w:numFmt w:val="chicago"/>
            <w:numRestart w:val="eachPage"/>
          </w:footnotePr>
          <w:type w:val="continuous"/>
          <w:pgSz w:w="11909" w:h="16834"/>
          <w:pgMar w:top="1006" w:right="0" w:bottom="1064" w:left="0" w:header="0" w:footer="3" w:gutter="0"/>
          <w:cols w:space="720"/>
          <w:noEndnote/>
          <w:docGrid w:linePitch="360"/>
        </w:sectPr>
      </w:pPr>
    </w:p>
    <w:p w:rsidR="00500724" w:rsidRDefault="00F30FB8">
      <w:pPr>
        <w:pStyle w:val="Zkladntext30"/>
        <w:shd w:val="clear" w:color="auto" w:fill="auto"/>
        <w:spacing w:after="380" w:line="216" w:lineRule="auto"/>
        <w:ind w:firstLine="0"/>
        <w:rPr>
          <w:sz w:val="20"/>
          <w:szCs w:val="20"/>
        </w:rPr>
      </w:pPr>
      <w:r>
        <w:rPr>
          <w:sz w:val="20"/>
          <w:szCs w:val="20"/>
        </w:rPr>
        <w:t>předkládá. Zpráva v novinách vlastně teprve tvoří sku</w:t>
      </w:r>
      <w:r>
        <w:rPr>
          <w:sz w:val="20"/>
          <w:szCs w:val="20"/>
        </w:rPr>
        <w:softHyphen/>
        <w:t>tečnost pro desítky tisíců lidí. Raději si každý ruku utni, než bys tvořil skutečnosti špatné, nepravdivé, nedoložené, pomlouvačn</w:t>
      </w:r>
      <w:r>
        <w:rPr>
          <w:sz w:val="20"/>
          <w:szCs w:val="20"/>
        </w:rPr>
        <w:t xml:space="preserve">ě a utrhačné. Vždyť konec konců nejde o nic víc, než si napsat do štítu heslo onoho obchodníka, jenž váží pepř </w:t>
      </w:r>
      <w:r>
        <w:rPr>
          <w:i/>
          <w:iCs/>
        </w:rPr>
        <w:t>a</w:t>
      </w:r>
      <w:r>
        <w:rPr>
          <w:sz w:val="20"/>
          <w:szCs w:val="20"/>
        </w:rPr>
        <w:t xml:space="preserve"> droždí.</w:t>
      </w:r>
    </w:p>
    <w:p w:rsidR="00500724" w:rsidRDefault="00F30FB8">
      <w:pPr>
        <w:pStyle w:val="Zkladntext30"/>
        <w:shd w:val="clear" w:color="auto" w:fill="auto"/>
        <w:spacing w:after="0" w:line="221" w:lineRule="auto"/>
        <w:ind w:firstLine="0"/>
        <w:rPr>
          <w:sz w:val="20"/>
          <w:szCs w:val="20"/>
        </w:rPr>
      </w:pPr>
      <w:r>
        <w:rPr>
          <w:i/>
          <w:iCs/>
          <w:sz w:val="20"/>
          <w:szCs w:val="20"/>
        </w:rPr>
        <w:t>V. Kluzák:</w:t>
      </w:r>
    </w:p>
    <w:p w:rsidR="00500724" w:rsidRDefault="00F30FB8">
      <w:pPr>
        <w:pStyle w:val="Jin0"/>
        <w:shd w:val="clear" w:color="auto" w:fill="auto"/>
        <w:spacing w:after="120" w:line="204" w:lineRule="auto"/>
        <w:ind w:firstLine="0"/>
        <w:jc w:val="center"/>
        <w:rPr>
          <w:sz w:val="28"/>
          <w:szCs w:val="28"/>
        </w:rPr>
      </w:pPr>
      <w:r>
        <w:rPr>
          <w:b/>
          <w:bCs/>
          <w:sz w:val="28"/>
          <w:szCs w:val="28"/>
        </w:rPr>
        <w:t>Sklizeno</w:t>
      </w:r>
    </w:p>
    <w:p w:rsidR="00500724" w:rsidRDefault="00F30FB8">
      <w:pPr>
        <w:pStyle w:val="Zkladntext1"/>
        <w:shd w:val="clear" w:color="auto" w:fill="auto"/>
        <w:spacing w:line="317" w:lineRule="auto"/>
        <w:ind w:firstLine="0"/>
        <w:jc w:val="center"/>
      </w:pPr>
      <w:r>
        <w:t>o 29. čísla Přítomnosti jsem napsal poznámku, která se</w:t>
      </w:r>
      <w:r>
        <w:br/>
        <w:t>také dotýkala žní, dnes píši pozorování ve žních a o žních.</w:t>
      </w:r>
      <w:r>
        <w:br/>
      </w:r>
      <w:r>
        <w:t>Domkáři a sedláci.</w:t>
      </w:r>
    </w:p>
    <w:p w:rsidR="00500724" w:rsidRDefault="00F30FB8">
      <w:pPr>
        <w:pStyle w:val="Zkladntext1"/>
        <w:shd w:val="clear" w:color="auto" w:fill="auto"/>
        <w:spacing w:line="233" w:lineRule="auto"/>
      </w:pPr>
      <w:r>
        <w:t xml:space="preserve">Pracoval jsem mezi domkáři od 2 ha a sedláky do 20 ha v jižních Čechách. Jsou to lidé nemluvní, přemýšliví a jenom při práci anebo po práci společně udělané dostaneš z nich nějaké slovo. </w:t>
      </w:r>
      <w:r>
        <w:rPr>
          <w:rFonts w:ascii="Arial" w:eastAsia="Arial" w:hAnsi="Arial" w:cs="Arial"/>
          <w:sz w:val="18"/>
          <w:szCs w:val="18"/>
        </w:rPr>
        <w:t xml:space="preserve">O </w:t>
      </w:r>
      <w:r>
        <w:t>úrodu se nikdy nebáli a nebojí. „Ješ</w:t>
      </w:r>
      <w:r>
        <w:softHyphen/>
        <w:t>tě nikdy ne</w:t>
      </w:r>
      <w:r>
        <w:t>zůstala na polích,“ říkají. Pravda, letos ve žně hodně pršelo. Ale to je nepřivede z klidu. Dá-li se orat, orají, nebo připravují a opravují stroje a jakmile vysvitne slunko, už se hrnou s kosami a stroji do polí. Báchorky o nezdravě zpo- litisované vesnic</w:t>
      </w:r>
      <w:r>
        <w:t>i jsou rozptýleny. Domkáři bývali spíš so</w:t>
      </w:r>
      <w:r>
        <w:softHyphen/>
        <w:t>cialisty a lidovci, sedláci agrárníky a lidovci, ale málokterý byl vyhraněn k bojovnosti. Vždycky si ve žních pomáhali a zase pomáhají.</w:t>
      </w:r>
    </w:p>
    <w:p w:rsidR="00500724" w:rsidRDefault="00F30FB8">
      <w:pPr>
        <w:pStyle w:val="Zkladntext1"/>
        <w:shd w:val="clear" w:color="auto" w:fill="auto"/>
        <w:spacing w:line="233" w:lineRule="auto"/>
      </w:pPr>
      <w:r>
        <w:t>Vědí, že denní tisk a rozhlas připravil letos velikou kam</w:t>
      </w:r>
      <w:r>
        <w:softHyphen/>
        <w:t>paň „Boj o zrno“. Us</w:t>
      </w:r>
      <w:r>
        <w:t>mívají se tomu. Neprosí se nikoho o pomoc, ale přijmou dobrovolného pomocníka s pochope</w:t>
      </w:r>
      <w:r>
        <w:softHyphen/>
        <w:t>ním. „Za války,“ říkají, „nás tu bylo opravdu málo a vždy</w:t>
      </w:r>
      <w:r>
        <w:softHyphen/>
        <w:t>cky jsme všechno udělali.“ A opravdu. Sedmdesátiletý děde</w:t>
      </w:r>
      <w:r>
        <w:softHyphen/>
        <w:t>ček kosí žito tak statečně, že dva sběráci jsou za n</w:t>
      </w:r>
      <w:r>
        <w:t>ím uříceni. A 771etý výměnkář obstará synovi-zedníkovi celé 3 ha hospodářství.</w:t>
      </w:r>
    </w:p>
    <w:p w:rsidR="00500724" w:rsidRDefault="00F30FB8">
      <w:pPr>
        <w:pStyle w:val="Zkladntext1"/>
        <w:shd w:val="clear" w:color="auto" w:fill="auto"/>
        <w:spacing w:line="233" w:lineRule="auto"/>
      </w:pPr>
      <w:r>
        <w:t>Je ovšem méně pracovníků na žních než bylo před lety. Ukáži na několika příkladech, jak ubývá pracovníků na ves</w:t>
      </w:r>
      <w:r>
        <w:softHyphen/>
        <w:t>nici:</w:t>
      </w:r>
    </w:p>
    <w:p w:rsidR="00500724" w:rsidRDefault="00F30FB8">
      <w:pPr>
        <w:pStyle w:val="Zkladntext1"/>
        <w:numPr>
          <w:ilvl w:val="0"/>
          <w:numId w:val="106"/>
        </w:numPr>
        <w:shd w:val="clear" w:color="auto" w:fill="auto"/>
        <w:tabs>
          <w:tab w:val="left" w:pos="476"/>
        </w:tabs>
        <w:spacing w:line="230" w:lineRule="auto"/>
      </w:pPr>
      <w:r>
        <w:t xml:space="preserve">Sedlák měl 4 chlapce a 1 děvče (dnes mezi 25—35 lety). Dva </w:t>
      </w:r>
      <w:r>
        <w:t>chlapci jsou u státní policie, jeden v Hospodář</w:t>
      </w:r>
      <w:r>
        <w:softHyphen/>
        <w:t>ském družstvu, dívka se provdala za učitele. Na zemědělské práci zůstal jeden jediný.</w:t>
      </w:r>
    </w:p>
    <w:p w:rsidR="00500724" w:rsidRDefault="00F30FB8">
      <w:pPr>
        <w:pStyle w:val="Zkladntext1"/>
        <w:numPr>
          <w:ilvl w:val="0"/>
          <w:numId w:val="106"/>
        </w:numPr>
        <w:shd w:val="clear" w:color="auto" w:fill="auto"/>
        <w:tabs>
          <w:tab w:val="left" w:pos="476"/>
        </w:tabs>
        <w:spacing w:line="230" w:lineRule="auto"/>
      </w:pPr>
      <w:r>
        <w:t>Jiný měl 2 chlapce a děvče. To se provdalo za železni</w:t>
      </w:r>
      <w:r>
        <w:softHyphen/>
        <w:t>čáře, mladší chlapec studuje. Na statku zůstal jeden jediný.</w:t>
      </w:r>
    </w:p>
    <w:p w:rsidR="00500724" w:rsidRDefault="00F30FB8">
      <w:pPr>
        <w:pStyle w:val="Zkladntext1"/>
        <w:numPr>
          <w:ilvl w:val="0"/>
          <w:numId w:val="106"/>
        </w:numPr>
        <w:shd w:val="clear" w:color="auto" w:fill="auto"/>
        <w:tabs>
          <w:tab w:val="left" w:pos="490"/>
        </w:tabs>
        <w:spacing w:line="230" w:lineRule="auto"/>
      </w:pPr>
      <w:r>
        <w:t xml:space="preserve">Domkář </w:t>
      </w:r>
      <w:r>
        <w:t>měl 4 chlapce a 2 děvčata. Jedna dcera se pro</w:t>
      </w:r>
      <w:r>
        <w:softHyphen/>
        <w:t>vdala za mlynářského pomocníka, druhá slouží v Praze, z chlapců je jeden zedníkem v Praze, druhý učitelem, třetí vedoucím Baťovy prodejny. V zemědělské práci zůstal jeden jediný a ten ještě více zedničí. Chalup</w:t>
      </w:r>
      <w:r>
        <w:t>u mu obstarává děd.</w:t>
      </w:r>
    </w:p>
    <w:p w:rsidR="00500724" w:rsidRDefault="00F30FB8">
      <w:pPr>
        <w:pStyle w:val="Zkladntext1"/>
        <w:shd w:val="clear" w:color="auto" w:fill="auto"/>
        <w:spacing w:line="230" w:lineRule="auto"/>
      </w:pPr>
      <w:r>
        <w:t>Příklady jsou skutečné a jděme od vesnice k vesnici, všude týž obraz s malými obměnami. Z generace předešlé těchže rodin (se strany otců) bylo celkem 11 dětí; z toho zůstalo v zemědělství devět, jeden odejel do Ameriky a jeden byl tesař</w:t>
      </w:r>
      <w:r>
        <w:t>em ve Vídni.</w:t>
      </w:r>
    </w:p>
    <w:p w:rsidR="00500724" w:rsidRDefault="00F30FB8">
      <w:pPr>
        <w:pStyle w:val="Zkladntext1"/>
        <w:shd w:val="clear" w:color="auto" w:fill="auto"/>
        <w:spacing w:after="100" w:line="230" w:lineRule="auto"/>
        <w:jc w:val="left"/>
      </w:pPr>
      <w:r>
        <w:t>Příliš početné rodiny nemohou zůstat celé na statku a na chalupě teprv ne. V minulých generacích dělili pozemky mezi děti. Dnes by bylo nehospodárné kouskovat větší celky, ale rozhodně by bylo dobré, aby na větších statcích zůsta</w:t>
      </w:r>
      <w:r>
        <w:softHyphen/>
        <w:t>ly 2 nebo 3 r</w:t>
      </w:r>
      <w:r>
        <w:t>odiny. Dnes je všude pouze jedna. Snad by se nalezl vhodný způsob spolužití těchto rodin. Tím by se odliv z vesnic podstatně zmenšil a potřeba pracovníků ve žních by byla normální.</w:t>
      </w:r>
    </w:p>
    <w:p w:rsidR="00500724" w:rsidRDefault="00F30FB8">
      <w:pPr>
        <w:pStyle w:val="Zkladntext1"/>
        <w:shd w:val="clear" w:color="auto" w:fill="auto"/>
        <w:spacing w:after="60" w:line="233" w:lineRule="auto"/>
        <w:ind w:left="1260" w:firstLine="0"/>
        <w:jc w:val="left"/>
      </w:pPr>
      <w:r>
        <w:t>Na velkostatcích.</w:t>
      </w:r>
    </w:p>
    <w:p w:rsidR="00500724" w:rsidRDefault="00F30FB8">
      <w:pPr>
        <w:pStyle w:val="Zkladntext1"/>
        <w:shd w:val="clear" w:color="auto" w:fill="auto"/>
        <w:spacing w:line="233" w:lineRule="auto"/>
      </w:pPr>
      <w:r>
        <w:t xml:space="preserve">Nedostatek pracovních sil byl téhož rázu jako v selských </w:t>
      </w:r>
      <w:r>
        <w:t>usedlostech: chybějí stálé síly, t. j. svobodná čeleď a de- putátníci. Rozumí se, že tento nedostatek je ve žních citel</w:t>
      </w:r>
      <w:r>
        <w:softHyphen/>
        <w:t>nější.</w:t>
      </w:r>
    </w:p>
    <w:p w:rsidR="00500724" w:rsidRDefault="00F30FB8">
      <w:pPr>
        <w:pStyle w:val="Zkladntext1"/>
        <w:shd w:val="clear" w:color="auto" w:fill="auto"/>
        <w:spacing w:line="228" w:lineRule="auto"/>
      </w:pPr>
      <w:r>
        <w:t>Problém už existuje řadu let, ale dosud nikde nevidíme vůli k řešení. Svobodná čeleď totiž není žádné zaměstnání. Chlapci a děvča</w:t>
      </w:r>
      <w:r>
        <w:t>ta od 14 let až po ženění a vdávání „slou</w:t>
      </w:r>
      <w:r>
        <w:softHyphen/>
        <w:t>ží“. Jakmile chtějí založit rodinu, musí si hledat jiné za</w:t>
      </w:r>
      <w:r>
        <w:softHyphen/>
        <w:t>městnání, které lze zharmonisovat s životem rodiny. Ve většině případech to znamená opustit zemědělství.</w:t>
      </w:r>
    </w:p>
    <w:p w:rsidR="00500724" w:rsidRDefault="00F30FB8">
      <w:pPr>
        <w:pStyle w:val="Zkladntext1"/>
        <w:shd w:val="clear" w:color="auto" w:fill="auto"/>
        <w:spacing w:line="230" w:lineRule="auto"/>
      </w:pPr>
      <w:r>
        <w:t xml:space="preserve">U deputátníků při velkostatcích lze zakládat </w:t>
      </w:r>
      <w:r>
        <w:t xml:space="preserve">rodiny. Ale tak jako čeleď není zaměstnání (rozuměj pro celý život), je deputátnictví zaměstnání nejbídnější. Pracuje se od 5 (ale také od čtyř) ráno do půl 19. hodiny večer (někdy i daleko přes 21 hodin). Bydlí se pod lidskou důstojnost. V akci NS „Týden </w:t>
      </w:r>
      <w:r>
        <w:t>čistoty“ letos na jaře jsem prošel řadu deputát- nických bytů. Nemohu mluvit o nečistotě. Všude jsem viděl snahu po čistotě. Ale s jakým výsledkem se může snaha setkat v kuchyni pětičlenné rodiny o podla</w:t>
      </w:r>
      <w:r>
        <w:softHyphen/>
        <w:t>ze 6 m</w:t>
      </w:r>
      <w:r>
        <w:rPr>
          <w:vertAlign w:val="superscript"/>
        </w:rPr>
        <w:t>2</w:t>
      </w:r>
      <w:r>
        <w:t>? Anebo v bytě o 1 místnosti 16 m</w:t>
      </w:r>
      <w:r>
        <w:rPr>
          <w:vertAlign w:val="superscript"/>
        </w:rPr>
        <w:t>2</w:t>
      </w:r>
      <w:r>
        <w:t>, kde bydle</w:t>
      </w:r>
      <w:r>
        <w:t>lo a spalo 5 osob?</w:t>
      </w:r>
    </w:p>
    <w:p w:rsidR="00500724" w:rsidRDefault="00F30FB8">
      <w:pPr>
        <w:pStyle w:val="Zkladntext1"/>
        <w:shd w:val="clear" w:color="auto" w:fill="auto"/>
        <w:spacing w:line="230" w:lineRule="auto"/>
      </w:pPr>
      <w:r>
        <w:t>Nuže, tuto musí začít náprava. Žiji od narození mezi ze</w:t>
      </w:r>
      <w:r>
        <w:softHyphen/>
        <w:t>mědělci a vidím, že pracovníkům v zemědělství musí být umožněn život vyšší úrovně, nemá-li nám zemědělství v budoucnu katastrofálně hynout.</w:t>
      </w:r>
    </w:p>
    <w:p w:rsidR="00500724" w:rsidRDefault="00F30FB8">
      <w:pPr>
        <w:pStyle w:val="Zkladntext1"/>
        <w:numPr>
          <w:ilvl w:val="0"/>
          <w:numId w:val="107"/>
        </w:numPr>
        <w:shd w:val="clear" w:color="auto" w:fill="auto"/>
        <w:tabs>
          <w:tab w:val="left" w:pos="495"/>
        </w:tabs>
        <w:spacing w:line="230" w:lineRule="auto"/>
      </w:pPr>
      <w:r>
        <w:t>prvé řadě je nutno stavět dobré rodinné d</w:t>
      </w:r>
      <w:r>
        <w:t>omky při velkostatcích a selských statcích. Nebude to nic nového. Při selských statcích byly v minulosti tak zvané chalupy podru</w:t>
      </w:r>
      <w:r>
        <w:softHyphen/>
        <w:t>hů a deputátnické byty při velkostatcích jsou. Jde jen o to, aby bylo obojích více a lepší než dosud. A potom: těmto lidem se m</w:t>
      </w:r>
      <w:r>
        <w:t>usí umožnit také kus vlastnictví. K domku kus pole a zahrady, kde si bude ve volných chvílích pracovat po svém způsobu a podle své libosti. A ovšem za</w:t>
      </w:r>
      <w:r>
        <w:softHyphen/>
        <w:t>řídit práci tak, aby nějaký volný čas byl.</w:t>
      </w:r>
    </w:p>
    <w:p w:rsidR="00500724" w:rsidRDefault="00F30FB8">
      <w:pPr>
        <w:pStyle w:val="Zkladntext1"/>
        <w:shd w:val="clear" w:color="auto" w:fill="auto"/>
        <w:spacing w:line="230" w:lineRule="auto"/>
      </w:pPr>
      <w:r>
        <w:t xml:space="preserve">Znám námitky velkostatkářů, že v zemědělství je pánem počasí, </w:t>
      </w:r>
      <w:r>
        <w:t>a když ono dovolí, že se musí pracovat třeba 18 ho</w:t>
      </w:r>
      <w:r>
        <w:softHyphen/>
        <w:t>din denně. Tomu rozumím. Ale nemohu pochopit, že by týž člověk dlouho vydržel takovou pracovní dobu. V průmyslu existují pracovní směny. Budou-li v zeměděl</w:t>
      </w:r>
      <w:r>
        <w:softHyphen/>
        <w:t xml:space="preserve">ství dány slušné životní podmínky, bude tam dost </w:t>
      </w:r>
      <w:r>
        <w:t>pracov</w:t>
      </w:r>
      <w:r>
        <w:softHyphen/>
        <w:t>níků a tudíž i možnost pracovních směn.</w:t>
      </w:r>
    </w:p>
    <w:p w:rsidR="00500724" w:rsidRDefault="00F30FB8">
      <w:pPr>
        <w:pStyle w:val="Zkladntext1"/>
        <w:numPr>
          <w:ilvl w:val="0"/>
          <w:numId w:val="107"/>
        </w:numPr>
        <w:shd w:val="clear" w:color="auto" w:fill="auto"/>
        <w:tabs>
          <w:tab w:val="left" w:pos="510"/>
        </w:tabs>
        <w:spacing w:after="120" w:line="230" w:lineRule="auto"/>
      </w:pPr>
      <w:r>
        <w:t>jednom místním výboru NS navrhl velkostatkář prů</w:t>
      </w:r>
      <w:r>
        <w:softHyphen/>
        <w:t>myslovým dělníkům, aby pracovali denně více hodin, takže by jim zbyla volná sobota, kterou by věnovali žním. Byl naivně udiven, když mu dělníci dali tentýž návr</w:t>
      </w:r>
      <w:r>
        <w:t>h, protože mají v podnicích nyní pilno jako ve žních. Uznal, že by to fysicky nevydržel, tak jako by to dělníci nevydrželi, pro</w:t>
      </w:r>
      <w:r>
        <w:softHyphen/>
        <w:t>tože „nejsou ze železa“.</w:t>
      </w:r>
    </w:p>
    <w:p w:rsidR="00500724" w:rsidRDefault="00F30FB8">
      <w:pPr>
        <w:pStyle w:val="Zkladntext1"/>
        <w:shd w:val="clear" w:color="auto" w:fill="auto"/>
        <w:spacing w:after="60" w:line="230" w:lineRule="auto"/>
      </w:pPr>
      <w:r>
        <w:t>Studenti, ústavy práce a okresní úřady.</w:t>
      </w:r>
    </w:p>
    <w:p w:rsidR="00500724" w:rsidRDefault="00F30FB8">
      <w:pPr>
        <w:pStyle w:val="Zkladntext1"/>
        <w:shd w:val="clear" w:color="auto" w:fill="auto"/>
        <w:spacing w:line="230" w:lineRule="auto"/>
      </w:pPr>
      <w:r>
        <w:t>Letošní akce k účasti studentů na žních byla provázena více pro</w:t>
      </w:r>
      <w:r>
        <w:t xml:space="preserve">pagací než </w:t>
      </w:r>
      <w:r>
        <w:rPr>
          <w:lang w:val="en-US" w:eastAsia="en-US" w:bidi="en-US"/>
        </w:rPr>
        <w:t xml:space="preserve">organisaci. </w:t>
      </w:r>
      <w:r>
        <w:t>V radiu bylo na sta proslovů a upozornění, • v tisku tisíce zpráv a článků. Výsledek byl neúměrný.</w:t>
      </w:r>
    </w:p>
    <w:p w:rsidR="00500724" w:rsidRDefault="00F30FB8">
      <w:pPr>
        <w:pStyle w:val="Zkladntext1"/>
        <w:numPr>
          <w:ilvl w:val="0"/>
          <w:numId w:val="107"/>
        </w:numPr>
        <w:shd w:val="clear" w:color="auto" w:fill="auto"/>
        <w:tabs>
          <w:tab w:val="left" w:pos="495"/>
        </w:tabs>
        <w:spacing w:line="230" w:lineRule="auto"/>
      </w:pPr>
      <w:r>
        <w:t>době nejpilnějších žňových prací (kolem 1. srpna) jsem navštívil šest okresních ústavů práce a příslušné refe</w:t>
      </w:r>
      <w:r>
        <w:softHyphen/>
        <w:t xml:space="preserve">renty dvou okresních </w:t>
      </w:r>
      <w:r>
        <w:t>úřadů v jižních Čechách a zjistil jsem tyto skutečnosti:</w:t>
      </w:r>
    </w:p>
    <w:p w:rsidR="00500724" w:rsidRDefault="00F30FB8">
      <w:pPr>
        <w:pStyle w:val="Zkladntext1"/>
        <w:shd w:val="clear" w:color="auto" w:fill="auto"/>
        <w:spacing w:line="230" w:lineRule="auto"/>
      </w:pPr>
      <w:r>
        <w:t>1. Zemědělci nevěřili, že by mohli studenti udělat slušnou práci, když nejsou práce znalí a pro ni otužilí. Studenti mnoho uvažovali o hygienických zařízeních vesnice, než se rozhodli vstoupit do prá</w:t>
      </w:r>
      <w:r>
        <w:t>ce. To ovšem nevylučuje případy —</w:t>
      </w:r>
      <w:r>
        <w:rPr>
          <w:vertAlign w:val="superscript"/>
        </w:rPr>
        <w:t xml:space="preserve">1 </w:t>
      </w:r>
      <w:r>
        <w:t>jak mi sdělil jeden referent — že studenti udělali víc práce než kvalifikovaná čeleď, nebo že byli na vsi úplně spoko</w:t>
      </w:r>
      <w:r>
        <w:softHyphen/>
        <w:t>jeni. Myslím, že počáteční nedůvěra v příštích letech zmizí. Mnohé podmínky se zlepší, nedokonalosti up</w:t>
      </w:r>
      <w:r>
        <w:t>raví a nejvíc prospěje skutečné vzájemné poznání.</w:t>
      </w:r>
      <w:r>
        <w:br w:type="page"/>
      </w:r>
    </w:p>
    <w:p w:rsidR="00500724" w:rsidRDefault="00F30FB8">
      <w:pPr>
        <w:pStyle w:val="Zkladntext30"/>
        <w:numPr>
          <w:ilvl w:val="0"/>
          <w:numId w:val="108"/>
        </w:numPr>
        <w:shd w:val="clear" w:color="auto" w:fill="auto"/>
        <w:tabs>
          <w:tab w:val="left" w:pos="481"/>
        </w:tabs>
        <w:spacing w:after="0"/>
        <w:ind w:firstLine="240"/>
        <w:rPr>
          <w:sz w:val="20"/>
          <w:szCs w:val="20"/>
        </w:rPr>
      </w:pPr>
      <w:r>
        <w:rPr>
          <w:sz w:val="20"/>
          <w:szCs w:val="20"/>
        </w:rPr>
        <w:t>U čtyř okresních ústavů práce (ze šesti) se nehlásil ani jeden student a ani jeden zemědělec o studenty. U jednoho ústavu práce se přihlásilo 52 studentů, ale pracovali nikoliv v zemědělství, nýbrž na stav</w:t>
      </w:r>
      <w:r>
        <w:rPr>
          <w:sz w:val="20"/>
          <w:szCs w:val="20"/>
        </w:rPr>
        <w:t>bě silnice. Prostřednictvím re</w:t>
      </w:r>
      <w:r>
        <w:rPr>
          <w:sz w:val="20"/>
          <w:szCs w:val="20"/>
        </w:rPr>
        <w:softHyphen/>
        <w:t>ferátu jednoho okresního úřadu bylo umístěno v zeměděl</w:t>
      </w:r>
      <w:r>
        <w:rPr>
          <w:sz w:val="20"/>
          <w:szCs w:val="20"/>
        </w:rPr>
        <w:softHyphen/>
        <w:t>ství 60 studentů. Největší zásluhu měl zprostředkující úřed</w:t>
      </w:r>
      <w:r>
        <w:rPr>
          <w:sz w:val="20"/>
          <w:szCs w:val="20"/>
        </w:rPr>
        <w:softHyphen/>
        <w:t>ník. Malý, nekontrolovatelný počet studentů pracoval ve všech oblastech bez zprostředkování úřadů.</w:t>
      </w:r>
    </w:p>
    <w:p w:rsidR="00500724" w:rsidRDefault="00F30FB8">
      <w:pPr>
        <w:pStyle w:val="Zkladntext30"/>
        <w:numPr>
          <w:ilvl w:val="0"/>
          <w:numId w:val="108"/>
        </w:numPr>
        <w:shd w:val="clear" w:color="auto" w:fill="auto"/>
        <w:tabs>
          <w:tab w:val="left" w:pos="486"/>
        </w:tabs>
        <w:spacing w:after="60"/>
        <w:ind w:firstLine="240"/>
        <w:rPr>
          <w:sz w:val="20"/>
          <w:szCs w:val="20"/>
        </w:rPr>
      </w:pPr>
      <w:r>
        <w:rPr>
          <w:sz w:val="20"/>
          <w:szCs w:val="20"/>
        </w:rPr>
        <w:t>Už ten fakt</w:t>
      </w:r>
      <w:r>
        <w:rPr>
          <w:sz w:val="20"/>
          <w:szCs w:val="20"/>
        </w:rPr>
        <w:t>, že akci letos prováděly zčásti okresní úřa</w:t>
      </w:r>
      <w:r>
        <w:rPr>
          <w:sz w:val="20"/>
          <w:szCs w:val="20"/>
        </w:rPr>
        <w:softHyphen/>
        <w:t>dy a zčásti ústavy práce, svědčí o špatné organisaci. A přišlo se s akcí pozdě. V příštích letech se musí studenti rozhodo</w:t>
      </w:r>
      <w:r>
        <w:rPr>
          <w:sz w:val="20"/>
          <w:szCs w:val="20"/>
        </w:rPr>
        <w:softHyphen/>
        <w:t>vat už v zimě, chtějí-li ztrávit prázdniny v zemědělství. Úřa</w:t>
      </w:r>
      <w:r>
        <w:rPr>
          <w:sz w:val="20"/>
          <w:szCs w:val="20"/>
        </w:rPr>
        <w:softHyphen/>
        <w:t xml:space="preserve">dy práce musí mít o počtu </w:t>
      </w:r>
      <w:r>
        <w:rPr>
          <w:sz w:val="20"/>
          <w:szCs w:val="20"/>
        </w:rPr>
        <w:t>studentstva přehled a jeden ústřed</w:t>
      </w:r>
      <w:r>
        <w:rPr>
          <w:sz w:val="20"/>
          <w:szCs w:val="20"/>
        </w:rPr>
        <w:softHyphen/>
        <w:t>ní úřad kontrolu stejnoměrného rozložení studentstva po všech oblastech Čech a Moravy.</w:t>
      </w:r>
    </w:p>
    <w:p w:rsidR="00500724" w:rsidRDefault="00F30FB8">
      <w:pPr>
        <w:pStyle w:val="Zkladntext30"/>
        <w:shd w:val="clear" w:color="auto" w:fill="auto"/>
        <w:spacing w:after="0"/>
        <w:ind w:firstLine="0"/>
        <w:jc w:val="center"/>
        <w:rPr>
          <w:sz w:val="20"/>
          <w:szCs w:val="20"/>
        </w:rPr>
      </w:pPr>
      <w:r>
        <w:rPr>
          <w:sz w:val="20"/>
          <w:szCs w:val="20"/>
        </w:rPr>
        <w:t>•</w:t>
      </w:r>
    </w:p>
    <w:p w:rsidR="00500724" w:rsidRDefault="00F30FB8">
      <w:pPr>
        <w:pStyle w:val="Zkladntext30"/>
        <w:shd w:val="clear" w:color="auto" w:fill="auto"/>
        <w:spacing w:after="0"/>
        <w:ind w:firstLine="240"/>
        <w:rPr>
          <w:sz w:val="20"/>
          <w:szCs w:val="20"/>
        </w:rPr>
      </w:pPr>
      <w:r>
        <w:rPr>
          <w:sz w:val="20"/>
          <w:szCs w:val="20"/>
        </w:rPr>
        <w:t>Po pravdě řečeno vítali bychom, kdyby všichni studenti pracovali o prázdninách v zemědělství nebo v jiných pod</w:t>
      </w:r>
      <w:r>
        <w:rPr>
          <w:sz w:val="20"/>
          <w:szCs w:val="20"/>
        </w:rPr>
        <w:softHyphen/>
        <w:t xml:space="preserve">nicích. Vidím v tom </w:t>
      </w:r>
      <w:r>
        <w:rPr>
          <w:sz w:val="20"/>
          <w:szCs w:val="20"/>
        </w:rPr>
        <w:t>spíš jejich prospěch, než význačnou po</w:t>
      </w:r>
      <w:r>
        <w:rPr>
          <w:sz w:val="20"/>
          <w:szCs w:val="20"/>
        </w:rPr>
        <w:softHyphen/>
        <w:t>moc v podnicích. Jde o to, aby studenti poznali tělesnou práci a tělesnou únavu a blaho odpočin</w:t>
      </w:r>
      <w:r>
        <w:rPr>
          <w:sz w:val="20"/>
          <w:szCs w:val="20"/>
        </w:rPr>
        <w:softHyphen/>
        <w:t>ku po tělesné únavě.</w:t>
      </w:r>
    </w:p>
    <w:p w:rsidR="00500724" w:rsidRDefault="00F30FB8">
      <w:pPr>
        <w:pStyle w:val="Zkladntext30"/>
        <w:shd w:val="clear" w:color="auto" w:fill="auto"/>
        <w:spacing w:after="0"/>
        <w:ind w:firstLine="240"/>
        <w:rPr>
          <w:sz w:val="20"/>
          <w:szCs w:val="20"/>
        </w:rPr>
      </w:pPr>
      <w:r>
        <w:rPr>
          <w:sz w:val="20"/>
          <w:szCs w:val="20"/>
        </w:rPr>
        <w:t>Únava po duševní práci může přinést nudu, depresi, pe</w:t>
      </w:r>
      <w:r>
        <w:rPr>
          <w:sz w:val="20"/>
          <w:szCs w:val="20"/>
        </w:rPr>
        <w:softHyphen/>
        <w:t>simismus. To je velmi zlý stav lidské duše a t</w:t>
      </w:r>
      <w:r>
        <w:rPr>
          <w:sz w:val="20"/>
          <w:szCs w:val="20"/>
        </w:rPr>
        <w:t>ělesná práce je tu jistým a bezpečným lékem.</w:t>
      </w:r>
    </w:p>
    <w:p w:rsidR="00500724" w:rsidRDefault="00F30FB8">
      <w:pPr>
        <w:pStyle w:val="Zkladntext30"/>
        <w:shd w:val="clear" w:color="auto" w:fill="auto"/>
        <w:spacing w:after="0"/>
        <w:ind w:firstLine="240"/>
        <w:rPr>
          <w:sz w:val="20"/>
          <w:szCs w:val="20"/>
        </w:rPr>
      </w:pPr>
      <w:r>
        <w:rPr>
          <w:sz w:val="20"/>
          <w:szCs w:val="20"/>
        </w:rPr>
        <w:t>Na druhé straně bude prospěšné vzájemné poznání ma- nuelních a duševních pracovníků. Bývaly doby, kdy byly ostré hranice mezi těmito skupinami. Proto nás potěší jadrná věta jihočeského sedláka: „Vždyť ti student</w:t>
      </w:r>
      <w:r>
        <w:rPr>
          <w:sz w:val="20"/>
          <w:szCs w:val="20"/>
        </w:rPr>
        <w:t>i pracovali celý rok, af si o prázdninách odpočinou.“</w:t>
      </w:r>
    </w:p>
    <w:p w:rsidR="00500724" w:rsidRDefault="00F30FB8">
      <w:pPr>
        <w:pStyle w:val="Zkladntext30"/>
        <w:shd w:val="clear" w:color="auto" w:fill="auto"/>
        <w:spacing w:after="0"/>
        <w:ind w:firstLine="240"/>
        <w:rPr>
          <w:sz w:val="20"/>
          <w:szCs w:val="20"/>
        </w:rPr>
      </w:pPr>
      <w:r>
        <w:rPr>
          <w:sz w:val="20"/>
          <w:szCs w:val="20"/>
        </w:rPr>
        <w:t>Vzájemným stykem budou poznávat jedni práci druhých, vážit si jí a oceňovat. A sám sebe naučí každý doplňovat svou práci prací druhou. Je to důležitá podmínka lidského zdraví.</w:t>
      </w:r>
    </w:p>
    <w:p w:rsidR="00500724" w:rsidRDefault="00F30FB8">
      <w:pPr>
        <w:pStyle w:val="Zkladntext30"/>
        <w:shd w:val="clear" w:color="auto" w:fill="auto"/>
        <w:spacing w:after="60"/>
        <w:ind w:firstLine="0"/>
        <w:jc w:val="center"/>
        <w:rPr>
          <w:sz w:val="20"/>
          <w:szCs w:val="20"/>
        </w:rPr>
      </w:pPr>
      <w:r>
        <w:rPr>
          <w:sz w:val="20"/>
          <w:szCs w:val="20"/>
        </w:rPr>
        <w:t>Mzdy.</w:t>
      </w:r>
    </w:p>
    <w:p w:rsidR="00500724" w:rsidRDefault="00F30FB8">
      <w:pPr>
        <w:pStyle w:val="Zkladntext30"/>
        <w:shd w:val="clear" w:color="auto" w:fill="auto"/>
        <w:spacing w:after="0" w:line="216" w:lineRule="auto"/>
        <w:ind w:firstLine="240"/>
        <w:rPr>
          <w:sz w:val="20"/>
          <w:szCs w:val="20"/>
        </w:rPr>
      </w:pPr>
      <w:r>
        <w:rPr>
          <w:sz w:val="20"/>
          <w:szCs w:val="20"/>
        </w:rPr>
        <w:t>Pro stavební dělnict</w:t>
      </w:r>
      <w:r>
        <w:rPr>
          <w:sz w:val="20"/>
          <w:szCs w:val="20"/>
        </w:rPr>
        <w:t>vo byly Čechy a Morava roz</w:t>
      </w:r>
      <w:r>
        <w:rPr>
          <w:sz w:val="20"/>
          <w:szCs w:val="20"/>
        </w:rPr>
        <w:softHyphen/>
        <w:t>děleny na 6 oblastí. Jižní Čechy jsou většinou v poslední oblasti (proč?) s nejnižší mzdou pro nekvalifikova</w:t>
      </w:r>
      <w:r>
        <w:rPr>
          <w:sz w:val="20"/>
          <w:szCs w:val="20"/>
        </w:rPr>
        <w:softHyphen/>
        <w:t>ného dělníka (nádeníka) K 2.80 na hodinu. Kvalifikovaní řemeslníci mají až K 4.— na hodinu.</w:t>
      </w:r>
    </w:p>
    <w:p w:rsidR="00500724" w:rsidRDefault="00F30FB8">
      <w:pPr>
        <w:pStyle w:val="Zkladntext30"/>
        <w:numPr>
          <w:ilvl w:val="0"/>
          <w:numId w:val="107"/>
        </w:numPr>
        <w:shd w:val="clear" w:color="auto" w:fill="auto"/>
        <w:tabs>
          <w:tab w:val="left" w:pos="495"/>
        </w:tabs>
        <w:spacing w:after="0" w:line="216" w:lineRule="auto"/>
        <w:ind w:firstLine="240"/>
        <w:rPr>
          <w:sz w:val="20"/>
          <w:szCs w:val="20"/>
        </w:rPr>
      </w:pPr>
      <w:r>
        <w:rPr>
          <w:sz w:val="20"/>
          <w:szCs w:val="20"/>
        </w:rPr>
        <w:t xml:space="preserve">zemědělství mají dělníci na </w:t>
      </w:r>
      <w:r>
        <w:rPr>
          <w:sz w:val="20"/>
          <w:szCs w:val="20"/>
        </w:rPr>
        <w:t>denní plat podle posledního nařízení v téže oblasti (II. obilnářská a brambo- rářská) K 1.45 na hodinu, mladší muži, ženy a děvčata K 0.95 až K 1.05.</w:t>
      </w:r>
    </w:p>
    <w:p w:rsidR="00500724" w:rsidRDefault="00F30FB8">
      <w:pPr>
        <w:pStyle w:val="Zkladntext30"/>
        <w:shd w:val="clear" w:color="auto" w:fill="auto"/>
        <w:spacing w:after="0" w:line="216" w:lineRule="auto"/>
        <w:ind w:firstLine="240"/>
        <w:rPr>
          <w:sz w:val="20"/>
          <w:szCs w:val="20"/>
        </w:rPr>
      </w:pPr>
      <w:r>
        <w:rPr>
          <w:sz w:val="20"/>
          <w:szCs w:val="20"/>
        </w:rPr>
        <w:t>I když vezmeme v počet, že v zemědělství má dělník k uve</w:t>
      </w:r>
      <w:r>
        <w:rPr>
          <w:sz w:val="20"/>
          <w:szCs w:val="20"/>
        </w:rPr>
        <w:softHyphen/>
        <w:t>denému platu ještě jídlo, je přece poměr uvedenýc</w:t>
      </w:r>
      <w:r>
        <w:rPr>
          <w:sz w:val="20"/>
          <w:szCs w:val="20"/>
        </w:rPr>
        <w:t>h mezd zarážející. A to mají jiné obory ještě vyšší mzdy než obor stavební.</w:t>
      </w:r>
    </w:p>
    <w:p w:rsidR="00500724" w:rsidRDefault="00F30FB8">
      <w:pPr>
        <w:pStyle w:val="Zkladntext30"/>
        <w:shd w:val="clear" w:color="auto" w:fill="auto"/>
        <w:spacing w:after="0" w:line="216" w:lineRule="auto"/>
        <w:ind w:firstLine="240"/>
        <w:rPr>
          <w:sz w:val="20"/>
          <w:szCs w:val="20"/>
        </w:rPr>
      </w:pPr>
      <w:r>
        <w:rPr>
          <w:sz w:val="20"/>
          <w:szCs w:val="20"/>
        </w:rPr>
        <w:t>Tento nepoměr je příčinou, proč se dělnictvo jiných oborů vůbec nedá převést do zemědělství.</w:t>
      </w:r>
    </w:p>
    <w:p w:rsidR="00500724" w:rsidRDefault="00F30FB8">
      <w:pPr>
        <w:pStyle w:val="Zkladntext30"/>
        <w:shd w:val="clear" w:color="auto" w:fill="auto"/>
        <w:spacing w:after="100" w:line="216" w:lineRule="auto"/>
        <w:ind w:firstLine="240"/>
        <w:rPr>
          <w:sz w:val="20"/>
          <w:szCs w:val="20"/>
        </w:rPr>
      </w:pPr>
      <w:r>
        <w:rPr>
          <w:sz w:val="20"/>
          <w:szCs w:val="20"/>
        </w:rPr>
        <w:t>Jeden okresní úřad uvolnil pro žně ze stavby silnice ně</w:t>
      </w:r>
      <w:r>
        <w:rPr>
          <w:sz w:val="20"/>
          <w:szCs w:val="20"/>
        </w:rPr>
        <w:softHyphen/>
        <w:t>kolik desítek dělníků, budou-li</w:t>
      </w:r>
      <w:r>
        <w:rPr>
          <w:sz w:val="20"/>
          <w:szCs w:val="20"/>
        </w:rPr>
        <w:t xml:space="preserve"> žádáni. Po celou dobu žní vyžádáni nebyli. Všichni účastnění věděli, že jsou dělníci na ruce živi a že jim záleží na každém desítihaléři. Nikdo se neopovážil vytrhnout je z výnosnější práce.</w:t>
      </w:r>
    </w:p>
    <w:p w:rsidR="00500724" w:rsidRDefault="00F30FB8">
      <w:pPr>
        <w:pStyle w:val="Zkladntext30"/>
        <w:shd w:val="clear" w:color="auto" w:fill="auto"/>
        <w:spacing w:after="80"/>
        <w:ind w:firstLine="0"/>
        <w:jc w:val="center"/>
        <w:rPr>
          <w:sz w:val="20"/>
          <w:szCs w:val="20"/>
        </w:rPr>
      </w:pPr>
      <w:r>
        <w:rPr>
          <w:sz w:val="20"/>
          <w:szCs w:val="20"/>
        </w:rPr>
        <w:t>V závěru</w:t>
      </w:r>
    </w:p>
    <w:p w:rsidR="00500724" w:rsidRDefault="00F30FB8">
      <w:pPr>
        <w:pStyle w:val="Zkladntext30"/>
        <w:shd w:val="clear" w:color="auto" w:fill="auto"/>
        <w:spacing w:after="0" w:line="216" w:lineRule="auto"/>
        <w:ind w:firstLine="0"/>
        <w:rPr>
          <w:sz w:val="20"/>
          <w:szCs w:val="20"/>
        </w:rPr>
      </w:pPr>
      <w:r>
        <w:rPr>
          <w:sz w:val="20"/>
          <w:szCs w:val="20"/>
        </w:rPr>
        <w:t>bych rád znovu opakoval, že v českém zemědělství musí z</w:t>
      </w:r>
      <w:r>
        <w:rPr>
          <w:sz w:val="20"/>
          <w:szCs w:val="20"/>
        </w:rPr>
        <w:t>ůstat v budoucnosti více pracovníků.</w:t>
      </w:r>
    </w:p>
    <w:p w:rsidR="00500724" w:rsidRDefault="00F30FB8">
      <w:pPr>
        <w:pStyle w:val="Zkladntext30"/>
        <w:numPr>
          <w:ilvl w:val="0"/>
          <w:numId w:val="107"/>
        </w:numPr>
        <w:shd w:val="clear" w:color="auto" w:fill="auto"/>
        <w:tabs>
          <w:tab w:val="left" w:pos="500"/>
        </w:tabs>
        <w:spacing w:after="0" w:line="216" w:lineRule="auto"/>
        <w:ind w:firstLine="240"/>
        <w:rPr>
          <w:sz w:val="20"/>
          <w:szCs w:val="20"/>
        </w:rPr>
      </w:pPr>
      <w:r>
        <w:rPr>
          <w:sz w:val="20"/>
          <w:szCs w:val="20"/>
        </w:rPr>
        <w:t>prvé řadě musí znovu přilnout k zemědělství selští sy</w:t>
      </w:r>
      <w:r>
        <w:rPr>
          <w:sz w:val="20"/>
          <w:szCs w:val="20"/>
        </w:rPr>
        <w:softHyphen/>
        <w:t>nové a dcery. Počet zemědělského dělnictva se zvýší lepší životní úrovní.</w:t>
      </w:r>
    </w:p>
    <w:p w:rsidR="00500724" w:rsidRDefault="00F30FB8">
      <w:pPr>
        <w:pStyle w:val="Zkladntext30"/>
        <w:numPr>
          <w:ilvl w:val="0"/>
          <w:numId w:val="107"/>
        </w:numPr>
        <w:shd w:val="clear" w:color="auto" w:fill="auto"/>
        <w:tabs>
          <w:tab w:val="left" w:pos="500"/>
        </w:tabs>
        <w:spacing w:after="0" w:line="216" w:lineRule="auto"/>
        <w:ind w:firstLine="240"/>
        <w:rPr>
          <w:sz w:val="20"/>
          <w:szCs w:val="20"/>
        </w:rPr>
      </w:pPr>
      <w:r>
        <w:rPr>
          <w:sz w:val="20"/>
          <w:szCs w:val="20"/>
        </w:rPr>
        <w:t xml:space="preserve">minulých letech byl zběsilý útěk ze zemědělství do úřednických služeb. Nyní začíná úprk do </w:t>
      </w:r>
      <w:r>
        <w:rPr>
          <w:sz w:val="20"/>
          <w:szCs w:val="20"/>
        </w:rPr>
        <w:t>prů</w:t>
      </w:r>
      <w:r>
        <w:rPr>
          <w:sz w:val="20"/>
          <w:szCs w:val="20"/>
        </w:rPr>
        <w:softHyphen/>
        <w:t>myslu. Jednejme včas! Nehleďme na zisky, mysleme na lidi a jejich život a počet lidí v zemědělství bude zabezpečen.</w:t>
      </w:r>
    </w:p>
    <w:p w:rsidR="00500724" w:rsidRDefault="00F30FB8">
      <w:pPr>
        <w:spacing w:line="1" w:lineRule="exact"/>
        <w:rPr>
          <w:sz w:val="2"/>
          <w:szCs w:val="2"/>
        </w:rPr>
      </w:pPr>
      <w:r>
        <w:br w:type="column"/>
      </w:r>
    </w:p>
    <w:p w:rsidR="00500724" w:rsidRDefault="00F30FB8">
      <w:pPr>
        <w:pStyle w:val="Jin0"/>
        <w:shd w:val="clear" w:color="auto" w:fill="auto"/>
        <w:spacing w:after="220"/>
        <w:ind w:firstLine="0"/>
        <w:jc w:val="left"/>
        <w:rPr>
          <w:sz w:val="44"/>
          <w:szCs w:val="44"/>
        </w:rPr>
      </w:pPr>
      <w:r>
        <w:rPr>
          <w:b/>
          <w:bCs/>
          <w:sz w:val="44"/>
          <w:szCs w:val="44"/>
          <w:u w:val="single"/>
        </w:rPr>
        <w:t>život a instituce</w:t>
      </w:r>
    </w:p>
    <w:p w:rsidR="00500724" w:rsidRDefault="00F30FB8">
      <w:pPr>
        <w:pStyle w:val="Zkladntext30"/>
        <w:shd w:val="clear" w:color="auto" w:fill="auto"/>
        <w:spacing w:after="320" w:line="204" w:lineRule="auto"/>
        <w:ind w:firstLine="0"/>
      </w:pPr>
      <w:r>
        <w:rPr>
          <w:i/>
          <w:iCs/>
        </w:rPr>
        <w:t>Scriba:</w:t>
      </w:r>
    </w:p>
    <w:p w:rsidR="00500724" w:rsidRDefault="00F30FB8">
      <w:pPr>
        <w:pStyle w:val="Zkladntext1"/>
        <w:framePr w:dropCap="drop" w:lines="2" w:hSpace="24" w:vSpace="24" w:wrap="auto" w:vAnchor="text" w:hAnchor="text"/>
        <w:shd w:val="clear" w:color="auto" w:fill="auto"/>
        <w:spacing w:line="282" w:lineRule="exact"/>
        <w:ind w:firstLine="0"/>
        <w:rPr>
          <w:sz w:val="20"/>
          <w:szCs w:val="20"/>
        </w:rPr>
      </w:pPr>
      <w:r>
        <w:rPr>
          <w:position w:val="-6"/>
          <w:sz w:val="44"/>
          <w:szCs w:val="44"/>
        </w:rPr>
        <w:t>H</w:t>
      </w:r>
    </w:p>
    <w:p w:rsidR="00500724" w:rsidRDefault="00F30FB8">
      <w:pPr>
        <w:pStyle w:val="Zkladntext1"/>
        <w:shd w:val="clear" w:color="auto" w:fill="auto"/>
        <w:spacing w:after="100" w:line="218" w:lineRule="auto"/>
        <w:ind w:firstLine="0"/>
        <w:rPr>
          <w:sz w:val="20"/>
          <w:szCs w:val="20"/>
        </w:rPr>
      </w:pPr>
      <w:r>
        <w:rPr>
          <w:noProof/>
        </w:rPr>
        <mc:AlternateContent>
          <mc:Choice Requires="wps">
            <w:drawing>
              <wp:anchor distT="0" distB="0" distL="114300" distR="114300" simplePos="0" relativeHeight="125830212" behindDoc="0" locked="0" layoutInCell="1" allowOverlap="1">
                <wp:simplePos x="0" y="0"/>
                <wp:positionH relativeFrom="page">
                  <wp:posOffset>4839970</wp:posOffset>
                </wp:positionH>
                <wp:positionV relativeFrom="margin">
                  <wp:posOffset>728345</wp:posOffset>
                </wp:positionV>
                <wp:extent cx="865505" cy="228600"/>
                <wp:effectExtent l="0" t="0" r="0" b="0"/>
                <wp:wrapSquare wrapText="left"/>
                <wp:docPr id="835" name="Shape 835"/>
                <wp:cNvGraphicFramePr/>
                <a:graphic xmlns:a="http://schemas.openxmlformats.org/drawingml/2006/main">
                  <a:graphicData uri="http://schemas.microsoft.com/office/word/2010/wordprocessingShape">
                    <wps:wsp>
                      <wps:cNvSpPr txBox="1"/>
                      <wps:spPr>
                        <a:xfrm>
                          <a:off x="0" y="0"/>
                          <a:ext cx="865505" cy="228600"/>
                        </a:xfrm>
                        <a:prstGeom prst="rect">
                          <a:avLst/>
                        </a:prstGeom>
                        <a:noFill/>
                      </wps:spPr>
                      <wps:txbx>
                        <w:txbxContent>
                          <w:p w:rsidR="00500724" w:rsidRDefault="00F30FB8">
                            <w:pPr>
                              <w:pStyle w:val="Jin0"/>
                              <w:shd w:val="clear" w:color="auto" w:fill="auto"/>
                              <w:ind w:firstLine="0"/>
                              <w:jc w:val="left"/>
                              <w:rPr>
                                <w:sz w:val="28"/>
                                <w:szCs w:val="28"/>
                              </w:rPr>
                            </w:pPr>
                            <w:r>
                              <w:rPr>
                                <w:b/>
                                <w:bCs/>
                                <w:sz w:val="28"/>
                                <w:szCs w:val="28"/>
                              </w:rPr>
                              <w:t>Naše lázně</w:t>
                            </w:r>
                          </w:p>
                        </w:txbxContent>
                      </wps:txbx>
                      <wps:bodyPr lIns="0" tIns="0" rIns="0" bIns="0">
                        <a:spAutoFit/>
                      </wps:bodyPr>
                    </wps:wsp>
                  </a:graphicData>
                </a:graphic>
              </wp:anchor>
            </w:drawing>
          </mc:Choice>
          <mc:Fallback>
            <w:pict>
              <v:shape id="_x0000_s1861" type="#_x0000_t202" style="position:absolute;margin-left:381.10000000000002pt;margin-top:57.350000000000001pt;width:68.150000000000006pt;height:18.pt;z-index:-125828541;mso-wrap-distance-left:9.pt;mso-wrap-distance-right:9.pt;mso-position-horizontal-relative:page;mso-position-vertical-relative:margin"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shd w:val="clear" w:color="auto" w:fill="auto"/>
                          <w:lang w:val="cs-CZ" w:eastAsia="cs-CZ" w:bidi="cs-CZ"/>
                        </w:rPr>
                        <w:t>Naše lázně</w:t>
                      </w:r>
                    </w:p>
                  </w:txbxContent>
                </v:textbox>
                <w10:wrap type="square" side="left" anchorx="page" anchory="margin"/>
              </v:shape>
            </w:pict>
          </mc:Fallback>
        </mc:AlternateContent>
      </w:r>
      <w:r>
        <w:rPr>
          <w:sz w:val="20"/>
          <w:szCs w:val="20"/>
        </w:rPr>
        <w:t xml:space="preserve">abent sua fata ... i lázeňská místa. Přijdeš někdy do malého místečka v české rovině. Jede </w:t>
      </w:r>
      <w:r>
        <w:rPr>
          <w:sz w:val="20"/>
          <w:szCs w:val="20"/>
        </w:rPr>
        <w:t>tam snad jen docela malý, udýchaný vláček, ale hned při prvních krocích pocítíš, že jsi se octl na půdě nějak zvlášť ušlechtilé. Vane tu nějaký zvlášť sytý vzduch a brzy uvidíš, že tu někde nablízku stával krásný, snad vzne</w:t>
      </w:r>
      <w:r>
        <w:rPr>
          <w:sz w:val="20"/>
          <w:szCs w:val="20"/>
        </w:rPr>
        <w:softHyphen/>
        <w:t>šený park. Tý stromy, co tu zbyl</w:t>
      </w:r>
      <w:r>
        <w:rPr>
          <w:sz w:val="20"/>
          <w:szCs w:val="20"/>
        </w:rPr>
        <w:t>y v umělém seskupení, vrhají aristokratický stín na upravené pěšiny. Pár la</w:t>
      </w:r>
      <w:r>
        <w:rPr>
          <w:sz w:val="20"/>
          <w:szCs w:val="20"/>
        </w:rPr>
        <w:softHyphen/>
        <w:t>viček, empirový gloriet, pískovcové sošky, patinované zeleným a šedivým mechem, staré dámy pomalu se pro</w:t>
      </w:r>
      <w:r>
        <w:rPr>
          <w:sz w:val="20"/>
          <w:szCs w:val="20"/>
        </w:rPr>
        <w:softHyphen/>
        <w:t xml:space="preserve">cházejí někde v hlubině vzdálených trávníků a hle, je tu i stará kolonáda, </w:t>
      </w:r>
      <w:r>
        <w:rPr>
          <w:sz w:val="20"/>
          <w:szCs w:val="20"/>
        </w:rPr>
        <w:t>miniaturní, elegantní, tichá, trochu zanedbaná. Poznáš, že jsi v bývalých a snad i nyněj</w:t>
      </w:r>
      <w:r>
        <w:rPr>
          <w:sz w:val="20"/>
          <w:szCs w:val="20"/>
        </w:rPr>
        <w:softHyphen/>
        <w:t>ších lázních, ve světě, který má své dějiny, zažil svou slávu a nyní odpočívá. Přijde k tobě starý pán a vy</w:t>
      </w:r>
      <w:r>
        <w:rPr>
          <w:sz w:val="20"/>
          <w:szCs w:val="20"/>
        </w:rPr>
        <w:softHyphen/>
        <w:t>loží ti, že zde roku onoho se léčil Wolfgang Amadeus Mozart</w:t>
      </w:r>
      <w:r>
        <w:rPr>
          <w:sz w:val="20"/>
          <w:szCs w:val="20"/>
        </w:rPr>
        <w:t xml:space="preserve"> na své cestě do Prahy, že tu bývala velko- kněžna Maria </w:t>
      </w:r>
      <w:r>
        <w:rPr>
          <w:sz w:val="20"/>
          <w:szCs w:val="20"/>
          <w:lang w:val="en-US" w:eastAsia="en-US" w:bidi="en-US"/>
        </w:rPr>
        <w:t xml:space="preserve">Pavlovna </w:t>
      </w:r>
      <w:r>
        <w:rPr>
          <w:sz w:val="20"/>
          <w:szCs w:val="20"/>
        </w:rPr>
        <w:t xml:space="preserve">či </w:t>
      </w:r>
      <w:r>
        <w:rPr>
          <w:sz w:val="20"/>
          <w:szCs w:val="20"/>
          <w:lang w:val="en-US" w:eastAsia="en-US" w:bidi="en-US"/>
        </w:rPr>
        <w:t xml:space="preserve">Konstantinovna </w:t>
      </w:r>
      <w:r>
        <w:rPr>
          <w:sz w:val="20"/>
          <w:szCs w:val="20"/>
        </w:rPr>
        <w:t>z carského rodu, že se tu zastavil ten slavný francouzský generál, který byl raněn v bitvě u Slavkova, že se zde slavně a vesele žilo ještě včera a snad už před pěti sty le</w:t>
      </w:r>
      <w:r>
        <w:rPr>
          <w:sz w:val="20"/>
          <w:szCs w:val="20"/>
        </w:rPr>
        <w:t>ty. Teď tu zbyly jen ty malé lázničky a ta voda, která zas dochází nového pochopení. Snad, za malou chvíli, budou naše lázně zas tak proslulé jako za umírajícího rokoka. Nechci říci, které malé lázně mám na mysli. Ale věřte, že tu mezi námi jsou a čekají n</w:t>
      </w:r>
      <w:r>
        <w:rPr>
          <w:sz w:val="20"/>
          <w:szCs w:val="20"/>
        </w:rPr>
        <w:t>a vás. A že jsou skutečně takové, jak jsem je popsal.</w:t>
      </w:r>
    </w:p>
    <w:p w:rsidR="00500724" w:rsidRDefault="00F30FB8">
      <w:pPr>
        <w:pStyle w:val="Zkladntext1"/>
        <w:shd w:val="clear" w:color="auto" w:fill="auto"/>
        <w:spacing w:after="60" w:line="223" w:lineRule="auto"/>
        <w:ind w:firstLine="0"/>
        <w:jc w:val="center"/>
        <w:rPr>
          <w:sz w:val="20"/>
          <w:szCs w:val="20"/>
        </w:rPr>
      </w:pPr>
      <w:r>
        <w:rPr>
          <w:b/>
          <w:bCs/>
          <w:sz w:val="20"/>
          <w:szCs w:val="20"/>
        </w:rPr>
        <w:t>Statistika je zbytečná.</w:t>
      </w:r>
    </w:p>
    <w:p w:rsidR="00500724" w:rsidRDefault="00F30FB8">
      <w:pPr>
        <w:pStyle w:val="Zkladntext1"/>
        <w:shd w:val="clear" w:color="auto" w:fill="auto"/>
        <w:spacing w:line="226" w:lineRule="auto"/>
        <w:ind w:firstLine="240"/>
        <w:rPr>
          <w:sz w:val="20"/>
          <w:szCs w:val="20"/>
        </w:rPr>
      </w:pPr>
      <w:r>
        <w:rPr>
          <w:sz w:val="20"/>
          <w:szCs w:val="20"/>
        </w:rPr>
        <w:t>Netřeba opakovat, že naše země oplývaly a oplývají léčivými prameny. Není třeba opakovat, kolik lázeň</w:t>
      </w:r>
      <w:r>
        <w:rPr>
          <w:sz w:val="20"/>
          <w:szCs w:val="20"/>
        </w:rPr>
        <w:softHyphen/>
        <w:t>ských středisk zůstalo na oné straně pomezí po pod</w:t>
      </w:r>
      <w:r>
        <w:rPr>
          <w:sz w:val="20"/>
          <w:szCs w:val="20"/>
        </w:rPr>
        <w:softHyphen/>
        <w:t>zimu roku 1938. Podívejme</w:t>
      </w:r>
      <w:r>
        <w:rPr>
          <w:sz w:val="20"/>
          <w:szCs w:val="20"/>
        </w:rPr>
        <w:t xml:space="preserve"> se na ty lázně, které tu má</w:t>
      </w:r>
      <w:r>
        <w:rPr>
          <w:sz w:val="20"/>
          <w:szCs w:val="20"/>
        </w:rPr>
        <w:softHyphen/>
        <w:t>me. Nejsou tak nevýznamné po léčivé stránce. Nejsou také z posledních co do přírodních krás a pohostinné</w:t>
      </w:r>
      <w:r>
        <w:rPr>
          <w:sz w:val="20"/>
          <w:szCs w:val="20"/>
        </w:rPr>
        <w:softHyphen/>
        <w:t>ho pohodlí. A je jich mnoho. Tolik, že postačí našim nárokům. Jeden důkaz víc, jak krásná a bohatá je naše země.</w:t>
      </w:r>
    </w:p>
    <w:p w:rsidR="00500724" w:rsidRDefault="00F30FB8">
      <w:pPr>
        <w:pStyle w:val="Zkladntext1"/>
        <w:shd w:val="clear" w:color="auto" w:fill="auto"/>
        <w:spacing w:after="60" w:line="226" w:lineRule="auto"/>
        <w:ind w:firstLine="240"/>
        <w:rPr>
          <w:sz w:val="20"/>
          <w:szCs w:val="20"/>
        </w:rPr>
      </w:pPr>
      <w:r>
        <w:rPr>
          <w:sz w:val="20"/>
          <w:szCs w:val="20"/>
        </w:rPr>
        <w:t>Snad vyne</w:t>
      </w:r>
      <w:r>
        <w:rPr>
          <w:sz w:val="20"/>
          <w:szCs w:val="20"/>
        </w:rPr>
        <w:t>cháme některé pěkné české nebo morav</w:t>
      </w:r>
      <w:r>
        <w:rPr>
          <w:sz w:val="20"/>
          <w:szCs w:val="20"/>
        </w:rPr>
        <w:softHyphen/>
        <w:t>ské místečko, které by chtělo uvidět své jméno mezi našimi lázněmi. Snad nebudeme stejně právi všem, kdož mají nárok na přesnější charakteristiku, na více pochvalných řádek. Rádi opravíme a doplníme. — Aby všem bylo měř</w:t>
      </w:r>
      <w:r>
        <w:rPr>
          <w:sz w:val="20"/>
          <w:szCs w:val="20"/>
        </w:rPr>
        <w:t>eno stejně, půjdeme podle abecedy. Bechyně.</w:t>
      </w:r>
    </w:p>
    <w:p w:rsidR="00500724" w:rsidRDefault="00F30FB8">
      <w:pPr>
        <w:pStyle w:val="Zkladntext1"/>
        <w:shd w:val="clear" w:color="auto" w:fill="auto"/>
        <w:spacing w:after="60" w:line="230" w:lineRule="auto"/>
        <w:ind w:firstLine="240"/>
        <w:rPr>
          <w:sz w:val="20"/>
          <w:szCs w:val="20"/>
        </w:rPr>
      </w:pPr>
      <w:r>
        <w:rPr>
          <w:sz w:val="20"/>
          <w:szCs w:val="20"/>
        </w:rPr>
        <w:t>407 m nad mořem, nad Lužnicí, nedaleko starobylého Tábora, spojeny s ním elektrickou drahou, leží jiho</w:t>
      </w:r>
      <w:r>
        <w:rPr>
          <w:sz w:val="20"/>
          <w:szCs w:val="20"/>
        </w:rPr>
        <w:softHyphen/>
        <w:t>české „Libušiny lázně“ Bechyně. Vznikly kolem pra</w:t>
      </w:r>
      <w:r>
        <w:rPr>
          <w:sz w:val="20"/>
          <w:szCs w:val="20"/>
        </w:rPr>
        <w:softHyphen/>
        <w:t>menů mineralisované arseno-lithnato-železité vody, jejíž lé</w:t>
      </w:r>
      <w:r>
        <w:rPr>
          <w:sz w:val="20"/>
          <w:szCs w:val="20"/>
        </w:rPr>
        <w:t>čivost byla známa v středověku a od roku 1728 i vědecky prozkoumána a uznána. Blatské rašeliny a bohaté železité vody poskytují hojivé koupele. Indi</w:t>
      </w:r>
      <w:r>
        <w:rPr>
          <w:sz w:val="20"/>
          <w:szCs w:val="20"/>
        </w:rPr>
        <w:softHyphen/>
        <w:t>kace: Rheumatismus, dna, chudokrevnost, blednička, choroby nervů. Léto v Bechyni je příjemné i pro letní ho</w:t>
      </w:r>
      <w:r>
        <w:rPr>
          <w:sz w:val="20"/>
          <w:szCs w:val="20"/>
        </w:rPr>
        <w:t>sty a turisty. Obrovský masiv lesů vydechuje po celé léto pryskyřičnou vůni, kyslík a dobrou náladu. Bělohrad.</w:t>
      </w:r>
    </w:p>
    <w:p w:rsidR="00500724" w:rsidRDefault="00F30FB8">
      <w:pPr>
        <w:pStyle w:val="Zkladntext1"/>
        <w:shd w:val="clear" w:color="auto" w:fill="auto"/>
        <w:spacing w:after="80" w:line="221" w:lineRule="auto"/>
        <w:ind w:firstLine="240"/>
        <w:rPr>
          <w:sz w:val="20"/>
          <w:szCs w:val="20"/>
        </w:rPr>
        <w:sectPr w:rsidR="00500724">
          <w:footnotePr>
            <w:numFmt w:val="chicago"/>
            <w:numRestart w:val="eachPage"/>
          </w:footnotePr>
          <w:type w:val="continuous"/>
          <w:pgSz w:w="11909" w:h="16834"/>
          <w:pgMar w:top="1006" w:right="988" w:bottom="1064" w:left="496" w:header="0" w:footer="3" w:gutter="0"/>
          <w:cols w:num="2" w:space="163"/>
          <w:noEndnote/>
          <w:docGrid w:linePitch="360"/>
        </w:sectPr>
      </w:pPr>
      <w:r>
        <w:rPr>
          <w:sz w:val="20"/>
          <w:szCs w:val="20"/>
        </w:rPr>
        <w:t>Nedávno nás překvapil svou milou úpravností z pro</w:t>
      </w:r>
      <w:r>
        <w:rPr>
          <w:sz w:val="20"/>
          <w:szCs w:val="20"/>
        </w:rPr>
        <w:softHyphen/>
        <w:t>pagačního filmu. Podkrkonošské lázně s parkem Ba-</w:t>
      </w:r>
    </w:p>
    <w:p w:rsidR="00500724" w:rsidRDefault="00F30FB8">
      <w:pPr>
        <w:spacing w:line="14" w:lineRule="exact"/>
      </w:pPr>
      <w:r>
        <w:rPr>
          <w:noProof/>
        </w:rPr>
        <mc:AlternateContent>
          <mc:Choice Requires="wps">
            <w:drawing>
              <wp:anchor distT="0" distB="50800" distL="114300" distR="1001395" simplePos="0" relativeHeight="125830214" behindDoc="0" locked="0" layoutInCell="1" allowOverlap="1">
                <wp:simplePos x="0" y="0"/>
                <wp:positionH relativeFrom="page">
                  <wp:posOffset>2930525</wp:posOffset>
                </wp:positionH>
                <wp:positionV relativeFrom="paragraph">
                  <wp:posOffset>12700</wp:posOffset>
                </wp:positionV>
                <wp:extent cx="420370" cy="408305"/>
                <wp:effectExtent l="0" t="0" r="0" b="0"/>
                <wp:wrapTopAndBottom/>
                <wp:docPr id="837" name="Shape 837"/>
                <wp:cNvGraphicFramePr/>
                <a:graphic xmlns:a="http://schemas.openxmlformats.org/drawingml/2006/main">
                  <a:graphicData uri="http://schemas.microsoft.com/office/word/2010/wordprocessingShape">
                    <wps:wsp>
                      <wps:cNvSpPr txBox="1"/>
                      <wps:spPr>
                        <a:xfrm>
                          <a:off x="0" y="0"/>
                          <a:ext cx="420370" cy="408305"/>
                        </a:xfrm>
                        <a:prstGeom prst="rect">
                          <a:avLst/>
                        </a:prstGeom>
                        <a:noFill/>
                      </wps:spPr>
                      <wps:txbx>
                        <w:txbxContent>
                          <w:p w:rsidR="00500724" w:rsidRDefault="00F30FB8">
                            <w:pPr>
                              <w:pStyle w:val="Nadpis80"/>
                              <w:keepNext/>
                              <w:keepLines/>
                              <w:shd w:val="clear" w:color="auto" w:fill="auto"/>
                              <w:spacing w:after="0"/>
                              <w:rPr>
                                <w:sz w:val="48"/>
                                <w:szCs w:val="48"/>
                              </w:rPr>
                            </w:pPr>
                            <w:bookmarkStart w:id="856" w:name="bookmark855"/>
                            <w:r>
                              <w:rPr>
                                <w:sz w:val="48"/>
                                <w:szCs w:val="48"/>
                                <w:u w:val="none"/>
                              </w:rPr>
                              <w:t>Přft</w:t>
                            </w:r>
                            <w:bookmarkEnd w:id="856"/>
                          </w:p>
                        </w:txbxContent>
                      </wps:txbx>
                      <wps:bodyPr lIns="0" tIns="0" rIns="0" bIns="0">
                        <a:spAutoFit/>
                      </wps:bodyPr>
                    </wps:wsp>
                  </a:graphicData>
                </a:graphic>
              </wp:anchor>
            </w:drawing>
          </mc:Choice>
          <mc:Fallback>
            <w:pict>
              <v:shape id="_x0000_s1863" type="#_x0000_t202" style="position:absolute;margin-left:230.75pt;margin-top:1.pt;width:33.100000000000001pt;height:32.149999999999999pt;z-index:-125828539;mso-wrap-distance-left:9.pt;mso-wrap-distance-right:78.849999999999994pt;mso-wrap-distance-bottom:4.pt;mso-position-horizontal-relative:page" filled="f" stroked="f">
                <v:textbox style="mso-fit-shape-to-text:t" inset="0,0,0,0">
                  <w:txbxContent>
                    <w:p>
                      <w:pPr>
                        <w:pStyle w:val="Style56"/>
                        <w:keepNext/>
                        <w:keepLines/>
                        <w:widowControl w:val="0"/>
                        <w:shd w:val="clear" w:color="auto" w:fill="auto"/>
                        <w:bidi w:val="0"/>
                        <w:spacing w:before="0" w:after="0" w:line="240" w:lineRule="auto"/>
                        <w:ind w:left="0" w:right="0" w:firstLine="0"/>
                        <w:jc w:val="left"/>
                        <w:rPr>
                          <w:sz w:val="48"/>
                          <w:szCs w:val="48"/>
                        </w:rPr>
                      </w:pPr>
                      <w:bookmarkStart w:id="855" w:name="bookmark855"/>
                      <w:r>
                        <w:rPr>
                          <w:color w:val="000000"/>
                          <w:spacing w:val="0"/>
                          <w:w w:val="100"/>
                          <w:position w:val="0"/>
                          <w:sz w:val="48"/>
                          <w:szCs w:val="48"/>
                          <w:u w:val="none"/>
                          <w:shd w:val="clear" w:color="auto" w:fill="auto"/>
                          <w:lang w:val="cs-CZ" w:eastAsia="cs-CZ" w:bidi="cs-CZ"/>
                        </w:rPr>
                        <w:t>Přft</w:t>
                      </w:r>
                      <w:bookmarkEnd w:id="855"/>
                    </w:p>
                  </w:txbxContent>
                </v:textbox>
                <w10:wrap type="topAndBottom" anchorx="page"/>
              </v:shape>
            </w:pict>
          </mc:Fallback>
        </mc:AlternateContent>
      </w:r>
      <w:r>
        <w:rPr>
          <w:noProof/>
        </w:rPr>
        <mc:AlternateContent>
          <mc:Choice Requires="wps">
            <w:drawing>
              <wp:anchor distT="73025" distB="69215" distL="778510" distR="114300" simplePos="0" relativeHeight="125830216" behindDoc="0" locked="0" layoutInCell="1" allowOverlap="1">
                <wp:simplePos x="0" y="0"/>
                <wp:positionH relativeFrom="page">
                  <wp:posOffset>3595370</wp:posOffset>
                </wp:positionH>
                <wp:positionV relativeFrom="paragraph">
                  <wp:posOffset>85725</wp:posOffset>
                </wp:positionV>
                <wp:extent cx="643255" cy="316865"/>
                <wp:effectExtent l="0" t="0" r="0" b="0"/>
                <wp:wrapTopAndBottom/>
                <wp:docPr id="839" name="Shape 839"/>
                <wp:cNvGraphicFramePr/>
                <a:graphic xmlns:a="http://schemas.openxmlformats.org/drawingml/2006/main">
                  <a:graphicData uri="http://schemas.microsoft.com/office/word/2010/wordprocessingShape">
                    <wps:wsp>
                      <wps:cNvSpPr txBox="1"/>
                      <wps:spPr>
                        <a:xfrm>
                          <a:off x="0" y="0"/>
                          <a:ext cx="643255" cy="316865"/>
                        </a:xfrm>
                        <a:prstGeom prst="rect">
                          <a:avLst/>
                        </a:prstGeom>
                        <a:noFill/>
                      </wps:spPr>
                      <wps:txbx>
                        <w:txbxContent>
                          <w:p w:rsidR="00500724" w:rsidRDefault="00F30FB8">
                            <w:pPr>
                              <w:pStyle w:val="Nadpis90"/>
                              <w:keepNext/>
                              <w:keepLines/>
                              <w:shd w:val="clear" w:color="auto" w:fill="auto"/>
                              <w:spacing w:after="0"/>
                            </w:pPr>
                            <w:bookmarkStart w:id="857" w:name="bookmark856"/>
                            <w:r>
                              <w:t>nosL</w:t>
                            </w:r>
                            <w:r>
                              <w:t>z</w:t>
                            </w:r>
                            <w:bookmarkEnd w:id="857"/>
                          </w:p>
                        </w:txbxContent>
                      </wps:txbx>
                      <wps:bodyPr lIns="0" tIns="0" rIns="0" bIns="0">
                        <a:spAutoFit/>
                      </wps:bodyPr>
                    </wps:wsp>
                  </a:graphicData>
                </a:graphic>
              </wp:anchor>
            </w:drawing>
          </mc:Choice>
          <mc:Fallback>
            <w:pict>
              <v:shape id="_x0000_s1865" type="#_x0000_t202" style="position:absolute;margin-left:283.10000000000002pt;margin-top:6.75pt;width:50.649999999999999pt;height:24.949999999999999pt;z-index:-125828537;mso-wrap-distance-left:61.299999999999997pt;mso-wrap-distance-top:5.75pt;mso-wrap-distance-right:9.pt;mso-wrap-distance-bottom:5.4500000000000002pt;mso-position-horizontal-relative:page" filled="f" stroked="f">
                <v:textbox style="mso-fit-shape-to-text:t" inset="0,0,0,0">
                  <w:txbxContent>
                    <w:p>
                      <w:pPr>
                        <w:pStyle w:val="Style26"/>
                        <w:keepNext/>
                        <w:keepLines/>
                        <w:widowControl w:val="0"/>
                        <w:shd w:val="clear" w:color="auto" w:fill="auto"/>
                        <w:bidi w:val="0"/>
                        <w:spacing w:before="0" w:after="0" w:line="240" w:lineRule="auto"/>
                        <w:ind w:left="0" w:right="0" w:firstLine="0"/>
                        <w:jc w:val="left"/>
                      </w:pPr>
                      <w:bookmarkStart w:id="856" w:name="bookmark856"/>
                      <w:r>
                        <w:rPr>
                          <w:color w:val="000000"/>
                          <w:spacing w:val="0"/>
                          <w:w w:val="100"/>
                          <w:position w:val="0"/>
                          <w:sz w:val="40"/>
                          <w:szCs w:val="40"/>
                          <w:shd w:val="clear" w:color="auto" w:fill="auto"/>
                          <w:lang w:val="cs-CZ" w:eastAsia="cs-CZ" w:bidi="cs-CZ"/>
                        </w:rPr>
                        <w:t>nosLz</w:t>
                      </w:r>
                      <w:bookmarkEnd w:id="856"/>
                    </w:p>
                  </w:txbxContent>
                </v:textbox>
                <w10:wrap type="topAndBottom" anchorx="page"/>
              </v:shape>
            </w:pict>
          </mc:Fallback>
        </mc:AlternateContent>
      </w:r>
    </w:p>
    <w:p w:rsidR="00500724" w:rsidRDefault="00F30FB8">
      <w:pPr>
        <w:pStyle w:val="Zkladntext30"/>
        <w:shd w:val="clear" w:color="auto" w:fill="auto"/>
        <w:spacing w:after="100"/>
        <w:ind w:firstLine="0"/>
        <w:rPr>
          <w:sz w:val="20"/>
          <w:szCs w:val="20"/>
        </w:rPr>
      </w:pPr>
      <w:r>
        <w:rPr>
          <w:sz w:val="20"/>
          <w:szCs w:val="20"/>
        </w:rPr>
        <w:t>žantnicí, koupalištěm Pardoubkem, tennisovými cour- ty, mírnými zalesněnými svahy Chlumů. Leží na trati Praha—Chlumec n. C.—Turnov, v půvabné kotlině pod Kamennou hůrou. Skoro pod Zvičinou, řekli bychom rádi, vzpomínajíce na Raise. Nadmořská výše 297 m.</w:t>
      </w:r>
      <w:r>
        <w:rPr>
          <w:sz w:val="20"/>
          <w:szCs w:val="20"/>
        </w:rPr>
        <w:t xml:space="preserve"> Bělohrad jsou lázně slatinné. Přijíždějí sem nemocní rheumatismem, dnou, nedokrevností, chorobami jater- ními, kornatěním cév. Koupele pomáhají při chorobách nervových a chronických chorobách ženských. — Bý</w:t>
      </w:r>
      <w:r>
        <w:rPr>
          <w:sz w:val="20"/>
          <w:szCs w:val="20"/>
        </w:rPr>
        <w:softHyphen/>
        <w:t>valá panská obora byla proměněna v obrovský angl</w:t>
      </w:r>
      <w:r>
        <w:rPr>
          <w:sz w:val="20"/>
          <w:szCs w:val="20"/>
        </w:rPr>
        <w:t>ic</w:t>
      </w:r>
      <w:r>
        <w:rPr>
          <w:sz w:val="20"/>
          <w:szCs w:val="20"/>
        </w:rPr>
        <w:softHyphen/>
        <w:t>ký park. Zakladatelkou lázní byla Anna hraběnka z Asseburgu, ze slavného rodu Kleistů, která objevila léčivé bahnisko v bažantnici.</w:t>
      </w:r>
    </w:p>
    <w:p w:rsidR="00500724" w:rsidRDefault="00F30FB8">
      <w:pPr>
        <w:pStyle w:val="Zkladntext30"/>
        <w:shd w:val="clear" w:color="auto" w:fill="auto"/>
        <w:ind w:firstLine="0"/>
        <w:jc w:val="center"/>
        <w:rPr>
          <w:sz w:val="20"/>
          <w:szCs w:val="20"/>
        </w:rPr>
      </w:pPr>
      <w:r>
        <w:rPr>
          <w:sz w:val="20"/>
          <w:szCs w:val="20"/>
        </w:rPr>
        <w:t>B ě 1 o v e s.</w:t>
      </w:r>
    </w:p>
    <w:p w:rsidR="00500724" w:rsidRDefault="00F30FB8">
      <w:pPr>
        <w:pStyle w:val="Zkladntext30"/>
        <w:shd w:val="clear" w:color="auto" w:fill="auto"/>
        <w:spacing w:after="0"/>
        <w:ind w:firstLine="240"/>
        <w:rPr>
          <w:sz w:val="20"/>
          <w:szCs w:val="20"/>
        </w:rPr>
      </w:pPr>
      <w:r>
        <w:rPr>
          <w:sz w:val="20"/>
          <w:szCs w:val="20"/>
        </w:rPr>
        <w:t>Kousek od Náchoda, v místech, posvěcených Bože</w:t>
      </w:r>
      <w:r>
        <w:rPr>
          <w:sz w:val="20"/>
          <w:szCs w:val="20"/>
        </w:rPr>
        <w:softHyphen/>
        <w:t xml:space="preserve">nou Němcovou a Jiráskem, 347 m nad mořem, mezi lesy, okolo </w:t>
      </w:r>
      <w:r>
        <w:rPr>
          <w:sz w:val="20"/>
          <w:szCs w:val="20"/>
        </w:rPr>
        <w:t>starého pramene „ostré vody“ vznikly v ro</w:t>
      </w:r>
      <w:r>
        <w:rPr>
          <w:sz w:val="20"/>
          <w:szCs w:val="20"/>
        </w:rPr>
        <w:softHyphen/>
        <w:t>ce 1818 lázně Běloves. Idylické místo — má i svou kolonádu, jednu z těch, o kterých jsme psali, ale svě</w:t>
      </w:r>
      <w:r>
        <w:rPr>
          <w:sz w:val="20"/>
          <w:szCs w:val="20"/>
        </w:rPr>
        <w:softHyphen/>
        <w:t>žejšího data. — Je seskupeno kolem pramene přírodní uhličité kyselky Idy. A zas: Léčí se zde rheumatismus, dna</w:t>
      </w:r>
      <w:r>
        <w:rPr>
          <w:sz w:val="20"/>
          <w:szCs w:val="20"/>
        </w:rPr>
        <w:t>, záněty nervů, ischias, neuralgie, krevní přetlak. Vedle přírodních lázní uhličitých máš tu i lázně raše- linné a konečně i překrásné lesy, věrné pomocníky lékařů.</w:t>
      </w:r>
    </w:p>
    <w:p w:rsidR="00500724" w:rsidRDefault="00F30FB8">
      <w:pPr>
        <w:pStyle w:val="Zkladntext30"/>
        <w:shd w:val="clear" w:color="auto" w:fill="auto"/>
        <w:ind w:firstLine="0"/>
        <w:jc w:val="center"/>
        <w:rPr>
          <w:sz w:val="20"/>
          <w:szCs w:val="20"/>
        </w:rPr>
      </w:pPr>
      <w:r>
        <w:rPr>
          <w:sz w:val="20"/>
          <w:szCs w:val="20"/>
        </w:rPr>
        <w:t>Bohdane č.</w:t>
      </w:r>
    </w:p>
    <w:p w:rsidR="00500724" w:rsidRDefault="00F30FB8">
      <w:pPr>
        <w:pStyle w:val="Zkladntext30"/>
        <w:shd w:val="clear" w:color="auto" w:fill="auto"/>
        <w:ind w:firstLine="240"/>
        <w:rPr>
          <w:sz w:val="20"/>
          <w:szCs w:val="20"/>
        </w:rPr>
      </w:pPr>
      <w:r>
        <w:rPr>
          <w:sz w:val="20"/>
          <w:szCs w:val="20"/>
        </w:rPr>
        <w:t>Blízko od Pardubic. Pouhých 216 m nad mořem. Sla</w:t>
      </w:r>
      <w:r>
        <w:rPr>
          <w:sz w:val="20"/>
          <w:szCs w:val="20"/>
        </w:rPr>
        <w:softHyphen/>
        <w:t>tinné a alkalické minerální pra</w:t>
      </w:r>
      <w:r>
        <w:rPr>
          <w:sz w:val="20"/>
          <w:szCs w:val="20"/>
        </w:rPr>
        <w:t>meny. Organisovaná vědecká léčba srdečních nemocí, krevního přetlaku, neuros, chorob výměny látek, dny, onemocnění nervů. Pět lázeňských domů s několika sty lůžek. Lázně, jež nabyly popularity intensivní výkonností. Bohaté po</w:t>
      </w:r>
      <w:r>
        <w:rPr>
          <w:sz w:val="20"/>
          <w:szCs w:val="20"/>
        </w:rPr>
        <w:softHyphen/>
        <w:t>labské slunce.</w:t>
      </w:r>
    </w:p>
    <w:p w:rsidR="00500724" w:rsidRDefault="00F30FB8">
      <w:pPr>
        <w:pStyle w:val="Zkladntext30"/>
        <w:shd w:val="clear" w:color="auto" w:fill="auto"/>
        <w:ind w:firstLine="0"/>
        <w:jc w:val="center"/>
        <w:rPr>
          <w:sz w:val="20"/>
          <w:szCs w:val="20"/>
        </w:rPr>
      </w:pPr>
      <w:r>
        <w:rPr>
          <w:sz w:val="20"/>
          <w:szCs w:val="20"/>
        </w:rPr>
        <w:t>Houšťka.</w:t>
      </w:r>
    </w:p>
    <w:p w:rsidR="00500724" w:rsidRDefault="00F30FB8">
      <w:pPr>
        <w:pStyle w:val="Zkladntext30"/>
        <w:shd w:val="clear" w:color="auto" w:fill="auto"/>
        <w:spacing w:after="100" w:line="221" w:lineRule="auto"/>
        <w:ind w:firstLine="240"/>
        <w:rPr>
          <w:sz w:val="20"/>
          <w:szCs w:val="20"/>
        </w:rPr>
      </w:pPr>
      <w:r>
        <w:rPr>
          <w:sz w:val="20"/>
          <w:szCs w:val="20"/>
        </w:rPr>
        <w:t xml:space="preserve">23 km </w:t>
      </w:r>
      <w:r>
        <w:rPr>
          <w:sz w:val="20"/>
          <w:szCs w:val="20"/>
        </w:rPr>
        <w:t>od Prahy, malé, staré lázničky. Železitý pra</w:t>
      </w:r>
      <w:r>
        <w:rPr>
          <w:sz w:val="20"/>
          <w:szCs w:val="20"/>
        </w:rPr>
        <w:softHyphen/>
        <w:t>men, prameny uhličité, železito-minerální slatina, mi</w:t>
      </w:r>
      <w:r>
        <w:rPr>
          <w:sz w:val="20"/>
          <w:szCs w:val="20"/>
        </w:rPr>
        <w:softHyphen/>
        <w:t>nerální voda Václavka. Česká rovina, park, tichý kraj. Místo, které milovali Pražané v minulosti a kam se zase vracejí. Nejen nemocní rheumatismem, dnou, cuk</w:t>
      </w:r>
      <w:r>
        <w:rPr>
          <w:sz w:val="20"/>
          <w:szCs w:val="20"/>
        </w:rPr>
        <w:t>rovkou, chudokrevností, chorobami žaludečními, nýbrž i zdraví, kteří si chtějí odpočinout.</w:t>
      </w:r>
    </w:p>
    <w:p w:rsidR="00500724" w:rsidRDefault="00F30FB8">
      <w:pPr>
        <w:pStyle w:val="Zkladntext30"/>
        <w:shd w:val="clear" w:color="auto" w:fill="auto"/>
        <w:ind w:firstLine="0"/>
        <w:jc w:val="center"/>
        <w:rPr>
          <w:sz w:val="20"/>
          <w:szCs w:val="20"/>
        </w:rPr>
      </w:pPr>
      <w:r>
        <w:rPr>
          <w:sz w:val="20"/>
          <w:szCs w:val="20"/>
        </w:rPr>
        <w:t>L e t i n y.</w:t>
      </w:r>
    </w:p>
    <w:p w:rsidR="00500724" w:rsidRDefault="00F30FB8">
      <w:pPr>
        <w:pStyle w:val="Zkladntext30"/>
        <w:shd w:val="clear" w:color="auto" w:fill="auto"/>
        <w:spacing w:after="120"/>
        <w:ind w:firstLine="240"/>
        <w:rPr>
          <w:sz w:val="20"/>
          <w:szCs w:val="20"/>
        </w:rPr>
      </w:pPr>
      <w:r>
        <w:rPr>
          <w:sz w:val="20"/>
          <w:szCs w:val="20"/>
        </w:rPr>
        <w:t>Nazveme je našimi nynějšími „západočeskými“ láz</w:t>
      </w:r>
      <w:r>
        <w:rPr>
          <w:sz w:val="20"/>
          <w:szCs w:val="20"/>
        </w:rPr>
        <w:softHyphen/>
        <w:t>němi. Leží jižně od Plzně, mezi Úhlavou a Úslavou. Od května do konce září je tu sezóna pro zdravé i ne</w:t>
      </w:r>
      <w:r>
        <w:rPr>
          <w:sz w:val="20"/>
          <w:szCs w:val="20"/>
        </w:rPr>
        <w:softHyphen/>
      </w:r>
      <w:r>
        <w:rPr>
          <w:sz w:val="20"/>
          <w:szCs w:val="20"/>
        </w:rPr>
        <w:t>mocné, kteří sem přijíždějí s dnou, ischiasem, nemo</w:t>
      </w:r>
      <w:r>
        <w:rPr>
          <w:sz w:val="20"/>
          <w:szCs w:val="20"/>
        </w:rPr>
        <w:softHyphen/>
        <w:t>cemi ženskými a krevními. V pozadí poslední svahy šumavských předhoří. Lesy, luka a pole. Původ už v 13. století. Šumavskému světci, sv. Vintíři, je za</w:t>
      </w:r>
      <w:r>
        <w:rPr>
          <w:sz w:val="20"/>
          <w:szCs w:val="20"/>
        </w:rPr>
        <w:softHyphen/>
        <w:t>svěceno zdejší bohaté alkalické zřídlo. Kolonáda a j</w:t>
      </w:r>
      <w:r>
        <w:rPr>
          <w:sz w:val="20"/>
          <w:szCs w:val="20"/>
        </w:rPr>
        <w:t>e</w:t>
      </w:r>
      <w:r>
        <w:rPr>
          <w:sz w:val="20"/>
          <w:szCs w:val="20"/>
        </w:rPr>
        <w:softHyphen/>
        <w:t>zírko. A Adolf Heyduk: „Vy milé, tiché Letiny, kde veršů vžiti květiny, bych přizdobil Vaši hruď?“</w:t>
      </w:r>
    </w:p>
    <w:p w:rsidR="00500724" w:rsidRDefault="00F30FB8">
      <w:pPr>
        <w:pStyle w:val="Zkladntext30"/>
        <w:shd w:val="clear" w:color="auto" w:fill="auto"/>
        <w:ind w:firstLine="0"/>
        <w:jc w:val="center"/>
        <w:rPr>
          <w:sz w:val="20"/>
          <w:szCs w:val="20"/>
        </w:rPr>
      </w:pPr>
      <w:r>
        <w:rPr>
          <w:sz w:val="20"/>
          <w:szCs w:val="20"/>
        </w:rPr>
        <w:t>Luhačovice.</w:t>
      </w:r>
    </w:p>
    <w:p w:rsidR="00500724" w:rsidRDefault="00F30FB8">
      <w:pPr>
        <w:pStyle w:val="Zkladntext30"/>
        <w:shd w:val="clear" w:color="auto" w:fill="auto"/>
        <w:spacing w:after="100" w:line="221" w:lineRule="auto"/>
        <w:ind w:firstLine="240"/>
        <w:rPr>
          <w:sz w:val="20"/>
          <w:szCs w:val="20"/>
        </w:rPr>
      </w:pPr>
      <w:r>
        <w:rPr>
          <w:sz w:val="20"/>
          <w:szCs w:val="20"/>
        </w:rPr>
        <w:t>Kdo vás neoslavil, nepochválil, kdo se při pouhém vašem jméně neusmál, krásné, vonné, barevné, slun</w:t>
      </w:r>
      <w:r>
        <w:rPr>
          <w:sz w:val="20"/>
          <w:szCs w:val="20"/>
        </w:rPr>
        <w:softHyphen/>
        <w:t>cem požehnané, moravské Luhačovice! Že vaše</w:t>
      </w:r>
      <w:r>
        <w:rPr>
          <w:sz w:val="20"/>
          <w:szCs w:val="20"/>
        </w:rPr>
        <w:t xml:space="preserve"> vody přicházeli pít už v desátém století? A že jste slavný byly za třicetileté války? Že to byla Vincentka, která sem po celá staletí vábila choré k zázračné vodě? Co o vás říci?' Že jste se přitulily k západnímu sklonu moravských Karpat, že jste proslave</w:t>
      </w:r>
      <w:r>
        <w:rPr>
          <w:sz w:val="20"/>
          <w:szCs w:val="20"/>
        </w:rPr>
        <w:t>ny dějinami i lé</w:t>
      </w:r>
      <w:r>
        <w:rPr>
          <w:sz w:val="20"/>
          <w:szCs w:val="20"/>
        </w:rPr>
        <w:softHyphen/>
        <w:t>čivou mocí, že jste se vyšperkovaly krásnými hotely a vilami, že oplýváte lékařskými laboratořemi, pneu</w:t>
      </w:r>
      <w:r>
        <w:rPr>
          <w:sz w:val="20"/>
          <w:szCs w:val="20"/>
        </w:rPr>
        <w:softHyphen/>
        <w:t xml:space="preserve">matickými komorami, elektrickými lázněmi atd. </w:t>
      </w:r>
      <w:r>
        <w:rPr>
          <w:b/>
          <w:bCs/>
          <w:sz w:val="20"/>
          <w:szCs w:val="20"/>
        </w:rPr>
        <w:t xml:space="preserve">a </w:t>
      </w:r>
      <w:r>
        <w:rPr>
          <w:sz w:val="20"/>
          <w:szCs w:val="20"/>
        </w:rPr>
        <w:t>že k vám přicházejí lidé léčit choroby nosu, hltanu, hrtanu, žaludku a střev, žluči a s</w:t>
      </w:r>
      <w:r>
        <w:rPr>
          <w:sz w:val="20"/>
          <w:szCs w:val="20"/>
        </w:rPr>
        <w:t>rdce, nervů a oběhu krevního? To všechno je známo. Co dál? Jednoduše jste naší radostí a pýchou.</w:t>
      </w:r>
    </w:p>
    <w:p w:rsidR="00500724" w:rsidRDefault="00F30FB8">
      <w:pPr>
        <w:pStyle w:val="Zkladntext30"/>
        <w:shd w:val="clear" w:color="auto" w:fill="auto"/>
        <w:spacing w:line="221" w:lineRule="auto"/>
        <w:ind w:firstLine="0"/>
        <w:jc w:val="center"/>
        <w:rPr>
          <w:sz w:val="20"/>
          <w:szCs w:val="20"/>
        </w:rPr>
      </w:pPr>
      <w:r>
        <w:rPr>
          <w:sz w:val="20"/>
          <w:szCs w:val="20"/>
        </w:rPr>
        <w:t>Mlázovice.</w:t>
      </w:r>
    </w:p>
    <w:p w:rsidR="00500724" w:rsidRDefault="00F30FB8">
      <w:pPr>
        <w:pStyle w:val="Zkladntext30"/>
        <w:shd w:val="clear" w:color="auto" w:fill="auto"/>
        <w:spacing w:after="100" w:line="221" w:lineRule="auto"/>
        <w:ind w:firstLine="240"/>
        <w:rPr>
          <w:sz w:val="20"/>
          <w:szCs w:val="20"/>
        </w:rPr>
      </w:pPr>
      <w:r>
        <w:rPr>
          <w:sz w:val="20"/>
          <w:szCs w:val="20"/>
        </w:rPr>
        <w:t>Nestyďte se, milé Mlázovice. Předně ležíte o dob</w:t>
      </w:r>
      <w:r>
        <w:rPr>
          <w:sz w:val="20"/>
          <w:szCs w:val="20"/>
        </w:rPr>
        <w:softHyphen/>
        <w:t xml:space="preserve">rých 50 m výše nežli zhýčkané velké Luhačovice. A potom: výtečné jsou i vaše slatinné lázně a </w:t>
      </w:r>
      <w:r>
        <w:rPr>
          <w:sz w:val="20"/>
          <w:szCs w:val="20"/>
        </w:rPr>
        <w:t>bojujete se stejnými neduhy jako Luhačovice. A že vás na</w:t>
      </w:r>
      <w:r>
        <w:rPr>
          <w:sz w:val="20"/>
          <w:szCs w:val="20"/>
        </w:rPr>
        <w:softHyphen/>
        <w:t>lézáme v stejném skromném, ale krásném koutku, jako Bělohrad a Velichovky, to vám věru na pověsti neubírá.</w:t>
      </w:r>
    </w:p>
    <w:p w:rsidR="00500724" w:rsidRDefault="00F30FB8">
      <w:pPr>
        <w:pStyle w:val="Zkladntext30"/>
        <w:shd w:val="clear" w:color="auto" w:fill="auto"/>
        <w:spacing w:line="221" w:lineRule="auto"/>
        <w:ind w:firstLine="0"/>
        <w:jc w:val="center"/>
        <w:rPr>
          <w:sz w:val="20"/>
          <w:szCs w:val="20"/>
        </w:rPr>
      </w:pPr>
      <w:r>
        <w:rPr>
          <w:sz w:val="20"/>
          <w:szCs w:val="20"/>
        </w:rPr>
        <w:t>M š e n é.</w:t>
      </w:r>
    </w:p>
    <w:p w:rsidR="00500724" w:rsidRDefault="00F30FB8">
      <w:pPr>
        <w:pStyle w:val="Zkladntext30"/>
        <w:shd w:val="clear" w:color="auto" w:fill="auto"/>
        <w:spacing w:after="100"/>
        <w:ind w:firstLine="240"/>
        <w:rPr>
          <w:sz w:val="20"/>
          <w:szCs w:val="20"/>
        </w:rPr>
      </w:pPr>
      <w:r>
        <w:rPr>
          <w:sz w:val="20"/>
          <w:szCs w:val="20"/>
        </w:rPr>
        <w:t>Tyto lázně nad Ohří vyběhly trochu k východu z proslaveného trojúhelníku bývalých</w:t>
      </w:r>
      <w:r>
        <w:rPr>
          <w:sz w:val="20"/>
          <w:szCs w:val="20"/>
        </w:rPr>
        <w:t xml:space="preserve"> západočeských lázní. Z pískovce vyvěrají mšenské prameny a nesou s sebou železný kyz. Slatina a železitá voda jsou léči</w:t>
      </w:r>
      <w:r>
        <w:rPr>
          <w:sz w:val="20"/>
          <w:szCs w:val="20"/>
        </w:rPr>
        <w:softHyphen/>
        <w:t>vými prostředky těchto lázní, které už fungují od ro</w:t>
      </w:r>
      <w:r>
        <w:rPr>
          <w:sz w:val="20"/>
          <w:szCs w:val="20"/>
        </w:rPr>
        <w:softHyphen/>
        <w:t>ku 1796. Jejich nový rozkvět se datuje rokem 1902. In</w:t>
      </w:r>
      <w:r>
        <w:rPr>
          <w:sz w:val="20"/>
          <w:szCs w:val="20"/>
        </w:rPr>
        <w:softHyphen/>
        <w:t>dikace: chronický rheumatism</w:t>
      </w:r>
      <w:r>
        <w:rPr>
          <w:sz w:val="20"/>
          <w:szCs w:val="20"/>
        </w:rPr>
        <w:t>us, dnové onemocnění kloubů a svalů, ischias, nemoci ženské, choroby ner</w:t>
      </w:r>
      <w:r>
        <w:rPr>
          <w:sz w:val="20"/>
          <w:szCs w:val="20"/>
        </w:rPr>
        <w:softHyphen/>
        <w:t>vové, rekonvalescence, kterou podporuje půvabná pří</w:t>
      </w:r>
      <w:r>
        <w:rPr>
          <w:sz w:val="20"/>
          <w:szCs w:val="20"/>
        </w:rPr>
        <w:softHyphen/>
        <w:t>roda a ticho úrodné roviny.</w:t>
      </w:r>
    </w:p>
    <w:p w:rsidR="00500724" w:rsidRDefault="00F30FB8">
      <w:pPr>
        <w:pStyle w:val="Zkladntext30"/>
        <w:shd w:val="clear" w:color="auto" w:fill="auto"/>
        <w:spacing w:line="221" w:lineRule="auto"/>
        <w:ind w:firstLine="0"/>
        <w:jc w:val="center"/>
        <w:rPr>
          <w:sz w:val="20"/>
          <w:szCs w:val="20"/>
        </w:rPr>
      </w:pPr>
      <w:r>
        <w:rPr>
          <w:sz w:val="20"/>
          <w:szCs w:val="20"/>
        </w:rPr>
        <w:t>Poděbrady.</w:t>
      </w:r>
    </w:p>
    <w:p w:rsidR="00500724" w:rsidRDefault="00F30FB8">
      <w:pPr>
        <w:pStyle w:val="Zkladntext30"/>
        <w:shd w:val="clear" w:color="auto" w:fill="auto"/>
        <w:spacing w:after="100" w:line="221" w:lineRule="auto"/>
        <w:ind w:firstLine="240"/>
        <w:rPr>
          <w:sz w:val="20"/>
          <w:szCs w:val="20"/>
        </w:rPr>
      </w:pPr>
      <w:r>
        <w:rPr>
          <w:sz w:val="20"/>
          <w:szCs w:val="20"/>
        </w:rPr>
        <w:t xml:space="preserve">Měl bych znovu, jak u Luhačovic, zvýšit hlas. Nuže, jsi ty mi šťastně položeným místem, </w:t>
      </w:r>
      <w:r>
        <w:rPr>
          <w:sz w:val="20"/>
          <w:szCs w:val="20"/>
        </w:rPr>
        <w:t>koupeli podě</w:t>
      </w:r>
      <w:r>
        <w:rPr>
          <w:sz w:val="20"/>
          <w:szCs w:val="20"/>
        </w:rPr>
        <w:softHyphen/>
        <w:t>bradská! V labské nížině, 50 km od Prahy, ležíš v okruhu slavného města husitského krále, ale vešlas v známost světa teprve v století dvacátém. A přece jsou Poděbrady dnes největším a nejznámějším lázeňským místem Čech a přece drží primát mezi</w:t>
      </w:r>
      <w:r>
        <w:rPr>
          <w:sz w:val="20"/>
          <w:szCs w:val="20"/>
        </w:rPr>
        <w:t xml:space="preserve"> nejproslave</w:t>
      </w:r>
      <w:r>
        <w:rPr>
          <w:sz w:val="20"/>
          <w:szCs w:val="20"/>
        </w:rPr>
        <w:softHyphen/>
        <w:t>nějšími lázněmi středoevropskými, bojujícími s cho</w:t>
      </w:r>
      <w:r>
        <w:rPr>
          <w:sz w:val="20"/>
          <w:szCs w:val="20"/>
        </w:rPr>
        <w:softHyphen/>
        <w:t>robami srdce. Vodní léčba, medicinální a aromatické koupele způsobily slávu těchto lázní, které ze země vydupaly český duch a česká píle. — Indikace: ne- moce krevního oběhu (onemocnění srdce)</w:t>
      </w:r>
      <w:r>
        <w:rPr>
          <w:sz w:val="20"/>
          <w:szCs w:val="20"/>
        </w:rPr>
        <w:t>, dna, mo</w:t>
      </w:r>
      <w:r>
        <w:rPr>
          <w:sz w:val="20"/>
          <w:szCs w:val="20"/>
        </w:rPr>
        <w:softHyphen/>
        <w:t>čové kamínky, lehká cukrovka, otylost, klimakteriální potíže, onemocnění dýchacích cest (horních), poruchy žaludeční činnosti, neurosy, rekonvalescence.</w:t>
      </w:r>
    </w:p>
    <w:p w:rsidR="00500724" w:rsidRDefault="00F30FB8">
      <w:pPr>
        <w:pStyle w:val="Zkladntext30"/>
        <w:shd w:val="clear" w:color="auto" w:fill="auto"/>
        <w:spacing w:line="221" w:lineRule="auto"/>
        <w:ind w:firstLine="0"/>
        <w:jc w:val="center"/>
        <w:rPr>
          <w:sz w:val="20"/>
          <w:szCs w:val="20"/>
        </w:rPr>
      </w:pPr>
      <w:r>
        <w:rPr>
          <w:sz w:val="20"/>
          <w:szCs w:val="20"/>
        </w:rPr>
        <w:t>Rožnov pod Radhoštěm.</w:t>
      </w:r>
    </w:p>
    <w:p w:rsidR="00500724" w:rsidRDefault="00F30FB8">
      <w:pPr>
        <w:pStyle w:val="Zkladntext30"/>
        <w:shd w:val="clear" w:color="auto" w:fill="auto"/>
        <w:spacing w:after="100"/>
        <w:ind w:firstLine="240"/>
        <w:rPr>
          <w:sz w:val="20"/>
          <w:szCs w:val="20"/>
        </w:rPr>
      </w:pPr>
      <w:r>
        <w:rPr>
          <w:sz w:val="20"/>
          <w:szCs w:val="20"/>
        </w:rPr>
        <w:t xml:space="preserve">Nejvýchodnější naše lázně. V idylickém místě 379 m nad mořem, na svahu </w:t>
      </w:r>
      <w:r>
        <w:rPr>
          <w:sz w:val="20"/>
          <w:szCs w:val="20"/>
        </w:rPr>
        <w:t>Radhoště. Vodoléčebný ústav. Léčení nemocí dýchacích cest. Slunečné horské pod</w:t>
      </w:r>
      <w:r>
        <w:rPr>
          <w:sz w:val="20"/>
          <w:szCs w:val="20"/>
        </w:rPr>
        <w:softHyphen/>
        <w:t>nebí. Kouzelný pohled na zvlněný horský obzor na</w:t>
      </w:r>
      <w:r>
        <w:rPr>
          <w:sz w:val="20"/>
          <w:szCs w:val="20"/>
        </w:rPr>
        <w:softHyphen/>
        <w:t>šeho východního pomezí.</w:t>
      </w:r>
    </w:p>
    <w:p w:rsidR="00500724" w:rsidRDefault="00F30FB8">
      <w:pPr>
        <w:pStyle w:val="Zkladntext30"/>
        <w:shd w:val="clear" w:color="auto" w:fill="auto"/>
        <w:spacing w:line="221" w:lineRule="auto"/>
        <w:ind w:firstLine="0"/>
        <w:jc w:val="center"/>
        <w:rPr>
          <w:sz w:val="20"/>
          <w:szCs w:val="20"/>
        </w:rPr>
      </w:pPr>
      <w:r>
        <w:rPr>
          <w:sz w:val="20"/>
          <w:szCs w:val="20"/>
        </w:rPr>
        <w:t>S a d s k á.</w:t>
      </w:r>
    </w:p>
    <w:p w:rsidR="00500724" w:rsidRDefault="00F30FB8">
      <w:pPr>
        <w:pStyle w:val="Zkladntext30"/>
        <w:shd w:val="clear" w:color="auto" w:fill="auto"/>
        <w:spacing w:after="100"/>
        <w:ind w:firstLine="240"/>
        <w:rPr>
          <w:sz w:val="20"/>
          <w:szCs w:val="20"/>
        </w:rPr>
      </w:pPr>
      <w:r>
        <w:rPr>
          <w:sz w:val="20"/>
          <w:szCs w:val="20"/>
        </w:rPr>
        <w:t>Lázně u Prahy. Stará kultura, mozartovská (už jsem prozradil, v jakých malých lázních se sc</w:t>
      </w:r>
      <w:r>
        <w:rPr>
          <w:sz w:val="20"/>
          <w:szCs w:val="20"/>
        </w:rPr>
        <w:t>házívala spo</w:t>
      </w:r>
      <w:r>
        <w:rPr>
          <w:sz w:val="20"/>
          <w:szCs w:val="20"/>
        </w:rPr>
        <w:softHyphen/>
        <w:t>lečnost pozdního rokoka?). Alkalický pramen, slatin</w:t>
      </w:r>
      <w:r>
        <w:rPr>
          <w:sz w:val="20"/>
          <w:szCs w:val="20"/>
        </w:rPr>
        <w:softHyphen/>
        <w:t>né, parní a písečné koupele. Minerální pramen. Indi</w:t>
      </w:r>
      <w:r>
        <w:rPr>
          <w:sz w:val="20"/>
          <w:szCs w:val="20"/>
        </w:rPr>
        <w:softHyphen/>
        <w:t>kace žaludeční a střevní, nemoce srdce a chudokrev</w:t>
      </w:r>
      <w:r>
        <w:rPr>
          <w:sz w:val="20"/>
          <w:szCs w:val="20"/>
        </w:rPr>
        <w:softHyphen/>
        <w:t>nost. V čtyřhranu polabských lázní Houšťka—Toušeň —Sadská—Poděbrady jedno z míst tradicí</w:t>
      </w:r>
      <w:r>
        <w:rPr>
          <w:sz w:val="20"/>
          <w:szCs w:val="20"/>
        </w:rPr>
        <w:t xml:space="preserve"> nejstarších.</w:t>
      </w:r>
    </w:p>
    <w:p w:rsidR="00500724" w:rsidRDefault="00F30FB8">
      <w:pPr>
        <w:pStyle w:val="Zkladntext30"/>
        <w:shd w:val="clear" w:color="auto" w:fill="auto"/>
        <w:spacing w:line="221" w:lineRule="auto"/>
        <w:ind w:firstLine="0"/>
        <w:jc w:val="center"/>
        <w:rPr>
          <w:sz w:val="20"/>
          <w:szCs w:val="20"/>
        </w:rPr>
      </w:pPr>
      <w:r>
        <w:rPr>
          <w:sz w:val="20"/>
          <w:szCs w:val="20"/>
        </w:rPr>
        <w:t>Teplice nad Bečvou.</w:t>
      </w:r>
    </w:p>
    <w:p w:rsidR="00500724" w:rsidRDefault="00F30FB8">
      <w:pPr>
        <w:pStyle w:val="Zkladntext30"/>
        <w:shd w:val="clear" w:color="auto" w:fill="auto"/>
        <w:spacing w:after="80" w:line="221" w:lineRule="auto"/>
        <w:ind w:firstLine="240"/>
        <w:rPr>
          <w:sz w:val="20"/>
          <w:szCs w:val="20"/>
        </w:rPr>
        <w:sectPr w:rsidR="00500724">
          <w:footnotePr>
            <w:numFmt w:val="chicago"/>
            <w:numRestart w:val="eachPage"/>
          </w:footnotePr>
          <w:pgSz w:w="11909" w:h="16834"/>
          <w:pgMar w:top="740" w:right="1186" w:bottom="1067" w:left="288" w:header="0" w:footer="3" w:gutter="0"/>
          <w:cols w:num="2" w:space="144"/>
          <w:noEndnote/>
          <w:docGrid w:linePitch="360"/>
        </w:sectPr>
      </w:pPr>
      <w:r>
        <w:rPr>
          <w:sz w:val="20"/>
          <w:szCs w:val="20"/>
        </w:rPr>
        <w:t>Husté stromořadí, pěkný park, láqfiě známé ze sto</w:t>
      </w:r>
      <w:r>
        <w:rPr>
          <w:sz w:val="20"/>
          <w:szCs w:val="20"/>
        </w:rPr>
        <w:softHyphen/>
        <w:t>letí XVI. Půvabné údolí na prahu Valašska, alkalické, železité prameny. Elegantní lázeňské budovy, prome</w:t>
      </w:r>
      <w:r>
        <w:rPr>
          <w:sz w:val="20"/>
          <w:szCs w:val="20"/>
        </w:rPr>
        <w:softHyphen/>
        <w:t>náda nad Bečvou, sanatorium v bohatém p</w:t>
      </w:r>
      <w:r>
        <w:rPr>
          <w:sz w:val="20"/>
          <w:szCs w:val="20"/>
        </w:rPr>
        <w:t>arku. Letoš</w:t>
      </w:r>
      <w:r>
        <w:rPr>
          <w:sz w:val="20"/>
          <w:szCs w:val="20"/>
        </w:rPr>
        <w:softHyphen/>
        <w:t>ního roku těšily se Teplice zvláštní oblibě. — Indikace: nemoce srdce, oběhu látek, nervů, dýchacích cest, ne</w:t>
      </w:r>
      <w:r>
        <w:rPr>
          <w:sz w:val="20"/>
          <w:szCs w:val="20"/>
        </w:rPr>
        <w:softHyphen/>
        <w:t>moce ženské. Uhličité lázně Teplice nad Bečvou, zno-</w:t>
      </w:r>
    </w:p>
    <w:p w:rsidR="00500724" w:rsidRDefault="00500724">
      <w:pPr>
        <w:spacing w:before="43" w:after="43" w:line="240" w:lineRule="exact"/>
        <w:rPr>
          <w:sz w:val="19"/>
          <w:szCs w:val="19"/>
        </w:rPr>
      </w:pPr>
    </w:p>
    <w:p w:rsidR="00500724" w:rsidRDefault="00500724">
      <w:pPr>
        <w:spacing w:line="14" w:lineRule="exact"/>
        <w:sectPr w:rsidR="00500724">
          <w:footnotePr>
            <w:numFmt w:val="chicago"/>
            <w:numRestart w:val="eachPage"/>
          </w:footnotePr>
          <w:pgSz w:w="11909" w:h="16834"/>
          <w:pgMar w:top="1472" w:right="0" w:bottom="1323" w:left="0" w:header="0" w:footer="3" w:gutter="0"/>
          <w:cols w:space="720"/>
          <w:noEndnote/>
          <w:docGrid w:linePitch="360"/>
        </w:sectPr>
      </w:pPr>
    </w:p>
    <w:p w:rsidR="00500724" w:rsidRDefault="00F30FB8">
      <w:pPr>
        <w:pStyle w:val="Zkladntext1"/>
        <w:shd w:val="clear" w:color="auto" w:fill="auto"/>
        <w:spacing w:after="100" w:line="216" w:lineRule="auto"/>
        <w:ind w:left="340" w:firstLine="20"/>
        <w:rPr>
          <w:sz w:val="20"/>
          <w:szCs w:val="20"/>
        </w:rPr>
      </w:pPr>
      <w:r>
        <w:rPr>
          <w:sz w:val="20"/>
          <w:szCs w:val="20"/>
        </w:rPr>
        <w:t>vuzřízené roku 1813, rostou od sezóny k sezóně. Sa</w:t>
      </w:r>
      <w:r>
        <w:rPr>
          <w:sz w:val="20"/>
          <w:szCs w:val="20"/>
        </w:rPr>
        <w:softHyphen/>
        <w:t>na</w:t>
      </w:r>
      <w:r>
        <w:rPr>
          <w:sz w:val="20"/>
          <w:szCs w:val="20"/>
        </w:rPr>
        <w:t>torium pracuje i v zimě.</w:t>
      </w:r>
    </w:p>
    <w:p w:rsidR="00500724" w:rsidRDefault="00F30FB8">
      <w:pPr>
        <w:pStyle w:val="Zkladntext1"/>
        <w:shd w:val="clear" w:color="auto" w:fill="auto"/>
        <w:spacing w:after="80" w:line="218" w:lineRule="auto"/>
        <w:ind w:right="260" w:firstLine="0"/>
        <w:jc w:val="center"/>
        <w:rPr>
          <w:sz w:val="20"/>
          <w:szCs w:val="20"/>
        </w:rPr>
      </w:pPr>
      <w:r>
        <w:rPr>
          <w:sz w:val="20"/>
          <w:szCs w:val="20"/>
        </w:rPr>
        <w:t>T o u š e ň.</w:t>
      </w:r>
    </w:p>
    <w:p w:rsidR="00500724" w:rsidRDefault="00F30FB8">
      <w:pPr>
        <w:pStyle w:val="Zkladntext1"/>
        <w:shd w:val="clear" w:color="auto" w:fill="auto"/>
        <w:spacing w:after="100" w:line="218" w:lineRule="auto"/>
        <w:ind w:left="340"/>
        <w:rPr>
          <w:sz w:val="20"/>
          <w:szCs w:val="20"/>
        </w:rPr>
      </w:pPr>
      <w:r>
        <w:rPr>
          <w:sz w:val="20"/>
          <w:szCs w:val="20"/>
        </w:rPr>
        <w:t>Vedle Poděbrad a Sadské třetí lázně, ležící na Zla</w:t>
      </w:r>
      <w:r>
        <w:rPr>
          <w:sz w:val="20"/>
          <w:szCs w:val="20"/>
        </w:rPr>
        <w:softHyphen/>
        <w:t xml:space="preserve">tém prutu země české. Král Karel IV. miloval hrádek toušeňský a dřevěnými troubami dal vésti pramen do svého sídla. Železitá kyselka toušeňská, toušeňské uhličité a </w:t>
      </w:r>
      <w:r>
        <w:rPr>
          <w:sz w:val="20"/>
          <w:szCs w:val="20"/>
        </w:rPr>
        <w:t>železito-jodové koupele, toušeňská slatina vyhrává nad rheumatismem svalstva, dnou, exsudáty, neuralgií, nemocemi ženskými. Z Toušeně navštiv Za- py, rodiště Pavla Stránského.</w:t>
      </w:r>
    </w:p>
    <w:p w:rsidR="00500724" w:rsidRDefault="00F30FB8">
      <w:pPr>
        <w:pStyle w:val="Zkladntext1"/>
        <w:shd w:val="clear" w:color="auto" w:fill="auto"/>
        <w:spacing w:after="80" w:line="218" w:lineRule="auto"/>
        <w:ind w:right="260" w:firstLine="0"/>
        <w:jc w:val="center"/>
        <w:rPr>
          <w:sz w:val="20"/>
          <w:szCs w:val="20"/>
        </w:rPr>
      </w:pPr>
      <w:r>
        <w:rPr>
          <w:sz w:val="20"/>
          <w:szCs w:val="20"/>
        </w:rPr>
        <w:t>V elichovky.</w:t>
      </w:r>
    </w:p>
    <w:p w:rsidR="00500724" w:rsidRDefault="00F30FB8">
      <w:pPr>
        <w:pStyle w:val="Zkladntext1"/>
        <w:shd w:val="clear" w:color="auto" w:fill="auto"/>
        <w:spacing w:line="218" w:lineRule="auto"/>
        <w:ind w:left="340"/>
        <w:rPr>
          <w:sz w:val="20"/>
          <w:szCs w:val="20"/>
        </w:rPr>
      </w:pPr>
      <w:r>
        <w:rPr>
          <w:sz w:val="20"/>
          <w:szCs w:val="20"/>
        </w:rPr>
        <w:t>Malé a krásné lázně v Podkrkonoší, 318 m nad mo</w:t>
      </w:r>
      <w:r>
        <w:rPr>
          <w:sz w:val="20"/>
          <w:szCs w:val="20"/>
        </w:rPr>
        <w:softHyphen/>
        <w:t>řem. Radioaktivní r</w:t>
      </w:r>
      <w:r>
        <w:rPr>
          <w:sz w:val="20"/>
          <w:szCs w:val="20"/>
        </w:rPr>
        <w:t>ašelina a hořečnaté vody proti cho</w:t>
      </w:r>
      <w:r>
        <w:rPr>
          <w:sz w:val="20"/>
          <w:szCs w:val="20"/>
        </w:rPr>
        <w:softHyphen/>
        <w:t>robám žaludku, poruchám krevního tlaku, zánětům hor</w:t>
      </w:r>
      <w:r>
        <w:rPr>
          <w:sz w:val="20"/>
          <w:szCs w:val="20"/>
        </w:rPr>
        <w:softHyphen/>
        <w:t>ních cest dýchacích, rheumatismu a dně. Klid lesů a chráněné horské podnebí.</w:t>
      </w:r>
    </w:p>
    <w:p w:rsidR="00500724" w:rsidRDefault="00F30FB8">
      <w:pPr>
        <w:pStyle w:val="Zkladntext1"/>
        <w:shd w:val="clear" w:color="auto" w:fill="auto"/>
        <w:spacing w:line="218" w:lineRule="auto"/>
        <w:ind w:left="340"/>
        <w:rPr>
          <w:sz w:val="20"/>
          <w:szCs w:val="20"/>
        </w:rPr>
      </w:pPr>
      <w:r>
        <w:rPr>
          <w:sz w:val="20"/>
          <w:szCs w:val="20"/>
        </w:rPr>
        <w:t>Neměl bych opominout lázní v abecedě posledních, Železnice, na samém pomezí, u Dvora Králové</w:t>
      </w:r>
      <w:r>
        <w:rPr>
          <w:sz w:val="20"/>
          <w:szCs w:val="20"/>
        </w:rPr>
        <w:t xml:space="preserve"> — jehličnaté koupele, — měl bych uvést všechna jména menších i větších lázní klimatických, vodoléčebných a rašelinných v jižních Čechách, na Moravě, v českém Podhoří a pod Beskydy.</w:t>
      </w:r>
    </w:p>
    <w:p w:rsidR="00500724" w:rsidRDefault="00F30FB8">
      <w:pPr>
        <w:pStyle w:val="Zkladntext1"/>
        <w:shd w:val="clear" w:color="auto" w:fill="auto"/>
        <w:spacing w:after="220" w:line="218" w:lineRule="auto"/>
        <w:ind w:left="340"/>
        <w:rPr>
          <w:sz w:val="20"/>
          <w:szCs w:val="20"/>
        </w:rPr>
      </w:pPr>
      <w:r>
        <w:rPr>
          <w:sz w:val="20"/>
          <w:szCs w:val="20"/>
        </w:rPr>
        <w:t>A nyní se podívejme na mapu: Od Ohře až k sa</w:t>
      </w:r>
      <w:r>
        <w:rPr>
          <w:sz w:val="20"/>
          <w:szCs w:val="20"/>
        </w:rPr>
        <w:softHyphen/>
        <w:t xml:space="preserve">mým Pardubicům a na sever až </w:t>
      </w:r>
      <w:r>
        <w:rPr>
          <w:sz w:val="20"/>
          <w:szCs w:val="20"/>
        </w:rPr>
        <w:t>k Náchodu a Úpici se</w:t>
      </w:r>
      <w:r>
        <w:rPr>
          <w:sz w:val="20"/>
          <w:szCs w:val="20"/>
        </w:rPr>
        <w:softHyphen/>
        <w:t>skupeny jsou po obou březích Labe české lázně. Jim navstříc od Sedmihorek postupují severozápadní lá</w:t>
      </w:r>
      <w:r>
        <w:rPr>
          <w:sz w:val="20"/>
          <w:szCs w:val="20"/>
        </w:rPr>
        <w:softHyphen/>
        <w:t>zeňské skupiny. Skoro zatoulané Letiny jsou nejzá</w:t>
      </w:r>
      <w:r>
        <w:rPr>
          <w:sz w:val="20"/>
          <w:szCs w:val="20"/>
        </w:rPr>
        <w:softHyphen/>
        <w:t>padnějším bodem přímky, na které rovnoběžně s Šu</w:t>
      </w:r>
      <w:r>
        <w:rPr>
          <w:sz w:val="20"/>
          <w:szCs w:val="20"/>
        </w:rPr>
        <w:softHyphen/>
        <w:t>mavou se usadily prameny jihočeské.</w:t>
      </w:r>
      <w:r>
        <w:rPr>
          <w:sz w:val="20"/>
          <w:szCs w:val="20"/>
        </w:rPr>
        <w:t xml:space="preserve"> Od severu k jihu podél hranic slovenských leží letoviska a lázně mo</w:t>
      </w:r>
      <w:r>
        <w:rPr>
          <w:sz w:val="20"/>
          <w:szCs w:val="20"/>
        </w:rPr>
        <w:softHyphen/>
        <w:t>ravské. Dokonale decentralisováno rozprostřelo se české lázeňství po celé ploše našich zemí, dostupno všem a v službě všech.</w:t>
      </w:r>
    </w:p>
    <w:p w:rsidR="00500724" w:rsidRDefault="00F30FB8">
      <w:pPr>
        <w:pStyle w:val="Nadpis90"/>
        <w:keepNext/>
        <w:keepLines/>
        <w:pBdr>
          <w:bottom w:val="single" w:sz="4" w:space="0" w:color="auto"/>
        </w:pBdr>
        <w:shd w:val="clear" w:color="auto" w:fill="auto"/>
        <w:spacing w:after="300"/>
        <w:ind w:left="340" w:firstLine="20"/>
        <w:rPr>
          <w:sz w:val="42"/>
          <w:szCs w:val="42"/>
        </w:rPr>
      </w:pPr>
      <w:bookmarkStart w:id="858" w:name="bookmark857"/>
      <w:r>
        <w:rPr>
          <w:rFonts w:ascii="Times New Roman" w:eastAsia="Times New Roman" w:hAnsi="Times New Roman" w:cs="Times New Roman"/>
          <w:sz w:val="42"/>
          <w:szCs w:val="42"/>
        </w:rPr>
        <w:t>dopisy</w:t>
      </w:r>
      <w:bookmarkEnd w:id="858"/>
    </w:p>
    <w:p w:rsidR="00500724" w:rsidRDefault="00F30FB8">
      <w:pPr>
        <w:pStyle w:val="Zkladntext30"/>
        <w:shd w:val="clear" w:color="auto" w:fill="auto"/>
        <w:spacing w:after="60" w:line="240" w:lineRule="auto"/>
        <w:ind w:right="260" w:firstLine="0"/>
        <w:jc w:val="center"/>
        <w:rPr>
          <w:sz w:val="20"/>
          <w:szCs w:val="20"/>
        </w:rPr>
      </w:pPr>
      <w:r>
        <w:rPr>
          <w:b/>
          <w:bCs/>
          <w:sz w:val="20"/>
          <w:szCs w:val="20"/>
        </w:rPr>
        <w:t>Potíže s moderním uměním</w:t>
      </w:r>
    </w:p>
    <w:p w:rsidR="00500724" w:rsidRDefault="00F30FB8">
      <w:pPr>
        <w:pStyle w:val="Zkladntext1"/>
        <w:shd w:val="clear" w:color="auto" w:fill="auto"/>
        <w:ind w:left="900" w:firstLine="0"/>
        <w:jc w:val="left"/>
        <w:rPr>
          <w:sz w:val="18"/>
          <w:szCs w:val="18"/>
        </w:rPr>
      </w:pPr>
      <w:r>
        <w:rPr>
          <w:sz w:val="18"/>
          <w:szCs w:val="18"/>
        </w:rPr>
        <w:t>Vážený pane redaktore,</w:t>
      </w:r>
    </w:p>
    <w:p w:rsidR="00500724" w:rsidRDefault="00F30FB8">
      <w:pPr>
        <w:pStyle w:val="Zkladntext1"/>
        <w:shd w:val="clear" w:color="auto" w:fill="auto"/>
        <w:ind w:left="340"/>
        <w:rPr>
          <w:sz w:val="18"/>
          <w:szCs w:val="18"/>
        </w:rPr>
      </w:pPr>
      <w:r>
        <w:rPr>
          <w:sz w:val="18"/>
          <w:szCs w:val="18"/>
        </w:rPr>
        <w:t xml:space="preserve">budu </w:t>
      </w:r>
      <w:r>
        <w:rPr>
          <w:sz w:val="18"/>
          <w:szCs w:val="18"/>
        </w:rPr>
        <w:t>Vám vděčen, dovolite-li, abych se pokusil odpovědět na námitky, které vznesli v „Přítomnosti“ proti mému člán</w:t>
      </w:r>
      <w:r>
        <w:rPr>
          <w:sz w:val="18"/>
          <w:szCs w:val="18"/>
        </w:rPr>
        <w:softHyphen/>
        <w:t>ku pánové K. Erban a J. Sochor.</w:t>
      </w:r>
    </w:p>
    <w:p w:rsidR="00500724" w:rsidRDefault="00F30FB8">
      <w:pPr>
        <w:pStyle w:val="Zkladntext1"/>
        <w:numPr>
          <w:ilvl w:val="0"/>
          <w:numId w:val="109"/>
        </w:numPr>
        <w:shd w:val="clear" w:color="auto" w:fill="auto"/>
        <w:tabs>
          <w:tab w:val="left" w:pos="778"/>
        </w:tabs>
        <w:ind w:left="340"/>
        <w:rPr>
          <w:sz w:val="18"/>
          <w:szCs w:val="18"/>
        </w:rPr>
      </w:pPr>
      <w:r>
        <w:rPr>
          <w:sz w:val="18"/>
          <w:szCs w:val="18"/>
        </w:rPr>
        <w:t xml:space="preserve">Napsal jsem, že nezáleží na tom, jak veliká je mezera mezi obrazem a skutečností; pan Erban mne poučuje, že </w:t>
      </w:r>
      <w:r>
        <w:rPr>
          <w:sz w:val="18"/>
          <w:szCs w:val="18"/>
        </w:rPr>
        <w:t>nezáleží na tom, jak je řečená mezera veliká. Napsal jsem, že teprve postupem času se samo ukáže, co v moderním umění je dobré a co nedobré; pan Erban mne poučuje, že teprve příští dějiny ukážou, eo v moderním umění je dobré a co nedobré. Napsal jsem, že s</w:t>
      </w:r>
      <w:r>
        <w:rPr>
          <w:sz w:val="18"/>
          <w:szCs w:val="18"/>
        </w:rPr>
        <w:t>nob posoudí moderní umění jen povrchně; pan Erban mne poučuje, že snob není znalec moderního umění. Napsal jsem, že umělecká výchova nikam nevede; pan Erban mne poučuje, že umělecká výchova ne</w:t>
      </w:r>
      <w:r>
        <w:rPr>
          <w:sz w:val="18"/>
          <w:szCs w:val="18"/>
        </w:rPr>
        <w:softHyphen/>
        <w:t>vede nikam. Nechť mi promine, nazvu-li jeho polemiku in- femáln</w:t>
      </w:r>
      <w:r>
        <w:rPr>
          <w:sz w:val="18"/>
          <w:szCs w:val="18"/>
        </w:rPr>
        <w:t>í.</w:t>
      </w:r>
    </w:p>
    <w:p w:rsidR="00500724" w:rsidRDefault="00F30FB8">
      <w:pPr>
        <w:pStyle w:val="Zkladntext1"/>
        <w:numPr>
          <w:ilvl w:val="0"/>
          <w:numId w:val="109"/>
        </w:numPr>
        <w:shd w:val="clear" w:color="auto" w:fill="auto"/>
        <w:tabs>
          <w:tab w:val="left" w:pos="878"/>
        </w:tabs>
        <w:ind w:left="340"/>
        <w:rPr>
          <w:sz w:val="18"/>
          <w:szCs w:val="18"/>
        </w:rPr>
      </w:pPr>
      <w:r>
        <w:rPr>
          <w:sz w:val="18"/>
          <w:szCs w:val="18"/>
        </w:rPr>
        <w:t>Pana Sochora bych rád ujistil, že jeho podezření o mrav</w:t>
      </w:r>
      <w:r>
        <w:rPr>
          <w:sz w:val="18"/>
          <w:szCs w:val="18"/>
        </w:rPr>
        <w:softHyphen/>
        <w:t>ní nízkosti umělců jsou lichá. To opravdu není výdělkář- ství, nechtějí-li „přijít, vymalovat, nakreslit“ krajinku za</w:t>
      </w:r>
    </w:p>
    <w:p w:rsidR="00500724" w:rsidRDefault="00F30FB8">
      <w:pPr>
        <w:pStyle w:val="Zkladntext1"/>
        <w:shd w:val="clear" w:color="auto" w:fill="auto"/>
        <w:spacing w:after="80"/>
        <w:ind w:left="340" w:hanging="340"/>
        <w:rPr>
          <w:sz w:val="18"/>
          <w:szCs w:val="18"/>
        </w:rPr>
      </w:pPr>
      <w:r>
        <w:rPr>
          <w:i/>
          <w:iCs/>
          <w:sz w:val="18"/>
          <w:szCs w:val="18"/>
        </w:rPr>
        <w:t>l</w:t>
      </w:r>
      <w:r>
        <w:rPr>
          <w:sz w:val="18"/>
          <w:szCs w:val="18"/>
        </w:rPr>
        <w:t xml:space="preserve"> 15 či 20 K a portrét za 100 až 200 K, jak si toho p. S. přeje. Nechť jen srov</w:t>
      </w:r>
      <w:r>
        <w:rPr>
          <w:sz w:val="18"/>
          <w:szCs w:val="18"/>
        </w:rPr>
        <w:t>ná tyto taxy se sazbami třeba písmomalíře. A opravdu to neni žádná radost a potěšení, tvořit jen pro sebe a kroužek přátel; naopak, ta samota je tvrdá a kruš</w:t>
      </w:r>
      <w:r>
        <w:rPr>
          <w:sz w:val="18"/>
          <w:szCs w:val="18"/>
        </w:rPr>
        <w:softHyphen/>
        <w:t>ná; i malíři jsou jenom lidé a jako každého i je by jistě</w:t>
      </w:r>
    </w:p>
    <w:p w:rsidR="00500724" w:rsidRDefault="00F30FB8">
      <w:pPr>
        <w:pStyle w:val="Zkladntext1"/>
        <w:shd w:val="clear" w:color="auto" w:fill="auto"/>
        <w:ind w:firstLine="0"/>
        <w:rPr>
          <w:sz w:val="18"/>
          <w:szCs w:val="18"/>
        </w:rPr>
      </w:pPr>
      <w:r>
        <w:rPr>
          <w:sz w:val="18"/>
          <w:szCs w:val="18"/>
        </w:rPr>
        <w:t>potěšilo a posílilo, kdyby byli uznáváni</w:t>
      </w:r>
      <w:r>
        <w:rPr>
          <w:sz w:val="18"/>
          <w:szCs w:val="18"/>
        </w:rPr>
        <w:t>, chváleni a slaveni celým národem.</w:t>
      </w:r>
    </w:p>
    <w:p w:rsidR="00500724" w:rsidRDefault="00F30FB8">
      <w:pPr>
        <w:pStyle w:val="Zkladntext1"/>
        <w:shd w:val="clear" w:color="auto" w:fill="auto"/>
        <w:ind w:firstLine="260"/>
        <w:rPr>
          <w:sz w:val="18"/>
          <w:szCs w:val="18"/>
        </w:rPr>
      </w:pPr>
      <w:r>
        <w:rPr>
          <w:sz w:val="18"/>
          <w:szCs w:val="18"/>
        </w:rPr>
        <w:t>Dělají-li však přesto své umění, nemajíce naději ani na zisk, ani na slávu, ale nejspíše ještě buď na výsměch nebo na pranýřování, musíme se spokojit s tím, že si řekneme, že asi nemohou jinak. Myslim, že v moderním uměn</w:t>
      </w:r>
      <w:r>
        <w:rPr>
          <w:sz w:val="18"/>
          <w:szCs w:val="18"/>
        </w:rPr>
        <w:t>í je tomu podobně jako v moderní vědě. Moderní fysika je stejně nezasvěcenci nepochopitelná jako moderní umění; a neni ni</w:t>
      </w:r>
      <w:r>
        <w:rPr>
          <w:sz w:val="18"/>
          <w:szCs w:val="18"/>
        </w:rPr>
        <w:softHyphen/>
        <w:t>kterak zřejmé, jaký že prospěch bude míti národ a lidstvo z úžasné práce, s jakou dnes promýšlí pár matematiků novou teorii záření. Př</w:t>
      </w:r>
      <w:r>
        <w:rPr>
          <w:sz w:val="18"/>
          <w:szCs w:val="18"/>
        </w:rPr>
        <w:t>esto však se neodvážíme nazvati tyto mate</w:t>
      </w:r>
      <w:r>
        <w:rPr>
          <w:sz w:val="18"/>
          <w:szCs w:val="18"/>
        </w:rPr>
        <w:softHyphen/>
        <w:t>matiky samotářskými sobci, kteří věnují se práci, o kterou nemá celkem nikdo zájem, a kteří nemají tedy „dosti smyslu pro příslušenství k celku“; a nerozumíme-li vůbec jejich ma</w:t>
      </w:r>
      <w:r>
        <w:rPr>
          <w:sz w:val="18"/>
          <w:szCs w:val="18"/>
        </w:rPr>
        <w:softHyphen/>
        <w:t>tematickým formulím a jejich nepředs</w:t>
      </w:r>
      <w:r>
        <w:rPr>
          <w:sz w:val="18"/>
          <w:szCs w:val="18"/>
        </w:rPr>
        <w:t>tavitelným pojmům, nenazveme je tvůrci zbytečných nesmyslů.</w:t>
      </w:r>
    </w:p>
    <w:p w:rsidR="00500724" w:rsidRDefault="00F30FB8">
      <w:pPr>
        <w:pStyle w:val="Zkladntext1"/>
        <w:shd w:val="clear" w:color="auto" w:fill="auto"/>
        <w:ind w:firstLine="260"/>
        <w:rPr>
          <w:sz w:val="18"/>
          <w:szCs w:val="18"/>
        </w:rPr>
      </w:pPr>
      <w:r>
        <w:rPr>
          <w:sz w:val="18"/>
          <w:szCs w:val="18"/>
        </w:rPr>
        <w:t>Nedozíráme smysl a dosah moderní vědy, nedozíráme stej</w:t>
      </w:r>
      <w:r>
        <w:rPr>
          <w:sz w:val="18"/>
          <w:szCs w:val="18"/>
        </w:rPr>
        <w:softHyphen/>
        <w:t>ně smysl a dosah moderního umění. Vidíme však podivuhodné úsilí, které několik jedinců — i za cenu úplného osa</w:t>
      </w:r>
      <w:r>
        <w:rPr>
          <w:sz w:val="18"/>
          <w:szCs w:val="18"/>
        </w:rPr>
        <w:softHyphen/>
        <w:t xml:space="preserve">mocení a nepochopení — věnuje </w:t>
      </w:r>
      <w:r>
        <w:rPr>
          <w:sz w:val="18"/>
          <w:szCs w:val="18"/>
        </w:rPr>
        <w:t>jakoby z nějakého mravního příkazu tomuto umění a této vědě. Pozorujeme nad</w:t>
      </w:r>
      <w:r>
        <w:rPr>
          <w:sz w:val="18"/>
          <w:szCs w:val="18"/>
        </w:rPr>
        <w:softHyphen/>
        <w:t>to ještě, že tato úsilí, byť každý je podniká na pohled docela na vlastní pěst a v dokonalém soukromí, nejsou rozmeta</w:t>
      </w:r>
      <w:r>
        <w:rPr>
          <w:sz w:val="18"/>
          <w:szCs w:val="18"/>
        </w:rPr>
        <w:softHyphen/>
        <w:t>nými individuálnimi zvláštnostmi, jak by tomu bylo u pou</w:t>
      </w:r>
      <w:r>
        <w:rPr>
          <w:sz w:val="18"/>
          <w:szCs w:val="18"/>
        </w:rPr>
        <w:softHyphen/>
        <w:t xml:space="preserve">hých </w:t>
      </w:r>
      <w:r>
        <w:rPr>
          <w:sz w:val="18"/>
          <w:szCs w:val="18"/>
        </w:rPr>
        <w:t>osobních koníčků, podivnůstek a libůstek, nýbrž že již více než od nějakých sta let vyjevuje se mezi nimi stále zřetelněji zvláštní spojitost, prozrazující, že jest nějaký, byť nejasný a jen tušený směr, kterým se ubírají, že jest ně</w:t>
      </w:r>
      <w:r>
        <w:rPr>
          <w:sz w:val="18"/>
          <w:szCs w:val="18"/>
        </w:rPr>
        <w:softHyphen/>
        <w:t>jaký zákon, který je ř</w:t>
      </w:r>
      <w:r>
        <w:rPr>
          <w:sz w:val="18"/>
          <w:szCs w:val="18"/>
        </w:rPr>
        <w:t>ídí.</w:t>
      </w:r>
    </w:p>
    <w:p w:rsidR="00500724" w:rsidRDefault="00F30FB8">
      <w:pPr>
        <w:pStyle w:val="Zkladntext1"/>
        <w:shd w:val="clear" w:color="auto" w:fill="auto"/>
        <w:ind w:firstLine="260"/>
        <w:rPr>
          <w:sz w:val="18"/>
          <w:szCs w:val="18"/>
        </w:rPr>
      </w:pPr>
      <w:r>
        <w:rPr>
          <w:sz w:val="18"/>
          <w:szCs w:val="18"/>
        </w:rPr>
        <w:t>A tu se nám zdá, že musíme připustit, že v těchto úsilích jde o něco a dokonce o něco velkého a důležitého, ať jim jakkoli dnes nerozumíme a ať jakkoli nám dnes při</w:t>
      </w:r>
      <w:r>
        <w:rPr>
          <w:sz w:val="18"/>
          <w:szCs w:val="18"/>
        </w:rPr>
        <w:softHyphen/>
        <w:t>padají neužitečnými. Proto soudíme, že neni čas vystupovati nyní na ně s požadavky, ab</w:t>
      </w:r>
      <w:r>
        <w:rPr>
          <w:sz w:val="18"/>
          <w:szCs w:val="18"/>
        </w:rPr>
        <w:t>y činilo to či ono, na př. snažilo se o pochopitelnost. Je daleko důležitější, aby nebylo rušeno ve svém tajném směřování jakýmikoli příkazy a zákazy.</w:t>
      </w:r>
    </w:p>
    <w:p w:rsidR="00500724" w:rsidRDefault="00F30FB8">
      <w:pPr>
        <w:pStyle w:val="Zkladntext1"/>
        <w:shd w:val="clear" w:color="auto" w:fill="auto"/>
        <w:ind w:firstLine="260"/>
        <w:rPr>
          <w:sz w:val="18"/>
          <w:szCs w:val="18"/>
        </w:rPr>
      </w:pPr>
      <w:r>
        <w:rPr>
          <w:sz w:val="18"/>
          <w:szCs w:val="18"/>
        </w:rPr>
        <w:t>Vzpomínám na verš Apollinaireův: „Zapomněli jsme sta</w:t>
      </w:r>
      <w:r>
        <w:rPr>
          <w:sz w:val="18"/>
          <w:szCs w:val="18"/>
        </w:rPr>
        <w:softHyphen/>
        <w:t>rou hru veršů . . . Slitování s námi, kteří bojujeme</w:t>
      </w:r>
      <w:r>
        <w:rPr>
          <w:sz w:val="18"/>
          <w:szCs w:val="18"/>
        </w:rPr>
        <w:t xml:space="preserve"> na hra</w:t>
      </w:r>
      <w:r>
        <w:rPr>
          <w:sz w:val="18"/>
          <w:szCs w:val="18"/>
        </w:rPr>
        <w:softHyphen/>
        <w:t>nicích neohraničeného a budoucnosti . . .“ Slitováni s neumě- lostí, těžkopádností, divností, nepoužitelností moderního umě</w:t>
      </w:r>
      <w:r>
        <w:rPr>
          <w:sz w:val="18"/>
          <w:szCs w:val="18"/>
        </w:rPr>
        <w:softHyphen/>
        <w:t>ni; slitování, neboť budoucnost ukáže, že bylo jednou ze sil, která, stejně nepostižitelně jako nutná, ji budovala. A ne</w:t>
      </w:r>
      <w:r>
        <w:rPr>
          <w:sz w:val="18"/>
          <w:szCs w:val="18"/>
        </w:rPr>
        <w:softHyphen/>
        <w:t>bud</w:t>
      </w:r>
      <w:r>
        <w:rPr>
          <w:sz w:val="18"/>
          <w:szCs w:val="18"/>
        </w:rPr>
        <w:t>e-li této budoucnosti — slitování i s pošetilostí, která v tuto budoucnost věřila.</w:t>
      </w:r>
    </w:p>
    <w:p w:rsidR="00500724" w:rsidRDefault="00F30FB8">
      <w:pPr>
        <w:pStyle w:val="Zkladntext1"/>
        <w:shd w:val="clear" w:color="auto" w:fill="auto"/>
        <w:ind w:firstLine="260"/>
        <w:rPr>
          <w:sz w:val="18"/>
          <w:szCs w:val="18"/>
        </w:rPr>
      </w:pPr>
      <w:r>
        <w:rPr>
          <w:sz w:val="18"/>
          <w:szCs w:val="18"/>
        </w:rPr>
        <w:t>A napsal-li jsem zase tuto poznámku onou hantýrkou, kterou nám p. Sochor tak vyčítá, nechť ještě i s ní má slito</w:t>
      </w:r>
      <w:r>
        <w:rPr>
          <w:sz w:val="18"/>
          <w:szCs w:val="18"/>
        </w:rPr>
        <w:softHyphen/>
        <w:t>vání; jsou to věci těžší a složitější, než bychom dovedli ml</w:t>
      </w:r>
      <w:r>
        <w:rPr>
          <w:sz w:val="18"/>
          <w:szCs w:val="18"/>
        </w:rPr>
        <w:t>u</w:t>
      </w:r>
      <w:r>
        <w:rPr>
          <w:sz w:val="18"/>
          <w:szCs w:val="18"/>
        </w:rPr>
        <w:softHyphen/>
        <w:t>vit o nich vždy tak lehce a srozumitelně, jak by si bylo přáti.</w:t>
      </w:r>
    </w:p>
    <w:p w:rsidR="00500724" w:rsidRDefault="00F30FB8">
      <w:pPr>
        <w:pStyle w:val="Zkladntext1"/>
        <w:shd w:val="clear" w:color="auto" w:fill="auto"/>
        <w:spacing w:after="580"/>
        <w:ind w:firstLine="0"/>
        <w:jc w:val="right"/>
        <w:rPr>
          <w:sz w:val="18"/>
          <w:szCs w:val="18"/>
        </w:rPr>
      </w:pPr>
      <w:r>
        <w:rPr>
          <w:i/>
          <w:iCs/>
          <w:sz w:val="18"/>
          <w:szCs w:val="18"/>
        </w:rPr>
        <w:t>Jindřich Chalupecký.</w:t>
      </w:r>
    </w:p>
    <w:p w:rsidR="00500724" w:rsidRDefault="00F30FB8">
      <w:pPr>
        <w:pStyle w:val="Zkladntext80"/>
        <w:shd w:val="clear" w:color="auto" w:fill="auto"/>
        <w:spacing w:line="307" w:lineRule="auto"/>
        <w:jc w:val="right"/>
        <w:rPr>
          <w:sz w:val="24"/>
          <w:szCs w:val="24"/>
        </w:rPr>
      </w:pPr>
      <w:r>
        <w:rPr>
          <w:sz w:val="26"/>
          <w:szCs w:val="26"/>
        </w:rPr>
        <w:t xml:space="preserve">Chcete </w:t>
      </w:r>
      <w:r>
        <w:rPr>
          <w:b w:val="0"/>
          <w:bCs w:val="0"/>
          <w:i/>
          <w:iCs/>
          <w:sz w:val="24"/>
          <w:szCs w:val="24"/>
        </w:rPr>
        <w:t xml:space="preserve">míti čisté, lesklé a bílé zuby? </w:t>
      </w:r>
      <w:r>
        <w:rPr>
          <w:sz w:val="26"/>
          <w:szCs w:val="26"/>
        </w:rPr>
        <w:t xml:space="preserve">Chcete </w:t>
      </w:r>
      <w:r>
        <w:rPr>
          <w:rFonts w:ascii="Times New Roman" w:eastAsia="Times New Roman" w:hAnsi="Times New Roman" w:cs="Times New Roman"/>
          <w:b w:val="0"/>
          <w:bCs w:val="0"/>
          <w:sz w:val="30"/>
          <w:szCs w:val="30"/>
        </w:rPr>
        <w:t xml:space="preserve">zn/ř/ </w:t>
      </w:r>
      <w:r>
        <w:rPr>
          <w:b w:val="0"/>
          <w:bCs w:val="0"/>
          <w:i/>
          <w:iCs/>
          <w:sz w:val="24"/>
          <w:szCs w:val="24"/>
        </w:rPr>
        <w:t>pevné a zdravé dásně?</w:t>
      </w:r>
    </w:p>
    <w:p w:rsidR="00500724" w:rsidRDefault="00F30FB8">
      <w:pPr>
        <w:pStyle w:val="Zkladntext50"/>
        <w:shd w:val="clear" w:color="auto" w:fill="auto"/>
        <w:spacing w:line="314" w:lineRule="auto"/>
        <w:ind w:left="0"/>
        <w:jc w:val="right"/>
        <w:rPr>
          <w:sz w:val="18"/>
          <w:szCs w:val="18"/>
        </w:rPr>
      </w:pPr>
      <w:r>
        <w:rPr>
          <w:b/>
          <w:bCs/>
          <w:sz w:val="26"/>
          <w:szCs w:val="26"/>
        </w:rPr>
        <w:t xml:space="preserve">Chcete </w:t>
      </w:r>
      <w:r>
        <w:rPr>
          <w:rFonts w:ascii="Times New Roman" w:eastAsia="Times New Roman" w:hAnsi="Times New Roman" w:cs="Times New Roman"/>
          <w:b/>
          <w:bCs/>
          <w:sz w:val="20"/>
          <w:szCs w:val="20"/>
        </w:rPr>
        <w:t xml:space="preserve">se </w:t>
      </w:r>
      <w:r>
        <w:rPr>
          <w:i/>
          <w:iCs/>
          <w:sz w:val="18"/>
          <w:szCs w:val="18"/>
        </w:rPr>
        <w:t>zbaviti nepříjemného pachu a míti pří</w:t>
      </w:r>
      <w:r>
        <w:rPr>
          <w:i/>
          <w:iCs/>
          <w:sz w:val="18"/>
          <w:szCs w:val="18"/>
        </w:rPr>
        <w:softHyphen/>
        <w:t>jemný pocit čistoty a svěžesti v dutině ústní?</w:t>
      </w:r>
    </w:p>
    <w:p w:rsidR="00500724" w:rsidRDefault="00F30FB8">
      <w:pPr>
        <w:pStyle w:val="Zkladntext1"/>
        <w:shd w:val="clear" w:color="auto" w:fill="auto"/>
        <w:spacing w:after="60" w:line="329" w:lineRule="auto"/>
        <w:ind w:firstLine="1020"/>
        <w:rPr>
          <w:sz w:val="18"/>
          <w:szCs w:val="18"/>
        </w:rPr>
        <w:sectPr w:rsidR="00500724">
          <w:footnotePr>
            <w:numFmt w:val="chicago"/>
            <w:numRestart w:val="eachPage"/>
          </w:footnotePr>
          <w:type w:val="continuous"/>
          <w:pgSz w:w="11909" w:h="16834"/>
          <w:pgMar w:top="1472" w:right="742" w:bottom="1323" w:left="358" w:header="0" w:footer="3" w:gutter="0"/>
          <w:cols w:num="2" w:space="164"/>
          <w:noEndnote/>
          <w:docGrid w:linePitch="360"/>
        </w:sectPr>
      </w:pPr>
      <w:r>
        <w:rPr>
          <w:sz w:val="18"/>
          <w:szCs w:val="18"/>
        </w:rPr>
        <w:t xml:space="preserve">Zkuste k čištění zubů a dásní novou zubní pastu BIS-ACIDENTOL a nesáhnete již po jiné. Je to pasta vyrobená podle moderních požadavků ústní hygieny: má nakyslou chuť čerstvého ovoce, bohatě pění, dokonale čistí. Je vydatná a úsporná. </w:t>
      </w:r>
      <w:r>
        <w:rPr>
          <w:i/>
          <w:iCs/>
          <w:sz w:val="18"/>
          <w:szCs w:val="18"/>
        </w:rPr>
        <w:t>BIS-ACIDENTOL je zubni</w:t>
      </w:r>
      <w:r>
        <w:rPr>
          <w:i/>
          <w:iCs/>
          <w:sz w:val="18"/>
          <w:szCs w:val="18"/>
        </w:rPr>
        <w:t xml:space="preserve"> pasta pro náročné</w:t>
      </w: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line="360" w:lineRule="exact"/>
      </w:pPr>
    </w:p>
    <w:p w:rsidR="00500724" w:rsidRDefault="00500724">
      <w:pPr>
        <w:spacing w:after="687" w:line="14" w:lineRule="exact"/>
      </w:pPr>
    </w:p>
    <w:p w:rsidR="00500724" w:rsidRDefault="00500724">
      <w:pPr>
        <w:spacing w:line="14" w:lineRule="exact"/>
        <w:sectPr w:rsidR="00500724">
          <w:footnotePr>
            <w:numFmt w:val="chicago"/>
            <w:numRestart w:val="eachPage"/>
          </w:footnotePr>
          <w:pgSz w:w="11909" w:h="16834"/>
          <w:pgMar w:top="289" w:right="586" w:bottom="579" w:left="557" w:header="0" w:footer="3" w:gutter="0"/>
          <w:cols w:space="720"/>
          <w:noEndnote/>
          <w:docGrid w:linePitch="360"/>
        </w:sectPr>
      </w:pPr>
    </w:p>
    <w:p w:rsidR="00500724" w:rsidRDefault="00F30FB8">
      <w:pPr>
        <w:spacing w:line="14" w:lineRule="exact"/>
      </w:pPr>
      <w:r>
        <w:rPr>
          <w:noProof/>
        </w:rPr>
        <mc:AlternateContent>
          <mc:Choice Requires="wps">
            <w:drawing>
              <wp:anchor distT="0" distB="0" distL="0" distR="0" simplePos="0" relativeHeight="125830218" behindDoc="0" locked="0" layoutInCell="1" allowOverlap="1">
                <wp:simplePos x="0" y="0"/>
                <wp:positionH relativeFrom="page">
                  <wp:posOffset>2133600</wp:posOffset>
                </wp:positionH>
                <wp:positionV relativeFrom="paragraph">
                  <wp:posOffset>12700</wp:posOffset>
                </wp:positionV>
                <wp:extent cx="3303905" cy="716280"/>
                <wp:effectExtent l="0" t="0" r="0" b="0"/>
                <wp:wrapSquare wrapText="bothSides"/>
                <wp:docPr id="841" name="Shape 841"/>
                <wp:cNvGraphicFramePr/>
                <a:graphic xmlns:a="http://schemas.openxmlformats.org/drawingml/2006/main">
                  <a:graphicData uri="http://schemas.microsoft.com/office/word/2010/wordprocessingShape">
                    <wps:wsp>
                      <wps:cNvSpPr txBox="1"/>
                      <wps:spPr>
                        <a:xfrm>
                          <a:off x="0" y="0"/>
                          <a:ext cx="3303905" cy="716280"/>
                        </a:xfrm>
                        <a:prstGeom prst="rect">
                          <a:avLst/>
                        </a:prstGeom>
                        <a:noFill/>
                      </wps:spPr>
                      <wps:txbx>
                        <w:txbxContent>
                          <w:p w:rsidR="00500724" w:rsidRDefault="00F30FB8">
                            <w:pPr>
                              <w:pStyle w:val="Zkladntext80"/>
                              <w:shd w:val="clear" w:color="auto" w:fill="auto"/>
                              <w:spacing w:after="80" w:line="240" w:lineRule="auto"/>
                              <w:jc w:val="center"/>
                              <w:rPr>
                                <w:sz w:val="24"/>
                                <w:szCs w:val="24"/>
                              </w:rPr>
                            </w:pPr>
                            <w:r>
                              <w:rPr>
                                <w:sz w:val="24"/>
                                <w:szCs w:val="24"/>
                              </w:rPr>
                              <w:t>Lidský omyl</w:t>
                            </w:r>
                          </w:p>
                          <w:p w:rsidR="00500724" w:rsidRDefault="00F30FB8">
                            <w:pPr>
                              <w:pStyle w:val="Zkladntext50"/>
                              <w:shd w:val="clear" w:color="auto" w:fill="auto"/>
                              <w:tabs>
                                <w:tab w:val="left" w:pos="4214"/>
                              </w:tabs>
                              <w:spacing w:after="0" w:line="218" w:lineRule="auto"/>
                              <w:ind w:left="0" w:firstLine="180"/>
                              <w:rPr>
                                <w:sz w:val="12"/>
                                <w:szCs w:val="12"/>
                              </w:rPr>
                            </w:pPr>
                            <w:r>
                              <w:t>Velikým omylem člověka je představa, nezbytnost, přelud životního cíle. Nikdy není žádný cíl. Kdyby bylo možné, aby byl nějaký cíl, bylo by to popření života, vesmíru i Boha, konec všeho, t</w:t>
                            </w:r>
                            <w:r>
                              <w:t>o znamená nepředstavitelná nicota.</w:t>
                            </w:r>
                            <w:r>
                              <w:tab/>
                            </w:r>
                            <w:r>
                              <w:rPr>
                                <w:i/>
                                <w:iCs/>
                                <w:sz w:val="12"/>
                                <w:szCs w:val="12"/>
                              </w:rPr>
                              <w:t xml:space="preserve">M. </w:t>
                            </w:r>
                            <w:r>
                              <w:rPr>
                                <w:i/>
                                <w:iCs/>
                                <w:sz w:val="12"/>
                                <w:szCs w:val="12"/>
                                <w:lang w:val="en-US" w:eastAsia="en-US" w:bidi="en-US"/>
                              </w:rPr>
                              <w:t>Maeterlinck</w:t>
                            </w:r>
                          </w:p>
                        </w:txbxContent>
                      </wps:txbx>
                      <wps:bodyPr lIns="0" tIns="0" rIns="0" bIns="0">
                        <a:spAutoFit/>
                      </wps:bodyPr>
                    </wps:wsp>
                  </a:graphicData>
                </a:graphic>
              </wp:anchor>
            </w:drawing>
          </mc:Choice>
          <mc:Fallback>
            <w:pict>
              <v:shape id="_x0000_s1867" type="#_x0000_t202" style="position:absolute;margin-left:168.pt;margin-top:1.pt;width:260.14999999999998pt;height:56.399999999999999pt;z-index:-125828535;mso-wrap-distance-left:0;mso-wrap-distance-right:0;mso-position-horizontal-relative:page" filled="f" stroked="f">
                <v:textbox style="mso-fit-shape-to-text:t" inset="0,0,0,0">
                  <w:txbxContent>
                    <w:p>
                      <w:pPr>
                        <w:pStyle w:val="Style150"/>
                        <w:keepNext w:val="0"/>
                        <w:keepLines w:val="0"/>
                        <w:widowControl w:val="0"/>
                        <w:shd w:val="clear" w:color="auto" w:fill="auto"/>
                        <w:bidi w:val="0"/>
                        <w:spacing w:before="0" w:after="8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Lidský omyl</w:t>
                      </w:r>
                    </w:p>
                    <w:p>
                      <w:pPr>
                        <w:pStyle w:val="Style80"/>
                        <w:keepNext w:val="0"/>
                        <w:keepLines w:val="0"/>
                        <w:widowControl w:val="0"/>
                        <w:shd w:val="clear" w:color="auto" w:fill="auto"/>
                        <w:tabs>
                          <w:tab w:pos="4214" w:val="left"/>
                        </w:tabs>
                        <w:bidi w:val="0"/>
                        <w:spacing w:before="0" w:after="0" w:line="218" w:lineRule="auto"/>
                        <w:ind w:left="0" w:right="0" w:firstLine="180"/>
                        <w:rPr>
                          <w:sz w:val="12"/>
                          <w:szCs w:val="12"/>
                        </w:rPr>
                      </w:pPr>
                      <w:r>
                        <w:rPr>
                          <w:color w:val="000000"/>
                          <w:spacing w:val="0"/>
                          <w:w w:val="100"/>
                          <w:position w:val="0"/>
                          <w:sz w:val="17"/>
                          <w:szCs w:val="17"/>
                          <w:shd w:val="clear" w:color="auto" w:fill="auto"/>
                          <w:lang w:val="cs-CZ" w:eastAsia="cs-CZ" w:bidi="cs-CZ"/>
                        </w:rPr>
                        <w:t>Velikým omylem člověka je představa, nezbytnost, přelud životního cíle. Nikdy není žádný cíl. Kdyby bylo možné, aby byl nějaký cíl, bylo by to popření života, vesmíru i Boha, konec všeho, to znamená nepředstavitelná nicota.</w:t>
                        <w:tab/>
                      </w:r>
                      <w:r>
                        <w:rPr>
                          <w:i/>
                          <w:iCs/>
                          <w:color w:val="000000"/>
                          <w:spacing w:val="0"/>
                          <w:w w:val="100"/>
                          <w:position w:val="0"/>
                          <w:sz w:val="12"/>
                          <w:szCs w:val="12"/>
                          <w:shd w:val="clear" w:color="auto" w:fill="auto"/>
                          <w:lang w:val="cs-CZ" w:eastAsia="cs-CZ" w:bidi="cs-CZ"/>
                        </w:rPr>
                        <w:t xml:space="preserve">M. </w:t>
                      </w:r>
                      <w:r>
                        <w:rPr>
                          <w:i/>
                          <w:iCs/>
                          <w:color w:val="000000"/>
                          <w:spacing w:val="0"/>
                          <w:w w:val="100"/>
                          <w:position w:val="0"/>
                          <w:sz w:val="12"/>
                          <w:szCs w:val="12"/>
                          <w:shd w:val="clear" w:color="auto" w:fill="auto"/>
                          <w:lang w:val="en-US" w:eastAsia="en-US" w:bidi="en-US"/>
                        </w:rPr>
                        <w:t>Maeterlinck</w:t>
                      </w:r>
                    </w:p>
                  </w:txbxContent>
                </v:textbox>
                <w10:wrap type="square" anchorx="page"/>
              </v:shape>
            </w:pict>
          </mc:Fallback>
        </mc:AlternateContent>
      </w:r>
      <w:r>
        <w:rPr>
          <w:noProof/>
        </w:rPr>
        <mc:AlternateContent>
          <mc:Choice Requires="wps">
            <w:drawing>
              <wp:anchor distT="215900" distB="0" distL="0" distR="0" simplePos="0" relativeHeight="125830220" behindDoc="0" locked="0" layoutInCell="1" allowOverlap="1">
                <wp:simplePos x="0" y="0"/>
                <wp:positionH relativeFrom="page">
                  <wp:posOffset>3791585</wp:posOffset>
                </wp:positionH>
                <wp:positionV relativeFrom="paragraph">
                  <wp:posOffset>871855</wp:posOffset>
                </wp:positionV>
                <wp:extent cx="1718945" cy="2505710"/>
                <wp:effectExtent l="0" t="0" r="0" b="0"/>
                <wp:wrapSquare wrapText="bothSides"/>
                <wp:docPr id="843" name="Shape 843"/>
                <wp:cNvGraphicFramePr/>
                <a:graphic xmlns:a="http://schemas.openxmlformats.org/drawingml/2006/main">
                  <a:graphicData uri="http://schemas.microsoft.com/office/word/2010/wordprocessingShape">
                    <wps:wsp>
                      <wps:cNvSpPr txBox="1"/>
                      <wps:spPr>
                        <a:xfrm>
                          <a:off x="0" y="0"/>
                          <a:ext cx="1718945" cy="2505710"/>
                        </a:xfrm>
                        <a:prstGeom prst="rect">
                          <a:avLst/>
                        </a:prstGeom>
                        <a:noFill/>
                      </wps:spPr>
                      <wps:txbx>
                        <w:txbxContent>
                          <w:p w:rsidR="00500724" w:rsidRDefault="00F30FB8">
                            <w:pPr>
                              <w:pStyle w:val="Zkladntext90"/>
                              <w:shd w:val="clear" w:color="auto" w:fill="auto"/>
                              <w:spacing w:after="40" w:line="230" w:lineRule="auto"/>
                              <w:ind w:firstLine="0"/>
                            </w:pPr>
                            <w:r>
                              <w:t>odevzdanosti a smutku, i to bude pro něho úrodné a blahodárné. Nahlédne totiž aspoň úkradkem do hlubin ducha, který dlouhým utrpe</w:t>
                            </w:r>
                            <w:r>
                              <w:softHyphen/>
                              <w:t>ním uzrál k moudrosti.</w:t>
                            </w:r>
                          </w:p>
                          <w:p w:rsidR="00500724" w:rsidRDefault="00F30FB8">
                            <w:pPr>
                              <w:pStyle w:val="Zkladntext90"/>
                              <w:shd w:val="clear" w:color="auto" w:fill="auto"/>
                              <w:spacing w:line="214" w:lineRule="auto"/>
                            </w:pPr>
                            <w:r>
                              <w:t>Kdo by se chtěl důkladněji obe</w:t>
                            </w:r>
                            <w:r>
                              <w:softHyphen/>
                            </w:r>
                            <w:r>
                              <w:t xml:space="preserve">známit s kulturně nejstarším a číselně nejpočetnějšim národem světa, ten udělá dobře, když sí přečte knihu moderního Číňana Lin Jutanga ,,Můj národ a má vlast“ (Borový). V předmluvě říká </w:t>
                            </w:r>
                            <w:r>
                              <w:rPr>
                                <w:lang w:val="en-US" w:eastAsia="en-US" w:bidi="en-US"/>
                              </w:rPr>
                              <w:t xml:space="preserve">Pearl </w:t>
                            </w:r>
                            <w:r>
                              <w:t>Bůčková, známá autorka „Dobré země", že je to ..nej</w:t>
                            </w:r>
                            <w:r>
                              <w:softHyphen/>
                              <w:t>pravdivější</w:t>
                            </w:r>
                            <w:r>
                              <w:t xml:space="preserve"> a nejhlubší, nejúpl</w:t>
                            </w:r>
                            <w:r>
                              <w:softHyphen/>
                              <w:t>nější a nejzávažnější kniha, jaká byla dosud o Číně napsána“. Ta</w:t>
                            </w:r>
                            <w:r>
                              <w:softHyphen/>
                              <w:t>ková chvála knihy už něco zna</w:t>
                            </w:r>
                            <w:r>
                              <w:softHyphen/>
                              <w:t>mená. Pravdivá — ano. až do ne</w:t>
                            </w:r>
                            <w:r>
                              <w:softHyphen/>
                              <w:t>lítostného sebemrskačství, které je nám skoro nepochopitelné. Také hloubku postřehu jí neupřeme, i když nám m</w:t>
                            </w:r>
                            <w:r>
                              <w:t>ísty poněkud vadí prostořece apartní tón autorovy řeči. Nejvíce si však na Lin Jutan- ovi ceníme úplnosti jeho obrazu íny. V takovém učleněném a pře</w:t>
                            </w:r>
                            <w:r>
                              <w:softHyphen/>
                              <w:t>hledném bohatství materiálu a v takovém srozumitelném podání |</w:t>
                            </w:r>
                          </w:p>
                        </w:txbxContent>
                      </wps:txbx>
                      <wps:bodyPr lIns="0" tIns="0" rIns="0" bIns="0">
                        <a:spAutoFit/>
                      </wps:bodyPr>
                    </wps:wsp>
                  </a:graphicData>
                </a:graphic>
              </wp:anchor>
            </w:drawing>
          </mc:Choice>
          <mc:Fallback>
            <w:pict>
              <v:shape id="_x0000_s1869" type="#_x0000_t202" style="position:absolute;margin-left:298.55000000000001pt;margin-top:68.650000000000006pt;width:135.34999999999999pt;height:197.30000000000001pt;z-index:-125828533;mso-wrap-distance-left:0;mso-wrap-distance-top:17.pt;mso-wrap-distance-right:0;mso-position-horizontal-relative:page" filled="f" stroked="f">
                <v:textbox style="mso-fit-shape-to-text:t" inset="0,0,0,0">
                  <w:txbxContent>
                    <w:p>
                      <w:pPr>
                        <w:pStyle w:val="Style262"/>
                        <w:keepNext w:val="0"/>
                        <w:keepLines w:val="0"/>
                        <w:widowControl w:val="0"/>
                        <w:shd w:val="clear" w:color="auto" w:fill="auto"/>
                        <w:bidi w:val="0"/>
                        <w:spacing w:before="0" w:after="40" w:line="230" w:lineRule="auto"/>
                        <w:ind w:left="0" w:right="0" w:firstLine="0"/>
                      </w:pPr>
                      <w:r>
                        <w:rPr>
                          <w:color w:val="000000"/>
                          <w:spacing w:val="0"/>
                          <w:w w:val="100"/>
                          <w:position w:val="0"/>
                          <w:shd w:val="clear" w:color="auto" w:fill="auto"/>
                          <w:lang w:val="cs-CZ" w:eastAsia="cs-CZ" w:bidi="cs-CZ"/>
                        </w:rPr>
                        <w:t>odevzdanosti a smutku, i to bude pro něho úrodné a blahodárné. Nahlédne totiž aspoň úkradkem do hlubin ducha, který dlouhým utrpe</w:t>
                        <w:softHyphen/>
                        <w:t>ním uzrál k moudrosti.</w:t>
                      </w:r>
                    </w:p>
                    <w:p>
                      <w:pPr>
                        <w:pStyle w:val="Style262"/>
                        <w:keepNext w:val="0"/>
                        <w:keepLines w:val="0"/>
                        <w:widowControl w:val="0"/>
                        <w:shd w:val="clear" w:color="auto" w:fill="auto"/>
                        <w:bidi w:val="0"/>
                        <w:spacing w:before="0" w:after="0" w:line="214" w:lineRule="auto"/>
                        <w:ind w:left="0" w:right="0"/>
                      </w:pPr>
                      <w:r>
                        <w:rPr>
                          <w:color w:val="000000"/>
                          <w:spacing w:val="0"/>
                          <w:w w:val="100"/>
                          <w:position w:val="0"/>
                          <w:shd w:val="clear" w:color="auto" w:fill="auto"/>
                          <w:lang w:val="cs-CZ" w:eastAsia="cs-CZ" w:bidi="cs-CZ"/>
                        </w:rPr>
                        <w:t>Kdo by se chtěl důkladněji obe</w:t>
                        <w:softHyphen/>
                        <w:t xml:space="preserve">známit s kulturně nejstarším a číselně nejpočetnějšim národem světa, ten udělá dobře, když sí přečte knihu moderního Číňana Lin Jutanga ,,Můj národ a má vlast“ (Borový). V předmluvě říká </w:t>
                      </w:r>
                      <w:r>
                        <w:rPr>
                          <w:color w:val="000000"/>
                          <w:spacing w:val="0"/>
                          <w:w w:val="100"/>
                          <w:position w:val="0"/>
                          <w:shd w:val="clear" w:color="auto" w:fill="auto"/>
                          <w:lang w:val="en-US" w:eastAsia="en-US" w:bidi="en-US"/>
                        </w:rPr>
                        <w:t xml:space="preserve">Pearl </w:t>
                      </w:r>
                      <w:r>
                        <w:rPr>
                          <w:color w:val="000000"/>
                          <w:spacing w:val="0"/>
                          <w:w w:val="100"/>
                          <w:position w:val="0"/>
                          <w:shd w:val="clear" w:color="auto" w:fill="auto"/>
                          <w:lang w:val="cs-CZ" w:eastAsia="cs-CZ" w:bidi="cs-CZ"/>
                        </w:rPr>
                        <w:t>Bůčková, známá autorka „Dobré země", že je to ..nej</w:t>
                        <w:softHyphen/>
                        <w:t>pravdivější a nejhlubší, nejúpl</w:t>
                        <w:softHyphen/>
                        <w:t>nější a nejzávažnější kniha, jaká byla dosud o Číně napsána“. Ta</w:t>
                        <w:softHyphen/>
                        <w:t>ková chvála knihy už něco zna</w:t>
                        <w:softHyphen/>
                        <w:t>mená. Pravdivá — ano. až do ne</w:t>
                        <w:softHyphen/>
                        <w:t>lítostného sebemrskačství, které je nám skoro nepochopitelné. Také hloubku postřehu jí neupřeme, i když nám místy poněkud vadí prostořece apartní tón autorovy řeči. Nejvíce si však na Lin Jutan- ovi ceníme úplnosti jeho obrazu íny. V takovém učleněném a pře</w:t>
                        <w:softHyphen/>
                        <w:t>hledném bohatství materiálu a v takovém srozumitelném podání |</w:t>
                      </w:r>
                    </w:p>
                  </w:txbxContent>
                </v:textbox>
                <w10:wrap type="square" anchorx="page"/>
              </v:shape>
            </w:pict>
          </mc:Fallback>
        </mc:AlternateContent>
      </w:r>
    </w:p>
    <w:p w:rsidR="00500724" w:rsidRDefault="00F30FB8">
      <w:pPr>
        <w:pStyle w:val="Zkladntext1"/>
        <w:shd w:val="clear" w:color="auto" w:fill="auto"/>
        <w:spacing w:after="120" w:line="202" w:lineRule="auto"/>
        <w:ind w:left="380" w:hanging="380"/>
        <w:jc w:val="left"/>
        <w:rPr>
          <w:sz w:val="18"/>
          <w:szCs w:val="18"/>
        </w:rPr>
      </w:pPr>
      <w:r>
        <w:rPr>
          <w:i/>
          <w:iCs/>
          <w:sz w:val="18"/>
          <w:szCs w:val="18"/>
        </w:rPr>
        <w:t>Viktor Dyk:</w:t>
      </w:r>
    </w:p>
    <w:p w:rsidR="00500724" w:rsidRDefault="00F30FB8">
      <w:pPr>
        <w:pStyle w:val="Zkladntext1"/>
        <w:shd w:val="clear" w:color="auto" w:fill="auto"/>
        <w:spacing w:after="120" w:line="202" w:lineRule="auto"/>
        <w:ind w:left="380" w:hanging="380"/>
        <w:jc w:val="left"/>
        <w:rPr>
          <w:sz w:val="18"/>
          <w:szCs w:val="18"/>
        </w:rPr>
      </w:pPr>
      <w:r>
        <w:rPr>
          <w:sz w:val="18"/>
          <w:szCs w:val="18"/>
        </w:rPr>
        <w:t>JE-U VŠE VZDÁLENO . . .</w:t>
      </w:r>
    </w:p>
    <w:p w:rsidR="00500724" w:rsidRDefault="00F30FB8">
      <w:pPr>
        <w:pStyle w:val="Zkladntext1"/>
        <w:shd w:val="clear" w:color="auto" w:fill="auto"/>
        <w:spacing w:line="202" w:lineRule="auto"/>
        <w:ind w:left="380" w:hanging="380"/>
        <w:jc w:val="left"/>
        <w:rPr>
          <w:sz w:val="18"/>
          <w:szCs w:val="18"/>
        </w:rPr>
      </w:pPr>
      <w:r>
        <w:rPr>
          <w:i/>
          <w:iCs/>
          <w:sz w:val="18"/>
          <w:szCs w:val="18"/>
        </w:rPr>
        <w:t>Je-li v</w:t>
      </w:r>
      <w:r>
        <w:rPr>
          <w:i/>
          <w:iCs/>
          <w:sz w:val="18"/>
          <w:szCs w:val="18"/>
        </w:rPr>
        <w:t>še vzdáleno, co zneklidní a vzruší,</w:t>
      </w:r>
    </w:p>
    <w:p w:rsidR="00500724" w:rsidRDefault="00F30FB8">
      <w:pPr>
        <w:pStyle w:val="Zkladntext1"/>
        <w:shd w:val="clear" w:color="auto" w:fill="auto"/>
        <w:spacing w:line="202" w:lineRule="auto"/>
        <w:ind w:left="380" w:hanging="380"/>
        <w:jc w:val="left"/>
        <w:rPr>
          <w:sz w:val="18"/>
          <w:szCs w:val="18"/>
        </w:rPr>
      </w:pPr>
      <w:r>
        <w:rPr>
          <w:i/>
          <w:iCs/>
          <w:sz w:val="18"/>
          <w:szCs w:val="18"/>
        </w:rPr>
        <w:t>klid přijde nesmírný, a v síni sebe užší</w:t>
      </w:r>
    </w:p>
    <w:p w:rsidR="00500724" w:rsidRDefault="00F30FB8">
      <w:pPr>
        <w:pStyle w:val="Zkladntext1"/>
        <w:shd w:val="clear" w:color="auto" w:fill="auto"/>
        <w:spacing w:line="202" w:lineRule="auto"/>
        <w:ind w:left="380" w:hanging="380"/>
        <w:jc w:val="left"/>
        <w:rPr>
          <w:sz w:val="18"/>
          <w:szCs w:val="18"/>
        </w:rPr>
      </w:pPr>
      <w:r>
        <w:rPr>
          <w:sz w:val="18"/>
          <w:szCs w:val="18"/>
        </w:rPr>
        <w:t xml:space="preserve">se </w:t>
      </w:r>
      <w:r>
        <w:rPr>
          <w:i/>
          <w:iCs/>
          <w:sz w:val="18"/>
          <w:szCs w:val="18"/>
        </w:rPr>
        <w:t>všechna minulost s budouc</w:t>
      </w:r>
      <w:r>
        <w:rPr>
          <w:i/>
          <w:iCs/>
          <w:sz w:val="18"/>
          <w:szCs w:val="18"/>
        </w:rPr>
        <w:softHyphen/>
        <w:t>nem dobře stěsná:</w:t>
      </w:r>
    </w:p>
    <w:p w:rsidR="00500724" w:rsidRDefault="00F30FB8">
      <w:pPr>
        <w:pStyle w:val="Zkladntext1"/>
        <w:shd w:val="clear" w:color="auto" w:fill="auto"/>
        <w:spacing w:line="202" w:lineRule="auto"/>
        <w:ind w:left="380" w:hanging="380"/>
        <w:jc w:val="left"/>
        <w:rPr>
          <w:sz w:val="18"/>
          <w:szCs w:val="18"/>
        </w:rPr>
      </w:pPr>
      <w:r>
        <w:rPr>
          <w:i/>
          <w:iCs/>
          <w:sz w:val="18"/>
          <w:szCs w:val="18"/>
        </w:rPr>
        <w:t>Cos dobrého ti kdys dávala tvoje vesna,</w:t>
      </w:r>
    </w:p>
    <w:p w:rsidR="00500724" w:rsidRDefault="00F30FB8">
      <w:pPr>
        <w:pStyle w:val="Zkladntext1"/>
        <w:shd w:val="clear" w:color="auto" w:fill="auto"/>
        <w:spacing w:line="202" w:lineRule="auto"/>
        <w:ind w:left="380" w:hanging="380"/>
        <w:jc w:val="left"/>
        <w:rPr>
          <w:sz w:val="18"/>
          <w:szCs w:val="18"/>
        </w:rPr>
      </w:pPr>
      <w:r>
        <w:rPr>
          <w:i/>
          <w:iCs/>
          <w:sz w:val="18"/>
          <w:szCs w:val="18"/>
        </w:rPr>
        <w:t>cos léto dalo ti, cos podzim také dá ti.</w:t>
      </w:r>
    </w:p>
    <w:p w:rsidR="00500724" w:rsidRDefault="00F30FB8">
      <w:pPr>
        <w:pStyle w:val="Zkladntext1"/>
        <w:shd w:val="clear" w:color="auto" w:fill="auto"/>
        <w:spacing w:line="202" w:lineRule="auto"/>
        <w:ind w:left="380" w:hanging="380"/>
        <w:jc w:val="left"/>
        <w:rPr>
          <w:sz w:val="18"/>
          <w:szCs w:val="18"/>
        </w:rPr>
      </w:pPr>
      <w:r>
        <w:rPr>
          <w:i/>
          <w:iCs/>
          <w:sz w:val="18"/>
          <w:szCs w:val="18"/>
        </w:rPr>
        <w:t>Co odňal tobě hluk, to ticho tobě vrátí.</w:t>
      </w:r>
    </w:p>
    <w:p w:rsidR="00500724" w:rsidRDefault="00F30FB8">
      <w:pPr>
        <w:pStyle w:val="Zkladntext1"/>
        <w:shd w:val="clear" w:color="auto" w:fill="auto"/>
        <w:spacing w:line="202" w:lineRule="auto"/>
        <w:ind w:left="380" w:hanging="380"/>
        <w:jc w:val="left"/>
        <w:rPr>
          <w:sz w:val="18"/>
          <w:szCs w:val="18"/>
        </w:rPr>
      </w:pPr>
      <w:r>
        <w:rPr>
          <w:i/>
          <w:iCs/>
          <w:sz w:val="18"/>
          <w:szCs w:val="18"/>
        </w:rPr>
        <w:t xml:space="preserve">A já se </w:t>
      </w:r>
      <w:r>
        <w:rPr>
          <w:i/>
          <w:iCs/>
          <w:sz w:val="18"/>
          <w:szCs w:val="18"/>
        </w:rPr>
        <w:t>usmívám, kde dřív jsem klnul psotě,</w:t>
      </w:r>
    </w:p>
    <w:p w:rsidR="00500724" w:rsidRDefault="00F30FB8">
      <w:pPr>
        <w:pStyle w:val="Zkladntext1"/>
        <w:shd w:val="clear" w:color="auto" w:fill="auto"/>
        <w:spacing w:line="202" w:lineRule="auto"/>
        <w:ind w:left="380" w:hanging="380"/>
        <w:jc w:val="left"/>
        <w:rPr>
          <w:sz w:val="18"/>
          <w:szCs w:val="18"/>
        </w:rPr>
      </w:pPr>
      <w:r>
        <w:rPr>
          <w:i/>
          <w:iCs/>
          <w:sz w:val="18"/>
          <w:szCs w:val="18"/>
        </w:rPr>
        <w:t>jsemť bližší vzdáleným, jsa sc vším o samotě.</w:t>
      </w:r>
    </w:p>
    <w:p w:rsidR="00500724" w:rsidRDefault="00F30FB8">
      <w:pPr>
        <w:pStyle w:val="Zkladntext1"/>
        <w:shd w:val="clear" w:color="auto" w:fill="auto"/>
        <w:spacing w:after="320" w:line="202" w:lineRule="auto"/>
        <w:ind w:left="380" w:hanging="380"/>
        <w:jc w:val="left"/>
        <w:rPr>
          <w:sz w:val="18"/>
          <w:szCs w:val="18"/>
        </w:rPr>
      </w:pPr>
      <w:r>
        <w:rPr>
          <w:i/>
          <w:iCs/>
          <w:sz w:val="18"/>
          <w:szCs w:val="18"/>
          <w:u w:val="single"/>
        </w:rPr>
        <w:t>Ze sbírky: Okno - Poslední rok.</w:t>
      </w:r>
    </w:p>
    <w:p w:rsidR="00500724" w:rsidRDefault="00F30FB8">
      <w:pPr>
        <w:pStyle w:val="Zkladntext80"/>
        <w:shd w:val="clear" w:color="auto" w:fill="auto"/>
        <w:spacing w:after="120" w:line="240" w:lineRule="auto"/>
        <w:ind w:left="380" w:hanging="380"/>
        <w:rPr>
          <w:sz w:val="20"/>
          <w:szCs w:val="20"/>
        </w:rPr>
      </w:pPr>
      <w:r>
        <w:rPr>
          <w:sz w:val="20"/>
          <w:szCs w:val="20"/>
        </w:rPr>
        <w:t>NOVÉ KNIHY</w:t>
      </w:r>
    </w:p>
    <w:p w:rsidR="00500724" w:rsidRDefault="00F30FB8">
      <w:pPr>
        <w:pStyle w:val="Zkladntext40"/>
        <w:shd w:val="clear" w:color="auto" w:fill="auto"/>
        <w:spacing w:after="80" w:line="240" w:lineRule="auto"/>
        <w:ind w:left="380" w:hanging="380"/>
        <w:jc w:val="left"/>
      </w:pPr>
      <w:r>
        <w:rPr>
          <w:i/>
          <w:iCs/>
        </w:rPr>
        <w:t>Vlád. Coufal:</w:t>
      </w:r>
    </w:p>
    <w:p w:rsidR="00500724" w:rsidRDefault="00F30FB8">
      <w:pPr>
        <w:pStyle w:val="Zkladntext90"/>
        <w:shd w:val="clear" w:color="auto" w:fill="auto"/>
        <w:spacing w:after="120" w:line="240" w:lineRule="auto"/>
        <w:ind w:firstLine="0"/>
        <w:jc w:val="center"/>
        <w:rPr>
          <w:sz w:val="14"/>
          <w:szCs w:val="14"/>
        </w:rPr>
      </w:pPr>
      <w:r>
        <w:rPr>
          <w:sz w:val="14"/>
          <w:szCs w:val="14"/>
        </w:rPr>
        <w:t>JAK ŽIJE ČÍNA</w:t>
      </w:r>
    </w:p>
    <w:p w:rsidR="00500724" w:rsidRDefault="00F30FB8">
      <w:pPr>
        <w:pStyle w:val="Zkladntext90"/>
        <w:shd w:val="clear" w:color="auto" w:fill="auto"/>
        <w:spacing w:line="211" w:lineRule="auto"/>
        <w:ind w:firstLine="160"/>
      </w:pPr>
      <w:r>
        <w:t>V doslovu ke svým znamenitým parafrázím čínské poesie ..Zpěvy staré Číny“ (Melantrich) praví Bo- I</w:t>
      </w:r>
    </w:p>
    <w:p w:rsidR="00500724" w:rsidRDefault="00F30FB8">
      <w:pPr>
        <w:pStyle w:val="Zkladntext90"/>
        <w:shd w:val="clear" w:color="auto" w:fill="auto"/>
        <w:spacing w:line="211" w:lineRule="auto"/>
        <w:ind w:firstLine="0"/>
      </w:pPr>
      <w:r>
        <w:t>humil Mathesius: ..Zdá se mi. že jsme se dnes všichni octli v si</w:t>
      </w:r>
      <w:r>
        <w:softHyphen/>
        <w:t>tuaci, kdy je životní potřebou po</w:t>
      </w:r>
      <w:r>
        <w:softHyphen/>
        <w:t>dívat se — když se toho tolik zhroutilo — jasně na sám fakt. na sám jev života z odstupu co nej</w:t>
      </w:r>
      <w:r>
        <w:softHyphen/>
        <w:t>většího, oťukat pilíře, nosnice a podpěry svého životního poc</w:t>
      </w:r>
      <w:r>
        <w:t>itu, zjistit, co padlo, co popraskalo a co posud pevně stojí. Zjistime-li z toho odstupu, jak si jiný národ, vzdálený od nás staletí a tisíce ki</w:t>
      </w:r>
      <w:r>
        <w:softHyphen/>
        <w:t>lometrů. skládal svůj životní pocit, jaké odpovědi si dával k praotáz- kám lidské existence, jak si styli- sova</w:t>
      </w:r>
      <w:r>
        <w:t>l svou životní formuli, kde hle</w:t>
      </w:r>
      <w:r>
        <w:softHyphen/>
        <w:t>dal své životní hrdinství, pomůže nám to podstatnou měrou i k objek- tivisaci vlastní bolesti, k zpevnění a potvrzení vlastního základního po</w:t>
      </w:r>
      <w:r>
        <w:softHyphen/>
        <w:t>stoje k otázce života.“ Pisatel ci</w:t>
      </w:r>
      <w:r>
        <w:softHyphen/>
        <w:t xml:space="preserve">tovaných řádků má zde ovšem na mysli především </w:t>
      </w:r>
      <w:r>
        <w:t>úctyhodný bás</w:t>
      </w:r>
      <w:r>
        <w:softHyphen/>
        <w:t>nický odkaz tisíciletého národa čínského. Vzdělanému i prostému čtenáři poskytne četba ..Zpěvů staré Číny“ jistě hojně požitku. Žádný neodloží ten sešitek neobda- rován; kdyby si z něho třeba od</w:t>
      </w:r>
      <w:r>
        <w:softHyphen/>
        <w:t>nesl jen nejasný pocit marnosti.</w:t>
      </w:r>
    </w:p>
    <w:p w:rsidR="00500724" w:rsidRDefault="00F30FB8">
      <w:pPr>
        <w:spacing w:line="1" w:lineRule="exact"/>
        <w:rPr>
          <w:sz w:val="2"/>
          <w:szCs w:val="2"/>
        </w:rPr>
      </w:pPr>
      <w:r>
        <w:br w:type="column"/>
      </w:r>
    </w:p>
    <w:p w:rsidR="00500724" w:rsidRDefault="00F30FB8">
      <w:pPr>
        <w:pStyle w:val="Zkladntext1"/>
        <w:shd w:val="clear" w:color="auto" w:fill="auto"/>
        <w:spacing w:after="120" w:line="206" w:lineRule="auto"/>
        <w:ind w:firstLine="0"/>
        <w:jc w:val="left"/>
        <w:rPr>
          <w:sz w:val="18"/>
          <w:szCs w:val="18"/>
        </w:rPr>
      </w:pPr>
      <w:r>
        <w:rPr>
          <w:i/>
          <w:iCs/>
          <w:sz w:val="18"/>
          <w:szCs w:val="18"/>
        </w:rPr>
        <w:t xml:space="preserve">C. </w:t>
      </w:r>
      <w:r>
        <w:rPr>
          <w:i/>
          <w:iCs/>
          <w:sz w:val="18"/>
          <w:szCs w:val="18"/>
        </w:rPr>
        <w:t>Chonezová:</w:t>
      </w:r>
    </w:p>
    <w:p w:rsidR="00500724" w:rsidRDefault="00F30FB8">
      <w:pPr>
        <w:pStyle w:val="Zkladntext1"/>
        <w:shd w:val="clear" w:color="auto" w:fill="auto"/>
        <w:spacing w:after="120" w:line="206" w:lineRule="auto"/>
        <w:ind w:firstLine="0"/>
        <w:jc w:val="center"/>
        <w:rPr>
          <w:sz w:val="18"/>
          <w:szCs w:val="18"/>
        </w:rPr>
      </w:pPr>
      <w:r>
        <w:rPr>
          <w:sz w:val="18"/>
          <w:szCs w:val="18"/>
        </w:rPr>
        <w:t>KNIHA V AMERICE.</w:t>
      </w:r>
    </w:p>
    <w:p w:rsidR="00500724" w:rsidRDefault="00F30FB8">
      <w:pPr>
        <w:pStyle w:val="Zkladntext1"/>
        <w:shd w:val="clear" w:color="auto" w:fill="auto"/>
        <w:spacing w:line="206" w:lineRule="auto"/>
        <w:rPr>
          <w:sz w:val="18"/>
          <w:szCs w:val="18"/>
        </w:rPr>
        <w:sectPr w:rsidR="00500724">
          <w:footnotePr>
            <w:numFmt w:val="chicago"/>
            <w:numRestart w:val="eachPage"/>
          </w:footnotePr>
          <w:type w:val="continuous"/>
          <w:pgSz w:w="11909" w:h="16834"/>
          <w:pgMar w:top="289" w:right="677" w:bottom="579" w:left="581" w:header="0" w:footer="3" w:gutter="0"/>
          <w:cols w:num="3" w:sep="1" w:space="720" w:equalWidth="0">
            <w:col w:w="2590" w:space="100"/>
            <w:col w:w="2590" w:space="2781"/>
            <w:col w:w="2590"/>
          </w:cols>
          <w:noEndnote/>
          <w:docGrid w:linePitch="360"/>
        </w:sectPr>
      </w:pPr>
      <w:r>
        <w:rPr>
          <w:i/>
          <w:iCs/>
          <w:sz w:val="18"/>
          <w:szCs w:val="18"/>
        </w:rPr>
        <w:t>Americká kniha je solidní a těžká, protože je vždycky vá</w:t>
      </w:r>
      <w:r>
        <w:rPr>
          <w:i/>
          <w:iCs/>
          <w:sz w:val="18"/>
          <w:szCs w:val="18"/>
        </w:rPr>
        <w:softHyphen/>
        <w:t>zána. Chráněna je pevnými, hlazenými deskami, které pří</w:t>
      </w:r>
      <w:r>
        <w:rPr>
          <w:i/>
          <w:iCs/>
          <w:sz w:val="18"/>
          <w:szCs w:val="18"/>
        </w:rPr>
        <w:softHyphen/>
        <w:t xml:space="preserve">jemně voní novotou, a její tisk je vždycky mnohem a mnohem pečlivější </w:t>
      </w:r>
      <w:r>
        <w:rPr>
          <w:i/>
          <w:iCs/>
          <w:sz w:val="18"/>
          <w:szCs w:val="18"/>
        </w:rPr>
        <w:t>než tisk běžné knihy evropské. Je vyrobena pro ná</w:t>
      </w:r>
      <w:r>
        <w:rPr>
          <w:i/>
          <w:iCs/>
          <w:sz w:val="18"/>
          <w:szCs w:val="18"/>
        </w:rPr>
        <w:softHyphen/>
        <w:t>rod s čistýma rukama, jenž se dožaduje jistého komfortu i při práci duševní. Neboť zde jde opravdu o kulturu ducha. Li</w:t>
      </w:r>
      <w:r>
        <w:rPr>
          <w:i/>
          <w:iCs/>
          <w:sz w:val="18"/>
          <w:szCs w:val="18"/>
        </w:rPr>
        <w:softHyphen/>
        <w:t>dem, kteří čtou jenom pro roz</w:t>
      </w:r>
      <w:r>
        <w:rPr>
          <w:i/>
          <w:iCs/>
          <w:sz w:val="18"/>
          <w:szCs w:val="18"/>
        </w:rPr>
        <w:softHyphen/>
        <w:t>ptýlení, jistě stačí těch 150 stránek nedělních novin neb</w:t>
      </w:r>
      <w:r>
        <w:rPr>
          <w:i/>
          <w:iCs/>
          <w:sz w:val="18"/>
          <w:szCs w:val="18"/>
        </w:rPr>
        <w:t>o týdeníků, plných milostných románů a prodávaných za 10 centů. A knižně se vydávají jenom díla, dosahující jisté li</w:t>
      </w:r>
      <w:r>
        <w:rPr>
          <w:i/>
          <w:iCs/>
          <w:sz w:val="18"/>
          <w:szCs w:val="18"/>
        </w:rPr>
        <w:softHyphen/>
        <w:t>terární úrovně. Jenom si to spočítejte: těch 150 stránek tý</w:t>
      </w:r>
      <w:r>
        <w:rPr>
          <w:i/>
          <w:iCs/>
          <w:sz w:val="18"/>
          <w:szCs w:val="18"/>
        </w:rPr>
        <w:softHyphen/>
        <w:t>deníku stojí 10 centů, kdežto knižně vydaný román stojí čte</w:t>
      </w:r>
      <w:r>
        <w:rPr>
          <w:i/>
          <w:iCs/>
          <w:sz w:val="18"/>
          <w:szCs w:val="18"/>
        </w:rPr>
        <w:softHyphen/>
        <w:t>náře při nejmenším</w:t>
      </w:r>
      <w:r>
        <w:rPr>
          <w:sz w:val="18"/>
          <w:szCs w:val="18"/>
        </w:rPr>
        <w:t xml:space="preserve"> </w:t>
      </w:r>
      <w:r>
        <w:rPr>
          <w:sz w:val="18"/>
          <w:szCs w:val="18"/>
        </w:rPr>
        <w:t xml:space="preserve">2 </w:t>
      </w:r>
      <w:r>
        <w:rPr>
          <w:i/>
          <w:iCs/>
          <w:sz w:val="18"/>
          <w:szCs w:val="18"/>
        </w:rPr>
        <w:t>nebo tři dolary, to znamená dvacetkrát nebo třicetkrát tolik.</w:t>
      </w:r>
    </w:p>
    <w:p w:rsidR="00500724" w:rsidRDefault="00500724">
      <w:pPr>
        <w:spacing w:line="7" w:lineRule="exact"/>
        <w:rPr>
          <w:sz w:val="2"/>
          <w:szCs w:val="2"/>
        </w:rPr>
      </w:pPr>
    </w:p>
    <w:p w:rsidR="00500724" w:rsidRDefault="00500724">
      <w:pPr>
        <w:spacing w:line="14" w:lineRule="exact"/>
        <w:sectPr w:rsidR="00500724">
          <w:footnotePr>
            <w:numFmt w:val="chicago"/>
            <w:numRestart w:val="eachPage"/>
          </w:footnotePr>
          <w:type w:val="continuous"/>
          <w:pgSz w:w="11909" w:h="16834"/>
          <w:pgMar w:top="289" w:right="0" w:bottom="289" w:left="0" w:header="0" w:footer="3" w:gutter="0"/>
          <w:cols w:space="720"/>
          <w:noEndnote/>
          <w:docGrid w:linePitch="360"/>
        </w:sectPr>
      </w:pPr>
    </w:p>
    <w:p w:rsidR="00500724" w:rsidRDefault="00F30FB8">
      <w:pPr>
        <w:pStyle w:val="Jin0"/>
        <w:shd w:val="clear" w:color="auto" w:fill="auto"/>
        <w:spacing w:after="40"/>
        <w:ind w:left="300" w:firstLine="0"/>
        <w:jc w:val="left"/>
        <w:rPr>
          <w:sz w:val="30"/>
          <w:szCs w:val="30"/>
        </w:rPr>
      </w:pPr>
      <w:r>
        <w:rPr>
          <w:b/>
          <w:bCs/>
          <w:sz w:val="30"/>
          <w:szCs w:val="30"/>
        </w:rPr>
        <w:t>FEUILLETON</w:t>
      </w:r>
    </w:p>
    <w:p w:rsidR="00500724" w:rsidRDefault="00F30FB8">
      <w:pPr>
        <w:pStyle w:val="Zkladntext40"/>
        <w:shd w:val="clear" w:color="auto" w:fill="auto"/>
        <w:spacing w:after="40" w:line="240" w:lineRule="auto"/>
        <w:jc w:val="left"/>
        <w:rPr>
          <w:sz w:val="16"/>
          <w:szCs w:val="16"/>
        </w:rPr>
      </w:pPr>
      <w:r>
        <w:rPr>
          <w:i/>
          <w:iCs/>
          <w:sz w:val="16"/>
          <w:szCs w:val="16"/>
          <w:lang w:val="en-US" w:eastAsia="en-US" w:bidi="en-US"/>
        </w:rPr>
        <w:t>Elmer Rice:</w:t>
      </w:r>
    </w:p>
    <w:p w:rsidR="00500724" w:rsidRDefault="00F30FB8">
      <w:pPr>
        <w:pStyle w:val="Zkladntext90"/>
        <w:shd w:val="clear" w:color="auto" w:fill="auto"/>
        <w:spacing w:after="40" w:line="202" w:lineRule="auto"/>
        <w:ind w:firstLine="0"/>
        <w:jc w:val="center"/>
        <w:rPr>
          <w:sz w:val="14"/>
          <w:szCs w:val="14"/>
        </w:rPr>
      </w:pPr>
      <w:r>
        <w:rPr>
          <w:sz w:val="14"/>
          <w:szCs w:val="14"/>
          <w:lang w:val="en-US" w:eastAsia="en-US" w:bidi="en-US"/>
        </w:rPr>
        <w:t>FANNY COEEMANOVA.</w:t>
      </w:r>
    </w:p>
    <w:p w:rsidR="00500724" w:rsidRDefault="00F30FB8">
      <w:pPr>
        <w:pStyle w:val="Zkladntext90"/>
        <w:shd w:val="clear" w:color="auto" w:fill="auto"/>
        <w:spacing w:after="40" w:line="218" w:lineRule="auto"/>
        <w:ind w:firstLine="0"/>
        <w:jc w:val="center"/>
      </w:pPr>
      <w:r>
        <w:t>(Úryvek z románu: New York</w:t>
      </w:r>
      <w:r>
        <w:br/>
        <w:t>vládne.)</w:t>
      </w:r>
    </w:p>
    <w:p w:rsidR="00500724" w:rsidRDefault="00F30FB8">
      <w:pPr>
        <w:pStyle w:val="Zkladntext90"/>
        <w:shd w:val="clear" w:color="auto" w:fill="auto"/>
        <w:spacing w:line="218" w:lineRule="auto"/>
      </w:pPr>
      <w:r>
        <w:t xml:space="preserve">Jedenáctého května bylo </w:t>
      </w:r>
      <w:r>
        <w:rPr>
          <w:lang w:val="en-US" w:eastAsia="en-US" w:bidi="en-US"/>
        </w:rPr>
        <w:t xml:space="preserve">Fanny </w:t>
      </w:r>
      <w:r>
        <w:t xml:space="preserve">Colemanové sedmdesát let. Jako většina lidí od divadla přikládala velkou citovou důležitost všem svátkům a výročím a nadšeně .ie zachovávala a oslavovala, jako kdyby byla ještě dítě. Již několik neděl před narozeninami přímo ohromila Corinnu, oznámivši jí </w:t>
      </w:r>
      <w:r>
        <w:t xml:space="preserve">úmysl oslavit ten slavný den jak náležitě skvělou rodinnou hostinou. Corinna se co nejšetrněji pokusila matce její úmysl vymluvit, ale to jen uvedlo </w:t>
      </w:r>
      <w:r>
        <w:rPr>
          <w:lang w:val="en-US" w:eastAsia="en-US" w:bidi="en-US"/>
        </w:rPr>
        <w:t xml:space="preserve">Fanny </w:t>
      </w:r>
      <w:r>
        <w:t>v divokou zu</w:t>
      </w:r>
      <w:r>
        <w:softHyphen/>
        <w:t>řivost.</w:t>
      </w:r>
    </w:p>
    <w:p w:rsidR="00500724" w:rsidRDefault="00F30FB8">
      <w:pPr>
        <w:pStyle w:val="Zkladntext90"/>
        <w:shd w:val="clear" w:color="auto" w:fill="auto"/>
        <w:spacing w:line="218" w:lineRule="auto"/>
      </w:pPr>
      <w:r>
        <w:t>Na Corinně již delší dobu 'spočí</w:t>
      </w:r>
      <w:r>
        <w:softHyphen/>
        <w:t>vala všechna péče o matku a všechna odpovědnost</w:t>
      </w:r>
      <w:r>
        <w:t>, a v posled</w:t>
      </w:r>
      <w:r>
        <w:softHyphen/>
        <w:t>ní době začínala pociťovat ná</w:t>
      </w:r>
      <w:r>
        <w:softHyphen/>
        <w:t xml:space="preserve">sledky tohoto napětí. Stav </w:t>
      </w:r>
      <w:r>
        <w:rPr>
          <w:lang w:val="en-US" w:eastAsia="en-US" w:bidi="en-US"/>
        </w:rPr>
        <w:t xml:space="preserve">Fannin </w:t>
      </w:r>
      <w:r>
        <w:t>se stále horšil, v poslední době nacházela zlomyslnou radost v tom, že tyranisovala dceru, která jí byla tak oddána. Corinna pod</w:t>
      </w:r>
      <w:r>
        <w:softHyphen/>
        <w:t>vědomě se již těšila na chvíli, kdy bude zbavena t</w:t>
      </w:r>
      <w:r>
        <w:t>ěžkého břeme</w:t>
      </w:r>
      <w:r>
        <w:softHyphen/>
        <w:t>ne péče o matku.</w:t>
      </w:r>
    </w:p>
    <w:p w:rsidR="00500724" w:rsidRDefault="00F30FB8">
      <w:pPr>
        <w:pStyle w:val="Zkladntext90"/>
        <w:shd w:val="clear" w:color="auto" w:fill="auto"/>
        <w:spacing w:line="218" w:lineRule="auto"/>
      </w:pPr>
      <w:r>
        <w:t>Pouhé pomyšlení na oslavu mat</w:t>
      </w:r>
      <w:r>
        <w:softHyphen/>
        <w:t xml:space="preserve">činých narozenin ji děsilo. </w:t>
      </w:r>
      <w:r>
        <w:rPr>
          <w:lang w:val="en-US" w:eastAsia="en-US" w:bidi="en-US"/>
        </w:rPr>
        <w:t xml:space="preserve">Fanny </w:t>
      </w:r>
      <w:r>
        <w:t>přece již svými silami na to ne</w:t>
      </w:r>
      <w:r>
        <w:softHyphen/>
        <w:t>stačí. a Corinna se obávala, že následky budou pro ni velmi zhoubné. Trochu útěchy našla v tom, že bratři a lékaři sdílejí její ná</w:t>
      </w:r>
      <w:r>
        <w:t xml:space="preserve">zor, a pověřila je úkolem, abv </w:t>
      </w:r>
      <w:r>
        <w:rPr>
          <w:lang w:val="en-US" w:eastAsia="en-US" w:bidi="en-US"/>
        </w:rPr>
        <w:t xml:space="preserve">Fanny </w:t>
      </w:r>
      <w:r>
        <w:t>odvrátili od jejího úmyslu třeba úskokem.</w:t>
      </w:r>
    </w:p>
    <w:p w:rsidR="00500724" w:rsidRDefault="00F30FB8">
      <w:pPr>
        <w:pStyle w:val="Zkladntext90"/>
        <w:shd w:val="clear" w:color="auto" w:fill="auto"/>
        <w:spacing w:line="218" w:lineRule="auto"/>
      </w:pPr>
      <w:r>
        <w:t xml:space="preserve">A tak Kryštof, Greg, Gay. dr. </w:t>
      </w:r>
      <w:r>
        <w:rPr>
          <w:lang w:val="en-US" w:eastAsia="en-US" w:bidi="en-US"/>
        </w:rPr>
        <w:t xml:space="preserve">Cunningham </w:t>
      </w:r>
      <w:r>
        <w:t xml:space="preserve">i dr. De </w:t>
      </w:r>
      <w:r>
        <w:rPr>
          <w:lang w:val="en-US" w:eastAsia="en-US" w:bidi="en-US"/>
        </w:rPr>
        <w:t xml:space="preserve">Lacy Barton </w:t>
      </w:r>
      <w:r>
        <w:t xml:space="preserve">se snažili rozmluvit </w:t>
      </w:r>
      <w:r>
        <w:rPr>
          <w:lang w:val="en-US" w:eastAsia="en-US" w:bidi="en-US"/>
        </w:rPr>
        <w:t xml:space="preserve">Fanny </w:t>
      </w:r>
      <w:r>
        <w:t>jeji bizarní nápad. Ale jejich spojená oposice jen posílila odhodlání sta</w:t>
      </w:r>
      <w:r>
        <w:softHyphen/>
        <w:t>ré paní, jež d</w:t>
      </w:r>
      <w:r>
        <w:t>osud měla velmi sil</w:t>
      </w:r>
      <w:r>
        <w:softHyphen/>
        <w:t>nou vůli, aspoň v některých vě</w:t>
      </w:r>
      <w:r>
        <w:softHyphen/>
        <w:t>cech. Dokonce se jí podařilo ob</w:t>
      </w:r>
      <w:r>
        <w:softHyphen/>
        <w:t>ratnými a chyiráckými prosbami dostat Grega na svou stranu a</w:t>
      </w:r>
      <w:r>
        <w:br w:type="column"/>
        <w:t>učinit z něho svého spojence. A Greg se svou obvyklou prudkostí bil na její stranu.</w:t>
      </w:r>
    </w:p>
    <w:p w:rsidR="00500724" w:rsidRDefault="00F30FB8">
      <w:pPr>
        <w:pStyle w:val="Zkladntext90"/>
        <w:shd w:val="clear" w:color="auto" w:fill="auto"/>
        <w:spacing w:line="216" w:lineRule="auto"/>
      </w:pPr>
      <w:r>
        <w:t xml:space="preserve">Na konec ovšem </w:t>
      </w:r>
      <w:r>
        <w:rPr>
          <w:lang w:val="en-US" w:eastAsia="en-US" w:bidi="en-US"/>
        </w:rPr>
        <w:t xml:space="preserve">Fanny </w:t>
      </w:r>
      <w:r>
        <w:t>prosa</w:t>
      </w:r>
      <w:r>
        <w:softHyphen/>
        <w:t>d</w:t>
      </w:r>
      <w:r>
        <w:t>ila svou. Definitivní rozhodnutí jako obyčejně musil učinit Kryš</w:t>
      </w:r>
      <w:r>
        <w:softHyphen/>
        <w:t>tof. Dospěl k přesvědčení, že pře</w:t>
      </w:r>
      <w:r>
        <w:softHyphen/>
        <w:t>vezení matky do sanatoria nedá se dlouho odkládati. S pomocí svého právního poradce Arnolda Bayforda a dra De Lacy Bartona vypracoval legální i lékařský plán</w:t>
      </w:r>
      <w:r>
        <w:t xml:space="preserve"> a chystal se k jeho prove</w:t>
      </w:r>
      <w:r>
        <w:softHyphen/>
        <w:t>dení. Proto nyní vyhověl matce i Gregovi. aby je učinil oba po</w:t>
      </w:r>
      <w:r>
        <w:softHyphen/>
        <w:t>volnější a aby Gregovi usnadnil svolení k tomu, co mělo přijíti později.</w:t>
      </w:r>
    </w:p>
    <w:p w:rsidR="00500724" w:rsidRDefault="00F30FB8">
      <w:pPr>
        <w:pStyle w:val="Zkladntext90"/>
        <w:shd w:val="clear" w:color="auto" w:fill="auto"/>
        <w:spacing w:line="216" w:lineRule="auto"/>
      </w:pPr>
      <w:r>
        <w:t xml:space="preserve">Fannv sice triumfovala, ale no- tají větřila nějakou nástrahu. V koutku svých myšlenek dobře </w:t>
      </w:r>
      <w:r>
        <w:t>tušila, že toto vítězství bude asi poslední a že konec její svobody nemůže býti příliš daleko. Teď však na to při své přelétavé po</w:t>
      </w:r>
      <w:r>
        <w:softHyphen/>
        <w:t>vaze příliš nemyslila a jako ve</w:t>
      </w:r>
      <w:r>
        <w:softHyphen/>
        <w:t>selé rozmazlené dítě zabývala se přípravami ke slavnosti naroze</w:t>
      </w:r>
      <w:r>
        <w:softHyphen/>
        <w:t>nin. Postavila si hlavu, že v</w:t>
      </w:r>
      <w:r>
        <w:t>še připraví bez přispění Corinnina a nařídila dceři, aby se jí do toho nepletla. Na radu dra Bartona Corinna uposlechla, ač nerada.</w:t>
      </w:r>
    </w:p>
    <w:p w:rsidR="00500724" w:rsidRDefault="00F30FB8">
      <w:pPr>
        <w:pStyle w:val="Zkladntext90"/>
        <w:shd w:val="clear" w:color="auto" w:fill="auto"/>
        <w:spacing w:line="216" w:lineRule="auto"/>
      </w:pPr>
      <w:r>
        <w:rPr>
          <w:lang w:val="en-US" w:eastAsia="en-US" w:bidi="en-US"/>
        </w:rPr>
        <w:t xml:space="preserve">Fanny </w:t>
      </w:r>
      <w:r>
        <w:t>byla zase ve svém živlu, ve stavu žvatlavé rozjařenosti, celé hodiny ztrávila s kadeřnicí, masérkou. švadlenou. Své sl</w:t>
      </w:r>
      <w:r>
        <w:t>užeb</w:t>
      </w:r>
      <w:r>
        <w:softHyphen/>
        <w:t>nictvo a věrnou ošetřovatelku, paní Dunnigtonovou, zasypávala složitými a často si odporujícími rozkazy.</w:t>
      </w:r>
    </w:p>
    <w:p w:rsidR="00500724" w:rsidRDefault="00F30FB8">
      <w:pPr>
        <w:pStyle w:val="Zkladntext90"/>
        <w:shd w:val="clear" w:color="auto" w:fill="auto"/>
        <w:spacing w:line="216" w:lineRule="auto"/>
      </w:pPr>
      <w:r>
        <w:t>Celá rodina očekávala slavnost</w:t>
      </w:r>
      <w:r>
        <w:softHyphen/>
        <w:t>ní den se značným neklidem. Ob</w:t>
      </w:r>
      <w:r>
        <w:softHyphen/>
        <w:t>zvláště Corinna, jež jediná plně chápala, jak daleko postoupila matčina zchátralost.</w:t>
      </w:r>
      <w:r>
        <w:t xml:space="preserve"> Byla ráda. že Františka je v Itálii a poslala jí kabelogram, že nemusí jezdit domů k vůli matčiným naroze</w:t>
      </w:r>
      <w:r>
        <w:softHyphen/>
        <w:t>ninám. Františka měla mít v červ</w:t>
      </w:r>
      <w:r>
        <w:softHyphen/>
        <w:t>nu svatbu s Johnem Quinlanem, a Corinna nechtěla, aby sebe menší mráček zakalil dceřino štěstí.</w:t>
      </w:r>
    </w:p>
    <w:p w:rsidR="00500724" w:rsidRDefault="00F30FB8">
      <w:pPr>
        <w:pStyle w:val="Zkladntext90"/>
        <w:shd w:val="clear" w:color="auto" w:fill="auto"/>
        <w:spacing w:line="216" w:lineRule="auto"/>
        <w:ind w:firstLine="0"/>
        <w:jc w:val="right"/>
      </w:pPr>
      <w:r>
        <w:t>V osm hodin se Colem</w:t>
      </w:r>
      <w:r>
        <w:t>anové I shromáždili v saloně bytu Fanni-</w:t>
      </w:r>
    </w:p>
    <w:p w:rsidR="00500724" w:rsidRDefault="00F30FB8">
      <w:pPr>
        <w:spacing w:line="1" w:lineRule="exact"/>
        <w:rPr>
          <w:sz w:val="2"/>
          <w:szCs w:val="2"/>
        </w:rPr>
      </w:pPr>
      <w:r>
        <w:br w:type="column"/>
      </w:r>
    </w:p>
    <w:p w:rsidR="00500724" w:rsidRDefault="00F30FB8">
      <w:pPr>
        <w:pStyle w:val="Zkladntext90"/>
        <w:shd w:val="clear" w:color="auto" w:fill="auto"/>
        <w:spacing w:line="216" w:lineRule="auto"/>
        <w:ind w:firstLine="0"/>
      </w:pPr>
      <w:r>
        <w:t>I na. Bylo to po prvé od melancho</w:t>
      </w:r>
      <w:r>
        <w:softHyphen/>
        <w:t>lické štědrovečerní večeře u Kryš</w:t>
      </w:r>
      <w:r>
        <w:softHyphen/>
        <w:t>tofa a po prvé po mnoha letech, co se všichni shromáždili v do</w:t>
      </w:r>
      <w:r>
        <w:softHyphen/>
        <w:t>mácnosti Fannině. Bylo jich pou</w:t>
      </w:r>
      <w:r>
        <w:softHyphen/>
        <w:t xml:space="preserve">ze šest. Corinna a její tři bratři. Kryštofova </w:t>
      </w:r>
      <w:r>
        <w:t>manželka a syn, jenž jediný zde zastupoval třetí .gene</w:t>
      </w:r>
      <w:r>
        <w:softHyphen/>
        <w:t>raci.</w:t>
      </w:r>
    </w:p>
    <w:p w:rsidR="00500724" w:rsidRDefault="00F30FB8">
      <w:pPr>
        <w:pStyle w:val="Zkladntext90"/>
        <w:shd w:val="clear" w:color="auto" w:fill="auto"/>
        <w:spacing w:line="216" w:lineRule="auto"/>
        <w:ind w:firstLine="200"/>
      </w:pPr>
      <w:r>
        <w:t>Byli překvapeni, když viděli, že uprostřed jsou přes velký pokoj rozpiaty velké záclony jako opo</w:t>
      </w:r>
      <w:r>
        <w:softHyphen/>
        <w:t>na, a že před oponou stojí šest lenošek v řadě jako divadelní se</w:t>
      </w:r>
      <w:r>
        <w:softHyphen/>
        <w:t xml:space="preserve">dadla. Lokaj je obřadně požádal, </w:t>
      </w:r>
      <w:r>
        <w:t>aby zaujali svá místa, a každému z nich dal vkusně vázanou kníž</w:t>
      </w:r>
      <w:r>
        <w:softHyphen/>
        <w:t>ku s pozlaceným nápisem na des</w:t>
      </w:r>
      <w:r>
        <w:softHyphen/>
        <w:t>kách, jenž dětsky naivním slo</w:t>
      </w:r>
      <w:r>
        <w:softHyphen/>
        <w:t>hem oznamoval událost, kterou oslavují, uvnitř pak bylo asi dva</w:t>
      </w:r>
      <w:r>
        <w:softHyphen/>
        <w:t>náct ručně kolorovaných fotogra</w:t>
      </w:r>
      <w:r>
        <w:softHyphen/>
        <w:t xml:space="preserve">fií </w:t>
      </w:r>
      <w:r>
        <w:rPr>
          <w:lang w:val="en-US" w:eastAsia="en-US" w:bidi="en-US"/>
        </w:rPr>
        <w:t xml:space="preserve">Fanny </w:t>
      </w:r>
      <w:r>
        <w:t>Colemanové z různých údob</w:t>
      </w:r>
      <w:r>
        <w:t>í její umělecké kariéry. Roz</w:t>
      </w:r>
      <w:r>
        <w:softHyphen/>
        <w:t>pačitě obraceli stránky a s ne</w:t>
      </w:r>
      <w:r>
        <w:softHyphen/>
        <w:t>klidnou zvědavostí čekali, co bude dále.</w:t>
      </w:r>
    </w:p>
    <w:p w:rsidR="00500724" w:rsidRDefault="00F30FB8">
      <w:pPr>
        <w:pStyle w:val="Zkladntext90"/>
        <w:shd w:val="clear" w:color="auto" w:fill="auto"/>
        <w:spacing w:line="216" w:lineRule="auto"/>
        <w:ind w:firstLine="200"/>
      </w:pPr>
      <w:r>
        <w:t>Jejich nálada nebyla docela nic slavnostní, a mezi sebou si neměli mnoho co povídat. Gav se pokou</w:t>
      </w:r>
      <w:r>
        <w:softHyphen/>
        <w:t>šel zapřísti konvenční rozhovor s Corinnou. Greg se snaži</w:t>
      </w:r>
      <w:r>
        <w:t xml:space="preserve">l zastříti skutečnost, že po celý den silně popíjel. Kryštof </w:t>
      </w:r>
      <w:r>
        <w:rPr>
          <w:lang w:val="en-US" w:eastAsia="en-US" w:bidi="en-US"/>
        </w:rPr>
        <w:t xml:space="preserve">Coleman </w:t>
      </w:r>
      <w:r>
        <w:t xml:space="preserve">a jeho manželka </w:t>
      </w:r>
      <w:r>
        <w:rPr>
          <w:lang w:val="en-US" w:eastAsia="en-US" w:bidi="en-US"/>
        </w:rPr>
        <w:t xml:space="preserve">Miriam </w:t>
      </w:r>
      <w:r>
        <w:t>seděli zde v po</w:t>
      </w:r>
      <w:r>
        <w:softHyphen/>
        <w:t>nurém mlčení, přemýšlejíce o ne</w:t>
      </w:r>
      <w:r>
        <w:softHyphen/>
        <w:t>blahé příhodě, která se u nich stala dnes odpoledne.</w:t>
      </w:r>
    </w:p>
    <w:p w:rsidR="00500724" w:rsidRDefault="00F30FB8">
      <w:pPr>
        <w:pStyle w:val="Zkladntext90"/>
        <w:shd w:val="clear" w:color="auto" w:fill="auto"/>
        <w:spacing w:line="216" w:lineRule="auto"/>
        <w:ind w:firstLine="200"/>
      </w:pPr>
      <w:r>
        <w:t>Kit nešel dnes do školy, aby se mohl zúčastnit slavnostní večeř</w:t>
      </w:r>
      <w:r>
        <w:t xml:space="preserve">e a přišel domů brzy odpoledne. O něco později </w:t>
      </w:r>
      <w:r>
        <w:rPr>
          <w:lang w:val="en-US" w:eastAsia="en-US" w:bidi="en-US"/>
        </w:rPr>
        <w:t xml:space="preserve">Miriam, </w:t>
      </w:r>
      <w:r>
        <w:t xml:space="preserve">jejíž hypo- chondrie značně polevila vždycky, když syn přijel domů, opustila svůj pokoj, chtějíc si s ním chvíli v soukromí pohovořit. Dveře </w:t>
      </w:r>
      <w:r>
        <w:rPr>
          <w:lang w:val="en-US" w:eastAsia="en-US" w:bidi="en-US"/>
        </w:rPr>
        <w:t>Ki</w:t>
      </w:r>
      <w:r>
        <w:rPr>
          <w:lang w:val="en-US" w:eastAsia="en-US" w:bidi="en-US"/>
        </w:rPr>
        <w:softHyphen/>
        <w:t xml:space="preserve">tova </w:t>
      </w:r>
      <w:r>
        <w:t>pokoje byly zavřeny a když chtěla zaklepat, zaslechl</w:t>
      </w:r>
      <w:r>
        <w:t>a zevnitř zvuky, jako kdyby se tam někdo s někým tahal nebo pral. Oka</w:t>
      </w:r>
      <w:r>
        <w:softHyphen/>
        <w:t>mžik naslouchala a když v zápětí se ozval zevnitř ženský hlas. ote</w:t>
      </w:r>
      <w:r>
        <w:softHyphen/>
        <w:t>vřela prudce dveře bez zaklepání. Kit tam držel v náručí Hildu, jed</w:t>
      </w:r>
      <w:r>
        <w:softHyphen/>
        <w:t>nu ze služebných. Děvče ho od I</w:t>
      </w:r>
      <w:r>
        <w:br w:type="column"/>
        <w:t xml:space="preserve">sebe odstrkovalo a </w:t>
      </w:r>
      <w:r>
        <w:t>při tom pře</w:t>
      </w:r>
      <w:r>
        <w:softHyphen/>
        <w:t>vrhlo stolek.</w:t>
      </w:r>
    </w:p>
    <w:p w:rsidR="00500724" w:rsidRDefault="00F30FB8">
      <w:pPr>
        <w:pStyle w:val="Zkladntext90"/>
        <w:shd w:val="clear" w:color="auto" w:fill="auto"/>
        <w:spacing w:line="216" w:lineRule="auto"/>
        <w:ind w:firstLine="160"/>
      </w:pPr>
      <w:r>
        <w:t>Jakmile Kit spatřil matku, pus</w:t>
      </w:r>
      <w:r>
        <w:softHyphen/>
        <w:t>til dívku, která rychle vyběhla z pokoje. Vlasy jí splývaly do čela a šaty měla potrhané. Na matčin vyčítavý pohled odpověděl Kit ostýchavým úsměvem a chatrnou výmluvou, že prý chtěl Hildě ukázat něj</w:t>
      </w:r>
      <w:r>
        <w:t xml:space="preserve">aký nový zápasnický hmat, kterému se právě naučil. </w:t>
      </w:r>
      <w:r>
        <w:rPr>
          <w:lang w:val="en-US" w:eastAsia="en-US" w:bidi="en-US"/>
        </w:rPr>
        <w:t xml:space="preserve">Miriam </w:t>
      </w:r>
      <w:r>
        <w:t>začala se s ním vaditi, ale najednou vypukla v pláč a odešla. Za chvíli nato zkoušeuý a kající Kit přišel za ní a klepal na dveře. Ona však mu neotevřela.</w:t>
      </w:r>
    </w:p>
    <w:p w:rsidR="00500724" w:rsidRDefault="00F30FB8">
      <w:pPr>
        <w:pStyle w:val="Zkladntext90"/>
        <w:shd w:val="clear" w:color="auto" w:fill="auto"/>
        <w:spacing w:line="216" w:lineRule="auto"/>
        <w:ind w:firstLine="160"/>
      </w:pPr>
      <w:r>
        <w:t xml:space="preserve">Když se </w:t>
      </w:r>
      <w:r>
        <w:rPr>
          <w:lang w:val="en-US" w:eastAsia="en-US" w:bidi="en-US"/>
        </w:rPr>
        <w:t xml:space="preserve">Miriam </w:t>
      </w:r>
      <w:r>
        <w:t>uklidnila, po</w:t>
      </w:r>
      <w:r>
        <w:softHyphen/>
        <w:t>slala pro Hild</w:t>
      </w:r>
      <w:r>
        <w:t xml:space="preserve">u. která se nejen zapřísahala svou nevinou, ale snažila se omluvit i Kita. </w:t>
      </w:r>
      <w:r>
        <w:rPr>
          <w:lang w:val="en-US" w:eastAsia="en-US" w:bidi="en-US"/>
        </w:rPr>
        <w:t xml:space="preserve">Miriam </w:t>
      </w:r>
      <w:r>
        <w:t>však chladně ji přerušila, že ne</w:t>
      </w:r>
      <w:r>
        <w:softHyphen/>
        <w:t>chce slyšet její výklady, zaplatila jí na dva měsíce napřed a vyzva</w:t>
      </w:r>
      <w:r>
        <w:softHyphen/>
        <w:t>la ji, aby okamžitě opustila dům. V hale se plačící děvče setkalo s Kryšt</w:t>
      </w:r>
      <w:r>
        <w:t>ofem, jenž se jí zeptal, proč pláče. Nejdříve nechtěla říci, ale potom se vzchopila a začala se horlivě dožadovat jeho ochrany proti nespravedlivému propuštění.</w:t>
      </w:r>
    </w:p>
    <w:p w:rsidR="00500724" w:rsidRDefault="00F30FB8">
      <w:pPr>
        <w:pStyle w:val="Zkladntext90"/>
        <w:shd w:val="clear" w:color="auto" w:fill="auto"/>
        <w:spacing w:line="216" w:lineRule="auto"/>
        <w:ind w:firstLine="160"/>
      </w:pPr>
      <w:r>
        <w:t>V návalu hněvu poslal Kryštof pro Kita. Chlapec však na jeho prudké výčitky reagoval zarputi</w:t>
      </w:r>
      <w:r>
        <w:softHyphen/>
        <w:t>lý</w:t>
      </w:r>
      <w:r>
        <w:t xml:space="preserve">m a vzdorovitým mlčením, a tak na konec mu Kryštof nařídil, aby se odebral do svého pokoje. Stále rozhněván šel Kryštof k </w:t>
      </w:r>
      <w:r>
        <w:rPr>
          <w:lang w:val="en-US" w:eastAsia="en-US" w:bidi="en-US"/>
        </w:rPr>
        <w:t>Mi</w:t>
      </w:r>
      <w:r>
        <w:rPr>
          <w:lang w:val="en-US" w:eastAsia="en-US" w:bidi="en-US"/>
        </w:rPr>
        <w:softHyphen/>
        <w:t xml:space="preserve">riam </w:t>
      </w:r>
      <w:r>
        <w:t xml:space="preserve">a žádal, aby odvolala Hildi- nu výpověď. </w:t>
      </w:r>
      <w:r>
        <w:rPr>
          <w:lang w:val="en-US" w:eastAsia="en-US" w:bidi="en-US"/>
        </w:rPr>
        <w:t xml:space="preserve">Miriam </w:t>
      </w:r>
      <w:r>
        <w:t>mu odpově</w:t>
      </w:r>
      <w:r>
        <w:softHyphen/>
        <w:t>děla obvyklým výpočtem jeho hříchů. Co může očekávat od sy</w:t>
      </w:r>
      <w:r>
        <w:softHyphen/>
        <w:t>na, jemuž</w:t>
      </w:r>
      <w:r>
        <w:t xml:space="preserve"> dává takový příklad? Odmítla zrušiti Hildino propuště</w:t>
      </w:r>
      <w:r>
        <w:softHyphen/>
        <w:t xml:space="preserve">ní. , Bude-li Kryštof trvati na tom, aby děvče zůstalo, odejde z domu </w:t>
      </w:r>
      <w:r>
        <w:rPr>
          <w:lang w:val="en-US" w:eastAsia="en-US" w:bidi="en-US"/>
        </w:rPr>
        <w:t xml:space="preserve">Miriam. </w:t>
      </w:r>
      <w:r>
        <w:t>Kryštofovi nezbylo než podrobit se.</w:t>
      </w:r>
    </w:p>
    <w:p w:rsidR="00500724" w:rsidRDefault="00F30FB8">
      <w:pPr>
        <w:pStyle w:val="Zkladntext90"/>
        <w:shd w:val="clear" w:color="auto" w:fill="auto"/>
        <w:spacing w:line="216" w:lineRule="auto"/>
        <w:ind w:firstLine="160"/>
        <w:sectPr w:rsidR="00500724">
          <w:footnotePr>
            <w:numFmt w:val="chicago"/>
            <w:numRestart w:val="eachPage"/>
          </w:footnotePr>
          <w:type w:val="continuous"/>
          <w:pgSz w:w="11909" w:h="16834"/>
          <w:pgMar w:top="289" w:right="727" w:bottom="289" w:left="576" w:header="0" w:footer="3" w:gutter="0"/>
          <w:cols w:num="4" w:sep="1" w:space="100"/>
          <w:noEndnote/>
          <w:docGrid w:linePitch="360"/>
        </w:sectPr>
      </w:pPr>
      <w:r>
        <w:t xml:space="preserve">Odešel do své pracovny, třeba se vztekem. Pojednou se v </w:t>
      </w:r>
      <w:r>
        <w:t>něm ozvala známá touha, o níž věděl, že je neodolatelná, proti níž však nic</w:t>
      </w:r>
      <w:r>
        <w:softHyphen/>
        <w:t>méně statečně bojoval. Na konec však podlehl, odemkl skříň, vy</w:t>
      </w:r>
      <w:r>
        <w:softHyphen/>
        <w:t>táhl láhev whisky a nalil si sklen</w:t>
      </w:r>
      <w:r>
        <w:softHyphen/>
        <w:t>ku — první po téměř celoroční ab-</w:t>
      </w:r>
    </w:p>
    <w:p w:rsidR="00500724" w:rsidRDefault="00500724">
      <w:pPr>
        <w:rPr>
          <w:sz w:val="2"/>
          <w:szCs w:val="2"/>
        </w:rPr>
        <w:sectPr w:rsidR="00500724">
          <w:footnotePr>
            <w:numFmt w:val="chicago"/>
            <w:numRestart w:val="eachPage"/>
          </w:footnotePr>
          <w:type w:val="continuous"/>
          <w:pgSz w:w="11909" w:h="16834"/>
          <w:pgMar w:top="289" w:right="727" w:bottom="289" w:left="576" w:header="0" w:footer="3" w:gutter="0"/>
          <w:cols w:num="4" w:sep="1" w:space="100"/>
          <w:noEndnote/>
          <w:docGrid w:linePitch="360"/>
        </w:sectPr>
      </w:pPr>
    </w:p>
    <w:p w:rsidR="00500724" w:rsidRDefault="00F30FB8">
      <w:pPr>
        <w:spacing w:line="14" w:lineRule="exact"/>
      </w:pPr>
      <w:r>
        <w:rPr>
          <w:noProof/>
        </w:rPr>
        <mc:AlternateContent>
          <mc:Choice Requires="wps">
            <w:drawing>
              <wp:anchor distT="0" distB="0" distL="0" distR="0" simplePos="0" relativeHeight="125830222" behindDoc="0" locked="0" layoutInCell="1" allowOverlap="1">
                <wp:simplePos x="0" y="0"/>
                <wp:positionH relativeFrom="page">
                  <wp:posOffset>3497580</wp:posOffset>
                </wp:positionH>
                <wp:positionV relativeFrom="paragraph">
                  <wp:posOffset>12700</wp:posOffset>
                </wp:positionV>
                <wp:extent cx="1713230" cy="5026025"/>
                <wp:effectExtent l="0" t="0" r="0" b="0"/>
                <wp:wrapSquare wrapText="bothSides"/>
                <wp:docPr id="845" name="Shape 845"/>
                <wp:cNvGraphicFramePr/>
                <a:graphic xmlns:a="http://schemas.openxmlformats.org/drawingml/2006/main">
                  <a:graphicData uri="http://schemas.microsoft.com/office/word/2010/wordprocessingShape">
                    <wps:wsp>
                      <wps:cNvSpPr txBox="1"/>
                      <wps:spPr>
                        <a:xfrm>
                          <a:off x="0" y="0"/>
                          <a:ext cx="1713230" cy="5026025"/>
                        </a:xfrm>
                        <a:prstGeom prst="rect">
                          <a:avLst/>
                        </a:prstGeom>
                        <a:noFill/>
                      </wps:spPr>
                      <wps:txbx>
                        <w:txbxContent>
                          <w:p w:rsidR="00500724" w:rsidRDefault="00F30FB8">
                            <w:pPr>
                              <w:pStyle w:val="Zkladntext90"/>
                              <w:shd w:val="clear" w:color="auto" w:fill="auto"/>
                              <w:spacing w:line="214" w:lineRule="auto"/>
                              <w:ind w:firstLine="0"/>
                            </w:pPr>
                            <w:r>
                              <w:t xml:space="preserve">dědictvím“ — </w:t>
                            </w:r>
                            <w:r>
                              <w:t>takováto ušlechtilá hesla píší na Nový rok Číňané na červený papír a lepí na všechny domovní dveře. Stejně tak je i lhostejnost plodem zvláštních společenských poměrů, které neza</w:t>
                            </w:r>
                            <w:r>
                              <w:softHyphen/>
                              <w:t>ručují jedincům dostatečnou právní ochranu „Číňané si potrpí na lhostejnost t</w:t>
                            </w:r>
                            <w:r>
                              <w:t>ak, jako si Angličané potrpí na deštník, protože jednot</w:t>
                            </w:r>
                            <w:r>
                              <w:softHyphen/>
                              <w:t>livci, který se pustí sám moc da</w:t>
                            </w:r>
                            <w:r>
                              <w:softHyphen/>
                              <w:t>leko, vypadá politické počasí vždy</w:t>
                            </w:r>
                            <w:r>
                              <w:softHyphen/>
                              <w:t>cky trochu na déšť. “ Má tedy I lhostejnost v Číně hodnotu pojist</w:t>
                            </w:r>
                            <w:r>
                              <w:softHyphen/>
                              <w:t>nou. Jak se to jeví v čínské novi</w:t>
                            </w:r>
                            <w:r>
                              <w:softHyphen/>
                              <w:t>nářské praksi, o tom vás poučuje</w:t>
                            </w:r>
                            <w:r>
                              <w:t xml:space="preserve"> tato pěkná poznámka pod čarou: „Nejstarší a největší čínský deník ,Sun Pao' byl dříve proslulý tím, že v redakční části pojednával 1. o otázkách zahraničních a nikoliv domácích; 2. o tématech odlehlých a nikoliv bezprostředních a 3. o vě</w:t>
                            </w:r>
                            <w:r>
                              <w:softHyphen/>
                              <w:t xml:space="preserve">cech všeobecných </w:t>
                            </w:r>
                            <w:r>
                              <w:t>a nikoliv zvlášt</w:t>
                            </w:r>
                            <w:r>
                              <w:softHyphen/>
                              <w:t>ních, tak na př. o významu píle. o ceně pravdy atd.“ Za nejnápad</w:t>
                            </w:r>
                            <w:r>
                              <w:softHyphen/>
                              <w:t>nější a zároveň nejhlubší rys čín</w:t>
                            </w:r>
                            <w:r>
                              <w:softHyphen/>
                              <w:t>ské povahy označuje Lin Jutang šibalství. Filosoficky vidí jeho pů</w:t>
                            </w:r>
                            <w:r>
                              <w:softHyphen/>
                              <w:t>vod v taoismu, který mu v teorii i v praksi znamená cynismus, drti</w:t>
                            </w:r>
                            <w:r>
                              <w:softHyphen/>
                              <w:t xml:space="preserve">vou a </w:t>
                            </w:r>
                            <w:r>
                              <w:t>zžíravou skepsi, pošklebek nad marností všeho lidského počí</w:t>
                            </w:r>
                            <w:r>
                              <w:softHyphen/>
                              <w:t>nání. Proti konfuciovskému veskrze kladnému nazírání bouří se taois- mus svým materialistickým zápo</w:t>
                            </w:r>
                            <w:r>
                              <w:softHyphen/>
                              <w:t>jem, vzdorujícím vSemu idealismu Sibal je člověk především střízlivý, svou taktiku odvažuje podl</w:t>
                            </w:r>
                            <w:r>
                              <w:t>e po</w:t>
                            </w:r>
                            <w:r>
                              <w:softHyphen/>
                              <w:t>třeby přesně tak jako veliký ital</w:t>
                            </w:r>
                            <w:r>
                              <w:softHyphen/>
                              <w:t>ský státník, který stanovil známou zásadu: „bisogna essere volpe e leone“. Když nemůže Číňan bojovat jako lev, brání se jako Ušák. Z ce</w:t>
                            </w:r>
                            <w:r>
                              <w:softHyphen/>
                              <w:t>lého křesťanství je mu nejsrozumi</w:t>
                            </w:r>
                            <w:r>
                              <w:softHyphen/>
                              <w:t>telnější Kristův příkaz o „prost- nosti holubič</w:t>
                            </w:r>
                            <w:r>
                              <w:t>í“ a „chytrosti hadí“. Tresť této šibalské filosofie je za</w:t>
                            </w:r>
                            <w:r>
                              <w:softHyphen/>
                              <w:t xml:space="preserve">chycena v rozmluvě dvou mniš- ských básníků z dynastie </w:t>
                            </w:r>
                            <w:r>
                              <w:rPr>
                                <w:lang w:val="en-US" w:eastAsia="en-US" w:bidi="en-US"/>
                              </w:rPr>
                              <w:t xml:space="preserve">T’ang: </w:t>
                            </w:r>
                            <w:r>
                              <w:t xml:space="preserve">Otázal se Hanšan jednou </w:t>
                            </w:r>
                            <w:r>
                              <w:rPr>
                                <w:lang w:val="en-US" w:eastAsia="en-US" w:bidi="en-US"/>
                              </w:rPr>
                              <w:t xml:space="preserve">Site: </w:t>
                            </w:r>
                            <w:r>
                              <w:t>„Když mě bude někdo špinit, ha</w:t>
                            </w:r>
                            <w:r>
                              <w:softHyphen/>
                              <w:t>nobit, tupit, ponižovat, urážet, ne</w:t>
                            </w:r>
                            <w:r>
                              <w:softHyphen/>
                              <w:t>návidět a podvádět, co si mám po</w:t>
                            </w:r>
                            <w:r>
                              <w:softHyphen/>
                              <w:t>čít?“</w:t>
                            </w:r>
                            <w:r>
                              <w:t xml:space="preserve"> Odpověděl mu </w:t>
                            </w:r>
                            <w:r>
                              <w:rPr>
                                <w:lang w:val="en-US" w:eastAsia="en-US" w:bidi="en-US"/>
                              </w:rPr>
                              <w:t xml:space="preserve">Site: </w:t>
                            </w:r>
                            <w:r>
                              <w:t>„Jen s ním měj strpení, ustup . mu. ne</w:t>
                            </w:r>
                            <w:r>
                              <w:softHyphen/>
                              <w:t>chej ho, uhýbej mu, snášej ho. cti ho a nedbej na něho. A za několik let jen se pak na něho podívej.“ Ze stejně trpného obranného postoje</w:t>
                            </w:r>
                          </w:p>
                        </w:txbxContent>
                      </wps:txbx>
                      <wps:bodyPr lIns="0" tIns="0" rIns="0" bIns="0">
                        <a:spAutoFit/>
                      </wps:bodyPr>
                    </wps:wsp>
                  </a:graphicData>
                </a:graphic>
              </wp:anchor>
            </w:drawing>
          </mc:Choice>
          <mc:Fallback>
            <w:pict>
              <v:shape id="_x0000_s1871" type="#_x0000_t202" style="position:absolute;margin-left:275.39999999999998pt;margin-top:1.pt;width:134.90000000000001pt;height:395.75pt;z-index:-125828531;mso-wrap-distance-left:0;mso-wrap-distance-right:0;mso-position-horizontal-relative:page" filled="f" stroked="f">
                <v:textbox style="mso-fit-shape-to-text:t" inset="0,0,0,0">
                  <w:txbxContent>
                    <w:p>
                      <w:pPr>
                        <w:pStyle w:val="Style262"/>
                        <w:keepNext w:val="0"/>
                        <w:keepLines w:val="0"/>
                        <w:widowControl w:val="0"/>
                        <w:shd w:val="clear" w:color="auto" w:fill="auto"/>
                        <w:bidi w:val="0"/>
                        <w:spacing w:before="0" w:after="0" w:line="214" w:lineRule="auto"/>
                        <w:ind w:left="0" w:right="0" w:firstLine="0"/>
                      </w:pPr>
                      <w:r>
                        <w:rPr>
                          <w:color w:val="000000"/>
                          <w:spacing w:val="0"/>
                          <w:w w:val="100"/>
                          <w:position w:val="0"/>
                          <w:shd w:val="clear" w:color="auto" w:fill="auto"/>
                          <w:lang w:val="cs-CZ" w:eastAsia="cs-CZ" w:bidi="cs-CZ"/>
                        </w:rPr>
                        <w:t>dědictvím“ — takováto ušlechtilá hesla píší na Nový rok Číňané na červený papír a lepí na všechny domovní dveře. Stejně tak je i lhostejnost plodem zvláštních společenských poměrů, které neza</w:t>
                        <w:softHyphen/>
                        <w:t>ručují jedincům dostatečnou právní ochranu „Číňané si potrpí na lhostejnost tak, jako si Angličané potrpí na deštník, protože jednot</w:t>
                        <w:softHyphen/>
                        <w:t>livci, který se pustí sám moc da</w:t>
                        <w:softHyphen/>
                        <w:t>leko, vypadá politické počasí vždy</w:t>
                        <w:softHyphen/>
                        <w:t>cky trochu na déšť. “ Má tedy I lhostejnost v Číně hodnotu pojist</w:t>
                        <w:softHyphen/>
                        <w:t>nou. Jak se to jeví v čínské novi</w:t>
                        <w:softHyphen/>
                        <w:t>nářské praksi, o tom vás poučuje tato pěkná poznámka pod čarou: „Nejstarší a největší čínský deník ,Sun Pao' byl dříve proslulý tím, že v redakční části pojednával 1. o otázkách zahraničních a nikoliv domácích; 2. o tématech odlehlých a nikoliv bezprostředních a 3. o vě</w:t>
                        <w:softHyphen/>
                        <w:t>cech všeobecných a nikoliv zvlášt</w:t>
                        <w:softHyphen/>
                        <w:t>ních, tak na př. o významu píle. o ceně pravdy atd.“ Za nejnápad</w:t>
                        <w:softHyphen/>
                        <w:t>nější a zároveň nejhlubší rys čín</w:t>
                        <w:softHyphen/>
                        <w:t>ské povahy označuje Lin Jutang šibalství. Filosoficky vidí jeho pů</w:t>
                        <w:softHyphen/>
                        <w:t>vod v taoismu, který mu v teorii i v praksi znamená cynismus, drti</w:t>
                        <w:softHyphen/>
                        <w:t>vou a zžíravou skepsi, pošklebek nad marností všeho lidského počí</w:t>
                        <w:softHyphen/>
                        <w:t>nání. Proti konfuciovskému veskrze kladnému nazírání bouří se taois- mus svým materialistickým zápo</w:t>
                        <w:softHyphen/>
                        <w:t>jem, vzdorujícím vSemu idealismu Sibal je člověk především střízlivý, svou taktiku odvažuje podle po</w:t>
                        <w:softHyphen/>
                        <w:t>třeby přesně tak jako veliký ital</w:t>
                        <w:softHyphen/>
                        <w:t>ský státník, který stanovil známou zásadu: „bisogna essere volpe e leone“. Když nemůže Číňan bojovat jako lev, brání se jako Ušák. Z ce</w:t>
                        <w:softHyphen/>
                        <w:t>lého křesťanství je mu nejsrozumi</w:t>
                        <w:softHyphen/>
                        <w:t>telnější Kristův příkaz o „prost- nosti holubičí“ a „chytrosti hadí“. Tresť této šibalské filosofie je za</w:t>
                        <w:softHyphen/>
                        <w:t xml:space="preserve">chycena v rozmluvě dvou mniš- ských básníků z dynastie </w:t>
                      </w:r>
                      <w:r>
                        <w:rPr>
                          <w:color w:val="000000"/>
                          <w:spacing w:val="0"/>
                          <w:w w:val="100"/>
                          <w:position w:val="0"/>
                          <w:shd w:val="clear" w:color="auto" w:fill="auto"/>
                          <w:lang w:val="en-US" w:eastAsia="en-US" w:bidi="en-US"/>
                        </w:rPr>
                        <w:t xml:space="preserve">T’ang: </w:t>
                      </w:r>
                      <w:r>
                        <w:rPr>
                          <w:color w:val="000000"/>
                          <w:spacing w:val="0"/>
                          <w:w w:val="100"/>
                          <w:position w:val="0"/>
                          <w:shd w:val="clear" w:color="auto" w:fill="auto"/>
                          <w:lang w:val="cs-CZ" w:eastAsia="cs-CZ" w:bidi="cs-CZ"/>
                        </w:rPr>
                        <w:t xml:space="preserve">Otázal se Hanšan jednou </w:t>
                      </w:r>
                      <w:r>
                        <w:rPr>
                          <w:color w:val="000000"/>
                          <w:spacing w:val="0"/>
                          <w:w w:val="100"/>
                          <w:position w:val="0"/>
                          <w:shd w:val="clear" w:color="auto" w:fill="auto"/>
                          <w:lang w:val="en-US" w:eastAsia="en-US" w:bidi="en-US"/>
                        </w:rPr>
                        <w:t xml:space="preserve">Site: </w:t>
                      </w:r>
                      <w:r>
                        <w:rPr>
                          <w:color w:val="000000"/>
                          <w:spacing w:val="0"/>
                          <w:w w:val="100"/>
                          <w:position w:val="0"/>
                          <w:shd w:val="clear" w:color="auto" w:fill="auto"/>
                          <w:lang w:val="cs-CZ" w:eastAsia="cs-CZ" w:bidi="cs-CZ"/>
                        </w:rPr>
                        <w:t>„Když mě bude někdo špinit, ha</w:t>
                        <w:softHyphen/>
                        <w:t>nobit, tupit, ponižovat, urážet, ne</w:t>
                        <w:softHyphen/>
                        <w:t>návidět a podvádět, co si mám po</w:t>
                        <w:softHyphen/>
                        <w:t xml:space="preserve">čít?“ Odpověděl mu </w:t>
                      </w:r>
                      <w:r>
                        <w:rPr>
                          <w:color w:val="000000"/>
                          <w:spacing w:val="0"/>
                          <w:w w:val="100"/>
                          <w:position w:val="0"/>
                          <w:shd w:val="clear" w:color="auto" w:fill="auto"/>
                          <w:lang w:val="en-US" w:eastAsia="en-US" w:bidi="en-US"/>
                        </w:rPr>
                        <w:t xml:space="preserve">Site: </w:t>
                      </w:r>
                      <w:r>
                        <w:rPr>
                          <w:color w:val="000000"/>
                          <w:spacing w:val="0"/>
                          <w:w w:val="100"/>
                          <w:position w:val="0"/>
                          <w:shd w:val="clear" w:color="auto" w:fill="auto"/>
                          <w:lang w:val="cs-CZ" w:eastAsia="cs-CZ" w:bidi="cs-CZ"/>
                        </w:rPr>
                        <w:t>„Jen s ním měj strpení, ustup . mu. ne</w:t>
                        <w:softHyphen/>
                        <w:t>chej ho, uhýbej mu, snášej ho. cti ho a nedbej na něho. A za několik let jen se pak na něho podívej.“ Ze stejně trpného obranného postoje</w:t>
                      </w:r>
                    </w:p>
                  </w:txbxContent>
                </v:textbox>
                <w10:wrap type="square" anchorx="page"/>
              </v:shape>
            </w:pict>
          </mc:Fallback>
        </mc:AlternateContent>
      </w:r>
    </w:p>
    <w:p w:rsidR="00500724" w:rsidRDefault="00F30FB8">
      <w:pPr>
        <w:pStyle w:val="Zkladntext90"/>
        <w:shd w:val="clear" w:color="auto" w:fill="auto"/>
        <w:spacing w:line="211" w:lineRule="auto"/>
        <w:ind w:firstLine="0"/>
      </w:pPr>
      <w:r>
        <w:t>nám nebylo dosud dopřáno Čínu poznat.</w:t>
      </w:r>
    </w:p>
    <w:p w:rsidR="00500724" w:rsidRDefault="00F30FB8">
      <w:pPr>
        <w:pStyle w:val="Zkladntext90"/>
        <w:shd w:val="clear" w:color="auto" w:fill="auto"/>
        <w:spacing w:line="211" w:lineRule="auto"/>
      </w:pPr>
      <w:r>
        <w:t>Velikost a bída Číny</w:t>
      </w:r>
      <w:r>
        <w:t xml:space="preserve"> — toť zá</w:t>
      </w:r>
      <w:r>
        <w:softHyphen/>
        <w:t>kladní dvojzvuk Lín Jutangovy kmihy, který se ozývá téměř na každé stránce: závratná pýcha, ustavičně podlamovaná palčivou hanbou. Poslyšme, co říká autor o své vlasti v prologu:</w:t>
      </w:r>
    </w:p>
    <w:p w:rsidR="00500724" w:rsidRDefault="00F30FB8">
      <w:pPr>
        <w:pStyle w:val="Zkladntext90"/>
        <w:shd w:val="clear" w:color="auto" w:fill="auto"/>
        <w:spacing w:line="211" w:lineRule="auto"/>
      </w:pPr>
      <w:r>
        <w:t>„Čína je nej záhadnějším a nej</w:t>
      </w:r>
      <w:r>
        <w:softHyphen/>
        <w:t>úžasnějším zjevem moderního svě</w:t>
      </w:r>
      <w:r>
        <w:softHyphen/>
        <w:t xml:space="preserve">ta, </w:t>
      </w:r>
      <w:r>
        <w:t>a to nejen co do stáří a země</w:t>
      </w:r>
      <w:r>
        <w:softHyphen/>
        <w:t>pisné velikosti. Je zemí nejstaršího žijícího národa s nepřetržitou kul</w:t>
      </w:r>
      <w:r>
        <w:softHyphen/>
        <w:t>turou; má nejvíc obyvatelstva; bývala kdysi velkou světovou říší a bývala dobyvatelkou; dala světu několik nejvýznamnějších vynále</w:t>
      </w:r>
      <w:r>
        <w:softHyphen/>
        <w:t>zů; má venkoncem vlastn</w:t>
      </w:r>
      <w:r>
        <w:t>í litera- turiť, íilosoíii i životní moudrost; tam, kde se druzí v uměleckých oblastech jen pokoušeli třepetat křídly, vznesla se do výše. A přece je nyní nesporně státem nejchao</w:t>
      </w:r>
      <w:r>
        <w:softHyphen/>
        <w:t>tičtějším a nejhůře spravovaným, nejubožejším a nejbezmocnějším, nejnesehopně</w:t>
      </w:r>
      <w:r>
        <w:t>jším vzmužit se a probít se vpřed.“</w:t>
      </w:r>
    </w:p>
    <w:p w:rsidR="00500724" w:rsidRDefault="00F30FB8">
      <w:pPr>
        <w:pStyle w:val="Zkladntext90"/>
        <w:shd w:val="clear" w:color="auto" w:fill="auto"/>
        <w:spacing w:line="211" w:lineRule="auto"/>
      </w:pPr>
      <w:r>
        <w:t>Třebaže autor nevidí zatím žádné východisko z pekla, v němž tone jeho vlast, je přece přesvědčen, že Čína nezahyne, že přetrvá, jako už v minulosti zdárně přetrvala tak, jak to nedokázal žádný jiný národ. Věří v zdravý ž</w:t>
      </w:r>
      <w:r>
        <w:t>ivotní pud Číny a v její skorém nadpřirozenou, ne</w:t>
      </w:r>
      <w:r>
        <w:softHyphen/>
        <w:t>smírnou životnost, která jí umožnila přizpůsobit se i podmínkám nej</w:t>
      </w:r>
      <w:r>
        <w:softHyphen/>
        <w:t>nepříznivějším. Tajemství té život</w:t>
      </w:r>
      <w:r>
        <w:softHyphen/>
        <w:t>nosti spatřuje v tom, že se nikdy neodcizila půdě: „vzpruhu a mravní oporu si hledá usilovně u svých kv</w:t>
      </w:r>
      <w:r>
        <w:t>ětin, ptáků, kopců a dolin . . . Rozhodla se žít ve volné přírodě, vyhřívat se na slunci, pozorovat červánky, hmatat rosu a čichat vůni sena a vlhké hlíny.“ Jádro duševního zdraví a nevyčerpatelné odol</w:t>
      </w:r>
      <w:r>
        <w:softHyphen/>
        <w:t>nosti čínského národa je tedy třeba hledat pře</w:t>
      </w:r>
      <w:r>
        <w:softHyphen/>
        <w:t xml:space="preserve">devším </w:t>
      </w:r>
      <w:r>
        <w:t>v jeho venkov</w:t>
      </w:r>
      <w:r>
        <w:softHyphen/>
        <w:t xml:space="preserve">ské filosofii. Venkovský způsob života se v Číně odjakživa pokládal za ideální. Nelze než dát za pravdu Lin Jutangovu výkřiku: „Věděli vůbec tvůrci čínské životni osnovy o tom, jak moudře jednají, když stanovili rovnováhu mezi </w:t>
      </w:r>
      <w:r>
        <w:rPr>
          <w:lang w:val="en-US" w:eastAsia="en-US" w:bidi="en-US"/>
        </w:rPr>
        <w:t>civi</w:t>
      </w:r>
      <w:r>
        <w:rPr>
          <w:lang w:val="en-US" w:eastAsia="en-US" w:bidi="en-US"/>
        </w:rPr>
        <w:softHyphen/>
        <w:t xml:space="preserve">lisaci </w:t>
      </w:r>
      <w:r>
        <w:t>a p</w:t>
      </w:r>
      <w:r>
        <w:t>rimitivním živobytím?</w:t>
      </w:r>
    </w:p>
    <w:p w:rsidR="00500724" w:rsidRDefault="00F30FB8">
      <w:pPr>
        <w:pStyle w:val="Zkladntext90"/>
        <w:shd w:val="clear" w:color="auto" w:fill="auto"/>
        <w:spacing w:after="40" w:line="211" w:lineRule="auto"/>
        <w:ind w:firstLine="0"/>
      </w:pPr>
      <w:r>
        <w:t>Dali se vést zdravým pudem, když si zvolili zemědělskou civilisaci, když si znechutili technickou vy</w:t>
      </w:r>
      <w:r>
        <w:softHyphen/>
        <w:t>nalézavost a oblíbili prostý způsob života, když vymyslili životní vy</w:t>
      </w:r>
      <w:r>
        <w:softHyphen/>
        <w:t>moženosti a nedali se jimi zotro</w:t>
      </w:r>
      <w:r>
        <w:softHyphen/>
        <w:t>čit. a když hlásali od pokolen</w:t>
      </w:r>
      <w:r>
        <w:t>í do pokolení v básnictví, malířství i v literatuře .návrat ke statku' . . Člověk na venkově neupadá. to jen člověk z města.“ Na vybraných ukázkách z klasické literatury ozřejmuje pak autor, jak je toto smýšlení hluboko vštípeno do čín</w:t>
      </w:r>
      <w:r>
        <w:softHyphen/>
        <w:t>ského wodvědomí a ja</w:t>
      </w:r>
      <w:r>
        <w:t>k úzce souvisí s konfuciovskou i taoistickou na</w:t>
      </w:r>
      <w:r>
        <w:softHyphen/>
        <w:t>ukou, které se při vší protiklad- nosti navzájem doplňují. „Ven</w:t>
      </w:r>
      <w:r>
        <w:softHyphen/>
        <w:t>kovský životní ideál patří jednak ke společenské soustavě, která vy</w:t>
      </w:r>
      <w:r>
        <w:softHyphen/>
        <w:t>tváří jednotku z rodiny, jednak též k politicko-kulturní soustavě, která vyt</w:t>
      </w:r>
      <w:r>
        <w:t>váří jednotku a vesnice." V zachovaných listech učenců, které tvoří zcela zvláštní rozvité odvětví čínské literatury, dočítá</w:t>
      </w:r>
      <w:r>
        <w:softHyphen/>
        <w:t>me se, jak zabezpečit rodinný bla</w:t>
      </w:r>
      <w:r>
        <w:softHyphen/>
        <w:t>hobyt; stále znovu se tu opakují výzvy k prostotě, píli a šetrnosti. O tom, do jaké míry je popla</w:t>
      </w:r>
      <w:r>
        <w:t>tný tento venkovský ideál života taois- tickému citu pro přírodu, poučuje</w:t>
      </w:r>
      <w:r>
        <w:softHyphen/>
        <w:t>me se z poutavé čtvrté kapitoly první části knihy.</w:t>
      </w:r>
    </w:p>
    <w:p w:rsidR="00500724" w:rsidRDefault="00F30FB8">
      <w:pPr>
        <w:pStyle w:val="Zkladntext90"/>
        <w:shd w:val="clear" w:color="auto" w:fill="auto"/>
        <w:spacing w:line="211" w:lineRule="auto"/>
        <w:ind w:firstLine="160"/>
      </w:pPr>
      <w:r>
        <w:t>Není možno ani zdaleka naznačit nepřebernou hojnost bystrých po</w:t>
      </w:r>
      <w:r>
        <w:softHyphen/>
        <w:t>střehů i duchaplných úvah, jimiž je Lin Jutangova kniha přímo na</w:t>
      </w:r>
      <w:r>
        <w:softHyphen/>
        <w:t>pě</w:t>
      </w:r>
      <w:r>
        <w:t>chována. Všimněme si stručně aspoň kapitoly o čínském charak</w:t>
      </w:r>
      <w:r>
        <w:softHyphen/>
        <w:t>teru. Za hlavní povahové rysy čín</w:t>
      </w:r>
      <w:r>
        <w:softHyphen/>
        <w:t>ské pokládá Lin Jutang tyto vlastnosti: zladěnost, trpělivost, lhostejnost, šibalství, mírumilov- nost, spokojenost, humor, konser- vativnost. Všem těmto vlastno</w:t>
      </w:r>
      <w:r>
        <w:t>stem, vyrostlým zcela přirozeně ze zvlášt</w:t>
      </w:r>
      <w:r>
        <w:softHyphen/>
        <w:t>ního čínského prostředí, jest spo- I léčný trpný ráz. Jsou plo</w:t>
      </w:r>
      <w:r>
        <w:softHyphen/>
        <w:t>dem vnitřní kázně a usmířenosti národa, který ví, jakou cenu má život, a nevzpíná se po nedosažitelném. Průpravnou školou trpělivosti je velká čínská r</w:t>
      </w:r>
      <w:r>
        <w:t xml:space="preserve">odina, v niž </w:t>
      </w:r>
      <w:r>
        <w:rPr>
          <w:rFonts w:ascii="Arial" w:eastAsia="Arial" w:hAnsi="Arial" w:cs="Arial"/>
          <w:b w:val="0"/>
          <w:bCs w:val="0"/>
          <w:i/>
          <w:iCs/>
          <w:sz w:val="14"/>
          <w:szCs w:val="14"/>
        </w:rPr>
        <w:t>ge</w:t>
      </w:r>
      <w:r>
        <w:t xml:space="preserve"> vši</w:t>
      </w:r>
      <w:r>
        <w:softHyphen/>
        <w:t>chni příslušníci z nezbytí učí sná</w:t>
      </w:r>
      <w:r>
        <w:softHyphen/>
        <w:t>šet se vespolek. „Stokrát trpěli</w:t>
      </w:r>
      <w:r>
        <w:softHyphen/>
        <w:t>vost“, „mírnost přináší štěstí“, „trpělivost je nejlepším rodinným pochopíme též čínskou mírumilov- nost a spokojenost. Z vrozeného čínského realismu a zdravého roz</w:t>
      </w:r>
      <w:r>
        <w:softHyphen/>
        <w:t>umu</w:t>
      </w:r>
      <w:r>
        <w:t xml:space="preserve"> vyrůstá velkolepý čínský hu- ,mor. Konservativnost. která je projevem čínské rasové pýchy (a Číňané mají věru ve svých tisí</w:t>
      </w:r>
      <w:r>
        <w:softHyphen/>
        <w:t>ciletých dějinách být na co pyšni!), potýká se v nejnovější době ostře s radikalismem, vy</w:t>
      </w:r>
      <w:r>
        <w:softHyphen/>
        <w:t>plývajícím z nespokojenosti a des- orient</w:t>
      </w:r>
      <w:r>
        <w:t>ovanosti mladé generace.</w:t>
      </w:r>
    </w:p>
    <w:p w:rsidR="00500724" w:rsidRDefault="00F30FB8">
      <w:pPr>
        <w:pStyle w:val="Zkladntext90"/>
        <w:shd w:val="clear" w:color="auto" w:fill="auto"/>
        <w:spacing w:line="211" w:lineRule="auto"/>
      </w:pPr>
      <w:r>
        <w:t>Nadmíru poučné i zábavné jsou Lin Jutangovy výklady o čínské duši. zvláště o jejím ženském rysu. a o čínských životních ideálech, vtělených v rozmanitých formách nábožensko-filosofických.</w:t>
      </w:r>
    </w:p>
    <w:p w:rsidR="00500724" w:rsidRDefault="00F30FB8">
      <w:pPr>
        <w:pStyle w:val="Zkladntext90"/>
        <w:shd w:val="clear" w:color="auto" w:fill="auto"/>
        <w:spacing w:line="211" w:lineRule="auto"/>
      </w:pPr>
      <w:r>
        <w:t>Celý druhý díl se obírá projevy čínského ži</w:t>
      </w:r>
      <w:r>
        <w:t>vota. Dovídáme se tu mnoho zajímavého o životě čínské ženy v dřívějších dobách a o pře</w:t>
      </w:r>
      <w:r>
        <w:softHyphen/>
        <w:t>kotných emancipačních snahách v době moderní. Rozkošná je ka</w:t>
      </w:r>
      <w:r>
        <w:softHyphen/>
        <w:t>pitola o čínském umění žít. Zvláště partie o uspořádání čínského do</w:t>
      </w:r>
      <w:r>
        <w:softHyphen/>
        <w:t>mova a čínské zahrady stojí za čtení. Do</w:t>
      </w:r>
      <w:r>
        <w:t xml:space="preserve"> literárního a uměleckého života Číny zasvěcuje nás Lin Ju</w:t>
      </w:r>
      <w:r>
        <w:softHyphen/>
        <w:t>tang jemným a názorným výkla</w:t>
      </w:r>
      <w:r>
        <w:softHyphen/>
        <w:t>dem, oživeným vkusně volenými ukázkami.</w:t>
      </w:r>
    </w:p>
    <w:p w:rsidR="00500724" w:rsidRDefault="00F30FB8">
      <w:pPr>
        <w:pStyle w:val="Zkladntext90"/>
        <w:shd w:val="clear" w:color="auto" w:fill="auto"/>
        <w:spacing w:line="211" w:lineRule="auto"/>
      </w:pPr>
      <w:r>
        <w:t>Pro poznání nynějšího stavu v Číně je zvlášť důležitá kapitola o čínském společenském a poli</w:t>
      </w:r>
      <w:r>
        <w:softHyphen/>
        <w:t>tickém životě. — Nejdrásavější z ce</w:t>
      </w:r>
      <w:r>
        <w:t>lé knihy jeví se mi řád</w:t>
      </w:r>
      <w:r>
        <w:softHyphen/>
        <w:t>ky, v nichž popisuje Lin Jutang křeče Intelektuální vrstvy čínské, která si uvědomuje zoufalý stav své vlasti a z toho vědomí ztrácí nadobro duševní rovnováhu: „Ná</w:t>
      </w:r>
      <w:r>
        <w:softHyphen/>
        <w:t xml:space="preserve">rod střečkuje a plaší se a kolísá mezi velikášstvím a melancholií a </w:t>
      </w:r>
      <w:r>
        <w:t>lehce propadá hysterii. Zvlášť nápadně jančívá třída, která do</w:t>
      </w:r>
      <w:r>
        <w:softHyphen/>
        <w:t>vede, když ne lépe myslit, tedy aspoň lépe se vyjadřovat; to jan</w:t>
      </w:r>
      <w:r>
        <w:softHyphen/>
        <w:t>čení je u ní docela přirozené, pro</w:t>
      </w:r>
      <w:r>
        <w:softHyphen/>
        <w:t>tože vyplývá ze zdrcujícího pocitu bezmoci; z něho pak přechází do trvalé sklíčenosti . . . N</w:t>
      </w:r>
      <w:r>
        <w:t>aproti tomu prostý lid, ten jen trpí a mlčky vzdoruje."</w:t>
      </w:r>
    </w:p>
    <w:p w:rsidR="00500724" w:rsidRDefault="00F30FB8">
      <w:pPr>
        <w:pStyle w:val="Zkladntext90"/>
        <w:shd w:val="clear" w:color="auto" w:fill="auto"/>
        <w:spacing w:line="211" w:lineRule="auto"/>
        <w:sectPr w:rsidR="00500724">
          <w:footnotePr>
            <w:numFmt w:val="chicago"/>
            <w:numRestart w:val="eachPage"/>
          </w:footnotePr>
          <w:pgSz w:w="11909" w:h="16834"/>
          <w:pgMar w:top="733" w:right="1126" w:bottom="394" w:left="118" w:header="0" w:footer="3" w:gutter="0"/>
          <w:cols w:num="3" w:space="720" w:equalWidth="0">
            <w:col w:w="2601" w:space="100"/>
            <w:col w:w="2601" w:space="2763"/>
            <w:col w:w="2601"/>
          </w:cols>
          <w:noEndnote/>
          <w:docGrid w:linePitch="360"/>
        </w:sectPr>
      </w:pPr>
      <w:r>
        <w:t>Úhrnem lze o Lin Jutangovi říci, že je to kniha moudrá, časová a pro poznání čínských poměrů nej</w:t>
      </w:r>
      <w:r>
        <w:softHyphen/>
        <w:t>výš potřebná. Rozhodně se při její četbě (a čítá téměř 400 st</w:t>
      </w:r>
      <w:r>
        <w:t>ran) ani chvíli nenudíme. Z čas. Brázda.</w:t>
      </w:r>
    </w:p>
    <w:p w:rsidR="00500724" w:rsidRDefault="00500724">
      <w:pPr>
        <w:spacing w:line="170" w:lineRule="exact"/>
        <w:rPr>
          <w:sz w:val="14"/>
          <w:szCs w:val="14"/>
        </w:rPr>
      </w:pPr>
    </w:p>
    <w:p w:rsidR="00500724" w:rsidRDefault="00500724">
      <w:pPr>
        <w:spacing w:line="14" w:lineRule="exact"/>
        <w:sectPr w:rsidR="00500724">
          <w:footnotePr>
            <w:numFmt w:val="chicago"/>
            <w:numRestart w:val="eachPage"/>
          </w:footnotePr>
          <w:type w:val="continuous"/>
          <w:pgSz w:w="11909" w:h="16834"/>
          <w:pgMar w:top="733" w:right="0" w:bottom="394" w:left="0" w:header="0" w:footer="3" w:gutter="0"/>
          <w:cols w:space="720"/>
          <w:noEndnote/>
          <w:docGrid w:linePitch="360"/>
        </w:sectPr>
      </w:pPr>
    </w:p>
    <w:p w:rsidR="00500724" w:rsidRDefault="00F30FB8">
      <w:pPr>
        <w:pStyle w:val="Zkladntext90"/>
        <w:shd w:val="clear" w:color="auto" w:fill="auto"/>
        <w:spacing w:line="214" w:lineRule="auto"/>
        <w:ind w:firstLine="0"/>
      </w:pPr>
      <w:r>
        <w:t>stinenci. Vypil dychtivě nalitou sklenku, ani nepomýšleje na to. co ho dnes čeká.</w:t>
      </w:r>
    </w:p>
    <w:p w:rsidR="00500724" w:rsidRDefault="00F30FB8">
      <w:pPr>
        <w:pStyle w:val="Zkladntext90"/>
        <w:shd w:val="clear" w:color="auto" w:fill="auto"/>
        <w:spacing w:line="214" w:lineRule="auto"/>
        <w:ind w:firstLine="160"/>
      </w:pPr>
      <w:r>
        <w:t xml:space="preserve">Hosté </w:t>
      </w:r>
      <w:r>
        <w:rPr>
          <w:lang w:val="en-US" w:eastAsia="en-US" w:bidi="en-US"/>
        </w:rPr>
        <w:t xml:space="preserve">Fanny </w:t>
      </w:r>
      <w:r>
        <w:t>Colemanové čeka</w:t>
      </w:r>
      <w:r>
        <w:softHyphen/>
        <w:t>li už asi půl hodiny, ale hostitel</w:t>
      </w:r>
      <w:r>
        <w:softHyphen/>
        <w:t>ka se neukazovala. Corinna hýla stále ne</w:t>
      </w:r>
      <w:r>
        <w:t>pokojnější a chtěla již jiti matku hledat, když vtom malý orchestr, ukrytý za oponou, spus</w:t>
      </w:r>
      <w:r>
        <w:softHyphen/>
        <w:t>til vítězný pochod z Aidy. Cole- manovi s úžasem hleděli, jak se opona rozhrnuje, a za ní se obje</w:t>
      </w:r>
      <w:r>
        <w:softHyphen/>
        <w:t>vilo jakési jeviště s palmami ve kbelících a s nábytkem, vše osvětl</w:t>
      </w:r>
      <w:r>
        <w:t>ené reflektory. Corinna si</w:t>
      </w:r>
      <w:r>
        <w:softHyphen/>
        <w:t>ce již dříve vytušila, co se chys</w:t>
      </w:r>
      <w:r>
        <w:softHyphen/>
        <w:t>tá, ale ani ona nebyla připravena na takovou teatrálnost.</w:t>
      </w:r>
    </w:p>
    <w:p w:rsidR="00500724" w:rsidRDefault="00F30FB8">
      <w:pPr>
        <w:pStyle w:val="Zkladntext90"/>
        <w:shd w:val="clear" w:color="auto" w:fill="auto"/>
        <w:spacing w:line="214" w:lineRule="auto"/>
        <w:ind w:firstLine="160"/>
      </w:pPr>
      <w:r>
        <w:t>Hudba zakončila zvučnou fan</w:t>
      </w:r>
      <w:r>
        <w:softHyphen/>
        <w:t>fárou a v zápětí vystoupila na je</w:t>
      </w:r>
      <w:r>
        <w:softHyphen/>
        <w:t xml:space="preserve">viště </w:t>
      </w:r>
      <w:r>
        <w:rPr>
          <w:lang w:val="en-US" w:eastAsia="en-US" w:bidi="en-US"/>
        </w:rPr>
        <w:t xml:space="preserve">Fanny </w:t>
      </w:r>
      <w:r>
        <w:t xml:space="preserve">Colemanová. snažící se uplatnit trosky své mladistvé lehkosti, </w:t>
      </w:r>
      <w:r>
        <w:t>švižnosti a graciéznosti. V Corinně se zatajil dech, Greg měl v tu chvíli oči plné slz a 1 Kryštof cítil, jak mu něco sevře</w:t>
      </w:r>
      <w:r>
        <w:softHyphen/>
        <w:t>lo hrdlo. Vyhublá a zchátralá po</w:t>
      </w:r>
      <w:r>
        <w:softHyphen/>
        <w:t>stava Fannina byla oblečena v krátkou večerní toaletn z růžo</w:t>
      </w:r>
      <w:r>
        <w:softHyphen/>
        <w:t xml:space="preserve">vého šifonu, která by se hodila dobře </w:t>
      </w:r>
      <w:r>
        <w:t>pro dvacetiletou dívku. Krátké bílé vlasy měla přikryty černou parukou, obličej nalíče</w:t>
      </w:r>
      <w:r>
        <w:softHyphen/>
        <w:t>ný podle všech divadelních regu- lí: silně našminkované rty a tvá</w:t>
      </w:r>
      <w:r>
        <w:softHyphen/>
        <w:t>ře, načerněné obočí, dlouhé umělé řasy, zorničky rozšířené příprav</w:t>
      </w:r>
      <w:r>
        <w:softHyphen/>
        <w:t>kem z belladonny. A při tom by</w:t>
      </w:r>
      <w:r>
        <w:softHyphen/>
        <w:t>la ov</w:t>
      </w:r>
      <w:r>
        <w:t>ěšena klenoty, démantovou čelenkou, skleněnými náramky, náhrdelníkem, silnou šňůrou pe</w:t>
      </w:r>
      <w:r>
        <w:softHyphen/>
        <w:t>rel a spoustou k sobě se nehodí</w:t>
      </w:r>
      <w:r>
        <w:softHyphen/>
        <w:t>cích prstenů s rubíny a smarag</w:t>
      </w:r>
      <w:r>
        <w:softHyphen/>
        <w:t>dy a safíry. Její rodina v hrůze na ni vytřeštila zraky. Teprve nyní si uvědomovali, jak její kdy</w:t>
      </w:r>
      <w:r>
        <w:softHyphen/>
        <w:t>si vytří</w:t>
      </w:r>
      <w:r>
        <w:t>bený vkus se zvrhl.</w:t>
      </w:r>
    </w:p>
    <w:p w:rsidR="00500724" w:rsidRDefault="00F30FB8">
      <w:pPr>
        <w:pStyle w:val="Zkladntext90"/>
        <w:shd w:val="clear" w:color="auto" w:fill="auto"/>
        <w:spacing w:line="214" w:lineRule="auto"/>
        <w:ind w:firstLine="160"/>
      </w:pPr>
      <w:r>
        <w:rPr>
          <w:lang w:val="en-US" w:eastAsia="en-US" w:bidi="en-US"/>
        </w:rPr>
        <w:t xml:space="preserve">Fanny </w:t>
      </w:r>
      <w:r>
        <w:t>přicupala doprostřed im- provisovaného jeviště a stanula, zaplavena světlem reflektoru. Na</w:t>
      </w:r>
      <w:r>
        <w:softHyphen/>
        <w:t>barvené rty se zkřivily ve strnu</w:t>
      </w:r>
      <w:r>
        <w:softHyphen/>
        <w:t>lý úsměv. Jediný Greg měl dobrý nápad a zatleskal a ostatní me</w:t>
      </w:r>
      <w:r>
        <w:softHyphen/>
        <w:t>chanicky začali tleskati po něm. Stará dáma</w:t>
      </w:r>
      <w:r>
        <w:t xml:space="preserve"> se pokusila o půvab</w:t>
      </w:r>
      <w:r>
        <w:softHyphen/>
        <w:t>nou poklonu, ale málem se při tom svalila, jen taktak udržela rovnováhu. V pozadí scény sta</w:t>
      </w:r>
      <w:r>
        <w:softHyphen/>
        <w:t xml:space="preserve">rostlivě přecházela paní Dunning- tonová. </w:t>
      </w:r>
      <w:r>
        <w:rPr>
          <w:lang w:val="en-US" w:eastAsia="en-US" w:bidi="en-US"/>
        </w:rPr>
        <w:t xml:space="preserve">Fanny </w:t>
      </w:r>
      <w:r>
        <w:t>poslala rukou ně</w:t>
      </w:r>
      <w:r>
        <w:softHyphen/>
        <w:t>kolik polibků svému imaginární</w:t>
      </w:r>
      <w:r>
        <w:softHyphen/>
        <w:t>mu posluchačstvu a pak začala mluvit.</w:t>
      </w:r>
    </w:p>
    <w:p w:rsidR="00500724" w:rsidRDefault="00F30FB8">
      <w:pPr>
        <w:pStyle w:val="Zkladntext90"/>
        <w:shd w:val="clear" w:color="auto" w:fill="auto"/>
        <w:tabs>
          <w:tab w:val="left" w:leader="hyphen" w:pos="350"/>
        </w:tabs>
        <w:spacing w:line="214" w:lineRule="auto"/>
        <w:ind w:firstLine="160"/>
      </w:pPr>
      <w:r>
        <w:t xml:space="preserve">„Dámy a </w:t>
      </w:r>
      <w:r>
        <w:t>pánové,“ začala „je to pro mě veliké potěšení, že vám dnešního večera mohu předvésti velmi nadanou mladou dívku, která je nejnadanější mladou dív</w:t>
      </w:r>
      <w:r>
        <w:softHyphen/>
        <w:t>kou. jaká se kdy objevila na scéně. Dovede zpívat a tančit a hrát a vůbec všecko možné, naě si vzpomenete, mil</w:t>
      </w:r>
      <w:r>
        <w:t>ování nevyjímaje. Ó. ano, tato dáma měla mnoho milovníků ve svých lepších do</w:t>
      </w:r>
      <w:r>
        <w:softHyphen/>
        <w:t>bách, a mohla by jich ještě míti. kolik by chtěla, kdyby jen chtě</w:t>
      </w:r>
      <w:r>
        <w:softHyphen/>
        <w:t>la. Všichni víte. koho tím myslím. Mluvím o oné mladé dámě, hvěz</w:t>
      </w:r>
      <w:r>
        <w:softHyphen/>
        <w:t xml:space="preserve">dě dvou světadílů, nevyrovnatel- né Miss </w:t>
      </w:r>
      <w:r>
        <w:rPr>
          <w:lang w:val="en-US" w:eastAsia="en-US" w:bidi="en-US"/>
        </w:rPr>
        <w:t xml:space="preserve">Fanny </w:t>
      </w:r>
      <w:r>
        <w:t>G</w:t>
      </w:r>
      <w:r>
        <w:t>aillardové, zná</w:t>
      </w:r>
      <w:r>
        <w:softHyphen/>
        <w:t>mé všem pod jménem Vévodky</w:t>
      </w:r>
      <w:r>
        <w:softHyphen/>
        <w:t xml:space="preserve">ně, nebof odmítla tři vévody, aby si mohla vzít amerického bankéře — ano, a ten byl taky </w:t>
      </w:r>
      <w:r>
        <w:rPr>
          <w:lang w:val="en-US" w:eastAsia="en-US" w:bidi="en-US"/>
        </w:rPr>
        <w:t xml:space="preserve">all right! </w:t>
      </w:r>
      <w:r>
        <w:t>Nesmím vás však zdržovati pla</w:t>
      </w:r>
      <w:r>
        <w:softHyphen/>
        <w:t>ným povídáním, nebof velký ta</w:t>
      </w:r>
      <w:r>
        <w:softHyphen/>
        <w:t>lent čeká na svůj okamžik. Dá</w:t>
      </w:r>
      <w:r>
        <w:softHyphen/>
        <w:t>my a pánové, krásná a n</w:t>
      </w:r>
      <w:r>
        <w:t>adaná Fauny Gaillardová vás nyní po</w:t>
      </w:r>
      <w:r>
        <w:softHyphen/>
        <w:t>baví písněmi, jež kdysi v minu</w:t>
      </w:r>
      <w:r>
        <w:softHyphen/>
        <w:t>losti bývaly jejím velkým úspě</w:t>
      </w:r>
      <w:r>
        <w:softHyphen/>
        <w:t xml:space="preserve">chem. První číslo programu je </w:t>
      </w:r>
      <w:r>
        <w:tab/>
        <w:t>«</w:t>
      </w:r>
    </w:p>
    <w:p w:rsidR="00500724" w:rsidRDefault="00F30FB8">
      <w:pPr>
        <w:pStyle w:val="Zkladntext90"/>
        <w:shd w:val="clear" w:color="auto" w:fill="auto"/>
        <w:spacing w:line="209" w:lineRule="auto"/>
        <w:ind w:firstLine="160"/>
      </w:pPr>
      <w:r>
        <w:t>Greg a Gay vyskočili, aby po</w:t>
      </w:r>
      <w:r>
        <w:softHyphen/>
        <w:t>depřeli matku, která se povážlivě zapotácela.</w:t>
      </w:r>
    </w:p>
    <w:p w:rsidR="00500724" w:rsidRDefault="00F30FB8">
      <w:pPr>
        <w:pStyle w:val="Zkladntext90"/>
        <w:shd w:val="clear" w:color="auto" w:fill="auto"/>
        <w:spacing w:line="209" w:lineRule="auto"/>
        <w:ind w:firstLine="160"/>
      </w:pPr>
      <w:r>
        <w:t xml:space="preserve">»Mně je docela dobře. Mně nic není. Nic se mi </w:t>
      </w:r>
      <w:r>
        <w:t>nestalo, jsem do</w:t>
      </w:r>
      <w:r>
        <w:softHyphen/>
        <w:t>cela v pořádku,« opakovala stále, když ji vedli k židli. Jak dýchala, byl ',z ní cítit alkohol. Paní Dun- ningtonová přiběhla se sklenicí v ruce.</w:t>
      </w:r>
    </w:p>
    <w:p w:rsidR="00500724" w:rsidRDefault="00F30FB8">
      <w:pPr>
        <w:pStyle w:val="Zkladntext90"/>
        <w:shd w:val="clear" w:color="auto" w:fill="auto"/>
        <w:spacing w:line="209" w:lineRule="auto"/>
        <w:ind w:firstLine="160"/>
      </w:pPr>
      <w:r>
        <w:t xml:space="preserve">»Co je to?« zeptala se </w:t>
      </w:r>
      <w:r>
        <w:rPr>
          <w:lang w:val="en-US" w:eastAsia="en-US" w:bidi="en-US"/>
        </w:rPr>
        <w:t xml:space="preserve">Fanny </w:t>
      </w:r>
      <w:r>
        <w:t>po</w:t>
      </w:r>
      <w:r>
        <w:softHyphen/>
        <w:t>dezíravě a nedůvěřivě.</w:t>
      </w:r>
    </w:p>
    <w:p w:rsidR="00500724" w:rsidRDefault="00F30FB8">
      <w:pPr>
        <w:pStyle w:val="Zkladntext90"/>
        <w:shd w:val="clear" w:color="auto" w:fill="auto"/>
        <w:spacing w:line="209" w:lineRule="auto"/>
        <w:ind w:firstLine="160"/>
      </w:pPr>
      <w:r>
        <w:t>»Kapka amoniakového roztoku, paní Cole</w:t>
      </w:r>
      <w:r>
        <w:t>manová. To vám udělá dobře.«</w:t>
      </w:r>
    </w:p>
    <w:p w:rsidR="00500724" w:rsidRDefault="00F30FB8">
      <w:pPr>
        <w:pStyle w:val="Zkladntext90"/>
        <w:shd w:val="clear" w:color="auto" w:fill="auto"/>
        <w:spacing w:line="209" w:lineRule="auto"/>
        <w:ind w:firstLine="160"/>
      </w:pPr>
      <w:r>
        <w:t>»Mně se zdá, že bych dala před</w:t>
      </w:r>
      <w:r>
        <w:softHyphen/>
        <w:t>nost silné brandy.«</w:t>
      </w:r>
    </w:p>
    <w:p w:rsidR="00500724" w:rsidRDefault="00F30FB8">
      <w:pPr>
        <w:pStyle w:val="Zkladntext90"/>
        <w:shd w:val="clear" w:color="auto" w:fill="auto"/>
        <w:spacing w:line="218" w:lineRule="auto"/>
      </w:pPr>
      <w:r>
        <w:t>»Tohle je pro vás mnohem lepši.«</w:t>
      </w:r>
    </w:p>
    <w:p w:rsidR="00500724" w:rsidRDefault="00F30FB8">
      <w:pPr>
        <w:pStyle w:val="Zkladntext90"/>
        <w:shd w:val="clear" w:color="auto" w:fill="auto"/>
        <w:spacing w:line="218" w:lineRule="auto"/>
      </w:pPr>
      <w:r>
        <w:t>»Cž jsem řekla, že chci raději brandy!« rozkřikla se Fauny pá</w:t>
      </w:r>
      <w:r>
        <w:softHyphen/>
        <w:t>novitě.</w:t>
      </w:r>
    </w:p>
    <w:p w:rsidR="00500724" w:rsidRDefault="00F30FB8">
      <w:pPr>
        <w:pStyle w:val="Zkladntext90"/>
        <w:shd w:val="clear" w:color="auto" w:fill="auto"/>
        <w:spacing w:line="218" w:lineRule="auto"/>
      </w:pPr>
      <w:r>
        <w:t>aDobře, paní Colemanová, při</w:t>
      </w:r>
      <w:r>
        <w:softHyphen/>
        <w:t>nesu ihned.&lt;c</w:t>
      </w:r>
    </w:p>
    <w:p w:rsidR="00500724" w:rsidRDefault="00F30FB8">
      <w:pPr>
        <w:pStyle w:val="Zkladntext90"/>
        <w:shd w:val="clear" w:color="auto" w:fill="auto"/>
        <w:spacing w:line="218" w:lineRule="auto"/>
      </w:pPr>
      <w:r>
        <w:t xml:space="preserve">Dr. </w:t>
      </w:r>
      <w:r>
        <w:rPr>
          <w:lang w:val="en-US" w:eastAsia="en-US" w:bidi="en-US"/>
        </w:rPr>
        <w:t xml:space="preserve">Barton </w:t>
      </w:r>
      <w:r>
        <w:t>dal totiž pokyn, ab</w:t>
      </w:r>
      <w:r>
        <w:t>y se jí ve všem vyhovělo. Fauny se opírala o lenoch židle a oči měla přivřené. Pod křiklavým líčidlem byl její obličej jako bez krve a vypadal strašidelně. Paní Dun- ningtonová přiběhla se sklenkou brandy, kterou dáma vyzunkla na jeden doušek. To ji okamži</w:t>
      </w:r>
      <w:r>
        <w:t>tě vzpružilo. Vzpřímila se na židli a rozhlédla sel dokola s veselým úsměvem.</w:t>
      </w:r>
    </w:p>
    <w:p w:rsidR="00500724" w:rsidRDefault="00F30FB8">
      <w:pPr>
        <w:pStyle w:val="Zkladntext90"/>
        <w:shd w:val="clear" w:color="auto" w:fill="auto"/>
        <w:spacing w:line="218" w:lineRule="auto"/>
      </w:pPr>
      <w:r>
        <w:t>„Copak jste všichni zapomněli, že jsou dnes mé narozeniny?“ ze</w:t>
      </w:r>
      <w:r>
        <w:softHyphen/>
        <w:t>ptala se náhle.</w:t>
      </w:r>
    </w:p>
    <w:p w:rsidR="00500724" w:rsidRDefault="00F30FB8">
      <w:pPr>
        <w:pStyle w:val="Zkladntext90"/>
        <w:shd w:val="clear" w:color="auto" w:fill="auto"/>
        <w:spacing w:line="218" w:lineRule="auto"/>
      </w:pPr>
      <w:r>
        <w:t>Jeden po druhém přistupovali k ní a s nucenou veselostí přáli jí mnoho štěstí a líbali ji na našmin</w:t>
      </w:r>
      <w:r>
        <w:t xml:space="preserve">- kovaná ústa — všichni, vyjímaje </w:t>
      </w:r>
      <w:r>
        <w:rPr>
          <w:lang w:val="en-US" w:eastAsia="en-US" w:bidi="en-US"/>
        </w:rPr>
        <w:t xml:space="preserve">Miriam, </w:t>
      </w:r>
      <w:r>
        <w:t>která se musila moc pře- máhati, než se aspoň lehce do</w:t>
      </w:r>
      <w:r>
        <w:softHyphen/>
        <w:t>tkla tváře své tchyně. Fauny se začervenala, ale neřekla nic.</w:t>
      </w:r>
    </w:p>
    <w:p w:rsidR="00500724" w:rsidRDefault="00F30FB8">
      <w:pPr>
        <w:pStyle w:val="Zkladntext90"/>
        <w:shd w:val="clear" w:color="auto" w:fill="auto"/>
        <w:spacing w:line="218" w:lineRule="auto"/>
      </w:pPr>
      <w:r>
        <w:t>„Tak, a teď začnu svůj výstup,“ řekla po chvíli.</w:t>
      </w:r>
    </w:p>
    <w:p w:rsidR="00500724" w:rsidRDefault="00F30FB8">
      <w:pPr>
        <w:pStyle w:val="Zkladntext90"/>
        <w:shd w:val="clear" w:color="auto" w:fill="auto"/>
        <w:spacing w:line="216" w:lineRule="auto"/>
      </w:pPr>
      <w:r>
        <w:t>Ale paní Dunningtonová naved</w:t>
      </w:r>
      <w:r>
        <w:softHyphen/>
        <w:t>la lokaje, aby ohlá</w:t>
      </w:r>
      <w:r>
        <w:t xml:space="preserve">sil, že večeře je na stole, a ostatní přemluvili </w:t>
      </w:r>
      <w:r>
        <w:rPr>
          <w:lang w:val="en-US" w:eastAsia="en-US" w:bidi="en-US"/>
        </w:rPr>
        <w:t xml:space="preserve">Fanny, </w:t>
      </w:r>
      <w:r>
        <w:t>že by to byla veliká ško</w:t>
      </w:r>
      <w:r>
        <w:softHyphen/>
        <w:t>da, kdyby zkazila večeři, pořáda</w:t>
      </w:r>
      <w:r>
        <w:softHyphen/>
        <w:t>nou na její počest. Představení může začít až potom. Všichni si přáli, aby bylo co nejdříve po všem. Orchestr zahrál na Fanni- nu žádost slavn</w:t>
      </w:r>
      <w:r>
        <w:t xml:space="preserve">ostní pochod a všichni se ubírali v průvodu do jídelny. </w:t>
      </w:r>
      <w:r>
        <w:rPr>
          <w:lang w:val="en-US" w:eastAsia="en-US" w:bidi="en-US"/>
        </w:rPr>
        <w:t xml:space="preserve">Fanny </w:t>
      </w:r>
      <w:r>
        <w:t xml:space="preserve">se opírala o rámě svého vnuka Kita Coíemana. Za nimi kráčel Kryštof s Corinnou, Greg s </w:t>
      </w:r>
      <w:r>
        <w:rPr>
          <w:lang w:val="en-US" w:eastAsia="en-US" w:bidi="en-US"/>
        </w:rPr>
        <w:t xml:space="preserve">Miriam </w:t>
      </w:r>
      <w:r>
        <w:t>a Gay s paní Dun- ningtonovou. Ošetřovatelka chtě</w:t>
      </w:r>
      <w:r>
        <w:softHyphen/>
        <w:t xml:space="preserve">la sedět vedle své svěřenky, ale </w:t>
      </w:r>
      <w:r>
        <w:rPr>
          <w:lang w:val="en-US" w:eastAsia="en-US" w:bidi="en-US"/>
        </w:rPr>
        <w:t xml:space="preserve">Fanny </w:t>
      </w:r>
      <w:r>
        <w:t>trvala umín</w:t>
      </w:r>
      <w:r>
        <w:t>ěně na tom, že podle rodinné etikety musí mít po pravici Kryštofa a po levici Greg:a.</w:t>
      </w:r>
    </w:p>
    <w:p w:rsidR="00500724" w:rsidRDefault="00F30FB8">
      <w:pPr>
        <w:pStyle w:val="Zkladntext90"/>
        <w:shd w:val="clear" w:color="auto" w:fill="auto"/>
        <w:spacing w:line="216" w:lineRule="auto"/>
      </w:pPr>
      <w:r>
        <w:t>Při bohaté a skvělé večeři se nikdo jídla skoro ani nedotkl, vy</w:t>
      </w:r>
      <w:r>
        <w:softHyphen/>
        <w:t>jímaje Kita, jemuž při tom všem šla večeře k duliu. Colemanové s jakousi starostlivostí si všimli, že Kryš</w:t>
      </w:r>
      <w:r>
        <w:t>tof měl každou chvíli prázd</w:t>
      </w:r>
      <w:r>
        <w:softHyphen/>
        <w:t>nou sklenici a stále si dával na</w:t>
      </w:r>
      <w:r>
        <w:softHyphen/>
        <w:t>lévat. Věděli už, co to znamená.</w:t>
      </w:r>
    </w:p>
    <w:p w:rsidR="00500724" w:rsidRDefault="00F30FB8">
      <w:pPr>
        <w:pStyle w:val="Zkladntext90"/>
        <w:shd w:val="clear" w:color="auto" w:fill="auto"/>
        <w:spacing w:line="218" w:lineRule="auto"/>
        <w:ind w:firstLine="160"/>
      </w:pPr>
      <w:r>
        <w:rPr>
          <w:lang w:val="en-US" w:eastAsia="en-US" w:bidi="en-US"/>
        </w:rPr>
        <w:t xml:space="preserve">Fanny </w:t>
      </w:r>
      <w:r>
        <w:t>nejedla téměř nic, ale prázdnila sklenice šampaňského, iako by to byla minerálka. Nemě</w:t>
      </w:r>
      <w:r>
        <w:softHyphen/>
        <w:t>lo by smyslu bránit jí v tom, ne</w:t>
      </w:r>
      <w:r>
        <w:softHyphen/>
        <w:t>boť odpor za těchto okolnosti mohl b</w:t>
      </w:r>
      <w:r>
        <w:t>ýt zhoubnější než shovíva</w:t>
      </w:r>
      <w:r>
        <w:softHyphen/>
        <w:t>vost. Jiskřivé zlatisté víno, jež ji udržovalo při životě a náladě ce</w:t>
      </w:r>
      <w:r>
        <w:softHyphen/>
        <w:t>lých padesát let, proudilo jí ži</w:t>
      </w:r>
      <w:r>
        <w:softHyphen/>
        <w:t>lami a probouzelo vzpomínky v omámeném mozku. Začala páté přes deváté vypravovati, na co si vzpomněla a její vypravováni bylo s</w:t>
      </w:r>
      <w:r>
        <w:t>tále odvážnější a bezohled</w:t>
      </w:r>
      <w:r>
        <w:softHyphen/>
        <w:t>nější. Nebrala si už ubrousek a s hojnými názorně přednášenými detaily líčila příhody ze svého ži</w:t>
      </w:r>
      <w:r>
        <w:softHyphen/>
        <w:t>vota, jež byly velmi intimní a skandální.</w:t>
      </w:r>
    </w:p>
    <w:p w:rsidR="00500724" w:rsidRDefault="00F30FB8">
      <w:pPr>
        <w:pStyle w:val="Zkladntext90"/>
        <w:shd w:val="clear" w:color="auto" w:fill="auto"/>
        <w:spacing w:line="218" w:lineRule="auto"/>
        <w:ind w:firstLine="160"/>
      </w:pPr>
      <w:r>
        <w:t>Nebylo možno ji zarazit. V hroz</w:t>
      </w:r>
      <w:r>
        <w:softHyphen/>
        <w:t>ném mlčení poslouchali její zpo</w:t>
      </w:r>
      <w:r>
        <w:softHyphen/>
        <w:t>věď, jež se ježila narážk</w:t>
      </w:r>
      <w:r>
        <w:t>ami a dvojsmyslnými výrazy, jakých se ve slušném hovoru nepoužívá. S rafinovanou zlomyslností adreso</w:t>
      </w:r>
      <w:r>
        <w:softHyphen/>
        <w:t xml:space="preserve">vala většinu svých poznámek </w:t>
      </w:r>
      <w:r>
        <w:rPr>
          <w:lang w:val="en-US" w:eastAsia="en-US" w:bidi="en-US"/>
        </w:rPr>
        <w:t>Mi</w:t>
      </w:r>
      <w:r>
        <w:rPr>
          <w:lang w:val="en-US" w:eastAsia="en-US" w:bidi="en-US"/>
        </w:rPr>
        <w:softHyphen/>
        <w:t xml:space="preserve">riam, </w:t>
      </w:r>
      <w:r>
        <w:t xml:space="preserve">jsouc odhodlána pomstít se své gnaše za to, že ji přezírá. </w:t>
      </w:r>
      <w:r>
        <w:rPr>
          <w:lang w:val="en-US" w:eastAsia="en-US" w:bidi="en-US"/>
        </w:rPr>
        <w:t>Mi</w:t>
      </w:r>
      <w:r>
        <w:rPr>
          <w:lang w:val="en-US" w:eastAsia="en-US" w:bidi="en-US"/>
        </w:rPr>
        <w:softHyphen/>
        <w:t xml:space="preserve">riam </w:t>
      </w:r>
      <w:r>
        <w:t>to snášela, pokud mohla, pak z ničeho nic vstala od</w:t>
      </w:r>
      <w:r>
        <w:t xml:space="preserve"> stolu a šeptajíc, že je jí nevolno, odešla z ppkoje.-</w:t>
      </w:r>
    </w:p>
    <w:p w:rsidR="00500724" w:rsidRDefault="00F30FB8">
      <w:pPr>
        <w:pStyle w:val="Zkladntext90"/>
        <w:shd w:val="clear" w:color="auto" w:fill="auto"/>
        <w:spacing w:line="218" w:lineRule="auto"/>
        <w:ind w:firstLine="160"/>
      </w:pPr>
      <w:r>
        <w:t>Fanny se vymrštila se židle, oči jí svítily zlobou a hněvem.</w:t>
      </w:r>
    </w:p>
    <w:p w:rsidR="00500724" w:rsidRDefault="00F30FB8">
      <w:pPr>
        <w:pStyle w:val="Zkladntext90"/>
        <w:shd w:val="clear" w:color="auto" w:fill="auto"/>
        <w:spacing w:line="218" w:lineRule="auto"/>
        <w:ind w:firstLine="160"/>
        <w:sectPr w:rsidR="00500724">
          <w:footnotePr>
            <w:numFmt w:val="chicago"/>
            <w:numRestart w:val="eachPage"/>
          </w:footnotePr>
          <w:type w:val="continuous"/>
          <w:pgSz w:w="11909" w:h="16834"/>
          <w:pgMar w:top="733" w:right="1142" w:bottom="394" w:left="98" w:header="0" w:footer="3" w:gutter="0"/>
          <w:cols w:num="4" w:sep="1" w:space="100"/>
          <w:noEndnote/>
          <w:docGrid w:linePitch="360"/>
        </w:sectPr>
      </w:pPr>
      <w:r>
        <w:t>„Jak se můžete opovážit?“ kři</w:t>
      </w:r>
      <w:r>
        <w:softHyphen/>
        <w:t>čela. „Jak se opovažujete insul- tovat mě u mého vlastního sto</w:t>
      </w:r>
      <w:r>
        <w:softHyphen/>
        <w:t>lu?!“ a zahrnula</w:t>
      </w:r>
      <w:r>
        <w:t xml:space="preserve"> nepřítomnou </w:t>
      </w:r>
      <w:r>
        <w:rPr>
          <w:lang w:val="en-US" w:eastAsia="en-US" w:bidi="en-US"/>
        </w:rPr>
        <w:t>Mi</w:t>
      </w:r>
      <w:r>
        <w:rPr>
          <w:lang w:val="en-US" w:eastAsia="en-US" w:bidi="en-US"/>
        </w:rPr>
        <w:softHyphen/>
        <w:t xml:space="preserve">riam </w:t>
      </w:r>
      <w:r>
        <w:t>oplzlými epitheťy. Posléze, nemohouc vztekem již mluvit, za</w:t>
      </w:r>
      <w:r>
        <w:softHyphen/>
        <w:t>čala mlátit pěstmi do stolu a než jí v tom mohl někdo zabránit, popadla oběma rukama krajkový ubrus a strhla jej i se sklenicemi, příbory a nádobím na podlahu. Greg: včas ješt</w:t>
      </w:r>
      <w:r>
        <w:t>ě přiskočil a zachy</w:t>
      </w:r>
      <w:r>
        <w:softHyphen/>
        <w:t>til do náručí její hroutící se tělo.</w:t>
      </w:r>
    </w:p>
    <w:p w:rsidR="00500724" w:rsidRDefault="00500724">
      <w:pPr>
        <w:rPr>
          <w:sz w:val="2"/>
          <w:szCs w:val="2"/>
        </w:rPr>
        <w:sectPr w:rsidR="00500724">
          <w:footnotePr>
            <w:numFmt w:val="chicago"/>
            <w:numRestart w:val="eachPage"/>
          </w:footnotePr>
          <w:type w:val="continuous"/>
          <w:pgSz w:w="11909" w:h="16834"/>
          <w:pgMar w:top="733" w:right="1142" w:bottom="394" w:left="98" w:header="0" w:footer="3" w:gutter="0"/>
          <w:cols w:num="4" w:sep="1" w:space="100"/>
          <w:noEndnote/>
          <w:docGrid w:linePitch="360"/>
        </w:sectPr>
      </w:pPr>
    </w:p>
    <w:p w:rsidR="00500724" w:rsidRDefault="00F30FB8">
      <w:pPr>
        <w:pStyle w:val="Nadpis30"/>
        <w:keepNext/>
        <w:keepLines/>
        <w:shd w:val="clear" w:color="auto" w:fill="auto"/>
        <w:spacing w:after="0"/>
        <w:rPr>
          <w:sz w:val="250"/>
          <w:szCs w:val="250"/>
        </w:rPr>
      </w:pPr>
      <w:bookmarkStart w:id="859" w:name="bookmark858"/>
      <w:r>
        <w:rPr>
          <w:sz w:val="250"/>
          <w:szCs w:val="250"/>
          <w:u w:val="single"/>
        </w:rPr>
        <w:t>PftDranosC</w:t>
      </w:r>
      <w:bookmarkEnd w:id="859"/>
    </w:p>
    <w:p w:rsidR="00500724" w:rsidRDefault="00F30FB8">
      <w:pPr>
        <w:spacing w:line="14" w:lineRule="exact"/>
        <w:sectPr w:rsidR="00500724">
          <w:footnotePr>
            <w:numFmt w:val="chicago"/>
            <w:numRestart w:val="eachPage"/>
          </w:footnotePr>
          <w:pgSz w:w="11909" w:h="16834"/>
          <w:pgMar w:top="1265" w:right="282" w:bottom="696" w:left="464" w:header="0" w:footer="3" w:gutter="0"/>
          <w:cols w:space="720"/>
          <w:noEndnote/>
          <w:docGrid w:linePitch="360"/>
        </w:sectPr>
      </w:pPr>
      <w:r>
        <w:rPr>
          <w:noProof/>
        </w:rPr>
        <mc:AlternateContent>
          <mc:Choice Requires="wps">
            <w:drawing>
              <wp:anchor distT="12700" distB="0" distL="114300" distR="5607050" simplePos="0" relativeHeight="125830224" behindDoc="0" locked="0" layoutInCell="1" allowOverlap="1">
                <wp:simplePos x="0" y="0"/>
                <wp:positionH relativeFrom="page">
                  <wp:posOffset>476885</wp:posOffset>
                </wp:positionH>
                <wp:positionV relativeFrom="paragraph">
                  <wp:posOffset>21590</wp:posOffset>
                </wp:positionV>
                <wp:extent cx="1219200" cy="186055"/>
                <wp:effectExtent l="0" t="0" r="0" b="0"/>
                <wp:wrapTopAndBottom/>
                <wp:docPr id="847" name="Shape 847"/>
                <wp:cNvGraphicFramePr/>
                <a:graphic xmlns:a="http://schemas.openxmlformats.org/drawingml/2006/main">
                  <a:graphicData uri="http://schemas.microsoft.com/office/word/2010/wordprocessingShape">
                    <wps:wsp>
                      <wps:cNvSpPr txBox="1"/>
                      <wps:spPr>
                        <a:xfrm>
                          <a:off x="0" y="0"/>
                          <a:ext cx="1219200" cy="186055"/>
                        </a:xfrm>
                        <a:prstGeom prst="rect">
                          <a:avLst/>
                        </a:prstGeom>
                        <a:noFill/>
                      </wps:spPr>
                      <wps:txbx>
                        <w:txbxContent>
                          <w:p w:rsidR="00500724" w:rsidRDefault="00F30FB8">
                            <w:pPr>
                              <w:pStyle w:val="Zkladntext30"/>
                              <w:shd w:val="clear" w:color="auto" w:fill="auto"/>
                              <w:spacing w:after="0" w:line="240" w:lineRule="auto"/>
                              <w:ind w:firstLine="0"/>
                              <w:jc w:val="left"/>
                            </w:pPr>
                            <w:r>
                              <w:rPr>
                                <w:b/>
                                <w:bCs/>
                                <w:lang w:val="en-US" w:eastAsia="en-US" w:bidi="en-US"/>
                              </w:rPr>
                              <w:t>ROCNlK XVI.</w:t>
                            </w:r>
                          </w:p>
                        </w:txbxContent>
                      </wps:txbx>
                      <wps:bodyPr lIns="0" tIns="0" rIns="0" bIns="0"/>
                    </wps:wsp>
                  </a:graphicData>
                </a:graphic>
              </wp:anchor>
            </w:drawing>
          </mc:Choice>
          <mc:Fallback>
            <w:pict>
              <v:shape id="_x0000_s1873" type="#_x0000_t202" style="position:absolute;margin-left:37.549999999999997pt;margin-top:1.7pt;width:96.pt;height:14.65pt;z-index:-125828529;mso-wrap-distance-left:9.pt;mso-wrap-distance-top:1.pt;mso-wrap-distance-right:441.5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n-US" w:eastAsia="en-US" w:bidi="en-US"/>
                        </w:rPr>
                        <w:t>ROCNlK XVI.</w:t>
                      </w:r>
                    </w:p>
                  </w:txbxContent>
                </v:textbox>
                <w10:wrap type="topAndBottom" anchorx="page"/>
              </v:shape>
            </w:pict>
          </mc:Fallback>
        </mc:AlternateContent>
      </w:r>
      <w:r>
        <w:rPr>
          <w:noProof/>
        </w:rPr>
        <mc:AlternateContent>
          <mc:Choice Requires="wps">
            <w:drawing>
              <wp:anchor distT="12700" distB="0" distL="2339340" distR="2327275" simplePos="0" relativeHeight="125830226" behindDoc="0" locked="0" layoutInCell="1" allowOverlap="1">
                <wp:simplePos x="0" y="0"/>
                <wp:positionH relativeFrom="page">
                  <wp:posOffset>2701925</wp:posOffset>
                </wp:positionH>
                <wp:positionV relativeFrom="paragraph">
                  <wp:posOffset>21590</wp:posOffset>
                </wp:positionV>
                <wp:extent cx="2273935" cy="186055"/>
                <wp:effectExtent l="0" t="0" r="0" b="0"/>
                <wp:wrapTopAndBottom/>
                <wp:docPr id="849" name="Shape 849"/>
                <wp:cNvGraphicFramePr/>
                <a:graphic xmlns:a="http://schemas.openxmlformats.org/drawingml/2006/main">
                  <a:graphicData uri="http://schemas.microsoft.com/office/word/2010/wordprocessingShape">
                    <wps:wsp>
                      <wps:cNvSpPr txBox="1"/>
                      <wps:spPr>
                        <a:xfrm>
                          <a:off x="0" y="0"/>
                          <a:ext cx="2273935" cy="186055"/>
                        </a:xfrm>
                        <a:prstGeom prst="rect">
                          <a:avLst/>
                        </a:prstGeom>
                        <a:noFill/>
                      </wps:spPr>
                      <wps:txbx>
                        <w:txbxContent>
                          <w:p w:rsidR="00500724" w:rsidRDefault="00F30FB8">
                            <w:pPr>
                              <w:pStyle w:val="Zkladntext30"/>
                              <w:shd w:val="clear" w:color="auto" w:fill="auto"/>
                              <w:spacing w:after="0" w:line="240" w:lineRule="auto"/>
                              <w:ind w:firstLine="0"/>
                              <w:jc w:val="left"/>
                            </w:pPr>
                            <w:r>
                              <w:rPr>
                                <w:b/>
                                <w:bCs/>
                                <w:lang w:val="en-US" w:eastAsia="en-US" w:bidi="en-US"/>
                              </w:rPr>
                              <w:t xml:space="preserve">V PRAZE 30. </w:t>
                            </w:r>
                            <w:r>
                              <w:rPr>
                                <w:b/>
                                <w:bCs/>
                              </w:rPr>
                              <w:t xml:space="preserve">SRPNA </w:t>
                            </w:r>
                            <w:r>
                              <w:rPr>
                                <w:b/>
                                <w:bCs/>
                                <w:lang w:val="en-US" w:eastAsia="en-US" w:bidi="en-US"/>
                              </w:rPr>
                              <w:t>1939</w:t>
                            </w:r>
                          </w:p>
                        </w:txbxContent>
                      </wps:txbx>
                      <wps:bodyPr lIns="0" tIns="0" rIns="0" bIns="0"/>
                    </wps:wsp>
                  </a:graphicData>
                </a:graphic>
              </wp:anchor>
            </w:drawing>
          </mc:Choice>
          <mc:Fallback>
            <w:pict>
              <v:shape id="_x0000_s1875" type="#_x0000_t202" style="position:absolute;margin-left:212.75pt;margin-top:1.7pt;width:179.05000000000001pt;height:14.65pt;z-index:-125828527;mso-wrap-distance-left:184.19999999999999pt;mso-wrap-distance-top:1.pt;mso-wrap-distance-right:183.25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n-US" w:eastAsia="en-US" w:bidi="en-US"/>
                        </w:rPr>
                        <w:t xml:space="preserve">V PRAZE 30. </w:t>
                      </w:r>
                      <w:r>
                        <w:rPr>
                          <w:b/>
                          <w:bCs/>
                          <w:color w:val="000000"/>
                          <w:spacing w:val="0"/>
                          <w:w w:val="100"/>
                          <w:position w:val="0"/>
                          <w:shd w:val="clear" w:color="auto" w:fill="auto"/>
                          <w:lang w:val="cs-CZ" w:eastAsia="cs-CZ" w:bidi="cs-CZ"/>
                        </w:rPr>
                        <w:t xml:space="preserve">SRPNA </w:t>
                      </w:r>
                      <w:r>
                        <w:rPr>
                          <w:b/>
                          <w:bCs/>
                          <w:color w:val="000000"/>
                          <w:spacing w:val="0"/>
                          <w:w w:val="100"/>
                          <w:position w:val="0"/>
                          <w:shd w:val="clear" w:color="auto" w:fill="auto"/>
                          <w:lang w:val="en-US" w:eastAsia="en-US" w:bidi="en-US"/>
                        </w:rPr>
                        <w:t>1939</w:t>
                      </w:r>
                    </w:p>
                  </w:txbxContent>
                </v:textbox>
                <w10:wrap type="topAndBottom" anchorx="page"/>
              </v:shape>
            </w:pict>
          </mc:Fallback>
        </mc:AlternateContent>
      </w:r>
      <w:r>
        <w:rPr>
          <w:noProof/>
        </w:rPr>
        <mc:AlternateContent>
          <mc:Choice Requires="wps">
            <w:drawing>
              <wp:anchor distT="3810" distB="0" distL="6057900" distR="114300" simplePos="0" relativeHeight="125830228" behindDoc="0" locked="0" layoutInCell="1" allowOverlap="1">
                <wp:simplePos x="0" y="0"/>
                <wp:positionH relativeFrom="page">
                  <wp:posOffset>6420485</wp:posOffset>
                </wp:positionH>
                <wp:positionV relativeFrom="paragraph">
                  <wp:posOffset>12700</wp:posOffset>
                </wp:positionV>
                <wp:extent cx="768350" cy="186055"/>
                <wp:effectExtent l="0" t="0" r="0" b="0"/>
                <wp:wrapTopAndBottom/>
                <wp:docPr id="851" name="Shape 851"/>
                <wp:cNvGraphicFramePr/>
                <a:graphic xmlns:a="http://schemas.openxmlformats.org/drawingml/2006/main">
                  <a:graphicData uri="http://schemas.microsoft.com/office/word/2010/wordprocessingShape">
                    <wps:wsp>
                      <wps:cNvSpPr txBox="1"/>
                      <wps:spPr>
                        <a:xfrm>
                          <a:off x="0" y="0"/>
                          <a:ext cx="768350" cy="186055"/>
                        </a:xfrm>
                        <a:prstGeom prst="rect">
                          <a:avLst/>
                        </a:prstGeom>
                        <a:noFill/>
                      </wps:spPr>
                      <wps:txbx>
                        <w:txbxContent>
                          <w:p w:rsidR="00500724" w:rsidRDefault="00F30FB8">
                            <w:pPr>
                              <w:pStyle w:val="Zkladntext30"/>
                              <w:shd w:val="clear" w:color="auto" w:fill="auto"/>
                              <w:spacing w:after="0" w:line="240" w:lineRule="auto"/>
                              <w:ind w:firstLine="0"/>
                              <w:jc w:val="left"/>
                            </w:pPr>
                            <w:r>
                              <w:rPr>
                                <w:b/>
                                <w:bCs/>
                              </w:rPr>
                              <w:t xml:space="preserve">ZA </w:t>
                            </w:r>
                            <w:r>
                              <w:rPr>
                                <w:b/>
                                <w:bCs/>
                                <w:lang w:val="en-US" w:eastAsia="en-US" w:bidi="en-US"/>
                              </w:rPr>
                              <w:t>K 2.—</w:t>
                            </w:r>
                          </w:p>
                        </w:txbxContent>
                      </wps:txbx>
                      <wps:bodyPr lIns="0" tIns="0" rIns="0" bIns="0"/>
                    </wps:wsp>
                  </a:graphicData>
                </a:graphic>
              </wp:anchor>
            </w:drawing>
          </mc:Choice>
          <mc:Fallback>
            <w:pict>
              <v:shape id="_x0000_s1877" type="#_x0000_t202" style="position:absolute;margin-left:505.55000000000001pt;margin-top:1.pt;width:60.5pt;height:14.65pt;z-index:-125828525;mso-wrap-distance-left:477.pt;mso-wrap-distance-top:0.29999999999999999pt;mso-wrap-distance-right:9.pt;mso-position-horizontal-relative:page" filled="f" stroked="f">
                <v:textbox inset="0,0,0,0">
                  <w:txbxContent>
                    <w:p>
                      <w:pPr>
                        <w:pStyle w:val="Style2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 xml:space="preserve">ZA </w:t>
                      </w:r>
                      <w:r>
                        <w:rPr>
                          <w:b/>
                          <w:bCs/>
                          <w:color w:val="000000"/>
                          <w:spacing w:val="0"/>
                          <w:w w:val="100"/>
                          <w:position w:val="0"/>
                          <w:shd w:val="clear" w:color="auto" w:fill="auto"/>
                          <w:lang w:val="en-US" w:eastAsia="en-US" w:bidi="en-US"/>
                        </w:rPr>
                        <w:t>K 2.—</w:t>
                      </w:r>
                    </w:p>
                  </w:txbxContent>
                </v:textbox>
                <w10:wrap type="topAndBottom" anchorx="page"/>
              </v:shape>
            </w:pict>
          </mc:Fallback>
        </mc:AlternateContent>
      </w:r>
    </w:p>
    <w:p w:rsidR="00500724" w:rsidRDefault="00500724">
      <w:pPr>
        <w:spacing w:line="240" w:lineRule="exact"/>
        <w:rPr>
          <w:sz w:val="19"/>
          <w:szCs w:val="19"/>
        </w:rPr>
      </w:pPr>
    </w:p>
    <w:p w:rsidR="00500724" w:rsidRDefault="00500724">
      <w:pPr>
        <w:spacing w:line="240" w:lineRule="exact"/>
        <w:rPr>
          <w:sz w:val="19"/>
          <w:szCs w:val="19"/>
        </w:rPr>
      </w:pPr>
    </w:p>
    <w:p w:rsidR="00500724" w:rsidRDefault="00500724">
      <w:pPr>
        <w:spacing w:before="114" w:after="114"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1265" w:right="0" w:bottom="696"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50"/>
        <w:gridCol w:w="3662"/>
      </w:tblGrid>
      <w:tr w:rsidR="00500724">
        <w:tblPrEx>
          <w:tblCellMar>
            <w:top w:w="0" w:type="dxa"/>
            <w:bottom w:w="0" w:type="dxa"/>
          </w:tblCellMar>
        </w:tblPrEx>
        <w:trPr>
          <w:trHeight w:hRule="exact" w:val="806"/>
          <w:jc w:val="center"/>
        </w:trPr>
        <w:tc>
          <w:tcPr>
            <w:tcW w:w="0" w:type="auto"/>
            <w:shd w:val="clear" w:color="auto" w:fill="FFFFFF"/>
          </w:tcPr>
          <w:p w:rsidR="00500724" w:rsidRDefault="00F30FB8">
            <w:pPr>
              <w:pStyle w:val="Jin0"/>
              <w:shd w:val="clear" w:color="auto" w:fill="auto"/>
              <w:ind w:firstLine="0"/>
              <w:jc w:val="left"/>
              <w:rPr>
                <w:sz w:val="52"/>
                <w:szCs w:val="52"/>
              </w:rPr>
            </w:pPr>
            <w:r>
              <w:rPr>
                <w:rFonts w:ascii="Cambria" w:eastAsia="Cambria" w:hAnsi="Cambria" w:cs="Cambria"/>
                <w:sz w:val="52"/>
                <w:szCs w:val="52"/>
              </w:rPr>
              <w:t xml:space="preserve">Radosti Pavla </w:t>
            </w:r>
            <w:r>
              <w:rPr>
                <w:rFonts w:ascii="Cambria" w:eastAsia="Cambria" w:hAnsi="Cambria" w:cs="Cambria"/>
                <w:sz w:val="52"/>
                <w:szCs w:val="52"/>
                <w:lang w:val="en-US" w:eastAsia="en-US" w:bidi="en-US"/>
              </w:rPr>
              <w:t>Grekova</w:t>
            </w:r>
          </w:p>
        </w:tc>
        <w:tc>
          <w:tcPr>
            <w:tcW w:w="0" w:type="auto"/>
            <w:shd w:val="clear" w:color="auto" w:fill="FFFFFF"/>
          </w:tcPr>
          <w:p w:rsidR="00500724" w:rsidRDefault="00F30FB8">
            <w:pPr>
              <w:pStyle w:val="Jin0"/>
              <w:shd w:val="clear" w:color="auto" w:fill="auto"/>
              <w:spacing w:before="120"/>
              <w:ind w:firstLine="0"/>
              <w:jc w:val="right"/>
              <w:rPr>
                <w:sz w:val="28"/>
                <w:szCs w:val="28"/>
              </w:rPr>
            </w:pPr>
            <w:r>
              <w:rPr>
                <w:b/>
                <w:bCs/>
                <w:sz w:val="28"/>
                <w:szCs w:val="28"/>
              </w:rPr>
              <w:t>JAN ALBERT</w:t>
            </w:r>
          </w:p>
        </w:tc>
      </w:tr>
      <w:tr w:rsidR="00500724">
        <w:tblPrEx>
          <w:tblCellMar>
            <w:top w:w="0" w:type="dxa"/>
            <w:bottom w:w="0" w:type="dxa"/>
          </w:tblCellMar>
        </w:tblPrEx>
        <w:trPr>
          <w:trHeight w:hRule="exact" w:val="1190"/>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 xml:space="preserve">Proč </w:t>
            </w:r>
            <w:r>
              <w:rPr>
                <w:rFonts w:ascii="Cambria" w:eastAsia="Cambria" w:hAnsi="Cambria" w:cs="Cambria"/>
                <w:sz w:val="52"/>
                <w:szCs w:val="52"/>
              </w:rPr>
              <w:t>mizely parlamenty</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ZDENĚK SMETÁČEK</w:t>
            </w:r>
          </w:p>
        </w:tc>
      </w:tr>
      <w:tr w:rsidR="00500724">
        <w:tblPrEx>
          <w:tblCellMar>
            <w:top w:w="0" w:type="dxa"/>
            <w:bottom w:w="0" w:type="dxa"/>
          </w:tblCellMar>
        </w:tblPrEx>
        <w:trPr>
          <w:trHeight w:hRule="exact" w:val="1195"/>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Jazyková nařízení</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PAVEL HOFMAN</w:t>
            </w:r>
          </w:p>
        </w:tc>
      </w:tr>
      <w:tr w:rsidR="00500724">
        <w:tblPrEx>
          <w:tblCellMar>
            <w:top w:w="0" w:type="dxa"/>
            <w:bottom w:w="0" w:type="dxa"/>
          </w:tblCellMar>
        </w:tblPrEx>
        <w:trPr>
          <w:trHeight w:hRule="exact" w:val="1190"/>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Nezaměstnanost inteligence</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ROBERT KOLLÁR</w:t>
            </w:r>
          </w:p>
        </w:tc>
      </w:tr>
      <w:tr w:rsidR="00500724">
        <w:tblPrEx>
          <w:tblCellMar>
            <w:top w:w="0" w:type="dxa"/>
            <w:bottom w:w="0" w:type="dxa"/>
          </w:tblCellMar>
        </w:tblPrEx>
        <w:trPr>
          <w:trHeight w:hRule="exact" w:val="1195"/>
          <w:jc w:val="center"/>
        </w:trPr>
        <w:tc>
          <w:tcPr>
            <w:tcW w:w="0" w:type="auto"/>
            <w:tcBorders>
              <w:top w:val="single" w:sz="4" w:space="0" w:color="auto"/>
            </w:tcBorders>
            <w:shd w:val="clear" w:color="auto" w:fill="FFFFFF"/>
            <w:vAlign w:val="center"/>
          </w:tcPr>
          <w:p w:rsidR="00500724" w:rsidRDefault="00F30FB8">
            <w:pPr>
              <w:pStyle w:val="Jin0"/>
              <w:shd w:val="clear" w:color="auto" w:fill="auto"/>
              <w:ind w:firstLine="0"/>
              <w:jc w:val="left"/>
              <w:rPr>
                <w:sz w:val="52"/>
                <w:szCs w:val="52"/>
              </w:rPr>
            </w:pPr>
            <w:r>
              <w:rPr>
                <w:rFonts w:ascii="Cambria" w:eastAsia="Cambria" w:hAnsi="Cambria" w:cs="Cambria"/>
                <w:sz w:val="52"/>
                <w:szCs w:val="52"/>
              </w:rPr>
              <w:t>Mateřská řeě ve stoupě</w:t>
            </w:r>
          </w:p>
        </w:tc>
        <w:tc>
          <w:tcPr>
            <w:tcW w:w="0" w:type="auto"/>
            <w:tcBorders>
              <w:top w:val="single" w:sz="4" w:space="0" w:color="auto"/>
            </w:tcBorders>
            <w:shd w:val="clear" w:color="auto" w:fill="FFFFFF"/>
            <w:vAlign w:val="center"/>
          </w:tcPr>
          <w:p w:rsidR="00500724" w:rsidRDefault="00F30FB8">
            <w:pPr>
              <w:pStyle w:val="Jin0"/>
              <w:shd w:val="clear" w:color="auto" w:fill="auto"/>
              <w:ind w:firstLine="0"/>
              <w:jc w:val="right"/>
              <w:rPr>
                <w:sz w:val="28"/>
                <w:szCs w:val="28"/>
              </w:rPr>
            </w:pPr>
            <w:r>
              <w:rPr>
                <w:b/>
                <w:bCs/>
                <w:sz w:val="28"/>
                <w:szCs w:val="28"/>
              </w:rPr>
              <w:t>LUMÍR CIVRNÝ</w:t>
            </w:r>
          </w:p>
        </w:tc>
      </w:tr>
      <w:tr w:rsidR="00500724">
        <w:tblPrEx>
          <w:tblCellMar>
            <w:top w:w="0" w:type="dxa"/>
            <w:bottom w:w="0" w:type="dxa"/>
          </w:tblCellMar>
        </w:tblPrEx>
        <w:trPr>
          <w:trHeight w:hRule="exact" w:val="821"/>
          <w:jc w:val="center"/>
        </w:trPr>
        <w:tc>
          <w:tcPr>
            <w:tcW w:w="0" w:type="auto"/>
            <w:tcBorders>
              <w:top w:val="single" w:sz="4" w:space="0" w:color="auto"/>
            </w:tcBorders>
            <w:shd w:val="clear" w:color="auto" w:fill="FFFFFF"/>
            <w:vAlign w:val="bottom"/>
          </w:tcPr>
          <w:p w:rsidR="00500724" w:rsidRDefault="00F30FB8">
            <w:pPr>
              <w:pStyle w:val="Jin0"/>
              <w:shd w:val="clear" w:color="auto" w:fill="auto"/>
              <w:ind w:firstLine="0"/>
              <w:jc w:val="left"/>
              <w:rPr>
                <w:sz w:val="52"/>
                <w:szCs w:val="52"/>
              </w:rPr>
            </w:pPr>
            <w:r>
              <w:rPr>
                <w:rFonts w:ascii="Cambria" w:eastAsia="Cambria" w:hAnsi="Cambria" w:cs="Cambria"/>
                <w:sz w:val="52"/>
                <w:szCs w:val="52"/>
              </w:rPr>
              <w:t>České městečko 1939</w:t>
            </w:r>
          </w:p>
        </w:tc>
        <w:tc>
          <w:tcPr>
            <w:tcW w:w="0" w:type="auto"/>
            <w:tcBorders>
              <w:top w:val="single" w:sz="4" w:space="0" w:color="auto"/>
            </w:tcBorders>
            <w:shd w:val="clear" w:color="auto" w:fill="FFFFFF"/>
            <w:vAlign w:val="bottom"/>
          </w:tcPr>
          <w:p w:rsidR="00500724" w:rsidRDefault="00F30FB8">
            <w:pPr>
              <w:pStyle w:val="Jin0"/>
              <w:shd w:val="clear" w:color="auto" w:fill="auto"/>
              <w:ind w:firstLine="0"/>
              <w:jc w:val="right"/>
              <w:rPr>
                <w:sz w:val="28"/>
                <w:szCs w:val="28"/>
              </w:rPr>
            </w:pPr>
            <w:r>
              <w:rPr>
                <w:b/>
                <w:bCs/>
                <w:sz w:val="28"/>
                <w:szCs w:val="28"/>
              </w:rPr>
              <w:t>ZDENEK RICHTER</w:t>
            </w:r>
          </w:p>
        </w:tc>
      </w:tr>
    </w:tbl>
    <w:p w:rsidR="00500724" w:rsidRDefault="00500724">
      <w:pPr>
        <w:spacing w:after="666" w:line="14" w:lineRule="exact"/>
      </w:pPr>
    </w:p>
    <w:p w:rsidR="00500724" w:rsidRDefault="00F30FB8">
      <w:pPr>
        <w:pStyle w:val="Jin0"/>
        <w:pBdr>
          <w:top w:val="single" w:sz="4" w:space="0" w:color="auto"/>
        </w:pBdr>
        <w:shd w:val="clear" w:color="auto" w:fill="auto"/>
        <w:spacing w:line="286" w:lineRule="auto"/>
        <w:ind w:left="140" w:firstLine="0"/>
        <w:jc w:val="center"/>
        <w:rPr>
          <w:sz w:val="28"/>
          <w:szCs w:val="28"/>
        </w:rPr>
      </w:pPr>
      <w:r>
        <w:rPr>
          <w:b/>
          <w:bCs/>
          <w:sz w:val="28"/>
          <w:szCs w:val="28"/>
        </w:rPr>
        <w:t>Končíme akademické prázdniny — Radost ze Zlína — Dostat se ke státu</w:t>
      </w:r>
      <w:r>
        <w:rPr>
          <w:b/>
          <w:bCs/>
          <w:sz w:val="28"/>
          <w:szCs w:val="28"/>
        </w:rPr>
        <w:br/>
      </w:r>
      <w:r>
        <w:rPr>
          <w:b/>
          <w:bCs/>
          <w:sz w:val="28"/>
          <w:szCs w:val="28"/>
        </w:rPr>
        <w:t>Bývanie a střecha nad hlavou — Velká národní cena umělecká</w:t>
      </w:r>
    </w:p>
    <w:p w:rsidR="00500724" w:rsidRDefault="00F30FB8">
      <w:pPr>
        <w:pStyle w:val="Jin0"/>
        <w:shd w:val="clear" w:color="auto" w:fill="auto"/>
        <w:spacing w:after="340" w:line="286" w:lineRule="auto"/>
        <w:ind w:right="80" w:firstLine="0"/>
        <w:jc w:val="center"/>
        <w:rPr>
          <w:sz w:val="28"/>
          <w:szCs w:val="28"/>
        </w:rPr>
        <w:sectPr w:rsidR="00500724">
          <w:footnotePr>
            <w:numFmt w:val="chicago"/>
            <w:numRestart w:val="eachPage"/>
          </w:footnotePr>
          <w:type w:val="continuous"/>
          <w:pgSz w:w="11909" w:h="16834"/>
          <w:pgMar w:top="1265" w:right="392" w:bottom="696" w:left="574" w:header="0" w:footer="3" w:gutter="0"/>
          <w:cols w:space="720"/>
          <w:noEndnote/>
          <w:docGrid w:linePitch="360"/>
        </w:sectPr>
      </w:pPr>
      <w:r>
        <w:rPr>
          <w:b/>
          <w:bCs/>
          <w:sz w:val="28"/>
          <w:szCs w:val="28"/>
        </w:rPr>
        <w:t>Byl Shakespeare Shakespeare? — Jak se vyslovují cizí sportovní výrazy —</w:t>
      </w:r>
      <w:r>
        <w:rPr>
          <w:b/>
          <w:bCs/>
          <w:sz w:val="28"/>
          <w:szCs w:val="28"/>
        </w:rPr>
        <w:br/>
        <w:t>Knihovna za rohem — Týdenní přehled</w:t>
      </w:r>
    </w:p>
    <w:p w:rsidR="00500724" w:rsidRDefault="00F30FB8">
      <w:pPr>
        <w:spacing w:line="14" w:lineRule="exact"/>
      </w:pPr>
      <w:r>
        <w:rPr>
          <w:noProof/>
        </w:rPr>
        <mc:AlternateContent>
          <mc:Choice Requires="wps">
            <w:drawing>
              <wp:anchor distT="165100" distB="0" distL="12700" distR="12700" simplePos="0" relativeHeight="125830230" behindDoc="0" locked="0" layoutInCell="1" allowOverlap="1">
                <wp:simplePos x="0" y="0"/>
                <wp:positionH relativeFrom="page">
                  <wp:posOffset>3783965</wp:posOffset>
                </wp:positionH>
                <wp:positionV relativeFrom="paragraph">
                  <wp:posOffset>1554480</wp:posOffset>
                </wp:positionV>
                <wp:extent cx="1225550" cy="189230"/>
                <wp:effectExtent l="0" t="0" r="0" b="0"/>
                <wp:wrapSquare wrapText="right"/>
                <wp:docPr id="853" name="Shape 853"/>
                <wp:cNvGraphicFramePr/>
                <a:graphic xmlns:a="http://schemas.openxmlformats.org/drawingml/2006/main">
                  <a:graphicData uri="http://schemas.microsoft.com/office/word/2010/wordprocessingShape">
                    <wps:wsp>
                      <wps:cNvSpPr txBox="1"/>
                      <wps:spPr>
                        <a:xfrm>
                          <a:off x="0" y="0"/>
                          <a:ext cx="1225550" cy="189230"/>
                        </a:xfrm>
                        <a:prstGeom prst="rect">
                          <a:avLst/>
                        </a:prstGeom>
                        <a:noFill/>
                      </wps:spPr>
                      <wps:txbx>
                        <w:txbxContent>
                          <w:p w:rsidR="00500724" w:rsidRDefault="00F30FB8">
                            <w:pPr>
                              <w:pStyle w:val="Zkladntext80"/>
                              <w:shd w:val="clear" w:color="auto" w:fill="auto"/>
                              <w:spacing w:line="240" w:lineRule="auto"/>
                              <w:rPr>
                                <w:sz w:val="20"/>
                                <w:szCs w:val="20"/>
                              </w:rPr>
                            </w:pPr>
                            <w:r>
                              <w:rPr>
                                <w:sz w:val="20"/>
                                <w:szCs w:val="20"/>
                              </w:rPr>
                              <w:t>V EDICI P</w:t>
                            </w:r>
                          </w:p>
                        </w:txbxContent>
                      </wps:txbx>
                      <wps:bodyPr lIns="0" tIns="0" rIns="0" bIns="0">
                        <a:spAutoFit/>
                      </wps:bodyPr>
                    </wps:wsp>
                  </a:graphicData>
                </a:graphic>
              </wp:anchor>
            </w:drawing>
          </mc:Choice>
          <mc:Fallback>
            <w:pict>
              <v:shape id="_x0000_s1879" type="#_x0000_t202" style="position:absolute;margin-left:297.94999999999999pt;margin-top:122.40000000000001pt;width:96.5pt;height:14.9pt;z-index:-125828523;mso-wrap-distance-left:1.pt;mso-wrap-distance-top:13.pt;mso-wrap-distance-right:1.pt;mso-position-horizontal-relative:page" filled="f" stroked="f">
                <v:textbox style="mso-fit-shape-to-text:t" inset="0,0,0,0">
                  <w:txbxContent>
                    <w:p>
                      <w:pPr>
                        <w:pStyle w:val="Style150"/>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V EDICI P</w:t>
                      </w:r>
                    </w:p>
                  </w:txbxContent>
                </v:textbox>
                <w10:wrap type="square" side="right" anchorx="page"/>
              </v:shape>
            </w:pict>
          </mc:Fallback>
        </mc:AlternateContent>
      </w:r>
    </w:p>
    <w:p w:rsidR="00500724" w:rsidRDefault="00F30FB8">
      <w:pPr>
        <w:pStyle w:val="Zkladntext80"/>
        <w:pBdr>
          <w:top w:val="single" w:sz="0" w:space="0" w:color="000000"/>
          <w:left w:val="single" w:sz="0" w:space="0" w:color="000000"/>
          <w:bottom w:val="single" w:sz="0" w:space="0" w:color="000000"/>
          <w:right w:val="single" w:sz="0" w:space="0" w:color="000000"/>
        </w:pBdr>
        <w:shd w:val="clear" w:color="auto" w:fill="000000"/>
        <w:spacing w:after="180" w:line="240" w:lineRule="auto"/>
        <w:jc w:val="center"/>
        <w:rPr>
          <w:sz w:val="26"/>
          <w:szCs w:val="26"/>
        </w:rPr>
      </w:pPr>
      <w:r>
        <w:rPr>
          <w:color w:val="FFFFFF"/>
        </w:rPr>
        <w:t xml:space="preserve">ODBORNÍ </w:t>
      </w:r>
      <w:r>
        <w:rPr>
          <w:b w:val="0"/>
          <w:bCs w:val="0"/>
          <w:smallCaps/>
          <w:color w:val="FFFFFF"/>
          <w:sz w:val="26"/>
          <w:szCs w:val="26"/>
        </w:rPr>
        <w:t>lékaři</w:t>
      </w:r>
    </w:p>
    <w:p w:rsidR="00500724" w:rsidRDefault="00F30FB8">
      <w:pPr>
        <w:pStyle w:val="Nadpis110"/>
        <w:shd w:val="clear" w:color="auto" w:fill="auto"/>
        <w:spacing w:after="40" w:line="202" w:lineRule="auto"/>
        <w:jc w:val="both"/>
      </w:pPr>
      <w:bookmarkStart w:id="860" w:name="bookmark859"/>
      <w:r>
        <w:t>MUDr. ZDENKA NEDVĚDOVÁ-NEJEDLÁ</w:t>
      </w:r>
      <w:bookmarkEnd w:id="860"/>
    </w:p>
    <w:p w:rsidR="00500724" w:rsidRDefault="00F30FB8">
      <w:pPr>
        <w:pStyle w:val="Zkladntext1"/>
        <w:shd w:val="clear" w:color="auto" w:fill="auto"/>
        <w:spacing w:after="120"/>
        <w:ind w:firstLine="0"/>
        <w:rPr>
          <w:sz w:val="18"/>
          <w:szCs w:val="18"/>
        </w:rPr>
      </w:pPr>
      <w:r>
        <w:rPr>
          <w:sz w:val="18"/>
          <w:szCs w:val="18"/>
        </w:rPr>
        <w:t>odb. dětská lékařka. PODOLÍ, PANKRÁCKÁ 14 (stanice elektr. dráhy za Podol, sanatoriem). Ord. 9—10 a 2—4 hod. Tel. 441-77.</w:t>
      </w:r>
    </w:p>
    <w:p w:rsidR="00500724" w:rsidRDefault="00F30FB8">
      <w:pPr>
        <w:pStyle w:val="Nadpis110"/>
        <w:shd w:val="clear" w:color="auto" w:fill="auto"/>
        <w:jc w:val="both"/>
      </w:pPr>
      <w:bookmarkStart w:id="861" w:name="bookmark860"/>
      <w:r>
        <w:t>MUDr. ANTONÍN NEUMANN</w:t>
      </w:r>
      <w:bookmarkEnd w:id="861"/>
    </w:p>
    <w:p w:rsidR="00500724" w:rsidRDefault="00F30FB8">
      <w:pPr>
        <w:pStyle w:val="Zkladntext90"/>
        <w:shd w:val="clear" w:color="auto" w:fill="auto"/>
        <w:spacing w:after="40" w:line="276" w:lineRule="auto"/>
        <w:ind w:firstLine="1020"/>
      </w:pPr>
      <w:r>
        <w:t xml:space="preserve">odborný lékař nemocí pohlavních, kožních a kosmetiky PKAHA II., Na Zbořenci 24 — třetí dům od Karlova náměstí. </w:t>
      </w:r>
      <w:r>
        <w:t>Ordinuje celý den. V neděli a ve svátek dopoledne. Telefon 41.728.</w:t>
      </w:r>
    </w:p>
    <w:p w:rsidR="00500724" w:rsidRDefault="00F30FB8">
      <w:pPr>
        <w:pStyle w:val="Zkladntext1"/>
        <w:shd w:val="clear" w:color="auto" w:fill="auto"/>
        <w:spacing w:after="380"/>
        <w:ind w:firstLine="0"/>
        <w:rPr>
          <w:sz w:val="18"/>
          <w:szCs w:val="18"/>
        </w:rPr>
      </w:pPr>
      <w:r>
        <w:rPr>
          <w:sz w:val="18"/>
          <w:szCs w:val="18"/>
        </w:rPr>
        <w:t xml:space="preserve">Pro plastickou chirurgii </w:t>
      </w:r>
      <w:r>
        <w:rPr>
          <w:rFonts w:ascii="Arial" w:eastAsia="Arial" w:hAnsi="Arial" w:cs="Arial"/>
          <w:b/>
          <w:bCs/>
          <w:sz w:val="22"/>
          <w:szCs w:val="22"/>
        </w:rPr>
        <w:t xml:space="preserve">Dr. RUDOLF SLUNEČKO </w:t>
      </w:r>
      <w:r>
        <w:rPr>
          <w:sz w:val="18"/>
          <w:szCs w:val="18"/>
        </w:rPr>
        <w:t>ord. 3—4 hod. (a podle úmluvy). Telefon 393-79. PRAHA II., VODIČKOVA 15 (Hlávkův palác).</w:t>
      </w:r>
    </w:p>
    <w:p w:rsidR="00500724" w:rsidRDefault="00F30FB8">
      <w:pPr>
        <w:pStyle w:val="Jin0"/>
        <w:shd w:val="clear" w:color="auto" w:fill="auto"/>
        <w:spacing w:after="40"/>
        <w:ind w:left="1100" w:firstLine="0"/>
        <w:jc w:val="left"/>
        <w:rPr>
          <w:sz w:val="66"/>
          <w:szCs w:val="66"/>
        </w:rPr>
      </w:pPr>
      <w:r>
        <w:rPr>
          <w:rFonts w:ascii="Franklin Gothic Medium Cond" w:eastAsia="Franklin Gothic Medium Cond" w:hAnsi="Franklin Gothic Medium Cond" w:cs="Franklin Gothic Medium Cond"/>
          <w:b/>
          <w:bCs/>
          <w:sz w:val="66"/>
          <w:szCs w:val="66"/>
        </w:rPr>
        <w:t>4 knihy o umění</w:t>
      </w:r>
    </w:p>
    <w:p w:rsidR="00500724" w:rsidRDefault="00F30FB8">
      <w:pPr>
        <w:pStyle w:val="Zkladntext50"/>
        <w:shd w:val="clear" w:color="auto" w:fill="auto"/>
        <w:spacing w:after="100" w:line="288" w:lineRule="auto"/>
        <w:ind w:left="1100"/>
        <w:jc w:val="left"/>
      </w:pPr>
      <w:r>
        <w:t xml:space="preserve">které dosud nebyly na knižnímtrhu, za </w:t>
      </w:r>
      <w:r>
        <w:t>značně zlevněnou cenu</w:t>
      </w:r>
    </w:p>
    <w:p w:rsidR="00500724" w:rsidRDefault="00F30FB8">
      <w:pPr>
        <w:pStyle w:val="Zkladntext80"/>
        <w:numPr>
          <w:ilvl w:val="0"/>
          <w:numId w:val="110"/>
        </w:numPr>
        <w:shd w:val="clear" w:color="auto" w:fill="auto"/>
        <w:tabs>
          <w:tab w:val="left" w:pos="653"/>
        </w:tabs>
        <w:spacing w:after="80" w:line="240" w:lineRule="auto"/>
        <w:ind w:left="360"/>
        <w:jc w:val="both"/>
        <w:rPr>
          <w:sz w:val="24"/>
          <w:szCs w:val="24"/>
        </w:rPr>
      </w:pPr>
      <w:r>
        <w:rPr>
          <w:sz w:val="24"/>
          <w:szCs w:val="24"/>
        </w:rPr>
        <w:t>Umění a umělci na dvoře Rudolfa II.</w:t>
      </w:r>
    </w:p>
    <w:p w:rsidR="00500724" w:rsidRDefault="00F30FB8">
      <w:pPr>
        <w:pStyle w:val="Zkladntext40"/>
        <w:shd w:val="clear" w:color="auto" w:fill="auto"/>
        <w:tabs>
          <w:tab w:val="left" w:pos="4003"/>
          <w:tab w:val="left" w:pos="4546"/>
        </w:tabs>
        <w:spacing w:after="40" w:line="182" w:lineRule="auto"/>
        <w:ind w:left="360" w:right="280"/>
      </w:pPr>
      <w:r>
        <w:t>_ hlubotiskových reprodukcí obrazů a soch Jana z Cách, Jana Breughela st., Daniela Frosohela, Mat. Gundelacha, Josefa Heintze, Jana Hofmana, mistra lobkovických portrétů, Jiljí Sadelera, Roelanta Sa</w:t>
      </w:r>
      <w:r>
        <w:t xml:space="preserve">veryho. Jakoba Seiseneggera, Bartoloměje Sprangra. Adriana de </w:t>
      </w:r>
      <w:r>
        <w:rPr>
          <w:lang w:val="en-US" w:eastAsia="en-US" w:bidi="en-US"/>
        </w:rPr>
        <w:t xml:space="preserve">Vries </w:t>
      </w:r>
      <w:r>
        <w:t>a Benedikta Wurzelbauera s po</w:t>
      </w:r>
      <w:r>
        <w:softHyphen/>
        <w:t xml:space="preserve">pisem a s úvodem </w:t>
      </w:r>
      <w:r>
        <w:rPr>
          <w:lang w:val="en-US" w:eastAsia="en-US" w:bidi="en-US"/>
        </w:rPr>
        <w:t xml:space="preserve">prof. </w:t>
      </w:r>
      <w:r>
        <w:t>Dra K. Chytila.</w:t>
      </w:r>
      <w:r>
        <w:tab/>
        <w:t>" '</w:t>
      </w:r>
      <w:r>
        <w:tab/>
        <w:t>_</w:t>
      </w:r>
    </w:p>
    <w:p w:rsidR="00500724" w:rsidRDefault="00F30FB8">
      <w:pPr>
        <w:pStyle w:val="Zkladntext40"/>
        <w:shd w:val="clear" w:color="auto" w:fill="auto"/>
        <w:spacing w:after="40" w:line="182" w:lineRule="auto"/>
        <w:ind w:left="4060"/>
        <w:jc w:val="left"/>
      </w:pPr>
      <w:r>
        <w:t>brož. K 7.—.</w:t>
      </w:r>
    </w:p>
    <w:p w:rsidR="00500724" w:rsidRDefault="00F30FB8">
      <w:pPr>
        <w:pStyle w:val="Zkladntext80"/>
        <w:numPr>
          <w:ilvl w:val="0"/>
          <w:numId w:val="110"/>
        </w:numPr>
        <w:shd w:val="clear" w:color="auto" w:fill="auto"/>
        <w:tabs>
          <w:tab w:val="left" w:pos="653"/>
        </w:tabs>
        <w:spacing w:after="80" w:line="240" w:lineRule="auto"/>
        <w:ind w:left="360"/>
        <w:jc w:val="both"/>
        <w:rPr>
          <w:sz w:val="24"/>
          <w:szCs w:val="24"/>
        </w:rPr>
      </w:pPr>
      <w:r>
        <w:rPr>
          <w:sz w:val="24"/>
          <w:szCs w:val="24"/>
        </w:rPr>
        <w:t>Krajiny ze čtyř století</w:t>
      </w:r>
    </w:p>
    <w:p w:rsidR="00500724" w:rsidRDefault="00F30FB8">
      <w:pPr>
        <w:pStyle w:val="Zkladntext40"/>
        <w:shd w:val="clear" w:color="auto" w:fill="auto"/>
        <w:spacing w:after="40" w:line="182" w:lineRule="auto"/>
        <w:ind w:left="360" w:right="280" w:firstLine="240"/>
      </w:pPr>
      <w:r>
        <w:t xml:space="preserve">obraz z pražského soukromého majetku od Adriena Ise- branda, hornoněmeckého mistra, Pietra Breughela st.. Jana Breughela st., </w:t>
      </w:r>
      <w:r>
        <w:rPr>
          <w:lang w:val="en-US" w:eastAsia="en-US" w:bidi="en-US"/>
        </w:rPr>
        <w:t xml:space="preserve">J. </w:t>
      </w:r>
      <w:r>
        <w:t xml:space="preserve">Mompera, H. Balena, Jana van Goyen. Simona de Vliegera, van Neera, Davida Tenierse, R. Vriese. Fr. Mierise, Al. Magnasca, Chr. </w:t>
      </w:r>
      <w:r>
        <w:t xml:space="preserve">Branda, J. Constabla, Ant. Mánesa, Aug. Piepenhagena, Ch. Piepenhagenové, J. Navrátila, V, Kraupy. G. Courbeta </w:t>
      </w:r>
      <w:r>
        <w:rPr>
          <w:lang w:val="en-US" w:eastAsia="en-US" w:bidi="en-US"/>
        </w:rPr>
        <w:t xml:space="preserve">a </w:t>
      </w:r>
      <w:r>
        <w:t xml:space="preserve">V. Riedla. Reprodukováno hlubotiskem </w:t>
      </w:r>
      <w:r>
        <w:rPr>
          <w:rFonts w:ascii="Arial" w:eastAsia="Arial" w:hAnsi="Arial" w:cs="Arial"/>
          <w:sz w:val="40"/>
          <w:szCs w:val="40"/>
        </w:rPr>
        <w:t xml:space="preserve">a </w:t>
      </w:r>
      <w:r>
        <w:t>monto</w:t>
      </w:r>
      <w:r>
        <w:softHyphen/>
        <w:t>váno na přírodní papír. Úvod Dra II. Feigla. ' f '</w:t>
      </w:r>
    </w:p>
    <w:p w:rsidR="00500724" w:rsidRDefault="00F30FB8">
      <w:pPr>
        <w:pStyle w:val="Zkladntext40"/>
        <w:shd w:val="clear" w:color="auto" w:fill="auto"/>
        <w:spacing w:after="40" w:line="182" w:lineRule="auto"/>
        <w:ind w:left="2900" w:firstLine="20"/>
        <w:jc w:val="left"/>
      </w:pPr>
      <w:r>
        <w:t>v poloplátěné vazbě K 20.—.</w:t>
      </w:r>
    </w:p>
    <w:p w:rsidR="00500724" w:rsidRDefault="00F30FB8">
      <w:pPr>
        <w:pStyle w:val="Zkladntext80"/>
        <w:shd w:val="clear" w:color="auto" w:fill="auto"/>
        <w:spacing w:after="80" w:line="240" w:lineRule="auto"/>
        <w:ind w:left="360"/>
        <w:jc w:val="both"/>
        <w:rPr>
          <w:sz w:val="24"/>
          <w:szCs w:val="24"/>
        </w:rPr>
      </w:pPr>
      <w:r>
        <w:rPr>
          <w:sz w:val="24"/>
          <w:szCs w:val="24"/>
        </w:rPr>
        <w:t>e Podobizny ze čtyř</w:t>
      </w:r>
      <w:r>
        <w:rPr>
          <w:sz w:val="24"/>
          <w:szCs w:val="24"/>
        </w:rPr>
        <w:t xml:space="preserve"> století</w:t>
      </w:r>
    </w:p>
    <w:p w:rsidR="00500724" w:rsidRDefault="00F30FB8">
      <w:pPr>
        <w:pStyle w:val="Zkladntext40"/>
        <w:shd w:val="clear" w:color="auto" w:fill="auto"/>
        <w:tabs>
          <w:tab w:val="left" w:pos="3648"/>
        </w:tabs>
        <w:spacing w:after="40" w:line="180" w:lineRule="auto"/>
        <w:ind w:left="360" w:right="280" w:firstLine="240"/>
      </w:pPr>
      <w:r>
        <w:t>nejkrásnější portréty z pražského soukromého majetku, re</w:t>
      </w:r>
      <w:r>
        <w:softHyphen/>
        <w:t xml:space="preserve">produkované hlubotiskem a barevně. Autoři obrazů: flámský mistr, hornoněmecký mistr a francouzský mistr ze 16. stol. Moro Antonio, </w:t>
      </w:r>
      <w:r>
        <w:rPr>
          <w:lang w:val="en-US" w:eastAsia="en-US" w:bidi="en-US"/>
        </w:rPr>
        <w:t xml:space="preserve">Moroni, </w:t>
      </w:r>
      <w:r>
        <w:t>Robusti, Mierevelt, flámský mistr 17. sto</w:t>
      </w:r>
      <w:r>
        <w:softHyphen/>
        <w:t xml:space="preserve">letí, </w:t>
      </w:r>
      <w:r>
        <w:rPr>
          <w:lang w:val="en-US" w:eastAsia="en-US" w:bidi="en-US"/>
        </w:rPr>
        <w:t>Jor</w:t>
      </w:r>
      <w:r>
        <w:rPr>
          <w:lang w:val="en-US" w:eastAsia="en-US" w:bidi="en-US"/>
        </w:rPr>
        <w:t xml:space="preserve">daens, Reiner, </w:t>
      </w:r>
      <w:r>
        <w:t>Machek, Waldmilller, Navrátil, Amerling, Mánes Josef a Quido Purkyně. Jí vod Dra H. Feigla. Obrazy jsou montovány na přírodní papír.</w:t>
      </w:r>
      <w:r>
        <w:tab/>
        <w:t>•</w:t>
      </w:r>
    </w:p>
    <w:p w:rsidR="00500724" w:rsidRDefault="00F30FB8">
      <w:pPr>
        <w:pStyle w:val="Zkladntext40"/>
        <w:shd w:val="clear" w:color="auto" w:fill="auto"/>
        <w:spacing w:after="40" w:line="182" w:lineRule="auto"/>
        <w:ind w:left="2900" w:firstLine="20"/>
        <w:jc w:val="left"/>
      </w:pPr>
      <w:r>
        <w:t>V poloplátěné vazbě K 20.—.</w:t>
      </w:r>
    </w:p>
    <w:p w:rsidR="00500724" w:rsidRDefault="00F30FB8">
      <w:pPr>
        <w:pStyle w:val="Zkladntext80"/>
        <w:numPr>
          <w:ilvl w:val="0"/>
          <w:numId w:val="110"/>
        </w:numPr>
        <w:shd w:val="clear" w:color="auto" w:fill="auto"/>
        <w:tabs>
          <w:tab w:val="left" w:pos="653"/>
        </w:tabs>
        <w:spacing w:after="80" w:line="240" w:lineRule="auto"/>
        <w:ind w:left="360"/>
        <w:jc w:val="both"/>
        <w:rPr>
          <w:sz w:val="24"/>
          <w:szCs w:val="24"/>
        </w:rPr>
      </w:pPr>
      <w:r>
        <w:rPr>
          <w:sz w:val="24"/>
          <w:szCs w:val="24"/>
        </w:rPr>
        <w:t>O. Schneidrová: Podivíni</w:t>
      </w:r>
    </w:p>
    <w:p w:rsidR="00500724" w:rsidRDefault="00F30FB8">
      <w:pPr>
        <w:pStyle w:val="Zkladntext40"/>
        <w:shd w:val="clear" w:color="auto" w:fill="auto"/>
        <w:spacing w:after="40" w:line="168" w:lineRule="auto"/>
        <w:ind w:left="360" w:right="280"/>
      </w:pPr>
      <w:r>
        <w:t xml:space="preserve">Album šesti barevných litografií, grafických fantasii s titulním listem, v obálce z přírodního kartonu. </w:t>
      </w:r>
      <w:r>
        <w:rPr>
          <w:lang w:val="en-US" w:eastAsia="en-US" w:bidi="en-US"/>
        </w:rPr>
        <w:t xml:space="preserve">p— </w:t>
      </w:r>
      <w:r>
        <w:t>'</w:t>
      </w:r>
    </w:p>
    <w:p w:rsidR="00500724" w:rsidRDefault="00F30FB8">
      <w:pPr>
        <w:pStyle w:val="Zkladntext40"/>
        <w:shd w:val="clear" w:color="auto" w:fill="auto"/>
        <w:spacing w:after="0" w:line="288" w:lineRule="auto"/>
        <w:ind w:left="4060"/>
        <w:jc w:val="left"/>
      </w:pPr>
      <w:r>
        <w:t>Cena K 5.—.</w:t>
      </w:r>
    </w:p>
    <w:p w:rsidR="00500724" w:rsidRDefault="00F30FB8">
      <w:pPr>
        <w:pStyle w:val="Zkladntext50"/>
        <w:shd w:val="clear" w:color="auto" w:fill="auto"/>
        <w:spacing w:after="40" w:line="254" w:lineRule="auto"/>
        <w:ind w:left="0" w:right="60"/>
        <w:jc w:val="center"/>
      </w:pPr>
      <w:r>
        <w:t>Cena všech čtyř publikací v jedné zásilce i s poštovným</w:t>
      </w:r>
      <w:r>
        <w:br/>
      </w:r>
      <w:r>
        <w:rPr>
          <w:b/>
          <w:bCs/>
        </w:rPr>
        <w:t xml:space="preserve">K 55.—, </w:t>
      </w:r>
      <w:r>
        <w:t xml:space="preserve">bez poštovného </w:t>
      </w:r>
      <w:r>
        <w:rPr>
          <w:b/>
          <w:bCs/>
        </w:rPr>
        <w:t>K 52.—</w:t>
      </w:r>
    </w:p>
    <w:p w:rsidR="00500724" w:rsidRDefault="00F30FB8">
      <w:pPr>
        <w:pStyle w:val="Jin0"/>
        <w:shd w:val="clear" w:color="auto" w:fill="auto"/>
        <w:ind w:left="360" w:firstLine="0"/>
        <w:rPr>
          <w:sz w:val="30"/>
          <w:szCs w:val="30"/>
        </w:rPr>
      </w:pPr>
      <w:r>
        <w:rPr>
          <w:rFonts w:ascii="Arial" w:eastAsia="Arial" w:hAnsi="Arial" w:cs="Arial"/>
          <w:b/>
          <w:bCs/>
          <w:w w:val="70"/>
          <w:sz w:val="30"/>
          <w:szCs w:val="30"/>
        </w:rPr>
        <w:t>Topičův antikvariát • Praha Národní 11</w:t>
      </w:r>
    </w:p>
    <w:p w:rsidR="00500724" w:rsidRDefault="00F30FB8">
      <w:pPr>
        <w:pStyle w:val="Zkladntext1"/>
        <w:shd w:val="clear" w:color="auto" w:fill="auto"/>
        <w:spacing w:line="283" w:lineRule="auto"/>
        <w:ind w:right="300" w:firstLine="0"/>
      </w:pPr>
      <w:r>
        <w:t xml:space="preserve">Pilíře </w:t>
      </w:r>
      <w:r>
        <w:t>naší básnické tradice představují tyto vzorně vydané soubory našich největších klasiků</w:t>
      </w:r>
    </w:p>
    <w:p w:rsidR="00500724" w:rsidRDefault="00F30FB8">
      <w:pPr>
        <w:pStyle w:val="Zkladntext80"/>
        <w:shd w:val="clear" w:color="auto" w:fill="auto"/>
        <w:spacing w:after="60" w:line="269" w:lineRule="auto"/>
        <w:jc w:val="both"/>
        <w:rPr>
          <w:sz w:val="20"/>
          <w:szCs w:val="20"/>
        </w:rPr>
      </w:pPr>
      <w:r>
        <w:rPr>
          <w:sz w:val="20"/>
          <w:szCs w:val="20"/>
        </w:rPr>
        <w:t>ANTHEONU</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ind w:left="300" w:firstLine="20"/>
      </w:pPr>
      <w:r>
        <w:t>František Gellner: BÁSNĚ</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233" w:lineRule="auto"/>
        <w:ind w:left="820" w:firstLine="1720"/>
        <w:jc w:val="left"/>
      </w:pPr>
      <w:r>
        <w:t>Brož. 45 K, váz. 55 K POVÍDKY A SATIRY</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214" w:lineRule="auto"/>
        <w:ind w:left="820" w:firstLine="1720"/>
        <w:jc w:val="left"/>
      </w:pPr>
      <w:r>
        <w:t>Brož. 45 K, váz. 55 K PŘÍSTAV MANŽELSTVÍ — POTULNÝ NÁROD — FEUILLETONY</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194" w:lineRule="auto"/>
        <w:ind w:left="820" w:firstLine="1720"/>
        <w:jc w:val="left"/>
      </w:pPr>
      <w:r>
        <w:t>Brož. 45 K, váz. 55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182" w:lineRule="auto"/>
        <w:ind w:left="300" w:firstLine="20"/>
      </w:pPr>
      <w:r>
        <w:t>Vítězslav Hálek: BÁSNĚ</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2476"/>
        </w:tabs>
        <w:spacing w:line="190" w:lineRule="auto"/>
        <w:ind w:left="820" w:firstLine="40"/>
      </w:pPr>
      <w:r>
        <w:t>2 svazky</w:t>
      </w:r>
      <w:r>
        <w:tab/>
        <w:t>Brož. 35 K, váz. 50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3757"/>
        </w:tabs>
        <w:spacing w:line="214" w:lineRule="auto"/>
        <w:ind w:left="820" w:firstLine="40"/>
      </w:pPr>
      <w:r>
        <w:t>CESTOPISY</w:t>
      </w:r>
      <w:r>
        <w:tab/>
        <w:t>12.50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3757"/>
        </w:tabs>
        <w:spacing w:line="202" w:lineRule="auto"/>
        <w:ind w:left="820" w:firstLine="40"/>
        <w:jc w:val="left"/>
      </w:pPr>
      <w:r>
        <w:t>ČLÁNKY LITERÁRNÍ A VÝBOR Z FEUILLETONÚ</w:t>
      </w:r>
      <w:r>
        <w:tab/>
        <w:t>12.50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ind w:left="820" w:right="300" w:firstLine="40"/>
      </w:pPr>
      <w:r>
        <w:t xml:space="preserve">DRAMATA 2 díly Brož. 25 K, váz. 35 K POVÍDKY 4 svazky Brož. 50 </w:t>
      </w:r>
      <w:r>
        <w:rPr>
          <w:sz w:val="20"/>
          <w:szCs w:val="20"/>
        </w:rPr>
        <w:t xml:space="preserve">K, </w:t>
      </w:r>
      <w:r>
        <w:t>váz. 70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672"/>
        </w:tabs>
        <w:spacing w:line="187" w:lineRule="auto"/>
        <w:ind w:left="300" w:firstLine="20"/>
      </w:pPr>
      <w:r>
        <w:t>K.</w:t>
      </w:r>
      <w:r>
        <w:tab/>
        <w:t>H. Mácha: DÍLO</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3522"/>
        </w:tabs>
        <w:spacing w:line="187" w:lineRule="auto"/>
        <w:ind w:left="820" w:right="300" w:firstLine="40"/>
      </w:pPr>
      <w:r>
        <w:t xml:space="preserve">Jubilejní svazek (Máj, básně, dramatické </w:t>
      </w:r>
      <w:r>
        <w:t>zlomky. Prosa. Deníky, zápisníky, korespon</w:t>
      </w:r>
      <w:r>
        <w:softHyphen/>
        <w:t>dence)</w:t>
      </w:r>
      <w:r>
        <w:tab/>
        <w:t>Váz. 50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ind w:left="300" w:firstLine="20"/>
      </w:pPr>
      <w:r>
        <w:t>Božena Němcová: BABIČKA</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209" w:lineRule="auto"/>
        <w:ind w:left="820" w:firstLine="1300"/>
        <w:jc w:val="left"/>
      </w:pPr>
      <w:r>
        <w:t xml:space="preserve">Brož. 12.50 K, váz. 22.50 K </w:t>
      </w:r>
      <w:r>
        <w:rPr>
          <w:smallCaps/>
          <w:sz w:val="22"/>
          <w:szCs w:val="22"/>
        </w:rPr>
        <w:t xml:space="preserve">České národní báchorky </w:t>
      </w:r>
      <w:r>
        <w:t>A POVÍDKY Brož. 37.50 K, váz. 57.50 K KORESPONDENCE</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228" w:lineRule="auto"/>
        <w:ind w:left="820" w:right="300" w:firstLine="1300"/>
      </w:pPr>
      <w:r>
        <w:t>Brož. 47.50 K, váz. 57.50 K POHORSKÁ VESNICE</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spacing w:line="214" w:lineRule="auto"/>
        <w:ind w:left="820" w:right="300" w:firstLine="1300"/>
      </w:pPr>
      <w:r>
        <w:t xml:space="preserve">Brož. 12.50 K, váz. </w:t>
      </w:r>
      <w:r>
        <w:t>22.50 K POVÍDKY A BÁSNĚ</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2476"/>
        </w:tabs>
        <w:spacing w:line="214" w:lineRule="auto"/>
        <w:ind w:left="820" w:firstLine="1720"/>
        <w:jc w:val="left"/>
      </w:pPr>
      <w:r>
        <w:t>Brož. 35 K, váz. 45 K SLOVENSKÉ NÁRODNÍ POHÁDKY A POVĚSTI</w:t>
      </w:r>
      <w:r>
        <w:tab/>
        <w:t>Brož. 35 K, váz. 45 K</w:t>
      </w:r>
    </w:p>
    <w:p w:rsidR="00500724" w:rsidRDefault="00F30FB8">
      <w:pPr>
        <w:pStyle w:val="Zkladntext1"/>
        <w:pBdr>
          <w:top w:val="single" w:sz="4" w:space="0" w:color="auto"/>
          <w:left w:val="single" w:sz="4" w:space="0" w:color="auto"/>
          <w:bottom w:val="single" w:sz="4" w:space="0" w:color="auto"/>
          <w:right w:val="single" w:sz="4" w:space="0" w:color="auto"/>
        </w:pBdr>
        <w:shd w:val="clear" w:color="auto" w:fill="auto"/>
        <w:tabs>
          <w:tab w:val="left" w:pos="2476"/>
        </w:tabs>
        <w:spacing w:after="120" w:line="214" w:lineRule="auto"/>
        <w:ind w:left="300" w:firstLine="20"/>
      </w:pPr>
      <w:r>
        <w:t>Václav Šolc: DÍLO</w:t>
      </w:r>
      <w:r>
        <w:tab/>
        <w:t>Brož. 30 K, váz. 40 K</w:t>
      </w:r>
    </w:p>
    <w:p w:rsidR="00500724" w:rsidRDefault="00F30FB8">
      <w:pPr>
        <w:pStyle w:val="Zkladntext40"/>
        <w:pBdr>
          <w:top w:val="single" w:sz="4" w:space="0" w:color="auto"/>
          <w:left w:val="single" w:sz="4" w:space="0" w:color="auto"/>
          <w:bottom w:val="single" w:sz="4" w:space="0" w:color="auto"/>
          <w:right w:val="single" w:sz="4" w:space="0" w:color="auto"/>
        </w:pBdr>
        <w:shd w:val="clear" w:color="auto" w:fill="auto"/>
        <w:tabs>
          <w:tab w:val="left" w:pos="2110"/>
        </w:tabs>
        <w:spacing w:after="0" w:line="240" w:lineRule="auto"/>
        <w:ind w:left="300" w:firstLine="20"/>
        <w:rPr>
          <w:sz w:val="14"/>
          <w:szCs w:val="14"/>
        </w:rPr>
      </w:pPr>
      <w:r>
        <w:rPr>
          <w:b/>
          <w:bCs/>
          <w:sz w:val="14"/>
          <w:szCs w:val="14"/>
        </w:rPr>
        <w:t>(I knihkupců</w:t>
      </w:r>
      <w:r>
        <w:rPr>
          <w:b/>
          <w:bCs/>
          <w:sz w:val="14"/>
          <w:szCs w:val="14"/>
        </w:rPr>
        <w:tab/>
      </w:r>
      <w:r>
        <w:rPr>
          <w:sz w:val="18"/>
          <w:szCs w:val="18"/>
        </w:rPr>
        <w:t xml:space="preserve">BOFOVý </w:t>
      </w:r>
      <w:r>
        <w:rPr>
          <w:b/>
          <w:bCs/>
          <w:sz w:val="14"/>
          <w:szCs w:val="14"/>
          <w:vertAlign w:val="superscript"/>
        </w:rPr>
        <w:t>U kn,hku</w:t>
      </w:r>
      <w:r>
        <w:rPr>
          <w:b/>
          <w:bCs/>
          <w:sz w:val="14"/>
          <w:szCs w:val="14"/>
        </w:rPr>
        <w:t>P</w:t>
      </w:r>
      <w:r>
        <w:rPr>
          <w:b/>
          <w:bCs/>
          <w:sz w:val="14"/>
          <w:szCs w:val="14"/>
          <w:vertAlign w:val="superscript"/>
        </w:rPr>
        <w:t>&lt;;0</w:t>
      </w:r>
    </w:p>
    <w:p w:rsidR="00500724" w:rsidRDefault="00F30FB8">
      <w:pPr>
        <w:pStyle w:val="Jin0"/>
        <w:pBdr>
          <w:top w:val="single" w:sz="4" w:space="0" w:color="auto"/>
          <w:left w:val="single" w:sz="4" w:space="0" w:color="auto"/>
          <w:bottom w:val="single" w:sz="4" w:space="0" w:color="auto"/>
          <w:right w:val="single" w:sz="4" w:space="0" w:color="auto"/>
        </w:pBdr>
        <w:shd w:val="clear" w:color="auto" w:fill="auto"/>
        <w:spacing w:after="480" w:line="214" w:lineRule="auto"/>
        <w:ind w:left="300" w:firstLine="20"/>
      </w:pPr>
      <w:r>
        <w:rPr>
          <w:rFonts w:ascii="Arial" w:eastAsia="Arial" w:hAnsi="Arial" w:cs="Arial"/>
          <w:b/>
          <w:bCs/>
          <w:w w:val="80"/>
        </w:rPr>
        <w:t>Praha I, Národni iř. - Bratislava, Dunajská ul.</w:t>
      </w:r>
    </w:p>
    <w:p w:rsidR="00500724" w:rsidRDefault="00F30FB8">
      <w:pPr>
        <w:pStyle w:val="Nadpis110"/>
        <w:pBdr>
          <w:top w:val="single" w:sz="0" w:space="0" w:color="000000"/>
          <w:left w:val="single" w:sz="0" w:space="0" w:color="000000"/>
          <w:bottom w:val="single" w:sz="0" w:space="0" w:color="000000"/>
          <w:right w:val="single" w:sz="0" w:space="0" w:color="000000"/>
        </w:pBdr>
        <w:shd w:val="clear" w:color="auto" w:fill="000000"/>
        <w:spacing w:after="300"/>
        <w:jc w:val="center"/>
      </w:pPr>
      <w:bookmarkStart w:id="862" w:name="bookmark861"/>
      <w:r>
        <w:rPr>
          <w:color w:val="FFFFFF"/>
        </w:rPr>
        <w:t>VAS VKUS I NÁROKY USPOKOJÍ</w:t>
      </w:r>
      <w:bookmarkEnd w:id="862"/>
    </w:p>
    <w:p w:rsidR="00500724" w:rsidRDefault="00F30FB8">
      <w:pPr>
        <w:pStyle w:val="Zkladntext90"/>
        <w:shd w:val="clear" w:color="auto" w:fill="auto"/>
        <w:spacing w:line="240" w:lineRule="auto"/>
        <w:ind w:firstLine="0"/>
        <w:jc w:val="center"/>
      </w:pPr>
      <w:r>
        <w:t>OBUV</w:t>
      </w:r>
      <w:r>
        <w:t xml:space="preserve"> PRO VYŠŠÍ NÁROKY</w:t>
      </w:r>
    </w:p>
    <w:p w:rsidR="00500724" w:rsidRDefault="00F30FB8">
      <w:pPr>
        <w:pStyle w:val="Jin0"/>
        <w:shd w:val="clear" w:color="auto" w:fill="auto"/>
        <w:spacing w:line="206" w:lineRule="auto"/>
        <w:ind w:firstLine="0"/>
        <w:jc w:val="center"/>
        <w:rPr>
          <w:sz w:val="30"/>
          <w:szCs w:val="30"/>
        </w:rPr>
      </w:pPr>
      <w:r>
        <w:rPr>
          <w:rFonts w:ascii="Arial" w:eastAsia="Arial" w:hAnsi="Arial" w:cs="Arial"/>
          <w:b/>
          <w:bCs/>
          <w:sz w:val="30"/>
          <w:szCs w:val="30"/>
          <w:lang w:val="en-US" w:eastAsia="en-US" w:bidi="en-US"/>
        </w:rPr>
        <w:t xml:space="preserve">FERRY </w:t>
      </w:r>
      <w:r>
        <w:rPr>
          <w:rFonts w:ascii="Arial" w:eastAsia="Arial" w:hAnsi="Arial" w:cs="Arial"/>
          <w:b/>
          <w:bCs/>
          <w:sz w:val="30"/>
          <w:szCs w:val="30"/>
        </w:rPr>
        <w:t>GRAUMANN</w:t>
      </w:r>
    </w:p>
    <w:p w:rsidR="00500724" w:rsidRDefault="00F30FB8">
      <w:pPr>
        <w:pStyle w:val="Zkladntext1"/>
        <w:shd w:val="clear" w:color="auto" w:fill="auto"/>
        <w:tabs>
          <w:tab w:val="left" w:pos="3757"/>
        </w:tabs>
        <w:spacing w:line="226" w:lineRule="auto"/>
        <w:ind w:firstLine="0"/>
        <w:rPr>
          <w:sz w:val="18"/>
          <w:szCs w:val="18"/>
        </w:rPr>
        <w:sectPr w:rsidR="00500724">
          <w:footnotePr>
            <w:numFmt w:val="chicago"/>
            <w:numRestart w:val="eachPage"/>
          </w:footnotePr>
          <w:pgSz w:w="11909" w:h="16834"/>
          <w:pgMar w:top="862" w:right="1428" w:bottom="504" w:left="55" w:header="0" w:footer="3" w:gutter="0"/>
          <w:cols w:num="2" w:sep="1" w:space="720" w:equalWidth="0">
            <w:col w:w="5275" w:space="384"/>
            <w:col w:w="4766"/>
          </w:cols>
          <w:noEndnote/>
          <w:docGrid w:linePitch="360"/>
        </w:sectPr>
      </w:pPr>
      <w:r>
        <w:t>PRAHA I., PŘÍKOPY, schodiště A.</w:t>
      </w:r>
      <w:r>
        <w:tab/>
      </w:r>
      <w:r>
        <w:rPr>
          <w:sz w:val="18"/>
          <w:szCs w:val="18"/>
        </w:rPr>
        <w:t>Tel. 315-28.</w:t>
      </w:r>
    </w:p>
    <w:p w:rsidR="00500724" w:rsidRDefault="00500724">
      <w:pPr>
        <w:spacing w:before="102" w:after="102" w:line="240" w:lineRule="exact"/>
        <w:rPr>
          <w:sz w:val="19"/>
          <w:szCs w:val="19"/>
        </w:rPr>
      </w:pPr>
    </w:p>
    <w:p w:rsidR="00500724" w:rsidRDefault="00500724">
      <w:pPr>
        <w:spacing w:line="14" w:lineRule="exact"/>
        <w:sectPr w:rsidR="00500724">
          <w:footnotePr>
            <w:numFmt w:val="chicago"/>
            <w:numRestart w:val="eachPage"/>
          </w:footnotePr>
          <w:type w:val="continuous"/>
          <w:pgSz w:w="11909" w:h="16834"/>
          <w:pgMar w:top="862" w:right="0" w:bottom="504" w:left="0" w:header="0" w:footer="3" w:gutter="0"/>
          <w:cols w:space="720"/>
          <w:noEndnote/>
          <w:docGrid w:linePitch="360"/>
        </w:sectPr>
      </w:pPr>
    </w:p>
    <w:p w:rsidR="00500724" w:rsidRDefault="00F30FB8">
      <w:pPr>
        <w:spacing w:line="14" w:lineRule="exact"/>
      </w:pPr>
      <w:r>
        <w:rPr>
          <w:noProof/>
        </w:rPr>
        <mc:AlternateContent>
          <mc:Choice Requires="wps">
            <w:drawing>
              <wp:anchor distT="953770" distB="0" distL="255270" distR="215900" simplePos="0" relativeHeight="125830232" behindDoc="0" locked="0" layoutInCell="1" allowOverlap="1">
                <wp:simplePos x="0" y="0"/>
                <wp:positionH relativeFrom="page">
                  <wp:posOffset>105410</wp:posOffset>
                </wp:positionH>
                <wp:positionV relativeFrom="paragraph">
                  <wp:posOffset>1847215</wp:posOffset>
                </wp:positionV>
                <wp:extent cx="2767330" cy="320040"/>
                <wp:effectExtent l="0" t="0" r="0" b="0"/>
                <wp:wrapSquare wrapText="right"/>
                <wp:docPr id="855" name="Shape 855"/>
                <wp:cNvGraphicFramePr/>
                <a:graphic xmlns:a="http://schemas.openxmlformats.org/drawingml/2006/main">
                  <a:graphicData uri="http://schemas.microsoft.com/office/word/2010/wordprocessingShape">
                    <wps:wsp>
                      <wps:cNvSpPr txBox="1"/>
                      <wps:spPr>
                        <a:xfrm>
                          <a:off x="0" y="0"/>
                          <a:ext cx="2767330" cy="320040"/>
                        </a:xfrm>
                        <a:prstGeom prst="rect">
                          <a:avLst/>
                        </a:prstGeom>
                        <a:noFill/>
                      </wps:spPr>
                      <wps:txbx>
                        <w:txbxContent>
                          <w:p w:rsidR="00500724" w:rsidRDefault="00F30FB8">
                            <w:pPr>
                              <w:pStyle w:val="Jin0"/>
                              <w:shd w:val="clear" w:color="auto" w:fill="auto"/>
                              <w:ind w:firstLine="0"/>
                              <w:jc w:val="left"/>
                              <w:rPr>
                                <w:sz w:val="40"/>
                                <w:szCs w:val="40"/>
                              </w:rPr>
                            </w:pPr>
                            <w:r>
                              <w:rPr>
                                <w:rFonts w:ascii="Arial" w:eastAsia="Arial" w:hAnsi="Arial" w:cs="Arial"/>
                                <w:sz w:val="40"/>
                                <w:szCs w:val="40"/>
                                <w:u w:val="single"/>
                              </w:rPr>
                              <w:t>řídí Ferd. Peroutka</w:t>
                            </w:r>
                          </w:p>
                        </w:txbxContent>
                      </wps:txbx>
                      <wps:bodyPr lIns="0" tIns="0" rIns="0" bIns="0">
                        <a:spAutoFit/>
                      </wps:bodyPr>
                    </wps:wsp>
                  </a:graphicData>
                </a:graphic>
              </wp:anchor>
            </w:drawing>
          </mc:Choice>
          <mc:Fallback>
            <w:pict>
              <v:shape id="_x0000_s1881" type="#_x0000_t202" style="position:absolute;margin-left:8.3000000000000007pt;margin-top:145.44999999999999pt;width:217.90000000000001pt;height:25.199999999999999pt;z-index:-125828521;mso-wrap-distance-left:20.100000000000001pt;mso-wrap-distance-top:75.099999999999994pt;mso-wrap-distance-right:17.pt;mso-position-horizontal-relative:page"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000000"/>
                          <w:spacing w:val="0"/>
                          <w:w w:val="100"/>
                          <w:position w:val="0"/>
                          <w:sz w:val="40"/>
                          <w:szCs w:val="40"/>
                          <w:u w:val="single"/>
                          <w:shd w:val="clear" w:color="auto" w:fill="auto"/>
                          <w:lang w:val="cs-CZ" w:eastAsia="cs-CZ" w:bidi="cs-CZ"/>
                        </w:rPr>
                        <w:t>řídí Ferd. Peroutka</w:t>
                      </w:r>
                    </w:p>
                  </w:txbxContent>
                </v:textbox>
                <w10:wrap type="square" side="right" anchorx="page"/>
              </v:shape>
            </w:pict>
          </mc:Fallback>
        </mc:AlternateContent>
      </w:r>
    </w:p>
    <w:p w:rsidR="00500724" w:rsidRDefault="00F30FB8">
      <w:pPr>
        <w:pStyle w:val="Zkladntext1"/>
        <w:shd w:val="clear" w:color="auto" w:fill="auto"/>
        <w:tabs>
          <w:tab w:val="left" w:leader="underscore" w:pos="10589"/>
        </w:tabs>
        <w:spacing w:line="346" w:lineRule="auto"/>
        <w:ind w:left="460" w:hanging="460"/>
        <w:jc w:val="left"/>
        <w:rPr>
          <w:sz w:val="18"/>
          <w:szCs w:val="18"/>
        </w:rPr>
      </w:pPr>
      <w:r>
        <w:rPr>
          <w:b/>
          <w:bCs/>
          <w:sz w:val="18"/>
          <w:szCs w:val="18"/>
        </w:rPr>
        <w:t xml:space="preserve">OBSAH PŘÍTOMNOSTI </w:t>
      </w:r>
      <w:r>
        <w:rPr>
          <w:b/>
          <w:bCs/>
          <w:i/>
          <w:iCs/>
          <w:sz w:val="18"/>
          <w:szCs w:val="18"/>
        </w:rPr>
        <w:t>6.</w:t>
      </w:r>
      <w:r>
        <w:rPr>
          <w:b/>
          <w:bCs/>
          <w:sz w:val="18"/>
          <w:szCs w:val="18"/>
        </w:rPr>
        <w:t xml:space="preserve">34: Pavel Hofman: Luk a šípy Španělska. — Jan Drda: Jak se dělá </w:t>
      </w:r>
      <w:r>
        <w:rPr>
          <w:b/>
          <w:bCs/>
          <w:sz w:val="18"/>
          <w:szCs w:val="18"/>
        </w:rPr>
        <w:t>aféra. — V. Kluzák: Sklizeno. — Mi</w:t>
      </w:r>
      <w:r>
        <w:rPr>
          <w:b/>
          <w:bCs/>
          <w:sz w:val="18"/>
          <w:szCs w:val="18"/>
        </w:rPr>
        <w:softHyphen/>
        <w:t xml:space="preserve">roslav Míěko; Je české umění? — Naše lázně. — V. Strnad: Bílá válka. — Týdenní přehled. — Potíže s moderním </w:t>
      </w:r>
      <w:r>
        <w:rPr>
          <w:b/>
          <w:bCs/>
          <w:sz w:val="18"/>
          <w:szCs w:val="18"/>
          <w:u w:val="single"/>
        </w:rPr>
        <w:t>uměním</w:t>
      </w:r>
      <w:r>
        <w:rPr>
          <w:b/>
          <w:bCs/>
          <w:sz w:val="18"/>
          <w:szCs w:val="18"/>
        </w:rPr>
        <w:tab/>
      </w:r>
    </w:p>
    <w:p w:rsidR="00500724" w:rsidRDefault="00F30FB8">
      <w:pPr>
        <w:pStyle w:val="Zkladntext1"/>
        <w:shd w:val="clear" w:color="auto" w:fill="auto"/>
        <w:spacing w:after="520" w:line="346" w:lineRule="auto"/>
        <w:ind w:left="460" w:firstLine="0"/>
        <w:jc w:val="left"/>
        <w:rPr>
          <w:sz w:val="18"/>
          <w:szCs w:val="18"/>
        </w:rPr>
      </w:pPr>
      <w:r>
        <w:rPr>
          <w:b/>
          <w:bCs/>
          <w:sz w:val="18"/>
          <w:szCs w:val="18"/>
        </w:rPr>
        <w:t>Generálové u kulatého stolu v Kremlu. — Konec protičeských štvanic na Slovensku. — Mnohoobročníci.</w:t>
      </w:r>
    </w:p>
    <w:p w:rsidR="00500724" w:rsidRDefault="00F30FB8">
      <w:pPr>
        <w:pStyle w:val="Nadpis90"/>
        <w:keepNext/>
        <w:keepLines/>
        <w:shd w:val="clear" w:color="auto" w:fill="auto"/>
        <w:spacing w:after="140"/>
      </w:pPr>
      <w:bookmarkStart w:id="863" w:name="bookmark862"/>
      <w:r>
        <w:rPr>
          <w:u w:val="single"/>
        </w:rPr>
        <w:t>nezávi</w:t>
      </w:r>
      <w:r>
        <w:rPr>
          <w:u w:val="single"/>
        </w:rPr>
        <w:t>slý týdeník</w:t>
      </w:r>
      <w:bookmarkEnd w:id="863"/>
    </w:p>
    <w:p w:rsidR="00500724" w:rsidRDefault="00F30FB8">
      <w:pPr>
        <w:pStyle w:val="Zkladntext1"/>
        <w:shd w:val="clear" w:color="auto" w:fill="auto"/>
        <w:spacing w:line="276" w:lineRule="auto"/>
        <w:ind w:firstLine="0"/>
        <w:jc w:val="center"/>
      </w:pPr>
      <w:r>
        <w:t>vychází ve středu v nakladatelství</w:t>
      </w:r>
      <w:r>
        <w:br/>
        <w:t>FR. BOROVÝ V PRAZE I., NÁRODNÍ TftlDA 11.</w:t>
      </w:r>
    </w:p>
    <w:p w:rsidR="00500724" w:rsidRDefault="00F30FB8">
      <w:pPr>
        <w:pStyle w:val="Zkladntext40"/>
        <w:shd w:val="clear" w:color="auto" w:fill="auto"/>
        <w:spacing w:after="0" w:line="240" w:lineRule="auto"/>
      </w:pPr>
      <w:r>
        <w:t xml:space="preserve">Telefon číslo 390-51 až 54 </w:t>
      </w:r>
      <w:r>
        <w:rPr>
          <w:sz w:val="19"/>
          <w:szCs w:val="19"/>
        </w:rPr>
        <w:t xml:space="preserve">e </w:t>
      </w:r>
      <w:r>
        <w:t xml:space="preserve">Účet poštovní spořitelny číslo 35.622 • Nevyžádané rukopisy se nevracejí • Předplatné na rók K 100.—. na půl roku K 50.—. na čtvrt roku K 25.—, jednotlivá čisla K 2.—. </w:t>
      </w:r>
      <w:r>
        <w:rPr>
          <w:lang w:val="en-US" w:eastAsia="en-US" w:bidi="en-US"/>
        </w:rPr>
        <w:t xml:space="preserve">Pour </w:t>
      </w:r>
      <w:r>
        <w:t xml:space="preserve">la France et sas </w:t>
      </w:r>
      <w:r>
        <w:rPr>
          <w:lang w:val="en-US" w:eastAsia="en-US" w:bidi="en-US"/>
        </w:rPr>
        <w:t xml:space="preserve">Colonies </w:t>
      </w:r>
      <w:r>
        <w:t>Frs 2.50. • Dohléd. pošt. úřad Praha 25. • Odpovědný reda</w:t>
      </w:r>
      <w:r>
        <w:t>ktor Zdeněk Richter.</w:t>
      </w:r>
    </w:p>
    <w:p w:rsidR="00500724" w:rsidRDefault="00F30FB8">
      <w:pPr>
        <w:pStyle w:val="Zkladntext1"/>
        <w:shd w:val="clear" w:color="auto" w:fill="auto"/>
        <w:spacing w:after="80" w:line="204" w:lineRule="auto"/>
        <w:ind w:firstLine="0"/>
        <w:jc w:val="center"/>
        <w:sectPr w:rsidR="00500724">
          <w:footnotePr>
            <w:numFmt w:val="chicago"/>
            <w:numRestart w:val="eachPage"/>
          </w:footnotePr>
          <w:type w:val="continuous"/>
          <w:pgSz w:w="11909" w:h="16834"/>
          <w:pgMar w:top="862" w:right="1140" w:bottom="504" w:left="55" w:header="0" w:footer="3" w:gutter="0"/>
          <w:cols w:space="720"/>
          <w:noEndnote/>
          <w:docGrid w:linePitch="360"/>
        </w:sectPr>
      </w:pPr>
      <w:r>
        <w:t>TISKEM ORBIS, PRAHA XH., FOCHOVA 62.</w:t>
      </w:r>
    </w:p>
    <w:p w:rsidR="00500724" w:rsidRDefault="00F30FB8">
      <w:pPr>
        <w:pStyle w:val="Nadpis60"/>
        <w:keepNext/>
        <w:keepLines/>
        <w:pBdr>
          <w:bottom w:val="single" w:sz="4" w:space="0" w:color="auto"/>
        </w:pBdr>
        <w:shd w:val="clear" w:color="auto" w:fill="auto"/>
        <w:spacing w:before="80"/>
        <w:rPr>
          <w:sz w:val="94"/>
          <w:szCs w:val="94"/>
        </w:rPr>
        <w:sectPr w:rsidR="00500724">
          <w:footnotePr>
            <w:numFmt w:val="chicago"/>
            <w:numRestart w:val="eachPage"/>
          </w:footnotePr>
          <w:pgSz w:w="11909" w:h="16834"/>
          <w:pgMar w:top="442" w:right="1164" w:bottom="1217" w:left="338" w:header="0" w:footer="3" w:gutter="0"/>
          <w:cols w:space="720"/>
          <w:noEndnote/>
          <w:docGrid w:linePitch="360"/>
        </w:sectPr>
      </w:pPr>
      <w:bookmarkStart w:id="864" w:name="bookmark863"/>
      <w:r>
        <w:rPr>
          <w:sz w:val="94"/>
          <w:szCs w:val="94"/>
        </w:rPr>
        <w:t>Přítomnosti</w:t>
      </w:r>
      <w:bookmarkEnd w:id="864"/>
    </w:p>
    <w:p w:rsidR="00500724" w:rsidRDefault="00500724">
      <w:pPr>
        <w:spacing w:after="663" w:line="14" w:lineRule="exact"/>
      </w:pPr>
    </w:p>
    <w:p w:rsidR="00500724" w:rsidRDefault="00500724">
      <w:pPr>
        <w:spacing w:line="14" w:lineRule="exact"/>
        <w:sectPr w:rsidR="00500724">
          <w:footnotePr>
            <w:numFmt w:val="chicago"/>
            <w:numRestart w:val="eachPage"/>
          </w:footnotePr>
          <w:type w:val="continuous"/>
          <w:pgSz w:w="11909" w:h="16834"/>
          <w:pgMar w:top="442" w:right="1135" w:bottom="1134" w:left="338" w:header="0" w:footer="3" w:gutter="0"/>
          <w:cols w:space="720"/>
          <w:noEndnote/>
          <w:docGrid w:linePitch="360"/>
        </w:sectPr>
      </w:pPr>
    </w:p>
    <w:p w:rsidR="00500724" w:rsidRDefault="00F30FB8">
      <w:pPr>
        <w:pStyle w:val="Jin0"/>
        <w:shd w:val="clear" w:color="auto" w:fill="auto"/>
        <w:spacing w:after="120"/>
        <w:ind w:firstLine="0"/>
        <w:jc w:val="center"/>
        <w:rPr>
          <w:sz w:val="28"/>
          <w:szCs w:val="28"/>
        </w:rPr>
      </w:pPr>
      <w:r>
        <w:rPr>
          <w:b/>
          <w:bCs/>
          <w:sz w:val="28"/>
          <w:szCs w:val="28"/>
        </w:rPr>
        <w:t xml:space="preserve">Radosti Pavla </w:t>
      </w:r>
      <w:r>
        <w:rPr>
          <w:b/>
          <w:bCs/>
          <w:sz w:val="28"/>
          <w:szCs w:val="28"/>
          <w:lang w:val="en-US" w:eastAsia="en-US" w:bidi="en-US"/>
        </w:rPr>
        <w:t>Grekova</w:t>
      </w:r>
    </w:p>
    <w:p w:rsidR="00500724" w:rsidRDefault="00F30FB8">
      <w:pPr>
        <w:pStyle w:val="Zkladntext1"/>
        <w:framePr w:dropCap="drop" w:lines="2" w:hSpace="24" w:vSpace="24" w:wrap="auto" w:vAnchor="text" w:hAnchor="text"/>
        <w:shd w:val="clear" w:color="auto" w:fill="auto"/>
        <w:spacing w:line="283" w:lineRule="exact"/>
        <w:ind w:firstLine="0"/>
        <w:rPr>
          <w:sz w:val="20"/>
          <w:szCs w:val="20"/>
        </w:rPr>
      </w:pPr>
      <w:r>
        <w:rPr>
          <w:position w:val="-6"/>
          <w:sz w:val="44"/>
          <w:szCs w:val="44"/>
        </w:rPr>
        <w:t>P</w:t>
      </w:r>
    </w:p>
    <w:p w:rsidR="00500724" w:rsidRDefault="00F30FB8">
      <w:pPr>
        <w:pStyle w:val="Zkladntext1"/>
        <w:shd w:val="clear" w:color="auto" w:fill="auto"/>
        <w:spacing w:line="216" w:lineRule="auto"/>
        <w:ind w:firstLine="0"/>
        <w:rPr>
          <w:sz w:val="20"/>
          <w:szCs w:val="20"/>
        </w:rPr>
      </w:pPr>
      <w:r>
        <w:rPr>
          <w:sz w:val="20"/>
          <w:szCs w:val="20"/>
        </w:rPr>
        <w:t xml:space="preserve">řišlo to pro něho jako blesk s čistého nebe? Stál před novou situací </w:t>
      </w:r>
      <w:r>
        <w:rPr>
          <w:sz w:val="20"/>
          <w:szCs w:val="20"/>
        </w:rPr>
        <w:t>překvapen?</w:t>
      </w:r>
    </w:p>
    <w:p w:rsidR="00500724" w:rsidRDefault="00F30FB8">
      <w:pPr>
        <w:pStyle w:val="Zkladntext1"/>
        <w:shd w:val="clear" w:color="auto" w:fill="auto"/>
        <w:spacing w:line="216" w:lineRule="auto"/>
        <w:ind w:firstLine="260"/>
        <w:rPr>
          <w:sz w:val="20"/>
          <w:szCs w:val="20"/>
        </w:rPr>
      </w:pPr>
      <w:r>
        <w:rPr>
          <w:sz w:val="20"/>
          <w:szCs w:val="20"/>
        </w:rPr>
        <w:t xml:space="preserve">Ach ne, to byste neznali Pavla </w:t>
      </w:r>
      <w:r>
        <w:rPr>
          <w:sz w:val="20"/>
          <w:szCs w:val="20"/>
          <w:lang w:val="en-US" w:eastAsia="en-US" w:bidi="en-US"/>
        </w:rPr>
        <w:t xml:space="preserve">Grekova </w:t>
      </w:r>
      <w:r>
        <w:rPr>
          <w:sz w:val="20"/>
          <w:szCs w:val="20"/>
        </w:rPr>
        <w:t>— nemusíme snad znovu představovat tuto figuru úspěšné moskev</w:t>
      </w:r>
      <w:r>
        <w:rPr>
          <w:sz w:val="20"/>
          <w:szCs w:val="20"/>
        </w:rPr>
        <w:softHyphen/>
        <w:t>ské divadelní hry, která je v mimodivadelní skutečno</w:t>
      </w:r>
      <w:r>
        <w:rPr>
          <w:sz w:val="20"/>
          <w:szCs w:val="20"/>
        </w:rPr>
        <w:softHyphen/>
        <w:t xml:space="preserve">sti ústřední postavou byrokratického režimu Ruska. Především je Pavel </w:t>
      </w:r>
      <w:r>
        <w:rPr>
          <w:sz w:val="20"/>
          <w:szCs w:val="20"/>
          <w:lang w:val="en-US" w:eastAsia="en-US" w:bidi="en-US"/>
        </w:rPr>
        <w:t xml:space="preserve">Grekov </w:t>
      </w:r>
      <w:r>
        <w:rPr>
          <w:sz w:val="20"/>
          <w:szCs w:val="20"/>
        </w:rPr>
        <w:t xml:space="preserve">jako Turek, </w:t>
      </w:r>
      <w:r>
        <w:rPr>
          <w:sz w:val="20"/>
          <w:szCs w:val="20"/>
        </w:rPr>
        <w:t>jenž ke kaž</w:t>
      </w:r>
      <w:r>
        <w:rPr>
          <w:sz w:val="20"/>
          <w:szCs w:val="20"/>
        </w:rPr>
        <w:softHyphen/>
        <w:t xml:space="preserve">dému obratu řekne svoje </w:t>
      </w:r>
      <w:r>
        <w:rPr>
          <w:sz w:val="20"/>
          <w:szCs w:val="20"/>
          <w:lang w:val="en-US" w:eastAsia="en-US" w:bidi="en-US"/>
        </w:rPr>
        <w:t xml:space="preserve">Allah </w:t>
      </w:r>
      <w:r>
        <w:rPr>
          <w:sz w:val="20"/>
          <w:szCs w:val="20"/>
        </w:rPr>
        <w:t xml:space="preserve">akbar. A pak stojí v jeho žurnále pod velikým nadpisem „Pakt o neúto- čení“ menší podtitulky, hlásající, že kritické napětí bylo tím zmírněno a že Sovětský svaz pohotově přispěl k zachování míru v Evropě. Nu, a to </w:t>
      </w:r>
      <w:r>
        <w:rPr>
          <w:sz w:val="20"/>
          <w:szCs w:val="20"/>
        </w:rPr>
        <w:t xml:space="preserve">je pro ruského činovníka dnes to hlavní. Pavel </w:t>
      </w:r>
      <w:r>
        <w:rPr>
          <w:sz w:val="20"/>
          <w:szCs w:val="20"/>
          <w:lang w:val="en-US" w:eastAsia="en-US" w:bidi="en-US"/>
        </w:rPr>
        <w:t xml:space="preserve">Grekov, </w:t>
      </w:r>
      <w:r>
        <w:rPr>
          <w:sz w:val="20"/>
          <w:szCs w:val="20"/>
        </w:rPr>
        <w:t>typ dnešního ruského činovníka, je mírumilovný, pokud je posta</w:t>
      </w:r>
      <w:r>
        <w:rPr>
          <w:sz w:val="20"/>
          <w:szCs w:val="20"/>
        </w:rPr>
        <w:softHyphen/>
        <w:t>ráno o bezpečnost jeho ruské vlasti. V zajišťování klidu a obrany SSSR je však nový pakt čiánkem zajisté svrchovaně logickým a prospěšným.</w:t>
      </w:r>
    </w:p>
    <w:p w:rsidR="00500724" w:rsidRDefault="00F30FB8">
      <w:pPr>
        <w:pStyle w:val="Zkladntext1"/>
        <w:shd w:val="clear" w:color="auto" w:fill="auto"/>
        <w:spacing w:line="216" w:lineRule="auto"/>
        <w:ind w:firstLine="260"/>
        <w:rPr>
          <w:sz w:val="20"/>
          <w:szCs w:val="20"/>
        </w:rPr>
      </w:pPr>
      <w:r>
        <w:rPr>
          <w:sz w:val="20"/>
          <w:szCs w:val="20"/>
        </w:rPr>
        <w:t>Náš hrdina, typický dnešní ruský člověk, tedy zprávě okamžitě uvěřil a měl z ní radost. Jeho dovolená ne</w:t>
      </w:r>
      <w:r>
        <w:rPr>
          <w:sz w:val="20"/>
          <w:szCs w:val="20"/>
        </w:rPr>
        <w:softHyphen/>
        <w:t>mohla mít šťastnějšího zakončení. Obchodní smlouva s Německem mu zajistí nové stroje v závodě; ty staré, ani ne tak příliš staré, byly — víme — polámá</w:t>
      </w:r>
      <w:r>
        <w:rPr>
          <w:sz w:val="20"/>
          <w:szCs w:val="20"/>
        </w:rPr>
        <w:t xml:space="preserve">ny sa- botážníky, kteří takovým strojům pořádně nerozumějí a nenajedí se doma dost, aby mohli vydržet jejich tempo. Politický doplněk hospodářské smlouvy bude znamenat pro Pavla </w:t>
      </w:r>
      <w:r>
        <w:rPr>
          <w:sz w:val="20"/>
          <w:szCs w:val="20"/>
          <w:lang w:val="en-US" w:eastAsia="en-US" w:bidi="en-US"/>
        </w:rPr>
        <w:t xml:space="preserve">Grekova </w:t>
      </w:r>
      <w:r>
        <w:rPr>
          <w:sz w:val="20"/>
          <w:szCs w:val="20"/>
        </w:rPr>
        <w:t>klid.</w:t>
      </w:r>
    </w:p>
    <w:p w:rsidR="00500724" w:rsidRDefault="00F30FB8">
      <w:pPr>
        <w:pStyle w:val="Zkladntext1"/>
        <w:shd w:val="clear" w:color="auto" w:fill="auto"/>
        <w:spacing w:line="216" w:lineRule="auto"/>
        <w:ind w:firstLine="0"/>
        <w:jc w:val="center"/>
        <w:rPr>
          <w:sz w:val="20"/>
          <w:szCs w:val="20"/>
        </w:rPr>
      </w:pPr>
      <w:r>
        <w:rPr>
          <w:sz w:val="20"/>
          <w:szCs w:val="20"/>
        </w:rPr>
        <w:t>•</w:t>
      </w:r>
    </w:p>
    <w:p w:rsidR="00500724" w:rsidRDefault="00F30FB8">
      <w:pPr>
        <w:pStyle w:val="Zkladntext1"/>
        <w:shd w:val="clear" w:color="auto" w:fill="auto"/>
        <w:spacing w:line="216" w:lineRule="auto"/>
        <w:ind w:firstLine="260"/>
        <w:rPr>
          <w:sz w:val="20"/>
          <w:szCs w:val="20"/>
        </w:rPr>
      </w:pPr>
      <w:r>
        <w:rPr>
          <w:sz w:val="20"/>
          <w:szCs w:val="20"/>
        </w:rPr>
        <w:t xml:space="preserve">Čtyři měsíce se vyjednávání západních diplomatů v Moskvě </w:t>
      </w:r>
      <w:r>
        <w:rPr>
          <w:sz w:val="20"/>
          <w:szCs w:val="20"/>
        </w:rPr>
        <w:t>nemohlo dostat s místa. Pak přijeli doho</w:t>
      </w:r>
      <w:r>
        <w:rPr>
          <w:sz w:val="20"/>
          <w:szCs w:val="20"/>
        </w:rPr>
        <w:softHyphen/>
        <w:t>doví generálové a objevily se nové obtíže. Nebo to byly staré obtíže? Netýkaly se prý Dálného východu, v tom</w:t>
      </w:r>
      <w:r>
        <w:rPr>
          <w:sz w:val="20"/>
          <w:szCs w:val="20"/>
        </w:rPr>
        <w:softHyphen/>
        <w:t>to bodě lze patrně věřit moskevskému dementi. Jednou, později, hodně pozdě bude ještě pro dějiny stržena r</w:t>
      </w:r>
      <w:r>
        <w:rPr>
          <w:sz w:val="20"/>
          <w:szCs w:val="20"/>
        </w:rPr>
        <w:t>ouška s tajemství, proč a jak se vlastně Vorošilov ne</w:t>
      </w:r>
      <w:r>
        <w:rPr>
          <w:sz w:val="20"/>
          <w:szCs w:val="20"/>
        </w:rPr>
        <w:softHyphen/>
        <w:t>dohodl s pozvanými vojáky Velké Britanie a Francie. Pak se také najdou historikové, kteří to dovedou zazna</w:t>
      </w:r>
      <w:r>
        <w:rPr>
          <w:sz w:val="20"/>
          <w:szCs w:val="20"/>
        </w:rPr>
        <w:softHyphen/>
        <w:t>menat sine ira et studio.</w:t>
      </w:r>
    </w:p>
    <w:p w:rsidR="00500724" w:rsidRDefault="00F30FB8">
      <w:pPr>
        <w:pStyle w:val="Zkladntext1"/>
        <w:shd w:val="clear" w:color="auto" w:fill="auto"/>
        <w:spacing w:line="216" w:lineRule="auto"/>
        <w:ind w:firstLine="260"/>
        <w:rPr>
          <w:sz w:val="20"/>
          <w:szCs w:val="20"/>
        </w:rPr>
      </w:pPr>
      <w:r>
        <w:rPr>
          <w:sz w:val="20"/>
          <w:szCs w:val="20"/>
        </w:rPr>
        <w:t>Vyjednávání s Říší bylo mnohem, mnohem kratší a jeho úspěšný závěr by</w:t>
      </w:r>
      <w:r>
        <w:rPr>
          <w:sz w:val="20"/>
          <w:szCs w:val="20"/>
        </w:rPr>
        <w:t>l bleskový. Leccos bylo k němu připraveno ovšem už předem: tak se teprve nyní doda</w:t>
      </w:r>
      <w:r>
        <w:rPr>
          <w:sz w:val="20"/>
          <w:szCs w:val="20"/>
        </w:rPr>
        <w:softHyphen/>
        <w:t xml:space="preserve">tečně objasnilo mnohé na příčinách odchodu anglofil- ského Maxima </w:t>
      </w:r>
      <w:r>
        <w:rPr>
          <w:sz w:val="20"/>
          <w:szCs w:val="20"/>
          <w:lang w:val="en-US" w:eastAsia="en-US" w:bidi="en-US"/>
        </w:rPr>
        <w:t xml:space="preserve">Litvinova. </w:t>
      </w:r>
      <w:r>
        <w:rPr>
          <w:sz w:val="20"/>
          <w:szCs w:val="20"/>
        </w:rPr>
        <w:t>Kdysi v Bismarckové éře ko</w:t>
      </w:r>
      <w:r>
        <w:rPr>
          <w:sz w:val="20"/>
          <w:szCs w:val="20"/>
        </w:rPr>
        <w:softHyphen/>
        <w:t>lísalo Rusko ve své zahraniční politice mezi franko- filským Gorčakov</w:t>
      </w:r>
      <w:r>
        <w:rPr>
          <w:sz w:val="20"/>
          <w:szCs w:val="20"/>
        </w:rPr>
        <w:t>em a protifrancouzským Šuvalovem, aby se nakonec ustálilo na gorčakovské linii; dnes po podobném kolísání vítězí v Moskvě duch Bismarckova přítele hraběte Šuvalova.</w:t>
      </w:r>
    </w:p>
    <w:p w:rsidR="00500724" w:rsidRDefault="00F30FB8">
      <w:pPr>
        <w:pStyle w:val="Zkladntext1"/>
        <w:shd w:val="clear" w:color="auto" w:fill="auto"/>
        <w:tabs>
          <w:tab w:val="left" w:pos="2424"/>
        </w:tabs>
        <w:spacing w:after="120" w:line="218" w:lineRule="auto"/>
        <w:ind w:firstLine="260"/>
        <w:rPr>
          <w:sz w:val="20"/>
          <w:szCs w:val="20"/>
        </w:rPr>
      </w:pPr>
      <w:r>
        <w:rPr>
          <w:sz w:val="20"/>
          <w:szCs w:val="20"/>
        </w:rPr>
        <w:t>V tomto duchu byl sjednán s Říší úvěr 200 milionů marek a na jeho základě pakt o neútoěení.</w:t>
      </w:r>
      <w:r>
        <w:rPr>
          <w:sz w:val="20"/>
          <w:szCs w:val="20"/>
        </w:rPr>
        <w:t xml:space="preserve"> Pavel </w:t>
      </w:r>
      <w:r>
        <w:rPr>
          <w:sz w:val="20"/>
          <w:szCs w:val="20"/>
          <w:lang w:val="en-US" w:eastAsia="en-US" w:bidi="en-US"/>
        </w:rPr>
        <w:t xml:space="preserve">Grekov </w:t>
      </w:r>
      <w:r>
        <w:rPr>
          <w:sz w:val="20"/>
          <w:szCs w:val="20"/>
        </w:rPr>
        <w:t xml:space="preserve">se raduje: </w:t>
      </w:r>
      <w:r>
        <w:rPr>
          <w:sz w:val="20"/>
          <w:szCs w:val="20"/>
          <w:lang w:val="en-US" w:eastAsia="en-US" w:bidi="en-US"/>
        </w:rPr>
        <w:t xml:space="preserve">Chamberlain </w:t>
      </w:r>
      <w:r>
        <w:rPr>
          <w:sz w:val="20"/>
          <w:szCs w:val="20"/>
        </w:rPr>
        <w:t xml:space="preserve">se bude zlobit. Ruský medvěd se nechytil do ieho pasti. A kdyby Pavel </w:t>
      </w:r>
      <w:r>
        <w:rPr>
          <w:sz w:val="20"/>
          <w:szCs w:val="20"/>
          <w:lang w:val="en-US" w:eastAsia="en-US" w:bidi="en-US"/>
        </w:rPr>
        <w:t xml:space="preserve">Grekov </w:t>
      </w:r>
      <w:r>
        <w:rPr>
          <w:sz w:val="20"/>
          <w:szCs w:val="20"/>
        </w:rPr>
        <w:t xml:space="preserve">vůbec něco věděl o Železném kancléři, chápal by, že nyní bylo dosaženo toho, čeho si kdysi kníže </w:t>
      </w:r>
      <w:r>
        <w:rPr>
          <w:sz w:val="20"/>
          <w:szCs w:val="20"/>
          <w:lang w:val="en-US" w:eastAsia="en-US" w:bidi="en-US"/>
        </w:rPr>
        <w:t xml:space="preserve">Bismarck </w:t>
      </w:r>
      <w:r>
        <w:rPr>
          <w:sz w:val="20"/>
          <w:szCs w:val="20"/>
        </w:rPr>
        <w:t>tolik přál pro svůj národ.</w:t>
      </w:r>
      <w:r>
        <w:rPr>
          <w:sz w:val="20"/>
          <w:szCs w:val="20"/>
        </w:rPr>
        <w:tab/>
        <w:t>®</w:t>
      </w:r>
    </w:p>
    <w:p w:rsidR="00500724" w:rsidRDefault="00F30FB8">
      <w:pPr>
        <w:pStyle w:val="Zkladntext1"/>
        <w:shd w:val="clear" w:color="auto" w:fill="auto"/>
        <w:spacing w:line="218" w:lineRule="auto"/>
        <w:ind w:firstLine="260"/>
        <w:rPr>
          <w:sz w:val="20"/>
          <w:szCs w:val="20"/>
        </w:rPr>
      </w:pPr>
      <w:r>
        <w:rPr>
          <w:sz w:val="20"/>
          <w:szCs w:val="20"/>
        </w:rPr>
        <w:t xml:space="preserve">Evropa </w:t>
      </w:r>
      <w:r>
        <w:rPr>
          <w:sz w:val="20"/>
          <w:szCs w:val="20"/>
        </w:rPr>
        <w:t xml:space="preserve">žije dnes ve válce nervů, třebas o tom Pavel </w:t>
      </w:r>
      <w:r>
        <w:rPr>
          <w:sz w:val="20"/>
          <w:szCs w:val="20"/>
          <w:lang w:val="en-US" w:eastAsia="en-US" w:bidi="en-US"/>
        </w:rPr>
        <w:t xml:space="preserve">Grekov </w:t>
      </w:r>
      <w:r>
        <w:rPr>
          <w:sz w:val="20"/>
          <w:szCs w:val="20"/>
        </w:rPr>
        <w:t>mnoho neví. Prozatím — jak dlouho, jak krátko ještě? — se hraje o budoucnost světa psychologickými kartami. Všechno, co se teď děje kdekoli na země</w:t>
      </w:r>
      <w:r>
        <w:rPr>
          <w:sz w:val="20"/>
          <w:szCs w:val="20"/>
        </w:rPr>
        <w:softHyphen/>
        <w:t xml:space="preserve">kouli, všechno, co se teď podepíše s jakýmikoli úmysly, </w:t>
      </w:r>
      <w:r>
        <w:rPr>
          <w:sz w:val="20"/>
          <w:szCs w:val="20"/>
        </w:rPr>
        <w:t>působí teď, okamžitě na frontě této nervové války. Kdo se dožije, uvidí, co všechno se v další bu</w:t>
      </w:r>
      <w:r>
        <w:rPr>
          <w:sz w:val="20"/>
          <w:szCs w:val="20"/>
        </w:rPr>
        <w:softHyphen/>
        <w:t>doucnosti stane na základě nového paktu; dnes by mohl jen slepý nevidět, že jeho podpis je velikým triumfem a úspěchem Říše, která v něm porazila svoje obklič</w:t>
      </w:r>
      <w:r>
        <w:rPr>
          <w:sz w:val="20"/>
          <w:szCs w:val="20"/>
        </w:rPr>
        <w:t>o- vatele na rozhodujícím místě a v rozhodujícím oka</w:t>
      </w:r>
      <w:r>
        <w:rPr>
          <w:sz w:val="20"/>
          <w:szCs w:val="20"/>
        </w:rPr>
        <w:softHyphen/>
        <w:t>mžiku.</w:t>
      </w:r>
    </w:p>
    <w:p w:rsidR="00500724" w:rsidRDefault="00F30FB8">
      <w:pPr>
        <w:pStyle w:val="Zkladntext1"/>
        <w:shd w:val="clear" w:color="auto" w:fill="auto"/>
        <w:spacing w:after="280" w:line="218" w:lineRule="auto"/>
        <w:ind w:firstLine="240"/>
        <w:rPr>
          <w:sz w:val="20"/>
          <w:szCs w:val="20"/>
        </w:rPr>
      </w:pPr>
      <w:r>
        <w:rPr>
          <w:sz w:val="20"/>
          <w:szCs w:val="20"/>
        </w:rPr>
        <w:t xml:space="preserve">Každý přítel mírumilovného řešení gdaňské otázky má pravdu, tvrdí-li, že uzavření německo-sovětského paktu mohlo spíše než cokoli jiného naladit Polsko k ústupnosti. Kdyby se teď, třeba s určitým </w:t>
      </w:r>
      <w:r>
        <w:rPr>
          <w:sz w:val="20"/>
          <w:szCs w:val="20"/>
        </w:rPr>
        <w:t xml:space="preserve">opožděním, splnilo Ždanovo proroctví o novém Mnichovu, mohl by si Pavel </w:t>
      </w:r>
      <w:r>
        <w:rPr>
          <w:sz w:val="20"/>
          <w:szCs w:val="20"/>
          <w:lang w:val="en-US" w:eastAsia="en-US" w:bidi="en-US"/>
        </w:rPr>
        <w:t xml:space="preserve">Grekov </w:t>
      </w:r>
      <w:r>
        <w:rPr>
          <w:sz w:val="20"/>
          <w:szCs w:val="20"/>
        </w:rPr>
        <w:t>říci s vnitřním uspokojením, že mos</w:t>
      </w:r>
      <w:r>
        <w:rPr>
          <w:sz w:val="20"/>
          <w:szCs w:val="20"/>
        </w:rPr>
        <w:softHyphen/>
        <w:t>kevská vláda přispěla k jeho splnění podle svých nej</w:t>
      </w:r>
      <w:r>
        <w:rPr>
          <w:sz w:val="20"/>
          <w:szCs w:val="20"/>
        </w:rPr>
        <w:softHyphen/>
        <w:t>lepších sil.</w:t>
      </w:r>
    </w:p>
    <w:p w:rsidR="00500724" w:rsidRDefault="00F30FB8">
      <w:pPr>
        <w:pStyle w:val="Zkladntext1"/>
        <w:shd w:val="clear" w:color="auto" w:fill="auto"/>
        <w:spacing w:line="216" w:lineRule="auto"/>
        <w:ind w:firstLine="240"/>
        <w:rPr>
          <w:sz w:val="20"/>
          <w:szCs w:val="20"/>
        </w:rPr>
      </w:pPr>
      <w:r>
        <w:rPr>
          <w:sz w:val="20"/>
          <w:szCs w:val="20"/>
        </w:rPr>
        <w:t xml:space="preserve">Jako vždy má budoucnost v zásobě různé možnosti. </w:t>
      </w:r>
      <w:r>
        <w:rPr>
          <w:sz w:val="20"/>
          <w:szCs w:val="20"/>
          <w:lang w:val="en-US" w:eastAsia="en-US" w:bidi="en-US"/>
        </w:rPr>
        <w:t xml:space="preserve">Chamberlain </w:t>
      </w:r>
      <w:r>
        <w:rPr>
          <w:sz w:val="20"/>
          <w:szCs w:val="20"/>
        </w:rPr>
        <w:t xml:space="preserve">pořád nechtěl </w:t>
      </w:r>
      <w:r>
        <w:rPr>
          <w:sz w:val="20"/>
          <w:szCs w:val="20"/>
        </w:rPr>
        <w:t>přistoupit na moskevské podmínky: rozmyslí si to teď a půjde dříve nebo poz</w:t>
      </w:r>
      <w:r>
        <w:rPr>
          <w:sz w:val="20"/>
          <w:szCs w:val="20"/>
        </w:rPr>
        <w:softHyphen/>
        <w:t xml:space="preserve">ději do rudé Canossy? Nebo prostě opustí </w:t>
      </w:r>
      <w:r>
        <w:rPr>
          <w:sz w:val="20"/>
          <w:szCs w:val="20"/>
          <w:lang w:val="en-US" w:eastAsia="en-US" w:bidi="en-US"/>
        </w:rPr>
        <w:t xml:space="preserve">Downing street </w:t>
      </w:r>
      <w:r>
        <w:rPr>
          <w:sz w:val="20"/>
          <w:szCs w:val="20"/>
        </w:rPr>
        <w:t>10 a odejde na trvalý odpočinek, který by mu tolik lidí rádo dopřálo? Nic tomu nenasvědčuje; zdá se dokonce, že oposice je m</w:t>
      </w:r>
      <w:r>
        <w:rPr>
          <w:sz w:val="20"/>
          <w:szCs w:val="20"/>
        </w:rPr>
        <w:t>nohem smířlivější a hledá cesty do společného tábora.</w:t>
      </w:r>
    </w:p>
    <w:p w:rsidR="00500724" w:rsidRDefault="00F30FB8">
      <w:pPr>
        <w:pStyle w:val="Zkladntext1"/>
        <w:shd w:val="clear" w:color="auto" w:fill="auto"/>
        <w:spacing w:line="228" w:lineRule="auto"/>
        <w:ind w:firstLine="240"/>
        <w:rPr>
          <w:sz w:val="20"/>
          <w:szCs w:val="20"/>
        </w:rPr>
      </w:pPr>
      <w:r>
        <w:rPr>
          <w:sz w:val="20"/>
          <w:szCs w:val="20"/>
        </w:rPr>
        <w:t>Chamberlainův mnichovský deštník stojí prý teď ve vitríně nějaké výstavy. Kdyby se jeho pán snad přece odhodlal vydat se na novou cestu s novým parapletem, setkal by se na nové konferenci zajisté už i s</w:t>
      </w:r>
      <w:r>
        <w:rPr>
          <w:sz w:val="20"/>
          <w:szCs w:val="20"/>
        </w:rPr>
        <w:t>e sovět</w:t>
      </w:r>
      <w:r>
        <w:rPr>
          <w:sz w:val="20"/>
          <w:szCs w:val="20"/>
        </w:rPr>
        <w:softHyphen/>
        <w:t xml:space="preserve">ským zástupcem, jenž by tam směl právem zasednout na čestném místě. Bude-li však Londýn dál tvrdošíjně podporovat Poláky, ničevó, řekne si Pavel </w:t>
      </w:r>
      <w:r>
        <w:rPr>
          <w:sz w:val="20"/>
          <w:szCs w:val="20"/>
          <w:lang w:val="en-US" w:eastAsia="en-US" w:bidi="en-US"/>
        </w:rPr>
        <w:t xml:space="preserve">Grekov, </w:t>
      </w:r>
      <w:r>
        <w:rPr>
          <w:sz w:val="20"/>
          <w:szCs w:val="20"/>
        </w:rPr>
        <w:t>ne</w:t>
      </w:r>
      <w:r>
        <w:rPr>
          <w:sz w:val="20"/>
          <w:szCs w:val="20"/>
        </w:rPr>
        <w:softHyphen/>
        <w:t>budeme za nikoho tahat kaštany z ohně.</w:t>
      </w:r>
    </w:p>
    <w:p w:rsidR="00500724" w:rsidRDefault="00F30FB8">
      <w:pPr>
        <w:pStyle w:val="Zkladntext1"/>
        <w:shd w:val="clear" w:color="auto" w:fill="auto"/>
        <w:spacing w:after="200" w:line="223" w:lineRule="auto"/>
        <w:ind w:firstLine="240"/>
        <w:rPr>
          <w:sz w:val="22"/>
          <w:szCs w:val="22"/>
        </w:rPr>
      </w:pPr>
      <w:r>
        <w:rPr>
          <w:sz w:val="20"/>
          <w:szCs w:val="20"/>
        </w:rPr>
        <w:t xml:space="preserve">Pokud jde o našeho Pavla </w:t>
      </w:r>
      <w:r>
        <w:rPr>
          <w:sz w:val="20"/>
          <w:szCs w:val="20"/>
          <w:lang w:val="en-US" w:eastAsia="en-US" w:bidi="en-US"/>
        </w:rPr>
        <w:t xml:space="preserve">Grekova, </w:t>
      </w:r>
      <w:r>
        <w:rPr>
          <w:sz w:val="20"/>
          <w:szCs w:val="20"/>
        </w:rPr>
        <w:t>mne si spokojeně ru</w:t>
      </w:r>
      <w:r>
        <w:rPr>
          <w:sz w:val="20"/>
          <w:szCs w:val="20"/>
        </w:rPr>
        <w:t xml:space="preserve">ce. Vždyť teď bude mít v továrně nové mašinky, které vydrží zase několik měsíců; a v politice bude mít pokoj od Evropy, ať se tam děje co děje. </w:t>
      </w:r>
      <w:r>
        <w:rPr>
          <w:i/>
          <w:iCs/>
          <w:sz w:val="22"/>
          <w:szCs w:val="22"/>
        </w:rPr>
        <w:t>Jan Alberti</w:t>
      </w:r>
    </w:p>
    <w:p w:rsidR="00500724" w:rsidRDefault="00F30FB8">
      <w:pPr>
        <w:pStyle w:val="Jin0"/>
        <w:pBdr>
          <w:bottom w:val="single" w:sz="4" w:space="0" w:color="auto"/>
        </w:pBdr>
        <w:shd w:val="clear" w:color="auto" w:fill="auto"/>
        <w:spacing w:after="280"/>
        <w:ind w:firstLine="0"/>
        <w:jc w:val="left"/>
        <w:rPr>
          <w:sz w:val="40"/>
          <w:szCs w:val="40"/>
        </w:rPr>
      </w:pPr>
      <w:r>
        <w:rPr>
          <w:rFonts w:ascii="Cambria" w:eastAsia="Cambria" w:hAnsi="Cambria" w:cs="Cambria"/>
          <w:b/>
          <w:bCs/>
          <w:sz w:val="40"/>
          <w:szCs w:val="40"/>
        </w:rPr>
        <w:t>týdenní přehled</w:t>
      </w:r>
    </w:p>
    <w:p w:rsidR="00500724" w:rsidRDefault="00F30FB8">
      <w:pPr>
        <w:pStyle w:val="Zkladntext1"/>
        <w:shd w:val="clear" w:color="auto" w:fill="auto"/>
        <w:spacing w:after="60" w:line="194" w:lineRule="auto"/>
        <w:ind w:firstLine="0"/>
        <w:jc w:val="center"/>
        <w:rPr>
          <w:sz w:val="18"/>
          <w:szCs w:val="18"/>
        </w:rPr>
      </w:pPr>
      <w:r>
        <w:rPr>
          <w:sz w:val="18"/>
          <w:szCs w:val="18"/>
        </w:rPr>
        <w:t>Anglie bez Ruska</w:t>
      </w:r>
    </w:p>
    <w:p w:rsidR="00500724" w:rsidRDefault="00F30FB8">
      <w:pPr>
        <w:pStyle w:val="Zkladntext1"/>
        <w:shd w:val="clear" w:color="auto" w:fill="auto"/>
        <w:spacing w:line="194" w:lineRule="auto"/>
        <w:ind w:firstLine="240"/>
        <w:rPr>
          <w:sz w:val="18"/>
          <w:szCs w:val="18"/>
        </w:rPr>
      </w:pPr>
      <w:r>
        <w:rPr>
          <w:sz w:val="18"/>
          <w:szCs w:val="18"/>
        </w:rPr>
        <w:t xml:space="preserve">Protivníci Německa nepotřebovali, ba, pokud šlo o Poláky, vlastně </w:t>
      </w:r>
      <w:r>
        <w:rPr>
          <w:sz w:val="18"/>
          <w:szCs w:val="18"/>
        </w:rPr>
        <w:t>se obávaly plného válečného vystoupení armád Sovět</w:t>
      </w:r>
      <w:r>
        <w:rPr>
          <w:sz w:val="18"/>
          <w:szCs w:val="18"/>
        </w:rPr>
        <w:softHyphen/>
        <w:t>ského svazu i v roli spojenců na svém území. Potřebovali však nutně materiální pomoc, které se jim na východě citelně ne</w:t>
      </w:r>
      <w:r>
        <w:rPr>
          <w:sz w:val="18"/>
          <w:szCs w:val="18"/>
        </w:rPr>
        <w:softHyphen/>
        <w:t>dostávalo. A hlavně potřebovali naprosté uzá</w:t>
      </w:r>
      <w:r>
        <w:rPr>
          <w:sz w:val="18"/>
          <w:szCs w:val="18"/>
        </w:rPr>
        <w:softHyphen/>
        <w:t>věry Říše od dodávek surovin a potravin</w:t>
      </w:r>
      <w:r>
        <w:rPr>
          <w:sz w:val="18"/>
          <w:szCs w:val="18"/>
        </w:rPr>
        <w:t>. Blokáda je kla</w:t>
      </w:r>
      <w:r>
        <w:rPr>
          <w:sz w:val="18"/>
          <w:szCs w:val="18"/>
        </w:rPr>
        <w:softHyphen/>
        <w:t>sickou a nejúčinnější zbraní Anglie. Cin Stalinův — a osobní účast diktátorova při podpisu smlouvy svědčí, že je to věcí jeho vědomé odpovědnosti — vyráží Anglii tuto její nejvlast</w:t>
      </w:r>
      <w:r>
        <w:rPr>
          <w:sz w:val="18"/>
          <w:szCs w:val="18"/>
        </w:rPr>
        <w:softHyphen/>
        <w:t>nější zbraň z ruky a přenáší celou váhu svého mocenského p</w:t>
      </w:r>
      <w:r>
        <w:rPr>
          <w:sz w:val="18"/>
          <w:szCs w:val="18"/>
        </w:rPr>
        <w:t>otenciálu právě na druhou stranu.</w:t>
      </w:r>
    </w:p>
    <w:p w:rsidR="00500724" w:rsidRDefault="00F30FB8">
      <w:pPr>
        <w:pStyle w:val="Zkladntext1"/>
        <w:shd w:val="clear" w:color="auto" w:fill="auto"/>
        <w:spacing w:line="182" w:lineRule="auto"/>
        <w:ind w:firstLine="240"/>
        <w:rPr>
          <w:sz w:val="18"/>
          <w:szCs w:val="18"/>
        </w:rPr>
      </w:pPr>
      <w:r>
        <w:rPr>
          <w:sz w:val="18"/>
          <w:szCs w:val="18"/>
        </w:rPr>
        <w:t>Teprve dnes tedy nabývá plného reliefu otázka, kterou jsme vyslovili již po prvnim oznámení obratu: jaký to bude míti vliv na válečné vyhlídky v Evropě? Dnes už nestačí se tázat, zda možno postupovat proti Němcům i bez Rus</w:t>
      </w:r>
      <w:r>
        <w:rPr>
          <w:sz w:val="18"/>
          <w:szCs w:val="18"/>
        </w:rPr>
        <w:t>ů, nutno doplnit: zda možno proti nim postupo</w:t>
      </w:r>
      <w:r>
        <w:rPr>
          <w:sz w:val="18"/>
          <w:szCs w:val="18"/>
        </w:rPr>
        <w:softHyphen/>
      </w:r>
      <w:r>
        <w:rPr>
          <w:sz w:val="22"/>
          <w:szCs w:val="22"/>
        </w:rPr>
        <w:t xml:space="preserve">vat i </w:t>
      </w:r>
      <w:r>
        <w:rPr>
          <w:sz w:val="18"/>
          <w:szCs w:val="18"/>
        </w:rPr>
        <w:t>když budou Rusy podporováni?</w:t>
      </w:r>
    </w:p>
    <w:p w:rsidR="00500724" w:rsidRDefault="00F30FB8">
      <w:pPr>
        <w:pStyle w:val="Zkladntext1"/>
        <w:shd w:val="clear" w:color="auto" w:fill="auto"/>
        <w:spacing w:after="140" w:line="190" w:lineRule="auto"/>
        <w:ind w:firstLine="0"/>
        <w:jc w:val="right"/>
        <w:rPr>
          <w:sz w:val="18"/>
          <w:szCs w:val="18"/>
        </w:rPr>
        <w:sectPr w:rsidR="00500724">
          <w:footnotePr>
            <w:numFmt w:val="chicago"/>
            <w:numRestart w:val="eachPage"/>
          </w:footnotePr>
          <w:type w:val="continuous"/>
          <w:pgSz w:w="11909" w:h="16834"/>
          <w:pgMar w:top="442" w:right="1164" w:bottom="1217" w:left="338" w:header="0" w:footer="3" w:gutter="0"/>
          <w:cols w:num="2" w:space="149"/>
          <w:noEndnote/>
          <w:docGrid w:linePitch="360"/>
        </w:sectPr>
      </w:pPr>
      <w:r>
        <w:rPr>
          <w:i/>
          <w:iCs/>
          <w:sz w:val="18"/>
          <w:szCs w:val="18"/>
        </w:rPr>
        <w:t>{Rudolf Procházka v „Národních listech")</w:t>
      </w:r>
    </w:p>
    <w:p w:rsidR="00500724" w:rsidRDefault="00F30FB8">
      <w:pPr>
        <w:pStyle w:val="Nadpis90"/>
        <w:keepNext/>
        <w:keepLines/>
        <w:pBdr>
          <w:bottom w:val="single" w:sz="4" w:space="0" w:color="auto"/>
        </w:pBdr>
        <w:shd w:val="clear" w:color="auto" w:fill="auto"/>
        <w:spacing w:after="0"/>
        <w:ind w:left="80"/>
        <w:jc w:val="center"/>
        <w:rPr>
          <w:sz w:val="42"/>
          <w:szCs w:val="42"/>
        </w:rPr>
        <w:sectPr w:rsidR="00500724">
          <w:footnotePr>
            <w:numFmt w:val="chicago"/>
            <w:numRestart w:val="eachPage"/>
          </w:footnotePr>
          <w:pgSz w:w="11909" w:h="16834"/>
          <w:pgMar w:top="728" w:right="847" w:bottom="706" w:left="631" w:header="0" w:footer="3" w:gutter="0"/>
          <w:cols w:space="720"/>
          <w:noEndnote/>
          <w:docGrid w:linePitch="360"/>
        </w:sectPr>
      </w:pPr>
      <w:bookmarkStart w:id="865" w:name="bookmark864"/>
      <w:r>
        <w:rPr>
          <w:rFonts w:ascii="Times New Roman" w:eastAsia="Times New Roman" w:hAnsi="Times New Roman" w:cs="Times New Roman"/>
          <w:sz w:val="42"/>
          <w:szCs w:val="42"/>
        </w:rPr>
        <w:t>Přítomnosti</w:t>
      </w:r>
      <w:bookmarkEnd w:id="865"/>
    </w:p>
    <w:p w:rsidR="00500724" w:rsidRDefault="00500724">
      <w:pPr>
        <w:spacing w:line="47" w:lineRule="exact"/>
        <w:rPr>
          <w:sz w:val="4"/>
          <w:szCs w:val="4"/>
        </w:rPr>
      </w:pPr>
    </w:p>
    <w:p w:rsidR="00500724" w:rsidRDefault="00500724">
      <w:pPr>
        <w:spacing w:line="14" w:lineRule="exact"/>
        <w:sectPr w:rsidR="00500724">
          <w:footnotePr>
            <w:numFmt w:val="chicago"/>
            <w:numRestart w:val="eachPage"/>
          </w:footnotePr>
          <w:type w:val="continuous"/>
          <w:pgSz w:w="11909" w:h="16834"/>
          <w:pgMar w:top="728" w:right="0" w:bottom="706" w:left="0" w:header="0" w:footer="3" w:gutter="0"/>
          <w:cols w:space="720"/>
          <w:noEndnote/>
          <w:docGrid w:linePitch="360"/>
        </w:sectPr>
      </w:pPr>
    </w:p>
    <w:p w:rsidR="00500724" w:rsidRDefault="00F30FB8">
      <w:pPr>
        <w:pStyle w:val="Zkladntext1"/>
        <w:shd w:val="clear" w:color="auto" w:fill="auto"/>
        <w:spacing w:after="60" w:line="197" w:lineRule="auto"/>
        <w:ind w:firstLine="0"/>
        <w:jc w:val="center"/>
        <w:rPr>
          <w:sz w:val="18"/>
          <w:szCs w:val="18"/>
        </w:rPr>
      </w:pPr>
      <w:r>
        <w:rPr>
          <w:sz w:val="18"/>
          <w:szCs w:val="18"/>
        </w:rPr>
        <w:t>Je Rusko překvapením?</w:t>
      </w:r>
    </w:p>
    <w:p w:rsidR="00500724" w:rsidRDefault="00F30FB8">
      <w:pPr>
        <w:pStyle w:val="Zkladntext1"/>
        <w:shd w:val="clear" w:color="auto" w:fill="auto"/>
        <w:tabs>
          <w:tab w:val="left" w:pos="3566"/>
        </w:tabs>
        <w:spacing w:after="80" w:line="197" w:lineRule="auto"/>
        <w:rPr>
          <w:sz w:val="18"/>
          <w:szCs w:val="18"/>
        </w:rPr>
      </w:pPr>
      <w:r>
        <w:rPr>
          <w:sz w:val="18"/>
          <w:szCs w:val="18"/>
        </w:rPr>
        <w:t xml:space="preserve">Britská a </w:t>
      </w:r>
      <w:r>
        <w:rPr>
          <w:sz w:val="18"/>
          <w:szCs w:val="18"/>
        </w:rPr>
        <w:t>francouzská diplomacie pěstovaly drahnou dobu stromeček dohody se Sovětským svazem. Když stromeček vy</w:t>
      </w:r>
      <w:r>
        <w:rPr>
          <w:sz w:val="18"/>
          <w:szCs w:val="18"/>
        </w:rPr>
        <w:softHyphen/>
        <w:t>dal první plod, vztáhla se jiná ruka a plod utrhla. Je nad tím po světě veliké překvapení. Snad by však nebylo tak veliké, kdyby se bylo pamatovalo, že so</w:t>
      </w:r>
      <w:r>
        <w:rPr>
          <w:sz w:val="18"/>
          <w:szCs w:val="18"/>
        </w:rPr>
        <w:t>větské Rusko je komunistický stát, v němž nejen vnitřní zřízení, nýbrž i zahraniční politika, zvláště za nynějšího vedení, je založena na komunistickém Učení. Je celkem známo, co si komunismus myslí o kapitalis</w:t>
      </w:r>
      <w:r>
        <w:rPr>
          <w:sz w:val="18"/>
          <w:szCs w:val="18"/>
        </w:rPr>
        <w:softHyphen/>
        <w:t>tickém světě mimo ruské hranice, bez ohledu n</w:t>
      </w:r>
      <w:r>
        <w:rPr>
          <w:sz w:val="18"/>
          <w:szCs w:val="18"/>
        </w:rPr>
        <w:t>a to, jaké je v něm státní zřízení. Podle těchto názorů pak zařizuje svou zahraničně-politickou taktiku. Ve světle nynějšího obratu do</w:t>
      </w:r>
      <w:r>
        <w:rPr>
          <w:sz w:val="18"/>
          <w:szCs w:val="18"/>
        </w:rPr>
        <w:softHyphen/>
        <w:t>stává mnohé z toho, co předcházelo, teprve správný smysl a zabarvení, tak na příklad pád Litvinovův nebo známý článek Žda</w:t>
      </w:r>
      <w:r>
        <w:rPr>
          <w:sz w:val="18"/>
          <w:szCs w:val="18"/>
        </w:rPr>
        <w:t>novův v „Izvěstijích“, který vyšel koncem července a byl citován také německým tiskem. Tam se mluvilo o „druhé im</w:t>
      </w:r>
      <w:r>
        <w:rPr>
          <w:sz w:val="18"/>
          <w:szCs w:val="18"/>
        </w:rPr>
        <w:softHyphen/>
        <w:t>perialistické válce“, která se chystá, a o snahách, svalití její tíhu na bedra Sovětského svazu. Úkolem Sovětského svazu po</w:t>
      </w:r>
      <w:r>
        <w:rPr>
          <w:sz w:val="18"/>
          <w:szCs w:val="18"/>
        </w:rPr>
        <w:softHyphen/>
        <w:t>dle výkladu Ždanov</w:t>
      </w:r>
      <w:r>
        <w:rPr>
          <w:sz w:val="18"/>
          <w:szCs w:val="18"/>
        </w:rPr>
        <w:t>ova je zabránit tomu, aby se tato válka přenesla na sovětské hranice. Sovětská diplomacie se nyní za</w:t>
      </w:r>
      <w:r>
        <w:rPr>
          <w:sz w:val="18"/>
          <w:szCs w:val="18"/>
        </w:rPr>
        <w:softHyphen/>
        <w:t>řídila podle této směrnice a vyhnula se hrozícímu západo</w:t>
      </w:r>
      <w:r>
        <w:rPr>
          <w:sz w:val="18"/>
          <w:szCs w:val="18"/>
        </w:rPr>
        <w:softHyphen/>
        <w:t>evropskému konfliktu tím, že zaujala stanovisko neutrální. Sovětská účast ve Společnosti národů vč</w:t>
      </w:r>
      <w:r>
        <w:rPr>
          <w:sz w:val="18"/>
          <w:szCs w:val="18"/>
        </w:rPr>
        <w:t>etně paktu s Francií a bývalým Československem byla vlastně jen mezihrou, po níž se Sovětský svaz vrací k svým původním koncepcím z prvních let poválečných. .</w:t>
      </w:r>
      <w:r>
        <w:rPr>
          <w:sz w:val="18"/>
          <w:szCs w:val="18"/>
        </w:rPr>
        <w:tab/>
      </w:r>
      <w:r>
        <w:rPr>
          <w:i/>
          <w:iCs/>
          <w:sz w:val="18"/>
          <w:szCs w:val="18"/>
        </w:rPr>
        <w:t>(„Lidové noviny“/</w:t>
      </w:r>
    </w:p>
    <w:p w:rsidR="00500724" w:rsidRDefault="00F30FB8">
      <w:pPr>
        <w:pStyle w:val="Zkladntext1"/>
        <w:shd w:val="clear" w:color="auto" w:fill="auto"/>
        <w:spacing w:after="60" w:line="197" w:lineRule="auto"/>
        <w:ind w:firstLine="0"/>
        <w:jc w:val="center"/>
        <w:rPr>
          <w:sz w:val="18"/>
          <w:szCs w:val="18"/>
        </w:rPr>
      </w:pPr>
      <w:r>
        <w:rPr>
          <w:sz w:val="18"/>
          <w:szCs w:val="18"/>
        </w:rPr>
        <w:t>Říše a SSSR se hospodářsky doplňují</w:t>
      </w:r>
    </w:p>
    <w:p w:rsidR="00500724" w:rsidRDefault="00F30FB8">
      <w:pPr>
        <w:pStyle w:val="Zkladntext1"/>
        <w:shd w:val="clear" w:color="auto" w:fill="auto"/>
        <w:spacing w:after="80" w:line="199" w:lineRule="auto"/>
        <w:rPr>
          <w:sz w:val="18"/>
          <w:szCs w:val="18"/>
        </w:rPr>
      </w:pPr>
      <w:r>
        <w:rPr>
          <w:sz w:val="18"/>
          <w:szCs w:val="18"/>
        </w:rPr>
        <w:t>ssm — Berlín, 21. srpna. Říšský list „Freih</w:t>
      </w:r>
      <w:r>
        <w:rPr>
          <w:sz w:val="18"/>
          <w:szCs w:val="18"/>
        </w:rPr>
        <w:t>eits- kampf“ píše v komentáři k uzavření německo-sovětské ob</w:t>
      </w:r>
      <w:r>
        <w:rPr>
          <w:sz w:val="18"/>
          <w:szCs w:val="18"/>
        </w:rPr>
        <w:softHyphen/>
        <w:t>chodní smlouvy takto: Německo a sovětská Unie jsou v hos</w:t>
      </w:r>
      <w:r>
        <w:rPr>
          <w:sz w:val="18"/>
          <w:szCs w:val="18"/>
        </w:rPr>
        <w:softHyphen/>
        <w:t>podářském smyslu dvě země, které se nejlépe doplňují. Roz</w:t>
      </w:r>
      <w:r>
        <w:rPr>
          <w:sz w:val="18"/>
          <w:szCs w:val="18"/>
        </w:rPr>
        <w:softHyphen/>
        <w:t>sáhlá pole v Rusku s nesmírným obilním bohatstvím, suro</w:t>
      </w:r>
      <w:r>
        <w:rPr>
          <w:sz w:val="18"/>
          <w:szCs w:val="18"/>
        </w:rPr>
        <w:softHyphen/>
        <w:t>viny a kovy Urálu a osta</w:t>
      </w:r>
      <w:r>
        <w:rPr>
          <w:sz w:val="18"/>
          <w:szCs w:val="18"/>
        </w:rPr>
        <w:t>tní bohatství země, jsou pro německý trh velice významné a právě tento velký trh je může spotře</w:t>
      </w:r>
      <w:r>
        <w:rPr>
          <w:sz w:val="18"/>
          <w:szCs w:val="18"/>
        </w:rPr>
        <w:softHyphen/>
        <w:t>bovat. Naopak zase sověto-ruský partner najde v německém průmyslu všecky své potřeby nejrůznějších výrobků, které po</w:t>
      </w:r>
      <w:r>
        <w:rPr>
          <w:sz w:val="18"/>
          <w:szCs w:val="18"/>
        </w:rPr>
        <w:softHyphen/>
        <w:t>skytuje německý trh. „Freiheitskampf“ proje</w:t>
      </w:r>
      <w:r>
        <w:rPr>
          <w:sz w:val="18"/>
          <w:szCs w:val="18"/>
        </w:rPr>
        <w:t>vuje dále naději, že lze ještě obchod mezi oběma zeměmi zvýšit a že lze ještě oživit obchodní vztahy mezi Sověty a Říší, neboť výměna zboží mezi Velkým Německem a sovětskou Unií může dostou- piti výše co nejvyšší. V této výměně budou oceněny metody ně</w:t>
      </w:r>
      <w:r>
        <w:rPr>
          <w:sz w:val="18"/>
          <w:szCs w:val="18"/>
        </w:rPr>
        <w:softHyphen/>
        <w:t>meck</w:t>
      </w:r>
      <w:r>
        <w:rPr>
          <w:sz w:val="18"/>
          <w:szCs w:val="18"/>
        </w:rPr>
        <w:t>ého výměnného obchodu, zboží za zboží, které v daném případě znamená hlavně obilí a suroviny z Ruska za hotové německé výrobky.</w:t>
      </w:r>
    </w:p>
    <w:p w:rsidR="00500724" w:rsidRDefault="00F30FB8">
      <w:pPr>
        <w:pStyle w:val="Zkladntext1"/>
        <w:shd w:val="clear" w:color="auto" w:fill="auto"/>
        <w:spacing w:after="80" w:line="197" w:lineRule="auto"/>
        <w:ind w:left="140" w:firstLine="0"/>
        <w:jc w:val="left"/>
        <w:rPr>
          <w:sz w:val="18"/>
          <w:szCs w:val="18"/>
        </w:rPr>
      </w:pPr>
      <w:r>
        <w:rPr>
          <w:sz w:val="18"/>
          <w:szCs w:val="18"/>
        </w:rPr>
        <w:t>Britští a francouzští generálové byli v moskevském museu</w:t>
      </w:r>
    </w:p>
    <w:p w:rsidR="00500724" w:rsidRDefault="00F30FB8">
      <w:pPr>
        <w:pStyle w:val="Zkladntext1"/>
        <w:shd w:val="clear" w:color="auto" w:fill="auto"/>
        <w:tabs>
          <w:tab w:val="left" w:pos="4493"/>
        </w:tabs>
        <w:spacing w:line="192" w:lineRule="auto"/>
        <w:ind w:firstLine="260"/>
        <w:rPr>
          <w:sz w:val="18"/>
          <w:szCs w:val="18"/>
        </w:rPr>
      </w:pPr>
      <w:r>
        <w:rPr>
          <w:sz w:val="18"/>
          <w:szCs w:val="18"/>
        </w:rPr>
        <w:t xml:space="preserve">Britsko-francouzská vojenská komise se včera nesešla k společnému </w:t>
      </w:r>
      <w:r>
        <w:rPr>
          <w:sz w:val="18"/>
          <w:szCs w:val="18"/>
        </w:rPr>
        <w:t>zasedání se sovětskými vyjednavači. Jak se proslýchá, prohlíželi si členové delegací místo toho museum v Kremlu.</w:t>
      </w:r>
      <w:r>
        <w:rPr>
          <w:sz w:val="18"/>
          <w:szCs w:val="18"/>
        </w:rPr>
        <w:tab/>
      </w:r>
      <w:r>
        <w:rPr>
          <w:i/>
          <w:iCs/>
          <w:sz w:val="18"/>
          <w:szCs w:val="18"/>
        </w:rPr>
        <w:t>(CTK)</w:t>
      </w:r>
    </w:p>
    <w:p w:rsidR="00500724" w:rsidRDefault="00F30FB8">
      <w:pPr>
        <w:pStyle w:val="Zkladntext1"/>
        <w:shd w:val="clear" w:color="auto" w:fill="auto"/>
        <w:spacing w:after="60" w:line="192" w:lineRule="auto"/>
        <w:ind w:firstLine="0"/>
        <w:jc w:val="center"/>
        <w:rPr>
          <w:sz w:val="18"/>
          <w:szCs w:val="18"/>
        </w:rPr>
      </w:pPr>
      <w:r>
        <w:rPr>
          <w:sz w:val="18"/>
          <w:szCs w:val="18"/>
        </w:rPr>
        <w:t>Vláda vybízí ke klidu a rozvaze</w:t>
      </w:r>
    </w:p>
    <w:p w:rsidR="00500724" w:rsidRDefault="00F30FB8">
      <w:pPr>
        <w:pStyle w:val="Zkladntext1"/>
        <w:shd w:val="clear" w:color="auto" w:fill="auto"/>
        <w:spacing w:line="197" w:lineRule="auto"/>
        <w:rPr>
          <w:sz w:val="18"/>
          <w:szCs w:val="18"/>
        </w:rPr>
      </w:pPr>
      <w:r>
        <w:rPr>
          <w:sz w:val="18"/>
          <w:szCs w:val="18"/>
        </w:rPr>
        <w:t>Mezi lidem se hodně hovořilo po loňském podzimu, že roz</w:t>
      </w:r>
      <w:r>
        <w:rPr>
          <w:sz w:val="18"/>
          <w:szCs w:val="18"/>
        </w:rPr>
        <w:softHyphen/>
        <w:t>hlas a tisk neumí nic jiného, než vyzývat k rozva</w:t>
      </w:r>
      <w:r>
        <w:rPr>
          <w:sz w:val="18"/>
          <w:szCs w:val="18"/>
        </w:rPr>
        <w:t>ze a klidu. Nyní opět jest nutno nabádat celý národ, aby zdravému roz</w:t>
      </w:r>
      <w:r>
        <w:rPr>
          <w:sz w:val="18"/>
          <w:szCs w:val="18"/>
        </w:rPr>
        <w:softHyphen/>
        <w:t>umu a střízlivé úvaze dal přednost před prázdným politikaře</w:t>
      </w:r>
      <w:r>
        <w:rPr>
          <w:sz w:val="18"/>
          <w:szCs w:val="18"/>
        </w:rPr>
        <w:softHyphen/>
        <w:t>ním a odhadováním světových poměrů. Ať se komu líbí nebo nikoli, budeme častěji opakovat výzvy k střízlivosti a reálnímu myšle</w:t>
      </w:r>
      <w:r>
        <w:rPr>
          <w:sz w:val="18"/>
          <w:szCs w:val="18"/>
        </w:rPr>
        <w:t>ní proti romantismu, jen z toho jedného důvodu, že máme rádi svůj národ a že nám jeho osud leží víc na mysli, než růz</w:t>
      </w:r>
      <w:r>
        <w:rPr>
          <w:sz w:val="18"/>
          <w:szCs w:val="18"/>
        </w:rPr>
        <w:softHyphen/>
        <w:t>ným politikářům, kteří vymyšlenými zprávami vzněcují mysle lidu. I vláda uznala za vhodné a nutné, obrátiti se k českému lidu zvláštní výz</w:t>
      </w:r>
      <w:r>
        <w:rPr>
          <w:sz w:val="18"/>
          <w:szCs w:val="18"/>
        </w:rPr>
        <w:t>vou. V sázce jsou veliké věci, větší, než prostý člověk může domyslit. Naše dnešní postavení ukazuje jen tro</w:t>
      </w:r>
      <w:r>
        <w:rPr>
          <w:sz w:val="18"/>
          <w:szCs w:val="18"/>
        </w:rPr>
        <w:softHyphen/>
        <w:t>chu prozíravému člověku, že českou mysl nesmí ovládat nic ji</w:t>
      </w:r>
      <w:r>
        <w:rPr>
          <w:sz w:val="18"/>
          <w:szCs w:val="18"/>
        </w:rPr>
        <w:softHyphen/>
        <w:t>ného, než zdravý rozum. Sběh událostí v posledních dnech mohl otevřití oči i těm nejvě</w:t>
      </w:r>
      <w:r>
        <w:rPr>
          <w:sz w:val="18"/>
          <w:szCs w:val="18"/>
        </w:rPr>
        <w:t>tším snílkům. Jsme příliš malým článkem v obecné světové politice; jen krátký pohled na mapu a připomenutí si spádu událostí může vyléčiti romantiky a dů</w:t>
      </w:r>
      <w:r>
        <w:rPr>
          <w:sz w:val="18"/>
          <w:szCs w:val="18"/>
        </w:rPr>
        <w:softHyphen/>
        <w:t>věřivce, spoléhající na zázraky. Jediným naším národním pro</w:t>
      </w:r>
      <w:r>
        <w:rPr>
          <w:sz w:val="18"/>
          <w:szCs w:val="18"/>
        </w:rPr>
        <w:softHyphen/>
        <w:t>gramem jest uchováni a zajištění života če</w:t>
      </w:r>
      <w:r>
        <w:rPr>
          <w:sz w:val="18"/>
          <w:szCs w:val="18"/>
        </w:rPr>
        <w:t>ského národa.</w:t>
      </w:r>
    </w:p>
    <w:p w:rsidR="00500724" w:rsidRDefault="00F30FB8">
      <w:pPr>
        <w:pStyle w:val="Zkladntext1"/>
        <w:shd w:val="clear" w:color="auto" w:fill="auto"/>
        <w:spacing w:line="197" w:lineRule="auto"/>
        <w:rPr>
          <w:sz w:val="18"/>
          <w:szCs w:val="18"/>
        </w:rPr>
      </w:pPr>
      <w:r>
        <w:rPr>
          <w:sz w:val="18"/>
          <w:szCs w:val="18"/>
        </w:rPr>
        <w:t>Stále nutno připomínati události loňského roku., když vi</w:t>
      </w:r>
      <w:r>
        <w:rPr>
          <w:sz w:val="18"/>
          <w:szCs w:val="18"/>
        </w:rPr>
        <w:softHyphen/>
        <w:t>díme dnešní svět v křečích a nejistotě. Kolik to bylo zklamání v neochvějné víře přemnohých! Kolik snů se rázem zlomilo! Objevují-li se ještě dnes letáčky, jež přirozeně v prostých ne</w:t>
      </w:r>
      <w:r>
        <w:rPr>
          <w:sz w:val="18"/>
          <w:szCs w:val="18"/>
        </w:rPr>
        <w:softHyphen/>
        <w:t>i</w:t>
      </w:r>
      <w:r>
        <w:rPr>
          <w:sz w:val="18"/>
          <w:szCs w:val="18"/>
        </w:rPr>
        <w:t>nformovaných lidech budí rozruch a neklid a svádí k novému snění, lze to nazvati jinak, nežli zločinem na národě? Skýtá-li se ještě dnes sluch a víra vyloženě fantastickým zvěstem, třeba národní masa hledí rozumně a reálně na vývoj světo</w:t>
      </w:r>
      <w:r>
        <w:rPr>
          <w:sz w:val="18"/>
          <w:szCs w:val="18"/>
        </w:rPr>
        <w:softHyphen/>
        <w:t>vých poměrů a vlas</w:t>
      </w:r>
      <w:r>
        <w:rPr>
          <w:sz w:val="18"/>
          <w:szCs w:val="18"/>
        </w:rPr>
        <w:t>tní poměry naše, jak nenabádati k roz</w:t>
      </w:r>
      <w:r>
        <w:rPr>
          <w:sz w:val="18"/>
          <w:szCs w:val="18"/>
        </w:rPr>
        <w:softHyphen/>
      </w:r>
    </w:p>
    <w:p w:rsidR="00500724" w:rsidRDefault="00F30FB8">
      <w:pPr>
        <w:pStyle w:val="Zkladntext1"/>
        <w:shd w:val="clear" w:color="auto" w:fill="auto"/>
        <w:tabs>
          <w:tab w:val="left" w:pos="4066"/>
        </w:tabs>
        <w:spacing w:line="197" w:lineRule="auto"/>
        <w:ind w:firstLine="0"/>
        <w:rPr>
          <w:sz w:val="18"/>
          <w:szCs w:val="18"/>
        </w:rPr>
      </w:pPr>
      <w:r>
        <w:rPr>
          <w:sz w:val="18"/>
          <w:szCs w:val="18"/>
        </w:rPr>
        <w:t>umu, rozvaze a klidu ? Kolik víry se připínalo ke zprávám ně</w:t>
      </w:r>
      <w:r>
        <w:rPr>
          <w:sz w:val="18"/>
          <w:szCs w:val="18"/>
        </w:rPr>
        <w:softHyphen/>
        <w:t>kterých cizích rozhlasů a jak předpovídaný vývoj vskutku dopadl ?</w:t>
      </w:r>
      <w:r>
        <w:rPr>
          <w:sz w:val="18"/>
          <w:szCs w:val="18"/>
        </w:rPr>
        <w:tab/>
      </w:r>
      <w:r>
        <w:rPr>
          <w:i/>
          <w:iCs/>
          <w:sz w:val="18"/>
          <w:szCs w:val="18"/>
        </w:rPr>
        <w:t>(„Venkov“)</w:t>
      </w:r>
    </w:p>
    <w:p w:rsidR="00500724" w:rsidRDefault="00F30FB8">
      <w:pPr>
        <w:pStyle w:val="Zkladntext1"/>
        <w:shd w:val="clear" w:color="auto" w:fill="auto"/>
        <w:spacing w:after="60" w:line="197" w:lineRule="auto"/>
        <w:ind w:firstLine="0"/>
        <w:jc w:val="center"/>
        <w:rPr>
          <w:sz w:val="18"/>
          <w:szCs w:val="18"/>
        </w:rPr>
      </w:pPr>
      <w:r>
        <w:rPr>
          <w:sz w:val="18"/>
          <w:szCs w:val="18"/>
        </w:rPr>
        <w:t>Inteligence nesmí přestat mluvit!</w:t>
      </w:r>
    </w:p>
    <w:p w:rsidR="00500724" w:rsidRDefault="00F30FB8">
      <w:pPr>
        <w:pStyle w:val="Zkladntext1"/>
        <w:shd w:val="clear" w:color="auto" w:fill="auto"/>
        <w:spacing w:line="197" w:lineRule="auto"/>
        <w:ind w:firstLine="200"/>
        <w:rPr>
          <w:sz w:val="18"/>
          <w:szCs w:val="18"/>
        </w:rPr>
      </w:pPr>
      <w:r>
        <w:rPr>
          <w:sz w:val="18"/>
          <w:szCs w:val="18"/>
        </w:rPr>
        <w:t xml:space="preserve">Nové poměry ukládají zvláště duševním </w:t>
      </w:r>
      <w:r>
        <w:rPr>
          <w:sz w:val="18"/>
          <w:szCs w:val="18"/>
        </w:rPr>
        <w:t>pracovníkům, aby se ozvali. Prostý člověk manuelní práce koná národní povin</w:t>
      </w:r>
      <w:r>
        <w:rPr>
          <w:sz w:val="18"/>
          <w:szCs w:val="18"/>
        </w:rPr>
        <w:softHyphen/>
        <w:t>nost prací na poli, v továrně, v dílně. Inteligence, jež bývala zvána solí země, jest povinna vésti, veřejné mínění tvořiti, duchovní statky hájiti. Nějak se odmlčeli mnozí intelek</w:t>
      </w:r>
      <w:r>
        <w:rPr>
          <w:sz w:val="18"/>
          <w:szCs w:val="18"/>
        </w:rPr>
        <w:t>tuá</w:t>
      </w:r>
      <w:r>
        <w:rPr>
          <w:sz w:val="18"/>
          <w:szCs w:val="18"/>
        </w:rPr>
        <w:softHyphen/>
        <w:t>lové ... To nestačí, slyšíme-li jejich mínění za zavřenými dveřmi, kde se srší nápady a odvahou, a hlavně kritikou. Věčná kritika pro kritiku, šuškání a napadání osob není tvo</w:t>
      </w:r>
      <w:r>
        <w:rPr>
          <w:sz w:val="18"/>
          <w:szCs w:val="18"/>
        </w:rPr>
        <w:softHyphen/>
        <w:t>řivá práce. Existuje mnoho problémů, ožehavá témata, ná</w:t>
      </w:r>
      <w:r>
        <w:rPr>
          <w:sz w:val="18"/>
          <w:szCs w:val="18"/>
        </w:rPr>
        <w:softHyphen/>
        <w:t>měty, z nichž může r</w:t>
      </w:r>
      <w:r>
        <w:rPr>
          <w:sz w:val="18"/>
          <w:szCs w:val="18"/>
        </w:rPr>
        <w:t>ůsti zdravý život národa. Proč inteli</w:t>
      </w:r>
      <w:r>
        <w:rPr>
          <w:sz w:val="18"/>
          <w:szCs w:val="18"/>
        </w:rPr>
        <w:softHyphen/>
        <w:t>gence mlčí? Proč mlčí historikové, jimž zvlášť se na</w:t>
      </w:r>
      <w:r>
        <w:rPr>
          <w:sz w:val="18"/>
          <w:szCs w:val="18"/>
        </w:rPr>
        <w:softHyphen/>
        <w:t>skýtá tolik vděčné práce? Proč se neozvou právníci, když mnohé problémy přímo volají po řešení? A proč se halí do anonymity mnozí intelektuálové?</w:t>
      </w:r>
    </w:p>
    <w:p w:rsidR="00500724" w:rsidRDefault="00F30FB8">
      <w:pPr>
        <w:pStyle w:val="Zkladntext1"/>
        <w:shd w:val="clear" w:color="auto" w:fill="auto"/>
        <w:spacing w:line="197" w:lineRule="auto"/>
        <w:ind w:firstLine="200"/>
        <w:rPr>
          <w:sz w:val="18"/>
          <w:szCs w:val="18"/>
        </w:rPr>
      </w:pPr>
      <w:r>
        <w:rPr>
          <w:sz w:val="18"/>
          <w:szCs w:val="18"/>
        </w:rPr>
        <w:t>Národ nechce anonym</w:t>
      </w:r>
      <w:r>
        <w:rPr>
          <w:sz w:val="18"/>
          <w:szCs w:val="18"/>
        </w:rPr>
        <w:t>ů. Chce vůdce, hlasatele svých ideálů, lidi střílivé, reálně myslící, nebojácné, kteří za svou pravdou dovedou stát. Národ Husův potřebuje dostatek lidí, kteří obhájí pravdu a ponesou odpovědnost za vůdčí roli v du</w:t>
      </w:r>
      <w:r>
        <w:rPr>
          <w:sz w:val="18"/>
          <w:szCs w:val="18"/>
        </w:rPr>
        <w:softHyphen/>
        <w:t>chovním životě. Denně jest potřeba síliti</w:t>
      </w:r>
      <w:r>
        <w:rPr>
          <w:sz w:val="18"/>
          <w:szCs w:val="18"/>
        </w:rPr>
        <w:t xml:space="preserve"> víru, že jedině absolutní jednota všeho českého lidu jest jeho spásou. Nej</w:t>
      </w:r>
      <w:r>
        <w:rPr>
          <w:sz w:val="18"/>
          <w:szCs w:val="18"/>
        </w:rPr>
        <w:softHyphen/>
        <w:t>vážnější osobnosti národa měly by kárati výstřelky a odsuzo- vati ty, kdož o své službě pro národ mohou se udušovat, ale jeho politickou jednotu bortí a otřásají jednotou mravní. N</w:t>
      </w:r>
      <w:r>
        <w:rPr>
          <w:sz w:val="18"/>
          <w:szCs w:val="18"/>
        </w:rPr>
        <w:t>aši vědci, spisovatelé, básníci, umělci, právníci, historikové a filo</w:t>
      </w:r>
      <w:r>
        <w:rPr>
          <w:sz w:val="18"/>
          <w:szCs w:val="18"/>
        </w:rPr>
        <w:softHyphen/>
        <w:t>sofové jsou povinni hovořit jménem lidu a k duši lidu.</w:t>
      </w:r>
    </w:p>
    <w:p w:rsidR="00500724" w:rsidRDefault="00F30FB8">
      <w:pPr>
        <w:pStyle w:val="Zkladntext1"/>
        <w:shd w:val="clear" w:color="auto" w:fill="auto"/>
        <w:spacing w:line="341" w:lineRule="auto"/>
        <w:ind w:left="1680" w:firstLine="1380"/>
        <w:jc w:val="left"/>
        <w:rPr>
          <w:sz w:val="18"/>
          <w:szCs w:val="18"/>
        </w:rPr>
      </w:pPr>
      <w:r>
        <w:rPr>
          <w:i/>
          <w:iCs/>
          <w:sz w:val="18"/>
          <w:szCs w:val="18"/>
        </w:rPr>
        <w:t xml:space="preserve">(R. Halíte ve „Venkově“) </w:t>
      </w:r>
      <w:r>
        <w:rPr>
          <w:sz w:val="18"/>
          <w:szCs w:val="18"/>
        </w:rPr>
        <w:t>Není pravých a levých</w:t>
      </w:r>
    </w:p>
    <w:p w:rsidR="00500724" w:rsidRDefault="00F30FB8">
      <w:pPr>
        <w:pStyle w:val="Zkladntext1"/>
        <w:shd w:val="clear" w:color="auto" w:fill="auto"/>
        <w:spacing w:line="194" w:lineRule="auto"/>
        <w:ind w:firstLine="260"/>
        <w:rPr>
          <w:sz w:val="18"/>
          <w:szCs w:val="18"/>
        </w:rPr>
      </w:pPr>
      <w:r>
        <w:rPr>
          <w:sz w:val="18"/>
          <w:szCs w:val="18"/>
        </w:rPr>
        <w:t>Redakcím denních listů docházejí poslední dobou četné do</w:t>
      </w:r>
      <w:r>
        <w:rPr>
          <w:sz w:val="18"/>
          <w:szCs w:val="18"/>
        </w:rPr>
        <w:softHyphen/>
        <w:t>pisy, v nichž se odsuzuje z</w:t>
      </w:r>
      <w:r>
        <w:rPr>
          <w:sz w:val="18"/>
          <w:szCs w:val="18"/>
        </w:rPr>
        <w:t>áměrné štvaní proti českým lidem. To věčné taxírování lidí na pravé a levé u rozhodné většiny národa zmizelo. Všichni jsme si oddechli, že již neexistuje žádná pravice ani levice, ale že ožil sjednocený a sobě věřící národ.</w:t>
      </w:r>
    </w:p>
    <w:p w:rsidR="00500724" w:rsidRDefault="00F30FB8">
      <w:pPr>
        <w:pStyle w:val="Zkladntext1"/>
        <w:shd w:val="clear" w:color="auto" w:fill="auto"/>
        <w:spacing w:line="194" w:lineRule="auto"/>
        <w:ind w:firstLine="260"/>
        <w:rPr>
          <w:sz w:val="18"/>
          <w:szCs w:val="18"/>
        </w:rPr>
      </w:pPr>
      <w:r>
        <w:rPr>
          <w:sz w:val="18"/>
          <w:szCs w:val="18"/>
        </w:rPr>
        <w:t>V dopisech, jež docházejí, čteme</w:t>
      </w:r>
      <w:r>
        <w:rPr>
          <w:sz w:val="18"/>
          <w:szCs w:val="18"/>
        </w:rPr>
        <w:t xml:space="preserve"> dojemná slova, jak lid sám úzkostlivě střeží národní jednotu. Zbytky šeptané propa</w:t>
      </w:r>
      <w:r>
        <w:rPr>
          <w:sz w:val="18"/>
          <w:szCs w:val="18"/>
        </w:rPr>
        <w:softHyphen/>
        <w:t>gandy, osobní agitace a šíření rozkladných tendencí a napa</w:t>
      </w:r>
      <w:r>
        <w:rPr>
          <w:sz w:val="18"/>
          <w:szCs w:val="18"/>
        </w:rPr>
        <w:softHyphen/>
        <w:t>dání zasloužilých lidí nikoho nezmate. V dopisech desítek lidí čteme upřímný souhlas se zrušením politického stra</w:t>
      </w:r>
      <w:r>
        <w:rPr>
          <w:sz w:val="18"/>
          <w:szCs w:val="18"/>
        </w:rPr>
        <w:t>nictví a silnou vůli, aby tak bylo navždy. Kdo by počítal na vzkříšení starého tříštění, byl by v rozporu s ohromnou většinou lidu. Ale stejně musí přestat již jednou ono vzájemné kritisování a odsuzování, byl-li někdo příslušníkem některé strany, byl-li s</w:t>
      </w:r>
      <w:r>
        <w:rPr>
          <w:sz w:val="18"/>
          <w:szCs w:val="18"/>
        </w:rPr>
        <w:t>toupencem pravého či levého směru. Lid sám cítí, že není službou národu, odsuzuje-li někdo stále a stále bývalé strany, již neexistující, a napadá-li surově bývalé vedoucí osoby.</w:t>
      </w:r>
    </w:p>
    <w:p w:rsidR="00500724" w:rsidRDefault="00F30FB8">
      <w:pPr>
        <w:pStyle w:val="Zkladntext1"/>
        <w:shd w:val="clear" w:color="auto" w:fill="auto"/>
        <w:spacing w:after="160" w:line="194" w:lineRule="auto"/>
        <w:ind w:left="1680" w:firstLine="1380"/>
        <w:jc w:val="left"/>
        <w:rPr>
          <w:sz w:val="18"/>
          <w:szCs w:val="18"/>
        </w:rPr>
      </w:pPr>
      <w:r>
        <w:rPr>
          <w:i/>
          <w:iCs/>
          <w:sz w:val="18"/>
          <w:szCs w:val="18"/>
        </w:rPr>
        <w:t>(R. Halíte ve „Venkově“)</w:t>
      </w:r>
    </w:p>
    <w:p w:rsidR="00500724" w:rsidRDefault="00F30FB8">
      <w:pPr>
        <w:pStyle w:val="Zkladntext1"/>
        <w:shd w:val="clear" w:color="auto" w:fill="auto"/>
        <w:spacing w:after="60" w:line="206" w:lineRule="auto"/>
        <w:ind w:firstLine="0"/>
        <w:jc w:val="center"/>
        <w:rPr>
          <w:sz w:val="18"/>
          <w:szCs w:val="18"/>
        </w:rPr>
      </w:pPr>
      <w:r>
        <w:rPr>
          <w:rFonts w:ascii="Arial" w:eastAsia="Arial" w:hAnsi="Arial" w:cs="Arial"/>
          <w:b/>
          <w:bCs/>
          <w:sz w:val="17"/>
          <w:szCs w:val="17"/>
        </w:rPr>
        <w:t xml:space="preserve">O </w:t>
      </w:r>
      <w:r>
        <w:rPr>
          <w:sz w:val="18"/>
          <w:szCs w:val="18"/>
        </w:rPr>
        <w:t>německé školství v Protektorátu</w:t>
      </w:r>
    </w:p>
    <w:p w:rsidR="00500724" w:rsidRDefault="00F30FB8">
      <w:pPr>
        <w:pStyle w:val="Zkladntext1"/>
        <w:shd w:val="clear" w:color="auto" w:fill="auto"/>
        <w:spacing w:line="194" w:lineRule="auto"/>
        <w:ind w:firstLine="260"/>
        <w:rPr>
          <w:sz w:val="18"/>
          <w:szCs w:val="18"/>
        </w:rPr>
      </w:pPr>
      <w:r>
        <w:rPr>
          <w:sz w:val="18"/>
          <w:szCs w:val="18"/>
        </w:rPr>
        <w:t xml:space="preserve">Zajímavý článek o </w:t>
      </w:r>
      <w:r>
        <w:rPr>
          <w:sz w:val="18"/>
          <w:szCs w:val="18"/>
        </w:rPr>
        <w:t>německém školství v Protektorátu při</w:t>
      </w:r>
      <w:r>
        <w:rPr>
          <w:sz w:val="18"/>
          <w:szCs w:val="18"/>
        </w:rPr>
        <w:softHyphen/>
        <w:t>náší „Budweiser Zeitung“. Píše, že podle statistiky Cechů je v Protektorátu 6.554.000 Čechů a 240.000 Němců, tedy 4%. Podle této statistiky se k začátku školního roku nedostávalo Němcům u srovnání se školstvím Čechů 156</w:t>
      </w:r>
      <w:r>
        <w:rPr>
          <w:sz w:val="18"/>
          <w:szCs w:val="18"/>
        </w:rPr>
        <w:t xml:space="preserve"> národních škol a 20 škol měšťanských. Po 15. březnu nebylo tu vlastního ně</w:t>
      </w:r>
      <w:r>
        <w:rPr>
          <w:sz w:val="18"/>
          <w:szCs w:val="18"/>
        </w:rPr>
        <w:softHyphen/>
        <w:t>meckého školského úřadu a tak tu byl jen německý Kultur- verband jako ochranná organisace pro německé školství. Ale území, z nichž Kulturverband dříve dostával nejvíce prostřed</w:t>
      </w:r>
      <w:r>
        <w:rPr>
          <w:sz w:val="18"/>
          <w:szCs w:val="18"/>
        </w:rPr>
        <w:softHyphen/>
        <w:t xml:space="preserve">ků </w:t>
      </w:r>
      <w:r>
        <w:rPr>
          <w:sz w:val="18"/>
          <w:szCs w:val="18"/>
        </w:rPr>
        <w:t>pro školskou práci, sudetoněmecké území, bylo odloučeno a zůstaly jen jazykové ostrovy. Pouze brněnský jazykový ostrov byl finančně silnější. Německý Kulturverband přes obtíže při</w:t>
      </w:r>
      <w:r>
        <w:rPr>
          <w:sz w:val="18"/>
          <w:szCs w:val="18"/>
        </w:rPr>
        <w:softHyphen/>
        <w:t>kročil okamžitě k práci. Otázka získáni prostředků vzhledem ke kulturní a ná</w:t>
      </w:r>
      <w:r>
        <w:rPr>
          <w:sz w:val="18"/>
          <w:szCs w:val="18"/>
        </w:rPr>
        <w:t>rodně-politické důležitosti německého školství mohla hráti jen druhořadou roli. A tak dnes po 20 letech za</w:t>
      </w:r>
      <w:r>
        <w:rPr>
          <w:sz w:val="18"/>
          <w:szCs w:val="18"/>
        </w:rPr>
        <w:softHyphen/>
        <w:t>nikání a ústupu vidíme opět rozkvět německého školství v Če</w:t>
      </w:r>
      <w:r>
        <w:rPr>
          <w:sz w:val="18"/>
          <w:szCs w:val="18"/>
        </w:rPr>
        <w:softHyphen/>
        <w:t>chách a na Moravě.</w:t>
      </w:r>
    </w:p>
    <w:p w:rsidR="00500724" w:rsidRDefault="00F30FB8">
      <w:pPr>
        <w:pStyle w:val="Zkladntext1"/>
        <w:shd w:val="clear" w:color="auto" w:fill="auto"/>
        <w:tabs>
          <w:tab w:val="left" w:pos="4066"/>
        </w:tabs>
        <w:spacing w:line="194" w:lineRule="auto"/>
        <w:ind w:firstLine="260"/>
        <w:rPr>
          <w:sz w:val="18"/>
          <w:szCs w:val="18"/>
        </w:rPr>
        <w:sectPr w:rsidR="00500724">
          <w:footnotePr>
            <w:numFmt w:val="chicago"/>
            <w:numRestart w:val="eachPage"/>
          </w:footnotePr>
          <w:type w:val="continuous"/>
          <w:pgSz w:w="11909" w:h="16834"/>
          <w:pgMar w:top="728" w:right="847" w:bottom="706" w:left="631" w:header="0" w:footer="3" w:gutter="0"/>
          <w:cols w:num="2" w:space="130"/>
          <w:noEndnote/>
          <w:docGrid w:linePitch="360"/>
        </w:sectPr>
      </w:pPr>
      <w:r>
        <w:rPr>
          <w:sz w:val="18"/>
          <w:szCs w:val="18"/>
        </w:rPr>
        <w:t xml:space="preserve">Při této obnově německého školství byla </w:t>
      </w:r>
      <w:r>
        <w:rPr>
          <w:sz w:val="18"/>
          <w:szCs w:val="18"/>
        </w:rPr>
        <w:t>nesnáz s nedostat</w:t>
      </w:r>
      <w:r>
        <w:rPr>
          <w:sz w:val="18"/>
          <w:szCs w:val="18"/>
        </w:rPr>
        <w:softHyphen/>
        <w:t>kem učitelských sil. Vzhledem k tomu, že Němci jsou rozptý</w:t>
      </w:r>
      <w:r>
        <w:rPr>
          <w:sz w:val="18"/>
          <w:szCs w:val="18"/>
        </w:rPr>
        <w:softHyphen/>
        <w:t>leni v různých částech Protektorátu, jsou plány německé školní děti ubytovat přes týden ve společných domovech v sídlech školy. Tak by se umožnilo nejen důkladné vyučování a úplný</w:t>
      </w:r>
      <w:r>
        <w:rPr>
          <w:sz w:val="18"/>
          <w:szCs w:val="18"/>
        </w:rPr>
        <w:t xml:space="preserve"> dozor, ale byla by tim dána též základna pro pravou výchovu k pospolitosti v nacionálně-socialistickém duchu. Nesmí se za</w:t>
      </w:r>
      <w:r>
        <w:rPr>
          <w:sz w:val="18"/>
          <w:szCs w:val="18"/>
        </w:rPr>
        <w:softHyphen/>
        <w:t>pomínati, že velký počet německých dětí nyní podchycených vyrůstal v čistě českém okolí. Často po léta musily navštěvo- vati čistě če</w:t>
      </w:r>
      <w:r>
        <w:rPr>
          <w:sz w:val="18"/>
          <w:szCs w:val="18"/>
        </w:rPr>
        <w:t>ské školy. Nyní nutno tyto děti uvésti do kruhu německých spolužáků a soukmenovců.</w:t>
      </w:r>
      <w:r>
        <w:rPr>
          <w:sz w:val="18"/>
          <w:szCs w:val="18"/>
        </w:rPr>
        <w:tab/>
      </w:r>
      <w:r>
        <w:rPr>
          <w:i/>
          <w:iCs/>
          <w:sz w:val="18"/>
          <w:szCs w:val="18"/>
        </w:rPr>
        <w:t>(„Venkov“)</w:t>
      </w:r>
    </w:p>
    <w:p w:rsidR="00500724" w:rsidRDefault="00500724">
      <w:pPr>
        <w:spacing w:line="166" w:lineRule="exact"/>
        <w:rPr>
          <w:sz w:val="13"/>
          <w:szCs w:val="13"/>
        </w:rPr>
      </w:pPr>
    </w:p>
    <w:p w:rsidR="00500724" w:rsidRDefault="00500724">
      <w:pPr>
        <w:spacing w:line="14" w:lineRule="exact"/>
        <w:sectPr w:rsidR="00500724">
          <w:footnotePr>
            <w:numFmt w:val="chicago"/>
            <w:numRestart w:val="eachPage"/>
          </w:footnotePr>
          <w:type w:val="continuous"/>
          <w:pgSz w:w="11909" w:h="16834"/>
          <w:pgMar w:top="728" w:right="0" w:bottom="706" w:left="0" w:header="0" w:footer="3" w:gutter="0"/>
          <w:cols w:space="720"/>
          <w:noEndnote/>
          <w:docGrid w:linePitch="360"/>
        </w:sectPr>
      </w:pPr>
    </w:p>
    <w:p w:rsidR="00500724" w:rsidRDefault="00F30FB8">
      <w:pPr>
        <w:pStyle w:val="Zkladntext1"/>
        <w:framePr w:w="360" w:h="245" w:wrap="none" w:vAnchor="text" w:hAnchor="page" w:x="661" w:y="21"/>
        <w:shd w:val="clear" w:color="auto" w:fill="auto"/>
        <w:ind w:firstLine="0"/>
        <w:jc w:val="left"/>
        <w:rPr>
          <w:sz w:val="18"/>
          <w:szCs w:val="18"/>
        </w:rPr>
      </w:pPr>
      <w:r>
        <w:rPr>
          <w:i/>
          <w:iCs/>
          <w:sz w:val="18"/>
          <w:szCs w:val="18"/>
        </w:rPr>
        <w:t>S38</w:t>
      </w:r>
    </w:p>
    <w:p w:rsidR="00500724" w:rsidRDefault="00500724">
      <w:pPr>
        <w:spacing w:after="231" w:line="14" w:lineRule="exact"/>
      </w:pPr>
    </w:p>
    <w:p w:rsidR="00500724" w:rsidRDefault="00500724">
      <w:pPr>
        <w:spacing w:line="14" w:lineRule="exact"/>
        <w:sectPr w:rsidR="00500724">
          <w:footnotePr>
            <w:numFmt w:val="chicago"/>
            <w:numRestart w:val="eachPage"/>
          </w:footnotePr>
          <w:type w:val="continuous"/>
          <w:pgSz w:w="11909" w:h="16834"/>
          <w:pgMar w:top="728" w:right="847" w:bottom="706" w:left="631" w:header="0" w:footer="3" w:gutter="0"/>
          <w:cols w:space="720"/>
          <w:noEndnote/>
          <w:docGrid w:linePitch="360"/>
        </w:sectPr>
      </w:pPr>
    </w:p>
    <w:p w:rsidR="00500724" w:rsidRDefault="00F30FB8">
      <w:pPr>
        <w:pStyle w:val="Jin0"/>
        <w:pBdr>
          <w:bottom w:val="single" w:sz="4" w:space="0" w:color="auto"/>
        </w:pBdr>
        <w:shd w:val="clear" w:color="auto" w:fill="auto"/>
        <w:spacing w:before="80"/>
        <w:ind w:firstLine="0"/>
        <w:jc w:val="center"/>
        <w:rPr>
          <w:sz w:val="38"/>
          <w:szCs w:val="38"/>
        </w:rPr>
        <w:sectPr w:rsidR="00500724">
          <w:footnotePr>
            <w:numFmt w:val="chicago"/>
            <w:numRestart w:val="eachPage"/>
          </w:footnotePr>
          <w:pgSz w:w="11909" w:h="16834"/>
          <w:pgMar w:top="817" w:right="1056" w:bottom="977" w:left="446" w:header="0" w:footer="3" w:gutter="0"/>
          <w:cols w:space="720"/>
          <w:noEndnote/>
          <w:docGrid w:linePitch="360"/>
        </w:sectPr>
      </w:pPr>
      <w:r>
        <w:rPr>
          <w:rFonts w:ascii="Arial" w:eastAsia="Arial" w:hAnsi="Arial" w:cs="Arial"/>
          <w:sz w:val="38"/>
          <w:szCs w:val="38"/>
        </w:rPr>
        <w:t>FjffiomnosLx</w:t>
      </w:r>
    </w:p>
    <w:p w:rsidR="00500724" w:rsidRDefault="00500724">
      <w:pPr>
        <w:spacing w:line="64" w:lineRule="exact"/>
        <w:rPr>
          <w:sz w:val="5"/>
          <w:szCs w:val="5"/>
        </w:rPr>
      </w:pPr>
    </w:p>
    <w:p w:rsidR="00500724" w:rsidRDefault="00500724">
      <w:pPr>
        <w:spacing w:line="14" w:lineRule="exact"/>
        <w:sectPr w:rsidR="00500724">
          <w:footnotePr>
            <w:numFmt w:val="chicago"/>
            <w:numRestart w:val="eachPage"/>
          </w:footnotePr>
          <w:type w:val="continuous"/>
          <w:pgSz w:w="11909" w:h="16834"/>
          <w:pgMar w:top="817" w:right="0" w:bottom="928" w:left="0" w:header="0" w:footer="3" w:gutter="0"/>
          <w:cols w:space="720"/>
          <w:noEndnote/>
          <w:docGrid w:linePitch="360"/>
        </w:sectPr>
      </w:pPr>
    </w:p>
    <w:p w:rsidR="00500724" w:rsidRDefault="00F30FB8">
      <w:pPr>
        <w:pStyle w:val="Zkladntext1"/>
        <w:shd w:val="clear" w:color="auto" w:fill="auto"/>
        <w:spacing w:after="100" w:line="202" w:lineRule="auto"/>
        <w:ind w:firstLine="0"/>
        <w:jc w:val="center"/>
        <w:rPr>
          <w:sz w:val="18"/>
          <w:szCs w:val="18"/>
        </w:rPr>
      </w:pPr>
      <w:r>
        <w:rPr>
          <w:sz w:val="18"/>
          <w:szCs w:val="18"/>
        </w:rPr>
        <w:t>Vyvážet nebo zemřít</w:t>
      </w:r>
    </w:p>
    <w:p w:rsidR="00500724" w:rsidRDefault="00F30FB8">
      <w:pPr>
        <w:pStyle w:val="Zkladntext1"/>
        <w:shd w:val="clear" w:color="auto" w:fill="auto"/>
        <w:spacing w:line="202" w:lineRule="auto"/>
        <w:rPr>
          <w:sz w:val="18"/>
          <w:szCs w:val="18"/>
        </w:rPr>
      </w:pPr>
      <w:r>
        <w:rPr>
          <w:sz w:val="18"/>
          <w:szCs w:val="18"/>
        </w:rPr>
        <w:t xml:space="preserve">CTK. </w:t>
      </w:r>
      <w:r>
        <w:rPr>
          <w:sz w:val="18"/>
          <w:szCs w:val="18"/>
        </w:rPr>
        <w:t>Lipsko. Letošního podzimního veletrhu v Lipsku ne</w:t>
      </w:r>
      <w:r>
        <w:rPr>
          <w:sz w:val="18"/>
          <w:szCs w:val="18"/>
        </w:rPr>
        <w:softHyphen/>
        <w:t>zúčastní se jednotliví vystavovatelé z Čech a Moravy, nýbrž obeslalo jej ministerstvo obchodu rozsáhlou exposicí podle vý</w:t>
      </w:r>
      <w:r>
        <w:rPr>
          <w:sz w:val="18"/>
          <w:szCs w:val="18"/>
        </w:rPr>
        <w:softHyphen/>
        <w:t>tvarných návrhů arch. Hesouna.</w:t>
      </w:r>
    </w:p>
    <w:p w:rsidR="00500724" w:rsidRDefault="00F30FB8">
      <w:pPr>
        <w:pStyle w:val="Zkladntext1"/>
        <w:shd w:val="clear" w:color="auto" w:fill="auto"/>
        <w:spacing w:after="240" w:line="199" w:lineRule="auto"/>
        <w:rPr>
          <w:sz w:val="18"/>
          <w:szCs w:val="18"/>
        </w:rPr>
      </w:pPr>
      <w:r>
        <w:rPr>
          <w:sz w:val="18"/>
          <w:szCs w:val="18"/>
        </w:rPr>
        <w:t>Středem pozornosti četných návštěvníků je ta část výs</w:t>
      </w:r>
      <w:r>
        <w:rPr>
          <w:sz w:val="18"/>
          <w:szCs w:val="18"/>
        </w:rPr>
        <w:t>tavy, jež pod nadpisem „Vyvážet nebo zemřít“ ukazuje ve formě výtvarných diagramů, že Čechy a Morava mají při stej</w:t>
      </w:r>
      <w:r>
        <w:rPr>
          <w:sz w:val="18"/>
          <w:szCs w:val="18"/>
        </w:rPr>
        <w:softHyphen/>
        <w:t>ném podílu obyvatelstva zaměstnaného v průmyslu a živno</w:t>
      </w:r>
      <w:r>
        <w:rPr>
          <w:sz w:val="18"/>
          <w:szCs w:val="18"/>
        </w:rPr>
        <w:softHyphen/>
        <w:t>stech daleko větší hustotu obyvatelstva než v ostatní Říši (u nás 150, v Říši 135 oby</w:t>
      </w:r>
      <w:r>
        <w:rPr>
          <w:sz w:val="18"/>
          <w:szCs w:val="18"/>
        </w:rPr>
        <w:t>vatel na 1 čtver. km). K tomu se připojuje další plastický diagram, ukazující, že národní důchod náš je asi o polovinu menší než v Říši a podíl jeho, tvořený vývozem, zejména průmyslovým vývozem, je naopak nepo</w:t>
      </w:r>
      <w:r>
        <w:rPr>
          <w:sz w:val="18"/>
          <w:szCs w:val="18"/>
        </w:rPr>
        <w:softHyphen/>
        <w:t>měrně vyšší. Z toho plyne požadavek přiměřeně</w:t>
      </w:r>
      <w:r>
        <w:rPr>
          <w:sz w:val="18"/>
          <w:szCs w:val="18"/>
        </w:rPr>
        <w:t xml:space="preserve"> vysokého vý</w:t>
      </w:r>
      <w:r>
        <w:rPr>
          <w:sz w:val="18"/>
          <w:szCs w:val="18"/>
        </w:rPr>
        <w:softHyphen/>
        <w:t>vozu a rovněž hospodářské samostatnosti naší jakožto pod</w:t>
      </w:r>
      <w:r>
        <w:rPr>
          <w:sz w:val="18"/>
          <w:szCs w:val="18"/>
        </w:rPr>
        <w:softHyphen/>
        <w:t>kladu národní svébytnosti a politické autonomie.</w:t>
      </w:r>
    </w:p>
    <w:p w:rsidR="00500724" w:rsidRDefault="00F30FB8">
      <w:pPr>
        <w:pStyle w:val="Zkladntext1"/>
        <w:shd w:val="clear" w:color="auto" w:fill="auto"/>
        <w:spacing w:after="120" w:line="202" w:lineRule="auto"/>
        <w:ind w:firstLine="0"/>
        <w:jc w:val="center"/>
        <w:rPr>
          <w:sz w:val="18"/>
          <w:szCs w:val="18"/>
        </w:rPr>
      </w:pPr>
      <w:r>
        <w:rPr>
          <w:sz w:val="18"/>
          <w:szCs w:val="18"/>
        </w:rPr>
        <w:t>Jak se revidovaly učebnice</w:t>
      </w:r>
    </w:p>
    <w:p w:rsidR="00500724" w:rsidRDefault="00F30FB8">
      <w:pPr>
        <w:pStyle w:val="Zkladntext1"/>
        <w:shd w:val="clear" w:color="auto" w:fill="auto"/>
        <w:spacing w:line="202" w:lineRule="auto"/>
        <w:rPr>
          <w:sz w:val="18"/>
          <w:szCs w:val="18"/>
        </w:rPr>
      </w:pPr>
      <w:r>
        <w:rPr>
          <w:sz w:val="18"/>
          <w:szCs w:val="18"/>
        </w:rPr>
        <w:t>Důsledky předprázdninové revise učebnic projeví se prak</w:t>
      </w:r>
      <w:r>
        <w:rPr>
          <w:sz w:val="18"/>
          <w:szCs w:val="18"/>
        </w:rPr>
        <w:softHyphen/>
        <w:t>ticky teprve začátkem nastávajícího školního roku. Sta</w:t>
      </w:r>
      <w:r>
        <w:rPr>
          <w:sz w:val="18"/>
          <w:szCs w:val="18"/>
        </w:rPr>
        <w:t>rší učebnice, děděné po dorůstajících sourozencích, nebo sklady některých druhů chudinských učebnic na školách stanou se najednou počátkem školního roku bezcenné. Je třeba na to upozornit hned teď, aby se zachránilo z národního majetku aspoň něco, než plam</w:t>
      </w:r>
      <w:r>
        <w:rPr>
          <w:sz w:val="18"/>
          <w:szCs w:val="18"/>
        </w:rPr>
        <w:t>eny kuchyňských a školních kamen pro</w:t>
      </w:r>
      <w:r>
        <w:rPr>
          <w:sz w:val="18"/>
          <w:szCs w:val="18"/>
        </w:rPr>
        <w:softHyphen/>
        <w:t>mění sklady knih v šedivý popel. Že jde skutečně o národní majetek, toho dokladem je odhad ceny učebnic na školách ná</w:t>
      </w:r>
      <w:r>
        <w:rPr>
          <w:sz w:val="18"/>
          <w:szCs w:val="18"/>
        </w:rPr>
        <w:softHyphen/>
        <w:t>rodních, odborných a středních, kterou revisní komise určila na dvě stě milionů korun. Jde jen o knih</w:t>
      </w:r>
      <w:r>
        <w:rPr>
          <w:sz w:val="18"/>
          <w:szCs w:val="18"/>
        </w:rPr>
        <w:t>y v obchodě bez anti</w:t>
      </w:r>
      <w:r>
        <w:rPr>
          <w:sz w:val="18"/>
          <w:szCs w:val="18"/>
        </w:rPr>
        <w:softHyphen/>
        <w:t>kvariátů a knihoven. Je vidět, že při revisi hrála tedy roli i otázka hospodářská.</w:t>
      </w:r>
    </w:p>
    <w:p w:rsidR="00500724" w:rsidRDefault="00F30FB8">
      <w:pPr>
        <w:pStyle w:val="Zkladntext1"/>
        <w:shd w:val="clear" w:color="auto" w:fill="auto"/>
        <w:spacing w:line="199" w:lineRule="auto"/>
        <w:rPr>
          <w:sz w:val="18"/>
          <w:szCs w:val="18"/>
        </w:rPr>
      </w:pPr>
      <w:r>
        <w:rPr>
          <w:sz w:val="18"/>
          <w:szCs w:val="18"/>
        </w:rPr>
        <w:t>Oč šlo při revisi knih? Podle Věstníku pedagogického mu</w:t>
      </w:r>
      <w:r>
        <w:rPr>
          <w:sz w:val="18"/>
          <w:szCs w:val="18"/>
        </w:rPr>
        <w:softHyphen/>
        <w:t>sela být každá učebnice písemně posouzena odborníky. Ne</w:t>
      </w:r>
      <w:r>
        <w:rPr>
          <w:sz w:val="18"/>
          <w:szCs w:val="18"/>
        </w:rPr>
        <w:softHyphen/>
        <w:t xml:space="preserve">byla to práce snadná. Písemně a s </w:t>
      </w:r>
      <w:r>
        <w:rPr>
          <w:sz w:val="18"/>
          <w:szCs w:val="18"/>
        </w:rPr>
        <w:t>odpovědností posoudit na dvanáct set učebnic, probírat se důkladně stránku za strán</w:t>
      </w:r>
      <w:r>
        <w:rPr>
          <w:sz w:val="18"/>
          <w:szCs w:val="18"/>
        </w:rPr>
        <w:softHyphen/>
        <w:t>kou počtářskou knihou, piplat se skoro s každou větou, ba i slovíčkem v řadě dějepisů a zeměpisů, udělat si nucenou procházku všelijakými čítankami s mravoučnými články, to</w:t>
      </w:r>
      <w:r>
        <w:rPr>
          <w:sz w:val="18"/>
          <w:szCs w:val="18"/>
        </w:rPr>
        <w:t xml:space="preserve"> věru nebyla práce hodná závidění. Při tom se musilo postu- povati přesně podle vydaných šablon, nesměly se překročit revisní podmínky výchovné, národní, státní, pedagogické, křesťanské, metodické, technické a pod.</w:t>
      </w:r>
    </w:p>
    <w:p w:rsidR="00500724" w:rsidRDefault="00F30FB8">
      <w:pPr>
        <w:pStyle w:val="Zkladntext1"/>
        <w:shd w:val="clear" w:color="auto" w:fill="auto"/>
        <w:spacing w:line="214" w:lineRule="auto"/>
        <w:rPr>
          <w:sz w:val="18"/>
          <w:szCs w:val="18"/>
        </w:rPr>
      </w:pPr>
      <w:r>
        <w:rPr>
          <w:sz w:val="18"/>
          <w:szCs w:val="18"/>
        </w:rPr>
        <w:t>Celkem šlo o prohlídku 156 učebnic pro če</w:t>
      </w:r>
      <w:r>
        <w:rPr>
          <w:sz w:val="18"/>
          <w:szCs w:val="18"/>
        </w:rPr>
        <w:t>ské školy obecné, 235 knih pro školy měšťanské, 352 učebnic pro české školy střední a učitelské ústavy a konečně 450 knih pro školy od</w:t>
      </w:r>
      <w:r>
        <w:rPr>
          <w:sz w:val="18"/>
          <w:szCs w:val="18"/>
        </w:rPr>
        <w:softHyphen/>
        <w:t>borné, obchodní, průmyslové, rodinné a živnostenské. Na vy</w:t>
      </w:r>
      <w:r>
        <w:rPr>
          <w:sz w:val="18"/>
          <w:szCs w:val="18"/>
        </w:rPr>
        <w:softHyphen/>
        <w:t>dáních těchto knih je zúčastněno pětadvacet nakladatelů. Ze vš</w:t>
      </w:r>
      <w:r>
        <w:rPr>
          <w:sz w:val="18"/>
          <w:szCs w:val="18"/>
        </w:rPr>
        <w:t>ech zavedených knih nevyhovuje na školách obecných asi 11 procent, na měšťanských 16 procent a na školách středních 9 procent.' Přihlédneme-li k jednotlivým předmětům, nevyho</w:t>
      </w:r>
      <w:r>
        <w:rPr>
          <w:sz w:val="18"/>
          <w:szCs w:val="18"/>
        </w:rPr>
        <w:softHyphen/>
        <w:t>vují skoro všechny učebnice zeměpisu a dějepisu. Také pře</w:t>
      </w:r>
      <w:r>
        <w:rPr>
          <w:sz w:val="18"/>
          <w:szCs w:val="18"/>
        </w:rPr>
        <w:softHyphen/>
        <w:t>vážná část čítanek má m</w:t>
      </w:r>
      <w:r>
        <w:rPr>
          <w:sz w:val="18"/>
          <w:szCs w:val="18"/>
        </w:rPr>
        <w:t>nohé závady, které se musí odstra</w:t>
      </w:r>
      <w:r>
        <w:rPr>
          <w:sz w:val="18"/>
          <w:szCs w:val="18"/>
        </w:rPr>
        <w:softHyphen/>
        <w:t>nit postupně. Bude tedy vzato počátkem školního roku z oběhu deset procent jednotlivých dílů zavedených učebnic a asi šedesát procent bude nutno opravit při příštích vydáních.</w:t>
      </w:r>
    </w:p>
    <w:p w:rsidR="00500724" w:rsidRDefault="00F30FB8">
      <w:pPr>
        <w:pStyle w:val="Zkladntext1"/>
        <w:shd w:val="clear" w:color="auto" w:fill="auto"/>
        <w:spacing w:after="120" w:line="214" w:lineRule="auto"/>
        <w:ind w:firstLine="0"/>
        <w:jc w:val="right"/>
        <w:rPr>
          <w:sz w:val="18"/>
          <w:szCs w:val="18"/>
        </w:rPr>
      </w:pPr>
      <w:r>
        <w:rPr>
          <w:i/>
          <w:iCs/>
          <w:sz w:val="18"/>
          <w:szCs w:val="18"/>
        </w:rPr>
        <w:t>(„Lidové noviny“)</w:t>
      </w:r>
    </w:p>
    <w:p w:rsidR="00500724" w:rsidRDefault="00F30FB8">
      <w:pPr>
        <w:pStyle w:val="Zkladntext1"/>
        <w:shd w:val="clear" w:color="auto" w:fill="auto"/>
        <w:spacing w:after="80" w:line="202" w:lineRule="auto"/>
        <w:ind w:firstLine="0"/>
        <w:jc w:val="center"/>
        <w:rPr>
          <w:sz w:val="18"/>
          <w:szCs w:val="18"/>
        </w:rPr>
      </w:pPr>
      <w:r>
        <w:rPr>
          <w:sz w:val="18"/>
          <w:szCs w:val="18"/>
        </w:rPr>
        <w:t>Národní divadlo zahajuje</w:t>
      </w:r>
    </w:p>
    <w:p w:rsidR="00500724" w:rsidRDefault="00F30FB8">
      <w:pPr>
        <w:pStyle w:val="Zkladntext1"/>
        <w:shd w:val="clear" w:color="auto" w:fill="auto"/>
        <w:spacing w:line="216" w:lineRule="auto"/>
        <w:rPr>
          <w:sz w:val="18"/>
          <w:szCs w:val="18"/>
        </w:rPr>
      </w:pPr>
      <w:r>
        <w:rPr>
          <w:sz w:val="18"/>
          <w:szCs w:val="18"/>
        </w:rPr>
        <w:t>Býv</w:t>
      </w:r>
      <w:r>
        <w:rPr>
          <w:sz w:val="18"/>
          <w:szCs w:val="18"/>
        </w:rPr>
        <w:t>al to den jako jiný, když Národní divadlo po prázdni</w:t>
      </w:r>
      <w:r>
        <w:rPr>
          <w:sz w:val="18"/>
          <w:szCs w:val="18"/>
        </w:rPr>
        <w:softHyphen/>
        <w:t>nách znovu otvíralo své brány: prostě zahajovalo delší sezónu. A přece tentokrát se zdá ten den nějak významnějším. I Ná</w:t>
      </w:r>
      <w:r>
        <w:rPr>
          <w:sz w:val="18"/>
          <w:szCs w:val="18"/>
        </w:rPr>
        <w:softHyphen/>
        <w:t>rodnímu divadlu jako by se nyní zplna zase vracel ten symbo</w:t>
      </w:r>
      <w:r>
        <w:rPr>
          <w:sz w:val="18"/>
          <w:szCs w:val="18"/>
        </w:rPr>
        <w:softHyphen/>
        <w:t>lický význam, jímž pře</w:t>
      </w:r>
      <w:r>
        <w:rPr>
          <w:sz w:val="18"/>
          <w:szCs w:val="18"/>
        </w:rPr>
        <w:t>růstalo své umělecké poslání. A vpravdě bylo také vždy něčím víc: právě symbolem národního sebevě</w:t>
      </w:r>
      <w:r>
        <w:rPr>
          <w:sz w:val="18"/>
          <w:szCs w:val="18"/>
        </w:rPr>
        <w:softHyphen/>
        <w:t xml:space="preserve">domí a rozmachu, jež si jím samy sobě vytvořily památník a chrám. Jím si národ názorně uvědomoval svůj život a růst, sám sebe jím uctíval, protože si je také </w:t>
      </w:r>
      <w:r>
        <w:rPr>
          <w:sz w:val="18"/>
          <w:szCs w:val="18"/>
        </w:rPr>
        <w:t>sám vybudoval, na nic a na nikoho se nespoléhaje, leč na sebe, na svou sílu a obě</w:t>
      </w:r>
      <w:r>
        <w:rPr>
          <w:sz w:val="18"/>
          <w:szCs w:val="18"/>
        </w:rPr>
        <w:softHyphen/>
        <w:t>tavost, nezdolnou ve víře. Proto ten právem hrdý nápis „Národ sobě“ na jeho štítě.</w:t>
      </w:r>
    </w:p>
    <w:p w:rsidR="00500724" w:rsidRDefault="00F30FB8">
      <w:pPr>
        <w:pStyle w:val="Zkladntext1"/>
        <w:shd w:val="clear" w:color="auto" w:fill="auto"/>
        <w:spacing w:after="40" w:line="216" w:lineRule="auto"/>
        <w:rPr>
          <w:sz w:val="18"/>
          <w:szCs w:val="18"/>
        </w:rPr>
      </w:pPr>
      <w:r>
        <w:rPr>
          <w:sz w:val="18"/>
          <w:szCs w:val="18"/>
        </w:rPr>
        <w:t>A v přímé spojitosti s tím je dnes Národní divadlo znovu symbolem ještě jiné skutečnosti: s</w:t>
      </w:r>
      <w:r>
        <w:rPr>
          <w:sz w:val="18"/>
          <w:szCs w:val="18"/>
        </w:rPr>
        <w:t>amými dějinami svého vzni</w:t>
      </w:r>
      <w:r>
        <w:rPr>
          <w:sz w:val="18"/>
          <w:szCs w:val="18"/>
        </w:rPr>
        <w:softHyphen/>
        <w:t>ku. Budováno z příspěvků nejširších vrstev, i těch nejchudších, rostlo jako výtvor i jako výraz národního společenství, objí</w:t>
      </w:r>
      <w:r>
        <w:rPr>
          <w:sz w:val="18"/>
          <w:szCs w:val="18"/>
        </w:rPr>
        <w:softHyphen/>
        <w:t>majícího jednoho každého a všechny bez rozdílu: znázorňovalo nedílnou jednotu národa a lidu, pokračujíc t</w:t>
      </w:r>
      <w:r>
        <w:rPr>
          <w:sz w:val="18"/>
          <w:szCs w:val="18"/>
        </w:rPr>
        <w:t>akto v tradici čes</w:t>
      </w:r>
      <w:r>
        <w:rPr>
          <w:sz w:val="18"/>
          <w:szCs w:val="18"/>
        </w:rPr>
        <w:softHyphen/>
        <w:t>kého novodobého divadla od jeho prvních kroků. Neboť komu že hrávali „vlastencové z Boudy“, potom herci Štěpánkovi a Tylovi nežli obecenstvu nejlidovějšímu, tovaryšům a řemeslní</w:t>
      </w:r>
      <w:r>
        <w:rPr>
          <w:sz w:val="18"/>
          <w:szCs w:val="18"/>
        </w:rPr>
        <w:softHyphen/>
        <w:t>kům? Jen a jen tak se stalo české divadlo nad jiné mocným n</w:t>
      </w:r>
      <w:r>
        <w:rPr>
          <w:sz w:val="18"/>
          <w:szCs w:val="18"/>
        </w:rPr>
        <w:t>ástrojem národního obrození a uvědomení, zůstávajíc věrno tomu národně lidovému duchu i ve výtvorech svých dramatiků od Klicpery a Tyla až potom k Jiráskovi, Dvořákovi a Čap</w:t>
      </w:r>
      <w:r>
        <w:rPr>
          <w:sz w:val="18"/>
          <w:szCs w:val="18"/>
        </w:rPr>
        <w:softHyphen/>
        <w:t>kovi.. České divadlo značívalo víc než zdroj estetického okouz</w:t>
      </w:r>
      <w:r>
        <w:rPr>
          <w:sz w:val="18"/>
          <w:szCs w:val="18"/>
        </w:rPr>
        <w:softHyphen/>
        <w:t>lení, neřku-li pouh</w:t>
      </w:r>
      <w:r>
        <w:rPr>
          <w:sz w:val="18"/>
          <w:szCs w:val="18"/>
        </w:rPr>
        <w:t>é zábavy. A jako by se mu nyní nebývalé vracelo i cosi z toho poslání. Operní cyklus s díly Smetano</w:t>
      </w:r>
      <w:r>
        <w:rPr>
          <w:sz w:val="18"/>
          <w:szCs w:val="18"/>
        </w:rPr>
        <w:softHyphen/>
        <w:t>vými i cyklus české činohry ukázaly, že český divák vstupuje dnes znovu do hledišť, aby tam především a dychtivě naslou</w:t>
      </w:r>
      <w:r>
        <w:rPr>
          <w:sz w:val="18"/>
          <w:szCs w:val="18"/>
        </w:rPr>
        <w:softHyphen/>
        <w:t>chal hlasu národní duše a sudby, jej</w:t>
      </w:r>
      <w:r>
        <w:rPr>
          <w:sz w:val="18"/>
          <w:szCs w:val="18"/>
        </w:rPr>
        <w:t>ích dějin hrdinských i tra</w:t>
      </w:r>
      <w:r>
        <w:rPr>
          <w:sz w:val="18"/>
          <w:szCs w:val="18"/>
        </w:rPr>
        <w:softHyphen/>
        <w:t>gických, její úzkosti i víry, jenž k němu promlouvá z výtvorů českého skladatele a básníka.</w:t>
      </w:r>
    </w:p>
    <w:p w:rsidR="00500724" w:rsidRDefault="00F30FB8">
      <w:pPr>
        <w:pStyle w:val="Zkladntext1"/>
        <w:numPr>
          <w:ilvl w:val="0"/>
          <w:numId w:val="107"/>
        </w:numPr>
        <w:shd w:val="clear" w:color="auto" w:fill="auto"/>
        <w:tabs>
          <w:tab w:val="left" w:pos="447"/>
        </w:tabs>
        <w:spacing w:after="40" w:line="194" w:lineRule="auto"/>
        <w:ind w:firstLine="240"/>
        <w:rPr>
          <w:sz w:val="18"/>
          <w:szCs w:val="18"/>
        </w:rPr>
      </w:pPr>
      <w:r>
        <w:rPr>
          <w:sz w:val="18"/>
          <w:szCs w:val="18"/>
        </w:rPr>
        <w:t>tom, že takto uskutečňuje pocit národního společenství, jež dává přímo prožívat, tkví dnes nebývalé poslání českého divadla a Národního p</w:t>
      </w:r>
      <w:r>
        <w:rPr>
          <w:sz w:val="18"/>
          <w:szCs w:val="18"/>
        </w:rPr>
        <w:t>řede všemi.</w:t>
      </w:r>
    </w:p>
    <w:p w:rsidR="00500724" w:rsidRDefault="00F30FB8">
      <w:pPr>
        <w:pStyle w:val="Zkladntext1"/>
        <w:shd w:val="clear" w:color="auto" w:fill="auto"/>
        <w:spacing w:after="240" w:line="194" w:lineRule="auto"/>
        <w:ind w:firstLine="0"/>
        <w:jc w:val="right"/>
        <w:rPr>
          <w:sz w:val="18"/>
          <w:szCs w:val="18"/>
        </w:rPr>
      </w:pPr>
      <w:r>
        <w:rPr>
          <w:i/>
          <w:iCs/>
          <w:sz w:val="18"/>
          <w:szCs w:val="18"/>
        </w:rPr>
        <w:t>(A. M. Pisa v , (Národní práci“)</w:t>
      </w:r>
    </w:p>
    <w:p w:rsidR="00500724" w:rsidRDefault="00F30FB8">
      <w:pPr>
        <w:pStyle w:val="Zkladntext1"/>
        <w:shd w:val="clear" w:color="auto" w:fill="auto"/>
        <w:spacing w:after="120" w:line="199" w:lineRule="auto"/>
        <w:ind w:firstLine="0"/>
        <w:jc w:val="center"/>
        <w:rPr>
          <w:sz w:val="18"/>
          <w:szCs w:val="18"/>
        </w:rPr>
      </w:pPr>
      <w:r>
        <w:rPr>
          <w:sz w:val="18"/>
          <w:szCs w:val="18"/>
        </w:rPr>
        <w:t>Nová úřední opatření v českém filmu</w:t>
      </w:r>
    </w:p>
    <w:p w:rsidR="00500724" w:rsidRDefault="00F30FB8">
      <w:pPr>
        <w:pStyle w:val="Zkladntext1"/>
        <w:shd w:val="clear" w:color="auto" w:fill="auto"/>
        <w:spacing w:after="40" w:line="185" w:lineRule="auto"/>
        <w:ind w:firstLine="240"/>
        <w:rPr>
          <w:sz w:val="18"/>
          <w:szCs w:val="18"/>
        </w:rPr>
      </w:pPr>
      <w:r>
        <w:rPr>
          <w:sz w:val="18"/>
          <w:szCs w:val="18"/>
        </w:rPr>
        <w:t>Ve schůzi Filmového poradního sboru byly přijaty tyto nové zásady, jimiž se v budoucnu musí řídit česká filmová výroba:</w:t>
      </w:r>
    </w:p>
    <w:p w:rsidR="00500724" w:rsidRDefault="00F30FB8">
      <w:pPr>
        <w:pStyle w:val="Zkladntext1"/>
        <w:numPr>
          <w:ilvl w:val="0"/>
          <w:numId w:val="111"/>
        </w:numPr>
        <w:shd w:val="clear" w:color="auto" w:fill="auto"/>
        <w:tabs>
          <w:tab w:val="left" w:pos="481"/>
        </w:tabs>
        <w:spacing w:after="40" w:line="192" w:lineRule="auto"/>
        <w:ind w:firstLine="240"/>
        <w:rPr>
          <w:sz w:val="18"/>
          <w:szCs w:val="18"/>
        </w:rPr>
      </w:pPr>
      <w:r>
        <w:rPr>
          <w:sz w:val="18"/>
          <w:szCs w:val="18"/>
        </w:rPr>
        <w:t xml:space="preserve">Aby nebyly připuštěny k promítání v českých biografech </w:t>
      </w:r>
      <w:r>
        <w:rPr>
          <w:sz w:val="18"/>
          <w:szCs w:val="18"/>
        </w:rPr>
        <w:t>ony filmy, v nichž hlavní role hrají židovští herci. Při tom budiž postupováno analogicky podle zásad, platných v tomto směru v Říši.</w:t>
      </w:r>
    </w:p>
    <w:p w:rsidR="00500724" w:rsidRDefault="00F30FB8">
      <w:pPr>
        <w:pStyle w:val="Zkladntext1"/>
        <w:numPr>
          <w:ilvl w:val="0"/>
          <w:numId w:val="111"/>
        </w:numPr>
        <w:shd w:val="clear" w:color="auto" w:fill="auto"/>
        <w:tabs>
          <w:tab w:val="left" w:pos="452"/>
        </w:tabs>
        <w:spacing w:after="40" w:line="192" w:lineRule="auto"/>
        <w:ind w:firstLine="240"/>
        <w:rPr>
          <w:sz w:val="18"/>
          <w:szCs w:val="18"/>
        </w:rPr>
      </w:pPr>
      <w:r>
        <w:rPr>
          <w:sz w:val="18"/>
          <w:szCs w:val="18"/>
        </w:rPr>
        <w:t>Aby nebyly vzaty na vědomí výrobní programy oněch filmů, na jejichž výrobě jsou jakýmkoliv způsobem účastni nearijci. Na t</w:t>
      </w:r>
      <w:r>
        <w:rPr>
          <w:sz w:val="18"/>
          <w:szCs w:val="18"/>
        </w:rPr>
        <w:t>yto filmy také nebudou udělovány podpory z veřejných prostředků.</w:t>
      </w:r>
    </w:p>
    <w:p w:rsidR="00500724" w:rsidRDefault="00F30FB8">
      <w:pPr>
        <w:pStyle w:val="Zkladntext1"/>
        <w:numPr>
          <w:ilvl w:val="0"/>
          <w:numId w:val="111"/>
        </w:numPr>
        <w:shd w:val="clear" w:color="auto" w:fill="auto"/>
        <w:tabs>
          <w:tab w:val="left" w:pos="476"/>
        </w:tabs>
        <w:spacing w:after="40" w:line="192" w:lineRule="auto"/>
        <w:ind w:firstLine="240"/>
        <w:rPr>
          <w:sz w:val="18"/>
          <w:szCs w:val="18"/>
        </w:rPr>
      </w:pPr>
      <w:r>
        <w:rPr>
          <w:sz w:val="18"/>
          <w:szCs w:val="18"/>
        </w:rPr>
        <w:t>Totéž platí o filmech, na jejichž výrobě jsou účastni pro</w:t>
      </w:r>
      <w:r>
        <w:rPr>
          <w:sz w:val="18"/>
          <w:szCs w:val="18"/>
        </w:rPr>
        <w:softHyphen/>
        <w:t>kázaní členové zednářských lóži, o nichž je to v době rozhodování o vzeti na vědomí známo. Pokud jde o scénáře, koupené po 1. září 19</w:t>
      </w:r>
      <w:r>
        <w:rPr>
          <w:sz w:val="18"/>
          <w:szCs w:val="18"/>
        </w:rPr>
        <w:t>39, budiž předem vyžádáno dobré zdání v tomto směru u VIII. sekce Kulturní rady Národního sou</w:t>
      </w:r>
      <w:r>
        <w:rPr>
          <w:sz w:val="18"/>
          <w:szCs w:val="18"/>
        </w:rPr>
        <w:softHyphen/>
        <w:t>ručenství.</w:t>
      </w:r>
    </w:p>
    <w:p w:rsidR="00500724" w:rsidRDefault="00F30FB8">
      <w:pPr>
        <w:pStyle w:val="Zkladntext1"/>
        <w:numPr>
          <w:ilvl w:val="0"/>
          <w:numId w:val="111"/>
        </w:numPr>
        <w:shd w:val="clear" w:color="auto" w:fill="auto"/>
        <w:tabs>
          <w:tab w:val="left" w:pos="481"/>
        </w:tabs>
        <w:spacing w:after="240" w:line="194" w:lineRule="auto"/>
        <w:ind w:firstLine="240"/>
        <w:rPr>
          <w:sz w:val="18"/>
          <w:szCs w:val="18"/>
        </w:rPr>
      </w:pPr>
      <w:r>
        <w:rPr>
          <w:sz w:val="18"/>
          <w:szCs w:val="18"/>
        </w:rPr>
        <w:t>Toto usnesení se nebude vztahovat na filmy, jejichž vý</w:t>
      </w:r>
      <w:r>
        <w:rPr>
          <w:sz w:val="18"/>
          <w:szCs w:val="18"/>
        </w:rPr>
        <w:softHyphen/>
        <w:t>robní program byl vzat na vědomi, i když bude dodatečně zjištěna účast svobodného zednáře. Výrob</w:t>
      </w:r>
      <w:r>
        <w:rPr>
          <w:sz w:val="18"/>
          <w:szCs w:val="18"/>
        </w:rPr>
        <w:t>ní program u filmu, který nebyl vzat na vědomí pro účast svobodného zednáře ve výrobě filmu, bude při výměně dotyčné osoby osobou nezávad</w:t>
      </w:r>
      <w:r>
        <w:rPr>
          <w:sz w:val="18"/>
          <w:szCs w:val="18"/>
        </w:rPr>
        <w:softHyphen/>
        <w:t>nou považován za nový výrobní program.</w:t>
      </w:r>
    </w:p>
    <w:p w:rsidR="00500724" w:rsidRDefault="00F30FB8">
      <w:pPr>
        <w:pStyle w:val="Zkladntext1"/>
        <w:shd w:val="clear" w:color="auto" w:fill="auto"/>
        <w:spacing w:after="120" w:line="199" w:lineRule="auto"/>
        <w:ind w:firstLine="0"/>
        <w:jc w:val="center"/>
        <w:rPr>
          <w:sz w:val="18"/>
          <w:szCs w:val="18"/>
        </w:rPr>
      </w:pPr>
      <w:r>
        <w:rPr>
          <w:sz w:val="18"/>
          <w:szCs w:val="18"/>
        </w:rPr>
        <w:t>Pomník dra A. Zátky v Č. Budějovicích odstraněn</w:t>
      </w:r>
    </w:p>
    <w:p w:rsidR="00500724" w:rsidRDefault="00F30FB8">
      <w:pPr>
        <w:pStyle w:val="Zkladntext1"/>
        <w:shd w:val="clear" w:color="auto" w:fill="auto"/>
        <w:spacing w:after="160" w:line="202" w:lineRule="auto"/>
        <w:ind w:firstLine="240"/>
        <w:rPr>
          <w:sz w:val="18"/>
          <w:szCs w:val="18"/>
        </w:rPr>
      </w:pPr>
      <w:r>
        <w:rPr>
          <w:sz w:val="18"/>
          <w:szCs w:val="18"/>
        </w:rPr>
        <w:t>Časopis „Jihočeská jednota“ při</w:t>
      </w:r>
      <w:r>
        <w:rPr>
          <w:sz w:val="18"/>
          <w:szCs w:val="18"/>
        </w:rPr>
        <w:t>náší následující zprávu: „Ve čtvrtek začalo se s odstraňováním pomníku dra A. Zátky, který stál před radnicí. Nejdříve byla opatrně sejmuta kovová socha a neporušená dopravena do městského musea. Těžký vysoký mramorový podstavec, na němž socha stála, byl u</w:t>
      </w:r>
      <w:r>
        <w:rPr>
          <w:sz w:val="18"/>
          <w:szCs w:val="18"/>
        </w:rPr>
        <w:t>ložen ve dvoře radnice.“</w:t>
      </w:r>
    </w:p>
    <w:p w:rsidR="00500724" w:rsidRDefault="00F30FB8">
      <w:pPr>
        <w:pStyle w:val="Zkladntext1"/>
        <w:shd w:val="clear" w:color="auto" w:fill="auto"/>
        <w:spacing w:after="120" w:line="199" w:lineRule="auto"/>
        <w:ind w:firstLine="0"/>
        <w:jc w:val="center"/>
        <w:rPr>
          <w:sz w:val="18"/>
          <w:szCs w:val="18"/>
        </w:rPr>
      </w:pPr>
      <w:r>
        <w:rPr>
          <w:sz w:val="18"/>
          <w:szCs w:val="18"/>
        </w:rPr>
        <w:t>čtyři hejtmani</w:t>
      </w:r>
    </w:p>
    <w:p w:rsidR="00500724" w:rsidRDefault="00F30FB8">
      <w:pPr>
        <w:pStyle w:val="Zkladntext1"/>
        <w:numPr>
          <w:ilvl w:val="0"/>
          <w:numId w:val="107"/>
        </w:numPr>
        <w:shd w:val="clear" w:color="auto" w:fill="auto"/>
        <w:tabs>
          <w:tab w:val="left" w:pos="510"/>
        </w:tabs>
        <w:spacing w:line="204" w:lineRule="auto"/>
        <w:ind w:firstLine="240"/>
        <w:rPr>
          <w:sz w:val="18"/>
          <w:szCs w:val="18"/>
        </w:rPr>
      </w:pPr>
      <w:r>
        <w:rPr>
          <w:sz w:val="18"/>
          <w:szCs w:val="18"/>
        </w:rPr>
        <w:t>Náchodě jsou nyní čtyři okresní hejtmani. Jeden je ak</w:t>
      </w:r>
      <w:r>
        <w:rPr>
          <w:sz w:val="18"/>
          <w:szCs w:val="18"/>
        </w:rPr>
        <w:softHyphen/>
      </w:r>
    </w:p>
    <w:p w:rsidR="00500724" w:rsidRDefault="00F30FB8">
      <w:pPr>
        <w:pStyle w:val="Zkladntext1"/>
        <w:shd w:val="clear" w:color="auto" w:fill="auto"/>
        <w:tabs>
          <w:tab w:val="left" w:pos="3787"/>
        </w:tabs>
        <w:spacing w:after="160" w:line="204" w:lineRule="auto"/>
        <w:ind w:firstLine="0"/>
        <w:rPr>
          <w:sz w:val="18"/>
          <w:szCs w:val="18"/>
        </w:rPr>
      </w:pPr>
      <w:r>
        <w:rPr>
          <w:sz w:val="18"/>
          <w:szCs w:val="18"/>
        </w:rPr>
        <w:t xml:space="preserve">tivní, JUDr. J. Šerpoň, a tři pensionování: ministerský rada B. Beyerle, vládní rada JUDr. Otakar </w:t>
      </w:r>
      <w:r>
        <w:rPr>
          <w:sz w:val="18"/>
          <w:szCs w:val="18"/>
          <w:lang w:val="en-US" w:eastAsia="en-US" w:bidi="en-US"/>
        </w:rPr>
        <w:t xml:space="preserve">Bayer </w:t>
      </w:r>
      <w:r>
        <w:rPr>
          <w:sz w:val="18"/>
          <w:szCs w:val="18"/>
        </w:rPr>
        <w:t>a vrchní rada J. Kučera.</w:t>
      </w:r>
      <w:r>
        <w:rPr>
          <w:sz w:val="18"/>
          <w:szCs w:val="18"/>
        </w:rPr>
        <w:tab/>
      </w:r>
      <w:r>
        <w:rPr>
          <w:i/>
          <w:iCs/>
          <w:sz w:val="18"/>
          <w:szCs w:val="18"/>
        </w:rPr>
        <w:t>(„Polední list“)</w:t>
      </w:r>
    </w:p>
    <w:p w:rsidR="00500724" w:rsidRDefault="00F30FB8">
      <w:pPr>
        <w:pStyle w:val="Zkladntext1"/>
        <w:shd w:val="clear" w:color="auto" w:fill="auto"/>
        <w:spacing w:after="120" w:line="199" w:lineRule="auto"/>
        <w:ind w:firstLine="0"/>
        <w:jc w:val="center"/>
        <w:rPr>
          <w:sz w:val="18"/>
          <w:szCs w:val="18"/>
        </w:rPr>
      </w:pPr>
      <w:r>
        <w:rPr>
          <w:sz w:val="18"/>
          <w:szCs w:val="18"/>
        </w:rPr>
        <w:t xml:space="preserve">Čech jmenován </w:t>
      </w:r>
      <w:r>
        <w:rPr>
          <w:sz w:val="18"/>
          <w:szCs w:val="18"/>
        </w:rPr>
        <w:t>profesorem v Bratislavě</w:t>
      </w:r>
    </w:p>
    <w:p w:rsidR="00500724" w:rsidRDefault="00F30FB8">
      <w:pPr>
        <w:pStyle w:val="Zkladntext1"/>
        <w:shd w:val="clear" w:color="auto" w:fill="auto"/>
        <w:spacing w:line="197" w:lineRule="auto"/>
        <w:ind w:firstLine="240"/>
        <w:rPr>
          <w:sz w:val="18"/>
          <w:szCs w:val="18"/>
        </w:rPr>
      </w:pPr>
      <w:r>
        <w:rPr>
          <w:sz w:val="18"/>
          <w:szCs w:val="18"/>
        </w:rPr>
        <w:t>Slovenská vláda potvrdila po souhlasu ministerstva školství a vyučování Slovenské krajiny řádným profesorem na sloven</w:t>
      </w:r>
      <w:r>
        <w:rPr>
          <w:sz w:val="18"/>
          <w:szCs w:val="18"/>
        </w:rPr>
        <w:softHyphen/>
        <w:t>ské universitě v Bratislavě pro starověké dějiny Ph. Vojtěcha Ondroucha, rodáka z hanáckých Smržic u Prostějova.</w:t>
      </w:r>
    </w:p>
    <w:p w:rsidR="00500724" w:rsidRDefault="00F30FB8">
      <w:pPr>
        <w:pStyle w:val="Zkladntext1"/>
        <w:shd w:val="clear" w:color="auto" w:fill="auto"/>
        <w:spacing w:after="160" w:line="197" w:lineRule="auto"/>
        <w:ind w:firstLine="0"/>
        <w:jc w:val="right"/>
        <w:rPr>
          <w:sz w:val="18"/>
          <w:szCs w:val="18"/>
        </w:rPr>
      </w:pPr>
      <w:r>
        <w:rPr>
          <w:i/>
          <w:iCs/>
          <w:sz w:val="18"/>
          <w:szCs w:val="18"/>
        </w:rPr>
        <w:t>(</w:t>
      </w:r>
      <w:r>
        <w:rPr>
          <w:i/>
          <w:iCs/>
          <w:sz w:val="18"/>
          <w:szCs w:val="18"/>
        </w:rPr>
        <w:t>„Polední list“)</w:t>
      </w:r>
    </w:p>
    <w:p w:rsidR="00500724" w:rsidRDefault="00F30FB8">
      <w:pPr>
        <w:pStyle w:val="Zkladntext1"/>
        <w:shd w:val="clear" w:color="auto" w:fill="auto"/>
        <w:spacing w:after="100" w:line="199" w:lineRule="auto"/>
        <w:ind w:firstLine="0"/>
        <w:jc w:val="center"/>
        <w:rPr>
          <w:sz w:val="18"/>
          <w:szCs w:val="18"/>
        </w:rPr>
      </w:pPr>
      <w:r>
        <w:rPr>
          <w:sz w:val="18"/>
          <w:szCs w:val="18"/>
        </w:rPr>
        <w:t>Anglie dává přednost Arabům před Židy</w:t>
      </w:r>
    </w:p>
    <w:p w:rsidR="00500724" w:rsidRDefault="00F30FB8">
      <w:pPr>
        <w:pStyle w:val="Zkladntext1"/>
        <w:shd w:val="clear" w:color="auto" w:fill="auto"/>
        <w:spacing w:after="40" w:line="206" w:lineRule="auto"/>
        <w:ind w:firstLine="240"/>
        <w:jc w:val="left"/>
        <w:rPr>
          <w:sz w:val="18"/>
          <w:szCs w:val="18"/>
        </w:rPr>
      </w:pPr>
      <w:r>
        <w:rPr>
          <w:sz w:val="18"/>
          <w:szCs w:val="18"/>
        </w:rPr>
        <w:t xml:space="preserve">Londýn, 21. srpna (CER.) — V jednom z nejrozšiřeněj- ších londýnských deníků „Daily Expressu“ byl uveřejněn v rubrice </w:t>
      </w:r>
      <w:r>
        <w:rPr>
          <w:sz w:val="18"/>
          <w:szCs w:val="18"/>
          <w:lang w:val="en-US" w:eastAsia="en-US" w:bidi="en-US"/>
        </w:rPr>
        <w:t xml:space="preserve">„Opinion“ </w:t>
      </w:r>
      <w:r>
        <w:rPr>
          <w:sz w:val="18"/>
          <w:szCs w:val="18"/>
        </w:rPr>
        <w:t>(Mínění) článek nadepsaný „Sionisté“, který je velmi příznačný pro vývoj a</w:t>
      </w:r>
      <w:r>
        <w:rPr>
          <w:sz w:val="18"/>
          <w:szCs w:val="18"/>
        </w:rPr>
        <w:t>nglického veřejného mí</w:t>
      </w:r>
      <w:r>
        <w:rPr>
          <w:sz w:val="18"/>
          <w:szCs w:val="18"/>
        </w:rPr>
        <w:softHyphen/>
        <w:t>nění, pokud jde o židovskou otázku. V článku se praví:</w:t>
      </w:r>
    </w:p>
    <w:p w:rsidR="00500724" w:rsidRDefault="00F30FB8">
      <w:pPr>
        <w:pStyle w:val="Zkladntext1"/>
        <w:shd w:val="clear" w:color="auto" w:fill="auto"/>
        <w:spacing w:after="120" w:line="211" w:lineRule="auto"/>
        <w:ind w:firstLine="240"/>
        <w:jc w:val="left"/>
        <w:rPr>
          <w:sz w:val="18"/>
          <w:szCs w:val="18"/>
        </w:rPr>
        <w:sectPr w:rsidR="00500724">
          <w:footnotePr>
            <w:numFmt w:val="chicago"/>
            <w:numRestart w:val="eachPage"/>
          </w:footnotePr>
          <w:type w:val="continuous"/>
          <w:pgSz w:w="11909" w:h="16834"/>
          <w:pgMar w:top="817" w:right="1056" w:bottom="928" w:left="446" w:header="0" w:footer="3" w:gutter="0"/>
          <w:cols w:num="2" w:space="134"/>
          <w:noEndnote/>
          <w:docGrid w:linePitch="360"/>
        </w:sectPr>
      </w:pPr>
      <w:r>
        <w:rPr>
          <w:sz w:val="18"/>
          <w:szCs w:val="18"/>
        </w:rPr>
        <w:t>„V Ženevě zasedal siónský sjezd. Četli jsme o útocích na britského ministerského předsedu a o zuřivých projevech proti</w:t>
      </w:r>
    </w:p>
    <w:p w:rsidR="00500724" w:rsidRDefault="00F30FB8">
      <w:pPr>
        <w:pStyle w:val="Jin0"/>
        <w:pBdr>
          <w:bottom w:val="single" w:sz="4" w:space="0" w:color="auto"/>
        </w:pBdr>
        <w:shd w:val="clear" w:color="auto" w:fill="auto"/>
        <w:spacing w:before="80"/>
        <w:ind w:left="4160" w:firstLine="0"/>
        <w:jc w:val="left"/>
        <w:rPr>
          <w:sz w:val="38"/>
          <w:szCs w:val="38"/>
        </w:rPr>
        <w:sectPr w:rsidR="00500724">
          <w:footnotePr>
            <w:numFmt w:val="chicago"/>
            <w:numRestart w:val="eachPage"/>
          </w:footnotePr>
          <w:pgSz w:w="11909" w:h="16834"/>
          <w:pgMar w:top="776" w:right="903" w:bottom="975" w:left="581" w:header="0" w:footer="3" w:gutter="0"/>
          <w:cols w:space="720"/>
          <w:noEndnote/>
          <w:docGrid w:linePitch="360"/>
        </w:sectPr>
      </w:pPr>
      <w:r>
        <w:rPr>
          <w:sz w:val="38"/>
          <w:szCs w:val="38"/>
          <w:lang w:val="en-US" w:eastAsia="en-US" w:bidi="en-US"/>
        </w:rPr>
        <w:t>PhT</w:t>
      </w:r>
    </w:p>
    <w:p w:rsidR="00500724" w:rsidRDefault="00500724">
      <w:pPr>
        <w:spacing w:line="101" w:lineRule="exact"/>
        <w:rPr>
          <w:sz w:val="8"/>
          <w:szCs w:val="8"/>
        </w:rPr>
      </w:pPr>
    </w:p>
    <w:p w:rsidR="00500724" w:rsidRDefault="00500724">
      <w:pPr>
        <w:spacing w:line="14" w:lineRule="exact"/>
        <w:sectPr w:rsidR="00500724">
          <w:footnotePr>
            <w:numFmt w:val="chicago"/>
            <w:numRestart w:val="eachPage"/>
          </w:footnotePr>
          <w:type w:val="continuous"/>
          <w:pgSz w:w="11909" w:h="16834"/>
          <w:pgMar w:top="693" w:right="0" w:bottom="1057" w:left="0" w:header="0" w:footer="3" w:gutter="0"/>
          <w:cols w:space="720"/>
          <w:noEndnote/>
          <w:docGrid w:linePitch="360"/>
        </w:sectPr>
      </w:pPr>
    </w:p>
    <w:p w:rsidR="00500724" w:rsidRDefault="00F30FB8">
      <w:pPr>
        <w:pStyle w:val="Zkladntext1"/>
        <w:shd w:val="clear" w:color="auto" w:fill="auto"/>
        <w:spacing w:line="199" w:lineRule="auto"/>
        <w:ind w:firstLine="0"/>
        <w:rPr>
          <w:sz w:val="18"/>
          <w:szCs w:val="18"/>
        </w:rPr>
      </w:pPr>
      <w:r>
        <w:rPr>
          <w:sz w:val="18"/>
          <w:szCs w:val="18"/>
        </w:rPr>
        <w:t>britskému vládnímu plánu o Palestině. Dříve než sionisté od</w:t>
      </w:r>
      <w:r>
        <w:rPr>
          <w:sz w:val="18"/>
          <w:szCs w:val="18"/>
        </w:rPr>
        <w:softHyphen/>
        <w:t>soudí britský plán a dříve než budou působiti potíže britské vládě a znepokojovati ji, nechť dobře uváží, co znamená Velká Britanie pro židovskou rasu.</w:t>
      </w:r>
    </w:p>
    <w:p w:rsidR="00500724" w:rsidRDefault="00F30FB8">
      <w:pPr>
        <w:pStyle w:val="Zkladntext1"/>
        <w:shd w:val="clear" w:color="auto" w:fill="auto"/>
        <w:spacing w:line="199" w:lineRule="auto"/>
        <w:ind w:firstLine="200"/>
        <w:rPr>
          <w:sz w:val="18"/>
          <w:szCs w:val="18"/>
        </w:rPr>
      </w:pPr>
      <w:r>
        <w:rPr>
          <w:sz w:val="18"/>
          <w:szCs w:val="18"/>
        </w:rPr>
        <w:t xml:space="preserve">Tato země je </w:t>
      </w:r>
      <w:r>
        <w:rPr>
          <w:sz w:val="18"/>
          <w:szCs w:val="18"/>
        </w:rPr>
        <w:t>útočištěm a silou Židů. Žádný jiný národ kro</w:t>
      </w:r>
      <w:r>
        <w:rPr>
          <w:sz w:val="18"/>
          <w:szCs w:val="18"/>
        </w:rPr>
        <w:softHyphen/>
        <w:t>mě anglického není tak liberální, pokud jde o rasové před</w:t>
      </w:r>
      <w:r>
        <w:rPr>
          <w:sz w:val="18"/>
          <w:szCs w:val="18"/>
        </w:rPr>
        <w:softHyphen/>
        <w:t>sudky. Židé, kteři žijí a pracují mezi námi, jsou považováni za nám rovné a nikoli za cizince. Mohou v této zemi dosáh</w:t>
      </w:r>
      <w:r>
        <w:rPr>
          <w:sz w:val="18"/>
          <w:szCs w:val="18"/>
        </w:rPr>
        <w:softHyphen/>
        <w:t xml:space="preserve">nouti nejvyšších úřadů. Jsme hrdi </w:t>
      </w:r>
      <w:r>
        <w:rPr>
          <w:sz w:val="18"/>
          <w:szCs w:val="18"/>
        </w:rPr>
        <w:t xml:space="preserve">na svou minulost. A jsme ochotni pomoci židovským uprchlíkům v jejich nynější tísni. Mnoho z nich našlo již u nás útočiště. Je pravda, není zde místa pro další uprchlíky. Ochotně jim však dovolíme, aby si vybudovali domov v těch částech Britského impéria, </w:t>
      </w:r>
      <w:r>
        <w:rPr>
          <w:sz w:val="18"/>
          <w:szCs w:val="18"/>
        </w:rPr>
        <w:t>které jsou méně hustě obydleny.</w:t>
      </w:r>
    </w:p>
    <w:p w:rsidR="00500724" w:rsidRDefault="00F30FB8">
      <w:pPr>
        <w:pStyle w:val="Zkladntext1"/>
        <w:shd w:val="clear" w:color="auto" w:fill="auto"/>
        <w:spacing w:after="180" w:line="197" w:lineRule="auto"/>
        <w:ind w:firstLine="200"/>
        <w:rPr>
          <w:sz w:val="18"/>
          <w:szCs w:val="18"/>
        </w:rPr>
      </w:pPr>
      <w:r>
        <w:rPr>
          <w:sz w:val="18"/>
          <w:szCs w:val="18"/>
        </w:rPr>
        <w:t>Sionisté však žádají více než to. Žádají, abychom zřídili pro ně domov v zemi, která je již plně obydlena jinou rasou. P a- lestina je národním domovem Arabů. Sionisté však žádají, abychom tam pro ně našli místo tím způsobem</w:t>
      </w:r>
      <w:r>
        <w:rPr>
          <w:sz w:val="18"/>
          <w:szCs w:val="18"/>
        </w:rPr>
        <w:t>, že si odcizíme široké masy mohamedánského obyvatelstva impéria. Palestinský vládní návrh je spravedlivý návrh. Při</w:t>
      </w:r>
      <w:r>
        <w:rPr>
          <w:sz w:val="18"/>
          <w:szCs w:val="18"/>
        </w:rPr>
        <w:softHyphen/>
        <w:t>nese Palestině mír a pořádek, o nějž se palestinští Židé mo</w:t>
      </w:r>
      <w:r>
        <w:rPr>
          <w:sz w:val="18"/>
          <w:szCs w:val="18"/>
        </w:rPr>
        <w:softHyphen/>
        <w:t>hou podileti. Jedinou alternativou jsou další léta krveprolé- váni, další nesná</w:t>
      </w:r>
      <w:r>
        <w:rPr>
          <w:sz w:val="18"/>
          <w:szCs w:val="18"/>
        </w:rPr>
        <w:t>ze pro Britanii a neustálá občanská válka. Nechť všichni Židé na světě spolupracuji, aby přestali býti pramenem slabosti pro Britanii. Neboť padne-li Bri</w:t>
      </w:r>
      <w:r>
        <w:rPr>
          <w:sz w:val="18"/>
          <w:szCs w:val="18"/>
        </w:rPr>
        <w:softHyphen/>
        <w:t>tanie, údělem židovské rasy budou bída, ne</w:t>
      </w:r>
      <w:r>
        <w:rPr>
          <w:sz w:val="18"/>
          <w:szCs w:val="18"/>
        </w:rPr>
        <w:softHyphen/>
        <w:t>štěstí, utrpení a zkáz a.“</w:t>
      </w:r>
    </w:p>
    <w:p w:rsidR="00500724" w:rsidRDefault="00F30FB8">
      <w:pPr>
        <w:pStyle w:val="Zkladntext1"/>
        <w:shd w:val="clear" w:color="auto" w:fill="auto"/>
        <w:spacing w:after="120" w:line="197" w:lineRule="auto"/>
        <w:ind w:firstLine="0"/>
        <w:jc w:val="center"/>
        <w:rPr>
          <w:sz w:val="18"/>
          <w:szCs w:val="18"/>
        </w:rPr>
      </w:pPr>
      <w:r>
        <w:rPr>
          <w:sz w:val="18"/>
          <w:szCs w:val="18"/>
        </w:rPr>
        <w:t>Chamberlainovo mnichovské letadl</w:t>
      </w:r>
      <w:r>
        <w:rPr>
          <w:sz w:val="18"/>
          <w:szCs w:val="18"/>
        </w:rPr>
        <w:t>o shořelo</w:t>
      </w:r>
    </w:p>
    <w:p w:rsidR="00500724" w:rsidRDefault="00F30FB8">
      <w:pPr>
        <w:pStyle w:val="Zkladntext1"/>
        <w:shd w:val="clear" w:color="auto" w:fill="auto"/>
        <w:spacing w:after="180" w:line="194" w:lineRule="auto"/>
        <w:ind w:firstLine="200"/>
        <w:rPr>
          <w:sz w:val="18"/>
          <w:szCs w:val="18"/>
        </w:rPr>
      </w:pPr>
      <w:r>
        <w:rPr>
          <w:sz w:val="18"/>
          <w:szCs w:val="18"/>
        </w:rPr>
        <w:t xml:space="preserve">Londýn, 23. srpna, (ssm.) Nedávno došlo u Belfortu ku nouzovému přistání dopravního letadla </w:t>
      </w:r>
      <w:r>
        <w:rPr>
          <w:sz w:val="18"/>
          <w:szCs w:val="18"/>
          <w:lang w:val="en-US" w:eastAsia="en-US" w:bidi="en-US"/>
        </w:rPr>
        <w:t xml:space="preserve">Locked </w:t>
      </w:r>
      <w:r>
        <w:rPr>
          <w:sz w:val="18"/>
          <w:szCs w:val="18"/>
        </w:rPr>
        <w:t>D 14, které obstarávalo službu mezi Londýnem a Curychem, při čemž stroj shořel. Zavazadla a pošta byly úplně zničeny, kdežto cestující vyvázli pouh</w:t>
      </w:r>
      <w:r>
        <w:rPr>
          <w:sz w:val="18"/>
          <w:szCs w:val="18"/>
        </w:rPr>
        <w:t>ým leknutím. Jak nyní sděluje „Man</w:t>
      </w:r>
      <w:r>
        <w:rPr>
          <w:sz w:val="18"/>
          <w:szCs w:val="18"/>
        </w:rPr>
        <w:softHyphen/>
        <w:t xml:space="preserve">chester Guardian“, jde o letadlo, kterým letěl </w:t>
      </w:r>
      <w:r>
        <w:rPr>
          <w:sz w:val="18"/>
          <w:szCs w:val="18"/>
          <w:lang w:val="en-US" w:eastAsia="en-US" w:bidi="en-US"/>
        </w:rPr>
        <w:t xml:space="preserve">Chamberlain </w:t>
      </w:r>
      <w:r>
        <w:rPr>
          <w:sz w:val="18"/>
          <w:szCs w:val="18"/>
        </w:rPr>
        <w:t>v září minulého roku ke konferenci čtyř mocností do Mnichova.</w:t>
      </w:r>
    </w:p>
    <w:p w:rsidR="00500724" w:rsidRDefault="00F30FB8">
      <w:pPr>
        <w:pStyle w:val="Jin0"/>
        <w:pBdr>
          <w:bottom w:val="single" w:sz="4" w:space="0" w:color="auto"/>
        </w:pBdr>
        <w:shd w:val="clear" w:color="auto" w:fill="auto"/>
        <w:spacing w:after="300"/>
        <w:ind w:firstLine="0"/>
        <w:jc w:val="left"/>
        <w:rPr>
          <w:sz w:val="44"/>
          <w:szCs w:val="44"/>
        </w:rPr>
      </w:pPr>
      <w:r>
        <w:rPr>
          <w:b/>
          <w:bCs/>
          <w:sz w:val="44"/>
          <w:szCs w:val="44"/>
        </w:rPr>
        <w:t>poznámky</w:t>
      </w:r>
    </w:p>
    <w:p w:rsidR="00500724" w:rsidRDefault="00F30FB8">
      <w:pPr>
        <w:pStyle w:val="Nadpis120"/>
        <w:shd w:val="clear" w:color="auto" w:fill="auto"/>
        <w:spacing w:after="100"/>
        <w:ind w:left="0"/>
        <w:jc w:val="center"/>
      </w:pPr>
      <w:bookmarkStart w:id="866" w:name="bookmark865"/>
      <w:r>
        <w:t>Končíme akademické prázdniny</w:t>
      </w:r>
      <w:bookmarkEnd w:id="866"/>
    </w:p>
    <w:p w:rsidR="00500724" w:rsidRDefault="00F30FB8">
      <w:pPr>
        <w:pStyle w:val="Zkladntext1"/>
        <w:shd w:val="clear" w:color="auto" w:fill="auto"/>
        <w:spacing w:line="209" w:lineRule="auto"/>
        <w:ind w:firstLine="280"/>
        <w:jc w:val="left"/>
        <w:rPr>
          <w:sz w:val="18"/>
          <w:szCs w:val="18"/>
        </w:rPr>
      </w:pPr>
      <w:r>
        <w:rPr>
          <w:sz w:val="18"/>
          <w:szCs w:val="18"/>
        </w:rPr>
        <w:t xml:space="preserve">Končíme my, kteří jsme maturovali, my, kteří jsme složili </w:t>
      </w:r>
      <w:r>
        <w:rPr>
          <w:sz w:val="18"/>
          <w:szCs w:val="18"/>
        </w:rPr>
        <w:t>kolokvija, kteří jsme po zdolání všech úskalí semestrálního testování získali konečný test, potvrzující ukončení jednoho roku vysokoškolského studia, my všichni již skorém končíme prázdniny a tím i jeden rok nejkrásnější části svého života. A my právě chce</w:t>
      </w:r>
      <w:r>
        <w:rPr>
          <w:sz w:val="18"/>
          <w:szCs w:val="18"/>
        </w:rPr>
        <w:t>me si říci několik slov, která se sice nehodí do mluvy študácké, nehodí se do toho rozpoložení akade</w:t>
      </w:r>
      <w:r>
        <w:rPr>
          <w:sz w:val="18"/>
          <w:szCs w:val="18"/>
        </w:rPr>
        <w:softHyphen/>
        <w:t>miků, kteří již mají vysvědčení o své vyzrálosti v muže a ženy. Nehodí se, bohužel, ani do myšlenek a řečí mnohých z nejmladších ročníků našich vysokoškolá</w:t>
      </w:r>
      <w:r>
        <w:rPr>
          <w:sz w:val="18"/>
          <w:szCs w:val="18"/>
        </w:rPr>
        <w:t>ků pro příliš vážná slova a za ty se dvacetileté mládí ještě jaksi stydí — i když o jejich závažnosti je plně přesvědčeno a uznává je.</w:t>
      </w:r>
    </w:p>
    <w:p w:rsidR="00500724" w:rsidRDefault="00F30FB8">
      <w:pPr>
        <w:pStyle w:val="Zkladntext1"/>
        <w:shd w:val="clear" w:color="auto" w:fill="auto"/>
        <w:spacing w:line="211" w:lineRule="auto"/>
        <w:ind w:firstLine="280"/>
        <w:rPr>
          <w:sz w:val="18"/>
          <w:szCs w:val="18"/>
        </w:rPr>
      </w:pPr>
      <w:r>
        <w:rPr>
          <w:sz w:val="18"/>
          <w:szCs w:val="18"/>
        </w:rPr>
        <w:t>A oč běží? O získání většího uznání pro nás, mladé. O názor těch starších na nás, o naše schopnosti, o naše obecné vzdělá</w:t>
      </w:r>
      <w:r>
        <w:rPr>
          <w:sz w:val="18"/>
          <w:szCs w:val="18"/>
        </w:rPr>
        <w:t>ní, o naše člověčenství. Zkuste — jako já zku</w:t>
      </w:r>
      <w:r>
        <w:rPr>
          <w:sz w:val="18"/>
          <w:szCs w:val="18"/>
        </w:rPr>
        <w:softHyphen/>
        <w:t>sil — zeptat se vysokoškolských profesorů a docentů, co říkají o naší generaci. Bude to truchlivé. Žádný zájem o svůj vyvolený předmět, vědu či techniku, žádný rozhled, žádné nadšeni. Byla-li to kdysi blaseovan</w:t>
      </w:r>
      <w:r>
        <w:rPr>
          <w:sz w:val="18"/>
          <w:szCs w:val="18"/>
        </w:rPr>
        <w:t>ost tak zvaných akade</w:t>
      </w:r>
      <w:r>
        <w:rPr>
          <w:sz w:val="18"/>
          <w:szCs w:val="18"/>
        </w:rPr>
        <w:softHyphen/>
        <w:t xml:space="preserve">miků, kteří pokládali zájem o svůj obor za jakýsi poklesek, je to dnes zase přílišný realismus, který brání studentům, aby se zajímali o víc, než o to nejnutnější, co musí znát ke zkouškám. Zde je snad největší chyba a jedna z příčin </w:t>
      </w:r>
      <w:r>
        <w:rPr>
          <w:sz w:val="18"/>
          <w:szCs w:val="18"/>
        </w:rPr>
        <w:t>nezaměstnanosti naší inteligence. Naprosto žádný rozhled, neschopnost vlastní cesty, neznalost jazyků a nedostatek vůle k prohlubování a rozšiřování svých znalostí.</w:t>
      </w:r>
    </w:p>
    <w:p w:rsidR="00500724" w:rsidRDefault="00F30FB8">
      <w:pPr>
        <w:pStyle w:val="Zkladntext1"/>
        <w:shd w:val="clear" w:color="auto" w:fill="auto"/>
        <w:spacing w:line="218" w:lineRule="auto"/>
        <w:ind w:firstLine="280"/>
        <w:rPr>
          <w:sz w:val="18"/>
          <w:szCs w:val="18"/>
        </w:rPr>
      </w:pPr>
      <w:r>
        <w:rPr>
          <w:sz w:val="18"/>
          <w:szCs w:val="18"/>
        </w:rPr>
        <w:t>Já vím, že je to i chyba střední školy. Nejsem ani pe</w:t>
      </w:r>
      <w:r>
        <w:rPr>
          <w:sz w:val="18"/>
          <w:szCs w:val="18"/>
        </w:rPr>
        <w:softHyphen/>
        <w:t>dagog ani reformátor, ale marně hledá</w:t>
      </w:r>
      <w:r>
        <w:rPr>
          <w:sz w:val="18"/>
          <w:szCs w:val="18"/>
        </w:rPr>
        <w:t>m odpověď na otáz</w:t>
      </w:r>
      <w:r>
        <w:rPr>
          <w:sz w:val="18"/>
          <w:szCs w:val="18"/>
        </w:rPr>
        <w:softHyphen/>
        <w:t>ku, proč musí středoškolák znát, co napsala třebas ta a ta spisovatelka, o níž, kromě učebnice nic neslyšel, ale nemusí vědět o existenci Mikoláše Alše, proč musí znát používání plusquamperfektu u románských jazyků, ale nemusí nic vě</w:t>
      </w:r>
      <w:r>
        <w:rPr>
          <w:sz w:val="18"/>
          <w:szCs w:val="18"/>
        </w:rPr>
        <w:softHyphen/>
        <w:t xml:space="preserve">dět </w:t>
      </w:r>
      <w:r>
        <w:rPr>
          <w:sz w:val="18"/>
          <w:szCs w:val="18"/>
        </w:rPr>
        <w:t>o principu letadla a automobilu. Pro znalosti letopočtů všech punských válek nedostane se v dějepisu ani ke kostře kulturních dějin lidstva a našeho národa, nedoví se, kdo to byl Mucha a Mánes a Dvořák. Na ty, kdo tvořili vážnost k našemu národu v celém vě</w:t>
      </w:r>
      <w:r>
        <w:rPr>
          <w:sz w:val="18"/>
          <w:szCs w:val="18"/>
        </w:rPr>
        <w:t>deckém světě, na Purkyně, na Přešly, na ty na střední škole nezbylo místa. Já vím, je to těžké pro profesory i pro žáky, protože osnova je nade vše, ale to vše musí mladý akademik získat sám ■— proto je akademik.</w:t>
      </w:r>
    </w:p>
    <w:p w:rsidR="00500724" w:rsidRDefault="00F30FB8">
      <w:pPr>
        <w:pStyle w:val="Zkladntext1"/>
        <w:shd w:val="clear" w:color="auto" w:fill="auto"/>
        <w:spacing w:line="211" w:lineRule="auto"/>
        <w:ind w:firstLine="260"/>
        <w:rPr>
          <w:sz w:val="18"/>
          <w:szCs w:val="18"/>
        </w:rPr>
      </w:pPr>
      <w:r>
        <w:rPr>
          <w:sz w:val="18"/>
          <w:szCs w:val="18"/>
        </w:rPr>
        <w:t>A tak musíme, my mladí, začít sami, sami do</w:t>
      </w:r>
      <w:r>
        <w:rPr>
          <w:sz w:val="18"/>
          <w:szCs w:val="18"/>
        </w:rPr>
        <w:t>hnat, co nám chybí, sami se dívat po světě, sami přemýšlet a sami jít kupředu. A k tomu bych vás chtěl, mladí přátelé, dnes vyzvat.</w:t>
      </w:r>
    </w:p>
    <w:p w:rsidR="00500724" w:rsidRDefault="00F30FB8">
      <w:pPr>
        <w:pStyle w:val="Zkladntext1"/>
        <w:shd w:val="clear" w:color="auto" w:fill="auto"/>
        <w:spacing w:line="209" w:lineRule="auto"/>
        <w:ind w:firstLine="260"/>
        <w:rPr>
          <w:sz w:val="18"/>
          <w:szCs w:val="18"/>
        </w:rPr>
      </w:pPr>
      <w:r>
        <w:rPr>
          <w:sz w:val="18"/>
          <w:szCs w:val="18"/>
        </w:rPr>
        <w:t>Prázdniny mezi maturitou a vysokou školou jsou nejkrás</w:t>
      </w:r>
      <w:r>
        <w:rPr>
          <w:sz w:val="18"/>
          <w:szCs w:val="18"/>
        </w:rPr>
        <w:softHyphen/>
        <w:t>nější. Již jste si odpočinuli, pokoupali, pocestovali, pohráli s prac</w:t>
      </w:r>
      <w:r>
        <w:rPr>
          <w:sz w:val="18"/>
          <w:szCs w:val="18"/>
        </w:rPr>
        <w:t>í při pomoci v hospodářství a snad za měsíc půjdete k zápisu na vysokou školu. Nikdo nemusel před tímto kro</w:t>
      </w:r>
      <w:r>
        <w:rPr>
          <w:sz w:val="18"/>
          <w:szCs w:val="18"/>
        </w:rPr>
        <w:softHyphen/>
        <w:t>kem tak mnoho přemýšlet, jako dnes vy. Kde jsou vyhlídky a kde ne. Co vy, mladé ženy, s touhou po práci. A co vy, mladí přátelé, s touhou po úspěchu</w:t>
      </w:r>
      <w:r>
        <w:rPr>
          <w:sz w:val="18"/>
          <w:szCs w:val="18"/>
        </w:rPr>
        <w:t>, po vyniknutí ve vašem oboru. Měl bych vám radit, abyste se ještě napřed pře</w:t>
      </w:r>
      <w:r>
        <w:rPr>
          <w:sz w:val="18"/>
          <w:szCs w:val="18"/>
        </w:rPr>
        <w:softHyphen/>
        <w:t xml:space="preserve">svědčili, kde vám v budoucnu bude kvést pšenice? Měl bych vám radit povolání, která budou mit po </w:t>
      </w:r>
      <w:r>
        <w:rPr>
          <w:i/>
          <w:iCs/>
          <w:sz w:val="18"/>
          <w:szCs w:val="18"/>
        </w:rPr>
        <w:t>5</w:t>
      </w:r>
      <w:r>
        <w:rPr>
          <w:sz w:val="18"/>
          <w:szCs w:val="18"/>
        </w:rPr>
        <w:t>—6 letech bu</w:t>
      </w:r>
      <w:r>
        <w:rPr>
          <w:sz w:val="18"/>
          <w:szCs w:val="18"/>
        </w:rPr>
        <w:softHyphen/>
        <w:t xml:space="preserve">doucnost? Ne — tak si nevybírejte! Nevěřte těm nešťastným zprávám, </w:t>
      </w:r>
      <w:r>
        <w:rPr>
          <w:sz w:val="18"/>
          <w:szCs w:val="18"/>
        </w:rPr>
        <w:t>v nichž jsou stovky nezaměstnaných inteligentů, nevěřte, že vy také budete mezi nimi. Neposlouchejte je a věřte sobě. Jsou mezi vámi rození lékaři, a právníci, rozeni technici a vědci. Jděte každý za svým ideálem klidně, beze strachu o svůj budoucí chleba.</w:t>
      </w:r>
      <w:r>
        <w:rPr>
          <w:sz w:val="18"/>
          <w:szCs w:val="18"/>
        </w:rPr>
        <w:t xml:space="preserve"> Je-li ovšem vašim ideálem jen ten chleba a trochu blahobytného živobytí, máte-Il jen zá</w:t>
      </w:r>
      <w:r>
        <w:rPr>
          <w:sz w:val="18"/>
          <w:szCs w:val="18"/>
        </w:rPr>
        <w:softHyphen/>
        <w:t>jem o lehké vydělávání peněz, pák už dál nečtěte a jděte za tou chlebařinou svojí vlastní cestou.</w:t>
      </w:r>
    </w:p>
    <w:p w:rsidR="00500724" w:rsidRDefault="00F30FB8">
      <w:pPr>
        <w:pStyle w:val="Zkladntext1"/>
        <w:shd w:val="clear" w:color="auto" w:fill="auto"/>
        <w:spacing w:line="202" w:lineRule="auto"/>
        <w:ind w:firstLine="260"/>
        <w:rPr>
          <w:sz w:val="18"/>
          <w:szCs w:val="18"/>
        </w:rPr>
      </w:pPr>
      <w:r>
        <w:rPr>
          <w:sz w:val="18"/>
          <w:szCs w:val="18"/>
        </w:rPr>
        <w:t>A vy ostatní, jděte klidně ku předu, ale hlavně jděte vy</w:t>
      </w:r>
      <w:r>
        <w:rPr>
          <w:sz w:val="18"/>
          <w:szCs w:val="18"/>
        </w:rPr>
        <w:softHyphen/>
        <w:t>trvalé. Vyso</w:t>
      </w:r>
      <w:r>
        <w:rPr>
          <w:sz w:val="18"/>
          <w:szCs w:val="18"/>
        </w:rPr>
        <w:t>ká škola, to není jen volnost chodit nebo nechodit na přednášky, to je práce a tuhý život. Práce, veliká, samo</w:t>
      </w:r>
      <w:r>
        <w:rPr>
          <w:sz w:val="18"/>
          <w:szCs w:val="18"/>
        </w:rPr>
        <w:softHyphen/>
        <w:t>statná, práce celého člověka a ne jen několik hodin učení, jako dosud. A jste-li na pochybách, hodíte-li se k vysoko</w:t>
      </w:r>
      <w:r>
        <w:rPr>
          <w:sz w:val="18"/>
          <w:szCs w:val="18"/>
        </w:rPr>
        <w:softHyphen/>
        <w:t>školskému studiu, pak bych v</w:t>
      </w:r>
      <w:r>
        <w:rPr>
          <w:sz w:val="18"/>
          <w:szCs w:val="18"/>
        </w:rPr>
        <w:t>ám mohl dát, snad příliš jed</w:t>
      </w:r>
      <w:r>
        <w:rPr>
          <w:sz w:val="18"/>
          <w:szCs w:val="18"/>
        </w:rPr>
        <w:softHyphen/>
        <w:t>noduchou radu. Jděte za svým koníčkem (nemyslím tim ovšem filatelii, kopanou nebo swing). Každý z nás má v sobě ukrytý zájem o nějaký vědní nebo technický obor, o metody výrobní ěi obchodní, o umění. Snad si to ani neuvědomujet</w:t>
      </w:r>
      <w:r>
        <w:rPr>
          <w:sz w:val="18"/>
          <w:szCs w:val="18"/>
        </w:rPr>
        <w:t>e, a je na vás, nyní ten zájem najít. Právě nyní, o prázdninách se věnujte sami sobě. Zamyslete se nad tím, co vás zajímá, která práce by vás těšila, jak si představujete svůj budoucí život. Pak si najděte ve svém okolí nějakého staršího kama</w:t>
      </w:r>
      <w:r>
        <w:rPr>
          <w:sz w:val="18"/>
          <w:szCs w:val="18"/>
        </w:rPr>
        <w:softHyphen/>
        <w:t>ráda téhož vy</w:t>
      </w:r>
      <w:r>
        <w:rPr>
          <w:sz w:val="18"/>
          <w:szCs w:val="18"/>
        </w:rPr>
        <w:t>znání životního, zeptejte se, jak to tam u nich na vysoké škole chodí a přečtěte si nějakou jednoduchou učeb</w:t>
      </w:r>
      <w:r>
        <w:rPr>
          <w:sz w:val="18"/>
          <w:szCs w:val="18"/>
        </w:rPr>
        <w:softHyphen/>
        <w:t>nici toho oboru. Nedejte se zaleknout prvním neúspěchem, ne</w:t>
      </w:r>
      <w:r>
        <w:rPr>
          <w:sz w:val="18"/>
          <w:szCs w:val="18"/>
        </w:rPr>
        <w:softHyphen/>
        <w:t>lekněte se té učenosti knih, kterým mnohdy nerozumíte. Pře</w:t>
      </w:r>
      <w:r>
        <w:rPr>
          <w:sz w:val="18"/>
          <w:szCs w:val="18"/>
        </w:rPr>
        <w:softHyphen/>
        <w:t>mýšlejte, luštěte nesrozumit</w:t>
      </w:r>
      <w:r>
        <w:rPr>
          <w:sz w:val="18"/>
          <w:szCs w:val="18"/>
        </w:rPr>
        <w:t>elná místa jako detektivku a čím větší problém, tím větší vaše radost na konci. Vaše středo</w:t>
      </w:r>
      <w:r>
        <w:rPr>
          <w:sz w:val="18"/>
          <w:szCs w:val="18"/>
        </w:rPr>
        <w:softHyphen/>
        <w:t>školské úspěchy z předmětů, blízkých vyvolenému oboru, vás nesmí mýlit. Znám výborné techniky, kteří jen tak že prošli z deskriptivy, a znám botanika, který byl z t</w:t>
      </w:r>
      <w:r>
        <w:rPr>
          <w:sz w:val="18"/>
          <w:szCs w:val="18"/>
        </w:rPr>
        <w:t>ohoto předmětu napomínán k větší pilnosti v kvintě. A podobných případů je mnoho.</w:t>
      </w:r>
    </w:p>
    <w:p w:rsidR="00500724" w:rsidRDefault="00F30FB8">
      <w:pPr>
        <w:pStyle w:val="Zkladntext1"/>
        <w:shd w:val="clear" w:color="auto" w:fill="auto"/>
        <w:spacing w:line="199" w:lineRule="auto"/>
        <w:ind w:firstLine="260"/>
        <w:rPr>
          <w:sz w:val="18"/>
          <w:szCs w:val="18"/>
        </w:rPr>
      </w:pPr>
      <w:r>
        <w:rPr>
          <w:sz w:val="18"/>
          <w:szCs w:val="18"/>
        </w:rPr>
        <w:t>Chcete-li si vybrati dráhu vědeckou, materielně podloženou jen chabými vyhlídkami na středoškolskou profesuru, pak si to rozmyslete teprve důkladně. A když to vaše přemýšlení</w:t>
      </w:r>
      <w:r>
        <w:rPr>
          <w:sz w:val="18"/>
          <w:szCs w:val="18"/>
        </w:rPr>
        <w:t xml:space="preserve"> dopadne ve prospěch vědy, pak jděte dál vytrvale a bez bázně. Věda, to u nás neznamená — a hned tak nebude znamenat — blahobyt, pohodlný život. Musíte se nejdříve odhodlat k obě</w:t>
      </w:r>
      <w:r>
        <w:rPr>
          <w:sz w:val="18"/>
          <w:szCs w:val="18"/>
        </w:rPr>
        <w:softHyphen/>
        <w:t>tování svého pohodlí, velkých výdělků, a připravit se na život skrovný a pros</w:t>
      </w:r>
      <w:r>
        <w:rPr>
          <w:sz w:val="18"/>
          <w:szCs w:val="18"/>
        </w:rPr>
        <w:t>tý, na práci, kdy namnoze život jednoho člo</w:t>
      </w:r>
      <w:r>
        <w:rPr>
          <w:sz w:val="18"/>
          <w:szCs w:val="18"/>
        </w:rPr>
        <w:softHyphen/>
        <w:t>věka nestačí k dojití do cíle, K té úžasné skromnosti našich vědců musíte si uvědomit slavné verše Kollárovy, a spokojit se i jen urovnáváním cesty pro budoucí.</w:t>
      </w:r>
    </w:p>
    <w:p w:rsidR="00500724" w:rsidRDefault="00F30FB8">
      <w:pPr>
        <w:pStyle w:val="Zkladntext1"/>
        <w:shd w:val="clear" w:color="auto" w:fill="auto"/>
        <w:spacing w:line="194" w:lineRule="auto"/>
        <w:ind w:firstLine="260"/>
        <w:rPr>
          <w:sz w:val="18"/>
          <w:szCs w:val="18"/>
        </w:rPr>
      </w:pPr>
      <w:r>
        <w:rPr>
          <w:sz w:val="18"/>
          <w:szCs w:val="18"/>
        </w:rPr>
        <w:t>A ještě jednu, lidskou stránku našich budoucích věd</w:t>
      </w:r>
      <w:r>
        <w:rPr>
          <w:sz w:val="18"/>
          <w:szCs w:val="18"/>
        </w:rPr>
        <w:t>ců. Prosbu vás, nežeňte vše do extrémů. Nechtějte být originální svým vystupováním a oblekem. Neni dnes trapnějšího zjevu, ať muže či ženy, než budoucí „vědec“, který neuznává ho</w:t>
      </w:r>
      <w:r>
        <w:rPr>
          <w:sz w:val="18"/>
          <w:szCs w:val="18"/>
        </w:rPr>
        <w:softHyphen/>
        <w:t>liče ani břitvy, žehličky ani kartáče, který neví, že hřeben a pilníček patří</w:t>
      </w:r>
      <w:r>
        <w:rPr>
          <w:sz w:val="18"/>
          <w:szCs w:val="18"/>
        </w:rPr>
        <w:t xml:space="preserve"> k výzbroji muže a ženy, i když v jejich hlavě vězí tisíce jmen našich kytiček, nebo stovky paragrafů ze sbírky zákonů. Vězte, že existuje česká filharmonie a Ná</w:t>
      </w:r>
      <w:r>
        <w:rPr>
          <w:sz w:val="18"/>
          <w:szCs w:val="18"/>
        </w:rPr>
        <w:softHyphen/>
        <w:t>rodní divadlo, že příroda je krásná i bez vratiprstu a ter- minální tyčinky, a že lidské osudy</w:t>
      </w:r>
      <w:r>
        <w:rPr>
          <w:sz w:val="18"/>
          <w:szCs w:val="18"/>
        </w:rPr>
        <w:t xml:space="preserve"> jsou zajímavé i bez pro</w:t>
      </w:r>
      <w:r>
        <w:rPr>
          <w:sz w:val="18"/>
          <w:szCs w:val="18"/>
        </w:rPr>
        <w:softHyphen/>
        <w:t xml:space="preserve">váděcích nařízení k zákonům. Uvědomte si, že právě největší odborníci (stejně jako skuteční cestovatelé) dovedou mluvit </w:t>
      </w:r>
      <w:r>
        <w:rPr>
          <w:sz w:val="22"/>
          <w:szCs w:val="22"/>
        </w:rPr>
        <w:t xml:space="preserve">ve </w:t>
      </w:r>
      <w:r>
        <w:rPr>
          <w:sz w:val="18"/>
          <w:szCs w:val="18"/>
        </w:rPr>
        <w:t>společnosti tak, že ani za celý večer nepoznáte, co je je</w:t>
      </w:r>
      <w:r>
        <w:rPr>
          <w:sz w:val="18"/>
          <w:szCs w:val="18"/>
        </w:rPr>
        <w:softHyphen/>
        <w:t xml:space="preserve">jich vlastním oborem. Ale to jsou skuteční vědci, </w:t>
      </w:r>
      <w:r>
        <w:rPr>
          <w:sz w:val="18"/>
          <w:szCs w:val="18"/>
        </w:rPr>
        <w:t>s širokým rozhledem a bez klapek na svých vědeckých očích, které by jim dovolovaly jen usměrněný pohled do jejich úzkého věd</w:t>
      </w:r>
      <w:r>
        <w:rPr>
          <w:sz w:val="18"/>
          <w:szCs w:val="18"/>
        </w:rPr>
        <w:softHyphen/>
        <w:t>ního tunelu.</w:t>
      </w:r>
    </w:p>
    <w:p w:rsidR="00500724" w:rsidRDefault="00F30FB8">
      <w:pPr>
        <w:pStyle w:val="Zkladntext1"/>
        <w:shd w:val="clear" w:color="auto" w:fill="auto"/>
        <w:spacing w:line="194" w:lineRule="auto"/>
        <w:ind w:firstLine="240"/>
        <w:rPr>
          <w:sz w:val="18"/>
          <w:szCs w:val="18"/>
        </w:rPr>
      </w:pPr>
      <w:r>
        <w:rPr>
          <w:sz w:val="18"/>
          <w:szCs w:val="18"/>
        </w:rPr>
        <w:t>A tak dnes, ku konci prázdnin, přestaňte již věřit, že jste maturitou vyčerpáni, unaveni, nebo snad dokonce přepraco</w:t>
      </w:r>
      <w:r>
        <w:rPr>
          <w:sz w:val="18"/>
          <w:szCs w:val="18"/>
        </w:rPr>
        <w:softHyphen/>
      </w:r>
      <w:r>
        <w:rPr>
          <w:sz w:val="18"/>
          <w:szCs w:val="18"/>
        </w:rPr>
        <w:t>váni. Neříkejte to nikomu, náhodou při tom může být někdo, kdo také maturoval — a ten ví, co to je za „dřinu“. Vě</w:t>
      </w:r>
      <w:r>
        <w:rPr>
          <w:sz w:val="18"/>
          <w:szCs w:val="18"/>
        </w:rPr>
        <w:softHyphen/>
        <w:t>nujte se hodně tělesné práci, hodně čtěte klasickou litera</w:t>
      </w:r>
      <w:r>
        <w:rPr>
          <w:sz w:val="18"/>
          <w:szCs w:val="18"/>
        </w:rPr>
        <w:softHyphen/>
        <w:t>turu (teprve nyní jí můžete přijít na chuť), a hlavně hezky brzo ráno vezměte si ně</w:t>
      </w:r>
      <w:r>
        <w:rPr>
          <w:sz w:val="18"/>
          <w:szCs w:val="18"/>
        </w:rPr>
        <w:t>jakou odbornou literaturu a zkuste se do ní začíst a poznat — dokud je čas — jak by se vám to líbilo, kdyby se tento předmět stal celým vaším budoucím životem. Čtěte, přemýšlejte o čteném. Zkuste to, co jste pře</w:t>
      </w:r>
      <w:r>
        <w:rPr>
          <w:sz w:val="18"/>
          <w:szCs w:val="18"/>
        </w:rPr>
        <w:softHyphen/>
        <w:t>čtu, vyložit svým neexistujícím žákům; choďt</w:t>
      </w:r>
      <w:r>
        <w:rPr>
          <w:sz w:val="18"/>
          <w:szCs w:val="18"/>
        </w:rPr>
        <w:t>e venku, v pří</w:t>
      </w:r>
      <w:r>
        <w:rPr>
          <w:sz w:val="18"/>
          <w:szCs w:val="18"/>
        </w:rPr>
        <w:softHyphen/>
        <w:t>rodě i mezi svědky lidského snažení s očima otevřenýma. Přemýšlejte, co je dál, dál za tím, co jste slyšeli nebo čtli, dál za tím všim, co již znáte, snažte se to poznat, hledejte a přemýšlejte. A jakmile se vám to bude líbit, pak to již bud</w:t>
      </w:r>
      <w:r>
        <w:rPr>
          <w:sz w:val="18"/>
          <w:szCs w:val="18"/>
        </w:rPr>
        <w:t>ete umět a máte z poloviny vyhráno. Snad v budoucnu pochopíte, že radost z poznání je daleko větší, než radost z vydělaných peněz a získaného blahobytu.</w:t>
      </w:r>
    </w:p>
    <w:p w:rsidR="00500724" w:rsidRDefault="00F30FB8">
      <w:pPr>
        <w:pStyle w:val="Zkladntext1"/>
        <w:shd w:val="clear" w:color="auto" w:fill="auto"/>
        <w:tabs>
          <w:tab w:val="left" w:pos="3883"/>
        </w:tabs>
        <w:spacing w:after="100" w:line="192" w:lineRule="auto"/>
        <w:ind w:firstLine="240"/>
        <w:rPr>
          <w:sz w:val="18"/>
          <w:szCs w:val="18"/>
        </w:rPr>
      </w:pPr>
      <w:r>
        <w:rPr>
          <w:sz w:val="18"/>
          <w:szCs w:val="18"/>
        </w:rPr>
        <w:t xml:space="preserve">A zůstane-li vám z dnešního povídání jen jedna myšlenka, nebát se a s chutí do toho, pak jsem spokojen </w:t>
      </w:r>
      <w:r>
        <w:rPr>
          <w:sz w:val="18"/>
          <w:szCs w:val="18"/>
        </w:rPr>
        <w:t>a těším se, že si zase po prázdninách povíme, jak do toho, abychom zvítězUi.</w:t>
      </w:r>
      <w:r>
        <w:rPr>
          <w:sz w:val="18"/>
          <w:szCs w:val="18"/>
        </w:rPr>
        <w:tab/>
      </w:r>
      <w:r>
        <w:rPr>
          <w:i/>
          <w:iCs/>
          <w:sz w:val="18"/>
          <w:szCs w:val="18"/>
        </w:rPr>
        <w:t>Dr. J. Dostál.</w:t>
      </w:r>
    </w:p>
    <w:p w:rsidR="00500724" w:rsidRDefault="00F30FB8">
      <w:pPr>
        <w:pStyle w:val="Zkladntext1"/>
        <w:shd w:val="clear" w:color="auto" w:fill="auto"/>
        <w:spacing w:after="100"/>
        <w:ind w:firstLine="0"/>
        <w:jc w:val="center"/>
        <w:rPr>
          <w:sz w:val="20"/>
          <w:szCs w:val="20"/>
        </w:rPr>
      </w:pPr>
      <w:r>
        <w:rPr>
          <w:b/>
          <w:bCs/>
          <w:sz w:val="20"/>
          <w:szCs w:val="20"/>
        </w:rPr>
        <w:t>Radost ze Zlína.</w:t>
      </w:r>
    </w:p>
    <w:p w:rsidR="00500724" w:rsidRDefault="00F30FB8">
      <w:pPr>
        <w:pStyle w:val="Zkladntext1"/>
        <w:shd w:val="clear" w:color="auto" w:fill="auto"/>
        <w:spacing w:line="211" w:lineRule="auto"/>
        <w:ind w:firstLine="240"/>
        <w:rPr>
          <w:sz w:val="18"/>
          <w:szCs w:val="18"/>
        </w:rPr>
      </w:pPr>
      <w:r>
        <w:rPr>
          <w:sz w:val="18"/>
          <w:szCs w:val="18"/>
        </w:rPr>
        <w:t>Je po dešti, když sedáme do vlaku, kterým opouštíme Brno, abychom rychlíkem projeli krásnou část Moravy, pře- sedli v Přerově a přes Otrokovice jeU</w:t>
      </w:r>
      <w:r>
        <w:rPr>
          <w:sz w:val="18"/>
          <w:szCs w:val="18"/>
        </w:rPr>
        <w:t xml:space="preserve"> údolím Dřevnice až k cíli naší pouti — úhledné vesničce, kde ztrávíme dovole</w:t>
      </w:r>
      <w:r>
        <w:rPr>
          <w:sz w:val="18"/>
          <w:szCs w:val="18"/>
        </w:rPr>
        <w:softHyphen/>
        <w:t>nou. Míjíme široké lány poU, vidíme obilí, tu v mandelích, jinde v panácích; všude stopy pilné a neúnavné práce. Zelené meze osázené ovocnými stromky střídají se s pásy polí a ob</w:t>
      </w:r>
      <w:r>
        <w:rPr>
          <w:sz w:val="18"/>
          <w:szCs w:val="18"/>
        </w:rPr>
        <w:t>cemi, jejichž domky s upravenými zahrádkami v blízkostí dráhy mluví o vkusu jejich obyvatel. Vidíme skupiny děvčat, oděných v malebném svérázu, kterak jdou ven na procházku, postřehneme veselé chlapce, čekající na svoje Idívenky, a tak mizí jeden pěkný obr</w:t>
      </w:r>
      <w:r>
        <w:rPr>
          <w:sz w:val="18"/>
          <w:szCs w:val="18"/>
        </w:rPr>
        <w:t>az za druhým, když vjíždíme do zlínského regionu.</w:t>
      </w:r>
    </w:p>
    <w:p w:rsidR="00500724" w:rsidRDefault="00F30FB8">
      <w:pPr>
        <w:pStyle w:val="Zkladntext1"/>
        <w:shd w:val="clear" w:color="auto" w:fill="auto"/>
        <w:spacing w:line="209" w:lineRule="auto"/>
        <w:ind w:firstLine="240"/>
        <w:rPr>
          <w:sz w:val="18"/>
          <w:szCs w:val="18"/>
        </w:rPr>
      </w:pPr>
      <w:r>
        <w:rPr>
          <w:sz w:val="18"/>
          <w:szCs w:val="18"/>
        </w:rPr>
        <w:t>Cítíme dech nového života, tempa práce. Vítají nás usmě</w:t>
      </w:r>
      <w:r>
        <w:rPr>
          <w:sz w:val="18"/>
          <w:szCs w:val="18"/>
        </w:rPr>
        <w:softHyphen/>
        <w:t>vaví zřízenci dráhy OZVD, vesměs mladí a ochotní muži, kteří dobře representují hesla „Náš zákazník, náš pán“. Ani stopy po úředních zastrašujících fo</w:t>
      </w:r>
      <w:r>
        <w:rPr>
          <w:sz w:val="18"/>
          <w:szCs w:val="18"/>
        </w:rPr>
        <w:t>rmalitách, milý úsměv od</w:t>
      </w:r>
      <w:r>
        <w:rPr>
          <w:sz w:val="18"/>
          <w:szCs w:val="18"/>
        </w:rPr>
        <w:softHyphen/>
        <w:t>zbrojí i naši nedůvěru, zvláště když vidíme, jak ochotně a laskavě pomáhá zřízenec v posledním voze mladé mamince s kočárkem do vozu a má i pochopení pro stařenku, která se obmeškala a volá: „Poč . . počkejte!“ „Ale ano, mamin</w:t>
      </w:r>
      <w:r>
        <w:rPr>
          <w:sz w:val="18"/>
          <w:szCs w:val="18"/>
        </w:rPr>
        <w:softHyphen/>
        <w:t>ko!“</w:t>
      </w:r>
      <w:r>
        <w:rPr>
          <w:sz w:val="18"/>
          <w:szCs w:val="18"/>
        </w:rPr>
        <w:t xml:space="preserve"> volá náš průvodčí a za pozorností nás všech sedá sta</w:t>
      </w:r>
      <w:r>
        <w:rPr>
          <w:sz w:val="18"/>
          <w:szCs w:val="18"/>
        </w:rPr>
        <w:softHyphen/>
        <w:t>řenka do motorky. Slyšíme zvolání: „Tak jedeme!“ a moto</w:t>
      </w:r>
      <w:r>
        <w:rPr>
          <w:sz w:val="18"/>
          <w:szCs w:val="18"/>
        </w:rPr>
        <w:softHyphen/>
        <w:t>rový vlak Baťova kraje služby veřejnosti rozjíždí se do jas</w:t>
      </w:r>
      <w:r>
        <w:rPr>
          <w:sz w:val="18"/>
          <w:szCs w:val="18"/>
        </w:rPr>
        <w:softHyphen/>
        <w:t>ného dne, plného jasu a krásy pozdního léta.</w:t>
      </w:r>
    </w:p>
    <w:p w:rsidR="00500724" w:rsidRDefault="00F30FB8">
      <w:pPr>
        <w:pStyle w:val="Zkladntext1"/>
        <w:shd w:val="clear" w:color="auto" w:fill="auto"/>
        <w:spacing w:line="197" w:lineRule="auto"/>
        <w:ind w:firstLine="240"/>
        <w:rPr>
          <w:sz w:val="18"/>
          <w:szCs w:val="18"/>
        </w:rPr>
      </w:pPr>
      <w:r>
        <w:rPr>
          <w:sz w:val="18"/>
          <w:szCs w:val="18"/>
        </w:rPr>
        <w:t xml:space="preserve">Projíždíme několik stanic a všude tentýž </w:t>
      </w:r>
      <w:r>
        <w:rPr>
          <w:sz w:val="18"/>
          <w:szCs w:val="18"/>
        </w:rPr>
        <w:t>obraz ochoty a laskavosti. To již zříme v nedaleké vzdálenosti obrysy vyso</w:t>
      </w:r>
      <w:r>
        <w:rPr>
          <w:sz w:val="18"/>
          <w:szCs w:val="18"/>
        </w:rPr>
        <w:softHyphen/>
        <w:t>kých a majestátních budov zlínského centra, které nás zdraví. V pozadí lesy — mezi domy zahrady a stromy dávají krásný doplněk tomuto modernímu pojetí života a jeho potřeb. Naše mot</w:t>
      </w:r>
      <w:r>
        <w:rPr>
          <w:sz w:val="18"/>
          <w:szCs w:val="18"/>
        </w:rPr>
        <w:t>orka projíždí továrními objekty, které okouzlují návštěv</w:t>
      </w:r>
      <w:r>
        <w:rPr>
          <w:sz w:val="18"/>
          <w:szCs w:val="18"/>
        </w:rPr>
        <w:softHyphen/>
        <w:t>níka prostotou a účelností řešení. Výstižné nápisy připomí</w:t>
      </w:r>
      <w:r>
        <w:rPr>
          <w:sz w:val="18"/>
          <w:szCs w:val="18"/>
        </w:rPr>
        <w:softHyphen/>
        <w:t>nají, že jsme v městě práce, v městě, kde hodnota člověka netvoří úsudek, známky a všeliké jiné věci, nýbrž doved</w:t>
      </w:r>
      <w:r>
        <w:rPr>
          <w:sz w:val="18"/>
          <w:szCs w:val="18"/>
        </w:rPr>
        <w:softHyphen/>
        <w:t>nost, vytrvalost a přiroze</w:t>
      </w:r>
      <w:r>
        <w:rPr>
          <w:sz w:val="18"/>
          <w:szCs w:val="18"/>
        </w:rPr>
        <w:t>ná inteligence, která vytváří z děl</w:t>
      </w:r>
      <w:r>
        <w:rPr>
          <w:sz w:val="18"/>
          <w:szCs w:val="18"/>
        </w:rPr>
        <w:softHyphen/>
        <w:t>níků spolupracovníky na společném díle. Vidíme mladé děl</w:t>
      </w:r>
      <w:r>
        <w:rPr>
          <w:sz w:val="18"/>
          <w:szCs w:val="18"/>
        </w:rPr>
        <w:softHyphen/>
        <w:t>níky, nahlížíme do oken vzdušných dílen, za nimiž hrčí stroje, pracují lidé, věřící sobě, své dovednosti a zručnosti, souhrn to vlastností, kterými se stal Zlín pr</w:t>
      </w:r>
      <w:r>
        <w:rPr>
          <w:sz w:val="18"/>
          <w:szCs w:val="18"/>
        </w:rPr>
        <w:t>ůkopníkem nových směrů nejen ve výrobě, ale i v obchodě, reklamě, školství a prostě všude tam, kde důmysl a vtip člověka může přemoci sucho</w:t>
      </w:r>
      <w:r>
        <w:rPr>
          <w:sz w:val="18"/>
          <w:szCs w:val="18"/>
        </w:rPr>
        <w:softHyphen/>
        <w:t>párnost formulí a vžitých zvyklostí.</w:t>
      </w:r>
    </w:p>
    <w:p w:rsidR="00500724" w:rsidRDefault="00F30FB8">
      <w:pPr>
        <w:pStyle w:val="Zkladntext1"/>
        <w:shd w:val="clear" w:color="auto" w:fill="auto"/>
        <w:spacing w:line="197" w:lineRule="auto"/>
        <w:ind w:firstLine="240"/>
        <w:rPr>
          <w:sz w:val="18"/>
          <w:szCs w:val="18"/>
        </w:rPr>
      </w:pPr>
      <w:r>
        <w:rPr>
          <w:sz w:val="18"/>
          <w:szCs w:val="18"/>
        </w:rPr>
        <w:t>Když jsme si prohlédli i obchodní dům a za nastávajícího soumraku pozorovali od</w:t>
      </w:r>
      <w:r>
        <w:rPr>
          <w:sz w:val="18"/>
          <w:szCs w:val="18"/>
        </w:rPr>
        <w:t xml:space="preserve"> Památníku T. Bati, zakladatele a bu</w:t>
      </w:r>
      <w:r>
        <w:rPr>
          <w:sz w:val="18"/>
          <w:szCs w:val="18"/>
        </w:rPr>
        <w:softHyphen/>
        <w:t xml:space="preserve">dovatele této moderní praktické filosofie práce, světelnou pohádku tohoto města dobré obuvi, cítili jsme v našich srdcích hluboké uspokojení, radost i vděčnost. Národ, který si dovede vychovat takové muže a ženy práce, </w:t>
      </w:r>
      <w:r>
        <w:rPr>
          <w:sz w:val="18"/>
          <w:szCs w:val="18"/>
        </w:rPr>
        <w:t>ten nezahyne, naopak, prací, dovedností a iniciativou vyroste a dosáhne takového postavení, jež ve světě patří jen národům zdravým a nada</w:t>
      </w:r>
      <w:r>
        <w:rPr>
          <w:sz w:val="18"/>
          <w:szCs w:val="18"/>
        </w:rPr>
        <w:softHyphen/>
        <w:t>ným.</w:t>
      </w:r>
    </w:p>
    <w:p w:rsidR="00500724" w:rsidRDefault="00F30FB8">
      <w:pPr>
        <w:pStyle w:val="Zkladntext1"/>
        <w:shd w:val="clear" w:color="auto" w:fill="auto"/>
        <w:tabs>
          <w:tab w:val="left" w:pos="3763"/>
        </w:tabs>
        <w:spacing w:after="140" w:line="194" w:lineRule="auto"/>
        <w:ind w:firstLine="260"/>
        <w:rPr>
          <w:sz w:val="18"/>
          <w:szCs w:val="18"/>
        </w:rPr>
      </w:pPr>
      <w:r>
        <w:rPr>
          <w:sz w:val="18"/>
          <w:szCs w:val="18"/>
        </w:rPr>
        <w:t>Pomalu utichá život města, na obloze svítí hvězdičky, vzduch je naplněn vůní letní noci. Usínáme uspokojeni, nebo</w:t>
      </w:r>
      <w:r>
        <w:rPr>
          <w:sz w:val="18"/>
          <w:szCs w:val="18"/>
        </w:rPr>
        <w:t>ť cítíme, že v tomto kraji žijí a pracují lidé, nebojící se ná</w:t>
      </w:r>
      <w:r>
        <w:rPr>
          <w:sz w:val="18"/>
          <w:szCs w:val="18"/>
        </w:rPr>
        <w:softHyphen/>
        <w:t>strah a těžkostí života. Národu, který má takové pracovníky ducha a kladiva, patří i budoucnost.</w:t>
      </w:r>
      <w:r>
        <w:rPr>
          <w:sz w:val="18"/>
          <w:szCs w:val="18"/>
        </w:rPr>
        <w:tab/>
      </w:r>
      <w:r>
        <w:rPr>
          <w:i/>
          <w:iCs/>
          <w:sz w:val="18"/>
          <w:szCs w:val="18"/>
        </w:rPr>
        <w:t>Fr. Zádveřický.</w:t>
      </w:r>
    </w:p>
    <w:p w:rsidR="00500724" w:rsidRDefault="00F30FB8">
      <w:pPr>
        <w:pStyle w:val="Zkladntext1"/>
        <w:shd w:val="clear" w:color="auto" w:fill="auto"/>
        <w:spacing w:after="100"/>
        <w:ind w:firstLine="0"/>
        <w:jc w:val="center"/>
        <w:rPr>
          <w:sz w:val="20"/>
          <w:szCs w:val="20"/>
        </w:rPr>
      </w:pPr>
      <w:r>
        <w:rPr>
          <w:b/>
          <w:bCs/>
          <w:sz w:val="20"/>
          <w:szCs w:val="20"/>
        </w:rPr>
        <w:t>Dostat se ke státu</w:t>
      </w:r>
    </w:p>
    <w:p w:rsidR="00500724" w:rsidRDefault="00F30FB8">
      <w:pPr>
        <w:pStyle w:val="Zkladntext1"/>
        <w:shd w:val="clear" w:color="auto" w:fill="auto"/>
        <w:spacing w:line="197" w:lineRule="auto"/>
        <w:ind w:firstLine="260"/>
        <w:rPr>
          <w:sz w:val="18"/>
          <w:szCs w:val="18"/>
        </w:rPr>
      </w:pPr>
      <w:r>
        <w:rPr>
          <w:sz w:val="18"/>
          <w:szCs w:val="18"/>
        </w:rPr>
        <w:t>často čteme články o tom, že jsme národem úředníků, že touhou</w:t>
      </w:r>
      <w:r>
        <w:rPr>
          <w:sz w:val="18"/>
          <w:szCs w:val="18"/>
        </w:rPr>
        <w:t xml:space="preserve"> mládeže je dostat se do státní služby. Je možné, že děti tatínků, kteří píší takové články, jsou nebo budou ve státní službě, a že ten tatínek se o to hodně přičinil nebo přičiní. Tak to už bývá. Bude-li jednou sestavena statistika o autorech člán</w:t>
      </w:r>
      <w:r>
        <w:rPr>
          <w:sz w:val="18"/>
          <w:szCs w:val="18"/>
        </w:rPr>
        <w:softHyphen/>
        <w:t xml:space="preserve">ků, že </w:t>
      </w:r>
      <w:r>
        <w:rPr>
          <w:sz w:val="18"/>
          <w:szCs w:val="18"/>
        </w:rPr>
        <w:t>národ musí míti mnoho dětí, ukáže se, že je píší lidé, kteří jsou svobodní nebo nemají děti, nebo mají jedno, nanejvýš dvě děti.</w:t>
      </w:r>
    </w:p>
    <w:p w:rsidR="00500724" w:rsidRDefault="00F30FB8">
      <w:pPr>
        <w:pStyle w:val="Zkladntext1"/>
        <w:shd w:val="clear" w:color="auto" w:fill="auto"/>
        <w:spacing w:line="199" w:lineRule="auto"/>
        <w:ind w:firstLine="260"/>
        <w:rPr>
          <w:sz w:val="18"/>
          <w:szCs w:val="18"/>
        </w:rPr>
      </w:pPr>
      <w:r>
        <w:rPr>
          <w:sz w:val="18"/>
          <w:szCs w:val="18"/>
        </w:rPr>
        <w:t>Je však potřebí se trochu vyrovnat s touto otázkou důklad</w:t>
      </w:r>
      <w:r>
        <w:rPr>
          <w:sz w:val="18"/>
          <w:szCs w:val="18"/>
        </w:rPr>
        <w:softHyphen/>
        <w:t xml:space="preserve">něji: proč lidé se chtějí dostat do státní služby? Proě je to touhou </w:t>
      </w:r>
      <w:r>
        <w:rPr>
          <w:sz w:val="18"/>
          <w:szCs w:val="18"/>
        </w:rPr>
        <w:t>tak mnohých? Mají státní zaměstnanci ustláno na rů</w:t>
      </w:r>
      <w:r>
        <w:rPr>
          <w:sz w:val="18"/>
          <w:szCs w:val="18"/>
        </w:rPr>
        <w:softHyphen/>
        <w:t xml:space="preserve">žích? Sotva kdo to bude tvrdit. Pohodlí? Je za námi doba, kdy mnohý státní úředník nevěděl, co to jsou úřední hodiny a více: nevěděl, co je to den a noc. Byli státní zaměstnanci, kteří se utěšovali: je to </w:t>
      </w:r>
      <w:r>
        <w:rPr>
          <w:sz w:val="18"/>
          <w:szCs w:val="18"/>
        </w:rPr>
        <w:t>málo, ale to jisté. Je možno, také nutno, kriti- sovat státní byrokracii. Nebyla a není ien u nás. Má ji každý režim a i každá větší instituce. Měly ji i politické strany, je</w:t>
      </w:r>
      <w:r>
        <w:rPr>
          <w:sz w:val="18"/>
          <w:szCs w:val="18"/>
        </w:rPr>
        <w:softHyphen/>
        <w:t>jichž noviny horlily proti byrokracii: psalo se často o stra</w:t>
      </w:r>
      <w:r>
        <w:rPr>
          <w:sz w:val="18"/>
          <w:szCs w:val="18"/>
        </w:rPr>
        <w:softHyphen/>
        <w:t>nické byrokracii.</w:t>
      </w:r>
    </w:p>
    <w:p w:rsidR="00500724" w:rsidRDefault="00F30FB8">
      <w:pPr>
        <w:pStyle w:val="Zkladntext1"/>
        <w:shd w:val="clear" w:color="auto" w:fill="auto"/>
        <w:spacing w:line="197" w:lineRule="auto"/>
        <w:ind w:firstLine="260"/>
        <w:rPr>
          <w:sz w:val="18"/>
          <w:szCs w:val="18"/>
        </w:rPr>
      </w:pPr>
      <w:r>
        <w:rPr>
          <w:sz w:val="18"/>
          <w:szCs w:val="18"/>
        </w:rPr>
        <w:t>St</w:t>
      </w:r>
      <w:r>
        <w:rPr>
          <w:sz w:val="18"/>
          <w:szCs w:val="18"/>
        </w:rPr>
        <w:t>átní služba — definitiva? Ministerstvo národní obrany je v likvidaci. Ministerstvo zahraničí patří minulosti. Je v likvi</w:t>
      </w:r>
      <w:r>
        <w:rPr>
          <w:sz w:val="18"/>
          <w:szCs w:val="18"/>
        </w:rPr>
        <w:softHyphen/>
        <w:t>daci.</w:t>
      </w:r>
    </w:p>
    <w:p w:rsidR="00500724" w:rsidRDefault="00F30FB8">
      <w:pPr>
        <w:pStyle w:val="Zkladntext1"/>
        <w:shd w:val="clear" w:color="auto" w:fill="auto"/>
        <w:spacing w:line="197" w:lineRule="auto"/>
        <w:ind w:firstLine="260"/>
        <w:rPr>
          <w:sz w:val="18"/>
          <w:szCs w:val="18"/>
        </w:rPr>
      </w:pPr>
      <w:r>
        <w:rPr>
          <w:sz w:val="18"/>
          <w:szCs w:val="18"/>
        </w:rPr>
        <w:t>Je nutno mládež upozorňovati na to, aby nehledala štěstí ve státní službě. Ta dlouho bude stravovat ty, kteří do ní přišli odjinu</w:t>
      </w:r>
      <w:r>
        <w:rPr>
          <w:sz w:val="18"/>
          <w:szCs w:val="18"/>
        </w:rPr>
        <w:t xml:space="preserve">d, přesunem z jiných resortů. Hledají a hledali ti, kteří přišli do státní služby, opravdu sladké nic nedělání, dolce far niente? Leckterý právník a inženýr lituje a litoval, že šel do státní služby, že nešel k advokacii, do soukromé služby, kde se mnohým </w:t>
      </w:r>
      <w:r>
        <w:rPr>
          <w:sz w:val="18"/>
          <w:szCs w:val="18"/>
        </w:rPr>
        <w:t>dobře vede.</w:t>
      </w:r>
    </w:p>
    <w:p w:rsidR="00500724" w:rsidRDefault="00F30FB8">
      <w:pPr>
        <w:pStyle w:val="Zkladntext1"/>
        <w:shd w:val="clear" w:color="auto" w:fill="auto"/>
        <w:spacing w:line="197" w:lineRule="auto"/>
        <w:ind w:firstLine="200"/>
        <w:rPr>
          <w:sz w:val="18"/>
          <w:szCs w:val="18"/>
        </w:rPr>
      </w:pPr>
      <w:r>
        <w:rPr>
          <w:sz w:val="18"/>
          <w:szCs w:val="18"/>
        </w:rPr>
        <w:t>Je možné, že mnozí jdou do státní služby proto, že je to málo, ale že je to jisté. Lidé jsou skromní, protože jsou k té skrom</w:t>
      </w:r>
      <w:r>
        <w:rPr>
          <w:sz w:val="18"/>
          <w:szCs w:val="18"/>
        </w:rPr>
        <w:softHyphen/>
        <w:t>nosti nuceni. Spokojí se s málem, s chudičkým životem. Není to nechuť k práci, nedostatek odvahy. Chtějí mít svou malo</w:t>
      </w:r>
      <w:r>
        <w:rPr>
          <w:sz w:val="18"/>
          <w:szCs w:val="18"/>
        </w:rPr>
        <w:t>u jistotu ve svém životě? Kolik živnostníků začínalo na před</w:t>
      </w:r>
      <w:r>
        <w:rPr>
          <w:sz w:val="18"/>
          <w:szCs w:val="18"/>
        </w:rPr>
        <w:softHyphen/>
        <w:t>městí a nechalo v tom všechny úspory, těžce nastřádané ? Snad někdo řekne: podnikání není bez risika. Vzpomene těch, kte</w:t>
      </w:r>
      <w:r>
        <w:rPr>
          <w:sz w:val="18"/>
          <w:szCs w:val="18"/>
        </w:rPr>
        <w:softHyphen/>
        <w:t>rým se to povedlo. Odborník řekne: nevyznali se v tom, nedě</w:t>
      </w:r>
      <w:r>
        <w:rPr>
          <w:sz w:val="18"/>
          <w:szCs w:val="18"/>
        </w:rPr>
        <w:softHyphen/>
        <w:t xml:space="preserve">lali reklamu. </w:t>
      </w:r>
      <w:r>
        <w:rPr>
          <w:sz w:val="18"/>
          <w:szCs w:val="18"/>
        </w:rPr>
        <w:t>Zeptejte se: má dnes dělník, který celý život poctivě pracoval, zajištěnou slušnou existenci? A hlavně sluš</w:t>
      </w:r>
      <w:r>
        <w:rPr>
          <w:sz w:val="18"/>
          <w:szCs w:val="18"/>
        </w:rPr>
        <w:softHyphen/>
        <w:t>né stáří? Jsou dnes velké vymoženosti sociálně politické. To je však počátek. Velké statisíce prošly dlouhou nezaměstna</w:t>
      </w:r>
      <w:r>
        <w:rPr>
          <w:sz w:val="18"/>
          <w:szCs w:val="18"/>
        </w:rPr>
        <w:softHyphen/>
        <w:t xml:space="preserve">ností. Bez své viny. Chtěli </w:t>
      </w:r>
      <w:r>
        <w:rPr>
          <w:sz w:val="18"/>
          <w:szCs w:val="18"/>
        </w:rPr>
        <w:t>pracovat, ale nebylo pro ně práce.</w:t>
      </w:r>
    </w:p>
    <w:p w:rsidR="00500724" w:rsidRDefault="00F30FB8">
      <w:pPr>
        <w:pStyle w:val="Zkladntext1"/>
        <w:shd w:val="clear" w:color="auto" w:fill="auto"/>
        <w:tabs>
          <w:tab w:val="left" w:pos="4594"/>
        </w:tabs>
        <w:spacing w:after="120" w:line="197" w:lineRule="auto"/>
        <w:ind w:firstLine="260"/>
        <w:rPr>
          <w:sz w:val="18"/>
          <w:szCs w:val="18"/>
        </w:rPr>
      </w:pPr>
      <w:r>
        <w:rPr>
          <w:sz w:val="18"/>
          <w:szCs w:val="18"/>
        </w:rPr>
        <w:t>To není obhajoba života bez risika, života bez boje. Dnes je postaven jednotlivec před síly, které ničí jedince, jako bouře láme stéblo trávy. A touhou lidí je v prvé řadě žít. Snad mnoho lidí se chce dostat k „státu“. Ch</w:t>
      </w:r>
      <w:r>
        <w:rPr>
          <w:sz w:val="18"/>
          <w:szCs w:val="18"/>
        </w:rPr>
        <w:t>tějí mít za svoji práci svoji maličkou jistotu.</w:t>
      </w:r>
      <w:r>
        <w:rPr>
          <w:sz w:val="18"/>
          <w:szCs w:val="18"/>
        </w:rPr>
        <w:tab/>
      </w:r>
      <w:r>
        <w:rPr>
          <w:i/>
          <w:iCs/>
          <w:sz w:val="18"/>
          <w:szCs w:val="18"/>
        </w:rPr>
        <w:t>V. G.</w:t>
      </w:r>
    </w:p>
    <w:p w:rsidR="00500724" w:rsidRDefault="00F30FB8">
      <w:pPr>
        <w:pStyle w:val="Nadpis120"/>
        <w:shd w:val="clear" w:color="auto" w:fill="auto"/>
        <w:spacing w:after="100"/>
        <w:ind w:left="0"/>
        <w:jc w:val="center"/>
      </w:pPr>
      <w:bookmarkStart w:id="867" w:name="bookmark866"/>
      <w:r>
        <w:t>Byi Shakespeare Shakespeare?</w:t>
      </w:r>
      <w:bookmarkEnd w:id="867"/>
    </w:p>
    <w:p w:rsidR="00500724" w:rsidRDefault="00F30FB8">
      <w:pPr>
        <w:pStyle w:val="Zkladntext1"/>
        <w:shd w:val="clear" w:color="auto" w:fill="auto"/>
        <w:spacing w:line="202" w:lineRule="auto"/>
        <w:ind w:firstLine="260"/>
        <w:rPr>
          <w:sz w:val="18"/>
          <w:szCs w:val="18"/>
        </w:rPr>
      </w:pPr>
      <w:r>
        <w:rPr>
          <w:sz w:val="18"/>
          <w:szCs w:val="18"/>
        </w:rPr>
        <w:t>Celá knihovna by se dala sestavit z knih pojednávajících o tom, napsal-li hry Shakespearovy opravdu stratfordský he</w:t>
      </w:r>
      <w:r>
        <w:rPr>
          <w:sz w:val="18"/>
          <w:szCs w:val="18"/>
        </w:rPr>
        <w:softHyphen/>
        <w:t>rec William Shakespeare, či někdo jiný. Zejména je jmenov</w:t>
      </w:r>
      <w:r>
        <w:rPr>
          <w:sz w:val="18"/>
          <w:szCs w:val="18"/>
        </w:rPr>
        <w:t xml:space="preserve">án </w:t>
      </w:r>
      <w:r>
        <w:rPr>
          <w:sz w:val="18"/>
          <w:szCs w:val="18"/>
          <w:lang w:val="en-US" w:eastAsia="en-US" w:bidi="en-US"/>
        </w:rPr>
        <w:t xml:space="preserve">Francis Bacon, </w:t>
      </w:r>
      <w:r>
        <w:rPr>
          <w:sz w:val="18"/>
          <w:szCs w:val="18"/>
        </w:rPr>
        <w:t>lord verulánský.</w:t>
      </w:r>
    </w:p>
    <w:p w:rsidR="00500724" w:rsidRDefault="00F30FB8">
      <w:pPr>
        <w:pStyle w:val="Zkladntext1"/>
        <w:shd w:val="clear" w:color="auto" w:fill="auto"/>
        <w:spacing w:line="199" w:lineRule="auto"/>
        <w:ind w:firstLine="260"/>
        <w:rPr>
          <w:sz w:val="18"/>
          <w:szCs w:val="18"/>
        </w:rPr>
      </w:pPr>
      <w:r>
        <w:rPr>
          <w:sz w:val="18"/>
          <w:szCs w:val="18"/>
        </w:rPr>
        <w:t>Kdo je opravdu psal? Hledají se stopy; věda píše detek</w:t>
      </w:r>
      <w:r>
        <w:rPr>
          <w:sz w:val="18"/>
          <w:szCs w:val="18"/>
        </w:rPr>
        <w:softHyphen/>
        <w:t>tivky. Jedni tvrdí, že je opravdu psal Shakespeare. Druzí do</w:t>
      </w:r>
      <w:r>
        <w:rPr>
          <w:sz w:val="18"/>
          <w:szCs w:val="18"/>
        </w:rPr>
        <w:softHyphen/>
        <w:t xml:space="preserve">kazují, že hry Shakespearovi připisované nenapsal on, ale kdosi jiný. Snaží se čisti mezi řádky: rovnají </w:t>
      </w:r>
      <w:r>
        <w:rPr>
          <w:sz w:val="18"/>
          <w:szCs w:val="18"/>
        </w:rPr>
        <w:t>písmeny, hle</w:t>
      </w:r>
      <w:r>
        <w:rPr>
          <w:sz w:val="18"/>
          <w:szCs w:val="18"/>
        </w:rPr>
        <w:softHyphen/>
        <w:t xml:space="preserve">dají a srovnávají rukopisy. Tvrdí pak, že shakespearovské hry napsal </w:t>
      </w:r>
      <w:r>
        <w:rPr>
          <w:sz w:val="18"/>
          <w:szCs w:val="18"/>
          <w:lang w:val="en-US" w:eastAsia="en-US" w:bidi="en-US"/>
        </w:rPr>
        <w:t xml:space="preserve">lord Bacon. </w:t>
      </w:r>
      <w:r>
        <w:rPr>
          <w:sz w:val="18"/>
          <w:szCs w:val="18"/>
        </w:rPr>
        <w:t>Nechtěl si však kazit dobrou pověst pode</w:t>
      </w:r>
      <w:r>
        <w:rPr>
          <w:sz w:val="18"/>
          <w:szCs w:val="18"/>
        </w:rPr>
        <w:softHyphen/>
        <w:t>zřením, že by mohl psát velká dramata, a že by moli! mít něco společného s herci, kteří společensky na tom byli velmi bíd</w:t>
      </w:r>
      <w:r>
        <w:rPr>
          <w:sz w:val="18"/>
          <w:szCs w:val="18"/>
        </w:rPr>
        <w:t>ně. Uvádí se často: tak velké hry nemohl napsat chudák herec Shakespeare. Kde by vzal ty nápady? Vždyť to jsou filosofické hluboké myšlenky. Proto to musel být filosof, člo</w:t>
      </w:r>
      <w:r>
        <w:rPr>
          <w:sz w:val="18"/>
          <w:szCs w:val="18"/>
        </w:rPr>
        <w:softHyphen/>
        <w:t>věk učený a společensky výše postavený, a ne nějaký herec.</w:t>
      </w:r>
    </w:p>
    <w:p w:rsidR="00500724" w:rsidRDefault="00F30FB8">
      <w:pPr>
        <w:pStyle w:val="Zkladntext1"/>
        <w:shd w:val="clear" w:color="auto" w:fill="auto"/>
        <w:spacing w:line="199" w:lineRule="auto"/>
        <w:ind w:firstLine="260"/>
        <w:rPr>
          <w:sz w:val="18"/>
          <w:szCs w:val="18"/>
        </w:rPr>
        <w:sectPr w:rsidR="00500724">
          <w:footnotePr>
            <w:numFmt w:val="chicago"/>
            <w:numRestart w:val="eachPage"/>
          </w:footnotePr>
          <w:type w:val="continuous"/>
          <w:pgSz w:w="11909" w:h="16834"/>
          <w:pgMar w:top="693" w:right="947" w:bottom="1057" w:left="553" w:header="0" w:footer="3" w:gutter="0"/>
          <w:cols w:num="2" w:space="137"/>
          <w:noEndnote/>
          <w:docGrid w:linePitch="360"/>
        </w:sectPr>
      </w:pPr>
      <w:r>
        <w:rPr>
          <w:rFonts w:ascii="Arial" w:eastAsia="Arial" w:hAnsi="Arial" w:cs="Arial"/>
          <w:b/>
          <w:bCs/>
          <w:sz w:val="17"/>
          <w:szCs w:val="17"/>
        </w:rPr>
        <w:t xml:space="preserve">I </w:t>
      </w:r>
      <w:r>
        <w:rPr>
          <w:sz w:val="18"/>
          <w:szCs w:val="18"/>
        </w:rPr>
        <w:t xml:space="preserve">u nás se někdy píše o „básnících samoucích“. Právem? Kde je ve světě škola, která naučí, jak se píší básně, jak se píše román, drama? Jsou knížky o tom, jak se píše filmové libreto. Není však známo, že by autoři těchto </w:t>
      </w:r>
      <w:r>
        <w:rPr>
          <w:sz w:val="18"/>
          <w:szCs w:val="18"/>
        </w:rPr>
        <w:t>knížek vynikali jako dobří libretisté. Jsou knížky, v nichž vám autoři radí, co máte dělat, aby vás úspěch v životě neminul. Ale málokdy</w:t>
      </w:r>
    </w:p>
    <w:p w:rsidR="00500724" w:rsidRDefault="00F30FB8">
      <w:pPr>
        <w:pStyle w:val="Nadpis80"/>
        <w:keepNext/>
        <w:keepLines/>
        <w:pBdr>
          <w:bottom w:val="single" w:sz="4" w:space="0" w:color="auto"/>
        </w:pBdr>
        <w:shd w:val="clear" w:color="auto" w:fill="auto"/>
        <w:spacing w:before="80" w:after="0"/>
        <w:jc w:val="center"/>
        <w:rPr>
          <w:sz w:val="44"/>
          <w:szCs w:val="44"/>
        </w:rPr>
        <w:sectPr w:rsidR="00500724">
          <w:footnotePr>
            <w:numFmt w:val="chicago"/>
            <w:numRestart w:val="eachPage"/>
          </w:footnotePr>
          <w:pgSz w:w="11909" w:h="16834"/>
          <w:pgMar w:top="685" w:right="948" w:bottom="1080" w:left="554" w:header="0" w:footer="3" w:gutter="0"/>
          <w:cols w:space="720"/>
          <w:noEndnote/>
          <w:docGrid w:linePitch="360"/>
        </w:sectPr>
      </w:pPr>
      <w:bookmarkStart w:id="868" w:name="bookmark867"/>
      <w:r>
        <w:rPr>
          <w:sz w:val="44"/>
          <w:szCs w:val="44"/>
          <w:u w:val="none"/>
        </w:rPr>
        <w:t>Přítomnosti</w:t>
      </w:r>
      <w:bookmarkEnd w:id="868"/>
    </w:p>
    <w:p w:rsidR="00500724" w:rsidRDefault="00500724">
      <w:pPr>
        <w:spacing w:line="34" w:lineRule="exact"/>
        <w:rPr>
          <w:sz w:val="3"/>
          <w:szCs w:val="3"/>
        </w:rPr>
      </w:pPr>
    </w:p>
    <w:p w:rsidR="00500724" w:rsidRDefault="00500724">
      <w:pPr>
        <w:spacing w:line="14" w:lineRule="exact"/>
        <w:sectPr w:rsidR="00500724">
          <w:footnotePr>
            <w:numFmt w:val="chicago"/>
            <w:numRestart w:val="eachPage"/>
          </w:footnotePr>
          <w:type w:val="continuous"/>
          <w:pgSz w:w="11909" w:h="16834"/>
          <w:pgMar w:top="685" w:right="0" w:bottom="1040" w:left="0" w:header="0" w:footer="3" w:gutter="0"/>
          <w:cols w:space="720"/>
          <w:noEndnote/>
          <w:docGrid w:linePitch="360"/>
        </w:sectPr>
      </w:pPr>
    </w:p>
    <w:p w:rsidR="00500724" w:rsidRDefault="00F30FB8">
      <w:pPr>
        <w:pStyle w:val="Zkladntext1"/>
        <w:shd w:val="clear" w:color="auto" w:fill="auto"/>
        <w:spacing w:line="211" w:lineRule="auto"/>
        <w:ind w:firstLine="0"/>
        <w:rPr>
          <w:sz w:val="18"/>
          <w:szCs w:val="18"/>
        </w:rPr>
      </w:pPr>
      <w:r>
        <w:rPr>
          <w:sz w:val="18"/>
          <w:szCs w:val="18"/>
        </w:rPr>
        <w:t>máji tito spisovatelé úspěch. Školy mnoho dají, ale</w:t>
      </w:r>
      <w:r>
        <w:rPr>
          <w:sz w:val="18"/>
          <w:szCs w:val="18"/>
        </w:rPr>
        <w:t xml:space="preserve"> básník, spisovatel, herec, dramatik, malíř a sochař se rodí. Vše ko</w:t>
      </w:r>
      <w:r>
        <w:rPr>
          <w:sz w:val="18"/>
          <w:szCs w:val="18"/>
        </w:rPr>
        <w:softHyphen/>
        <w:t>lem nich na ně pfisobí. Život je jim hlavní školou. Stále se bo</w:t>
      </w:r>
      <w:r>
        <w:rPr>
          <w:sz w:val="18"/>
          <w:szCs w:val="18"/>
        </w:rPr>
        <w:softHyphen/>
        <w:t>lestně učí. Jsou básníci, spisovatelé » doktorským titulem. Ne</w:t>
      </w:r>
      <w:r>
        <w:rPr>
          <w:sz w:val="18"/>
          <w:szCs w:val="18"/>
        </w:rPr>
        <w:softHyphen/>
        <w:t>jsou však básníky proto, že mají doktorát. Naopak: jsou bás</w:t>
      </w:r>
      <w:r>
        <w:rPr>
          <w:sz w:val="18"/>
          <w:szCs w:val="18"/>
        </w:rPr>
        <w:softHyphen/>
      </w:r>
      <w:r>
        <w:rPr>
          <w:sz w:val="18"/>
          <w:szCs w:val="18"/>
        </w:rPr>
        <w:t xml:space="preserve">níci, kteří doktorát dostali </w:t>
      </w:r>
      <w:r>
        <w:rPr>
          <w:sz w:val="18"/>
          <w:szCs w:val="18"/>
          <w:lang w:val="en-US" w:eastAsia="en-US" w:bidi="en-US"/>
        </w:rPr>
        <w:t xml:space="preserve">honoris </w:t>
      </w:r>
      <w:r>
        <w:rPr>
          <w:sz w:val="18"/>
          <w:szCs w:val="18"/>
        </w:rPr>
        <w:t>causa.</w:t>
      </w:r>
    </w:p>
    <w:p w:rsidR="00500724" w:rsidRDefault="00F30FB8">
      <w:pPr>
        <w:pStyle w:val="Zkladntext1"/>
        <w:shd w:val="clear" w:color="auto" w:fill="auto"/>
        <w:tabs>
          <w:tab w:val="left" w:pos="4627"/>
        </w:tabs>
        <w:spacing w:after="80" w:line="206" w:lineRule="auto"/>
        <w:ind w:firstLine="260"/>
        <w:rPr>
          <w:sz w:val="18"/>
          <w:szCs w:val="18"/>
        </w:rPr>
      </w:pPr>
      <w:r>
        <w:rPr>
          <w:sz w:val="18"/>
          <w:szCs w:val="18"/>
        </w:rPr>
        <w:t xml:space="preserve">Proto i herec Shakespeare mohl napsat hry, které stále žijí tím, že se vyrovnaly s ustavičnými a nadčasovými otázkami lidského života. Snad tyto hry napsal </w:t>
      </w:r>
      <w:r>
        <w:rPr>
          <w:sz w:val="18"/>
          <w:szCs w:val="18"/>
          <w:lang w:val="en-US" w:eastAsia="en-US" w:bidi="en-US"/>
        </w:rPr>
        <w:t xml:space="preserve">lord Bacon. </w:t>
      </w:r>
      <w:r>
        <w:rPr>
          <w:sz w:val="18"/>
          <w:szCs w:val="18"/>
        </w:rPr>
        <w:t>Ale nikoliv proto, že byl lordem, že byl věd</w:t>
      </w:r>
      <w:r>
        <w:rPr>
          <w:sz w:val="18"/>
          <w:szCs w:val="18"/>
        </w:rPr>
        <w:t>ěním a společensky výše než herec Shakespeare.</w:t>
      </w:r>
      <w:r>
        <w:rPr>
          <w:sz w:val="18"/>
          <w:szCs w:val="18"/>
        </w:rPr>
        <w:tab/>
      </w:r>
      <w:r>
        <w:rPr>
          <w:i/>
          <w:iCs/>
          <w:sz w:val="18"/>
          <w:szCs w:val="18"/>
        </w:rPr>
        <w:t>V. G.</w:t>
      </w:r>
    </w:p>
    <w:p w:rsidR="00500724" w:rsidRDefault="00F30FB8">
      <w:pPr>
        <w:pStyle w:val="Nadpis120"/>
        <w:shd w:val="clear" w:color="auto" w:fill="auto"/>
        <w:spacing w:after="100"/>
        <w:ind w:left="0"/>
        <w:jc w:val="center"/>
      </w:pPr>
      <w:bookmarkStart w:id="869" w:name="bookmark868"/>
      <w:r>
        <w:t>Knihovna za rohem</w:t>
      </w:r>
      <w:bookmarkEnd w:id="869"/>
    </w:p>
    <w:p w:rsidR="00500724" w:rsidRDefault="00F30FB8">
      <w:pPr>
        <w:pStyle w:val="Zkladntext1"/>
        <w:shd w:val="clear" w:color="auto" w:fill="auto"/>
        <w:spacing w:line="209" w:lineRule="auto"/>
        <w:ind w:firstLine="260"/>
        <w:rPr>
          <w:sz w:val="18"/>
          <w:szCs w:val="18"/>
        </w:rPr>
      </w:pPr>
      <w:r>
        <w:rPr>
          <w:sz w:val="18"/>
          <w:szCs w:val="18"/>
        </w:rPr>
        <w:t>Nejprve přišel letáček, který zval srdečně k vypůjčování knih z pojízdné knihovny hlav. města Prahy. Autobus, knihov</w:t>
      </w:r>
      <w:r>
        <w:rPr>
          <w:sz w:val="18"/>
          <w:szCs w:val="18"/>
        </w:rPr>
        <w:softHyphen/>
        <w:t>nický autobus, bibliobus, opravdu přijel. Dostali jsme legiti</w:t>
      </w:r>
      <w:r>
        <w:rPr>
          <w:sz w:val="18"/>
          <w:szCs w:val="18"/>
        </w:rPr>
        <w:softHyphen/>
      </w:r>
      <w:r>
        <w:rPr>
          <w:sz w:val="18"/>
          <w:szCs w:val="18"/>
        </w:rPr>
        <w:t xml:space="preserve">maci, dobré knížky a seznam knížek dalších. Knihovnictví </w:t>
      </w:r>
      <w:r>
        <w:rPr>
          <w:b/>
          <w:bCs/>
          <w:sz w:val="18"/>
          <w:szCs w:val="18"/>
        </w:rPr>
        <w:t xml:space="preserve">v </w:t>
      </w:r>
      <w:r>
        <w:rPr>
          <w:sz w:val="18"/>
          <w:szCs w:val="18"/>
        </w:rPr>
        <w:t>Praze se tak trochu motorisuje.</w:t>
      </w:r>
    </w:p>
    <w:p w:rsidR="00500724" w:rsidRDefault="00F30FB8">
      <w:pPr>
        <w:pStyle w:val="Zkladntext1"/>
        <w:shd w:val="clear" w:color="auto" w:fill="auto"/>
        <w:spacing w:line="214" w:lineRule="auto"/>
        <w:ind w:firstLine="260"/>
        <w:rPr>
          <w:sz w:val="18"/>
          <w:szCs w:val="18"/>
        </w:rPr>
      </w:pPr>
      <w:r>
        <w:rPr>
          <w:sz w:val="18"/>
          <w:szCs w:val="18"/>
        </w:rPr>
        <w:t xml:space="preserve">Bylo by dobře, kdyby lidovýchova — hlavně v ústředí — si více, než dosud uvědomila technické možnosti lidovýchovy, </w:t>
      </w:r>
      <w:r>
        <w:rPr>
          <w:sz w:val="18"/>
          <w:szCs w:val="18"/>
          <w:lang w:val="en-US" w:eastAsia="en-US" w:bidi="en-US"/>
        </w:rPr>
        <w:t xml:space="preserve">film, </w:t>
      </w:r>
      <w:r>
        <w:rPr>
          <w:sz w:val="18"/>
          <w:szCs w:val="18"/>
        </w:rPr>
        <w:t>úzký film, epidiaskop, diafilm, gramonové de</w:t>
      </w:r>
      <w:r>
        <w:rPr>
          <w:sz w:val="18"/>
          <w:szCs w:val="18"/>
        </w:rPr>
        <w:t>sky atd. Knihovnictví mělo štěstí, že v popřevratové době mělo několik lidí, kteří zákonem o veřejných knihovnách položili široký základ k této činnosti, která po dvaceti letech dává již velký užitek. Hůře již na tom byla lidovýchova. Nebyl nedostatek prac</w:t>
      </w:r>
      <w:r>
        <w:rPr>
          <w:sz w:val="18"/>
          <w:szCs w:val="18"/>
        </w:rPr>
        <w:t>ovníků. I myšlenka osvětových sborů byla dobrá. Ale v nich dávaly politické strany na sebe pozor, aby se nestalo nic, co by se jim nelíbilo. Jeden chtěl to, druhý ono. Tak lido</w:t>
      </w:r>
      <w:r>
        <w:rPr>
          <w:sz w:val="18"/>
          <w:szCs w:val="18"/>
        </w:rPr>
        <w:softHyphen/>
        <w:t>výchovná veřejná práce byla nemastná, neslaná. Není divu, že nezískávala, nepůs</w:t>
      </w:r>
      <w:r>
        <w:rPr>
          <w:sz w:val="18"/>
          <w:szCs w:val="18"/>
        </w:rPr>
        <w:t>obila. Aspoň ne tolik, jak by bylo po</w:t>
      </w:r>
      <w:r>
        <w:rPr>
          <w:sz w:val="18"/>
          <w:szCs w:val="18"/>
        </w:rPr>
        <w:softHyphen/>
        <w:t>třebí.</w:t>
      </w:r>
    </w:p>
    <w:p w:rsidR="00500724" w:rsidRDefault="00F30FB8">
      <w:pPr>
        <w:pStyle w:val="Zkladntext1"/>
        <w:shd w:val="clear" w:color="auto" w:fill="auto"/>
        <w:spacing w:line="214" w:lineRule="auto"/>
        <w:ind w:firstLine="260"/>
        <w:rPr>
          <w:sz w:val="18"/>
          <w:szCs w:val="18"/>
        </w:rPr>
      </w:pPr>
      <w:r>
        <w:rPr>
          <w:sz w:val="18"/>
          <w:szCs w:val="18"/>
        </w:rPr>
        <w:t>Auto s knihami za rohem. Jaké pohodlí! Tiše zní: Nešla-li hora k Mohamedovi, musel Mohamed k hoře. I když dnes zase se vracíme ke knize, býval vztah ke knize v širokých masách kdysi mnohem silnější než dnes. Dne</w:t>
      </w:r>
      <w:r>
        <w:rPr>
          <w:sz w:val="18"/>
          <w:szCs w:val="18"/>
        </w:rPr>
        <w:t>šní doba dává daleko větší možnost vzdělávat se, kulturně žít. Jde jen o to, aby těchto možností bylo plně využito zezdola i seshora.</w:t>
      </w:r>
    </w:p>
    <w:p w:rsidR="00500724" w:rsidRDefault="00F30FB8">
      <w:pPr>
        <w:pStyle w:val="Zkladntext1"/>
        <w:numPr>
          <w:ilvl w:val="0"/>
          <w:numId w:val="112"/>
        </w:numPr>
        <w:shd w:val="clear" w:color="auto" w:fill="auto"/>
        <w:tabs>
          <w:tab w:val="left" w:pos="4918"/>
        </w:tabs>
        <w:spacing w:line="214" w:lineRule="auto"/>
        <w:ind w:left="4620" w:firstLine="0"/>
        <w:jc w:val="left"/>
        <w:rPr>
          <w:sz w:val="18"/>
          <w:szCs w:val="18"/>
        </w:rPr>
      </w:pPr>
      <w:r>
        <w:rPr>
          <w:i/>
          <w:iCs/>
          <w:sz w:val="18"/>
          <w:szCs w:val="18"/>
        </w:rPr>
        <w:t>G.</w:t>
      </w:r>
    </w:p>
    <w:p w:rsidR="00500724" w:rsidRDefault="00F30FB8">
      <w:pPr>
        <w:pStyle w:val="Nadpis120"/>
        <w:shd w:val="clear" w:color="auto" w:fill="auto"/>
        <w:spacing w:after="100"/>
        <w:ind w:left="0"/>
        <w:jc w:val="center"/>
      </w:pPr>
      <w:bookmarkStart w:id="870" w:name="bookmark869"/>
      <w:r>
        <w:t>Jak se vyslovují cizí sportovní výrazy</w:t>
      </w:r>
      <w:bookmarkEnd w:id="870"/>
    </w:p>
    <w:p w:rsidR="00500724" w:rsidRDefault="00F30FB8">
      <w:pPr>
        <w:pStyle w:val="Zkladntext1"/>
        <w:shd w:val="clear" w:color="auto" w:fill="auto"/>
        <w:spacing w:line="192" w:lineRule="auto"/>
        <w:ind w:firstLine="260"/>
        <w:rPr>
          <w:sz w:val="18"/>
          <w:szCs w:val="18"/>
        </w:rPr>
      </w:pPr>
      <w:r>
        <w:rPr>
          <w:sz w:val="18"/>
          <w:szCs w:val="18"/>
        </w:rPr>
        <w:t>Náš článek je naprostým zjištěním, jak se skutečně vyslo</w:t>
      </w:r>
      <w:r>
        <w:rPr>
          <w:sz w:val="18"/>
          <w:szCs w:val="18"/>
        </w:rPr>
        <w:softHyphen/>
        <w:t>vují ony různé názvy ve</w:t>
      </w:r>
      <w:r>
        <w:rPr>
          <w:sz w:val="18"/>
          <w:szCs w:val="18"/>
        </w:rPr>
        <w:t xml:space="preserve"> sportu, jimiž nás obdařila hlavně an</w:t>
      </w:r>
      <w:r>
        <w:rPr>
          <w:sz w:val="18"/>
          <w:szCs w:val="18"/>
        </w:rPr>
        <w:softHyphen/>
        <w:t>gličtina, a nikoli poučením, jak se snad mají vyslovovat, neboť nemáme v úmyslu poučovat p. t. čtenáře o správné vý</w:t>
      </w:r>
      <w:r>
        <w:rPr>
          <w:sz w:val="18"/>
          <w:szCs w:val="18"/>
        </w:rPr>
        <w:softHyphen/>
        <w:t>slovnosti, a to ze dřou hlavních příčin: 1. prázdniny by jistě byly nejméně vhodnou dobou pro kurs pře</w:t>
      </w:r>
      <w:r>
        <w:rPr>
          <w:sz w:val="18"/>
          <w:szCs w:val="18"/>
        </w:rPr>
        <w:t>sné výslovnosti an</w:t>
      </w:r>
      <w:r>
        <w:rPr>
          <w:sz w:val="18"/>
          <w:szCs w:val="18"/>
        </w:rPr>
        <w:softHyphen/>
        <w:t>gličtiny, a 2. neděláme rádi zbytečnou práci a pokoušet se o nápravu výslovnosti nebo vůbec o jakoukoli čistku jazyko</w:t>
      </w:r>
      <w:r>
        <w:rPr>
          <w:sz w:val="18"/>
          <w:szCs w:val="18"/>
        </w:rPr>
        <w:softHyphen/>
        <w:t xml:space="preserve">vou byl by pokus, jenž by se navlas podobal marnému dílu onoho pána v podsvětí, jenž vždycky vyvalil balvan do vrchu a </w:t>
      </w:r>
      <w:r>
        <w:rPr>
          <w:sz w:val="18"/>
          <w:szCs w:val="18"/>
        </w:rPr>
        <w:t>když s ním byl konečně na kopečku, skutálel se mu oblásek zase dolů. Prohlédneme-li letmo slovníček cizích výrazů ve sportovním názvosloví, zjistíme, že je mezi nimi: 1. skupina slov, která se vyslovují jakžtakž správně, nehledíme-li ke ko</w:t>
      </w:r>
      <w:r>
        <w:rPr>
          <w:sz w:val="18"/>
          <w:szCs w:val="18"/>
        </w:rPr>
        <w:softHyphen/>
        <w:t>rektní výslovnos</w:t>
      </w:r>
      <w:r>
        <w:rPr>
          <w:sz w:val="18"/>
          <w:szCs w:val="18"/>
        </w:rPr>
        <w:t>ti a k různým polojasným, polootevřeným, polospolknutým nebo polozašišlaným samohláskám i souhlás</w:t>
      </w:r>
      <w:r>
        <w:rPr>
          <w:sz w:val="18"/>
          <w:szCs w:val="18"/>
        </w:rPr>
        <w:softHyphen/>
        <w:t>kám. Do skupiny 2. patří dosti velké množství slov, která se vyslovují jinak, než se píší, takže je tu zřejmá snaha o ja</w:t>
      </w:r>
      <w:r>
        <w:rPr>
          <w:sz w:val="18"/>
          <w:szCs w:val="18"/>
        </w:rPr>
        <w:softHyphen/>
        <w:t>kousi výslovnost, ale tato je chybná,</w:t>
      </w:r>
      <w:r>
        <w:rPr>
          <w:sz w:val="18"/>
          <w:szCs w:val="18"/>
        </w:rPr>
        <w:t xml:space="preserve"> na př. vyslovují-li se anglická slova po němečku. Za třetí je dosti slov, která se vy</w:t>
      </w:r>
      <w:r>
        <w:rPr>
          <w:sz w:val="18"/>
          <w:szCs w:val="18"/>
        </w:rPr>
        <w:softHyphen/>
        <w:t>slovují tak, jak se píší, bez jakéhokoli zřetele k pravidlům původní řeči. Tak vyslovují hlavně zásadní lidé, povznesení nad vytahováním snobů, kteří se domnívají, že se</w:t>
      </w:r>
      <w:r>
        <w:rPr>
          <w:sz w:val="18"/>
          <w:szCs w:val="18"/>
        </w:rPr>
        <w:t xml:space="preserve"> jim bude kdekdo obdivovati, když dovedou zašišlat th jako rodilí An</w:t>
      </w:r>
      <w:r>
        <w:rPr>
          <w:sz w:val="18"/>
          <w:szCs w:val="18"/>
        </w:rPr>
        <w:softHyphen/>
        <w:t>gličané. Konečně a za čtvrté slýcháme dosti zhusta slova, jichž část je vyslovena správně a zbývající část tak, jak se píší. Tato skupina není z nejmenších.</w:t>
      </w:r>
    </w:p>
    <w:p w:rsidR="00500724" w:rsidRDefault="00F30FB8">
      <w:pPr>
        <w:pStyle w:val="Zkladntext1"/>
        <w:shd w:val="clear" w:color="auto" w:fill="auto"/>
        <w:spacing w:line="194" w:lineRule="auto"/>
        <w:ind w:firstLine="260"/>
        <w:rPr>
          <w:sz w:val="18"/>
          <w:szCs w:val="18"/>
        </w:rPr>
      </w:pPr>
      <w:r>
        <w:rPr>
          <w:sz w:val="18"/>
          <w:szCs w:val="18"/>
        </w:rPr>
        <w:t>Do prvé skupiny patří slova ja</w:t>
      </w:r>
      <w:r>
        <w:rPr>
          <w:sz w:val="18"/>
          <w:szCs w:val="18"/>
        </w:rPr>
        <w:t xml:space="preserve">ko </w:t>
      </w:r>
      <w:r>
        <w:rPr>
          <w:sz w:val="18"/>
          <w:szCs w:val="18"/>
          <w:lang w:val="en-US" w:eastAsia="en-US" w:bidi="en-US"/>
        </w:rPr>
        <w:t xml:space="preserve">goal, back, hand, </w:t>
      </w:r>
      <w:r>
        <w:rPr>
          <w:sz w:val="18"/>
          <w:szCs w:val="18"/>
        </w:rPr>
        <w:t xml:space="preserve">lina, </w:t>
      </w:r>
      <w:r>
        <w:rPr>
          <w:sz w:val="18"/>
          <w:szCs w:val="18"/>
          <w:lang w:val="en-US" w:eastAsia="en-US" w:bidi="en-US"/>
        </w:rPr>
        <w:t xml:space="preserve">umpire, </w:t>
      </w:r>
      <w:r>
        <w:rPr>
          <w:sz w:val="18"/>
          <w:szCs w:val="18"/>
        </w:rPr>
        <w:t>game a jiná. Nejsou zvlášť četná a je jich méně v ko</w:t>
      </w:r>
      <w:r>
        <w:rPr>
          <w:sz w:val="18"/>
          <w:szCs w:val="18"/>
        </w:rPr>
        <w:softHyphen/>
        <w:t>pané než v tennise, kde se také dosti správně po anglicku po</w:t>
      </w:r>
      <w:r>
        <w:rPr>
          <w:sz w:val="18"/>
          <w:szCs w:val="18"/>
        </w:rPr>
        <w:softHyphen/>
        <w:t xml:space="preserve">čítá; nanejvýš že se říká </w:t>
      </w:r>
      <w:r>
        <w:rPr>
          <w:sz w:val="18"/>
          <w:szCs w:val="18"/>
          <w:lang w:val="en-US" w:eastAsia="en-US" w:bidi="en-US"/>
        </w:rPr>
        <w:t xml:space="preserve">fifty </w:t>
      </w:r>
      <w:r>
        <w:rPr>
          <w:sz w:val="18"/>
          <w:szCs w:val="18"/>
        </w:rPr>
        <w:t xml:space="preserve">místo fiftýn, což vzniklo asi vlivem </w:t>
      </w:r>
      <w:r>
        <w:rPr>
          <w:sz w:val="18"/>
          <w:szCs w:val="18"/>
          <w:lang w:val="en-US" w:eastAsia="en-US" w:bidi="en-US"/>
        </w:rPr>
        <w:t xml:space="preserve">thirty a forty. </w:t>
      </w:r>
      <w:r>
        <w:rPr>
          <w:sz w:val="18"/>
          <w:szCs w:val="18"/>
        </w:rPr>
        <w:t xml:space="preserve">Na špatnou výslovnost </w:t>
      </w:r>
      <w:r>
        <w:rPr>
          <w:sz w:val="18"/>
          <w:szCs w:val="18"/>
        </w:rPr>
        <w:t>anglických slov má, jak jsme již podotkli, vliv hlavně němčina. Říkáme šport, študebekr, štyl, ba i šlacengr (Slazenger), kde pro výslovnost s jako š není ani v němčině předpokladu. Celkem je snad tato skupina nejmenší. Některá slova vyslovují i lidé, kteř</w:t>
      </w:r>
      <w:r>
        <w:rPr>
          <w:sz w:val="18"/>
          <w:szCs w:val="18"/>
        </w:rPr>
        <w:t xml:space="preserve">í jinak snad i umějí anglicky, tak, jak se píší. Tak na př. </w:t>
      </w:r>
      <w:r>
        <w:rPr>
          <w:sz w:val="18"/>
          <w:szCs w:val="18"/>
          <w:lang w:val="en-US" w:eastAsia="en-US" w:bidi="en-US"/>
        </w:rPr>
        <w:t xml:space="preserve">volley </w:t>
      </w:r>
      <w:r>
        <w:rPr>
          <w:sz w:val="18"/>
          <w:szCs w:val="18"/>
        </w:rPr>
        <w:t>zni příliš podobně českému (v)oleji, aby se vyslovoval váli, jak by bylo třeba. Jistě i český profesor angličtiny bere míčky volejem a nikoli valím, jak by měl. Je však zato dost lidí, kteř</w:t>
      </w:r>
      <w:r>
        <w:rPr>
          <w:sz w:val="18"/>
          <w:szCs w:val="18"/>
        </w:rPr>
        <w:t xml:space="preserve">í říkají valibol, snad víc než těch, jimž se lip zamlouvá volejbal. Fotbal vede o nesmírné množství bodů před futbo- lem. Vždyť jsme nedávno slyšeli </w:t>
      </w:r>
      <w:r>
        <w:rPr>
          <w:rFonts w:ascii="Arial" w:eastAsia="Arial" w:hAnsi="Arial" w:cs="Arial"/>
          <w:b/>
          <w:bCs/>
          <w:sz w:val="17"/>
          <w:szCs w:val="17"/>
        </w:rPr>
        <w:t xml:space="preserve">i </w:t>
      </w:r>
      <w:r>
        <w:rPr>
          <w:sz w:val="18"/>
          <w:szCs w:val="18"/>
        </w:rPr>
        <w:t>významného sportovního činitele, který se představil do rozhlasu, že mluví za „fotba</w:t>
      </w:r>
      <w:r>
        <w:rPr>
          <w:sz w:val="18"/>
          <w:szCs w:val="18"/>
        </w:rPr>
        <w:softHyphen/>
        <w:t xml:space="preserve">lovou“ asociaci a </w:t>
      </w:r>
      <w:r>
        <w:rPr>
          <w:sz w:val="18"/>
          <w:szCs w:val="18"/>
        </w:rPr>
        <w:t>nikoli futbolovou. Zajímavá je sorta lidí, jimž můžete do omrzení opakovat cizí jména správně vyslovovaná, ale oni zůstanou věrni výslovnosti „mluv, jak se píše“, ba dívají se na vás podezíravě a skoro posměšně, jak že ta slova komolíte. Vzpomínám tu které</w:t>
      </w:r>
      <w:r>
        <w:rPr>
          <w:sz w:val="18"/>
          <w:szCs w:val="18"/>
        </w:rPr>
        <w:t>si dámy, s niž jsem měl rozhovor — ne o sportu, nýbrž o filmu — a jak mluvila nadšeně o americkém herci, kterého jmenovala zásadně Va- láce Béry, nedadouc se nijak zviklati mým bírym.</w:t>
      </w:r>
    </w:p>
    <w:p w:rsidR="00500724" w:rsidRDefault="00F30FB8">
      <w:pPr>
        <w:pStyle w:val="Zkladntext1"/>
        <w:shd w:val="clear" w:color="auto" w:fill="auto"/>
        <w:spacing w:line="209" w:lineRule="auto"/>
        <w:ind w:firstLine="260"/>
        <w:rPr>
          <w:sz w:val="18"/>
          <w:szCs w:val="18"/>
        </w:rPr>
      </w:pPr>
      <w:r>
        <w:rPr>
          <w:sz w:val="18"/>
          <w:szCs w:val="18"/>
        </w:rPr>
        <w:t>Jak již bylo řečeno, velmi četná je poslední skupina, že část jména nebo</w:t>
      </w:r>
      <w:r>
        <w:rPr>
          <w:sz w:val="18"/>
          <w:szCs w:val="18"/>
        </w:rPr>
        <w:t xml:space="preserve"> názvu se vyslovuje správně a část tak, jak se píše nebo vůbec chybně. Tato polovičatá znalost má dů</w:t>
      </w:r>
      <w:r>
        <w:rPr>
          <w:sz w:val="18"/>
          <w:szCs w:val="18"/>
        </w:rPr>
        <w:softHyphen/>
        <w:t>vod asi v tom, že si lidé osvojí časem nejobvyklejší pravidla cizí výslovnosti, jako že ve franštině se ou vyslovuje u, u — u, eu — o, c — k nebo s, v ital</w:t>
      </w:r>
      <w:r>
        <w:rPr>
          <w:sz w:val="18"/>
          <w:szCs w:val="18"/>
        </w:rPr>
        <w:t>štině c — k nebo č, g — dž, v an</w:t>
      </w:r>
      <w:r>
        <w:rPr>
          <w:sz w:val="18"/>
          <w:szCs w:val="18"/>
        </w:rPr>
        <w:softHyphen/>
        <w:t>gličtině ee — i, oo — u, j a g — dž, a — e (že se a často vy</w:t>
      </w:r>
      <w:r>
        <w:rPr>
          <w:sz w:val="18"/>
          <w:szCs w:val="18"/>
        </w:rPr>
        <w:softHyphen/>
        <w:t>slovuje jako o, je už velmi málo známo) a pod. Méně častá pravidla už široké vrstvy neznají. Tím pak dochází k nejob</w:t>
      </w:r>
      <w:r>
        <w:rPr>
          <w:sz w:val="18"/>
          <w:szCs w:val="18"/>
        </w:rPr>
        <w:softHyphen/>
        <w:t xml:space="preserve">vyklejší výslovnosti slova </w:t>
      </w:r>
      <w:r>
        <w:rPr>
          <w:sz w:val="18"/>
          <w:szCs w:val="18"/>
          <w:lang w:val="en-US" w:eastAsia="en-US" w:bidi="en-US"/>
        </w:rPr>
        <w:t xml:space="preserve">football </w:t>
      </w:r>
      <w:r>
        <w:rPr>
          <w:sz w:val="18"/>
          <w:szCs w:val="18"/>
        </w:rPr>
        <w:t>u nás — f</w:t>
      </w:r>
      <w:r>
        <w:rPr>
          <w:sz w:val="18"/>
          <w:szCs w:val="18"/>
        </w:rPr>
        <w:t>utbal (ovšem i vlivem něm. FuBball). Podobné je halfbek, první polovina, jak se píše, druhá správně, gólman místo gólmen, mexplejka (druh rakety, jež se nazývá Maxply), kde se ply vyslovuje asi vlivem podobného slova „play“ — plej a ne plaj, a pod.</w:t>
      </w:r>
    </w:p>
    <w:p w:rsidR="00500724" w:rsidRDefault="00F30FB8">
      <w:pPr>
        <w:pStyle w:val="Zkladntext1"/>
        <w:shd w:val="clear" w:color="auto" w:fill="auto"/>
        <w:tabs>
          <w:tab w:val="left" w:pos="4488"/>
        </w:tabs>
        <w:spacing w:after="200" w:line="204" w:lineRule="auto"/>
        <w:ind w:firstLine="260"/>
        <w:rPr>
          <w:sz w:val="18"/>
          <w:szCs w:val="18"/>
        </w:rPr>
      </w:pPr>
      <w:r>
        <w:rPr>
          <w:sz w:val="18"/>
          <w:szCs w:val="18"/>
        </w:rPr>
        <w:t>Zdůrazňujeme znovu, že jsme nemínili podniknout očist</w:t>
      </w:r>
      <w:r>
        <w:rPr>
          <w:sz w:val="18"/>
          <w:szCs w:val="18"/>
        </w:rPr>
        <w:softHyphen/>
        <w:t>nou kampaň ve prospěch správného vyslovování cizích slov ve sportu, nýbrž jen pro zajímavost jsme zaškatulkovali čtyři hlavní druhy způsobů, jichž užívá Čech, když vkládá do své mateřštiny cizí slova.</w:t>
      </w:r>
      <w:r>
        <w:rPr>
          <w:sz w:val="18"/>
          <w:szCs w:val="18"/>
        </w:rPr>
        <w:tab/>
      </w:r>
      <w:r>
        <w:rPr>
          <w:i/>
          <w:iCs/>
          <w:sz w:val="18"/>
          <w:szCs w:val="18"/>
        </w:rPr>
        <w:t>S</w:t>
      </w:r>
      <w:r>
        <w:rPr>
          <w:i/>
          <w:iCs/>
          <w:sz w:val="18"/>
          <w:szCs w:val="18"/>
        </w:rPr>
        <w:t xml:space="preserve"> &amp; K</w:t>
      </w:r>
    </w:p>
    <w:p w:rsidR="00500724" w:rsidRDefault="00F30FB8">
      <w:pPr>
        <w:pStyle w:val="Jin0"/>
        <w:pBdr>
          <w:bottom w:val="single" w:sz="4" w:space="0" w:color="auto"/>
        </w:pBdr>
        <w:shd w:val="clear" w:color="auto" w:fill="auto"/>
        <w:spacing w:after="280"/>
        <w:ind w:firstLine="0"/>
        <w:jc w:val="left"/>
        <w:rPr>
          <w:sz w:val="44"/>
          <w:szCs w:val="44"/>
        </w:rPr>
      </w:pPr>
      <w:r>
        <w:rPr>
          <w:b/>
          <w:bCs/>
          <w:sz w:val="44"/>
          <w:szCs w:val="44"/>
        </w:rPr>
        <w:t>politika</w:t>
      </w:r>
    </w:p>
    <w:p w:rsidR="00500724" w:rsidRDefault="00F30FB8">
      <w:pPr>
        <w:pStyle w:val="Zkladntext30"/>
        <w:shd w:val="clear" w:color="auto" w:fill="auto"/>
        <w:spacing w:after="80" w:line="197" w:lineRule="auto"/>
        <w:ind w:firstLine="0"/>
      </w:pPr>
      <w:r>
        <w:rPr>
          <w:i/>
          <w:iCs/>
        </w:rPr>
        <w:t>Zdeněk Smetáček:</w:t>
      </w:r>
    </w:p>
    <w:p w:rsidR="00500724" w:rsidRDefault="00F30FB8">
      <w:pPr>
        <w:pStyle w:val="Jin0"/>
        <w:shd w:val="clear" w:color="auto" w:fill="auto"/>
        <w:spacing w:after="120"/>
        <w:ind w:firstLine="0"/>
        <w:jc w:val="center"/>
        <w:rPr>
          <w:sz w:val="28"/>
          <w:szCs w:val="28"/>
        </w:rPr>
      </w:pPr>
      <w:r>
        <w:rPr>
          <w:b/>
          <w:bCs/>
          <w:sz w:val="28"/>
          <w:szCs w:val="28"/>
        </w:rPr>
        <w:t>Proč mizely parlamenty</w:t>
      </w:r>
    </w:p>
    <w:p w:rsidR="00500724" w:rsidRDefault="00F30FB8">
      <w:pPr>
        <w:pStyle w:val="Zkladntext30"/>
        <w:framePr w:dropCap="drop" w:lines="2" w:hSpace="5" w:vSpace="5" w:wrap="auto" w:vAnchor="text" w:hAnchor="text"/>
        <w:shd w:val="clear" w:color="auto" w:fill="auto"/>
        <w:spacing w:line="287" w:lineRule="exact"/>
        <w:ind w:firstLine="0"/>
        <w:rPr>
          <w:sz w:val="20"/>
          <w:szCs w:val="20"/>
        </w:rPr>
      </w:pPr>
      <w:r>
        <w:rPr>
          <w:position w:val="-6"/>
          <w:sz w:val="44"/>
          <w:szCs w:val="44"/>
        </w:rPr>
        <w:t>V</w:t>
      </w:r>
    </w:p>
    <w:p w:rsidR="00500724" w:rsidRDefault="00F30FB8">
      <w:pPr>
        <w:pStyle w:val="Zkladntext30"/>
        <w:shd w:val="clear" w:color="auto" w:fill="auto"/>
        <w:spacing w:after="100"/>
        <w:ind w:firstLine="0"/>
        <w:rPr>
          <w:sz w:val="20"/>
          <w:szCs w:val="20"/>
        </w:rPr>
        <w:sectPr w:rsidR="00500724">
          <w:footnotePr>
            <w:numFmt w:val="chicago"/>
            <w:numRestart w:val="eachPage"/>
          </w:footnotePr>
          <w:type w:val="continuous"/>
          <w:pgSz w:w="11909" w:h="16834"/>
          <w:pgMar w:top="685" w:right="948" w:bottom="1040" w:left="554" w:header="0" w:footer="3" w:gutter="0"/>
          <w:cols w:num="2" w:space="154"/>
          <w:noEndnote/>
          <w:docGrid w:linePitch="360"/>
        </w:sectPr>
      </w:pPr>
      <w:r>
        <w:rPr>
          <w:sz w:val="20"/>
          <w:szCs w:val="20"/>
        </w:rPr>
        <w:t xml:space="preserve"> minulém článku jsme úmyslně psali o soumraku evropského parlamentarismu, nikoli o sou</w:t>
      </w:r>
      <w:r>
        <w:rPr>
          <w:sz w:val="20"/>
          <w:szCs w:val="20"/>
        </w:rPr>
        <w:softHyphen/>
        <w:t xml:space="preserve">mraku demokracie. Často se ovšem tyto dvě věci ztotožňují a v dosavadní politické </w:t>
      </w:r>
      <w:r>
        <w:rPr>
          <w:sz w:val="20"/>
          <w:szCs w:val="20"/>
        </w:rPr>
        <w:t>zkušenosti evropské</w:t>
      </w:r>
      <w:r>
        <w:rPr>
          <w:sz w:val="20"/>
          <w:szCs w:val="20"/>
        </w:rPr>
        <w:softHyphen/>
        <w:t>ho lidstva znamenaly prakticky většinou jedno a totéž. Ale teoreticky není správné klást mezi ně rovnítko, nebot parlamentarismus má se k demokracii jako pro</w:t>
      </w:r>
      <w:r>
        <w:rPr>
          <w:sz w:val="20"/>
          <w:szCs w:val="20"/>
        </w:rPr>
        <w:softHyphen/>
        <w:t>středek k účelu. Je-li demokracie vládou lidu, jest par</w:t>
      </w:r>
      <w:r>
        <w:rPr>
          <w:sz w:val="20"/>
          <w:szCs w:val="20"/>
        </w:rPr>
        <w:softHyphen/>
        <w:t>lamentarismus jedním z</w:t>
      </w:r>
      <w:r>
        <w:rPr>
          <w:sz w:val="20"/>
          <w:szCs w:val="20"/>
        </w:rPr>
        <w:t xml:space="preserve"> pokusů prakticky ji uskuteč</w:t>
      </w:r>
      <w:r>
        <w:rPr>
          <w:sz w:val="20"/>
          <w:szCs w:val="20"/>
        </w:rPr>
        <w:softHyphen/>
        <w:t>nit, a protože prostředků k jednomu cíli je vždycky několik, nutno aspoň teoreticky připustit, že parla</w:t>
      </w:r>
      <w:r>
        <w:rPr>
          <w:sz w:val="20"/>
          <w:szCs w:val="20"/>
        </w:rPr>
        <w:softHyphen/>
        <w:t>mentarismus není jedinou možnou formou demokracie. Je na příklad známo, že ani autoritatiyní režimy se nepovažují za popřen</w:t>
      </w:r>
      <w:r>
        <w:rPr>
          <w:sz w:val="20"/>
          <w:szCs w:val="20"/>
        </w:rPr>
        <w:t>í základní demokratické myšlenky o vládě lidu, nýbrž že naopak se pokládají za lepší a pravdivější její naplnění než režimy parlamentní. Je ovšem možno ještě dále rozbírat také pojem vlády lidu a dovozovat, že ani toto není nejvyšší a poslední míra pravé d</w:t>
      </w:r>
      <w:r>
        <w:rPr>
          <w:sz w:val="20"/>
          <w:szCs w:val="20"/>
        </w:rPr>
        <w:t>emokratičnosti, neboť vůle lidu nemusí být správná a pravdivá jen proto, že je to vůle lidu; že lid se může mýlit právě tak jako jednotlivec a že je stejně možný blud kolektivní jako individuální; že tedy také vůli lidu nutno měřit několika nejvyššími mrav</w:t>
      </w:r>
      <w:r>
        <w:rPr>
          <w:sz w:val="20"/>
          <w:szCs w:val="20"/>
        </w:rPr>
        <w:t>ními zásadami, nepodmíněně platnými, a že pravá demokracie je jen ta, kde poučený a osvícený lid tvoří společenství ke službě těmto hodnotám. Teprve v těch</w:t>
      </w:r>
      <w:r>
        <w:rPr>
          <w:sz w:val="20"/>
          <w:szCs w:val="20"/>
        </w:rPr>
        <w:softHyphen/>
        <w:t xml:space="preserve">to končinách se pak potkáváme s nejtěžšími problémy politické filosofie, jako je otázka, odkud jsou </w:t>
      </w:r>
      <w:r>
        <w:rPr>
          <w:sz w:val="20"/>
          <w:szCs w:val="20"/>
        </w:rPr>
        <w:t>ony ne</w:t>
      </w:r>
      <w:r>
        <w:rPr>
          <w:sz w:val="20"/>
          <w:szCs w:val="20"/>
        </w:rPr>
        <w:softHyphen/>
        <w:t>podmíněné hodnoty a co nám ručí za jejich absolutní platnost, otázka, zdali je možno takové hodnoty — jest</w:t>
      </w:r>
      <w:r>
        <w:rPr>
          <w:sz w:val="20"/>
          <w:szCs w:val="20"/>
        </w:rPr>
        <w:softHyphen/>
        <w:t>liže skutečně jaké jsou — vnucovat lidu třeba i proti</w:t>
      </w:r>
    </w:p>
    <w:p w:rsidR="00500724" w:rsidRDefault="00F30FB8">
      <w:pPr>
        <w:pStyle w:val="Nadpis90"/>
        <w:keepNext/>
        <w:keepLines/>
        <w:pBdr>
          <w:bottom w:val="single" w:sz="4" w:space="0" w:color="auto"/>
        </w:pBdr>
        <w:shd w:val="clear" w:color="auto" w:fill="auto"/>
        <w:spacing w:before="80" w:after="0"/>
        <w:ind w:right="60"/>
        <w:jc w:val="center"/>
        <w:sectPr w:rsidR="00500724">
          <w:footnotePr>
            <w:numFmt w:val="chicago"/>
            <w:numRestart w:val="eachPage"/>
          </w:footnotePr>
          <w:pgSz w:w="11909" w:h="16834"/>
          <w:pgMar w:top="872" w:right="977" w:bottom="994" w:left="478" w:header="0" w:footer="3" w:gutter="0"/>
          <w:cols w:space="720"/>
          <w:noEndnote/>
          <w:docGrid w:linePitch="360"/>
        </w:sectPr>
      </w:pPr>
      <w:bookmarkStart w:id="871" w:name="bookmark870"/>
      <w:r>
        <w:rPr>
          <w:rFonts w:ascii="Times New Roman" w:eastAsia="Times New Roman" w:hAnsi="Times New Roman" w:cs="Times New Roman"/>
        </w:rPr>
        <w:t>IYflomnost&gt;</w:t>
      </w:r>
      <w:bookmarkEnd w:id="871"/>
    </w:p>
    <w:p w:rsidR="00500724" w:rsidRDefault="00500724">
      <w:pPr>
        <w:spacing w:line="29" w:lineRule="exact"/>
        <w:rPr>
          <w:sz w:val="2"/>
          <w:szCs w:val="2"/>
        </w:rPr>
      </w:pPr>
    </w:p>
    <w:p w:rsidR="00500724" w:rsidRDefault="00500724">
      <w:pPr>
        <w:spacing w:line="14" w:lineRule="exact"/>
        <w:sectPr w:rsidR="00500724">
          <w:footnotePr>
            <w:numFmt w:val="chicago"/>
            <w:numRestart w:val="eachPage"/>
          </w:footnotePr>
          <w:type w:val="continuous"/>
          <w:pgSz w:w="11909" w:h="16834"/>
          <w:pgMar w:top="835" w:right="0" w:bottom="988" w:left="0" w:header="0" w:footer="3" w:gutter="0"/>
          <w:cols w:space="720"/>
          <w:noEndnote/>
          <w:docGrid w:linePitch="360"/>
        </w:sectPr>
      </w:pPr>
    </w:p>
    <w:p w:rsidR="00500724" w:rsidRDefault="00F30FB8">
      <w:pPr>
        <w:pStyle w:val="Zkladntext30"/>
        <w:shd w:val="clear" w:color="auto" w:fill="auto"/>
        <w:tabs>
          <w:tab w:val="left" w:pos="2448"/>
        </w:tabs>
        <w:spacing w:after="180" w:line="214" w:lineRule="auto"/>
        <w:ind w:firstLine="0"/>
        <w:rPr>
          <w:sz w:val="20"/>
          <w:szCs w:val="20"/>
        </w:rPr>
      </w:pPr>
      <w:r>
        <w:rPr>
          <w:sz w:val="20"/>
          <w:szCs w:val="20"/>
        </w:rPr>
        <w:t xml:space="preserve">jeho vůli, tedy </w:t>
      </w:r>
      <w:r>
        <w:rPr>
          <w:sz w:val="20"/>
          <w:szCs w:val="20"/>
        </w:rPr>
        <w:t>problém cromwellovského autoritářství a podobně. To však jsou čistě abstraktní úvahy, jimž se chceme vyhnouti. Vraťme se k evropské poválečné skutečnosti.</w:t>
      </w:r>
      <w:r>
        <w:rPr>
          <w:sz w:val="20"/>
          <w:szCs w:val="20"/>
        </w:rPr>
        <w:tab/>
      </w:r>
      <w:r>
        <w:rPr>
          <w:sz w:val="20"/>
          <w:szCs w:val="20"/>
          <w:vertAlign w:val="subscript"/>
        </w:rPr>
        <w:t>@</w:t>
      </w:r>
    </w:p>
    <w:p w:rsidR="00500724" w:rsidRDefault="00F30FB8">
      <w:pPr>
        <w:pStyle w:val="Zkladntext30"/>
        <w:shd w:val="clear" w:color="auto" w:fill="auto"/>
        <w:spacing w:line="228" w:lineRule="auto"/>
        <w:ind w:firstLine="300"/>
        <w:rPr>
          <w:sz w:val="20"/>
          <w:szCs w:val="20"/>
        </w:rPr>
      </w:pPr>
      <w:r>
        <w:rPr>
          <w:sz w:val="20"/>
          <w:szCs w:val="20"/>
        </w:rPr>
        <w:t>Vnitropolitické dějiny jednotlivých kdysi parla</w:t>
      </w:r>
      <w:r>
        <w:rPr>
          <w:sz w:val="20"/>
          <w:szCs w:val="20"/>
        </w:rPr>
        <w:softHyphen/>
        <w:t>mentních států, jež jsme minule stručně probrali, s</w:t>
      </w:r>
      <w:r>
        <w:rPr>
          <w:sz w:val="20"/>
          <w:szCs w:val="20"/>
        </w:rPr>
        <w:t>ký</w:t>
      </w:r>
      <w:r>
        <w:rPr>
          <w:sz w:val="20"/>
          <w:szCs w:val="20"/>
        </w:rPr>
        <w:softHyphen/>
        <w:t>tají celkem úplné poučení o příčinách pádu parlament</w:t>
      </w:r>
      <w:r>
        <w:rPr>
          <w:sz w:val="20"/>
          <w:szCs w:val="20"/>
        </w:rPr>
        <w:softHyphen/>
        <w:t>ních režimů a o okolnostech, v nichž je parlamentní režim vůbec nemožný. V Polsku na příklad ztroskotal na rozporech mezi stranami liberálními a socialistickými na jedné a armádou na druhé straně, v R</w:t>
      </w:r>
      <w:r>
        <w:rPr>
          <w:sz w:val="20"/>
          <w:szCs w:val="20"/>
        </w:rPr>
        <w:t>akousku na rozporech mezi nacionálním socialismem, klerikalis- mem a sociální demokracií, v Rumunsku na rozporech mezi krajní pravicí a stranami selskými a liberálními, při čemž hrála zvláštní úlohu také otázka dynastická; v Jugoslávii na otázce národnostn</w:t>
      </w:r>
      <w:r>
        <w:rPr>
          <w:sz w:val="20"/>
          <w:szCs w:val="20"/>
        </w:rPr>
        <w:t>í, v Bulharsku na spo</w:t>
      </w:r>
      <w:r>
        <w:rPr>
          <w:sz w:val="20"/>
          <w:szCs w:val="20"/>
        </w:rPr>
        <w:softHyphen/>
        <w:t>ru mezi „selským socialismem“ a konservatismem, v Řecku na problému monarchie či republika, v Itálii na sporu fašismu s liberalismem, socialismem a ko</w:t>
      </w:r>
      <w:r>
        <w:rPr>
          <w:sz w:val="20"/>
          <w:szCs w:val="20"/>
        </w:rPr>
        <w:softHyphen/>
        <w:t>munismem, v Říši na sporu mezi systémem výmar- ským a nacionálním socialismem, ve Š</w:t>
      </w:r>
      <w:r>
        <w:rPr>
          <w:sz w:val="20"/>
          <w:szCs w:val="20"/>
        </w:rPr>
        <w:t>panělsku na ne</w:t>
      </w:r>
      <w:r>
        <w:rPr>
          <w:sz w:val="20"/>
          <w:szCs w:val="20"/>
        </w:rPr>
        <w:softHyphen/>
        <w:t>smiřitelnosti politického boje mezi francovskou pravicí a socialisticko-liberálně-komunistickou levicí. Také ve Francii byl parlamentní režim oslaben propastí, která se otevřela mezi stranami pravice a levice pro věci sociální, a to do té mí</w:t>
      </w:r>
      <w:r>
        <w:rPr>
          <w:sz w:val="20"/>
          <w:szCs w:val="20"/>
        </w:rPr>
        <w:t>ry, že už ani nebyl s to vytvořiti byť i jen poněkud stálou vládu. Problém francouzského režimu nebyl rozřešen, nýbrž jen odložen po dobu mezi</w:t>
      </w:r>
      <w:r>
        <w:rPr>
          <w:sz w:val="20"/>
          <w:szCs w:val="20"/>
        </w:rPr>
        <w:softHyphen/>
        <w:t>národní krise, a teprve se ukáže, zdali nynější polopar- lamentní soustava upraví vnitřní poměry tak, aby zemi uš</w:t>
      </w:r>
      <w:r>
        <w:rPr>
          <w:sz w:val="20"/>
          <w:szCs w:val="20"/>
        </w:rPr>
        <w:t>etřila akutního občanského boje.</w:t>
      </w:r>
    </w:p>
    <w:p w:rsidR="00500724" w:rsidRDefault="00F30FB8">
      <w:pPr>
        <w:pStyle w:val="Zkladntext30"/>
        <w:shd w:val="clear" w:color="auto" w:fill="auto"/>
        <w:spacing w:after="400" w:line="216" w:lineRule="auto"/>
        <w:ind w:firstLine="300"/>
        <w:rPr>
          <w:sz w:val="20"/>
          <w:szCs w:val="20"/>
        </w:rPr>
      </w:pPr>
      <w:r>
        <w:rPr>
          <w:sz w:val="20"/>
          <w:szCs w:val="20"/>
        </w:rPr>
        <w:t>Chceme-li tyto poznatky vyjádřit obecně, můžeme říci, že parlamentní režim se neudrží nikde tam, kde v občanstvu není souhlasu v nazírání na základní poli</w:t>
      </w:r>
      <w:r>
        <w:rPr>
          <w:sz w:val="20"/>
          <w:szCs w:val="20"/>
        </w:rPr>
        <w:softHyphen/>
        <w:t>tické věci, kde národ se pro některé otázky štěpí na nesmiřitelné st</w:t>
      </w:r>
      <w:r>
        <w:rPr>
          <w:sz w:val="20"/>
          <w:szCs w:val="20"/>
        </w:rPr>
        <w:t>rany a frakce, kde problémy sociální, národnostní nebo jiné se přiostřily tak, že žádné ze sporných stran nedovolují vyjít druhé na půl cesty vstříc normálním kompromisem. Jinými slovy: parla- mentarismus je režim hodící se pro společnost ustále</w:t>
      </w:r>
      <w:r>
        <w:rPr>
          <w:sz w:val="20"/>
          <w:szCs w:val="20"/>
        </w:rPr>
        <w:softHyphen/>
        <w:t>nou, vykva</w:t>
      </w:r>
      <w:r>
        <w:rPr>
          <w:sz w:val="20"/>
          <w:szCs w:val="20"/>
        </w:rPr>
        <w:t>šenou, uklidněnou, sociálně aspoň přibližně vyrovnanou, pro stát, jehož obyvatelstvo nemá velkých politických starostí, pro společnost, která není zmítána velkými problémy a doktrínami, budícími politické vášně, pro lidi, kteří rádi jdou za svým denním zam</w:t>
      </w:r>
      <w:r>
        <w:rPr>
          <w:sz w:val="20"/>
          <w:szCs w:val="20"/>
        </w:rPr>
        <w:t>ěst</w:t>
      </w:r>
      <w:r>
        <w:rPr>
          <w:sz w:val="20"/>
          <w:szCs w:val="20"/>
        </w:rPr>
        <w:softHyphen/>
        <w:t>náním a jsou neradi vyrušováni velkými událostmi. Tím není řečeno, že velké doby parlamentarismu, pokud se odrážejí ve skvělých a plamenných řečnických výko</w:t>
      </w:r>
      <w:r>
        <w:rPr>
          <w:sz w:val="20"/>
          <w:szCs w:val="20"/>
        </w:rPr>
        <w:softHyphen/>
        <w:t>nech, v historických scénách a vzrušujících schůzích dějinných lidových shromáždění, spadají do</w:t>
      </w:r>
      <w:r>
        <w:rPr>
          <w:sz w:val="20"/>
          <w:szCs w:val="20"/>
        </w:rPr>
        <w:t xml:space="preserve"> údobí a prostředí právě charakterisovaného. Ty naopak pochá</w:t>
      </w:r>
      <w:r>
        <w:rPr>
          <w:sz w:val="20"/>
          <w:szCs w:val="20"/>
        </w:rPr>
        <w:softHyphen/>
        <w:t>zejí z dob neklidných a zmítaných, z francouzské revo</w:t>
      </w:r>
      <w:r>
        <w:rPr>
          <w:sz w:val="20"/>
          <w:szCs w:val="20"/>
        </w:rPr>
        <w:softHyphen/>
        <w:t xml:space="preserve">luce, z dob zápasu liberalismu s konservatismem atd. Ale že v těchto dobách parlamenty byly, neznamená ještě, že také hladce fungovaly podle </w:t>
      </w:r>
      <w:r>
        <w:rPr>
          <w:sz w:val="20"/>
          <w:szCs w:val="20"/>
        </w:rPr>
        <w:t>představ, jaké kouzlí teorie konstitučního nebo demokratického parla</w:t>
      </w:r>
      <w:r>
        <w:rPr>
          <w:sz w:val="20"/>
          <w:szCs w:val="20"/>
        </w:rPr>
        <w:softHyphen/>
        <w:t>mentarismu, a podle nichž se nejdříve klidně a spořá</w:t>
      </w:r>
      <w:r>
        <w:rPr>
          <w:sz w:val="20"/>
          <w:szCs w:val="20"/>
        </w:rPr>
        <w:softHyphen/>
        <w:t>daně utvoří vláda, která až do nových voleb klidně a spořádaně provádí svůj program, aby po volebním údobí byla po případě klidně a sp</w:t>
      </w:r>
      <w:r>
        <w:rPr>
          <w:sz w:val="20"/>
          <w:szCs w:val="20"/>
        </w:rPr>
        <w:t>ořádaně vystřídána oposici. Tento idylický obraz, byť sebe více odpovídal teorii parlamentarismu, nenacházíme bohužel v dobách a v ze</w:t>
      </w:r>
      <w:r>
        <w:rPr>
          <w:sz w:val="20"/>
          <w:szCs w:val="20"/>
        </w:rPr>
        <w:softHyphen/>
        <w:t>mích, kde šlo o něco velikého a zásadního, nýbrž daleko spíše v zemích, které si už odbyly své a nyní jen v klidu a mírnos</w:t>
      </w:r>
      <w:r>
        <w:rPr>
          <w:sz w:val="20"/>
          <w:szCs w:val="20"/>
        </w:rPr>
        <w:t>ti požívají ovoce svého někdejšího bouřlivác- tví. Jest trpká historická pravda, že dva nejslavnější parlamenty světa, anglický a francouzský, se vytvořily a pracovaly na základech, jež pro ně položily dvě revo</w:t>
      </w:r>
      <w:r>
        <w:rPr>
          <w:sz w:val="20"/>
          <w:szCs w:val="20"/>
        </w:rPr>
        <w:softHyphen/>
        <w:t>luce: v případě anglickém revoluce z konce se</w:t>
      </w:r>
      <w:r>
        <w:rPr>
          <w:sz w:val="20"/>
          <w:szCs w:val="20"/>
        </w:rPr>
        <w:t>dm</w:t>
      </w:r>
      <w:r>
        <w:rPr>
          <w:sz w:val="20"/>
          <w:szCs w:val="20"/>
        </w:rPr>
        <w:softHyphen/>
        <w:t>náctého století a v případě francouzském revoluce z konce osmnáctého století. To by ovšem pro parla</w:t>
      </w:r>
      <w:r>
        <w:rPr>
          <w:sz w:val="20"/>
          <w:szCs w:val="20"/>
        </w:rPr>
        <w:softHyphen/>
        <w:t>mentní teorii nebylo ještě nijak katastrofální zjištění, kdyby byla nějaká záruka, že to byly v těchto zemích revoluce poslední. Ale pokud jde o Francii,</w:t>
      </w:r>
      <w:r>
        <w:rPr>
          <w:sz w:val="20"/>
          <w:szCs w:val="20"/>
        </w:rPr>
        <w:t xml:space="preserve"> nic tam neopravňuje k takovému optimismu, a pokud jde o An</w:t>
      </w:r>
      <w:r>
        <w:rPr>
          <w:sz w:val="20"/>
          <w:szCs w:val="20"/>
        </w:rPr>
        <w:softHyphen/>
        <w:t>glii, třebaže zatím netřeba činit nějaké černé předpo</w:t>
      </w:r>
      <w:r>
        <w:rPr>
          <w:sz w:val="20"/>
          <w:szCs w:val="20"/>
        </w:rPr>
        <w:softHyphen/>
        <w:t>vědi, je nutno aspoň být opatrný v úsudku a proroko</w:t>
      </w:r>
      <w:r>
        <w:rPr>
          <w:sz w:val="20"/>
          <w:szCs w:val="20"/>
        </w:rPr>
        <w:softHyphen/>
        <w:t>vání. Jisto je, že tyto dvě země ještě nepodaly, nýbrž teprve mají podati rozhodující důka</w:t>
      </w:r>
      <w:r>
        <w:rPr>
          <w:sz w:val="20"/>
          <w:szCs w:val="20"/>
        </w:rPr>
        <w:t>z o životnosti par</w:t>
      </w:r>
      <w:r>
        <w:rPr>
          <w:sz w:val="20"/>
          <w:szCs w:val="20"/>
        </w:rPr>
        <w:softHyphen/>
        <w:t>lamentarismu, a to tím, že parlamentním způsobem vyřídí nejpalčivější otázku doby, totiž sociální. A to se ještě ani ve Francii ani v Anglii nepodařilo. Přes všechny nesnáze je přece jen poměrně snadné zřídit parlamentní režim po revoluc</w:t>
      </w:r>
      <w:r>
        <w:rPr>
          <w:sz w:val="20"/>
          <w:szCs w:val="20"/>
        </w:rPr>
        <w:t>i, když se v revoluci tak či onak vyřídily zásadní politické otázky. Těžší však je — a také by to teprve bylo rozhodujícím důkazem ve prospěch parlamentarismu — revoluci parlamentár- ně předejít. Bylo by velmi zajímavé, historicky zjišťo</w:t>
      </w:r>
      <w:r>
        <w:rPr>
          <w:sz w:val="20"/>
          <w:szCs w:val="20"/>
        </w:rPr>
        <w:softHyphen/>
        <w:t>vat, zdali se to u</w:t>
      </w:r>
      <w:r>
        <w:rPr>
          <w:sz w:val="20"/>
          <w:szCs w:val="20"/>
        </w:rPr>
        <w:t>ž někdy stalo, třeba v dějinách tradič</w:t>
      </w:r>
      <w:r>
        <w:rPr>
          <w:sz w:val="20"/>
          <w:szCs w:val="20"/>
        </w:rPr>
        <w:softHyphen/>
        <w:t>ního parlamentu anglického.</w:t>
      </w:r>
    </w:p>
    <w:p w:rsidR="00500724" w:rsidRDefault="00F30FB8">
      <w:pPr>
        <w:pStyle w:val="Zkladntext30"/>
        <w:shd w:val="clear" w:color="auto" w:fill="auto"/>
        <w:spacing w:after="0" w:line="216" w:lineRule="auto"/>
        <w:rPr>
          <w:sz w:val="20"/>
          <w:szCs w:val="20"/>
        </w:rPr>
      </w:pPr>
      <w:r>
        <w:rPr>
          <w:sz w:val="20"/>
          <w:szCs w:val="20"/>
        </w:rPr>
        <w:t>Parlamenty se neosvědčily a často ztroskotaly také proto, že se od nich očekávalo příliš mnoho a že se jim ukládaly úkoly, jichž nebyly s to zmoci. To platí nejen o středoevropských a výcho</w:t>
      </w:r>
      <w:r>
        <w:rPr>
          <w:sz w:val="20"/>
          <w:szCs w:val="20"/>
        </w:rPr>
        <w:t>doevropských zemích bez skutečné parlamentní tradice, nýbrž i o tradičních parlamentech západních. Často se zapomínalo, že parla</w:t>
      </w:r>
      <w:r>
        <w:rPr>
          <w:sz w:val="20"/>
          <w:szCs w:val="20"/>
        </w:rPr>
        <w:softHyphen/>
        <w:t>ment nebyl svým historickým původem svrchovaným zákonodárným shromážděním, nýbrž sborem, který zastupoval zájmy určitých skupin</w:t>
      </w:r>
      <w:r>
        <w:rPr>
          <w:sz w:val="20"/>
          <w:szCs w:val="20"/>
        </w:rPr>
        <w:t xml:space="preserve"> obyvatelstva, na pří</w:t>
      </w:r>
      <w:r>
        <w:rPr>
          <w:sz w:val="20"/>
          <w:szCs w:val="20"/>
        </w:rPr>
        <w:softHyphen/>
        <w:t>klad šlechty nebo měst, vůči koruně, a který později</w:t>
      </w:r>
    </w:p>
    <w:p w:rsidR="00500724" w:rsidRDefault="00F30FB8">
      <w:pPr>
        <w:pStyle w:val="Zkladntext30"/>
        <w:numPr>
          <w:ilvl w:val="0"/>
          <w:numId w:val="113"/>
        </w:numPr>
        <w:shd w:val="clear" w:color="auto" w:fill="auto"/>
        <w:tabs>
          <w:tab w:val="left" w:pos="337"/>
        </w:tabs>
        <w:spacing w:after="0" w:line="216" w:lineRule="auto"/>
        <w:ind w:firstLine="0"/>
        <w:rPr>
          <w:sz w:val="20"/>
          <w:szCs w:val="20"/>
        </w:rPr>
      </w:pPr>
      <w:r>
        <w:rPr>
          <w:sz w:val="20"/>
          <w:szCs w:val="20"/>
        </w:rPr>
        <w:t>v monarchii konstituční — moc koruny sice silně omezoval, ale nikoli úplně nahrazoval. Bylo to tedy těleso svým složením už za starých dob dost pestré</w:t>
      </w:r>
    </w:p>
    <w:p w:rsidR="00500724" w:rsidRDefault="00F30FB8">
      <w:pPr>
        <w:pStyle w:val="Zkladntext30"/>
        <w:numPr>
          <w:ilvl w:val="0"/>
          <w:numId w:val="113"/>
        </w:numPr>
        <w:shd w:val="clear" w:color="auto" w:fill="auto"/>
        <w:tabs>
          <w:tab w:val="left" w:pos="342"/>
        </w:tabs>
        <w:spacing w:after="0" w:line="216" w:lineRule="auto"/>
        <w:ind w:firstLine="0"/>
        <w:rPr>
          <w:sz w:val="20"/>
          <w:szCs w:val="20"/>
        </w:rPr>
      </w:pPr>
      <w:r>
        <w:rPr>
          <w:sz w:val="20"/>
          <w:szCs w:val="20"/>
        </w:rPr>
        <w:t>vyskytovali se v něm mimo šlec</w:t>
      </w:r>
      <w:r>
        <w:rPr>
          <w:sz w:val="20"/>
          <w:szCs w:val="20"/>
        </w:rPr>
        <w:t>hticů zástupci cír</w:t>
      </w:r>
      <w:r>
        <w:rPr>
          <w:sz w:val="20"/>
          <w:szCs w:val="20"/>
        </w:rPr>
        <w:softHyphen/>
        <w:t>kevní hierarchie i měšťané — a postupující demokra- tisací volebních řádů bylo čím dál pestřejší, neboť do něho přicházeli zástupci nových a nových vrstev oby</w:t>
      </w:r>
      <w:r>
        <w:rPr>
          <w:sz w:val="20"/>
          <w:szCs w:val="20"/>
        </w:rPr>
        <w:softHyphen/>
        <w:t>vatelstva, jako středních stavů, rolníků a dělníků. Prů</w:t>
      </w:r>
      <w:r>
        <w:rPr>
          <w:sz w:val="20"/>
          <w:szCs w:val="20"/>
        </w:rPr>
        <w:softHyphen/>
        <w:t>myslová civilisace tak</w:t>
      </w:r>
      <w:r>
        <w:rPr>
          <w:sz w:val="20"/>
          <w:szCs w:val="20"/>
        </w:rPr>
        <w:t>é přes všechnu zdánlivou unifor</w:t>
      </w:r>
      <w:r>
        <w:rPr>
          <w:sz w:val="20"/>
          <w:szCs w:val="20"/>
        </w:rPr>
        <w:softHyphen/>
        <w:t>mitu nijak složení společnosti nezjednodušila, naopak vytvořila nové stavy: průmyslový proletariát dělnický a přepestrou směsici proletariátu s bílým límcem — kancelářské zaměstnance, úředníky, prodavače a pro</w:t>
      </w:r>
      <w:r>
        <w:rPr>
          <w:sz w:val="20"/>
          <w:szCs w:val="20"/>
        </w:rPr>
        <w:softHyphen/>
        <w:t>davačky atd. Š</w:t>
      </w:r>
      <w:r>
        <w:rPr>
          <w:sz w:val="20"/>
          <w:szCs w:val="20"/>
        </w:rPr>
        <w:t>ířící se strojová a tovární výroba při</w:t>
      </w:r>
      <w:r>
        <w:rPr>
          <w:sz w:val="20"/>
          <w:szCs w:val="20"/>
        </w:rPr>
        <w:softHyphen/>
        <w:t>vodila specialisaci lidského výkonu čili dělbu práce, která zase zvýšila vzájemnou závislost jednotlivých pracovních oborů a zhustila pletivo sociálních vztahů mezi stavy i jednotlivci. Takto přetvořená společnost vyn</w:t>
      </w:r>
      <w:r>
        <w:rPr>
          <w:sz w:val="20"/>
          <w:szCs w:val="20"/>
        </w:rPr>
        <w:t>utila si zase daleko složitější aparát správní a vy</w:t>
      </w:r>
      <w:r>
        <w:rPr>
          <w:sz w:val="20"/>
          <w:szCs w:val="20"/>
        </w:rPr>
        <w:softHyphen/>
        <w:t>tvořila tak novou vrstvu státní a samosprávné byro</w:t>
      </w:r>
      <w:r>
        <w:rPr>
          <w:sz w:val="20"/>
          <w:szCs w:val="20"/>
        </w:rPr>
        <w:softHyphen/>
        <w:t>kracie.</w:t>
      </w:r>
    </w:p>
    <w:p w:rsidR="00500724" w:rsidRDefault="00F30FB8">
      <w:pPr>
        <w:pStyle w:val="Zkladntext30"/>
        <w:shd w:val="clear" w:color="auto" w:fill="auto"/>
        <w:spacing w:after="0" w:line="216" w:lineRule="auto"/>
        <w:rPr>
          <w:sz w:val="20"/>
          <w:szCs w:val="20"/>
        </w:rPr>
      </w:pPr>
      <w:r>
        <w:rPr>
          <w:sz w:val="20"/>
          <w:szCs w:val="20"/>
        </w:rPr>
        <w:t>Musíme si uvědomit, že se toto pestré složení spo</w:t>
      </w:r>
      <w:r>
        <w:rPr>
          <w:sz w:val="20"/>
          <w:szCs w:val="20"/>
        </w:rPr>
        <w:softHyphen/>
        <w:t>lečnosti při silně demokratických volebních řádech, jaké se tvořily po válce, a zvláště v soust</w:t>
      </w:r>
      <w:r>
        <w:rPr>
          <w:sz w:val="20"/>
          <w:szCs w:val="20"/>
        </w:rPr>
        <w:t>avě poměrného zastoupení, více méně věrně zrcadlilo také ve složení parlamentů. Proto právě tam, kde byly volební řády nej demokratičtější, byly parlamenty nejméně sourodé a trpěly přemírou stran nejrozmanitějšího původu a zabarvení — stran politicky progr</w:t>
      </w:r>
      <w:r>
        <w:rPr>
          <w:sz w:val="20"/>
          <w:szCs w:val="20"/>
        </w:rPr>
        <w:t>amových, stavov-</w:t>
      </w:r>
      <w:r>
        <w:br w:type="page"/>
      </w:r>
    </w:p>
    <w:p w:rsidR="00500724" w:rsidRDefault="00F30FB8">
      <w:pPr>
        <w:pStyle w:val="Zkladntext30"/>
        <w:shd w:val="clear" w:color="auto" w:fill="auto"/>
        <w:spacing w:after="0" w:line="216" w:lineRule="auto"/>
        <w:ind w:firstLine="0"/>
        <w:rPr>
          <w:sz w:val="20"/>
          <w:szCs w:val="20"/>
        </w:rPr>
      </w:pPr>
      <w:r>
        <w:rPr>
          <w:noProof/>
        </w:rPr>
        <mc:AlternateContent>
          <mc:Choice Requires="wps">
            <w:drawing>
              <wp:anchor distT="0" distB="50800" distL="114300" distR="748030" simplePos="0" relativeHeight="125830234" behindDoc="0" locked="0" layoutInCell="1" allowOverlap="1">
                <wp:simplePos x="0" y="0"/>
                <wp:positionH relativeFrom="page">
                  <wp:posOffset>2922270</wp:posOffset>
                </wp:positionH>
                <wp:positionV relativeFrom="margin">
                  <wp:posOffset>0</wp:posOffset>
                </wp:positionV>
                <wp:extent cx="402590" cy="405130"/>
                <wp:effectExtent l="0" t="0" r="0" b="0"/>
                <wp:wrapTopAndBottom/>
                <wp:docPr id="857" name="Shape 857"/>
                <wp:cNvGraphicFramePr/>
                <a:graphic xmlns:a="http://schemas.openxmlformats.org/drawingml/2006/main">
                  <a:graphicData uri="http://schemas.microsoft.com/office/word/2010/wordprocessingShape">
                    <wps:wsp>
                      <wps:cNvSpPr txBox="1"/>
                      <wps:spPr>
                        <a:xfrm>
                          <a:off x="0" y="0"/>
                          <a:ext cx="402590" cy="405130"/>
                        </a:xfrm>
                        <a:prstGeom prst="rect">
                          <a:avLst/>
                        </a:prstGeom>
                        <a:noFill/>
                      </wps:spPr>
                      <wps:txbx>
                        <w:txbxContent>
                          <w:p w:rsidR="00500724" w:rsidRDefault="00F30FB8">
                            <w:pPr>
                              <w:pStyle w:val="Jin0"/>
                              <w:pBdr>
                                <w:bottom w:val="single" w:sz="4" w:space="0" w:color="auto"/>
                              </w:pBdr>
                              <w:shd w:val="clear" w:color="auto" w:fill="auto"/>
                              <w:spacing w:before="80"/>
                              <w:ind w:firstLine="0"/>
                              <w:jc w:val="left"/>
                              <w:rPr>
                                <w:sz w:val="46"/>
                                <w:szCs w:val="46"/>
                              </w:rPr>
                            </w:pPr>
                            <w:r>
                              <w:rPr>
                                <w:b/>
                                <w:bCs/>
                                <w:sz w:val="46"/>
                                <w:szCs w:val="46"/>
                              </w:rPr>
                              <w:t>Přít</w:t>
                            </w:r>
                          </w:p>
                        </w:txbxContent>
                      </wps:txbx>
                      <wps:bodyPr lIns="0" tIns="0" rIns="0" bIns="0">
                        <a:spAutoFit/>
                      </wps:bodyPr>
                    </wps:wsp>
                  </a:graphicData>
                </a:graphic>
              </wp:anchor>
            </w:drawing>
          </mc:Choice>
          <mc:Fallback>
            <w:pict>
              <v:shape id="_x0000_s1883" type="#_x0000_t202" style="position:absolute;margin-left:230.09999999999999pt;margin-top:0;width:31.699999999999999pt;height:31.899999999999999pt;z-index:-125828519;mso-wrap-distance-left:9.pt;mso-wrap-distance-right:58.899999999999999pt;mso-wrap-distance-bottom:4.pt;mso-position-horizontal-relative:page;mso-position-vertical-relative:margin" filled="f" stroked="f">
                <v:textbox style="mso-fit-shape-to-text:t" inset="0,0,0,0">
                  <w:txbxContent>
                    <w:p>
                      <w:pPr>
                        <w:pStyle w:val="Style12"/>
                        <w:keepNext w:val="0"/>
                        <w:keepLines w:val="0"/>
                        <w:widowControl w:val="0"/>
                        <w:pBdr>
                          <w:bottom w:val="single" w:sz="4" w:space="0" w:color="auto"/>
                        </w:pBdr>
                        <w:shd w:val="clear" w:color="auto" w:fill="auto"/>
                        <w:bidi w:val="0"/>
                        <w:spacing w:before="80" w:after="0" w:line="240" w:lineRule="auto"/>
                        <w:ind w:left="0" w:right="0" w:firstLine="0"/>
                        <w:jc w:val="left"/>
                        <w:rPr>
                          <w:sz w:val="46"/>
                          <w:szCs w:val="46"/>
                        </w:rPr>
                      </w:pPr>
                      <w:r>
                        <w:rPr>
                          <w:b/>
                          <w:bCs/>
                          <w:color w:val="000000"/>
                          <w:spacing w:val="0"/>
                          <w:w w:val="100"/>
                          <w:position w:val="0"/>
                          <w:sz w:val="46"/>
                          <w:szCs w:val="46"/>
                          <w:shd w:val="clear" w:color="auto" w:fill="auto"/>
                          <w:lang w:val="cs-CZ" w:eastAsia="cs-CZ" w:bidi="cs-CZ"/>
                        </w:rPr>
                        <w:t>Přít</w:t>
                      </w:r>
                    </w:p>
                  </w:txbxContent>
                </v:textbox>
                <w10:wrap type="topAndBottom" anchorx="page" anchory="margin"/>
              </v:shape>
            </w:pict>
          </mc:Fallback>
        </mc:AlternateContent>
      </w:r>
      <w:r>
        <w:rPr>
          <w:noProof/>
        </w:rPr>
        <mc:AlternateContent>
          <mc:Choice Requires="wps">
            <w:drawing>
              <wp:anchor distT="176530" distB="93345" distL="480060" distR="114300" simplePos="0" relativeHeight="125830236" behindDoc="0" locked="0" layoutInCell="1" allowOverlap="1">
                <wp:simplePos x="0" y="0"/>
                <wp:positionH relativeFrom="page">
                  <wp:posOffset>3288030</wp:posOffset>
                </wp:positionH>
                <wp:positionV relativeFrom="margin">
                  <wp:posOffset>176530</wp:posOffset>
                </wp:positionV>
                <wp:extent cx="670560" cy="186055"/>
                <wp:effectExtent l="0" t="0" r="0" b="0"/>
                <wp:wrapTopAndBottom/>
                <wp:docPr id="859" name="Shape 859"/>
                <wp:cNvGraphicFramePr/>
                <a:graphic xmlns:a="http://schemas.openxmlformats.org/drawingml/2006/main">
                  <a:graphicData uri="http://schemas.microsoft.com/office/word/2010/wordprocessingShape">
                    <wps:wsp>
                      <wps:cNvSpPr txBox="1"/>
                      <wps:spPr>
                        <a:xfrm>
                          <a:off x="0" y="0"/>
                          <a:ext cx="670560" cy="186055"/>
                        </a:xfrm>
                        <a:prstGeom prst="rect">
                          <a:avLst/>
                        </a:prstGeom>
                        <a:noFill/>
                      </wps:spPr>
                      <wps:txbx>
                        <w:txbxContent>
                          <w:p w:rsidR="00500724" w:rsidRDefault="00F30FB8">
                            <w:pPr>
                              <w:pStyle w:val="Nadpis120"/>
                              <w:pBdr>
                                <w:top w:val="single" w:sz="0" w:space="0" w:color="000000"/>
                                <w:left w:val="single" w:sz="0" w:space="0" w:color="000000"/>
                                <w:bottom w:val="single" w:sz="0" w:space="0" w:color="000000"/>
                                <w:right w:val="single" w:sz="0" w:space="0" w:color="000000"/>
                              </w:pBdr>
                              <w:shd w:val="clear" w:color="auto" w:fill="000000"/>
                              <w:ind w:left="0"/>
                            </w:pPr>
                            <w:bookmarkStart w:id="872" w:name="bookmark871"/>
                            <w:r>
                              <w:rPr>
                                <w:rFonts w:ascii="Arial" w:eastAsia="Arial" w:hAnsi="Arial" w:cs="Arial"/>
                                <w:color w:val="FFFFFF"/>
                              </w:rPr>
                              <w:t>(•JIlKCC</w:t>
                            </w:r>
                            <w:bookmarkEnd w:id="872"/>
                          </w:p>
                        </w:txbxContent>
                      </wps:txbx>
                      <wps:bodyPr lIns="0" tIns="0" rIns="0" bIns="0">
                        <a:spAutoFit/>
                      </wps:bodyPr>
                    </wps:wsp>
                  </a:graphicData>
                </a:graphic>
              </wp:anchor>
            </w:drawing>
          </mc:Choice>
          <mc:Fallback>
            <w:pict>
              <v:shape id="_x0000_s1885" type="#_x0000_t202" style="position:absolute;margin-left:258.89999999999998pt;margin-top:13.9pt;width:52.799999999999997pt;height:14.65pt;z-index:-125828517;mso-wrap-distance-left:37.799999999999997pt;mso-wrap-distance-top:13.9pt;mso-wrap-distance-right:9.pt;mso-wrap-distance-bottom:7.3499999999999996pt;mso-position-horizontal-relative:page;mso-position-vertical-relative:margin" filled="f" stroked="f">
                <v:textbox style="mso-fit-shape-to-text:t" inset="0,0,0,0">
                  <w:txbxContent>
                    <w:p>
                      <w:pPr>
                        <w:pStyle w:val="Style61"/>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bookmarkStart w:id="871" w:name="bookmark871"/>
                      <w:r>
                        <w:rPr>
                          <w:rFonts w:ascii="Arial" w:eastAsia="Arial" w:hAnsi="Arial" w:cs="Arial"/>
                          <w:color w:val="FFFFFF"/>
                          <w:spacing w:val="0"/>
                          <w:w w:val="100"/>
                          <w:position w:val="0"/>
                          <w:shd w:val="clear" w:color="auto" w:fill="auto"/>
                          <w:lang w:val="cs-CZ" w:eastAsia="cs-CZ" w:bidi="cs-CZ"/>
                        </w:rPr>
                        <w:t>(•JIlKCC</w:t>
                      </w:r>
                      <w:bookmarkEnd w:id="871"/>
                    </w:p>
                  </w:txbxContent>
                </v:textbox>
                <w10:wrap type="topAndBottom" anchorx="page" anchory="margin"/>
              </v:shape>
            </w:pict>
          </mc:Fallback>
        </mc:AlternateContent>
      </w:r>
      <w:r>
        <w:rPr>
          <w:sz w:val="20"/>
          <w:szCs w:val="20"/>
        </w:rPr>
        <w:t>ských, náboženských atd. Těmto nesourodým tělesům se pak dostalo úkolu nesmírně těžkého: být vlastním suverénem dotyčného státu, vydávat zákony, kontrolo</w:t>
      </w:r>
      <w:r>
        <w:rPr>
          <w:sz w:val="20"/>
          <w:szCs w:val="20"/>
        </w:rPr>
        <w:softHyphen/>
        <w:t>vat vládu a státní správu a také vládu vytvářet, odvolá</w:t>
      </w:r>
      <w:r>
        <w:rPr>
          <w:sz w:val="20"/>
          <w:szCs w:val="20"/>
        </w:rPr>
        <w:softHyphen/>
        <w:t xml:space="preserve">vat a </w:t>
      </w:r>
      <w:r>
        <w:rPr>
          <w:sz w:val="20"/>
          <w:szCs w:val="20"/>
        </w:rPr>
        <w:t>nahrazovat. Nezáleží na tom, že formálně byla ně</w:t>
      </w:r>
      <w:r>
        <w:rPr>
          <w:sz w:val="20"/>
          <w:szCs w:val="20"/>
        </w:rPr>
        <w:softHyphen/>
        <w:t>která z těchto práv vyhrazena presidentům, po případě králům; ve skutečnosti jich tito nominální suveréni nemohli užívat bez ohledu na parlamenty nebo dokonce proti jejich vůli. Parlamenty tedy dostaly příli</w:t>
      </w:r>
      <w:r>
        <w:rPr>
          <w:sz w:val="20"/>
          <w:szCs w:val="20"/>
        </w:rPr>
        <w:t>š mnoho nových úkolů, na něž nebyly dost připraveny. Hlavně nebyly dost jednolité a neměly v sobě dost odborníků, jimiž by byly mohly zvládnout bohatost úkolů, před nimiž stanuly. V dobách feudální nebo konstituční monarchie i ještě v dobách omezené demokr</w:t>
      </w:r>
      <w:r>
        <w:rPr>
          <w:sz w:val="20"/>
          <w:szCs w:val="20"/>
        </w:rPr>
        <w:t>acie měly parlamenty postavení lehčí a méně odpovědné. Jejich úkolem bylo zastupovat zájmy stavů, které je vysílaly, kontrolovat vládu a být brzdou její libovůle. V důsled</w:t>
      </w:r>
      <w:r>
        <w:rPr>
          <w:sz w:val="20"/>
          <w:szCs w:val="20"/>
        </w:rPr>
        <w:softHyphen/>
        <w:t xml:space="preserve">né demokracii však se stal parlament z pouhé brzdy hnacím motorem státu. Při tom se </w:t>
      </w:r>
      <w:r>
        <w:rPr>
          <w:sz w:val="20"/>
          <w:szCs w:val="20"/>
        </w:rPr>
        <w:t>nepamatovalo na to, aby se na tuto změnu svého postavení také organisačně připravil, nýbrž rekrutoval se více méně mechanicky a bez výběru z širokých davů. Byla to krise přechodu od někdejšího negativního úkolu pouhé kontroly a kri</w:t>
      </w:r>
      <w:r>
        <w:rPr>
          <w:sz w:val="20"/>
          <w:szCs w:val="20"/>
        </w:rPr>
        <w:softHyphen/>
        <w:t>tiky k positivnímu úkolu</w:t>
      </w:r>
      <w:r>
        <w:rPr>
          <w:sz w:val="20"/>
          <w:szCs w:val="20"/>
        </w:rPr>
        <w:t xml:space="preserve"> přímého zákonodárství, na níž mnohé parlamenty ztroskotaly.</w:t>
      </w:r>
    </w:p>
    <w:p w:rsidR="00500724" w:rsidRDefault="00F30FB8">
      <w:pPr>
        <w:pStyle w:val="Zkladntext30"/>
        <w:shd w:val="clear" w:color="auto" w:fill="auto"/>
        <w:spacing w:after="0" w:line="216" w:lineRule="auto"/>
        <w:rPr>
          <w:sz w:val="20"/>
          <w:szCs w:val="20"/>
        </w:rPr>
      </w:pPr>
      <w:r>
        <w:rPr>
          <w:sz w:val="20"/>
          <w:szCs w:val="20"/>
        </w:rPr>
        <w:t>Že parlamentní zřízení prodělává v demokracii hlu</w:t>
      </w:r>
      <w:r>
        <w:rPr>
          <w:sz w:val="20"/>
          <w:szCs w:val="20"/>
        </w:rPr>
        <w:softHyphen/>
        <w:t>boké změny, bylo znát i na praxi některých sněmoven, na přílfad na tem, že těžiště práce se přenášelo do vý</w:t>
      </w:r>
      <w:r>
        <w:rPr>
          <w:sz w:val="20"/>
          <w:szCs w:val="20"/>
        </w:rPr>
        <w:softHyphen/>
        <w:t xml:space="preserve">borů, kde se jednalo neveřejně, a že </w:t>
      </w:r>
      <w:r>
        <w:rPr>
          <w:sz w:val="20"/>
          <w:szCs w:val="20"/>
        </w:rPr>
        <w:t>upadal význam veřejných schůzí plenárních i zájem o ně. To byl ne</w:t>
      </w:r>
      <w:r>
        <w:rPr>
          <w:sz w:val="20"/>
          <w:szCs w:val="20"/>
        </w:rPr>
        <w:softHyphen/>
        <w:t>vyhnutelný proces, chtěl-li parlament splnit svou ústavní povinnost a projednat nějaký zákon podrobně. Nebylo možno to provést v několikastovkovém shro</w:t>
      </w:r>
      <w:r>
        <w:rPr>
          <w:sz w:val="20"/>
          <w:szCs w:val="20"/>
        </w:rPr>
        <w:softHyphen/>
        <w:t>máždění, nýbrž jen v malém kroužku par</w:t>
      </w:r>
      <w:r>
        <w:rPr>
          <w:sz w:val="20"/>
          <w:szCs w:val="20"/>
        </w:rPr>
        <w:t>lamentních odborníků, kteří byli na úkol věcně připraveni. Při tom však se stále nostalgicky zjišťoval úpadek pléna a vzpo</w:t>
      </w:r>
      <w:r>
        <w:rPr>
          <w:sz w:val="20"/>
          <w:szCs w:val="20"/>
        </w:rPr>
        <w:softHyphen/>
        <w:t>mínalo se na slavné časy velkých řečnických závodů a půtek. A nelze popřít, že tato okázalá, řečnická stránka parlamentu byla pro šir</w:t>
      </w:r>
      <w:r>
        <w:rPr>
          <w:sz w:val="20"/>
          <w:szCs w:val="20"/>
        </w:rPr>
        <w:t>okou veřejnost nejpřitažlivější. Nelze se pak také divit, že se ve veřejnosti upevnilo přesvědčení o nečinnosti parlamentů, když časem ple</w:t>
      </w:r>
      <w:r>
        <w:rPr>
          <w:sz w:val="20"/>
          <w:szCs w:val="20"/>
        </w:rPr>
        <w:softHyphen/>
        <w:t>nární řečnické produkce mizely a upadaly.</w:t>
      </w:r>
    </w:p>
    <w:p w:rsidR="00500724" w:rsidRDefault="00F30FB8">
      <w:pPr>
        <w:pStyle w:val="Zkladntext30"/>
        <w:shd w:val="clear" w:color="auto" w:fill="auto"/>
        <w:spacing w:after="420" w:line="216" w:lineRule="auto"/>
        <w:rPr>
          <w:sz w:val="20"/>
          <w:szCs w:val="20"/>
        </w:rPr>
      </w:pPr>
      <w:r>
        <w:rPr>
          <w:sz w:val="20"/>
          <w:szCs w:val="20"/>
        </w:rPr>
        <w:t>Skutečným zákonodárcem byly a jsou parlamenty jen v případech zcela výjimeč</w:t>
      </w:r>
      <w:r>
        <w:rPr>
          <w:sz w:val="20"/>
          <w:szCs w:val="20"/>
        </w:rPr>
        <w:t>ných. I tam, kde parla</w:t>
      </w:r>
      <w:r>
        <w:rPr>
          <w:sz w:val="20"/>
          <w:szCs w:val="20"/>
        </w:rPr>
        <w:softHyphen/>
        <w:t xml:space="preserve">ment bral svůj zákonodárný úkol co nejsvědomitěji, omezoval se zpravidla na to, že ve výborech probíral, kritisoval a doplňoval osnovy vládní. Proto se v části odborné literatury ujal názor, na němž je nepochybně mnoho správného, že </w:t>
      </w:r>
      <w:r>
        <w:rPr>
          <w:sz w:val="20"/>
          <w:szCs w:val="20"/>
        </w:rPr>
        <w:t>parlamenty nejsou, doslovně vza</w:t>
      </w:r>
      <w:r>
        <w:rPr>
          <w:sz w:val="20"/>
          <w:szCs w:val="20"/>
        </w:rPr>
        <w:softHyphen/>
        <w:t>to, při svém dosavadním složení a organisaci ani schop</w:t>
      </w:r>
      <w:r>
        <w:rPr>
          <w:sz w:val="20"/>
          <w:szCs w:val="20"/>
        </w:rPr>
        <w:softHyphen/>
        <w:t>ny plnit zákonodárný úkol ve vlastním smyslu a že je lépe to na nich nežádat; že sbor tak různorodý a početný může učinit sotva co jiného než přijímat nebo odmítat vládn</w:t>
      </w:r>
      <w:r>
        <w:rPr>
          <w:sz w:val="20"/>
          <w:szCs w:val="20"/>
        </w:rPr>
        <w:t>í návrhy; že čím více se parlament osvo</w:t>
      </w:r>
      <w:r>
        <w:rPr>
          <w:sz w:val="20"/>
          <w:szCs w:val="20"/>
        </w:rPr>
        <w:softHyphen/>
        <w:t xml:space="preserve">bodí od povinnosti obírat se přílišnými podrobnostmi zákonů, tím spíše může plnit funkci, pro niž se hodí, to jest prodebatovávat v hlavních rysech zásadní otázky státní politiky a projevovat tak názory, na nichž se </w:t>
      </w:r>
      <w:r>
        <w:rPr>
          <w:sz w:val="20"/>
          <w:szCs w:val="20"/>
        </w:rPr>
        <w:t>průměrně ustálilo veřejné mínění.</w:t>
      </w:r>
    </w:p>
    <w:p w:rsidR="00500724" w:rsidRDefault="00F30FB8">
      <w:pPr>
        <w:pStyle w:val="Zkladntext30"/>
        <w:shd w:val="clear" w:color="auto" w:fill="auto"/>
        <w:spacing w:after="100"/>
        <w:rPr>
          <w:sz w:val="20"/>
          <w:szCs w:val="20"/>
        </w:rPr>
      </w:pPr>
      <w:r>
        <w:rPr>
          <w:sz w:val="20"/>
          <w:szCs w:val="20"/>
        </w:rPr>
        <w:t>Státovědci se většinou shodují v názoru, že charak</w:t>
      </w:r>
      <w:r>
        <w:rPr>
          <w:sz w:val="20"/>
          <w:szCs w:val="20"/>
        </w:rPr>
        <w:softHyphen/>
        <w:t>teristickým znakem dnešního státu je velké posílení moci vládní, úměrně provázené poklesem významu sbo</w:t>
      </w:r>
      <w:r>
        <w:rPr>
          <w:sz w:val="20"/>
          <w:szCs w:val="20"/>
        </w:rPr>
        <w:softHyphen/>
        <w:t>rů zákonodárných, v nichž starší teorie viděla ústavní těžiště. To p</w:t>
      </w:r>
      <w:r>
        <w:rPr>
          <w:sz w:val="20"/>
          <w:szCs w:val="20"/>
        </w:rPr>
        <w:t>latí ovšem zvláště o státech autoritativ</w:t>
      </w:r>
      <w:r>
        <w:rPr>
          <w:sz w:val="20"/>
          <w:szCs w:val="20"/>
        </w:rPr>
        <w:softHyphen/>
        <w:t>ních, ale v nemalé míře také o parlamentních demokra</w:t>
      </w:r>
      <w:r>
        <w:rPr>
          <w:sz w:val="20"/>
          <w:szCs w:val="20"/>
        </w:rPr>
        <w:softHyphen/>
        <w:t>ciích. Obyčejně se zjev vysvětluje požadavky doby, kdy překotné události, křehká společenská rovnováha a slo</w:t>
      </w:r>
      <w:r>
        <w:rPr>
          <w:sz w:val="20"/>
          <w:szCs w:val="20"/>
        </w:rPr>
        <w:softHyphen/>
        <w:t>žitost státního ústrojí vyžadují rychlých a rozhodnýc</w:t>
      </w:r>
      <w:r>
        <w:rPr>
          <w:sz w:val="20"/>
          <w:szCs w:val="20"/>
        </w:rPr>
        <w:t>h zásahů. To je tedy, jak patrno, odůvodnění, které vy</w:t>
      </w:r>
      <w:r>
        <w:rPr>
          <w:sz w:val="20"/>
          <w:szCs w:val="20"/>
        </w:rPr>
        <w:softHyphen/>
        <w:t>chází z poznání, že nynější doby jsou mimořádné, a které mlčky předpokládá, že pro mimořádné doby se parlamentarismus při svých známých vlastnostech ne</w:t>
      </w:r>
      <w:r>
        <w:rPr>
          <w:sz w:val="20"/>
          <w:szCs w:val="20"/>
        </w:rPr>
        <w:softHyphen/>
        <w:t>hodí. O tom jsme v jiné souvislosti mluvili už na</w:t>
      </w:r>
      <w:r>
        <w:rPr>
          <w:sz w:val="20"/>
          <w:szCs w:val="20"/>
        </w:rPr>
        <w:t xml:space="preserve"> začátku článku, kde jsme líčili nesnáze parlamentaris</w:t>
      </w:r>
      <w:r>
        <w:rPr>
          <w:sz w:val="20"/>
          <w:szCs w:val="20"/>
        </w:rPr>
        <w:softHyphen/>
        <w:t>mu ve společnosti, jež se pro nějakou zásadní otázku rozestoupila na nesmiřitelné frakce. V takovéto spo</w:t>
      </w:r>
      <w:r>
        <w:rPr>
          <w:sz w:val="20"/>
          <w:szCs w:val="20"/>
        </w:rPr>
        <w:softHyphen/>
        <w:t>lečnosti ovšem záleží mnoho na tom, aby vláda měla možnost rychle jednat a hluboko zasahovat, po</w:t>
      </w:r>
      <w:r>
        <w:rPr>
          <w:sz w:val="20"/>
          <w:szCs w:val="20"/>
        </w:rPr>
        <w:t>nechá</w:t>
      </w:r>
      <w:r>
        <w:rPr>
          <w:sz w:val="20"/>
          <w:szCs w:val="20"/>
        </w:rPr>
        <w:softHyphen/>
        <w:t>vajíc při tom stranám a frakcím co nejméně času na jejich spory, jež se mohou snadno zvrhnout v občanské boje. Problémem doby je tedy spíše rozvinutí vládní moci než její omezení, jako v časech rozkvětu parla</w:t>
      </w:r>
      <w:r>
        <w:rPr>
          <w:sz w:val="20"/>
          <w:szCs w:val="20"/>
        </w:rPr>
        <w:softHyphen/>
        <w:t>mentarismu. Protože parlament se ukázal j</w:t>
      </w:r>
      <w:r>
        <w:rPr>
          <w:sz w:val="20"/>
          <w:szCs w:val="20"/>
        </w:rPr>
        <w:t>ednak svým historickým původem, jednak svou praxí — bez ohledu na demokratickou ústavní teorii — institucí zaměřenou na omezování vládní moci, nutně jeho význam klesá tam, kde je potřebí něčeho právě opačného. Prakticky vzato, je parlament činitelem omezuj</w:t>
      </w:r>
      <w:r>
        <w:rPr>
          <w:sz w:val="20"/>
          <w:szCs w:val="20"/>
        </w:rPr>
        <w:t>ícím i v nej radi</w:t>
      </w:r>
      <w:r>
        <w:rPr>
          <w:sz w:val="20"/>
          <w:szCs w:val="20"/>
        </w:rPr>
        <w:softHyphen/>
        <w:t>kálnějších parlamentních demokraciích, ne-li pro nic jiného, tedy pro svou zdlouhavost, již musí vynaložit na hledání kompromisu. Přesně by se tedy mělo mluvit o parlamentu v konstituční monarchii jako o činiteli omezujícím vládní moc a v</w:t>
      </w:r>
      <w:r>
        <w:rPr>
          <w:sz w:val="20"/>
          <w:szCs w:val="20"/>
        </w:rPr>
        <w:t xml:space="preserve"> parlametní demokracii jako o činiteli zdržujícím vládu. Jestliže v monarchiích se mezi korunou a parlamentem bojovalo a někde podnes bojuje o míru moci, v parlamentních demokraciích se vede mezi vládou a parlamentem často houževnatý zá</w:t>
      </w:r>
      <w:r>
        <w:rPr>
          <w:sz w:val="20"/>
          <w:szCs w:val="20"/>
        </w:rPr>
        <w:softHyphen/>
        <w:t>pas o čas. Praktick</w:t>
      </w:r>
      <w:r>
        <w:rPr>
          <w:sz w:val="20"/>
          <w:szCs w:val="20"/>
        </w:rPr>
        <w:t>y je to totéž a vede to obyčejně k vyřazení parlamentu, ať už zásadnímu či faktickému. V demokraciích, pokud zachovávají ústavní postup, se to řeší obyčejně dočasným přenesením zákonodárné moci na vládu. Nejmarkantnějším příkladem je dnešní režim francouzs</w:t>
      </w:r>
      <w:r>
        <w:rPr>
          <w:sz w:val="20"/>
          <w:szCs w:val="20"/>
        </w:rPr>
        <w:t>ký. I nejtradičnější parlamentní sou</w:t>
      </w:r>
      <w:r>
        <w:rPr>
          <w:sz w:val="20"/>
          <w:szCs w:val="20"/>
        </w:rPr>
        <w:softHyphen/>
        <w:t>stavy, jako na příklad britská, mlčky svými skutky doznávají, že parlament se nehodí pro doby kritické, a to tím, že si jejich vlády v takových chvílích vyžá</w:t>
      </w:r>
      <w:r>
        <w:rPr>
          <w:sz w:val="20"/>
          <w:szCs w:val="20"/>
        </w:rPr>
        <w:softHyphen/>
        <w:t>dají plnou moc, aby mohly jednat rychle a nezdržovat se parla</w:t>
      </w:r>
      <w:r>
        <w:rPr>
          <w:sz w:val="20"/>
          <w:szCs w:val="20"/>
        </w:rPr>
        <w:t>mentním postupem. Nejčerstvějším dokladem je zmocňovací zákon v Anglii.</w:t>
      </w:r>
    </w:p>
    <w:p w:rsidR="00500724" w:rsidRDefault="00F30FB8">
      <w:pPr>
        <w:pStyle w:val="Zkladntext30"/>
        <w:shd w:val="clear" w:color="auto" w:fill="auto"/>
        <w:spacing w:after="100" w:line="216" w:lineRule="auto"/>
        <w:ind w:firstLine="0"/>
        <w:jc w:val="center"/>
        <w:rPr>
          <w:sz w:val="20"/>
          <w:szCs w:val="20"/>
        </w:rPr>
      </w:pPr>
      <w:r>
        <w:rPr>
          <w:sz w:val="20"/>
          <w:szCs w:val="20"/>
        </w:rPr>
        <w:t>•</w:t>
      </w:r>
    </w:p>
    <w:p w:rsidR="00500724" w:rsidRDefault="00F30FB8">
      <w:pPr>
        <w:pStyle w:val="Zkladntext30"/>
        <w:shd w:val="clear" w:color="auto" w:fill="auto"/>
        <w:spacing w:after="0" w:line="216" w:lineRule="auto"/>
        <w:rPr>
          <w:sz w:val="20"/>
          <w:szCs w:val="20"/>
        </w:rPr>
      </w:pPr>
      <w:r>
        <w:rPr>
          <w:sz w:val="20"/>
          <w:szCs w:val="20"/>
        </w:rPr>
        <w:t>Jinou příčinou úpadku a nepopulárnosti parlamenta</w:t>
      </w:r>
      <w:r>
        <w:rPr>
          <w:sz w:val="20"/>
          <w:szCs w:val="20"/>
        </w:rPr>
        <w:softHyphen/>
        <w:t>rismu v dnešní době je to, že tato soustava zpravidla znemožňuje dlouhodobé reformní plány, ať už poli</w:t>
      </w:r>
      <w:r>
        <w:rPr>
          <w:sz w:val="20"/>
          <w:szCs w:val="20"/>
        </w:rPr>
        <w:softHyphen/>
        <w:t>tické či hospodářské. Odborné</w:t>
      </w:r>
      <w:r>
        <w:rPr>
          <w:sz w:val="20"/>
          <w:szCs w:val="20"/>
        </w:rPr>
        <w:t xml:space="preserve"> mínění je celkem za</w:t>
      </w:r>
      <w:r>
        <w:rPr>
          <w:sz w:val="20"/>
          <w:szCs w:val="20"/>
        </w:rPr>
        <w:softHyphen/>
        <w:t xml:space="preserve">jedno v názoru, že ruské pětiletky a německé čtyř- letky by nebyly dobře možné v režimech parlamentních. Je toho ostatně dokladem Rooseveltův pokus o New </w:t>
      </w:r>
      <w:r>
        <w:rPr>
          <w:sz w:val="20"/>
          <w:szCs w:val="20"/>
          <w:lang w:val="en-US" w:eastAsia="en-US" w:bidi="en-US"/>
        </w:rPr>
        <w:t xml:space="preserve">Deal, </w:t>
      </w:r>
      <w:r>
        <w:rPr>
          <w:sz w:val="20"/>
          <w:szCs w:val="20"/>
        </w:rPr>
        <w:t>který se nemohl plně uskutečnit, poněvadž vzbu</w:t>
      </w:r>
      <w:r>
        <w:rPr>
          <w:sz w:val="20"/>
          <w:szCs w:val="20"/>
        </w:rPr>
        <w:softHyphen/>
        <w:t>dil ihned prudký odpor v těc</w:t>
      </w:r>
      <w:r>
        <w:rPr>
          <w:sz w:val="20"/>
          <w:szCs w:val="20"/>
        </w:rPr>
        <w:t>h vrstvách obyvatelstva, jichž se nová opatření citelně dotkla. Takový odpor má v parlamentní demokracii hned možnost projevit se i politicky a zpravidla zmařit nepříjemné opatření vlády.</w:t>
      </w:r>
    </w:p>
    <w:p w:rsidR="00500724" w:rsidRDefault="00F30FB8">
      <w:pPr>
        <w:pStyle w:val="Zkladntext30"/>
        <w:shd w:val="clear" w:color="auto" w:fill="auto"/>
        <w:spacing w:after="100" w:line="216" w:lineRule="auto"/>
        <w:rPr>
          <w:sz w:val="20"/>
          <w:szCs w:val="20"/>
        </w:rPr>
        <w:sectPr w:rsidR="00500724">
          <w:footnotePr>
            <w:numFmt w:val="chicago"/>
            <w:numRestart w:val="eachPage"/>
          </w:footnotePr>
          <w:type w:val="continuous"/>
          <w:pgSz w:w="11909" w:h="16834"/>
          <w:pgMar w:top="835" w:right="974" w:bottom="988" w:left="486" w:header="0" w:footer="3" w:gutter="0"/>
          <w:cols w:num="2" w:space="130"/>
          <w:noEndnote/>
          <w:docGrid w:linePitch="360"/>
        </w:sectPr>
      </w:pPr>
      <w:r>
        <w:rPr>
          <w:sz w:val="20"/>
          <w:szCs w:val="20"/>
        </w:rPr>
        <w:t>I toto je jen další stránka téže věci,</w:t>
      </w:r>
      <w:r>
        <w:rPr>
          <w:sz w:val="20"/>
          <w:szCs w:val="20"/>
        </w:rPr>
        <w:t xml:space="preserve"> s níž se v této úvaze potkáváme znovu a znovu v rozmanitých perspek</w:t>
      </w:r>
      <w:r>
        <w:rPr>
          <w:sz w:val="20"/>
          <w:szCs w:val="20"/>
        </w:rPr>
        <w:softHyphen/>
        <w:t xml:space="preserve">tivách a osvětleních. Je to problém parlamentarismu v dobách sociálně a politicky přechodných a proto neklidných, kritických, revolučních. Všechno, co jsme uvedli, zdá se svědčit pro to, </w:t>
      </w:r>
      <w:r>
        <w:rPr>
          <w:sz w:val="20"/>
          <w:szCs w:val="20"/>
        </w:rPr>
        <w:t>že úspěšný parlamentní režim je spíše výsledkem vývoje a vyzrání určité his</w:t>
      </w:r>
      <w:r>
        <w:rPr>
          <w:sz w:val="20"/>
          <w:szCs w:val="20"/>
        </w:rPr>
        <w:softHyphen/>
        <w:t>torické epochy a dokladem její stabilisace než zname-</w:t>
      </w:r>
    </w:p>
    <w:p w:rsidR="00500724" w:rsidRDefault="00F30FB8">
      <w:pPr>
        <w:pStyle w:val="Nadpis90"/>
        <w:keepNext/>
        <w:keepLines/>
        <w:pBdr>
          <w:bottom w:val="single" w:sz="4" w:space="0" w:color="auto"/>
        </w:pBdr>
        <w:shd w:val="clear" w:color="auto" w:fill="auto"/>
        <w:spacing w:before="80" w:after="0"/>
        <w:ind w:left="4260"/>
        <w:sectPr w:rsidR="00500724">
          <w:footnotePr>
            <w:numFmt w:val="chicago"/>
            <w:numRestart w:val="eachPage"/>
          </w:footnotePr>
          <w:pgSz w:w="11909" w:h="16834"/>
          <w:pgMar w:top="910" w:right="1088" w:bottom="965" w:left="334" w:header="0" w:footer="3" w:gutter="0"/>
          <w:cols w:space="720"/>
          <w:noEndnote/>
          <w:docGrid w:linePitch="360"/>
        </w:sectPr>
      </w:pPr>
      <w:bookmarkStart w:id="873" w:name="bookmark872"/>
      <w:r>
        <w:rPr>
          <w:rFonts w:ascii="Times New Roman" w:eastAsia="Times New Roman" w:hAnsi="Times New Roman" w:cs="Times New Roman"/>
          <w:lang w:val="en-US" w:eastAsia="en-US" w:bidi="en-US"/>
        </w:rPr>
        <w:t>Pffl</w:t>
      </w:r>
      <w:bookmarkEnd w:id="873"/>
    </w:p>
    <w:p w:rsidR="00500724" w:rsidRDefault="00500724">
      <w:pPr>
        <w:spacing w:line="42" w:lineRule="exact"/>
        <w:rPr>
          <w:sz w:val="3"/>
          <w:szCs w:val="3"/>
        </w:rPr>
      </w:pPr>
    </w:p>
    <w:p w:rsidR="00500724" w:rsidRDefault="00500724">
      <w:pPr>
        <w:spacing w:line="14" w:lineRule="exact"/>
        <w:sectPr w:rsidR="00500724">
          <w:footnotePr>
            <w:numFmt w:val="chicago"/>
            <w:numRestart w:val="eachPage"/>
          </w:footnotePr>
          <w:type w:val="continuous"/>
          <w:pgSz w:w="11909" w:h="16834"/>
          <w:pgMar w:top="910" w:right="0" w:bottom="929" w:left="0" w:header="0" w:footer="3" w:gutter="0"/>
          <w:cols w:space="720"/>
          <w:noEndnote/>
          <w:docGrid w:linePitch="360"/>
        </w:sectPr>
      </w:pPr>
    </w:p>
    <w:p w:rsidR="00500724" w:rsidRDefault="00F30FB8">
      <w:pPr>
        <w:pStyle w:val="Zkladntext30"/>
        <w:shd w:val="clear" w:color="auto" w:fill="auto"/>
        <w:spacing w:after="0" w:line="216" w:lineRule="auto"/>
        <w:ind w:firstLine="0"/>
        <w:rPr>
          <w:sz w:val="20"/>
          <w:szCs w:val="20"/>
        </w:rPr>
      </w:pPr>
      <w:r>
        <w:rPr>
          <w:sz w:val="20"/>
          <w:szCs w:val="20"/>
        </w:rPr>
        <w:t xml:space="preserve">ním, v němž taková epocha vchází v život. Proto jsou také </w:t>
      </w:r>
      <w:r>
        <w:rPr>
          <w:sz w:val="20"/>
          <w:szCs w:val="20"/>
        </w:rPr>
        <w:t>pochybné naděje, které se často v parlamentní režim skládaly a které očekávaly, že pomocí této sou</w:t>
      </w:r>
      <w:r>
        <w:rPr>
          <w:sz w:val="20"/>
          <w:szCs w:val="20"/>
        </w:rPr>
        <w:softHyphen/>
        <w:t xml:space="preserve">stavy se společnost celkem hladce bude přenášet přes své krise a že dobře regulované řečiště parlamentní soustavy odvede všechny sociální a politické proudy </w:t>
      </w:r>
      <w:r>
        <w:rPr>
          <w:sz w:val="20"/>
          <w:szCs w:val="20"/>
        </w:rPr>
        <w:t>i povodně bez valných škod patřičným směrem. Jinými slovy, že parlamentní soustava je zárukou klidného a plynulého vývoje dané společnosti.</w:t>
      </w:r>
    </w:p>
    <w:p w:rsidR="00500724" w:rsidRDefault="00F30FB8">
      <w:pPr>
        <w:pStyle w:val="Zkladntext30"/>
        <w:shd w:val="clear" w:color="auto" w:fill="auto"/>
        <w:spacing w:after="0" w:line="216" w:lineRule="auto"/>
        <w:ind w:firstLine="280"/>
        <w:rPr>
          <w:sz w:val="20"/>
          <w:szCs w:val="20"/>
        </w:rPr>
      </w:pPr>
      <w:r>
        <w:rPr>
          <w:sz w:val="20"/>
          <w:szCs w:val="20"/>
        </w:rPr>
        <w:t>V dnešním světě však, jak se zdá, chybí základní podmínka pro to, aby tato záruka mohla být účinná, totiž souhlas uv</w:t>
      </w:r>
      <w:r>
        <w:rPr>
          <w:sz w:val="20"/>
          <w:szCs w:val="20"/>
        </w:rPr>
        <w:t>nitř národů i mezi národy v názorech na základní věci života. Naopak je známkou dnešní do</w:t>
      </w:r>
      <w:r>
        <w:rPr>
          <w:sz w:val="20"/>
          <w:szCs w:val="20"/>
        </w:rPr>
        <w:softHyphen/>
        <w:t>by spíše ideový boj mezi myšlenkovými, politickými a sociálními soustavami a programy, než souhlas v je</w:t>
      </w:r>
      <w:r>
        <w:rPr>
          <w:sz w:val="20"/>
          <w:szCs w:val="20"/>
        </w:rPr>
        <w:softHyphen/>
        <w:t>jich základních principech. Na tomto bouřlivém moři jsou parla</w:t>
      </w:r>
      <w:r>
        <w:rPr>
          <w:sz w:val="20"/>
          <w:szCs w:val="20"/>
        </w:rPr>
        <w:t xml:space="preserve">menty lodičkou hodně křehkou. Kam se má lodička pohnout, když se nešťastnou náhodou dostala mezi dva příboje, jejichž vlny narážejí přímo na sebe? V parlamentním životě je už velikou aférou přechod vlády do rukou oposice. Ale tato aféra se odbude hladce a </w:t>
      </w:r>
      <w:r>
        <w:rPr>
          <w:sz w:val="20"/>
          <w:szCs w:val="20"/>
        </w:rPr>
        <w:t>podle všech pravidel jen tehdy, nepokouší-li se opo</w:t>
      </w:r>
      <w:r>
        <w:rPr>
          <w:sz w:val="20"/>
          <w:szCs w:val="20"/>
        </w:rPr>
        <w:softHyphen/>
        <w:t>sice uskutečnit program v kterémkoli ohledu příliš radikální. Jinými slovy: parlamentní stroj funguje hladce, je-li mezi oběma hlavními frakcemi souhlas aspoň v hlavních politických zásadách, aby se nemoh</w:t>
      </w:r>
      <w:r>
        <w:rPr>
          <w:sz w:val="20"/>
          <w:szCs w:val="20"/>
        </w:rPr>
        <w:t>lo stát, že oposice po svém příchodu k moci by provedla něco, co by se podobalo státnímu převratu, a co by bý</w:t>
      </w:r>
      <w:r>
        <w:rPr>
          <w:sz w:val="20"/>
          <w:szCs w:val="20"/>
        </w:rPr>
        <w:softHyphen/>
        <w:t>valá většina, až by se jí snad zase poštěstilo vrátit se do vlády, musila rušit a odčiňovat. Na sociálním záko</w:t>
      </w:r>
      <w:r>
        <w:rPr>
          <w:sz w:val="20"/>
          <w:szCs w:val="20"/>
        </w:rPr>
        <w:softHyphen/>
        <w:t>nodárství bývalé francouzské levé f</w:t>
      </w:r>
      <w:r>
        <w:rPr>
          <w:sz w:val="20"/>
          <w:szCs w:val="20"/>
        </w:rPr>
        <w:t>ronty máme dobrý příklad toho, jak těžko se takové věci nejen uzákoňují, ale hlavně udržují po změně vlády. Je pravda, že vývoj společnosti se nevrací už nikdy docela zpět, na místo, z něhož vyšel, a že je nemožná totální reakce. Ani ve Francii, třebaže ta</w:t>
      </w:r>
      <w:r>
        <w:rPr>
          <w:sz w:val="20"/>
          <w:szCs w:val="20"/>
        </w:rPr>
        <w:t>m bylo ze sociálního zákonodárství zrušeno mnoho, nebylo likvidováno všechno, ale odliv byl přece jen značný, a není zatím jasno, jak se s tím nakonec vyrovná dělnictvo.</w:t>
      </w:r>
    </w:p>
    <w:p w:rsidR="00500724" w:rsidRDefault="00F30FB8">
      <w:pPr>
        <w:pStyle w:val="Zkladntext30"/>
        <w:shd w:val="clear" w:color="auto" w:fill="auto"/>
        <w:spacing w:after="360" w:line="214" w:lineRule="auto"/>
        <w:ind w:firstLine="280"/>
        <w:rPr>
          <w:sz w:val="20"/>
          <w:szCs w:val="20"/>
        </w:rPr>
      </w:pPr>
      <w:r>
        <w:rPr>
          <w:sz w:val="20"/>
          <w:szCs w:val="20"/>
        </w:rPr>
        <w:t>Úhrnem by bylo možno říci, že problémem dnešní doby a také předmětem hlavní pozornosti</w:t>
      </w:r>
      <w:r>
        <w:rPr>
          <w:sz w:val="20"/>
          <w:szCs w:val="20"/>
        </w:rPr>
        <w:t xml:space="preserve"> je spíše obsah zákonů a nikoli forma, jakou se zákony vydávají. For</w:t>
      </w:r>
      <w:r>
        <w:rPr>
          <w:sz w:val="20"/>
          <w:szCs w:val="20"/>
        </w:rPr>
        <w:softHyphen/>
        <w:t>mální stránka zákonodárství vnucuje se více pozornosti jen v těch časech, kdy jsou hlavní věci zásadní vyří</w:t>
      </w:r>
      <w:r>
        <w:rPr>
          <w:sz w:val="20"/>
          <w:szCs w:val="20"/>
        </w:rPr>
        <w:softHyphen/>
        <w:t>zeny.</w:t>
      </w:r>
    </w:p>
    <w:p w:rsidR="00500724" w:rsidRDefault="00F30FB8">
      <w:pPr>
        <w:pStyle w:val="Zkladntext30"/>
        <w:shd w:val="clear" w:color="auto" w:fill="auto"/>
        <w:spacing w:after="80" w:line="240" w:lineRule="auto"/>
        <w:ind w:firstLine="0"/>
      </w:pPr>
      <w:r>
        <w:rPr>
          <w:i/>
          <w:iCs/>
        </w:rPr>
        <w:t>Pavel Hofman:</w:t>
      </w:r>
    </w:p>
    <w:p w:rsidR="00500724" w:rsidRDefault="00F30FB8">
      <w:pPr>
        <w:pStyle w:val="Jin0"/>
        <w:shd w:val="clear" w:color="auto" w:fill="auto"/>
        <w:spacing w:after="120"/>
        <w:ind w:left="120" w:firstLine="0"/>
        <w:jc w:val="center"/>
        <w:rPr>
          <w:sz w:val="28"/>
          <w:szCs w:val="28"/>
        </w:rPr>
      </w:pPr>
      <w:r>
        <w:rPr>
          <w:b/>
          <w:bCs/>
          <w:sz w:val="28"/>
          <w:szCs w:val="28"/>
        </w:rPr>
        <w:t>Jazyková nařízení</w:t>
      </w:r>
    </w:p>
    <w:p w:rsidR="00500724" w:rsidRDefault="00F30FB8">
      <w:pPr>
        <w:pStyle w:val="Zkladntext100"/>
        <w:framePr w:dropCap="drop" w:lines="2" w:hSpace="5" w:vSpace="5" w:wrap="auto" w:vAnchor="text" w:hAnchor="text"/>
        <w:shd w:val="clear" w:color="auto" w:fill="auto"/>
        <w:spacing w:line="292" w:lineRule="exact"/>
        <w:ind w:firstLine="0"/>
        <w:rPr>
          <w:sz w:val="19"/>
          <w:szCs w:val="19"/>
        </w:rPr>
      </w:pPr>
      <w:r>
        <w:rPr>
          <w:position w:val="-6"/>
          <w:sz w:val="44"/>
          <w:szCs w:val="44"/>
        </w:rPr>
        <w:t>S</w:t>
      </w:r>
    </w:p>
    <w:p w:rsidR="00500724" w:rsidRDefault="00F30FB8">
      <w:pPr>
        <w:pStyle w:val="Zkladntext100"/>
        <w:shd w:val="clear" w:color="auto" w:fill="auto"/>
        <w:spacing w:line="228" w:lineRule="auto"/>
        <w:ind w:firstLine="0"/>
        <w:rPr>
          <w:sz w:val="19"/>
          <w:szCs w:val="19"/>
        </w:rPr>
      </w:pPr>
      <w:r>
        <w:rPr>
          <w:sz w:val="19"/>
          <w:szCs w:val="19"/>
        </w:rPr>
        <w:t xml:space="preserve"> datem 19. srpna vydala vláda Protektorátu jazykové na</w:t>
      </w:r>
      <w:r>
        <w:rPr>
          <w:sz w:val="19"/>
          <w:szCs w:val="19"/>
        </w:rPr>
        <w:softHyphen/>
        <w:t>řízení, na němž se usnesla už 25. července na doporučení p. říšského protektora. Při jeho hodnocení napsal „Prager Zeitungsdienst“, že tu jde o „pokus, rozřešiti česko-německou jazykovou otázku na zákl</w:t>
      </w:r>
      <w:r>
        <w:rPr>
          <w:sz w:val="19"/>
          <w:szCs w:val="19"/>
        </w:rPr>
        <w:t>adě zdravého lidského rozumu a na podkladě národnostní prestižní otázky“.</w:t>
      </w:r>
    </w:p>
    <w:p w:rsidR="00500724" w:rsidRDefault="00F30FB8">
      <w:pPr>
        <w:pStyle w:val="Zkladntext100"/>
        <w:shd w:val="clear" w:color="auto" w:fill="auto"/>
        <w:spacing w:line="228" w:lineRule="auto"/>
        <w:ind w:firstLine="220"/>
        <w:rPr>
          <w:sz w:val="19"/>
          <w:szCs w:val="19"/>
        </w:rPr>
      </w:pPr>
      <w:r>
        <w:rPr>
          <w:sz w:val="19"/>
          <w:szCs w:val="19"/>
        </w:rPr>
        <w:t>Nařízení čítá 21 článek a má vlastně tři velké oddíly, které však nejsou odděleny do zvláštních kapitol. Na jeho konec jsou zařazena všeobecná ustanovení. Čl. 19 stanoví, že při nyně</w:t>
      </w:r>
      <w:r>
        <w:rPr>
          <w:sz w:val="19"/>
          <w:szCs w:val="19"/>
        </w:rPr>
        <w:t>jším označování v obou jazycích musí býti užito písma téže velikosti; čl. 20 chrání stranu, jež použila jen jedné nebo obou řečí společně, před jakýmikoli nepříznivými důsledky.</w:t>
      </w:r>
    </w:p>
    <w:p w:rsidR="00500724" w:rsidRDefault="00F30FB8">
      <w:pPr>
        <w:pStyle w:val="Zkladntext100"/>
        <w:shd w:val="clear" w:color="auto" w:fill="auto"/>
        <w:spacing w:line="228" w:lineRule="auto"/>
        <w:ind w:firstLine="220"/>
        <w:rPr>
          <w:sz w:val="19"/>
          <w:szCs w:val="19"/>
        </w:rPr>
      </w:pPr>
      <w:r>
        <w:rPr>
          <w:sz w:val="19"/>
          <w:szCs w:val="19"/>
        </w:rPr>
        <w:t xml:space="preserve">Oba ostatní, mnohem obsažnější oddíly obsahují konkrétní ustanovení pro úřady </w:t>
      </w:r>
      <w:r>
        <w:rPr>
          <w:sz w:val="19"/>
          <w:szCs w:val="19"/>
        </w:rPr>
        <w:t>Protektorátu a pro veřejné korporace, tedy zejména pro samosprávné orgány; při tom určuje po</w:t>
      </w:r>
      <w:r>
        <w:rPr>
          <w:sz w:val="19"/>
          <w:szCs w:val="19"/>
        </w:rPr>
        <w:softHyphen/>
        <w:t>slední, 21. článek zcela stručně, že obdobné zásady platí i pro řízení u všech soudů Protektorátu. Pro úřady a pro veřejné korporace se v jednolivých paragrafech v</w:t>
      </w:r>
      <w:r>
        <w:rPr>
          <w:sz w:val="19"/>
          <w:szCs w:val="19"/>
        </w:rPr>
        <w:t>ytýká, kdy mají užívati výlučně němčiny, kdy němčiny i češtiny spo</w:t>
      </w:r>
      <w:r>
        <w:rPr>
          <w:sz w:val="19"/>
          <w:szCs w:val="19"/>
        </w:rPr>
        <w:softHyphen/>
        <w:t>lečně a kdy němčiny nebo češtiny alternativně.</w:t>
      </w:r>
    </w:p>
    <w:p w:rsidR="00500724" w:rsidRDefault="00F30FB8">
      <w:pPr>
        <w:pStyle w:val="Zkladntext100"/>
        <w:shd w:val="clear" w:color="auto" w:fill="auto"/>
        <w:spacing w:line="226" w:lineRule="auto"/>
        <w:ind w:firstLine="240"/>
        <w:rPr>
          <w:sz w:val="19"/>
          <w:szCs w:val="19"/>
        </w:rPr>
      </w:pPr>
      <w:r>
        <w:rPr>
          <w:sz w:val="19"/>
          <w:szCs w:val="19"/>
        </w:rPr>
        <w:t>V ý 1 u č n é užívání německé řeči předpisuje článek 1 or</w:t>
      </w:r>
      <w:r>
        <w:rPr>
          <w:sz w:val="19"/>
          <w:szCs w:val="19"/>
        </w:rPr>
        <w:softHyphen/>
        <w:t>gánům Protektorátu při úředním styku s orgány Říše a článek 2 rozšiřuje toto ustanov</w:t>
      </w:r>
      <w:r>
        <w:rPr>
          <w:sz w:val="19"/>
          <w:szCs w:val="19"/>
        </w:rPr>
        <w:t>ení i na veřejné korporace, ústavy a podniky, na nichž je Protektorát zúčastněn. Podle článku 5 jsou orgány Protektorátu povinny používati něm</w:t>
      </w:r>
      <w:r>
        <w:rPr>
          <w:sz w:val="19"/>
          <w:szCs w:val="19"/>
        </w:rPr>
        <w:softHyphen/>
        <w:t>činy ve své úřední korespondenci s orgány, ústavy a podniky, jejichž jednací řečí je němčina. V článku 11 se stan</w:t>
      </w:r>
      <w:r>
        <w:rPr>
          <w:sz w:val="19"/>
          <w:szCs w:val="19"/>
        </w:rPr>
        <w:t xml:space="preserve">oví, že orgány Protektorátu vyřizují jen německy podání, učiněná v německé řeči; totéž platí při jejich úředním a služebním styku s osobami německé národnosti. Článek 13 analogicky přikazuje samosprávným institucím přijímati ve vzájemném úředním styku též </w:t>
      </w:r>
      <w:r>
        <w:rPr>
          <w:sz w:val="19"/>
          <w:szCs w:val="19"/>
        </w:rPr>
        <w:t>přípisy, sepsané pouze německy.</w:t>
      </w:r>
    </w:p>
    <w:p w:rsidR="00500724" w:rsidRDefault="00F30FB8">
      <w:pPr>
        <w:pStyle w:val="Zkladntext100"/>
        <w:shd w:val="clear" w:color="auto" w:fill="auto"/>
        <w:spacing w:line="228" w:lineRule="auto"/>
        <w:ind w:firstLine="240"/>
        <w:rPr>
          <w:sz w:val="19"/>
          <w:szCs w:val="19"/>
        </w:rPr>
      </w:pPr>
      <w:r>
        <w:rPr>
          <w:sz w:val="19"/>
          <w:szCs w:val="19"/>
        </w:rPr>
        <w:t>Případy, kdy jest užívati německé a české řeči s p o 1 e č- n ě, jsou uvedeny v článcích 3 a 4 a pak 6 až 9 pro úřady a v článcích 14 a 15 pro veřejné korporace. Pro úřady Pro</w:t>
      </w:r>
      <w:r>
        <w:rPr>
          <w:sz w:val="19"/>
          <w:szCs w:val="19"/>
        </w:rPr>
        <w:softHyphen/>
        <w:t>tektorátu je tu předepsána dvojjazyčnost při sty</w:t>
      </w:r>
      <w:r>
        <w:rPr>
          <w:sz w:val="19"/>
          <w:szCs w:val="19"/>
        </w:rPr>
        <w:t>ku se zahra</w:t>
      </w:r>
      <w:r>
        <w:rPr>
          <w:sz w:val="19"/>
          <w:szCs w:val="19"/>
        </w:rPr>
        <w:softHyphen/>
        <w:t>ničními instancemi, při vydávání úředních nařízení podří</w:t>
      </w:r>
      <w:r>
        <w:rPr>
          <w:sz w:val="19"/>
          <w:szCs w:val="19"/>
        </w:rPr>
        <w:softHyphen/>
        <w:t>zeným orgánům, na kovových i papírových platidlech, kol</w:t>
      </w:r>
      <w:r>
        <w:rPr>
          <w:sz w:val="19"/>
          <w:szCs w:val="19"/>
        </w:rPr>
        <w:softHyphen/>
        <w:t>cích a známkách, na vnějším označení úředních budov, v celé dopravě, na úředních razítkách, ve všeobecně závazných práv</w:t>
      </w:r>
      <w:r>
        <w:rPr>
          <w:sz w:val="19"/>
          <w:szCs w:val="19"/>
        </w:rPr>
        <w:softHyphen/>
        <w:t>ních předpi</w:t>
      </w:r>
      <w:r>
        <w:rPr>
          <w:sz w:val="19"/>
          <w:szCs w:val="19"/>
        </w:rPr>
        <w:t>sech, ať jsou vyhlašovány jakýmkoli způsobem (na př. i rozhlasem a filmem), na úředních tiskopisech, dů</w:t>
      </w:r>
      <w:r>
        <w:rPr>
          <w:sz w:val="19"/>
          <w:szCs w:val="19"/>
        </w:rPr>
        <w:softHyphen/>
        <w:t>ležitých pro součinnost s říšskými orgány. Obdobná ustano</w:t>
      </w:r>
      <w:r>
        <w:rPr>
          <w:sz w:val="19"/>
          <w:szCs w:val="19"/>
        </w:rPr>
        <w:softHyphen/>
        <w:t xml:space="preserve">vení pro veřejné korporace dbají ovšem jejich jiného a užšího rozsahu pravomoci. Které z obou </w:t>
      </w:r>
      <w:r>
        <w:rPr>
          <w:sz w:val="19"/>
          <w:szCs w:val="19"/>
        </w:rPr>
        <w:t>řečí má býti užito jako první, se v jazykovém nařízení zvlášť nestanoví; v praxi bude tedy možno použiti zde v jednotlivých případech bud’ jedné nebo druhé zásady z těch, o nichž mluví „Prager Zeitungsdienst“.</w:t>
      </w:r>
    </w:p>
    <w:p w:rsidR="00500724" w:rsidRDefault="00F30FB8">
      <w:pPr>
        <w:pStyle w:val="Zkladntext100"/>
        <w:shd w:val="clear" w:color="auto" w:fill="auto"/>
        <w:spacing w:line="228" w:lineRule="auto"/>
        <w:ind w:firstLine="240"/>
        <w:rPr>
          <w:sz w:val="19"/>
          <w:szCs w:val="19"/>
        </w:rPr>
      </w:pPr>
      <w:r>
        <w:rPr>
          <w:sz w:val="19"/>
          <w:szCs w:val="19"/>
        </w:rPr>
        <w:t>Alternativní používání němčiny nebo češtiny po</w:t>
      </w:r>
      <w:r>
        <w:rPr>
          <w:sz w:val="19"/>
          <w:szCs w:val="19"/>
        </w:rPr>
        <w:t>dle toho, jde-li o příslušníky německého nebo českého národa, je blíže ustanoveno články 10 a 12, pokud jde o úřady, a články 16—17, pokud jde o samosprávné instituce. Ve styku s německým obyvatelstvem je úřední řečí němčina, ve styku s obyvatelstvem český</w:t>
      </w:r>
      <w:r>
        <w:rPr>
          <w:sz w:val="19"/>
          <w:szCs w:val="19"/>
        </w:rPr>
        <w:t>m čeština; tak — abychom ještě jed</w:t>
      </w:r>
      <w:r>
        <w:rPr>
          <w:sz w:val="19"/>
          <w:szCs w:val="19"/>
        </w:rPr>
        <w:softHyphen/>
        <w:t>nou citovali komentář „Prager Zeitungsdienst“ — „nalezne každý Němec a každý Čech práva v Protektorátu ve své mateřské řeči“.</w:t>
      </w:r>
    </w:p>
    <w:p w:rsidR="00500724" w:rsidRDefault="00F30FB8">
      <w:pPr>
        <w:pStyle w:val="Zkladntext100"/>
        <w:shd w:val="clear" w:color="auto" w:fill="auto"/>
        <w:spacing w:line="228" w:lineRule="auto"/>
        <w:ind w:firstLine="240"/>
        <w:rPr>
          <w:sz w:val="19"/>
          <w:szCs w:val="19"/>
        </w:rPr>
      </w:pPr>
      <w:r>
        <w:rPr>
          <w:sz w:val="19"/>
          <w:szCs w:val="19"/>
        </w:rPr>
        <w:t>Pokud jde o skutečné provádění jazykového nařízení, praví týž komentář, že „nařízení musí zlomi</w:t>
      </w:r>
      <w:r>
        <w:rPr>
          <w:sz w:val="19"/>
          <w:szCs w:val="19"/>
        </w:rPr>
        <w:t>ti zaujatost českého nacionalismu, že přednost německé řeči v Čechách a na Moravě má býti výrazem méněcennosti české řeči a zničení její jako kulturního majetku a statku českého národa“.</w:t>
      </w:r>
    </w:p>
    <w:p w:rsidR="00500724" w:rsidRDefault="00F30FB8">
      <w:pPr>
        <w:pStyle w:val="Zkladntext100"/>
        <w:shd w:val="clear" w:color="auto" w:fill="auto"/>
        <w:spacing w:after="80" w:line="228" w:lineRule="auto"/>
        <w:ind w:firstLine="0"/>
        <w:jc w:val="center"/>
        <w:rPr>
          <w:sz w:val="19"/>
          <w:szCs w:val="19"/>
        </w:rPr>
      </w:pPr>
      <w:r>
        <w:rPr>
          <w:sz w:val="19"/>
          <w:szCs w:val="19"/>
        </w:rPr>
        <w:t>•</w:t>
      </w:r>
    </w:p>
    <w:p w:rsidR="00500724" w:rsidRDefault="00F30FB8">
      <w:pPr>
        <w:pStyle w:val="Zkladntext100"/>
        <w:shd w:val="clear" w:color="auto" w:fill="auto"/>
        <w:spacing w:line="228" w:lineRule="auto"/>
        <w:ind w:firstLine="240"/>
        <w:rPr>
          <w:sz w:val="19"/>
          <w:szCs w:val="19"/>
        </w:rPr>
      </w:pPr>
      <w:r>
        <w:rPr>
          <w:sz w:val="19"/>
          <w:szCs w:val="19"/>
        </w:rPr>
        <w:t>V časové kontinuitě je nové jazykové nařízení jakousi no</w:t>
      </w:r>
      <w:r>
        <w:rPr>
          <w:sz w:val="19"/>
          <w:szCs w:val="19"/>
        </w:rPr>
        <w:softHyphen/>
        <w:t>velou k ja</w:t>
      </w:r>
      <w:r>
        <w:rPr>
          <w:sz w:val="19"/>
          <w:szCs w:val="19"/>
        </w:rPr>
        <w:t>zykové legislatuře bývalé ČSR. Její rámcová usta</w:t>
      </w:r>
      <w:r>
        <w:rPr>
          <w:sz w:val="19"/>
          <w:szCs w:val="19"/>
        </w:rPr>
        <w:softHyphen/>
        <w:t>novení byla vtělena do ústavy zákonem ze dne 29. února 1920, Sbírka zák. a nař. čís. 122, jenž byl pak konkretisován vládním nařízením ze dne 3. února 1926, Sb. z. a n. čís. 17.</w:t>
      </w:r>
    </w:p>
    <w:p w:rsidR="00500724" w:rsidRDefault="00F30FB8">
      <w:pPr>
        <w:pStyle w:val="Zkladntext100"/>
        <w:shd w:val="clear" w:color="auto" w:fill="auto"/>
        <w:spacing w:after="100" w:line="228" w:lineRule="auto"/>
        <w:ind w:firstLine="240"/>
        <w:rPr>
          <w:sz w:val="19"/>
          <w:szCs w:val="19"/>
        </w:rPr>
      </w:pPr>
      <w:r>
        <w:rPr>
          <w:sz w:val="19"/>
          <w:szCs w:val="19"/>
        </w:rPr>
        <w:t>Při porovnání našeho nového j</w:t>
      </w:r>
      <w:r>
        <w:rPr>
          <w:sz w:val="19"/>
          <w:szCs w:val="19"/>
        </w:rPr>
        <w:t xml:space="preserve">azykového nařízení s touto někdejší úpravou jazykové otázky vysvitne, že jedna </w:t>
      </w:r>
      <w:r>
        <w:rPr>
          <w:sz w:val="19"/>
          <w:szCs w:val="19"/>
          <w:lang w:val="en-US" w:eastAsia="en-US" w:bidi="en-US"/>
        </w:rPr>
        <w:t xml:space="preserve">cast </w:t>
      </w:r>
      <w:r>
        <w:rPr>
          <w:sz w:val="19"/>
          <w:szCs w:val="19"/>
        </w:rPr>
        <w:t>oprav tu byla diktována územními změnami, druhá část pak vnitřními změnami státoprávní povahy. Po osamostatněni Slovenska a po připojení bývalé Podkarpatské Rusi k Ma</w:t>
      </w:r>
      <w:r>
        <w:rPr>
          <w:sz w:val="19"/>
          <w:szCs w:val="19"/>
        </w:rPr>
        <w:softHyphen/>
      </w:r>
      <w:r>
        <w:rPr>
          <w:sz w:val="19"/>
          <w:szCs w:val="19"/>
        </w:rPr>
        <w:t>ďarsku pozbyly smyslu články 4 a 6 bývalého čs. jazykového zákona; a už od mnichovského rozhodnutí se stal bezpřed</w:t>
      </w:r>
      <w:r>
        <w:rPr>
          <w:sz w:val="19"/>
          <w:szCs w:val="19"/>
        </w:rPr>
        <w:softHyphen/>
        <w:t>mětný i jeho článek 2, který stanovil:</w:t>
      </w:r>
    </w:p>
    <w:p w:rsidR="00500724" w:rsidRDefault="00F30FB8">
      <w:pPr>
        <w:pStyle w:val="Zkladntext40"/>
        <w:shd w:val="clear" w:color="auto" w:fill="auto"/>
        <w:spacing w:after="0" w:line="218" w:lineRule="auto"/>
        <w:ind w:left="220" w:firstLine="240"/>
        <w:rPr>
          <w:sz w:val="16"/>
          <w:szCs w:val="16"/>
        </w:rPr>
        <w:sectPr w:rsidR="00500724">
          <w:footnotePr>
            <w:numFmt w:val="chicago"/>
            <w:numRestart w:val="eachPage"/>
          </w:footnotePr>
          <w:type w:val="continuous"/>
          <w:pgSz w:w="11909" w:h="16834"/>
          <w:pgMar w:top="910" w:right="1088" w:bottom="929" w:left="334" w:header="0" w:footer="3" w:gutter="0"/>
          <w:cols w:num="2" w:space="101"/>
          <w:noEndnote/>
          <w:docGrid w:linePitch="360"/>
        </w:sectPr>
      </w:pPr>
      <w:r>
        <w:rPr>
          <w:b/>
          <w:bCs/>
          <w:sz w:val="16"/>
          <w:szCs w:val="16"/>
        </w:rPr>
        <w:t>„Soudy, úřady a orgány republiky, jichž působnost vztahuje se na okres s</w:t>
      </w:r>
      <w:r>
        <w:rPr>
          <w:b/>
          <w:bCs/>
          <w:sz w:val="16"/>
          <w:szCs w:val="16"/>
        </w:rPr>
        <w:t>oudní, v němž podle posledního soupisu lidu obyva aspoň 20% státních občanů téhož, avšak jiného jazyka^ než čes</w:t>
      </w:r>
      <w:r>
        <w:rPr>
          <w:b/>
          <w:bCs/>
          <w:sz w:val="16"/>
          <w:szCs w:val="16"/>
        </w:rPr>
        <w:softHyphen/>
        <w:t>kého, jsou ve všech věcech, jichž vyřizovaní jim naleží na za-</w:t>
      </w:r>
    </w:p>
    <w:p w:rsidR="00500724" w:rsidRDefault="00F30FB8">
      <w:pPr>
        <w:pStyle w:val="Nadpis90"/>
        <w:keepNext/>
        <w:keepLines/>
        <w:pBdr>
          <w:bottom w:val="single" w:sz="4" w:space="0" w:color="auto"/>
        </w:pBdr>
        <w:shd w:val="clear" w:color="auto" w:fill="auto"/>
        <w:spacing w:before="80" w:after="0"/>
        <w:ind w:left="80"/>
        <w:jc w:val="center"/>
        <w:sectPr w:rsidR="00500724">
          <w:footnotePr>
            <w:numFmt w:val="chicago"/>
            <w:numRestart w:val="eachPage"/>
          </w:footnotePr>
          <w:pgSz w:w="11909" w:h="16834"/>
          <w:pgMar w:top="910" w:right="853" w:bottom="931" w:left="646" w:header="0" w:footer="3" w:gutter="0"/>
          <w:cols w:space="720"/>
          <w:noEndnote/>
          <w:docGrid w:linePitch="360"/>
        </w:sectPr>
      </w:pPr>
      <w:bookmarkStart w:id="874" w:name="bookmark873"/>
      <w:r>
        <w:rPr>
          <w:rFonts w:ascii="Times New Roman" w:eastAsia="Times New Roman" w:hAnsi="Times New Roman" w:cs="Times New Roman"/>
        </w:rPr>
        <w:t>PfTTamnost&gt;</w:t>
      </w:r>
      <w:bookmarkEnd w:id="874"/>
    </w:p>
    <w:p w:rsidR="00500724" w:rsidRDefault="00500724">
      <w:pPr>
        <w:spacing w:line="64" w:lineRule="exact"/>
        <w:rPr>
          <w:sz w:val="5"/>
          <w:szCs w:val="5"/>
        </w:rPr>
      </w:pPr>
    </w:p>
    <w:p w:rsidR="00500724" w:rsidRDefault="00500724">
      <w:pPr>
        <w:spacing w:line="14" w:lineRule="exact"/>
        <w:sectPr w:rsidR="00500724">
          <w:footnotePr>
            <w:numFmt w:val="chicago"/>
            <w:numRestart w:val="eachPage"/>
          </w:footnotePr>
          <w:type w:val="continuous"/>
          <w:pgSz w:w="11909" w:h="16834"/>
          <w:pgMar w:top="910" w:right="0" w:bottom="910" w:left="0" w:header="0" w:footer="3" w:gutter="0"/>
          <w:cols w:space="720"/>
          <w:noEndnote/>
          <w:docGrid w:linePitch="360"/>
        </w:sectPr>
      </w:pPr>
    </w:p>
    <w:p w:rsidR="00500724" w:rsidRDefault="00F30FB8">
      <w:pPr>
        <w:pStyle w:val="Zkladntext40"/>
        <w:shd w:val="clear" w:color="auto" w:fill="auto"/>
        <w:spacing w:after="80" w:line="214" w:lineRule="auto"/>
        <w:ind w:left="220"/>
        <w:rPr>
          <w:sz w:val="16"/>
          <w:szCs w:val="16"/>
        </w:rPr>
      </w:pPr>
      <w:r>
        <w:rPr>
          <w:b/>
          <w:bCs/>
          <w:sz w:val="16"/>
          <w:szCs w:val="16"/>
        </w:rPr>
        <w:t xml:space="preserve">kládě toho, že působnost jich vztahuje se na tento okres, povinny přijímati od příslušníků jazyka této menšiny podání v témž jazyku a vydati vyřízení těchto podání nejen v jazyku českém, nýbrž </w:t>
      </w:r>
      <w:r>
        <w:rPr>
          <w:b/>
          <w:bCs/>
          <w:sz w:val="18"/>
          <w:szCs w:val="18"/>
        </w:rPr>
        <w:t xml:space="preserve">i </w:t>
      </w:r>
      <w:r>
        <w:rPr>
          <w:b/>
          <w:bCs/>
          <w:sz w:val="16"/>
          <w:szCs w:val="16"/>
        </w:rPr>
        <w:t>v jazyku podání ... V okresích s národní menšinou použiti jes</w:t>
      </w:r>
      <w:r>
        <w:rPr>
          <w:b/>
          <w:bCs/>
          <w:sz w:val="16"/>
          <w:szCs w:val="16"/>
        </w:rPr>
        <w:t>t při vyhláškách státních soudů, úřadů a orgánů a při jejich zevních označeních také jazyka národní menšiny.“</w:t>
      </w:r>
    </w:p>
    <w:p w:rsidR="00500724" w:rsidRDefault="00F30FB8">
      <w:pPr>
        <w:pStyle w:val="Zkladntext100"/>
        <w:shd w:val="clear" w:color="auto" w:fill="auto"/>
        <w:spacing w:after="80" w:line="226" w:lineRule="auto"/>
        <w:ind w:firstLine="220"/>
        <w:rPr>
          <w:sz w:val="19"/>
          <w:szCs w:val="19"/>
        </w:rPr>
      </w:pPr>
      <w:r>
        <w:rPr>
          <w:sz w:val="19"/>
          <w:szCs w:val="19"/>
        </w:rPr>
        <w:t>V důsledku státoprávních změn vypadly z nového řešení jazykové otázky především všechny problémy, týkající se armády. Nadále neudržitelná se stala</w:t>
      </w:r>
      <w:r>
        <w:rPr>
          <w:sz w:val="19"/>
          <w:szCs w:val="19"/>
        </w:rPr>
        <w:t xml:space="preserve"> i ustanovení článku 1 ústavního jazykového zákona, mluvící o „čs. státním ja</w:t>
      </w:r>
      <w:r>
        <w:rPr>
          <w:sz w:val="19"/>
          <w:szCs w:val="19"/>
        </w:rPr>
        <w:softHyphen/>
        <w:t>zyku“. A konečně bylo nutno upravit v zcela novém duchu úřední styk s obyvatelstvem německé národnosti. Zásady tohoto styku byly v býv. ČSR vytčeny na základě saint- germainské m</w:t>
      </w:r>
      <w:r>
        <w:rPr>
          <w:sz w:val="19"/>
          <w:szCs w:val="19"/>
        </w:rPr>
        <w:t>írové smlouvy v článku už uvedeném 2 jazy</w:t>
      </w:r>
      <w:r>
        <w:rPr>
          <w:sz w:val="19"/>
          <w:szCs w:val="19"/>
        </w:rPr>
        <w:softHyphen/>
        <w:t>kového zákona. V prováděcím nařízení z 26. února 1926 ise pak blíže ustanovovalo v článku 34:</w:t>
      </w:r>
    </w:p>
    <w:p w:rsidR="00500724" w:rsidRDefault="00F30FB8">
      <w:pPr>
        <w:pStyle w:val="Zkladntext40"/>
        <w:shd w:val="clear" w:color="auto" w:fill="auto"/>
        <w:spacing w:after="80" w:line="218" w:lineRule="auto"/>
        <w:ind w:left="220" w:firstLine="240"/>
        <w:rPr>
          <w:sz w:val="16"/>
          <w:szCs w:val="16"/>
        </w:rPr>
      </w:pPr>
      <w:r>
        <w:rPr>
          <w:b/>
          <w:bCs/>
          <w:sz w:val="16"/>
          <w:szCs w:val="16"/>
        </w:rPr>
        <w:t xml:space="preserve">„Zevní označení soudů, úřadů, úředních místností orgánů . . . řídí se místem, kde budova jest. Je-li v okresu, kde není </w:t>
      </w:r>
      <w:r>
        <w:rPr>
          <w:b/>
          <w:bCs/>
          <w:sz w:val="16"/>
          <w:szCs w:val="16"/>
        </w:rPr>
        <w:t>menšiny jazykové podle ČL 15 (aspoň 20%), buďtež označeny jen ve státním jazyku; je-li však v okresu, kde jest také jazyková men</w:t>
      </w:r>
      <w:r>
        <w:rPr>
          <w:b/>
          <w:bCs/>
          <w:sz w:val="16"/>
          <w:szCs w:val="16"/>
        </w:rPr>
        <w:softHyphen/>
        <w:t>šina, budou označeny na předním místě v jazyku státním, a kromě toho i v jazyku menšiny“.</w:t>
      </w:r>
    </w:p>
    <w:p w:rsidR="00500724" w:rsidRDefault="00F30FB8">
      <w:pPr>
        <w:pStyle w:val="Zkladntext100"/>
        <w:shd w:val="clear" w:color="auto" w:fill="auto"/>
        <w:spacing w:after="80" w:line="228" w:lineRule="auto"/>
        <w:ind w:firstLine="220"/>
        <w:rPr>
          <w:sz w:val="19"/>
          <w:szCs w:val="19"/>
        </w:rPr>
      </w:pPr>
      <w:r>
        <w:rPr>
          <w:sz w:val="19"/>
          <w:szCs w:val="19"/>
        </w:rPr>
        <w:t xml:space="preserve">Podle článku 35 měly být „vyhlášky v </w:t>
      </w:r>
      <w:r>
        <w:rPr>
          <w:sz w:val="19"/>
          <w:szCs w:val="19"/>
        </w:rPr>
        <w:t xml:space="preserve">okresu s jazykovou menšinou pro obvod tohoto okresu vždy v jazyku státním </w:t>
      </w:r>
      <w:r>
        <w:rPr>
          <w:i/>
          <w:iCs/>
          <w:sz w:val="19"/>
          <w:szCs w:val="19"/>
        </w:rPr>
        <w:t>a</w:t>
      </w:r>
      <w:r>
        <w:rPr>
          <w:sz w:val="19"/>
          <w:szCs w:val="19"/>
        </w:rPr>
        <w:t xml:space="preserve"> menšinovém“. Jen německé úřadování bylo vázáno na podmínky, vytčené v článku 37:</w:t>
      </w:r>
    </w:p>
    <w:p w:rsidR="00500724" w:rsidRDefault="00F30FB8">
      <w:pPr>
        <w:pStyle w:val="Zkladntext40"/>
        <w:shd w:val="clear" w:color="auto" w:fill="auto"/>
        <w:spacing w:after="80" w:line="211" w:lineRule="auto"/>
        <w:ind w:left="220" w:firstLine="240"/>
        <w:rPr>
          <w:sz w:val="16"/>
          <w:szCs w:val="16"/>
        </w:rPr>
      </w:pPr>
      <w:r>
        <w:rPr>
          <w:b/>
          <w:bCs/>
          <w:sz w:val="18"/>
          <w:szCs w:val="18"/>
        </w:rPr>
        <w:t xml:space="preserve">„U </w:t>
      </w:r>
      <w:r>
        <w:rPr>
          <w:b/>
          <w:bCs/>
          <w:sz w:val="16"/>
          <w:szCs w:val="16"/>
        </w:rPr>
        <w:t xml:space="preserve">soudů a úřadů, jichž působnost jest omezena na jediný soudní okres, </w:t>
      </w:r>
      <w:r>
        <w:rPr>
          <w:b/>
          <w:bCs/>
          <w:i/>
          <w:iCs/>
          <w:sz w:val="16"/>
          <w:szCs w:val="16"/>
        </w:rPr>
        <w:t>v němž</w:t>
      </w:r>
      <w:r>
        <w:rPr>
          <w:b/>
          <w:bCs/>
          <w:sz w:val="16"/>
          <w:szCs w:val="16"/>
        </w:rPr>
        <w:t xml:space="preserve"> aspoň dvě třetiny státních občanů jsou příslušníky téhož, avšak jiného jazyka než státního, lze také jen v tomto jazyku vyříditi podání . . ., vydati vyřízení . . „ projed</w:t>
      </w:r>
      <w:r>
        <w:rPr>
          <w:b/>
          <w:bCs/>
          <w:sz w:val="16"/>
          <w:szCs w:val="16"/>
        </w:rPr>
        <w:softHyphen/>
        <w:t>nati se stranami . . ., vydati nálezy a usnesení . . .“</w:t>
      </w:r>
    </w:p>
    <w:p w:rsidR="00500724" w:rsidRDefault="00F30FB8">
      <w:pPr>
        <w:pStyle w:val="Zkladntext100"/>
        <w:shd w:val="clear" w:color="auto" w:fill="auto"/>
        <w:spacing w:after="80" w:line="228" w:lineRule="auto"/>
        <w:ind w:firstLine="0"/>
        <w:jc w:val="center"/>
        <w:rPr>
          <w:sz w:val="19"/>
          <w:szCs w:val="19"/>
        </w:rPr>
      </w:pPr>
      <w:r>
        <w:rPr>
          <w:sz w:val="19"/>
          <w:szCs w:val="19"/>
        </w:rPr>
        <w:t>•</w:t>
      </w:r>
    </w:p>
    <w:p w:rsidR="00500724" w:rsidRDefault="00F30FB8">
      <w:pPr>
        <w:pStyle w:val="Zkladntext100"/>
        <w:shd w:val="clear" w:color="auto" w:fill="auto"/>
        <w:spacing w:line="228" w:lineRule="auto"/>
        <w:ind w:firstLine="220"/>
        <w:rPr>
          <w:sz w:val="19"/>
          <w:szCs w:val="19"/>
        </w:rPr>
      </w:pPr>
      <w:r>
        <w:rPr>
          <w:sz w:val="19"/>
          <w:szCs w:val="19"/>
        </w:rPr>
        <w:t xml:space="preserve">Kdybychom si chtěli </w:t>
      </w:r>
      <w:r>
        <w:rPr>
          <w:sz w:val="19"/>
          <w:szCs w:val="19"/>
        </w:rPr>
        <w:t>povšimnouti jazykových nařízení, vy</w:t>
      </w:r>
      <w:r>
        <w:rPr>
          <w:sz w:val="19"/>
          <w:szCs w:val="19"/>
        </w:rPr>
        <w:softHyphen/>
        <w:t>dávaných pro Čechy (po př. pro Moravu a Slezsko) ve starém Rakousko-Uhersku v době známých sporů o řešení jazykové otázky u nás od roku 1880 do roku 1899, museli bychom především konstatovat, že konstrukce rakouských nař</w:t>
      </w:r>
      <w:r>
        <w:rPr>
          <w:sz w:val="19"/>
          <w:szCs w:val="19"/>
        </w:rPr>
        <w:t>ízení se dalekosáhle lišila jak od konstrukce jazykové úpravy z let 1920 a 1926, tak i od konstrukce našeho no</w:t>
      </w:r>
      <w:r>
        <w:rPr>
          <w:sz w:val="19"/>
          <w:szCs w:val="19"/>
        </w:rPr>
        <w:softHyphen/>
        <w:t>vého jazykového nařízení. Rakouská nařízení jsou v někte</w:t>
      </w:r>
      <w:r>
        <w:rPr>
          <w:sz w:val="19"/>
          <w:szCs w:val="19"/>
        </w:rPr>
        <w:softHyphen/>
        <w:t>rých směrech širší, v jiných užší a kladou leckde důraz na jiné stránky, jak to přirozen</w:t>
      </w:r>
      <w:r>
        <w:rPr>
          <w:sz w:val="19"/>
          <w:szCs w:val="19"/>
        </w:rPr>
        <w:t>ě odpovídá jinému stupni histo</w:t>
      </w:r>
      <w:r>
        <w:rPr>
          <w:sz w:val="19"/>
          <w:szCs w:val="19"/>
        </w:rPr>
        <w:softHyphen/>
        <w:t>rického vývoje.</w:t>
      </w:r>
    </w:p>
    <w:p w:rsidR="00500724" w:rsidRDefault="00F30FB8">
      <w:pPr>
        <w:pStyle w:val="Zkladntext100"/>
        <w:shd w:val="clear" w:color="auto" w:fill="auto"/>
        <w:spacing w:line="228" w:lineRule="auto"/>
        <w:ind w:firstLine="220"/>
        <w:rPr>
          <w:sz w:val="19"/>
          <w:szCs w:val="19"/>
        </w:rPr>
      </w:pPr>
      <w:r>
        <w:rPr>
          <w:sz w:val="19"/>
          <w:szCs w:val="19"/>
        </w:rPr>
        <w:t>Najdeme v nich ustanovení o řeči knihovních zápisů, smluv a protokolů, sepsaných se stranami; jsou tu vytčeny podmínky jazykové způsobilosti úředníků. Naopak v nich chybí směrnice pro vnější označování úředníc</w:t>
      </w:r>
      <w:r>
        <w:rPr>
          <w:sz w:val="19"/>
          <w:szCs w:val="19"/>
        </w:rPr>
        <w:t>h budov a pro dopravu; a pak se v nich nikde nemluví o „státní řeči“.</w:t>
      </w:r>
    </w:p>
    <w:p w:rsidR="00500724" w:rsidRDefault="00F30FB8">
      <w:pPr>
        <w:pStyle w:val="Zkladntext100"/>
        <w:shd w:val="clear" w:color="auto" w:fill="auto"/>
        <w:spacing w:line="228" w:lineRule="auto"/>
        <w:ind w:firstLine="220"/>
        <w:rPr>
          <w:sz w:val="19"/>
          <w:szCs w:val="19"/>
        </w:rPr>
      </w:pPr>
      <w:r>
        <w:rPr>
          <w:sz w:val="19"/>
          <w:szCs w:val="19"/>
        </w:rPr>
        <w:t xml:space="preserve">Taaffe v r. 1880, Badeni v r. 1897, </w:t>
      </w:r>
      <w:r>
        <w:rPr>
          <w:sz w:val="19"/>
          <w:szCs w:val="19"/>
          <w:lang w:val="en-US" w:eastAsia="en-US" w:bidi="en-US"/>
        </w:rPr>
        <w:t xml:space="preserve">Gautsch </w:t>
      </w:r>
      <w:r>
        <w:rPr>
          <w:sz w:val="19"/>
          <w:szCs w:val="19"/>
        </w:rPr>
        <w:t xml:space="preserve">v r. 1899 začínali svoje jazyková nařízení vždycky úpravou </w:t>
      </w:r>
      <w:r>
        <w:rPr>
          <w:sz w:val="19"/>
          <w:szCs w:val="19"/>
          <w:lang w:val="en-US" w:eastAsia="en-US" w:bidi="en-US"/>
        </w:rPr>
        <w:t xml:space="preserve">alter- </w:t>
      </w:r>
      <w:r>
        <w:rPr>
          <w:sz w:val="19"/>
          <w:szCs w:val="19"/>
        </w:rPr>
        <w:t xml:space="preserve">nativního užívání „obou zemských jazyků“; teprve v druhé řadě se upravovalo </w:t>
      </w:r>
      <w:r>
        <w:rPr>
          <w:sz w:val="19"/>
          <w:szCs w:val="19"/>
        </w:rPr>
        <w:t>společné užívání němčiny a češtiny ve vnějším a vnitřním úřadování, kdežto o vý</w:t>
      </w:r>
      <w:r>
        <w:rPr>
          <w:sz w:val="19"/>
          <w:szCs w:val="19"/>
        </w:rPr>
        <w:softHyphen/>
        <w:t>lučném užívání němčiny se v nich výslovně nemluví. Nemluví se o něm zčásti proto, že výlučnost německé řeči v úředním styku s centrálními institucemi vídeňskými byla samozřejmo</w:t>
      </w:r>
      <w:r>
        <w:rPr>
          <w:sz w:val="19"/>
          <w:szCs w:val="19"/>
        </w:rPr>
        <w:t>u praxí; zčásti zase naopak proto, že bylo stálou praxí veřejných korporací, samosprávných orgánů a pře</w:t>
      </w:r>
      <w:r>
        <w:rPr>
          <w:sz w:val="19"/>
          <w:szCs w:val="19"/>
        </w:rPr>
        <w:softHyphen/>
        <w:t>devším českých poslaneckých klubů užívati češtiny v jejich četných adresách k nejvyšším místům monarchie.</w:t>
      </w:r>
    </w:p>
    <w:p w:rsidR="00500724" w:rsidRDefault="00F30FB8">
      <w:pPr>
        <w:pStyle w:val="Zkladntext100"/>
        <w:shd w:val="clear" w:color="auto" w:fill="auto"/>
        <w:spacing w:line="228" w:lineRule="auto"/>
        <w:ind w:firstLine="220"/>
        <w:rPr>
          <w:sz w:val="19"/>
          <w:szCs w:val="19"/>
        </w:rPr>
      </w:pPr>
      <w:r>
        <w:rPr>
          <w:sz w:val="19"/>
          <w:szCs w:val="19"/>
        </w:rPr>
        <w:t xml:space="preserve">Taaffe, Badeni i </w:t>
      </w:r>
      <w:r>
        <w:rPr>
          <w:sz w:val="19"/>
          <w:szCs w:val="19"/>
          <w:lang w:val="en-US" w:eastAsia="en-US" w:bidi="en-US"/>
        </w:rPr>
        <w:t xml:space="preserve">Gautsch </w:t>
      </w:r>
      <w:r>
        <w:rPr>
          <w:sz w:val="19"/>
          <w:szCs w:val="19"/>
        </w:rPr>
        <w:t>se nechtěli řídit nár</w:t>
      </w:r>
      <w:r>
        <w:rPr>
          <w:sz w:val="19"/>
          <w:szCs w:val="19"/>
        </w:rPr>
        <w:t>odnostní prestiží a stavěli v čelo svých jazykových nařízení jako jejich článek 1 ustanovení o tom, že ve styku s úřady mohou Němci i Češi užívati svojí mateřštiny. Ve formulaci tohoto para</w:t>
      </w:r>
      <w:r>
        <w:rPr>
          <w:sz w:val="19"/>
          <w:szCs w:val="19"/>
        </w:rPr>
        <w:softHyphen/>
        <w:t>grafu se ovšem obrážejí dlouholeté národnostní spory. Ve formulaci</w:t>
      </w:r>
      <w:r>
        <w:rPr>
          <w:sz w:val="19"/>
          <w:szCs w:val="19"/>
        </w:rPr>
        <w:t xml:space="preserve"> Taaffeho i Badeniho úřady v české zemi „jsou povinny“ vyřizovati podání stran česky nebo německy podle toho, v které řeči bylo podání učiněno; ale </w:t>
      </w:r>
      <w:r>
        <w:rPr>
          <w:sz w:val="19"/>
          <w:szCs w:val="19"/>
          <w:lang w:val="en-US" w:eastAsia="en-US" w:bidi="en-US"/>
        </w:rPr>
        <w:t xml:space="preserve">Gautsch </w:t>
      </w:r>
      <w:r>
        <w:rPr>
          <w:sz w:val="19"/>
          <w:szCs w:val="19"/>
        </w:rPr>
        <w:t>má už jenom mnohem skromnější znění: „Vyřizování a roz</w:t>
      </w:r>
      <w:r>
        <w:rPr>
          <w:sz w:val="19"/>
          <w:szCs w:val="19"/>
        </w:rPr>
        <w:softHyphen/>
        <w:t>hodnutí buďtež vyhotovována v tom z obou zem</w:t>
      </w:r>
      <w:r>
        <w:rPr>
          <w:sz w:val="19"/>
          <w:szCs w:val="19"/>
        </w:rPr>
        <w:softHyphen/>
      </w:r>
      <w:r>
        <w:rPr>
          <w:sz w:val="19"/>
          <w:szCs w:val="19"/>
        </w:rPr>
        <w:t>ských jazyků, ve kterém ústní přednesení bylo učiněno nebo podání sepsáno“.</w:t>
      </w:r>
    </w:p>
    <w:p w:rsidR="00500724" w:rsidRDefault="00F30FB8">
      <w:pPr>
        <w:pStyle w:val="Zkladntext100"/>
        <w:shd w:val="clear" w:color="auto" w:fill="auto"/>
        <w:spacing w:after="100" w:line="226" w:lineRule="auto"/>
        <w:ind w:firstLine="240"/>
        <w:rPr>
          <w:sz w:val="19"/>
          <w:szCs w:val="19"/>
        </w:rPr>
      </w:pPr>
      <w:r>
        <w:rPr>
          <w:sz w:val="19"/>
          <w:szCs w:val="19"/>
        </w:rPr>
        <w:t>V problému tehdy zvlášť ožehavém vnitřní úřední řeči nemá ještě Taafe žádného ustanovení, u něho měla němčina zůstati výlučným jazykem vnitřního úřadování. Zato Badeni vyšel do jis</w:t>
      </w:r>
      <w:r>
        <w:rPr>
          <w:sz w:val="19"/>
          <w:szCs w:val="19"/>
        </w:rPr>
        <w:t>té míry vstříc českým požadavkům a stanovil v po</w:t>
      </w:r>
      <w:r>
        <w:rPr>
          <w:sz w:val="19"/>
          <w:szCs w:val="19"/>
        </w:rPr>
        <w:softHyphen/>
        <w:t>věstném článku 7 svých jazykových nařízení:</w:t>
      </w:r>
    </w:p>
    <w:p w:rsidR="00500724" w:rsidRDefault="00F30FB8">
      <w:pPr>
        <w:pStyle w:val="Zkladntext40"/>
        <w:shd w:val="clear" w:color="auto" w:fill="auto"/>
        <w:spacing w:after="100" w:line="216" w:lineRule="auto"/>
        <w:ind w:left="220" w:firstLine="240"/>
        <w:rPr>
          <w:sz w:val="16"/>
          <w:szCs w:val="16"/>
        </w:rPr>
      </w:pPr>
      <w:r>
        <w:rPr>
          <w:b/>
          <w:bCs/>
          <w:sz w:val="16"/>
          <w:szCs w:val="16"/>
        </w:rPr>
        <w:t>„Úřadové v čl. 1 naznačeni povinni jsou řečí podání, jež strana ústně nebo písemně učiní, užívati při všech úředních jed</w:t>
      </w:r>
      <w:r>
        <w:rPr>
          <w:b/>
          <w:bCs/>
          <w:sz w:val="16"/>
          <w:szCs w:val="16"/>
        </w:rPr>
        <w:softHyphen/>
        <w:t>náních, jež k vyřízení neb rozhodnutí věci</w:t>
      </w:r>
      <w:r>
        <w:rPr>
          <w:b/>
          <w:bCs/>
          <w:sz w:val="16"/>
          <w:szCs w:val="16"/>
        </w:rPr>
        <w:t xml:space="preserve"> té jeví se nutnými.“</w:t>
      </w:r>
    </w:p>
    <w:p w:rsidR="00500724" w:rsidRDefault="00F30FB8">
      <w:pPr>
        <w:pStyle w:val="Zkladntext100"/>
        <w:shd w:val="clear" w:color="auto" w:fill="auto"/>
        <w:spacing w:after="100" w:line="226" w:lineRule="auto"/>
        <w:ind w:firstLine="240"/>
        <w:rPr>
          <w:sz w:val="19"/>
          <w:szCs w:val="19"/>
        </w:rPr>
      </w:pPr>
      <w:r>
        <w:rPr>
          <w:sz w:val="19"/>
          <w:szCs w:val="19"/>
        </w:rPr>
        <w:t>Tak by se bylo užívalo češtiny nebo němčiny ve vnitřním úřadování podle toho, týkalo-li se jednání Čecha nebo Něm</w:t>
      </w:r>
      <w:r>
        <w:rPr>
          <w:sz w:val="19"/>
          <w:szCs w:val="19"/>
        </w:rPr>
        <w:softHyphen/>
        <w:t>ce, a to v celé české zemi bez rozdílu. — To bylo v roce 1897; po dvou letech zápasů zněl však už obdobný článek 7 v Gau</w:t>
      </w:r>
      <w:r>
        <w:rPr>
          <w:sz w:val="19"/>
          <w:szCs w:val="19"/>
        </w:rPr>
        <w:t>t- schových nařízeních docela jinak. Čechy jím byly rozděleny na kraje německé, české a smíšené podle „obcovací řeči“:</w:t>
      </w:r>
    </w:p>
    <w:p w:rsidR="00500724" w:rsidRDefault="00F30FB8">
      <w:pPr>
        <w:pStyle w:val="Zkladntext40"/>
        <w:shd w:val="clear" w:color="auto" w:fill="auto"/>
        <w:spacing w:after="100" w:line="218" w:lineRule="auto"/>
        <w:ind w:left="220" w:firstLine="240"/>
        <w:rPr>
          <w:sz w:val="16"/>
          <w:szCs w:val="16"/>
        </w:rPr>
      </w:pPr>
      <w:r>
        <w:rPr>
          <w:b/>
          <w:bCs/>
          <w:sz w:val="16"/>
          <w:szCs w:val="16"/>
        </w:rPr>
        <w:t>„Úředním a služebním jazykem úřadů . . . jest ten jazyk zem</w:t>
      </w:r>
      <w:r>
        <w:rPr>
          <w:b/>
          <w:bCs/>
          <w:sz w:val="16"/>
          <w:szCs w:val="16"/>
        </w:rPr>
        <w:softHyphen/>
        <w:t>ský, ku kterému jakožto řeči obcovací přiznává se přítomné oby</w:t>
      </w:r>
      <w:r>
        <w:rPr>
          <w:b/>
          <w:bCs/>
          <w:sz w:val="16"/>
          <w:szCs w:val="16"/>
        </w:rPr>
        <w:softHyphen/>
        <w:t>vatelstvo jeji</w:t>
      </w:r>
      <w:r>
        <w:rPr>
          <w:b/>
          <w:bCs/>
          <w:sz w:val="16"/>
          <w:szCs w:val="16"/>
        </w:rPr>
        <w:t>ch úředního okresu podle výsledku sčítání lidu té které doby. V jazykově smíšených úředních okresích budiž obou jazyků zemských užíváno stejnoměrně“.</w:t>
      </w:r>
    </w:p>
    <w:p w:rsidR="00500724" w:rsidRDefault="00F30FB8">
      <w:pPr>
        <w:pStyle w:val="Zkladntext100"/>
        <w:shd w:val="clear" w:color="auto" w:fill="auto"/>
        <w:spacing w:after="200" w:line="233" w:lineRule="auto"/>
        <w:ind w:firstLine="240"/>
        <w:rPr>
          <w:sz w:val="19"/>
          <w:szCs w:val="19"/>
        </w:rPr>
      </w:pPr>
      <w:r>
        <w:rPr>
          <w:sz w:val="19"/>
          <w:szCs w:val="19"/>
        </w:rPr>
        <w:t>Rakouská jazyková nařízení pro Čechy byla mrtvě naro</w:t>
      </w:r>
      <w:r>
        <w:rPr>
          <w:sz w:val="19"/>
          <w:szCs w:val="19"/>
        </w:rPr>
        <w:softHyphen/>
        <w:t>zenými dětmi. Žádné z nich pořádně nevstoupilo v plat</w:t>
      </w:r>
      <w:r>
        <w:rPr>
          <w:sz w:val="19"/>
          <w:szCs w:val="19"/>
        </w:rPr>
        <w:t>nost.</w:t>
      </w:r>
    </w:p>
    <w:p w:rsidR="00500724" w:rsidRDefault="00F30FB8">
      <w:pPr>
        <w:pStyle w:val="Jin0"/>
        <w:shd w:val="clear" w:color="auto" w:fill="auto"/>
        <w:spacing w:after="200"/>
        <w:ind w:firstLine="0"/>
        <w:jc w:val="left"/>
        <w:rPr>
          <w:sz w:val="44"/>
          <w:szCs w:val="44"/>
        </w:rPr>
      </w:pPr>
      <w:r>
        <w:rPr>
          <w:b/>
          <w:bCs/>
          <w:sz w:val="44"/>
          <w:szCs w:val="44"/>
          <w:u w:val="single"/>
        </w:rPr>
        <w:t>literatura a umění</w:t>
      </w:r>
    </w:p>
    <w:p w:rsidR="00500724" w:rsidRDefault="00F30FB8">
      <w:pPr>
        <w:pStyle w:val="Zkladntext30"/>
        <w:shd w:val="clear" w:color="auto" w:fill="auto"/>
        <w:spacing w:after="100" w:line="240" w:lineRule="auto"/>
        <w:ind w:firstLine="0"/>
      </w:pPr>
      <w:r>
        <w:rPr>
          <w:i/>
          <w:iCs/>
        </w:rPr>
        <w:t>Lumír Čivrný:</w:t>
      </w:r>
    </w:p>
    <w:p w:rsidR="00500724" w:rsidRDefault="00F30FB8">
      <w:pPr>
        <w:pStyle w:val="Jin0"/>
        <w:shd w:val="clear" w:color="auto" w:fill="auto"/>
        <w:spacing w:after="100"/>
        <w:ind w:firstLine="0"/>
        <w:jc w:val="center"/>
        <w:rPr>
          <w:sz w:val="28"/>
          <w:szCs w:val="28"/>
        </w:rPr>
      </w:pPr>
      <w:r>
        <w:rPr>
          <w:b/>
          <w:bCs/>
          <w:sz w:val="28"/>
          <w:szCs w:val="28"/>
        </w:rPr>
        <w:t>Mateřská řeč ve stoupě</w:t>
      </w:r>
    </w:p>
    <w:p w:rsidR="00500724" w:rsidRDefault="00F30FB8">
      <w:pPr>
        <w:pStyle w:val="Zkladntext30"/>
        <w:framePr w:dropCap="drop" w:lines="2" w:hSpace="10" w:vSpace="10" w:wrap="auto" w:vAnchor="text" w:hAnchor="text"/>
        <w:shd w:val="clear" w:color="auto" w:fill="auto"/>
        <w:spacing w:line="287" w:lineRule="exact"/>
        <w:ind w:firstLine="0"/>
        <w:rPr>
          <w:sz w:val="20"/>
          <w:szCs w:val="20"/>
        </w:rPr>
      </w:pPr>
      <w:r>
        <w:rPr>
          <w:position w:val="-6"/>
          <w:sz w:val="44"/>
          <w:szCs w:val="44"/>
        </w:rPr>
        <w:t>T</w:t>
      </w:r>
    </w:p>
    <w:p w:rsidR="00500724" w:rsidRDefault="00F30FB8">
      <w:pPr>
        <w:pStyle w:val="Zkladntext30"/>
        <w:shd w:val="clear" w:color="auto" w:fill="auto"/>
        <w:spacing w:after="0" w:line="216" w:lineRule="auto"/>
        <w:ind w:firstLine="0"/>
        <w:rPr>
          <w:sz w:val="20"/>
          <w:szCs w:val="20"/>
        </w:rPr>
      </w:pPr>
      <w:r>
        <w:rPr>
          <w:sz w:val="20"/>
          <w:szCs w:val="20"/>
        </w:rPr>
        <w:t xml:space="preserve">ato slova lásky k mateřské řeči vydechl kdysi, ne napsal, Jan Neruda: „Krásná,, čistá jako samo slunce a jako jaro i léto plodná a živná. Mělo by se jí vlastně říkati druhá matka. Když nás ta </w:t>
      </w:r>
      <w:r>
        <w:rPr>
          <w:sz w:val="20"/>
          <w:szCs w:val="20"/>
        </w:rPr>
        <w:t>první opustí sklácena, nebo my když opustíme ji a vejdeme do světa, ta druhá jde s námi a provází nás až do hrobu. Zahřívá naše srdce, vede náš rozum. Stále nám připomíná, co sprosté a nehodné, a poukazuje nás k tomu, co milého, jemného, šlechetného.“ A Ví</w:t>
      </w:r>
      <w:r>
        <w:rPr>
          <w:sz w:val="20"/>
          <w:szCs w:val="20"/>
        </w:rPr>
        <w:t>tězslav Nezval, básník, který zastihl mateřskou řeč o tolik košatější, nosnější a bohatší, než byla za časů Nerudových, básník, který je z mála těch, kdož češtinu bezpečně vedou, že kvete a voní, pověděl, že mateřská řeč bude vždy jediným jazykem básníků.</w:t>
      </w:r>
    </w:p>
    <w:p w:rsidR="00500724" w:rsidRDefault="00F30FB8">
      <w:pPr>
        <w:pStyle w:val="Zkladntext30"/>
        <w:shd w:val="clear" w:color="auto" w:fill="auto"/>
        <w:spacing w:after="0" w:line="216" w:lineRule="auto"/>
        <w:ind w:firstLine="240"/>
        <w:rPr>
          <w:sz w:val="20"/>
          <w:szCs w:val="20"/>
        </w:rPr>
      </w:pPr>
      <w:r>
        <w:rPr>
          <w:sz w:val="20"/>
          <w:szCs w:val="20"/>
        </w:rPr>
        <w:t>Kdyby mluvilo česky třicet milionů lidí, kdyby čeština byla jedním ze světových jazyků, byla by naše moderní lyrika, lyrika Horova, Nezvalova, Halasova, Seifertova v ohnisku zájmu všech lidí na světě, kteří milují poesii. Jediné toto praktické omezení, a t</w:t>
      </w:r>
      <w:r>
        <w:rPr>
          <w:sz w:val="20"/>
          <w:szCs w:val="20"/>
        </w:rPr>
        <w:t>aké nesnadné, ba téměř nemožné překládání básní odka</w:t>
      </w:r>
      <w:r>
        <w:rPr>
          <w:sz w:val="20"/>
          <w:szCs w:val="20"/>
        </w:rPr>
        <w:softHyphen/>
        <w:t>zuje českou tvorbu básnickou na úzký okruh domácích čtenářů. Není naše současná lyrika také velikou chvá</w:t>
      </w:r>
      <w:r>
        <w:rPr>
          <w:sz w:val="20"/>
          <w:szCs w:val="20"/>
        </w:rPr>
        <w:softHyphen/>
        <w:t>lou mateřské řeči? Té řeči, která za časů Kollárových byla ještě hrubou, surovou hmotou? Dnes za b</w:t>
      </w:r>
      <w:r>
        <w:rPr>
          <w:sz w:val="20"/>
          <w:szCs w:val="20"/>
        </w:rPr>
        <w:t>ásníka zpívá kultivovaný jazyk téměř sám, dnes čeština do</w:t>
      </w:r>
      <w:r>
        <w:rPr>
          <w:sz w:val="20"/>
          <w:szCs w:val="20"/>
        </w:rPr>
        <w:softHyphen/>
        <w:t>hání jazyky západu, tříbené v učených disputacích, v salonech precios, v dílech filosofů a básníků právě tehdy, když u nás mluvil česky jen zbědovaný lid.</w:t>
      </w:r>
    </w:p>
    <w:p w:rsidR="00500724" w:rsidRDefault="00F30FB8">
      <w:pPr>
        <w:pStyle w:val="Zkladntext30"/>
        <w:shd w:val="clear" w:color="auto" w:fill="auto"/>
        <w:spacing w:after="100"/>
        <w:ind w:firstLine="240"/>
        <w:rPr>
          <w:sz w:val="20"/>
          <w:szCs w:val="20"/>
        </w:rPr>
        <w:sectPr w:rsidR="00500724">
          <w:footnotePr>
            <w:numFmt w:val="chicago"/>
            <w:numRestart w:val="eachPage"/>
          </w:footnotePr>
          <w:type w:val="continuous"/>
          <w:pgSz w:w="11909" w:h="16834"/>
          <w:pgMar w:top="910" w:right="853" w:bottom="910" w:left="646" w:header="0" w:footer="3" w:gutter="0"/>
          <w:cols w:num="2" w:space="158"/>
          <w:noEndnote/>
          <w:docGrid w:linePitch="360"/>
        </w:sectPr>
      </w:pPr>
      <w:r>
        <w:rPr>
          <w:sz w:val="20"/>
          <w:szCs w:val="20"/>
        </w:rPr>
        <w:t xml:space="preserve">Pomalu však: </w:t>
      </w:r>
      <w:r>
        <w:rPr>
          <w:sz w:val="20"/>
          <w:szCs w:val="20"/>
        </w:rPr>
        <w:t>je tato svrchovaná obratnost, svěžest a živá, proměnlivá čistota jazyková nějakou obecnou hodnotou, s kterou se setkáme na každém kroku? Ba ne, bohužel ne; čeština se drtí ve stoupě, znevažuje a znetvořuje právě všude tam, kde slouží denním, vše-</w:t>
      </w:r>
    </w:p>
    <w:p w:rsidR="00500724" w:rsidRDefault="00F30FB8">
      <w:pPr>
        <w:pStyle w:val="Jin0"/>
        <w:pBdr>
          <w:bottom w:val="single" w:sz="4" w:space="0" w:color="auto"/>
        </w:pBdr>
        <w:shd w:val="clear" w:color="auto" w:fill="auto"/>
        <w:spacing w:before="80"/>
        <w:ind w:left="4300" w:firstLine="0"/>
        <w:jc w:val="left"/>
        <w:rPr>
          <w:sz w:val="36"/>
          <w:szCs w:val="36"/>
        </w:rPr>
        <w:sectPr w:rsidR="00500724">
          <w:footnotePr>
            <w:numFmt w:val="chicago"/>
            <w:numRestart w:val="eachPage"/>
          </w:footnotePr>
          <w:pgSz w:w="11909" w:h="16834"/>
          <w:pgMar w:top="692" w:right="1241" w:bottom="1155" w:left="185" w:header="0" w:footer="3" w:gutter="0"/>
          <w:cols w:space="720"/>
          <w:noEndnote/>
          <w:docGrid w:linePitch="360"/>
        </w:sectPr>
      </w:pPr>
      <w:r>
        <w:rPr>
          <w:sz w:val="36"/>
          <w:szCs w:val="36"/>
        </w:rPr>
        <w:t>PřlT</w:t>
      </w:r>
    </w:p>
    <w:p w:rsidR="00500724" w:rsidRDefault="00500724">
      <w:pPr>
        <w:spacing w:line="70" w:lineRule="exact"/>
        <w:rPr>
          <w:sz w:val="6"/>
          <w:szCs w:val="6"/>
        </w:rPr>
      </w:pPr>
    </w:p>
    <w:p w:rsidR="00500724" w:rsidRDefault="00500724">
      <w:pPr>
        <w:spacing w:line="14" w:lineRule="exact"/>
        <w:sectPr w:rsidR="00500724">
          <w:footnotePr>
            <w:numFmt w:val="chicago"/>
            <w:numRestart w:val="eachPage"/>
          </w:footnotePr>
          <w:type w:val="continuous"/>
          <w:pgSz w:w="11909" w:h="16834"/>
          <w:pgMar w:top="873" w:right="0" w:bottom="1173" w:left="0" w:header="0" w:footer="3" w:gutter="0"/>
          <w:cols w:space="720"/>
          <w:noEndnote/>
          <w:docGrid w:linePitch="360"/>
        </w:sectPr>
      </w:pPr>
    </w:p>
    <w:p w:rsidR="00500724" w:rsidRDefault="00F30FB8">
      <w:pPr>
        <w:pStyle w:val="Zkladntext30"/>
        <w:shd w:val="clear" w:color="auto" w:fill="auto"/>
        <w:tabs>
          <w:tab w:val="left" w:pos="2467"/>
        </w:tabs>
        <w:spacing w:after="160" w:line="223" w:lineRule="auto"/>
        <w:ind w:firstLine="0"/>
        <w:rPr>
          <w:sz w:val="20"/>
          <w:szCs w:val="20"/>
        </w:rPr>
      </w:pPr>
      <w:r>
        <w:rPr>
          <w:sz w:val="20"/>
          <w:szCs w:val="20"/>
        </w:rPr>
        <w:t>dním a hromadným potřebám. A lidé, kteří tomu přislu</w:t>
      </w:r>
      <w:r>
        <w:rPr>
          <w:sz w:val="20"/>
          <w:szCs w:val="20"/>
        </w:rPr>
        <w:softHyphen/>
        <w:t xml:space="preserve">hují, činí tak s nepochopitelnou pýchou, s pýchou </w:t>
      </w:r>
      <w:r>
        <w:rPr>
          <w:b/>
          <w:bCs/>
          <w:sz w:val="20"/>
          <w:szCs w:val="20"/>
        </w:rPr>
        <w:t xml:space="preserve">v </w:t>
      </w:r>
      <w:r>
        <w:rPr>
          <w:sz w:val="20"/>
          <w:szCs w:val="20"/>
        </w:rPr>
        <w:t>omezenosti.</w:t>
      </w:r>
      <w:r>
        <w:rPr>
          <w:sz w:val="20"/>
          <w:szCs w:val="20"/>
        </w:rPr>
        <w:tab/>
        <w:t>*</w:t>
      </w:r>
    </w:p>
    <w:p w:rsidR="00500724" w:rsidRDefault="00F30FB8">
      <w:pPr>
        <w:pStyle w:val="Zkladntext30"/>
        <w:shd w:val="clear" w:color="auto" w:fill="auto"/>
        <w:spacing w:after="300" w:line="226" w:lineRule="auto"/>
        <w:ind w:firstLine="280"/>
        <w:rPr>
          <w:sz w:val="20"/>
          <w:szCs w:val="20"/>
        </w:rPr>
      </w:pPr>
      <w:r>
        <w:rPr>
          <w:sz w:val="20"/>
          <w:szCs w:val="20"/>
        </w:rPr>
        <w:t>Otevřme jen noviny. Na každé stránce se ve vět</w:t>
      </w:r>
      <w:r>
        <w:rPr>
          <w:sz w:val="20"/>
          <w:szCs w:val="20"/>
        </w:rPr>
        <w:softHyphen/>
        <w:t xml:space="preserve">šině denního tisku </w:t>
      </w:r>
      <w:r>
        <w:rPr>
          <w:sz w:val="20"/>
          <w:szCs w:val="20"/>
        </w:rPr>
        <w:t>shledáváme s nějakým jazykovým lajdáctvím, s nějakou krkolomnou změtí slov, s věta</w:t>
      </w:r>
      <w:r>
        <w:rPr>
          <w:sz w:val="20"/>
          <w:szCs w:val="20"/>
        </w:rPr>
        <w:softHyphen/>
        <w:t>mi rozlámanými a kulhavými, s frázemi, jež nic neří</w:t>
      </w:r>
      <w:r>
        <w:rPr>
          <w:sz w:val="20"/>
          <w:szCs w:val="20"/>
        </w:rPr>
        <w:softHyphen/>
        <w:t>kají a stenají jen o bezmoci nebo otrlosti toho, kdo je stvořil. Jaká lenost v myšlení i ve výrazu, jaké ducha</w:t>
      </w:r>
      <w:r>
        <w:rPr>
          <w:sz w:val="20"/>
          <w:szCs w:val="20"/>
        </w:rPr>
        <w:softHyphen/>
        <w:t>plné zmate</w:t>
      </w:r>
      <w:r>
        <w:rPr>
          <w:sz w:val="20"/>
          <w:szCs w:val="20"/>
        </w:rPr>
        <w:t>ní! Módní referentka pak praví, že „linie přes boky vykazuje změněnou silhuetu, zajímavě působící“. Uchvatiteli kulturní rubriky „Mánesova smrt zapříči</w:t>
      </w:r>
      <w:r>
        <w:rPr>
          <w:sz w:val="20"/>
          <w:szCs w:val="20"/>
        </w:rPr>
        <w:softHyphen/>
        <w:t>nila, že výstava nebyla uskutečněna následkem prodě</w:t>
      </w:r>
      <w:r>
        <w:rPr>
          <w:sz w:val="20"/>
          <w:szCs w:val="20"/>
        </w:rPr>
        <w:softHyphen/>
        <w:t>lané krise“. A jako groteskní dobový dokument se čte</w:t>
      </w:r>
      <w:r>
        <w:rPr>
          <w:sz w:val="20"/>
          <w:szCs w:val="20"/>
        </w:rPr>
        <w:t xml:space="preserve"> nevinná zpráva, že se „volánky usměrnily k výši be</w:t>
      </w:r>
      <w:r>
        <w:rPr>
          <w:sz w:val="20"/>
          <w:szCs w:val="20"/>
        </w:rPr>
        <w:softHyphen/>
        <w:t>der“ . . . Toto jsou jen střízlivější, cudnější ukázky; pročítat rubriky sportovců, filatelistů, zahrádkářů a jiných odborníků je už zdraví nebezpečné. Pozorný čtenář najde v novinách denně celé soubory a</w:t>
      </w:r>
      <w:r>
        <w:rPr>
          <w:sz w:val="20"/>
          <w:szCs w:val="20"/>
        </w:rPr>
        <w:t>poka</w:t>
      </w:r>
      <w:r>
        <w:rPr>
          <w:sz w:val="20"/>
          <w:szCs w:val="20"/>
        </w:rPr>
        <w:softHyphen/>
        <w:t>lyptických oblud jazykových, jak se pyšně prochá</w:t>
      </w:r>
      <w:r>
        <w:rPr>
          <w:sz w:val="20"/>
          <w:szCs w:val="20"/>
        </w:rPr>
        <w:softHyphen/>
        <w:t xml:space="preserve">zejí v řádcích tučně vysázených a září na bílém nebo růžovém papíře jako letité revuální hvězdy ve světle lamp. Je to smutná podívaná. A ku podivu nejčastější tam, kde se nejhalasněji volá po „očistě a </w:t>
      </w:r>
      <w:r>
        <w:rPr>
          <w:sz w:val="20"/>
          <w:szCs w:val="20"/>
        </w:rPr>
        <w:t>ozdravění národního života“; z podivné slabosti organismu pod</w:t>
      </w:r>
      <w:r>
        <w:rPr>
          <w:sz w:val="20"/>
          <w:szCs w:val="20"/>
        </w:rPr>
        <w:softHyphen/>
        <w:t>léhají někteří novináři jazykové andělské nemoci prá</w:t>
      </w:r>
      <w:r>
        <w:rPr>
          <w:sz w:val="20"/>
          <w:szCs w:val="20"/>
        </w:rPr>
        <w:softHyphen/>
        <w:t>vě od minulého podzimu.</w:t>
      </w:r>
    </w:p>
    <w:p w:rsidR="00500724" w:rsidRDefault="00F30FB8">
      <w:pPr>
        <w:pStyle w:val="Zkladntext30"/>
        <w:shd w:val="clear" w:color="auto" w:fill="auto"/>
        <w:spacing w:after="0" w:line="216" w:lineRule="auto"/>
        <w:ind w:firstLine="280"/>
        <w:rPr>
          <w:sz w:val="20"/>
          <w:szCs w:val="20"/>
        </w:rPr>
      </w:pPr>
      <w:r>
        <w:rPr>
          <w:sz w:val="20"/>
          <w:szCs w:val="20"/>
        </w:rPr>
        <w:t>Znaven a nemocen po krátké procházce touto pusti</w:t>
      </w:r>
      <w:r>
        <w:rPr>
          <w:sz w:val="20"/>
          <w:szCs w:val="20"/>
        </w:rPr>
        <w:softHyphen/>
        <w:t>nou, zajdeš do divadla. Chceš slyšet dobrou, ušlechti</w:t>
      </w:r>
      <w:r>
        <w:rPr>
          <w:sz w:val="20"/>
          <w:szCs w:val="20"/>
        </w:rPr>
        <w:softHyphen/>
        <w:t xml:space="preserve">lou češtinu z </w:t>
      </w:r>
      <w:r>
        <w:rPr>
          <w:sz w:val="20"/>
          <w:szCs w:val="20"/>
        </w:rPr>
        <w:t>úst cvičených, chceš ji slyšet jak zní, zpívá, tryská a vzdaluje se, jako pramen, jako jitro, jako bouře. A zatím herec, sotvaže může otevřít ústa, vychrlí ta krásná slova s takovou nedbalostí a spě</w:t>
      </w:r>
      <w:r>
        <w:rPr>
          <w:sz w:val="20"/>
          <w:szCs w:val="20"/>
        </w:rPr>
        <w:softHyphen/>
        <w:t>chem, že nemohou ani zakotvit; ba, co horšího, cloumá jim</w:t>
      </w:r>
      <w:r>
        <w:rPr>
          <w:sz w:val="20"/>
          <w:szCs w:val="20"/>
        </w:rPr>
        <w:t>i jako pytlem příliš těžkým, vláčí je houštinou chrapotů a vrací se s nimi a zdupaná je znovu trhá, až na nich posléze stane v těžkých botách s vítězným úsměvem, jako by říkal: „Tak, a teď by se ještě mohlo hrát divadlo.“ F. X. Salda kdysi napsal, že herci</w:t>
      </w:r>
      <w:r>
        <w:rPr>
          <w:sz w:val="20"/>
          <w:szCs w:val="20"/>
        </w:rPr>
        <w:t xml:space="preserve"> u nás nemají k básnickému slovu jiného poměru než onen zcela záporný: potýkati se s ním jako s nepřítelem, zbaviti se ho co nejdříve, odboxovati si ho jaksi od těla. Až na několik výjimek — jednou z nich, nejsvět</w:t>
      </w:r>
      <w:r>
        <w:rPr>
          <w:sz w:val="20"/>
          <w:szCs w:val="20"/>
        </w:rPr>
        <w:softHyphen/>
        <w:t xml:space="preserve">lejší, je soubor E. F. Buriana — platí to </w:t>
      </w:r>
      <w:r>
        <w:rPr>
          <w:sz w:val="20"/>
          <w:szCs w:val="20"/>
        </w:rPr>
        <w:t>dosud jako pravda pravdoucí; zrovna jsem se o tom nedávno — po kolikáté už! — přesvědčil v čelném pražském divadle.</w:t>
      </w:r>
    </w:p>
    <w:p w:rsidR="00500724" w:rsidRDefault="00F30FB8">
      <w:pPr>
        <w:pStyle w:val="Zkladntext30"/>
        <w:shd w:val="clear" w:color="auto" w:fill="auto"/>
        <w:spacing w:after="0" w:line="221" w:lineRule="auto"/>
        <w:ind w:firstLine="280"/>
        <w:rPr>
          <w:sz w:val="20"/>
          <w:szCs w:val="20"/>
        </w:rPr>
      </w:pPr>
      <w:r>
        <w:rPr>
          <w:sz w:val="20"/>
          <w:szCs w:val="20"/>
        </w:rPr>
        <w:t>O osudu češtiny — co do čistoty i co do výslovnosti — v operetách a v průměrném filmu netřeba již po</w:t>
      </w:r>
      <w:r>
        <w:rPr>
          <w:sz w:val="20"/>
          <w:szCs w:val="20"/>
        </w:rPr>
        <w:softHyphen/>
        <w:t>chybovat.</w:t>
      </w:r>
    </w:p>
    <w:p w:rsidR="00500724" w:rsidRDefault="00F30FB8">
      <w:pPr>
        <w:pStyle w:val="Zkladntext30"/>
        <w:shd w:val="clear" w:color="auto" w:fill="auto"/>
        <w:spacing w:after="0" w:line="221" w:lineRule="auto"/>
        <w:ind w:firstLine="280"/>
        <w:rPr>
          <w:sz w:val="20"/>
          <w:szCs w:val="20"/>
        </w:rPr>
      </w:pPr>
      <w:r>
        <w:rPr>
          <w:sz w:val="20"/>
          <w:szCs w:val="20"/>
        </w:rPr>
        <w:t>Když tedy řeč novin je většin</w:t>
      </w:r>
      <w:r>
        <w:rPr>
          <w:sz w:val="20"/>
          <w:szCs w:val="20"/>
        </w:rPr>
        <w:t>ou neschůdná nejen pro srdce, jak řekl básník, nýbrž i pro jiné orgány tělesné, když v divadle bývá slovo něčím ubožejším než odřený míč, když v rozhlase jazyková čistota též netrpí zájmem přílišným, jak asi vypadá běžná řeč hovorová?</w:t>
      </w:r>
    </w:p>
    <w:p w:rsidR="00500724" w:rsidRDefault="00F30FB8">
      <w:pPr>
        <w:pStyle w:val="Zkladntext30"/>
        <w:shd w:val="clear" w:color="auto" w:fill="auto"/>
        <w:spacing w:after="0" w:line="216" w:lineRule="auto"/>
        <w:ind w:firstLine="280"/>
        <w:rPr>
          <w:sz w:val="20"/>
          <w:szCs w:val="20"/>
        </w:rPr>
      </w:pPr>
      <w:r>
        <w:rPr>
          <w:sz w:val="20"/>
          <w:szCs w:val="20"/>
        </w:rPr>
        <w:t>Nechceme a nemůžeme s</w:t>
      </w:r>
      <w:r>
        <w:rPr>
          <w:sz w:val="20"/>
          <w:szCs w:val="20"/>
        </w:rPr>
        <w:t>e pouštět do odborných vě</w:t>
      </w:r>
      <w:r>
        <w:rPr>
          <w:sz w:val="20"/>
          <w:szCs w:val="20"/>
        </w:rPr>
        <w:softHyphen/>
        <w:t>deckých výkladů; jde nám jen o poslech a úvahu laickou. — Linguisté zjišťují všude, nejen u nás, že se v hovorové řeči projevují velkou měrou vlivy ar</w:t>
      </w:r>
      <w:r>
        <w:rPr>
          <w:sz w:val="20"/>
          <w:szCs w:val="20"/>
        </w:rPr>
        <w:softHyphen/>
        <w:t>gotu a vysvětlují tento fakt změnami společenskými, hlavně poválečnými. M. Wein</w:t>
      </w:r>
      <w:r>
        <w:rPr>
          <w:sz w:val="20"/>
          <w:szCs w:val="20"/>
        </w:rPr>
        <w:t>gart k tomu pozname</w:t>
      </w:r>
      <w:r>
        <w:rPr>
          <w:sz w:val="20"/>
          <w:szCs w:val="20"/>
        </w:rPr>
        <w:softHyphen/>
        <w:t>nal : „Mýlil by se však, kdo by se domníval, že argo- tický charakter dostává nyní jen t. zv. mluva lidová, mluva dolních vrstev; ba křivdil by těmto vrstvám, kdyby někdo tyto věci chápal tak, že dělnictvo země</w:t>
      </w:r>
      <w:r>
        <w:rPr>
          <w:sz w:val="20"/>
          <w:szCs w:val="20"/>
        </w:rPr>
        <w:softHyphen/>
        <w:t>dělské a průmyslové, zamě</w:t>
      </w:r>
      <w:r>
        <w:rPr>
          <w:sz w:val="20"/>
          <w:szCs w:val="20"/>
        </w:rPr>
        <w:t>stnanci živnostenští a vů</w:t>
      </w:r>
      <w:r>
        <w:rPr>
          <w:sz w:val="20"/>
          <w:szCs w:val="20"/>
        </w:rPr>
        <w:softHyphen/>
        <w:t xml:space="preserve">bec t. zv. malí lidé jsou nositeli a šiřiteli argotu kaťexochén. Je naopak příznačné, že argotické rysy pronikly do konversační mluvy městské inteligence a vůbec do t. zv. společenské vrchní stavby.“ — Je tomu vskutku tak; všude, </w:t>
      </w:r>
      <w:r>
        <w:rPr>
          <w:sz w:val="20"/>
          <w:szCs w:val="20"/>
        </w:rPr>
        <w:t>kde se setkáme s lidmi roz</w:t>
      </w:r>
      <w:r>
        <w:rPr>
          <w:sz w:val="20"/>
          <w:szCs w:val="20"/>
        </w:rPr>
        <w:softHyphen/>
        <w:t>manitého původu a z rozličného prostředí — v tram</w:t>
      </w:r>
      <w:r>
        <w:rPr>
          <w:sz w:val="20"/>
          <w:szCs w:val="20"/>
        </w:rPr>
        <w:softHyphen/>
        <w:t>vaji, při sportovní podívané, v kině — pozorujeme, jak mnoho nejhrubších argotických prvků je přede</w:t>
      </w:r>
      <w:r>
        <w:rPr>
          <w:sz w:val="20"/>
          <w:szCs w:val="20"/>
        </w:rPr>
        <w:softHyphen/>
        <w:t>vším v řeči „zlaté mládeže“. Velkoměstská smetánka používá argotu, aby ukázala,</w:t>
      </w:r>
      <w:r>
        <w:rPr>
          <w:sz w:val="20"/>
          <w:szCs w:val="20"/>
        </w:rPr>
        <w:t xml:space="preserve"> jak se liší od setrvačné, nepohyblivé a staromódní buržoasie střední; proto přejímá výrazy z periferie jazykové i společenské v míře mnohem větší než vrstvy střední nebo i dělnic</w:t>
      </w:r>
      <w:r>
        <w:rPr>
          <w:sz w:val="20"/>
          <w:szCs w:val="20"/>
        </w:rPr>
        <w:softHyphen/>
        <w:t>ké. Pod vlivem argotu je i inteligence a částečně stu</w:t>
      </w:r>
      <w:r>
        <w:rPr>
          <w:sz w:val="20"/>
          <w:szCs w:val="20"/>
        </w:rPr>
        <w:softHyphen/>
        <w:t>dentstvo, které si vša</w:t>
      </w:r>
      <w:r>
        <w:rPr>
          <w:sz w:val="20"/>
          <w:szCs w:val="20"/>
        </w:rPr>
        <w:t>k stále tvoří svůj vlastní slang z touhy, vymanit se z daného pořádku. Všechno toto jazykové proudění se uvolňuje, jak kolísá dnes pocit jistoty a stavba společenská. Protože argot bude ovliv</w:t>
      </w:r>
      <w:r>
        <w:rPr>
          <w:sz w:val="20"/>
          <w:szCs w:val="20"/>
        </w:rPr>
        <w:softHyphen/>
        <w:t>ňovat hovorový jazyk potud, pokud budou lidé, kteří jej tvoří, z</w:t>
      </w:r>
      <w:r>
        <w:rPr>
          <w:sz w:val="20"/>
          <w:szCs w:val="20"/>
        </w:rPr>
        <w:t>lodějíčkové, pasáci, prostitutky, protože nelze zastavit nebo změnit vývoj velkoměst bez hlubo</w:t>
      </w:r>
      <w:r>
        <w:rPr>
          <w:sz w:val="20"/>
          <w:szCs w:val="20"/>
        </w:rPr>
        <w:softHyphen/>
        <w:t>kých změn společenských, je třeba s těmito fakty prostě počítat. Že komplikují vývoj spisovného ja</w:t>
      </w:r>
      <w:r>
        <w:rPr>
          <w:sz w:val="20"/>
          <w:szCs w:val="20"/>
        </w:rPr>
        <w:softHyphen/>
        <w:t>zyka a znesnadňují práci linguistů, je na bíle dni. Je-li však</w:t>
      </w:r>
      <w:r>
        <w:rPr>
          <w:sz w:val="20"/>
          <w:szCs w:val="20"/>
        </w:rPr>
        <w:t xml:space="preserve"> dost lidí o jazyk pečujících, dost dobrých spiso</w:t>
      </w:r>
      <w:r>
        <w:rPr>
          <w:sz w:val="20"/>
          <w:szCs w:val="20"/>
        </w:rPr>
        <w:softHyphen/>
        <w:t>vatelů a knih, jazyk se neznetvoří; všechny argotické novotvary a úsloví nelze a ani není třeba odmítat, jako nelze odmítnout zemitá lidová rčení, že na př. někdo „drží slovo jako pes půst“ nebo „kouká jako</w:t>
      </w:r>
      <w:r>
        <w:rPr>
          <w:sz w:val="20"/>
          <w:szCs w:val="20"/>
        </w:rPr>
        <w:t xml:space="preserve"> žába ze salátu“.</w:t>
      </w:r>
    </w:p>
    <w:p w:rsidR="00500724" w:rsidRDefault="00F30FB8">
      <w:pPr>
        <w:pStyle w:val="Zkladntext30"/>
        <w:shd w:val="clear" w:color="auto" w:fill="auto"/>
        <w:spacing w:after="0" w:line="216" w:lineRule="auto"/>
        <w:rPr>
          <w:sz w:val="20"/>
          <w:szCs w:val="20"/>
        </w:rPr>
      </w:pPr>
      <w:r>
        <w:rPr>
          <w:sz w:val="20"/>
          <w:szCs w:val="20"/>
        </w:rPr>
        <w:t>Co však je nutno odmítnout, protože je to proje</w:t>
      </w:r>
      <w:r>
        <w:rPr>
          <w:sz w:val="20"/>
          <w:szCs w:val="20"/>
        </w:rPr>
        <w:softHyphen/>
        <w:t>vem ne jazykového bohatství, ale něčeho zcela jiného, jsou návyky a manýry, které hovorovou řeč zjedno</w:t>
      </w:r>
      <w:r>
        <w:rPr>
          <w:sz w:val="20"/>
          <w:szCs w:val="20"/>
        </w:rPr>
        <w:softHyphen/>
        <w:t>dušují na několik mluvních schémat. Mladí lidé na př. s oblibou říkají o všem možném, ž</w:t>
      </w:r>
      <w:r>
        <w:rPr>
          <w:sz w:val="20"/>
          <w:szCs w:val="20"/>
        </w:rPr>
        <w:t>e je to „prima“ nebo zas „blbý“, děvčata, že je to „hrozně prima“ nebo „hrozně blbý“. Člověk je prostě „báječnej“ nebo „faj- novej“ nebo „prudce elegantní“, spí vždy „bezvadně“ a obědvá „skvěle“. To už není při tom hromadném vý</w:t>
      </w:r>
      <w:r>
        <w:rPr>
          <w:sz w:val="20"/>
          <w:szCs w:val="20"/>
        </w:rPr>
        <w:softHyphen/>
        <w:t>skytu projev bohatství jazyk</w:t>
      </w:r>
      <w:r>
        <w:rPr>
          <w:sz w:val="20"/>
          <w:szCs w:val="20"/>
        </w:rPr>
        <w:t>ového ani okamžitého pathosu nebo ironie, to je naopak často jen výraz le</w:t>
      </w:r>
      <w:r>
        <w:rPr>
          <w:sz w:val="20"/>
          <w:szCs w:val="20"/>
        </w:rPr>
        <w:softHyphen/>
        <w:t>nosti v myšlení, důkaz vnitřní nejistoty a lajdáctví, nebo aspoň studu mluvit správně. Namnoze jde jen o snobství: zajištěný a v podstatě usedlý mládeneček si hraje na bohéma s vědom</w:t>
      </w:r>
      <w:r>
        <w:rPr>
          <w:sz w:val="20"/>
          <w:szCs w:val="20"/>
        </w:rPr>
        <w:t>ím, jak je ta hra nezávazná a snadná. Později navykne a podlehne: obyčejné, kon</w:t>
      </w:r>
      <w:r>
        <w:rPr>
          <w:sz w:val="20"/>
          <w:szCs w:val="20"/>
        </w:rPr>
        <w:softHyphen/>
        <w:t>venční módě. A když někdo odpovídá častým „Tak se nezlob, Rudlo“, je v tom kromě tuposti i kus dema</w:t>
      </w:r>
      <w:r>
        <w:rPr>
          <w:sz w:val="20"/>
          <w:szCs w:val="20"/>
        </w:rPr>
        <w:softHyphen/>
        <w:t>gogie. A člověk vidí, jak snadno se z odporu proti konvenci rodí konvence no</w:t>
      </w:r>
      <w:r>
        <w:rPr>
          <w:sz w:val="20"/>
          <w:szCs w:val="20"/>
        </w:rPr>
        <w:t>vá.</w:t>
      </w:r>
    </w:p>
    <w:p w:rsidR="00500724" w:rsidRDefault="00F30FB8">
      <w:pPr>
        <w:pStyle w:val="Zkladntext30"/>
        <w:shd w:val="clear" w:color="auto" w:fill="auto"/>
        <w:spacing w:after="0" w:line="223" w:lineRule="auto"/>
        <w:rPr>
          <w:sz w:val="20"/>
          <w:szCs w:val="20"/>
        </w:rPr>
      </w:pPr>
      <w:r>
        <w:rPr>
          <w:sz w:val="20"/>
          <w:szCs w:val="20"/>
        </w:rPr>
        <w:t>Řeč je jedním z projevů duchovního života; její neduhy, zkomoleniny, chudoba a schematičnost uka</w:t>
      </w:r>
      <w:r>
        <w:rPr>
          <w:sz w:val="20"/>
          <w:szCs w:val="20"/>
        </w:rPr>
        <w:softHyphen/>
        <w:t>zují na stejné vlastnosti ducha.</w:t>
      </w:r>
    </w:p>
    <w:p w:rsidR="00500724" w:rsidRDefault="00F30FB8">
      <w:pPr>
        <w:pStyle w:val="Zkladntext30"/>
        <w:shd w:val="clear" w:color="auto" w:fill="auto"/>
        <w:spacing w:after="0" w:line="216" w:lineRule="auto"/>
        <w:rPr>
          <w:sz w:val="20"/>
          <w:szCs w:val="20"/>
        </w:rPr>
      </w:pPr>
      <w:r>
        <w:rPr>
          <w:sz w:val="20"/>
          <w:szCs w:val="20"/>
        </w:rPr>
        <w:t>Mít to na paměti dnes je dosti nutné; mluví se a píše tak často o budoucnosti národa, ale dobrá čeština je při tom pátým k</w:t>
      </w:r>
      <w:r>
        <w:rPr>
          <w:sz w:val="20"/>
          <w:szCs w:val="20"/>
        </w:rPr>
        <w:t>olem u vozu. Uvolní se občas la</w:t>
      </w:r>
      <w:r>
        <w:rPr>
          <w:sz w:val="20"/>
          <w:szCs w:val="20"/>
        </w:rPr>
        <w:softHyphen/>
        <w:t>vina mrzáctví všeho druhu; nebylo by naopak někdy na škodu, proklepat na př. novináře a zeptat se jich, zda vzdělání a schopnosti, či jen stranické zásluhy jim zajistily vliv na miliony čtenářů. Všímat si v diva</w:t>
      </w:r>
      <w:r>
        <w:rPr>
          <w:sz w:val="20"/>
          <w:szCs w:val="20"/>
        </w:rPr>
        <w:softHyphen/>
        <w:t>delních refe</w:t>
      </w:r>
      <w:r>
        <w:rPr>
          <w:sz w:val="20"/>
          <w:szCs w:val="20"/>
        </w:rPr>
        <w:t>rátech víc výslovnosti herců než třeba je</w:t>
      </w:r>
      <w:r>
        <w:rPr>
          <w:sz w:val="20"/>
          <w:szCs w:val="20"/>
        </w:rPr>
        <w:softHyphen/>
        <w:t>jich „podnesené, přímračné rozmáchlosti“, a pečovat trochu o jazykovou kulturu i rozhlasem; v Anglii, kde je jazyk třídním kriteriem, se radí o těchto vě</w:t>
      </w:r>
      <w:r>
        <w:rPr>
          <w:sz w:val="20"/>
          <w:szCs w:val="20"/>
        </w:rPr>
        <w:softHyphen/>
        <w:t xml:space="preserve">cech s lidmi rázu </w:t>
      </w:r>
      <w:r>
        <w:rPr>
          <w:b/>
          <w:bCs/>
          <w:sz w:val="20"/>
          <w:szCs w:val="20"/>
        </w:rPr>
        <w:t xml:space="preserve">G. </w:t>
      </w:r>
      <w:r>
        <w:rPr>
          <w:sz w:val="20"/>
          <w:szCs w:val="20"/>
        </w:rPr>
        <w:t>B. Shawa.</w:t>
      </w:r>
    </w:p>
    <w:p w:rsidR="00500724" w:rsidRDefault="00F30FB8">
      <w:pPr>
        <w:pStyle w:val="Zkladntext30"/>
        <w:shd w:val="clear" w:color="auto" w:fill="auto"/>
        <w:spacing w:after="180" w:line="216" w:lineRule="auto"/>
        <w:rPr>
          <w:sz w:val="20"/>
          <w:szCs w:val="20"/>
        </w:rPr>
      </w:pPr>
      <w:r>
        <w:rPr>
          <w:sz w:val="20"/>
          <w:szCs w:val="20"/>
        </w:rPr>
        <w:t xml:space="preserve">Patří k úkolům služby </w:t>
      </w:r>
      <w:r>
        <w:rPr>
          <w:sz w:val="20"/>
          <w:szCs w:val="20"/>
        </w:rPr>
        <w:t>kulturní, rýsovat stále přes</w:t>
      </w:r>
      <w:r>
        <w:rPr>
          <w:sz w:val="20"/>
          <w:szCs w:val="20"/>
        </w:rPr>
        <w:softHyphen/>
        <w:t>nou hranici mezi pathosem a lajdáctvím, mezi lido</w:t>
      </w:r>
      <w:r>
        <w:rPr>
          <w:sz w:val="20"/>
          <w:szCs w:val="20"/>
        </w:rPr>
        <w:softHyphen/>
        <w:t>vostí a sprostotou, mezi prostotou a plochostí. A od</w:t>
      </w:r>
      <w:r>
        <w:rPr>
          <w:sz w:val="20"/>
          <w:szCs w:val="20"/>
        </w:rPr>
        <w:softHyphen/>
        <w:t>straňovat nepoměr mezi společenským postavením a vzděláním, nepoměr nezřídka křiklavý, to patří k den</w:t>
      </w:r>
      <w:r>
        <w:rPr>
          <w:sz w:val="20"/>
          <w:szCs w:val="20"/>
        </w:rPr>
        <w:softHyphen/>
        <w:t>ním příkazům veřejného</w:t>
      </w:r>
      <w:r>
        <w:rPr>
          <w:sz w:val="20"/>
          <w:szCs w:val="20"/>
        </w:rPr>
        <w:t xml:space="preserve"> života.</w:t>
      </w:r>
    </w:p>
    <w:p w:rsidR="00500724" w:rsidRDefault="00F30FB8">
      <w:pPr>
        <w:pStyle w:val="Jin0"/>
        <w:shd w:val="clear" w:color="auto" w:fill="auto"/>
        <w:spacing w:after="240"/>
        <w:ind w:firstLine="0"/>
        <w:jc w:val="left"/>
        <w:rPr>
          <w:sz w:val="44"/>
          <w:szCs w:val="44"/>
        </w:rPr>
      </w:pPr>
      <w:r>
        <w:rPr>
          <w:b/>
          <w:bCs/>
          <w:sz w:val="44"/>
          <w:szCs w:val="44"/>
          <w:u w:val="single"/>
        </w:rPr>
        <w:t>život a instituce</w:t>
      </w:r>
    </w:p>
    <w:p w:rsidR="00500724" w:rsidRDefault="00F30FB8">
      <w:pPr>
        <w:pStyle w:val="Zkladntext30"/>
        <w:shd w:val="clear" w:color="auto" w:fill="auto"/>
        <w:spacing w:after="100" w:line="197" w:lineRule="auto"/>
        <w:ind w:firstLine="0"/>
      </w:pPr>
      <w:r>
        <w:rPr>
          <w:i/>
          <w:iCs/>
        </w:rPr>
        <w:t>Dr- Robert Kollár:</w:t>
      </w:r>
    </w:p>
    <w:p w:rsidR="00500724" w:rsidRDefault="00F30FB8">
      <w:pPr>
        <w:pStyle w:val="Jin0"/>
        <w:shd w:val="clear" w:color="auto" w:fill="auto"/>
        <w:spacing w:after="100" w:line="211" w:lineRule="auto"/>
        <w:ind w:firstLine="0"/>
        <w:jc w:val="center"/>
        <w:rPr>
          <w:sz w:val="28"/>
          <w:szCs w:val="28"/>
        </w:rPr>
      </w:pPr>
      <w:r>
        <w:rPr>
          <w:b/>
          <w:bCs/>
          <w:sz w:val="28"/>
          <w:szCs w:val="28"/>
        </w:rPr>
        <w:t>Nezaměstnanost inteligence</w:t>
      </w:r>
      <w:r>
        <w:rPr>
          <w:b/>
          <w:bCs/>
          <w:sz w:val="28"/>
          <w:szCs w:val="28"/>
        </w:rPr>
        <w:br/>
        <w:t>a její problémy</w:t>
      </w:r>
    </w:p>
    <w:p w:rsidR="00500724" w:rsidRDefault="00F30FB8">
      <w:pPr>
        <w:pStyle w:val="Zkladntext100"/>
        <w:shd w:val="clear" w:color="auto" w:fill="auto"/>
        <w:spacing w:line="197" w:lineRule="auto"/>
        <w:ind w:left="580" w:firstLine="200"/>
      </w:pPr>
      <w:r>
        <w:t xml:space="preserve">„Svět je zrcadlo a podává každému člověku odraz jeho vlastní tváře. Zamrač se na ně, a ono se podívá zase nevrle na tebe. Zasměj se na ně a s ním, a je veselým, </w:t>
      </w:r>
      <w:r>
        <w:t>přívětivým společníkem; a tak ať si všecky mladé osoby volí.“</w:t>
      </w:r>
    </w:p>
    <w:p w:rsidR="00500724" w:rsidRDefault="00F30FB8">
      <w:pPr>
        <w:pStyle w:val="Zkladntext30"/>
        <w:shd w:val="clear" w:color="auto" w:fill="auto"/>
        <w:spacing w:after="100"/>
        <w:ind w:right="200" w:firstLine="0"/>
        <w:jc w:val="right"/>
        <w:rPr>
          <w:sz w:val="20"/>
          <w:szCs w:val="20"/>
        </w:rPr>
      </w:pPr>
      <w:r>
        <w:rPr>
          <w:i/>
          <w:iCs/>
          <w:sz w:val="20"/>
          <w:szCs w:val="20"/>
        </w:rPr>
        <w:t xml:space="preserve">W. M. </w:t>
      </w:r>
      <w:r>
        <w:rPr>
          <w:i/>
          <w:iCs/>
          <w:sz w:val="20"/>
          <w:szCs w:val="20"/>
          <w:lang w:val="en-US" w:eastAsia="en-US" w:bidi="en-US"/>
        </w:rPr>
        <w:t>Thackeray</w:t>
      </w:r>
      <w:r>
        <w:rPr>
          <w:i/>
          <w:iCs/>
          <w:sz w:val="20"/>
          <w:szCs w:val="20"/>
        </w:rPr>
        <w:t>: Trh marnivosti, I. díl.</w:t>
      </w:r>
    </w:p>
    <w:p w:rsidR="00500724" w:rsidRDefault="00F30FB8">
      <w:pPr>
        <w:pStyle w:val="Zkladntext30"/>
        <w:framePr w:dropCap="drop" w:lines="2" w:hSpace="19" w:vSpace="19" w:wrap="auto" w:vAnchor="text" w:hAnchor="text"/>
        <w:shd w:val="clear" w:color="auto" w:fill="auto"/>
        <w:spacing w:line="282" w:lineRule="exact"/>
        <w:ind w:firstLine="0"/>
        <w:rPr>
          <w:sz w:val="20"/>
          <w:szCs w:val="20"/>
        </w:rPr>
      </w:pPr>
      <w:r>
        <w:rPr>
          <w:position w:val="-6"/>
          <w:sz w:val="44"/>
          <w:szCs w:val="44"/>
        </w:rPr>
        <w:t>M</w:t>
      </w:r>
    </w:p>
    <w:p w:rsidR="00500724" w:rsidRDefault="00F30FB8">
      <w:pPr>
        <w:pStyle w:val="Zkladntext30"/>
        <w:shd w:val="clear" w:color="auto" w:fill="auto"/>
        <w:spacing w:after="0"/>
        <w:ind w:firstLine="0"/>
        <w:rPr>
          <w:sz w:val="20"/>
          <w:szCs w:val="20"/>
        </w:rPr>
      </w:pPr>
      <w:r>
        <w:rPr>
          <w:sz w:val="20"/>
          <w:szCs w:val="20"/>
        </w:rPr>
        <w:t xml:space="preserve">luvíme-li o nezaměstnanosti inteligence, máme na mysli hlavně dorost školený ve školách středních (i odborných) a vysokých. Tím nechceme tvrdit, že </w:t>
      </w:r>
      <w:r>
        <w:rPr>
          <w:sz w:val="20"/>
          <w:szCs w:val="20"/>
        </w:rPr>
        <w:t>inteligentem je jen ten, kdo absolvoval alespoň střed</w:t>
      </w:r>
      <w:r>
        <w:rPr>
          <w:sz w:val="20"/>
          <w:szCs w:val="20"/>
        </w:rPr>
        <w:softHyphen/>
        <w:t xml:space="preserve">ní školu, ale je jisto, že pro funkce vůdčí a správní, tedy vedoucích vrstev v organisaci našeho života, se vyžaduje školské vzdělání, dosažená vysvědčení. A tak </w:t>
      </w:r>
      <w:r>
        <w:rPr>
          <w:b/>
          <w:bCs/>
          <w:sz w:val="20"/>
          <w:szCs w:val="20"/>
        </w:rPr>
        <w:t xml:space="preserve">i </w:t>
      </w:r>
      <w:r>
        <w:rPr>
          <w:sz w:val="20"/>
          <w:szCs w:val="20"/>
        </w:rPr>
        <w:t>když nevycházíme z tvrzení, že intelig</w:t>
      </w:r>
      <w:r>
        <w:rPr>
          <w:sz w:val="20"/>
          <w:szCs w:val="20"/>
        </w:rPr>
        <w:t>ence je totož</w:t>
      </w:r>
      <w:r>
        <w:rPr>
          <w:sz w:val="20"/>
          <w:szCs w:val="20"/>
        </w:rPr>
        <w:softHyphen/>
        <w:t>ná s vysvědčeními, musíme počítati se skutečností, že alespoň v našich poměrech — normálně sociální vze</w:t>
      </w:r>
      <w:r>
        <w:rPr>
          <w:sz w:val="20"/>
          <w:szCs w:val="20"/>
        </w:rPr>
        <w:softHyphen/>
        <w:t xml:space="preserve">stup předpokládá průkaz povinného, někdy dokonce </w:t>
      </w:r>
      <w:r>
        <w:rPr>
          <w:b/>
          <w:bCs/>
          <w:sz w:val="20"/>
          <w:szCs w:val="20"/>
        </w:rPr>
        <w:t xml:space="preserve">i </w:t>
      </w:r>
      <w:r>
        <w:rPr>
          <w:sz w:val="20"/>
          <w:szCs w:val="20"/>
        </w:rPr>
        <w:t>předepsaného školského vzdělání. Ponechávám mi</w:t>
      </w:r>
      <w:r>
        <w:rPr>
          <w:sz w:val="20"/>
          <w:szCs w:val="20"/>
        </w:rPr>
        <w:softHyphen/>
        <w:t>mo tuto úvahu možnosti selfmademanů.</w:t>
      </w:r>
    </w:p>
    <w:p w:rsidR="00500724" w:rsidRDefault="00F30FB8">
      <w:pPr>
        <w:pStyle w:val="Zkladntext30"/>
        <w:shd w:val="clear" w:color="auto" w:fill="auto"/>
        <w:rPr>
          <w:sz w:val="20"/>
          <w:szCs w:val="20"/>
        </w:rPr>
      </w:pPr>
      <w:r>
        <w:rPr>
          <w:sz w:val="20"/>
          <w:szCs w:val="20"/>
        </w:rPr>
        <w:t>Zvy</w:t>
      </w:r>
      <w:r>
        <w:rPr>
          <w:sz w:val="20"/>
          <w:szCs w:val="20"/>
        </w:rPr>
        <w:t>kli jsme si uvědomovati si nezaměstnanost stu</w:t>
      </w:r>
      <w:r>
        <w:rPr>
          <w:sz w:val="20"/>
          <w:szCs w:val="20"/>
        </w:rPr>
        <w:softHyphen/>
        <w:t>dované inteligence při rozhodování o jejím osudu po výstupu ze studií na místo, abychom již při volbě škol pamatovali na povolání, k němuž škola směřuje. Je tře</w:t>
      </w:r>
      <w:r>
        <w:rPr>
          <w:sz w:val="20"/>
          <w:szCs w:val="20"/>
        </w:rPr>
        <w:softHyphen/>
        <w:t>ba proto si hned uvědomiti, že starost s nezaměst</w:t>
      </w:r>
      <w:r>
        <w:rPr>
          <w:sz w:val="20"/>
          <w:szCs w:val="20"/>
        </w:rPr>
        <w:t>na</w:t>
      </w:r>
      <w:r>
        <w:rPr>
          <w:sz w:val="20"/>
          <w:szCs w:val="20"/>
        </w:rPr>
        <w:softHyphen/>
        <w:t>ností inteligence je po většině úzce spjata s naší škol</w:t>
      </w:r>
      <w:r>
        <w:rPr>
          <w:sz w:val="20"/>
          <w:szCs w:val="20"/>
        </w:rPr>
        <w:softHyphen/>
        <w:t>skou soustavou. Tato souvislost jest dána tím, že právě školením se předurčuje do jisté míry volba povolání, že s absolvováním školení jsme zvyklí spo</w:t>
      </w:r>
      <w:r>
        <w:rPr>
          <w:sz w:val="20"/>
          <w:szCs w:val="20"/>
        </w:rPr>
        <w:softHyphen/>
        <w:t>jovati nárok na povolání, pro něž školení je u</w:t>
      </w:r>
      <w:r>
        <w:rPr>
          <w:sz w:val="20"/>
          <w:szCs w:val="20"/>
        </w:rPr>
        <w:t xml:space="preserve">rčeno, k němuž směřuje a v němž nalézá svůj smysl. Proto volba školy je zásadně také volbou povolání nebo alespoň volbou jeho předpokladů. Jakýsi pocit nároků na povolání, k němuž školení přísluší, vzniká v každém absolventu a nesplnění očekávaných nadějí </w:t>
      </w:r>
      <w:r>
        <w:rPr>
          <w:sz w:val="20"/>
          <w:szCs w:val="20"/>
        </w:rPr>
        <w:t>se pova</w:t>
      </w:r>
      <w:r>
        <w:rPr>
          <w:sz w:val="20"/>
          <w:szCs w:val="20"/>
        </w:rPr>
        <w:softHyphen/>
        <w:t>zuje za ztroskotání. Jen nerado se tu přesedlává a ra</w:t>
      </w:r>
      <w:r>
        <w:rPr>
          <w:sz w:val="20"/>
          <w:szCs w:val="20"/>
        </w:rPr>
        <w:softHyphen/>
        <w:t>ději se přešlapuje nebo dokonce se zklamaný rozho</w:t>
      </w:r>
      <w:r>
        <w:rPr>
          <w:sz w:val="20"/>
          <w:szCs w:val="20"/>
        </w:rPr>
        <w:softHyphen/>
        <w:t>duje pro další vyšší studium. Je to pochopitelno, vždyť v každém studiu nejsou jen naděje studenta, ale i rodiny, jež se často vykupovaly veliký</w:t>
      </w:r>
      <w:r>
        <w:rPr>
          <w:sz w:val="20"/>
          <w:szCs w:val="20"/>
        </w:rPr>
        <w:t>m sebeza</w:t>
      </w:r>
      <w:r>
        <w:rPr>
          <w:sz w:val="20"/>
          <w:szCs w:val="20"/>
        </w:rPr>
        <w:softHyphen/>
        <w:t>přením a obětmi ve snaze po docílení sociálního vze</w:t>
      </w:r>
      <w:r>
        <w:rPr>
          <w:sz w:val="20"/>
          <w:szCs w:val="20"/>
        </w:rPr>
        <w:softHyphen/>
        <w:t>stupu. Bohužel u nenadaných dětí někdy marně.</w:t>
      </w:r>
    </w:p>
    <w:p w:rsidR="00500724" w:rsidRDefault="00F30FB8">
      <w:pPr>
        <w:pStyle w:val="Zkladntext30"/>
        <w:shd w:val="clear" w:color="auto" w:fill="auto"/>
        <w:spacing w:after="100"/>
        <w:ind w:firstLine="0"/>
        <w:jc w:val="center"/>
        <w:rPr>
          <w:sz w:val="20"/>
          <w:szCs w:val="20"/>
        </w:rPr>
      </w:pPr>
      <w:r>
        <w:rPr>
          <w:sz w:val="20"/>
          <w:szCs w:val="20"/>
        </w:rPr>
        <w:t>•</w:t>
      </w:r>
    </w:p>
    <w:p w:rsidR="00500724" w:rsidRDefault="00F30FB8">
      <w:pPr>
        <w:pStyle w:val="Zkladntext30"/>
        <w:shd w:val="clear" w:color="auto" w:fill="auto"/>
        <w:spacing w:after="0"/>
        <w:rPr>
          <w:sz w:val="20"/>
          <w:szCs w:val="20"/>
        </w:rPr>
      </w:pPr>
      <w:r>
        <w:rPr>
          <w:sz w:val="20"/>
          <w:szCs w:val="20"/>
        </w:rPr>
        <w:t>Touha po sociálním vzestupu je přirozená snaha a proto ji nalézáme vždy a v každé době a v každé třídě i sociální vrstvě. Projevuje se to zvláště v</w:t>
      </w:r>
      <w:r>
        <w:rPr>
          <w:sz w:val="20"/>
          <w:szCs w:val="20"/>
        </w:rPr>
        <w:t>ýrazně v útěku z venkova (kdo by tu nevzpomněl na Rai</w:t>
      </w:r>
      <w:r>
        <w:rPr>
          <w:sz w:val="20"/>
          <w:szCs w:val="20"/>
        </w:rPr>
        <w:softHyphen/>
        <w:t>sovu „Paničkou“) a v průvodních starostech venkova i měst. Řešení těchto starostí je obtížné proto, že je málo věcných měřítek, zato hodně subjektivních do</w:t>
      </w:r>
      <w:r>
        <w:rPr>
          <w:sz w:val="20"/>
          <w:szCs w:val="20"/>
        </w:rPr>
        <w:softHyphen/>
        <w:t>mněnek a mnoho optických klamů v posuzování vš</w:t>
      </w:r>
      <w:r>
        <w:rPr>
          <w:sz w:val="20"/>
          <w:szCs w:val="20"/>
        </w:rPr>
        <w:t>ech spolurozhodujících skutečností. Jako vše v životě má i tato starost mnoho složek, které nelze samostatně zjišťovati a měřiti dosah jejich vlivu a tím méně po- znávati jejich příčinnou souvislost. Také zde platí, že nelze ulpívati na tvrzení, že histori</w:t>
      </w:r>
      <w:r>
        <w:rPr>
          <w:sz w:val="20"/>
          <w:szCs w:val="20"/>
        </w:rPr>
        <w:t>e se opakuje a je učitelkou, neboť i tu bychom přinášeli oběti klamu v domnění, že můžeme řešit vše podle starých vzorů, aniž bychom věnovali pozornost tomu, jsou-li dány ty</w:t>
      </w:r>
      <w:r>
        <w:rPr>
          <w:sz w:val="20"/>
          <w:szCs w:val="20"/>
        </w:rPr>
        <w:softHyphen/>
        <w:t>též nebo alespoň obdobné předpoklady bývalé a ny</w:t>
      </w:r>
      <w:r>
        <w:rPr>
          <w:sz w:val="20"/>
          <w:szCs w:val="20"/>
        </w:rPr>
        <w:softHyphen/>
        <w:t>nější situace. Průvodní, vnější j</w:t>
      </w:r>
      <w:r>
        <w:rPr>
          <w:sz w:val="20"/>
          <w:szCs w:val="20"/>
        </w:rPr>
        <w:t>evy nevykazují tolik změn, i před 30—40 lety varovala kde která fakulta absolventy středních škol před vstupem hrůzostraš</w:t>
      </w:r>
      <w:r>
        <w:rPr>
          <w:sz w:val="20"/>
          <w:szCs w:val="20"/>
        </w:rPr>
        <w:softHyphen/>
        <w:t>ným líčením špatných vyhlídek, i tenkrát, kdy dokon</w:t>
      </w:r>
      <w:r>
        <w:rPr>
          <w:sz w:val="20"/>
          <w:szCs w:val="20"/>
        </w:rPr>
        <w:softHyphen/>
        <w:t>ce byla bezplatná prakse praktikantů, nedostávalo se adjut, protože sloužili 701et</w:t>
      </w:r>
      <w:r>
        <w:rPr>
          <w:sz w:val="20"/>
          <w:szCs w:val="20"/>
        </w:rPr>
        <w:t>í dvorní radové s 45 slu</w:t>
      </w:r>
      <w:r>
        <w:rPr>
          <w:sz w:val="20"/>
          <w:szCs w:val="20"/>
        </w:rPr>
        <w:softHyphen/>
        <w:t xml:space="preserve">žebními lety. </w:t>
      </w:r>
      <w:r>
        <w:rPr>
          <w:b/>
          <w:bCs/>
          <w:sz w:val="20"/>
          <w:szCs w:val="20"/>
        </w:rPr>
        <w:t xml:space="preserve">I </w:t>
      </w:r>
      <w:r>
        <w:rPr>
          <w:sz w:val="20"/>
          <w:szCs w:val="20"/>
        </w:rPr>
        <w:t>tenkráte starostliví rodiče a zvláště dobré maminky radily k zajištěnému postavení pod dekretem, pod pensí, a mohli bychom pokračovat ve výpočtu obdob oněch starých nepřátel, objevujících se třeba s novými tvářemi v</w:t>
      </w:r>
      <w:r>
        <w:rPr>
          <w:sz w:val="20"/>
          <w:szCs w:val="20"/>
        </w:rPr>
        <w:t>ždy a znovu s důslednosti býť i jen zdánlivou.</w:t>
      </w:r>
    </w:p>
    <w:p w:rsidR="00500724" w:rsidRDefault="00F30FB8">
      <w:pPr>
        <w:pStyle w:val="Zkladntext30"/>
        <w:shd w:val="clear" w:color="auto" w:fill="auto"/>
        <w:spacing w:after="0"/>
        <w:ind w:firstLine="240"/>
        <w:rPr>
          <w:sz w:val="20"/>
          <w:szCs w:val="20"/>
        </w:rPr>
      </w:pPr>
      <w:r>
        <w:rPr>
          <w:sz w:val="20"/>
          <w:szCs w:val="20"/>
        </w:rPr>
        <w:t>Nás musí však zajimati prostředí, v němž své sta</w:t>
      </w:r>
      <w:r>
        <w:rPr>
          <w:sz w:val="20"/>
          <w:szCs w:val="20"/>
        </w:rPr>
        <w:softHyphen/>
        <w:t>rosti prožíváme a naše předpoklady, neboť tam jsou změny, jichž namnoze si hned neuvědomujeme.</w:t>
      </w:r>
    </w:p>
    <w:p w:rsidR="00500724" w:rsidRDefault="00F30FB8">
      <w:pPr>
        <w:pStyle w:val="Zkladntext30"/>
        <w:shd w:val="clear" w:color="auto" w:fill="auto"/>
        <w:spacing w:after="0"/>
        <w:ind w:firstLine="240"/>
        <w:rPr>
          <w:sz w:val="20"/>
          <w:szCs w:val="20"/>
        </w:rPr>
      </w:pPr>
      <w:r>
        <w:rPr>
          <w:sz w:val="20"/>
          <w:szCs w:val="20"/>
        </w:rPr>
        <w:t>Stačí vzpomenouti, jak před 30 lety svět byl volný a veliký při v</w:t>
      </w:r>
      <w:r>
        <w:rPr>
          <w:sz w:val="20"/>
          <w:szCs w:val="20"/>
        </w:rPr>
        <w:t>olnosti stěhování, jaké byly možnosti přes všechno dusno z válečných napětí — této druhé přirozenosti Evropy — abychom si uvědo</w:t>
      </w:r>
      <w:r>
        <w:rPr>
          <w:sz w:val="20"/>
          <w:szCs w:val="20"/>
        </w:rPr>
        <w:softHyphen/>
        <w:t xml:space="preserve">mili podstatný rozdíl v předpokladech vývoje dříve a dnes. Jestliže rodová privilegia a přednostní renty dětí z plutokratických </w:t>
      </w:r>
      <w:r>
        <w:rPr>
          <w:sz w:val="20"/>
          <w:szCs w:val="20"/>
        </w:rPr>
        <w:t xml:space="preserve">vrstev při volbě povolání tehdy začaly slábnout a vývoj v hospodářství, jež se utíkalo spíše k formám společnostního podnikání než podnikání jednotlivců, umožňoval uplatňování talentů z nižších vrstev, rostl současně i tlak proti soukromo- podnikatelskému </w:t>
      </w:r>
      <w:r>
        <w:rPr>
          <w:sz w:val="20"/>
          <w:szCs w:val="20"/>
        </w:rPr>
        <w:t>vlivu ve prospěch veřejnohospodář- ského principu.</w:t>
      </w:r>
    </w:p>
    <w:p w:rsidR="00500724" w:rsidRDefault="00F30FB8">
      <w:pPr>
        <w:pStyle w:val="Zkladntext30"/>
        <w:shd w:val="clear" w:color="auto" w:fill="auto"/>
        <w:spacing w:after="0"/>
        <w:ind w:firstLine="240"/>
        <w:rPr>
          <w:sz w:val="20"/>
          <w:szCs w:val="20"/>
        </w:rPr>
      </w:pPr>
      <w:r>
        <w:rPr>
          <w:sz w:val="20"/>
          <w:szCs w:val="20"/>
        </w:rPr>
        <w:t>Také populační vývoj přinesl své odchylky. Za našich otců se podobaly poměry klidné hladině. Svě</w:t>
      </w:r>
      <w:r>
        <w:rPr>
          <w:sz w:val="20"/>
          <w:szCs w:val="20"/>
        </w:rPr>
        <w:softHyphen/>
        <w:t xml:space="preserve">tová válka a poválečný vývoj způsobil střídavé vý- chvěvy podobné vlnobití (1914—19), úbytek porodů, pak </w:t>
      </w:r>
      <w:r>
        <w:rPr>
          <w:sz w:val="20"/>
          <w:szCs w:val="20"/>
        </w:rPr>
        <w:t>veliký vzestup, další rychlý a trvalý sestup, který podle výpočtů pravděpodobně v budoucnosti bude zvláště citlivý. Stačí si uvědomiti, jaké změny proží</w:t>
      </w:r>
      <w:r>
        <w:rPr>
          <w:sz w:val="20"/>
          <w:szCs w:val="20"/>
        </w:rPr>
        <w:softHyphen/>
        <w:t>váme ve složení obyvatelstva podle stá- ř í. Snižováním úmrtnosti a poklesem porodů spějeme k dlouhověk</w:t>
      </w:r>
      <w:r>
        <w:rPr>
          <w:sz w:val="20"/>
          <w:szCs w:val="20"/>
        </w:rPr>
        <w:t>osti, starší vrstvy jsou daleko početnější než dříve. Dlužno si býti vědom toho, že v letech 1930—35 přes nás přecházela právě nejvyšší vlna do</w:t>
      </w:r>
      <w:r>
        <w:rPr>
          <w:sz w:val="20"/>
          <w:szCs w:val="20"/>
        </w:rPr>
        <w:softHyphen/>
        <w:t>spívajícího dorostu, zatím co hospodářství prožívalo nejhlubší depresi.</w:t>
      </w:r>
    </w:p>
    <w:p w:rsidR="00500724" w:rsidRDefault="00F30FB8">
      <w:pPr>
        <w:pStyle w:val="Zkladntext30"/>
        <w:shd w:val="clear" w:color="auto" w:fill="auto"/>
        <w:spacing w:after="0"/>
        <w:ind w:firstLine="240"/>
        <w:rPr>
          <w:sz w:val="20"/>
          <w:szCs w:val="20"/>
        </w:rPr>
        <w:sectPr w:rsidR="00500724">
          <w:footnotePr>
            <w:numFmt w:val="chicago"/>
            <w:numRestart w:val="eachPage"/>
          </w:footnotePr>
          <w:type w:val="continuous"/>
          <w:pgSz w:w="11909" w:h="16834"/>
          <w:pgMar w:top="873" w:right="953" w:bottom="1173" w:left="473" w:header="0" w:footer="3" w:gutter="0"/>
          <w:cols w:num="2" w:space="101"/>
          <w:noEndnote/>
          <w:docGrid w:linePitch="360"/>
        </w:sectPr>
      </w:pPr>
      <w:r>
        <w:rPr>
          <w:sz w:val="20"/>
          <w:szCs w:val="20"/>
        </w:rPr>
        <w:t>Pak je tře</w:t>
      </w:r>
      <w:r>
        <w:rPr>
          <w:sz w:val="20"/>
          <w:szCs w:val="20"/>
        </w:rPr>
        <w:t>ba si ještě uvědomiti některé poznatky, které máme již doloženy některými studiemi. Tak pře</w:t>
      </w:r>
      <w:r>
        <w:rPr>
          <w:sz w:val="20"/>
          <w:szCs w:val="20"/>
        </w:rPr>
        <w:softHyphen/>
        <w:t xml:space="preserve">devším poznatek, že hlavním zdrojem inteligentního dorostu je zase vrstva inteligence. Tak </w:t>
      </w:r>
      <w:r>
        <w:rPr>
          <w:sz w:val="20"/>
          <w:szCs w:val="20"/>
          <w:lang w:val="en-US" w:eastAsia="en-US" w:bidi="en-US"/>
        </w:rPr>
        <w:t xml:space="preserve">prof. </w:t>
      </w:r>
      <w:r>
        <w:rPr>
          <w:sz w:val="20"/>
          <w:szCs w:val="20"/>
        </w:rPr>
        <w:t xml:space="preserve">Weyr ve studii „Nadprůměrná inteligence jako hromadný zjev </w:t>
      </w:r>
      <w:r>
        <w:rPr>
          <w:sz w:val="20"/>
          <w:szCs w:val="20"/>
        </w:rPr>
        <w:t>(Statistika vynikajících lidí)“ konstatuje (i když s určitými výhradami a poměrně z úzké základny), že „je dlužno opraviti běžný názor, že u nás nejnižší so</w:t>
      </w:r>
      <w:r>
        <w:rPr>
          <w:sz w:val="20"/>
          <w:szCs w:val="20"/>
        </w:rPr>
        <w:softHyphen/>
        <w:t>ciální vrstvy dodávaly národu poměrně víc vynikají</w:t>
      </w:r>
      <w:r>
        <w:rPr>
          <w:sz w:val="20"/>
          <w:szCs w:val="20"/>
        </w:rPr>
        <w:softHyphen/>
        <w:t>cích osob než vrstvy střední, tak stejně nespráv</w:t>
      </w:r>
      <w:r>
        <w:rPr>
          <w:sz w:val="20"/>
          <w:szCs w:val="20"/>
        </w:rPr>
        <w:t>né by bylo, že z vrstev méně vzdělaných vychází více vyni</w:t>
      </w:r>
      <w:r>
        <w:rPr>
          <w:sz w:val="20"/>
          <w:szCs w:val="20"/>
        </w:rPr>
        <w:softHyphen/>
        <w:t xml:space="preserve">kajících lidí, než z vrstev vzdělanějších. D o c. d r. Z d. </w:t>
      </w:r>
      <w:r>
        <w:rPr>
          <w:sz w:val="20"/>
          <w:szCs w:val="20"/>
          <w:lang w:val="en-US" w:eastAsia="en-US" w:bidi="en-US"/>
        </w:rPr>
        <w:t xml:space="preserve">Ullrich </w:t>
      </w:r>
      <w:r>
        <w:rPr>
          <w:sz w:val="20"/>
          <w:szCs w:val="20"/>
        </w:rPr>
        <w:t>zabývaje se studiem ukazatelů sociálního</w:t>
      </w:r>
    </w:p>
    <w:p w:rsidR="00500724" w:rsidRDefault="00F30FB8">
      <w:pPr>
        <w:pStyle w:val="Nadpis90"/>
        <w:keepNext/>
        <w:keepLines/>
        <w:pBdr>
          <w:bottom w:val="single" w:sz="4" w:space="0" w:color="auto"/>
        </w:pBdr>
        <w:shd w:val="clear" w:color="auto" w:fill="auto"/>
        <w:spacing w:after="0"/>
        <w:jc w:val="center"/>
        <w:sectPr w:rsidR="00500724">
          <w:footnotePr>
            <w:numFmt w:val="chicago"/>
            <w:numRestart w:val="eachPage"/>
          </w:footnotePr>
          <w:pgSz w:w="11909" w:h="16834"/>
          <w:pgMar w:top="886" w:right="1255" w:bottom="945" w:left="223" w:header="0" w:footer="3" w:gutter="0"/>
          <w:cols w:space="720"/>
          <w:noEndnote/>
          <w:docGrid w:linePitch="360"/>
        </w:sectPr>
      </w:pPr>
      <w:bookmarkStart w:id="875" w:name="bookmark874"/>
      <w:r>
        <w:rPr>
          <w:rFonts w:ascii="Times New Roman" w:eastAsia="Times New Roman" w:hAnsi="Times New Roman" w:cs="Times New Roman"/>
          <w:lang w:val="en-US" w:eastAsia="en-US" w:bidi="en-US"/>
        </w:rPr>
        <w:t>PfitomnosC-</w:t>
      </w:r>
      <w:bookmarkEnd w:id="875"/>
    </w:p>
    <w:p w:rsidR="00500724" w:rsidRDefault="00500724">
      <w:pPr>
        <w:spacing w:line="70" w:lineRule="exact"/>
        <w:rPr>
          <w:sz w:val="6"/>
          <w:szCs w:val="6"/>
        </w:rPr>
      </w:pPr>
    </w:p>
    <w:p w:rsidR="00500724" w:rsidRDefault="00500724">
      <w:pPr>
        <w:spacing w:line="14" w:lineRule="exact"/>
        <w:sectPr w:rsidR="00500724">
          <w:footnotePr>
            <w:numFmt w:val="chicago"/>
            <w:numRestart w:val="eachPage"/>
          </w:footnotePr>
          <w:type w:val="continuous"/>
          <w:pgSz w:w="11909" w:h="16834"/>
          <w:pgMar w:top="1007" w:right="0" w:bottom="1024" w:left="0" w:header="0" w:footer="3" w:gutter="0"/>
          <w:cols w:space="720"/>
          <w:noEndnote/>
          <w:docGrid w:linePitch="360"/>
        </w:sectPr>
      </w:pPr>
    </w:p>
    <w:p w:rsidR="00500724" w:rsidRDefault="00F30FB8">
      <w:pPr>
        <w:pStyle w:val="Zkladntext30"/>
        <w:shd w:val="clear" w:color="auto" w:fill="auto"/>
        <w:spacing w:after="0"/>
        <w:ind w:firstLine="0"/>
        <w:rPr>
          <w:sz w:val="20"/>
          <w:szCs w:val="20"/>
        </w:rPr>
      </w:pPr>
      <w:r>
        <w:rPr>
          <w:sz w:val="20"/>
          <w:szCs w:val="20"/>
        </w:rPr>
        <w:t>původu absolventů stř</w:t>
      </w:r>
      <w:r>
        <w:rPr>
          <w:sz w:val="20"/>
          <w:szCs w:val="20"/>
        </w:rPr>
        <w:t>edních škol zjišťuje, že dorost školené inteligence se obrozuje právě zase z vrstev školené inteligence. Odtud veliký význam této vrstvy s hlediska populační politiky. Depopulace této vrstvy zužuje obnovování národa a zužováním této oblasti zmenšuje se abs</w:t>
      </w:r>
      <w:r>
        <w:rPr>
          <w:sz w:val="20"/>
          <w:szCs w:val="20"/>
        </w:rPr>
        <w:t>olutně i dorost talentů a nadprůměr</w:t>
      </w:r>
      <w:r>
        <w:rPr>
          <w:sz w:val="20"/>
          <w:szCs w:val="20"/>
        </w:rPr>
        <w:softHyphen/>
        <w:t>ných lidí, jichž v každém národě je beztak neúprosně poměrně malá kvóta. Na jiný jistě zajímavý poznatek upozornil doc- dr. Ot. M achotka (Statistický zpravodaj čís. 3, roč. 1939, str. 34), že tlak mladých nepochází podl</w:t>
      </w:r>
      <w:r>
        <w:rPr>
          <w:sz w:val="20"/>
          <w:szCs w:val="20"/>
        </w:rPr>
        <w:t>e populační statistiky z mladších roč</w:t>
      </w:r>
      <w:r>
        <w:rPr>
          <w:sz w:val="20"/>
          <w:szCs w:val="20"/>
        </w:rPr>
        <w:softHyphen/>
        <w:t xml:space="preserve">níků (mladí 20—30 tvořili r. 1930 17.9%, r. 1938 jen 13.3%, ze skupiny mužů v produktivním roku 20—70 letých), ale že leží u ročníků 30—401etých, kteří roku 1930 tvořili 26.9%, roku 1938 32.94% oné produktivní skupiny </w:t>
      </w:r>
      <w:r>
        <w:rPr>
          <w:sz w:val="20"/>
          <w:szCs w:val="20"/>
        </w:rPr>
        <w:t>mužů. Ti sice místa mají, ale cítí se zdrženi v nástupu vyšších míst, jež zaujímají generace starší. Tomuto tlaku posledními opatřeními v pensionování bude do jisté míry odpomoženo.</w:t>
      </w:r>
    </w:p>
    <w:p w:rsidR="00500724" w:rsidRDefault="00F30FB8">
      <w:pPr>
        <w:pStyle w:val="Zkladntext30"/>
        <w:shd w:val="clear" w:color="auto" w:fill="auto"/>
        <w:spacing w:after="0"/>
        <w:ind w:firstLine="240"/>
        <w:rPr>
          <w:sz w:val="20"/>
          <w:szCs w:val="20"/>
        </w:rPr>
      </w:pPr>
      <w:r>
        <w:rPr>
          <w:sz w:val="20"/>
          <w:szCs w:val="20"/>
        </w:rPr>
        <w:t>K tvrzení, že je v dorostu sklon k malým z a- městnaneckým kariérám (úředn</w:t>
      </w:r>
      <w:r>
        <w:rPr>
          <w:sz w:val="20"/>
          <w:szCs w:val="20"/>
        </w:rPr>
        <w:t>ickým, zří- zeneckým), k němuž oporu dávají výsledky sčítání li</w:t>
      </w:r>
      <w:r>
        <w:rPr>
          <w:sz w:val="20"/>
          <w:szCs w:val="20"/>
        </w:rPr>
        <w:softHyphen/>
        <w:t>du, dlužno míti na paměti změny ve složení hospo</w:t>
      </w:r>
      <w:r>
        <w:rPr>
          <w:sz w:val="20"/>
          <w:szCs w:val="20"/>
        </w:rPr>
        <w:softHyphen/>
        <w:t>dářské organisace, kde se čím dále tím více uplatňuje společnostní forma podnikání (akciové společnosti, družstva atd. ), silný jedinec podnika</w:t>
      </w:r>
      <w:r>
        <w:rPr>
          <w:sz w:val="20"/>
          <w:szCs w:val="20"/>
        </w:rPr>
        <w:t>tel ustupuje a na jeho místo nastupuje ovšem zase silný jedinec, ale již jako ředitel anebo raději s postupující dělbou funkcí a odpovědnosti více ředitelů (vynálezce, konstruktér, finančník, komerční organisátor, správní ředitel).</w:t>
      </w:r>
    </w:p>
    <w:p w:rsidR="00500724" w:rsidRDefault="00F30FB8">
      <w:pPr>
        <w:pStyle w:val="Zkladntext30"/>
        <w:shd w:val="clear" w:color="auto" w:fill="auto"/>
        <w:spacing w:after="0"/>
        <w:ind w:firstLine="240"/>
        <w:rPr>
          <w:sz w:val="20"/>
          <w:szCs w:val="20"/>
        </w:rPr>
      </w:pPr>
      <w:r>
        <w:rPr>
          <w:sz w:val="20"/>
          <w:szCs w:val="20"/>
        </w:rPr>
        <w:t>Sombart mluví o „podúřed</w:t>
      </w:r>
      <w:r>
        <w:rPr>
          <w:sz w:val="20"/>
          <w:szCs w:val="20"/>
        </w:rPr>
        <w:t>ničtění světa“. Ale ne</w:t>
      </w:r>
      <w:r>
        <w:rPr>
          <w:sz w:val="20"/>
          <w:szCs w:val="20"/>
        </w:rPr>
        <w:softHyphen/>
        <w:t>divme se, že to vývoj nese s sebou, že se dělník stěhuje s dílny do kontoiru, je to přirozený vývoj v organisaci práce, stačí tu jen vzpomenouti baťovského hesla „Dři</w:t>
      </w:r>
      <w:r>
        <w:rPr>
          <w:sz w:val="20"/>
          <w:szCs w:val="20"/>
        </w:rPr>
        <w:softHyphen/>
        <w:t>nu strojům, myšlení lidem“. Sem spadá i stálé roz</w:t>
      </w:r>
      <w:r>
        <w:rPr>
          <w:sz w:val="20"/>
          <w:szCs w:val="20"/>
        </w:rPr>
        <w:softHyphen/>
        <w:t>šiřování působno</w:t>
      </w:r>
      <w:r>
        <w:rPr>
          <w:sz w:val="20"/>
          <w:szCs w:val="20"/>
        </w:rPr>
        <w:t>sti veřejnohospodářského principu na újmu soukromopodnika- telského nebo srozumitelněji řečeno vývoj, podle něhož v důsledku zásahů státu a jiných nucených svazků do hospodářství, vzniká plno nových povolání služebních a zprostředkovatelských, jež přímo ne</w:t>
      </w:r>
      <w:r>
        <w:rPr>
          <w:sz w:val="20"/>
          <w:szCs w:val="20"/>
        </w:rPr>
        <w:t>mají za účel vyrábět. Vzpomeňme jen, jakým spolehlivým, laciným a jednoduchým sluhou byla regulatorní funk</w:t>
      </w:r>
      <w:r>
        <w:rPr>
          <w:sz w:val="20"/>
          <w:szCs w:val="20"/>
        </w:rPr>
        <w:softHyphen/>
        <w:t>ce volných cen a jak složitě a poměrně nedokonale jsme nuceni hledati za ni náhradu v řízeném hospodář</w:t>
      </w:r>
      <w:r>
        <w:rPr>
          <w:sz w:val="20"/>
          <w:szCs w:val="20"/>
        </w:rPr>
        <w:softHyphen/>
        <w:t>ství. Sem spadá i potřeba uvědomiti si jemné r</w:t>
      </w:r>
      <w:r>
        <w:rPr>
          <w:sz w:val="20"/>
          <w:szCs w:val="20"/>
        </w:rPr>
        <w:t>ozdíly při rozboru t. zv- výrobních a nevýrobních povolání a s tím souvisících důchodů přímých i odvozených. Často nás svádějí tato spíše teoretická než praktická rozlišování k nesprávnému hodnocení práce, její zásluhy, ceny, rentability. Nepatří sem úva</w:t>
      </w:r>
      <w:r>
        <w:rPr>
          <w:sz w:val="20"/>
          <w:szCs w:val="20"/>
        </w:rPr>
        <w:softHyphen/>
        <w:t>h</w:t>
      </w:r>
      <w:r>
        <w:rPr>
          <w:sz w:val="20"/>
          <w:szCs w:val="20"/>
        </w:rPr>
        <w:t>y, do jaké míry je tento vývoj dělby práce oprávněný a zdravý, nás zatím musí jen zajímati, že tento vývoj je. Že při tom se nám zdá, že ubývá agilnosti a podnika- vosti, že často čiperní lidé ze soukromých podniků, když přešli do veřejné funkce, jsou „jak</w:t>
      </w:r>
      <w:r>
        <w:rPr>
          <w:sz w:val="20"/>
          <w:szCs w:val="20"/>
        </w:rPr>
        <w:t>oby pod závo</w:t>
      </w:r>
      <w:r>
        <w:rPr>
          <w:sz w:val="20"/>
          <w:szCs w:val="20"/>
        </w:rPr>
        <w:softHyphen/>
        <w:t>jem“, budiž zde jen nadhozeno jako malá ukázka pro</w:t>
      </w:r>
      <w:r>
        <w:rPr>
          <w:sz w:val="20"/>
          <w:szCs w:val="20"/>
        </w:rPr>
        <w:softHyphen/>
        <w:t>měn, jichž jsme svědky ú tohoto vývoje a vzniku roz</w:t>
      </w:r>
      <w:r>
        <w:rPr>
          <w:sz w:val="20"/>
          <w:szCs w:val="20"/>
        </w:rPr>
        <w:softHyphen/>
        <w:t>dílných předpokladů mezi dvěma oblastmi práce. Mohli bychom uvésti ještě řadu podobných poznatků, jichž bychom si měli býti vědomi, kdykoliv</w:t>
      </w:r>
      <w:r>
        <w:rPr>
          <w:sz w:val="20"/>
          <w:szCs w:val="20"/>
        </w:rPr>
        <w:t xml:space="preserve"> uvažujeme o tak složitých jevech jako je pracovní příležitost inte</w:t>
      </w:r>
      <w:r>
        <w:rPr>
          <w:sz w:val="20"/>
          <w:szCs w:val="20"/>
        </w:rPr>
        <w:softHyphen/>
        <w:t>ligence a abychom si byli vědomi, jak velice se změ</w:t>
      </w:r>
      <w:r>
        <w:rPr>
          <w:sz w:val="20"/>
          <w:szCs w:val="20"/>
        </w:rPr>
        <w:softHyphen/>
        <w:t>nily poměry proti minulosti.</w:t>
      </w:r>
    </w:p>
    <w:p w:rsidR="00500724" w:rsidRDefault="00F30FB8">
      <w:pPr>
        <w:pStyle w:val="Zkladntext30"/>
        <w:shd w:val="clear" w:color="auto" w:fill="auto"/>
        <w:spacing w:after="80"/>
        <w:ind w:firstLine="240"/>
        <w:rPr>
          <w:sz w:val="20"/>
          <w:szCs w:val="20"/>
        </w:rPr>
      </w:pPr>
      <w:r>
        <w:rPr>
          <w:sz w:val="20"/>
          <w:szCs w:val="20"/>
        </w:rPr>
        <w:t>Považuji za nej důležitější, abychom se snažili podle možnosti o objektivní měřítko, jakou dává svědomitá e</w:t>
      </w:r>
      <w:r>
        <w:rPr>
          <w:sz w:val="20"/>
          <w:szCs w:val="20"/>
        </w:rPr>
        <w:t>vidence počtu nabídky práce inteligentní</w:t>
      </w:r>
      <w:r>
        <w:rPr>
          <w:sz w:val="20"/>
          <w:szCs w:val="20"/>
        </w:rPr>
        <w:softHyphen/>
        <w:t>ho dorostu, měřítko pro kvalitu této nabízené práce, znalost požadavků, které životní prakse klade na inte</w:t>
      </w:r>
      <w:r>
        <w:rPr>
          <w:sz w:val="20"/>
          <w:szCs w:val="20"/>
        </w:rPr>
        <w:softHyphen/>
        <w:t>lekt pracovníků tak, aby byly dány pokud možno ob</w:t>
      </w:r>
      <w:r>
        <w:rPr>
          <w:sz w:val="20"/>
          <w:szCs w:val="20"/>
        </w:rPr>
        <w:softHyphen/>
        <w:t>jektivní míry pro pozorování „výroby“ inteligentního doros</w:t>
      </w:r>
      <w:r>
        <w:rPr>
          <w:sz w:val="20"/>
          <w:szCs w:val="20"/>
        </w:rPr>
        <w:t>tu a jeho „spotřeby“ a získati tak schopnost usu</w:t>
      </w:r>
      <w:r>
        <w:rPr>
          <w:sz w:val="20"/>
          <w:szCs w:val="20"/>
        </w:rPr>
        <w:softHyphen/>
        <w:t>zovati čeho je třeba k udržování rovnováhy mezi oběma. To znamená na straně „výrob y“ provozovat rozumné hospodaření s lidskou prací, stavět pravého člověka na pravé místo, vybírat vhodné lidi k vhodné práci</w:t>
      </w:r>
      <w:r>
        <w:rPr>
          <w:sz w:val="20"/>
          <w:szCs w:val="20"/>
        </w:rPr>
        <w:t xml:space="preserve"> a hledat vhodnou práci pro vhodné lidi. Vyna</w:t>
      </w:r>
      <w:r>
        <w:rPr>
          <w:sz w:val="20"/>
          <w:szCs w:val="20"/>
        </w:rPr>
        <w:softHyphen/>
        <w:t>lézavosti pracovních možností na straně spotřeby prá</w:t>
      </w:r>
      <w:r>
        <w:rPr>
          <w:sz w:val="20"/>
          <w:szCs w:val="20"/>
        </w:rPr>
        <w:softHyphen/>
        <w:t>ce. Vycházím z předpokladu, že lidé si nejsou rovni. Jsou lidská práva, kde není mezi námi rozdílu, ale jak jsou v tělesné zdatnosti a kráse i zdraví rozdíly</w:t>
      </w:r>
      <w:r>
        <w:rPr>
          <w:sz w:val="20"/>
          <w:szCs w:val="20"/>
        </w:rPr>
        <w:t xml:space="preserve"> mezi lidmi, tak jsme nerovní i v intelektuální schopnosti. Intelekt a příroda jsou organisovány aristokraticky. Toto poznání nevylučuje naše ideály společenské rov</w:t>
      </w:r>
      <w:r>
        <w:rPr>
          <w:sz w:val="20"/>
          <w:szCs w:val="20"/>
        </w:rPr>
        <w:softHyphen/>
        <w:t>nosti, naopak vede k novým jich základům, k dokona</w:t>
      </w:r>
      <w:r>
        <w:rPr>
          <w:sz w:val="20"/>
          <w:szCs w:val="20"/>
        </w:rPr>
        <w:softHyphen/>
        <w:t>lejší rovnoměrnosti v rozvrhu sil, břeme</w:t>
      </w:r>
      <w:r>
        <w:rPr>
          <w:sz w:val="20"/>
          <w:szCs w:val="20"/>
        </w:rPr>
        <w:t>n a povinností. Neboť teoretický omyl o rovnosti tam, kde jí fakticky není, musí vésti k nesrovnalostem, k poruchám, k ne</w:t>
      </w:r>
      <w:r>
        <w:rPr>
          <w:sz w:val="20"/>
          <w:szCs w:val="20"/>
        </w:rPr>
        <w:softHyphen/>
        <w:t>pořádku a nehospodárnosti, neboť vede k disharmonii a k pravému opaku" požadavku biologické rovnováhy. •</w:t>
      </w:r>
    </w:p>
    <w:p w:rsidR="00500724" w:rsidRDefault="00F30FB8">
      <w:pPr>
        <w:pStyle w:val="Zkladntext30"/>
        <w:shd w:val="clear" w:color="auto" w:fill="auto"/>
        <w:spacing w:after="0"/>
        <w:ind w:firstLine="240"/>
        <w:rPr>
          <w:sz w:val="20"/>
          <w:szCs w:val="20"/>
        </w:rPr>
      </w:pPr>
      <w:r>
        <w:rPr>
          <w:sz w:val="20"/>
          <w:szCs w:val="20"/>
        </w:rPr>
        <w:t>Jakmile objektivní poznání ná</w:t>
      </w:r>
      <w:r>
        <w:rPr>
          <w:sz w:val="20"/>
          <w:szCs w:val="20"/>
        </w:rPr>
        <w:t>s přesvědčuje, že lidé jsou diferencováni a že i život je diferencován, musí</w:t>
      </w:r>
      <w:r>
        <w:rPr>
          <w:sz w:val="20"/>
          <w:szCs w:val="20"/>
        </w:rPr>
        <w:softHyphen/>
        <w:t>me se s tímto předpokladem buď smířiti při své další práci anebo jej zamítnouti a pracovati s jinou fikcí, ale třetí možnosti není. Tak jako lidé nejsou všichni geniové, tak ani d</w:t>
      </w:r>
      <w:r>
        <w:rPr>
          <w:sz w:val="20"/>
          <w:szCs w:val="20"/>
        </w:rPr>
        <w:t>iferenciace života nevyžaduje všude geniů, ale naopak dělba práce, jako produkt civilisace, vytvořila neobyčejně jemně roztříděnou stupnici lid</w:t>
      </w:r>
      <w:r>
        <w:rPr>
          <w:sz w:val="20"/>
          <w:szCs w:val="20"/>
        </w:rPr>
        <w:softHyphen/>
        <w:t>ských povolání. A jako jsou na jedné straně povolání, k nimž je třeba spíše menší představivosti, obrazo</w:t>
      </w:r>
      <w:r>
        <w:rPr>
          <w:sz w:val="20"/>
          <w:szCs w:val="20"/>
        </w:rPr>
        <w:softHyphen/>
        <w:t>tvornos</w:t>
      </w:r>
      <w:r>
        <w:rPr>
          <w:sz w:val="20"/>
          <w:szCs w:val="20"/>
        </w:rPr>
        <w:t>ti, ba i do jisté míry tuposti ducha, tak stojí na druhé straně lidé, kteří splňujíce tyto předpoklady jsou povoláni k této práci. A tak na jedné straně zvlášt</w:t>
      </w:r>
      <w:r>
        <w:rPr>
          <w:sz w:val="20"/>
          <w:szCs w:val="20"/>
        </w:rPr>
        <w:softHyphen/>
        <w:t>ní stupeň nadání a schopnosti mají na druhé straně obdobu ve zvláštních požadavcích práce. Zálež</w:t>
      </w:r>
      <w:r>
        <w:rPr>
          <w:sz w:val="20"/>
          <w:szCs w:val="20"/>
        </w:rPr>
        <w:t>í pak na tom, jak bylo docíleno mezi oběma harmonie, jež je nejvyšším cílem politiky v hospodaření s lidmi a je</w:t>
      </w:r>
      <w:r>
        <w:rPr>
          <w:sz w:val="20"/>
          <w:szCs w:val="20"/>
        </w:rPr>
        <w:softHyphen/>
        <w:t>jich nadáním- Prakticky to znamená „Postavit pravé</w:t>
      </w:r>
      <w:r>
        <w:rPr>
          <w:sz w:val="20"/>
          <w:szCs w:val="20"/>
        </w:rPr>
        <w:softHyphen/>
        <w:t>ho člověka na pravé místo“. Bez této harmonie nemá dělba práce smyslu a nemůže býti řeči o je</w:t>
      </w:r>
      <w:r>
        <w:rPr>
          <w:sz w:val="20"/>
          <w:szCs w:val="20"/>
        </w:rPr>
        <w:t>jím hospo</w:t>
      </w:r>
      <w:r>
        <w:rPr>
          <w:sz w:val="20"/>
          <w:szCs w:val="20"/>
        </w:rPr>
        <w:softHyphen/>
        <w:t>dárném uspořádání.</w:t>
      </w:r>
    </w:p>
    <w:p w:rsidR="00500724" w:rsidRDefault="00F30FB8">
      <w:pPr>
        <w:pStyle w:val="Zkladntext30"/>
        <w:shd w:val="clear" w:color="auto" w:fill="auto"/>
        <w:spacing w:after="0"/>
        <w:ind w:firstLine="240"/>
        <w:rPr>
          <w:sz w:val="20"/>
          <w:szCs w:val="20"/>
        </w:rPr>
      </w:pPr>
      <w:r>
        <w:rPr>
          <w:sz w:val="20"/>
          <w:szCs w:val="20"/>
        </w:rPr>
        <w:t>Z toho plyne potřeba klasifikace povolání podle po</w:t>
      </w:r>
      <w:r>
        <w:rPr>
          <w:sz w:val="20"/>
          <w:szCs w:val="20"/>
        </w:rPr>
        <w:softHyphen/>
        <w:t>žadavků, jež kladou na lidi, a z toho vyplývá, abychom stále zkoušeli hodnocení lidské práce, abychom si osvo</w:t>
      </w:r>
      <w:r>
        <w:rPr>
          <w:sz w:val="20"/>
          <w:szCs w:val="20"/>
        </w:rPr>
        <w:softHyphen/>
        <w:t>jili a uchovávali schopnost přizpůsobovat své hodno</w:t>
      </w:r>
      <w:r>
        <w:rPr>
          <w:sz w:val="20"/>
          <w:szCs w:val="20"/>
        </w:rPr>
        <w:softHyphen/>
        <w:t>cení člověka p</w:t>
      </w:r>
      <w:r>
        <w:rPr>
          <w:sz w:val="20"/>
          <w:szCs w:val="20"/>
        </w:rPr>
        <w:t xml:space="preserve">otřebám doby. Správně to formuloval </w:t>
      </w:r>
      <w:r>
        <w:rPr>
          <w:sz w:val="20"/>
          <w:szCs w:val="20"/>
          <w:lang w:val="en-US" w:eastAsia="en-US" w:bidi="en-US"/>
        </w:rPr>
        <w:t xml:space="preserve">prof. </w:t>
      </w:r>
      <w:r>
        <w:rPr>
          <w:sz w:val="20"/>
          <w:szCs w:val="20"/>
        </w:rPr>
        <w:t xml:space="preserve">dr. </w:t>
      </w:r>
      <w:r>
        <w:rPr>
          <w:sz w:val="20"/>
          <w:szCs w:val="20"/>
          <w:lang w:val="en-US" w:eastAsia="en-US" w:bidi="en-US"/>
        </w:rPr>
        <w:t xml:space="preserve">Forster, </w:t>
      </w:r>
      <w:r>
        <w:rPr>
          <w:sz w:val="20"/>
          <w:szCs w:val="20"/>
        </w:rPr>
        <w:t>když řekl: „Cena člověka záleží na tom, ne jakou práci koná, ale jak dobře ji kon á.“ Tedy umění poznávat, hodnotit a vážit si kvality.</w:t>
      </w:r>
    </w:p>
    <w:p w:rsidR="00500724" w:rsidRDefault="00F30FB8">
      <w:pPr>
        <w:pStyle w:val="Zkladntext30"/>
        <w:shd w:val="clear" w:color="auto" w:fill="auto"/>
        <w:spacing w:after="0"/>
        <w:ind w:firstLine="240"/>
        <w:rPr>
          <w:sz w:val="20"/>
          <w:szCs w:val="20"/>
        </w:rPr>
      </w:pPr>
      <w:r>
        <w:rPr>
          <w:sz w:val="20"/>
          <w:szCs w:val="20"/>
        </w:rPr>
        <w:t xml:space="preserve">Soulad bude největší, když budeme dbáti co největší svědomitosti </w:t>
      </w:r>
      <w:r>
        <w:rPr>
          <w:sz w:val="20"/>
          <w:szCs w:val="20"/>
        </w:rPr>
        <w:t>na obou stranách, jak při výběru lidí, tak při tvoření pracovní příležitosti. Objektivity je tím více třeba, čím více je tu svodů k demagogii, k ne</w:t>
      </w:r>
      <w:r>
        <w:rPr>
          <w:sz w:val="20"/>
          <w:szCs w:val="20"/>
        </w:rPr>
        <w:softHyphen/>
        <w:t>upřímnosti, k lichocení.</w:t>
      </w:r>
    </w:p>
    <w:p w:rsidR="00500724" w:rsidRDefault="00F30FB8">
      <w:pPr>
        <w:pStyle w:val="Zkladntext30"/>
        <w:shd w:val="clear" w:color="auto" w:fill="auto"/>
        <w:spacing w:after="0"/>
        <w:ind w:firstLine="240"/>
        <w:rPr>
          <w:sz w:val="20"/>
          <w:szCs w:val="20"/>
        </w:rPr>
      </w:pPr>
      <w:r>
        <w:rPr>
          <w:sz w:val="20"/>
          <w:szCs w:val="20"/>
        </w:rPr>
        <w:t>Není přítelem mládeže ten, kdo nadsazuje počet ne</w:t>
      </w:r>
      <w:r>
        <w:rPr>
          <w:sz w:val="20"/>
          <w:szCs w:val="20"/>
        </w:rPr>
        <w:softHyphen/>
        <w:t>zaměstnaných vysoko nad skutečnos</w:t>
      </w:r>
      <w:r>
        <w:rPr>
          <w:sz w:val="20"/>
          <w:szCs w:val="20"/>
        </w:rPr>
        <w:t>t, ani kdo tu hází do jednoho hlediska opravdové nezaměstnané s těmi, kdo jsou nezaměstnaní inteligenti proto, že buď pra</w:t>
      </w:r>
      <w:r>
        <w:rPr>
          <w:sz w:val="20"/>
          <w:szCs w:val="20"/>
        </w:rPr>
        <w:softHyphen/>
        <w:t>covat neumějí nebo nechtějí (v tom není rozdílu s bý</w:t>
      </w:r>
      <w:r>
        <w:rPr>
          <w:sz w:val="20"/>
          <w:szCs w:val="20"/>
        </w:rPr>
        <w:softHyphen/>
        <w:t>valými „nezaměstnanými“ z řad dělnických).</w:t>
      </w:r>
    </w:p>
    <w:p w:rsidR="00500724" w:rsidRDefault="00F30FB8">
      <w:pPr>
        <w:pStyle w:val="Zkladntext30"/>
        <w:shd w:val="clear" w:color="auto" w:fill="auto"/>
        <w:ind w:firstLine="240"/>
        <w:rPr>
          <w:sz w:val="20"/>
          <w:szCs w:val="20"/>
        </w:rPr>
      </w:pPr>
      <w:r>
        <w:rPr>
          <w:sz w:val="20"/>
          <w:szCs w:val="20"/>
        </w:rPr>
        <w:t>Na druhé straně musí organisátoři hosp</w:t>
      </w:r>
      <w:r>
        <w:rPr>
          <w:sz w:val="20"/>
          <w:szCs w:val="20"/>
        </w:rPr>
        <w:t>odářského života vidět svoji ctižádost nikoliv ve škodlivých, ku</w:t>
      </w:r>
      <w:r>
        <w:rPr>
          <w:sz w:val="20"/>
          <w:szCs w:val="20"/>
        </w:rPr>
        <w:softHyphen/>
        <w:t>peckých úvahách, nýbrž musí projeviti vynalézavost a smysl pro vyšší hledisko než je jen a jen zisk, tedy jakási obdoba toho, čemu ve veřejném hospodářství říkáme „nezdravý fiskalismus“. Vím,</w:t>
      </w:r>
      <w:r>
        <w:rPr>
          <w:sz w:val="20"/>
          <w:szCs w:val="20"/>
        </w:rPr>
        <w:t xml:space="preserve"> že tu harmonie nebude nikdy nebesky souladná, ale záleží na tom, aby bylo co nejméně ztrát. Proto dlužno vítati, že naše Ná</w:t>
      </w:r>
      <w:r>
        <w:rPr>
          <w:sz w:val="20"/>
          <w:szCs w:val="20"/>
        </w:rPr>
        <w:softHyphen/>
        <w:t>rodní souručenství zorganisovalo Kancelář nezaměst</w:t>
      </w:r>
      <w:r>
        <w:rPr>
          <w:sz w:val="20"/>
          <w:szCs w:val="20"/>
        </w:rPr>
        <w:softHyphen/>
        <w:t>nané inteligence (Praha XII, Hooverova 2, čís. tel. 26321, 26919), která se v pr</w:t>
      </w:r>
      <w:r>
        <w:rPr>
          <w:sz w:val="20"/>
          <w:szCs w:val="20"/>
        </w:rPr>
        <w:t>vé řadě stará o řádnou a spolehlivou evidenci nezaměstnané inteligence. Je to práce velmi svízelná, a proto tím záslužnější. Máme zkušenosti z jediné oficielní akce statistické, kterou prováděl Státní úřad statistický při statistice neza</w:t>
      </w:r>
      <w:r>
        <w:rPr>
          <w:sz w:val="20"/>
          <w:szCs w:val="20"/>
        </w:rPr>
        <w:softHyphen/>
        <w:t>městnanosti absolv</w:t>
      </w:r>
      <w:r>
        <w:rPr>
          <w:sz w:val="20"/>
          <w:szCs w:val="20"/>
        </w:rPr>
        <w:t>entů středních škol za období 1923 až 1933.</w:t>
      </w:r>
      <w:r>
        <w:rPr>
          <w:sz w:val="20"/>
          <w:szCs w:val="20"/>
        </w:rPr>
        <w:footnoteReference w:id="12"/>
      </w:r>
      <w:r>
        <w:rPr>
          <w:sz w:val="20"/>
          <w:szCs w:val="20"/>
        </w:rPr>
        <w:t>)</w:t>
      </w:r>
    </w:p>
    <w:p w:rsidR="00500724" w:rsidRDefault="00F30FB8">
      <w:pPr>
        <w:pStyle w:val="Zkladntext30"/>
        <w:shd w:val="clear" w:color="auto" w:fill="auto"/>
        <w:spacing w:line="223" w:lineRule="auto"/>
        <w:rPr>
          <w:sz w:val="20"/>
          <w:szCs w:val="20"/>
        </w:rPr>
      </w:pPr>
      <w:r>
        <w:rPr>
          <w:sz w:val="20"/>
          <w:szCs w:val="20"/>
        </w:rPr>
        <w:t>Tato kancelář převzala velmi důležitou funkci, aby udržovala styk s životní praksi pro orientaci o pracov</w:t>
      </w:r>
      <w:r>
        <w:rPr>
          <w:sz w:val="20"/>
          <w:szCs w:val="20"/>
        </w:rPr>
        <w:softHyphen/>
        <w:t xml:space="preserve">ních možnostech pro inteligentní dorost a měla tudíž </w:t>
      </w:r>
      <w:r>
        <w:rPr>
          <w:b/>
          <w:bCs/>
          <w:sz w:val="20"/>
          <w:szCs w:val="20"/>
        </w:rPr>
        <w:t xml:space="preserve">v </w:t>
      </w:r>
      <w:r>
        <w:rPr>
          <w:sz w:val="20"/>
          <w:szCs w:val="20"/>
        </w:rPr>
        <w:t>prvé řadě evidenci. Za veliký pokrok dlužno pova</w:t>
      </w:r>
      <w:r>
        <w:rPr>
          <w:sz w:val="20"/>
          <w:szCs w:val="20"/>
        </w:rPr>
        <w:softHyphen/>
      </w:r>
      <w:r>
        <w:rPr>
          <w:sz w:val="20"/>
          <w:szCs w:val="20"/>
        </w:rPr>
        <w:t>žovati zřízení Akademické poradny povolá</w:t>
      </w:r>
      <w:r>
        <w:rPr>
          <w:sz w:val="20"/>
          <w:szCs w:val="20"/>
        </w:rPr>
        <w:softHyphen/>
        <w:t>ní, jež v součinnosti s psychotechnickým ústavem se za účinné podpory našeho ministerstva školství stará o pozorování nabídky práce hlavně absolventů střed</w:t>
      </w:r>
      <w:r>
        <w:rPr>
          <w:sz w:val="20"/>
          <w:szCs w:val="20"/>
        </w:rPr>
        <w:softHyphen/>
        <w:t>ních škol a zkoumání, jaká budoucnost a vyhlídky v počtu pr</w:t>
      </w:r>
      <w:r>
        <w:rPr>
          <w:sz w:val="20"/>
          <w:szCs w:val="20"/>
        </w:rPr>
        <w:t>acovních míst jsou a jak podle toho řídit volbu povolání. To povede i v důsledku vlivu školení na pozdější volbu povolání k zásahům do výběru žactva a řádění jeho již do onoho prvotního třídiče pro povolání, jímž školství je. Odtud důležitost spolu</w:t>
      </w:r>
      <w:r>
        <w:rPr>
          <w:sz w:val="20"/>
          <w:szCs w:val="20"/>
        </w:rPr>
        <w:softHyphen/>
        <w:t>práce s</w:t>
      </w:r>
      <w:r>
        <w:rPr>
          <w:sz w:val="20"/>
          <w:szCs w:val="20"/>
        </w:rPr>
        <w:t xml:space="preserve"> ministerstvem školství. Součinnost s Jednotou soukr. zaměstnanců i se zájmovými svazy (na př. Sva</w:t>
      </w:r>
      <w:r>
        <w:rPr>
          <w:sz w:val="20"/>
          <w:szCs w:val="20"/>
        </w:rPr>
        <w:softHyphen/>
        <w:t>zem průmyslníků), jež se tu začíná vyvíjet, a jež musí býti co největší, je rovněž pokrokem. Mám za to, že se tak ocitáme na správné cestě k řešení této star</w:t>
      </w:r>
      <w:r>
        <w:rPr>
          <w:sz w:val="20"/>
          <w:szCs w:val="20"/>
        </w:rPr>
        <w:t>osti. Tak jako sebe lepší zákroky lékařské nestačí, nemá-li pacient kázeň a dobrou vůli k součinnosti s lékařem, tak se ani zde neobejdeme bez součinnosti mládeže, která práci hledá. Je tu třeba především změniti ná</w:t>
      </w:r>
      <w:r>
        <w:rPr>
          <w:sz w:val="20"/>
          <w:szCs w:val="20"/>
        </w:rPr>
        <w:softHyphen/>
        <w:t>zory na hodnotu práce a její společensko</w:t>
      </w:r>
      <w:r>
        <w:rPr>
          <w:sz w:val="20"/>
          <w:szCs w:val="20"/>
        </w:rPr>
        <w:t xml:space="preserve">u hierarchii </w:t>
      </w:r>
      <w:r>
        <w:rPr>
          <w:b/>
          <w:bCs/>
          <w:sz w:val="20"/>
          <w:szCs w:val="20"/>
        </w:rPr>
        <w:t xml:space="preserve">i </w:t>
      </w:r>
      <w:r>
        <w:rPr>
          <w:sz w:val="20"/>
          <w:szCs w:val="20"/>
        </w:rPr>
        <w:t>falešné názory na t. zv. sociální vzestup. Víme, že sociální optismus, t. j. nejlepší uplatnění podle nadání, dá nejlepší pracovní úspěchy, tím i plat a spokojenost z existenční rovnováhy. Naopak sebe vyšší postavení, kde jsme na falešném mí</w:t>
      </w:r>
      <w:r>
        <w:rPr>
          <w:sz w:val="20"/>
          <w:szCs w:val="20"/>
        </w:rPr>
        <w:t>stě, proto bez úspěchu v kva</w:t>
      </w:r>
      <w:r>
        <w:rPr>
          <w:sz w:val="20"/>
          <w:szCs w:val="20"/>
        </w:rPr>
        <w:softHyphen/>
        <w:t>lifikaci, postupu a platu, z nás dělá trosečníky. Proto je zdravější být ceněným a výborně placeným mícha</w:t>
      </w:r>
      <w:r>
        <w:rPr>
          <w:sz w:val="20"/>
          <w:szCs w:val="20"/>
        </w:rPr>
        <w:softHyphen/>
        <w:t>čem masa v uzenářském závodě nebo výborným hote</w:t>
      </w:r>
      <w:r>
        <w:rPr>
          <w:sz w:val="20"/>
          <w:szCs w:val="20"/>
        </w:rPr>
        <w:softHyphen/>
        <w:t>lovým kuchařem, kterého si páni šéfové předcházejí, aby podniku nedal výp</w:t>
      </w:r>
      <w:r>
        <w:rPr>
          <w:sz w:val="20"/>
          <w:szCs w:val="20"/>
        </w:rPr>
        <w:t>ověď, než být kancelářským člověkem, který málo umí, proto je málo ceněn, špatně placen, naříká na bídu, je nespokojen a existenčně v nejistotách.</w:t>
      </w:r>
    </w:p>
    <w:p w:rsidR="00500724" w:rsidRDefault="00F30FB8">
      <w:pPr>
        <w:pStyle w:val="Zkladntext30"/>
        <w:shd w:val="clear" w:color="auto" w:fill="auto"/>
        <w:rPr>
          <w:sz w:val="20"/>
          <w:szCs w:val="20"/>
        </w:rPr>
      </w:pPr>
      <w:r>
        <w:rPr>
          <w:sz w:val="20"/>
          <w:szCs w:val="20"/>
        </w:rPr>
        <w:t xml:space="preserve">To je smysl onoho smíchu do životního zrcadla, k němuž již před sto lety radil starý </w:t>
      </w:r>
      <w:r>
        <w:rPr>
          <w:sz w:val="20"/>
          <w:szCs w:val="20"/>
          <w:lang w:val="en-US" w:eastAsia="en-US" w:bidi="en-US"/>
        </w:rPr>
        <w:t xml:space="preserve">Thackeray. </w:t>
      </w:r>
      <w:r>
        <w:rPr>
          <w:sz w:val="20"/>
          <w:szCs w:val="20"/>
        </w:rPr>
        <w:t>Na nás všech,</w:t>
      </w:r>
      <w:r>
        <w:rPr>
          <w:sz w:val="20"/>
          <w:szCs w:val="20"/>
        </w:rPr>
        <w:t xml:space="preserve"> dětech i rodičích, je, abychom nebyli ne</w:t>
      </w:r>
      <w:r>
        <w:rPr>
          <w:sz w:val="20"/>
          <w:szCs w:val="20"/>
        </w:rPr>
        <w:softHyphen/>
        <w:t>šťastnými mračouny do životního zrcadla, abychom se snažili objevit v sobě nadání, vypěstovali je do nej</w:t>
      </w:r>
      <w:r>
        <w:rPr>
          <w:sz w:val="20"/>
          <w:szCs w:val="20"/>
        </w:rPr>
        <w:softHyphen/>
        <w:t>lepší odbornosti a k tomu zvolili nejnáležitější po</w:t>
      </w:r>
      <w:r>
        <w:rPr>
          <w:sz w:val="20"/>
          <w:szCs w:val="20"/>
        </w:rPr>
        <w:softHyphen/>
        <w:t>volání.</w:t>
      </w:r>
    </w:p>
    <w:p w:rsidR="00500724" w:rsidRDefault="00F30FB8">
      <w:pPr>
        <w:pStyle w:val="Zkladntext30"/>
        <w:shd w:val="clear" w:color="auto" w:fill="auto"/>
        <w:spacing w:line="223" w:lineRule="auto"/>
        <w:rPr>
          <w:sz w:val="20"/>
          <w:szCs w:val="20"/>
        </w:rPr>
      </w:pPr>
      <w:r>
        <w:rPr>
          <w:sz w:val="20"/>
          <w:szCs w:val="20"/>
        </w:rPr>
        <w:t>To je jediná správná cesta řešení nezaměstnanosti</w:t>
      </w:r>
      <w:r>
        <w:rPr>
          <w:sz w:val="20"/>
          <w:szCs w:val="20"/>
        </w:rPr>
        <w:t xml:space="preserve"> mladých, této sociálně nejkormutlivější poruchy. Pak teprve pochopíme, že jsme získali pravé předpoklady života a onoho amerického hesla „vždy s úsměvem“.</w:t>
      </w:r>
    </w:p>
    <w:p w:rsidR="00500724" w:rsidRDefault="00F30FB8">
      <w:pPr>
        <w:pStyle w:val="Jin0"/>
        <w:pBdr>
          <w:bottom w:val="single" w:sz="4" w:space="0" w:color="auto"/>
        </w:pBdr>
        <w:shd w:val="clear" w:color="auto" w:fill="auto"/>
        <w:spacing w:after="240"/>
        <w:ind w:firstLine="0"/>
        <w:jc w:val="left"/>
        <w:rPr>
          <w:sz w:val="44"/>
          <w:szCs w:val="44"/>
        </w:rPr>
      </w:pPr>
      <w:r>
        <w:rPr>
          <w:b/>
          <w:bCs/>
          <w:sz w:val="44"/>
          <w:szCs w:val="44"/>
        </w:rPr>
        <w:t>doba a lidé</w:t>
      </w:r>
    </w:p>
    <w:p w:rsidR="00500724" w:rsidRDefault="00F30FB8">
      <w:pPr>
        <w:pStyle w:val="Zkladntext30"/>
        <w:shd w:val="clear" w:color="auto" w:fill="auto"/>
        <w:spacing w:after="100" w:line="240" w:lineRule="auto"/>
        <w:ind w:firstLine="0"/>
        <w:rPr>
          <w:sz w:val="20"/>
          <w:szCs w:val="20"/>
        </w:rPr>
      </w:pPr>
      <w:r>
        <w:rPr>
          <w:i/>
          <w:iCs/>
          <w:sz w:val="20"/>
          <w:szCs w:val="20"/>
        </w:rPr>
        <w:t>Zdeněk Richter:</w:t>
      </w:r>
    </w:p>
    <w:p w:rsidR="00500724" w:rsidRDefault="00F30FB8">
      <w:pPr>
        <w:pStyle w:val="Jin0"/>
        <w:shd w:val="clear" w:color="auto" w:fill="auto"/>
        <w:spacing w:after="100"/>
        <w:ind w:firstLine="0"/>
        <w:jc w:val="center"/>
        <w:rPr>
          <w:sz w:val="28"/>
          <w:szCs w:val="28"/>
        </w:rPr>
      </w:pPr>
      <w:r>
        <w:rPr>
          <w:b/>
          <w:bCs/>
          <w:sz w:val="28"/>
          <w:szCs w:val="28"/>
        </w:rPr>
        <w:t>České městečko 1939</w:t>
      </w:r>
    </w:p>
    <w:p w:rsidR="00500724" w:rsidRDefault="00F30FB8">
      <w:pPr>
        <w:pStyle w:val="Zkladntext30"/>
        <w:shd w:val="clear" w:color="auto" w:fill="auto"/>
        <w:spacing w:after="100" w:line="262" w:lineRule="auto"/>
        <w:ind w:firstLine="0"/>
        <w:jc w:val="center"/>
        <w:rPr>
          <w:sz w:val="20"/>
          <w:szCs w:val="20"/>
        </w:rPr>
      </w:pPr>
      <w:r>
        <w:rPr>
          <w:sz w:val="20"/>
          <w:szCs w:val="20"/>
        </w:rPr>
        <w:t>Šálení na koupališti, aneb železničáři</w:t>
      </w:r>
      <w:r>
        <w:rPr>
          <w:sz w:val="20"/>
          <w:szCs w:val="20"/>
        </w:rPr>
        <w:br/>
        <w:t>bez časoměrů</w:t>
      </w:r>
    </w:p>
    <w:p w:rsidR="00500724" w:rsidRDefault="00F30FB8">
      <w:pPr>
        <w:pStyle w:val="Zkladntext30"/>
        <w:framePr w:dropCap="drop" w:lines="2" w:hSpace="14" w:vSpace="14" w:wrap="auto" w:vAnchor="text" w:hAnchor="text"/>
        <w:shd w:val="clear" w:color="auto" w:fill="auto"/>
        <w:spacing w:line="278" w:lineRule="exact"/>
        <w:ind w:firstLine="0"/>
        <w:rPr>
          <w:sz w:val="20"/>
          <w:szCs w:val="20"/>
        </w:rPr>
      </w:pPr>
      <w:r>
        <w:rPr>
          <w:position w:val="-6"/>
          <w:sz w:val="44"/>
          <w:szCs w:val="44"/>
        </w:rPr>
        <w:t>V</w:t>
      </w:r>
    </w:p>
    <w:p w:rsidR="00500724" w:rsidRDefault="00F30FB8">
      <w:pPr>
        <w:pStyle w:val="Zkladntext30"/>
        <w:shd w:val="clear" w:color="auto" w:fill="auto"/>
        <w:spacing w:after="100"/>
        <w:ind w:firstLine="0"/>
        <w:rPr>
          <w:sz w:val="20"/>
          <w:szCs w:val="20"/>
        </w:rPr>
      </w:pPr>
      <w:r>
        <w:rPr>
          <w:sz w:val="20"/>
          <w:szCs w:val="20"/>
        </w:rPr>
        <w:t>álíš se ve slunných dnech mezi naháči na břehu ře</w:t>
      </w:r>
      <w:r>
        <w:rPr>
          <w:sz w:val="20"/>
          <w:szCs w:val="20"/>
        </w:rPr>
        <w:softHyphen/>
        <w:t xml:space="preserve">ky. Znáš jich několik. Je jim kolem pětapadesáti let. Jsou to železničáři, kteří se ještě loni nedovedli bavit o něčem jiném, než o tom, kolik jejich vlak zkrátil, samozřejmě jimi nezaviněné zpoždění, či </w:t>
      </w:r>
      <w:r>
        <w:rPr>
          <w:sz w:val="20"/>
          <w:szCs w:val="20"/>
        </w:rPr>
        <w:t>ko</w:t>
      </w:r>
      <w:r>
        <w:rPr>
          <w:sz w:val="20"/>
          <w:szCs w:val="20"/>
        </w:rPr>
        <w:softHyphen/>
        <w:t xml:space="preserve">lik náprav se o příští cukerní kampani vejde na to které nádraží z okolních stanic. Letos zjistíš, že tito lidé, kteří před rokem se co chvíli radili s hodinkami, nemají zájmu o čas. Jsou to pensionování mladí starci, kteří nevědí, co s dlouhou chvílí. </w:t>
      </w:r>
      <w:r>
        <w:rPr>
          <w:sz w:val="20"/>
          <w:szCs w:val="20"/>
        </w:rPr>
        <w:t>Ještě že je právě čas žní a tak mnozí z předčasných pensistů mohou svou potřebu něco dělat krýti dočasnou výpomocí v ze</w:t>
      </w:r>
      <w:r>
        <w:rPr>
          <w:sz w:val="20"/>
          <w:szCs w:val="20"/>
        </w:rPr>
        <w:softHyphen/>
        <w:t>mědělství. Štěstí vůbec pro městečko, že většina star</w:t>
      </w:r>
      <w:r>
        <w:rPr>
          <w:sz w:val="20"/>
          <w:szCs w:val="20"/>
        </w:rPr>
        <w:softHyphen/>
        <w:t>ších obyvatelů rozumí ještě polím nebo ovoci. Tady se teď teprve vidí, jak jsme vl</w:t>
      </w:r>
      <w:r>
        <w:rPr>
          <w:sz w:val="20"/>
          <w:szCs w:val="20"/>
        </w:rPr>
        <w:t>astně všichni ze selského pytle. Ještě před rokem tu měli na velkostatku a na ostatních dvorech na dvě stě Slováků a Slováček. Le</w:t>
      </w:r>
      <w:r>
        <w:rPr>
          <w:sz w:val="20"/>
          <w:szCs w:val="20"/>
        </w:rPr>
        <w:softHyphen/>
        <w:t xml:space="preserve">tos i přes chvilkovou nepohodu byly tu žně o hezkých pár dní dříve skončeny i bez cizí pomoci. A tak když se odvezla poslední </w:t>
      </w:r>
      <w:r>
        <w:rPr>
          <w:sz w:val="20"/>
          <w:szCs w:val="20"/>
        </w:rPr>
        <w:t>fůra a ve dvoře se řadil dožínkový průvod, aby podle starého zvyku šel si připít a zatan</w:t>
      </w:r>
      <w:r>
        <w:rPr>
          <w:sz w:val="20"/>
          <w:szCs w:val="20"/>
        </w:rPr>
        <w:softHyphen/>
        <w:t>covat k panu hraběti na zámek, měl i mnohý dočasný zemědělec tak trochu dojem, že se o zdar letošní skliz</w:t>
      </w:r>
      <w:r>
        <w:rPr>
          <w:sz w:val="20"/>
          <w:szCs w:val="20"/>
        </w:rPr>
        <w:softHyphen/>
        <w:t>ně také nějak zasloužil.</w:t>
      </w:r>
    </w:p>
    <w:p w:rsidR="00500724" w:rsidRDefault="00F30FB8">
      <w:pPr>
        <w:pStyle w:val="Zkladntext30"/>
        <w:shd w:val="clear" w:color="auto" w:fill="auto"/>
        <w:spacing w:after="100"/>
        <w:ind w:firstLine="0"/>
        <w:jc w:val="center"/>
        <w:rPr>
          <w:sz w:val="20"/>
          <w:szCs w:val="20"/>
        </w:rPr>
      </w:pPr>
      <w:r>
        <w:rPr>
          <w:sz w:val="20"/>
          <w:szCs w:val="20"/>
        </w:rPr>
        <w:t>Dva stroje</w:t>
      </w:r>
    </w:p>
    <w:p w:rsidR="00500724" w:rsidRDefault="00F30FB8">
      <w:pPr>
        <w:pStyle w:val="Zkladntext30"/>
        <w:shd w:val="clear" w:color="auto" w:fill="auto"/>
        <w:spacing w:after="100" w:line="223" w:lineRule="auto"/>
        <w:ind w:firstLine="240"/>
        <w:rPr>
          <w:sz w:val="20"/>
          <w:szCs w:val="20"/>
        </w:rPr>
      </w:pPr>
      <w:r>
        <w:rPr>
          <w:sz w:val="20"/>
          <w:szCs w:val="20"/>
        </w:rPr>
        <w:t xml:space="preserve">Mlátička </w:t>
      </w:r>
      <w:r>
        <w:rPr>
          <w:sz w:val="20"/>
          <w:szCs w:val="20"/>
          <w:lang w:val="en-US" w:eastAsia="en-US" w:bidi="en-US"/>
        </w:rPr>
        <w:t xml:space="preserve">a radio </w:t>
      </w:r>
      <w:r>
        <w:rPr>
          <w:sz w:val="20"/>
          <w:szCs w:val="20"/>
        </w:rPr>
        <w:t>jsou teď</w:t>
      </w:r>
      <w:r>
        <w:rPr>
          <w:sz w:val="20"/>
          <w:szCs w:val="20"/>
        </w:rPr>
        <w:t xml:space="preserve"> v létě na českém venkově dva nejhlučnější zjevy lidského pokroku. Od rána do rána útočí na sluch. Skoro byste řekli — když tak po</w:t>
      </w:r>
      <w:r>
        <w:rPr>
          <w:sz w:val="20"/>
          <w:szCs w:val="20"/>
        </w:rPr>
        <w:softHyphen/>
        <w:t>sloucháte venkovské lidi — že se jaksi doplňují. U mlátiček se totiž hubuje na pány z rozhlasu, že dě</w:t>
      </w:r>
      <w:r>
        <w:rPr>
          <w:sz w:val="20"/>
          <w:szCs w:val="20"/>
        </w:rPr>
        <w:softHyphen/>
        <w:t>lají z venkovských lidí</w:t>
      </w:r>
      <w:r>
        <w:rPr>
          <w:sz w:val="20"/>
          <w:szCs w:val="20"/>
        </w:rPr>
        <w:t xml:space="preserve"> pitomce. Představte si — ří</w:t>
      </w:r>
      <w:r>
        <w:rPr>
          <w:sz w:val="20"/>
          <w:szCs w:val="20"/>
        </w:rPr>
        <w:softHyphen/>
        <w:t>kají —, že ti páni z Prahy učí teď zemědělský lid sel</w:t>
      </w:r>
      <w:r>
        <w:rPr>
          <w:sz w:val="20"/>
          <w:szCs w:val="20"/>
        </w:rPr>
        <w:softHyphen/>
        <w:t>ské práci, na příklad, jak se váží povřísla, staví man- delíky a pod. A ty předpovědi počasí! Lidé totiž be</w:t>
      </w:r>
      <w:r>
        <w:rPr>
          <w:sz w:val="20"/>
          <w:szCs w:val="20"/>
        </w:rPr>
        <w:softHyphen/>
        <w:t>rou každé slovo za bernou minci, a zle s vámi, ukáže-li se falešn</w:t>
      </w:r>
      <w:r>
        <w:rPr>
          <w:sz w:val="20"/>
          <w:szCs w:val="20"/>
        </w:rPr>
        <w:t>ou. No, nic ve zlém, ale něco na tom je. Sedlák se dříve spolehl na své osvědčené pranostyky a zaři</w:t>
      </w:r>
      <w:r>
        <w:rPr>
          <w:sz w:val="20"/>
          <w:szCs w:val="20"/>
        </w:rPr>
        <w:softHyphen/>
        <w:t>zoval svůj každodenní pracovní plán, až když vstal a rozhlédl se po obloze. Dnes podle večerní povětrnost</w:t>
      </w:r>
      <w:r>
        <w:rPr>
          <w:sz w:val="20"/>
          <w:szCs w:val="20"/>
        </w:rPr>
        <w:softHyphen/>
        <w:t>ní zprávy si něco nachystá již večer na ráno — a r</w:t>
      </w:r>
      <w:r>
        <w:rPr>
          <w:sz w:val="20"/>
          <w:szCs w:val="20"/>
        </w:rPr>
        <w:t>áno mu to selže. Když pak ranní rozhlas hlásí nové změ</w:t>
      </w:r>
      <w:r>
        <w:rPr>
          <w:sz w:val="20"/>
          <w:szCs w:val="20"/>
        </w:rPr>
        <w:softHyphen/>
        <w:t>ny, jsou už lidé dávno v polích — a rvou se se slotou. Útěk z venkova</w:t>
      </w:r>
    </w:p>
    <w:p w:rsidR="00500724" w:rsidRDefault="00F30FB8">
      <w:pPr>
        <w:pStyle w:val="Zkladntext30"/>
        <w:shd w:val="clear" w:color="auto" w:fill="auto"/>
        <w:spacing w:after="240" w:line="216" w:lineRule="auto"/>
        <w:ind w:firstLine="240"/>
        <w:rPr>
          <w:sz w:val="20"/>
          <w:szCs w:val="20"/>
        </w:rPr>
      </w:pPr>
      <w:r>
        <w:rPr>
          <w:sz w:val="20"/>
          <w:szCs w:val="20"/>
        </w:rPr>
        <w:t>I ten, kdo z místních rodáků má z toulavého psa boty, se alespoň jednou za rok podívá na městečko. V letních měsících se tu scházív</w:t>
      </w:r>
      <w:r>
        <w:rPr>
          <w:sz w:val="20"/>
          <w:szCs w:val="20"/>
        </w:rPr>
        <w:t>á tak několik generací. A všechny si mají co říci. Zjišťuje se rok od roku ja</w:t>
      </w:r>
      <w:r>
        <w:rPr>
          <w:sz w:val="20"/>
          <w:szCs w:val="20"/>
        </w:rPr>
        <w:softHyphen/>
        <w:t>kýsi pokrok ve vzhledu a výstavnosti. Ve zdánlivě ne</w:t>
      </w:r>
      <w:r>
        <w:rPr>
          <w:sz w:val="20"/>
          <w:szCs w:val="20"/>
        </w:rPr>
        <w:softHyphen/>
        <w:t>plodných maloměstských debatách mezi spoustou plev a pomluv objeví se však i zrnko pravdy. Tak se na př. přetřásá otázka útěk</w:t>
      </w:r>
      <w:r>
        <w:rPr>
          <w:sz w:val="20"/>
          <w:szCs w:val="20"/>
        </w:rPr>
        <w:t>u z venkova a tu najednou takový místní hloubal uhodí hřebík rovnou na hlavičku. „To je pořád s tou nezaměstnanou inteligencí. A kam s ní! Tak si to vemte! Tady jsou u nás čtyři peněžní ústavy, dvě nemocenské pokladny a čert ví, co ještě. A když to tak roz</w:t>
      </w:r>
      <w:r>
        <w:rPr>
          <w:sz w:val="20"/>
          <w:szCs w:val="20"/>
        </w:rPr>
        <w:t>eberete, tak v nich páni ředitelé a vedoucí úředníci vychodili nějakou tu zimní hospodářskou školu nebo utekli od řemesla. Pak se divte, že i u nás máme kolik nezaměstnaných právníků, komerčních in</w:t>
      </w:r>
      <w:r>
        <w:rPr>
          <w:sz w:val="20"/>
          <w:szCs w:val="20"/>
        </w:rPr>
        <w:softHyphen/>
        <w:t>ženýrů a obchodních akademiků. Ať se teda zreviduje předbě</w:t>
      </w:r>
      <w:r>
        <w:rPr>
          <w:sz w:val="20"/>
          <w:szCs w:val="20"/>
        </w:rPr>
        <w:t>žné vzdělání v takovýchto ústavech. To zas ve státní službě by to nebylo možné, tam musí mít každý předepsané vzdělání a basta. Tady holt každý měl ně</w:t>
      </w:r>
      <w:r>
        <w:rPr>
          <w:sz w:val="20"/>
          <w:szCs w:val="20"/>
        </w:rPr>
        <w:softHyphen/>
        <w:t>jakého toho strejčka a selská práce mu nevoněla i když mu ještě dnes čouhá sláma z bot.“</w:t>
      </w:r>
    </w:p>
    <w:p w:rsidR="00500724" w:rsidRDefault="00F30FB8">
      <w:pPr>
        <w:pStyle w:val="Zkladntext30"/>
        <w:shd w:val="clear" w:color="auto" w:fill="auto"/>
        <w:spacing w:after="100"/>
        <w:ind w:firstLine="0"/>
        <w:jc w:val="center"/>
        <w:rPr>
          <w:sz w:val="20"/>
          <w:szCs w:val="20"/>
        </w:rPr>
      </w:pPr>
      <w:r>
        <w:rPr>
          <w:sz w:val="20"/>
          <w:szCs w:val="20"/>
        </w:rPr>
        <w:t>Jiný stín z minu</w:t>
      </w:r>
      <w:r>
        <w:rPr>
          <w:sz w:val="20"/>
          <w:szCs w:val="20"/>
        </w:rPr>
        <w:t>losti</w:t>
      </w:r>
    </w:p>
    <w:p w:rsidR="00500724" w:rsidRDefault="00F30FB8">
      <w:pPr>
        <w:pStyle w:val="Zkladntext30"/>
        <w:shd w:val="clear" w:color="auto" w:fill="auto"/>
        <w:spacing w:after="240"/>
        <w:ind w:firstLine="240"/>
        <w:rPr>
          <w:sz w:val="20"/>
          <w:szCs w:val="20"/>
        </w:rPr>
      </w:pPr>
      <w:r>
        <w:rPr>
          <w:sz w:val="20"/>
          <w:szCs w:val="20"/>
        </w:rPr>
        <w:t>Měli tu mít před rokem obecní volby. Mělo se zde dostat konečně početnějšího a duchu doby odpovídají</w:t>
      </w:r>
      <w:r>
        <w:rPr>
          <w:sz w:val="20"/>
          <w:szCs w:val="20"/>
        </w:rPr>
        <w:softHyphen/>
        <w:t>cího zastoupení mladým. Obecní věci čekají. Pravda, če</w:t>
      </w:r>
      <w:r>
        <w:rPr>
          <w:sz w:val="20"/>
          <w:szCs w:val="20"/>
        </w:rPr>
        <w:softHyphen/>
        <w:t>kaly na své řešení tak dlouho, co na tom záleží. Záleží! Bylo by třeba zakřiknout nehoráznou s</w:t>
      </w:r>
      <w:r>
        <w:rPr>
          <w:sz w:val="20"/>
          <w:szCs w:val="20"/>
        </w:rPr>
        <w:t>pekulaci se sta</w:t>
      </w:r>
      <w:r>
        <w:rPr>
          <w:sz w:val="20"/>
          <w:szCs w:val="20"/>
        </w:rPr>
        <w:softHyphen/>
        <w:t>vebními pozemky, dohlédnout přísněji na regulační plán obce, vyřešit otázku koupaliště, nezbytného to předpo</w:t>
      </w:r>
      <w:r>
        <w:rPr>
          <w:sz w:val="20"/>
          <w:szCs w:val="20"/>
        </w:rPr>
        <w:softHyphen/>
        <w:t>kladu opravdového letoviska, o kanalisaci a vodovodu ani nemluvíc. Zdá se, že městečko trpí chronickou smů</w:t>
      </w:r>
      <w:r>
        <w:rPr>
          <w:sz w:val="20"/>
          <w:szCs w:val="20"/>
        </w:rPr>
        <w:softHyphen/>
        <w:t>lou. Dříve trpělo rivali</w:t>
      </w:r>
      <w:r>
        <w:rPr>
          <w:sz w:val="20"/>
          <w:szCs w:val="20"/>
        </w:rPr>
        <w:t>tou dvou místních poslanců, z nichž každý táhl za jiný konec, dnes se tu vleče spor starých a mladých.</w:t>
      </w:r>
    </w:p>
    <w:p w:rsidR="00500724" w:rsidRDefault="00F30FB8">
      <w:pPr>
        <w:pStyle w:val="Zkladntext30"/>
        <w:shd w:val="clear" w:color="auto" w:fill="auto"/>
        <w:spacing w:after="100"/>
        <w:ind w:firstLine="0"/>
        <w:jc w:val="center"/>
        <w:rPr>
          <w:sz w:val="20"/>
          <w:szCs w:val="20"/>
        </w:rPr>
      </w:pPr>
      <w:r>
        <w:rPr>
          <w:sz w:val="20"/>
          <w:szCs w:val="20"/>
        </w:rPr>
        <w:t xml:space="preserve">Jirásek </w:t>
      </w:r>
      <w:r>
        <w:rPr>
          <w:sz w:val="20"/>
          <w:szCs w:val="20"/>
          <w:lang w:val="en-US" w:eastAsia="en-US" w:bidi="en-US"/>
        </w:rPr>
        <w:t xml:space="preserve">contra </w:t>
      </w:r>
      <w:r>
        <w:rPr>
          <w:sz w:val="20"/>
          <w:szCs w:val="20"/>
        </w:rPr>
        <w:t>Rodokaps</w:t>
      </w:r>
    </w:p>
    <w:p w:rsidR="00500724" w:rsidRDefault="00F30FB8">
      <w:pPr>
        <w:pStyle w:val="Zkladntext30"/>
        <w:shd w:val="clear" w:color="auto" w:fill="auto"/>
        <w:spacing w:after="0" w:line="216" w:lineRule="auto"/>
        <w:ind w:firstLine="240"/>
        <w:rPr>
          <w:sz w:val="20"/>
          <w:szCs w:val="20"/>
        </w:rPr>
      </w:pPr>
      <w:r>
        <w:rPr>
          <w:sz w:val="20"/>
          <w:szCs w:val="20"/>
        </w:rPr>
        <w:t>Když jsi se tu loni zastavil před výlohou místního knihkupce, našel jsi ji vyplněnu od podlahy až po strop samou dobrodružnou a l</w:t>
      </w:r>
      <w:r>
        <w:rPr>
          <w:sz w:val="20"/>
          <w:szCs w:val="20"/>
        </w:rPr>
        <w:t>imonádovou literaturou, v křiklavých barvotiskových obálkách, s dějovými vý</w:t>
      </w:r>
      <w:r>
        <w:rPr>
          <w:sz w:val="20"/>
          <w:szCs w:val="20"/>
        </w:rPr>
        <w:softHyphen/>
        <w:t>jevy, ženskými akty a t. p. Letos tu nacházíš pečlivě vyložené kmety a mistry českého národního písem</w:t>
      </w:r>
      <w:r>
        <w:rPr>
          <w:sz w:val="20"/>
          <w:szCs w:val="20"/>
        </w:rPr>
        <w:softHyphen/>
        <w:t>nictví ve studených grafických obálkách. Vidíš Ji</w:t>
      </w:r>
      <w:r>
        <w:rPr>
          <w:sz w:val="20"/>
          <w:szCs w:val="20"/>
        </w:rPr>
        <w:softHyphen/>
        <w:t>ráska, Wintra, Palackého Děj</w:t>
      </w:r>
      <w:r>
        <w:rPr>
          <w:sz w:val="20"/>
          <w:szCs w:val="20"/>
        </w:rPr>
        <w:t>iny, Alšův Špalíček, z mladších pak Čapkovy Hovory s T. G. M. a jako se</w:t>
      </w:r>
      <w:r>
        <w:rPr>
          <w:sz w:val="20"/>
          <w:szCs w:val="20"/>
        </w:rPr>
        <w:softHyphen/>
        <w:t>zónní knihy cestopisné causerie pod výmluvnou vý</w:t>
      </w:r>
      <w:r>
        <w:rPr>
          <w:sz w:val="20"/>
          <w:szCs w:val="20"/>
        </w:rPr>
        <w:softHyphen/>
        <w:t>věskou: „Bez pasových obtíží do světa jen v knihách těchto autorů.“ Z básníků se tu shledáváš se Svatoplu</w:t>
      </w:r>
      <w:r>
        <w:rPr>
          <w:sz w:val="20"/>
          <w:szCs w:val="20"/>
        </w:rPr>
        <w:softHyphen/>
        <w:t>kem Čechem, Sovou, Dykem, Hor</w:t>
      </w:r>
      <w:r>
        <w:rPr>
          <w:sz w:val="20"/>
          <w:szCs w:val="20"/>
        </w:rPr>
        <w:t>ou, Holanem (Sen, Září), Seifertem (Zhasněte světla), Halasem (Torso naděje).</w:t>
      </w:r>
    </w:p>
    <w:p w:rsidR="00500724" w:rsidRDefault="00F30FB8">
      <w:pPr>
        <w:pStyle w:val="Zkladntext30"/>
        <w:shd w:val="clear" w:color="auto" w:fill="auto"/>
        <w:spacing w:after="0" w:line="226" w:lineRule="auto"/>
        <w:ind w:firstLine="240"/>
        <w:rPr>
          <w:sz w:val="20"/>
          <w:szCs w:val="20"/>
        </w:rPr>
      </w:pPr>
      <w:r>
        <w:rPr>
          <w:sz w:val="20"/>
          <w:szCs w:val="20"/>
        </w:rPr>
        <w:t>Mluvíte-li pak s místním knihovníkem, dovíte se, že proti předloňsku stoupl počet vypůjčených knih o dob</w:t>
      </w:r>
      <w:r>
        <w:rPr>
          <w:sz w:val="20"/>
          <w:szCs w:val="20"/>
        </w:rPr>
        <w:softHyphen/>
        <w:t>rých padesát procent a že i výběr četby svědčí o pře</w:t>
      </w:r>
      <w:r>
        <w:rPr>
          <w:sz w:val="20"/>
          <w:szCs w:val="20"/>
        </w:rPr>
        <w:softHyphen/>
        <w:t>vratném zvážnění dob</w:t>
      </w:r>
      <w:r>
        <w:rPr>
          <w:sz w:val="20"/>
          <w:szCs w:val="20"/>
        </w:rPr>
        <w:t>y. Nejvíce vypůjčovaní autoři: Jirásek, Sokol-Tůma, Rais, Karel Čapek. V radniční čítárně novin jste mohli večer co večer nalézti ně</w:t>
      </w:r>
      <w:r>
        <w:rPr>
          <w:sz w:val="20"/>
          <w:szCs w:val="20"/>
        </w:rPr>
        <w:softHyphen/>
        <w:t>kolik pilně čtoucích lidí, jež jste tu loni viděli jen zřídka kdy.</w:t>
      </w:r>
    </w:p>
    <w:p w:rsidR="00500724" w:rsidRDefault="00F30FB8">
      <w:pPr>
        <w:pStyle w:val="Zkladntext30"/>
        <w:shd w:val="clear" w:color="auto" w:fill="auto"/>
        <w:spacing w:after="100" w:line="221" w:lineRule="auto"/>
        <w:ind w:firstLine="240"/>
        <w:rPr>
          <w:sz w:val="20"/>
          <w:szCs w:val="20"/>
        </w:rPr>
      </w:pPr>
      <w:r>
        <w:rPr>
          <w:sz w:val="20"/>
          <w:szCs w:val="20"/>
        </w:rPr>
        <w:t>I návštěvy divadla, ať již šlo o představení ochot</w:t>
      </w:r>
      <w:r>
        <w:rPr>
          <w:sz w:val="20"/>
          <w:szCs w:val="20"/>
        </w:rPr>
        <w:softHyphen/>
        <w:t xml:space="preserve">níků </w:t>
      </w:r>
      <w:r>
        <w:rPr>
          <w:sz w:val="20"/>
          <w:szCs w:val="20"/>
        </w:rPr>
        <w:t>či cestovní divadelní společnosti, nápadně vzrost</w:t>
      </w:r>
      <w:r>
        <w:rPr>
          <w:sz w:val="20"/>
          <w:szCs w:val="20"/>
        </w:rPr>
        <w:softHyphen/>
        <w:t>ly a projevy jak účinkujících, tak i obecenstva zvrouc</w:t>
      </w:r>
      <w:r>
        <w:rPr>
          <w:sz w:val="20"/>
          <w:szCs w:val="20"/>
        </w:rPr>
        <w:softHyphen/>
        <w:t>něly. Na každém, ať již kulturním či jiném počinu, si tu můžeš spočítat, o kolik má dnešek více tepů, krve i barvy proti včerejšku. Padá ti to vše do o</w:t>
      </w:r>
      <w:r>
        <w:rPr>
          <w:sz w:val="20"/>
          <w:szCs w:val="20"/>
        </w:rPr>
        <w:t>ka právě tak neodbytně a vemlouvavě jako dvoujazyčné tabule ukazatelů směru na křižovatkách silnic, když se vra</w:t>
      </w:r>
      <w:r>
        <w:rPr>
          <w:sz w:val="20"/>
          <w:szCs w:val="20"/>
        </w:rPr>
        <w:softHyphen/>
        <w:t>cíš ze silně prořidlých lesů, kde jsi letos marně hle</w:t>
      </w:r>
      <w:r>
        <w:rPr>
          <w:sz w:val="20"/>
          <w:szCs w:val="20"/>
        </w:rPr>
        <w:softHyphen/>
        <w:t>dal houby.</w:t>
      </w:r>
    </w:p>
    <w:p w:rsidR="00500724" w:rsidRDefault="00F30FB8">
      <w:pPr>
        <w:pStyle w:val="Zkladntext30"/>
        <w:shd w:val="clear" w:color="auto" w:fill="auto"/>
        <w:spacing w:after="100"/>
        <w:ind w:firstLine="0"/>
        <w:jc w:val="center"/>
        <w:rPr>
          <w:sz w:val="20"/>
          <w:szCs w:val="20"/>
        </w:rPr>
      </w:pPr>
      <w:r>
        <w:rPr>
          <w:sz w:val="20"/>
          <w:szCs w:val="20"/>
        </w:rPr>
        <w:t xml:space="preserve">Muzikantské </w:t>
      </w:r>
      <w:r>
        <w:rPr>
          <w:sz w:val="20"/>
          <w:szCs w:val="20"/>
          <w:lang w:val="en-US" w:eastAsia="en-US" w:bidi="en-US"/>
        </w:rPr>
        <w:t>finale</w:t>
      </w:r>
    </w:p>
    <w:p w:rsidR="00500724" w:rsidRDefault="00F30FB8">
      <w:pPr>
        <w:pStyle w:val="Zkladntext30"/>
        <w:shd w:val="clear" w:color="auto" w:fill="auto"/>
        <w:spacing w:after="220"/>
        <w:ind w:firstLine="240"/>
        <w:rPr>
          <w:sz w:val="20"/>
          <w:szCs w:val="20"/>
        </w:rPr>
      </w:pPr>
      <w:r>
        <w:rPr>
          <w:sz w:val="20"/>
          <w:szCs w:val="20"/>
        </w:rPr>
        <w:t>Jdeš-li kterýkoliv pátek večer procházkou od nádraž</w:t>
      </w:r>
      <w:r>
        <w:rPr>
          <w:sz w:val="20"/>
          <w:szCs w:val="20"/>
        </w:rPr>
        <w:softHyphen/>
        <w:t>ní aleje</w:t>
      </w:r>
      <w:r>
        <w:rPr>
          <w:sz w:val="20"/>
          <w:szCs w:val="20"/>
        </w:rPr>
        <w:t xml:space="preserve"> lip k městu, slyšíš již zdaleka zvuky velkého salonního orchestru. Poněvadž slyšíš dobře zladěnou ouverturu z Prodané nebo Blodkovu V studni, či některý Dvořákův Slovanský tanec, napadá tě v první chvíli, že jde o reprodukci z gramofonu nebo z rozhlasu. K</w:t>
      </w:r>
      <w:r>
        <w:rPr>
          <w:sz w:val="20"/>
          <w:szCs w:val="20"/>
        </w:rPr>
        <w:t>dyž dojdeš k sokolovně, přidruží se k vje</w:t>
      </w:r>
      <w:r>
        <w:rPr>
          <w:sz w:val="20"/>
          <w:szCs w:val="20"/>
        </w:rPr>
        <w:softHyphen/>
        <w:t>mu sluchovému i vjem zrakový. Narazíš tu z čista jasna na velké korso lidí, kteří tu tiše promenují, nasloucha</w:t>
      </w:r>
      <w:r>
        <w:rPr>
          <w:sz w:val="20"/>
          <w:szCs w:val="20"/>
        </w:rPr>
        <w:softHyphen/>
        <w:t xml:space="preserve">jíce hudbě, linoucí se z otevřených oken malého sálu a vytvářející malebnou zvukovou kulisu vydařeného </w:t>
      </w:r>
      <w:r>
        <w:rPr>
          <w:sz w:val="20"/>
          <w:szCs w:val="20"/>
        </w:rPr>
        <w:t>letního večera. Náhle zmlknutí hudby uprostřed věty vyostří vzrůstající zvědavost, která tě vyžene až do prvního poschodí sokolovny. Otevřenými dveřmi sálu uvidíš s prahu dvacetičlenné osazenstvo orchestru a mladého vlasatého dirigenta, který skloněn nad p</w:t>
      </w:r>
      <w:r>
        <w:rPr>
          <w:sz w:val="20"/>
          <w:szCs w:val="20"/>
        </w:rPr>
        <w:t>ul</w:t>
      </w:r>
      <w:r>
        <w:rPr>
          <w:sz w:val="20"/>
          <w:szCs w:val="20"/>
        </w:rPr>
        <w:softHyphen/>
        <w:t>tem zuřivě znovu vytepává do vzduchu správný takt špatně zahrané věty. Tak, to tu ještě nebylo! Není tu pamětníka tak velkého amatérského hudebního tělesa. Jdeš-li věci na kloub, přijdeš na to, že tu u jednotli</w:t>
      </w:r>
      <w:r>
        <w:rPr>
          <w:sz w:val="20"/>
          <w:szCs w:val="20"/>
        </w:rPr>
        <w:softHyphen/>
        <w:t>vých pultů sedí vedle místních domácích mu</w:t>
      </w:r>
      <w:r>
        <w:rPr>
          <w:sz w:val="20"/>
          <w:szCs w:val="20"/>
        </w:rPr>
        <w:t>zikálních nadšenců a bývalých příslušníků vojenských kapel, kteří zde našli svá povolání, i několik doktorů a úřed</w:t>
      </w:r>
      <w:r>
        <w:rPr>
          <w:sz w:val="20"/>
          <w:szCs w:val="20"/>
        </w:rPr>
        <w:softHyphen/>
        <w:t>níků, přesazených sem ze Sudet. Snad je v tom i kus maloměstského snobismu, který se napájí z faktu, že to tu diriguje sám pan centrální ředi</w:t>
      </w:r>
      <w:r>
        <w:rPr>
          <w:sz w:val="20"/>
          <w:szCs w:val="20"/>
        </w:rPr>
        <w:t>tel panství, ale i tak je to hezké, vidíš-li tu sedět u pultu prvních houslí vedle místního advokáta a vedoucího Národní</w:t>
      </w:r>
      <w:r>
        <w:rPr>
          <w:sz w:val="20"/>
          <w:szCs w:val="20"/>
        </w:rPr>
        <w:softHyphen/>
        <w:t>ho souručenství typografa, u cella vedle profesionál</w:t>
      </w:r>
      <w:r>
        <w:rPr>
          <w:sz w:val="20"/>
          <w:szCs w:val="20"/>
        </w:rPr>
        <w:softHyphen/>
        <w:t>ního kapelníka (který tu ovšem hraje zadarmo) okres</w:t>
      </w:r>
      <w:r>
        <w:rPr>
          <w:sz w:val="20"/>
          <w:szCs w:val="20"/>
        </w:rPr>
        <w:softHyphen/>
        <w:t>ního soudce, u klavíru místníh</w:t>
      </w:r>
      <w:r>
        <w:rPr>
          <w:sz w:val="20"/>
          <w:szCs w:val="20"/>
        </w:rPr>
        <w:t>o redaktora, u bas vedle zdejšího živnostníka doktora z notářství, u klarinetů vedle posunovače dopravního úředníka atd. Jdeš od</w:t>
      </w:r>
      <w:r>
        <w:rPr>
          <w:sz w:val="20"/>
          <w:szCs w:val="20"/>
        </w:rPr>
        <w:softHyphen/>
        <w:t>tud rozradostněn nejen tím, co jsi tu slyšel, ale a hlav</w:t>
      </w:r>
      <w:r>
        <w:rPr>
          <w:sz w:val="20"/>
          <w:szCs w:val="20"/>
        </w:rPr>
        <w:softHyphen/>
        <w:t>ně tím, že jsi tu viděl novou národní pospolitost bez kazu třídní nadř</w:t>
      </w:r>
      <w:r>
        <w:rPr>
          <w:sz w:val="20"/>
          <w:szCs w:val="20"/>
        </w:rPr>
        <w:t>aděnosti. A když cestou k domu míjíš v parku Španielova Masaryka, který se odtud dívá s pomníku padlých na městečko, myslíš si, že to tu přece jen tak špatně nevedou.</w:t>
      </w:r>
    </w:p>
    <w:p w:rsidR="00500724" w:rsidRDefault="00F30FB8">
      <w:pPr>
        <w:pStyle w:val="Jin0"/>
        <w:pBdr>
          <w:bottom w:val="single" w:sz="4" w:space="0" w:color="auto"/>
        </w:pBdr>
        <w:shd w:val="clear" w:color="auto" w:fill="auto"/>
        <w:ind w:firstLine="0"/>
        <w:jc w:val="left"/>
        <w:rPr>
          <w:sz w:val="44"/>
          <w:szCs w:val="44"/>
        </w:rPr>
      </w:pPr>
      <w:r>
        <w:rPr>
          <w:b/>
          <w:bCs/>
          <w:sz w:val="44"/>
          <w:szCs w:val="44"/>
        </w:rPr>
        <w:t>dopisy</w:t>
      </w:r>
    </w:p>
    <w:p w:rsidR="00500724" w:rsidRDefault="00F30FB8">
      <w:pPr>
        <w:pStyle w:val="Zkladntext100"/>
        <w:numPr>
          <w:ilvl w:val="0"/>
          <w:numId w:val="114"/>
        </w:numPr>
        <w:shd w:val="clear" w:color="auto" w:fill="auto"/>
        <w:tabs>
          <w:tab w:val="left" w:pos="462"/>
        </w:tabs>
        <w:spacing w:line="240" w:lineRule="auto"/>
        <w:ind w:firstLine="240"/>
      </w:pPr>
      <w:r>
        <w:t xml:space="preserve">získáním lacných stavebných pozemkov, na ktorých by sa stavaly objekty z tehál, s </w:t>
      </w:r>
      <w:r>
        <w:t>troma obytnými etážami s po</w:t>
      </w:r>
      <w:r>
        <w:softHyphen/>
        <w:t>minutím všetkých železobetonových konštrukcií;</w:t>
      </w:r>
    </w:p>
    <w:p w:rsidR="00500724" w:rsidRDefault="00F30FB8">
      <w:pPr>
        <w:pStyle w:val="Zkladntext100"/>
        <w:numPr>
          <w:ilvl w:val="0"/>
          <w:numId w:val="114"/>
        </w:numPr>
        <w:shd w:val="clear" w:color="auto" w:fill="auto"/>
        <w:tabs>
          <w:tab w:val="left" w:pos="462"/>
        </w:tabs>
        <w:spacing w:line="240" w:lineRule="auto"/>
        <w:ind w:firstLine="240"/>
      </w:pPr>
      <w:r>
        <w:t xml:space="preserve">revíziou stavebných predpisov, ktoré sú </w:t>
      </w:r>
      <w:r>
        <w:rPr>
          <w:lang w:val="en-US" w:eastAsia="en-US" w:bidi="en-US"/>
        </w:rPr>
        <w:t xml:space="preserve">pre </w:t>
      </w:r>
      <w:r>
        <w:t>dnešnú dobu naprosto zastaralé a priečia sa všemožnému pokroku;</w:t>
      </w:r>
    </w:p>
    <w:p w:rsidR="00500724" w:rsidRDefault="00F30FB8">
      <w:pPr>
        <w:pStyle w:val="Zkladntext100"/>
        <w:numPr>
          <w:ilvl w:val="0"/>
          <w:numId w:val="114"/>
        </w:numPr>
        <w:shd w:val="clear" w:color="auto" w:fill="auto"/>
        <w:tabs>
          <w:tab w:val="left" w:pos="447"/>
        </w:tabs>
        <w:spacing w:line="240" w:lineRule="auto"/>
        <w:ind w:firstLine="240"/>
      </w:pPr>
      <w:r>
        <w:t>novými stavebnými jednotkami vo výrobě tehliarského materiálu. Soslabením</w:t>
      </w:r>
      <w:r>
        <w:t xml:space="preserve"> nosných múrov, ktoré zostávajú pri tom kvalitnými a vo všetkých smeroch požadavkom doby výhovu júcimi;</w:t>
      </w:r>
    </w:p>
    <w:p w:rsidR="00500724" w:rsidRDefault="00F30FB8">
      <w:pPr>
        <w:pStyle w:val="Zkladntext100"/>
        <w:numPr>
          <w:ilvl w:val="0"/>
          <w:numId w:val="114"/>
        </w:numPr>
        <w:shd w:val="clear" w:color="auto" w:fill="auto"/>
        <w:tabs>
          <w:tab w:val="left" w:pos="438"/>
        </w:tabs>
        <w:spacing w:line="240" w:lineRule="auto"/>
        <w:ind w:firstLine="240"/>
      </w:pPr>
      <w:r>
        <w:t>stropy, ako ich dnes prevádzame, sú příliš složité, ťažké, vyžadujúce dlhej doby prevádzacej. (Je mi známe, že sa už nová zjednodušená konštrukcia strop</w:t>
      </w:r>
      <w:r>
        <w:t>ov připravuje v zná</w:t>
      </w:r>
      <w:r>
        <w:softHyphen/>
        <w:t>mých tehliarskych podnikoch v Hrochovom Týnci);</w:t>
      </w:r>
    </w:p>
    <w:p w:rsidR="00500724" w:rsidRDefault="00F30FB8">
      <w:pPr>
        <w:pStyle w:val="Zkladntext100"/>
        <w:numPr>
          <w:ilvl w:val="0"/>
          <w:numId w:val="114"/>
        </w:numPr>
        <w:shd w:val="clear" w:color="auto" w:fill="auto"/>
        <w:tabs>
          <w:tab w:val="left" w:pos="442"/>
        </w:tabs>
        <w:spacing w:line="240" w:lineRule="auto"/>
        <w:ind w:firstLine="240"/>
      </w:pPr>
      <w:r>
        <w:t>upuštěním od rovných striech, ktorých sa užívá ako te</w:t>
      </w:r>
      <w:r>
        <w:softHyphen/>
        <w:t>ras;</w:t>
      </w:r>
    </w:p>
    <w:p w:rsidR="00500724" w:rsidRDefault="00F30FB8">
      <w:pPr>
        <w:pStyle w:val="Zkladntext100"/>
        <w:numPr>
          <w:ilvl w:val="0"/>
          <w:numId w:val="114"/>
        </w:numPr>
        <w:shd w:val="clear" w:color="auto" w:fill="auto"/>
        <w:tabs>
          <w:tab w:val="left" w:pos="447"/>
        </w:tabs>
        <w:spacing w:line="240" w:lineRule="auto"/>
        <w:ind w:firstLine="240"/>
      </w:pPr>
      <w:r>
        <w:t>ďalšim najdóležitejšim bodom je otázka oprostenia sa od zbytočného přepychu, ktorý sa prejavuje u nás dnes už ako naprostá nezbyt</w:t>
      </w:r>
      <w:r>
        <w:t>nost’ a samozřejmost’, a to v mene tak zvanej hygieny. Je to:</w:t>
      </w:r>
    </w:p>
    <w:p w:rsidR="00500724" w:rsidRDefault="00F30FB8">
      <w:pPr>
        <w:pStyle w:val="Zkladntext100"/>
        <w:numPr>
          <w:ilvl w:val="0"/>
          <w:numId w:val="115"/>
        </w:numPr>
        <w:shd w:val="clear" w:color="auto" w:fill="auto"/>
        <w:tabs>
          <w:tab w:val="left" w:pos="476"/>
        </w:tabs>
        <w:spacing w:line="240" w:lineRule="auto"/>
        <w:ind w:firstLine="240"/>
      </w:pPr>
      <w:r>
        <w:t>keramické dlažby v sieňach, schodištiach, chodbách, predsieňach, kuchyniach, kúpel’nách a záchodoch. Keď uvá- žime, že šamotové dlažby stoja dnes K 80.— za 1 m’ a že je možno nahradit’ ich dlažb</w:t>
      </w:r>
      <w:r>
        <w:t>ami z tvrdopálenej hliny za K 26.— až 30.— za 1 m</w:t>
      </w:r>
      <w:r>
        <w:rPr>
          <w:vertAlign w:val="superscript"/>
        </w:rPr>
        <w:t>2</w:t>
      </w:r>
      <w:r>
        <w:t>, pri čom i tieto v každom smere požiadavkom hygieny vyhovujú, prejaví sa nám rozdiel nákladu.</w:t>
      </w:r>
    </w:p>
    <w:p w:rsidR="00500724" w:rsidRDefault="00F30FB8">
      <w:pPr>
        <w:pStyle w:val="Zkladntext100"/>
        <w:numPr>
          <w:ilvl w:val="0"/>
          <w:numId w:val="115"/>
        </w:numPr>
        <w:shd w:val="clear" w:color="auto" w:fill="auto"/>
        <w:tabs>
          <w:tab w:val="left" w:pos="466"/>
        </w:tabs>
        <w:spacing w:line="240" w:lineRule="auto"/>
        <w:ind w:firstLine="240"/>
      </w:pPr>
      <w:r>
        <w:t>Obklady stien flieskami vo všetkých výšuvedených miestnostiach možno celkom dobré nahradit’ olejovými lebo lako</w:t>
      </w:r>
      <w:r>
        <w:t>vými nátermi. Aj tu možno šetřit’. Keď sa počítá za flieskový obklad od 120 do 160 K za 1 m</w:t>
      </w:r>
      <w:r>
        <w:rPr>
          <w:vertAlign w:val="superscript"/>
        </w:rPr>
        <w:t>2</w:t>
      </w:r>
      <w:r>
        <w:t>, možno pěkný nátěr zhotovit’ za 18—20 K za 1 m</w:t>
      </w:r>
      <w:r>
        <w:rPr>
          <w:vertAlign w:val="superscript"/>
        </w:rPr>
        <w:t>2</w:t>
      </w:r>
      <w:r>
        <w:t xml:space="preserve"> a obklady flieskami obmedziť na 2 až 3 m</w:t>
      </w:r>
      <w:r>
        <w:rPr>
          <w:vertAlign w:val="superscript"/>
        </w:rPr>
        <w:t>2</w:t>
      </w:r>
      <w:r>
        <w:t xml:space="preserve"> pri šporákoch a umyvadlách.</w:t>
      </w:r>
    </w:p>
    <w:p w:rsidR="00500724" w:rsidRDefault="00F30FB8">
      <w:pPr>
        <w:pStyle w:val="Zkladntext100"/>
        <w:numPr>
          <w:ilvl w:val="0"/>
          <w:numId w:val="115"/>
        </w:numPr>
        <w:shd w:val="clear" w:color="auto" w:fill="auto"/>
        <w:tabs>
          <w:tab w:val="left" w:pos="476"/>
        </w:tabs>
        <w:spacing w:line="240" w:lineRule="auto"/>
        <w:ind w:firstLine="240"/>
      </w:pPr>
      <w:r>
        <w:t>Otázka podláh v obytných miestnostiach. Aj tu</w:t>
      </w:r>
      <w:r>
        <w:t xml:space="preserve"> nám chýba lačný, ale kvalitný materiál. Baťov „Zlinolit“ je o po- lovicu lačnější ako parkety, ale bude třeba z něho odstrániť Zápach, ktorý vzniká pri vyšších teplotách a pri slnečnom svite do miestnosti. Ináč by „Zlinolit“ vyhovoval a pri ďal- šom rozší</w:t>
      </w:r>
      <w:r>
        <w:t>ření spotřeby i v cene iste klesnul. Tiež iné druhy umělých podláh, keď sú lačné a dokonalé, musia postačit’.</w:t>
      </w:r>
    </w:p>
    <w:p w:rsidR="00500724" w:rsidRDefault="00F30FB8">
      <w:pPr>
        <w:pStyle w:val="Zkladntext100"/>
        <w:numPr>
          <w:ilvl w:val="0"/>
          <w:numId w:val="115"/>
        </w:numPr>
        <w:shd w:val="clear" w:color="auto" w:fill="auto"/>
        <w:tabs>
          <w:tab w:val="left" w:pos="510"/>
        </w:tabs>
        <w:spacing w:line="240" w:lineRule="auto"/>
        <w:ind w:firstLine="240"/>
      </w:pPr>
      <w:r>
        <w:t>Prevádzame instalatérských práč. Zamurovávanie insta</w:t>
      </w:r>
      <w:r>
        <w:softHyphen/>
        <w:t xml:space="preserve">latérských vedení do múrov je vec </w:t>
      </w:r>
      <w:r>
        <w:rPr>
          <w:lang w:val="en-US" w:eastAsia="en-US" w:bidi="en-US"/>
        </w:rPr>
        <w:t xml:space="preserve">vel’mi </w:t>
      </w:r>
      <w:r>
        <w:t>nákladná a potom aj nemožná., keď počítáme so zoslab</w:t>
      </w:r>
      <w:r>
        <w:t>ením múrov. Jedno je zá</w:t>
      </w:r>
      <w:r>
        <w:softHyphen/>
        <w:t xml:space="preserve">vislé na druhom. Ale aj za dnešného stavu věcí staviame slabé priečky a rózne medzisteny z dobrého materiálu aj ináč pečlive. Potom prichádza inštalatér s kladivom a dlátom a múry tieto preseká, rostrasie a uvolní tak, že sa už len </w:t>
      </w:r>
      <w:r>
        <w:t>čiastočne omietkou polepia. Kto chce lacnejšie a dobré sta- vať, ponechá rúry vodovodu, plynovodu, ústredného kúrenia na povrchu a situuje v miestach, kde najmenej prekážajú. Různobarevné nátěry označujú potom druh vedenia. Sekanie rýh a ich potomně zamuro</w:t>
      </w:r>
      <w:r>
        <w:t>vánie je velmi značnou položkou v nákladoch a nemálo by sa prevádzať v malých bytoch. Naj- horší sú elektrikáři so svojími trubkami a krabicami. Viem, ako sa věci nemajú robit’, ale třeba domyslieť odbornikom, ako spósob vedenia zjednodušit’ a zlacneť. V u</w:t>
      </w:r>
      <w:r>
        <w:t>rčitom smere ideme mílovými krokami dopředu, ale v niektorom sme ne- pomeme pozadu.</w:t>
      </w:r>
    </w:p>
    <w:p w:rsidR="00500724" w:rsidRDefault="00F30FB8">
      <w:pPr>
        <w:pStyle w:val="Zkladntext100"/>
        <w:shd w:val="clear" w:color="auto" w:fill="auto"/>
        <w:spacing w:line="240" w:lineRule="auto"/>
        <w:ind w:firstLine="240"/>
      </w:pPr>
      <w:r>
        <w:t xml:space="preserve">Snáď Masarykova akademia práce mohla by sa věci ujat’ a vypísať súťaže </w:t>
      </w:r>
      <w:r>
        <w:rPr>
          <w:lang w:val="en-US" w:eastAsia="en-US" w:bidi="en-US"/>
        </w:rPr>
        <w:t xml:space="preserve">pre </w:t>
      </w:r>
      <w:r>
        <w:t>jednotlivé obory, ako zjednodušit’, zhos- podárniť a zorganizovat’ na stavbě výšuvedené inštalačn</w:t>
      </w:r>
      <w:r>
        <w:t>é práce. Tiež výroba lacných okien a dvier normálnych typov, o ktoré sa už tak dlho jedná, nepokročila. Snáď by nám mohli pomoct baťovci.</w:t>
      </w:r>
    </w:p>
    <w:p w:rsidR="00500724" w:rsidRDefault="00F30FB8">
      <w:pPr>
        <w:pStyle w:val="Zkladntext100"/>
        <w:numPr>
          <w:ilvl w:val="0"/>
          <w:numId w:val="115"/>
        </w:numPr>
        <w:shd w:val="clear" w:color="auto" w:fill="auto"/>
        <w:tabs>
          <w:tab w:val="left" w:pos="481"/>
        </w:tabs>
        <w:spacing w:line="240" w:lineRule="auto"/>
        <w:ind w:firstLine="240"/>
      </w:pPr>
      <w:r>
        <w:t>Modemá architektúra oprostila sa po stránke vonkajšej až na hranicu skutočnej potřeby. Zato všetok přepych a zby- točn</w:t>
      </w:r>
      <w:r>
        <w:t>á nákladnost’ hodené boly bez rozmyslu do vnútra. Dnes kúpelňa v garsoniere, alebo v jednoizbovom byte nie je mysli</w:t>
      </w:r>
      <w:r>
        <w:softHyphen/>
        <w:t>telná ináč, ako so zamurovanou kúpacou vaňou, obloženou flieskami, akoby nebola právě tak hygienická volné stojaca vaňa smaltovaná, zvonka o</w:t>
      </w:r>
      <w:r>
        <w:t>patřená olejovým náterom. A aký rozdiel v cene oboch armatúr?</w:t>
      </w:r>
    </w:p>
    <w:p w:rsidR="00500724" w:rsidRDefault="00F30FB8">
      <w:pPr>
        <w:pStyle w:val="Zkladntext100"/>
        <w:shd w:val="clear" w:color="auto" w:fill="auto"/>
        <w:spacing w:line="240" w:lineRule="auto"/>
        <w:ind w:firstLine="240"/>
      </w:pPr>
      <w:r>
        <w:t xml:space="preserve">Hygienu v otázke bytovej sme určité přehnali cez medz, kde </w:t>
      </w:r>
      <w:r>
        <w:rPr>
          <w:lang w:val="en-US" w:eastAsia="en-US" w:bidi="en-US"/>
        </w:rPr>
        <w:t xml:space="preserve">pre </w:t>
      </w:r>
      <w:r>
        <w:t>samú hygienu vonkajšiu nezbývá potom na hygienu žalúdku, takže do prepychovej kuchyně nie je začo nakoniec priniesť zemiakov a mlie</w:t>
      </w:r>
      <w:r>
        <w:t>ka.</w:t>
      </w:r>
    </w:p>
    <w:p w:rsidR="00500724" w:rsidRDefault="00F30FB8">
      <w:pPr>
        <w:pStyle w:val="Zkladntext100"/>
        <w:shd w:val="clear" w:color="auto" w:fill="auto"/>
        <w:spacing w:line="240" w:lineRule="auto"/>
        <w:ind w:firstLine="240"/>
      </w:pPr>
      <w:r>
        <w:t>Som přesvědčený o tom, že za cenu tu navrhovanú zjedno</w:t>
      </w:r>
      <w:r>
        <w:softHyphen/>
        <w:t>dušením bude možno získat’ ďalší obývací priestor tak po</w:t>
      </w:r>
      <w:r>
        <w:softHyphen/>
        <w:t>třebný pri malých bytoch v mestách. Zázraky robit’ nevieme, ale zdravý rozum a zdravý poměr nezměnitelných cifier může byť východiskom z toh</w:t>
      </w:r>
      <w:r>
        <w:t>oto začarovaného kruhu. Stavanie a domový majetok musí byť za dnešného spoločenského po- riadku výnosný ako každé iné podnikanie.</w:t>
      </w:r>
    </w:p>
    <w:p w:rsidR="00500724" w:rsidRDefault="00F30FB8">
      <w:pPr>
        <w:pStyle w:val="Zkladntext100"/>
        <w:shd w:val="clear" w:color="auto" w:fill="auto"/>
        <w:spacing w:after="140" w:line="228" w:lineRule="auto"/>
        <w:ind w:firstLine="0"/>
        <w:jc w:val="right"/>
        <w:rPr>
          <w:sz w:val="19"/>
          <w:szCs w:val="19"/>
        </w:rPr>
      </w:pPr>
      <w:r>
        <w:rPr>
          <w:i/>
          <w:iCs/>
          <w:sz w:val="19"/>
          <w:szCs w:val="19"/>
        </w:rPr>
        <w:t>Dr. h. c. arch. Dušan Jurkovič.</w:t>
      </w:r>
    </w:p>
    <w:p w:rsidR="00500724" w:rsidRDefault="00F30FB8">
      <w:pPr>
        <w:pStyle w:val="Zkladntext30"/>
        <w:shd w:val="clear" w:color="auto" w:fill="auto"/>
        <w:spacing w:after="0" w:line="240" w:lineRule="auto"/>
        <w:ind w:right="280" w:firstLine="0"/>
        <w:jc w:val="center"/>
        <w:rPr>
          <w:sz w:val="20"/>
          <w:szCs w:val="20"/>
        </w:rPr>
      </w:pPr>
      <w:r>
        <w:rPr>
          <w:b/>
          <w:bCs/>
          <w:sz w:val="20"/>
          <w:szCs w:val="20"/>
        </w:rPr>
        <w:t>Velká národní cena umělecká</w:t>
      </w:r>
    </w:p>
    <w:p w:rsidR="00500724" w:rsidRDefault="00F30FB8">
      <w:pPr>
        <w:pStyle w:val="Zkladntext100"/>
        <w:shd w:val="clear" w:color="auto" w:fill="auto"/>
        <w:spacing w:line="240" w:lineRule="auto"/>
        <w:ind w:left="780" w:firstLine="0"/>
      </w:pPr>
      <w:r>
        <w:t>Vážený pane redaktore!</w:t>
      </w:r>
    </w:p>
    <w:p w:rsidR="00500724" w:rsidRDefault="00F30FB8">
      <w:pPr>
        <w:pStyle w:val="Zkladntext100"/>
        <w:shd w:val="clear" w:color="auto" w:fill="auto"/>
        <w:spacing w:line="240" w:lineRule="auto"/>
        <w:ind w:firstLine="240"/>
      </w:pPr>
      <w:r>
        <w:t xml:space="preserve">O problémech našeho umění bylo již mnoho </w:t>
      </w:r>
      <w:r>
        <w:t>mluveno. Domní</w:t>
      </w:r>
      <w:r>
        <w:softHyphen/>
        <w:t>vám se, že mnohé tyto debaty zbytečně dráždí a namnoze urážejí umělce samy.</w:t>
      </w:r>
    </w:p>
    <w:p w:rsidR="00500724" w:rsidRDefault="00F30FB8">
      <w:pPr>
        <w:pStyle w:val="Zkladntext100"/>
        <w:shd w:val="clear" w:color="auto" w:fill="auto"/>
        <w:spacing w:line="240" w:lineRule="auto"/>
        <w:ind w:firstLine="240"/>
      </w:pPr>
      <w:r>
        <w:t>Myslím, že alfou i omegou všech těchto debat jest požada</w:t>
      </w:r>
      <w:r>
        <w:softHyphen/>
        <w:t xml:space="preserve">vek vzniku skutečného národního umění. Nemyslím však, že by se tohoto cíle dosáhlo tím, že laikové budou </w:t>
      </w:r>
      <w:r>
        <w:t>nahlížeti uměl</w:t>
      </w:r>
      <w:r>
        <w:softHyphen/>
        <w:t>cům do žaludku, pod pero, pod štětec, že laikové budou chtít umělcům vésti ruku.</w:t>
      </w:r>
    </w:p>
    <w:p w:rsidR="00500724" w:rsidRDefault="00F30FB8">
      <w:pPr>
        <w:pStyle w:val="Zkladntext100"/>
        <w:shd w:val="clear" w:color="auto" w:fill="auto"/>
        <w:spacing w:line="240" w:lineRule="auto"/>
        <w:ind w:firstLine="240"/>
      </w:pPr>
      <w:r>
        <w:t>Tak se dnešní problém řešiti nedá, nechce-li se dosáhnouti pravého opaku: znechucení tvůrčí práce a roztříštěnosti dosa</w:t>
      </w:r>
      <w:r>
        <w:softHyphen/>
        <w:t>žených tvůrčích forem.</w:t>
      </w:r>
    </w:p>
    <w:p w:rsidR="00500724" w:rsidRDefault="00F30FB8">
      <w:pPr>
        <w:pStyle w:val="Zkladntext100"/>
        <w:shd w:val="clear" w:color="auto" w:fill="auto"/>
        <w:spacing w:line="240" w:lineRule="auto"/>
        <w:ind w:firstLine="240"/>
      </w:pPr>
      <w:r>
        <w:t>Chceme národní um</w:t>
      </w:r>
      <w:r>
        <w:t>ění. Pomozme si svépomocí. Jak?</w:t>
      </w:r>
    </w:p>
    <w:p w:rsidR="00500724" w:rsidRDefault="00F30FB8">
      <w:pPr>
        <w:pStyle w:val="Zkladntext100"/>
        <w:shd w:val="clear" w:color="auto" w:fill="auto"/>
        <w:spacing w:line="240" w:lineRule="auto"/>
        <w:ind w:firstLine="240"/>
      </w:pPr>
      <w:r>
        <w:t>Svépomoc představoval bych si takto:</w:t>
      </w:r>
    </w:p>
    <w:p w:rsidR="00500724" w:rsidRDefault="00F30FB8">
      <w:pPr>
        <w:pStyle w:val="Zkladntext100"/>
        <w:shd w:val="clear" w:color="auto" w:fill="auto"/>
        <w:spacing w:line="240" w:lineRule="auto"/>
        <w:ind w:firstLine="240"/>
      </w:pPr>
      <w:r>
        <w:t>Zřiďme „Velkou národní cenu“ pro spisovatele, malíře, so</w:t>
      </w:r>
      <w:r>
        <w:softHyphen/>
        <w:t>chaře, hudební skladatele a p. „Velká národní cena“ nechť jest veřejnou uměleckou soutěží v širokém organisačním rámci ná</w:t>
      </w:r>
      <w:r>
        <w:softHyphen/>
        <w:t xml:space="preserve">rodního </w:t>
      </w:r>
      <w:r>
        <w:t>festivalu.</w:t>
      </w:r>
    </w:p>
    <w:p w:rsidR="00500724" w:rsidRDefault="00F30FB8">
      <w:pPr>
        <w:pStyle w:val="Zkladntext100"/>
        <w:shd w:val="clear" w:color="auto" w:fill="auto"/>
        <w:spacing w:line="240" w:lineRule="auto"/>
        <w:ind w:firstLine="240"/>
      </w:pPr>
      <w:r>
        <w:t>V náznaku nastiňuji organisační rámec:</w:t>
      </w:r>
    </w:p>
    <w:p w:rsidR="00500724" w:rsidRDefault="00F30FB8">
      <w:pPr>
        <w:pStyle w:val="Zkladntext100"/>
        <w:shd w:val="clear" w:color="auto" w:fill="auto"/>
        <w:spacing w:line="240" w:lineRule="auto"/>
        <w:ind w:firstLine="240"/>
      </w:pPr>
      <w:r>
        <w:t>Výstava děl knižních: širší, pak užší soutěž, díla z užší soutěže vydat! velkým nákladem v levném lidovém vydání. Národní hlasování na kuponech, zasílaných jako hlaso</w:t>
      </w:r>
      <w:r>
        <w:softHyphen/>
        <w:t>vací lístky do ústředí „Velké národní c</w:t>
      </w:r>
      <w:r>
        <w:t>eny“ poštou. Tyto hla</w:t>
      </w:r>
      <w:r>
        <w:softHyphen/>
        <w:t>sovací lístky byly by osvobozeny od poštovného.</w:t>
      </w:r>
    </w:p>
    <w:p w:rsidR="00500724" w:rsidRDefault="00F30FB8">
      <w:pPr>
        <w:pStyle w:val="Zkladntext100"/>
        <w:shd w:val="clear" w:color="auto" w:fill="auto"/>
        <w:spacing w:line="240" w:lineRule="auto"/>
        <w:ind w:firstLine="240"/>
      </w:pPr>
      <w:r>
        <w:t>Výstava děl m a 1 í ř s k ý c h a s o c h a ř s k ý c h: ve vhodných místnostech, nepatrné vstupné, u každé vstupen</w:t>
      </w:r>
      <w:r>
        <w:softHyphen/>
        <w:t>ky hlasovací kupon, jenž by byl odevzdán s označením díla při opouštěn</w:t>
      </w:r>
      <w:r>
        <w:t>í výstavy.</w:t>
      </w:r>
    </w:p>
    <w:p w:rsidR="00500724" w:rsidRDefault="00F30FB8">
      <w:pPr>
        <w:pStyle w:val="Zkladntext100"/>
        <w:shd w:val="clear" w:color="auto" w:fill="auto"/>
        <w:tabs>
          <w:tab w:val="left" w:pos="4147"/>
        </w:tabs>
        <w:spacing w:after="340" w:line="240" w:lineRule="auto"/>
        <w:ind w:firstLine="240"/>
        <w:rPr>
          <w:sz w:val="19"/>
          <w:szCs w:val="19"/>
        </w:rPr>
      </w:pPr>
      <w:r>
        <w:t>Soutěž hudební v Národním divadle, přenos rozhla</w:t>
      </w:r>
      <w:r>
        <w:softHyphen/>
        <w:t>sem; v ostatních oborech umělecké činnosti obdobně. Současně bylo by lze pořádati výstavu bydlení, stolování a p., jakož i akce zřízené již organisaci „Radost ze života“. Návštěvníkům „Velké národ</w:t>
      </w:r>
      <w:r>
        <w:t xml:space="preserve">ní ceny“ poskytnouti slevy na dráze, propagovat </w:t>
      </w:r>
      <w:r>
        <w:rPr>
          <w:u w:val="single"/>
        </w:rPr>
        <w:t>ji tiskem, rozhlasem atd.</w:t>
      </w:r>
      <w:r>
        <w:rPr>
          <w:u w:val="single"/>
        </w:rPr>
        <w:tab/>
      </w:r>
      <w:r>
        <w:rPr>
          <w:i/>
          <w:iCs/>
          <w:sz w:val="19"/>
          <w:szCs w:val="19"/>
          <w:u w:val="single"/>
        </w:rPr>
        <w:t xml:space="preserve">V. </w:t>
      </w:r>
      <w:r>
        <w:rPr>
          <w:i/>
          <w:iCs/>
          <w:sz w:val="19"/>
          <w:szCs w:val="19"/>
          <w:u w:val="single"/>
          <w:lang w:val="en-US" w:eastAsia="en-US" w:bidi="en-US"/>
        </w:rPr>
        <w:t>Svanda.</w:t>
      </w:r>
    </w:p>
    <w:p w:rsidR="00500724" w:rsidRDefault="00F30FB8">
      <w:pPr>
        <w:pStyle w:val="Jin0"/>
        <w:shd w:val="clear" w:color="auto" w:fill="auto"/>
        <w:spacing w:after="120"/>
        <w:ind w:firstLine="0"/>
        <w:jc w:val="left"/>
        <w:rPr>
          <w:sz w:val="40"/>
          <w:szCs w:val="40"/>
        </w:rPr>
      </w:pPr>
      <w:r>
        <w:rPr>
          <w:rFonts w:ascii="Arial" w:eastAsia="Arial" w:hAnsi="Arial" w:cs="Arial"/>
          <w:i/>
          <w:iCs/>
          <w:sz w:val="40"/>
          <w:szCs w:val="40"/>
        </w:rPr>
        <w:t xml:space="preserve">Nezlobí vás zubní </w:t>
      </w:r>
      <w:r>
        <w:rPr>
          <w:rFonts w:ascii="Arial" w:eastAsia="Arial" w:hAnsi="Arial" w:cs="Arial"/>
          <w:i/>
          <w:iCs/>
          <w:sz w:val="40"/>
          <w:szCs w:val="40"/>
          <w:lang w:val="en-US" w:eastAsia="en-US" w:bidi="en-US"/>
        </w:rPr>
        <w:t>film?</w:t>
      </w:r>
    </w:p>
    <w:p w:rsidR="00500724" w:rsidRDefault="00F30FB8">
      <w:pPr>
        <w:pStyle w:val="Zkladntext100"/>
        <w:shd w:val="clear" w:color="auto" w:fill="auto"/>
        <w:spacing w:line="240" w:lineRule="auto"/>
        <w:ind w:left="780" w:right="340" w:firstLine="0"/>
        <w:sectPr w:rsidR="00500724">
          <w:footnotePr>
            <w:numFmt w:val="chicago"/>
            <w:numRestart w:val="eachPage"/>
          </w:footnotePr>
          <w:type w:val="continuous"/>
          <w:pgSz w:w="11909" w:h="16834"/>
          <w:pgMar w:top="1007" w:right="926" w:bottom="1024" w:left="513" w:header="0" w:footer="3" w:gutter="0"/>
          <w:cols w:num="2" w:space="131"/>
          <w:noEndnote/>
          <w:docGrid w:linePitch="360"/>
        </w:sectPr>
      </w:pPr>
      <w:r>
        <w:t xml:space="preserve">Nezdá se Vám, že Vaše zuby — ačkoliv si je denně čistíte — nejsou tak dokonale bílé a lesklé, jak by měly být? </w:t>
      </w:r>
      <w:r>
        <w:t>Lehoučký matný stín na jejich povrchu je mucinový povlak — tak zvaný zubní film. Jak se ho zbavíte ? Velmi snadno. Opatřete si specielní zubní pastu BIS-ACIDENTOL. Odstraňuje zubní film a má znamenité účinky antiseptické. Jest na</w:t>
      </w:r>
      <w:r>
        <w:softHyphen/>
        <w:t>kyslé ovocné příchuti a bo</w:t>
      </w:r>
      <w:r>
        <w:t xml:space="preserve">hatě pění. Působí pocit čistoty a svěžesti v dutině ústní. Je vydatná a velmi úsporná. Užívejte BIS-ACXDENTOL, zubní </w:t>
      </w:r>
      <w:r>
        <w:t>pastu pro náročné.</w:t>
      </w:r>
    </w:p>
    <w:p w:rsidR="00500724" w:rsidRDefault="00F30FB8">
      <w:pPr>
        <w:pStyle w:val="Nadpis50"/>
        <w:keepNext/>
        <w:keepLines/>
        <w:framePr w:w="7186" w:h="1488" w:wrap="none" w:vAnchor="text" w:hAnchor="page" w:x="3474" w:y="505"/>
        <w:shd w:val="clear" w:color="auto" w:fill="auto"/>
      </w:pPr>
      <w:bookmarkStart w:id="876" w:name="bookmark875"/>
      <w:r>
        <w:t>vět knih</w:t>
      </w:r>
      <w:bookmarkEnd w:id="876"/>
    </w:p>
    <w:p w:rsidR="00500724" w:rsidRDefault="00F30FB8">
      <w:pPr>
        <w:pStyle w:val="Nadpis80"/>
        <w:keepNext/>
        <w:keepLines/>
        <w:framePr w:w="7430" w:h="542" w:wrap="none" w:vAnchor="text" w:hAnchor="page" w:x="3263" w:y="1993"/>
        <w:shd w:val="clear" w:color="auto" w:fill="auto"/>
        <w:spacing w:after="0"/>
        <w:rPr>
          <w:sz w:val="44"/>
          <w:szCs w:val="44"/>
        </w:rPr>
      </w:pPr>
      <w:bookmarkStart w:id="877" w:name="bookmark876"/>
      <w:r>
        <w:rPr>
          <w:rFonts w:ascii="Arial" w:eastAsia="Arial" w:hAnsi="Arial" w:cs="Arial"/>
          <w:b/>
          <w:bCs/>
          <w:sz w:val="34"/>
          <w:szCs w:val="34"/>
          <w:u w:val="none"/>
        </w:rPr>
        <w:t xml:space="preserve">KULTURNÍ </w:t>
      </w:r>
      <w:r>
        <w:rPr>
          <w:rFonts w:ascii="Arial" w:eastAsia="Arial" w:hAnsi="Arial" w:cs="Arial"/>
          <w:smallCaps/>
          <w:sz w:val="44"/>
          <w:szCs w:val="44"/>
          <w:u w:val="none"/>
        </w:rPr>
        <w:t>zpravodaj</w:t>
      </w:r>
      <w:bookmarkEnd w:id="877"/>
    </w:p>
    <w:p w:rsidR="00500724" w:rsidRDefault="00F30FB8">
      <w:pPr>
        <w:pStyle w:val="Zkladntext50"/>
        <w:framePr w:w="326" w:h="504" w:wrap="none" w:vAnchor="text" w:hAnchor="page" w:x="10943" w:y="21"/>
        <w:shd w:val="clear" w:color="auto" w:fill="auto"/>
        <w:spacing w:after="0" w:line="240" w:lineRule="auto"/>
        <w:ind w:left="0"/>
        <w:jc w:val="left"/>
      </w:pPr>
      <w:r>
        <w:rPr>
          <w:i/>
          <w:iCs/>
        </w:rPr>
        <w:t>va</w:t>
      </w:r>
    </w:p>
    <w:p w:rsidR="00500724" w:rsidRDefault="00F30FB8">
      <w:pPr>
        <w:pStyle w:val="Zkladntext100"/>
        <w:framePr w:w="326" w:h="504" w:wrap="none" w:vAnchor="text" w:hAnchor="page" w:x="10943" w:y="21"/>
        <w:shd w:val="clear" w:color="auto" w:fill="auto"/>
        <w:spacing w:line="190" w:lineRule="auto"/>
        <w:ind w:firstLine="0"/>
        <w:jc w:val="left"/>
        <w:rPr>
          <w:sz w:val="19"/>
          <w:szCs w:val="19"/>
        </w:rPr>
      </w:pPr>
      <w:r>
        <w:rPr>
          <w:b/>
          <w:bCs/>
          <w:sz w:val="19"/>
          <w:szCs w:val="19"/>
        </w:rPr>
        <w:t>O</w:t>
      </w:r>
    </w:p>
    <w:p w:rsidR="00500724" w:rsidRDefault="00F30FB8">
      <w:pPr>
        <w:pStyle w:val="Zkladntext100"/>
        <w:framePr w:w="326" w:h="504" w:wrap="none" w:vAnchor="text" w:hAnchor="page" w:x="10943" w:y="21"/>
        <w:shd w:val="clear" w:color="auto" w:fill="auto"/>
        <w:spacing w:line="180" w:lineRule="auto"/>
        <w:ind w:firstLine="0"/>
        <w:jc w:val="left"/>
        <w:rPr>
          <w:sz w:val="19"/>
          <w:szCs w:val="19"/>
        </w:rPr>
      </w:pPr>
      <w:r>
        <w:rPr>
          <w:b/>
          <w:bCs/>
          <w:sz w:val="19"/>
          <w:szCs w:val="19"/>
        </w:rPr>
        <w:t>r»&lt;</w:t>
      </w:r>
    </w:p>
    <w:p w:rsidR="00500724" w:rsidRDefault="00500724">
      <w:pPr>
        <w:spacing w:after="136" w:line="14" w:lineRule="exact"/>
      </w:pPr>
    </w:p>
    <w:p w:rsidR="00500724" w:rsidRDefault="00500724">
      <w:pPr>
        <w:spacing w:line="14" w:lineRule="exact"/>
        <w:sectPr w:rsidR="00500724">
          <w:footnotePr>
            <w:numFmt w:val="chicago"/>
            <w:numRestart w:val="eachPage"/>
          </w:footnotePr>
          <w:pgSz w:w="11909" w:h="16834"/>
          <w:pgMar w:top="2748" w:right="540" w:bottom="695" w:left="569" w:header="0" w:footer="3" w:gutter="0"/>
          <w:cols w:space="720"/>
          <w:noEndnote/>
          <w:docGrid w:linePitch="360"/>
        </w:sectPr>
      </w:pPr>
    </w:p>
    <w:p w:rsidR="00500724" w:rsidRDefault="00F30FB8">
      <w:pPr>
        <w:spacing w:line="14" w:lineRule="exact"/>
      </w:pPr>
      <w:r>
        <w:rPr>
          <w:noProof/>
        </w:rPr>
        <mc:AlternateContent>
          <mc:Choice Requires="wps">
            <w:drawing>
              <wp:anchor distT="0" distB="76200" distL="12700" distR="12700" simplePos="0" relativeHeight="125830238" behindDoc="0" locked="0" layoutInCell="1" allowOverlap="1">
                <wp:simplePos x="0" y="0"/>
                <wp:positionH relativeFrom="page">
                  <wp:posOffset>2138045</wp:posOffset>
                </wp:positionH>
                <wp:positionV relativeFrom="paragraph">
                  <wp:posOffset>12700</wp:posOffset>
                </wp:positionV>
                <wp:extent cx="3313430" cy="951230"/>
                <wp:effectExtent l="0" t="0" r="0" b="0"/>
                <wp:wrapTopAndBottom/>
                <wp:docPr id="861" name="Shape 861"/>
                <wp:cNvGraphicFramePr/>
                <a:graphic xmlns:a="http://schemas.openxmlformats.org/drawingml/2006/main">
                  <a:graphicData uri="http://schemas.microsoft.com/office/word/2010/wordprocessingShape">
                    <wps:wsp>
                      <wps:cNvSpPr txBox="1"/>
                      <wps:spPr>
                        <a:xfrm>
                          <a:off x="0" y="0"/>
                          <a:ext cx="3313430" cy="951230"/>
                        </a:xfrm>
                        <a:prstGeom prst="rect">
                          <a:avLst/>
                        </a:prstGeom>
                        <a:noFill/>
                      </wps:spPr>
                      <wps:txbx>
                        <w:txbxContent>
                          <w:p w:rsidR="00500724" w:rsidRDefault="00F30FB8">
                            <w:pPr>
                              <w:pStyle w:val="Zkladntext80"/>
                              <w:shd w:val="clear" w:color="auto" w:fill="auto"/>
                              <w:spacing w:after="120" w:line="240" w:lineRule="auto"/>
                              <w:jc w:val="center"/>
                              <w:rPr>
                                <w:sz w:val="24"/>
                                <w:szCs w:val="24"/>
                              </w:rPr>
                            </w:pPr>
                            <w:r>
                              <w:rPr>
                                <w:sz w:val="24"/>
                                <w:szCs w:val="24"/>
                              </w:rPr>
                              <w:t>Tajemství věcí</w:t>
                            </w:r>
                          </w:p>
                          <w:p w:rsidR="00500724" w:rsidRDefault="00F30FB8">
                            <w:pPr>
                              <w:pStyle w:val="Zkladntext50"/>
                              <w:shd w:val="clear" w:color="auto" w:fill="auto"/>
                              <w:tabs>
                                <w:tab w:val="left" w:pos="4622"/>
                              </w:tabs>
                              <w:spacing w:after="0" w:line="209" w:lineRule="auto"/>
                              <w:ind w:left="0" w:firstLine="200"/>
                              <w:rPr>
                                <w:sz w:val="12"/>
                                <w:szCs w:val="12"/>
                              </w:rPr>
                            </w:pPr>
                            <w:r>
                              <w:t>Čím bohatší vnitřní svět, tím jasněii</w:t>
                            </w:r>
                            <w:r>
                              <w:t xml:space="preserve"> zří člověk také bohatství vnějšího. Vždyť ten iest přece protivou onoho. Čím veselejší jest tvé srdce, tím jasněji září slunce. Čím hlubším tě učinila,bolest, tím hlouběji se ti otvírá tajemství věcí. Čím ušlechtilejší duše, tím skvostnější jest před ní k</w:t>
                            </w:r>
                            <w:r>
                              <w:t>větina, hora i hvězda. Čím širší jest láska, tím silnější souzvuk všude cítí.</w:t>
                            </w:r>
                            <w:r>
                              <w:tab/>
                            </w:r>
                            <w:r>
                              <w:rPr>
                                <w:i/>
                                <w:iCs/>
                                <w:sz w:val="12"/>
                                <w:szCs w:val="12"/>
                              </w:rPr>
                              <w:t>Quardini</w:t>
                            </w:r>
                          </w:p>
                        </w:txbxContent>
                      </wps:txbx>
                      <wps:bodyPr lIns="0" tIns="0" rIns="0" bIns="0">
                        <a:spAutoFit/>
                      </wps:bodyPr>
                    </wps:wsp>
                  </a:graphicData>
                </a:graphic>
              </wp:anchor>
            </w:drawing>
          </mc:Choice>
          <mc:Fallback>
            <w:pict>
              <v:shape id="_x0000_s1887" type="#_x0000_t202" style="position:absolute;margin-left:168.34999999999999pt;margin-top:1.pt;width:260.89999999999998pt;height:74.900000000000006pt;z-index:-125828515;mso-wrap-distance-left:1.pt;mso-wrap-distance-right:1.pt;mso-wrap-distance-bottom:6.pt;mso-position-horizontal-relative:page" filled="f" stroked="f">
                <v:textbox style="mso-fit-shape-to-text:t" inset="0,0,0,0">
                  <w:txbxContent>
                    <w:p>
                      <w:pPr>
                        <w:pStyle w:val="Style150"/>
                        <w:keepNext w:val="0"/>
                        <w:keepLines w:val="0"/>
                        <w:widowControl w:val="0"/>
                        <w:shd w:val="clear" w:color="auto" w:fill="auto"/>
                        <w:bidi w:val="0"/>
                        <w:spacing w:before="0" w:after="12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Tajemství věcí</w:t>
                      </w:r>
                    </w:p>
                    <w:p>
                      <w:pPr>
                        <w:pStyle w:val="Style80"/>
                        <w:keepNext w:val="0"/>
                        <w:keepLines w:val="0"/>
                        <w:widowControl w:val="0"/>
                        <w:shd w:val="clear" w:color="auto" w:fill="auto"/>
                        <w:tabs>
                          <w:tab w:pos="4622" w:val="left"/>
                        </w:tabs>
                        <w:bidi w:val="0"/>
                        <w:spacing w:before="0" w:after="0" w:line="209" w:lineRule="auto"/>
                        <w:ind w:left="0" w:right="0" w:firstLine="200"/>
                        <w:rPr>
                          <w:sz w:val="12"/>
                          <w:szCs w:val="12"/>
                        </w:rPr>
                      </w:pPr>
                      <w:r>
                        <w:rPr>
                          <w:color w:val="000000"/>
                          <w:spacing w:val="0"/>
                          <w:w w:val="100"/>
                          <w:position w:val="0"/>
                          <w:sz w:val="17"/>
                          <w:szCs w:val="17"/>
                          <w:shd w:val="clear" w:color="auto" w:fill="auto"/>
                          <w:lang w:val="cs-CZ" w:eastAsia="cs-CZ" w:bidi="cs-CZ"/>
                        </w:rPr>
                        <w:t>Čím bohatší vnitřní svět, tím jasněii zří člověk také bohatství vnějšího. Vždyť ten iest přece protivou onoho. Čím veselejší jest tvé srdce, tím jasněji září slunce. Čím hlubším tě učinila,bolest, tím hlouběji se ti otvírá tajemství věcí. Čím ušlechtilejší duše, tím skvostnější jest před ní květina, hora i hvězda. Čím širší jest láska, tím silnější souzvuk všude cítí.</w:t>
                        <w:tab/>
                      </w:r>
                      <w:r>
                        <w:rPr>
                          <w:i/>
                          <w:iCs/>
                          <w:color w:val="000000"/>
                          <w:spacing w:val="0"/>
                          <w:w w:val="100"/>
                          <w:position w:val="0"/>
                          <w:sz w:val="12"/>
                          <w:szCs w:val="12"/>
                          <w:shd w:val="clear" w:color="auto" w:fill="auto"/>
                          <w:lang w:val="cs-CZ" w:eastAsia="cs-CZ" w:bidi="cs-CZ"/>
                        </w:rPr>
                        <w:t>Quardini</w:t>
                      </w:r>
                    </w:p>
                  </w:txbxContent>
                </v:textbox>
                <w10:wrap type="topAndBottom" anchorx="page"/>
              </v:shape>
            </w:pict>
          </mc:Fallback>
        </mc:AlternateContent>
      </w:r>
    </w:p>
    <w:p w:rsidR="00500724" w:rsidRDefault="00F30FB8">
      <w:pPr>
        <w:pStyle w:val="Zkladntext100"/>
        <w:shd w:val="clear" w:color="auto" w:fill="auto"/>
        <w:spacing w:after="60" w:line="221" w:lineRule="auto"/>
        <w:ind w:firstLine="0"/>
        <w:rPr>
          <w:sz w:val="17"/>
          <w:szCs w:val="17"/>
        </w:rPr>
      </w:pPr>
      <w:r>
        <w:rPr>
          <w:i/>
          <w:iCs/>
          <w:sz w:val="17"/>
          <w:szCs w:val="17"/>
        </w:rPr>
        <w:t>Viktor Dyk:</w:t>
      </w:r>
    </w:p>
    <w:p w:rsidR="00500724" w:rsidRDefault="00F30FB8">
      <w:pPr>
        <w:pStyle w:val="Zkladntext100"/>
        <w:shd w:val="clear" w:color="auto" w:fill="auto"/>
        <w:spacing w:after="80" w:line="240" w:lineRule="auto"/>
        <w:ind w:firstLine="0"/>
        <w:jc w:val="center"/>
        <w:rPr>
          <w:sz w:val="19"/>
          <w:szCs w:val="19"/>
        </w:rPr>
      </w:pPr>
      <w:r>
        <w:rPr>
          <w:b/>
          <w:bCs/>
          <w:sz w:val="19"/>
          <w:szCs w:val="19"/>
        </w:rPr>
        <w:t>ZTRACENÉ ILUSE</w:t>
      </w:r>
      <w:r>
        <w:rPr>
          <w:b/>
          <w:bCs/>
          <w:sz w:val="19"/>
          <w:szCs w:val="19"/>
        </w:rPr>
        <w:footnoteReference w:id="13"/>
      </w:r>
    </w:p>
    <w:p w:rsidR="00500724" w:rsidRDefault="00F30FB8">
      <w:pPr>
        <w:pStyle w:val="Zkladntext100"/>
        <w:shd w:val="clear" w:color="auto" w:fill="auto"/>
        <w:spacing w:after="60" w:line="221" w:lineRule="auto"/>
        <w:ind w:left="1240" w:firstLine="0"/>
        <w:jc w:val="left"/>
        <w:rPr>
          <w:sz w:val="17"/>
          <w:szCs w:val="17"/>
        </w:rPr>
      </w:pPr>
      <w:r>
        <w:rPr>
          <w:i/>
          <w:iCs/>
          <w:sz w:val="17"/>
          <w:szCs w:val="17"/>
        </w:rPr>
        <w:t>I.</w:t>
      </w:r>
    </w:p>
    <w:p w:rsidR="00500724" w:rsidRDefault="00F30FB8">
      <w:pPr>
        <w:pStyle w:val="Zkladntext100"/>
        <w:shd w:val="clear" w:color="auto" w:fill="auto"/>
        <w:spacing w:line="221" w:lineRule="auto"/>
        <w:ind w:left="580" w:hanging="580"/>
        <w:jc w:val="left"/>
        <w:rPr>
          <w:sz w:val="17"/>
          <w:szCs w:val="17"/>
        </w:rPr>
      </w:pPr>
      <w:r>
        <w:rPr>
          <w:i/>
          <w:iCs/>
          <w:sz w:val="17"/>
          <w:szCs w:val="17"/>
        </w:rPr>
        <w:t>8 jasnýma očima jsi kolem sebe zíral,</w:t>
      </w:r>
    </w:p>
    <w:p w:rsidR="00500724" w:rsidRDefault="00F30FB8">
      <w:pPr>
        <w:pStyle w:val="Zkladntext100"/>
        <w:shd w:val="clear" w:color="auto" w:fill="auto"/>
        <w:spacing w:line="221" w:lineRule="auto"/>
        <w:ind w:firstLine="0"/>
        <w:jc w:val="left"/>
        <w:rPr>
          <w:sz w:val="17"/>
          <w:szCs w:val="17"/>
        </w:rPr>
      </w:pPr>
      <w:r>
        <w:rPr>
          <w:i/>
          <w:iCs/>
          <w:sz w:val="17"/>
          <w:szCs w:val="17"/>
        </w:rPr>
        <w:t>byl jasný obzor, jasně /perlil smích. Zítřejšek sliboval, kdy Z dnešek</w:t>
      </w:r>
    </w:p>
    <w:p w:rsidR="00500724" w:rsidRDefault="00F30FB8">
      <w:pPr>
        <w:pStyle w:val="Zkladntext100"/>
        <w:shd w:val="clear" w:color="auto" w:fill="auto"/>
        <w:spacing w:line="221" w:lineRule="auto"/>
        <w:ind w:left="580" w:firstLine="20"/>
        <w:jc w:val="left"/>
        <w:rPr>
          <w:sz w:val="17"/>
          <w:szCs w:val="17"/>
        </w:rPr>
      </w:pPr>
      <w:r>
        <w:rPr>
          <w:i/>
          <w:iCs/>
          <w:sz w:val="17"/>
          <w:szCs w:val="17"/>
        </w:rPr>
        <w:t>odumíral,</w:t>
      </w:r>
    </w:p>
    <w:p w:rsidR="00500724" w:rsidRDefault="00F30FB8">
      <w:pPr>
        <w:pStyle w:val="Zkladntext100"/>
        <w:shd w:val="clear" w:color="auto" w:fill="auto"/>
        <w:spacing w:after="80" w:line="221" w:lineRule="auto"/>
        <w:ind w:firstLine="0"/>
        <w:rPr>
          <w:sz w:val="17"/>
          <w:szCs w:val="17"/>
        </w:rPr>
      </w:pPr>
      <w:r>
        <w:rPr>
          <w:i/>
          <w:iCs/>
          <w:sz w:val="17"/>
          <w:szCs w:val="17"/>
        </w:rPr>
        <w:t>mluvily červánky o</w:t>
      </w:r>
      <w:r>
        <w:rPr>
          <w:i/>
          <w:iCs/>
          <w:sz w:val="17"/>
          <w:szCs w:val="17"/>
        </w:rPr>
        <w:t xml:space="preserve"> nových nadějích.</w:t>
      </w:r>
    </w:p>
    <w:p w:rsidR="00500724" w:rsidRDefault="00F30FB8">
      <w:pPr>
        <w:pStyle w:val="Zkladntext100"/>
        <w:shd w:val="clear" w:color="auto" w:fill="auto"/>
        <w:spacing w:line="214" w:lineRule="auto"/>
        <w:ind w:firstLine="0"/>
        <w:rPr>
          <w:sz w:val="17"/>
          <w:szCs w:val="17"/>
        </w:rPr>
      </w:pPr>
      <w:r>
        <w:rPr>
          <w:i/>
          <w:iCs/>
          <w:sz w:val="17"/>
          <w:szCs w:val="17"/>
        </w:rPr>
        <w:t>S jasnýma očima zírali kolem tebe. Téě jiskru v očích zřels a stejný</w:t>
      </w:r>
    </w:p>
    <w:p w:rsidR="00500724" w:rsidRDefault="00F30FB8">
      <w:pPr>
        <w:pStyle w:val="Zkladntext100"/>
        <w:shd w:val="clear" w:color="auto" w:fill="auto"/>
        <w:spacing w:line="214" w:lineRule="auto"/>
        <w:ind w:left="580" w:firstLine="20"/>
        <w:jc w:val="left"/>
        <w:rPr>
          <w:sz w:val="17"/>
          <w:szCs w:val="17"/>
        </w:rPr>
      </w:pPr>
      <w:r>
        <w:rPr>
          <w:i/>
          <w:iCs/>
          <w:sz w:val="17"/>
          <w:szCs w:val="17"/>
        </w:rPr>
        <w:t>v srdci čár.</w:t>
      </w:r>
    </w:p>
    <w:p w:rsidR="00500724" w:rsidRDefault="00F30FB8">
      <w:pPr>
        <w:pStyle w:val="Zkladntext100"/>
        <w:shd w:val="clear" w:color="auto" w:fill="auto"/>
        <w:spacing w:line="214" w:lineRule="auto"/>
        <w:ind w:left="580" w:hanging="580"/>
        <w:jc w:val="left"/>
        <w:rPr>
          <w:sz w:val="17"/>
          <w:szCs w:val="17"/>
        </w:rPr>
      </w:pPr>
      <w:r>
        <w:rPr>
          <w:i/>
          <w:iCs/>
          <w:sz w:val="17"/>
          <w:szCs w:val="17"/>
        </w:rPr>
        <w:t>Zem’ dobrá bývala, a dobré bylo nebe,</w:t>
      </w:r>
    </w:p>
    <w:p w:rsidR="00500724" w:rsidRDefault="00F30FB8">
      <w:pPr>
        <w:pStyle w:val="Zkladntext100"/>
        <w:shd w:val="clear" w:color="auto" w:fill="auto"/>
        <w:spacing w:after="80" w:line="214" w:lineRule="auto"/>
        <w:ind w:left="580" w:hanging="580"/>
        <w:jc w:val="left"/>
        <w:rPr>
          <w:sz w:val="17"/>
          <w:szCs w:val="17"/>
        </w:rPr>
      </w:pPr>
      <w:r>
        <w:rPr>
          <w:i/>
          <w:iCs/>
          <w:sz w:val="17"/>
          <w:szCs w:val="17"/>
        </w:rPr>
        <w:t>ve zmatku chaosu se tvořil lepší tvar.</w:t>
      </w:r>
    </w:p>
    <w:p w:rsidR="00500724" w:rsidRDefault="00F30FB8">
      <w:pPr>
        <w:pStyle w:val="Zkladntext100"/>
        <w:shd w:val="clear" w:color="auto" w:fill="auto"/>
        <w:spacing w:line="223" w:lineRule="auto"/>
        <w:ind w:left="580" w:hanging="580"/>
        <w:jc w:val="left"/>
        <w:rPr>
          <w:sz w:val="17"/>
          <w:szCs w:val="17"/>
        </w:rPr>
      </w:pPr>
      <w:r>
        <w:rPr>
          <w:i/>
          <w:iCs/>
          <w:sz w:val="17"/>
          <w:szCs w:val="17"/>
        </w:rPr>
        <w:t>Neb mládí dobré je a zušlechtí těš omyl.</w:t>
      </w:r>
    </w:p>
    <w:p w:rsidR="00500724" w:rsidRDefault="00F30FB8">
      <w:pPr>
        <w:pStyle w:val="Zkladntext100"/>
        <w:shd w:val="clear" w:color="auto" w:fill="auto"/>
        <w:spacing w:line="223" w:lineRule="auto"/>
        <w:ind w:left="580" w:hanging="580"/>
        <w:jc w:val="left"/>
        <w:rPr>
          <w:sz w:val="17"/>
          <w:szCs w:val="17"/>
        </w:rPr>
      </w:pPr>
      <w:r>
        <w:rPr>
          <w:i/>
          <w:iCs/>
          <w:sz w:val="17"/>
          <w:szCs w:val="17"/>
        </w:rPr>
        <w:t xml:space="preserve">Den bouři, plískanic je, přec jen </w:t>
      </w:r>
      <w:r>
        <w:rPr>
          <w:i/>
          <w:iCs/>
          <w:sz w:val="17"/>
          <w:szCs w:val="17"/>
        </w:rPr>
        <w:t>dobrý den.</w:t>
      </w:r>
    </w:p>
    <w:p w:rsidR="00500724" w:rsidRDefault="00F30FB8">
      <w:pPr>
        <w:pStyle w:val="Zkladntext100"/>
        <w:shd w:val="clear" w:color="auto" w:fill="auto"/>
        <w:tabs>
          <w:tab w:val="left" w:leader="hyphen" w:pos="355"/>
        </w:tabs>
        <w:spacing w:line="223" w:lineRule="auto"/>
        <w:ind w:firstLine="0"/>
        <w:rPr>
          <w:sz w:val="17"/>
          <w:szCs w:val="17"/>
        </w:rPr>
      </w:pPr>
      <w:r>
        <w:rPr>
          <w:i/>
          <w:iCs/>
          <w:sz w:val="17"/>
          <w:szCs w:val="17"/>
        </w:rPr>
        <w:tab/>
        <w:t>Kdo přišel náhle k nim a vše</w:t>
      </w:r>
    </w:p>
    <w:p w:rsidR="00500724" w:rsidRDefault="00F30FB8">
      <w:pPr>
        <w:pStyle w:val="Zkladntext100"/>
        <w:shd w:val="clear" w:color="auto" w:fill="auto"/>
        <w:spacing w:line="223" w:lineRule="auto"/>
        <w:ind w:left="580" w:firstLine="20"/>
        <w:jc w:val="left"/>
        <w:rPr>
          <w:sz w:val="17"/>
          <w:szCs w:val="17"/>
        </w:rPr>
      </w:pPr>
      <w:r>
        <w:rPr>
          <w:i/>
          <w:iCs/>
          <w:sz w:val="17"/>
          <w:szCs w:val="17"/>
        </w:rPr>
        <w:t>to křehké zlomil?</w:t>
      </w:r>
    </w:p>
    <w:p w:rsidR="00500724" w:rsidRDefault="00F30FB8">
      <w:pPr>
        <w:pStyle w:val="Zkladntext100"/>
        <w:shd w:val="clear" w:color="auto" w:fill="auto"/>
        <w:spacing w:after="60" w:line="223" w:lineRule="auto"/>
        <w:ind w:left="580" w:hanging="580"/>
        <w:jc w:val="left"/>
        <w:rPr>
          <w:sz w:val="17"/>
          <w:szCs w:val="17"/>
        </w:rPr>
      </w:pPr>
      <w:r>
        <w:rPr>
          <w:i/>
          <w:iCs/>
          <w:sz w:val="17"/>
          <w:szCs w:val="17"/>
        </w:rPr>
        <w:t>Ten, kdo plál jako ty, proč náhle ochlazen?</w:t>
      </w:r>
    </w:p>
    <w:p w:rsidR="00500724" w:rsidRDefault="00F30FB8">
      <w:pPr>
        <w:pStyle w:val="Zkladntext100"/>
        <w:shd w:val="clear" w:color="auto" w:fill="auto"/>
        <w:spacing w:line="218" w:lineRule="auto"/>
        <w:ind w:left="580" w:hanging="580"/>
        <w:jc w:val="left"/>
        <w:rPr>
          <w:sz w:val="17"/>
          <w:szCs w:val="17"/>
        </w:rPr>
      </w:pPr>
      <w:r>
        <w:rPr>
          <w:i/>
          <w:iCs/>
          <w:sz w:val="17"/>
          <w:szCs w:val="17"/>
        </w:rPr>
        <w:t>Tak rána zaplaší yojednou ptactva hejna.</w:t>
      </w:r>
    </w:p>
    <w:p w:rsidR="00500724" w:rsidRDefault="00F30FB8">
      <w:pPr>
        <w:pStyle w:val="Zkladntext100"/>
        <w:shd w:val="clear" w:color="auto" w:fill="auto"/>
        <w:spacing w:line="218" w:lineRule="auto"/>
        <w:ind w:left="580" w:hanging="580"/>
        <w:jc w:val="left"/>
        <w:rPr>
          <w:sz w:val="17"/>
          <w:szCs w:val="17"/>
        </w:rPr>
      </w:pPr>
      <w:r>
        <w:rPr>
          <w:i/>
          <w:iCs/>
          <w:sz w:val="17"/>
          <w:szCs w:val="17"/>
        </w:rPr>
        <w:t>A vrabčík ulétá, by skryl se ve hrůze.</w:t>
      </w:r>
    </w:p>
    <w:p w:rsidR="00500724" w:rsidRDefault="00F30FB8">
      <w:pPr>
        <w:pStyle w:val="Zkladntext100"/>
        <w:shd w:val="clear" w:color="auto" w:fill="auto"/>
        <w:spacing w:line="218" w:lineRule="auto"/>
        <w:ind w:left="440" w:hanging="440"/>
        <w:jc w:val="left"/>
        <w:rPr>
          <w:sz w:val="17"/>
          <w:szCs w:val="17"/>
        </w:rPr>
      </w:pPr>
      <w:r>
        <w:rPr>
          <w:i/>
          <w:iCs/>
          <w:sz w:val="17"/>
          <w:szCs w:val="17"/>
        </w:rPr>
        <w:t>Táž jiskra bývala a v srdci touha stejná.</w:t>
      </w:r>
    </w:p>
    <w:p w:rsidR="00500724" w:rsidRDefault="00F30FB8">
      <w:pPr>
        <w:pStyle w:val="Zkladntext100"/>
        <w:shd w:val="clear" w:color="auto" w:fill="auto"/>
        <w:spacing w:after="80" w:line="218" w:lineRule="auto"/>
        <w:ind w:left="580" w:hanging="580"/>
        <w:jc w:val="left"/>
        <w:rPr>
          <w:sz w:val="17"/>
          <w:szCs w:val="17"/>
        </w:rPr>
      </w:pPr>
      <w:r>
        <w:rPr>
          <w:i/>
          <w:iCs/>
          <w:sz w:val="17"/>
          <w:szCs w:val="17"/>
        </w:rPr>
        <w:t xml:space="preserve">Řeč jejich vyslechni: — </w:t>
      </w:r>
      <w:r>
        <w:rPr>
          <w:i/>
          <w:iCs/>
          <w:sz w:val="17"/>
          <w:szCs w:val="17"/>
        </w:rPr>
        <w:t>„Ztratil jsem iluse.“</w:t>
      </w:r>
    </w:p>
    <w:p w:rsidR="00500724" w:rsidRDefault="00F30FB8">
      <w:pPr>
        <w:pStyle w:val="Zkladntext100"/>
        <w:shd w:val="clear" w:color="auto" w:fill="auto"/>
        <w:spacing w:line="221" w:lineRule="auto"/>
        <w:ind w:left="1240" w:firstLine="0"/>
        <w:jc w:val="left"/>
        <w:rPr>
          <w:sz w:val="17"/>
          <w:szCs w:val="17"/>
        </w:rPr>
      </w:pPr>
      <w:r>
        <w:rPr>
          <w:i/>
          <w:iCs/>
          <w:sz w:val="17"/>
          <w:szCs w:val="17"/>
        </w:rPr>
        <w:t>II.</w:t>
      </w:r>
    </w:p>
    <w:p w:rsidR="00500724" w:rsidRDefault="00F30FB8">
      <w:pPr>
        <w:pStyle w:val="Zkladntext100"/>
        <w:shd w:val="clear" w:color="auto" w:fill="auto"/>
        <w:spacing w:line="221" w:lineRule="auto"/>
        <w:ind w:left="580" w:hanging="580"/>
        <w:jc w:val="left"/>
        <w:rPr>
          <w:sz w:val="17"/>
          <w:szCs w:val="17"/>
        </w:rPr>
      </w:pPr>
      <w:r>
        <w:rPr>
          <w:i/>
          <w:iCs/>
          <w:sz w:val="17"/>
          <w:szCs w:val="17"/>
        </w:rPr>
        <w:t>Hle, ztratil iluse. Toš popřej jemu slechu.</w:t>
      </w:r>
    </w:p>
    <w:p w:rsidR="00500724" w:rsidRDefault="00F30FB8">
      <w:pPr>
        <w:pStyle w:val="Zkladntext100"/>
        <w:shd w:val="clear" w:color="auto" w:fill="auto"/>
        <w:spacing w:line="221" w:lineRule="auto"/>
        <w:ind w:firstLine="0"/>
        <w:rPr>
          <w:sz w:val="17"/>
          <w:szCs w:val="17"/>
        </w:rPr>
      </w:pPr>
      <w:r>
        <w:rPr>
          <w:i/>
          <w:iCs/>
          <w:sz w:val="17"/>
          <w:szCs w:val="17"/>
        </w:rPr>
        <w:t>Povědět hodlá ti příběhy tajemné. — „Já klopýť o balvan, trn v nohu</w:t>
      </w:r>
    </w:p>
    <w:p w:rsidR="00500724" w:rsidRDefault="00F30FB8">
      <w:pPr>
        <w:pStyle w:val="Zkladntext100"/>
        <w:shd w:val="clear" w:color="auto" w:fill="auto"/>
        <w:spacing w:line="221" w:lineRule="auto"/>
        <w:ind w:left="580" w:firstLine="20"/>
        <w:jc w:val="left"/>
        <w:rPr>
          <w:sz w:val="17"/>
          <w:szCs w:val="17"/>
        </w:rPr>
      </w:pPr>
      <w:r>
        <w:rPr>
          <w:i/>
          <w:iCs/>
          <w:sz w:val="17"/>
          <w:szCs w:val="17"/>
        </w:rPr>
        <w:t>vbodl v spěchu.</w:t>
      </w:r>
    </w:p>
    <w:p w:rsidR="00500724" w:rsidRDefault="00F30FB8">
      <w:pPr>
        <w:pStyle w:val="Zkladntext100"/>
        <w:shd w:val="clear" w:color="auto" w:fill="auto"/>
        <w:spacing w:after="60" w:line="221" w:lineRule="auto"/>
        <w:ind w:left="580" w:hanging="580"/>
        <w:jc w:val="left"/>
        <w:rPr>
          <w:sz w:val="17"/>
          <w:szCs w:val="17"/>
        </w:rPr>
      </w:pPr>
      <w:r>
        <w:rPr>
          <w:i/>
          <w:iCs/>
          <w:sz w:val="17"/>
          <w:szCs w:val="17"/>
        </w:rPr>
        <w:t>Hne touha zradila a lidé kolem mne.</w:t>
      </w:r>
    </w:p>
    <w:p w:rsidR="00500724" w:rsidRDefault="00F30FB8">
      <w:pPr>
        <w:pStyle w:val="Zkladntext100"/>
        <w:shd w:val="clear" w:color="auto" w:fill="auto"/>
        <w:spacing w:line="221" w:lineRule="auto"/>
        <w:ind w:left="580" w:hanging="580"/>
        <w:jc w:val="left"/>
        <w:rPr>
          <w:sz w:val="17"/>
          <w:szCs w:val="17"/>
        </w:rPr>
      </w:pPr>
      <w:r>
        <w:rPr>
          <w:i/>
          <w:iCs/>
          <w:sz w:val="17"/>
          <w:szCs w:val="17"/>
        </w:rPr>
        <w:t>Ztratil jsem ilusi. Bublina z mydlin splaskla,</w:t>
      </w:r>
    </w:p>
    <w:p w:rsidR="00500724" w:rsidRDefault="00F30FB8">
      <w:pPr>
        <w:pStyle w:val="Zkladntext100"/>
        <w:shd w:val="clear" w:color="auto" w:fill="auto"/>
        <w:spacing w:line="221" w:lineRule="auto"/>
        <w:ind w:left="580" w:hanging="580"/>
        <w:jc w:val="left"/>
        <w:rPr>
          <w:sz w:val="17"/>
          <w:szCs w:val="17"/>
        </w:rPr>
      </w:pPr>
      <w:r>
        <w:rPr>
          <w:i/>
          <w:iCs/>
          <w:sz w:val="17"/>
          <w:szCs w:val="17"/>
        </w:rPr>
        <w:t xml:space="preserve">překrásná bublina, </w:t>
      </w:r>
      <w:r>
        <w:rPr>
          <w:i/>
          <w:iCs/>
          <w:sz w:val="17"/>
          <w:szCs w:val="17"/>
        </w:rPr>
        <w:t>za kterou šel jsi slep.</w:t>
      </w:r>
    </w:p>
    <w:p w:rsidR="00500724" w:rsidRDefault="00F30FB8">
      <w:pPr>
        <w:pStyle w:val="Zkladntext100"/>
        <w:shd w:val="clear" w:color="auto" w:fill="auto"/>
        <w:spacing w:line="221" w:lineRule="auto"/>
        <w:ind w:firstLine="0"/>
        <w:rPr>
          <w:sz w:val="17"/>
          <w:szCs w:val="17"/>
        </w:rPr>
      </w:pPr>
      <w:r>
        <w:rPr>
          <w:i/>
          <w:iCs/>
          <w:sz w:val="17"/>
          <w:szCs w:val="17"/>
        </w:rPr>
        <w:t>Já barevná jsem zadíval se na skla. Já, Sel, se dotkl jich. Krev prýští;</w:t>
      </w:r>
    </w:p>
    <w:p w:rsidR="00500724" w:rsidRDefault="00F30FB8">
      <w:pPr>
        <w:pStyle w:val="Zkladntext100"/>
        <w:shd w:val="clear" w:color="auto" w:fill="auto"/>
        <w:spacing w:after="80" w:line="221" w:lineRule="auto"/>
        <w:ind w:left="580" w:firstLine="20"/>
        <w:jc w:val="left"/>
        <w:rPr>
          <w:sz w:val="17"/>
          <w:szCs w:val="17"/>
        </w:rPr>
      </w:pPr>
      <w:r>
        <w:rPr>
          <w:i/>
          <w:iCs/>
          <w:sz w:val="17"/>
          <w:szCs w:val="17"/>
        </w:rPr>
        <w:t>zranil střep.</w:t>
      </w:r>
    </w:p>
    <w:p w:rsidR="00500724" w:rsidRDefault="00F30FB8">
      <w:pPr>
        <w:pStyle w:val="Zkladntext100"/>
        <w:shd w:val="clear" w:color="auto" w:fill="auto"/>
        <w:spacing w:line="216" w:lineRule="auto"/>
        <w:ind w:left="580" w:hanging="580"/>
        <w:jc w:val="left"/>
        <w:rPr>
          <w:sz w:val="17"/>
          <w:szCs w:val="17"/>
        </w:rPr>
      </w:pPr>
      <w:r>
        <w:rPr>
          <w:i/>
          <w:iCs/>
          <w:sz w:val="17"/>
          <w:szCs w:val="17"/>
        </w:rPr>
        <w:t>Co bylo veliké, jak scvrklo se to rázem!</w:t>
      </w:r>
    </w:p>
    <w:p w:rsidR="00500724" w:rsidRDefault="00F30FB8">
      <w:pPr>
        <w:pStyle w:val="Zkladntext100"/>
        <w:shd w:val="clear" w:color="auto" w:fill="auto"/>
        <w:spacing w:line="216" w:lineRule="auto"/>
        <w:ind w:left="580" w:hanging="580"/>
        <w:jc w:val="left"/>
        <w:rPr>
          <w:sz w:val="17"/>
          <w:szCs w:val="17"/>
        </w:rPr>
      </w:pPr>
      <w:r>
        <w:rPr>
          <w:i/>
          <w:iCs/>
          <w:sz w:val="17"/>
          <w:szCs w:val="17"/>
        </w:rPr>
        <w:t>Co bylo růSové, jak přešlo náhle v Sed.</w:t>
      </w:r>
    </w:p>
    <w:p w:rsidR="00500724" w:rsidRDefault="00F30FB8">
      <w:pPr>
        <w:pStyle w:val="Zkladntext100"/>
        <w:shd w:val="clear" w:color="auto" w:fill="auto"/>
        <w:spacing w:line="216" w:lineRule="auto"/>
        <w:ind w:left="580" w:hanging="580"/>
        <w:jc w:val="left"/>
        <w:rPr>
          <w:sz w:val="17"/>
          <w:szCs w:val="17"/>
        </w:rPr>
      </w:pPr>
      <w:r>
        <w:rPr>
          <w:i/>
          <w:iCs/>
          <w:sz w:val="17"/>
          <w:szCs w:val="17"/>
        </w:rPr>
        <w:t>Kdo orlem zdával se, ten náhle stal se plazem,</w:t>
      </w:r>
    </w:p>
    <w:p w:rsidR="00500724" w:rsidRDefault="00F30FB8">
      <w:pPr>
        <w:pStyle w:val="Zkladntext100"/>
        <w:shd w:val="clear" w:color="auto" w:fill="auto"/>
        <w:spacing w:after="60" w:line="216" w:lineRule="auto"/>
        <w:ind w:left="580" w:hanging="580"/>
        <w:jc w:val="left"/>
        <w:rPr>
          <w:sz w:val="17"/>
          <w:szCs w:val="17"/>
        </w:rPr>
      </w:pPr>
      <w:r>
        <w:rPr>
          <w:i/>
          <w:iCs/>
          <w:sz w:val="17"/>
          <w:szCs w:val="17"/>
        </w:rPr>
        <w:t>kdo včera ptal se</w:t>
      </w:r>
      <w:r>
        <w:rPr>
          <w:i/>
          <w:iCs/>
          <w:sz w:val="17"/>
          <w:szCs w:val="17"/>
        </w:rPr>
        <w:t xml:space="preserve"> sám. dnes nedal odpověď.</w:t>
      </w:r>
    </w:p>
    <w:p w:rsidR="00500724" w:rsidRDefault="00F30FB8">
      <w:pPr>
        <w:pStyle w:val="Zkladntext100"/>
        <w:shd w:val="clear" w:color="auto" w:fill="auto"/>
        <w:spacing w:line="223" w:lineRule="auto"/>
        <w:ind w:left="580" w:hanging="580"/>
        <w:jc w:val="left"/>
        <w:rPr>
          <w:sz w:val="17"/>
          <w:szCs w:val="17"/>
        </w:rPr>
      </w:pPr>
      <w:r>
        <w:rPr>
          <w:i/>
          <w:iCs/>
          <w:sz w:val="17"/>
          <w:szCs w:val="17"/>
        </w:rPr>
        <w:t>A bylo slibu tu, který by nebyl selhal?</w:t>
      </w:r>
    </w:p>
    <w:p w:rsidR="00500724" w:rsidRDefault="00F30FB8">
      <w:pPr>
        <w:pStyle w:val="Zkladntext100"/>
        <w:shd w:val="clear" w:color="auto" w:fill="auto"/>
        <w:spacing w:line="223" w:lineRule="auto"/>
        <w:ind w:left="580" w:hanging="580"/>
        <w:jc w:val="left"/>
        <w:rPr>
          <w:sz w:val="17"/>
          <w:szCs w:val="17"/>
        </w:rPr>
      </w:pPr>
      <w:r>
        <w:rPr>
          <w:i/>
          <w:iCs/>
          <w:sz w:val="17"/>
          <w:szCs w:val="17"/>
        </w:rPr>
        <w:t>A byla půda tu, na které možno stát?</w:t>
      </w:r>
    </w:p>
    <w:p w:rsidR="00500724" w:rsidRDefault="00F30FB8">
      <w:pPr>
        <w:pStyle w:val="Zkladntext100"/>
        <w:shd w:val="clear" w:color="auto" w:fill="auto"/>
        <w:spacing w:line="223" w:lineRule="auto"/>
        <w:ind w:left="580" w:hanging="580"/>
        <w:jc w:val="left"/>
        <w:rPr>
          <w:sz w:val="17"/>
          <w:szCs w:val="17"/>
        </w:rPr>
      </w:pPr>
      <w:r>
        <w:rPr>
          <w:i/>
          <w:iCs/>
          <w:sz w:val="17"/>
          <w:szCs w:val="17"/>
        </w:rPr>
        <w:t>Iluse ztraceny. Je nutno, by se belhal,</w:t>
      </w:r>
    </w:p>
    <w:p w:rsidR="00500724" w:rsidRDefault="00F30FB8">
      <w:pPr>
        <w:pStyle w:val="Zkladntext100"/>
        <w:shd w:val="clear" w:color="auto" w:fill="auto"/>
        <w:spacing w:after="60" w:line="223" w:lineRule="auto"/>
        <w:ind w:firstLine="0"/>
        <w:rPr>
          <w:sz w:val="17"/>
          <w:szCs w:val="17"/>
        </w:rPr>
      </w:pPr>
      <w:r>
        <w:rPr>
          <w:i/>
          <w:iCs/>
          <w:sz w:val="17"/>
          <w:szCs w:val="17"/>
        </w:rPr>
        <w:t>kdo nedočkavě letěl jedenkrát.</w:t>
      </w:r>
    </w:p>
    <w:p w:rsidR="00500724" w:rsidRDefault="00F30FB8">
      <w:pPr>
        <w:pStyle w:val="Zkladntext100"/>
        <w:shd w:val="clear" w:color="auto" w:fill="auto"/>
        <w:spacing w:line="221" w:lineRule="auto"/>
        <w:ind w:firstLine="0"/>
        <w:jc w:val="left"/>
        <w:rPr>
          <w:sz w:val="17"/>
          <w:szCs w:val="17"/>
        </w:rPr>
      </w:pPr>
      <w:r>
        <w:rPr>
          <w:i/>
          <w:iCs/>
          <w:sz w:val="17"/>
          <w:szCs w:val="17"/>
        </w:rPr>
        <w:t>A nepolámat zbytečně svých údů, tot v pouti Šití štěstí bezmezné. Jen třeba bdělým</w:t>
      </w:r>
      <w:r>
        <w:rPr>
          <w:i/>
          <w:iCs/>
          <w:sz w:val="17"/>
          <w:szCs w:val="17"/>
        </w:rPr>
        <w:t xml:space="preserve"> být a najít pev</w:t>
      </w:r>
      <w:r>
        <w:rPr>
          <w:i/>
          <w:iCs/>
          <w:sz w:val="17"/>
          <w:szCs w:val="17"/>
        </w:rPr>
        <w:softHyphen/>
      </w:r>
    </w:p>
    <w:p w:rsidR="00500724" w:rsidRDefault="00F30FB8">
      <w:pPr>
        <w:pStyle w:val="Zkladntext100"/>
        <w:shd w:val="clear" w:color="auto" w:fill="auto"/>
        <w:spacing w:line="221" w:lineRule="auto"/>
        <w:ind w:left="580" w:firstLine="20"/>
        <w:jc w:val="left"/>
        <w:rPr>
          <w:sz w:val="17"/>
          <w:szCs w:val="17"/>
        </w:rPr>
      </w:pPr>
      <w:r>
        <w:rPr>
          <w:i/>
          <w:iCs/>
          <w:sz w:val="17"/>
          <w:szCs w:val="17"/>
        </w:rPr>
        <w:t>nou půdu.“</w:t>
      </w:r>
    </w:p>
    <w:p w:rsidR="00500724" w:rsidRDefault="00F30FB8">
      <w:pPr>
        <w:pStyle w:val="Zkladntext100"/>
        <w:shd w:val="clear" w:color="auto" w:fill="auto"/>
        <w:spacing w:after="60" w:line="221" w:lineRule="auto"/>
        <w:ind w:left="580" w:hanging="580"/>
        <w:jc w:val="left"/>
        <w:rPr>
          <w:sz w:val="17"/>
          <w:szCs w:val="17"/>
        </w:rPr>
      </w:pPr>
      <w:r>
        <w:rPr>
          <w:i/>
          <w:iCs/>
          <w:sz w:val="17"/>
          <w:szCs w:val="17"/>
        </w:rPr>
        <w:t>,— Kdo ztratil ilusi, rozvahu na</w:t>
      </w:r>
      <w:r>
        <w:rPr>
          <w:i/>
          <w:iCs/>
          <w:sz w:val="17"/>
          <w:szCs w:val="17"/>
        </w:rPr>
        <w:softHyphen/>
        <w:t>lezne.</w:t>
      </w:r>
    </w:p>
    <w:p w:rsidR="00500724" w:rsidRDefault="00F30FB8">
      <w:pPr>
        <w:pStyle w:val="Zkladntext80"/>
        <w:shd w:val="clear" w:color="auto" w:fill="auto"/>
        <w:spacing w:after="80" w:line="240" w:lineRule="auto"/>
        <w:ind w:left="580" w:hanging="580"/>
        <w:rPr>
          <w:sz w:val="20"/>
          <w:szCs w:val="20"/>
        </w:rPr>
      </w:pPr>
      <w:r>
        <w:rPr>
          <w:sz w:val="20"/>
          <w:szCs w:val="20"/>
        </w:rPr>
        <w:t>POZNÁMKY</w:t>
      </w:r>
    </w:p>
    <w:p w:rsidR="00500724" w:rsidRDefault="00F30FB8">
      <w:pPr>
        <w:pStyle w:val="Zkladntext100"/>
        <w:shd w:val="clear" w:color="auto" w:fill="auto"/>
        <w:spacing w:after="120" w:line="240" w:lineRule="auto"/>
        <w:ind w:firstLine="0"/>
        <w:jc w:val="center"/>
        <w:rPr>
          <w:sz w:val="19"/>
          <w:szCs w:val="19"/>
        </w:rPr>
      </w:pPr>
      <w:r>
        <w:rPr>
          <w:b/>
          <w:bCs/>
          <w:sz w:val="19"/>
          <w:szCs w:val="19"/>
        </w:rPr>
        <w:t>AMERICKÉ POVÍDKY</w:t>
      </w:r>
    </w:p>
    <w:p w:rsidR="00500724" w:rsidRDefault="00F30FB8">
      <w:pPr>
        <w:pStyle w:val="Zkladntext40"/>
        <w:shd w:val="clear" w:color="auto" w:fill="auto"/>
        <w:spacing w:after="0" w:line="182" w:lineRule="auto"/>
        <w:ind w:firstLine="160"/>
      </w:pPr>
      <w:r>
        <w:t xml:space="preserve">Pod názvem „Lidé, které jsem potkal“ fvyd. Fr. Borový) vydal Edvard Valenta povídkovou žeň své cesty po Americe, kterou před časem podnikl. Nutno říci, že se </w:t>
      </w:r>
      <w:r>
        <w:t>jeho prózy vymykají běžnému cestopisnému zboží beletristickému, jak je u nás plodí každá větší cesta našich autorů. Čtouce je, cítíme, že Valenta shromáždil velké množ</w:t>
      </w:r>
      <w:r>
        <w:softHyphen/>
        <w:t>ství empirie a zde ii podává ne již jako zážitkovou surovinu, nýbrž přeformovanou v uzav</w:t>
      </w:r>
      <w:r>
        <w:t>řený, básnic</w:t>
      </w:r>
      <w:r>
        <w:softHyphen/>
        <w:t>ký tvar. Tématicky jsou tyto po</w:t>
      </w:r>
      <w:r>
        <w:softHyphen/>
        <w:t>vídky značně mnohotvárné. Vypra</w:t>
      </w:r>
      <w:r>
        <w:softHyphen/>
        <w:t>vují o ztraceném lidském tvoru Mr. Gibsonovi, katolickém duchovním, který dovede trochu pozornosti, vě</w:t>
      </w:r>
      <w:r>
        <w:softHyphen/>
        <w:t>novanému jemu, oplatiti hrdinský</w:t>
      </w:r>
      <w:r>
        <w:softHyphen/>
        <w:t xml:space="preserve">mi projevy náklonnosti a lásky; o hrdinném </w:t>
      </w:r>
      <w:r>
        <w:t>obchodním zástupci, který trpěl fysiologickou přímo hrůzou z letadel a letu, a přece v zájmu obchodu věčně cestoval le</w:t>
      </w:r>
      <w:r>
        <w:softHyphen/>
        <w:t>tadly. A jindy postihují speciální ameriokou psychologii, tak v pří</w:t>
      </w:r>
      <w:r>
        <w:softHyphen/>
        <w:t>běhu o novém řidiči výletního auto- caru v St. Franciiscu, který vozí</w:t>
      </w:r>
      <w:r>
        <w:t xml:space="preserve"> hosty po městě za úplné mlhy a s neochvějnou horlivostí jim líčí krásy, které nevidí. Z tohoto nezda</w:t>
      </w:r>
      <w:r>
        <w:softHyphen/>
        <w:t>řeného debutu však vznikne — no</w:t>
      </w:r>
      <w:r>
        <w:softHyphen/>
        <w:t>řil.</w:t>
      </w:r>
    </w:p>
    <w:p w:rsidR="00500724" w:rsidRDefault="00F30FB8">
      <w:pPr>
        <w:pStyle w:val="Zkladntext100"/>
        <w:shd w:val="clear" w:color="auto" w:fill="auto"/>
        <w:spacing w:line="218" w:lineRule="auto"/>
        <w:ind w:left="580" w:hanging="580"/>
        <w:jc w:val="left"/>
        <w:rPr>
          <w:sz w:val="17"/>
          <w:szCs w:val="17"/>
        </w:rPr>
      </w:pPr>
      <w:r>
        <w:rPr>
          <w:sz w:val="16"/>
          <w:szCs w:val="16"/>
        </w:rPr>
        <w:t xml:space="preserve">S </w:t>
      </w:r>
      <w:r>
        <w:rPr>
          <w:i/>
          <w:iCs/>
          <w:sz w:val="17"/>
          <w:szCs w:val="17"/>
        </w:rPr>
        <w:t>jasnýma očima hleď dále kolem sebe.</w:t>
      </w:r>
    </w:p>
    <w:p w:rsidR="00500724" w:rsidRDefault="00F30FB8">
      <w:pPr>
        <w:pStyle w:val="Zkladntext100"/>
        <w:shd w:val="clear" w:color="auto" w:fill="auto"/>
        <w:spacing w:line="218" w:lineRule="auto"/>
        <w:ind w:left="580" w:hanging="580"/>
        <w:jc w:val="left"/>
        <w:rPr>
          <w:sz w:val="17"/>
          <w:szCs w:val="17"/>
        </w:rPr>
      </w:pPr>
      <w:r>
        <w:rPr>
          <w:i/>
          <w:iCs/>
          <w:sz w:val="17"/>
          <w:szCs w:val="17"/>
        </w:rPr>
        <w:t>Dál kráčej cestou svou. Tvá víra je tvůj dar.</w:t>
      </w:r>
    </w:p>
    <w:p w:rsidR="00500724" w:rsidRDefault="00F30FB8">
      <w:pPr>
        <w:pStyle w:val="Zkladntext100"/>
        <w:shd w:val="clear" w:color="auto" w:fill="auto"/>
        <w:spacing w:line="218" w:lineRule="auto"/>
        <w:ind w:left="580" w:hanging="580"/>
        <w:jc w:val="left"/>
        <w:rPr>
          <w:sz w:val="17"/>
          <w:szCs w:val="17"/>
        </w:rPr>
      </w:pPr>
      <w:r>
        <w:rPr>
          <w:i/>
          <w:iCs/>
          <w:sz w:val="17"/>
          <w:szCs w:val="17"/>
        </w:rPr>
        <w:t xml:space="preserve">Necht fičí chladný mráz, necht </w:t>
      </w:r>
      <w:r>
        <w:rPr>
          <w:i/>
          <w:iCs/>
          <w:sz w:val="17"/>
          <w:szCs w:val="17"/>
        </w:rPr>
        <w:t>sebe více zebe,</w:t>
      </w:r>
    </w:p>
    <w:p w:rsidR="00500724" w:rsidRDefault="00F30FB8">
      <w:pPr>
        <w:pStyle w:val="Zkladntext100"/>
        <w:shd w:val="clear" w:color="auto" w:fill="auto"/>
        <w:spacing w:after="60" w:line="218" w:lineRule="auto"/>
        <w:ind w:left="580" w:hanging="580"/>
        <w:jc w:val="left"/>
        <w:rPr>
          <w:sz w:val="17"/>
          <w:szCs w:val="17"/>
        </w:rPr>
      </w:pPr>
      <w:r>
        <w:rPr>
          <w:i/>
          <w:iCs/>
          <w:sz w:val="17"/>
          <w:szCs w:val="17"/>
        </w:rPr>
        <w:t>v té zimě zkřehlé tak neztrácej tepla jar.</w:t>
      </w:r>
    </w:p>
    <w:p w:rsidR="00500724" w:rsidRDefault="00F30FB8">
      <w:pPr>
        <w:pStyle w:val="Zkladntext100"/>
        <w:shd w:val="clear" w:color="auto" w:fill="auto"/>
        <w:spacing w:line="221" w:lineRule="auto"/>
        <w:ind w:left="580" w:hanging="580"/>
        <w:jc w:val="left"/>
        <w:rPr>
          <w:sz w:val="17"/>
          <w:szCs w:val="17"/>
        </w:rPr>
      </w:pPr>
      <w:r>
        <w:rPr>
          <w:i/>
          <w:iCs/>
          <w:sz w:val="17"/>
          <w:szCs w:val="17"/>
        </w:rPr>
        <w:t>A nech ty rozvásné dál nesměle se belhat.</w:t>
      </w:r>
    </w:p>
    <w:p w:rsidR="00500724" w:rsidRDefault="00F30FB8">
      <w:pPr>
        <w:pStyle w:val="Zkladntext100"/>
        <w:shd w:val="clear" w:color="auto" w:fill="auto"/>
        <w:spacing w:line="221" w:lineRule="auto"/>
        <w:ind w:left="580" w:hanging="580"/>
        <w:jc w:val="left"/>
        <w:rPr>
          <w:sz w:val="17"/>
          <w:szCs w:val="17"/>
        </w:rPr>
      </w:pPr>
      <w:r>
        <w:rPr>
          <w:i/>
          <w:iCs/>
          <w:sz w:val="17"/>
          <w:szCs w:val="17"/>
        </w:rPr>
        <w:t>Jich počtům usměj se, ty, jenés jich chybu znal,</w:t>
      </w:r>
    </w:p>
    <w:p w:rsidR="00500724" w:rsidRDefault="00F30FB8">
      <w:pPr>
        <w:pStyle w:val="Zkladntext100"/>
        <w:shd w:val="clear" w:color="auto" w:fill="auto"/>
        <w:spacing w:line="221" w:lineRule="auto"/>
        <w:ind w:left="580" w:hanging="580"/>
        <w:jc w:val="left"/>
        <w:rPr>
          <w:sz w:val="17"/>
          <w:szCs w:val="17"/>
        </w:rPr>
      </w:pPr>
      <w:r>
        <w:rPr>
          <w:i/>
          <w:iCs/>
          <w:sz w:val="17"/>
          <w:szCs w:val="17"/>
        </w:rPr>
        <w:t>kde jiní selhali, ty nemáš^ práva selhat,</w:t>
      </w:r>
    </w:p>
    <w:p w:rsidR="00500724" w:rsidRDefault="00F30FB8">
      <w:pPr>
        <w:pStyle w:val="Zkladntext100"/>
        <w:shd w:val="clear" w:color="auto" w:fill="auto"/>
        <w:spacing w:line="221" w:lineRule="auto"/>
        <w:ind w:left="580" w:hanging="580"/>
        <w:jc w:val="left"/>
        <w:rPr>
          <w:sz w:val="17"/>
          <w:szCs w:val="17"/>
        </w:rPr>
      </w:pPr>
      <w:r>
        <w:rPr>
          <w:i/>
          <w:iCs/>
          <w:sz w:val="17"/>
          <w:szCs w:val="17"/>
        </w:rPr>
        <w:t>ni práva vzdáti se, kde jiný snad se vzdal.</w:t>
      </w:r>
    </w:p>
    <w:p w:rsidR="00500724" w:rsidRDefault="00F30FB8">
      <w:pPr>
        <w:pStyle w:val="Zkladntext100"/>
        <w:shd w:val="clear" w:color="auto" w:fill="auto"/>
        <w:spacing w:line="170" w:lineRule="auto"/>
        <w:ind w:left="580" w:hanging="580"/>
        <w:jc w:val="left"/>
        <w:rPr>
          <w:sz w:val="17"/>
          <w:szCs w:val="17"/>
        </w:rPr>
      </w:pPr>
      <w:r>
        <w:rPr>
          <w:i/>
          <w:iCs/>
          <w:sz w:val="17"/>
          <w:szCs w:val="17"/>
        </w:rPr>
        <w:t xml:space="preserve">A v jejich lampičce </w:t>
      </w:r>
      <w:r>
        <w:rPr>
          <w:i/>
          <w:iCs/>
          <w:sz w:val="17"/>
          <w:szCs w:val="17"/>
        </w:rPr>
        <w:t>kdyS dohasíná olej.</w:t>
      </w:r>
    </w:p>
    <w:p w:rsidR="00500724" w:rsidRDefault="00F30FB8">
      <w:pPr>
        <w:pStyle w:val="Zkladntext100"/>
        <w:shd w:val="clear" w:color="auto" w:fill="auto"/>
        <w:spacing w:line="209" w:lineRule="auto"/>
        <w:ind w:left="580" w:hanging="580"/>
        <w:jc w:val="left"/>
        <w:rPr>
          <w:sz w:val="17"/>
          <w:szCs w:val="17"/>
        </w:rPr>
      </w:pPr>
      <w:r>
        <w:rPr>
          <w:i/>
          <w:iCs/>
          <w:sz w:val="17"/>
          <w:szCs w:val="17"/>
        </w:rPr>
        <w:t>v tmu proto neuvěř; je nutno dál se brát.</w:t>
      </w:r>
    </w:p>
    <w:p w:rsidR="00500724" w:rsidRDefault="00F30FB8">
      <w:pPr>
        <w:pStyle w:val="Zkladntext100"/>
        <w:shd w:val="clear" w:color="auto" w:fill="auto"/>
        <w:spacing w:line="209" w:lineRule="auto"/>
        <w:ind w:firstLine="0"/>
        <w:rPr>
          <w:sz w:val="17"/>
          <w:szCs w:val="17"/>
        </w:rPr>
      </w:pPr>
      <w:r>
        <w:rPr>
          <w:i/>
          <w:iCs/>
          <w:sz w:val="17"/>
          <w:szCs w:val="17"/>
        </w:rPr>
        <w:t>Ty cizí slabosti se nikdy nedovolej a k vlastní omluvě necituj cizích</w:t>
      </w:r>
    </w:p>
    <w:p w:rsidR="00500724" w:rsidRDefault="00F30FB8">
      <w:pPr>
        <w:pStyle w:val="Zkladntext100"/>
        <w:shd w:val="clear" w:color="auto" w:fill="auto"/>
        <w:spacing w:after="80" w:line="209" w:lineRule="auto"/>
        <w:ind w:left="580" w:firstLine="0"/>
        <w:jc w:val="left"/>
        <w:rPr>
          <w:sz w:val="17"/>
          <w:szCs w:val="17"/>
        </w:rPr>
      </w:pPr>
      <w:r>
        <w:rPr>
          <w:i/>
          <w:iCs/>
          <w:sz w:val="17"/>
          <w:szCs w:val="17"/>
        </w:rPr>
        <w:t>vad.</w:t>
      </w:r>
    </w:p>
    <w:p w:rsidR="00500724" w:rsidRDefault="00F30FB8">
      <w:pPr>
        <w:pStyle w:val="Zkladntext100"/>
        <w:shd w:val="clear" w:color="auto" w:fill="auto"/>
        <w:spacing w:line="211" w:lineRule="auto"/>
        <w:ind w:left="580" w:hanging="580"/>
        <w:jc w:val="left"/>
        <w:rPr>
          <w:sz w:val="17"/>
          <w:szCs w:val="17"/>
        </w:rPr>
      </w:pPr>
      <w:r>
        <w:rPr>
          <w:i/>
          <w:iCs/>
          <w:sz w:val="17"/>
          <w:szCs w:val="17"/>
        </w:rPr>
        <w:t>Védy, kdyS se připozdí, strašidla vidí baby,</w:t>
      </w:r>
    </w:p>
    <w:p w:rsidR="00500724" w:rsidRDefault="00F30FB8">
      <w:pPr>
        <w:pStyle w:val="Zkladntext100"/>
        <w:shd w:val="clear" w:color="auto" w:fill="auto"/>
        <w:spacing w:line="211" w:lineRule="auto"/>
        <w:ind w:left="580" w:hanging="580"/>
        <w:jc w:val="left"/>
        <w:rPr>
          <w:sz w:val="17"/>
          <w:szCs w:val="17"/>
        </w:rPr>
      </w:pPr>
      <w:r>
        <w:rPr>
          <w:i/>
          <w:iCs/>
          <w:sz w:val="17"/>
          <w:szCs w:val="17"/>
        </w:rPr>
        <w:t>védy, kdyS se setmělo, je hrůza pojímá.</w:t>
      </w:r>
    </w:p>
    <w:p w:rsidR="00500724" w:rsidRDefault="00F30FB8">
      <w:pPr>
        <w:pStyle w:val="Zkladntext100"/>
        <w:shd w:val="clear" w:color="auto" w:fill="auto"/>
        <w:spacing w:line="211" w:lineRule="auto"/>
        <w:ind w:left="580" w:hanging="580"/>
        <w:jc w:val="left"/>
        <w:rPr>
          <w:sz w:val="17"/>
          <w:szCs w:val="17"/>
        </w:rPr>
      </w:pPr>
      <w:r>
        <w:rPr>
          <w:i/>
          <w:iCs/>
          <w:sz w:val="17"/>
          <w:szCs w:val="17"/>
        </w:rPr>
        <w:t xml:space="preserve">Ty věren pouti své, byt, abys </w:t>
      </w:r>
      <w:r>
        <w:rPr>
          <w:i/>
          <w:iCs/>
          <w:sz w:val="17"/>
          <w:szCs w:val="17"/>
        </w:rPr>
        <w:t>došel, slabý,</w:t>
      </w:r>
    </w:p>
    <w:p w:rsidR="00500724" w:rsidRDefault="00F30FB8">
      <w:pPr>
        <w:pStyle w:val="Zkladntext100"/>
        <w:shd w:val="clear" w:color="auto" w:fill="auto"/>
        <w:spacing w:after="40" w:line="214" w:lineRule="auto"/>
        <w:ind w:left="580" w:hanging="580"/>
        <w:jc w:val="left"/>
        <w:rPr>
          <w:sz w:val="17"/>
          <w:szCs w:val="17"/>
        </w:rPr>
      </w:pPr>
      <w:r>
        <w:rPr>
          <w:i/>
          <w:iCs/>
          <w:sz w:val="17"/>
          <w:szCs w:val="17"/>
        </w:rPr>
        <w:t>hleď v jasný zítřejšek jasnýma očima.</w:t>
      </w:r>
    </w:p>
    <w:p w:rsidR="00500724" w:rsidRDefault="00F30FB8">
      <w:pPr>
        <w:spacing w:line="1" w:lineRule="exact"/>
        <w:rPr>
          <w:sz w:val="2"/>
          <w:szCs w:val="2"/>
        </w:rPr>
      </w:pPr>
      <w:r>
        <w:br w:type="column"/>
      </w:r>
    </w:p>
    <w:p w:rsidR="00500724" w:rsidRDefault="00F30FB8">
      <w:pPr>
        <w:pStyle w:val="Zkladntext40"/>
        <w:shd w:val="clear" w:color="auto" w:fill="auto"/>
        <w:spacing w:after="0" w:line="182" w:lineRule="auto"/>
      </w:pPr>
      <w:r>
        <w:t>vé povolání humoristického prů</w:t>
      </w:r>
      <w:r>
        <w:softHyphen/>
        <w:t>vodčího cizinců. Všechny tyto po</w:t>
      </w:r>
      <w:r>
        <w:softHyphen/>
        <w:t>vídky jsou přímo rafinovaně dějo</w:t>
      </w:r>
      <w:r>
        <w:softHyphen/>
        <w:t>vě stavěny, takže nás svými ne</w:t>
      </w:r>
      <w:r>
        <w:softHyphen/>
        <w:t>čekanými zvraty k sobě silně upou</w:t>
      </w:r>
      <w:r>
        <w:softHyphen/>
        <w:t>tají. ať už vypravují o typickém konci v</w:t>
      </w:r>
      <w:r>
        <w:t>šetečného reportéra nebo o šikovném „psychologickém“ tahu podnikatele výletů do coloradského Velkého kaňonu, o nejdražším jídle světa, které cestujícím zabrání svou vzácností, aby je za bouře vyvrhli, o primitivní psychologii černochů na Haiti nebo o nezná</w:t>
      </w:r>
      <w:r>
        <w:t>mé tropické nemoci, které padne za oběť rámě slečny Scheltingové i její láska. Všude množství empirie, vtělené do uzavřené formy povídky, svrcho</w:t>
      </w:r>
      <w:r>
        <w:softHyphen/>
        <w:t>vaně emotivní. Vzpomínáme ovšem u těchto próz na povídky Karla Čapka, zvláště na jeho povídky ra</w:t>
      </w:r>
      <w:r>
        <w:softHyphen/>
        <w:t>né, a někdy ná</w:t>
      </w:r>
      <w:r>
        <w:t>s troohu odpuzuje jejich honosné intelektuální přibar</w:t>
      </w:r>
      <w:r>
        <w:softHyphen/>
        <w:t>vení, které však nicméně zůstává vždy jen v rovině hry, hry rozumu rozmarné. Ale v nepočetné naší produkci povídkové zaujímají Va</w:t>
      </w:r>
      <w:r>
        <w:softHyphen/>
        <w:t>lentovy povídky přece místo ne</w:t>
      </w:r>
      <w:r>
        <w:softHyphen/>
        <w:t>sporně významné.</w:t>
      </w:r>
    </w:p>
    <w:p w:rsidR="00500724" w:rsidRDefault="00F30FB8">
      <w:pPr>
        <w:pStyle w:val="Zkladntext40"/>
        <w:shd w:val="clear" w:color="auto" w:fill="auto"/>
        <w:spacing w:after="120" w:line="182" w:lineRule="auto"/>
      </w:pPr>
      <w:r>
        <w:t xml:space="preserve">Bedř. Václavek v Morav, </w:t>
      </w:r>
      <w:r>
        <w:t>večerníku.</w:t>
      </w:r>
    </w:p>
    <w:p w:rsidR="00500724" w:rsidRDefault="00F30FB8">
      <w:pPr>
        <w:pStyle w:val="Zkladntext40"/>
        <w:shd w:val="clear" w:color="auto" w:fill="auto"/>
        <w:spacing w:after="0" w:line="170" w:lineRule="auto"/>
        <w:ind w:firstLine="160"/>
        <w:rPr>
          <w:sz w:val="16"/>
          <w:szCs w:val="16"/>
        </w:rPr>
      </w:pPr>
      <w:r>
        <w:rPr>
          <w:b/>
          <w:bCs/>
          <w:sz w:val="16"/>
          <w:szCs w:val="16"/>
        </w:rPr>
        <w:t>Učte se těsnopisu a jazykům.</w:t>
      </w:r>
    </w:p>
    <w:p w:rsidR="00500724" w:rsidRDefault="00F30FB8">
      <w:pPr>
        <w:pStyle w:val="Zkladntext40"/>
        <w:shd w:val="clear" w:color="auto" w:fill="auto"/>
        <w:spacing w:after="0" w:line="182" w:lineRule="auto"/>
      </w:pPr>
      <w:r>
        <w:t>znalost jejich se dnes všude žádá. První pražský spolek stenografů zahájí kursy praktického těsnopisu a letos také -kursy jazykové v pon</w:t>
      </w:r>
      <w:r>
        <w:softHyphen/>
        <w:t>dělí 2. října o 19. hod. opět pro všechna oddělení společnou, veřej</w:t>
      </w:r>
      <w:r>
        <w:softHyphen/>
        <w:t>ně přístupn</w:t>
      </w:r>
      <w:r>
        <w:t>ou úvodní a informační přednáškou ve velkém sále Domu inženýrů SIA v Praze I„ u mostu Svatopluka Čecha.</w:t>
      </w:r>
    </w:p>
    <w:p w:rsidR="00500724" w:rsidRDefault="00F30FB8">
      <w:pPr>
        <w:pStyle w:val="Zkladntext40"/>
        <w:shd w:val="clear" w:color="auto" w:fill="auto"/>
        <w:spacing w:after="0" w:line="182" w:lineRule="auto"/>
        <w:ind w:firstLine="160"/>
      </w:pPr>
      <w:r>
        <w:t>Vyučuje se odpoledne a večer ve všech částech Velké Prahy. Režijní poplatek za celý rok 90 K neb 15 K měsíčně.</w:t>
      </w:r>
    </w:p>
    <w:p w:rsidR="00500724" w:rsidRDefault="00F30FB8">
      <w:pPr>
        <w:pStyle w:val="Zkladntext40"/>
        <w:shd w:val="clear" w:color="auto" w:fill="auto"/>
        <w:spacing w:after="120" w:line="182" w:lineRule="auto"/>
        <w:ind w:firstLine="160"/>
      </w:pPr>
      <w:r>
        <w:t xml:space="preserve">Podrobné prospekty zdarma, ústní informace a zápis denně od 8—19 hod. v Těsnopisné ústředně v Praze I„ palác </w:t>
      </w:r>
      <w:r>
        <w:rPr>
          <w:lang w:val="en-US" w:eastAsia="en-US" w:bidi="en-US"/>
        </w:rPr>
        <w:t xml:space="preserve">SIA, </w:t>
      </w:r>
      <w:r>
        <w:t>IV. poschodí, telefon 619-51. Mimopražští poslu</w:t>
      </w:r>
      <w:r>
        <w:softHyphen/>
        <w:t>chači mají 50% slevu na drahách. —■ Pro venkovské posluchače též písemné kursy těsnopisu na dá</w:t>
      </w:r>
      <w:r>
        <w:t>lku.</w:t>
      </w:r>
    </w:p>
    <w:p w:rsidR="00500724" w:rsidRDefault="00F30FB8">
      <w:pPr>
        <w:pStyle w:val="Zkladntext40"/>
        <w:shd w:val="clear" w:color="auto" w:fill="auto"/>
        <w:spacing w:after="0" w:line="182" w:lineRule="auto"/>
        <w:ind w:firstLine="160"/>
      </w:pPr>
      <w:r>
        <w:t>Dobré výsledky péče o mládež. V rámci rozšířené péče o mládež v českých zemích věnovala také zlínská sociální zřízení, červený kříž a okresní péče o mládež za vydatné podpory Baťových závodů velkou pozornost potřebné mládeži a to jak ze zlínského kraj</w:t>
      </w:r>
      <w:r>
        <w:t>e, tak hlavně z různých míst Moravy. Za</w:t>
      </w:r>
      <w:r>
        <w:softHyphen/>
        <w:t>tím co loni požívalo výhod prázd</w:t>
      </w:r>
      <w:r>
        <w:softHyphen/>
        <w:t>ninové péče necelých dvě stě dětí, vrací se nyní z prázdninových osad a ozdravoven několik set dětí. Kro</w:t>
      </w:r>
      <w:r>
        <w:softHyphen/>
        <w:t>mě krásné ozdravovny v Březolu- petíh pro 160 dětí. -byly letos zří</w:t>
      </w:r>
      <w:r>
        <w:softHyphen/>
        <w:t>zeny zotav</w:t>
      </w:r>
      <w:r>
        <w:t>ovny v Malenovicích. ve Slušovicích, na Hradisku a ojedi</w:t>
      </w:r>
      <w:r>
        <w:softHyphen/>
        <w:t>nělý tábor v Pozděchově, který je vzorem pro letní tábory mládeže. Tento tábor byl umístěn v dřevě</w:t>
      </w:r>
      <w:r>
        <w:softHyphen/>
        <w:t>ných ubikacích pracovního tábora, kde měl k disposici plně vyhovující ložnice, jídelny, společné mís</w:t>
      </w:r>
      <w:r>
        <w:t>tnosti, vodovod, vlastní elektrárnu a pod. Pořádali se také různé kursy pro dospělejší mládež v přírodě. Kromě pobytu na zdravém vzduchu na</w:t>
      </w:r>
      <w:r>
        <w:softHyphen/>
        <w:t>učila se mládež žít ukázněným tá</w:t>
      </w:r>
      <w:r>
        <w:softHyphen/>
        <w:t>borovým životem.</w:t>
      </w:r>
    </w:p>
    <w:p w:rsidR="00500724" w:rsidRDefault="00F30FB8">
      <w:pPr>
        <w:pStyle w:val="Zkladntext40"/>
        <w:shd w:val="clear" w:color="auto" w:fill="auto"/>
        <w:spacing w:after="120" w:line="182" w:lineRule="auto"/>
        <w:ind w:firstLine="160"/>
      </w:pPr>
      <w:r>
        <w:t>V těchto dnech končí pobyt dětí</w:t>
      </w:r>
    </w:p>
    <w:p w:rsidR="00500724" w:rsidRDefault="00F30FB8">
      <w:pPr>
        <w:spacing w:line="1" w:lineRule="exact"/>
        <w:rPr>
          <w:sz w:val="2"/>
          <w:szCs w:val="2"/>
        </w:rPr>
      </w:pPr>
      <w:r>
        <w:br w:type="column"/>
      </w:r>
    </w:p>
    <w:p w:rsidR="00500724" w:rsidRDefault="00F30FB8">
      <w:pPr>
        <w:pStyle w:val="Zkladntext100"/>
        <w:shd w:val="clear" w:color="auto" w:fill="auto"/>
        <w:spacing w:after="80"/>
        <w:ind w:firstLine="0"/>
        <w:jc w:val="left"/>
      </w:pPr>
      <w:r>
        <w:rPr>
          <w:i/>
          <w:iCs/>
          <w:lang w:val="en-US" w:eastAsia="en-US" w:bidi="en-US"/>
        </w:rPr>
        <w:t xml:space="preserve">Horace </w:t>
      </w:r>
      <w:r>
        <w:rPr>
          <w:i/>
          <w:iCs/>
        </w:rPr>
        <w:t>T r aub el:</w:t>
      </w:r>
    </w:p>
    <w:p w:rsidR="00500724" w:rsidRDefault="00F30FB8">
      <w:pPr>
        <w:pStyle w:val="Zkladntext100"/>
        <w:shd w:val="clear" w:color="auto" w:fill="auto"/>
        <w:spacing w:after="140" w:line="187" w:lineRule="auto"/>
        <w:ind w:firstLine="160"/>
        <w:rPr>
          <w:sz w:val="19"/>
          <w:szCs w:val="19"/>
        </w:rPr>
      </w:pPr>
      <w:r>
        <w:rPr>
          <w:b/>
          <w:bCs/>
          <w:sz w:val="19"/>
          <w:szCs w:val="19"/>
        </w:rPr>
        <w:t xml:space="preserve">BURCOVÁNÍ ZE </w:t>
      </w:r>
      <w:r>
        <w:rPr>
          <w:b/>
          <w:bCs/>
          <w:sz w:val="19"/>
          <w:szCs w:val="19"/>
        </w:rPr>
        <w:t>SPÁNKU</w:t>
      </w:r>
    </w:p>
    <w:p w:rsidR="00500724" w:rsidRDefault="00F30FB8">
      <w:pPr>
        <w:pStyle w:val="Zkladntext100"/>
        <w:shd w:val="clear" w:color="auto" w:fill="auto"/>
        <w:ind w:firstLine="160"/>
      </w:pPr>
      <w:r>
        <w:rPr>
          <w:i/>
          <w:iCs/>
        </w:rPr>
        <w:t>Chci se smáti. Nerozumějte mi falešně. Smáti. Proč bych si ne</w:t>
      </w:r>
      <w:r>
        <w:rPr>
          <w:i/>
          <w:iCs/>
        </w:rPr>
        <w:softHyphen/>
        <w:t>chal zkaziti dobrý rozmar tímto bojem. Myslíte, že dobrý rozmar je slabost ? Dejte -pozor! Dívejte se, povolím-li ve svém dobrém rozmaru. Což nevíte, že v smíchu jsou skryty nejkrutější z</w:t>
      </w:r>
      <w:r>
        <w:rPr>
          <w:i/>
          <w:iCs/>
        </w:rPr>
        <w:t>braně ? Celé moře mám za svým smí</w:t>
      </w:r>
      <w:r>
        <w:rPr>
          <w:i/>
          <w:iCs/>
        </w:rPr>
        <w:softHyphen/>
        <w:t>chem. A můj smích zdrtí vše</w:t>
      </w:r>
      <w:r>
        <w:rPr>
          <w:i/>
          <w:iCs/>
        </w:rPr>
        <w:softHyphen/>
        <w:t>cky piráty. Chci býti vesel. S písní na rtech chci jiti v boj. To neuškodí boji a mně to po</w:t>
      </w:r>
      <w:r>
        <w:rPr>
          <w:i/>
          <w:iCs/>
        </w:rPr>
        <w:softHyphen/>
        <w:t>může. A pro účely tohoto váleč</w:t>
      </w:r>
      <w:r>
        <w:rPr>
          <w:i/>
          <w:iCs/>
        </w:rPr>
        <w:softHyphen/>
        <w:t>ného tažení konám vše, co mi může pomoci. Svým smíchem mohu zničiti des</w:t>
      </w:r>
      <w:r>
        <w:rPr>
          <w:i/>
          <w:iCs/>
        </w:rPr>
        <w:t>et tisíc posmě</w:t>
      </w:r>
      <w:r>
        <w:rPr>
          <w:i/>
          <w:iCs/>
        </w:rPr>
        <w:softHyphen/>
        <w:t>vačů. Dobře namířený smích povalí městskou hradbu. Pocti</w:t>
      </w:r>
      <w:r>
        <w:rPr>
          <w:i/>
          <w:iCs/>
        </w:rPr>
        <w:softHyphen/>
        <w:t>vému smíchu neodolá žádná ne</w:t>
      </w:r>
      <w:r>
        <w:rPr>
          <w:i/>
          <w:iCs/>
        </w:rPr>
        <w:softHyphen/>
        <w:t>spravedlnost. Zhasněte slun</w:t>
      </w:r>
      <w:r>
        <w:rPr>
          <w:i/>
          <w:iCs/>
        </w:rPr>
        <w:softHyphen/>
        <w:t>ce. Budu se přece smáti. A můj smích postaví opět slunce na jeho místo. Nenahlížím, proč by mne měl učiniti ničemným po</w:t>
      </w:r>
      <w:r>
        <w:rPr>
          <w:i/>
          <w:iCs/>
        </w:rPr>
        <w:softHyphen/>
        <w:t>kus, ab</w:t>
      </w:r>
      <w:r>
        <w:rPr>
          <w:i/>
          <w:iCs/>
        </w:rPr>
        <w:t>y šířil blaženost. Proč nemám býti cestou stejně šťas</w:t>
      </w:r>
      <w:r>
        <w:rPr>
          <w:i/>
          <w:iCs/>
        </w:rPr>
        <w:softHyphen/>
        <w:t>ten jako u cíle? Ba, předem si již něco vžiti s cíle ? Pomůže to něco cíli, budu-li pobíhati s ža</w:t>
      </w:r>
      <w:r>
        <w:rPr>
          <w:i/>
          <w:iCs/>
        </w:rPr>
        <w:softHyphen/>
        <w:t>lostnou tváří? Nepravím, abys nasadil si veselou masku. Pra</w:t>
      </w:r>
      <w:r>
        <w:rPr>
          <w:i/>
          <w:iCs/>
        </w:rPr>
        <w:softHyphen/>
        <w:t>vím, že máš býti opravdu vese</w:t>
      </w:r>
      <w:r>
        <w:rPr>
          <w:i/>
          <w:iCs/>
        </w:rPr>
        <w:softHyphen/>
        <w:t>lým. Já jím js</w:t>
      </w:r>
      <w:r>
        <w:rPr>
          <w:i/>
          <w:iCs/>
        </w:rPr>
        <w:t>em. Neboť vidím příchod dobré doby. A vypůjčuji si již u její předzvěsti.</w:t>
      </w:r>
    </w:p>
    <w:p w:rsidR="00500724" w:rsidRDefault="00F30FB8">
      <w:pPr>
        <w:pStyle w:val="Zkladntext30"/>
        <w:pBdr>
          <w:bottom w:val="single" w:sz="4" w:space="0" w:color="auto"/>
        </w:pBdr>
        <w:shd w:val="clear" w:color="auto" w:fill="auto"/>
        <w:spacing w:after="260" w:line="178" w:lineRule="auto"/>
        <w:ind w:firstLine="0"/>
        <w:jc w:val="right"/>
        <w:rPr>
          <w:sz w:val="20"/>
          <w:szCs w:val="20"/>
        </w:rPr>
      </w:pPr>
      <w:r>
        <w:rPr>
          <w:i/>
          <w:iCs/>
          <w:sz w:val="20"/>
          <w:szCs w:val="20"/>
        </w:rPr>
        <w:t>Ze stejnojmenné essaye.</w:t>
      </w:r>
    </w:p>
    <w:p w:rsidR="00500724" w:rsidRDefault="00F30FB8">
      <w:pPr>
        <w:pStyle w:val="Jin0"/>
        <w:shd w:val="clear" w:color="auto" w:fill="auto"/>
        <w:spacing w:after="80"/>
        <w:ind w:left="300" w:firstLine="0"/>
        <w:jc w:val="left"/>
        <w:rPr>
          <w:sz w:val="26"/>
          <w:szCs w:val="26"/>
        </w:rPr>
      </w:pPr>
      <w:r>
        <w:rPr>
          <w:rFonts w:ascii="Arial" w:eastAsia="Arial" w:hAnsi="Arial" w:cs="Arial"/>
          <w:b/>
          <w:bCs/>
          <w:sz w:val="26"/>
          <w:szCs w:val="26"/>
        </w:rPr>
        <w:t>FEUILLETON</w:t>
      </w:r>
    </w:p>
    <w:p w:rsidR="00500724" w:rsidRDefault="00F30FB8">
      <w:pPr>
        <w:pStyle w:val="Zkladntext100"/>
        <w:shd w:val="clear" w:color="auto" w:fill="auto"/>
        <w:spacing w:after="100" w:line="194" w:lineRule="auto"/>
        <w:ind w:firstLine="0"/>
        <w:jc w:val="left"/>
        <w:rPr>
          <w:sz w:val="17"/>
          <w:szCs w:val="17"/>
        </w:rPr>
      </w:pPr>
      <w:r>
        <w:rPr>
          <w:i/>
          <w:iCs/>
          <w:sz w:val="17"/>
          <w:szCs w:val="17"/>
        </w:rPr>
        <w:t>G. Charensol:</w:t>
      </w:r>
    </w:p>
    <w:p w:rsidR="00500724" w:rsidRDefault="00F30FB8">
      <w:pPr>
        <w:pStyle w:val="Zkladntext40"/>
        <w:shd w:val="clear" w:color="auto" w:fill="auto"/>
        <w:spacing w:after="0" w:line="206" w:lineRule="auto"/>
        <w:jc w:val="center"/>
        <w:rPr>
          <w:sz w:val="16"/>
          <w:szCs w:val="16"/>
        </w:rPr>
      </w:pPr>
      <w:r>
        <w:rPr>
          <w:b/>
          <w:bCs/>
          <w:sz w:val="16"/>
          <w:szCs w:val="16"/>
        </w:rPr>
        <w:t>ZAJÍMAVÝ ČLOVĚK.</w:t>
      </w:r>
    </w:p>
    <w:p w:rsidR="00500724" w:rsidRDefault="00F30FB8">
      <w:pPr>
        <w:pStyle w:val="Zkladntext40"/>
        <w:shd w:val="clear" w:color="auto" w:fill="auto"/>
        <w:spacing w:after="0" w:line="206" w:lineRule="auto"/>
        <w:rPr>
          <w:sz w:val="16"/>
          <w:szCs w:val="16"/>
        </w:rPr>
      </w:pPr>
      <w:r>
        <w:rPr>
          <w:b/>
          <w:bCs/>
          <w:sz w:val="16"/>
          <w:szCs w:val="16"/>
        </w:rPr>
        <w:t xml:space="preserve">Když jsemse probíral právěvydaný- mi Vzpomínkami obchodníka obrazy, vzpomínal jsem na své první setkání s Ambroisem </w:t>
      </w:r>
      <w:r>
        <w:rPr>
          <w:b/>
          <w:bCs/>
          <w:sz w:val="16"/>
          <w:szCs w:val="16"/>
        </w:rPr>
        <w:t>Vollar- dem. Psal jsem tenkrát studie o ve</w:t>
      </w:r>
      <w:r>
        <w:rPr>
          <w:b/>
          <w:bCs/>
          <w:sz w:val="16"/>
          <w:szCs w:val="16"/>
        </w:rPr>
        <w:softHyphen/>
        <w:t>likých uměleckých sbírkách a jeden z prvních, koho jsem navštívil, byl ovšem tento slavný přítel impre- sionistů. Přišel mi sám otevřít a tak jsem po prvé spatřil vysokou a statnou siluetu, husté, krátké vousy, kř</w:t>
      </w:r>
      <w:r>
        <w:rPr>
          <w:b/>
          <w:bCs/>
          <w:sz w:val="16"/>
          <w:szCs w:val="16"/>
        </w:rPr>
        <w:t>ovinatá obočí a přivřené oko slavného obchodníka.</w:t>
      </w:r>
    </w:p>
    <w:p w:rsidR="00500724" w:rsidRDefault="00F30FB8">
      <w:pPr>
        <w:pStyle w:val="Zkladntext40"/>
        <w:shd w:val="clear" w:color="auto" w:fill="auto"/>
        <w:spacing w:after="0" w:line="206" w:lineRule="auto"/>
        <w:ind w:firstLine="160"/>
        <w:rPr>
          <w:sz w:val="16"/>
          <w:szCs w:val="16"/>
        </w:rPr>
      </w:pPr>
      <w:r>
        <w:rPr>
          <w:b/>
          <w:bCs/>
          <w:sz w:val="16"/>
          <w:szCs w:val="16"/>
        </w:rPr>
        <w:t>„Ale to se rozumí,“ odpověděl, když jsem mu řekl, proč jsem při</w:t>
      </w:r>
      <w:r>
        <w:rPr>
          <w:b/>
          <w:bCs/>
          <w:sz w:val="16"/>
          <w:szCs w:val="16"/>
        </w:rPr>
        <w:softHyphen/>
        <w:t>šel. ,,Ale nemám to ještě všechno uspořádáno , . . Jakmile budou obrazy rozvěšeny, zavolám vás.“</w:t>
      </w:r>
    </w:p>
    <w:p w:rsidR="00500724" w:rsidRDefault="00F30FB8">
      <w:pPr>
        <w:pStyle w:val="Zkladntext40"/>
        <w:shd w:val="clear" w:color="auto" w:fill="auto"/>
        <w:spacing w:after="0" w:line="206" w:lineRule="auto"/>
        <w:ind w:firstLine="160"/>
        <w:rPr>
          <w:sz w:val="16"/>
          <w:szCs w:val="16"/>
        </w:rPr>
      </w:pPr>
      <w:r>
        <w:rPr>
          <w:b/>
          <w:bCs/>
          <w:sz w:val="16"/>
          <w:szCs w:val="16"/>
        </w:rPr>
        <w:t>To se stalo před patnácti lety a jistě se nem</w:t>
      </w:r>
      <w:r>
        <w:rPr>
          <w:b/>
          <w:bCs/>
          <w:sz w:val="16"/>
          <w:szCs w:val="16"/>
        </w:rPr>
        <w:t>ýlím, když řeknu, že pan Vollard dodnes nedokončil uspořádání svých sbírek.</w:t>
      </w:r>
    </w:p>
    <w:p w:rsidR="00500724" w:rsidRDefault="00F30FB8">
      <w:pPr>
        <w:pStyle w:val="Zkladntext40"/>
        <w:shd w:val="clear" w:color="auto" w:fill="auto"/>
        <w:spacing w:after="40" w:line="206" w:lineRule="auto"/>
        <w:ind w:firstLine="160"/>
        <w:rPr>
          <w:sz w:val="16"/>
          <w:szCs w:val="16"/>
        </w:rPr>
        <w:sectPr w:rsidR="00500724">
          <w:footnotePr>
            <w:numFmt w:val="chicago"/>
            <w:numRestart w:val="eachPage"/>
          </w:footnotePr>
          <w:type w:val="continuous"/>
          <w:pgSz w:w="11909" w:h="16834"/>
          <w:pgMar w:top="2648" w:right="596" w:bottom="695" w:left="569" w:header="0" w:footer="3" w:gutter="0"/>
          <w:cols w:num="4" w:sep="1" w:space="100"/>
          <w:noEndnote/>
          <w:docGrid w:linePitch="360"/>
        </w:sectPr>
      </w:pPr>
      <w:r>
        <w:rPr>
          <w:b/>
          <w:bCs/>
          <w:sz w:val="16"/>
          <w:szCs w:val="16"/>
        </w:rPr>
        <w:t>Není to ostatně nic divného, pro</w:t>
      </w:r>
      <w:r>
        <w:rPr>
          <w:b/>
          <w:bCs/>
          <w:sz w:val="16"/>
          <w:szCs w:val="16"/>
        </w:rPr>
        <w:softHyphen/>
        <w:t xml:space="preserve">tože nejednou skoupil všechno, co bylo v atelieru umělců, jež měl rád, a možná, že některá údobí Vla- minckova nebo </w:t>
      </w:r>
      <w:r>
        <w:rPr>
          <w:b/>
          <w:bCs/>
          <w:sz w:val="16"/>
          <w:szCs w:val="16"/>
        </w:rPr>
        <w:t>Derainova jsou špatně známa jenom proto, že mno</w:t>
      </w:r>
      <w:r>
        <w:rPr>
          <w:b/>
          <w:bCs/>
          <w:sz w:val="16"/>
          <w:szCs w:val="16"/>
        </w:rPr>
        <w:softHyphen/>
        <w:t>há jejich díla leží dodnes v bed</w:t>
      </w:r>
      <w:r>
        <w:rPr>
          <w:b/>
          <w:bCs/>
          <w:sz w:val="16"/>
          <w:szCs w:val="16"/>
        </w:rPr>
        <w:softHyphen/>
        <w:t>nách, jejichž strážcem byl za války</w:t>
      </w:r>
    </w:p>
    <w:p w:rsidR="00500724" w:rsidRDefault="00F30FB8">
      <w:pPr>
        <w:spacing w:line="14" w:lineRule="exact"/>
      </w:pPr>
      <w:r>
        <w:rPr>
          <w:noProof/>
        </w:rPr>
        <mc:AlternateContent>
          <mc:Choice Requires="wps">
            <w:drawing>
              <wp:anchor distT="0" distB="3246120" distL="114300" distR="6710045" simplePos="0" relativeHeight="125830240" behindDoc="0" locked="0" layoutInCell="1" allowOverlap="1">
                <wp:simplePos x="0" y="0"/>
                <wp:positionH relativeFrom="page">
                  <wp:posOffset>359410</wp:posOffset>
                </wp:positionH>
                <wp:positionV relativeFrom="paragraph">
                  <wp:posOffset>12700</wp:posOffset>
                </wp:positionV>
                <wp:extent cx="125095" cy="118745"/>
                <wp:effectExtent l="0" t="0" r="0" b="0"/>
                <wp:wrapTopAndBottom/>
                <wp:docPr id="863" name="Shape 863"/>
                <wp:cNvGraphicFramePr/>
                <a:graphic xmlns:a="http://schemas.openxmlformats.org/drawingml/2006/main">
                  <a:graphicData uri="http://schemas.microsoft.com/office/word/2010/wordprocessingShape">
                    <wps:wsp>
                      <wps:cNvSpPr txBox="1"/>
                      <wps:spPr>
                        <a:xfrm>
                          <a:off x="0" y="0"/>
                          <a:ext cx="125095" cy="118745"/>
                        </a:xfrm>
                        <a:prstGeom prst="rect">
                          <a:avLst/>
                        </a:prstGeom>
                        <a:noFill/>
                      </wps:spPr>
                      <wps:txbx>
                        <w:txbxContent>
                          <w:p w:rsidR="00500724" w:rsidRDefault="00F30FB8">
                            <w:pPr>
                              <w:pStyle w:val="Zkladntext90"/>
                              <w:shd w:val="clear" w:color="auto" w:fill="auto"/>
                              <w:spacing w:line="240" w:lineRule="auto"/>
                              <w:ind w:firstLine="0"/>
                              <w:jc w:val="left"/>
                            </w:pPr>
                            <w:r>
                              <w:rPr>
                                <w:lang w:val="en-US" w:eastAsia="en-US" w:bidi="en-US"/>
                              </w:rPr>
                              <w:t>Eg</w:t>
                            </w:r>
                          </w:p>
                        </w:txbxContent>
                      </wps:txbx>
                      <wps:bodyPr lIns="0" tIns="0" rIns="0" bIns="0">
                        <a:spAutoFit/>
                      </wps:bodyPr>
                    </wps:wsp>
                  </a:graphicData>
                </a:graphic>
              </wp:anchor>
            </w:drawing>
          </mc:Choice>
          <mc:Fallback>
            <w:pict>
              <v:shape id="_x0000_s1889" type="#_x0000_t202" style="position:absolute;margin-left:28.300000000000001pt;margin-top:1.pt;width:9.8499999999999996pt;height:9.3499999999999996pt;z-index:-125828513;mso-wrap-distance-left:9.pt;mso-wrap-distance-right:528.35000000000002pt;mso-wrap-distance-bottom:255.59999999999999pt;mso-position-horizontal-relative:page" filled="f" stroked="f">
                <v:textbox style="mso-fit-shape-to-text:t" inset="0,0,0,0">
                  <w:txbxContent>
                    <w:p>
                      <w:pPr>
                        <w:pStyle w:val="Style26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Eg</w:t>
                      </w:r>
                    </w:p>
                  </w:txbxContent>
                </v:textbox>
                <w10:wrap type="topAndBottom" anchorx="page"/>
              </v:shape>
            </w:pict>
          </mc:Fallback>
        </mc:AlternateContent>
      </w:r>
      <w:r>
        <w:rPr>
          <w:noProof/>
        </w:rPr>
        <mc:AlternateContent>
          <mc:Choice Requires="wps">
            <w:drawing>
              <wp:anchor distT="0" distB="0" distL="0" distR="0" simplePos="0" relativeHeight="125830242" behindDoc="0" locked="0" layoutInCell="1" allowOverlap="1">
                <wp:simplePos x="0" y="0"/>
                <wp:positionH relativeFrom="page">
                  <wp:posOffset>298450</wp:posOffset>
                </wp:positionH>
                <wp:positionV relativeFrom="paragraph">
                  <wp:posOffset>237490</wp:posOffset>
                </wp:positionV>
                <wp:extent cx="1691640" cy="6056630"/>
                <wp:effectExtent l="0" t="0" r="0" b="0"/>
                <wp:wrapSquare wrapText="bothSides"/>
                <wp:docPr id="865" name="Shape 865"/>
                <wp:cNvGraphicFramePr/>
                <a:graphic xmlns:a="http://schemas.openxmlformats.org/drawingml/2006/main">
                  <a:graphicData uri="http://schemas.microsoft.com/office/word/2010/wordprocessingShape">
                    <wps:wsp>
                      <wps:cNvSpPr txBox="1"/>
                      <wps:spPr>
                        <a:xfrm>
                          <a:off x="0" y="0"/>
                          <a:ext cx="1691640" cy="6056630"/>
                        </a:xfrm>
                        <a:prstGeom prst="rect">
                          <a:avLst/>
                        </a:prstGeom>
                        <a:noFill/>
                      </wps:spPr>
                      <wps:txbx>
                        <w:txbxContent>
                          <w:p w:rsidR="00500724" w:rsidRDefault="00F30FB8">
                            <w:pPr>
                              <w:pStyle w:val="Zkladntext90"/>
                              <w:shd w:val="clear" w:color="auto" w:fill="auto"/>
                              <w:spacing w:line="211" w:lineRule="auto"/>
                              <w:ind w:firstLine="0"/>
                            </w:pPr>
                            <w:r>
                              <w:t>v ozdravovnách. Děti se vracejí do</w:t>
                            </w:r>
                            <w:r>
                              <w:softHyphen/>
                              <w:t>mů osvěženy jak na těla tak na duchu a zdravé.,</w:t>
                            </w:r>
                          </w:p>
                          <w:p w:rsidR="00500724" w:rsidRDefault="00F30FB8">
                            <w:pPr>
                              <w:pStyle w:val="Zkladntext90"/>
                              <w:shd w:val="clear" w:color="auto" w:fill="auto"/>
                              <w:spacing w:line="211" w:lineRule="auto"/>
                            </w:pPr>
                            <w:r>
                              <w:t>Láskou a vděčností opláči národ našim duchovním</w:t>
                            </w:r>
                            <w:r>
                              <w:t xml:space="preserve"> vůdcům za vše. co pro jeho růst a velikost udělali. Nad jině přesvědčujícím důkazem o tom je úspěch výboru z Mánesova díla, které pod názvem Zemi mi</w:t>
                            </w:r>
                            <w:r>
                              <w:softHyphen/>
                              <w:t>lované . . . chystá nakladatelství Orbis. Výbor bude mít přes 300 stran. Vzorný hlubotisk Neubertův dá obr</w:t>
                            </w:r>
                            <w:r>
                              <w:t>ázkům, co jim patři. Barevné přílohy dílo doplní. Vyjde začátkem září. V plátěné vazbě bude za K 150.—. Po subskripci bude cena zvýšena.</w:t>
                            </w:r>
                          </w:p>
                          <w:p w:rsidR="00500724" w:rsidRDefault="00F30FB8">
                            <w:pPr>
                              <w:pStyle w:val="Zkladntext90"/>
                              <w:shd w:val="clear" w:color="auto" w:fill="auto"/>
                              <w:spacing w:line="211" w:lineRule="auto"/>
                            </w:pPr>
                            <w:r>
                              <w:t>Pokračovací kursy pro mládež fikole odrostlou. Ve Zlíně bude v no</w:t>
                            </w:r>
                            <w:r>
                              <w:softHyphen/>
                              <w:t>vém školním roce zavedena novin</w:t>
                            </w:r>
                            <w:r>
                              <w:softHyphen/>
                              <w:t>ka: pokračovací kursy</w:t>
                            </w:r>
                            <w:r>
                              <w:t xml:space="preserve"> pro mládež škole odrostlou, ve věku od 14 do 16 let. Tyto pokračovací kursy jsou jednou z prvních reformních škol</w:t>
                            </w:r>
                            <w:r>
                              <w:softHyphen/>
                              <w:t>ských snah. jak byly uplatňovány letos na školských poradách: věno</w:t>
                            </w:r>
                            <w:r>
                              <w:softHyphen/>
                              <w:t>vat totiž pozornost mládeži odrostlé škole. Kursy povolilo ministerstvo šk</w:t>
                            </w:r>
                            <w:r>
                              <w:t>olství a národní osvěty a budou zřízeny při měšťanských školách ve Zlíně. Jsou určeny pro mládež, kte</w:t>
                            </w:r>
                            <w:r>
                              <w:softHyphen/>
                              <w:t>rá není v učení ani nestuduje. Bu</w:t>
                            </w:r>
                            <w:r>
                              <w:softHyphen/>
                              <w:t>dou zřízeny dva ročníky a při vět</w:t>
                            </w:r>
                            <w:r>
                              <w:softHyphen/>
                              <w:t>ším počtu bude žactvo rozděleno jednak podle pohlaví a jednak podle zaměstnání do tříd</w:t>
                            </w:r>
                            <w:r>
                              <w:t>: všeobecné, živ- nostenskoprůmy3lové. obchodní a zahradnicko-ovocnářské. Vyučovat se bude 8 hodin v jednom dni v týdnu a u. děvčat ještě o půl dne více.</w:t>
                            </w:r>
                          </w:p>
                          <w:p w:rsidR="00500724" w:rsidRDefault="00F30FB8">
                            <w:pPr>
                              <w:pStyle w:val="Zkladntext90"/>
                              <w:shd w:val="clear" w:color="auto" w:fill="auto"/>
                              <w:spacing w:line="211" w:lineRule="auto"/>
                            </w:pPr>
                            <w:r>
                              <w:t>Příležitost pro mladé dívky.</w:t>
                            </w:r>
                          </w:p>
                          <w:p w:rsidR="00500724" w:rsidRDefault="00F30FB8">
                            <w:pPr>
                              <w:pStyle w:val="Zkladntext90"/>
                              <w:shd w:val="clear" w:color="auto" w:fill="auto"/>
                              <w:spacing w:line="211" w:lineRule="auto"/>
                              <w:ind w:firstLine="0"/>
                            </w:pPr>
                            <w:r>
                              <w:t xml:space="preserve">Každého roku přichází do Zlína několik set hochů a děvčat ve stáří 14 a </w:t>
                            </w:r>
                            <w:r>
                              <w:t>15 let. kteří byli přijati do Ba</w:t>
                            </w:r>
                            <w:r>
                              <w:softHyphen/>
                              <w:t>ťovy školy práce. Letos rozmnožilo již řady zlínské průmyslové mlá</w:t>
                            </w:r>
                            <w:r>
                              <w:softHyphen/>
                              <w:t>deže několik set hochů a děvčat, kteří začínají jako mladí muži a mladé ženy své povoláni v průmys</w:t>
                            </w:r>
                            <w:r>
                              <w:softHyphen/>
                              <w:t>lových dílnách. Po práci navštěvuji hoši tříletou průmysl</w:t>
                            </w:r>
                            <w:r>
                              <w:t>ovou školu a děvčata tříletou školu, v níž se při</w:t>
                            </w:r>
                            <w:r>
                              <w:softHyphen/>
                              <w:t>hlíží k jejich příštím úkolům matek a hospodyní. Nyní je přijímáni žá</w:t>
                            </w:r>
                            <w:r>
                              <w:softHyphen/>
                              <w:t>ků a žákyň do Baťovy školy práce v proudu. Přijme se však ještě větší počet děvčat ve věku 14 a 15 let. která vychodila s úspěchem tři n</w:t>
                            </w:r>
                            <w:r>
                              <w:t>ebo čtyři třídy měšfanky. Žádosti o přijetí nechť zašlou žadatelky na adresu: Ředitelství Baťovy školy práce. Zlín II.</w:t>
                            </w:r>
                          </w:p>
                          <w:p w:rsidR="00500724" w:rsidRDefault="00F30FB8">
                            <w:pPr>
                              <w:pStyle w:val="Zkladntext90"/>
                              <w:shd w:val="clear" w:color="auto" w:fill="auto"/>
                              <w:spacing w:line="211" w:lineRule="auto"/>
                            </w:pPr>
                            <w:r>
                              <w:t>Kam s úchylným hochem? Du</w:t>
                            </w:r>
                            <w:r>
                              <w:softHyphen/>
                              <w:t>ševně úchylné hochy se sníženými rozumovými schopnostmi připravu</w:t>
                            </w:r>
                            <w:r>
                              <w:softHyphen/>
                              <w:t>je pro praktický život výchovnou prací ve škol</w:t>
                            </w:r>
                            <w:r>
                              <w:t>e, v dílnách a zahrad</w:t>
                            </w:r>
                            <w:r>
                              <w:softHyphen/>
                              <w:t>nictví Chlapecká výchovna v Hradci Králové. Přijímá hochy ve věku od 6 do 16 let. Informace zasílá ředitel</w:t>
                            </w:r>
                            <w:r>
                              <w:softHyphen/>
                              <w:t>ství Chlapecké výchovny v Hradci Králové (známka na odpověď).</w:t>
                            </w:r>
                          </w:p>
                        </w:txbxContent>
                      </wps:txbx>
                      <wps:bodyPr lIns="0" tIns="0" rIns="0" bIns="0">
                        <a:spAutoFit/>
                      </wps:bodyPr>
                    </wps:wsp>
                  </a:graphicData>
                </a:graphic>
              </wp:anchor>
            </w:drawing>
          </mc:Choice>
          <mc:Fallback>
            <w:pict>
              <v:shape id="_x0000_s1891" type="#_x0000_t202" style="position:absolute;margin-left:23.5pt;margin-top:18.699999999999999pt;width:133.19999999999999pt;height:476.89999999999998pt;z-index:-125828511;mso-wrap-distance-left:0;mso-wrap-distance-right:0;mso-position-horizontal-relative:page" filled="f" stroked="f">
                <v:textbox style="mso-fit-shape-to-text:t" inset="0,0,0,0">
                  <w:txbxContent>
                    <w:p>
                      <w:pPr>
                        <w:pStyle w:val="Style262"/>
                        <w:keepNext w:val="0"/>
                        <w:keepLines w:val="0"/>
                        <w:widowControl w:val="0"/>
                        <w:shd w:val="clear" w:color="auto" w:fill="auto"/>
                        <w:bidi w:val="0"/>
                        <w:spacing w:before="0" w:after="0" w:line="211" w:lineRule="auto"/>
                        <w:ind w:left="0" w:right="0" w:firstLine="0"/>
                      </w:pPr>
                      <w:r>
                        <w:rPr>
                          <w:color w:val="000000"/>
                          <w:spacing w:val="0"/>
                          <w:w w:val="100"/>
                          <w:position w:val="0"/>
                          <w:shd w:val="clear" w:color="auto" w:fill="auto"/>
                          <w:lang w:val="cs-CZ" w:eastAsia="cs-CZ" w:bidi="cs-CZ"/>
                        </w:rPr>
                        <w:t>v ozdravovnách. Děti se vracejí do</w:t>
                        <w:softHyphen/>
                        <w:t>mů osvěženy jak na těla tak na duchu a zdravé.,</w:t>
                      </w:r>
                    </w:p>
                    <w:p>
                      <w:pPr>
                        <w:pStyle w:val="Style26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Láskou a vděčností opláči národ našim duchovním vůdcům za vše. co pro jeho růst a velikost udělali. Nad jině přesvědčujícím důkazem o tom je úspěch výboru z Mánesova díla, které pod názvem Zemi mi</w:t>
                        <w:softHyphen/>
                        <w:t>lované . . . chystá nakladatelství Orbis. Výbor bude mít přes 300 stran. Vzorný hlubotisk Neubertův dá obrázkům, co jim patři. Barevné přílohy dílo doplní. Vyjde začátkem září. V plátěné vazbě bude za K 150.—. Po subskripci bude cena zvýšena.</w:t>
                      </w:r>
                    </w:p>
                    <w:p>
                      <w:pPr>
                        <w:pStyle w:val="Style26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Pokračovací kursy pro mládež fikole odrostlou. Ve Zlíně bude v no</w:t>
                        <w:softHyphen/>
                        <w:t>vém školním roce zavedena novin</w:t>
                        <w:softHyphen/>
                        <w:t>ka: pokračovací kursy pro mládež škole odrostlou, ve věku od 14 do 16 let. Tyto pokračovací kursy jsou jednou z prvních reformních škol</w:t>
                        <w:softHyphen/>
                        <w:t>ských snah. jak byly uplatňovány letos na školských poradách: věno</w:t>
                        <w:softHyphen/>
                        <w:t>vat totiž pozornost mládeži odrostlé škole. Kursy povolilo ministerstvo školství a národní osvěty a budou zřízeny při měšťanských školách ve Zlíně. Jsou určeny pro mládež, kte</w:t>
                        <w:softHyphen/>
                        <w:t>rá není v učení ani nestuduje. Bu</w:t>
                        <w:softHyphen/>
                        <w:t>dou zřízeny dva ročníky a při vět</w:t>
                        <w:softHyphen/>
                        <w:t>ším počtu bude žactvo rozděleno jednak podle pohlaví a jednak podle zaměstnání do tříd: všeobecné, živ- nostenskoprůmy3lové. obchodní a zahradnicko-ovocnářské. Vyučovat se bude 8 hodin v jednom dni v týdnu a u. děvčat ještě o půl dne více.</w:t>
                      </w:r>
                    </w:p>
                    <w:p>
                      <w:pPr>
                        <w:pStyle w:val="Style26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Příležitost pro mladé dívky.</w:t>
                      </w:r>
                    </w:p>
                    <w:p>
                      <w:pPr>
                        <w:pStyle w:val="Style262"/>
                        <w:keepNext w:val="0"/>
                        <w:keepLines w:val="0"/>
                        <w:widowControl w:val="0"/>
                        <w:shd w:val="clear" w:color="auto" w:fill="auto"/>
                        <w:bidi w:val="0"/>
                        <w:spacing w:before="0" w:after="0" w:line="211" w:lineRule="auto"/>
                        <w:ind w:left="0" w:right="0" w:firstLine="0"/>
                      </w:pPr>
                      <w:r>
                        <w:rPr>
                          <w:color w:val="000000"/>
                          <w:spacing w:val="0"/>
                          <w:w w:val="100"/>
                          <w:position w:val="0"/>
                          <w:shd w:val="clear" w:color="auto" w:fill="auto"/>
                          <w:lang w:val="cs-CZ" w:eastAsia="cs-CZ" w:bidi="cs-CZ"/>
                        </w:rPr>
                        <w:t>Každého roku přichází do Zlína několik set hochů a děvčat ve stáří 14 a 15 let. kteří byli přijati do Ba</w:t>
                        <w:softHyphen/>
                        <w:t>ťovy školy práce. Letos rozmnožilo již řady zlínské průmyslové mlá</w:t>
                        <w:softHyphen/>
                        <w:t>deže několik set hochů a děvčat, kteří začínají jako mladí muži a mladé ženy své povoláni v průmys</w:t>
                        <w:softHyphen/>
                        <w:t>lových dílnách. Po práci navštěvuji hoši tříletou průmyslovou školu a děvčata tříletou školu, v níž se při</w:t>
                        <w:softHyphen/>
                        <w:t>hlíží k jejich příštím úkolům matek a hospodyní. Nyní je přijímáni žá</w:t>
                        <w:softHyphen/>
                        <w:t>ků a žákyň do Baťovy školy práce v proudu. Přijme se však ještě větší počet děvčat ve věku 14 a 15 let. která vychodila s úspěchem tři nebo čtyři třídy měšfanky. Žádosti o přijetí nechť zašlou žadatelky na adresu: Ředitelství Baťovy školy práce. Zlín II.</w:t>
                      </w:r>
                    </w:p>
                    <w:p>
                      <w:pPr>
                        <w:pStyle w:val="Style262"/>
                        <w:keepNext w:val="0"/>
                        <w:keepLines w:val="0"/>
                        <w:widowControl w:val="0"/>
                        <w:shd w:val="clear" w:color="auto" w:fill="auto"/>
                        <w:bidi w:val="0"/>
                        <w:spacing w:before="0" w:after="0" w:line="211" w:lineRule="auto"/>
                        <w:ind w:left="0" w:right="0"/>
                      </w:pPr>
                      <w:r>
                        <w:rPr>
                          <w:color w:val="000000"/>
                          <w:spacing w:val="0"/>
                          <w:w w:val="100"/>
                          <w:position w:val="0"/>
                          <w:shd w:val="clear" w:color="auto" w:fill="auto"/>
                          <w:lang w:val="cs-CZ" w:eastAsia="cs-CZ" w:bidi="cs-CZ"/>
                        </w:rPr>
                        <w:t>Kam s úchylným hochem? Du</w:t>
                        <w:softHyphen/>
                        <w:t>ševně úchylné hochy se sníženými rozumovými schopnostmi připravu</w:t>
                        <w:softHyphen/>
                        <w:t>je pro praktický život výchovnou prací ve škole, v dílnách a zahrad</w:t>
                        <w:softHyphen/>
                        <w:t>nictví Chlapecká výchovna v Hradci Králové. Přijímá hochy ve věku od 6 do 16 let. Informace zasílá ředitel</w:t>
                        <w:softHyphen/>
                        <w:t>ství Chlapecké výchovny v Hradci Králové (známka na odpověď).</w:t>
                      </w:r>
                    </w:p>
                  </w:txbxContent>
                </v:textbox>
                <w10:wrap type="square" anchorx="page"/>
              </v:shape>
            </w:pict>
          </mc:Fallback>
        </mc:AlternateContent>
      </w:r>
    </w:p>
    <w:p w:rsidR="00500724" w:rsidRDefault="00F30FB8">
      <w:pPr>
        <w:pStyle w:val="Zkladntext50"/>
        <w:framePr w:dropCap="drop" w:lines="3" w:hSpace="134" w:vSpace="134" w:wrap="auto" w:vAnchor="text" w:hAnchor="text"/>
        <w:shd w:val="clear" w:color="auto" w:fill="auto"/>
        <w:spacing w:line="899" w:lineRule="exact"/>
        <w:ind w:left="0"/>
      </w:pPr>
      <w:r>
        <w:rPr>
          <w:rFonts w:ascii="Times New Roman" w:eastAsia="Times New Roman" w:hAnsi="Times New Roman" w:cs="Times New Roman"/>
          <w:position w:val="-19"/>
          <w:sz w:val="138"/>
          <w:szCs w:val="138"/>
        </w:rPr>
        <w:t>P</w:t>
      </w:r>
    </w:p>
    <w:p w:rsidR="00500724" w:rsidRDefault="00F30FB8">
      <w:pPr>
        <w:pStyle w:val="Zkladntext50"/>
        <w:shd w:val="clear" w:color="auto" w:fill="auto"/>
        <w:spacing w:after="580" w:line="353" w:lineRule="auto"/>
        <w:ind w:left="500"/>
      </w:pPr>
      <w:r>
        <w:t>rvní cesta novým vozem Je radostnou chvílí v íivotě automobili</w:t>
      </w:r>
      <w:r>
        <w:t xml:space="preserve">sty. Tato Veíe cesta bude krásnější, vykonéte-li Jl vozem Praga </w:t>
      </w:r>
      <w:r>
        <w:rPr>
          <w:lang w:val="en-US" w:eastAsia="en-US" w:bidi="en-US"/>
        </w:rPr>
        <w:t xml:space="preserve">Piccolo, </w:t>
      </w:r>
      <w:r>
        <w:t xml:space="preserve">který ie výsledkem poctivé práce a úsilí po dokonalé konstrukci a kvalitním provedení. </w:t>
      </w:r>
      <w:r>
        <w:rPr>
          <w:lang w:val="en-US" w:eastAsia="en-US" w:bidi="en-US"/>
        </w:rPr>
        <w:t xml:space="preserve">Piccolo </w:t>
      </w:r>
      <w:r>
        <w:t>Jede rychle, tiše, sedí dobře na silnici, lehce se ovládá a Je skromný v provozu K těmto</w:t>
      </w:r>
      <w:r>
        <w:t xml:space="preserve"> technickým přednostem se řadi vněišl elegance, bohatost výbavy, dostatek místa pro po</w:t>
      </w:r>
      <w:r>
        <w:softHyphen/>
        <w:t xml:space="preserve">sádku I zavazadla, kteréžto vlastnosti tvoři z vozu Praga </w:t>
      </w:r>
      <w:r>
        <w:rPr>
          <w:lang w:val="en-US" w:eastAsia="en-US" w:bidi="en-US"/>
        </w:rPr>
        <w:t xml:space="preserve">Piccolo </w:t>
      </w:r>
      <w:r>
        <w:t>automobil pro dobré služby. S takovým vozem budou Vaše cesty po mnoha létech právě tak příjemné, jako p</w:t>
      </w:r>
      <w:r>
        <w:t>rvni jízda.</w:t>
      </w:r>
    </w:p>
    <w:p w:rsidR="00500724" w:rsidRDefault="00F30FB8">
      <w:pPr>
        <w:pStyle w:val="Nadpis110"/>
        <w:shd w:val="clear" w:color="auto" w:fill="auto"/>
        <w:spacing w:after="380"/>
        <w:ind w:left="340" w:firstLine="80"/>
        <w:jc w:val="both"/>
      </w:pPr>
      <w:bookmarkStart w:id="878" w:name="bookmark877"/>
      <w:r>
        <w:t>vůz ne statisíc© kilometrů</w:t>
      </w:r>
      <w:bookmarkEnd w:id="878"/>
    </w:p>
    <w:p w:rsidR="00500724" w:rsidRDefault="00F30FB8">
      <w:pPr>
        <w:pStyle w:val="Nadpis110"/>
        <w:shd w:val="clear" w:color="auto" w:fill="auto"/>
        <w:spacing w:line="300" w:lineRule="auto"/>
        <w:ind w:left="340" w:right="180" w:firstLine="80"/>
        <w:jc w:val="both"/>
        <w:sectPr w:rsidR="00500724">
          <w:footnotePr>
            <w:numFmt w:val="chicago"/>
            <w:numRestart w:val="eachPage"/>
          </w:footnotePr>
          <w:pgSz w:w="11909" w:h="16834"/>
          <w:pgMar w:top="461" w:right="701" w:bottom="314" w:left="3134" w:header="0" w:footer="3" w:gutter="0"/>
          <w:cols w:space="720"/>
          <w:noEndnote/>
          <w:docGrid w:linePitch="360"/>
        </w:sectPr>
      </w:pPr>
      <w:bookmarkStart w:id="879" w:name="bookmark878"/>
      <w:r>
        <w:t xml:space="preserve">ČESKOMORAVSKÁ-KOLBEN DANĚK a. ». automobilní oddělení </w:t>
      </w:r>
      <w:r>
        <w:rPr>
          <w:lang w:val="en-US" w:eastAsia="en-US" w:bidi="en-US"/>
        </w:rPr>
        <w:t xml:space="preserve">Praha-Karlin. </w:t>
      </w:r>
      <w:r>
        <w:t>K a r i o v a 2 2.</w:t>
      </w:r>
      <w:bookmarkEnd w:id="879"/>
    </w:p>
    <w:p w:rsidR="00500724" w:rsidRDefault="00500724">
      <w:pPr>
        <w:spacing w:line="81" w:lineRule="exact"/>
        <w:rPr>
          <w:sz w:val="7"/>
          <w:szCs w:val="7"/>
        </w:rPr>
      </w:pPr>
    </w:p>
    <w:p w:rsidR="00500724" w:rsidRDefault="00500724">
      <w:pPr>
        <w:spacing w:line="14" w:lineRule="exact"/>
        <w:sectPr w:rsidR="00500724">
          <w:footnotePr>
            <w:numFmt w:val="chicago"/>
            <w:numRestart w:val="eachPage"/>
          </w:footnotePr>
          <w:type w:val="continuous"/>
          <w:pgSz w:w="11909" w:h="16834"/>
          <w:pgMar w:top="461" w:right="0" w:bottom="314" w:left="0" w:header="0" w:footer="3" w:gutter="0"/>
          <w:cols w:space="720"/>
          <w:noEndnote/>
          <w:docGrid w:linePitch="360"/>
        </w:sectPr>
      </w:pPr>
    </w:p>
    <w:p w:rsidR="00500724" w:rsidRDefault="00F30FB8">
      <w:pPr>
        <w:pStyle w:val="Zkladntext90"/>
        <w:shd w:val="clear" w:color="auto" w:fill="auto"/>
        <w:spacing w:line="262" w:lineRule="auto"/>
        <w:ind w:firstLine="0"/>
      </w:pPr>
      <w:r>
        <w:rPr>
          <w:lang w:val="en-US" w:eastAsia="en-US" w:bidi="en-US"/>
        </w:rPr>
        <w:t xml:space="preserve">Georges Rouault. </w:t>
      </w:r>
      <w:r>
        <w:t>Když dnes na</w:t>
      </w:r>
      <w:r>
        <w:softHyphen/>
        <w:t>vštívíte p. Vollarda. rád se vás šeptá:</w:t>
      </w:r>
    </w:p>
    <w:p w:rsidR="00500724" w:rsidRDefault="00F30FB8">
      <w:pPr>
        <w:pStyle w:val="Zkladntext90"/>
        <w:shd w:val="clear" w:color="auto" w:fill="auto"/>
        <w:spacing w:line="262" w:lineRule="auto"/>
        <w:ind w:firstLine="160"/>
      </w:pPr>
      <w:r>
        <w:t>„Poslyšte, co říkáte tomuto Rousseauovi? Právě jsem ho obje</w:t>
      </w:r>
      <w:r>
        <w:softHyphen/>
        <w:t>vil kdesi v koutě?*</w:t>
      </w:r>
    </w:p>
    <w:p w:rsidR="00500724" w:rsidRDefault="00F30FB8">
      <w:pPr>
        <w:pStyle w:val="Zkladntext90"/>
        <w:shd w:val="clear" w:color="auto" w:fill="auto"/>
        <w:spacing w:line="262" w:lineRule="auto"/>
        <w:ind w:firstLine="160"/>
      </w:pPr>
      <w:r>
        <w:t xml:space="preserve">A ukazuje vám dosud neznámou, velikou Celníkovu komposici. Nebo také uvidíte najednou na stěně v jídelně nějakého Degasa. Gaugui- na nebo Renoira, jehož reprodukci byste marně </w:t>
      </w:r>
      <w:r>
        <w:t>hledali ve studiích o těchto mistrech.</w:t>
      </w:r>
    </w:p>
    <w:p w:rsidR="00500724" w:rsidRDefault="00F30FB8">
      <w:pPr>
        <w:pStyle w:val="Zkladntext90"/>
        <w:shd w:val="clear" w:color="auto" w:fill="auto"/>
        <w:spacing w:line="262" w:lineRule="auto"/>
        <w:ind w:firstLine="160"/>
      </w:pPr>
      <w:r>
        <w:t>A přece před dvěma nebo třemi lety pozval pan Vollard několik přátel na oběd. Potom, když je po</w:t>
      </w:r>
      <w:r>
        <w:softHyphen/>
        <w:t xml:space="preserve">hostil svým proslulým „kreolským“ kuřetem, je poprosil, aby šli dolů do přízemí. A tam se jim objevila nádherná výstavní </w:t>
      </w:r>
      <w:r>
        <w:t xml:space="preserve">síň a v dolní řadě vystavených obrazů celá </w:t>
      </w:r>
      <w:r>
        <w:rPr>
          <w:lang w:val="en-US" w:eastAsia="en-US" w:bidi="en-US"/>
        </w:rPr>
        <w:t xml:space="preserve">serie </w:t>
      </w:r>
      <w:r>
        <w:t>Degasových pláten, pocházejících většinou z nákupů od umělce, jež ode dne koupě nikdo neuviděl. I pro ty z nás, kteří jsme ÍDegasa znali nejlépe, byl tento soubor, shrnující všechny nejposlednější výboje sta</w:t>
      </w:r>
      <w:r>
        <w:softHyphen/>
        <w:t>rého mistra, objevem.</w:t>
      </w:r>
    </w:p>
    <w:p w:rsidR="00500724" w:rsidRDefault="00F30FB8">
      <w:pPr>
        <w:pStyle w:val="Zkladntext90"/>
        <w:shd w:val="clear" w:color="auto" w:fill="auto"/>
        <w:spacing w:line="262" w:lineRule="auto"/>
        <w:ind w:firstLine="160"/>
      </w:pPr>
      <w:r>
        <w:t>„Kdy otevřete svou galerii?" ze</w:t>
      </w:r>
      <w:r>
        <w:softHyphen/>
        <w:t>ptal se ho kdosi.</w:t>
      </w:r>
    </w:p>
    <w:p w:rsidR="00500724" w:rsidRDefault="00F30FB8">
      <w:pPr>
        <w:pStyle w:val="Zkladntext90"/>
        <w:shd w:val="clear" w:color="auto" w:fill="auto"/>
        <w:spacing w:line="262" w:lineRule="auto"/>
        <w:ind w:firstLine="160"/>
      </w:pPr>
      <w:r>
        <w:t>„Brzy?*</w:t>
      </w:r>
    </w:p>
    <w:p w:rsidR="00500724" w:rsidRDefault="00F30FB8">
      <w:pPr>
        <w:pStyle w:val="Zkladntext90"/>
        <w:shd w:val="clear" w:color="auto" w:fill="auto"/>
        <w:spacing w:line="262" w:lineRule="auto"/>
        <w:ind w:firstLine="160"/>
        <w:jc w:val="left"/>
      </w:pPr>
      <w:r>
        <w:t>Uplynuly měsíce, ta umělecká díla dodnes visí na stěnách v té síni, ale veřejně vystavena nebyla do</w:t>
      </w:r>
      <w:r>
        <w:softHyphen/>
        <w:t>dnes.</w:t>
      </w:r>
    </w:p>
    <w:p w:rsidR="00500724" w:rsidRDefault="00F30FB8">
      <w:pPr>
        <w:pStyle w:val="Zkladntext90"/>
        <w:shd w:val="clear" w:color="auto" w:fill="auto"/>
        <w:spacing w:line="259" w:lineRule="auto"/>
        <w:ind w:firstLine="160"/>
      </w:pPr>
      <w:r>
        <w:t>Nedbalost, přisuzovaná někdy pů</w:t>
      </w:r>
      <w:r>
        <w:softHyphen/>
        <w:t xml:space="preserve">vodu p. Vollarda. protože se, jak </w:t>
      </w:r>
      <w:r>
        <w:t>známo, narodil na ostrově Réu- nionu? Vášeň lakomce, který žár</w:t>
      </w:r>
      <w:r>
        <w:softHyphen/>
        <w:t xml:space="preserve">livě ukrývá svůj poklad? Jenom velmi bystrý ělověk by dovedl říci, co je ztajeno za touto zdánlivou lhostejností </w:t>
      </w:r>
      <w:r>
        <w:rPr>
          <w:vertAlign w:val="subscript"/>
        </w:rPr>
        <w:t>A</w:t>
      </w:r>
      <w:r>
        <w:t xml:space="preserve"> . *</w:t>
      </w:r>
    </w:p>
    <w:p w:rsidR="00500724" w:rsidRDefault="00F30FB8">
      <w:pPr>
        <w:pStyle w:val="Zkladntext90"/>
        <w:shd w:val="clear" w:color="auto" w:fill="auto"/>
        <w:spacing w:line="259" w:lineRule="auto"/>
        <w:ind w:firstLine="160"/>
      </w:pPr>
      <w:r>
        <w:t xml:space="preserve">Přišel jsem k němu jednou, aby mi ukázal obrazy </w:t>
      </w:r>
      <w:r>
        <w:rPr>
          <w:lang w:val="en-US" w:eastAsia="en-US" w:bidi="en-US"/>
        </w:rPr>
        <w:t xml:space="preserve">Rouault </w:t>
      </w:r>
      <w:r>
        <w:t>o vy, jichž má mno</w:t>
      </w:r>
      <w:r>
        <w:t>ho a jež nikdo nezná. Bylo to v zimě. Seděli jsme sami dva u krbu. Můj hostitel se dal pozvolna uspat teplem, zatím co jsem mu vysvětloval, proč si tak velice přeji vidět ty obrazy. Ne</w:t>
      </w:r>
      <w:r>
        <w:softHyphen/>
        <w:t>zbývalo mi, než po špičkách ode</w:t>
      </w:r>
      <w:r>
        <w:softHyphen/>
        <w:t>jít .. .</w:t>
      </w:r>
    </w:p>
    <w:p w:rsidR="00500724" w:rsidRDefault="00F30FB8">
      <w:pPr>
        <w:pStyle w:val="Zkladntext90"/>
        <w:shd w:val="clear" w:color="auto" w:fill="auto"/>
        <w:spacing w:line="259" w:lineRule="auto"/>
        <w:ind w:firstLine="160"/>
      </w:pPr>
      <w:r>
        <w:t>A ještě jedním karakteristický</w:t>
      </w:r>
      <w:r>
        <w:t>m znakem bych rád doplnil obraz této poutavé povahy: p. Vollard hrozně rád vypravuje anekdoty: jejich vtipnost je neomylná, když je vy</w:t>
      </w:r>
      <w:r>
        <w:softHyphen/>
        <w:t xml:space="preserve">pravuje on, ale stávají se zoufale banálními, jakmile by se někdo opovážil opakovati je. Ostatní klíč k tomuto tajemství </w:t>
      </w:r>
      <w:r>
        <w:t>nám podávají Vzpomínky obchodníka s obrazy, protože tato kniha je prosáklá hu</w:t>
      </w:r>
      <w:r>
        <w:softHyphen/>
        <w:t>morem tak zvláštním, tak nepostiž- iým, že ělověk neví, zdali si jej autor vůbec uvědomuje, nebo zdali všechny ty historky, vzpomínky, soudy a poznámky, nakupené na těch 400 strá</w:t>
      </w:r>
      <w:r>
        <w:t>nkách, nejsou jen ovo</w:t>
      </w:r>
      <w:r>
        <w:softHyphen/>
        <w:t>cem duše prosté a od přirozenosti bezelstné.</w:t>
      </w:r>
    </w:p>
    <w:p w:rsidR="00500724" w:rsidRDefault="00F30FB8">
      <w:pPr>
        <w:pStyle w:val="Zkladntext90"/>
        <w:shd w:val="clear" w:color="auto" w:fill="auto"/>
        <w:spacing w:line="254" w:lineRule="auto"/>
        <w:ind w:firstLine="200"/>
      </w:pPr>
      <w:r>
        <w:t>Tento odhad by rozčilil hrozně je</w:t>
      </w:r>
      <w:r>
        <w:softHyphen/>
        <w:t>ho nepřátele, neboť ti mu rádi při</w:t>
      </w:r>
      <w:r>
        <w:softHyphen/>
        <w:t>suzují nejčernější záměry a mezi jinými ho obviňují, že o Cézan- novi a Renoirovi mluví bez nepře</w:t>
      </w:r>
      <w:r>
        <w:softHyphen/>
        <w:t>tržitého hloupého obdi</w:t>
      </w:r>
      <w:r>
        <w:t>vu. Upírají mu dokonce všechen čich, všechnu intuici:</w:t>
      </w:r>
    </w:p>
    <w:p w:rsidR="00500724" w:rsidRDefault="00F30FB8">
      <w:pPr>
        <w:pStyle w:val="Zkladntext90"/>
        <w:shd w:val="clear" w:color="auto" w:fill="auto"/>
        <w:spacing w:line="254" w:lineRule="auto"/>
        <w:ind w:firstLine="200"/>
      </w:pPr>
      <w:r>
        <w:t>„Vy říkáte, že objevil Cézanna. Renoira, Degasa, Gauguina, Van Gogha. Rousseaua, Maillota, Be- raina, Picassa. Vlamincka, Rouaul- ta a Chagalla. ale to udělali jiní již dávno před ním, a. Vollard kupova</w:t>
      </w:r>
      <w:r>
        <w:t>l přece také díla Henryho de Groux, Steinleinova, Ropsova a Iturinova?* To ovšem opakují jenom to, co rád říkává sám Vollard:</w:t>
      </w:r>
    </w:p>
    <w:p w:rsidR="00500724" w:rsidRDefault="00F30FB8">
      <w:pPr>
        <w:pStyle w:val="Zkladntext90"/>
        <w:shd w:val="clear" w:color="auto" w:fill="auto"/>
        <w:spacing w:line="254" w:lineRule="auto"/>
        <w:ind w:firstLine="200"/>
      </w:pPr>
      <w:r>
        <w:t>„Neobjevil jsem nikoho. Já jsem prostě poslouchal lidi, jejichž úsud</w:t>
      </w:r>
      <w:r>
        <w:softHyphen/>
        <w:t>ku jsem si vážil?*</w:t>
      </w:r>
    </w:p>
    <w:p w:rsidR="00500724" w:rsidRDefault="00F30FB8">
      <w:pPr>
        <w:pStyle w:val="Zkladntext90"/>
        <w:shd w:val="clear" w:color="auto" w:fill="auto"/>
        <w:spacing w:line="254" w:lineRule="auto"/>
        <w:ind w:firstLine="200"/>
      </w:pPr>
      <w:r>
        <w:rPr>
          <w:lang w:val="en-US" w:eastAsia="en-US" w:bidi="en-US"/>
        </w:rPr>
        <w:t xml:space="preserve">Pissarro </w:t>
      </w:r>
      <w:r>
        <w:t>měl jistě šťastný vliv na jeho vo</w:t>
      </w:r>
      <w:r>
        <w:t>lby a ještě dnes, když chce dát ilustrovat nějakou knihu, se rád ptává na radu svých přátel:</w:t>
      </w:r>
    </w:p>
    <w:p w:rsidR="00500724" w:rsidRDefault="00F30FB8">
      <w:pPr>
        <w:pStyle w:val="Zkladntext90"/>
        <w:shd w:val="clear" w:color="auto" w:fill="auto"/>
        <w:spacing w:line="254" w:lineRule="auto"/>
        <w:ind w:firstLine="200"/>
      </w:pPr>
      <w:r>
        <w:t>„Poslyšte, co byste tomu řekli, kdybych dal Vergiliova Georgica ilustrovat Segouzacovi?**</w:t>
      </w:r>
    </w:p>
    <w:p w:rsidR="00500724" w:rsidRDefault="00F30FB8">
      <w:pPr>
        <w:pStyle w:val="Zkladntext90"/>
        <w:shd w:val="clear" w:color="auto" w:fill="auto"/>
        <w:spacing w:line="254" w:lineRule="auto"/>
        <w:ind w:firstLine="200"/>
      </w:pPr>
      <w:r>
        <w:t>Ty jeho knihy! To jsou možná jediné věci, o kterých mluvívá opravdu vášni</w:t>
      </w:r>
      <w:r>
        <w:t>vě. Toť se ví, měl rád slavné malíře, kteři bývali .ieho přáteli; obdivuje se Cézannovým obrazům, jež má v jídelně, nebo</w:t>
      </w:r>
    </w:p>
    <w:p w:rsidR="00500724" w:rsidRDefault="00F30FB8">
      <w:pPr>
        <w:pStyle w:val="Zkladntext90"/>
        <w:shd w:val="clear" w:color="auto" w:fill="auto"/>
        <w:spacing w:line="257" w:lineRule="auto"/>
        <w:ind w:firstLine="0"/>
      </w:pPr>
      <w:r>
        <w:t>Renoirovým soškám, které stojí na jeho chodbě. Ale zeptejte se ho na jeho činnost nakladatelskou a. roz</w:t>
      </w:r>
      <w:r>
        <w:softHyphen/>
        <w:t xml:space="preserve">povídá se do nekonečna. Jak by </w:t>
      </w:r>
      <w:r>
        <w:t>ostatně nebyl pyšný na to, že si ilustrace k Verlainovi vyžádal od Bonnarda, k Zahradě muk od Ro</w:t>
      </w:r>
      <w:r>
        <w:softHyphen/>
        <w:t>dina, k Ronsardovým Uaškovinám od Maillota, ke Galantním slav-? nostem od Uaprada a k jiným slav</w:t>
      </w:r>
      <w:r>
        <w:softHyphen/>
        <w:t>ným knihám od Deráina, od Pi</w:t>
      </w:r>
      <w:r>
        <w:softHyphen/>
        <w:t>cassa, od Chagalla a jiných?</w:t>
      </w:r>
    </w:p>
    <w:p w:rsidR="00500724" w:rsidRDefault="00F30FB8">
      <w:pPr>
        <w:pStyle w:val="Zkladntext90"/>
        <w:shd w:val="clear" w:color="auto" w:fill="auto"/>
        <w:spacing w:line="257" w:lineRule="auto"/>
        <w:ind w:firstLine="160"/>
      </w:pPr>
      <w:r>
        <w:t xml:space="preserve">Ale </w:t>
      </w:r>
      <w:r>
        <w:t>také Vollard má svélio ko</w:t>
      </w:r>
      <w:r>
        <w:softHyphen/>
        <w:t>níčka: literaturu. Úspěch jeho knih o mistrech, jež znával, ho přiměl vrhnout se na jiné cesty. Na cestu satiry se sérií Ubů a na cestu ro</w:t>
      </w:r>
      <w:r>
        <w:softHyphen/>
        <w:t>mánové hagiografie se Svatou Mo</w:t>
      </w:r>
      <w:r>
        <w:softHyphen/>
        <w:t>nikou. A dnes se tedy vrací k lite</w:t>
      </w:r>
      <w:r>
        <w:softHyphen/>
        <w:t xml:space="preserve">rárnímu žánru, který mu </w:t>
      </w:r>
      <w:r>
        <w:t>před lety vynesl veliké chvály a ostré kriti</w:t>
      </w:r>
      <w:r>
        <w:softHyphen/>
        <w:t>ky: jeho paměti jsou jednak ne</w:t>
      </w:r>
      <w:r>
        <w:softHyphen/>
        <w:t>obyčejně objevitelská autobiografie, jednak zajímavá freska uměleckých kruhů v posledních padesáti letech.</w:t>
      </w:r>
    </w:p>
    <w:p w:rsidR="00500724" w:rsidRDefault="00F30FB8">
      <w:pPr>
        <w:pStyle w:val="Zkladntext90"/>
        <w:shd w:val="clear" w:color="auto" w:fill="auto"/>
        <w:spacing w:line="257" w:lineRule="auto"/>
        <w:ind w:firstLine="160"/>
        <w:sectPr w:rsidR="00500724">
          <w:footnotePr>
            <w:numFmt w:val="chicago"/>
            <w:numRestart w:val="eachPage"/>
          </w:footnotePr>
          <w:type w:val="continuous"/>
          <w:pgSz w:w="11909" w:h="16834"/>
          <w:pgMar w:top="461" w:right="777" w:bottom="314" w:left="504" w:header="0" w:footer="3" w:gutter="0"/>
          <w:cols w:num="4" w:sep="1" w:space="100"/>
          <w:noEndnote/>
          <w:docGrid w:linePitch="360"/>
        </w:sectPr>
      </w:pPr>
      <w:r>
        <w:t>Vollard neříká ovšem vábchno, ale říká toh</w:t>
      </w:r>
      <w:r>
        <w:t>o mnoho — hlavně čtená</w:t>
      </w:r>
      <w:r>
        <w:softHyphen/>
        <w:t>řům, kteří dovedou číst mezi řádky — a pak také: je cítit, že při psaní této knihy prožíval nesmírnou ra</w:t>
      </w:r>
      <w:r>
        <w:softHyphen/>
        <w:t>dost, jak se vzpomínky řadily ke vzpomínkám a podobizna k podo</w:t>
      </w:r>
      <w:r>
        <w:softHyphen/>
        <w:t>bizně. Kniha, psaná v radosti, bývá neobyčejně zábavná: ve společ</w:t>
      </w:r>
      <w:r>
        <w:t>nosti Vollardově se čtenář nenudí ani vteřinu.</w:t>
      </w:r>
    </w:p>
    <w:p w:rsidR="00500724" w:rsidRDefault="00500724">
      <w:pPr>
        <w:rPr>
          <w:sz w:val="2"/>
          <w:szCs w:val="2"/>
        </w:rPr>
        <w:sectPr w:rsidR="00500724">
          <w:footnotePr>
            <w:numFmt w:val="chicago"/>
            <w:numRestart w:val="eachPage"/>
          </w:footnotePr>
          <w:type w:val="continuous"/>
          <w:pgSz w:w="11909" w:h="16834"/>
          <w:pgMar w:top="461" w:right="777" w:bottom="314" w:left="504" w:header="0" w:footer="3" w:gutter="0"/>
          <w:cols w:num="4" w:sep="1" w:space="100"/>
          <w:noEndnote/>
          <w:docGrid w:linePitch="360"/>
        </w:sectPr>
      </w:pPr>
    </w:p>
    <w:p w:rsidR="00500724" w:rsidRDefault="00F30FB8">
      <w:pPr>
        <w:pStyle w:val="Poznmkapodarou0"/>
        <w:shd w:val="clear" w:color="auto" w:fill="auto"/>
        <w:spacing w:line="240" w:lineRule="auto"/>
        <w:ind w:left="0"/>
        <w:jc w:val="left"/>
      </w:pPr>
      <w:r>
        <w:t>•) Z nového čísla »Vědy a života&lt;.</w:t>
      </w:r>
    </w:p>
    <w:p w:rsidR="00500724" w:rsidRDefault="00F30FB8">
      <w:pPr>
        <w:pStyle w:val="Poznmkapodarou0"/>
        <w:shd w:val="clear" w:color="auto" w:fill="auto"/>
        <w:spacing w:line="180" w:lineRule="auto"/>
        <w:ind w:left="0" w:firstLine="200"/>
        <w:jc w:val="left"/>
        <w:rPr>
          <w:sz w:val="15"/>
          <w:szCs w:val="15"/>
        </w:rPr>
      </w:pPr>
      <w:r>
        <w:rPr>
          <w:sz w:val="15"/>
          <w:szCs w:val="15"/>
        </w:rPr>
        <w:t>• Úryvek z knihy Vzpomín</w:t>
      </w:r>
      <w:r>
        <w:rPr>
          <w:sz w:val="15"/>
          <w:szCs w:val="15"/>
        </w:rPr>
        <w:softHyphen/>
        <w:t>ky obchodníka obrazy.</w:t>
      </w:r>
    </w:p>
    <w:p w:rsidR="00500724" w:rsidRDefault="00F30FB8">
      <w:pPr>
        <w:pStyle w:val="Poznmkapodarou0"/>
        <w:shd w:val="clear" w:color="auto" w:fill="auto"/>
        <w:spacing w:line="202" w:lineRule="auto"/>
        <w:ind w:left="0" w:firstLine="280"/>
        <w:jc w:val="left"/>
      </w:pPr>
      <w:r>
        <w:t>*) Výsledky uveřejněny v „Mimořádných zprávách Stát</w:t>
      </w:r>
      <w:r>
        <w:softHyphen/>
        <w:t>ního úřadu statistického“ číslo 12—15, roč.</w:t>
      </w:r>
      <w:r>
        <w:t xml:space="preserve"> 1935.</w:t>
      </w:r>
    </w:p>
    <w:sectPr w:rsidR="00500724">
      <w:footnotePr>
        <w:numFmt w:val="chicago"/>
        <w:numRestart w:val="eachPage"/>
      </w:footnotePr>
      <w:type w:val="continuous"/>
      <w:pgSz w:w="11909" w:h="16834"/>
      <w:pgMar w:top="461" w:right="777" w:bottom="314" w:left="50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FB8" w:rsidRDefault="00F30FB8">
      <w:r>
        <w:separator/>
      </w:r>
    </w:p>
  </w:endnote>
  <w:endnote w:type="continuationSeparator" w:id="0">
    <w:p w:rsidR="00F30FB8" w:rsidRDefault="00F3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charset w:val="EE"/>
    <w:family w:val="swiss"/>
    <w:pitch w:val="variable"/>
    <w:sig w:usb0="E1002EFF" w:usb1="C000605B" w:usb2="00000029" w:usb3="00000000" w:csb0="000101FF" w:csb1="00000000"/>
  </w:font>
  <w:font w:name="Georgia">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entury Gothic">
    <w:charset w:val="EE"/>
    <w:family w:val="swiss"/>
    <w:pitch w:val="variable"/>
    <w:sig w:usb0="00000287" w:usb1="00000000" w:usb2="00000000" w:usb3="00000000" w:csb0="0000009F" w:csb1="00000000"/>
  </w:font>
  <w:font w:name="Consolas">
    <w:charset w:val="EE"/>
    <w:family w:val="modern"/>
    <w:pitch w:val="fixed"/>
    <w:sig w:usb0="E10002FF" w:usb1="4000F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Cambria">
    <w:charset w:val="EE"/>
    <w:family w:val="roman"/>
    <w:pitch w:val="variable"/>
    <w:sig w:usb0="E00002FF" w:usb1="400004FF" w:usb2="00000000" w:usb3="00000000" w:csb0="0000019F" w:csb1="00000000"/>
  </w:font>
  <w:font w:name="Corbel">
    <w:panose1 w:val="00000000000000000000"/>
    <w:charset w:val="00"/>
    <w:family w:val="roman"/>
    <w:notTrueType/>
    <w:pitch w:val="default"/>
  </w:font>
  <w:font w:name="Franklin Gothic Medium Cond">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FB8" w:rsidRDefault="00F30FB8">
      <w:r>
        <w:separator/>
      </w:r>
    </w:p>
  </w:footnote>
  <w:footnote w:type="continuationSeparator" w:id="0">
    <w:p w:rsidR="00F30FB8" w:rsidRDefault="00F30FB8">
      <w:r>
        <w:continuationSeparator/>
      </w:r>
    </w:p>
  </w:footnote>
  <w:footnote w:id="1">
    <w:p w:rsidR="00500724" w:rsidRDefault="00F30FB8">
      <w:pPr>
        <w:pStyle w:val="Poznmkapodarou0"/>
        <w:shd w:val="clear" w:color="auto" w:fill="auto"/>
        <w:spacing w:line="175" w:lineRule="auto"/>
        <w:ind w:left="0"/>
        <w:rPr>
          <w:sz w:val="16"/>
          <w:szCs w:val="16"/>
        </w:rPr>
      </w:pPr>
      <w:r>
        <w:rPr>
          <w:b/>
          <w:bCs/>
          <w:sz w:val="16"/>
          <w:szCs w:val="16"/>
        </w:rPr>
        <w:footnoteRef/>
      </w:r>
      <w:r>
        <w:rPr>
          <w:b/>
          <w:bCs/>
          <w:sz w:val="16"/>
          <w:szCs w:val="16"/>
        </w:rPr>
        <w:t xml:space="preserve"> Úryvek ze stejnojmenného ro</w:t>
      </w:r>
      <w:r>
        <w:rPr>
          <w:b/>
          <w:bCs/>
          <w:sz w:val="16"/>
          <w:szCs w:val="16"/>
        </w:rPr>
        <w:softHyphen/>
        <w:t>mánu.</w:t>
      </w:r>
    </w:p>
  </w:footnote>
  <w:footnote w:id="2">
    <w:p w:rsidR="00500724" w:rsidRDefault="00F30FB8">
      <w:pPr>
        <w:pStyle w:val="Poznmkapodarou0"/>
        <w:shd w:val="clear" w:color="auto" w:fill="auto"/>
        <w:spacing w:line="221" w:lineRule="auto"/>
        <w:ind w:left="60"/>
        <w:jc w:val="center"/>
      </w:pPr>
      <w:r>
        <w:footnoteRef/>
      </w:r>
      <w:r>
        <w:t xml:space="preserve"> Ze zprávy generálního zpravodaje rozpočtového výboru.</w:t>
      </w:r>
    </w:p>
  </w:footnote>
  <w:footnote w:id="3">
    <w:p w:rsidR="00500724" w:rsidRDefault="00F30FB8">
      <w:pPr>
        <w:pStyle w:val="Poznmkapodarou0"/>
        <w:shd w:val="clear" w:color="auto" w:fill="auto"/>
        <w:spacing w:line="175" w:lineRule="auto"/>
        <w:ind w:left="0" w:firstLine="200"/>
        <w:rPr>
          <w:sz w:val="15"/>
          <w:szCs w:val="15"/>
        </w:rPr>
      </w:pPr>
      <w:r>
        <w:rPr>
          <w:sz w:val="15"/>
          <w:szCs w:val="15"/>
        </w:rPr>
        <w:footnoteRef/>
      </w:r>
      <w:r>
        <w:rPr>
          <w:sz w:val="15"/>
          <w:szCs w:val="15"/>
        </w:rPr>
        <w:t xml:space="preserve"> Překladateli Anglických lis</w:t>
      </w:r>
      <w:r>
        <w:rPr>
          <w:sz w:val="15"/>
          <w:szCs w:val="15"/>
        </w:rPr>
        <w:softHyphen/>
        <w:t>tů se právě na tomto místě přiho</w:t>
      </w:r>
      <w:r>
        <w:rPr>
          <w:sz w:val="15"/>
          <w:szCs w:val="15"/>
        </w:rPr>
        <w:softHyphen/>
        <w:t xml:space="preserve">dila, jak už se </w:t>
      </w:r>
      <w:r>
        <w:rPr>
          <w:sz w:val="15"/>
          <w:szCs w:val="15"/>
        </w:rPr>
        <w:t>někdy stává, chou</w:t>
      </w:r>
      <w:r>
        <w:rPr>
          <w:sz w:val="15"/>
          <w:szCs w:val="15"/>
        </w:rPr>
        <w:softHyphen/>
        <w:t>lostivá chyba — z antické paní se stala ^obstarožná* k velkému zdě</w:t>
      </w:r>
      <w:r>
        <w:rPr>
          <w:sz w:val="15"/>
          <w:szCs w:val="15"/>
        </w:rPr>
        <w:softHyphen/>
        <w:t xml:space="preserve">šeni Čapkovu. Na jeho naléhavé Přání jsem musel tenkrát ihned nedorozuměni </w:t>
      </w:r>
      <w:r>
        <w:rPr>
          <w:sz w:val="15"/>
          <w:szCs w:val="15"/>
          <w:lang w:val="en-US" w:eastAsia="en-US" w:bidi="en-US"/>
        </w:rPr>
        <w:t xml:space="preserve">prof. </w:t>
      </w:r>
      <w:r>
        <w:rPr>
          <w:sz w:val="15"/>
          <w:szCs w:val="15"/>
        </w:rPr>
        <w:t>Setonu-Watso- novi (Scotu Viatorovi) vysvětlit, ale ten to ovšem odbyl žertem.</w:t>
      </w:r>
    </w:p>
  </w:footnote>
  <w:footnote w:id="4">
    <w:p w:rsidR="00500724" w:rsidRDefault="00F30FB8">
      <w:pPr>
        <w:pStyle w:val="Poznmkapodarou0"/>
        <w:shd w:val="clear" w:color="auto" w:fill="auto"/>
        <w:spacing w:line="180" w:lineRule="auto"/>
        <w:ind w:left="0" w:firstLine="200"/>
        <w:rPr>
          <w:sz w:val="15"/>
          <w:szCs w:val="15"/>
        </w:rPr>
      </w:pPr>
      <w:r>
        <w:rPr>
          <w:sz w:val="15"/>
          <w:szCs w:val="15"/>
        </w:rPr>
        <w:t xml:space="preserve">•») Pro </w:t>
      </w:r>
      <w:r>
        <w:rPr>
          <w:sz w:val="15"/>
          <w:szCs w:val="15"/>
        </w:rPr>
        <w:t>tuto rozkošnou, ale těž</w:t>
      </w:r>
      <w:r>
        <w:rPr>
          <w:sz w:val="15"/>
          <w:szCs w:val="15"/>
        </w:rPr>
        <w:softHyphen/>
        <w:t>ko přeložitelnou knížku se mí po</w:t>
      </w:r>
      <w:r>
        <w:rPr>
          <w:sz w:val="15"/>
          <w:szCs w:val="15"/>
        </w:rPr>
        <w:softHyphen/>
        <w:t>dařilo získat ideální tlumočníky v manželích Weatherallových. Pani Weatherallová je rozená Češka z Králové Hradce a doktorka praž</w:t>
      </w:r>
      <w:r>
        <w:rPr>
          <w:sz w:val="15"/>
          <w:szCs w:val="15"/>
        </w:rPr>
        <w:softHyphen/>
        <w:t>ské university. Jej! muž Je pro</w:t>
      </w:r>
      <w:r>
        <w:rPr>
          <w:sz w:val="15"/>
          <w:szCs w:val="15"/>
        </w:rPr>
        <w:softHyphen/>
        <w:t>fesorem přírodních věd na známé kolej</w:t>
      </w:r>
      <w:r>
        <w:rPr>
          <w:sz w:val="15"/>
          <w:szCs w:val="15"/>
        </w:rPr>
        <w:t>i Etonu u Windsoru. Přeloži</w:t>
      </w:r>
      <w:r>
        <w:rPr>
          <w:sz w:val="15"/>
          <w:szCs w:val="15"/>
        </w:rPr>
        <w:softHyphen/>
        <w:t>li též Dášenku a řadu Čapkových románů.</w:t>
      </w:r>
    </w:p>
  </w:footnote>
  <w:footnote w:id="5">
    <w:p w:rsidR="00500724" w:rsidRDefault="00F30FB8">
      <w:pPr>
        <w:pStyle w:val="Poznmkapodarou0"/>
        <w:shd w:val="clear" w:color="auto" w:fill="auto"/>
        <w:spacing w:line="240" w:lineRule="auto"/>
        <w:ind w:left="0"/>
        <w:jc w:val="left"/>
        <w:rPr>
          <w:sz w:val="15"/>
          <w:szCs w:val="15"/>
        </w:rPr>
      </w:pPr>
      <w:r>
        <w:rPr>
          <w:sz w:val="15"/>
          <w:szCs w:val="15"/>
        </w:rPr>
        <w:footnoteRef/>
      </w:r>
      <w:r>
        <w:rPr>
          <w:sz w:val="15"/>
          <w:szCs w:val="15"/>
        </w:rPr>
        <w:t xml:space="preserve"> Z časopisu »Tisk a novináři</w:t>
      </w:r>
    </w:p>
  </w:footnote>
  <w:footnote w:id="6">
    <w:p w:rsidR="00500724" w:rsidRDefault="00F30FB8">
      <w:pPr>
        <w:pStyle w:val="Poznmkapodarou0"/>
        <w:shd w:val="clear" w:color="auto" w:fill="auto"/>
        <w:spacing w:line="168" w:lineRule="auto"/>
        <w:ind w:left="0"/>
        <w:rPr>
          <w:sz w:val="16"/>
          <w:szCs w:val="16"/>
        </w:rPr>
      </w:pPr>
      <w:r>
        <w:rPr>
          <w:b/>
          <w:bCs/>
          <w:sz w:val="16"/>
          <w:szCs w:val="16"/>
        </w:rPr>
        <w:t>obou velkých duchovních hodnot, vědy a uměni.</w:t>
      </w:r>
    </w:p>
    <w:p w:rsidR="00500724" w:rsidRDefault="00F30FB8">
      <w:pPr>
        <w:pStyle w:val="Poznmkapodarou0"/>
        <w:shd w:val="clear" w:color="auto" w:fill="auto"/>
        <w:spacing w:line="168" w:lineRule="auto"/>
        <w:ind w:left="0" w:firstLine="200"/>
        <w:rPr>
          <w:sz w:val="16"/>
          <w:szCs w:val="16"/>
        </w:rPr>
      </w:pPr>
      <w:r>
        <w:rPr>
          <w:b/>
          <w:bCs/>
          <w:sz w:val="16"/>
          <w:szCs w:val="16"/>
        </w:rPr>
        <w:t>Je úžasným nepochopením do</w:t>
      </w:r>
      <w:r>
        <w:rPr>
          <w:b/>
          <w:bCs/>
          <w:sz w:val="16"/>
          <w:szCs w:val="16"/>
        </w:rPr>
        <w:softHyphen/>
        <w:t>kládat Čapkův úspěch za dílo po</w:t>
      </w:r>
      <w:r>
        <w:rPr>
          <w:b/>
          <w:bCs/>
          <w:sz w:val="16"/>
          <w:szCs w:val="16"/>
        </w:rPr>
        <w:softHyphen/>
        <w:t>litické konjunktury. Jsem pře</w:t>
      </w:r>
      <w:r>
        <w:rPr>
          <w:b/>
          <w:bCs/>
          <w:sz w:val="16"/>
          <w:szCs w:val="16"/>
        </w:rPr>
        <w:softHyphen/>
        <w:t>svědčen, že byl v jádře</w:t>
      </w:r>
      <w:r>
        <w:rPr>
          <w:b/>
          <w:bCs/>
          <w:sz w:val="16"/>
          <w:szCs w:val="16"/>
        </w:rPr>
        <w:t xml:space="preserve"> duše své zoon apolitikon tvor nepolitický. Souhlasím s tim, co napsal K. Horký o jeho styku s Masarykem, že v tom směru nebyl Masaryk bohatým dárcem a Čapek pouhým podarovaným.</w:t>
      </w:r>
    </w:p>
    <w:p w:rsidR="00500724" w:rsidRDefault="00F30FB8">
      <w:pPr>
        <w:pStyle w:val="Poznmkapodarou0"/>
        <w:shd w:val="clear" w:color="auto" w:fill="auto"/>
        <w:spacing w:line="168" w:lineRule="auto"/>
        <w:ind w:left="0" w:firstLine="200"/>
        <w:rPr>
          <w:sz w:val="16"/>
          <w:szCs w:val="16"/>
        </w:rPr>
      </w:pPr>
      <w:r>
        <w:rPr>
          <w:b/>
          <w:bCs/>
          <w:sz w:val="16"/>
          <w:szCs w:val="16"/>
        </w:rPr>
        <w:t>V Ibsenově Staviteli Solnesovi je řečeno, že nejsilnějšim mužem je ten, kdo st</w:t>
      </w:r>
      <w:r>
        <w:rPr>
          <w:b/>
          <w:bCs/>
          <w:sz w:val="16"/>
          <w:szCs w:val="16"/>
        </w:rPr>
        <w:t>ojí sám. A to byl Karel Čapek. Správně to bylo vy</w:t>
      </w:r>
      <w:r>
        <w:rPr>
          <w:b/>
          <w:bCs/>
          <w:sz w:val="16"/>
          <w:szCs w:val="16"/>
        </w:rPr>
        <w:softHyphen/>
        <w:t>stiženo po Čapkově smrti těmi, kdo oceňovali jeho národní vý</w:t>
      </w:r>
      <w:r>
        <w:rPr>
          <w:b/>
          <w:bCs/>
          <w:sz w:val="16"/>
          <w:szCs w:val="16"/>
        </w:rPr>
        <w:softHyphen/>
        <w:t>znam. Byl to muž, na něhož žeh</w:t>
      </w:r>
      <w:r>
        <w:rPr>
          <w:b/>
          <w:bCs/>
          <w:sz w:val="16"/>
          <w:szCs w:val="16"/>
        </w:rPr>
        <w:softHyphen/>
        <w:t>rala pravice 1 levice, staromilci 1 avantgarda. To proto, že nad ně všechny vynikal výškou. A do vy</w:t>
      </w:r>
      <w:r>
        <w:rPr>
          <w:b/>
          <w:bCs/>
          <w:sz w:val="16"/>
          <w:szCs w:val="16"/>
        </w:rPr>
        <w:softHyphen/>
        <w:t xml:space="preserve">sokých stromů </w:t>
      </w:r>
      <w:r>
        <w:rPr>
          <w:b/>
          <w:bCs/>
          <w:sz w:val="16"/>
          <w:szCs w:val="16"/>
        </w:rPr>
        <w:t>hrom nejvíc bije.</w:t>
      </w:r>
    </w:p>
    <w:p w:rsidR="00500724" w:rsidRDefault="00F30FB8">
      <w:pPr>
        <w:pStyle w:val="Poznmkapodarou0"/>
        <w:shd w:val="clear" w:color="auto" w:fill="auto"/>
        <w:spacing w:line="168" w:lineRule="auto"/>
        <w:ind w:left="0" w:firstLine="200"/>
        <w:rPr>
          <w:sz w:val="16"/>
          <w:szCs w:val="16"/>
        </w:rPr>
      </w:pPr>
      <w:r>
        <w:rPr>
          <w:b/>
          <w:bCs/>
          <w:sz w:val="16"/>
          <w:szCs w:val="16"/>
        </w:rPr>
        <w:t>Karel Čapek nebyl přirodopis- cem z profese, jistě jen z ušlech</w:t>
      </w:r>
      <w:r>
        <w:rPr>
          <w:b/>
          <w:bCs/>
          <w:sz w:val="16"/>
          <w:szCs w:val="16"/>
        </w:rPr>
        <w:softHyphen/>
        <w:t>tilého amatérství. Ale dovedl ja</w:t>
      </w:r>
      <w:r>
        <w:rPr>
          <w:b/>
          <w:bCs/>
          <w:sz w:val="16"/>
          <w:szCs w:val="16"/>
        </w:rPr>
        <w:softHyphen/>
        <w:t>ko básník vžit přírodu do ruky s takovým smyslem pro její záko</w:t>
      </w:r>
      <w:r>
        <w:rPr>
          <w:b/>
          <w:bCs/>
          <w:sz w:val="16"/>
          <w:szCs w:val="16"/>
        </w:rPr>
        <w:softHyphen/>
        <w:t>nitost a jeji samu podstatu, že si nikde nezadal se skutečným pří</w:t>
      </w:r>
      <w:r>
        <w:rPr>
          <w:b/>
          <w:bCs/>
          <w:sz w:val="16"/>
          <w:szCs w:val="16"/>
        </w:rPr>
        <w:softHyphen/>
        <w:t xml:space="preserve">rodovědcem. </w:t>
      </w:r>
      <w:r>
        <w:rPr>
          <w:b/>
          <w:bCs/>
          <w:sz w:val="16"/>
          <w:szCs w:val="16"/>
        </w:rPr>
        <w:t>Byl by na úkor jeho ceny. kdybychom chtěli jeho dilo srovnávat se známými beletristic</w:t>
      </w:r>
      <w:r>
        <w:rPr>
          <w:b/>
          <w:bCs/>
          <w:sz w:val="16"/>
          <w:szCs w:val="16"/>
        </w:rPr>
        <w:softHyphen/>
        <w:t>kými fantasiemi, jejichž podkla</w:t>
      </w:r>
      <w:r>
        <w:rPr>
          <w:b/>
          <w:bCs/>
          <w:sz w:val="16"/>
          <w:szCs w:val="16"/>
        </w:rPr>
        <w:softHyphen/>
        <w:t>dem byla také přiroda a technika. Čapkovi nebyla přiroda jen zdro</w:t>
      </w:r>
      <w:r>
        <w:rPr>
          <w:b/>
          <w:bCs/>
          <w:sz w:val="16"/>
          <w:szCs w:val="16"/>
        </w:rPr>
        <w:softHyphen/>
        <w:t>jem zajímavých možnosti a vtip</w:t>
      </w:r>
      <w:r>
        <w:rPr>
          <w:b/>
          <w:bCs/>
          <w:sz w:val="16"/>
          <w:szCs w:val="16"/>
        </w:rPr>
        <w:softHyphen/>
        <w:t xml:space="preserve">ných řešeni, nýbrž spíše samým základem, </w:t>
      </w:r>
      <w:r>
        <w:rPr>
          <w:b/>
          <w:bCs/>
          <w:sz w:val="16"/>
          <w:szCs w:val="16"/>
        </w:rPr>
        <w:t>jehož hloubkou se sna</w:t>
      </w:r>
      <w:r>
        <w:rPr>
          <w:b/>
          <w:bCs/>
          <w:sz w:val="16"/>
          <w:szCs w:val="16"/>
        </w:rPr>
        <w:softHyphen/>
        <w:t xml:space="preserve">žil prohlédnout! zrakem básníka k samému základu člověka </w:t>
      </w:r>
      <w:r>
        <w:rPr>
          <w:b/>
          <w:bCs/>
          <w:sz w:val="14"/>
          <w:szCs w:val="14"/>
        </w:rPr>
        <w:t>a vů</w:t>
      </w:r>
      <w:r>
        <w:rPr>
          <w:b/>
          <w:bCs/>
          <w:sz w:val="14"/>
          <w:szCs w:val="14"/>
        </w:rPr>
        <w:softHyphen/>
      </w:r>
      <w:r>
        <w:rPr>
          <w:b/>
          <w:bCs/>
          <w:sz w:val="16"/>
          <w:szCs w:val="16"/>
        </w:rPr>
        <w:t>bec jsoucna.</w:t>
      </w:r>
    </w:p>
  </w:footnote>
  <w:footnote w:id="7">
    <w:p w:rsidR="00500724" w:rsidRDefault="00F30FB8">
      <w:pPr>
        <w:pStyle w:val="Poznmkapodarou0"/>
        <w:shd w:val="clear" w:color="auto" w:fill="auto"/>
        <w:spacing w:line="206" w:lineRule="auto"/>
        <w:ind w:left="0" w:firstLine="180"/>
        <w:jc w:val="left"/>
        <w:rPr>
          <w:sz w:val="15"/>
          <w:szCs w:val="15"/>
        </w:rPr>
      </w:pPr>
      <w:r>
        <w:rPr>
          <w:sz w:val="15"/>
          <w:szCs w:val="15"/>
        </w:rPr>
        <w:footnoteRef/>
      </w:r>
      <w:r>
        <w:rPr>
          <w:sz w:val="15"/>
          <w:szCs w:val="15"/>
        </w:rPr>
        <w:t xml:space="preserve"> Z nového čísla Slova a slo- vesnosti.</w:t>
      </w:r>
    </w:p>
  </w:footnote>
  <w:footnote w:id="8">
    <w:p w:rsidR="00500724" w:rsidRDefault="00F30FB8">
      <w:pPr>
        <w:pStyle w:val="Poznmkapodarou0"/>
        <w:shd w:val="clear" w:color="auto" w:fill="auto"/>
        <w:spacing w:after="240" w:line="173" w:lineRule="auto"/>
        <w:ind w:left="0" w:firstLine="200"/>
        <w:rPr>
          <w:sz w:val="15"/>
          <w:szCs w:val="15"/>
        </w:rPr>
      </w:pPr>
      <w:r>
        <w:rPr>
          <w:sz w:val="15"/>
          <w:szCs w:val="15"/>
        </w:rPr>
        <w:footnoteRef/>
      </w:r>
      <w:r>
        <w:rPr>
          <w:sz w:val="15"/>
          <w:szCs w:val="15"/>
        </w:rPr>
        <w:t xml:space="preserve"> Z nového čísla j.Kritického měsíčníku.</w:t>
      </w:r>
    </w:p>
    <w:p w:rsidR="00500724" w:rsidRDefault="00F30FB8">
      <w:pPr>
        <w:pStyle w:val="Poznmkapodarou0"/>
        <w:shd w:val="clear" w:color="auto" w:fill="auto"/>
        <w:spacing w:line="166" w:lineRule="auto"/>
        <w:ind w:left="0"/>
        <w:jc w:val="left"/>
        <w:rPr>
          <w:sz w:val="16"/>
          <w:szCs w:val="16"/>
        </w:rPr>
      </w:pPr>
      <w:r>
        <w:rPr>
          <w:b/>
          <w:bCs/>
          <w:sz w:val="16"/>
          <w:szCs w:val="16"/>
        </w:rPr>
        <w:t>KAREL ČAPEK:</w:t>
      </w:r>
    </w:p>
    <w:p w:rsidR="00500724" w:rsidRDefault="00F30FB8">
      <w:pPr>
        <w:pStyle w:val="Poznmkapodarou0"/>
        <w:shd w:val="clear" w:color="auto" w:fill="auto"/>
        <w:spacing w:after="40" w:line="166" w:lineRule="auto"/>
        <w:ind w:left="0"/>
        <w:jc w:val="left"/>
        <w:rPr>
          <w:sz w:val="16"/>
          <w:szCs w:val="16"/>
        </w:rPr>
      </w:pPr>
      <w:r>
        <w:rPr>
          <w:b/>
          <w:bCs/>
          <w:sz w:val="16"/>
          <w:szCs w:val="16"/>
        </w:rPr>
        <w:t>POVÍDKY Z JEDNÉ KAPSY</w:t>
      </w:r>
    </w:p>
    <w:p w:rsidR="00500724" w:rsidRDefault="00F30FB8">
      <w:pPr>
        <w:pStyle w:val="Poznmkapodarou0"/>
        <w:shd w:val="clear" w:color="auto" w:fill="auto"/>
        <w:spacing w:after="80" w:line="182" w:lineRule="auto"/>
        <w:ind w:left="0" w:firstLine="200"/>
        <w:rPr>
          <w:sz w:val="15"/>
          <w:szCs w:val="15"/>
        </w:rPr>
      </w:pPr>
      <w:r>
        <w:rPr>
          <w:sz w:val="15"/>
          <w:szCs w:val="15"/>
        </w:rPr>
        <w:t>Osobitý, velkolepou znalostí ži</w:t>
      </w:r>
      <w:r>
        <w:rPr>
          <w:sz w:val="15"/>
          <w:szCs w:val="15"/>
        </w:rPr>
        <w:softHyphen/>
        <w:t xml:space="preserve">vota </w:t>
      </w:r>
      <w:r>
        <w:rPr>
          <w:sz w:val="15"/>
          <w:szCs w:val="15"/>
        </w:rPr>
        <w:t>udivující povídkový svazek Karla Čapka Povídky z jed</w:t>
      </w:r>
      <w:r>
        <w:rPr>
          <w:sz w:val="15"/>
          <w:szCs w:val="15"/>
        </w:rPr>
        <w:softHyphen/>
        <w:t>né kapsy vyšel v novém, již čtrnáctém vydáni.</w:t>
      </w:r>
    </w:p>
    <w:p w:rsidR="00500724" w:rsidRDefault="00F30FB8">
      <w:pPr>
        <w:pStyle w:val="Poznmkapodarou0"/>
        <w:shd w:val="clear" w:color="auto" w:fill="auto"/>
        <w:spacing w:after="40" w:line="180" w:lineRule="auto"/>
        <w:ind w:left="0" w:right="400"/>
        <w:jc w:val="left"/>
        <w:rPr>
          <w:sz w:val="15"/>
          <w:szCs w:val="15"/>
        </w:rPr>
      </w:pPr>
      <w:r>
        <w:rPr>
          <w:sz w:val="15"/>
          <w:szCs w:val="15"/>
        </w:rPr>
        <w:t>STUDENTSKÝ ČASOPIS uzavírá XVUl. ročník.</w:t>
      </w:r>
    </w:p>
    <w:p w:rsidR="00500724" w:rsidRDefault="00F30FB8">
      <w:pPr>
        <w:pStyle w:val="Poznmkapodarou0"/>
        <w:shd w:val="clear" w:color="auto" w:fill="auto"/>
        <w:spacing w:after="60" w:line="178" w:lineRule="auto"/>
        <w:ind w:left="0" w:firstLine="200"/>
        <w:rPr>
          <w:sz w:val="15"/>
          <w:szCs w:val="15"/>
        </w:rPr>
      </w:pPr>
      <w:r>
        <w:rPr>
          <w:sz w:val="15"/>
          <w:szCs w:val="15"/>
        </w:rPr>
        <w:t>Právě vyšlým desátým číslem končí Studentský časopis svůj další, již osmnáctý ročník. Z jed</w:t>
      </w:r>
      <w:r>
        <w:rPr>
          <w:sz w:val="15"/>
          <w:szCs w:val="15"/>
        </w:rPr>
        <w:softHyphen/>
        <w:t>notlivých příspěvků, nem</w:t>
      </w:r>
      <w:r>
        <w:rPr>
          <w:sz w:val="15"/>
          <w:szCs w:val="15"/>
        </w:rPr>
        <w:t>luvě sa</w:t>
      </w:r>
      <w:r>
        <w:rPr>
          <w:sz w:val="15"/>
          <w:szCs w:val="15"/>
        </w:rPr>
        <w:softHyphen/>
        <w:t>mozřejmě o některých pozoru</w:t>
      </w:r>
      <w:r>
        <w:rPr>
          <w:sz w:val="15"/>
          <w:szCs w:val="15"/>
        </w:rPr>
        <w:softHyphen/>
        <w:t>hodných a osobitých pokusech básnických, essayistických a pro</w:t>
      </w:r>
      <w:r>
        <w:rPr>
          <w:sz w:val="15"/>
          <w:szCs w:val="15"/>
        </w:rPr>
        <w:softHyphen/>
        <w:t>zaických, osvědčujících vyspělost i ctižádost studentů, zaujme pře</w:t>
      </w:r>
      <w:r>
        <w:rPr>
          <w:sz w:val="15"/>
          <w:szCs w:val="15"/>
        </w:rPr>
        <w:softHyphen/>
        <w:t>devším stát Karla Doskočila His</w:t>
      </w:r>
      <w:r>
        <w:rPr>
          <w:sz w:val="15"/>
          <w:szCs w:val="15"/>
        </w:rPr>
        <w:softHyphen/>
        <w:t>torie v životě národů, závěr stu</w:t>
      </w:r>
      <w:r>
        <w:rPr>
          <w:sz w:val="15"/>
          <w:szCs w:val="15"/>
        </w:rPr>
        <w:softHyphen/>
        <w:t>die Karla Wolfa o poesii J</w:t>
      </w:r>
      <w:r>
        <w:rPr>
          <w:sz w:val="15"/>
          <w:szCs w:val="15"/>
        </w:rPr>
        <w:t xml:space="preserve">ana Vrchlického </w:t>
      </w:r>
      <w:r>
        <w:rPr>
          <w:sz w:val="15"/>
          <w:szCs w:val="15"/>
          <w:lang w:val="en-US" w:eastAsia="en-US" w:bidi="en-US"/>
        </w:rPr>
        <w:t xml:space="preserve">a essay </w:t>
      </w:r>
      <w:r>
        <w:rPr>
          <w:sz w:val="15"/>
          <w:szCs w:val="15"/>
        </w:rPr>
        <w:t>L. Smutka o Františku Halasovi jako básníku tmy. Číslo, přehlížející v jednotli</w:t>
      </w:r>
      <w:r>
        <w:rPr>
          <w:sz w:val="15"/>
          <w:szCs w:val="15"/>
        </w:rPr>
        <w:softHyphen/>
        <w:t>vých oddílech nové události na jevištích českých divadel, na plátnech kin, na knihkupeckém trhu, ve výstavních sálech, je nej</w:t>
      </w:r>
      <w:r>
        <w:rPr>
          <w:sz w:val="15"/>
          <w:szCs w:val="15"/>
        </w:rPr>
        <w:softHyphen/>
        <w:t>zajímavější a nejpestřejšl</w:t>
      </w:r>
      <w:r>
        <w:rPr>
          <w:sz w:val="15"/>
          <w:szCs w:val="15"/>
        </w:rPr>
        <w:t xml:space="preserve"> v části Z došlých dopisů. To je opravdu jedinečná, bohatá a neocenitelná část Studentského časopisu. Čte</w:t>
      </w:r>
      <w:r>
        <w:rPr>
          <w:sz w:val="15"/>
          <w:szCs w:val="15"/>
        </w:rPr>
        <w:softHyphen/>
        <w:t>nář, zejména nestudent, má tu středoškolský život s všestran</w:t>
      </w:r>
      <w:r>
        <w:rPr>
          <w:sz w:val="15"/>
          <w:szCs w:val="15"/>
        </w:rPr>
        <w:softHyphen/>
        <w:t>ností i rozmanitostí studentských</w:t>
      </w:r>
    </w:p>
  </w:footnote>
  <w:footnote w:id="9">
    <w:p w:rsidR="00500724" w:rsidRDefault="00F30FB8">
      <w:pPr>
        <w:pStyle w:val="Poznmkapodarou0"/>
        <w:shd w:val="clear" w:color="auto" w:fill="auto"/>
        <w:spacing w:after="120" w:line="187" w:lineRule="auto"/>
        <w:ind w:left="0"/>
        <w:rPr>
          <w:sz w:val="15"/>
          <w:szCs w:val="15"/>
        </w:rPr>
      </w:pPr>
      <w:r>
        <w:rPr>
          <w:b/>
          <w:bCs/>
          <w:sz w:val="15"/>
          <w:szCs w:val="15"/>
        </w:rPr>
        <w:t xml:space="preserve">VÉDA A ŽIVOT KONCI SVŮJ V. BOÉNlK </w:t>
      </w:r>
      <w:r>
        <w:rPr>
          <w:sz w:val="15"/>
          <w:szCs w:val="15"/>
        </w:rPr>
        <w:t xml:space="preserve">Věda a život, kterft </w:t>
      </w:r>
      <w:r>
        <w:rPr>
          <w:sz w:val="15"/>
          <w:szCs w:val="15"/>
        </w:rPr>
        <w:t>sl během pětiletého vycházení vydobyla prvenství mezi ěasoplsy svého druhu, má nespornou zásluhu o to, že přiblížila vědecké problémy 1 myšleni také laické veřejnosti, že Jl odhalila oponu s badatelovy pracovny, s jeviště vědcova zá</w:t>
      </w:r>
      <w:r>
        <w:rPr>
          <w:sz w:val="15"/>
          <w:szCs w:val="15"/>
        </w:rPr>
        <w:softHyphen/>
        <w:t>pasu a dala mu nahlédno</w:t>
      </w:r>
      <w:r>
        <w:rPr>
          <w:sz w:val="15"/>
          <w:szCs w:val="15"/>
        </w:rPr>
        <w:t>uti pří</w:t>
      </w:r>
      <w:r>
        <w:rPr>
          <w:sz w:val="15"/>
          <w:szCs w:val="15"/>
        </w:rPr>
        <w:softHyphen/>
        <w:t>mo do laboratoře chemiků, fysi</w:t>
      </w:r>
      <w:r>
        <w:rPr>
          <w:sz w:val="15"/>
          <w:szCs w:val="15"/>
        </w:rPr>
        <w:softHyphen/>
        <w:t>ků a lékařů, přírodovědců 1 tech</w:t>
      </w:r>
      <w:r>
        <w:rPr>
          <w:sz w:val="15"/>
          <w:szCs w:val="15"/>
        </w:rPr>
        <w:softHyphen/>
        <w:t>niků, prostě vědců nejrozmanltěj- šlch kategorii a zájmů. Nadto pak Její velká přednost je v tom, že výběr státi, studil, ělánků a poznámek Je určován tak, aby zde byly zastoupeny všec</w:t>
      </w:r>
      <w:r>
        <w:rPr>
          <w:sz w:val="15"/>
          <w:szCs w:val="15"/>
        </w:rPr>
        <w:t>hny vě</w:t>
      </w:r>
      <w:r>
        <w:rPr>
          <w:sz w:val="15"/>
          <w:szCs w:val="15"/>
        </w:rPr>
        <w:softHyphen/>
        <w:t>decké obory, dějiny jako filoso</w:t>
      </w:r>
      <w:r>
        <w:rPr>
          <w:sz w:val="15"/>
          <w:szCs w:val="15"/>
        </w:rPr>
        <w:softHyphen/>
        <w:t>fie, Jako fysika nebo matemati</w:t>
      </w:r>
      <w:r>
        <w:rPr>
          <w:sz w:val="15"/>
          <w:szCs w:val="15"/>
        </w:rPr>
        <w:softHyphen/>
        <w:t>ka, a aby se čtenář dozvěděl o všem, co důležitého se děje v oblasti vědeckého badáni a po</w:t>
      </w:r>
      <w:r>
        <w:rPr>
          <w:sz w:val="15"/>
          <w:szCs w:val="15"/>
        </w:rPr>
        <w:softHyphen/>
        <w:t>kroku. Ta pestrost státi, ta mno</w:t>
      </w:r>
      <w:r>
        <w:rPr>
          <w:sz w:val="15"/>
          <w:szCs w:val="15"/>
        </w:rPr>
        <w:softHyphen/>
        <w:t>hostrannost zájmů, ta úžasná bohatost ělánků, poznámek a zpráv</w:t>
      </w:r>
      <w:r>
        <w:rPr>
          <w:sz w:val="15"/>
          <w:szCs w:val="15"/>
        </w:rPr>
        <w:t>, seznamujících stejně tak</w:t>
      </w:r>
    </w:p>
    <w:p w:rsidR="00500724" w:rsidRDefault="00F30FB8">
      <w:pPr>
        <w:pStyle w:val="Poznmkapodarou0"/>
        <w:shd w:val="clear" w:color="auto" w:fill="auto"/>
        <w:spacing w:line="170" w:lineRule="auto"/>
        <w:ind w:left="0" w:firstLine="220"/>
        <w:rPr>
          <w:sz w:val="16"/>
          <w:szCs w:val="16"/>
        </w:rPr>
      </w:pPr>
      <w:r>
        <w:rPr>
          <w:b/>
          <w:bCs/>
          <w:sz w:val="16"/>
          <w:szCs w:val="16"/>
        </w:rPr>
        <w:t>•Víte přece, pane Degasi. že se večeři vždy později jenom proto, že každá z dam chce přijít po</w:t>
      </w:r>
      <w:r>
        <w:rPr>
          <w:b/>
          <w:bCs/>
          <w:sz w:val="16"/>
          <w:szCs w:val="16"/>
        </w:rPr>
        <w:softHyphen/>
        <w:t>slední, aby měla slavnostní vstup.*</w:t>
      </w:r>
    </w:p>
    <w:p w:rsidR="00500724" w:rsidRDefault="00F30FB8">
      <w:pPr>
        <w:pStyle w:val="Poznmkapodarou0"/>
        <w:shd w:val="clear" w:color="auto" w:fill="auto"/>
        <w:spacing w:line="168" w:lineRule="auto"/>
        <w:ind w:left="0" w:firstLine="220"/>
        <w:rPr>
          <w:sz w:val="16"/>
          <w:szCs w:val="16"/>
        </w:rPr>
      </w:pPr>
      <w:r>
        <w:rPr>
          <w:b/>
          <w:bCs/>
          <w:sz w:val="16"/>
          <w:szCs w:val="16"/>
        </w:rPr>
        <w:t>A učinil jsem několik pozná</w:t>
      </w:r>
      <w:r>
        <w:rPr>
          <w:b/>
          <w:bCs/>
          <w:sz w:val="16"/>
          <w:szCs w:val="16"/>
        </w:rPr>
        <w:softHyphen/>
        <w:t xml:space="preserve">mek o požadavcích módy. </w:t>
      </w:r>
      <w:r>
        <w:rPr>
          <w:b/>
          <w:bCs/>
          <w:sz w:val="16"/>
          <w:szCs w:val="16"/>
          <w:lang w:val="en-US" w:eastAsia="en-US" w:bidi="en-US"/>
        </w:rPr>
        <w:t xml:space="preserve">Degas </w:t>
      </w:r>
      <w:r>
        <w:rPr>
          <w:b/>
          <w:bCs/>
          <w:sz w:val="16"/>
          <w:szCs w:val="16"/>
        </w:rPr>
        <w:t>mne vzal za ruku:</w:t>
      </w:r>
    </w:p>
    <w:p w:rsidR="00500724" w:rsidRDefault="00F30FB8">
      <w:pPr>
        <w:pStyle w:val="Poznmkapodarou0"/>
        <w:shd w:val="clear" w:color="auto" w:fill="auto"/>
        <w:spacing w:line="168" w:lineRule="auto"/>
        <w:ind w:left="0" w:firstLine="220"/>
        <w:rPr>
          <w:sz w:val="16"/>
          <w:szCs w:val="16"/>
        </w:rPr>
      </w:pPr>
      <w:r>
        <w:rPr>
          <w:b/>
          <w:bCs/>
          <w:sz w:val="16"/>
          <w:szCs w:val="16"/>
        </w:rPr>
        <w:t>•Prosím vás, Vollarde,</w:t>
      </w:r>
      <w:r>
        <w:rPr>
          <w:b/>
          <w:bCs/>
          <w:sz w:val="16"/>
          <w:szCs w:val="16"/>
        </w:rPr>
        <w:t xml:space="preserve"> neříkej</w:t>
      </w:r>
      <w:r>
        <w:rPr>
          <w:b/>
          <w:bCs/>
          <w:sz w:val="16"/>
          <w:szCs w:val="16"/>
        </w:rPr>
        <w:softHyphen/>
        <w:t>te nic špatného o módě. Myslil jste někdy na to, co by nastalo, kdyby nebylo módy? Jak by že</w:t>
      </w:r>
      <w:r>
        <w:rPr>
          <w:b/>
          <w:bCs/>
          <w:sz w:val="16"/>
          <w:szCs w:val="16"/>
        </w:rPr>
        <w:softHyphen/>
        <w:t>ny trávily čas? O čem by mlu</w:t>
      </w:r>
      <w:r>
        <w:rPr>
          <w:b/>
          <w:bCs/>
          <w:sz w:val="16"/>
          <w:szCs w:val="16"/>
        </w:rPr>
        <w:softHyphen/>
        <w:t>vily? Jak by se život stal pro muže nesnesitelný! Kdyby se že</w:t>
      </w:r>
      <w:r>
        <w:rPr>
          <w:b/>
          <w:bCs/>
          <w:sz w:val="16"/>
          <w:szCs w:val="16"/>
        </w:rPr>
        <w:softHyphen/>
        <w:t>ny chtěly osvobodit od módních pravidel, musela by vláda zakro</w:t>
      </w:r>
      <w:r>
        <w:rPr>
          <w:b/>
          <w:bCs/>
          <w:sz w:val="16"/>
          <w:szCs w:val="16"/>
        </w:rPr>
        <w:softHyphen/>
      </w:r>
      <w:r>
        <w:rPr>
          <w:b/>
          <w:bCs/>
          <w:sz w:val="16"/>
          <w:szCs w:val="16"/>
        </w:rPr>
        <w:t>čit.*</w:t>
      </w:r>
    </w:p>
    <w:p w:rsidR="00500724" w:rsidRDefault="00F30FB8">
      <w:pPr>
        <w:pStyle w:val="Poznmkapodarou0"/>
        <w:shd w:val="clear" w:color="auto" w:fill="auto"/>
        <w:spacing w:line="168" w:lineRule="auto"/>
        <w:ind w:left="0" w:firstLine="220"/>
        <w:rPr>
          <w:sz w:val="16"/>
          <w:szCs w:val="16"/>
        </w:rPr>
      </w:pPr>
      <w:r>
        <w:rPr>
          <w:b/>
          <w:bCs/>
          <w:sz w:val="16"/>
          <w:szCs w:val="16"/>
        </w:rPr>
        <w:t>Degasův život byl pravidelný jako hodiny. Atelier ráno, atelier odpoledne. Když se mu dobře pra</w:t>
      </w:r>
      <w:r>
        <w:rPr>
          <w:b/>
          <w:bCs/>
          <w:sz w:val="16"/>
          <w:szCs w:val="16"/>
        </w:rPr>
        <w:softHyphen/>
        <w:t>covalo, prozpěvoval sl obyčejně starou písničku. Až na schodech bylo slyšet úryvky melodie:</w:t>
      </w:r>
    </w:p>
    <w:p w:rsidR="00500724" w:rsidRDefault="00F30FB8">
      <w:pPr>
        <w:pStyle w:val="Poznmkapodarou0"/>
        <w:shd w:val="clear" w:color="auto" w:fill="auto"/>
        <w:spacing w:line="168" w:lineRule="auto"/>
        <w:ind w:left="0" w:right="300"/>
        <w:jc w:val="left"/>
        <w:rPr>
          <w:sz w:val="16"/>
          <w:szCs w:val="16"/>
        </w:rPr>
      </w:pPr>
      <w:r>
        <w:rPr>
          <w:b/>
          <w:bCs/>
          <w:sz w:val="16"/>
          <w:szCs w:val="16"/>
        </w:rPr>
        <w:t>I bez psa a hole pastýřské hlídal bych raději nepokojná</w:t>
      </w:r>
    </w:p>
    <w:p w:rsidR="00500724" w:rsidRDefault="00F30FB8">
      <w:pPr>
        <w:pStyle w:val="Poznmkapodarou0"/>
        <w:shd w:val="clear" w:color="auto" w:fill="auto"/>
        <w:spacing w:line="168" w:lineRule="auto"/>
        <w:ind w:left="0"/>
        <w:jc w:val="right"/>
        <w:rPr>
          <w:sz w:val="16"/>
          <w:szCs w:val="16"/>
        </w:rPr>
      </w:pPr>
      <w:r>
        <w:rPr>
          <w:b/>
          <w:bCs/>
          <w:sz w:val="16"/>
          <w:szCs w:val="16"/>
        </w:rPr>
        <w:t>stáda,</w:t>
      </w:r>
    </w:p>
    <w:p w:rsidR="00500724" w:rsidRDefault="00F30FB8">
      <w:pPr>
        <w:pStyle w:val="Poznmkapodarou0"/>
        <w:shd w:val="clear" w:color="auto" w:fill="auto"/>
        <w:spacing w:after="120" w:line="168" w:lineRule="auto"/>
        <w:ind w:left="0" w:right="520"/>
        <w:jc w:val="left"/>
        <w:rPr>
          <w:sz w:val="16"/>
          <w:szCs w:val="16"/>
        </w:rPr>
      </w:pPr>
      <w:r>
        <w:rPr>
          <w:b/>
          <w:bCs/>
          <w:sz w:val="16"/>
          <w:szCs w:val="16"/>
        </w:rPr>
        <w:t>než střežit srdce dívky té. která má náhle ráda.</w:t>
      </w:r>
    </w:p>
    <w:p w:rsidR="00500724" w:rsidRDefault="00F30FB8">
      <w:pPr>
        <w:pStyle w:val="Poznmkapodarou0"/>
        <w:shd w:val="clear" w:color="auto" w:fill="auto"/>
        <w:spacing w:line="168" w:lineRule="auto"/>
        <w:ind w:left="0" w:firstLine="260"/>
        <w:rPr>
          <w:sz w:val="16"/>
          <w:szCs w:val="16"/>
        </w:rPr>
      </w:pPr>
      <w:r>
        <w:rPr>
          <w:b/>
          <w:bCs/>
          <w:sz w:val="16"/>
          <w:szCs w:val="16"/>
          <w:lang w:val="en-US" w:eastAsia="en-US" w:bidi="en-US"/>
        </w:rPr>
        <w:t xml:space="preserve">Degas </w:t>
      </w:r>
      <w:r>
        <w:rPr>
          <w:b/>
          <w:bCs/>
          <w:sz w:val="16"/>
          <w:szCs w:val="16"/>
        </w:rPr>
        <w:t>nedělal okolky, když mu seděla modelka. »Jsi výjimeč</w:t>
      </w:r>
      <w:r>
        <w:rPr>
          <w:b/>
          <w:bCs/>
          <w:sz w:val="16"/>
          <w:szCs w:val="16"/>
        </w:rPr>
        <w:softHyphen/>
        <w:t>ný případ, máš stehna jako hrušky,* říkal jedné modelce, kte</w:t>
      </w:r>
      <w:r>
        <w:rPr>
          <w:b/>
          <w:bCs/>
          <w:sz w:val="16"/>
          <w:szCs w:val="16"/>
        </w:rPr>
        <w:softHyphen/>
        <w:t>rá potom všude pyšně chodila a ukazovala svou zadnici.</w:t>
      </w:r>
    </w:p>
    <w:p w:rsidR="00500724" w:rsidRDefault="00F30FB8">
      <w:pPr>
        <w:pStyle w:val="Poznmkapodarou0"/>
        <w:shd w:val="clear" w:color="auto" w:fill="auto"/>
        <w:spacing w:after="60" w:line="168" w:lineRule="auto"/>
        <w:ind w:left="0" w:firstLine="260"/>
        <w:rPr>
          <w:sz w:val="16"/>
          <w:szCs w:val="16"/>
        </w:rPr>
      </w:pPr>
      <w:r>
        <w:rPr>
          <w:b/>
          <w:bCs/>
          <w:sz w:val="16"/>
          <w:szCs w:val="16"/>
          <w:lang w:val="en-US" w:eastAsia="en-US" w:bidi="en-US"/>
        </w:rPr>
        <w:t xml:space="preserve">Degas </w:t>
      </w:r>
      <w:r>
        <w:rPr>
          <w:b/>
          <w:bCs/>
          <w:sz w:val="16"/>
          <w:szCs w:val="16"/>
        </w:rPr>
        <w:t>býval obviňován, že za</w:t>
      </w:r>
      <w:r>
        <w:rPr>
          <w:b/>
          <w:bCs/>
          <w:sz w:val="16"/>
          <w:szCs w:val="16"/>
        </w:rPr>
        <w:softHyphen/>
        <w:t>ch</w:t>
      </w:r>
      <w:r>
        <w:rPr>
          <w:b/>
          <w:bCs/>
          <w:sz w:val="16"/>
          <w:szCs w:val="16"/>
        </w:rPr>
        <w:t>ází se svými modely trochu ja</w:t>
      </w:r>
      <w:r>
        <w:rPr>
          <w:b/>
          <w:bCs/>
          <w:sz w:val="16"/>
          <w:szCs w:val="16"/>
        </w:rPr>
        <w:softHyphen/>
        <w:t>ko se zvířaty, ale někdy zase k</w:t>
      </w:r>
    </w:p>
  </w:footnote>
  <w:footnote w:id="10">
    <w:p w:rsidR="00500724" w:rsidRDefault="00F30FB8">
      <w:pPr>
        <w:pStyle w:val="Poznmkapodarou0"/>
        <w:shd w:val="clear" w:color="auto" w:fill="auto"/>
        <w:spacing w:line="240" w:lineRule="auto"/>
        <w:ind w:left="0"/>
        <w:jc w:val="left"/>
        <w:rPr>
          <w:sz w:val="17"/>
          <w:szCs w:val="17"/>
        </w:rPr>
      </w:pPr>
      <w:r>
        <w:rPr>
          <w:i/>
          <w:iCs/>
          <w:sz w:val="17"/>
          <w:szCs w:val="17"/>
        </w:rPr>
        <w:footnoteRef/>
      </w:r>
      <w:r>
        <w:rPr>
          <w:i/>
          <w:iCs/>
          <w:sz w:val="17"/>
          <w:szCs w:val="17"/>
        </w:rPr>
        <w:t xml:space="preserve"> Z časopisu Věda a život, č. 11-12.</w:t>
      </w:r>
    </w:p>
  </w:footnote>
  <w:footnote w:id="11">
    <w:p w:rsidR="00500724" w:rsidRDefault="00F30FB8">
      <w:pPr>
        <w:pStyle w:val="Poznmkapodarou0"/>
        <w:shd w:val="clear" w:color="auto" w:fill="auto"/>
        <w:spacing w:line="194" w:lineRule="auto"/>
        <w:ind w:left="0"/>
        <w:rPr>
          <w:sz w:val="15"/>
          <w:szCs w:val="15"/>
        </w:rPr>
      </w:pPr>
      <w:r>
        <w:rPr>
          <w:sz w:val="15"/>
          <w:szCs w:val="15"/>
        </w:rPr>
        <w:footnoteRef/>
      </w:r>
      <w:r>
        <w:rPr>
          <w:sz w:val="15"/>
          <w:szCs w:val="15"/>
        </w:rPr>
        <w:t xml:space="preserve"> Úryvek z knihy Vzpomínky obchodníka obrazy.</w:t>
      </w:r>
    </w:p>
  </w:footnote>
  <w:footnote w:id="12">
    <w:p w:rsidR="00500724" w:rsidRDefault="00F30FB8">
      <w:pPr>
        <w:pStyle w:val="Poznmkapodarou0"/>
        <w:shd w:val="clear" w:color="auto" w:fill="auto"/>
        <w:spacing w:after="40" w:line="240" w:lineRule="auto"/>
        <w:ind w:left="0"/>
        <w:jc w:val="center"/>
        <w:rPr>
          <w:sz w:val="20"/>
          <w:szCs w:val="20"/>
        </w:rPr>
      </w:pPr>
      <w:r>
        <w:rPr>
          <w:b/>
          <w:bCs/>
          <w:sz w:val="20"/>
          <w:szCs w:val="20"/>
        </w:rPr>
        <w:t>Bývanie a střecha nad hlavou</w:t>
      </w:r>
    </w:p>
    <w:p w:rsidR="00500724" w:rsidRDefault="00F30FB8">
      <w:pPr>
        <w:pStyle w:val="Poznmkapodarou0"/>
        <w:shd w:val="clear" w:color="auto" w:fill="auto"/>
        <w:spacing w:after="40" w:line="240" w:lineRule="auto"/>
        <w:ind w:left="540"/>
        <w:jc w:val="left"/>
      </w:pPr>
      <w:r>
        <w:t>Pán redaktor!</w:t>
      </w:r>
    </w:p>
    <w:p w:rsidR="00500724" w:rsidRDefault="00F30FB8">
      <w:pPr>
        <w:pStyle w:val="Poznmkapodarou0"/>
        <w:shd w:val="clear" w:color="auto" w:fill="auto"/>
        <w:spacing w:after="40" w:line="240" w:lineRule="auto"/>
        <w:ind w:left="0" w:firstLine="200"/>
      </w:pPr>
      <w:r>
        <w:t xml:space="preserve">Idúc na krátku dovolenu, umienil som si, nedat’ sa sviesť k ničomu inému, len k užívaniu </w:t>
      </w:r>
      <w:r>
        <w:rPr>
          <w:lang w:val="en-US" w:eastAsia="en-US" w:bidi="en-US"/>
        </w:rPr>
        <w:t xml:space="preserve">kl’udu </w:t>
      </w:r>
      <w:r>
        <w:t>a odpočinku, nič ne</w:t>
      </w:r>
      <w:r>
        <w:softHyphen/>
        <w:t>čítat’, o ničom nevedieť a věnovat’ sa jedine slnku a vodě. Ne</w:t>
      </w:r>
      <w:r>
        <w:softHyphen/>
        <w:t>šťastnou náhodou hodil som v poslednom okamihu do tašky ku gumovým topánkam a</w:t>
      </w:r>
      <w:r>
        <w:t xml:space="preserve"> plavkám dve posledně čísla „Pří</w:t>
      </w:r>
      <w:r>
        <w:softHyphen/>
        <w:t>tomnosti“, a to zatiať zvrátilo moje tak pěkné predsavzatie.</w:t>
      </w:r>
    </w:p>
    <w:p w:rsidR="00500724" w:rsidRDefault="00F30FB8">
      <w:pPr>
        <w:pStyle w:val="Poznmkapodarou0"/>
        <w:shd w:val="clear" w:color="auto" w:fill="auto"/>
        <w:spacing w:after="40" w:line="240" w:lineRule="auto"/>
        <w:ind w:left="0" w:firstLine="200"/>
      </w:pPr>
      <w:r>
        <w:t>V 31. čísle v odst. „Doba a lidé“ píše Ján Frank článok „Bydlení a střecha nad hlavou“. Niektoré odstavce vnutily mi do ruky tužku a zaujímám k ním nasledujúce st</w:t>
      </w:r>
      <w:r>
        <w:t>anovisko:</w:t>
      </w:r>
    </w:p>
    <w:p w:rsidR="00500724" w:rsidRDefault="00F30FB8">
      <w:pPr>
        <w:pStyle w:val="Poznmkapodarou0"/>
        <w:shd w:val="clear" w:color="auto" w:fill="auto"/>
        <w:spacing w:after="40" w:line="240" w:lineRule="auto"/>
        <w:ind w:left="0" w:firstLine="200"/>
      </w:pPr>
      <w:r>
        <w:t xml:space="preserve">Žitie podmieňuje bývanie, dobré či menej dobré, to pova- žujem za otázku národohospodársku, v užšom slova smysle podnikateiskú. Aj ked’ sám </w:t>
      </w:r>
      <w:r>
        <w:rPr>
          <w:lang w:val="en-US" w:eastAsia="en-US" w:bidi="en-US"/>
        </w:rPr>
        <w:t xml:space="preserve">pre </w:t>
      </w:r>
      <w:r>
        <w:t>seba stávám domec, podni</w:t>
      </w:r>
      <w:r>
        <w:softHyphen/>
        <w:t xml:space="preserve">kám a kalkulujem. Pri zdravom hospodárstve musí na svoj peniaz příst’ každý, </w:t>
      </w:r>
      <w:r>
        <w:t>kto stavia, už či je to štát, zem, okres, alebo obec, ale aj súkromý domácí pán, alebo podnikatel Všeobecne pletieme si snaženie „sociálně hygienické“ s na</w:t>
      </w:r>
      <w:r>
        <w:softHyphen/>
        <w:t>prostým prepychom. To platí dnes najma o malých bytoch v mestách. Pracujme teda k tomu, aby sme sníž</w:t>
      </w:r>
      <w:r>
        <w:t>ili cenu býva- nia menšími stavebnými nákladmi. To by bola jediná a bez</w:t>
      </w:r>
      <w:r>
        <w:softHyphen/>
        <w:t>pečná cesta zo začarovaného kruhu.</w:t>
      </w:r>
    </w:p>
    <w:p w:rsidR="00500724" w:rsidRDefault="00F30FB8">
      <w:pPr>
        <w:pStyle w:val="Poznmkapodarou0"/>
        <w:shd w:val="clear" w:color="auto" w:fill="auto"/>
        <w:spacing w:after="40" w:line="228" w:lineRule="auto"/>
        <w:ind w:left="0" w:firstLine="200"/>
      </w:pPr>
      <w:r>
        <w:t>Příliš drahé stavby a následkom toho aj drahé byty, možno zTavniť;</w:t>
      </w:r>
    </w:p>
  </w:footnote>
  <w:footnote w:id="13">
    <w:p w:rsidR="00500724" w:rsidRDefault="00F30FB8">
      <w:pPr>
        <w:pStyle w:val="Poznmkapodarou0"/>
        <w:shd w:val="clear" w:color="auto" w:fill="auto"/>
        <w:spacing w:line="240" w:lineRule="auto"/>
        <w:ind w:left="180"/>
        <w:jc w:val="left"/>
        <w:rPr>
          <w:sz w:val="15"/>
          <w:szCs w:val="15"/>
        </w:rPr>
      </w:pPr>
      <w:r>
        <w:rPr>
          <w:sz w:val="15"/>
          <w:szCs w:val="15"/>
        </w:rPr>
        <w:footnoteRef/>
      </w:r>
      <w:r>
        <w:rPr>
          <w:sz w:val="15"/>
          <w:szCs w:val="15"/>
        </w:rPr>
        <w:t xml:space="preserve"> Ze sbírky „Anebo“.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E34"/>
    <w:multiLevelType w:val="multilevel"/>
    <w:tmpl w:val="028AC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E4A43"/>
    <w:multiLevelType w:val="multilevel"/>
    <w:tmpl w:val="80C0A54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1E6DC9"/>
    <w:multiLevelType w:val="multilevel"/>
    <w:tmpl w:val="2C40E5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923118"/>
    <w:multiLevelType w:val="multilevel"/>
    <w:tmpl w:val="60A048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B63A2A"/>
    <w:multiLevelType w:val="multilevel"/>
    <w:tmpl w:val="2A3C859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FF7A47"/>
    <w:multiLevelType w:val="multilevel"/>
    <w:tmpl w:val="7E2E3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804136"/>
    <w:multiLevelType w:val="multilevel"/>
    <w:tmpl w:val="F624643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175EF9"/>
    <w:multiLevelType w:val="multilevel"/>
    <w:tmpl w:val="5FFCD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EF4326"/>
    <w:multiLevelType w:val="multilevel"/>
    <w:tmpl w:val="744C0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1E23CE"/>
    <w:multiLevelType w:val="multilevel"/>
    <w:tmpl w:val="9FA4DD9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9740F0"/>
    <w:multiLevelType w:val="multilevel"/>
    <w:tmpl w:val="FB8CD08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B83A20"/>
    <w:multiLevelType w:val="multilevel"/>
    <w:tmpl w:val="3F1EF18A"/>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1E175A"/>
    <w:multiLevelType w:val="multilevel"/>
    <w:tmpl w:val="1DE0A5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9A10C2"/>
    <w:multiLevelType w:val="multilevel"/>
    <w:tmpl w:val="39EEE0C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B9551D"/>
    <w:multiLevelType w:val="multilevel"/>
    <w:tmpl w:val="EE06F5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437851"/>
    <w:multiLevelType w:val="multilevel"/>
    <w:tmpl w:val="03E835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060601"/>
    <w:multiLevelType w:val="multilevel"/>
    <w:tmpl w:val="EC90F1D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041B45"/>
    <w:multiLevelType w:val="multilevel"/>
    <w:tmpl w:val="D100823E"/>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DD21F9"/>
    <w:multiLevelType w:val="multilevel"/>
    <w:tmpl w:val="23EEB5E0"/>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5D60AF"/>
    <w:multiLevelType w:val="multilevel"/>
    <w:tmpl w:val="C674F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D06FBC"/>
    <w:multiLevelType w:val="multilevel"/>
    <w:tmpl w:val="BF48B1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166247"/>
    <w:multiLevelType w:val="multilevel"/>
    <w:tmpl w:val="1BACED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7939CD"/>
    <w:multiLevelType w:val="multilevel"/>
    <w:tmpl w:val="4210F00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9B909E9"/>
    <w:multiLevelType w:val="multilevel"/>
    <w:tmpl w:val="E5F6C74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5C664A"/>
    <w:multiLevelType w:val="multilevel"/>
    <w:tmpl w:val="F6B2AAF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BAB3345"/>
    <w:multiLevelType w:val="multilevel"/>
    <w:tmpl w:val="4A96B37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DF5225"/>
    <w:multiLevelType w:val="multilevel"/>
    <w:tmpl w:val="1668EB5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61149E"/>
    <w:multiLevelType w:val="multilevel"/>
    <w:tmpl w:val="319A45A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7F7A00"/>
    <w:multiLevelType w:val="multilevel"/>
    <w:tmpl w:val="66F66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402421"/>
    <w:multiLevelType w:val="multilevel"/>
    <w:tmpl w:val="6DA02444"/>
    <w:lvl w:ilvl="0">
      <w:start w:val="5"/>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63379E"/>
    <w:multiLevelType w:val="multilevel"/>
    <w:tmpl w:val="B08681D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830AB6"/>
    <w:multiLevelType w:val="multilevel"/>
    <w:tmpl w:val="2ED8787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3B054FD"/>
    <w:multiLevelType w:val="multilevel"/>
    <w:tmpl w:val="60DE7AE2"/>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B9196C"/>
    <w:multiLevelType w:val="multilevel"/>
    <w:tmpl w:val="0CD83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43D7338"/>
    <w:multiLevelType w:val="multilevel"/>
    <w:tmpl w:val="08FCEC42"/>
    <w:lvl w:ilvl="0">
      <w:start w:val="5"/>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7034C26"/>
    <w:multiLevelType w:val="multilevel"/>
    <w:tmpl w:val="3ACACB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85E5B82"/>
    <w:multiLevelType w:val="multilevel"/>
    <w:tmpl w:val="889E75A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93A48AF"/>
    <w:multiLevelType w:val="multilevel"/>
    <w:tmpl w:val="44142AA2"/>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A3C0996"/>
    <w:multiLevelType w:val="multilevel"/>
    <w:tmpl w:val="E6DAD5A8"/>
    <w:lvl w:ilvl="0">
      <w:start w:val="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A6C2A26"/>
    <w:multiLevelType w:val="multilevel"/>
    <w:tmpl w:val="7E0618E8"/>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B616A68"/>
    <w:multiLevelType w:val="multilevel"/>
    <w:tmpl w:val="C2CED152"/>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C6443E5"/>
    <w:multiLevelType w:val="multilevel"/>
    <w:tmpl w:val="B9DEF094"/>
    <w:lvl w:ilvl="0">
      <w:start w:val="50"/>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FEC21DD"/>
    <w:multiLevelType w:val="multilevel"/>
    <w:tmpl w:val="B61CD3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822C13"/>
    <w:multiLevelType w:val="multilevel"/>
    <w:tmpl w:val="44F49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1AF53CD"/>
    <w:multiLevelType w:val="multilevel"/>
    <w:tmpl w:val="29A4E02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51E0BE4"/>
    <w:multiLevelType w:val="multilevel"/>
    <w:tmpl w:val="CD582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6DE1F5B"/>
    <w:multiLevelType w:val="multilevel"/>
    <w:tmpl w:val="1AC8E49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C3B5F29"/>
    <w:multiLevelType w:val="multilevel"/>
    <w:tmpl w:val="CC80F9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CEC5B29"/>
    <w:multiLevelType w:val="multilevel"/>
    <w:tmpl w:val="00285368"/>
    <w:lvl w:ilvl="0">
      <w:start w:val="3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F52699C"/>
    <w:multiLevelType w:val="multilevel"/>
    <w:tmpl w:val="9D3C8546"/>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F543362"/>
    <w:multiLevelType w:val="multilevel"/>
    <w:tmpl w:val="EAD4838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FCB0239"/>
    <w:multiLevelType w:val="multilevel"/>
    <w:tmpl w:val="D9D8AC7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CA35B8"/>
    <w:multiLevelType w:val="multilevel"/>
    <w:tmpl w:val="4830E4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489111B"/>
    <w:multiLevelType w:val="multilevel"/>
    <w:tmpl w:val="F1A8597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51C1941"/>
    <w:multiLevelType w:val="multilevel"/>
    <w:tmpl w:val="2BDCF7F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627149A"/>
    <w:multiLevelType w:val="multilevel"/>
    <w:tmpl w:val="24BA4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6B7237D"/>
    <w:multiLevelType w:val="multilevel"/>
    <w:tmpl w:val="60B445D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A170D1E"/>
    <w:multiLevelType w:val="multilevel"/>
    <w:tmpl w:val="ECA2C6F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A6E16A0"/>
    <w:multiLevelType w:val="multilevel"/>
    <w:tmpl w:val="56149B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F15540"/>
    <w:multiLevelType w:val="multilevel"/>
    <w:tmpl w:val="715649DC"/>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09642F"/>
    <w:multiLevelType w:val="multilevel"/>
    <w:tmpl w:val="7628497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6D23B0"/>
    <w:multiLevelType w:val="multilevel"/>
    <w:tmpl w:val="A22608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C6E5300"/>
    <w:multiLevelType w:val="multilevel"/>
    <w:tmpl w:val="BFE2CB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DC36DE3"/>
    <w:multiLevelType w:val="multilevel"/>
    <w:tmpl w:val="EE3AE854"/>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0D55215"/>
    <w:multiLevelType w:val="multilevel"/>
    <w:tmpl w:val="58B2250E"/>
    <w:lvl w:ilvl="0">
      <w:start w:val="5"/>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1020F6B"/>
    <w:multiLevelType w:val="multilevel"/>
    <w:tmpl w:val="5AD8A34E"/>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2007EE0"/>
    <w:multiLevelType w:val="multilevel"/>
    <w:tmpl w:val="682AB136"/>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2361C54"/>
    <w:multiLevelType w:val="multilevel"/>
    <w:tmpl w:val="07D61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3065E3B"/>
    <w:multiLevelType w:val="multilevel"/>
    <w:tmpl w:val="8EE8F734"/>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346730A"/>
    <w:multiLevelType w:val="multilevel"/>
    <w:tmpl w:val="39A28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4312B45"/>
    <w:multiLevelType w:val="multilevel"/>
    <w:tmpl w:val="72A83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48700BE"/>
    <w:multiLevelType w:val="multilevel"/>
    <w:tmpl w:val="67885DB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5184A00"/>
    <w:multiLevelType w:val="multilevel"/>
    <w:tmpl w:val="3C3AE220"/>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A0D787D"/>
    <w:multiLevelType w:val="multilevel"/>
    <w:tmpl w:val="4F2466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A314DD9"/>
    <w:multiLevelType w:val="multilevel"/>
    <w:tmpl w:val="8A14C5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C630B4E"/>
    <w:multiLevelType w:val="multilevel"/>
    <w:tmpl w:val="DB001A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C9769D6"/>
    <w:multiLevelType w:val="multilevel"/>
    <w:tmpl w:val="0EA8A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DF42C66"/>
    <w:multiLevelType w:val="multilevel"/>
    <w:tmpl w:val="044290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EA34C3F"/>
    <w:multiLevelType w:val="multilevel"/>
    <w:tmpl w:val="B34E4C5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02A64CF"/>
    <w:multiLevelType w:val="multilevel"/>
    <w:tmpl w:val="4D2C02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23426C0"/>
    <w:multiLevelType w:val="multilevel"/>
    <w:tmpl w:val="7B2CE1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2367DC5"/>
    <w:multiLevelType w:val="multilevel"/>
    <w:tmpl w:val="9398D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2895D10"/>
    <w:multiLevelType w:val="multilevel"/>
    <w:tmpl w:val="16D6664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34B11E0"/>
    <w:multiLevelType w:val="multilevel"/>
    <w:tmpl w:val="E00E1746"/>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3550703"/>
    <w:multiLevelType w:val="multilevel"/>
    <w:tmpl w:val="81041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45E2C3E"/>
    <w:multiLevelType w:val="multilevel"/>
    <w:tmpl w:val="E47868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6627F00"/>
    <w:multiLevelType w:val="multilevel"/>
    <w:tmpl w:val="DD2C90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68E3167"/>
    <w:multiLevelType w:val="multilevel"/>
    <w:tmpl w:val="F6F813B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69F3B27"/>
    <w:multiLevelType w:val="multilevel"/>
    <w:tmpl w:val="1A6ABC0C"/>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7811FCD"/>
    <w:multiLevelType w:val="multilevel"/>
    <w:tmpl w:val="60F4CE7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79478DB"/>
    <w:multiLevelType w:val="multilevel"/>
    <w:tmpl w:val="86EECB7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7B00914"/>
    <w:multiLevelType w:val="multilevel"/>
    <w:tmpl w:val="EF4E11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7DF2A3D"/>
    <w:multiLevelType w:val="multilevel"/>
    <w:tmpl w:val="5F103C7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83E6887"/>
    <w:multiLevelType w:val="multilevel"/>
    <w:tmpl w:val="86969F4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9884F0E"/>
    <w:multiLevelType w:val="multilevel"/>
    <w:tmpl w:val="012A03BE"/>
    <w:lvl w:ilvl="0">
      <w:start w:val="1"/>
      <w:numFmt w:val="bullet"/>
      <w:lvlText w:val="•"/>
      <w:lvlJc w:val="left"/>
      <w:rPr>
        <w:rFonts w:ascii="Arial" w:eastAsia="Arial" w:hAnsi="Arial" w:cs="Arial"/>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A05012C"/>
    <w:multiLevelType w:val="multilevel"/>
    <w:tmpl w:val="3486687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B445447"/>
    <w:multiLevelType w:val="multilevel"/>
    <w:tmpl w:val="E580FF46"/>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B637ACC"/>
    <w:multiLevelType w:val="multilevel"/>
    <w:tmpl w:val="75E4176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D3011EE"/>
    <w:multiLevelType w:val="multilevel"/>
    <w:tmpl w:val="287EC2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0040D0D"/>
    <w:multiLevelType w:val="multilevel"/>
    <w:tmpl w:val="D6D09CF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2B60ACA"/>
    <w:multiLevelType w:val="multilevel"/>
    <w:tmpl w:val="0D1AF2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2BC7303"/>
    <w:multiLevelType w:val="multilevel"/>
    <w:tmpl w:val="2FE4AD94"/>
    <w:lvl w:ilvl="0">
      <w:start w:val="19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2BE232D"/>
    <w:multiLevelType w:val="multilevel"/>
    <w:tmpl w:val="58BEF20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41474B3"/>
    <w:multiLevelType w:val="multilevel"/>
    <w:tmpl w:val="7E0E8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59E11D1"/>
    <w:multiLevelType w:val="multilevel"/>
    <w:tmpl w:val="438006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65C7486"/>
    <w:multiLevelType w:val="multilevel"/>
    <w:tmpl w:val="06BA80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6A5757E"/>
    <w:multiLevelType w:val="multilevel"/>
    <w:tmpl w:val="57B4F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6E32F81"/>
    <w:multiLevelType w:val="multilevel"/>
    <w:tmpl w:val="65B0A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6FA145A"/>
    <w:multiLevelType w:val="multilevel"/>
    <w:tmpl w:val="C83092E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84F42B6"/>
    <w:multiLevelType w:val="multilevel"/>
    <w:tmpl w:val="F672361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8CF7542"/>
    <w:multiLevelType w:val="multilevel"/>
    <w:tmpl w:val="746E1B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AD331B2"/>
    <w:multiLevelType w:val="multilevel"/>
    <w:tmpl w:val="88B6311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D5D3A92"/>
    <w:multiLevelType w:val="multilevel"/>
    <w:tmpl w:val="73026D44"/>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D5F0C0D"/>
    <w:multiLevelType w:val="multilevel"/>
    <w:tmpl w:val="E9ECBF1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E9A200E"/>
    <w:multiLevelType w:val="multilevel"/>
    <w:tmpl w:val="F0C2C254"/>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2"/>
  </w:num>
  <w:num w:numId="2">
    <w:abstractNumId w:val="38"/>
  </w:num>
  <w:num w:numId="3">
    <w:abstractNumId w:val="18"/>
  </w:num>
  <w:num w:numId="4">
    <w:abstractNumId w:val="98"/>
  </w:num>
  <w:num w:numId="5">
    <w:abstractNumId w:val="30"/>
  </w:num>
  <w:num w:numId="6">
    <w:abstractNumId w:val="16"/>
  </w:num>
  <w:num w:numId="7">
    <w:abstractNumId w:val="69"/>
  </w:num>
  <w:num w:numId="8">
    <w:abstractNumId w:val="12"/>
  </w:num>
  <w:num w:numId="9">
    <w:abstractNumId w:val="15"/>
  </w:num>
  <w:num w:numId="10">
    <w:abstractNumId w:val="77"/>
  </w:num>
  <w:num w:numId="11">
    <w:abstractNumId w:val="48"/>
  </w:num>
  <w:num w:numId="12">
    <w:abstractNumId w:val="11"/>
  </w:num>
  <w:num w:numId="13">
    <w:abstractNumId w:val="2"/>
  </w:num>
  <w:num w:numId="14">
    <w:abstractNumId w:val="17"/>
  </w:num>
  <w:num w:numId="15">
    <w:abstractNumId w:val="5"/>
  </w:num>
  <w:num w:numId="16">
    <w:abstractNumId w:val="22"/>
  </w:num>
  <w:num w:numId="17">
    <w:abstractNumId w:val="81"/>
  </w:num>
  <w:num w:numId="18">
    <w:abstractNumId w:val="19"/>
  </w:num>
  <w:num w:numId="19">
    <w:abstractNumId w:val="46"/>
  </w:num>
  <w:num w:numId="20">
    <w:abstractNumId w:val="7"/>
  </w:num>
  <w:num w:numId="21">
    <w:abstractNumId w:val="24"/>
  </w:num>
  <w:num w:numId="22">
    <w:abstractNumId w:val="20"/>
  </w:num>
  <w:num w:numId="23">
    <w:abstractNumId w:val="86"/>
  </w:num>
  <w:num w:numId="24">
    <w:abstractNumId w:val="34"/>
  </w:num>
  <w:num w:numId="25">
    <w:abstractNumId w:val="32"/>
  </w:num>
  <w:num w:numId="26">
    <w:abstractNumId w:val="68"/>
  </w:num>
  <w:num w:numId="27">
    <w:abstractNumId w:val="23"/>
  </w:num>
  <w:num w:numId="28">
    <w:abstractNumId w:val="42"/>
  </w:num>
  <w:num w:numId="29">
    <w:abstractNumId w:val="97"/>
  </w:num>
  <w:num w:numId="30">
    <w:abstractNumId w:val="6"/>
  </w:num>
  <w:num w:numId="31">
    <w:abstractNumId w:val="101"/>
  </w:num>
  <w:num w:numId="32">
    <w:abstractNumId w:val="66"/>
  </w:num>
  <w:num w:numId="33">
    <w:abstractNumId w:val="10"/>
  </w:num>
  <w:num w:numId="34">
    <w:abstractNumId w:val="26"/>
  </w:num>
  <w:num w:numId="35">
    <w:abstractNumId w:val="4"/>
  </w:num>
  <w:num w:numId="36">
    <w:abstractNumId w:val="63"/>
  </w:num>
  <w:num w:numId="37">
    <w:abstractNumId w:val="54"/>
  </w:num>
  <w:num w:numId="38">
    <w:abstractNumId w:val="104"/>
  </w:num>
  <w:num w:numId="39">
    <w:abstractNumId w:val="40"/>
  </w:num>
  <w:num w:numId="40">
    <w:abstractNumId w:val="73"/>
  </w:num>
  <w:num w:numId="41">
    <w:abstractNumId w:val="96"/>
  </w:num>
  <w:num w:numId="42">
    <w:abstractNumId w:val="79"/>
  </w:num>
  <w:num w:numId="43">
    <w:abstractNumId w:val="108"/>
  </w:num>
  <w:num w:numId="44">
    <w:abstractNumId w:val="0"/>
  </w:num>
  <w:num w:numId="45">
    <w:abstractNumId w:val="57"/>
  </w:num>
  <w:num w:numId="46">
    <w:abstractNumId w:val="49"/>
  </w:num>
  <w:num w:numId="47">
    <w:abstractNumId w:val="37"/>
  </w:num>
  <w:num w:numId="48">
    <w:abstractNumId w:val="114"/>
  </w:num>
  <w:num w:numId="49">
    <w:abstractNumId w:val="84"/>
  </w:num>
  <w:num w:numId="50">
    <w:abstractNumId w:val="88"/>
  </w:num>
  <w:num w:numId="51">
    <w:abstractNumId w:val="70"/>
  </w:num>
  <w:num w:numId="52">
    <w:abstractNumId w:val="67"/>
  </w:num>
  <w:num w:numId="53">
    <w:abstractNumId w:val="28"/>
  </w:num>
  <w:num w:numId="54">
    <w:abstractNumId w:val="27"/>
  </w:num>
  <w:num w:numId="55">
    <w:abstractNumId w:val="39"/>
  </w:num>
  <w:num w:numId="56">
    <w:abstractNumId w:val="95"/>
  </w:num>
  <w:num w:numId="57">
    <w:abstractNumId w:val="111"/>
  </w:num>
  <w:num w:numId="58">
    <w:abstractNumId w:val="31"/>
  </w:num>
  <w:num w:numId="59">
    <w:abstractNumId w:val="87"/>
  </w:num>
  <w:num w:numId="60">
    <w:abstractNumId w:val="72"/>
  </w:num>
  <w:num w:numId="61">
    <w:abstractNumId w:val="56"/>
  </w:num>
  <w:num w:numId="62">
    <w:abstractNumId w:val="99"/>
  </w:num>
  <w:num w:numId="63">
    <w:abstractNumId w:val="82"/>
  </w:num>
  <w:num w:numId="64">
    <w:abstractNumId w:val="13"/>
  </w:num>
  <w:num w:numId="65">
    <w:abstractNumId w:val="25"/>
  </w:num>
  <w:num w:numId="66">
    <w:abstractNumId w:val="60"/>
  </w:num>
  <w:num w:numId="67">
    <w:abstractNumId w:val="89"/>
  </w:num>
  <w:num w:numId="68">
    <w:abstractNumId w:val="113"/>
  </w:num>
  <w:num w:numId="69">
    <w:abstractNumId w:val="102"/>
  </w:num>
  <w:num w:numId="70">
    <w:abstractNumId w:val="41"/>
  </w:num>
  <w:num w:numId="71">
    <w:abstractNumId w:val="105"/>
  </w:num>
  <w:num w:numId="72">
    <w:abstractNumId w:val="65"/>
  </w:num>
  <w:num w:numId="73">
    <w:abstractNumId w:val="36"/>
  </w:num>
  <w:num w:numId="74">
    <w:abstractNumId w:val="1"/>
  </w:num>
  <w:num w:numId="75">
    <w:abstractNumId w:val="83"/>
  </w:num>
  <w:num w:numId="76">
    <w:abstractNumId w:val="21"/>
  </w:num>
  <w:num w:numId="77">
    <w:abstractNumId w:val="47"/>
  </w:num>
  <w:num w:numId="78">
    <w:abstractNumId w:val="14"/>
  </w:num>
  <w:num w:numId="79">
    <w:abstractNumId w:val="76"/>
  </w:num>
  <w:num w:numId="80">
    <w:abstractNumId w:val="92"/>
  </w:num>
  <w:num w:numId="81">
    <w:abstractNumId w:val="58"/>
  </w:num>
  <w:num w:numId="82">
    <w:abstractNumId w:val="91"/>
  </w:num>
  <w:num w:numId="83">
    <w:abstractNumId w:val="75"/>
  </w:num>
  <w:num w:numId="84">
    <w:abstractNumId w:val="3"/>
  </w:num>
  <w:num w:numId="85">
    <w:abstractNumId w:val="80"/>
  </w:num>
  <w:num w:numId="86">
    <w:abstractNumId w:val="110"/>
  </w:num>
  <w:num w:numId="87">
    <w:abstractNumId w:val="35"/>
  </w:num>
  <w:num w:numId="88">
    <w:abstractNumId w:val="85"/>
  </w:num>
  <w:num w:numId="89">
    <w:abstractNumId w:val="59"/>
  </w:num>
  <w:num w:numId="90">
    <w:abstractNumId w:val="103"/>
  </w:num>
  <w:num w:numId="91">
    <w:abstractNumId w:val="90"/>
  </w:num>
  <w:num w:numId="92">
    <w:abstractNumId w:val="43"/>
  </w:num>
  <w:num w:numId="93">
    <w:abstractNumId w:val="100"/>
  </w:num>
  <w:num w:numId="94">
    <w:abstractNumId w:val="55"/>
  </w:num>
  <w:num w:numId="95">
    <w:abstractNumId w:val="51"/>
  </w:num>
  <w:num w:numId="96">
    <w:abstractNumId w:val="29"/>
  </w:num>
  <w:num w:numId="97">
    <w:abstractNumId w:val="93"/>
  </w:num>
  <w:num w:numId="98">
    <w:abstractNumId w:val="109"/>
  </w:num>
  <w:num w:numId="99">
    <w:abstractNumId w:val="74"/>
  </w:num>
  <w:num w:numId="100">
    <w:abstractNumId w:val="61"/>
  </w:num>
  <w:num w:numId="101">
    <w:abstractNumId w:val="50"/>
  </w:num>
  <w:num w:numId="102">
    <w:abstractNumId w:val="44"/>
  </w:num>
  <w:num w:numId="103">
    <w:abstractNumId w:val="53"/>
  </w:num>
  <w:num w:numId="104">
    <w:abstractNumId w:val="78"/>
  </w:num>
  <w:num w:numId="105">
    <w:abstractNumId w:val="107"/>
  </w:num>
  <w:num w:numId="106">
    <w:abstractNumId w:val="45"/>
  </w:num>
  <w:num w:numId="107">
    <w:abstractNumId w:val="9"/>
  </w:num>
  <w:num w:numId="108">
    <w:abstractNumId w:val="52"/>
  </w:num>
  <w:num w:numId="109">
    <w:abstractNumId w:val="71"/>
  </w:num>
  <w:num w:numId="110">
    <w:abstractNumId w:val="94"/>
  </w:num>
  <w:num w:numId="111">
    <w:abstractNumId w:val="8"/>
  </w:num>
  <w:num w:numId="112">
    <w:abstractNumId w:val="64"/>
  </w:num>
  <w:num w:numId="113">
    <w:abstractNumId w:val="106"/>
  </w:num>
  <w:num w:numId="114">
    <w:abstractNumId w:val="33"/>
  </w:num>
  <w:num w:numId="115">
    <w:abstractNumId w:val="6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724"/>
    <w:rsid w:val="00500724"/>
    <w:rsid w:val="00C93A9D"/>
    <w:rsid w:val="00F30F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994860-BB86-4A81-BE5E-BBCB3690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Times New Roman" w:eastAsia="Times New Roman" w:hAnsi="Times New Roman" w:cs="Times New Roman"/>
      <w:b w:val="0"/>
      <w:bCs w:val="0"/>
      <w:i w:val="0"/>
      <w:iCs w:val="0"/>
      <w:smallCaps w:val="0"/>
      <w:strike w:val="0"/>
      <w:sz w:val="18"/>
      <w:szCs w:val="18"/>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sz w:val="19"/>
      <w:szCs w:val="19"/>
      <w:u w:val="none"/>
    </w:rPr>
  </w:style>
  <w:style w:type="character" w:customStyle="1" w:styleId="Titulekobrzku">
    <w:name w:val="Titulek obrázku_"/>
    <w:basedOn w:val="Standardnpsmoodstavce"/>
    <w:link w:val="Titulekobrzku0"/>
    <w:rPr>
      <w:rFonts w:ascii="Times New Roman" w:eastAsia="Times New Roman" w:hAnsi="Times New Roman" w:cs="Times New Roman"/>
      <w:b/>
      <w:bCs/>
      <w:i w:val="0"/>
      <w:iCs w:val="0"/>
      <w:smallCaps w:val="0"/>
      <w:strike w:val="0"/>
      <w:sz w:val="16"/>
      <w:szCs w:val="16"/>
      <w:u w:val="none"/>
    </w:rPr>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sz w:val="19"/>
      <w:szCs w:val="19"/>
      <w:u w:val="none"/>
    </w:rPr>
  </w:style>
  <w:style w:type="character" w:customStyle="1" w:styleId="Nadpis10">
    <w:name w:val="Nadpis #10_"/>
    <w:basedOn w:val="Standardnpsmoodstavce"/>
    <w:link w:val="Nadpis100"/>
    <w:rPr>
      <w:rFonts w:ascii="Times New Roman" w:eastAsia="Times New Roman" w:hAnsi="Times New Roman" w:cs="Times New Roman"/>
      <w:b w:val="0"/>
      <w:bCs w:val="0"/>
      <w:i w:val="0"/>
      <w:iCs w:val="0"/>
      <w:smallCaps w:val="0"/>
      <w:strike w:val="0"/>
      <w:sz w:val="32"/>
      <w:szCs w:val="32"/>
      <w:u w:val="none"/>
    </w:rPr>
  </w:style>
  <w:style w:type="character" w:customStyle="1" w:styleId="Zkladntext3">
    <w:name w:val="Základní text (3)_"/>
    <w:basedOn w:val="Standardnpsmoodstavce"/>
    <w:link w:val="Zkladntext30"/>
    <w:rPr>
      <w:rFonts w:ascii="Times New Roman" w:eastAsia="Times New Roman" w:hAnsi="Times New Roman" w:cs="Times New Roman"/>
      <w:b w:val="0"/>
      <w:bCs w:val="0"/>
      <w:i w:val="0"/>
      <w:iCs w:val="0"/>
      <w:smallCaps w:val="0"/>
      <w:strike w:val="0"/>
      <w:sz w:val="22"/>
      <w:szCs w:val="22"/>
      <w:u w:val="none"/>
    </w:rPr>
  </w:style>
  <w:style w:type="character" w:customStyle="1" w:styleId="Nadpis9">
    <w:name w:val="Nadpis #9_"/>
    <w:basedOn w:val="Standardnpsmoodstavce"/>
    <w:link w:val="Nadpis90"/>
    <w:rPr>
      <w:rFonts w:ascii="Arial" w:eastAsia="Arial" w:hAnsi="Arial" w:cs="Arial"/>
      <w:b w:val="0"/>
      <w:bCs w:val="0"/>
      <w:i w:val="0"/>
      <w:iCs w:val="0"/>
      <w:smallCaps w:val="0"/>
      <w:strike w:val="0"/>
      <w:sz w:val="40"/>
      <w:szCs w:val="40"/>
      <w:u w:val="none"/>
    </w:rPr>
  </w:style>
  <w:style w:type="character" w:customStyle="1" w:styleId="Zkladntext4">
    <w:name w:val="Základní text (4)_"/>
    <w:basedOn w:val="Standardnpsmoodstavce"/>
    <w:link w:val="Zkladntext40"/>
    <w:rPr>
      <w:rFonts w:ascii="Times New Roman" w:eastAsia="Times New Roman" w:hAnsi="Times New Roman" w:cs="Times New Roman"/>
      <w:b w:val="0"/>
      <w:bCs w:val="0"/>
      <w:i w:val="0"/>
      <w:iCs w:val="0"/>
      <w:smallCaps w:val="0"/>
      <w:strike w:val="0"/>
      <w:sz w:val="15"/>
      <w:szCs w:val="15"/>
      <w:u w:val="none"/>
    </w:rPr>
  </w:style>
  <w:style w:type="character" w:customStyle="1" w:styleId="Nadpis11">
    <w:name w:val="Nadpis #11_"/>
    <w:basedOn w:val="Standardnpsmoodstavce"/>
    <w:link w:val="Nadpis110"/>
    <w:rPr>
      <w:rFonts w:ascii="Arial" w:eastAsia="Arial" w:hAnsi="Arial" w:cs="Arial"/>
      <w:b/>
      <w:bCs/>
      <w:i w:val="0"/>
      <w:iCs w:val="0"/>
      <w:smallCaps w:val="0"/>
      <w:strike w:val="0"/>
      <w:sz w:val="22"/>
      <w:szCs w:val="22"/>
      <w:u w:val="none"/>
    </w:rPr>
  </w:style>
  <w:style w:type="character" w:customStyle="1" w:styleId="Nadpis8">
    <w:name w:val="Nadpis #8_"/>
    <w:basedOn w:val="Standardnpsmoodstavce"/>
    <w:link w:val="Nadpis80"/>
    <w:rPr>
      <w:rFonts w:ascii="Times New Roman" w:eastAsia="Times New Roman" w:hAnsi="Times New Roman" w:cs="Times New Roman"/>
      <w:b w:val="0"/>
      <w:bCs w:val="0"/>
      <w:i w:val="0"/>
      <w:iCs w:val="0"/>
      <w:smallCaps w:val="0"/>
      <w:strike w:val="0"/>
      <w:sz w:val="46"/>
      <w:szCs w:val="46"/>
      <w:u w:val="single"/>
    </w:rPr>
  </w:style>
  <w:style w:type="character" w:customStyle="1" w:styleId="Nadpis12">
    <w:name w:val="Nadpis #12_"/>
    <w:basedOn w:val="Standardnpsmoodstavce"/>
    <w:link w:val="Nadpis120"/>
    <w:rPr>
      <w:rFonts w:ascii="Times New Roman" w:eastAsia="Times New Roman" w:hAnsi="Times New Roman" w:cs="Times New Roman"/>
      <w:b w:val="0"/>
      <w:bCs w:val="0"/>
      <w:i w:val="0"/>
      <w:iCs w:val="0"/>
      <w:smallCaps w:val="0"/>
      <w:strike w:val="0"/>
      <w:sz w:val="22"/>
      <w:szCs w:val="22"/>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22"/>
      <w:szCs w:val="22"/>
      <w:u w:val="none"/>
    </w:rPr>
  </w:style>
  <w:style w:type="character" w:customStyle="1" w:styleId="Zkladntext5">
    <w:name w:val="Základní text (5)_"/>
    <w:basedOn w:val="Standardnpsmoodstavce"/>
    <w:link w:val="Zkladntext50"/>
    <w:rPr>
      <w:rFonts w:ascii="Arial" w:eastAsia="Arial" w:hAnsi="Arial" w:cs="Arial"/>
      <w:b w:val="0"/>
      <w:bCs w:val="0"/>
      <w:i w:val="0"/>
      <w:iCs w:val="0"/>
      <w:smallCaps w:val="0"/>
      <w:strike w:val="0"/>
      <w:sz w:val="17"/>
      <w:szCs w:val="17"/>
      <w:u w:val="none"/>
    </w:rPr>
  </w:style>
  <w:style w:type="character" w:customStyle="1" w:styleId="Nadpis7">
    <w:name w:val="Nadpis #7_"/>
    <w:basedOn w:val="Standardnpsmoodstavce"/>
    <w:link w:val="Nadpis70"/>
    <w:rPr>
      <w:rFonts w:ascii="Arial" w:eastAsia="Arial" w:hAnsi="Arial" w:cs="Arial"/>
      <w:b w:val="0"/>
      <w:bCs w:val="0"/>
      <w:i w:val="0"/>
      <w:iCs w:val="0"/>
      <w:smallCaps w:val="0"/>
      <w:strike w:val="0"/>
      <w:w w:val="80"/>
      <w:sz w:val="58"/>
      <w:szCs w:val="58"/>
      <w:u w:val="none"/>
    </w:rPr>
  </w:style>
  <w:style w:type="character" w:customStyle="1" w:styleId="Zkladntext8">
    <w:name w:val="Základní text (8)_"/>
    <w:basedOn w:val="Standardnpsmoodstavce"/>
    <w:link w:val="Zkladntext80"/>
    <w:rPr>
      <w:rFonts w:ascii="Arial" w:eastAsia="Arial" w:hAnsi="Arial" w:cs="Arial"/>
      <w:b/>
      <w:bCs/>
      <w:i w:val="0"/>
      <w:iCs w:val="0"/>
      <w:smallCaps w:val="0"/>
      <w:strike w:val="0"/>
      <w:sz w:val="22"/>
      <w:szCs w:val="22"/>
      <w:u w:val="none"/>
    </w:rPr>
  </w:style>
  <w:style w:type="character" w:customStyle="1" w:styleId="Nadpis4">
    <w:name w:val="Nadpis #4_"/>
    <w:basedOn w:val="Standardnpsmoodstavce"/>
    <w:link w:val="Nadpis40"/>
    <w:rPr>
      <w:rFonts w:ascii="Times New Roman" w:eastAsia="Times New Roman" w:hAnsi="Times New Roman" w:cs="Times New Roman"/>
      <w:b w:val="0"/>
      <w:bCs w:val="0"/>
      <w:i w:val="0"/>
      <w:iCs w:val="0"/>
      <w:smallCaps w:val="0"/>
      <w:strike w:val="0"/>
      <w:sz w:val="228"/>
      <w:szCs w:val="228"/>
      <w:u w:val="none"/>
    </w:rPr>
  </w:style>
  <w:style w:type="character" w:customStyle="1" w:styleId="Titulektabulky">
    <w:name w:val="Titulek tabulky_"/>
    <w:basedOn w:val="Standardnpsmoodstavce"/>
    <w:link w:val="Titulektabulky0"/>
    <w:rPr>
      <w:rFonts w:ascii="Times New Roman" w:eastAsia="Times New Roman" w:hAnsi="Times New Roman" w:cs="Times New Roman"/>
      <w:b/>
      <w:bCs/>
      <w:i w:val="0"/>
      <w:iCs w:val="0"/>
      <w:smallCaps w:val="0"/>
      <w:strike w:val="0"/>
      <w:sz w:val="14"/>
      <w:szCs w:val="14"/>
      <w:u w:val="none"/>
    </w:rPr>
  </w:style>
  <w:style w:type="character" w:customStyle="1" w:styleId="Nadpis5">
    <w:name w:val="Nadpis #5_"/>
    <w:basedOn w:val="Standardnpsmoodstavce"/>
    <w:link w:val="Nadpis50"/>
    <w:rPr>
      <w:rFonts w:ascii="Arial" w:eastAsia="Arial" w:hAnsi="Arial" w:cs="Arial"/>
      <w:b w:val="0"/>
      <w:bCs w:val="0"/>
      <w:i w:val="0"/>
      <w:iCs w:val="0"/>
      <w:smallCaps w:val="0"/>
      <w:strike w:val="0"/>
      <w:sz w:val="148"/>
      <w:szCs w:val="148"/>
      <w:u w:val="none"/>
    </w:rPr>
  </w:style>
  <w:style w:type="character" w:customStyle="1" w:styleId="Zkladntext9">
    <w:name w:val="Základní text (9)_"/>
    <w:basedOn w:val="Standardnpsmoodstavce"/>
    <w:link w:val="Zkladntext90"/>
    <w:rPr>
      <w:rFonts w:ascii="Georgia" w:eastAsia="Georgia" w:hAnsi="Georgia" w:cs="Georgia"/>
      <w:b/>
      <w:bCs/>
      <w:i w:val="0"/>
      <w:iCs w:val="0"/>
      <w:smallCaps w:val="0"/>
      <w:strike w:val="0"/>
      <w:sz w:val="13"/>
      <w:szCs w:val="13"/>
      <w:u w:val="none"/>
    </w:rPr>
  </w:style>
  <w:style w:type="character" w:customStyle="1" w:styleId="Nadpis6">
    <w:name w:val="Nadpis #6_"/>
    <w:basedOn w:val="Standardnpsmoodstavce"/>
    <w:link w:val="Nadpis60"/>
    <w:rPr>
      <w:rFonts w:ascii="Times New Roman" w:eastAsia="Times New Roman" w:hAnsi="Times New Roman" w:cs="Times New Roman"/>
      <w:b w:val="0"/>
      <w:bCs w:val="0"/>
      <w:i w:val="0"/>
      <w:iCs w:val="0"/>
      <w:smallCaps w:val="0"/>
      <w:strike w:val="0"/>
      <w:sz w:val="90"/>
      <w:szCs w:val="90"/>
      <w:u w:val="none"/>
    </w:rPr>
  </w:style>
  <w:style w:type="character" w:customStyle="1" w:styleId="Nadpis3">
    <w:name w:val="Nadpis #3_"/>
    <w:basedOn w:val="Standardnpsmoodstavce"/>
    <w:link w:val="Nadpis30"/>
    <w:rPr>
      <w:rFonts w:ascii="Times New Roman" w:eastAsia="Times New Roman" w:hAnsi="Times New Roman" w:cs="Times New Roman"/>
      <w:b w:val="0"/>
      <w:bCs w:val="0"/>
      <w:i w:val="0"/>
      <w:iCs w:val="0"/>
      <w:smallCaps w:val="0"/>
      <w:strike w:val="0"/>
      <w:sz w:val="248"/>
      <w:szCs w:val="248"/>
      <w:u w:val="none"/>
    </w:rPr>
  </w:style>
  <w:style w:type="character" w:customStyle="1" w:styleId="Zkladntext10">
    <w:name w:val="Základní text (10)_"/>
    <w:basedOn w:val="Standardnpsmoodstavce"/>
    <w:link w:val="Zkladntext100"/>
    <w:rPr>
      <w:rFonts w:ascii="Times New Roman" w:eastAsia="Times New Roman" w:hAnsi="Times New Roman" w:cs="Times New Roman"/>
      <w:b w:val="0"/>
      <w:bCs w:val="0"/>
      <w:i w:val="0"/>
      <w:iCs w:val="0"/>
      <w:smallCaps w:val="0"/>
      <w:strike w:val="0"/>
      <w:sz w:val="18"/>
      <w:szCs w:val="18"/>
      <w:u w:val="none"/>
    </w:rPr>
  </w:style>
  <w:style w:type="character" w:customStyle="1" w:styleId="Nadpis2">
    <w:name w:val="Nadpis #2_"/>
    <w:basedOn w:val="Standardnpsmoodstavce"/>
    <w:link w:val="Nadpis20"/>
    <w:rPr>
      <w:rFonts w:ascii="Times New Roman" w:eastAsia="Times New Roman" w:hAnsi="Times New Roman" w:cs="Times New Roman"/>
      <w:b w:val="0"/>
      <w:bCs w:val="0"/>
      <w:i w:val="0"/>
      <w:iCs w:val="0"/>
      <w:smallCaps w:val="0"/>
      <w:strike w:val="0"/>
      <w:sz w:val="268"/>
      <w:szCs w:val="268"/>
      <w:u w:val="single"/>
    </w:rPr>
  </w:style>
  <w:style w:type="character" w:customStyle="1" w:styleId="slonadpisu11">
    <w:name w:val="Číslo nadpisu #11_"/>
    <w:basedOn w:val="Standardnpsmoodstavce"/>
    <w:link w:val="slonadpisu110"/>
    <w:rPr>
      <w:rFonts w:ascii="Arial" w:eastAsia="Arial" w:hAnsi="Arial" w:cs="Arial"/>
      <w:b/>
      <w:bCs/>
      <w:i w:val="0"/>
      <w:iCs w:val="0"/>
      <w:smallCaps w:val="0"/>
      <w:strike w:val="0"/>
      <w:sz w:val="22"/>
      <w:szCs w:val="22"/>
      <w:u w:val="none"/>
    </w:rPr>
  </w:style>
  <w:style w:type="character" w:customStyle="1" w:styleId="Obsah">
    <w:name w:val="Obsah_"/>
    <w:basedOn w:val="Standardnpsmoodstavce"/>
    <w:link w:val="Obsah0"/>
    <w:rPr>
      <w:rFonts w:ascii="Times New Roman" w:eastAsia="Times New Roman" w:hAnsi="Times New Roman" w:cs="Times New Roman"/>
      <w:b w:val="0"/>
      <w:bCs w:val="0"/>
      <w:i w:val="0"/>
      <w:iCs w:val="0"/>
      <w:smallCaps w:val="0"/>
      <w:strike w:val="0"/>
      <w:sz w:val="20"/>
      <w:szCs w:val="20"/>
      <w:u w:val="none"/>
    </w:rPr>
  </w:style>
  <w:style w:type="paragraph" w:customStyle="1" w:styleId="Poznmkapodarou0">
    <w:name w:val="Poznámka pod čarou"/>
    <w:basedOn w:val="Normln"/>
    <w:link w:val="Poznmkapodarou"/>
    <w:pPr>
      <w:shd w:val="clear" w:color="auto" w:fill="FFFFFF"/>
      <w:spacing w:line="197" w:lineRule="auto"/>
      <w:ind w:left="30"/>
      <w:jc w:val="both"/>
    </w:pPr>
    <w:rPr>
      <w:rFonts w:ascii="Times New Roman" w:eastAsia="Times New Roman" w:hAnsi="Times New Roman" w:cs="Times New Roman"/>
      <w:sz w:val="18"/>
      <w:szCs w:val="18"/>
    </w:rPr>
  </w:style>
  <w:style w:type="paragraph" w:customStyle="1" w:styleId="Jin0">
    <w:name w:val="Jiné"/>
    <w:basedOn w:val="Normln"/>
    <w:link w:val="Jin"/>
    <w:pPr>
      <w:shd w:val="clear" w:color="auto" w:fill="FFFFFF"/>
      <w:ind w:firstLine="220"/>
      <w:jc w:val="both"/>
    </w:pPr>
    <w:rPr>
      <w:rFonts w:ascii="Times New Roman" w:eastAsia="Times New Roman" w:hAnsi="Times New Roman" w:cs="Times New Roman"/>
      <w:sz w:val="19"/>
      <w:szCs w:val="19"/>
    </w:rPr>
  </w:style>
  <w:style w:type="paragraph" w:customStyle="1" w:styleId="Titulekobrzku0">
    <w:name w:val="Titulek obrázku"/>
    <w:basedOn w:val="Normln"/>
    <w:link w:val="Titulekobrzku"/>
    <w:pPr>
      <w:shd w:val="clear" w:color="auto" w:fill="FFFFFF"/>
      <w:spacing w:line="329" w:lineRule="auto"/>
      <w:jc w:val="both"/>
    </w:pPr>
    <w:rPr>
      <w:rFonts w:ascii="Times New Roman" w:eastAsia="Times New Roman" w:hAnsi="Times New Roman" w:cs="Times New Roman"/>
      <w:b/>
      <w:bCs/>
      <w:sz w:val="16"/>
      <w:szCs w:val="16"/>
    </w:rPr>
  </w:style>
  <w:style w:type="paragraph" w:customStyle="1" w:styleId="Zkladntext1">
    <w:name w:val="Základní text1"/>
    <w:basedOn w:val="Normln"/>
    <w:link w:val="Zkladntext"/>
    <w:pPr>
      <w:shd w:val="clear" w:color="auto" w:fill="FFFFFF"/>
      <w:ind w:firstLine="220"/>
      <w:jc w:val="both"/>
    </w:pPr>
    <w:rPr>
      <w:rFonts w:ascii="Times New Roman" w:eastAsia="Times New Roman" w:hAnsi="Times New Roman" w:cs="Times New Roman"/>
      <w:sz w:val="19"/>
      <w:szCs w:val="19"/>
    </w:rPr>
  </w:style>
  <w:style w:type="paragraph" w:customStyle="1" w:styleId="Nadpis100">
    <w:name w:val="Nadpis #10"/>
    <w:basedOn w:val="Normln"/>
    <w:link w:val="Nadpis10"/>
    <w:pPr>
      <w:shd w:val="clear" w:color="auto" w:fill="FFFFFF"/>
      <w:spacing w:after="40" w:line="216" w:lineRule="auto"/>
      <w:jc w:val="center"/>
    </w:pPr>
    <w:rPr>
      <w:rFonts w:ascii="Times New Roman" w:eastAsia="Times New Roman" w:hAnsi="Times New Roman" w:cs="Times New Roman"/>
      <w:sz w:val="32"/>
      <w:szCs w:val="32"/>
    </w:rPr>
  </w:style>
  <w:style w:type="paragraph" w:customStyle="1" w:styleId="Zkladntext30">
    <w:name w:val="Základní text (3)"/>
    <w:basedOn w:val="Normln"/>
    <w:link w:val="Zkladntext3"/>
    <w:pPr>
      <w:shd w:val="clear" w:color="auto" w:fill="FFFFFF"/>
      <w:spacing w:after="40" w:line="218" w:lineRule="auto"/>
      <w:ind w:firstLine="260"/>
      <w:jc w:val="both"/>
    </w:pPr>
    <w:rPr>
      <w:rFonts w:ascii="Times New Roman" w:eastAsia="Times New Roman" w:hAnsi="Times New Roman" w:cs="Times New Roman"/>
      <w:sz w:val="22"/>
      <w:szCs w:val="22"/>
    </w:rPr>
  </w:style>
  <w:style w:type="paragraph" w:customStyle="1" w:styleId="Nadpis90">
    <w:name w:val="Nadpis #9"/>
    <w:basedOn w:val="Normln"/>
    <w:link w:val="Nadpis9"/>
    <w:pPr>
      <w:shd w:val="clear" w:color="auto" w:fill="FFFFFF"/>
      <w:spacing w:after="60"/>
      <w:outlineLvl w:val="8"/>
    </w:pPr>
    <w:rPr>
      <w:rFonts w:ascii="Arial" w:eastAsia="Arial" w:hAnsi="Arial" w:cs="Arial"/>
      <w:sz w:val="40"/>
      <w:szCs w:val="40"/>
    </w:rPr>
  </w:style>
  <w:style w:type="paragraph" w:customStyle="1" w:styleId="Zkladntext40">
    <w:name w:val="Základní text (4)"/>
    <w:basedOn w:val="Normln"/>
    <w:link w:val="Zkladntext4"/>
    <w:pPr>
      <w:shd w:val="clear" w:color="auto" w:fill="FFFFFF"/>
      <w:spacing w:after="60" w:line="178" w:lineRule="auto"/>
      <w:jc w:val="both"/>
    </w:pPr>
    <w:rPr>
      <w:rFonts w:ascii="Times New Roman" w:eastAsia="Times New Roman" w:hAnsi="Times New Roman" w:cs="Times New Roman"/>
      <w:sz w:val="15"/>
      <w:szCs w:val="15"/>
    </w:rPr>
  </w:style>
  <w:style w:type="paragraph" w:customStyle="1" w:styleId="Nadpis110">
    <w:name w:val="Nadpis #11"/>
    <w:basedOn w:val="Normln"/>
    <w:link w:val="Nadpis11"/>
    <w:pPr>
      <w:shd w:val="clear" w:color="auto" w:fill="FFFFFF"/>
    </w:pPr>
    <w:rPr>
      <w:rFonts w:ascii="Arial" w:eastAsia="Arial" w:hAnsi="Arial" w:cs="Arial"/>
      <w:b/>
      <w:bCs/>
      <w:sz w:val="22"/>
      <w:szCs w:val="22"/>
    </w:rPr>
  </w:style>
  <w:style w:type="paragraph" w:customStyle="1" w:styleId="Nadpis80">
    <w:name w:val="Nadpis #8"/>
    <w:basedOn w:val="Normln"/>
    <w:link w:val="Nadpis8"/>
    <w:pPr>
      <w:shd w:val="clear" w:color="auto" w:fill="FFFFFF"/>
      <w:spacing w:after="150"/>
      <w:outlineLvl w:val="7"/>
    </w:pPr>
    <w:rPr>
      <w:rFonts w:ascii="Times New Roman" w:eastAsia="Times New Roman" w:hAnsi="Times New Roman" w:cs="Times New Roman"/>
      <w:sz w:val="46"/>
      <w:szCs w:val="46"/>
      <w:u w:val="single"/>
    </w:rPr>
  </w:style>
  <w:style w:type="paragraph" w:customStyle="1" w:styleId="Nadpis120">
    <w:name w:val="Nadpis #12"/>
    <w:basedOn w:val="Normln"/>
    <w:link w:val="Nadpis12"/>
    <w:pPr>
      <w:shd w:val="clear" w:color="auto" w:fill="FFFFFF"/>
      <w:ind w:left="220"/>
    </w:pPr>
    <w:rPr>
      <w:rFonts w:ascii="Times New Roman" w:eastAsia="Times New Roman" w:hAnsi="Times New Roman" w:cs="Times New Roman"/>
      <w:sz w:val="22"/>
      <w:szCs w:val="22"/>
    </w:rPr>
  </w:style>
  <w:style w:type="paragraph" w:customStyle="1" w:styleId="Zkladntext20">
    <w:name w:val="Základní text (2)"/>
    <w:basedOn w:val="Normln"/>
    <w:link w:val="Zkladntext2"/>
    <w:pPr>
      <w:shd w:val="clear" w:color="auto" w:fill="FFFFFF"/>
      <w:spacing w:line="199" w:lineRule="auto"/>
      <w:ind w:firstLine="240"/>
      <w:jc w:val="both"/>
    </w:pPr>
    <w:rPr>
      <w:rFonts w:ascii="Times New Roman" w:eastAsia="Times New Roman" w:hAnsi="Times New Roman" w:cs="Times New Roman"/>
      <w:sz w:val="22"/>
      <w:szCs w:val="22"/>
    </w:rPr>
  </w:style>
  <w:style w:type="paragraph" w:customStyle="1" w:styleId="Zkladntext50">
    <w:name w:val="Základní text (5)"/>
    <w:basedOn w:val="Normln"/>
    <w:link w:val="Zkladntext5"/>
    <w:pPr>
      <w:shd w:val="clear" w:color="auto" w:fill="FFFFFF"/>
      <w:spacing w:after="60" w:line="286" w:lineRule="auto"/>
      <w:ind w:left="2120"/>
      <w:jc w:val="both"/>
    </w:pPr>
    <w:rPr>
      <w:rFonts w:ascii="Arial" w:eastAsia="Arial" w:hAnsi="Arial" w:cs="Arial"/>
      <w:sz w:val="17"/>
      <w:szCs w:val="17"/>
    </w:rPr>
  </w:style>
  <w:style w:type="paragraph" w:customStyle="1" w:styleId="Nadpis70">
    <w:name w:val="Nadpis #7"/>
    <w:basedOn w:val="Normln"/>
    <w:link w:val="Nadpis7"/>
    <w:pPr>
      <w:shd w:val="clear" w:color="auto" w:fill="FFFFFF"/>
      <w:outlineLvl w:val="6"/>
    </w:pPr>
    <w:rPr>
      <w:rFonts w:ascii="Arial" w:eastAsia="Arial" w:hAnsi="Arial" w:cs="Arial"/>
      <w:w w:val="80"/>
      <w:sz w:val="58"/>
      <w:szCs w:val="58"/>
    </w:rPr>
  </w:style>
  <w:style w:type="paragraph" w:customStyle="1" w:styleId="Zkladntext80">
    <w:name w:val="Základní text (8)"/>
    <w:basedOn w:val="Normln"/>
    <w:link w:val="Zkladntext8"/>
    <w:pPr>
      <w:shd w:val="clear" w:color="auto" w:fill="FFFFFF"/>
      <w:spacing w:line="276" w:lineRule="auto"/>
    </w:pPr>
    <w:rPr>
      <w:rFonts w:ascii="Arial" w:eastAsia="Arial" w:hAnsi="Arial" w:cs="Arial"/>
      <w:b/>
      <w:bCs/>
      <w:sz w:val="22"/>
      <w:szCs w:val="22"/>
    </w:rPr>
  </w:style>
  <w:style w:type="paragraph" w:customStyle="1" w:styleId="Nadpis40">
    <w:name w:val="Nadpis #4"/>
    <w:basedOn w:val="Normln"/>
    <w:link w:val="Nadpis4"/>
    <w:pPr>
      <w:shd w:val="clear" w:color="auto" w:fill="FFFFFF"/>
      <w:outlineLvl w:val="3"/>
    </w:pPr>
    <w:rPr>
      <w:rFonts w:ascii="Times New Roman" w:eastAsia="Times New Roman" w:hAnsi="Times New Roman" w:cs="Times New Roman"/>
      <w:sz w:val="228"/>
      <w:szCs w:val="228"/>
    </w:rPr>
  </w:style>
  <w:style w:type="paragraph" w:customStyle="1" w:styleId="Titulektabulky0">
    <w:name w:val="Titulek tabulky"/>
    <w:basedOn w:val="Normln"/>
    <w:link w:val="Titulektabulky"/>
    <w:pPr>
      <w:shd w:val="clear" w:color="auto" w:fill="FFFFFF"/>
      <w:jc w:val="both"/>
    </w:pPr>
    <w:rPr>
      <w:rFonts w:ascii="Times New Roman" w:eastAsia="Times New Roman" w:hAnsi="Times New Roman" w:cs="Times New Roman"/>
      <w:b/>
      <w:bCs/>
      <w:sz w:val="14"/>
      <w:szCs w:val="14"/>
    </w:rPr>
  </w:style>
  <w:style w:type="paragraph" w:customStyle="1" w:styleId="Nadpis50">
    <w:name w:val="Nadpis #5"/>
    <w:basedOn w:val="Normln"/>
    <w:link w:val="Nadpis5"/>
    <w:pPr>
      <w:shd w:val="clear" w:color="auto" w:fill="FFFFFF"/>
      <w:outlineLvl w:val="4"/>
    </w:pPr>
    <w:rPr>
      <w:rFonts w:ascii="Arial" w:eastAsia="Arial" w:hAnsi="Arial" w:cs="Arial"/>
      <w:sz w:val="148"/>
      <w:szCs w:val="148"/>
    </w:rPr>
  </w:style>
  <w:style w:type="paragraph" w:customStyle="1" w:styleId="Zkladntext90">
    <w:name w:val="Základní text (9)"/>
    <w:basedOn w:val="Normln"/>
    <w:link w:val="Zkladntext9"/>
    <w:pPr>
      <w:shd w:val="clear" w:color="auto" w:fill="FFFFFF"/>
      <w:spacing w:line="206" w:lineRule="auto"/>
      <w:ind w:firstLine="180"/>
      <w:jc w:val="both"/>
    </w:pPr>
    <w:rPr>
      <w:rFonts w:ascii="Georgia" w:eastAsia="Georgia" w:hAnsi="Georgia" w:cs="Georgia"/>
      <w:b/>
      <w:bCs/>
      <w:sz w:val="13"/>
      <w:szCs w:val="13"/>
    </w:rPr>
  </w:style>
  <w:style w:type="paragraph" w:customStyle="1" w:styleId="Nadpis60">
    <w:name w:val="Nadpis #6"/>
    <w:basedOn w:val="Normln"/>
    <w:link w:val="Nadpis6"/>
    <w:pPr>
      <w:shd w:val="clear" w:color="auto" w:fill="FFFFFF"/>
      <w:jc w:val="center"/>
      <w:outlineLvl w:val="5"/>
    </w:pPr>
    <w:rPr>
      <w:rFonts w:ascii="Times New Roman" w:eastAsia="Times New Roman" w:hAnsi="Times New Roman" w:cs="Times New Roman"/>
      <w:sz w:val="90"/>
      <w:szCs w:val="90"/>
    </w:rPr>
  </w:style>
  <w:style w:type="paragraph" w:customStyle="1" w:styleId="Nadpis30">
    <w:name w:val="Nadpis #3"/>
    <w:basedOn w:val="Normln"/>
    <w:link w:val="Nadpis3"/>
    <w:pPr>
      <w:shd w:val="clear" w:color="auto" w:fill="FFFFFF"/>
      <w:spacing w:after="70"/>
      <w:outlineLvl w:val="2"/>
    </w:pPr>
    <w:rPr>
      <w:rFonts w:ascii="Times New Roman" w:eastAsia="Times New Roman" w:hAnsi="Times New Roman" w:cs="Times New Roman"/>
      <w:sz w:val="248"/>
      <w:szCs w:val="248"/>
    </w:rPr>
  </w:style>
  <w:style w:type="paragraph" w:customStyle="1" w:styleId="Zkladntext100">
    <w:name w:val="Základní text (10)"/>
    <w:basedOn w:val="Normln"/>
    <w:link w:val="Zkladntext10"/>
    <w:pPr>
      <w:shd w:val="clear" w:color="auto" w:fill="FFFFFF"/>
      <w:spacing w:line="199" w:lineRule="auto"/>
      <w:ind w:firstLine="280"/>
      <w:jc w:val="both"/>
    </w:pPr>
    <w:rPr>
      <w:rFonts w:ascii="Times New Roman" w:eastAsia="Times New Roman" w:hAnsi="Times New Roman" w:cs="Times New Roman"/>
      <w:sz w:val="18"/>
      <w:szCs w:val="18"/>
    </w:rPr>
  </w:style>
  <w:style w:type="paragraph" w:customStyle="1" w:styleId="Nadpis20">
    <w:name w:val="Nadpis #2"/>
    <w:basedOn w:val="Normln"/>
    <w:link w:val="Nadpis2"/>
    <w:pPr>
      <w:shd w:val="clear" w:color="auto" w:fill="FFFFFF"/>
      <w:spacing w:after="140"/>
      <w:outlineLvl w:val="1"/>
    </w:pPr>
    <w:rPr>
      <w:rFonts w:ascii="Times New Roman" w:eastAsia="Times New Roman" w:hAnsi="Times New Roman" w:cs="Times New Roman"/>
      <w:sz w:val="268"/>
      <w:szCs w:val="268"/>
      <w:u w:val="single"/>
    </w:rPr>
  </w:style>
  <w:style w:type="paragraph" w:customStyle="1" w:styleId="slonadpisu110">
    <w:name w:val="Číslo nadpisu #11"/>
    <w:basedOn w:val="Normln"/>
    <w:link w:val="slonadpisu11"/>
    <w:pPr>
      <w:shd w:val="clear" w:color="auto" w:fill="FFFFFF"/>
    </w:pPr>
    <w:rPr>
      <w:rFonts w:ascii="Arial" w:eastAsia="Arial" w:hAnsi="Arial" w:cs="Arial"/>
      <w:b/>
      <w:bCs/>
      <w:sz w:val="22"/>
      <w:szCs w:val="22"/>
    </w:rPr>
  </w:style>
  <w:style w:type="paragraph" w:customStyle="1" w:styleId="Obsah0">
    <w:name w:val="Obsah"/>
    <w:basedOn w:val="Normln"/>
    <w:link w:val="Obsah"/>
    <w:pPr>
      <w:shd w:val="clear" w:color="auto" w:fill="FFFFFF"/>
      <w:spacing w:line="223" w:lineRule="auto"/>
      <w:ind w:firstLine="280"/>
      <w:jc w:val="both"/>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641001</Words>
  <Characters>3781907</Characters>
  <Application>Microsoft Office Word</Application>
  <DocSecurity>0</DocSecurity>
  <Lines>31515</Lines>
  <Paragraphs>8828</Paragraphs>
  <ScaleCrop>false</ScaleCrop>
  <Company/>
  <LinksUpToDate>false</LinksUpToDate>
  <CharactersWithSpaces>4414080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2018-02-06T08:10:00Z</dcterms:created>
  <dcterms:modified xsi:type="dcterms:W3CDTF">2018-02-06T08:10:00Z</dcterms:modified>
</cp:coreProperties>
</file>